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B86BF" w14:textId="77777777" w:rsidR="00777DCB" w:rsidRPr="00A52585" w:rsidRDefault="00777DCB" w:rsidP="0002035C">
      <w:pPr>
        <w:tabs>
          <w:tab w:val="left" w:pos="302"/>
        </w:tabs>
        <w:jc w:val="center"/>
        <w:rPr>
          <w:rFonts w:cs="Monotype Koufi"/>
          <w:b/>
        </w:rPr>
      </w:pPr>
    </w:p>
    <w:p w14:paraId="755FBC73" w14:textId="77777777" w:rsidR="00F10F0F" w:rsidRPr="00A52585" w:rsidRDefault="00F10F0F" w:rsidP="00F10F0F">
      <w:pPr>
        <w:tabs>
          <w:tab w:val="left" w:pos="302"/>
        </w:tabs>
        <w:ind w:left="-46"/>
        <w:jc w:val="center"/>
        <w:rPr>
          <w:rFonts w:cs="Monotype Koufi"/>
          <w:b/>
        </w:rPr>
      </w:pPr>
      <w:r w:rsidRPr="00A52585">
        <w:rPr>
          <w:rFonts w:cs="Monotype Koufi" w:hint="cs"/>
          <w:rtl/>
        </w:rPr>
        <w:t xml:space="preserve">رسائل الإصلاح المتعلقة بإظهار علم التقديس </w:t>
      </w:r>
    </w:p>
    <w:p w14:paraId="605D23C7" w14:textId="74CD70D3" w:rsidR="00777DCB" w:rsidRPr="00A52585" w:rsidRDefault="00F10F0F" w:rsidP="00F10F0F">
      <w:pPr>
        <w:tabs>
          <w:tab w:val="left" w:pos="302"/>
        </w:tabs>
        <w:jc w:val="center"/>
        <w:rPr>
          <w:rFonts w:cs="Monotype Koufi"/>
          <w:b/>
        </w:rPr>
      </w:pPr>
      <w:r w:rsidRPr="00A52585">
        <w:rPr>
          <w:rFonts w:cs="Monotype Koufi" w:hint="cs"/>
          <w:rtl/>
        </w:rPr>
        <w:t>ومحاربة بدعة الحشو والتجسيم</w:t>
      </w:r>
    </w:p>
    <w:p w14:paraId="703273B0" w14:textId="5753A1C6" w:rsidR="00777DCB" w:rsidRPr="00A52585" w:rsidRDefault="001234E3" w:rsidP="0002035C">
      <w:pPr>
        <w:tabs>
          <w:tab w:val="left" w:pos="302"/>
        </w:tabs>
        <w:jc w:val="center"/>
        <w:rPr>
          <w:rFonts w:cs="Monotype Koufi"/>
          <w:b/>
          <w:rtl/>
        </w:rPr>
      </w:pPr>
      <w:r w:rsidRPr="00A52585">
        <w:rPr>
          <w:rFonts w:cs="Monotype Koufi" w:hint="cs"/>
          <w:rtl/>
        </w:rPr>
        <w:t>الرسالة العاشرة</w:t>
      </w:r>
    </w:p>
    <w:p w14:paraId="5A8D2471" w14:textId="77777777" w:rsidR="00777DCB" w:rsidRPr="00A52585" w:rsidRDefault="00777DCB" w:rsidP="0002035C">
      <w:pPr>
        <w:jc w:val="center"/>
        <w:rPr>
          <w:rFonts w:cs="Monotype Koufi"/>
          <w:b/>
          <w:sz w:val="32"/>
          <w:szCs w:val="32"/>
          <w:rtl/>
        </w:rPr>
      </w:pPr>
    </w:p>
    <w:p w14:paraId="73BBE67A" w14:textId="1A4F69E1" w:rsidR="00777DCB" w:rsidRPr="00A52585" w:rsidRDefault="00777DCB" w:rsidP="001234E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39D8D5D" w14:textId="77777777" w:rsidR="001234E3" w:rsidRPr="00A52585" w:rsidRDefault="001234E3" w:rsidP="001234E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94E1C0A" w14:textId="77777777" w:rsidR="001234E3" w:rsidRPr="00A52585" w:rsidRDefault="00777DCB" w:rsidP="001234E3">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A52585">
        <w:rPr>
          <w:rFonts w:cs="Monotype Koufi" w:hint="cs"/>
          <w:sz w:val="56"/>
          <w:szCs w:val="56"/>
          <w:highlight w:val="yellow"/>
          <w:rtl/>
        </w:rPr>
        <w:t>تقديس الله تعالى</w:t>
      </w:r>
    </w:p>
    <w:p w14:paraId="0A85D7F3" w14:textId="04966FE5" w:rsidR="00777DCB" w:rsidRPr="00A52585" w:rsidRDefault="00777DCB" w:rsidP="001234E3">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A52585">
        <w:rPr>
          <w:rFonts w:cs="Monotype Koufi" w:hint="cs"/>
          <w:sz w:val="56"/>
          <w:szCs w:val="56"/>
          <w:highlight w:val="yellow"/>
          <w:rtl/>
        </w:rPr>
        <w:t>عن الشبيه والمثيل</w:t>
      </w:r>
    </w:p>
    <w:p w14:paraId="4BBA420B" w14:textId="4ABD939D" w:rsidR="00777DCB" w:rsidRPr="00A52585" w:rsidRDefault="00777DCB" w:rsidP="001234E3">
      <w:pPr>
        <w:pBdr>
          <w:top w:val="threeDEngrave" w:sz="24" w:space="1" w:color="auto"/>
          <w:left w:val="threeDEngrave" w:sz="24" w:space="4" w:color="auto"/>
          <w:bottom w:val="threeDEmboss" w:sz="24" w:space="1" w:color="auto"/>
          <w:right w:val="threeDEmboss" w:sz="24" w:space="4" w:color="auto"/>
        </w:pBdr>
        <w:jc w:val="center"/>
        <w:rPr>
          <w:rFonts w:cs="Monotype Koufi"/>
          <w:sz w:val="40"/>
          <w:szCs w:val="40"/>
          <w:highlight w:val="yellow"/>
          <w:rtl/>
        </w:rPr>
      </w:pPr>
      <w:r w:rsidRPr="00A52585">
        <w:rPr>
          <w:rFonts w:cs="Monotype Koufi" w:hint="cs"/>
          <w:sz w:val="40"/>
          <w:szCs w:val="40"/>
          <w:highlight w:val="yellow"/>
          <w:rtl/>
        </w:rPr>
        <w:t>ليس كمثله شيء ولم يكن له كفوا أحد</w:t>
      </w:r>
    </w:p>
    <w:p w14:paraId="65D4D2D0" w14:textId="77777777" w:rsidR="0088344E" w:rsidRPr="00A52585" w:rsidRDefault="0088344E" w:rsidP="001234E3">
      <w:pPr>
        <w:pBdr>
          <w:top w:val="threeDEngrave" w:sz="24" w:space="1" w:color="auto"/>
          <w:left w:val="threeDEngrave" w:sz="24" w:space="4" w:color="auto"/>
          <w:bottom w:val="threeDEmboss" w:sz="24" w:space="1" w:color="auto"/>
          <w:right w:val="threeDEmboss" w:sz="24" w:space="4" w:color="auto"/>
        </w:pBdr>
        <w:jc w:val="center"/>
        <w:rPr>
          <w:rFonts w:cs="Monotype Koufi"/>
          <w:sz w:val="40"/>
          <w:szCs w:val="40"/>
          <w:highlight w:val="yellow"/>
          <w:rtl/>
        </w:rPr>
      </w:pPr>
    </w:p>
    <w:p w14:paraId="6D1F8E5E" w14:textId="4302158D" w:rsidR="001234E3" w:rsidRPr="00A52585" w:rsidRDefault="001234E3" w:rsidP="001234E3">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r w:rsidRPr="00A52585">
        <w:rPr>
          <w:rFonts w:cs="Monotype Koufi" w:hint="cs"/>
          <w:highlight w:val="yellow"/>
          <w:rtl/>
        </w:rPr>
        <w:t xml:space="preserve">جمع وإعداد </w:t>
      </w:r>
    </w:p>
    <w:p w14:paraId="4201989D" w14:textId="7AB49011" w:rsidR="001234E3" w:rsidRPr="00A52585" w:rsidRDefault="001234E3" w:rsidP="001234E3">
      <w:pPr>
        <w:pBdr>
          <w:top w:val="threeDEngrave" w:sz="24" w:space="1" w:color="auto"/>
          <w:left w:val="threeDEngrave" w:sz="24" w:space="4" w:color="auto"/>
          <w:bottom w:val="threeDEmboss" w:sz="24" w:space="1" w:color="auto"/>
          <w:right w:val="threeDEmboss" w:sz="24" w:space="4" w:color="auto"/>
        </w:pBdr>
        <w:jc w:val="center"/>
        <w:rPr>
          <w:rFonts w:cs="Monotype Koufi"/>
          <w:b/>
          <w:sz w:val="40"/>
          <w:szCs w:val="40"/>
          <w:rtl/>
        </w:rPr>
      </w:pPr>
      <w:r w:rsidRPr="00A52585">
        <w:rPr>
          <w:rFonts w:cs="Monotype Koufi" w:hint="cs"/>
          <w:highlight w:val="yellow"/>
          <w:rtl/>
        </w:rPr>
        <w:t>مجدي محمد علي</w:t>
      </w:r>
    </w:p>
    <w:p w14:paraId="438485C0" w14:textId="7E452490" w:rsidR="00777DCB" w:rsidRPr="00A52585" w:rsidRDefault="00777DCB" w:rsidP="001234E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D98AB36" w14:textId="77777777" w:rsidR="001234E3" w:rsidRPr="00A52585" w:rsidRDefault="001234E3" w:rsidP="001234E3">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E0BE3DA" w14:textId="77777777" w:rsidR="00777DCB" w:rsidRPr="00A52585" w:rsidRDefault="00777DCB" w:rsidP="0002035C">
      <w:pPr>
        <w:jc w:val="center"/>
        <w:rPr>
          <w:rFonts w:cs="Monotype Koufi"/>
          <w:b/>
          <w:sz w:val="72"/>
          <w:szCs w:val="72"/>
        </w:rPr>
      </w:pPr>
    </w:p>
    <w:p w14:paraId="0FC7200B" w14:textId="77777777" w:rsidR="006C5420" w:rsidRPr="00A52585" w:rsidRDefault="006C5420" w:rsidP="006C5420">
      <w:pPr>
        <w:jc w:val="center"/>
        <w:rPr>
          <w:rFonts w:cs="Monotype Koufi"/>
          <w:b/>
          <w:rtl/>
        </w:rPr>
      </w:pPr>
    </w:p>
    <w:p w14:paraId="65250F46" w14:textId="77777777" w:rsidR="006C5420" w:rsidRPr="00A52585" w:rsidRDefault="006C5420" w:rsidP="006C5420">
      <w:pPr>
        <w:jc w:val="center"/>
        <w:rPr>
          <w:rFonts w:cs="Monotype Koufi"/>
          <w:b/>
          <w:rtl/>
        </w:rPr>
      </w:pPr>
    </w:p>
    <w:p w14:paraId="59C7E2FE" w14:textId="77777777" w:rsidR="006C5420" w:rsidRPr="00A52585" w:rsidRDefault="006C5420" w:rsidP="006C5420">
      <w:pPr>
        <w:jc w:val="center"/>
        <w:rPr>
          <w:rFonts w:cs="Monotype Koufi"/>
          <w:b/>
          <w:rtl/>
        </w:rPr>
      </w:pPr>
    </w:p>
    <w:p w14:paraId="3084D474" w14:textId="77777777" w:rsidR="001234E3" w:rsidRPr="00A52585" w:rsidRDefault="001234E3" w:rsidP="006C5420">
      <w:pPr>
        <w:jc w:val="center"/>
        <w:rPr>
          <w:rFonts w:cs="Monotype Koufi"/>
          <w:b/>
          <w:rtl/>
        </w:rPr>
      </w:pPr>
    </w:p>
    <w:p w14:paraId="3D46CDF8" w14:textId="77777777" w:rsidR="006C5420" w:rsidRPr="00A52585" w:rsidRDefault="006C5420" w:rsidP="006C5420">
      <w:pPr>
        <w:jc w:val="center"/>
        <w:rPr>
          <w:rFonts w:cs="Monotype Koufi"/>
          <w:b/>
          <w:rtl/>
        </w:rPr>
      </w:pPr>
    </w:p>
    <w:p w14:paraId="605879DC" w14:textId="77777777" w:rsidR="006C5420" w:rsidRPr="00A52585" w:rsidRDefault="006C5420" w:rsidP="006C5420">
      <w:pPr>
        <w:jc w:val="center"/>
        <w:rPr>
          <w:rFonts w:cs="Monotype Koufi"/>
          <w:b/>
          <w:rtl/>
        </w:rPr>
      </w:pPr>
    </w:p>
    <w:p w14:paraId="3D47D3CD"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7952203"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A52585">
        <w:rPr>
          <w:rFonts w:cs="Monotype Koufi" w:hint="cs"/>
          <w:rtl/>
        </w:rPr>
        <w:t>بسم الله الرحمن الرحيم</w:t>
      </w:r>
    </w:p>
    <w:p w14:paraId="7F468BF3"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A52585">
        <w:rPr>
          <w:rFonts w:cs="Monotype Koufi" w:hint="cs"/>
          <w:rtl/>
        </w:rPr>
        <w:t>تنبيه: لا توجد أي حقوق نشر</w:t>
      </w:r>
    </w:p>
    <w:p w14:paraId="5073F8B0" w14:textId="47B8669B"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A52585">
        <w:rPr>
          <w:rFonts w:cs="Monotype Koufi" w:hint="cs"/>
          <w:rtl/>
        </w:rPr>
        <w:t>وجميع كتبي متاحة لجميع المسلمين</w:t>
      </w:r>
    </w:p>
    <w:p w14:paraId="0C186B41"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A52585">
        <w:rPr>
          <w:rFonts w:cs="Monotype Koufi" w:hint="cs"/>
          <w:rtl/>
        </w:rPr>
        <w:t>ولا مانع من أخذ موضوعات أو مباحث أو أبواب من أي منها</w:t>
      </w:r>
    </w:p>
    <w:p w14:paraId="1FD764FF"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A52585">
        <w:rPr>
          <w:rFonts w:cs="Monotype Koufi" w:hint="cs"/>
          <w:rtl/>
        </w:rPr>
        <w:t>لخدمة العلم وطالبي العلم</w:t>
      </w:r>
    </w:p>
    <w:p w14:paraId="254A4FF3" w14:textId="77777777" w:rsidR="006C5420" w:rsidRPr="00A52585" w:rsidRDefault="006C5420" w:rsidP="006C542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EE9D16E" w14:textId="77777777" w:rsidR="006C5420" w:rsidRPr="00A52585" w:rsidRDefault="006C5420" w:rsidP="006C5420">
      <w:pPr>
        <w:jc w:val="center"/>
        <w:rPr>
          <w:rFonts w:cs="Monotype Koufi"/>
          <w:b/>
        </w:rPr>
      </w:pPr>
    </w:p>
    <w:p w14:paraId="5B142C9F" w14:textId="77777777" w:rsidR="006C5420" w:rsidRPr="00A52585" w:rsidRDefault="006C5420" w:rsidP="006C5420">
      <w:pPr>
        <w:jc w:val="center"/>
        <w:rPr>
          <w:rFonts w:cs="Monotype Koufi"/>
          <w:b/>
          <w:rtl/>
        </w:rPr>
      </w:pPr>
    </w:p>
    <w:p w14:paraId="3000AA6D" w14:textId="77777777" w:rsidR="006C5420" w:rsidRPr="00A52585" w:rsidRDefault="006C5420" w:rsidP="006C5420">
      <w:pPr>
        <w:jc w:val="center"/>
        <w:rPr>
          <w:rFonts w:cs="Monotype Koufi"/>
          <w:b/>
          <w:rtl/>
        </w:rPr>
      </w:pPr>
    </w:p>
    <w:p w14:paraId="2496E932" w14:textId="77777777" w:rsidR="006C5420" w:rsidRPr="00A52585" w:rsidRDefault="006C5420" w:rsidP="006C5420">
      <w:pPr>
        <w:jc w:val="center"/>
        <w:rPr>
          <w:rFonts w:cs="Monotype Koufi"/>
          <w:b/>
          <w:rtl/>
        </w:rPr>
      </w:pPr>
    </w:p>
    <w:p w14:paraId="4C7CF596" w14:textId="77777777" w:rsidR="006C5420" w:rsidRPr="00A52585" w:rsidRDefault="006C5420" w:rsidP="006C5420">
      <w:pPr>
        <w:jc w:val="center"/>
        <w:rPr>
          <w:rFonts w:cs="Monotype Koufi"/>
          <w:b/>
          <w:rtl/>
        </w:rPr>
      </w:pPr>
    </w:p>
    <w:p w14:paraId="70E64DD6" w14:textId="77777777" w:rsidR="006C5420" w:rsidRPr="00A52585" w:rsidRDefault="006C5420" w:rsidP="006C5420">
      <w:pPr>
        <w:jc w:val="center"/>
        <w:rPr>
          <w:rFonts w:cs="Monotype Koufi"/>
          <w:sz w:val="32"/>
          <w:szCs w:val="32"/>
          <w:rtl/>
        </w:rPr>
      </w:pPr>
    </w:p>
    <w:p w14:paraId="15239CBD" w14:textId="08451484" w:rsidR="00777DCB" w:rsidRPr="00A52585" w:rsidRDefault="00777DCB" w:rsidP="00185A91">
      <w:pPr>
        <w:pStyle w:val="1"/>
        <w:rPr>
          <w:u w:val="none"/>
          <w:rtl/>
        </w:rPr>
      </w:pPr>
      <w:r w:rsidRPr="00A52585">
        <w:rPr>
          <w:rFonts w:hint="cs"/>
          <w:u w:val="none"/>
          <w:rtl/>
        </w:rPr>
        <w:lastRenderedPageBreak/>
        <w:t>المقدمة</w:t>
      </w:r>
    </w:p>
    <w:p w14:paraId="5D30B503" w14:textId="0ED40A28" w:rsidR="001234E3" w:rsidRPr="00A52585" w:rsidRDefault="001234E3" w:rsidP="0002035C">
      <w:pPr>
        <w:jc w:val="center"/>
        <w:rPr>
          <w:rFonts w:cs="Monotype Koufi"/>
          <w:b/>
          <w:sz w:val="32"/>
          <w:szCs w:val="32"/>
          <w:rtl/>
        </w:rPr>
      </w:pPr>
      <w:r w:rsidRPr="00A52585">
        <w:rPr>
          <w:rFonts w:cs="Monotype Koufi" w:hint="cs"/>
          <w:sz w:val="32"/>
          <w:szCs w:val="32"/>
          <w:rtl/>
        </w:rPr>
        <w:t>بسم الله الرحمن الرحيم</w:t>
      </w:r>
    </w:p>
    <w:p w14:paraId="1240ADDE" w14:textId="383009E6" w:rsidR="00777DCB" w:rsidRPr="00A52585" w:rsidRDefault="00777DCB" w:rsidP="0002035C">
      <w:pPr>
        <w:rPr>
          <w:b/>
          <w:bCs/>
          <w:rtl/>
        </w:rPr>
      </w:pPr>
      <w:r w:rsidRPr="00A52585">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DB731D" w:rsidRPr="00A52585">
        <w:rPr>
          <w:rFonts w:hint="cs"/>
          <w:rtl/>
        </w:rPr>
        <w:t>،</w:t>
      </w:r>
      <w:r w:rsidRPr="00A52585">
        <w:rPr>
          <w:rFonts w:hint="cs"/>
          <w:rtl/>
        </w:rPr>
        <w:t xml:space="preserve"> {يَا أَيُّهَا الَّذِينَ آمَنُوا اتَّقُوا اللَّهَ حَقَّ تُقَاتِهِ وَلَا تَمُوتُنَّ إِلَّا وَأَنْتُمْ مُسْلِمُونَ</w:t>
      </w:r>
      <w:r w:rsidR="0002035C" w:rsidRPr="00A52585">
        <w:rPr>
          <w:rFonts w:hint="cs"/>
          <w:rtl/>
          <w:lang w:bidi="ar-KW"/>
        </w:rPr>
        <w:t>} [</w:t>
      </w:r>
      <w:r w:rsidRPr="00A52585">
        <w:rPr>
          <w:rFonts w:hint="cs"/>
          <w:rtl/>
        </w:rPr>
        <w:t>آل عمران: 102]</w:t>
      </w:r>
      <w:r w:rsidR="00DB731D" w:rsidRPr="00A52585">
        <w:rPr>
          <w:rFonts w:hint="cs"/>
          <w:rtl/>
        </w:rPr>
        <w:t>،</w:t>
      </w:r>
      <w:r w:rsidRPr="00A52585">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02035C" w:rsidRPr="00A52585">
        <w:rPr>
          <w:rFonts w:hint="cs"/>
          <w:rtl/>
        </w:rPr>
        <w:t>} [</w:t>
      </w:r>
      <w:r w:rsidRPr="00A52585">
        <w:rPr>
          <w:rFonts w:hint="cs"/>
          <w:rtl/>
        </w:rPr>
        <w:t>النساء: 1</w:t>
      </w:r>
      <w:r w:rsidR="0002035C" w:rsidRPr="00A52585">
        <w:rPr>
          <w:rFonts w:hint="cs"/>
          <w:rtl/>
        </w:rPr>
        <w:t>]</w:t>
      </w:r>
      <w:r w:rsidR="00DB731D" w:rsidRPr="00A52585">
        <w:rPr>
          <w:rFonts w:hint="cs"/>
          <w:rtl/>
        </w:rPr>
        <w:t>،</w:t>
      </w:r>
      <w:r w:rsidRPr="00A52585">
        <w:rPr>
          <w:rFonts w:hint="cs"/>
          <w:rtl/>
        </w:rPr>
        <w:t>{يَا أَيُّهَا الَّذِينَ آمَنُوا اتَّقُوا اللَّهَ وَقُولُوا قَوْلًا سَدِيدًا * يُصْلِحْ لَكُمْ أَعْمَالَكُمْ وَيَغْفِرْ لَكُمْ ذُنُوبَكُمْ وَمَنْ يُطِعِ اللَّهَ وَرَسُولَهُ فَقَدْ فَازَ فَوْزًا عَظِيمًا</w:t>
      </w:r>
      <w:r w:rsidR="0002035C" w:rsidRPr="00A52585">
        <w:rPr>
          <w:rFonts w:hint="cs"/>
          <w:rtl/>
        </w:rPr>
        <w:t>} [</w:t>
      </w:r>
      <w:r w:rsidRPr="00A52585">
        <w:rPr>
          <w:rFonts w:hint="cs"/>
          <w:rtl/>
        </w:rPr>
        <w:t>الأحزاب:70</w:t>
      </w:r>
      <w:r w:rsidR="00DB731D" w:rsidRPr="00A52585">
        <w:rPr>
          <w:rFonts w:hint="cs"/>
          <w:rtl/>
        </w:rPr>
        <w:t>،</w:t>
      </w:r>
      <w:r w:rsidRPr="00A52585">
        <w:rPr>
          <w:rFonts w:hint="cs"/>
          <w:rtl/>
        </w:rPr>
        <w:t xml:space="preserve"> 71</w:t>
      </w:r>
      <w:r w:rsidR="0002035C" w:rsidRPr="00A52585">
        <w:rPr>
          <w:rFonts w:hint="cs"/>
          <w:rtl/>
        </w:rPr>
        <w:t>]</w:t>
      </w:r>
      <w:r w:rsidR="00DB731D" w:rsidRPr="00A52585">
        <w:rPr>
          <w:rFonts w:hint="cs"/>
          <w:rtl/>
        </w:rPr>
        <w:t>،</w:t>
      </w:r>
      <w:r w:rsidRPr="00A52585">
        <w:rPr>
          <w:rFonts w:hint="cs"/>
          <w:rtl/>
        </w:rPr>
        <w:t xml:space="preserve"> أما بعد</w:t>
      </w:r>
      <w:r w:rsidR="0002035C" w:rsidRPr="00A52585">
        <w:rPr>
          <w:rFonts w:hint="cs"/>
          <w:rtl/>
        </w:rPr>
        <w:t>:</w:t>
      </w:r>
      <w:r w:rsidRPr="00A52585">
        <w:rPr>
          <w:rFonts w:hint="cs"/>
          <w:rtl/>
        </w:rPr>
        <w:t xml:space="preserve"> فإن أصدق الحديث كتاب الله</w:t>
      </w:r>
      <w:r w:rsidR="00DB731D" w:rsidRPr="00A52585">
        <w:rPr>
          <w:rFonts w:hint="cs"/>
          <w:rtl/>
        </w:rPr>
        <w:t>،</w:t>
      </w:r>
      <w:r w:rsidRPr="00A52585">
        <w:rPr>
          <w:rFonts w:hint="cs"/>
          <w:rtl/>
        </w:rPr>
        <w:t xml:space="preserve"> وأحسن الهدي هدي محمد</w:t>
      </w:r>
      <w:r w:rsidR="0002035C" w:rsidRPr="00A52585">
        <w:rPr>
          <w:rFonts w:hint="cs"/>
          <w:rtl/>
        </w:rPr>
        <w:t xml:space="preserve"> </w:t>
      </w:r>
      <w:r w:rsidRPr="00A52585">
        <w:rPr>
          <w:rFonts w:hint="cs"/>
          <w:rtl/>
        </w:rPr>
        <w:t>صلى الله عليه وسلم وشرّ الأمور محدثاتها</w:t>
      </w:r>
      <w:r w:rsidR="00DB731D" w:rsidRPr="00A52585">
        <w:rPr>
          <w:rFonts w:hint="cs"/>
          <w:rtl/>
        </w:rPr>
        <w:t>،</w:t>
      </w:r>
      <w:r w:rsidRPr="00A52585">
        <w:rPr>
          <w:rFonts w:hint="cs"/>
          <w:rtl/>
        </w:rPr>
        <w:t xml:space="preserve"> وكل محدثة بدعة</w:t>
      </w:r>
      <w:r w:rsidR="00DB731D" w:rsidRPr="00A52585">
        <w:rPr>
          <w:rFonts w:hint="cs"/>
          <w:rtl/>
        </w:rPr>
        <w:t>،</w:t>
      </w:r>
      <w:r w:rsidRPr="00A52585">
        <w:rPr>
          <w:rFonts w:hint="cs"/>
          <w:rtl/>
        </w:rPr>
        <w:t xml:space="preserve"> وكل بدعة ضلالة</w:t>
      </w:r>
      <w:r w:rsidR="00DB731D" w:rsidRPr="00A52585">
        <w:rPr>
          <w:rFonts w:hint="cs"/>
          <w:rtl/>
        </w:rPr>
        <w:t>،</w:t>
      </w:r>
      <w:r w:rsidRPr="00A52585">
        <w:rPr>
          <w:rFonts w:hint="cs"/>
          <w:rtl/>
        </w:rPr>
        <w:t xml:space="preserve"> وكل ضلالة في النار</w:t>
      </w:r>
      <w:r w:rsidR="00DB731D" w:rsidRPr="00A52585">
        <w:rPr>
          <w:rFonts w:hint="cs"/>
          <w:vertAlign w:val="superscript"/>
          <w:rtl/>
        </w:rPr>
        <w:t>،</w:t>
      </w:r>
      <w:r w:rsidRPr="00A52585">
        <w:rPr>
          <w:rFonts w:hint="cs"/>
          <w:rtl/>
        </w:rPr>
        <w:t xml:space="preserve"> </w:t>
      </w:r>
      <w:r w:rsidRPr="00A52585">
        <w:rPr>
          <w:rtl/>
        </w:rPr>
        <w:t>ثم أما بعد</w:t>
      </w:r>
      <w:r w:rsidR="0002035C" w:rsidRPr="00A52585">
        <w:rPr>
          <w:rtl/>
        </w:rPr>
        <w:t>:</w:t>
      </w:r>
      <w:r w:rsidRPr="00A52585">
        <w:rPr>
          <w:rtl/>
        </w:rPr>
        <w:t xml:space="preserve"> فإنّ هذا الكتاب عن تنزيه الله تعالى عن الشبيه والكفء والمثيل</w:t>
      </w:r>
      <w:r w:rsidR="00DB731D" w:rsidRPr="00A52585">
        <w:rPr>
          <w:rtl/>
        </w:rPr>
        <w:t>،</w:t>
      </w:r>
      <w:r w:rsidRPr="00A52585">
        <w:rPr>
          <w:rtl/>
        </w:rPr>
        <w:t xml:space="preserve"> وهو الكتاب </w:t>
      </w:r>
      <w:r w:rsidRPr="00A52585">
        <w:rPr>
          <w:rFonts w:hint="cs"/>
          <w:rtl/>
        </w:rPr>
        <w:t>التاسع</w:t>
      </w:r>
      <w:r w:rsidRPr="00A52585">
        <w:rPr>
          <w:rtl/>
        </w:rPr>
        <w:t xml:space="preserve"> ضمن سلسلة التقديس والتنزيه</w:t>
      </w:r>
      <w:r w:rsidR="00DB731D" w:rsidRPr="00A52585">
        <w:rPr>
          <w:rtl/>
        </w:rPr>
        <w:t>،</w:t>
      </w:r>
      <w:r w:rsidRPr="00A52585">
        <w:rPr>
          <w:rtl/>
        </w:rPr>
        <w:t xml:space="preserve"> وهي سلسلة في علم الأصول على مذهب أهل السنة تهدف إلى إظهار مذهب أهل السنة في الأصول</w:t>
      </w:r>
      <w:r w:rsidR="00DB731D" w:rsidRPr="00A52585">
        <w:rPr>
          <w:rtl/>
        </w:rPr>
        <w:t>،</w:t>
      </w:r>
      <w:r w:rsidRPr="00A52585">
        <w:rPr>
          <w:rtl/>
        </w:rPr>
        <w:t xml:space="preserve"> كما تهدف إلى تنشئة جيل من علماء الأصول الذين هم حماة العقيدة أمام الفرق الضالة كالجهمية والمعتزلة والمجسمة المشبهة </w:t>
      </w:r>
      <w:proofErr w:type="spellStart"/>
      <w:r w:rsidRPr="00A52585">
        <w:rPr>
          <w:rtl/>
        </w:rPr>
        <w:t>والحشوية</w:t>
      </w:r>
      <w:proofErr w:type="spellEnd"/>
      <w:r w:rsidR="00DB731D" w:rsidRPr="00A52585">
        <w:rPr>
          <w:rtl/>
        </w:rPr>
        <w:t>،</w:t>
      </w:r>
      <w:r w:rsidRPr="00A52585">
        <w:rPr>
          <w:rtl/>
        </w:rPr>
        <w:t xml:space="preserve"> كما تهدف هذه السلسلة إلى التصدي لأولئك </w:t>
      </w:r>
      <w:proofErr w:type="spellStart"/>
      <w:r w:rsidRPr="00A52585">
        <w:rPr>
          <w:rtl/>
        </w:rPr>
        <w:t>الحشوية</w:t>
      </w:r>
      <w:proofErr w:type="spellEnd"/>
      <w:r w:rsidRPr="00A52585">
        <w:rPr>
          <w:rtl/>
        </w:rPr>
        <w:t xml:space="preserve"> </w:t>
      </w:r>
      <w:proofErr w:type="spellStart"/>
      <w:r w:rsidRPr="00A52585">
        <w:rPr>
          <w:rtl/>
        </w:rPr>
        <w:t>المتسلفة</w:t>
      </w:r>
      <w:proofErr w:type="spellEnd"/>
      <w:r w:rsidRPr="00A52585">
        <w:rPr>
          <w:rtl/>
        </w:rPr>
        <w:t xml:space="preserve"> الذين ينسبون إلى السلف الصالح أهل الفقه والتنزيه مذهب الحشو ويبدعون لأجل ذلك ويضللون أهل الأصول من الخلف العدول </w:t>
      </w:r>
      <w:r w:rsidR="0002035C" w:rsidRPr="00A52585">
        <w:rPr>
          <w:rtl/>
        </w:rPr>
        <w:t>(</w:t>
      </w:r>
      <w:r w:rsidRPr="00A52585">
        <w:rPr>
          <w:rtl/>
        </w:rPr>
        <w:t>علماء أهل السنة بحق</w:t>
      </w:r>
      <w:r w:rsidR="0002035C" w:rsidRPr="00A52585">
        <w:rPr>
          <w:rtl/>
        </w:rPr>
        <w:t>)</w:t>
      </w:r>
      <w:r w:rsidR="00DB731D" w:rsidRPr="00A52585">
        <w:rPr>
          <w:rtl/>
        </w:rPr>
        <w:t>،</w:t>
      </w:r>
      <w:r w:rsidRPr="00A52585">
        <w:rPr>
          <w:rtl/>
        </w:rPr>
        <w:t xml:space="preserve"> وما كان عملي في هذه السلسلة إلاّ الجمع والترتيب لأحسن ما أتت به عقول العلماء والفقهاء المقتدى بهم في الدين والمتخصصون في العقيدة</w:t>
      </w:r>
      <w:r w:rsidR="00DB731D" w:rsidRPr="00A52585">
        <w:rPr>
          <w:rtl/>
        </w:rPr>
        <w:t>،</w:t>
      </w:r>
      <w:r w:rsidR="0002035C" w:rsidRPr="00A52585">
        <w:rPr>
          <w:rtl/>
        </w:rPr>
        <w:t xml:space="preserve"> </w:t>
      </w:r>
      <w:r w:rsidRPr="00A52585">
        <w:rPr>
          <w:rtl/>
        </w:rPr>
        <w:t>فما</w:t>
      </w:r>
      <w:r w:rsidR="0002035C" w:rsidRPr="00A52585">
        <w:rPr>
          <w:rtl/>
        </w:rPr>
        <w:t xml:space="preserve"> </w:t>
      </w:r>
      <w:r w:rsidRPr="00A52585">
        <w:rPr>
          <w:rtl/>
        </w:rPr>
        <w:t>كان فيها من صواب فهو من الله وبفضل الله وله الحمد والمنّة</w:t>
      </w:r>
      <w:r w:rsidR="00DB731D" w:rsidRPr="00A52585">
        <w:rPr>
          <w:rtl/>
        </w:rPr>
        <w:t>،</w:t>
      </w:r>
      <w:r w:rsidRPr="00A52585">
        <w:rPr>
          <w:rtl/>
        </w:rPr>
        <w:t xml:space="preserve"> وما كان فيها من خطأ فهو مني ومن الشيطان وأستغفر الله منه</w:t>
      </w:r>
      <w:r w:rsidR="00DB731D" w:rsidRPr="00A52585">
        <w:rPr>
          <w:rtl/>
        </w:rPr>
        <w:t>،</w:t>
      </w:r>
      <w:r w:rsidRPr="00A52585">
        <w:rPr>
          <w:rtl/>
        </w:rPr>
        <w:t xml:space="preserve"> وأسأل الله عز وجل أن يجعلها خالصة لوجهه الكريم وأن ينفع بها إخواني من طلاب العلم</w:t>
      </w:r>
      <w:r w:rsidR="00DB731D" w:rsidRPr="00A52585">
        <w:rPr>
          <w:rtl/>
        </w:rPr>
        <w:t>،</w:t>
      </w:r>
    </w:p>
    <w:p w14:paraId="565AE1C2" w14:textId="45684B00" w:rsidR="00777DCB" w:rsidRPr="00A52585" w:rsidRDefault="00777DCB" w:rsidP="0002035C">
      <w:pPr>
        <w:rPr>
          <w:b/>
          <w:bCs/>
          <w:rtl/>
        </w:rPr>
      </w:pPr>
      <w:r w:rsidRPr="00A52585">
        <w:rPr>
          <w:rFonts w:cs="Monotype Koufi" w:hint="cs"/>
          <w:rtl/>
        </w:rPr>
        <w:lastRenderedPageBreak/>
        <w:t>بين يدي الرسالة</w:t>
      </w:r>
      <w:r w:rsidR="0002035C" w:rsidRPr="00A52585">
        <w:rPr>
          <w:rFonts w:cs="Monotype Koufi" w:hint="cs"/>
          <w:rtl/>
        </w:rPr>
        <w:t xml:space="preserve">: </w:t>
      </w:r>
      <w:r w:rsidRPr="00A52585">
        <w:rPr>
          <w:rFonts w:hint="cs"/>
          <w:rtl/>
        </w:rPr>
        <w:t xml:space="preserve">هذه الرسالة تتناول </w:t>
      </w:r>
      <w:r w:rsidRPr="00A52585">
        <w:rPr>
          <w:rtl/>
        </w:rPr>
        <w:t>تقديس الله تعالى عن مشابهة المخلوقات ليس كمثله شيء ولم يكن له كفوا</w:t>
      </w:r>
      <w:r w:rsidR="0002035C" w:rsidRPr="00A52585">
        <w:rPr>
          <w:rtl/>
        </w:rPr>
        <w:t xml:space="preserve"> </w:t>
      </w:r>
      <w:r w:rsidRPr="00A52585">
        <w:rPr>
          <w:rtl/>
        </w:rPr>
        <w:t>أحد</w:t>
      </w:r>
      <w:r w:rsidR="00DB731D" w:rsidRPr="00A52585">
        <w:rPr>
          <w:rFonts w:hint="cs"/>
          <w:rtl/>
        </w:rPr>
        <w:t>،</w:t>
      </w:r>
      <w:r w:rsidRPr="00A52585">
        <w:rPr>
          <w:rFonts w:hint="cs"/>
          <w:rtl/>
        </w:rPr>
        <w:t xml:space="preserve"> فالله عز وجل لا يشبهه شيء من المخلوقات</w:t>
      </w:r>
      <w:r w:rsidR="00DB731D" w:rsidRPr="00A52585">
        <w:rPr>
          <w:rFonts w:hint="cs"/>
          <w:rtl/>
        </w:rPr>
        <w:t>،</w:t>
      </w:r>
      <w:r w:rsidRPr="00A52585">
        <w:rPr>
          <w:rFonts w:hint="cs"/>
          <w:rtl/>
        </w:rPr>
        <w:t xml:space="preserve"> ولا هو يشبه شيئاً منها</w:t>
      </w:r>
      <w:r w:rsidR="00DB731D" w:rsidRPr="00A52585">
        <w:rPr>
          <w:rFonts w:hint="cs"/>
          <w:rtl/>
        </w:rPr>
        <w:t>،</w:t>
      </w:r>
      <w:r w:rsidRPr="00A52585">
        <w:rPr>
          <w:rFonts w:hint="cs"/>
          <w:rtl/>
        </w:rPr>
        <w:t xml:space="preserve"> لأنه لو أشبهه شيء لكان مثله قديماً</w:t>
      </w:r>
      <w:r w:rsidR="00DB731D" w:rsidRPr="00A52585">
        <w:rPr>
          <w:rFonts w:hint="cs"/>
          <w:rtl/>
        </w:rPr>
        <w:t>،</w:t>
      </w:r>
      <w:r w:rsidRPr="00A52585">
        <w:rPr>
          <w:rFonts w:hint="cs"/>
          <w:rtl/>
        </w:rPr>
        <w:t xml:space="preserve"> ولو أشبه شيئاً لكان مثله مخلوقاً</w:t>
      </w:r>
      <w:r w:rsidR="00DB731D" w:rsidRPr="00A52585">
        <w:rPr>
          <w:rFonts w:hint="cs"/>
          <w:rtl/>
        </w:rPr>
        <w:t>،</w:t>
      </w:r>
      <w:r w:rsidRPr="00A52585">
        <w:rPr>
          <w:rFonts w:hint="cs"/>
          <w:rtl/>
        </w:rPr>
        <w:t xml:space="preserve"> وكلا الحالين على الله محال</w:t>
      </w:r>
      <w:r w:rsidR="00DB731D" w:rsidRPr="00A52585">
        <w:rPr>
          <w:rFonts w:hint="cs"/>
          <w:rtl/>
        </w:rPr>
        <w:t>،</w:t>
      </w:r>
      <w:r w:rsidRPr="00A52585">
        <w:rPr>
          <w:rFonts w:hint="cs"/>
          <w:rtl/>
        </w:rPr>
        <w:t xml:space="preserve"> كما أن ذات المخلق تتصف بالنقص والعجز لأنها مخلوقة من عدم محدثة لم تكن ثم كانت</w:t>
      </w:r>
      <w:r w:rsidR="00DB731D" w:rsidRPr="00A52585">
        <w:rPr>
          <w:rFonts w:hint="cs"/>
          <w:rtl/>
        </w:rPr>
        <w:t>،</w:t>
      </w:r>
      <w:r w:rsidRPr="00A52585">
        <w:rPr>
          <w:rFonts w:hint="cs"/>
          <w:rtl/>
        </w:rPr>
        <w:t xml:space="preserve"> وهي إلى الفناء سائرة كما 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مَنْ عَلَيْهَا فَانٍ * وَيَبْقَى وَجْهُ رَبِّكَ ذُو الْجَلَالِ وَالْإِكْرَامِ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w:t>
      </w:r>
      <w:r w:rsidR="0002035C" w:rsidRPr="00A52585">
        <w:rPr>
          <w:rFonts w:hint="cs"/>
          <w:rtl/>
        </w:rPr>
        <w:t>:</w:t>
      </w:r>
      <w:r w:rsidRPr="00A52585">
        <w:rPr>
          <w:rFonts w:hint="cs"/>
          <w:rtl/>
        </w:rPr>
        <w:t xml:space="preserve"> 26</w:t>
      </w:r>
      <w:r w:rsidR="00DB731D" w:rsidRPr="00A52585">
        <w:rPr>
          <w:rFonts w:hint="cs"/>
          <w:rtl/>
        </w:rPr>
        <w:t>،</w:t>
      </w:r>
      <w:r w:rsidRPr="00A52585">
        <w:rPr>
          <w:rFonts w:hint="cs"/>
          <w:rtl/>
        </w:rPr>
        <w:t xml:space="preserve"> 27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شَيْءٍ هَالِكٌ إِلَّا وَجْهَهُ لَهُ الْحُكْمُ وَإِلَيْهِ تُرْجَعُونَ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القصص</w:t>
      </w:r>
      <w:r w:rsidR="0002035C" w:rsidRPr="00A52585">
        <w:rPr>
          <w:rFonts w:hint="cs"/>
          <w:rtl/>
        </w:rPr>
        <w:t>:</w:t>
      </w:r>
      <w:r w:rsidRPr="00A52585">
        <w:rPr>
          <w:rFonts w:hint="cs"/>
          <w:rtl/>
        </w:rPr>
        <w:t xml:space="preserve"> 88</w:t>
      </w:r>
      <w:r w:rsidR="0002035C" w:rsidRPr="00A52585">
        <w:rPr>
          <w:rFonts w:hint="cs"/>
          <w:rtl/>
        </w:rPr>
        <w:t>]</w:t>
      </w:r>
      <w:r w:rsidR="00DB731D" w:rsidRPr="00A52585">
        <w:rPr>
          <w:rFonts w:hint="cs"/>
          <w:rtl/>
        </w:rPr>
        <w:t>،</w:t>
      </w:r>
      <w:r w:rsidRPr="00A52585">
        <w:rPr>
          <w:rFonts w:hint="cs"/>
          <w:rtl/>
        </w:rPr>
        <w:t xml:space="preserve"> فلا يصح مشابهة الفاني للباقي</w:t>
      </w:r>
      <w:r w:rsidR="00DB731D" w:rsidRPr="00A52585">
        <w:rPr>
          <w:rFonts w:hint="cs"/>
          <w:rtl/>
        </w:rPr>
        <w:t>،</w:t>
      </w:r>
      <w:r w:rsidRPr="00A52585">
        <w:rPr>
          <w:rFonts w:hint="cs"/>
          <w:rtl/>
        </w:rPr>
        <w:t xml:space="preserve"> ولا المخلوق للخالق الباري</w:t>
      </w:r>
      <w:r w:rsidR="00DB731D" w:rsidRPr="00A52585">
        <w:rPr>
          <w:rFonts w:hint="cs"/>
          <w:rtl/>
        </w:rPr>
        <w:t>،</w:t>
      </w:r>
      <w:r w:rsidRPr="00A52585">
        <w:rPr>
          <w:rFonts w:hint="cs"/>
          <w:rtl/>
        </w:rPr>
        <w:t xml:space="preserve"> من الأدلة القرآنية على تنزيه الله تعالى عن المثيل والكفء والشبيه والسمي</w:t>
      </w:r>
      <w:r w:rsidR="0002035C"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 [</w:t>
      </w:r>
      <w:r w:rsidRPr="00A52585">
        <w:rPr>
          <w:rFonts w:hint="cs"/>
          <w:rtl/>
        </w:rPr>
        <w:t>سورة الشورى</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في هذه الآية نفي المشابهة والمماثلة بين الله تعالى وخلقه ومعناه أن الله تعالى لا يشبه شيئًا من خلقه بوجه من الوجوه</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وللهِ المثَلُ الأعلى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سورة النحل</w:t>
      </w:r>
      <w:r w:rsidR="0002035C" w:rsidRPr="00A52585">
        <w:rPr>
          <w:rFonts w:hint="cs"/>
          <w:rtl/>
        </w:rPr>
        <w:t>:</w:t>
      </w:r>
      <w:r w:rsidRPr="00A52585">
        <w:rPr>
          <w:rFonts w:hint="cs"/>
          <w:rtl/>
        </w:rPr>
        <w:t xml:space="preserve"> 60</w:t>
      </w:r>
      <w:r w:rsidR="0002035C" w:rsidRPr="00A52585">
        <w:rPr>
          <w:rFonts w:hint="cs"/>
          <w:rtl/>
        </w:rPr>
        <w:t>]</w:t>
      </w:r>
      <w:r w:rsidRPr="00A52585">
        <w:rPr>
          <w:rFonts w:hint="cs"/>
          <w:rtl/>
        </w:rPr>
        <w:t xml:space="preserve"> أي الوصف الذي لا يشبه وصف غيره، فلا يوصف ربنا عزَّ وجلَّ بصفات المخلوقين</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فلا تضربوا للهِ الأمثال</w:t>
      </w:r>
      <w:r w:rsidR="0002035C" w:rsidRPr="00A52585">
        <w:rPr>
          <w:rFonts w:hint="cs"/>
          <w:rtl/>
        </w:rPr>
        <w:t>}</w:t>
      </w:r>
      <w:r w:rsidRPr="00A52585">
        <w:rPr>
          <w:rFonts w:hint="cs"/>
          <w:rtl/>
        </w:rPr>
        <w:t xml:space="preserve"> [سورة النحل</w:t>
      </w:r>
      <w:r w:rsidR="0002035C" w:rsidRPr="00A52585">
        <w:rPr>
          <w:rFonts w:hint="cs"/>
          <w:rtl/>
        </w:rPr>
        <w:t>:</w:t>
      </w:r>
      <w:r w:rsidRPr="00A52585">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{هل تعلمُ لهُ سميًّا) [سورة مريم</w:t>
      </w:r>
      <w:r w:rsidR="0002035C" w:rsidRPr="00A52585">
        <w:rPr>
          <w:rFonts w:hint="cs"/>
          <w:rtl/>
        </w:rPr>
        <w:t>:</w:t>
      </w:r>
      <w:r w:rsidRPr="00A52585">
        <w:rPr>
          <w:rFonts w:hint="cs"/>
          <w:rtl/>
        </w:rPr>
        <w:t xml:space="preserve"> 65] أي مِثلاً، فالله تعالى لا مِثْلَ له ولا شبيه ولا نظير، فذاتُه سبحانه لا يشبه الذواتِ ولا صفاتُه تشبه الصفاتِ</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وَلَمْ يَكُن لَّهُ كُفُوًا أَحَدٌ</w:t>
      </w:r>
      <w:r w:rsidR="0002035C" w:rsidRPr="00A52585">
        <w:rPr>
          <w:rFonts w:hint="cs"/>
          <w:rtl/>
        </w:rPr>
        <w:t>}</w:t>
      </w:r>
      <w:r w:rsidRPr="00A52585">
        <w:rPr>
          <w:rFonts w:hint="cs"/>
          <w:rtl/>
        </w:rPr>
        <w:t xml:space="preserve"> [سورة الإخلاص</w:t>
      </w:r>
      <w:r w:rsidR="0002035C" w:rsidRPr="00A52585">
        <w:rPr>
          <w:rFonts w:hint="cs"/>
          <w:rtl/>
        </w:rPr>
        <w:t>:</w:t>
      </w:r>
      <w:r w:rsidRPr="00A52585">
        <w:rPr>
          <w:rFonts w:hint="cs"/>
          <w:rtl/>
        </w:rPr>
        <w:t xml:space="preserve"> 4] أي لا نظير له بوجه من الوجوه، ولا كفء له ولا شبيه</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سُبْحَانَهُ وَتَعَالَى عَمَّا يَصِفُونَ</w:t>
      </w:r>
      <w:r w:rsidR="0002035C" w:rsidRPr="00A52585">
        <w:rPr>
          <w:rFonts w:hint="cs"/>
          <w:rtl/>
        </w:rPr>
        <w:t>}</w:t>
      </w:r>
      <w:r w:rsidRPr="00A52585">
        <w:rPr>
          <w:rFonts w:hint="cs"/>
          <w:rtl/>
        </w:rPr>
        <w:t xml:space="preserve"> [سورة الأنعام</w:t>
      </w:r>
      <w:r w:rsidR="0002035C" w:rsidRPr="00A52585">
        <w:rPr>
          <w:rFonts w:hint="cs"/>
          <w:rtl/>
        </w:rPr>
        <w:t>:</w:t>
      </w:r>
      <w:r w:rsidRPr="00A52585">
        <w:rPr>
          <w:rFonts w:hint="cs"/>
          <w:rtl/>
        </w:rPr>
        <w:t xml:space="preserve"> 100] تنزيه وتقديس لله تعالى عن كل وصف يخطر ببال بشر لأنه ليس كمثله شيء ولا نعلم له سميا</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وَلَا يُحِيطُونَ بِهِ عِلْمًا</w:t>
      </w:r>
      <w:r w:rsidR="0002035C" w:rsidRPr="00A52585">
        <w:rPr>
          <w:rFonts w:hint="cs"/>
          <w:rtl/>
        </w:rPr>
        <w:t>}</w:t>
      </w:r>
      <w:r w:rsidRPr="00A52585">
        <w:rPr>
          <w:rFonts w:hint="cs"/>
          <w:rtl/>
        </w:rPr>
        <w:t xml:space="preserve"> [سورة طه</w:t>
      </w:r>
      <w:r w:rsidR="0002035C" w:rsidRPr="00A52585">
        <w:rPr>
          <w:rFonts w:hint="cs"/>
          <w:rtl/>
        </w:rPr>
        <w:t>:</w:t>
      </w:r>
      <w:r w:rsidRPr="00A52585">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00DB731D" w:rsidRPr="00A52585">
        <w:rPr>
          <w:rFonts w:hint="cs"/>
          <w:rtl/>
        </w:rPr>
        <w:t>،</w:t>
      </w:r>
      <w:r w:rsidRPr="00A52585">
        <w:rPr>
          <w:rFonts w:hint="cs"/>
          <w:rtl/>
        </w:rPr>
        <w:t xml:space="preserve"> ومن الأدلة من السنة النبوية قوله صلى الله عليه وسلم: </w:t>
      </w:r>
      <w:r w:rsidR="0002035C" w:rsidRPr="00A52585">
        <w:rPr>
          <w:rFonts w:hint="cs"/>
          <w:rtl/>
        </w:rPr>
        <w:t>(</w:t>
      </w:r>
      <w:r w:rsidRPr="00A52585">
        <w:rPr>
          <w:rFonts w:hint="cs"/>
          <w:rtl/>
        </w:rPr>
        <w:t>اللهم أنت الأوَّلُ فليس قبلَك شيء، وأنت الآخِر فليس بعدَك شيء</w:t>
      </w:r>
      <w:r w:rsidR="00DB731D" w:rsidRPr="00A52585">
        <w:rPr>
          <w:rFonts w:hint="cs"/>
          <w:rtl/>
        </w:rPr>
        <w:t>،</w:t>
      </w:r>
      <w:r w:rsidRPr="00A52585">
        <w:rPr>
          <w:rFonts w:hint="cs"/>
          <w:rtl/>
        </w:rPr>
        <w:t xml:space="preserve"> وأنت الظاهرُ فليس فوقَكَ شيء، وأنت الباطن فليس دونَك شيء</w:t>
      </w:r>
      <w:r w:rsidR="0002035C" w:rsidRPr="00A52585">
        <w:rPr>
          <w:rFonts w:hint="cs"/>
          <w:rtl/>
        </w:rPr>
        <w:t>) [</w:t>
      </w:r>
      <w:r w:rsidRPr="00A52585">
        <w:rPr>
          <w:rFonts w:hint="cs"/>
          <w:rtl/>
        </w:rPr>
        <w:t>أخرجه مسلم] وإذا لم يكن قبله شيء ولا بعده شيء ولا فوقه شيء ولا دونه شيء لم يكن له شبيه ولا مثيل</w:t>
      </w:r>
      <w:r w:rsidR="00DB731D" w:rsidRPr="00A52585">
        <w:rPr>
          <w:rFonts w:hint="cs"/>
          <w:rtl/>
        </w:rPr>
        <w:t>،</w:t>
      </w:r>
      <w:r w:rsidRPr="00A52585">
        <w:rPr>
          <w:rFonts w:hint="cs"/>
          <w:rtl/>
        </w:rPr>
        <w:t xml:space="preserve"> وعلى ذلك</w:t>
      </w:r>
      <w:r w:rsidR="0002035C" w:rsidRPr="00A52585">
        <w:rPr>
          <w:rFonts w:hint="cs"/>
          <w:rtl/>
        </w:rPr>
        <w:t>:</w:t>
      </w:r>
      <w:r w:rsidRPr="00A52585">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00DB731D" w:rsidRPr="00A52585">
        <w:rPr>
          <w:rFonts w:hint="cs"/>
          <w:rtl/>
        </w:rPr>
        <w:t>،</w:t>
      </w:r>
      <w:r w:rsidRPr="00A52585">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DB731D" w:rsidRPr="00A52585">
        <w:rPr>
          <w:rFonts w:hint="cs"/>
          <w:rtl/>
        </w:rPr>
        <w:t>،</w:t>
      </w:r>
      <w:r w:rsidRPr="00A52585">
        <w:rPr>
          <w:rFonts w:hint="cs"/>
          <w:rtl/>
        </w:rPr>
        <w:t xml:space="preserve"> والحمد لله أنه لا خلاف بين </w:t>
      </w:r>
      <w:r w:rsidRPr="00A52585">
        <w:rPr>
          <w:rFonts w:hint="cs"/>
          <w:rtl/>
        </w:rPr>
        <w:lastRenderedPageBreak/>
        <w:t>المسلمين - عدا المشبهة - بأنّ الله تبارك وتعالى لا يشبه شيئاً من مخلوقاته</w:t>
      </w:r>
      <w:r w:rsidR="00DB731D" w:rsidRPr="00A52585">
        <w:rPr>
          <w:rFonts w:hint="cs"/>
          <w:rtl/>
        </w:rPr>
        <w:t>،</w:t>
      </w:r>
      <w:r w:rsidRPr="00A52585">
        <w:rPr>
          <w:rFonts w:hint="cs"/>
          <w:rtl/>
        </w:rPr>
        <w:t xml:space="preserve"> إذ </w:t>
      </w:r>
      <w:r w:rsidR="0002035C" w:rsidRPr="00A52585">
        <w:rPr>
          <w:rFonts w:hint="cs"/>
          <w:rtl/>
        </w:rPr>
        <w:t>{</w:t>
      </w:r>
      <w:r w:rsidRPr="00A52585">
        <w:rPr>
          <w:rFonts w:hint="cs"/>
          <w:rtl/>
        </w:rPr>
        <w:t>ليس كمثله شيء</w:t>
      </w:r>
      <w:r w:rsidR="0002035C" w:rsidRPr="00A52585">
        <w:rPr>
          <w:rFonts w:hint="cs"/>
          <w:rtl/>
        </w:rPr>
        <w:t>}</w:t>
      </w:r>
      <w:r w:rsidR="00DB731D" w:rsidRPr="00A52585">
        <w:rPr>
          <w:rFonts w:hint="cs"/>
          <w:rtl/>
        </w:rPr>
        <w:t>،</w:t>
      </w:r>
      <w:bookmarkStart w:id="0" w:name="tohef128"/>
      <w:bookmarkStart w:id="1" w:name="tohej033"/>
      <w:bookmarkEnd w:id="0"/>
      <w:bookmarkEnd w:id="1"/>
      <w:r w:rsidRPr="00A52585">
        <w:rPr>
          <w:rFonts w:hint="cs"/>
          <w:rtl/>
        </w:rPr>
        <w:t xml:space="preserve"> وقد حوت هذه الرسالة </w:t>
      </w:r>
      <w:r w:rsidRPr="00A52585">
        <w:t>–</w:t>
      </w:r>
      <w:r w:rsidRPr="00A52585">
        <w:rPr>
          <w:rFonts w:hint="cs"/>
          <w:rtl/>
        </w:rPr>
        <w:t xml:space="preserve"> بحمد الله تعالى </w:t>
      </w:r>
      <w:r w:rsidRPr="00A52585">
        <w:t>–</w:t>
      </w:r>
      <w:r w:rsidRPr="00A52585">
        <w:rPr>
          <w:rFonts w:hint="cs"/>
          <w:rtl/>
        </w:rPr>
        <w:t xml:space="preserve"> على أدلة من الكتاب والسنّة التي تدل على تنزيهه سبحانه عن الشبيه والكفء والمثيل</w:t>
      </w:r>
      <w:r w:rsidR="00DB731D" w:rsidRPr="00A52585">
        <w:rPr>
          <w:rFonts w:hint="cs"/>
          <w:rtl/>
        </w:rPr>
        <w:t>،</w:t>
      </w:r>
      <w:r w:rsidRPr="00A52585">
        <w:rPr>
          <w:rFonts w:hint="cs"/>
          <w:rtl/>
        </w:rPr>
        <w:t xml:space="preserve"> وحوت على الكثير من أقوال العلماء الأئمة من علماء أهل السنّة والجماعة الثقات في تنزيه الله تعالى عن الشبيه والكفء والمثيل</w:t>
      </w:r>
      <w:r w:rsidR="00DB731D" w:rsidRPr="00A52585">
        <w:rPr>
          <w:rFonts w:hint="cs"/>
          <w:rtl/>
        </w:rPr>
        <w:t>،</w:t>
      </w:r>
      <w:r w:rsidRPr="00A52585">
        <w:rPr>
          <w:rFonts w:hint="cs"/>
          <w:rtl/>
        </w:rPr>
        <w:t xml:space="preserve"> </w:t>
      </w:r>
      <w:r w:rsidRPr="00A52585">
        <w:rPr>
          <w:rtl/>
        </w:rPr>
        <w:t>وقد جمعتها من أقوالهم</w:t>
      </w:r>
      <w:r w:rsidR="00DB731D" w:rsidRPr="00A52585">
        <w:rPr>
          <w:rtl/>
        </w:rPr>
        <w:t>،</w:t>
      </w:r>
      <w:r w:rsidRPr="00A52585">
        <w:rPr>
          <w:rtl/>
        </w:rPr>
        <w:t xml:space="preserve"> ما كان عملي فيه إلاّ الجمع والترتيب لأحسن ما أتت به عقول العلماء والفقهاء المقتدى بهم في الدين والمتخصصون في العقيدة</w:t>
      </w:r>
      <w:r w:rsidR="00DB731D" w:rsidRPr="00A52585">
        <w:rPr>
          <w:rtl/>
        </w:rPr>
        <w:t>،</w:t>
      </w:r>
      <w:r w:rsidRPr="00A52585">
        <w:rPr>
          <w:rtl/>
        </w:rPr>
        <w:t xml:space="preserve"> وإن أريد إلاّ الإصلاح ما استطعت وما توفيقي إلاّ بالله عليه توكلت وإليه أنيب</w:t>
      </w:r>
      <w:r w:rsidR="00DB731D" w:rsidRPr="00A52585">
        <w:rPr>
          <w:rtl/>
        </w:rPr>
        <w:t>،</w:t>
      </w:r>
    </w:p>
    <w:p w14:paraId="7793AD95" w14:textId="77777777" w:rsidR="00777DCB" w:rsidRPr="00A52585" w:rsidRDefault="00777DCB" w:rsidP="0002035C">
      <w:pPr>
        <w:jc w:val="center"/>
        <w:rPr>
          <w:b/>
          <w:rtl/>
        </w:rPr>
      </w:pPr>
      <w:r w:rsidRPr="00A52585">
        <w:rPr>
          <w:rFonts w:hint="cs"/>
          <w:rtl/>
        </w:rPr>
        <w:t>*****</w:t>
      </w:r>
    </w:p>
    <w:p w14:paraId="777732B9" w14:textId="5174B220" w:rsidR="00777DCB" w:rsidRPr="00A52585" w:rsidRDefault="00777DCB" w:rsidP="0002035C">
      <w:pPr>
        <w:rPr>
          <w:b/>
          <w:bCs/>
          <w:rtl/>
          <w:lang w:bidi="ar-KW"/>
        </w:rPr>
      </w:pPr>
      <w:r w:rsidRPr="00A52585">
        <w:rPr>
          <w:rFonts w:cs="Monotype Koufi" w:hint="cs"/>
          <w:rtl/>
        </w:rPr>
        <w:t>خطوط عريضة لأهم موضوعات الرسالة</w:t>
      </w:r>
      <w:r w:rsidR="0002035C" w:rsidRPr="00A52585">
        <w:rPr>
          <w:rFonts w:cs="Monotype Koufi" w:hint="cs"/>
          <w:rtl/>
        </w:rPr>
        <w:t>:</w:t>
      </w:r>
      <w:r w:rsidRPr="00A52585">
        <w:rPr>
          <w:rFonts w:cs="Monotype Koufi" w:hint="cs"/>
          <w:rtl/>
        </w:rPr>
        <w:t xml:space="preserve"> </w:t>
      </w:r>
      <w:r w:rsidRPr="00A52585">
        <w:rPr>
          <w:rFonts w:hint="cs"/>
          <w:rtl/>
        </w:rPr>
        <w:t>حوت الرسالة بحمد الله تعالى على مدخل وثلاثة أبواب وخاتمة</w:t>
      </w:r>
      <w:r w:rsidR="00DB731D" w:rsidRPr="00A52585">
        <w:rPr>
          <w:rFonts w:hint="cs"/>
          <w:rtl/>
        </w:rPr>
        <w:t>،</w:t>
      </w:r>
      <w:r w:rsidRPr="00A52585">
        <w:rPr>
          <w:rFonts w:hint="cs"/>
          <w:rtl/>
        </w:rPr>
        <w:t xml:space="preserve"> وتتمثل في</w:t>
      </w:r>
      <w:r w:rsidR="0002035C" w:rsidRPr="00A52585">
        <w:rPr>
          <w:rFonts w:hint="cs"/>
          <w:rtl/>
        </w:rPr>
        <w:t>:</w:t>
      </w:r>
    </w:p>
    <w:p w14:paraId="32E1DE51" w14:textId="498EFF73" w:rsidR="00777DCB" w:rsidRPr="00A52585" w:rsidRDefault="00777DCB" w:rsidP="0002035C">
      <w:pPr>
        <w:rPr>
          <w:b/>
          <w:rtl/>
        </w:rPr>
      </w:pPr>
      <w:r w:rsidRPr="00A52585">
        <w:rPr>
          <w:rFonts w:hint="cs"/>
          <w:bCs/>
          <w:rtl/>
        </w:rPr>
        <w:t>مدخل</w:t>
      </w:r>
      <w:r w:rsidR="0002035C" w:rsidRPr="00A52585">
        <w:rPr>
          <w:rFonts w:hint="cs"/>
          <w:bCs/>
          <w:rtl/>
        </w:rPr>
        <w:t>:</w:t>
      </w:r>
      <w:r w:rsidRPr="00A52585">
        <w:rPr>
          <w:rFonts w:hint="cs"/>
          <w:rtl/>
        </w:rPr>
        <w:t xml:space="preserve"> </w:t>
      </w:r>
      <w:r w:rsidRPr="00A52585">
        <w:rPr>
          <w:rtl/>
        </w:rPr>
        <w:t>تقديس الله تعالى عن مشابهة المخلوقات ليس كمثله شيء ولم يكن له كفوا</w:t>
      </w:r>
      <w:r w:rsidR="0002035C" w:rsidRPr="00A52585">
        <w:rPr>
          <w:rtl/>
        </w:rPr>
        <w:t xml:space="preserve"> </w:t>
      </w:r>
      <w:r w:rsidRPr="00A52585">
        <w:rPr>
          <w:rtl/>
        </w:rPr>
        <w:t>أحد</w:t>
      </w:r>
    </w:p>
    <w:p w14:paraId="1E1A8DB0" w14:textId="3BF96A9D" w:rsidR="00777DCB" w:rsidRPr="00A52585" w:rsidRDefault="00777DCB" w:rsidP="0002035C">
      <w:pPr>
        <w:rPr>
          <w:b/>
          <w:rtl/>
        </w:rPr>
      </w:pPr>
      <w:r w:rsidRPr="00A52585">
        <w:rPr>
          <w:rFonts w:hint="cs"/>
          <w:bCs/>
          <w:rtl/>
          <w:lang w:bidi="ar-KW"/>
        </w:rPr>
        <w:t>الباب الأول</w:t>
      </w:r>
      <w:r w:rsidR="0002035C" w:rsidRPr="00A52585">
        <w:rPr>
          <w:rFonts w:hint="cs"/>
          <w:bCs/>
          <w:rtl/>
          <w:lang w:bidi="ar-KW"/>
        </w:rPr>
        <w:t>:</w:t>
      </w:r>
      <w:r w:rsidRPr="00A52585">
        <w:rPr>
          <w:rFonts w:hint="cs"/>
          <w:rtl/>
          <w:lang w:bidi="ar-KW"/>
        </w:rPr>
        <w:t xml:space="preserve"> </w:t>
      </w:r>
      <w:r w:rsidRPr="00A52585">
        <w:rPr>
          <w:rFonts w:hint="cs"/>
          <w:rtl/>
        </w:rPr>
        <w:t xml:space="preserve">أدلة الشرع وأقوال علماء أهل السنة </w:t>
      </w:r>
      <w:r w:rsidRPr="00A52585">
        <w:rPr>
          <w:rFonts w:hint="cs"/>
          <w:rtl/>
          <w:lang w:bidi="ar-KW"/>
        </w:rPr>
        <w:t xml:space="preserve">والجماعة في تنزيه الله تعالى عن </w:t>
      </w:r>
      <w:r w:rsidRPr="00A52585">
        <w:rPr>
          <w:rtl/>
        </w:rPr>
        <w:t>مشابهة المخلوقات</w:t>
      </w:r>
    </w:p>
    <w:p w14:paraId="7BBA5E9E" w14:textId="2BD2D309" w:rsidR="00777DCB" w:rsidRPr="00A52585" w:rsidRDefault="00777DCB" w:rsidP="0002035C">
      <w:pPr>
        <w:rPr>
          <w:b/>
          <w:rtl/>
        </w:rPr>
      </w:pPr>
      <w:r w:rsidRPr="00A52585">
        <w:rPr>
          <w:rFonts w:hint="cs"/>
          <w:bCs/>
          <w:rtl/>
        </w:rPr>
        <w:t>الباب الثاني</w:t>
      </w:r>
      <w:r w:rsidR="0002035C" w:rsidRPr="00A52585">
        <w:rPr>
          <w:rFonts w:hint="cs"/>
          <w:rtl/>
        </w:rPr>
        <w:t>:</w:t>
      </w:r>
      <w:r w:rsidRPr="00A52585">
        <w:rPr>
          <w:rFonts w:hint="cs"/>
          <w:rtl/>
        </w:rPr>
        <w:t xml:space="preserve"> </w:t>
      </w:r>
      <w:r w:rsidRPr="00A52585">
        <w:rPr>
          <w:rFonts w:hint="cs"/>
          <w:rtl/>
          <w:lang w:bidi="ar-KW"/>
        </w:rPr>
        <w:t xml:space="preserve">حل إشكالات ظواهر النصوص غير المرادة والتي قد يُفهم منها </w:t>
      </w:r>
      <w:r w:rsidRPr="00A52585">
        <w:rPr>
          <w:rtl/>
        </w:rPr>
        <w:t>مشابهة المخلوقات</w:t>
      </w:r>
    </w:p>
    <w:p w14:paraId="37CCD0C1" w14:textId="79BD420A" w:rsidR="00777DCB" w:rsidRPr="00A52585" w:rsidRDefault="00777DCB" w:rsidP="0002035C">
      <w:pPr>
        <w:rPr>
          <w:b/>
          <w:rtl/>
        </w:rPr>
      </w:pPr>
      <w:r w:rsidRPr="00A52585">
        <w:rPr>
          <w:rFonts w:hint="cs"/>
          <w:bCs/>
          <w:rtl/>
          <w:lang w:bidi="ar-KW"/>
        </w:rPr>
        <w:t>الباب الثالث</w:t>
      </w:r>
      <w:r w:rsidR="0002035C" w:rsidRPr="00A52585">
        <w:rPr>
          <w:rFonts w:hint="cs"/>
          <w:rtl/>
          <w:lang w:bidi="ar-KW"/>
        </w:rPr>
        <w:t>:</w:t>
      </w:r>
      <w:r w:rsidRPr="00A52585">
        <w:rPr>
          <w:rFonts w:hint="cs"/>
          <w:rtl/>
          <w:lang w:bidi="ar-KW"/>
        </w:rPr>
        <w:t xml:space="preserve"> </w:t>
      </w:r>
      <w:r w:rsidRPr="00A52585">
        <w:rPr>
          <w:rFonts w:hint="cs"/>
          <w:rtl/>
        </w:rPr>
        <w:t>ملاحق للعلماء في مكافحة التشبيه</w:t>
      </w:r>
      <w:r w:rsidR="00DB731D" w:rsidRPr="00A52585">
        <w:rPr>
          <w:rFonts w:hint="cs"/>
          <w:rtl/>
        </w:rPr>
        <w:t>،</w:t>
      </w:r>
      <w:r w:rsidRPr="00A52585">
        <w:rPr>
          <w:rFonts w:hint="cs"/>
          <w:rtl/>
        </w:rPr>
        <w:t xml:space="preserve"> ويشتمل على تلك المباحث</w:t>
      </w:r>
      <w:r w:rsidR="0002035C" w:rsidRPr="00A52585">
        <w:rPr>
          <w:rFonts w:hint="cs"/>
          <w:rtl/>
        </w:rPr>
        <w:t>:</w:t>
      </w:r>
      <w:r w:rsidRPr="00A52585">
        <w:rPr>
          <w:rFonts w:hint="cs"/>
          <w:rtl/>
        </w:rPr>
        <w:t xml:space="preserve"> </w:t>
      </w:r>
    </w:p>
    <w:p w14:paraId="4771519B" w14:textId="01998CFD" w:rsidR="00777DCB" w:rsidRPr="00A52585" w:rsidRDefault="0002035C" w:rsidP="0002035C">
      <w:pPr>
        <w:spacing w:after="240"/>
        <w:rPr>
          <w:b/>
        </w:rPr>
      </w:pPr>
      <w:r w:rsidRPr="00A52585">
        <w:rPr>
          <w:rFonts w:hint="cs"/>
          <w:rtl/>
        </w:rPr>
        <w:t>(</w:t>
      </w:r>
      <w:r w:rsidR="00777DCB" w:rsidRPr="00A52585">
        <w:rPr>
          <w:rFonts w:hint="cs"/>
          <w:rtl/>
        </w:rPr>
        <w:t>1</w:t>
      </w:r>
      <w:r w:rsidRPr="00A52585">
        <w:rPr>
          <w:rFonts w:hint="cs"/>
          <w:rtl/>
        </w:rPr>
        <w:t xml:space="preserve">) </w:t>
      </w:r>
      <w:r w:rsidR="00777DCB" w:rsidRPr="00A52585">
        <w:rPr>
          <w:rFonts w:hint="cs"/>
          <w:rtl/>
        </w:rPr>
        <w:t>كتاب دفع شبه التشبيه لابن الجوزي مع التحقيق القيم للشيخ حسن السقاف</w:t>
      </w:r>
      <w:r w:rsidR="00777DCB" w:rsidRPr="00A52585">
        <w:rPr>
          <w:rFonts w:hint="cs"/>
          <w:kern w:val="36"/>
          <w:rtl/>
        </w:rPr>
        <w:t xml:space="preserve"> </w:t>
      </w:r>
    </w:p>
    <w:p w14:paraId="61548AD0" w14:textId="1CBF4D58" w:rsidR="00777DCB" w:rsidRPr="00A52585" w:rsidRDefault="0002035C" w:rsidP="0002035C">
      <w:pPr>
        <w:spacing w:after="240"/>
        <w:rPr>
          <w:b/>
          <w:rtl/>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كتاب السيف الصقيل في الرد على ابن القيم مع التحقيق القيم للشيخ محمد زاهد الكوثري</w:t>
      </w:r>
    </w:p>
    <w:p w14:paraId="035E2FCC" w14:textId="0F4ED00B" w:rsidR="00777DCB" w:rsidRPr="00A52585" w:rsidRDefault="0002035C" w:rsidP="0002035C">
      <w:pPr>
        <w:spacing w:after="240"/>
        <w:rPr>
          <w:b/>
          <w:rtl/>
        </w:rPr>
      </w:pPr>
      <w:r w:rsidRPr="00A52585">
        <w:rPr>
          <w:rFonts w:hint="cs"/>
          <w:rtl/>
        </w:rPr>
        <w:t>(</w:t>
      </w:r>
      <w:r w:rsidR="00777DCB" w:rsidRPr="00A52585">
        <w:rPr>
          <w:rFonts w:hint="cs"/>
          <w:rtl/>
        </w:rPr>
        <w:t>3</w:t>
      </w:r>
      <w:r w:rsidRPr="00A52585">
        <w:rPr>
          <w:rFonts w:hint="cs"/>
          <w:rtl/>
        </w:rPr>
        <w:t>)</w:t>
      </w:r>
      <w:r w:rsidR="00777DCB" w:rsidRPr="00A52585">
        <w:rPr>
          <w:rFonts w:hint="cs"/>
          <w:rtl/>
        </w:rPr>
        <w:t xml:space="preserve"> كتاب دفع شبه من شبه وتمرد للإمام تقي الدين </w:t>
      </w:r>
      <w:proofErr w:type="spellStart"/>
      <w:r w:rsidR="00777DCB" w:rsidRPr="00A52585">
        <w:rPr>
          <w:rFonts w:hint="cs"/>
          <w:rtl/>
        </w:rPr>
        <w:t>الحصني</w:t>
      </w:r>
      <w:proofErr w:type="spellEnd"/>
      <w:r w:rsidR="00777DCB" w:rsidRPr="00A52585">
        <w:rPr>
          <w:rFonts w:hint="cs"/>
          <w:rtl/>
        </w:rPr>
        <w:t xml:space="preserve"> تحقيق الشيخ عبد الواحد مصطفى</w:t>
      </w:r>
    </w:p>
    <w:p w14:paraId="4F5C5D9B" w14:textId="744A60A5" w:rsidR="00777DCB" w:rsidRPr="00A52585" w:rsidRDefault="0002035C" w:rsidP="0002035C">
      <w:pPr>
        <w:spacing w:after="240"/>
        <w:rPr>
          <w:b/>
          <w:rtl/>
        </w:rPr>
      </w:pPr>
      <w:r w:rsidRPr="00A52585">
        <w:rPr>
          <w:rFonts w:hint="cs"/>
          <w:rtl/>
        </w:rPr>
        <w:t>(</w:t>
      </w:r>
      <w:r w:rsidR="00777DCB" w:rsidRPr="00A52585">
        <w:rPr>
          <w:rFonts w:hint="cs"/>
          <w:rtl/>
        </w:rPr>
        <w:t>4</w:t>
      </w:r>
      <w:r w:rsidRPr="00A52585">
        <w:rPr>
          <w:rFonts w:hint="cs"/>
          <w:rtl/>
        </w:rPr>
        <w:t>)</w:t>
      </w:r>
      <w:r w:rsidR="00777DCB" w:rsidRPr="00A52585">
        <w:rPr>
          <w:rFonts w:hint="cs"/>
          <w:rtl/>
        </w:rPr>
        <w:t xml:space="preserve"> المشبهة والمجسمة العلامة المفسر المحدث </w:t>
      </w:r>
      <w:proofErr w:type="spellStart"/>
      <w:r w:rsidR="00777DCB" w:rsidRPr="00A52585">
        <w:rPr>
          <w:rFonts w:hint="cs"/>
          <w:rtl/>
        </w:rPr>
        <w:t>الفقية</w:t>
      </w:r>
      <w:proofErr w:type="spellEnd"/>
      <w:r w:rsidR="00777DCB" w:rsidRPr="00A52585">
        <w:rPr>
          <w:rFonts w:hint="cs"/>
          <w:rtl/>
        </w:rPr>
        <w:t xml:space="preserve"> الشيخ عبد الرحمن خليفة</w:t>
      </w:r>
    </w:p>
    <w:p w14:paraId="257FDB80" w14:textId="0F78B682" w:rsidR="00777DCB" w:rsidRPr="00A52585" w:rsidRDefault="0002035C" w:rsidP="0002035C">
      <w:pPr>
        <w:rPr>
          <w:b/>
          <w:rtl/>
        </w:rPr>
      </w:pPr>
      <w:r w:rsidRPr="00A52585">
        <w:rPr>
          <w:rtl/>
        </w:rPr>
        <w:t>(</w:t>
      </w:r>
      <w:r w:rsidR="00777DCB" w:rsidRPr="00A52585">
        <w:rPr>
          <w:rtl/>
        </w:rPr>
        <w:t>5</w:t>
      </w:r>
      <w:r w:rsidRPr="00A52585">
        <w:rPr>
          <w:rtl/>
        </w:rPr>
        <w:t>)</w:t>
      </w:r>
      <w:r w:rsidR="00777DCB" w:rsidRPr="00A52585">
        <w:rPr>
          <w:rtl/>
        </w:rPr>
        <w:t xml:space="preserve"> </w:t>
      </w:r>
      <w:r w:rsidR="00777DCB" w:rsidRPr="00A52585">
        <w:rPr>
          <w:kern w:val="36"/>
          <w:rtl/>
        </w:rPr>
        <w:t>الفرق العظيم</w:t>
      </w:r>
      <w:r w:rsidRPr="00A52585">
        <w:rPr>
          <w:kern w:val="36"/>
          <w:rtl/>
        </w:rPr>
        <w:t xml:space="preserve"> </w:t>
      </w:r>
      <w:r w:rsidR="00777DCB" w:rsidRPr="00A52585">
        <w:rPr>
          <w:rtl/>
        </w:rPr>
        <w:t>بين التنزيه والتجسيم تأليف سعيد فودة</w:t>
      </w:r>
    </w:p>
    <w:p w14:paraId="35148F53" w14:textId="4C268D4D" w:rsidR="00777DCB" w:rsidRPr="00A52585" w:rsidRDefault="00777DCB" w:rsidP="0002035C">
      <w:pPr>
        <w:rPr>
          <w:b/>
          <w:rtl/>
        </w:rPr>
      </w:pPr>
      <w:r w:rsidRPr="00A52585">
        <w:rPr>
          <w:rFonts w:hint="cs"/>
          <w:bCs/>
          <w:rtl/>
        </w:rPr>
        <w:t>الخاتمة</w:t>
      </w:r>
      <w:r w:rsidR="0002035C" w:rsidRPr="00A52585">
        <w:rPr>
          <w:rFonts w:hint="cs"/>
          <w:rtl/>
        </w:rPr>
        <w:t>:</w:t>
      </w:r>
      <w:r w:rsidRPr="00A52585">
        <w:rPr>
          <w:rFonts w:hint="cs"/>
          <w:rtl/>
        </w:rPr>
        <w:t xml:space="preserve"> وأهم توصيات الرسالـة </w:t>
      </w:r>
    </w:p>
    <w:p w14:paraId="70CB241D" w14:textId="77777777" w:rsidR="00777DCB" w:rsidRPr="00A52585" w:rsidRDefault="00777DCB" w:rsidP="0002035C">
      <w:pPr>
        <w:rPr>
          <w:b/>
          <w:rtl/>
        </w:rPr>
      </w:pPr>
      <w:r w:rsidRPr="00A52585">
        <w:rPr>
          <w:rFonts w:hint="cs"/>
          <w:rtl/>
        </w:rPr>
        <w:t>الفهارس</w:t>
      </w:r>
    </w:p>
    <w:p w14:paraId="3C3558E2" w14:textId="77777777" w:rsidR="00777DCB" w:rsidRPr="00A52585" w:rsidRDefault="00777DCB" w:rsidP="0002035C">
      <w:pPr>
        <w:jc w:val="center"/>
        <w:rPr>
          <w:b/>
          <w:bCs/>
          <w:rtl/>
        </w:rPr>
      </w:pPr>
      <w:r w:rsidRPr="00A52585">
        <w:rPr>
          <w:rFonts w:hint="cs"/>
          <w:bCs/>
          <w:rtl/>
        </w:rPr>
        <w:lastRenderedPageBreak/>
        <w:t>****</w:t>
      </w:r>
    </w:p>
    <w:p w14:paraId="659FA2C0" w14:textId="77777777" w:rsidR="00777DCB" w:rsidRPr="00A52585" w:rsidRDefault="00777DCB" w:rsidP="0002035C">
      <w:pPr>
        <w:rPr>
          <w:b/>
          <w:rtl/>
        </w:rPr>
      </w:pPr>
    </w:p>
    <w:p w14:paraId="383398FC" w14:textId="77777777" w:rsidR="00777DCB" w:rsidRPr="00A52585" w:rsidRDefault="00777DCB" w:rsidP="0002035C">
      <w:pPr>
        <w:rPr>
          <w:b/>
          <w:rtl/>
          <w:lang w:bidi="ar-KW"/>
        </w:rPr>
      </w:pPr>
    </w:p>
    <w:p w14:paraId="5788D882" w14:textId="77777777" w:rsidR="00777DCB" w:rsidRPr="00A52585" w:rsidRDefault="00777DCB">
      <w:pPr>
        <w:rPr>
          <w:rtl/>
        </w:rPr>
      </w:pPr>
    </w:p>
    <w:p w14:paraId="2DD6C693" w14:textId="6DBEF852" w:rsidR="00777DCB" w:rsidRPr="00A52585" w:rsidRDefault="00777DCB" w:rsidP="00185A91">
      <w:pPr>
        <w:pStyle w:val="1"/>
        <w:rPr>
          <w:u w:val="none"/>
          <w:rtl/>
        </w:rPr>
      </w:pPr>
      <w:r w:rsidRPr="00A52585">
        <w:rPr>
          <w:rFonts w:hint="cs"/>
          <w:u w:val="none"/>
          <w:rtl/>
          <w:lang w:bidi="ar-KW"/>
        </w:rPr>
        <w:t>مدخل</w:t>
      </w:r>
      <w:r w:rsidR="00185A91" w:rsidRPr="00A52585">
        <w:rPr>
          <w:rFonts w:hint="cs"/>
          <w:u w:val="none"/>
          <w:rtl/>
          <w:lang w:bidi="ar-KW"/>
        </w:rPr>
        <w:t xml:space="preserve"> </w:t>
      </w:r>
      <w:r w:rsidRPr="00A52585">
        <w:rPr>
          <w:u w:val="none"/>
          <w:rtl/>
          <w:lang w:bidi="ar-KW"/>
        </w:rPr>
        <w:t>تقديس الله تعالى عن مشابهة المخلوقات ليس كمثله شيء ولم يكن له كفوا</w:t>
      </w:r>
      <w:r w:rsidR="0002035C" w:rsidRPr="00A52585">
        <w:rPr>
          <w:u w:val="none"/>
          <w:rtl/>
          <w:lang w:bidi="ar-KW"/>
        </w:rPr>
        <w:t xml:space="preserve"> </w:t>
      </w:r>
      <w:r w:rsidRPr="00A52585">
        <w:rPr>
          <w:u w:val="none"/>
          <w:rtl/>
          <w:lang w:bidi="ar-KW"/>
        </w:rPr>
        <w:t>أحد</w:t>
      </w:r>
    </w:p>
    <w:p w14:paraId="69F1E679" w14:textId="77777777" w:rsidR="00777DCB" w:rsidRPr="00A52585" w:rsidRDefault="00777DCB">
      <w:pPr>
        <w:rPr>
          <w:rtl/>
        </w:rPr>
      </w:pPr>
    </w:p>
    <w:p w14:paraId="0023963D" w14:textId="651ED67F" w:rsidR="00777DCB" w:rsidRPr="00A52585" w:rsidRDefault="0002035C" w:rsidP="0002035C">
      <w:pPr>
        <w:rPr>
          <w:b/>
          <w:rtl/>
          <w:lang w:bidi="ar-KW"/>
        </w:rPr>
      </w:pPr>
      <w:r w:rsidRPr="00A52585">
        <w:rPr>
          <w:rFonts w:cs="Monotype Koufi" w:hint="cs"/>
          <w:rtl/>
          <w:lang w:bidi="ar-KW"/>
        </w:rPr>
        <w:t>[</w:t>
      </w:r>
      <w:r w:rsidR="00777DCB" w:rsidRPr="00A52585">
        <w:rPr>
          <w:rFonts w:cs="Monotype Koufi" w:hint="cs"/>
          <w:rtl/>
          <w:lang w:bidi="ar-KW"/>
        </w:rPr>
        <w:t>1</w:t>
      </w:r>
      <w:r w:rsidRPr="00A52585">
        <w:rPr>
          <w:rFonts w:cs="Monotype Koufi" w:hint="cs"/>
          <w:rtl/>
          <w:lang w:bidi="ar-KW"/>
        </w:rPr>
        <w:t>]:</w:t>
      </w:r>
      <w:r w:rsidR="00777DCB" w:rsidRPr="00A52585">
        <w:rPr>
          <w:rFonts w:cs="Monotype Koufi" w:hint="cs"/>
          <w:rtl/>
          <w:lang w:bidi="ar-KW"/>
        </w:rPr>
        <w:t xml:space="preserve"> الله عز وجل لا يشبهه شيء من المخلوقات</w:t>
      </w:r>
      <w:r w:rsidR="00DB731D" w:rsidRPr="00A52585">
        <w:rPr>
          <w:rFonts w:cs="Monotype Koufi" w:hint="cs"/>
          <w:rtl/>
          <w:lang w:bidi="ar-KW"/>
        </w:rPr>
        <w:t>،</w:t>
      </w:r>
      <w:r w:rsidR="00777DCB" w:rsidRPr="00A52585">
        <w:rPr>
          <w:rFonts w:cs="Monotype Koufi" w:hint="cs"/>
          <w:rtl/>
          <w:lang w:bidi="ar-KW"/>
        </w:rPr>
        <w:t xml:space="preserve"> ولا هو يشبه شيئاً منها</w:t>
      </w:r>
      <w:r w:rsidR="00DB731D" w:rsidRPr="00A52585">
        <w:rPr>
          <w:rFonts w:hint="cs"/>
          <w:rtl/>
        </w:rPr>
        <w:t>،</w:t>
      </w:r>
      <w:r w:rsidR="00777DCB" w:rsidRPr="00A52585">
        <w:rPr>
          <w:rFonts w:hint="cs"/>
          <w:rtl/>
        </w:rPr>
        <w:t xml:space="preserve"> لأنه لو أشبهه شيء لكان مثله قديماً</w:t>
      </w:r>
      <w:r w:rsidR="00DB731D" w:rsidRPr="00A52585">
        <w:rPr>
          <w:rFonts w:hint="cs"/>
          <w:rtl/>
        </w:rPr>
        <w:t>،</w:t>
      </w:r>
      <w:r w:rsidR="00777DCB" w:rsidRPr="00A52585">
        <w:rPr>
          <w:rFonts w:hint="cs"/>
          <w:rtl/>
        </w:rPr>
        <w:t xml:space="preserve"> ولو أشبه شيئاً لكان مثله مخلوقاً</w:t>
      </w:r>
      <w:r w:rsidR="00DB731D" w:rsidRPr="00A52585">
        <w:rPr>
          <w:rFonts w:hint="cs"/>
          <w:rtl/>
        </w:rPr>
        <w:t>،</w:t>
      </w:r>
      <w:r w:rsidR="00777DCB" w:rsidRPr="00A52585">
        <w:rPr>
          <w:rFonts w:hint="cs"/>
          <w:rtl/>
        </w:rPr>
        <w:t xml:space="preserve"> وكلا الحالين على الله محال</w:t>
      </w:r>
      <w:r w:rsidR="00DB731D" w:rsidRPr="00A52585">
        <w:rPr>
          <w:rFonts w:hint="cs"/>
          <w:rtl/>
        </w:rPr>
        <w:t>،</w:t>
      </w:r>
      <w:r w:rsidR="00777DCB" w:rsidRPr="00A52585">
        <w:rPr>
          <w:rFonts w:hint="cs"/>
          <w:rtl/>
        </w:rPr>
        <w:t xml:space="preserve"> كما أن ذات المخلوق تتصف بالنقص والعجز لأنها مخلوقة من عدم</w:t>
      </w:r>
      <w:r w:rsidR="00DB731D" w:rsidRPr="00A52585">
        <w:rPr>
          <w:rFonts w:hint="cs"/>
          <w:rtl/>
        </w:rPr>
        <w:t>،</w:t>
      </w:r>
      <w:r w:rsidR="00777DCB" w:rsidRPr="00A52585">
        <w:rPr>
          <w:rFonts w:hint="cs"/>
          <w:rtl/>
        </w:rPr>
        <w:t xml:space="preserve"> محدثة لم تكن ثم كانت</w:t>
      </w:r>
      <w:r w:rsidR="00DB731D" w:rsidRPr="00A52585">
        <w:rPr>
          <w:rFonts w:hint="cs"/>
          <w:rtl/>
        </w:rPr>
        <w:t>،</w:t>
      </w:r>
      <w:r w:rsidR="00777DCB" w:rsidRPr="00A52585">
        <w:rPr>
          <w:rFonts w:hint="cs"/>
          <w:rtl/>
        </w:rPr>
        <w:t xml:space="preserve"> وهي إلى الفناء سائرة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مَنْ عَلَيْهَا فَانٍ * وَيَبْقَى وَجْهُ رَبِّكَ ذُو الْجَلَالِ وَالْإِكْرَامِ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26</w:t>
      </w:r>
      <w:r w:rsidR="00DB731D"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فلا يصح مشابهة الفاني للباقي</w:t>
      </w:r>
      <w:r w:rsidR="00DB731D" w:rsidRPr="00A52585">
        <w:rPr>
          <w:rFonts w:hint="cs"/>
          <w:rtl/>
        </w:rPr>
        <w:t>،</w:t>
      </w:r>
      <w:r w:rsidR="00777DCB" w:rsidRPr="00A52585">
        <w:rPr>
          <w:rFonts w:hint="cs"/>
          <w:rtl/>
        </w:rPr>
        <w:t xml:space="preserve"> ولا المخلوق للخالق الباري</w:t>
      </w:r>
      <w:r w:rsidR="00DB731D" w:rsidRPr="00A52585">
        <w:rPr>
          <w:rFonts w:hint="cs"/>
          <w:rtl/>
        </w:rPr>
        <w:t>،</w:t>
      </w:r>
      <w:r w:rsidR="00777DCB" w:rsidRPr="00A52585">
        <w:rPr>
          <w:rFonts w:hint="cs"/>
          <w:rtl/>
        </w:rPr>
        <w:t xml:space="preserve"> </w:t>
      </w:r>
      <w:r w:rsidR="00777DCB" w:rsidRPr="00A52585">
        <w:rPr>
          <w:rFonts w:hint="cs"/>
          <w:rtl/>
          <w:lang w:bidi="ar-KW"/>
        </w:rPr>
        <w:t>ومن الأدلة القرآنية على تنزيه الله تعالى عن المثيل والكفء والشبيه والسمي</w:t>
      </w:r>
      <w:r w:rsidRPr="00A52585">
        <w:rPr>
          <w:rFonts w:hint="cs"/>
          <w:rtl/>
          <w:lang w:bidi="ar-KW"/>
        </w:rPr>
        <w:t>:</w:t>
      </w:r>
      <w:r w:rsidR="00777DCB" w:rsidRPr="00A52585">
        <w:rPr>
          <w:rFonts w:hint="cs"/>
          <w:rtl/>
          <w:lang w:bidi="ar-KW"/>
        </w:rPr>
        <w:t xml:space="preserve"> قوله تعالى</w:t>
      </w:r>
      <w:r w:rsidRPr="00A52585">
        <w:rPr>
          <w:rFonts w:hint="cs"/>
          <w:rtl/>
          <w:lang w:bidi="ar-KW"/>
        </w:rPr>
        <w:t>:</w:t>
      </w:r>
      <w:r w:rsidR="00777DCB" w:rsidRPr="00A52585">
        <w:rPr>
          <w:rFonts w:hint="cs"/>
          <w:rtl/>
          <w:lang w:bidi="ar-KW"/>
        </w:rPr>
        <w:t xml:space="preserve"> </w:t>
      </w:r>
      <w:r w:rsidRPr="00A52585">
        <w:rPr>
          <w:rFonts w:hint="cs"/>
          <w:rtl/>
        </w:rPr>
        <w:t>{</w:t>
      </w:r>
      <w:r w:rsidR="00777DCB" w:rsidRPr="00A52585">
        <w:rPr>
          <w:rFonts w:hint="cs"/>
          <w:bCs/>
          <w:rtl/>
        </w:rPr>
        <w:t>ليس كمثلِه شيء</w:t>
      </w:r>
      <w:r w:rsidRPr="00A52585">
        <w:rPr>
          <w:rFonts w:hint="cs"/>
          <w:bCs/>
          <w:rtl/>
        </w:rPr>
        <w:t xml:space="preserve">} </w:t>
      </w:r>
      <w:r w:rsidR="00777DCB" w:rsidRPr="00A52585">
        <w:rPr>
          <w:rFonts w:hint="cs"/>
          <w:rtl/>
        </w:rPr>
        <w:t>[سورة الشورى</w:t>
      </w:r>
      <w:r w:rsidRPr="00A52585">
        <w:rPr>
          <w:rFonts w:hint="cs"/>
          <w:rtl/>
        </w:rPr>
        <w:t>:</w:t>
      </w:r>
      <w:r w:rsidR="00777DCB" w:rsidRPr="00A52585">
        <w:rPr>
          <w:rFonts w:hint="cs"/>
          <w:rtl/>
        </w:rPr>
        <w:t xml:space="preserve"> 11]، في هذه الآية نفي المشابهة والمماثلة بين الله تعالى وخلقه ومعناه أن الله تعالى لا يشبه شيئًا من خلقه بأي وجه من الوجوه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وللهِ المثَلُ الأعلى</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 60] أي الوصف الذي لا يشبه وصف غيره، فلا يوصف ربنا عزَّ وجلَّ بصفات المخلوقين</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فلا تضربوا للهِ الأمثال</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00777DCB" w:rsidRPr="00A52585">
        <w:rPr>
          <w:rFonts w:hint="cs"/>
          <w:bCs/>
          <w:rtl/>
        </w:rPr>
        <w:t>هل تعلمُ لهُ سميًّا)</w:t>
      </w:r>
      <w:r w:rsidR="00777DCB" w:rsidRPr="00A52585">
        <w:rPr>
          <w:rFonts w:hint="cs"/>
          <w:rtl/>
        </w:rPr>
        <w:t xml:space="preserve"> [سورة مريم</w:t>
      </w:r>
      <w:r w:rsidRPr="00A52585">
        <w:rPr>
          <w:rFonts w:hint="cs"/>
          <w:rtl/>
        </w:rPr>
        <w:t>:</w:t>
      </w:r>
      <w:r w:rsidR="00777DCB" w:rsidRPr="00A52585">
        <w:rPr>
          <w:rFonts w:hint="cs"/>
          <w:rtl/>
        </w:rPr>
        <w:t xml:space="preserve"> 65] أي مِثلاً، فالله تعالى لا مِثْلَ له ولا شبيه ولا نظير، فذاتُه سبحانه لا يشبه الذواتِ ولا صفاتُه تشبه الصفاتِ</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وَلَمْ يَكُن لَّهُ كُفُوًا أَحَدٌ</w:t>
      </w:r>
      <w:r w:rsidRPr="00A52585">
        <w:rPr>
          <w:rFonts w:hint="cs"/>
          <w:bCs/>
          <w:rtl/>
        </w:rPr>
        <w:t>}</w:t>
      </w:r>
      <w:r w:rsidR="00777DCB" w:rsidRPr="00A52585">
        <w:rPr>
          <w:rFonts w:hint="cs"/>
          <w:bCs/>
          <w:rtl/>
        </w:rPr>
        <w:t xml:space="preserve"> </w:t>
      </w:r>
      <w:r w:rsidR="00777DCB" w:rsidRPr="00A52585">
        <w:rPr>
          <w:rFonts w:hint="cs"/>
          <w:rtl/>
        </w:rPr>
        <w:t>[سورة الإخلاص</w:t>
      </w:r>
      <w:r w:rsidRPr="00A52585">
        <w:rPr>
          <w:rFonts w:hint="cs"/>
          <w:rtl/>
        </w:rPr>
        <w:t>:</w:t>
      </w:r>
      <w:r w:rsidR="00777DCB" w:rsidRPr="00A52585">
        <w:rPr>
          <w:rFonts w:hint="cs"/>
          <w:rtl/>
        </w:rPr>
        <w:t xml:space="preserve"> 4] أي لا نظير له بوجه من الوجوه، ولا كفء له </w:t>
      </w:r>
      <w:r w:rsidR="00777DCB" w:rsidRPr="00A52585">
        <w:rPr>
          <w:rFonts w:hint="cs"/>
          <w:rtl/>
        </w:rPr>
        <w:lastRenderedPageBreak/>
        <w:t>ولا شبيه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سُبْحَانَهُ وَتَعَالَى عَمَّا يَصِفُونَ</w:t>
      </w:r>
      <w:r w:rsidRPr="00A52585">
        <w:rPr>
          <w:rFonts w:hint="cs"/>
          <w:rtl/>
        </w:rPr>
        <w:t>}</w:t>
      </w:r>
      <w:r w:rsidR="00777DCB" w:rsidRPr="00A52585">
        <w:rPr>
          <w:rFonts w:hint="cs"/>
          <w:rtl/>
        </w:rPr>
        <w:t xml:space="preserve"> [سورة الأنعام</w:t>
      </w:r>
      <w:r w:rsidRPr="00A52585">
        <w:rPr>
          <w:rFonts w:hint="cs"/>
          <w:rtl/>
        </w:rPr>
        <w:t>:</w:t>
      </w:r>
      <w:r w:rsidR="00777DCB" w:rsidRPr="00A52585">
        <w:rPr>
          <w:rFonts w:hint="cs"/>
          <w:rtl/>
        </w:rPr>
        <w:t xml:space="preserve"> 100] تنزيه وتقديس لله تعالى عن كل وصف يخطر ببال بشر لأنه ليس كمثله شيء ولا نعلم له سميا</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وَلَا يُحِيطُونَ بِهِ عِلْمًا</w:t>
      </w:r>
      <w:r w:rsidRPr="00A52585">
        <w:rPr>
          <w:rFonts w:hint="cs"/>
          <w:bCs/>
          <w:rtl/>
        </w:rPr>
        <w:t>}</w:t>
      </w:r>
      <w:r w:rsidR="00777DCB" w:rsidRPr="00A52585">
        <w:rPr>
          <w:rFonts w:hint="cs"/>
          <w:rtl/>
        </w:rPr>
        <w:t xml:space="preserve"> [سورة طه</w:t>
      </w:r>
      <w:r w:rsidRPr="00A52585">
        <w:rPr>
          <w:rFonts w:hint="cs"/>
          <w:rtl/>
        </w:rPr>
        <w:t>:</w:t>
      </w:r>
      <w:r w:rsidR="00777DCB" w:rsidRPr="00A52585">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00DB731D" w:rsidRPr="00A52585">
        <w:rPr>
          <w:rFonts w:hint="cs"/>
          <w:rtl/>
        </w:rPr>
        <w:t>،</w:t>
      </w:r>
      <w:r w:rsidR="00777DCB" w:rsidRPr="00A52585">
        <w:rPr>
          <w:rFonts w:hint="cs"/>
          <w:rtl/>
        </w:rPr>
        <w:t xml:space="preserve"> </w:t>
      </w:r>
      <w:r w:rsidR="00777DCB" w:rsidRPr="00A52585">
        <w:rPr>
          <w:rtl/>
        </w:rPr>
        <w:t>ومنه نعلم مخالفة ذات الله تعالى لجميع المخلوقات والموجودات والمحدثات</w:t>
      </w:r>
      <w:r w:rsidR="00DB731D" w:rsidRPr="00A52585">
        <w:rPr>
          <w:rtl/>
        </w:rPr>
        <w:t>،</w:t>
      </w:r>
      <w:r w:rsidR="00777DCB" w:rsidRPr="00A52585">
        <w:rPr>
          <w:rtl/>
        </w:rPr>
        <w:t xml:space="preserve"> وكافة الماديات </w:t>
      </w:r>
      <w:proofErr w:type="spellStart"/>
      <w:r w:rsidR="00777DCB" w:rsidRPr="00A52585">
        <w:rPr>
          <w:rtl/>
        </w:rPr>
        <w:t>والحسيات</w:t>
      </w:r>
      <w:proofErr w:type="spellEnd"/>
      <w:r w:rsidR="00777DCB" w:rsidRPr="00A52585">
        <w:rPr>
          <w:rtl/>
        </w:rPr>
        <w:t xml:space="preserve"> والمرئيات والعقليات والنفسيات والروحانيات</w:t>
      </w:r>
      <w:r w:rsidR="00DB731D" w:rsidRPr="00A52585">
        <w:rPr>
          <w:rtl/>
        </w:rPr>
        <w:t>،</w:t>
      </w:r>
      <w:r w:rsidR="00777DCB" w:rsidRPr="00A52585">
        <w:rPr>
          <w:rtl/>
        </w:rPr>
        <w:t xml:space="preserve"> وكافة </w:t>
      </w:r>
      <w:r w:rsidR="00777DCB" w:rsidRPr="00A52585">
        <w:rPr>
          <w:rFonts w:hint="cs"/>
          <w:rtl/>
        </w:rPr>
        <w:t>التصورات</w:t>
      </w:r>
      <w:r w:rsidR="00777DCB" w:rsidRPr="00A52585">
        <w:rPr>
          <w:rtl/>
        </w:rPr>
        <w:t xml:space="preserve"> والمعلومات </w:t>
      </w:r>
      <w:proofErr w:type="spellStart"/>
      <w:r w:rsidR="00777DCB" w:rsidRPr="00A52585">
        <w:rPr>
          <w:rtl/>
        </w:rPr>
        <w:t>والتهيئات</w:t>
      </w:r>
      <w:proofErr w:type="spellEnd"/>
      <w:r w:rsidR="00777DCB" w:rsidRPr="00A52585">
        <w:rPr>
          <w:rtl/>
        </w:rPr>
        <w:t xml:space="preserve"> </w:t>
      </w:r>
      <w:proofErr w:type="spellStart"/>
      <w:r w:rsidR="00777DCB" w:rsidRPr="00A52585">
        <w:rPr>
          <w:rtl/>
        </w:rPr>
        <w:t>والتوهمات</w:t>
      </w:r>
      <w:proofErr w:type="spellEnd"/>
      <w:r w:rsidR="00DB731D" w:rsidRPr="00A52585">
        <w:rPr>
          <w:rtl/>
        </w:rPr>
        <w:t>،</w:t>
      </w:r>
      <w:r w:rsidR="00777DCB" w:rsidRPr="00A52585">
        <w:rPr>
          <w:rtl/>
        </w:rPr>
        <w:t xml:space="preserve"> </w:t>
      </w:r>
      <w:r w:rsidR="00777DCB" w:rsidRPr="00A52585">
        <w:rPr>
          <w:rFonts w:hint="cs"/>
          <w:rtl/>
        </w:rPr>
        <w:t>لأسباب أهمها</w:t>
      </w:r>
      <w:r w:rsidRPr="00A52585">
        <w:rPr>
          <w:rFonts w:hint="cs"/>
          <w:rtl/>
        </w:rPr>
        <w:t>:</w:t>
      </w:r>
      <w:r w:rsidR="00777DCB" w:rsidRPr="00A52585">
        <w:rPr>
          <w:rFonts w:hint="cs"/>
          <w:rtl/>
        </w:rPr>
        <w:t xml:space="preserve"> </w:t>
      </w:r>
      <w:r w:rsidR="00777DCB" w:rsidRPr="00A52585">
        <w:rPr>
          <w:rtl/>
        </w:rPr>
        <w:t>لأنّ الذات لا تُدرك</w:t>
      </w:r>
      <w:r w:rsidR="00DB731D" w:rsidRPr="00A52585">
        <w:rPr>
          <w:rtl/>
        </w:rPr>
        <w:t>،</w:t>
      </w:r>
      <w:r w:rsidR="00777DCB" w:rsidRPr="00A52585">
        <w:rPr>
          <w:rtl/>
        </w:rPr>
        <w:t xml:space="preserve"> وإذا كان المخلوق لا يحيط علماً بالروح التي تسكنه</w:t>
      </w:r>
      <w:r w:rsidR="00DB731D" w:rsidRPr="00A52585">
        <w:rPr>
          <w:rtl/>
        </w:rPr>
        <w:t>،</w:t>
      </w:r>
      <w:r w:rsidR="00777DCB" w:rsidRPr="00A52585">
        <w:rPr>
          <w:rtl/>
        </w:rPr>
        <w:t xml:space="preserve"> </w:t>
      </w:r>
      <w:r w:rsidRPr="00A52585">
        <w:rPr>
          <w:rtl/>
        </w:rPr>
        <w:t>{</w:t>
      </w:r>
      <w:r w:rsidR="00777DCB" w:rsidRPr="00A52585">
        <w:rPr>
          <w:rtl/>
        </w:rPr>
        <w:t>وَيَسْأَلُونَكَ عَنِ الرُّوحِ قُلِ الرُّوحُ مِنْ أَمْرِ رَبِّي وَمَا أُوتِيتُمْ مِنَ الْعِلْمِ إِلَّا قَلِيلًا</w:t>
      </w:r>
      <w:r w:rsidRPr="00A52585">
        <w:rPr>
          <w:rtl/>
        </w:rPr>
        <w:t>}</w:t>
      </w:r>
      <w:r w:rsidR="00777DCB" w:rsidRPr="00A52585">
        <w:rPr>
          <w:rtl/>
        </w:rPr>
        <w:t xml:space="preserve"> </w:t>
      </w:r>
      <w:r w:rsidRPr="00A52585">
        <w:rPr>
          <w:rtl/>
        </w:rPr>
        <w:t>[</w:t>
      </w:r>
      <w:r w:rsidR="00777DCB" w:rsidRPr="00A52585">
        <w:rPr>
          <w:rtl/>
        </w:rPr>
        <w:t>الاسراء</w:t>
      </w:r>
      <w:r w:rsidRPr="00A52585">
        <w:rPr>
          <w:rtl/>
        </w:rPr>
        <w:t>:</w:t>
      </w:r>
      <w:r w:rsidR="00777DCB" w:rsidRPr="00A52585">
        <w:rPr>
          <w:rtl/>
        </w:rPr>
        <w:t xml:space="preserve"> 85</w:t>
      </w:r>
      <w:r w:rsidRPr="00A52585">
        <w:rPr>
          <w:rtl/>
        </w:rPr>
        <w:t>]</w:t>
      </w:r>
      <w:r w:rsidR="00777DCB" w:rsidRPr="00A52585">
        <w:rPr>
          <w:rtl/>
        </w:rPr>
        <w:t xml:space="preserve"> فأنى له أن يُدرك شيئا عن ذات الإله</w:t>
      </w:r>
      <w:r w:rsidR="00DB731D" w:rsidRPr="00A52585">
        <w:rPr>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bCs/>
          <w:rtl/>
        </w:rPr>
        <w:t>عَالِمُ الْغَيْبِ وَالشَّهَادَةِ الْكَبِيرُ الْمُتَعَالِ</w:t>
      </w:r>
      <w:r w:rsidRPr="00A52585">
        <w:rPr>
          <w:rFonts w:hint="cs"/>
          <w:bCs/>
          <w:rtl/>
        </w:rPr>
        <w:t>}</w:t>
      </w:r>
      <w:r w:rsidR="00DB731D" w:rsidRPr="00A52585">
        <w:rPr>
          <w:rFonts w:hint="cs"/>
          <w:rtl/>
        </w:rPr>
        <w:t>،</w:t>
      </w:r>
      <w:r w:rsidR="00777DCB" w:rsidRPr="00A52585">
        <w:rPr>
          <w:rFonts w:hint="cs"/>
          <w:rtl/>
        </w:rPr>
        <w:t xml:space="preserve"> أي كبير على كل تصور</w:t>
      </w:r>
      <w:r w:rsidR="00DB731D" w:rsidRPr="00A52585">
        <w:rPr>
          <w:rFonts w:hint="cs"/>
          <w:rtl/>
        </w:rPr>
        <w:t>،</w:t>
      </w:r>
      <w:r w:rsidR="00777DCB" w:rsidRPr="00A52585">
        <w:rPr>
          <w:rFonts w:hint="cs"/>
          <w:rtl/>
        </w:rPr>
        <w:t xml:space="preserve"> ومتعال على كل تفكير</w:t>
      </w:r>
      <w:r w:rsidR="00DB731D" w:rsidRPr="00A52585">
        <w:rPr>
          <w:rFonts w:hint="cs"/>
          <w:rtl/>
        </w:rPr>
        <w:t>،</w:t>
      </w:r>
      <w:r w:rsidR="00777DCB" w:rsidRPr="00A52585">
        <w:rPr>
          <w:rFonts w:hint="cs"/>
          <w:rtl/>
        </w:rPr>
        <w:t xml:space="preserve"> لا تبلغه الأوهام ولا تدركه الأفهام</w:t>
      </w:r>
      <w:r w:rsidR="00DB731D" w:rsidRPr="00A52585">
        <w:rPr>
          <w:rFonts w:hint="cs"/>
          <w:rtl/>
        </w:rPr>
        <w:t>،</w:t>
      </w:r>
      <w:r w:rsidR="00777DCB" w:rsidRPr="00A52585">
        <w:rPr>
          <w:rFonts w:hint="cs"/>
          <w:rtl/>
        </w:rPr>
        <w:t xml:space="preserve"> ومن الأدلة من السنة النبوية قوله صلى الله عليه وسلم: </w:t>
      </w:r>
      <w:r w:rsidRPr="00A52585">
        <w:rPr>
          <w:rFonts w:hint="cs"/>
          <w:bCs/>
          <w:rtl/>
        </w:rPr>
        <w:t>(</w:t>
      </w:r>
      <w:r w:rsidR="00777DCB" w:rsidRPr="00A52585">
        <w:rPr>
          <w:rFonts w:hint="cs"/>
          <w:bCs/>
          <w:rtl/>
        </w:rPr>
        <w:t>اللهم أنت الأوَّلُ فليس قبلَك شيء، وأنت الآخِر فليس بعدَك شيء، وأنت الظاهرُ فليس فوقَكَ شيء، وأنت الباطن فليس دونَك شيء)</w:t>
      </w:r>
      <w:r w:rsidRPr="00A52585">
        <w:rPr>
          <w:rFonts w:hint="cs"/>
          <w:bCs/>
          <w:rtl/>
        </w:rPr>
        <w:t xml:space="preserve"> </w:t>
      </w:r>
      <w:r w:rsidRPr="00A52585">
        <w:rPr>
          <w:rFonts w:hint="cs"/>
          <w:rtl/>
        </w:rPr>
        <w:t>[</w:t>
      </w:r>
      <w:r w:rsidR="00777DCB" w:rsidRPr="00A52585">
        <w:rPr>
          <w:rFonts w:hint="cs"/>
          <w:rtl/>
        </w:rPr>
        <w:t>أخرجه مسلم] وإذا لم يكن قبله شيء ولا بعده شيء ولا فوقه شيء ولا دونه شيء لم يكن له شبيه ولا مثيل</w:t>
      </w:r>
      <w:r w:rsidR="00DB731D" w:rsidRPr="00A52585">
        <w:rPr>
          <w:rFonts w:hint="cs"/>
          <w:rtl/>
        </w:rPr>
        <w:t>،</w:t>
      </w:r>
      <w:r w:rsidR="00777DCB" w:rsidRPr="00A52585">
        <w:rPr>
          <w:rFonts w:hint="cs"/>
          <w:rtl/>
        </w:rPr>
        <w:t xml:space="preserve"> </w:t>
      </w:r>
      <w:r w:rsidR="00777DCB" w:rsidRPr="00A52585">
        <w:rPr>
          <w:rFonts w:hint="cs"/>
          <w:bCs/>
          <w:rtl/>
        </w:rPr>
        <w:t>وعلى ذلك</w:t>
      </w:r>
      <w:r w:rsidRPr="00A52585">
        <w:rPr>
          <w:rFonts w:hint="cs"/>
          <w:bCs/>
          <w:rtl/>
        </w:rPr>
        <w:t>:</w:t>
      </w:r>
      <w:r w:rsidR="00777DCB" w:rsidRPr="00A52585">
        <w:rPr>
          <w:rFonts w:hint="cs"/>
          <w:bCs/>
          <w:rtl/>
        </w:rPr>
        <w:t xml:space="preserve"> فذات الله تعالى ليس كمثله شيء ولا له كفء ولا شبيه وليس له مثال يقاس عليه ولا نقدر على تصوره فضلا عن وصفه ولا نحيط به علما</w:t>
      </w:r>
      <w:r w:rsidR="00DB731D" w:rsidRPr="00A52585">
        <w:rPr>
          <w:rFonts w:hint="cs"/>
          <w:bCs/>
          <w:rtl/>
        </w:rPr>
        <w:t>،</w:t>
      </w:r>
      <w:r w:rsidR="00777DCB" w:rsidRPr="00A52585">
        <w:rPr>
          <w:rFonts w:hint="cs"/>
          <w:bCs/>
          <w:rtl/>
        </w:rPr>
        <w:t xml:space="preserve"> فلا يقدره فهم ولا يصوره وهم ولا يدركه بصر ولا عقل ولا يبلغه علم وكل ما خطر ببالك فهو باطل</w:t>
      </w:r>
      <w:r w:rsidR="00DB731D" w:rsidRPr="00A52585">
        <w:rPr>
          <w:rFonts w:hint="cs"/>
          <w:rtl/>
        </w:rPr>
        <w:t>،</w:t>
      </w:r>
      <w:r w:rsidR="00777DCB" w:rsidRPr="00A52585">
        <w:rPr>
          <w:rFonts w:hint="cs"/>
          <w:rtl/>
        </w:rPr>
        <w:t xml:space="preserve"> لأنه مخلوق في عقلك وخاطرك والله خالق كل شيء وليس بمخلوق فسبحان الله عما يصفون</w:t>
      </w:r>
      <w:r w:rsidR="00DB731D" w:rsidRPr="00A52585">
        <w:rPr>
          <w:rFonts w:hint="cs"/>
          <w:rtl/>
        </w:rPr>
        <w:t>،</w:t>
      </w:r>
      <w:r w:rsidR="00777DCB" w:rsidRPr="00A52585">
        <w:rPr>
          <w:rFonts w:hint="cs"/>
          <w:rtl/>
        </w:rPr>
        <w:t xml:space="preserve"> والحمد لله أنه لا خلاف بين المسلمين - عدا المشبهة - بأنّ الله تبارك وتعالى لا يشبه شيئاً من مخلوقاته</w:t>
      </w:r>
      <w:r w:rsidR="00DB731D" w:rsidRPr="00A52585">
        <w:rPr>
          <w:rFonts w:hint="cs"/>
          <w:rtl/>
        </w:rPr>
        <w:t>،</w:t>
      </w:r>
      <w:r w:rsidR="00777DCB" w:rsidRPr="00A52585">
        <w:rPr>
          <w:rFonts w:hint="cs"/>
          <w:rtl/>
        </w:rPr>
        <w:t xml:space="preserve"> إذ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lang w:bidi="ar-KW"/>
        </w:rPr>
        <w:t xml:space="preserve"> </w:t>
      </w:r>
    </w:p>
    <w:p w14:paraId="7047534F" w14:textId="6BB68F1D" w:rsidR="00777DCB" w:rsidRPr="00A52585" w:rsidRDefault="0002035C" w:rsidP="0002035C">
      <w:pPr>
        <w:rPr>
          <w:b/>
          <w:lang w:bidi="ar-KW"/>
        </w:rPr>
      </w:pPr>
      <w:r w:rsidRPr="00A52585">
        <w:rPr>
          <w:rFonts w:cs="Monotype Koufi" w:hint="cs"/>
          <w:rtl/>
          <w:lang w:bidi="ar-KW"/>
        </w:rPr>
        <w:t>[</w:t>
      </w:r>
      <w:r w:rsidR="00777DCB" w:rsidRPr="00A52585">
        <w:rPr>
          <w:rFonts w:cs="Monotype Koufi" w:hint="cs"/>
          <w:rtl/>
          <w:lang w:bidi="ar-KW"/>
        </w:rPr>
        <w:t>2</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الله تعالى عن الحد والمقدار الذي تتصف به ذات المخلوق</w:t>
      </w:r>
      <w:r w:rsidRPr="00A52585">
        <w:rPr>
          <w:rFonts w:cs="Monotype Koufi" w:hint="cs"/>
          <w:rtl/>
          <w:lang w:bidi="ar-KW"/>
        </w:rPr>
        <w:t>:</w:t>
      </w:r>
      <w:r w:rsidR="00777DCB" w:rsidRPr="00A52585">
        <w:rPr>
          <w:rFonts w:cs="Monotype Koufi" w:hint="cs"/>
          <w:rtl/>
          <w:lang w:bidi="ar-KW"/>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لا شك في أنّ أي شيء محدود له نهاية تحده</w:t>
      </w:r>
      <w:r w:rsidR="00DB731D" w:rsidRPr="00A52585">
        <w:rPr>
          <w:rFonts w:hint="cs"/>
          <w:rtl/>
        </w:rPr>
        <w:t>،</w:t>
      </w:r>
      <w:r w:rsidR="00777DCB" w:rsidRPr="00A52585">
        <w:rPr>
          <w:rFonts w:hint="cs"/>
          <w:rtl/>
        </w:rPr>
        <w:t xml:space="preserve"> والحد معناه التناهي</w:t>
      </w:r>
      <w:r w:rsidR="00DB731D" w:rsidRPr="00A52585">
        <w:rPr>
          <w:rFonts w:hint="cs"/>
          <w:rtl/>
        </w:rPr>
        <w:t>،</w:t>
      </w:r>
      <w:r w:rsidR="00777DCB" w:rsidRPr="00A52585">
        <w:rPr>
          <w:rFonts w:hint="cs"/>
          <w:rtl/>
        </w:rPr>
        <w:t xml:space="preserve"> والتناهي في ذات الله تعالى نقص لا يجوز وصف ذات الله تعالى به</w:t>
      </w:r>
      <w:r w:rsidR="00DB731D" w:rsidRPr="00A52585">
        <w:rPr>
          <w:rFonts w:hint="cs"/>
          <w:rtl/>
        </w:rPr>
        <w:t>،</w:t>
      </w:r>
      <w:r w:rsidR="00777DCB" w:rsidRPr="00A52585">
        <w:rPr>
          <w:rFonts w:hint="cs"/>
          <w:rtl/>
        </w:rPr>
        <w:t xml:space="preserve"> لأنّ الكمال أن لا يكون للشيء حد ونهاية ينتهي إليه</w:t>
      </w:r>
      <w:r w:rsidR="00DB731D" w:rsidRPr="00A52585">
        <w:rPr>
          <w:rFonts w:hint="cs"/>
          <w:rtl/>
        </w:rPr>
        <w:t>،</w:t>
      </w:r>
      <w:r w:rsidR="00777DCB" w:rsidRPr="00A52585">
        <w:rPr>
          <w:rFonts w:hint="cs"/>
          <w:rtl/>
        </w:rPr>
        <w:t xml:space="preserve"> وإلا جاز أن يكون فوقه ما هو أكبر منه</w:t>
      </w:r>
      <w:r w:rsidR="00DB731D" w:rsidRPr="00A52585">
        <w:rPr>
          <w:rFonts w:hint="cs"/>
          <w:rtl/>
        </w:rPr>
        <w:t>،</w:t>
      </w:r>
      <w:r w:rsidR="00777DCB" w:rsidRPr="00A52585">
        <w:rPr>
          <w:rFonts w:hint="cs"/>
          <w:rtl/>
        </w:rPr>
        <w:t xml:space="preserve"> والله تعالى أكبر من كل تصور</w:t>
      </w:r>
      <w:r w:rsidR="00DB731D" w:rsidRPr="00A52585">
        <w:rPr>
          <w:rFonts w:hint="cs"/>
          <w:rtl/>
        </w:rPr>
        <w:t>،</w:t>
      </w:r>
      <w:r w:rsidR="00777DCB" w:rsidRPr="00A52585">
        <w:rPr>
          <w:rFonts w:hint="cs"/>
          <w:rtl/>
        </w:rPr>
        <w:t xml:space="preserve"> وأكبر من كل حد</w:t>
      </w:r>
      <w:r w:rsidR="00DB731D" w:rsidRPr="00A52585">
        <w:rPr>
          <w:rFonts w:hint="cs"/>
          <w:rtl/>
        </w:rPr>
        <w:t>،</w:t>
      </w:r>
      <w:r w:rsidR="00777DCB" w:rsidRPr="00A52585">
        <w:rPr>
          <w:rFonts w:hint="cs"/>
          <w:rtl/>
        </w:rPr>
        <w:t xml:space="preserve"> وأكبر من كل مقدار</w:t>
      </w:r>
      <w:r w:rsidR="00DB731D" w:rsidRPr="00A52585">
        <w:rPr>
          <w:rFonts w:hint="cs"/>
          <w:rtl/>
        </w:rPr>
        <w:t>،</w:t>
      </w:r>
      <w:r w:rsidR="00777DCB" w:rsidRPr="00A52585">
        <w:rPr>
          <w:rFonts w:hint="cs"/>
          <w:rtl/>
        </w:rPr>
        <w:t xml:space="preserve"> وأكبر من كل نهاية</w:t>
      </w:r>
      <w:r w:rsidR="00DB731D" w:rsidRPr="00A52585">
        <w:rPr>
          <w:rFonts w:hint="cs"/>
          <w:rtl/>
        </w:rPr>
        <w:t>،</w:t>
      </w:r>
      <w:r w:rsidR="00777DCB" w:rsidRPr="00A52585">
        <w:rPr>
          <w:rFonts w:hint="cs"/>
          <w:rtl/>
        </w:rPr>
        <w:t xml:space="preserve"> وهو الكبير المتعال على الحدود</w:t>
      </w:r>
      <w:r w:rsidR="00DB731D" w:rsidRPr="00A52585">
        <w:rPr>
          <w:rFonts w:hint="cs"/>
          <w:rtl/>
        </w:rPr>
        <w:t>،</w:t>
      </w:r>
      <w:r w:rsidR="00777DCB" w:rsidRPr="00A52585">
        <w:rPr>
          <w:rFonts w:hint="cs"/>
          <w:rtl/>
        </w:rPr>
        <w:t xml:space="preserve"> القاهر لكل خلقه بما حدهم عليه من حدود</w:t>
      </w:r>
      <w:r w:rsidR="00DB731D" w:rsidRPr="00A52585">
        <w:rPr>
          <w:rFonts w:hint="cs"/>
          <w:rtl/>
        </w:rPr>
        <w:t>،</w:t>
      </w:r>
      <w:r w:rsidR="00777DCB" w:rsidRPr="00A52585">
        <w:rPr>
          <w:rFonts w:hint="cs"/>
          <w:rtl/>
        </w:rPr>
        <w:t xml:space="preserve"> فهو الذي حد الحدود على خلقه بقدرته</w:t>
      </w:r>
      <w:r w:rsidR="00DB731D" w:rsidRPr="00A52585">
        <w:rPr>
          <w:rFonts w:hint="cs"/>
          <w:rtl/>
        </w:rPr>
        <w:t>،</w:t>
      </w:r>
      <w:r w:rsidR="00777DCB" w:rsidRPr="00A52585">
        <w:rPr>
          <w:rFonts w:hint="cs"/>
          <w:rtl/>
        </w:rPr>
        <w:t xml:space="preserve"> وكتب النهايات على كل محدود</w:t>
      </w:r>
      <w:r w:rsidR="00DB731D" w:rsidRPr="00A52585">
        <w:rPr>
          <w:rFonts w:hint="cs"/>
          <w:rtl/>
        </w:rPr>
        <w:t>،</w:t>
      </w:r>
      <w:r w:rsidR="00777DCB" w:rsidRPr="00A52585">
        <w:rPr>
          <w:rFonts w:hint="cs"/>
          <w:rtl/>
        </w:rPr>
        <w:t xml:space="preserve"> ليدل بحده على أنّه مخلوق له خالق قهره بحد ونهاية لا يتجاوزها إلى غيرها</w:t>
      </w:r>
      <w:r w:rsidR="00DB731D" w:rsidRPr="00A52585">
        <w:rPr>
          <w:rFonts w:hint="cs"/>
          <w:rtl/>
        </w:rPr>
        <w:t>،</w:t>
      </w:r>
      <w:r w:rsidR="00777DCB" w:rsidRPr="00A52585">
        <w:rPr>
          <w:rFonts w:hint="cs"/>
          <w:rtl/>
        </w:rPr>
        <w:t xml:space="preserve"> وكل محدود مخلوق</w:t>
      </w:r>
      <w:r w:rsidR="00DB731D" w:rsidRPr="00A52585">
        <w:rPr>
          <w:rFonts w:hint="cs"/>
          <w:rtl/>
        </w:rPr>
        <w:t>،</w:t>
      </w:r>
      <w:r w:rsidR="00777DCB" w:rsidRPr="00A52585">
        <w:rPr>
          <w:rFonts w:hint="cs"/>
          <w:rtl/>
        </w:rPr>
        <w:t xml:space="preserve"> والخالق متعالي عن الحد والنهاية</w:t>
      </w:r>
      <w:r w:rsidR="00DB731D" w:rsidRPr="00A52585">
        <w:rPr>
          <w:rFonts w:hint="cs"/>
          <w:rtl/>
        </w:rPr>
        <w:t>،</w:t>
      </w:r>
      <w:r w:rsidRPr="00A52585">
        <w:rPr>
          <w:rFonts w:hint="cs"/>
          <w:rtl/>
        </w:rPr>
        <w:t xml:space="preserve"> </w:t>
      </w:r>
      <w:r w:rsidR="00777DCB" w:rsidRPr="00A52585">
        <w:rPr>
          <w:rFonts w:hint="cs"/>
          <w:rtl/>
        </w:rPr>
        <w:t>لأنّ صفات الله تعالى لا تتناهى ولا حد لها</w:t>
      </w:r>
      <w:r w:rsidR="00DB731D" w:rsidRPr="00A52585">
        <w:rPr>
          <w:rFonts w:hint="cs"/>
          <w:rtl/>
        </w:rPr>
        <w:t>،</w:t>
      </w:r>
      <w:r w:rsidR="00777DCB" w:rsidRPr="00A52585">
        <w:rPr>
          <w:rFonts w:hint="cs"/>
          <w:rtl/>
        </w:rPr>
        <w:t xml:space="preserve"> </w:t>
      </w:r>
      <w:r w:rsidR="00777DCB" w:rsidRPr="00A52585">
        <w:rPr>
          <w:rFonts w:hint="cs"/>
          <w:rtl/>
        </w:rPr>
        <w:lastRenderedPageBreak/>
        <w:t>فلا حد لعلمه</w:t>
      </w:r>
      <w:r w:rsidR="00DB731D" w:rsidRPr="00A52585">
        <w:rPr>
          <w:rFonts w:hint="cs"/>
          <w:rtl/>
        </w:rPr>
        <w:t>،</w:t>
      </w:r>
      <w:r w:rsidR="00777DCB" w:rsidRPr="00A52585">
        <w:rPr>
          <w:rFonts w:hint="cs"/>
          <w:rtl/>
        </w:rPr>
        <w:t xml:space="preserve"> ولا حد لقدرته</w:t>
      </w:r>
      <w:r w:rsidR="00DB731D" w:rsidRPr="00A52585">
        <w:rPr>
          <w:rFonts w:hint="cs"/>
          <w:rtl/>
        </w:rPr>
        <w:t>،</w:t>
      </w:r>
      <w:r w:rsidR="00777DCB" w:rsidRPr="00A52585">
        <w:rPr>
          <w:rFonts w:hint="cs"/>
          <w:rtl/>
        </w:rPr>
        <w:t xml:space="preserve"> ولا حد لرحمته</w:t>
      </w:r>
      <w:r w:rsidR="00DB731D" w:rsidRPr="00A52585">
        <w:rPr>
          <w:rFonts w:hint="cs"/>
          <w:rtl/>
        </w:rPr>
        <w:t>،</w:t>
      </w:r>
      <w:r w:rsidR="00777DCB" w:rsidRPr="00A52585">
        <w:rPr>
          <w:rFonts w:hint="cs"/>
          <w:rtl/>
        </w:rPr>
        <w:t xml:space="preserve"> ولا حد لعزته</w:t>
      </w:r>
      <w:r w:rsidR="00DB731D" w:rsidRPr="00A52585">
        <w:rPr>
          <w:rFonts w:hint="cs"/>
          <w:rtl/>
        </w:rPr>
        <w:t>،</w:t>
      </w:r>
      <w:r w:rsidR="00777DCB" w:rsidRPr="00A52585">
        <w:rPr>
          <w:rFonts w:hint="cs"/>
          <w:rtl/>
        </w:rPr>
        <w:t xml:space="preserve"> ومن كانت تلك صفاته</w:t>
      </w:r>
      <w:r w:rsidR="00DB731D" w:rsidRPr="00A52585">
        <w:rPr>
          <w:rFonts w:hint="cs"/>
          <w:rtl/>
        </w:rPr>
        <w:t>،</w:t>
      </w:r>
      <w:r w:rsidR="00777DCB" w:rsidRPr="00A52585">
        <w:rPr>
          <w:rFonts w:hint="cs"/>
          <w:rtl/>
        </w:rPr>
        <w:t xml:space="preserve"> فلا حد لذاته</w:t>
      </w:r>
      <w:r w:rsidR="00DB731D" w:rsidRPr="00A52585">
        <w:rPr>
          <w:rFonts w:hint="cs"/>
          <w:rtl/>
        </w:rPr>
        <w:t>،</w:t>
      </w:r>
      <w:r w:rsidR="00777DCB" w:rsidRPr="00A52585">
        <w:rPr>
          <w:rFonts w:hint="cs"/>
          <w:rtl/>
        </w:rPr>
        <w:t xml:space="preserve"> ومن الأدلة على تنزيه الله تعالى عن الحد والنهاية والمقدار ما يلي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الله تعالى هو </w:t>
      </w:r>
      <w:r w:rsidRPr="00A52585">
        <w:rPr>
          <w:rFonts w:hint="cs"/>
          <w:rtl/>
        </w:rPr>
        <w:t>{</w:t>
      </w:r>
      <w:r w:rsidR="00777DCB" w:rsidRPr="00A52585">
        <w:rPr>
          <w:rFonts w:hint="cs"/>
          <w:rtl/>
        </w:rPr>
        <w:t>الواحد القهار</w:t>
      </w:r>
      <w:r w:rsidRPr="00A52585">
        <w:rPr>
          <w:rFonts w:hint="cs"/>
          <w:rtl/>
        </w:rPr>
        <w:t>}</w:t>
      </w:r>
      <w:r w:rsidR="00DB731D" w:rsidRPr="00A52585">
        <w:rPr>
          <w:rFonts w:hint="cs"/>
          <w:rtl/>
        </w:rPr>
        <w:t>،</w:t>
      </w:r>
      <w:r w:rsidR="00777DCB" w:rsidRPr="00A52585">
        <w:rPr>
          <w:rFonts w:hint="cs"/>
          <w:rtl/>
        </w:rPr>
        <w:t xml:space="preserve"> وقد تكرر ذكر </w:t>
      </w:r>
      <w:r w:rsidRPr="00A52585">
        <w:rPr>
          <w:rFonts w:hint="cs"/>
          <w:rtl/>
        </w:rPr>
        <w:t>{</w:t>
      </w:r>
      <w:r w:rsidR="00777DCB" w:rsidRPr="00A52585">
        <w:rPr>
          <w:rFonts w:hint="cs"/>
          <w:rtl/>
        </w:rPr>
        <w:t>الواحد القهار</w:t>
      </w:r>
      <w:r w:rsidRPr="00A52585">
        <w:rPr>
          <w:rFonts w:hint="cs"/>
          <w:rtl/>
        </w:rPr>
        <w:t>}</w:t>
      </w:r>
      <w:r w:rsidR="00777DCB" w:rsidRPr="00A52585">
        <w:rPr>
          <w:rFonts w:hint="cs"/>
          <w:rtl/>
        </w:rPr>
        <w:t xml:space="preserve"> في القرآن الكريم في ستة مواضع</w:t>
      </w:r>
      <w:r w:rsidR="00DB731D" w:rsidRPr="00A52585">
        <w:rPr>
          <w:rFonts w:hint="cs"/>
          <w:rtl/>
        </w:rPr>
        <w:t>،</w:t>
      </w:r>
      <w:r w:rsidR="00777DCB" w:rsidRPr="00A52585">
        <w:rPr>
          <w:rFonts w:hint="cs"/>
          <w:rtl/>
        </w:rPr>
        <w:t xml:space="preserve"> هي</w:t>
      </w:r>
      <w:r w:rsidRPr="00A52585">
        <w:rPr>
          <w:rFonts w:hint="cs"/>
          <w:rtl/>
        </w:rPr>
        <w:t xml:space="preserve"> </w:t>
      </w:r>
      <w:r w:rsidR="00777DCB" w:rsidRPr="00A52585">
        <w:rPr>
          <w:rFonts w:hint="cs"/>
          <w:rtl/>
        </w:rPr>
        <w:t>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اللَّهُ خَالِقُ كُلِّ شَيْءٍ وَهُوَ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الرعد</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وَبَرَزُوا 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إِبراهيم</w:t>
      </w:r>
      <w:r w:rsidRPr="00A52585">
        <w:rPr>
          <w:rFonts w:hint="cs"/>
          <w:rtl/>
        </w:rPr>
        <w:t>:</w:t>
      </w:r>
      <w:r w:rsidR="00777DCB" w:rsidRPr="00A52585">
        <w:rPr>
          <w:rFonts w:hint="cs"/>
          <w:rtl/>
        </w:rPr>
        <w:t xml:space="preserve"> 48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مِنْ إِلَهٍ إِلَّا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65</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{سُبْحَانَهُ هُوَ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لِمَنِ الْمُلْكُ الْيَوْمَ 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proofErr w:type="spellStart"/>
      <w:r w:rsidR="00777DCB" w:rsidRPr="00A52585">
        <w:rPr>
          <w:rFonts w:hint="cs"/>
          <w:rtl/>
        </w:rPr>
        <w:t>أَأَرْبَابٌ</w:t>
      </w:r>
      <w:proofErr w:type="spellEnd"/>
      <w:r w:rsidR="00777DCB" w:rsidRPr="00A52585">
        <w:rPr>
          <w:rFonts w:hint="cs"/>
          <w:rtl/>
        </w:rPr>
        <w:t xml:space="preserve"> مُتَفَرِّقُونَ خَيْرٌ أَمِ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يوسف</w:t>
      </w:r>
      <w:r w:rsidRPr="00A52585">
        <w:rPr>
          <w:rFonts w:hint="cs"/>
          <w:rtl/>
        </w:rPr>
        <w:t>:</w:t>
      </w:r>
      <w:r w:rsidR="00777DCB" w:rsidRPr="00A52585">
        <w:rPr>
          <w:rFonts w:hint="cs"/>
          <w:rtl/>
        </w:rPr>
        <w:t xml:space="preserve"> 39</w:t>
      </w:r>
      <w:r w:rsidRPr="00A52585">
        <w:rPr>
          <w:rFonts w:hint="cs"/>
          <w:rtl/>
        </w:rPr>
        <w:t>]</w:t>
      </w:r>
      <w:r w:rsidR="00DB731D" w:rsidRPr="00A52585">
        <w:rPr>
          <w:rFonts w:hint="cs"/>
          <w:rtl/>
        </w:rPr>
        <w:t>،</w:t>
      </w:r>
      <w:r w:rsidR="00777DCB" w:rsidRPr="00A52585">
        <w:rPr>
          <w:rFonts w:hint="cs"/>
          <w:rtl/>
        </w:rPr>
        <w:t xml:space="preserve"> والله تعالى هو القاهر فوق عباده</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الْقَاهِرُ فَوْقَ عِبَادِهِ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الأنعام 18</w:t>
      </w:r>
      <w:r w:rsidRPr="00A52585">
        <w:rPr>
          <w:rFonts w:hint="cs"/>
          <w:rtl/>
        </w:rPr>
        <w:t>]</w:t>
      </w:r>
      <w:r w:rsidR="00DB731D" w:rsidRPr="00A52585">
        <w:rPr>
          <w:rFonts w:hint="cs"/>
          <w:rtl/>
        </w:rPr>
        <w:t>،</w:t>
      </w:r>
      <w:r w:rsidR="00777DCB" w:rsidRPr="00A52585">
        <w:rPr>
          <w:rFonts w:hint="cs"/>
          <w:rtl/>
        </w:rPr>
        <w:t xml:space="preserve"> فالله تعالى هو الواحد القهار</w:t>
      </w:r>
      <w:r w:rsidR="00DB731D" w:rsidRPr="00A52585">
        <w:rPr>
          <w:rFonts w:hint="cs"/>
          <w:rtl/>
        </w:rPr>
        <w:t>،</w:t>
      </w:r>
      <w:r w:rsidR="00777DCB" w:rsidRPr="00A52585">
        <w:rPr>
          <w:rFonts w:hint="cs"/>
          <w:rtl/>
        </w:rPr>
        <w:t xml:space="preserve"> وهو سبحانه القاهر فوق عباده</w:t>
      </w:r>
      <w:r w:rsidR="00DB731D" w:rsidRPr="00A52585">
        <w:rPr>
          <w:rFonts w:hint="cs"/>
          <w:rtl/>
        </w:rPr>
        <w:t>،</w:t>
      </w:r>
      <w:r w:rsidR="00777DCB" w:rsidRPr="00A52585">
        <w:rPr>
          <w:rFonts w:hint="cs"/>
          <w:rtl/>
        </w:rPr>
        <w:t xml:space="preserve"> قهر الخلق أجمعين بالحدود والمقادير</w:t>
      </w:r>
      <w:r w:rsidR="00DB731D" w:rsidRPr="00A52585">
        <w:rPr>
          <w:rFonts w:hint="cs"/>
          <w:rtl/>
        </w:rPr>
        <w:t>،</w:t>
      </w:r>
      <w:r w:rsidR="00777DCB" w:rsidRPr="00A52585">
        <w:rPr>
          <w:rFonts w:hint="cs"/>
          <w:rtl/>
        </w:rPr>
        <w:t xml:space="preserve"> فليس مخلوق إلا مقهور بقدر معلوم وحد مخصوص</w:t>
      </w:r>
      <w:r w:rsidR="00DB731D" w:rsidRPr="00A52585">
        <w:rPr>
          <w:rFonts w:hint="cs"/>
          <w:rtl/>
        </w:rPr>
        <w:t>،</w:t>
      </w:r>
      <w:r w:rsidR="00777DCB" w:rsidRPr="00A52585">
        <w:rPr>
          <w:rFonts w:hint="cs"/>
          <w:rtl/>
        </w:rPr>
        <w:t xml:space="preserve"> لا يستطيع أن يتجاوز تلك الحدود</w:t>
      </w:r>
      <w:r w:rsidR="00DB731D" w:rsidRPr="00A52585">
        <w:rPr>
          <w:rFonts w:hint="cs"/>
          <w:rtl/>
        </w:rPr>
        <w:t>،</w:t>
      </w:r>
      <w:r w:rsidR="00777DCB" w:rsidRPr="00A52585">
        <w:rPr>
          <w:rFonts w:hint="cs"/>
          <w:rtl/>
        </w:rPr>
        <w:t xml:space="preserve"> لأنّه مقهور عليها</w:t>
      </w:r>
      <w:r w:rsidR="00DB731D" w:rsidRPr="00A52585">
        <w:rPr>
          <w:rFonts w:hint="cs"/>
          <w:rtl/>
        </w:rPr>
        <w:t>،</w:t>
      </w:r>
      <w:r w:rsidR="00777DCB" w:rsidRPr="00A52585">
        <w:rPr>
          <w:rFonts w:hint="cs"/>
          <w:rtl/>
        </w:rPr>
        <w:t xml:space="preserve"> والقاهر له هو خالقه الواحد القهار</w:t>
      </w:r>
      <w:r w:rsidR="00DB731D" w:rsidRPr="00A52585">
        <w:rPr>
          <w:rFonts w:hint="cs"/>
          <w:rtl/>
        </w:rPr>
        <w:t>،</w:t>
      </w:r>
      <w:r w:rsidR="00777DCB" w:rsidRPr="00A52585">
        <w:rPr>
          <w:rFonts w:hint="cs"/>
          <w:rtl/>
        </w:rPr>
        <w:t xml:space="preserve"> أما الخالق الواحد القهار فقد جل عن أن يقهره حدٌ أو يحده مقدار</w:t>
      </w:r>
      <w:r w:rsidR="00DB731D" w:rsidRPr="00A52585">
        <w:rPr>
          <w:rFonts w:hint="cs"/>
          <w:rtl/>
        </w:rPr>
        <w:t>،</w:t>
      </w:r>
      <w:r w:rsidR="00777DCB" w:rsidRPr="00A52585">
        <w:rPr>
          <w:rFonts w:hint="cs"/>
          <w:rtl/>
        </w:rPr>
        <w:t xml:space="preserve"> لأنّه قاهر الخلق بتلك الحدود والمقادير</w:t>
      </w:r>
      <w:r w:rsidR="00DB731D" w:rsidRPr="00A52585">
        <w:rPr>
          <w:rFonts w:hint="cs"/>
          <w:rtl/>
        </w:rPr>
        <w:t>،</w:t>
      </w:r>
      <w:r w:rsidR="00777DCB" w:rsidRPr="00A52585">
        <w:rPr>
          <w:rFonts w:hint="cs"/>
          <w:rtl/>
        </w:rPr>
        <w:t xml:space="preserve"> تنزه عن الحد والمقدار</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تنبيه</w:t>
      </w:r>
      <w:r w:rsidRPr="00A52585">
        <w:rPr>
          <w:rFonts w:hint="cs"/>
          <w:rtl/>
        </w:rPr>
        <w:t xml:space="preserve">): </w:t>
      </w:r>
      <w:r w:rsidR="00777DCB" w:rsidRPr="00A52585">
        <w:rPr>
          <w:rFonts w:hint="cs"/>
          <w:rtl/>
        </w:rPr>
        <w:t>كل مخلوق مهما كبر حجمه أو جل مقداره</w:t>
      </w:r>
      <w:r w:rsidR="00DB731D" w:rsidRPr="00A52585">
        <w:rPr>
          <w:rFonts w:hint="cs"/>
          <w:rtl/>
        </w:rPr>
        <w:t>،</w:t>
      </w:r>
      <w:r w:rsidR="00777DCB" w:rsidRPr="00A52585">
        <w:rPr>
          <w:rFonts w:hint="cs"/>
          <w:rtl/>
        </w:rPr>
        <w:t xml:space="preserve"> إلا أنّه محدود متناهي مقدر بمقدار</w:t>
      </w:r>
      <w:r w:rsidR="00DB731D" w:rsidRPr="00A52585">
        <w:rPr>
          <w:rFonts w:hint="cs"/>
          <w:rtl/>
        </w:rPr>
        <w:t>،</w:t>
      </w:r>
      <w:r w:rsidR="00777DCB" w:rsidRPr="00A52585">
        <w:rPr>
          <w:rFonts w:hint="cs"/>
          <w:rtl/>
        </w:rPr>
        <w:t xml:space="preserve"> مقهور للحدود والقيود الحاكمة عليه</w:t>
      </w:r>
      <w:r w:rsidR="00DB731D" w:rsidRPr="00A52585">
        <w:rPr>
          <w:rFonts w:hint="cs"/>
          <w:rtl/>
        </w:rPr>
        <w:t>،</w:t>
      </w:r>
      <w:r w:rsidR="00777DCB" w:rsidRPr="00A52585">
        <w:rPr>
          <w:rFonts w:hint="cs"/>
          <w:rtl/>
        </w:rPr>
        <w:t xml:space="preserve"> أما الله تعالى الواحد القهار فإنه لما</w:t>
      </w:r>
      <w:r w:rsidRPr="00A52585">
        <w:rPr>
          <w:rFonts w:hint="cs"/>
          <w:rtl/>
        </w:rPr>
        <w:t xml:space="preserve"> </w:t>
      </w:r>
      <w:r w:rsidR="00777DCB" w:rsidRPr="00A52585">
        <w:rPr>
          <w:rFonts w:hint="cs"/>
          <w:rtl/>
        </w:rPr>
        <w:t>كان قاهراً من كلّ الجهات لم تتحكّم فيه الحدود</w:t>
      </w:r>
      <w:r w:rsidR="00DB731D" w:rsidRPr="00A52585">
        <w:rPr>
          <w:rFonts w:hint="cs"/>
          <w:rtl/>
        </w:rPr>
        <w:t>،</w:t>
      </w:r>
      <w:r w:rsidR="00777DCB" w:rsidRPr="00A52585">
        <w:rPr>
          <w:rFonts w:hint="cs"/>
          <w:rtl/>
        </w:rPr>
        <w:t xml:space="preserve"> وإذا كان تعالى لا يقهره شيء وهو القاهر فوق كلّ شيء، فليس بمحدود في شيء، فهو الواحد القهار لا يشوبه نقص</w:t>
      </w:r>
      <w:r w:rsidR="00DB731D" w:rsidRPr="00A52585">
        <w:rPr>
          <w:rFonts w:hint="cs"/>
          <w:rtl/>
        </w:rPr>
        <w:t>،</w:t>
      </w:r>
      <w:r w:rsidR="00777DCB" w:rsidRPr="00A52585">
        <w:rPr>
          <w:rFonts w:hint="cs"/>
          <w:rtl/>
        </w:rPr>
        <w:t xml:space="preserve"> ولا يحده حد</w:t>
      </w:r>
      <w:r w:rsidR="00DB731D" w:rsidRPr="00A52585">
        <w:rPr>
          <w:rFonts w:hint="cs"/>
          <w:rtl/>
        </w:rPr>
        <w:t>،</w:t>
      </w:r>
      <w:r w:rsidR="00777DCB" w:rsidRPr="00A52585">
        <w:rPr>
          <w:rFonts w:hint="cs"/>
          <w:rtl/>
        </w:rPr>
        <w:t xml:space="preserve"> ولا يقدره مقدار</w:t>
      </w:r>
      <w:r w:rsidR="00DB731D" w:rsidRPr="00A52585">
        <w:rPr>
          <w:rFonts w:hint="cs"/>
          <w:rtl/>
        </w:rPr>
        <w:t>،</w:t>
      </w:r>
      <w:r w:rsidR="00777DCB" w:rsidRPr="00A52585">
        <w:rPr>
          <w:rFonts w:hint="cs"/>
          <w:rtl/>
        </w:rPr>
        <w:t xml:space="preserve"> كيف وهو الذي خلق الحدود والمقادير وهو الواحد القهار</w:t>
      </w:r>
      <w:r w:rsidR="00DB731D" w:rsidRPr="00A52585">
        <w:rPr>
          <w:rFonts w:hint="cs"/>
          <w:rtl/>
        </w:rPr>
        <w:t>،</w:t>
      </w:r>
      <w:r w:rsidRPr="00A52585">
        <w:rPr>
          <w:rFonts w:hint="cs"/>
          <w:rtl/>
        </w:rPr>
        <w:t xml:space="preserve"> (</w:t>
      </w:r>
      <w:r w:rsidR="00777DCB" w:rsidRPr="00A52585">
        <w:rPr>
          <w:rFonts w:hint="cs"/>
          <w:rtl/>
        </w:rPr>
        <w:t>ب</w:t>
      </w:r>
      <w:r w:rsidRPr="00A52585">
        <w:rPr>
          <w:rFonts w:hint="cs"/>
          <w:rtl/>
        </w:rPr>
        <w:t>)</w:t>
      </w:r>
      <w:r w:rsidR="00777DCB" w:rsidRPr="00A52585">
        <w:rPr>
          <w:rFonts w:hint="cs"/>
          <w:rtl/>
        </w:rPr>
        <w:t xml:space="preserve">بين الله تعالى في كتابه الكريم أنه تعالى خلق الأشياء وخصصها بما هي عليه من قدر معين قال تعالى: </w:t>
      </w:r>
      <w:r w:rsidRPr="00A52585">
        <w:rPr>
          <w:rFonts w:hint="cs"/>
          <w:rtl/>
        </w:rPr>
        <w:t>{</w:t>
      </w:r>
      <w:r w:rsidR="00777DCB" w:rsidRPr="00A52585">
        <w:rPr>
          <w:rFonts w:hint="cs"/>
          <w:rtl/>
        </w:rPr>
        <w:t>وخلق كل شيء فقدره تقديراً</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جعل الله لكل شيء قدرا</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{وإن من شيء إلاّ عندنا </w:t>
      </w:r>
      <w:proofErr w:type="spellStart"/>
      <w:r w:rsidR="00777DCB" w:rsidRPr="00A52585">
        <w:rPr>
          <w:rFonts w:hint="cs"/>
          <w:rtl/>
        </w:rPr>
        <w:t>خزآئنه</w:t>
      </w:r>
      <w:proofErr w:type="spellEnd"/>
      <w:r w:rsidR="00777DCB" w:rsidRPr="00A52585">
        <w:rPr>
          <w:rFonts w:hint="cs"/>
          <w:rtl/>
        </w:rPr>
        <w:t xml:space="preserve"> وما ننزله إلا بقدر معلوم</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إنا كل شيء خلقناه بقدر</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قد جعل الله لكل شيء قدرا</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وكل شيء عنده بمقدار</w:t>
      </w:r>
      <w:r w:rsidRPr="00A52585">
        <w:rPr>
          <w:rFonts w:hint="cs"/>
          <w:rtl/>
        </w:rPr>
        <w:t>}</w:t>
      </w:r>
      <w:r w:rsidR="00DB731D" w:rsidRPr="00A52585">
        <w:rPr>
          <w:rFonts w:hint="cs"/>
          <w:rtl/>
        </w:rPr>
        <w:t>،</w:t>
      </w:r>
      <w:r w:rsidR="00777DCB" w:rsidRPr="00A52585">
        <w:rPr>
          <w:rFonts w:hint="cs"/>
          <w:rtl/>
        </w:rPr>
        <w:t xml:space="preserve"> ومعنى هذه الآيات</w:t>
      </w:r>
      <w:r w:rsidRPr="00A52585">
        <w:rPr>
          <w:rFonts w:hint="cs"/>
          <w:rtl/>
        </w:rPr>
        <w:t xml:space="preserve"> </w:t>
      </w:r>
      <w:r w:rsidR="00777DCB" w:rsidRPr="00A52585">
        <w:rPr>
          <w:rFonts w:hint="cs"/>
          <w:rtl/>
        </w:rPr>
        <w:t xml:space="preserve">أن الله عز وجل خص كل مخلوق </w:t>
      </w:r>
      <w:r w:rsidRPr="00A52585">
        <w:rPr>
          <w:rFonts w:hint="cs"/>
          <w:rtl/>
        </w:rPr>
        <w:t>(</w:t>
      </w:r>
      <w:r w:rsidR="00777DCB" w:rsidRPr="00A52585">
        <w:rPr>
          <w:rFonts w:hint="cs"/>
          <w:rtl/>
        </w:rPr>
        <w:t>بحد ومقدار</w:t>
      </w:r>
      <w:r w:rsidRPr="00A52585">
        <w:rPr>
          <w:rFonts w:hint="cs"/>
          <w:rtl/>
        </w:rPr>
        <w:t>)</w:t>
      </w:r>
      <w:r w:rsidR="00777DCB" w:rsidRPr="00A52585">
        <w:rPr>
          <w:rFonts w:hint="cs"/>
          <w:rtl/>
        </w:rPr>
        <w:t xml:space="preserve"> لا يجاوزهما ولا يقصر عنهما</w:t>
      </w:r>
      <w:r w:rsidR="00DB731D" w:rsidRPr="00A52585">
        <w:rPr>
          <w:rFonts w:hint="cs"/>
          <w:rtl/>
        </w:rPr>
        <w:t>،</w:t>
      </w:r>
      <w:r w:rsidR="00777DCB" w:rsidRPr="00A52585">
        <w:rPr>
          <w:rFonts w:hint="cs"/>
          <w:rtl/>
        </w:rPr>
        <w:t xml:space="preserve"> والحد والمقدار سمتان من سمات المخلوق وبيان أن هناك خالق مقدِر خصصه على هذا الحد وهذا المقدار</w:t>
      </w:r>
      <w:r w:rsidR="00DB731D" w:rsidRPr="00A52585">
        <w:rPr>
          <w:rFonts w:hint="cs"/>
          <w:rtl/>
        </w:rPr>
        <w:t>،</w:t>
      </w:r>
      <w:r w:rsidR="00777DCB" w:rsidRPr="00A52585">
        <w:rPr>
          <w:rFonts w:hint="cs"/>
          <w:rtl/>
        </w:rPr>
        <w:t xml:space="preserve"> فكل موجود له حد ونهاية يكون الحد والنهاية دليل على انه مخلوق حادث</w:t>
      </w:r>
      <w:r w:rsidR="00DB731D" w:rsidRPr="00A52585">
        <w:rPr>
          <w:rFonts w:hint="cs"/>
          <w:rtl/>
        </w:rPr>
        <w:t>،</w:t>
      </w:r>
      <w:r w:rsidRPr="00A52585">
        <w:rPr>
          <w:rFonts w:hint="cs"/>
          <w:rtl/>
        </w:rPr>
        <w:t xml:space="preserve"> </w:t>
      </w:r>
      <w:r w:rsidR="00777DCB" w:rsidRPr="00A52585">
        <w:rPr>
          <w:rFonts w:hint="cs"/>
          <w:rtl/>
        </w:rPr>
        <w:t>وأن موجده ومخصصه على هذه الحال هو الله تعالى فمحال أن يكون الوصف</w:t>
      </w:r>
      <w:r w:rsidR="00777DCB" w:rsidRPr="00A52585">
        <w:rPr>
          <w:rFonts w:hint="cs"/>
        </w:rPr>
        <w:t xml:space="preserve"> </w:t>
      </w:r>
      <w:r w:rsidR="00777DCB" w:rsidRPr="00A52585">
        <w:rPr>
          <w:rFonts w:hint="cs"/>
          <w:rtl/>
        </w:rPr>
        <w:t xml:space="preserve">الذي يحتج به على الحدوث </w:t>
      </w:r>
      <w:proofErr w:type="spellStart"/>
      <w:r w:rsidR="00777DCB" w:rsidRPr="00A52585">
        <w:rPr>
          <w:rFonts w:hint="cs"/>
          <w:rtl/>
        </w:rPr>
        <w:t>والمخلوقية</w:t>
      </w:r>
      <w:proofErr w:type="spellEnd"/>
      <w:r w:rsidR="00777DCB" w:rsidRPr="00A52585">
        <w:rPr>
          <w:rFonts w:hint="cs"/>
          <w:rtl/>
        </w:rPr>
        <w:t xml:space="preserve"> وصفا لله تعالى في ذاته أو صفاته فلا حد لذات الله تعالى وتقدس ولا حد لصفات الله عز وجل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القاعدة </w:t>
      </w:r>
      <w:proofErr w:type="spellStart"/>
      <w:r w:rsidR="00777DCB" w:rsidRPr="00A52585">
        <w:rPr>
          <w:rFonts w:hint="cs"/>
          <w:rtl/>
        </w:rPr>
        <w:t>تقول</w:t>
      </w:r>
      <w:r w:rsidRPr="00A52585">
        <w:rPr>
          <w:rFonts w:hint="cs"/>
          <w:rtl/>
        </w:rPr>
        <w:t>:</w:t>
      </w:r>
      <w:r w:rsidR="00777DCB" w:rsidRPr="00A52585">
        <w:rPr>
          <w:rFonts w:hint="cs"/>
          <w:rtl/>
        </w:rPr>
        <w:t>كل</w:t>
      </w:r>
      <w:proofErr w:type="spellEnd"/>
      <w:r w:rsidR="00777DCB" w:rsidRPr="00A52585">
        <w:rPr>
          <w:rFonts w:hint="cs"/>
          <w:rtl/>
        </w:rPr>
        <w:t xml:space="preserve"> ما يقبل الحد</w:t>
      </w:r>
      <w:r w:rsidRPr="00A52585">
        <w:rPr>
          <w:rFonts w:hint="cs"/>
          <w:rtl/>
        </w:rPr>
        <w:t xml:space="preserve"> </w:t>
      </w:r>
      <w:r w:rsidR="00777DCB" w:rsidRPr="00A52585">
        <w:rPr>
          <w:rFonts w:hint="cs"/>
          <w:rtl/>
        </w:rPr>
        <w:t>فهو محدود</w:t>
      </w:r>
      <w:r w:rsidR="00DB731D" w:rsidRPr="00A52585">
        <w:rPr>
          <w:rFonts w:hint="cs"/>
          <w:rtl/>
        </w:rPr>
        <w:t>،</w:t>
      </w:r>
      <w:r w:rsidR="00777DCB" w:rsidRPr="00A52585">
        <w:rPr>
          <w:rFonts w:hint="cs"/>
          <w:rtl/>
        </w:rPr>
        <w:t xml:space="preserve"> وما يحد شيء بحد إلا وهو متناهي </w:t>
      </w:r>
      <w:r w:rsidR="00777DCB" w:rsidRPr="00A52585">
        <w:rPr>
          <w:rFonts w:hint="cs"/>
          <w:rtl/>
        </w:rPr>
        <w:lastRenderedPageBreak/>
        <w:t>الذات</w:t>
      </w:r>
      <w:r w:rsidR="00DB731D" w:rsidRPr="00A52585">
        <w:rPr>
          <w:rFonts w:hint="cs"/>
          <w:rtl/>
        </w:rPr>
        <w:t>،</w:t>
      </w:r>
      <w:r w:rsidR="00777DCB" w:rsidRPr="00A52585">
        <w:rPr>
          <w:rFonts w:hint="cs"/>
          <w:rtl/>
        </w:rPr>
        <w:t xml:space="preserve"> وكل</w:t>
      </w:r>
      <w:r w:rsidR="00777DCB" w:rsidRPr="00A52585">
        <w:rPr>
          <w:rFonts w:hint="cs"/>
        </w:rPr>
        <w:t xml:space="preserve"> </w:t>
      </w:r>
      <w:r w:rsidR="00777DCB" w:rsidRPr="00A52585">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Pr="00A52585">
        <w:rPr>
          <w:rFonts w:hint="cs"/>
          <w:rtl/>
        </w:rPr>
        <w:t xml:space="preserve"> </w:t>
      </w:r>
      <w:r w:rsidR="00777DCB" w:rsidRPr="00A52585">
        <w:rPr>
          <w:rFonts w:hint="cs"/>
          <w:rtl/>
        </w:rPr>
        <w:t>لا حد له فيها فبالتالي فلا حد لذاته تنزه عن الحد والمقدار والحصر والنهاية وكل ما يفيد الحدوث والخلق</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كيف نصف الله تعالى بالحد والمقدار</w:t>
      </w:r>
      <w:r w:rsidR="00DB731D" w:rsidRPr="00A52585">
        <w:rPr>
          <w:rFonts w:hint="cs"/>
          <w:rtl/>
        </w:rPr>
        <w:t>،</w:t>
      </w:r>
      <w:r w:rsidR="00777DCB" w:rsidRPr="00A52585">
        <w:rPr>
          <w:rFonts w:hint="cs"/>
          <w:rtl/>
        </w:rPr>
        <w:t xml:space="preserve"> ونحن نقول في كل صلاة وعند كل حركة وانتقال</w:t>
      </w:r>
      <w:r w:rsidR="00DB731D" w:rsidRPr="00A52585">
        <w:rPr>
          <w:rFonts w:hint="cs"/>
          <w:rtl/>
        </w:rPr>
        <w:t>،</w:t>
      </w:r>
      <w:r w:rsidR="00777DCB" w:rsidRPr="00A52585">
        <w:rPr>
          <w:rFonts w:hint="cs"/>
          <w:rtl/>
        </w:rPr>
        <w:t xml:space="preserve"> وفي الاذكار عقب الصلوات وفي الصباح والمساء (</w:t>
      </w:r>
      <w:r w:rsidRPr="00A52585">
        <w:rPr>
          <w:rFonts w:hint="cs"/>
          <w:rtl/>
        </w:rPr>
        <w:t>(</w:t>
      </w:r>
      <w:r w:rsidR="00777DCB" w:rsidRPr="00A52585">
        <w:rPr>
          <w:rFonts w:hint="cs"/>
          <w:rtl/>
        </w:rPr>
        <w:t>الله أكبر</w:t>
      </w:r>
      <w:r w:rsidRPr="00A52585">
        <w:rPr>
          <w:rFonts w:hint="cs"/>
          <w:rtl/>
        </w:rPr>
        <w:t>)</w:t>
      </w:r>
      <w:r w:rsidR="00777DCB" w:rsidRPr="00A52585">
        <w:rPr>
          <w:rFonts w:hint="cs"/>
          <w:rtl/>
        </w:rPr>
        <w:t>) ومعناها</w:t>
      </w:r>
      <w:r w:rsidRPr="00A52585">
        <w:rPr>
          <w:rFonts w:hint="cs"/>
          <w:rtl/>
        </w:rPr>
        <w:t>:</w:t>
      </w:r>
      <w:r w:rsidR="00777DCB" w:rsidRPr="00A52585">
        <w:rPr>
          <w:rFonts w:hint="cs"/>
          <w:rtl/>
        </w:rPr>
        <w:t xml:space="preserve"> الله أكبر من كل تصور</w:t>
      </w:r>
      <w:r w:rsidR="00DB731D" w:rsidRPr="00A52585">
        <w:rPr>
          <w:rFonts w:hint="cs"/>
          <w:rtl/>
        </w:rPr>
        <w:t>،</w:t>
      </w:r>
      <w:r w:rsidR="00777DCB" w:rsidRPr="00A52585">
        <w:rPr>
          <w:rFonts w:hint="cs"/>
          <w:rtl/>
        </w:rPr>
        <w:t xml:space="preserve"> والله أكبر من كل خيال</w:t>
      </w:r>
      <w:r w:rsidR="00DB731D" w:rsidRPr="00A52585">
        <w:rPr>
          <w:rFonts w:hint="cs"/>
          <w:rtl/>
        </w:rPr>
        <w:t>،</w:t>
      </w:r>
      <w:r w:rsidR="00777DCB" w:rsidRPr="00A52585">
        <w:rPr>
          <w:rFonts w:hint="cs"/>
          <w:rtl/>
        </w:rPr>
        <w:t xml:space="preserve"> والله أكبر من كل حد</w:t>
      </w:r>
      <w:r w:rsidR="00DB731D" w:rsidRPr="00A52585">
        <w:rPr>
          <w:rFonts w:hint="cs"/>
          <w:rtl/>
        </w:rPr>
        <w:t>،</w:t>
      </w:r>
      <w:r w:rsidR="00777DCB" w:rsidRPr="00A52585">
        <w:rPr>
          <w:rFonts w:hint="cs"/>
          <w:rtl/>
        </w:rPr>
        <w:t xml:space="preserve"> والله أكبر من كل مقدار</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ج</w:t>
      </w:r>
      <w:r w:rsidRPr="00A52585">
        <w:rPr>
          <w:rFonts w:hint="cs"/>
          <w:rtl/>
        </w:rPr>
        <w:t>)</w:t>
      </w:r>
      <w:r w:rsidR="00777DCB" w:rsidRPr="00A52585">
        <w:rPr>
          <w:rFonts w:hint="cs"/>
          <w:rtl/>
        </w:rPr>
        <w:t xml:space="preserve"> المخلوقات جميعها محدودة وإن اختلفت حدودها</w:t>
      </w:r>
      <w:r w:rsidRPr="00A52585">
        <w:rPr>
          <w:rFonts w:hint="cs"/>
          <w:rtl/>
        </w:rPr>
        <w:t xml:space="preserve"> </w:t>
      </w:r>
      <w:r w:rsidR="00777DCB" w:rsidRPr="00A52585">
        <w:rPr>
          <w:rFonts w:hint="cs"/>
          <w:rtl/>
        </w:rPr>
        <w:t>فمنها ما هو ضخم بالغ الضخامة كالعرش ومنها ما هو ضئيل بالغ الضآلة كالبعوضة إلا أنها جميعا تشترك في صفة الحد</w:t>
      </w:r>
      <w:r w:rsidRPr="00A52585">
        <w:rPr>
          <w:rFonts w:hint="cs"/>
          <w:rtl/>
        </w:rPr>
        <w:t xml:space="preserve"> </w:t>
      </w:r>
      <w:r w:rsidR="00777DCB" w:rsidRPr="00A52585">
        <w:rPr>
          <w:rFonts w:hint="cs"/>
          <w:rtl/>
        </w:rPr>
        <w:t>والمحدودية لأنها جميعا مخلوقة والمخلوق محدود الذات والصفات</w:t>
      </w:r>
      <w:r w:rsidRPr="00A52585">
        <w:rPr>
          <w:rFonts w:hint="cs"/>
          <w:rtl/>
        </w:rPr>
        <w:t xml:space="preserve"> </w:t>
      </w:r>
      <w:r w:rsidR="00777DCB" w:rsidRPr="00A52585">
        <w:rPr>
          <w:rFonts w:hint="cs"/>
          <w:rtl/>
        </w:rPr>
        <w:t>والله تعالى ليس كمثله شيء في ذاته فليس له فيها حد وإلا شابه المخلوق وليس كمثله شيء في صفاته فليس له فيها حد</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ح</w:t>
      </w:r>
      <w:r w:rsidRPr="00A52585">
        <w:rPr>
          <w:rFonts w:hint="cs"/>
          <w:rtl/>
        </w:rPr>
        <w:t xml:space="preserve">) </w:t>
      </w:r>
      <w:r w:rsidR="00777DCB" w:rsidRPr="00A52585">
        <w:rPr>
          <w:rFonts w:hint="cs"/>
          <w:rtl/>
        </w:rPr>
        <w:t>كل</w:t>
      </w:r>
      <w:r w:rsidR="00777DCB" w:rsidRPr="00A52585">
        <w:rPr>
          <w:rFonts w:hint="cs"/>
        </w:rPr>
        <w:t xml:space="preserve"> </w:t>
      </w:r>
      <w:r w:rsidR="00777DCB" w:rsidRPr="00A52585">
        <w:rPr>
          <w:rFonts w:hint="cs"/>
          <w:rtl/>
        </w:rPr>
        <w:t>متناه مٌحدَث لأن تخصيصه بهذا المقدار دون سائر المقادير</w:t>
      </w:r>
      <w:r w:rsidR="00777DCB" w:rsidRPr="00A52585">
        <w:rPr>
          <w:rFonts w:hint="cs"/>
        </w:rPr>
        <w:t xml:space="preserve"> </w:t>
      </w:r>
      <w:r w:rsidR="00777DCB" w:rsidRPr="00A52585">
        <w:rPr>
          <w:rFonts w:hint="cs"/>
          <w:rtl/>
        </w:rPr>
        <w:t>لا بد له من مخصص</w:t>
      </w:r>
      <w:r w:rsidR="00DB731D" w:rsidRPr="00A52585">
        <w:rPr>
          <w:rFonts w:hint="cs"/>
          <w:rtl/>
          <w:lang w:bidi="ar-KW"/>
        </w:rPr>
        <w:t>،</w:t>
      </w:r>
      <w:r w:rsidRPr="00A52585">
        <w:rPr>
          <w:rFonts w:hint="cs"/>
          <w:rtl/>
          <w:lang w:bidi="ar-KW"/>
        </w:rPr>
        <w:t xml:space="preserve"> </w:t>
      </w:r>
      <w:r w:rsidR="00777DCB" w:rsidRPr="00A52585">
        <w:rPr>
          <w:rFonts w:hint="cs"/>
          <w:rtl/>
        </w:rPr>
        <w:t>وجل الخالق تعالى عن ذلك أن يكون لذاته مخصص</w:t>
      </w:r>
      <w:r w:rsidR="00DB731D" w:rsidRPr="00A52585">
        <w:rPr>
          <w:rFonts w:hint="cs"/>
          <w:rtl/>
        </w:rPr>
        <w:t>،</w:t>
      </w:r>
      <w:r w:rsidR="00777DCB" w:rsidRPr="00A52585">
        <w:rPr>
          <w:rFonts w:hint="cs"/>
          <w:rtl/>
        </w:rPr>
        <w:t xml:space="preserve"> لأنه الخالق</w:t>
      </w:r>
      <w:r w:rsidR="00DB731D" w:rsidRPr="00A52585">
        <w:rPr>
          <w:rFonts w:hint="cs"/>
          <w:rtl/>
        </w:rPr>
        <w:t>،</w:t>
      </w:r>
      <w:r w:rsidR="00777DCB" w:rsidRPr="00A52585">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DB731D" w:rsidRPr="00A52585">
        <w:rPr>
          <w:rFonts w:hint="cs"/>
          <w:rtl/>
        </w:rPr>
        <w:t>،</w:t>
      </w:r>
      <w:r w:rsidR="00777DCB" w:rsidRPr="00A52585">
        <w:rPr>
          <w:rFonts w:hint="cs"/>
          <w:rtl/>
        </w:rPr>
        <w:t xml:space="preserve"> لان التقدير يوجب الخلق والحد يوجب الحدوث لحاجة الحد إلى حادّ يحده والله تعالى قديم بلا ابتداء ودائم بلا </w:t>
      </w:r>
      <w:proofErr w:type="spellStart"/>
      <w:r w:rsidR="00777DCB" w:rsidRPr="00A52585">
        <w:rPr>
          <w:rFonts w:hint="cs"/>
          <w:rtl/>
        </w:rPr>
        <w:t>انتهاء</w:t>
      </w:r>
      <w:r w:rsidR="00DB731D" w:rsidRPr="00A52585">
        <w:rPr>
          <w:rFonts w:hint="cs"/>
          <w:rtl/>
        </w:rPr>
        <w:t>،</w:t>
      </w:r>
      <w:r w:rsidR="00777DCB" w:rsidRPr="00A52585">
        <w:rPr>
          <w:rFonts w:hint="cs"/>
          <w:rtl/>
        </w:rPr>
        <w:t>لم</w:t>
      </w:r>
      <w:proofErr w:type="spellEnd"/>
      <w:r w:rsidR="00777DCB" w:rsidRPr="00A52585">
        <w:rPr>
          <w:rFonts w:hint="cs"/>
          <w:rtl/>
        </w:rPr>
        <w:t xml:space="preserve"> يزل منزه عن الحدوث هو الأول فليس قبله شيء</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خ</w:t>
      </w:r>
      <w:r w:rsidRPr="00A52585">
        <w:rPr>
          <w:rFonts w:hint="cs"/>
          <w:rtl/>
        </w:rPr>
        <w:t xml:space="preserve">) </w:t>
      </w:r>
      <w:r w:rsidR="00777DCB" w:rsidRPr="00A52585">
        <w:rPr>
          <w:rFonts w:hint="cs"/>
          <w:rtl/>
        </w:rPr>
        <w:t>الحد نقص والنهاية عجز والله تعالى منزه عن النقص والعجز</w:t>
      </w:r>
      <w:r w:rsidR="00DB731D" w:rsidRPr="00A52585">
        <w:rPr>
          <w:rFonts w:hint="cs"/>
          <w:rtl/>
        </w:rPr>
        <w:t>،</w:t>
      </w:r>
      <w:r w:rsidR="00777DCB" w:rsidRPr="00A52585">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DB731D" w:rsidRPr="00A52585">
        <w:rPr>
          <w:rFonts w:hint="cs"/>
          <w:rtl/>
        </w:rPr>
        <w:t>،</w:t>
      </w:r>
      <w:r w:rsidR="00777DCB" w:rsidRPr="00A52585">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Pr="00A52585">
        <w:rPr>
          <w:rFonts w:hint="cs"/>
          <w:rtl/>
        </w:rPr>
        <w:t>(</w:t>
      </w:r>
      <w:r w:rsidR="00777DCB" w:rsidRPr="00A52585">
        <w:rPr>
          <w:rFonts w:hint="cs"/>
          <w:rtl/>
        </w:rPr>
        <w:t>سبحانه وحاشاه</w:t>
      </w:r>
      <w:r w:rsidRPr="00A52585">
        <w:rPr>
          <w:rFonts w:hint="cs"/>
          <w:rtl/>
        </w:rPr>
        <w:t>)</w:t>
      </w:r>
      <w:r w:rsidR="00777DCB" w:rsidRPr="00A52585">
        <w:rPr>
          <w:rFonts w:hint="cs"/>
          <w:rtl/>
        </w:rPr>
        <w:t xml:space="preserve"> فإنه يُتصور في الأذهان ما هو أكبر من ذاته</w:t>
      </w:r>
      <w:r w:rsidR="00DB731D" w:rsidRPr="00A52585">
        <w:rPr>
          <w:rFonts w:hint="cs"/>
          <w:rtl/>
        </w:rPr>
        <w:t>،</w:t>
      </w:r>
      <w:r w:rsidR="00777DCB" w:rsidRPr="00A52585">
        <w:rPr>
          <w:rFonts w:hint="cs"/>
          <w:rtl/>
        </w:rPr>
        <w:t xml:space="preserve"> كما تصور البعض بأذهانهم السقيمة أن العرش أكبر من ذات الله ويفضله بأربعة أصابع وهم يقولون عند كل صلاة </w:t>
      </w:r>
      <w:r w:rsidRPr="00A52585">
        <w:rPr>
          <w:rFonts w:hint="cs"/>
          <w:rtl/>
        </w:rPr>
        <w:t>(</w:t>
      </w:r>
      <w:r w:rsidR="00777DCB" w:rsidRPr="00A52585">
        <w:rPr>
          <w:rFonts w:hint="cs"/>
          <w:rtl/>
        </w:rPr>
        <w:t>الله أكبر</w:t>
      </w:r>
      <w:r w:rsidRPr="00A52585">
        <w:rPr>
          <w:rFonts w:hint="cs"/>
          <w:rtl/>
        </w:rPr>
        <w:t>)</w:t>
      </w:r>
      <w:r w:rsidR="00777DCB" w:rsidRPr="00A52585">
        <w:rPr>
          <w:rFonts w:hint="cs"/>
          <w:rtl/>
        </w:rPr>
        <w:t xml:space="preserve"> فكيف جاز لهم أن يجعلوا ذات العرش اكبر من ذات الله سبحانه تعالى الله عما يصفون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تنبيه</w:t>
      </w:r>
      <w:r w:rsidRPr="00A52585">
        <w:rPr>
          <w:rFonts w:hint="cs"/>
          <w:rtl/>
        </w:rPr>
        <w:t>):</w:t>
      </w:r>
      <w:r w:rsidR="00777DCB" w:rsidRPr="00A52585">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DB731D" w:rsidRPr="00A52585">
        <w:rPr>
          <w:rFonts w:hint="cs"/>
          <w:rtl/>
        </w:rPr>
        <w:t>،</w:t>
      </w:r>
      <w:r w:rsidR="00777DCB" w:rsidRPr="00A52585">
        <w:rPr>
          <w:rFonts w:hint="cs"/>
          <w:rtl/>
        </w:rPr>
        <w:t xml:space="preserve"> </w:t>
      </w:r>
      <w:r w:rsidRPr="00A52585">
        <w:rPr>
          <w:rFonts w:hint="cs"/>
          <w:rtl/>
        </w:rPr>
        <w:lastRenderedPageBreak/>
        <w:t>(</w:t>
      </w:r>
      <w:r w:rsidR="00777DCB" w:rsidRPr="00A52585">
        <w:rPr>
          <w:rFonts w:hint="cs"/>
          <w:rtl/>
        </w:rPr>
        <w:t>د</w:t>
      </w:r>
      <w:r w:rsidRPr="00A52585">
        <w:rPr>
          <w:rFonts w:hint="cs"/>
          <w:rtl/>
        </w:rPr>
        <w:t>)</w:t>
      </w:r>
      <w:r w:rsidR="00777DCB" w:rsidRPr="00A52585">
        <w:rPr>
          <w:rFonts w:hint="cs"/>
          <w:rtl/>
        </w:rPr>
        <w:t xml:space="preserve"> الحدود مخلوقة والله عز وجل هو خالق الحدود فلا تجري الحدود على ذاته</w:t>
      </w:r>
      <w:r w:rsidR="00DB731D" w:rsidRPr="00A52585">
        <w:rPr>
          <w:rFonts w:hint="cs"/>
          <w:rtl/>
        </w:rPr>
        <w:t>،</w:t>
      </w:r>
      <w:r w:rsidR="00777DCB" w:rsidRPr="00A52585">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Pr="00A52585">
        <w:rPr>
          <w:rFonts w:hint="cs"/>
          <w:rtl/>
        </w:rPr>
        <w:t>}</w:t>
      </w:r>
      <w:r w:rsidR="00777DCB" w:rsidRPr="00A52585">
        <w:rPr>
          <w:rFonts w:hint="cs"/>
          <w:rtl/>
        </w:rPr>
        <w:t>، لا انتهاء لقدرته ولا حد لعلمه فكذلك ذاته المقدسة تنزهت عن الحد والحصر والمقدار</w:t>
      </w:r>
      <w:r w:rsidR="00DB731D" w:rsidRPr="00A52585">
        <w:rPr>
          <w:rFonts w:hint="cs"/>
          <w:rtl/>
        </w:rPr>
        <w:t>،</w:t>
      </w:r>
      <w:r w:rsidR="00777DCB" w:rsidRPr="00A52585">
        <w:rPr>
          <w:rFonts w:hint="cs"/>
          <w:rtl/>
        </w:rPr>
        <w:t xml:space="preserve"> لأن الحد نقص والحصر عجز والمقدار خلق و </w:t>
      </w:r>
      <w:r w:rsidRPr="00A52585">
        <w:rPr>
          <w:rFonts w:hint="cs"/>
          <w:rtl/>
        </w:rPr>
        <w:t>(</w:t>
      </w:r>
      <w:r w:rsidR="00777DCB" w:rsidRPr="00A52585">
        <w:rPr>
          <w:rFonts w:hint="cs"/>
          <w:rtl/>
        </w:rPr>
        <w:t>الله اكبر</w:t>
      </w:r>
      <w:r w:rsidRPr="00A52585">
        <w:rPr>
          <w:rFonts w:hint="cs"/>
          <w:rtl/>
        </w:rPr>
        <w:t>)</w:t>
      </w:r>
      <w:r w:rsidR="00777DCB" w:rsidRPr="00A52585">
        <w:rPr>
          <w:rFonts w:hint="cs"/>
          <w:rtl/>
        </w:rPr>
        <w:t xml:space="preserve"> من كل حد </w:t>
      </w:r>
      <w:r w:rsidRPr="00A52585">
        <w:rPr>
          <w:rFonts w:hint="cs"/>
          <w:rtl/>
        </w:rPr>
        <w:t>(</w:t>
      </w:r>
      <w:r w:rsidR="00777DCB" w:rsidRPr="00A52585">
        <w:rPr>
          <w:rFonts w:hint="cs"/>
          <w:rtl/>
        </w:rPr>
        <w:t>وأعظم</w:t>
      </w:r>
      <w:r w:rsidRPr="00A52585">
        <w:rPr>
          <w:rFonts w:hint="cs"/>
          <w:rtl/>
        </w:rPr>
        <w:t>)</w:t>
      </w:r>
      <w:r w:rsidR="00777DCB" w:rsidRPr="00A52585">
        <w:rPr>
          <w:rFonts w:hint="cs"/>
          <w:rtl/>
        </w:rPr>
        <w:t xml:space="preserve"> من كل حصر </w:t>
      </w:r>
      <w:r w:rsidRPr="00A52585">
        <w:rPr>
          <w:rFonts w:hint="cs"/>
          <w:rtl/>
        </w:rPr>
        <w:t>(</w:t>
      </w:r>
      <w:r w:rsidR="00777DCB" w:rsidRPr="00A52585">
        <w:rPr>
          <w:rFonts w:hint="cs"/>
          <w:rtl/>
        </w:rPr>
        <w:t>ومتعال) على كل نهاية ومقدار</w:t>
      </w:r>
      <w:r w:rsidR="00DB731D" w:rsidRPr="00A52585">
        <w:rPr>
          <w:rFonts w:hint="cs"/>
          <w:rtl/>
        </w:rPr>
        <w:t>،</w:t>
      </w:r>
      <w:r w:rsidR="00777DCB" w:rsidRPr="00A52585">
        <w:rPr>
          <w:rFonts w:hint="cs"/>
          <w:rtl/>
        </w:rPr>
        <w:t xml:space="preserve"> حد الحدود وقدر المقادير على خلقه لا على ذاته سبحانه هو الواحد القهار</w:t>
      </w:r>
      <w:r w:rsidR="00DB731D" w:rsidRPr="00A52585">
        <w:rPr>
          <w:rFonts w:hint="cs"/>
          <w:rtl/>
        </w:rPr>
        <w:t>،</w:t>
      </w:r>
      <w:r w:rsidRPr="00A52585">
        <w:rPr>
          <w:rFonts w:hint="cs"/>
          <w:rtl/>
        </w:rPr>
        <w:t xml:space="preserve"> (</w:t>
      </w:r>
      <w:r w:rsidR="00777DCB" w:rsidRPr="00A52585">
        <w:rPr>
          <w:rFonts w:hint="cs"/>
          <w:rtl/>
        </w:rPr>
        <w:t>ذ</w:t>
      </w:r>
      <w:r w:rsidRPr="00A52585">
        <w:rPr>
          <w:rFonts w:hint="cs"/>
          <w:rtl/>
        </w:rPr>
        <w:t>)</w:t>
      </w:r>
      <w:r w:rsidR="00777DCB" w:rsidRPr="00A52585">
        <w:rPr>
          <w:rFonts w:hint="cs"/>
          <w:rtl/>
        </w:rPr>
        <w:t xml:space="preserve"> وليس معنى تنزيه الذات عن الحد والمقدار</w:t>
      </w:r>
      <w:r w:rsidR="00DB731D" w:rsidRPr="00A52585">
        <w:rPr>
          <w:rFonts w:hint="cs"/>
          <w:rtl/>
        </w:rPr>
        <w:t>،</w:t>
      </w:r>
      <w:r w:rsidR="00777DCB" w:rsidRPr="00A52585">
        <w:rPr>
          <w:rFonts w:hint="cs"/>
          <w:rtl/>
        </w:rPr>
        <w:t xml:space="preserve"> أن نصف الذات بالاتساع الحسي الذي لا نهاية له</w:t>
      </w:r>
      <w:r w:rsidR="00DB731D" w:rsidRPr="00A52585">
        <w:rPr>
          <w:rFonts w:hint="cs"/>
          <w:rtl/>
        </w:rPr>
        <w:t>،</w:t>
      </w:r>
      <w:r w:rsidR="00777DCB" w:rsidRPr="00A52585">
        <w:rPr>
          <w:rFonts w:hint="cs"/>
          <w:rtl/>
        </w:rPr>
        <w:t xml:space="preserve"> أو الكبر الحسي الذي يُقاس بالمسافات</w:t>
      </w:r>
      <w:r w:rsidR="00DB731D" w:rsidRPr="00A52585">
        <w:rPr>
          <w:rFonts w:hint="cs"/>
          <w:rtl/>
        </w:rPr>
        <w:t>،</w:t>
      </w:r>
      <w:r w:rsidR="00777DCB" w:rsidRPr="00A52585">
        <w:rPr>
          <w:rFonts w:hint="cs"/>
          <w:rtl/>
        </w:rPr>
        <w:t xml:space="preserve"> أو الحجم الذي تجاوز مقداره كل مقدار</w:t>
      </w:r>
      <w:r w:rsidR="00DB731D" w:rsidRPr="00A52585">
        <w:rPr>
          <w:rFonts w:hint="cs"/>
          <w:rtl/>
        </w:rPr>
        <w:t>،</w:t>
      </w:r>
      <w:r w:rsidR="00777DCB" w:rsidRPr="00A52585">
        <w:rPr>
          <w:rFonts w:hint="cs"/>
          <w:rtl/>
        </w:rPr>
        <w:t xml:space="preserve"> تعالى الله عن ذلك علواً كبيرا</w:t>
      </w:r>
      <w:r w:rsidR="00DB731D" w:rsidRPr="00A52585">
        <w:rPr>
          <w:rFonts w:hint="cs"/>
          <w:rtl/>
        </w:rPr>
        <w:t>،</w:t>
      </w:r>
      <w:r w:rsidR="00777DCB" w:rsidRPr="00A52585">
        <w:rPr>
          <w:rFonts w:hint="cs"/>
          <w:rtl/>
        </w:rPr>
        <w:t xml:space="preserve"> وإنما المقصود أن الذات منزه عن الحد والمقدار الحسيين</w:t>
      </w:r>
      <w:r w:rsidR="00DB731D" w:rsidRPr="00A52585">
        <w:rPr>
          <w:rFonts w:hint="cs"/>
          <w:rtl/>
        </w:rPr>
        <w:t>،</w:t>
      </w:r>
      <w:r w:rsidR="00777DCB" w:rsidRPr="00A52585">
        <w:rPr>
          <w:rFonts w:hint="cs"/>
          <w:rtl/>
        </w:rPr>
        <w:t xml:space="preserve"> كمالات الذات لا تتناهى</w:t>
      </w:r>
      <w:r w:rsidR="00DB731D" w:rsidRPr="00A52585">
        <w:rPr>
          <w:rFonts w:hint="cs"/>
          <w:rtl/>
        </w:rPr>
        <w:t>،</w:t>
      </w:r>
      <w:r w:rsidR="00777DCB" w:rsidRPr="00A52585">
        <w:rPr>
          <w:rFonts w:hint="cs"/>
          <w:rtl/>
        </w:rPr>
        <w:t xml:space="preserve"> فلا حد حسي ولا معنوي لذاته تنتهي إليه</w:t>
      </w:r>
      <w:r w:rsidR="00DB731D" w:rsidRPr="00A52585">
        <w:rPr>
          <w:rFonts w:hint="cs"/>
          <w:rtl/>
        </w:rPr>
        <w:t>،</w:t>
      </w:r>
      <w:r w:rsidR="00777DCB" w:rsidRPr="00A52585">
        <w:rPr>
          <w:rFonts w:hint="cs"/>
          <w:rtl/>
        </w:rPr>
        <w:t xml:space="preserve"> ولا مقدار لها يحدد قدرها</w:t>
      </w:r>
      <w:r w:rsidR="00DB731D" w:rsidRPr="00A52585">
        <w:rPr>
          <w:rFonts w:hint="cs"/>
          <w:rtl/>
        </w:rPr>
        <w:t>،</w:t>
      </w:r>
      <w:r w:rsidR="00777DCB" w:rsidRPr="00A52585">
        <w:rPr>
          <w:rFonts w:hint="cs"/>
          <w:rtl/>
        </w:rPr>
        <w:t xml:space="preserve"> لأنّ الحد مهما اتسع</w:t>
      </w:r>
      <w:r w:rsidR="00DB731D" w:rsidRPr="00A52585">
        <w:rPr>
          <w:rFonts w:hint="cs"/>
          <w:rtl/>
        </w:rPr>
        <w:t>،</w:t>
      </w:r>
      <w:r w:rsidR="00777DCB" w:rsidRPr="00A52585">
        <w:rPr>
          <w:rFonts w:hint="cs"/>
          <w:rtl/>
        </w:rPr>
        <w:t xml:space="preserve"> ولأنّ المقدار مهما عظم وكبر فإنّه صفة المخلوق</w:t>
      </w:r>
      <w:r w:rsidR="00DB731D" w:rsidRPr="00A52585">
        <w:rPr>
          <w:rFonts w:hint="cs"/>
          <w:rtl/>
        </w:rPr>
        <w:t>،</w:t>
      </w:r>
      <w:r w:rsidR="00777DCB" w:rsidRPr="00A52585">
        <w:rPr>
          <w:rFonts w:hint="cs"/>
          <w:rtl/>
        </w:rPr>
        <w:t xml:space="preserve"> ويُحتمل وجود ما هو أكبر واعظم منه</w:t>
      </w:r>
      <w:r w:rsidR="00DB731D" w:rsidRPr="00A52585">
        <w:rPr>
          <w:rFonts w:hint="cs"/>
          <w:rtl/>
        </w:rPr>
        <w:t>،</w:t>
      </w:r>
      <w:r w:rsidR="00777DCB" w:rsidRPr="00A52585">
        <w:rPr>
          <w:rFonts w:hint="cs"/>
          <w:rtl/>
        </w:rPr>
        <w:t xml:space="preserve"> والخالق - سبحانه - لا تسري عليه قوانين المواد والأجسام لأنّه خالق كل ذلك</w:t>
      </w:r>
      <w:r w:rsidR="00DB731D" w:rsidRPr="00A52585">
        <w:rPr>
          <w:rFonts w:hint="cs"/>
          <w:rtl/>
        </w:rPr>
        <w:t>،</w:t>
      </w:r>
      <w:r w:rsidR="00777DCB" w:rsidRPr="00A52585">
        <w:rPr>
          <w:rFonts w:hint="cs"/>
          <w:rtl/>
        </w:rPr>
        <w:t xml:space="preserve"> ولا يُحتمل وجود ما هو أكبر</w:t>
      </w:r>
      <w:r w:rsidR="00DB731D" w:rsidRPr="00A52585">
        <w:rPr>
          <w:rFonts w:hint="cs"/>
          <w:rtl/>
        </w:rPr>
        <w:t>،</w:t>
      </w:r>
      <w:r w:rsidR="00777DCB" w:rsidRPr="00A52585">
        <w:rPr>
          <w:rFonts w:hint="cs"/>
          <w:rtl/>
        </w:rPr>
        <w:t xml:space="preserve"> أو اعظم منه</w:t>
      </w:r>
      <w:r w:rsidR="00DB731D" w:rsidRPr="00A52585">
        <w:rPr>
          <w:rFonts w:hint="cs"/>
          <w:rtl/>
        </w:rPr>
        <w:t>،</w:t>
      </w:r>
      <w:r w:rsidR="00777DCB" w:rsidRPr="00A52585">
        <w:rPr>
          <w:rFonts w:hint="cs"/>
          <w:rtl/>
        </w:rPr>
        <w:t xml:space="preserve"> لأنّ من أسمائه الحسنى</w:t>
      </w:r>
      <w:r w:rsidRPr="00A52585">
        <w:rPr>
          <w:rFonts w:hint="cs"/>
          <w:rtl/>
        </w:rPr>
        <w:t>:</w:t>
      </w:r>
      <w:r w:rsidR="00777DCB" w:rsidRPr="00A52585">
        <w:rPr>
          <w:rFonts w:hint="cs"/>
          <w:rtl/>
        </w:rPr>
        <w:t xml:space="preserve"> الكبير</w:t>
      </w:r>
      <w:r w:rsidRPr="00A52585">
        <w:rPr>
          <w:rFonts w:hint="cs"/>
          <w:rtl/>
        </w:rPr>
        <w:t xml:space="preserve"> </w:t>
      </w:r>
      <w:r w:rsidR="00777DCB" w:rsidRPr="00A52585">
        <w:rPr>
          <w:rFonts w:hint="cs"/>
          <w:rtl/>
        </w:rPr>
        <w:t>المتعال</w:t>
      </w:r>
      <w:r w:rsidR="00DB731D" w:rsidRPr="00A52585">
        <w:rPr>
          <w:rFonts w:hint="cs"/>
          <w:rtl/>
        </w:rPr>
        <w:t>،</w:t>
      </w:r>
      <w:r w:rsidR="00777DCB" w:rsidRPr="00A52585">
        <w:rPr>
          <w:rFonts w:hint="cs"/>
          <w:rtl/>
        </w:rPr>
        <w:t xml:space="preserve"> والعلي العظيم</w:t>
      </w:r>
      <w:r w:rsidR="00DB731D" w:rsidRPr="00A52585">
        <w:rPr>
          <w:rFonts w:hint="cs"/>
          <w:rtl/>
        </w:rPr>
        <w:t>،</w:t>
      </w:r>
      <w:r w:rsidR="00777DCB" w:rsidRPr="00A52585">
        <w:rPr>
          <w:rFonts w:hint="cs"/>
          <w:rtl/>
        </w:rPr>
        <w:t xml:space="preserve"> ليس كمثل ذاته ذات ولا مثل صفاته صفات</w:t>
      </w:r>
      <w:r w:rsidR="00DB731D" w:rsidRPr="00A52585">
        <w:rPr>
          <w:rFonts w:hint="cs"/>
          <w:rtl/>
        </w:rPr>
        <w:t>،</w:t>
      </w:r>
      <w:r w:rsidR="00777DCB" w:rsidRPr="00A52585">
        <w:rPr>
          <w:rFonts w:hint="cs"/>
          <w:rtl/>
        </w:rPr>
        <w:t xml:space="preserve"> منزه عن كل ما يخطر بالبال لأنّ كل ما خطر بالبال هو مخلوق</w:t>
      </w:r>
      <w:r w:rsidR="00DB731D" w:rsidRPr="00A52585">
        <w:rPr>
          <w:rFonts w:hint="cs"/>
          <w:rtl/>
        </w:rPr>
        <w:t>،</w:t>
      </w:r>
      <w:r w:rsidR="00777DCB" w:rsidRPr="00A52585">
        <w:rPr>
          <w:rFonts w:hint="cs"/>
          <w:rtl/>
        </w:rPr>
        <w:t xml:space="preserve"> والمخلوق المحدث المحدود لا يُدرك الخالق القديم المنزه عن الحدود</w:t>
      </w:r>
      <w:r w:rsidR="00DB731D" w:rsidRPr="00A52585">
        <w:rPr>
          <w:rFonts w:hint="cs"/>
          <w:rtl/>
        </w:rPr>
        <w:t>،</w:t>
      </w:r>
      <w:r w:rsidR="00777DCB" w:rsidRPr="00A52585">
        <w:rPr>
          <w:rFonts w:hint="cs"/>
          <w:rtl/>
        </w:rPr>
        <w:t xml:space="preserve"> فالله تعالى أكبر من كل تصور</w:t>
      </w:r>
      <w:r w:rsidR="00DB731D" w:rsidRPr="00A52585">
        <w:rPr>
          <w:rFonts w:hint="cs"/>
          <w:rtl/>
        </w:rPr>
        <w:t>،</w:t>
      </w:r>
      <w:r w:rsidR="00777DCB" w:rsidRPr="00A52585">
        <w:rPr>
          <w:rFonts w:hint="cs"/>
          <w:rtl/>
        </w:rPr>
        <w:t xml:space="preserve"> وأعظم من أن نحيط به علما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يَعْلَمُ مَا بَيْنَ أَيْدِيهِمْ وَمَا خَلْفَهُمْ وَلَا يُحِيطُونَ بِهِ عِلْمًا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110</w:t>
      </w:r>
      <w:r w:rsidRPr="00A52585">
        <w:rPr>
          <w:rFonts w:hint="cs"/>
          <w:rtl/>
        </w:rPr>
        <w:t>]</w:t>
      </w:r>
      <w:r w:rsidR="00DB731D" w:rsidRPr="00A52585">
        <w:rPr>
          <w:rFonts w:hint="cs"/>
          <w:rtl/>
        </w:rPr>
        <w:t>،</w:t>
      </w:r>
      <w:r w:rsidR="00777DCB" w:rsidRPr="00A52585">
        <w:rPr>
          <w:rFonts w:hint="cs"/>
          <w:rtl/>
        </w:rPr>
        <w:t xml:space="preserve"> فالذات لا يُدرك</w:t>
      </w:r>
      <w:r w:rsidR="00DB731D" w:rsidRPr="00A52585">
        <w:rPr>
          <w:rFonts w:hint="cs"/>
          <w:rtl/>
        </w:rPr>
        <w:t>،</w:t>
      </w:r>
      <w:r w:rsidR="00777DCB" w:rsidRPr="00A52585">
        <w:rPr>
          <w:rFonts w:hint="cs"/>
          <w:rtl/>
        </w:rPr>
        <w:t xml:space="preserve"> ويجب على كل مسلم الاقرار بالعجز ومنع </w:t>
      </w:r>
      <w:proofErr w:type="spellStart"/>
      <w:r w:rsidR="00777DCB" w:rsidRPr="00A52585">
        <w:rPr>
          <w:rFonts w:hint="cs"/>
          <w:rtl/>
        </w:rPr>
        <w:t>التتشبيه</w:t>
      </w:r>
      <w:proofErr w:type="spellEnd"/>
      <w:r w:rsidR="00777DCB" w:rsidRPr="00A52585">
        <w:rPr>
          <w:rFonts w:hint="cs"/>
          <w:rtl/>
        </w:rPr>
        <w:t xml:space="preserve"> والتمثيل</w:t>
      </w:r>
      <w:r w:rsidR="00DB731D" w:rsidRPr="00A52585">
        <w:rPr>
          <w:rFonts w:hint="cs"/>
          <w:rtl/>
        </w:rPr>
        <w:t>،</w:t>
      </w:r>
      <w:r w:rsidR="00777DCB" w:rsidRPr="00A52585">
        <w:rPr>
          <w:rFonts w:hint="cs"/>
          <w:rtl/>
        </w:rPr>
        <w:t xml:space="preserve"> وأن يعيش على التقديس والتنزيه والتسبيح</w:t>
      </w:r>
      <w:r w:rsidR="00DB731D" w:rsidRPr="00A52585">
        <w:rPr>
          <w:rFonts w:hint="cs"/>
          <w:rtl/>
        </w:rPr>
        <w:t>،</w:t>
      </w:r>
      <w:r w:rsidRPr="00A52585">
        <w:rPr>
          <w:rFonts w:hint="cs"/>
          <w:rtl/>
        </w:rPr>
        <w:t xml:space="preserve"> </w:t>
      </w:r>
      <w:r w:rsidR="00777DCB" w:rsidRPr="00A52585">
        <w:rPr>
          <w:rFonts w:hint="cs"/>
          <w:rtl/>
        </w:rPr>
        <w:t xml:space="preserve">فالله تعالى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وكل شيء سواه مخلوق مقدر محدود</w:t>
      </w:r>
      <w:r w:rsidR="00DB731D" w:rsidRPr="00A52585">
        <w:rPr>
          <w:rFonts w:hint="cs"/>
          <w:rtl/>
        </w:rPr>
        <w:t>،</w:t>
      </w:r>
      <w:r w:rsidR="00777DCB" w:rsidRPr="00A52585">
        <w:rPr>
          <w:rFonts w:hint="cs"/>
          <w:rtl/>
        </w:rPr>
        <w:t xml:space="preserve"> وكما ذكرت فإنّ من أراد التنزيه والتقديس فليذهب بعقله إلى ما فوق المادة والاجسام</w:t>
      </w:r>
      <w:r w:rsidR="00DB731D" w:rsidRPr="00A52585">
        <w:rPr>
          <w:rFonts w:hint="cs"/>
          <w:rtl/>
        </w:rPr>
        <w:t>،</w:t>
      </w:r>
      <w:r w:rsidR="00777DCB" w:rsidRPr="00A52585">
        <w:rPr>
          <w:rFonts w:hint="cs"/>
          <w:rtl/>
        </w:rPr>
        <w:t xml:space="preserve"> وليصف ذهنه عن مماثلة ذات الله تعالى بذوات خلقه</w:t>
      </w:r>
      <w:r w:rsidR="00DB731D" w:rsidRPr="00A52585">
        <w:rPr>
          <w:rFonts w:hint="cs"/>
          <w:rtl/>
        </w:rPr>
        <w:t>،</w:t>
      </w:r>
      <w:r w:rsidR="00777DCB" w:rsidRPr="00A52585">
        <w:rPr>
          <w:rFonts w:hint="cs"/>
          <w:rtl/>
        </w:rPr>
        <w:t xml:space="preserve"> وليذهب إلى التسبيح القلبي والتنزيه العقلي والتقديس العقائدي حيث الاقرار بالعجز عن الإدراك</w:t>
      </w:r>
      <w:r w:rsidR="00DB731D" w:rsidRPr="00A52585">
        <w:rPr>
          <w:rFonts w:hint="cs"/>
          <w:rtl/>
        </w:rPr>
        <w:t>،</w:t>
      </w:r>
      <w:r w:rsidR="00777DCB" w:rsidRPr="00A52585">
        <w:rPr>
          <w:rFonts w:hint="cs"/>
          <w:rtl/>
        </w:rPr>
        <w:t xml:space="preserve"> واليقين في وجود الواحد الأحد الذي ليس كمثل وجوده وجود</w:t>
      </w:r>
      <w:r w:rsidR="00DB731D" w:rsidRPr="00A52585">
        <w:rPr>
          <w:rFonts w:hint="cs"/>
          <w:rtl/>
        </w:rPr>
        <w:t>،</w:t>
      </w:r>
      <w:r w:rsidR="00777DCB" w:rsidRPr="00A52585">
        <w:rPr>
          <w:rFonts w:hint="cs"/>
          <w:rtl/>
        </w:rPr>
        <w:t xml:space="preserve"> ولا كمثل ذاته ذات</w:t>
      </w:r>
      <w:r w:rsidR="00DB731D" w:rsidRPr="00A52585">
        <w:rPr>
          <w:rFonts w:hint="cs"/>
          <w:rtl/>
        </w:rPr>
        <w:t>،</w:t>
      </w:r>
      <w:r w:rsidR="00777DCB" w:rsidRPr="00A52585">
        <w:rPr>
          <w:rFonts w:hint="cs"/>
          <w:rtl/>
        </w:rPr>
        <w:t xml:space="preserve"> ولا كمثل صفاته صفات</w:t>
      </w:r>
      <w:r w:rsidR="00DB731D" w:rsidRPr="00A52585">
        <w:rPr>
          <w:rFonts w:hint="cs"/>
          <w:rtl/>
        </w:rPr>
        <w:t>،</w:t>
      </w:r>
      <w:r w:rsidR="00777DCB" w:rsidRPr="00A52585">
        <w:rPr>
          <w:rFonts w:hint="cs"/>
          <w:rtl/>
        </w:rPr>
        <w:t xml:space="preserve"> تنزهت ذاته وصفاته عن كل حد ومقدار</w:t>
      </w:r>
      <w:r w:rsidR="00DB731D" w:rsidRPr="00A52585">
        <w:rPr>
          <w:rFonts w:hint="cs"/>
          <w:rtl/>
        </w:rPr>
        <w:t>،</w:t>
      </w:r>
      <w:r w:rsidR="00777DCB" w:rsidRPr="00A52585">
        <w:rPr>
          <w:rFonts w:hint="cs"/>
          <w:rtl/>
        </w:rPr>
        <w:t xml:space="preserve"> فإن لم يستطع ان يخرج من اطار المادة والاجسام وجميع المخلوقات المحدودة المقدرة</w:t>
      </w:r>
      <w:r w:rsidR="00DB731D" w:rsidRPr="00A52585">
        <w:rPr>
          <w:rFonts w:hint="cs"/>
          <w:rtl/>
        </w:rPr>
        <w:t>،</w:t>
      </w:r>
      <w:r w:rsidR="00777DCB" w:rsidRPr="00A52585">
        <w:rPr>
          <w:rFonts w:hint="cs"/>
          <w:rtl/>
        </w:rPr>
        <w:t xml:space="preserve"> فليوقن أنّه عامي ناقص العلم في باب توحيد الذات والصفات والافعال</w:t>
      </w:r>
      <w:r w:rsidR="00DB731D" w:rsidRPr="00A52585">
        <w:rPr>
          <w:rFonts w:hint="cs"/>
          <w:rtl/>
        </w:rPr>
        <w:t>،</w:t>
      </w:r>
      <w:r w:rsidR="00777DCB" w:rsidRPr="00A52585">
        <w:rPr>
          <w:rFonts w:hint="cs"/>
          <w:rtl/>
        </w:rPr>
        <w:t xml:space="preserve"> فلا يحل له القول على الله تعالى بغير علم ولا هدى ولا كتاب منير</w:t>
      </w:r>
      <w:r w:rsidR="00DB731D" w:rsidRPr="00A52585">
        <w:rPr>
          <w:rFonts w:hint="cs"/>
          <w:rtl/>
        </w:rPr>
        <w:t>،</w:t>
      </w:r>
      <w:r w:rsidR="00777DCB" w:rsidRPr="00A52585">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DB731D" w:rsidRPr="00A52585">
        <w:rPr>
          <w:rFonts w:hint="cs"/>
          <w:rtl/>
        </w:rPr>
        <w:t>،</w:t>
      </w:r>
      <w:r w:rsidR="00777DCB" w:rsidRPr="00A52585">
        <w:rPr>
          <w:rFonts w:hint="cs"/>
          <w:rtl/>
        </w:rPr>
        <w:t xml:space="preserve"> </w:t>
      </w:r>
      <w:r w:rsidR="00777DCB" w:rsidRPr="00A52585">
        <w:rPr>
          <w:rFonts w:hint="cs"/>
          <w:rtl/>
        </w:rPr>
        <w:lastRenderedPageBreak/>
        <w:t>وكل ما خطر بالبال فالله تعالى بخلافه</w:t>
      </w:r>
      <w:r w:rsidR="00DB731D" w:rsidRPr="00A52585">
        <w:rPr>
          <w:rFonts w:hint="cs"/>
          <w:rtl/>
        </w:rPr>
        <w:t>،</w:t>
      </w:r>
      <w:r w:rsidR="00777DCB" w:rsidRPr="00A52585">
        <w:rPr>
          <w:rFonts w:hint="cs"/>
          <w:rtl/>
        </w:rPr>
        <w:t xml:space="preserve"> ونحن لا نُطالب كل مسلم بالولوج في علم التقديس</w:t>
      </w:r>
      <w:r w:rsidR="00DB731D" w:rsidRPr="00A52585">
        <w:rPr>
          <w:rFonts w:hint="cs"/>
          <w:rtl/>
        </w:rPr>
        <w:t>،</w:t>
      </w:r>
      <w:r w:rsidR="00777DCB" w:rsidRPr="00A52585">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ر</w:t>
      </w:r>
      <w:r w:rsidRPr="00A52585">
        <w:rPr>
          <w:rFonts w:hint="cs"/>
          <w:rtl/>
        </w:rPr>
        <w:t>)</w:t>
      </w:r>
      <w:r w:rsidR="00777DCB" w:rsidRPr="00A52585">
        <w:rPr>
          <w:rFonts w:hint="cs"/>
          <w:rtl/>
        </w:rPr>
        <w:t xml:space="preserve"> قد يأتي بعض من حرم نور التنزيه - أسأل الله تعالى لهم بقلب صادق هذه البصيرة وهذا النور - فيقول</w:t>
      </w:r>
      <w:r w:rsidRPr="00A52585">
        <w:rPr>
          <w:rFonts w:hint="cs"/>
          <w:rtl/>
        </w:rPr>
        <w:t>:</w:t>
      </w:r>
      <w:r w:rsidR="00777DCB" w:rsidRPr="00A52585">
        <w:rPr>
          <w:rFonts w:hint="cs"/>
          <w:rtl/>
        </w:rPr>
        <w:t xml:space="preserve"> إن الله عز وجل وصف نفسه بأنه سميع بصير </w:t>
      </w:r>
      <w:r w:rsidRPr="00A52585">
        <w:rPr>
          <w:rFonts w:hint="cs"/>
          <w:rtl/>
        </w:rPr>
        <w:t>{</w:t>
      </w:r>
      <w:r w:rsidR="00777DCB" w:rsidRPr="00A52585">
        <w:rPr>
          <w:rFonts w:hint="cs"/>
          <w:rtl/>
        </w:rPr>
        <w:t>وكان الله سميعا بصيرا</w:t>
      </w:r>
      <w:r w:rsidRPr="00A52585">
        <w:rPr>
          <w:rFonts w:hint="cs"/>
          <w:rtl/>
        </w:rPr>
        <w:t xml:space="preserve">} </w:t>
      </w:r>
      <w:r w:rsidR="00777DCB" w:rsidRPr="00A52585">
        <w:rPr>
          <w:rFonts w:hint="cs"/>
          <w:rtl/>
        </w:rPr>
        <w:t xml:space="preserve">ووصف بعض خلقه بأنه سميع بصير </w:t>
      </w:r>
      <w:r w:rsidRPr="00A52585">
        <w:rPr>
          <w:rFonts w:hint="cs"/>
          <w:rtl/>
        </w:rPr>
        <w:t>{</w:t>
      </w:r>
      <w:r w:rsidR="00777DCB" w:rsidRPr="00A52585">
        <w:rPr>
          <w:rFonts w:hint="cs"/>
          <w:rtl/>
        </w:rPr>
        <w:t>فجعلناه سميعا بصيرا</w:t>
      </w:r>
      <w:r w:rsidRPr="00A52585">
        <w:rPr>
          <w:rFonts w:hint="cs"/>
          <w:rtl/>
        </w:rPr>
        <w:t>}</w:t>
      </w:r>
      <w:r w:rsidR="00DB731D" w:rsidRPr="00A52585">
        <w:rPr>
          <w:rFonts w:hint="cs"/>
          <w:rtl/>
        </w:rPr>
        <w:t>،</w:t>
      </w:r>
      <w:r w:rsidR="00777DCB" w:rsidRPr="00A52585">
        <w:rPr>
          <w:rFonts w:hint="cs"/>
          <w:rtl/>
        </w:rPr>
        <w:t xml:space="preserve"> فما المانع أن يكون للمخلوق حد وينتهي إليه وكذلك يكون للخالق حد ينتهي إليه ولا يعلمه إلا هو</w:t>
      </w:r>
      <w:r w:rsidR="00DB731D" w:rsidRPr="00A52585">
        <w:rPr>
          <w:rFonts w:hint="cs"/>
          <w:rtl/>
        </w:rPr>
        <w:t>،</w:t>
      </w:r>
      <w:r w:rsidR="00777DCB" w:rsidRPr="00A52585">
        <w:rPr>
          <w:rFonts w:hint="cs"/>
          <w:rtl/>
        </w:rPr>
        <w:t xml:space="preserve"> والجواب عن تلك الشبهة من وجهين</w:t>
      </w:r>
      <w:r w:rsidRPr="00A52585">
        <w:rPr>
          <w:rFonts w:hint="cs"/>
          <w:rtl/>
        </w:rPr>
        <w:t>:</w:t>
      </w:r>
      <w:r w:rsidR="00777DCB" w:rsidRPr="00A52585">
        <w:rPr>
          <w:rFonts w:hint="cs"/>
          <w:rtl/>
        </w:rPr>
        <w:t xml:space="preserve"> الوجه الأول</w:t>
      </w:r>
      <w:r w:rsidRPr="00A52585">
        <w:rPr>
          <w:rFonts w:hint="cs"/>
          <w:rtl/>
        </w:rPr>
        <w:t>:</w:t>
      </w:r>
      <w:r w:rsidR="00777DCB" w:rsidRPr="00A52585">
        <w:rPr>
          <w:rFonts w:hint="cs"/>
          <w:rtl/>
        </w:rPr>
        <w:t xml:space="preserve"> أن السمع والبصر والعلم صفات مدح من كل وجه ولله تعالى كمال الصفات من العلم والسمع والبصر</w:t>
      </w:r>
      <w:r w:rsidR="00DB731D" w:rsidRPr="00A52585">
        <w:rPr>
          <w:rFonts w:hint="cs"/>
          <w:rtl/>
        </w:rPr>
        <w:t>،</w:t>
      </w:r>
      <w:r w:rsidR="00777DCB" w:rsidRPr="00A52585">
        <w:rPr>
          <w:rFonts w:hint="cs"/>
          <w:rtl/>
        </w:rPr>
        <w:t xml:space="preserve"> وقد أكرم بعض خلقه بالسمع والبصر والعلم تفضلا منه سبحانه</w:t>
      </w:r>
      <w:r w:rsidR="00DB731D" w:rsidRPr="00A52585">
        <w:rPr>
          <w:rFonts w:hint="cs"/>
          <w:rtl/>
        </w:rPr>
        <w:t>،</w:t>
      </w:r>
      <w:r w:rsidR="00777DCB" w:rsidRPr="00A52585">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DB731D" w:rsidRPr="00A52585">
        <w:rPr>
          <w:rFonts w:hint="cs"/>
          <w:rtl/>
        </w:rPr>
        <w:t>،</w:t>
      </w:r>
      <w:r w:rsidR="00777DCB" w:rsidRPr="00A52585">
        <w:rPr>
          <w:rFonts w:hint="cs"/>
          <w:rtl/>
        </w:rPr>
        <w:t xml:space="preserve"> وشتان بين الخالق والمخلوق وبين الغني عن الخلق والفقير إلى الله </w:t>
      </w:r>
      <w:r w:rsidRPr="00A52585">
        <w:rPr>
          <w:rFonts w:hint="cs"/>
          <w:rtl/>
        </w:rPr>
        <w:t>(</w:t>
      </w:r>
      <w:r w:rsidR="00777DCB" w:rsidRPr="00A52585">
        <w:rPr>
          <w:rFonts w:hint="cs"/>
          <w:rtl/>
        </w:rPr>
        <w:t>أنتم الفقراء إلى الله والله هو الغني الحميد</w:t>
      </w:r>
      <w:r w:rsidRPr="00A52585">
        <w:rPr>
          <w:rFonts w:hint="cs"/>
          <w:rtl/>
        </w:rPr>
        <w:t>)</w:t>
      </w:r>
      <w:r w:rsidR="00777DCB" w:rsidRPr="00A52585">
        <w:rPr>
          <w:rFonts w:hint="cs"/>
          <w:rtl/>
        </w:rPr>
        <w:t xml:space="preserve"> والوجه الثاني للجواب</w:t>
      </w:r>
      <w:r w:rsidRPr="00A52585">
        <w:rPr>
          <w:rFonts w:hint="cs"/>
          <w:rtl/>
        </w:rPr>
        <w:t>:</w:t>
      </w:r>
      <w:r w:rsidR="00777DCB" w:rsidRPr="00A52585">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Pr="00A52585">
        <w:rPr>
          <w:rFonts w:hint="cs"/>
          <w:rtl/>
        </w:rPr>
        <w:t>(</w:t>
      </w:r>
      <w:r w:rsidR="00777DCB" w:rsidRPr="00A52585">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Pr="00A52585">
        <w:rPr>
          <w:rFonts w:hint="cs"/>
          <w:rtl/>
        </w:rPr>
        <w:t>)</w:t>
      </w:r>
      <w:r w:rsidR="00777DCB" w:rsidRPr="00A52585">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DB731D" w:rsidRPr="00A52585">
        <w:rPr>
          <w:rFonts w:hint="cs"/>
          <w:rtl/>
        </w:rPr>
        <w:t>،</w:t>
      </w:r>
      <w:r w:rsidR="00777DCB" w:rsidRPr="00A52585">
        <w:rPr>
          <w:rFonts w:hint="cs"/>
          <w:rtl/>
        </w:rPr>
        <w:t xml:space="preserve"> والحاصل أن الحد والحصر حاصل للمخلوق في ذاته وصفاته والتنزيه عن الحد والحصر والمقدار حاصل لله تعالى في ذاته وصفاته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تنبيه ضروري</w:t>
      </w:r>
      <w:r w:rsidRPr="00A52585">
        <w:rPr>
          <w:rFonts w:hint="cs"/>
          <w:rtl/>
        </w:rPr>
        <w:t>):</w:t>
      </w:r>
      <w:r w:rsidR="00777DCB" w:rsidRPr="00A52585">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DB731D" w:rsidRPr="00A52585">
        <w:rPr>
          <w:rFonts w:hint="cs"/>
          <w:rtl/>
        </w:rPr>
        <w:t>،</w:t>
      </w:r>
      <w:r w:rsidR="00777DCB" w:rsidRPr="00A52585">
        <w:rPr>
          <w:rFonts w:hint="cs"/>
          <w:rtl/>
        </w:rPr>
        <w:t xml:space="preserve"> والعجز عن درك الإدراك إدراك</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ز</w:t>
      </w:r>
      <w:r w:rsidRPr="00A52585">
        <w:rPr>
          <w:rFonts w:hint="cs"/>
          <w:rtl/>
        </w:rPr>
        <w:t>)</w:t>
      </w:r>
      <w:r w:rsidR="00777DCB" w:rsidRPr="00A52585">
        <w:rPr>
          <w:rFonts w:hint="cs"/>
          <w:rtl/>
        </w:rPr>
        <w:t xml:space="preserve"> الكون جميعه من العرش إلى الفرش مهما اتسع محدود</w:t>
      </w:r>
      <w:r w:rsidR="00DB731D" w:rsidRPr="00A52585">
        <w:rPr>
          <w:rFonts w:hint="cs"/>
          <w:rtl/>
        </w:rPr>
        <w:t>،</w:t>
      </w:r>
      <w:r w:rsidR="00777DCB" w:rsidRPr="00A52585">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DB731D" w:rsidRPr="00A52585">
        <w:rPr>
          <w:rFonts w:hint="cs"/>
          <w:rtl/>
        </w:rPr>
        <w:t>،</w:t>
      </w:r>
      <w:r w:rsidR="00777DCB" w:rsidRPr="00A52585">
        <w:rPr>
          <w:rFonts w:hint="cs"/>
          <w:rtl/>
        </w:rPr>
        <w:t xml:space="preserve"> أما الخالق الذي له الكمال المطلق في ذاته المقدسة وأسمائه الحسنى وصفاته العلى فهو المنزه عن كل نهاية </w:t>
      </w:r>
      <w:r w:rsidR="00777DCB" w:rsidRPr="00A52585">
        <w:rPr>
          <w:rFonts w:hint="cs"/>
          <w:rtl/>
        </w:rPr>
        <w:lastRenderedPageBreak/>
        <w:t xml:space="preserve">وحدود </w:t>
      </w:r>
      <w:r w:rsidRPr="00A52585">
        <w:rPr>
          <w:rFonts w:hint="cs"/>
          <w:rtl/>
        </w:rPr>
        <w:t>(</w:t>
      </w:r>
      <w:r w:rsidR="00777DCB" w:rsidRPr="00A52585">
        <w:rPr>
          <w:rFonts w:hint="cs"/>
          <w:rtl/>
        </w:rPr>
        <w:t>والله اكبر</w:t>
      </w:r>
      <w:r w:rsidRPr="00A52585">
        <w:rPr>
          <w:rFonts w:hint="cs"/>
          <w:rtl/>
        </w:rPr>
        <w:t>)</w:t>
      </w:r>
      <w:r w:rsidR="00777DCB" w:rsidRPr="00A52585">
        <w:rPr>
          <w:rFonts w:hint="cs"/>
          <w:rtl/>
        </w:rPr>
        <w:t xml:space="preserve"> عن كل تصور محدود جل عن الإحاطة</w:t>
      </w:r>
      <w:r w:rsidR="00DB731D" w:rsidRPr="00A52585">
        <w:rPr>
          <w:rFonts w:hint="cs"/>
          <w:rtl/>
        </w:rPr>
        <w:t>،</w:t>
      </w:r>
      <w:r w:rsidR="00777DCB" w:rsidRPr="00A52585">
        <w:rPr>
          <w:rFonts w:hint="cs"/>
          <w:rtl/>
        </w:rPr>
        <w:t xml:space="preserve"> إذ كيف يحيط المخلوق المحدود علما بالخالق المنزه عن الحدود </w:t>
      </w:r>
      <w:r w:rsidRPr="00A52585">
        <w:rPr>
          <w:rFonts w:hint="cs"/>
          <w:rtl/>
        </w:rPr>
        <w:t>(</w:t>
      </w:r>
      <w:r w:rsidR="00777DCB" w:rsidRPr="00A52585">
        <w:rPr>
          <w:rFonts w:hint="cs"/>
          <w:rtl/>
        </w:rPr>
        <w:t>ولا يحيطون به علما</w:t>
      </w:r>
      <w:r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لم يكن له كفوا احد</w:t>
      </w:r>
      <w:r w:rsidRPr="00A52585">
        <w:rPr>
          <w:rFonts w:hint="cs"/>
          <w:rtl/>
        </w:rPr>
        <w:t>)</w:t>
      </w:r>
      <w:r w:rsidR="00777DCB" w:rsidRPr="00A52585">
        <w:rPr>
          <w:rFonts w:hint="cs"/>
          <w:rtl/>
        </w:rPr>
        <w:t xml:space="preserve"> ف </w:t>
      </w:r>
      <w:r w:rsidRPr="00A52585">
        <w:rPr>
          <w:rFonts w:hint="cs"/>
          <w:rtl/>
        </w:rPr>
        <w:t>(</w:t>
      </w:r>
      <w:r w:rsidR="00777DCB" w:rsidRPr="00A52585">
        <w:rPr>
          <w:rFonts w:hint="cs"/>
          <w:rtl/>
        </w:rPr>
        <w:t>لا تضربوا لله الأمثال إن الله يعلم وأنتم لا تعلمون</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س</w:t>
      </w:r>
      <w:r w:rsidRPr="00A52585">
        <w:rPr>
          <w:rFonts w:hint="cs"/>
          <w:rtl/>
        </w:rPr>
        <w:t>)</w:t>
      </w:r>
      <w:r w:rsidR="00777DCB" w:rsidRPr="00A52585">
        <w:rPr>
          <w:rFonts w:hint="cs"/>
          <w:rtl/>
        </w:rPr>
        <w:t xml:space="preserve"> نسبة الغير محدود إلى المحدود هي نفسها نسبة الخالق إلى المخلوق ونسبة الإله الرب إلى العبد المربوب</w:t>
      </w:r>
      <w:r w:rsidR="00DB731D" w:rsidRPr="00A52585">
        <w:rPr>
          <w:rFonts w:hint="cs"/>
          <w:rtl/>
        </w:rPr>
        <w:t>،</w:t>
      </w:r>
      <w:r w:rsidR="00777DCB" w:rsidRPr="00A52585">
        <w:rPr>
          <w:rFonts w:hint="cs"/>
          <w:rtl/>
        </w:rPr>
        <w:t xml:space="preserve"> ومنه نعلم بعض الحكمة من قولنا عند كل صلاة وقيام وركوع وسجود </w:t>
      </w:r>
      <w:r w:rsidRPr="00A52585">
        <w:rPr>
          <w:rFonts w:hint="cs"/>
          <w:rtl/>
        </w:rPr>
        <w:t>(</w:t>
      </w:r>
      <w:r w:rsidR="00777DCB" w:rsidRPr="00A52585">
        <w:rPr>
          <w:rFonts w:hint="cs"/>
          <w:rtl/>
        </w:rPr>
        <w:t>الله أكبر</w:t>
      </w:r>
      <w:r w:rsidRPr="00A52585">
        <w:rPr>
          <w:rFonts w:hint="cs"/>
          <w:rtl/>
        </w:rPr>
        <w:t>)</w:t>
      </w:r>
      <w:r w:rsidR="00777DCB" w:rsidRPr="00A52585">
        <w:rPr>
          <w:rFonts w:hint="cs"/>
          <w:rtl/>
        </w:rPr>
        <w:t xml:space="preserve"> أي عن كل تصور وحدود وعن كل عجز وعيب ونقص وقصور</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ش</w:t>
      </w:r>
      <w:r w:rsidRPr="00A52585">
        <w:rPr>
          <w:rFonts w:hint="cs"/>
          <w:rtl/>
        </w:rPr>
        <w:t>)</w:t>
      </w:r>
      <w:r w:rsidR="00777DCB" w:rsidRPr="00A52585">
        <w:rPr>
          <w:rFonts w:hint="cs"/>
          <w:rtl/>
        </w:rPr>
        <w:t xml:space="preserve"> الله تعالى منزه عن الحد والمقدار وكل ما يفيد الحصر والنهاية لأن ذلك سمة المخلوق الذي حده خالقه على كمية ومقدار معين</w:t>
      </w:r>
      <w:r w:rsidR="00DB731D" w:rsidRPr="00A52585">
        <w:rPr>
          <w:rFonts w:hint="cs"/>
          <w:rtl/>
        </w:rPr>
        <w:t>،</w:t>
      </w:r>
      <w:r w:rsidR="00777DCB" w:rsidRPr="00A52585">
        <w:rPr>
          <w:rFonts w:hint="cs"/>
          <w:rtl/>
        </w:rPr>
        <w:t xml:space="preserve"> وعلى تنزيه الله تعالى عن الحد والمقدار إجماع أهل التنزيه من هذه الأمة</w:t>
      </w:r>
      <w:r w:rsidR="00DB731D" w:rsidRPr="00A52585">
        <w:rPr>
          <w:rFonts w:hint="cs"/>
          <w:rtl/>
        </w:rPr>
        <w:t>،</w:t>
      </w:r>
      <w:r w:rsidR="00777DCB" w:rsidRPr="00A52585">
        <w:rPr>
          <w:rFonts w:hint="cs"/>
          <w:rtl/>
        </w:rPr>
        <w:t xml:space="preserve"> حتى ما نقل عن البعض بإثبات الحد فإنما يقصد بالحد الحاجز بين الخالق والمخلوق لا أكثر </w:t>
      </w:r>
      <w:r w:rsidRPr="00A52585">
        <w:rPr>
          <w:rFonts w:hint="cs"/>
          <w:rtl/>
        </w:rPr>
        <w:t>(</w:t>
      </w:r>
      <w:r w:rsidR="00777DCB" w:rsidRPr="00A52585">
        <w:rPr>
          <w:rFonts w:hint="cs"/>
          <w:rtl/>
        </w:rPr>
        <w:t>أي الحد الذي يمنع الاتحاد والحلول</w:t>
      </w:r>
      <w:r w:rsidRPr="00A52585">
        <w:rPr>
          <w:rFonts w:hint="cs"/>
          <w:rtl/>
        </w:rPr>
        <w:t>)</w:t>
      </w:r>
      <w:r w:rsidR="00777DCB" w:rsidRPr="00A52585">
        <w:rPr>
          <w:rFonts w:hint="cs"/>
          <w:rtl/>
        </w:rPr>
        <w:t xml:space="preserve"> وإلا فلا يصح أبداً إثبات الحد لله بمعنى المقدار الذي تنتهي إليه ذاته سبحانه فإن ذات الله ليس لها نهاية</w:t>
      </w:r>
      <w:r w:rsidR="00DB731D" w:rsidRPr="00A52585">
        <w:rPr>
          <w:rFonts w:hint="cs"/>
          <w:rtl/>
        </w:rPr>
        <w:t>،</w:t>
      </w:r>
      <w:r w:rsidR="00777DCB" w:rsidRPr="00A52585">
        <w:rPr>
          <w:rFonts w:hint="cs"/>
          <w:rtl/>
        </w:rPr>
        <w:t xml:space="preserve"> منزه سبحانه عن الحصر لأن الحصر والنهاية نقص يضاد الكمال الذي اتصف به ذات الله</w:t>
      </w:r>
      <w:r w:rsidR="00DB731D" w:rsidRPr="00A52585">
        <w:rPr>
          <w:rFonts w:hint="cs"/>
          <w:rtl/>
        </w:rPr>
        <w:t>،</w:t>
      </w:r>
      <w:r w:rsidR="00777DCB" w:rsidRPr="00A52585">
        <w:rPr>
          <w:rFonts w:hint="cs"/>
          <w:rtl/>
        </w:rPr>
        <w:t xml:space="preserve"> فإن الحد في اللغة على معنيين</w:t>
      </w:r>
      <w:r w:rsidRPr="00A52585">
        <w:rPr>
          <w:rFonts w:hint="cs"/>
          <w:rtl/>
        </w:rPr>
        <w:t>:</w:t>
      </w:r>
      <w:r w:rsidR="00777DCB" w:rsidRPr="00A52585">
        <w:rPr>
          <w:rFonts w:hint="cs"/>
          <w:rtl/>
        </w:rPr>
        <w:t xml:space="preserve"> الأول</w:t>
      </w:r>
      <w:r w:rsidRPr="00A52585">
        <w:rPr>
          <w:rFonts w:hint="cs"/>
          <w:rtl/>
        </w:rPr>
        <w:t>:</w:t>
      </w:r>
      <w:r w:rsidR="00777DCB" w:rsidRPr="00A52585">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DB731D" w:rsidRPr="00A52585">
        <w:rPr>
          <w:rFonts w:hint="cs"/>
          <w:rtl/>
        </w:rPr>
        <w:t>،</w:t>
      </w:r>
      <w:r w:rsidR="00777DCB" w:rsidRPr="00A52585">
        <w:rPr>
          <w:rFonts w:hint="cs"/>
          <w:rtl/>
        </w:rPr>
        <w:t xml:space="preserve"> والثاني</w:t>
      </w:r>
      <w:r w:rsidRPr="00A52585">
        <w:rPr>
          <w:rFonts w:hint="cs"/>
          <w:rtl/>
        </w:rPr>
        <w:t>:</w:t>
      </w:r>
      <w:r w:rsidR="00777DCB" w:rsidRPr="00A52585">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sidRPr="00A52585">
        <w:rPr>
          <w:rFonts w:hint="cs"/>
          <w:rtl/>
        </w:rPr>
        <w:t>[</w:t>
      </w:r>
      <w:r w:rsidR="00777DCB" w:rsidRPr="00A52585">
        <w:rPr>
          <w:rFonts w:hint="cs"/>
          <w:rtl/>
        </w:rPr>
        <w:t>انظر مختار الصحاح ج: 1 ص: 53</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ص</w:t>
      </w:r>
      <w:r w:rsidRPr="00A52585">
        <w:rPr>
          <w:rFonts w:hint="cs"/>
          <w:rtl/>
        </w:rPr>
        <w:t>)</w:t>
      </w:r>
      <w:r w:rsidR="00777DCB" w:rsidRPr="00A52585">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DB731D" w:rsidRPr="00A52585">
        <w:rPr>
          <w:rFonts w:hint="cs"/>
          <w:rtl/>
        </w:rPr>
        <w:t>،</w:t>
      </w:r>
      <w:r w:rsidR="00777DCB" w:rsidRPr="00A52585">
        <w:rPr>
          <w:rFonts w:hint="cs"/>
          <w:rtl/>
        </w:rPr>
        <w:t xml:space="preserve"> يعتقدون ان إلههم محدود بحد لا يعلمه إلا هو وأكثرهم على أن حده العرش</w:t>
      </w:r>
      <w:r w:rsidR="00DB731D" w:rsidRPr="00A52585">
        <w:rPr>
          <w:rFonts w:hint="cs"/>
          <w:rtl/>
        </w:rPr>
        <w:t>،</w:t>
      </w:r>
      <w:r w:rsidR="00777DCB" w:rsidRPr="00A52585">
        <w:rPr>
          <w:rFonts w:hint="cs"/>
          <w:rtl/>
        </w:rPr>
        <w:t xml:space="preserve"> فحدوه بمخلوق مربوب مثلهم وقد اشار القرآن الكريم إلى ذلك بقوله تعالى </w:t>
      </w:r>
      <w:r w:rsidRPr="00A52585">
        <w:rPr>
          <w:rFonts w:hint="cs"/>
          <w:rtl/>
        </w:rPr>
        <w:t>{</w:t>
      </w:r>
      <w:r w:rsidR="00777DCB" w:rsidRPr="00A52585">
        <w:rPr>
          <w:rFonts w:hint="cs"/>
          <w:rtl/>
        </w:rPr>
        <w:t>وهو رب العرش العظيم</w:t>
      </w:r>
      <w:r w:rsidRPr="00A52585">
        <w:rPr>
          <w:rFonts w:hint="cs"/>
          <w:rtl/>
        </w:rPr>
        <w:t xml:space="preserve">} </w:t>
      </w:r>
      <w:r w:rsidR="00777DCB" w:rsidRPr="00A52585">
        <w:rPr>
          <w:rFonts w:hint="cs"/>
          <w:rtl/>
        </w:rPr>
        <w:t>كما أنه رب العالمين جميعا</w:t>
      </w:r>
      <w:r w:rsidR="00DB731D" w:rsidRPr="00A52585">
        <w:rPr>
          <w:rFonts w:hint="cs"/>
          <w:rtl/>
        </w:rPr>
        <w:t>،</w:t>
      </w:r>
      <w:r w:rsidR="00777DCB" w:rsidRPr="00A52585">
        <w:rPr>
          <w:rFonts w:hint="cs"/>
          <w:rtl/>
        </w:rPr>
        <w:t xml:space="preserve"> فالله تعالى رب العرش ورب العالمين والجميع محفوف بعناية الله ومحفوظ بحفظه</w:t>
      </w:r>
      <w:r w:rsidR="00DB731D" w:rsidRPr="00A52585">
        <w:rPr>
          <w:rFonts w:hint="cs"/>
          <w:rtl/>
        </w:rPr>
        <w:t>،</w:t>
      </w:r>
      <w:r w:rsidR="00777DCB" w:rsidRPr="00A52585">
        <w:rPr>
          <w:rFonts w:hint="cs"/>
          <w:rtl/>
        </w:rPr>
        <w:t xml:space="preserve"> وهل – أستغفر الله تعالى – الرب عز وجل محمول على عرش او كرسي</w:t>
      </w:r>
      <w:r w:rsidR="00DB731D" w:rsidRPr="00A52585">
        <w:rPr>
          <w:rFonts w:hint="cs"/>
          <w:rtl/>
        </w:rPr>
        <w:t>،</w:t>
      </w:r>
      <w:r w:rsidR="00777DCB" w:rsidRPr="00A52585">
        <w:rPr>
          <w:rFonts w:hint="cs"/>
          <w:rtl/>
        </w:rPr>
        <w:t xml:space="preserve"> الرب الذي قال عن نفسه سبحانه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اللَّهَ يُمْسِكُ السَّمَوَاتِ وَالْأَرْضَ أَنْ تَزُولَا وَلَئِنْ زَالَتَا إِنْ أَمْسَكَهُمَا مِنْ أَحَدٍ مِنْ بَعْدِهِ إِنَّهُ كَانَ حَلِيمًا غَفُورًا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فاطر</w:t>
      </w:r>
      <w:r w:rsidRPr="00A52585">
        <w:rPr>
          <w:rFonts w:hint="cs"/>
          <w:rtl/>
        </w:rPr>
        <w:t>:</w:t>
      </w:r>
      <w:r w:rsidR="00777DCB" w:rsidRPr="00A52585">
        <w:rPr>
          <w:rFonts w:hint="cs"/>
          <w:rtl/>
        </w:rPr>
        <w:t xml:space="preserve"> 41</w:t>
      </w:r>
      <w:r w:rsidRPr="00A52585">
        <w:rPr>
          <w:rFonts w:hint="cs"/>
          <w:rtl/>
        </w:rPr>
        <w:t>]</w:t>
      </w:r>
      <w:r w:rsidR="00DB731D" w:rsidRPr="00A52585">
        <w:rPr>
          <w:rFonts w:hint="cs"/>
          <w:rtl/>
        </w:rPr>
        <w:t>،</w:t>
      </w:r>
      <w:r w:rsidR="00777DCB" w:rsidRPr="00A52585">
        <w:rPr>
          <w:rFonts w:hint="cs"/>
          <w:rtl/>
        </w:rPr>
        <w:t xml:space="preserve"> هل يحتاج إلى شيء يحمله</w:t>
      </w:r>
      <w:r w:rsidR="00DB731D" w:rsidRPr="00A52585">
        <w:rPr>
          <w:rFonts w:hint="cs"/>
          <w:rtl/>
        </w:rPr>
        <w:t>،</w:t>
      </w:r>
      <w:r w:rsidR="00777DCB" w:rsidRPr="00A52585">
        <w:rPr>
          <w:rFonts w:hint="cs"/>
          <w:rtl/>
        </w:rPr>
        <w:t xml:space="preserve"> أو شيء يحيط به </w:t>
      </w:r>
      <w:proofErr w:type="spellStart"/>
      <w:r w:rsidR="00777DCB" w:rsidRPr="00A52585">
        <w:rPr>
          <w:rFonts w:hint="cs"/>
          <w:rtl/>
        </w:rPr>
        <w:t>ويحويه</w:t>
      </w:r>
      <w:proofErr w:type="spellEnd"/>
      <w:r w:rsidR="00DB731D" w:rsidRPr="00A52585">
        <w:rPr>
          <w:rFonts w:hint="cs"/>
          <w:rtl/>
        </w:rPr>
        <w:t>،</w:t>
      </w:r>
      <w:r w:rsidR="00777DCB" w:rsidRPr="00A52585">
        <w:rPr>
          <w:rFonts w:hint="cs"/>
          <w:rtl/>
        </w:rPr>
        <w:t xml:space="preserve"> مهما بلغ اتساعه وحجمه</w:t>
      </w:r>
      <w:r w:rsidR="00DB731D" w:rsidRPr="00A52585">
        <w:rPr>
          <w:rFonts w:hint="cs"/>
          <w:rtl/>
        </w:rPr>
        <w:t>،</w:t>
      </w:r>
      <w:r w:rsidR="00777DCB" w:rsidRPr="00A52585">
        <w:rPr>
          <w:rFonts w:hint="cs"/>
          <w:rtl/>
        </w:rPr>
        <w:t xml:space="preserve"> فأنى للمخلوق المربوب أن يحمل الخالق</w:t>
      </w:r>
      <w:r w:rsidR="00DB731D" w:rsidRPr="00A52585">
        <w:rPr>
          <w:rFonts w:hint="cs"/>
          <w:rtl/>
        </w:rPr>
        <w:t>،</w:t>
      </w:r>
      <w:r w:rsidR="00777DCB" w:rsidRPr="00A52585">
        <w:rPr>
          <w:rFonts w:hint="cs"/>
          <w:rtl/>
        </w:rPr>
        <w:t xml:space="preserve"> وأنى للمحدود ان يحوي الذي تعالى عن الحد والمقدار</w:t>
      </w:r>
      <w:r w:rsidR="00DB731D" w:rsidRPr="00A52585">
        <w:rPr>
          <w:rFonts w:hint="cs"/>
          <w:rtl/>
        </w:rPr>
        <w:t>،</w:t>
      </w:r>
      <w:r w:rsidR="00777DCB" w:rsidRPr="00A52585">
        <w:rPr>
          <w:rFonts w:hint="cs"/>
          <w:rtl/>
        </w:rPr>
        <w:t xml:space="preserve"> وأين ذلك من اعتقاد كل مسلم بأن الله هو الغني الذي تحتاج إليه الخلائق بما فيها العرش</w:t>
      </w:r>
      <w:r w:rsidR="00DB731D" w:rsidRPr="00A52585">
        <w:rPr>
          <w:rFonts w:hint="cs"/>
          <w:rtl/>
        </w:rPr>
        <w:t>،</w:t>
      </w:r>
      <w:r w:rsidR="00777DCB" w:rsidRPr="00A52585">
        <w:rPr>
          <w:rFonts w:hint="cs"/>
          <w:rtl/>
        </w:rPr>
        <w:t xml:space="preserve"> وهو الغني </w:t>
      </w:r>
      <w:r w:rsidR="00777DCB" w:rsidRPr="00A52585">
        <w:rPr>
          <w:rFonts w:hint="cs"/>
          <w:rtl/>
        </w:rPr>
        <w:lastRenderedPageBreak/>
        <w:t>عنها</w:t>
      </w:r>
      <w:r w:rsidR="00DB731D" w:rsidRPr="00A52585">
        <w:rPr>
          <w:rFonts w:hint="cs"/>
          <w:rtl/>
        </w:rPr>
        <w:t>،</w:t>
      </w:r>
      <w:r w:rsidR="00777DCB" w:rsidRPr="00A52585">
        <w:rPr>
          <w:rFonts w:hint="cs"/>
          <w:rtl/>
        </w:rPr>
        <w:t xml:space="preserve"> وأين ذلك من اعتقاد كل مسلم بان الله هو الحي القيوم الذي يقوم على حاجة كل مخلوق وهو مستغنٍ عنها</w:t>
      </w:r>
      <w:r w:rsidR="00DB731D" w:rsidRPr="00A52585">
        <w:rPr>
          <w:rFonts w:hint="cs"/>
          <w:rtl/>
        </w:rPr>
        <w:t>،</w:t>
      </w:r>
      <w:r w:rsidR="00777DCB" w:rsidRPr="00A52585">
        <w:rPr>
          <w:rFonts w:hint="cs"/>
          <w:rtl/>
        </w:rPr>
        <w:t xml:space="preserve"> سبحانك هذا بهتان عظيم</w:t>
      </w:r>
      <w:r w:rsidR="00DB731D" w:rsidRPr="00A52585">
        <w:rPr>
          <w:rFonts w:hint="cs"/>
          <w:rtl/>
        </w:rPr>
        <w:t>،</w:t>
      </w:r>
      <w:r w:rsidRPr="00A52585">
        <w:rPr>
          <w:rFonts w:hint="cs"/>
          <w:rtl/>
        </w:rPr>
        <w:t xml:space="preserve"> (</w:t>
      </w:r>
      <w:r w:rsidR="00777DCB" w:rsidRPr="00A52585">
        <w:rPr>
          <w:rFonts w:hint="cs"/>
          <w:rtl/>
        </w:rPr>
        <w:t>ض</w:t>
      </w:r>
      <w:r w:rsidRPr="00A52585">
        <w:rPr>
          <w:rFonts w:hint="cs"/>
          <w:rtl/>
        </w:rPr>
        <w:t>)</w:t>
      </w:r>
      <w:r w:rsidR="00777DCB" w:rsidRPr="00A52585">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DB731D" w:rsidRPr="00A52585">
        <w:rPr>
          <w:rFonts w:hint="cs"/>
          <w:rtl/>
        </w:rPr>
        <w:t>،</w:t>
      </w:r>
      <w:r w:rsidR="00777DCB" w:rsidRPr="00A52585">
        <w:rPr>
          <w:rFonts w:hint="cs"/>
          <w:rtl/>
        </w:rPr>
        <w:t xml:space="preserve"> وليس معناه أن الكون كله داخل في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إذ تنزه الخالق عن معاني الحلول والاتحاد ومعاني المماسة والاتصال ليس كذاته ذات</w:t>
      </w:r>
      <w:r w:rsidRPr="00A52585">
        <w:rPr>
          <w:rFonts w:hint="cs"/>
          <w:rtl/>
        </w:rPr>
        <w:t xml:space="preserve"> </w:t>
      </w:r>
      <w:r w:rsidR="00777DCB" w:rsidRPr="00A52585">
        <w:rPr>
          <w:rFonts w:hint="cs"/>
          <w:rtl/>
        </w:rPr>
        <w:t>تنزه عن كل ما خطر بقلوب البشر له الكمال والتنزيه المطلقين في ذاته وصفاته وافعاله ليس كمثله شيء ولا نحيط به علما</w:t>
      </w:r>
      <w:r w:rsidR="00DB731D" w:rsidRPr="00A52585">
        <w:rPr>
          <w:rFonts w:hint="cs"/>
          <w:rtl/>
        </w:rPr>
        <w:t>،</w:t>
      </w:r>
      <w:r w:rsidR="00777DCB" w:rsidRPr="00A52585">
        <w:rPr>
          <w:rFonts w:hint="cs"/>
          <w:rtl/>
        </w:rPr>
        <w:t xml:space="preserve"> نعجز عن ادراك ذاته</w:t>
      </w:r>
      <w:r w:rsidR="00DB731D" w:rsidRPr="00A52585">
        <w:rPr>
          <w:rFonts w:hint="cs"/>
          <w:rtl/>
        </w:rPr>
        <w:t>،</w:t>
      </w:r>
      <w:r w:rsidR="00777DCB" w:rsidRPr="00A52585">
        <w:rPr>
          <w:rFonts w:hint="cs"/>
          <w:rtl/>
        </w:rPr>
        <w:t xml:space="preserve"> وما نستطيع ان نقدره قدره</w:t>
      </w:r>
      <w:r w:rsidR="00DB731D" w:rsidRPr="00A52585">
        <w:rPr>
          <w:rFonts w:hint="cs"/>
          <w:rtl/>
        </w:rPr>
        <w:t>،</w:t>
      </w:r>
      <w:r w:rsidR="00777DCB" w:rsidRPr="00A52585">
        <w:rPr>
          <w:rFonts w:hint="cs"/>
          <w:rtl/>
        </w:rPr>
        <w:t xml:space="preserve"> لا نحصي ثناءً عليه</w:t>
      </w:r>
      <w:r w:rsidR="00DB731D" w:rsidRPr="00A52585">
        <w:rPr>
          <w:rFonts w:hint="cs"/>
          <w:rtl/>
        </w:rPr>
        <w:t>،</w:t>
      </w:r>
      <w:r w:rsidR="00777DCB" w:rsidRPr="00A52585">
        <w:rPr>
          <w:rFonts w:hint="cs"/>
          <w:rtl/>
        </w:rPr>
        <w:t xml:space="preserve"> هو كما أثنى على نفسه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ط</w:t>
      </w:r>
      <w:r w:rsidRPr="00A52585">
        <w:rPr>
          <w:rFonts w:hint="cs"/>
          <w:rtl/>
        </w:rPr>
        <w:t>)</w:t>
      </w:r>
      <w:r w:rsidR="00777DCB" w:rsidRPr="00A52585">
        <w:rPr>
          <w:rFonts w:hint="cs"/>
          <w:rtl/>
        </w:rPr>
        <w:t xml:space="preserve"> يقول علماء الحساب والرياضيات أنه لا نسبة بين المحدود واللامحدود</w:t>
      </w:r>
      <w:r w:rsidR="00DB731D" w:rsidRPr="00A52585">
        <w:rPr>
          <w:rFonts w:hint="cs"/>
          <w:rtl/>
        </w:rPr>
        <w:t>،</w:t>
      </w:r>
      <w:r w:rsidR="00777DCB" w:rsidRPr="00A52585">
        <w:rPr>
          <w:rFonts w:hint="cs"/>
          <w:rtl/>
        </w:rPr>
        <w:t xml:space="preserve"> ولا تصح المقارنة بين المحدود مهما كان كبيرا أو عظيما وبين اللامحدود</w:t>
      </w:r>
      <w:r w:rsidR="00DB731D" w:rsidRPr="00A52585">
        <w:rPr>
          <w:rFonts w:hint="cs"/>
          <w:rtl/>
        </w:rPr>
        <w:t>،</w:t>
      </w:r>
      <w:r w:rsidR="00777DCB" w:rsidRPr="00A52585">
        <w:rPr>
          <w:rFonts w:hint="cs"/>
          <w:rtl/>
        </w:rPr>
        <w:t xml:space="preserve"> إذ نسبة المحدود مهما كان كبيرا إلى اللامحدود هي نفسها نسبة الصفر الذي لا يساوي شيئا إلى الذي لا يتناهى من الأشياء</w:t>
      </w:r>
      <w:r w:rsidR="00DB731D" w:rsidRPr="00A52585">
        <w:rPr>
          <w:rFonts w:hint="cs"/>
          <w:rtl/>
        </w:rPr>
        <w:t>،</w:t>
      </w:r>
      <w:r w:rsidR="00777DCB" w:rsidRPr="00A52585">
        <w:rPr>
          <w:rFonts w:hint="cs"/>
          <w:rtl/>
        </w:rPr>
        <w:t xml:space="preserve"> ولله المثل الاعلى</w:t>
      </w:r>
      <w:r w:rsidR="00DB731D" w:rsidRPr="00A52585">
        <w:rPr>
          <w:rFonts w:hint="cs"/>
          <w:rtl/>
        </w:rPr>
        <w:t>،</w:t>
      </w:r>
      <w:r w:rsidR="00777DCB" w:rsidRPr="00A52585">
        <w:rPr>
          <w:rFonts w:hint="cs"/>
          <w:rtl/>
        </w:rPr>
        <w:t xml:space="preserve"> إذ كيف تصح المقارنة بين الكون المخلوق المقدر المحدود – مهما بلغ اتساعه وهو عظيم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وَالسَّمَاءَ بَنَيْنَاهَا بِأَيْدٍ وَإِنَّا لَمُوسِعُونَ</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rtl/>
        </w:rPr>
        <w:t>وبين الخالق الواحد القهار المنزه عن الحد والمقدار</w:t>
      </w:r>
      <w:r w:rsidR="00DB731D" w:rsidRPr="00A52585">
        <w:rPr>
          <w:rFonts w:hint="cs"/>
          <w:rtl/>
        </w:rPr>
        <w:t>،</w:t>
      </w:r>
      <w:r w:rsidRPr="00A52585">
        <w:rPr>
          <w:rFonts w:hint="cs"/>
          <w:rtl/>
        </w:rPr>
        <w:t xml:space="preserve"> </w:t>
      </w:r>
      <w:r w:rsidR="00777DCB" w:rsidRPr="00A52585">
        <w:rPr>
          <w:rFonts w:hint="cs"/>
          <w:rtl/>
        </w:rPr>
        <w:t>ومن ذلك نفهم وجه المقارنة من حديث النبي صلى الله عليه وسلم</w:t>
      </w:r>
      <w:r w:rsidR="00DB731D" w:rsidRPr="00A52585">
        <w:rPr>
          <w:rFonts w:hint="cs"/>
          <w:rtl/>
        </w:rPr>
        <w:t>،</w:t>
      </w:r>
      <w:r w:rsidR="00777DCB" w:rsidRPr="00A52585">
        <w:rPr>
          <w:rFonts w:hint="cs"/>
          <w:rtl/>
        </w:rPr>
        <w:t xml:space="preserve"> فيما يرويه عن الله تبارك وتعالى أنه قال </w:t>
      </w:r>
      <w:r w:rsidRPr="00A52585">
        <w:rPr>
          <w:rFonts w:hint="cs"/>
          <w:rtl/>
        </w:rPr>
        <w:t>(</w:t>
      </w:r>
      <w:r w:rsidR="00777DCB" w:rsidRPr="00A52585">
        <w:rPr>
          <w:rFonts w:hint="cs"/>
          <w:rtl/>
        </w:rPr>
        <w:t>يا عبادي</w:t>
      </w:r>
      <w:r w:rsidR="00F95886" w:rsidRPr="00A52585">
        <w:rPr>
          <w:rtl/>
        </w:rPr>
        <w:t>!</w:t>
      </w:r>
      <w:r w:rsidR="00777DCB" w:rsidRPr="00A52585">
        <w:t xml:space="preserve"> </w:t>
      </w:r>
      <w:r w:rsidR="00777DCB" w:rsidRPr="00A52585">
        <w:rPr>
          <w:rFonts w:hint="cs"/>
          <w:rtl/>
        </w:rPr>
        <w:t>لو أن أولكم</w:t>
      </w:r>
      <w:r w:rsidR="00777DCB" w:rsidRPr="00A52585">
        <w:rPr>
          <w:rFonts w:hint="cs"/>
        </w:rPr>
        <w:t xml:space="preserve"> </w:t>
      </w:r>
      <w:r w:rsidR="00777DCB" w:rsidRPr="00A52585">
        <w:rPr>
          <w:rFonts w:hint="cs"/>
          <w:rtl/>
        </w:rPr>
        <w:t>وآخركم وإنسكم وجنكم</w:t>
      </w:r>
      <w:r w:rsidRPr="00A52585">
        <w:rPr>
          <w:rFonts w:hint="cs"/>
          <w:rtl/>
        </w:rPr>
        <w:t xml:space="preserve"> </w:t>
      </w:r>
      <w:r w:rsidR="00777DCB" w:rsidRPr="00A52585">
        <w:rPr>
          <w:rFonts w:hint="cs"/>
          <w:rtl/>
        </w:rPr>
        <w:t>كانوا على أتقى قلب رجل واحد منكم ما زاد ذلك في ملكي شيئا</w:t>
      </w:r>
      <w:r w:rsidR="00DB731D" w:rsidRPr="00A52585">
        <w:rPr>
          <w:rFonts w:hint="cs"/>
          <w:rtl/>
        </w:rPr>
        <w:t>،</w:t>
      </w:r>
      <w:r w:rsidR="00777DCB" w:rsidRPr="00A52585">
        <w:rPr>
          <w:rFonts w:hint="cs"/>
          <w:rtl/>
        </w:rPr>
        <w:t xml:space="preserve"> يا عبادي</w:t>
      </w:r>
      <w:r w:rsidR="00F95886" w:rsidRPr="00A52585">
        <w:rPr>
          <w:rFonts w:hint="cs"/>
          <w:rtl/>
        </w:rPr>
        <w:t>!</w:t>
      </w:r>
      <w:r w:rsidR="00777DCB" w:rsidRPr="00A52585">
        <w:rPr>
          <w:rFonts w:hint="cs"/>
          <w:rtl/>
        </w:rPr>
        <w:t xml:space="preserve"> لو أن أولكم وآخركم وإنسكم وجنكم كانوا على أفجر قلب رجل واحد</w:t>
      </w:r>
      <w:r w:rsidR="00777DCB" w:rsidRPr="00A52585">
        <w:rPr>
          <w:rFonts w:hint="cs"/>
        </w:rPr>
        <w:t xml:space="preserve"> </w:t>
      </w:r>
      <w:r w:rsidR="00777DCB" w:rsidRPr="00A52585">
        <w:rPr>
          <w:rFonts w:hint="cs"/>
          <w:rtl/>
        </w:rPr>
        <w:t>ما نقص ذلك من ملكي شيئا</w:t>
      </w:r>
      <w:r w:rsidR="00DB731D" w:rsidRPr="00A52585">
        <w:rPr>
          <w:rFonts w:hint="cs"/>
          <w:rtl/>
        </w:rPr>
        <w:t>،</w:t>
      </w:r>
      <w:r w:rsidRPr="00A52585">
        <w:rPr>
          <w:rFonts w:hint="cs"/>
          <w:rtl/>
        </w:rPr>
        <w:t xml:space="preserve"> </w:t>
      </w:r>
      <w:r w:rsidR="00777DCB" w:rsidRPr="00A52585">
        <w:rPr>
          <w:rFonts w:hint="cs"/>
          <w:rtl/>
        </w:rPr>
        <w:t>يا عبادي</w:t>
      </w:r>
      <w:r w:rsidR="00F95886" w:rsidRPr="00A52585">
        <w:rPr>
          <w:rFonts w:hint="cs"/>
          <w:rtl/>
        </w:rPr>
        <w:t>!</w:t>
      </w:r>
      <w:r w:rsidR="00777DCB" w:rsidRPr="00A52585">
        <w:rPr>
          <w:rFonts w:hint="cs"/>
          <w:rtl/>
        </w:rPr>
        <w:t xml:space="preserve"> لو أن أولكم وآخركم وإنسكم وجنكم قاموا</w:t>
      </w:r>
      <w:r w:rsidR="00777DCB" w:rsidRPr="00A52585">
        <w:rPr>
          <w:rFonts w:hint="cs"/>
        </w:rPr>
        <w:t xml:space="preserve"> </w:t>
      </w:r>
      <w:r w:rsidR="00777DCB" w:rsidRPr="00A52585">
        <w:rPr>
          <w:rFonts w:hint="cs"/>
          <w:rtl/>
        </w:rPr>
        <w:t>في صعيد واحد فسألوني فأعطيت كل إنسان مسألته ما نقص ذلك مما عندي إلا كما ينقص</w:t>
      </w:r>
      <w:r w:rsidR="00777DCB" w:rsidRPr="00A52585">
        <w:rPr>
          <w:rFonts w:hint="cs"/>
        </w:rPr>
        <w:t xml:space="preserve"> </w:t>
      </w:r>
      <w:r w:rsidR="00777DCB" w:rsidRPr="00A52585">
        <w:rPr>
          <w:rFonts w:hint="cs"/>
          <w:rtl/>
        </w:rPr>
        <w:t>المخيط إذا أدخل البحر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صحيح مسلم</w:t>
      </w:r>
      <w:r w:rsidRPr="00A52585">
        <w:rPr>
          <w:rFonts w:hint="cs"/>
          <w:rtl/>
        </w:rPr>
        <w:t>:</w:t>
      </w:r>
      <w:r w:rsidR="00777DCB" w:rsidRPr="00A52585">
        <w:rPr>
          <w:rFonts w:hint="cs"/>
          <w:rtl/>
        </w:rPr>
        <w:t xml:space="preserve"> 2577] ومعلوم أن المخيط لا ينقص من البحر شيئا ولله المثل الأعلى قال تعالى </w:t>
      </w:r>
      <w:r w:rsidRPr="00A52585">
        <w:rPr>
          <w:rFonts w:hint="cs"/>
          <w:rtl/>
        </w:rPr>
        <w:t>{</w:t>
      </w:r>
      <w:r w:rsidR="00777DCB" w:rsidRPr="00A52585">
        <w:rPr>
          <w:rFonts w:hint="cs"/>
          <w:rtl/>
        </w:rPr>
        <w:t>وما قدروا الله حق قدره</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سبحان ربك رب العزة عما يصفون</w:t>
      </w:r>
      <w:r w:rsidRPr="00A52585">
        <w:rPr>
          <w:rFonts w:hint="cs"/>
          <w:rtl/>
        </w:rPr>
        <w:t>}</w:t>
      </w:r>
      <w:r w:rsidR="00DB731D" w:rsidRPr="00A52585">
        <w:rPr>
          <w:rFonts w:hint="cs"/>
          <w:rtl/>
        </w:rPr>
        <w:t>،</w:t>
      </w:r>
      <w:r w:rsidR="00777DCB" w:rsidRPr="00A52585">
        <w:rPr>
          <w:rFonts w:hint="cs"/>
          <w:rtl/>
        </w:rPr>
        <w:t xml:space="preserve"> سبحانك تقدست أسماؤك وتعالت عظمتك</w:t>
      </w:r>
      <w:r w:rsidR="00DB731D" w:rsidRPr="00A52585">
        <w:rPr>
          <w:rFonts w:hint="cs"/>
          <w:rtl/>
        </w:rPr>
        <w:t>،</w:t>
      </w:r>
      <w:r w:rsidRPr="00A52585">
        <w:rPr>
          <w:rFonts w:hint="cs"/>
          <w:rtl/>
        </w:rPr>
        <w:t xml:space="preserve"> (</w:t>
      </w:r>
      <w:r w:rsidR="00777DCB" w:rsidRPr="00A52585">
        <w:rPr>
          <w:rFonts w:hint="cs"/>
          <w:rtl/>
        </w:rPr>
        <w:t>ظ</w:t>
      </w:r>
      <w:r w:rsidRPr="00A52585">
        <w:rPr>
          <w:rFonts w:hint="cs"/>
          <w:rtl/>
        </w:rPr>
        <w:t>)</w:t>
      </w:r>
      <w:r w:rsidR="00777DCB" w:rsidRPr="00A52585">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Pr="00A52585">
        <w:rPr>
          <w:rFonts w:hint="cs"/>
          <w:rtl/>
        </w:rPr>
        <w:t>{</w:t>
      </w:r>
      <w:r w:rsidR="00777DCB" w:rsidRPr="00A52585">
        <w:rPr>
          <w:rFonts w:hint="cs"/>
          <w:rtl/>
        </w:rPr>
        <w:t>الرحمن على العرش استوى</w:t>
      </w:r>
      <w:r w:rsidRPr="00A52585">
        <w:rPr>
          <w:rFonts w:hint="cs"/>
          <w:rtl/>
        </w:rPr>
        <w:t>}</w:t>
      </w:r>
      <w:r w:rsidR="00DB731D" w:rsidRPr="00A52585">
        <w:rPr>
          <w:rFonts w:hint="cs"/>
          <w:rtl/>
        </w:rPr>
        <w:t>،</w:t>
      </w:r>
      <w:r w:rsidR="00777DCB" w:rsidRPr="00A52585">
        <w:rPr>
          <w:rFonts w:hint="cs"/>
          <w:rtl/>
        </w:rPr>
        <w:t xml:space="preserve"> مع قوله تعالى </w:t>
      </w:r>
      <w:r w:rsidRPr="00A52585">
        <w:rPr>
          <w:rFonts w:hint="cs"/>
          <w:rtl/>
        </w:rPr>
        <w:t>{</w:t>
      </w:r>
      <w:r w:rsidR="00777DCB" w:rsidRPr="00A52585">
        <w:rPr>
          <w:rFonts w:hint="cs"/>
          <w:rtl/>
        </w:rPr>
        <w:t>فإني قريب</w:t>
      </w:r>
      <w:r w:rsidRPr="00A52585">
        <w:rPr>
          <w:rFonts w:hint="cs"/>
          <w:rtl/>
        </w:rPr>
        <w:t>}</w:t>
      </w:r>
      <w:r w:rsidR="00DB731D" w:rsidRPr="00A52585">
        <w:rPr>
          <w:rFonts w:hint="cs"/>
          <w:rtl/>
        </w:rPr>
        <w:t>،</w:t>
      </w:r>
      <w:r w:rsidR="00777DCB" w:rsidRPr="00A52585">
        <w:rPr>
          <w:rFonts w:hint="cs"/>
          <w:rtl/>
        </w:rPr>
        <w:t xml:space="preserve"> مع قوله تعالى </w:t>
      </w:r>
      <w:r w:rsidRPr="00A52585">
        <w:rPr>
          <w:rFonts w:hint="cs"/>
          <w:rtl/>
        </w:rPr>
        <w:t>{</w:t>
      </w:r>
      <w:r w:rsidR="00777DCB" w:rsidRPr="00A52585">
        <w:rPr>
          <w:rFonts w:hint="cs"/>
          <w:rtl/>
        </w:rPr>
        <w:t>فأينما تولوا فثم وجه الله إن الله واسع عليم</w:t>
      </w:r>
      <w:r w:rsidRPr="00A52585">
        <w:rPr>
          <w:rFonts w:hint="cs"/>
          <w:rtl/>
        </w:rPr>
        <w:t>}</w:t>
      </w:r>
      <w:r w:rsidR="00DB731D" w:rsidRPr="00A52585">
        <w:rPr>
          <w:rFonts w:hint="cs"/>
          <w:rtl/>
        </w:rPr>
        <w:t>،</w:t>
      </w:r>
      <w:r w:rsidR="00777DCB" w:rsidRPr="00A52585">
        <w:rPr>
          <w:rFonts w:hint="cs"/>
          <w:rtl/>
        </w:rPr>
        <w:t xml:space="preserve"> مع قوله تعالى </w:t>
      </w:r>
      <w:r w:rsidRPr="00A52585">
        <w:rPr>
          <w:rFonts w:hint="cs"/>
          <w:rtl/>
        </w:rPr>
        <w:t>{</w:t>
      </w:r>
      <w:r w:rsidR="00777DCB" w:rsidRPr="00A52585">
        <w:rPr>
          <w:rFonts w:hint="cs"/>
          <w:rtl/>
        </w:rPr>
        <w:t>والله بكل شيء محيط</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وكان الله بكل شيء محيطا</w:t>
      </w:r>
      <w:r w:rsidRPr="00A52585">
        <w:rPr>
          <w:rFonts w:hint="cs"/>
          <w:rtl/>
        </w:rPr>
        <w:t>}</w:t>
      </w:r>
      <w:r w:rsidR="00DB731D" w:rsidRPr="00A52585">
        <w:rPr>
          <w:rFonts w:hint="cs"/>
          <w:rtl/>
        </w:rPr>
        <w:t>،</w:t>
      </w:r>
      <w:r w:rsidR="00777DCB" w:rsidRPr="00A52585">
        <w:rPr>
          <w:rFonts w:hint="cs"/>
          <w:rtl/>
        </w:rPr>
        <w:t xml:space="preserve"> لأننا نعبد المنزه عن الحد والحصر والمقدار</w:t>
      </w:r>
      <w:r w:rsidR="00DB731D" w:rsidRPr="00A52585">
        <w:rPr>
          <w:rFonts w:hint="cs"/>
          <w:rtl/>
        </w:rPr>
        <w:t>،</w:t>
      </w:r>
      <w:r w:rsidR="00777DCB" w:rsidRPr="00A52585">
        <w:rPr>
          <w:rFonts w:hint="cs"/>
          <w:rtl/>
        </w:rPr>
        <w:t xml:space="preserve"> ولا نقول كما قالت </w:t>
      </w:r>
      <w:proofErr w:type="spellStart"/>
      <w:r w:rsidR="00777DCB" w:rsidRPr="00A52585">
        <w:rPr>
          <w:rFonts w:hint="cs"/>
          <w:rtl/>
        </w:rPr>
        <w:t>الحلولية</w:t>
      </w:r>
      <w:proofErr w:type="spellEnd"/>
      <w:r w:rsidR="00777DCB" w:rsidRPr="00A52585">
        <w:rPr>
          <w:rFonts w:hint="cs"/>
          <w:rtl/>
        </w:rPr>
        <w:t xml:space="preserve"> والجهمية</w:t>
      </w:r>
      <w:r w:rsidRPr="00A52585">
        <w:rPr>
          <w:rFonts w:hint="cs"/>
          <w:rtl/>
        </w:rPr>
        <w:t>:</w:t>
      </w:r>
      <w:r w:rsidR="00777DCB" w:rsidRPr="00A52585">
        <w:rPr>
          <w:rFonts w:hint="cs"/>
          <w:rtl/>
        </w:rPr>
        <w:t xml:space="preserve"> إن الله في كل مكان لا يخلو منه مكان</w:t>
      </w:r>
      <w:r w:rsidR="00DB731D" w:rsidRPr="00A52585">
        <w:rPr>
          <w:rFonts w:hint="cs"/>
          <w:rtl/>
        </w:rPr>
        <w:t>،</w:t>
      </w:r>
      <w:r w:rsidR="00777DCB" w:rsidRPr="00A52585">
        <w:rPr>
          <w:rFonts w:hint="cs"/>
          <w:rtl/>
        </w:rPr>
        <w:t xml:space="preserve"> ولا نقول كما قالت </w:t>
      </w:r>
      <w:proofErr w:type="spellStart"/>
      <w:r w:rsidR="00777DCB" w:rsidRPr="00A52585">
        <w:rPr>
          <w:rFonts w:hint="cs"/>
          <w:rtl/>
        </w:rPr>
        <w:t>الحشوية</w:t>
      </w:r>
      <w:proofErr w:type="spellEnd"/>
      <w:r w:rsidR="00777DCB" w:rsidRPr="00A52585">
        <w:rPr>
          <w:rFonts w:hint="cs"/>
          <w:rtl/>
        </w:rPr>
        <w:t xml:space="preserve"> الجهوية</w:t>
      </w:r>
      <w:r w:rsidRPr="00A52585">
        <w:rPr>
          <w:rFonts w:hint="cs"/>
          <w:rtl/>
        </w:rPr>
        <w:t>:</w:t>
      </w:r>
      <w:r w:rsidR="00777DCB" w:rsidRPr="00A52585">
        <w:rPr>
          <w:rFonts w:hint="cs"/>
          <w:rtl/>
        </w:rPr>
        <w:t xml:space="preserve"> إن الله في مكان دون مكان ألا وهو العرش العظيم</w:t>
      </w:r>
      <w:r w:rsidR="00DB731D" w:rsidRPr="00A52585">
        <w:rPr>
          <w:rFonts w:hint="cs"/>
          <w:rtl/>
        </w:rPr>
        <w:t>،</w:t>
      </w:r>
      <w:r w:rsidR="00777DCB" w:rsidRPr="00A52585">
        <w:rPr>
          <w:rFonts w:hint="cs"/>
          <w:rtl/>
        </w:rPr>
        <w:t xml:space="preserve"> بل نقول إن الله خالق المكان منزه عن </w:t>
      </w:r>
      <w:r w:rsidR="00777DCB" w:rsidRPr="00A52585">
        <w:rPr>
          <w:rFonts w:hint="cs"/>
          <w:rtl/>
        </w:rPr>
        <w:lastRenderedPageBreak/>
        <w:t>المكان لا يحل في كل مكان ولا في مكان دون مكان وأنه هو رب العرش العظيم</w:t>
      </w:r>
      <w:r w:rsidR="00DB731D" w:rsidRPr="00A52585">
        <w:rPr>
          <w:rFonts w:hint="cs"/>
          <w:rtl/>
        </w:rPr>
        <w:t>،</w:t>
      </w:r>
      <w:r w:rsidR="00777DCB" w:rsidRPr="00A52585">
        <w:rPr>
          <w:rFonts w:hint="cs"/>
          <w:rtl/>
        </w:rPr>
        <w:t xml:space="preserve"> خلق العرش إظهارا لقدرته ولم يتخذه مكانا لذاته </w:t>
      </w:r>
      <w:r w:rsidRPr="00A52585">
        <w:rPr>
          <w:rFonts w:hint="cs"/>
          <w:rtl/>
        </w:rPr>
        <w:t>[</w:t>
      </w:r>
      <w:r w:rsidR="00777DCB" w:rsidRPr="00A52585">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Pr="00A52585">
        <w:rPr>
          <w:rFonts w:hint="cs"/>
          <w:rtl/>
        </w:rPr>
        <w:t xml:space="preserve"> </w:t>
      </w:r>
      <w:r w:rsidR="00777DCB" w:rsidRPr="00A52585">
        <w:rPr>
          <w:rFonts w:hint="cs"/>
          <w:rtl/>
        </w:rPr>
        <w:t>كان</w:t>
      </w:r>
      <w:r w:rsidRPr="00A52585">
        <w:rPr>
          <w:rFonts w:hint="cs"/>
          <w:rtl/>
        </w:rPr>
        <w:t>)</w:t>
      </w:r>
      <w:r w:rsidR="00777DCB" w:rsidRPr="00A52585">
        <w:rPr>
          <w:rFonts w:hint="cs"/>
          <w:rtl/>
        </w:rPr>
        <w:t xml:space="preserve"> وقال (إن الله تعالى خلق العرش إظهارًا لقدرته لا مكانًا لذاته</w:t>
      </w:r>
      <w:r w:rsidRPr="00A52585">
        <w:rPr>
          <w:rFonts w:hint="cs"/>
          <w:rtl/>
        </w:rPr>
        <w:t>)</w:t>
      </w:r>
      <w:r w:rsidR="00777DCB" w:rsidRPr="00A52585">
        <w:rPr>
          <w:rFonts w:hint="cs"/>
          <w:rtl/>
        </w:rPr>
        <w:t xml:space="preserve"> اهـ [الفرق بين الفرق لأبي منصور البغدادي ص 333</w:t>
      </w:r>
      <w:r w:rsidRPr="00A52585">
        <w:rPr>
          <w:rFonts w:hint="cs"/>
          <w:rtl/>
        </w:rPr>
        <w:t>]</w:t>
      </w:r>
      <w:r w:rsidR="00DB731D" w:rsidRPr="00A52585">
        <w:rPr>
          <w:rFonts w:hint="cs"/>
          <w:rtl/>
        </w:rPr>
        <w:t>،</w:t>
      </w:r>
      <w:r w:rsidR="00777DCB" w:rsidRPr="00A52585">
        <w:rPr>
          <w:rFonts w:hint="cs"/>
          <w:rtl/>
        </w:rPr>
        <w:t xml:space="preserve"> وأنه لا يُقال إن الله داخل الكون _ لأن ذلك يوحي بالحلول والاتحاد</w:t>
      </w:r>
      <w:r w:rsidRPr="00A52585">
        <w:rPr>
          <w:rFonts w:hint="cs"/>
          <w:rtl/>
        </w:rPr>
        <w:t xml:space="preserve"> </w:t>
      </w:r>
      <w:r w:rsidR="00777DCB" w:rsidRPr="00A52585">
        <w:rPr>
          <w:rFonts w:hint="cs"/>
          <w:rtl/>
        </w:rPr>
        <w:t xml:space="preserve">وأنى يحل الخالق المنزه عن الحدود في الكون المحدود _ ولا يُقال إنه خارجه لأنه قريب كما قال تعالى </w:t>
      </w:r>
      <w:r w:rsidRPr="00A52585">
        <w:rPr>
          <w:rFonts w:hint="cs"/>
          <w:rtl/>
        </w:rPr>
        <w:t>{</w:t>
      </w:r>
      <w:r w:rsidR="00777DCB" w:rsidRPr="00A52585">
        <w:rPr>
          <w:rFonts w:hint="cs"/>
          <w:rtl/>
        </w:rPr>
        <w:t>ونحن أقرب إليه منكم ولكن لا تبصرون</w:t>
      </w:r>
      <w:r w:rsidRPr="00A52585">
        <w:rPr>
          <w:rFonts w:hint="cs"/>
          <w:rtl/>
        </w:rPr>
        <w:t>}</w:t>
      </w:r>
      <w:r w:rsidR="00777DCB" w:rsidRPr="00A52585">
        <w:rPr>
          <w:rFonts w:hint="cs"/>
          <w:rtl/>
        </w:rPr>
        <w:t xml:space="preserve"> وكما قال تعالى</w:t>
      </w:r>
      <w:r w:rsidRPr="00A52585">
        <w:rPr>
          <w:rFonts w:hint="cs"/>
          <w:rtl/>
        </w:rPr>
        <w:t>:{</w:t>
      </w:r>
      <w:r w:rsidR="00777DCB" w:rsidRPr="00A52585">
        <w:rPr>
          <w:rFonts w:hint="cs"/>
          <w:rtl/>
        </w:rPr>
        <w:t>ونحن أقرب إليه من حبل الوريد</w:t>
      </w:r>
      <w:r w:rsidRPr="00A52585">
        <w:rPr>
          <w:rFonts w:hint="cs"/>
          <w:rtl/>
        </w:rPr>
        <w:t>}</w:t>
      </w:r>
      <w:r w:rsidR="00DB731D" w:rsidRPr="00A52585">
        <w:rPr>
          <w:rFonts w:hint="cs"/>
          <w:rtl/>
        </w:rPr>
        <w:t>،</w:t>
      </w:r>
      <w:r w:rsidR="00777DCB" w:rsidRPr="00A52585">
        <w:rPr>
          <w:rFonts w:hint="cs"/>
          <w:rtl/>
        </w:rPr>
        <w:t xml:space="preserve"> وكما قال تعالى </w:t>
      </w:r>
      <w:r w:rsidRPr="00A52585">
        <w:rPr>
          <w:rFonts w:hint="cs"/>
          <w:rtl/>
        </w:rPr>
        <w:t>{</w:t>
      </w:r>
      <w:r w:rsidR="00777DCB" w:rsidRPr="00A52585">
        <w:rPr>
          <w:rFonts w:hint="cs"/>
          <w:rtl/>
        </w:rPr>
        <w:t>واسجد واقترب</w:t>
      </w:r>
      <w:r w:rsidRPr="00A52585">
        <w:rPr>
          <w:rFonts w:hint="cs"/>
          <w:rtl/>
        </w:rPr>
        <w:t>}</w:t>
      </w:r>
      <w:r w:rsidR="00DB731D" w:rsidRPr="00A52585">
        <w:rPr>
          <w:rFonts w:hint="cs"/>
          <w:rtl/>
        </w:rPr>
        <w:t>،</w:t>
      </w:r>
      <w:r w:rsidR="00777DCB" w:rsidRPr="00A52585">
        <w:rPr>
          <w:rFonts w:hint="cs"/>
          <w:rtl/>
        </w:rPr>
        <w:t xml:space="preserve"> وكما قال الرسول الكريم _ وهو يبين قرب الرحمن _ (</w:t>
      </w:r>
      <w:r w:rsidRPr="00A52585">
        <w:rPr>
          <w:rFonts w:hint="cs"/>
          <w:rtl/>
        </w:rPr>
        <w:t>(</w:t>
      </w:r>
      <w:r w:rsidR="00777DCB" w:rsidRPr="00A52585">
        <w:rPr>
          <w:rFonts w:hint="cs"/>
          <w:rtl/>
        </w:rPr>
        <w:t>إذا كَانَ أَحَدُكُم في صَلاَتِهِ فَإِنَّهُ يُنَاجِي ربَّه فلا يَبْصُقَنَّ في قِبْلَتِهِ وَلاَ عَنْ يَمِينِهِ فَإِنَّ رَبَّهُ بَيْنَهُ وَبَيْنَ قِبْلَتِهِ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أخرجه البخاري</w:t>
      </w:r>
      <w:r w:rsidRPr="00A52585">
        <w:rPr>
          <w:rFonts w:hint="cs"/>
          <w:rtl/>
        </w:rPr>
        <w:t>]</w:t>
      </w:r>
      <w:r w:rsidR="00777DCB" w:rsidRPr="00A52585">
        <w:rPr>
          <w:rFonts w:hint="cs"/>
          <w:rtl/>
        </w:rPr>
        <w:t xml:space="preserve"> وقوله صلى الله عليه وسلم (</w:t>
      </w:r>
      <w:r w:rsidRPr="00A52585">
        <w:rPr>
          <w:rFonts w:hint="cs"/>
          <w:rtl/>
        </w:rPr>
        <w:t>(</w:t>
      </w:r>
      <w:r w:rsidR="00777DCB" w:rsidRPr="00A52585">
        <w:rPr>
          <w:rFonts w:hint="cs"/>
          <w:rtl/>
        </w:rPr>
        <w:t>أربعوا على أَنفُسِكُمْ فإنَّكُمْ لا تَدْعُونَ أَصَمَّ ولا غَائِباً</w:t>
      </w:r>
      <w:r w:rsidR="00DB731D" w:rsidRPr="00A52585">
        <w:rPr>
          <w:rFonts w:hint="cs"/>
          <w:rtl/>
        </w:rPr>
        <w:t>،</w:t>
      </w:r>
      <w:r w:rsidR="00777DCB" w:rsidRPr="00A52585">
        <w:rPr>
          <w:rFonts w:hint="cs"/>
          <w:rtl/>
        </w:rPr>
        <w:t xml:space="preserve"> إنَّكم تَدْعُونَ سميعاً قَرِيباً</w:t>
      </w:r>
      <w:r w:rsidR="00DB731D" w:rsidRPr="00A52585">
        <w:rPr>
          <w:rFonts w:hint="cs"/>
          <w:rtl/>
        </w:rPr>
        <w:t>،</w:t>
      </w:r>
      <w:r w:rsidR="00777DCB" w:rsidRPr="00A52585">
        <w:rPr>
          <w:rFonts w:hint="cs"/>
          <w:rtl/>
        </w:rPr>
        <w:t xml:space="preserve"> والذي تَدْعُونَهُ أَقْرَبُ إلى أَحَدِكُمْ مِنْ عُنُقِ رَاحِلَةِ أَحَدِكُمْ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أخرجه البخاري</w:t>
      </w:r>
      <w:r w:rsidRPr="00A52585">
        <w:rPr>
          <w:rFonts w:hint="cs"/>
          <w:rtl/>
        </w:rPr>
        <w:t>]</w:t>
      </w:r>
      <w:r w:rsidR="00777DCB" w:rsidRPr="00A52585">
        <w:rPr>
          <w:rFonts w:hint="cs"/>
          <w:rtl/>
        </w:rPr>
        <w:t xml:space="preserve"> ولا يُقال أنه متصل بالكون ولا يُقال أنه منفصل عنه لأنه سبحانه ليس كمثله شيء لا يُقاس قربه بالمسافة</w:t>
      </w:r>
      <w:r w:rsidR="00DB731D" w:rsidRPr="00A52585">
        <w:rPr>
          <w:rFonts w:hint="cs"/>
          <w:rtl/>
        </w:rPr>
        <w:t>،</w:t>
      </w:r>
      <w:r w:rsidR="00777DCB" w:rsidRPr="00A52585">
        <w:rPr>
          <w:rFonts w:hint="cs"/>
          <w:rtl/>
        </w:rPr>
        <w:t xml:space="preserve"> بل كل خلقه منه قريب تحيرت العقول في ذاته وصفاته والعجز عن درك الإدراك صفة المخلوق القاصر</w:t>
      </w:r>
      <w:r w:rsidR="00DB731D" w:rsidRPr="00A52585">
        <w:rPr>
          <w:rFonts w:hint="cs"/>
          <w:rtl/>
        </w:rPr>
        <w:t>،</w:t>
      </w:r>
      <w:r w:rsidR="00777DCB" w:rsidRPr="00A52585">
        <w:rPr>
          <w:rFonts w:hint="cs"/>
          <w:rtl/>
        </w:rPr>
        <w:t xml:space="preserve"> وهذا حد البشر نبذ التمثيل والتكييف والتشبيه وتنزيه الله عن الزمان والمكان والحد والمقدار</w:t>
      </w:r>
      <w:r w:rsidR="00DB731D" w:rsidRPr="00A52585">
        <w:rPr>
          <w:rFonts w:hint="cs"/>
          <w:rtl/>
        </w:rPr>
        <w:t>،</w:t>
      </w:r>
      <w:r w:rsidR="00777DCB" w:rsidRPr="00A52585">
        <w:rPr>
          <w:rFonts w:hint="cs"/>
          <w:rtl/>
        </w:rPr>
        <w:t xml:space="preserve"> و</w:t>
      </w:r>
      <w:r w:rsidR="00777DCB" w:rsidRPr="00A52585">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DB731D" w:rsidRPr="00A52585">
        <w:rPr>
          <w:rFonts w:hint="cs"/>
          <w:rtl/>
          <w:lang w:bidi="ar-KW"/>
        </w:rPr>
        <w:t>،</w:t>
      </w:r>
      <w:r w:rsidR="00777DCB" w:rsidRPr="00A52585">
        <w:rPr>
          <w:rFonts w:hint="cs"/>
          <w:rtl/>
          <w:lang w:bidi="ar-KW"/>
        </w:rPr>
        <w:t xml:space="preserve"> نقول</w:t>
      </w:r>
      <w:r w:rsidRPr="00A52585">
        <w:rPr>
          <w:rFonts w:hint="cs"/>
          <w:rtl/>
          <w:lang w:bidi="ar-KW"/>
        </w:rPr>
        <w:t>:</w:t>
      </w:r>
      <w:r w:rsidR="00777DCB" w:rsidRPr="00A52585">
        <w:rPr>
          <w:rFonts w:hint="cs"/>
          <w:rtl/>
          <w:lang w:bidi="ar-KW"/>
        </w:rPr>
        <w:t xml:space="preserve"> هو التناقض إذا كان بين شيئين متماثلين في وجه من الوجوه</w:t>
      </w:r>
      <w:r w:rsidR="00DB731D" w:rsidRPr="00A52585">
        <w:rPr>
          <w:rFonts w:hint="cs"/>
          <w:rtl/>
          <w:lang w:bidi="ar-KW"/>
        </w:rPr>
        <w:t>،</w:t>
      </w:r>
      <w:r w:rsidR="00777DCB" w:rsidRPr="00A52585">
        <w:rPr>
          <w:rFonts w:hint="cs"/>
          <w:rtl/>
          <w:lang w:bidi="ar-KW"/>
        </w:rPr>
        <w:t xml:space="preserve"> فمثلا نقول أن هناك علاقة بين الإنسان وبين العلم فيصح أن يٌقال هذا إنسان عالم أو جاهل</w:t>
      </w:r>
      <w:r w:rsidR="00DB731D" w:rsidRPr="00A52585">
        <w:rPr>
          <w:rFonts w:hint="cs"/>
          <w:rtl/>
          <w:lang w:bidi="ar-KW"/>
        </w:rPr>
        <w:t>،</w:t>
      </w:r>
      <w:r w:rsidR="00777DCB" w:rsidRPr="00A52585">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DB731D" w:rsidRPr="00A52585">
        <w:rPr>
          <w:rFonts w:hint="cs"/>
          <w:rtl/>
          <w:lang w:bidi="ar-KW"/>
        </w:rPr>
        <w:t>،</w:t>
      </w:r>
      <w:r w:rsidR="00777DCB" w:rsidRPr="00A52585">
        <w:rPr>
          <w:rFonts w:hint="cs"/>
          <w:rtl/>
          <w:lang w:bidi="ar-KW"/>
        </w:rPr>
        <w:t xml:space="preserve"> ولله المثل الأعلى</w:t>
      </w:r>
      <w:r w:rsidR="00DB731D" w:rsidRPr="00A52585">
        <w:rPr>
          <w:rFonts w:hint="cs"/>
          <w:rtl/>
          <w:lang w:bidi="ar-KW"/>
        </w:rPr>
        <w:t>،</w:t>
      </w:r>
      <w:r w:rsidR="00777DCB" w:rsidRPr="00A52585">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DB731D" w:rsidRPr="00A52585">
        <w:rPr>
          <w:rFonts w:hint="cs"/>
          <w:rtl/>
          <w:lang w:bidi="ar-KW"/>
        </w:rPr>
        <w:t>،</w:t>
      </w:r>
      <w:r w:rsidR="00777DCB" w:rsidRPr="00A52585">
        <w:rPr>
          <w:rFonts w:hint="cs"/>
          <w:rtl/>
          <w:lang w:bidi="ar-KW"/>
        </w:rPr>
        <w:t xml:space="preserve"> وليس كمثل صفاته صفات</w:t>
      </w:r>
      <w:r w:rsidR="00DB731D" w:rsidRPr="00A52585">
        <w:rPr>
          <w:rFonts w:hint="cs"/>
          <w:rtl/>
          <w:lang w:bidi="ar-KW"/>
        </w:rPr>
        <w:t>،</w:t>
      </w:r>
      <w:r w:rsidR="00777DCB" w:rsidRPr="00A52585">
        <w:rPr>
          <w:rFonts w:hint="cs"/>
          <w:rtl/>
          <w:lang w:bidi="ar-KW"/>
        </w:rPr>
        <w:t xml:space="preserve"> وليس كمثل أفعاله أفعال</w:t>
      </w:r>
      <w:r w:rsidR="00DB731D" w:rsidRPr="00A52585">
        <w:rPr>
          <w:rFonts w:hint="cs"/>
          <w:rtl/>
          <w:lang w:bidi="ar-KW"/>
        </w:rPr>
        <w:t>،</w:t>
      </w:r>
      <w:r w:rsidR="00777DCB" w:rsidRPr="00A52585">
        <w:rPr>
          <w:rFonts w:hint="cs"/>
          <w:rtl/>
          <w:lang w:bidi="ar-KW"/>
        </w:rPr>
        <w:t xml:space="preserve"> وليس له مثيل ولم يكن له كفوا أحد</w:t>
      </w:r>
      <w:r w:rsidR="00DB731D" w:rsidRPr="00A52585">
        <w:rPr>
          <w:rFonts w:hint="cs"/>
          <w:rtl/>
          <w:lang w:bidi="ar-KW"/>
        </w:rPr>
        <w:t>،</w:t>
      </w:r>
      <w:r w:rsidR="00777DCB" w:rsidRPr="00A52585">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ع</w:t>
      </w:r>
      <w:r w:rsidRPr="00A52585">
        <w:rPr>
          <w:rFonts w:hint="cs"/>
          <w:rtl/>
          <w:lang w:bidi="ar-KW"/>
        </w:rPr>
        <w:t>)</w:t>
      </w:r>
      <w:r w:rsidR="00777DCB" w:rsidRPr="00A52585">
        <w:rPr>
          <w:rFonts w:hint="cs"/>
          <w:rtl/>
          <w:lang w:bidi="ar-KW"/>
        </w:rPr>
        <w:t xml:space="preserve"> من الأدلة الشرعية على تنزيه الله تعالى عن الحد</w:t>
      </w:r>
      <w:r w:rsidRPr="00A52585">
        <w:rPr>
          <w:rFonts w:hint="cs"/>
          <w:rtl/>
          <w:lang w:bidi="ar-KW"/>
        </w:rPr>
        <w:t xml:space="preserve">: </w:t>
      </w:r>
      <w:r w:rsidR="00777DCB" w:rsidRPr="00A52585">
        <w:rPr>
          <w:rFonts w:hint="cs"/>
          <w:rtl/>
        </w:rPr>
        <w:t>قوله تعالى</w:t>
      </w:r>
      <w:r w:rsidRPr="00A52585">
        <w:rPr>
          <w:rFonts w:hint="cs"/>
          <w:rtl/>
        </w:rPr>
        <w:t>:</w:t>
      </w:r>
      <w:r w:rsidR="00777DCB" w:rsidRPr="00A52585">
        <w:rPr>
          <w:rFonts w:hint="cs"/>
          <w:rtl/>
        </w:rPr>
        <w:t xml:space="preserve"> (ليس كمثلِه شيء) [سورة الشورى</w:t>
      </w:r>
      <w:r w:rsidRPr="00A52585">
        <w:rPr>
          <w:rFonts w:hint="cs"/>
          <w:rtl/>
        </w:rPr>
        <w:t>:</w:t>
      </w:r>
      <w:r w:rsidR="00777DCB" w:rsidRPr="00A52585">
        <w:rPr>
          <w:rFonts w:hint="cs"/>
          <w:rtl/>
        </w:rPr>
        <w:t xml:space="preserve"> 11]، في هذه الآية نفي المشابهة والمماثلة بين الله تعالى وخلقه ومعناه أن الله تعالى لا يشبه شيئًا من خلقه بوجه </w:t>
      </w:r>
      <w:r w:rsidR="00777DCB" w:rsidRPr="00A52585">
        <w:rPr>
          <w:rFonts w:hint="cs"/>
          <w:rtl/>
        </w:rPr>
        <w:lastRenderedPageBreak/>
        <w:t>من الوجوه، فإذا كانت المخلوقات جميعا لها حد تنتهي إليه وهو علامة نقصها ودليل خلقها علمنا من ذلك أن خالقها منزه عن الحد والحصر والمقدار</w:t>
      </w:r>
      <w:r w:rsidR="00DB731D" w:rsidRPr="00A52585">
        <w:rPr>
          <w:rFonts w:hint="cs"/>
          <w:rtl/>
        </w:rPr>
        <w:t>،</w:t>
      </w:r>
      <w:r w:rsidR="00777DCB" w:rsidRPr="00A52585">
        <w:rPr>
          <w:rFonts w:hint="cs"/>
          <w:rtl/>
        </w:rPr>
        <w:t xml:space="preserve"> قوله تعالى:(وللهِ المثَلُ الأعلى) [سورة النحل/60] أي الوصف الذي لا يشبه وصف غيره، فلا يوصف ربنا عزَّ وجلَّ بصفات المخلوقين من الحد والحصر والمقدار</w:t>
      </w:r>
      <w:r w:rsidR="00DB731D" w:rsidRPr="00A52585">
        <w:rPr>
          <w:rFonts w:hint="cs"/>
          <w:rtl/>
        </w:rPr>
        <w:t>،</w:t>
      </w:r>
      <w:r w:rsidR="00777DCB" w:rsidRPr="00A52585">
        <w:rPr>
          <w:rFonts w:hint="cs"/>
          <w:rtl/>
        </w:rPr>
        <w:t xml:space="preserve"> وقوله تعالى:(فلا تضربوا للهِ الأمثال) [سورة النحل/74]، أي لا تجعلوا لله الشبيهَ والمِثْل فإن اللهَ تعالى لا شبيه له ولا مثيل له، فذاتُه سبحانه لا يشبه الذواتِ ولا صفاتُه تشبه الصفاتِ</w:t>
      </w:r>
      <w:r w:rsidR="00DB731D" w:rsidRPr="00A52585">
        <w:rPr>
          <w:rFonts w:hint="cs"/>
          <w:rtl/>
        </w:rPr>
        <w:t>،</w:t>
      </w:r>
      <w:r w:rsidR="00777DCB" w:rsidRPr="00A52585">
        <w:rPr>
          <w:rFonts w:hint="cs"/>
          <w:rtl/>
        </w:rPr>
        <w:t xml:space="preserve"> تنزه عن الحد والحصر والمقدار</w:t>
      </w:r>
      <w:r w:rsidR="00DB731D" w:rsidRPr="00A52585">
        <w:rPr>
          <w:rFonts w:hint="cs"/>
          <w:rtl/>
        </w:rPr>
        <w:t>،</w:t>
      </w:r>
      <w:r w:rsidR="00777DCB" w:rsidRPr="00A52585">
        <w:rPr>
          <w:rFonts w:hint="cs"/>
          <w:rtl/>
        </w:rPr>
        <w:t xml:space="preserve"> وقوله تعالى:(هل تعلمُ لهُ سميًّا) [سورة مريم/65] أي مِثلاً، فالله تعالى لا مِثْلَ له ولا شبيه ولا نظير، فذاتُه سبحانه لا يشبه الذواتِ ولا صفاتُه تشبه الصفاتِ</w:t>
      </w:r>
      <w:r w:rsidR="00DB731D" w:rsidRPr="00A52585">
        <w:rPr>
          <w:rFonts w:hint="cs"/>
          <w:rtl/>
        </w:rPr>
        <w:t>،</w:t>
      </w:r>
      <w:r w:rsidR="00777DCB" w:rsidRPr="00A52585">
        <w:rPr>
          <w:rFonts w:hint="cs"/>
          <w:rtl/>
        </w:rPr>
        <w:t xml:space="preserve"> تنزه عن الحد والحصر والمقدار</w:t>
      </w:r>
      <w:r w:rsidR="00DB731D" w:rsidRPr="00A52585">
        <w:rPr>
          <w:rFonts w:hint="cs"/>
          <w:rtl/>
        </w:rPr>
        <w:t>،</w:t>
      </w:r>
      <w:r w:rsidR="00777DCB" w:rsidRPr="00A52585">
        <w:rPr>
          <w:rFonts w:hint="cs"/>
          <w:rtl/>
        </w:rPr>
        <w:t xml:space="preserve"> وقوله تعالى:(هُوَ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DB731D" w:rsidRPr="00A52585">
        <w:rPr>
          <w:rFonts w:hint="cs"/>
          <w:rtl/>
        </w:rPr>
        <w:t>،</w:t>
      </w:r>
      <w:r w:rsidR="00777DCB" w:rsidRPr="00A52585">
        <w:rPr>
          <w:rFonts w:hint="cs"/>
          <w:rtl/>
        </w:rPr>
        <w:t xml:space="preserve"> تعالى عن الحد والمقدار</w:t>
      </w:r>
      <w:r w:rsidR="00DB731D" w:rsidRPr="00A52585">
        <w:rPr>
          <w:rFonts w:hint="cs"/>
          <w:rtl/>
        </w:rPr>
        <w:t>،</w:t>
      </w:r>
      <w:r w:rsidR="00777DCB" w:rsidRPr="00A52585">
        <w:rPr>
          <w:rFonts w:hint="cs"/>
          <w:rtl/>
        </w:rPr>
        <w:t xml:space="preserve"> وقوله تعالى:(وَلَمْ يَكُن لَّهُ كُفُوًا أَحَدٌ) [سورة الإخلاص/4] أي لا نظير له بوجه من الوجوه، فإذا </w:t>
      </w:r>
      <w:proofErr w:type="spellStart"/>
      <w:r w:rsidR="00777DCB" w:rsidRPr="00A52585">
        <w:rPr>
          <w:rFonts w:hint="cs"/>
          <w:rtl/>
        </w:rPr>
        <w:t>فإذا</w:t>
      </w:r>
      <w:proofErr w:type="spellEnd"/>
      <w:r w:rsidR="00777DCB" w:rsidRPr="00A52585">
        <w:rPr>
          <w:rFonts w:hint="cs"/>
          <w:rtl/>
        </w:rPr>
        <w:t xml:space="preserve"> كانت المخلوقات جميعا لها حد تنتهي إليه وهو علامة نقصها ودليل خلقها علمنا من ذلك أن خالقها منزه عن الحد والحصر والمقدار</w:t>
      </w:r>
      <w:r w:rsidR="00DB731D" w:rsidRPr="00A52585">
        <w:rPr>
          <w:rFonts w:hint="cs"/>
          <w:rtl/>
        </w:rPr>
        <w:t>،</w:t>
      </w:r>
      <w:r w:rsidR="00777DCB" w:rsidRPr="00A52585">
        <w:rPr>
          <w:rFonts w:hint="cs"/>
          <w:rtl/>
        </w:rPr>
        <w:t xml:space="preserve"> وقوله تعالى:(فَأَيْنَمَا تُوَلُّواْ فَثَمَّ وَجْهُ اللهِ) [سورة البقرة/115] ولا يكون ذلك إلا لمن هو منزه عن الحد والمقدار</w:t>
      </w:r>
      <w:r w:rsidR="00DB731D" w:rsidRPr="00A52585">
        <w:rPr>
          <w:rFonts w:hint="cs"/>
          <w:rtl/>
        </w:rPr>
        <w:t>،</w:t>
      </w:r>
      <w:r w:rsidR="00777DCB" w:rsidRPr="00A52585">
        <w:rPr>
          <w:rFonts w:hint="cs"/>
          <w:rtl/>
        </w:rPr>
        <w:t xml:space="preserve"> وقول رسول الله صلى الله عليه وسلم: </w:t>
      </w:r>
      <w:r w:rsidRPr="00A52585">
        <w:rPr>
          <w:rFonts w:hint="cs"/>
          <w:rtl/>
        </w:rPr>
        <w:t>(</w:t>
      </w:r>
      <w:r w:rsidR="00777DCB" w:rsidRPr="00A52585">
        <w:rPr>
          <w:rFonts w:hint="cs"/>
          <w:rtl/>
        </w:rPr>
        <w:t xml:space="preserve">اللهم أنت الأوَّلُ فليس قبلَك </w:t>
      </w:r>
      <w:proofErr w:type="spellStart"/>
      <w:r w:rsidR="00777DCB" w:rsidRPr="00A52585">
        <w:rPr>
          <w:rFonts w:hint="cs"/>
          <w:rtl/>
        </w:rPr>
        <w:t>شىءٌ</w:t>
      </w:r>
      <w:proofErr w:type="spellEnd"/>
      <w:r w:rsidR="00777DCB" w:rsidRPr="00A52585">
        <w:rPr>
          <w:rFonts w:hint="cs"/>
          <w:rtl/>
        </w:rPr>
        <w:t xml:space="preserve">، وأنت الآخِر فليس بعدَك شيء، وأنت الظاهرُ فليس فوقَكَ </w:t>
      </w:r>
      <w:proofErr w:type="spellStart"/>
      <w:r w:rsidR="00777DCB" w:rsidRPr="00A52585">
        <w:rPr>
          <w:rFonts w:hint="cs"/>
          <w:rtl/>
        </w:rPr>
        <w:t>شىءٌ</w:t>
      </w:r>
      <w:proofErr w:type="spellEnd"/>
      <w:r w:rsidR="00777DCB" w:rsidRPr="00A52585">
        <w:rPr>
          <w:rFonts w:hint="cs"/>
          <w:rtl/>
        </w:rPr>
        <w:t>، وأنت الباطن فليس دونَك شيء)</w:t>
      </w:r>
      <w:r w:rsidRPr="00A52585">
        <w:rPr>
          <w:rFonts w:hint="cs"/>
          <w:rtl/>
        </w:rPr>
        <w:t xml:space="preserve"> [</w:t>
      </w:r>
      <w:r w:rsidR="00777DCB" w:rsidRPr="00A52585">
        <w:rPr>
          <w:rFonts w:hint="cs"/>
          <w:rtl/>
        </w:rPr>
        <w:t>أخرجه مسلم] وإذا لم يكن فوقه شيء ولا دونه شيء لم يكن له حد</w:t>
      </w:r>
      <w:r w:rsidR="00DB731D" w:rsidRPr="00A52585">
        <w:rPr>
          <w:rFonts w:hint="cs"/>
          <w:rtl/>
        </w:rPr>
        <w:t>،</w:t>
      </w:r>
      <w:r w:rsidRPr="00A52585">
        <w:rPr>
          <w:rFonts w:hint="cs"/>
          <w:rtl/>
        </w:rPr>
        <w:t xml:space="preserve"> </w:t>
      </w:r>
      <w:r w:rsidRPr="00A52585">
        <w:rPr>
          <w:rFonts w:hint="cs"/>
          <w:rtl/>
          <w:lang w:bidi="ar-KW"/>
        </w:rPr>
        <w:t>(</w:t>
      </w:r>
      <w:r w:rsidR="00777DCB" w:rsidRPr="00A52585">
        <w:rPr>
          <w:rFonts w:hint="cs"/>
          <w:rtl/>
          <w:lang w:bidi="ar-KW"/>
        </w:rPr>
        <w:t>غ</w:t>
      </w:r>
      <w:r w:rsidRPr="00A52585">
        <w:rPr>
          <w:rFonts w:hint="cs"/>
          <w:rtl/>
          <w:lang w:bidi="ar-KW"/>
        </w:rPr>
        <w:t>)</w:t>
      </w:r>
      <w:r w:rsidR="00777DCB" w:rsidRPr="00A52585">
        <w:rPr>
          <w:rFonts w:hint="cs"/>
          <w:rtl/>
          <w:lang w:bidi="ar-KW"/>
        </w:rPr>
        <w:t xml:space="preserve"> من درر العلماء في تنزيه الله تعالى عن الحد</w:t>
      </w:r>
      <w:r w:rsidRPr="00A52585">
        <w:rPr>
          <w:rFonts w:hint="cs"/>
          <w:rtl/>
          <w:lang w:bidi="ar-KW"/>
        </w:rPr>
        <w:t>:</w:t>
      </w:r>
      <w:r w:rsidR="00777DCB" w:rsidRPr="00A52585">
        <w:rPr>
          <w:rFonts w:hint="cs"/>
          <w:rtl/>
          <w:lang w:bidi="ar-KW"/>
        </w:rPr>
        <w:t xml:space="preserve"> </w:t>
      </w:r>
      <w:r w:rsidR="00777DCB" w:rsidRPr="00A52585">
        <w:rPr>
          <w:rFonts w:hint="cs"/>
          <w:rtl/>
        </w:rPr>
        <w:t>قال الإمام</w:t>
      </w:r>
      <w:r w:rsidR="00777DCB" w:rsidRPr="00A52585">
        <w:rPr>
          <w:rFonts w:hint="cs"/>
        </w:rPr>
        <w:t xml:space="preserve"> </w:t>
      </w:r>
      <w:r w:rsidR="00777DCB" w:rsidRPr="00A52585">
        <w:rPr>
          <w:rFonts w:hint="cs"/>
          <w:rtl/>
        </w:rPr>
        <w:t xml:space="preserve">أبو جعفر الطحاوي في كتابه </w:t>
      </w:r>
      <w:r w:rsidRPr="00A52585">
        <w:rPr>
          <w:rFonts w:hint="cs"/>
          <w:rtl/>
        </w:rPr>
        <w:t>[</w:t>
      </w:r>
      <w:r w:rsidR="00777DCB" w:rsidRPr="00A52585">
        <w:rPr>
          <w:rFonts w:hint="cs"/>
          <w:rtl/>
        </w:rPr>
        <w:t>اعتقاد أهل السنة والجماعة على مذهب فقهاء الملة</w:t>
      </w:r>
      <w:r w:rsidR="00777DCB" w:rsidRPr="00A52585">
        <w:rPr>
          <w:rFonts w:hint="cs"/>
        </w:rPr>
        <w:t xml:space="preserve"> </w:t>
      </w:r>
      <w:r w:rsidR="00777DCB" w:rsidRPr="00A52585">
        <w:rPr>
          <w:rFonts w:hint="cs"/>
          <w:rtl/>
        </w:rPr>
        <w:t>أبى حنفية وأبي يوسف ومحمد بن حسن</w:t>
      </w:r>
      <w:r w:rsidRPr="00A52585">
        <w:rPr>
          <w:rFonts w:hint="cs"/>
          <w:rtl/>
        </w:rPr>
        <w:t>]</w:t>
      </w:r>
      <w:r w:rsidR="00777DCB" w:rsidRPr="00A52585">
        <w:rPr>
          <w:rFonts w:hint="cs"/>
          <w:rtl/>
        </w:rPr>
        <w:t xml:space="preserve"> " تعالى الله عن الحدود والغايات</w:t>
      </w:r>
      <w:r w:rsidR="00777DCB" w:rsidRPr="00A52585">
        <w:rPr>
          <w:rFonts w:hint="cs"/>
          <w:u w:val="single"/>
          <w:rtl/>
        </w:rPr>
        <w:t xml:space="preserve"> </w:t>
      </w:r>
      <w:r w:rsidR="00777DCB" w:rsidRPr="00A52585">
        <w:rPr>
          <w:rFonts w:hint="cs"/>
          <w:rtl/>
        </w:rPr>
        <w:t>والأركان</w:t>
      </w:r>
      <w:r w:rsidR="00777DCB" w:rsidRPr="00A52585">
        <w:rPr>
          <w:rFonts w:hint="cs"/>
        </w:rPr>
        <w:t xml:space="preserve"> </w:t>
      </w:r>
      <w:r w:rsidR="00777DCB" w:rsidRPr="00A52585">
        <w:rPr>
          <w:rFonts w:hint="cs"/>
          <w:rtl/>
        </w:rPr>
        <w:t>والأعضاء والأدوات ولا تحوية الجهات الست كسائر المبدعات " أهــ</w:t>
      </w:r>
      <w:r w:rsidR="00DB731D" w:rsidRPr="00A52585">
        <w:rPr>
          <w:rFonts w:hint="cs"/>
          <w:rtl/>
        </w:rPr>
        <w:t>،</w:t>
      </w:r>
      <w:r w:rsidRPr="00A52585">
        <w:rPr>
          <w:rFonts w:hint="cs"/>
          <w:rtl/>
        </w:rPr>
        <w:t xml:space="preserve"> </w:t>
      </w:r>
      <w:r w:rsidR="00777DCB" w:rsidRPr="00A52585">
        <w:rPr>
          <w:rFonts w:hint="cs"/>
          <w:rtl/>
        </w:rPr>
        <w:t>وجاء في اعتقاد الإمام المبجل ابن حنبل [ج: 1 ص: 307</w:t>
      </w:r>
      <w:r w:rsidRPr="00A52585">
        <w:rPr>
          <w:rFonts w:hint="cs"/>
          <w:rtl/>
        </w:rPr>
        <w:t>]</w:t>
      </w:r>
      <w:r w:rsidR="00777DCB" w:rsidRPr="00A52585">
        <w:rPr>
          <w:rFonts w:hint="cs"/>
          <w:rtl/>
        </w:rPr>
        <w:t xml:space="preserve"> وجاء في كتاب العقيدة </w:t>
      </w:r>
      <w:r w:rsidRPr="00A52585">
        <w:rPr>
          <w:rFonts w:hint="cs"/>
          <w:rtl/>
        </w:rPr>
        <w:t>[</w:t>
      </w:r>
      <w:r w:rsidR="00777DCB" w:rsidRPr="00A52585">
        <w:rPr>
          <w:rFonts w:hint="cs"/>
          <w:rtl/>
        </w:rPr>
        <w:t>ج: 1 ص: 127] نص</w:t>
      </w:r>
      <w:r w:rsidR="00777DCB" w:rsidRPr="00A52585">
        <w:rPr>
          <w:rFonts w:hint="cs"/>
        </w:rPr>
        <w:t xml:space="preserve"> </w:t>
      </w:r>
      <w:r w:rsidR="00777DCB" w:rsidRPr="00A52585">
        <w:rPr>
          <w:rFonts w:hint="cs"/>
          <w:rtl/>
        </w:rPr>
        <w:t>اعتقاد الإمام أحمد</w:t>
      </w:r>
      <w:r w:rsidR="00777DCB" w:rsidRPr="00A52585">
        <w:rPr>
          <w:rFonts w:hint="cs"/>
        </w:rPr>
        <w:t xml:space="preserve"> </w:t>
      </w:r>
      <w:r w:rsidR="00777DCB" w:rsidRPr="00A52585">
        <w:rPr>
          <w:rFonts w:hint="cs"/>
          <w:rtl/>
        </w:rPr>
        <w:t>بن حنبل "</w:t>
      </w:r>
      <w:r w:rsidRPr="00A52585">
        <w:rPr>
          <w:rFonts w:hint="cs"/>
          <w:rtl/>
        </w:rPr>
        <w:t xml:space="preserve"> </w:t>
      </w:r>
      <w:r w:rsidR="00777DCB" w:rsidRPr="00A52585">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sidRPr="00A52585">
        <w:rPr>
          <w:rFonts w:hint="cs"/>
          <w:rtl/>
        </w:rPr>
        <w:t xml:space="preserve"> </w:t>
      </w:r>
      <w:r w:rsidR="00777DCB" w:rsidRPr="00A52585">
        <w:rPr>
          <w:rFonts w:hint="cs"/>
          <w:rtl/>
        </w:rPr>
        <w:t>ليس كمثله شيء وهو السميع البصير " أهـ</w:t>
      </w:r>
      <w:r w:rsidR="00DB731D" w:rsidRPr="00A52585">
        <w:rPr>
          <w:rFonts w:hint="cs"/>
          <w:rtl/>
        </w:rPr>
        <w:t>،</w:t>
      </w:r>
      <w:r w:rsidR="00777DCB" w:rsidRPr="00A52585">
        <w:rPr>
          <w:rFonts w:hint="cs"/>
          <w:rtl/>
        </w:rPr>
        <w:t xml:space="preserve"> وقال العلامة ابن الجوزي الحنبلي رحمه الله في </w:t>
      </w:r>
      <w:r w:rsidRPr="00A52585">
        <w:rPr>
          <w:rFonts w:hint="cs"/>
          <w:rtl/>
        </w:rPr>
        <w:t>[</w:t>
      </w:r>
      <w:r w:rsidR="00777DCB" w:rsidRPr="00A52585">
        <w:rPr>
          <w:rFonts w:hint="cs"/>
          <w:rtl/>
        </w:rPr>
        <w:t>الباز الأشهب ص 57</w:t>
      </w:r>
      <w:r w:rsidRPr="00A52585">
        <w:rPr>
          <w:rFonts w:hint="cs"/>
          <w:rtl/>
        </w:rPr>
        <w:t>]</w:t>
      </w:r>
      <w:r w:rsidR="00777DCB" w:rsidRPr="00A52585">
        <w:rPr>
          <w:rFonts w:hint="cs"/>
          <w:rtl/>
        </w:rPr>
        <w:t xml:space="preserve"> " واعلم أن من يتصور وجود الحق سبحانه وجودا مكانيا</w:t>
      </w:r>
      <w:r w:rsidR="00777DCB" w:rsidRPr="00A52585">
        <w:rPr>
          <w:rFonts w:hint="cs"/>
        </w:rPr>
        <w:t xml:space="preserve"> </w:t>
      </w:r>
      <w:r w:rsidR="00777DCB" w:rsidRPr="00A52585">
        <w:rPr>
          <w:rFonts w:hint="cs"/>
          <w:rtl/>
        </w:rPr>
        <w:t>طلب له جهة كما أن من تخيل أن وجوده وجودا زمانيا طلب له مده في تقدمه علي العالم</w:t>
      </w:r>
      <w:r w:rsidR="00777DCB" w:rsidRPr="00A52585">
        <w:rPr>
          <w:rFonts w:hint="cs"/>
        </w:rPr>
        <w:t xml:space="preserve"> </w:t>
      </w:r>
      <w:r w:rsidR="00777DCB" w:rsidRPr="00A52585">
        <w:rPr>
          <w:rFonts w:hint="cs"/>
          <w:rtl/>
        </w:rPr>
        <w:t xml:space="preserve">بأزمنة وكلا التخيلين باطل. وقد ثبت أن جميع الجهات </w:t>
      </w:r>
      <w:r w:rsidR="00777DCB" w:rsidRPr="00A52585">
        <w:rPr>
          <w:rFonts w:hint="cs"/>
          <w:rtl/>
        </w:rPr>
        <w:lastRenderedPageBreak/>
        <w:t xml:space="preserve">تتساوي بالإضافة </w:t>
      </w:r>
      <w:proofErr w:type="gramStart"/>
      <w:r w:rsidR="00777DCB" w:rsidRPr="00A52585">
        <w:rPr>
          <w:rFonts w:hint="cs"/>
          <w:rtl/>
        </w:rPr>
        <w:t>إلي</w:t>
      </w:r>
      <w:proofErr w:type="gramEnd"/>
      <w:r w:rsidR="00777DCB" w:rsidRPr="00A52585">
        <w:rPr>
          <w:rFonts w:hint="cs"/>
          <w:rtl/>
        </w:rPr>
        <w:t xml:space="preserve"> القائل</w:t>
      </w:r>
      <w:r w:rsidR="00777DCB" w:rsidRPr="00A52585">
        <w:rPr>
          <w:rFonts w:hint="cs"/>
        </w:rPr>
        <w:t xml:space="preserve"> </w:t>
      </w:r>
      <w:r w:rsidR="00777DCB" w:rsidRPr="00A52585">
        <w:rPr>
          <w:rFonts w:hint="cs"/>
          <w:rtl/>
        </w:rPr>
        <w:t>بالجهة فاختصاصه ببعضها ليس بواجب لذاته بل هو جائز فيحتاج إلي مخصص يخصصه ويكون</w:t>
      </w:r>
      <w:r w:rsidR="00777DCB" w:rsidRPr="00A52585">
        <w:rPr>
          <w:rFonts w:hint="cs"/>
        </w:rPr>
        <w:t xml:space="preserve"> </w:t>
      </w:r>
      <w:r w:rsidR="00777DCB" w:rsidRPr="00A52585">
        <w:rPr>
          <w:rFonts w:hint="cs"/>
          <w:rtl/>
        </w:rPr>
        <w:t>الاختصاص بذلك المعني زائدا علي ذاته وما تطرق الجواز إليه استحال قدمه لأن القديم</w:t>
      </w:r>
      <w:r w:rsidR="00777DCB" w:rsidRPr="00A52585">
        <w:rPr>
          <w:rFonts w:hint="cs"/>
        </w:rPr>
        <w:t xml:space="preserve"> </w:t>
      </w:r>
      <w:r w:rsidR="00777DCB" w:rsidRPr="00A52585">
        <w:rPr>
          <w:rFonts w:hint="cs"/>
          <w:rtl/>
        </w:rPr>
        <w:t>هو الواجب الوجود من جميع الجهات</w:t>
      </w:r>
      <w:r w:rsidR="00897A24" w:rsidRPr="00A52585">
        <w:rPr>
          <w:rFonts w:hint="cs"/>
          <w:rtl/>
        </w:rPr>
        <w:t>.</w:t>
      </w:r>
      <w:r w:rsidR="00777DCB" w:rsidRPr="00A52585">
        <w:rPr>
          <w:rFonts w:hint="cs"/>
          <w:rtl/>
        </w:rPr>
        <w:t xml:space="preserve"> ثم</w:t>
      </w:r>
      <w:r w:rsidR="00777DCB" w:rsidRPr="00A52585">
        <w:rPr>
          <w:rFonts w:hint="cs"/>
        </w:rPr>
        <w:t xml:space="preserve"> </w:t>
      </w:r>
      <w:r w:rsidR="00777DCB" w:rsidRPr="00A52585">
        <w:rPr>
          <w:rFonts w:hint="cs"/>
          <w:rtl/>
        </w:rPr>
        <w:t>إن كل من هو في جهة يكون مقدرا محدودا</w:t>
      </w:r>
      <w:r w:rsidR="00777DCB" w:rsidRPr="00A52585">
        <w:rPr>
          <w:rFonts w:hint="cs"/>
        </w:rPr>
        <w:t xml:space="preserve"> </w:t>
      </w:r>
      <w:r w:rsidR="00777DCB" w:rsidRPr="00A52585">
        <w:rPr>
          <w:rFonts w:hint="cs"/>
          <w:rtl/>
        </w:rPr>
        <w:t xml:space="preserve">وهو </w:t>
      </w:r>
      <w:proofErr w:type="spellStart"/>
      <w:r w:rsidR="00777DCB" w:rsidRPr="00A52585">
        <w:rPr>
          <w:rFonts w:hint="cs"/>
          <w:rtl/>
        </w:rPr>
        <w:t>يتعالي</w:t>
      </w:r>
      <w:proofErr w:type="spellEnd"/>
      <w:r w:rsidR="00777DCB" w:rsidRPr="00A52585">
        <w:rPr>
          <w:rFonts w:hint="cs"/>
          <w:rtl/>
        </w:rPr>
        <w:t xml:space="preserve"> عن ذلك وإنما</w:t>
      </w:r>
      <w:r w:rsidR="00777DCB" w:rsidRPr="00A52585">
        <w:rPr>
          <w:rFonts w:hint="cs"/>
        </w:rPr>
        <w:t xml:space="preserve"> </w:t>
      </w:r>
      <w:r w:rsidR="00777DCB" w:rsidRPr="00A52585">
        <w:rPr>
          <w:rFonts w:hint="cs"/>
          <w:rtl/>
        </w:rPr>
        <w:t>الجهات للجواهر والأجسام لأنها أجرام تحتاج</w:t>
      </w:r>
      <w:r w:rsidR="00777DCB" w:rsidRPr="00A52585">
        <w:rPr>
          <w:rFonts w:hint="cs"/>
        </w:rPr>
        <w:t xml:space="preserve"> </w:t>
      </w:r>
      <w:r w:rsidR="00777DCB" w:rsidRPr="00A52585">
        <w:rPr>
          <w:rFonts w:hint="cs"/>
          <w:rtl/>
        </w:rPr>
        <w:t>إلي جهة والجهة ليست في جهة وإذا ثبت بطلان الجهة ثبت بطلان المكان ويوضحه أن</w:t>
      </w:r>
      <w:r w:rsidR="00777DCB" w:rsidRPr="00A52585">
        <w:rPr>
          <w:rFonts w:hint="cs"/>
        </w:rPr>
        <w:t xml:space="preserve"> </w:t>
      </w:r>
      <w:r w:rsidR="00777DCB" w:rsidRPr="00A52585">
        <w:rPr>
          <w:rFonts w:hint="cs"/>
          <w:rtl/>
        </w:rPr>
        <w:t xml:space="preserve">المكان إذا كان يحيط بمن فيه والخالق لا </w:t>
      </w:r>
      <w:proofErr w:type="spellStart"/>
      <w:r w:rsidR="00777DCB" w:rsidRPr="00A52585">
        <w:rPr>
          <w:rFonts w:hint="cs"/>
          <w:rtl/>
        </w:rPr>
        <w:t>يحويه</w:t>
      </w:r>
      <w:proofErr w:type="spellEnd"/>
      <w:r w:rsidR="00777DCB" w:rsidRPr="00A52585">
        <w:rPr>
          <w:rFonts w:hint="cs"/>
          <w:rtl/>
        </w:rPr>
        <w:t xml:space="preserve"> شيء ولا تحدث له صفة " أهــ وقال في </w:t>
      </w:r>
      <w:r w:rsidRPr="00A52585">
        <w:rPr>
          <w:rFonts w:hint="cs"/>
          <w:rtl/>
        </w:rPr>
        <w:t>[</w:t>
      </w:r>
      <w:r w:rsidR="00777DCB" w:rsidRPr="00A52585">
        <w:rPr>
          <w:rFonts w:hint="cs"/>
          <w:rtl/>
        </w:rPr>
        <w:t>الباز الأشهب ص100-102] " وقوله</w:t>
      </w:r>
      <w:r w:rsidRPr="00A52585">
        <w:rPr>
          <w:rFonts w:hint="cs"/>
          <w:rtl/>
        </w:rPr>
        <w:t>:</w:t>
      </w:r>
      <w:r w:rsidR="00777DCB" w:rsidRPr="00A52585">
        <w:rPr>
          <w:rFonts w:hint="cs"/>
          <w:rtl/>
        </w:rPr>
        <w:t xml:space="preserve"> حجابه النور</w:t>
      </w:r>
      <w:r w:rsidR="00DB731D" w:rsidRPr="00A52585">
        <w:rPr>
          <w:rFonts w:hint="cs"/>
          <w:rtl/>
        </w:rPr>
        <w:t>،</w:t>
      </w:r>
      <w:r w:rsidR="00777DCB" w:rsidRPr="00A52585">
        <w:rPr>
          <w:rFonts w:hint="cs"/>
          <w:rtl/>
        </w:rPr>
        <w:t xml:space="preserve"> ينبغي أن يعلم أن هذا الحجاب للخلق عنه</w:t>
      </w:r>
      <w:r w:rsidR="00DB731D" w:rsidRPr="00A52585">
        <w:rPr>
          <w:rFonts w:hint="cs"/>
          <w:rtl/>
        </w:rPr>
        <w:t>،</w:t>
      </w:r>
      <w:r w:rsidR="00777DCB" w:rsidRPr="00A52585">
        <w:rPr>
          <w:rFonts w:hint="cs"/>
          <w:rtl/>
        </w:rPr>
        <w:t xml:space="preserve"> لأنه لا يجوز أن يكون محجوبا لأن الحجاب يكون أكبر مما يستره</w:t>
      </w:r>
      <w:r w:rsidR="00DB731D" w:rsidRPr="00A52585">
        <w:rPr>
          <w:rFonts w:hint="cs"/>
          <w:rtl/>
        </w:rPr>
        <w:t>،</w:t>
      </w:r>
      <w:r w:rsidR="00777DCB" w:rsidRPr="00A52585">
        <w:rPr>
          <w:rFonts w:hint="cs"/>
          <w:rtl/>
        </w:rPr>
        <w:t xml:space="preserve"> ويستحيل أن يكون جسما أو جوهرا أو متناهيا محاذيا إذ جميع ذلك من إمارات الحدث</w:t>
      </w:r>
      <w:r w:rsidR="00DB731D" w:rsidRPr="00A52585">
        <w:rPr>
          <w:rFonts w:hint="cs"/>
          <w:rtl/>
        </w:rPr>
        <w:t>،</w:t>
      </w:r>
      <w:r w:rsidR="00777DCB" w:rsidRPr="00A52585">
        <w:rPr>
          <w:rFonts w:hint="cs"/>
          <w:rtl/>
        </w:rPr>
        <w:t xml:space="preserve"> وإنما عرف الناس حدوث الأجسام من حيث وجودها متناهية محدودة محـلا للحوادث</w:t>
      </w:r>
      <w:r w:rsidR="00DB731D" w:rsidRPr="00A52585">
        <w:rPr>
          <w:rFonts w:hint="cs"/>
          <w:rtl/>
        </w:rPr>
        <w:t>،</w:t>
      </w:r>
      <w:r w:rsidR="00777DCB" w:rsidRPr="00A52585">
        <w:rPr>
          <w:rFonts w:hint="cs"/>
          <w:rtl/>
        </w:rPr>
        <w:t xml:space="preserve"> </w:t>
      </w:r>
      <w:r w:rsidR="00777DCB" w:rsidRPr="00A52585">
        <w:rPr>
          <w:rFonts w:hint="cs"/>
          <w:bCs/>
          <w:rtl/>
        </w:rPr>
        <w:t>وكما</w:t>
      </w:r>
      <w:r w:rsidR="00777DCB" w:rsidRPr="00A52585">
        <w:rPr>
          <w:rFonts w:hint="cs"/>
          <w:bCs/>
        </w:rPr>
        <w:t xml:space="preserve"> </w:t>
      </w:r>
      <w:r w:rsidR="00777DCB" w:rsidRPr="00A52585">
        <w:rPr>
          <w:rFonts w:hint="cs"/>
          <w:bCs/>
          <w:rtl/>
        </w:rPr>
        <w:t>أنه لا يجوز أن يكون لوجوده ابتداء ولا انتهاء</w:t>
      </w:r>
      <w:r w:rsidR="00777DCB" w:rsidRPr="00A52585">
        <w:rPr>
          <w:rFonts w:hint="cs"/>
          <w:bCs/>
        </w:rPr>
        <w:t xml:space="preserve"> </w:t>
      </w:r>
      <w:r w:rsidR="00777DCB" w:rsidRPr="00A52585">
        <w:rPr>
          <w:rFonts w:hint="cs"/>
          <w:bCs/>
          <w:rtl/>
        </w:rPr>
        <w:t>لا يصح أن يكون لذاته انتهاء</w:t>
      </w:r>
      <w:r w:rsidR="00DB731D" w:rsidRPr="00A52585">
        <w:rPr>
          <w:rFonts w:hint="cs"/>
          <w:rtl/>
        </w:rPr>
        <w:t>،</w:t>
      </w:r>
      <w:r w:rsidR="00777DCB" w:rsidRPr="00A52585">
        <w:rPr>
          <w:rFonts w:hint="cs"/>
          <w:rtl/>
        </w:rPr>
        <w:t xml:space="preserve"> وإنمـا المراد</w:t>
      </w:r>
      <w:r w:rsidRPr="00A52585">
        <w:rPr>
          <w:rFonts w:hint="cs"/>
          <w:rtl/>
        </w:rPr>
        <w:t>:</w:t>
      </w:r>
      <w:r w:rsidR="00777DCB" w:rsidRPr="00A52585">
        <w:rPr>
          <w:rFonts w:hint="cs"/>
          <w:rtl/>
        </w:rPr>
        <w:t xml:space="preserve"> أن الخلق محجوبون عنه كما قال</w:t>
      </w:r>
      <w:r w:rsidR="00777DCB" w:rsidRPr="00A52585">
        <w:rPr>
          <w:rFonts w:hint="cs"/>
        </w:rPr>
        <w:t xml:space="preserve"> </w:t>
      </w:r>
      <w:r w:rsidR="00777DCB" w:rsidRPr="00A52585">
        <w:rPr>
          <w:rFonts w:hint="cs"/>
          <w:rtl/>
        </w:rPr>
        <w:t>سبحانه وتعالي</w:t>
      </w:r>
      <w:r w:rsidRPr="00A52585">
        <w:rPr>
          <w:rFonts w:hint="cs"/>
          <w:rtl/>
        </w:rPr>
        <w:t>:</w:t>
      </w:r>
      <w:r w:rsidR="00777DCB" w:rsidRPr="00A52585">
        <w:rPr>
          <w:rFonts w:hint="cs"/>
          <w:rtl/>
        </w:rPr>
        <w:t xml:space="preserve"> </w:t>
      </w:r>
      <w:r w:rsidR="00777DCB" w:rsidRPr="00A52585">
        <w:t>"</w:t>
      </w:r>
      <w:r w:rsidR="00777DCB" w:rsidRPr="00A52585">
        <w:rPr>
          <w:rFonts w:hint="cs"/>
          <w:rtl/>
        </w:rPr>
        <w:t xml:space="preserve"> كلا</w:t>
      </w:r>
      <w:r w:rsidR="00777DCB" w:rsidRPr="00A52585">
        <w:rPr>
          <w:rFonts w:hint="cs"/>
        </w:rPr>
        <w:t xml:space="preserve"> </w:t>
      </w:r>
      <w:r w:rsidR="00777DCB" w:rsidRPr="00A52585">
        <w:rPr>
          <w:rFonts w:hint="cs"/>
          <w:rtl/>
        </w:rPr>
        <w:t xml:space="preserve">إنهم عن ربهم يومئذ لمحجوبون </w:t>
      </w:r>
      <w:r w:rsidR="00777DCB" w:rsidRPr="00A52585">
        <w:t>"</w:t>
      </w:r>
      <w:r w:rsidR="00777DCB" w:rsidRPr="00A52585">
        <w:rPr>
          <w:rFonts w:hint="cs"/>
          <w:rtl/>
        </w:rPr>
        <w:t xml:space="preserve"> أ هــ</w:t>
      </w:r>
      <w:r w:rsidR="00DB731D" w:rsidRPr="00A52585">
        <w:rPr>
          <w:rFonts w:hint="cs"/>
          <w:rtl/>
        </w:rPr>
        <w:t>،</w:t>
      </w:r>
      <w:r w:rsidR="00777DCB" w:rsidRPr="00A52585">
        <w:rPr>
          <w:rFonts w:hint="cs"/>
          <w:rtl/>
        </w:rPr>
        <w:t xml:space="preserve"> وقال النووي في </w:t>
      </w:r>
      <w:r w:rsidRPr="00A52585">
        <w:rPr>
          <w:rFonts w:hint="cs"/>
          <w:rtl/>
        </w:rPr>
        <w:t>[</w:t>
      </w:r>
      <w:r w:rsidR="00777DCB" w:rsidRPr="00A52585">
        <w:rPr>
          <w:rFonts w:hint="cs"/>
          <w:rtl/>
        </w:rPr>
        <w:t>شرح النووي على صحيح مسلم ج: 7 ص: 80] "</w:t>
      </w:r>
      <w:r w:rsidRPr="00A52585">
        <w:rPr>
          <w:rFonts w:hint="cs"/>
          <w:rtl/>
        </w:rPr>
        <w:t xml:space="preserve"> </w:t>
      </w:r>
      <w:r w:rsidR="00777DCB" w:rsidRPr="00A52585">
        <w:rPr>
          <w:rFonts w:hint="cs"/>
          <w:rtl/>
        </w:rPr>
        <w:t>يمين الله</w:t>
      </w:r>
      <w:r w:rsidR="00777DCB" w:rsidRPr="00A52585">
        <w:rPr>
          <w:rFonts w:hint="cs"/>
        </w:rPr>
        <w:t xml:space="preserve"> </w:t>
      </w:r>
      <w:proofErr w:type="spellStart"/>
      <w:r w:rsidR="00777DCB" w:rsidRPr="00A52585">
        <w:rPr>
          <w:rFonts w:hint="cs"/>
          <w:rtl/>
        </w:rPr>
        <w:t>ملأى</w:t>
      </w:r>
      <w:proofErr w:type="spellEnd"/>
      <w:r w:rsidR="00777DCB" w:rsidRPr="00A52585">
        <w:rPr>
          <w:rFonts w:hint="cs"/>
          <w:rtl/>
        </w:rPr>
        <w:t xml:space="preserve"> سحاء لا </w:t>
      </w:r>
      <w:proofErr w:type="spellStart"/>
      <w:r w:rsidR="00777DCB" w:rsidRPr="00A52585">
        <w:rPr>
          <w:rFonts w:hint="cs"/>
          <w:rtl/>
        </w:rPr>
        <w:t>يغيضها</w:t>
      </w:r>
      <w:proofErr w:type="spellEnd"/>
      <w:r w:rsidR="00777DCB" w:rsidRPr="00A52585">
        <w:rPr>
          <w:rFonts w:hint="cs"/>
          <w:rtl/>
        </w:rPr>
        <w:t xml:space="preserve"> شيء قال الامام </w:t>
      </w:r>
      <w:proofErr w:type="spellStart"/>
      <w:r w:rsidR="00777DCB" w:rsidRPr="00A52585">
        <w:rPr>
          <w:rFonts w:hint="cs"/>
          <w:rtl/>
        </w:rPr>
        <w:t>المازرى</w:t>
      </w:r>
      <w:proofErr w:type="spellEnd"/>
      <w:r w:rsidR="00777DCB" w:rsidRPr="00A52585">
        <w:rPr>
          <w:rFonts w:hint="cs"/>
          <w:rtl/>
        </w:rPr>
        <w:t xml:space="preserve"> هذا مما يتأول لان اليمين اذا كانت بمعنى</w:t>
      </w:r>
      <w:r w:rsidR="00777DCB" w:rsidRPr="00A52585">
        <w:rPr>
          <w:rFonts w:hint="cs"/>
        </w:rPr>
        <w:t xml:space="preserve"> </w:t>
      </w:r>
      <w:r w:rsidR="00777DCB" w:rsidRPr="00A52585">
        <w:rPr>
          <w:rFonts w:hint="cs"/>
          <w:rtl/>
        </w:rPr>
        <w:t>المناسبة للشمال لا يوصف بها الباري سبحانه وتعالى لأنها</w:t>
      </w:r>
      <w:r w:rsidR="00777DCB" w:rsidRPr="00A52585">
        <w:rPr>
          <w:rFonts w:hint="cs"/>
        </w:rPr>
        <w:t xml:space="preserve"> </w:t>
      </w:r>
      <w:r w:rsidR="00777DCB" w:rsidRPr="00A52585">
        <w:rPr>
          <w:rFonts w:hint="cs"/>
          <w:rtl/>
        </w:rPr>
        <w:t>تتضمن اثبات الشمال</w:t>
      </w:r>
      <w:r w:rsidR="00777DCB" w:rsidRPr="00A52585">
        <w:rPr>
          <w:rFonts w:hint="cs"/>
        </w:rPr>
        <w:t xml:space="preserve"> </w:t>
      </w:r>
      <w:r w:rsidR="00777DCB" w:rsidRPr="00A52585">
        <w:rPr>
          <w:rFonts w:hint="cs"/>
          <w:rtl/>
        </w:rPr>
        <w:t>وهذا يتضمن التحديد ويتقدس الله سبحانه عن</w:t>
      </w:r>
      <w:r w:rsidRPr="00A52585">
        <w:rPr>
          <w:rtl/>
        </w:rPr>
        <w:t xml:space="preserve"> </w:t>
      </w:r>
      <w:r w:rsidR="00777DCB" w:rsidRPr="00A52585">
        <w:rPr>
          <w:rFonts w:hint="cs"/>
          <w:rtl/>
        </w:rPr>
        <w:t>التجسيم</w:t>
      </w:r>
      <w:r w:rsidRPr="00A52585">
        <w:rPr>
          <w:rFonts w:hint="cs"/>
          <w:rtl/>
        </w:rPr>
        <w:t xml:space="preserve"> </w:t>
      </w:r>
      <w:r w:rsidR="00777DCB" w:rsidRPr="00A52585">
        <w:rPr>
          <w:rFonts w:hint="cs"/>
          <w:rtl/>
        </w:rPr>
        <w:t>والحد " أهـ</w:t>
      </w:r>
      <w:r w:rsidR="00DB731D" w:rsidRPr="00A52585">
        <w:rPr>
          <w:rFonts w:hint="cs"/>
          <w:rtl/>
          <w:lang w:bidi="ar-KW"/>
        </w:rPr>
        <w:t>،</w:t>
      </w:r>
      <w:r w:rsidR="00777DCB" w:rsidRPr="00A52585">
        <w:rPr>
          <w:rFonts w:hint="cs"/>
          <w:rtl/>
          <w:lang w:bidi="ar-KW"/>
        </w:rPr>
        <w:t xml:space="preserve"> </w:t>
      </w:r>
    </w:p>
    <w:p w14:paraId="7B5403E5" w14:textId="6F7BBE89" w:rsidR="00777DCB" w:rsidRPr="00A52585" w:rsidRDefault="0002035C" w:rsidP="0002035C">
      <w:pPr>
        <w:rPr>
          <w:rtl/>
        </w:rPr>
      </w:pPr>
      <w:r w:rsidRPr="00A52585">
        <w:rPr>
          <w:rFonts w:cs="Monotype Koufi" w:hint="cs"/>
          <w:rtl/>
          <w:lang w:bidi="ar-KW"/>
        </w:rPr>
        <w:t>[</w:t>
      </w:r>
      <w:r w:rsidR="00777DCB" w:rsidRPr="00A52585">
        <w:rPr>
          <w:rFonts w:cs="Monotype Koufi" w:hint="cs"/>
          <w:rtl/>
          <w:lang w:bidi="ar-KW"/>
        </w:rPr>
        <w:t>3</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الله تعالى عن تنزيه ذات الله تعالى عن أن يحيط به مكان أو أن يجري عليه زمان</w:t>
      </w:r>
      <w:r w:rsidRPr="00A52585">
        <w:rPr>
          <w:rFonts w:cs="Monotype Koufi" w:hint="cs"/>
          <w:rtl/>
          <w:lang w:bidi="ar-KW"/>
        </w:rPr>
        <w:t>:</w:t>
      </w:r>
      <w:r w:rsidRPr="00A52585">
        <w:rPr>
          <w:rFonts w:hint="cs"/>
          <w:rtl/>
          <w:lang w:bidi="ar-KW"/>
        </w:rPr>
        <w:t xml:space="preserve"> (</w:t>
      </w:r>
      <w:r w:rsidR="00777DCB" w:rsidRPr="00A52585">
        <w:rPr>
          <w:rFonts w:hint="cs"/>
          <w:rtl/>
          <w:lang w:bidi="ar-KW"/>
        </w:rPr>
        <w:t>أ</w:t>
      </w:r>
      <w:r w:rsidRPr="00A52585">
        <w:rPr>
          <w:rFonts w:hint="cs"/>
          <w:rtl/>
          <w:lang w:bidi="ar-KW"/>
        </w:rPr>
        <w:t>)</w:t>
      </w:r>
      <w:r w:rsidR="00777DCB" w:rsidRPr="00A52585">
        <w:rPr>
          <w:rFonts w:hint="cs"/>
          <w:rtl/>
          <w:lang w:bidi="ar-KW"/>
        </w:rPr>
        <w:t xml:space="preserve"> عند تدبر قول الله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هُوَ الْأَوَّلُ وَالْآخِرُ وَالظَّاهِرُ وَالْبَاطِنُ وَهُوَ بِكُلِّ شَيْءٍ عَلِيمٌ</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الحديد</w:t>
      </w:r>
      <w:r w:rsidRPr="00A52585">
        <w:rPr>
          <w:rFonts w:hint="cs"/>
          <w:rtl/>
          <w:lang w:bidi="ar-KW"/>
        </w:rPr>
        <w:t>:</w:t>
      </w:r>
      <w:r w:rsidR="00777DCB" w:rsidRPr="00A52585">
        <w:rPr>
          <w:rFonts w:hint="cs"/>
          <w:rtl/>
          <w:lang w:bidi="ar-KW"/>
        </w:rPr>
        <w:t xml:space="preserve"> 3</w:t>
      </w:r>
      <w:r w:rsidRPr="00A52585">
        <w:rPr>
          <w:rFonts w:hint="cs"/>
          <w:rtl/>
          <w:lang w:bidi="ar-KW"/>
        </w:rPr>
        <w:t>}</w:t>
      </w:r>
      <w:r w:rsidR="00DB731D" w:rsidRPr="00A52585">
        <w:rPr>
          <w:rFonts w:hint="cs"/>
          <w:rtl/>
          <w:lang w:bidi="ar-KW"/>
        </w:rPr>
        <w:t>،</w:t>
      </w:r>
      <w:r w:rsidR="00777DCB" w:rsidRPr="00A52585">
        <w:rPr>
          <w:rFonts w:hint="cs"/>
          <w:rtl/>
          <w:lang w:bidi="ar-KW"/>
        </w:rPr>
        <w:t xml:space="preserve"> مع قوله صلى الله عليه وسلم: (</w:t>
      </w:r>
      <w:r w:rsidRPr="00A52585">
        <w:rPr>
          <w:rFonts w:hint="cs"/>
          <w:rtl/>
          <w:lang w:bidi="ar-KW"/>
        </w:rPr>
        <w:t>(</w:t>
      </w:r>
      <w:r w:rsidR="00777DCB" w:rsidRPr="00A52585">
        <w:rPr>
          <w:rFonts w:hint="cs"/>
          <w:rtl/>
          <w:lang w:bidi="ar-KW"/>
        </w:rPr>
        <w:t xml:space="preserve">اللهم أنت الأوَّلُ فليس قبلَك </w:t>
      </w:r>
      <w:proofErr w:type="spellStart"/>
      <w:r w:rsidR="00777DCB" w:rsidRPr="00A52585">
        <w:rPr>
          <w:rFonts w:hint="cs"/>
          <w:rtl/>
          <w:lang w:bidi="ar-KW"/>
        </w:rPr>
        <w:t>شىءٌ</w:t>
      </w:r>
      <w:proofErr w:type="spellEnd"/>
      <w:r w:rsidR="00777DCB" w:rsidRPr="00A52585">
        <w:rPr>
          <w:rFonts w:hint="cs"/>
          <w:rtl/>
          <w:lang w:bidi="ar-KW"/>
        </w:rPr>
        <w:t xml:space="preserve">، وأنت الآخِر فليس بعدَك </w:t>
      </w:r>
      <w:proofErr w:type="spellStart"/>
      <w:r w:rsidR="00777DCB" w:rsidRPr="00A52585">
        <w:rPr>
          <w:rFonts w:hint="cs"/>
          <w:rtl/>
          <w:lang w:bidi="ar-KW"/>
        </w:rPr>
        <w:t>شىءٌ</w:t>
      </w:r>
      <w:proofErr w:type="spellEnd"/>
      <w:r w:rsidR="00777DCB" w:rsidRPr="00A52585">
        <w:rPr>
          <w:rFonts w:hint="cs"/>
          <w:rtl/>
          <w:lang w:bidi="ar-KW"/>
        </w:rPr>
        <w:t>، وأنت الظاهرُ فليس فوقَكَ شيء، وأنت الباطن فليس دونَك شيء))</w:t>
      </w:r>
      <w:r w:rsidRPr="00A52585">
        <w:rPr>
          <w:rFonts w:hint="cs"/>
          <w:rtl/>
          <w:lang w:bidi="ar-KW"/>
        </w:rPr>
        <w:t xml:space="preserve"> [</w:t>
      </w:r>
      <w:r w:rsidR="00777DCB" w:rsidRPr="00A52585">
        <w:rPr>
          <w:rFonts w:hint="cs"/>
          <w:rtl/>
          <w:lang w:bidi="ar-KW"/>
        </w:rPr>
        <w:t>أخرجه مسلم]</w:t>
      </w:r>
      <w:r w:rsidR="00DB731D" w:rsidRPr="00A52585">
        <w:rPr>
          <w:rFonts w:hint="cs"/>
          <w:rtl/>
          <w:lang w:bidi="ar-KW"/>
        </w:rPr>
        <w:t>،</w:t>
      </w:r>
      <w:r w:rsidR="00777DCB" w:rsidRPr="00A52585">
        <w:rPr>
          <w:rFonts w:hint="cs"/>
          <w:rtl/>
          <w:lang w:bidi="ar-KW"/>
        </w:rPr>
        <w:t xml:space="preserve"> وقوله صلى الله عليه وسلم</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كان الله ولم يكن شيء غيره</w:t>
      </w:r>
      <w:r w:rsidRPr="00A52585">
        <w:rPr>
          <w:rFonts w:hint="cs"/>
          <w:rtl/>
          <w:lang w:bidi="ar-KW"/>
        </w:rPr>
        <w:t>)</w:t>
      </w:r>
      <w:r w:rsidR="00777DCB" w:rsidRPr="00A52585">
        <w:rPr>
          <w:rFonts w:hint="cs"/>
          <w:rtl/>
          <w:lang w:bidi="ar-KW"/>
        </w:rPr>
        <w:t>)</w:t>
      </w:r>
      <w:r w:rsidRPr="00A52585">
        <w:rPr>
          <w:rFonts w:hint="cs"/>
          <w:rtl/>
          <w:lang w:bidi="ar-KW"/>
        </w:rPr>
        <w:t xml:space="preserve"> [</w:t>
      </w:r>
      <w:r w:rsidR="00777DCB" w:rsidRPr="00A52585">
        <w:rPr>
          <w:rFonts w:hint="cs"/>
          <w:rtl/>
          <w:lang w:bidi="ar-KW"/>
        </w:rPr>
        <w:t xml:space="preserve">البخاري </w:t>
      </w:r>
      <w:r w:rsidRPr="00A52585">
        <w:rPr>
          <w:rFonts w:hint="cs"/>
          <w:rtl/>
          <w:lang w:bidi="ar-KW"/>
        </w:rPr>
        <w:t>(</w:t>
      </w:r>
      <w:r w:rsidR="00777DCB" w:rsidRPr="00A52585">
        <w:rPr>
          <w:rFonts w:hint="cs"/>
          <w:rtl/>
          <w:lang w:bidi="ar-KW"/>
        </w:rPr>
        <w:t>3020</w:t>
      </w:r>
      <w:r w:rsidRPr="00A52585">
        <w:rPr>
          <w:rFonts w:hint="cs"/>
          <w:rtl/>
          <w:lang w:bidi="ar-KW"/>
        </w:rPr>
        <w:t>)]</w:t>
      </w:r>
      <w:r w:rsidR="00DB731D" w:rsidRPr="00A52585">
        <w:rPr>
          <w:rFonts w:hint="cs"/>
          <w:rtl/>
          <w:lang w:bidi="ar-KW"/>
        </w:rPr>
        <w:t>،</w:t>
      </w:r>
      <w:r w:rsidR="00777DCB" w:rsidRPr="00A52585">
        <w:rPr>
          <w:rFonts w:hint="cs"/>
          <w:rtl/>
          <w:lang w:bidi="ar-KW"/>
        </w:rPr>
        <w:t xml:space="preserve"> نعلم يقيناً أن الله تعالى له الكمال المطلق في وجود ذاته سبحانه</w:t>
      </w:r>
      <w:r w:rsidR="00DB731D" w:rsidRPr="00A52585">
        <w:rPr>
          <w:rFonts w:hint="cs"/>
          <w:rtl/>
          <w:lang w:bidi="ar-KW"/>
        </w:rPr>
        <w:t>،</w:t>
      </w:r>
      <w:r w:rsidR="00777DCB" w:rsidRPr="00A52585">
        <w:rPr>
          <w:rFonts w:hint="cs"/>
          <w:rtl/>
          <w:lang w:bidi="ar-KW"/>
        </w:rPr>
        <w:t xml:space="preserve"> كمال أكبر وأعلى من الوجود الزماني</w:t>
      </w:r>
      <w:r w:rsidR="00DB731D" w:rsidRPr="00A52585">
        <w:rPr>
          <w:rFonts w:hint="cs"/>
          <w:rtl/>
          <w:lang w:bidi="ar-KW"/>
        </w:rPr>
        <w:t>،</w:t>
      </w:r>
      <w:r w:rsidR="00777DCB" w:rsidRPr="00A52585">
        <w:rPr>
          <w:rFonts w:hint="cs"/>
          <w:rtl/>
          <w:lang w:bidi="ar-KW"/>
        </w:rPr>
        <w:t xml:space="preserve"> وكمال أكبر وأعلى من الوجود المكاني</w:t>
      </w:r>
      <w:r w:rsidR="00DB731D" w:rsidRPr="00A52585">
        <w:rPr>
          <w:rFonts w:hint="cs"/>
          <w:rtl/>
          <w:lang w:bidi="ar-KW"/>
        </w:rPr>
        <w:t>،</w:t>
      </w:r>
      <w:r w:rsidR="00777DCB" w:rsidRPr="00A52585">
        <w:rPr>
          <w:rFonts w:hint="cs"/>
          <w:rtl/>
          <w:lang w:bidi="ar-KW"/>
        </w:rPr>
        <w:t xml:space="preserve"> ليس كمثله شيء وليس كمثل وجوده وجود</w:t>
      </w:r>
      <w:r w:rsidR="00DB731D" w:rsidRPr="00A52585">
        <w:rPr>
          <w:rFonts w:hint="cs"/>
          <w:rtl/>
          <w:lang w:bidi="ar-KW"/>
        </w:rPr>
        <w:t>،</w:t>
      </w:r>
      <w:r w:rsidR="00777DCB" w:rsidRPr="00A52585">
        <w:rPr>
          <w:rFonts w:hint="cs"/>
          <w:rtl/>
          <w:lang w:bidi="ar-KW"/>
        </w:rPr>
        <w:t xml:space="preserve"> له كمال الوجود الأعلى من الزمان</w:t>
      </w:r>
      <w:r w:rsidR="00DB731D" w:rsidRPr="00A52585">
        <w:rPr>
          <w:rFonts w:hint="cs"/>
          <w:rtl/>
          <w:lang w:bidi="ar-KW"/>
        </w:rPr>
        <w:t>،</w:t>
      </w:r>
      <w:r w:rsidR="00777DCB" w:rsidRPr="00A52585">
        <w:rPr>
          <w:rFonts w:hint="cs"/>
          <w:rtl/>
          <w:lang w:bidi="ar-KW"/>
        </w:rPr>
        <w:t xml:space="preserve"> إذ هو الأول بلا ابتداء</w:t>
      </w:r>
      <w:r w:rsidR="00DB731D" w:rsidRPr="00A52585">
        <w:rPr>
          <w:rFonts w:hint="cs"/>
          <w:rtl/>
          <w:lang w:bidi="ar-KW"/>
        </w:rPr>
        <w:t>،</w:t>
      </w:r>
      <w:r w:rsidR="00777DCB" w:rsidRPr="00A52585">
        <w:rPr>
          <w:rFonts w:hint="cs"/>
          <w:rtl/>
          <w:lang w:bidi="ar-KW"/>
        </w:rPr>
        <w:t xml:space="preserve"> وهو الآخر بلا انتهاء</w:t>
      </w:r>
      <w:r w:rsidR="00DB731D" w:rsidRPr="00A52585">
        <w:rPr>
          <w:rFonts w:hint="cs"/>
          <w:rtl/>
          <w:lang w:bidi="ar-KW"/>
        </w:rPr>
        <w:t>،</w:t>
      </w:r>
      <w:r w:rsidR="00777DCB" w:rsidRPr="00A52585">
        <w:rPr>
          <w:rFonts w:hint="cs"/>
          <w:rtl/>
          <w:lang w:bidi="ar-KW"/>
        </w:rPr>
        <w:t xml:space="preserve"> فوجوده قبل الزمان</w:t>
      </w:r>
      <w:r w:rsidR="00DB731D" w:rsidRPr="00A52585">
        <w:rPr>
          <w:rFonts w:hint="cs"/>
          <w:rtl/>
          <w:lang w:bidi="ar-KW"/>
        </w:rPr>
        <w:t>،</w:t>
      </w:r>
      <w:r w:rsidR="00777DCB" w:rsidRPr="00A52585">
        <w:rPr>
          <w:rFonts w:hint="cs"/>
          <w:rtl/>
          <w:lang w:bidi="ar-KW"/>
        </w:rPr>
        <w:t xml:space="preserve"> ووجوده بعد انقضاء الزمان</w:t>
      </w:r>
      <w:r w:rsidR="00DB731D" w:rsidRPr="00A52585">
        <w:rPr>
          <w:rFonts w:hint="cs"/>
          <w:rtl/>
          <w:lang w:bidi="ar-KW"/>
        </w:rPr>
        <w:t>،</w:t>
      </w:r>
      <w:r w:rsidR="00777DCB" w:rsidRPr="00A52585">
        <w:rPr>
          <w:rFonts w:hint="cs"/>
          <w:rtl/>
          <w:lang w:bidi="ar-KW"/>
        </w:rPr>
        <w:t xml:space="preserve"> إذ هو خالق الزمان</w:t>
      </w:r>
      <w:r w:rsidR="00DB731D" w:rsidRPr="00A52585">
        <w:rPr>
          <w:rFonts w:hint="cs"/>
          <w:rtl/>
          <w:lang w:bidi="ar-KW"/>
        </w:rPr>
        <w:t>،</w:t>
      </w:r>
      <w:r w:rsidR="00777DCB" w:rsidRPr="00A52585">
        <w:rPr>
          <w:rFonts w:hint="cs"/>
          <w:rtl/>
          <w:lang w:bidi="ar-KW"/>
        </w:rPr>
        <w:t xml:space="preserve"> أزلي أبدي فلا يجري عليه زمان</w:t>
      </w:r>
      <w:r w:rsidR="00DB731D" w:rsidRPr="00A52585">
        <w:rPr>
          <w:rFonts w:hint="cs"/>
          <w:rtl/>
          <w:lang w:bidi="ar-KW"/>
        </w:rPr>
        <w:t>،</w:t>
      </w:r>
      <w:r w:rsidR="00777DCB" w:rsidRPr="00A52585">
        <w:rPr>
          <w:rFonts w:hint="cs"/>
          <w:rtl/>
          <w:lang w:bidi="ar-KW"/>
        </w:rPr>
        <w:t xml:space="preserve"> وله كمال الوجود الاعلى من المكان</w:t>
      </w:r>
      <w:r w:rsidR="00DB731D" w:rsidRPr="00A52585">
        <w:rPr>
          <w:rFonts w:hint="cs"/>
          <w:rtl/>
          <w:lang w:bidi="ar-KW"/>
        </w:rPr>
        <w:t>،</w:t>
      </w:r>
      <w:r w:rsidR="00777DCB" w:rsidRPr="00A52585">
        <w:rPr>
          <w:rFonts w:hint="cs"/>
          <w:rtl/>
          <w:lang w:bidi="ar-KW"/>
        </w:rPr>
        <w:t xml:space="preserve"> إذ هو الظاهر فليس فوقه شيء</w:t>
      </w:r>
      <w:r w:rsidR="00DB731D" w:rsidRPr="00A52585">
        <w:rPr>
          <w:rFonts w:hint="cs"/>
          <w:rtl/>
          <w:lang w:bidi="ar-KW"/>
        </w:rPr>
        <w:t>،</w:t>
      </w:r>
      <w:r w:rsidR="00777DCB" w:rsidRPr="00A52585">
        <w:rPr>
          <w:rFonts w:hint="cs"/>
          <w:rtl/>
          <w:lang w:bidi="ar-KW"/>
        </w:rPr>
        <w:t xml:space="preserve"> وهو الباطن فليس دونه شيء</w:t>
      </w:r>
      <w:r w:rsidR="00DB731D" w:rsidRPr="00A52585">
        <w:rPr>
          <w:rFonts w:hint="cs"/>
          <w:rtl/>
          <w:lang w:bidi="ar-KW"/>
        </w:rPr>
        <w:t>،</w:t>
      </w:r>
      <w:r w:rsidR="00777DCB" w:rsidRPr="00A52585">
        <w:rPr>
          <w:rFonts w:hint="cs"/>
          <w:rtl/>
          <w:lang w:bidi="ar-KW"/>
        </w:rPr>
        <w:t xml:space="preserve"> </w:t>
      </w:r>
      <w:r w:rsidR="00777DCB" w:rsidRPr="00A52585">
        <w:rPr>
          <w:rFonts w:hint="cs"/>
          <w:rtl/>
          <w:lang w:bidi="ar-KW"/>
        </w:rPr>
        <w:lastRenderedPageBreak/>
        <w:t>فوجوده قبل المكان</w:t>
      </w:r>
      <w:r w:rsidR="00DB731D" w:rsidRPr="00A52585">
        <w:rPr>
          <w:rFonts w:hint="cs"/>
          <w:rtl/>
          <w:lang w:bidi="ar-KW"/>
        </w:rPr>
        <w:t>،</w:t>
      </w:r>
      <w:r w:rsidR="00777DCB" w:rsidRPr="00A52585">
        <w:rPr>
          <w:rFonts w:hint="cs"/>
          <w:rtl/>
          <w:lang w:bidi="ar-KW"/>
        </w:rPr>
        <w:t xml:space="preserve"> إذ هو خالق المكان</w:t>
      </w:r>
      <w:r w:rsidR="00DB731D" w:rsidRPr="00A52585">
        <w:rPr>
          <w:rFonts w:hint="cs"/>
          <w:rtl/>
          <w:lang w:bidi="ar-KW"/>
        </w:rPr>
        <w:t>،</w:t>
      </w:r>
      <w:r w:rsidR="00777DCB" w:rsidRPr="00A52585">
        <w:rPr>
          <w:rFonts w:hint="cs"/>
          <w:rtl/>
          <w:lang w:bidi="ar-KW"/>
        </w:rPr>
        <w:t xml:space="preserve"> فكيف </w:t>
      </w:r>
      <w:proofErr w:type="spellStart"/>
      <w:r w:rsidR="00777DCB" w:rsidRPr="00A52585">
        <w:rPr>
          <w:rFonts w:hint="cs"/>
          <w:rtl/>
          <w:lang w:bidi="ar-KW"/>
        </w:rPr>
        <w:t>يحويه</w:t>
      </w:r>
      <w:proofErr w:type="spellEnd"/>
      <w:r w:rsidR="00777DCB" w:rsidRPr="00A52585">
        <w:rPr>
          <w:rFonts w:hint="cs"/>
          <w:rtl/>
          <w:lang w:bidi="ar-KW"/>
        </w:rPr>
        <w:t xml:space="preserve"> المكان وهو بكل شيء محيط</w:t>
      </w:r>
      <w:r w:rsidR="00DB731D" w:rsidRPr="00A52585">
        <w:rPr>
          <w:rFonts w:hint="cs"/>
          <w:rtl/>
          <w:lang w:bidi="ar-KW"/>
        </w:rPr>
        <w:t>،</w:t>
      </w:r>
      <w:r w:rsidR="00777DCB" w:rsidRPr="00A52585">
        <w:rPr>
          <w:rFonts w:hint="cs"/>
          <w:rtl/>
          <w:lang w:bidi="ar-KW"/>
        </w:rPr>
        <w:t xml:space="preserve"> </w:t>
      </w:r>
      <w:r w:rsidR="00777DCB" w:rsidRPr="00A52585">
        <w:rPr>
          <w:rFonts w:hint="cs"/>
          <w:rtl/>
        </w:rPr>
        <w:t xml:space="preserve">وإذا لم يكن قبل </w:t>
      </w:r>
      <w:r w:rsidRPr="00A52585">
        <w:rPr>
          <w:rFonts w:hint="cs"/>
          <w:rtl/>
        </w:rPr>
        <w:t>(</w:t>
      </w:r>
      <w:r w:rsidR="00777DCB" w:rsidRPr="00A52585">
        <w:rPr>
          <w:rFonts w:hint="cs"/>
          <w:rtl/>
        </w:rPr>
        <w:t>الله</w:t>
      </w:r>
      <w:r w:rsidRPr="00A52585">
        <w:rPr>
          <w:rFonts w:hint="cs"/>
          <w:rtl/>
        </w:rPr>
        <w:t>)</w:t>
      </w:r>
      <w:r w:rsidR="00777DCB" w:rsidRPr="00A52585">
        <w:rPr>
          <w:rFonts w:hint="cs"/>
          <w:rtl/>
        </w:rPr>
        <w:t xml:space="preserve"> تعالى شيء ولا بعده شيء ولا فوقه شيء ولا دونه شيء</w:t>
      </w:r>
      <w:r w:rsidR="00DB731D" w:rsidRPr="00A52585">
        <w:rPr>
          <w:rFonts w:hint="cs"/>
          <w:rtl/>
        </w:rPr>
        <w:t>،</w:t>
      </w:r>
      <w:r w:rsidR="00777DCB" w:rsidRPr="00A52585">
        <w:rPr>
          <w:rFonts w:hint="cs"/>
          <w:rtl/>
        </w:rPr>
        <w:t xml:space="preserve"> وهو بكل شيء محيط</w:t>
      </w:r>
      <w:r w:rsidR="00DB731D" w:rsidRPr="00A52585">
        <w:rPr>
          <w:rFonts w:hint="cs"/>
          <w:rtl/>
        </w:rPr>
        <w:t>،</w:t>
      </w:r>
      <w:r w:rsidR="00777DCB" w:rsidRPr="00A52585">
        <w:rPr>
          <w:rFonts w:hint="cs"/>
          <w:rtl/>
        </w:rPr>
        <w:t xml:space="preserve"> لم يكن له شبيه ولا مثيل في وجود ذاته</w:t>
      </w:r>
      <w:r w:rsidR="00DB731D" w:rsidRPr="00A52585">
        <w:rPr>
          <w:rFonts w:hint="cs"/>
          <w:rtl/>
        </w:rPr>
        <w:t>،</w:t>
      </w:r>
      <w:r w:rsidRPr="00A52585">
        <w:rPr>
          <w:rFonts w:hint="cs"/>
          <w:rtl/>
        </w:rPr>
        <w:t xml:space="preserve"> </w:t>
      </w:r>
      <w:r w:rsidR="00777DCB" w:rsidRPr="00A52585">
        <w:rPr>
          <w:rFonts w:hint="cs"/>
          <w:rtl/>
        </w:rPr>
        <w:t>وعلى ذلك</w:t>
      </w:r>
      <w:r w:rsidRPr="00A52585">
        <w:rPr>
          <w:rFonts w:hint="cs"/>
          <w:rtl/>
        </w:rPr>
        <w:t>:</w:t>
      </w:r>
      <w:r w:rsidR="00777DCB" w:rsidRPr="00A52585">
        <w:rPr>
          <w:rFonts w:hint="cs"/>
          <w:rtl/>
        </w:rPr>
        <w:t xml:space="preserve"> فالله موجود ولكن وجوده تعالى ليس كمثله شيء ولا له كفء ولا شبيه وليس له مثال يقاس عليه</w:t>
      </w:r>
      <w:r w:rsidR="00DB731D" w:rsidRPr="00A52585">
        <w:rPr>
          <w:rFonts w:hint="cs"/>
          <w:rtl/>
        </w:rPr>
        <w:t>،</w:t>
      </w:r>
      <w:r w:rsidR="00777DCB" w:rsidRPr="00A52585">
        <w:rPr>
          <w:rFonts w:hint="cs"/>
          <w:rtl/>
        </w:rPr>
        <w:t xml:space="preserve"> </w:t>
      </w:r>
      <w:r w:rsidR="00777DCB" w:rsidRPr="00A52585">
        <w:rPr>
          <w:rFonts w:hint="cs"/>
          <w:rtl/>
          <w:lang w:bidi="ar-KW"/>
        </w:rPr>
        <w:t xml:space="preserve">وعلى ذلك فإن لله تعالى كمال الوجود المطلق المنزه عن المكان فلا </w:t>
      </w:r>
      <w:proofErr w:type="spellStart"/>
      <w:r w:rsidR="00777DCB" w:rsidRPr="00A52585">
        <w:rPr>
          <w:rFonts w:hint="cs"/>
          <w:rtl/>
          <w:lang w:bidi="ar-KW"/>
        </w:rPr>
        <w:t>يحويه</w:t>
      </w:r>
      <w:proofErr w:type="spellEnd"/>
      <w:r w:rsidR="00777DCB" w:rsidRPr="00A52585">
        <w:rPr>
          <w:rFonts w:hint="cs"/>
          <w:rtl/>
          <w:lang w:bidi="ar-KW"/>
        </w:rPr>
        <w:t xml:space="preserve"> مكان</w:t>
      </w:r>
      <w:r w:rsidR="00DB731D" w:rsidRPr="00A52585">
        <w:rPr>
          <w:rFonts w:hint="cs"/>
          <w:rtl/>
          <w:lang w:bidi="ar-KW"/>
        </w:rPr>
        <w:t>،</w:t>
      </w:r>
      <w:r w:rsidR="00777DCB" w:rsidRPr="00A52585">
        <w:rPr>
          <w:rFonts w:hint="cs"/>
          <w:rtl/>
          <w:lang w:bidi="ar-KW"/>
        </w:rPr>
        <w:t xml:space="preserve"> والمنزه عن الزمان فلا يجري عليه زمان</w:t>
      </w:r>
      <w:r w:rsidR="00DB731D" w:rsidRPr="00A52585">
        <w:rPr>
          <w:rFonts w:hint="cs"/>
          <w:rtl/>
          <w:lang w:bidi="ar-KW"/>
        </w:rPr>
        <w:t>،</w:t>
      </w:r>
      <w:r w:rsidRPr="00A52585">
        <w:rPr>
          <w:rFonts w:hint="cs"/>
          <w:rtl/>
          <w:lang w:bidi="ar-KW"/>
        </w:rPr>
        <w:t xml:space="preserve"> (</w:t>
      </w:r>
      <w:r w:rsidR="00777DCB" w:rsidRPr="00A52585">
        <w:rPr>
          <w:rFonts w:hint="cs"/>
          <w:rtl/>
          <w:lang w:bidi="ar-KW"/>
        </w:rPr>
        <w:t>ب</w:t>
      </w:r>
      <w:r w:rsidRPr="00A52585">
        <w:rPr>
          <w:rFonts w:hint="cs"/>
          <w:rtl/>
          <w:lang w:bidi="ar-KW"/>
        </w:rPr>
        <w:t>)</w:t>
      </w:r>
      <w:r w:rsidR="00777DCB" w:rsidRPr="00A52585">
        <w:rPr>
          <w:rFonts w:hint="cs"/>
          <w:rtl/>
          <w:lang w:bidi="ar-KW"/>
        </w:rPr>
        <w:t xml:space="preserve"> كل موجود سوى الله تعالى مخلوق حادث</w:t>
      </w:r>
      <w:r w:rsidR="00DB731D" w:rsidRPr="00A52585">
        <w:rPr>
          <w:rFonts w:hint="cs"/>
          <w:rtl/>
          <w:lang w:bidi="ar-KW"/>
        </w:rPr>
        <w:t>،</w:t>
      </w:r>
      <w:r w:rsidR="00777DCB" w:rsidRPr="00A52585">
        <w:rPr>
          <w:rFonts w:hint="cs"/>
          <w:rtl/>
          <w:lang w:bidi="ar-KW"/>
        </w:rPr>
        <w:t xml:space="preserve"> كان قبل خلقه عدما</w:t>
      </w:r>
      <w:r w:rsidRPr="00A52585">
        <w:rPr>
          <w:rFonts w:hint="cs"/>
          <w:rtl/>
          <w:lang w:bidi="ar-KW"/>
        </w:rPr>
        <w:t xml:space="preserve"> </w:t>
      </w:r>
      <w:r w:rsidR="00777DCB" w:rsidRPr="00A52585">
        <w:rPr>
          <w:rFonts w:hint="cs"/>
          <w:rtl/>
          <w:lang w:bidi="ar-KW"/>
        </w:rPr>
        <w:t>ثم خلقه الله بقدرته ومشيئته</w:t>
      </w:r>
      <w:r w:rsidR="00DB731D" w:rsidRPr="00A52585">
        <w:rPr>
          <w:rFonts w:hint="cs"/>
          <w:rtl/>
          <w:lang w:bidi="ar-KW"/>
        </w:rPr>
        <w:t>،</w:t>
      </w:r>
      <w:r w:rsidR="00777DCB" w:rsidRPr="00A52585">
        <w:rPr>
          <w:rFonts w:hint="cs"/>
          <w:rtl/>
          <w:lang w:bidi="ar-KW"/>
        </w:rPr>
        <w:t xml:space="preserve"> وكل مخلوق حادث تحكمه قوانين الوجود من الكون في مكان وأنه لابد وان يجري عليه زمان</w:t>
      </w:r>
      <w:r w:rsidR="00DB731D" w:rsidRPr="00A52585">
        <w:rPr>
          <w:rFonts w:hint="cs"/>
          <w:rtl/>
          <w:lang w:bidi="ar-KW"/>
        </w:rPr>
        <w:t>،</w:t>
      </w:r>
      <w:r w:rsidR="00777DCB" w:rsidRPr="00A52585">
        <w:rPr>
          <w:rFonts w:hint="cs"/>
          <w:rtl/>
          <w:lang w:bidi="ar-KW"/>
        </w:rPr>
        <w:t xml:space="preserve"> فليس مخلوق إلا محتاج إلى مكان </w:t>
      </w:r>
      <w:proofErr w:type="spellStart"/>
      <w:r w:rsidR="00777DCB" w:rsidRPr="00A52585">
        <w:rPr>
          <w:rFonts w:hint="cs"/>
          <w:rtl/>
          <w:lang w:bidi="ar-KW"/>
        </w:rPr>
        <w:t>يحيزه</w:t>
      </w:r>
      <w:proofErr w:type="spellEnd"/>
      <w:r w:rsidR="00777DCB" w:rsidRPr="00A52585">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DB731D" w:rsidRPr="00A52585">
        <w:rPr>
          <w:rFonts w:hint="cs"/>
          <w:rtl/>
          <w:lang w:bidi="ar-KW"/>
        </w:rPr>
        <w:t>،</w:t>
      </w:r>
      <w:r w:rsidRPr="00A52585">
        <w:rPr>
          <w:rFonts w:hint="cs"/>
          <w:rtl/>
          <w:lang w:bidi="ar-KW"/>
        </w:rPr>
        <w:t xml:space="preserve"> (</w:t>
      </w:r>
      <w:r w:rsidR="00777DCB" w:rsidRPr="00A52585">
        <w:rPr>
          <w:rFonts w:hint="cs"/>
          <w:rtl/>
          <w:lang w:bidi="ar-KW"/>
        </w:rPr>
        <w:t>ت</w:t>
      </w:r>
      <w:r w:rsidRPr="00A52585">
        <w:rPr>
          <w:rFonts w:hint="cs"/>
          <w:rtl/>
          <w:lang w:bidi="ar-KW"/>
        </w:rPr>
        <w:t>)</w:t>
      </w:r>
      <w:r w:rsidR="00777DCB" w:rsidRPr="00A52585">
        <w:rPr>
          <w:rFonts w:hint="cs"/>
          <w:rtl/>
          <w:lang w:bidi="ar-KW"/>
        </w:rPr>
        <w:t xml:space="preserve"> أما الله عز وجل فهو الخالق لكل شيء في الوجود 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الله خالق كل شيء}</w:t>
      </w:r>
      <w:r w:rsidR="00DB731D" w:rsidRPr="00A52585">
        <w:rPr>
          <w:rFonts w:hint="cs"/>
          <w:rtl/>
          <w:lang w:bidi="ar-KW"/>
        </w:rPr>
        <w:t>،</w:t>
      </w:r>
      <w:r w:rsidR="00777DCB" w:rsidRPr="00A52585">
        <w:rPr>
          <w:rFonts w:hint="cs"/>
          <w:rtl/>
          <w:lang w:bidi="ar-KW"/>
        </w:rPr>
        <w:t xml:space="preserve"> وقال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هذا خلق الله فأروني ماذا خلق الذين من دونه</w:t>
      </w:r>
      <w:r w:rsidRPr="00A52585">
        <w:rPr>
          <w:rFonts w:hint="cs"/>
          <w:rtl/>
          <w:lang w:bidi="ar-KW"/>
        </w:rPr>
        <w:t>}</w:t>
      </w:r>
      <w:r w:rsidR="00DB731D" w:rsidRPr="00A52585">
        <w:rPr>
          <w:rFonts w:hint="cs"/>
          <w:rtl/>
          <w:lang w:bidi="ar-KW"/>
        </w:rPr>
        <w:t>،</w:t>
      </w:r>
      <w:r w:rsidRPr="00A52585">
        <w:rPr>
          <w:rFonts w:hint="cs"/>
          <w:rtl/>
          <w:lang w:bidi="ar-KW"/>
        </w:rPr>
        <w:t xml:space="preserve"> </w:t>
      </w:r>
      <w:r w:rsidR="00777DCB" w:rsidRPr="00A52585">
        <w:rPr>
          <w:rFonts w:hint="cs"/>
          <w:rtl/>
          <w:lang w:bidi="ar-KW"/>
        </w:rPr>
        <w:t>ومن جملة خلقه المكان والزمان</w:t>
      </w:r>
      <w:r w:rsidR="00DB731D" w:rsidRPr="00A52585">
        <w:rPr>
          <w:rFonts w:hint="cs"/>
          <w:rtl/>
          <w:lang w:bidi="ar-KW"/>
        </w:rPr>
        <w:t>،</w:t>
      </w:r>
      <w:r w:rsidR="00777DCB" w:rsidRPr="00A52585">
        <w:rPr>
          <w:rFonts w:hint="cs"/>
          <w:rtl/>
          <w:lang w:bidi="ar-KW"/>
        </w:rPr>
        <w:t xml:space="preserve"> فهل يحل الخالق في المخلوق</w:t>
      </w:r>
      <w:r w:rsidRPr="00A52585">
        <w:rPr>
          <w:rFonts w:hint="cs"/>
          <w:rtl/>
          <w:lang w:bidi="ar-KW"/>
        </w:rPr>
        <w:t xml:space="preserve"> </w:t>
      </w:r>
      <w:r w:rsidR="00777DCB" w:rsidRPr="00A52585">
        <w:rPr>
          <w:rFonts w:hint="cs"/>
          <w:rtl/>
          <w:lang w:bidi="ar-KW"/>
        </w:rPr>
        <w:t>أم هل تجري على الخالق قوانين المخلوق</w:t>
      </w:r>
      <w:r w:rsidR="00DB731D" w:rsidRPr="00A52585">
        <w:rPr>
          <w:rFonts w:hint="cs"/>
          <w:rtl/>
          <w:lang w:bidi="ar-KW"/>
        </w:rPr>
        <w:t>،</w:t>
      </w:r>
      <w:r w:rsidR="00777DCB" w:rsidRPr="00A52585">
        <w:rPr>
          <w:rFonts w:hint="cs"/>
          <w:rtl/>
          <w:lang w:bidi="ar-KW"/>
        </w:rPr>
        <w:t xml:space="preserve"> سبحانه كان قبل خلق المكان والزمان وهو على ما عليه كان</w:t>
      </w:r>
      <w:r w:rsidR="00DB731D" w:rsidRPr="00A52585">
        <w:rPr>
          <w:rFonts w:hint="cs"/>
          <w:rtl/>
          <w:lang w:bidi="ar-KW"/>
        </w:rPr>
        <w:t>،</w:t>
      </w:r>
      <w:r w:rsidR="00777DCB" w:rsidRPr="00A52585">
        <w:rPr>
          <w:rFonts w:hint="cs"/>
          <w:rtl/>
          <w:lang w:bidi="ar-KW"/>
        </w:rPr>
        <w:t xml:space="preserve"> منزه عن المكان تنزيه الخالق عن المخلوق</w:t>
      </w:r>
      <w:r w:rsidR="00DB731D" w:rsidRPr="00A52585">
        <w:rPr>
          <w:rFonts w:hint="cs"/>
          <w:rtl/>
          <w:lang w:bidi="ar-KW"/>
        </w:rPr>
        <w:t>،</w:t>
      </w:r>
      <w:r w:rsidR="00777DCB" w:rsidRPr="00A52585">
        <w:rPr>
          <w:rFonts w:hint="cs"/>
          <w:rtl/>
          <w:lang w:bidi="ar-KW"/>
        </w:rPr>
        <w:t xml:space="preserve"> ولا يجري عليه زمان تنزه سبحانه تنزيه الخالق أن تحكمه نواميس المخلوق</w:t>
      </w:r>
      <w:r w:rsidRPr="00A52585">
        <w:rPr>
          <w:rFonts w:hint="cs"/>
          <w:rtl/>
          <w:lang w:bidi="ar-KW"/>
        </w:rPr>
        <w:t xml:space="preserve"> </w:t>
      </w:r>
      <w:r w:rsidR="00777DCB" w:rsidRPr="00A52585">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DB731D" w:rsidRPr="00A52585">
        <w:rPr>
          <w:rFonts w:hint="cs"/>
          <w:rtl/>
          <w:lang w:bidi="ar-KW"/>
        </w:rPr>
        <w:t>،</w:t>
      </w:r>
      <w:r w:rsidRPr="00A52585">
        <w:rPr>
          <w:rFonts w:hint="cs"/>
          <w:rtl/>
          <w:lang w:bidi="ar-KW"/>
        </w:rPr>
        <w:t xml:space="preserve"> (</w:t>
      </w:r>
      <w:r w:rsidR="00777DCB" w:rsidRPr="00A52585">
        <w:rPr>
          <w:rFonts w:hint="cs"/>
          <w:rtl/>
          <w:lang w:bidi="ar-KW"/>
        </w:rPr>
        <w:t>ث</w:t>
      </w:r>
      <w:r w:rsidRPr="00A52585">
        <w:rPr>
          <w:rFonts w:hint="cs"/>
          <w:rtl/>
          <w:lang w:bidi="ar-KW"/>
        </w:rPr>
        <w:t>)</w:t>
      </w:r>
      <w:r w:rsidR="00777DCB" w:rsidRPr="00A52585">
        <w:rPr>
          <w:rFonts w:hint="cs"/>
          <w:rtl/>
          <w:lang w:bidi="ar-KW"/>
        </w:rPr>
        <w:t xml:space="preserve"> قوله تعالى </w:t>
      </w:r>
      <w:r w:rsidRPr="00A52585">
        <w:rPr>
          <w:rFonts w:hint="cs"/>
          <w:rtl/>
          <w:lang w:bidi="ar-KW"/>
        </w:rPr>
        <w:t>{</w:t>
      </w:r>
      <w:r w:rsidR="00777DCB" w:rsidRPr="00A52585">
        <w:rPr>
          <w:rFonts w:hint="cs"/>
          <w:rtl/>
          <w:lang w:bidi="ar-KW"/>
        </w:rPr>
        <w:t>قل لمن ما في السماوات والأرض * قل لله</w:t>
      </w:r>
      <w:r w:rsidRPr="00A52585">
        <w:rPr>
          <w:rFonts w:hint="cs"/>
          <w:rtl/>
          <w:lang w:bidi="ar-KW"/>
        </w:rPr>
        <w:t>}</w:t>
      </w:r>
      <w:r w:rsidR="00777DCB" w:rsidRPr="00A52585">
        <w:rPr>
          <w:rFonts w:hint="cs"/>
          <w:rtl/>
          <w:lang w:bidi="ar-KW"/>
        </w:rPr>
        <w:t xml:space="preserve"> مشعر بأن المكان وكل ما فيه ملكاً لله تعالى وقوله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وله ما سكن في الليل والنهار</w:t>
      </w:r>
      <w:r w:rsidRPr="00A52585">
        <w:rPr>
          <w:rFonts w:hint="cs"/>
          <w:rtl/>
          <w:lang w:bidi="ar-KW"/>
        </w:rPr>
        <w:t>}</w:t>
      </w:r>
      <w:r w:rsidR="00777DCB" w:rsidRPr="00A52585">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A52585">
        <w:rPr>
          <w:rFonts w:hint="cs"/>
          <w:rtl/>
          <w:lang w:bidi="ar-KW"/>
        </w:rPr>
        <w:t xml:space="preserve"> </w:t>
      </w:r>
      <w:r w:rsidR="00777DCB" w:rsidRPr="00A52585">
        <w:rPr>
          <w:rFonts w:hint="cs"/>
          <w:rtl/>
          <w:lang w:bidi="ar-KW"/>
        </w:rPr>
        <w:t>كلها ملك لله تعالى وذلك يدل على تنزيهه عن المكان والمكان</w:t>
      </w:r>
      <w:r w:rsidR="00DB731D" w:rsidRPr="00A52585">
        <w:rPr>
          <w:rFonts w:hint="cs"/>
          <w:rtl/>
          <w:lang w:bidi="ar-KW"/>
        </w:rPr>
        <w:t>،</w:t>
      </w:r>
      <w:r w:rsidRPr="00A52585">
        <w:rPr>
          <w:rFonts w:hint="cs"/>
          <w:rtl/>
          <w:lang w:bidi="ar-KW"/>
        </w:rPr>
        <w:t xml:space="preserve"> (</w:t>
      </w:r>
      <w:r w:rsidR="00777DCB" w:rsidRPr="00A52585">
        <w:rPr>
          <w:rFonts w:hint="cs"/>
          <w:rtl/>
          <w:lang w:bidi="ar-KW"/>
        </w:rPr>
        <w:t>ج</w:t>
      </w:r>
      <w:r w:rsidRPr="00A52585">
        <w:rPr>
          <w:rFonts w:hint="cs"/>
          <w:rtl/>
          <w:lang w:bidi="ar-KW"/>
        </w:rPr>
        <w:t>)</w:t>
      </w:r>
      <w:r w:rsidR="00777DCB" w:rsidRPr="00A52585">
        <w:rPr>
          <w:rFonts w:hint="cs"/>
          <w:rtl/>
          <w:lang w:bidi="ar-KW"/>
        </w:rPr>
        <w:t xml:space="preserve"> وجود الله تعالى قبل خلق المكان ووجوده سبحانه بعد فناء المكان فلا </w:t>
      </w:r>
      <w:proofErr w:type="spellStart"/>
      <w:r w:rsidR="00777DCB" w:rsidRPr="00A52585">
        <w:rPr>
          <w:rFonts w:hint="cs"/>
          <w:rtl/>
          <w:lang w:bidi="ar-KW"/>
        </w:rPr>
        <w:t>يحويه</w:t>
      </w:r>
      <w:proofErr w:type="spellEnd"/>
      <w:r w:rsidR="00777DCB" w:rsidRPr="00A52585">
        <w:rPr>
          <w:rFonts w:hint="cs"/>
          <w:rtl/>
          <w:lang w:bidi="ar-KW"/>
        </w:rPr>
        <w:t xml:space="preserve"> مكان</w:t>
      </w:r>
      <w:r w:rsidR="00DB731D" w:rsidRPr="00A52585">
        <w:rPr>
          <w:rFonts w:hint="cs"/>
          <w:rtl/>
          <w:lang w:bidi="ar-KW"/>
        </w:rPr>
        <w:t>،</w:t>
      </w:r>
      <w:r w:rsidR="00777DCB" w:rsidRPr="00A52585">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DB731D" w:rsidRPr="00A52585">
        <w:rPr>
          <w:rFonts w:hint="cs"/>
          <w:rtl/>
          <w:lang w:bidi="ar-KW"/>
        </w:rPr>
        <w:t>،</w:t>
      </w:r>
      <w:r w:rsidRPr="00A52585">
        <w:rPr>
          <w:rFonts w:hint="cs"/>
          <w:rtl/>
          <w:lang w:bidi="ar-KW"/>
        </w:rPr>
        <w:t xml:space="preserve"> (</w:t>
      </w:r>
      <w:r w:rsidR="00777DCB" w:rsidRPr="00A52585">
        <w:rPr>
          <w:rFonts w:hint="cs"/>
          <w:rtl/>
          <w:lang w:bidi="ar-KW"/>
        </w:rPr>
        <w:t>ح</w:t>
      </w:r>
      <w:r w:rsidRPr="00A52585">
        <w:rPr>
          <w:rFonts w:hint="cs"/>
          <w:rtl/>
          <w:lang w:bidi="ar-KW"/>
        </w:rPr>
        <w:t>)</w:t>
      </w:r>
      <w:r w:rsidR="00777DCB" w:rsidRPr="00A52585">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وهو القاهر فوق عباده</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خ</w:t>
      </w:r>
      <w:r w:rsidRPr="00A52585">
        <w:rPr>
          <w:rFonts w:hint="cs"/>
          <w:rtl/>
          <w:lang w:bidi="ar-KW"/>
        </w:rPr>
        <w:t>)</w:t>
      </w:r>
      <w:r w:rsidR="00777DCB" w:rsidRPr="00A52585">
        <w:rPr>
          <w:rFonts w:hint="cs"/>
          <w:rtl/>
          <w:lang w:bidi="ar-KW"/>
        </w:rPr>
        <w:t xml:space="preserve"> من الدلائل الواضحة </w:t>
      </w:r>
      <w:r w:rsidR="00777DCB" w:rsidRPr="00A52585">
        <w:rPr>
          <w:rFonts w:hint="cs"/>
          <w:rtl/>
          <w:lang w:bidi="ar-KW"/>
        </w:rPr>
        <w:lastRenderedPageBreak/>
        <w:t>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DB731D" w:rsidRPr="00A52585">
        <w:rPr>
          <w:rFonts w:hint="cs"/>
          <w:rtl/>
          <w:lang w:bidi="ar-KW"/>
        </w:rPr>
        <w:t>،</w:t>
      </w:r>
      <w:r w:rsidRPr="00A52585">
        <w:rPr>
          <w:rFonts w:hint="cs"/>
          <w:rtl/>
          <w:lang w:bidi="ar-KW"/>
        </w:rPr>
        <w:t xml:space="preserve"> (</w:t>
      </w:r>
      <w:r w:rsidR="00777DCB" w:rsidRPr="00A52585">
        <w:rPr>
          <w:rFonts w:hint="cs"/>
          <w:rtl/>
          <w:lang w:bidi="ar-KW"/>
        </w:rPr>
        <w:t>د</w:t>
      </w:r>
      <w:r w:rsidRPr="00A52585">
        <w:rPr>
          <w:rFonts w:hint="cs"/>
          <w:rtl/>
          <w:lang w:bidi="ar-KW"/>
        </w:rPr>
        <w:t>)</w:t>
      </w:r>
      <w:r w:rsidR="00777DCB" w:rsidRPr="00A52585">
        <w:rPr>
          <w:rFonts w:hint="cs"/>
          <w:rtl/>
          <w:lang w:bidi="ar-KW"/>
        </w:rPr>
        <w:t xml:space="preserve"> من الدلائل الواضحة على تنزه الله تعالى عن الوجود في جهة معينة من جهات الكون</w:t>
      </w:r>
      <w:r w:rsidRPr="00A52585">
        <w:rPr>
          <w:rFonts w:hint="cs"/>
          <w:rtl/>
          <w:lang w:bidi="ar-KW"/>
        </w:rPr>
        <w:t>:</w:t>
      </w:r>
      <w:r w:rsidR="00777DCB" w:rsidRPr="00A52585">
        <w:rPr>
          <w:rFonts w:hint="cs"/>
          <w:rtl/>
          <w:lang w:bidi="ar-KW"/>
        </w:rPr>
        <w:t xml:space="preserve"> أن جهات الكون محدودة لأنها مخلوقة مقدَرة </w:t>
      </w:r>
      <w:r w:rsidRPr="00A52585">
        <w:rPr>
          <w:rFonts w:hint="cs"/>
          <w:rtl/>
          <w:lang w:bidi="ar-KW"/>
        </w:rPr>
        <w:t>(</w:t>
      </w:r>
      <w:r w:rsidR="00777DCB" w:rsidRPr="00A52585">
        <w:rPr>
          <w:rFonts w:hint="cs"/>
          <w:rtl/>
          <w:lang w:bidi="ar-KW"/>
        </w:rPr>
        <w:t>بضم الميم وفتح الراء مع تشديدها</w:t>
      </w:r>
      <w:r w:rsidRPr="00A52585">
        <w:rPr>
          <w:rFonts w:hint="cs"/>
          <w:rtl/>
          <w:lang w:bidi="ar-KW"/>
        </w:rPr>
        <w:t>)</w:t>
      </w:r>
      <w:r w:rsidR="00777DCB" w:rsidRPr="00A52585">
        <w:rPr>
          <w:rFonts w:hint="cs"/>
          <w:rtl/>
          <w:lang w:bidi="ar-KW"/>
        </w:rPr>
        <w:t xml:space="preserve"> والله تعالى خالق مقدِر </w:t>
      </w:r>
      <w:r w:rsidRPr="00A52585">
        <w:rPr>
          <w:rFonts w:hint="cs"/>
          <w:rtl/>
          <w:lang w:bidi="ar-KW"/>
        </w:rPr>
        <w:t>(</w:t>
      </w:r>
      <w:r w:rsidR="00777DCB" w:rsidRPr="00A52585">
        <w:rPr>
          <w:rFonts w:hint="cs"/>
          <w:rtl/>
          <w:lang w:bidi="ar-KW"/>
        </w:rPr>
        <w:t>بضم الميم وكسر الراء مع تشديدها</w:t>
      </w:r>
      <w:r w:rsidRPr="00A52585">
        <w:rPr>
          <w:rFonts w:hint="cs"/>
          <w:rtl/>
          <w:lang w:bidi="ar-KW"/>
        </w:rPr>
        <w:t>)</w:t>
      </w:r>
      <w:r w:rsidR="00777DCB" w:rsidRPr="00A52585">
        <w:rPr>
          <w:rFonts w:hint="cs"/>
          <w:rtl/>
          <w:lang w:bidi="ar-KW"/>
        </w:rPr>
        <w:t xml:space="preserve"> تنزه سبحانه عن الحيز والحد والمقدار لأنها علامات المخلوق الناقص</w:t>
      </w:r>
      <w:r w:rsidR="00DB731D" w:rsidRPr="00A52585">
        <w:rPr>
          <w:rFonts w:hint="cs"/>
          <w:rtl/>
          <w:lang w:bidi="ar-KW"/>
        </w:rPr>
        <w:t>،</w:t>
      </w:r>
      <w:r w:rsidR="00777DCB" w:rsidRPr="00A52585">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DB731D" w:rsidRPr="00A52585">
        <w:rPr>
          <w:rFonts w:hint="cs"/>
          <w:rtl/>
          <w:lang w:bidi="ar-KW"/>
        </w:rPr>
        <w:t>،</w:t>
      </w:r>
      <w:r w:rsidR="00777DCB" w:rsidRPr="00A52585">
        <w:rPr>
          <w:rFonts w:hint="cs"/>
          <w:rtl/>
          <w:lang w:bidi="ar-KW"/>
        </w:rPr>
        <w:t xml:space="preserve"> فيستحيل وجود المنزه عن الحد والمقدار في الحيز المحدود </w:t>
      </w:r>
      <w:r w:rsidRPr="00A52585">
        <w:rPr>
          <w:rFonts w:hint="cs"/>
          <w:rtl/>
          <w:lang w:bidi="ar-KW"/>
        </w:rPr>
        <w:t>[</w:t>
      </w:r>
      <w:r w:rsidR="00777DCB" w:rsidRPr="00A52585">
        <w:rPr>
          <w:rFonts w:hint="cs"/>
          <w:rtl/>
          <w:lang w:bidi="ar-KW"/>
        </w:rPr>
        <w:t xml:space="preserve">سياتي الحديث عن تنزيه الله تعالى عن الحيز والحد والمقدار في الباب التالي </w:t>
      </w:r>
      <w:r w:rsidRPr="00A52585">
        <w:rPr>
          <w:rFonts w:hint="cs"/>
          <w:rtl/>
          <w:lang w:bidi="ar-KW"/>
        </w:rPr>
        <w:t>(</w:t>
      </w:r>
      <w:r w:rsidR="00777DCB" w:rsidRPr="00A52585">
        <w:rPr>
          <w:rFonts w:hint="cs"/>
          <w:rtl/>
          <w:lang w:bidi="ar-KW"/>
        </w:rPr>
        <w:t>تنزيه الله تعالى في ذاته ليس كمثله شيء</w:t>
      </w:r>
      <w:r w:rsidRPr="00A52585">
        <w:rPr>
          <w:rFonts w:hint="cs"/>
          <w:rtl/>
          <w:lang w:bidi="ar-KW"/>
        </w:rPr>
        <w:t>)]</w:t>
      </w:r>
      <w:r w:rsidR="00777DCB" w:rsidRPr="00A52585">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DB731D" w:rsidRPr="00A52585">
        <w:rPr>
          <w:rFonts w:hint="cs"/>
          <w:rtl/>
          <w:lang w:bidi="ar-KW"/>
        </w:rPr>
        <w:t>،</w:t>
      </w:r>
      <w:r w:rsidRPr="00A52585">
        <w:rPr>
          <w:rFonts w:hint="cs"/>
          <w:rtl/>
          <w:lang w:bidi="ar-KW"/>
        </w:rPr>
        <w:t xml:space="preserve"> (</w:t>
      </w:r>
      <w:r w:rsidR="00777DCB" w:rsidRPr="00A52585">
        <w:rPr>
          <w:rFonts w:hint="cs"/>
          <w:rtl/>
          <w:lang w:bidi="ar-KW"/>
        </w:rPr>
        <w:t>ذ</w:t>
      </w:r>
      <w:r w:rsidRPr="00A52585">
        <w:rPr>
          <w:rFonts w:hint="cs"/>
          <w:rtl/>
          <w:lang w:bidi="ar-KW"/>
        </w:rPr>
        <w:t>)</w:t>
      </w:r>
      <w:r w:rsidR="00777DCB" w:rsidRPr="00A52585">
        <w:rPr>
          <w:rFonts w:hint="cs"/>
          <w:rtl/>
          <w:lang w:bidi="ar-KW"/>
        </w:rPr>
        <w:t xml:space="preserve"> ومن الادلة على تنزيه الله تعالى عن المكان</w:t>
      </w:r>
      <w:r w:rsidRPr="00A52585">
        <w:rPr>
          <w:rFonts w:hint="cs"/>
          <w:rtl/>
          <w:lang w:bidi="ar-KW"/>
        </w:rPr>
        <w:t>:</w:t>
      </w:r>
      <w:r w:rsidR="00777DCB" w:rsidRPr="00A52585">
        <w:rPr>
          <w:rFonts w:hint="cs"/>
          <w:rtl/>
          <w:lang w:bidi="ar-KW"/>
        </w:rPr>
        <w:t xml:space="preserve"> أنّ ا</w:t>
      </w:r>
      <w:r w:rsidR="00777DCB" w:rsidRPr="00A52585">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DB731D" w:rsidRPr="00A52585">
        <w:rPr>
          <w:rFonts w:hint="cs"/>
          <w:rtl/>
        </w:rPr>
        <w:t>،</w:t>
      </w:r>
      <w:r w:rsidR="00777DCB" w:rsidRPr="00A52585">
        <w:rPr>
          <w:rFonts w:hint="cs"/>
          <w:rtl/>
        </w:rPr>
        <w:t xml:space="preserve"> وإذا كانت القاعدة تقول أن كل متحيز فهو محدود يحتاج إلى مكان </w:t>
      </w:r>
      <w:proofErr w:type="spellStart"/>
      <w:r w:rsidR="00777DCB" w:rsidRPr="00A52585">
        <w:rPr>
          <w:rFonts w:hint="cs"/>
          <w:rtl/>
        </w:rPr>
        <w:t>يحيزه</w:t>
      </w:r>
      <w:proofErr w:type="spellEnd"/>
      <w:r w:rsidR="00777DCB" w:rsidRPr="00A52585">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DB731D" w:rsidRPr="00A52585">
        <w:rPr>
          <w:rFonts w:hint="cs"/>
          <w:rtl/>
        </w:rPr>
        <w:t>،</w:t>
      </w:r>
      <w:r w:rsidR="00777DCB" w:rsidRPr="00A52585">
        <w:rPr>
          <w:rFonts w:hint="cs"/>
          <w:rtl/>
        </w:rPr>
        <w:t xml:space="preserve"> فتحتم من ذلك تنزيهه عن أن </w:t>
      </w:r>
      <w:proofErr w:type="spellStart"/>
      <w:r w:rsidR="00777DCB" w:rsidRPr="00A52585">
        <w:rPr>
          <w:rFonts w:hint="cs"/>
          <w:rtl/>
        </w:rPr>
        <w:t>يحيزه</w:t>
      </w:r>
      <w:proofErr w:type="spellEnd"/>
      <w:r w:rsidR="00777DCB" w:rsidRPr="00A52585">
        <w:rPr>
          <w:rFonts w:hint="cs"/>
          <w:rtl/>
        </w:rPr>
        <w:t xml:space="preserve"> شيء من خلقه وكل ما في الوجود سواه فهو خلقه الفقير إليه وهو الغني عنهم</w:t>
      </w:r>
      <w:r w:rsidR="00DB731D" w:rsidRPr="00A52585">
        <w:rPr>
          <w:rFonts w:hint="cs"/>
          <w:rtl/>
        </w:rPr>
        <w:t>،</w:t>
      </w:r>
      <w:r w:rsidRPr="00A52585">
        <w:rPr>
          <w:rFonts w:hint="cs"/>
          <w:rtl/>
        </w:rPr>
        <w:t xml:space="preserve"> (</w:t>
      </w:r>
      <w:r w:rsidR="00777DCB" w:rsidRPr="00A52585">
        <w:rPr>
          <w:rFonts w:hint="cs"/>
          <w:rtl/>
        </w:rPr>
        <w:t>ر</w:t>
      </w:r>
      <w:r w:rsidRPr="00A52585">
        <w:rPr>
          <w:rFonts w:hint="cs"/>
          <w:rtl/>
        </w:rPr>
        <w:t>)</w:t>
      </w:r>
      <w:r w:rsidR="00777DCB" w:rsidRPr="00A52585">
        <w:rPr>
          <w:rFonts w:hint="cs"/>
          <w:rtl/>
        </w:rPr>
        <w:t xml:space="preserve"> عدم تنزيه الله تعالى عن المكان يعني أن هناك مكان ما يحيز الله</w:t>
      </w:r>
      <w:r w:rsidR="00DB731D" w:rsidRPr="00A52585">
        <w:rPr>
          <w:rFonts w:hint="cs"/>
          <w:rtl/>
        </w:rPr>
        <w:t>،</w:t>
      </w:r>
      <w:r w:rsidR="00777DCB" w:rsidRPr="00A52585">
        <w:rPr>
          <w:rFonts w:hint="cs"/>
          <w:rtl/>
        </w:rPr>
        <w:t xml:space="preserve"> والمكان الذي يحيز أي شيء</w:t>
      </w:r>
      <w:r w:rsidRPr="00A52585">
        <w:rPr>
          <w:rFonts w:hint="cs"/>
          <w:rtl/>
        </w:rPr>
        <w:t xml:space="preserve"> </w:t>
      </w:r>
      <w:r w:rsidR="00777DCB" w:rsidRPr="00A52585">
        <w:rPr>
          <w:rFonts w:hint="cs"/>
          <w:rtl/>
        </w:rPr>
        <w:t>لاشك أنه أكبر منه</w:t>
      </w:r>
      <w:r w:rsidR="00DB731D" w:rsidRPr="00A52585">
        <w:rPr>
          <w:rFonts w:hint="cs"/>
          <w:rtl/>
        </w:rPr>
        <w:t>،</w:t>
      </w:r>
      <w:r w:rsidR="00777DCB" w:rsidRPr="00A52585">
        <w:rPr>
          <w:rFonts w:hint="cs"/>
          <w:rtl/>
        </w:rPr>
        <w:t xml:space="preserve"> وهذا يخالف القطعي والضروري من الدين من كون الله تعالى أكبر من كل شيء</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ز</w:t>
      </w:r>
      <w:r w:rsidRPr="00A52585">
        <w:rPr>
          <w:rFonts w:hint="cs"/>
          <w:rtl/>
        </w:rPr>
        <w:t>)</w:t>
      </w:r>
      <w:r w:rsidR="00777DCB" w:rsidRPr="00A52585">
        <w:rPr>
          <w:rFonts w:hint="cs"/>
          <w:rtl/>
        </w:rPr>
        <w:t xml:space="preserve"> عدم تنزيه الله تعالى عن المكان يستلزم ذلك احتياج الله إلى المكان، لأنّ الكائن في مكان محتاج إلى المكان</w:t>
      </w:r>
      <w:r w:rsidR="00DB731D" w:rsidRPr="00A52585">
        <w:rPr>
          <w:rFonts w:hint="cs"/>
          <w:rtl/>
        </w:rPr>
        <w:t>،</w:t>
      </w:r>
      <w:r w:rsidR="00777DCB" w:rsidRPr="00A52585">
        <w:rPr>
          <w:rFonts w:hint="cs"/>
          <w:rtl/>
        </w:rPr>
        <w:t xml:space="preserve"> ولكنّه تعالى هو الغني الذي لا يحتاج إلى شيء</w:t>
      </w:r>
      <w:r w:rsidR="00DB731D" w:rsidRPr="00A52585">
        <w:rPr>
          <w:rFonts w:hint="cs"/>
          <w:rtl/>
        </w:rPr>
        <w:t>،</w:t>
      </w:r>
      <w:r w:rsidR="00777DCB" w:rsidRPr="00A52585">
        <w:rPr>
          <w:rFonts w:hint="cs"/>
          <w:rtl/>
        </w:rPr>
        <w:t xml:space="preserve"> والاحتياج من صفات المُحدَث المخلوق الفقير لا من صفات الخالق الغني الحميد</w:t>
      </w:r>
      <w:r w:rsidR="00DB731D" w:rsidRPr="00A52585">
        <w:rPr>
          <w:rFonts w:hint="cs"/>
          <w:rtl/>
        </w:rPr>
        <w:t>،</w:t>
      </w:r>
      <w:r w:rsidRPr="00A52585">
        <w:rPr>
          <w:rFonts w:hint="cs"/>
          <w:rtl/>
        </w:rPr>
        <w:t xml:space="preserve"> (</w:t>
      </w:r>
      <w:r w:rsidR="00777DCB" w:rsidRPr="00A52585">
        <w:rPr>
          <w:rFonts w:hint="cs"/>
          <w:rtl/>
        </w:rPr>
        <w:t>س</w:t>
      </w:r>
      <w:r w:rsidRPr="00A52585">
        <w:rPr>
          <w:rFonts w:hint="cs"/>
          <w:rtl/>
        </w:rPr>
        <w:t>)</w:t>
      </w:r>
      <w:r w:rsidR="00777DCB" w:rsidRPr="00A52585">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DB731D" w:rsidRPr="00A52585">
        <w:rPr>
          <w:rFonts w:hint="cs"/>
          <w:rtl/>
        </w:rPr>
        <w:t>،</w:t>
      </w:r>
      <w:r w:rsidR="00777DCB" w:rsidRPr="00A52585">
        <w:rPr>
          <w:rFonts w:hint="cs"/>
          <w:rtl/>
        </w:rPr>
        <w:t xml:space="preserve"> الثاني: حادث، والحادث محدود، ولكنّه تعالى </w:t>
      </w:r>
      <w:r w:rsidR="00777DCB" w:rsidRPr="00A52585">
        <w:rPr>
          <w:rFonts w:hint="cs"/>
          <w:rtl/>
        </w:rPr>
        <w:lastRenderedPageBreak/>
        <w:t>غير محدود، والشيء المحدود لا يسعه إحاطة الشيء غير المحدود</w:t>
      </w:r>
      <w:r w:rsidR="00DB731D" w:rsidRPr="00A52585">
        <w:rPr>
          <w:rFonts w:hint="cs"/>
          <w:rtl/>
        </w:rPr>
        <w:t>،</w:t>
      </w:r>
      <w:r w:rsidR="00777DCB" w:rsidRPr="00A52585">
        <w:rPr>
          <w:rFonts w:hint="cs"/>
          <w:rtl/>
        </w:rPr>
        <w:t xml:space="preserve"> فيثبت بطلان وجوده تعالى في مكان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ش</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الله الصمد</w:t>
      </w:r>
      <w:r w:rsidRPr="00A52585">
        <w:rPr>
          <w:rFonts w:hint="cs"/>
          <w:rtl/>
        </w:rPr>
        <w:t>)</w:t>
      </w:r>
      <w:r w:rsidR="00777DCB" w:rsidRPr="00A52585">
        <w:rPr>
          <w:rFonts w:hint="cs"/>
          <w:rtl/>
        </w:rPr>
        <w:t xml:space="preserve"> فالصمد هو السيد </w:t>
      </w:r>
      <w:proofErr w:type="spellStart"/>
      <w:r w:rsidR="00777DCB" w:rsidRPr="00A52585">
        <w:rPr>
          <w:rFonts w:hint="cs"/>
          <w:rtl/>
        </w:rPr>
        <w:t>المصمود</w:t>
      </w:r>
      <w:proofErr w:type="spellEnd"/>
      <w:r w:rsidR="00777DCB" w:rsidRPr="00A52585">
        <w:rPr>
          <w:rFonts w:hint="cs"/>
          <w:rtl/>
        </w:rPr>
        <w:t xml:space="preserve"> إليه في الحوائج وذلك يدل على أنه ليس في مكان</w:t>
      </w:r>
      <w:r w:rsidR="00DB731D" w:rsidRPr="00A52585">
        <w:rPr>
          <w:rFonts w:hint="cs"/>
          <w:rtl/>
        </w:rPr>
        <w:t>،</w:t>
      </w:r>
      <w:r w:rsidR="00777DCB" w:rsidRPr="00A52585">
        <w:rPr>
          <w:rFonts w:hint="cs"/>
          <w:rtl/>
        </w:rPr>
        <w:t xml:space="preserve"> وأما بيان دلالته على أنه تعالى منزه عن المكان</w:t>
      </w:r>
      <w:r w:rsidR="00DB731D" w:rsidRPr="00A52585">
        <w:rPr>
          <w:rFonts w:hint="cs"/>
          <w:rtl/>
        </w:rPr>
        <w:t>،</w:t>
      </w:r>
      <w:r w:rsidR="00777DCB" w:rsidRPr="00A52585">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والله الغنى وأنتم الفقراء</w:t>
      </w:r>
      <w:r w:rsidRPr="00A52585">
        <w:rPr>
          <w:rFonts w:hint="cs"/>
          <w:rtl/>
        </w:rPr>
        <w:t>)</w:t>
      </w:r>
      <w:r w:rsidR="00777DCB" w:rsidRPr="00A52585">
        <w:rPr>
          <w:rFonts w:hint="cs"/>
          <w:rtl/>
        </w:rPr>
        <w:t xml:space="preserve"> دلت هذه الآية على كونه تعالى غنى ولو كان في مكان لكان محتاجا إلى ذلك المكان وذلك يقدح في كونه غنياً على الإطلاق</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ض</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لا إله إلا هو الحى القيوم</w:t>
      </w:r>
      <w:r w:rsidRPr="00A52585">
        <w:rPr>
          <w:rFonts w:hint="cs"/>
          <w:rtl/>
        </w:rPr>
        <w:t>)</w:t>
      </w:r>
      <w:r w:rsidR="00777DCB" w:rsidRPr="00A52585">
        <w:rPr>
          <w:rFonts w:hint="cs"/>
          <w:rtl/>
        </w:rPr>
        <w:t xml:space="preserve"> والقيوم مبالغة في كونه غنياً عن كل ما سواه</w:t>
      </w:r>
      <w:r w:rsidR="00DB731D" w:rsidRPr="00A52585">
        <w:rPr>
          <w:rFonts w:hint="cs"/>
          <w:rtl/>
        </w:rPr>
        <w:t>،</w:t>
      </w:r>
      <w:r w:rsidR="00777DCB" w:rsidRPr="00A52585">
        <w:rPr>
          <w:rFonts w:hint="cs"/>
          <w:rtl/>
        </w:rPr>
        <w:t xml:space="preserve"> وكونه مقوماً لغيره</w:t>
      </w:r>
      <w:r w:rsidRPr="00A52585">
        <w:rPr>
          <w:rFonts w:hint="cs"/>
          <w:rtl/>
        </w:rPr>
        <w:t>:</w:t>
      </w:r>
      <w:r w:rsidR="00777DCB" w:rsidRPr="00A52585">
        <w:rPr>
          <w:rFonts w:hint="cs"/>
          <w:rtl/>
        </w:rPr>
        <w:t xml:space="preserve"> عبارة عن احتياج كل ما سواه إليه</w:t>
      </w:r>
      <w:r w:rsidR="00DB731D" w:rsidRPr="00A52585">
        <w:rPr>
          <w:rFonts w:hint="cs"/>
          <w:rtl/>
        </w:rPr>
        <w:t>،</w:t>
      </w:r>
      <w:r w:rsidR="00777DCB" w:rsidRPr="00A52585">
        <w:rPr>
          <w:rFonts w:hint="cs"/>
          <w:rtl/>
        </w:rPr>
        <w:t xml:space="preserve"> فلو كان في مكان لكان هو مفتقراً الى ذلك المكان فلن يكن قيوماً على الإطلاق</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ط</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هل تعلم له سمياً</w:t>
      </w:r>
      <w:r w:rsidRPr="00A52585">
        <w:rPr>
          <w:rFonts w:hint="cs"/>
          <w:rtl/>
        </w:rPr>
        <w:t>)</w:t>
      </w:r>
      <w:r w:rsidR="00777DCB" w:rsidRPr="00A52585">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ظ</w:t>
      </w:r>
      <w:r w:rsidRPr="00A52585">
        <w:rPr>
          <w:rFonts w:hint="cs"/>
          <w:rtl/>
        </w:rPr>
        <w:t>)</w:t>
      </w:r>
      <w:r w:rsidR="00777DCB" w:rsidRPr="00A52585">
        <w:rPr>
          <w:rFonts w:hint="cs"/>
          <w:rtl/>
        </w:rPr>
        <w:t xml:space="preserve"> </w:t>
      </w:r>
      <w:r w:rsidR="00777DCB" w:rsidRPr="00A52585">
        <w:rPr>
          <w:rFonts w:hint="cs"/>
          <w:rtl/>
          <w:lang w:bidi="ar-KW"/>
        </w:rPr>
        <w:t xml:space="preserve">ومن الادلة على تنزيه الله تعالى عن الزمان أنّ الزمان هو عبارة عن أثر </w:t>
      </w:r>
      <w:r w:rsidR="00777DCB" w:rsidRPr="00A52585">
        <w:rPr>
          <w:rFonts w:hint="cs"/>
          <w:rtl/>
        </w:rPr>
        <w:t>الحركة الحادثة في المكان</w:t>
      </w:r>
      <w:r w:rsidR="00DB731D" w:rsidRPr="00A52585">
        <w:rPr>
          <w:rFonts w:hint="cs"/>
          <w:rtl/>
        </w:rPr>
        <w:t>،</w:t>
      </w:r>
      <w:r w:rsidR="00777DCB" w:rsidRPr="00A52585">
        <w:rPr>
          <w:rFonts w:hint="cs"/>
          <w:rtl/>
        </w:rPr>
        <w:t xml:space="preserve"> ولولا الحركة في المكان لما كان هناك زمان</w:t>
      </w:r>
      <w:r w:rsidR="00DB731D" w:rsidRPr="00A52585">
        <w:rPr>
          <w:rFonts w:hint="cs"/>
          <w:rtl/>
        </w:rPr>
        <w:t>،</w:t>
      </w:r>
      <w:r w:rsidR="00777DCB" w:rsidRPr="00A52585">
        <w:rPr>
          <w:rFonts w:hint="cs"/>
          <w:rtl/>
        </w:rPr>
        <w:t xml:space="preserve"> وإجماع أهل الأصول على أن المكان متقدم على الزمان</w:t>
      </w:r>
      <w:r w:rsidR="00DB731D" w:rsidRPr="00A52585">
        <w:rPr>
          <w:rFonts w:hint="cs"/>
          <w:rtl/>
        </w:rPr>
        <w:t>،</w:t>
      </w:r>
      <w:r w:rsidR="00777DCB" w:rsidRPr="00A52585">
        <w:rPr>
          <w:rFonts w:hint="cs"/>
          <w:rtl/>
        </w:rPr>
        <w:t xml:space="preserve"> وإذا كان الله تعالى كان قبل المكان ثم خلق المكان فمن الضرورة أنه كان قبل الزمان ثم خلق الزمان</w:t>
      </w:r>
      <w:r w:rsidR="00DB731D" w:rsidRPr="00A52585">
        <w:rPr>
          <w:rFonts w:hint="cs"/>
          <w:rtl/>
        </w:rPr>
        <w:t>،</w:t>
      </w:r>
      <w:r w:rsidR="00777DCB" w:rsidRPr="00A52585">
        <w:rPr>
          <w:rFonts w:hint="cs"/>
          <w:rtl/>
        </w:rPr>
        <w:t xml:space="preserve"> وإذا كان الله تعالى غني عن المكان غنى الخالق عن مخلوقه فإن الله تعالى غني عن الزمان فلا </w:t>
      </w:r>
      <w:proofErr w:type="spellStart"/>
      <w:r w:rsidR="00777DCB" w:rsidRPr="00A52585">
        <w:rPr>
          <w:rFonts w:hint="cs"/>
          <w:rtl/>
        </w:rPr>
        <w:t>يحويه</w:t>
      </w:r>
      <w:proofErr w:type="spellEnd"/>
      <w:r w:rsidR="00777DCB" w:rsidRPr="00A52585">
        <w:rPr>
          <w:rFonts w:hint="cs"/>
          <w:rtl/>
        </w:rPr>
        <w:t xml:space="preserve"> مكان ولا يجري عليه زمان</w:t>
      </w:r>
      <w:r w:rsidR="00DB731D" w:rsidRPr="00A52585">
        <w:rPr>
          <w:rFonts w:hint="cs"/>
          <w:rtl/>
        </w:rPr>
        <w:t>،</w:t>
      </w:r>
      <w:r w:rsidR="00777DCB" w:rsidRPr="00A52585">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DB731D" w:rsidRPr="00A52585">
        <w:rPr>
          <w:rFonts w:hint="cs"/>
          <w:rtl/>
        </w:rPr>
        <w:t>،</w:t>
      </w:r>
      <w:r w:rsidRPr="00A52585">
        <w:rPr>
          <w:rFonts w:hint="cs"/>
          <w:rtl/>
        </w:rPr>
        <w:t xml:space="preserve"> (</w:t>
      </w:r>
      <w:r w:rsidR="00777DCB" w:rsidRPr="00A52585">
        <w:rPr>
          <w:rFonts w:hint="cs"/>
          <w:rtl/>
        </w:rPr>
        <w:t>ع</w:t>
      </w:r>
      <w:r w:rsidRPr="00A52585">
        <w:rPr>
          <w:rFonts w:hint="cs"/>
          <w:rtl/>
        </w:rPr>
        <w:t>)</w:t>
      </w:r>
      <w:r w:rsidR="00777DCB" w:rsidRPr="00A52585">
        <w:rPr>
          <w:rFonts w:hint="cs"/>
          <w:rtl/>
        </w:rPr>
        <w:t xml:space="preserve"> قد يقول غير الدارس لعلم الأصول لا يعقل إلا الحركة أو السكون والحي ينبغي أن يتصف بالحركة كما أن الجماد متصف بالسكون</w:t>
      </w:r>
      <w:r w:rsidR="00DB731D" w:rsidRPr="00A52585">
        <w:rPr>
          <w:rFonts w:hint="cs"/>
          <w:rtl/>
        </w:rPr>
        <w:t>،</w:t>
      </w:r>
      <w:r w:rsidR="00777DCB" w:rsidRPr="00A52585">
        <w:rPr>
          <w:rFonts w:hint="cs"/>
          <w:rtl/>
        </w:rPr>
        <w:t xml:space="preserve"> فهذا نقول له رويدك فهذا الذي تقوله على وفق المحسوس الذي تشاهده والمخلوق الذي لا ترى </w:t>
      </w:r>
      <w:proofErr w:type="spellStart"/>
      <w:r w:rsidR="00777DCB" w:rsidRPr="00A52585">
        <w:rPr>
          <w:rFonts w:hint="cs"/>
          <w:rtl/>
        </w:rPr>
        <w:t>غيره</w:t>
      </w:r>
      <w:r w:rsidR="00DB731D" w:rsidRPr="00A52585">
        <w:rPr>
          <w:rFonts w:hint="cs"/>
          <w:rtl/>
        </w:rPr>
        <w:t>،</w:t>
      </w:r>
      <w:r w:rsidR="00777DCB" w:rsidRPr="00A52585">
        <w:rPr>
          <w:rFonts w:hint="cs"/>
          <w:rtl/>
        </w:rPr>
        <w:t>ثم</w:t>
      </w:r>
      <w:proofErr w:type="spellEnd"/>
      <w:r w:rsidR="00777DCB" w:rsidRPr="00A52585">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00DB731D" w:rsidRPr="00A52585">
        <w:rPr>
          <w:rFonts w:hint="cs"/>
          <w:rtl/>
        </w:rPr>
        <w:t>،</w:t>
      </w:r>
      <w:r w:rsidR="00777DCB" w:rsidRPr="00A52585">
        <w:rPr>
          <w:rFonts w:hint="cs"/>
          <w:rtl/>
        </w:rPr>
        <w:t xml:space="preserve"> أما المنزه عن المكان والذي لا </w:t>
      </w:r>
      <w:proofErr w:type="spellStart"/>
      <w:r w:rsidR="00777DCB" w:rsidRPr="00A52585">
        <w:rPr>
          <w:rFonts w:hint="cs"/>
          <w:rtl/>
        </w:rPr>
        <w:t>يحويه</w:t>
      </w:r>
      <w:proofErr w:type="spellEnd"/>
      <w:r w:rsidR="00777DCB" w:rsidRPr="00A52585">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777DCB" w:rsidRPr="00A52585">
        <w:rPr>
          <w:rFonts w:hint="cs"/>
          <w:rtl/>
        </w:rPr>
        <w:t>والتغير</w:t>
      </w:r>
      <w:r w:rsidR="00DB731D" w:rsidRPr="00A52585">
        <w:rPr>
          <w:rFonts w:hint="cs"/>
          <w:rtl/>
        </w:rPr>
        <w:t>،</w:t>
      </w:r>
      <w:r w:rsidR="00777DCB" w:rsidRPr="00A52585">
        <w:rPr>
          <w:rFonts w:hint="cs"/>
          <w:rtl/>
        </w:rPr>
        <w:t>والحاصل</w:t>
      </w:r>
      <w:proofErr w:type="spellEnd"/>
      <w:r w:rsidR="00777DCB" w:rsidRPr="00A52585">
        <w:rPr>
          <w:rFonts w:hint="cs"/>
          <w:rtl/>
        </w:rPr>
        <w:t xml:space="preserve"> أن </w:t>
      </w:r>
      <w:r w:rsidR="00777DCB" w:rsidRPr="00A52585">
        <w:rPr>
          <w:rFonts w:hint="cs"/>
          <w:rtl/>
        </w:rPr>
        <w:lastRenderedPageBreak/>
        <w:t>القسمة ثلاثية ساكن ومتحرك لهما أمثال كثيرة ومنزه عن السكون والحركة ليس كمثله شيء</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غ</w:t>
      </w:r>
      <w:r w:rsidRPr="00A52585">
        <w:rPr>
          <w:rFonts w:hint="cs"/>
          <w:rtl/>
        </w:rPr>
        <w:t>)</w:t>
      </w:r>
      <w:r w:rsidR="00777DCB" w:rsidRPr="00A52585">
        <w:rPr>
          <w:rFonts w:hint="cs"/>
          <w:rtl/>
        </w:rPr>
        <w:t xml:space="preserve"> </w:t>
      </w:r>
      <w:r w:rsidR="00777DCB" w:rsidRPr="00A52585">
        <w:rPr>
          <w:rFonts w:hint="cs"/>
          <w:snapToGrid w:val="0"/>
          <w:rtl/>
        </w:rPr>
        <w:t>الله تعالى كان ولا مكان ولا زمان ثم خلق المكان والزمان</w:t>
      </w:r>
      <w:r w:rsidR="00DB731D" w:rsidRPr="00A52585">
        <w:rPr>
          <w:rFonts w:hint="cs"/>
          <w:snapToGrid w:val="0"/>
          <w:rtl/>
        </w:rPr>
        <w:t>،</w:t>
      </w:r>
      <w:r w:rsidR="00777DCB" w:rsidRPr="00A52585">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DB731D" w:rsidRPr="00A52585">
        <w:rPr>
          <w:rFonts w:hint="cs"/>
          <w:snapToGrid w:val="0"/>
          <w:rtl/>
        </w:rPr>
        <w:t>،</w:t>
      </w:r>
      <w:r w:rsidR="00777DCB" w:rsidRPr="00A52585">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A52585">
        <w:rPr>
          <w:rFonts w:hint="cs"/>
          <w:snapToGrid w:val="0"/>
          <w:rtl/>
        </w:rPr>
        <w:t>(</w:t>
      </w:r>
      <w:r w:rsidR="00777DCB" w:rsidRPr="00A52585">
        <w:rPr>
          <w:rFonts w:hint="cs"/>
          <w:snapToGrid w:val="0"/>
          <w:rtl/>
        </w:rPr>
        <w:t>كان الله ولم يكن معه غيره</w:t>
      </w:r>
      <w:r w:rsidRPr="00A52585">
        <w:rPr>
          <w:rFonts w:hint="cs"/>
          <w:snapToGrid w:val="0"/>
          <w:rtl/>
        </w:rPr>
        <w:t>)</w:t>
      </w:r>
      <w:r w:rsidR="00777DCB" w:rsidRPr="00A52585">
        <w:rPr>
          <w:rFonts w:hint="cs"/>
          <w:snapToGrid w:val="0"/>
          <w:rtl/>
        </w:rPr>
        <w:t xml:space="preserve"> أخرجه البخاري</w:t>
      </w:r>
      <w:r w:rsidR="00DB731D" w:rsidRPr="00A52585">
        <w:rPr>
          <w:rFonts w:hint="cs"/>
          <w:rtl/>
        </w:rPr>
        <w:t>،</w:t>
      </w:r>
      <w:r w:rsidRPr="00A52585">
        <w:rPr>
          <w:rFonts w:hint="cs"/>
          <w:rtl/>
        </w:rPr>
        <w:t xml:space="preserve"> (</w:t>
      </w:r>
      <w:r w:rsidR="00777DCB" w:rsidRPr="00A52585">
        <w:rPr>
          <w:rFonts w:hint="cs"/>
          <w:rtl/>
        </w:rPr>
        <w:t>ف</w:t>
      </w:r>
      <w:r w:rsidRPr="00A52585">
        <w:rPr>
          <w:rFonts w:hint="cs"/>
          <w:rtl/>
        </w:rPr>
        <w:t>)</w:t>
      </w:r>
      <w:r w:rsidR="00777DCB" w:rsidRPr="00A52585">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DB731D" w:rsidRPr="00A52585">
        <w:rPr>
          <w:rFonts w:hint="cs"/>
          <w:rtl/>
        </w:rPr>
        <w:t>،</w:t>
      </w:r>
      <w:r w:rsidRPr="00A52585">
        <w:rPr>
          <w:rFonts w:hint="cs"/>
          <w:rtl/>
        </w:rPr>
        <w:t xml:space="preserve"> </w:t>
      </w:r>
      <w:r w:rsidRPr="00A52585">
        <w:rPr>
          <w:rFonts w:hint="cs"/>
          <w:rtl/>
          <w:lang w:bidi="ar-KW"/>
        </w:rPr>
        <w:t>(</w:t>
      </w:r>
      <w:r w:rsidR="00777DCB" w:rsidRPr="00A52585">
        <w:rPr>
          <w:rFonts w:hint="cs"/>
          <w:rtl/>
          <w:lang w:bidi="ar-KW"/>
        </w:rPr>
        <w:t>ق</w:t>
      </w:r>
      <w:r w:rsidRPr="00A52585">
        <w:rPr>
          <w:rFonts w:hint="cs"/>
          <w:rtl/>
          <w:lang w:bidi="ar-KW"/>
        </w:rPr>
        <w:t>)</w:t>
      </w:r>
      <w:r w:rsidR="00777DCB" w:rsidRPr="00A52585">
        <w:rPr>
          <w:rFonts w:hint="cs"/>
          <w:rtl/>
          <w:lang w:bidi="ar-KW"/>
        </w:rPr>
        <w:t xml:space="preserve"> أخطأت الطائفة السلفية المعاصرة خطأ جسيما عندما كيفوا وجود الله وقاسوا وجود الله تعالى على وجود المخلوق</w:t>
      </w:r>
      <w:r w:rsidR="00DB731D" w:rsidRPr="00A52585">
        <w:rPr>
          <w:rFonts w:hint="cs"/>
          <w:rtl/>
          <w:lang w:bidi="ar-KW"/>
        </w:rPr>
        <w:t>،</w:t>
      </w:r>
      <w:r w:rsidR="00777DCB" w:rsidRPr="00A52585">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DB731D" w:rsidRPr="00A52585">
        <w:rPr>
          <w:rFonts w:hint="cs"/>
          <w:rtl/>
          <w:lang w:bidi="ar-KW"/>
        </w:rPr>
        <w:t>،</w:t>
      </w:r>
      <w:r w:rsidR="00777DCB" w:rsidRPr="00A52585">
        <w:rPr>
          <w:rFonts w:hint="cs"/>
          <w:rtl/>
          <w:lang w:bidi="ar-KW"/>
        </w:rPr>
        <w:t xml:space="preserve"> ونسوا إن الله ليس كمثله شيء وليس له مثيل وليس كوجوده وجود</w:t>
      </w:r>
      <w:r w:rsidR="00DB731D" w:rsidRPr="00A52585">
        <w:rPr>
          <w:rFonts w:hint="cs"/>
          <w:rtl/>
          <w:lang w:bidi="ar-KW"/>
        </w:rPr>
        <w:t>،</w:t>
      </w:r>
      <w:r w:rsidR="00777DCB" w:rsidRPr="00A52585">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ك</w:t>
      </w:r>
      <w:r w:rsidRPr="00A52585">
        <w:rPr>
          <w:rFonts w:hint="cs"/>
          <w:rtl/>
          <w:lang w:bidi="ar-KW"/>
        </w:rPr>
        <w:t>)</w:t>
      </w:r>
      <w:r w:rsidR="00777DCB" w:rsidRPr="00A52585">
        <w:rPr>
          <w:rFonts w:hint="cs"/>
          <w:rtl/>
          <w:lang w:bidi="ar-KW"/>
        </w:rPr>
        <w:t xml:space="preserve"> وأخطأت الطائفة السلفية المعاصرة خطأ جسيما أيضاً</w:t>
      </w:r>
      <w:r w:rsidRPr="00A52585">
        <w:rPr>
          <w:rFonts w:hint="cs"/>
          <w:rtl/>
          <w:lang w:bidi="ar-KW"/>
        </w:rPr>
        <w:t>:</w:t>
      </w:r>
      <w:r w:rsidR="00777DCB" w:rsidRPr="00A52585">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A52585">
        <w:rPr>
          <w:rFonts w:hint="cs"/>
          <w:rtl/>
          <w:lang w:bidi="ar-KW"/>
        </w:rPr>
        <w:t xml:space="preserve"> </w:t>
      </w:r>
      <w:r w:rsidR="00777DCB" w:rsidRPr="00A52585">
        <w:rPr>
          <w:rFonts w:hint="cs"/>
          <w:rtl/>
          <w:lang w:bidi="ar-KW"/>
        </w:rPr>
        <w:t>- هل هو</w:t>
      </w:r>
      <w:r w:rsidRPr="00A52585">
        <w:rPr>
          <w:rFonts w:hint="cs"/>
          <w:rtl/>
          <w:lang w:bidi="ar-KW"/>
        </w:rPr>
        <w:t xml:space="preserve"> (</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بقدر العرش أم أكبر أم أصغر بمقدار أربعة أصابع وهل إذا نزل في الثلث الأخير من الليل يخلوا منه العرش أم لا</w:t>
      </w:r>
      <w:r w:rsidR="00DB731D" w:rsidRPr="00A52585">
        <w:rPr>
          <w:rFonts w:hint="cs"/>
          <w:rtl/>
          <w:lang w:bidi="ar-KW"/>
        </w:rPr>
        <w:t>،</w:t>
      </w:r>
      <w:r w:rsidR="00777DCB" w:rsidRPr="00A52585">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DB731D" w:rsidRPr="00A52585">
        <w:rPr>
          <w:rFonts w:hint="cs"/>
          <w:rtl/>
          <w:lang w:bidi="ar-KW"/>
        </w:rPr>
        <w:t>،</w:t>
      </w:r>
      <w:r w:rsidRPr="00A52585">
        <w:rPr>
          <w:rFonts w:hint="cs"/>
          <w:rtl/>
          <w:lang w:bidi="ar-KW"/>
        </w:rPr>
        <w:t xml:space="preserve"> (</w:t>
      </w:r>
      <w:r w:rsidR="00777DCB" w:rsidRPr="00A52585">
        <w:rPr>
          <w:rFonts w:hint="cs"/>
          <w:rtl/>
          <w:lang w:bidi="ar-KW"/>
        </w:rPr>
        <w:t>ل</w:t>
      </w:r>
      <w:r w:rsidRPr="00A52585">
        <w:rPr>
          <w:rFonts w:hint="cs"/>
          <w:rtl/>
          <w:lang w:bidi="ar-KW"/>
        </w:rPr>
        <w:t>)</w:t>
      </w:r>
      <w:r w:rsidR="00777DCB" w:rsidRPr="00A52585">
        <w:rPr>
          <w:rFonts w:hint="cs"/>
          <w:rtl/>
          <w:lang w:bidi="ar-KW"/>
        </w:rPr>
        <w:t xml:space="preserve"> وهم يدعون التمسك بكتاب الله وسنة رسوله الكريم صلى الله عليه وسلم وهدي السلف الكرام وأكرم بذلك من طريق</w:t>
      </w:r>
      <w:r w:rsidR="00DB731D" w:rsidRPr="00A52585">
        <w:rPr>
          <w:rFonts w:hint="cs"/>
          <w:rtl/>
          <w:lang w:bidi="ar-KW"/>
        </w:rPr>
        <w:t>،</w:t>
      </w:r>
      <w:r w:rsidR="00777DCB" w:rsidRPr="00A52585">
        <w:rPr>
          <w:rFonts w:hint="cs"/>
          <w:rtl/>
          <w:lang w:bidi="ar-KW"/>
        </w:rPr>
        <w:t xml:space="preserve"> وأعظم به من منهاج</w:t>
      </w:r>
      <w:r w:rsidR="00DB731D" w:rsidRPr="00A52585">
        <w:rPr>
          <w:rFonts w:hint="cs"/>
          <w:rtl/>
          <w:lang w:bidi="ar-KW"/>
        </w:rPr>
        <w:t>،</w:t>
      </w:r>
      <w:r w:rsidR="00777DCB" w:rsidRPr="00A52585">
        <w:rPr>
          <w:rFonts w:hint="cs"/>
          <w:rtl/>
          <w:lang w:bidi="ar-KW"/>
        </w:rPr>
        <w:t xml:space="preserve"> ولكن لم يكن لهم توسع في دراسة أدلة تنزيه الذات من الكتاب والسنة</w:t>
      </w:r>
      <w:r w:rsidR="00DB731D" w:rsidRPr="00A52585">
        <w:rPr>
          <w:rFonts w:hint="cs"/>
          <w:rtl/>
          <w:lang w:bidi="ar-KW"/>
        </w:rPr>
        <w:t>،</w:t>
      </w:r>
      <w:r w:rsidR="00777DCB" w:rsidRPr="00A52585">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w:t>
      </w:r>
      <w:r w:rsidR="00777DCB" w:rsidRPr="00A52585">
        <w:rPr>
          <w:rFonts w:hint="cs"/>
          <w:rtl/>
          <w:lang w:bidi="ar-KW"/>
        </w:rPr>
        <w:lastRenderedPageBreak/>
        <w:t>الخلق والنقصان</w:t>
      </w:r>
      <w:r w:rsidR="00DB731D" w:rsidRPr="00A52585">
        <w:rPr>
          <w:rFonts w:hint="cs"/>
          <w:rtl/>
          <w:lang w:bidi="ar-KW"/>
        </w:rPr>
        <w:t>،</w:t>
      </w:r>
      <w:r w:rsidR="00777DCB" w:rsidRPr="00A52585">
        <w:rPr>
          <w:rFonts w:hint="cs"/>
          <w:rtl/>
          <w:lang w:bidi="ar-KW"/>
        </w:rPr>
        <w:t xml:space="preserve"> ولو تواضعوا للعلم ودرسوا</w:t>
      </w:r>
      <w:r w:rsidRPr="00A52585">
        <w:rPr>
          <w:rFonts w:hint="cs"/>
          <w:rtl/>
          <w:lang w:bidi="ar-KW"/>
        </w:rPr>
        <w:t xml:space="preserve"> (</w:t>
      </w:r>
      <w:r w:rsidR="00777DCB" w:rsidRPr="00A52585">
        <w:rPr>
          <w:rFonts w:hint="cs"/>
          <w:rtl/>
          <w:lang w:bidi="ar-KW"/>
        </w:rPr>
        <w:t>علم توحيد الذات</w:t>
      </w:r>
      <w:r w:rsidRPr="00A52585">
        <w:rPr>
          <w:rFonts w:hint="cs"/>
          <w:rtl/>
          <w:lang w:bidi="ar-KW"/>
        </w:rPr>
        <w:t>)</w:t>
      </w:r>
      <w:r w:rsidR="00777DCB" w:rsidRPr="00A52585">
        <w:rPr>
          <w:rFonts w:hint="cs"/>
          <w:rtl/>
          <w:lang w:bidi="ar-KW"/>
        </w:rPr>
        <w:t xml:space="preserve"> وقواعد التسبيح والتقديس والتنزيه على يد المتخصصين لما كانوا على هذه الحالة التي بها صاروا</w:t>
      </w:r>
      <w:r w:rsidRPr="00A52585">
        <w:rPr>
          <w:rFonts w:hint="cs"/>
          <w:rtl/>
          <w:lang w:bidi="ar-KW"/>
        </w:rPr>
        <w:t xml:space="preserve"> </w:t>
      </w:r>
      <w:r w:rsidR="00777DCB" w:rsidRPr="00A52585">
        <w:rPr>
          <w:rFonts w:hint="cs"/>
          <w:rtl/>
          <w:lang w:bidi="ar-KW"/>
        </w:rPr>
        <w:t>أدنى مرتبة من العوام</w:t>
      </w:r>
      <w:r w:rsidR="00DB731D" w:rsidRPr="00A52585">
        <w:rPr>
          <w:rFonts w:hint="cs"/>
          <w:rtl/>
          <w:lang w:bidi="ar-KW"/>
        </w:rPr>
        <w:t>،</w:t>
      </w:r>
      <w:r w:rsidR="00777DCB" w:rsidRPr="00A52585">
        <w:rPr>
          <w:rFonts w:hint="cs"/>
          <w:rtl/>
          <w:lang w:bidi="ar-KW"/>
        </w:rPr>
        <w:t xml:space="preserve"> لا يحترمون تخصصات أهل العلم بخاصة أهل الأصول</w:t>
      </w:r>
      <w:r w:rsidR="00DB731D" w:rsidRPr="00A52585">
        <w:rPr>
          <w:rFonts w:hint="cs"/>
          <w:rtl/>
          <w:lang w:bidi="ar-KW"/>
        </w:rPr>
        <w:t>،</w:t>
      </w:r>
      <w:r w:rsidR="00777DCB" w:rsidRPr="00A52585">
        <w:rPr>
          <w:rFonts w:hint="cs"/>
          <w:rtl/>
          <w:lang w:bidi="ar-KW"/>
        </w:rPr>
        <w:t xml:space="preserve"> بل صاروا قطاعا للطريق إلى الله وقفوا على طريق المسلمين يكفرون ويبدعون ويفسقون من حيث لا يعلمون</w:t>
      </w:r>
      <w:r w:rsidR="00DB731D" w:rsidRPr="00A52585">
        <w:rPr>
          <w:rFonts w:hint="cs"/>
          <w:rtl/>
          <w:lang w:bidi="ar-KW"/>
        </w:rPr>
        <w:t>،</w:t>
      </w:r>
      <w:r w:rsidR="00777DCB" w:rsidRPr="00A52585">
        <w:rPr>
          <w:rFonts w:hint="cs"/>
          <w:rtl/>
          <w:lang w:bidi="ar-KW"/>
        </w:rPr>
        <w:t xml:space="preserve"> نسأل الله تعالى لنا ولهم الهداية</w:t>
      </w:r>
      <w:r w:rsidR="00DB731D" w:rsidRPr="00A52585">
        <w:rPr>
          <w:rFonts w:hint="cs"/>
          <w:rtl/>
          <w:lang w:bidi="ar-KW"/>
        </w:rPr>
        <w:t>،</w:t>
      </w:r>
      <w:r w:rsidR="00777DCB" w:rsidRPr="00A52585">
        <w:rPr>
          <w:rFonts w:hint="cs"/>
          <w:rtl/>
          <w:lang w:bidi="ar-KW"/>
        </w:rPr>
        <w:t xml:space="preserve"> ومن يرد الله به خيرا يفقه في الدين</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م</w:t>
      </w:r>
      <w:r w:rsidRPr="00A52585">
        <w:rPr>
          <w:rFonts w:hint="cs"/>
          <w:rtl/>
          <w:lang w:bidi="ar-KW"/>
        </w:rPr>
        <w:t>)</w:t>
      </w:r>
      <w:r w:rsidR="00777DCB" w:rsidRPr="00A52585">
        <w:rPr>
          <w:rFonts w:hint="cs"/>
          <w:rtl/>
          <w:lang w:bidi="ar-KW"/>
        </w:rPr>
        <w:t xml:space="preserve"> وهم مع ذلك متناقضون يفسرون الآيات وفق ما رسخ في أذهانهم من الحشو والتمثيل</w:t>
      </w:r>
      <w:r w:rsidR="00DB731D" w:rsidRPr="00A52585">
        <w:rPr>
          <w:rFonts w:hint="cs"/>
          <w:rtl/>
          <w:lang w:bidi="ar-KW"/>
        </w:rPr>
        <w:t>،</w:t>
      </w:r>
      <w:r w:rsidR="00777DCB" w:rsidRPr="00A52585">
        <w:rPr>
          <w:rFonts w:hint="cs"/>
          <w:rtl/>
          <w:lang w:bidi="ar-KW"/>
        </w:rPr>
        <w:t xml:space="preserve"> يؤولون آيات الإحاطة في مثل قوله تعالى </w:t>
      </w:r>
      <w:r w:rsidRPr="00A52585">
        <w:rPr>
          <w:rFonts w:hint="cs"/>
          <w:rtl/>
          <w:lang w:bidi="ar-KW"/>
        </w:rPr>
        <w:t>(</w:t>
      </w:r>
      <w:r w:rsidR="00777DCB" w:rsidRPr="00A52585">
        <w:rPr>
          <w:rFonts w:hint="cs"/>
          <w:rtl/>
          <w:lang w:bidi="ar-KW"/>
        </w:rPr>
        <w:t>والله بكل شيء محيط</w:t>
      </w:r>
      <w:r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وكان الله بكل شيء محيطا</w:t>
      </w:r>
      <w:r w:rsidRPr="00A52585">
        <w:rPr>
          <w:rFonts w:hint="cs"/>
          <w:rtl/>
          <w:lang w:bidi="ar-KW"/>
        </w:rPr>
        <w:t>)</w:t>
      </w:r>
      <w:r w:rsidR="00777DCB" w:rsidRPr="00A52585">
        <w:rPr>
          <w:rFonts w:hint="cs"/>
          <w:rtl/>
          <w:lang w:bidi="ar-KW"/>
        </w:rPr>
        <w:t xml:space="preserve"> بالعلم والقدرة يؤولون آيات القرب في مثل قوله تعالى </w:t>
      </w:r>
      <w:r w:rsidRPr="00A52585">
        <w:rPr>
          <w:rFonts w:hint="cs"/>
          <w:rtl/>
          <w:lang w:bidi="ar-KW"/>
        </w:rPr>
        <w:t>(</w:t>
      </w:r>
      <w:r w:rsidR="00777DCB" w:rsidRPr="00A52585">
        <w:rPr>
          <w:rFonts w:hint="cs"/>
          <w:rtl/>
          <w:lang w:bidi="ar-KW"/>
        </w:rPr>
        <w:t>فإني قريب</w:t>
      </w:r>
      <w:r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ونحن أقرب إليه منكم ولكن لا تبصرون</w:t>
      </w:r>
      <w:r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ونحن أقرب إليه من حبل الوريد</w:t>
      </w:r>
      <w:r w:rsidRPr="00A52585">
        <w:rPr>
          <w:rFonts w:hint="cs"/>
          <w:rtl/>
          <w:lang w:bidi="ar-KW"/>
        </w:rPr>
        <w:t>)</w:t>
      </w:r>
      <w:r w:rsidR="00777DCB" w:rsidRPr="00A52585">
        <w:rPr>
          <w:rFonts w:hint="cs"/>
          <w:rtl/>
          <w:lang w:bidi="ar-KW"/>
        </w:rPr>
        <w:t xml:space="preserve"> بالعلم والقدرة تارة وبالملائكة تارة وذلك صحيح ولكن إذا أتوا إلى آيات الاستواء قالوا مستو على العرش بذاته </w:t>
      </w:r>
      <w:r w:rsidRPr="00A52585">
        <w:rPr>
          <w:rFonts w:hint="cs"/>
          <w:rtl/>
          <w:lang w:bidi="ar-KW"/>
        </w:rPr>
        <w:t>(</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فمن أين جاءوا من كتاب أو سنة أنه </w:t>
      </w:r>
      <w:r w:rsidRPr="00A52585">
        <w:rPr>
          <w:rFonts w:hint="cs"/>
          <w:rtl/>
          <w:lang w:bidi="ar-KW"/>
        </w:rPr>
        <w:t>(</w:t>
      </w:r>
      <w:r w:rsidR="00777DCB" w:rsidRPr="00A52585">
        <w:rPr>
          <w:rFonts w:hint="cs"/>
          <w:rtl/>
          <w:lang w:bidi="ar-KW"/>
        </w:rPr>
        <w:t>بذاته</w:t>
      </w:r>
      <w:r w:rsidRPr="00A52585">
        <w:rPr>
          <w:rFonts w:hint="cs"/>
          <w:rtl/>
          <w:lang w:bidi="ar-KW"/>
        </w:rPr>
        <w:t>)</w:t>
      </w:r>
      <w:r w:rsidR="00DB731D" w:rsidRPr="00A52585">
        <w:rPr>
          <w:rFonts w:hint="cs"/>
          <w:rtl/>
          <w:lang w:bidi="ar-KW"/>
        </w:rPr>
        <w:t>،</w:t>
      </w:r>
      <w:r w:rsidR="00777DCB" w:rsidRPr="00A52585">
        <w:rPr>
          <w:rFonts w:hint="cs"/>
          <w:rtl/>
          <w:lang w:bidi="ar-KW"/>
        </w:rPr>
        <w:t xml:space="preserve"> ولم لا يكون استواء ربوبية وقهر كما أن القرب قرب علم وقدرة</w:t>
      </w:r>
      <w:r w:rsidR="00DB731D" w:rsidRPr="00A52585">
        <w:rPr>
          <w:rFonts w:hint="cs"/>
          <w:rtl/>
          <w:lang w:bidi="ar-KW"/>
        </w:rPr>
        <w:t>،</w:t>
      </w:r>
      <w:r w:rsidRPr="00A52585">
        <w:rPr>
          <w:rFonts w:hint="cs"/>
          <w:rtl/>
          <w:lang w:bidi="ar-KW"/>
        </w:rPr>
        <w:t xml:space="preserve"> </w:t>
      </w:r>
      <w:r w:rsidR="00777DCB" w:rsidRPr="00A52585">
        <w:rPr>
          <w:rFonts w:hint="cs"/>
          <w:rtl/>
          <w:lang w:bidi="ar-KW"/>
        </w:rPr>
        <w:t xml:space="preserve">وقد قال الله تعالى _ مرشدا إياهم أن الأماكن كلها ملك لله _ </w:t>
      </w:r>
      <w:r w:rsidRPr="00A52585">
        <w:rPr>
          <w:rFonts w:hint="cs"/>
          <w:rtl/>
          <w:lang w:bidi="ar-KW"/>
        </w:rPr>
        <w:t>(</w:t>
      </w:r>
      <w:r w:rsidR="00777DCB" w:rsidRPr="00A52585">
        <w:rPr>
          <w:rFonts w:hint="cs"/>
          <w:rtl/>
          <w:lang w:bidi="ar-KW"/>
        </w:rPr>
        <w:t>ولله المشرق والمغرب فأينما تولوا فثم وجه الله إن الله واسع عليم</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تنبيه</w:t>
      </w:r>
      <w:r w:rsidRPr="00A52585">
        <w:rPr>
          <w:rFonts w:hint="cs"/>
          <w:rtl/>
          <w:lang w:bidi="ar-KW"/>
        </w:rPr>
        <w:t>):</w:t>
      </w:r>
      <w:r w:rsidR="00777DCB" w:rsidRPr="00A52585">
        <w:rPr>
          <w:rFonts w:hint="cs"/>
          <w:rtl/>
          <w:lang w:bidi="ar-KW"/>
        </w:rPr>
        <w:t xml:space="preserve"> تنزيه الخالق سبحانه عن المكان ليس معناه أن الله في كل مكان إذ المكان مهما كبر فهو محدود والله تنزه عن الحدود</w:t>
      </w:r>
      <w:r w:rsidR="00DB731D" w:rsidRPr="00A52585">
        <w:rPr>
          <w:rFonts w:hint="cs"/>
          <w:rtl/>
          <w:lang w:bidi="ar-KW"/>
        </w:rPr>
        <w:t>،</w:t>
      </w:r>
      <w:r w:rsidR="00777DCB" w:rsidRPr="00A52585">
        <w:rPr>
          <w:rFonts w:hint="cs"/>
          <w:rtl/>
          <w:lang w:bidi="ar-KW"/>
        </w:rPr>
        <w:t xml:space="preserve"> والإحاطة في قوله تعالى </w:t>
      </w:r>
      <w:r w:rsidRPr="00A52585">
        <w:rPr>
          <w:rFonts w:hint="cs"/>
          <w:rtl/>
          <w:lang w:bidi="ar-KW"/>
        </w:rPr>
        <w:t>{</w:t>
      </w:r>
      <w:r w:rsidR="00777DCB" w:rsidRPr="00A52585">
        <w:rPr>
          <w:rFonts w:hint="cs"/>
          <w:rtl/>
          <w:lang w:bidi="ar-KW"/>
        </w:rPr>
        <w:t>والله بكل شيء محيط</w:t>
      </w:r>
      <w:r w:rsidRPr="00A52585">
        <w:rPr>
          <w:rFonts w:hint="cs"/>
          <w:rtl/>
          <w:lang w:bidi="ar-KW"/>
        </w:rPr>
        <w:t>}</w:t>
      </w:r>
      <w:r w:rsidR="00777DCB" w:rsidRPr="00A52585">
        <w:rPr>
          <w:rFonts w:hint="cs"/>
          <w:rtl/>
          <w:lang w:bidi="ar-KW"/>
        </w:rPr>
        <w:t xml:space="preserve"> ليس معناها أن الكون كله داخل في ذات الله </w:t>
      </w:r>
      <w:r w:rsidRPr="00A52585">
        <w:rPr>
          <w:rFonts w:hint="cs"/>
          <w:rtl/>
          <w:lang w:bidi="ar-KW"/>
        </w:rPr>
        <w:t>(</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إذ تنزه الخالق عن معاني الحلول والاتحاد ومعاني المماسة والاتصال ليس كذاته ذات</w:t>
      </w:r>
      <w:r w:rsidRPr="00A52585">
        <w:rPr>
          <w:rFonts w:hint="cs"/>
          <w:rtl/>
          <w:lang w:bidi="ar-KW"/>
        </w:rPr>
        <w:t xml:space="preserve"> </w:t>
      </w:r>
      <w:r w:rsidR="00777DCB" w:rsidRPr="00A52585">
        <w:rPr>
          <w:rFonts w:hint="cs"/>
          <w:rtl/>
          <w:lang w:bidi="ar-KW"/>
        </w:rPr>
        <w:t>تنزه عن كل ما خطر بقلوب البشر له الكمال والتنزيه المطلقين في ذاته وصفاته وافعاله ليس كمثله شيء ولا نحيط به علما</w:t>
      </w:r>
      <w:r w:rsidR="00DB731D" w:rsidRPr="00A52585">
        <w:rPr>
          <w:rFonts w:hint="cs"/>
          <w:rtl/>
          <w:lang w:bidi="ar-KW"/>
        </w:rPr>
        <w:t>،</w:t>
      </w:r>
      <w:r w:rsidR="00777DCB" w:rsidRPr="00A52585">
        <w:rPr>
          <w:rFonts w:hint="cs"/>
          <w:rtl/>
          <w:lang w:bidi="ar-KW"/>
        </w:rPr>
        <w:t xml:space="preserve"> نعجز عن ادراك ذاته</w:t>
      </w:r>
      <w:r w:rsidR="00DB731D" w:rsidRPr="00A52585">
        <w:rPr>
          <w:rFonts w:hint="cs"/>
          <w:rtl/>
          <w:lang w:bidi="ar-KW"/>
        </w:rPr>
        <w:t>،</w:t>
      </w:r>
      <w:r w:rsidR="00777DCB" w:rsidRPr="00A52585">
        <w:rPr>
          <w:rFonts w:hint="cs"/>
          <w:rtl/>
          <w:lang w:bidi="ar-KW"/>
        </w:rPr>
        <w:t xml:space="preserve"> ولا نستطيع ان نقدره قدره</w:t>
      </w:r>
      <w:r w:rsidR="00DB731D" w:rsidRPr="00A52585">
        <w:rPr>
          <w:rFonts w:hint="cs"/>
          <w:rtl/>
          <w:lang w:bidi="ar-KW"/>
        </w:rPr>
        <w:t>،</w:t>
      </w:r>
      <w:r w:rsidR="00777DCB" w:rsidRPr="00A52585">
        <w:rPr>
          <w:rFonts w:hint="cs"/>
          <w:rtl/>
          <w:lang w:bidi="ar-KW"/>
        </w:rPr>
        <w:t xml:space="preserve"> لا نحصي ثناءً عليه</w:t>
      </w:r>
      <w:r w:rsidR="00DB731D" w:rsidRPr="00A52585">
        <w:rPr>
          <w:rFonts w:hint="cs"/>
          <w:rtl/>
          <w:lang w:bidi="ar-KW"/>
        </w:rPr>
        <w:t>،</w:t>
      </w:r>
      <w:r w:rsidR="00777DCB" w:rsidRPr="00A52585">
        <w:rPr>
          <w:rFonts w:hint="cs"/>
          <w:rtl/>
          <w:lang w:bidi="ar-KW"/>
        </w:rPr>
        <w:t xml:space="preserve"> هو كما أثنى على نفسه</w:t>
      </w:r>
      <w:r w:rsidR="00DB731D" w:rsidRPr="00A52585">
        <w:rPr>
          <w:rFonts w:hint="cs"/>
          <w:rtl/>
          <w:lang w:bidi="ar-KW"/>
        </w:rPr>
        <w:t>،</w:t>
      </w:r>
      <w:r w:rsidRPr="00A52585">
        <w:rPr>
          <w:rFonts w:hint="cs"/>
          <w:rtl/>
          <w:lang w:bidi="ar-KW"/>
        </w:rPr>
        <w:t xml:space="preserve"> </w:t>
      </w:r>
    </w:p>
    <w:p w14:paraId="61265CB4" w14:textId="1C1C2446" w:rsidR="00777DCB" w:rsidRPr="00A52585" w:rsidRDefault="0002035C" w:rsidP="0002035C">
      <w:pPr>
        <w:rPr>
          <w:b/>
          <w:lang w:bidi="ar-KW"/>
        </w:rPr>
      </w:pPr>
      <w:r w:rsidRPr="00A52585">
        <w:rPr>
          <w:rFonts w:cs="Monotype Koufi" w:hint="cs"/>
          <w:rtl/>
          <w:lang w:bidi="ar-KW"/>
        </w:rPr>
        <w:t>[</w:t>
      </w:r>
      <w:r w:rsidR="00777DCB" w:rsidRPr="00A52585">
        <w:rPr>
          <w:rFonts w:cs="Monotype Koufi" w:hint="cs"/>
          <w:rtl/>
          <w:lang w:bidi="ar-KW"/>
        </w:rPr>
        <w:t>4</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الحدوث أو الفناء</w:t>
      </w:r>
      <w:r w:rsidRPr="00A52585">
        <w:rPr>
          <w:rFonts w:cs="Monotype Koufi" w:hint="cs"/>
          <w:rtl/>
          <w:lang w:bidi="ar-KW"/>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الله تعالى له كمال الوجود الأول بلا ابتداء والآخر بلا انتهاء</w:t>
      </w:r>
      <w:r w:rsidR="00DB731D" w:rsidRPr="00A52585">
        <w:rPr>
          <w:rFonts w:hint="cs"/>
          <w:rtl/>
        </w:rPr>
        <w:t>،</w:t>
      </w:r>
      <w:r w:rsidRPr="00A52585">
        <w:rPr>
          <w:rFonts w:hint="cs"/>
          <w:rtl/>
        </w:rPr>
        <w:t xml:space="preserve"> </w:t>
      </w:r>
      <w:r w:rsidR="00777DCB" w:rsidRPr="00A52585">
        <w:rPr>
          <w:rFonts w:hint="cs"/>
          <w:rtl/>
        </w:rPr>
        <w:t>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الْأَوَّلُ وَالْآخِرُ وَالظَّاهِرُ وَالْبَاطِنُ وَهُوَ بِكُلِّ شَيْءٍ عَلِيمٌ</w:t>
      </w:r>
      <w:r w:rsidRPr="00A52585">
        <w:rPr>
          <w:rFonts w:hint="cs"/>
          <w:rtl/>
        </w:rPr>
        <w:t>}</w:t>
      </w:r>
      <w:r w:rsidR="00DB731D" w:rsidRPr="00A52585">
        <w:rPr>
          <w:rFonts w:hint="cs"/>
          <w:rtl/>
        </w:rPr>
        <w:t>،</w:t>
      </w:r>
      <w:r w:rsidR="00777DCB" w:rsidRPr="00A52585">
        <w:rPr>
          <w:rFonts w:hint="cs"/>
          <w:rtl/>
        </w:rPr>
        <w:t xml:space="preserve"> وقوله صلى الله عليه وسلم: </w:t>
      </w:r>
      <w:r w:rsidRPr="00A52585">
        <w:rPr>
          <w:rFonts w:hint="cs"/>
          <w:rtl/>
        </w:rPr>
        <w:t>(</w:t>
      </w:r>
      <w:r w:rsidR="00777DCB" w:rsidRPr="00A52585">
        <w:rPr>
          <w:rFonts w:hint="cs"/>
          <w:rtl/>
        </w:rPr>
        <w:t>اللهم أنت الأوَّلُ فليس قبلَك شيء</w:t>
      </w:r>
      <w:r w:rsidR="00DB731D" w:rsidRPr="00A52585">
        <w:rPr>
          <w:rFonts w:hint="cs"/>
          <w:rtl/>
        </w:rPr>
        <w:t>،</w:t>
      </w:r>
      <w:r w:rsidR="00777DCB" w:rsidRPr="00A52585">
        <w:rPr>
          <w:rFonts w:hint="cs"/>
          <w:rtl/>
        </w:rPr>
        <w:t xml:space="preserve"> وأنت الآخِر فليس بعدَك شيء</w:t>
      </w:r>
      <w:r w:rsidR="00DB731D" w:rsidRPr="00A52585">
        <w:rPr>
          <w:rFonts w:hint="cs"/>
          <w:rtl/>
        </w:rPr>
        <w:t>،</w:t>
      </w:r>
      <w:r w:rsidR="00777DCB" w:rsidRPr="00A52585">
        <w:rPr>
          <w:rFonts w:hint="cs"/>
          <w:rtl/>
        </w:rPr>
        <w:t xml:space="preserve"> وأنت الظاهرُ فليس فوقَكَ شيء</w:t>
      </w:r>
      <w:r w:rsidR="00DB731D" w:rsidRPr="00A52585">
        <w:rPr>
          <w:rFonts w:hint="cs"/>
          <w:rtl/>
        </w:rPr>
        <w:t>،</w:t>
      </w:r>
      <w:r w:rsidR="00777DCB" w:rsidRPr="00A52585">
        <w:rPr>
          <w:rFonts w:hint="cs"/>
          <w:rtl/>
        </w:rPr>
        <w:t xml:space="preserve"> وأنت الباطن فليس دونَك شيء)</w:t>
      </w:r>
      <w:r w:rsidRPr="00A52585">
        <w:rPr>
          <w:rFonts w:hint="cs"/>
          <w:rtl/>
        </w:rPr>
        <w:t xml:space="preserve"> [</w:t>
      </w:r>
      <w:r w:rsidR="00777DCB" w:rsidRPr="00A52585">
        <w:rPr>
          <w:rFonts w:hint="cs"/>
          <w:rtl/>
        </w:rPr>
        <w:t>أخرجه مسلم</w:t>
      </w:r>
      <w:r w:rsidRPr="00A52585">
        <w:rPr>
          <w:rFonts w:hint="cs"/>
          <w:rtl/>
        </w:rPr>
        <w:t>]</w:t>
      </w:r>
      <w:r w:rsidR="00DB731D" w:rsidRPr="00A52585">
        <w:rPr>
          <w:rFonts w:hint="cs"/>
          <w:rtl/>
        </w:rPr>
        <w:t>،</w:t>
      </w:r>
      <w:r w:rsidR="00777DCB" w:rsidRPr="00A52585">
        <w:rPr>
          <w:rFonts w:hint="cs"/>
          <w:rtl/>
        </w:rPr>
        <w:t xml:space="preserve"> فهو سبحانه الأزلي القديم بذاته</w:t>
      </w:r>
      <w:r w:rsidR="00DB731D" w:rsidRPr="00A52585">
        <w:rPr>
          <w:rFonts w:hint="cs"/>
          <w:rtl/>
        </w:rPr>
        <w:t>،</w:t>
      </w:r>
      <w:r w:rsidR="00777DCB" w:rsidRPr="00A52585">
        <w:rPr>
          <w:rFonts w:hint="cs"/>
          <w:rtl/>
        </w:rPr>
        <w:t xml:space="preserve"> منزه عن الحدوث إذ ليس لذاته ابتداء</w:t>
      </w:r>
      <w:r w:rsidR="00DB731D" w:rsidRPr="00A52585">
        <w:rPr>
          <w:rFonts w:hint="cs"/>
          <w:rtl/>
        </w:rPr>
        <w:t>،</w:t>
      </w:r>
      <w:r w:rsidR="00777DCB" w:rsidRPr="00A52585">
        <w:rPr>
          <w:rFonts w:hint="cs"/>
          <w:rtl/>
        </w:rPr>
        <w:t xml:space="preserve"> وهو سبحانه الأبدي الباقي بذاته إذ ليس لذاته انتهاء</w:t>
      </w:r>
      <w:r w:rsidR="00DB731D" w:rsidRPr="00A52585">
        <w:rPr>
          <w:rFonts w:hint="cs"/>
          <w:rtl/>
        </w:rPr>
        <w:t>،</w:t>
      </w:r>
      <w:r w:rsidR="00777DCB" w:rsidRPr="00A52585">
        <w:rPr>
          <w:rFonts w:hint="cs"/>
          <w:rtl/>
        </w:rPr>
        <w:t xml:space="preserve"> له سبحانه كمال الحياة</w:t>
      </w:r>
      <w:r w:rsidR="00DB731D" w:rsidRPr="00A52585">
        <w:rPr>
          <w:rFonts w:hint="cs"/>
          <w:rtl/>
        </w:rPr>
        <w:t>،</w:t>
      </w:r>
      <w:r w:rsidR="00777DCB" w:rsidRPr="00A52585">
        <w:rPr>
          <w:rFonts w:hint="cs"/>
          <w:rtl/>
        </w:rPr>
        <w:t xml:space="preserve"> فهي حياة أزلية ذاتية ليس لها ابتداء (</w:t>
      </w:r>
      <w:r w:rsidRPr="00A52585">
        <w:rPr>
          <w:rFonts w:hint="cs"/>
          <w:rtl/>
        </w:rPr>
        <w:t>(</w:t>
      </w:r>
      <w:r w:rsidR="00777DCB" w:rsidRPr="00A52585">
        <w:rPr>
          <w:rFonts w:hint="cs"/>
          <w:rtl/>
        </w:rPr>
        <w:t>الاول فليس قبلك شيء</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وهي حياة أبدية ذاتية باقية ليس لها انتهاء (</w:t>
      </w:r>
      <w:r w:rsidRPr="00A52585">
        <w:rPr>
          <w:rFonts w:hint="cs"/>
          <w:rtl/>
        </w:rPr>
        <w:t>(</w:t>
      </w:r>
      <w:r w:rsidR="00777DCB" w:rsidRPr="00A52585">
        <w:rPr>
          <w:rFonts w:hint="cs"/>
          <w:rtl/>
        </w:rPr>
        <w:t>الآخر فليس بعدك شيء</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فهو ال</w:t>
      </w:r>
      <w:r w:rsidR="00777DCB" w:rsidRPr="00A52585">
        <w:rPr>
          <w:rFonts w:hint="cs"/>
          <w:rtl/>
          <w:lang w:bidi="ar-QA"/>
        </w:rPr>
        <w:t>حي</w:t>
      </w:r>
      <w:r w:rsidR="00777DCB" w:rsidRPr="00A52585">
        <w:rPr>
          <w:rFonts w:hint="cs"/>
          <w:rtl/>
        </w:rPr>
        <w:t xml:space="preserve"> قبل كل </w:t>
      </w:r>
      <w:r w:rsidR="00777DCB" w:rsidRPr="00A52585">
        <w:rPr>
          <w:rFonts w:hint="cs"/>
          <w:rtl/>
          <w:lang w:bidi="ar-QA"/>
        </w:rPr>
        <w:t xml:space="preserve">حي وهو الحي </w:t>
      </w:r>
      <w:r w:rsidR="00777DCB" w:rsidRPr="00A52585">
        <w:rPr>
          <w:rFonts w:hint="cs"/>
          <w:rtl/>
        </w:rPr>
        <w:t>الذي لا يموت</w:t>
      </w:r>
      <w:r w:rsidR="00DB731D" w:rsidRPr="00A52585">
        <w:rPr>
          <w:rFonts w:hint="cs"/>
          <w:rtl/>
        </w:rPr>
        <w:t>،</w:t>
      </w:r>
      <w:r w:rsidR="00777DCB" w:rsidRPr="00A52585">
        <w:rPr>
          <w:rFonts w:hint="cs"/>
          <w:rtl/>
        </w:rPr>
        <w:t xml:space="preserve"> وهو الحي بعد كل </w:t>
      </w:r>
      <w:proofErr w:type="spellStart"/>
      <w:r w:rsidR="00777DCB" w:rsidRPr="00A52585">
        <w:rPr>
          <w:rFonts w:hint="cs"/>
          <w:rtl/>
        </w:rPr>
        <w:lastRenderedPageBreak/>
        <w:t>ميت</w:t>
      </w:r>
      <w:r w:rsidR="00DB731D" w:rsidRPr="00A52585">
        <w:rPr>
          <w:rFonts w:hint="cs"/>
          <w:rtl/>
        </w:rPr>
        <w:t>،</w:t>
      </w:r>
      <w:r w:rsidR="00777DCB" w:rsidRPr="00A52585">
        <w:rPr>
          <w:rFonts w:hint="cs"/>
          <w:rtl/>
        </w:rPr>
        <w:t>حياته</w:t>
      </w:r>
      <w:proofErr w:type="spellEnd"/>
      <w:r w:rsidR="00777DCB" w:rsidRPr="00A52585">
        <w:rPr>
          <w:rFonts w:hint="cs"/>
          <w:rtl/>
        </w:rPr>
        <w:t xml:space="preserve"> سبحانه تامة كاملة منزهة عن السنة والنوم والموت والفناء،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 لَا تَأْخُذُهُ سِنَةٌ وَلَا نَوْمٌ لَهُ مَا فِي السَّمَوَاتِ وَمَا فِي الْأَرْضِ</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 xml:space="preserve">: </w:t>
      </w:r>
      <w:r w:rsidR="00777DCB" w:rsidRPr="00A52585">
        <w:rPr>
          <w:rFonts w:hint="cs"/>
          <w:rtl/>
        </w:rPr>
        <w:t>255</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snapToGrid w:val="0"/>
          <w:rtl/>
        </w:rPr>
        <w:t>{</w:t>
      </w:r>
      <w:r w:rsidR="00777DCB" w:rsidRPr="00A52585">
        <w:rPr>
          <w:rFonts w:hint="cs"/>
          <w:rtl/>
        </w:rPr>
        <w:t>وَتَوَكَّلْ عَلَى الْحَيِّ الَّذِي لَا يَمُوتُ وَسَبِّحْ بِحَمْدِهِ وَكَفَى بِهِ بِذُنُوبِ عِبَادِهِ خَبِيرًا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الفرقان</w:t>
      </w:r>
      <w:r w:rsidRPr="00A52585">
        <w:rPr>
          <w:rFonts w:hint="cs"/>
          <w:rtl/>
        </w:rPr>
        <w:t>:</w:t>
      </w:r>
      <w:r w:rsidR="00777DCB" w:rsidRPr="00A52585">
        <w:rPr>
          <w:rFonts w:hint="cs"/>
          <w:rtl/>
        </w:rPr>
        <w:t xml:space="preserve"> 58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شَيْءٍ هَالِكٌ إِلَّا وَجْهَهُ لَهُ الْحُكْمُ وَإِلَيْهِ تُرْجَعُونَ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القصص</w:t>
      </w:r>
      <w:r w:rsidRPr="00A52585">
        <w:rPr>
          <w:rFonts w:hint="cs"/>
          <w:rtl/>
        </w:rPr>
        <w:t>:</w:t>
      </w:r>
      <w:r w:rsidR="00777DCB" w:rsidRPr="00A52585">
        <w:rPr>
          <w:rFonts w:hint="cs"/>
          <w:rtl/>
        </w:rPr>
        <w:t xml:space="preserve"> 88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مَنْ عَلَيْهَا فَانٍ * وَيَبْقَى وَجْهُ رَبِّكَ ذُو الْجَلَالِ وَالْإِكْرَامِ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26</w:t>
      </w:r>
      <w:r w:rsidR="00DB731D"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من تنزيه الله تعالى عن الحدوث والفناء</w:t>
      </w:r>
      <w:r w:rsidR="00DB731D" w:rsidRPr="00A52585">
        <w:rPr>
          <w:rFonts w:hint="cs"/>
          <w:rtl/>
        </w:rPr>
        <w:t>،</w:t>
      </w:r>
      <w:r w:rsidR="00777DCB" w:rsidRPr="00A52585">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DB731D" w:rsidRPr="00A52585">
        <w:rPr>
          <w:rFonts w:hint="cs"/>
          <w:rtl/>
        </w:rPr>
        <w:t>،</w:t>
      </w:r>
      <w:r w:rsidR="00777DCB" w:rsidRPr="00A52585">
        <w:rPr>
          <w:rFonts w:hint="cs"/>
          <w:rtl/>
        </w:rPr>
        <w:t xml:space="preserve"> وذلك لأنه في علم الأصول فإن القديم الذاتي لا يقبل الحدوث</w:t>
      </w:r>
      <w:r w:rsidR="00DB731D" w:rsidRPr="00A52585">
        <w:rPr>
          <w:rFonts w:hint="cs"/>
          <w:rtl/>
        </w:rPr>
        <w:t>،</w:t>
      </w:r>
      <w:r w:rsidR="00777DCB" w:rsidRPr="00A52585">
        <w:rPr>
          <w:rFonts w:hint="cs"/>
          <w:rtl/>
        </w:rPr>
        <w:t xml:space="preserve"> ولو قبل الحدوث لم يُؤمن عليه من الفناء</w:t>
      </w:r>
      <w:r w:rsidR="00DB731D" w:rsidRPr="00A52585">
        <w:rPr>
          <w:rFonts w:hint="cs"/>
          <w:rtl/>
        </w:rPr>
        <w:t>،</w:t>
      </w:r>
      <w:r w:rsidR="00777DCB" w:rsidRPr="00A52585">
        <w:rPr>
          <w:rFonts w:hint="cs"/>
          <w:rtl/>
        </w:rPr>
        <w:t xml:space="preserve"> والحوادث نقص يضاد الكمال المتمثل في القدم الذاتي للذات</w:t>
      </w:r>
      <w:r w:rsidR="00DB731D" w:rsidRPr="00A52585">
        <w:rPr>
          <w:rFonts w:hint="cs"/>
          <w:rtl/>
        </w:rPr>
        <w:t>،</w:t>
      </w:r>
      <w:r w:rsidR="00777DCB" w:rsidRPr="00A52585">
        <w:rPr>
          <w:rFonts w:hint="cs"/>
          <w:rtl/>
        </w:rPr>
        <w:t xml:space="preserve"> وسوف يأتي زيادة بيان للمسألة عند الحديث على القاعدة الثامنة </w:t>
      </w:r>
      <w:r w:rsidRPr="00A52585">
        <w:rPr>
          <w:rFonts w:hint="cs"/>
          <w:rtl/>
        </w:rPr>
        <w:t>(</w:t>
      </w:r>
      <w:r w:rsidR="00777DCB" w:rsidRPr="00A52585">
        <w:rPr>
          <w:rFonts w:hint="cs"/>
          <w:rtl/>
        </w:rPr>
        <w:t xml:space="preserve">تنزيه الله تعالى </w:t>
      </w:r>
      <w:r w:rsidR="00777DCB" w:rsidRPr="00A52585">
        <w:rPr>
          <w:rFonts w:hint="cs"/>
          <w:rtl/>
          <w:lang w:bidi="ar-KW"/>
        </w:rPr>
        <w:t>عن التغير والحدوث و عن حلول الحوادث بذاته تقدس وتعالى لأنها صفات المخلوق</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p>
    <w:p w14:paraId="17BF509E" w14:textId="5331FBFB" w:rsidR="00777DCB" w:rsidRPr="00A52585" w:rsidRDefault="0002035C" w:rsidP="0002035C">
      <w:pPr>
        <w:rPr>
          <w:rFonts w:cs="Monotype Koufi"/>
          <w:b/>
          <w:rtl/>
        </w:rPr>
      </w:pPr>
      <w:r w:rsidRPr="00A52585">
        <w:rPr>
          <w:rFonts w:cs="Monotype Koufi" w:hint="cs"/>
          <w:rtl/>
          <w:lang w:bidi="ar-KW"/>
        </w:rPr>
        <w:t>[</w:t>
      </w:r>
      <w:r w:rsidR="00777DCB" w:rsidRPr="00A52585">
        <w:rPr>
          <w:rFonts w:cs="Monotype Koufi" w:hint="cs"/>
          <w:rtl/>
          <w:lang w:bidi="ar-KW"/>
        </w:rPr>
        <w:t>5</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التغير والحدوث وعن قبول الحوادث</w:t>
      </w:r>
      <w:r w:rsidRPr="00A52585">
        <w:rPr>
          <w:rFonts w:cs="Monotype Koufi" w:hint="cs"/>
          <w:rtl/>
          <w:lang w:bidi="ar-KW"/>
        </w:rPr>
        <w:t xml:space="preserve">: </w:t>
      </w:r>
      <w:r w:rsidR="00777DCB" w:rsidRPr="00A52585">
        <w:rPr>
          <w:rFonts w:hint="cs"/>
          <w:bCs/>
          <w:rtl/>
          <w:lang w:bidi="ar-KW"/>
        </w:rPr>
        <w:t>من الأدلة القرآنية على تنزيه الله تعالى عن التغير والحدوث و عن حلول الحوادث بذاته تقدس وتعالى</w:t>
      </w:r>
      <w:r w:rsidRPr="00A52585">
        <w:rPr>
          <w:rFonts w:hint="cs"/>
          <w:rtl/>
          <w:lang w:bidi="ar-KW"/>
        </w:rPr>
        <w:t>:</w:t>
      </w:r>
      <w:r w:rsidR="00777DCB" w:rsidRPr="00A52585">
        <w:rPr>
          <w:rFonts w:hint="cs"/>
          <w:rtl/>
          <w:lang w:bidi="ar-KW"/>
        </w:rPr>
        <w:t xml:space="preserve"> </w:t>
      </w:r>
      <w:r w:rsidR="00777DCB" w:rsidRPr="00A52585">
        <w:rPr>
          <w:rFonts w:hint="cs"/>
          <w:rtl/>
        </w:rPr>
        <w:t xml:space="preserve">قوله تعالى </w:t>
      </w:r>
      <w:r w:rsidRPr="00A52585">
        <w:rPr>
          <w:rFonts w:hint="cs"/>
          <w:rtl/>
        </w:rPr>
        <w:t>{</w:t>
      </w:r>
      <w:r w:rsidR="00777DCB" w:rsidRPr="00A52585">
        <w:rPr>
          <w:rFonts w:hint="cs"/>
          <w:bCs/>
          <w:rtl/>
        </w:rPr>
        <w:t>ليس كمثلِه شيء</w:t>
      </w:r>
      <w:r w:rsidRPr="00A52585">
        <w:rPr>
          <w:rFonts w:hint="cs"/>
          <w:bCs/>
          <w:rtl/>
        </w:rPr>
        <w:t>}</w:t>
      </w:r>
      <w:r w:rsidR="00777DCB" w:rsidRPr="00A52585">
        <w:rPr>
          <w:rFonts w:hint="cs"/>
          <w:rtl/>
        </w:rPr>
        <w:t xml:space="preserve"> [سورة الشورى</w:t>
      </w:r>
      <w:r w:rsidRPr="00A52585">
        <w:rPr>
          <w:rFonts w:hint="cs"/>
          <w:rtl/>
        </w:rPr>
        <w:t>:</w:t>
      </w:r>
      <w:r w:rsidR="00777DCB" w:rsidRPr="00A52585">
        <w:rPr>
          <w:rFonts w:hint="cs"/>
          <w:rtl/>
        </w:rPr>
        <w:t xml:space="preserve"> 11]، في هذه الآية نفي المشابهة والمماثلة بين الله تعالى وخلقه ومعناه أن الله تعالى لا يشبه شيئًا من خلقه بوجه من الوجوه، </w:t>
      </w:r>
      <w:r w:rsidR="00777DCB" w:rsidRPr="00A52585">
        <w:rPr>
          <w:rFonts w:hint="cs"/>
          <w:rtl/>
          <w:lang w:bidi="ar-KW"/>
        </w:rPr>
        <w:t>ومنها أنه 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t>{</w:t>
      </w:r>
      <w:r w:rsidR="00777DCB" w:rsidRPr="00A52585">
        <w:rPr>
          <w:rFonts w:hint="cs"/>
          <w:bCs/>
          <w:rtl/>
        </w:rPr>
        <w:t>وللهِ المثَلُ الأعلى</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60] أي الوصف الذي لا يشبه وصف غيره، فلا يوصف ربنا عزَّ وجلَّ بصفات المخلوقين من </w:t>
      </w:r>
      <w:r w:rsidR="00777DCB" w:rsidRPr="00A52585">
        <w:rPr>
          <w:rFonts w:hint="cs"/>
          <w:rtl/>
          <w:lang w:bidi="ar-KW"/>
        </w:rPr>
        <w:t>التغير والحدوث وقبول الحوادث</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t>{</w:t>
      </w:r>
      <w:r w:rsidR="00777DCB" w:rsidRPr="00A52585">
        <w:rPr>
          <w:rFonts w:hint="cs"/>
          <w:bCs/>
          <w:rtl/>
        </w:rPr>
        <w:t>فلا تضربوا للهِ الأمثال</w:t>
      </w:r>
      <w:r w:rsidRPr="00A52585">
        <w:rPr>
          <w:rFonts w:hint="cs"/>
          <w:bCs/>
          <w:rtl/>
        </w:rPr>
        <w:t xml:space="preserve">} </w:t>
      </w:r>
      <w:r w:rsidR="00777DCB" w:rsidRPr="00A52585">
        <w:rPr>
          <w:rFonts w:hint="cs"/>
          <w:rtl/>
        </w:rPr>
        <w:t>[سورة النحل</w:t>
      </w:r>
      <w:r w:rsidRPr="00A52585">
        <w:rPr>
          <w:rFonts w:hint="cs"/>
          <w:rtl/>
        </w:rPr>
        <w:t>:</w:t>
      </w:r>
      <w:r w:rsidR="00777DCB" w:rsidRPr="00A52585">
        <w:rPr>
          <w:rFonts w:hint="cs"/>
          <w:rtl/>
        </w:rPr>
        <w:t xml:space="preserve"> 74]، أي لا تجعلوا لله الشبيهَ والمِثْل فإن اللهَ تعالى لا شبيه له ولا مثيل له، فذاتُه سبحانه لا يشبه الذواتِ</w:t>
      </w:r>
      <w:r w:rsidR="00DB731D" w:rsidRPr="00A52585">
        <w:rPr>
          <w:rFonts w:hint="cs"/>
          <w:rtl/>
        </w:rPr>
        <w:t>،</w:t>
      </w:r>
      <w:r w:rsidR="00777DCB" w:rsidRPr="00A52585">
        <w:rPr>
          <w:rFonts w:hint="cs"/>
          <w:rtl/>
        </w:rPr>
        <w:t xml:space="preserve"> و</w:t>
      </w:r>
      <w:r w:rsidR="00777DCB" w:rsidRPr="00A52585">
        <w:rPr>
          <w:rFonts w:hint="cs"/>
          <w:rtl/>
          <w:lang w:bidi="ar-KW"/>
        </w:rPr>
        <w:t>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Pr="00A52585">
        <w:rPr>
          <w:rFonts w:hint="cs"/>
          <w:bCs/>
          <w:rtl/>
        </w:rPr>
        <w:t xml:space="preserve"> {</w:t>
      </w:r>
      <w:r w:rsidR="00777DCB" w:rsidRPr="00A52585">
        <w:rPr>
          <w:rFonts w:hint="cs"/>
          <w:bCs/>
          <w:rtl/>
        </w:rPr>
        <w:t>هل تعلمُ لهُ سميًّا</w:t>
      </w:r>
      <w:r w:rsidRPr="00A52585">
        <w:rPr>
          <w:rFonts w:hint="cs"/>
          <w:bCs/>
          <w:rtl/>
        </w:rPr>
        <w:t xml:space="preserve">} </w:t>
      </w:r>
      <w:r w:rsidR="00777DCB" w:rsidRPr="00A52585">
        <w:rPr>
          <w:rFonts w:hint="cs"/>
          <w:rtl/>
        </w:rPr>
        <w:t>[سورة مريم</w:t>
      </w:r>
      <w:r w:rsidRPr="00A52585">
        <w:rPr>
          <w:rFonts w:hint="cs"/>
          <w:rtl/>
        </w:rPr>
        <w:t>:</w:t>
      </w:r>
      <w:r w:rsidR="00777DCB" w:rsidRPr="00A52585">
        <w:rPr>
          <w:rFonts w:hint="cs"/>
          <w:rtl/>
        </w:rPr>
        <w:t xml:space="preserve"> 65</w:t>
      </w:r>
      <w:r w:rsidRPr="00A52585">
        <w:rPr>
          <w:rFonts w:hint="cs"/>
          <w:rtl/>
        </w:rPr>
        <w:t>]</w:t>
      </w:r>
      <w:r w:rsidR="00777DCB" w:rsidRPr="00A52585">
        <w:rPr>
          <w:rFonts w:hint="cs"/>
          <w:rtl/>
        </w:rPr>
        <w:t xml:space="preserve"> أي مِثلاً، فالله تعالى لا مِثْلَ له ولا شبيه ولا نظير، فذاتُه سبحانه لا يشبه الذواتِ و</w:t>
      </w:r>
      <w:r w:rsidR="00777DCB" w:rsidRPr="00A52585">
        <w:rPr>
          <w:rFonts w:hint="cs"/>
          <w:rtl/>
          <w:lang w:bidi="ar-KW"/>
        </w:rPr>
        <w:t>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t>{</w:t>
      </w:r>
      <w:r w:rsidR="00777DCB" w:rsidRPr="00A52585">
        <w:rPr>
          <w:rFonts w:hint="cs"/>
          <w:bCs/>
          <w:rtl/>
        </w:rPr>
        <w:t>وَلَمْ يَكُن لَّهُ كُفُوًا أَحَدٌ</w:t>
      </w:r>
      <w:r w:rsidRPr="00A52585">
        <w:rPr>
          <w:rFonts w:hint="cs"/>
          <w:bCs/>
          <w:rtl/>
        </w:rPr>
        <w:t>}</w:t>
      </w:r>
      <w:r w:rsidR="00777DCB" w:rsidRPr="00A52585">
        <w:rPr>
          <w:rFonts w:hint="cs"/>
          <w:rtl/>
        </w:rPr>
        <w:t xml:space="preserve"> [سورة الإخلاص</w:t>
      </w:r>
      <w:r w:rsidRPr="00A52585">
        <w:rPr>
          <w:rFonts w:hint="cs"/>
          <w:rtl/>
        </w:rPr>
        <w:t>:</w:t>
      </w:r>
      <w:r w:rsidR="00777DCB" w:rsidRPr="00A52585">
        <w:rPr>
          <w:rFonts w:hint="cs"/>
          <w:rtl/>
        </w:rPr>
        <w:t xml:space="preserve"> 4] أي لا نظير له بوجه من الوجوه، ولا كفء له ولا شبيه</w:t>
      </w:r>
      <w:r w:rsidR="00DB731D" w:rsidRPr="00A52585">
        <w:rPr>
          <w:rFonts w:hint="cs"/>
          <w:rtl/>
        </w:rPr>
        <w:t>،</w:t>
      </w:r>
      <w:r w:rsidR="00777DCB" w:rsidRPr="00A52585">
        <w:rPr>
          <w:rFonts w:hint="cs"/>
          <w:rtl/>
        </w:rPr>
        <w:t xml:space="preserve"> فلا يوصف ربنا عزَّ وجلَّ بصفات المخلوقين من </w:t>
      </w:r>
      <w:r w:rsidR="00777DCB" w:rsidRPr="00A52585">
        <w:rPr>
          <w:rFonts w:hint="cs"/>
          <w:rtl/>
          <w:lang w:bidi="ar-KW"/>
        </w:rPr>
        <w:t>التغير والحدوث وقبول الحوادث</w:t>
      </w:r>
      <w:r w:rsidR="00DB731D" w:rsidRPr="00A52585">
        <w:rPr>
          <w:rFonts w:hint="cs"/>
          <w:rtl/>
          <w:lang w:bidi="ar-KW"/>
        </w:rPr>
        <w:t>،</w:t>
      </w:r>
      <w:r w:rsidR="00777DCB" w:rsidRPr="00A52585">
        <w:rPr>
          <w:rFonts w:hint="cs"/>
          <w:rtl/>
          <w:lang w:bidi="ar-KW"/>
        </w:rPr>
        <w:t xml:space="preserve"> </w:t>
      </w:r>
      <w:r w:rsidRPr="00A52585">
        <w:rPr>
          <w:rFonts w:hint="cs"/>
          <w:bCs/>
          <w:rtl/>
          <w:lang w:bidi="ar-KW"/>
        </w:rPr>
        <w:t>[</w:t>
      </w:r>
      <w:r w:rsidR="00777DCB" w:rsidRPr="00A52585">
        <w:rPr>
          <w:rFonts w:hint="cs"/>
          <w:bCs/>
          <w:rtl/>
          <w:lang w:bidi="ar-KW"/>
        </w:rPr>
        <w:t>ومن الأدلة كذلك</w:t>
      </w:r>
      <w:r w:rsidRPr="00A52585">
        <w:rPr>
          <w:rFonts w:hint="cs"/>
          <w:bCs/>
          <w:rtl/>
          <w:lang w:bidi="ar-KW"/>
        </w:rPr>
        <w:t>:</w:t>
      </w:r>
      <w:r w:rsidR="00777DCB" w:rsidRPr="00A52585">
        <w:rPr>
          <w:rFonts w:hint="cs"/>
          <w:bCs/>
          <w:rtl/>
          <w:lang w:bidi="ar-KW"/>
        </w:rPr>
        <w:t xml:space="preserve"> </w:t>
      </w:r>
      <w:r w:rsidR="00777DCB" w:rsidRPr="00A52585">
        <w:rPr>
          <w:rFonts w:hint="cs"/>
          <w:bCs/>
          <w:rtl/>
        </w:rPr>
        <w:t>سورة الإخلاص</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rPr>
        <w:t xml:space="preserve">قل هو الله أحد الله الصمد لم يلد ولم يولد ولم يكن له </w:t>
      </w:r>
      <w:r w:rsidR="00777DCB" w:rsidRPr="00A52585">
        <w:rPr>
          <w:rFonts w:hint="cs"/>
          <w:rtl/>
        </w:rPr>
        <w:lastRenderedPageBreak/>
        <w:t>كفواً أحد</w:t>
      </w:r>
      <w:r w:rsidRPr="00A52585">
        <w:rPr>
          <w:rFonts w:hint="cs"/>
          <w:rtl/>
        </w:rPr>
        <w:t>}</w:t>
      </w:r>
      <w:r w:rsidR="00DB731D" w:rsidRPr="00A52585">
        <w:rPr>
          <w:rFonts w:hint="cs"/>
          <w:rtl/>
        </w:rPr>
        <w:t>،</w:t>
      </w:r>
      <w:r w:rsidR="00777DCB" w:rsidRPr="00A52585">
        <w:rPr>
          <w:rFonts w:hint="cs"/>
          <w:rtl/>
        </w:rPr>
        <w:t xml:space="preserve"> وهذه السورة يجب أن تكون من المحكمات</w:t>
      </w:r>
      <w:r w:rsidR="00DB731D" w:rsidRPr="00A52585">
        <w:rPr>
          <w:rFonts w:hint="cs"/>
          <w:rtl/>
        </w:rPr>
        <w:t>،</w:t>
      </w:r>
      <w:r w:rsidR="00777DCB" w:rsidRPr="00A52585">
        <w:rPr>
          <w:rFonts w:hint="cs"/>
          <w:rtl/>
        </w:rPr>
        <w:t xml:space="preserve"> لا من المتشابهات لأن النبي صلى الله عليه وسلم جعلها ثلث القرآن وهي تشتمل على خمسة أصول</w:t>
      </w:r>
      <w:r w:rsidRPr="00A52585">
        <w:rPr>
          <w:rFonts w:hint="cs"/>
          <w:rtl/>
        </w:rPr>
        <w:t>:</w:t>
      </w:r>
      <w:r w:rsidR="00777DCB" w:rsidRPr="00A52585">
        <w:rPr>
          <w:rFonts w:hint="cs"/>
          <w:rtl/>
        </w:rPr>
        <w:t xml:space="preserve"> وصف الله تعالى بالأحدية </w:t>
      </w:r>
      <w:r w:rsidRPr="00A52585">
        <w:rPr>
          <w:rFonts w:hint="cs"/>
          <w:rtl/>
        </w:rPr>
        <w:t>(</w:t>
      </w:r>
      <w:r w:rsidR="00777DCB" w:rsidRPr="00A52585">
        <w:rPr>
          <w:rFonts w:hint="cs"/>
          <w:rtl/>
        </w:rPr>
        <w:t>الله أحد</w:t>
      </w:r>
      <w:r w:rsidRPr="00A52585">
        <w:rPr>
          <w:rFonts w:hint="cs"/>
          <w:rtl/>
        </w:rPr>
        <w:t>)</w:t>
      </w:r>
      <w:r w:rsidR="00DB731D" w:rsidRPr="00A52585">
        <w:rPr>
          <w:rFonts w:hint="cs"/>
          <w:rtl/>
        </w:rPr>
        <w:t>،</w:t>
      </w:r>
      <w:r w:rsidR="00777DCB" w:rsidRPr="00A52585">
        <w:rPr>
          <w:rFonts w:hint="cs"/>
          <w:rtl/>
        </w:rPr>
        <w:t xml:space="preserve"> والصمدية </w:t>
      </w:r>
      <w:r w:rsidRPr="00A52585">
        <w:rPr>
          <w:rFonts w:hint="cs"/>
          <w:rtl/>
        </w:rPr>
        <w:t>(</w:t>
      </w:r>
      <w:r w:rsidR="00777DCB" w:rsidRPr="00A52585">
        <w:rPr>
          <w:rFonts w:hint="cs"/>
          <w:rtl/>
        </w:rPr>
        <w:t>الله الصمد</w:t>
      </w:r>
      <w:r w:rsidRPr="00A52585">
        <w:rPr>
          <w:rFonts w:hint="cs"/>
          <w:rtl/>
        </w:rPr>
        <w:t>)</w:t>
      </w:r>
      <w:r w:rsidR="00DB731D" w:rsidRPr="00A52585">
        <w:rPr>
          <w:rFonts w:hint="cs"/>
          <w:rtl/>
        </w:rPr>
        <w:t>،</w:t>
      </w:r>
      <w:r w:rsidR="00777DCB" w:rsidRPr="00A52585">
        <w:rPr>
          <w:rFonts w:hint="cs"/>
          <w:rtl/>
        </w:rPr>
        <w:t xml:space="preserve"> وتنزيهه سبحانه عن حلول الحوادث </w:t>
      </w:r>
      <w:r w:rsidRPr="00A52585">
        <w:rPr>
          <w:rFonts w:hint="cs"/>
          <w:rtl/>
        </w:rPr>
        <w:t>(</w:t>
      </w:r>
      <w:r w:rsidR="00777DCB" w:rsidRPr="00A52585">
        <w:rPr>
          <w:rFonts w:hint="cs"/>
          <w:rtl/>
        </w:rPr>
        <w:t>لم يلد</w:t>
      </w:r>
      <w:r w:rsidRPr="00A52585">
        <w:rPr>
          <w:rFonts w:hint="cs"/>
          <w:rtl/>
        </w:rPr>
        <w:t>)</w:t>
      </w:r>
      <w:r w:rsidR="00DB731D" w:rsidRPr="00A52585">
        <w:rPr>
          <w:rFonts w:hint="cs"/>
          <w:rtl/>
        </w:rPr>
        <w:t>،</w:t>
      </w:r>
      <w:r w:rsidR="00777DCB" w:rsidRPr="00A52585">
        <w:rPr>
          <w:rFonts w:hint="cs"/>
          <w:rtl/>
        </w:rPr>
        <w:t xml:space="preserve"> وعن الحدوث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وعن مماثلة الخلائق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فقوله تعالى </w:t>
      </w:r>
      <w:r w:rsidRPr="00A52585">
        <w:rPr>
          <w:rFonts w:hint="cs"/>
          <w:rtl/>
        </w:rPr>
        <w:t>(</w:t>
      </w:r>
      <w:r w:rsidR="00777DCB" w:rsidRPr="00A52585">
        <w:rPr>
          <w:rFonts w:hint="cs"/>
          <w:bCs/>
          <w:rtl/>
        </w:rPr>
        <w:t>الله أحد</w:t>
      </w:r>
      <w:r w:rsidRPr="00A52585">
        <w:rPr>
          <w:rFonts w:hint="cs"/>
          <w:rtl/>
        </w:rPr>
        <w:t>)</w:t>
      </w:r>
      <w:r w:rsidR="00777DCB" w:rsidRPr="00A52585">
        <w:rPr>
          <w:rFonts w:hint="cs"/>
          <w:rtl/>
        </w:rPr>
        <w:t xml:space="preserve"> يدل على الأحدية واستحالة تقدير الانقسام في ذاته تقدس وتنزه</w:t>
      </w:r>
      <w:r w:rsidR="00DB731D" w:rsidRPr="00A52585">
        <w:rPr>
          <w:rFonts w:hint="cs"/>
          <w:rtl/>
        </w:rPr>
        <w:t>،</w:t>
      </w:r>
      <w:r w:rsidR="00777DCB" w:rsidRPr="00A52585">
        <w:rPr>
          <w:rFonts w:hint="cs"/>
          <w:rtl/>
        </w:rPr>
        <w:t xml:space="preserve"> ويدل على نفى الأجزاء المتمثل في نفي التركيب والتأليف في الذات فلو كان تعالى مركبا من جوارح وأجزاء</w:t>
      </w:r>
      <w:r w:rsidRPr="00A52585">
        <w:rPr>
          <w:rFonts w:hint="cs"/>
          <w:rtl/>
        </w:rPr>
        <w:t xml:space="preserve"> </w:t>
      </w:r>
      <w:r w:rsidR="00777DCB" w:rsidRPr="00A52585">
        <w:rPr>
          <w:rFonts w:hint="cs"/>
          <w:rtl/>
        </w:rPr>
        <w:t>لم يكن أحدا</w:t>
      </w:r>
      <w:r w:rsidR="00DB731D" w:rsidRPr="00A52585">
        <w:rPr>
          <w:rFonts w:hint="cs"/>
          <w:rtl/>
        </w:rPr>
        <w:t>،</w:t>
      </w:r>
      <w:r w:rsidR="00777DCB" w:rsidRPr="00A52585">
        <w:rPr>
          <w:rFonts w:hint="cs"/>
          <w:rtl/>
        </w:rPr>
        <w:t xml:space="preserve"> لأن أجزاؤه توجب وقوع الكثرة </w:t>
      </w:r>
      <w:proofErr w:type="spellStart"/>
      <w:r w:rsidR="00777DCB" w:rsidRPr="00A52585">
        <w:rPr>
          <w:rFonts w:hint="cs"/>
          <w:rtl/>
        </w:rPr>
        <w:t>فى</w:t>
      </w:r>
      <w:proofErr w:type="spellEnd"/>
      <w:r w:rsidR="00777DCB" w:rsidRPr="00A52585">
        <w:rPr>
          <w:rFonts w:hint="cs"/>
          <w:rtl/>
        </w:rPr>
        <w:t xml:space="preserve"> ذات الله تعالى والكثرة تنافي الأحدية في ذات الله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الله الصمد</w:t>
      </w:r>
      <w:r w:rsidRPr="00A52585">
        <w:rPr>
          <w:rFonts w:hint="cs"/>
          <w:rtl/>
        </w:rPr>
        <w:t>}</w:t>
      </w:r>
      <w:r w:rsidR="00777DCB" w:rsidRPr="00A52585">
        <w:rPr>
          <w:rFonts w:hint="cs"/>
          <w:rtl/>
        </w:rPr>
        <w:t xml:space="preserve"> الصمدية كذلك تدل نفي الجارحة والأجزاء على الله بدليل</w:t>
      </w:r>
      <w:r w:rsidRPr="00A52585">
        <w:rPr>
          <w:rFonts w:hint="cs"/>
          <w:rtl/>
        </w:rPr>
        <w:t>:</w:t>
      </w:r>
      <w:r w:rsidR="00777DCB" w:rsidRPr="00A52585">
        <w:rPr>
          <w:rFonts w:hint="cs"/>
          <w:rtl/>
        </w:rPr>
        <w:t xml:space="preserve"> أن كل جسم فهو مركب</w:t>
      </w:r>
      <w:r w:rsidR="00DB731D" w:rsidRPr="00A52585">
        <w:rPr>
          <w:rFonts w:hint="cs"/>
          <w:rtl/>
        </w:rPr>
        <w:t>،</w:t>
      </w:r>
      <w:r w:rsidR="00777DCB" w:rsidRPr="00A52585">
        <w:rPr>
          <w:rFonts w:hint="cs"/>
          <w:rtl/>
        </w:rPr>
        <w:t xml:space="preserve"> وكل مركب فهو محتاج إلى كل واحد من أجزائه وكل واحد من أجزائه غيره</w:t>
      </w:r>
      <w:r w:rsidR="00DB731D" w:rsidRPr="00A52585">
        <w:rPr>
          <w:rFonts w:hint="cs"/>
          <w:rtl/>
        </w:rPr>
        <w:t>،</w:t>
      </w:r>
      <w:r w:rsidR="00777DCB" w:rsidRPr="00A52585">
        <w:rPr>
          <w:rFonts w:hint="cs"/>
          <w:rtl/>
        </w:rPr>
        <w:t xml:space="preserve"> فكل مركب فهو محتاج إلى غيره والمحتاج إلى الغير لا يكون غنياً محتاجا </w:t>
      </w:r>
      <w:r w:rsidRPr="00A52585">
        <w:rPr>
          <w:rFonts w:hint="cs"/>
          <w:rtl/>
        </w:rPr>
        <w:t>(</w:t>
      </w:r>
      <w:r w:rsidR="00777DCB" w:rsidRPr="00A52585">
        <w:rPr>
          <w:rFonts w:hint="cs"/>
          <w:rtl/>
        </w:rPr>
        <w:t>إليه</w:t>
      </w:r>
      <w:r w:rsidRPr="00A52585">
        <w:rPr>
          <w:rFonts w:hint="cs"/>
          <w:rtl/>
        </w:rPr>
        <w:t>)</w:t>
      </w:r>
      <w:r w:rsidR="00777DCB" w:rsidRPr="00A52585">
        <w:rPr>
          <w:rFonts w:hint="cs"/>
          <w:rtl/>
        </w:rPr>
        <w:t xml:space="preserve"> فلم يكن صمداً مطلقاً </w:t>
      </w:r>
      <w:r w:rsidR="00777DCB" w:rsidRPr="00A52585">
        <w:rPr>
          <w:rFonts w:hint="cs"/>
          <w:rtl/>
          <w:lang w:bidi="ar-KW"/>
        </w:rPr>
        <w:t>وكذلك</w:t>
      </w:r>
      <w:r w:rsidRPr="00A52585">
        <w:rPr>
          <w:rFonts w:hint="cs"/>
          <w:rtl/>
          <w:lang w:bidi="ar-KW"/>
        </w:rPr>
        <w:t xml:space="preserve"> </w:t>
      </w:r>
      <w:r w:rsidR="00777DCB" w:rsidRPr="00A52585">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لَمْ يَلِدْ وَلَمْ يُولَدْ</w:t>
      </w:r>
      <w:r w:rsidRPr="00A52585">
        <w:rPr>
          <w:rFonts w:hint="cs"/>
          <w:bCs/>
          <w:rtl/>
        </w:rPr>
        <w:t>}</w:t>
      </w:r>
      <w:r w:rsidR="00777DCB" w:rsidRPr="00A52585">
        <w:rPr>
          <w:rFonts w:hint="cs"/>
          <w:rtl/>
        </w:rPr>
        <w:t xml:space="preserve"> أنه تعالى خالق كل موجود</w:t>
      </w:r>
      <w:r w:rsidR="00DB731D" w:rsidRPr="00A52585">
        <w:rPr>
          <w:rFonts w:hint="cs"/>
          <w:rtl/>
        </w:rPr>
        <w:t>،</w:t>
      </w:r>
      <w:r w:rsidR="00777DCB" w:rsidRPr="00A52585">
        <w:rPr>
          <w:rFonts w:hint="cs"/>
          <w:rtl/>
        </w:rPr>
        <w:t xml:space="preserve"> أحد صمد</w:t>
      </w:r>
      <w:r w:rsidR="00DB731D" w:rsidRPr="00A52585">
        <w:rPr>
          <w:rFonts w:hint="cs"/>
          <w:rtl/>
        </w:rPr>
        <w:t>،</w:t>
      </w:r>
      <w:r w:rsidR="00777DCB" w:rsidRPr="00A52585">
        <w:rPr>
          <w:rFonts w:hint="cs"/>
          <w:rtl/>
        </w:rPr>
        <w:t xml:space="preserve"> لا ينفصل من شيء ولم ينفصل منه شيء</w:t>
      </w:r>
      <w:r w:rsidR="00DB731D" w:rsidRPr="00A52585">
        <w:rPr>
          <w:rFonts w:hint="cs"/>
          <w:rtl/>
        </w:rPr>
        <w:t>،</w:t>
      </w:r>
      <w:r w:rsidR="00777DCB" w:rsidRPr="00A52585">
        <w:rPr>
          <w:rFonts w:hint="cs"/>
          <w:rtl/>
        </w:rPr>
        <w:t xml:space="preserve"> تنزه عن أن يكون منه جزء مخلوق </w:t>
      </w:r>
      <w:r w:rsidR="00777DCB" w:rsidRPr="00A52585">
        <w:rPr>
          <w:rFonts w:hint="cs"/>
          <w:bCs/>
          <w:rtl/>
        </w:rPr>
        <w:t>{لَمْ يَلِدْ</w:t>
      </w:r>
      <w:r w:rsidRPr="00A52585">
        <w:rPr>
          <w:rFonts w:hint="cs"/>
          <w:bCs/>
          <w:rtl/>
        </w:rPr>
        <w:t>}</w:t>
      </w:r>
      <w:r w:rsidR="00DB731D" w:rsidRPr="00A52585">
        <w:rPr>
          <w:rFonts w:hint="cs"/>
          <w:rtl/>
        </w:rPr>
        <w:t>،</w:t>
      </w:r>
      <w:r w:rsidR="00777DCB" w:rsidRPr="00A52585">
        <w:rPr>
          <w:rFonts w:hint="cs"/>
          <w:rtl/>
        </w:rPr>
        <w:t xml:space="preserve"> وتنزه عن أن يكون هو محدث مخلوق </w:t>
      </w:r>
      <w:r w:rsidRPr="00A52585">
        <w:rPr>
          <w:rFonts w:hint="cs"/>
          <w:bCs/>
          <w:rtl/>
        </w:rPr>
        <w:t>{</w:t>
      </w:r>
      <w:r w:rsidR="00777DCB" w:rsidRPr="00A52585">
        <w:rPr>
          <w:rFonts w:hint="cs"/>
          <w:bCs/>
          <w:rtl/>
        </w:rPr>
        <w:t>وَلَمْ يُولَدْ</w:t>
      </w:r>
      <w:r w:rsidRPr="00A52585">
        <w:rPr>
          <w:rFonts w:hint="cs"/>
          <w:bCs/>
          <w:rtl/>
        </w:rPr>
        <w:t>}</w:t>
      </w:r>
      <w:r w:rsidR="00DB731D" w:rsidRPr="00A52585">
        <w:rPr>
          <w:rFonts w:hint="cs"/>
          <w:rtl/>
        </w:rPr>
        <w:t>،</w:t>
      </w:r>
      <w:r w:rsidR="00777DCB" w:rsidRPr="00A52585">
        <w:rPr>
          <w:rFonts w:hint="cs"/>
          <w:rtl/>
        </w:rPr>
        <w:t xml:space="preserve"> بل هو الأول فليس قبله شيء وهو الآخر فليس بعده شيء</w:t>
      </w:r>
      <w:r w:rsidR="00DB731D" w:rsidRPr="00A52585">
        <w:rPr>
          <w:rFonts w:hint="cs"/>
          <w:rtl/>
        </w:rPr>
        <w:t>،</w:t>
      </w:r>
      <w:r w:rsidR="00777DCB" w:rsidRPr="00A52585">
        <w:rPr>
          <w:rFonts w:hint="cs"/>
          <w:rtl/>
        </w:rPr>
        <w:t xml:space="preserve"> الخالق لكل شيء ومن عداه مخلوق</w:t>
      </w:r>
      <w:r w:rsidR="00DB731D" w:rsidRPr="00A52585">
        <w:rPr>
          <w:rFonts w:hint="cs"/>
          <w:rtl/>
        </w:rPr>
        <w:t>،</w:t>
      </w:r>
      <w:r w:rsidRPr="00A52585">
        <w:rPr>
          <w:rFonts w:hint="cs"/>
          <w:rtl/>
        </w:rPr>
        <w:t xml:space="preserve"> </w:t>
      </w:r>
      <w:r w:rsidR="00777DCB" w:rsidRPr="00A52585">
        <w:rPr>
          <w:rFonts w:hint="cs"/>
          <w:rtl/>
        </w:rPr>
        <w:t>أحد لا نظير له</w:t>
      </w:r>
      <w:r w:rsidR="00DB731D" w:rsidRPr="00A52585">
        <w:rPr>
          <w:rFonts w:hint="cs"/>
          <w:rtl/>
        </w:rPr>
        <w:t>،</w:t>
      </w:r>
      <w:r w:rsidR="00777DCB" w:rsidRPr="00A52585">
        <w:rPr>
          <w:rFonts w:hint="cs"/>
          <w:rtl/>
        </w:rPr>
        <w:t xml:space="preserve"> صمد لا ينفصل من شيء ولم ينفصل منه شيء</w:t>
      </w:r>
      <w:r w:rsidR="00DB731D" w:rsidRPr="00A52585">
        <w:rPr>
          <w:rFonts w:hint="cs"/>
          <w:rtl/>
        </w:rPr>
        <w:t>،</w:t>
      </w:r>
      <w:r w:rsidR="00777DCB" w:rsidRPr="00A52585">
        <w:rPr>
          <w:rFonts w:hint="cs"/>
          <w:rtl/>
        </w:rPr>
        <w:t xml:space="preserve"> لأنّه منزه عن أن تحل به الحوادث</w:t>
      </w:r>
      <w:r w:rsidR="00DB731D" w:rsidRPr="00A52585">
        <w:rPr>
          <w:rFonts w:hint="cs"/>
          <w:rtl/>
        </w:rPr>
        <w:t>،</w:t>
      </w:r>
      <w:r w:rsidR="00777DCB" w:rsidRPr="00A52585">
        <w:rPr>
          <w:rFonts w:hint="cs"/>
          <w:rtl/>
        </w:rPr>
        <w:t xml:space="preserve"> والنصارى لأنّهم من أضل الناس وأجهلهم بما يجب وما يجوز وما يستحيل نسبته إلى الله تعالى</w:t>
      </w:r>
      <w:r w:rsidR="00DB731D" w:rsidRPr="00A52585">
        <w:rPr>
          <w:rFonts w:hint="cs"/>
          <w:rtl/>
        </w:rPr>
        <w:t>،</w:t>
      </w:r>
      <w:r w:rsidR="00777DCB" w:rsidRPr="00A52585">
        <w:rPr>
          <w:rFonts w:hint="cs"/>
          <w:rtl/>
        </w:rPr>
        <w:t xml:space="preserve"> أجازوا حلول الحوادث بذات الرحمن</w:t>
      </w:r>
      <w:r w:rsidR="00DB731D" w:rsidRPr="00A52585">
        <w:rPr>
          <w:rFonts w:hint="cs"/>
          <w:rtl/>
        </w:rPr>
        <w:t>،</w:t>
      </w:r>
      <w:r w:rsidR="00777DCB" w:rsidRPr="00A52585">
        <w:rPr>
          <w:rFonts w:hint="cs"/>
          <w:rtl/>
        </w:rPr>
        <w:t xml:space="preserve"> فزعموا له الولد سبحانه</w:t>
      </w:r>
      <w:r w:rsidR="00DB731D" w:rsidRPr="00A52585">
        <w:rPr>
          <w:rFonts w:hint="cs"/>
          <w:rtl/>
        </w:rPr>
        <w:t>،</w:t>
      </w:r>
      <w:r w:rsidR="00777DCB" w:rsidRPr="00A52585">
        <w:rPr>
          <w:rFonts w:hint="cs"/>
          <w:rtl/>
        </w:rPr>
        <w:t xml:space="preserve"> وهذا يستحيل نسبته إلى الله الاحد الصمد</w:t>
      </w:r>
      <w:r w:rsidR="00DB731D" w:rsidRPr="00A52585">
        <w:rPr>
          <w:rFonts w:hint="cs"/>
          <w:rtl/>
        </w:rPr>
        <w:t>،</w:t>
      </w:r>
      <w:r w:rsidR="00777DCB" w:rsidRPr="00A52585">
        <w:rPr>
          <w:rFonts w:hint="cs"/>
          <w:rtl/>
        </w:rPr>
        <w:t xml:space="preserve"> لأن الولد جزء من أبيه</w:t>
      </w:r>
      <w:r w:rsidR="00DB731D" w:rsidRPr="00A52585">
        <w:rPr>
          <w:rFonts w:hint="cs"/>
          <w:rtl/>
        </w:rPr>
        <w:t>،</w:t>
      </w:r>
      <w:r w:rsidR="00777DCB" w:rsidRPr="00A52585">
        <w:rPr>
          <w:rFonts w:hint="cs"/>
          <w:rtl/>
        </w:rPr>
        <w:t xml:space="preserve"> فالوالد لا يخلق ولده</w:t>
      </w:r>
      <w:r w:rsidR="00DB731D" w:rsidRPr="00A52585">
        <w:rPr>
          <w:rFonts w:hint="cs"/>
          <w:rtl/>
        </w:rPr>
        <w:t>،</w:t>
      </w:r>
      <w:r w:rsidR="00777DCB" w:rsidRPr="00A52585">
        <w:rPr>
          <w:rFonts w:hint="cs"/>
          <w:rtl/>
        </w:rPr>
        <w:t xml:space="preserve"> وإنما هو جزء منه</w:t>
      </w:r>
      <w:r w:rsidR="00DB731D" w:rsidRPr="00A52585">
        <w:rPr>
          <w:rFonts w:hint="cs"/>
          <w:rtl/>
        </w:rPr>
        <w:t>،</w:t>
      </w:r>
      <w:r w:rsidR="00777DCB" w:rsidRPr="00A52585">
        <w:rPr>
          <w:rFonts w:hint="cs"/>
          <w:rtl/>
        </w:rPr>
        <w:t xml:space="preserve"> والله تعالى أحد صمد منزه عن التغير والحدوث وعن أن يحل به حادث</w:t>
      </w:r>
      <w:r w:rsidR="00DB731D" w:rsidRPr="00A52585">
        <w:rPr>
          <w:rFonts w:hint="cs"/>
          <w:rtl/>
        </w:rPr>
        <w:t>،</w:t>
      </w:r>
      <w:r w:rsidR="00777DCB" w:rsidRPr="00A52585">
        <w:rPr>
          <w:rFonts w:hint="cs"/>
          <w:rtl/>
        </w:rPr>
        <w:t xml:space="preserve"> فلا يكون منه الولد</w:t>
      </w:r>
      <w:r w:rsidR="00DB731D" w:rsidRPr="00A52585">
        <w:rPr>
          <w:rFonts w:hint="cs"/>
          <w:rtl/>
        </w:rPr>
        <w:t>،</w:t>
      </w:r>
      <w:r w:rsidR="00777DCB" w:rsidRPr="00A52585">
        <w:rPr>
          <w:rFonts w:hint="cs"/>
          <w:rtl/>
        </w:rPr>
        <w:t xml:space="preserve"> ولو كان منه الولد - سبحانه - لكان الولد قديماً</w:t>
      </w:r>
      <w:r w:rsidR="00DB731D" w:rsidRPr="00A52585">
        <w:rPr>
          <w:rFonts w:hint="cs"/>
          <w:rtl/>
        </w:rPr>
        <w:t>،</w:t>
      </w:r>
      <w:r w:rsidR="00777DCB" w:rsidRPr="00A52585">
        <w:rPr>
          <w:rFonts w:hint="cs"/>
          <w:rtl/>
        </w:rPr>
        <w:t xml:space="preserve"> مثل أبيه</w:t>
      </w:r>
      <w:r w:rsidR="00DB731D" w:rsidRPr="00A52585">
        <w:rPr>
          <w:rFonts w:hint="cs"/>
          <w:rtl/>
        </w:rPr>
        <w:t>،</w:t>
      </w:r>
      <w:r w:rsidR="00777DCB" w:rsidRPr="00A52585">
        <w:rPr>
          <w:rFonts w:hint="cs"/>
          <w:rtl/>
        </w:rPr>
        <w:t xml:space="preserve"> وكيف يكون قديماً وهو حادث</w:t>
      </w:r>
      <w:r w:rsidR="00DB731D" w:rsidRPr="00A52585">
        <w:rPr>
          <w:rFonts w:hint="cs"/>
          <w:rtl/>
        </w:rPr>
        <w:t>،</w:t>
      </w:r>
      <w:r w:rsidR="00777DCB" w:rsidRPr="00A52585">
        <w:rPr>
          <w:rFonts w:hint="cs"/>
          <w:rtl/>
        </w:rPr>
        <w:t xml:space="preserve"> وُجد بعد أن لم يكن موجوداً</w:t>
      </w:r>
      <w:r w:rsidR="00DB731D" w:rsidRPr="00A52585">
        <w:rPr>
          <w:rFonts w:hint="cs"/>
          <w:rtl/>
        </w:rPr>
        <w:t>،</w:t>
      </w:r>
      <w:r w:rsidR="00777DCB" w:rsidRPr="00A52585">
        <w:rPr>
          <w:rFonts w:hint="cs"/>
          <w:rtl/>
        </w:rPr>
        <w:t xml:space="preserve"> ولذلك لا يجوز على الله تعالى الولد</w:t>
      </w:r>
      <w:r w:rsidR="00DB731D" w:rsidRPr="00A52585">
        <w:rPr>
          <w:rFonts w:hint="cs"/>
          <w:rtl/>
        </w:rPr>
        <w:t>،</w:t>
      </w:r>
      <w:r w:rsidR="00777DCB" w:rsidRPr="00A52585">
        <w:rPr>
          <w:rFonts w:hint="cs"/>
          <w:rtl/>
        </w:rPr>
        <w:t xml:space="preserve"> ولذا نجد القرآن الكريم يعالج تلك القضية بقوله تعالى - آمراً رسوله صلى الله عليه وسلم -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إِنْ كَانَ لِلرَّحْمَنِ وَلَدٌ فَأَنَا أَوَّلُ الْعَابِدِينَ * سُبْحَانَ رَبِّ السَّمَوَاتِ وَالْأَرْضِ رَبِّ الْعَرْشِ عَمَّا يَصِفُونَ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الزخرف</w:t>
      </w:r>
      <w:r w:rsidRPr="00A52585">
        <w:rPr>
          <w:rFonts w:hint="cs"/>
          <w:rtl/>
        </w:rPr>
        <w:t>:</w:t>
      </w:r>
      <w:r w:rsidR="00777DCB" w:rsidRPr="00A52585">
        <w:rPr>
          <w:rFonts w:hint="cs"/>
          <w:rtl/>
        </w:rPr>
        <w:t xml:space="preserve"> 81</w:t>
      </w:r>
      <w:r w:rsidR="00DB731D" w:rsidRPr="00A52585">
        <w:rPr>
          <w:rFonts w:hint="cs"/>
          <w:rtl/>
        </w:rPr>
        <w:t>،</w:t>
      </w:r>
      <w:r w:rsidR="00777DCB" w:rsidRPr="00A52585">
        <w:rPr>
          <w:rFonts w:hint="cs"/>
          <w:rtl/>
        </w:rPr>
        <w:t xml:space="preserve"> 82</w:t>
      </w:r>
      <w:r w:rsidRPr="00A52585">
        <w:rPr>
          <w:rFonts w:hint="cs"/>
          <w:rtl/>
        </w:rPr>
        <w:t>]</w:t>
      </w:r>
      <w:r w:rsidR="00DB731D" w:rsidRPr="00A52585">
        <w:rPr>
          <w:rFonts w:hint="cs"/>
          <w:rtl/>
        </w:rPr>
        <w:t>،</w:t>
      </w:r>
      <w:r w:rsidR="00777DCB" w:rsidRPr="00A52585">
        <w:rPr>
          <w:rFonts w:hint="cs"/>
          <w:rtl/>
        </w:rPr>
        <w:t xml:space="preserve"> فالمعنى أنه لو كان ذلك جائزاً ممكناً حاصلاً فأنا أول المنقادين لأمر الله تعالى المتعبدين بطاعته</w:t>
      </w:r>
      <w:r w:rsidR="00DB731D" w:rsidRPr="00A52585">
        <w:rPr>
          <w:rFonts w:hint="cs"/>
          <w:rtl/>
        </w:rPr>
        <w:t>،</w:t>
      </w:r>
      <w:r w:rsidR="00777DCB" w:rsidRPr="00A52585">
        <w:rPr>
          <w:rFonts w:hint="cs"/>
          <w:rtl/>
        </w:rPr>
        <w:t xml:space="preserve"> ولكنه لا ينبغي للرحمن أن يتخذ ولداً لان ذلك مستحيل في حق الأحد الصمد</w:t>
      </w:r>
      <w:r w:rsidR="00DB731D" w:rsidRPr="00A52585">
        <w:rPr>
          <w:rFonts w:hint="cs"/>
          <w:rtl/>
        </w:rPr>
        <w:t>،</w:t>
      </w:r>
      <w:r w:rsidR="00777DCB" w:rsidRPr="00A52585">
        <w:rPr>
          <w:rFonts w:hint="cs"/>
          <w:rtl/>
        </w:rPr>
        <w:t xml:space="preserve"> ولهذا جاء التسبيح والتنزيه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سُبْحَانَ رَبِّ السَّمَوَاتِ وَالْأَرْضِ </w:t>
      </w:r>
      <w:r w:rsidR="00777DCB" w:rsidRPr="00A52585">
        <w:rPr>
          <w:rFonts w:hint="cs"/>
          <w:rtl/>
        </w:rPr>
        <w:lastRenderedPageBreak/>
        <w:t>رَبِّ الْعَرْشِ عَمَّا يَصِفُونَ</w:t>
      </w:r>
      <w:r w:rsidRPr="00A52585">
        <w:rPr>
          <w:rFonts w:hint="cs"/>
          <w:rtl/>
        </w:rPr>
        <w:t>}</w:t>
      </w:r>
      <w:r w:rsidR="00DB731D" w:rsidRPr="00A52585">
        <w:rPr>
          <w:rFonts w:hint="cs"/>
          <w:rtl/>
        </w:rPr>
        <w:t>،</w:t>
      </w:r>
      <w:r w:rsidR="00777DCB" w:rsidRPr="00A52585">
        <w:rPr>
          <w:rFonts w:hint="cs"/>
          <w:rtl/>
        </w:rPr>
        <w:t xml:space="preserve"> فالولد من الاشياء المستحيلة في حق الله تعالى وتقدس</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88 إلى 95</w:t>
      </w:r>
      <w:r w:rsidRPr="00A52585">
        <w:rPr>
          <w:rFonts w:hint="cs"/>
          <w:rtl/>
        </w:rPr>
        <w:t>]</w:t>
      </w:r>
      <w:r w:rsidR="00DB731D" w:rsidRPr="00A52585">
        <w:rPr>
          <w:rFonts w:hint="cs"/>
          <w:rtl/>
        </w:rPr>
        <w:t>،</w:t>
      </w:r>
      <w:r w:rsidR="00777DCB" w:rsidRPr="00A52585">
        <w:rPr>
          <w:rFonts w:hint="cs"/>
          <w:rtl/>
        </w:rPr>
        <w:t xml:space="preserve"> ومن فقه الآية </w:t>
      </w:r>
      <w:r w:rsidRPr="00A52585">
        <w:rPr>
          <w:rFonts w:hint="cs"/>
          <w:rtl/>
        </w:rPr>
        <w:t>{</w:t>
      </w:r>
      <w:r w:rsidR="00777DCB" w:rsidRPr="00A52585">
        <w:rPr>
          <w:rFonts w:hint="cs"/>
          <w:rtl/>
        </w:rPr>
        <w:t>لَمْ يَلِدْ وَلَمْ يُولَدْ</w:t>
      </w:r>
      <w:r w:rsidRPr="00A52585">
        <w:rPr>
          <w:rFonts w:hint="cs"/>
          <w:rtl/>
        </w:rPr>
        <w:t>}</w:t>
      </w:r>
      <w:r w:rsidR="00777DCB" w:rsidRPr="00A52585">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DB731D" w:rsidRPr="00A52585">
        <w:rPr>
          <w:rFonts w:hint="cs"/>
          <w:rtl/>
        </w:rPr>
        <w:t>،</w:t>
      </w:r>
      <w:r w:rsidR="00777DCB" w:rsidRPr="00A52585">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كما أنه منزه عن التغير والحدوث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وسياتي تفصيل ذلك عند شرح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هَذَا رَبِّي فَلَمَّا أَفَلَ قَالَ لَا أُحِبُّ الْآفِلِينَ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الانعام</w:t>
      </w:r>
      <w:r w:rsidRPr="00A52585">
        <w:rPr>
          <w:rFonts w:hint="cs"/>
          <w:rtl/>
        </w:rPr>
        <w:t>:</w:t>
      </w:r>
      <w:r w:rsidR="00777DCB" w:rsidRPr="00A52585">
        <w:rPr>
          <w:rFonts w:hint="cs"/>
          <w:rtl/>
        </w:rPr>
        <w:t xml:space="preserve"> 76</w:t>
      </w:r>
      <w:r w:rsidRPr="00A52585">
        <w:rPr>
          <w:rFonts w:hint="cs"/>
          <w:rtl/>
        </w:rPr>
        <w:t>]</w:t>
      </w:r>
      <w:r w:rsidR="00DB731D" w:rsidRPr="00A52585">
        <w:rPr>
          <w:rFonts w:hint="cs"/>
          <w:rtl/>
        </w:rPr>
        <w:t>،</w:t>
      </w:r>
      <w:r w:rsidR="00777DCB" w:rsidRPr="00A52585">
        <w:rPr>
          <w:rFonts w:hint="cs"/>
          <w:rtl/>
        </w:rPr>
        <w:t xml:space="preserve"> أي أن المتغير عن حاله الآفل الذي يقبل الحدوث والتغير من حال إلى حال</w:t>
      </w:r>
      <w:r w:rsidR="00DB731D" w:rsidRPr="00A52585">
        <w:rPr>
          <w:rFonts w:hint="cs"/>
          <w:rtl/>
        </w:rPr>
        <w:t>،</w:t>
      </w:r>
      <w:r w:rsidR="00777DCB" w:rsidRPr="00A52585">
        <w:rPr>
          <w:rFonts w:hint="cs"/>
          <w:rtl/>
        </w:rPr>
        <w:t xml:space="preserve"> لا يصلح أن يكون رباً خالقاً</w:t>
      </w:r>
      <w:r w:rsidR="00DB731D" w:rsidRPr="00A52585">
        <w:rPr>
          <w:rFonts w:hint="cs"/>
          <w:rtl/>
        </w:rPr>
        <w:t>،</w:t>
      </w:r>
      <w:r w:rsidR="00777DCB" w:rsidRPr="00A52585">
        <w:rPr>
          <w:rFonts w:hint="cs"/>
          <w:rtl/>
        </w:rPr>
        <w:t xml:space="preserve"> وإلهاً معبوداً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eastAsia="Times New Roman" w:hint="cs"/>
          <w:rtl/>
        </w:rPr>
        <w:t xml:space="preserve"> أي لا نظير له بوجه من الوجوه، ولا كفء له ولا شبيه</w:t>
      </w:r>
      <w:r w:rsidR="00777DCB" w:rsidRPr="00A52585">
        <w:rPr>
          <w:rFonts w:eastAsia="Times New Roman" w:hint="cs"/>
          <w:rtl/>
          <w:lang w:bidi="ar-KW"/>
        </w:rPr>
        <w:t xml:space="preserve"> ولا مثيل</w:t>
      </w:r>
      <w:r w:rsidR="00DB731D" w:rsidRPr="00A52585">
        <w:rPr>
          <w:rFonts w:eastAsia="Times New Roman" w:hint="cs"/>
          <w:rtl/>
          <w:lang w:bidi="ar-KW"/>
        </w:rPr>
        <w:t>،</w:t>
      </w:r>
      <w:r w:rsidR="00777DCB" w:rsidRPr="00A52585">
        <w:rPr>
          <w:rFonts w:eastAsia="Times New Roman" w:hint="cs"/>
          <w:rtl/>
          <w:lang w:bidi="ar-KW"/>
        </w:rPr>
        <w:t xml:space="preserve"> </w:t>
      </w:r>
      <w:r w:rsidR="00777DCB" w:rsidRPr="00A52585">
        <w:rPr>
          <w:rFonts w:hint="cs"/>
          <w:rtl/>
        </w:rPr>
        <w:t>ولو كان قابلا للتغير والحدوث</w:t>
      </w:r>
      <w:r w:rsidR="00DB731D" w:rsidRPr="00A52585">
        <w:rPr>
          <w:rFonts w:hint="cs"/>
          <w:rtl/>
        </w:rPr>
        <w:t>،</w:t>
      </w:r>
      <w:r w:rsidR="00777DCB" w:rsidRPr="00A52585">
        <w:rPr>
          <w:rFonts w:hint="cs"/>
          <w:rtl/>
        </w:rPr>
        <w:t xml:space="preserve"> أو كان محلاً للحوادث - سبحانه -</w:t>
      </w:r>
      <w:r w:rsidRPr="00A52585">
        <w:rPr>
          <w:rFonts w:hint="cs"/>
          <w:rtl/>
        </w:rPr>
        <w:t xml:space="preserve"> </w:t>
      </w:r>
      <w:r w:rsidR="00777DCB" w:rsidRPr="00A52585">
        <w:rPr>
          <w:rFonts w:hint="cs"/>
          <w:rtl/>
        </w:rPr>
        <w:t>لكان مثلاً لسائر المخلوقات المحدثة المخلوقة</w:t>
      </w:r>
      <w:r w:rsidR="00DB731D" w:rsidRPr="00A52585">
        <w:rPr>
          <w:rFonts w:hint="cs"/>
          <w:rtl/>
        </w:rPr>
        <w:t>،</w:t>
      </w:r>
      <w:r w:rsidR="00777DCB" w:rsidRPr="00A52585">
        <w:rPr>
          <w:rFonts w:hint="cs"/>
          <w:rtl/>
        </w:rPr>
        <w:t xml:space="preserve"> و</w:t>
      </w:r>
      <w:r w:rsidR="00777DCB" w:rsidRPr="00A52585">
        <w:rPr>
          <w:rFonts w:hint="cs"/>
          <w:bCs/>
          <w:rtl/>
        </w:rPr>
        <w:t>تنزيه الله تعالى عن التغير والحدوث هو الدليل الذي استعمله نبي الله إبراهيم عليه السلام في إثبات عدم ألوهية الشمس والقمر والكواكب</w:t>
      </w:r>
      <w:r w:rsidR="00DB731D" w:rsidRPr="00A52585">
        <w:rPr>
          <w:rFonts w:hint="cs"/>
          <w:rtl/>
        </w:rPr>
        <w:t>،</w:t>
      </w:r>
      <w:r w:rsidR="00777DCB" w:rsidRPr="00A52585">
        <w:rPr>
          <w:rFonts w:hint="cs"/>
          <w:bCs/>
          <w:rtl/>
        </w:rPr>
        <w:t xml:space="preserve"> قال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rPr>
        <w:t>قَالَ هَذَا رَبِّي فَلَمَّا أَفَلَ قَالَ لَا أُحِبُّ الْآفِلِينَ</w:t>
      </w:r>
      <w:r w:rsidRPr="00A52585">
        <w:rPr>
          <w:rFonts w:hint="cs"/>
          <w:b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76</w:t>
      </w:r>
      <w:r w:rsidRPr="00A52585">
        <w:rPr>
          <w:rFonts w:hint="cs"/>
          <w:rtl/>
        </w:rPr>
        <w:t>]</w:t>
      </w:r>
      <w:r w:rsidR="00DB731D" w:rsidRPr="00A52585">
        <w:rPr>
          <w:rFonts w:hint="cs"/>
          <w:rtl/>
        </w:rPr>
        <w:t>،</w:t>
      </w:r>
      <w:r w:rsidR="00777DCB" w:rsidRPr="00A52585">
        <w:rPr>
          <w:rFonts w:hint="cs"/>
          <w:rtl/>
        </w:rPr>
        <w:t xml:space="preserve"> قال </w:t>
      </w:r>
      <w:proofErr w:type="spellStart"/>
      <w:r w:rsidR="00777DCB" w:rsidRPr="00A52585">
        <w:rPr>
          <w:rFonts w:hint="cs"/>
          <w:rtl/>
        </w:rPr>
        <w:t>المفسرون</w:t>
      </w:r>
      <w:r w:rsidRPr="00A52585">
        <w:rPr>
          <w:rFonts w:hint="cs"/>
          <w:rtl/>
        </w:rPr>
        <w:t>:</w:t>
      </w:r>
      <w:r w:rsidR="00777DCB" w:rsidRPr="00A52585">
        <w:rPr>
          <w:rFonts w:hint="cs"/>
          <w:rtl/>
        </w:rPr>
        <w:t>قال</w:t>
      </w:r>
      <w:proofErr w:type="spellEnd"/>
      <w:r w:rsidR="00777DCB" w:rsidRPr="00A52585">
        <w:rPr>
          <w:rFonts w:hint="cs"/>
          <w:rtl/>
        </w:rPr>
        <w:t xml:space="preserve"> ذلك لقومه تنبيها لهم على أن القمر لتغير حاله لا يصلح للإلهية وأن من اتخذه إلها فهو ضال</w:t>
      </w:r>
      <w:r w:rsidR="00DB731D" w:rsidRPr="00A52585">
        <w:rPr>
          <w:rFonts w:hint="cs"/>
          <w:rtl/>
        </w:rPr>
        <w:t>،</w:t>
      </w:r>
      <w:r w:rsidR="00777DCB" w:rsidRPr="00A52585">
        <w:rPr>
          <w:rFonts w:hint="cs"/>
          <w:rtl/>
        </w:rPr>
        <w:t xml:space="preserve"> وتنبيها لهم أن الله دائم لا يزول</w:t>
      </w:r>
      <w:r w:rsidR="00DB731D" w:rsidRPr="00A52585">
        <w:rPr>
          <w:rFonts w:hint="cs"/>
          <w:rtl/>
        </w:rPr>
        <w:t>،</w:t>
      </w:r>
      <w:r w:rsidR="00777DCB" w:rsidRPr="00A52585">
        <w:rPr>
          <w:rFonts w:hint="cs"/>
          <w:rtl/>
        </w:rPr>
        <w:t xml:space="preserve"> وأن الزوال نقص لا يصلح للإله المتصف بالكمال وأن </w:t>
      </w:r>
      <w:r w:rsidRPr="00A52585">
        <w:rPr>
          <w:rFonts w:hint="cs"/>
          <w:rtl/>
        </w:rPr>
        <w:t>(</w:t>
      </w:r>
      <w:r w:rsidR="00777DCB" w:rsidRPr="00A52585">
        <w:rPr>
          <w:rFonts w:hint="cs"/>
          <w:rtl/>
        </w:rPr>
        <w:t>الآفلين</w:t>
      </w:r>
      <w:r w:rsidRPr="00A52585">
        <w:rPr>
          <w:rFonts w:hint="cs"/>
          <w:rtl/>
        </w:rPr>
        <w:t>)</w:t>
      </w:r>
      <w:r w:rsidR="00777DCB" w:rsidRPr="00A52585">
        <w:rPr>
          <w:rFonts w:hint="cs"/>
          <w:rtl/>
        </w:rPr>
        <w:t xml:space="preserve"> أي الأرباب المنتقلين من مكان إلى مكان المتغيرين من حال إلى حال فإنهم بمعزل من استحقاق الربوبية والإلهية</w:t>
      </w:r>
      <w:r w:rsidR="00DB731D" w:rsidRPr="00A52585">
        <w:rPr>
          <w:rFonts w:hint="cs"/>
          <w:rtl/>
        </w:rPr>
        <w:t>،</w:t>
      </w:r>
      <w:r w:rsidR="00777DCB" w:rsidRPr="00A52585">
        <w:rPr>
          <w:rFonts w:hint="cs"/>
          <w:rtl/>
        </w:rPr>
        <w:t xml:space="preserve"> وتنبيها على أن من غاب بعد الظهور كان حادثا مسخرا وليس برب أزلي أول ليس بمحدث</w:t>
      </w:r>
      <w:r w:rsidR="00DB731D" w:rsidRPr="00A52585">
        <w:rPr>
          <w:rFonts w:hint="cs"/>
          <w:rtl/>
        </w:rPr>
        <w:t>،</w:t>
      </w:r>
      <w:r w:rsidR="00777DCB" w:rsidRPr="00A52585">
        <w:rPr>
          <w:rFonts w:hint="cs"/>
          <w:rtl/>
        </w:rPr>
        <w:t xml:space="preserve"> منزه عما لا يليق بذاته الأقدس من لوازم الإمكان ولواحق التغير والحدوث</w:t>
      </w:r>
      <w:r w:rsidR="00DB731D" w:rsidRPr="00A52585">
        <w:rPr>
          <w:rFonts w:hint="cs"/>
          <w:rtl/>
        </w:rPr>
        <w:t>،</w:t>
      </w:r>
      <w:r w:rsidR="00777DCB" w:rsidRPr="00A52585">
        <w:rPr>
          <w:rFonts w:hint="cs"/>
          <w:rtl/>
        </w:rPr>
        <w:t xml:space="preserve"> ولهذا تبرأ من آلهتهم بقوله عليه السلام في سورة الأنعام</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قَالَ يَا قَوْمِ إِنِّي بَرِيءٌ مِمَّا تُشْرِكُونَ * إِنِّي وَجَّهْتُ وَجْهِيَ لِلَّذِي فَطَرَ السَّمَوَاتِ وَالْأَرْضَ حَنِيفًا وَمَا أَنَا مِنَ الْمُشْرِكِينَ</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78</w:t>
      </w:r>
      <w:r w:rsidR="00DB731D" w:rsidRPr="00A52585">
        <w:rPr>
          <w:rFonts w:hint="cs"/>
          <w:rtl/>
        </w:rPr>
        <w:t>،</w:t>
      </w:r>
      <w:r w:rsidR="00777DCB" w:rsidRPr="00A52585">
        <w:rPr>
          <w:rFonts w:hint="cs"/>
          <w:rtl/>
        </w:rPr>
        <w:t xml:space="preserve"> 79</w:t>
      </w:r>
      <w:r w:rsidRPr="00A52585">
        <w:rPr>
          <w:rFonts w:hint="cs"/>
          <w:rtl/>
        </w:rPr>
        <w:t>]</w:t>
      </w:r>
      <w:r w:rsidR="00DB731D" w:rsidRPr="00A52585">
        <w:rPr>
          <w:rFonts w:hint="cs"/>
          <w:rtl/>
        </w:rPr>
        <w:t>،</w:t>
      </w:r>
      <w:r w:rsidRPr="00A52585">
        <w:rPr>
          <w:rFonts w:hint="cs"/>
          <w:bCs/>
          <w:rtl/>
        </w:rPr>
        <w:t xml:space="preserve"> </w:t>
      </w:r>
      <w:r w:rsidR="00777DCB" w:rsidRPr="00A52585">
        <w:rPr>
          <w:rFonts w:hint="cs"/>
          <w:rtl/>
        </w:rPr>
        <w:t>ومعناه</w:t>
      </w:r>
      <w:r w:rsidRPr="00A52585">
        <w:rPr>
          <w:rFonts w:hint="cs"/>
          <w:rtl/>
        </w:rPr>
        <w:t xml:space="preserve"> </w:t>
      </w:r>
      <w:r w:rsidR="00777DCB" w:rsidRPr="00A52585">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DB731D" w:rsidRPr="00A52585">
        <w:rPr>
          <w:rFonts w:hint="cs"/>
          <w:rtl/>
        </w:rPr>
        <w:t>،</w:t>
      </w:r>
      <w:r w:rsidR="00777DCB" w:rsidRPr="00A52585">
        <w:rPr>
          <w:rFonts w:hint="cs"/>
          <w:rtl/>
        </w:rPr>
        <w:t xml:space="preserve"> </w:t>
      </w:r>
      <w:r w:rsidR="00777DCB" w:rsidRPr="00A52585">
        <w:rPr>
          <w:rFonts w:hint="cs"/>
          <w:bCs/>
          <w:rtl/>
        </w:rPr>
        <w:t>قال البيضاوي في تفسيره</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rtl/>
        </w:rPr>
        <w:t>وقوله</w:t>
      </w:r>
      <w:r w:rsidRPr="00A52585">
        <w:rPr>
          <w:rFonts w:hint="cs"/>
          <w:rtl/>
        </w:rPr>
        <w:t>:</w:t>
      </w:r>
      <w:r w:rsidR="00777DCB" w:rsidRPr="00A52585">
        <w:rPr>
          <w:rFonts w:hint="cs"/>
          <w:rtl/>
        </w:rPr>
        <w:t xml:space="preserve"> هذا ربي</w:t>
      </w:r>
      <w:r w:rsidR="00DB731D" w:rsidRPr="00A52585">
        <w:rPr>
          <w:rFonts w:hint="cs"/>
          <w:rtl/>
        </w:rPr>
        <w:t>،</w:t>
      </w:r>
      <w:r w:rsidR="00777DCB" w:rsidRPr="00A52585">
        <w:rPr>
          <w:rFonts w:hint="cs"/>
          <w:rtl/>
        </w:rPr>
        <w:t xml:space="preserve"> على سبيل الوضع فإن </w:t>
      </w:r>
      <w:r w:rsidR="00777DCB" w:rsidRPr="00A52585">
        <w:rPr>
          <w:rFonts w:hint="cs"/>
          <w:rtl/>
        </w:rPr>
        <w:lastRenderedPageBreak/>
        <w:t xml:space="preserve">المستدل على فساد قول </w:t>
      </w:r>
      <w:proofErr w:type="spellStart"/>
      <w:r w:rsidR="00777DCB" w:rsidRPr="00A52585">
        <w:rPr>
          <w:rFonts w:hint="cs"/>
          <w:rtl/>
        </w:rPr>
        <w:t>يحكيه</w:t>
      </w:r>
      <w:proofErr w:type="spellEnd"/>
      <w:r w:rsidR="00777DCB" w:rsidRPr="00A52585">
        <w:rPr>
          <w:rFonts w:hint="cs"/>
          <w:rtl/>
        </w:rPr>
        <w:t xml:space="preserve"> على ما يقوله الخصم ثم يكر عليه بالإفساد أو على وجه النظر والاستدلال</w:t>
      </w:r>
      <w:r w:rsidR="00897A24" w:rsidRPr="00A52585">
        <w:rPr>
          <w:rFonts w:hint="cs"/>
          <w:rtl/>
        </w:rPr>
        <w:t>.</w:t>
      </w:r>
      <w:r w:rsidR="00777DCB" w:rsidRPr="00A52585">
        <w:rPr>
          <w:rFonts w:hint="cs"/>
          <w:rtl/>
        </w:rPr>
        <w:t>. فلما أفل أي غاب</w:t>
      </w:r>
      <w:r w:rsidR="00777DCB" w:rsidRPr="00A52585">
        <w:rPr>
          <w:rFonts w:hint="cs"/>
          <w:bCs/>
          <w:rtl/>
        </w:rPr>
        <w:t xml:space="preserve"> قال لا أحب لآفلين فضلا عن عبادتهم فإن الانتقال والاحتجاب بالأستار يقتضي الأمام والحدوث وينافي الألوهية</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rPr>
        <w:t>تفسير البيضاوي ج: 2 ص: 423</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وكما أن ذات الله تعالى منزه عن التغير والحدوث</w:t>
      </w:r>
      <w:r w:rsidR="00DB731D" w:rsidRPr="00A52585">
        <w:rPr>
          <w:rFonts w:hint="cs"/>
          <w:bCs/>
          <w:rtl/>
        </w:rPr>
        <w:t>،</w:t>
      </w:r>
      <w:r w:rsidR="00777DCB" w:rsidRPr="00A52585">
        <w:rPr>
          <w:rFonts w:hint="cs"/>
          <w:bCs/>
          <w:rtl/>
        </w:rPr>
        <w:t xml:space="preserve"> فإنه سبحانه منزه عن قبول الحوادث</w:t>
      </w:r>
      <w:r w:rsidR="00DB731D" w:rsidRPr="00A52585">
        <w:rPr>
          <w:rFonts w:hint="cs"/>
          <w:bCs/>
          <w:rtl/>
        </w:rPr>
        <w:t>،</w:t>
      </w:r>
      <w:r w:rsidR="00777DCB" w:rsidRPr="00A52585">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DB731D" w:rsidRPr="00A52585">
        <w:rPr>
          <w:rFonts w:hint="cs"/>
          <w:rtl/>
        </w:rPr>
        <w:t>،</w:t>
      </w:r>
      <w:r w:rsidR="00777DCB" w:rsidRPr="00A52585">
        <w:rPr>
          <w:rFonts w:hint="cs"/>
          <w:rtl/>
        </w:rPr>
        <w:t xml:space="preserve"> ولهذا اتفق العارفون بأصول الدين وقواعد التنزيه بأن ما قبل الحوادث فهو حادث</w:t>
      </w:r>
      <w:r w:rsidR="00DB731D" w:rsidRPr="00A52585">
        <w:rPr>
          <w:rFonts w:hint="cs"/>
          <w:rtl/>
        </w:rPr>
        <w:t>،</w:t>
      </w:r>
      <w:r w:rsidR="00777DCB" w:rsidRPr="00A52585">
        <w:rPr>
          <w:rFonts w:hint="cs"/>
          <w:rtl/>
        </w:rPr>
        <w:t xml:space="preserve"> وانه ليس في ذات الله تعالى محدث ولا مخلوق لأنه الأول الخالق سبحانه</w:t>
      </w:r>
      <w:r w:rsidR="00DB731D" w:rsidRPr="00A52585">
        <w:rPr>
          <w:rFonts w:eastAsiaTheme="minorEastAsia" w:hint="cs"/>
          <w:rtl/>
        </w:rPr>
        <w:t>،</w:t>
      </w:r>
      <w:r w:rsidR="00777DCB" w:rsidRPr="00A52585">
        <w:rPr>
          <w:rFonts w:eastAsiaTheme="minorEastAsia" w:hint="cs"/>
          <w:rtl/>
        </w:rPr>
        <w:t xml:space="preserve"> كما أنّ </w:t>
      </w:r>
      <w:r w:rsidR="00777DCB" w:rsidRPr="00A52585">
        <w:rPr>
          <w:rFonts w:hint="cs"/>
          <w:rtl/>
        </w:rPr>
        <w:t>قبول الحوادث</w:t>
      </w:r>
      <w:r w:rsidRPr="00A52585">
        <w:rPr>
          <w:rFonts w:hint="cs"/>
          <w:rtl/>
        </w:rPr>
        <w:t xml:space="preserve"> </w:t>
      </w:r>
      <w:r w:rsidR="00777DCB" w:rsidRPr="00A52585">
        <w:rPr>
          <w:rFonts w:hint="cs"/>
          <w:rtl/>
        </w:rPr>
        <w:t>ينافي الأولية والأزلية التي يتصف بها ذات الله تقدس وتعالى</w:t>
      </w:r>
      <w:r w:rsidR="00DB731D" w:rsidRPr="00A52585">
        <w:rPr>
          <w:rFonts w:hint="cs"/>
          <w:rtl/>
        </w:rPr>
        <w:t>،</w:t>
      </w:r>
      <w:r w:rsidR="00777DCB" w:rsidRPr="00A52585">
        <w:rPr>
          <w:rFonts w:hint="cs"/>
          <w:rtl/>
        </w:rPr>
        <w:t xml:space="preserve"> وينافي كمال الذات والصفات</w:t>
      </w:r>
      <w:r w:rsidR="00DB731D" w:rsidRPr="00A52585">
        <w:rPr>
          <w:rFonts w:hint="cs"/>
          <w:rtl/>
        </w:rPr>
        <w:t>،</w:t>
      </w:r>
      <w:r w:rsidR="00777DCB" w:rsidRPr="00A52585">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sidR="00DB731D" w:rsidRPr="00A52585">
        <w:rPr>
          <w:rFonts w:hint="cs"/>
          <w:rtl/>
        </w:rPr>
        <w:t>،</w:t>
      </w:r>
      <w:r w:rsidR="00777DCB" w:rsidRPr="00A52585">
        <w:rPr>
          <w:rFonts w:hint="cs"/>
          <w:rtl/>
        </w:rPr>
        <w:t xml:space="preserve"> ومن أدلة بطلان كونه تعالى محلاًّ للحوادث الحوادث هو ما يطرأ على الذات الحادثة من التغيّرات المختلفة</w:t>
      </w:r>
      <w:r w:rsidR="00DB731D" w:rsidRPr="00A52585">
        <w:rPr>
          <w:rFonts w:hint="cs"/>
          <w:rtl/>
        </w:rPr>
        <w:t>،</w:t>
      </w:r>
      <w:r w:rsidR="00777DCB" w:rsidRPr="00A52585">
        <w:rPr>
          <w:rFonts w:hint="cs"/>
          <w:rtl/>
        </w:rPr>
        <w:t xml:space="preserve"> لأنّ الحوادث تستلزم التغيّر</w:t>
      </w:r>
      <w:r w:rsidR="00DB731D" w:rsidRPr="00A52585">
        <w:rPr>
          <w:rFonts w:hint="cs"/>
          <w:rtl/>
        </w:rPr>
        <w:t>،</w:t>
      </w:r>
      <w:r w:rsidRPr="00A52585">
        <w:rPr>
          <w:rFonts w:hint="cs"/>
          <w:rtl/>
        </w:rPr>
        <w:t xml:space="preserve"> </w:t>
      </w:r>
      <w:r w:rsidR="00777DCB" w:rsidRPr="00A52585">
        <w:rPr>
          <w:rFonts w:hint="cs"/>
          <w:rtl/>
        </w:rPr>
        <w:t>والذات التي يطرأ عليها الحوادث تتغيّر وتنتقل من حالة إلى أخرى بسبب ما اكتسبته من الحوادث</w:t>
      </w:r>
      <w:r w:rsidR="00DB731D" w:rsidRPr="00A52585">
        <w:rPr>
          <w:rFonts w:hint="cs"/>
          <w:rtl/>
        </w:rPr>
        <w:t>،</w:t>
      </w:r>
      <w:r w:rsidR="00777DCB" w:rsidRPr="00A52585">
        <w:rPr>
          <w:rFonts w:hint="cs"/>
          <w:rtl/>
        </w:rPr>
        <w:t xml:space="preserve"> والله تعالى منزه عن التغير والأفول</w:t>
      </w:r>
      <w:r w:rsidR="00DB731D" w:rsidRPr="00A52585">
        <w:rPr>
          <w:rFonts w:hint="cs"/>
          <w:rtl/>
        </w:rPr>
        <w:t>،</w:t>
      </w:r>
      <w:r w:rsidR="00777DCB" w:rsidRPr="00A52585">
        <w:rPr>
          <w:rFonts w:hint="cs"/>
          <w:rtl/>
        </w:rPr>
        <w:t xml:space="preserve"> كما أنّ قبول الحوادث من صفات الأجسام الحادثة</w:t>
      </w:r>
      <w:r w:rsidR="00DB731D" w:rsidRPr="00A52585">
        <w:rPr>
          <w:rFonts w:hint="cs"/>
          <w:rtl/>
        </w:rPr>
        <w:t>،</w:t>
      </w:r>
      <w:r w:rsidR="00777DCB" w:rsidRPr="00A52585">
        <w:rPr>
          <w:rFonts w:hint="cs"/>
          <w:rtl/>
        </w:rPr>
        <w:t xml:space="preserve"> وبما أنّه تعالى قديم الذات فلا يقبل الحادث لأنّ أخص صفات القديم أن لا يقبل الحادث وإلا كان حادثا مثله</w:t>
      </w:r>
      <w:r w:rsidR="00DB731D" w:rsidRPr="00A52585">
        <w:rPr>
          <w:rFonts w:hint="cs"/>
          <w:rtl/>
        </w:rPr>
        <w:t>،</w:t>
      </w:r>
      <w:r w:rsidR="00777DCB" w:rsidRPr="00A52585">
        <w:rPr>
          <w:rFonts w:hint="cs"/>
          <w:rtl/>
        </w:rPr>
        <w:t xml:space="preserve"> وبما أنّه تعالى منزّه عن الأمور المادية والجسمانية</w:t>
      </w:r>
      <w:r w:rsidR="00DB731D" w:rsidRPr="00A52585">
        <w:rPr>
          <w:rFonts w:hint="cs"/>
          <w:rtl/>
        </w:rPr>
        <w:t>،</w:t>
      </w:r>
      <w:r w:rsidR="00777DCB" w:rsidRPr="00A52585">
        <w:rPr>
          <w:rFonts w:hint="cs"/>
          <w:rtl/>
        </w:rPr>
        <w:t xml:space="preserve"> فلهذا يستحيل عليه أن يكون محلاًّ للحوادث</w:t>
      </w:r>
      <w:r w:rsidR="00DB731D" w:rsidRPr="00A52585">
        <w:rPr>
          <w:rFonts w:hint="cs"/>
          <w:rtl/>
        </w:rPr>
        <w:t>،</w:t>
      </w:r>
      <w:r w:rsidRPr="00A52585">
        <w:rPr>
          <w:rFonts w:hint="cs"/>
          <w:rtl/>
        </w:rPr>
        <w:t xml:space="preserve"> </w:t>
      </w:r>
      <w:r w:rsidR="00777DCB" w:rsidRPr="00A52585">
        <w:rPr>
          <w:rFonts w:hint="cs"/>
          <w:rtl/>
        </w:rPr>
        <w:t>إنّ</w:t>
      </w:r>
      <w:r w:rsidRPr="00A52585">
        <w:rPr>
          <w:rFonts w:hint="cs"/>
          <w:rtl/>
        </w:rPr>
        <w:t xml:space="preserve"> </w:t>
      </w:r>
      <w:r w:rsidR="00777DCB" w:rsidRPr="00A52585">
        <w:rPr>
          <w:rFonts w:hint="cs"/>
          <w:rtl/>
        </w:rPr>
        <w:t>كل ما يقوله غير المتخصصون في العقيدة عن حلول الحوادث بذات الله جهل عظيم بالله تعالى وبالواجب والجائز والمستحيل في حق الله سبحانه</w:t>
      </w:r>
      <w:r w:rsidR="00DB731D" w:rsidRPr="00A52585">
        <w:rPr>
          <w:rFonts w:hint="cs"/>
          <w:rtl/>
        </w:rPr>
        <w:t>،</w:t>
      </w:r>
      <w:r w:rsidR="00777DCB" w:rsidRPr="00A52585">
        <w:rPr>
          <w:rFonts w:hint="cs"/>
          <w:rtl/>
        </w:rPr>
        <w:t xml:space="preserve"> ومحاذير قولهم عظيمة</w:t>
      </w:r>
      <w:r w:rsidR="00DB731D" w:rsidRPr="00A52585">
        <w:rPr>
          <w:rFonts w:hint="cs"/>
          <w:rtl/>
        </w:rPr>
        <w:t>،</w:t>
      </w:r>
      <w:r w:rsidR="00777DCB" w:rsidRPr="00A52585">
        <w:rPr>
          <w:rFonts w:hint="cs"/>
          <w:rtl/>
        </w:rPr>
        <w:t xml:space="preserve"> منها</w:t>
      </w:r>
      <w:r w:rsidRPr="00A52585">
        <w:rPr>
          <w:rFonts w:hint="cs"/>
          <w:rtl/>
        </w:rPr>
        <w:t>:</w:t>
      </w:r>
      <w:r w:rsidR="00777DCB" w:rsidRPr="00A52585">
        <w:rPr>
          <w:rFonts w:hint="cs"/>
          <w:rtl/>
        </w:rPr>
        <w:t xml:space="preserve"> أنهم يزعمون أن ذات الله تعالى تقبل الحوادث وهذا معارض بأحدية الذات فإن الله </w:t>
      </w:r>
      <w:r w:rsidRPr="00A52585">
        <w:rPr>
          <w:rFonts w:hint="cs"/>
          <w:rtl/>
        </w:rPr>
        <w:t>(</w:t>
      </w:r>
      <w:r w:rsidR="00777DCB" w:rsidRPr="00A52585">
        <w:rPr>
          <w:rFonts w:hint="cs"/>
          <w:rtl/>
        </w:rPr>
        <w:t>أحد صمد</w:t>
      </w:r>
      <w:r w:rsidRPr="00A52585">
        <w:rPr>
          <w:rFonts w:hint="cs"/>
          <w:rtl/>
        </w:rPr>
        <w:t xml:space="preserve">) </w:t>
      </w:r>
      <w:r w:rsidR="00777DCB" w:rsidRPr="00A52585">
        <w:rPr>
          <w:rFonts w:hint="cs"/>
          <w:rtl/>
        </w:rPr>
        <w:t>لا تتجزأ ذاته ولا تقبل شيئا محدثا فيها</w:t>
      </w:r>
      <w:r w:rsidR="00DB731D" w:rsidRPr="00A52585">
        <w:rPr>
          <w:rFonts w:hint="cs"/>
          <w:rtl/>
        </w:rPr>
        <w:t>،</w:t>
      </w:r>
      <w:r w:rsidR="00777DCB" w:rsidRPr="00A52585">
        <w:rPr>
          <w:rFonts w:hint="cs"/>
          <w:rtl/>
        </w:rPr>
        <w:t xml:space="preserve"> ومنها أنّ القول بقبول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للحادث مرادف للقول بقبول الذات للمخلوق لأن الحادث مخلوق وكل ما لم يكن ثم كان فإنه مخلوق لا معنى له إلا ذاك</w:t>
      </w:r>
      <w:r w:rsidR="00DB731D" w:rsidRPr="00A52585">
        <w:rPr>
          <w:rFonts w:hint="cs"/>
          <w:rtl/>
        </w:rPr>
        <w:t>،</w:t>
      </w:r>
      <w:r w:rsidR="00777DCB" w:rsidRPr="00A52585">
        <w:rPr>
          <w:rFonts w:hint="cs"/>
          <w:rtl/>
        </w:rPr>
        <w:t xml:space="preserve"> فهل يقبلون</w:t>
      </w:r>
      <w:r w:rsidRPr="00A52585">
        <w:rPr>
          <w:rFonts w:hint="cs"/>
          <w:rtl/>
        </w:rPr>
        <w:t xml:space="preserve"> </w:t>
      </w:r>
      <w:r w:rsidR="00777DCB" w:rsidRPr="00A52585">
        <w:rPr>
          <w:rFonts w:hint="cs"/>
          <w:rtl/>
        </w:rPr>
        <w:t>بهذا القول الفاحش الذي يؤول إلى القول بالاتحاد والحلول بين المخلوق والخالق سبحان الله عما يصفون</w:t>
      </w:r>
      <w:r w:rsidR="00DB731D" w:rsidRPr="00A52585">
        <w:rPr>
          <w:rFonts w:hint="cs"/>
          <w:rtl/>
        </w:rPr>
        <w:t>،</w:t>
      </w:r>
      <w:r w:rsidR="00777DCB" w:rsidRPr="00A52585">
        <w:rPr>
          <w:rFonts w:hint="cs"/>
          <w:rtl/>
        </w:rPr>
        <w:t xml:space="preserve"> ومنها أنّ القول بقبول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للحادث ما هو إلا تكييف لذات الله تقدس وتعالى بقياسها على ذات المخلوق</w:t>
      </w:r>
      <w:r w:rsidR="00DB731D" w:rsidRPr="00A52585">
        <w:rPr>
          <w:rFonts w:hint="cs"/>
          <w:rtl/>
        </w:rPr>
        <w:t>،</w:t>
      </w:r>
      <w:r w:rsidR="00777DCB" w:rsidRPr="00A52585">
        <w:rPr>
          <w:rFonts w:hint="cs"/>
          <w:rtl/>
        </w:rPr>
        <w:t xml:space="preserve"> حيث أن المخلوق لا يقوم بعمل في الخارج إلا إذا حدثت الإرادة في الداخل</w:t>
      </w:r>
      <w:r w:rsidR="00DB731D" w:rsidRPr="00A52585">
        <w:rPr>
          <w:rFonts w:hint="cs"/>
          <w:rtl/>
        </w:rPr>
        <w:t>،</w:t>
      </w:r>
      <w:r w:rsidR="00777DCB" w:rsidRPr="00A52585">
        <w:rPr>
          <w:rFonts w:hint="cs"/>
          <w:rtl/>
        </w:rPr>
        <w:t xml:space="preserve"> وهذا حال المخلوق لأنه كله محدث يقبل الحوادث</w:t>
      </w:r>
      <w:r w:rsidR="00DB731D" w:rsidRPr="00A52585">
        <w:rPr>
          <w:rFonts w:hint="cs"/>
          <w:rtl/>
        </w:rPr>
        <w:t>،</w:t>
      </w:r>
      <w:r w:rsidR="00777DCB" w:rsidRPr="00A52585">
        <w:rPr>
          <w:rFonts w:hint="cs"/>
          <w:rtl/>
        </w:rPr>
        <w:t xml:space="preserve"> فهل يجوز قياس حالة الخالق الأزلي الذي ليس كمثله شيء على حالة المخلوق الحادث</w:t>
      </w:r>
      <w:r w:rsidR="00DB731D" w:rsidRPr="00A52585">
        <w:rPr>
          <w:rFonts w:hint="cs"/>
          <w:rtl/>
        </w:rPr>
        <w:t>،</w:t>
      </w:r>
      <w:r w:rsidR="00777DCB" w:rsidRPr="00A52585">
        <w:rPr>
          <w:rFonts w:hint="cs"/>
          <w:rtl/>
        </w:rPr>
        <w:t xml:space="preserve"> وهل يجوز عند اولى الألباب </w:t>
      </w:r>
      <w:r w:rsidR="00777DCB" w:rsidRPr="00A52585">
        <w:rPr>
          <w:rFonts w:hint="cs"/>
          <w:rtl/>
        </w:rPr>
        <w:lastRenderedPageBreak/>
        <w:t>قياس إرادة الله الأزلية القديمة على إرادة المخلوق المحدثة المخلوقة</w:t>
      </w:r>
      <w:r w:rsidR="00DB731D" w:rsidRPr="00A52585">
        <w:rPr>
          <w:rFonts w:hint="cs"/>
          <w:rtl/>
        </w:rPr>
        <w:t>،</w:t>
      </w:r>
      <w:r w:rsidR="00777DCB" w:rsidRPr="00A52585">
        <w:rPr>
          <w:rFonts w:hint="cs"/>
          <w:rtl/>
        </w:rPr>
        <w:t xml:space="preserve"> سبحانك هذا بهتان عظيم</w:t>
      </w:r>
      <w:r w:rsidR="00DB731D" w:rsidRPr="00A52585">
        <w:rPr>
          <w:rFonts w:hint="cs"/>
          <w:rtl/>
        </w:rPr>
        <w:t>،</w:t>
      </w:r>
      <w:r w:rsidR="00777DCB" w:rsidRPr="00A52585">
        <w:rPr>
          <w:rFonts w:hint="cs"/>
          <w:rtl/>
        </w:rPr>
        <w:t xml:space="preserve"> كما أنّهم يقيسون صفة الكلام لله تعالى وهي صفة أزلية قديمة لله لها الكمال المطلق</w:t>
      </w:r>
      <w:r w:rsidR="00DB731D" w:rsidRPr="00A52585">
        <w:rPr>
          <w:rFonts w:hint="cs"/>
          <w:rtl/>
        </w:rPr>
        <w:t>،</w:t>
      </w:r>
      <w:r w:rsidR="00777DCB" w:rsidRPr="00A52585">
        <w:rPr>
          <w:rFonts w:hint="cs"/>
          <w:rtl/>
        </w:rPr>
        <w:t xml:space="preserve"> على كلام البشر فيقولون _ هداهم الله _ إن صفة الكلام لله صفة فعلية تتعلق بالإرادة وأن الله يتكلم بما شاء متى شاء</w:t>
      </w:r>
      <w:r w:rsidR="00DB731D" w:rsidRPr="00A52585">
        <w:rPr>
          <w:rFonts w:hint="cs"/>
          <w:rtl/>
        </w:rPr>
        <w:t>،</w:t>
      </w:r>
      <w:r w:rsidR="00777DCB" w:rsidRPr="00A52585">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Pr="00A52585">
        <w:rPr>
          <w:rFonts w:hint="cs"/>
          <w:rtl/>
        </w:rPr>
        <w:t>:</w:t>
      </w:r>
      <w:r w:rsidR="00777DCB" w:rsidRPr="00A52585">
        <w:rPr>
          <w:rFonts w:hint="cs"/>
          <w:rtl/>
        </w:rPr>
        <w:t xml:space="preserve"> إن القرآن محدث وليس قديما</w:t>
      </w:r>
      <w:r w:rsidR="00DB731D" w:rsidRPr="00A52585">
        <w:rPr>
          <w:rFonts w:hint="cs"/>
          <w:rtl/>
        </w:rPr>
        <w:t>،</w:t>
      </w:r>
      <w:r w:rsidR="00777DCB" w:rsidRPr="00A52585">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sidRPr="00A52585">
        <w:rPr>
          <w:rFonts w:hint="cs"/>
          <w:rtl/>
        </w:rPr>
        <w:t xml:space="preserve"> </w:t>
      </w:r>
      <w:r w:rsidR="00777DCB" w:rsidRPr="00A52585">
        <w:rPr>
          <w:rFonts w:hint="cs"/>
          <w:rtl/>
        </w:rPr>
        <w:t>لا تتعلق</w:t>
      </w:r>
      <w:r w:rsidRPr="00A52585">
        <w:rPr>
          <w:rFonts w:hint="cs"/>
          <w:rtl/>
        </w:rPr>
        <w:t xml:space="preserve"> </w:t>
      </w:r>
      <w:r w:rsidR="00777DCB" w:rsidRPr="00A52585">
        <w:rPr>
          <w:rFonts w:hint="cs"/>
          <w:rtl/>
        </w:rPr>
        <w:t>بإرادة الله</w:t>
      </w:r>
      <w:r w:rsidR="00DB731D" w:rsidRPr="00A52585">
        <w:rPr>
          <w:rFonts w:hint="cs"/>
          <w:rtl/>
        </w:rPr>
        <w:t>،</w:t>
      </w:r>
      <w:r w:rsidR="00777DCB" w:rsidRPr="00A52585">
        <w:rPr>
          <w:rFonts w:hint="cs"/>
          <w:rtl/>
        </w:rPr>
        <w:t xml:space="preserve"> بمعنى أنه لا يجوز القول</w:t>
      </w:r>
      <w:r w:rsidRPr="00A52585">
        <w:rPr>
          <w:rFonts w:hint="cs"/>
          <w:rtl/>
        </w:rPr>
        <w:t>:</w:t>
      </w:r>
      <w:r w:rsidR="00777DCB" w:rsidRPr="00A52585">
        <w:rPr>
          <w:rFonts w:hint="cs"/>
          <w:rtl/>
        </w:rPr>
        <w:t xml:space="preserve"> أنه سبحانه يعلم متى شاء ولا يعلم متى شاء</w:t>
      </w:r>
      <w:r w:rsidR="00DB731D" w:rsidRPr="00A52585">
        <w:rPr>
          <w:rFonts w:hint="cs"/>
          <w:rtl/>
        </w:rPr>
        <w:t>،</w:t>
      </w:r>
      <w:r w:rsidR="00777DCB" w:rsidRPr="00A52585">
        <w:rPr>
          <w:rFonts w:hint="cs"/>
          <w:rtl/>
        </w:rPr>
        <w:t xml:space="preserve"> لأنه يحد علم الله الذي له الكمال</w:t>
      </w:r>
      <w:r w:rsidR="00DB731D" w:rsidRPr="00A52585">
        <w:rPr>
          <w:rFonts w:hint="cs"/>
          <w:rtl/>
        </w:rPr>
        <w:t>،</w:t>
      </w:r>
      <w:r w:rsidR="00777DCB" w:rsidRPr="00A52585">
        <w:rPr>
          <w:rFonts w:hint="cs"/>
          <w:rtl/>
        </w:rPr>
        <w:t xml:space="preserve"> فكذلك الكلام صفة قديمة لله معنوية لا تتعلق</w:t>
      </w:r>
      <w:r w:rsidRPr="00A52585">
        <w:rPr>
          <w:rFonts w:hint="cs"/>
          <w:rtl/>
        </w:rPr>
        <w:t xml:space="preserve"> </w:t>
      </w:r>
      <w:r w:rsidR="00777DCB" w:rsidRPr="00A52585">
        <w:rPr>
          <w:rFonts w:hint="cs"/>
          <w:rtl/>
        </w:rPr>
        <w:t>بأفعال الله ولا بإرادة الله</w:t>
      </w:r>
      <w:r w:rsidR="00DB731D" w:rsidRPr="00A52585">
        <w:rPr>
          <w:rFonts w:hint="cs"/>
          <w:rtl/>
        </w:rPr>
        <w:t>،،</w:t>
      </w:r>
      <w:r w:rsidRPr="00A52585">
        <w:rPr>
          <w:rFonts w:hint="cs"/>
          <w:rtl/>
        </w:rPr>
        <w:t xml:space="preserve"> </w:t>
      </w:r>
      <w:r w:rsidR="00777DCB" w:rsidRPr="00A52585">
        <w:rPr>
          <w:rFonts w:hint="cs"/>
          <w:rtl/>
        </w:rPr>
        <w:t>وهم جعلوه محدثا يفعله الله متى شاء مثله مثل الخلق والرزق يخلق من شاء متى شاء</w:t>
      </w:r>
      <w:r w:rsidR="00DB731D" w:rsidRPr="00A52585">
        <w:rPr>
          <w:rFonts w:hint="cs"/>
          <w:rtl/>
        </w:rPr>
        <w:t>،</w:t>
      </w:r>
      <w:r w:rsidR="00777DCB" w:rsidRPr="00A52585">
        <w:rPr>
          <w:rFonts w:hint="cs"/>
          <w:rtl/>
        </w:rPr>
        <w:t xml:space="preserve"> ويرزق من يشاء متى شاء</w:t>
      </w:r>
      <w:r w:rsidR="00DB731D" w:rsidRPr="00A52585">
        <w:rPr>
          <w:rFonts w:hint="cs"/>
          <w:rtl/>
        </w:rPr>
        <w:t>،</w:t>
      </w:r>
      <w:r w:rsidR="00777DCB" w:rsidRPr="00A52585">
        <w:rPr>
          <w:rFonts w:hint="cs"/>
          <w:rtl/>
        </w:rPr>
        <w:t xml:space="preserve"> وصار القرآن الكريم كلام الله تعالى بلازم قولهم</w:t>
      </w:r>
      <w:r w:rsidRPr="00A52585">
        <w:rPr>
          <w:rFonts w:hint="cs"/>
          <w:rtl/>
        </w:rPr>
        <w:t xml:space="preserve"> </w:t>
      </w:r>
      <w:r w:rsidR="00777DCB" w:rsidRPr="00A52585">
        <w:rPr>
          <w:rFonts w:hint="cs"/>
          <w:rtl/>
        </w:rPr>
        <w:t>محدثا مخلوقا</w:t>
      </w:r>
      <w:r w:rsidR="00DB731D" w:rsidRPr="00A52585">
        <w:rPr>
          <w:rFonts w:hint="cs"/>
          <w:rtl/>
        </w:rPr>
        <w:t>،</w:t>
      </w:r>
      <w:r w:rsidR="00777DCB" w:rsidRPr="00A52585">
        <w:rPr>
          <w:rFonts w:hint="cs"/>
          <w:rtl/>
        </w:rPr>
        <w:t xml:space="preserve"> فانظر هداك الله الفرق بين المذهبين</w:t>
      </w:r>
      <w:r w:rsidR="00DB731D" w:rsidRPr="00A52585">
        <w:rPr>
          <w:rFonts w:hint="cs"/>
          <w:rtl/>
        </w:rPr>
        <w:t>،</w:t>
      </w:r>
      <w:r w:rsidR="00777DCB" w:rsidRPr="00A52585">
        <w:rPr>
          <w:rFonts w:hint="cs"/>
          <w:rtl/>
        </w:rPr>
        <w:t xml:space="preserve"> مذهب التنزيه والفقه في دين الله</w:t>
      </w:r>
      <w:r w:rsidR="00DB731D" w:rsidRPr="00A52585">
        <w:rPr>
          <w:rFonts w:hint="cs"/>
          <w:rtl/>
        </w:rPr>
        <w:t>،</w:t>
      </w:r>
      <w:r w:rsidR="00777DCB" w:rsidRPr="00A52585">
        <w:rPr>
          <w:rFonts w:hint="cs"/>
          <w:rtl/>
        </w:rPr>
        <w:t xml:space="preserve"> ومذهب التكييف والجهل في ذات الله تعالى وصفاته وأفعاله</w:t>
      </w:r>
      <w:r w:rsidR="00DB731D" w:rsidRPr="00A52585">
        <w:rPr>
          <w:rFonts w:hint="cs"/>
          <w:rtl/>
        </w:rPr>
        <w:t>،</w:t>
      </w:r>
      <w:r w:rsidR="00777DCB" w:rsidRPr="00A52585">
        <w:rPr>
          <w:rFonts w:hint="cs"/>
          <w:rtl/>
        </w:rPr>
        <w:t xml:space="preserve"> </w:t>
      </w:r>
      <w:r w:rsidR="00777DCB" w:rsidRPr="00A52585">
        <w:rPr>
          <w:rFonts w:hint="cs"/>
          <w:rtl/>
        </w:rPr>
        <w:tab/>
        <w:t xml:space="preserve">وعلى مذهبهم لو جاز أن يقوم بذاته قول حادث جاز لغيرهم أن يقول بعلم حادث ويستدل بظاهر القرآن كقوله تعالى </w:t>
      </w:r>
      <w:r w:rsidRPr="00A52585">
        <w:rPr>
          <w:rFonts w:hint="cs"/>
          <w:rtl/>
        </w:rPr>
        <w:t>(</w:t>
      </w:r>
      <w:r w:rsidR="00777DCB" w:rsidRPr="00A52585">
        <w:rPr>
          <w:rFonts w:hint="cs"/>
          <w:rtl/>
        </w:rPr>
        <w:t>وَلَمَّا يَعْلَمِ اللَّهُ الَّذِينَ جَاهَدُوا مِنْكُمْ وَيَعْلَمَ الصَّابِرِينَ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آل عمران\142] وجاز لغيرهم أيضا أن يقول بإرادة حادثة ويستدل بظاهر القرآن كقوله تعالى </w:t>
      </w:r>
      <w:r w:rsidRPr="00A52585">
        <w:rPr>
          <w:rFonts w:hint="cs"/>
          <w:rtl/>
        </w:rPr>
        <w:t>(</w:t>
      </w:r>
      <w:r w:rsidR="00777DCB" w:rsidRPr="00A52585">
        <w:rPr>
          <w:rFonts w:hint="cs"/>
          <w:rtl/>
        </w:rPr>
        <w:t>يُرِيدُ اللَّهُ بِكُمُ الْيُسْرَ وَلَا يُرِيدُ بِكُمُ الْعُسْرَ</w:t>
      </w:r>
      <w:r w:rsidRPr="00A52585">
        <w:rPr>
          <w:rFonts w:hint="cs"/>
          <w:rtl/>
        </w:rPr>
        <w:t>)</w:t>
      </w:r>
      <w:r w:rsidR="00777DCB" w:rsidRPr="00A52585">
        <w:rPr>
          <w:rFonts w:hint="cs"/>
          <w:rtl/>
        </w:rPr>
        <w:t xml:space="preserve"> ويتبجح بما أجازه أولئك من قيام الحوادث بذات الله تعالى</w:t>
      </w:r>
      <w:r w:rsidR="00DB731D" w:rsidRPr="00A52585">
        <w:rPr>
          <w:rFonts w:hint="cs"/>
          <w:rtl/>
        </w:rPr>
        <w:t>،</w:t>
      </w:r>
      <w:r w:rsidR="00777DCB" w:rsidRPr="00A52585">
        <w:rPr>
          <w:rFonts w:hint="cs"/>
          <w:rtl/>
        </w:rPr>
        <w:t xml:space="preserve"> وهل هذا كله إلا جهل عظيم بالله تعالى وصفاته (سُبْحَانَهُ وَتَعَالَى عَمَّا يَصِفُونَ</w:t>
      </w:r>
      <w:r w:rsidRPr="00A52585">
        <w:rPr>
          <w:rFonts w:hint="cs"/>
          <w:rtl/>
        </w:rPr>
        <w:t>)</w:t>
      </w:r>
      <w:r w:rsidR="00DB731D" w:rsidRPr="00A52585">
        <w:rPr>
          <w:rFonts w:hint="cs"/>
          <w:rtl/>
        </w:rPr>
        <w:t>،</w:t>
      </w:r>
      <w:r w:rsidRPr="00A52585">
        <w:rPr>
          <w:rFonts w:hint="cs"/>
          <w:rtl/>
        </w:rPr>
        <w:t xml:space="preserve"> </w:t>
      </w:r>
    </w:p>
    <w:p w14:paraId="21846E1B" w14:textId="56CFF48E" w:rsidR="00777DCB" w:rsidRPr="00A52585" w:rsidRDefault="0002035C" w:rsidP="0002035C">
      <w:pPr>
        <w:rPr>
          <w:b/>
          <w:lang w:bidi="ar-KW"/>
        </w:rPr>
      </w:pPr>
      <w:r w:rsidRPr="00A52585">
        <w:rPr>
          <w:rFonts w:cs="Monotype Koufi" w:hint="cs"/>
          <w:rtl/>
          <w:lang w:bidi="ar-KW"/>
        </w:rPr>
        <w:t>[</w:t>
      </w:r>
      <w:r w:rsidR="00777DCB" w:rsidRPr="00A52585">
        <w:rPr>
          <w:rFonts w:cs="Monotype Koufi" w:hint="cs"/>
          <w:rtl/>
          <w:lang w:bidi="ar-KW"/>
        </w:rPr>
        <w:t>6</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الجسمية التي تتصف بها ذات المخلوق</w:t>
      </w:r>
      <w:r w:rsidRPr="00A52585">
        <w:rPr>
          <w:rFonts w:cs="Monotype Koufi"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الجسم</w:t>
      </w:r>
      <w:r w:rsidRPr="00A52585">
        <w:rPr>
          <w:rFonts w:hint="cs"/>
          <w:rtl/>
          <w:lang w:bidi="ar-KW"/>
        </w:rPr>
        <w:t>)</w:t>
      </w:r>
      <w:r w:rsidR="00777DCB" w:rsidRPr="00A52585">
        <w:rPr>
          <w:rFonts w:hint="cs"/>
          <w:rtl/>
          <w:lang w:bidi="ar-KW"/>
        </w:rPr>
        <w:t xml:space="preserve"> هو الشيء المؤلف المركب من أجزاء</w:t>
      </w:r>
      <w:r w:rsidR="00DB731D" w:rsidRPr="00A52585">
        <w:rPr>
          <w:rFonts w:hint="cs"/>
          <w:rtl/>
          <w:lang w:bidi="ar-KW"/>
        </w:rPr>
        <w:t>،</w:t>
      </w:r>
      <w:r w:rsidR="00777DCB" w:rsidRPr="00A52585">
        <w:rPr>
          <w:rFonts w:hint="cs"/>
          <w:rtl/>
          <w:lang w:bidi="ar-KW"/>
        </w:rPr>
        <w:t xml:space="preserve"> وكلما كثرت </w:t>
      </w:r>
      <w:proofErr w:type="spellStart"/>
      <w:r w:rsidR="00777DCB" w:rsidRPr="00A52585">
        <w:rPr>
          <w:rFonts w:hint="cs"/>
          <w:rtl/>
          <w:lang w:bidi="ar-KW"/>
        </w:rPr>
        <w:t>تآليف</w:t>
      </w:r>
      <w:proofErr w:type="spellEnd"/>
      <w:r w:rsidR="00777DCB" w:rsidRPr="00A52585">
        <w:rPr>
          <w:rFonts w:hint="cs"/>
          <w:rtl/>
          <w:lang w:bidi="ar-KW"/>
        </w:rPr>
        <w:t xml:space="preserve"> ذلك الشيء وزاد حجمه كان أجسم من غيره</w:t>
      </w:r>
      <w:r w:rsidR="00DB731D" w:rsidRPr="00A52585">
        <w:rPr>
          <w:rFonts w:hint="cs"/>
          <w:rtl/>
          <w:lang w:bidi="ar-KW"/>
        </w:rPr>
        <w:t>،</w:t>
      </w:r>
      <w:r w:rsidR="00777DCB" w:rsidRPr="00A52585">
        <w:rPr>
          <w:rFonts w:hint="cs"/>
          <w:rtl/>
          <w:lang w:bidi="ar-KW"/>
        </w:rPr>
        <w:t xml:space="preserve"> قال تعالى </w:t>
      </w:r>
      <w:r w:rsidRPr="00A52585">
        <w:rPr>
          <w:rFonts w:hint="cs"/>
          <w:rtl/>
          <w:lang w:bidi="ar-KW"/>
        </w:rPr>
        <w:t>{</w:t>
      </w:r>
      <w:r w:rsidR="00777DCB" w:rsidRPr="00A52585">
        <w:rPr>
          <w:rFonts w:hint="cs"/>
          <w:rtl/>
          <w:lang w:bidi="ar-KW"/>
        </w:rPr>
        <w:t>وزاده بسطة في العلم والجسم</w:t>
      </w:r>
      <w:r w:rsidRPr="00A52585">
        <w:rPr>
          <w:rFonts w:hint="cs"/>
          <w:rtl/>
          <w:lang w:bidi="ar-KW"/>
        </w:rPr>
        <w:t>}</w:t>
      </w:r>
      <w:r w:rsidR="00DB731D" w:rsidRPr="00A52585">
        <w:rPr>
          <w:rFonts w:hint="cs"/>
          <w:rtl/>
          <w:lang w:bidi="ar-KW"/>
        </w:rPr>
        <w:t>،</w:t>
      </w:r>
      <w:r w:rsidR="00777DCB" w:rsidRPr="00A52585">
        <w:rPr>
          <w:rFonts w:hint="cs"/>
          <w:rtl/>
          <w:lang w:bidi="ar-KW"/>
        </w:rPr>
        <w:t xml:space="preserve"> ومن خصائص الجسم أنه مكون من أجزاء وأن له طول وعرض وعمق وحجم ومقدار يكسبه وصف الجسم</w:t>
      </w:r>
      <w:r w:rsidR="00DB731D" w:rsidRPr="00A52585">
        <w:rPr>
          <w:rFonts w:hint="cs"/>
          <w:rtl/>
          <w:lang w:bidi="ar-KW"/>
        </w:rPr>
        <w:t>،</w:t>
      </w:r>
      <w:r w:rsidR="00777DCB" w:rsidRPr="00A52585">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DB731D" w:rsidRPr="00A52585">
        <w:rPr>
          <w:rFonts w:hint="cs"/>
          <w:rtl/>
          <w:lang w:bidi="ar-KW"/>
        </w:rPr>
        <w:t>،</w:t>
      </w:r>
      <w:r w:rsidR="00777DCB" w:rsidRPr="00A52585">
        <w:rPr>
          <w:rFonts w:hint="cs"/>
          <w:rtl/>
          <w:lang w:bidi="ar-KW"/>
        </w:rPr>
        <w:t xml:space="preserve"> وبالجملة فإن الجسمية دليل على كون صاحبها مخلوق محدود مقدر</w:t>
      </w:r>
      <w:r w:rsidR="00DB731D" w:rsidRPr="00A52585">
        <w:rPr>
          <w:rFonts w:hint="cs"/>
          <w:rtl/>
          <w:lang w:bidi="ar-KW"/>
        </w:rPr>
        <w:t>،</w:t>
      </w:r>
      <w:r w:rsidR="00777DCB" w:rsidRPr="00A52585">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DB731D" w:rsidRPr="00A52585">
        <w:rPr>
          <w:rFonts w:hint="cs"/>
          <w:rtl/>
          <w:lang w:bidi="ar-KW"/>
        </w:rPr>
        <w:t>،</w:t>
      </w:r>
      <w:r w:rsidR="00777DCB" w:rsidRPr="00A52585">
        <w:rPr>
          <w:rFonts w:hint="cs"/>
          <w:rtl/>
          <w:lang w:bidi="ar-KW"/>
        </w:rPr>
        <w:t xml:space="preserve"> الجاهلين بما يستحيل وصف الله تعالى به من النقائص والعيوب التي تنزه الله عنها</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ب</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الجسمية</w:t>
      </w:r>
      <w:r w:rsidRPr="00A52585">
        <w:rPr>
          <w:rFonts w:hint="cs"/>
          <w:rtl/>
          <w:lang w:bidi="ar-KW"/>
        </w:rPr>
        <w:t>)</w:t>
      </w:r>
      <w:r w:rsidR="00777DCB" w:rsidRPr="00A52585">
        <w:rPr>
          <w:rFonts w:hint="cs"/>
          <w:rtl/>
          <w:lang w:bidi="ar-KW"/>
        </w:rPr>
        <w:t xml:space="preserve"> تعني صفات وخصائص يستحيل نسبتها إلى الله منها</w:t>
      </w:r>
      <w:r w:rsidRPr="00A52585">
        <w:rPr>
          <w:rFonts w:hint="cs"/>
          <w:rtl/>
          <w:lang w:bidi="ar-KW"/>
        </w:rPr>
        <w:t>:</w:t>
      </w:r>
      <w:r w:rsidR="00777DCB" w:rsidRPr="00A52585">
        <w:rPr>
          <w:rFonts w:hint="cs"/>
          <w:rtl/>
          <w:lang w:bidi="ar-KW"/>
        </w:rPr>
        <w:t xml:space="preserve"> </w:t>
      </w:r>
      <w:r w:rsidR="00777DCB" w:rsidRPr="00A52585">
        <w:rPr>
          <w:rFonts w:hint="cs"/>
          <w:rtl/>
          <w:lang w:bidi="ar-KW"/>
        </w:rPr>
        <w:lastRenderedPageBreak/>
        <w:t>الحد والمقدار</w:t>
      </w:r>
      <w:r w:rsidR="00DB731D" w:rsidRPr="00A52585">
        <w:rPr>
          <w:rFonts w:hint="cs"/>
          <w:rtl/>
          <w:lang w:bidi="ar-KW"/>
        </w:rPr>
        <w:t>،</w:t>
      </w:r>
      <w:r w:rsidR="00777DCB" w:rsidRPr="00A52585">
        <w:rPr>
          <w:rFonts w:hint="cs"/>
          <w:rtl/>
          <w:lang w:bidi="ar-KW"/>
        </w:rPr>
        <w:t xml:space="preserve"> وهذا _ كما سبق بيانه _ مما تنزه الله تعالى عنه لان الحد نقص عن الكمال والله سبحانه منزه عن النقص</w:t>
      </w:r>
      <w:r w:rsidR="00DB731D" w:rsidRPr="00A52585">
        <w:rPr>
          <w:rFonts w:hint="cs"/>
          <w:rtl/>
          <w:lang w:bidi="ar-KW"/>
        </w:rPr>
        <w:t>،</w:t>
      </w:r>
      <w:r w:rsidR="00777DCB" w:rsidRPr="00A52585">
        <w:rPr>
          <w:rFonts w:hint="cs"/>
          <w:rtl/>
          <w:lang w:bidi="ar-KW"/>
        </w:rPr>
        <w:t xml:space="preserve"> ومنها التحيز والكون في المكان</w:t>
      </w:r>
      <w:r w:rsidR="00DB731D" w:rsidRPr="00A52585">
        <w:rPr>
          <w:rFonts w:hint="cs"/>
          <w:rtl/>
          <w:lang w:bidi="ar-KW"/>
        </w:rPr>
        <w:t>،</w:t>
      </w:r>
      <w:r w:rsidR="00777DCB" w:rsidRPr="00A52585">
        <w:rPr>
          <w:rFonts w:hint="cs"/>
          <w:rtl/>
          <w:lang w:bidi="ar-KW"/>
        </w:rPr>
        <w:t xml:space="preserve"> وهذا _ كما سبق بيانه _ مما تنزه الله تعالى عنه لأن خالق المكان منزه عنه مستغن عنه</w:t>
      </w:r>
      <w:r w:rsidR="00DB731D" w:rsidRPr="00A52585">
        <w:rPr>
          <w:rFonts w:hint="cs"/>
          <w:rtl/>
          <w:lang w:bidi="ar-KW"/>
        </w:rPr>
        <w:t>،</w:t>
      </w:r>
      <w:r w:rsidR="00777DCB" w:rsidRPr="00A52585">
        <w:rPr>
          <w:rFonts w:hint="cs"/>
          <w:rtl/>
          <w:lang w:bidi="ar-KW"/>
        </w:rPr>
        <w:t xml:space="preserve"> كما أنّ المكان يحيط بمن داخله</w:t>
      </w:r>
      <w:r w:rsidR="00DB731D" w:rsidRPr="00A52585">
        <w:rPr>
          <w:rFonts w:hint="cs"/>
          <w:rtl/>
          <w:lang w:bidi="ar-KW"/>
        </w:rPr>
        <w:t>،</w:t>
      </w:r>
      <w:r w:rsidR="00777DCB" w:rsidRPr="00A52585">
        <w:rPr>
          <w:rFonts w:hint="cs"/>
          <w:rtl/>
          <w:lang w:bidi="ar-KW"/>
        </w:rPr>
        <w:t xml:space="preserve"> والله تعالى لا يحيط به شيء</w:t>
      </w:r>
      <w:r w:rsidR="00DB731D" w:rsidRPr="00A52585">
        <w:rPr>
          <w:rFonts w:hint="cs"/>
          <w:rtl/>
          <w:lang w:bidi="ar-KW"/>
        </w:rPr>
        <w:t>،</w:t>
      </w:r>
      <w:r w:rsidRPr="00A52585">
        <w:rPr>
          <w:rFonts w:hint="cs"/>
          <w:rtl/>
          <w:lang w:bidi="ar-KW"/>
        </w:rPr>
        <w:t xml:space="preserve"> </w:t>
      </w:r>
      <w:r w:rsidR="00777DCB" w:rsidRPr="00A52585">
        <w:rPr>
          <w:rFonts w:hint="cs"/>
          <w:rtl/>
          <w:lang w:bidi="ar-KW"/>
        </w:rPr>
        <w:t>ألا إنه بكل شيء محيط</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ت</w:t>
      </w:r>
      <w:r w:rsidRPr="00A52585">
        <w:rPr>
          <w:rFonts w:hint="cs"/>
          <w:rtl/>
          <w:lang w:bidi="ar-KW"/>
        </w:rPr>
        <w:t>)</w:t>
      </w:r>
      <w:r w:rsidR="00777DCB" w:rsidRPr="00A52585">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sidR="00DB731D" w:rsidRPr="00A52585">
        <w:rPr>
          <w:rFonts w:hint="cs"/>
          <w:rtl/>
          <w:lang w:bidi="ar-KW"/>
        </w:rPr>
        <w:t>،</w:t>
      </w:r>
      <w:r w:rsidR="00777DCB" w:rsidRPr="00A52585">
        <w:rPr>
          <w:rFonts w:hint="cs"/>
          <w:rtl/>
          <w:lang w:bidi="ar-KW"/>
        </w:rPr>
        <w:t xml:space="preserve"> والجسمية تعني قابلية الانقسام</w:t>
      </w:r>
      <w:r w:rsidRPr="00A52585">
        <w:rPr>
          <w:rFonts w:hint="cs"/>
          <w:rtl/>
          <w:lang w:bidi="ar-KW"/>
        </w:rPr>
        <w:t xml:space="preserve"> </w:t>
      </w:r>
      <w:r w:rsidR="00777DCB" w:rsidRPr="00A52585">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ث</w:t>
      </w:r>
      <w:r w:rsidRPr="00A52585">
        <w:rPr>
          <w:rFonts w:hint="cs"/>
          <w:rtl/>
          <w:lang w:bidi="ar-KW"/>
        </w:rPr>
        <w:t>)</w:t>
      </w:r>
      <w:r w:rsidR="00777DCB" w:rsidRPr="00A52585">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ج</w:t>
      </w:r>
      <w:r w:rsidRPr="00A52585">
        <w:rPr>
          <w:rFonts w:hint="cs"/>
          <w:rtl/>
          <w:lang w:bidi="ar-KW"/>
        </w:rPr>
        <w:t>)</w:t>
      </w:r>
      <w:r w:rsidR="00777DCB" w:rsidRPr="00A52585">
        <w:rPr>
          <w:rFonts w:hint="cs"/>
          <w:rtl/>
          <w:lang w:bidi="ar-KW"/>
        </w:rPr>
        <w:t xml:space="preserve"> الجسم مادة</w:t>
      </w:r>
      <w:r w:rsidR="00DB731D" w:rsidRPr="00A52585">
        <w:rPr>
          <w:rFonts w:hint="cs"/>
          <w:rtl/>
          <w:lang w:bidi="ar-KW"/>
        </w:rPr>
        <w:t>،</w:t>
      </w:r>
      <w:r w:rsidR="00777DCB" w:rsidRPr="00A52585">
        <w:rPr>
          <w:rFonts w:hint="cs"/>
          <w:rtl/>
          <w:lang w:bidi="ar-KW"/>
        </w:rPr>
        <w:t xml:space="preserve"> وذات الله تعالى لا تسري عليه قوانين المادة</w:t>
      </w:r>
      <w:r w:rsidR="00DB731D" w:rsidRPr="00A52585">
        <w:rPr>
          <w:rFonts w:hint="cs"/>
          <w:rtl/>
          <w:lang w:bidi="ar-KW"/>
        </w:rPr>
        <w:t>،</w:t>
      </w:r>
      <w:r w:rsidR="00777DCB" w:rsidRPr="00A52585">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DB731D" w:rsidRPr="00A52585">
        <w:rPr>
          <w:rFonts w:hint="cs"/>
          <w:rtl/>
          <w:lang w:bidi="ar-KW"/>
        </w:rPr>
        <w:t>،</w:t>
      </w:r>
      <w:r w:rsidR="00777DCB" w:rsidRPr="00A52585">
        <w:rPr>
          <w:rFonts w:hint="cs"/>
          <w:rtl/>
          <w:lang w:bidi="ar-KW"/>
        </w:rPr>
        <w:t xml:space="preserve"> وأنّ الذي خلق المادة والجسم هو الله تعالى وهو الذي قهرها بتلك القوانين</w:t>
      </w:r>
      <w:r w:rsidR="00DB731D" w:rsidRPr="00A52585">
        <w:rPr>
          <w:rFonts w:hint="cs"/>
          <w:rtl/>
          <w:lang w:bidi="ar-KW"/>
        </w:rPr>
        <w:t>،</w:t>
      </w:r>
      <w:r w:rsidR="00777DCB" w:rsidRPr="00A52585">
        <w:rPr>
          <w:rFonts w:hint="cs"/>
          <w:rtl/>
          <w:lang w:bidi="ar-KW"/>
        </w:rPr>
        <w:t xml:space="preserve"> ولكنّه هو القاهر فوق خلقه وفوق عباده وفوق كل شيء</w:t>
      </w:r>
      <w:r w:rsidR="00DB731D" w:rsidRPr="00A52585">
        <w:rPr>
          <w:rFonts w:hint="cs"/>
          <w:rtl/>
          <w:lang w:bidi="ar-KW"/>
        </w:rPr>
        <w:t>،</w:t>
      </w:r>
      <w:r w:rsidRPr="00A52585">
        <w:rPr>
          <w:rFonts w:hint="cs"/>
          <w:rtl/>
          <w:lang w:bidi="ar-KW"/>
        </w:rPr>
        <w:t xml:space="preserve"> </w:t>
      </w:r>
      <w:r w:rsidR="00777DCB" w:rsidRPr="00A52585">
        <w:rPr>
          <w:rFonts w:hint="cs"/>
          <w:rtl/>
          <w:lang w:bidi="ar-KW"/>
        </w:rPr>
        <w:t>فلا تسري عليه مفاهيم الأجسام</w:t>
      </w:r>
      <w:r w:rsidR="00DB731D" w:rsidRPr="00A52585">
        <w:rPr>
          <w:rFonts w:hint="cs"/>
          <w:rtl/>
          <w:lang w:bidi="ar-KW"/>
        </w:rPr>
        <w:t>،</w:t>
      </w:r>
      <w:r w:rsidR="00777DCB" w:rsidRPr="00A52585">
        <w:rPr>
          <w:rFonts w:hint="cs"/>
          <w:rtl/>
          <w:lang w:bidi="ar-KW"/>
        </w:rPr>
        <w:t xml:space="preserve"> ولا الصور والأشكال</w:t>
      </w:r>
      <w:r w:rsidR="00DB731D" w:rsidRPr="00A52585">
        <w:rPr>
          <w:rFonts w:hint="cs"/>
          <w:rtl/>
          <w:lang w:bidi="ar-KW"/>
        </w:rPr>
        <w:t>،</w:t>
      </w:r>
      <w:r w:rsidR="00777DCB" w:rsidRPr="00A52585">
        <w:rPr>
          <w:rFonts w:hint="cs"/>
          <w:rtl/>
          <w:lang w:bidi="ar-KW"/>
        </w:rPr>
        <w:t xml:space="preserve"> لأنّه ليس كمثله شيء</w:t>
      </w:r>
      <w:r w:rsidR="00DB731D" w:rsidRPr="00A52585">
        <w:rPr>
          <w:rFonts w:hint="cs"/>
          <w:rtl/>
          <w:lang w:bidi="ar-KW"/>
        </w:rPr>
        <w:t>،</w:t>
      </w:r>
      <w:r w:rsidR="00777DCB" w:rsidRPr="00A52585">
        <w:rPr>
          <w:rFonts w:hint="cs"/>
          <w:rtl/>
          <w:lang w:bidi="ar-KW"/>
        </w:rPr>
        <w:t xml:space="preserve"> وكل ما خطر بالبال فالله خلافه</w:t>
      </w:r>
      <w:r w:rsidR="00DB731D" w:rsidRPr="00A52585">
        <w:rPr>
          <w:rFonts w:hint="cs"/>
          <w:rtl/>
        </w:rPr>
        <w:t>،</w:t>
      </w:r>
      <w:r w:rsidR="00777DCB" w:rsidRPr="00A52585">
        <w:rPr>
          <w:rFonts w:hint="cs"/>
          <w:rtl/>
        </w:rPr>
        <w:t xml:space="preserve"> </w:t>
      </w:r>
      <w:r w:rsidR="00777DCB" w:rsidRPr="00A52585">
        <w:rPr>
          <w:rFonts w:hint="cs"/>
          <w:rtl/>
          <w:lang w:bidi="ar-KW"/>
        </w:rPr>
        <w:t>و الجسمية تعني مماثلة الأجسام والله تعالى ليس كمثله شيء ولم يكن له كفوا احد</w:t>
      </w:r>
      <w:r w:rsidR="00DB731D" w:rsidRPr="00A52585">
        <w:rPr>
          <w:rFonts w:hint="cs"/>
          <w:rtl/>
          <w:lang w:bidi="ar-KW"/>
        </w:rPr>
        <w:t>،</w:t>
      </w:r>
      <w:r w:rsidR="00777DCB" w:rsidRPr="00A52585">
        <w:rPr>
          <w:rFonts w:hint="cs"/>
          <w:rtl/>
          <w:lang w:bidi="ar-KW"/>
        </w:rPr>
        <w:t xml:space="preserve"> فهو سبحانه منزه عن الجسمية لقوله تعالى </w:t>
      </w:r>
      <w:r w:rsidRPr="00A52585">
        <w:rPr>
          <w:rFonts w:hint="cs"/>
          <w:rtl/>
          <w:lang w:bidi="ar-KW"/>
        </w:rPr>
        <w:t>{</w:t>
      </w:r>
      <w:r w:rsidR="00777DCB" w:rsidRPr="00A52585">
        <w:rPr>
          <w:rFonts w:hint="cs"/>
          <w:rtl/>
          <w:lang w:bidi="ar-KW"/>
        </w:rPr>
        <w:t>ليس كمثلِه شيء</w:t>
      </w:r>
      <w:r w:rsidRPr="00A52585">
        <w:rPr>
          <w:rFonts w:hint="cs"/>
          <w:rtl/>
          <w:lang w:bidi="ar-KW"/>
        </w:rPr>
        <w:t>}</w:t>
      </w:r>
      <w:r w:rsidR="00777DCB" w:rsidRPr="00A52585">
        <w:rPr>
          <w:rFonts w:hint="cs"/>
          <w:rtl/>
          <w:lang w:bidi="ar-KW"/>
        </w:rPr>
        <w:t xml:space="preserve"> [سورة الشورى:11] ولو كان جسما لكان مثلا لسائر الأجسام</w:t>
      </w:r>
      <w:r w:rsidR="00DB731D" w:rsidRPr="00A52585">
        <w:rPr>
          <w:rFonts w:hint="cs"/>
          <w:rtl/>
          <w:lang w:bidi="ar-KW"/>
        </w:rPr>
        <w:t>،</w:t>
      </w:r>
      <w:r w:rsidR="00777DCB" w:rsidRPr="00A52585">
        <w:rPr>
          <w:rFonts w:hint="cs"/>
          <w:rtl/>
          <w:lang w:bidi="ar-KW"/>
        </w:rPr>
        <w:t xml:space="preserve"> وقوله تعالى {هل تعلمُ لهُ سميًّا} [سورة مريم</w:t>
      </w:r>
      <w:r w:rsidRPr="00A52585">
        <w:rPr>
          <w:rFonts w:hint="cs"/>
          <w:rtl/>
          <w:lang w:bidi="ar-KW"/>
        </w:rPr>
        <w:t>:</w:t>
      </w:r>
      <w:r w:rsidR="00777DCB" w:rsidRPr="00A52585">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00DB731D" w:rsidRPr="00A52585">
        <w:rPr>
          <w:rFonts w:hint="cs"/>
          <w:rtl/>
          <w:lang w:bidi="ar-KW"/>
        </w:rPr>
        <w:t>،</w:t>
      </w:r>
      <w:r w:rsidR="00777DCB" w:rsidRPr="00A52585">
        <w:rPr>
          <w:rFonts w:hint="cs"/>
          <w:rtl/>
          <w:lang w:bidi="ar-KW"/>
        </w:rPr>
        <w:t xml:space="preserve"> وقوله تعالى {وللهِ المثَلُ الأعلى}</w:t>
      </w:r>
      <w:r w:rsidRPr="00A52585">
        <w:rPr>
          <w:rFonts w:hint="cs"/>
          <w:rtl/>
          <w:lang w:bidi="ar-KW"/>
        </w:rPr>
        <w:t xml:space="preserve"> </w:t>
      </w:r>
      <w:r w:rsidR="00777DCB" w:rsidRPr="00A52585">
        <w:rPr>
          <w:rFonts w:hint="cs"/>
          <w:rtl/>
          <w:lang w:bidi="ar-KW"/>
        </w:rPr>
        <w:t>[سورة النحل:60]</w:t>
      </w:r>
      <w:r w:rsidRPr="00A52585">
        <w:rPr>
          <w:rFonts w:hint="cs"/>
          <w:rtl/>
          <w:lang w:bidi="ar-KW"/>
        </w:rPr>
        <w:t xml:space="preserve"> </w:t>
      </w:r>
      <w:r w:rsidR="00777DCB" w:rsidRPr="00A52585">
        <w:rPr>
          <w:rFonts w:hint="cs"/>
          <w:rtl/>
          <w:lang w:bidi="ar-KW"/>
        </w:rPr>
        <w:t>قال المفسرون</w:t>
      </w:r>
      <w:r w:rsidRPr="00A52585">
        <w:rPr>
          <w:rFonts w:hint="cs"/>
          <w:rtl/>
          <w:lang w:bidi="ar-KW"/>
        </w:rPr>
        <w:t xml:space="preserve"> </w:t>
      </w:r>
      <w:r w:rsidR="00777DCB" w:rsidRPr="00A52585">
        <w:rPr>
          <w:rFonts w:hint="cs"/>
          <w:rtl/>
          <w:lang w:bidi="ar-KW"/>
        </w:rPr>
        <w:t>أي له سبحانه الوصف الذي لا يشبه وصف غيره، ومعنى ذلك أنه لا يوصف ربنا عزَّ وجلَّ بصفات المخلوقين من الجسمية ولوازم الجسمية</w:t>
      </w:r>
      <w:r w:rsidR="00DB731D"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فلا تضربوا للهِ الأمثال} [سورة النحل:74]، قال المفسرون أي لا تجعلوا لله الشبيهَ والمِثْل فإن اللهَ تعالى منزه عن الشبيه و المثيل</w:t>
      </w:r>
      <w:r w:rsidR="00DB731D" w:rsidRPr="00A52585">
        <w:rPr>
          <w:rFonts w:hint="cs"/>
          <w:rtl/>
          <w:lang w:bidi="ar-KW"/>
        </w:rPr>
        <w:t>،</w:t>
      </w:r>
      <w:r w:rsidR="00777DCB" w:rsidRPr="00A52585">
        <w:rPr>
          <w:rFonts w:hint="cs"/>
          <w:rtl/>
          <w:lang w:bidi="ar-KW"/>
        </w:rPr>
        <w:t xml:space="preserve"> فلا ذاتُه يشبه الذوات ولا صفاتُه تشبه الصفات</w:t>
      </w:r>
      <w:r w:rsidR="00DB731D" w:rsidRPr="00A52585">
        <w:rPr>
          <w:rFonts w:hint="cs"/>
          <w:rtl/>
          <w:lang w:bidi="ar-KW"/>
        </w:rPr>
        <w:t>،</w:t>
      </w:r>
      <w:r w:rsidR="00777DCB" w:rsidRPr="00A52585">
        <w:rPr>
          <w:rFonts w:hint="cs"/>
          <w:rtl/>
          <w:lang w:bidi="ar-KW"/>
        </w:rPr>
        <w:t xml:space="preserve"> فمن وصفه بالجسمية فقد جعل ذاته تشبه الذوات سبحانه وتعالى عما يصفون</w:t>
      </w:r>
      <w:r w:rsidR="00DB731D" w:rsidRPr="00A52585">
        <w:rPr>
          <w:rFonts w:hint="cs"/>
          <w:rtl/>
          <w:lang w:bidi="ar-KW"/>
        </w:rPr>
        <w:t>،</w:t>
      </w:r>
      <w:r w:rsidR="00777DCB" w:rsidRPr="00A52585">
        <w:rPr>
          <w:rFonts w:hint="cs"/>
          <w:rtl/>
          <w:lang w:bidi="ar-KW"/>
        </w:rPr>
        <w:t xml:space="preserve"> </w:t>
      </w:r>
      <w:r w:rsidR="00777DCB" w:rsidRPr="00A52585">
        <w:rPr>
          <w:rFonts w:hint="cs"/>
          <w:rtl/>
        </w:rPr>
        <w:t xml:space="preserve">وقوله تعالى </w:t>
      </w:r>
      <w:r w:rsidRPr="00A52585">
        <w:rPr>
          <w:rFonts w:hint="cs"/>
          <w:rtl/>
        </w:rPr>
        <w:t>{</w:t>
      </w:r>
      <w:r w:rsidR="00777DCB" w:rsidRPr="00A52585">
        <w:rPr>
          <w:rFonts w:hint="cs"/>
          <w:rtl/>
          <w:lang w:bidi="ar-KW"/>
        </w:rPr>
        <w:t>فلا تجعلوا لله أندادا وأنتم تعلمون</w:t>
      </w:r>
      <w:r w:rsidRPr="00A52585">
        <w:rPr>
          <w:rFonts w:hint="cs"/>
          <w:rtl/>
          <w:lang w:bidi="ar-KW"/>
        </w:rPr>
        <w:t>}</w:t>
      </w:r>
      <w:r w:rsidR="00777DCB" w:rsidRPr="00A52585">
        <w:rPr>
          <w:rFonts w:hint="cs"/>
          <w:rtl/>
          <w:lang w:bidi="ar-KW"/>
        </w:rPr>
        <w:t xml:space="preserve"> [سورة البقرة/22]</w:t>
      </w:r>
      <w:r w:rsidR="00DB731D" w:rsidRPr="00A52585">
        <w:rPr>
          <w:rFonts w:hint="cs"/>
          <w:rtl/>
          <w:lang w:bidi="ar-KW"/>
        </w:rPr>
        <w:t>،</w:t>
      </w:r>
      <w:r w:rsidR="00777DCB" w:rsidRPr="00A52585">
        <w:rPr>
          <w:rFonts w:hint="cs"/>
          <w:rtl/>
          <w:lang w:bidi="ar-KW"/>
        </w:rPr>
        <w:t xml:space="preserve"> والند هو المثيل والشبيه ولو كان جسما لكان له أنداد والعياذ بالله من التشبيه والتمثيل</w:t>
      </w:r>
      <w:r w:rsidR="00DB731D" w:rsidRPr="00A52585">
        <w:rPr>
          <w:rFonts w:hint="cs"/>
          <w:rtl/>
          <w:lang w:bidi="ar-KW"/>
        </w:rPr>
        <w:t>،</w:t>
      </w:r>
      <w:r w:rsidRPr="00A52585">
        <w:rPr>
          <w:rFonts w:hint="cs"/>
          <w:rtl/>
        </w:rPr>
        <w:t xml:space="preserve"> (</w:t>
      </w:r>
      <w:r w:rsidR="00777DCB" w:rsidRPr="00A52585">
        <w:rPr>
          <w:rFonts w:hint="cs"/>
          <w:rtl/>
        </w:rPr>
        <w:t>ج</w:t>
      </w:r>
      <w:r w:rsidRPr="00A52585">
        <w:rPr>
          <w:rFonts w:hint="cs"/>
          <w:rtl/>
        </w:rPr>
        <w:t>)</w:t>
      </w:r>
      <w:r w:rsidR="00777DCB" w:rsidRPr="00A52585">
        <w:rPr>
          <w:rFonts w:hint="cs"/>
          <w:rtl/>
        </w:rPr>
        <w:t xml:space="preserve"> قوله تعالى {قل هو الله أحد الله الصمد لم يلد ولم يولد ولم يكن له كفواً أحد</w:t>
      </w:r>
      <w:r w:rsidRPr="00A52585">
        <w:rPr>
          <w:rFonts w:hint="cs"/>
          <w:rtl/>
        </w:rPr>
        <w:t>}</w:t>
      </w:r>
      <w:r w:rsidR="00777DCB" w:rsidRPr="00A52585">
        <w:rPr>
          <w:rFonts w:hint="cs"/>
          <w:rtl/>
        </w:rPr>
        <w:t xml:space="preserve"> من أعظم الدلائل </w:t>
      </w:r>
      <w:r w:rsidR="00777DCB" w:rsidRPr="00A52585">
        <w:rPr>
          <w:rFonts w:hint="cs"/>
          <w:rtl/>
        </w:rPr>
        <w:lastRenderedPageBreak/>
        <w:t xml:space="preserve">على تنزيه الله تعالى عن الجسمية فقوله تعالى </w:t>
      </w:r>
      <w:r w:rsidRPr="00A52585">
        <w:rPr>
          <w:rFonts w:hint="cs"/>
          <w:rtl/>
        </w:rPr>
        <w:t>(</w:t>
      </w:r>
      <w:r w:rsidR="00777DCB" w:rsidRPr="00A52585">
        <w:rPr>
          <w:rFonts w:hint="cs"/>
          <w:rtl/>
        </w:rPr>
        <w:t xml:space="preserve">أحد) يدل على نفى الجسمية لأن الجسم أقله أنه يكون مركباً من جوهرين وذلك ينافى الوحدة ولما كان قوله </w:t>
      </w:r>
      <w:r w:rsidRPr="00A52585">
        <w:rPr>
          <w:rFonts w:hint="cs"/>
          <w:rtl/>
        </w:rPr>
        <w:t>{</w:t>
      </w:r>
      <w:r w:rsidR="00777DCB" w:rsidRPr="00A52585">
        <w:rPr>
          <w:rFonts w:hint="cs"/>
          <w:rtl/>
        </w:rPr>
        <w:t xml:space="preserve">أحد} مبالغة في الواحدية كان قوله </w:t>
      </w:r>
      <w:r w:rsidRPr="00A52585">
        <w:rPr>
          <w:rFonts w:hint="cs"/>
          <w:rtl/>
        </w:rPr>
        <w:t>{</w:t>
      </w:r>
      <w:r w:rsidR="00777DCB" w:rsidRPr="00A52585">
        <w:rPr>
          <w:rFonts w:hint="cs"/>
          <w:rtl/>
        </w:rPr>
        <w:t>أحد</w:t>
      </w:r>
      <w:r w:rsidRPr="00A52585">
        <w:rPr>
          <w:rFonts w:hint="cs"/>
          <w:rtl/>
        </w:rPr>
        <w:t>}</w:t>
      </w:r>
      <w:r w:rsidR="00777DCB" w:rsidRPr="00A52585">
        <w:rPr>
          <w:rFonts w:hint="cs"/>
          <w:rtl/>
        </w:rPr>
        <w:t xml:space="preserve"> منافي للجسمية وقوله تعالى </w:t>
      </w:r>
      <w:r w:rsidRPr="00A52585">
        <w:rPr>
          <w:rFonts w:hint="cs"/>
          <w:rtl/>
        </w:rPr>
        <w:t>{</w:t>
      </w:r>
      <w:r w:rsidR="00777DCB" w:rsidRPr="00A52585">
        <w:rPr>
          <w:rFonts w:hint="cs"/>
          <w:rtl/>
        </w:rPr>
        <w:t>الله الصمد</w:t>
      </w:r>
      <w:r w:rsidRPr="00A52585">
        <w:rPr>
          <w:rFonts w:hint="cs"/>
          <w:rtl/>
        </w:rPr>
        <w:t>}</w:t>
      </w:r>
      <w:r w:rsidR="00777DCB" w:rsidRPr="00A52585">
        <w:rPr>
          <w:rFonts w:hint="cs"/>
          <w:rtl/>
        </w:rPr>
        <w:t xml:space="preserve"> فالصمد هو السيد </w:t>
      </w:r>
      <w:proofErr w:type="spellStart"/>
      <w:r w:rsidR="00777DCB" w:rsidRPr="00A52585">
        <w:rPr>
          <w:rFonts w:hint="cs"/>
          <w:rtl/>
        </w:rPr>
        <w:t>المصمود</w:t>
      </w:r>
      <w:proofErr w:type="spellEnd"/>
      <w:r w:rsidR="00777DCB" w:rsidRPr="00A52585">
        <w:rPr>
          <w:rFonts w:hint="cs"/>
          <w:rtl/>
        </w:rPr>
        <w:t xml:space="preserve"> إليه في الحوائج وذلك يدل على أنه ليس بجسم لأن كل جسم مركب</w:t>
      </w:r>
      <w:r w:rsidR="00DB731D" w:rsidRPr="00A52585">
        <w:rPr>
          <w:rFonts w:hint="cs"/>
          <w:rtl/>
        </w:rPr>
        <w:t>،</w:t>
      </w:r>
      <w:r w:rsidR="00777DCB" w:rsidRPr="00A52585">
        <w:rPr>
          <w:rFonts w:hint="cs"/>
          <w:rtl/>
        </w:rPr>
        <w:t xml:space="preserve"> وكل مركب فهو محتاج إلى كل واحد من أجزائه وكل واحد من أجزائه غيره</w:t>
      </w:r>
      <w:r w:rsidR="00DB731D" w:rsidRPr="00A52585">
        <w:rPr>
          <w:rFonts w:hint="cs"/>
          <w:rtl/>
        </w:rPr>
        <w:t>،</w:t>
      </w:r>
      <w:r w:rsidR="00777DCB" w:rsidRPr="00A52585">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DB731D" w:rsidRPr="00A52585">
        <w:rPr>
          <w:rFonts w:hint="cs"/>
          <w:rtl/>
        </w:rPr>
        <w:t>،</w:t>
      </w:r>
      <w:r w:rsidR="00777DCB" w:rsidRPr="00A52585">
        <w:rPr>
          <w:rFonts w:hint="cs"/>
          <w:rtl/>
        </w:rPr>
        <w:t xml:space="preserve"> وأما قوله تعالى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ح</w:t>
      </w:r>
      <w:r w:rsidRPr="00A52585">
        <w:rPr>
          <w:rFonts w:hint="cs"/>
          <w:rtl/>
        </w:rPr>
        <w:t>)</w:t>
      </w:r>
      <w:r w:rsidR="00777DCB" w:rsidRPr="00A52585">
        <w:rPr>
          <w:rFonts w:hint="cs"/>
          <w:rtl/>
        </w:rPr>
        <w:t xml:space="preserve"> ومن الأدلة على تنزيه الله تعالى عن الجسمية قوله تعالى </w:t>
      </w:r>
      <w:r w:rsidRPr="00A52585">
        <w:rPr>
          <w:rFonts w:hint="cs"/>
          <w:rtl/>
        </w:rPr>
        <w:t>{</w:t>
      </w:r>
      <w:r w:rsidR="00777DCB" w:rsidRPr="00A52585">
        <w:rPr>
          <w:rFonts w:hint="cs"/>
          <w:rtl/>
        </w:rPr>
        <w:t>والله الغنى وأنتم الفقراء</w:t>
      </w:r>
      <w:r w:rsidRPr="00A52585">
        <w:rPr>
          <w:rFonts w:hint="cs"/>
          <w:rtl/>
        </w:rPr>
        <w:t>}</w:t>
      </w:r>
      <w:r w:rsidR="00777DCB" w:rsidRPr="00A52585">
        <w:rPr>
          <w:rFonts w:hint="cs"/>
          <w:rtl/>
        </w:rPr>
        <w:t>دلت هذه الآية على كونه تعالى غنى ولو كان جسماً لما كان غنياً لأن كل جسم مركب وكل مركب محتاج إلى كل واحد من أجزائه</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لا إله إلا هو الحى القيوم ؤ والقيوم مبالغة في كونه غنياً عن كل ما سواه</w:t>
      </w:r>
      <w:r w:rsidR="00DB731D" w:rsidRPr="00A52585">
        <w:rPr>
          <w:rFonts w:hint="cs"/>
          <w:rtl/>
        </w:rPr>
        <w:t>،</w:t>
      </w:r>
      <w:r w:rsidR="00777DCB" w:rsidRPr="00A52585">
        <w:rPr>
          <w:rFonts w:hint="cs"/>
          <w:rtl/>
        </w:rPr>
        <w:t xml:space="preserve"> وكونه مقوماً لغيره</w:t>
      </w:r>
      <w:r w:rsidR="00DB731D" w:rsidRPr="00A52585">
        <w:rPr>
          <w:rFonts w:hint="cs"/>
          <w:rtl/>
        </w:rPr>
        <w:t>،</w:t>
      </w:r>
      <w:r w:rsidR="00777DCB" w:rsidRPr="00A52585">
        <w:rPr>
          <w:rFonts w:hint="cs"/>
          <w:rtl/>
        </w:rPr>
        <w:t xml:space="preserve"> فلو كان جسماً لكان هو مفتقراً الى أجزائه</w:t>
      </w:r>
      <w:r w:rsidR="00DB731D" w:rsidRPr="00A52585">
        <w:rPr>
          <w:rFonts w:hint="cs"/>
          <w:rtl/>
        </w:rPr>
        <w:t>،</w:t>
      </w:r>
      <w:r w:rsidRPr="00A52585">
        <w:rPr>
          <w:rFonts w:hint="cs"/>
          <w:rtl/>
        </w:rPr>
        <w:t xml:space="preserve"> </w:t>
      </w:r>
      <w:r w:rsidR="00777DCB" w:rsidRPr="00A52585">
        <w:rPr>
          <w:rFonts w:hint="cs"/>
          <w:rtl/>
        </w:rPr>
        <w:t>وحينئذ لا يكون قيوماً بإطلاق</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القدوس السلام</w:t>
      </w:r>
      <w:r w:rsidRPr="00A52585">
        <w:rPr>
          <w:rFonts w:hint="cs"/>
          <w:rtl/>
        </w:rPr>
        <w:t>}</w:t>
      </w:r>
      <w:r w:rsidR="00777DCB" w:rsidRPr="00A52585">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DB731D" w:rsidRPr="00A52585">
        <w:rPr>
          <w:rFonts w:hint="cs"/>
          <w:rtl/>
        </w:rPr>
        <w:t>،</w:t>
      </w:r>
      <w:r w:rsidR="00777DCB" w:rsidRPr="00A52585">
        <w:rPr>
          <w:rFonts w:hint="cs"/>
          <w:rtl/>
        </w:rPr>
        <w:t xml:space="preserve"> والجسمية على المعنى المراد منها من كونها تتآلف من أجزاء وصف بالنقص والعيب المنزه عنه القدوس سبحانه</w:t>
      </w:r>
      <w:r w:rsidR="00DB731D" w:rsidRPr="00A52585">
        <w:rPr>
          <w:rFonts w:hint="cs"/>
          <w:rtl/>
        </w:rPr>
        <w:t>،</w:t>
      </w:r>
      <w:r w:rsidR="00777DCB" w:rsidRPr="00A52585">
        <w:rPr>
          <w:rFonts w:hint="cs"/>
          <w:rtl/>
        </w:rPr>
        <w:t xml:space="preserve"> وهي </w:t>
      </w:r>
      <w:r w:rsidRPr="00A52585">
        <w:rPr>
          <w:rFonts w:hint="cs"/>
          <w:rtl/>
        </w:rPr>
        <w:t>(</w:t>
      </w:r>
      <w:r w:rsidR="00777DCB" w:rsidRPr="00A52585">
        <w:rPr>
          <w:rFonts w:hint="cs"/>
          <w:rtl/>
        </w:rPr>
        <w:t>الجسمية</w:t>
      </w:r>
      <w:r w:rsidRPr="00A52585">
        <w:rPr>
          <w:rFonts w:hint="cs"/>
          <w:rtl/>
        </w:rPr>
        <w:t>)</w:t>
      </w:r>
      <w:r w:rsidR="00777DCB" w:rsidRPr="00A52585">
        <w:rPr>
          <w:rFonts w:hint="cs"/>
          <w:rtl/>
        </w:rPr>
        <w:t xml:space="preserve"> ضد الكمال الذي يتصف به ذات القدوس</w:t>
      </w:r>
      <w:r w:rsidR="00DB731D" w:rsidRPr="00A52585">
        <w:rPr>
          <w:rFonts w:hint="cs"/>
          <w:rtl/>
        </w:rPr>
        <w:t>،</w:t>
      </w:r>
      <w:r w:rsidR="00777DCB" w:rsidRPr="00A52585">
        <w:rPr>
          <w:rFonts w:hint="cs"/>
          <w:rtl/>
        </w:rPr>
        <w:t xml:space="preserve"> ولو كان جسما لكان له مثل من الأجسام والقدوس هو المنزه عن أن يكون له مثيل أو شبيه</w:t>
      </w:r>
      <w:r w:rsidR="00DB731D" w:rsidRPr="00A52585">
        <w:rPr>
          <w:rFonts w:hint="cs"/>
          <w:rtl/>
        </w:rPr>
        <w:t>،</w:t>
      </w:r>
      <w:r w:rsidR="00777DCB" w:rsidRPr="00A52585">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00777DCB" w:rsidRPr="00A52585">
        <w:rPr>
          <w:rFonts w:hint="cs"/>
          <w:rtl/>
        </w:rPr>
        <w:t>سبحانه</w:t>
      </w:r>
      <w:r w:rsidR="00DB731D" w:rsidRPr="00A52585">
        <w:rPr>
          <w:rFonts w:hint="cs"/>
          <w:rtl/>
        </w:rPr>
        <w:t>،</w:t>
      </w:r>
      <w:r w:rsidR="00777DCB" w:rsidRPr="00A52585">
        <w:rPr>
          <w:rFonts w:hint="cs"/>
          <w:rtl/>
        </w:rPr>
        <w:t>والسلام</w:t>
      </w:r>
      <w:proofErr w:type="spellEnd"/>
      <w:r w:rsidR="00777DCB" w:rsidRPr="00A52585">
        <w:rPr>
          <w:rFonts w:hint="cs"/>
          <w:rtl/>
        </w:rPr>
        <w:t xml:space="preserve"> عز وجل هو الذي سلم ذاته عن المثل والسمي والشبيه</w:t>
      </w:r>
      <w:r w:rsidR="00DB731D" w:rsidRPr="00A52585">
        <w:rPr>
          <w:rFonts w:hint="cs"/>
          <w:rtl/>
        </w:rPr>
        <w:t>،</w:t>
      </w:r>
      <w:r w:rsidR="00777DCB" w:rsidRPr="00A52585">
        <w:rPr>
          <w:rFonts w:hint="cs"/>
          <w:rtl/>
        </w:rPr>
        <w:t xml:space="preserve"> ولو كان جسما لكان له مثل من الأجسام والسلام</w:t>
      </w:r>
      <w:r w:rsidRPr="00A52585">
        <w:rPr>
          <w:rFonts w:hint="cs"/>
          <w:rtl/>
        </w:rPr>
        <w:t xml:space="preserve"> </w:t>
      </w:r>
      <w:r w:rsidR="00777DCB" w:rsidRPr="00A52585">
        <w:rPr>
          <w:rFonts w:hint="cs"/>
          <w:rtl/>
        </w:rPr>
        <w:t>هو الذي سلم ذاته عن أن يكون له مثيل أو شبيه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خ</w:t>
      </w:r>
      <w:r w:rsidRPr="00A52585">
        <w:rPr>
          <w:rFonts w:hint="cs"/>
          <w:rtl/>
        </w:rPr>
        <w:t>)</w:t>
      </w:r>
      <w:r w:rsidR="00777DCB" w:rsidRPr="00A52585">
        <w:rPr>
          <w:rFonts w:hint="cs"/>
          <w:rtl/>
        </w:rPr>
        <w:t xml:space="preserve"> ومن الأدلة على تنزيه الله تعالى عن الجسمية قوله تعالى </w:t>
      </w:r>
      <w:r w:rsidRPr="00A52585">
        <w:rPr>
          <w:rFonts w:hint="cs"/>
          <w:rtl/>
        </w:rPr>
        <w:t>{</w:t>
      </w:r>
      <w:r w:rsidR="00777DCB" w:rsidRPr="00A52585">
        <w:rPr>
          <w:rFonts w:hint="cs"/>
          <w:rtl/>
        </w:rPr>
        <w:t>هو الله الخالق البارئ المصور} والخالق هو المقدِرُ المنزه في ذاته عن الحد والنهاية والمقدار</w:t>
      </w:r>
      <w:r w:rsidR="00DB731D" w:rsidRPr="00A52585">
        <w:rPr>
          <w:rFonts w:hint="cs"/>
          <w:rtl/>
        </w:rPr>
        <w:t>،</w:t>
      </w:r>
      <w:r w:rsidR="00777DCB" w:rsidRPr="00A52585">
        <w:rPr>
          <w:rFonts w:hint="cs"/>
          <w:rtl/>
        </w:rPr>
        <w:t xml:space="preserve"> ولو كان تعالى جسماً سبحانه لكان مقدَراً متناهياً محدوداً ولو كان متناهياً محدوداً لكان مخلوقا وليس خالقا</w:t>
      </w:r>
      <w:r w:rsidR="00DB731D" w:rsidRPr="00A52585">
        <w:rPr>
          <w:rFonts w:hint="cs"/>
          <w:rtl/>
        </w:rPr>
        <w:t>،</w:t>
      </w:r>
      <w:r w:rsidR="00777DCB" w:rsidRPr="00A52585">
        <w:rPr>
          <w:rFonts w:hint="cs"/>
          <w:rtl/>
        </w:rPr>
        <w:t xml:space="preserve"> سبحانه هو وحده الخالق البارئ المصور سبحانه وتعالى عما يشركون</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 xml:space="preserve">هو الأول والأخر والظاهر </w:t>
      </w:r>
      <w:r w:rsidR="00777DCB" w:rsidRPr="00A52585">
        <w:rPr>
          <w:rFonts w:hint="cs"/>
          <w:rtl/>
        </w:rPr>
        <w:lastRenderedPageBreak/>
        <w:t>والباطن</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الأول والأخر</w:t>
      </w:r>
      <w:r w:rsidRPr="00A52585">
        <w:rPr>
          <w:rFonts w:hint="cs"/>
          <w:rtl/>
        </w:rPr>
        <w:t>)</w:t>
      </w:r>
      <w:r w:rsidR="00777DCB" w:rsidRPr="00A52585">
        <w:rPr>
          <w:rFonts w:hint="cs"/>
          <w:rtl/>
        </w:rPr>
        <w:t xml:space="preserve"> فهو يقتضى أن يكون منزها عن الجسمية لأن الجسم حادث مؤلف من أجزاء تسبق وجوده فلا يكون الجسم أولا أبدا</w:t>
      </w:r>
      <w:r w:rsidR="00DB731D" w:rsidRPr="00A52585">
        <w:rPr>
          <w:rFonts w:hint="cs"/>
          <w:rtl/>
        </w:rPr>
        <w:t>،</w:t>
      </w:r>
      <w:r w:rsidR="00777DCB" w:rsidRPr="00A52585">
        <w:rPr>
          <w:rFonts w:hint="cs"/>
          <w:rtl/>
        </w:rPr>
        <w:t xml:space="preserve"> (والظاهر والباطن</w:t>
      </w:r>
      <w:r w:rsidRPr="00A52585">
        <w:rPr>
          <w:rFonts w:hint="cs"/>
          <w:rtl/>
        </w:rPr>
        <w:t>)</w:t>
      </w:r>
      <w:r w:rsidR="00777DCB" w:rsidRPr="00A52585">
        <w:rPr>
          <w:rFonts w:hint="cs"/>
          <w:rtl/>
        </w:rPr>
        <w:t xml:space="preserve"> معنى الباطن الذي لا يدركه الحس ولا يصل إليه الخيال</w:t>
      </w:r>
      <w:r w:rsidR="00DB731D" w:rsidRPr="00A52585">
        <w:rPr>
          <w:rFonts w:hint="cs"/>
          <w:rtl/>
        </w:rPr>
        <w:t>،</w:t>
      </w:r>
      <w:r w:rsidR="00777DCB" w:rsidRPr="00A52585">
        <w:rPr>
          <w:rFonts w:hint="cs"/>
          <w:rtl/>
        </w:rPr>
        <w:t xml:space="preserve"> ولو كان جسماً لما أمكن وصفه بأنه لا يدركه الحس ولا يصل إليه الخيال</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ولا يحيطون به علماً</w:t>
      </w:r>
      <w:r w:rsidRPr="00A52585">
        <w:rPr>
          <w:rFonts w:hint="cs"/>
          <w:rtl/>
        </w:rPr>
        <w:t>)</w:t>
      </w:r>
      <w:r w:rsidR="00777DCB" w:rsidRPr="00A52585">
        <w:rPr>
          <w:rFonts w:hint="cs"/>
          <w:rtl/>
        </w:rPr>
        <w:t xml:space="preserve"> وذلك يدل على كونه تعالى منزهاً عن الجسمية وإلا لكان العلم محيطاً به فإن قيل</w:t>
      </w:r>
      <w:r w:rsidRPr="00A52585">
        <w:rPr>
          <w:rFonts w:hint="cs"/>
          <w:rtl/>
        </w:rPr>
        <w:t>:</w:t>
      </w:r>
      <w:r w:rsidR="00777DCB" w:rsidRPr="00A52585">
        <w:rPr>
          <w:rFonts w:hint="cs"/>
          <w:rtl/>
        </w:rPr>
        <w:t xml:space="preserve"> لما لا يجوز أن يقال أنه وإن كان جسماً لكنه جسماً كبيراً فلهذا المعنى لا يحيط به العلم</w:t>
      </w:r>
      <w:r w:rsidR="00F95886"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لو كان الأمر كذلك لصح أن يقال بأن علوم الخلق وأبصارهم لا تحيط </w:t>
      </w:r>
      <w:proofErr w:type="spellStart"/>
      <w:r w:rsidR="00777DCB" w:rsidRPr="00A52585">
        <w:rPr>
          <w:rFonts w:hint="cs"/>
          <w:rtl/>
        </w:rPr>
        <w:t>بالسماوات</w:t>
      </w:r>
      <w:proofErr w:type="spellEnd"/>
      <w:r w:rsidR="00777DCB" w:rsidRPr="00A52585">
        <w:rPr>
          <w:rFonts w:hint="cs"/>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لا تدركه الأبصار</w:t>
      </w:r>
      <w:r w:rsidRPr="00A52585">
        <w:rPr>
          <w:rFonts w:hint="cs"/>
          <w:rtl/>
        </w:rPr>
        <w:t>)</w:t>
      </w:r>
      <w:r w:rsidR="00777DCB" w:rsidRPr="00A52585">
        <w:rPr>
          <w:rFonts w:hint="cs"/>
          <w:rtl/>
        </w:rPr>
        <w:t xml:space="preserve"> وذلك يدل على كونه تعالى منزهاً عن الجسمية وإلا لكان الإدراك بالأبصار محيطاً به حتى لو كان جسما كبيرا</w:t>
      </w:r>
      <w:r w:rsidR="00DB731D" w:rsidRPr="00A52585">
        <w:rPr>
          <w:rFonts w:hint="cs"/>
          <w:rtl/>
        </w:rPr>
        <w:t>،</w:t>
      </w:r>
      <w:r w:rsidRPr="00A52585">
        <w:rPr>
          <w:rFonts w:hint="cs"/>
          <w:rtl/>
        </w:rPr>
        <w:t xml:space="preserve"> (</w:t>
      </w:r>
      <w:r w:rsidR="00777DCB" w:rsidRPr="00A52585">
        <w:rPr>
          <w:rFonts w:hint="cs"/>
          <w:rtl/>
        </w:rPr>
        <w:t>د</w:t>
      </w:r>
      <w:r w:rsidRPr="00A52585">
        <w:rPr>
          <w:rFonts w:hint="cs"/>
          <w:rtl/>
        </w:rPr>
        <w:t>)</w:t>
      </w:r>
      <w:r w:rsidR="00777DCB" w:rsidRPr="00A52585">
        <w:rPr>
          <w:rFonts w:hint="cs"/>
          <w:rtl/>
        </w:rPr>
        <w:t xml:space="preserve"> ومن الأدلة على تنزيه الله تعالى عن الجسمية قوله تعالى </w:t>
      </w:r>
      <w:r w:rsidRPr="00A52585">
        <w:rPr>
          <w:rFonts w:hint="cs"/>
          <w:rtl/>
        </w:rPr>
        <w:t>{</w:t>
      </w:r>
      <w:r w:rsidR="00777DCB" w:rsidRPr="00A52585">
        <w:rPr>
          <w:rFonts w:hint="cs"/>
          <w:rtl/>
        </w:rPr>
        <w:t xml:space="preserve">وإذا سألك </w:t>
      </w:r>
      <w:proofErr w:type="spellStart"/>
      <w:r w:rsidR="00777DCB" w:rsidRPr="00A52585">
        <w:rPr>
          <w:rFonts w:hint="cs"/>
          <w:rtl/>
        </w:rPr>
        <w:t>عبادى</w:t>
      </w:r>
      <w:proofErr w:type="spellEnd"/>
      <w:r w:rsidR="00777DCB" w:rsidRPr="00A52585">
        <w:rPr>
          <w:rFonts w:hint="cs"/>
          <w:rtl/>
        </w:rPr>
        <w:t xml:space="preserve"> عنى </w:t>
      </w:r>
      <w:proofErr w:type="spellStart"/>
      <w:r w:rsidR="00777DCB" w:rsidRPr="00A52585">
        <w:rPr>
          <w:rFonts w:hint="cs"/>
          <w:rtl/>
        </w:rPr>
        <w:t>فإنى</w:t>
      </w:r>
      <w:proofErr w:type="spellEnd"/>
      <w:r w:rsidR="00777DCB" w:rsidRPr="00A52585">
        <w:rPr>
          <w:rFonts w:hint="cs"/>
          <w:rtl/>
        </w:rPr>
        <w:t xml:space="preserve"> قريب</w:t>
      </w:r>
      <w:r w:rsidRPr="00A52585">
        <w:rPr>
          <w:rFonts w:hint="cs"/>
          <w:rtl/>
        </w:rPr>
        <w:t>}</w:t>
      </w:r>
      <w:r w:rsidR="00777DCB" w:rsidRPr="00A52585">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DB731D" w:rsidRPr="00A52585">
        <w:rPr>
          <w:rFonts w:hint="cs"/>
          <w:rtl/>
        </w:rPr>
        <w:t>،</w:t>
      </w:r>
      <w:r w:rsidR="00777DCB" w:rsidRPr="00A52585">
        <w:rPr>
          <w:rFonts w:hint="cs"/>
          <w:rtl/>
        </w:rPr>
        <w:t xml:space="preserve"> وقوله تعالى</w:t>
      </w:r>
      <w:r w:rsidRPr="00A52585">
        <w:rPr>
          <w:rFonts w:hint="cs"/>
          <w:rtl/>
        </w:rPr>
        <w:t xml:space="preserve"> {</w:t>
      </w:r>
      <w:r w:rsidR="00777DCB" w:rsidRPr="00A52585">
        <w:rPr>
          <w:rFonts w:hint="cs"/>
          <w:rtl/>
        </w:rPr>
        <w:t>وَنَحْنُ أَقْرَبُ إِلَيْهِ مِنْ حَبْلِ الْوَرِيدِ</w:t>
      </w:r>
      <w:r w:rsidRPr="00A52585">
        <w:rPr>
          <w:rFonts w:hint="cs"/>
          <w:rtl/>
        </w:rPr>
        <w:t>}</w:t>
      </w:r>
      <w:r w:rsidR="00777DCB" w:rsidRPr="00A52585">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sidR="00DB731D" w:rsidRPr="00A52585">
        <w:rPr>
          <w:rFonts w:hint="cs"/>
          <w:rtl/>
        </w:rPr>
        <w:t>،</w:t>
      </w:r>
      <w:r w:rsidRPr="00A52585">
        <w:rPr>
          <w:rFonts w:hint="cs"/>
          <w:rtl/>
        </w:rPr>
        <w:t xml:space="preserve"> </w:t>
      </w:r>
      <w:r w:rsidR="00777DCB" w:rsidRPr="00A52585">
        <w:rPr>
          <w:rFonts w:hint="cs"/>
          <w:rtl/>
        </w:rPr>
        <w:t>قال الزرقاني في مناهل العرفان</w:t>
      </w:r>
      <w:r w:rsidRPr="00A52585">
        <w:rPr>
          <w:rFonts w:hint="cs"/>
          <w:rtl/>
        </w:rPr>
        <w:t>:</w:t>
      </w:r>
      <w:r w:rsidR="00777DCB" w:rsidRPr="00A52585">
        <w:rPr>
          <w:rFonts w:hint="cs"/>
          <w:rtl/>
        </w:rPr>
        <w:t xml:space="preserve"> " فالعمدة عندنا في أمور العقائد هي الأدلة القطعية التي توافرت على أنه تعالى ليس جسما ولا متحيزا ولا متجزئا ولا </w:t>
      </w:r>
      <w:proofErr w:type="spellStart"/>
      <w:r w:rsidR="00777DCB" w:rsidRPr="00A52585">
        <w:rPr>
          <w:rFonts w:hint="cs"/>
          <w:rtl/>
        </w:rPr>
        <w:t>متركبا</w:t>
      </w:r>
      <w:proofErr w:type="spellEnd"/>
      <w:r w:rsidR="00777DCB" w:rsidRPr="00A52585">
        <w:rPr>
          <w:rFonts w:hint="cs"/>
          <w:rtl/>
        </w:rPr>
        <w:t xml:space="preserve"> ولا محتاجا لأحد ولا إلى مكان ولا إلى زمان ولا نحو ذلك أهــ </w:t>
      </w:r>
      <w:r w:rsidRPr="00A52585">
        <w:rPr>
          <w:rFonts w:hint="cs"/>
          <w:rtl/>
        </w:rPr>
        <w:t>[</w:t>
      </w:r>
      <w:r w:rsidR="00777DCB" w:rsidRPr="00A52585">
        <w:rPr>
          <w:rFonts w:hint="cs"/>
          <w:rtl/>
        </w:rPr>
        <w:t>مناهل العرفان ج: 2 ص: 210]</w:t>
      </w:r>
    </w:p>
    <w:p w14:paraId="7080B7D4" w14:textId="4AFC65E4" w:rsidR="00777DCB" w:rsidRPr="00A52585" w:rsidRDefault="0002035C" w:rsidP="0002035C">
      <w:pPr>
        <w:rPr>
          <w:b/>
          <w:rtl/>
          <w:lang w:bidi="ar-KW"/>
        </w:rPr>
      </w:pPr>
      <w:r w:rsidRPr="00A52585">
        <w:rPr>
          <w:rFonts w:cs="Monotype Koufi" w:hint="cs"/>
          <w:rtl/>
          <w:lang w:bidi="ar-KW"/>
        </w:rPr>
        <w:t>[</w:t>
      </w:r>
      <w:r w:rsidR="00777DCB" w:rsidRPr="00A52585">
        <w:rPr>
          <w:rFonts w:cs="Monotype Koufi" w:hint="cs"/>
          <w:rtl/>
          <w:lang w:bidi="ar-KW"/>
        </w:rPr>
        <w:t>7</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الصورة والشكل الذي تتصف به ذات المخلوق</w:t>
      </w:r>
      <w:r w:rsidRPr="00A52585">
        <w:rPr>
          <w:rFonts w:hint="cs"/>
          <w:rtl/>
          <w:lang w:bidi="ar-KW"/>
        </w:rPr>
        <w:t>: (</w:t>
      </w:r>
      <w:r w:rsidR="00777DCB" w:rsidRPr="00A52585">
        <w:rPr>
          <w:rFonts w:hint="cs"/>
          <w:rtl/>
          <w:lang w:bidi="ar-KW"/>
        </w:rPr>
        <w:t>أ</w:t>
      </w:r>
      <w:r w:rsidRPr="00A52585">
        <w:rPr>
          <w:rFonts w:hint="cs"/>
          <w:rtl/>
          <w:lang w:bidi="ar-KW"/>
        </w:rPr>
        <w:t>)</w:t>
      </w:r>
      <w:r w:rsidR="00777DCB" w:rsidRPr="00A52585">
        <w:rPr>
          <w:rFonts w:hint="cs"/>
          <w:rtl/>
          <w:lang w:bidi="ar-KW"/>
        </w:rPr>
        <w:t xml:space="preserve"> </w:t>
      </w:r>
      <w:r w:rsidR="00777DCB" w:rsidRPr="00A52585">
        <w:rPr>
          <w:rFonts w:hint="cs"/>
          <w:rtl/>
        </w:rPr>
        <w:t>ذات الله سبحانه منزه عن الصور والتخطيط والتركيب لأن الله تعالى هو المصور وجلّ المصوِرُ أن يكون مُصَورَاً</w:t>
      </w:r>
      <w:r w:rsidRPr="00A52585">
        <w:rPr>
          <w:rFonts w:hint="cs"/>
          <w:rtl/>
        </w:rPr>
        <w:t xml:space="preserve"> </w:t>
      </w:r>
      <w:r w:rsidR="00777DCB" w:rsidRPr="00A52585">
        <w:rPr>
          <w:rFonts w:hint="cs"/>
          <w:rtl/>
        </w:rPr>
        <w:t>وتعالى عن ذلك علوا كبيرا</w:t>
      </w:r>
      <w:r w:rsidR="00DB731D" w:rsidRPr="00A52585">
        <w:rPr>
          <w:rFonts w:hint="cs"/>
          <w:rtl/>
        </w:rPr>
        <w:t>،</w:t>
      </w:r>
      <w:r w:rsidR="00777DCB" w:rsidRPr="00A52585">
        <w:rPr>
          <w:rFonts w:hint="cs"/>
          <w:rtl/>
        </w:rPr>
        <w:t xml:space="preserve"> لأن الهيئة والصورة والتركيب والتأليف كل ذلك إنما يصح على الأجسام المحدودة والجواهر المخلوقة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الصور لا تنتج إلا عن تأليف وتركيب والتركيب يستحيل على الله تعالى , وصاحب الصورة لا يختص بصورة إلا بمخصص</w:t>
      </w:r>
      <w:r w:rsidR="00DB731D" w:rsidRPr="00A52585">
        <w:rPr>
          <w:rFonts w:hint="cs"/>
          <w:rtl/>
        </w:rPr>
        <w:t>،</w:t>
      </w:r>
      <w:r w:rsidR="00777DCB" w:rsidRPr="00A52585">
        <w:rPr>
          <w:rFonts w:hint="cs"/>
          <w:rtl/>
        </w:rPr>
        <w:t xml:space="preserve"> والمخصص هو الله تعالى المصور</w:t>
      </w:r>
      <w:r w:rsidR="00DB731D" w:rsidRPr="00A52585">
        <w:rPr>
          <w:rFonts w:hint="cs"/>
          <w:rtl/>
        </w:rPr>
        <w:t>،</w:t>
      </w:r>
      <w:r w:rsidR="00777DCB" w:rsidRPr="00A52585">
        <w:rPr>
          <w:rFonts w:hint="cs"/>
          <w:rtl/>
        </w:rPr>
        <w:t xml:space="preserve"> وهو تعالى يصور مخلوقاته كيف شاء</w:t>
      </w:r>
      <w:r w:rsidR="00DB731D" w:rsidRPr="00A52585">
        <w:rPr>
          <w:rFonts w:hint="cs"/>
          <w:rtl/>
        </w:rPr>
        <w:t>،</w:t>
      </w:r>
      <w:r w:rsidR="00777DCB" w:rsidRPr="00A52585">
        <w:rPr>
          <w:rFonts w:hint="cs"/>
          <w:rtl/>
        </w:rPr>
        <w:t xml:space="preserve"> وكل ما له صورة فهي علامة على كونه مخلوق مصور صوره خالقه , والله تعالى هو </w:t>
      </w:r>
      <w:r w:rsidRPr="00A52585">
        <w:rPr>
          <w:rFonts w:hint="cs"/>
          <w:rtl/>
        </w:rPr>
        <w:t>(</w:t>
      </w:r>
      <w:r w:rsidR="00777DCB" w:rsidRPr="00A52585">
        <w:rPr>
          <w:rFonts w:hint="cs"/>
          <w:rtl/>
        </w:rPr>
        <w:t>المصور</w:t>
      </w:r>
      <w:r w:rsidRPr="00A52585">
        <w:rPr>
          <w:rFonts w:hint="cs"/>
          <w:rtl/>
        </w:rPr>
        <w:t>)</w:t>
      </w:r>
      <w:r w:rsidR="00777DCB" w:rsidRPr="00A52585">
        <w:rPr>
          <w:rFonts w:hint="cs"/>
          <w:rtl/>
        </w:rPr>
        <w:t xml:space="preserve"> </w:t>
      </w:r>
      <w:r w:rsidR="00777DCB" w:rsidRPr="00A52585">
        <w:rPr>
          <w:rFonts w:hint="cs"/>
          <w:rtl/>
        </w:rPr>
        <w:lastRenderedPageBreak/>
        <w:t xml:space="preserve">خالق الصور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lang w:bidi="ar-KW"/>
        </w:rPr>
        <w:t>ت</w:t>
      </w:r>
      <w:r w:rsidRPr="00A52585">
        <w:rPr>
          <w:rFonts w:hint="cs"/>
          <w:rtl/>
          <w:lang w:bidi="ar-KW"/>
        </w:rPr>
        <w:t>)</w:t>
      </w:r>
      <w:r w:rsidR="00777DCB" w:rsidRPr="00A52585">
        <w:rPr>
          <w:rFonts w:hint="cs"/>
          <w:rtl/>
          <w:lang w:bidi="ar-KW"/>
        </w:rPr>
        <w:t xml:space="preserve"> ذات الله تعالى لا تسري عليها قوانين والمادة والأجسام</w:t>
      </w:r>
      <w:r w:rsidR="00DB731D" w:rsidRPr="00A52585">
        <w:rPr>
          <w:rFonts w:hint="cs"/>
          <w:rtl/>
          <w:lang w:bidi="ar-KW"/>
        </w:rPr>
        <w:t>،</w:t>
      </w:r>
      <w:r w:rsidR="00777DCB" w:rsidRPr="00A52585">
        <w:rPr>
          <w:rFonts w:hint="cs"/>
          <w:rtl/>
          <w:lang w:bidi="ar-KW"/>
        </w:rPr>
        <w:t xml:space="preserve"> لأنّ الذي خلق المادة والجسم هو الله تعالى وهو الذي قهرها بالصور والأشكال</w:t>
      </w:r>
      <w:r w:rsidR="00DB731D" w:rsidRPr="00A52585">
        <w:rPr>
          <w:rFonts w:hint="cs"/>
          <w:rtl/>
          <w:lang w:bidi="ar-KW"/>
        </w:rPr>
        <w:t>،</w:t>
      </w:r>
      <w:r w:rsidR="00777DCB" w:rsidRPr="00A52585">
        <w:rPr>
          <w:rFonts w:hint="cs"/>
          <w:rtl/>
          <w:lang w:bidi="ar-KW"/>
        </w:rPr>
        <w:t xml:space="preserve"> والله تعالى ليس كمثل خلقه وليس كمثله شيء</w:t>
      </w:r>
      <w:r w:rsidR="00DB731D" w:rsidRPr="00A52585">
        <w:rPr>
          <w:rFonts w:hint="cs"/>
          <w:rtl/>
          <w:lang w:bidi="ar-KW"/>
        </w:rPr>
        <w:t>،</w:t>
      </w:r>
      <w:r w:rsidR="00777DCB" w:rsidRPr="00A52585">
        <w:rPr>
          <w:rFonts w:hint="cs"/>
          <w:rtl/>
          <w:lang w:bidi="ar-KW"/>
        </w:rPr>
        <w:t xml:space="preserve"> ولا تسري عليه مفاهيم المواد والأجسام</w:t>
      </w:r>
      <w:r w:rsidR="00DB731D" w:rsidRPr="00A52585">
        <w:rPr>
          <w:rFonts w:hint="cs"/>
          <w:rtl/>
          <w:lang w:bidi="ar-KW"/>
        </w:rPr>
        <w:t>،</w:t>
      </w:r>
      <w:r w:rsidR="00777DCB" w:rsidRPr="00A52585">
        <w:rPr>
          <w:rFonts w:hint="cs"/>
          <w:rtl/>
          <w:lang w:bidi="ar-KW"/>
        </w:rPr>
        <w:t xml:space="preserve"> ولا الصور والأشكال</w:t>
      </w:r>
      <w:r w:rsidR="00DB731D" w:rsidRPr="00A52585">
        <w:rPr>
          <w:rFonts w:hint="cs"/>
          <w:rtl/>
          <w:lang w:bidi="ar-KW"/>
        </w:rPr>
        <w:t>،</w:t>
      </w:r>
      <w:r w:rsidR="00777DCB" w:rsidRPr="00A52585">
        <w:rPr>
          <w:rFonts w:hint="cs"/>
          <w:rtl/>
          <w:lang w:bidi="ar-KW"/>
        </w:rPr>
        <w:t xml:space="preserve"> لأنّه ليس كمثله شيء</w:t>
      </w:r>
      <w:r w:rsidR="00DB731D" w:rsidRPr="00A52585">
        <w:rPr>
          <w:rFonts w:hint="cs"/>
          <w:rtl/>
          <w:lang w:bidi="ar-KW"/>
        </w:rPr>
        <w:t>،</w:t>
      </w:r>
      <w:r w:rsidR="00777DCB" w:rsidRPr="00A52585">
        <w:rPr>
          <w:rFonts w:hint="cs"/>
          <w:rtl/>
          <w:lang w:bidi="ar-KW"/>
        </w:rPr>
        <w:t xml:space="preserve"> وكل ما خطر بالبال فالله خلافه</w:t>
      </w:r>
      <w:r w:rsidR="00DB731D" w:rsidRPr="00A52585">
        <w:rPr>
          <w:rFonts w:hint="cs"/>
          <w:rtl/>
          <w:lang w:bidi="ar-KW"/>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الصورة تقتضي الكيفية</w:t>
      </w:r>
      <w:r w:rsidR="00DB731D" w:rsidRPr="00A52585">
        <w:rPr>
          <w:rFonts w:hint="cs"/>
          <w:rtl/>
        </w:rPr>
        <w:t>،</w:t>
      </w:r>
      <w:r w:rsidR="00777DCB" w:rsidRPr="00A52585">
        <w:rPr>
          <w:rFonts w:hint="cs"/>
          <w:rtl/>
        </w:rPr>
        <w:t xml:space="preserve"> وهي عن الله تعالى وعن صفاته منفية</w:t>
      </w:r>
      <w:r w:rsidR="00DB731D" w:rsidRPr="00A52585">
        <w:rPr>
          <w:rFonts w:hint="cs"/>
          <w:rtl/>
        </w:rPr>
        <w:t>،</w:t>
      </w:r>
      <w:r w:rsidR="00777DCB" w:rsidRPr="00A52585">
        <w:rPr>
          <w:rFonts w:hint="cs"/>
          <w:rtl/>
        </w:rPr>
        <w:t xml:space="preserve"> لذلك فإن الذي يجب علينا وعلى كل مسلم أن يعلمه أن ربنا ليس بذي صورة ولا هيئة</w:t>
      </w:r>
      <w:r w:rsidR="00DB731D" w:rsidRPr="00A52585">
        <w:rPr>
          <w:rFonts w:hint="cs"/>
          <w:rtl/>
        </w:rPr>
        <w:t>،</w:t>
      </w:r>
      <w:r w:rsidR="00777DCB" w:rsidRPr="00A52585">
        <w:rPr>
          <w:rFonts w:hint="cs"/>
          <w:rtl/>
        </w:rPr>
        <w:t xml:space="preserve"> قال القاضي بدر الدين بن جماعة في كتابه إيضاح الدليل</w:t>
      </w:r>
      <w:r w:rsidRPr="00A52585">
        <w:rPr>
          <w:rFonts w:hint="cs"/>
          <w:rtl/>
        </w:rPr>
        <w:t xml:space="preserve">: </w:t>
      </w:r>
      <w:r w:rsidR="00777DCB" w:rsidRPr="00A52585">
        <w:rPr>
          <w:rFonts w:hint="cs"/>
          <w:rtl/>
        </w:rPr>
        <w:t>ومن قال بأن لله تعالى صورة وخلق آدم عليها فمردود عليه لما فيه من التجسيم</w:t>
      </w:r>
      <w:r w:rsidRPr="00A52585">
        <w:rPr>
          <w:rFonts w:hint="cs"/>
          <w:rtl/>
        </w:rPr>
        <w:t xml:space="preserve"> </w:t>
      </w:r>
      <w:r w:rsidR="00777DCB" w:rsidRPr="00A52585">
        <w:rPr>
          <w:rFonts w:hint="cs"/>
          <w:rtl/>
        </w:rPr>
        <w:t>وكذلك من قال صورة لا كالصور "</w:t>
      </w:r>
      <w:r w:rsidRPr="00A52585">
        <w:rPr>
          <w:rFonts w:hint="cs"/>
          <w:rtl/>
        </w:rPr>
        <w:t xml:space="preserve"> </w:t>
      </w:r>
      <w:r w:rsidR="00777DCB" w:rsidRPr="00A52585">
        <w:rPr>
          <w:rFonts w:hint="cs"/>
          <w:rtl/>
        </w:rPr>
        <w:t>أهـ [إيضاح الدليل في قطع حجج أهل التعطيل ج: 1 ص: 155]</w:t>
      </w:r>
      <w:r w:rsidR="00DB731D" w:rsidRPr="00A52585">
        <w:rPr>
          <w:rFonts w:hint="cs"/>
          <w:rtl/>
        </w:rPr>
        <w:t>،</w:t>
      </w:r>
      <w:r w:rsidR="00777DCB" w:rsidRPr="00A52585">
        <w:rPr>
          <w:rFonts w:hint="cs"/>
          <w:rtl/>
        </w:rPr>
        <w:t xml:space="preserve"> وقال رحمه الله</w:t>
      </w:r>
      <w:r w:rsidRPr="00A52585">
        <w:rPr>
          <w:rFonts w:hint="cs"/>
          <w:rtl/>
        </w:rPr>
        <w:t>:</w:t>
      </w:r>
      <w:r w:rsidR="00777DCB" w:rsidRPr="00A52585">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Pr="00A52585">
        <w:rPr>
          <w:rFonts w:hint="cs"/>
          <w:rtl/>
        </w:rPr>
        <w:t>)</w:t>
      </w:r>
      <w:r w:rsidR="00777DCB" w:rsidRPr="00A52585">
        <w:rPr>
          <w:rFonts w:hint="cs"/>
          <w:rtl/>
        </w:rPr>
        <w:t xml:space="preserve"> الحديث</w:t>
      </w:r>
      <w:r w:rsidRPr="00A52585">
        <w:rPr>
          <w:rFonts w:hint="cs"/>
          <w:rtl/>
        </w:rPr>
        <w:t xml:space="preserve">: </w:t>
      </w:r>
      <w:r w:rsidR="00777DCB" w:rsidRPr="00A52585">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A52585">
        <w:rPr>
          <w:rFonts w:hint="cs"/>
          <w:rtl/>
        </w:rPr>
        <w:t xml:space="preserve">) </w:t>
      </w:r>
      <w:r w:rsidR="00777DCB" w:rsidRPr="00A52585">
        <w:rPr>
          <w:rFonts w:hint="cs"/>
          <w:rtl/>
        </w:rPr>
        <w:t>أهـ</w:t>
      </w:r>
      <w:r w:rsidRPr="00A52585">
        <w:rPr>
          <w:rFonts w:hint="cs"/>
          <w:rtl/>
        </w:rPr>
        <w:t xml:space="preserve"> [</w:t>
      </w:r>
      <w:r w:rsidR="00777DCB" w:rsidRPr="00A52585">
        <w:rPr>
          <w:rFonts w:hint="cs"/>
          <w:rtl/>
        </w:rPr>
        <w:t>إيضاح الدليل في قطع حجج أهل التعطيل ج: 1 ص:</w:t>
      </w:r>
      <w:r w:rsidRPr="00A52585">
        <w:rPr>
          <w:rFonts w:hint="cs"/>
          <w:rtl/>
        </w:rPr>
        <w:t xml:space="preserve"> </w:t>
      </w:r>
      <w:r w:rsidR="00777DCB" w:rsidRPr="00A52585">
        <w:rPr>
          <w:rFonts w:hint="cs"/>
          <w:rtl/>
        </w:rPr>
        <w:t>159</w:t>
      </w:r>
      <w:r w:rsidRPr="00A52585">
        <w:rPr>
          <w:rFonts w:hint="cs"/>
          <w:rtl/>
        </w:rPr>
        <w:t>]</w:t>
      </w:r>
    </w:p>
    <w:p w14:paraId="15193ECC" w14:textId="7A0B4821" w:rsidR="00777DCB" w:rsidRPr="00A52585" w:rsidRDefault="0002035C" w:rsidP="0002035C">
      <w:pPr>
        <w:rPr>
          <w:b/>
          <w:rtl/>
          <w:lang w:bidi="ar-KW"/>
        </w:rPr>
      </w:pPr>
      <w:r w:rsidRPr="00A52585">
        <w:rPr>
          <w:rFonts w:cs="Monotype Koufi" w:hint="cs"/>
          <w:rtl/>
          <w:lang w:bidi="ar-KW"/>
        </w:rPr>
        <w:t>[</w:t>
      </w:r>
      <w:r w:rsidR="00777DCB" w:rsidRPr="00A52585">
        <w:rPr>
          <w:rFonts w:cs="Monotype Koufi" w:hint="cs"/>
          <w:rtl/>
          <w:lang w:bidi="ar-KW"/>
        </w:rPr>
        <w:t>8</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الجوارح والأجزاء والأعضاء التي تتصف به ذات المخلوق</w:t>
      </w:r>
      <w:r w:rsidRPr="00A52585">
        <w:rPr>
          <w:rFonts w:cs="Monotype Koufi" w:hint="cs"/>
          <w:rtl/>
          <w:lang w:bidi="ar-KW"/>
        </w:rPr>
        <w:t>:</w:t>
      </w:r>
      <w:r w:rsidR="00777DCB" w:rsidRPr="00A52585">
        <w:rPr>
          <w:rFonts w:cs="Monotype Koufi"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w:t>
      </w:r>
      <w:r w:rsidR="00777DCB" w:rsidRPr="00A52585">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DB731D" w:rsidRPr="00A52585">
        <w:rPr>
          <w:rFonts w:hint="cs"/>
          <w:rtl/>
        </w:rPr>
        <w:t>،</w:t>
      </w:r>
      <w:r w:rsidR="00777DCB" w:rsidRPr="00A52585">
        <w:rPr>
          <w:rFonts w:hint="cs"/>
          <w:rtl/>
        </w:rPr>
        <w:t xml:space="preserve"> وذاته سبحانه منزهة عن الصور والتخطيط والتركيب لأن الله تعالى هو المصور وجلّ المصوِرُ أن يكون مصَورا</w:t>
      </w:r>
      <w:r w:rsidRPr="00A52585">
        <w:rPr>
          <w:rFonts w:hint="cs"/>
          <w:rtl/>
        </w:rPr>
        <w:t xml:space="preserve"> </w:t>
      </w:r>
      <w:r w:rsidR="00777DCB" w:rsidRPr="00A52585">
        <w:rPr>
          <w:rFonts w:hint="cs"/>
          <w:rtl/>
        </w:rPr>
        <w:t>وتعالى عن ذلك علوا كبيرا لأن الهيئة والصورة والتركيب والتأليف كل ذلك إنما يصح على الأجسام المحدودة والجواهر المخلوقة</w:t>
      </w:r>
      <w:r w:rsidR="00DB731D" w:rsidRPr="00A52585">
        <w:rPr>
          <w:rFonts w:hint="cs"/>
          <w:rtl/>
        </w:rPr>
        <w:t>،</w:t>
      </w:r>
      <w:r w:rsidR="00777DCB" w:rsidRPr="00A52585">
        <w:rPr>
          <w:rFonts w:hint="cs"/>
          <w:rtl/>
        </w:rPr>
        <w:t xml:space="preserve"> والتنزيه عن الصورة يعني بالضرورة التنزيه عن الأجزاء والأعضاء إذ الصورة تفيد</w:t>
      </w:r>
      <w:r w:rsidR="00777DCB" w:rsidRPr="00A52585">
        <w:rPr>
          <w:rFonts w:hint="cs"/>
        </w:rPr>
        <w:t xml:space="preserve"> </w:t>
      </w:r>
      <w:r w:rsidR="00777DCB" w:rsidRPr="00A52585">
        <w:rPr>
          <w:rFonts w:hint="cs"/>
          <w:rtl/>
        </w:rPr>
        <w:t>التركيب وكل مركب محدث</w:t>
      </w:r>
      <w:r w:rsidR="00DB731D" w:rsidRPr="00A52585">
        <w:rPr>
          <w:rFonts w:hint="cs"/>
          <w:rtl/>
        </w:rPr>
        <w:t>،</w:t>
      </w:r>
      <w:r w:rsidR="00777DCB" w:rsidRPr="00A52585">
        <w:rPr>
          <w:rFonts w:hint="cs"/>
          <w:rtl/>
        </w:rPr>
        <w:t xml:space="preserve"> والباري سبحانه وتعالى ليس بمحدث</w:t>
      </w:r>
      <w:r w:rsidR="00DB731D" w:rsidRPr="00A52585">
        <w:rPr>
          <w:rFonts w:hint="cs"/>
          <w:rtl/>
        </w:rPr>
        <w:t>،</w:t>
      </w:r>
      <w:r w:rsidR="00777DCB" w:rsidRPr="00A52585">
        <w:rPr>
          <w:rFonts w:hint="cs"/>
          <w:rtl/>
        </w:rPr>
        <w:t xml:space="preserve"> فليس بمركب</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أجمع أهل القبلة عدا المجسمة والمشبهة على تنزيه الله تعالى عن الأجزاء والأعضاء والجوارح تعالى الله عن ذلك علوا كبيرا</w:t>
      </w:r>
      <w:r w:rsidR="00DB731D" w:rsidRPr="00A52585">
        <w:rPr>
          <w:rFonts w:hint="cs"/>
          <w:rtl/>
        </w:rPr>
        <w:t>،</w:t>
      </w:r>
      <w:r w:rsidR="00777DCB" w:rsidRPr="00A52585">
        <w:rPr>
          <w:rFonts w:hint="cs"/>
          <w:rtl/>
        </w:rPr>
        <w:t xml:space="preserve"> قال تعالى: {قل هو الله أحد} (الإخلاص: 1)</w:t>
      </w:r>
      <w:r w:rsidR="00DB731D" w:rsidRPr="00A52585">
        <w:rPr>
          <w:rFonts w:hint="cs"/>
          <w:rtl/>
        </w:rPr>
        <w:t>،</w:t>
      </w:r>
      <w:r w:rsidR="00777DCB" w:rsidRPr="00A52585">
        <w:rPr>
          <w:rFonts w:hint="cs"/>
          <w:rtl/>
        </w:rPr>
        <w:t xml:space="preserve"> وقال تعالى: {والله الغني وأنتم الفقراء} (محمد: 38) ولو كان مركباً من</w:t>
      </w:r>
      <w:r w:rsidR="00777DCB" w:rsidRPr="00A52585">
        <w:rPr>
          <w:rFonts w:hint="cs"/>
        </w:rPr>
        <w:t xml:space="preserve"> </w:t>
      </w:r>
      <w:r w:rsidR="00777DCB" w:rsidRPr="00A52585">
        <w:rPr>
          <w:rFonts w:hint="cs"/>
          <w:rtl/>
        </w:rPr>
        <w:t>الأجزاء والأبعاض لكان محتاجاً إليها وذلك يمنع من كونه غنياً على الإطلاق، فثبت</w:t>
      </w:r>
      <w:r w:rsidR="00777DCB" w:rsidRPr="00A52585">
        <w:rPr>
          <w:rFonts w:hint="cs"/>
        </w:rPr>
        <w:t xml:space="preserve"> </w:t>
      </w:r>
      <w:r w:rsidR="00777DCB" w:rsidRPr="00A52585">
        <w:rPr>
          <w:rFonts w:hint="cs"/>
          <w:rtl/>
        </w:rPr>
        <w:t>بهذه الوجوه أن القول بإثبات الأعضاء والأجزاء لله محال</w:t>
      </w:r>
      <w:r w:rsidR="00DB731D" w:rsidRPr="00A52585">
        <w:rPr>
          <w:rFonts w:hint="cs"/>
          <w:rtl/>
        </w:rPr>
        <w:t>،</w:t>
      </w:r>
      <w:r w:rsidR="00777DCB" w:rsidRPr="00A52585">
        <w:rPr>
          <w:rFonts w:hint="cs"/>
          <w:rtl/>
        </w:rPr>
        <w:t xml:space="preserve"> </w:t>
      </w:r>
      <w:r w:rsidRPr="00A52585">
        <w:rPr>
          <w:rFonts w:hint="cs"/>
          <w:rtl/>
        </w:rPr>
        <w:lastRenderedPageBreak/>
        <w:t>(</w:t>
      </w:r>
      <w:r w:rsidR="00777DCB" w:rsidRPr="00A52585">
        <w:rPr>
          <w:rFonts w:hint="cs"/>
          <w:rtl/>
        </w:rPr>
        <w:t>ت</w:t>
      </w:r>
      <w:r w:rsidRPr="00A52585">
        <w:rPr>
          <w:rFonts w:hint="cs"/>
          <w:rtl/>
        </w:rPr>
        <w:t>)</w:t>
      </w:r>
      <w:r w:rsidR="00777DCB" w:rsidRPr="00A52585">
        <w:rPr>
          <w:rFonts w:hint="cs"/>
          <w:rtl/>
        </w:rPr>
        <w:t xml:space="preserve"> الأدلة النقلية المجملة على تنزيه الله تعالى عن الجوارح والأعضاء</w:t>
      </w:r>
      <w:r w:rsidRPr="00A52585">
        <w:rPr>
          <w:rFonts w:hint="cs"/>
          <w:rtl/>
        </w:rPr>
        <w:t xml:space="preserve"> </w:t>
      </w:r>
      <w:r w:rsidR="00777DCB" w:rsidRPr="00A52585">
        <w:rPr>
          <w:rFonts w:hint="cs"/>
          <w:rtl/>
        </w:rPr>
        <w:t>والأجزاء كثيرة منها</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قل هو الله أحد الله الصمد لم يلد ولم يولد ولم يكن له كفواً أحد</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أحد) ولفظ الأحد مبالغة في الوحدة، وذلك ينافي كونه مركباً من الأجزاء والأبعاض</w:t>
      </w:r>
      <w:r w:rsidR="00DB731D" w:rsidRPr="00A52585">
        <w:rPr>
          <w:rFonts w:hint="cs"/>
          <w:rtl/>
        </w:rPr>
        <w:t>،</w:t>
      </w:r>
      <w:r w:rsidR="00777DCB" w:rsidRPr="00A52585">
        <w:rPr>
          <w:rFonts w:hint="cs"/>
          <w:rtl/>
        </w:rPr>
        <w:t xml:space="preserve"> والأحدية تدل على نفى الأجزاء المتمثل في نفي التركيب والتأليف في الذات فلو كان تعالى مركبا من جوارح وأجزاء</w:t>
      </w:r>
      <w:r w:rsidRPr="00A52585">
        <w:rPr>
          <w:rFonts w:hint="cs"/>
          <w:rtl/>
        </w:rPr>
        <w:t xml:space="preserve"> </w:t>
      </w:r>
      <w:r w:rsidR="00777DCB" w:rsidRPr="00A52585">
        <w:rPr>
          <w:rFonts w:hint="cs"/>
          <w:rtl/>
        </w:rPr>
        <w:t>لم يكن أحدا</w:t>
      </w:r>
      <w:r w:rsidR="00DB731D" w:rsidRPr="00A52585">
        <w:rPr>
          <w:rFonts w:hint="cs"/>
          <w:rtl/>
        </w:rPr>
        <w:t>،</w:t>
      </w:r>
      <w:r w:rsidR="00777DCB" w:rsidRPr="00A52585">
        <w:rPr>
          <w:rFonts w:hint="cs"/>
          <w:rtl/>
        </w:rPr>
        <w:t xml:space="preserve"> لأن أجزاؤه توجب وقوع الكثرة في ذات الله تعالى والكثرة تنافي الأحدية في ذات الله</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الله الصمد</w:t>
      </w:r>
      <w:r w:rsidRPr="00A52585">
        <w:rPr>
          <w:rFonts w:hint="cs"/>
          <w:rtl/>
        </w:rPr>
        <w:t>)</w:t>
      </w:r>
      <w:r w:rsidR="00777DCB" w:rsidRPr="00A52585">
        <w:rPr>
          <w:rFonts w:hint="cs"/>
          <w:rtl/>
        </w:rPr>
        <w:t xml:space="preserve"> الصمدية كذلك تدل نفي الجارحة والأجزاء على الله بدليل</w:t>
      </w:r>
      <w:r w:rsidRPr="00A52585">
        <w:rPr>
          <w:rFonts w:hint="cs"/>
          <w:rtl/>
        </w:rPr>
        <w:t>:</w:t>
      </w:r>
      <w:r w:rsidR="00777DCB" w:rsidRPr="00A52585">
        <w:rPr>
          <w:rFonts w:hint="cs"/>
          <w:rtl/>
        </w:rPr>
        <w:t xml:space="preserve"> أن كل جسم فهو مركب</w:t>
      </w:r>
      <w:r w:rsidR="00DB731D" w:rsidRPr="00A52585">
        <w:rPr>
          <w:rFonts w:hint="cs"/>
          <w:rtl/>
        </w:rPr>
        <w:t>،</w:t>
      </w:r>
      <w:r w:rsidR="00777DCB" w:rsidRPr="00A52585">
        <w:rPr>
          <w:rFonts w:hint="cs"/>
          <w:rtl/>
        </w:rPr>
        <w:t xml:space="preserve"> وكل مركب فهو محتاج إلى كل واحد من أجزائه وكل واحد من أجزائه غيره</w:t>
      </w:r>
      <w:r w:rsidR="00DB731D" w:rsidRPr="00A52585">
        <w:rPr>
          <w:rFonts w:hint="cs"/>
          <w:rtl/>
        </w:rPr>
        <w:t>،</w:t>
      </w:r>
      <w:r w:rsidR="00777DCB" w:rsidRPr="00A52585">
        <w:rPr>
          <w:rFonts w:hint="cs"/>
          <w:rtl/>
        </w:rPr>
        <w:t xml:space="preserve"> فكل مركب فهو محتاج إلى غيره والمحتاج إلى الغير لا يكون غنياً محتاجا </w:t>
      </w:r>
      <w:r w:rsidRPr="00A52585">
        <w:rPr>
          <w:rFonts w:hint="cs"/>
          <w:rtl/>
        </w:rPr>
        <w:t>(</w:t>
      </w:r>
      <w:r w:rsidR="00777DCB" w:rsidRPr="00A52585">
        <w:rPr>
          <w:rFonts w:hint="cs"/>
          <w:rtl/>
        </w:rPr>
        <w:t>إليه</w:t>
      </w:r>
      <w:r w:rsidRPr="00A52585">
        <w:rPr>
          <w:rFonts w:hint="cs"/>
          <w:rtl/>
        </w:rPr>
        <w:t>)</w:t>
      </w:r>
      <w:r w:rsidR="00777DCB" w:rsidRPr="00A52585">
        <w:rPr>
          <w:rFonts w:hint="cs"/>
          <w:rtl/>
        </w:rPr>
        <w:t xml:space="preserve"> فلم يكن صمداً مطلقاً </w:t>
      </w:r>
      <w:r w:rsidR="00777DCB" w:rsidRPr="00A52585">
        <w:rPr>
          <w:rFonts w:hint="cs"/>
          <w:rtl/>
          <w:lang w:bidi="ar-KW"/>
        </w:rPr>
        <w:t>وكذلك</w:t>
      </w:r>
      <w:r w:rsidRPr="00A52585">
        <w:rPr>
          <w:rFonts w:hint="cs"/>
          <w:rtl/>
          <w:lang w:bidi="ar-KW"/>
        </w:rPr>
        <w:t xml:space="preserve"> </w:t>
      </w:r>
      <w:r w:rsidR="00777DCB" w:rsidRPr="00A52585">
        <w:rPr>
          <w:rFonts w:hint="cs"/>
          <w:rtl/>
        </w:rPr>
        <w:t>لو كان سبحانه مركباً من الجوارح والأعضاء لأحتاج في الإبصار إلى العين وفى الفعل إلي اليد</w:t>
      </w:r>
      <w:r w:rsidR="00777DCB" w:rsidRPr="00A52585">
        <w:rPr>
          <w:rFonts w:hint="cs"/>
        </w:rPr>
        <w:t xml:space="preserve"> </w:t>
      </w:r>
      <w:r w:rsidR="00777DCB" w:rsidRPr="00A52585">
        <w:rPr>
          <w:rFonts w:hint="cs"/>
          <w:rtl/>
        </w:rPr>
        <w:t>وفى المشي إلي الرجل وذلك</w:t>
      </w:r>
      <w:r w:rsidR="00777DCB" w:rsidRPr="00A52585">
        <w:rPr>
          <w:rFonts w:hint="cs"/>
        </w:rPr>
        <w:t xml:space="preserve"> </w:t>
      </w:r>
      <w:r w:rsidR="00777DCB" w:rsidRPr="00A52585">
        <w:rPr>
          <w:rFonts w:hint="cs"/>
          <w:rtl/>
        </w:rPr>
        <w:t>ينافى كونه صمداً مطلقاً له كمال الغني ونفي الاحتياج</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hint="cs"/>
          <w:rtl/>
        </w:rPr>
        <w:t xml:space="preserve"> نفي للمثلية كقوله تعالى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ولو كان مركبا من أجزاء وجوارح</w:t>
      </w:r>
      <w:r w:rsidRPr="00A52585">
        <w:rPr>
          <w:rFonts w:hint="cs"/>
          <w:rtl/>
        </w:rPr>
        <w:t xml:space="preserve"> </w:t>
      </w:r>
      <w:r w:rsidR="00777DCB" w:rsidRPr="00A52585">
        <w:rPr>
          <w:rFonts w:hint="cs"/>
          <w:rtl/>
        </w:rPr>
        <w:t>لكان مثلاً لسائر المخلوقات المركبة من أجزاء وجوارح</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والله الغنى وأنتم الفقراء</w:t>
      </w:r>
      <w:r w:rsidRPr="00A52585">
        <w:rPr>
          <w:rFonts w:hint="cs"/>
          <w:rtl/>
        </w:rPr>
        <w:t>)</w:t>
      </w:r>
      <w:r w:rsidR="00777DCB" w:rsidRPr="00A52585">
        <w:rPr>
          <w:rFonts w:hint="cs"/>
          <w:rtl/>
        </w:rPr>
        <w:t xml:space="preserve"> دلت هذه الآية على كونه تعالى غنى ولو كان مركبا من أجزاء وجوارح</w:t>
      </w:r>
      <w:r w:rsidRPr="00A52585">
        <w:rPr>
          <w:rFonts w:hint="cs"/>
          <w:rtl/>
        </w:rPr>
        <w:t xml:space="preserve"> </w:t>
      </w:r>
      <w:r w:rsidR="00777DCB" w:rsidRPr="00A52585">
        <w:rPr>
          <w:rFonts w:hint="cs"/>
          <w:rtl/>
        </w:rPr>
        <w:t>لما كان غنياً لأن كل جسم مركب وكل مركب محتاج إلى كل واحد من أجزائه</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لا إله إلا هو الحي القيوم</w:t>
      </w:r>
      <w:r w:rsidRPr="00A52585">
        <w:rPr>
          <w:rFonts w:hint="cs"/>
          <w:rtl/>
        </w:rPr>
        <w:t>)</w:t>
      </w:r>
      <w:r w:rsidR="00777DCB" w:rsidRPr="00A52585">
        <w:rPr>
          <w:rFonts w:hint="cs"/>
          <w:rtl/>
        </w:rPr>
        <w:t xml:space="preserve"> والقيوم مبالغة في كونه غنياً عن كل ما سواه</w:t>
      </w:r>
      <w:r w:rsidR="00DB731D" w:rsidRPr="00A52585">
        <w:rPr>
          <w:rFonts w:hint="cs"/>
          <w:rtl/>
        </w:rPr>
        <w:t>،</w:t>
      </w:r>
      <w:r w:rsidR="00777DCB" w:rsidRPr="00A52585">
        <w:rPr>
          <w:rFonts w:hint="cs"/>
          <w:rtl/>
        </w:rPr>
        <w:t xml:space="preserve"> وكونه مقوماً لغيره</w:t>
      </w:r>
      <w:r w:rsidRPr="00A52585">
        <w:rPr>
          <w:rFonts w:hint="cs"/>
          <w:rtl/>
        </w:rPr>
        <w:t>:</w:t>
      </w:r>
      <w:r w:rsidR="00777DCB" w:rsidRPr="00A52585">
        <w:rPr>
          <w:rFonts w:hint="cs"/>
          <w:rtl/>
        </w:rPr>
        <w:t xml:space="preserve"> عبارة عن احتياج كل ما سواه إليه</w:t>
      </w:r>
      <w:r w:rsidR="00DB731D" w:rsidRPr="00A52585">
        <w:rPr>
          <w:rFonts w:hint="cs"/>
          <w:rtl/>
        </w:rPr>
        <w:t>،</w:t>
      </w:r>
      <w:r w:rsidR="00777DCB" w:rsidRPr="00A52585">
        <w:rPr>
          <w:rFonts w:hint="cs"/>
          <w:rtl/>
        </w:rPr>
        <w:t xml:space="preserve"> فلو كان مركبا من جوارح وأجزاء</w:t>
      </w:r>
      <w:r w:rsidRPr="00A52585">
        <w:rPr>
          <w:rFonts w:hint="cs"/>
          <w:rtl/>
        </w:rPr>
        <w:t xml:space="preserve"> </w:t>
      </w:r>
      <w:r w:rsidR="00777DCB" w:rsidRPr="00A52585">
        <w:rPr>
          <w:rFonts w:hint="cs"/>
          <w:rtl/>
        </w:rPr>
        <w:t>لكان هو مفتقراً إلى غيره وهو جزؤه الذي منه يتألف</w:t>
      </w:r>
      <w:r w:rsidR="00DB731D" w:rsidRPr="00A52585">
        <w:rPr>
          <w:rFonts w:hint="cs"/>
          <w:rtl/>
        </w:rPr>
        <w:t>،</w:t>
      </w:r>
      <w:r w:rsidRPr="00A52585">
        <w:rPr>
          <w:rFonts w:hint="cs"/>
          <w:rtl/>
        </w:rPr>
        <w:t xml:space="preserve"> </w:t>
      </w:r>
      <w:r w:rsidR="00777DCB" w:rsidRPr="00A52585">
        <w:rPr>
          <w:rFonts w:hint="cs"/>
          <w:rtl/>
        </w:rPr>
        <w:t>ولكان غيره غنياً عنه وهو جزئه وحينئذ لا يكون قيوماً</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ولو كان مركبا من أجزاء وجوارح</w:t>
      </w:r>
      <w:r w:rsidRPr="00A52585">
        <w:rPr>
          <w:rFonts w:hint="cs"/>
          <w:rtl/>
        </w:rPr>
        <w:t xml:space="preserve"> </w:t>
      </w:r>
      <w:r w:rsidR="00777DCB" w:rsidRPr="00A52585">
        <w:rPr>
          <w:rFonts w:hint="cs"/>
          <w:rtl/>
        </w:rPr>
        <w:t>لكان مثلاً لسائر المخلوقات المركبة من أجزاء وجوارح</w:t>
      </w:r>
      <w:r w:rsidR="00DB731D" w:rsidRPr="00A52585">
        <w:rPr>
          <w:rFonts w:hint="cs"/>
          <w:rtl/>
        </w:rPr>
        <w:t>،</w:t>
      </w:r>
      <w:r w:rsidR="00777DCB" w:rsidRPr="00A52585">
        <w:rPr>
          <w:rFonts w:hint="cs"/>
          <w:rtl/>
        </w:rPr>
        <w:t xml:space="preserve"> </w:t>
      </w:r>
    </w:p>
    <w:p w14:paraId="048AD87A" w14:textId="0ECC5B70" w:rsidR="00777DCB" w:rsidRPr="00A52585" w:rsidRDefault="0002035C" w:rsidP="0002035C">
      <w:pPr>
        <w:rPr>
          <w:b/>
          <w:rtl/>
        </w:rPr>
      </w:pPr>
      <w:r w:rsidRPr="00A52585">
        <w:rPr>
          <w:rFonts w:cs="Monotype Koufi" w:hint="cs"/>
          <w:rtl/>
          <w:lang w:bidi="ar-KW"/>
        </w:rPr>
        <w:t>[</w:t>
      </w:r>
      <w:r w:rsidR="00777DCB" w:rsidRPr="00A52585">
        <w:rPr>
          <w:rFonts w:cs="Monotype Koufi" w:hint="cs"/>
          <w:rtl/>
          <w:lang w:bidi="ar-KW"/>
        </w:rPr>
        <w:t>9</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الاتحاد والحلول</w:t>
      </w:r>
      <w:r w:rsidR="00DB731D" w:rsidRPr="00A52585">
        <w:rPr>
          <w:rFonts w:cs="Monotype Koufi" w:hint="cs"/>
          <w:rtl/>
          <w:lang w:bidi="ar-KW"/>
        </w:rPr>
        <w:t>،</w:t>
      </w:r>
      <w:r w:rsidRPr="00A52585">
        <w:rPr>
          <w:rFonts w:cs="Monotype Koufi" w:hint="cs"/>
          <w:rtl/>
          <w:lang w:bidi="ar-KW"/>
        </w:rPr>
        <w:t xml:space="preserve"> </w:t>
      </w:r>
      <w:r w:rsidR="00777DCB" w:rsidRPr="00A52585">
        <w:rPr>
          <w:rFonts w:cs="Monotype Koufi" w:hint="cs"/>
          <w:rtl/>
          <w:lang w:bidi="ar-KW"/>
        </w:rPr>
        <w:t>وعن الاتصال والانفصال لأنها صفات المخلوق</w:t>
      </w:r>
      <w:r w:rsidRPr="00A52585">
        <w:rPr>
          <w:rFonts w:eastAsia="Times New Roman"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الله تبارك وتعالى منزه عن الاتحاد والحلول وعن الاتصال والانفصال لأنها صفات المخلوق وبيان ذلك</w:t>
      </w:r>
      <w:r w:rsidRPr="00A52585">
        <w:rPr>
          <w:rFonts w:hint="cs"/>
          <w:rtl/>
          <w:lang w:bidi="ar-KW"/>
        </w:rPr>
        <w:t>:</w:t>
      </w:r>
      <w:r w:rsidR="00777DCB" w:rsidRPr="00A52585">
        <w:rPr>
          <w:rFonts w:hint="cs"/>
          <w:rtl/>
          <w:lang w:bidi="ar-KW"/>
        </w:rPr>
        <w:t xml:space="preserve"> </w:t>
      </w:r>
      <w:r w:rsidR="00777DCB" w:rsidRPr="00A52585">
        <w:rPr>
          <w:rFonts w:hint="cs"/>
          <w:rtl/>
        </w:rPr>
        <w:t>ما ثم إلا خالق أو مخلوق فهل يتحد الخالق القديم الأزلي الباقي الذي ليس كمثله شيء بالمخلوق المحدث الفاني</w:t>
      </w:r>
      <w:r w:rsidR="00DB731D" w:rsidRPr="00A52585">
        <w:rPr>
          <w:rFonts w:hint="cs"/>
          <w:rtl/>
        </w:rPr>
        <w:t>،</w:t>
      </w:r>
      <w:r w:rsidR="00777DCB" w:rsidRPr="00A52585">
        <w:rPr>
          <w:rFonts w:hint="cs"/>
          <w:rtl/>
        </w:rPr>
        <w:t xml:space="preserve"> أم هل يحل الذي تنزه عن الحد والمقدار في المخلوق المحدود المقدر</w:t>
      </w:r>
      <w:r w:rsidR="00DB731D" w:rsidRPr="00A52585">
        <w:rPr>
          <w:rFonts w:hint="cs"/>
          <w:rtl/>
        </w:rPr>
        <w:t>،</w:t>
      </w:r>
      <w:r w:rsidRPr="00A52585">
        <w:rPr>
          <w:rFonts w:hint="cs"/>
          <w:rtl/>
        </w:rPr>
        <w:t xml:space="preserve"> </w:t>
      </w:r>
      <w:r w:rsidR="00777DCB" w:rsidRPr="00A52585">
        <w:rPr>
          <w:rFonts w:hint="cs"/>
          <w:rtl/>
        </w:rPr>
        <w:t>والله منزه</w:t>
      </w:r>
      <w:r w:rsidR="00777DCB" w:rsidRPr="00A52585">
        <w:rPr>
          <w:rFonts w:hint="cs"/>
        </w:rPr>
        <w:t xml:space="preserve"> </w:t>
      </w:r>
      <w:r w:rsidR="00777DCB" w:rsidRPr="00A52585">
        <w:rPr>
          <w:rFonts w:hint="cs"/>
          <w:rtl/>
        </w:rPr>
        <w:t>عن الحلول في المواضع والأماكن لأن الحلول عرض يفنى وهو حادث والحادث لا يليق بالله</w:t>
      </w:r>
      <w:r w:rsidR="00DB731D" w:rsidRPr="00A52585">
        <w:rPr>
          <w:rFonts w:hint="cs"/>
          <w:rtl/>
        </w:rPr>
        <w:t>،</w:t>
      </w:r>
      <w:r w:rsidR="00777DCB" w:rsidRPr="00A52585">
        <w:rPr>
          <w:rFonts w:hint="cs"/>
          <w:rtl/>
        </w:rPr>
        <w:t xml:space="preserve"> والاتصال والانفصال لا يكون إلا بين الأجسام والله منزه عن الجسمية ولوازم الجسمية كما مر بنا</w:t>
      </w:r>
      <w:r w:rsidR="00DB731D" w:rsidRPr="00A52585">
        <w:rPr>
          <w:rFonts w:eastAsiaTheme="minorEastAsia" w:hint="cs"/>
          <w:rtl/>
        </w:rPr>
        <w:t>،</w:t>
      </w:r>
      <w:r w:rsidR="00777DCB" w:rsidRPr="00A52585">
        <w:rPr>
          <w:rFonts w:eastAsiaTheme="minorEastAsia"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أجمع علماء أهل السنة على تنزيه </w:t>
      </w:r>
      <w:r w:rsidR="00777DCB" w:rsidRPr="00A52585">
        <w:rPr>
          <w:rFonts w:hint="cs"/>
          <w:rtl/>
        </w:rPr>
        <w:lastRenderedPageBreak/>
        <w:t>الله تعالى عن الاتحاد بخلقه أو الحلول في شيء منها وعن الاتصال بها أو الانفصال عنها ونقل الإجماع كل من تكلم عن فرق المسلمين</w:t>
      </w:r>
      <w:r w:rsidR="00DB731D" w:rsidRPr="00A52585">
        <w:rPr>
          <w:rFonts w:hint="cs"/>
          <w:rtl/>
        </w:rPr>
        <w:t>،</w:t>
      </w:r>
      <w:r w:rsidR="00777DCB" w:rsidRPr="00A52585">
        <w:rPr>
          <w:rFonts w:hint="cs"/>
          <w:rtl/>
        </w:rPr>
        <w:t xml:space="preserve"> قال ابن كثير _ عند قوله تعالى </w:t>
      </w:r>
      <w:r w:rsidRPr="00A52585">
        <w:rPr>
          <w:rFonts w:hint="cs"/>
          <w:rtl/>
        </w:rPr>
        <w:t>(</w:t>
      </w:r>
      <w:r w:rsidR="00777DCB" w:rsidRPr="00A52585">
        <w:rPr>
          <w:rFonts w:hint="cs"/>
          <w:rtl/>
        </w:rPr>
        <w:t>ونحن أقرب إليه من حبل الوريد) _</w:t>
      </w:r>
      <w:r w:rsidRPr="00A52585">
        <w:rPr>
          <w:rFonts w:hint="cs"/>
          <w:rtl/>
        </w:rPr>
        <w:t xml:space="preserve"> </w:t>
      </w:r>
      <w:r w:rsidR="00777DCB" w:rsidRPr="00A52585">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sidRPr="00A52585">
        <w:rPr>
          <w:rFonts w:hint="cs"/>
          <w:rtl/>
        </w:rPr>
        <w:t>[</w:t>
      </w:r>
      <w:r w:rsidR="00777DCB" w:rsidRPr="00A52585">
        <w:rPr>
          <w:rFonts w:hint="cs"/>
          <w:rtl/>
        </w:rPr>
        <w:t>تفسير ابن كثير ج: 4 ص: 224]،</w:t>
      </w:r>
    </w:p>
    <w:p w14:paraId="5D9F74EB" w14:textId="7B4CD179" w:rsidR="00777DCB" w:rsidRPr="00A52585" w:rsidRDefault="0002035C" w:rsidP="0002035C">
      <w:pPr>
        <w:rPr>
          <w:b/>
          <w:lang w:bidi="ar-KW"/>
        </w:rPr>
      </w:pPr>
      <w:r w:rsidRPr="00A52585">
        <w:rPr>
          <w:rFonts w:cs="Monotype Koufi" w:hint="cs"/>
          <w:rtl/>
        </w:rPr>
        <w:t>[</w:t>
      </w:r>
      <w:r w:rsidR="00777DCB" w:rsidRPr="00A52585">
        <w:rPr>
          <w:rFonts w:cs="Monotype Koufi" w:hint="cs"/>
          <w:rtl/>
        </w:rPr>
        <w:t>10</w:t>
      </w:r>
      <w:r w:rsidRPr="00A52585">
        <w:rPr>
          <w:rFonts w:cs="Monotype Koufi" w:hint="cs"/>
          <w:rtl/>
        </w:rPr>
        <w:t>]:</w:t>
      </w:r>
      <w:r w:rsidR="00777DCB" w:rsidRPr="00A52585">
        <w:rPr>
          <w:rFonts w:cs="Monotype Koufi" w:hint="cs"/>
          <w:rtl/>
        </w:rPr>
        <w:t xml:space="preserve"> </w:t>
      </w:r>
      <w:r w:rsidR="00777DCB" w:rsidRPr="00A52585">
        <w:rPr>
          <w:rFonts w:cs="Monotype Koufi" w:hint="cs"/>
          <w:rtl/>
          <w:lang w:bidi="ar-KW"/>
        </w:rPr>
        <w:t>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الأعراض والكيفيات الحسية التي تتصف به ذات المخلوق</w:t>
      </w:r>
      <w:r w:rsidRPr="00A52585">
        <w:rPr>
          <w:rFonts w:cs="Monotype Koufi"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المقصود ب</w:t>
      </w:r>
      <w:r w:rsidR="00777DCB" w:rsidRPr="00A52585">
        <w:rPr>
          <w:rFonts w:hint="cs"/>
          <w:rtl/>
        </w:rPr>
        <w:t>الأعراض مثل الألوان والأحجام والأشكال والطعوم والروائح</w:t>
      </w:r>
      <w:r w:rsidR="00777DCB" w:rsidRPr="00A52585">
        <w:rPr>
          <w:rFonts w:hint="cs"/>
          <w:rtl/>
          <w:lang w:bidi="ar-KW"/>
        </w:rPr>
        <w:t xml:space="preserve"> التي تتصف به ذات المخلوق</w:t>
      </w:r>
      <w:r w:rsidR="00DB731D" w:rsidRPr="00A52585">
        <w:rPr>
          <w:rFonts w:hint="cs"/>
          <w:rtl/>
        </w:rPr>
        <w:t>،</w:t>
      </w:r>
      <w:r w:rsidR="00777DCB" w:rsidRPr="00A52585">
        <w:rPr>
          <w:rFonts w:hint="cs"/>
          <w:rtl/>
        </w:rPr>
        <w:t xml:space="preserve"> والمقصود بالكيفيات الحسية </w:t>
      </w:r>
      <w:r w:rsidR="00777DCB" w:rsidRPr="00A52585">
        <w:rPr>
          <w:rFonts w:hint="cs"/>
          <w:rtl/>
          <w:lang w:bidi="ar-KW"/>
        </w:rPr>
        <w:t>التي تتصف به ذات المخلوق كالجلوس والاستقرار والنزول والصعود على معنى التغير في ذاته</w:t>
      </w:r>
      <w:r w:rsidR="00DB731D" w:rsidRPr="00A52585">
        <w:rPr>
          <w:rFonts w:hint="cs"/>
          <w:rtl/>
          <w:lang w:bidi="ar-KW"/>
        </w:rPr>
        <w:t>،</w:t>
      </w:r>
      <w:r w:rsidR="00777DCB" w:rsidRPr="00A52585">
        <w:rPr>
          <w:rFonts w:hint="cs"/>
          <w:rtl/>
          <w:lang w:bidi="ar-KW"/>
        </w:rPr>
        <w:t xml:space="preserve"> والذهاب والمجيء على معنى التغير في ذاته</w:t>
      </w:r>
      <w:r w:rsidR="00DB731D" w:rsidRPr="00A52585">
        <w:rPr>
          <w:rFonts w:hint="cs"/>
          <w:rtl/>
          <w:lang w:bidi="ar-KW"/>
        </w:rPr>
        <w:t>،</w:t>
      </w:r>
      <w:r w:rsidR="00777DCB" w:rsidRPr="00A52585">
        <w:rPr>
          <w:rFonts w:hint="cs"/>
          <w:rtl/>
          <w:lang w:bidi="ar-KW"/>
        </w:rPr>
        <w:t xml:space="preserve"> والقبض والبسط على معنى التغير في ذاته</w:t>
      </w:r>
      <w:r w:rsidR="00DB731D" w:rsidRPr="00A52585">
        <w:rPr>
          <w:rFonts w:hint="cs"/>
          <w:rtl/>
          <w:lang w:bidi="ar-KW"/>
        </w:rPr>
        <w:t>،</w:t>
      </w:r>
      <w:r w:rsidR="00777DCB" w:rsidRPr="00A52585">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DB731D" w:rsidRPr="00A52585">
        <w:rPr>
          <w:rFonts w:hint="cs"/>
          <w:rtl/>
          <w:lang w:bidi="ar-KW"/>
        </w:rPr>
        <w:t>،</w:t>
      </w:r>
      <w:r w:rsidR="00777DCB" w:rsidRPr="00A52585">
        <w:rPr>
          <w:rFonts w:hint="cs"/>
          <w:rtl/>
          <w:lang w:bidi="ar-KW"/>
        </w:rPr>
        <w:t xml:space="preserve"> والسكون والتحرك والتماس والتباين والخروج والدخول على معنى التغير في ذاته</w:t>
      </w:r>
      <w:r w:rsidR="00DB731D" w:rsidRPr="00A52585">
        <w:rPr>
          <w:rFonts w:hint="cs"/>
          <w:rtl/>
          <w:lang w:bidi="ar-KW"/>
        </w:rPr>
        <w:t>،</w:t>
      </w:r>
      <w:r w:rsidR="00777DCB" w:rsidRPr="00A52585">
        <w:rPr>
          <w:rFonts w:hint="cs"/>
          <w:rtl/>
          <w:lang w:bidi="ar-KW"/>
        </w:rPr>
        <w:t xml:space="preserve"> والقرب بالمسافة والبعد بالمسافة</w:t>
      </w:r>
      <w:r w:rsidR="00DB731D" w:rsidRPr="00A52585">
        <w:rPr>
          <w:rFonts w:hint="cs"/>
          <w:rtl/>
          <w:lang w:bidi="ar-KW"/>
        </w:rPr>
        <w:t>،</w:t>
      </w:r>
      <w:r w:rsidR="00777DCB" w:rsidRPr="00A52585">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DB731D" w:rsidRPr="00A52585">
        <w:rPr>
          <w:rFonts w:hint="cs"/>
          <w:rtl/>
          <w:lang w:bidi="ar-KW"/>
        </w:rPr>
        <w:t>،</w:t>
      </w:r>
      <w:r w:rsidR="00777DCB" w:rsidRPr="00A52585">
        <w:rPr>
          <w:rFonts w:hint="cs"/>
          <w:rtl/>
          <w:lang w:bidi="ar-KW"/>
        </w:rPr>
        <w:t xml:space="preserve"> والندم والتردد على معنى</w:t>
      </w:r>
      <w:r w:rsidRPr="00A52585">
        <w:rPr>
          <w:rFonts w:hint="cs"/>
          <w:rtl/>
          <w:lang w:bidi="ar-KW"/>
        </w:rPr>
        <w:t xml:space="preserve"> </w:t>
      </w:r>
      <w:r w:rsidR="00777DCB" w:rsidRPr="00A52585">
        <w:rPr>
          <w:rFonts w:hint="cs"/>
          <w:rtl/>
          <w:lang w:bidi="ar-KW"/>
        </w:rPr>
        <w:t>التغير في ذاته</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ب</w:t>
      </w:r>
      <w:r w:rsidRPr="00A52585">
        <w:rPr>
          <w:rFonts w:hint="cs"/>
          <w:rtl/>
          <w:lang w:bidi="ar-KW"/>
        </w:rPr>
        <w:t>)</w:t>
      </w:r>
      <w:r w:rsidR="00777DCB" w:rsidRPr="00A52585">
        <w:rPr>
          <w:rFonts w:hint="cs"/>
          <w:rtl/>
          <w:lang w:bidi="ar-KW"/>
        </w:rPr>
        <w:t xml:space="preserve"> الله تعالى منزه عن تلك الأعراض والكيفيات الحسية</w:t>
      </w:r>
      <w:r w:rsidR="00DB731D" w:rsidRPr="00A52585">
        <w:rPr>
          <w:rFonts w:hint="cs"/>
          <w:rtl/>
          <w:lang w:bidi="ar-KW"/>
        </w:rPr>
        <w:t>،</w:t>
      </w:r>
      <w:r w:rsidR="00777DCB" w:rsidRPr="00A52585">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DB731D" w:rsidRPr="00A52585">
        <w:rPr>
          <w:rFonts w:hint="cs"/>
          <w:rtl/>
          <w:lang w:bidi="ar-KW"/>
        </w:rPr>
        <w:t>،</w:t>
      </w:r>
      <w:r w:rsidR="00777DCB" w:rsidRPr="00A52585">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من أدلة تنزيه الله عن الكيفيات المحسوسة</w:t>
      </w:r>
      <w:r w:rsidRPr="00A52585">
        <w:rPr>
          <w:rFonts w:hint="cs"/>
          <w:rtl/>
        </w:rPr>
        <w:t>:</w:t>
      </w:r>
      <w:r w:rsidR="00777DCB" w:rsidRPr="00A52585">
        <w:rPr>
          <w:rFonts w:hint="cs"/>
          <w:rtl/>
        </w:rPr>
        <w:t xml:space="preserve"> أنها من خواص الجسم والله تعالى منزّه عن الجسمانية</w:t>
      </w:r>
      <w:r w:rsidR="00DB731D" w:rsidRPr="00A52585">
        <w:rPr>
          <w:rFonts w:hint="cs"/>
          <w:rtl/>
        </w:rPr>
        <w:t>،</w:t>
      </w:r>
      <w:r w:rsidR="00777DCB" w:rsidRPr="00A52585">
        <w:rPr>
          <w:rFonts w:hint="cs"/>
          <w:rtl/>
        </w:rPr>
        <w:t xml:space="preserve"> وأنها حادثة</w:t>
      </w:r>
      <w:r w:rsidR="00DB731D" w:rsidRPr="00A52585">
        <w:rPr>
          <w:rFonts w:hint="cs"/>
          <w:rtl/>
        </w:rPr>
        <w:t>،</w:t>
      </w:r>
      <w:r w:rsidR="00777DCB" w:rsidRPr="00A52585">
        <w:rPr>
          <w:rFonts w:hint="cs"/>
          <w:rtl/>
        </w:rPr>
        <w:t xml:space="preserve"> لكن الباري غير حادث، فيمتنع أن يكون قابلاً للحوادث</w:t>
      </w:r>
      <w:r w:rsidR="00DB731D" w:rsidRPr="00A52585">
        <w:rPr>
          <w:rFonts w:hint="cs"/>
          <w:rtl/>
        </w:rPr>
        <w:t>،</w:t>
      </w:r>
      <w:r w:rsidR="00777DCB" w:rsidRPr="00A52585">
        <w:rPr>
          <w:rFonts w:hint="cs"/>
          <w:rtl/>
        </w:rPr>
        <w:t xml:space="preserve"> وهي تستلزم التغير والانفعال</w:t>
      </w:r>
      <w:r w:rsidR="00DB731D" w:rsidRPr="00A52585">
        <w:rPr>
          <w:rFonts w:hint="cs"/>
          <w:rtl/>
        </w:rPr>
        <w:t>،</w:t>
      </w:r>
      <w:r w:rsidRPr="00A52585">
        <w:rPr>
          <w:rFonts w:hint="cs"/>
          <w:rtl/>
        </w:rPr>
        <w:t xml:space="preserve"> </w:t>
      </w:r>
      <w:r w:rsidR="00777DCB" w:rsidRPr="00A52585">
        <w:rPr>
          <w:rFonts w:hint="cs"/>
          <w:rtl/>
        </w:rPr>
        <w:t>والله منزّه من التغير في ذاته</w:t>
      </w:r>
      <w:r w:rsidR="00DB731D" w:rsidRPr="00A52585">
        <w:rPr>
          <w:rFonts w:hint="cs"/>
          <w:rtl/>
        </w:rPr>
        <w:t>،</w:t>
      </w:r>
      <w:r w:rsidRPr="00A52585">
        <w:rPr>
          <w:rFonts w:hint="cs"/>
          <w:rtl/>
        </w:rPr>
        <w:t xml:space="preserve"> (</w:t>
      </w:r>
      <w:r w:rsidR="00777DCB" w:rsidRPr="00A52585">
        <w:rPr>
          <w:rFonts w:hint="cs"/>
          <w:rtl/>
        </w:rPr>
        <w:t>ث</w:t>
      </w:r>
      <w:r w:rsidRPr="00A52585">
        <w:rPr>
          <w:rFonts w:hint="cs"/>
          <w:rtl/>
        </w:rPr>
        <w:t>)</w:t>
      </w:r>
      <w:r w:rsidR="00777DCB" w:rsidRPr="00A52585">
        <w:rPr>
          <w:rFonts w:hint="cs"/>
          <w:rtl/>
        </w:rPr>
        <w:t xml:space="preserve"> ما جاء في الكتاب والسنة من إضافة الاستواء </w:t>
      </w:r>
      <w:r w:rsidR="00777DCB" w:rsidRPr="00A52585">
        <w:rPr>
          <w:rFonts w:hint="cs"/>
          <w:rtl/>
          <w:lang w:bidi="ar-KW"/>
        </w:rPr>
        <w:t>والنزول والذهاب والمجيء والقبض والبسط والضحك والتبسم والغضب والتردد إلى ذات الله تعالى</w:t>
      </w:r>
      <w:r w:rsidR="00DB731D" w:rsidRPr="00A52585">
        <w:rPr>
          <w:rFonts w:hint="cs"/>
          <w:rtl/>
          <w:lang w:bidi="ar-KW"/>
        </w:rPr>
        <w:t>،</w:t>
      </w:r>
      <w:r w:rsidR="00777DCB" w:rsidRPr="00A52585">
        <w:rPr>
          <w:rFonts w:hint="cs"/>
          <w:rtl/>
          <w:lang w:bidi="ar-KW"/>
        </w:rPr>
        <w:t xml:space="preserve"> فإنه حق وصدق على مراد الله ومراد رسول الله</w:t>
      </w:r>
      <w:r w:rsidR="00DB731D" w:rsidRPr="00A52585">
        <w:rPr>
          <w:rFonts w:hint="cs"/>
          <w:rtl/>
          <w:lang w:bidi="ar-KW"/>
        </w:rPr>
        <w:t>،</w:t>
      </w:r>
      <w:r w:rsidR="00777DCB" w:rsidRPr="00A52585">
        <w:rPr>
          <w:rFonts w:hint="cs"/>
          <w:rtl/>
          <w:lang w:bidi="ar-KW"/>
        </w:rPr>
        <w:t xml:space="preserve"> صفات تليق بالذات</w:t>
      </w:r>
      <w:r w:rsidR="00DB731D" w:rsidRPr="00A52585">
        <w:rPr>
          <w:rFonts w:hint="cs"/>
          <w:rtl/>
          <w:lang w:bidi="ar-KW"/>
        </w:rPr>
        <w:t>،</w:t>
      </w:r>
      <w:r w:rsidR="00777DCB" w:rsidRPr="00A52585">
        <w:rPr>
          <w:rFonts w:hint="cs"/>
          <w:rtl/>
          <w:lang w:bidi="ar-KW"/>
        </w:rPr>
        <w:t xml:space="preserve"> وكما أنّ ذات الله تعالى ليس كمثله شيء</w:t>
      </w:r>
      <w:r w:rsidR="00DB731D" w:rsidRPr="00A52585">
        <w:rPr>
          <w:rFonts w:hint="cs"/>
          <w:rtl/>
          <w:lang w:bidi="ar-KW"/>
        </w:rPr>
        <w:t>،</w:t>
      </w:r>
      <w:r w:rsidR="00777DCB" w:rsidRPr="00A52585">
        <w:rPr>
          <w:rFonts w:hint="cs"/>
          <w:rtl/>
          <w:lang w:bidi="ar-KW"/>
        </w:rPr>
        <w:t xml:space="preserve"> فإن ما أضيف إلى الذات يتبع </w:t>
      </w:r>
      <w:r w:rsidR="00777DCB" w:rsidRPr="00A52585">
        <w:rPr>
          <w:rFonts w:hint="cs"/>
          <w:rtl/>
          <w:lang w:bidi="ar-KW"/>
        </w:rPr>
        <w:lastRenderedPageBreak/>
        <w:t>الذات</w:t>
      </w:r>
      <w:r w:rsidR="00DB731D" w:rsidRPr="00A52585">
        <w:rPr>
          <w:rFonts w:hint="cs"/>
          <w:rtl/>
          <w:lang w:bidi="ar-KW"/>
        </w:rPr>
        <w:t>،</w:t>
      </w:r>
      <w:r w:rsidR="00777DCB" w:rsidRPr="00A52585">
        <w:rPr>
          <w:rFonts w:hint="cs"/>
          <w:rtl/>
          <w:lang w:bidi="ar-KW"/>
        </w:rPr>
        <w:t xml:space="preserve"> منزه عن التغير والحدوث والانفعال الذي يعتري ذات الإنسان</w:t>
      </w:r>
      <w:r w:rsidR="00DB731D" w:rsidRPr="00A52585">
        <w:rPr>
          <w:rFonts w:hint="cs"/>
          <w:rtl/>
          <w:lang w:bidi="ar-KW"/>
        </w:rPr>
        <w:t>،</w:t>
      </w:r>
      <w:r w:rsidR="00777DCB" w:rsidRPr="00A52585">
        <w:rPr>
          <w:rFonts w:hint="cs"/>
          <w:rtl/>
          <w:lang w:bidi="ar-KW"/>
        </w:rPr>
        <w:t xml:space="preserve"> لا نتقول على الله بغير علم</w:t>
      </w:r>
      <w:r w:rsidR="00DB731D" w:rsidRPr="00A52585">
        <w:rPr>
          <w:rFonts w:hint="cs"/>
          <w:rtl/>
          <w:lang w:bidi="ar-KW"/>
        </w:rPr>
        <w:t>،</w:t>
      </w:r>
      <w:r w:rsidR="00777DCB" w:rsidRPr="00A52585">
        <w:rPr>
          <w:rFonts w:hint="cs"/>
          <w:rtl/>
          <w:lang w:bidi="ar-KW"/>
        </w:rPr>
        <w:t xml:space="preserve"> ولا ننفي ما جاء عن الله في كتاب الله وسنة نبيه صلى الله عليه وسلم</w:t>
      </w:r>
      <w:r w:rsidR="00DB731D" w:rsidRPr="00A52585">
        <w:rPr>
          <w:rFonts w:hint="cs"/>
          <w:rtl/>
          <w:lang w:bidi="ar-KW"/>
        </w:rPr>
        <w:t>،</w:t>
      </w:r>
      <w:r w:rsidR="00777DCB" w:rsidRPr="00A52585">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DB731D" w:rsidRPr="00A52585">
        <w:rPr>
          <w:rFonts w:hint="cs"/>
          <w:rtl/>
          <w:lang w:bidi="ar-KW"/>
        </w:rPr>
        <w:t>،</w:t>
      </w:r>
    </w:p>
    <w:p w14:paraId="495548D7" w14:textId="0A1C7D6F" w:rsidR="00777DCB" w:rsidRPr="00A52585" w:rsidRDefault="0002035C" w:rsidP="0002035C">
      <w:pPr>
        <w:rPr>
          <w:b/>
          <w:rtl/>
        </w:rPr>
      </w:pPr>
      <w:r w:rsidRPr="00A52585">
        <w:rPr>
          <w:rFonts w:cs="Monotype Koufi" w:hint="cs"/>
          <w:rtl/>
          <w:lang w:bidi="ar-KW"/>
        </w:rPr>
        <w:t>[</w:t>
      </w:r>
      <w:r w:rsidR="00777DCB" w:rsidRPr="00A52585">
        <w:rPr>
          <w:rFonts w:cs="Monotype Koufi" w:hint="cs"/>
          <w:rtl/>
          <w:lang w:bidi="ar-KW"/>
        </w:rPr>
        <w:t>11</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النقائص والعيوب التي تتصف به ذات المخلوق</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الله تعالى منزه عن كل ما ينافي كمال الحياة كالسنة والنوم والموت والفناء والهلاك</w:t>
      </w:r>
      <w:r w:rsidR="00DB731D" w:rsidRPr="00A52585">
        <w:rPr>
          <w:rFonts w:hint="cs"/>
          <w:rtl/>
          <w:lang w:bidi="ar-KW"/>
        </w:rPr>
        <w:t>،</w:t>
      </w:r>
      <w:r w:rsidR="00777DCB" w:rsidRPr="00A52585">
        <w:rPr>
          <w:rFonts w:hint="cs"/>
          <w:rtl/>
          <w:lang w:bidi="ar-KW"/>
        </w:rPr>
        <w:t xml:space="preserve"> وكل ما ينافي كمال العلم كالجهل والغفلة والنسيان</w:t>
      </w:r>
      <w:r w:rsidR="00DB731D" w:rsidRPr="00A52585">
        <w:rPr>
          <w:rFonts w:hint="cs"/>
          <w:rtl/>
          <w:lang w:bidi="ar-KW"/>
        </w:rPr>
        <w:t>،</w:t>
      </w:r>
      <w:r w:rsidR="00777DCB" w:rsidRPr="00A52585">
        <w:rPr>
          <w:rFonts w:hint="cs"/>
          <w:rtl/>
          <w:lang w:bidi="ar-KW"/>
        </w:rPr>
        <w:t xml:space="preserve"> ومنزه عن كل ما ينافي كمال القدرة كالعجز والضعف والتعب واللغوب</w:t>
      </w:r>
      <w:r w:rsidR="00DB731D" w:rsidRPr="00A52585">
        <w:rPr>
          <w:rFonts w:hint="cs"/>
          <w:rtl/>
          <w:lang w:bidi="ar-KW"/>
        </w:rPr>
        <w:t>،</w:t>
      </w:r>
      <w:r w:rsidR="00777DCB" w:rsidRPr="00A52585">
        <w:rPr>
          <w:rFonts w:hint="cs"/>
          <w:rtl/>
        </w:rPr>
        <w:t xml:space="preserve"> ليس خلق شيء بأهون عليه من خلق شيء أخر ولا بأصعب عليه </w:t>
      </w:r>
      <w:r w:rsidR="00777DCB" w:rsidRPr="00A52585">
        <w:rPr>
          <w:rFonts w:hint="cs"/>
          <w:rtl/>
          <w:lang w:bidi="ar-KW"/>
        </w:rPr>
        <w:t>منه لأن له كمال القدرة</w:t>
      </w:r>
      <w:r w:rsidR="00DB731D" w:rsidRPr="00A52585">
        <w:rPr>
          <w:rFonts w:hint="cs"/>
          <w:rtl/>
          <w:lang w:bidi="ar-KW"/>
        </w:rPr>
        <w:t>،</w:t>
      </w:r>
      <w:r w:rsidR="00777DCB" w:rsidRPr="00A52585">
        <w:rPr>
          <w:rFonts w:hint="cs"/>
          <w:rtl/>
          <w:lang w:bidi="ar-KW"/>
        </w:rPr>
        <w:t xml:space="preserve"> ومنزه عن كل ما ينافي كمال الإرادة كالجبر والاضطرار وأن يكون في ملكه ما لا يريد</w:t>
      </w:r>
      <w:r w:rsidR="00DB731D" w:rsidRPr="00A52585">
        <w:rPr>
          <w:rFonts w:hint="cs"/>
          <w:rtl/>
          <w:lang w:bidi="ar-KW"/>
        </w:rPr>
        <w:t>،</w:t>
      </w:r>
      <w:r w:rsidR="00777DCB" w:rsidRPr="00A52585">
        <w:rPr>
          <w:rFonts w:hint="cs"/>
          <w:rtl/>
          <w:lang w:bidi="ar-KW"/>
        </w:rPr>
        <w:t xml:space="preserve"> ومنزه عن كل ما ينافي كمال السمع كالصمم واختلاط الأصوات</w:t>
      </w:r>
      <w:r w:rsidR="00DB731D" w:rsidRPr="00A52585">
        <w:rPr>
          <w:rFonts w:hint="cs"/>
          <w:rtl/>
          <w:lang w:bidi="ar-KW"/>
        </w:rPr>
        <w:t>،</w:t>
      </w:r>
      <w:r w:rsidR="00777DCB" w:rsidRPr="00A52585">
        <w:rPr>
          <w:rFonts w:hint="cs"/>
          <w:rtl/>
          <w:lang w:bidi="ar-KW"/>
        </w:rPr>
        <w:t xml:space="preserve"> ومنزه عن كل ما ينافي كمال البصر كالعمى واختلاط المبصرات</w:t>
      </w:r>
      <w:r w:rsidR="00DB731D" w:rsidRPr="00A52585">
        <w:rPr>
          <w:rFonts w:hint="cs"/>
          <w:rtl/>
          <w:lang w:bidi="ar-KW"/>
        </w:rPr>
        <w:t>،</w:t>
      </w:r>
      <w:r w:rsidR="00777DCB" w:rsidRPr="00A52585">
        <w:rPr>
          <w:rFonts w:hint="cs"/>
          <w:rtl/>
          <w:lang w:bidi="ar-KW"/>
        </w:rPr>
        <w:t xml:space="preserve"> ومنزه عن كل ما ينافي كمال الكلام كالبكم والعي وتناهي الكلمات</w:t>
      </w:r>
      <w:r w:rsidR="00DB731D" w:rsidRPr="00A52585">
        <w:rPr>
          <w:rFonts w:hint="cs"/>
          <w:rtl/>
          <w:lang w:bidi="ar-KW"/>
        </w:rPr>
        <w:t>،</w:t>
      </w:r>
      <w:r w:rsidR="00777DCB" w:rsidRPr="00A52585">
        <w:rPr>
          <w:rFonts w:hint="cs"/>
          <w:rtl/>
          <w:lang w:bidi="ar-KW"/>
        </w:rPr>
        <w:t xml:space="preserve"> ومنزه عن كل ما ينافي كمال الغنى كالحاجة والشهوة والآفة والعلة والأكل والشرب واجترار المنافع واحتراز المضار</w:t>
      </w:r>
      <w:r w:rsidR="00DB731D" w:rsidRPr="00A52585">
        <w:rPr>
          <w:rFonts w:hint="cs"/>
          <w:rtl/>
          <w:lang w:bidi="ar-KW"/>
        </w:rPr>
        <w:t>،</w:t>
      </w:r>
      <w:r w:rsidR="00777DCB" w:rsidRPr="00A52585">
        <w:rPr>
          <w:rFonts w:hint="cs"/>
          <w:rtl/>
          <w:lang w:bidi="ar-KW"/>
        </w:rPr>
        <w:t xml:space="preserve"> ومنزه عن كل ما ينافي كمال الحكمة والعدل كالظلم وخلف الوعد</w:t>
      </w:r>
      <w:r w:rsidR="00DB731D" w:rsidRPr="00A52585">
        <w:rPr>
          <w:rFonts w:hint="cs"/>
          <w:rtl/>
          <w:lang w:bidi="ar-KW"/>
        </w:rPr>
        <w:t>،</w:t>
      </w:r>
      <w:r w:rsidR="00777DCB" w:rsidRPr="00A52585">
        <w:rPr>
          <w:rFonts w:hint="cs"/>
          <w:rtl/>
          <w:lang w:bidi="ar-KW"/>
        </w:rPr>
        <w:t xml:space="preserve"> ومنزه عن كل ما يضاد الكمال ويدل على النقص كالحد والمقدار والكون في مكان وان يجري عليه زمان</w:t>
      </w:r>
      <w:r w:rsidR="00DB731D" w:rsidRPr="00A52585">
        <w:rPr>
          <w:rFonts w:hint="cs"/>
          <w:rtl/>
          <w:lang w:bidi="ar-KW"/>
        </w:rPr>
        <w:t>،</w:t>
      </w:r>
      <w:r w:rsidR="00777DCB" w:rsidRPr="00A52585">
        <w:rPr>
          <w:rFonts w:hint="cs"/>
          <w:rtl/>
          <w:lang w:bidi="ar-KW"/>
        </w:rPr>
        <w:t xml:space="preserve"> وعن التغير والحدوث وقبول الحدث</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ب</w:t>
      </w:r>
      <w:r w:rsidRPr="00A52585">
        <w:rPr>
          <w:rFonts w:hint="cs"/>
          <w:rtl/>
          <w:lang w:bidi="ar-KW"/>
        </w:rPr>
        <w:t>)</w:t>
      </w:r>
      <w:r w:rsidR="00777DCB" w:rsidRPr="00A52585">
        <w:rPr>
          <w:rFonts w:hint="cs"/>
          <w:rtl/>
          <w:lang w:bidi="ar-KW"/>
        </w:rPr>
        <w:t xml:space="preserve"> تنزيه الله تعالى عن النقائص والعيوب التي تتصف به ذات المخلوق</w:t>
      </w:r>
      <w:r w:rsidRPr="00A52585">
        <w:rPr>
          <w:rFonts w:hint="cs"/>
          <w:rtl/>
          <w:lang w:bidi="ar-KW"/>
        </w:rPr>
        <w:t>:</w:t>
      </w:r>
      <w:r w:rsidR="00777DCB" w:rsidRPr="00A52585">
        <w:rPr>
          <w:rFonts w:hint="cs"/>
          <w:rtl/>
          <w:lang w:bidi="ar-KW"/>
        </w:rPr>
        <w:t xml:space="preserve"> هو ما نطق به القرآن الكريم</w:t>
      </w:r>
      <w:r w:rsidR="00DB731D" w:rsidRPr="00A52585">
        <w:rPr>
          <w:rFonts w:hint="cs"/>
          <w:rtl/>
          <w:lang w:bidi="ar-KW"/>
        </w:rPr>
        <w:t>،</w:t>
      </w:r>
      <w:r w:rsidR="00777DCB" w:rsidRPr="00A52585">
        <w:rPr>
          <w:rFonts w:hint="cs"/>
          <w:rtl/>
          <w:lang w:bidi="ar-KW"/>
        </w:rPr>
        <w:t xml:space="preserve"> ولا يخالف في ذلك مسلم أصلا</w:t>
      </w:r>
      <w:r w:rsidR="00DB731D" w:rsidRPr="00A52585">
        <w:rPr>
          <w:rFonts w:hint="cs"/>
          <w:rtl/>
          <w:lang w:bidi="ar-KW"/>
        </w:rPr>
        <w:t>،</w:t>
      </w:r>
      <w:r w:rsidR="00777DCB" w:rsidRPr="00A52585">
        <w:rPr>
          <w:rFonts w:hint="cs"/>
          <w:rtl/>
          <w:lang w:bidi="ar-KW"/>
        </w:rPr>
        <w:t xml:space="preserve"> ومما يدل على </w:t>
      </w:r>
      <w:r w:rsidR="00777DCB" w:rsidRPr="00A52585">
        <w:rPr>
          <w:rFonts w:hint="cs"/>
          <w:rtl/>
        </w:rPr>
        <w:t>نفي السنة والنوم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 لَا تَأْخُذُهُ سِنَةٌ وَلَا نَوْمٌ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255</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KW"/>
        </w:rPr>
        <w:t xml:space="preserve">ومما يدل على </w:t>
      </w:r>
      <w:r w:rsidR="00777DCB" w:rsidRPr="00A52585">
        <w:rPr>
          <w:rFonts w:hint="cs"/>
          <w:rtl/>
        </w:rPr>
        <w:t>نفي العجز والتعب</w:t>
      </w:r>
      <w:r w:rsidR="00DB731D" w:rsidRPr="00A52585">
        <w:rPr>
          <w:rFonts w:hint="cs"/>
          <w:rtl/>
        </w:rPr>
        <w:t>،</w:t>
      </w:r>
      <w:r w:rsidR="00777DCB" w:rsidRPr="00A52585">
        <w:rPr>
          <w:rFonts w:hint="cs"/>
          <w:rtl/>
        </w:rPr>
        <w:t xml:space="preserve">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وَلَقَدْ خَلَقْنَا السَّمَوَاتِ وَالْأَرْضَ وَمَا بَيْنَهُمَا فِي سِتَّةِ أَيَّامٍ وَمَا مَسَّنَا مِنْ لُغُوبٍ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w:t>
      </w:r>
      <w:r w:rsidRPr="00A52585">
        <w:rPr>
          <w:rFonts w:hint="cs"/>
          <w:rtl/>
        </w:rPr>
        <w:t>:</w:t>
      </w:r>
      <w:r w:rsidR="00777DCB" w:rsidRPr="00A52585">
        <w:rPr>
          <w:rFonts w:hint="cs"/>
          <w:rtl/>
        </w:rPr>
        <w:t xml:space="preserve"> 38</w:t>
      </w:r>
      <w:r w:rsidRPr="00A52585">
        <w:rPr>
          <w:rFonts w:hint="cs"/>
          <w:rtl/>
        </w:rPr>
        <w:t>]</w:t>
      </w:r>
      <w:r w:rsidR="00DB731D" w:rsidRPr="00A52585">
        <w:rPr>
          <w:rFonts w:hint="cs"/>
          <w:rtl/>
        </w:rPr>
        <w:t>،</w:t>
      </w:r>
      <w:r w:rsidRPr="00A52585">
        <w:rPr>
          <w:rFonts w:hint="cs"/>
          <w:rtl/>
        </w:rPr>
        <w:t xml:space="preserve"> </w:t>
      </w:r>
      <w:r w:rsidR="00777DCB" w:rsidRPr="00A52585">
        <w:rPr>
          <w:rFonts w:hint="cs"/>
          <w:rtl/>
          <w:lang w:bidi="ar-KW"/>
        </w:rPr>
        <w:t xml:space="preserve">ومما يدل على </w:t>
      </w:r>
      <w:r w:rsidR="00777DCB" w:rsidRPr="00A52585">
        <w:rPr>
          <w:rFonts w:hint="cs"/>
          <w:rtl/>
        </w:rPr>
        <w:t>نفي النسيان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كَانَ رَبُّكَ نَسِيًّا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64</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عِلْمُهَا عِنْدَ رَبِّي فِي كِتَابٍ لَا يَضِلُّ رَبِّي وَلَا يَنْسَى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52</w:t>
      </w:r>
      <w:r w:rsidRPr="00A52585">
        <w:rPr>
          <w:rFonts w:hint="cs"/>
          <w:rtl/>
        </w:rPr>
        <w:t>]</w:t>
      </w:r>
      <w:r w:rsidR="00DB731D" w:rsidRPr="00A52585">
        <w:rPr>
          <w:rFonts w:hint="cs"/>
          <w:rtl/>
        </w:rPr>
        <w:t>،</w:t>
      </w:r>
      <w:r w:rsidR="00777DCB" w:rsidRPr="00A52585">
        <w:rPr>
          <w:rFonts w:hint="cs"/>
          <w:rtl/>
        </w:rPr>
        <w:t xml:space="preserve"> ومما يدل على نفي الظلم</w:t>
      </w:r>
      <w:r w:rsidR="00DB731D" w:rsidRPr="00A52585">
        <w:rPr>
          <w:rFonts w:hint="cs"/>
          <w:rtl/>
        </w:rPr>
        <w:t>،</w:t>
      </w:r>
      <w:r w:rsidR="00777DCB" w:rsidRPr="00A52585">
        <w:rPr>
          <w:rFonts w:hint="cs"/>
          <w:rtl/>
        </w:rPr>
        <w:t xml:space="preserve">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يَظْلِمُ رَبُّكَ أَحَدًا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الكهف</w:t>
      </w:r>
      <w:r w:rsidRPr="00A52585">
        <w:rPr>
          <w:rFonts w:hint="cs"/>
          <w:rtl/>
        </w:rPr>
        <w:t>:</w:t>
      </w:r>
      <w:r w:rsidR="00777DCB" w:rsidRPr="00A52585">
        <w:rPr>
          <w:rFonts w:hint="cs"/>
          <w:rtl/>
        </w:rPr>
        <w:t xml:space="preserve"> 49</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رَبُّكُ بِظَلَّامٍ لِلْعَبِيدِ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فصلت</w:t>
      </w:r>
      <w:r w:rsidRPr="00A52585">
        <w:rPr>
          <w:rFonts w:hint="cs"/>
          <w:rtl/>
        </w:rPr>
        <w:t>:</w:t>
      </w:r>
      <w:r w:rsidR="00777DCB" w:rsidRPr="00A52585">
        <w:rPr>
          <w:rFonts w:hint="cs"/>
          <w:rtl/>
        </w:rPr>
        <w:t xml:space="preserve"> 46</w:t>
      </w:r>
      <w:r w:rsidRPr="00A52585">
        <w:rPr>
          <w:rFonts w:hint="cs"/>
          <w:rtl/>
        </w:rPr>
        <w:t>]</w:t>
      </w:r>
      <w:r w:rsidR="00DB731D" w:rsidRPr="00A52585">
        <w:rPr>
          <w:rFonts w:hint="cs"/>
          <w:rtl/>
        </w:rPr>
        <w:t>،</w:t>
      </w:r>
      <w:r w:rsidR="00777DCB" w:rsidRPr="00A52585">
        <w:rPr>
          <w:rFonts w:hint="cs"/>
          <w:rtl/>
        </w:rPr>
        <w:t xml:space="preserve"> والقاعدة أنّ كل كمال نطق به الكتاب والسنّة فالله متصف به وكل نقص يضاد هذا الكمال فالله تعالى منزه عنه</w:t>
      </w:r>
      <w:r w:rsidR="00DB731D" w:rsidRPr="00A52585">
        <w:rPr>
          <w:rFonts w:hint="cs"/>
          <w:rtl/>
        </w:rPr>
        <w:t>،</w:t>
      </w:r>
      <w:r w:rsidR="00777DCB" w:rsidRPr="00A52585">
        <w:rPr>
          <w:rFonts w:hint="cs"/>
          <w:rtl/>
        </w:rPr>
        <w:t xml:space="preserve"> وكل جلال وإكرام نطق به الكتاب والسنّة فالله تعالى متصف به</w:t>
      </w:r>
      <w:r w:rsidR="00DB731D" w:rsidRPr="00A52585">
        <w:rPr>
          <w:rFonts w:hint="cs"/>
          <w:rtl/>
        </w:rPr>
        <w:t>،</w:t>
      </w:r>
      <w:r w:rsidR="00777DCB" w:rsidRPr="00A52585">
        <w:rPr>
          <w:rFonts w:hint="cs"/>
          <w:rtl/>
        </w:rPr>
        <w:t xml:space="preserve"> ومنزه عن كل عيب يضاده</w:t>
      </w:r>
      <w:r w:rsidR="00DB731D" w:rsidRPr="00A52585">
        <w:rPr>
          <w:rFonts w:hint="cs"/>
          <w:rtl/>
        </w:rPr>
        <w:t>،</w:t>
      </w:r>
    </w:p>
    <w:p w14:paraId="67D84867" w14:textId="5AD349FD" w:rsidR="00777DCB" w:rsidRPr="00A52585" w:rsidRDefault="0002035C" w:rsidP="0002035C">
      <w:pPr>
        <w:rPr>
          <w:b/>
          <w:rtl/>
        </w:rPr>
      </w:pPr>
      <w:r w:rsidRPr="00A52585">
        <w:rPr>
          <w:rFonts w:cs="Monotype Koufi" w:hint="cs"/>
          <w:rtl/>
          <w:lang w:bidi="ar-KW"/>
        </w:rPr>
        <w:lastRenderedPageBreak/>
        <w:t>[</w:t>
      </w:r>
      <w:r w:rsidR="00777DCB" w:rsidRPr="00A52585">
        <w:rPr>
          <w:rFonts w:cs="Monotype Koufi" w:hint="cs"/>
          <w:rtl/>
          <w:lang w:bidi="ar-KW"/>
        </w:rPr>
        <w:t>12</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الوالد والولد والصاحبة</w:t>
      </w:r>
      <w:r w:rsidRPr="00A52585">
        <w:rPr>
          <w:rFonts w:cs="Monotype Koufi" w:hint="cs"/>
          <w:rtl/>
          <w:lang w:bidi="ar-KW"/>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تقدس سبحانه عن ملامسة النساء وعن اتخاذ الصاحبة والابناء لم يلد ولم يولد ولم يكن له كفوا أحد</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هُوَ اللَّهُ أَحَدٌ * اللَّهُ الصَّمَدُ * لَمْ يَلِدْ وَلَمْ يُولَدْ * وَلَمْ يَكُنْ لَهُ كُفُوًا أَحَدٌ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سورة الإخلاص</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بَدِيعُ السَّمَوَاتِ وَالْأَرْضِ أَنَّى يَكُونُ لَهُ وَلَدٌ وَلَمْ تَكُنْ لَهُ صَاحِبَةٌ وَخَلَقَ كُلَّ شَيْءٍ وَهُوَ بِكُلِّ شَيْءٍ عَلِيمٌ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101</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من الأشياء التي يستحيل نسبتها إلى الله تعالى </w:t>
      </w:r>
      <w:r w:rsidRPr="00A52585">
        <w:rPr>
          <w:rFonts w:hint="cs"/>
          <w:rtl/>
        </w:rPr>
        <w:t>(</w:t>
      </w:r>
      <w:r w:rsidR="00777DCB" w:rsidRPr="00A52585">
        <w:rPr>
          <w:rFonts w:hint="cs"/>
          <w:rtl/>
        </w:rPr>
        <w:t>الوالد والصاحبة والولد</w:t>
      </w:r>
      <w:r w:rsidRPr="00A52585">
        <w:rPr>
          <w:rFonts w:hint="cs"/>
          <w:rtl/>
        </w:rPr>
        <w:t>)</w:t>
      </w:r>
      <w:r w:rsidR="00777DCB" w:rsidRPr="00A52585">
        <w:rPr>
          <w:rFonts w:hint="cs"/>
          <w:rtl/>
        </w:rPr>
        <w:t xml:space="preserve"> لأنّه تعالى خالق لكل موجود</w:t>
      </w:r>
      <w:r w:rsidR="00DB731D" w:rsidRPr="00A52585">
        <w:rPr>
          <w:rFonts w:hint="cs"/>
          <w:rtl/>
        </w:rPr>
        <w:t>،</w:t>
      </w:r>
      <w:r w:rsidR="00777DCB" w:rsidRPr="00A52585">
        <w:rPr>
          <w:rFonts w:hint="cs"/>
          <w:rtl/>
        </w:rPr>
        <w:t xml:space="preserve"> هو القديم الأزلي ومن عداه محدث مخلوق</w:t>
      </w:r>
      <w:r w:rsidR="00DB731D" w:rsidRPr="00A52585">
        <w:rPr>
          <w:rFonts w:hint="cs"/>
          <w:rtl/>
        </w:rPr>
        <w:t>،</w:t>
      </w:r>
      <w:r w:rsidR="00777DCB" w:rsidRPr="00A52585">
        <w:rPr>
          <w:rFonts w:hint="cs"/>
          <w:rtl/>
        </w:rPr>
        <w:t xml:space="preserve"> أحد صمد</w:t>
      </w:r>
      <w:r w:rsidR="00DB731D" w:rsidRPr="00A52585">
        <w:rPr>
          <w:rFonts w:hint="cs"/>
          <w:rtl/>
        </w:rPr>
        <w:t>،</w:t>
      </w:r>
      <w:r w:rsidR="00777DCB" w:rsidRPr="00A52585">
        <w:rPr>
          <w:rFonts w:hint="cs"/>
          <w:rtl/>
        </w:rPr>
        <w:t xml:space="preserve"> لا ينفصل من شيء ولم ينفصل منه شيء</w:t>
      </w:r>
      <w:r w:rsidR="00DB731D" w:rsidRPr="00A52585">
        <w:rPr>
          <w:rFonts w:hint="cs"/>
          <w:rtl/>
        </w:rPr>
        <w:t>،</w:t>
      </w:r>
      <w:r w:rsidR="00777DCB" w:rsidRPr="00A52585">
        <w:rPr>
          <w:rFonts w:hint="cs"/>
          <w:rtl/>
        </w:rPr>
        <w:t xml:space="preserve"> تنزه عن أن يكون منه جزء مخلوق {لَمْ يَلِدْ</w:t>
      </w:r>
      <w:r w:rsidRPr="00A52585">
        <w:rPr>
          <w:rFonts w:hint="cs"/>
          <w:rtl/>
        </w:rPr>
        <w:t>}</w:t>
      </w:r>
      <w:r w:rsidR="00DB731D" w:rsidRPr="00A52585">
        <w:rPr>
          <w:rFonts w:hint="cs"/>
          <w:rtl/>
        </w:rPr>
        <w:t>،</w:t>
      </w:r>
      <w:r w:rsidR="00777DCB" w:rsidRPr="00A52585">
        <w:rPr>
          <w:rFonts w:hint="cs"/>
          <w:rtl/>
        </w:rPr>
        <w:t xml:space="preserve"> وتنزه عن أن يكون هو محدث مخلوق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بل هو الأول فليس قبله شيء وهو الآخر فليس بعده شيء</w:t>
      </w:r>
      <w:r w:rsidR="00DB731D" w:rsidRPr="00A52585">
        <w:rPr>
          <w:rFonts w:hint="cs"/>
          <w:rtl/>
        </w:rPr>
        <w:t>،</w:t>
      </w:r>
      <w:r w:rsidR="00777DCB" w:rsidRPr="00A52585">
        <w:rPr>
          <w:rFonts w:hint="cs"/>
          <w:rtl/>
        </w:rPr>
        <w:t xml:space="preserve"> الخالق لكل شيء ومن عداه مخلوق</w:t>
      </w:r>
      <w:r w:rsidR="00DB731D" w:rsidRPr="00A52585">
        <w:rPr>
          <w:rFonts w:hint="cs"/>
          <w:rtl/>
        </w:rPr>
        <w:t>،</w:t>
      </w:r>
      <w:r w:rsidRPr="00A52585">
        <w:rPr>
          <w:rFonts w:hint="cs"/>
          <w:rtl/>
        </w:rPr>
        <w:t xml:space="preserve"> </w:t>
      </w:r>
      <w:r w:rsidR="00777DCB" w:rsidRPr="00A52585">
        <w:rPr>
          <w:rFonts w:hint="cs"/>
          <w:rtl/>
        </w:rPr>
        <w:t>أحد لا نظير له</w:t>
      </w:r>
      <w:r w:rsidR="00DB731D" w:rsidRPr="00A52585">
        <w:rPr>
          <w:rFonts w:hint="cs"/>
          <w:rtl/>
        </w:rPr>
        <w:t>،</w:t>
      </w:r>
      <w:r w:rsidR="00777DCB" w:rsidRPr="00A52585">
        <w:rPr>
          <w:rFonts w:hint="cs"/>
          <w:rtl/>
        </w:rPr>
        <w:t xml:space="preserve"> صمد لا ينفصل من شيء ولم ينفصل منه شيء</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النصارى من أجهل الناس بما يجب وما يجوز وما يستحيل نسبته إلى الله تعالى</w:t>
      </w:r>
      <w:r w:rsidR="00DB731D" w:rsidRPr="00A52585">
        <w:rPr>
          <w:rFonts w:hint="cs"/>
          <w:rtl/>
        </w:rPr>
        <w:t>،</w:t>
      </w:r>
      <w:r w:rsidR="00777DCB" w:rsidRPr="00A52585">
        <w:rPr>
          <w:rFonts w:hint="cs"/>
          <w:rtl/>
        </w:rPr>
        <w:t xml:space="preserve"> فزعموا له الولد سبحانه</w:t>
      </w:r>
      <w:r w:rsidR="00DB731D" w:rsidRPr="00A52585">
        <w:rPr>
          <w:rFonts w:hint="cs"/>
          <w:rtl/>
        </w:rPr>
        <w:t>،</w:t>
      </w:r>
      <w:r w:rsidR="00777DCB" w:rsidRPr="00A52585">
        <w:rPr>
          <w:rFonts w:hint="cs"/>
          <w:rtl/>
        </w:rPr>
        <w:t xml:space="preserve"> وهذا يستحيل نسبته إلى الله الاحد الصمد</w:t>
      </w:r>
      <w:r w:rsidR="00DB731D" w:rsidRPr="00A52585">
        <w:rPr>
          <w:rFonts w:hint="cs"/>
          <w:rtl/>
        </w:rPr>
        <w:t>،</w:t>
      </w:r>
      <w:r w:rsidR="00777DCB" w:rsidRPr="00A52585">
        <w:rPr>
          <w:rFonts w:hint="cs"/>
          <w:rtl/>
        </w:rPr>
        <w:t xml:space="preserve"> لأن الولد جزء من أبيه</w:t>
      </w:r>
      <w:r w:rsidR="00DB731D" w:rsidRPr="00A52585">
        <w:rPr>
          <w:rFonts w:hint="cs"/>
          <w:rtl/>
        </w:rPr>
        <w:t>،</w:t>
      </w:r>
      <w:r w:rsidR="00777DCB" w:rsidRPr="00A52585">
        <w:rPr>
          <w:rFonts w:hint="cs"/>
          <w:rtl/>
        </w:rPr>
        <w:t xml:space="preserve"> فالوالد لا يخلق ولده</w:t>
      </w:r>
      <w:r w:rsidR="00DB731D" w:rsidRPr="00A52585">
        <w:rPr>
          <w:rFonts w:hint="cs"/>
          <w:rtl/>
        </w:rPr>
        <w:t>،</w:t>
      </w:r>
      <w:r w:rsidR="00777DCB" w:rsidRPr="00A52585">
        <w:rPr>
          <w:rFonts w:hint="cs"/>
          <w:rtl/>
        </w:rPr>
        <w:t xml:space="preserve"> وإنما هو جزء منه</w:t>
      </w:r>
      <w:r w:rsidR="00DB731D" w:rsidRPr="00A52585">
        <w:rPr>
          <w:rFonts w:hint="cs"/>
          <w:rtl/>
        </w:rPr>
        <w:t>،</w:t>
      </w:r>
      <w:r w:rsidR="00777DCB" w:rsidRPr="00A52585">
        <w:rPr>
          <w:rFonts w:hint="cs"/>
          <w:rtl/>
        </w:rPr>
        <w:t xml:space="preserve"> وند له</w:t>
      </w:r>
      <w:r w:rsidR="00DB731D" w:rsidRPr="00A52585">
        <w:rPr>
          <w:rFonts w:hint="cs"/>
          <w:rtl/>
        </w:rPr>
        <w:t>،</w:t>
      </w:r>
      <w:r w:rsidR="00777DCB" w:rsidRPr="00A52585">
        <w:rPr>
          <w:rFonts w:hint="cs"/>
          <w:rtl/>
        </w:rPr>
        <w:t xml:space="preserve"> ومثيل لذاته</w:t>
      </w:r>
      <w:r w:rsidR="00DB731D" w:rsidRPr="00A52585">
        <w:rPr>
          <w:rFonts w:hint="cs"/>
          <w:rtl/>
        </w:rPr>
        <w:t>،</w:t>
      </w:r>
      <w:r w:rsidR="00777DCB" w:rsidRPr="00A52585">
        <w:rPr>
          <w:rFonts w:hint="cs"/>
          <w:rtl/>
        </w:rPr>
        <w:t xml:space="preserve"> وشبيه بذاته</w:t>
      </w:r>
      <w:r w:rsidR="00DB731D" w:rsidRPr="00A52585">
        <w:rPr>
          <w:rFonts w:hint="cs"/>
          <w:rtl/>
        </w:rPr>
        <w:t>،</w:t>
      </w:r>
      <w:r w:rsidR="00777DCB" w:rsidRPr="00A52585">
        <w:rPr>
          <w:rFonts w:hint="cs"/>
          <w:rtl/>
        </w:rPr>
        <w:t xml:space="preserve"> والله تعالى ليس كمثله شيء</w:t>
      </w:r>
      <w:r w:rsidR="00DB731D" w:rsidRPr="00A52585">
        <w:rPr>
          <w:rFonts w:hint="cs"/>
          <w:rtl/>
        </w:rPr>
        <w:t>،</w:t>
      </w:r>
      <w:r w:rsidR="00777DCB" w:rsidRPr="00A52585">
        <w:rPr>
          <w:rFonts w:hint="cs"/>
          <w:rtl/>
        </w:rPr>
        <w:t xml:space="preserve"> أحد صمد منزه عن الجزء والكل</w:t>
      </w:r>
      <w:r w:rsidR="00DB731D" w:rsidRPr="00A52585">
        <w:rPr>
          <w:rFonts w:hint="cs"/>
          <w:rtl/>
        </w:rPr>
        <w:t>،</w:t>
      </w:r>
      <w:r w:rsidR="00777DCB" w:rsidRPr="00A52585">
        <w:rPr>
          <w:rFonts w:hint="cs"/>
          <w:rtl/>
        </w:rPr>
        <w:t xml:space="preserve"> لأنه لا يُعرف بالحس</w:t>
      </w:r>
      <w:r w:rsidR="00DB731D" w:rsidRPr="00A52585">
        <w:rPr>
          <w:rFonts w:hint="cs"/>
          <w:rtl/>
        </w:rPr>
        <w:t>،</w:t>
      </w:r>
      <w:r w:rsidR="00777DCB" w:rsidRPr="00A52585">
        <w:rPr>
          <w:rFonts w:hint="cs"/>
          <w:rtl/>
        </w:rPr>
        <w:t xml:space="preserve"> فلا يكون منه الولد</w:t>
      </w:r>
      <w:r w:rsidR="00DB731D" w:rsidRPr="00A52585">
        <w:rPr>
          <w:rFonts w:hint="cs"/>
          <w:rtl/>
        </w:rPr>
        <w:t>،</w:t>
      </w:r>
      <w:r w:rsidR="00777DCB" w:rsidRPr="00A52585">
        <w:rPr>
          <w:rFonts w:hint="cs"/>
          <w:rtl/>
        </w:rPr>
        <w:t xml:space="preserve"> ولو كان منه الولد - سبحانه - لكان الولد قديماً</w:t>
      </w:r>
      <w:r w:rsidR="00DB731D" w:rsidRPr="00A52585">
        <w:rPr>
          <w:rFonts w:hint="cs"/>
          <w:rtl/>
        </w:rPr>
        <w:t>،</w:t>
      </w:r>
      <w:r w:rsidR="00777DCB" w:rsidRPr="00A52585">
        <w:rPr>
          <w:rFonts w:hint="cs"/>
          <w:rtl/>
        </w:rPr>
        <w:t xml:space="preserve"> مثل أبيه</w:t>
      </w:r>
      <w:r w:rsidR="00DB731D" w:rsidRPr="00A52585">
        <w:rPr>
          <w:rFonts w:hint="cs"/>
          <w:rtl/>
        </w:rPr>
        <w:t>،</w:t>
      </w:r>
      <w:r w:rsidR="00777DCB" w:rsidRPr="00A52585">
        <w:rPr>
          <w:rFonts w:hint="cs"/>
          <w:rtl/>
        </w:rPr>
        <w:t xml:space="preserve"> وكيف يكون قديماً وهو حادث</w:t>
      </w:r>
      <w:r w:rsidR="00DB731D" w:rsidRPr="00A52585">
        <w:rPr>
          <w:rFonts w:hint="cs"/>
          <w:rtl/>
        </w:rPr>
        <w:t>،</w:t>
      </w:r>
      <w:r w:rsidR="00777DCB" w:rsidRPr="00A52585">
        <w:rPr>
          <w:rFonts w:hint="cs"/>
          <w:rtl/>
        </w:rPr>
        <w:t xml:space="preserve"> وُجد بعد أن لم يكن موجوداً</w:t>
      </w:r>
      <w:r w:rsidR="00DB731D" w:rsidRPr="00A52585">
        <w:rPr>
          <w:rFonts w:hint="cs"/>
          <w:rtl/>
        </w:rPr>
        <w:t>،</w:t>
      </w:r>
      <w:r w:rsidR="00777DCB" w:rsidRPr="00A52585">
        <w:rPr>
          <w:rFonts w:hint="cs"/>
          <w:rtl/>
        </w:rPr>
        <w:t xml:space="preserve"> ولذلك لا يجوز على الله تعالى الولد</w:t>
      </w:r>
      <w:r w:rsidR="00DB731D" w:rsidRPr="00A52585">
        <w:rPr>
          <w:rFonts w:hint="cs"/>
          <w:rtl/>
        </w:rPr>
        <w:t>،</w:t>
      </w:r>
      <w:r w:rsidR="00777DCB" w:rsidRPr="00A52585">
        <w:rPr>
          <w:rFonts w:hint="cs"/>
          <w:rtl/>
        </w:rPr>
        <w:t xml:space="preserve"> ولذا نجد القرآن الكريم يعالج تلك القضية بقوله تعالى - آمراً رسوله صلى الله عليه وسلم -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إِنْ كَانَ لِلرَّحْمَنِ وَلَدٌ فَأَنَا أَوَّلُ الْعَابِدِينَ * سُبْحَانَ رَبِّ السَّمَوَاتِ وَالْأَرْضِ رَبِّ الْعَرْشِ عَمَّا يَصِفُونَ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الزخرف</w:t>
      </w:r>
      <w:r w:rsidRPr="00A52585">
        <w:rPr>
          <w:rFonts w:hint="cs"/>
          <w:rtl/>
        </w:rPr>
        <w:t>:</w:t>
      </w:r>
      <w:r w:rsidR="00777DCB" w:rsidRPr="00A52585">
        <w:rPr>
          <w:rFonts w:hint="cs"/>
          <w:rtl/>
        </w:rPr>
        <w:t xml:space="preserve"> 81</w:t>
      </w:r>
      <w:r w:rsidR="00DB731D" w:rsidRPr="00A52585">
        <w:rPr>
          <w:rFonts w:hint="cs"/>
          <w:rtl/>
        </w:rPr>
        <w:t>،</w:t>
      </w:r>
      <w:r w:rsidR="00777DCB" w:rsidRPr="00A52585">
        <w:rPr>
          <w:rFonts w:hint="cs"/>
          <w:rtl/>
        </w:rPr>
        <w:t xml:space="preserve"> 82</w:t>
      </w:r>
      <w:r w:rsidRPr="00A52585">
        <w:rPr>
          <w:rFonts w:hint="cs"/>
          <w:rtl/>
        </w:rPr>
        <w:t>]</w:t>
      </w:r>
      <w:r w:rsidR="00DB731D" w:rsidRPr="00A52585">
        <w:rPr>
          <w:rFonts w:hint="cs"/>
          <w:rtl/>
        </w:rPr>
        <w:t>،</w:t>
      </w:r>
      <w:r w:rsidR="00777DCB" w:rsidRPr="00A52585">
        <w:rPr>
          <w:rFonts w:hint="cs"/>
          <w:rtl/>
        </w:rPr>
        <w:t xml:space="preserve"> فالمعنى أنه لو كان ذلك جائزاً ممكناً حاصلاً فأنا أول المنقادين لأمر الله تعالى المتعبدين بطاعته</w:t>
      </w:r>
      <w:r w:rsidR="00DB731D" w:rsidRPr="00A52585">
        <w:rPr>
          <w:rFonts w:hint="cs"/>
          <w:rtl/>
        </w:rPr>
        <w:t>،</w:t>
      </w:r>
      <w:r w:rsidR="00777DCB" w:rsidRPr="00A52585">
        <w:rPr>
          <w:rFonts w:hint="cs"/>
          <w:rtl/>
        </w:rPr>
        <w:t xml:space="preserve"> ولكنه لا ينبغي للرحمن أن يتخذ ولداً لان ذلك مستحيل في حق الأحد الصمد</w:t>
      </w:r>
      <w:r w:rsidR="00DB731D" w:rsidRPr="00A52585">
        <w:rPr>
          <w:rFonts w:hint="cs"/>
          <w:rtl/>
        </w:rPr>
        <w:t>،</w:t>
      </w:r>
      <w:r w:rsidR="00777DCB" w:rsidRPr="00A52585">
        <w:rPr>
          <w:rFonts w:hint="cs"/>
          <w:rtl/>
        </w:rPr>
        <w:t xml:space="preserve"> ولهذا جاء التسبيح والتنزيه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 السَّمَوَاتِ وَالْأَرْضِ رَبِّ الْعَرْشِ عَمَّا يَصِفُونَ</w:t>
      </w:r>
      <w:r w:rsidRPr="00A52585">
        <w:rPr>
          <w:rFonts w:hint="cs"/>
          <w:rtl/>
        </w:rPr>
        <w:t>}</w:t>
      </w:r>
      <w:r w:rsidR="00DB731D" w:rsidRPr="00A52585">
        <w:rPr>
          <w:rFonts w:hint="cs"/>
          <w:rtl/>
        </w:rPr>
        <w:t>،</w:t>
      </w:r>
      <w:r w:rsidR="00777DCB" w:rsidRPr="00A52585">
        <w:rPr>
          <w:rFonts w:hint="cs"/>
          <w:rtl/>
        </w:rPr>
        <w:t xml:space="preserve"> فالولد من الاشياء المستحيلة في حق الله تعالى</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88 إلى 95</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من فقه الآية </w:t>
      </w:r>
      <w:r w:rsidRPr="00A52585">
        <w:rPr>
          <w:rFonts w:hint="cs"/>
          <w:rtl/>
        </w:rPr>
        <w:t>{</w:t>
      </w:r>
      <w:r w:rsidR="00777DCB" w:rsidRPr="00A52585">
        <w:rPr>
          <w:rFonts w:hint="cs"/>
          <w:rtl/>
        </w:rPr>
        <w:t>لَمْ يَلِدْ وَلَمْ يُولَدْ</w:t>
      </w:r>
      <w:r w:rsidRPr="00A52585">
        <w:rPr>
          <w:rFonts w:hint="cs"/>
          <w:rtl/>
        </w:rPr>
        <w:t>}</w:t>
      </w:r>
      <w:r w:rsidR="00777DCB" w:rsidRPr="00A52585">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DB731D" w:rsidRPr="00A52585">
        <w:rPr>
          <w:rFonts w:hint="cs"/>
          <w:rtl/>
        </w:rPr>
        <w:t>،</w:t>
      </w:r>
      <w:r w:rsidR="00777DCB" w:rsidRPr="00A52585">
        <w:rPr>
          <w:rFonts w:hint="cs"/>
          <w:rtl/>
        </w:rPr>
        <w:t xml:space="preserve"> </w:t>
      </w:r>
      <w:r w:rsidR="00777DCB" w:rsidRPr="00A52585">
        <w:rPr>
          <w:rFonts w:hint="cs"/>
          <w:rtl/>
        </w:rPr>
        <w:lastRenderedPageBreak/>
        <w:t>وتنزيه الله تعالى أن يكون منه شيء محدَثٌ مخلوق لأنه القديم الأزلي الأول الذي لا يقبل الحوادث ولا يكون منه جزء محدث مخلوق كما في قوله تعالى {لَمْ يَلِدْ</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كما أنه منزه عن التغير والحدوث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وسياتي تفصيل ذلك عند شرح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هَذَا رَبِّي فَلَمَّا أَفَلَ قَالَ لَا أُحِبُّ الْآفِلِينَ (76)</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الانعام</w:t>
      </w:r>
      <w:r w:rsidRPr="00A52585">
        <w:rPr>
          <w:rFonts w:hint="cs"/>
          <w:rtl/>
        </w:rPr>
        <w:t>:</w:t>
      </w:r>
      <w:r w:rsidR="00777DCB" w:rsidRPr="00A52585">
        <w:rPr>
          <w:rFonts w:hint="cs"/>
          <w:rtl/>
        </w:rPr>
        <w:t xml:space="preserve"> 76</w:t>
      </w:r>
      <w:r w:rsidRPr="00A52585">
        <w:rPr>
          <w:rFonts w:hint="cs"/>
          <w:rtl/>
        </w:rPr>
        <w:t>]</w:t>
      </w:r>
      <w:r w:rsidR="00DB731D" w:rsidRPr="00A52585">
        <w:rPr>
          <w:rFonts w:hint="cs"/>
          <w:rtl/>
        </w:rPr>
        <w:t>،</w:t>
      </w:r>
      <w:r w:rsidR="00777DCB" w:rsidRPr="00A52585">
        <w:rPr>
          <w:rFonts w:hint="cs"/>
          <w:rtl/>
        </w:rPr>
        <w:t xml:space="preserve"> أي أن المتغير عن حاله الآفل الذي يقبل الحدوث والتغير من حال إلى حال</w:t>
      </w:r>
      <w:r w:rsidR="00DB731D" w:rsidRPr="00A52585">
        <w:rPr>
          <w:rFonts w:hint="cs"/>
          <w:rtl/>
        </w:rPr>
        <w:t>،</w:t>
      </w:r>
      <w:r w:rsidR="00777DCB" w:rsidRPr="00A52585">
        <w:rPr>
          <w:rFonts w:hint="cs"/>
          <w:rtl/>
        </w:rPr>
        <w:t xml:space="preserve"> لا يصلح أن يكون رباً خالقاً</w:t>
      </w:r>
      <w:r w:rsidR="00DB731D" w:rsidRPr="00A52585">
        <w:rPr>
          <w:rFonts w:hint="cs"/>
          <w:rtl/>
        </w:rPr>
        <w:t>،</w:t>
      </w:r>
      <w:r w:rsidR="00777DCB" w:rsidRPr="00A52585">
        <w:rPr>
          <w:rFonts w:hint="cs"/>
          <w:rtl/>
        </w:rPr>
        <w:t xml:space="preserve"> وإلهاً معبوداً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ج</w:t>
      </w:r>
      <w:r w:rsidRPr="00A52585">
        <w:rPr>
          <w:rFonts w:hint="cs"/>
          <w:rtl/>
        </w:rPr>
        <w:t>)</w:t>
      </w:r>
      <w:r w:rsidR="00777DCB" w:rsidRPr="00A52585">
        <w:rPr>
          <w:rFonts w:hint="cs"/>
          <w:rtl/>
        </w:rPr>
        <w:t xml:space="preserve"> خلاصة ما سبق أنّ الله تعالى يستحيل أن يكون شيء قديم مثله ولا معه</w:t>
      </w:r>
      <w:r w:rsidR="00DB731D" w:rsidRPr="00A52585">
        <w:rPr>
          <w:rFonts w:hint="cs"/>
          <w:rtl/>
        </w:rPr>
        <w:t>،</w:t>
      </w:r>
      <w:r w:rsidR="00777DCB" w:rsidRPr="00A52585">
        <w:rPr>
          <w:rFonts w:hint="cs"/>
          <w:rtl/>
        </w:rPr>
        <w:t xml:space="preserve"> لأنّه الواحد الأحد الخالق ومن عداه مخلوق</w:t>
      </w:r>
      <w:r w:rsidR="00DB731D" w:rsidRPr="00A52585">
        <w:rPr>
          <w:rFonts w:hint="cs"/>
          <w:rtl/>
        </w:rPr>
        <w:t>،</w:t>
      </w:r>
      <w:r w:rsidR="00777DCB" w:rsidRPr="00A52585">
        <w:rPr>
          <w:rFonts w:hint="cs"/>
          <w:rtl/>
        </w:rPr>
        <w:t xml:space="preserve"> فيستحيل في حقه الزوجة والوالد والولد</w:t>
      </w:r>
      <w:r w:rsidR="00DB731D" w:rsidRPr="00A52585">
        <w:rPr>
          <w:rFonts w:hint="cs"/>
          <w:rtl/>
        </w:rPr>
        <w:t>،</w:t>
      </w:r>
      <w:r w:rsidR="00777DCB" w:rsidRPr="00A52585">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DB731D" w:rsidRPr="00A52585">
        <w:rPr>
          <w:rFonts w:hint="cs"/>
          <w:rtl/>
        </w:rPr>
        <w:t>،</w:t>
      </w:r>
      <w:r w:rsidR="00777DCB" w:rsidRPr="00A52585">
        <w:rPr>
          <w:rFonts w:hint="cs"/>
          <w:rtl/>
        </w:rPr>
        <w:t xml:space="preserve"> ولهذا كان اعتقاد الولد لله من أفسد العقائد على وجه الأرض</w:t>
      </w:r>
      <w:r w:rsidR="00DB731D" w:rsidRPr="00A52585">
        <w:rPr>
          <w:rFonts w:hint="cs"/>
          <w:rtl/>
        </w:rPr>
        <w:t>،</w:t>
      </w:r>
      <w:r w:rsidR="00777DCB" w:rsidRPr="00A52585">
        <w:rPr>
          <w:rFonts w:hint="cs"/>
          <w:rtl/>
        </w:rPr>
        <w:t xml:space="preserve"> حتى أن الجماد ليتأذى منها</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89 إلى 93</w:t>
      </w:r>
      <w:r w:rsidRPr="00A52585">
        <w:rPr>
          <w:rFonts w:hint="cs"/>
          <w:rtl/>
        </w:rPr>
        <w:t>]</w:t>
      </w:r>
      <w:r w:rsidR="00DB731D" w:rsidRPr="00A52585">
        <w:rPr>
          <w:rFonts w:hint="cs"/>
          <w:rtl/>
        </w:rPr>
        <w:t>،</w:t>
      </w:r>
    </w:p>
    <w:p w14:paraId="6F5E91A0" w14:textId="77FBF184" w:rsidR="00777DCB" w:rsidRPr="00A52585" w:rsidRDefault="0002035C" w:rsidP="0002035C">
      <w:pPr>
        <w:rPr>
          <w:b/>
          <w:rtl/>
        </w:rPr>
      </w:pPr>
      <w:r w:rsidRPr="00A52585">
        <w:rPr>
          <w:rFonts w:cs="Monotype Koufi" w:hint="cs"/>
          <w:rtl/>
          <w:lang w:bidi="ar-KW"/>
        </w:rPr>
        <w:t>[</w:t>
      </w:r>
      <w:r w:rsidR="00777DCB" w:rsidRPr="00A52585">
        <w:rPr>
          <w:rFonts w:cs="Monotype Koufi" w:hint="cs"/>
          <w:rtl/>
          <w:lang w:bidi="ar-KW"/>
        </w:rPr>
        <w:t>13</w:t>
      </w:r>
      <w:r w:rsidRPr="00A52585">
        <w:rPr>
          <w:rFonts w:cs="Monotype Koufi" w:hint="cs"/>
          <w:rtl/>
          <w:lang w:bidi="ar-KW"/>
        </w:rPr>
        <w:t>]:</w:t>
      </w:r>
      <w:r w:rsidR="00777DCB" w:rsidRPr="00A52585">
        <w:rPr>
          <w:rFonts w:cs="Monotype Koufi" w:hint="cs"/>
          <w:rtl/>
          <w:lang w:bidi="ar-KW"/>
        </w:rPr>
        <w:t xml:space="preserve"> من لوازم تنزيه الله تعالى عن الشبيه والكفء والمثيل</w:t>
      </w:r>
      <w:r w:rsidRPr="00A52585">
        <w:rPr>
          <w:rFonts w:cs="Monotype Koufi" w:hint="cs"/>
          <w:rtl/>
          <w:lang w:bidi="ar-KW"/>
        </w:rPr>
        <w:t>:</w:t>
      </w:r>
      <w:r w:rsidR="00777DCB" w:rsidRPr="00A52585">
        <w:rPr>
          <w:rFonts w:cs="Monotype Koufi" w:hint="cs"/>
          <w:rtl/>
          <w:lang w:bidi="ar-KW"/>
        </w:rPr>
        <w:t xml:space="preserve"> تنزيه ذات الله تعالى عن الشريك</w:t>
      </w:r>
      <w:r w:rsidRPr="00A52585">
        <w:rPr>
          <w:rFonts w:cs="Monotype Koufi" w:hint="cs"/>
          <w:rtl/>
          <w:lang w:bidi="ar-KW"/>
        </w:rPr>
        <w:t>:</w:t>
      </w:r>
      <w:r w:rsidR="00777DCB" w:rsidRPr="00A52585">
        <w:rPr>
          <w:rFonts w:cs="Monotype Koufi" w:hint="cs"/>
          <w:rtl/>
          <w:lang w:bidi="ar-KW"/>
        </w:rPr>
        <w:t xml:space="preserve"> </w:t>
      </w: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الإسلام دين التوحيد</w:t>
      </w:r>
      <w:r w:rsidR="00DB731D" w:rsidRPr="00A52585">
        <w:rPr>
          <w:rFonts w:hint="cs"/>
          <w:rtl/>
          <w:lang w:bidi="ar-KW"/>
        </w:rPr>
        <w:t>،</w:t>
      </w:r>
      <w:r w:rsidR="00777DCB" w:rsidRPr="00A52585">
        <w:rPr>
          <w:rFonts w:hint="cs"/>
          <w:rtl/>
          <w:lang w:bidi="ar-KW"/>
        </w:rPr>
        <w:t xml:space="preserve"> والتوحيد ضد الشرك</w:t>
      </w:r>
      <w:r w:rsidR="00DB731D" w:rsidRPr="00A52585">
        <w:rPr>
          <w:rFonts w:hint="cs"/>
          <w:rtl/>
          <w:lang w:bidi="ar-KW"/>
        </w:rPr>
        <w:t>،</w:t>
      </w:r>
      <w:r w:rsidR="00777DCB" w:rsidRPr="00A52585">
        <w:rPr>
          <w:rFonts w:hint="cs"/>
          <w:rtl/>
          <w:lang w:bidi="ar-KW"/>
        </w:rPr>
        <w:t xml:space="preserve"> والشرك اتخاذ الشركاء مع الله</w:t>
      </w:r>
      <w:r w:rsidR="00DB731D" w:rsidRPr="00A52585">
        <w:rPr>
          <w:rFonts w:hint="cs"/>
          <w:rtl/>
          <w:lang w:bidi="ar-KW"/>
        </w:rPr>
        <w:t>،</w:t>
      </w:r>
      <w:r w:rsidR="00777DCB" w:rsidRPr="00A52585">
        <w:rPr>
          <w:rFonts w:hint="cs"/>
          <w:rtl/>
          <w:lang w:bidi="ar-KW"/>
        </w:rPr>
        <w:t xml:space="preserve"> أو اعتقاد وجود الشريك مع الله تعالى</w:t>
      </w:r>
      <w:r w:rsidR="00DB731D" w:rsidRPr="00A52585">
        <w:rPr>
          <w:rFonts w:hint="cs"/>
          <w:rtl/>
          <w:lang w:bidi="ar-KW"/>
        </w:rPr>
        <w:t>،</w:t>
      </w:r>
      <w:r w:rsidR="00777DCB" w:rsidRPr="00A52585">
        <w:rPr>
          <w:rFonts w:hint="cs"/>
          <w:rtl/>
          <w:lang w:bidi="ar-KW"/>
        </w:rPr>
        <w:t xml:space="preserve"> وقد عالج القرآن الكريم قضية الشريك بأوضح بيان</w:t>
      </w:r>
      <w:r w:rsidR="00DB731D" w:rsidRPr="00A52585">
        <w:rPr>
          <w:rFonts w:hint="cs"/>
          <w:rtl/>
          <w:lang w:bidi="ar-KW"/>
        </w:rPr>
        <w:t>،</w:t>
      </w:r>
      <w:r w:rsidR="00777DCB" w:rsidRPr="00A52585">
        <w:rPr>
          <w:rFonts w:hint="cs"/>
          <w:rtl/>
          <w:lang w:bidi="ar-KW"/>
        </w:rPr>
        <w:t xml:space="preserve"> ومن ذلك </w:t>
      </w:r>
      <w:r w:rsidR="00777DCB" w:rsidRPr="00A52585">
        <w:rPr>
          <w:rFonts w:hint="cs"/>
          <w:rtl/>
        </w:rPr>
        <w:t xml:space="preserve">قوله تعالى </w:t>
      </w:r>
      <w:r w:rsidRPr="00A52585">
        <w:rPr>
          <w:rFonts w:hint="cs"/>
          <w:rtl/>
        </w:rPr>
        <w:t>{</w:t>
      </w:r>
      <w:r w:rsidR="00777DCB" w:rsidRPr="00A52585">
        <w:rPr>
          <w:rFonts w:hint="cs"/>
          <w:rtl/>
        </w:rPr>
        <w:t>لَوْ كَانَ فِيهِمَا آلِهَةٌ إِلَّا اللَّهُ لَفَسَدَتَا فَسُبْحَانَ اللَّهِ رَبِّ الْعَرْشِ عَمَّا يَصِفُونَ</w:t>
      </w:r>
      <w:r w:rsidRPr="00A52585">
        <w:rPr>
          <w:rFonts w:hint="cs"/>
          <w:rtl/>
        </w:rPr>
        <w:t>} [</w:t>
      </w:r>
      <w:r w:rsidR="00777DCB" w:rsidRPr="00A52585">
        <w:rPr>
          <w:rFonts w:hint="cs"/>
          <w:rtl/>
        </w:rPr>
        <w:t>الأنبياء</w:t>
      </w:r>
      <w:r w:rsidRPr="00A52585">
        <w:rPr>
          <w:rFonts w:hint="cs"/>
          <w:rtl/>
        </w:rPr>
        <w:t>:</w:t>
      </w:r>
      <w:r w:rsidR="00777DCB" w:rsidRPr="00A52585">
        <w:rPr>
          <w:rFonts w:hint="cs"/>
          <w:rtl/>
        </w:rPr>
        <w:t xml:space="preserve"> 22] فإنه لو كان لله شريك في الملك والخلق والأمر وتدبير الكون لفسد النظام الكوني برمته</w:t>
      </w:r>
      <w:r w:rsidR="00DB731D" w:rsidRPr="00A52585">
        <w:rPr>
          <w:rFonts w:hint="cs"/>
          <w:rtl/>
        </w:rPr>
        <w:t>،</w:t>
      </w:r>
      <w:r w:rsidRPr="00A52585">
        <w:rPr>
          <w:rFonts w:hint="cs"/>
          <w:rtl/>
        </w:rPr>
        <w:t xml:space="preserve"> </w:t>
      </w:r>
      <w:r w:rsidR="00777DCB" w:rsidRPr="00A52585">
        <w:rPr>
          <w:rFonts w:hint="cs"/>
          <w:rtl/>
        </w:rPr>
        <w:t xml:space="preserve">كما في قوله تعالى </w:t>
      </w:r>
      <w:r w:rsidRPr="00A52585">
        <w:rPr>
          <w:rFonts w:hint="cs"/>
          <w:rtl/>
        </w:rPr>
        <w:t>{</w:t>
      </w:r>
      <w:r w:rsidR="00777DCB" w:rsidRPr="00A52585">
        <w:rPr>
          <w:rFonts w:hint="cs"/>
          <w:rtl/>
        </w:rPr>
        <w:t>مَا اتَّخَذَ اللَّهُ مِنْ وَلَدٍ وَمَا كَانَ مَعَهُ مِنْ إِلَهٍ إِذًا لَذَهَبَ كُلُّ إِلَهٍ بِمَا خَلَقَ وَلَعَلَا بَعْضُهُمْ عَلَى بَعْضٍ سُبْحَانَ اللَّهِ عَمَّا يَصِفُونَ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المؤمنون:91]</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قُلْ لَوْ كَانَ مَعَهُ آلِهَةٌ كَمَا يَقُولُونَ إِذًا لَابْتَغَوْا إِلَى ذِي الْعَرْشِ سَبِيلًا * سُبْحَانَهُ وَتَعَالَى عَمَّا يَقُولُونَ عُلُوًّا كَبِيرًا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الإسراء:42، 43]</w:t>
      </w:r>
      <w:r w:rsidR="00DB731D" w:rsidRPr="00A52585">
        <w:rPr>
          <w:rFonts w:hint="cs"/>
          <w:rtl/>
        </w:rPr>
        <w:t>،</w:t>
      </w:r>
      <w:r w:rsidR="00777DCB" w:rsidRPr="00A52585">
        <w:rPr>
          <w:rFonts w:hint="cs"/>
          <w:rtl/>
        </w:rPr>
        <w:t xml:space="preserve"> ولهذا خاطب الله تعالى البشرية جمعاء بقوله تعالى</w:t>
      </w:r>
      <w:r w:rsidRPr="00A52585">
        <w:rPr>
          <w:rFonts w:hint="cs"/>
          <w:rtl/>
        </w:rPr>
        <w:t>: {</w:t>
      </w:r>
      <w:r w:rsidR="00777DCB" w:rsidRPr="00A52585">
        <w:rPr>
          <w:rFonts w:hint="cs"/>
          <w:rtl/>
        </w:rPr>
        <w:t>فَإِلَهُكُمْ إِلَهٌ وَاحِدٌ فَلَهُ أَسْلِمُوا وَبَشِّرِ الْمُخْبِتِينَ</w:t>
      </w:r>
      <w:r w:rsidRPr="00A52585">
        <w:rPr>
          <w:rFonts w:hint="cs"/>
          <w:rtl/>
        </w:rPr>
        <w:t>}</w:t>
      </w:r>
      <w:r w:rsidR="00777DCB" w:rsidRPr="00A52585">
        <w:rPr>
          <w:rFonts w:hint="cs"/>
          <w:rtl/>
        </w:rPr>
        <w:t xml:space="preserve"> [الحج</w:t>
      </w:r>
      <w:r w:rsidRPr="00A52585">
        <w:rPr>
          <w:rFonts w:hint="cs"/>
          <w:rtl/>
        </w:rPr>
        <w:t>:</w:t>
      </w:r>
      <w:r w:rsidR="00777DCB" w:rsidRPr="00A52585">
        <w:rPr>
          <w:rFonts w:hint="cs"/>
          <w:rtl/>
        </w:rPr>
        <w:t xml:space="preserve"> 34]</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ذَلِكُمُ اللَّهُ رَبُّكُمْ لَا إِلَهَ إِلَّا هُوَ خَالِقُ كُلِّ شَيْءٍ فَاعْبُدُوهُ وَهُوَ عَلَى كُلِّ شَيْءٍ وَكِيلٌ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102</w:t>
      </w:r>
      <w:r w:rsidRPr="00A52585">
        <w:rPr>
          <w:rFonts w:hint="cs"/>
          <w:rtl/>
        </w:rPr>
        <w:t>]</w:t>
      </w:r>
      <w:r w:rsidR="00DB731D" w:rsidRPr="00A52585">
        <w:rPr>
          <w:rFonts w:hint="cs"/>
          <w:rtl/>
        </w:rPr>
        <w:t>،</w:t>
      </w:r>
      <w:r w:rsidRPr="00A52585">
        <w:rPr>
          <w:rFonts w:hint="cs"/>
          <w:rtl/>
        </w:rPr>
        <w:t xml:space="preserve"> </w:t>
      </w:r>
      <w:r w:rsidR="00777DCB" w:rsidRPr="00A52585">
        <w:rPr>
          <w:rFonts w:hint="cs"/>
          <w:rtl/>
          <w:lang w:bidi="ar-KW"/>
        </w:rPr>
        <w:t>والشرك الأكبر أقسام عديدة</w:t>
      </w:r>
      <w:r w:rsidRPr="00A52585">
        <w:rPr>
          <w:rFonts w:hint="cs"/>
          <w:rtl/>
          <w:lang w:bidi="ar-KW"/>
        </w:rPr>
        <w:t>:</w:t>
      </w:r>
      <w:r w:rsidR="00777DCB" w:rsidRPr="00A52585">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sidR="00DB731D" w:rsidRPr="00A52585">
        <w:rPr>
          <w:rFonts w:hint="cs"/>
          <w:rtl/>
          <w:lang w:bidi="ar-KW"/>
        </w:rPr>
        <w:t>،</w:t>
      </w:r>
      <w:r w:rsidR="00777DCB" w:rsidRPr="00A52585">
        <w:rPr>
          <w:rFonts w:hint="cs"/>
          <w:rtl/>
          <w:lang w:bidi="ar-KW"/>
        </w:rPr>
        <w:t xml:space="preserve"> ومن الشرك الأكبر</w:t>
      </w:r>
      <w:r w:rsidRPr="00A52585">
        <w:rPr>
          <w:rFonts w:hint="cs"/>
          <w:rtl/>
          <w:lang w:bidi="ar-KW"/>
        </w:rPr>
        <w:t>:</w:t>
      </w:r>
      <w:r w:rsidR="00777DCB" w:rsidRPr="00A52585">
        <w:rPr>
          <w:rFonts w:hint="cs"/>
          <w:rtl/>
          <w:lang w:bidi="ar-KW"/>
        </w:rPr>
        <w:t xml:space="preserve"> </w:t>
      </w:r>
      <w:r w:rsidR="00777DCB" w:rsidRPr="00A52585">
        <w:rPr>
          <w:rFonts w:hint="cs"/>
          <w:rtl/>
        </w:rPr>
        <w:t>اعتقاد الشريك</w:t>
      </w:r>
      <w:r w:rsidR="00DB731D" w:rsidRPr="00A52585">
        <w:rPr>
          <w:rFonts w:hint="cs"/>
          <w:rtl/>
        </w:rPr>
        <w:t>،</w:t>
      </w:r>
      <w:r w:rsidRPr="00A52585">
        <w:rPr>
          <w:rFonts w:hint="cs"/>
          <w:rtl/>
        </w:rPr>
        <w:t xml:space="preserve"> </w:t>
      </w:r>
      <w:r w:rsidR="00777DCB" w:rsidRPr="00A52585">
        <w:rPr>
          <w:rFonts w:hint="cs"/>
          <w:rtl/>
        </w:rPr>
        <w:t>كالقول بإلهين اثنين</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وَقَالَ اللَّهُ لَا تَتَّخِذُوا إِلَهَيْنِ اثْنَيْنِ إِنَّمَا هُوَ إِلَهٌ وَاحِدٌ فَإِيَّايَ فَارْهَبُونِ</w:t>
      </w:r>
      <w:r w:rsidRPr="00A52585">
        <w:rPr>
          <w:rFonts w:hint="cs"/>
          <w:rtl/>
        </w:rPr>
        <w:t>}</w:t>
      </w:r>
      <w:r w:rsidR="00777DCB" w:rsidRPr="00A52585">
        <w:rPr>
          <w:rFonts w:hint="cs"/>
          <w:rtl/>
        </w:rPr>
        <w:t xml:space="preserve"> </w:t>
      </w:r>
      <w:r w:rsidRPr="00A52585">
        <w:rPr>
          <w:rFonts w:hint="cs"/>
          <w:rtl/>
        </w:rPr>
        <w:lastRenderedPageBreak/>
        <w:t>[</w:t>
      </w:r>
      <w:r w:rsidR="00777DCB" w:rsidRPr="00A52585">
        <w:rPr>
          <w:rFonts w:hint="cs"/>
          <w:rtl/>
        </w:rPr>
        <w:t>النحل</w:t>
      </w:r>
      <w:r w:rsidRPr="00A52585">
        <w:rPr>
          <w:rFonts w:hint="cs"/>
          <w:rtl/>
        </w:rPr>
        <w:t>:</w:t>
      </w:r>
      <w:r w:rsidR="00777DCB" w:rsidRPr="00A52585">
        <w:rPr>
          <w:rFonts w:hint="cs"/>
          <w:rtl/>
        </w:rPr>
        <w:t xml:space="preserve"> 51</w:t>
      </w:r>
      <w:r w:rsidRPr="00A52585">
        <w:rPr>
          <w:rFonts w:hint="cs"/>
          <w:rtl/>
        </w:rPr>
        <w:t>]</w:t>
      </w:r>
      <w:r w:rsidR="00DB731D" w:rsidRPr="00A52585">
        <w:rPr>
          <w:rFonts w:hint="cs"/>
          <w:rtl/>
        </w:rPr>
        <w:t>،</w:t>
      </w:r>
      <w:r w:rsidR="00777DCB" w:rsidRPr="00A52585">
        <w:rPr>
          <w:rFonts w:hint="cs"/>
          <w:rtl/>
        </w:rPr>
        <w:t xml:space="preserve"> واعتقاد أن غير الله تعالى هو الإله مثل قول النصارى في نبي الله عيسى ابن مريم عليه السلام</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72</w:t>
      </w:r>
      <w:r w:rsidRPr="00A52585">
        <w:rPr>
          <w:rFonts w:hint="cs"/>
          <w:rtl/>
        </w:rPr>
        <w:t>]</w:t>
      </w:r>
      <w:r w:rsidR="00777DCB" w:rsidRPr="00A52585">
        <w:rPr>
          <w:rFonts w:hint="cs"/>
          <w:rtl/>
        </w:rPr>
        <w:t xml:space="preserve"> واعتقاد أن ذات الله تعالى منقسمة إلى أقانيم مثل قول النصارى أن الله تعالى ثالث ثلاثة</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لَقَدْ كَفَرَ الَّذِينَ قَالُوا إِنَّ اللَّهَ ثَالِثُ ثَلَاثَةٍ وَمَا مِنْ إِلَهٍ إِلَّا إِلَهٌ وَاحِدٌ وَإِنْ لَمْ يَنْتَهُوا عَمَّا يَقُولُونَ لَيَمَسَّنَّ الَذِينَ كَفَرُوا مِنْهُمْ عَذَابٌ أَلِيمٌ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73</w:t>
      </w:r>
      <w:r w:rsidRPr="00A52585">
        <w:rPr>
          <w:rFonts w:hint="cs"/>
          <w:rtl/>
        </w:rPr>
        <w:t>]</w:t>
      </w:r>
      <w:r w:rsidR="00DB731D" w:rsidRPr="00A52585">
        <w:rPr>
          <w:rFonts w:hint="cs"/>
          <w:rtl/>
        </w:rPr>
        <w:t>،</w:t>
      </w:r>
      <w:r w:rsidR="00777DCB" w:rsidRPr="00A52585">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sidRPr="00A52585">
        <w:rPr>
          <w:rFonts w:hint="cs"/>
          <w:rtl/>
        </w:rPr>
        <w:t xml:space="preserve"> </w:t>
      </w:r>
      <w:r w:rsidR="00777DCB" w:rsidRPr="00A52585">
        <w:rPr>
          <w:rFonts w:hint="cs"/>
          <w:rtl/>
        </w:rPr>
        <w:t>لَقَدْ أَحْصَاهُمْ وَعَدَّهُمْ عَدًّا * وَكُلُّهُمْ آتِيهِ يَوْمَ الْقِيَامَةِ فَرْدًا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سورة مريم</w:t>
      </w:r>
      <w:r w:rsidRPr="00A52585">
        <w:rPr>
          <w:rFonts w:hint="cs"/>
          <w:rtl/>
        </w:rPr>
        <w:t>:</w:t>
      </w:r>
      <w:r w:rsidR="00777DCB" w:rsidRPr="00A52585">
        <w:rPr>
          <w:rFonts w:hint="cs"/>
          <w:rtl/>
        </w:rPr>
        <w:t xml:space="preserve"> 88</w:t>
      </w:r>
      <w:r w:rsidR="00DB731D" w:rsidRPr="00A52585">
        <w:rPr>
          <w:rFonts w:hint="cs"/>
          <w:rtl/>
        </w:rPr>
        <w:t>،</w:t>
      </w:r>
      <w:r w:rsidR="00777DCB" w:rsidRPr="00A52585">
        <w:rPr>
          <w:rFonts w:hint="cs"/>
          <w:rtl/>
        </w:rPr>
        <w:t xml:space="preserve"> 95</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OM"/>
        </w:rPr>
        <w:t>وكاعتقاد مشركي العرب في الجن</w:t>
      </w:r>
      <w:r w:rsidR="00DB731D" w:rsidRPr="00A52585">
        <w:rPr>
          <w:rFonts w:hint="cs"/>
          <w:rtl/>
          <w:lang w:bidi="ar-OM"/>
        </w:rPr>
        <w:t>،</w:t>
      </w:r>
      <w:r w:rsidR="00777DCB" w:rsidRPr="00A52585">
        <w:rPr>
          <w:rFonts w:hint="cs"/>
          <w:rtl/>
          <w:lang w:bidi="ar-OM"/>
        </w:rPr>
        <w:t xml:space="preserve"> كما في قوله تعالى</w:t>
      </w:r>
      <w:r w:rsidRPr="00A52585">
        <w:rPr>
          <w:rFonts w:hint="cs"/>
          <w:rtl/>
          <w:lang w:bidi="ar-OM"/>
        </w:rPr>
        <w:t>:</w:t>
      </w:r>
      <w:r w:rsidR="00777DCB" w:rsidRPr="00A52585">
        <w:rPr>
          <w:rFonts w:hint="cs"/>
          <w:rtl/>
          <w:lang w:bidi="ar-OM"/>
        </w:rPr>
        <w:t xml:space="preserve"> </w:t>
      </w:r>
      <w:r w:rsidRPr="00A52585">
        <w:rPr>
          <w:rFonts w:hint="cs"/>
          <w:rtl/>
          <w:lang w:bidi="ar-OM"/>
        </w:rPr>
        <w:t>{</w:t>
      </w:r>
      <w:r w:rsidR="00777DCB" w:rsidRPr="00A52585">
        <w:rPr>
          <w:rFonts w:hint="cs"/>
          <w:rtl/>
          <w:lang w:bidi="ar-OM"/>
        </w:rPr>
        <w:t>وَجَعَلُوا لِلَّهِ شُرَكَاءَ الْجِنَّ وَخَلَقَهُمْ وَخَرَقُوا لَهُ بَنِينَ وَبَنَاتٍ بِغَيْرِ عِلْمٍ سُبْحَانَهُ وَتَعَالَى عَمَّا يَصِفُونَ</w:t>
      </w:r>
      <w:r w:rsidRPr="00A52585">
        <w:rPr>
          <w:rFonts w:hint="cs"/>
          <w:rtl/>
          <w:lang w:bidi="ar-OM"/>
        </w:rPr>
        <w:t>}</w:t>
      </w:r>
      <w:r w:rsidR="00777DCB" w:rsidRPr="00A52585">
        <w:rPr>
          <w:rFonts w:hint="cs"/>
          <w:rtl/>
          <w:lang w:bidi="ar-OM"/>
        </w:rPr>
        <w:t xml:space="preserve"> </w:t>
      </w:r>
      <w:r w:rsidRPr="00A52585">
        <w:rPr>
          <w:rFonts w:hint="cs"/>
          <w:rtl/>
          <w:lang w:bidi="ar-OM"/>
        </w:rPr>
        <w:t>[</w:t>
      </w:r>
      <w:r w:rsidR="00777DCB" w:rsidRPr="00A52585">
        <w:rPr>
          <w:rFonts w:hint="cs"/>
          <w:rtl/>
          <w:lang w:bidi="ar-OM"/>
        </w:rPr>
        <w:t>الأنعام</w:t>
      </w:r>
      <w:r w:rsidRPr="00A52585">
        <w:rPr>
          <w:rFonts w:hint="cs"/>
          <w:rtl/>
          <w:lang w:bidi="ar-OM"/>
        </w:rPr>
        <w:t>:</w:t>
      </w:r>
      <w:r w:rsidR="00777DCB" w:rsidRPr="00A52585">
        <w:rPr>
          <w:rFonts w:hint="cs"/>
          <w:rtl/>
          <w:lang w:bidi="ar-OM"/>
        </w:rPr>
        <w:t xml:space="preserve"> 100</w:t>
      </w:r>
      <w:r w:rsidRPr="00A52585">
        <w:rPr>
          <w:rFonts w:hint="cs"/>
          <w:rtl/>
          <w:lang w:bidi="ar-OM"/>
        </w:rPr>
        <w:t>]</w:t>
      </w:r>
      <w:r w:rsidR="00DB731D" w:rsidRPr="00A52585">
        <w:rPr>
          <w:rFonts w:hint="cs"/>
          <w:rtl/>
          <w:lang w:bidi="ar-OM"/>
        </w:rPr>
        <w:t>،</w:t>
      </w:r>
      <w:r w:rsidR="00777DCB" w:rsidRPr="00A52585">
        <w:rPr>
          <w:rFonts w:hint="cs"/>
          <w:rtl/>
          <w:lang w:bidi="ar-OM"/>
        </w:rPr>
        <w:t xml:space="preserve"> </w:t>
      </w:r>
      <w:r w:rsidR="00777DCB" w:rsidRPr="00A52585">
        <w:rPr>
          <w:rFonts w:hint="cs"/>
          <w:rtl/>
        </w:rPr>
        <w:t>وكاعتقاد هم وجود مؤثر آخر من دون الله تعالى في الكون ومتصرف آخر غير الله تعالى مستقل عنه</w:t>
      </w:r>
      <w:r w:rsidR="00DB731D" w:rsidRPr="00A52585">
        <w:rPr>
          <w:rFonts w:hint="cs"/>
          <w:rtl/>
        </w:rPr>
        <w:t>،</w:t>
      </w:r>
      <w:r w:rsidR="00777DCB" w:rsidRPr="00A52585">
        <w:rPr>
          <w:rFonts w:hint="cs"/>
          <w:rtl/>
        </w:rPr>
        <w:t xml:space="preserve"> يستطيع نصر أتباعه وإعزازهم</w:t>
      </w:r>
      <w:r w:rsidR="00DB731D" w:rsidRPr="00A52585">
        <w:rPr>
          <w:rFonts w:hint="cs"/>
          <w:rtl/>
        </w:rPr>
        <w:t>،</w:t>
      </w:r>
      <w:r w:rsidR="00777DCB" w:rsidRPr="00A52585">
        <w:rPr>
          <w:rFonts w:hint="cs"/>
          <w:rtl/>
        </w:rPr>
        <w:t xml:space="preserve"> كما </w:t>
      </w:r>
      <w:r w:rsidR="00777DCB" w:rsidRPr="00A52585">
        <w:rPr>
          <w:rFonts w:hint="cs"/>
          <w:rtl/>
          <w:lang w:bidi="ar-EG"/>
        </w:rPr>
        <w:t>في قوله تعالى</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وَاتَّخَذُوا مِنْ دُونِ اللَّهِ آلِهَةً لَعَلَّهُمْ يُنْصَرُونَ</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يس</w:t>
      </w:r>
      <w:r w:rsidRPr="00A52585">
        <w:rPr>
          <w:rFonts w:hint="cs"/>
          <w:rtl/>
          <w:lang w:bidi="ar-EG"/>
        </w:rPr>
        <w:t>:</w:t>
      </w:r>
      <w:r w:rsidR="00777DCB" w:rsidRPr="00A52585">
        <w:rPr>
          <w:rFonts w:hint="cs"/>
          <w:rtl/>
          <w:lang w:bidi="ar-EG"/>
        </w:rPr>
        <w:t xml:space="preserve"> 74</w:t>
      </w:r>
      <w:r w:rsidRPr="00A52585">
        <w:rPr>
          <w:rFonts w:hint="cs"/>
          <w:rtl/>
          <w:lang w:bidi="ar-EG"/>
        </w:rPr>
        <w:t>]</w:t>
      </w:r>
      <w:r w:rsidR="00DB731D" w:rsidRPr="00A52585">
        <w:rPr>
          <w:rFonts w:hint="cs"/>
          <w:rtl/>
          <w:lang w:bidi="ar-EG"/>
        </w:rPr>
        <w:t>،</w:t>
      </w:r>
      <w:r w:rsidR="00777DCB" w:rsidRPr="00A52585">
        <w:rPr>
          <w:rFonts w:hint="cs"/>
          <w:rtl/>
          <w:lang w:bidi="ar-EG"/>
        </w:rPr>
        <w:t xml:space="preserve"> وقال تعالى</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وَاتَّخَذُوا مِنْ دُونِ اللَّهِ آلِهَةً لِيَكُونُوا لَهُمْ عِزًّا</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مريم</w:t>
      </w:r>
      <w:r w:rsidRPr="00A52585">
        <w:rPr>
          <w:rFonts w:hint="cs"/>
          <w:rtl/>
          <w:lang w:bidi="ar-EG"/>
        </w:rPr>
        <w:t>:</w:t>
      </w:r>
      <w:r w:rsidR="00777DCB" w:rsidRPr="00A52585">
        <w:rPr>
          <w:rFonts w:hint="cs"/>
          <w:rtl/>
          <w:lang w:bidi="ar-EG"/>
        </w:rPr>
        <w:t xml:space="preserve"> 81</w:t>
      </w:r>
      <w:r w:rsidRPr="00A52585">
        <w:rPr>
          <w:rFonts w:hint="cs"/>
          <w:rtl/>
          <w:lang w:bidi="ar-EG"/>
        </w:rPr>
        <w:t>]</w:t>
      </w:r>
      <w:r w:rsidR="00DB731D" w:rsidRPr="00A52585">
        <w:rPr>
          <w:rFonts w:hint="cs"/>
          <w:rtl/>
          <w:lang w:bidi="ar-EG"/>
        </w:rPr>
        <w:t>،</w:t>
      </w:r>
      <w:r w:rsidR="00777DCB" w:rsidRPr="00A52585">
        <w:rPr>
          <w:rFonts w:hint="cs"/>
          <w:rtl/>
        </w:rPr>
        <w:t>فمن اعتقد بأن لله شريكاً في التأثير أو التدبير على سبيل الاستقلال</w:t>
      </w:r>
      <w:r w:rsidR="00DB731D" w:rsidRPr="00A52585">
        <w:rPr>
          <w:rFonts w:hint="cs"/>
          <w:rtl/>
        </w:rPr>
        <w:t>،</w:t>
      </w:r>
      <w:r w:rsidR="00777DCB" w:rsidRPr="00A52585">
        <w:rPr>
          <w:rFonts w:hint="cs"/>
          <w:rtl/>
        </w:rPr>
        <w:t xml:space="preserve"> فهذا شرك يضاد توحيد الأفعال</w:t>
      </w:r>
      <w:r w:rsidR="00DB731D" w:rsidRPr="00A52585">
        <w:rPr>
          <w:rFonts w:hint="cs"/>
          <w:rtl/>
        </w:rPr>
        <w:t>،</w:t>
      </w:r>
      <w:r w:rsidR="00777DCB" w:rsidRPr="00A52585">
        <w:rPr>
          <w:rFonts w:hint="cs"/>
          <w:rtl/>
        </w:rPr>
        <w:t xml:space="preserve"> وأنّه لا يكون في ملك الله تعالى إلا ما خلقه الله</w:t>
      </w:r>
      <w:r w:rsidR="00DB731D" w:rsidRPr="00A52585">
        <w:rPr>
          <w:rFonts w:hint="cs"/>
          <w:rtl/>
        </w:rPr>
        <w:t>،</w:t>
      </w:r>
      <w:r w:rsidR="00777DCB" w:rsidRPr="00A52585">
        <w:rPr>
          <w:rFonts w:hint="cs"/>
          <w:rtl/>
        </w:rPr>
        <w:t xml:space="preserve"> ومن الشرك الأكبر الشرك في ربوبية الله تعالى لخلقه أجمعين</w:t>
      </w:r>
      <w:r w:rsidR="00DB731D" w:rsidRPr="00A52585">
        <w:rPr>
          <w:rFonts w:hint="cs"/>
          <w:rtl/>
        </w:rPr>
        <w:t>،</w:t>
      </w:r>
      <w:r w:rsidR="00777DCB" w:rsidRPr="00A52585">
        <w:rPr>
          <w:rFonts w:hint="cs"/>
          <w:rtl/>
        </w:rPr>
        <w:t xml:space="preserve"> وهذا الشرك يتناول كل ما يناقض توحيد الربوبية</w:t>
      </w:r>
      <w:r w:rsidR="00DB731D" w:rsidRPr="00A52585">
        <w:rPr>
          <w:rFonts w:hint="cs"/>
          <w:rtl/>
        </w:rPr>
        <w:t>،</w:t>
      </w:r>
      <w:r w:rsidR="00777DCB" w:rsidRPr="00A52585">
        <w:rPr>
          <w:rFonts w:hint="cs"/>
          <w:rtl/>
        </w:rPr>
        <w:t xml:space="preserve"> </w:t>
      </w:r>
      <w:r w:rsidR="00777DCB" w:rsidRPr="00A52585">
        <w:rPr>
          <w:rFonts w:hint="cs"/>
          <w:rtl/>
          <w:lang w:bidi="ar-KW"/>
        </w:rPr>
        <w:t xml:space="preserve">وتوحيد الربوبية </w:t>
      </w:r>
      <w:r w:rsidR="00777DCB" w:rsidRPr="00A52585">
        <w:rPr>
          <w:rFonts w:hint="cs"/>
          <w:rtl/>
        </w:rPr>
        <w:t>مصطلح شامل يحمل اعتقاد معاني أساسية لا يقوم بتلك المعاني مجتمعة إلا مسمى توحيد الربوبية</w:t>
      </w:r>
      <w:r w:rsidR="00DB731D" w:rsidRPr="00A52585">
        <w:rPr>
          <w:rFonts w:hint="cs"/>
          <w:rtl/>
        </w:rPr>
        <w:t>،</w:t>
      </w:r>
      <w:r w:rsidR="00777DCB" w:rsidRPr="00A52585">
        <w:rPr>
          <w:rFonts w:hint="cs"/>
          <w:rtl/>
        </w:rPr>
        <w:t xml:space="preserve"> لا يصح مصطلح توحيد الربوبية إلا باعتقادها جميعا</w:t>
      </w:r>
      <w:r w:rsidR="00DB731D" w:rsidRPr="00A52585">
        <w:rPr>
          <w:rFonts w:hint="cs"/>
          <w:rtl/>
        </w:rPr>
        <w:t>،</w:t>
      </w:r>
      <w:r w:rsidR="00777DCB" w:rsidRPr="00A52585">
        <w:rPr>
          <w:rFonts w:hint="cs"/>
          <w:rtl/>
        </w:rPr>
        <w:t xml:space="preserve"> وتتمثل تلك الاعتقادات فيما </w:t>
      </w:r>
      <w:proofErr w:type="spellStart"/>
      <w:r w:rsidR="00777DCB" w:rsidRPr="00A52585">
        <w:rPr>
          <w:rFonts w:hint="cs"/>
          <w:rtl/>
        </w:rPr>
        <w:t>يلي</w:t>
      </w:r>
      <w:r w:rsidRPr="00A52585">
        <w:rPr>
          <w:rFonts w:hint="cs"/>
          <w:rtl/>
        </w:rPr>
        <w:t>:</w:t>
      </w:r>
      <w:r w:rsidR="00777DCB" w:rsidRPr="00A52585">
        <w:rPr>
          <w:rFonts w:hint="cs"/>
          <w:rtl/>
        </w:rPr>
        <w:t>اعتقاد</w:t>
      </w:r>
      <w:proofErr w:type="spellEnd"/>
      <w:r w:rsidR="00777DCB" w:rsidRPr="00A52585">
        <w:rPr>
          <w:rFonts w:hint="cs"/>
          <w:rtl/>
        </w:rPr>
        <w:t xml:space="preserve"> أنه لا موجد ولا خالق ولا مكون لهذا الكون كله بما فيه إلا الله رب </w:t>
      </w:r>
      <w:proofErr w:type="spellStart"/>
      <w:r w:rsidR="00777DCB" w:rsidRPr="00A52585">
        <w:rPr>
          <w:rFonts w:hint="cs"/>
          <w:rtl/>
        </w:rPr>
        <w:t>العالمين</w:t>
      </w:r>
      <w:r w:rsidR="00DB731D" w:rsidRPr="00A52585">
        <w:rPr>
          <w:rFonts w:hint="cs"/>
          <w:rtl/>
        </w:rPr>
        <w:t>،</w:t>
      </w:r>
      <w:r w:rsidR="00777DCB" w:rsidRPr="00A52585">
        <w:rPr>
          <w:rFonts w:hint="cs"/>
          <w:rtl/>
        </w:rPr>
        <w:t>واعتقاد</w:t>
      </w:r>
      <w:proofErr w:type="spellEnd"/>
      <w:r w:rsidR="00777DCB" w:rsidRPr="00A52585">
        <w:rPr>
          <w:rFonts w:hint="cs"/>
          <w:rtl/>
        </w:rPr>
        <w:t xml:space="preserve"> أنه لا رازق على الحقيقة في الكون كله إلا الله رب العالمين</w:t>
      </w:r>
      <w:r w:rsidR="00DB731D" w:rsidRPr="00A52585">
        <w:rPr>
          <w:rFonts w:hint="cs"/>
          <w:rtl/>
        </w:rPr>
        <w:t>،</w:t>
      </w:r>
      <w:r w:rsidR="00777DCB" w:rsidRPr="00A52585">
        <w:rPr>
          <w:rFonts w:hint="cs"/>
          <w:rtl/>
        </w:rPr>
        <w:t xml:space="preserve"> واعتقاد أنه لا مالك لا متصرف بيده ملكوت كل شيء ولا مدبر للكون كله على الحقيقة إلا الله رب العالمين</w:t>
      </w:r>
      <w:r w:rsidR="00DB731D" w:rsidRPr="00A52585">
        <w:rPr>
          <w:rFonts w:hint="cs"/>
          <w:rtl/>
        </w:rPr>
        <w:t>،</w:t>
      </w:r>
      <w:r w:rsidR="00777DCB" w:rsidRPr="00A52585">
        <w:rPr>
          <w:rFonts w:hint="cs"/>
          <w:rtl/>
        </w:rPr>
        <w:t xml:space="preserve"> واعتقاد أنه لا سيد ولا مهيمن ولا حاكم ولا آمر في الكون كله على الحقيقة إلا الله رب العالمين</w:t>
      </w:r>
      <w:r w:rsidR="00DB731D" w:rsidRPr="00A52585">
        <w:rPr>
          <w:rFonts w:hint="cs"/>
          <w:rtl/>
        </w:rPr>
        <w:t>،</w:t>
      </w:r>
      <w:r w:rsidR="00777DCB" w:rsidRPr="00A52585">
        <w:rPr>
          <w:rFonts w:hint="cs"/>
          <w:rtl/>
        </w:rPr>
        <w:t xml:space="preserve"> واعتقاد أنه لا ناصر ولا معين ولا معز ولا مذل ولا خافض ولا رافع ولا قابض ولا باسط إلا الله رب العالمين</w:t>
      </w:r>
      <w:r w:rsidR="00DB731D" w:rsidRPr="00A52585">
        <w:rPr>
          <w:rFonts w:hint="cs"/>
          <w:rtl/>
        </w:rPr>
        <w:t>،</w:t>
      </w:r>
      <w:r w:rsidR="00777DCB" w:rsidRPr="00A52585">
        <w:rPr>
          <w:rFonts w:hint="cs"/>
          <w:rtl/>
        </w:rPr>
        <w:t xml:space="preserve"> واعتقاد أنه لا شفيع في شيء من أمور الكون كله إلا من بعد إذن الواحد الأحد </w:t>
      </w:r>
      <w:r w:rsidR="00777DCB" w:rsidRPr="00A52585">
        <w:rPr>
          <w:rFonts w:hint="cs"/>
          <w:rtl/>
        </w:rPr>
        <w:lastRenderedPageBreak/>
        <w:t>الله رب العالمين</w:t>
      </w:r>
      <w:r w:rsidR="00DB731D" w:rsidRPr="00A52585">
        <w:rPr>
          <w:rFonts w:hint="cs"/>
          <w:rtl/>
        </w:rPr>
        <w:t>،</w:t>
      </w:r>
      <w:r w:rsidR="00777DCB" w:rsidRPr="00A52585">
        <w:rPr>
          <w:rFonts w:hint="cs"/>
          <w:rtl/>
        </w:rPr>
        <w:t xml:space="preserve"> واعتقاد أنه لا شريك للرب الواحد الأحد الله رب العالمين في شيء من تلك المعاني التي يشملها توحيد الربوبية</w:t>
      </w:r>
      <w:r w:rsidR="00DB731D" w:rsidRPr="00A52585">
        <w:rPr>
          <w:rFonts w:hint="cs"/>
          <w:rtl/>
        </w:rPr>
        <w:t>،</w:t>
      </w:r>
      <w:r w:rsidR="00777DCB" w:rsidRPr="00A52585">
        <w:rPr>
          <w:rFonts w:hint="cs"/>
          <w:rtl/>
        </w:rPr>
        <w:t xml:space="preserve"> لا يصح مصطلح توحيد الربوبية إلا بحصر معاني الربوبية في اللّهِ وحده</w:t>
      </w:r>
      <w:r w:rsidR="00DB731D" w:rsidRPr="00A52585">
        <w:rPr>
          <w:rFonts w:hint="cs"/>
          <w:rtl/>
        </w:rPr>
        <w:t>،</w:t>
      </w:r>
      <w:r w:rsidR="00777DCB" w:rsidRPr="00A52585">
        <w:rPr>
          <w:rFonts w:hint="cs"/>
          <w:rtl/>
        </w:rPr>
        <w:t xml:space="preserve"> ولا يصح مصطلح توحيد الربوبية إلا باعتقادها جميعا لله رب العالمين وحده لا شريك له</w:t>
      </w:r>
      <w:r w:rsidR="00DB731D" w:rsidRPr="00A52585">
        <w:rPr>
          <w:rFonts w:hint="cs"/>
          <w:rtl/>
        </w:rPr>
        <w:t>،</w:t>
      </w:r>
      <w:r w:rsidR="00777DCB" w:rsidRPr="00A52585">
        <w:rPr>
          <w:rFonts w:hint="cs"/>
          <w:rtl/>
          <w:lang w:bidi="ar-KW"/>
        </w:rPr>
        <w:t xml:space="preserve"> فمن صرف شيئا من تلك الاعتقادات التي تمثل توحيد الربوبية إلى غير الله تعالى</w:t>
      </w:r>
      <w:r w:rsidR="00DB731D" w:rsidRPr="00A52585">
        <w:rPr>
          <w:rFonts w:hint="cs"/>
          <w:rtl/>
          <w:lang w:bidi="ar-KW"/>
        </w:rPr>
        <w:t>،</w:t>
      </w:r>
      <w:r w:rsidR="00777DCB" w:rsidRPr="00A52585">
        <w:rPr>
          <w:rFonts w:hint="cs"/>
          <w:rtl/>
          <w:lang w:bidi="ar-KW"/>
        </w:rPr>
        <w:t xml:space="preserve"> فقد وقع في شرك الربوبية</w:t>
      </w:r>
      <w:r w:rsidR="00DB731D" w:rsidRPr="00A52585">
        <w:rPr>
          <w:rFonts w:hint="cs"/>
          <w:rtl/>
          <w:lang w:bidi="ar-KW"/>
        </w:rPr>
        <w:t>،</w:t>
      </w:r>
      <w:r w:rsidR="00777DCB" w:rsidRPr="00A52585">
        <w:rPr>
          <w:rFonts w:hint="cs"/>
          <w:rtl/>
          <w:lang w:bidi="ar-KW"/>
        </w:rPr>
        <w:t xml:space="preserve"> ومن الآيات </w:t>
      </w:r>
      <w:r w:rsidR="00777DCB" w:rsidRPr="00A52585">
        <w:rPr>
          <w:rFonts w:hint="cs"/>
          <w:rtl/>
        </w:rPr>
        <w:t>التي تنهى عن الشرك في الربوبية</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لَكِنَّ هُوَ اللَّهُ رَبِّي وَلَا أُشْرِكُ بِرَبِّي أَحَدًا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الكهف</w:t>
      </w:r>
      <w:r w:rsidRPr="00A52585">
        <w:rPr>
          <w:rFonts w:hint="cs"/>
          <w:rtl/>
        </w:rPr>
        <w:t>:</w:t>
      </w:r>
      <w:r w:rsidR="00777DCB" w:rsidRPr="00A52585">
        <w:rPr>
          <w:rFonts w:hint="cs"/>
          <w:rtl/>
        </w:rPr>
        <w:t xml:space="preserve"> 38</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وَيَقُولُ يَا لَيْتَنِي لَمْ أُشْرِكْ بِرَبِّي أَحَدًا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الكهف</w:t>
      </w:r>
      <w:r w:rsidRPr="00A52585">
        <w:rPr>
          <w:rFonts w:hint="cs"/>
          <w:rtl/>
        </w:rPr>
        <w:t>:</w:t>
      </w:r>
      <w:r w:rsidR="00777DCB" w:rsidRPr="00A52585">
        <w:rPr>
          <w:rFonts w:hint="cs"/>
          <w:rtl/>
        </w:rPr>
        <w:t xml:space="preserve"> 42</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proofErr w:type="spellStart"/>
      <w:r w:rsidR="00777DCB" w:rsidRPr="00A52585">
        <w:rPr>
          <w:rFonts w:hint="cs"/>
          <w:rtl/>
        </w:rPr>
        <w:t>أَأَرْبَابٌ</w:t>
      </w:r>
      <w:proofErr w:type="spellEnd"/>
      <w:r w:rsidR="00777DCB" w:rsidRPr="00A52585">
        <w:rPr>
          <w:rFonts w:hint="cs"/>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Pr="00A52585">
        <w:rPr>
          <w:rFonts w:hint="cs"/>
          <w:rtl/>
        </w:rPr>
        <w:t>} [</w:t>
      </w:r>
      <w:r w:rsidR="00777DCB" w:rsidRPr="00A52585">
        <w:rPr>
          <w:rFonts w:hint="cs"/>
          <w:rtl/>
        </w:rPr>
        <w:t>يوسف</w:t>
      </w:r>
      <w:r w:rsidRPr="00A52585">
        <w:rPr>
          <w:rFonts w:hint="cs"/>
          <w:rtl/>
        </w:rPr>
        <w:t>:</w:t>
      </w:r>
      <w:r w:rsidR="00777DCB" w:rsidRPr="00A52585">
        <w:rPr>
          <w:rFonts w:hint="cs"/>
          <w:rtl/>
        </w:rPr>
        <w:t xml:space="preserve"> 39</w:t>
      </w:r>
      <w:r w:rsidR="00DB731D" w:rsidRPr="00A52585">
        <w:rPr>
          <w:rFonts w:hint="cs"/>
          <w:rtl/>
        </w:rPr>
        <w:t>،</w:t>
      </w:r>
      <w:r w:rsidR="00777DCB" w:rsidRPr="00A52585">
        <w:rPr>
          <w:rFonts w:hint="cs"/>
          <w:rtl/>
        </w:rPr>
        <w:t xml:space="preserve"> 40</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A52585">
        <w:rPr>
          <w:rFonts w:hint="cs"/>
          <w:rtl/>
        </w:rPr>
        <w:t>}</w:t>
      </w:r>
      <w:r w:rsidR="00777DCB" w:rsidRPr="00A52585">
        <w:rPr>
          <w:rFonts w:hint="cs"/>
          <w:rtl/>
        </w:rPr>
        <w:t xml:space="preserve"> [آل عمران</w:t>
      </w:r>
      <w:r w:rsidRPr="00A52585">
        <w:rPr>
          <w:rFonts w:hint="cs"/>
          <w:rtl/>
        </w:rPr>
        <w:t>:</w:t>
      </w:r>
      <w:r w:rsidR="00777DCB" w:rsidRPr="00A52585">
        <w:rPr>
          <w:rFonts w:hint="cs"/>
          <w:rtl/>
        </w:rPr>
        <w:t xml:space="preserve"> 64</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79</w:t>
      </w:r>
      <w:r w:rsidR="00DB731D" w:rsidRPr="00A52585">
        <w:rPr>
          <w:rFonts w:hint="cs"/>
          <w:rtl/>
        </w:rPr>
        <w:t>،</w:t>
      </w:r>
      <w:r w:rsidR="00777DCB" w:rsidRPr="00A52585">
        <w:rPr>
          <w:rFonts w:hint="cs"/>
          <w:rtl/>
        </w:rPr>
        <w:t xml:space="preserve"> 80</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اتَّخَذُوا أَحْبَارَهُمْ وَرُهْبَانَهُمْ أَرْبَابًا مِنْ دُونِ اللَّهِ وَالْمَسِيحَ بْنَ مَرْيَمَ وَمَا أُمِرُوا إِلَّا لِيَعْبُدُوا إِلَهًا وَاحِدًا لَا إِلَهَ إِلَّا هُوَ سُبْحَانَهُ عَمَّا يُشْرِكُونَ</w:t>
      </w:r>
      <w:r w:rsidRPr="00A52585">
        <w:rPr>
          <w:rFonts w:hint="cs"/>
          <w:rtl/>
        </w:rPr>
        <w:t>} [</w:t>
      </w:r>
      <w:r w:rsidR="00777DCB" w:rsidRPr="00A52585">
        <w:rPr>
          <w:rFonts w:hint="cs"/>
          <w:rtl/>
        </w:rPr>
        <w:t>التوبة</w:t>
      </w:r>
      <w:r w:rsidRPr="00A52585">
        <w:rPr>
          <w:rFonts w:hint="cs"/>
          <w:rtl/>
        </w:rPr>
        <w:t>:</w:t>
      </w:r>
      <w:r w:rsidR="00777DCB" w:rsidRPr="00A52585">
        <w:rPr>
          <w:rFonts w:hint="cs"/>
          <w:rtl/>
        </w:rPr>
        <w:t xml:space="preserve"> 31</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sidRPr="00A52585">
        <w:rPr>
          <w:rFonts w:hint="cs"/>
          <w:rtl/>
        </w:rPr>
        <w:t>} [</w:t>
      </w:r>
      <w:r w:rsidR="00777DCB" w:rsidRPr="00A52585">
        <w:rPr>
          <w:rFonts w:hint="cs"/>
          <w:rtl/>
        </w:rPr>
        <w:t>الأنعام</w:t>
      </w:r>
      <w:r w:rsidRPr="00A52585">
        <w:rPr>
          <w:rFonts w:hint="cs"/>
          <w:rtl/>
        </w:rPr>
        <w:t>:</w:t>
      </w:r>
      <w:r w:rsidR="00777DCB" w:rsidRPr="00A52585">
        <w:rPr>
          <w:rFonts w:hint="cs"/>
          <w:rtl/>
        </w:rPr>
        <w:t xml:space="preserve"> 164</w:t>
      </w:r>
      <w:r w:rsidRPr="00A52585">
        <w:rPr>
          <w:rFonts w:hint="cs"/>
          <w:rtl/>
        </w:rPr>
        <w:t>]</w:t>
      </w:r>
      <w:r w:rsidR="00DB731D" w:rsidRPr="00A52585">
        <w:rPr>
          <w:rFonts w:hint="cs"/>
          <w:rtl/>
        </w:rPr>
        <w:t>،</w:t>
      </w:r>
      <w:r w:rsidR="00777DCB" w:rsidRPr="00A52585">
        <w:rPr>
          <w:rFonts w:hint="cs"/>
          <w:rtl/>
        </w:rPr>
        <w:t xml:space="preserve"> وعلى ذلك فإنّ أنواع الشرك في الربوبية كثيرة منها</w:t>
      </w:r>
      <w:r w:rsidRPr="00A52585">
        <w:rPr>
          <w:rFonts w:hint="cs"/>
          <w:rtl/>
        </w:rPr>
        <w:t>:</w:t>
      </w:r>
      <w:r w:rsidR="00777DCB" w:rsidRPr="00A52585">
        <w:rPr>
          <w:rFonts w:hint="cs"/>
          <w:rtl/>
        </w:rPr>
        <w:t xml:space="preserve"> من اعتقد أن غير الله شريك مع الله في شيء من الخلق والرزق</w:t>
      </w:r>
      <w:r w:rsidR="00DB731D" w:rsidRPr="00A52585">
        <w:rPr>
          <w:rFonts w:hint="cs"/>
          <w:rtl/>
        </w:rPr>
        <w:t>،</w:t>
      </w:r>
      <w:r w:rsidR="00777DCB" w:rsidRPr="00A52585">
        <w:rPr>
          <w:rFonts w:hint="cs"/>
          <w:rtl/>
        </w:rPr>
        <w:t xml:space="preserve"> ومن اعتقد أن غير الله شريك مع الله في شيء من تدبير الكون والتصريف</w:t>
      </w:r>
      <w:r w:rsidR="00DB731D" w:rsidRPr="00A52585">
        <w:rPr>
          <w:rFonts w:hint="cs"/>
          <w:rtl/>
        </w:rPr>
        <w:t>،</w:t>
      </w:r>
      <w:r w:rsidR="00777DCB" w:rsidRPr="00A52585">
        <w:rPr>
          <w:rFonts w:hint="cs"/>
          <w:rtl/>
        </w:rPr>
        <w:t xml:space="preserve"> ومن اعتقد أن غير الله شريك مع الله في شيء من النصر والتأييد والإعزاز والإذلال والنفع والضر والهداية</w:t>
      </w:r>
      <w:r w:rsidRPr="00A52585">
        <w:rPr>
          <w:rFonts w:hint="cs"/>
          <w:rtl/>
        </w:rPr>
        <w:t xml:space="preserve"> </w:t>
      </w:r>
      <w:r w:rsidR="00777DCB" w:rsidRPr="00A52585">
        <w:rPr>
          <w:rFonts w:hint="cs"/>
          <w:rtl/>
        </w:rPr>
        <w:t>والإضلال</w:t>
      </w:r>
      <w:r w:rsidR="00DB731D" w:rsidRPr="00A52585">
        <w:rPr>
          <w:rFonts w:hint="cs"/>
          <w:rtl/>
        </w:rPr>
        <w:t>،</w:t>
      </w:r>
      <w:r w:rsidR="00777DCB" w:rsidRPr="00A52585">
        <w:rPr>
          <w:rFonts w:hint="cs"/>
          <w:rtl/>
        </w:rPr>
        <w:t xml:space="preserve"> ومن اعتقد أن غير الله شريك مع الله في شيء من الحكم والأمر والتشريع والتحليل والتحريم</w:t>
      </w:r>
      <w:r w:rsidR="00DB731D" w:rsidRPr="00A52585">
        <w:rPr>
          <w:rFonts w:hint="cs"/>
          <w:rtl/>
        </w:rPr>
        <w:t>،</w:t>
      </w:r>
      <w:r w:rsidR="00777DCB" w:rsidRPr="00A52585">
        <w:rPr>
          <w:rFonts w:hint="cs"/>
          <w:rtl/>
        </w:rPr>
        <w:t xml:space="preserve"> ومن اعتقد أن أحدا يستطيع الشفاعة عند الله على سبيل الاستقلال أو الحق الجبري على الله</w:t>
      </w:r>
      <w:r w:rsidR="00DB731D" w:rsidRPr="00A52585">
        <w:rPr>
          <w:rFonts w:hint="cs"/>
          <w:rtl/>
        </w:rPr>
        <w:t>،</w:t>
      </w:r>
      <w:r w:rsidR="00777DCB" w:rsidRPr="00A52585">
        <w:rPr>
          <w:rFonts w:hint="cs"/>
          <w:rtl/>
        </w:rPr>
        <w:t xml:space="preserve"> وأنّ المشركين كانوا على الشرك في أكثر مفردات الربوبية</w:t>
      </w:r>
      <w:r w:rsidR="00DB731D" w:rsidRPr="00A52585">
        <w:rPr>
          <w:rFonts w:hint="cs"/>
          <w:rtl/>
        </w:rPr>
        <w:t>،</w:t>
      </w:r>
      <w:r w:rsidR="00777DCB" w:rsidRPr="00A52585">
        <w:rPr>
          <w:rFonts w:hint="cs"/>
          <w:rtl/>
        </w:rPr>
        <w:t xml:space="preserve"> وأنّ توحيد الربوبية مصطلح عظيم لا يكون عليه إلا الموحدون الذين تبرؤا من كل شرك في الربوبية وتمثلوا قول الله تعالى </w:t>
      </w:r>
      <w:r w:rsidRPr="00A52585">
        <w:rPr>
          <w:rFonts w:hint="cs"/>
          <w:rtl/>
        </w:rPr>
        <w:t>{</w:t>
      </w:r>
      <w:r w:rsidR="00777DCB" w:rsidRPr="00A52585">
        <w:rPr>
          <w:rFonts w:hint="cs"/>
          <w:rtl/>
        </w:rPr>
        <w:t>أفغير الله ابتغي ربا وهو رب كل شيء</w:t>
      </w:r>
      <w:r w:rsidRPr="00A52585">
        <w:rPr>
          <w:rFonts w:hint="cs"/>
          <w:rtl/>
        </w:rPr>
        <w:t>}</w:t>
      </w:r>
      <w:r w:rsidR="00DB731D" w:rsidRPr="00A52585">
        <w:rPr>
          <w:rFonts w:eastAsiaTheme="minorEastAsia" w:hint="cs"/>
          <w:rtl/>
        </w:rPr>
        <w:t>،</w:t>
      </w:r>
      <w:r w:rsidR="00777DCB" w:rsidRPr="00A52585">
        <w:rPr>
          <w:rFonts w:eastAsiaTheme="minorEastAsia" w:hint="cs"/>
          <w:rtl/>
        </w:rPr>
        <w:t xml:space="preserve"> ومن أمثلة الشرك الاكبر</w:t>
      </w:r>
      <w:r w:rsidRPr="00A52585">
        <w:rPr>
          <w:rFonts w:eastAsiaTheme="minorEastAsia" w:hint="cs"/>
          <w:rtl/>
        </w:rPr>
        <w:t>:</w:t>
      </w:r>
      <w:r w:rsidR="00777DCB" w:rsidRPr="00A52585">
        <w:rPr>
          <w:rFonts w:eastAsiaTheme="minorEastAsia" w:hint="cs"/>
          <w:rtl/>
        </w:rPr>
        <w:t xml:space="preserve"> </w:t>
      </w:r>
      <w:r w:rsidR="00777DCB" w:rsidRPr="00A52585">
        <w:rPr>
          <w:rFonts w:hint="cs"/>
          <w:rtl/>
        </w:rPr>
        <w:t>الشرك في ألوهية الله تعالى</w:t>
      </w:r>
      <w:r w:rsidR="00DB731D" w:rsidRPr="00A52585">
        <w:rPr>
          <w:rFonts w:hint="cs"/>
          <w:rtl/>
        </w:rPr>
        <w:t>،</w:t>
      </w:r>
      <w:r w:rsidR="00777DCB" w:rsidRPr="00A52585">
        <w:rPr>
          <w:rFonts w:hint="cs"/>
          <w:rtl/>
        </w:rPr>
        <w:t xml:space="preserve"> واستحقاقه وحده للعبودية يتناول كل ما يناقض توحيد الألوهية</w:t>
      </w:r>
      <w:r w:rsidR="00DB731D" w:rsidRPr="00A52585">
        <w:rPr>
          <w:rFonts w:hint="cs"/>
          <w:rtl/>
        </w:rPr>
        <w:t>،</w:t>
      </w:r>
      <w:r w:rsidR="00777DCB" w:rsidRPr="00A52585">
        <w:rPr>
          <w:rFonts w:hint="cs"/>
          <w:rtl/>
        </w:rPr>
        <w:t xml:space="preserve"> و توحيد الألوهية</w:t>
      </w:r>
      <w:r w:rsidRPr="00A52585">
        <w:rPr>
          <w:rFonts w:hint="cs"/>
          <w:rtl/>
        </w:rPr>
        <w:t>:</w:t>
      </w:r>
      <w:r w:rsidR="00777DCB" w:rsidRPr="00A52585">
        <w:rPr>
          <w:rFonts w:hint="cs"/>
          <w:rtl/>
        </w:rPr>
        <w:t xml:space="preserve"> معناه اعتقاد استحقاق الله تعالى </w:t>
      </w:r>
      <w:r w:rsidR="00777DCB" w:rsidRPr="00A52585">
        <w:rPr>
          <w:rFonts w:hint="cs"/>
          <w:rtl/>
        </w:rPr>
        <w:lastRenderedPageBreak/>
        <w:t>للعبادة وحده لأنّه هو الرب الإله الحق</w:t>
      </w:r>
      <w:r w:rsidR="00DB731D" w:rsidRPr="00A52585">
        <w:rPr>
          <w:rFonts w:hint="cs"/>
          <w:rtl/>
        </w:rPr>
        <w:t>،</w:t>
      </w:r>
      <w:r w:rsidR="00777DCB" w:rsidRPr="00A52585">
        <w:rPr>
          <w:rFonts w:hint="cs"/>
          <w:rtl/>
        </w:rPr>
        <w:t xml:space="preserve"> فلا تصرف العبادات إلا إليه</w:t>
      </w:r>
      <w:r w:rsidR="00DB731D" w:rsidRPr="00A52585">
        <w:rPr>
          <w:rFonts w:hint="cs"/>
          <w:rtl/>
        </w:rPr>
        <w:t>،</w:t>
      </w:r>
      <w:r w:rsidR="00777DCB" w:rsidRPr="00A52585">
        <w:rPr>
          <w:rFonts w:hint="cs"/>
          <w:rtl/>
        </w:rPr>
        <w:t xml:space="preserve"> </w:t>
      </w:r>
      <w:r w:rsidR="00777DCB" w:rsidRPr="00A52585">
        <w:rPr>
          <w:rFonts w:hint="cs"/>
          <w:rtl/>
          <w:lang w:bidi="ar-KW"/>
        </w:rPr>
        <w:t>وعمدة هذا التوحيد قوله تعالى</w:t>
      </w:r>
      <w:r w:rsidRPr="00A52585">
        <w:rPr>
          <w:rFonts w:hint="cs"/>
          <w:rtl/>
          <w:lang w:bidi="ar-KW"/>
        </w:rPr>
        <w:t>:</w:t>
      </w:r>
      <w:r w:rsidR="00777DCB" w:rsidRPr="00A52585">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Pr="00A52585">
        <w:rPr>
          <w:rFonts w:hint="cs"/>
          <w:rtl/>
          <w:lang w:bidi="ar-KW"/>
        </w:rPr>
        <w:t>[</w:t>
      </w:r>
      <w:r w:rsidR="00777DCB" w:rsidRPr="00A52585">
        <w:rPr>
          <w:rFonts w:hint="cs"/>
          <w:rtl/>
          <w:lang w:bidi="ar-KW"/>
        </w:rPr>
        <w:t>آل عمران</w:t>
      </w:r>
      <w:r w:rsidRPr="00A52585">
        <w:rPr>
          <w:rFonts w:hint="cs"/>
          <w:rtl/>
          <w:lang w:bidi="ar-KW"/>
        </w:rPr>
        <w:t>:</w:t>
      </w:r>
      <w:r w:rsidR="00777DCB" w:rsidRPr="00A52585">
        <w:rPr>
          <w:rFonts w:hint="cs"/>
          <w:rtl/>
          <w:lang w:bidi="ar-KW"/>
        </w:rPr>
        <w:t xml:space="preserve"> 64</w:t>
      </w:r>
      <w:r w:rsidRPr="00A52585">
        <w:rPr>
          <w:rFonts w:hint="cs"/>
          <w:rtl/>
          <w:lang w:bidi="ar-KW"/>
        </w:rPr>
        <w:t>]</w:t>
      </w:r>
      <w:r w:rsidR="00DB731D" w:rsidRPr="00A52585">
        <w:rPr>
          <w:rFonts w:hint="cs"/>
          <w:rtl/>
          <w:lang w:bidi="ar-KW"/>
        </w:rPr>
        <w:t>،</w:t>
      </w:r>
      <w:r w:rsidR="00777DCB" w:rsidRPr="00A52585">
        <w:rPr>
          <w:rFonts w:hint="cs"/>
          <w:rtl/>
          <w:lang w:bidi="ar-KW"/>
        </w:rPr>
        <w:t xml:space="preserve"> و</w:t>
      </w:r>
      <w:r w:rsidR="00777DCB" w:rsidRPr="00A52585">
        <w:rPr>
          <w:rFonts w:hint="cs"/>
          <w:rtl/>
        </w:rPr>
        <w:t xml:space="preserve"> قوله تعالى </w:t>
      </w:r>
      <w:r w:rsidRPr="00A52585">
        <w:rPr>
          <w:rFonts w:hint="cs"/>
          <w:rtl/>
        </w:rPr>
        <w:t>{</w:t>
      </w:r>
      <w:r w:rsidR="00777DCB" w:rsidRPr="00A52585">
        <w:rPr>
          <w:rFonts w:hint="cs"/>
          <w:rtl/>
        </w:rPr>
        <w:t>وَمَا أَرْسَلْنَا مِنْ قَبْلِكَ مِنْ رَسُولٍ إِلَّا نُوحِي إِلَيْهِ أَنَّهُ لَا إِلَهَ إِلَّا أَنَا فَاعْبُدُونِ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الْأَنْبياء</w:t>
      </w:r>
      <w:r w:rsidRPr="00A52585">
        <w:rPr>
          <w:rFonts w:hint="cs"/>
          <w:rtl/>
        </w:rPr>
        <w:t>:</w:t>
      </w:r>
      <w:r w:rsidR="00777DCB" w:rsidRPr="00A52585">
        <w:rPr>
          <w:rFonts w:hint="cs"/>
          <w:rtl/>
        </w:rPr>
        <w:t xml:space="preserve"> 25</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وَلَقَدْ بَعَثْنَا فِي كُلِّ أُمَّةٍ رَسُولًا أَنِ اعْبُدُوا اللَّهَ وَاجْتَنِبُوا الطَّاغُوتَ</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النحل</w:t>
      </w:r>
      <w:r w:rsidRPr="00A52585">
        <w:rPr>
          <w:rFonts w:hint="cs"/>
          <w:rtl/>
        </w:rPr>
        <w:t>:</w:t>
      </w:r>
      <w:r w:rsidR="00777DCB" w:rsidRPr="00A52585">
        <w:rPr>
          <w:rFonts w:hint="cs"/>
          <w:rtl/>
        </w:rPr>
        <w:t xml:space="preserve"> 36</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لَقَدْ أَرْسَلْنَا نُوحًا إِلَى قَوْمِهِ فَقَالَ يَا قَوْمِ اعْبُدُوا اللَّهَ مَا لَكُمْ مِنْ إِلَهٍ غَيْرُهُ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الْأَعراف</w:t>
      </w:r>
      <w:r w:rsidRPr="00A52585">
        <w:rPr>
          <w:rFonts w:hint="cs"/>
          <w:rtl/>
        </w:rPr>
        <w:t>:</w:t>
      </w:r>
      <w:r w:rsidR="00777DCB" w:rsidRPr="00A52585">
        <w:rPr>
          <w:rFonts w:hint="cs"/>
          <w:rtl/>
        </w:rPr>
        <w:t xml:space="preserve"> 59</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 xml:space="preserve">وَمَا خَلَقْتُ الْجِنَّ وَالْإِنْسَ إِلَّا لِيَعْبُدُونِ (56) </w:t>
      </w:r>
      <w:r w:rsidRPr="00A52585">
        <w:rPr>
          <w:rFonts w:hint="cs"/>
          <w:rtl/>
        </w:rPr>
        <w:t>[</w:t>
      </w:r>
      <w:r w:rsidR="00777DCB" w:rsidRPr="00A52585">
        <w:rPr>
          <w:rFonts w:hint="cs"/>
          <w:rtl/>
        </w:rPr>
        <w:t>الذاريات</w:t>
      </w:r>
      <w:r w:rsidRPr="00A52585">
        <w:rPr>
          <w:rFonts w:hint="cs"/>
          <w:rtl/>
        </w:rPr>
        <w:t>:</w:t>
      </w:r>
      <w:r w:rsidR="00777DCB" w:rsidRPr="00A52585">
        <w:rPr>
          <w:rFonts w:hint="cs"/>
          <w:rtl/>
        </w:rPr>
        <w:t xml:space="preserve"> 56</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وَمَا أُمِرُوا إِلَّا لِيَعْبُدُوا إِلَهًا وَاحِدًا لَا إِلَهَ إِلَّا هُوَ سُبْحَانَهُ عَمَّا يُشْرِكُونَ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التوبة</w:t>
      </w:r>
      <w:r w:rsidRPr="00A52585">
        <w:rPr>
          <w:rFonts w:hint="cs"/>
          <w:rtl/>
        </w:rPr>
        <w:t>:</w:t>
      </w:r>
      <w:r w:rsidR="00777DCB" w:rsidRPr="00A52585">
        <w:rPr>
          <w:rFonts w:hint="cs"/>
          <w:rtl/>
        </w:rPr>
        <w:t xml:space="preserve"> 31</w:t>
      </w:r>
      <w:r w:rsidRPr="00A52585">
        <w:rPr>
          <w:rFonts w:hint="cs"/>
          <w:rtl/>
        </w:rPr>
        <w:t>]</w:t>
      </w:r>
      <w:r w:rsidR="00DB731D" w:rsidRPr="00A52585">
        <w:rPr>
          <w:rFonts w:hint="cs"/>
          <w:rtl/>
        </w:rPr>
        <w:t>،</w:t>
      </w:r>
      <w:r w:rsidR="00777DCB" w:rsidRPr="00A52585">
        <w:rPr>
          <w:rFonts w:hint="cs"/>
          <w:rtl/>
        </w:rPr>
        <w:t xml:space="preserve"> والشرك الأكبر المناقض لتوحيد الالوهية</w:t>
      </w:r>
      <w:r w:rsidRPr="00A52585">
        <w:rPr>
          <w:rFonts w:hint="cs"/>
          <w:rtl/>
        </w:rPr>
        <w:t>:</w:t>
      </w:r>
      <w:r w:rsidR="00777DCB" w:rsidRPr="00A52585">
        <w:rPr>
          <w:rFonts w:hint="cs"/>
          <w:rtl/>
        </w:rPr>
        <w:t xml:space="preserve"> يتمثل في صرف العبادة إلى غير الله مع اعتقاد وجود نوع من شراكته مع الله في شيء الربوبية أو الألوهية</w:t>
      </w:r>
      <w:r w:rsidR="00DB731D" w:rsidRPr="00A52585">
        <w:rPr>
          <w:rFonts w:hint="cs"/>
          <w:rtl/>
        </w:rPr>
        <w:t>،</w:t>
      </w:r>
      <w:r w:rsidR="00777DCB" w:rsidRPr="00A52585">
        <w:rPr>
          <w:rFonts w:hint="cs"/>
          <w:rtl/>
        </w:rPr>
        <w:t xml:space="preserve"> كأن يعتقد فيه نوع من التدبير والتصريف باستقلال عن الله</w:t>
      </w:r>
      <w:r w:rsidR="00DB731D" w:rsidRPr="00A52585">
        <w:rPr>
          <w:rFonts w:hint="cs"/>
          <w:rtl/>
        </w:rPr>
        <w:t>،</w:t>
      </w:r>
      <w:r w:rsidR="00777DCB" w:rsidRPr="00A52585">
        <w:rPr>
          <w:rFonts w:hint="cs"/>
          <w:rtl/>
        </w:rPr>
        <w:t xml:space="preserve"> أو شفاعة ملزمة على الله</w:t>
      </w:r>
      <w:r w:rsidR="00DB731D" w:rsidRPr="00A52585">
        <w:rPr>
          <w:rFonts w:hint="cs"/>
          <w:rtl/>
        </w:rPr>
        <w:t>،</w:t>
      </w:r>
      <w:r w:rsidR="00777DCB" w:rsidRPr="00A52585">
        <w:rPr>
          <w:rFonts w:hint="cs"/>
          <w:rtl/>
        </w:rPr>
        <w:t xml:space="preserve"> أو استحقاق أن يعبد من دون الله</w:t>
      </w:r>
      <w:r w:rsidR="00DB731D" w:rsidRPr="00A52585">
        <w:rPr>
          <w:rFonts w:hint="cs"/>
          <w:rtl/>
        </w:rPr>
        <w:t>،</w:t>
      </w:r>
      <w:r w:rsidR="00777DCB" w:rsidRPr="00A52585">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DB731D" w:rsidRPr="00A52585">
        <w:rPr>
          <w:rFonts w:hint="cs"/>
          <w:rtl/>
        </w:rPr>
        <w:t>،</w:t>
      </w:r>
      <w:r w:rsidR="00777DCB" w:rsidRPr="00A52585">
        <w:rPr>
          <w:rFonts w:hint="cs"/>
          <w:rtl/>
        </w:rPr>
        <w:t xml:space="preserve"> وأتى بالشرك الأكبر الناقض لأصل التوحيد</w:t>
      </w:r>
      <w:r w:rsidR="00DB731D" w:rsidRPr="00A52585">
        <w:rPr>
          <w:rFonts w:hint="cs"/>
          <w:rtl/>
        </w:rPr>
        <w:t>،</w:t>
      </w:r>
      <w:r w:rsidR="00777DCB" w:rsidRPr="00A52585">
        <w:rPr>
          <w:rFonts w:hint="cs"/>
          <w:rtl/>
        </w:rPr>
        <w:t xml:space="preserve"> وهو الشرك الأكبر الذي لا يغفره الله لمن مات مصراً عليه</w:t>
      </w:r>
      <w:r w:rsidR="00DB731D" w:rsidRPr="00A52585">
        <w:rPr>
          <w:rFonts w:hint="cs"/>
          <w:rtl/>
        </w:rPr>
        <w:t>،</w:t>
      </w:r>
      <w:r w:rsidR="00777DCB" w:rsidRPr="00A52585">
        <w:rPr>
          <w:rFonts w:hint="cs"/>
          <w:rtl/>
        </w:rPr>
        <w:t xml:space="preserve"> ومن صرفها بغير اعتقاد الشراكة مع الله تعالى في أي من صفات الربوبية أو الألوهية</w:t>
      </w:r>
      <w:r w:rsidR="00DB731D" w:rsidRPr="00A52585">
        <w:rPr>
          <w:rFonts w:hint="cs"/>
          <w:rtl/>
        </w:rPr>
        <w:t>،</w:t>
      </w:r>
      <w:r w:rsidR="00777DCB" w:rsidRPr="00A52585">
        <w:rPr>
          <w:rFonts w:hint="cs"/>
          <w:rtl/>
        </w:rPr>
        <w:t xml:space="preserve"> فقد أتي بالشرك العملي الناقض للتوحيد الواجب</w:t>
      </w:r>
      <w:r w:rsidR="00DB731D" w:rsidRPr="00A52585">
        <w:rPr>
          <w:rFonts w:hint="cs"/>
          <w:rtl/>
        </w:rPr>
        <w:t>،</w:t>
      </w:r>
      <w:r w:rsidR="00777DCB" w:rsidRPr="00A52585">
        <w:rPr>
          <w:rFonts w:hint="cs"/>
          <w:rtl/>
        </w:rPr>
        <w:t xml:space="preserve"> ووجب عليه التوبة إلى الله وتصحيح التوحيد بإفراد الله تعالى بمفردات العبادة وصورها التي لا ينبغي أن تصرف إلا لله</w:t>
      </w:r>
      <w:r w:rsidR="00DB731D" w:rsidRPr="00A52585">
        <w:rPr>
          <w:rFonts w:hint="cs"/>
          <w:rtl/>
        </w:rPr>
        <w:t>،</w:t>
      </w:r>
      <w:r w:rsidR="00777DCB" w:rsidRPr="00A52585">
        <w:rPr>
          <w:rFonts w:hint="cs"/>
          <w:rtl/>
        </w:rPr>
        <w:t xml:space="preserve"> </w:t>
      </w:r>
    </w:p>
    <w:p w14:paraId="1A058AC8" w14:textId="77777777" w:rsidR="00777DCB" w:rsidRPr="00A52585" w:rsidRDefault="00777DCB" w:rsidP="0002035C">
      <w:pPr>
        <w:jc w:val="center"/>
        <w:rPr>
          <w:rtl/>
        </w:rPr>
      </w:pPr>
      <w:r w:rsidRPr="00A52585">
        <w:rPr>
          <w:rFonts w:hint="cs"/>
          <w:rtl/>
        </w:rPr>
        <w:t xml:space="preserve">**** </w:t>
      </w:r>
    </w:p>
    <w:p w14:paraId="61A9E49C" w14:textId="77777777" w:rsidR="00777DCB" w:rsidRPr="00A52585" w:rsidRDefault="00777DCB" w:rsidP="0002035C">
      <w:pPr>
        <w:jc w:val="center"/>
        <w:rPr>
          <w:rtl/>
        </w:rPr>
      </w:pPr>
    </w:p>
    <w:p w14:paraId="4DB4193A" w14:textId="77777777" w:rsidR="00777DCB" w:rsidRPr="00A52585" w:rsidRDefault="00777DCB">
      <w:pPr>
        <w:rPr>
          <w:rtl/>
        </w:rPr>
      </w:pPr>
    </w:p>
    <w:p w14:paraId="113896C5" w14:textId="77777777" w:rsidR="00777DCB" w:rsidRPr="00A52585" w:rsidRDefault="00777DCB">
      <w:pPr>
        <w:rPr>
          <w:rtl/>
        </w:rPr>
      </w:pPr>
    </w:p>
    <w:p w14:paraId="42FCCF18" w14:textId="77777777" w:rsidR="00777DCB" w:rsidRPr="00A52585" w:rsidRDefault="00777DCB">
      <w:pPr>
        <w:rPr>
          <w:rtl/>
        </w:rPr>
      </w:pPr>
    </w:p>
    <w:p w14:paraId="77A1A927" w14:textId="77777777" w:rsidR="00777DCB" w:rsidRPr="00A52585" w:rsidRDefault="00777DCB">
      <w:pPr>
        <w:rPr>
          <w:rtl/>
        </w:rPr>
      </w:pPr>
    </w:p>
    <w:p w14:paraId="0FE32A6B" w14:textId="77777777" w:rsidR="00777DCB" w:rsidRPr="00A52585" w:rsidRDefault="00777DCB">
      <w:pPr>
        <w:rPr>
          <w:rtl/>
        </w:rPr>
      </w:pPr>
    </w:p>
    <w:p w14:paraId="438E6A4E" w14:textId="3CCF288A" w:rsidR="00777DCB" w:rsidRPr="00A52585" w:rsidRDefault="00777DCB" w:rsidP="00185A91">
      <w:pPr>
        <w:pStyle w:val="1"/>
        <w:rPr>
          <w:u w:val="none"/>
          <w:rtl/>
          <w:lang w:bidi="ar-KW"/>
        </w:rPr>
      </w:pPr>
      <w:r w:rsidRPr="00A52585">
        <w:rPr>
          <w:u w:val="none"/>
          <w:rtl/>
          <w:lang w:bidi="ar-KW"/>
        </w:rPr>
        <w:lastRenderedPageBreak/>
        <w:t>الباب الأول</w:t>
      </w:r>
      <w:r w:rsidR="00185A91" w:rsidRPr="00A52585">
        <w:rPr>
          <w:rFonts w:hint="cs"/>
          <w:u w:val="none"/>
          <w:rtl/>
          <w:lang w:bidi="ar-KW"/>
        </w:rPr>
        <w:t xml:space="preserve"> </w:t>
      </w:r>
      <w:r w:rsidRPr="00A52585">
        <w:rPr>
          <w:u w:val="none"/>
          <w:rtl/>
          <w:lang w:bidi="ar-KW"/>
        </w:rPr>
        <w:t>أدلة الشرع وأقوال علماء أهل</w:t>
      </w:r>
      <w:r w:rsidR="00185A91" w:rsidRPr="00A52585">
        <w:rPr>
          <w:rFonts w:hint="cs"/>
          <w:u w:val="none"/>
          <w:rtl/>
          <w:lang w:bidi="ar-KW"/>
        </w:rPr>
        <w:t xml:space="preserve"> </w:t>
      </w:r>
      <w:r w:rsidRPr="00A52585">
        <w:rPr>
          <w:u w:val="none"/>
          <w:rtl/>
          <w:lang w:bidi="ar-KW"/>
        </w:rPr>
        <w:t>السنة</w:t>
      </w:r>
      <w:r w:rsidR="00185A91" w:rsidRPr="00A52585">
        <w:rPr>
          <w:rFonts w:hint="cs"/>
          <w:u w:val="none"/>
          <w:rtl/>
          <w:lang w:bidi="ar-KW"/>
        </w:rPr>
        <w:t xml:space="preserve"> </w:t>
      </w:r>
      <w:r w:rsidRPr="00A52585">
        <w:rPr>
          <w:u w:val="none"/>
          <w:rtl/>
          <w:lang w:bidi="ar-KW"/>
        </w:rPr>
        <w:t>على تنزيه الله تعالى عن مشابهة المخلوقات</w:t>
      </w:r>
    </w:p>
    <w:p w14:paraId="5E86D542" w14:textId="77777777" w:rsidR="00777DCB" w:rsidRPr="00A52585" w:rsidRDefault="00777DCB">
      <w:pPr>
        <w:rPr>
          <w:rtl/>
        </w:rPr>
      </w:pPr>
    </w:p>
    <w:p w14:paraId="75B021F6" w14:textId="7E0F1E83" w:rsidR="00777DCB" w:rsidRPr="00A52585" w:rsidRDefault="00777DCB" w:rsidP="0002035C">
      <w:pPr>
        <w:rPr>
          <w:b/>
          <w:lang w:bidi="ar-KW"/>
        </w:rPr>
      </w:pPr>
      <w:r w:rsidRPr="00A52585">
        <w:rPr>
          <w:rFonts w:hint="cs"/>
          <w:rtl/>
          <w:lang w:bidi="ar-KW"/>
        </w:rPr>
        <w:t>أولاً</w:t>
      </w:r>
      <w:r w:rsidR="0002035C" w:rsidRPr="00A52585">
        <w:rPr>
          <w:rFonts w:hint="cs"/>
          <w:rtl/>
          <w:lang w:bidi="ar-KW"/>
        </w:rPr>
        <w:t>:</w:t>
      </w:r>
      <w:r w:rsidRPr="00A52585">
        <w:rPr>
          <w:rFonts w:hint="cs"/>
          <w:rtl/>
          <w:lang w:bidi="ar-KW"/>
        </w:rPr>
        <w:t xml:space="preserve"> أدلة الشرع على تنزيه ذات الله تعالى عن مشابهة ذوات خلقه بأي وجه من الوجوه</w:t>
      </w:r>
      <w:r w:rsidR="0002035C" w:rsidRPr="00A52585">
        <w:rPr>
          <w:rFonts w:hint="cs"/>
          <w:rtl/>
          <w:lang w:bidi="ar-KW"/>
        </w:rPr>
        <w:t>:</w:t>
      </w:r>
      <w:r w:rsidRPr="00A52585">
        <w:rPr>
          <w:rFonts w:hint="cs"/>
          <w:rtl/>
          <w:lang w:bidi="ar-KW"/>
        </w:rPr>
        <w:t xml:space="preserve"> </w:t>
      </w:r>
    </w:p>
    <w:p w14:paraId="0113C42C" w14:textId="522151CE" w:rsidR="00777DCB" w:rsidRPr="00A52585" w:rsidRDefault="00777DCB" w:rsidP="0002035C">
      <w:pPr>
        <w:rPr>
          <w:rtl/>
          <w:lang w:bidi="ar-KW"/>
        </w:rPr>
      </w:pPr>
      <w:r w:rsidRPr="00A52585">
        <w:rPr>
          <w:rFonts w:hint="cs"/>
          <w:rtl/>
        </w:rPr>
        <w:t>ثانياً</w:t>
      </w:r>
      <w:r w:rsidR="0002035C" w:rsidRPr="00A52585">
        <w:rPr>
          <w:rFonts w:hint="cs"/>
          <w:rtl/>
        </w:rPr>
        <w:t>:</w:t>
      </w:r>
      <w:r w:rsidRPr="00A52585">
        <w:rPr>
          <w:rFonts w:hint="cs"/>
          <w:rtl/>
        </w:rPr>
        <w:t xml:space="preserve"> </w:t>
      </w:r>
      <w:r w:rsidRPr="00A52585">
        <w:rPr>
          <w:rtl/>
          <w:lang w:bidi="ar-KW"/>
        </w:rPr>
        <w:t xml:space="preserve">أقوال علماء أهل السنة </w:t>
      </w:r>
      <w:r w:rsidRPr="00A52585">
        <w:rPr>
          <w:rFonts w:hint="cs"/>
          <w:rtl/>
          <w:lang w:bidi="ar-KW"/>
        </w:rPr>
        <w:t>في</w:t>
      </w:r>
      <w:r w:rsidRPr="00A52585">
        <w:rPr>
          <w:rtl/>
          <w:lang w:bidi="ar-KW"/>
        </w:rPr>
        <w:t xml:space="preserve"> تنزيه الله تعالى عن مشابهة المخلوقات</w:t>
      </w:r>
    </w:p>
    <w:p w14:paraId="6E596B60" w14:textId="77777777" w:rsidR="00777DCB" w:rsidRPr="00A52585" w:rsidRDefault="00777DCB">
      <w:pPr>
        <w:rPr>
          <w:rtl/>
          <w:lang w:bidi="ar-KW"/>
        </w:rPr>
      </w:pPr>
    </w:p>
    <w:p w14:paraId="77794632" w14:textId="77777777" w:rsidR="00777DCB" w:rsidRPr="00A52585" w:rsidRDefault="00777DCB">
      <w:pPr>
        <w:rPr>
          <w:rtl/>
          <w:lang w:bidi="ar-KW"/>
        </w:rPr>
      </w:pPr>
    </w:p>
    <w:p w14:paraId="0286EF5E" w14:textId="77777777" w:rsidR="00777DCB" w:rsidRPr="00A52585" w:rsidRDefault="00777DCB">
      <w:pPr>
        <w:rPr>
          <w:rtl/>
          <w:lang w:bidi="ar-KW"/>
        </w:rPr>
      </w:pPr>
    </w:p>
    <w:p w14:paraId="0D999EBA" w14:textId="77777777" w:rsidR="00777DCB" w:rsidRPr="00A52585" w:rsidRDefault="00777DCB">
      <w:pPr>
        <w:rPr>
          <w:rtl/>
        </w:rPr>
      </w:pPr>
    </w:p>
    <w:p w14:paraId="596AF42D" w14:textId="77777777" w:rsidR="00777DCB" w:rsidRPr="00A52585" w:rsidRDefault="00777DCB">
      <w:pPr>
        <w:rPr>
          <w:rtl/>
        </w:rPr>
      </w:pPr>
    </w:p>
    <w:p w14:paraId="64CA1829" w14:textId="41D7721A" w:rsidR="00777DCB" w:rsidRPr="00A52585" w:rsidRDefault="00777DCB" w:rsidP="00185A91">
      <w:pPr>
        <w:pStyle w:val="2"/>
        <w:bidi/>
        <w:jc w:val="center"/>
        <w:rPr>
          <w:u w:val="none"/>
        </w:rPr>
      </w:pPr>
      <w:r w:rsidRPr="00A52585">
        <w:rPr>
          <w:rFonts w:hint="cs"/>
          <w:u w:val="none"/>
          <w:rtl/>
        </w:rPr>
        <w:t>أولاً</w:t>
      </w:r>
      <w:r w:rsidR="00185A91" w:rsidRPr="00A52585">
        <w:rPr>
          <w:rFonts w:hint="cs"/>
          <w:u w:val="none"/>
          <w:rtl/>
        </w:rPr>
        <w:t xml:space="preserve"> </w:t>
      </w:r>
      <w:r w:rsidRPr="00A52585">
        <w:rPr>
          <w:rFonts w:hint="cs"/>
          <w:u w:val="none"/>
          <w:rtl/>
        </w:rPr>
        <w:t>أدلة الشرع على تنزيه ذات الله تعالى عن مشابهة ذوات خلقه بأي وجه من الوجوه</w:t>
      </w:r>
      <w:r w:rsidR="0002035C" w:rsidRPr="00A52585">
        <w:rPr>
          <w:rFonts w:hint="cs"/>
          <w:u w:val="none"/>
          <w:rtl/>
        </w:rPr>
        <w:t>:</w:t>
      </w:r>
    </w:p>
    <w:p w14:paraId="05A3085F" w14:textId="77777777" w:rsidR="00777DCB" w:rsidRPr="00A52585" w:rsidRDefault="00777DCB" w:rsidP="0002035C">
      <w:pPr>
        <w:rPr>
          <w:bCs/>
          <w:rtl/>
          <w:lang w:bidi="ar-KW"/>
        </w:rPr>
      </w:pPr>
    </w:p>
    <w:p w14:paraId="5A84DCDB" w14:textId="1ADC1693" w:rsidR="00777DCB" w:rsidRPr="00A52585" w:rsidRDefault="0002035C" w:rsidP="0002035C">
      <w:pPr>
        <w:rPr>
          <w:b/>
          <w:rtl/>
        </w:rPr>
      </w:pPr>
      <w:r w:rsidRPr="00A52585">
        <w:rPr>
          <w:rFonts w:hint="cs"/>
          <w:bCs/>
          <w:rtl/>
          <w:lang w:bidi="ar-KW"/>
        </w:rPr>
        <w:t>[</w:t>
      </w:r>
      <w:r w:rsidR="00777DCB" w:rsidRPr="00A52585">
        <w:rPr>
          <w:rFonts w:hint="cs"/>
          <w:bCs/>
          <w:rtl/>
          <w:lang w:bidi="ar-KW"/>
        </w:rPr>
        <w:t>1</w:t>
      </w:r>
      <w:r w:rsidRPr="00A52585">
        <w:rPr>
          <w:rFonts w:hint="cs"/>
          <w:bCs/>
          <w:rtl/>
          <w:lang w:bidi="ar-KW"/>
        </w:rPr>
        <w:t>]:</w:t>
      </w:r>
      <w:r w:rsidR="00777DCB" w:rsidRPr="00A52585">
        <w:rPr>
          <w:rFonts w:hint="cs"/>
          <w:bCs/>
          <w:rtl/>
          <w:lang w:bidi="ar-KW"/>
        </w:rPr>
        <w:t xml:space="preserve"> الله عز وجل لا يشبهه شيء من المخلوقات</w:t>
      </w:r>
      <w:r w:rsidR="00DB731D" w:rsidRPr="00A52585">
        <w:rPr>
          <w:rFonts w:hint="cs"/>
          <w:bCs/>
          <w:rtl/>
          <w:lang w:bidi="ar-KW"/>
        </w:rPr>
        <w:t>،</w:t>
      </w:r>
      <w:r w:rsidR="00777DCB" w:rsidRPr="00A52585">
        <w:rPr>
          <w:rFonts w:hint="cs"/>
          <w:bCs/>
          <w:rtl/>
          <w:lang w:bidi="ar-KW"/>
        </w:rPr>
        <w:t xml:space="preserve"> ولا هو يشبه شيئاً منها</w:t>
      </w:r>
      <w:r w:rsidR="00DB731D" w:rsidRPr="00A52585">
        <w:rPr>
          <w:rFonts w:hint="cs"/>
          <w:bCs/>
          <w:rtl/>
          <w:lang w:bidi="ar-KW"/>
        </w:rPr>
        <w:t>،</w:t>
      </w:r>
      <w:r w:rsidR="00777DCB" w:rsidRPr="00A52585">
        <w:rPr>
          <w:rFonts w:hint="cs"/>
          <w:rtl/>
        </w:rPr>
        <w:t xml:space="preserve"> لأنه لو أشبهه شيء لكان مثله قديماً</w:t>
      </w:r>
      <w:r w:rsidR="00DB731D" w:rsidRPr="00A52585">
        <w:rPr>
          <w:rFonts w:hint="cs"/>
          <w:rtl/>
        </w:rPr>
        <w:t>،</w:t>
      </w:r>
      <w:r w:rsidR="00777DCB" w:rsidRPr="00A52585">
        <w:rPr>
          <w:rFonts w:hint="cs"/>
          <w:rtl/>
        </w:rPr>
        <w:t xml:space="preserve"> ولو أشبه شيئاً لكان مثله مخلوقاً</w:t>
      </w:r>
      <w:r w:rsidR="00DB731D" w:rsidRPr="00A52585">
        <w:rPr>
          <w:rFonts w:hint="cs"/>
          <w:rtl/>
        </w:rPr>
        <w:t>،</w:t>
      </w:r>
      <w:r w:rsidR="00777DCB" w:rsidRPr="00A52585">
        <w:rPr>
          <w:rFonts w:hint="cs"/>
          <w:rtl/>
        </w:rPr>
        <w:t xml:space="preserve"> وكلا الحالين على الله محال</w:t>
      </w:r>
      <w:r w:rsidR="00DB731D" w:rsidRPr="00A52585">
        <w:rPr>
          <w:rFonts w:hint="cs"/>
          <w:rtl/>
        </w:rPr>
        <w:t>،</w:t>
      </w:r>
      <w:r w:rsidR="00777DCB" w:rsidRPr="00A52585">
        <w:rPr>
          <w:rFonts w:hint="cs"/>
          <w:rtl/>
        </w:rPr>
        <w:t xml:space="preserve"> كما أن ذات المخلوق </w:t>
      </w:r>
      <w:r w:rsidR="00777DCB" w:rsidRPr="00A52585">
        <w:rPr>
          <w:rFonts w:hint="cs"/>
          <w:rtl/>
        </w:rPr>
        <w:lastRenderedPageBreak/>
        <w:t>تتصف بالنقص والعجز لأنها مخلوقة من عدم</w:t>
      </w:r>
      <w:r w:rsidR="00DB731D" w:rsidRPr="00A52585">
        <w:rPr>
          <w:rFonts w:hint="cs"/>
          <w:rtl/>
        </w:rPr>
        <w:t>،</w:t>
      </w:r>
      <w:r w:rsidR="00777DCB" w:rsidRPr="00A52585">
        <w:rPr>
          <w:rFonts w:hint="cs"/>
          <w:rtl/>
        </w:rPr>
        <w:t xml:space="preserve"> محدثة لم تكن ثم كانت</w:t>
      </w:r>
      <w:r w:rsidR="00DB731D" w:rsidRPr="00A52585">
        <w:rPr>
          <w:rFonts w:hint="cs"/>
          <w:rtl/>
        </w:rPr>
        <w:t>،</w:t>
      </w:r>
      <w:r w:rsidR="00777DCB" w:rsidRPr="00A52585">
        <w:rPr>
          <w:rFonts w:hint="cs"/>
          <w:rtl/>
        </w:rPr>
        <w:t xml:space="preserve"> وهي إلى الفناء سائرة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مَنْ عَلَيْهَا فَانٍ * وَيَبْقَى وَجْهُ رَبِّكَ ذُو الْجَلَالِ وَالْإِكْرَامِ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26</w:t>
      </w:r>
      <w:r w:rsidR="00DB731D"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فلا يصح مشابهة الفاني للباقي</w:t>
      </w:r>
      <w:r w:rsidR="00DB731D" w:rsidRPr="00A52585">
        <w:rPr>
          <w:rFonts w:hint="cs"/>
          <w:rtl/>
        </w:rPr>
        <w:t>،</w:t>
      </w:r>
      <w:r w:rsidR="00777DCB" w:rsidRPr="00A52585">
        <w:rPr>
          <w:rFonts w:hint="cs"/>
          <w:rtl/>
        </w:rPr>
        <w:t xml:space="preserve"> ولا المخلوق للخالق الباري</w:t>
      </w:r>
      <w:r w:rsidR="00DB731D" w:rsidRPr="00A52585">
        <w:rPr>
          <w:rFonts w:hint="cs"/>
          <w:rtl/>
        </w:rPr>
        <w:t>،</w:t>
      </w:r>
      <w:r w:rsidR="00777DCB" w:rsidRPr="00A52585">
        <w:rPr>
          <w:rFonts w:hint="cs"/>
          <w:rtl/>
        </w:rPr>
        <w:t xml:space="preserve"> </w:t>
      </w:r>
      <w:r w:rsidR="00777DCB" w:rsidRPr="00A52585">
        <w:rPr>
          <w:rFonts w:hint="cs"/>
          <w:rtl/>
          <w:lang w:bidi="ar-KW"/>
        </w:rPr>
        <w:t>ومن الأدلة القرآنية على تنزيه الله تعالى عن المثيل والكفء والشبيه والسمي</w:t>
      </w:r>
      <w:r w:rsidRPr="00A52585">
        <w:rPr>
          <w:rFonts w:hint="cs"/>
          <w:rtl/>
          <w:lang w:bidi="ar-KW"/>
        </w:rPr>
        <w:t>:</w:t>
      </w:r>
      <w:r w:rsidR="00777DCB" w:rsidRPr="00A52585">
        <w:rPr>
          <w:rFonts w:hint="cs"/>
          <w:rtl/>
          <w:lang w:bidi="ar-KW"/>
        </w:rPr>
        <w:t xml:space="preserve"> قوله تعالى</w:t>
      </w:r>
      <w:r w:rsidRPr="00A52585">
        <w:rPr>
          <w:rFonts w:hint="cs"/>
          <w:rtl/>
          <w:lang w:bidi="ar-KW"/>
        </w:rPr>
        <w:t>:</w:t>
      </w:r>
      <w:r w:rsidR="00777DCB" w:rsidRPr="00A52585">
        <w:rPr>
          <w:rFonts w:hint="cs"/>
          <w:rtl/>
          <w:lang w:bidi="ar-KW"/>
        </w:rPr>
        <w:t xml:space="preserve"> </w:t>
      </w:r>
      <w:r w:rsidRPr="00A52585">
        <w:rPr>
          <w:rFonts w:hint="cs"/>
          <w:rtl/>
        </w:rPr>
        <w:t>{</w:t>
      </w:r>
      <w:r w:rsidR="00777DCB" w:rsidRPr="00A52585">
        <w:rPr>
          <w:rFonts w:hint="cs"/>
          <w:bCs/>
          <w:rtl/>
        </w:rPr>
        <w:t>ليس كمثلِه شيء</w:t>
      </w:r>
      <w:r w:rsidRPr="00A52585">
        <w:rPr>
          <w:rFonts w:hint="cs"/>
          <w:bCs/>
          <w:rtl/>
        </w:rPr>
        <w:t xml:space="preserve">} </w:t>
      </w:r>
      <w:r w:rsidR="00777DCB" w:rsidRPr="00A52585">
        <w:rPr>
          <w:rFonts w:hint="cs"/>
          <w:rtl/>
        </w:rPr>
        <w:t>[سورة الشورى</w:t>
      </w:r>
      <w:r w:rsidRPr="00A52585">
        <w:rPr>
          <w:rFonts w:hint="cs"/>
          <w:rtl/>
        </w:rPr>
        <w:t>:</w:t>
      </w:r>
      <w:r w:rsidR="00777DCB" w:rsidRPr="00A52585">
        <w:rPr>
          <w:rFonts w:hint="cs"/>
          <w:rtl/>
        </w:rPr>
        <w:t xml:space="preserve"> 11]، في هذه الآية نفي المشابهة والمماثلة بين الله تعالى وخلقه ومعناه أن الله تعالى لا يشبه شيئًا من خلقه بأي وجه من الوجوه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وللهِ المثَلُ الأعلى</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 60] أي الوصف الذي لا يشبه وصف غيره، فلا يوصف ربنا عزَّ وجلَّ بصفات المخلوقين</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فلا تضربوا للهِ الأمثال</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00777DCB" w:rsidRPr="00A52585">
        <w:rPr>
          <w:rFonts w:hint="cs"/>
          <w:bCs/>
          <w:rtl/>
        </w:rPr>
        <w:t>هل تعلمُ لهُ سميًّا)</w:t>
      </w:r>
      <w:r w:rsidR="00777DCB" w:rsidRPr="00A52585">
        <w:rPr>
          <w:rFonts w:hint="cs"/>
          <w:rtl/>
        </w:rPr>
        <w:t xml:space="preserve"> [سورة مريم</w:t>
      </w:r>
      <w:r w:rsidRPr="00A52585">
        <w:rPr>
          <w:rFonts w:hint="cs"/>
          <w:rtl/>
        </w:rPr>
        <w:t>:</w:t>
      </w:r>
      <w:r w:rsidR="00777DCB" w:rsidRPr="00A52585">
        <w:rPr>
          <w:rFonts w:hint="cs"/>
          <w:rtl/>
        </w:rPr>
        <w:t xml:space="preserve"> 65] أي مِثلاً، فالله تعالى لا مِثْلَ له ولا شبيه ولا نظير، فذاتُه سبحانه لا يشبه الذواتِ ولا صفاتُه تشبه الصفاتِ</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وَلَمْ يَكُن لَّهُ كُفُوًا أَحَدٌ</w:t>
      </w:r>
      <w:r w:rsidRPr="00A52585">
        <w:rPr>
          <w:rFonts w:hint="cs"/>
          <w:bCs/>
          <w:rtl/>
        </w:rPr>
        <w:t>}</w:t>
      </w:r>
      <w:r w:rsidR="00777DCB" w:rsidRPr="00A52585">
        <w:rPr>
          <w:rFonts w:hint="cs"/>
          <w:bCs/>
          <w:rtl/>
        </w:rPr>
        <w:t xml:space="preserve"> </w:t>
      </w:r>
      <w:r w:rsidR="00777DCB" w:rsidRPr="00A52585">
        <w:rPr>
          <w:rFonts w:hint="cs"/>
          <w:rtl/>
        </w:rPr>
        <w:t>[سورة الإخلاص</w:t>
      </w:r>
      <w:r w:rsidRPr="00A52585">
        <w:rPr>
          <w:rFonts w:hint="cs"/>
          <w:rtl/>
        </w:rPr>
        <w:t>:</w:t>
      </w:r>
      <w:r w:rsidR="00777DCB" w:rsidRPr="00A52585">
        <w:rPr>
          <w:rFonts w:hint="cs"/>
          <w:rtl/>
        </w:rPr>
        <w:t xml:space="preserve"> 4] أي لا نظير له بوجه من الوجوه، ولا كفء له ولا شبيه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سُبْحَانَهُ وَتَعَالَى عَمَّا يَصِفُونَ</w:t>
      </w:r>
      <w:r w:rsidRPr="00A52585">
        <w:rPr>
          <w:rFonts w:hint="cs"/>
          <w:rtl/>
        </w:rPr>
        <w:t>}</w:t>
      </w:r>
      <w:r w:rsidR="00777DCB" w:rsidRPr="00A52585">
        <w:rPr>
          <w:rFonts w:hint="cs"/>
          <w:rtl/>
        </w:rPr>
        <w:t xml:space="preserve"> [سورة الأنعام</w:t>
      </w:r>
      <w:r w:rsidRPr="00A52585">
        <w:rPr>
          <w:rFonts w:hint="cs"/>
          <w:rtl/>
        </w:rPr>
        <w:t>:</w:t>
      </w:r>
      <w:r w:rsidR="00777DCB" w:rsidRPr="00A52585">
        <w:rPr>
          <w:rFonts w:hint="cs"/>
          <w:rtl/>
        </w:rPr>
        <w:t xml:space="preserve"> 100] تنزيه وتقديس لله تعالى عن كل وصف يخطر ببال بشر لأنه ليس كمثله شيء ولا نعلم له سميا</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وَلَا يُحِيطُونَ بِهِ عِلْمًا</w:t>
      </w:r>
      <w:r w:rsidRPr="00A52585">
        <w:rPr>
          <w:rFonts w:hint="cs"/>
          <w:bCs/>
          <w:rtl/>
        </w:rPr>
        <w:t>}</w:t>
      </w:r>
      <w:r w:rsidR="00777DCB" w:rsidRPr="00A52585">
        <w:rPr>
          <w:rFonts w:hint="cs"/>
          <w:rtl/>
        </w:rPr>
        <w:t xml:space="preserve"> [سورة طه</w:t>
      </w:r>
      <w:r w:rsidRPr="00A52585">
        <w:rPr>
          <w:rFonts w:hint="cs"/>
          <w:rtl/>
        </w:rPr>
        <w:t>:</w:t>
      </w:r>
      <w:r w:rsidR="00777DCB" w:rsidRPr="00A52585">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00DB731D" w:rsidRPr="00A52585">
        <w:rPr>
          <w:rFonts w:hint="cs"/>
          <w:rtl/>
        </w:rPr>
        <w:t>،</w:t>
      </w:r>
      <w:r w:rsidR="00777DCB" w:rsidRPr="00A52585">
        <w:rPr>
          <w:rFonts w:hint="cs"/>
          <w:rtl/>
        </w:rPr>
        <w:t xml:space="preserve"> ومنه نعلم مخالفة ذات الله تعالى لجميع المخلوقات والموجودات والمحدثات</w:t>
      </w:r>
      <w:r w:rsidR="00DB731D" w:rsidRPr="00A52585">
        <w:rPr>
          <w:rFonts w:hint="cs"/>
          <w:rtl/>
        </w:rPr>
        <w:t>،</w:t>
      </w:r>
      <w:r w:rsidR="00777DCB" w:rsidRPr="00A52585">
        <w:rPr>
          <w:rFonts w:hint="cs"/>
          <w:rtl/>
        </w:rPr>
        <w:t xml:space="preserve"> وكافة الماديات </w:t>
      </w:r>
      <w:proofErr w:type="spellStart"/>
      <w:r w:rsidR="00777DCB" w:rsidRPr="00A52585">
        <w:rPr>
          <w:rFonts w:hint="cs"/>
          <w:rtl/>
        </w:rPr>
        <w:t>والحسيات</w:t>
      </w:r>
      <w:proofErr w:type="spellEnd"/>
      <w:r w:rsidR="00777DCB" w:rsidRPr="00A52585">
        <w:rPr>
          <w:rFonts w:hint="cs"/>
          <w:rtl/>
        </w:rPr>
        <w:t xml:space="preserve"> والمرئيات والعقليات والنفسيات والروحانيات</w:t>
      </w:r>
      <w:r w:rsidR="00DB731D" w:rsidRPr="00A52585">
        <w:rPr>
          <w:rFonts w:hint="cs"/>
          <w:rtl/>
        </w:rPr>
        <w:t>،</w:t>
      </w:r>
      <w:r w:rsidR="00777DCB" w:rsidRPr="00A52585">
        <w:rPr>
          <w:rFonts w:hint="cs"/>
          <w:rtl/>
        </w:rPr>
        <w:t xml:space="preserve"> وكافة التصورات والمعلومات </w:t>
      </w:r>
      <w:proofErr w:type="spellStart"/>
      <w:r w:rsidR="00777DCB" w:rsidRPr="00A52585">
        <w:rPr>
          <w:rFonts w:hint="cs"/>
          <w:rtl/>
        </w:rPr>
        <w:t>والتهيئات</w:t>
      </w:r>
      <w:proofErr w:type="spellEnd"/>
      <w:r w:rsidR="00777DCB" w:rsidRPr="00A52585">
        <w:rPr>
          <w:rFonts w:hint="cs"/>
          <w:rtl/>
        </w:rPr>
        <w:t xml:space="preserve"> </w:t>
      </w:r>
      <w:proofErr w:type="spellStart"/>
      <w:r w:rsidR="00777DCB" w:rsidRPr="00A52585">
        <w:rPr>
          <w:rFonts w:hint="cs"/>
          <w:rtl/>
        </w:rPr>
        <w:t>والتوهمات</w:t>
      </w:r>
      <w:proofErr w:type="spellEnd"/>
      <w:r w:rsidR="00DB731D" w:rsidRPr="00A52585">
        <w:rPr>
          <w:rFonts w:hint="cs"/>
          <w:rtl/>
        </w:rPr>
        <w:t>،</w:t>
      </w:r>
      <w:r w:rsidR="00777DCB" w:rsidRPr="00A52585">
        <w:rPr>
          <w:rFonts w:hint="cs"/>
          <w:rtl/>
        </w:rPr>
        <w:t xml:space="preserve"> لأسباب أهمها</w:t>
      </w:r>
      <w:r w:rsidRPr="00A52585">
        <w:rPr>
          <w:rFonts w:hint="cs"/>
          <w:rtl/>
        </w:rPr>
        <w:t>:</w:t>
      </w:r>
      <w:r w:rsidR="00777DCB" w:rsidRPr="00A52585">
        <w:rPr>
          <w:rFonts w:hint="cs"/>
          <w:rtl/>
        </w:rPr>
        <w:t xml:space="preserve"> لأنّ الذات لا تُدرك</w:t>
      </w:r>
      <w:r w:rsidR="00DB731D" w:rsidRPr="00A52585">
        <w:rPr>
          <w:rFonts w:hint="cs"/>
          <w:rtl/>
        </w:rPr>
        <w:t>،</w:t>
      </w:r>
      <w:r w:rsidR="00777DCB" w:rsidRPr="00A52585">
        <w:rPr>
          <w:rFonts w:hint="cs"/>
          <w:rtl/>
        </w:rPr>
        <w:t xml:space="preserve"> وإذا كان المخلوق لا يحيط علماً بالروح التي تسكنه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وَيَسْأَلُونَكَ عَنِ الرُّوحِ قُلِ الرُّوحُ مِنْ أَمْرِ رَبِّي وَمَا أُوتِيتُمْ مِنَ الْعِلْمِ إِلَّا قَلِيلًا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الاسراء</w:t>
      </w:r>
      <w:r w:rsidRPr="00A52585">
        <w:rPr>
          <w:rFonts w:hint="cs"/>
          <w:rtl/>
        </w:rPr>
        <w:t>:</w:t>
      </w:r>
      <w:r w:rsidR="00777DCB" w:rsidRPr="00A52585">
        <w:rPr>
          <w:rFonts w:hint="cs"/>
          <w:rtl/>
        </w:rPr>
        <w:t xml:space="preserve"> 85</w:t>
      </w:r>
      <w:r w:rsidRPr="00A52585">
        <w:rPr>
          <w:rFonts w:hint="cs"/>
          <w:rtl/>
        </w:rPr>
        <w:t>]</w:t>
      </w:r>
      <w:r w:rsidR="00777DCB" w:rsidRPr="00A52585">
        <w:rPr>
          <w:rFonts w:hint="cs"/>
          <w:rtl/>
        </w:rPr>
        <w:t xml:space="preserve"> فأنى له أن يُدرك شيئا عن ذات الإله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عَالِمُ الْغَيْبِ وَالشَّهَادَةِ الْكَبِيرُ الْمُتَعَالِ</w:t>
      </w:r>
      <w:r w:rsidRPr="00A52585">
        <w:rPr>
          <w:rFonts w:hint="cs"/>
          <w:bCs/>
          <w:rtl/>
        </w:rPr>
        <w:t>}</w:t>
      </w:r>
      <w:r w:rsidR="00DB731D" w:rsidRPr="00A52585">
        <w:rPr>
          <w:rFonts w:hint="cs"/>
          <w:rtl/>
        </w:rPr>
        <w:t>،</w:t>
      </w:r>
      <w:r w:rsidR="00777DCB" w:rsidRPr="00A52585">
        <w:rPr>
          <w:rFonts w:hint="cs"/>
          <w:rtl/>
        </w:rPr>
        <w:t xml:space="preserve"> أي كبير على كل تصور</w:t>
      </w:r>
      <w:r w:rsidR="00DB731D" w:rsidRPr="00A52585">
        <w:rPr>
          <w:rFonts w:hint="cs"/>
          <w:rtl/>
        </w:rPr>
        <w:t>،</w:t>
      </w:r>
      <w:r w:rsidR="00777DCB" w:rsidRPr="00A52585">
        <w:rPr>
          <w:rFonts w:hint="cs"/>
          <w:rtl/>
        </w:rPr>
        <w:t xml:space="preserve"> ومتعال على كل تفكير</w:t>
      </w:r>
      <w:r w:rsidR="00DB731D" w:rsidRPr="00A52585">
        <w:rPr>
          <w:rFonts w:hint="cs"/>
          <w:rtl/>
        </w:rPr>
        <w:t>،</w:t>
      </w:r>
      <w:r w:rsidR="00777DCB" w:rsidRPr="00A52585">
        <w:rPr>
          <w:rFonts w:hint="cs"/>
          <w:rtl/>
        </w:rPr>
        <w:t xml:space="preserve"> لا تبلغه الأوهام ولا تدركه الأفهام</w:t>
      </w:r>
      <w:r w:rsidR="00DB731D" w:rsidRPr="00A52585">
        <w:rPr>
          <w:rFonts w:hint="cs"/>
          <w:rtl/>
        </w:rPr>
        <w:t>،</w:t>
      </w:r>
      <w:r w:rsidR="00777DCB" w:rsidRPr="00A52585">
        <w:rPr>
          <w:rFonts w:hint="cs"/>
          <w:rtl/>
        </w:rPr>
        <w:t xml:space="preserve"> </w:t>
      </w:r>
      <w:r w:rsidR="00777DCB" w:rsidRPr="00A52585">
        <w:rPr>
          <w:rFonts w:hint="cs"/>
          <w:bCs/>
          <w:rtl/>
        </w:rPr>
        <w:t>ليس كمثله شيء ولا له كفء ولا شبيه وليس له مثال يقاس عليه ولا نقدر على تصوره فضلا عن وصفه ولا نحيط به علما</w:t>
      </w:r>
      <w:r w:rsidR="00DB731D" w:rsidRPr="00A52585">
        <w:rPr>
          <w:rFonts w:hint="cs"/>
          <w:bCs/>
          <w:rtl/>
        </w:rPr>
        <w:t>،</w:t>
      </w:r>
      <w:r w:rsidR="00777DCB" w:rsidRPr="00A52585">
        <w:rPr>
          <w:rFonts w:hint="cs"/>
          <w:bCs/>
          <w:rtl/>
        </w:rPr>
        <w:t xml:space="preserve"> فلا يقدره فهم ولا يصوره وهم ولا يدركه بصر ولا عقل ولا يبلغه علم وكل ما خطر ببالك فهو باطل</w:t>
      </w:r>
      <w:r w:rsidR="00DB731D" w:rsidRPr="00A52585">
        <w:rPr>
          <w:rFonts w:hint="cs"/>
          <w:rtl/>
        </w:rPr>
        <w:t>،</w:t>
      </w:r>
      <w:r w:rsidR="00777DCB" w:rsidRPr="00A52585">
        <w:rPr>
          <w:rFonts w:hint="cs"/>
          <w:rtl/>
        </w:rPr>
        <w:t xml:space="preserve"> لأنه مخلوق في عقلك وخاطرك والله خالق كل شيء وليس بمخلوق فسبحان الله عما يصفون</w:t>
      </w:r>
      <w:r w:rsidR="00DB731D" w:rsidRPr="00A52585">
        <w:rPr>
          <w:rFonts w:hint="cs"/>
          <w:rtl/>
        </w:rPr>
        <w:t>،</w:t>
      </w:r>
      <w:r w:rsidR="00777DCB" w:rsidRPr="00A52585">
        <w:rPr>
          <w:rFonts w:hint="cs"/>
          <w:rtl/>
        </w:rPr>
        <w:t xml:space="preserve"> والحمد لله أنه لا خلاف بين المسلمين - عدا المشبهة - بأنّ الله تبارك وتعالى لا يشبه شيئاً من مخلوقاته</w:t>
      </w:r>
      <w:r w:rsidR="00DB731D" w:rsidRPr="00A52585">
        <w:rPr>
          <w:rFonts w:hint="cs"/>
          <w:rtl/>
        </w:rPr>
        <w:t>،</w:t>
      </w:r>
      <w:r w:rsidR="00777DCB" w:rsidRPr="00A52585">
        <w:rPr>
          <w:rFonts w:hint="cs"/>
          <w:rtl/>
        </w:rPr>
        <w:t xml:space="preserve"> إذ </w:t>
      </w:r>
      <w:r w:rsidRPr="00A52585">
        <w:rPr>
          <w:rFonts w:hint="cs"/>
          <w:rtl/>
        </w:rPr>
        <w:t>{</w:t>
      </w:r>
      <w:r w:rsidR="00777DCB" w:rsidRPr="00A52585">
        <w:rPr>
          <w:rFonts w:hint="cs"/>
          <w:rtl/>
        </w:rPr>
        <w:t>ليس كمثله شيء وهو السميع البصير</w:t>
      </w:r>
      <w:r w:rsidRPr="00A52585">
        <w:rPr>
          <w:rFonts w:hint="cs"/>
          <w:rtl/>
        </w:rPr>
        <w:t>}</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تنبيه</w:t>
      </w:r>
      <w:r w:rsidRPr="00A52585">
        <w:rPr>
          <w:rFonts w:hint="cs"/>
          <w:bCs/>
          <w:rtl/>
        </w:rPr>
        <w:t>)</w:t>
      </w:r>
      <w:r w:rsidRPr="00A52585">
        <w:rPr>
          <w:rFonts w:hint="cs"/>
          <w:rtl/>
        </w:rPr>
        <w:t>:</w:t>
      </w:r>
      <w:r w:rsidR="00777DCB" w:rsidRPr="00A52585">
        <w:rPr>
          <w:rFonts w:hint="cs"/>
          <w:rtl/>
        </w:rPr>
        <w:t xml:space="preserve"> </w:t>
      </w:r>
      <w:r w:rsidR="00777DCB" w:rsidRPr="00A52585">
        <w:rPr>
          <w:rFonts w:hint="cs"/>
          <w:rtl/>
        </w:rPr>
        <w:lastRenderedPageBreak/>
        <w:t xml:space="preserve">يستدل بعض </w:t>
      </w:r>
      <w:proofErr w:type="spellStart"/>
      <w:r w:rsidR="00777DCB" w:rsidRPr="00A52585">
        <w:rPr>
          <w:rFonts w:hint="cs"/>
          <w:rtl/>
        </w:rPr>
        <w:t>الحشوية</w:t>
      </w:r>
      <w:proofErr w:type="spellEnd"/>
      <w:r w:rsidR="00777DCB" w:rsidRPr="00A52585">
        <w:rPr>
          <w:rFonts w:hint="cs"/>
          <w:rtl/>
        </w:rPr>
        <w:t xml:space="preserve"> على اثبات الحد والمكان وبعض اوجه المشابهة بين الله تعالى وبين خلقه بكون الآية الكريمة اختتمت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السميع البصير</w:t>
      </w:r>
      <w:r w:rsidRPr="00A52585">
        <w:rPr>
          <w:rFonts w:hint="cs"/>
          <w:rtl/>
        </w:rPr>
        <w:t>}</w:t>
      </w:r>
      <w:r w:rsidR="00DB731D" w:rsidRPr="00A52585">
        <w:rPr>
          <w:rFonts w:hint="cs"/>
          <w:rtl/>
        </w:rPr>
        <w:t>،</w:t>
      </w:r>
      <w:r w:rsidR="00777DCB" w:rsidRPr="00A52585">
        <w:rPr>
          <w:rFonts w:hint="cs"/>
          <w:rtl/>
        </w:rPr>
        <w:t xml:space="preserve"> وكون الله تعالى وصف الإنسان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فجعلناه سميعا بصيرا</w:t>
      </w:r>
      <w:r w:rsidRPr="00A52585">
        <w:rPr>
          <w:rFonts w:hint="cs"/>
          <w:rtl/>
        </w:rPr>
        <w:t>}</w:t>
      </w:r>
      <w:r w:rsidR="00DB731D" w:rsidRPr="00A52585">
        <w:rPr>
          <w:rFonts w:hint="cs"/>
          <w:rtl/>
        </w:rPr>
        <w:t>،</w:t>
      </w:r>
      <w:r w:rsidR="00777DCB" w:rsidRPr="00A52585">
        <w:rPr>
          <w:rFonts w:hint="cs"/>
          <w:rtl/>
        </w:rPr>
        <w:t xml:space="preserve"> فقالوا كما أنّ الله تعالى له السمع والبصر والإنسان له السمع والبصر</w:t>
      </w:r>
      <w:r w:rsidR="00DB731D" w:rsidRPr="00A52585">
        <w:rPr>
          <w:rFonts w:hint="cs"/>
          <w:rtl/>
        </w:rPr>
        <w:t>،</w:t>
      </w:r>
      <w:r w:rsidR="00777DCB" w:rsidRPr="00A52585">
        <w:rPr>
          <w:rFonts w:hint="cs"/>
          <w:rtl/>
        </w:rPr>
        <w:t xml:space="preserve"> والله تعالى ليس كمثل سمعه سمع ولا كمثل بصره بصر</w:t>
      </w:r>
      <w:r w:rsidR="00DB731D" w:rsidRPr="00A52585">
        <w:rPr>
          <w:rFonts w:hint="cs"/>
          <w:rtl/>
        </w:rPr>
        <w:t>،</w:t>
      </w:r>
      <w:r w:rsidR="00777DCB" w:rsidRPr="00A52585">
        <w:rPr>
          <w:rFonts w:hint="cs"/>
          <w:rtl/>
        </w:rPr>
        <w:t xml:space="preserve"> فما المانع أن يكون لله تعالى حد ليس كمثله شيء</w:t>
      </w:r>
      <w:r w:rsidR="00DB731D" w:rsidRPr="00A52585">
        <w:rPr>
          <w:rFonts w:hint="cs"/>
          <w:rtl/>
        </w:rPr>
        <w:t>،</w:t>
      </w:r>
      <w:r w:rsidR="00777DCB" w:rsidRPr="00A52585">
        <w:rPr>
          <w:rFonts w:hint="cs"/>
          <w:rtl/>
        </w:rPr>
        <w:t xml:space="preserve"> وأن يتحرك ليس كمثل حركته حركة وأن ينزل ليس كمثل نزوله نزول وأن يكون له الوجه ليس كمثل وجهه وجه وأن يكون له اليد ليس كمثل يده يد</w:t>
      </w:r>
      <w:r w:rsidR="00DB731D" w:rsidRPr="00A52585">
        <w:rPr>
          <w:rFonts w:hint="cs"/>
          <w:rtl/>
        </w:rPr>
        <w:t>،</w:t>
      </w:r>
      <w:r w:rsidR="00777DCB" w:rsidRPr="00A52585">
        <w:rPr>
          <w:rFonts w:hint="cs"/>
          <w:rtl/>
        </w:rPr>
        <w:t xml:space="preserve"> وهكذا</w:t>
      </w:r>
      <w:r w:rsidR="00DB731D" w:rsidRPr="00A52585">
        <w:rPr>
          <w:rFonts w:hint="cs"/>
          <w:rtl/>
        </w:rPr>
        <w:t>،</w:t>
      </w:r>
      <w:r w:rsidR="00777DCB" w:rsidRPr="00A52585">
        <w:rPr>
          <w:rFonts w:hint="cs"/>
          <w:rtl/>
        </w:rPr>
        <w:t xml:space="preserve"> وهذا خلط بين الامور</w:t>
      </w:r>
      <w:r w:rsidR="00DB731D" w:rsidRPr="00A52585">
        <w:rPr>
          <w:rFonts w:hint="cs"/>
          <w:rtl/>
        </w:rPr>
        <w:t>،</w:t>
      </w:r>
      <w:r w:rsidR="00777DCB" w:rsidRPr="00A52585">
        <w:rPr>
          <w:rFonts w:hint="cs"/>
          <w:rtl/>
        </w:rPr>
        <w:t xml:space="preserve"> فالسمع صفة كمال والبصر صفة كمال</w:t>
      </w:r>
      <w:r w:rsidR="00DB731D" w:rsidRPr="00A52585">
        <w:rPr>
          <w:rFonts w:hint="cs"/>
          <w:rtl/>
        </w:rPr>
        <w:t>،</w:t>
      </w:r>
      <w:r w:rsidR="00777DCB" w:rsidRPr="00A52585">
        <w:rPr>
          <w:rFonts w:hint="cs"/>
          <w:rtl/>
        </w:rPr>
        <w:t xml:space="preserve"> ولله تعالى الكمال فيهما وقد منّ على بعض عباده بالسمع والبصر نعمتان من الله تعالى</w:t>
      </w:r>
      <w:r w:rsidR="00DB731D" w:rsidRPr="00A52585">
        <w:rPr>
          <w:rFonts w:hint="cs"/>
          <w:rtl/>
        </w:rPr>
        <w:t>،</w:t>
      </w:r>
      <w:r w:rsidR="00777DCB" w:rsidRPr="00A52585">
        <w:rPr>
          <w:rFonts w:hint="cs"/>
          <w:rtl/>
        </w:rPr>
        <w:t xml:space="preserve"> ولكن الحد نقص ودليل على العجز</w:t>
      </w:r>
      <w:r w:rsidR="00DB731D" w:rsidRPr="00A52585">
        <w:rPr>
          <w:rFonts w:hint="cs"/>
          <w:rtl/>
        </w:rPr>
        <w:t>،</w:t>
      </w:r>
      <w:r w:rsidRPr="00A52585">
        <w:rPr>
          <w:rFonts w:hint="cs"/>
          <w:rtl/>
        </w:rPr>
        <w:t xml:space="preserve"> </w:t>
      </w:r>
      <w:r w:rsidR="00777DCB" w:rsidRPr="00A52585">
        <w:rPr>
          <w:rFonts w:hint="cs"/>
          <w:rtl/>
        </w:rPr>
        <w:t>والحركة والسكون كلاهما تغير يلزم المحدث ولا يجوز على القديم الأول الذي تنزه عن التغير والأفول</w:t>
      </w:r>
      <w:r w:rsidR="00DB731D" w:rsidRPr="00A52585">
        <w:rPr>
          <w:rFonts w:hint="cs"/>
          <w:rtl/>
        </w:rPr>
        <w:t>،</w:t>
      </w:r>
      <w:r w:rsidR="00777DCB" w:rsidRPr="00A52585">
        <w:rPr>
          <w:rFonts w:hint="cs"/>
          <w:rtl/>
        </w:rPr>
        <w:t xml:space="preserve"> والوجه واليد والعين في اللغة ليستا صفات وإنما هي أجزاء من الذات والله تعالى أحد صمد منزه عن الجزء والبعض والجارحة</w:t>
      </w:r>
      <w:r w:rsidR="00DB731D" w:rsidRPr="00A52585">
        <w:rPr>
          <w:rFonts w:hint="cs"/>
          <w:rtl/>
        </w:rPr>
        <w:t>،</w:t>
      </w:r>
      <w:r w:rsidR="00777DCB" w:rsidRPr="00A52585">
        <w:rPr>
          <w:rFonts w:hint="cs"/>
          <w:rtl/>
        </w:rPr>
        <w:t xml:space="preserve"> وإثبات علماء أهل السنّة</w:t>
      </w:r>
      <w:r w:rsidRPr="00A52585">
        <w:rPr>
          <w:rFonts w:hint="cs"/>
          <w:rtl/>
        </w:rPr>
        <w:t xml:space="preserve"> </w:t>
      </w:r>
      <w:r w:rsidR="00777DCB" w:rsidRPr="00A52585">
        <w:rPr>
          <w:rFonts w:hint="cs"/>
          <w:rtl/>
        </w:rPr>
        <w:t>لها على سبيل الصفة وليس الجزء وهذا من مجاز اللغة لمن تدبره</w:t>
      </w:r>
      <w:r w:rsidR="00DB731D" w:rsidRPr="00A52585">
        <w:rPr>
          <w:rFonts w:hint="cs"/>
          <w:rtl/>
        </w:rPr>
        <w:t>،</w:t>
      </w:r>
      <w:r w:rsidR="00777DCB" w:rsidRPr="00A52585">
        <w:rPr>
          <w:rFonts w:hint="cs"/>
          <w:rtl/>
        </w:rPr>
        <w:t xml:space="preserve"> لأنّ الوجه على الحقيقة لا يُطلق إلا على الجزء من الذات وليس الصفة</w:t>
      </w:r>
      <w:r w:rsidR="00DB731D" w:rsidRPr="00A52585">
        <w:rPr>
          <w:rFonts w:hint="cs"/>
          <w:rtl/>
        </w:rPr>
        <w:t>،</w:t>
      </w:r>
      <w:r w:rsidRPr="00A52585">
        <w:rPr>
          <w:rFonts w:hint="cs"/>
          <w:rtl/>
        </w:rPr>
        <w:t xml:space="preserve"> </w:t>
      </w:r>
      <w:r w:rsidR="00777DCB" w:rsidRPr="00A52585">
        <w:rPr>
          <w:rFonts w:hint="cs"/>
          <w:rtl/>
        </w:rPr>
        <w:t>وعلى ذلك فإن صفات الكمال تختلف تماما عن صفات العجز والنقص والمحدودية</w:t>
      </w:r>
      <w:r w:rsidRPr="00A52585">
        <w:rPr>
          <w:rFonts w:hint="cs"/>
          <w:rtl/>
        </w:rPr>
        <w:t xml:space="preserve"> </w:t>
      </w:r>
      <w:r w:rsidR="00777DCB" w:rsidRPr="00A52585">
        <w:rPr>
          <w:rFonts w:hint="cs"/>
          <w:rtl/>
        </w:rPr>
        <w:t>إذا نسبت إلى الله تعالى</w:t>
      </w:r>
      <w:r w:rsidR="00DB731D" w:rsidRPr="00A52585">
        <w:rPr>
          <w:rFonts w:hint="cs"/>
          <w:rtl/>
        </w:rPr>
        <w:t>،</w:t>
      </w:r>
      <w:r w:rsidR="00777DCB" w:rsidRPr="00A52585">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Pr="00A52585">
        <w:rPr>
          <w:rFonts w:hint="cs"/>
          <w:rtl/>
        </w:rPr>
        <w:t>]</w:t>
      </w:r>
      <w:r w:rsidR="00DB731D" w:rsidRPr="00A52585">
        <w:rPr>
          <w:rFonts w:hint="cs"/>
          <w:rtl/>
        </w:rPr>
        <w:t>،</w:t>
      </w:r>
      <w:r w:rsidR="00777DCB" w:rsidRPr="00A52585">
        <w:rPr>
          <w:rFonts w:hint="cs"/>
          <w:rtl/>
        </w:rPr>
        <w:t xml:space="preserve"> </w:t>
      </w:r>
    </w:p>
    <w:p w14:paraId="3619AE2D" w14:textId="1F88E81C" w:rsidR="00777DCB" w:rsidRPr="00A52585" w:rsidRDefault="0002035C" w:rsidP="0002035C">
      <w:pPr>
        <w:rPr>
          <w:b/>
          <w:rtl/>
        </w:rPr>
      </w:pPr>
      <w:r w:rsidRPr="00A52585">
        <w:rPr>
          <w:rFonts w:hint="cs"/>
          <w:bCs/>
          <w:rtl/>
          <w:lang w:bidi="ar-KW"/>
        </w:rPr>
        <w:t>[</w:t>
      </w:r>
      <w:r w:rsidR="00777DCB" w:rsidRPr="00A52585">
        <w:rPr>
          <w:rFonts w:hint="cs"/>
          <w:bCs/>
          <w:rtl/>
          <w:lang w:bidi="ar-KW"/>
        </w:rPr>
        <w:t>2</w:t>
      </w:r>
      <w:r w:rsidRPr="00A52585">
        <w:rPr>
          <w:rFonts w:hint="cs"/>
          <w:bCs/>
          <w:rtl/>
          <w:lang w:bidi="ar-KW"/>
        </w:rPr>
        <w:t>]:</w:t>
      </w:r>
      <w:r w:rsidR="00777DCB" w:rsidRPr="00A52585">
        <w:rPr>
          <w:rFonts w:hint="cs"/>
          <w:bCs/>
          <w:rtl/>
          <w:lang w:bidi="ar-KW"/>
        </w:rPr>
        <w:t xml:space="preserve"> الله تعالى خالق كل شيء</w:t>
      </w:r>
      <w:r w:rsidR="00DB731D" w:rsidRPr="00A52585">
        <w:rPr>
          <w:rFonts w:hint="cs"/>
          <w:rtl/>
          <w:lang w:bidi="ar-KW"/>
        </w:rPr>
        <w:t>،</w:t>
      </w:r>
      <w:r w:rsidR="00777DCB" w:rsidRPr="00A52585">
        <w:rPr>
          <w:rFonts w:hint="cs"/>
          <w:rtl/>
          <w:lang w:bidi="ar-KW"/>
        </w:rPr>
        <w:t xml:space="preserve"> وكل ما في الوجود خلقه</w:t>
      </w:r>
      <w:r w:rsidR="00DB731D" w:rsidRPr="00A52585">
        <w:rPr>
          <w:rFonts w:hint="cs"/>
          <w:rtl/>
          <w:lang w:bidi="ar-KW"/>
        </w:rPr>
        <w:t>،</w:t>
      </w:r>
      <w:r w:rsidR="00777DCB" w:rsidRPr="00A52585">
        <w:rPr>
          <w:rFonts w:hint="cs"/>
          <w:rtl/>
          <w:lang w:bidi="ar-KW"/>
        </w:rPr>
        <w:t xml:space="preserve"> </w:t>
      </w:r>
      <w:r w:rsidR="00777DCB" w:rsidRPr="00A52585">
        <w:rPr>
          <w:rFonts w:hint="cs"/>
          <w:rtl/>
        </w:rPr>
        <w:t>ومن ذلك الليل والنهار والظلمات والنور والمكان والزمان</w:t>
      </w:r>
      <w:r w:rsidR="00DB731D" w:rsidRPr="00A52585">
        <w:rPr>
          <w:rFonts w:hint="cs"/>
          <w:rtl/>
        </w:rPr>
        <w:t>،</w:t>
      </w:r>
      <w:r w:rsidR="00777DCB" w:rsidRPr="00A52585">
        <w:rPr>
          <w:rFonts w:hint="cs"/>
          <w:rtl/>
        </w:rPr>
        <w:t xml:space="preserve"> والعرش والكرسي والسموات والأرض كل ذلك من خلق الله تعالى</w:t>
      </w:r>
      <w:r w:rsidR="00DB731D" w:rsidRPr="00A52585">
        <w:rPr>
          <w:rFonts w:hint="cs"/>
          <w:rtl/>
        </w:rPr>
        <w:t>،</w:t>
      </w:r>
      <w:r w:rsidR="00777DCB" w:rsidRPr="00A52585">
        <w:rPr>
          <w:rFonts w:hint="cs"/>
          <w:rtl/>
        </w:rPr>
        <w:t xml:space="preserve"> ولا ينكر ذلك مسلم موحد لله تعالى</w:t>
      </w:r>
      <w:r w:rsidR="00DB731D" w:rsidRPr="00A52585">
        <w:rPr>
          <w:rFonts w:hint="cs"/>
          <w:rtl/>
        </w:rPr>
        <w:t>،</w:t>
      </w:r>
      <w:r w:rsidR="00777DCB" w:rsidRPr="00A52585">
        <w:rPr>
          <w:rFonts w:hint="cs"/>
          <w:rtl/>
        </w:rPr>
        <w:t xml:space="preserve"> </w:t>
      </w:r>
      <w:r w:rsidR="00777DCB" w:rsidRPr="00A52585">
        <w:rPr>
          <w:rFonts w:hint="cs"/>
          <w:rtl/>
          <w:lang w:bidi="ar-KW"/>
        </w:rPr>
        <w:t>وقد تكرر في القرآن الكريم ذكر تلك الحقيقة</w:t>
      </w:r>
      <w:r w:rsidR="00DB731D" w:rsidRPr="00A52585">
        <w:rPr>
          <w:rFonts w:hint="cs"/>
          <w:rtl/>
          <w:lang w:bidi="ar-KW"/>
        </w:rPr>
        <w:t>،</w:t>
      </w:r>
      <w:r w:rsidR="00777DCB" w:rsidRPr="00A52585">
        <w:rPr>
          <w:rFonts w:hint="cs"/>
          <w:rtl/>
          <w:lang w:bidi="ar-KW"/>
        </w:rPr>
        <w:t xml:space="preserve"> كما في 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ذَلِكُمُ اللَّهُ رَبُّكُمْ لَا إِلَهَ إِلَّا هُوَ خَالِقُ كُلِّ شَيْءٍ فَاعْبُدُوهُ وَهُوَ عَلَى كُلِّ شَيْءٍ وَكِيلٌ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102</w:t>
      </w:r>
      <w:r w:rsidRPr="00A52585">
        <w:rPr>
          <w:rFonts w:hint="cs"/>
          <w:rtl/>
        </w:rPr>
        <w:t>]</w:t>
      </w:r>
      <w:r w:rsidR="00DB731D" w:rsidRPr="00A52585">
        <w:rPr>
          <w:rFonts w:hint="cs"/>
          <w:rtl/>
        </w:rPr>
        <w:t>،</w:t>
      </w:r>
      <w:r w:rsidR="00777DCB" w:rsidRPr="00A52585">
        <w:rPr>
          <w:rFonts w:hint="cs"/>
          <w:rtl/>
        </w:rPr>
        <w:t xml:space="preserve"> و</w:t>
      </w:r>
      <w:r w:rsidR="00777DCB" w:rsidRPr="00A52585">
        <w:rPr>
          <w:rFonts w:hint="cs"/>
          <w:rtl/>
          <w:lang w:bidi="ar-KW"/>
        </w:rPr>
        <w:t>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قُلِ اللَّهُ خَالِقُ كُلِّ شَيْءٍ وَهُوَ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الرعد</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KW"/>
        </w:rPr>
        <w:t>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اللَّهُ خَالِقُ كُلِّ شَيْءٍ وَهُوَ عَلَى كُلِّ شَيْءٍ وَكِيلٌ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KW"/>
        </w:rPr>
        <w:t>وقوله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 xml:space="preserve">ذَلِكُمُ اللَّهُ رَبُّكُمْ خَالِقُ كُلِّ شَيْءٍ لَا إِلَهَ إِلَّا هُوَ فَأَنَّى </w:t>
      </w:r>
      <w:proofErr w:type="spellStart"/>
      <w:r w:rsidR="00777DCB" w:rsidRPr="00A52585">
        <w:rPr>
          <w:rFonts w:hint="cs"/>
          <w:rtl/>
        </w:rPr>
        <w:t>تُؤْفَكُونَ</w:t>
      </w:r>
      <w:proofErr w:type="spellEnd"/>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62</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KW"/>
        </w:rPr>
        <w:t>وقوله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هَذَا خَلْقُ اللَّهِ فَأَرُونِي مَاذَا خَلَقَ الَّذِينَ مِنْ دُونِهِ بَلِ الظَّالِمُونَ فِي ضَلَالٍ مُبِينٍ</w:t>
      </w:r>
      <w:r w:rsidRPr="00A52585">
        <w:rPr>
          <w:rFonts w:hint="cs"/>
          <w:rtl/>
        </w:rPr>
        <w:t>}</w:t>
      </w:r>
      <w:r w:rsidR="00777DCB" w:rsidRPr="00A52585">
        <w:rPr>
          <w:rFonts w:hint="cs"/>
          <w:rtl/>
        </w:rPr>
        <w:t xml:space="preserve"> </w:t>
      </w:r>
      <w:r w:rsidRPr="00A52585">
        <w:rPr>
          <w:rFonts w:hint="cs"/>
          <w:rtl/>
        </w:rPr>
        <w:lastRenderedPageBreak/>
        <w:t>[</w:t>
      </w:r>
      <w:r w:rsidR="00777DCB" w:rsidRPr="00A52585">
        <w:rPr>
          <w:rFonts w:hint="cs"/>
          <w:rtl/>
        </w:rPr>
        <w:t>لقمان</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وعلى ذلك</w:t>
      </w:r>
      <w:r w:rsidRPr="00A52585">
        <w:rPr>
          <w:rFonts w:hint="cs"/>
          <w:rtl/>
        </w:rPr>
        <w:t>:</w:t>
      </w:r>
      <w:r w:rsidR="00777DCB" w:rsidRPr="00A52585">
        <w:rPr>
          <w:rFonts w:hint="cs"/>
          <w:rtl/>
        </w:rPr>
        <w:t xml:space="preserve"> والخالق لا يشبهه شيء من مخلوقاته</w:t>
      </w:r>
      <w:r w:rsidR="00DB731D" w:rsidRPr="00A52585">
        <w:rPr>
          <w:rFonts w:hint="cs"/>
          <w:rtl/>
        </w:rPr>
        <w:t>،</w:t>
      </w:r>
      <w:r w:rsidR="00777DCB" w:rsidRPr="00A52585">
        <w:rPr>
          <w:rFonts w:hint="cs"/>
          <w:rtl/>
        </w:rPr>
        <w:t xml:space="preserve"> لأنّه القديم الذي ليس لقدمه بداية </w:t>
      </w:r>
      <w:r w:rsidRPr="00A52585">
        <w:rPr>
          <w:rFonts w:hint="cs"/>
          <w:rtl/>
        </w:rPr>
        <w:t>(</w:t>
      </w:r>
      <w:r w:rsidR="00777DCB" w:rsidRPr="00A52585">
        <w:rPr>
          <w:rFonts w:hint="cs"/>
          <w:rtl/>
        </w:rPr>
        <w:t>الأول الذي ليس قبله شيء</w:t>
      </w:r>
      <w:r w:rsidRPr="00A52585">
        <w:rPr>
          <w:rFonts w:hint="cs"/>
          <w:rtl/>
        </w:rPr>
        <w:t>)</w:t>
      </w:r>
      <w:r w:rsidR="00777DCB" w:rsidRPr="00A52585">
        <w:rPr>
          <w:rFonts w:hint="cs"/>
          <w:rtl/>
        </w:rPr>
        <w:t xml:space="preserve"> ولا معه في قدمه غيره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والمحدث لا يشبه القديم</w:t>
      </w:r>
      <w:r w:rsidR="00DB731D" w:rsidRPr="00A52585">
        <w:rPr>
          <w:rFonts w:hint="cs"/>
          <w:rtl/>
        </w:rPr>
        <w:t>،</w:t>
      </w:r>
      <w:r w:rsidR="00777DCB" w:rsidRPr="00A52585">
        <w:rPr>
          <w:rFonts w:hint="cs"/>
          <w:rtl/>
        </w:rPr>
        <w:t xml:space="preserve"> والمخلوق لا يشبه الخالق</w:t>
      </w:r>
      <w:r w:rsidR="00DB731D" w:rsidRPr="00A52585">
        <w:rPr>
          <w:rFonts w:hint="cs"/>
          <w:rtl/>
        </w:rPr>
        <w:t>،</w:t>
      </w:r>
      <w:r w:rsidR="00777DCB" w:rsidRPr="00A52585">
        <w:rPr>
          <w:rFonts w:hint="cs"/>
          <w:rtl/>
        </w:rPr>
        <w:t xml:space="preserve"> ولا هو يشبه شيئاً منها</w:t>
      </w:r>
      <w:r w:rsidR="00DB731D" w:rsidRPr="00A52585">
        <w:rPr>
          <w:rFonts w:hint="cs"/>
          <w:rtl/>
        </w:rPr>
        <w:t>،</w:t>
      </w:r>
      <w:r w:rsidR="00777DCB" w:rsidRPr="00A52585">
        <w:rPr>
          <w:rFonts w:hint="cs"/>
          <w:rtl/>
        </w:rPr>
        <w:t xml:space="preserve"> لأنه لو أشبهه شيء لكان مثله قديماً</w:t>
      </w:r>
      <w:r w:rsidR="00DB731D" w:rsidRPr="00A52585">
        <w:rPr>
          <w:rFonts w:hint="cs"/>
          <w:rtl/>
        </w:rPr>
        <w:t>،</w:t>
      </w:r>
      <w:r w:rsidR="00777DCB" w:rsidRPr="00A52585">
        <w:rPr>
          <w:rFonts w:hint="cs"/>
          <w:rtl/>
        </w:rPr>
        <w:t xml:space="preserve"> ولو أشبه شيئاً لكان مثله مخلوقاً</w:t>
      </w:r>
      <w:r w:rsidR="00DB731D" w:rsidRPr="00A52585">
        <w:rPr>
          <w:rFonts w:hint="cs"/>
          <w:rtl/>
        </w:rPr>
        <w:t>،</w:t>
      </w:r>
      <w:r w:rsidR="00777DCB" w:rsidRPr="00A52585">
        <w:rPr>
          <w:rFonts w:hint="cs"/>
          <w:rtl/>
        </w:rPr>
        <w:t xml:space="preserve"> وكلا الحالين على الله محال</w:t>
      </w:r>
      <w:r w:rsidR="00DB731D" w:rsidRPr="00A52585">
        <w:rPr>
          <w:rFonts w:hint="cs"/>
          <w:rtl/>
        </w:rPr>
        <w:t>،</w:t>
      </w:r>
      <w:r w:rsidR="00777DCB" w:rsidRPr="00A52585">
        <w:rPr>
          <w:rFonts w:hint="cs"/>
          <w:rtl/>
        </w:rPr>
        <w:t xml:space="preserve"> كما أن ذات المخلوق تتصف بالنقص والعجز لأنها مخلوقة من عدم</w:t>
      </w:r>
      <w:r w:rsidR="00DB731D" w:rsidRPr="00A52585">
        <w:rPr>
          <w:rFonts w:hint="cs"/>
          <w:rtl/>
        </w:rPr>
        <w:t>،</w:t>
      </w:r>
      <w:r w:rsidR="00777DCB" w:rsidRPr="00A52585">
        <w:rPr>
          <w:rFonts w:hint="cs"/>
          <w:rtl/>
        </w:rPr>
        <w:t xml:space="preserve"> محدثة لم تكن ثم كانت</w:t>
      </w:r>
      <w:r w:rsidR="00DB731D" w:rsidRPr="00A52585">
        <w:rPr>
          <w:rFonts w:hint="cs"/>
          <w:rtl/>
        </w:rPr>
        <w:t>،</w:t>
      </w:r>
      <w:r w:rsidR="00777DCB" w:rsidRPr="00A52585">
        <w:rPr>
          <w:rFonts w:hint="cs"/>
          <w:rtl/>
        </w:rPr>
        <w:t xml:space="preserve"> وهي إلى الفناء سائرة</w:t>
      </w:r>
      <w:r w:rsidR="00DB731D" w:rsidRPr="00A52585">
        <w:rPr>
          <w:rFonts w:hint="cs"/>
          <w:rtl/>
        </w:rPr>
        <w:t>،</w:t>
      </w:r>
      <w:r w:rsidR="00777DCB" w:rsidRPr="00A52585">
        <w:rPr>
          <w:rFonts w:hint="cs"/>
          <w:rtl/>
        </w:rPr>
        <w:t xml:space="preserve"> فلا يصح مشابهة الفاني للباقي</w:t>
      </w:r>
      <w:r w:rsidR="00DB731D" w:rsidRPr="00A52585">
        <w:rPr>
          <w:rFonts w:hint="cs"/>
          <w:rtl/>
        </w:rPr>
        <w:t>،</w:t>
      </w:r>
      <w:r w:rsidR="00777DCB" w:rsidRPr="00A52585">
        <w:rPr>
          <w:rFonts w:hint="cs"/>
          <w:rtl/>
        </w:rPr>
        <w:t xml:space="preserve"> ولا المخلوق للخالق الباري</w:t>
      </w:r>
      <w:r w:rsidR="00DB731D" w:rsidRPr="00A52585">
        <w:rPr>
          <w:rFonts w:hint="cs"/>
          <w:rtl/>
        </w:rPr>
        <w:t>،</w:t>
      </w:r>
      <w:r w:rsidR="00777DCB" w:rsidRPr="00A52585">
        <w:rPr>
          <w:rFonts w:hint="cs"/>
          <w:rtl/>
        </w:rPr>
        <w:t xml:space="preserve"> </w:t>
      </w:r>
    </w:p>
    <w:p w14:paraId="123BCE6A" w14:textId="73FDB9F2" w:rsidR="00777DCB" w:rsidRPr="00A52585" w:rsidRDefault="0002035C" w:rsidP="0002035C">
      <w:pPr>
        <w:rPr>
          <w:b/>
          <w:rtl/>
        </w:rPr>
      </w:pPr>
      <w:r w:rsidRPr="00A52585">
        <w:rPr>
          <w:rFonts w:hint="cs"/>
          <w:bCs/>
          <w:rtl/>
        </w:rPr>
        <w:t>[</w:t>
      </w:r>
      <w:r w:rsidR="00777DCB" w:rsidRPr="00A52585">
        <w:rPr>
          <w:rFonts w:hint="cs"/>
          <w:bCs/>
          <w:rtl/>
        </w:rPr>
        <w:t>3</w:t>
      </w:r>
      <w:r w:rsidRPr="00A52585">
        <w:rPr>
          <w:rFonts w:hint="cs"/>
          <w:bCs/>
          <w:rtl/>
        </w:rPr>
        <w:t>]:</w:t>
      </w:r>
      <w:r w:rsidR="00777DCB" w:rsidRPr="00A52585">
        <w:rPr>
          <w:rFonts w:hint="cs"/>
          <w:bCs/>
          <w:rtl/>
        </w:rPr>
        <w:t xml:space="preserve"> الله تعالى هو الأول الذي ليس قبله شيء وهو الآخر الذي ليس بعده شيء</w:t>
      </w:r>
      <w:r w:rsidR="00DB731D" w:rsidRPr="00A52585">
        <w:rPr>
          <w:rFonts w:hint="cs"/>
          <w:bCs/>
          <w:rtl/>
        </w:rPr>
        <w:t>،</w:t>
      </w:r>
      <w:r w:rsidR="00777DCB" w:rsidRPr="00A52585">
        <w:rPr>
          <w:rFonts w:hint="cs"/>
          <w:bCs/>
          <w:rtl/>
        </w:rPr>
        <w:t xml:space="preserve"> وهو الظاهر فوق كل شيء وهو الباطن فليس دونه شيء</w:t>
      </w:r>
      <w:r w:rsidRPr="00A52585">
        <w:rPr>
          <w:rFonts w:hint="cs"/>
          <w:bCs/>
          <w:rtl/>
        </w:rPr>
        <w:t>:</w:t>
      </w:r>
      <w:r w:rsidR="00777DCB" w:rsidRPr="00A52585">
        <w:rPr>
          <w:rFonts w:hint="cs"/>
          <w:bCs/>
          <w:rtl/>
        </w:rPr>
        <w:t xml:space="preserve"> </w:t>
      </w:r>
      <w:r w:rsidR="00777DCB" w:rsidRPr="00A52585">
        <w:rPr>
          <w:rtl/>
        </w:rPr>
        <w:t>عند تدبر قول الله تعالى</w:t>
      </w:r>
      <w:r w:rsidRPr="00A52585">
        <w:rPr>
          <w:rtl/>
        </w:rPr>
        <w:t>:</w:t>
      </w:r>
      <w:r w:rsidR="00777DCB" w:rsidRPr="00A52585">
        <w:rPr>
          <w:rtl/>
        </w:rPr>
        <w:t xml:space="preserve"> </w:t>
      </w:r>
      <w:r w:rsidRPr="00A52585">
        <w:rPr>
          <w:rtl/>
        </w:rPr>
        <w:t>{</w:t>
      </w:r>
      <w:r w:rsidR="00777DCB" w:rsidRPr="00A52585">
        <w:rPr>
          <w:rtl/>
        </w:rPr>
        <w:t>هُوَ الْأَوَّلُ وَالْآخِرُ وَالظَّاهِرُ وَالْبَاطِنُ وَهُوَ بِكُلِّ شَيْءٍ عَلِيمٌ</w:t>
      </w:r>
      <w:r w:rsidRPr="00A52585">
        <w:rPr>
          <w:rtl/>
        </w:rPr>
        <w:t>}</w:t>
      </w:r>
      <w:r w:rsidR="00777DCB" w:rsidRPr="00A52585">
        <w:rPr>
          <w:rtl/>
        </w:rPr>
        <w:t xml:space="preserve"> </w:t>
      </w:r>
      <w:r w:rsidRPr="00A52585">
        <w:rPr>
          <w:rtl/>
        </w:rPr>
        <w:t>[</w:t>
      </w:r>
      <w:r w:rsidR="00777DCB" w:rsidRPr="00A52585">
        <w:rPr>
          <w:rtl/>
        </w:rPr>
        <w:t>الحديد</w:t>
      </w:r>
      <w:r w:rsidRPr="00A52585">
        <w:rPr>
          <w:rtl/>
        </w:rPr>
        <w:t>:</w:t>
      </w:r>
      <w:r w:rsidR="00777DCB" w:rsidRPr="00A52585">
        <w:rPr>
          <w:rtl/>
        </w:rPr>
        <w:t xml:space="preserve"> 3</w:t>
      </w:r>
      <w:r w:rsidRPr="00A52585">
        <w:rPr>
          <w:rtl/>
        </w:rPr>
        <w:t>}</w:t>
      </w:r>
      <w:r w:rsidR="00DB731D" w:rsidRPr="00A52585">
        <w:rPr>
          <w:rtl/>
        </w:rPr>
        <w:t>،</w:t>
      </w:r>
      <w:r w:rsidR="00777DCB" w:rsidRPr="00A52585">
        <w:rPr>
          <w:rtl/>
        </w:rPr>
        <w:t xml:space="preserve"> مع قوله صلى الله عليه وسلم: (</w:t>
      </w:r>
      <w:r w:rsidRPr="00A52585">
        <w:rPr>
          <w:rtl/>
        </w:rPr>
        <w:t>(</w:t>
      </w:r>
      <w:r w:rsidR="00777DCB" w:rsidRPr="00A52585">
        <w:rPr>
          <w:rtl/>
        </w:rPr>
        <w:t>اللهم أنت الأوَّلُ فليس قبلَك شيء، وأنت الآخِر فليس بعدَك شيء</w:t>
      </w:r>
      <w:r w:rsidR="00DB731D" w:rsidRPr="00A52585">
        <w:rPr>
          <w:rtl/>
        </w:rPr>
        <w:t>،</w:t>
      </w:r>
      <w:r w:rsidR="00777DCB" w:rsidRPr="00A52585">
        <w:rPr>
          <w:rtl/>
        </w:rPr>
        <w:t xml:space="preserve"> وأنت الظاهرُ فليس فوقَكَ شيء، وأنت الباطن فليس دونَك شيء))</w:t>
      </w:r>
      <w:r w:rsidRPr="00A52585">
        <w:rPr>
          <w:rtl/>
        </w:rPr>
        <w:t xml:space="preserve"> [</w:t>
      </w:r>
      <w:r w:rsidR="00777DCB" w:rsidRPr="00A52585">
        <w:rPr>
          <w:rtl/>
        </w:rPr>
        <w:t>أخرجه مسلم]</w:t>
      </w:r>
      <w:r w:rsidR="00DB731D" w:rsidRPr="00A52585">
        <w:rPr>
          <w:rtl/>
        </w:rPr>
        <w:t>،</w:t>
      </w:r>
      <w:r w:rsidR="00777DCB" w:rsidRPr="00A52585">
        <w:rPr>
          <w:rtl/>
        </w:rPr>
        <w:t xml:space="preserve"> نعلم يقيناً أن الله تعالى منزه عن أن يجري عليه زمان لأنه خالق الزمان فكان قبل الزمان</w:t>
      </w:r>
      <w:r w:rsidR="00DB731D" w:rsidRPr="00A52585">
        <w:rPr>
          <w:rtl/>
        </w:rPr>
        <w:t>،</w:t>
      </w:r>
      <w:r w:rsidR="00777DCB" w:rsidRPr="00A52585">
        <w:rPr>
          <w:rtl/>
        </w:rPr>
        <w:t xml:space="preserve"> والزمان لا ينتهي بدليل أن أهل الجنة خالدون فيها وأهل النار خالدون فيها فالزمان وإن لم يكن أزليا </w:t>
      </w:r>
      <w:r w:rsidRPr="00A52585">
        <w:rPr>
          <w:rtl/>
        </w:rPr>
        <w:t>(</w:t>
      </w:r>
      <w:r w:rsidR="00777DCB" w:rsidRPr="00A52585">
        <w:rPr>
          <w:rtl/>
        </w:rPr>
        <w:t>أي له بداية</w:t>
      </w:r>
      <w:r w:rsidRPr="00A52585">
        <w:rPr>
          <w:rtl/>
        </w:rPr>
        <w:t>)</w:t>
      </w:r>
      <w:r w:rsidR="00777DCB" w:rsidRPr="00A52585">
        <w:rPr>
          <w:rtl/>
        </w:rPr>
        <w:t xml:space="preserve"> فهو أبدي </w:t>
      </w:r>
      <w:r w:rsidRPr="00A52585">
        <w:rPr>
          <w:rtl/>
        </w:rPr>
        <w:t>(</w:t>
      </w:r>
      <w:r w:rsidR="00777DCB" w:rsidRPr="00A52585">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Pr="00A52585">
        <w:rPr>
          <w:rtl/>
        </w:rPr>
        <w:t>:</w:t>
      </w:r>
      <w:r w:rsidR="00777DCB" w:rsidRPr="00A52585">
        <w:rPr>
          <w:rtl/>
        </w:rPr>
        <w:t xml:space="preserve"> </w:t>
      </w:r>
      <w:r w:rsidRPr="00A52585">
        <w:rPr>
          <w:rtl/>
        </w:rPr>
        <w:t>{</w:t>
      </w:r>
      <w:r w:rsidR="00777DCB" w:rsidRPr="00A52585">
        <w:rPr>
          <w:rtl/>
        </w:rPr>
        <w:t>هُوَ الْأَوَّلُ وَالْآخِرُ</w:t>
      </w:r>
      <w:r w:rsidRPr="00A52585">
        <w:rPr>
          <w:rtl/>
        </w:rPr>
        <w:t>}</w:t>
      </w:r>
      <w:r w:rsidR="00777DCB" w:rsidRPr="00A52585">
        <w:rPr>
          <w:rtl/>
        </w:rPr>
        <w:t xml:space="preserve"> دليل على تنزيه الله عن الزمان فلا يتعلق به زمان لأنه خالق الزمان وهذا ما أجمع عليه أهل الأصول من هذه الأمة</w:t>
      </w:r>
      <w:r w:rsidR="00DB731D" w:rsidRPr="00A52585">
        <w:rPr>
          <w:rtl/>
        </w:rPr>
        <w:t>،</w:t>
      </w:r>
      <w:r w:rsidR="00777DCB" w:rsidRPr="00A52585">
        <w:rPr>
          <w:rtl/>
        </w:rPr>
        <w:t xml:space="preserve"> وكذلك فإن له كمال الوجود المنزه من المكان</w:t>
      </w:r>
      <w:r w:rsidR="00DB731D" w:rsidRPr="00A52585">
        <w:rPr>
          <w:rtl/>
        </w:rPr>
        <w:t>،</w:t>
      </w:r>
      <w:r w:rsidR="00777DCB" w:rsidRPr="00A52585">
        <w:rPr>
          <w:rtl/>
        </w:rPr>
        <w:t xml:space="preserve"> إذ هو الظاهر فليس فوقه شيء</w:t>
      </w:r>
      <w:r w:rsidR="00DB731D" w:rsidRPr="00A52585">
        <w:rPr>
          <w:rtl/>
        </w:rPr>
        <w:t>،</w:t>
      </w:r>
      <w:r w:rsidR="00777DCB" w:rsidRPr="00A52585">
        <w:rPr>
          <w:rtl/>
        </w:rPr>
        <w:t xml:space="preserve"> وهو الباطن فليس دونه شيء</w:t>
      </w:r>
      <w:r w:rsidR="00DB731D" w:rsidRPr="00A52585">
        <w:rPr>
          <w:rtl/>
        </w:rPr>
        <w:t>،</w:t>
      </w:r>
      <w:r w:rsidR="00777DCB" w:rsidRPr="00A52585">
        <w:rPr>
          <w:rtl/>
        </w:rPr>
        <w:t xml:space="preserve"> فوجوده قبل المكان</w:t>
      </w:r>
      <w:r w:rsidR="00DB731D" w:rsidRPr="00A52585">
        <w:rPr>
          <w:rtl/>
        </w:rPr>
        <w:t>،</w:t>
      </w:r>
      <w:r w:rsidR="00777DCB" w:rsidRPr="00A52585">
        <w:rPr>
          <w:rtl/>
        </w:rPr>
        <w:t xml:space="preserve"> إذ هو خالق المكان</w:t>
      </w:r>
      <w:r w:rsidR="00DB731D" w:rsidRPr="00A52585">
        <w:rPr>
          <w:rtl/>
        </w:rPr>
        <w:t>،</w:t>
      </w:r>
      <w:r w:rsidR="00777DCB" w:rsidRPr="00A52585">
        <w:rPr>
          <w:rtl/>
        </w:rPr>
        <w:t xml:space="preserve"> فكيف </w:t>
      </w:r>
      <w:proofErr w:type="spellStart"/>
      <w:r w:rsidR="00777DCB" w:rsidRPr="00A52585">
        <w:rPr>
          <w:rtl/>
        </w:rPr>
        <w:t>يحويه</w:t>
      </w:r>
      <w:proofErr w:type="spellEnd"/>
      <w:r w:rsidR="00777DCB" w:rsidRPr="00A52585">
        <w:rPr>
          <w:rtl/>
        </w:rPr>
        <w:t xml:space="preserve"> المكان وهو بكل شيء محيط</w:t>
      </w:r>
      <w:r w:rsidR="00DB731D" w:rsidRPr="00A52585">
        <w:rPr>
          <w:rtl/>
        </w:rPr>
        <w:t>،</w:t>
      </w:r>
      <w:r w:rsidR="00777DCB" w:rsidRPr="00A52585">
        <w:rPr>
          <w:rtl/>
        </w:rPr>
        <w:t xml:space="preserve"> وإذا لم يكن قبل </w:t>
      </w:r>
      <w:r w:rsidRPr="00A52585">
        <w:rPr>
          <w:rtl/>
        </w:rPr>
        <w:t>[</w:t>
      </w:r>
      <w:r w:rsidR="00777DCB" w:rsidRPr="00A52585">
        <w:rPr>
          <w:rtl/>
        </w:rPr>
        <w:t>الله</w:t>
      </w:r>
      <w:r w:rsidRPr="00A52585">
        <w:rPr>
          <w:rtl/>
        </w:rPr>
        <w:t>]</w:t>
      </w:r>
      <w:r w:rsidR="00777DCB" w:rsidRPr="00A52585">
        <w:rPr>
          <w:rtl/>
        </w:rPr>
        <w:t xml:space="preserve"> شيء ولا بعده شيء ولا فوقه شيء ولا دونه شيء</w:t>
      </w:r>
      <w:r w:rsidR="00DB731D" w:rsidRPr="00A52585">
        <w:rPr>
          <w:rtl/>
        </w:rPr>
        <w:t>،</w:t>
      </w:r>
      <w:r w:rsidR="00777DCB" w:rsidRPr="00A52585">
        <w:rPr>
          <w:rtl/>
        </w:rPr>
        <w:t xml:space="preserve"> وهو بكل شيء محيط</w:t>
      </w:r>
      <w:r w:rsidR="00DB731D" w:rsidRPr="00A52585">
        <w:rPr>
          <w:rtl/>
        </w:rPr>
        <w:t>،</w:t>
      </w:r>
      <w:r w:rsidR="00777DCB" w:rsidRPr="00A52585">
        <w:rPr>
          <w:rtl/>
        </w:rPr>
        <w:t xml:space="preserve"> لم يكن له شبيه ولا مثيل في وجود ذاته</w:t>
      </w:r>
      <w:r w:rsidR="00DB731D" w:rsidRPr="00A52585">
        <w:rPr>
          <w:rtl/>
        </w:rPr>
        <w:t>،</w:t>
      </w:r>
      <w:r w:rsidRPr="00A52585">
        <w:rPr>
          <w:rtl/>
        </w:rPr>
        <w:t xml:space="preserve"> </w:t>
      </w:r>
      <w:r w:rsidR="00777DCB" w:rsidRPr="00A52585">
        <w:rPr>
          <w:rtl/>
        </w:rPr>
        <w:t>وعلى ذلك</w:t>
      </w:r>
      <w:r w:rsidRPr="00A52585">
        <w:rPr>
          <w:rtl/>
        </w:rPr>
        <w:t>:</w:t>
      </w:r>
      <w:r w:rsidR="00777DCB" w:rsidRPr="00A52585">
        <w:rPr>
          <w:rtl/>
        </w:rPr>
        <w:t xml:space="preserve"> فالله موجود ولكن وجوده تعالى ليس كمثله شيء ولا له كفء ولا شبيه وليس له مثال يقاس عليه</w:t>
      </w:r>
      <w:r w:rsidR="00DB731D" w:rsidRPr="00A52585">
        <w:rPr>
          <w:rtl/>
        </w:rPr>
        <w:t>،</w:t>
      </w:r>
      <w:r w:rsidR="00777DCB" w:rsidRPr="00A52585">
        <w:rPr>
          <w:rtl/>
        </w:rPr>
        <w:t xml:space="preserve"> وعلى ذلك فإن لله تعالى كمال الوجود المطلق المنزه عن المكان فلا </w:t>
      </w:r>
      <w:proofErr w:type="spellStart"/>
      <w:r w:rsidR="00777DCB" w:rsidRPr="00A52585">
        <w:rPr>
          <w:rtl/>
        </w:rPr>
        <w:t>يحويه</w:t>
      </w:r>
      <w:proofErr w:type="spellEnd"/>
      <w:r w:rsidR="00777DCB" w:rsidRPr="00A52585">
        <w:rPr>
          <w:rtl/>
        </w:rPr>
        <w:t xml:space="preserve"> مكان</w:t>
      </w:r>
      <w:r w:rsidR="00DB731D" w:rsidRPr="00A52585">
        <w:rPr>
          <w:rtl/>
        </w:rPr>
        <w:t>،</w:t>
      </w:r>
      <w:r w:rsidR="00777DCB" w:rsidRPr="00A52585">
        <w:rPr>
          <w:rtl/>
        </w:rPr>
        <w:t xml:space="preserve"> والمنزه عن الزمان فلا يجري عليه زمان</w:t>
      </w:r>
      <w:r w:rsidR="00DB731D" w:rsidRPr="00A52585">
        <w:rPr>
          <w:rtl/>
        </w:rPr>
        <w:t>،</w:t>
      </w:r>
      <w:r w:rsidR="00777DCB" w:rsidRPr="00A52585">
        <w:rPr>
          <w:rFonts w:hint="cs"/>
          <w:rtl/>
        </w:rPr>
        <w:t xml:space="preserve"> </w:t>
      </w:r>
    </w:p>
    <w:p w14:paraId="1B6A78B9" w14:textId="39242905" w:rsidR="00777DCB" w:rsidRPr="00A52585" w:rsidRDefault="0002035C" w:rsidP="0002035C">
      <w:pPr>
        <w:rPr>
          <w:b/>
          <w:rtl/>
        </w:rPr>
      </w:pPr>
      <w:r w:rsidRPr="00A52585">
        <w:rPr>
          <w:rFonts w:hint="cs"/>
          <w:bCs/>
          <w:rtl/>
        </w:rPr>
        <w:t>[</w:t>
      </w:r>
      <w:r w:rsidR="00777DCB" w:rsidRPr="00A52585">
        <w:rPr>
          <w:rFonts w:hint="cs"/>
          <w:bCs/>
          <w:rtl/>
        </w:rPr>
        <w:t>4</w:t>
      </w:r>
      <w:r w:rsidRPr="00A52585">
        <w:rPr>
          <w:rFonts w:hint="cs"/>
          <w:bCs/>
          <w:rtl/>
        </w:rPr>
        <w:t>]:</w:t>
      </w:r>
      <w:r w:rsidR="00777DCB" w:rsidRPr="00A52585">
        <w:rPr>
          <w:rFonts w:hint="cs"/>
          <w:bCs/>
          <w:rtl/>
        </w:rPr>
        <w:t xml:space="preserve"> الله تعالى هو الواحد القهار قهر الوجود بما فيه من مخلوقاته</w:t>
      </w:r>
      <w:r w:rsidR="00DB731D" w:rsidRPr="00A52585">
        <w:rPr>
          <w:rFonts w:hint="cs"/>
          <w:rtl/>
        </w:rPr>
        <w:t>،</w:t>
      </w:r>
      <w:r w:rsidR="00777DCB" w:rsidRPr="00A52585">
        <w:rPr>
          <w:rFonts w:hint="cs"/>
          <w:rtl/>
        </w:rPr>
        <w:t xml:space="preserve"> حدّ لهم الحدود وقدّر لهم المقادير</w:t>
      </w:r>
      <w:r w:rsidR="00DB731D" w:rsidRPr="00A52585">
        <w:rPr>
          <w:rFonts w:hint="cs"/>
          <w:rtl/>
        </w:rPr>
        <w:t>،</w:t>
      </w:r>
      <w:r w:rsidR="00777DCB" w:rsidRPr="00A52585">
        <w:rPr>
          <w:rFonts w:hint="cs"/>
          <w:rtl/>
        </w:rPr>
        <w:t xml:space="preserve"> وقهرها جميعها بالحد والمقدار</w:t>
      </w:r>
      <w:r w:rsidR="00DB731D" w:rsidRPr="00A52585">
        <w:rPr>
          <w:rFonts w:hint="cs"/>
          <w:rtl/>
        </w:rPr>
        <w:t>،</w:t>
      </w:r>
      <w:r w:rsidR="00777DCB" w:rsidRPr="00A52585">
        <w:rPr>
          <w:rFonts w:hint="cs"/>
          <w:rtl/>
        </w:rPr>
        <w:t xml:space="preserve"> فما من مخلوق إلاّ وله حد ومقدار</w:t>
      </w:r>
      <w:r w:rsidR="00DB731D" w:rsidRPr="00A52585">
        <w:rPr>
          <w:rFonts w:hint="cs"/>
          <w:rtl/>
        </w:rPr>
        <w:t>،</w:t>
      </w:r>
      <w:r w:rsidR="00777DCB" w:rsidRPr="00A52585">
        <w:rPr>
          <w:rFonts w:hint="cs"/>
          <w:rtl/>
        </w:rPr>
        <w:t xml:space="preserve"> لأن الخالق سبحانه هو الذي حد له حدوده</w:t>
      </w:r>
      <w:r w:rsidR="00DB731D" w:rsidRPr="00A52585">
        <w:rPr>
          <w:rFonts w:hint="cs"/>
          <w:rtl/>
        </w:rPr>
        <w:t>،</w:t>
      </w:r>
      <w:r w:rsidR="00777DCB" w:rsidRPr="00A52585">
        <w:rPr>
          <w:rFonts w:hint="cs"/>
          <w:rtl/>
        </w:rPr>
        <w:t xml:space="preserve"> وقدّر له مقداره</w:t>
      </w:r>
      <w:r w:rsidR="00DB731D" w:rsidRPr="00A52585">
        <w:rPr>
          <w:rFonts w:hint="cs"/>
          <w:rtl/>
        </w:rPr>
        <w:t>،</w:t>
      </w:r>
      <w:r w:rsidR="00777DCB" w:rsidRPr="00A52585">
        <w:rPr>
          <w:rFonts w:hint="cs"/>
          <w:rtl/>
        </w:rPr>
        <w:t xml:space="preserve"> وقهرها جميعها بالحد والمقدار</w:t>
      </w:r>
      <w:r w:rsidR="00DB731D" w:rsidRPr="00A52585">
        <w:rPr>
          <w:rFonts w:hint="cs"/>
          <w:rtl/>
        </w:rPr>
        <w:t>،</w:t>
      </w:r>
      <w:r w:rsidR="00777DCB" w:rsidRPr="00A52585">
        <w:rPr>
          <w:rFonts w:hint="cs"/>
          <w:rtl/>
        </w:rPr>
        <w:t xml:space="preserve"> وهو سبحانه تنزه عن الحد وتنزه </w:t>
      </w:r>
      <w:r w:rsidR="00777DCB" w:rsidRPr="00A52585">
        <w:rPr>
          <w:rFonts w:hint="cs"/>
          <w:rtl/>
        </w:rPr>
        <w:lastRenderedPageBreak/>
        <w:t>عن المقدار لأنّه خالق الحدود والمقادير</w:t>
      </w:r>
      <w:r w:rsidR="00DB731D" w:rsidRPr="00A52585">
        <w:rPr>
          <w:rFonts w:hint="cs"/>
          <w:rtl/>
        </w:rPr>
        <w:t>،</w:t>
      </w:r>
      <w:r w:rsidR="00777DCB" w:rsidRPr="00A52585">
        <w:rPr>
          <w:rFonts w:hint="cs"/>
          <w:rtl/>
        </w:rPr>
        <w:t xml:space="preserve"> وقد تكرر ذكر </w:t>
      </w:r>
      <w:r w:rsidRPr="00A52585">
        <w:rPr>
          <w:rFonts w:hint="cs"/>
          <w:rtl/>
        </w:rPr>
        <w:t>{</w:t>
      </w:r>
      <w:r w:rsidR="00777DCB" w:rsidRPr="00A52585">
        <w:rPr>
          <w:rFonts w:hint="cs"/>
          <w:rtl/>
        </w:rPr>
        <w:t>الواحد القهار</w:t>
      </w:r>
      <w:r w:rsidRPr="00A52585">
        <w:rPr>
          <w:rFonts w:hint="cs"/>
          <w:rtl/>
        </w:rPr>
        <w:t>}</w:t>
      </w:r>
      <w:r w:rsidR="00777DCB" w:rsidRPr="00A52585">
        <w:rPr>
          <w:rFonts w:hint="cs"/>
          <w:rtl/>
        </w:rPr>
        <w:t xml:space="preserve"> في القرآن الكريم في ستة مواضع</w:t>
      </w:r>
      <w:r w:rsidR="00DB731D" w:rsidRPr="00A52585">
        <w:rPr>
          <w:rFonts w:hint="cs"/>
          <w:rtl/>
        </w:rPr>
        <w:t>،</w:t>
      </w:r>
      <w:r w:rsidR="00777DCB" w:rsidRPr="00A52585">
        <w:rPr>
          <w:rFonts w:hint="cs"/>
          <w:rtl/>
        </w:rPr>
        <w:t xml:space="preserve"> هي</w:t>
      </w:r>
      <w:r w:rsidRPr="00A52585">
        <w:rPr>
          <w:rFonts w:hint="cs"/>
          <w:rtl/>
        </w:rPr>
        <w:t xml:space="preserve"> </w:t>
      </w:r>
      <w:r w:rsidR="00777DCB" w:rsidRPr="00A52585">
        <w:rPr>
          <w:rFonts w:hint="cs"/>
          <w:rtl/>
        </w:rPr>
        <w:t>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اللَّهُ خَالِقُ كُلِّ شَيْءٍ وَهُوَ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الرعد</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تُبَدَّلُ الْأَرْضُ غَيْرَ الْأَرْضِ وَالسَّمَوَاتُ وَبَرَزُوا 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إِبراهيم</w:t>
      </w:r>
      <w:r w:rsidRPr="00A52585">
        <w:rPr>
          <w:rFonts w:hint="cs"/>
          <w:rtl/>
        </w:rPr>
        <w:t>:</w:t>
      </w:r>
      <w:r w:rsidR="00777DCB" w:rsidRPr="00A52585">
        <w:rPr>
          <w:rFonts w:hint="cs"/>
          <w:rtl/>
        </w:rPr>
        <w:t xml:space="preserve"> 48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{قُلْ إِنَّمَا أَنَا مُنْذِرٌ وَمَا مِنْ إِلَهٍ إِلَّا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65</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{سُبْحَانَهُ هُوَ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{يَوْمَ هُمْ بَارِزُونَ لَا يَخْفَى عَلَى اللَّهِ مِنْهُمْ شَيْءٌ لِمَنِ الْمُلْكُ الْيَوْمَ 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يَا صَاحِبَيِ السِّجْنِ </w:t>
      </w:r>
      <w:proofErr w:type="spellStart"/>
      <w:r w:rsidR="00777DCB" w:rsidRPr="00A52585">
        <w:rPr>
          <w:rFonts w:hint="cs"/>
          <w:rtl/>
        </w:rPr>
        <w:t>أَأَرْبَابٌ</w:t>
      </w:r>
      <w:proofErr w:type="spellEnd"/>
      <w:r w:rsidR="00777DCB" w:rsidRPr="00A52585">
        <w:rPr>
          <w:rFonts w:hint="cs"/>
          <w:rtl/>
        </w:rPr>
        <w:t xml:space="preserve"> مُتَفَرِّقُونَ خَيْرٌ أَمِ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يوسف</w:t>
      </w:r>
      <w:r w:rsidRPr="00A52585">
        <w:rPr>
          <w:rFonts w:hint="cs"/>
          <w:rtl/>
        </w:rPr>
        <w:t>:</w:t>
      </w:r>
      <w:r w:rsidR="00777DCB" w:rsidRPr="00A52585">
        <w:rPr>
          <w:rFonts w:hint="cs"/>
          <w:rtl/>
        </w:rPr>
        <w:t xml:space="preserve"> 39</w:t>
      </w:r>
      <w:r w:rsidRPr="00A52585">
        <w:rPr>
          <w:rFonts w:hint="cs"/>
          <w:rtl/>
        </w:rPr>
        <w:t>]</w:t>
      </w:r>
      <w:r w:rsidR="00DB731D" w:rsidRPr="00A52585">
        <w:rPr>
          <w:rFonts w:hint="cs"/>
          <w:rtl/>
        </w:rPr>
        <w:t>،</w:t>
      </w:r>
      <w:r w:rsidR="00777DCB" w:rsidRPr="00A52585">
        <w:rPr>
          <w:rFonts w:hint="cs"/>
          <w:rtl/>
        </w:rPr>
        <w:t xml:space="preserve"> فكل مخلوق - مهما كبر حجمه وعظم مقداره - محدود متناهي مقهور للحدود والقيود الحاكمة عليه</w:t>
      </w:r>
      <w:r w:rsidR="00DB731D" w:rsidRPr="00A52585">
        <w:rPr>
          <w:rFonts w:hint="cs"/>
          <w:rtl/>
        </w:rPr>
        <w:t>،</w:t>
      </w:r>
      <w:r w:rsidR="00777DCB" w:rsidRPr="00A52585">
        <w:rPr>
          <w:rFonts w:hint="cs"/>
          <w:rtl/>
        </w:rPr>
        <w:t xml:space="preserve"> والدليل على ذلك</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rtl/>
        </w:rPr>
        <w:t>وخلق كل شيء فقدره تقديراً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جعل الله لكل شيء قدرا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{وإن من شيء إلاّ عندنا </w:t>
      </w:r>
      <w:proofErr w:type="spellStart"/>
      <w:r w:rsidR="00777DCB" w:rsidRPr="00A52585">
        <w:rPr>
          <w:rFonts w:hint="cs"/>
          <w:rtl/>
        </w:rPr>
        <w:t>خزآئنه</w:t>
      </w:r>
      <w:proofErr w:type="spellEnd"/>
      <w:r w:rsidR="00777DCB" w:rsidRPr="00A52585">
        <w:rPr>
          <w:rFonts w:hint="cs"/>
          <w:rtl/>
        </w:rPr>
        <w:t xml:space="preserve"> وما ننزله إلا بقدر معلوم</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إنا كل شيء خلقناه بقدر</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قد جعل الله لكل شيء قدرا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وكل شيء عنده بمقدار</w:t>
      </w:r>
      <w:r w:rsidRPr="00A52585">
        <w:rPr>
          <w:rFonts w:hint="cs"/>
          <w:rtl/>
        </w:rPr>
        <w:t>}</w:t>
      </w:r>
      <w:r w:rsidR="00DB731D" w:rsidRPr="00A52585">
        <w:rPr>
          <w:rFonts w:hint="cs"/>
          <w:rtl/>
        </w:rPr>
        <w:t>،</w:t>
      </w:r>
      <w:r w:rsidR="00777DCB" w:rsidRPr="00A52585">
        <w:rPr>
          <w:rFonts w:hint="cs"/>
          <w:rtl/>
        </w:rPr>
        <w:t xml:space="preserve"> ومعنى هذه الآيات</w:t>
      </w:r>
      <w:r w:rsidRPr="00A52585">
        <w:rPr>
          <w:rFonts w:hint="cs"/>
          <w:rtl/>
        </w:rPr>
        <w:t xml:space="preserve"> </w:t>
      </w:r>
      <w:r w:rsidR="00777DCB" w:rsidRPr="00A52585">
        <w:rPr>
          <w:rFonts w:hint="cs"/>
          <w:rtl/>
        </w:rPr>
        <w:t xml:space="preserve">أن الله عز وجل خص كل مخلوق </w:t>
      </w:r>
      <w:r w:rsidRPr="00A52585">
        <w:rPr>
          <w:rFonts w:hint="cs"/>
          <w:rtl/>
        </w:rPr>
        <w:t>(</w:t>
      </w:r>
      <w:r w:rsidR="00777DCB" w:rsidRPr="00A52585">
        <w:rPr>
          <w:rFonts w:hint="cs"/>
          <w:rtl/>
        </w:rPr>
        <w:t>بحد ومقدار</w:t>
      </w:r>
      <w:r w:rsidRPr="00A52585">
        <w:rPr>
          <w:rFonts w:hint="cs"/>
          <w:rtl/>
        </w:rPr>
        <w:t>)</w:t>
      </w:r>
      <w:r w:rsidR="00777DCB" w:rsidRPr="00A52585">
        <w:rPr>
          <w:rFonts w:hint="cs"/>
          <w:rtl/>
        </w:rPr>
        <w:t xml:space="preserve"> لا يجاوزهما ولا يقصر عنهما</w:t>
      </w:r>
      <w:r w:rsidR="00DB731D" w:rsidRPr="00A52585">
        <w:rPr>
          <w:rFonts w:hint="cs"/>
          <w:rtl/>
        </w:rPr>
        <w:t>،</w:t>
      </w:r>
      <w:r w:rsidR="00777DCB" w:rsidRPr="00A52585">
        <w:rPr>
          <w:rFonts w:hint="cs"/>
          <w:rtl/>
        </w:rPr>
        <w:t xml:space="preserve"> والحد والمقدار سمتان من سمات المخلوق وبيان أن هناك خالق مقدِر خصصه على هذا الحد وهذا المقدار</w:t>
      </w:r>
      <w:r w:rsidR="00DB731D" w:rsidRPr="00A52585">
        <w:rPr>
          <w:rFonts w:hint="cs"/>
          <w:rtl/>
        </w:rPr>
        <w:t>،</w:t>
      </w:r>
      <w:r w:rsidR="00777DCB" w:rsidRPr="00A52585">
        <w:rPr>
          <w:rFonts w:hint="cs"/>
          <w:rtl/>
        </w:rPr>
        <w:t xml:space="preserve"> فكل موجود له حد ونهاية يكون الحد والنهاية دليل على انه مخلوق حادث</w:t>
      </w:r>
      <w:r w:rsidR="00DB731D" w:rsidRPr="00A52585">
        <w:rPr>
          <w:rFonts w:hint="cs"/>
          <w:rtl/>
        </w:rPr>
        <w:t>،</w:t>
      </w:r>
      <w:r w:rsidRPr="00A52585">
        <w:rPr>
          <w:rFonts w:hint="cs"/>
          <w:rtl/>
        </w:rPr>
        <w:t xml:space="preserve"> </w:t>
      </w:r>
      <w:r w:rsidR="00777DCB" w:rsidRPr="00A52585">
        <w:rPr>
          <w:rFonts w:hint="cs"/>
          <w:rtl/>
        </w:rPr>
        <w:t>وأن موجده ومخصصه على هذه الحال هو الله تعالى</w:t>
      </w:r>
      <w:r w:rsidR="00DB731D" w:rsidRPr="00A52585">
        <w:rPr>
          <w:rFonts w:hint="cs"/>
          <w:rtl/>
        </w:rPr>
        <w:t>،</w:t>
      </w:r>
      <w:r w:rsidRPr="00A52585">
        <w:rPr>
          <w:rFonts w:hint="cs"/>
          <w:rtl/>
        </w:rPr>
        <w:t xml:space="preserve"> </w:t>
      </w:r>
      <w:r w:rsidR="00777DCB" w:rsidRPr="00A52585">
        <w:rPr>
          <w:rFonts w:hint="cs"/>
          <w:rtl/>
        </w:rPr>
        <w:t>أَمّا الله تعالى فهو الواحد القهار</w:t>
      </w:r>
      <w:r w:rsidR="00DB731D" w:rsidRPr="00A52585">
        <w:rPr>
          <w:rFonts w:hint="cs"/>
          <w:rtl/>
        </w:rPr>
        <w:t>،</w:t>
      </w:r>
      <w:r w:rsidR="00777DCB" w:rsidRPr="00A52585">
        <w:rPr>
          <w:rFonts w:hint="cs"/>
          <w:rtl/>
        </w:rPr>
        <w:t xml:space="preserve"> فإنه لما</w:t>
      </w:r>
      <w:r w:rsidRPr="00A52585">
        <w:rPr>
          <w:rFonts w:hint="cs"/>
          <w:rtl/>
        </w:rPr>
        <w:t xml:space="preserve"> </w:t>
      </w:r>
      <w:r w:rsidR="00777DCB" w:rsidRPr="00A52585">
        <w:rPr>
          <w:rFonts w:hint="cs"/>
          <w:rtl/>
        </w:rPr>
        <w:t>كان قاهراً لجميع مخلوقاته</w:t>
      </w:r>
      <w:r w:rsidR="00DB731D" w:rsidRPr="00A52585">
        <w:rPr>
          <w:rFonts w:hint="cs"/>
          <w:rtl/>
        </w:rPr>
        <w:t>،</w:t>
      </w:r>
      <w:r w:rsidR="00777DCB" w:rsidRPr="00A52585">
        <w:rPr>
          <w:rFonts w:hint="cs"/>
          <w:rtl/>
        </w:rPr>
        <w:t xml:space="preserve"> لم تتحكّم فيه الحدود لأنّ الحدود من خلقه</w:t>
      </w:r>
      <w:r w:rsidR="00DB731D" w:rsidRPr="00A52585">
        <w:rPr>
          <w:rFonts w:hint="cs"/>
          <w:rtl/>
        </w:rPr>
        <w:t>،</w:t>
      </w:r>
      <w:r w:rsidR="00777DCB" w:rsidRPr="00A52585">
        <w:rPr>
          <w:rFonts w:hint="cs"/>
          <w:rtl/>
        </w:rPr>
        <w:t xml:space="preserve"> وهو خالق الحدود والمقادير</w:t>
      </w:r>
      <w:r w:rsidR="00DB731D" w:rsidRPr="00A52585">
        <w:rPr>
          <w:rFonts w:hint="cs"/>
          <w:rtl/>
        </w:rPr>
        <w:t>،</w:t>
      </w:r>
      <w:r w:rsidR="00777DCB" w:rsidRPr="00A52585">
        <w:rPr>
          <w:rFonts w:hint="cs"/>
          <w:rtl/>
        </w:rPr>
        <w:t xml:space="preserve"> وإذا كان تعالى لا يقهره شيء وهو القاهر فوق كلّ شيء، فليس بمحدود في شيء، منزه عن المقدار</w:t>
      </w:r>
      <w:r w:rsidR="00DB731D" w:rsidRPr="00A52585">
        <w:rPr>
          <w:rFonts w:hint="cs"/>
          <w:rtl/>
        </w:rPr>
        <w:t>،</w:t>
      </w:r>
      <w:r w:rsidR="00777DCB" w:rsidRPr="00A52585">
        <w:rPr>
          <w:rFonts w:hint="cs"/>
          <w:rtl/>
        </w:rPr>
        <w:t xml:space="preserve"> لأنه سبحانه الواحد القهار لا يشوبه نقص</w:t>
      </w:r>
      <w:r w:rsidR="00DB731D" w:rsidRPr="00A52585">
        <w:rPr>
          <w:rFonts w:hint="cs"/>
          <w:rtl/>
        </w:rPr>
        <w:t>،</w:t>
      </w:r>
      <w:r w:rsidR="00777DCB" w:rsidRPr="00A52585">
        <w:rPr>
          <w:rFonts w:hint="cs"/>
          <w:rtl/>
        </w:rPr>
        <w:t xml:space="preserve"> ولا يحده حد</w:t>
      </w:r>
      <w:r w:rsidR="00DB731D" w:rsidRPr="00A52585">
        <w:rPr>
          <w:rFonts w:hint="cs"/>
          <w:rtl/>
        </w:rPr>
        <w:t>،</w:t>
      </w:r>
      <w:r w:rsidR="00777DCB" w:rsidRPr="00A52585">
        <w:rPr>
          <w:rFonts w:hint="cs"/>
          <w:rtl/>
        </w:rPr>
        <w:t xml:space="preserve"> ولا يقدره مقدار</w:t>
      </w:r>
      <w:r w:rsidR="00DB731D" w:rsidRPr="00A52585">
        <w:rPr>
          <w:rFonts w:hint="cs"/>
          <w:rtl/>
        </w:rPr>
        <w:t>،</w:t>
      </w:r>
      <w:r w:rsidR="00777DCB" w:rsidRPr="00A52585">
        <w:rPr>
          <w:rFonts w:hint="cs"/>
          <w:rtl/>
        </w:rPr>
        <w:t xml:space="preserve"> كيف وهو الذي خلق الحدود والمقادير وهو الواحد القهار</w:t>
      </w:r>
      <w:r w:rsidR="00DB731D" w:rsidRPr="00A52585">
        <w:rPr>
          <w:rFonts w:hint="cs"/>
          <w:rtl/>
        </w:rPr>
        <w:t>،</w:t>
      </w:r>
      <w:r w:rsidR="00777DCB" w:rsidRPr="00A52585">
        <w:rPr>
          <w:rFonts w:hint="cs"/>
          <w:rtl/>
        </w:rPr>
        <w:t xml:space="preserve"> والله سبحانه هو الذي قهر الوجود بما فيه من مخلوقاته بأن خلق لهم المكان يحيط بهم من كل جانب</w:t>
      </w:r>
      <w:r w:rsidR="00DB731D" w:rsidRPr="00A52585">
        <w:rPr>
          <w:rFonts w:hint="cs"/>
          <w:rtl/>
        </w:rPr>
        <w:t>،</w:t>
      </w:r>
      <w:r w:rsidR="00777DCB" w:rsidRPr="00A52585">
        <w:rPr>
          <w:rFonts w:hint="cs"/>
          <w:rtl/>
        </w:rPr>
        <w:t xml:space="preserve"> فلا يستطيعون الفكاك منه وهم مقهورون به فلا يكونون إلا في مكان</w:t>
      </w:r>
      <w:r w:rsidR="00DB731D" w:rsidRPr="00A52585">
        <w:rPr>
          <w:rFonts w:hint="cs"/>
          <w:rtl/>
        </w:rPr>
        <w:t>،</w:t>
      </w:r>
      <w:r w:rsidR="00777DCB" w:rsidRPr="00A52585">
        <w:rPr>
          <w:rFonts w:hint="cs"/>
          <w:rtl/>
        </w:rPr>
        <w:t xml:space="preserve"> وخلق لهم الزمان لتجري عليهم قوانينه</w:t>
      </w:r>
      <w:r w:rsidR="00DB731D" w:rsidRPr="00A52585">
        <w:rPr>
          <w:rFonts w:hint="cs"/>
          <w:rtl/>
        </w:rPr>
        <w:t>،</w:t>
      </w:r>
      <w:r w:rsidR="00777DCB" w:rsidRPr="00A52585">
        <w:rPr>
          <w:rFonts w:hint="cs"/>
          <w:rtl/>
        </w:rPr>
        <w:t xml:space="preserve"> فلا يستطيعون الحياة إلا بقوانين الزمان</w:t>
      </w:r>
      <w:r w:rsidR="00DB731D" w:rsidRPr="00A52585">
        <w:rPr>
          <w:rFonts w:hint="cs"/>
          <w:rtl/>
        </w:rPr>
        <w:t>،</w:t>
      </w:r>
      <w:r w:rsidR="00777DCB" w:rsidRPr="00A52585">
        <w:rPr>
          <w:rFonts w:hint="cs"/>
          <w:rtl/>
        </w:rPr>
        <w:t xml:space="preserve"> أما الله تعالى خالق الزمان والمكان</w:t>
      </w:r>
      <w:r w:rsidR="00DB731D" w:rsidRPr="00A52585">
        <w:rPr>
          <w:rFonts w:hint="cs"/>
          <w:rtl/>
        </w:rPr>
        <w:t>،</w:t>
      </w:r>
      <w:r w:rsidR="00777DCB" w:rsidRPr="00A52585">
        <w:rPr>
          <w:rFonts w:hint="cs"/>
          <w:rtl/>
        </w:rPr>
        <w:t xml:space="preserve"> وهو القاهر والقهار فوق جميع خلقه</w:t>
      </w:r>
      <w:r w:rsidR="00DB731D" w:rsidRPr="00A52585">
        <w:rPr>
          <w:rFonts w:hint="cs"/>
          <w:rtl/>
        </w:rPr>
        <w:t>،</w:t>
      </w:r>
      <w:r w:rsidR="00777DCB" w:rsidRPr="00A52585">
        <w:rPr>
          <w:rFonts w:hint="cs"/>
          <w:rtl/>
        </w:rPr>
        <w:t xml:space="preserve"> فهو القاهر للمكان</w:t>
      </w:r>
      <w:r w:rsidR="00DB731D" w:rsidRPr="00A52585">
        <w:rPr>
          <w:rFonts w:hint="cs"/>
          <w:rtl/>
        </w:rPr>
        <w:t>،</w:t>
      </w:r>
      <w:r w:rsidR="00777DCB" w:rsidRPr="00A52585">
        <w:rPr>
          <w:rFonts w:hint="cs"/>
          <w:rtl/>
        </w:rPr>
        <w:t xml:space="preserve"> فلا </w:t>
      </w:r>
      <w:proofErr w:type="spellStart"/>
      <w:r w:rsidR="00777DCB" w:rsidRPr="00A52585">
        <w:rPr>
          <w:rFonts w:hint="cs"/>
          <w:rtl/>
        </w:rPr>
        <w:t>يحويه</w:t>
      </w:r>
      <w:proofErr w:type="spellEnd"/>
      <w:r w:rsidR="00777DCB" w:rsidRPr="00A52585">
        <w:rPr>
          <w:rFonts w:hint="cs"/>
          <w:rtl/>
        </w:rPr>
        <w:t xml:space="preserve"> مكان</w:t>
      </w:r>
      <w:r w:rsidR="00DB731D" w:rsidRPr="00A52585">
        <w:rPr>
          <w:rFonts w:hint="cs"/>
          <w:rtl/>
        </w:rPr>
        <w:t>،</w:t>
      </w:r>
      <w:r w:rsidR="00777DCB" w:rsidRPr="00A52585">
        <w:rPr>
          <w:rFonts w:hint="cs"/>
          <w:rtl/>
        </w:rPr>
        <w:t xml:space="preserve"> ولو </w:t>
      </w:r>
      <w:proofErr w:type="spellStart"/>
      <w:r w:rsidR="00777DCB" w:rsidRPr="00A52585">
        <w:rPr>
          <w:rFonts w:hint="cs"/>
          <w:rtl/>
        </w:rPr>
        <w:t>حواه</w:t>
      </w:r>
      <w:proofErr w:type="spellEnd"/>
      <w:r w:rsidR="00777DCB" w:rsidRPr="00A52585">
        <w:rPr>
          <w:rFonts w:hint="cs"/>
          <w:rtl/>
        </w:rPr>
        <w:t xml:space="preserve"> المكان كان المكان له قاهراً</w:t>
      </w:r>
      <w:r w:rsidR="00DB731D" w:rsidRPr="00A52585">
        <w:rPr>
          <w:rFonts w:hint="cs"/>
          <w:rtl/>
        </w:rPr>
        <w:t>،</w:t>
      </w:r>
      <w:r w:rsidR="00777DCB" w:rsidRPr="00A52585">
        <w:rPr>
          <w:rFonts w:hint="cs"/>
          <w:rtl/>
        </w:rPr>
        <w:t xml:space="preserve"> وعليه حاكما</w:t>
      </w:r>
      <w:r w:rsidR="00DB731D" w:rsidRPr="00A52585">
        <w:rPr>
          <w:rFonts w:hint="cs"/>
          <w:rtl/>
        </w:rPr>
        <w:t>،</w:t>
      </w:r>
      <w:r w:rsidR="00777DCB" w:rsidRPr="00A52585">
        <w:rPr>
          <w:rFonts w:hint="cs"/>
          <w:rtl/>
        </w:rPr>
        <w:t xml:space="preserve"> ولكنه سبحانه القاهر فوق المكان والمحيط بكل شيء ومنه المكان</w:t>
      </w:r>
      <w:r w:rsidR="00DB731D" w:rsidRPr="00A52585">
        <w:rPr>
          <w:rFonts w:hint="cs"/>
          <w:rtl/>
        </w:rPr>
        <w:t>،</w:t>
      </w:r>
      <w:r w:rsidR="00777DCB" w:rsidRPr="00A52585">
        <w:rPr>
          <w:rFonts w:hint="cs"/>
          <w:rtl/>
        </w:rPr>
        <w:t xml:space="preserve"> وهو سبحانه القاهر على الزمان</w:t>
      </w:r>
      <w:r w:rsidR="00DB731D" w:rsidRPr="00A52585">
        <w:rPr>
          <w:rFonts w:hint="cs"/>
          <w:rtl/>
        </w:rPr>
        <w:t>،</w:t>
      </w:r>
      <w:r w:rsidR="00777DCB" w:rsidRPr="00A52585">
        <w:rPr>
          <w:rFonts w:hint="cs"/>
          <w:rtl/>
        </w:rPr>
        <w:t xml:space="preserve"> فلا يجري عليه زمان</w:t>
      </w:r>
      <w:r w:rsidR="00DB731D" w:rsidRPr="00A52585">
        <w:rPr>
          <w:rFonts w:hint="cs"/>
          <w:rtl/>
        </w:rPr>
        <w:t>،</w:t>
      </w:r>
      <w:r w:rsidR="00777DCB" w:rsidRPr="00A52585">
        <w:rPr>
          <w:rFonts w:hint="cs"/>
          <w:rtl/>
        </w:rPr>
        <w:t xml:space="preserve"> ولو جرى عليه الزمان لكان الزمان له قاهرا</w:t>
      </w:r>
      <w:r w:rsidR="00DB731D" w:rsidRPr="00A52585">
        <w:rPr>
          <w:rFonts w:hint="cs"/>
          <w:rtl/>
        </w:rPr>
        <w:t>،</w:t>
      </w:r>
      <w:r w:rsidR="00777DCB" w:rsidRPr="00A52585">
        <w:rPr>
          <w:rFonts w:hint="cs"/>
          <w:rtl/>
        </w:rPr>
        <w:t xml:space="preserve"> وعليه حاكما</w:t>
      </w:r>
      <w:r w:rsidR="00DB731D" w:rsidRPr="00A52585">
        <w:rPr>
          <w:rFonts w:hint="cs"/>
          <w:rtl/>
        </w:rPr>
        <w:t>،</w:t>
      </w:r>
      <w:r w:rsidR="00777DCB" w:rsidRPr="00A52585">
        <w:rPr>
          <w:rFonts w:hint="cs"/>
          <w:rtl/>
        </w:rPr>
        <w:t xml:space="preserve"> ولكنه سبحانه خالق المكان والزمان</w:t>
      </w:r>
      <w:r w:rsidR="00DB731D" w:rsidRPr="00A52585">
        <w:rPr>
          <w:rFonts w:hint="cs"/>
          <w:rtl/>
        </w:rPr>
        <w:t>،</w:t>
      </w:r>
      <w:r w:rsidR="00777DCB" w:rsidRPr="00A52585">
        <w:rPr>
          <w:rFonts w:hint="cs"/>
          <w:rtl/>
        </w:rPr>
        <w:t xml:space="preserve"> وقاهر المكان الزمان</w:t>
      </w:r>
      <w:r w:rsidR="00DB731D" w:rsidRPr="00A52585">
        <w:rPr>
          <w:rFonts w:hint="cs"/>
          <w:rtl/>
        </w:rPr>
        <w:t>،</w:t>
      </w:r>
      <w:r w:rsidR="00777DCB" w:rsidRPr="00A52585">
        <w:rPr>
          <w:rFonts w:hint="cs"/>
          <w:rtl/>
        </w:rPr>
        <w:t xml:space="preserve"> فلا </w:t>
      </w:r>
      <w:proofErr w:type="spellStart"/>
      <w:r w:rsidR="00777DCB" w:rsidRPr="00A52585">
        <w:rPr>
          <w:rFonts w:hint="cs"/>
          <w:rtl/>
        </w:rPr>
        <w:t>يحويه</w:t>
      </w:r>
      <w:proofErr w:type="spellEnd"/>
      <w:r w:rsidR="00777DCB" w:rsidRPr="00A52585">
        <w:rPr>
          <w:rFonts w:hint="cs"/>
          <w:rtl/>
        </w:rPr>
        <w:t xml:space="preserve"> مكان</w:t>
      </w:r>
      <w:r w:rsidR="00DB731D" w:rsidRPr="00A52585">
        <w:rPr>
          <w:rFonts w:hint="cs"/>
          <w:rtl/>
        </w:rPr>
        <w:t>،</w:t>
      </w:r>
      <w:r w:rsidR="00777DCB" w:rsidRPr="00A52585">
        <w:rPr>
          <w:rFonts w:hint="cs"/>
          <w:rtl/>
        </w:rPr>
        <w:t xml:space="preserve"> ولا يجري عليه زمان</w:t>
      </w:r>
      <w:r w:rsidR="00DB731D" w:rsidRPr="00A52585">
        <w:rPr>
          <w:rFonts w:hint="cs"/>
          <w:rtl/>
        </w:rPr>
        <w:t>،</w:t>
      </w:r>
      <w:r w:rsidR="00777DCB" w:rsidRPr="00A52585">
        <w:rPr>
          <w:rFonts w:hint="cs"/>
          <w:rtl/>
        </w:rPr>
        <w:t xml:space="preserve"> تنزه عن الكون في مكان فلا يحيط به مكان</w:t>
      </w:r>
      <w:r w:rsidR="00DB731D" w:rsidRPr="00A52585">
        <w:rPr>
          <w:rFonts w:hint="cs"/>
          <w:rtl/>
        </w:rPr>
        <w:t>،</w:t>
      </w:r>
      <w:r w:rsidR="00777DCB" w:rsidRPr="00A52585">
        <w:rPr>
          <w:rFonts w:hint="cs"/>
          <w:rtl/>
        </w:rPr>
        <w:t xml:space="preserve"> كيف يحيط به المكان سبحانه وهو </w:t>
      </w:r>
      <w:r w:rsidR="00777DCB" w:rsidRPr="00A52585">
        <w:rPr>
          <w:rFonts w:hint="cs"/>
          <w:rtl/>
        </w:rPr>
        <w:lastRenderedPageBreak/>
        <w:t>القائل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وَلِلَّهِ مَا فِي السَّمَوَاتِ وَمَا فِي الْأَرْضِ وَكَانَ اللَّهُ بِكُلِّ شَيْءٍ مُحِيطًا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126</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تنبيه</w:t>
      </w:r>
      <w:r w:rsidRPr="00A52585">
        <w:rPr>
          <w:rFonts w:hint="cs"/>
          <w:rtl/>
        </w:rPr>
        <w:t>):</w:t>
      </w:r>
      <w:r w:rsidR="00777DCB" w:rsidRPr="00A52585">
        <w:rPr>
          <w:rFonts w:hint="cs"/>
          <w:rtl/>
        </w:rPr>
        <w:t xml:space="preserve"> </w:t>
      </w:r>
      <w:r w:rsidR="00777DCB" w:rsidRPr="00A52585">
        <w:rPr>
          <w:rFonts w:hint="cs"/>
          <w:rtl/>
          <w:lang w:bidi="ar-KW"/>
        </w:rPr>
        <w:t>سيأتي بيان معنى الإحاطة وبيان تنزيه الله تعالى عن الاحاطة الحسية وبيان شرح الآية</w:t>
      </w:r>
      <w:r w:rsidR="00DB731D" w:rsidRPr="00A52585">
        <w:rPr>
          <w:rFonts w:hint="cs"/>
          <w:rtl/>
          <w:lang w:bidi="ar-KW"/>
        </w:rPr>
        <w:t>،</w:t>
      </w:r>
      <w:r w:rsidR="00777DCB" w:rsidRPr="00A52585">
        <w:rPr>
          <w:rFonts w:hint="cs"/>
          <w:rtl/>
        </w:rPr>
        <w:t xml:space="preserve"> وهو سبحانه القائل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أَلَا إِنَّهُمْ فِي مِرْيَةٍ مِنْ لِقَاءِ رَبِّهِمْ أَلَا إِنَّهُ بِكُلِّ شَيْءٍ مُحِيطٌ</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فصلت</w:t>
      </w:r>
      <w:r w:rsidRPr="00A52585">
        <w:rPr>
          <w:rFonts w:hint="cs"/>
          <w:rtl/>
        </w:rPr>
        <w:t>:</w:t>
      </w:r>
      <w:r w:rsidR="00777DCB" w:rsidRPr="00A52585">
        <w:rPr>
          <w:rFonts w:hint="cs"/>
          <w:rtl/>
        </w:rPr>
        <w:t xml:space="preserve"> 54</w:t>
      </w:r>
      <w:r w:rsidRPr="00A52585">
        <w:rPr>
          <w:rFonts w:hint="cs"/>
          <w:rtl/>
        </w:rPr>
        <w:t>]</w:t>
      </w:r>
      <w:r w:rsidR="00DB731D" w:rsidRPr="00A52585">
        <w:rPr>
          <w:rFonts w:hint="cs"/>
          <w:rtl/>
        </w:rPr>
        <w:t>،</w:t>
      </w:r>
      <w:r w:rsidR="00777DCB" w:rsidRPr="00A52585">
        <w:rPr>
          <w:rFonts w:hint="cs"/>
          <w:rtl/>
        </w:rPr>
        <w:t xml:space="preserve"> كما أنه سبحانه تنزه عن أن يجري عليه زمان</w:t>
      </w:r>
      <w:r w:rsidR="00DB731D" w:rsidRPr="00A52585">
        <w:rPr>
          <w:rFonts w:hint="cs"/>
          <w:rtl/>
        </w:rPr>
        <w:t>،</w:t>
      </w:r>
      <w:r w:rsidR="00777DCB" w:rsidRPr="00A52585">
        <w:rPr>
          <w:rFonts w:hint="cs"/>
          <w:rtl/>
        </w:rPr>
        <w:t xml:space="preserve"> أو أن تحكمه قوانين الزمان</w:t>
      </w:r>
      <w:r w:rsidR="00DB731D" w:rsidRPr="00A52585">
        <w:rPr>
          <w:rFonts w:hint="cs"/>
          <w:rtl/>
        </w:rPr>
        <w:t>،</w:t>
      </w:r>
      <w:r w:rsidR="00777DCB" w:rsidRPr="00A52585">
        <w:rPr>
          <w:rFonts w:hint="cs"/>
          <w:rtl/>
        </w:rPr>
        <w:t xml:space="preserve"> لا يغيب عن علمه وسمعه وبصره شيء</w:t>
      </w:r>
      <w:r w:rsidR="00DB731D" w:rsidRPr="00A52585">
        <w:rPr>
          <w:rFonts w:hint="cs"/>
          <w:rtl/>
        </w:rPr>
        <w:t>،</w:t>
      </w:r>
      <w:r w:rsidR="00777DCB" w:rsidRPr="00A52585">
        <w:rPr>
          <w:rFonts w:hint="cs"/>
          <w:rtl/>
        </w:rPr>
        <w:t xml:space="preserve"> ليس كمثله شيء ولا نحيط به علما وما قدرناه سبحانه حق قدره وهو الواحد القهار</w:t>
      </w:r>
      <w:r w:rsidR="00DB731D" w:rsidRPr="00A52585">
        <w:rPr>
          <w:rFonts w:hint="cs"/>
          <w:rtl/>
        </w:rPr>
        <w:t>،</w:t>
      </w:r>
      <w:r w:rsidR="00777DCB" w:rsidRPr="00A52585">
        <w:rPr>
          <w:rFonts w:hint="cs"/>
          <w:rtl/>
        </w:rPr>
        <w:t xml:space="preserve"> ولو كان الزمان يحكمه سبحانه</w:t>
      </w:r>
      <w:r w:rsidR="00DB731D" w:rsidRPr="00A52585">
        <w:rPr>
          <w:rFonts w:hint="cs"/>
          <w:rtl/>
        </w:rPr>
        <w:t>،</w:t>
      </w:r>
      <w:r w:rsidR="00777DCB" w:rsidRPr="00A52585">
        <w:rPr>
          <w:rFonts w:hint="cs"/>
          <w:rtl/>
        </w:rPr>
        <w:t xml:space="preserve"> لكان مثل مخلوقاته تجري عليهم قوانين الزمان</w:t>
      </w:r>
      <w:r w:rsidR="00DB731D" w:rsidRPr="00A52585">
        <w:rPr>
          <w:rFonts w:hint="cs"/>
          <w:rtl/>
        </w:rPr>
        <w:t>،</w:t>
      </w:r>
      <w:r w:rsidR="00777DCB" w:rsidRPr="00A52585">
        <w:rPr>
          <w:rFonts w:hint="cs"/>
          <w:rtl/>
        </w:rPr>
        <w:t xml:space="preserve"> جل عن ذلك وتعالى علواً كبيرا</w:t>
      </w:r>
      <w:r w:rsidR="00DB731D" w:rsidRPr="00A52585">
        <w:rPr>
          <w:rFonts w:hint="cs"/>
          <w:rtl/>
        </w:rPr>
        <w:t>،</w:t>
      </w:r>
      <w:r w:rsidR="00777DCB" w:rsidRPr="00A52585">
        <w:rPr>
          <w:rFonts w:hint="cs"/>
          <w:rtl/>
        </w:rPr>
        <w:t xml:space="preserve"> </w:t>
      </w:r>
    </w:p>
    <w:p w14:paraId="5EA61E3B" w14:textId="5F91CAC8" w:rsidR="00777DCB" w:rsidRPr="00A52585" w:rsidRDefault="0002035C" w:rsidP="0002035C">
      <w:pPr>
        <w:rPr>
          <w:rFonts w:eastAsia="Times New Roman"/>
          <w:b/>
          <w:rtl/>
        </w:rPr>
      </w:pPr>
      <w:r w:rsidRPr="00A52585">
        <w:rPr>
          <w:rFonts w:hint="cs"/>
          <w:bCs/>
          <w:rtl/>
        </w:rPr>
        <w:t>[</w:t>
      </w:r>
      <w:r w:rsidR="00777DCB" w:rsidRPr="00A52585">
        <w:rPr>
          <w:rFonts w:hint="cs"/>
          <w:bCs/>
          <w:rtl/>
        </w:rPr>
        <w:t>5</w:t>
      </w:r>
      <w:r w:rsidRPr="00A52585">
        <w:rPr>
          <w:rFonts w:hint="cs"/>
          <w:bCs/>
          <w:rtl/>
        </w:rPr>
        <w:t>]:</w:t>
      </w:r>
      <w:r w:rsidR="00777DCB" w:rsidRPr="00A52585">
        <w:rPr>
          <w:rFonts w:hint="cs"/>
          <w:bCs/>
          <w:rtl/>
        </w:rPr>
        <w:t xml:space="preserve"> الله تعالى هو الواحد الأحد</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rPr>
        <w:t>الواحد</w:t>
      </w:r>
      <w:r w:rsidRPr="00A52585">
        <w:rPr>
          <w:rFonts w:hint="cs"/>
          <w:bCs/>
          <w:rtl/>
        </w:rPr>
        <w:t>)</w:t>
      </w:r>
      <w:r w:rsidR="00777DCB" w:rsidRPr="00A52585">
        <w:rPr>
          <w:rFonts w:hint="cs"/>
          <w:bCs/>
          <w:rtl/>
        </w:rPr>
        <w:t xml:space="preserve"> </w:t>
      </w:r>
      <w:r w:rsidR="00777DCB" w:rsidRPr="00A52585">
        <w:rPr>
          <w:rFonts w:hint="cs"/>
          <w:rtl/>
        </w:rPr>
        <w:t xml:space="preserve">له </w:t>
      </w:r>
      <w:r w:rsidRPr="00A52585">
        <w:rPr>
          <w:rFonts w:hint="cs"/>
          <w:rtl/>
        </w:rPr>
        <w:t>(</w:t>
      </w:r>
      <w:r w:rsidR="00777DCB" w:rsidRPr="00A52585">
        <w:rPr>
          <w:rFonts w:hint="cs"/>
          <w:rtl/>
        </w:rPr>
        <w:t>الواحدية</w:t>
      </w:r>
      <w:r w:rsidRPr="00A52585">
        <w:rPr>
          <w:rFonts w:hint="cs"/>
          <w:rtl/>
        </w:rPr>
        <w:t>)</w:t>
      </w:r>
      <w:r w:rsidR="00777DCB" w:rsidRPr="00A52585">
        <w:rPr>
          <w:rFonts w:hint="cs"/>
          <w:rtl/>
        </w:rPr>
        <w:t xml:space="preserve"> </w:t>
      </w:r>
      <w:r w:rsidR="00777DCB" w:rsidRPr="00A52585">
        <w:rPr>
          <w:rFonts w:eastAsia="Times New Roman" w:hint="cs"/>
          <w:rtl/>
        </w:rPr>
        <w:t>قال تعالى</w:t>
      </w:r>
      <w:r w:rsidRPr="00A52585">
        <w:rPr>
          <w:rFonts w:eastAsia="Times New Roman" w:hint="cs"/>
          <w:rtl/>
        </w:rPr>
        <w:t>:</w:t>
      </w:r>
      <w:r w:rsidR="00777DCB" w:rsidRPr="00A52585">
        <w:rPr>
          <w:rFonts w:eastAsia="Times New Roman" w:hint="cs"/>
          <w:rtl/>
        </w:rPr>
        <w:t xml:space="preserve"> </w:t>
      </w:r>
      <w:r w:rsidR="00777DCB" w:rsidRPr="00A52585">
        <w:rPr>
          <w:rFonts w:hint="cs"/>
          <w:rtl/>
        </w:rPr>
        <w:t>{سُبْحَانَهُ هُوَ اللَّهُ الْوَاحِدُ الْقَهَّارُ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eastAsia="Times New Roman" w:hint="cs"/>
          <w:rtl/>
        </w:rPr>
        <w:t xml:space="preserve"> والله تعالى هو </w:t>
      </w:r>
      <w:r w:rsidRPr="00A52585">
        <w:rPr>
          <w:rFonts w:hint="cs"/>
          <w:bCs/>
          <w:rtl/>
        </w:rPr>
        <w:t>(</w:t>
      </w:r>
      <w:r w:rsidR="00777DCB" w:rsidRPr="00A52585">
        <w:rPr>
          <w:rFonts w:hint="cs"/>
          <w:bCs/>
          <w:rtl/>
        </w:rPr>
        <w:t>الأحد</w:t>
      </w:r>
      <w:r w:rsidRPr="00A52585">
        <w:rPr>
          <w:rFonts w:hint="cs"/>
          <w:bCs/>
          <w:rtl/>
        </w:rPr>
        <w:t>)</w:t>
      </w:r>
      <w:r w:rsidR="00777DCB" w:rsidRPr="00A52585">
        <w:rPr>
          <w:rFonts w:hint="cs"/>
          <w:bCs/>
          <w:rtl/>
        </w:rPr>
        <w:t xml:space="preserve"> </w:t>
      </w:r>
      <w:r w:rsidR="00777DCB" w:rsidRPr="00A52585">
        <w:rPr>
          <w:rFonts w:hint="cs"/>
          <w:rtl/>
        </w:rPr>
        <w:t>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الأحدية</w:t>
      </w:r>
      <w:r w:rsidRPr="00A52585">
        <w:rPr>
          <w:rFonts w:hint="cs"/>
          <w:rtl/>
        </w:rPr>
        <w:t>)</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قُلْ هُوَ اللَّهُ أَحَدٌ</w:t>
      </w:r>
      <w:r w:rsidRPr="00A52585">
        <w:rPr>
          <w:rFonts w:hint="cs"/>
          <w:rtl/>
        </w:rPr>
        <w:t>}</w:t>
      </w:r>
      <w:r w:rsidR="00DB731D" w:rsidRPr="00A52585">
        <w:rPr>
          <w:rFonts w:hint="cs"/>
          <w:rtl/>
          <w:lang w:bidi="ar-EG"/>
        </w:rPr>
        <w:t>،</w:t>
      </w:r>
      <w:r w:rsidR="00777DCB" w:rsidRPr="00A52585">
        <w:rPr>
          <w:rFonts w:hint="cs"/>
          <w:rtl/>
          <w:lang w:bidi="ar-EG"/>
        </w:rPr>
        <w:t xml:space="preserve"> والله تعالى </w:t>
      </w:r>
      <w:r w:rsidRPr="00A52585">
        <w:rPr>
          <w:rFonts w:hint="cs"/>
          <w:rtl/>
          <w:lang w:bidi="ar-EG"/>
        </w:rPr>
        <w:t>[</w:t>
      </w:r>
      <w:r w:rsidR="00777DCB" w:rsidRPr="00A52585">
        <w:rPr>
          <w:rFonts w:hint="cs"/>
          <w:rtl/>
          <w:lang w:bidi="ar-EG"/>
        </w:rPr>
        <w:t>واحد</w:t>
      </w:r>
      <w:r w:rsidRPr="00A52585">
        <w:rPr>
          <w:rFonts w:hint="cs"/>
          <w:rtl/>
          <w:lang w:bidi="ar-EG"/>
        </w:rPr>
        <w:t>]</w:t>
      </w:r>
      <w:r w:rsidR="00777DCB" w:rsidRPr="00A52585">
        <w:rPr>
          <w:rFonts w:hint="cs"/>
          <w:rtl/>
          <w:lang w:bidi="ar-EG"/>
        </w:rPr>
        <w:t xml:space="preserve"> لا شريك ولا ند ولا كفء ولا مثيل له في ذاته ولا صفاته ولا أفعاله</w:t>
      </w:r>
      <w:r w:rsidR="00DB731D" w:rsidRPr="00A52585">
        <w:rPr>
          <w:rFonts w:hint="cs"/>
          <w:rtl/>
          <w:lang w:bidi="ar-EG"/>
        </w:rPr>
        <w:t>،</w:t>
      </w:r>
      <w:r w:rsidR="00777DCB" w:rsidRPr="00A52585">
        <w:rPr>
          <w:rFonts w:hint="cs"/>
          <w:rtl/>
          <w:lang w:bidi="ar-EG"/>
        </w:rPr>
        <w:t xml:space="preserve"> والله تعالى </w:t>
      </w:r>
      <w:r w:rsidRPr="00A52585">
        <w:rPr>
          <w:rFonts w:hint="cs"/>
          <w:rtl/>
          <w:lang w:bidi="ar-EG"/>
        </w:rPr>
        <w:t>[</w:t>
      </w:r>
      <w:r w:rsidR="00777DCB" w:rsidRPr="00A52585">
        <w:rPr>
          <w:rFonts w:hint="cs"/>
          <w:rtl/>
          <w:lang w:bidi="ar-EG"/>
        </w:rPr>
        <w:t>أحد</w:t>
      </w:r>
      <w:r w:rsidRPr="00A52585">
        <w:rPr>
          <w:rFonts w:hint="cs"/>
          <w:rtl/>
          <w:lang w:bidi="ar-EG"/>
        </w:rPr>
        <w:t>]</w:t>
      </w:r>
      <w:r w:rsidR="00777DCB" w:rsidRPr="00A52585">
        <w:rPr>
          <w:rFonts w:hint="cs"/>
          <w:rtl/>
          <w:lang w:bidi="ar-EG"/>
        </w:rPr>
        <w:t xml:space="preserve"> لا جزء له منزه عن التركيب والأجزاء والأبعاض والجوارح</w:t>
      </w:r>
      <w:r w:rsidR="00DB731D" w:rsidRPr="00A52585">
        <w:rPr>
          <w:rFonts w:hint="cs"/>
          <w:rtl/>
          <w:lang w:bidi="ar-EG"/>
        </w:rPr>
        <w:t>،</w:t>
      </w:r>
      <w:r w:rsidR="00777DCB" w:rsidRPr="00A52585">
        <w:rPr>
          <w:rFonts w:hint="cs"/>
          <w:rtl/>
          <w:lang w:bidi="ar-EG"/>
        </w:rPr>
        <w:t xml:space="preserve"> </w:t>
      </w:r>
      <w:r w:rsidR="00777DCB" w:rsidRPr="00A52585">
        <w:rPr>
          <w:rFonts w:hint="cs"/>
          <w:rtl/>
        </w:rPr>
        <w:t xml:space="preserve">والتركيب مستحيل عليه سبحانه ؛ لأنّ الشيء المركب من مجموعة </w:t>
      </w:r>
      <w:proofErr w:type="spellStart"/>
      <w:r w:rsidR="00777DCB" w:rsidRPr="00A52585">
        <w:rPr>
          <w:rFonts w:hint="cs"/>
          <w:rtl/>
        </w:rPr>
        <w:t>أجزاء</w:t>
      </w:r>
      <w:r w:rsidR="00DB731D" w:rsidRPr="00A52585">
        <w:rPr>
          <w:rFonts w:hint="cs"/>
          <w:rtl/>
        </w:rPr>
        <w:t>،</w:t>
      </w:r>
      <w:r w:rsidR="00777DCB" w:rsidRPr="00A52585">
        <w:rPr>
          <w:rFonts w:hint="cs"/>
          <w:rtl/>
        </w:rPr>
        <w:t>محتاج</w:t>
      </w:r>
      <w:proofErr w:type="spellEnd"/>
      <w:r w:rsidR="00777DCB" w:rsidRPr="00A52585">
        <w:rPr>
          <w:rFonts w:hint="cs"/>
          <w:rtl/>
        </w:rPr>
        <w:t xml:space="preserve"> في وجوده إليها</w:t>
      </w:r>
      <w:r w:rsidR="00DB731D" w:rsidRPr="00A52585">
        <w:rPr>
          <w:rFonts w:hint="cs"/>
          <w:rtl/>
        </w:rPr>
        <w:t>،</w:t>
      </w:r>
      <w:r w:rsidR="00777DCB" w:rsidRPr="00A52585">
        <w:rPr>
          <w:rFonts w:hint="cs"/>
          <w:rtl/>
        </w:rPr>
        <w:t xml:space="preserve"> والمحتاج إلى غيره ناقص غير كامل</w:t>
      </w:r>
      <w:r w:rsidR="00DB731D" w:rsidRPr="00A52585">
        <w:rPr>
          <w:rFonts w:hint="cs"/>
          <w:rtl/>
        </w:rPr>
        <w:t>،</w:t>
      </w:r>
      <w:r w:rsidR="00777DCB" w:rsidRPr="00A52585">
        <w:rPr>
          <w:rFonts w:hint="cs"/>
          <w:rtl/>
        </w:rPr>
        <w:t xml:space="preserve"> لا يوصف لا بالأحدية ولا بالصمدية</w:t>
      </w:r>
      <w:r w:rsidR="00DB731D" w:rsidRPr="00A52585">
        <w:rPr>
          <w:rFonts w:hint="cs"/>
          <w:rtl/>
        </w:rPr>
        <w:t>،</w:t>
      </w:r>
      <w:r w:rsidR="00777DCB" w:rsidRPr="00A52585">
        <w:rPr>
          <w:rFonts w:hint="cs"/>
          <w:rtl/>
        </w:rPr>
        <w:t xml:space="preserve"> ولا بكمال الغنى </w:t>
      </w:r>
      <w:proofErr w:type="spellStart"/>
      <w:r w:rsidR="00777DCB" w:rsidRPr="00A52585">
        <w:rPr>
          <w:rFonts w:hint="cs"/>
          <w:rtl/>
        </w:rPr>
        <w:t>والقيومية</w:t>
      </w:r>
      <w:proofErr w:type="spellEnd"/>
      <w:r w:rsidR="00DB731D" w:rsidRPr="00A52585">
        <w:rPr>
          <w:rFonts w:hint="cs"/>
          <w:rtl/>
        </w:rPr>
        <w:t>،</w:t>
      </w:r>
      <w:r w:rsidR="00777DCB" w:rsidRPr="00A52585">
        <w:rPr>
          <w:rFonts w:hint="cs"/>
          <w:rtl/>
        </w:rPr>
        <w:t xml:space="preserve"> والله تعالى هو الأحد الصمد الغني الحي القيوم منزه عن الجوارح والأجزاء</w:t>
      </w:r>
      <w:r w:rsidR="00DB731D" w:rsidRPr="00A52585">
        <w:rPr>
          <w:rFonts w:hint="cs"/>
          <w:rtl/>
        </w:rPr>
        <w:t>،</w:t>
      </w:r>
      <w:r w:rsidR="00777DCB" w:rsidRPr="00A52585">
        <w:rPr>
          <w:rFonts w:hint="cs"/>
          <w:rtl/>
        </w:rPr>
        <w:t xml:space="preserve"> إذ هو واحد لا شريك له</w:t>
      </w:r>
      <w:r w:rsidR="00DB731D" w:rsidRPr="00A52585">
        <w:rPr>
          <w:rFonts w:hint="cs"/>
          <w:rtl/>
        </w:rPr>
        <w:t>،</w:t>
      </w:r>
      <w:r w:rsidR="00777DCB" w:rsidRPr="00A52585">
        <w:rPr>
          <w:rFonts w:hint="cs"/>
          <w:rtl/>
        </w:rPr>
        <w:t xml:space="preserve"> أحد لا مثيل له</w:t>
      </w:r>
      <w:r w:rsidR="00DB731D" w:rsidRPr="00A52585">
        <w:rPr>
          <w:rFonts w:hint="cs"/>
          <w:rtl/>
        </w:rPr>
        <w:t>،</w:t>
      </w:r>
      <w:r w:rsidR="00777DCB" w:rsidRPr="00A52585">
        <w:rPr>
          <w:rFonts w:hint="cs"/>
          <w:rtl/>
        </w:rPr>
        <w:t xml:space="preserve"> لم يُخالف في ذلك من المسلمين من الفرق الثلاث وسبعين فرقة سوى المجسمة</w:t>
      </w:r>
      <w:r w:rsidR="00DB731D" w:rsidRPr="00A52585">
        <w:rPr>
          <w:rFonts w:hint="cs"/>
          <w:rtl/>
        </w:rPr>
        <w:t>،</w:t>
      </w:r>
      <w:r w:rsidR="00777DCB" w:rsidRPr="00A52585">
        <w:rPr>
          <w:rFonts w:hint="cs"/>
          <w:rtl/>
        </w:rPr>
        <w:t xml:space="preserve"> فقالوا بالأجزاء والأبعاض والجوارح</w:t>
      </w:r>
      <w:r w:rsidR="00DB731D" w:rsidRPr="00A52585">
        <w:rPr>
          <w:rFonts w:hint="cs"/>
          <w:rtl/>
        </w:rPr>
        <w:t>،</w:t>
      </w:r>
      <w:r w:rsidR="00777DCB" w:rsidRPr="00A52585">
        <w:rPr>
          <w:rFonts w:hint="cs"/>
          <w:rtl/>
        </w:rPr>
        <w:t xml:space="preserve"> تنزه الله تعالى عن قولهم علوا كبيرا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أحدية الذات</w:t>
      </w:r>
      <w:r w:rsidRPr="00A52585">
        <w:rPr>
          <w:rFonts w:hint="cs"/>
          <w:rtl/>
        </w:rPr>
        <w:t>)</w:t>
      </w:r>
      <w:r w:rsidR="00777DCB" w:rsidRPr="00A52585">
        <w:rPr>
          <w:rFonts w:hint="cs"/>
          <w:rtl/>
        </w:rPr>
        <w:t xml:space="preserve"> تعني نفي التبعيض والتركيب عن ذات الله سبحانه وتعالى</w:t>
      </w:r>
      <w:r w:rsidR="00DB731D" w:rsidRPr="00A52585">
        <w:rPr>
          <w:rFonts w:hint="cs"/>
          <w:rtl/>
        </w:rPr>
        <w:t>،</w:t>
      </w:r>
      <w:r w:rsidR="00777DCB" w:rsidRPr="00A52585">
        <w:rPr>
          <w:rFonts w:hint="cs"/>
          <w:rtl/>
        </w:rPr>
        <w:t xml:space="preserve"> تنزه سبحانه عن البعض والجزء والجارحة والجسمية والانقسام في ذاته</w:t>
      </w:r>
      <w:r w:rsidR="00DB731D" w:rsidRPr="00A52585">
        <w:rPr>
          <w:rFonts w:hint="cs"/>
          <w:rtl/>
        </w:rPr>
        <w:t>،</w:t>
      </w:r>
      <w:r w:rsidR="00777DCB" w:rsidRPr="00A52585">
        <w:rPr>
          <w:rFonts w:hint="cs"/>
          <w:rtl/>
        </w:rPr>
        <w:t xml:space="preserve"> وهو توحيد في نفس الذات بعدم تصور الكثرة فيها أبدا</w:t>
      </w:r>
      <w:r w:rsidR="00DB731D" w:rsidRPr="00A52585">
        <w:rPr>
          <w:rFonts w:hint="cs"/>
          <w:rtl/>
        </w:rPr>
        <w:t>،</w:t>
      </w:r>
      <w:r w:rsidR="00777DCB" w:rsidRPr="00A52585">
        <w:rPr>
          <w:rFonts w:hint="cs"/>
          <w:rtl/>
        </w:rPr>
        <w:t xml:space="preserve"> ولا حتى تصورها والفكر فيها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أما الوجه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فَأَيْنَمَا تُوَلُّوا فَثَمَّ وَجْهُ اللَّهِ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115</w:t>
      </w:r>
      <w:r w:rsidRPr="00A52585">
        <w:rPr>
          <w:rFonts w:hint="cs"/>
          <w:rtl/>
        </w:rPr>
        <w:t>]</w:t>
      </w:r>
      <w:r w:rsidR="00777DCB" w:rsidRPr="00A52585">
        <w:rPr>
          <w:rFonts w:hint="cs"/>
          <w:rtl/>
        </w:rPr>
        <w:t xml:space="preserve"> والعين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وَلِتُصْنَعَ عَلَى عَيْنِي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39</w:t>
      </w:r>
      <w:r w:rsidRPr="00A52585">
        <w:rPr>
          <w:rFonts w:hint="cs"/>
          <w:rtl/>
        </w:rPr>
        <w:t>]</w:t>
      </w:r>
      <w:r w:rsidR="00777DCB" w:rsidRPr="00A52585">
        <w:rPr>
          <w:rFonts w:hint="cs"/>
          <w:rtl/>
        </w:rPr>
        <w:t xml:space="preserve"> واليد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يَدُ اللَّهِ فَوْقَ أَيْدِيهِمْ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w:t>
      </w:r>
      <w:r w:rsidRPr="00A52585">
        <w:rPr>
          <w:rFonts w:hint="cs"/>
          <w:rtl/>
        </w:rPr>
        <w:t>:</w:t>
      </w:r>
      <w:r w:rsidR="00777DCB" w:rsidRPr="00A52585">
        <w:rPr>
          <w:rFonts w:hint="cs"/>
          <w:rtl/>
        </w:rPr>
        <w:t xml:space="preserve"> 10</w:t>
      </w:r>
      <w:r w:rsidRPr="00A52585">
        <w:rPr>
          <w:rFonts w:hint="cs"/>
          <w:rtl/>
        </w:rPr>
        <w:t>]</w:t>
      </w:r>
      <w:r w:rsidR="00DB731D" w:rsidRPr="00A52585">
        <w:rPr>
          <w:rFonts w:hint="cs"/>
          <w:rtl/>
        </w:rPr>
        <w:t>،</w:t>
      </w:r>
      <w:r w:rsidR="00777DCB" w:rsidRPr="00A52585">
        <w:rPr>
          <w:rFonts w:hint="cs"/>
          <w:rtl/>
        </w:rPr>
        <w:t xml:space="preserve"> فلم يقل أحدٌ من أهل السنة والجماعة أنها جوارح لله - حاش لله تعالى من هذا الظن والوصف سبحانه -</w:t>
      </w:r>
      <w:r w:rsidR="00DB731D" w:rsidRPr="00A52585">
        <w:rPr>
          <w:rFonts w:hint="cs"/>
          <w:rtl/>
        </w:rPr>
        <w:t>،</w:t>
      </w:r>
      <w:r w:rsidR="00777DCB" w:rsidRPr="00A52585">
        <w:rPr>
          <w:rFonts w:hint="cs"/>
          <w:rtl/>
        </w:rPr>
        <w:t xml:space="preserve"> وإنما صفات وليست جوارح</w:t>
      </w:r>
      <w:r w:rsidR="00DB731D" w:rsidRPr="00A52585">
        <w:rPr>
          <w:rFonts w:hint="cs"/>
          <w:rtl/>
        </w:rPr>
        <w:t>،</w:t>
      </w:r>
      <w:r w:rsidR="00777DCB" w:rsidRPr="00A52585">
        <w:rPr>
          <w:rFonts w:hint="cs"/>
          <w:rtl/>
        </w:rPr>
        <w:t xml:space="preserve"> ومن جعلها من باب الأجزاء والجوارح</w:t>
      </w:r>
      <w:r w:rsidR="00DB731D" w:rsidRPr="00A52585">
        <w:rPr>
          <w:rFonts w:hint="cs"/>
          <w:rtl/>
        </w:rPr>
        <w:t>،</w:t>
      </w:r>
      <w:r w:rsidR="00777DCB" w:rsidRPr="00A52585">
        <w:rPr>
          <w:rFonts w:hint="cs"/>
          <w:rtl/>
        </w:rPr>
        <w:t xml:space="preserve"> فهو مجسم خارج عن إطار أهل السنة والجماعة إلى الفرق الضالة التي تستحق الوعيد بالنار</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واحدية الذات</w:t>
      </w:r>
      <w:r w:rsidRPr="00A52585">
        <w:rPr>
          <w:rFonts w:hint="cs"/>
          <w:rtl/>
        </w:rPr>
        <w:t>)</w:t>
      </w:r>
      <w:r w:rsidR="00777DCB" w:rsidRPr="00A52585">
        <w:rPr>
          <w:rFonts w:hint="cs"/>
          <w:rtl/>
        </w:rPr>
        <w:t xml:space="preserve"> تعني نفي الشريك له</w:t>
      </w:r>
      <w:r w:rsidR="00DB731D" w:rsidRPr="00A52585">
        <w:rPr>
          <w:rFonts w:hint="cs"/>
          <w:rtl/>
        </w:rPr>
        <w:t>،</w:t>
      </w:r>
      <w:r w:rsidRPr="00A52585">
        <w:rPr>
          <w:rFonts w:hint="cs"/>
          <w:rtl/>
        </w:rPr>
        <w:t xml:space="preserve"> </w:t>
      </w:r>
      <w:r w:rsidR="00777DCB" w:rsidRPr="00A52585">
        <w:rPr>
          <w:rFonts w:hint="cs"/>
          <w:rtl/>
        </w:rPr>
        <w:t>فالله تعالى واحد</w:t>
      </w:r>
      <w:r w:rsidR="00DB731D" w:rsidRPr="00A52585">
        <w:rPr>
          <w:rFonts w:hint="cs"/>
          <w:rtl/>
        </w:rPr>
        <w:t>،</w:t>
      </w:r>
      <w:r w:rsidR="00777DCB" w:rsidRPr="00A52585">
        <w:rPr>
          <w:rFonts w:hint="cs"/>
          <w:rtl/>
        </w:rPr>
        <w:t xml:space="preserve"> لا شريك له</w:t>
      </w:r>
      <w:r w:rsidR="00DB731D" w:rsidRPr="00A52585">
        <w:rPr>
          <w:rFonts w:hint="cs"/>
          <w:rtl/>
        </w:rPr>
        <w:t>،</w:t>
      </w:r>
      <w:r w:rsidR="00777DCB" w:rsidRPr="00A52585">
        <w:rPr>
          <w:rFonts w:hint="cs"/>
          <w:rtl/>
        </w:rPr>
        <w:t xml:space="preserve"> ولا نظير</w:t>
      </w:r>
      <w:r w:rsidR="00DB731D" w:rsidRPr="00A52585">
        <w:rPr>
          <w:rFonts w:hint="cs"/>
          <w:rtl/>
        </w:rPr>
        <w:t>،</w:t>
      </w:r>
      <w:r w:rsidR="00777DCB" w:rsidRPr="00A52585">
        <w:rPr>
          <w:rFonts w:hint="cs"/>
          <w:rtl/>
        </w:rPr>
        <w:t xml:space="preserve"> ولا يتصور له شبيه</w:t>
      </w:r>
      <w:r w:rsidR="00DB731D" w:rsidRPr="00A52585">
        <w:rPr>
          <w:rFonts w:hint="cs"/>
          <w:rtl/>
        </w:rPr>
        <w:t>،</w:t>
      </w:r>
      <w:r w:rsidR="00777DCB" w:rsidRPr="00A52585">
        <w:rPr>
          <w:rFonts w:hint="cs"/>
          <w:rtl/>
        </w:rPr>
        <w:t xml:space="preserve"> ولا مثيل</w:t>
      </w:r>
      <w:r w:rsidR="00DB731D" w:rsidRPr="00A52585">
        <w:rPr>
          <w:rFonts w:hint="cs"/>
          <w:rtl/>
        </w:rPr>
        <w:t>،</w:t>
      </w:r>
      <w:r w:rsidR="00777DCB" w:rsidRPr="00A52585">
        <w:rPr>
          <w:rFonts w:hint="cs"/>
          <w:rtl/>
        </w:rPr>
        <w:t xml:space="preserve"> ولا وزير</w:t>
      </w:r>
      <w:r w:rsidR="00DB731D" w:rsidRPr="00A52585">
        <w:rPr>
          <w:rFonts w:hint="cs"/>
          <w:rtl/>
        </w:rPr>
        <w:t>،</w:t>
      </w:r>
      <w:r w:rsidR="00777DCB" w:rsidRPr="00A52585">
        <w:rPr>
          <w:rFonts w:hint="cs"/>
          <w:rtl/>
        </w:rPr>
        <w:t xml:space="preserve"> ولا ند</w:t>
      </w:r>
      <w:r w:rsidR="00DB731D" w:rsidRPr="00A52585">
        <w:rPr>
          <w:rFonts w:hint="cs"/>
          <w:rtl/>
        </w:rPr>
        <w:t>،</w:t>
      </w:r>
      <w:r w:rsidR="00777DCB" w:rsidRPr="00A52585">
        <w:rPr>
          <w:rFonts w:hint="cs"/>
          <w:rtl/>
        </w:rPr>
        <w:t xml:space="preserve"> كما أنه تعالى لا ينفصل من شيء ولم ينفصل منه شيء</w:t>
      </w:r>
      <w:r w:rsidR="00DB731D" w:rsidRPr="00A52585">
        <w:rPr>
          <w:rFonts w:hint="cs"/>
          <w:rtl/>
        </w:rPr>
        <w:t>،</w:t>
      </w:r>
      <w:r w:rsidR="00777DCB" w:rsidRPr="00A52585">
        <w:rPr>
          <w:rFonts w:hint="cs"/>
          <w:rtl/>
        </w:rPr>
        <w:t xml:space="preserve"> ولا صاحبة له</w:t>
      </w:r>
      <w:r w:rsidR="00DB731D" w:rsidRPr="00A52585">
        <w:rPr>
          <w:rFonts w:hint="cs"/>
          <w:rtl/>
        </w:rPr>
        <w:t>،</w:t>
      </w:r>
      <w:r w:rsidR="00777DCB" w:rsidRPr="00A52585">
        <w:rPr>
          <w:rFonts w:hint="cs"/>
          <w:rtl/>
        </w:rPr>
        <w:t xml:space="preserve"> ولا ولد</w:t>
      </w:r>
      <w:r w:rsidR="00DB731D" w:rsidRPr="00A52585">
        <w:rPr>
          <w:rFonts w:hint="cs"/>
          <w:rtl/>
        </w:rPr>
        <w:t>،</w:t>
      </w:r>
      <w:r w:rsidR="00777DCB" w:rsidRPr="00A52585">
        <w:rPr>
          <w:rFonts w:hint="cs"/>
          <w:rtl/>
        </w:rPr>
        <w:t xml:space="preserve"> ولا أب</w:t>
      </w:r>
      <w:r w:rsidR="00DB731D" w:rsidRPr="00A52585">
        <w:rPr>
          <w:rFonts w:hint="cs"/>
          <w:rtl/>
        </w:rPr>
        <w:t>،</w:t>
      </w:r>
      <w:r w:rsidR="00777DCB" w:rsidRPr="00A52585">
        <w:rPr>
          <w:rFonts w:hint="cs"/>
          <w:rtl/>
        </w:rPr>
        <w:t xml:space="preserve"> ولا أم</w:t>
      </w:r>
      <w:r w:rsidR="00DB731D" w:rsidRPr="00A52585">
        <w:rPr>
          <w:rFonts w:hint="cs"/>
          <w:rtl/>
        </w:rPr>
        <w:t>،</w:t>
      </w:r>
      <w:r w:rsidR="00777DCB" w:rsidRPr="00A52585">
        <w:rPr>
          <w:rFonts w:hint="cs"/>
          <w:rtl/>
        </w:rPr>
        <w:t xml:space="preserve"> ولا خالق له</w:t>
      </w:r>
      <w:r w:rsidR="00DB731D" w:rsidRPr="00A52585">
        <w:rPr>
          <w:rFonts w:hint="cs"/>
          <w:rtl/>
        </w:rPr>
        <w:t>،</w:t>
      </w:r>
      <w:r w:rsidRPr="00A52585">
        <w:rPr>
          <w:rFonts w:hint="cs"/>
          <w:rtl/>
        </w:rPr>
        <w:t xml:space="preserve"> </w:t>
      </w:r>
      <w:r w:rsidR="00777DCB" w:rsidRPr="00A52585">
        <w:rPr>
          <w:rFonts w:hint="cs"/>
          <w:rtl/>
        </w:rPr>
        <w:t>بل كما قال تعالى (قُلِ اللَّهُ خَالِقُ كُلِّ شَيْءٍ وَهُوَ الْوَاحِدُ الْقَهَّارُ</w:t>
      </w:r>
      <w:r w:rsidRPr="00A52585">
        <w:rPr>
          <w:rFonts w:hint="cs"/>
          <w:rtl/>
        </w:rPr>
        <w:t>)</w:t>
      </w:r>
      <w:r w:rsidR="00777DCB" w:rsidRPr="00A52585">
        <w:rPr>
          <w:rFonts w:hint="cs"/>
          <w:rtl/>
        </w:rPr>
        <w:t xml:space="preserve"> [سورة الرعد 16] فالله تعالى واحد لا ثاني له تعالى </w:t>
      </w:r>
      <w:r w:rsidR="00777DCB" w:rsidRPr="00A52585">
        <w:rPr>
          <w:rFonts w:hint="cs"/>
          <w:rtl/>
        </w:rPr>
        <w:lastRenderedPageBreak/>
        <w:t>في الوجود</w:t>
      </w:r>
      <w:r w:rsidR="00DB731D" w:rsidRPr="00A52585">
        <w:rPr>
          <w:rFonts w:hint="cs"/>
          <w:rtl/>
        </w:rPr>
        <w:t>،</w:t>
      </w:r>
      <w:r w:rsidR="00777DCB" w:rsidRPr="00A52585">
        <w:rPr>
          <w:rFonts w:hint="cs"/>
          <w:rtl/>
        </w:rPr>
        <w:t xml:space="preserve"> كل الوجود من خلقه فقير إليه ومحتاج إليه وهو سبحانه الواحد القهار</w:t>
      </w:r>
      <w:r w:rsidR="00DB731D" w:rsidRPr="00A52585">
        <w:rPr>
          <w:rFonts w:hint="cs"/>
          <w:rtl/>
        </w:rPr>
        <w:t>،</w:t>
      </w:r>
      <w:r w:rsidR="00777DCB" w:rsidRPr="00A52585">
        <w:rPr>
          <w:rFonts w:hint="cs"/>
          <w:rtl/>
        </w:rPr>
        <w:t xml:space="preserve"> وتوحيد ذات الله سبحانه يتضمن تنزيه الله تعالى ووصفه سبحانه بالأحدية والواحدية</w:t>
      </w:r>
      <w:r w:rsidRPr="00A52585">
        <w:rPr>
          <w:rFonts w:hint="cs"/>
          <w:rtl/>
        </w:rPr>
        <w:t xml:space="preserve"> (</w:t>
      </w:r>
      <w:r w:rsidR="00777DCB" w:rsidRPr="00A52585">
        <w:rPr>
          <w:rFonts w:hint="cs"/>
          <w:rtl/>
        </w:rPr>
        <w:t>الأحدية</w:t>
      </w:r>
      <w:r w:rsidRPr="00A52585">
        <w:rPr>
          <w:rFonts w:hint="cs"/>
          <w:rtl/>
        </w:rPr>
        <w:t>)</w:t>
      </w:r>
      <w:r w:rsidR="00777DCB" w:rsidRPr="00A52585">
        <w:rPr>
          <w:rFonts w:hint="cs"/>
          <w:rtl/>
        </w:rPr>
        <w:t xml:space="preserve"> بتنزيه ذات الله تعالى عن التبعيض والتركيب وعن الجارحة والجسمية وكل ما يفيد الانقسام في ذاته و </w:t>
      </w:r>
      <w:r w:rsidRPr="00A52585">
        <w:rPr>
          <w:rFonts w:hint="cs"/>
          <w:rtl/>
        </w:rPr>
        <w:t>(</w:t>
      </w:r>
      <w:r w:rsidR="00777DCB" w:rsidRPr="00A52585">
        <w:rPr>
          <w:rFonts w:hint="cs"/>
          <w:rtl/>
        </w:rPr>
        <w:t>الواحدية</w:t>
      </w:r>
      <w:r w:rsidRPr="00A52585">
        <w:rPr>
          <w:rFonts w:hint="cs"/>
          <w:rtl/>
        </w:rPr>
        <w:t>)</w:t>
      </w:r>
      <w:r w:rsidR="00777DCB" w:rsidRPr="00A52585">
        <w:rPr>
          <w:rFonts w:hint="cs"/>
          <w:rtl/>
        </w:rPr>
        <w:t xml:space="preserve"> بتنزيه الله تعالى عن الشريك والند والنظير والشبيه والمثيل والوزير والمعين</w:t>
      </w:r>
      <w:r w:rsidR="00DB731D" w:rsidRPr="00A52585">
        <w:rPr>
          <w:rFonts w:hint="cs"/>
          <w:rtl/>
        </w:rPr>
        <w:t>،</w:t>
      </w:r>
      <w:r w:rsidRPr="00A52585">
        <w:rPr>
          <w:rFonts w:hint="cs"/>
          <w:rtl/>
        </w:rPr>
        <w:t xml:space="preserve"> </w:t>
      </w:r>
      <w:r w:rsidR="00777DCB" w:rsidRPr="00A52585">
        <w:rPr>
          <w:rFonts w:hint="cs"/>
          <w:rtl/>
        </w:rPr>
        <w:t>وتنزيه الله تعالى عن الصاحبة والولد والوالد فالله تعالى واحد أحد فرد صمد لم يلد ولم يولد ولم يكن له كفوا أحد</w:t>
      </w:r>
      <w:r w:rsidR="00DB731D" w:rsidRPr="00A52585">
        <w:rPr>
          <w:rFonts w:hint="cs"/>
          <w:rtl/>
        </w:rPr>
        <w:t>،</w:t>
      </w:r>
      <w:r w:rsidR="00777DCB" w:rsidRPr="00A52585">
        <w:rPr>
          <w:rFonts w:hint="cs"/>
          <w:rtl/>
        </w:rPr>
        <w:t xml:space="preserve"> ليس كمثله شيء</w:t>
      </w:r>
      <w:r w:rsidR="00DB731D" w:rsidRPr="00A52585">
        <w:rPr>
          <w:rFonts w:hint="cs"/>
          <w:rtl/>
        </w:rPr>
        <w:t>،</w:t>
      </w:r>
      <w:r w:rsidR="00777DCB" w:rsidRPr="00A52585">
        <w:rPr>
          <w:rFonts w:hint="cs"/>
          <w:rtl/>
        </w:rPr>
        <w:t xml:space="preserve"> ولا شريك له</w:t>
      </w:r>
      <w:r w:rsidR="00DB731D" w:rsidRPr="00A52585">
        <w:rPr>
          <w:rFonts w:hint="cs"/>
          <w:rtl/>
        </w:rPr>
        <w:t>،</w:t>
      </w:r>
      <w:r w:rsidR="00777DCB" w:rsidRPr="00A52585">
        <w:rPr>
          <w:rFonts w:hint="cs"/>
          <w:rtl/>
        </w:rPr>
        <w:t xml:space="preserve"> ولا إله إلا هو سبحانه وتعالى عما يشركون و سبحانه وتعالى عما يصفون</w:t>
      </w:r>
      <w:r w:rsidR="00DB731D" w:rsidRPr="00A52585">
        <w:rPr>
          <w:rFonts w:hint="cs"/>
          <w:rtl/>
        </w:rPr>
        <w:t>،</w:t>
      </w:r>
      <w:r w:rsidR="00777DCB" w:rsidRPr="00A52585">
        <w:rPr>
          <w:rFonts w:hint="cs"/>
          <w:rtl/>
        </w:rPr>
        <w:t xml:space="preserve"> </w:t>
      </w:r>
      <w:r w:rsidR="00777DCB" w:rsidRPr="00A52585">
        <w:rPr>
          <w:rFonts w:eastAsia="Times New Roman" w:hint="cs"/>
          <w:rtl/>
        </w:rPr>
        <w:t>والتوحيد في الذات يعني</w:t>
      </w:r>
      <w:r w:rsidR="00DB731D" w:rsidRPr="00A52585">
        <w:rPr>
          <w:rFonts w:eastAsia="Times New Roman" w:hint="cs"/>
          <w:rtl/>
        </w:rPr>
        <w:t>،</w:t>
      </w:r>
      <w:r w:rsidR="00777DCB" w:rsidRPr="00A52585">
        <w:rPr>
          <w:rFonts w:eastAsia="Times New Roman" w:hint="cs"/>
          <w:rtl/>
        </w:rPr>
        <w:t xml:space="preserve"> إنه متفرّد ليس له مثل أو نظير</w:t>
      </w:r>
      <w:r w:rsidR="00DB731D" w:rsidRPr="00A52585">
        <w:rPr>
          <w:rFonts w:eastAsia="Times New Roman" w:hint="cs"/>
          <w:rtl/>
        </w:rPr>
        <w:t>،</w:t>
      </w:r>
      <w:r w:rsidR="00777DCB" w:rsidRPr="00A52585">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DB731D" w:rsidRPr="00A52585">
        <w:rPr>
          <w:rFonts w:eastAsia="Times New Roman" w:hint="cs"/>
          <w:rtl/>
        </w:rPr>
        <w:t>،</w:t>
      </w:r>
      <w:r w:rsidR="00777DCB" w:rsidRPr="00A52585">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DB731D" w:rsidRPr="00A52585">
        <w:rPr>
          <w:rFonts w:eastAsia="Times New Roman" w:hint="cs"/>
          <w:rtl/>
        </w:rPr>
        <w:t>،</w:t>
      </w:r>
      <w:r w:rsidR="00777DCB" w:rsidRPr="00A52585">
        <w:rPr>
          <w:rFonts w:eastAsia="Times New Roman" w:hint="cs"/>
          <w:rtl/>
        </w:rPr>
        <w:t xml:space="preserve"> وأما المعني الثاني للتوحيد والمستفاد من اسمه تعالى </w:t>
      </w:r>
      <w:r w:rsidRPr="00A52585">
        <w:rPr>
          <w:rFonts w:eastAsia="Times New Roman" w:hint="cs"/>
          <w:rtl/>
        </w:rPr>
        <w:t>[</w:t>
      </w:r>
      <w:r w:rsidR="00777DCB" w:rsidRPr="00A52585">
        <w:rPr>
          <w:rFonts w:eastAsia="Times New Roman" w:hint="cs"/>
          <w:rtl/>
        </w:rPr>
        <w:t>الواحد</w:t>
      </w:r>
      <w:r w:rsidRPr="00A52585">
        <w:rPr>
          <w:rFonts w:eastAsia="Times New Roman" w:hint="cs"/>
          <w:rtl/>
        </w:rPr>
        <w:t>]</w:t>
      </w:r>
      <w:r w:rsidR="00777DCB" w:rsidRPr="00A52585">
        <w:rPr>
          <w:rFonts w:eastAsia="Times New Roman" w:hint="cs"/>
          <w:rtl/>
        </w:rPr>
        <w:t xml:space="preserve"> هو أن الله متفرّد ليس له مثل أو نظير أو كفء أو شبيه</w:t>
      </w:r>
      <w:r w:rsidR="00DB731D" w:rsidRPr="00A52585">
        <w:rPr>
          <w:rFonts w:eastAsia="Times New Roman" w:hint="cs"/>
          <w:rtl/>
        </w:rPr>
        <w:t>،</w:t>
      </w:r>
      <w:r w:rsidR="00777DCB" w:rsidRPr="00A52585">
        <w:rPr>
          <w:rFonts w:eastAsia="Times New Roman" w:hint="cs"/>
          <w:rtl/>
        </w:rPr>
        <w:t xml:space="preserve"> قال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لَيْسَ كَمِثْلِهِ شَيء ْ}</w:t>
      </w:r>
      <w:r w:rsidR="00DB731D" w:rsidRPr="00A52585">
        <w:rPr>
          <w:rFonts w:eastAsia="Times New Roman" w:hint="cs"/>
          <w:rtl/>
        </w:rPr>
        <w:t>،</w:t>
      </w:r>
      <w:r w:rsidR="00777DCB" w:rsidRPr="00A52585">
        <w:rPr>
          <w:rFonts w:eastAsia="Times New Roman" w:hint="cs"/>
          <w:rtl/>
        </w:rPr>
        <w:t xml:space="preserve"> وقال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hint="cs"/>
          <w:rtl/>
        </w:rPr>
        <w:t>وَلَمْ يَكُنْ لَهُ كُفُوًا أَحَدٌ</w:t>
      </w:r>
      <w:r w:rsidRPr="00A52585">
        <w:rPr>
          <w:rFonts w:eastAsia="Times New Roman" w:hint="cs"/>
          <w:rtl/>
        </w:rPr>
        <w:t>}</w:t>
      </w:r>
    </w:p>
    <w:p w14:paraId="25E2B326" w14:textId="4BC5E21A" w:rsidR="00777DCB" w:rsidRPr="00A52585" w:rsidRDefault="0002035C" w:rsidP="0002035C">
      <w:pPr>
        <w:rPr>
          <w:rFonts w:eastAsia="Times New Roman"/>
          <w:b/>
          <w:bCs/>
        </w:rPr>
      </w:pPr>
      <w:r w:rsidRPr="00A52585">
        <w:rPr>
          <w:rFonts w:eastAsia="Times New Roman" w:hint="cs"/>
          <w:bCs/>
          <w:rtl/>
        </w:rPr>
        <w:t>[</w:t>
      </w:r>
      <w:r w:rsidR="00777DCB" w:rsidRPr="00A52585">
        <w:rPr>
          <w:rFonts w:eastAsia="Times New Roman" w:hint="cs"/>
          <w:bCs/>
          <w:rtl/>
        </w:rPr>
        <w:t>6</w:t>
      </w:r>
      <w:r w:rsidRPr="00A52585">
        <w:rPr>
          <w:rFonts w:eastAsia="Times New Roman" w:hint="cs"/>
          <w:bCs/>
          <w:rtl/>
        </w:rPr>
        <w:t>]</w:t>
      </w:r>
      <w:r w:rsidR="00777DCB" w:rsidRPr="00A52585">
        <w:rPr>
          <w:rFonts w:eastAsia="Times New Roman" w:hint="cs"/>
          <w:bCs/>
          <w:rtl/>
        </w:rPr>
        <w:t xml:space="preserve"> الله الصمد</w:t>
      </w:r>
      <w:r w:rsidRPr="00A52585">
        <w:rPr>
          <w:rFonts w:eastAsia="Times New Roman" w:hint="cs"/>
          <w:bCs/>
          <w:rtl/>
        </w:rPr>
        <w:t>:</w:t>
      </w:r>
      <w:r w:rsidR="00777DCB" w:rsidRPr="00A52585">
        <w:rPr>
          <w:rFonts w:eastAsia="Times New Roman" w:hint="cs"/>
          <w:bCs/>
          <w:rtl/>
        </w:rPr>
        <w:t xml:space="preserve"> </w:t>
      </w:r>
      <w:r w:rsidR="00777DCB" w:rsidRPr="00A52585">
        <w:rPr>
          <w:rFonts w:eastAsia="Times New Roman" w:hint="cs"/>
          <w:rtl/>
        </w:rPr>
        <w:t xml:space="preserve">الله تعالى </w:t>
      </w:r>
      <w:r w:rsidRPr="00A52585">
        <w:rPr>
          <w:rFonts w:eastAsia="Times New Roman" w:hint="cs"/>
          <w:rtl/>
        </w:rPr>
        <w:t>(</w:t>
      </w:r>
      <w:r w:rsidR="00777DCB" w:rsidRPr="00A52585">
        <w:rPr>
          <w:rFonts w:eastAsia="Times New Roman" w:hint="cs"/>
          <w:rtl/>
        </w:rPr>
        <w:t>أحد</w:t>
      </w:r>
      <w:r w:rsidRPr="00A52585">
        <w:rPr>
          <w:rFonts w:eastAsia="Times New Roman" w:hint="cs"/>
          <w:rtl/>
        </w:rPr>
        <w:t>)</w:t>
      </w:r>
      <w:r w:rsidR="00777DCB" w:rsidRPr="00A52585">
        <w:rPr>
          <w:rFonts w:eastAsia="Times New Roman" w:hint="cs"/>
          <w:bCs/>
          <w:rtl/>
        </w:rPr>
        <w:t xml:space="preserve"> </w:t>
      </w:r>
      <w:r w:rsidR="00777DCB" w:rsidRPr="00A52585">
        <w:rPr>
          <w:rFonts w:hint="cs"/>
          <w:rtl/>
        </w:rPr>
        <w:t>له سبحانه أحدية الذات</w:t>
      </w:r>
      <w:r w:rsidR="00DB731D" w:rsidRPr="00A52585">
        <w:rPr>
          <w:rFonts w:hint="cs"/>
          <w:rtl/>
        </w:rPr>
        <w:t>،</w:t>
      </w:r>
      <w:r w:rsidR="00777DCB" w:rsidRPr="00A52585">
        <w:rPr>
          <w:rFonts w:hint="cs"/>
          <w:rtl/>
        </w:rPr>
        <w:t xml:space="preserve"> وهي تعني نفي التبعيض والتركيب عن ذات الله سبحانه وتعالى</w:t>
      </w:r>
      <w:r w:rsidR="00DB731D" w:rsidRPr="00A52585">
        <w:rPr>
          <w:rFonts w:hint="cs"/>
          <w:rtl/>
        </w:rPr>
        <w:t>،</w:t>
      </w:r>
      <w:r w:rsidR="00777DCB" w:rsidRPr="00A52585">
        <w:rPr>
          <w:rFonts w:hint="cs"/>
          <w:rtl/>
        </w:rPr>
        <w:t xml:space="preserve"> تنزه سبحانه عن البعض والجزء والجارحة والجسمية وكل ما يفيد الانقسام في ذاته</w:t>
      </w:r>
      <w:r w:rsidR="00DB731D" w:rsidRPr="00A52585">
        <w:rPr>
          <w:rFonts w:hint="cs"/>
          <w:rtl/>
        </w:rPr>
        <w:t>،</w:t>
      </w:r>
      <w:r w:rsidR="00777DCB" w:rsidRPr="00A52585">
        <w:rPr>
          <w:rFonts w:hint="cs"/>
          <w:rtl/>
        </w:rPr>
        <w:t xml:space="preserve"> فإذا أضفنا إليها صفة الصمدية </w:t>
      </w:r>
      <w:r w:rsidRPr="00A52585">
        <w:rPr>
          <w:rFonts w:hint="cs"/>
          <w:rtl/>
        </w:rPr>
        <w:t>{</w:t>
      </w:r>
      <w:r w:rsidR="00777DCB" w:rsidRPr="00A52585">
        <w:rPr>
          <w:rFonts w:hint="cs"/>
          <w:rtl/>
        </w:rPr>
        <w:t>اللَّهُ أَحَدٌ * اللَّهُ الصَّمَدُ</w:t>
      </w:r>
      <w:r w:rsidRPr="00A52585">
        <w:rPr>
          <w:rFonts w:hint="cs"/>
          <w:rtl/>
        </w:rPr>
        <w:t>}</w:t>
      </w:r>
      <w:r w:rsidR="00777DCB" w:rsidRPr="00A52585">
        <w:rPr>
          <w:rFonts w:hint="cs"/>
          <w:rtl/>
        </w:rPr>
        <w:t xml:space="preserve"> ازداد التوحيد وضوحاً في أذهان الموحدين</w:t>
      </w:r>
      <w:r w:rsidR="00DB731D" w:rsidRPr="00A52585">
        <w:rPr>
          <w:rFonts w:hint="cs"/>
          <w:rtl/>
        </w:rPr>
        <w:t>،</w:t>
      </w:r>
      <w:r w:rsidR="00777DCB" w:rsidRPr="00A52585">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DB731D" w:rsidRPr="00A52585">
        <w:rPr>
          <w:rFonts w:hint="cs"/>
          <w:rtl/>
        </w:rPr>
        <w:t>،</w:t>
      </w:r>
      <w:r w:rsidR="00777DCB" w:rsidRPr="00A52585">
        <w:rPr>
          <w:rFonts w:hint="cs"/>
          <w:rtl/>
        </w:rPr>
        <w:t xml:space="preserve"> وعلى ذلك فاسم الله تعالى </w:t>
      </w:r>
      <w:r w:rsidRPr="00A52585">
        <w:rPr>
          <w:rFonts w:hint="cs"/>
          <w:rtl/>
        </w:rPr>
        <w:t>[</w:t>
      </w:r>
      <w:r w:rsidR="00777DCB" w:rsidRPr="00A52585">
        <w:rPr>
          <w:rFonts w:hint="cs"/>
          <w:rtl/>
        </w:rPr>
        <w:t>الأحد</w:t>
      </w:r>
      <w:r w:rsidRPr="00A52585">
        <w:rPr>
          <w:rFonts w:hint="cs"/>
          <w:rtl/>
        </w:rPr>
        <w:t>]</w:t>
      </w:r>
      <w:r w:rsidR="00777DCB" w:rsidRPr="00A52585">
        <w:rPr>
          <w:rFonts w:hint="cs"/>
          <w:rtl/>
        </w:rPr>
        <w:t xml:space="preserve"> معناه الذي لا نظير له ولا مثيل لأنه أحد في ذاته وصفاته وأفعاله وربوبيته وألوهيته</w:t>
      </w:r>
      <w:r w:rsidR="00DB731D" w:rsidRPr="00A52585">
        <w:rPr>
          <w:rFonts w:hint="cs"/>
          <w:rtl/>
        </w:rPr>
        <w:t>،</w:t>
      </w:r>
      <w:r w:rsidR="00777DCB" w:rsidRPr="00A52585">
        <w:rPr>
          <w:rFonts w:hint="cs"/>
          <w:rtl/>
        </w:rPr>
        <w:t xml:space="preserve"> واسم الله تعالى </w:t>
      </w:r>
      <w:r w:rsidRPr="00A52585">
        <w:rPr>
          <w:rFonts w:hint="cs"/>
          <w:rtl/>
        </w:rPr>
        <w:t>[</w:t>
      </w:r>
      <w:r w:rsidR="00777DCB" w:rsidRPr="00A52585">
        <w:rPr>
          <w:rFonts w:hint="cs"/>
          <w:rtl/>
        </w:rPr>
        <w:t>الصمد</w:t>
      </w:r>
      <w:r w:rsidRPr="00A52585">
        <w:rPr>
          <w:rFonts w:hint="cs"/>
          <w:rtl/>
        </w:rPr>
        <w:t>]</w:t>
      </w:r>
      <w:r w:rsidR="00777DCB" w:rsidRPr="00A52585">
        <w:rPr>
          <w:rFonts w:hint="cs"/>
          <w:rtl/>
        </w:rPr>
        <w:t xml:space="preserve"> أي السيد الذي اكتمل غناه تنزه عن الحاجة والنقص والعيب</w:t>
      </w:r>
      <w:r w:rsidR="00DB731D" w:rsidRPr="00A52585">
        <w:rPr>
          <w:rFonts w:hint="cs"/>
          <w:rtl/>
        </w:rPr>
        <w:t>،</w:t>
      </w:r>
      <w:r w:rsidR="00777DCB" w:rsidRPr="00A52585">
        <w:rPr>
          <w:rFonts w:hint="cs"/>
          <w:rtl/>
        </w:rPr>
        <w:t xml:space="preserve"> و</w:t>
      </w:r>
      <w:r w:rsidRPr="00A52585">
        <w:rPr>
          <w:rFonts w:hint="cs"/>
          <w:rtl/>
        </w:rPr>
        <w:t xml:space="preserve"> {</w:t>
      </w:r>
      <w:r w:rsidR="00777DCB" w:rsidRPr="00A52585">
        <w:rPr>
          <w:rFonts w:hint="cs"/>
          <w:rtl/>
        </w:rPr>
        <w:t>اللَّهُ أَحَدٌ * اللَّهُ الصَّمَدُ</w:t>
      </w:r>
      <w:r w:rsidRPr="00A52585">
        <w:rPr>
          <w:rFonts w:hint="cs"/>
          <w:rtl/>
        </w:rPr>
        <w:t>}</w:t>
      </w:r>
      <w:r w:rsidR="00777DCB" w:rsidRPr="00A52585">
        <w:rPr>
          <w:rFonts w:hint="cs"/>
          <w:rtl/>
        </w:rPr>
        <w:t xml:space="preserve"> أي الله الذي لا مثيل له ولا نظير ولا شبيه</w:t>
      </w:r>
      <w:r w:rsidR="00DB731D" w:rsidRPr="00A52585">
        <w:rPr>
          <w:rFonts w:hint="cs"/>
          <w:rtl/>
        </w:rPr>
        <w:t>،</w:t>
      </w:r>
      <w:r w:rsidR="00777DCB" w:rsidRPr="00A52585">
        <w:rPr>
          <w:rFonts w:hint="cs"/>
          <w:rtl/>
        </w:rPr>
        <w:t xml:space="preserve"> له الكمال المنزه عن النقصان والحاجه</w:t>
      </w:r>
      <w:r w:rsidR="00DB731D" w:rsidRPr="00A52585">
        <w:rPr>
          <w:rFonts w:hint="cs"/>
          <w:rtl/>
        </w:rPr>
        <w:t>،</w:t>
      </w:r>
      <w:r w:rsidR="00777DCB" w:rsidRPr="00A52585">
        <w:rPr>
          <w:rFonts w:hint="cs"/>
          <w:rtl/>
        </w:rPr>
        <w:t xml:space="preserve"> وجميع خلقه إليه محتاج</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 يَلِدْ وَلَمْ يُولَدْ</w:t>
      </w:r>
      <w:r w:rsidRPr="00A52585">
        <w:rPr>
          <w:rFonts w:hint="cs"/>
          <w:rtl/>
        </w:rPr>
        <w:t>}</w:t>
      </w:r>
      <w:r w:rsidR="00777DCB" w:rsidRPr="00A52585">
        <w:rPr>
          <w:rFonts w:hint="cs"/>
          <w:rtl/>
        </w:rPr>
        <w:t xml:space="preserve"> أنه تعالى خالق كل موجود</w:t>
      </w:r>
      <w:r w:rsidR="00DB731D" w:rsidRPr="00A52585">
        <w:rPr>
          <w:rFonts w:hint="cs"/>
          <w:rtl/>
        </w:rPr>
        <w:t>،</w:t>
      </w:r>
      <w:r w:rsidR="00777DCB" w:rsidRPr="00A52585">
        <w:rPr>
          <w:rFonts w:hint="cs"/>
          <w:rtl/>
        </w:rPr>
        <w:t xml:space="preserve"> أحد صمد</w:t>
      </w:r>
      <w:r w:rsidR="00DB731D" w:rsidRPr="00A52585">
        <w:rPr>
          <w:rFonts w:hint="cs"/>
          <w:rtl/>
        </w:rPr>
        <w:t>،</w:t>
      </w:r>
      <w:r w:rsidR="00777DCB" w:rsidRPr="00A52585">
        <w:rPr>
          <w:rFonts w:hint="cs"/>
          <w:rtl/>
        </w:rPr>
        <w:t xml:space="preserve"> لا ينفصل من شيء ولم ينفصل منه شيء</w:t>
      </w:r>
      <w:r w:rsidR="00DB731D" w:rsidRPr="00A52585">
        <w:rPr>
          <w:rFonts w:hint="cs"/>
          <w:rtl/>
        </w:rPr>
        <w:t>،</w:t>
      </w:r>
      <w:r w:rsidR="00777DCB" w:rsidRPr="00A52585">
        <w:rPr>
          <w:rFonts w:hint="cs"/>
          <w:rtl/>
        </w:rPr>
        <w:t xml:space="preserve"> تنزه عن أن يكون منه جزء مخلوق {لَمْ يَلِدْ</w:t>
      </w:r>
      <w:r w:rsidRPr="00A52585">
        <w:rPr>
          <w:rFonts w:hint="cs"/>
          <w:rtl/>
        </w:rPr>
        <w:t>}</w:t>
      </w:r>
      <w:r w:rsidR="00DB731D" w:rsidRPr="00A52585">
        <w:rPr>
          <w:rFonts w:hint="cs"/>
          <w:rtl/>
        </w:rPr>
        <w:t>،</w:t>
      </w:r>
      <w:r w:rsidR="00777DCB" w:rsidRPr="00A52585">
        <w:rPr>
          <w:rFonts w:hint="cs"/>
          <w:rtl/>
        </w:rPr>
        <w:t xml:space="preserve"> وتنزه عن أن يكون هو محدث مخلوق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بل هو الأول فليس قبله شيء وهو الآخر فليس بعده شيء</w:t>
      </w:r>
      <w:r w:rsidR="00DB731D" w:rsidRPr="00A52585">
        <w:rPr>
          <w:rFonts w:hint="cs"/>
          <w:rtl/>
        </w:rPr>
        <w:t>،</w:t>
      </w:r>
      <w:r w:rsidR="00777DCB" w:rsidRPr="00A52585">
        <w:rPr>
          <w:rFonts w:hint="cs"/>
          <w:rtl/>
        </w:rPr>
        <w:t xml:space="preserve"> الخالق لكل شيء ومن عداه مخلوق</w:t>
      </w:r>
      <w:r w:rsidR="00DB731D" w:rsidRPr="00A52585">
        <w:rPr>
          <w:rFonts w:hint="cs"/>
          <w:rtl/>
        </w:rPr>
        <w:t>،</w:t>
      </w:r>
      <w:r w:rsidRPr="00A52585">
        <w:rPr>
          <w:rFonts w:hint="cs"/>
          <w:rtl/>
        </w:rPr>
        <w:t xml:space="preserve"> </w:t>
      </w:r>
      <w:r w:rsidR="00777DCB" w:rsidRPr="00A52585">
        <w:rPr>
          <w:rFonts w:hint="cs"/>
          <w:rtl/>
        </w:rPr>
        <w:t>أحد لا نظير له</w:t>
      </w:r>
      <w:r w:rsidR="00DB731D" w:rsidRPr="00A52585">
        <w:rPr>
          <w:rFonts w:hint="cs"/>
          <w:rtl/>
        </w:rPr>
        <w:t>،</w:t>
      </w:r>
      <w:r w:rsidR="00777DCB" w:rsidRPr="00A52585">
        <w:rPr>
          <w:rFonts w:hint="cs"/>
          <w:rtl/>
        </w:rPr>
        <w:t xml:space="preserve"> صمد لا ينفصل من شيء ولم ينفصل منه شيء</w:t>
      </w:r>
      <w:r w:rsidR="00DB731D" w:rsidRPr="00A52585">
        <w:rPr>
          <w:rFonts w:hint="cs"/>
          <w:rtl/>
        </w:rPr>
        <w:t>،</w:t>
      </w:r>
      <w:r w:rsidR="00777DCB" w:rsidRPr="00A52585">
        <w:rPr>
          <w:rFonts w:hint="cs"/>
          <w:rtl/>
        </w:rPr>
        <w:t xml:space="preserve"> والنصارى </w:t>
      </w:r>
      <w:r w:rsidR="00777DCB" w:rsidRPr="00A52585">
        <w:rPr>
          <w:rFonts w:hint="cs"/>
          <w:rtl/>
        </w:rPr>
        <w:lastRenderedPageBreak/>
        <w:t>من أجهل الناس بما يجب وما يجوز وما يستحيل نسبته إلى الله تعالى</w:t>
      </w:r>
      <w:r w:rsidR="00DB731D" w:rsidRPr="00A52585">
        <w:rPr>
          <w:rFonts w:hint="cs"/>
          <w:rtl/>
        </w:rPr>
        <w:t>،</w:t>
      </w:r>
      <w:r w:rsidR="00777DCB" w:rsidRPr="00A52585">
        <w:rPr>
          <w:rFonts w:hint="cs"/>
          <w:rtl/>
        </w:rPr>
        <w:t xml:space="preserve"> فزعموا له الولد سبحانه</w:t>
      </w:r>
      <w:r w:rsidR="00DB731D" w:rsidRPr="00A52585">
        <w:rPr>
          <w:rFonts w:hint="cs"/>
          <w:rtl/>
        </w:rPr>
        <w:t>،</w:t>
      </w:r>
      <w:r w:rsidR="00777DCB" w:rsidRPr="00A52585">
        <w:rPr>
          <w:rFonts w:hint="cs"/>
          <w:rtl/>
        </w:rPr>
        <w:t xml:space="preserve"> وهذا يستحيل نسبته إلى الله الاحد الصمد</w:t>
      </w:r>
      <w:r w:rsidR="00DB731D" w:rsidRPr="00A52585">
        <w:rPr>
          <w:rFonts w:hint="cs"/>
          <w:rtl/>
        </w:rPr>
        <w:t>،</w:t>
      </w:r>
      <w:r w:rsidR="00777DCB" w:rsidRPr="00A52585">
        <w:rPr>
          <w:rFonts w:hint="cs"/>
          <w:rtl/>
        </w:rPr>
        <w:t xml:space="preserve"> لأن الولد جزء من أبيه</w:t>
      </w:r>
      <w:r w:rsidR="00DB731D" w:rsidRPr="00A52585">
        <w:rPr>
          <w:rFonts w:hint="cs"/>
          <w:rtl/>
        </w:rPr>
        <w:t>،</w:t>
      </w:r>
      <w:r w:rsidR="00777DCB" w:rsidRPr="00A52585">
        <w:rPr>
          <w:rFonts w:hint="cs"/>
          <w:rtl/>
        </w:rPr>
        <w:t xml:space="preserve"> فالوالد لا يخلق ولده</w:t>
      </w:r>
      <w:r w:rsidR="00DB731D" w:rsidRPr="00A52585">
        <w:rPr>
          <w:rFonts w:hint="cs"/>
          <w:rtl/>
        </w:rPr>
        <w:t>،</w:t>
      </w:r>
      <w:r w:rsidR="00777DCB" w:rsidRPr="00A52585">
        <w:rPr>
          <w:rFonts w:hint="cs"/>
          <w:rtl/>
        </w:rPr>
        <w:t xml:space="preserve"> وإنما هو جزء منه</w:t>
      </w:r>
      <w:r w:rsidR="00DB731D" w:rsidRPr="00A52585">
        <w:rPr>
          <w:rFonts w:hint="cs"/>
          <w:rtl/>
        </w:rPr>
        <w:t>،</w:t>
      </w:r>
      <w:r w:rsidR="00777DCB" w:rsidRPr="00A52585">
        <w:rPr>
          <w:rFonts w:hint="cs"/>
          <w:rtl/>
        </w:rPr>
        <w:t xml:space="preserve"> والله تعالى أحد صمد منزه عن الجزء والكل</w:t>
      </w:r>
      <w:r w:rsidR="00DB731D" w:rsidRPr="00A52585">
        <w:rPr>
          <w:rFonts w:hint="cs"/>
          <w:rtl/>
        </w:rPr>
        <w:t>،</w:t>
      </w:r>
      <w:r w:rsidR="00777DCB" w:rsidRPr="00A52585">
        <w:rPr>
          <w:rFonts w:hint="cs"/>
          <w:rtl/>
        </w:rPr>
        <w:t xml:space="preserve"> لأنه لا يُعرف بالحس</w:t>
      </w:r>
      <w:r w:rsidR="00DB731D" w:rsidRPr="00A52585">
        <w:rPr>
          <w:rFonts w:hint="cs"/>
          <w:rtl/>
        </w:rPr>
        <w:t>،</w:t>
      </w:r>
      <w:r w:rsidR="00777DCB" w:rsidRPr="00A52585">
        <w:rPr>
          <w:rFonts w:hint="cs"/>
          <w:rtl/>
        </w:rPr>
        <w:t xml:space="preserve"> فلا يكون منه الولد</w:t>
      </w:r>
      <w:r w:rsidR="00DB731D" w:rsidRPr="00A52585">
        <w:rPr>
          <w:rFonts w:hint="cs"/>
          <w:rtl/>
        </w:rPr>
        <w:t>،</w:t>
      </w:r>
      <w:r w:rsidR="00777DCB" w:rsidRPr="00A52585">
        <w:rPr>
          <w:rFonts w:hint="cs"/>
          <w:rtl/>
        </w:rPr>
        <w:t xml:space="preserve"> ولو كان منه الولد - سبحانه - لكان الولد قديماً</w:t>
      </w:r>
      <w:r w:rsidR="00DB731D" w:rsidRPr="00A52585">
        <w:rPr>
          <w:rFonts w:hint="cs"/>
          <w:rtl/>
        </w:rPr>
        <w:t>،</w:t>
      </w:r>
      <w:r w:rsidR="00777DCB" w:rsidRPr="00A52585">
        <w:rPr>
          <w:rFonts w:hint="cs"/>
          <w:rtl/>
        </w:rPr>
        <w:t xml:space="preserve"> مثل أبيه</w:t>
      </w:r>
      <w:r w:rsidR="00DB731D" w:rsidRPr="00A52585">
        <w:rPr>
          <w:rFonts w:hint="cs"/>
          <w:rtl/>
        </w:rPr>
        <w:t>،</w:t>
      </w:r>
      <w:r w:rsidR="00777DCB" w:rsidRPr="00A52585">
        <w:rPr>
          <w:rFonts w:hint="cs"/>
          <w:rtl/>
        </w:rPr>
        <w:t xml:space="preserve"> وكيف يكون قديماً وهو حادث</w:t>
      </w:r>
      <w:r w:rsidR="00DB731D" w:rsidRPr="00A52585">
        <w:rPr>
          <w:rFonts w:hint="cs"/>
          <w:rtl/>
        </w:rPr>
        <w:t>،</w:t>
      </w:r>
      <w:r w:rsidR="00777DCB" w:rsidRPr="00A52585">
        <w:rPr>
          <w:rFonts w:hint="cs"/>
          <w:rtl/>
        </w:rPr>
        <w:t xml:space="preserve"> وُجد بعد أن لم يكن موجوداً</w:t>
      </w:r>
      <w:r w:rsidR="00DB731D" w:rsidRPr="00A52585">
        <w:rPr>
          <w:rFonts w:hint="cs"/>
          <w:rtl/>
        </w:rPr>
        <w:t>،</w:t>
      </w:r>
      <w:r w:rsidR="00777DCB" w:rsidRPr="00A52585">
        <w:rPr>
          <w:rFonts w:hint="cs"/>
          <w:rtl/>
        </w:rPr>
        <w:t xml:space="preserve"> ولذلك لا يجوز على الله تعالى الولد</w:t>
      </w:r>
      <w:r w:rsidR="00DB731D" w:rsidRPr="00A52585">
        <w:rPr>
          <w:rFonts w:hint="cs"/>
          <w:rtl/>
        </w:rPr>
        <w:t>،</w:t>
      </w:r>
      <w:r w:rsidR="00777DCB" w:rsidRPr="00A52585">
        <w:rPr>
          <w:rFonts w:hint="cs"/>
          <w:rtl/>
        </w:rPr>
        <w:t xml:space="preserve"> ولذا نجد القرآن الكريم يعالج تلك القضية بقوله تعالى - آمراً رسوله صلى الله عليه وسلم -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إِنْ كَانَ لِلرَّحْمَنِ وَلَدٌ فَأَنَا أَوَّلُ الْعَابِدِينَ * سُبْحَانَ رَبِّ السَّمَوَاتِ وَالْأَرْضِ رَبِّ الْعَرْشِ عَمَّا يَصِفُونَ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الزخرف</w:t>
      </w:r>
      <w:r w:rsidRPr="00A52585">
        <w:rPr>
          <w:rFonts w:hint="cs"/>
          <w:rtl/>
        </w:rPr>
        <w:t>:</w:t>
      </w:r>
      <w:r w:rsidR="00777DCB" w:rsidRPr="00A52585">
        <w:rPr>
          <w:rFonts w:hint="cs"/>
          <w:rtl/>
        </w:rPr>
        <w:t xml:space="preserve"> 81</w:t>
      </w:r>
      <w:r w:rsidR="00DB731D" w:rsidRPr="00A52585">
        <w:rPr>
          <w:rFonts w:hint="cs"/>
          <w:rtl/>
        </w:rPr>
        <w:t>،</w:t>
      </w:r>
      <w:r w:rsidR="00777DCB" w:rsidRPr="00A52585">
        <w:rPr>
          <w:rFonts w:hint="cs"/>
          <w:rtl/>
        </w:rPr>
        <w:t xml:space="preserve"> 82</w:t>
      </w:r>
      <w:r w:rsidRPr="00A52585">
        <w:rPr>
          <w:rFonts w:hint="cs"/>
          <w:rtl/>
        </w:rPr>
        <w:t>]</w:t>
      </w:r>
      <w:r w:rsidR="00DB731D" w:rsidRPr="00A52585">
        <w:rPr>
          <w:rFonts w:hint="cs"/>
          <w:rtl/>
        </w:rPr>
        <w:t>،</w:t>
      </w:r>
      <w:r w:rsidR="00777DCB" w:rsidRPr="00A52585">
        <w:rPr>
          <w:rFonts w:hint="cs"/>
          <w:rtl/>
        </w:rPr>
        <w:t xml:space="preserve"> فالمعنى أنه لو كان ذلك جائزاً ممكناً حاصلاً فأنا أول المنقادين لأمر الله تعالى المتعبدين بطاعته</w:t>
      </w:r>
      <w:r w:rsidR="00DB731D" w:rsidRPr="00A52585">
        <w:rPr>
          <w:rFonts w:hint="cs"/>
          <w:rtl/>
        </w:rPr>
        <w:t>،</w:t>
      </w:r>
      <w:r w:rsidR="00777DCB" w:rsidRPr="00A52585">
        <w:rPr>
          <w:rFonts w:hint="cs"/>
          <w:rtl/>
        </w:rPr>
        <w:t xml:space="preserve"> ولكنه لا ينبغي للرحمن أن يتخذ ولداً لان ذلك مستحيل في حق الأحد الصمد</w:t>
      </w:r>
      <w:r w:rsidR="00DB731D" w:rsidRPr="00A52585">
        <w:rPr>
          <w:rFonts w:hint="cs"/>
          <w:rtl/>
        </w:rPr>
        <w:t>،</w:t>
      </w:r>
      <w:r w:rsidR="00777DCB" w:rsidRPr="00A52585">
        <w:rPr>
          <w:rFonts w:hint="cs"/>
          <w:rtl/>
        </w:rPr>
        <w:t xml:space="preserve"> ولهذا جاء التسبيح والتنزيه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 السَّمَوَاتِ وَالْأَرْضِ رَبِّ الْعَرْشِ عَمَّا يَصِفُونَ</w:t>
      </w:r>
      <w:r w:rsidRPr="00A52585">
        <w:rPr>
          <w:rFonts w:hint="cs"/>
          <w:rtl/>
        </w:rPr>
        <w:t>}</w:t>
      </w:r>
      <w:r w:rsidR="00DB731D" w:rsidRPr="00A52585">
        <w:rPr>
          <w:rFonts w:hint="cs"/>
          <w:rtl/>
        </w:rPr>
        <w:t>،</w:t>
      </w:r>
      <w:r w:rsidR="00777DCB" w:rsidRPr="00A52585">
        <w:rPr>
          <w:rFonts w:hint="cs"/>
          <w:rtl/>
        </w:rPr>
        <w:t xml:space="preserve"> فالولد من الاشياء المستحيلة في حق الله تعالى وتقدس</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88 إلى 95</w:t>
      </w:r>
      <w:r w:rsidRPr="00A52585">
        <w:rPr>
          <w:rFonts w:hint="cs"/>
          <w:rtl/>
        </w:rPr>
        <w:t>]</w:t>
      </w:r>
      <w:r w:rsidR="00DB731D" w:rsidRPr="00A52585">
        <w:rPr>
          <w:rFonts w:hint="cs"/>
          <w:rtl/>
        </w:rPr>
        <w:t>،</w:t>
      </w:r>
      <w:r w:rsidR="00777DCB" w:rsidRPr="00A52585">
        <w:rPr>
          <w:rFonts w:hint="cs"/>
          <w:rtl/>
        </w:rPr>
        <w:t xml:space="preserve"> ومن فقه الآية </w:t>
      </w:r>
      <w:r w:rsidRPr="00A52585">
        <w:rPr>
          <w:rFonts w:hint="cs"/>
          <w:rtl/>
        </w:rPr>
        <w:t>{</w:t>
      </w:r>
      <w:r w:rsidR="00777DCB" w:rsidRPr="00A52585">
        <w:rPr>
          <w:rFonts w:hint="cs"/>
          <w:rtl/>
        </w:rPr>
        <w:t>لَمْ يَلِدْ وَلَمْ يُولَدْ</w:t>
      </w:r>
      <w:r w:rsidRPr="00A52585">
        <w:rPr>
          <w:rFonts w:hint="cs"/>
          <w:rtl/>
        </w:rPr>
        <w:t>}</w:t>
      </w:r>
      <w:r w:rsidR="00777DCB" w:rsidRPr="00A52585">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DB731D" w:rsidRPr="00A52585">
        <w:rPr>
          <w:rFonts w:hint="cs"/>
          <w:rtl/>
        </w:rPr>
        <w:t>،</w:t>
      </w:r>
      <w:r w:rsidR="00777DCB" w:rsidRPr="00A52585">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كما أنه منزه عن التغير والحدوث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يُولَدْ</w:t>
      </w:r>
      <w:r w:rsidRPr="00A52585">
        <w:rPr>
          <w:rFonts w:hint="cs"/>
          <w:rtl/>
        </w:rPr>
        <w:t>}</w:t>
      </w:r>
      <w:r w:rsidR="00DB731D" w:rsidRPr="00A52585">
        <w:rPr>
          <w:rFonts w:hint="cs"/>
          <w:rtl/>
        </w:rPr>
        <w:t>،</w:t>
      </w:r>
      <w:r w:rsidR="00777DCB" w:rsidRPr="00A52585">
        <w:rPr>
          <w:rFonts w:hint="cs"/>
          <w:rtl/>
        </w:rPr>
        <w:t xml:space="preserve"> وسياتي تفصيل ذلك عند شرح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هَذَا رَبِّي فَلَمَّا أَفَلَ قَالَ لَا أُحِبُّ الْآفِلِينَ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الانعام</w:t>
      </w:r>
      <w:r w:rsidRPr="00A52585">
        <w:rPr>
          <w:rFonts w:hint="cs"/>
          <w:rtl/>
        </w:rPr>
        <w:t>:</w:t>
      </w:r>
      <w:r w:rsidR="00777DCB" w:rsidRPr="00A52585">
        <w:rPr>
          <w:rFonts w:hint="cs"/>
          <w:rtl/>
        </w:rPr>
        <w:t xml:space="preserve"> 76</w:t>
      </w:r>
      <w:r w:rsidRPr="00A52585">
        <w:rPr>
          <w:rFonts w:hint="cs"/>
          <w:rtl/>
        </w:rPr>
        <w:t>]</w:t>
      </w:r>
      <w:r w:rsidR="00DB731D" w:rsidRPr="00A52585">
        <w:rPr>
          <w:rFonts w:hint="cs"/>
          <w:rtl/>
        </w:rPr>
        <w:t>،</w:t>
      </w:r>
      <w:r w:rsidR="00777DCB" w:rsidRPr="00A52585">
        <w:rPr>
          <w:rFonts w:hint="cs"/>
          <w:rtl/>
        </w:rPr>
        <w:t xml:space="preserve"> أي أن المتغير عن حاله الآفل الذي يقبل الحدوث والتغير من حال إلى حال</w:t>
      </w:r>
      <w:r w:rsidR="00DB731D" w:rsidRPr="00A52585">
        <w:rPr>
          <w:rFonts w:hint="cs"/>
          <w:rtl/>
        </w:rPr>
        <w:t>،</w:t>
      </w:r>
      <w:r w:rsidR="00777DCB" w:rsidRPr="00A52585">
        <w:rPr>
          <w:rFonts w:hint="cs"/>
          <w:rtl/>
        </w:rPr>
        <w:t xml:space="preserve"> لا يصلح أن يكون رباً خالقاً</w:t>
      </w:r>
      <w:r w:rsidR="00DB731D" w:rsidRPr="00A52585">
        <w:rPr>
          <w:rFonts w:hint="cs"/>
          <w:rtl/>
        </w:rPr>
        <w:t>،</w:t>
      </w:r>
      <w:r w:rsidR="00777DCB" w:rsidRPr="00A52585">
        <w:rPr>
          <w:rFonts w:hint="cs"/>
          <w:rtl/>
        </w:rPr>
        <w:t xml:space="preserve"> وإلهاً معبوداً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eastAsia="Times New Roman" w:hint="cs"/>
          <w:rtl/>
        </w:rPr>
        <w:t xml:space="preserve"> أي لا نظير له بوجه من الوجوه، ولا كفء له ولا شبيه</w:t>
      </w:r>
      <w:r w:rsidR="00DB731D" w:rsidRPr="00A52585">
        <w:rPr>
          <w:rFonts w:eastAsia="Times New Roman" w:hint="cs"/>
          <w:rtl/>
          <w:lang w:bidi="ar-KW"/>
        </w:rPr>
        <w:t>،</w:t>
      </w:r>
      <w:r w:rsidR="00777DCB" w:rsidRPr="00A52585">
        <w:rPr>
          <w:rFonts w:eastAsia="Times New Roman" w:hint="cs"/>
          <w:rtl/>
          <w:lang w:bidi="ar-KW"/>
        </w:rPr>
        <w:t xml:space="preserve"> وهذه الآية من </w:t>
      </w:r>
      <w:r w:rsidR="00777DCB" w:rsidRPr="00A52585">
        <w:rPr>
          <w:rFonts w:hint="cs"/>
          <w:rtl/>
          <w:lang w:bidi="ar-KW"/>
        </w:rPr>
        <w:t>الأدلة القرآنية على تنزيه الله تعالى عن المثيل والكفء والشبيه والسمي</w:t>
      </w:r>
      <w:r w:rsidRPr="00A52585">
        <w:rPr>
          <w:rFonts w:hint="cs"/>
          <w:rtl/>
          <w:lang w:bidi="ar-KW"/>
        </w:rPr>
        <w:t>:</w:t>
      </w:r>
      <w:r w:rsidR="00777DCB" w:rsidRPr="00A52585">
        <w:rPr>
          <w:rFonts w:hint="cs"/>
          <w:rtl/>
          <w:lang w:bidi="ar-KW"/>
        </w:rPr>
        <w:t xml:space="preserve"> كقوله تعالى</w:t>
      </w:r>
      <w:r w:rsidRPr="00A52585">
        <w:rPr>
          <w:rFonts w:hint="cs"/>
          <w:rtl/>
          <w:lang w:bidi="ar-KW"/>
        </w:rPr>
        <w:t>:</w:t>
      </w:r>
      <w:r w:rsidR="00777DCB" w:rsidRPr="00A52585">
        <w:rPr>
          <w:rFonts w:hint="cs"/>
          <w:rtl/>
          <w:lang w:bidi="ar-KW"/>
        </w:rPr>
        <w:t xml:space="preserve"> </w:t>
      </w:r>
      <w:r w:rsidRPr="00A52585">
        <w:rPr>
          <w:rFonts w:eastAsia="Times New Roman" w:hint="cs"/>
          <w:rtl/>
        </w:rPr>
        <w:t>{</w:t>
      </w:r>
      <w:r w:rsidR="00777DCB" w:rsidRPr="00A52585">
        <w:rPr>
          <w:rFonts w:eastAsia="Times New Roman" w:hint="cs"/>
          <w:rtl/>
        </w:rPr>
        <w:t>ليس كمثلِه شيء</w:t>
      </w:r>
      <w:r w:rsidRPr="00A52585">
        <w:rPr>
          <w:rFonts w:eastAsia="Times New Roman" w:hint="cs"/>
          <w:rtl/>
        </w:rPr>
        <w:t>} [</w:t>
      </w:r>
      <w:r w:rsidR="00777DCB" w:rsidRPr="00A52585">
        <w:rPr>
          <w:rFonts w:eastAsia="Times New Roman" w:hint="cs"/>
          <w:rtl/>
        </w:rPr>
        <w:t>سورة الشورى</w:t>
      </w:r>
      <w:r w:rsidRPr="00A52585">
        <w:rPr>
          <w:rFonts w:eastAsia="Times New Roman" w:hint="cs"/>
          <w:rtl/>
        </w:rPr>
        <w:t xml:space="preserve">: </w:t>
      </w:r>
      <w:r w:rsidR="00777DCB" w:rsidRPr="00A52585">
        <w:rPr>
          <w:rFonts w:eastAsia="Times New Roman" w:hint="cs"/>
          <w:rtl/>
        </w:rPr>
        <w:t>11</w:t>
      </w:r>
      <w:r w:rsidRPr="00A52585">
        <w:rPr>
          <w:rFonts w:eastAsia="Times New Roman" w:hint="cs"/>
          <w:rtl/>
        </w:rPr>
        <w:t>]</w:t>
      </w:r>
      <w:r w:rsidR="00777DCB" w:rsidRPr="00A52585">
        <w:rPr>
          <w:rFonts w:eastAsia="Times New Roman" w:hint="cs"/>
          <w:rtl/>
        </w:rPr>
        <w:t>، نفي المشابهة والمماثلة بين الله تعالى وخلقه ومعناه أن الله تعالى لا يشبه شيئًا من خلقه بوجه من الوجوه</w:t>
      </w:r>
      <w:r w:rsidR="00DB731D" w:rsidRPr="00A52585">
        <w:rPr>
          <w:rFonts w:eastAsia="Times New Roman" w:hint="cs"/>
          <w:rtl/>
        </w:rPr>
        <w:t>،</w:t>
      </w:r>
      <w:r w:rsidR="00777DCB" w:rsidRPr="00A52585">
        <w:rPr>
          <w:rFonts w:eastAsia="Times New Roman" w:hint="cs"/>
          <w:rtl/>
        </w:rPr>
        <w:t xml:space="preserve"> وكقوله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وللهِ المثَلُ الأعلى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سورة النحل</w:t>
      </w:r>
      <w:r w:rsidRPr="00A52585">
        <w:rPr>
          <w:rFonts w:eastAsia="Times New Roman" w:hint="cs"/>
          <w:rtl/>
        </w:rPr>
        <w:t>:</w:t>
      </w:r>
      <w:r w:rsidR="00777DCB" w:rsidRPr="00A52585">
        <w:rPr>
          <w:rFonts w:eastAsia="Times New Roman" w:hint="cs"/>
          <w:rtl/>
        </w:rPr>
        <w:t>60</w:t>
      </w:r>
      <w:r w:rsidRPr="00A52585">
        <w:rPr>
          <w:rFonts w:eastAsia="Times New Roman" w:hint="cs"/>
          <w:rtl/>
        </w:rPr>
        <w:t>]</w:t>
      </w:r>
      <w:r w:rsidR="00777DCB" w:rsidRPr="00A52585">
        <w:rPr>
          <w:rFonts w:eastAsia="Times New Roman" w:hint="cs"/>
          <w:rtl/>
        </w:rPr>
        <w:t xml:space="preserve"> أي الوصف الذي لا يشبه وصف غيره، فلا يوصف ربنا عزَّ وجلَّ بصفات المخلوقين</w:t>
      </w:r>
      <w:r w:rsidR="00DB731D" w:rsidRPr="00A52585">
        <w:rPr>
          <w:rFonts w:eastAsia="Times New Roman" w:hint="cs"/>
          <w:rtl/>
        </w:rPr>
        <w:t>،،</w:t>
      </w:r>
      <w:r w:rsidR="00777DCB" w:rsidRPr="00A52585">
        <w:rPr>
          <w:rFonts w:eastAsia="Times New Roman" w:hint="cs"/>
          <w:rtl/>
        </w:rPr>
        <w:t xml:space="preserve"> وكقوله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فلا تضربوا للهِ الأمثال</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سورة النحل</w:t>
      </w:r>
      <w:r w:rsidRPr="00A52585">
        <w:rPr>
          <w:rFonts w:eastAsia="Times New Roman" w:hint="cs"/>
          <w:rtl/>
        </w:rPr>
        <w:t>:</w:t>
      </w:r>
      <w:r w:rsidR="00777DCB" w:rsidRPr="00A52585">
        <w:rPr>
          <w:rFonts w:eastAsia="Times New Roman" w:hint="cs"/>
          <w:rtl/>
        </w:rPr>
        <w:t xml:space="preserve"> 74</w:t>
      </w:r>
      <w:r w:rsidRPr="00A52585">
        <w:rPr>
          <w:rFonts w:eastAsia="Times New Roman" w:hint="cs"/>
          <w:rtl/>
        </w:rPr>
        <w:t>]</w:t>
      </w:r>
      <w:r w:rsidR="00777DCB" w:rsidRPr="00A52585">
        <w:rPr>
          <w:rFonts w:eastAsia="Times New Roman" w:hint="cs"/>
          <w:rtl/>
        </w:rPr>
        <w:t xml:space="preserve">، أي لا تجعلوا لله الشبيهَ والمِثْل </w:t>
      </w:r>
      <w:r w:rsidR="00777DCB" w:rsidRPr="00A52585">
        <w:rPr>
          <w:rFonts w:eastAsia="Times New Roman" w:hint="cs"/>
          <w:rtl/>
        </w:rPr>
        <w:lastRenderedPageBreak/>
        <w:t>فإن اللهَ تعالى لا شبيه له ولا مثيل له، فذاتُه سبحانه لا يشبه الذواتِ ولا صفاتُه تشبه الصفاتِ</w:t>
      </w:r>
      <w:r w:rsidR="00DB731D" w:rsidRPr="00A52585">
        <w:rPr>
          <w:rFonts w:eastAsia="Times New Roman" w:hint="cs"/>
          <w:rtl/>
        </w:rPr>
        <w:t>،</w:t>
      </w:r>
      <w:r w:rsidR="00777DCB" w:rsidRPr="00A52585">
        <w:rPr>
          <w:rFonts w:eastAsia="Times New Roman" w:hint="cs"/>
          <w:rtl/>
        </w:rPr>
        <w:t xml:space="preserve"> وكقوله تعالى</w:t>
      </w:r>
      <w:r w:rsidRPr="00A52585">
        <w:rPr>
          <w:rFonts w:eastAsia="Times New Roman" w:hint="cs"/>
          <w:rtl/>
        </w:rPr>
        <w:t>:</w:t>
      </w:r>
      <w:r w:rsidR="00777DCB" w:rsidRPr="00A52585">
        <w:rPr>
          <w:rFonts w:eastAsia="Times New Roman" w:hint="cs"/>
          <w:rtl/>
        </w:rPr>
        <w:t xml:space="preserve"> {هل تعلمُ لهُ سميًّا) </w:t>
      </w:r>
      <w:r w:rsidRPr="00A52585">
        <w:rPr>
          <w:rFonts w:eastAsia="Times New Roman" w:hint="cs"/>
          <w:rtl/>
        </w:rPr>
        <w:t>[</w:t>
      </w:r>
      <w:r w:rsidR="00777DCB" w:rsidRPr="00A52585">
        <w:rPr>
          <w:rFonts w:eastAsia="Times New Roman" w:hint="cs"/>
          <w:rtl/>
        </w:rPr>
        <w:t>سورة مريم</w:t>
      </w:r>
      <w:r w:rsidRPr="00A52585">
        <w:rPr>
          <w:rFonts w:eastAsia="Times New Roman" w:hint="cs"/>
          <w:rtl/>
        </w:rPr>
        <w:t>:</w:t>
      </w:r>
      <w:r w:rsidR="00777DCB" w:rsidRPr="00A52585">
        <w:rPr>
          <w:rFonts w:eastAsia="Times New Roman" w:hint="cs"/>
          <w:rtl/>
        </w:rPr>
        <w:t xml:space="preserve"> 65</w:t>
      </w:r>
      <w:r w:rsidRPr="00A52585">
        <w:rPr>
          <w:rFonts w:eastAsia="Times New Roman" w:hint="cs"/>
          <w:rtl/>
        </w:rPr>
        <w:t>]</w:t>
      </w:r>
      <w:r w:rsidR="00777DCB" w:rsidRPr="00A52585">
        <w:rPr>
          <w:rFonts w:eastAsia="Times New Roman" w:hint="cs"/>
          <w:rtl/>
        </w:rPr>
        <w:t xml:space="preserve"> أي مِثلاً، فالله تعالى لا مِثْلَ له ولا شبيه ولا نظير، فذاتُه سبحانه لا يشبه الذواتِ ولا صفاتُه تشبه الصفاتِ</w:t>
      </w:r>
      <w:r w:rsidR="00DB731D" w:rsidRPr="00A52585">
        <w:rPr>
          <w:rFonts w:eastAsia="Times New Roman" w:hint="cs"/>
          <w:rtl/>
        </w:rPr>
        <w:t>،</w:t>
      </w:r>
      <w:r w:rsidR="00777DCB" w:rsidRPr="00A52585">
        <w:rPr>
          <w:rFonts w:eastAsia="Times New Roman" w:hint="cs"/>
          <w:rtl/>
        </w:rPr>
        <w:t xml:space="preserve"> وكقوله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سُبْحَانَهُ وَتَعَالَى عَمَّا يَصِفُونَ</w:t>
      </w:r>
      <w:r w:rsidRPr="00A52585">
        <w:rPr>
          <w:rFonts w:eastAsia="Times New Roman" w:hint="cs"/>
          <w:rtl/>
        </w:rPr>
        <w:t>}</w:t>
      </w:r>
      <w:r w:rsidR="00777DCB" w:rsidRPr="00A52585">
        <w:rPr>
          <w:rFonts w:eastAsia="Times New Roman" w:hint="cs"/>
          <w:rtl/>
        </w:rPr>
        <w:t xml:space="preserve"> [سورة الأنعام</w:t>
      </w:r>
      <w:r w:rsidRPr="00A52585">
        <w:rPr>
          <w:rFonts w:eastAsia="Times New Roman" w:hint="cs"/>
          <w:rtl/>
        </w:rPr>
        <w:t>:</w:t>
      </w:r>
      <w:r w:rsidR="00777DCB" w:rsidRPr="00A52585">
        <w:rPr>
          <w:rFonts w:eastAsia="Times New Roman" w:hint="cs"/>
          <w:rtl/>
        </w:rPr>
        <w:t>100] تنزيه وتقديس لله تعالى عن كل وصف يخطر ببال بشر لأنه ليس كمثله شيء ولا نعلم له سميا</w:t>
      </w:r>
      <w:r w:rsidR="00DB731D" w:rsidRPr="00A52585">
        <w:rPr>
          <w:rFonts w:eastAsia="Times New Roman" w:hint="cs"/>
          <w:rtl/>
        </w:rPr>
        <w:t>،،</w:t>
      </w:r>
      <w:r w:rsidR="00777DCB" w:rsidRPr="00A52585">
        <w:rPr>
          <w:rFonts w:eastAsia="Times New Roman" w:hint="cs"/>
          <w:rtl/>
        </w:rPr>
        <w:t xml:space="preserve"> وكقوله تعالى</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وَلَا يُحِيطُونَ بِهِ عِلْمًا</w:t>
      </w:r>
      <w:r w:rsidRPr="00A52585">
        <w:rPr>
          <w:rFonts w:eastAsia="Times New Roman" w:hint="cs"/>
          <w:rtl/>
        </w:rPr>
        <w:t>}</w:t>
      </w:r>
      <w:r w:rsidR="00777DCB" w:rsidRPr="00A52585">
        <w:rPr>
          <w:rFonts w:hint="cs"/>
          <w:rtl/>
        </w:rPr>
        <w:t xml:space="preserve"> </w:t>
      </w:r>
      <w:r w:rsidR="00777DCB" w:rsidRPr="00A52585">
        <w:rPr>
          <w:rFonts w:eastAsia="Times New Roman" w:hint="cs"/>
          <w:rtl/>
        </w:rPr>
        <w:t>[سورة طه</w:t>
      </w:r>
      <w:r w:rsidRPr="00A52585">
        <w:rPr>
          <w:rFonts w:eastAsia="Times New Roman" w:hint="cs"/>
          <w:rtl/>
        </w:rPr>
        <w:t>:</w:t>
      </w:r>
      <w:r w:rsidR="00777DCB" w:rsidRPr="00A52585">
        <w:rPr>
          <w:rFonts w:eastAsia="Times New Roman" w:hint="cs"/>
          <w:rtl/>
        </w:rPr>
        <w:t xml:space="preserve"> 110] ولو كان له كفء أو شبيه أو مثيل لأحاطت به علوم البشر</w:t>
      </w:r>
      <w:r w:rsidR="00DB731D" w:rsidRPr="00A52585">
        <w:rPr>
          <w:rFonts w:eastAsia="Times New Roman" w:hint="cs"/>
          <w:rtl/>
        </w:rPr>
        <w:t>،</w:t>
      </w:r>
      <w:r w:rsidR="00777DCB" w:rsidRPr="00A52585">
        <w:rPr>
          <w:rFonts w:eastAsia="Times New Roman" w:hint="cs"/>
          <w:rtl/>
        </w:rPr>
        <w:t xml:space="preserve"> ومنه نعلم مخالفة ذات الله تعالى لجميع المخلوقات والموجودات والمحدثات</w:t>
      </w:r>
      <w:r w:rsidR="00DB731D" w:rsidRPr="00A52585">
        <w:rPr>
          <w:rFonts w:eastAsia="Times New Roman" w:hint="cs"/>
          <w:rtl/>
        </w:rPr>
        <w:t>،</w:t>
      </w:r>
      <w:r w:rsidR="00777DCB" w:rsidRPr="00A52585">
        <w:rPr>
          <w:rFonts w:eastAsia="Times New Roman" w:hint="cs"/>
          <w:rtl/>
        </w:rPr>
        <w:t xml:space="preserve"> ولما كانت جميع المخلوقات عبارة عن أجسام تتصف بالطول والعرض والحجم</w:t>
      </w:r>
      <w:r w:rsidR="00DB731D" w:rsidRPr="00A52585">
        <w:rPr>
          <w:rFonts w:eastAsia="Times New Roman" w:hint="cs"/>
          <w:rtl/>
        </w:rPr>
        <w:t>،</w:t>
      </w:r>
      <w:r w:rsidR="00777DCB" w:rsidRPr="00A52585">
        <w:rPr>
          <w:rFonts w:eastAsia="Times New Roman" w:hint="cs"/>
          <w:rtl/>
        </w:rPr>
        <w:t xml:space="preserve"> كان الله تعالى منزهاً عن مشابهة خلقه</w:t>
      </w:r>
      <w:r w:rsidR="00DB731D"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وهذا ما جعل الإمام أحمد</w:t>
      </w:r>
      <w:r w:rsidR="00777DCB" w:rsidRPr="00A52585">
        <w:rPr>
          <w:rFonts w:eastAsia="Times New Roman" w:hint="cs"/>
          <w:rtl/>
        </w:rPr>
        <w:t xml:space="preserve"> رحمه الله تعالى يقول في عقيدته </w:t>
      </w:r>
      <w:r w:rsidR="00777DCB" w:rsidRPr="00A52585">
        <w:rPr>
          <w:rFonts w:hint="cs"/>
          <w:rtl/>
        </w:rPr>
        <w:t>التي ذكرها</w:t>
      </w:r>
      <w:r w:rsidRPr="00A52585">
        <w:rPr>
          <w:rFonts w:hint="cs"/>
          <w:rtl/>
        </w:rPr>
        <w:t xml:space="preserve"> </w:t>
      </w:r>
      <w:r w:rsidR="00777DCB" w:rsidRPr="00A52585">
        <w:rPr>
          <w:rFonts w:hint="cs"/>
          <w:rtl/>
        </w:rPr>
        <w:t xml:space="preserve">أبو الفضل عبد الواحد بن عبد العزيز التميمي </w:t>
      </w:r>
      <w:r w:rsidRPr="00A52585">
        <w:rPr>
          <w:rFonts w:hint="cs"/>
          <w:rtl/>
        </w:rPr>
        <w:t>(</w:t>
      </w:r>
      <w:r w:rsidR="00777DCB" w:rsidRPr="00A52585">
        <w:rPr>
          <w:rFonts w:hint="cs"/>
          <w:rtl/>
        </w:rPr>
        <w:t>لا يجوز أن يسمى جسما</w:t>
      </w:r>
      <w:r w:rsidR="00DB731D" w:rsidRPr="00A52585">
        <w:rPr>
          <w:rFonts w:hint="cs"/>
          <w:rtl/>
        </w:rPr>
        <w:t>،</w:t>
      </w:r>
      <w:r w:rsidR="00777DCB" w:rsidRPr="00A52585">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Pr="00A52585">
        <w:rPr>
          <w:rFonts w:hint="cs"/>
          <w:rtl/>
        </w:rPr>
        <w:t xml:space="preserve"> [</w:t>
      </w:r>
      <w:r w:rsidR="00777DCB" w:rsidRPr="00A52585">
        <w:rPr>
          <w:rFonts w:hint="cs"/>
          <w:rtl/>
        </w:rPr>
        <w:t>العقيدة ج: 1 ص: 111</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عبدالباقي بن عبدالقادر الحنبلي</w:t>
      </w:r>
      <w:r w:rsidR="00777DCB" w:rsidRPr="00A52585">
        <w:rPr>
          <w:rFonts w:hint="cs"/>
          <w:rtl/>
        </w:rPr>
        <w:t xml:space="preserve"> في كتابه العين والأثر في عقائد أهل الأثر: </w:t>
      </w:r>
      <w:r w:rsidRPr="00A52585">
        <w:rPr>
          <w:rFonts w:hint="cs"/>
          <w:rtl/>
        </w:rPr>
        <w:t>(</w:t>
      </w:r>
      <w:r w:rsidR="00777DCB" w:rsidRPr="00A52585">
        <w:rPr>
          <w:rFonts w:hint="cs"/>
          <w:rtl/>
        </w:rPr>
        <w:t>فصل</w:t>
      </w:r>
      <w:r w:rsidRPr="00A52585">
        <w:rPr>
          <w:rFonts w:hint="cs"/>
          <w:rtl/>
        </w:rPr>
        <w:t>:</w:t>
      </w:r>
      <w:r w:rsidR="00777DCB" w:rsidRPr="00A52585">
        <w:rPr>
          <w:rFonts w:hint="cs"/>
          <w:rtl/>
        </w:rPr>
        <w:t xml:space="preserve"> ويجب الجزم بأن الله تعالى ليس بجوهر ولا جسم ولا عرض ولا تحله الحوادث ولا يحل في حادث ولا ينحصر فيه</w:t>
      </w:r>
      <w:r w:rsidR="00DB731D" w:rsidRPr="00A52585">
        <w:rPr>
          <w:rFonts w:hint="cs"/>
          <w:rtl/>
        </w:rPr>
        <w:t>،</w:t>
      </w:r>
      <w:r w:rsidR="00777DCB" w:rsidRPr="00A52585">
        <w:rPr>
          <w:rFonts w:hint="cs"/>
          <w:rtl/>
        </w:rPr>
        <w:t xml:space="preserve"> فمن اعتقد أو قال إن الله بذاته في مكان فكافر</w:t>
      </w:r>
      <w:r w:rsidR="00DB731D" w:rsidRPr="00A52585">
        <w:rPr>
          <w:rFonts w:hint="cs"/>
          <w:rtl/>
        </w:rPr>
        <w:t>،</w:t>
      </w:r>
      <w:r w:rsidR="00777DCB" w:rsidRPr="00A52585">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DB731D" w:rsidRPr="00A52585">
        <w:rPr>
          <w:rFonts w:hint="cs"/>
          <w:rtl/>
        </w:rPr>
        <w:t>،</w:t>
      </w:r>
      <w:r w:rsidR="00777DCB" w:rsidRPr="00A52585">
        <w:rPr>
          <w:rFonts w:hint="cs"/>
          <w:rtl/>
        </w:rPr>
        <w:t xml:space="preserve"> وعلى كل حال مهما خطر بالبال أو توهمه الخيال فهو بخلاف ذي الإكرام والجلال</w:t>
      </w:r>
      <w:r w:rsidRPr="00A52585">
        <w:rPr>
          <w:rFonts w:hint="cs"/>
          <w:rtl/>
        </w:rPr>
        <w:t>)</w:t>
      </w:r>
      <w:r w:rsidR="00777DCB" w:rsidRPr="00A52585">
        <w:rPr>
          <w:rFonts w:hint="cs"/>
          <w:rtl/>
        </w:rPr>
        <w:t xml:space="preserve"> أهـ [العين والأثر في عقائد أهل الأثر ج: 1 ص:34- 36</w:t>
      </w:r>
      <w:r w:rsidRPr="00A52585">
        <w:rPr>
          <w:rFonts w:hint="cs"/>
          <w:rtl/>
        </w:rPr>
        <w:t>]</w:t>
      </w:r>
      <w:r w:rsidR="00DB731D" w:rsidRPr="00A52585">
        <w:rPr>
          <w:rFonts w:hint="cs"/>
          <w:rtl/>
        </w:rPr>
        <w:t>،</w:t>
      </w:r>
      <w:r w:rsidR="00777DCB" w:rsidRPr="00A52585">
        <w:rPr>
          <w:rFonts w:hint="cs"/>
          <w:rtl/>
        </w:rPr>
        <w:t xml:space="preserve"> والمستفاد أن الله تعالى </w:t>
      </w:r>
      <w:r w:rsidR="00777DCB" w:rsidRPr="00A52585">
        <w:rPr>
          <w:rFonts w:eastAsia="Times New Roman" w:hint="cs"/>
          <w:rtl/>
        </w:rPr>
        <w:t>تنزه وتقدس عن كل وصف يخطر ببال بشر لأنه ليس كمثله شيء ولم يكن له كفوا</w:t>
      </w:r>
      <w:r w:rsidR="00DB731D" w:rsidRPr="00A52585">
        <w:rPr>
          <w:rFonts w:eastAsia="Times New Roman" w:hint="cs"/>
          <w:rtl/>
        </w:rPr>
        <w:t>،</w:t>
      </w:r>
      <w:r w:rsidRPr="00A52585">
        <w:rPr>
          <w:rFonts w:eastAsia="Times New Roman" w:hint="cs"/>
          <w:rtl/>
        </w:rPr>
        <w:t xml:space="preserve"> </w:t>
      </w:r>
      <w:r w:rsidR="00777DCB" w:rsidRPr="00A52585">
        <w:rPr>
          <w:rFonts w:hint="cs"/>
          <w:rtl/>
        </w:rPr>
        <w:t>وذات الله تعالى ليس كمثله شيء ولا له كفء ولا شبيه وليس له مثال يقاس عليه ولا نقدر على تصوره فضلا عن وصفه ولا نحيط به علما</w:t>
      </w:r>
      <w:r w:rsidR="00DB731D" w:rsidRPr="00A52585">
        <w:rPr>
          <w:rFonts w:hint="cs"/>
          <w:rtl/>
        </w:rPr>
        <w:t>،</w:t>
      </w:r>
      <w:r w:rsidR="00777DCB" w:rsidRPr="00A52585">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DB731D" w:rsidRPr="00A52585">
        <w:rPr>
          <w:rFonts w:hint="cs"/>
          <w:rtl/>
        </w:rPr>
        <w:t>،</w:t>
      </w:r>
      <w:r w:rsidR="00777DCB" w:rsidRPr="00A52585">
        <w:rPr>
          <w:rFonts w:hint="cs"/>
          <w:rtl/>
        </w:rPr>
        <w:t xml:space="preserve"> والحمد لله أنه لا خلاف بين المسلمين - عدا المشبهة - بأنّ الله تبارك وتعالى لا يشبه شيئاً من مخلوقاته</w:t>
      </w:r>
      <w:r w:rsidR="00DB731D" w:rsidRPr="00A52585">
        <w:rPr>
          <w:rFonts w:hint="cs"/>
          <w:rtl/>
        </w:rPr>
        <w:t>،</w:t>
      </w:r>
      <w:r w:rsidR="00777DCB" w:rsidRPr="00A52585">
        <w:rPr>
          <w:rFonts w:hint="cs"/>
          <w:rtl/>
        </w:rPr>
        <w:t xml:space="preserve"> إذ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وخلاصة القول أن سورة الإخلاص </w:t>
      </w:r>
      <w:r w:rsidRPr="00A52585">
        <w:rPr>
          <w:rFonts w:hint="cs"/>
          <w:rtl/>
        </w:rPr>
        <w:t>{</w:t>
      </w:r>
      <w:r w:rsidR="00777DCB" w:rsidRPr="00A52585">
        <w:rPr>
          <w:rFonts w:hint="cs"/>
          <w:rtl/>
        </w:rPr>
        <w:t>قل هو الله أحد الله الصمد لم يلد ولم يولد ولم يكن له كفواً أحد</w:t>
      </w:r>
      <w:r w:rsidRPr="00A52585">
        <w:rPr>
          <w:rFonts w:hint="cs"/>
          <w:rtl/>
        </w:rPr>
        <w:t>}</w:t>
      </w:r>
      <w:r w:rsidR="00DB731D" w:rsidRPr="00A52585">
        <w:rPr>
          <w:rFonts w:hint="cs"/>
          <w:rtl/>
        </w:rPr>
        <w:t>،</w:t>
      </w:r>
      <w:r w:rsidR="00777DCB" w:rsidRPr="00A52585">
        <w:rPr>
          <w:rFonts w:hint="cs"/>
          <w:rtl/>
        </w:rPr>
        <w:t xml:space="preserve"> هذه السورة </w:t>
      </w:r>
      <w:r w:rsidR="00777DCB" w:rsidRPr="00A52585">
        <w:rPr>
          <w:rFonts w:hint="cs"/>
          <w:rtl/>
        </w:rPr>
        <w:lastRenderedPageBreak/>
        <w:t>يجب أن تكون من المحكمات</w:t>
      </w:r>
      <w:r w:rsidR="00DB731D" w:rsidRPr="00A52585">
        <w:rPr>
          <w:rFonts w:hint="cs"/>
          <w:rtl/>
        </w:rPr>
        <w:t>،</w:t>
      </w:r>
      <w:r w:rsidR="00777DCB" w:rsidRPr="00A52585">
        <w:rPr>
          <w:rFonts w:hint="cs"/>
          <w:rtl/>
        </w:rPr>
        <w:t xml:space="preserve"> لا من المتشابهات لأن النبي صلى الله عليه وسلم جعلها ثلث القرآن وهي تشتمل على أربعة أصول وصف الله تعالى بالأحدية </w:t>
      </w:r>
      <w:r w:rsidRPr="00A52585">
        <w:rPr>
          <w:rFonts w:hint="cs"/>
          <w:rtl/>
        </w:rPr>
        <w:t>(</w:t>
      </w:r>
      <w:r w:rsidR="00777DCB" w:rsidRPr="00A52585">
        <w:rPr>
          <w:rFonts w:hint="cs"/>
          <w:rtl/>
        </w:rPr>
        <w:t>الله أحد</w:t>
      </w:r>
      <w:r w:rsidRPr="00A52585">
        <w:rPr>
          <w:rFonts w:hint="cs"/>
          <w:rtl/>
        </w:rPr>
        <w:t>)</w:t>
      </w:r>
      <w:r w:rsidR="00777DCB" w:rsidRPr="00A52585">
        <w:rPr>
          <w:rFonts w:hint="cs"/>
          <w:rtl/>
        </w:rPr>
        <w:t xml:space="preserve"> والصمدية </w:t>
      </w:r>
      <w:r w:rsidRPr="00A52585">
        <w:rPr>
          <w:rFonts w:hint="cs"/>
          <w:rtl/>
        </w:rPr>
        <w:t>(</w:t>
      </w:r>
      <w:r w:rsidR="00777DCB" w:rsidRPr="00A52585">
        <w:rPr>
          <w:rFonts w:hint="cs"/>
          <w:rtl/>
        </w:rPr>
        <w:t>الله الصمد</w:t>
      </w:r>
      <w:r w:rsidRPr="00A52585">
        <w:rPr>
          <w:rFonts w:hint="cs"/>
          <w:rtl/>
        </w:rPr>
        <w:t>)</w:t>
      </w:r>
      <w:r w:rsidR="00777DCB" w:rsidRPr="00A52585">
        <w:rPr>
          <w:rFonts w:hint="cs"/>
          <w:rtl/>
        </w:rPr>
        <w:t xml:space="preserve"> وتنزيهه سبحانه عن حلول الحوادث </w:t>
      </w:r>
      <w:r w:rsidRPr="00A52585">
        <w:rPr>
          <w:rFonts w:hint="cs"/>
          <w:rtl/>
        </w:rPr>
        <w:t>(</w:t>
      </w:r>
      <w:r w:rsidR="00777DCB" w:rsidRPr="00A52585">
        <w:rPr>
          <w:rFonts w:hint="cs"/>
          <w:rtl/>
        </w:rPr>
        <w:t>لم يلد</w:t>
      </w:r>
      <w:r w:rsidRPr="00A52585">
        <w:rPr>
          <w:rFonts w:hint="cs"/>
          <w:rtl/>
        </w:rPr>
        <w:t>)</w:t>
      </w:r>
      <w:r w:rsidR="00777DCB" w:rsidRPr="00A52585">
        <w:rPr>
          <w:rFonts w:hint="cs"/>
          <w:rtl/>
        </w:rPr>
        <w:t xml:space="preserve"> وعن الحدوث </w:t>
      </w:r>
      <w:r w:rsidRPr="00A52585">
        <w:rPr>
          <w:rFonts w:hint="cs"/>
          <w:rtl/>
        </w:rPr>
        <w:t>(</w:t>
      </w:r>
      <w:r w:rsidR="00777DCB" w:rsidRPr="00A52585">
        <w:rPr>
          <w:rFonts w:hint="cs"/>
          <w:rtl/>
        </w:rPr>
        <w:t>ولم يولد</w:t>
      </w:r>
      <w:r w:rsidRPr="00A52585">
        <w:rPr>
          <w:rFonts w:hint="cs"/>
          <w:rtl/>
        </w:rPr>
        <w:t>)</w:t>
      </w:r>
      <w:r w:rsidR="00777DCB" w:rsidRPr="00A52585">
        <w:rPr>
          <w:rFonts w:hint="cs"/>
          <w:rtl/>
        </w:rPr>
        <w:t xml:space="preserve"> وعن مماثلة الخلائق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فقوله تعالى </w:t>
      </w:r>
      <w:r w:rsidRPr="00A52585">
        <w:rPr>
          <w:rFonts w:hint="cs"/>
          <w:rtl/>
        </w:rPr>
        <w:t>(</w:t>
      </w:r>
      <w:r w:rsidR="00777DCB" w:rsidRPr="00A52585">
        <w:rPr>
          <w:rFonts w:hint="cs"/>
          <w:bCs/>
          <w:rtl/>
        </w:rPr>
        <w:t>أحد</w:t>
      </w:r>
      <w:r w:rsidR="00777DCB" w:rsidRPr="00A52585">
        <w:rPr>
          <w:rFonts w:hint="cs"/>
          <w:rtl/>
        </w:rPr>
        <w:t>) يدل على الأحدية واستحالة تقدير الانقسام في ذاته تقدس وتنزه</w:t>
      </w:r>
      <w:r w:rsidR="00DB731D" w:rsidRPr="00A52585">
        <w:rPr>
          <w:rFonts w:hint="cs"/>
          <w:rtl/>
        </w:rPr>
        <w:t>،</w:t>
      </w:r>
      <w:r w:rsidR="00777DCB" w:rsidRPr="00A52585">
        <w:rPr>
          <w:rFonts w:hint="cs"/>
          <w:rtl/>
        </w:rPr>
        <w:t xml:space="preserve"> ويدل على نفى الأجزاء المتمثل في نفي التركيب والتأليف في الذات فلو كان تعالى مركبا من جوارح وأجزاء</w:t>
      </w:r>
      <w:r w:rsidRPr="00A52585">
        <w:rPr>
          <w:rFonts w:hint="cs"/>
          <w:rtl/>
        </w:rPr>
        <w:t xml:space="preserve"> </w:t>
      </w:r>
      <w:r w:rsidR="00777DCB" w:rsidRPr="00A52585">
        <w:rPr>
          <w:rFonts w:hint="cs"/>
          <w:rtl/>
        </w:rPr>
        <w:t>لم يكن أحدا</w:t>
      </w:r>
      <w:r w:rsidR="00DB731D" w:rsidRPr="00A52585">
        <w:rPr>
          <w:rFonts w:hint="cs"/>
          <w:rtl/>
        </w:rPr>
        <w:t>،</w:t>
      </w:r>
      <w:r w:rsidR="00777DCB" w:rsidRPr="00A52585">
        <w:rPr>
          <w:rFonts w:hint="cs"/>
          <w:rtl/>
        </w:rPr>
        <w:t xml:space="preserve"> لأن أجزاؤه توجب وقوع الكثرة </w:t>
      </w:r>
      <w:proofErr w:type="spellStart"/>
      <w:r w:rsidR="00777DCB" w:rsidRPr="00A52585">
        <w:rPr>
          <w:rFonts w:hint="cs"/>
          <w:rtl/>
        </w:rPr>
        <w:t>فى</w:t>
      </w:r>
      <w:proofErr w:type="spellEnd"/>
      <w:r w:rsidR="00777DCB" w:rsidRPr="00A52585">
        <w:rPr>
          <w:rFonts w:hint="cs"/>
          <w:rtl/>
        </w:rPr>
        <w:t xml:space="preserve"> ذات الله تعالى والكثرة تنافي الأحدية في ذات الله</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الله الصمد</w:t>
      </w:r>
      <w:r w:rsidRPr="00A52585">
        <w:rPr>
          <w:rFonts w:hint="cs"/>
          <w:rtl/>
        </w:rPr>
        <w:t>}</w:t>
      </w:r>
      <w:r w:rsidR="00777DCB" w:rsidRPr="00A52585">
        <w:rPr>
          <w:rFonts w:hint="cs"/>
          <w:rtl/>
        </w:rPr>
        <w:t xml:space="preserve"> الصمدية كذلك تدل نفي الجارحة والأجزاء على الله بدليل</w:t>
      </w:r>
      <w:r w:rsidRPr="00A52585">
        <w:rPr>
          <w:rFonts w:hint="cs"/>
          <w:rtl/>
        </w:rPr>
        <w:t>:</w:t>
      </w:r>
      <w:r w:rsidR="00777DCB" w:rsidRPr="00A52585">
        <w:rPr>
          <w:rFonts w:hint="cs"/>
          <w:rtl/>
        </w:rPr>
        <w:t xml:space="preserve"> أن كل جسم فهو مركب</w:t>
      </w:r>
      <w:r w:rsidR="00DB731D" w:rsidRPr="00A52585">
        <w:rPr>
          <w:rFonts w:hint="cs"/>
          <w:rtl/>
        </w:rPr>
        <w:t>،</w:t>
      </w:r>
      <w:r w:rsidR="00777DCB" w:rsidRPr="00A52585">
        <w:rPr>
          <w:rFonts w:hint="cs"/>
          <w:rtl/>
        </w:rPr>
        <w:t xml:space="preserve"> وكل مركب فهو محتاج إلى كل واحد من أجزائه وكل واحد من أجزائه غيره</w:t>
      </w:r>
      <w:r w:rsidR="00DB731D" w:rsidRPr="00A52585">
        <w:rPr>
          <w:rFonts w:hint="cs"/>
          <w:rtl/>
        </w:rPr>
        <w:t>،</w:t>
      </w:r>
      <w:r w:rsidR="00777DCB" w:rsidRPr="00A52585">
        <w:rPr>
          <w:rFonts w:hint="cs"/>
          <w:rtl/>
        </w:rPr>
        <w:t xml:space="preserve"> فكل مركب فهو محتاج إلى غيره والمحتاج إلى الغير لا يكون غنياً محتاجا </w:t>
      </w:r>
      <w:r w:rsidRPr="00A52585">
        <w:rPr>
          <w:rFonts w:hint="cs"/>
          <w:rtl/>
        </w:rPr>
        <w:t>(</w:t>
      </w:r>
      <w:r w:rsidR="00777DCB" w:rsidRPr="00A52585">
        <w:rPr>
          <w:rFonts w:hint="cs"/>
          <w:rtl/>
        </w:rPr>
        <w:t>إليه</w:t>
      </w:r>
      <w:r w:rsidRPr="00A52585">
        <w:rPr>
          <w:rFonts w:hint="cs"/>
          <w:rtl/>
        </w:rPr>
        <w:t>)</w:t>
      </w:r>
      <w:r w:rsidR="00777DCB" w:rsidRPr="00A52585">
        <w:rPr>
          <w:rFonts w:hint="cs"/>
          <w:rtl/>
        </w:rPr>
        <w:t xml:space="preserve"> فلم يكن صمداً مطلقاً </w:t>
      </w:r>
      <w:r w:rsidR="00777DCB" w:rsidRPr="00A52585">
        <w:rPr>
          <w:rFonts w:hint="cs"/>
          <w:rtl/>
          <w:lang w:bidi="ar-KW"/>
        </w:rPr>
        <w:t>وكذلك</w:t>
      </w:r>
      <w:r w:rsidRPr="00A52585">
        <w:rPr>
          <w:rFonts w:hint="cs"/>
          <w:rtl/>
          <w:lang w:bidi="ar-KW"/>
        </w:rPr>
        <w:t xml:space="preserve"> </w:t>
      </w:r>
      <w:r w:rsidR="00777DCB" w:rsidRPr="00A52585">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DB731D" w:rsidRPr="00A52585">
        <w:rPr>
          <w:rFonts w:hint="cs"/>
          <w:rtl/>
        </w:rPr>
        <w:t>،</w:t>
      </w:r>
      <w:r w:rsidR="00777DCB" w:rsidRPr="00A52585">
        <w:rPr>
          <w:rFonts w:hint="cs"/>
          <w:rtl/>
        </w:rPr>
        <w:t xml:space="preserve"> </w:t>
      </w:r>
      <w:r w:rsidR="00777DCB" w:rsidRPr="00A52585">
        <w:rPr>
          <w:rFonts w:hint="cs"/>
          <w:rtl/>
          <w:lang w:bidi="ar-EG"/>
        </w:rPr>
        <w:t>وسورة الإخلاص التي ورد فيها (الأحد) و(الصمد) تَعْدل ثُلُثَ القرآن</w:t>
      </w:r>
      <w:r w:rsidR="00DB731D" w:rsidRPr="00A52585">
        <w:rPr>
          <w:rFonts w:hint="cs"/>
          <w:rtl/>
          <w:lang w:bidi="ar-EG"/>
        </w:rPr>
        <w:t>،</w:t>
      </w:r>
      <w:r w:rsidR="00777DCB" w:rsidRPr="00A52585">
        <w:rPr>
          <w:rFonts w:hint="cs"/>
          <w:rtl/>
          <w:lang w:bidi="ar-EG"/>
        </w:rPr>
        <w:t xml:space="preserve"> ومما قيل في أَنَّها عَدَلَتْ ثُلُثَ القرآن أنَّه لأجل اسمي </w:t>
      </w:r>
      <w:r w:rsidRPr="00A52585">
        <w:rPr>
          <w:rFonts w:hint="cs"/>
          <w:rtl/>
          <w:lang w:bidi="ar-EG"/>
        </w:rPr>
        <w:t>(</w:t>
      </w:r>
      <w:r w:rsidR="00777DCB" w:rsidRPr="00A52585">
        <w:rPr>
          <w:rFonts w:hint="cs"/>
          <w:rtl/>
          <w:lang w:bidi="ar-EG"/>
        </w:rPr>
        <w:t>الأحد والصمد</w:t>
      </w:r>
      <w:r w:rsidRPr="00A52585">
        <w:rPr>
          <w:rFonts w:hint="cs"/>
          <w:rtl/>
          <w:lang w:bidi="ar-EG"/>
        </w:rPr>
        <w:t>)</w:t>
      </w:r>
      <w:r w:rsidR="00777DCB" w:rsidRPr="00A52585">
        <w:rPr>
          <w:rFonts w:hint="cs"/>
          <w:rtl/>
          <w:lang w:bidi="ar-EG"/>
        </w:rPr>
        <w:t xml:space="preserve"> اللَّذان لم يوجدا في غيرها من السور</w:t>
      </w:r>
      <w:r w:rsidR="00DB731D" w:rsidRPr="00A52585">
        <w:rPr>
          <w:rFonts w:hint="cs"/>
          <w:rtl/>
          <w:lang w:bidi="ar-EG"/>
        </w:rPr>
        <w:t>،</w:t>
      </w:r>
      <w:r w:rsidR="00777DCB" w:rsidRPr="00A52585">
        <w:rPr>
          <w:rFonts w:hint="cs"/>
          <w:rtl/>
          <w:lang w:bidi="ar-EG"/>
        </w:rPr>
        <w:t xml:space="preserve"> ولما اشتمل عليه اجتماعهما معاً من التوحيد </w:t>
      </w:r>
      <w:r w:rsidRPr="00A52585">
        <w:rPr>
          <w:rFonts w:hint="cs"/>
          <w:rtl/>
          <w:lang w:bidi="ar-EG"/>
        </w:rPr>
        <w:t>(</w:t>
      </w:r>
      <w:r w:rsidR="00777DCB" w:rsidRPr="00A52585">
        <w:rPr>
          <w:rFonts w:hint="cs"/>
          <w:rtl/>
          <w:lang w:bidi="ar-EG"/>
        </w:rPr>
        <w:t>توحيد الذات</w:t>
      </w:r>
      <w:r w:rsidRPr="00A52585">
        <w:rPr>
          <w:rFonts w:hint="cs"/>
          <w:rtl/>
          <w:lang w:bidi="ar-EG"/>
        </w:rPr>
        <w:t>)</w:t>
      </w:r>
      <w:r w:rsidR="00777DCB" w:rsidRPr="00A52585">
        <w:rPr>
          <w:rFonts w:hint="cs"/>
          <w:rtl/>
          <w:lang w:bidi="ar-EG"/>
        </w:rPr>
        <w:t xml:space="preserve"> والتقديس والتنزيه</w:t>
      </w:r>
      <w:r w:rsidR="00DB731D" w:rsidRPr="00A52585">
        <w:rPr>
          <w:rFonts w:hint="cs"/>
          <w:rtl/>
          <w:lang w:bidi="ar-EG"/>
        </w:rPr>
        <w:t>،</w:t>
      </w:r>
      <w:r w:rsidR="00777DCB" w:rsidRPr="00A52585">
        <w:rPr>
          <w:rFonts w:hint="cs"/>
          <w:rtl/>
          <w:lang w:bidi="ar-EG"/>
        </w:rPr>
        <w:t xml:space="preserve"> </w:t>
      </w:r>
      <w:r w:rsidR="00777DCB" w:rsidRPr="00A52585">
        <w:rPr>
          <w:rFonts w:hint="cs"/>
          <w:rtl/>
        </w:rPr>
        <w:t xml:space="preserve">وقوله تعالى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hint="cs"/>
          <w:rtl/>
        </w:rPr>
        <w:t xml:space="preserve"> نفي للمثلية كقوله تعالى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ولو كان مركبا من أجزاء وجوارح</w:t>
      </w:r>
      <w:r w:rsidRPr="00A52585">
        <w:rPr>
          <w:rFonts w:hint="cs"/>
          <w:rtl/>
        </w:rPr>
        <w:t xml:space="preserve"> </w:t>
      </w:r>
      <w:r w:rsidR="00777DCB" w:rsidRPr="00A52585">
        <w:rPr>
          <w:rFonts w:hint="cs"/>
          <w:rtl/>
        </w:rPr>
        <w:t>لكان مثلاً لسائر المخلوقات المركبة من أجزاء وجوارح</w:t>
      </w:r>
      <w:r w:rsidR="00DB731D" w:rsidRPr="00A52585">
        <w:rPr>
          <w:rFonts w:hint="cs"/>
          <w:rtl/>
        </w:rPr>
        <w:t>،</w:t>
      </w:r>
    </w:p>
    <w:p w14:paraId="04FF79FF" w14:textId="105469EB" w:rsidR="00777DCB" w:rsidRPr="00A52585" w:rsidRDefault="0002035C" w:rsidP="0002035C">
      <w:r w:rsidRPr="00A52585">
        <w:rPr>
          <w:rFonts w:hint="cs"/>
          <w:bCs/>
          <w:rtl/>
        </w:rPr>
        <w:t>[</w:t>
      </w:r>
      <w:r w:rsidR="00777DCB" w:rsidRPr="00A52585">
        <w:rPr>
          <w:rFonts w:hint="cs"/>
          <w:bCs/>
          <w:rtl/>
        </w:rPr>
        <w:t>7</w:t>
      </w:r>
      <w:r w:rsidRPr="00A52585">
        <w:rPr>
          <w:rFonts w:hint="cs"/>
          <w:bCs/>
          <w:rtl/>
        </w:rPr>
        <w:t>]:</w:t>
      </w:r>
      <w:r w:rsidR="00777DCB" w:rsidRPr="00A52585">
        <w:rPr>
          <w:rFonts w:hint="cs"/>
          <w:bCs/>
          <w:rtl/>
        </w:rPr>
        <w:t xml:space="preserve"> الله تعالى هو الغني الحميد</w:t>
      </w:r>
      <w:r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لَهُ مَا فِي السَّمَوَاتِ وَمَا فِي الْأَرْضِ وَإِنَّ اللَّهَ لَهُوَ الْغَنِيُّ الْحَمِيدُ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الحج</w:t>
      </w:r>
      <w:r w:rsidRPr="00A52585">
        <w:rPr>
          <w:rFonts w:hint="cs"/>
          <w:rtl/>
        </w:rPr>
        <w:t>:</w:t>
      </w:r>
      <w:r w:rsidR="00777DCB" w:rsidRPr="00A52585">
        <w:rPr>
          <w:rFonts w:hint="cs"/>
          <w:rtl/>
        </w:rPr>
        <w:t xml:space="preserve"> 64</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أَيُّهَا النَّاسُ أَنْتُمُ الْفُقَرَاءُ إِلَى اللَّهِ وَاللَّهُ هُوَ الْغَنِيُّ الْحَمِيدُ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فاطر</w:t>
      </w:r>
      <w:r w:rsidRPr="00A52585">
        <w:rPr>
          <w:rFonts w:hint="cs"/>
          <w:rtl/>
        </w:rPr>
        <w:t>:</w:t>
      </w:r>
      <w:r w:rsidR="00777DCB" w:rsidRPr="00A52585">
        <w:rPr>
          <w:rFonts w:hint="cs"/>
          <w:rtl/>
        </w:rPr>
        <w:t xml:space="preserve"> 15</w:t>
      </w:r>
      <w:r w:rsidRPr="00A52585">
        <w:rPr>
          <w:rFonts w:hint="cs"/>
          <w:rtl/>
        </w:rPr>
        <w:t>]</w:t>
      </w:r>
      <w:r w:rsidR="00DB731D" w:rsidRPr="00A52585">
        <w:rPr>
          <w:rFonts w:hint="cs"/>
          <w:rtl/>
        </w:rPr>
        <w:t>،</w:t>
      </w:r>
      <w:r w:rsidR="00777DCB" w:rsidRPr="00A52585">
        <w:rPr>
          <w:rFonts w:hint="cs"/>
          <w:rtl/>
        </w:rPr>
        <w:t xml:space="preserve"> دلت الآية على كونه تعالى غني حميد</w:t>
      </w:r>
      <w:r w:rsidR="00DB731D" w:rsidRPr="00A52585">
        <w:rPr>
          <w:rFonts w:hint="cs"/>
          <w:rtl/>
        </w:rPr>
        <w:t>،</w:t>
      </w:r>
      <w:r w:rsidR="00777DCB" w:rsidRPr="00A52585">
        <w:rPr>
          <w:rFonts w:hint="cs"/>
          <w:rtl/>
        </w:rPr>
        <w:t xml:space="preserve"> له كمال الغنى</w:t>
      </w:r>
      <w:r w:rsidR="00DB731D" w:rsidRPr="00A52585">
        <w:rPr>
          <w:rFonts w:hint="cs"/>
          <w:rtl/>
        </w:rPr>
        <w:t>،</w:t>
      </w:r>
      <w:r w:rsidR="00777DCB" w:rsidRPr="00A52585">
        <w:rPr>
          <w:rFonts w:hint="cs"/>
          <w:rtl/>
        </w:rPr>
        <w:t xml:space="preserve"> وله كمال الحمد</w:t>
      </w:r>
      <w:r w:rsidR="00DB731D" w:rsidRPr="00A52585">
        <w:rPr>
          <w:rFonts w:hint="cs"/>
          <w:rtl/>
        </w:rPr>
        <w:t>،</w:t>
      </w:r>
      <w:r w:rsidR="00777DCB" w:rsidRPr="00A52585">
        <w:rPr>
          <w:rFonts w:hint="cs"/>
          <w:rtl/>
        </w:rPr>
        <w:t xml:space="preserve"> ولو كان جسماً مركبا من أجزاء وجوارح</w:t>
      </w:r>
      <w:r w:rsidRPr="00A52585">
        <w:rPr>
          <w:rFonts w:hint="cs"/>
          <w:rtl/>
        </w:rPr>
        <w:t xml:space="preserve"> </w:t>
      </w:r>
      <w:r w:rsidR="00777DCB" w:rsidRPr="00A52585">
        <w:rPr>
          <w:rFonts w:hint="cs"/>
          <w:rtl/>
        </w:rPr>
        <w:t>لما كان له كمال الغنى</w:t>
      </w:r>
      <w:r w:rsidR="00DB731D" w:rsidRPr="00A52585">
        <w:rPr>
          <w:rFonts w:hint="cs"/>
          <w:rtl/>
        </w:rPr>
        <w:t>،</w:t>
      </w:r>
      <w:r w:rsidR="00777DCB" w:rsidRPr="00A52585">
        <w:rPr>
          <w:rFonts w:hint="cs"/>
          <w:rtl/>
        </w:rPr>
        <w:t xml:space="preserve"> ولما كان حميدا</w:t>
      </w:r>
      <w:r w:rsidR="00DB731D" w:rsidRPr="00A52585">
        <w:rPr>
          <w:rFonts w:hint="cs"/>
          <w:rtl/>
        </w:rPr>
        <w:t>،</w:t>
      </w:r>
      <w:r w:rsidR="00777DCB" w:rsidRPr="00A52585">
        <w:rPr>
          <w:rFonts w:hint="cs"/>
          <w:rtl/>
        </w:rPr>
        <w:t xml:space="preserve"> لأن كل جسم مركب وكل مركب محتاج إلى كل واحد من أجزائه</w:t>
      </w:r>
      <w:r w:rsidR="00DB731D" w:rsidRPr="00A52585">
        <w:rPr>
          <w:rFonts w:hint="cs"/>
          <w:rtl/>
        </w:rPr>
        <w:t>،</w:t>
      </w:r>
      <w:r w:rsidR="00777DCB" w:rsidRPr="00A52585">
        <w:rPr>
          <w:rFonts w:hint="cs"/>
          <w:rtl/>
        </w:rPr>
        <w:t xml:space="preserve"> وكل محتاج فليس بغني</w:t>
      </w:r>
      <w:r w:rsidR="00DB731D" w:rsidRPr="00A52585">
        <w:rPr>
          <w:rFonts w:hint="cs"/>
          <w:rtl/>
        </w:rPr>
        <w:t>،</w:t>
      </w:r>
      <w:r w:rsidR="00777DCB" w:rsidRPr="00A52585">
        <w:rPr>
          <w:rFonts w:hint="cs"/>
          <w:rtl/>
        </w:rPr>
        <w:t xml:space="preserve"> وكل من كان هذا حاله فليس له كمال الغنى والحمد</w:t>
      </w:r>
      <w:r w:rsidR="00DB731D" w:rsidRPr="00A52585">
        <w:rPr>
          <w:rFonts w:hint="cs"/>
          <w:rtl/>
        </w:rPr>
        <w:t>،</w:t>
      </w:r>
      <w:r w:rsidR="00777DCB" w:rsidRPr="00A52585">
        <w:rPr>
          <w:rFonts w:hint="cs"/>
          <w:rtl/>
        </w:rPr>
        <w:t xml:space="preserve"> فإذا أضفنا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نتج تمام التنزيه عن الجسمية </w:t>
      </w:r>
      <w:r w:rsidRPr="00A52585">
        <w:rPr>
          <w:rFonts w:hint="cs"/>
          <w:rtl/>
        </w:rPr>
        <w:t>(</w:t>
      </w:r>
      <w:r w:rsidR="00777DCB" w:rsidRPr="00A52585">
        <w:rPr>
          <w:rFonts w:hint="cs"/>
          <w:rtl/>
        </w:rPr>
        <w:t>المادة</w:t>
      </w:r>
      <w:r w:rsidRPr="00A52585">
        <w:rPr>
          <w:rFonts w:hint="cs"/>
          <w:rtl/>
        </w:rPr>
        <w:t>)</w:t>
      </w:r>
      <w:r w:rsidR="00777DCB" w:rsidRPr="00A52585">
        <w:rPr>
          <w:rFonts w:hint="cs"/>
          <w:rtl/>
        </w:rPr>
        <w:t xml:space="preserve"> والجارحة والبعض والجزء</w:t>
      </w:r>
      <w:r w:rsidR="00DB731D" w:rsidRPr="00A52585">
        <w:rPr>
          <w:rFonts w:hint="cs"/>
          <w:rtl/>
        </w:rPr>
        <w:t>،</w:t>
      </w:r>
      <w:r w:rsidR="00777DCB" w:rsidRPr="00A52585">
        <w:rPr>
          <w:rFonts w:hint="cs"/>
          <w:rtl/>
        </w:rPr>
        <w:t xml:space="preserve"> لأنّه سبحانه لو كان جسما أو مادة أو كان مركبا من أجزاء وجوارح</w:t>
      </w:r>
      <w:r w:rsidRPr="00A52585">
        <w:rPr>
          <w:rFonts w:hint="cs"/>
          <w:rtl/>
        </w:rPr>
        <w:t xml:space="preserve"> </w:t>
      </w:r>
      <w:r w:rsidR="00777DCB" w:rsidRPr="00A52585">
        <w:rPr>
          <w:rFonts w:hint="cs"/>
          <w:rtl/>
        </w:rPr>
        <w:t>لكان مثلاً لسائر المخلوقات المركبة من أجزاء وجوارح</w:t>
      </w:r>
      <w:r w:rsidR="00DB731D" w:rsidRPr="00A52585">
        <w:rPr>
          <w:rFonts w:hint="cs"/>
          <w:rtl/>
        </w:rPr>
        <w:t>،</w:t>
      </w:r>
      <w:r w:rsidR="00777DCB" w:rsidRPr="00A52585">
        <w:rPr>
          <w:rFonts w:hint="cs"/>
          <w:rtl/>
        </w:rPr>
        <w:t xml:space="preserve"> تعالى الله عمّا يصفون</w:t>
      </w:r>
      <w:r w:rsidR="00DB731D" w:rsidRPr="00A52585">
        <w:rPr>
          <w:rFonts w:hint="cs"/>
          <w:rtl/>
        </w:rPr>
        <w:t>،</w:t>
      </w:r>
      <w:r w:rsidR="00777DCB" w:rsidRPr="00A52585">
        <w:rPr>
          <w:rFonts w:hint="cs"/>
          <w:rtl/>
        </w:rPr>
        <w:t xml:space="preserve"> وليس معنى ذلك أنّ ذات الله تعالى كلٌ لا جزء له</w:t>
      </w:r>
      <w:r w:rsidR="00DB731D" w:rsidRPr="00A52585">
        <w:rPr>
          <w:rFonts w:hint="cs"/>
          <w:rtl/>
        </w:rPr>
        <w:t>،</w:t>
      </w:r>
      <w:r w:rsidR="00777DCB" w:rsidRPr="00A52585">
        <w:rPr>
          <w:rFonts w:hint="cs"/>
          <w:rtl/>
        </w:rPr>
        <w:t xml:space="preserve"> تعالى الله عن الكل والجزء</w:t>
      </w:r>
      <w:r w:rsidR="00DB731D" w:rsidRPr="00A52585">
        <w:rPr>
          <w:rFonts w:hint="cs"/>
          <w:rtl/>
        </w:rPr>
        <w:t>،</w:t>
      </w:r>
      <w:r w:rsidR="00777DCB" w:rsidRPr="00A52585">
        <w:rPr>
          <w:rFonts w:hint="cs"/>
          <w:rtl/>
        </w:rPr>
        <w:t xml:space="preserve"> وعن كل ما تتصف به المواد والاجسام من الكل والجزء</w:t>
      </w:r>
      <w:r w:rsidR="00DB731D" w:rsidRPr="00A52585">
        <w:rPr>
          <w:rFonts w:hint="cs"/>
          <w:rtl/>
        </w:rPr>
        <w:t>،</w:t>
      </w:r>
      <w:r w:rsidR="00777DCB" w:rsidRPr="00A52585">
        <w:rPr>
          <w:rFonts w:hint="cs"/>
          <w:rtl/>
        </w:rPr>
        <w:t xml:space="preserve"> فالله تعالى خالق المواد والاجسام بما تحويه من كل وجزء</w:t>
      </w:r>
      <w:r w:rsidR="00DB731D" w:rsidRPr="00A52585">
        <w:rPr>
          <w:rFonts w:hint="cs"/>
          <w:rtl/>
        </w:rPr>
        <w:t>،</w:t>
      </w:r>
      <w:r w:rsidR="00777DCB" w:rsidRPr="00A52585">
        <w:rPr>
          <w:rFonts w:hint="cs"/>
          <w:rtl/>
        </w:rPr>
        <w:t xml:space="preserve"> وهو منزه عن </w:t>
      </w:r>
      <w:proofErr w:type="spellStart"/>
      <w:r w:rsidR="00777DCB" w:rsidRPr="00A52585">
        <w:rPr>
          <w:rFonts w:hint="cs"/>
          <w:rtl/>
        </w:rPr>
        <w:t>مماثلتها</w:t>
      </w:r>
      <w:proofErr w:type="spellEnd"/>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rPr>
        <w:lastRenderedPageBreak/>
        <w:t>ومن أراد التنزيه والتقديس فليذهب بعقله إلى ما فوق المادة والاجسام</w:t>
      </w:r>
      <w:r w:rsidR="00DB731D" w:rsidRPr="00A52585">
        <w:rPr>
          <w:rFonts w:hint="cs"/>
          <w:rtl/>
        </w:rPr>
        <w:t>،</w:t>
      </w:r>
      <w:r w:rsidR="00777DCB" w:rsidRPr="00A52585">
        <w:rPr>
          <w:rFonts w:hint="cs"/>
          <w:rtl/>
        </w:rPr>
        <w:t xml:space="preserve"> وليصف ذهنه عن مماثلة ذات الله تعالى بذوات خلقه</w:t>
      </w:r>
      <w:r w:rsidR="00DB731D" w:rsidRPr="00A52585">
        <w:rPr>
          <w:rFonts w:hint="cs"/>
          <w:rtl/>
        </w:rPr>
        <w:t>،</w:t>
      </w:r>
      <w:r w:rsidR="00777DCB" w:rsidRPr="00A52585">
        <w:rPr>
          <w:rFonts w:hint="cs"/>
          <w:rtl/>
        </w:rPr>
        <w:t xml:space="preserve"> وليذهب إلى التسبيح القلبي والتنزيه العقلي والتقديس العقائدي حيث الاقرار بالعجز عن الإدراك</w:t>
      </w:r>
      <w:r w:rsidR="00DB731D" w:rsidRPr="00A52585">
        <w:rPr>
          <w:rFonts w:hint="cs"/>
          <w:rtl/>
        </w:rPr>
        <w:t>،</w:t>
      </w:r>
      <w:r w:rsidR="00777DCB" w:rsidRPr="00A52585">
        <w:rPr>
          <w:rFonts w:hint="cs"/>
          <w:rtl/>
        </w:rPr>
        <w:t xml:space="preserve"> واليقين في وجود الواحد الأحد الذي ليس كمثل وجوده وجود</w:t>
      </w:r>
      <w:r w:rsidR="00DB731D" w:rsidRPr="00A52585">
        <w:rPr>
          <w:rFonts w:hint="cs"/>
          <w:rtl/>
        </w:rPr>
        <w:t>،</w:t>
      </w:r>
      <w:r w:rsidR="00777DCB" w:rsidRPr="00A52585">
        <w:rPr>
          <w:rFonts w:hint="cs"/>
          <w:rtl/>
        </w:rPr>
        <w:t xml:space="preserve"> ولا كمثل ذاته ذات</w:t>
      </w:r>
      <w:r w:rsidR="00DB731D" w:rsidRPr="00A52585">
        <w:rPr>
          <w:rFonts w:hint="cs"/>
          <w:rtl/>
        </w:rPr>
        <w:t>،</w:t>
      </w:r>
      <w:r w:rsidR="00777DCB" w:rsidRPr="00A52585">
        <w:rPr>
          <w:rFonts w:hint="cs"/>
          <w:rtl/>
        </w:rPr>
        <w:t xml:space="preserve"> ولا كمثل صفاته صفات</w:t>
      </w:r>
      <w:r w:rsidR="00DB731D" w:rsidRPr="00A52585">
        <w:rPr>
          <w:rFonts w:hint="cs"/>
          <w:rtl/>
        </w:rPr>
        <w:t>،</w:t>
      </w:r>
      <w:r w:rsidR="00777DCB" w:rsidRPr="00A52585">
        <w:rPr>
          <w:rFonts w:hint="cs"/>
          <w:rtl/>
        </w:rPr>
        <w:t xml:space="preserve"> فإن لم يستطع ان يخرج من اطار المادة والاجسام فليوقن أنّه عامي ناقص العلم في باب توحيد الذات والصفات والافعال</w:t>
      </w:r>
      <w:r w:rsidR="00DB731D" w:rsidRPr="00A52585">
        <w:rPr>
          <w:rFonts w:hint="cs"/>
          <w:rtl/>
        </w:rPr>
        <w:t>،</w:t>
      </w:r>
      <w:r w:rsidR="00777DCB" w:rsidRPr="00A52585">
        <w:rPr>
          <w:rFonts w:hint="cs"/>
          <w:rtl/>
        </w:rPr>
        <w:t xml:space="preserve"> فلا يحل له القول على الله تعالى بغير علم ولا هدى ولا كتاب منير</w:t>
      </w:r>
      <w:r w:rsidR="00DB731D" w:rsidRPr="00A52585">
        <w:rPr>
          <w:rFonts w:hint="cs"/>
          <w:rtl/>
        </w:rPr>
        <w:t>،</w:t>
      </w:r>
      <w:r w:rsidR="00777DCB" w:rsidRPr="00A52585">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DB731D" w:rsidRPr="00A52585">
        <w:rPr>
          <w:rFonts w:hint="cs"/>
          <w:rtl/>
        </w:rPr>
        <w:t>،</w:t>
      </w:r>
      <w:r w:rsidR="00777DCB" w:rsidRPr="00A52585">
        <w:rPr>
          <w:rFonts w:hint="cs"/>
          <w:rtl/>
        </w:rPr>
        <w:t xml:space="preserve"> وكل ما خطر بالبال فالله تعالى بخلافه</w:t>
      </w:r>
      <w:r w:rsidR="00DB731D" w:rsidRPr="00A52585">
        <w:rPr>
          <w:rFonts w:hint="cs"/>
          <w:rtl/>
        </w:rPr>
        <w:t>،</w:t>
      </w:r>
      <w:r w:rsidR="00777DCB" w:rsidRPr="00A52585">
        <w:rPr>
          <w:rFonts w:hint="cs"/>
          <w:rtl/>
        </w:rPr>
        <w:t xml:space="preserve"> ونحن لا نُطالب كل مسلم بالولوج في علم التقديس</w:t>
      </w:r>
      <w:r w:rsidR="00DB731D" w:rsidRPr="00A52585">
        <w:rPr>
          <w:rFonts w:hint="cs"/>
          <w:rtl/>
        </w:rPr>
        <w:t>،</w:t>
      </w:r>
      <w:r w:rsidR="00777DCB" w:rsidRPr="00A52585">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DB731D" w:rsidRPr="00A52585">
        <w:rPr>
          <w:rFonts w:hint="cs"/>
          <w:rtl/>
        </w:rPr>
        <w:t>،</w:t>
      </w:r>
    </w:p>
    <w:p w14:paraId="57F7E029" w14:textId="439D1ABA" w:rsidR="00777DCB" w:rsidRPr="00A52585" w:rsidRDefault="0002035C" w:rsidP="0002035C">
      <w:pPr>
        <w:rPr>
          <w:b/>
        </w:rPr>
      </w:pPr>
      <w:r w:rsidRPr="00A52585">
        <w:rPr>
          <w:rFonts w:hint="cs"/>
          <w:bCs/>
          <w:rtl/>
        </w:rPr>
        <w:t>[</w:t>
      </w:r>
      <w:r w:rsidR="00777DCB" w:rsidRPr="00A52585">
        <w:rPr>
          <w:rFonts w:hint="cs"/>
          <w:bCs/>
          <w:rtl/>
        </w:rPr>
        <w:t>8</w:t>
      </w:r>
      <w:r w:rsidRPr="00A52585">
        <w:rPr>
          <w:rFonts w:hint="cs"/>
          <w:bCs/>
          <w:rtl/>
        </w:rPr>
        <w:t>]:</w:t>
      </w:r>
      <w:r w:rsidR="00777DCB" w:rsidRPr="00A52585">
        <w:rPr>
          <w:rFonts w:hint="cs"/>
          <w:rtl/>
        </w:rPr>
        <w:t xml:space="preserve"> </w:t>
      </w:r>
      <w:r w:rsidR="00777DCB" w:rsidRPr="00A52585">
        <w:rPr>
          <w:rFonts w:hint="cs"/>
          <w:bCs/>
          <w:rtl/>
        </w:rPr>
        <w:t>الله تعالى هو الكبير المتعال</w:t>
      </w:r>
      <w:r w:rsidR="00DB731D" w:rsidRPr="00A52585">
        <w:rPr>
          <w:rFonts w:hint="cs"/>
          <w:bCs/>
          <w:rtl/>
        </w:rPr>
        <w:t>،</w:t>
      </w:r>
      <w:r w:rsidR="00777DCB" w:rsidRPr="00A52585">
        <w:rPr>
          <w:rFonts w:hint="cs"/>
          <w:bCs/>
          <w:rtl/>
        </w:rPr>
        <w:t xml:space="preserve"> وهو سبحانه أكبر من كل تصور</w:t>
      </w:r>
      <w:r w:rsidR="00DB731D" w:rsidRPr="00A52585">
        <w:rPr>
          <w:rFonts w:hint="cs"/>
          <w:bCs/>
          <w:rtl/>
        </w:rPr>
        <w:t>،</w:t>
      </w:r>
      <w:r w:rsidR="00777DCB" w:rsidRPr="00A52585">
        <w:rPr>
          <w:rFonts w:hint="cs"/>
          <w:bCs/>
          <w:rtl/>
        </w:rPr>
        <w:t xml:space="preserve"> ومتعال على كل تصور</w:t>
      </w:r>
      <w:r w:rsidRPr="00A52585">
        <w:rPr>
          <w:rFonts w:hint="cs"/>
          <w:bCs/>
          <w:rtl/>
        </w:rPr>
        <w:t>:</w:t>
      </w:r>
      <w:r w:rsidR="00777DCB" w:rsidRPr="00A52585">
        <w:rPr>
          <w:rFonts w:eastAsia="Times New Roman" w:hint="cs"/>
          <w:bCs/>
          <w:rtl/>
        </w:rPr>
        <w:t xml:space="preserve"> </w:t>
      </w:r>
      <w:r w:rsidR="00777DCB" w:rsidRPr="00A52585">
        <w:rPr>
          <w:rFonts w:hint="cs"/>
          <w:rtl/>
        </w:rPr>
        <w:t>ولقد آتى الله تعالى خليل الرحمن إبراهيم عليه السلام حجته في حوار المشركين</w:t>
      </w:r>
      <w:r w:rsidR="00DB731D" w:rsidRPr="00A52585">
        <w:rPr>
          <w:rFonts w:hint="cs"/>
          <w:rtl/>
        </w:rPr>
        <w:t>،</w:t>
      </w:r>
      <w:r w:rsidR="00777DCB" w:rsidRPr="00A52585">
        <w:rPr>
          <w:rFonts w:hint="cs"/>
          <w:rtl/>
        </w:rPr>
        <w:t xml:space="preserve"> واوضح لنا درراً من فقه اثبات التوحيد ووحدانية الله تعالى</w:t>
      </w:r>
      <w:r w:rsidR="00DB731D" w:rsidRPr="00A52585">
        <w:rPr>
          <w:rFonts w:hint="cs"/>
          <w:rtl/>
        </w:rPr>
        <w:t>،</w:t>
      </w:r>
      <w:r w:rsidR="00777DCB" w:rsidRPr="00A52585">
        <w:rPr>
          <w:rFonts w:hint="cs"/>
          <w:rtl/>
        </w:rPr>
        <w:t xml:space="preserve"> لقد استدل على اختيار الرب بأنه الاكبر المنزه عن التغير والافول</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فَلَمَّا رَأَى الشَّمْسَ بَازِغَةً قَالَ هَذَا رَبِّي هَذَا أَكْبَرُ فَلَمَّا أَفَلَتْ قَالَ يَا قَوْمِ إِنِّي بَرِيءٌ مِمَّا تُشْرِكُونَ (78)</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الانعام</w:t>
      </w:r>
      <w:r w:rsidRPr="00A52585">
        <w:rPr>
          <w:rFonts w:hint="cs"/>
          <w:rtl/>
        </w:rPr>
        <w:t>:</w:t>
      </w:r>
      <w:r w:rsidR="00777DCB" w:rsidRPr="00A52585">
        <w:rPr>
          <w:rFonts w:hint="cs"/>
          <w:rtl/>
        </w:rPr>
        <w:t xml:space="preserve"> 78</w:t>
      </w:r>
      <w:r w:rsidRPr="00A52585">
        <w:rPr>
          <w:rFonts w:hint="cs"/>
          <w:rtl/>
        </w:rPr>
        <w:t>]</w:t>
      </w:r>
      <w:r w:rsidR="00DB731D" w:rsidRPr="00A52585">
        <w:rPr>
          <w:rFonts w:hint="cs"/>
          <w:rtl/>
        </w:rPr>
        <w:t>،</w:t>
      </w:r>
      <w:r w:rsidR="00777DCB" w:rsidRPr="00A52585">
        <w:rPr>
          <w:rFonts w:hint="cs"/>
          <w:rtl/>
        </w:rPr>
        <w:t xml:space="preserve"> فاستدل أولا على أن الشمس أكبر من القمر والكواكب</w:t>
      </w:r>
      <w:r w:rsidR="00DB731D" w:rsidRPr="00A52585">
        <w:rPr>
          <w:rFonts w:hint="cs"/>
          <w:rtl/>
        </w:rPr>
        <w:t>،</w:t>
      </w:r>
      <w:r w:rsidR="00777DCB" w:rsidRPr="00A52585">
        <w:rPr>
          <w:rFonts w:hint="cs"/>
          <w:rtl/>
        </w:rPr>
        <w:t xml:space="preserve"> فهي أحق بالربوبية</w:t>
      </w:r>
      <w:r w:rsidR="00DB731D" w:rsidRPr="00A52585">
        <w:rPr>
          <w:rFonts w:hint="cs"/>
          <w:rtl/>
        </w:rPr>
        <w:t>،</w:t>
      </w:r>
      <w:r w:rsidR="00777DCB" w:rsidRPr="00A52585">
        <w:rPr>
          <w:rFonts w:hint="cs"/>
          <w:rtl/>
        </w:rPr>
        <w:t xml:space="preserve"> ولكن شرط الإله أن يكون كذلك منزهاً عن الأفول الذي هو علامة التغير والحدوث وعدم القدم</w:t>
      </w:r>
      <w:r w:rsidR="00DB731D" w:rsidRPr="00A52585">
        <w:rPr>
          <w:rFonts w:hint="cs"/>
          <w:rtl/>
        </w:rPr>
        <w:t>،</w:t>
      </w:r>
      <w:r w:rsidR="00777DCB" w:rsidRPr="00A52585">
        <w:rPr>
          <w:rFonts w:hint="cs"/>
          <w:rtl/>
        </w:rPr>
        <w:t xml:space="preserve"> فلم تكن الشمس تصلح أن تكون إلهاً ورباً خالقاً</w:t>
      </w:r>
      <w:r w:rsidR="00DB731D" w:rsidRPr="00A52585">
        <w:rPr>
          <w:rFonts w:hint="cs"/>
          <w:rtl/>
        </w:rPr>
        <w:t>،</w:t>
      </w:r>
      <w:r w:rsidR="00777DCB" w:rsidRPr="00A52585">
        <w:rPr>
          <w:rFonts w:hint="cs"/>
          <w:rtl/>
        </w:rPr>
        <w:t xml:space="preserve"> ومنه نعلم أن من أخص صفات الإله الحق أن يكون أكبر من كل شيء</w:t>
      </w:r>
      <w:r w:rsidR="00DB731D" w:rsidRPr="00A52585">
        <w:rPr>
          <w:rFonts w:hint="cs"/>
          <w:rtl/>
        </w:rPr>
        <w:t>،</w:t>
      </w:r>
      <w:r w:rsidR="00777DCB" w:rsidRPr="00A52585">
        <w:rPr>
          <w:rFonts w:hint="cs"/>
          <w:rtl/>
        </w:rPr>
        <w:t xml:space="preserve"> وأكبر من كل تصور</w:t>
      </w:r>
      <w:r w:rsidR="00DB731D" w:rsidRPr="00A52585">
        <w:rPr>
          <w:rFonts w:hint="cs"/>
          <w:rtl/>
        </w:rPr>
        <w:t>،</w:t>
      </w:r>
      <w:r w:rsidR="00777DCB" w:rsidRPr="00A52585">
        <w:rPr>
          <w:rFonts w:hint="cs"/>
          <w:rtl/>
        </w:rPr>
        <w:t xml:space="preserve"> ومنه نستفيد تنزيه الله تعالى عن الحدود والمقادير لأنه أكبر من كل حد وأكبر من كل مقدار</w:t>
      </w:r>
      <w:r w:rsidR="00DB731D" w:rsidRPr="00A52585">
        <w:rPr>
          <w:rFonts w:hint="cs"/>
          <w:rtl/>
        </w:rPr>
        <w:t>،</w:t>
      </w:r>
      <w:r w:rsidR="00777DCB" w:rsidRPr="00A52585">
        <w:rPr>
          <w:rFonts w:hint="cs"/>
          <w:rtl/>
        </w:rPr>
        <w:t xml:space="preserve"> ونعلم أنه سبحانه أكبر من المكان</w:t>
      </w:r>
      <w:r w:rsidR="00DB731D" w:rsidRPr="00A52585">
        <w:rPr>
          <w:rFonts w:hint="cs"/>
          <w:rtl/>
        </w:rPr>
        <w:t>،</w:t>
      </w:r>
      <w:r w:rsidR="00777DCB" w:rsidRPr="00A52585">
        <w:rPr>
          <w:rFonts w:hint="cs"/>
          <w:rtl/>
        </w:rPr>
        <w:t xml:space="preserve"> ومنه نعلم الخطأ الجسيم الذي وقع فيه من ظن أن العرش اكبر من الرحمن</w:t>
      </w:r>
      <w:r w:rsidR="00DB731D" w:rsidRPr="00A52585">
        <w:rPr>
          <w:rFonts w:hint="cs"/>
          <w:rtl/>
        </w:rPr>
        <w:t>،</w:t>
      </w:r>
      <w:r w:rsidR="00777DCB" w:rsidRPr="00A52585">
        <w:rPr>
          <w:rFonts w:hint="cs"/>
          <w:rtl/>
        </w:rPr>
        <w:t xml:space="preserve"> سبحانه وتعالى عما يدور بأوهامهم</w:t>
      </w:r>
      <w:r w:rsidR="00DB731D" w:rsidRPr="00A52585">
        <w:rPr>
          <w:rFonts w:hint="cs"/>
          <w:rtl/>
        </w:rPr>
        <w:t>،</w:t>
      </w:r>
      <w:r w:rsidR="00777DCB" w:rsidRPr="00A52585">
        <w:rPr>
          <w:rFonts w:hint="cs"/>
          <w:rtl/>
        </w:rPr>
        <w:t xml:space="preserve"> فالعرش مهما كان عظيما فهو محدود</w:t>
      </w:r>
      <w:r w:rsidR="00DB731D" w:rsidRPr="00A52585">
        <w:rPr>
          <w:rFonts w:hint="cs"/>
          <w:rtl/>
        </w:rPr>
        <w:t>،</w:t>
      </w:r>
      <w:r w:rsidR="00777DCB" w:rsidRPr="00A52585">
        <w:rPr>
          <w:rFonts w:hint="cs"/>
          <w:rtl/>
        </w:rPr>
        <w:t xml:space="preserve"> والله تعالى هو الذي حد حدود العرش</w:t>
      </w:r>
      <w:r w:rsidR="00DB731D" w:rsidRPr="00A52585">
        <w:rPr>
          <w:rFonts w:hint="cs"/>
          <w:rtl/>
        </w:rPr>
        <w:t>،</w:t>
      </w:r>
      <w:r w:rsidR="00777DCB" w:rsidRPr="00A52585">
        <w:rPr>
          <w:rFonts w:hint="cs"/>
          <w:rtl/>
        </w:rPr>
        <w:t xml:space="preserve"> وحد كافة الحدود فلا تجري عليه الحدود</w:t>
      </w:r>
      <w:r w:rsidR="00DB731D" w:rsidRPr="00A52585">
        <w:rPr>
          <w:rFonts w:hint="cs"/>
          <w:rtl/>
        </w:rPr>
        <w:t>،</w:t>
      </w:r>
      <w:r w:rsidR="00777DCB" w:rsidRPr="00A52585">
        <w:rPr>
          <w:rFonts w:hint="cs"/>
          <w:rtl/>
        </w:rPr>
        <w:t xml:space="preserve"> والعرش مهما كان عظيماً</w:t>
      </w:r>
      <w:r w:rsidR="00DB731D" w:rsidRPr="00A52585">
        <w:rPr>
          <w:rFonts w:hint="cs"/>
          <w:rtl/>
        </w:rPr>
        <w:t>،</w:t>
      </w:r>
      <w:r w:rsidR="00777DCB" w:rsidRPr="00A52585">
        <w:rPr>
          <w:rFonts w:hint="cs"/>
          <w:rtl/>
        </w:rPr>
        <w:t xml:space="preserve"> فإن له مقدار</w:t>
      </w:r>
      <w:r w:rsidR="00DB731D" w:rsidRPr="00A52585">
        <w:rPr>
          <w:rFonts w:hint="cs"/>
          <w:rtl/>
        </w:rPr>
        <w:t>،</w:t>
      </w:r>
      <w:r w:rsidR="00777DCB" w:rsidRPr="00A52585">
        <w:rPr>
          <w:rFonts w:hint="cs"/>
          <w:rtl/>
        </w:rPr>
        <w:t xml:space="preserve"> والله تعالى هو الذي قدره بالمقدار</w:t>
      </w:r>
      <w:r w:rsidR="00DB731D" w:rsidRPr="00A52585">
        <w:rPr>
          <w:rFonts w:hint="cs"/>
          <w:rtl/>
        </w:rPr>
        <w:t>،</w:t>
      </w:r>
      <w:r w:rsidR="00777DCB" w:rsidRPr="00A52585">
        <w:rPr>
          <w:rFonts w:hint="cs"/>
          <w:rtl/>
        </w:rPr>
        <w:t xml:space="preserve"> والله تعالى هو الذي خاطبنا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وَلِلَّهِ مَا فِي السَّمَوَاتِ وَمَا فِي الْأَرْضِ وَكَانَ اللَّهُ بِكُلِّ شَيْءٍ مُحِيطًا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126</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أَلَا إِنَّهُمْ فِي مِرْيَةٍ مِنْ لِقَاءِ رَبِّهِمْ أَلَا إِنَّهُ بِكُلِّ شَيْءٍ مُحِيطٌ</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فصلت</w:t>
      </w:r>
      <w:r w:rsidRPr="00A52585">
        <w:rPr>
          <w:rFonts w:hint="cs"/>
          <w:rtl/>
        </w:rPr>
        <w:t>:</w:t>
      </w:r>
      <w:r w:rsidR="00777DCB" w:rsidRPr="00A52585">
        <w:rPr>
          <w:rFonts w:hint="cs"/>
          <w:rtl/>
        </w:rPr>
        <w:t xml:space="preserve"> 54</w:t>
      </w:r>
      <w:r w:rsidRPr="00A52585">
        <w:rPr>
          <w:rFonts w:hint="cs"/>
          <w:rtl/>
        </w:rPr>
        <w:t>]</w:t>
      </w:r>
      <w:r w:rsidR="00DB731D" w:rsidRPr="00A52585">
        <w:rPr>
          <w:rFonts w:hint="cs"/>
          <w:rtl/>
        </w:rPr>
        <w:t>،</w:t>
      </w:r>
      <w:r w:rsidR="00777DCB" w:rsidRPr="00A52585">
        <w:rPr>
          <w:rFonts w:hint="cs"/>
          <w:rtl/>
        </w:rPr>
        <w:t xml:space="preserve"> فهو المحيط </w:t>
      </w:r>
      <w:r w:rsidR="00777DCB" w:rsidRPr="00A52585">
        <w:rPr>
          <w:rFonts w:hint="cs"/>
          <w:rtl/>
        </w:rPr>
        <w:lastRenderedPageBreak/>
        <w:t>بكل شيء</w:t>
      </w:r>
      <w:r w:rsidR="00DB731D" w:rsidRPr="00A52585">
        <w:rPr>
          <w:rFonts w:hint="cs"/>
          <w:rtl/>
        </w:rPr>
        <w:t>،</w:t>
      </w:r>
      <w:r w:rsidR="00777DCB" w:rsidRPr="00A52585">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وعقول العباد قاصرة عن تصور مدى التقديس والتنزيه في حق الله تعالى</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يُحِيطُونَ بِهِ عِلْمًا</w:t>
      </w:r>
      <w:r w:rsidRPr="00A52585">
        <w:rPr>
          <w:rFonts w:hint="cs"/>
          <w:rtl/>
        </w:rPr>
        <w:t>}</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eastAsia="Times New Roman" w:hint="cs"/>
          <w:rtl/>
        </w:rPr>
        <w:t>،</w:t>
      </w:r>
      <w:r w:rsidR="00777DCB" w:rsidRPr="00A52585">
        <w:rPr>
          <w:rFonts w:hint="cs"/>
          <w:rtl/>
        </w:rPr>
        <w:t xml:space="preserve"> تعالى الرب عن الحد والمقدار</w:t>
      </w:r>
      <w:r w:rsidR="00DB731D" w:rsidRPr="00A52585">
        <w:rPr>
          <w:rFonts w:hint="cs"/>
          <w:rtl/>
        </w:rPr>
        <w:t>،</w:t>
      </w:r>
      <w:r w:rsidR="00777DCB" w:rsidRPr="00A52585">
        <w:rPr>
          <w:rFonts w:hint="cs"/>
          <w:rtl/>
        </w:rPr>
        <w:t xml:space="preserve"> وتنزه عن الحد والمقدار</w:t>
      </w:r>
      <w:r w:rsidR="00DB731D" w:rsidRPr="00A52585">
        <w:rPr>
          <w:rFonts w:hint="cs"/>
          <w:rtl/>
        </w:rPr>
        <w:t>،</w:t>
      </w:r>
      <w:r w:rsidR="00777DCB" w:rsidRPr="00A52585">
        <w:rPr>
          <w:rFonts w:hint="cs"/>
          <w:rtl/>
        </w:rPr>
        <w:t xml:space="preserve"> وهو أكبر من كل حد</w:t>
      </w:r>
      <w:r w:rsidR="00DB731D" w:rsidRPr="00A52585">
        <w:rPr>
          <w:rFonts w:hint="cs"/>
          <w:rtl/>
        </w:rPr>
        <w:t>،</w:t>
      </w:r>
      <w:r w:rsidR="00777DCB" w:rsidRPr="00A52585">
        <w:rPr>
          <w:rFonts w:hint="cs"/>
          <w:rtl/>
        </w:rPr>
        <w:t xml:space="preserve"> ومن كل مقدار</w:t>
      </w:r>
      <w:r w:rsidR="00DB731D" w:rsidRPr="00A52585">
        <w:rPr>
          <w:rFonts w:hint="cs"/>
          <w:rtl/>
        </w:rPr>
        <w:t>،</w:t>
      </w:r>
      <w:r w:rsidR="00777DCB" w:rsidRPr="00A52585">
        <w:rPr>
          <w:rFonts w:hint="cs"/>
          <w:rtl/>
        </w:rPr>
        <w:t xml:space="preserve"> ومن كل تصور في الوهم أو الخيال أو العقول والاذهان</w:t>
      </w:r>
      <w:r w:rsidR="00DB731D" w:rsidRPr="00A52585">
        <w:rPr>
          <w:rFonts w:hint="cs"/>
          <w:rtl/>
        </w:rPr>
        <w:t>،</w:t>
      </w:r>
      <w:r w:rsidR="00777DCB" w:rsidRPr="00A52585">
        <w:rPr>
          <w:rFonts w:hint="cs"/>
          <w:rtl/>
        </w:rPr>
        <w:t xml:space="preserve"> ومنه نعلم الفائدة في قول المسلم عند كل صلاة (</w:t>
      </w:r>
      <w:r w:rsidRPr="00A52585">
        <w:rPr>
          <w:rFonts w:hint="cs"/>
          <w:rtl/>
        </w:rPr>
        <w:t>(</w:t>
      </w:r>
      <w:r w:rsidR="00777DCB" w:rsidRPr="00A52585">
        <w:rPr>
          <w:rFonts w:hint="cs"/>
          <w:rtl/>
        </w:rPr>
        <w:t>الله أكبر</w:t>
      </w:r>
      <w:r w:rsidRPr="00A52585">
        <w:rPr>
          <w:rFonts w:hint="cs"/>
          <w:rtl/>
        </w:rPr>
        <w:t>)</w:t>
      </w:r>
      <w:r w:rsidR="00777DCB" w:rsidRPr="00A52585">
        <w:rPr>
          <w:rFonts w:hint="cs"/>
          <w:rtl/>
        </w:rPr>
        <w:t>) أي أكبر من كل تصور أو خيال</w:t>
      </w:r>
      <w:r w:rsidR="00DB731D" w:rsidRPr="00A52585">
        <w:rPr>
          <w:rFonts w:hint="cs"/>
          <w:rtl/>
        </w:rPr>
        <w:t>،،</w:t>
      </w:r>
      <w:r w:rsidR="00777DCB" w:rsidRPr="00A52585">
        <w:rPr>
          <w:rFonts w:hint="cs"/>
          <w:rtl/>
        </w:rPr>
        <w:t xml:space="preserve"> لأن الله تعالى له الكمال الذي لا نهاية له</w:t>
      </w:r>
      <w:r w:rsidR="00DB731D" w:rsidRPr="00A52585">
        <w:rPr>
          <w:rFonts w:hint="cs"/>
          <w:rtl/>
        </w:rPr>
        <w:t>،</w:t>
      </w:r>
      <w:r w:rsidR="00777DCB" w:rsidRPr="00A52585">
        <w:rPr>
          <w:rFonts w:hint="cs"/>
          <w:rtl/>
        </w:rPr>
        <w:t xml:space="preserve"> وهو الكبير الذي لا نهاية لعظمته</w:t>
      </w:r>
      <w:r w:rsidR="00DB731D" w:rsidRPr="00A52585">
        <w:rPr>
          <w:rFonts w:hint="cs"/>
          <w:rtl/>
        </w:rPr>
        <w:t>،</w:t>
      </w:r>
      <w:r w:rsidR="00777DCB" w:rsidRPr="00A52585">
        <w:rPr>
          <w:rFonts w:hint="cs"/>
          <w:rtl/>
        </w:rPr>
        <w:t xml:space="preserve"> تعالى عن صفات الاجسام</w:t>
      </w:r>
      <w:r w:rsidR="00DB731D" w:rsidRPr="00A52585">
        <w:rPr>
          <w:rFonts w:hint="cs"/>
          <w:rtl/>
        </w:rPr>
        <w:t>،</w:t>
      </w:r>
      <w:r w:rsidR="00777DCB" w:rsidRPr="00A52585">
        <w:rPr>
          <w:rFonts w:hint="cs"/>
          <w:rtl/>
        </w:rPr>
        <w:t xml:space="preserve"> فليس كبره امتداد في الآفاق</w:t>
      </w:r>
      <w:r w:rsidR="00DB731D" w:rsidRPr="00A52585">
        <w:rPr>
          <w:rFonts w:hint="cs"/>
          <w:rtl/>
        </w:rPr>
        <w:t>،</w:t>
      </w:r>
      <w:r w:rsidR="00777DCB" w:rsidRPr="00A52585">
        <w:rPr>
          <w:rFonts w:hint="cs"/>
          <w:rtl/>
        </w:rPr>
        <w:t xml:space="preserve"> ولا كبره بالحجم والطول والعرض</w:t>
      </w:r>
      <w:r w:rsidR="00DB731D" w:rsidRPr="00A52585">
        <w:rPr>
          <w:rFonts w:hint="cs"/>
          <w:rtl/>
        </w:rPr>
        <w:t>،</w:t>
      </w:r>
      <w:r w:rsidR="00777DCB" w:rsidRPr="00A52585">
        <w:rPr>
          <w:rFonts w:hint="cs"/>
          <w:rtl/>
        </w:rPr>
        <w:t xml:space="preserve"> تعالى عن ذلك علواً كبيرا</w:t>
      </w:r>
      <w:r w:rsidR="00DB731D" w:rsidRPr="00A52585">
        <w:rPr>
          <w:rFonts w:hint="cs"/>
          <w:rtl/>
        </w:rPr>
        <w:t>،</w:t>
      </w:r>
      <w:r w:rsidR="00777DCB" w:rsidRPr="00A52585">
        <w:rPr>
          <w:rFonts w:hint="cs"/>
          <w:rtl/>
        </w:rPr>
        <w:t xml:space="preserve"> بل هو المتعالي على صفات الأجسام</w:t>
      </w:r>
      <w:r w:rsidR="00DB731D" w:rsidRPr="00A52585">
        <w:rPr>
          <w:rFonts w:hint="cs"/>
          <w:rtl/>
        </w:rPr>
        <w:t>،</w:t>
      </w:r>
      <w:r w:rsidR="00777DCB" w:rsidRPr="00A52585">
        <w:rPr>
          <w:rFonts w:hint="cs"/>
          <w:rtl/>
        </w:rPr>
        <w:t xml:space="preserve"> ولهذا قرن القرآن الكبير اسمه تعالى </w:t>
      </w:r>
      <w:r w:rsidRPr="00A52585">
        <w:rPr>
          <w:rFonts w:hint="cs"/>
          <w:rtl/>
        </w:rPr>
        <w:t>[</w:t>
      </w:r>
      <w:r w:rsidR="00777DCB" w:rsidRPr="00A52585">
        <w:rPr>
          <w:rFonts w:hint="cs"/>
          <w:rtl/>
        </w:rPr>
        <w:t>الكبير</w:t>
      </w:r>
      <w:r w:rsidRPr="00A52585">
        <w:rPr>
          <w:rFonts w:hint="cs"/>
          <w:rtl/>
        </w:rPr>
        <w:t>]</w:t>
      </w:r>
      <w:r w:rsidR="00777DCB" w:rsidRPr="00A52585">
        <w:rPr>
          <w:rFonts w:hint="cs"/>
          <w:rtl/>
        </w:rPr>
        <w:t xml:space="preserve"> باسمه تعالى </w:t>
      </w:r>
      <w:r w:rsidRPr="00A52585">
        <w:rPr>
          <w:rFonts w:hint="cs"/>
          <w:rtl/>
        </w:rPr>
        <w:t>[</w:t>
      </w:r>
      <w:r w:rsidR="00777DCB" w:rsidRPr="00A52585">
        <w:rPr>
          <w:rFonts w:hint="cs"/>
          <w:rtl/>
        </w:rPr>
        <w:t>العلي</w:t>
      </w:r>
      <w:r w:rsidRPr="00A52585">
        <w:rPr>
          <w:rFonts w:hint="cs"/>
          <w:rtl/>
        </w:rPr>
        <w:t>]</w:t>
      </w:r>
      <w:r w:rsidR="00DB731D" w:rsidRPr="00A52585">
        <w:rPr>
          <w:rFonts w:hint="cs"/>
          <w:rtl/>
        </w:rPr>
        <w:t>،</w:t>
      </w:r>
      <w:r w:rsidR="00777DCB" w:rsidRPr="00A52585">
        <w:rPr>
          <w:rFonts w:hint="cs"/>
          <w:rtl/>
        </w:rPr>
        <w:t xml:space="preserve"> واسمه تعالى </w:t>
      </w:r>
      <w:r w:rsidRPr="00A52585">
        <w:rPr>
          <w:rFonts w:hint="cs"/>
          <w:rtl/>
        </w:rPr>
        <w:t>[</w:t>
      </w:r>
      <w:r w:rsidR="00777DCB" w:rsidRPr="00A52585">
        <w:rPr>
          <w:rFonts w:hint="cs"/>
          <w:rtl/>
        </w:rPr>
        <w:t>المتعال</w:t>
      </w:r>
      <w:r w:rsidRPr="00A52585">
        <w:rPr>
          <w:rFonts w:hint="cs"/>
          <w:rtl/>
        </w:rPr>
        <w:t>]</w:t>
      </w:r>
      <w:r w:rsidR="00777DCB" w:rsidRPr="00A52585">
        <w:rPr>
          <w:rFonts w:hint="cs"/>
          <w:rtl/>
        </w:rPr>
        <w:t xml:space="preserve"> لأنه في كبره متعالٍ عن صفات الأجسام</w:t>
      </w:r>
      <w:r w:rsidR="00F95886" w:rsidRPr="00A52585">
        <w:rPr>
          <w:rFonts w:hint="cs"/>
          <w:rtl/>
        </w:rPr>
        <w:t>؟</w:t>
      </w:r>
      <w:r w:rsidR="00777DCB" w:rsidRPr="00A52585">
        <w:rPr>
          <w:rFonts w:hint="cs"/>
          <w:rtl/>
        </w:rPr>
        <w:t>، عالٍ عن كل تصور لا يليق بالكبير المتعال</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فَالْحُكْمُ لِلَّهِ الْعَلِيِّ الْكَبِيرِ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12</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عَالِمُ الْغَيْبِ وَالشَّهَادَةِ الْكَبِيرُ الْمُتَعَالِ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الرعد</w:t>
      </w:r>
      <w:r w:rsidRPr="00A52585">
        <w:rPr>
          <w:rFonts w:hint="cs"/>
          <w:rtl/>
        </w:rPr>
        <w:t>:</w:t>
      </w:r>
      <w:r w:rsidR="00777DCB" w:rsidRPr="00A52585">
        <w:rPr>
          <w:rFonts w:hint="cs"/>
          <w:rtl/>
        </w:rPr>
        <w:t xml:space="preserve"> 9</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ذَلِكَ بِأَنَّ اللَّهَ هُوَ الْحَقُّ وَأَنَّ مَا يَدْعُونَ مِنْ دُونِهِ هُوَ الْبَاطِلُ وَأَنَّ اللَّهَ هُوَ الْعَلِيُّ الْكَبِيرُ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الانبياء</w:t>
      </w:r>
      <w:r w:rsidRPr="00A52585">
        <w:rPr>
          <w:rFonts w:hint="cs"/>
          <w:rtl/>
        </w:rPr>
        <w:t>:</w:t>
      </w:r>
      <w:r w:rsidR="00777DCB" w:rsidRPr="00A52585">
        <w:rPr>
          <w:rFonts w:hint="cs"/>
          <w:rtl/>
        </w:rPr>
        <w:t xml:space="preserve"> 62</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ذَلِكَ بِأَنَّ اللَّهَ هُوَ الْحَقُّ وَأَنَّ مَا يَدْعُونَ مِنْ دُونِهِ الْبَاطِلُ وَأَنَّ اللَّهَ هُوَ الْعَلِيُّ الْكَبِيرُ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لقمان</w:t>
      </w:r>
      <w:r w:rsidRPr="00A52585">
        <w:rPr>
          <w:rFonts w:hint="cs"/>
          <w:rtl/>
        </w:rPr>
        <w:t>:</w:t>
      </w:r>
      <w:r w:rsidR="00777DCB" w:rsidRPr="00A52585">
        <w:rPr>
          <w:rFonts w:hint="cs"/>
          <w:rtl/>
        </w:rPr>
        <w:t xml:space="preserve"> 30</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حَتَّى إِذَا فُزِّعَ عَنْ قُلُوبِهِمْ قَالُوا مَاذَا قَالَ رَبُّكُمْ قَالُوا الْحَقَّ وَهُوَ الْعَلِيُّ الْكَبِيرُ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سبأ</w:t>
      </w:r>
      <w:r w:rsidRPr="00A52585">
        <w:rPr>
          <w:rFonts w:hint="cs"/>
          <w:rtl/>
        </w:rPr>
        <w:t>:</w:t>
      </w:r>
      <w:r w:rsidR="00777DCB" w:rsidRPr="00A52585">
        <w:rPr>
          <w:rFonts w:hint="cs"/>
          <w:rtl/>
        </w:rPr>
        <w:t xml:space="preserve"> 23</w:t>
      </w:r>
      <w:r w:rsidRPr="00A52585">
        <w:rPr>
          <w:rFonts w:hint="cs"/>
          <w:rtl/>
        </w:rPr>
        <w:t>]</w:t>
      </w:r>
      <w:r w:rsidR="00DB731D" w:rsidRPr="00A52585">
        <w:rPr>
          <w:rFonts w:hint="cs"/>
          <w:rtl/>
        </w:rPr>
        <w:t>،</w:t>
      </w:r>
      <w:r w:rsidR="00777DCB" w:rsidRPr="00A52585">
        <w:rPr>
          <w:rFonts w:hint="cs"/>
          <w:rtl/>
        </w:rPr>
        <w:t xml:space="preserve"> تعالى العلي الكبير المتعال عن كل حد ومقدار</w:t>
      </w:r>
      <w:r w:rsidR="00DB731D" w:rsidRPr="00A52585">
        <w:rPr>
          <w:rFonts w:hint="cs"/>
          <w:rtl/>
        </w:rPr>
        <w:t>،</w:t>
      </w:r>
      <w:r w:rsidR="00777DCB" w:rsidRPr="00A52585">
        <w:rPr>
          <w:rFonts w:hint="cs"/>
          <w:rtl/>
        </w:rPr>
        <w:t xml:space="preserve"> وعن أن يقهره زمان أو ان يحيط به مكان</w:t>
      </w:r>
      <w:r w:rsidR="00DB731D" w:rsidRPr="00A52585">
        <w:rPr>
          <w:rFonts w:hint="cs"/>
          <w:rtl/>
        </w:rPr>
        <w:t>،</w:t>
      </w:r>
      <w:r w:rsidR="00777DCB" w:rsidRPr="00A52585">
        <w:rPr>
          <w:rFonts w:hint="cs"/>
          <w:rtl/>
        </w:rPr>
        <w:t xml:space="preserve"> والله أكبر من أن نتصور له حد أو مقدار أو زمان او مكان</w:t>
      </w:r>
      <w:r w:rsidR="00DB731D" w:rsidRPr="00A52585">
        <w:rPr>
          <w:rFonts w:hint="cs"/>
          <w:rtl/>
        </w:rPr>
        <w:t>،</w:t>
      </w:r>
      <w:r w:rsidR="00777DCB" w:rsidRPr="00A52585">
        <w:rPr>
          <w:rFonts w:hint="cs"/>
          <w:rtl/>
        </w:rPr>
        <w:t xml:space="preserve"> تنزه عن كل ما يخطر بالبال</w:t>
      </w:r>
      <w:r w:rsidR="00DB731D" w:rsidRPr="00A52585">
        <w:rPr>
          <w:rFonts w:hint="cs"/>
          <w:rtl/>
        </w:rPr>
        <w:t>،</w:t>
      </w:r>
      <w:r w:rsidR="00777DCB" w:rsidRPr="00A52585">
        <w:rPr>
          <w:rFonts w:hint="cs"/>
          <w:rtl/>
        </w:rPr>
        <w:t xml:space="preserve"> وكل ما خطر بالبال فالله تعالى بخلاف ذلك</w:t>
      </w:r>
      <w:r w:rsidR="00DB731D" w:rsidRPr="00A52585">
        <w:rPr>
          <w:rFonts w:hint="cs"/>
          <w:rtl/>
        </w:rPr>
        <w:t>،</w:t>
      </w:r>
      <w:r w:rsidRPr="00A52585">
        <w:rPr>
          <w:rFonts w:hint="cs"/>
          <w:rtl/>
        </w:rPr>
        <w:t xml:space="preserve"> (</w:t>
      </w:r>
      <w:r w:rsidR="00777DCB" w:rsidRPr="00A52585">
        <w:rPr>
          <w:rFonts w:hint="cs"/>
          <w:bCs/>
          <w:rtl/>
        </w:rPr>
        <w:t>فائدة</w:t>
      </w:r>
      <w:r w:rsidRPr="00A52585">
        <w:rPr>
          <w:rFonts w:hint="cs"/>
          <w:rtl/>
        </w:rPr>
        <w:t>)</w:t>
      </w:r>
      <w:r w:rsidR="00777DCB" w:rsidRPr="00A52585">
        <w:rPr>
          <w:rFonts w:hint="cs"/>
          <w:rtl/>
        </w:rPr>
        <w:t xml:space="preserve"> هناك طائفة يزعمون انهم يتبعون الكتاب والسنة وأنهم ينتسبون إلى السلف</w:t>
      </w:r>
      <w:r w:rsidR="00DB731D" w:rsidRPr="00A52585">
        <w:rPr>
          <w:rFonts w:hint="cs"/>
          <w:rtl/>
        </w:rPr>
        <w:t>،</w:t>
      </w:r>
      <w:r w:rsidR="00777DCB" w:rsidRPr="00A52585">
        <w:rPr>
          <w:rFonts w:hint="cs"/>
          <w:rtl/>
        </w:rPr>
        <w:t xml:space="preserve"> ثم هم يكيفون وجود الله تعالى</w:t>
      </w:r>
      <w:r w:rsidR="00DB731D" w:rsidRPr="00A52585">
        <w:rPr>
          <w:rFonts w:hint="cs"/>
          <w:rtl/>
        </w:rPr>
        <w:t>،</w:t>
      </w:r>
      <w:r w:rsidR="00777DCB" w:rsidRPr="00A52585">
        <w:rPr>
          <w:rFonts w:hint="cs"/>
          <w:rtl/>
        </w:rPr>
        <w:t xml:space="preserve"> وأن له حد ينتهى إليه كما تنتهي الاجسام</w:t>
      </w:r>
      <w:r w:rsidR="00DB731D" w:rsidRPr="00A52585">
        <w:rPr>
          <w:rFonts w:hint="cs"/>
          <w:rtl/>
        </w:rPr>
        <w:t>،</w:t>
      </w:r>
      <w:r w:rsidR="00777DCB" w:rsidRPr="00A52585">
        <w:rPr>
          <w:rFonts w:hint="cs"/>
          <w:rtl/>
        </w:rPr>
        <w:t xml:space="preserve"> وأن له مقدار</w:t>
      </w:r>
      <w:r w:rsidR="00DB731D" w:rsidRPr="00A52585">
        <w:rPr>
          <w:rFonts w:hint="cs"/>
          <w:rtl/>
        </w:rPr>
        <w:t>،</w:t>
      </w:r>
      <w:r w:rsidR="00777DCB" w:rsidRPr="00A52585">
        <w:rPr>
          <w:rFonts w:hint="cs"/>
          <w:rtl/>
        </w:rPr>
        <w:t xml:space="preserve"> وان مقداره وحده هو العرش</w:t>
      </w:r>
      <w:r w:rsidR="00DB731D" w:rsidRPr="00A52585">
        <w:rPr>
          <w:rFonts w:hint="cs"/>
          <w:rtl/>
        </w:rPr>
        <w:t>،</w:t>
      </w:r>
      <w:r w:rsidR="00777DCB" w:rsidRPr="00A52585">
        <w:rPr>
          <w:rFonts w:hint="cs"/>
          <w:rtl/>
        </w:rPr>
        <w:t xml:space="preserve"> وأنه - تعالى - أصغر من العرش بمقدار أصابع</w:t>
      </w:r>
      <w:r w:rsidR="00DB731D" w:rsidRPr="00A52585">
        <w:rPr>
          <w:rFonts w:hint="cs"/>
          <w:rtl/>
        </w:rPr>
        <w:t>،</w:t>
      </w:r>
      <w:r w:rsidR="00777DCB" w:rsidRPr="00A52585">
        <w:rPr>
          <w:rFonts w:hint="cs"/>
          <w:rtl/>
        </w:rPr>
        <w:t xml:space="preserve"> وانه سبحانه جالس على العرش كما يجلس الملك على كرسي الملك</w:t>
      </w:r>
      <w:r w:rsidR="00DB731D" w:rsidRPr="00A52585">
        <w:rPr>
          <w:rFonts w:hint="cs"/>
          <w:rtl/>
        </w:rPr>
        <w:t>،</w:t>
      </w:r>
      <w:r w:rsidR="00777DCB" w:rsidRPr="00A52585">
        <w:rPr>
          <w:rFonts w:hint="cs"/>
          <w:rtl/>
        </w:rPr>
        <w:t xml:space="preserve"> وانه يدبر المملكة من هناك</w:t>
      </w:r>
      <w:r w:rsidR="00DB731D" w:rsidRPr="00A52585">
        <w:rPr>
          <w:rFonts w:hint="cs"/>
          <w:rtl/>
        </w:rPr>
        <w:t>،</w:t>
      </w:r>
      <w:r w:rsidR="00777DCB" w:rsidRPr="00A52585">
        <w:rPr>
          <w:rFonts w:hint="cs"/>
          <w:rtl/>
        </w:rPr>
        <w:t xml:space="preserve"> وأن له الوجه والعينين واليدين والأصابع على معاني الاجزاء وليس الصفات</w:t>
      </w:r>
      <w:r w:rsidR="00DB731D" w:rsidRPr="00A52585">
        <w:rPr>
          <w:rFonts w:hint="cs"/>
          <w:rtl/>
        </w:rPr>
        <w:t>،</w:t>
      </w:r>
      <w:r w:rsidR="00777DCB" w:rsidRPr="00A52585">
        <w:rPr>
          <w:rFonts w:hint="cs"/>
          <w:rtl/>
        </w:rPr>
        <w:t xml:space="preserve"> فهو يرى بعينه</w:t>
      </w:r>
      <w:r w:rsidR="00DB731D" w:rsidRPr="00A52585">
        <w:rPr>
          <w:rFonts w:hint="cs"/>
          <w:rtl/>
        </w:rPr>
        <w:t>،</w:t>
      </w:r>
      <w:r w:rsidR="00777DCB" w:rsidRPr="00A52585">
        <w:rPr>
          <w:rFonts w:hint="cs"/>
          <w:rtl/>
        </w:rPr>
        <w:t xml:space="preserve"> ويخلق بيده</w:t>
      </w:r>
      <w:r w:rsidR="00DB731D" w:rsidRPr="00A52585">
        <w:rPr>
          <w:rFonts w:hint="cs"/>
          <w:rtl/>
        </w:rPr>
        <w:t>،</w:t>
      </w:r>
      <w:r w:rsidR="00777DCB" w:rsidRPr="00A52585">
        <w:rPr>
          <w:rFonts w:hint="cs"/>
          <w:rtl/>
        </w:rPr>
        <w:t xml:space="preserve"> ثم بعد ذلك يلوكون ألسنتهم بقولهم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وقلوبهم قد كيفت الخالق وجعلت له الحد والمقدار وتوهمت وجوده على سبيل الملك والمملكة في عرف الإنسان</w:t>
      </w:r>
      <w:r w:rsidR="00DB731D" w:rsidRPr="00A52585">
        <w:rPr>
          <w:rFonts w:hint="cs"/>
          <w:rtl/>
        </w:rPr>
        <w:t>،</w:t>
      </w:r>
      <w:r w:rsidR="00777DCB" w:rsidRPr="00A52585">
        <w:rPr>
          <w:rFonts w:hint="cs"/>
          <w:rtl/>
        </w:rPr>
        <w:t xml:space="preserve"> وإن قلت لهم إن علم التنزيه هو علم المسبحين والمقدسين من علماء المسلمين</w:t>
      </w:r>
      <w:r w:rsidR="00DB731D" w:rsidRPr="00A52585">
        <w:rPr>
          <w:rFonts w:hint="cs"/>
          <w:rtl/>
        </w:rPr>
        <w:t>،</w:t>
      </w:r>
      <w:r w:rsidR="00777DCB" w:rsidRPr="00A52585">
        <w:rPr>
          <w:rFonts w:hint="cs"/>
          <w:rtl/>
        </w:rPr>
        <w:t xml:space="preserve"> وهو أشرف العلوم لأنه يمنعك من تصور النقص والخطأ في ذات الله تعالى وأسمائه الحسنى وصفاته العلى</w:t>
      </w:r>
      <w:r w:rsidR="00DB731D" w:rsidRPr="00A52585">
        <w:rPr>
          <w:rFonts w:hint="cs"/>
          <w:rtl/>
        </w:rPr>
        <w:t>،</w:t>
      </w:r>
      <w:r w:rsidR="00777DCB" w:rsidRPr="00A52585">
        <w:rPr>
          <w:rFonts w:hint="cs"/>
          <w:rtl/>
        </w:rPr>
        <w:t xml:space="preserve"> قالوا إنما هو علم الفلاسفة والملاحدة من أهل </w:t>
      </w:r>
      <w:r w:rsidR="00777DCB" w:rsidRPr="00A52585">
        <w:rPr>
          <w:rFonts w:hint="cs"/>
          <w:rtl/>
        </w:rPr>
        <w:lastRenderedPageBreak/>
        <w:t>اليونان</w:t>
      </w:r>
      <w:r w:rsidR="00DB731D" w:rsidRPr="00A52585">
        <w:rPr>
          <w:rFonts w:hint="cs"/>
          <w:rtl/>
        </w:rPr>
        <w:t>،</w:t>
      </w:r>
      <w:r w:rsidR="00777DCB" w:rsidRPr="00A52585">
        <w:rPr>
          <w:rFonts w:hint="cs"/>
          <w:rtl/>
        </w:rPr>
        <w:t xml:space="preserve"> نقول يا قوم إنما هو علم القرآن والسنة</w:t>
      </w:r>
      <w:r w:rsidR="00DB731D" w:rsidRPr="00A52585">
        <w:rPr>
          <w:rFonts w:hint="cs"/>
          <w:rtl/>
        </w:rPr>
        <w:t>،</w:t>
      </w:r>
      <w:r w:rsidR="00777DCB" w:rsidRPr="00A52585">
        <w:rPr>
          <w:rFonts w:hint="cs"/>
          <w:rtl/>
        </w:rPr>
        <w:t xml:space="preserve"> وإنما هو الفقه بآيات التنزيه والتقديس</w:t>
      </w:r>
      <w:r w:rsidR="00DB731D" w:rsidRPr="00A52585">
        <w:rPr>
          <w:rFonts w:hint="cs"/>
          <w:rtl/>
        </w:rPr>
        <w:t>،</w:t>
      </w:r>
      <w:r w:rsidR="00777DCB" w:rsidRPr="00A52585">
        <w:rPr>
          <w:rFonts w:hint="cs"/>
          <w:rtl/>
        </w:rPr>
        <w:t xml:space="preserve"> وكما أن الفقه لا يدرك إلا بإعمال العقل والاجتهاد من جهابذة الفقهاء كأبي حنيفة ومالك والشافعي وأحمد</w:t>
      </w:r>
      <w:r w:rsidR="00DB731D" w:rsidRPr="00A52585">
        <w:rPr>
          <w:rFonts w:hint="cs"/>
          <w:rtl/>
        </w:rPr>
        <w:t>،</w:t>
      </w:r>
      <w:r w:rsidR="00777DCB" w:rsidRPr="00A52585">
        <w:rPr>
          <w:rFonts w:hint="cs"/>
          <w:rtl/>
        </w:rPr>
        <w:t xml:space="preserve"> وهم أهل الكتاب والسنة</w:t>
      </w:r>
      <w:r w:rsidR="00DB731D" w:rsidRPr="00A52585">
        <w:rPr>
          <w:rFonts w:hint="cs"/>
          <w:rtl/>
        </w:rPr>
        <w:t>،</w:t>
      </w:r>
      <w:r w:rsidR="00777DCB" w:rsidRPr="00A52585">
        <w:rPr>
          <w:rFonts w:hint="cs"/>
          <w:rtl/>
        </w:rPr>
        <w:t xml:space="preserve"> ولكن للفقه شروط عسيرة لا بد وأن يستوفيها العالم حتى يكون فقيها</w:t>
      </w:r>
      <w:r w:rsidR="00DB731D" w:rsidRPr="00A52585">
        <w:rPr>
          <w:rFonts w:hint="cs"/>
          <w:rtl/>
        </w:rPr>
        <w:t>،</w:t>
      </w:r>
      <w:r w:rsidR="00777DCB" w:rsidRPr="00A52585">
        <w:rPr>
          <w:rFonts w:hint="cs"/>
          <w:rtl/>
        </w:rPr>
        <w:t xml:space="preserve"> ولا يجوز لأحد أن يقول هذا حلال</w:t>
      </w:r>
      <w:r w:rsidR="00DB731D" w:rsidRPr="00A52585">
        <w:rPr>
          <w:rFonts w:hint="cs"/>
          <w:rtl/>
        </w:rPr>
        <w:t>،</w:t>
      </w:r>
      <w:r w:rsidR="00777DCB" w:rsidRPr="00A52585">
        <w:rPr>
          <w:rFonts w:hint="cs"/>
          <w:rtl/>
        </w:rPr>
        <w:t xml:space="preserve"> وهذا حرام</w:t>
      </w:r>
      <w:r w:rsidR="00DB731D" w:rsidRPr="00A52585">
        <w:rPr>
          <w:rFonts w:hint="cs"/>
          <w:rtl/>
        </w:rPr>
        <w:t>،</w:t>
      </w:r>
      <w:r w:rsidR="00777DCB" w:rsidRPr="00A52585">
        <w:rPr>
          <w:rFonts w:hint="cs"/>
          <w:rtl/>
        </w:rPr>
        <w:t xml:space="preserve"> حتى يستوفي شروط العلم بالفقه</w:t>
      </w:r>
      <w:r w:rsidR="00DB731D" w:rsidRPr="00A52585">
        <w:rPr>
          <w:rFonts w:hint="cs"/>
          <w:rtl/>
        </w:rPr>
        <w:t>،</w:t>
      </w:r>
      <w:r w:rsidR="00777DCB" w:rsidRPr="00A52585">
        <w:rPr>
          <w:rFonts w:hint="cs"/>
          <w:rtl/>
        </w:rPr>
        <w:t xml:space="preserve"> وكذلك العقيدة - بل هي أشد - لذا لا يكفي سرد الآيات والأحاديث دون فقه لها</w:t>
      </w:r>
      <w:r w:rsidR="00DB731D" w:rsidRPr="00A52585">
        <w:rPr>
          <w:rFonts w:hint="cs"/>
          <w:rtl/>
        </w:rPr>
        <w:t>،</w:t>
      </w:r>
      <w:r w:rsidR="00777DCB" w:rsidRPr="00A52585">
        <w:rPr>
          <w:rFonts w:hint="cs"/>
          <w:rtl/>
        </w:rPr>
        <w:t xml:space="preserve"> ثم تبديع الآخرين وأنتم المخطئون</w:t>
      </w:r>
      <w:r w:rsidR="00DB731D" w:rsidRPr="00A52585">
        <w:rPr>
          <w:rFonts w:hint="cs"/>
          <w:rtl/>
        </w:rPr>
        <w:t>،</w:t>
      </w:r>
      <w:r w:rsidR="00777DCB" w:rsidRPr="00A52585">
        <w:rPr>
          <w:rFonts w:hint="cs"/>
          <w:rtl/>
        </w:rPr>
        <w:t xml:space="preserve"> والله إنا لنحب لكم الهداية</w:t>
      </w:r>
      <w:r w:rsidR="00DB731D" w:rsidRPr="00A52585">
        <w:rPr>
          <w:rFonts w:hint="cs"/>
          <w:rtl/>
        </w:rPr>
        <w:t>،</w:t>
      </w:r>
      <w:r w:rsidR="00777DCB" w:rsidRPr="00A52585">
        <w:rPr>
          <w:rFonts w:hint="cs"/>
          <w:rtl/>
        </w:rPr>
        <w:t xml:space="preserve"> كما نحبها لأنفسنا</w:t>
      </w:r>
      <w:r w:rsidR="00DB731D" w:rsidRPr="00A52585">
        <w:rPr>
          <w:rFonts w:hint="cs"/>
          <w:rtl/>
        </w:rPr>
        <w:t>،</w:t>
      </w:r>
      <w:r w:rsidR="00777DCB" w:rsidRPr="00A52585">
        <w:rPr>
          <w:rFonts w:hint="cs"/>
          <w:rtl/>
        </w:rPr>
        <w:t xml:space="preserve"> فلا تكونوا قطاع طريق على أهل العلم بالله</w:t>
      </w:r>
      <w:r w:rsidR="00DB731D" w:rsidRPr="00A52585">
        <w:rPr>
          <w:rFonts w:hint="cs"/>
          <w:rtl/>
        </w:rPr>
        <w:t>،</w:t>
      </w:r>
      <w:r w:rsidR="00777DCB" w:rsidRPr="00A52585">
        <w:rPr>
          <w:rFonts w:hint="cs"/>
          <w:rtl/>
        </w:rPr>
        <w:t xml:space="preserve"> ولا تكونوا </w:t>
      </w:r>
      <w:proofErr w:type="spellStart"/>
      <w:r w:rsidR="00777DCB" w:rsidRPr="00A52585">
        <w:rPr>
          <w:rFonts w:hint="cs"/>
          <w:rtl/>
        </w:rPr>
        <w:t>صائلين</w:t>
      </w:r>
      <w:proofErr w:type="spellEnd"/>
      <w:r w:rsidR="00777DCB" w:rsidRPr="00A52585">
        <w:rPr>
          <w:rFonts w:hint="cs"/>
          <w:rtl/>
        </w:rPr>
        <w:t xml:space="preserve"> على السنة بدلا من أن تكونوا </w:t>
      </w:r>
      <w:proofErr w:type="spellStart"/>
      <w:r w:rsidR="00777DCB" w:rsidRPr="00A52585">
        <w:rPr>
          <w:rFonts w:hint="cs"/>
          <w:rtl/>
        </w:rPr>
        <w:t>صائلين</w:t>
      </w:r>
      <w:proofErr w:type="spellEnd"/>
      <w:r w:rsidR="00777DCB" w:rsidRPr="00A52585">
        <w:rPr>
          <w:rFonts w:hint="cs"/>
          <w:rtl/>
        </w:rPr>
        <w:t xml:space="preserve"> لها</w:t>
      </w:r>
      <w:r w:rsidR="00DB731D" w:rsidRPr="00A52585">
        <w:rPr>
          <w:rFonts w:hint="cs"/>
          <w:rtl/>
        </w:rPr>
        <w:t>،</w:t>
      </w:r>
      <w:r w:rsidR="00777DCB" w:rsidRPr="00A52585">
        <w:rPr>
          <w:rFonts w:hint="cs"/>
          <w:rtl/>
        </w:rPr>
        <w:t xml:space="preserve"> الله تعالى أكبر من كل تصور</w:t>
      </w:r>
      <w:r w:rsidR="00DB731D" w:rsidRPr="00A52585">
        <w:rPr>
          <w:rFonts w:hint="cs"/>
          <w:rtl/>
        </w:rPr>
        <w:t>،</w:t>
      </w:r>
      <w:r w:rsidR="00777DCB" w:rsidRPr="00A52585">
        <w:rPr>
          <w:rFonts w:hint="cs"/>
          <w:rtl/>
        </w:rPr>
        <w:t xml:space="preserve"> والله تعالى اعظم من كل وهم أو خيال</w:t>
      </w:r>
      <w:r w:rsidR="00DB731D" w:rsidRPr="00A52585">
        <w:rPr>
          <w:rFonts w:hint="cs"/>
          <w:rtl/>
        </w:rPr>
        <w:t>،</w:t>
      </w:r>
      <w:r w:rsidRPr="00A52585">
        <w:rPr>
          <w:rFonts w:hint="cs"/>
          <w:rtl/>
        </w:rPr>
        <w:t xml:space="preserve"> </w:t>
      </w:r>
      <w:r w:rsidR="00777DCB" w:rsidRPr="00A52585">
        <w:rPr>
          <w:rFonts w:hint="cs"/>
          <w:rtl/>
        </w:rPr>
        <w:t>يا قومنا إن أهم شروط التلقي في علوم الإلهيات هو تصفية العقل عن الاوهام والخيالات</w:t>
      </w:r>
      <w:r w:rsidR="00DB731D" w:rsidRPr="00A52585">
        <w:rPr>
          <w:rFonts w:hint="cs"/>
          <w:rtl/>
        </w:rPr>
        <w:t>،</w:t>
      </w:r>
      <w:r w:rsidR="00777DCB" w:rsidRPr="00A52585">
        <w:rPr>
          <w:rFonts w:hint="cs"/>
          <w:rtl/>
        </w:rPr>
        <w:t xml:space="preserve"> فنحن في الوهم لا نعقل شيئا في غير مكان</w:t>
      </w:r>
      <w:r w:rsidR="00DB731D" w:rsidRPr="00A52585">
        <w:rPr>
          <w:rFonts w:hint="cs"/>
          <w:rtl/>
        </w:rPr>
        <w:t>،</w:t>
      </w:r>
      <w:r w:rsidR="00777DCB" w:rsidRPr="00A52585">
        <w:rPr>
          <w:rFonts w:hint="cs"/>
          <w:rtl/>
        </w:rPr>
        <w:t xml:space="preserve"> ولا شيئا لا يجري عليه زمان</w:t>
      </w:r>
      <w:r w:rsidR="00DB731D" w:rsidRPr="00A52585">
        <w:rPr>
          <w:rFonts w:hint="cs"/>
          <w:rtl/>
        </w:rPr>
        <w:t>،</w:t>
      </w:r>
      <w:r w:rsidR="00777DCB" w:rsidRPr="00A52585">
        <w:rPr>
          <w:rFonts w:hint="cs"/>
          <w:rtl/>
        </w:rPr>
        <w:t xml:space="preserve"> </w:t>
      </w:r>
      <w:proofErr w:type="spellStart"/>
      <w:r w:rsidR="00777DCB" w:rsidRPr="00A52585">
        <w:rPr>
          <w:rFonts w:hint="cs"/>
          <w:rtl/>
        </w:rPr>
        <w:t>لاننا</w:t>
      </w:r>
      <w:proofErr w:type="spellEnd"/>
      <w:r w:rsidR="00777DCB" w:rsidRPr="00A52585">
        <w:rPr>
          <w:rFonts w:hint="cs"/>
          <w:rtl/>
        </w:rPr>
        <w:t xml:space="preserve"> مخلوقين تحكمنا تلك القوانين التي أوجدها الله تعالى لتقهرنا نحن المخلوقين</w:t>
      </w:r>
      <w:r w:rsidR="00DB731D" w:rsidRPr="00A52585">
        <w:rPr>
          <w:rFonts w:hint="cs"/>
          <w:rtl/>
        </w:rPr>
        <w:t>،</w:t>
      </w:r>
      <w:r w:rsidR="00777DCB" w:rsidRPr="00A52585">
        <w:rPr>
          <w:rFonts w:hint="cs"/>
          <w:rtl/>
        </w:rPr>
        <w:t xml:space="preserve"> لا أن تكون حاكمة وقاهرة على الله الخالق الواحد القهار الكبير المتعال</w:t>
      </w:r>
      <w:r w:rsidR="00DB731D" w:rsidRPr="00A52585">
        <w:rPr>
          <w:rFonts w:hint="cs"/>
          <w:rtl/>
        </w:rPr>
        <w:t>،</w:t>
      </w:r>
      <w:r w:rsidR="00777DCB" w:rsidRPr="00A52585">
        <w:rPr>
          <w:rFonts w:hint="cs"/>
          <w:rtl/>
        </w:rPr>
        <w:t xml:space="preserve"> كما اننا لا نعقل شيئا لا تحده الحدود</w:t>
      </w:r>
      <w:r w:rsidR="00DB731D" w:rsidRPr="00A52585">
        <w:rPr>
          <w:rFonts w:hint="cs"/>
          <w:rtl/>
        </w:rPr>
        <w:t>،</w:t>
      </w:r>
      <w:r w:rsidR="00777DCB" w:rsidRPr="00A52585">
        <w:rPr>
          <w:rFonts w:hint="cs"/>
          <w:rtl/>
        </w:rPr>
        <w:t xml:space="preserve"> ولا تقدره المقادير</w:t>
      </w:r>
      <w:r w:rsidR="00DB731D" w:rsidRPr="00A52585">
        <w:rPr>
          <w:rFonts w:hint="cs"/>
          <w:rtl/>
        </w:rPr>
        <w:t>،</w:t>
      </w:r>
      <w:r w:rsidR="00777DCB" w:rsidRPr="00A52585">
        <w:rPr>
          <w:rFonts w:hint="cs"/>
          <w:rtl/>
        </w:rPr>
        <w:t xml:space="preserve"> لان أذهاننا لم تتعود سوى على ذلاك</w:t>
      </w:r>
      <w:r w:rsidR="00DB731D" w:rsidRPr="00A52585">
        <w:rPr>
          <w:rFonts w:hint="cs"/>
          <w:rtl/>
        </w:rPr>
        <w:t>،</w:t>
      </w:r>
      <w:r w:rsidR="00777DCB" w:rsidRPr="00A52585">
        <w:rPr>
          <w:rFonts w:hint="cs"/>
          <w:rtl/>
        </w:rPr>
        <w:t xml:space="preserve"> لان كل ما حولنا مخلوق محدود مقدر</w:t>
      </w:r>
      <w:r w:rsidR="00DB731D" w:rsidRPr="00A52585">
        <w:rPr>
          <w:rFonts w:hint="cs"/>
          <w:rtl/>
        </w:rPr>
        <w:t>،</w:t>
      </w:r>
      <w:r w:rsidR="00777DCB" w:rsidRPr="00A52585">
        <w:rPr>
          <w:rFonts w:hint="cs"/>
          <w:rtl/>
        </w:rPr>
        <w:t xml:space="preserve"> ولكن الخالق غير ذلك ليس كمثله شيء</w:t>
      </w:r>
      <w:r w:rsidR="00DB731D" w:rsidRPr="00A52585">
        <w:rPr>
          <w:rFonts w:hint="cs"/>
          <w:rtl/>
        </w:rPr>
        <w:t>،</w:t>
      </w:r>
      <w:r w:rsidR="00777DCB" w:rsidRPr="00A52585">
        <w:rPr>
          <w:rFonts w:hint="cs"/>
          <w:rtl/>
        </w:rPr>
        <w:t xml:space="preserve"> تنتفي عنه البداية كما تنتفي عنه النهاية</w:t>
      </w:r>
      <w:r w:rsidR="00DB731D" w:rsidRPr="00A52585">
        <w:rPr>
          <w:rFonts w:hint="cs"/>
          <w:rtl/>
        </w:rPr>
        <w:t>،</w:t>
      </w:r>
      <w:r w:rsidR="00777DCB" w:rsidRPr="00A52585">
        <w:rPr>
          <w:rFonts w:hint="cs"/>
          <w:rtl/>
        </w:rPr>
        <w:t xml:space="preserve"> ونحن في الحس لا نتخيل موجود بلا بداية إذ تعودنا أن كل شيء له بداية</w:t>
      </w:r>
      <w:r w:rsidR="00DB731D" w:rsidRPr="00A52585">
        <w:rPr>
          <w:rFonts w:hint="cs"/>
          <w:rtl/>
        </w:rPr>
        <w:t>،</w:t>
      </w:r>
      <w:r w:rsidR="00777DCB" w:rsidRPr="00A52585">
        <w:rPr>
          <w:rFonts w:hint="cs"/>
          <w:rtl/>
        </w:rPr>
        <w:t xml:space="preserve"> ولذلك </w:t>
      </w:r>
      <w:proofErr w:type="spellStart"/>
      <w:r w:rsidR="00777DCB" w:rsidRPr="00A52585">
        <w:rPr>
          <w:rFonts w:hint="cs"/>
          <w:rtl/>
        </w:rPr>
        <w:t>ياتينا</w:t>
      </w:r>
      <w:proofErr w:type="spellEnd"/>
      <w:r w:rsidR="00777DCB" w:rsidRPr="00A52585">
        <w:rPr>
          <w:rFonts w:hint="cs"/>
          <w:rtl/>
        </w:rPr>
        <w:t xml:space="preserve"> الرجيم بوسوسة من خلق الله لان الحس يقضي بان كل موجود له بداية</w:t>
      </w:r>
      <w:r w:rsidR="00DB731D" w:rsidRPr="00A52585">
        <w:rPr>
          <w:rFonts w:hint="cs"/>
          <w:rtl/>
        </w:rPr>
        <w:t>،</w:t>
      </w:r>
      <w:r w:rsidR="00777DCB" w:rsidRPr="00A52585">
        <w:rPr>
          <w:rFonts w:hint="cs"/>
          <w:rtl/>
        </w:rPr>
        <w:t xml:space="preserve"> وطلب علم التنزيه لا يكون إلا بالتجرد عن الحس لأن هذا العلم يتناول ذات الباري الذي ليس كمثله شيء</w:t>
      </w:r>
      <w:r w:rsidR="00DB731D" w:rsidRPr="00A52585">
        <w:rPr>
          <w:rFonts w:hint="cs"/>
          <w:rtl/>
        </w:rPr>
        <w:t>،</w:t>
      </w:r>
      <w:r w:rsidR="00777DCB" w:rsidRPr="00A52585">
        <w:rPr>
          <w:rFonts w:hint="cs"/>
          <w:rtl/>
        </w:rPr>
        <w:t xml:space="preserve"> وهذا يذكرني بقول </w:t>
      </w:r>
      <w:proofErr w:type="spellStart"/>
      <w:r w:rsidR="00777DCB" w:rsidRPr="00A52585">
        <w:rPr>
          <w:rFonts w:hint="cs"/>
          <w:rtl/>
        </w:rPr>
        <w:t>بقول</w:t>
      </w:r>
      <w:proofErr w:type="spellEnd"/>
      <w:r w:rsidR="00777DCB" w:rsidRPr="00A52585">
        <w:rPr>
          <w:rFonts w:hint="cs"/>
          <w:rtl/>
        </w:rPr>
        <w:t xml:space="preserve"> الزرقاني رحمه الله في مناهل العرفان </w:t>
      </w:r>
      <w:r w:rsidRPr="00A52585">
        <w:rPr>
          <w:rFonts w:hint="cs"/>
          <w:rtl/>
        </w:rPr>
        <w:t>[</w:t>
      </w:r>
      <w:r w:rsidR="00777DCB" w:rsidRPr="00A52585">
        <w:rPr>
          <w:rFonts w:hint="cs"/>
          <w:rtl/>
        </w:rPr>
        <w:t>ج: 2 ص: 209 إلى ص</w:t>
      </w:r>
      <w:r w:rsidRPr="00A52585">
        <w:rPr>
          <w:rFonts w:hint="cs"/>
          <w:rtl/>
        </w:rPr>
        <w:t xml:space="preserve">: </w:t>
      </w:r>
      <w:r w:rsidR="00777DCB" w:rsidRPr="00A52585">
        <w:rPr>
          <w:rFonts w:hint="cs"/>
          <w:rtl/>
        </w:rPr>
        <w:t>212]</w:t>
      </w:r>
      <w:r w:rsidRPr="00A52585">
        <w:rPr>
          <w:rFonts w:hint="cs"/>
          <w:rtl/>
        </w:rPr>
        <w:t>: (</w:t>
      </w:r>
      <w:r w:rsidR="00777DCB" w:rsidRPr="00A52585">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w:t>
      </w:r>
      <w:r w:rsidR="00777DCB" w:rsidRPr="00A52585">
        <w:rPr>
          <w:rFonts w:hint="cs"/>
          <w:rtl/>
        </w:rPr>
        <w:lastRenderedPageBreak/>
        <w:t>لبعض أصحاب الأديان الأخرى كاليهود والنصارى وأهل النحل الضالة كالمشبهة والمجسمة</w:t>
      </w:r>
      <w:r w:rsidR="00DB731D" w:rsidRPr="00A52585">
        <w:rPr>
          <w:rFonts w:hint="cs"/>
          <w:rtl/>
        </w:rPr>
        <w:t>،</w:t>
      </w:r>
      <w:r w:rsidR="00777DCB" w:rsidRPr="00A52585">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777DCB" w:rsidRPr="00A52585">
        <w:rPr>
          <w:rFonts w:hint="cs"/>
          <w:rtl/>
        </w:rPr>
        <w:t>متركبا</w:t>
      </w:r>
      <w:proofErr w:type="spellEnd"/>
      <w:r w:rsidR="00777DCB" w:rsidRPr="00A52585">
        <w:rPr>
          <w:rFonts w:hint="cs"/>
          <w:rtl/>
        </w:rPr>
        <w:t xml:space="preserve"> ولا محتاجا لأحد ولا إلى مكان ولا إلى زمان ولا نحو ذلك ولقد جاء القرآن بهذا في </w:t>
      </w:r>
      <w:proofErr w:type="spellStart"/>
      <w:r w:rsidR="00777DCB" w:rsidRPr="00A52585">
        <w:rPr>
          <w:rFonts w:hint="cs"/>
          <w:rtl/>
        </w:rPr>
        <w:t>محكماته</w:t>
      </w:r>
      <w:proofErr w:type="spellEnd"/>
      <w:r w:rsidR="00777DCB" w:rsidRPr="00A52585">
        <w:rPr>
          <w:rFonts w:hint="cs"/>
          <w:rtl/>
        </w:rPr>
        <w:t xml:space="preserve"> إذ يقول ليس كمثله شيء ويقول قل هو الله أحد الله الصمد لم يلد ولم يولد ولم يكن له</w:t>
      </w:r>
      <w:r w:rsidRPr="00A52585">
        <w:rPr>
          <w:rFonts w:hint="cs"/>
          <w:rtl/>
        </w:rPr>
        <w:t xml:space="preserve"> </w:t>
      </w:r>
      <w:r w:rsidR="00777DCB" w:rsidRPr="00A52585">
        <w:rPr>
          <w:rFonts w:hint="cs"/>
          <w:rtl/>
        </w:rPr>
        <w:t>كفوا أحد</w:t>
      </w:r>
      <w:r w:rsidRPr="00A52585">
        <w:rPr>
          <w:rFonts w:hint="cs"/>
          <w:rtl/>
        </w:rPr>
        <w:t xml:space="preserve"> </w:t>
      </w:r>
      <w:r w:rsidR="00777DCB" w:rsidRPr="00A52585">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DB731D" w:rsidRPr="00A52585">
        <w:rPr>
          <w:rFonts w:hint="cs"/>
          <w:rtl/>
        </w:rPr>
        <w:t>،</w:t>
      </w:r>
      <w:r w:rsidR="00777DCB" w:rsidRPr="00A52585">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777DCB" w:rsidRPr="00A52585">
        <w:rPr>
          <w:rFonts w:hint="cs"/>
          <w:rtl/>
        </w:rPr>
        <w:t>يرضاه</w:t>
      </w:r>
      <w:proofErr w:type="spellEnd"/>
      <w:r w:rsidR="00777DCB" w:rsidRPr="00A52585">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77DCB" w:rsidRPr="00A52585">
        <w:rPr>
          <w:rFonts w:hint="cs"/>
          <w:rtl/>
        </w:rPr>
        <w:t>يواجهونهم</w:t>
      </w:r>
      <w:proofErr w:type="spellEnd"/>
      <w:r w:rsidR="00777DCB" w:rsidRPr="00A52585">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777DCB" w:rsidRPr="00A52585">
        <w:rPr>
          <w:rFonts w:hint="cs"/>
          <w:rtl/>
        </w:rPr>
        <w:t>صبيغ</w:t>
      </w:r>
      <w:proofErr w:type="spellEnd"/>
      <w:r w:rsidR="00777DCB" w:rsidRPr="00A52585">
        <w:rPr>
          <w:rFonts w:hint="cs"/>
          <w:rtl/>
        </w:rPr>
        <w:t xml:space="preserve"> وجعل مالكا يقول ما يقول ويفعل ما يفعل بالذي سأله عن الاستواء وقد مر بك هذا وذاك</w:t>
      </w:r>
      <w:r w:rsidRPr="00A52585">
        <w:rPr>
          <w:rFonts w:hint="cs"/>
          <w:rtl/>
        </w:rPr>
        <w:t xml:space="preserve"> </w:t>
      </w:r>
      <w:r w:rsidR="00777DCB" w:rsidRPr="00A52585">
        <w:rPr>
          <w:rFonts w:hint="cs"/>
          <w:rtl/>
        </w:rPr>
        <w:t xml:space="preserve">لو أنصف </w:t>
      </w:r>
      <w:r w:rsidR="00777DCB" w:rsidRPr="00A52585">
        <w:rPr>
          <w:rFonts w:hint="cs"/>
          <w:rtl/>
        </w:rPr>
        <w:lastRenderedPageBreak/>
        <w:t xml:space="preserve">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77DCB" w:rsidRPr="00A52585">
        <w:rPr>
          <w:rFonts w:hint="cs"/>
          <w:rtl/>
        </w:rPr>
        <w:t>ويرضاه</w:t>
      </w:r>
      <w:proofErr w:type="spellEnd"/>
      <w:r w:rsidR="00777DCB" w:rsidRPr="00A52585">
        <w:rPr>
          <w:rFonts w:hint="cs"/>
          <w:rtl/>
        </w:rPr>
        <w:t xml:space="preserve"> آمين</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مناهل العرفان</w:t>
      </w:r>
      <w:r w:rsidRPr="00A52585">
        <w:rPr>
          <w:rFonts w:hint="cs"/>
          <w:rtl/>
        </w:rPr>
        <w:t>:</w:t>
      </w:r>
      <w:r w:rsidR="00777DCB" w:rsidRPr="00A52585">
        <w:rPr>
          <w:rFonts w:hint="cs"/>
          <w:rtl/>
        </w:rPr>
        <w:t xml:space="preserve"> ج: 2 ص: 209 إلى ص</w:t>
      </w:r>
      <w:r w:rsidRPr="00A52585">
        <w:rPr>
          <w:rFonts w:hint="cs"/>
          <w:rtl/>
        </w:rPr>
        <w:t xml:space="preserve">: </w:t>
      </w:r>
      <w:r w:rsidR="00777DCB" w:rsidRPr="00A52585">
        <w:rPr>
          <w:rFonts w:hint="cs"/>
          <w:rtl/>
        </w:rPr>
        <w:t>212</w:t>
      </w:r>
      <w:r w:rsidRPr="00A52585">
        <w:rPr>
          <w:rFonts w:hint="cs"/>
          <w:rtl/>
        </w:rPr>
        <w:t>]</w:t>
      </w:r>
    </w:p>
    <w:p w14:paraId="5B5F6B65" w14:textId="7D1461E0" w:rsidR="00777DCB" w:rsidRPr="00A52585" w:rsidRDefault="0002035C" w:rsidP="0002035C">
      <w:pPr>
        <w:rPr>
          <w:b/>
          <w:rtl/>
        </w:rPr>
      </w:pPr>
      <w:r w:rsidRPr="00A52585">
        <w:rPr>
          <w:rFonts w:hint="cs"/>
          <w:bCs/>
          <w:rtl/>
        </w:rPr>
        <w:t>[</w:t>
      </w:r>
      <w:r w:rsidR="00777DCB" w:rsidRPr="00A52585">
        <w:rPr>
          <w:rFonts w:hint="cs"/>
          <w:bCs/>
          <w:rtl/>
        </w:rPr>
        <w:t>9</w:t>
      </w:r>
      <w:r w:rsidRPr="00A52585">
        <w:rPr>
          <w:rFonts w:hint="cs"/>
          <w:bCs/>
          <w:rtl/>
        </w:rPr>
        <w:t>]:</w:t>
      </w:r>
      <w:r w:rsidR="00777DCB" w:rsidRPr="00A52585">
        <w:rPr>
          <w:rFonts w:hint="cs"/>
          <w:bCs/>
          <w:rtl/>
        </w:rPr>
        <w:t xml:space="preserve"> </w:t>
      </w:r>
      <w:bookmarkStart w:id="2" w:name="سابع"/>
      <w:r w:rsidR="00777DCB" w:rsidRPr="00A52585">
        <w:rPr>
          <w:rFonts w:hint="cs"/>
          <w:bCs/>
          <w:rtl/>
        </w:rPr>
        <w:t>آية الكرسي أعظم آية في القرآن الكريم</w:t>
      </w:r>
      <w:bookmarkEnd w:id="2"/>
      <w:r w:rsidR="00777DCB" w:rsidRPr="00A52585">
        <w:rPr>
          <w:rFonts w:hint="cs"/>
          <w:bCs/>
          <w:rtl/>
        </w:rPr>
        <w:t xml:space="preserve"> وما فيها من تقديس الله تعالى</w:t>
      </w:r>
      <w:r w:rsidRPr="00A52585">
        <w:rPr>
          <w:rFonts w:hint="cs"/>
          <w:bCs/>
          <w:rtl/>
        </w:rPr>
        <w:t>:</w:t>
      </w:r>
      <w:r w:rsidR="00777DCB" w:rsidRPr="00A52585">
        <w:rPr>
          <w:rFonts w:hint="cs"/>
          <w:bCs/>
          <w:rtl/>
        </w:rPr>
        <w:t xml:space="preserve">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255</w:t>
      </w:r>
      <w:r w:rsidRPr="00A52585">
        <w:rPr>
          <w:rFonts w:hint="cs"/>
          <w:rtl/>
        </w:rPr>
        <w:t>]</w:t>
      </w:r>
      <w:r w:rsidR="00DB731D" w:rsidRPr="00A52585">
        <w:rPr>
          <w:rFonts w:hint="cs"/>
          <w:rtl/>
        </w:rPr>
        <w:t>،</w:t>
      </w:r>
      <w:r w:rsidR="00777DCB" w:rsidRPr="00A52585">
        <w:rPr>
          <w:rFonts w:hint="cs"/>
          <w:rtl/>
        </w:rPr>
        <w:t xml:space="preserve"> هذه الآية هي أعظم آية في القرآن</w:t>
      </w:r>
      <w:r w:rsidR="00DB731D" w:rsidRPr="00A52585">
        <w:rPr>
          <w:rFonts w:hint="cs"/>
          <w:rtl/>
        </w:rPr>
        <w:t>،</w:t>
      </w:r>
      <w:r w:rsidR="00777DCB" w:rsidRPr="00A52585">
        <w:rPr>
          <w:rFonts w:hint="cs"/>
          <w:rtl/>
        </w:rPr>
        <w:t xml:space="preserve"> وذلك لما اشتملت عليه من معاني التوحيد والتقديس والتنزيه</w:t>
      </w:r>
      <w:r w:rsidR="00DB731D" w:rsidRPr="00A52585">
        <w:rPr>
          <w:rFonts w:hint="cs"/>
          <w:rtl/>
        </w:rPr>
        <w:t>،</w:t>
      </w:r>
      <w:r w:rsidR="00777DCB" w:rsidRPr="00A52585">
        <w:rPr>
          <w:rFonts w:hint="cs"/>
          <w:rtl/>
        </w:rPr>
        <w:t xml:space="preserve"> ونفي النقائص عنه</w:t>
      </w:r>
      <w:r w:rsidR="00DB731D" w:rsidRPr="00A52585">
        <w:rPr>
          <w:rFonts w:hint="cs"/>
          <w:rtl/>
        </w:rPr>
        <w:t>،</w:t>
      </w:r>
      <w:r w:rsidR="00777DCB" w:rsidRPr="00A52585">
        <w:rPr>
          <w:rFonts w:hint="cs"/>
          <w:rtl/>
        </w:rPr>
        <w:t xml:space="preserve"> ولما اشتملت عليه من الأسماء الحسنى والصفات العلى</w:t>
      </w:r>
      <w:r w:rsidR="00DB731D" w:rsidRPr="00A52585">
        <w:rPr>
          <w:rFonts w:hint="cs"/>
          <w:rtl/>
        </w:rPr>
        <w:t>،</w:t>
      </w:r>
      <w:r w:rsidR="00777DCB" w:rsidRPr="00A52585">
        <w:rPr>
          <w:rFonts w:hint="cs"/>
          <w:rtl/>
        </w:rPr>
        <w:t xml:space="preserve"> وهي تضم الكلمة الحسنى وكلمة التقوى شهادة التوحيد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w:t>
      </w:r>
      <w:r w:rsidRPr="00A52585">
        <w:rPr>
          <w:rFonts w:hint="cs"/>
          <w:rtl/>
        </w:rPr>
        <w:t>}</w:t>
      </w:r>
      <w:r w:rsidR="00DB731D" w:rsidRPr="00A52585">
        <w:rPr>
          <w:rFonts w:hint="cs"/>
          <w:rtl/>
        </w:rPr>
        <w:t>،</w:t>
      </w:r>
      <w:r w:rsidR="00777DCB" w:rsidRPr="00A52585">
        <w:rPr>
          <w:rFonts w:hint="cs"/>
          <w:rtl/>
        </w:rPr>
        <w:t xml:space="preserve"> وهي تضم خمسة أسماء جليلة من أسمائه تعالى منها اسم الله الأعظم</w:t>
      </w:r>
      <w:r w:rsidR="00DB731D" w:rsidRPr="00A52585">
        <w:rPr>
          <w:rFonts w:hint="cs"/>
          <w:rtl/>
        </w:rPr>
        <w:t>،</w:t>
      </w:r>
      <w:r w:rsidR="00777DCB" w:rsidRPr="00A52585">
        <w:rPr>
          <w:rFonts w:hint="cs"/>
          <w:rtl/>
        </w:rPr>
        <w:t xml:space="preserve"> وهي</w:t>
      </w:r>
      <w:r w:rsidR="00DB731D" w:rsidRPr="00A52585">
        <w:rPr>
          <w:rFonts w:hint="cs"/>
          <w:rtl/>
        </w:rPr>
        <w:t>،</w:t>
      </w:r>
      <w:r w:rsidR="00777DCB" w:rsidRPr="00A52585">
        <w:rPr>
          <w:rFonts w:hint="cs"/>
          <w:rtl/>
        </w:rPr>
        <w:t xml:space="preserve"> الله</w:t>
      </w:r>
      <w:r w:rsidR="00DB731D" w:rsidRPr="00A52585">
        <w:rPr>
          <w:rFonts w:hint="cs"/>
          <w:rtl/>
        </w:rPr>
        <w:t>،</w:t>
      </w:r>
      <w:r w:rsidR="00777DCB" w:rsidRPr="00A52585">
        <w:rPr>
          <w:rFonts w:hint="cs"/>
          <w:rtl/>
        </w:rPr>
        <w:t xml:space="preserve"> الحي</w:t>
      </w:r>
      <w:r w:rsidR="00DB731D" w:rsidRPr="00A52585">
        <w:rPr>
          <w:rFonts w:hint="cs"/>
          <w:rtl/>
        </w:rPr>
        <w:t>،</w:t>
      </w:r>
      <w:r w:rsidR="00777DCB" w:rsidRPr="00A52585">
        <w:rPr>
          <w:rFonts w:hint="cs"/>
          <w:rtl/>
        </w:rPr>
        <w:t xml:space="preserve"> القيوم</w:t>
      </w:r>
      <w:r w:rsidR="00DB731D" w:rsidRPr="00A52585">
        <w:rPr>
          <w:rFonts w:hint="cs"/>
          <w:rtl/>
        </w:rPr>
        <w:t>،</w:t>
      </w:r>
      <w:r w:rsidR="00777DCB" w:rsidRPr="00A52585">
        <w:rPr>
          <w:rFonts w:hint="cs"/>
          <w:rtl/>
        </w:rPr>
        <w:t xml:space="preserve"> العلي</w:t>
      </w:r>
      <w:r w:rsidR="00DB731D" w:rsidRPr="00A52585">
        <w:rPr>
          <w:rFonts w:hint="cs"/>
          <w:rtl/>
        </w:rPr>
        <w:t>،</w:t>
      </w:r>
      <w:r w:rsidR="00777DCB" w:rsidRPr="00A52585">
        <w:rPr>
          <w:rFonts w:hint="cs"/>
          <w:rtl/>
        </w:rPr>
        <w:t xml:space="preserve"> العظيم</w:t>
      </w:r>
      <w:r w:rsidR="00DB731D" w:rsidRPr="00A52585">
        <w:rPr>
          <w:rFonts w:hint="cs"/>
          <w:rtl/>
        </w:rPr>
        <w:t>،</w:t>
      </w:r>
      <w:r w:rsidR="00777DCB" w:rsidRPr="00A52585">
        <w:rPr>
          <w:rFonts w:hint="cs"/>
          <w:rtl/>
        </w:rPr>
        <w:t xml:space="preserve"> ولقد تعددت الأحاديث التي تذكر فضائل آية الكرسي وفضائل قراءتها</w:t>
      </w:r>
      <w:r w:rsidR="00DB731D" w:rsidRPr="00A52585">
        <w:rPr>
          <w:rFonts w:hint="cs"/>
          <w:rtl/>
        </w:rPr>
        <w:t>،</w:t>
      </w:r>
      <w:r w:rsidR="00777DCB" w:rsidRPr="00A52585">
        <w:rPr>
          <w:rFonts w:hint="cs"/>
          <w:rtl/>
        </w:rPr>
        <w:t xml:space="preserve"> وورد ذكر فضائل عظيمة على مداومة قراءتها دبر كل صلاة مكتوبة</w:t>
      </w:r>
      <w:r w:rsidR="00DB731D" w:rsidRPr="00A52585">
        <w:rPr>
          <w:rFonts w:hint="cs"/>
          <w:rtl/>
        </w:rPr>
        <w:t>،</w:t>
      </w:r>
      <w:r w:rsidR="00777DCB" w:rsidRPr="00A52585">
        <w:rPr>
          <w:rFonts w:hint="cs"/>
          <w:rtl/>
        </w:rPr>
        <w:t xml:space="preserve"> ففي صحيح مسلم عن أبي بن كعب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sidRPr="00A52585">
        <w:rPr>
          <w:rFonts w:hint="cs"/>
          <w:rtl/>
        </w:rPr>
        <w:t>:</w:t>
      </w:r>
      <w:r w:rsidR="00777DCB" w:rsidRPr="00A52585">
        <w:rPr>
          <w:rFonts w:hint="cs"/>
          <w:rtl/>
        </w:rPr>
        <w:t xml:space="preserve"> فضرب في صدري، وقال: والله ليهنك العلم أبا المنذر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أخرجه مسلم</w:t>
      </w:r>
      <w:r w:rsidRPr="00A52585">
        <w:rPr>
          <w:rFonts w:hint="cs"/>
          <w:rtl/>
        </w:rPr>
        <w:t>]</w:t>
      </w:r>
      <w:r w:rsidR="00DB731D" w:rsidRPr="00A52585">
        <w:rPr>
          <w:rFonts w:hint="cs"/>
          <w:rtl/>
        </w:rPr>
        <w:t>،</w:t>
      </w:r>
      <w:r w:rsidR="00777DCB" w:rsidRPr="00A52585">
        <w:rPr>
          <w:rFonts w:hint="cs"/>
          <w:rtl/>
        </w:rPr>
        <w:t xml:space="preserve"> وأخرج النسائي في السنن الكبرى عن أبي </w:t>
      </w:r>
      <w:proofErr w:type="spellStart"/>
      <w:r w:rsidR="00777DCB" w:rsidRPr="00A52585">
        <w:rPr>
          <w:rFonts w:hint="cs"/>
          <w:rtl/>
        </w:rPr>
        <w:t>أمامة</w:t>
      </w:r>
      <w:proofErr w:type="spellEnd"/>
      <w:r w:rsidR="00777DCB" w:rsidRPr="00A52585">
        <w:rPr>
          <w:rFonts w:hint="cs"/>
          <w:rtl/>
        </w:rPr>
        <w:t xml:space="preserve"> الباهلي رضي الله عنه</w:t>
      </w:r>
      <w:r w:rsidRPr="00A52585">
        <w:rPr>
          <w:rFonts w:hint="cs"/>
          <w:rtl/>
        </w:rPr>
        <w:t>:</w:t>
      </w:r>
      <w:r w:rsidR="00777DCB" w:rsidRPr="00A52585">
        <w:rPr>
          <w:rFonts w:hint="cs"/>
          <w:rtl/>
        </w:rPr>
        <w:t xml:space="preserve"> قَالَ رَسُولُ اللَّهِ صلى الله عليه وسلم</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مَنْ قَرَأَ آيَةَ الْكُرْسِيِّ دُبُرَ كُلِّ صَلاةٍ مَكْتُوبَةٍ لَمْ يَمْنَعْهُ مِنْ دُخُولِ الْجَنَّةِ، إِلا الْمَوْتُ</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الحديث صححه الألباني في صحيح الترغيب والترهيب برقم (1595)</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قال النووي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العلماء</w:t>
      </w:r>
      <w:r w:rsidRPr="00A52585">
        <w:rPr>
          <w:rFonts w:hint="cs"/>
          <w:rtl/>
        </w:rPr>
        <w:t>:</w:t>
      </w:r>
      <w:r w:rsidR="00777DCB" w:rsidRPr="00A52585">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sidR="00DB731D" w:rsidRPr="00A52585">
        <w:rPr>
          <w:rFonts w:hint="cs"/>
          <w:rtl/>
        </w:rPr>
        <w:t>،</w:t>
      </w:r>
      <w:r w:rsidR="00777DCB" w:rsidRPr="00A52585">
        <w:rPr>
          <w:rFonts w:hint="cs"/>
          <w:rtl/>
        </w:rPr>
        <w:t xml:space="preserve"> وهذه السبعة أصول الأسماء والصفات</w:t>
      </w:r>
      <w:r w:rsidRPr="00A52585">
        <w:rPr>
          <w:rFonts w:hint="cs"/>
          <w:rtl/>
        </w:rPr>
        <w:t xml:space="preserve">) </w:t>
      </w:r>
      <w:r w:rsidR="00777DCB" w:rsidRPr="00A52585">
        <w:rPr>
          <w:rFonts w:hint="cs"/>
          <w:rtl/>
        </w:rPr>
        <w:t xml:space="preserve">اهـ </w:t>
      </w:r>
      <w:r w:rsidRPr="00A52585">
        <w:rPr>
          <w:rFonts w:hint="cs"/>
          <w:rtl/>
        </w:rPr>
        <w:t>[</w:t>
      </w:r>
      <w:r w:rsidR="00777DCB" w:rsidRPr="00A52585">
        <w:rPr>
          <w:rFonts w:hint="cs"/>
          <w:rtl/>
        </w:rPr>
        <w:t>شرح النووي على صحيح مسلم</w:t>
      </w:r>
      <w:r w:rsidRPr="00A52585">
        <w:rPr>
          <w:rFonts w:hint="cs"/>
          <w:rtl/>
        </w:rPr>
        <w:t>:</w:t>
      </w:r>
      <w:r w:rsidR="00777DCB" w:rsidRPr="00A52585">
        <w:rPr>
          <w:rFonts w:hint="cs"/>
          <w:rtl/>
        </w:rPr>
        <w:t xml:space="preserve"> ج 6</w:t>
      </w:r>
      <w:r w:rsidR="00DB731D" w:rsidRPr="00A52585">
        <w:rPr>
          <w:rFonts w:hint="cs"/>
          <w:rtl/>
        </w:rPr>
        <w:t>،</w:t>
      </w:r>
      <w:r w:rsidR="00777DCB" w:rsidRPr="00A52585">
        <w:rPr>
          <w:rFonts w:hint="cs"/>
          <w:rtl/>
        </w:rPr>
        <w:t xml:space="preserve"> ص 94</w:t>
      </w:r>
      <w:r w:rsidRPr="00A52585">
        <w:rPr>
          <w:rFonts w:hint="cs"/>
          <w:rtl/>
        </w:rPr>
        <w:t>]</w:t>
      </w:r>
      <w:r w:rsidR="00DB731D" w:rsidRPr="00A52585">
        <w:rPr>
          <w:rFonts w:hint="cs"/>
          <w:rtl/>
        </w:rPr>
        <w:t>،</w:t>
      </w:r>
      <w:r w:rsidRPr="00A52585">
        <w:rPr>
          <w:rFonts w:hint="cs"/>
          <w:rtl/>
        </w:rPr>
        <w:t xml:space="preserve"> </w:t>
      </w:r>
      <w:r w:rsidRPr="00A52585">
        <w:rPr>
          <w:rFonts w:eastAsia="Times New Roman" w:hint="cs"/>
          <w:bCs/>
          <w:rtl/>
        </w:rPr>
        <w:t>{</w:t>
      </w:r>
      <w:r w:rsidR="00777DCB" w:rsidRPr="00A52585">
        <w:rPr>
          <w:rFonts w:eastAsia="Times New Roman" w:hint="cs"/>
          <w:bCs/>
          <w:rtl/>
        </w:rPr>
        <w:t>اللَّهُ لَا إِلَهَ إِلَّا هُوَ</w:t>
      </w:r>
      <w:r w:rsidRPr="00A52585">
        <w:rPr>
          <w:rFonts w:eastAsia="Times New Roman" w:hint="cs"/>
          <w:bCs/>
          <w:rtl/>
        </w:rPr>
        <w:t>}</w:t>
      </w:r>
      <w:r w:rsidRPr="00A52585">
        <w:rPr>
          <w:rFonts w:eastAsia="Times New Roman" w:hint="cs"/>
          <w:rtl/>
        </w:rPr>
        <w:t>:</w:t>
      </w:r>
      <w:r w:rsidR="00777DCB" w:rsidRPr="00A52585">
        <w:rPr>
          <w:rFonts w:eastAsia="Times New Roman" w:hint="cs"/>
          <w:rtl/>
        </w:rPr>
        <w:t xml:space="preserve"> </w:t>
      </w:r>
      <w:r w:rsidRPr="00A52585">
        <w:rPr>
          <w:rFonts w:eastAsia="Times New Roman" w:hint="cs"/>
          <w:bCs/>
          <w:rtl/>
        </w:rPr>
        <w:t>{</w:t>
      </w:r>
      <w:r w:rsidR="00777DCB" w:rsidRPr="00A52585">
        <w:rPr>
          <w:rFonts w:hint="cs"/>
          <w:bCs/>
          <w:rtl/>
        </w:rPr>
        <w:t>الله</w:t>
      </w:r>
      <w:r w:rsidRPr="00A52585">
        <w:rPr>
          <w:rFonts w:hint="cs"/>
          <w:bCs/>
          <w:rtl/>
        </w:rPr>
        <w:t>}</w:t>
      </w:r>
      <w:r w:rsidR="00777DCB" w:rsidRPr="00A52585">
        <w:rPr>
          <w:rFonts w:hint="cs"/>
          <w:rtl/>
        </w:rPr>
        <w:t xml:space="preserve"> عَلَمٌ على الذات الواحد الأحد القدوس</w:t>
      </w:r>
      <w:r w:rsidR="00DB731D" w:rsidRPr="00A52585">
        <w:rPr>
          <w:rFonts w:hint="cs"/>
          <w:rtl/>
        </w:rPr>
        <w:t>،</w:t>
      </w:r>
      <w:r w:rsidR="00777DCB" w:rsidRPr="00A52585">
        <w:rPr>
          <w:rFonts w:hint="cs"/>
          <w:rtl/>
        </w:rPr>
        <w:t xml:space="preserve"> صاحب الأسماء الحسنى</w:t>
      </w:r>
      <w:r w:rsidR="00DB731D" w:rsidRPr="00A52585">
        <w:rPr>
          <w:rFonts w:hint="cs"/>
          <w:rtl/>
        </w:rPr>
        <w:t>،</w:t>
      </w:r>
      <w:r w:rsidR="00777DCB" w:rsidRPr="00A52585">
        <w:rPr>
          <w:rFonts w:hint="cs"/>
          <w:rtl/>
        </w:rPr>
        <w:t xml:space="preserve"> والصفات العلى</w:t>
      </w:r>
      <w:r w:rsidR="00DB731D" w:rsidRPr="00A52585">
        <w:rPr>
          <w:rFonts w:hint="cs"/>
          <w:rtl/>
        </w:rPr>
        <w:t>،</w:t>
      </w:r>
      <w:r w:rsidR="00777DCB" w:rsidRPr="00A52585">
        <w:rPr>
          <w:rFonts w:hint="cs"/>
          <w:rtl/>
        </w:rPr>
        <w:t xml:space="preserve"> وهو الاسم الجامع لجميع الأسماء الحسنى والصفات العلا</w:t>
      </w:r>
      <w:r w:rsidR="00DB731D" w:rsidRPr="00A52585">
        <w:rPr>
          <w:rFonts w:hint="cs"/>
          <w:rtl/>
        </w:rPr>
        <w:t>،</w:t>
      </w:r>
      <w:r w:rsidR="00777DCB" w:rsidRPr="00A52585">
        <w:rPr>
          <w:rFonts w:hint="cs"/>
          <w:rtl/>
        </w:rPr>
        <w:t xml:space="preserve"> وهو الاصل وكل الأسماء تابعة إليه على سبيل الوصف</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ولله الأسماء الحسنى</w:t>
      </w:r>
      <w:r w:rsidRPr="00A52585">
        <w:rPr>
          <w:rFonts w:hint="cs"/>
          <w:rtl/>
        </w:rPr>
        <w:t>}</w:t>
      </w:r>
      <w:r w:rsidR="00777DCB" w:rsidRPr="00A52585">
        <w:rPr>
          <w:rFonts w:hint="cs"/>
          <w:rtl/>
        </w:rPr>
        <w:t xml:space="preserve"> فبدأ به</w:t>
      </w:r>
      <w:r w:rsidR="00DB731D" w:rsidRPr="00A52585">
        <w:rPr>
          <w:rFonts w:hint="cs"/>
          <w:rtl/>
        </w:rPr>
        <w:t>،</w:t>
      </w:r>
      <w:r w:rsidR="00777DCB" w:rsidRPr="00A52585">
        <w:rPr>
          <w:rFonts w:hint="cs"/>
          <w:rtl/>
        </w:rPr>
        <w:t xml:space="preserve"> </w:t>
      </w:r>
      <w:r w:rsidR="00777DCB" w:rsidRPr="00A52585">
        <w:rPr>
          <w:rFonts w:hint="cs"/>
          <w:rtl/>
        </w:rPr>
        <w:lastRenderedPageBreak/>
        <w:t>وأعظم آية في القرآن الكريم - وهي هذه الآية - بدأت به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w:t>
      </w:r>
      <w:r w:rsidRPr="00A52585">
        <w:rPr>
          <w:rFonts w:hint="cs"/>
          <w:rtl/>
        </w:rPr>
        <w:t>}</w:t>
      </w:r>
      <w:r w:rsidR="00DB731D" w:rsidRPr="00A52585">
        <w:rPr>
          <w:rFonts w:hint="cs"/>
          <w:rtl/>
        </w:rPr>
        <w:t>،</w:t>
      </w:r>
      <w:r w:rsidR="00777DCB" w:rsidRPr="00A52585">
        <w:rPr>
          <w:rFonts w:hint="cs"/>
          <w:rtl/>
        </w:rPr>
        <w:t xml:space="preserve"> وما جاء اسم من الأسماء الحسنى إلا وتقدمها اسم الجلالة </w:t>
      </w:r>
      <w:r w:rsidRPr="00A52585">
        <w:rPr>
          <w:rFonts w:hint="cs"/>
          <w:rtl/>
        </w:rPr>
        <w:t>[</w:t>
      </w:r>
      <w:r w:rsidR="00777DCB" w:rsidRPr="00A52585">
        <w:rPr>
          <w:rFonts w:hint="cs"/>
          <w:rtl/>
        </w:rPr>
        <w:t>الله</w:t>
      </w:r>
      <w:r w:rsidRPr="00A52585">
        <w:rPr>
          <w:rFonts w:hint="cs"/>
          <w:rtl/>
        </w:rPr>
        <w:t>]</w:t>
      </w:r>
      <w:r w:rsidR="00DB731D" w:rsidRPr="00A52585">
        <w:rPr>
          <w:rFonts w:hint="cs"/>
          <w:rtl/>
        </w:rPr>
        <w:t>،</w:t>
      </w:r>
      <w:r w:rsidR="00777DCB" w:rsidRPr="00A52585">
        <w:rPr>
          <w:rFonts w:hint="cs"/>
          <w:rtl/>
        </w:rPr>
        <w:t xml:space="preserve"> كما في سورة الإخلاص</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أحد الله الصمد</w:t>
      </w:r>
      <w:r w:rsidRPr="00A52585">
        <w:rPr>
          <w:rFonts w:hint="cs"/>
          <w:rtl/>
        </w:rPr>
        <w:t>}</w:t>
      </w:r>
      <w:r w:rsidR="00DB731D" w:rsidRPr="00A52585">
        <w:rPr>
          <w:rFonts w:hint="cs"/>
          <w:rtl/>
        </w:rPr>
        <w:t>،</w:t>
      </w:r>
      <w:r w:rsidR="00777DCB" w:rsidRPr="00A52585">
        <w:rPr>
          <w:rFonts w:hint="cs"/>
          <w:rtl/>
        </w:rPr>
        <w:t xml:space="preserve"> وفي خواتيم الحشر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الله</w:t>
      </w:r>
      <w:r w:rsidRPr="00A52585">
        <w:rPr>
          <w:rFonts w:hint="cs"/>
          <w:rtl/>
        </w:rPr>
        <w:t>}</w:t>
      </w:r>
      <w:r w:rsidR="00DB731D" w:rsidRPr="00A52585">
        <w:rPr>
          <w:rFonts w:hint="cs"/>
          <w:rtl/>
        </w:rPr>
        <w:t>،</w:t>
      </w:r>
      <w:r w:rsidR="00777DCB" w:rsidRPr="00A52585">
        <w:rPr>
          <w:rFonts w:hint="cs"/>
          <w:bCs/>
          <w:rtl/>
        </w:rPr>
        <w:t xml:space="preserve"> </w:t>
      </w:r>
      <w:r w:rsidR="00777DCB" w:rsidRPr="00A52585">
        <w:rPr>
          <w:rFonts w:hint="cs"/>
          <w:rtl/>
        </w:rPr>
        <w:t>وهو العلم الأخص على الذات</w:t>
      </w:r>
      <w:r w:rsidRPr="00A52585">
        <w:rPr>
          <w:rFonts w:hint="cs"/>
          <w:rtl/>
        </w:rPr>
        <w:t>:</w:t>
      </w:r>
      <w:r w:rsidR="00777DCB" w:rsidRPr="00A52585">
        <w:rPr>
          <w:rFonts w:hint="cs"/>
          <w:rtl/>
        </w:rPr>
        <w:t xml:space="preserve"> قال سبحانه وتعالى </w:t>
      </w:r>
      <w:r w:rsidRPr="00A52585">
        <w:rPr>
          <w:rFonts w:hint="cs"/>
          <w:rtl/>
        </w:rPr>
        <w:t>{</w:t>
      </w:r>
      <w:r w:rsidR="00777DCB" w:rsidRPr="00A52585">
        <w:rPr>
          <w:rFonts w:hint="cs"/>
          <w:rtl/>
        </w:rPr>
        <w:t>فاعلم أنه لا اله إلا الله</w:t>
      </w:r>
      <w:r w:rsidRPr="00A52585">
        <w:rPr>
          <w:rFonts w:hint="cs"/>
          <w:rtl/>
        </w:rPr>
        <w:t>}</w:t>
      </w:r>
      <w:r w:rsidR="00777DCB" w:rsidRPr="00A52585">
        <w:rPr>
          <w:rFonts w:hint="cs"/>
          <w:rtl/>
        </w:rPr>
        <w:t xml:space="preserve">، وقال الله تعالى </w:t>
      </w:r>
      <w:r w:rsidRPr="00A52585">
        <w:rPr>
          <w:rFonts w:hint="cs"/>
          <w:rtl/>
        </w:rPr>
        <w:t>{</w:t>
      </w:r>
      <w:r w:rsidR="00777DCB" w:rsidRPr="00A52585">
        <w:rPr>
          <w:rFonts w:hint="cs"/>
          <w:rtl/>
        </w:rPr>
        <w:t>قل الله ثم ذرهم في خوضهم يلعبون</w:t>
      </w:r>
      <w:r w:rsidRPr="00A52585">
        <w:rPr>
          <w:rFonts w:hint="cs"/>
          <w:rtl/>
        </w:rPr>
        <w:t>}</w:t>
      </w:r>
      <w:r w:rsidR="00DB731D" w:rsidRPr="00A52585">
        <w:rPr>
          <w:rFonts w:hint="cs"/>
          <w:rtl/>
        </w:rPr>
        <w:t>،</w:t>
      </w:r>
      <w:r w:rsidR="00777DCB" w:rsidRPr="00A52585">
        <w:rPr>
          <w:rFonts w:hint="cs"/>
          <w:rtl/>
        </w:rPr>
        <w:t xml:space="preserve"> وبقية الأسماء تدل على صفات</w:t>
      </w:r>
      <w:r w:rsidR="00DB731D" w:rsidRPr="00A52585">
        <w:rPr>
          <w:rFonts w:hint="cs"/>
          <w:rtl/>
        </w:rPr>
        <w:t>،</w:t>
      </w:r>
      <w:r w:rsidR="00777DCB" w:rsidRPr="00A52585">
        <w:rPr>
          <w:rFonts w:hint="cs"/>
          <w:rtl/>
        </w:rPr>
        <w:t xml:space="preserve"> كالرحمن يدل على صفة الرحمة</w:t>
      </w:r>
      <w:r w:rsidR="00DB731D" w:rsidRPr="00A52585">
        <w:rPr>
          <w:rFonts w:hint="cs"/>
          <w:rtl/>
        </w:rPr>
        <w:t>،</w:t>
      </w:r>
      <w:r w:rsidR="00777DCB" w:rsidRPr="00A52585">
        <w:rPr>
          <w:rFonts w:hint="cs"/>
          <w:rtl/>
        </w:rPr>
        <w:t xml:space="preserve"> والعليم يدل على العلم وهكذا</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eastAsia="Times New Roman" w:hint="cs"/>
          <w:bCs/>
          <w:rtl/>
        </w:rPr>
        <w:t>لَا إِلَهَ إِلَّا هُوَ</w:t>
      </w:r>
      <w:r w:rsidRPr="00A52585">
        <w:rPr>
          <w:rFonts w:eastAsia="Times New Roman" w:hint="cs"/>
          <w:bCs/>
          <w:rtl/>
        </w:rPr>
        <w:t>}</w:t>
      </w:r>
      <w:r w:rsidRPr="00A52585">
        <w:rPr>
          <w:rFonts w:eastAsia="Times New Roman" w:hint="cs"/>
          <w:rtl/>
        </w:rPr>
        <w:t xml:space="preserve">: </w:t>
      </w:r>
      <w:r w:rsidR="00777DCB" w:rsidRPr="00A52585">
        <w:rPr>
          <w:rFonts w:hint="cs"/>
          <w:rtl/>
        </w:rPr>
        <w:t>الجمهور على أنّ اسم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w:t>
      </w:r>
      <w:r w:rsidRPr="00A52585">
        <w:rPr>
          <w:rFonts w:hint="cs"/>
          <w:rtl/>
        </w:rPr>
        <w:t>}</w:t>
      </w:r>
      <w:r w:rsidR="00777DCB" w:rsidRPr="00A52585">
        <w:rPr>
          <w:rFonts w:hint="cs"/>
          <w:rtl/>
        </w:rPr>
        <w:t xml:space="preserve"> مشتق من الإلهية</w:t>
      </w:r>
      <w:r w:rsidR="00DB731D" w:rsidRPr="00A52585">
        <w:rPr>
          <w:rFonts w:hint="cs"/>
          <w:rtl/>
        </w:rPr>
        <w:t>،</w:t>
      </w:r>
      <w:r w:rsidR="00777DCB" w:rsidRPr="00A52585">
        <w:rPr>
          <w:rFonts w:hint="cs"/>
          <w:rtl/>
        </w:rPr>
        <w:t xml:space="preserve"> و</w:t>
      </w:r>
      <w:r w:rsidR="00777DCB" w:rsidRPr="00A52585">
        <w:rPr>
          <w:rFonts w:hint="cs"/>
          <w:rtl/>
          <w:lang w:bidi="ar-KW"/>
        </w:rPr>
        <w:t>ليس هناك في اللغة العربية كلمة تصلح للاعتراف بوجود المعبود الحق المستحق لإفراد العبودية له</w:t>
      </w:r>
      <w:r w:rsidR="00DB731D" w:rsidRPr="00A52585">
        <w:rPr>
          <w:rFonts w:hint="cs"/>
          <w:rtl/>
          <w:lang w:bidi="ar-KW"/>
        </w:rPr>
        <w:t>،</w:t>
      </w:r>
      <w:r w:rsidR="00777DCB" w:rsidRPr="00A52585">
        <w:rPr>
          <w:rFonts w:hint="cs"/>
          <w:rtl/>
          <w:lang w:bidi="ar-KW"/>
        </w:rPr>
        <w:t xml:space="preserve"> والاعتراف بوجود الرب الخالق القادر المدبر المتصرف المهيمن</w:t>
      </w:r>
      <w:r w:rsidR="00DB731D" w:rsidRPr="00A52585">
        <w:rPr>
          <w:rFonts w:hint="cs"/>
          <w:rtl/>
          <w:lang w:bidi="ar-KW"/>
        </w:rPr>
        <w:t>،</w:t>
      </w:r>
      <w:r w:rsidR="00777DCB" w:rsidRPr="00A52585">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sidRPr="00A52585">
        <w:rPr>
          <w:rFonts w:hint="cs"/>
          <w:rtl/>
          <w:lang w:bidi="ar-KW"/>
        </w:rPr>
        <w:t xml:space="preserve"> </w:t>
      </w:r>
      <w:r w:rsidR="00777DCB" w:rsidRPr="00A52585">
        <w:rPr>
          <w:rFonts w:hint="cs"/>
          <w:rtl/>
          <w:lang w:bidi="ar-KW"/>
        </w:rPr>
        <w:t xml:space="preserve">سوى كلمة </w:t>
      </w:r>
      <w:r w:rsidRPr="00A52585">
        <w:rPr>
          <w:rFonts w:hint="cs"/>
          <w:bCs/>
          <w:rtl/>
          <w:lang w:bidi="ar-KW"/>
        </w:rPr>
        <w:t>(</w:t>
      </w:r>
      <w:r w:rsidR="00777DCB" w:rsidRPr="00A52585">
        <w:rPr>
          <w:rFonts w:hint="cs"/>
          <w:bCs/>
          <w:rtl/>
          <w:lang w:bidi="ar-KW"/>
        </w:rPr>
        <w:t>الإله</w:t>
      </w:r>
      <w:r w:rsidRPr="00A52585">
        <w:rPr>
          <w:rFonts w:hint="cs"/>
          <w:bCs/>
          <w:rtl/>
          <w:lang w:bidi="ar-KW"/>
        </w:rPr>
        <w:t>)</w:t>
      </w:r>
      <w:r w:rsidR="00DB731D" w:rsidRPr="00A52585">
        <w:rPr>
          <w:rFonts w:hint="cs"/>
          <w:rtl/>
          <w:lang w:bidi="ar-KW"/>
        </w:rPr>
        <w:t>،</w:t>
      </w:r>
      <w:r w:rsidR="00777DCB" w:rsidRPr="00A52585">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DB731D" w:rsidRPr="00A52585">
        <w:rPr>
          <w:rFonts w:hint="cs"/>
          <w:rtl/>
          <w:lang w:bidi="ar-KW"/>
        </w:rPr>
        <w:t>،</w:t>
      </w:r>
      <w:r w:rsidR="00777DCB" w:rsidRPr="00A52585">
        <w:rPr>
          <w:rFonts w:hint="cs"/>
          <w:rtl/>
          <w:lang w:bidi="ar-KW"/>
        </w:rPr>
        <w:t xml:space="preserve"> سوى كلمة </w:t>
      </w:r>
      <w:r w:rsidRPr="00A52585">
        <w:rPr>
          <w:rFonts w:hint="cs"/>
          <w:rtl/>
          <w:lang w:bidi="ar-KW"/>
        </w:rPr>
        <w:t>(</w:t>
      </w:r>
      <w:r w:rsidR="00777DCB" w:rsidRPr="00A52585">
        <w:rPr>
          <w:rFonts w:hint="cs"/>
          <w:rtl/>
          <w:lang w:bidi="ar-KW"/>
        </w:rPr>
        <w:t>الإله</w:t>
      </w:r>
      <w:r w:rsidRPr="00A52585">
        <w:rPr>
          <w:rFonts w:hint="cs"/>
          <w:rtl/>
          <w:lang w:bidi="ar-KW"/>
        </w:rPr>
        <w:t>)</w:t>
      </w:r>
      <w:r w:rsidR="00DB731D" w:rsidRPr="00A52585">
        <w:rPr>
          <w:rFonts w:hint="cs"/>
          <w:rtl/>
          <w:lang w:bidi="ar-KW"/>
        </w:rPr>
        <w:t>،</w:t>
      </w:r>
      <w:r w:rsidR="00777DCB" w:rsidRPr="00A52585">
        <w:rPr>
          <w:rFonts w:hint="cs"/>
          <w:rtl/>
          <w:lang w:bidi="ar-KW"/>
        </w:rPr>
        <w:t xml:space="preserve"> ولهذا ما كان يصلح لشهادة التوحيد وما كان يجزئ عن شهادة الموحد </w:t>
      </w:r>
      <w:r w:rsidRPr="00A52585">
        <w:rPr>
          <w:rFonts w:hint="cs"/>
          <w:rtl/>
          <w:lang w:bidi="ar-KW"/>
        </w:rPr>
        <w:t>(</w:t>
      </w:r>
      <w:r w:rsidR="00777DCB" w:rsidRPr="00A52585">
        <w:rPr>
          <w:rFonts w:hint="cs"/>
          <w:rtl/>
          <w:lang w:bidi="ar-KW"/>
        </w:rPr>
        <w:t>لا إله إلا الله</w:t>
      </w:r>
      <w:r w:rsidRPr="00A52585">
        <w:rPr>
          <w:rFonts w:hint="cs"/>
          <w:rtl/>
          <w:lang w:bidi="ar-KW"/>
        </w:rPr>
        <w:t>)</w:t>
      </w:r>
      <w:r w:rsidR="00777DCB" w:rsidRPr="00A52585">
        <w:rPr>
          <w:rFonts w:hint="cs"/>
          <w:rtl/>
          <w:lang w:bidi="ar-KW"/>
        </w:rPr>
        <w:t xml:space="preserve"> شيء سواها</w:t>
      </w:r>
      <w:r w:rsidR="00DB731D" w:rsidRPr="00A52585">
        <w:rPr>
          <w:rFonts w:hint="cs"/>
          <w:rtl/>
          <w:lang w:bidi="ar-KW"/>
        </w:rPr>
        <w:t>،</w:t>
      </w:r>
      <w:r w:rsidR="00777DCB" w:rsidRPr="00A52585">
        <w:rPr>
          <w:rFonts w:hint="cs"/>
          <w:rtl/>
          <w:lang w:bidi="ar-KW"/>
        </w:rPr>
        <w:t xml:space="preserve"> وهي الشهادة الجامعة لتوحيد الذات والأسماء والصفات والأفعال والربوبية والعبودية</w:t>
      </w:r>
      <w:r w:rsidR="00DB731D" w:rsidRPr="00A52585">
        <w:rPr>
          <w:rFonts w:hint="cs"/>
          <w:rtl/>
          <w:lang w:bidi="ar-KW"/>
        </w:rPr>
        <w:t>،</w:t>
      </w:r>
      <w:r w:rsidR="00777DCB" w:rsidRPr="00A52585">
        <w:rPr>
          <w:rFonts w:hint="cs"/>
          <w:rtl/>
          <w:lang w:bidi="ar-KW"/>
        </w:rPr>
        <w:t xml:space="preserve"> ومنه نعلم أنّ علم توحيد الذات - وهو المسمى علم التقديس والتنزيه - داخل في علوم شهادة التوحيد (</w:t>
      </w:r>
      <w:r w:rsidR="00777DCB" w:rsidRPr="00A52585">
        <w:rPr>
          <w:rFonts w:eastAsia="Times New Roman" w:hint="cs"/>
          <w:rtl/>
        </w:rPr>
        <w:t>لَا إِلَهَ إِلَّا الله</w:t>
      </w:r>
      <w:r w:rsidRPr="00A52585">
        <w:rPr>
          <w:rFonts w:eastAsia="Times New Roman" w:hint="cs"/>
          <w:rtl/>
        </w:rPr>
        <w:t>)</w:t>
      </w:r>
      <w:r w:rsidR="00777DCB" w:rsidRPr="00A52585">
        <w:rPr>
          <w:rFonts w:eastAsia="Times New Roman" w:hint="cs"/>
          <w:rtl/>
        </w:rPr>
        <w:t xml:space="preserve"> وهو أهم علومها لأنّه العلم المتعلق بأصل التوحيد توحيد الذات</w:t>
      </w:r>
      <w:r w:rsidR="00DB731D" w:rsidRPr="00A52585">
        <w:rPr>
          <w:rFonts w:eastAsia="Times New Roman" w:hint="cs"/>
          <w:rtl/>
        </w:rPr>
        <w:t>،</w:t>
      </w:r>
      <w:r w:rsidRPr="00A52585">
        <w:rPr>
          <w:rFonts w:hint="cs"/>
          <w:rtl/>
          <w:lang w:bidi="ar-KW"/>
        </w:rPr>
        <w:t xml:space="preserve"> </w:t>
      </w:r>
      <w:r w:rsidRPr="00A52585">
        <w:rPr>
          <w:rFonts w:hint="cs"/>
          <w:bCs/>
          <w:rtl/>
        </w:rPr>
        <w:t>{</w:t>
      </w:r>
      <w:r w:rsidR="00777DCB" w:rsidRPr="00A52585">
        <w:rPr>
          <w:rFonts w:hint="cs"/>
          <w:bCs/>
          <w:rtl/>
        </w:rPr>
        <w:t>الْحَيُّ الْقَيُّومُ</w:t>
      </w:r>
      <w:r w:rsidRPr="00A52585">
        <w:rPr>
          <w:rFonts w:hint="cs"/>
          <w:bCs/>
          <w:rtl/>
        </w:rPr>
        <w:t>}</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ال</w:t>
      </w:r>
      <w:r w:rsidR="00777DCB" w:rsidRPr="00A52585">
        <w:rPr>
          <w:rFonts w:hint="cs"/>
          <w:bCs/>
          <w:rtl/>
          <w:lang w:bidi="ar-QA"/>
        </w:rPr>
        <w:t>حي</w:t>
      </w:r>
      <w:r w:rsidRPr="00A52585">
        <w:rPr>
          <w:rFonts w:hint="cs"/>
          <w:bCs/>
          <w:rtl/>
          <w:lang w:bidi="ar-QA"/>
        </w:rPr>
        <w:t>}</w:t>
      </w:r>
      <w:r w:rsidR="00777DCB" w:rsidRPr="00A52585">
        <w:rPr>
          <w:rFonts w:hint="cs"/>
          <w:rtl/>
        </w:rPr>
        <w:t xml:space="preserve"> سبحانه هو الحي قبل كل </w:t>
      </w:r>
      <w:r w:rsidR="00777DCB" w:rsidRPr="00A52585">
        <w:rPr>
          <w:rFonts w:hint="cs"/>
          <w:rtl/>
          <w:lang w:bidi="ar-QA"/>
        </w:rPr>
        <w:t xml:space="preserve">حي وهو الحي </w:t>
      </w:r>
      <w:r w:rsidR="00777DCB" w:rsidRPr="00A52585">
        <w:rPr>
          <w:rFonts w:hint="cs"/>
          <w:rtl/>
        </w:rPr>
        <w:t>الذي لا يموت</w:t>
      </w:r>
      <w:r w:rsidR="00DB731D" w:rsidRPr="00A52585">
        <w:rPr>
          <w:rFonts w:hint="cs"/>
          <w:rtl/>
        </w:rPr>
        <w:t>،</w:t>
      </w:r>
      <w:r w:rsidR="00777DCB" w:rsidRPr="00A52585">
        <w:rPr>
          <w:rFonts w:hint="cs"/>
          <w:rtl/>
        </w:rPr>
        <w:t xml:space="preserve"> وهو الحي بعد كل ميت</w:t>
      </w:r>
      <w:r w:rsidR="00DB731D" w:rsidRPr="00A52585">
        <w:rPr>
          <w:rFonts w:hint="cs"/>
          <w:rtl/>
        </w:rPr>
        <w:t>،</w:t>
      </w:r>
      <w:r w:rsidR="00777DCB" w:rsidRPr="00A52585">
        <w:rPr>
          <w:rFonts w:hint="cs"/>
          <w:rtl/>
        </w:rPr>
        <w:t xml:space="preserve"> له سبحانه كمال الحياة</w:t>
      </w:r>
      <w:r w:rsidR="00DB731D" w:rsidRPr="00A52585">
        <w:rPr>
          <w:rFonts w:hint="cs"/>
          <w:rtl/>
        </w:rPr>
        <w:t>،</w:t>
      </w:r>
      <w:r w:rsidR="00777DCB" w:rsidRPr="00A52585">
        <w:rPr>
          <w:rFonts w:hint="cs"/>
          <w:rtl/>
        </w:rPr>
        <w:t xml:space="preserve"> حياةً أزليةً أبديةً</w:t>
      </w:r>
      <w:r w:rsidR="00DB731D" w:rsidRPr="00A52585">
        <w:rPr>
          <w:rFonts w:hint="cs"/>
          <w:rtl/>
        </w:rPr>
        <w:t>،</w:t>
      </w:r>
      <w:r w:rsidR="00777DCB" w:rsidRPr="00A52585">
        <w:rPr>
          <w:rFonts w:hint="cs"/>
          <w:rtl/>
        </w:rPr>
        <w:t xml:space="preserve"> لم يسبقها عدم وليس بعدها فناء</w:t>
      </w:r>
      <w:r w:rsidR="00DB731D" w:rsidRPr="00A52585">
        <w:rPr>
          <w:rFonts w:hint="cs"/>
          <w:rtl/>
        </w:rPr>
        <w:t>،</w:t>
      </w:r>
      <w:r w:rsidR="00777DCB" w:rsidRPr="00A52585">
        <w:rPr>
          <w:rFonts w:hint="cs"/>
          <w:rtl/>
        </w:rPr>
        <w:t xml:space="preserve"> كمال الحياة المستلزم </w:t>
      </w:r>
      <w:r w:rsidR="00777DCB" w:rsidRPr="00A52585">
        <w:rPr>
          <w:rFonts w:hint="cs"/>
          <w:rtl/>
          <w:lang w:bidi="ar-EG"/>
        </w:rPr>
        <w:t>لكمال الصِّفات من العلم والقدرة والسَّمْع والبَصَر والكلام وغيرها من صفات الله العلا</w:t>
      </w:r>
      <w:r w:rsidR="00DB731D" w:rsidRPr="00A52585">
        <w:rPr>
          <w:rFonts w:hint="cs"/>
          <w:rtl/>
          <w:lang w:bidi="ar-EG"/>
        </w:rPr>
        <w:t>،</w:t>
      </w:r>
      <w:r w:rsidR="00777DCB" w:rsidRPr="00A52585">
        <w:rPr>
          <w:rFonts w:hint="cs"/>
          <w:rtl/>
          <w:lang w:bidi="ar-EG"/>
        </w:rPr>
        <w:t xml:space="preserve"> والحياة المستلزمة لكمال الأفعال من الخلق والرزق والإحياء والإماتة</w:t>
      </w:r>
      <w:r w:rsidR="00DB731D" w:rsidRPr="00A52585">
        <w:rPr>
          <w:rFonts w:hint="cs"/>
          <w:rtl/>
          <w:lang w:bidi="ar-EG"/>
        </w:rPr>
        <w:t>،</w:t>
      </w:r>
      <w:r w:rsidR="00777DCB" w:rsidRPr="00A52585">
        <w:rPr>
          <w:rFonts w:hint="cs"/>
          <w:rtl/>
          <w:lang w:bidi="ar-EG"/>
        </w:rPr>
        <w:t xml:space="preserve"> </w:t>
      </w:r>
      <w:r w:rsidR="00777DCB" w:rsidRPr="00A52585">
        <w:rPr>
          <w:rFonts w:hint="cs"/>
          <w:rtl/>
        </w:rPr>
        <w:t>فالحي الكامل المطلق هو الله يندرج تحت إدراكه جميع المدركات ويندرج تحت فعله جميع الموجودات لا يشذ عن علمه مدرك ولا عن فعله مفعول</w:t>
      </w:r>
      <w:r w:rsidR="00DB731D" w:rsidRPr="00A52585">
        <w:rPr>
          <w:rFonts w:hint="cs"/>
          <w:rtl/>
        </w:rPr>
        <w:t>،</w:t>
      </w:r>
      <w:r w:rsidR="00777DCB" w:rsidRPr="00A52585">
        <w:rPr>
          <w:rFonts w:hint="cs"/>
          <w:rtl/>
        </w:rPr>
        <w:t xml:space="preserve"> وكل حي سواه فحياته بقدر ما منّ عليه الحي المطلق سبحانه من علامات الإدراك والفعل</w:t>
      </w:r>
      <w:r w:rsidR="00DB731D" w:rsidRPr="00A52585">
        <w:rPr>
          <w:rFonts w:hint="cs"/>
          <w:rtl/>
        </w:rPr>
        <w:t>،</w:t>
      </w:r>
      <w:r w:rsidR="00777DCB" w:rsidRPr="00A52585">
        <w:rPr>
          <w:rFonts w:hint="cs"/>
          <w:rtl/>
        </w:rPr>
        <w:t xml:space="preserve"> حياته سبحانه تامة كاملة منزهة عن السنة والنوم والموت والفناء</w:t>
      </w:r>
      <w:r w:rsidR="00DB731D" w:rsidRPr="00A52585">
        <w:rPr>
          <w:rFonts w:hint="cs"/>
          <w:rtl/>
        </w:rPr>
        <w:t>،</w:t>
      </w:r>
      <w:r w:rsidR="00777DCB" w:rsidRPr="00A52585">
        <w:rPr>
          <w:rFonts w:hint="cs"/>
          <w:rtl/>
        </w:rPr>
        <w:t xml:space="preserve"> كما قال تعالى في هذه الآية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 لَا تَأْخُذُهُ سِنَةٌ وَلَا نَوْمٌ لَهُ مَا فِي السَّمَوَاتِ وَمَا فِي الْأَرْضِ</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 xml:space="preserve">: </w:t>
      </w:r>
      <w:r w:rsidR="00777DCB" w:rsidRPr="00A52585">
        <w:rPr>
          <w:rFonts w:hint="cs"/>
          <w:rtl/>
        </w:rPr>
        <w:t>255</w:t>
      </w:r>
      <w:r w:rsidRPr="00A52585">
        <w:rPr>
          <w:rFonts w:hint="cs"/>
          <w:rtl/>
        </w:rPr>
        <w:t>]</w:t>
      </w:r>
      <w:r w:rsidR="00DB731D" w:rsidRPr="00A52585">
        <w:rPr>
          <w:rFonts w:hint="cs"/>
          <w:rtl/>
        </w:rPr>
        <w:t>،</w:t>
      </w:r>
      <w:r w:rsidR="00777DCB" w:rsidRPr="00A52585">
        <w:rPr>
          <w:rFonts w:hint="cs"/>
          <w:rtl/>
        </w:rPr>
        <w:t xml:space="preserve"> وكما قال في سورة الفرقان</w:t>
      </w:r>
      <w:r w:rsidRPr="00A52585">
        <w:rPr>
          <w:rFonts w:hint="cs"/>
          <w:rtl/>
        </w:rPr>
        <w:t>:</w:t>
      </w:r>
      <w:r w:rsidR="00777DCB" w:rsidRPr="00A52585">
        <w:rPr>
          <w:rFonts w:hint="cs"/>
          <w:rtl/>
        </w:rPr>
        <w:t xml:space="preserve"> </w:t>
      </w:r>
      <w:r w:rsidRPr="00A52585">
        <w:rPr>
          <w:rFonts w:hint="cs"/>
          <w:rtl/>
          <w:lang w:bidi="ar-EG"/>
        </w:rPr>
        <w:t>{</w:t>
      </w:r>
      <w:r w:rsidR="00777DCB" w:rsidRPr="00A52585">
        <w:rPr>
          <w:rFonts w:hint="cs"/>
          <w:rtl/>
        </w:rPr>
        <w:t>وَتَوَكَّلْ عَلَى الْحَيِّ الَّذِي لَا يَمُوتُ وَسَبِّحْ بِحَمْدِهِ</w:t>
      </w:r>
      <w:r w:rsidRPr="00A52585">
        <w:rPr>
          <w:rFonts w:hint="cs"/>
          <w:rtl/>
        </w:rPr>
        <w:t>}</w:t>
      </w:r>
      <w:r w:rsidR="00777DCB" w:rsidRPr="00A52585">
        <w:rPr>
          <w:rFonts w:hint="cs"/>
          <w:rtl/>
        </w:rPr>
        <w:t xml:space="preserve"> </w:t>
      </w:r>
      <w:r w:rsidR="00777DCB" w:rsidRPr="00A52585">
        <w:rPr>
          <w:rFonts w:hint="cs"/>
          <w:rtl/>
          <w:lang w:bidi="ar-EG"/>
        </w:rPr>
        <w:t>[الفرقان: 58]</w:t>
      </w:r>
      <w:r w:rsidR="00DB731D" w:rsidRPr="00A52585">
        <w:rPr>
          <w:rFonts w:hint="cs"/>
          <w:rtl/>
          <w:lang w:bidi="ar-EG"/>
        </w:rPr>
        <w:t>،</w:t>
      </w:r>
      <w:r w:rsidR="00777DCB" w:rsidRPr="00A52585">
        <w:rPr>
          <w:rFonts w:hint="cs"/>
          <w:rtl/>
          <w:lang w:bidi="ar-EG"/>
        </w:rPr>
        <w:t xml:space="preserve"> </w:t>
      </w:r>
      <w:r w:rsidR="00777DCB" w:rsidRPr="00A52585">
        <w:rPr>
          <w:rFonts w:hint="cs"/>
          <w:rtl/>
        </w:rPr>
        <w:t xml:space="preserve">و </w:t>
      </w:r>
      <w:r w:rsidRPr="00A52585">
        <w:rPr>
          <w:rFonts w:hint="cs"/>
          <w:bCs/>
          <w:rtl/>
        </w:rPr>
        <w:t>{</w:t>
      </w:r>
      <w:r w:rsidR="00777DCB" w:rsidRPr="00A52585">
        <w:rPr>
          <w:rFonts w:hint="cs"/>
          <w:bCs/>
          <w:rtl/>
        </w:rPr>
        <w:t>القيوم</w:t>
      </w:r>
      <w:r w:rsidRPr="00A52585">
        <w:rPr>
          <w:rFonts w:hint="cs"/>
          <w:bCs/>
          <w:rtl/>
        </w:rPr>
        <w:t>}</w:t>
      </w:r>
      <w:r w:rsidR="00777DCB" w:rsidRPr="00A52585">
        <w:rPr>
          <w:rFonts w:hint="cs"/>
          <w:rtl/>
        </w:rPr>
        <w:t xml:space="preserve"> هو </w:t>
      </w:r>
      <w:r w:rsidR="00777DCB" w:rsidRPr="00A52585">
        <w:rPr>
          <w:rFonts w:hint="cs"/>
          <w:rtl/>
          <w:lang w:bidi="ar-EG"/>
        </w:rPr>
        <w:t>القائمُ بنفسه المقيمُ لغيره المستغني عن كل ما سواه من جميع مخلوقاته</w:t>
      </w:r>
      <w:r w:rsidR="00DB731D" w:rsidRPr="00A52585">
        <w:rPr>
          <w:rFonts w:hint="cs"/>
          <w:rtl/>
          <w:lang w:bidi="ar-EG"/>
        </w:rPr>
        <w:t>،</w:t>
      </w:r>
      <w:r w:rsidR="00777DCB" w:rsidRPr="00A52585">
        <w:rPr>
          <w:rFonts w:hint="cs"/>
          <w:rtl/>
          <w:lang w:bidi="ar-EG"/>
        </w:rPr>
        <w:t xml:space="preserve"> و </w:t>
      </w:r>
      <w:r w:rsidRPr="00A52585">
        <w:rPr>
          <w:rFonts w:hint="cs"/>
          <w:rtl/>
          <w:lang w:bidi="ar-EG"/>
        </w:rPr>
        <w:t>(</w:t>
      </w:r>
      <w:r w:rsidR="00777DCB" w:rsidRPr="00A52585">
        <w:rPr>
          <w:rFonts w:hint="cs"/>
          <w:rtl/>
          <w:lang w:bidi="ar-EG"/>
        </w:rPr>
        <w:t>القيوم</w:t>
      </w:r>
      <w:r w:rsidRPr="00A52585">
        <w:rPr>
          <w:rFonts w:hint="cs"/>
          <w:rtl/>
          <w:lang w:bidi="ar-EG"/>
        </w:rPr>
        <w:t>)</w:t>
      </w:r>
      <w:r w:rsidR="00777DCB" w:rsidRPr="00A52585">
        <w:rPr>
          <w:rFonts w:hint="cs"/>
          <w:rtl/>
          <w:lang w:bidi="ar-EG"/>
        </w:rPr>
        <w:t xml:space="preserve"> هو الذي قامت به السماوات والأرض وما فيهما من المخلوقات</w:t>
      </w:r>
      <w:r w:rsidR="00DB731D" w:rsidRPr="00A52585">
        <w:rPr>
          <w:rFonts w:hint="cs"/>
          <w:rtl/>
          <w:lang w:bidi="ar-EG"/>
        </w:rPr>
        <w:t>،</w:t>
      </w:r>
      <w:r w:rsidR="00777DCB" w:rsidRPr="00A52585">
        <w:rPr>
          <w:rFonts w:hint="cs"/>
          <w:rtl/>
          <w:lang w:bidi="ar-EG"/>
        </w:rPr>
        <w:t xml:space="preserve"> </w:t>
      </w:r>
      <w:r w:rsidR="00777DCB" w:rsidRPr="00A52585">
        <w:rPr>
          <w:rFonts w:hint="cs"/>
          <w:rtl/>
          <w:lang w:bidi="ar-EG"/>
        </w:rPr>
        <w:lastRenderedPageBreak/>
        <w:t>يحتاجون إليه وهو الغني عنهم</w:t>
      </w:r>
      <w:r w:rsidR="00DB731D" w:rsidRPr="00A52585">
        <w:rPr>
          <w:rFonts w:hint="cs"/>
          <w:rtl/>
          <w:lang w:bidi="ar-EG"/>
        </w:rPr>
        <w:t>،</w:t>
      </w:r>
      <w:r w:rsidR="00777DCB" w:rsidRPr="00A52585">
        <w:rPr>
          <w:rFonts w:hint="cs"/>
          <w:rtl/>
          <w:lang w:bidi="ar-EG"/>
        </w:rPr>
        <w:t xml:space="preserve"> و </w:t>
      </w:r>
      <w:r w:rsidRPr="00A52585">
        <w:rPr>
          <w:rFonts w:hint="cs"/>
          <w:rtl/>
          <w:lang w:bidi="ar-EG"/>
        </w:rPr>
        <w:t>(</w:t>
      </w:r>
      <w:r w:rsidR="00777DCB" w:rsidRPr="00A52585">
        <w:rPr>
          <w:rFonts w:hint="cs"/>
          <w:rtl/>
          <w:lang w:bidi="ar-EG"/>
        </w:rPr>
        <w:t>القيوم</w:t>
      </w:r>
      <w:r w:rsidRPr="00A52585">
        <w:rPr>
          <w:rFonts w:hint="cs"/>
          <w:rtl/>
          <w:lang w:bidi="ar-EG"/>
        </w:rPr>
        <w:t>)</w:t>
      </w:r>
      <w:r w:rsidR="00777DCB" w:rsidRPr="00A52585">
        <w:rPr>
          <w:rFonts w:hint="cs"/>
          <w:rtl/>
          <w:lang w:bidi="ar-EG"/>
        </w:rPr>
        <w:t xml:space="preserve"> هو القائم على كل نفس يدبر أمرها ويحفظها ويحاسبها ويجازيها</w:t>
      </w:r>
      <w:r w:rsidR="00DB731D" w:rsidRPr="00A52585">
        <w:rPr>
          <w:rFonts w:hint="cs"/>
          <w:rtl/>
          <w:lang w:bidi="ar-EG"/>
        </w:rPr>
        <w:t>،</w:t>
      </w:r>
      <w:r w:rsidR="00777DCB" w:rsidRPr="00A52585">
        <w:rPr>
          <w:rFonts w:hint="cs"/>
          <w:rtl/>
          <w:lang w:bidi="ar-EG"/>
        </w:rPr>
        <w:t xml:space="preserve"> كما في قوله تعالى</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rPr>
        <w:t>أَفَمَنْ هُوَ قَائِمٌ عَلَى كُلِّ نَفْسٍ بِمَا كَسَبَتْ}</w:t>
      </w:r>
      <w:r w:rsidR="00777DCB" w:rsidRPr="00A52585">
        <w:rPr>
          <w:rFonts w:hint="cs"/>
          <w:rtl/>
          <w:lang w:bidi="ar-EG"/>
        </w:rPr>
        <w:t xml:space="preserve"> </w:t>
      </w:r>
      <w:r w:rsidRPr="00A52585">
        <w:rPr>
          <w:rFonts w:hint="cs"/>
          <w:rtl/>
          <w:lang w:bidi="ar-EG"/>
        </w:rPr>
        <w:t>[</w:t>
      </w:r>
      <w:r w:rsidR="00777DCB" w:rsidRPr="00A52585">
        <w:rPr>
          <w:rFonts w:hint="cs"/>
          <w:rtl/>
          <w:lang w:bidi="ar-EG"/>
        </w:rPr>
        <w:t>الرعد</w:t>
      </w:r>
      <w:r w:rsidRPr="00A52585">
        <w:rPr>
          <w:rFonts w:hint="cs"/>
          <w:rtl/>
          <w:lang w:bidi="ar-EG"/>
        </w:rPr>
        <w:t>:</w:t>
      </w:r>
      <w:r w:rsidR="00777DCB" w:rsidRPr="00A52585">
        <w:rPr>
          <w:rFonts w:hint="cs"/>
          <w:rtl/>
          <w:lang w:bidi="ar-EG"/>
        </w:rPr>
        <w:t xml:space="preserve"> 33]</w:t>
      </w:r>
      <w:r w:rsidR="00DB731D" w:rsidRPr="00A52585">
        <w:rPr>
          <w:rFonts w:hint="cs"/>
          <w:rtl/>
          <w:lang w:bidi="ar-EG"/>
        </w:rPr>
        <w:t>،</w:t>
      </w:r>
      <w:r w:rsidR="00777DCB" w:rsidRPr="00A52585">
        <w:rPr>
          <w:rFonts w:hint="cs"/>
          <w:rtl/>
          <w:lang w:bidi="ar-EG"/>
        </w:rPr>
        <w:t xml:space="preserve"> و </w:t>
      </w:r>
      <w:r w:rsidRPr="00A52585">
        <w:rPr>
          <w:rFonts w:hint="cs"/>
          <w:rtl/>
          <w:lang w:bidi="ar-EG"/>
        </w:rPr>
        <w:t>(</w:t>
      </w:r>
      <w:r w:rsidR="00777DCB" w:rsidRPr="00A52585">
        <w:rPr>
          <w:rFonts w:hint="cs"/>
          <w:rtl/>
          <w:lang w:bidi="ar-EG"/>
        </w:rPr>
        <w:t>القيوم</w:t>
      </w:r>
      <w:r w:rsidRPr="00A52585">
        <w:rPr>
          <w:rFonts w:hint="cs"/>
          <w:rtl/>
          <w:lang w:bidi="ar-EG"/>
        </w:rPr>
        <w:t>)</w:t>
      </w:r>
      <w:r w:rsidR="00777DCB" w:rsidRPr="00A52585">
        <w:rPr>
          <w:rFonts w:hint="cs"/>
          <w:rtl/>
          <w:lang w:bidi="ar-EG"/>
        </w:rPr>
        <w:t xml:space="preserve"> </w:t>
      </w:r>
      <w:r w:rsidR="00777DCB" w:rsidRPr="00A52585">
        <w:rPr>
          <w:rFonts w:hint="cs"/>
          <w:rtl/>
        </w:rPr>
        <w:t>مبالغة في القيام بحاجات خلقه</w:t>
      </w:r>
      <w:r w:rsidR="00DB731D" w:rsidRPr="00A52585">
        <w:rPr>
          <w:rFonts w:hint="cs"/>
          <w:rtl/>
        </w:rPr>
        <w:t>،</w:t>
      </w:r>
      <w:r w:rsidRPr="00A52585">
        <w:rPr>
          <w:rFonts w:hint="cs"/>
          <w:rtl/>
        </w:rPr>
        <w:t xml:space="preserve"> </w:t>
      </w:r>
      <w:r w:rsidR="00777DCB" w:rsidRPr="00A52585">
        <w:rPr>
          <w:rFonts w:hint="cs"/>
          <w:rtl/>
        </w:rPr>
        <w:t>غنيٌ عن كل ما سواه</w:t>
      </w:r>
      <w:r w:rsidR="00DB731D" w:rsidRPr="00A52585">
        <w:rPr>
          <w:rFonts w:hint="cs"/>
          <w:rtl/>
        </w:rPr>
        <w:t>،</w:t>
      </w:r>
      <w:r w:rsidR="00777DCB" w:rsidRPr="00A52585">
        <w:rPr>
          <w:rFonts w:hint="cs"/>
          <w:rtl/>
        </w:rPr>
        <w:t xml:space="preserve"> قيوم لغيره</w:t>
      </w:r>
      <w:r w:rsidR="00DB731D" w:rsidRPr="00A52585">
        <w:rPr>
          <w:rFonts w:hint="cs"/>
          <w:rtl/>
        </w:rPr>
        <w:t>،</w:t>
      </w:r>
      <w:r w:rsidR="00777DCB" w:rsidRPr="00A52585">
        <w:rPr>
          <w:rFonts w:hint="cs"/>
          <w:rtl/>
        </w:rPr>
        <w:t xml:space="preserve"> وكل ما سواه فقير محتاج إليه في كل شيء</w:t>
      </w:r>
      <w:r w:rsidR="00DB731D" w:rsidRPr="00A52585">
        <w:rPr>
          <w:rFonts w:hint="cs"/>
          <w:rtl/>
        </w:rPr>
        <w:t>،</w:t>
      </w:r>
      <w:r w:rsidR="00777DCB" w:rsidRPr="00A52585">
        <w:rPr>
          <w:rFonts w:hint="cs"/>
          <w:rtl/>
        </w:rPr>
        <w:t xml:space="preserve"> في وجوده</w:t>
      </w:r>
      <w:r w:rsidR="00DB731D" w:rsidRPr="00A52585">
        <w:rPr>
          <w:rFonts w:hint="cs"/>
          <w:rtl/>
        </w:rPr>
        <w:t>،</w:t>
      </w:r>
      <w:r w:rsidR="00777DCB" w:rsidRPr="00A52585">
        <w:rPr>
          <w:rFonts w:hint="cs"/>
          <w:rtl/>
        </w:rPr>
        <w:t xml:space="preserve"> وفي حياته</w:t>
      </w:r>
      <w:r w:rsidR="00DB731D" w:rsidRPr="00A52585">
        <w:rPr>
          <w:rFonts w:hint="cs"/>
          <w:rtl/>
        </w:rPr>
        <w:t>،</w:t>
      </w:r>
      <w:r w:rsidR="00777DCB" w:rsidRPr="00A52585">
        <w:rPr>
          <w:rFonts w:hint="cs"/>
          <w:rtl/>
        </w:rPr>
        <w:t xml:space="preserve"> إذ هو القيوم على جميع من سواه</w:t>
      </w:r>
      <w:r w:rsidR="00DB731D" w:rsidRPr="00A52585">
        <w:rPr>
          <w:rFonts w:hint="cs"/>
          <w:rtl/>
        </w:rPr>
        <w:t>،</w:t>
      </w:r>
      <w:r w:rsidR="00777DCB" w:rsidRPr="00A52585">
        <w:rPr>
          <w:rFonts w:hint="cs"/>
          <w:rtl/>
        </w:rPr>
        <w:t xml:space="preserve"> وكل موجود سواه فهو من خلقه محتاج إليه</w:t>
      </w:r>
      <w:r w:rsidR="00DB731D" w:rsidRPr="00A52585">
        <w:rPr>
          <w:rFonts w:hint="cs"/>
          <w:rtl/>
        </w:rPr>
        <w:t>،</w:t>
      </w:r>
      <w:r w:rsidR="00777DCB" w:rsidRPr="00A52585">
        <w:rPr>
          <w:rFonts w:hint="cs"/>
          <w:rtl/>
        </w:rPr>
        <w:t xml:space="preserve"> والكل محفوف بعنايته ومحفوظ بحفظه</w:t>
      </w:r>
      <w:r w:rsidR="00DB731D" w:rsidRPr="00A52585">
        <w:rPr>
          <w:rFonts w:hint="cs"/>
          <w:rtl/>
        </w:rPr>
        <w:t>،</w:t>
      </w:r>
      <w:r w:rsidR="00777DCB" w:rsidRPr="00A52585">
        <w:rPr>
          <w:rFonts w:hint="cs"/>
          <w:rtl/>
        </w:rPr>
        <w:t xml:space="preserve"> والقيوم الذي يقوم على حاجة كل مخلوق بما فيها من السموات والأرض والعرش العظيم</w:t>
      </w:r>
      <w:r w:rsidR="00DB731D" w:rsidRPr="00A52585">
        <w:rPr>
          <w:rFonts w:hint="cs"/>
          <w:rtl/>
        </w:rPr>
        <w:t>،</w:t>
      </w:r>
      <w:r w:rsidR="00777DCB" w:rsidRPr="00A52585">
        <w:rPr>
          <w:rFonts w:hint="cs"/>
          <w:rtl/>
        </w:rPr>
        <w:t xml:space="preserve"> وهو مستغنٍ عنها</w:t>
      </w:r>
      <w:r w:rsidR="00DB731D" w:rsidRPr="00A52585">
        <w:rPr>
          <w:rFonts w:hint="cs"/>
          <w:rtl/>
        </w:rPr>
        <w:t>،</w:t>
      </w:r>
      <w:r w:rsidR="00777DCB" w:rsidRPr="00A52585">
        <w:rPr>
          <w:rFonts w:hint="cs"/>
          <w:rtl/>
        </w:rPr>
        <w:t xml:space="preserve"> رب كل شيء وهو رب العرش العظيم</w:t>
      </w:r>
      <w:r w:rsidR="00DB731D" w:rsidRPr="00A52585">
        <w:rPr>
          <w:rFonts w:hint="cs"/>
          <w:rtl/>
        </w:rPr>
        <w:t>،</w:t>
      </w:r>
      <w:r w:rsidR="00777DCB" w:rsidRPr="00A52585">
        <w:rPr>
          <w:rFonts w:hint="cs"/>
          <w:rtl/>
        </w:rPr>
        <w:t xml:space="preserve"> يظن الجهلاء بما لله تعالى من حقوق التقديس</w:t>
      </w:r>
      <w:r w:rsidR="00DB731D" w:rsidRPr="00A52585">
        <w:rPr>
          <w:rFonts w:hint="cs"/>
          <w:rtl/>
        </w:rPr>
        <w:t>،</w:t>
      </w:r>
      <w:r w:rsidR="00777DCB" w:rsidRPr="00A52585">
        <w:rPr>
          <w:rFonts w:hint="cs"/>
          <w:rtl/>
        </w:rPr>
        <w:t xml:space="preserve"> أنّ الاستواء معناه الجلوس على العرش وأنّ العرش يحمله - سبحانه - وأنّ للعرش أطيط من ثقل الرحمن</w:t>
      </w:r>
      <w:r w:rsidR="00DB731D" w:rsidRPr="00A52585">
        <w:rPr>
          <w:rFonts w:hint="cs"/>
          <w:rtl/>
        </w:rPr>
        <w:t>،</w:t>
      </w:r>
      <w:r w:rsidR="00777DCB" w:rsidRPr="00A52585">
        <w:rPr>
          <w:rFonts w:hint="cs"/>
          <w:rtl/>
        </w:rPr>
        <w:t xml:space="preserve"> وهذا جهل عظيم بما لله من حقوق التقديس</w:t>
      </w:r>
      <w:r w:rsidR="00DB731D" w:rsidRPr="00A52585">
        <w:rPr>
          <w:rFonts w:hint="cs"/>
          <w:rtl/>
        </w:rPr>
        <w:t>،</w:t>
      </w:r>
      <w:r w:rsidR="00777DCB" w:rsidRPr="00A52585">
        <w:rPr>
          <w:rFonts w:hint="cs"/>
          <w:rtl/>
        </w:rPr>
        <w:t xml:space="preserve"> فإن القيوم له كمال الغنى</w:t>
      </w:r>
      <w:r w:rsidR="00DB731D" w:rsidRPr="00A52585">
        <w:rPr>
          <w:rFonts w:hint="cs"/>
          <w:rtl/>
        </w:rPr>
        <w:t>،</w:t>
      </w:r>
      <w:r w:rsidR="00777DCB" w:rsidRPr="00A52585">
        <w:rPr>
          <w:rFonts w:hint="cs"/>
          <w:rtl/>
        </w:rPr>
        <w:t xml:space="preserve"> لا يحتاج إلى شيء يحمله</w:t>
      </w:r>
      <w:r w:rsidR="00DB731D" w:rsidRPr="00A52585">
        <w:rPr>
          <w:rFonts w:hint="cs"/>
          <w:rtl/>
        </w:rPr>
        <w:t>،</w:t>
      </w:r>
      <w:r w:rsidR="00777DCB" w:rsidRPr="00A52585">
        <w:rPr>
          <w:rFonts w:hint="cs"/>
          <w:rtl/>
        </w:rPr>
        <w:t xml:space="preserve"> ومهما بلغ اتساع العرش وكبره وعظمته وسعة</w:t>
      </w:r>
      <w:r w:rsidR="00DB731D" w:rsidRPr="00A52585">
        <w:rPr>
          <w:rFonts w:hint="cs"/>
          <w:rtl/>
        </w:rPr>
        <w:t>،</w:t>
      </w:r>
      <w:r w:rsidR="00777DCB" w:rsidRPr="00A52585">
        <w:rPr>
          <w:rFonts w:hint="cs"/>
          <w:rtl/>
        </w:rPr>
        <w:t xml:space="preserve"> فالله هو الكبير المتعال وهو أكبر من كل كبير</w:t>
      </w:r>
      <w:r w:rsidR="00DB731D" w:rsidRPr="00A52585">
        <w:rPr>
          <w:rFonts w:hint="cs"/>
          <w:rtl/>
        </w:rPr>
        <w:t>،</w:t>
      </w:r>
      <w:r w:rsidR="00777DCB" w:rsidRPr="00A52585">
        <w:rPr>
          <w:rFonts w:hint="cs"/>
          <w:rtl/>
        </w:rPr>
        <w:t xml:space="preserve"> والله هو الواسع فوق كل واسع</w:t>
      </w:r>
      <w:r w:rsidR="00DB731D" w:rsidRPr="00A52585">
        <w:rPr>
          <w:rFonts w:hint="cs"/>
          <w:rtl/>
        </w:rPr>
        <w:t>،</w:t>
      </w:r>
      <w:r w:rsidR="00777DCB" w:rsidRPr="00A52585">
        <w:rPr>
          <w:rFonts w:hint="cs"/>
          <w:rtl/>
        </w:rPr>
        <w:t xml:space="preserve"> والله بكل شيء محيط</w:t>
      </w:r>
      <w:r w:rsidR="00DB731D" w:rsidRPr="00A52585">
        <w:rPr>
          <w:rFonts w:hint="cs"/>
          <w:rtl/>
        </w:rPr>
        <w:t>،</w:t>
      </w:r>
      <w:r w:rsidR="00777DCB" w:rsidRPr="00A52585">
        <w:rPr>
          <w:rFonts w:hint="cs"/>
          <w:rtl/>
        </w:rPr>
        <w:t xml:space="preserve"> فأنى للعرش المخلوق المربوب أن يحمل الخالق القيوم</w:t>
      </w:r>
      <w:r w:rsidR="00DB731D" w:rsidRPr="00A52585">
        <w:rPr>
          <w:rFonts w:hint="cs"/>
          <w:rtl/>
        </w:rPr>
        <w:t>،</w:t>
      </w:r>
      <w:r w:rsidR="00777DCB" w:rsidRPr="00A52585">
        <w:rPr>
          <w:rFonts w:hint="cs"/>
          <w:rtl/>
        </w:rPr>
        <w:t xml:space="preserve"> وأنى للمحدود أن يحوي الذي تعالى عن الحد والمقدار</w:t>
      </w:r>
      <w:r w:rsidR="00DB731D" w:rsidRPr="00A52585">
        <w:rPr>
          <w:rFonts w:hint="cs"/>
          <w:rtl/>
        </w:rPr>
        <w:t>،</w:t>
      </w:r>
      <w:r w:rsidR="00777DCB" w:rsidRPr="00A52585">
        <w:rPr>
          <w:rFonts w:hint="cs"/>
          <w:rtl/>
        </w:rPr>
        <w:t xml:space="preserve"> بل العرش محمول بقدرة الله وحفظه وعنايته</w:t>
      </w:r>
      <w:r w:rsidR="00DB731D" w:rsidRPr="00A52585">
        <w:rPr>
          <w:rFonts w:hint="cs"/>
          <w:rtl/>
        </w:rPr>
        <w:t>،</w:t>
      </w:r>
      <w:r w:rsidR="00777DCB" w:rsidRPr="00A52585">
        <w:rPr>
          <w:rFonts w:hint="cs"/>
          <w:rtl/>
        </w:rPr>
        <w:t xml:space="preserve"> هو ربه وخالقه</w:t>
      </w:r>
      <w:r w:rsidR="00DB731D" w:rsidRPr="00A52585">
        <w:rPr>
          <w:rFonts w:hint="cs"/>
          <w:rtl/>
        </w:rPr>
        <w:t>،</w:t>
      </w:r>
      <w:r w:rsidR="00777DCB" w:rsidRPr="00A52585">
        <w:rPr>
          <w:rFonts w:hint="cs"/>
          <w:rtl/>
        </w:rPr>
        <w:t xml:space="preserve">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فَإِنْ تَوَلَّوْا فَقُلْ حَسْبِيَ اللَّهُ لَا إِلَهَ إِلَّا هُوَ عَلَيْهِ تَوَكَّلْتُ وَهُوَ رَبُّ الْعَرْشِ الْعَظِيمِ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التوبة</w:t>
      </w:r>
      <w:r w:rsidRPr="00A52585">
        <w:rPr>
          <w:rFonts w:hint="cs"/>
          <w:rtl/>
        </w:rPr>
        <w:t>:</w:t>
      </w:r>
      <w:r w:rsidR="00777DCB" w:rsidRPr="00A52585">
        <w:rPr>
          <w:rFonts w:hint="cs"/>
          <w:rtl/>
        </w:rPr>
        <w:t xml:space="preserve"> 129</w:t>
      </w:r>
      <w:r w:rsidRPr="00A52585">
        <w:rPr>
          <w:rFonts w:hint="cs"/>
          <w:rtl/>
        </w:rPr>
        <w:t>]</w:t>
      </w:r>
      <w:r w:rsidR="00DB731D" w:rsidRPr="00A52585">
        <w:rPr>
          <w:rFonts w:hint="cs"/>
          <w:rtl/>
        </w:rPr>
        <w:t>،</w:t>
      </w:r>
      <w:r w:rsidR="00777DCB" w:rsidRPr="00A52585">
        <w:rPr>
          <w:rFonts w:hint="cs"/>
          <w:rtl/>
        </w:rPr>
        <w:t xml:space="preserve"> وأين ذلك من اعتقاد كل مسلم بأن الله هو الغني الذي تحتاج إليه الخلائق وهو الغني عنها</w:t>
      </w:r>
      <w:r w:rsidR="00DB731D" w:rsidRPr="00A52585">
        <w:rPr>
          <w:rFonts w:hint="cs"/>
          <w:rtl/>
        </w:rPr>
        <w:t>،</w:t>
      </w:r>
      <w:r w:rsidR="00777DCB" w:rsidRPr="00A52585">
        <w:rPr>
          <w:rFonts w:hint="cs"/>
          <w:rtl/>
        </w:rPr>
        <w:t xml:space="preserve"> وأين ذلك من اعتقاد كل مسلم بان الله هو الحي القيوم سبحانك هذا بهتان عظيم</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لَا تَأْخُذُهُ سِنَةٌ وَلَا نَوْمٌ لَهُ</w:t>
      </w:r>
      <w:r w:rsidRPr="00A52585">
        <w:rPr>
          <w:rFonts w:hint="cs"/>
          <w:bCs/>
          <w:rtl/>
        </w:rPr>
        <w:t>}</w:t>
      </w:r>
      <w:r w:rsidR="00777DCB" w:rsidRPr="00A52585">
        <w:rPr>
          <w:rFonts w:hint="cs"/>
          <w:rtl/>
        </w:rPr>
        <w:t xml:space="preserve"> له الحياة الكاملة </w:t>
      </w:r>
      <w:proofErr w:type="spellStart"/>
      <w:r w:rsidR="00777DCB" w:rsidRPr="00A52585">
        <w:rPr>
          <w:rFonts w:hint="cs"/>
          <w:rtl/>
        </w:rPr>
        <w:t>والقيومية</w:t>
      </w:r>
      <w:proofErr w:type="spellEnd"/>
      <w:r w:rsidR="00777DCB" w:rsidRPr="00A52585">
        <w:rPr>
          <w:rFonts w:hint="cs"/>
          <w:rtl/>
        </w:rPr>
        <w:t xml:space="preserve"> التامة على خلقه</w:t>
      </w:r>
      <w:r w:rsidR="00DB731D" w:rsidRPr="00A52585">
        <w:rPr>
          <w:rFonts w:hint="cs"/>
          <w:rtl/>
        </w:rPr>
        <w:t>،</w:t>
      </w:r>
      <w:r w:rsidR="00777DCB" w:rsidRPr="00A52585">
        <w:rPr>
          <w:rFonts w:hint="cs"/>
          <w:rtl/>
        </w:rPr>
        <w:t xml:space="preserve"> قدوس منزه عن كل نقص أو عجز أو عيب</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تَأْخُذُهُ سِنَةٌ وَلَا نَوْمٌ لَهُ</w:t>
      </w:r>
      <w:r w:rsidRPr="00A52585">
        <w:rPr>
          <w:rFonts w:hint="cs"/>
          <w:rtl/>
        </w:rPr>
        <w:t>}</w:t>
      </w:r>
      <w:r w:rsidR="00777DCB" w:rsidRPr="00A52585">
        <w:rPr>
          <w:rFonts w:hint="cs"/>
          <w:rtl/>
        </w:rPr>
        <w:t xml:space="preserve"> أصل في التقديس والتنزيه</w:t>
      </w:r>
      <w:r w:rsidR="00DB731D" w:rsidRPr="00A52585">
        <w:rPr>
          <w:rFonts w:hint="cs"/>
          <w:rtl/>
        </w:rPr>
        <w:t>،</w:t>
      </w:r>
      <w:r w:rsidR="00777DCB" w:rsidRPr="00A52585">
        <w:rPr>
          <w:rFonts w:hint="cs"/>
          <w:rtl/>
        </w:rPr>
        <w:t xml:space="preserve"> فكما أنّنا بها ننفي عن الله النوم والنعاس</w:t>
      </w:r>
      <w:r w:rsidR="00DB731D" w:rsidRPr="00A52585">
        <w:rPr>
          <w:rFonts w:hint="cs"/>
          <w:rtl/>
        </w:rPr>
        <w:t>،</w:t>
      </w:r>
      <w:r w:rsidR="00777DCB" w:rsidRPr="00A52585">
        <w:rPr>
          <w:rFonts w:hint="cs"/>
          <w:rtl/>
        </w:rPr>
        <w:t xml:space="preserve"> يجب علينا أن ننفي عنه سائر صفات النقص والعجز والعيب والحاجة</w:t>
      </w:r>
      <w:r w:rsidR="00DB731D" w:rsidRPr="00A52585">
        <w:rPr>
          <w:rFonts w:hint="cs"/>
          <w:rtl/>
        </w:rPr>
        <w:t>،</w:t>
      </w:r>
      <w:r w:rsidR="00777DCB" w:rsidRPr="00A52585">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sidR="00DB731D" w:rsidRPr="00A52585">
        <w:rPr>
          <w:rFonts w:hint="cs"/>
          <w:rtl/>
        </w:rPr>
        <w:t>،</w:t>
      </w:r>
      <w:r w:rsidR="00777DCB" w:rsidRPr="00A52585">
        <w:rPr>
          <w:rFonts w:hint="cs"/>
          <w:rtl/>
        </w:rPr>
        <w:t xml:space="preserve"> لأنّ كل مقدر يمكن افتراض ما هو أكبر منه في المقدار</w:t>
      </w:r>
      <w:r w:rsidR="00DB731D" w:rsidRPr="00A52585">
        <w:rPr>
          <w:rFonts w:hint="cs"/>
          <w:rtl/>
        </w:rPr>
        <w:t>،</w:t>
      </w:r>
      <w:r w:rsidR="00777DCB" w:rsidRPr="00A52585">
        <w:rPr>
          <w:rFonts w:hint="cs"/>
          <w:rtl/>
        </w:rPr>
        <w:t xml:space="preserve"> وكل محدود يمكن افتراض أكبر منه</w:t>
      </w:r>
      <w:r w:rsidR="00DB731D" w:rsidRPr="00A52585">
        <w:rPr>
          <w:rFonts w:hint="cs"/>
          <w:rtl/>
        </w:rPr>
        <w:t>،</w:t>
      </w:r>
      <w:r w:rsidR="00777DCB" w:rsidRPr="00A52585">
        <w:rPr>
          <w:rFonts w:hint="cs"/>
          <w:rtl/>
        </w:rPr>
        <w:t xml:space="preserve"> والله أكبر من كل تصور ومتعال على المحدودية</w:t>
      </w:r>
      <w:r w:rsidR="00DB731D" w:rsidRPr="00A52585">
        <w:rPr>
          <w:rFonts w:hint="cs"/>
          <w:rtl/>
        </w:rPr>
        <w:t>،</w:t>
      </w:r>
      <w:r w:rsidR="00777DCB" w:rsidRPr="00A52585">
        <w:rPr>
          <w:rFonts w:hint="cs"/>
          <w:rtl/>
        </w:rPr>
        <w:t xml:space="preserve"> فتنزيهه عن الحد يجعل نسبة المحدود إليه نسبة العدم إلى الوجود</w:t>
      </w:r>
      <w:r w:rsidR="00DB731D" w:rsidRPr="00A52585">
        <w:rPr>
          <w:rFonts w:hint="cs"/>
          <w:rtl/>
        </w:rPr>
        <w:t>،</w:t>
      </w:r>
      <w:r w:rsidR="00777DCB" w:rsidRPr="00A52585">
        <w:rPr>
          <w:rFonts w:hint="cs"/>
          <w:rtl/>
        </w:rPr>
        <w:t xml:space="preserve"> لأنّ ما لا حد له لا يُقارن بالمحدود</w:t>
      </w:r>
      <w:r w:rsidR="00DB731D" w:rsidRPr="00A52585">
        <w:rPr>
          <w:rFonts w:hint="cs"/>
          <w:rtl/>
        </w:rPr>
        <w:t>،</w:t>
      </w:r>
      <w:r w:rsidR="00777DCB" w:rsidRPr="00A52585">
        <w:rPr>
          <w:rFonts w:hint="cs"/>
          <w:rtl/>
        </w:rPr>
        <w:t xml:space="preserve"> كما لا تُقارن المخلوق بالخلاق</w:t>
      </w:r>
      <w:r w:rsidR="00DB731D" w:rsidRPr="00A52585">
        <w:rPr>
          <w:rFonts w:hint="cs"/>
          <w:rtl/>
        </w:rPr>
        <w:t>،</w:t>
      </w:r>
      <w:r w:rsidR="00777DCB" w:rsidRPr="00A52585">
        <w:rPr>
          <w:rFonts w:hint="cs"/>
          <w:rtl/>
        </w:rPr>
        <w:t xml:space="preserve"> ولا المربوب برب السموات والأرض ورب العالمين</w:t>
      </w:r>
      <w:r w:rsidR="00DB731D" w:rsidRPr="00A52585">
        <w:rPr>
          <w:rFonts w:hint="cs"/>
          <w:rtl/>
        </w:rPr>
        <w:t>،</w:t>
      </w:r>
      <w:r w:rsidR="00777DCB" w:rsidRPr="00A52585">
        <w:rPr>
          <w:rFonts w:hint="cs"/>
          <w:rtl/>
        </w:rPr>
        <w:t xml:space="preserve"> وإذا كان الكون في المكان نقص لأنّ ذلك معناه أن المكان أكبر من شاغله</w:t>
      </w:r>
      <w:r w:rsidR="00DB731D" w:rsidRPr="00A52585">
        <w:rPr>
          <w:rFonts w:hint="cs"/>
          <w:rtl/>
        </w:rPr>
        <w:t>،</w:t>
      </w:r>
      <w:r w:rsidR="00777DCB" w:rsidRPr="00A52585">
        <w:rPr>
          <w:rFonts w:hint="cs"/>
          <w:rtl/>
        </w:rPr>
        <w:t xml:space="preserve"> وأنّ المكان محيط بمن فيه</w:t>
      </w:r>
      <w:r w:rsidR="00DB731D" w:rsidRPr="00A52585">
        <w:rPr>
          <w:rFonts w:hint="cs"/>
          <w:rtl/>
        </w:rPr>
        <w:t>،</w:t>
      </w:r>
      <w:r w:rsidR="00777DCB" w:rsidRPr="00A52585">
        <w:rPr>
          <w:rFonts w:hint="cs"/>
          <w:rtl/>
        </w:rPr>
        <w:t xml:space="preserve"> وأنّ المكان مستغن عن الذي فيه ومن فيه محتاج إليه لوجود ذاته فيه</w:t>
      </w:r>
      <w:r w:rsidR="00DB731D" w:rsidRPr="00A52585">
        <w:rPr>
          <w:rFonts w:hint="cs"/>
          <w:rtl/>
        </w:rPr>
        <w:t>،</w:t>
      </w:r>
      <w:r w:rsidR="00777DCB" w:rsidRPr="00A52585">
        <w:rPr>
          <w:rFonts w:hint="cs"/>
          <w:rtl/>
        </w:rPr>
        <w:t xml:space="preserve"> ولأنّ المكان قاهر لمن هو داخله بالحد والإحاطة</w:t>
      </w:r>
      <w:r w:rsidR="00DB731D" w:rsidRPr="00A52585">
        <w:rPr>
          <w:rFonts w:hint="cs"/>
          <w:rtl/>
        </w:rPr>
        <w:t>،</w:t>
      </w:r>
      <w:r w:rsidR="00777DCB" w:rsidRPr="00A52585">
        <w:rPr>
          <w:rFonts w:hint="cs"/>
          <w:rtl/>
        </w:rPr>
        <w:t xml:space="preserve"> والله تعالى هو القاهر لكل شيء ومن ذلك قهره </w:t>
      </w:r>
      <w:r w:rsidR="00777DCB" w:rsidRPr="00A52585">
        <w:rPr>
          <w:rFonts w:hint="cs"/>
          <w:rtl/>
        </w:rPr>
        <w:lastRenderedPageBreak/>
        <w:t>للمكان لأنه هو الذي كون المكان</w:t>
      </w:r>
      <w:r w:rsidR="00DB731D" w:rsidRPr="00A52585">
        <w:rPr>
          <w:rFonts w:hint="cs"/>
          <w:rtl/>
        </w:rPr>
        <w:t>،</w:t>
      </w:r>
      <w:r w:rsidR="00777DCB" w:rsidRPr="00A52585">
        <w:rPr>
          <w:rFonts w:hint="cs"/>
          <w:rtl/>
        </w:rPr>
        <w:t xml:space="preserve"> والله تعالى هو الكبير المتعال وهو بكل شيء محيط</w:t>
      </w:r>
      <w:r w:rsidR="00DB731D" w:rsidRPr="00A52585">
        <w:rPr>
          <w:rFonts w:hint="cs"/>
          <w:rtl/>
        </w:rPr>
        <w:t>،</w:t>
      </w:r>
      <w:r w:rsidR="00777DCB" w:rsidRPr="00A52585">
        <w:rPr>
          <w:rFonts w:hint="cs"/>
          <w:rtl/>
        </w:rPr>
        <w:t xml:space="preserve"> وهو خالق المكان</w:t>
      </w:r>
      <w:r w:rsidR="00DB731D" w:rsidRPr="00A52585">
        <w:rPr>
          <w:rFonts w:hint="cs"/>
          <w:rtl/>
        </w:rPr>
        <w:t>،</w:t>
      </w:r>
      <w:r w:rsidR="00777DCB" w:rsidRPr="00A52585">
        <w:rPr>
          <w:rFonts w:hint="cs"/>
          <w:rtl/>
        </w:rPr>
        <w:t xml:space="preserve"> وهو القيوم عليه وعلى من فيه</w:t>
      </w:r>
      <w:r w:rsidR="00DB731D" w:rsidRPr="00A52585">
        <w:rPr>
          <w:rFonts w:hint="cs"/>
          <w:rtl/>
        </w:rPr>
        <w:t>،</w:t>
      </w:r>
      <w:r w:rsidR="00777DCB" w:rsidRPr="00A52585">
        <w:rPr>
          <w:rFonts w:hint="cs"/>
          <w:rtl/>
        </w:rPr>
        <w:t xml:space="preserve"> فوجب تنزيه الله تعالى عن الكون في المكان</w:t>
      </w:r>
      <w:r w:rsidR="00DB731D" w:rsidRPr="00A52585">
        <w:rPr>
          <w:rFonts w:hint="cs"/>
          <w:rtl/>
        </w:rPr>
        <w:t>،</w:t>
      </w:r>
      <w:r w:rsidR="00777DCB" w:rsidRPr="00A52585">
        <w:rPr>
          <w:rFonts w:hint="cs"/>
          <w:rtl/>
        </w:rPr>
        <w:t xml:space="preserve"> وإذا كانت الجسمية صفة نقص لأنها تعني الحد والمقدار - إذ كل جسم محدود مقدر -</w:t>
      </w:r>
      <w:r w:rsidR="00DB731D" w:rsidRPr="00A52585">
        <w:rPr>
          <w:rFonts w:hint="cs"/>
          <w:rtl/>
        </w:rPr>
        <w:t>،</w:t>
      </w:r>
      <w:r w:rsidR="00777DCB" w:rsidRPr="00A52585">
        <w:rPr>
          <w:rFonts w:hint="cs"/>
          <w:rtl/>
        </w:rPr>
        <w:t xml:space="preserve"> وتعني الكون في المكان وتعني تجمع الأبعاض وتألف الأجزاء</w:t>
      </w:r>
      <w:r w:rsidR="00DB731D" w:rsidRPr="00A52585">
        <w:rPr>
          <w:rFonts w:hint="cs"/>
          <w:rtl/>
        </w:rPr>
        <w:t>،</w:t>
      </w:r>
      <w:r w:rsidR="00777DCB" w:rsidRPr="00A52585">
        <w:rPr>
          <w:rFonts w:hint="cs"/>
          <w:rtl/>
        </w:rPr>
        <w:t xml:space="preserve"> وتعني الحاجة إلى جميع أجزائه</w:t>
      </w:r>
      <w:r w:rsidR="00DB731D" w:rsidRPr="00A52585">
        <w:rPr>
          <w:rFonts w:hint="cs"/>
          <w:rtl/>
        </w:rPr>
        <w:t>،</w:t>
      </w:r>
      <w:r w:rsidR="00777DCB" w:rsidRPr="00A52585">
        <w:rPr>
          <w:rFonts w:hint="cs"/>
          <w:rtl/>
        </w:rPr>
        <w:t xml:space="preserve"> فوجب تنزيه الله تعالى عن الجسمية لأنّه خالق المكان المنزه عن الكون فيه</w:t>
      </w:r>
      <w:r w:rsidR="00DB731D" w:rsidRPr="00A52585">
        <w:rPr>
          <w:rFonts w:hint="cs"/>
          <w:rtl/>
        </w:rPr>
        <w:t>،</w:t>
      </w:r>
      <w:r w:rsidR="00777DCB" w:rsidRPr="00A52585">
        <w:rPr>
          <w:rFonts w:hint="cs"/>
          <w:rtl/>
        </w:rPr>
        <w:t xml:space="preserve"> ولأنّه الأحد المنزه عن الأبعاض والأجزاء</w:t>
      </w:r>
      <w:r w:rsidR="00DB731D" w:rsidRPr="00A52585">
        <w:rPr>
          <w:rFonts w:hint="cs"/>
          <w:rtl/>
        </w:rPr>
        <w:t>،</w:t>
      </w:r>
      <w:r w:rsidR="00777DCB" w:rsidRPr="00A52585">
        <w:rPr>
          <w:rFonts w:hint="cs"/>
          <w:rtl/>
        </w:rPr>
        <w:t xml:space="preserve"> ولأنّه القيوم المنزه عن الحاجة إلى شيء غيره</w:t>
      </w:r>
      <w:r w:rsidR="00DB731D" w:rsidRPr="00A52585">
        <w:rPr>
          <w:rFonts w:hint="cs"/>
          <w:rtl/>
        </w:rPr>
        <w:t>،</w:t>
      </w:r>
      <w:r w:rsidR="00777DCB" w:rsidRPr="00A52585">
        <w:rPr>
          <w:rFonts w:hint="cs"/>
          <w:rtl/>
        </w:rPr>
        <w:t xml:space="preserve"> والجسم محتاج إلى أجزائه وأبعاضه</w:t>
      </w:r>
      <w:r w:rsidR="00DB731D" w:rsidRPr="00A52585">
        <w:rPr>
          <w:rFonts w:hint="cs"/>
          <w:rtl/>
        </w:rPr>
        <w:t>،</w:t>
      </w:r>
      <w:r w:rsidR="00777DCB" w:rsidRPr="00A52585">
        <w:rPr>
          <w:rFonts w:hint="cs"/>
          <w:rtl/>
        </w:rPr>
        <w:t xml:space="preserve"> وإذا كان التقيد بالزمان عجز ونقص</w:t>
      </w:r>
      <w:r w:rsidR="00DB731D" w:rsidRPr="00A52585">
        <w:rPr>
          <w:rFonts w:hint="cs"/>
          <w:rtl/>
        </w:rPr>
        <w:t>،</w:t>
      </w:r>
      <w:r w:rsidR="00777DCB" w:rsidRPr="00A52585">
        <w:rPr>
          <w:rFonts w:hint="cs"/>
          <w:rtl/>
        </w:rPr>
        <w:t xml:space="preserve"> لأنّ الزمان يصير حاكما على من تقيد به</w:t>
      </w:r>
      <w:r w:rsidR="00DB731D" w:rsidRPr="00A52585">
        <w:rPr>
          <w:rFonts w:hint="cs"/>
          <w:rtl/>
        </w:rPr>
        <w:t>،</w:t>
      </w:r>
      <w:r w:rsidR="00777DCB" w:rsidRPr="00A52585">
        <w:rPr>
          <w:rFonts w:hint="cs"/>
          <w:rtl/>
        </w:rPr>
        <w:t xml:space="preserve"> فإن التنزيه عن الزمان لازم للملك القدوس خالق الزمان فلا يجري عليه مخلوقه وهو الزمان</w:t>
      </w:r>
      <w:r w:rsidR="00DB731D" w:rsidRPr="00A52585">
        <w:rPr>
          <w:rFonts w:hint="cs"/>
          <w:rtl/>
        </w:rPr>
        <w:t>،</w:t>
      </w:r>
      <w:r w:rsidR="00777DCB" w:rsidRPr="00A52585">
        <w:rPr>
          <w:rFonts w:hint="cs"/>
          <w:rtl/>
        </w:rPr>
        <w:t xml:space="preserve"> والعوام لا يتصورون ذاتا لا يجري عليه زمان</w:t>
      </w:r>
      <w:r w:rsidR="00DB731D" w:rsidRPr="00A52585">
        <w:rPr>
          <w:rFonts w:hint="cs"/>
          <w:rtl/>
        </w:rPr>
        <w:t>،</w:t>
      </w:r>
      <w:r w:rsidR="00777DCB" w:rsidRPr="00A52585">
        <w:rPr>
          <w:rFonts w:hint="cs"/>
          <w:rtl/>
        </w:rPr>
        <w:t xml:space="preserve"> لأنّهم اعتادوا بحواسهم على أنّ كل موجود يجري عليه زمان ماض وزمان حاضر وزمان مستقبل لا فكاك له عن الزمان</w:t>
      </w:r>
      <w:r w:rsidR="00DB731D" w:rsidRPr="00A52585">
        <w:rPr>
          <w:rFonts w:hint="cs"/>
          <w:rtl/>
        </w:rPr>
        <w:t>،</w:t>
      </w:r>
      <w:r w:rsidR="00777DCB" w:rsidRPr="00A52585">
        <w:rPr>
          <w:rFonts w:hint="cs"/>
          <w:rtl/>
        </w:rPr>
        <w:t xml:space="preserve"> ولكن أهل الأصول لا تتملكهم الحواس ولا تنطلق تصوراتهم في الإلهيات بالحواس لأنّ </w:t>
      </w:r>
      <w:r w:rsidR="00777DCB" w:rsidRPr="00A52585">
        <w:rPr>
          <w:rFonts w:hint="cs"/>
          <w:rtl/>
          <w:lang w:bidi="ar-KW"/>
        </w:rPr>
        <w:t>ذات الله تعالى لا تسري عليه سبحانه قوانين المحسوسات والمواد والاجسام</w:t>
      </w:r>
      <w:r w:rsidR="00DB731D" w:rsidRPr="00A52585">
        <w:rPr>
          <w:rFonts w:hint="cs"/>
          <w:rtl/>
          <w:lang w:bidi="ar-KW"/>
        </w:rPr>
        <w:t>،</w:t>
      </w:r>
      <w:r w:rsidR="00777DCB" w:rsidRPr="00A52585">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DB731D" w:rsidRPr="00A52585">
        <w:rPr>
          <w:rFonts w:hint="cs"/>
          <w:rtl/>
          <w:lang w:bidi="ar-KW"/>
        </w:rPr>
        <w:t>،</w:t>
      </w:r>
      <w:r w:rsidR="00777DCB" w:rsidRPr="00A52585">
        <w:rPr>
          <w:rFonts w:hint="cs"/>
          <w:rtl/>
          <w:lang w:bidi="ar-KW"/>
        </w:rPr>
        <w:t xml:space="preserve"> وأنّ الذي خلق المادة والجسم هو الله تعالى وهو الذي قهرها بتلك القوانين</w:t>
      </w:r>
      <w:r w:rsidR="00DB731D" w:rsidRPr="00A52585">
        <w:rPr>
          <w:rFonts w:hint="cs"/>
          <w:rtl/>
          <w:lang w:bidi="ar-KW"/>
        </w:rPr>
        <w:t>،</w:t>
      </w:r>
      <w:r w:rsidR="00777DCB" w:rsidRPr="00A52585">
        <w:rPr>
          <w:rFonts w:hint="cs"/>
          <w:rtl/>
          <w:lang w:bidi="ar-KW"/>
        </w:rPr>
        <w:t xml:space="preserve"> ولكنّه هو القاهر فوق خلقه وفوق عباده وفوق كل شيء</w:t>
      </w:r>
      <w:r w:rsidR="00DB731D" w:rsidRPr="00A52585">
        <w:rPr>
          <w:rFonts w:hint="cs"/>
          <w:rtl/>
          <w:lang w:bidi="ar-KW"/>
        </w:rPr>
        <w:t>،</w:t>
      </w:r>
      <w:r w:rsidRPr="00A52585">
        <w:rPr>
          <w:rFonts w:hint="cs"/>
          <w:rtl/>
          <w:lang w:bidi="ar-KW"/>
        </w:rPr>
        <w:t xml:space="preserve"> </w:t>
      </w:r>
      <w:r w:rsidR="00777DCB" w:rsidRPr="00A52585">
        <w:rPr>
          <w:rFonts w:hint="cs"/>
          <w:rtl/>
          <w:lang w:bidi="ar-KW"/>
        </w:rPr>
        <w:t>فلا تسري عليه مفاهيم الأجسام</w:t>
      </w:r>
      <w:r w:rsidR="00DB731D" w:rsidRPr="00A52585">
        <w:rPr>
          <w:rFonts w:hint="cs"/>
          <w:rtl/>
          <w:lang w:bidi="ar-KW"/>
        </w:rPr>
        <w:t>،</w:t>
      </w:r>
      <w:r w:rsidR="00777DCB" w:rsidRPr="00A52585">
        <w:rPr>
          <w:rFonts w:hint="cs"/>
          <w:rtl/>
          <w:lang w:bidi="ar-KW"/>
        </w:rPr>
        <w:t xml:space="preserve"> ولا الصور والأشكال</w:t>
      </w:r>
      <w:r w:rsidR="00DB731D" w:rsidRPr="00A52585">
        <w:rPr>
          <w:rFonts w:hint="cs"/>
          <w:rtl/>
          <w:lang w:bidi="ar-KW"/>
        </w:rPr>
        <w:t>،</w:t>
      </w:r>
      <w:r w:rsidR="00777DCB" w:rsidRPr="00A52585">
        <w:rPr>
          <w:rFonts w:hint="cs"/>
          <w:rtl/>
          <w:lang w:bidi="ar-KW"/>
        </w:rPr>
        <w:t xml:space="preserve"> لأنّه ليس كمثله شيء</w:t>
      </w:r>
      <w:r w:rsidR="00DB731D" w:rsidRPr="00A52585">
        <w:rPr>
          <w:rFonts w:hint="cs"/>
          <w:rtl/>
          <w:lang w:bidi="ar-KW"/>
        </w:rPr>
        <w:t>،</w:t>
      </w:r>
      <w:r w:rsidR="00777DCB" w:rsidRPr="00A52585">
        <w:rPr>
          <w:rFonts w:hint="cs"/>
          <w:rtl/>
          <w:lang w:bidi="ar-KW"/>
        </w:rPr>
        <w:t xml:space="preserve"> وكل ما خطر بالبال فالله خلافه</w:t>
      </w:r>
      <w:r w:rsidR="00DB731D" w:rsidRPr="00A52585">
        <w:rPr>
          <w:rFonts w:hint="cs"/>
          <w:rtl/>
          <w:lang w:bidi="ar-KW"/>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 وَهُوَ السَّمِيعُ الْبَصِيرُ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eastAsia="Times New Roman" w:hint="cs"/>
          <w:rtl/>
          <w:lang w:eastAsia="ar-SA"/>
        </w:rPr>
        <w:t>وقد ترد ها هنا شبهة مفادها أنّ الإنسان موصوف بالسمع والبصر</w:t>
      </w:r>
      <w:r w:rsidR="00DB731D" w:rsidRPr="00A52585">
        <w:rPr>
          <w:rFonts w:eastAsia="Times New Roman" w:hint="cs"/>
          <w:rtl/>
          <w:lang w:eastAsia="ar-SA"/>
        </w:rPr>
        <w:t>،</w:t>
      </w:r>
      <w:r w:rsidR="00777DCB" w:rsidRPr="00A52585">
        <w:rPr>
          <w:rFonts w:eastAsia="Times New Roman" w:hint="cs"/>
          <w:rtl/>
          <w:lang w:eastAsia="ar-SA"/>
        </w:rPr>
        <w:t xml:space="preserve"> فهل يلزم من ذلك نفي هذه الصفات عن الله تعالى لنفي المثلية</w:t>
      </w:r>
      <w:r w:rsidR="00DB731D" w:rsidRPr="00A52585">
        <w:rPr>
          <w:rFonts w:eastAsia="Times New Roman" w:hint="cs"/>
          <w:rtl/>
          <w:lang w:eastAsia="ar-SA"/>
        </w:rPr>
        <w:t>،</w:t>
      </w:r>
      <w:r w:rsidR="00777DCB" w:rsidRPr="00A52585">
        <w:rPr>
          <w:rFonts w:eastAsia="Times New Roman" w:hint="cs"/>
          <w:rtl/>
          <w:lang w:eastAsia="ar-SA"/>
        </w:rPr>
        <w:t xml:space="preserve"> والله تعالى يقول</w:t>
      </w:r>
      <w:r w:rsidRPr="00A52585">
        <w:rPr>
          <w:rFonts w:eastAsia="Times New Roman" w:hint="cs"/>
          <w:rtl/>
          <w:lang w:eastAsia="ar-SA"/>
        </w:rPr>
        <w:t>:</w:t>
      </w:r>
      <w:r w:rsidR="00777DCB" w:rsidRPr="00A52585">
        <w:rPr>
          <w:rFonts w:eastAsia="Times New Roman" w:hint="cs"/>
          <w:rtl/>
          <w:lang w:eastAsia="ar-SA"/>
        </w:rPr>
        <w:t xml:space="preserve"> </w:t>
      </w:r>
      <w:r w:rsidRPr="00A52585">
        <w:rPr>
          <w:rFonts w:eastAsia="Times New Roman" w:hint="cs"/>
          <w:rtl/>
          <w:lang w:eastAsia="ar-SA"/>
        </w:rPr>
        <w:t>{</w:t>
      </w:r>
      <w:r w:rsidR="00777DCB" w:rsidRPr="00A52585">
        <w:rPr>
          <w:rFonts w:hint="cs"/>
          <w:rtl/>
        </w:rPr>
        <w:t>لَيْسَ كَمِثْلِهِ شَيْءٌ وَهُوَ السَّمِيعُ الْبَصِيرُ</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eastAsia="Times New Roman" w:hint="cs"/>
          <w:rtl/>
          <w:lang w:eastAsia="ar-SA"/>
        </w:rPr>
        <w:t>ونقول أنّ هناك خلط في تصور هؤلاء بين تشابه الذوات وتشابه الصفات</w:t>
      </w:r>
      <w:r w:rsidR="00DB731D" w:rsidRPr="00A52585">
        <w:rPr>
          <w:rFonts w:eastAsia="Times New Roman" w:hint="cs"/>
          <w:rtl/>
          <w:lang w:eastAsia="ar-SA"/>
        </w:rPr>
        <w:t>،</w:t>
      </w:r>
      <w:r w:rsidR="00777DCB" w:rsidRPr="00A52585">
        <w:rPr>
          <w:rFonts w:eastAsia="Times New Roman" w:hint="cs"/>
          <w:rtl/>
          <w:lang w:eastAsia="ar-SA"/>
        </w:rPr>
        <w:t xml:space="preserve"> فذات الله تعالى ليس كمثله شيء</w:t>
      </w:r>
      <w:r w:rsidR="00DB731D" w:rsidRPr="00A52585">
        <w:rPr>
          <w:rFonts w:eastAsia="Times New Roman" w:hint="cs"/>
          <w:rtl/>
          <w:lang w:eastAsia="ar-SA"/>
        </w:rPr>
        <w:t>،</w:t>
      </w:r>
      <w:r w:rsidR="00777DCB" w:rsidRPr="00A52585">
        <w:rPr>
          <w:rFonts w:eastAsia="Times New Roman" w:hint="cs"/>
          <w:rtl/>
          <w:lang w:eastAsia="ar-SA"/>
        </w:rPr>
        <w:t xml:space="preserve"> لا يشبه شيئاً من ذوات البشر</w:t>
      </w:r>
      <w:r w:rsidR="00DB731D" w:rsidRPr="00A52585">
        <w:rPr>
          <w:rFonts w:eastAsia="Times New Roman" w:hint="cs"/>
          <w:rtl/>
          <w:lang w:eastAsia="ar-SA"/>
        </w:rPr>
        <w:t>،</w:t>
      </w:r>
      <w:r w:rsidR="00777DCB" w:rsidRPr="00A52585">
        <w:rPr>
          <w:rFonts w:eastAsia="Times New Roman" w:hint="cs"/>
          <w:rtl/>
          <w:lang w:eastAsia="ar-SA"/>
        </w:rPr>
        <w:t xml:space="preserve"> لأنها ذوات المخلوقات</w:t>
      </w:r>
      <w:r w:rsidR="00DB731D" w:rsidRPr="00A52585">
        <w:rPr>
          <w:rFonts w:eastAsia="Times New Roman" w:hint="cs"/>
          <w:rtl/>
          <w:lang w:eastAsia="ar-SA"/>
        </w:rPr>
        <w:t>،</w:t>
      </w:r>
      <w:r w:rsidR="00777DCB" w:rsidRPr="00A52585">
        <w:rPr>
          <w:rFonts w:eastAsia="Times New Roman" w:hint="cs"/>
          <w:rtl/>
          <w:lang w:eastAsia="ar-SA"/>
        </w:rPr>
        <w:t xml:space="preserve"> وهي ذوات محدثة مخلوقة تتسم بالفقر والحاجة إلى الرب خالقها</w:t>
      </w:r>
      <w:r w:rsidR="00DB731D" w:rsidRPr="00A52585">
        <w:rPr>
          <w:rFonts w:eastAsia="Times New Roman" w:hint="cs"/>
          <w:rtl/>
          <w:lang w:eastAsia="ar-SA"/>
        </w:rPr>
        <w:t>،</w:t>
      </w:r>
      <w:r w:rsidR="00777DCB" w:rsidRPr="00A52585">
        <w:rPr>
          <w:rFonts w:eastAsia="Times New Roman" w:hint="cs"/>
          <w:rtl/>
          <w:lang w:eastAsia="ar-SA"/>
        </w:rPr>
        <w:t xml:space="preserve"> وذات الله تعالى ذات الخالق الواحد القهار الملك القدوس السلام </w:t>
      </w:r>
      <w:r w:rsidR="00777DCB" w:rsidRPr="00A52585">
        <w:rPr>
          <w:rFonts w:hint="cs"/>
          <w:rtl/>
          <w:lang w:bidi="ar-EG"/>
        </w:rPr>
        <w:t xml:space="preserve">و </w:t>
      </w:r>
      <w:r w:rsidRPr="00A52585">
        <w:rPr>
          <w:rFonts w:hint="cs"/>
          <w:rtl/>
          <w:lang w:bidi="ar-EG"/>
        </w:rPr>
        <w:t>(</w:t>
      </w:r>
      <w:r w:rsidR="00777DCB" w:rsidRPr="00A52585">
        <w:rPr>
          <w:rFonts w:hint="cs"/>
          <w:rtl/>
        </w:rPr>
        <w:t>القدوس</w:t>
      </w:r>
      <w:r w:rsidRPr="00A52585">
        <w:rPr>
          <w:rFonts w:hint="cs"/>
          <w:rtl/>
        </w:rPr>
        <w:t>):</w:t>
      </w:r>
      <w:r w:rsidR="00777DCB" w:rsidRPr="00A52585">
        <w:rPr>
          <w:rFonts w:hint="cs"/>
          <w:rtl/>
        </w:rPr>
        <w:t xml:space="preserve"> يدل على صفة </w:t>
      </w:r>
      <w:proofErr w:type="spellStart"/>
      <w:r w:rsidR="00777DCB" w:rsidRPr="00A52585">
        <w:rPr>
          <w:rFonts w:hint="cs"/>
          <w:rtl/>
        </w:rPr>
        <w:t>التقدس</w:t>
      </w:r>
      <w:proofErr w:type="spellEnd"/>
      <w:r w:rsidR="00777DCB" w:rsidRPr="00A52585">
        <w:rPr>
          <w:rFonts w:hint="cs"/>
          <w:rtl/>
        </w:rPr>
        <w:t xml:space="preserve"> من العيوب والتنزه عن النقائص وعن كل ما تحيط به العقول</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السلام</w:t>
      </w:r>
      <w:r w:rsidRPr="00A52585">
        <w:rPr>
          <w:rFonts w:hint="cs"/>
          <w:rtl/>
        </w:rPr>
        <w:t>):</w:t>
      </w:r>
      <w:r w:rsidR="00777DCB" w:rsidRPr="00A52585">
        <w:rPr>
          <w:rFonts w:hint="cs"/>
          <w:rtl/>
        </w:rPr>
        <w:t xml:space="preserve"> يدل على صفة السلامة من النقص والتنزه</w:t>
      </w:r>
      <w:r w:rsidR="00777DCB" w:rsidRPr="00A52585">
        <w:rPr>
          <w:rFonts w:eastAsia="Times New Roman" w:hint="cs"/>
          <w:rtl/>
          <w:lang w:eastAsia="ar-SA"/>
        </w:rPr>
        <w:t xml:space="preserve"> عن كل ما يدل على النقص او الحدوث</w:t>
      </w:r>
      <w:r w:rsidR="00DB731D" w:rsidRPr="00A52585">
        <w:rPr>
          <w:rFonts w:eastAsia="Times New Roman" w:hint="cs"/>
          <w:rtl/>
          <w:lang w:eastAsia="ar-SA"/>
        </w:rPr>
        <w:t>،</w:t>
      </w:r>
      <w:r w:rsidR="00777DCB" w:rsidRPr="00A52585">
        <w:rPr>
          <w:rFonts w:eastAsia="Times New Roman" w:hint="cs"/>
          <w:rtl/>
          <w:lang w:eastAsia="ar-SA"/>
        </w:rPr>
        <w:t xml:space="preserve"> فلو تشابهت ذات الخالق مع المخلوق لجاز أن يكون الخالق مخلوقا والمخلوق خالقاً</w:t>
      </w:r>
      <w:r w:rsidR="00DB731D" w:rsidRPr="00A52585">
        <w:rPr>
          <w:rFonts w:eastAsia="Times New Roman" w:hint="cs"/>
          <w:rtl/>
          <w:lang w:eastAsia="ar-SA"/>
        </w:rPr>
        <w:t>،</w:t>
      </w:r>
      <w:r w:rsidR="00777DCB" w:rsidRPr="00A52585">
        <w:rPr>
          <w:rFonts w:eastAsia="Times New Roman" w:hint="cs"/>
          <w:rtl/>
          <w:lang w:eastAsia="ar-SA"/>
        </w:rPr>
        <w:t xml:space="preserve"> وهذا من أكبر الأدلة على بطلان زعم تشابه الذوات</w:t>
      </w:r>
      <w:r w:rsidR="00DB731D" w:rsidRPr="00A52585">
        <w:rPr>
          <w:rFonts w:eastAsia="Times New Roman" w:hint="cs"/>
          <w:rtl/>
          <w:lang w:eastAsia="ar-SA"/>
        </w:rPr>
        <w:t>،</w:t>
      </w:r>
      <w:r w:rsidR="00777DCB" w:rsidRPr="00A52585">
        <w:rPr>
          <w:rFonts w:eastAsia="Times New Roman" w:hint="cs"/>
          <w:rtl/>
          <w:lang w:eastAsia="ar-SA"/>
        </w:rPr>
        <w:t xml:space="preserve"> ولكن الصفات فمنها صفات كمال وصفات نقص</w:t>
      </w:r>
      <w:r w:rsidR="00DB731D" w:rsidRPr="00A52585">
        <w:rPr>
          <w:rFonts w:eastAsia="Times New Roman" w:hint="cs"/>
          <w:rtl/>
          <w:lang w:eastAsia="ar-SA"/>
        </w:rPr>
        <w:t>،</w:t>
      </w:r>
      <w:r w:rsidR="00777DCB" w:rsidRPr="00A52585">
        <w:rPr>
          <w:rFonts w:eastAsia="Times New Roman" w:hint="cs"/>
          <w:rtl/>
          <w:lang w:eastAsia="ar-SA"/>
        </w:rPr>
        <w:t xml:space="preserve"> فما كان من صفات الكمال كالعلم والسمع والبصر والكلام</w:t>
      </w:r>
      <w:r w:rsidR="00DB731D" w:rsidRPr="00A52585">
        <w:rPr>
          <w:rFonts w:eastAsia="Times New Roman" w:hint="cs"/>
          <w:rtl/>
          <w:lang w:eastAsia="ar-SA"/>
        </w:rPr>
        <w:t>،</w:t>
      </w:r>
      <w:r w:rsidR="00777DCB" w:rsidRPr="00A52585">
        <w:rPr>
          <w:rFonts w:eastAsia="Times New Roman" w:hint="cs"/>
          <w:rtl/>
          <w:lang w:eastAsia="ar-SA"/>
        </w:rPr>
        <w:t xml:space="preserve"> فهذه لله منها </w:t>
      </w:r>
      <w:r w:rsidR="00777DCB" w:rsidRPr="00A52585">
        <w:rPr>
          <w:rFonts w:eastAsia="Times New Roman" w:hint="cs"/>
          <w:rtl/>
          <w:lang w:eastAsia="ar-SA"/>
        </w:rPr>
        <w:lastRenderedPageBreak/>
        <w:t>الكمال الأعلى الذي ليس بعده شيء</w:t>
      </w:r>
      <w:r w:rsidR="00DB731D" w:rsidRPr="00A52585">
        <w:rPr>
          <w:rFonts w:eastAsia="Times New Roman" w:hint="cs"/>
          <w:rtl/>
          <w:lang w:eastAsia="ar-SA"/>
        </w:rPr>
        <w:t>،</w:t>
      </w:r>
      <w:r w:rsidR="00777DCB" w:rsidRPr="00A52585">
        <w:rPr>
          <w:rFonts w:eastAsia="Times New Roman" w:hint="cs"/>
          <w:rtl/>
          <w:lang w:eastAsia="ar-SA"/>
        </w:rPr>
        <w:t xml:space="preserve"> وما كان من صفات النقص كالنسيان والجهل والضعف فالله تعالى منزهٌ عنها</w:t>
      </w:r>
      <w:r w:rsidR="00DB731D" w:rsidRPr="00A52585">
        <w:rPr>
          <w:rFonts w:eastAsia="Times New Roman" w:hint="cs"/>
          <w:rtl/>
          <w:lang w:eastAsia="ar-SA"/>
        </w:rPr>
        <w:t>،</w:t>
      </w:r>
      <w:r w:rsidRPr="00A52585">
        <w:rPr>
          <w:rFonts w:eastAsia="Times New Roman" w:hint="cs"/>
          <w:rtl/>
          <w:lang w:eastAsia="ar-SA"/>
        </w:rPr>
        <w:t xml:space="preserve"> </w:t>
      </w:r>
      <w:r w:rsidR="00777DCB" w:rsidRPr="00A52585">
        <w:rPr>
          <w:rFonts w:eastAsia="Times New Roman" w:hint="cs"/>
          <w:rtl/>
          <w:lang w:eastAsia="ar-SA"/>
        </w:rPr>
        <w:t>أمّا الذات</w:t>
      </w:r>
      <w:r w:rsidR="00DB731D" w:rsidRPr="00A52585">
        <w:rPr>
          <w:rFonts w:eastAsia="Times New Roman" w:hint="cs"/>
          <w:rtl/>
          <w:lang w:eastAsia="ar-SA"/>
        </w:rPr>
        <w:t>،</w:t>
      </w:r>
      <w:r w:rsidR="00777DCB" w:rsidRPr="00A52585">
        <w:rPr>
          <w:rFonts w:eastAsia="Times New Roman" w:hint="cs"/>
          <w:rtl/>
          <w:lang w:eastAsia="ar-SA"/>
        </w:rPr>
        <w:t xml:space="preserve"> فأهل السنّة والجماعة مجمعون تنزيه ذات الله تعالى عن مشابهة ذوات المخلوقات</w:t>
      </w:r>
      <w:r w:rsidR="00DB731D" w:rsidRPr="00A52585">
        <w:rPr>
          <w:rFonts w:eastAsia="Times New Roman" w:hint="cs"/>
          <w:rtl/>
          <w:lang w:eastAsia="ar-SA"/>
        </w:rPr>
        <w:t>،</w:t>
      </w:r>
      <w:r w:rsidR="00777DCB" w:rsidRPr="00A52585">
        <w:rPr>
          <w:rFonts w:eastAsia="Times New Roman" w:hint="cs"/>
          <w:rtl/>
          <w:lang w:eastAsia="ar-SA"/>
        </w:rPr>
        <w:t xml:space="preserve"> فيكون المعنى أن شيئا من الذوات لا يساوي الله تعالى في الذاتية</w:t>
      </w:r>
      <w:r w:rsidR="00DB731D" w:rsidRPr="00A52585">
        <w:rPr>
          <w:rFonts w:eastAsia="Times New Roman" w:hint="cs"/>
          <w:rtl/>
          <w:lang w:eastAsia="ar-SA"/>
        </w:rPr>
        <w:t>،</w:t>
      </w:r>
      <w:r w:rsidR="00777DCB" w:rsidRPr="00A52585">
        <w:rPr>
          <w:rFonts w:eastAsia="Times New Roman" w:hint="cs"/>
          <w:rtl/>
          <w:lang w:eastAsia="ar-SA"/>
        </w:rPr>
        <w:t xml:space="preserve"> فلو كان الله تعالى جسما - تعالى الله عن صفات العجز والنقص وعلامات الخلق الموجودة في الأجسام -</w:t>
      </w:r>
      <w:r w:rsidRPr="00A52585">
        <w:rPr>
          <w:rFonts w:eastAsia="Times New Roman" w:hint="cs"/>
          <w:rtl/>
          <w:lang w:eastAsia="ar-SA"/>
        </w:rPr>
        <w:t xml:space="preserve"> </w:t>
      </w:r>
      <w:r w:rsidR="00777DCB" w:rsidRPr="00A52585">
        <w:rPr>
          <w:rFonts w:eastAsia="Times New Roman" w:hint="cs"/>
          <w:rtl/>
          <w:lang w:eastAsia="ar-SA"/>
        </w:rPr>
        <w:t>لكان كونه جسما ذاتا لا صفة، فإذا كان سائر الأجسام مساوية له في الجسمية</w:t>
      </w:r>
      <w:r w:rsidR="00DB731D" w:rsidRPr="00A52585">
        <w:rPr>
          <w:rFonts w:eastAsia="Times New Roman" w:hint="cs"/>
          <w:rtl/>
          <w:lang w:eastAsia="ar-SA"/>
        </w:rPr>
        <w:t>،</w:t>
      </w:r>
      <w:r w:rsidR="00777DCB" w:rsidRPr="00A52585">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Pr="00A52585">
        <w:rPr>
          <w:rFonts w:eastAsia="Times New Roman" w:hint="cs"/>
          <w:rtl/>
          <w:lang w:eastAsia="ar-SA"/>
        </w:rPr>
        <w:t>:</w:t>
      </w:r>
      <w:r w:rsidR="00777DCB" w:rsidRPr="00A52585">
        <w:rPr>
          <w:rFonts w:eastAsia="Times New Roman" w:hint="cs"/>
          <w:rtl/>
          <w:lang w:eastAsia="ar-SA"/>
        </w:rPr>
        <w:t xml:space="preserve"> </w:t>
      </w:r>
      <w:r w:rsidRPr="00A52585">
        <w:rPr>
          <w:rFonts w:eastAsia="Times New Roman" w:hint="cs"/>
          <w:rtl/>
          <w:lang w:eastAsia="ar-SA"/>
        </w:rPr>
        <w:t>{</w:t>
      </w:r>
      <w:r w:rsidR="00777DCB" w:rsidRPr="00A52585">
        <w:rPr>
          <w:rFonts w:hint="cs"/>
          <w:rtl/>
        </w:rPr>
        <w:t>لَيْسَ كَمِثْلِهِ شَيْءٌ</w:t>
      </w:r>
      <w:r w:rsidRPr="00A52585">
        <w:rPr>
          <w:rFonts w:hint="cs"/>
          <w:rtl/>
        </w:rPr>
        <w:t>}</w:t>
      </w:r>
      <w:r w:rsidR="00777DCB" w:rsidRPr="00A52585">
        <w:rPr>
          <w:rFonts w:hint="cs"/>
          <w:rtl/>
        </w:rPr>
        <w:t xml:space="preserve"> </w:t>
      </w:r>
      <w:r w:rsidR="00777DCB" w:rsidRPr="00A52585">
        <w:rPr>
          <w:rFonts w:eastAsia="Times New Roman" w:hint="cs"/>
          <w:rtl/>
          <w:lang w:eastAsia="ar-SA"/>
        </w:rPr>
        <w:t>فوجب أن لا يكون جسما</w:t>
      </w:r>
      <w:r w:rsidR="00DB731D" w:rsidRPr="00A52585">
        <w:rPr>
          <w:rFonts w:eastAsia="Times New Roman" w:hint="cs"/>
          <w:rtl/>
          <w:lang w:eastAsia="ar-SA"/>
        </w:rPr>
        <w:t>،</w:t>
      </w:r>
      <w:r w:rsidR="00777DCB" w:rsidRPr="00A52585">
        <w:rPr>
          <w:rFonts w:eastAsia="Times New Roman" w:hint="cs"/>
          <w:rtl/>
          <w:lang w:eastAsia="ar-SA"/>
        </w:rPr>
        <w:t xml:space="preserve"> وأن لا يكون متحيزاً</w:t>
      </w:r>
      <w:r w:rsidR="00DB731D" w:rsidRPr="00A52585">
        <w:rPr>
          <w:rFonts w:eastAsia="Times New Roman" w:hint="cs"/>
          <w:rtl/>
          <w:lang w:eastAsia="ar-SA"/>
        </w:rPr>
        <w:t>،</w:t>
      </w:r>
      <w:r w:rsidR="00777DCB" w:rsidRPr="00A52585">
        <w:rPr>
          <w:rFonts w:eastAsia="Times New Roman" w:hint="cs"/>
          <w:rtl/>
          <w:lang w:eastAsia="ar-SA"/>
        </w:rPr>
        <w:t xml:space="preserve"> ولا محدوداً</w:t>
      </w:r>
      <w:r w:rsidR="00DB731D" w:rsidRPr="00A52585">
        <w:rPr>
          <w:rFonts w:eastAsia="Times New Roman" w:hint="cs"/>
          <w:rtl/>
          <w:lang w:eastAsia="ar-SA"/>
        </w:rPr>
        <w:t>،</w:t>
      </w:r>
      <w:r w:rsidR="00777DCB" w:rsidRPr="00A52585">
        <w:rPr>
          <w:rFonts w:eastAsia="Times New Roman" w:hint="cs"/>
          <w:rtl/>
          <w:lang w:eastAsia="ar-SA"/>
        </w:rPr>
        <w:t xml:space="preserve"> ولا مقدراً</w:t>
      </w:r>
      <w:r w:rsidR="00DB731D" w:rsidRPr="00A52585">
        <w:rPr>
          <w:rFonts w:eastAsia="Times New Roman" w:hint="cs"/>
          <w:rtl/>
          <w:lang w:eastAsia="ar-SA"/>
        </w:rPr>
        <w:t>،</w:t>
      </w:r>
      <w:r w:rsidR="00777DCB" w:rsidRPr="00A52585">
        <w:rPr>
          <w:rFonts w:eastAsia="Times New Roman" w:hint="cs"/>
          <w:rtl/>
          <w:lang w:eastAsia="ar-SA"/>
        </w:rPr>
        <w:t xml:space="preserve"> ولا مجزئاً</w:t>
      </w:r>
      <w:r w:rsidR="00DB731D" w:rsidRPr="00A52585">
        <w:rPr>
          <w:rFonts w:eastAsia="Times New Roman" w:hint="cs"/>
          <w:rtl/>
          <w:lang w:eastAsia="ar-SA"/>
        </w:rPr>
        <w:t>،</w:t>
      </w:r>
      <w:r w:rsidR="00777DCB" w:rsidRPr="00A52585">
        <w:rPr>
          <w:rFonts w:eastAsia="Times New Roman" w:hint="cs"/>
          <w:rtl/>
          <w:lang w:eastAsia="ar-SA"/>
        </w:rPr>
        <w:t xml:space="preserve"> لأنها من خصائص الأجسام</w:t>
      </w:r>
      <w:r w:rsidR="00DB731D" w:rsidRPr="00A52585">
        <w:rPr>
          <w:rFonts w:eastAsia="Times New Roman" w:hint="cs"/>
          <w:rtl/>
          <w:lang w:eastAsia="ar-SA"/>
        </w:rPr>
        <w:t>،</w:t>
      </w:r>
      <w:r w:rsidRPr="00A52585">
        <w:rPr>
          <w:rFonts w:eastAsia="Times New Roman" w:hint="cs"/>
          <w:rtl/>
          <w:lang w:eastAsia="ar-SA"/>
        </w:rPr>
        <w:t xml:space="preserve"> </w:t>
      </w:r>
      <w:r w:rsidR="00777DCB" w:rsidRPr="00A52585">
        <w:rPr>
          <w:rFonts w:eastAsia="Times New Roman" w:hint="cs"/>
          <w:rtl/>
          <w:lang w:eastAsia="ar-SA"/>
        </w:rPr>
        <w:t>ومن فقه العلم بالآية</w:t>
      </w:r>
      <w:r w:rsidRPr="00A52585">
        <w:rPr>
          <w:rFonts w:eastAsia="Times New Roman" w:hint="cs"/>
          <w:rtl/>
          <w:lang w:eastAsia="ar-SA"/>
        </w:rPr>
        <w:t>:</w:t>
      </w:r>
      <w:r w:rsidR="00777DCB" w:rsidRPr="00A52585">
        <w:rPr>
          <w:rFonts w:eastAsia="Times New Roman" w:hint="cs"/>
          <w:rtl/>
          <w:lang w:eastAsia="ar-SA"/>
        </w:rPr>
        <w:t xml:space="preserve"> </w:t>
      </w:r>
      <w:r w:rsidRPr="00A52585">
        <w:rPr>
          <w:rFonts w:hint="cs"/>
          <w:rtl/>
        </w:rPr>
        <w:t>{</w:t>
      </w:r>
      <w:r w:rsidR="00777DCB" w:rsidRPr="00A52585">
        <w:rPr>
          <w:rFonts w:hint="cs"/>
          <w:rtl/>
        </w:rPr>
        <w:t>لَا تَأْخُذُهُ سِنَةٌ وَلَا نَوْمٌ لَهُ</w:t>
      </w:r>
      <w:r w:rsidRPr="00A52585">
        <w:rPr>
          <w:rFonts w:hint="cs"/>
          <w:rtl/>
        </w:rPr>
        <w:t>}:</w:t>
      </w:r>
      <w:r w:rsidR="00777DCB" w:rsidRPr="00A52585">
        <w:rPr>
          <w:rFonts w:eastAsia="Times New Roman" w:hint="cs"/>
          <w:rtl/>
          <w:lang w:eastAsia="ar-SA"/>
        </w:rPr>
        <w:t xml:space="preserve"> </w:t>
      </w:r>
      <w:r w:rsidR="00777DCB" w:rsidRPr="00A52585">
        <w:rPr>
          <w:rFonts w:hint="cs"/>
          <w:rtl/>
        </w:rPr>
        <w:t>نستفيد أنه يستحيل في حقه تعالى كل ما يدل على النقص او العجز أو الحاجة أو المشابهة للمخلوقات</w:t>
      </w:r>
      <w:r w:rsidR="00DB731D" w:rsidRPr="00A52585">
        <w:rPr>
          <w:rFonts w:hint="cs"/>
          <w:rtl/>
        </w:rPr>
        <w:t>،</w:t>
      </w:r>
      <w:r w:rsidR="00777DCB" w:rsidRPr="00A52585">
        <w:rPr>
          <w:rFonts w:hint="cs"/>
          <w:rtl/>
        </w:rPr>
        <w:t xml:space="preserve"> فيستحيل عليه </w:t>
      </w:r>
      <w:r w:rsidR="00777DCB" w:rsidRPr="00A52585">
        <w:rPr>
          <w:rFonts w:hint="cs"/>
          <w:rtl/>
          <w:lang w:bidi="ar-KW"/>
        </w:rPr>
        <w:t>الشريك والند والكفء والمثيل والوالد والولد والصاحبة</w:t>
      </w:r>
      <w:r w:rsidR="00DB731D" w:rsidRPr="00A52585">
        <w:rPr>
          <w:rFonts w:hint="cs"/>
          <w:rtl/>
          <w:lang w:bidi="ar-KW"/>
        </w:rPr>
        <w:t>،</w:t>
      </w:r>
      <w:r w:rsidR="00777DCB" w:rsidRPr="00A52585">
        <w:rPr>
          <w:rFonts w:hint="cs"/>
          <w:rtl/>
          <w:lang w:bidi="ar-KW"/>
        </w:rPr>
        <w:t xml:space="preserve"> ويستحيل عليه الحد والمقدار</w:t>
      </w:r>
      <w:r w:rsidR="00DB731D" w:rsidRPr="00A52585">
        <w:rPr>
          <w:rFonts w:hint="cs"/>
          <w:rtl/>
          <w:lang w:bidi="ar-KW"/>
        </w:rPr>
        <w:t>،</w:t>
      </w:r>
      <w:r w:rsidR="00777DCB" w:rsidRPr="00A52585">
        <w:rPr>
          <w:rFonts w:hint="cs"/>
          <w:rtl/>
          <w:lang w:bidi="ar-KW"/>
        </w:rPr>
        <w:t xml:space="preserve"> ويستحيل عليه الحدوث أو الفناء</w:t>
      </w:r>
      <w:r w:rsidR="00DB731D" w:rsidRPr="00A52585">
        <w:rPr>
          <w:rFonts w:hint="cs"/>
          <w:rtl/>
          <w:lang w:bidi="ar-KW"/>
        </w:rPr>
        <w:t>،</w:t>
      </w:r>
      <w:r w:rsidR="00777DCB" w:rsidRPr="00A52585">
        <w:rPr>
          <w:rFonts w:hint="cs"/>
          <w:rtl/>
          <w:lang w:bidi="ar-KW"/>
        </w:rPr>
        <w:t xml:space="preserve"> ويستحيل عليه </w:t>
      </w:r>
      <w:r w:rsidR="00777DCB" w:rsidRPr="00A52585">
        <w:rPr>
          <w:rFonts w:hint="cs"/>
          <w:rtl/>
        </w:rPr>
        <w:t>الجهل وما في معناه كالظن والشك والوهم والغفلة والذهول والنسيان</w:t>
      </w:r>
      <w:r w:rsidR="00DB731D" w:rsidRPr="00A52585">
        <w:rPr>
          <w:rFonts w:hint="cs"/>
          <w:rtl/>
          <w:lang w:bidi="ar-KW"/>
        </w:rPr>
        <w:t>،</w:t>
      </w:r>
      <w:r w:rsidR="00777DCB" w:rsidRPr="00A52585">
        <w:rPr>
          <w:rFonts w:hint="cs"/>
          <w:rtl/>
          <w:lang w:bidi="ar-KW"/>
        </w:rPr>
        <w:t xml:space="preserve"> ويستحيل عليه العمى والصمم والبكم</w:t>
      </w:r>
      <w:r w:rsidR="00DB731D" w:rsidRPr="00A52585">
        <w:rPr>
          <w:rFonts w:hint="cs"/>
          <w:rtl/>
          <w:lang w:bidi="ar-KW"/>
        </w:rPr>
        <w:t>،</w:t>
      </w:r>
      <w:r w:rsidR="00777DCB" w:rsidRPr="00A52585">
        <w:rPr>
          <w:rFonts w:hint="cs"/>
          <w:rtl/>
          <w:lang w:bidi="ar-KW"/>
        </w:rPr>
        <w:t xml:space="preserve"> ويستحيل عليه العجز والضعف</w:t>
      </w:r>
      <w:r w:rsidR="00DB731D" w:rsidRPr="00A52585">
        <w:rPr>
          <w:rFonts w:hint="cs"/>
          <w:rtl/>
          <w:lang w:bidi="ar-KW"/>
        </w:rPr>
        <w:t>،</w:t>
      </w:r>
      <w:r w:rsidR="00777DCB" w:rsidRPr="00A52585">
        <w:rPr>
          <w:rFonts w:hint="cs"/>
          <w:rtl/>
          <w:lang w:bidi="ar-KW"/>
        </w:rPr>
        <w:t xml:space="preserve"> ويستحيل عليه الظلم وخلف الوعد</w:t>
      </w:r>
      <w:r w:rsidR="00DB731D" w:rsidRPr="00A52585">
        <w:rPr>
          <w:rFonts w:hint="cs"/>
          <w:rtl/>
          <w:lang w:bidi="ar-KW"/>
        </w:rPr>
        <w:t>،</w:t>
      </w:r>
      <w:r w:rsidR="00777DCB" w:rsidRPr="00A52585">
        <w:rPr>
          <w:rFonts w:hint="cs"/>
          <w:rtl/>
          <w:lang w:bidi="ar-KW"/>
        </w:rPr>
        <w:t xml:space="preserve"> ويستحيل عليه السنة والنوم</w:t>
      </w:r>
      <w:r w:rsidR="00DB731D" w:rsidRPr="00A52585">
        <w:rPr>
          <w:rFonts w:hint="cs"/>
          <w:rtl/>
          <w:lang w:bidi="ar-KW"/>
        </w:rPr>
        <w:t>،</w:t>
      </w:r>
      <w:r w:rsidR="00777DCB" w:rsidRPr="00A52585">
        <w:rPr>
          <w:rFonts w:hint="cs"/>
          <w:rtl/>
          <w:lang w:bidi="ar-KW"/>
        </w:rPr>
        <w:t xml:space="preserve"> ويستحيل عليه المكان والزمان فلا يحيط به مكان</w:t>
      </w:r>
      <w:r w:rsidR="00DB731D" w:rsidRPr="00A52585">
        <w:rPr>
          <w:rFonts w:hint="cs"/>
          <w:rtl/>
          <w:lang w:bidi="ar-KW"/>
        </w:rPr>
        <w:t>،</w:t>
      </w:r>
      <w:r w:rsidR="00777DCB" w:rsidRPr="00A52585">
        <w:rPr>
          <w:rFonts w:hint="cs"/>
          <w:rtl/>
          <w:lang w:bidi="ar-KW"/>
        </w:rPr>
        <w:t xml:space="preserve"> ولا يجري عليه زمان</w:t>
      </w:r>
      <w:r w:rsidR="00DB731D" w:rsidRPr="00A52585">
        <w:rPr>
          <w:rFonts w:hint="cs"/>
          <w:rtl/>
          <w:lang w:bidi="ar-KW"/>
        </w:rPr>
        <w:t>،،</w:t>
      </w:r>
      <w:r w:rsidR="00777DCB" w:rsidRPr="00A52585">
        <w:rPr>
          <w:rFonts w:hint="cs"/>
          <w:rtl/>
          <w:lang w:bidi="ar-KW"/>
        </w:rPr>
        <w:t xml:space="preserve"> ويستحيل عليه الجسمية التي تتصف بها ذات المخلوق</w:t>
      </w:r>
      <w:r w:rsidR="00DB731D" w:rsidRPr="00A52585">
        <w:rPr>
          <w:rFonts w:hint="cs"/>
          <w:rtl/>
          <w:lang w:bidi="ar-KW"/>
        </w:rPr>
        <w:t>،</w:t>
      </w:r>
      <w:r w:rsidR="00777DCB" w:rsidRPr="00A52585">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00DB731D" w:rsidRPr="00A52585">
        <w:rPr>
          <w:rFonts w:hint="cs"/>
          <w:rtl/>
          <w:lang w:bidi="ar-KW"/>
        </w:rPr>
        <w:t>،</w:t>
      </w:r>
      <w:r w:rsidR="00777DCB" w:rsidRPr="00A52585">
        <w:rPr>
          <w:rFonts w:hint="cs"/>
          <w:rtl/>
          <w:lang w:bidi="ar-KW"/>
        </w:rPr>
        <w:t xml:space="preserve"> وكذلك فإن المتغير إن تغير إلى كمال كان قبل الكمال ناقصاً</w:t>
      </w:r>
      <w:r w:rsidR="00DB731D" w:rsidRPr="00A52585">
        <w:rPr>
          <w:rFonts w:hint="cs"/>
          <w:rtl/>
          <w:lang w:bidi="ar-KW"/>
        </w:rPr>
        <w:t>،</w:t>
      </w:r>
      <w:r w:rsidR="00777DCB" w:rsidRPr="00A52585">
        <w:rPr>
          <w:rFonts w:hint="cs"/>
          <w:rtl/>
          <w:lang w:bidi="ar-KW"/>
        </w:rPr>
        <w:t xml:space="preserve"> وهذا تنزه الله تعالى عنه</w:t>
      </w:r>
      <w:r w:rsidR="00DB731D" w:rsidRPr="00A52585">
        <w:rPr>
          <w:rFonts w:hint="cs"/>
          <w:rtl/>
          <w:lang w:bidi="ar-KW"/>
        </w:rPr>
        <w:t>،</w:t>
      </w:r>
      <w:r w:rsidR="00777DCB" w:rsidRPr="00A52585">
        <w:rPr>
          <w:rFonts w:hint="cs"/>
          <w:rtl/>
          <w:lang w:bidi="ar-KW"/>
        </w:rPr>
        <w:t xml:space="preserve"> وإن تغير إلى نقص كان عجزاً يتنزه الله تعالى عنه</w:t>
      </w:r>
      <w:r w:rsidR="00DB731D" w:rsidRPr="00A52585">
        <w:rPr>
          <w:rFonts w:hint="cs"/>
          <w:rtl/>
          <w:lang w:bidi="ar-KW"/>
        </w:rPr>
        <w:t>،</w:t>
      </w:r>
      <w:r w:rsidR="00777DCB" w:rsidRPr="00A52585">
        <w:rPr>
          <w:rFonts w:hint="cs"/>
          <w:rtl/>
          <w:lang w:bidi="ar-KW"/>
        </w:rPr>
        <w:t xml:space="preserve"> ويستحيل عليه حلول الحوادث في ذاته لأنها صفات المخلوق الدالة على نقصه وعجزه</w:t>
      </w:r>
      <w:r w:rsidR="00DB731D" w:rsidRPr="00A52585">
        <w:rPr>
          <w:rFonts w:hint="cs"/>
          <w:rtl/>
          <w:lang w:bidi="ar-KW"/>
        </w:rPr>
        <w:t>،</w:t>
      </w:r>
      <w:r w:rsidR="00777DCB" w:rsidRPr="00A52585">
        <w:rPr>
          <w:rFonts w:hint="cs"/>
          <w:rtl/>
          <w:lang w:bidi="ar-KW"/>
        </w:rPr>
        <w:t xml:space="preserve"> لأنّه إن حل به كمال كان قبل الكمال ناقصا وإن حل به نقص كان عاجزا عن دفع النقص</w:t>
      </w:r>
      <w:r w:rsidR="00DB731D" w:rsidRPr="00A52585">
        <w:rPr>
          <w:rFonts w:hint="cs"/>
          <w:rtl/>
          <w:lang w:bidi="ar-KW"/>
        </w:rPr>
        <w:t>،</w:t>
      </w:r>
      <w:r w:rsidR="00777DCB" w:rsidRPr="00A52585">
        <w:rPr>
          <w:rFonts w:hint="cs"/>
          <w:rtl/>
          <w:lang w:bidi="ar-KW"/>
        </w:rPr>
        <w:t xml:space="preserve"> وإن قبل الحوادث لم يؤتمن عليه الفناء والله تعالى هو الحي الباقي كل شيء هالك إلا وجهه</w:t>
      </w:r>
      <w:r w:rsidR="00DB731D" w:rsidRPr="00A52585">
        <w:rPr>
          <w:rFonts w:hint="cs"/>
          <w:rtl/>
          <w:lang w:bidi="ar-KW"/>
        </w:rPr>
        <w:t>،</w:t>
      </w:r>
      <w:r w:rsidR="00777DCB" w:rsidRPr="00A52585">
        <w:rPr>
          <w:rFonts w:hint="cs"/>
          <w:rtl/>
          <w:lang w:bidi="ar-KW"/>
        </w:rPr>
        <w:t xml:space="preserve"> </w:t>
      </w:r>
      <w:r w:rsidR="00777DCB" w:rsidRPr="00A52585">
        <w:rPr>
          <w:rFonts w:hint="cs"/>
          <w:rtl/>
        </w:rPr>
        <w:t>ومن ذلك التقديس نفي الحلول</w:t>
      </w:r>
      <w:r w:rsidR="00DB731D" w:rsidRPr="00A52585">
        <w:rPr>
          <w:rFonts w:hint="cs"/>
          <w:rtl/>
        </w:rPr>
        <w:t>،</w:t>
      </w:r>
      <w:r w:rsidR="00777DCB" w:rsidRPr="00A52585">
        <w:rPr>
          <w:rFonts w:hint="cs"/>
          <w:rtl/>
        </w:rPr>
        <w:t xml:space="preserve"> إذ كيف يحل المنزه عن الحدود في المحدود</w:t>
      </w:r>
      <w:r w:rsidR="00DB731D" w:rsidRPr="00A52585">
        <w:rPr>
          <w:rFonts w:hint="cs"/>
          <w:rtl/>
        </w:rPr>
        <w:t>،</w:t>
      </w:r>
      <w:r w:rsidR="00777DCB" w:rsidRPr="00A52585">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00DB731D" w:rsidRPr="00A52585">
        <w:rPr>
          <w:rFonts w:hint="cs"/>
          <w:rtl/>
        </w:rPr>
        <w:t>،</w:t>
      </w:r>
      <w:r w:rsidR="00777DCB" w:rsidRPr="00A52585">
        <w:rPr>
          <w:rFonts w:hint="cs"/>
          <w:rtl/>
        </w:rPr>
        <w:t xml:space="preserve"> ومن ذلك نفي الاتحاد إذ كيف يتحد المحدث مع القديم والمخلوق مع خالقه</w:t>
      </w:r>
      <w:r w:rsidR="00DB731D" w:rsidRPr="00A52585">
        <w:rPr>
          <w:rFonts w:hint="cs"/>
          <w:rtl/>
        </w:rPr>
        <w:t>،</w:t>
      </w:r>
      <w:r w:rsidR="00777DCB" w:rsidRPr="00A52585">
        <w:rPr>
          <w:rFonts w:hint="cs"/>
          <w:rtl/>
        </w:rPr>
        <w:t xml:space="preserve"> وقد اجمع علماء العقيدة من أهل السنّة والجماعة على تنزيه الله تعالى عن الاتحاد والحلول</w:t>
      </w:r>
      <w:r w:rsidR="00DB731D" w:rsidRPr="00A52585">
        <w:rPr>
          <w:rFonts w:hint="cs"/>
          <w:rtl/>
        </w:rPr>
        <w:t>،</w:t>
      </w:r>
      <w:r w:rsidR="00777DCB" w:rsidRPr="00A52585">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w:t>
      </w:r>
      <w:r w:rsidR="00777DCB" w:rsidRPr="00A52585">
        <w:rPr>
          <w:rFonts w:hint="cs"/>
          <w:rtl/>
        </w:rPr>
        <w:lastRenderedPageBreak/>
        <w:t>الأحد الصمد المنزه عن الجسمية ومستلزماتها</w:t>
      </w:r>
      <w:r w:rsidR="00DB731D" w:rsidRPr="00A52585">
        <w:rPr>
          <w:rFonts w:hint="cs"/>
          <w:rtl/>
        </w:rPr>
        <w:t>،</w:t>
      </w:r>
      <w:r w:rsidR="00777DCB" w:rsidRPr="00A52585">
        <w:rPr>
          <w:rFonts w:hint="cs"/>
          <w:rtl/>
        </w:rPr>
        <w:t xml:space="preserve"> ليس كمثله شيء لا تحيط بكنه ذاته الأفهام ولا تبلغه الأوهام وكل ما خطر بالبال فالله بخلافه</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لَهُ مَا فِي السَّمَوَاتِ وَمَا فِي الْأَرْضِ</w:t>
      </w:r>
      <w:r w:rsidRPr="00A52585">
        <w:rPr>
          <w:rFonts w:hint="cs"/>
          <w:bCs/>
          <w:rtl/>
        </w:rPr>
        <w:t>}</w:t>
      </w:r>
      <w:r w:rsidRPr="00A52585">
        <w:rPr>
          <w:rFonts w:hint="cs"/>
          <w:rtl/>
        </w:rPr>
        <w:t>:</w:t>
      </w:r>
      <w:r w:rsidR="00777DCB" w:rsidRPr="00A52585">
        <w:rPr>
          <w:rFonts w:hint="cs"/>
          <w:rtl/>
        </w:rPr>
        <w:t xml:space="preserve"> الكل خلقه والكل ملكه والكل مربوب بتدبيره وتصريفه وحفظه ورعايته</w:t>
      </w:r>
      <w:r w:rsidR="00DB731D" w:rsidRPr="00A52585">
        <w:rPr>
          <w:rFonts w:hint="cs"/>
          <w:rtl/>
        </w:rPr>
        <w:t>،</w:t>
      </w:r>
      <w:r w:rsidR="00777DCB" w:rsidRPr="00A52585">
        <w:rPr>
          <w:rFonts w:hint="cs"/>
          <w:rtl/>
        </w:rPr>
        <w:t xml:space="preserve"> لا يشذ عن ذلك شيء</w:t>
      </w:r>
      <w:r w:rsidR="00DB731D" w:rsidRPr="00A52585">
        <w:rPr>
          <w:rFonts w:hint="cs"/>
          <w:rtl/>
        </w:rPr>
        <w:t>،</w:t>
      </w:r>
      <w:r w:rsidR="00777DCB" w:rsidRPr="00A52585">
        <w:rPr>
          <w:rFonts w:hint="cs"/>
          <w:rtl/>
        </w:rPr>
        <w:t xml:space="preserve"> هو الملك المالك لكلِّ ذلك</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اللَّهُمَّ مَالِكَ الْمُلْكِ تُؤْتِي الْمُلْكَ مَن تَشَاء وَتَنزِعُ الْمُلْكَ مِمَّن تَشَاء وَتُعِزُّ مَن تَشَاء وَتُذِلُّ مَن تَشَاء بِيَدِكَ الْخَيْرُ إِنَّكَ عَلَىَ كُلِّ شَيْءٍ قَدِيرٌ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26</w:t>
      </w:r>
      <w:r w:rsidRPr="00A52585">
        <w:rPr>
          <w:rFonts w:hint="cs"/>
          <w:rtl/>
        </w:rPr>
        <w:t>]</w:t>
      </w:r>
      <w:r w:rsidR="00DB731D" w:rsidRPr="00A52585">
        <w:rPr>
          <w:rFonts w:hint="cs"/>
          <w:rtl/>
        </w:rPr>
        <w:t>،</w:t>
      </w:r>
      <w:r w:rsidR="00777DCB" w:rsidRPr="00A52585">
        <w:rPr>
          <w:rFonts w:hint="cs"/>
          <w:rtl/>
        </w:rPr>
        <w:t xml:space="preserve"> كل شيء تحت تصرفه هو مالك الملك له ما في السموات وما في الأرض</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مَنْ ذَا الَّذِي يَشْفَعُ عِنْدَهُ إِلَّا بِإِذْنِهِ</w:t>
      </w:r>
      <w:r w:rsidRPr="00A52585">
        <w:rPr>
          <w:rFonts w:hint="cs"/>
          <w:bCs/>
          <w:rtl/>
        </w:rPr>
        <w:t>}</w:t>
      </w:r>
      <w:r w:rsidRPr="00A52585">
        <w:rPr>
          <w:rFonts w:hint="cs"/>
          <w:rtl/>
        </w:rPr>
        <w:t>:</w:t>
      </w:r>
      <w:r w:rsidR="00777DCB" w:rsidRPr="00A52585">
        <w:rPr>
          <w:rFonts w:hint="cs"/>
          <w:rtl/>
        </w:rPr>
        <w:t xml:space="preserve"> له كمال الربوبية والإلهية</w:t>
      </w:r>
      <w:r w:rsidR="00DB731D" w:rsidRPr="00A52585">
        <w:rPr>
          <w:rFonts w:hint="cs"/>
          <w:rtl/>
        </w:rPr>
        <w:t>،</w:t>
      </w:r>
      <w:r w:rsidR="00777DCB" w:rsidRPr="00A52585">
        <w:rPr>
          <w:rFonts w:hint="cs"/>
          <w:rtl/>
        </w:rPr>
        <w:t xml:space="preserve"> لا يشفع أحد عنده أحدٌ إلا بإذنه</w:t>
      </w:r>
      <w:r w:rsidR="00DB731D" w:rsidRPr="00A52585">
        <w:rPr>
          <w:rFonts w:hint="cs"/>
          <w:rtl/>
        </w:rPr>
        <w:t>،</w:t>
      </w:r>
      <w:r w:rsidR="00777DCB" w:rsidRPr="00A52585">
        <w:rPr>
          <w:rFonts w:hint="cs"/>
          <w:rtl/>
        </w:rPr>
        <w:t xml:space="preserve"> حتى الملائكة الأطهار الذين لا ذنب لهم لا يعصون الله تعالى ما أمرهم ويفعلون ما يؤمرن</w:t>
      </w:r>
      <w:r w:rsidR="00DB731D" w:rsidRPr="00A52585">
        <w:rPr>
          <w:rFonts w:hint="cs"/>
          <w:rtl/>
        </w:rPr>
        <w:t>،</w:t>
      </w:r>
      <w:r w:rsidR="00777DCB" w:rsidRPr="00A52585">
        <w:rPr>
          <w:rFonts w:hint="cs"/>
          <w:rtl/>
        </w:rPr>
        <w:t xml:space="preserve"> هؤلاء الذين لا يسبقونه بالقول وهم بأمره يعملون</w:t>
      </w:r>
      <w:r w:rsidR="00DB731D" w:rsidRPr="00A52585">
        <w:rPr>
          <w:rFonts w:hint="cs"/>
          <w:rtl/>
        </w:rPr>
        <w:t>،</w:t>
      </w:r>
      <w:r w:rsidR="00777DCB" w:rsidRPr="00A52585">
        <w:rPr>
          <w:rFonts w:hint="cs"/>
          <w:rtl/>
        </w:rPr>
        <w:t xml:space="preserve"> قال عنهم سبحانه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يَعْلَمُ مَا بَيْنَ أَيْدِيهِمْ وَمَا خَلْفَهُمْ وَلَا يَشْفَعُونَ إِلَّا لِمَنِ ارْتَضَى وَهُمْ مِنْ خَشْيَتِهِ مُشْفِقُونَ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الأنبياء</w:t>
      </w:r>
      <w:r w:rsidRPr="00A52585">
        <w:rPr>
          <w:rFonts w:hint="cs"/>
          <w:rtl/>
        </w:rPr>
        <w:t>:</w:t>
      </w:r>
      <w:r w:rsidR="00777DCB" w:rsidRPr="00A52585">
        <w:rPr>
          <w:rFonts w:hint="cs"/>
          <w:rtl/>
        </w:rPr>
        <w:t xml:space="preserve"> 28</w:t>
      </w:r>
      <w:r w:rsidRPr="00A52585">
        <w:rPr>
          <w:rFonts w:hint="cs"/>
          <w:rtl/>
        </w:rPr>
        <w:t>]</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يَعْلَمُ مَا بَيْنَ أَيْدِيهِمْ وَمَا خَلْفَهُمْ</w:t>
      </w:r>
      <w:r w:rsidRPr="00A52585">
        <w:rPr>
          <w:rFonts w:hint="cs"/>
          <w:bCs/>
          <w:rtl/>
        </w:rPr>
        <w:t>}</w:t>
      </w:r>
      <w:r w:rsidRPr="00A52585">
        <w:rPr>
          <w:rFonts w:hint="cs"/>
          <w:rtl/>
        </w:rPr>
        <w:t>:</w:t>
      </w:r>
      <w:r w:rsidR="00777DCB" w:rsidRPr="00A52585">
        <w:rPr>
          <w:rFonts w:hint="cs"/>
          <w:rtl/>
        </w:rPr>
        <w:t xml:space="preserve"> العلم صفةٌ ذاتيةٌ </w:t>
      </w:r>
      <w:r w:rsidR="00777DCB" w:rsidRPr="00A52585">
        <w:rPr>
          <w:rFonts w:eastAsia="Times New Roman" w:hint="cs"/>
          <w:rtl/>
        </w:rPr>
        <w:t>قديمة قائمة بذاته تعالى</w:t>
      </w:r>
      <w:r w:rsidR="00DB731D" w:rsidRPr="00A52585">
        <w:rPr>
          <w:rFonts w:eastAsia="Times New Roman" w:hint="cs"/>
          <w:rtl/>
        </w:rPr>
        <w:t>،</w:t>
      </w:r>
      <w:r w:rsidR="00777DCB" w:rsidRPr="00A52585">
        <w:rPr>
          <w:rFonts w:hint="cs"/>
          <w:rtl/>
        </w:rPr>
        <w:t xml:space="preserve"> وهي صفة أزلية يعلم بها جميع الأشياء</w:t>
      </w:r>
      <w:r w:rsidR="00DB731D" w:rsidRPr="00A52585">
        <w:rPr>
          <w:rFonts w:hint="cs"/>
          <w:rtl/>
        </w:rPr>
        <w:t>،</w:t>
      </w:r>
      <w:r w:rsidR="00777DCB" w:rsidRPr="00A52585">
        <w:rPr>
          <w:rFonts w:hint="cs"/>
          <w:rtl/>
        </w:rPr>
        <w:t xml:space="preserve"> الواجبات والممكنات والمستحيلات</w:t>
      </w:r>
      <w:r w:rsidR="00DB731D" w:rsidRPr="00A52585">
        <w:rPr>
          <w:rFonts w:hint="cs"/>
          <w:rtl/>
        </w:rPr>
        <w:t>،</w:t>
      </w:r>
      <w:r w:rsidR="00777DCB" w:rsidRPr="00A52585">
        <w:rPr>
          <w:rFonts w:eastAsia="Times New Roman" w:hint="cs"/>
          <w:rtl/>
        </w:rPr>
        <w:t xml:space="preserve"> يعلم ما كان وما يكون وما لم يكن كيف كان لو انه يكون</w:t>
      </w:r>
      <w:r w:rsidR="00DB731D" w:rsidRPr="00A52585">
        <w:rPr>
          <w:rFonts w:eastAsia="Times New Roman" w:hint="cs"/>
          <w:rtl/>
        </w:rPr>
        <w:t>،</w:t>
      </w:r>
      <w:r w:rsidR="00777DCB" w:rsidRPr="00A52585">
        <w:rPr>
          <w:rFonts w:eastAsia="Times New Roman" w:hint="cs"/>
          <w:rtl/>
        </w:rPr>
        <w:t xml:space="preserve"> ويعلم في الأزل من يدخل الجنة ومن يدخل النار</w:t>
      </w:r>
      <w:r w:rsidR="00DB731D" w:rsidRPr="00A52585">
        <w:rPr>
          <w:rFonts w:eastAsia="Times New Roman" w:hint="cs"/>
          <w:rtl/>
        </w:rPr>
        <w:t>،</w:t>
      </w:r>
      <w:r w:rsidR="00777DCB" w:rsidRPr="00A52585">
        <w:rPr>
          <w:rFonts w:eastAsia="Times New Roman" w:hint="cs"/>
          <w:rtl/>
        </w:rPr>
        <w:t xml:space="preserve"> ويعلم أفعال عباده</w:t>
      </w:r>
      <w:r w:rsidR="00DB731D" w:rsidRPr="00A52585">
        <w:rPr>
          <w:rFonts w:eastAsia="Times New Roman" w:hint="cs"/>
          <w:rtl/>
        </w:rPr>
        <w:t>،</w:t>
      </w:r>
      <w:r w:rsidR="00777DCB" w:rsidRPr="00A52585">
        <w:rPr>
          <w:rFonts w:eastAsia="Times New Roman" w:hint="cs"/>
          <w:rtl/>
        </w:rPr>
        <w:t xml:space="preserve"> وكل ما يكون منهم. عالم بكل شيء</w:t>
      </w:r>
      <w:r w:rsidR="00DB731D" w:rsidRPr="00A52585">
        <w:rPr>
          <w:rFonts w:eastAsia="Times New Roman" w:hint="cs"/>
          <w:rtl/>
        </w:rPr>
        <w:t>،</w:t>
      </w:r>
      <w:r w:rsidR="00777DCB" w:rsidRPr="00A52585">
        <w:rPr>
          <w:rFonts w:eastAsia="Times New Roman" w:hint="cs"/>
          <w:rtl/>
        </w:rPr>
        <w:t xml:space="preserve"> عليم بذات الصدور</w:t>
      </w:r>
      <w:r w:rsidR="00DB731D" w:rsidRPr="00A52585">
        <w:rPr>
          <w:rFonts w:eastAsia="Times New Roman" w:hint="cs"/>
          <w:rtl/>
        </w:rPr>
        <w:t>،</w:t>
      </w:r>
      <w:r w:rsidR="00777DCB" w:rsidRPr="00A52585">
        <w:rPr>
          <w:rFonts w:eastAsia="Times New Roman" w:hint="cs"/>
          <w:rtl/>
        </w:rPr>
        <w:t xml:space="preserve"> لا تخفى عليه خافية</w:t>
      </w:r>
      <w:r w:rsidR="00DB731D" w:rsidRPr="00A52585">
        <w:rPr>
          <w:rFonts w:eastAsia="Times New Roman" w:hint="cs"/>
          <w:rtl/>
        </w:rPr>
        <w:t>،</w:t>
      </w:r>
      <w:r w:rsidR="00777DCB" w:rsidRPr="00A52585">
        <w:rPr>
          <w:rFonts w:eastAsia="Times New Roman" w:hint="cs"/>
          <w:rtl/>
        </w:rPr>
        <w:t xml:space="preserve"> وعلم الله تعالى ذاتي لا يستفاد من المعلومات</w:t>
      </w:r>
      <w:r w:rsidR="00DB731D" w:rsidRPr="00A52585">
        <w:rPr>
          <w:rFonts w:eastAsia="Times New Roman" w:hint="cs"/>
          <w:rtl/>
        </w:rPr>
        <w:t>،</w:t>
      </w:r>
      <w:r w:rsidR="00777DCB" w:rsidRPr="00A52585">
        <w:rPr>
          <w:rFonts w:eastAsia="Times New Roman" w:hint="cs"/>
          <w:rtl/>
        </w:rPr>
        <w:t xml:space="preserve"> وعلم الله تعالى قديم كامل</w:t>
      </w:r>
      <w:r w:rsidR="00DB731D" w:rsidRPr="00A52585">
        <w:rPr>
          <w:rFonts w:eastAsia="Times New Roman" w:hint="cs"/>
          <w:rtl/>
        </w:rPr>
        <w:t>،</w:t>
      </w:r>
      <w:r w:rsidR="00777DCB" w:rsidRPr="00A52585">
        <w:rPr>
          <w:rFonts w:eastAsia="Times New Roman" w:hint="cs"/>
          <w:rtl/>
        </w:rPr>
        <w:t xml:space="preserve"> ولهذا وجدت المخلوقات على هذه الدقة المتناهية لا خلل فيها ولا فطور</w:t>
      </w:r>
      <w:r w:rsidR="00DB731D" w:rsidRPr="00A52585">
        <w:rPr>
          <w:rFonts w:eastAsia="Times New Roman" w:hint="cs"/>
          <w:rtl/>
        </w:rPr>
        <w:t>،</w:t>
      </w:r>
      <w:r w:rsidR="00777DCB" w:rsidRPr="00A52585">
        <w:rPr>
          <w:rFonts w:eastAsia="Times New Roman" w:hint="cs"/>
          <w:rtl/>
        </w:rPr>
        <w:t xml:space="preserve"> ووجد الكون على هذا الصنع البديع</w:t>
      </w:r>
      <w:r w:rsidR="00DB731D" w:rsidRPr="00A52585">
        <w:rPr>
          <w:rFonts w:eastAsia="Times New Roman" w:hint="cs"/>
          <w:rtl/>
        </w:rPr>
        <w:t>،</w:t>
      </w:r>
      <w:r w:rsidR="00777DCB" w:rsidRPr="00A52585">
        <w:rPr>
          <w:rFonts w:eastAsia="Times New Roman" w:hint="cs"/>
          <w:rtl/>
        </w:rPr>
        <w:t xml:space="preserve"> وعلم الله تعـالى ليس </w:t>
      </w:r>
      <w:proofErr w:type="spellStart"/>
      <w:r w:rsidR="00777DCB" w:rsidRPr="00A52585">
        <w:rPr>
          <w:rFonts w:eastAsia="Times New Roman" w:hint="cs"/>
          <w:rtl/>
        </w:rPr>
        <w:t>كسبيا</w:t>
      </w:r>
      <w:proofErr w:type="spellEnd"/>
      <w:r w:rsidRPr="00A52585">
        <w:rPr>
          <w:rFonts w:eastAsia="Times New Roman" w:hint="cs"/>
          <w:rtl/>
        </w:rPr>
        <w:t xml:space="preserve"> </w:t>
      </w:r>
      <w:r w:rsidR="00777DCB" w:rsidRPr="00A52585">
        <w:rPr>
          <w:rFonts w:eastAsia="Times New Roman" w:hint="cs"/>
          <w:rtl/>
        </w:rPr>
        <w:t>ولا يوصف بكونه ضرورياً أو نظريا أو بديهياً أو يقينيا أو تصورياً أو تصديقياً</w:t>
      </w:r>
      <w:r w:rsidR="00DB731D" w:rsidRPr="00A52585">
        <w:rPr>
          <w:rFonts w:eastAsia="Times New Roman" w:hint="cs"/>
          <w:rtl/>
        </w:rPr>
        <w:t>،</w:t>
      </w:r>
      <w:r w:rsidR="00777DCB" w:rsidRPr="00A52585">
        <w:rPr>
          <w:rFonts w:eastAsia="Times New Roman" w:hint="cs"/>
          <w:rtl/>
        </w:rPr>
        <w:t xml:space="preserve"> لأنه صفة قديمة </w:t>
      </w:r>
      <w:r w:rsidR="00777DCB" w:rsidRPr="00A52585">
        <w:rPr>
          <w:rFonts w:hint="cs"/>
          <w:rtl/>
        </w:rPr>
        <w:t>أزلية ليس لها نهاية ولا بداية يعلم بها الله تبارك وتعالى جميع الأشياء</w:t>
      </w:r>
      <w:r w:rsidR="00DB731D" w:rsidRPr="00A52585">
        <w:rPr>
          <w:rFonts w:hint="cs"/>
          <w:rtl/>
        </w:rPr>
        <w:t>،</w:t>
      </w:r>
      <w:r w:rsidR="00777DCB" w:rsidRPr="00A52585">
        <w:rPr>
          <w:rFonts w:hint="cs"/>
          <w:rtl/>
        </w:rPr>
        <w:t xml:space="preserve"> لا يضل ربي ولا ينسى</w:t>
      </w:r>
      <w:r w:rsidR="00DB731D" w:rsidRPr="00A52585">
        <w:rPr>
          <w:rFonts w:eastAsia="Times New Roman" w:hint="cs"/>
          <w:rtl/>
        </w:rPr>
        <w:t>،</w:t>
      </w:r>
      <w:r w:rsidR="00777DCB" w:rsidRPr="00A52585">
        <w:rPr>
          <w:rFonts w:eastAsia="Times New Roman" w:hint="cs"/>
          <w:rtl/>
        </w:rPr>
        <w:t xml:space="preserve"> </w:t>
      </w:r>
      <w:r w:rsidR="00777DCB" w:rsidRPr="00A52585">
        <w:rPr>
          <w:rFonts w:hint="cs"/>
          <w:rtl/>
        </w:rPr>
        <w:t>وصفة العلم صفة واجبة قائمة بذات الله تعالى ليست تابعة</w:t>
      </w:r>
      <w:r w:rsidRPr="00A52585">
        <w:rPr>
          <w:rFonts w:hint="cs"/>
          <w:rtl/>
        </w:rPr>
        <w:t xml:space="preserve"> </w:t>
      </w:r>
      <w:r w:rsidR="00777DCB" w:rsidRPr="00A52585">
        <w:rPr>
          <w:rFonts w:hint="cs"/>
          <w:rtl/>
        </w:rPr>
        <w:t>للمشيئة بل هي تابعة للذات والله موصوف بها أزلا وأبدا</w:t>
      </w:r>
      <w:r w:rsidR="00DB731D" w:rsidRPr="00A52585">
        <w:rPr>
          <w:rFonts w:hint="cs"/>
          <w:rtl/>
        </w:rPr>
        <w:t>،</w:t>
      </w:r>
      <w:r w:rsidR="00777DCB" w:rsidRPr="00A52585">
        <w:rPr>
          <w:rFonts w:hint="cs"/>
          <w:rtl/>
        </w:rPr>
        <w:t xml:space="preserve"> لا يغيب عنه أي معلوم</w:t>
      </w:r>
      <w:r w:rsidR="00DB731D" w:rsidRPr="00A52585">
        <w:rPr>
          <w:rFonts w:hint="cs"/>
          <w:rtl/>
        </w:rPr>
        <w:t>،</w:t>
      </w:r>
      <w:r w:rsidR="00777DCB" w:rsidRPr="00A52585">
        <w:rPr>
          <w:rFonts w:hint="cs"/>
          <w:rtl/>
        </w:rPr>
        <w:t xml:space="preserve"> </w:t>
      </w:r>
      <w:r w:rsidR="00777DCB" w:rsidRPr="00A52585">
        <w:rPr>
          <w:rFonts w:eastAsia="Times New Roman" w:hint="cs"/>
          <w:rtl/>
        </w:rPr>
        <w:t>وهو بكل شيء عليم</w:t>
      </w:r>
      <w:r w:rsidR="00DB731D" w:rsidRPr="00A52585">
        <w:rPr>
          <w:rFonts w:eastAsia="Times New Roman" w:hint="cs"/>
          <w:rtl/>
        </w:rPr>
        <w:t>،</w:t>
      </w:r>
      <w:r w:rsidR="00777DCB" w:rsidRPr="00A52585">
        <w:rPr>
          <w:rFonts w:hint="cs"/>
          <w:rtl/>
        </w:rPr>
        <w:t xml:space="preserve"> يعلم سبحانه تفاصيل الامور</w:t>
      </w:r>
      <w:r w:rsidR="00DB731D" w:rsidRPr="00A52585">
        <w:rPr>
          <w:rFonts w:hint="cs"/>
          <w:rtl/>
        </w:rPr>
        <w:t>،</w:t>
      </w:r>
      <w:r w:rsidR="00777DCB" w:rsidRPr="00A52585">
        <w:rPr>
          <w:rFonts w:hint="cs"/>
          <w:rtl/>
        </w:rPr>
        <w:t xml:space="preserve"> ودقائق الاشياء</w:t>
      </w:r>
      <w:r w:rsidR="00DB731D" w:rsidRPr="00A52585">
        <w:rPr>
          <w:rFonts w:hint="cs"/>
          <w:rtl/>
        </w:rPr>
        <w:t>،</w:t>
      </w:r>
      <w:r w:rsidR="00777DCB" w:rsidRPr="00A52585">
        <w:rPr>
          <w:rFonts w:hint="cs"/>
          <w:rtl/>
        </w:rPr>
        <w:t xml:space="preserve"> وخفايا الضمائر</w:t>
      </w:r>
      <w:r w:rsidR="00DB731D" w:rsidRPr="00A52585">
        <w:rPr>
          <w:rFonts w:hint="cs"/>
          <w:rtl/>
        </w:rPr>
        <w:t>،</w:t>
      </w:r>
      <w:r w:rsidR="00777DCB" w:rsidRPr="00A52585">
        <w:rPr>
          <w:rFonts w:hint="cs"/>
          <w:rtl/>
        </w:rPr>
        <w:t xml:space="preserve"> والنفوس</w:t>
      </w:r>
      <w:r w:rsidR="00DB731D" w:rsidRPr="00A52585">
        <w:rPr>
          <w:rFonts w:hint="cs"/>
          <w:rtl/>
        </w:rPr>
        <w:t>،</w:t>
      </w:r>
      <w:r w:rsidR="00777DCB" w:rsidRPr="00A52585">
        <w:rPr>
          <w:rFonts w:hint="cs"/>
          <w:rtl/>
        </w:rPr>
        <w:t xml:space="preserve"> لا يعزب عن ملكه مثقال ذرة</w:t>
      </w:r>
      <w:r w:rsidR="00DB731D" w:rsidRPr="00A52585">
        <w:rPr>
          <w:rFonts w:hint="cs"/>
          <w:rtl/>
        </w:rPr>
        <w:t>،</w:t>
      </w:r>
      <w:r w:rsidR="00777DCB" w:rsidRPr="00A52585">
        <w:rPr>
          <w:rFonts w:hint="cs"/>
          <w:rtl/>
        </w:rPr>
        <w:t xml:space="preserve"> فعلمه يحيط بجميع الاشياء</w:t>
      </w:r>
      <w:r w:rsidR="00DB731D" w:rsidRPr="00A52585">
        <w:rPr>
          <w:rFonts w:hint="cs"/>
          <w:rtl/>
        </w:rPr>
        <w:t>،</w:t>
      </w:r>
      <w:r w:rsidR="00777DCB" w:rsidRPr="00A52585">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sidR="00DB731D" w:rsidRPr="00A52585">
        <w:rPr>
          <w:rFonts w:hint="cs"/>
          <w:rtl/>
        </w:rPr>
        <w:t>،</w:t>
      </w:r>
      <w:r w:rsidR="00777DCB" w:rsidRPr="00A52585">
        <w:rPr>
          <w:rFonts w:hint="cs"/>
          <w:rtl/>
        </w:rPr>
        <w:t xml:space="preserve"> ليس كمثل ذاته ذات ولا كمثل صفاته صفات</w:t>
      </w:r>
      <w:r w:rsidR="00DB731D" w:rsidRPr="00A52585">
        <w:rPr>
          <w:rFonts w:hint="cs"/>
          <w:rtl/>
        </w:rPr>
        <w:t>،</w:t>
      </w:r>
      <w:r w:rsidR="00777DCB" w:rsidRPr="00A52585">
        <w:rPr>
          <w:rFonts w:hint="cs"/>
          <w:rtl/>
        </w:rPr>
        <w:t xml:space="preserve"> وهو بكل شيء عليم</w:t>
      </w:r>
      <w:r w:rsidR="00DB731D" w:rsidRPr="00A52585">
        <w:rPr>
          <w:rFonts w:hint="cs"/>
          <w:rtl/>
        </w:rPr>
        <w:t>،</w:t>
      </w:r>
      <w:r w:rsidR="00777DCB" w:rsidRPr="00A52585">
        <w:rPr>
          <w:rFonts w:hint="cs"/>
          <w:rtl/>
        </w:rPr>
        <w:t xml:space="preserve"> علمٌ أزلي قديم ليس كمثله علم</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وَلَا يُحِيطُونَ بِشَيْءٍ مِنْ عِلْمِهِ إِلَّا بِمَا شَاءَ</w:t>
      </w:r>
      <w:r w:rsidRPr="00A52585">
        <w:rPr>
          <w:rFonts w:hint="cs"/>
          <w:bCs/>
          <w:rtl/>
        </w:rPr>
        <w:t>}</w:t>
      </w:r>
      <w:r w:rsidRPr="00A52585">
        <w:rPr>
          <w:rFonts w:hint="cs"/>
          <w:rtl/>
        </w:rPr>
        <w:t>:</w:t>
      </w:r>
      <w:r w:rsidR="00777DCB" w:rsidRPr="00A52585">
        <w:rPr>
          <w:rFonts w:hint="cs"/>
          <w:rtl/>
        </w:rPr>
        <w:t xml:space="preserve"> فلا تُحيط الخلائق بشيء من علمه إلا بما شاء</w:t>
      </w:r>
      <w:r w:rsidR="00DB731D" w:rsidRPr="00A52585">
        <w:rPr>
          <w:rFonts w:hint="cs"/>
          <w:rtl/>
        </w:rPr>
        <w:t>،</w:t>
      </w:r>
      <w:r w:rsidR="00777DCB" w:rsidRPr="00A52585">
        <w:rPr>
          <w:rFonts w:hint="cs"/>
          <w:rtl/>
        </w:rPr>
        <w:t xml:space="preserve"> ولا يحيطون به علماً لأنّه الذي لا </w:t>
      </w:r>
      <w:r w:rsidR="00777DCB" w:rsidRPr="00A52585">
        <w:rPr>
          <w:rFonts w:hint="cs"/>
          <w:rtl/>
        </w:rPr>
        <w:lastRenderedPageBreak/>
        <w:t>تبلغه الأوهام</w:t>
      </w:r>
      <w:r w:rsidR="00DB731D" w:rsidRPr="00A52585">
        <w:rPr>
          <w:rFonts w:hint="cs"/>
          <w:rtl/>
        </w:rPr>
        <w:t>،</w:t>
      </w:r>
      <w:r w:rsidR="00777DCB" w:rsidRPr="00A52585">
        <w:rPr>
          <w:rFonts w:hint="cs"/>
          <w:rtl/>
        </w:rPr>
        <w:t xml:space="preserve"> ولا تدركه الأفهام</w:t>
      </w:r>
      <w:r w:rsidR="00DB731D" w:rsidRPr="00A52585">
        <w:rPr>
          <w:rFonts w:hint="cs"/>
          <w:rtl/>
        </w:rPr>
        <w:t>،</w:t>
      </w:r>
      <w:r w:rsidR="00777DCB" w:rsidRPr="00A52585">
        <w:rPr>
          <w:rFonts w:hint="cs"/>
          <w:rtl/>
        </w:rPr>
        <w:t xml:space="preserve"> فلا تبلغه الظنون والخيالات</w:t>
      </w:r>
      <w:r w:rsidR="00DB731D" w:rsidRPr="00A52585">
        <w:rPr>
          <w:rFonts w:hint="cs"/>
          <w:rtl/>
        </w:rPr>
        <w:t>،</w:t>
      </w:r>
      <w:r w:rsidR="00777DCB" w:rsidRPr="00A52585">
        <w:rPr>
          <w:rFonts w:hint="cs"/>
          <w:rtl/>
        </w:rPr>
        <w:t xml:space="preserve"> ولا يمكن للخلائق أن يدركوا حقيقة ذات الرب أو شيءٍ من صفاته</w:t>
      </w:r>
      <w:r w:rsidR="00DB731D" w:rsidRPr="00A52585">
        <w:rPr>
          <w:rFonts w:hint="cs"/>
          <w:rtl/>
        </w:rPr>
        <w:t>،</w:t>
      </w:r>
      <w:r w:rsidR="00777DCB" w:rsidRPr="00A52585">
        <w:rPr>
          <w:rFonts w:eastAsia="Times New Roman" w:hint="cs"/>
          <w:rtl/>
        </w:rPr>
        <w:t xml:space="preserve"> قال تعالى: </w:t>
      </w:r>
      <w:r w:rsidRPr="00A52585">
        <w:rPr>
          <w:rFonts w:eastAsia="Times New Roman" w:hint="cs"/>
          <w:rtl/>
        </w:rPr>
        <w:t>{</w:t>
      </w:r>
      <w:r w:rsidR="00777DCB" w:rsidRPr="00A52585">
        <w:rPr>
          <w:rFonts w:eastAsia="Times New Roman" w:hint="cs"/>
          <w:rtl/>
        </w:rPr>
        <w:t>لا تُدْرِكُهُ الْأَبْصَارُ</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وقال تعالى: </w:t>
      </w:r>
      <w:r w:rsidRPr="00A52585">
        <w:rPr>
          <w:rFonts w:eastAsia="Times New Roman" w:hint="cs"/>
          <w:rtl/>
        </w:rPr>
        <w:t>{</w:t>
      </w:r>
      <w:r w:rsidR="00777DCB" w:rsidRPr="00A52585">
        <w:rPr>
          <w:rFonts w:eastAsia="Times New Roman" w:hint="cs"/>
          <w:rtl/>
        </w:rPr>
        <w:t>وَلا يُحِيطُونَ بِهِ عِلْماً</w:t>
      </w:r>
      <w:r w:rsidRPr="00A52585">
        <w:rPr>
          <w:rFonts w:eastAsia="Times New Roman" w:hint="cs"/>
          <w:rtl/>
        </w:rPr>
        <w:t>}</w:t>
      </w:r>
      <w:r w:rsidR="00777DCB" w:rsidRPr="00A52585">
        <w:rPr>
          <w:rFonts w:eastAsia="Times New Roman" w:hint="cs"/>
          <w:rtl/>
        </w:rPr>
        <w:t xml:space="preserve"> والله سبحانه وتعالى: </w:t>
      </w:r>
      <w:r w:rsidRPr="00A52585">
        <w:rPr>
          <w:rFonts w:eastAsia="Times New Roman" w:hint="cs"/>
          <w:rtl/>
        </w:rPr>
        <w:t>{</w:t>
      </w:r>
      <w:r w:rsidR="00777DCB" w:rsidRPr="00A52585">
        <w:rPr>
          <w:rFonts w:eastAsia="Times New Roman" w:hint="cs"/>
          <w:rtl/>
        </w:rPr>
        <w:t>لَيْسَ كَمِثْلِهِ شَيْءٌ</w:t>
      </w:r>
      <w:r w:rsidRPr="00A52585">
        <w:rPr>
          <w:rFonts w:eastAsia="Times New Roman" w:hint="cs"/>
          <w:rtl/>
        </w:rPr>
        <w:t>}</w:t>
      </w:r>
      <w:r w:rsidR="00777DCB" w:rsidRPr="00A52585">
        <w:rPr>
          <w:rFonts w:eastAsia="Times New Roman" w:hint="cs"/>
          <w:rtl/>
        </w:rPr>
        <w:t xml:space="preserve"> وكل ما خطر بالبال فإن الله تعالى بخلاف ذلك</w:t>
      </w:r>
      <w:r w:rsidR="00DB731D" w:rsidRPr="00A52585">
        <w:rPr>
          <w:rFonts w:eastAsia="Times New Roman" w:hint="cs"/>
          <w:rtl/>
        </w:rPr>
        <w:t>،</w:t>
      </w:r>
      <w:r w:rsidR="00777DCB" w:rsidRPr="00A52585">
        <w:rPr>
          <w:rFonts w:hint="cs"/>
          <w:rtl/>
        </w:rPr>
        <w:t xml:space="preserve"> وإنما فوائد قواعد التقديس وأصول علم توحيد الذات تتمثل في كونها</w:t>
      </w:r>
      <w:r w:rsidRPr="00A52585">
        <w:rPr>
          <w:rFonts w:hint="cs"/>
          <w:rtl/>
        </w:rPr>
        <w:t>:</w:t>
      </w:r>
      <w:r w:rsidR="00777DCB" w:rsidRPr="00A52585">
        <w:rPr>
          <w:rFonts w:hint="cs"/>
          <w:rtl/>
        </w:rPr>
        <w:t xml:space="preserve"> قواعد ربانية دل عليها الكتاب والسنة والعقل الصحيح</w:t>
      </w:r>
      <w:r w:rsidR="00DB731D" w:rsidRPr="00A52585">
        <w:rPr>
          <w:rFonts w:hint="cs"/>
          <w:rtl/>
        </w:rPr>
        <w:t>،</w:t>
      </w:r>
      <w:r w:rsidR="00777DCB" w:rsidRPr="00A52585">
        <w:rPr>
          <w:rFonts w:hint="cs"/>
          <w:rtl/>
        </w:rPr>
        <w:t xml:space="preserve"> تمنع من تشبيه الله تعالى في ذاته أو صفاته أو أفعاله بأحد من خلقه</w:t>
      </w:r>
      <w:r w:rsidR="00DB731D" w:rsidRPr="00A52585">
        <w:rPr>
          <w:rFonts w:hint="cs"/>
          <w:rtl/>
        </w:rPr>
        <w:t>،</w:t>
      </w:r>
      <w:r w:rsidR="00777DCB" w:rsidRPr="00A52585">
        <w:rPr>
          <w:rFonts w:hint="cs"/>
          <w:rtl/>
        </w:rPr>
        <w:t xml:space="preserve"> وهذه القواعد ترسخ التقديس والتنزيه والتسبيح في عقل المسلم ووجدانه</w:t>
      </w:r>
      <w:r w:rsidR="00DB731D" w:rsidRPr="00A52585">
        <w:rPr>
          <w:rFonts w:hint="cs"/>
          <w:rtl/>
        </w:rPr>
        <w:t>،</w:t>
      </w:r>
      <w:r w:rsidR="00777DCB" w:rsidRPr="00A52585">
        <w:rPr>
          <w:rFonts w:hint="cs"/>
          <w:rtl/>
        </w:rPr>
        <w:t xml:space="preserve"> وتمنعه من أي تمثيل لله تعالى بشيء من خلقه لأنّه ليس كمثله شيء</w:t>
      </w:r>
      <w:r w:rsidR="00DB731D" w:rsidRPr="00A52585">
        <w:rPr>
          <w:rFonts w:hint="cs"/>
          <w:rtl/>
        </w:rPr>
        <w:t>،</w:t>
      </w:r>
      <w:r w:rsidR="00777DCB" w:rsidRPr="00A52585">
        <w:rPr>
          <w:rFonts w:hint="cs"/>
          <w:rtl/>
        </w:rPr>
        <w:t xml:space="preserve"> تعالى عن الند والشبيه والمثيل والكفء والشريك والمعين والوزير والصاحبة والولد</w:t>
      </w:r>
      <w:r w:rsidR="00DB731D" w:rsidRPr="00A52585">
        <w:rPr>
          <w:rFonts w:hint="cs"/>
          <w:rtl/>
        </w:rPr>
        <w:t>،</w:t>
      </w:r>
      <w:r w:rsidR="00777DCB" w:rsidRPr="00A52585">
        <w:rPr>
          <w:rFonts w:hint="cs"/>
          <w:rtl/>
        </w:rPr>
        <w:t xml:space="preserve"> ومن أهم فوائد تلك القواعد التي تقدس لله وتنزه له</w:t>
      </w:r>
      <w:r w:rsidR="00DB731D" w:rsidRPr="00A52585">
        <w:rPr>
          <w:rFonts w:hint="cs"/>
          <w:rtl/>
        </w:rPr>
        <w:t>،</w:t>
      </w:r>
      <w:r w:rsidR="00777DCB" w:rsidRPr="00A52585">
        <w:rPr>
          <w:rFonts w:hint="cs"/>
          <w:rtl/>
        </w:rPr>
        <w:t xml:space="preserve"> أنها تقطع الطمع تماماً في إدراك ذات الله</w:t>
      </w:r>
      <w:r w:rsidR="00DB731D" w:rsidRPr="00A52585">
        <w:rPr>
          <w:rFonts w:hint="cs"/>
          <w:rtl/>
        </w:rPr>
        <w:t>،</w:t>
      </w:r>
      <w:r w:rsidR="00777DCB" w:rsidRPr="00A52585">
        <w:rPr>
          <w:rFonts w:hint="cs"/>
          <w:rtl/>
        </w:rPr>
        <w:t xml:space="preserve"> وأنها تصفي الذهن تماماً من شوائب التجسيم والتشبيه</w:t>
      </w:r>
      <w:r w:rsidR="00DB731D" w:rsidRPr="00A52585">
        <w:rPr>
          <w:rFonts w:hint="cs"/>
          <w:rtl/>
        </w:rPr>
        <w:t>،</w:t>
      </w:r>
      <w:r w:rsidR="00777DCB" w:rsidRPr="00A52585">
        <w:rPr>
          <w:rFonts w:hint="cs"/>
          <w:rtl/>
        </w:rPr>
        <w:t xml:space="preserve"> حتى تجعل معتقدها كانه يعيش مع الملائكة في تنزيه الله تعالى وتسبيحه كما في قوله تعالى - على لسان الملائكة - </w:t>
      </w:r>
      <w:r w:rsidRPr="00A52585">
        <w:rPr>
          <w:rFonts w:hint="cs"/>
          <w:rtl/>
        </w:rPr>
        <w:t>{</w:t>
      </w:r>
      <w:r w:rsidR="00777DCB" w:rsidRPr="00A52585">
        <w:rPr>
          <w:rFonts w:hint="cs"/>
          <w:rtl/>
        </w:rPr>
        <w:t>وَنَحْنُ نُسَبِّحُ بِحَمْدِكَ وَنُقَدِّسُ لَكَ</w:t>
      </w:r>
      <w:r w:rsidRPr="00A52585">
        <w:rPr>
          <w:rFonts w:hint="cs"/>
          <w:rtl/>
        </w:rPr>
        <w:t>}</w:t>
      </w:r>
      <w:r w:rsidR="00777DCB" w:rsidRPr="00A52585">
        <w:rPr>
          <w:rFonts w:hint="cs"/>
          <w:rtl/>
        </w:rPr>
        <w:t>، أو يتمثل الكائنات من السموات والأرض والجبال وهي تتجاوب مع التقديس وتتألم لدعاوى التشبيه والتمثيل</w:t>
      </w:r>
      <w:r w:rsidRPr="00A52585">
        <w:rPr>
          <w:rFonts w:hint="cs"/>
          <w:rtl/>
        </w:rPr>
        <w:t xml:space="preserve"> </w:t>
      </w:r>
      <w:r w:rsidR="00777DCB" w:rsidRPr="00A52585">
        <w:rPr>
          <w:rFonts w:hint="cs"/>
          <w:rtl/>
        </w:rPr>
        <w:t>من عالم البشر في حق الله تعالى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89 إلى 93</w:t>
      </w:r>
      <w:r w:rsidRPr="00A52585">
        <w:rPr>
          <w:rFonts w:hint="cs"/>
          <w:rtl/>
        </w:rPr>
        <w:t>]</w:t>
      </w:r>
      <w:r w:rsidR="00DB731D" w:rsidRPr="00A52585">
        <w:rPr>
          <w:rFonts w:hint="cs"/>
          <w:rtl/>
        </w:rPr>
        <w:t>،</w:t>
      </w:r>
      <w:r w:rsidR="00777DCB" w:rsidRPr="00A52585">
        <w:rPr>
          <w:rFonts w:hint="cs"/>
          <w:rtl/>
        </w:rPr>
        <w:t xml:space="preserve"> وقواعد التوحيد والتقديس والتنزيه هي مبادئ الفقه في العقيدة</w:t>
      </w:r>
      <w:r w:rsidR="00DB731D" w:rsidRPr="00A52585">
        <w:rPr>
          <w:rFonts w:hint="cs"/>
          <w:rtl/>
        </w:rPr>
        <w:t>،</w:t>
      </w:r>
      <w:r w:rsidR="00777DCB" w:rsidRPr="00A52585">
        <w:rPr>
          <w:rFonts w:hint="cs"/>
          <w:rtl/>
        </w:rPr>
        <w:t xml:space="preserve"> والفقه في التوحيد والتقديس</w:t>
      </w:r>
      <w:r w:rsidR="00DB731D" w:rsidRPr="00A52585">
        <w:rPr>
          <w:rFonts w:hint="cs"/>
          <w:rtl/>
        </w:rPr>
        <w:t>،</w:t>
      </w:r>
      <w:r w:rsidR="00777DCB" w:rsidRPr="00A52585">
        <w:rPr>
          <w:rFonts w:hint="cs"/>
          <w:rtl/>
        </w:rPr>
        <w:t xml:space="preserve"> وهذا هو الفقه الذي لا يصح لمسلم أن يتكلم في علم الإلهيات إلا وهو ملم به</w:t>
      </w:r>
      <w:r w:rsidR="00DB731D" w:rsidRPr="00A52585">
        <w:rPr>
          <w:rFonts w:hint="cs"/>
          <w:rtl/>
        </w:rPr>
        <w:t>،</w:t>
      </w:r>
      <w:r w:rsidR="00777DCB" w:rsidRPr="00A52585">
        <w:rPr>
          <w:rFonts w:hint="cs"/>
          <w:rtl/>
        </w:rPr>
        <w:t xml:space="preserve"> </w:t>
      </w:r>
      <w:r w:rsidR="00777DCB" w:rsidRPr="00A52585">
        <w:rPr>
          <w:rFonts w:eastAsia="Times New Roman" w:hint="cs"/>
          <w:rtl/>
        </w:rPr>
        <w:t>بل يمكننا القول بأنّ المقصود من دراسة توحيد الذات هو وضع قواعد التقديس التي تمنع من الخوض في ذات الله</w:t>
      </w:r>
      <w:r w:rsidR="00DB731D" w:rsidRPr="00A52585">
        <w:rPr>
          <w:rFonts w:eastAsia="Times New Roman" w:hint="cs"/>
          <w:rtl/>
        </w:rPr>
        <w:t>،</w:t>
      </w:r>
      <w:r w:rsidRPr="00A52585">
        <w:rPr>
          <w:rFonts w:hint="cs"/>
          <w:rtl/>
          <w:lang w:bidi="ar-KW"/>
        </w:rPr>
        <w:t xml:space="preserve"> </w:t>
      </w:r>
      <w:r w:rsidRPr="00A52585">
        <w:rPr>
          <w:rFonts w:hint="cs"/>
          <w:bCs/>
          <w:rtl/>
          <w:lang w:bidi="ar-KW"/>
        </w:rPr>
        <w:t>{</w:t>
      </w:r>
      <w:r w:rsidR="00777DCB" w:rsidRPr="00A52585">
        <w:rPr>
          <w:rFonts w:hint="cs"/>
          <w:bCs/>
          <w:rtl/>
        </w:rPr>
        <w:t>وَسِعَ كُرْسِيُّهُ السَّمَوَاتِ وَالْأَرْضَ</w:t>
      </w:r>
      <w:r w:rsidRPr="00A52585">
        <w:rPr>
          <w:rFonts w:hint="cs"/>
          <w:bCs/>
          <w:rtl/>
        </w:rPr>
        <w:t>}</w:t>
      </w:r>
      <w:r w:rsidRPr="00A52585">
        <w:rPr>
          <w:rFonts w:hint="cs"/>
          <w:rtl/>
        </w:rPr>
        <w:t>:</w:t>
      </w:r>
      <w:r w:rsidR="00777DCB" w:rsidRPr="00A52585">
        <w:rPr>
          <w:rFonts w:hint="cs"/>
          <w:rtl/>
          <w:lang w:bidi="ar-KW"/>
        </w:rPr>
        <w:t xml:space="preserve"> هذا اشارة إلى سعة ملك الله وعظيم كونه</w:t>
      </w:r>
      <w:r w:rsidR="00DB731D" w:rsidRPr="00A52585">
        <w:rPr>
          <w:rFonts w:hint="cs"/>
          <w:rtl/>
          <w:lang w:bidi="ar-KW"/>
        </w:rPr>
        <w:t>،</w:t>
      </w:r>
      <w:r w:rsidR="00777DCB" w:rsidRPr="00A52585">
        <w:rPr>
          <w:rFonts w:hint="cs"/>
          <w:rtl/>
          <w:lang w:bidi="ar-KW"/>
        </w:rPr>
        <w:t xml:space="preserve"> فإن </w:t>
      </w:r>
      <w:r w:rsidR="00777DCB" w:rsidRPr="00A52585">
        <w:rPr>
          <w:rFonts w:hint="cs"/>
          <w:rtl/>
        </w:rPr>
        <w:t>الكرسيُّ خلق كبير عظيم خلقه الله تعالى يسع السماوات والأرض</w:t>
      </w:r>
      <w:r w:rsidR="00DB731D" w:rsidRPr="00A52585">
        <w:rPr>
          <w:rFonts w:hint="cs"/>
          <w:rtl/>
        </w:rPr>
        <w:t>،</w:t>
      </w:r>
      <w:r w:rsidR="00777DCB" w:rsidRPr="00A52585">
        <w:rPr>
          <w:rFonts w:hint="cs"/>
          <w:rtl/>
        </w:rPr>
        <w:t xml:space="preserve"> </w:t>
      </w:r>
      <w:r w:rsidR="00777DCB" w:rsidRPr="00A52585">
        <w:rPr>
          <w:rFonts w:eastAsia="Times New Roman" w:hint="cs"/>
          <w:rtl/>
        </w:rPr>
        <w:t>لحديث أبي ذر عن رسول الله صلى الله عليه وسلم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ما السمواتُ السبعُ في الكرسيِّ إلا كحَلْقةٍ مُلقاةٍ بأرضٍ فلاةٍ</w:t>
      </w:r>
      <w:r w:rsidR="00DB731D" w:rsidRPr="00A52585">
        <w:rPr>
          <w:rFonts w:eastAsia="Times New Roman" w:hint="cs"/>
          <w:rtl/>
        </w:rPr>
        <w:t>،</w:t>
      </w:r>
      <w:r w:rsidR="00777DCB" w:rsidRPr="00A52585">
        <w:rPr>
          <w:rFonts w:eastAsia="Times New Roman" w:hint="cs"/>
          <w:rtl/>
        </w:rPr>
        <w:t xml:space="preserve"> وفضلُ العرشِ على الكرسيِّ كفضلِ تلك الفلاةِ على تلك الحلْقةِ</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السلسلة الصحيحة للألباني</w:t>
      </w:r>
      <w:r w:rsidRPr="00A52585">
        <w:rPr>
          <w:rFonts w:eastAsia="Times New Roman" w:hint="cs"/>
          <w:rtl/>
        </w:rPr>
        <w:t>:</w:t>
      </w:r>
      <w:r w:rsidR="00777DCB" w:rsidRPr="00A52585">
        <w:rPr>
          <w:rFonts w:eastAsia="Times New Roman" w:hint="cs"/>
          <w:rtl/>
        </w:rPr>
        <w:t xml:space="preserve"> ح</w:t>
      </w:r>
      <w:r w:rsidRPr="00A52585">
        <w:rPr>
          <w:rFonts w:eastAsia="Times New Roman" w:hint="cs"/>
          <w:rtl/>
        </w:rPr>
        <w:t>:</w:t>
      </w:r>
      <w:r w:rsidR="00777DCB" w:rsidRPr="00A52585">
        <w:rPr>
          <w:rFonts w:eastAsia="Times New Roman" w:hint="cs"/>
          <w:rtl/>
        </w:rPr>
        <w:t xml:space="preserve"> 109</w:t>
      </w:r>
      <w:r w:rsidRPr="00A52585">
        <w:rPr>
          <w:rFonts w:eastAsia="Times New Roman" w:hint="cs"/>
          <w:rtl/>
        </w:rPr>
        <w:t>]</w:t>
      </w:r>
      <w:r w:rsidR="00DB731D" w:rsidRPr="00A52585">
        <w:rPr>
          <w:rFonts w:hint="cs"/>
          <w:rtl/>
        </w:rPr>
        <w:t>،</w:t>
      </w:r>
      <w:r w:rsidR="00777DCB" w:rsidRPr="00A52585">
        <w:rPr>
          <w:rFonts w:hint="cs"/>
          <w:rtl/>
        </w:rPr>
        <w:t xml:space="preserve"> وقد نقل المفسرون عن حبر الأمة عبد الله بن عباس رضي الله عنهما وعن سعيد بن جبير أنّ المراد بالكرسي في الآية هو (</w:t>
      </w:r>
      <w:r w:rsidRPr="00A52585">
        <w:rPr>
          <w:rFonts w:hint="cs"/>
          <w:rtl/>
        </w:rPr>
        <w:t>(</w:t>
      </w:r>
      <w:r w:rsidR="00777DCB" w:rsidRPr="00A52585">
        <w:rPr>
          <w:rFonts w:hint="cs"/>
          <w:rtl/>
        </w:rPr>
        <w:t>العلم</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وممن رجح ذلك التفسير الطبري والقرطبي وغيرهما</w:t>
      </w:r>
      <w:r w:rsidR="00DB731D" w:rsidRPr="00A52585">
        <w:rPr>
          <w:rFonts w:hint="cs"/>
          <w:rtl/>
        </w:rPr>
        <w:t>،</w:t>
      </w:r>
      <w:r w:rsidR="00777DCB" w:rsidRPr="00A52585">
        <w:rPr>
          <w:rFonts w:hint="cs"/>
          <w:rtl/>
        </w:rPr>
        <w:t xml:space="preserve"> واستدلوا له بتكملة الآية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يَئُودُهُ حِفْظُهُمَا</w:t>
      </w:r>
      <w:r w:rsidRPr="00A52585">
        <w:rPr>
          <w:rFonts w:hint="cs"/>
          <w:rtl/>
        </w:rPr>
        <w:t>}</w:t>
      </w:r>
      <w:r w:rsidR="00DB731D" w:rsidRPr="00A52585">
        <w:rPr>
          <w:rFonts w:hint="cs"/>
          <w:rtl/>
        </w:rPr>
        <w:t>،</w:t>
      </w:r>
      <w:r w:rsidR="00777DCB" w:rsidRPr="00A52585">
        <w:rPr>
          <w:rFonts w:hint="cs"/>
          <w:rtl/>
        </w:rPr>
        <w:t xml:space="preserve"> وهذا لا يمنع من وجود الكرسي الذي هو خلق عظيم من خلق الله تعالى</w:t>
      </w:r>
      <w:r w:rsidR="00DB731D" w:rsidRPr="00A52585">
        <w:rPr>
          <w:rFonts w:hint="cs"/>
          <w:rtl/>
        </w:rPr>
        <w:t>،</w:t>
      </w:r>
      <w:r w:rsidR="00777DCB" w:rsidRPr="00A52585">
        <w:rPr>
          <w:rFonts w:hint="cs"/>
          <w:rtl/>
        </w:rPr>
        <w:t xml:space="preserve"> ونسبة السموات السبع إليه كنسبة الحلقة الملقاة في الصحراء</w:t>
      </w:r>
      <w:r w:rsidR="00DB731D" w:rsidRPr="00A52585">
        <w:rPr>
          <w:rFonts w:hint="cs"/>
          <w:rtl/>
        </w:rPr>
        <w:t>،</w:t>
      </w:r>
      <w:r w:rsidR="00777DCB" w:rsidRPr="00A52585">
        <w:rPr>
          <w:rFonts w:hint="cs"/>
          <w:rtl/>
        </w:rPr>
        <w:t xml:space="preserve"> لكبر حجم الكرسي إذا قورن بالسموات</w:t>
      </w:r>
      <w:r w:rsidR="00DB731D" w:rsidRPr="00A52585">
        <w:rPr>
          <w:rFonts w:hint="cs"/>
          <w:rtl/>
        </w:rPr>
        <w:t>،</w:t>
      </w:r>
      <w:r w:rsidR="00777DCB" w:rsidRPr="00A52585">
        <w:rPr>
          <w:rFonts w:hint="cs"/>
          <w:rtl/>
        </w:rPr>
        <w:t xml:space="preserve"> واما العرش فهو أعظم خلق الله تعالى</w:t>
      </w:r>
      <w:r w:rsidR="00DB731D" w:rsidRPr="00A52585">
        <w:rPr>
          <w:rFonts w:hint="cs"/>
          <w:rtl/>
        </w:rPr>
        <w:t>،</w:t>
      </w:r>
      <w:r w:rsidR="00777DCB" w:rsidRPr="00A52585">
        <w:rPr>
          <w:rFonts w:hint="cs"/>
          <w:rtl/>
        </w:rPr>
        <w:t xml:space="preserve"> وهو سبحانه رب العرش </w:t>
      </w:r>
      <w:r w:rsidR="00777DCB" w:rsidRPr="00A52585">
        <w:rPr>
          <w:rFonts w:hint="cs"/>
          <w:rtl/>
        </w:rPr>
        <w:lastRenderedPageBreak/>
        <w:t>العظيم</w:t>
      </w:r>
      <w:r w:rsidR="00DB731D" w:rsidRPr="00A52585">
        <w:rPr>
          <w:rFonts w:hint="cs"/>
          <w:rtl/>
        </w:rPr>
        <w:t>،</w:t>
      </w:r>
      <w:r w:rsidR="00777DCB" w:rsidRPr="00A52585">
        <w:rPr>
          <w:rFonts w:hint="cs"/>
          <w:rtl/>
        </w:rPr>
        <w:t xml:space="preserve"> ومن أسماء</w:t>
      </w:r>
      <w:r w:rsidRPr="00A52585">
        <w:rPr>
          <w:rFonts w:hint="cs"/>
          <w:rtl/>
        </w:rPr>
        <w:t xml:space="preserve"> </w:t>
      </w:r>
      <w:r w:rsidR="00777DCB" w:rsidRPr="00A52585">
        <w:rPr>
          <w:rFonts w:hint="cs"/>
          <w:rtl/>
          <w:lang w:bidi="ar-EG"/>
        </w:rPr>
        <w:t xml:space="preserve">الله تعالى الحسنى </w:t>
      </w:r>
      <w:r w:rsidRPr="00A52585">
        <w:rPr>
          <w:rFonts w:hint="cs"/>
          <w:rtl/>
        </w:rPr>
        <w:t>(</w:t>
      </w:r>
      <w:r w:rsidR="00777DCB" w:rsidRPr="00A52585">
        <w:rPr>
          <w:rFonts w:hint="cs"/>
          <w:bCs/>
          <w:rtl/>
        </w:rPr>
        <w:t>الواسع</w:t>
      </w:r>
      <w:r w:rsidRPr="00A52585">
        <w:rPr>
          <w:rFonts w:hint="cs"/>
          <w:rtl/>
        </w:rPr>
        <w:t>)</w:t>
      </w:r>
      <w:r w:rsidR="00DB731D" w:rsidRPr="00A52585">
        <w:rPr>
          <w:rFonts w:hint="cs"/>
          <w:rtl/>
        </w:rPr>
        <w:t>،</w:t>
      </w:r>
      <w:r w:rsidR="00777DCB" w:rsidRPr="00A52585">
        <w:rPr>
          <w:rFonts w:hint="cs"/>
          <w:rtl/>
          <w:lang w:bidi="ar-EG"/>
        </w:rPr>
        <w:t xml:space="preserve"> وقد ورد في القرآن الكريم ثمان مرات</w:t>
      </w:r>
      <w:r w:rsidR="00DB731D" w:rsidRPr="00A52585">
        <w:rPr>
          <w:rFonts w:hint="cs"/>
          <w:rtl/>
          <w:lang w:bidi="ar-EG"/>
        </w:rPr>
        <w:t>،</w:t>
      </w:r>
      <w:r w:rsidR="00777DCB" w:rsidRPr="00A52585">
        <w:rPr>
          <w:rFonts w:hint="cs"/>
          <w:rtl/>
          <w:lang w:bidi="ar-EG"/>
        </w:rPr>
        <w:t xml:space="preserve"> منها سبع مرات مع اسم الله تعالى </w:t>
      </w:r>
      <w:r w:rsidRPr="00A52585">
        <w:rPr>
          <w:rFonts w:hint="cs"/>
          <w:rtl/>
          <w:lang w:bidi="ar-EG"/>
        </w:rPr>
        <w:t>(</w:t>
      </w:r>
      <w:r w:rsidR="00777DCB" w:rsidRPr="00A52585">
        <w:rPr>
          <w:rFonts w:hint="cs"/>
          <w:rtl/>
          <w:lang w:bidi="ar-EG"/>
        </w:rPr>
        <w:t>العليم</w:t>
      </w:r>
      <w:r w:rsidRPr="00A52585">
        <w:rPr>
          <w:rFonts w:hint="cs"/>
          <w:rtl/>
          <w:lang w:bidi="ar-EG"/>
        </w:rPr>
        <w:t>)</w:t>
      </w:r>
      <w:r w:rsidR="00DB731D" w:rsidRPr="00A52585">
        <w:rPr>
          <w:rFonts w:hint="cs"/>
          <w:rtl/>
          <w:lang w:bidi="ar-EG"/>
        </w:rPr>
        <w:t>،</w:t>
      </w:r>
      <w:r w:rsidR="00777DCB" w:rsidRPr="00A52585">
        <w:rPr>
          <w:rFonts w:hint="cs"/>
          <w:rtl/>
          <w:lang w:bidi="ar-EG"/>
        </w:rPr>
        <w:t xml:space="preserve"> منها قوله تعالى</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rPr>
        <w:t>وَلِلَّهِ الْمَشْرِقُ وَالْمَغْرِبُ فَأَيْنَمَا تُوَلُّوا فَثَمَّ وَجْهُ اللَّهِ إِنَّ اللَّهَ وَاسِعٌ عَلِيمٌ</w:t>
      </w:r>
      <w:r w:rsidRPr="00A52585">
        <w:rPr>
          <w:rFonts w:hint="cs"/>
          <w:rtl/>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البقرة</w:t>
      </w:r>
      <w:r w:rsidRPr="00A52585">
        <w:rPr>
          <w:rFonts w:hint="cs"/>
          <w:rtl/>
          <w:lang w:bidi="ar-EG"/>
        </w:rPr>
        <w:t>:</w:t>
      </w:r>
      <w:r w:rsidR="00777DCB" w:rsidRPr="00A52585">
        <w:rPr>
          <w:rFonts w:hint="cs"/>
          <w:rtl/>
          <w:lang w:bidi="ar-EG"/>
        </w:rPr>
        <w:t xml:space="preserve"> 115</w:t>
      </w:r>
      <w:r w:rsidRPr="00A52585">
        <w:rPr>
          <w:rFonts w:hint="cs"/>
          <w:rtl/>
          <w:lang w:bidi="ar-EG"/>
        </w:rPr>
        <w:t>]</w:t>
      </w:r>
      <w:r w:rsidR="00DB731D" w:rsidRPr="00A52585">
        <w:rPr>
          <w:rFonts w:hint="cs"/>
          <w:rtl/>
          <w:lang w:bidi="ar-EG"/>
        </w:rPr>
        <w:t>،</w:t>
      </w:r>
      <w:r w:rsidR="00777DCB" w:rsidRPr="00A52585">
        <w:rPr>
          <w:rFonts w:hint="cs"/>
          <w:rtl/>
          <w:lang w:bidi="ar-EG"/>
        </w:rPr>
        <w:t xml:space="preserve"> </w:t>
      </w:r>
      <w:r w:rsidR="00777DCB" w:rsidRPr="00A52585">
        <w:rPr>
          <w:rFonts w:hint="cs"/>
          <w:rtl/>
        </w:rPr>
        <w:t xml:space="preserve">وورد مرة واحدة مع اسم الله تعالى </w:t>
      </w:r>
      <w:r w:rsidRPr="00A52585">
        <w:rPr>
          <w:rFonts w:hint="cs"/>
          <w:rtl/>
        </w:rPr>
        <w:t>(</w:t>
      </w:r>
      <w:r w:rsidR="00777DCB" w:rsidRPr="00A52585">
        <w:rPr>
          <w:rFonts w:hint="cs"/>
          <w:rtl/>
        </w:rPr>
        <w:t>الحكيم</w:t>
      </w:r>
      <w:r w:rsidRPr="00A52585">
        <w:rPr>
          <w:rFonts w:hint="cs"/>
          <w:rtl/>
        </w:rPr>
        <w:t>)</w:t>
      </w:r>
      <w:r w:rsidR="00777DCB" w:rsidRPr="00A52585">
        <w:rPr>
          <w:rFonts w:hint="cs"/>
          <w:rtl/>
        </w:rPr>
        <w:t xml:space="preserve"> وهي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وَإِنْ يَتَفَرَّقَا يُغْنِ اللَّهُ كُلًّا مِنْ سَعَتِهِ وَكَانَ اللَّهُ وَاسِعًا حَكِيمًا</w:t>
      </w:r>
      <w:r w:rsidRPr="00A52585">
        <w:rPr>
          <w:rFonts w:hint="cs"/>
          <w:rtl/>
        </w:rPr>
        <w:t>}</w:t>
      </w:r>
      <w:r w:rsidR="00777DCB" w:rsidRPr="00A52585">
        <w:rPr>
          <w:rFonts w:hint="cs"/>
          <w:rtl/>
          <w:lang w:bidi="ar-EG"/>
        </w:rPr>
        <w:t xml:space="preserve"> </w:t>
      </w:r>
      <w:r w:rsidRPr="00A52585">
        <w:rPr>
          <w:rFonts w:hint="cs"/>
          <w:rtl/>
          <w:lang w:bidi="ar-EG"/>
        </w:rPr>
        <w:t>[</w:t>
      </w:r>
      <w:r w:rsidR="00777DCB" w:rsidRPr="00A52585">
        <w:rPr>
          <w:rFonts w:hint="cs"/>
          <w:rtl/>
          <w:lang w:bidi="ar-EG"/>
        </w:rPr>
        <w:t>النساء</w:t>
      </w:r>
      <w:r w:rsidRPr="00A52585">
        <w:rPr>
          <w:rFonts w:hint="cs"/>
          <w:rtl/>
          <w:lang w:bidi="ar-EG"/>
        </w:rPr>
        <w:t>:</w:t>
      </w:r>
      <w:r w:rsidR="00777DCB" w:rsidRPr="00A52585">
        <w:rPr>
          <w:rFonts w:hint="cs"/>
          <w:rtl/>
          <w:lang w:bidi="ar-EG"/>
        </w:rPr>
        <w:t xml:space="preserve"> 130</w:t>
      </w:r>
      <w:r w:rsidRPr="00A52585">
        <w:rPr>
          <w:rFonts w:hint="cs"/>
          <w:rtl/>
          <w:lang w:bidi="ar-EG"/>
        </w:rPr>
        <w:t>]</w:t>
      </w:r>
      <w:r w:rsidR="00DB731D" w:rsidRPr="00A52585">
        <w:rPr>
          <w:rFonts w:hint="cs"/>
          <w:rtl/>
          <w:lang w:bidi="ar-EG"/>
        </w:rPr>
        <w:t>،</w:t>
      </w:r>
      <w:r w:rsidR="00777DCB" w:rsidRPr="00A52585">
        <w:rPr>
          <w:rFonts w:hint="cs"/>
          <w:rtl/>
          <w:lang w:bidi="ar-EG"/>
        </w:rPr>
        <w:t xml:space="preserve"> وجاء في القرآن الكريم وصف رحمة الله تعالى بالواسعة في قوله تعالى</w:t>
      </w:r>
      <w:r w:rsidRPr="00A52585">
        <w:rPr>
          <w:rFonts w:hint="cs"/>
          <w:rtl/>
          <w:lang w:bidi="ar-EG"/>
        </w:rPr>
        <w:t>:</w:t>
      </w:r>
      <w:r w:rsidR="00777DCB" w:rsidRPr="00A52585">
        <w:rPr>
          <w:rFonts w:hint="cs"/>
          <w:rtl/>
          <w:lang w:bidi="ar-EG"/>
        </w:rPr>
        <w:t xml:space="preserve"> </w:t>
      </w:r>
      <w:r w:rsidRPr="00A52585">
        <w:rPr>
          <w:rFonts w:hint="cs"/>
          <w:rtl/>
          <w:lang w:bidi="ar-EG"/>
        </w:rPr>
        <w:t>{</w:t>
      </w:r>
      <w:r w:rsidR="00777DCB" w:rsidRPr="00A52585">
        <w:rPr>
          <w:rFonts w:hint="cs"/>
          <w:rtl/>
        </w:rPr>
        <w:t>فَإِنْ كَذَّبُوكَ فَقُلْ رَبُّكُمْ ذُو رَحْمَةٍ وَاسِعَةٍ وَلَا يُرَدُّ بَأْسُهُ عَنِ الْقَوْمِ الْمُجْرِمِينَ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147</w:t>
      </w:r>
      <w:r w:rsidRPr="00A52585">
        <w:rPr>
          <w:rFonts w:hint="cs"/>
          <w:rtl/>
        </w:rPr>
        <w:t>]</w:t>
      </w:r>
      <w:r w:rsidR="00DB731D" w:rsidRPr="00A52585">
        <w:rPr>
          <w:rFonts w:hint="cs"/>
          <w:rtl/>
        </w:rPr>
        <w:t>،</w:t>
      </w:r>
      <w:r w:rsidR="00777DCB" w:rsidRPr="00A52585">
        <w:rPr>
          <w:rFonts w:hint="cs"/>
          <w:rtl/>
        </w:rPr>
        <w:t xml:space="preserve"> ووصف مغفرة الله تعالى بالواسعة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رَبَّكَ وَاسِعُ الْمَغْفِرَةِ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النجم</w:t>
      </w:r>
      <w:r w:rsidRPr="00A52585">
        <w:rPr>
          <w:rFonts w:hint="cs"/>
          <w:rtl/>
        </w:rPr>
        <w:t>:</w:t>
      </w:r>
      <w:r w:rsidR="00777DCB" w:rsidRPr="00A52585">
        <w:rPr>
          <w:rFonts w:hint="cs"/>
          <w:rtl/>
        </w:rPr>
        <w:t xml:space="preserve"> 31</w:t>
      </w:r>
      <w:r w:rsidR="00DB731D" w:rsidRPr="00A52585">
        <w:rPr>
          <w:rFonts w:hint="cs"/>
          <w:rtl/>
        </w:rPr>
        <w:t>،</w:t>
      </w:r>
      <w:r w:rsidR="00777DCB" w:rsidRPr="00A52585">
        <w:rPr>
          <w:rFonts w:hint="cs"/>
          <w:rtl/>
        </w:rPr>
        <w:t xml:space="preserve"> 32</w:t>
      </w:r>
      <w:r w:rsidRPr="00A52585">
        <w:rPr>
          <w:rFonts w:hint="cs"/>
          <w:rtl/>
        </w:rPr>
        <w:t>]</w:t>
      </w:r>
      <w:r w:rsidR="00DB731D" w:rsidRPr="00A52585">
        <w:rPr>
          <w:rFonts w:hint="cs"/>
          <w:rtl/>
        </w:rPr>
        <w:t>،</w:t>
      </w:r>
      <w:r w:rsidR="00777DCB" w:rsidRPr="00A52585">
        <w:rPr>
          <w:rFonts w:hint="cs"/>
          <w:rtl/>
          <w:lang w:bidi="ar-EG"/>
        </w:rPr>
        <w:t xml:space="preserve"> و </w:t>
      </w:r>
      <w:r w:rsidRPr="00A52585">
        <w:rPr>
          <w:rFonts w:hint="cs"/>
          <w:rtl/>
          <w:lang w:bidi="ar-EG"/>
        </w:rPr>
        <w:t>(</w:t>
      </w:r>
      <w:r w:rsidR="00777DCB" w:rsidRPr="00A52585">
        <w:rPr>
          <w:rFonts w:hint="cs"/>
          <w:rtl/>
          <w:lang w:bidi="ar-EG"/>
        </w:rPr>
        <w:t>الواسع</w:t>
      </w:r>
      <w:r w:rsidRPr="00A52585">
        <w:rPr>
          <w:rFonts w:hint="cs"/>
          <w:rtl/>
          <w:lang w:bidi="ar-EG"/>
        </w:rPr>
        <w:t>)</w:t>
      </w:r>
      <w:r w:rsidR="00777DCB" w:rsidRPr="00A52585">
        <w:rPr>
          <w:rFonts w:hint="cs"/>
          <w:rtl/>
          <w:lang w:bidi="ar-EG"/>
        </w:rPr>
        <w:t xml:space="preserve"> </w:t>
      </w:r>
      <w:r w:rsidR="00777DCB" w:rsidRPr="00A52585">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00DB731D" w:rsidRPr="00A52585">
        <w:rPr>
          <w:rFonts w:hint="cs"/>
          <w:rtl/>
        </w:rPr>
        <w:t>،</w:t>
      </w:r>
      <w:r w:rsidR="00777DCB" w:rsidRPr="00A52585">
        <w:rPr>
          <w:rFonts w:hint="cs"/>
          <w:rtl/>
        </w:rPr>
        <w:t xml:space="preserve"> فالواسع المطلق هو الله سبحانه وتعالى لأنه إن نظر إلى علمه فلا ساحل لبحر معلوماته بل تنفد البحار لو كانت مدادا لكلماته</w:t>
      </w:r>
      <w:r w:rsidR="00DB731D" w:rsidRPr="00A52585">
        <w:rPr>
          <w:rFonts w:hint="cs"/>
          <w:rtl/>
        </w:rPr>
        <w:t>،</w:t>
      </w:r>
      <w:r w:rsidR="00777DCB" w:rsidRPr="00A52585">
        <w:rPr>
          <w:rFonts w:hint="cs"/>
          <w:rtl/>
        </w:rPr>
        <w:t xml:space="preserve"> وإن نظر إلى إحسانه ونعمه فلا نهاية </w:t>
      </w:r>
      <w:proofErr w:type="spellStart"/>
      <w:r w:rsidR="00777DCB" w:rsidRPr="00A52585">
        <w:rPr>
          <w:rFonts w:hint="cs"/>
          <w:rtl/>
        </w:rPr>
        <w:t>لمقدوراته</w:t>
      </w:r>
      <w:proofErr w:type="spellEnd"/>
      <w:r w:rsidR="00777DCB" w:rsidRPr="00A52585">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DB731D" w:rsidRPr="00A52585">
        <w:rPr>
          <w:rFonts w:hint="cs"/>
          <w:rtl/>
        </w:rPr>
        <w:t>،</w:t>
      </w:r>
      <w:r w:rsidR="00777DCB" w:rsidRPr="00A52585">
        <w:rPr>
          <w:rFonts w:hint="cs"/>
          <w:rtl/>
        </w:rPr>
        <w:t xml:space="preserve"> وهو الواسع المتصف بكمال السعة سبحانه</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وَلَا يَئُودُهُ حِفْظُهُمَا</w:t>
      </w:r>
      <w:r w:rsidRPr="00A52585">
        <w:rPr>
          <w:rFonts w:hint="cs"/>
          <w:bCs/>
          <w:rtl/>
        </w:rPr>
        <w:t>}</w:t>
      </w:r>
      <w:r w:rsidRPr="00A52585">
        <w:rPr>
          <w:rFonts w:hint="cs"/>
          <w:rtl/>
        </w:rPr>
        <w:t>:</w:t>
      </w:r>
      <w:r w:rsidR="00777DCB" w:rsidRPr="00A52585">
        <w:rPr>
          <w:rFonts w:hint="cs"/>
          <w:rtl/>
          <w:lang w:bidi="ar-KW"/>
        </w:rPr>
        <w:t xml:space="preserve"> </w:t>
      </w:r>
      <w:r w:rsidR="00777DCB" w:rsidRPr="00A52585">
        <w:rPr>
          <w:rFonts w:hint="cs"/>
          <w:rtl/>
        </w:rPr>
        <w:t>أي لا يصعب عليه حفظ السموات والأرض ولا ما فيهما ولا ما بينهما</w:t>
      </w:r>
      <w:r w:rsidR="00DB731D" w:rsidRPr="00A52585">
        <w:rPr>
          <w:rFonts w:hint="cs"/>
          <w:rtl/>
        </w:rPr>
        <w:t>،</w:t>
      </w:r>
      <w:r w:rsidR="00777DCB" w:rsidRPr="00A52585">
        <w:rPr>
          <w:rFonts w:hint="cs"/>
          <w:rtl/>
        </w:rPr>
        <w:t xml:space="preserve"> لأنّ الله عز وجل له القدرة التامة</w:t>
      </w:r>
      <w:r w:rsidR="00DB731D" w:rsidRPr="00A52585">
        <w:rPr>
          <w:rFonts w:hint="cs"/>
          <w:rtl/>
        </w:rPr>
        <w:t>،</w:t>
      </w:r>
      <w:r w:rsidR="00777DCB" w:rsidRPr="00A52585">
        <w:rPr>
          <w:rFonts w:hint="cs"/>
          <w:rtl/>
        </w:rPr>
        <w:t xml:space="preserve"> لا شيء صعب عليه</w:t>
      </w:r>
      <w:r w:rsidR="00DB731D" w:rsidRPr="00A52585">
        <w:rPr>
          <w:rFonts w:hint="cs"/>
          <w:rtl/>
        </w:rPr>
        <w:t>،</w:t>
      </w:r>
      <w:r w:rsidR="00777DCB" w:rsidRPr="00A52585">
        <w:rPr>
          <w:rFonts w:hint="cs"/>
          <w:rtl/>
        </w:rPr>
        <w:t xml:space="preserve"> لا يعجزه شيء</w:t>
      </w:r>
      <w:r w:rsidR="00DB731D" w:rsidRPr="00A52585">
        <w:rPr>
          <w:rFonts w:hint="cs"/>
          <w:rtl/>
        </w:rPr>
        <w:t>،</w:t>
      </w:r>
      <w:r w:rsidR="00777DCB" w:rsidRPr="00A52585">
        <w:rPr>
          <w:rFonts w:hint="cs"/>
          <w:rtl/>
        </w:rPr>
        <w:t xml:space="preserve"> وهو على كل شيء قدير</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صفة القدرة</w:t>
      </w:r>
      <w:r w:rsidRPr="00A52585">
        <w:rPr>
          <w:rFonts w:hint="cs"/>
          <w:rtl/>
        </w:rPr>
        <w:t>):</w:t>
      </w:r>
      <w:r w:rsidR="00777DCB" w:rsidRPr="00A52585">
        <w:rPr>
          <w:rFonts w:hint="cs"/>
          <w:rtl/>
        </w:rPr>
        <w:t xml:space="preserve"> </w:t>
      </w:r>
      <w:r w:rsidR="00777DCB" w:rsidRPr="00A52585">
        <w:rPr>
          <w:rFonts w:eastAsia="Times New Roman" w:hint="cs"/>
          <w:rtl/>
        </w:rPr>
        <w:t xml:space="preserve">هي في حق الله عزّ وجلّ </w:t>
      </w:r>
      <w:r w:rsidR="00777DCB" w:rsidRPr="00A52585">
        <w:rPr>
          <w:rFonts w:hint="cs"/>
          <w:rtl/>
        </w:rPr>
        <w:t xml:space="preserve">صفةٌ ذاتيةٌ </w:t>
      </w:r>
      <w:r w:rsidR="00777DCB" w:rsidRPr="00A52585">
        <w:rPr>
          <w:rFonts w:eastAsia="Times New Roman" w:hint="cs"/>
          <w:rtl/>
        </w:rPr>
        <w:t>وجودية قديمة قائمة بذاته تعالى</w:t>
      </w:r>
      <w:r w:rsidR="00DB731D" w:rsidRPr="00A52585">
        <w:rPr>
          <w:rFonts w:eastAsia="Times New Roman" w:hint="cs"/>
          <w:rtl/>
        </w:rPr>
        <w:t>،</w:t>
      </w:r>
      <w:r w:rsidR="00777DCB" w:rsidRPr="00A52585">
        <w:rPr>
          <w:rFonts w:hint="cs"/>
          <w:rtl/>
        </w:rPr>
        <w:t xml:space="preserve"> يتأتّى بها أيجاد الممكن وإعدامه</w:t>
      </w:r>
      <w:r w:rsidR="00DB731D" w:rsidRPr="00A52585">
        <w:rPr>
          <w:rFonts w:hint="cs"/>
          <w:rtl/>
        </w:rPr>
        <w:t>،</w:t>
      </w:r>
      <w:r w:rsidR="00777DCB" w:rsidRPr="00A52585">
        <w:rPr>
          <w:rFonts w:hint="cs"/>
          <w:rtl/>
        </w:rPr>
        <w:t xml:space="preserve"> وهي تتعلّق بالممكن ولا تتعلّق بالواجب والمستحيل</w:t>
      </w:r>
      <w:r w:rsidR="00DB731D" w:rsidRPr="00A52585">
        <w:rPr>
          <w:rFonts w:hint="cs"/>
          <w:rtl/>
        </w:rPr>
        <w:t>،</w:t>
      </w:r>
      <w:r w:rsidR="00777DCB" w:rsidRPr="00A52585">
        <w:rPr>
          <w:rFonts w:hint="cs"/>
          <w:rtl/>
        </w:rPr>
        <w:t xml:space="preserve"> فالقدرة</w:t>
      </w:r>
      <w:r w:rsidRPr="00A52585">
        <w:rPr>
          <w:rFonts w:hint="cs"/>
          <w:rtl/>
        </w:rPr>
        <w:t>:</w:t>
      </w:r>
      <w:r w:rsidR="00777DCB" w:rsidRPr="00A52585">
        <w:rPr>
          <w:rFonts w:hint="cs"/>
          <w:rtl/>
        </w:rPr>
        <w:t xml:space="preserve"> تتعلّق بالممكن وهو كل ما يتعلق بالمخلوق</w:t>
      </w:r>
      <w:r w:rsidR="00DB731D" w:rsidRPr="00A52585">
        <w:rPr>
          <w:rFonts w:hint="cs"/>
          <w:rtl/>
        </w:rPr>
        <w:t>،</w:t>
      </w:r>
      <w:r w:rsidR="00777DCB" w:rsidRPr="00A52585">
        <w:rPr>
          <w:rFonts w:hint="cs"/>
          <w:rtl/>
        </w:rPr>
        <w:t xml:space="preserve"> إما لإيجاده أو لإعدامه</w:t>
      </w:r>
      <w:r w:rsidR="00DB731D" w:rsidRPr="00A52585">
        <w:rPr>
          <w:rFonts w:hint="cs"/>
          <w:rtl/>
        </w:rPr>
        <w:t>،،</w:t>
      </w:r>
      <w:r w:rsidR="00777DCB" w:rsidRPr="00A52585">
        <w:rPr>
          <w:rFonts w:hint="cs"/>
          <w:rtl/>
        </w:rPr>
        <w:t xml:space="preserve"> ولا تتعلّق بالواجب في حق الله تعالى أو المستحيل في حقة سبحانه</w:t>
      </w:r>
      <w:r w:rsidR="00DB731D" w:rsidRPr="00A52585">
        <w:rPr>
          <w:rFonts w:hint="cs"/>
          <w:rtl/>
        </w:rPr>
        <w:t>،</w:t>
      </w:r>
      <w:r w:rsidR="00777DCB" w:rsidRPr="00A52585">
        <w:rPr>
          <w:rFonts w:hint="cs"/>
          <w:rtl/>
        </w:rPr>
        <w:t xml:space="preserve"> لأنها لو تعلّقت بالواجب في حق الله تعالى لإيجاده فهو موجود وجوباً</w:t>
      </w:r>
      <w:r w:rsidR="00DB731D" w:rsidRPr="00A52585">
        <w:rPr>
          <w:rFonts w:hint="cs"/>
          <w:rtl/>
        </w:rPr>
        <w:t>،</w:t>
      </w:r>
      <w:r w:rsidR="00777DCB" w:rsidRPr="00A52585">
        <w:rPr>
          <w:rFonts w:hint="cs"/>
          <w:rtl/>
        </w:rPr>
        <w:t xml:space="preserve"> ولو تعلقت بالواجب في حق الله تعالى لإعدامه فهو لا يقبل العدم</w:t>
      </w:r>
      <w:r w:rsidR="00DB731D" w:rsidRPr="00A52585">
        <w:rPr>
          <w:rFonts w:hint="cs"/>
          <w:rtl/>
        </w:rPr>
        <w:t>،</w:t>
      </w:r>
      <w:r w:rsidR="00777DCB" w:rsidRPr="00A52585">
        <w:rPr>
          <w:rFonts w:hint="cs"/>
          <w:rtl/>
        </w:rPr>
        <w:t xml:space="preserve"> ومثال ذلك تعلق قدرة الله تعالى بعلم الله تعالى</w:t>
      </w:r>
      <w:r w:rsidR="00DB731D" w:rsidRPr="00A52585">
        <w:rPr>
          <w:rFonts w:hint="cs"/>
          <w:rtl/>
        </w:rPr>
        <w:t>،</w:t>
      </w:r>
      <w:r w:rsidR="00777DCB" w:rsidRPr="00A52585">
        <w:rPr>
          <w:rFonts w:hint="cs"/>
          <w:rtl/>
        </w:rPr>
        <w:t xml:space="preserve"> فلا يجوز</w:t>
      </w:r>
      <w:r w:rsidR="00DB731D" w:rsidRPr="00A52585">
        <w:rPr>
          <w:rFonts w:hint="cs"/>
          <w:rtl/>
        </w:rPr>
        <w:t>،</w:t>
      </w:r>
      <w:r w:rsidR="00777DCB" w:rsidRPr="00A52585">
        <w:rPr>
          <w:rFonts w:hint="cs"/>
          <w:rtl/>
        </w:rPr>
        <w:t xml:space="preserve"> ولا يصح أن يقال</w:t>
      </w:r>
      <w:r w:rsidRPr="00A52585">
        <w:rPr>
          <w:rFonts w:hint="cs"/>
          <w:rtl/>
        </w:rPr>
        <w:t>:</w:t>
      </w:r>
      <w:r w:rsidR="00777DCB" w:rsidRPr="00A52585">
        <w:rPr>
          <w:rFonts w:hint="cs"/>
          <w:rtl/>
        </w:rPr>
        <w:t xml:space="preserve"> أن الله متى شاء أن يعلم فإنه يعلم</w:t>
      </w:r>
      <w:r w:rsidR="00DB731D" w:rsidRPr="00A52585">
        <w:rPr>
          <w:rFonts w:hint="cs"/>
          <w:rtl/>
        </w:rPr>
        <w:t>،</w:t>
      </w:r>
      <w:r w:rsidR="00777DCB" w:rsidRPr="00A52585">
        <w:rPr>
          <w:rFonts w:hint="cs"/>
          <w:rtl/>
        </w:rPr>
        <w:t xml:space="preserve"> ومتى شاء أن يجهل فإنه يجهل</w:t>
      </w:r>
      <w:r w:rsidR="00DB731D" w:rsidRPr="00A52585">
        <w:rPr>
          <w:rFonts w:hint="cs"/>
          <w:rtl/>
        </w:rPr>
        <w:t>،</w:t>
      </w:r>
      <w:r w:rsidR="00777DCB" w:rsidRPr="00A52585">
        <w:rPr>
          <w:rFonts w:hint="cs"/>
          <w:rtl/>
        </w:rPr>
        <w:t xml:space="preserve"> لأن العلم صفة واجبة لله تعالى</w:t>
      </w:r>
      <w:r w:rsidR="00DB731D" w:rsidRPr="00A52585">
        <w:rPr>
          <w:rFonts w:hint="cs"/>
          <w:rtl/>
        </w:rPr>
        <w:t>،</w:t>
      </w:r>
      <w:r w:rsidR="00777DCB" w:rsidRPr="00A52585">
        <w:rPr>
          <w:rFonts w:hint="cs"/>
          <w:rtl/>
        </w:rPr>
        <w:t xml:space="preserve"> لا تعلق للقدرة بها</w:t>
      </w:r>
      <w:r w:rsidR="00DB731D" w:rsidRPr="00A52585">
        <w:rPr>
          <w:rFonts w:hint="cs"/>
          <w:rtl/>
        </w:rPr>
        <w:t>،</w:t>
      </w:r>
      <w:r w:rsidR="00777DCB" w:rsidRPr="00A52585">
        <w:rPr>
          <w:rFonts w:hint="cs"/>
          <w:rtl/>
        </w:rPr>
        <w:t xml:space="preserve"> ولا تعلق للمشيئة بها</w:t>
      </w:r>
      <w:r w:rsidR="00DB731D" w:rsidRPr="00A52585">
        <w:rPr>
          <w:rFonts w:hint="cs"/>
          <w:rtl/>
        </w:rPr>
        <w:t>،</w:t>
      </w:r>
      <w:r w:rsidR="00777DCB" w:rsidRPr="00A52585">
        <w:rPr>
          <w:rFonts w:hint="cs"/>
          <w:rtl/>
        </w:rPr>
        <w:t xml:space="preserve"> لأنه بكل شيء عليم</w:t>
      </w:r>
      <w:r w:rsidR="00DB731D" w:rsidRPr="00A52585">
        <w:rPr>
          <w:rFonts w:hint="cs"/>
          <w:rtl/>
        </w:rPr>
        <w:t>،</w:t>
      </w:r>
      <w:r w:rsidR="00777DCB" w:rsidRPr="00A52585">
        <w:rPr>
          <w:rFonts w:hint="cs"/>
          <w:rtl/>
        </w:rPr>
        <w:t xml:space="preserve"> والجهل صفة مستحيلة في حق الله تعالى</w:t>
      </w:r>
      <w:r w:rsidR="00DB731D" w:rsidRPr="00A52585">
        <w:rPr>
          <w:rFonts w:hint="cs"/>
          <w:rtl/>
        </w:rPr>
        <w:t>،،</w:t>
      </w:r>
      <w:r w:rsidR="00777DCB" w:rsidRPr="00A52585">
        <w:rPr>
          <w:rFonts w:hint="cs"/>
          <w:rtl/>
        </w:rPr>
        <w:t xml:space="preserve"> وبالتالي فإن القدرة لا تتعلق بالمستحيل في حقه سبحانه</w:t>
      </w:r>
      <w:r w:rsidR="00DB731D" w:rsidRPr="00A52585">
        <w:rPr>
          <w:rFonts w:hint="cs"/>
          <w:rtl/>
        </w:rPr>
        <w:t>،</w:t>
      </w:r>
      <w:r w:rsidR="00777DCB" w:rsidRPr="00A52585">
        <w:rPr>
          <w:rFonts w:hint="cs"/>
          <w:rtl/>
        </w:rPr>
        <w:t xml:space="preserve"> لأنها لو تعلّقت بالمستحيل لإيجاده فهو لا يقبل الوجود لاستحالة وجوده</w:t>
      </w:r>
      <w:r w:rsidR="00DB731D" w:rsidRPr="00A52585">
        <w:rPr>
          <w:rFonts w:hint="cs"/>
          <w:rtl/>
        </w:rPr>
        <w:t>،</w:t>
      </w:r>
      <w:r w:rsidR="00777DCB" w:rsidRPr="00A52585">
        <w:rPr>
          <w:rFonts w:hint="cs"/>
          <w:rtl/>
        </w:rPr>
        <w:t xml:space="preserve"> ولو تعلقت لإعدامه فهو معدوم أصلاً</w:t>
      </w:r>
      <w:r w:rsidR="00DB731D" w:rsidRPr="00A52585">
        <w:rPr>
          <w:rFonts w:hint="cs"/>
          <w:rtl/>
        </w:rPr>
        <w:t>،</w:t>
      </w:r>
      <w:r w:rsidRPr="00A52585">
        <w:rPr>
          <w:rFonts w:hint="cs"/>
          <w:rtl/>
        </w:rPr>
        <w:t xml:space="preserve"> </w:t>
      </w:r>
      <w:r w:rsidR="00777DCB" w:rsidRPr="00A52585">
        <w:rPr>
          <w:rFonts w:hint="cs"/>
          <w:rtl/>
        </w:rPr>
        <w:t>والله تعالى على كل شيء قدير</w:t>
      </w:r>
      <w:r w:rsidR="00DB731D" w:rsidRPr="00A52585">
        <w:rPr>
          <w:rFonts w:hint="cs"/>
          <w:rtl/>
        </w:rPr>
        <w:t>،</w:t>
      </w:r>
      <w:r w:rsidRPr="00A52585">
        <w:rPr>
          <w:rFonts w:hint="cs"/>
          <w:rtl/>
        </w:rPr>
        <w:t xml:space="preserve"> </w:t>
      </w:r>
      <w:r w:rsidR="00777DCB" w:rsidRPr="00A52585">
        <w:rPr>
          <w:rFonts w:hint="cs"/>
          <w:rtl/>
        </w:rPr>
        <w:t>بمعنى إيجاد الممكن - وهو كل ما يتعلق بالمخلوق - وإعدامه</w:t>
      </w:r>
      <w:r w:rsidR="00DB731D" w:rsidRPr="00A52585">
        <w:rPr>
          <w:rFonts w:hint="cs"/>
          <w:rtl/>
        </w:rPr>
        <w:t>،</w:t>
      </w:r>
      <w:r w:rsidR="00777DCB" w:rsidRPr="00A52585">
        <w:rPr>
          <w:rFonts w:hint="cs"/>
          <w:rtl/>
        </w:rPr>
        <w:t xml:space="preserve"> وقدرة </w:t>
      </w:r>
      <w:r w:rsidR="00777DCB" w:rsidRPr="00A52585">
        <w:rPr>
          <w:rFonts w:hint="cs"/>
          <w:rtl/>
        </w:rPr>
        <w:lastRenderedPageBreak/>
        <w:t>الله تعالى عامة لا يجوز تخصيصها</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الله عَلَى كُلِّ شَيْءٍ قَدِيرٌ</w:t>
      </w:r>
      <w:r w:rsidRPr="00A52585">
        <w:rPr>
          <w:rFonts w:hint="cs"/>
          <w:snapToGrid w:val="0"/>
          <w:rtl/>
        </w:rPr>
        <w:t>}</w:t>
      </w:r>
      <w:r w:rsidR="00777DCB" w:rsidRPr="00A52585">
        <w:rPr>
          <w:rFonts w:hint="cs"/>
          <w:rtl/>
        </w:rPr>
        <w:t xml:space="preserve"> [البقرة</w:t>
      </w:r>
      <w:r w:rsidRPr="00A52585">
        <w:rPr>
          <w:rFonts w:hint="cs"/>
          <w:rtl/>
        </w:rPr>
        <w:t>:</w:t>
      </w:r>
      <w:r w:rsidR="00777DCB" w:rsidRPr="00A52585">
        <w:rPr>
          <w:rFonts w:hint="cs"/>
          <w:rtl/>
        </w:rPr>
        <w:t xml:space="preserve"> 20]</w:t>
      </w:r>
      <w:r w:rsidR="00DB731D" w:rsidRPr="00A52585">
        <w:rPr>
          <w:rFonts w:hint="cs"/>
          <w:rtl/>
        </w:rPr>
        <w:t>،</w:t>
      </w:r>
      <w:r w:rsidR="00777DCB" w:rsidRPr="00A52585">
        <w:rPr>
          <w:rFonts w:hint="cs"/>
          <w:rtl/>
        </w:rPr>
        <w:t xml:space="preserve"> ولكن في مجالها المتعلق بجميع الممكنات وجميع المخلوقات</w:t>
      </w:r>
      <w:r w:rsidR="00DB731D" w:rsidRPr="00A52585">
        <w:rPr>
          <w:rFonts w:hint="cs"/>
          <w:rtl/>
        </w:rPr>
        <w:t>،</w:t>
      </w:r>
      <w:r w:rsidR="00777DCB" w:rsidRPr="00A52585">
        <w:rPr>
          <w:rFonts w:hint="cs"/>
          <w:rtl/>
        </w:rPr>
        <w:t xml:space="preserve"> فإن الله تعالى لو شاء أن يجعل العالم كله في حجم البيضة وأقل من ذلك لفعل لأنه على كل شيء قدير</w:t>
      </w:r>
      <w:r w:rsidR="00DB731D" w:rsidRPr="00A52585">
        <w:rPr>
          <w:rFonts w:hint="cs"/>
          <w:rtl/>
        </w:rPr>
        <w:t>،</w:t>
      </w:r>
      <w:r w:rsidR="00777DCB" w:rsidRPr="00A52585">
        <w:rPr>
          <w:rFonts w:hint="cs"/>
          <w:rtl/>
        </w:rPr>
        <w:t xml:space="preserve"> ولكن قدرة الله تعالى صفة من صفات الله تعالى الواجبة له</w:t>
      </w:r>
      <w:r w:rsidR="00DB731D" w:rsidRPr="00A52585">
        <w:rPr>
          <w:rFonts w:hint="cs"/>
          <w:rtl/>
        </w:rPr>
        <w:t>،</w:t>
      </w:r>
      <w:r w:rsidR="00777DCB" w:rsidRPr="00A52585">
        <w:rPr>
          <w:rFonts w:hint="cs"/>
          <w:rtl/>
        </w:rPr>
        <w:t xml:space="preserve"> فلا تعلق لها ببقية صفاته الواجبة له سبحانه كالعلم والسمع والبصر</w:t>
      </w:r>
      <w:r w:rsidR="00DB731D" w:rsidRPr="00A52585">
        <w:rPr>
          <w:rFonts w:hint="cs"/>
          <w:rtl/>
        </w:rPr>
        <w:t>،</w:t>
      </w:r>
      <w:r w:rsidR="00777DCB" w:rsidRPr="00A52585">
        <w:rPr>
          <w:rFonts w:hint="cs"/>
          <w:rtl/>
        </w:rPr>
        <w:t xml:space="preserve"> لا تتعلق بالواجب في حق الله تعالى لأنه موجود لا يقبل الفناء</w:t>
      </w:r>
      <w:r w:rsidR="00DB731D" w:rsidRPr="00A52585">
        <w:rPr>
          <w:rFonts w:hint="cs"/>
          <w:rtl/>
        </w:rPr>
        <w:t>،</w:t>
      </w:r>
      <w:r w:rsidR="00777DCB" w:rsidRPr="00A52585">
        <w:rPr>
          <w:rFonts w:hint="cs"/>
          <w:rtl/>
        </w:rPr>
        <w:t xml:space="preserve"> وكذلك فإن القدرة لا تتعلق بالمستحيل في حق الله تعالى لأنه معدوم لا يقبل الوجود</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قدرة الله لا تتعلق بالمستحيل في حق الله تعالى</w:t>
      </w:r>
      <w:r w:rsidR="00DB731D" w:rsidRPr="00A52585">
        <w:rPr>
          <w:rFonts w:hint="cs"/>
          <w:rtl/>
        </w:rPr>
        <w:t>،</w:t>
      </w:r>
      <w:r w:rsidR="00777DCB" w:rsidRPr="00A52585">
        <w:rPr>
          <w:rFonts w:hint="cs"/>
          <w:rtl/>
        </w:rPr>
        <w:t xml:space="preserve"> كمثل شخص يقول</w:t>
      </w:r>
      <w:r w:rsidRPr="00A52585">
        <w:rPr>
          <w:rFonts w:hint="cs"/>
          <w:rtl/>
        </w:rPr>
        <w:t>:</w:t>
      </w:r>
      <w:r w:rsidR="00777DCB" w:rsidRPr="00A52585">
        <w:rPr>
          <w:rFonts w:hint="cs"/>
          <w:rtl/>
        </w:rPr>
        <w:t xml:space="preserve"> هل يكون الله تعالى قادراً على أن يخلق مثل نفسه</w:t>
      </w:r>
      <w:r w:rsidR="00F95886" w:rsidRPr="00A52585">
        <w:rPr>
          <w:rFonts w:hint="cs"/>
          <w:rtl/>
        </w:rPr>
        <w:t>؟</w:t>
      </w:r>
      <w:r w:rsidR="00DB731D" w:rsidRPr="00A52585">
        <w:rPr>
          <w:rFonts w:hint="cs"/>
          <w:rtl/>
        </w:rPr>
        <w:t>،</w:t>
      </w:r>
      <w:r w:rsidR="00777DCB" w:rsidRPr="00A52585">
        <w:rPr>
          <w:rFonts w:hint="cs"/>
          <w:rtl/>
        </w:rPr>
        <w:t xml:space="preserve"> وهذا السؤال كفر والجواب عليه</w:t>
      </w:r>
      <w:r w:rsidRPr="00A52585">
        <w:rPr>
          <w:rFonts w:hint="cs"/>
          <w:rtl/>
        </w:rPr>
        <w:t>:</w:t>
      </w:r>
      <w:r w:rsidR="00777DCB" w:rsidRPr="00A52585">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sidR="00DB731D" w:rsidRPr="00A52585">
        <w:rPr>
          <w:rFonts w:hint="cs"/>
          <w:rtl/>
        </w:rPr>
        <w:t>،</w:t>
      </w:r>
      <w:r w:rsidR="00777DCB" w:rsidRPr="00A52585">
        <w:rPr>
          <w:rFonts w:hint="cs"/>
          <w:rtl/>
        </w:rPr>
        <w:t xml:space="preserve"> ولكن الجواب الصحيح هو أن نقول أن قدرة الله لا تتعلق بإيجاد المستحيل في حق الله تعالى</w:t>
      </w:r>
      <w:r w:rsidR="00DB731D" w:rsidRPr="00A52585">
        <w:rPr>
          <w:rFonts w:hint="cs"/>
          <w:rtl/>
        </w:rPr>
        <w:t>،</w:t>
      </w:r>
      <w:r w:rsidR="00777DCB" w:rsidRPr="00A52585">
        <w:rPr>
          <w:rFonts w:hint="cs"/>
          <w:rtl/>
        </w:rPr>
        <w:t xml:space="preserve"> والشيء المستحيل في حق الله تعالى لا يمكن أن يوجد</w:t>
      </w:r>
      <w:r w:rsidR="00DB731D" w:rsidRPr="00A52585">
        <w:rPr>
          <w:rFonts w:hint="cs"/>
          <w:rtl/>
        </w:rPr>
        <w:t>،</w:t>
      </w:r>
      <w:r w:rsidR="00777DCB" w:rsidRPr="00A52585">
        <w:rPr>
          <w:rFonts w:hint="cs"/>
          <w:rtl/>
        </w:rPr>
        <w:t xml:space="preserve"> لأنه لو خلقه كان مخلوقاً</w:t>
      </w:r>
      <w:r w:rsidR="00DB731D" w:rsidRPr="00A52585">
        <w:rPr>
          <w:rFonts w:hint="cs"/>
          <w:rtl/>
        </w:rPr>
        <w:t>،</w:t>
      </w:r>
      <w:r w:rsidR="00777DCB" w:rsidRPr="00A52585">
        <w:rPr>
          <w:rFonts w:hint="cs"/>
          <w:rtl/>
        </w:rPr>
        <w:t xml:space="preserve"> فلا يكون إلهاً</w:t>
      </w:r>
      <w:r w:rsidR="00DB731D" w:rsidRPr="00A52585">
        <w:rPr>
          <w:rFonts w:hint="cs"/>
          <w:rtl/>
        </w:rPr>
        <w:t>،</w:t>
      </w:r>
      <w:r w:rsidR="00777DCB" w:rsidRPr="00A52585">
        <w:rPr>
          <w:rFonts w:hint="cs"/>
          <w:rtl/>
        </w:rPr>
        <w:t xml:space="preserve"> ولا خالقاً</w:t>
      </w:r>
      <w:r w:rsidR="00DB731D" w:rsidRPr="00A52585">
        <w:rPr>
          <w:rFonts w:hint="cs"/>
          <w:rtl/>
        </w:rPr>
        <w:t>،</w:t>
      </w:r>
      <w:r w:rsidR="00777DCB" w:rsidRPr="00A52585">
        <w:rPr>
          <w:rFonts w:hint="cs"/>
          <w:rtl/>
        </w:rPr>
        <w:t xml:space="preserve"> ومثل ذلك تماماً</w:t>
      </w:r>
      <w:r w:rsidR="00DB731D" w:rsidRPr="00A52585">
        <w:rPr>
          <w:rFonts w:hint="cs"/>
          <w:rtl/>
        </w:rPr>
        <w:t>،</w:t>
      </w:r>
      <w:r w:rsidR="00777DCB" w:rsidRPr="00A52585">
        <w:rPr>
          <w:rFonts w:hint="cs"/>
          <w:rtl/>
        </w:rPr>
        <w:t xml:space="preserve"> زعم النصارى أن لله تعالى الولد</w:t>
      </w:r>
      <w:r w:rsidR="00DB731D" w:rsidRPr="00A52585">
        <w:rPr>
          <w:rFonts w:hint="cs"/>
          <w:rtl/>
        </w:rPr>
        <w:t>،</w:t>
      </w:r>
      <w:r w:rsidR="00777DCB" w:rsidRPr="00A52585">
        <w:rPr>
          <w:rFonts w:hint="cs"/>
          <w:rtl/>
        </w:rPr>
        <w:t xml:space="preserve"> وهذا مستحيل</w:t>
      </w:r>
      <w:r w:rsidR="00DB731D" w:rsidRPr="00A52585">
        <w:rPr>
          <w:rFonts w:hint="cs"/>
          <w:rtl/>
        </w:rPr>
        <w:t>،</w:t>
      </w:r>
      <w:r w:rsidR="00777DCB" w:rsidRPr="00A52585">
        <w:rPr>
          <w:rFonts w:hint="cs"/>
          <w:rtl/>
        </w:rPr>
        <w:t xml:space="preserve"> لأن الولد جزء من أبيه</w:t>
      </w:r>
      <w:r w:rsidR="00DB731D" w:rsidRPr="00A52585">
        <w:rPr>
          <w:rFonts w:hint="cs"/>
          <w:rtl/>
        </w:rPr>
        <w:t>،</w:t>
      </w:r>
      <w:r w:rsidR="00777DCB" w:rsidRPr="00A52585">
        <w:rPr>
          <w:rFonts w:hint="cs"/>
          <w:rtl/>
        </w:rPr>
        <w:t xml:space="preserve"> فالوالد لا يخلق ولده</w:t>
      </w:r>
      <w:r w:rsidR="00DB731D" w:rsidRPr="00A52585">
        <w:rPr>
          <w:rFonts w:hint="cs"/>
          <w:rtl/>
        </w:rPr>
        <w:t>،</w:t>
      </w:r>
      <w:r w:rsidR="00777DCB" w:rsidRPr="00A52585">
        <w:rPr>
          <w:rFonts w:hint="cs"/>
          <w:rtl/>
        </w:rPr>
        <w:t xml:space="preserve"> وإنما هو جزء منه</w:t>
      </w:r>
      <w:r w:rsidR="00DB731D" w:rsidRPr="00A52585">
        <w:rPr>
          <w:rFonts w:hint="cs"/>
          <w:rtl/>
        </w:rPr>
        <w:t>،</w:t>
      </w:r>
      <w:r w:rsidR="00777DCB" w:rsidRPr="00A52585">
        <w:rPr>
          <w:rFonts w:hint="cs"/>
          <w:rtl/>
        </w:rPr>
        <w:t xml:space="preserve"> والله تعالى أحد صمد منزه عن الجزء والكل</w:t>
      </w:r>
      <w:r w:rsidR="00DB731D" w:rsidRPr="00A52585">
        <w:rPr>
          <w:rFonts w:hint="cs"/>
          <w:rtl/>
        </w:rPr>
        <w:t>،</w:t>
      </w:r>
      <w:r w:rsidR="00777DCB" w:rsidRPr="00A52585">
        <w:rPr>
          <w:rFonts w:hint="cs"/>
          <w:rtl/>
        </w:rPr>
        <w:t xml:space="preserve"> لأنه لا يُعرف بالحس</w:t>
      </w:r>
      <w:r w:rsidR="00DB731D" w:rsidRPr="00A52585">
        <w:rPr>
          <w:rFonts w:hint="cs"/>
          <w:rtl/>
        </w:rPr>
        <w:t>،</w:t>
      </w:r>
      <w:r w:rsidR="00777DCB" w:rsidRPr="00A52585">
        <w:rPr>
          <w:rFonts w:hint="cs"/>
          <w:rtl/>
        </w:rPr>
        <w:t xml:space="preserve"> فلا يكون منه الولد</w:t>
      </w:r>
      <w:r w:rsidR="00DB731D" w:rsidRPr="00A52585">
        <w:rPr>
          <w:rFonts w:hint="cs"/>
          <w:rtl/>
        </w:rPr>
        <w:t>،</w:t>
      </w:r>
      <w:r w:rsidR="00777DCB" w:rsidRPr="00A52585">
        <w:rPr>
          <w:rFonts w:hint="cs"/>
          <w:rtl/>
        </w:rPr>
        <w:t xml:space="preserve"> ولو كان منه الولد - سبحانه - لكان الولد قديماً</w:t>
      </w:r>
      <w:r w:rsidR="00DB731D" w:rsidRPr="00A52585">
        <w:rPr>
          <w:rFonts w:hint="cs"/>
          <w:rtl/>
        </w:rPr>
        <w:t>،</w:t>
      </w:r>
      <w:r w:rsidR="00777DCB" w:rsidRPr="00A52585">
        <w:rPr>
          <w:rFonts w:hint="cs"/>
          <w:rtl/>
        </w:rPr>
        <w:t xml:space="preserve"> مثل أبيه</w:t>
      </w:r>
      <w:r w:rsidR="00DB731D" w:rsidRPr="00A52585">
        <w:rPr>
          <w:rFonts w:hint="cs"/>
          <w:rtl/>
        </w:rPr>
        <w:t>،</w:t>
      </w:r>
      <w:r w:rsidR="00777DCB" w:rsidRPr="00A52585">
        <w:rPr>
          <w:rFonts w:hint="cs"/>
          <w:rtl/>
        </w:rPr>
        <w:t xml:space="preserve"> وكيف يكون قديماً وهو حادث</w:t>
      </w:r>
      <w:r w:rsidR="00DB731D" w:rsidRPr="00A52585">
        <w:rPr>
          <w:rFonts w:hint="cs"/>
          <w:rtl/>
        </w:rPr>
        <w:t>،</w:t>
      </w:r>
      <w:r w:rsidR="00777DCB" w:rsidRPr="00A52585">
        <w:rPr>
          <w:rFonts w:hint="cs"/>
          <w:rtl/>
        </w:rPr>
        <w:t xml:space="preserve"> وُجد بعد أن لم يكن موجوداً</w:t>
      </w:r>
      <w:r w:rsidR="00DB731D" w:rsidRPr="00A52585">
        <w:rPr>
          <w:rFonts w:hint="cs"/>
          <w:rtl/>
        </w:rPr>
        <w:t>،</w:t>
      </w:r>
      <w:r w:rsidR="00777DCB" w:rsidRPr="00A52585">
        <w:rPr>
          <w:rFonts w:hint="cs"/>
          <w:rtl/>
        </w:rPr>
        <w:t xml:space="preserve"> ولذلك لا يجوز على الله تعالى الولد</w:t>
      </w:r>
      <w:r w:rsidR="00DB731D" w:rsidRPr="00A52585">
        <w:rPr>
          <w:rFonts w:hint="cs"/>
          <w:rtl/>
        </w:rPr>
        <w:t>،</w:t>
      </w:r>
      <w:r w:rsidR="00777DCB" w:rsidRPr="00A52585">
        <w:rPr>
          <w:rFonts w:hint="cs"/>
          <w:rtl/>
        </w:rPr>
        <w:t xml:space="preserve"> ولذا نجد القرآن الكريم يعالج تلك القضية بقوله تعالى - آمراً رسوله صلى الله عليه وسلم -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إِنْ كَانَ لِلرَّحْمَنِ وَلَدٌ فَأَنَا أَوَّلُ الْعَابِدِينَ * سُبْحَانَ رَبِّ السَّمَوَاتِ وَالْأَرْضِ رَبِّ الْعَرْشِ عَمَّا يَصِفُونَ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الزخرف</w:t>
      </w:r>
      <w:r w:rsidRPr="00A52585">
        <w:rPr>
          <w:rFonts w:hint="cs"/>
          <w:rtl/>
        </w:rPr>
        <w:t>:</w:t>
      </w:r>
      <w:r w:rsidR="00777DCB" w:rsidRPr="00A52585">
        <w:rPr>
          <w:rFonts w:hint="cs"/>
          <w:rtl/>
        </w:rPr>
        <w:t xml:space="preserve"> 81</w:t>
      </w:r>
      <w:r w:rsidR="00DB731D" w:rsidRPr="00A52585">
        <w:rPr>
          <w:rFonts w:hint="cs"/>
          <w:rtl/>
        </w:rPr>
        <w:t>،</w:t>
      </w:r>
      <w:r w:rsidR="00777DCB" w:rsidRPr="00A52585">
        <w:rPr>
          <w:rFonts w:hint="cs"/>
          <w:rtl/>
        </w:rPr>
        <w:t xml:space="preserve"> 82</w:t>
      </w:r>
      <w:r w:rsidRPr="00A52585">
        <w:rPr>
          <w:rFonts w:hint="cs"/>
          <w:rtl/>
        </w:rPr>
        <w:t>]</w:t>
      </w:r>
      <w:r w:rsidR="00DB731D" w:rsidRPr="00A52585">
        <w:rPr>
          <w:rFonts w:hint="cs"/>
          <w:rtl/>
        </w:rPr>
        <w:t>،</w:t>
      </w:r>
      <w:r w:rsidR="00777DCB" w:rsidRPr="00A52585">
        <w:rPr>
          <w:rFonts w:hint="cs"/>
          <w:rtl/>
        </w:rPr>
        <w:t xml:space="preserve"> فالمعنى أنه لو كان ذلك جائزاً ممكناً حاصلاً فأنا أول المنقادين لأمر الله تعالى المتعبدين بطاعته</w:t>
      </w:r>
      <w:r w:rsidR="00DB731D" w:rsidRPr="00A52585">
        <w:rPr>
          <w:rFonts w:hint="cs"/>
          <w:rtl/>
        </w:rPr>
        <w:t>،</w:t>
      </w:r>
      <w:r w:rsidR="00777DCB" w:rsidRPr="00A52585">
        <w:rPr>
          <w:rFonts w:hint="cs"/>
          <w:rtl/>
        </w:rPr>
        <w:t xml:space="preserve"> ولكنه لا ينبغي للرحمن أن يتخذ ولداً لان ذلك مستحيل</w:t>
      </w:r>
      <w:r w:rsidR="00DB731D" w:rsidRPr="00A52585">
        <w:rPr>
          <w:rFonts w:hint="cs"/>
          <w:rtl/>
        </w:rPr>
        <w:t>،</w:t>
      </w:r>
      <w:r w:rsidR="00777DCB" w:rsidRPr="00A52585">
        <w:rPr>
          <w:rFonts w:hint="cs"/>
          <w:rtl/>
        </w:rPr>
        <w:t xml:space="preserve"> ولهذا جاء التسبيح والتنزيه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 السَّمَوَاتِ وَالْأَرْضِ رَبِّ الْعَرْشِ عَمَّا يَصِفُونَ</w:t>
      </w:r>
      <w:r w:rsidRPr="00A52585">
        <w:rPr>
          <w:rFonts w:hint="cs"/>
          <w:rtl/>
        </w:rPr>
        <w:t>}</w:t>
      </w:r>
      <w:r w:rsidR="00DB731D" w:rsidRPr="00A52585">
        <w:rPr>
          <w:rFonts w:hint="cs"/>
          <w:rtl/>
        </w:rPr>
        <w:t>،</w:t>
      </w:r>
      <w:r w:rsidR="00777DCB" w:rsidRPr="00A52585">
        <w:rPr>
          <w:rFonts w:hint="cs"/>
          <w:rtl/>
        </w:rPr>
        <w:t xml:space="preserve"> فالولد من الاشياء المستحيلة في حق الله تعالى</w:t>
      </w:r>
      <w:r w:rsidR="00DB731D" w:rsidRPr="00A52585">
        <w:rPr>
          <w:rFonts w:hint="cs"/>
          <w:rtl/>
        </w:rPr>
        <w:t>،</w:t>
      </w:r>
      <w:r w:rsidR="00777DCB" w:rsidRPr="00A52585">
        <w:rPr>
          <w:rFonts w:hint="cs"/>
          <w:rtl/>
        </w:rPr>
        <w:t xml:space="preserve"> العظيم جرماً نسبتها إلى الله</w:t>
      </w:r>
      <w:r w:rsidR="00DB731D" w:rsidRPr="00A52585">
        <w:rPr>
          <w:rFonts w:hint="cs"/>
          <w:rtl/>
        </w:rPr>
        <w:t>،</w:t>
      </w:r>
      <w:r w:rsidR="00777DCB" w:rsidRPr="00A52585">
        <w:rPr>
          <w:rFonts w:hint="cs"/>
          <w:rtl/>
        </w:rPr>
        <w:t xml:space="preserve"> يتضح ذلك في مواضع كثيرة من القرآن منها</w:t>
      </w:r>
      <w:r w:rsidRPr="00A52585">
        <w:rPr>
          <w:rFonts w:hint="cs"/>
          <w:rtl/>
        </w:rPr>
        <w:t xml:space="preserve"> </w:t>
      </w:r>
      <w:r w:rsidR="00777DCB" w:rsidRPr="00A52585">
        <w:rPr>
          <w:rFonts w:hint="cs"/>
          <w:rtl/>
        </w:rPr>
        <w:t>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88 إلى 95</w:t>
      </w:r>
      <w:r w:rsidRPr="00A52585">
        <w:rPr>
          <w:rFonts w:hint="cs"/>
          <w:rtl/>
        </w:rPr>
        <w:t>]</w:t>
      </w:r>
      <w:r w:rsidR="00DB731D" w:rsidRPr="00A52585">
        <w:rPr>
          <w:rFonts w:hint="cs"/>
          <w:rtl/>
        </w:rPr>
        <w:t>،</w:t>
      </w:r>
      <w:r w:rsidR="00777DCB" w:rsidRPr="00A52585">
        <w:rPr>
          <w:rFonts w:hint="cs"/>
          <w:rtl/>
        </w:rPr>
        <w:t xml:space="preserve"> وقد</w:t>
      </w:r>
      <w:r w:rsidRPr="00A52585">
        <w:rPr>
          <w:rFonts w:hint="cs"/>
          <w:rtl/>
        </w:rPr>
        <w:t xml:space="preserve"> </w:t>
      </w:r>
      <w:r w:rsidR="00777DCB" w:rsidRPr="00A52585">
        <w:rPr>
          <w:rFonts w:hint="cs"/>
          <w:rtl/>
        </w:rPr>
        <w:t>أخطأ غير المتخصصين في عقائد المسلمين خطئا جسيماً عندما تكلموا في صفات الله تعالى الواجبة له بالحس</w:t>
      </w:r>
      <w:r w:rsidR="00DB731D" w:rsidRPr="00A52585">
        <w:rPr>
          <w:rFonts w:hint="cs"/>
          <w:rtl/>
        </w:rPr>
        <w:t>،</w:t>
      </w:r>
      <w:r w:rsidR="00777DCB" w:rsidRPr="00A52585">
        <w:rPr>
          <w:rFonts w:hint="cs"/>
          <w:rtl/>
        </w:rPr>
        <w:t xml:space="preserve"> والحس لا يصلح في </w:t>
      </w:r>
      <w:r w:rsidR="00777DCB" w:rsidRPr="00A52585">
        <w:rPr>
          <w:rFonts w:hint="cs"/>
          <w:rtl/>
        </w:rPr>
        <w:lastRenderedPageBreak/>
        <w:t>الإلهيات لأنها مبنية على نفي المماثلة</w:t>
      </w:r>
      <w:r w:rsidR="00DB731D" w:rsidRPr="00A52585">
        <w:rPr>
          <w:rFonts w:hint="cs"/>
          <w:rtl/>
        </w:rPr>
        <w:t>،</w:t>
      </w:r>
      <w:r w:rsidR="00777DCB" w:rsidRPr="00A52585">
        <w:rPr>
          <w:rFonts w:hint="cs"/>
          <w:rtl/>
        </w:rPr>
        <w:t xml:space="preserve"> فقالوا إن الله تعالى له صفة الكلام</w:t>
      </w:r>
      <w:r w:rsidR="00DB731D" w:rsidRPr="00A52585">
        <w:rPr>
          <w:rFonts w:hint="cs"/>
          <w:rtl/>
        </w:rPr>
        <w:t>،</w:t>
      </w:r>
      <w:r w:rsidR="00777DCB" w:rsidRPr="00A52585">
        <w:rPr>
          <w:rFonts w:hint="cs"/>
          <w:rtl/>
        </w:rPr>
        <w:t xml:space="preserve"> وجعلوها من صفات الفعل</w:t>
      </w:r>
      <w:r w:rsidR="00DB731D" w:rsidRPr="00A52585">
        <w:rPr>
          <w:rFonts w:hint="cs"/>
          <w:rtl/>
        </w:rPr>
        <w:t>،</w:t>
      </w:r>
      <w:r w:rsidR="00777DCB" w:rsidRPr="00A52585">
        <w:rPr>
          <w:rFonts w:hint="cs"/>
          <w:rtl/>
        </w:rPr>
        <w:t xml:space="preserve"> وهي صفة تابعة عندهم للمشيئة والقدرة</w:t>
      </w:r>
      <w:r w:rsidR="00DB731D" w:rsidRPr="00A52585">
        <w:rPr>
          <w:rFonts w:hint="cs"/>
          <w:rtl/>
        </w:rPr>
        <w:t>،</w:t>
      </w:r>
      <w:r w:rsidR="00777DCB" w:rsidRPr="00A52585">
        <w:rPr>
          <w:rFonts w:hint="cs"/>
          <w:rtl/>
        </w:rPr>
        <w:t xml:space="preserve"> بمعنى أنه يتكلم متى شاء بما شاء</w:t>
      </w:r>
      <w:r w:rsidR="00DB731D" w:rsidRPr="00A52585">
        <w:rPr>
          <w:rFonts w:hint="cs"/>
          <w:rtl/>
        </w:rPr>
        <w:t>،</w:t>
      </w:r>
      <w:r w:rsidR="00777DCB" w:rsidRPr="00A52585">
        <w:rPr>
          <w:rFonts w:hint="cs"/>
          <w:rtl/>
        </w:rPr>
        <w:t xml:space="preserve"> وهم لا يعلمون محاذير ذلك الخطأ الجسيم في حق صفة الكلام لله تعالى</w:t>
      </w:r>
      <w:r w:rsidR="00DB731D" w:rsidRPr="00A52585">
        <w:rPr>
          <w:rFonts w:hint="cs"/>
          <w:rtl/>
        </w:rPr>
        <w:t>،</w:t>
      </w:r>
      <w:r w:rsidR="00777DCB" w:rsidRPr="00A52585">
        <w:rPr>
          <w:rFonts w:hint="cs"/>
          <w:rtl/>
        </w:rPr>
        <w:t xml:space="preserve"> فإنهم جعلوا كلام الله تعالى متعلق بالقدرة والمشيئة</w:t>
      </w:r>
      <w:r w:rsidR="00DB731D" w:rsidRPr="00A52585">
        <w:rPr>
          <w:rFonts w:hint="cs"/>
          <w:rtl/>
        </w:rPr>
        <w:t>،</w:t>
      </w:r>
      <w:r w:rsidR="00777DCB" w:rsidRPr="00A52585">
        <w:rPr>
          <w:rFonts w:hint="cs"/>
          <w:rtl/>
        </w:rPr>
        <w:t xml:space="preserve"> يتكلم متى شاء ويسكت متى شاء</w:t>
      </w:r>
      <w:r w:rsidR="00DB731D" w:rsidRPr="00A52585">
        <w:rPr>
          <w:rFonts w:hint="cs"/>
          <w:rtl/>
        </w:rPr>
        <w:t>،</w:t>
      </w:r>
      <w:r w:rsidR="00777DCB" w:rsidRPr="00A52585">
        <w:rPr>
          <w:rFonts w:hint="cs"/>
          <w:rtl/>
        </w:rPr>
        <w:t xml:space="preserve"> - سبحانه عما يقولون -</w:t>
      </w:r>
      <w:r w:rsidR="00DB731D" w:rsidRPr="00A52585">
        <w:rPr>
          <w:rFonts w:hint="cs"/>
          <w:rtl/>
        </w:rPr>
        <w:t>،</w:t>
      </w:r>
      <w:r w:rsidR="00777DCB" w:rsidRPr="00A52585">
        <w:rPr>
          <w:rFonts w:hint="cs"/>
          <w:rtl/>
        </w:rPr>
        <w:t xml:space="preserve"> وبالتالي فإن صفة الكلام ليست قديمة أزلية</w:t>
      </w:r>
      <w:r w:rsidR="00DB731D" w:rsidRPr="00A52585">
        <w:rPr>
          <w:rFonts w:hint="cs"/>
          <w:rtl/>
        </w:rPr>
        <w:t>،</w:t>
      </w:r>
      <w:r w:rsidR="00777DCB" w:rsidRPr="00A52585">
        <w:rPr>
          <w:rFonts w:hint="cs"/>
          <w:rtl/>
        </w:rPr>
        <w:t xml:space="preserve"> بل محدثة</w:t>
      </w:r>
      <w:r w:rsidR="00DB731D" w:rsidRPr="00A52585">
        <w:rPr>
          <w:rFonts w:hint="cs"/>
          <w:rtl/>
        </w:rPr>
        <w:t>،</w:t>
      </w:r>
      <w:r w:rsidR="00777DCB" w:rsidRPr="00A52585">
        <w:rPr>
          <w:rFonts w:hint="cs"/>
          <w:rtl/>
        </w:rPr>
        <w:t xml:space="preserve"> وبالتالي فالقرآن الكريم - على لازم قولهم - مخلوق لأنه كان بعد أن لم يكن</w:t>
      </w:r>
      <w:r w:rsidR="00DB731D" w:rsidRPr="00A52585">
        <w:rPr>
          <w:rFonts w:hint="cs"/>
          <w:rtl/>
        </w:rPr>
        <w:t>،</w:t>
      </w:r>
      <w:r w:rsidR="00777DCB" w:rsidRPr="00A52585">
        <w:rPr>
          <w:rFonts w:hint="cs"/>
          <w:rtl/>
        </w:rPr>
        <w:t xml:space="preserve"> والصواب ان صفة القدرة لا تعلق لها بصفة الكلام</w:t>
      </w:r>
      <w:r w:rsidR="00DB731D" w:rsidRPr="00A52585">
        <w:rPr>
          <w:rFonts w:hint="cs"/>
          <w:rtl/>
        </w:rPr>
        <w:t>،</w:t>
      </w:r>
      <w:r w:rsidR="00777DCB" w:rsidRPr="00A52585">
        <w:rPr>
          <w:rFonts w:hint="cs"/>
          <w:rtl/>
        </w:rPr>
        <w:t xml:space="preserve"> تماماً مثل عدم تعلق القدرة بصفة العلم</w:t>
      </w:r>
      <w:r w:rsidR="00DB731D" w:rsidRPr="00A52585">
        <w:rPr>
          <w:rFonts w:hint="cs"/>
          <w:rtl/>
        </w:rPr>
        <w:t>،</w:t>
      </w:r>
      <w:r w:rsidR="00777DCB" w:rsidRPr="00A52585">
        <w:rPr>
          <w:rFonts w:hint="cs"/>
          <w:rtl/>
        </w:rPr>
        <w:t xml:space="preserve"> وكما أنه لا يصح أن نقول أن الله تعالى متى شاء لم يعلم</w:t>
      </w:r>
      <w:r w:rsidR="00DB731D" w:rsidRPr="00A52585">
        <w:rPr>
          <w:rFonts w:hint="cs"/>
          <w:rtl/>
        </w:rPr>
        <w:t>،</w:t>
      </w:r>
      <w:r w:rsidR="00777DCB" w:rsidRPr="00A52585">
        <w:rPr>
          <w:rFonts w:hint="cs"/>
          <w:rtl/>
        </w:rPr>
        <w:t xml:space="preserve"> كذلك لا يصح أن نقول أن الله تعالى متى شاء لم يتكلم</w:t>
      </w:r>
      <w:r w:rsidR="00DB731D" w:rsidRPr="00A52585">
        <w:rPr>
          <w:rFonts w:hint="cs"/>
          <w:rtl/>
        </w:rPr>
        <w:t>،</w:t>
      </w:r>
      <w:r w:rsidR="00777DCB" w:rsidRPr="00A52585">
        <w:rPr>
          <w:rFonts w:hint="cs"/>
          <w:rtl/>
        </w:rPr>
        <w:t xml:space="preserve"> بل كما أنه لا حد لعلم الله تعالى</w:t>
      </w:r>
      <w:r w:rsidR="00DB731D" w:rsidRPr="00A52585">
        <w:rPr>
          <w:rFonts w:hint="cs"/>
          <w:rtl/>
        </w:rPr>
        <w:t>،</w:t>
      </w:r>
      <w:r w:rsidR="00777DCB" w:rsidRPr="00A52585">
        <w:rPr>
          <w:rFonts w:hint="cs"/>
          <w:rtl/>
        </w:rPr>
        <w:t xml:space="preserve"> فلا حد لكلام الله تعالى</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لَوْ كَانَ الْبَحْرُ مِدَادًا لِكَلِمَاتِ رَبِّي لَنَفِدَ الْبَحْرُ قَبْلَ أَنْ تَنْفَدَ كَلِمَاتُ رَبِّي وَلَوْ جِئْنَا بِمِثْلِهِ مَدَدًا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الكهف</w:t>
      </w:r>
      <w:r w:rsidRPr="00A52585">
        <w:rPr>
          <w:rFonts w:hint="cs"/>
          <w:rtl/>
        </w:rPr>
        <w:t>:</w:t>
      </w:r>
      <w:r w:rsidR="00777DCB" w:rsidRPr="00A52585">
        <w:rPr>
          <w:rFonts w:hint="cs"/>
          <w:rtl/>
        </w:rPr>
        <w:t xml:space="preserve"> 109</w:t>
      </w:r>
      <w:r w:rsidRPr="00A52585">
        <w:rPr>
          <w:rFonts w:hint="cs"/>
          <w:rtl/>
        </w:rPr>
        <w:t>]</w:t>
      </w:r>
      <w:r w:rsidR="00DB731D" w:rsidRPr="00A52585">
        <w:rPr>
          <w:rFonts w:hint="cs"/>
          <w:rtl/>
        </w:rPr>
        <w:t>،</w:t>
      </w:r>
      <w:r w:rsidR="00777DCB" w:rsidRPr="00A52585">
        <w:rPr>
          <w:rFonts w:hint="cs"/>
          <w:rtl/>
        </w:rPr>
        <w:t xml:space="preserve"> وكلام الله تعالى صفة قديمة أزلية منزهة عن الحدوث</w:t>
      </w:r>
      <w:r w:rsidR="00DB731D" w:rsidRPr="00A52585">
        <w:rPr>
          <w:rFonts w:hint="cs"/>
          <w:rtl/>
        </w:rPr>
        <w:t>،</w:t>
      </w:r>
      <w:r w:rsidR="00777DCB" w:rsidRPr="00A52585">
        <w:rPr>
          <w:rFonts w:hint="cs"/>
          <w:rtl/>
        </w:rPr>
        <w:t xml:space="preserve"> والقرآن كلام الله تعالى غير مخلوق ولا محدث</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وَهُوَ الْعَلِيُّ الْعَظِيمُ</w:t>
      </w:r>
      <w:r w:rsidRPr="00A52585">
        <w:rPr>
          <w:rFonts w:hint="cs"/>
          <w:bCs/>
          <w:rtl/>
        </w:rPr>
        <w:t>}:</w:t>
      </w:r>
      <w:r w:rsidR="00777DCB" w:rsidRPr="00A52585">
        <w:rPr>
          <w:rFonts w:hint="cs"/>
          <w:rtl/>
        </w:rPr>
        <w:t xml:space="preserve"> </w:t>
      </w:r>
      <w:r w:rsidR="00777DCB" w:rsidRPr="00A52585">
        <w:rPr>
          <w:rFonts w:hint="cs"/>
          <w:rtl/>
          <w:lang w:bidi="ar-EG"/>
        </w:rPr>
        <w:t xml:space="preserve">اسم الله </w:t>
      </w:r>
      <w:r w:rsidRPr="00A52585">
        <w:rPr>
          <w:rFonts w:hint="cs"/>
          <w:rtl/>
          <w:lang w:bidi="ar-EG"/>
        </w:rPr>
        <w:t>(</w:t>
      </w:r>
      <w:r w:rsidR="00777DCB" w:rsidRPr="00A52585">
        <w:rPr>
          <w:rFonts w:hint="cs"/>
          <w:rtl/>
          <w:lang w:bidi="ar-EG"/>
        </w:rPr>
        <w:t>العلي</w:t>
      </w:r>
      <w:r w:rsidRPr="00A52585">
        <w:rPr>
          <w:rFonts w:hint="cs"/>
          <w:rtl/>
          <w:lang w:bidi="ar-EG"/>
        </w:rPr>
        <w:t>)</w:t>
      </w:r>
      <w:r w:rsidR="00777DCB" w:rsidRPr="00A52585">
        <w:rPr>
          <w:rFonts w:hint="cs"/>
          <w:rtl/>
          <w:lang w:bidi="ar-EG"/>
        </w:rPr>
        <w:t xml:space="preserve"> مُشْتَقٌّ من العُلُوِّ؛ فهو العليُّ في ذاته ليس كمثله شيء</w:t>
      </w:r>
      <w:r w:rsidR="00DB731D" w:rsidRPr="00A52585">
        <w:rPr>
          <w:rFonts w:hint="cs"/>
          <w:rtl/>
          <w:lang w:bidi="ar-EG"/>
        </w:rPr>
        <w:t>،</w:t>
      </w:r>
      <w:r w:rsidR="00777DCB" w:rsidRPr="00A52585">
        <w:rPr>
          <w:rFonts w:hint="cs"/>
          <w:rtl/>
          <w:lang w:bidi="ar-EG"/>
        </w:rPr>
        <w:t xml:space="preserve"> له صفات العلو والاستواء والقرب والإحاطة</w:t>
      </w:r>
      <w:r w:rsidR="00DB731D" w:rsidRPr="00A52585">
        <w:rPr>
          <w:rFonts w:hint="cs"/>
          <w:rtl/>
          <w:lang w:bidi="ar-EG"/>
        </w:rPr>
        <w:t>،</w:t>
      </w:r>
      <w:r w:rsidR="00777DCB" w:rsidRPr="00A52585">
        <w:rPr>
          <w:rFonts w:hint="cs"/>
          <w:rtl/>
          <w:lang w:bidi="ar-EG"/>
        </w:rPr>
        <w:t xml:space="preserve"> قريب في علوه</w:t>
      </w:r>
      <w:r w:rsidR="00DB731D" w:rsidRPr="00A52585">
        <w:rPr>
          <w:rFonts w:hint="cs"/>
          <w:rtl/>
          <w:lang w:bidi="ar-EG"/>
        </w:rPr>
        <w:t>،</w:t>
      </w:r>
      <w:r w:rsidR="00777DCB" w:rsidRPr="00A52585">
        <w:rPr>
          <w:rFonts w:hint="cs"/>
          <w:rtl/>
          <w:lang w:bidi="ar-EG"/>
        </w:rPr>
        <w:t xml:space="preserve"> عالٍ في قربه وهو العلي العظيم</w:t>
      </w:r>
      <w:r w:rsidR="00DB731D" w:rsidRPr="00A52585">
        <w:rPr>
          <w:rFonts w:hint="cs"/>
          <w:rtl/>
          <w:lang w:bidi="ar-EG"/>
        </w:rPr>
        <w:t>،</w:t>
      </w:r>
      <w:r w:rsidR="00777DCB" w:rsidRPr="00A52585">
        <w:rPr>
          <w:rFonts w:hint="cs"/>
          <w:rtl/>
          <w:lang w:bidi="ar-EG"/>
        </w:rPr>
        <w:t xml:space="preserve"> وله</w:t>
      </w:r>
      <w:r w:rsidRPr="00A52585">
        <w:rPr>
          <w:rFonts w:hint="cs"/>
          <w:rtl/>
          <w:lang w:bidi="ar-EG"/>
        </w:rPr>
        <w:t xml:space="preserve"> </w:t>
      </w:r>
      <w:r w:rsidR="00777DCB" w:rsidRPr="00A52585">
        <w:rPr>
          <w:rFonts w:hint="cs"/>
          <w:rtl/>
          <w:lang w:bidi="ar-EG"/>
        </w:rPr>
        <w:t>عُلُوُّ القدر، وهو عُلُوُّ صفاته وعظمتُها</w:t>
      </w:r>
      <w:r w:rsidR="00DB731D" w:rsidRPr="00A52585">
        <w:rPr>
          <w:rFonts w:hint="cs"/>
          <w:rtl/>
          <w:lang w:bidi="ar-EG"/>
        </w:rPr>
        <w:t>،</w:t>
      </w:r>
      <w:r w:rsidR="00777DCB" w:rsidRPr="00A52585">
        <w:rPr>
          <w:rFonts w:hint="cs"/>
          <w:rtl/>
          <w:lang w:bidi="ar-EG"/>
        </w:rPr>
        <w:t xml:space="preserve"> فلا يماثله صفةُ مخلوق ؛ وله سبحانه عُلُوُّ القَهْر والغَلَبة: فهو القَهَّارُ الذي قَهَرَ الخَلْقَ كُلَّهم</w:t>
      </w:r>
      <w:r w:rsidR="00DB731D" w:rsidRPr="00A52585">
        <w:rPr>
          <w:rFonts w:hint="cs"/>
          <w:rtl/>
          <w:lang w:bidi="ar-EG"/>
        </w:rPr>
        <w:t>،</w:t>
      </w:r>
      <w:r w:rsidR="00777DCB" w:rsidRPr="00A52585">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00DB731D" w:rsidRPr="00A52585">
        <w:rPr>
          <w:rFonts w:hint="cs"/>
          <w:rtl/>
          <w:lang w:bidi="ar-EG"/>
        </w:rPr>
        <w:t>،</w:t>
      </w:r>
      <w:r w:rsidR="00777DCB" w:rsidRPr="00A52585">
        <w:rPr>
          <w:rFonts w:hint="cs"/>
          <w:rtl/>
          <w:lang w:bidi="ar-EG"/>
        </w:rPr>
        <w:t xml:space="preserve"> وهو سبحانه </w:t>
      </w:r>
      <w:r w:rsidRPr="00A52585">
        <w:rPr>
          <w:rFonts w:hint="cs"/>
          <w:rtl/>
          <w:lang w:bidi="ar-EG"/>
        </w:rPr>
        <w:t>(</w:t>
      </w:r>
      <w:r w:rsidR="00777DCB" w:rsidRPr="00A52585">
        <w:rPr>
          <w:rFonts w:hint="cs"/>
          <w:rtl/>
          <w:lang w:bidi="ar-EG"/>
        </w:rPr>
        <w:t>الأعلى</w:t>
      </w:r>
      <w:r w:rsidRPr="00A52585">
        <w:rPr>
          <w:rFonts w:hint="cs"/>
          <w:rtl/>
          <w:lang w:bidi="ar-EG"/>
        </w:rPr>
        <w:t>)</w:t>
      </w:r>
      <w:r w:rsidR="00777DCB" w:rsidRPr="00A52585">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sidR="00DB731D" w:rsidRPr="00A52585">
        <w:rPr>
          <w:rFonts w:hint="cs"/>
          <w:rtl/>
          <w:lang w:bidi="ar-EG"/>
        </w:rPr>
        <w:t>،</w:t>
      </w:r>
      <w:r w:rsidR="00777DCB" w:rsidRPr="00A52585">
        <w:rPr>
          <w:rFonts w:hint="cs"/>
          <w:rtl/>
          <w:lang w:bidi="ar-EG"/>
        </w:rPr>
        <w:t xml:space="preserve"> ليس كمثله شيء</w:t>
      </w:r>
      <w:r w:rsidR="00DB731D" w:rsidRPr="00A52585">
        <w:rPr>
          <w:rFonts w:hint="cs"/>
          <w:rtl/>
          <w:lang w:bidi="ar-EG"/>
        </w:rPr>
        <w:t>،</w:t>
      </w:r>
      <w:r w:rsidR="00777DCB" w:rsidRPr="00A52585">
        <w:rPr>
          <w:rFonts w:hint="cs"/>
          <w:rtl/>
          <w:lang w:bidi="ar-EG"/>
        </w:rPr>
        <w:t xml:space="preserve"> وهو </w:t>
      </w:r>
      <w:r w:rsidRPr="00A52585">
        <w:rPr>
          <w:rFonts w:hint="cs"/>
          <w:rtl/>
          <w:lang w:bidi="ar-EG"/>
        </w:rPr>
        <w:t>(</w:t>
      </w:r>
      <w:r w:rsidR="00777DCB" w:rsidRPr="00A52585">
        <w:rPr>
          <w:rFonts w:hint="cs"/>
          <w:rtl/>
          <w:lang w:bidi="ar-EG"/>
        </w:rPr>
        <w:t>المتعال</w:t>
      </w:r>
      <w:r w:rsidRPr="00A52585">
        <w:rPr>
          <w:rFonts w:hint="cs"/>
          <w:rtl/>
          <w:lang w:bidi="ar-EG"/>
        </w:rPr>
        <w:t>)</w:t>
      </w:r>
      <w:r w:rsidR="00777DCB" w:rsidRPr="00A52585">
        <w:rPr>
          <w:rFonts w:hint="cs"/>
          <w:rtl/>
          <w:lang w:bidi="ar-EG"/>
        </w:rPr>
        <w:t xml:space="preserve"> </w:t>
      </w:r>
      <w:r w:rsidR="00777DCB" w:rsidRPr="00A52585">
        <w:rPr>
          <w:rFonts w:hint="cs"/>
          <w:spacing w:val="8"/>
          <w:rtl/>
          <w:lang w:bidi="ar-EG"/>
        </w:rPr>
        <w:t>على جميع خلقه والذي تعالى عمَّا نسبه إليه أهلُ الضلال من الصاحبة والولد</w:t>
      </w:r>
      <w:r w:rsidR="00DB731D" w:rsidRPr="00A52585">
        <w:rPr>
          <w:rFonts w:hint="cs"/>
          <w:spacing w:val="8"/>
          <w:rtl/>
          <w:lang w:bidi="ar-EG"/>
        </w:rPr>
        <w:t>،</w:t>
      </w:r>
      <w:r w:rsidR="00777DCB" w:rsidRPr="00A52585">
        <w:rPr>
          <w:rFonts w:hint="cs"/>
          <w:spacing w:val="8"/>
          <w:rtl/>
          <w:lang w:bidi="ar-EG"/>
        </w:rPr>
        <w:t xml:space="preserve"> وما لا يليق به سبحانه</w:t>
      </w:r>
      <w:r w:rsidR="00DB731D" w:rsidRPr="00A52585">
        <w:rPr>
          <w:rFonts w:hint="cs"/>
          <w:spacing w:val="8"/>
          <w:rtl/>
          <w:lang w:bidi="ar-EG"/>
        </w:rPr>
        <w:t>،</w:t>
      </w:r>
      <w:r w:rsidR="00777DCB" w:rsidRPr="00A52585">
        <w:rPr>
          <w:rFonts w:hint="cs"/>
          <w:spacing w:val="8"/>
          <w:rtl/>
          <w:lang w:bidi="ar-EG"/>
        </w:rPr>
        <w:t xml:space="preserve"> ومَنْ عَرَفَ مَعْنى الأسماء الثَّلاثة السَّابقة (العليّ، الأعلى</w:t>
      </w:r>
      <w:r w:rsidR="00DB731D" w:rsidRPr="00A52585">
        <w:rPr>
          <w:rFonts w:hint="cs"/>
          <w:spacing w:val="8"/>
          <w:rtl/>
          <w:lang w:bidi="ar-EG"/>
        </w:rPr>
        <w:t>،</w:t>
      </w:r>
      <w:r w:rsidR="00777DCB" w:rsidRPr="00A52585">
        <w:rPr>
          <w:rFonts w:hint="cs"/>
          <w:spacing w:val="8"/>
          <w:rtl/>
          <w:lang w:bidi="ar-EG"/>
        </w:rPr>
        <w:t xml:space="preserve"> المتعال)، عَرَفَ أنَّ الله عليٌّ بذاته عن المثيل والند والشريك</w:t>
      </w:r>
      <w:r w:rsidR="00DB731D" w:rsidRPr="00A52585">
        <w:rPr>
          <w:rFonts w:hint="cs"/>
          <w:spacing w:val="8"/>
          <w:rtl/>
          <w:lang w:bidi="ar-EG"/>
        </w:rPr>
        <w:t>،</w:t>
      </w:r>
      <w:r w:rsidR="00777DCB" w:rsidRPr="00A52585">
        <w:rPr>
          <w:rFonts w:hint="cs"/>
          <w:spacing w:val="8"/>
          <w:rtl/>
          <w:lang w:bidi="ar-EG"/>
        </w:rPr>
        <w:t xml:space="preserve"> علي بصفات الكمال والجلال</w:t>
      </w:r>
      <w:r w:rsidR="00DB731D" w:rsidRPr="00A52585">
        <w:rPr>
          <w:rFonts w:hint="cs"/>
          <w:spacing w:val="8"/>
          <w:rtl/>
          <w:lang w:bidi="ar-EG"/>
        </w:rPr>
        <w:t>،</w:t>
      </w:r>
      <w:r w:rsidR="00777DCB" w:rsidRPr="00A52585">
        <w:rPr>
          <w:rFonts w:hint="cs"/>
          <w:spacing w:val="8"/>
          <w:rtl/>
          <w:lang w:bidi="ar-EG"/>
        </w:rPr>
        <w:t xml:space="preserve"> متعال عن صفات النَّقْص </w:t>
      </w:r>
      <w:r w:rsidR="00777DCB" w:rsidRPr="00A52585">
        <w:rPr>
          <w:rFonts w:hint="cs"/>
          <w:spacing w:val="-6"/>
          <w:rtl/>
          <w:lang w:bidi="ar-EG"/>
        </w:rPr>
        <w:t>والعيب والعجز سبحانه</w:t>
      </w:r>
      <w:r w:rsidR="00DB731D" w:rsidRPr="00A52585">
        <w:rPr>
          <w:rFonts w:hint="cs"/>
          <w:spacing w:val="-6"/>
          <w:rtl/>
          <w:lang w:bidi="ar-EG"/>
        </w:rPr>
        <w:t>،</w:t>
      </w:r>
      <w:r w:rsidR="00777DCB" w:rsidRPr="00A52585">
        <w:rPr>
          <w:rFonts w:hint="cs"/>
          <w:rtl/>
          <w:lang w:bidi="ar-EG"/>
        </w:rPr>
        <w:t xml:space="preserve"> </w:t>
      </w:r>
      <w:r w:rsidR="00777DCB" w:rsidRPr="00A52585">
        <w:rPr>
          <w:rFonts w:hint="cs"/>
          <w:rtl/>
        </w:rPr>
        <w:t xml:space="preserve">و </w:t>
      </w:r>
      <w:r w:rsidRPr="00A52585">
        <w:rPr>
          <w:rFonts w:hint="cs"/>
          <w:rtl/>
        </w:rPr>
        <w:t>(</w:t>
      </w:r>
      <w:r w:rsidR="00777DCB" w:rsidRPr="00A52585">
        <w:rPr>
          <w:rFonts w:hint="cs"/>
          <w:bCs/>
          <w:rtl/>
        </w:rPr>
        <w:t>العظيم</w:t>
      </w:r>
      <w:r w:rsidRPr="00A52585">
        <w:rPr>
          <w:rFonts w:hint="cs"/>
          <w:bCs/>
          <w:rtl/>
        </w:rPr>
        <w:t>)</w:t>
      </w:r>
      <w:r w:rsidR="00777DCB" w:rsidRPr="00A52585">
        <w:rPr>
          <w:rFonts w:hint="cs"/>
          <w:rtl/>
        </w:rPr>
        <w:t xml:space="preserve"> </w:t>
      </w:r>
      <w:r w:rsidR="00777DCB" w:rsidRPr="00A52585">
        <w:rPr>
          <w:rFonts w:hint="cs"/>
          <w:rtl/>
          <w:lang w:bidi="ar-EG"/>
        </w:rPr>
        <w:t>من أسماء الله تعالى الحسنى</w:t>
      </w:r>
      <w:r w:rsidR="00DB731D" w:rsidRPr="00A52585">
        <w:rPr>
          <w:rFonts w:hint="cs"/>
          <w:rtl/>
          <w:lang w:bidi="ar-EG"/>
        </w:rPr>
        <w:t>،</w:t>
      </w:r>
      <w:r w:rsidR="00777DCB" w:rsidRPr="00A52585">
        <w:rPr>
          <w:rFonts w:hint="cs"/>
          <w:rtl/>
          <w:lang w:bidi="ar-EG"/>
        </w:rPr>
        <w:t xml:space="preserve"> ورد في القرآن الكريم تسع مرات</w:t>
      </w:r>
      <w:r w:rsidR="00DB731D" w:rsidRPr="00A52585">
        <w:rPr>
          <w:rFonts w:hint="cs"/>
          <w:rtl/>
          <w:lang w:bidi="ar-EG"/>
        </w:rPr>
        <w:t>،</w:t>
      </w:r>
      <w:r w:rsidR="00777DCB" w:rsidRPr="00A52585">
        <w:rPr>
          <w:rFonts w:hint="cs"/>
          <w:rtl/>
          <w:lang w:bidi="ar-EG"/>
        </w:rPr>
        <w:t xml:space="preserve"> </w:t>
      </w:r>
      <w:r w:rsidR="00777DCB" w:rsidRPr="00A52585">
        <w:rPr>
          <w:rFonts w:hint="cs"/>
          <w:spacing w:val="-6"/>
          <w:rtl/>
        </w:rPr>
        <w:t>منها آية الكرسي أعظم آيات القرآن</w:t>
      </w:r>
      <w:r w:rsidR="00DB731D" w:rsidRPr="00A52585">
        <w:rPr>
          <w:rFonts w:hint="cs"/>
          <w:spacing w:val="-6"/>
          <w:rtl/>
        </w:rPr>
        <w:t>،</w:t>
      </w:r>
      <w:r w:rsidR="00777DCB" w:rsidRPr="00A52585">
        <w:rPr>
          <w:rFonts w:hint="cs"/>
          <w:spacing w:val="-6"/>
          <w:rtl/>
        </w:rPr>
        <w:t xml:space="preserve"> قال تعالى</w:t>
      </w:r>
      <w:r w:rsidRPr="00A52585">
        <w:rPr>
          <w:rFonts w:hint="cs"/>
          <w:spacing w:val="-6"/>
          <w:rtl/>
        </w:rPr>
        <w:t>:</w:t>
      </w:r>
      <w:r w:rsidR="00777DCB" w:rsidRPr="00A52585">
        <w:rPr>
          <w:rFonts w:hint="cs"/>
          <w:spacing w:val="-6"/>
          <w:rtl/>
        </w:rPr>
        <w:t xml:space="preserve"> </w:t>
      </w:r>
      <w:r w:rsidRPr="00A52585">
        <w:rPr>
          <w:rFonts w:hint="cs"/>
          <w:spacing w:val="-6"/>
          <w:rtl/>
        </w:rPr>
        <w:t>{</w:t>
      </w:r>
      <w:r w:rsidR="00777DCB" w:rsidRPr="00A52585">
        <w:rPr>
          <w:rFonts w:hint="cs"/>
          <w:rtl/>
        </w:rPr>
        <w:t>وَهُوَ الْعَلِيُّ الْعَظِيمُ</w:t>
      </w:r>
      <w:r w:rsidRPr="00A52585">
        <w:rPr>
          <w:rFonts w:hint="cs"/>
          <w:rtl/>
        </w:rPr>
        <w:t>}</w:t>
      </w:r>
      <w:r w:rsidR="00777DCB" w:rsidRPr="00A52585">
        <w:rPr>
          <w:rFonts w:hint="cs"/>
          <w:rtl/>
        </w:rPr>
        <w:t xml:space="preserve"> </w:t>
      </w:r>
      <w:r w:rsidR="00777DCB" w:rsidRPr="00A52585">
        <w:rPr>
          <w:rFonts w:hint="cs"/>
          <w:rtl/>
          <w:lang w:bidi="ar-EG"/>
        </w:rPr>
        <w:t xml:space="preserve">و </w:t>
      </w:r>
      <w:r w:rsidRPr="00A52585">
        <w:rPr>
          <w:rFonts w:hint="cs"/>
          <w:rtl/>
          <w:lang w:bidi="ar-EG"/>
        </w:rPr>
        <w:t>(</w:t>
      </w:r>
      <w:r w:rsidR="00777DCB" w:rsidRPr="00A52585">
        <w:rPr>
          <w:rFonts w:hint="cs"/>
          <w:rtl/>
          <w:lang w:bidi="ar-EG"/>
        </w:rPr>
        <w:t>العظيم</w:t>
      </w:r>
      <w:r w:rsidRPr="00A52585">
        <w:rPr>
          <w:rFonts w:hint="cs"/>
          <w:rtl/>
          <w:lang w:bidi="ar-EG"/>
        </w:rPr>
        <w:t>)</w:t>
      </w:r>
      <w:r w:rsidR="00777DCB" w:rsidRPr="00A52585">
        <w:rPr>
          <w:rFonts w:hint="cs"/>
          <w:rtl/>
          <w:lang w:bidi="ar-EG"/>
        </w:rPr>
        <w:t xml:space="preserve"> ذو العظمة</w:t>
      </w:r>
      <w:r w:rsidR="00DB731D" w:rsidRPr="00A52585">
        <w:rPr>
          <w:rFonts w:hint="cs"/>
          <w:rtl/>
          <w:lang w:bidi="ar-EG"/>
        </w:rPr>
        <w:t>،</w:t>
      </w:r>
      <w:r w:rsidR="00777DCB" w:rsidRPr="00A52585">
        <w:rPr>
          <w:rFonts w:hint="cs"/>
          <w:rtl/>
          <w:lang w:bidi="ar-EG"/>
        </w:rPr>
        <w:t xml:space="preserve"> ومعناه عظم شأنه وجلال قَدْره الذي جاوز حدودَ العقل؛ حتَّى لا تتصوَّر الإحاطة بكنهه وحقيقته</w:t>
      </w:r>
      <w:r w:rsidR="00DB731D" w:rsidRPr="00A52585">
        <w:rPr>
          <w:rFonts w:hint="cs"/>
          <w:rtl/>
          <w:lang w:bidi="ar-EG"/>
        </w:rPr>
        <w:t>،</w:t>
      </w:r>
      <w:r w:rsidR="00777DCB" w:rsidRPr="00A52585">
        <w:rPr>
          <w:rFonts w:hint="cs"/>
          <w:rtl/>
          <w:lang w:bidi="ar-EG"/>
        </w:rPr>
        <w:t xml:space="preserve"> وهو سبحانه </w:t>
      </w:r>
      <w:r w:rsidR="00777DCB" w:rsidRPr="00A52585">
        <w:rPr>
          <w:rFonts w:hint="cs"/>
          <w:rtl/>
        </w:rPr>
        <w:t xml:space="preserve">العظيم المطلق الذي جاوز جميع حدود </w:t>
      </w:r>
      <w:r w:rsidR="00777DCB" w:rsidRPr="00A52585">
        <w:rPr>
          <w:rFonts w:hint="cs"/>
          <w:rtl/>
        </w:rPr>
        <w:lastRenderedPageBreak/>
        <w:t>العقول حتى لا تتصور الإحاطة بكنهه</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يَعْلَمُ مَا بَيْنَ أَيْدِيهِمْ وَمَا خَلْفَهُمْ وَلَا يُحِيطُونَ بِهِ عِلْمًا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110</w:t>
      </w:r>
      <w:r w:rsidRPr="00A52585">
        <w:rPr>
          <w:rFonts w:hint="cs"/>
          <w:rtl/>
        </w:rPr>
        <w:t>]</w:t>
      </w:r>
      <w:r w:rsidR="00DB731D" w:rsidRPr="00A52585">
        <w:rPr>
          <w:rFonts w:hint="cs"/>
          <w:rtl/>
        </w:rPr>
        <w:t>،</w:t>
      </w:r>
    </w:p>
    <w:p w14:paraId="76A7EE1C" w14:textId="3626F0A0" w:rsidR="00777DCB" w:rsidRPr="00A52585" w:rsidRDefault="0002035C" w:rsidP="0002035C">
      <w:pPr>
        <w:rPr>
          <w:rtl/>
          <w:lang w:bidi="ar-KW"/>
        </w:rPr>
      </w:pPr>
      <w:r w:rsidRPr="00A52585">
        <w:rPr>
          <w:rFonts w:hint="cs"/>
          <w:bCs/>
          <w:rtl/>
        </w:rPr>
        <w:t>[</w:t>
      </w:r>
      <w:r w:rsidR="00777DCB" w:rsidRPr="00A52585">
        <w:rPr>
          <w:rFonts w:hint="cs"/>
          <w:bCs/>
          <w:rtl/>
        </w:rPr>
        <w:t>10</w:t>
      </w:r>
      <w:r w:rsidRPr="00A52585">
        <w:rPr>
          <w:rFonts w:hint="cs"/>
          <w:bCs/>
          <w:rtl/>
        </w:rPr>
        <w:t>]:</w:t>
      </w:r>
      <w:r w:rsidR="00777DCB" w:rsidRPr="00A52585">
        <w:rPr>
          <w:rFonts w:hint="cs"/>
          <w:bCs/>
          <w:rtl/>
        </w:rPr>
        <w:t xml:space="preserve"> من أسماء الله تعالى الحسنى القدوس والسلام</w:t>
      </w:r>
      <w:r w:rsidR="00DB731D" w:rsidRPr="00A52585">
        <w:rPr>
          <w:rFonts w:hint="cs"/>
          <w:bCs/>
          <w:rtl/>
        </w:rPr>
        <w:t>،</w:t>
      </w:r>
      <w:r w:rsidRPr="00A52585">
        <w:rPr>
          <w:rFonts w:hint="cs"/>
          <w:bCs/>
          <w:rtl/>
        </w:rPr>
        <w:t xml:space="preserve"> </w:t>
      </w:r>
      <w:r w:rsidR="00777DCB" w:rsidRPr="00A52585">
        <w:rPr>
          <w:rFonts w:hint="cs"/>
          <w:rtl/>
        </w:rPr>
        <w:t>واسم الله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القدوس</w:t>
      </w:r>
      <w:r w:rsidRPr="00A52585">
        <w:rPr>
          <w:rFonts w:hint="cs"/>
          <w:bCs/>
          <w:rtl/>
        </w:rPr>
        <w:t>)</w:t>
      </w:r>
      <w:r w:rsidRPr="00A52585">
        <w:rPr>
          <w:rFonts w:hint="cs"/>
          <w:rtl/>
        </w:rPr>
        <w:t xml:space="preserve">: </w:t>
      </w:r>
      <w:r w:rsidR="00777DCB" w:rsidRPr="00A52585">
        <w:rPr>
          <w:rFonts w:hint="cs"/>
          <w:rtl/>
        </w:rPr>
        <w:t>أي الطاهر المطّهر المنزه عن العيوب والنقائص</w:t>
      </w:r>
      <w:r w:rsidR="00DB731D" w:rsidRPr="00A52585">
        <w:rPr>
          <w:rFonts w:hint="cs"/>
          <w:rtl/>
        </w:rPr>
        <w:t>،</w:t>
      </w:r>
      <w:r w:rsidR="00777DCB" w:rsidRPr="00A52585">
        <w:rPr>
          <w:rFonts w:hint="cs"/>
          <w:rtl/>
        </w:rPr>
        <w:t xml:space="preserve"> وهو </w:t>
      </w:r>
      <w:r w:rsidRPr="00A52585">
        <w:rPr>
          <w:rFonts w:hint="cs"/>
          <w:rtl/>
        </w:rPr>
        <w:t>(</w:t>
      </w:r>
      <w:r w:rsidR="00777DCB" w:rsidRPr="00A52585">
        <w:rPr>
          <w:rFonts w:hint="cs"/>
          <w:rtl/>
        </w:rPr>
        <w:t>القدوس</w:t>
      </w:r>
      <w:r w:rsidRPr="00A52585">
        <w:rPr>
          <w:rFonts w:hint="cs"/>
          <w:rtl/>
        </w:rPr>
        <w:t>)</w:t>
      </w:r>
      <w:r w:rsidR="00777DCB" w:rsidRPr="00A52585">
        <w:rPr>
          <w:rFonts w:hint="cs"/>
          <w:rtl/>
        </w:rPr>
        <w:t xml:space="preserve"> المنزه عن كل وصف يدركه حس أو يتصوره خيال أو يسبق إليه وهم أو يختلج به ضمير أو يقضي به تفكير</w:t>
      </w:r>
      <w:r w:rsidR="00DB731D" w:rsidRPr="00A52585">
        <w:rPr>
          <w:rFonts w:hint="cs"/>
          <w:rtl/>
        </w:rPr>
        <w:t>،</w:t>
      </w:r>
      <w:r w:rsidR="00777DCB" w:rsidRPr="00A52585">
        <w:rPr>
          <w:rFonts w:hint="cs"/>
          <w:rtl/>
        </w:rPr>
        <w:t xml:space="preserve"> وقد ورد اسم الله </w:t>
      </w:r>
      <w:r w:rsidRPr="00A52585">
        <w:rPr>
          <w:rFonts w:hint="cs"/>
          <w:rtl/>
        </w:rPr>
        <w:t>(</w:t>
      </w:r>
      <w:r w:rsidR="00777DCB" w:rsidRPr="00A52585">
        <w:rPr>
          <w:rFonts w:hint="cs"/>
          <w:rtl/>
        </w:rPr>
        <w:t>القدوس</w:t>
      </w:r>
      <w:r w:rsidRPr="00A52585">
        <w:rPr>
          <w:rFonts w:hint="cs"/>
          <w:rtl/>
        </w:rPr>
        <w:t>)</w:t>
      </w:r>
      <w:r w:rsidR="00777DCB" w:rsidRPr="00A52585">
        <w:rPr>
          <w:rFonts w:hint="cs"/>
          <w:rtl/>
        </w:rPr>
        <w:t xml:space="preserve"> في موضعين من القرآن</w:t>
      </w:r>
      <w:r w:rsidR="00DB731D" w:rsidRPr="00A52585">
        <w:rPr>
          <w:rFonts w:hint="cs"/>
          <w:rtl/>
        </w:rPr>
        <w:t>،</w:t>
      </w:r>
      <w:r w:rsidR="00777DCB" w:rsidRPr="00A52585">
        <w:rPr>
          <w:rFonts w:hint="cs"/>
          <w:rtl/>
        </w:rPr>
        <w:t xml:space="preserve"> الأول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اللهُ الذِي لا إِلَهَ إِلا هُوَ المَلِكُ القُدُّوسُ السَّلامُ المُؤْمِنُ المُهَيْمِنُ العَزِيزُ الجَبَّارُ المُتَكَبِّرُ سُبْحَانَ اللهِ عَمَّا يُشْرِكُونَ</w:t>
      </w:r>
      <w:r w:rsidRPr="00A52585">
        <w:rPr>
          <w:rFonts w:hint="cs"/>
          <w:rtl/>
        </w:rPr>
        <w:t>}</w:t>
      </w:r>
      <w:r w:rsidR="00777DCB" w:rsidRPr="00A52585">
        <w:rPr>
          <w:rFonts w:hint="cs"/>
          <w:rtl/>
        </w:rPr>
        <w:t xml:space="preserve"> [الحشر:23]</w:t>
      </w:r>
      <w:r w:rsidR="00DB731D" w:rsidRPr="00A52585">
        <w:rPr>
          <w:rFonts w:hint="cs"/>
          <w:rtl/>
        </w:rPr>
        <w:t>،</w:t>
      </w:r>
      <w:r w:rsidR="00777DCB" w:rsidRPr="00A52585">
        <w:rPr>
          <w:rFonts w:hint="cs"/>
          <w:rtl/>
        </w:rPr>
        <w:t xml:space="preserve"> والثاني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يُسَبِّحُ لِلهِ مَا فِي السَّمَاوَاتِ وَمَا فِي الأَرْضِ المَلِكِ القُدُّوسِ العَزِيزِ الحَكِيمِ</w:t>
      </w:r>
      <w:r w:rsidRPr="00A52585">
        <w:rPr>
          <w:rFonts w:hint="cs"/>
          <w:rtl/>
        </w:rPr>
        <w:t>}</w:t>
      </w:r>
      <w:r w:rsidR="00777DCB" w:rsidRPr="00A52585">
        <w:rPr>
          <w:rFonts w:hint="cs"/>
          <w:rtl/>
        </w:rPr>
        <w:t xml:space="preserve"> [الجمعة</w:t>
      </w:r>
      <w:r w:rsidRPr="00A52585">
        <w:rPr>
          <w:rFonts w:hint="cs"/>
          <w:rtl/>
        </w:rPr>
        <w:t>:</w:t>
      </w:r>
      <w:r w:rsidR="00777DCB" w:rsidRPr="00A52585">
        <w:rPr>
          <w:rFonts w:hint="cs"/>
          <w:rtl/>
        </w:rPr>
        <w:t xml:space="preserve"> 1</w:t>
      </w:r>
      <w:r w:rsidRPr="00A52585">
        <w:rPr>
          <w:rFonts w:hint="cs"/>
          <w:rtl/>
        </w:rPr>
        <w:t>]</w:t>
      </w:r>
      <w:r w:rsidR="00DB731D" w:rsidRPr="00A52585">
        <w:rPr>
          <w:rFonts w:hint="cs"/>
          <w:rtl/>
        </w:rPr>
        <w:t>،</w:t>
      </w:r>
      <w:r w:rsidR="00777DCB" w:rsidRPr="00A52585">
        <w:rPr>
          <w:rFonts w:hint="cs"/>
          <w:rtl/>
        </w:rPr>
        <w:t xml:space="preserve"> وإن من شيء إلا يسبح بحمده لأنه السبوح القدوس المنزه سبحانه</w:t>
      </w:r>
      <w:r w:rsidR="00DB731D" w:rsidRPr="00A52585">
        <w:rPr>
          <w:rFonts w:hint="cs"/>
          <w:rtl/>
        </w:rPr>
        <w:t>،</w:t>
      </w:r>
      <w:r w:rsidR="00777DCB" w:rsidRPr="00A52585">
        <w:rPr>
          <w:rFonts w:hint="cs"/>
          <w:rtl/>
        </w:rPr>
        <w:t xml:space="preserve"> والملائكة تقدس الله تعالى وتسبحه</w:t>
      </w:r>
      <w:r w:rsidR="00DB731D" w:rsidRPr="00A52585">
        <w:rPr>
          <w:rFonts w:hint="cs"/>
          <w:rtl/>
        </w:rPr>
        <w:t>،</w:t>
      </w:r>
      <w:r w:rsidR="00777DCB" w:rsidRPr="00A52585">
        <w:rPr>
          <w:rFonts w:hint="cs"/>
          <w:rtl/>
        </w:rPr>
        <w:t xml:space="preserve"> كما في قوله تعالى</w:t>
      </w:r>
      <w:r w:rsidRPr="00A52585">
        <w:rPr>
          <w:rFonts w:hint="cs"/>
          <w:rtl/>
        </w:rPr>
        <w:t>:</w:t>
      </w:r>
      <w:r w:rsidR="00777DCB" w:rsidRPr="00A52585">
        <w:rPr>
          <w:rFonts w:hint="cs"/>
          <w:rtl/>
        </w:rPr>
        <w:t xml:space="preserve"> {وَنَحْنُ نُسَبِّحُ بِحَمْدِكَ وَنُقَدِّسُ لَكَ}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30]</w:t>
      </w:r>
      <w:r w:rsidR="00DB731D" w:rsidRPr="00A52585">
        <w:rPr>
          <w:rFonts w:hint="cs"/>
          <w:rtl/>
        </w:rPr>
        <w:t>،</w:t>
      </w:r>
      <w:r w:rsidR="00777DCB" w:rsidRPr="00A52585">
        <w:rPr>
          <w:rFonts w:hint="cs"/>
          <w:rtl/>
        </w:rPr>
        <w:t xml:space="preserve"> واسم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السلام</w:t>
      </w:r>
      <w:r w:rsidRPr="00A52585">
        <w:rPr>
          <w:rFonts w:hint="cs"/>
          <w:rtl/>
        </w:rPr>
        <w:t>)</w:t>
      </w:r>
      <w:r w:rsidR="00777DCB" w:rsidRPr="00A52585">
        <w:rPr>
          <w:rFonts w:hint="cs"/>
          <w:rtl/>
        </w:rPr>
        <w:t xml:space="preserve"> </w:t>
      </w:r>
      <w:r w:rsidR="00777DCB" w:rsidRPr="00A52585">
        <w:rPr>
          <w:rFonts w:hint="cs"/>
          <w:rtl/>
          <w:lang w:eastAsia="ar-SA"/>
        </w:rPr>
        <w:t>من أسماء الله تعالى الحسنى</w:t>
      </w:r>
      <w:r w:rsidR="00DB731D" w:rsidRPr="00A52585">
        <w:rPr>
          <w:rFonts w:hint="cs"/>
          <w:rtl/>
          <w:lang w:eastAsia="ar-SA"/>
        </w:rPr>
        <w:t>،</w:t>
      </w:r>
      <w:r w:rsidR="00777DCB" w:rsidRPr="00A52585">
        <w:rPr>
          <w:rFonts w:hint="cs"/>
          <w:rtl/>
          <w:lang w:eastAsia="ar-SA"/>
        </w:rPr>
        <w:t xml:space="preserve"> ورد في القرآن الكريم مرة واحدة في قوله تعالى</w:t>
      </w:r>
      <w:r w:rsidRPr="00A52585">
        <w:rPr>
          <w:rFonts w:hint="cs"/>
          <w:rtl/>
          <w:lang w:eastAsia="ar-SA"/>
        </w:rPr>
        <w:t>:</w:t>
      </w:r>
      <w:r w:rsidR="00777DCB" w:rsidRPr="00A52585">
        <w:rPr>
          <w:rFonts w:hint="cs"/>
          <w:rtl/>
          <w:lang w:eastAsia="ar-SA"/>
        </w:rPr>
        <w:t xml:space="preserve"> </w:t>
      </w:r>
      <w:r w:rsidRPr="00A52585">
        <w:rPr>
          <w:rFonts w:hint="cs"/>
          <w:rtl/>
          <w:lang w:eastAsia="ar-SA"/>
        </w:rPr>
        <w:t>{</w:t>
      </w:r>
      <w:r w:rsidR="00777DCB" w:rsidRPr="00A52585">
        <w:rPr>
          <w:rFonts w:hint="cs"/>
          <w:rtl/>
          <w:lang w:eastAsia="ar-SA"/>
        </w:rPr>
        <w:t>هُوَ اللهُ الذِي لا إِلَهَ إِلا هُوَ المَلِكُ القُدُّوسُ السَّلامُ المُؤْمِنُ المُهَيْمِنُ العَزِيزُ الجَبَّارُ المُتَكَبِّرُ سُبْحَانَ اللهِ عَمَّا يُشْرِكُونَ</w:t>
      </w:r>
      <w:r w:rsidRPr="00A52585">
        <w:rPr>
          <w:rFonts w:hint="cs"/>
          <w:rtl/>
          <w:lang w:eastAsia="ar-SA"/>
        </w:rPr>
        <w:t>}</w:t>
      </w:r>
      <w:r w:rsidR="00777DCB" w:rsidRPr="00A52585">
        <w:rPr>
          <w:rFonts w:hint="cs"/>
          <w:rtl/>
          <w:lang w:eastAsia="ar-SA"/>
        </w:rPr>
        <w:t xml:space="preserve"> [الحشر:23]</w:t>
      </w:r>
      <w:r w:rsidR="00DB731D" w:rsidRPr="00A52585">
        <w:rPr>
          <w:rFonts w:hint="cs"/>
          <w:rtl/>
          <w:lang w:eastAsia="ar-SA"/>
        </w:rPr>
        <w:t>،</w:t>
      </w:r>
      <w:r w:rsidR="00777DCB" w:rsidRPr="00A52585">
        <w:rPr>
          <w:rFonts w:hint="cs"/>
          <w:rtl/>
          <w:lang w:eastAsia="ar-SA"/>
        </w:rPr>
        <w:t xml:space="preserve"> و </w:t>
      </w:r>
      <w:r w:rsidRPr="00A52585">
        <w:rPr>
          <w:rFonts w:hint="cs"/>
          <w:rtl/>
          <w:lang w:eastAsia="ar-SA"/>
        </w:rPr>
        <w:t>(</w:t>
      </w:r>
      <w:r w:rsidR="00777DCB" w:rsidRPr="00A52585">
        <w:rPr>
          <w:rFonts w:hint="cs"/>
          <w:rtl/>
          <w:lang w:eastAsia="ar-SA"/>
        </w:rPr>
        <w:t>السلام</w:t>
      </w:r>
      <w:r w:rsidRPr="00A52585">
        <w:rPr>
          <w:rFonts w:hint="cs"/>
          <w:rtl/>
          <w:lang w:eastAsia="ar-SA"/>
        </w:rPr>
        <w:t>)</w:t>
      </w:r>
      <w:r w:rsidR="00777DCB" w:rsidRPr="00A52585">
        <w:rPr>
          <w:rFonts w:hint="cs"/>
          <w:rtl/>
          <w:lang w:eastAsia="ar-SA"/>
        </w:rPr>
        <w:t xml:space="preserve"> هو السالم من كل عيب و البريء من كلِّ آفة</w:t>
      </w:r>
      <w:r w:rsidR="00DB731D" w:rsidRPr="00A52585">
        <w:rPr>
          <w:rFonts w:hint="cs"/>
          <w:rtl/>
          <w:lang w:eastAsia="ar-SA"/>
        </w:rPr>
        <w:t>،</w:t>
      </w:r>
      <w:r w:rsidR="00777DCB" w:rsidRPr="00A52585">
        <w:rPr>
          <w:rFonts w:hint="cs"/>
          <w:rtl/>
          <w:lang w:eastAsia="ar-SA"/>
        </w:rPr>
        <w:t xml:space="preserve"> والسَّالم من مماثَلة خَلْقه ومن كلِّ ما يُنافي كمالَه</w:t>
      </w:r>
      <w:r w:rsidR="00DB731D" w:rsidRPr="00A52585">
        <w:rPr>
          <w:rFonts w:hint="cs"/>
          <w:rtl/>
          <w:lang w:eastAsia="ar-SA"/>
        </w:rPr>
        <w:t>،</w:t>
      </w:r>
      <w:r w:rsidR="00777DCB" w:rsidRPr="00A52585">
        <w:rPr>
          <w:rFonts w:hint="cs"/>
          <w:rtl/>
          <w:lang w:eastAsia="ar-SA"/>
        </w:rPr>
        <w:t xml:space="preserve"> وهو الذي تسلم ذاته عن العيب وصفاته عن النقص وأفعاله عن اللهو واللعب</w:t>
      </w:r>
      <w:r w:rsidR="00DB731D" w:rsidRPr="00A52585">
        <w:rPr>
          <w:rFonts w:hint="cs"/>
          <w:rtl/>
          <w:lang w:eastAsia="ar-SA"/>
        </w:rPr>
        <w:t>،</w:t>
      </w:r>
      <w:r w:rsidR="00777DCB" w:rsidRPr="00A52585">
        <w:rPr>
          <w:rFonts w:hint="cs"/>
          <w:rtl/>
        </w:rPr>
        <w:t xml:space="preserve"> ومن أهم صفات الملائكة التسبيح والتقديس</w:t>
      </w:r>
      <w:r w:rsidR="00DB731D" w:rsidRPr="00A52585">
        <w:rPr>
          <w:rFonts w:hint="cs"/>
          <w:rtl/>
        </w:rPr>
        <w:t>،</w:t>
      </w:r>
      <w:r w:rsidR="00777DCB" w:rsidRPr="00A52585">
        <w:rPr>
          <w:rFonts w:hint="cs"/>
          <w:rtl/>
        </w:rPr>
        <w:t xml:space="preserve"> كما جاء في القرآن الكريم على لسان الملائكة </w:t>
      </w:r>
      <w:r w:rsidRPr="00A52585">
        <w:rPr>
          <w:rFonts w:hint="cs"/>
          <w:rtl/>
        </w:rPr>
        <w:t>{</w:t>
      </w:r>
      <w:r w:rsidR="00777DCB" w:rsidRPr="00A52585">
        <w:rPr>
          <w:rFonts w:hint="cs"/>
          <w:rtl/>
        </w:rPr>
        <w:t>وَنَحْنُ نُسَبِّحُ بِحَمْدِكَ وَنُقَدِّسُ لَكَ</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30</w:t>
      </w:r>
      <w:r w:rsidRPr="00A52585">
        <w:rPr>
          <w:rFonts w:hint="cs"/>
          <w:rtl/>
        </w:rPr>
        <w:t>]</w:t>
      </w:r>
      <w:r w:rsidR="00DB731D" w:rsidRPr="00A52585">
        <w:rPr>
          <w:rFonts w:hint="cs"/>
          <w:rtl/>
        </w:rPr>
        <w:t>،</w:t>
      </w:r>
      <w:r w:rsidR="00777DCB" w:rsidRPr="00A52585">
        <w:rPr>
          <w:rFonts w:hint="cs"/>
          <w:rtl/>
        </w:rPr>
        <w:t xml:space="preserve"> وكان النبي صلى الله عليه وسلم يقول فِي ركوعه وسجوده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سُبُّوحٌ قُدُّوسٌ رَبُّ المَلاَئِكَةِ وَالرُّوحِ</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أخرجه مسلم</w:t>
      </w:r>
      <w:r w:rsidRPr="00A52585">
        <w:rPr>
          <w:rFonts w:hint="cs"/>
          <w:rtl/>
        </w:rPr>
        <w:t>]</w:t>
      </w:r>
      <w:r w:rsidR="00DB731D" w:rsidRPr="00A52585">
        <w:rPr>
          <w:rFonts w:hint="cs"/>
          <w:rtl/>
        </w:rPr>
        <w:t>،</w:t>
      </w:r>
      <w:r w:rsidR="00777DCB" w:rsidRPr="00A52585">
        <w:rPr>
          <w:rFonts w:hint="cs"/>
          <w:rtl/>
        </w:rPr>
        <w:t xml:space="preserve"> والقدوس هو المنزه عن كل نقص أو عيب</w:t>
      </w:r>
      <w:r w:rsidR="00DB731D" w:rsidRPr="00A52585">
        <w:rPr>
          <w:rFonts w:hint="cs"/>
          <w:rtl/>
        </w:rPr>
        <w:t>،</w:t>
      </w:r>
      <w:r w:rsidR="00777DCB" w:rsidRPr="00A52585">
        <w:rPr>
          <w:rFonts w:hint="cs"/>
          <w:rtl/>
        </w:rPr>
        <w:t xml:space="preserve"> وهو المنزه عن كل مثيل أو شبيه أو كفء أو نظير</w:t>
      </w:r>
      <w:r w:rsidR="00DB731D" w:rsidRPr="00A52585">
        <w:rPr>
          <w:rFonts w:hint="cs"/>
          <w:rtl/>
        </w:rPr>
        <w:t>،</w:t>
      </w:r>
      <w:r w:rsidR="00777DCB" w:rsidRPr="00A52585">
        <w:rPr>
          <w:rFonts w:hint="cs"/>
          <w:rtl/>
        </w:rPr>
        <w:t xml:space="preserve"> وهو المنزه عن كل وصف يدركه حس أو يتصوره خيال أو يسبق إليه وهم أو يختلج به ضمير أو يقضي به تفكير</w:t>
      </w:r>
      <w:r w:rsidR="00DB731D" w:rsidRPr="00A52585">
        <w:rPr>
          <w:rFonts w:hint="cs"/>
          <w:rtl/>
        </w:rPr>
        <w:t>،</w:t>
      </w:r>
      <w:r w:rsidR="00777DCB" w:rsidRPr="00A52585">
        <w:rPr>
          <w:rFonts w:hint="cs"/>
          <w:rtl/>
        </w:rPr>
        <w:t xml:space="preserve"> والملائكة تقدس الله تعالى عن كل ما لا يليق به من صفات المخلوقات العاجزة</w:t>
      </w:r>
      <w:r w:rsidR="00DB731D" w:rsidRPr="00A52585">
        <w:rPr>
          <w:rFonts w:hint="cs"/>
          <w:rtl/>
        </w:rPr>
        <w:t>،</w:t>
      </w:r>
      <w:r w:rsidR="00777DCB" w:rsidRPr="00A52585">
        <w:rPr>
          <w:rFonts w:hint="cs"/>
          <w:rtl/>
        </w:rPr>
        <w:t xml:space="preserve"> وكذا المسلم الموحد يقدس الله تعالى عن كل نقص كالحد والمقدار</w:t>
      </w:r>
      <w:r w:rsidR="00DB731D" w:rsidRPr="00A52585">
        <w:rPr>
          <w:rFonts w:hint="cs"/>
          <w:rtl/>
        </w:rPr>
        <w:t>،</w:t>
      </w:r>
      <w:r w:rsidR="00777DCB" w:rsidRPr="00A52585">
        <w:rPr>
          <w:rFonts w:hint="cs"/>
          <w:rtl/>
        </w:rPr>
        <w:t xml:space="preserve"> وعن أن يحده مكان أو يجري عليه زمان</w:t>
      </w:r>
      <w:r w:rsidR="00DB731D" w:rsidRPr="00A52585">
        <w:rPr>
          <w:rFonts w:hint="cs"/>
          <w:rtl/>
        </w:rPr>
        <w:t>،</w:t>
      </w:r>
      <w:r w:rsidR="00777DCB" w:rsidRPr="00A52585">
        <w:rPr>
          <w:rFonts w:hint="cs"/>
          <w:rtl/>
        </w:rPr>
        <w:t xml:space="preserve"> وعن أن يكون مماثلاً لمخلوقاته في شيء من سمات النقص أو العيب أو الآفة أو الحاجة</w:t>
      </w:r>
      <w:r w:rsidR="00DB731D" w:rsidRPr="00A52585">
        <w:rPr>
          <w:rFonts w:hint="cs"/>
          <w:rtl/>
        </w:rPr>
        <w:t>،</w:t>
      </w:r>
      <w:r w:rsidR="00777DCB" w:rsidRPr="00A52585">
        <w:rPr>
          <w:rFonts w:hint="cs"/>
          <w:rtl/>
        </w:rPr>
        <w:t xml:space="preserve"> والله تعالى هو السبوح يسبح له ما في السموات وما في الأرض</w:t>
      </w:r>
      <w:r w:rsidR="00DB731D" w:rsidRPr="00A52585">
        <w:rPr>
          <w:rFonts w:hint="cs"/>
          <w:rtl/>
        </w:rPr>
        <w:t>،</w:t>
      </w:r>
      <w:r w:rsidR="00777DCB" w:rsidRPr="00A52585">
        <w:rPr>
          <w:rFonts w:hint="cs"/>
          <w:rtl/>
        </w:rPr>
        <w:t xml:space="preserve"> وإن من شيء إلا يسبح بحمده</w:t>
      </w:r>
      <w:r w:rsidR="00DB731D" w:rsidRPr="00A52585">
        <w:rPr>
          <w:rFonts w:hint="cs"/>
          <w:rtl/>
        </w:rPr>
        <w:t>،</w:t>
      </w:r>
      <w:r w:rsidR="00777DCB" w:rsidRPr="00A52585">
        <w:rPr>
          <w:rFonts w:hint="cs"/>
          <w:rtl/>
        </w:rPr>
        <w:t xml:space="preserve"> والمراد بالتسبيح هنا معناه الحقيقي وهو</w:t>
      </w:r>
      <w:r w:rsidRPr="00A52585">
        <w:rPr>
          <w:rFonts w:hint="cs"/>
          <w:rtl/>
        </w:rPr>
        <w:t xml:space="preserve"> </w:t>
      </w:r>
      <w:r w:rsidR="00777DCB" w:rsidRPr="00A52585">
        <w:rPr>
          <w:rFonts w:hint="cs"/>
          <w:rtl/>
        </w:rPr>
        <w:t>تنزيه الله سبحانه عما لا يليق به في ذاته وصفاته وأفعاله</w:t>
      </w:r>
      <w:r w:rsidRPr="00A52585">
        <w:rPr>
          <w:rFonts w:hint="cs"/>
          <w:rtl/>
        </w:rPr>
        <w:t xml:space="preserve"> </w:t>
      </w:r>
      <w:r w:rsidR="00777DCB" w:rsidRPr="00A52585">
        <w:rPr>
          <w:rFonts w:hint="cs"/>
          <w:rtl/>
        </w:rPr>
        <w:t>وما أكثر الآيات القرآنية الدالة على التسبيح</w:t>
      </w:r>
      <w:r w:rsidR="00DB731D" w:rsidRPr="00A52585">
        <w:rPr>
          <w:rFonts w:hint="cs"/>
          <w:rtl/>
        </w:rPr>
        <w:t>،</w:t>
      </w:r>
      <w:r w:rsidR="00777DCB" w:rsidRPr="00A52585">
        <w:rPr>
          <w:rFonts w:hint="cs"/>
          <w:rtl/>
        </w:rPr>
        <w:t xml:space="preserve"> فمنها قوله تعالى </w:t>
      </w:r>
      <w:r w:rsidRPr="00A52585">
        <w:rPr>
          <w:rFonts w:hint="cs"/>
          <w:rtl/>
        </w:rPr>
        <w:t>{</w:t>
      </w:r>
      <w:r w:rsidR="00777DCB" w:rsidRPr="00A52585">
        <w:rPr>
          <w:rFonts w:hint="cs"/>
          <w:rtl/>
        </w:rPr>
        <w:t>فَسُبْحَانَ الَّذِي بِيَدِهِ مَلَكُوتُ كُلِّ شَيْءٍ وَإِلَيْهِ تُرْجَعُونَ</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رَبِّكَ رَبِّ الْعِزَّةِ عَمَّا يَصِفُونَ</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تُسَبِّحُ لَهُ </w:t>
      </w:r>
      <w:r w:rsidR="00777DCB" w:rsidRPr="00A52585">
        <w:rPr>
          <w:rFonts w:hint="cs"/>
          <w:rtl/>
        </w:rPr>
        <w:lastRenderedPageBreak/>
        <w:t>السَّمَوَاتُ السَّبْعُ وَالْأَرْضُ وَمَنْ فِيهِنَّ وَإِنْ مِنْ شَيْءٍ إِلَّا يُسَبِّحُ بِحَمْدِهِ وَلَكِنْ لَا تَفْقَهُونَ تَسْبِيحَهُمْ إِنَّهُ كَانَ حَلِيمًا غَفُورًا</w:t>
      </w:r>
      <w:r w:rsidRPr="00A52585">
        <w:rPr>
          <w:rFonts w:hint="cs"/>
          <w:rtl/>
        </w:rPr>
        <w:t>}</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أَلَمْ تَرَ أَنَّ اللَّهَ يُسَبِّحُ لَهُ مَنْ فِي السَّمَوَاتِ وَالْأَرْضِ وَالطَّيْرُ صَافَّاتٍ كُلٌّ قَدْ عَلِمَ صَلَاتَهُ وَتَسْبِيحَهُ وَاللَّهُ عَلِيمٌ بِمَا يَفْعَلُونَ</w:t>
      </w:r>
      <w:r w:rsidRPr="00A52585">
        <w:rPr>
          <w:rFonts w:hint="cs"/>
          <w:rtl/>
        </w:rPr>
        <w:t>}</w:t>
      </w:r>
      <w:r w:rsidR="00DB731D" w:rsidRPr="00A52585">
        <w:rPr>
          <w:rFonts w:hint="cs"/>
          <w:rtl/>
        </w:rPr>
        <w:t>،</w:t>
      </w:r>
      <w:r w:rsidR="00777DCB" w:rsidRPr="00A52585">
        <w:rPr>
          <w:rFonts w:hint="cs"/>
          <w:rtl/>
        </w:rPr>
        <w:t xml:space="preserve"> ومنها ما هو أمر بالتسبيح والتنزيه</w:t>
      </w:r>
      <w:r w:rsidRPr="00A52585">
        <w:rPr>
          <w:rFonts w:hint="cs"/>
          <w:rtl/>
        </w:rPr>
        <w:t>:</w:t>
      </w:r>
      <w:r w:rsidR="00777DCB" w:rsidRPr="00A52585">
        <w:rPr>
          <w:rFonts w:hint="cs"/>
          <w:rtl/>
        </w:rPr>
        <w:t xml:space="preserve"> كقوله تعالى </w:t>
      </w:r>
      <w:r w:rsidRPr="00A52585">
        <w:rPr>
          <w:rFonts w:hint="cs"/>
          <w:rtl/>
        </w:rPr>
        <w:t>{</w:t>
      </w:r>
      <w:r w:rsidR="00777DCB" w:rsidRPr="00A52585">
        <w:rPr>
          <w:rFonts w:hint="cs"/>
          <w:rtl/>
        </w:rPr>
        <w:t>فَسَبِّحْ بِاسْمِ رَبِّكَ الْعَظِيمِ</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 اسْمَ رَبِّكَ الْأَعْلَى</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يَا أَيُّهَا الَّذِينَ آمَنُوا اذْكُرُوا اللَّهَ ذِكْرًا كَثِيرًا * </w:t>
      </w:r>
      <w:proofErr w:type="spellStart"/>
      <w:r w:rsidR="00777DCB" w:rsidRPr="00A52585">
        <w:rPr>
          <w:rFonts w:hint="cs"/>
          <w:rtl/>
        </w:rPr>
        <w:t>وَسَبِّحُوهُ</w:t>
      </w:r>
      <w:proofErr w:type="spellEnd"/>
      <w:r w:rsidR="00777DCB" w:rsidRPr="00A52585">
        <w:rPr>
          <w:rFonts w:hint="cs"/>
          <w:rtl/>
        </w:rPr>
        <w:t xml:space="preserve"> بُكْرَةً وَأَصِيلًا</w:t>
      </w:r>
      <w:r w:rsidRPr="00A52585">
        <w:rPr>
          <w:rFonts w:hint="cs"/>
          <w:rtl/>
        </w:rPr>
        <w:t>}</w:t>
      </w:r>
      <w:r w:rsidR="00DB731D" w:rsidRPr="00A52585">
        <w:rPr>
          <w:rFonts w:hint="cs"/>
          <w:rtl/>
        </w:rPr>
        <w:t>،</w:t>
      </w:r>
      <w:r w:rsidR="00777DCB" w:rsidRPr="00A52585">
        <w:rPr>
          <w:rFonts w:hint="cs"/>
          <w:rtl/>
        </w:rPr>
        <w:t xml:space="preserve"> كما أن الصلاة لا تخلو من التسبيح في الركوع</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ربي العظيم</w:t>
      </w:r>
      <w:r w:rsidRPr="00A52585">
        <w:rPr>
          <w:rFonts w:hint="cs"/>
          <w:rtl/>
        </w:rPr>
        <w:t>)</w:t>
      </w:r>
      <w:r w:rsidR="00DB731D" w:rsidRPr="00A52585">
        <w:rPr>
          <w:rFonts w:hint="cs"/>
          <w:rtl/>
        </w:rPr>
        <w:t>،</w:t>
      </w:r>
      <w:r w:rsidR="00777DCB" w:rsidRPr="00A52585">
        <w:rPr>
          <w:rFonts w:hint="cs"/>
          <w:rtl/>
        </w:rPr>
        <w:t xml:space="preserve"> وفي السجود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ربي الاعلى</w:t>
      </w:r>
      <w:r w:rsidRPr="00A52585">
        <w:rPr>
          <w:rFonts w:hint="cs"/>
          <w:rtl/>
        </w:rPr>
        <w:t>)</w:t>
      </w:r>
      <w:r w:rsidR="00DB731D" w:rsidRPr="00A52585">
        <w:rPr>
          <w:rFonts w:hint="cs"/>
          <w:rtl/>
        </w:rPr>
        <w:t>،</w:t>
      </w:r>
      <w:r w:rsidR="00777DCB" w:rsidRPr="00A52585">
        <w:rPr>
          <w:rFonts w:hint="cs"/>
          <w:rtl/>
        </w:rPr>
        <w:t xml:space="preserve"> ومن أعظم الأذكار قولنا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سبحان الله‏)‏</w:t>
      </w:r>
      <w:r w:rsidR="00DB731D" w:rsidRPr="00A52585">
        <w:rPr>
          <w:rFonts w:hint="cs"/>
          <w:rtl/>
        </w:rPr>
        <w:t>،</w:t>
      </w:r>
      <w:r w:rsidR="00777DCB" w:rsidRPr="00A52585">
        <w:rPr>
          <w:rFonts w:hint="cs"/>
          <w:rtl/>
        </w:rPr>
        <w:t xml:space="preserve"> ومعناه التنزيه لله‏ تعالى بنفي الشريك والشبيه والمثيل والند</w:t>
      </w:r>
      <w:r w:rsidR="00DB731D" w:rsidRPr="00A52585">
        <w:rPr>
          <w:rFonts w:hint="cs"/>
          <w:rtl/>
        </w:rPr>
        <w:t>،</w:t>
      </w:r>
      <w:r w:rsidR="00777DCB" w:rsidRPr="00A52585">
        <w:rPr>
          <w:rFonts w:hint="cs"/>
          <w:rtl/>
        </w:rPr>
        <w:t xml:space="preserve"> وتنزيه الله تعالى عن كل نقص وعيب وعجز</w:t>
      </w:r>
      <w:r w:rsidR="00DB731D" w:rsidRPr="00A52585">
        <w:rPr>
          <w:rFonts w:hint="cs"/>
          <w:rtl/>
        </w:rPr>
        <w:t>،</w:t>
      </w:r>
      <w:r w:rsidR="00777DCB" w:rsidRPr="00A52585">
        <w:rPr>
          <w:rFonts w:hint="cs"/>
          <w:rtl/>
        </w:rPr>
        <w:t xml:space="preserve"> وتنزيه الله تعالى عن كل وصف لا يليق بجلاله وعظمته</w:t>
      </w:r>
      <w:r w:rsidR="00DB731D" w:rsidRPr="00A52585">
        <w:rPr>
          <w:rFonts w:hint="cs"/>
          <w:rtl/>
        </w:rPr>
        <w:t>،</w:t>
      </w:r>
      <w:r w:rsidR="00777DCB" w:rsidRPr="00A52585">
        <w:rPr>
          <w:rFonts w:hint="cs"/>
          <w:rtl/>
        </w:rPr>
        <w:t xml:space="preserve"> </w:t>
      </w:r>
      <w:r w:rsidR="00777DCB" w:rsidRPr="00A52585">
        <w:rPr>
          <w:rFonts w:eastAsia="Times New Roman" w:hint="cs"/>
          <w:bCs/>
          <w:rtl/>
        </w:rPr>
        <w:t>ونفي المثيل في حق ذات الله تعالى</w:t>
      </w:r>
      <w:r w:rsidR="00DB731D" w:rsidRPr="00A52585">
        <w:rPr>
          <w:rFonts w:hint="cs"/>
          <w:rtl/>
        </w:rPr>
        <w:t>،</w:t>
      </w:r>
      <w:r w:rsidR="00777DCB" w:rsidRPr="00A52585">
        <w:rPr>
          <w:rFonts w:hint="cs"/>
          <w:rtl/>
        </w:rPr>
        <w:t xml:space="preserve"> </w:t>
      </w:r>
      <w:r w:rsidR="00777DCB" w:rsidRPr="00A52585">
        <w:rPr>
          <w:rFonts w:eastAsia="Times New Roman" w:hint="cs"/>
          <w:rtl/>
        </w:rPr>
        <w:t>يتناوله قول الله تعالى {</w:t>
      </w:r>
      <w:r w:rsidR="00777DCB" w:rsidRPr="00A52585">
        <w:rPr>
          <w:rFonts w:eastAsia="Times New Roman" w:hint="cs"/>
          <w:bCs/>
          <w:rtl/>
        </w:rPr>
        <w:t>ليس كمثلِه شيء}</w:t>
      </w:r>
      <w:r w:rsidR="00777DCB" w:rsidRPr="00A52585">
        <w:rPr>
          <w:rFonts w:eastAsia="Times New Roman" w:hint="cs"/>
          <w:rtl/>
        </w:rPr>
        <w:t xml:space="preserve"> [سورة الشورى:11]، وفي هذه الآية نفي المشابهة والمماثلة بين الله تعالى وخلقه ومعناه أن الله تعالى لا يشبه شيئًا من خلقه بوجه من الوجوه</w:t>
      </w:r>
      <w:r w:rsidR="00DB731D" w:rsidRPr="00A52585">
        <w:rPr>
          <w:rFonts w:eastAsia="Times New Roman" w:hint="cs"/>
          <w:rtl/>
        </w:rPr>
        <w:t>،</w:t>
      </w:r>
      <w:r w:rsidR="00777DCB" w:rsidRPr="00A52585">
        <w:rPr>
          <w:rFonts w:eastAsia="Times New Roman" w:hint="cs"/>
          <w:rtl/>
        </w:rPr>
        <w:t xml:space="preserve"> فلا يشبه وجوده وجود شيء من خلقه</w:t>
      </w:r>
      <w:r w:rsidR="00DB731D" w:rsidRPr="00A52585">
        <w:rPr>
          <w:rFonts w:eastAsia="Times New Roman" w:hint="cs"/>
          <w:rtl/>
        </w:rPr>
        <w:t>،</w:t>
      </w:r>
      <w:r w:rsidR="00777DCB" w:rsidRPr="00A52585">
        <w:rPr>
          <w:rFonts w:eastAsia="Times New Roman" w:hint="cs"/>
          <w:rtl/>
        </w:rPr>
        <w:t xml:space="preserve"> وقوله تعالى</w:t>
      </w:r>
      <w:r w:rsidRPr="00A52585">
        <w:rPr>
          <w:rFonts w:eastAsia="Times New Roman" w:hint="cs"/>
          <w:rtl/>
        </w:rPr>
        <w:t>:</w:t>
      </w:r>
      <w:r w:rsidR="00777DCB" w:rsidRPr="00A52585">
        <w:rPr>
          <w:rFonts w:eastAsia="Times New Roman" w:hint="cs"/>
          <w:bCs/>
          <w:rtl/>
        </w:rPr>
        <w:t>(وللهِ المثَلُ الأعلى)</w:t>
      </w:r>
      <w:r w:rsidR="00777DCB" w:rsidRPr="00A52585">
        <w:rPr>
          <w:rFonts w:eastAsia="Times New Roman" w:hint="cs"/>
          <w:rtl/>
        </w:rPr>
        <w:t xml:space="preserve"> [سورة النحل:60] أي الوصف الذي لا يشبه وصف غيره، والوجود الذي لا يشبه وجود المخلوقين</w:t>
      </w:r>
      <w:r w:rsidR="00DB731D" w:rsidRPr="00A52585">
        <w:rPr>
          <w:rFonts w:eastAsia="Times New Roman" w:hint="cs"/>
          <w:rtl/>
        </w:rPr>
        <w:t>،</w:t>
      </w:r>
      <w:r w:rsidR="00777DCB" w:rsidRPr="00A52585">
        <w:rPr>
          <w:rFonts w:eastAsia="Times New Roman" w:hint="cs"/>
          <w:rtl/>
        </w:rPr>
        <w:t xml:space="preserve"> وقوله تعالى:</w:t>
      </w:r>
      <w:r w:rsidR="00777DCB" w:rsidRPr="00A52585">
        <w:rPr>
          <w:rFonts w:eastAsia="Times New Roman" w:hint="cs"/>
          <w:bCs/>
          <w:rtl/>
        </w:rPr>
        <w:t>{فلا تضربوا للهِ الأمثال}</w:t>
      </w:r>
      <w:r w:rsidR="00777DCB" w:rsidRPr="00A52585">
        <w:rPr>
          <w:rFonts w:eastAsia="Times New Roman" w:hint="cs"/>
          <w:rtl/>
        </w:rPr>
        <w:t xml:space="preserve"> [سورة النحل:74]، أي لا تجعلوا لله الشبيهَ والمِثْل فإن اللهَ تعالى لا شبيه له ولا مثيل له</w:t>
      </w:r>
      <w:r w:rsidR="00DB731D" w:rsidRPr="00A52585">
        <w:rPr>
          <w:rFonts w:eastAsia="Times New Roman" w:hint="cs"/>
          <w:rtl/>
        </w:rPr>
        <w:t>،</w:t>
      </w:r>
      <w:r w:rsidR="00777DCB" w:rsidRPr="00A52585">
        <w:rPr>
          <w:rFonts w:eastAsia="Times New Roman" w:hint="cs"/>
          <w:rtl/>
        </w:rPr>
        <w:t xml:space="preserve"> لا في وجوده ولا في ذاته ولا في صفاته ولا في أفعاله سبحانه</w:t>
      </w:r>
      <w:r w:rsidR="00DB731D" w:rsidRPr="00A52585">
        <w:rPr>
          <w:rFonts w:eastAsia="Times New Roman" w:hint="cs"/>
          <w:rtl/>
        </w:rPr>
        <w:t>،</w:t>
      </w:r>
      <w:r w:rsidR="00777DCB" w:rsidRPr="00A52585">
        <w:rPr>
          <w:rFonts w:eastAsia="Times New Roman" w:hint="cs"/>
          <w:rtl/>
        </w:rPr>
        <w:t xml:space="preserve"> وقوله تعالى:</w:t>
      </w:r>
      <w:r w:rsidRPr="00A52585">
        <w:rPr>
          <w:rFonts w:eastAsia="Times New Roman" w:hint="cs"/>
          <w:bCs/>
          <w:rtl/>
        </w:rPr>
        <w:t>{</w:t>
      </w:r>
      <w:r w:rsidR="00777DCB" w:rsidRPr="00A52585">
        <w:rPr>
          <w:rFonts w:eastAsia="Times New Roman" w:hint="cs"/>
          <w:bCs/>
          <w:rtl/>
        </w:rPr>
        <w:t>هل تعلمُ لهُ سميًّا</w:t>
      </w:r>
      <w:r w:rsidRPr="00A52585">
        <w:rPr>
          <w:rFonts w:eastAsia="Times New Roman" w:hint="cs"/>
          <w:bCs/>
          <w:rtl/>
        </w:rPr>
        <w:t>}</w:t>
      </w:r>
      <w:r w:rsidR="00777DCB" w:rsidRPr="00A52585">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sidR="00DB731D" w:rsidRPr="00A52585">
        <w:rPr>
          <w:rFonts w:eastAsia="Times New Roman" w:hint="cs"/>
          <w:rtl/>
        </w:rPr>
        <w:t>،</w:t>
      </w:r>
      <w:r w:rsidR="00777DCB" w:rsidRPr="00A52585">
        <w:rPr>
          <w:rFonts w:eastAsia="Times New Roman" w:hint="cs"/>
          <w:rtl/>
        </w:rPr>
        <w:t xml:space="preserve"> وقوله تعالى:</w:t>
      </w:r>
      <w:r w:rsidRPr="00A52585">
        <w:rPr>
          <w:rFonts w:eastAsia="Times New Roman" w:hint="cs"/>
          <w:bCs/>
          <w:rtl/>
        </w:rPr>
        <w:t>{</w:t>
      </w:r>
      <w:r w:rsidR="00777DCB" w:rsidRPr="00A52585">
        <w:rPr>
          <w:rFonts w:eastAsia="Times New Roman" w:hint="cs"/>
          <w:bCs/>
          <w:rtl/>
        </w:rPr>
        <w:t>وَلَمْ يَكُن لَّهُ كُفُوًا أَحَدٌ</w:t>
      </w:r>
      <w:r w:rsidRPr="00A52585">
        <w:rPr>
          <w:rFonts w:eastAsia="Times New Roman" w:hint="cs"/>
          <w:bCs/>
          <w:rtl/>
        </w:rPr>
        <w:t>}</w:t>
      </w:r>
      <w:r w:rsidR="00777DCB" w:rsidRPr="00A52585">
        <w:rPr>
          <w:rFonts w:eastAsia="Times New Roman" w:hint="cs"/>
          <w:rtl/>
        </w:rPr>
        <w:t xml:space="preserve"> [سورة الإخلاص: 4] أي لا نظير له بوجه من الوجوه، ولا كفء له ولا شبيه لا في وجوده ولا في ذاته ولا في صفاته ولا في أفعاله سبحانه</w:t>
      </w:r>
      <w:r w:rsidR="00DB731D" w:rsidRPr="00A52585">
        <w:rPr>
          <w:rFonts w:eastAsia="Times New Roman" w:hint="cs"/>
          <w:rtl/>
        </w:rPr>
        <w:t>،</w:t>
      </w:r>
      <w:r w:rsidR="00777DCB" w:rsidRPr="00A52585">
        <w:rPr>
          <w:rFonts w:eastAsia="Times New Roman" w:hint="cs"/>
          <w:rtl/>
        </w:rPr>
        <w:t xml:space="preserve"> وقوله تعالى:</w:t>
      </w:r>
      <w:r w:rsidRPr="00A52585">
        <w:rPr>
          <w:rFonts w:eastAsia="Times New Roman" w:hint="cs"/>
          <w:bCs/>
          <w:rtl/>
        </w:rPr>
        <w:t>{</w:t>
      </w:r>
      <w:r w:rsidR="00777DCB" w:rsidRPr="00A52585">
        <w:rPr>
          <w:rFonts w:eastAsia="Times New Roman" w:hint="cs"/>
          <w:bCs/>
          <w:rtl/>
        </w:rPr>
        <w:t>سُبْحَانَهُ وَتَعَالَى عَمَّا يَصِفُونَ</w:t>
      </w:r>
      <w:r w:rsidR="00777DCB" w:rsidRPr="00A52585">
        <w:rPr>
          <w:rFonts w:eastAsia="Times New Roman" w:hint="cs"/>
          <w:rtl/>
        </w:rPr>
        <w:t>} [سورة الأنعام</w:t>
      </w:r>
      <w:r w:rsidRPr="00A52585">
        <w:rPr>
          <w:rFonts w:eastAsia="Times New Roman" w:hint="cs"/>
          <w:rtl/>
        </w:rPr>
        <w:t>:</w:t>
      </w:r>
      <w:r w:rsidR="00777DCB" w:rsidRPr="00A52585">
        <w:rPr>
          <w:rFonts w:eastAsia="Times New Roman" w:hint="cs"/>
          <w:rtl/>
        </w:rPr>
        <w:t>100] تنزيه وتقديس لله تعالى عن كل وصف يخطر ببال بشر لأنه ليس كمثله شيء ولا نعلم له سميا</w:t>
      </w:r>
      <w:r w:rsidR="00DB731D" w:rsidRPr="00A52585">
        <w:rPr>
          <w:rFonts w:eastAsia="Times New Roman" w:hint="cs"/>
          <w:rtl/>
        </w:rPr>
        <w:t>،</w:t>
      </w:r>
      <w:r w:rsidR="00777DCB" w:rsidRPr="00A52585">
        <w:rPr>
          <w:rFonts w:eastAsia="Times New Roman" w:hint="cs"/>
          <w:rtl/>
        </w:rPr>
        <w:t xml:space="preserve"> وقوله تعالى:</w:t>
      </w:r>
      <w:r w:rsidR="00777DCB" w:rsidRPr="00A52585">
        <w:rPr>
          <w:rFonts w:eastAsia="Times New Roman" w:hint="cs"/>
          <w:bCs/>
          <w:rtl/>
        </w:rPr>
        <w:t xml:space="preserve"> </w:t>
      </w:r>
      <w:r w:rsidRPr="00A52585">
        <w:rPr>
          <w:rFonts w:eastAsia="Times New Roman" w:hint="cs"/>
          <w:bCs/>
          <w:rtl/>
        </w:rPr>
        <w:t>{</w:t>
      </w:r>
      <w:r w:rsidR="00777DCB" w:rsidRPr="00A52585">
        <w:rPr>
          <w:rFonts w:eastAsia="Times New Roman" w:hint="cs"/>
          <w:bCs/>
          <w:rtl/>
        </w:rPr>
        <w:t>لَا تُدْرِكُهُ الْأَبْصَارُ وَهُوَ يُدْرِكُ الْأَبْصَارَ وَهُوَ اللَّطِيفُ الْخَبِيرُ</w:t>
      </w:r>
      <w:r w:rsidRPr="00A52585">
        <w:rPr>
          <w:rFonts w:eastAsia="Times New Roman" w:hint="cs"/>
          <w:bCs/>
          <w:rtl/>
        </w:rPr>
        <w:t>}</w:t>
      </w:r>
      <w:r w:rsidR="00777DCB" w:rsidRPr="00A52585">
        <w:rPr>
          <w:rFonts w:eastAsia="Times New Roman" w:hint="cs"/>
          <w:rtl/>
        </w:rPr>
        <w:t xml:space="preserve"> [سورة الأنعام</w:t>
      </w:r>
      <w:r w:rsidRPr="00A52585">
        <w:rPr>
          <w:rFonts w:eastAsia="Times New Roman" w:hint="cs"/>
          <w:rtl/>
        </w:rPr>
        <w:t>:</w:t>
      </w:r>
      <w:r w:rsidR="00777DCB" w:rsidRPr="00A52585">
        <w:rPr>
          <w:rFonts w:eastAsia="Times New Roman" w:hint="cs"/>
          <w:rtl/>
        </w:rPr>
        <w:t xml:space="preserve"> 103]</w:t>
      </w:r>
      <w:r w:rsidRPr="00A52585">
        <w:rPr>
          <w:rFonts w:eastAsia="Times New Roman" w:hint="cs"/>
          <w:rtl/>
        </w:rPr>
        <w:t xml:space="preserve"> </w:t>
      </w:r>
      <w:r w:rsidR="00777DCB" w:rsidRPr="00A52585">
        <w:rPr>
          <w:rFonts w:eastAsia="Times New Roman" w:hint="cs"/>
          <w:rtl/>
        </w:rPr>
        <w:t>ولو كان له مثيل لأدركته الأبصار ولكنه سبحانه لطيف لا يُدرك</w:t>
      </w:r>
      <w:r w:rsidR="00DB731D" w:rsidRPr="00A52585">
        <w:rPr>
          <w:rFonts w:eastAsia="Times New Roman" w:hint="cs"/>
          <w:rtl/>
        </w:rPr>
        <w:t>،</w:t>
      </w:r>
      <w:r w:rsidR="00777DCB" w:rsidRPr="00A52585">
        <w:rPr>
          <w:rFonts w:eastAsia="Times New Roman" w:hint="cs"/>
          <w:rtl/>
        </w:rPr>
        <w:t xml:space="preserve"> وقوله تعالى</w:t>
      </w:r>
      <w:r w:rsidRPr="00A52585">
        <w:rPr>
          <w:rFonts w:eastAsia="Times New Roman" w:hint="cs"/>
          <w:rtl/>
        </w:rPr>
        <w:t>:</w:t>
      </w:r>
      <w:r w:rsidR="00777DCB" w:rsidRPr="00A52585">
        <w:rPr>
          <w:rFonts w:eastAsia="Times New Roman" w:hint="cs"/>
          <w:bCs/>
          <w:rtl/>
        </w:rPr>
        <w:t xml:space="preserve"> </w:t>
      </w:r>
      <w:r w:rsidRPr="00A52585">
        <w:rPr>
          <w:rFonts w:eastAsia="Times New Roman" w:hint="cs"/>
          <w:bCs/>
          <w:rtl/>
        </w:rPr>
        <w:t>{</w:t>
      </w:r>
      <w:r w:rsidR="00777DCB" w:rsidRPr="00A52585">
        <w:rPr>
          <w:rFonts w:eastAsia="Times New Roman" w:hint="cs"/>
          <w:bCs/>
          <w:rtl/>
        </w:rPr>
        <w:t>وَلَا يُحِيطُونَ بِهِ عِلْمًا</w:t>
      </w:r>
      <w:r w:rsidRPr="00A52585">
        <w:rPr>
          <w:rFonts w:eastAsia="Times New Roman" w:hint="cs"/>
          <w:bCs/>
          <w:rtl/>
        </w:rPr>
        <w:t>}</w:t>
      </w:r>
      <w:r w:rsidR="00777DCB" w:rsidRPr="00A52585">
        <w:rPr>
          <w:rFonts w:hint="cs"/>
          <w:rtl/>
        </w:rPr>
        <w:t xml:space="preserve"> </w:t>
      </w:r>
      <w:r w:rsidR="00777DCB" w:rsidRPr="00A52585">
        <w:rPr>
          <w:rFonts w:eastAsia="Times New Roman" w:hint="cs"/>
          <w:rtl/>
        </w:rPr>
        <w:t>[سورة طه</w:t>
      </w:r>
      <w:r w:rsidRPr="00A52585">
        <w:rPr>
          <w:rFonts w:eastAsia="Times New Roman" w:hint="cs"/>
          <w:rtl/>
        </w:rPr>
        <w:t>:</w:t>
      </w:r>
      <w:r w:rsidR="00777DCB" w:rsidRPr="00A52585">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sidR="00DB731D" w:rsidRPr="00A52585">
        <w:rPr>
          <w:rFonts w:hint="cs"/>
          <w:bCs/>
          <w:rtl/>
        </w:rPr>
        <w:t>،</w:t>
      </w:r>
      <w:r w:rsidR="00777DCB" w:rsidRPr="00A52585">
        <w:rPr>
          <w:rFonts w:hint="cs"/>
          <w:bCs/>
          <w:rtl/>
        </w:rPr>
        <w:t xml:space="preserve"> </w:t>
      </w:r>
      <w:r w:rsidR="00777DCB" w:rsidRPr="00A52585">
        <w:rPr>
          <w:rFonts w:eastAsia="Times New Roman" w:hint="cs"/>
          <w:rtl/>
        </w:rPr>
        <w:t>وقوله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rtl/>
        </w:rPr>
        <w:t>فلا تجعلوا لله أنداداً وأنتم تعلمون} والند هو العدل والمثل</w:t>
      </w:r>
      <w:r w:rsidRPr="00A52585">
        <w:rPr>
          <w:rFonts w:hint="cs"/>
          <w:rtl/>
        </w:rPr>
        <w:t xml:space="preserve"> </w:t>
      </w:r>
      <w:r w:rsidR="00777DCB" w:rsidRPr="00A52585">
        <w:rPr>
          <w:rFonts w:hint="cs"/>
          <w:rtl/>
        </w:rPr>
        <w:t>والنظير والشبيه</w:t>
      </w:r>
      <w:r w:rsidR="00DB731D" w:rsidRPr="00A52585">
        <w:rPr>
          <w:rFonts w:hint="cs"/>
          <w:rtl/>
        </w:rPr>
        <w:t>،</w:t>
      </w:r>
      <w:r w:rsidR="00777DCB" w:rsidRPr="00A52585">
        <w:rPr>
          <w:rFonts w:hint="cs"/>
          <w:rtl/>
        </w:rPr>
        <w:t xml:space="preserve"> كما جاء في التفسير</w:t>
      </w:r>
      <w:r w:rsidR="00DB731D" w:rsidRPr="00A52585">
        <w:rPr>
          <w:rFonts w:hint="cs"/>
          <w:rtl/>
        </w:rPr>
        <w:t>،</w:t>
      </w:r>
      <w:r w:rsidR="00777DCB" w:rsidRPr="00A52585">
        <w:rPr>
          <w:rFonts w:hint="cs"/>
          <w:rtl/>
        </w:rPr>
        <w:t xml:space="preserve"> </w:t>
      </w:r>
      <w:r w:rsidR="00777DCB" w:rsidRPr="00A52585">
        <w:rPr>
          <w:rFonts w:eastAsia="Times New Roman" w:hint="cs"/>
          <w:rtl/>
          <w:lang w:eastAsia="ar-SA"/>
        </w:rPr>
        <w:t xml:space="preserve">وقد احتج علماء أهل السنة المتخصصون في العقيدة قديما وحديثا بهذه الآيات على </w:t>
      </w:r>
      <w:r w:rsidR="00777DCB" w:rsidRPr="00A52585">
        <w:rPr>
          <w:rFonts w:eastAsia="Times New Roman" w:hint="cs"/>
          <w:rtl/>
          <w:lang w:eastAsia="ar-SA"/>
        </w:rPr>
        <w:lastRenderedPageBreak/>
        <w:t>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DB731D" w:rsidRPr="00A52585">
        <w:rPr>
          <w:rFonts w:eastAsia="Times New Roman" w:hint="cs"/>
          <w:rtl/>
          <w:lang w:eastAsia="ar-SA"/>
        </w:rPr>
        <w:t>،</w:t>
      </w:r>
      <w:r w:rsidR="00777DCB" w:rsidRPr="00A52585">
        <w:rPr>
          <w:rFonts w:hint="cs"/>
          <w:rtl/>
          <w:lang w:bidi="ar-KW"/>
        </w:rPr>
        <w:t xml:space="preserve"> </w:t>
      </w:r>
    </w:p>
    <w:p w14:paraId="2366A202" w14:textId="77777777" w:rsidR="00777DCB" w:rsidRPr="00A52585" w:rsidRDefault="00777DCB" w:rsidP="0002035C">
      <w:pPr>
        <w:jc w:val="center"/>
        <w:rPr>
          <w:b/>
          <w:rtl/>
        </w:rPr>
      </w:pPr>
      <w:r w:rsidRPr="00A52585">
        <w:rPr>
          <w:rFonts w:hint="cs"/>
          <w:rtl/>
        </w:rPr>
        <w:t>***</w:t>
      </w:r>
    </w:p>
    <w:p w14:paraId="6413831D" w14:textId="77777777" w:rsidR="00777DCB" w:rsidRPr="00A52585" w:rsidRDefault="00777DCB" w:rsidP="0002035C">
      <w:pPr>
        <w:jc w:val="center"/>
        <w:rPr>
          <w:b/>
          <w:rtl/>
        </w:rPr>
      </w:pPr>
    </w:p>
    <w:p w14:paraId="0946B321" w14:textId="62EA68CA" w:rsidR="00777DCB" w:rsidRPr="00A52585" w:rsidRDefault="00777DCB" w:rsidP="00185A91">
      <w:pPr>
        <w:pStyle w:val="2"/>
        <w:bidi/>
        <w:jc w:val="center"/>
        <w:rPr>
          <w:u w:val="none"/>
          <w:lang w:bidi="ar-KW"/>
        </w:rPr>
      </w:pPr>
      <w:r w:rsidRPr="00A52585">
        <w:rPr>
          <w:u w:val="none"/>
          <w:rtl/>
          <w:lang w:bidi="ar-KW"/>
        </w:rPr>
        <w:t>ثانياً</w:t>
      </w:r>
      <w:r w:rsidR="00185A91" w:rsidRPr="00A52585">
        <w:rPr>
          <w:rFonts w:hint="cs"/>
          <w:u w:val="none"/>
          <w:rtl/>
          <w:lang w:bidi="ar-KW"/>
        </w:rPr>
        <w:t xml:space="preserve"> </w:t>
      </w:r>
      <w:r w:rsidRPr="00A52585">
        <w:rPr>
          <w:u w:val="none"/>
          <w:rtl/>
          <w:lang w:bidi="ar-KW"/>
        </w:rPr>
        <w:t>أقوال علماء أهل السنة في تنزيه الله تعالى عن مشابهة المخلوقات</w:t>
      </w:r>
    </w:p>
    <w:p w14:paraId="181672BD" w14:textId="77777777" w:rsidR="00777DCB" w:rsidRPr="00A52585" w:rsidRDefault="00777DCB">
      <w:pPr>
        <w:rPr>
          <w:rtl/>
        </w:rPr>
      </w:pPr>
    </w:p>
    <w:p w14:paraId="303C85B7" w14:textId="5E670A04" w:rsidR="00777DCB" w:rsidRPr="00A52585" w:rsidRDefault="00777DCB" w:rsidP="0002035C">
      <w:pPr>
        <w:rPr>
          <w:b/>
        </w:rPr>
      </w:pPr>
      <w:r w:rsidRPr="00A52585">
        <w:rPr>
          <w:rFonts w:hint="cs"/>
          <w:bCs/>
          <w:rtl/>
        </w:rPr>
        <w:t>قال الإمام الحافظ أبو زكريا محيي الدين النووي</w:t>
      </w:r>
      <w:r w:rsidRPr="00A52585">
        <w:rPr>
          <w:rFonts w:hint="cs"/>
          <w:rtl/>
        </w:rPr>
        <w:t xml:space="preserve"> (676هـ)</w:t>
      </w:r>
      <w:r w:rsidR="0002035C" w:rsidRPr="00A52585">
        <w:rPr>
          <w:rFonts w:hint="cs"/>
          <w:rtl/>
        </w:rPr>
        <w:t>: (</w:t>
      </w:r>
      <w:r w:rsidRPr="00A52585">
        <w:rPr>
          <w:rFonts w:hint="cs"/>
          <w:rtl/>
        </w:rPr>
        <w:t>إن الله تعالى ليس كمثله شيء، وإنه منزه عن التجسيم والانتقال والتحيز في جهة وعن سائر صفات المخلوق</w:t>
      </w:r>
      <w:r w:rsidR="0002035C" w:rsidRPr="00A52585">
        <w:rPr>
          <w:rFonts w:hint="cs"/>
          <w:rtl/>
        </w:rPr>
        <w:t>)</w:t>
      </w:r>
      <w:r w:rsidRPr="00A52585">
        <w:rPr>
          <w:rFonts w:hint="cs"/>
          <w:rtl/>
        </w:rPr>
        <w:t xml:space="preserve"> اهـ. </w:t>
      </w:r>
      <w:r w:rsidR="0002035C" w:rsidRPr="00A52585">
        <w:rPr>
          <w:rFonts w:hint="cs"/>
          <w:rtl/>
        </w:rPr>
        <w:t>[</w:t>
      </w:r>
      <w:r w:rsidRPr="00A52585">
        <w:rPr>
          <w:rFonts w:hint="cs"/>
          <w:rtl/>
        </w:rPr>
        <w:t>شرح صحيح مسلم 3</w:t>
      </w:r>
      <w:r w:rsidR="0002035C" w:rsidRPr="00A52585">
        <w:rPr>
          <w:rFonts w:hint="cs"/>
          <w:rtl/>
        </w:rPr>
        <w:t>:</w:t>
      </w:r>
      <w:r w:rsidRPr="00A52585">
        <w:rPr>
          <w:rFonts w:hint="cs"/>
          <w:rtl/>
        </w:rPr>
        <w:t>19]</w:t>
      </w:r>
      <w:r w:rsidR="00DB731D" w:rsidRPr="00A52585">
        <w:rPr>
          <w:rFonts w:hint="cs"/>
          <w:rtl/>
        </w:rPr>
        <w:t>،</w:t>
      </w:r>
      <w:r w:rsidRPr="00A52585">
        <w:rPr>
          <w:rFonts w:hint="cs"/>
          <w:rtl/>
        </w:rPr>
        <w:t xml:space="preserve"> </w:t>
      </w:r>
      <w:r w:rsidRPr="00A52585">
        <w:rPr>
          <w:rFonts w:hint="cs"/>
          <w:bCs/>
          <w:rtl/>
        </w:rPr>
        <w:t xml:space="preserve">وقال الإمام </w:t>
      </w:r>
      <w:proofErr w:type="spellStart"/>
      <w:r w:rsidRPr="00A52585">
        <w:rPr>
          <w:rFonts w:hint="cs"/>
          <w:bCs/>
          <w:rtl/>
        </w:rPr>
        <w:t>الشهرستاني</w:t>
      </w:r>
      <w:proofErr w:type="spellEnd"/>
      <w:r w:rsidRPr="00A52585">
        <w:rPr>
          <w:rFonts w:hint="cs"/>
          <w:rtl/>
        </w:rPr>
        <w:t xml:space="preserve"> (548هـ)</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فمذهب أهل الحق أن الله سبحانه لا يشبه شيئا من المخلوقات ولا يشبهه شيء منها بوجه من وجوه المشابهة والمماثلة </w:t>
      </w:r>
      <w:r w:rsidR="0002035C" w:rsidRPr="00A52585">
        <w:rPr>
          <w:rFonts w:hint="cs"/>
          <w:rtl/>
        </w:rPr>
        <w:t>{</w:t>
      </w:r>
      <w:r w:rsidRPr="00A52585">
        <w:rPr>
          <w:rFonts w:hint="cs"/>
          <w:rtl/>
        </w:rPr>
        <w:t>لَيْسَ كَمِثْلِهِ شَيْءٌ وَهُوَ السَّمِيعُ البَصِيرُ</w:t>
      </w:r>
      <w:r w:rsidR="0002035C" w:rsidRPr="00A52585">
        <w:rPr>
          <w:rFonts w:hint="cs"/>
          <w:rtl/>
        </w:rPr>
        <w:t>}</w:t>
      </w:r>
      <w:r w:rsidR="00DB731D" w:rsidRPr="00A52585">
        <w:rPr>
          <w:rFonts w:hint="cs"/>
          <w:rtl/>
        </w:rPr>
        <w:t>،</w:t>
      </w:r>
      <w:r w:rsidRPr="00A52585">
        <w:rPr>
          <w:rFonts w:hint="cs"/>
          <w:rtl/>
        </w:rPr>
        <w:t xml:space="preserve"> فليس البارئ سبحانه بجوهر ولا جسم ولا عرض ولا في مكان ولا في زمان</w:t>
      </w:r>
      <w:r w:rsidR="0002035C" w:rsidRPr="00A52585">
        <w:rPr>
          <w:rFonts w:hint="cs"/>
          <w:rtl/>
        </w:rPr>
        <w:t xml:space="preserve">) </w:t>
      </w:r>
      <w:r w:rsidRPr="00A52585">
        <w:rPr>
          <w:rFonts w:hint="cs"/>
          <w:rtl/>
        </w:rPr>
        <w:t>اهـ.</w:t>
      </w:r>
      <w:r w:rsidR="0002035C" w:rsidRPr="00A52585">
        <w:rPr>
          <w:rFonts w:hint="cs"/>
          <w:rtl/>
        </w:rPr>
        <w:t>[</w:t>
      </w:r>
      <w:r w:rsidRPr="00A52585">
        <w:rPr>
          <w:rFonts w:hint="cs"/>
          <w:rtl/>
        </w:rPr>
        <w:t>نهاية الأقدام ص</w:t>
      </w:r>
      <w:r w:rsidR="0002035C" w:rsidRPr="00A52585">
        <w:rPr>
          <w:rFonts w:hint="cs"/>
          <w:rtl/>
        </w:rPr>
        <w:t>:</w:t>
      </w:r>
      <w:r w:rsidRPr="00A52585">
        <w:rPr>
          <w:rFonts w:hint="cs"/>
          <w:rtl/>
        </w:rPr>
        <w:t xml:space="preserve"> 103]</w:t>
      </w:r>
      <w:r w:rsidR="00DB731D" w:rsidRPr="00A52585">
        <w:rPr>
          <w:rFonts w:hint="cs"/>
          <w:rtl/>
        </w:rPr>
        <w:t>،</w:t>
      </w:r>
      <w:r w:rsidRPr="00A52585">
        <w:rPr>
          <w:rFonts w:hint="cs"/>
          <w:rtl/>
        </w:rPr>
        <w:t xml:space="preserve"> وقال في الملل والنحل</w:t>
      </w:r>
      <w:r w:rsidR="0002035C" w:rsidRPr="00A52585">
        <w:rPr>
          <w:rFonts w:hint="cs"/>
          <w:rtl/>
        </w:rPr>
        <w:t>: (</w:t>
      </w:r>
      <w:r w:rsidRPr="00A52585">
        <w:rPr>
          <w:rFonts w:hint="cs"/>
          <w:rtl/>
        </w:rPr>
        <w:t xml:space="preserve">فمذهب أهل الحق أن الله سبحانه لا يشبه شيئا من المخلوقات ولا يشبهه شيء منها بوجه من وجوه المشابهة والمماثلة </w:t>
      </w:r>
      <w:r w:rsidR="0002035C" w:rsidRPr="00A52585">
        <w:rPr>
          <w:rFonts w:hint="cs"/>
          <w:rtl/>
        </w:rPr>
        <w:t>{</w:t>
      </w:r>
      <w:r w:rsidRPr="00A52585">
        <w:rPr>
          <w:rFonts w:hint="cs"/>
          <w:rtl/>
        </w:rPr>
        <w:t>لَيْسَ كَمِثْلِهِ شَيْءٌ وَهُوَ السَّمِيعُ البَصِيرُ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سورة الشورى</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فليس البارئ سبحانه بجوهر ولا جسم ولا عرض ولا في مكان ولا في زمان</w:t>
      </w:r>
      <w:r w:rsidR="0002035C" w:rsidRPr="00A52585">
        <w:rPr>
          <w:rFonts w:hint="cs"/>
          <w:rtl/>
        </w:rPr>
        <w:t>)</w:t>
      </w:r>
      <w:r w:rsidRPr="00A52585">
        <w:rPr>
          <w:rFonts w:hint="cs"/>
          <w:rtl/>
        </w:rPr>
        <w:t xml:space="preserve"> أهــ </w:t>
      </w:r>
      <w:r w:rsidR="0002035C" w:rsidRPr="00A52585">
        <w:rPr>
          <w:rFonts w:hint="cs"/>
          <w:rtl/>
        </w:rPr>
        <w:t>[</w:t>
      </w:r>
      <w:r w:rsidRPr="00A52585">
        <w:rPr>
          <w:rFonts w:hint="cs"/>
          <w:rtl/>
        </w:rPr>
        <w:t xml:space="preserve">الملل والنحل </w:t>
      </w:r>
      <w:proofErr w:type="spellStart"/>
      <w:r w:rsidRPr="00A52585">
        <w:rPr>
          <w:rFonts w:hint="cs"/>
          <w:rtl/>
        </w:rPr>
        <w:t>للشهرستاني</w:t>
      </w:r>
      <w:proofErr w:type="spellEnd"/>
      <w:r w:rsidR="0002035C" w:rsidRPr="00A52585">
        <w:rPr>
          <w:rFonts w:hint="cs"/>
          <w:rtl/>
        </w:rPr>
        <w:t>]</w:t>
      </w:r>
      <w:r w:rsidR="00DB731D" w:rsidRPr="00A52585">
        <w:rPr>
          <w:rFonts w:hint="cs"/>
          <w:rtl/>
        </w:rPr>
        <w:t>،</w:t>
      </w:r>
      <w:r w:rsidRPr="00A52585">
        <w:rPr>
          <w:rFonts w:hint="cs"/>
          <w:rtl/>
        </w:rPr>
        <w:t xml:space="preserve"> وذكر عبد القاهر بن طاهر </w:t>
      </w:r>
      <w:proofErr w:type="spellStart"/>
      <w:r w:rsidRPr="00A52585">
        <w:rPr>
          <w:rFonts w:hint="cs"/>
          <w:rtl/>
        </w:rPr>
        <w:t>التميمى</w:t>
      </w:r>
      <w:proofErr w:type="spellEnd"/>
      <w:r w:rsidRPr="00A52585">
        <w:rPr>
          <w:rFonts w:hint="cs"/>
          <w:rtl/>
        </w:rPr>
        <w:t xml:space="preserve"> </w:t>
      </w:r>
      <w:proofErr w:type="spellStart"/>
      <w:r w:rsidRPr="00A52585">
        <w:rPr>
          <w:rFonts w:hint="cs"/>
          <w:rtl/>
        </w:rPr>
        <w:t>البغدادى</w:t>
      </w:r>
      <w:proofErr w:type="spellEnd"/>
      <w:r w:rsidRPr="00A52585">
        <w:rPr>
          <w:rFonts w:hint="cs"/>
          <w:rtl/>
        </w:rPr>
        <w:t xml:space="preserve"> رحمه الله في كتابه الفرق بين الفرق صـ333 إجماع علماء أهل السنة على تنزيه الله تعالى عن المكان والزمان فقال رحمه الله</w:t>
      </w:r>
      <w:r w:rsidR="0002035C" w:rsidRPr="00A52585">
        <w:rPr>
          <w:rFonts w:hint="cs"/>
          <w:rtl/>
        </w:rPr>
        <w:t xml:space="preserve">: </w:t>
      </w:r>
      <w:r w:rsidRPr="00A52585">
        <w:rPr>
          <w:rFonts w:hint="cs"/>
          <w:rtl/>
        </w:rPr>
        <w:t xml:space="preserve">" وأجمعوا على أنه لا </w:t>
      </w:r>
      <w:proofErr w:type="spellStart"/>
      <w:r w:rsidRPr="00A52585">
        <w:rPr>
          <w:rFonts w:hint="cs"/>
          <w:rtl/>
        </w:rPr>
        <w:t>يحويه</w:t>
      </w:r>
      <w:proofErr w:type="spellEnd"/>
      <w:r w:rsidRPr="00A52585">
        <w:rPr>
          <w:rFonts w:hint="cs"/>
          <w:rtl/>
        </w:rPr>
        <w:t xml:space="preserve"> مكان ولا يجرى عليه زمان " أهـــ</w:t>
      </w:r>
      <w:r w:rsidR="00DB731D" w:rsidRPr="00A52585">
        <w:rPr>
          <w:rFonts w:hint="cs"/>
          <w:rtl/>
        </w:rPr>
        <w:t>،</w:t>
      </w:r>
      <w:r w:rsidR="0002035C" w:rsidRPr="00A52585">
        <w:rPr>
          <w:rFonts w:hint="cs"/>
          <w:rtl/>
        </w:rPr>
        <w:t xml:space="preserve"> </w:t>
      </w:r>
      <w:r w:rsidRPr="00A52585">
        <w:rPr>
          <w:rFonts w:hint="cs"/>
          <w:bCs/>
          <w:rtl/>
        </w:rPr>
        <w:t>وقال حجة الإسلام الغزالي</w:t>
      </w:r>
      <w:r w:rsidRPr="00A52585">
        <w:rPr>
          <w:rFonts w:hint="cs"/>
          <w:rtl/>
        </w:rPr>
        <w:t xml:space="preserve"> ر حمه الله - في درة من علم التنزيه -</w:t>
      </w:r>
      <w:r w:rsidR="0002035C" w:rsidRPr="00A52585">
        <w:rPr>
          <w:rFonts w:hint="cs"/>
          <w:rtl/>
        </w:rPr>
        <w:t>: (</w:t>
      </w:r>
      <w:r w:rsidRPr="00A52585">
        <w:rPr>
          <w:rFonts w:hint="cs"/>
          <w:rtl/>
        </w:rPr>
        <w:t xml:space="preserve">أنه </w:t>
      </w:r>
      <w:r w:rsidR="0002035C" w:rsidRPr="00A52585">
        <w:rPr>
          <w:rFonts w:hint="cs"/>
          <w:rtl/>
        </w:rPr>
        <w:t>(</w:t>
      </w:r>
      <w:r w:rsidRPr="00A52585">
        <w:rPr>
          <w:rFonts w:hint="cs"/>
          <w:rtl/>
        </w:rPr>
        <w:t>سبحانه</w:t>
      </w:r>
      <w:r w:rsidR="0002035C" w:rsidRPr="00A52585">
        <w:rPr>
          <w:rFonts w:hint="cs"/>
          <w:rtl/>
        </w:rPr>
        <w:t>)</w:t>
      </w:r>
      <w:r w:rsidRPr="00A52585">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w:t>
      </w:r>
      <w:r w:rsidRPr="00A52585">
        <w:rPr>
          <w:rFonts w:hint="cs"/>
          <w:rtl/>
        </w:rPr>
        <w:lastRenderedPageBreak/>
        <w:t>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DB731D" w:rsidRPr="00A52585">
        <w:rPr>
          <w:rFonts w:hint="cs"/>
          <w:rtl/>
        </w:rPr>
        <w:t>،</w:t>
      </w:r>
      <w:r w:rsidRPr="00A52585">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w:t>
      </w:r>
      <w:proofErr w:type="spellStart"/>
      <w:r w:rsidRPr="00A52585">
        <w:rPr>
          <w:rFonts w:hint="cs"/>
          <w:rtl/>
        </w:rPr>
        <w:t>يحويه</w:t>
      </w:r>
      <w:proofErr w:type="spellEnd"/>
      <w:r w:rsidRPr="00A52585">
        <w:rPr>
          <w:rFonts w:hint="cs"/>
          <w:rtl/>
        </w:rPr>
        <w:t xml:space="preserve"> مكان كما تقدس عن أن يحده زمان بل كان قبل أن خلق الزمان والمكان وهو الآن على ما عليه كان " أهــ </w:t>
      </w:r>
      <w:r w:rsidR="0002035C" w:rsidRPr="00A52585">
        <w:rPr>
          <w:rFonts w:hint="cs"/>
          <w:rtl/>
        </w:rPr>
        <w:t>[</w:t>
      </w:r>
      <w:r w:rsidRPr="00A52585">
        <w:rPr>
          <w:rFonts w:hint="cs"/>
          <w:rtl/>
          <w:lang w:bidi="ar-KW"/>
        </w:rPr>
        <w:t>الغزالي قواعد العقائد</w:t>
      </w:r>
      <w:r w:rsidR="0002035C" w:rsidRPr="00A52585">
        <w:rPr>
          <w:rFonts w:hint="cs"/>
          <w:rtl/>
          <w:lang w:bidi="ar-KW"/>
        </w:rPr>
        <w:t>]</w:t>
      </w:r>
      <w:r w:rsidR="00DB731D" w:rsidRPr="00A52585">
        <w:rPr>
          <w:rFonts w:hint="cs"/>
          <w:rtl/>
        </w:rPr>
        <w:t>،</w:t>
      </w:r>
      <w:r w:rsidRPr="00A52585">
        <w:rPr>
          <w:rFonts w:hint="cs"/>
          <w:rtl/>
        </w:rPr>
        <w:t xml:space="preserve"> </w:t>
      </w:r>
      <w:r w:rsidRPr="00A52585">
        <w:rPr>
          <w:rFonts w:hint="cs"/>
          <w:bCs/>
          <w:rtl/>
        </w:rPr>
        <w:t>وجاء في مناهل العرفان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فالعمدة عندنا في أمور العقائد هي الأدلة القطعية التي توافرت على أنه تعالى ليس جسما ولا متحيزا ولا متجزئا ولا </w:t>
      </w:r>
      <w:proofErr w:type="spellStart"/>
      <w:r w:rsidRPr="00A52585">
        <w:rPr>
          <w:rFonts w:hint="cs"/>
          <w:rtl/>
        </w:rPr>
        <w:t>متركبا</w:t>
      </w:r>
      <w:proofErr w:type="spellEnd"/>
      <w:r w:rsidRPr="00A52585">
        <w:rPr>
          <w:rFonts w:hint="cs"/>
          <w:rtl/>
        </w:rPr>
        <w:t xml:space="preserve"> ولا محتاجا لأحد ولا إلى مكان ولا إلى زمان ولا نحو ذلك ولقد جاء القرآن بهذا في </w:t>
      </w:r>
      <w:proofErr w:type="spellStart"/>
      <w:r w:rsidRPr="00A52585">
        <w:rPr>
          <w:rFonts w:hint="cs"/>
          <w:rtl/>
        </w:rPr>
        <w:t>محكماته</w:t>
      </w:r>
      <w:proofErr w:type="spellEnd"/>
      <w:r w:rsidRPr="00A52585">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sidR="0002035C" w:rsidRPr="00A52585">
        <w:rPr>
          <w:rFonts w:hint="cs"/>
          <w:rtl/>
        </w:rPr>
        <w:t xml:space="preserve"> [</w:t>
      </w:r>
      <w:r w:rsidRPr="00A52585">
        <w:rPr>
          <w:rFonts w:hint="cs"/>
          <w:rtl/>
        </w:rPr>
        <w:t>مناهل العرفان</w:t>
      </w:r>
      <w:r w:rsidR="0002035C" w:rsidRPr="00A52585">
        <w:rPr>
          <w:rFonts w:hint="cs"/>
          <w:rtl/>
        </w:rPr>
        <w:t xml:space="preserve">: </w:t>
      </w:r>
      <w:r w:rsidRPr="00A52585">
        <w:rPr>
          <w:rFonts w:hint="cs"/>
          <w:rtl/>
        </w:rPr>
        <w:t>ج2 ص 210</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وجاء في أقاويل الثقات</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02035C" w:rsidRPr="00A52585">
        <w:rPr>
          <w:rFonts w:hint="cs"/>
          <w:rtl/>
        </w:rPr>
        <w:t>:</w:t>
      </w:r>
      <w:r w:rsidRPr="00A52585">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w:t>
      </w:r>
      <w:r w:rsidRPr="00A52585">
        <w:rPr>
          <w:rFonts w:hint="cs"/>
          <w:rtl/>
        </w:rPr>
        <w:lastRenderedPageBreak/>
        <w:t>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w:t>
      </w:r>
      <w:r w:rsidR="0002035C" w:rsidRPr="00A52585">
        <w:rPr>
          <w:rFonts w:hint="cs"/>
          <w:rtl/>
        </w:rPr>
        <w:t xml:space="preserve"> </w:t>
      </w:r>
      <w:r w:rsidRPr="00A52585">
        <w:rPr>
          <w:rFonts w:hint="cs"/>
          <w:rtl/>
        </w:rPr>
        <w:t xml:space="preserve">ليس كمثله شيء </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أقاويل الثقات ج: 1 ص: 134</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 xml:space="preserve">ومما جاء في كتاب غاية البيان في تنزيه الله عن الجهة والمكان للشيخ الفاضل خليل دريان الأزهري من </w:t>
      </w:r>
      <w:proofErr w:type="spellStart"/>
      <w:r w:rsidRPr="00A52585">
        <w:rPr>
          <w:rFonts w:hint="cs"/>
          <w:bCs/>
          <w:rtl/>
        </w:rPr>
        <w:t>تنزيهات</w:t>
      </w:r>
      <w:proofErr w:type="spellEnd"/>
      <w:r w:rsidR="00DB731D" w:rsidRPr="00A52585">
        <w:rPr>
          <w:rFonts w:hint="cs"/>
          <w:bCs/>
          <w:rtl/>
        </w:rPr>
        <w:t>،</w:t>
      </w:r>
      <w:r w:rsidRPr="00A52585">
        <w:rPr>
          <w:rFonts w:hint="cs"/>
          <w:bCs/>
          <w:rtl/>
        </w:rPr>
        <w:t xml:space="preserve"> قال جزاه الله خيرا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بعد معرفة</w:t>
      </w:r>
      <w:r w:rsidR="00897A24" w:rsidRPr="00A52585">
        <w:rPr>
          <w:rFonts w:hint="cs"/>
          <w:rtl/>
        </w:rPr>
        <w:t>.</w:t>
      </w:r>
      <w:r w:rsidRPr="00A52585">
        <w:rPr>
          <w:rFonts w:hint="cs"/>
          <w:rtl/>
        </w:rPr>
        <w:t>. الدليل على تنزيه الله عن المكان والجهة من القرءان والسنة النبوية ننقل إليكم أقوال جل علماء الأمة الإسلامية في أن الله منزه عن المكان والجهة</w:t>
      </w:r>
      <w:r w:rsidR="0002035C" w:rsidRPr="00A52585">
        <w:rPr>
          <w:rFonts w:hint="cs"/>
          <w:rtl/>
        </w:rPr>
        <w:t xml:space="preserve">: </w:t>
      </w:r>
      <w:r w:rsidRPr="00A52585">
        <w:rPr>
          <w:rFonts w:hint="cs"/>
          <w:rtl/>
        </w:rPr>
        <w:t xml:space="preserve">1- قال سيدنا </w:t>
      </w:r>
      <w:proofErr w:type="gramStart"/>
      <w:r w:rsidRPr="00A52585">
        <w:rPr>
          <w:rFonts w:hint="cs"/>
          <w:rtl/>
        </w:rPr>
        <w:t>علي</w:t>
      </w:r>
      <w:proofErr w:type="gramEnd"/>
      <w:r w:rsidRPr="00A52585">
        <w:rPr>
          <w:rFonts w:hint="cs"/>
          <w:rtl/>
        </w:rPr>
        <w:t xml:space="preserve"> رضي الله عنه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كان- الله- ولا مكان</w:t>
      </w:r>
      <w:r w:rsidR="00DB731D" w:rsidRPr="00A52585">
        <w:rPr>
          <w:rFonts w:hint="cs"/>
          <w:rtl/>
        </w:rPr>
        <w:t>،</w:t>
      </w:r>
      <w:r w:rsidRPr="00A52585">
        <w:rPr>
          <w:rFonts w:hint="cs"/>
          <w:rtl/>
        </w:rPr>
        <w:t xml:space="preserve"> وهو الان على ما- عليه- كان اهـ. أي بلا مكان</w:t>
      </w:r>
      <w:r w:rsidR="0002035C" w:rsidRPr="00A52585">
        <w:rPr>
          <w:rFonts w:hint="cs"/>
          <w:rtl/>
        </w:rPr>
        <w:t>)</w:t>
      </w:r>
      <w:r w:rsidRPr="00A52585">
        <w:rPr>
          <w:rFonts w:hint="cs"/>
          <w:rtl/>
        </w:rPr>
        <w:t xml:space="preserve"> الفرق بين الفرق لأبي منصور البغدادي (333)</w:t>
      </w:r>
      <w:r w:rsidR="00DB731D" w:rsidRPr="00A52585">
        <w:rPr>
          <w:rFonts w:hint="cs"/>
          <w:rtl/>
        </w:rPr>
        <w:t>،</w:t>
      </w:r>
      <w:r w:rsidR="0002035C" w:rsidRPr="00A52585">
        <w:rPr>
          <w:rFonts w:hint="cs"/>
          <w:rtl/>
        </w:rPr>
        <w:t xml:space="preserve"> </w:t>
      </w:r>
      <w:r w:rsidRPr="00A52585">
        <w:rPr>
          <w:rFonts w:hint="cs"/>
          <w:rtl/>
        </w:rPr>
        <w:t>2- وقال ايضا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تعالى خلق العرش إظهارًا لقدرته لا مكانا لذاته</w:t>
      </w:r>
      <w:r w:rsidR="0002035C" w:rsidRPr="00A52585">
        <w:rPr>
          <w:rFonts w:hint="cs"/>
          <w:rtl/>
        </w:rPr>
        <w:t>)</w:t>
      </w:r>
      <w:r w:rsidRPr="00A52585">
        <w:rPr>
          <w:rFonts w:hint="cs"/>
          <w:rtl/>
        </w:rPr>
        <w:t xml:space="preserve"> الفرق بين الفرق لأبي منصور البغدادي </w:t>
      </w:r>
      <w:r w:rsidR="0002035C" w:rsidRPr="00A52585">
        <w:rPr>
          <w:rFonts w:hint="cs"/>
          <w:rtl/>
        </w:rPr>
        <w:t>(</w:t>
      </w:r>
      <w:r w:rsidRPr="00A52585">
        <w:rPr>
          <w:rFonts w:hint="cs"/>
          <w:rtl/>
        </w:rPr>
        <w:t>333)</w:t>
      </w:r>
      <w:r w:rsidR="00DB731D" w:rsidRPr="00A52585">
        <w:rPr>
          <w:rFonts w:hint="cs"/>
          <w:rtl/>
        </w:rPr>
        <w:t>،</w:t>
      </w:r>
      <w:r w:rsidR="0002035C" w:rsidRPr="00A52585">
        <w:rPr>
          <w:rFonts w:hint="cs"/>
          <w:rtl/>
        </w:rPr>
        <w:t xml:space="preserve"> </w:t>
      </w:r>
      <w:r w:rsidRPr="00A52585">
        <w:rPr>
          <w:rFonts w:hint="cs"/>
          <w:rtl/>
        </w:rPr>
        <w:t>3- وقال ايضاً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من زعم أن إلهنا محدود فقد جهل الخالق المعبود</w:t>
      </w:r>
      <w:r w:rsidR="00897A24" w:rsidRPr="00A52585">
        <w:rPr>
          <w:rFonts w:hint="cs"/>
          <w:rtl/>
        </w:rPr>
        <w:t>.</w:t>
      </w:r>
      <w:r w:rsidR="0002035C" w:rsidRPr="00A52585">
        <w:rPr>
          <w:rFonts w:hint="cs"/>
          <w:rtl/>
        </w:rPr>
        <w:t>)</w:t>
      </w:r>
      <w:r w:rsidRPr="00A52585">
        <w:rPr>
          <w:rFonts w:hint="cs"/>
          <w:rtl/>
        </w:rPr>
        <w:t xml:space="preserve"> حلية الأولياء</w:t>
      </w:r>
      <w:r w:rsidR="0002035C" w:rsidRPr="00A52585">
        <w:rPr>
          <w:rFonts w:hint="cs"/>
          <w:rtl/>
        </w:rPr>
        <w:t>:</w:t>
      </w:r>
      <w:r w:rsidRPr="00A52585">
        <w:rPr>
          <w:rFonts w:hint="cs"/>
          <w:rtl/>
        </w:rPr>
        <w:t xml:space="preserve"> ترجمة علي بن أي طالب (73</w:t>
      </w:r>
      <w:r w:rsidR="0002035C" w:rsidRPr="00A52585">
        <w:rPr>
          <w:rFonts w:hint="cs"/>
          <w:rtl/>
        </w:rPr>
        <w:t>:</w:t>
      </w:r>
      <w:r w:rsidRPr="00A52585">
        <w:rPr>
          <w:rFonts w:hint="cs"/>
          <w:rtl/>
        </w:rPr>
        <w:t xml:space="preserve"> 1)</w:t>
      </w:r>
      <w:r w:rsidR="00DB731D" w:rsidRPr="00A52585">
        <w:rPr>
          <w:rFonts w:hint="cs"/>
          <w:rtl/>
        </w:rPr>
        <w:t>،</w:t>
      </w:r>
      <w:r w:rsidR="0002035C" w:rsidRPr="00A52585">
        <w:rPr>
          <w:rFonts w:hint="cs"/>
          <w:rtl/>
        </w:rPr>
        <w:t xml:space="preserve"> </w:t>
      </w:r>
      <w:r w:rsidRPr="00A52585">
        <w:rPr>
          <w:rFonts w:hint="cs"/>
          <w:rtl/>
        </w:rPr>
        <w:t>4- وقال التابعي الجليل الإمام زين العابدين علي بن الحسين بن علي رضي الله عنهم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أنت الله الذي لا </w:t>
      </w:r>
      <w:proofErr w:type="spellStart"/>
      <w:r w:rsidRPr="00A52585">
        <w:rPr>
          <w:rFonts w:hint="cs"/>
          <w:rtl/>
        </w:rPr>
        <w:t>يحويك</w:t>
      </w:r>
      <w:proofErr w:type="spellEnd"/>
      <w:r w:rsidRPr="00A52585">
        <w:rPr>
          <w:rFonts w:hint="cs"/>
          <w:rtl/>
        </w:rPr>
        <w:t xml:space="preserve"> مكان</w:t>
      </w:r>
      <w:r w:rsidR="0002035C" w:rsidRPr="00A52585">
        <w:rPr>
          <w:rFonts w:hint="cs"/>
          <w:rtl/>
        </w:rPr>
        <w:t>)</w:t>
      </w:r>
      <w:r w:rsidRPr="00A52585">
        <w:rPr>
          <w:rFonts w:hint="cs"/>
          <w:rtl/>
        </w:rPr>
        <w:t xml:space="preserve"> إتحاف السادة المتقين (4</w:t>
      </w:r>
      <w:r w:rsidR="0002035C" w:rsidRPr="00A52585">
        <w:rPr>
          <w:rFonts w:hint="cs"/>
          <w:rtl/>
        </w:rPr>
        <w:t xml:space="preserve">: </w:t>
      </w:r>
      <w:r w:rsidRPr="00A52585">
        <w:rPr>
          <w:rFonts w:hint="cs"/>
          <w:rtl/>
        </w:rPr>
        <w:t>380)</w:t>
      </w:r>
      <w:r w:rsidR="00DB731D" w:rsidRPr="00A52585">
        <w:rPr>
          <w:rFonts w:hint="cs"/>
          <w:rtl/>
        </w:rPr>
        <w:t>،</w:t>
      </w:r>
      <w:r w:rsidR="0002035C" w:rsidRPr="00A52585">
        <w:rPr>
          <w:rFonts w:hint="cs"/>
          <w:rtl/>
        </w:rPr>
        <w:t xml:space="preserve"> </w:t>
      </w:r>
      <w:r w:rsidRPr="00A52585">
        <w:rPr>
          <w:rFonts w:hint="cs"/>
          <w:rtl/>
        </w:rPr>
        <w:t>5- وقال ايضاً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أنت الله الذي لا تحد فتكون محدودا</w:t>
      </w:r>
      <w:r w:rsidR="0002035C" w:rsidRPr="00A52585">
        <w:rPr>
          <w:rFonts w:hint="cs"/>
          <w:rtl/>
        </w:rPr>
        <w:t>)</w:t>
      </w:r>
      <w:r w:rsidRPr="00A52585">
        <w:rPr>
          <w:rFonts w:hint="cs"/>
          <w:rtl/>
        </w:rPr>
        <w:t xml:space="preserve"> إتحاف السادة المتقين (4</w:t>
      </w:r>
      <w:r w:rsidR="0002035C" w:rsidRPr="00A52585">
        <w:rPr>
          <w:rFonts w:hint="cs"/>
          <w:rtl/>
        </w:rPr>
        <w:t xml:space="preserve">: </w:t>
      </w:r>
      <w:r w:rsidRPr="00A52585">
        <w:rPr>
          <w:rFonts w:hint="cs"/>
          <w:rtl/>
        </w:rPr>
        <w:t>380)</w:t>
      </w:r>
      <w:r w:rsidR="00DB731D" w:rsidRPr="00A52585">
        <w:rPr>
          <w:rFonts w:hint="cs"/>
          <w:rtl/>
        </w:rPr>
        <w:t>،</w:t>
      </w:r>
      <w:r w:rsidR="0002035C" w:rsidRPr="00A52585">
        <w:rPr>
          <w:rFonts w:hint="cs"/>
          <w:rtl/>
        </w:rPr>
        <w:t xml:space="preserve"> </w:t>
      </w:r>
      <w:r w:rsidRPr="00A52585">
        <w:rPr>
          <w:rFonts w:hint="cs"/>
          <w:rtl/>
        </w:rPr>
        <w:t>6- وقال الإمام أبو حنيفة النعمان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أرأيت لو قيل أين الله تعالى</w:t>
      </w:r>
      <w:r w:rsidR="00F95886" w:rsidRPr="00A52585">
        <w:rPr>
          <w:rFonts w:hint="cs"/>
          <w:rtl/>
        </w:rPr>
        <w:t>؟</w:t>
      </w:r>
      <w:r w:rsidRPr="00A52585">
        <w:rPr>
          <w:rFonts w:hint="cs"/>
          <w:rtl/>
        </w:rPr>
        <w:t xml:space="preserve"> فقال - أي أبو حنيفة</w:t>
      </w:r>
      <w:r w:rsidR="0002035C" w:rsidRPr="00A52585">
        <w:rPr>
          <w:rFonts w:hint="cs"/>
          <w:rtl/>
        </w:rPr>
        <w:t>:</w:t>
      </w:r>
      <w:r w:rsidRPr="00A52585">
        <w:rPr>
          <w:rFonts w:hint="cs"/>
          <w:rtl/>
        </w:rPr>
        <w:t xml:space="preserve"> يقال له كان الله تعالى ولا مكان قبل أن يخلق الخلق</w:t>
      </w:r>
      <w:r w:rsidR="00DB731D" w:rsidRPr="00A52585">
        <w:rPr>
          <w:rFonts w:hint="cs"/>
          <w:rtl/>
        </w:rPr>
        <w:t>،</w:t>
      </w:r>
      <w:r w:rsidRPr="00A52585">
        <w:rPr>
          <w:rFonts w:hint="cs"/>
          <w:rtl/>
        </w:rPr>
        <w:t xml:space="preserve"> وكان الله تعالى ولم يكن أين ولا خلق ولا شيء</w:t>
      </w:r>
      <w:r w:rsidR="00DB731D" w:rsidRPr="00A52585">
        <w:rPr>
          <w:rFonts w:hint="cs"/>
          <w:rtl/>
        </w:rPr>
        <w:t>،</w:t>
      </w:r>
      <w:r w:rsidRPr="00A52585">
        <w:rPr>
          <w:rFonts w:hint="cs"/>
          <w:rtl/>
        </w:rPr>
        <w:t xml:space="preserve"> وهو خالق كل شيء</w:t>
      </w:r>
      <w:r w:rsidR="0002035C" w:rsidRPr="00A52585">
        <w:rPr>
          <w:rFonts w:hint="cs"/>
          <w:rtl/>
        </w:rPr>
        <w:t>)</w:t>
      </w:r>
      <w:r w:rsidRPr="00A52585">
        <w:rPr>
          <w:rFonts w:hint="cs"/>
          <w:rtl/>
        </w:rPr>
        <w:t xml:space="preserve"> الفقه الأبسط ضمن مجموعة رسائل أبي حنيفة بتحقيق الكوثري (ص 25)</w:t>
      </w:r>
      <w:r w:rsidR="00DB731D" w:rsidRPr="00A52585">
        <w:rPr>
          <w:rFonts w:hint="cs"/>
          <w:rtl/>
        </w:rPr>
        <w:t>،</w:t>
      </w:r>
      <w:r w:rsidRPr="00A52585">
        <w:rPr>
          <w:rFonts w:hint="cs"/>
          <w:rtl/>
        </w:rPr>
        <w:t xml:space="preserve"> ونقل ذلك أيضا المحدث الفقيه الشيخ عبد الله </w:t>
      </w:r>
      <w:proofErr w:type="spellStart"/>
      <w:r w:rsidRPr="00A52585">
        <w:rPr>
          <w:rFonts w:hint="cs"/>
          <w:rtl/>
        </w:rPr>
        <w:t>الهرري</w:t>
      </w:r>
      <w:proofErr w:type="spellEnd"/>
      <w:r w:rsidRPr="00A52585">
        <w:rPr>
          <w:rFonts w:hint="cs"/>
          <w:rtl/>
        </w:rPr>
        <w:t xml:space="preserve"> في كتابه الدليل القويم (ص54)</w:t>
      </w:r>
      <w:r w:rsidR="00DB731D" w:rsidRPr="00A52585">
        <w:rPr>
          <w:rFonts w:hint="cs"/>
          <w:rtl/>
        </w:rPr>
        <w:t>،</w:t>
      </w:r>
      <w:r w:rsidR="0002035C" w:rsidRPr="00A52585">
        <w:rPr>
          <w:rFonts w:hint="cs"/>
          <w:rtl/>
        </w:rPr>
        <w:t xml:space="preserve"> </w:t>
      </w:r>
      <w:r w:rsidRPr="00A52585">
        <w:rPr>
          <w:rFonts w:hint="cs"/>
          <w:rtl/>
        </w:rPr>
        <w:t>7- وقال أيضا</w:t>
      </w:r>
      <w:r w:rsidR="0002035C" w:rsidRPr="00A52585">
        <w:rPr>
          <w:rFonts w:hint="cs"/>
          <w:rtl/>
        </w:rPr>
        <w:t>: (</w:t>
      </w:r>
      <w:r w:rsidRPr="00A52585">
        <w:rPr>
          <w:rFonts w:hint="cs"/>
          <w:rtl/>
        </w:rPr>
        <w:t>ونقر بأن الله سبحانه وتعالى على العرش استوى من غير أن يكون له حاجة إليه واستقرار عليه</w:t>
      </w:r>
      <w:r w:rsidR="00DB731D" w:rsidRPr="00A52585">
        <w:rPr>
          <w:rFonts w:hint="cs"/>
          <w:rtl/>
        </w:rPr>
        <w:t>،</w:t>
      </w:r>
      <w:r w:rsidRPr="00A52585">
        <w:rPr>
          <w:rFonts w:hint="cs"/>
          <w:rtl/>
        </w:rPr>
        <w:t xml:space="preserve"> وهو حافظ العرش وغير العرش من غير احتياج</w:t>
      </w:r>
      <w:r w:rsidR="00DB731D" w:rsidRPr="00A52585">
        <w:rPr>
          <w:rFonts w:hint="cs"/>
          <w:rtl/>
        </w:rPr>
        <w:t>،</w:t>
      </w:r>
      <w:r w:rsidRPr="00A52585">
        <w:rPr>
          <w:rFonts w:hint="cs"/>
          <w:rtl/>
        </w:rPr>
        <w:t xml:space="preserve"> فلو كان محتاجا لما قدر على إيجاد العالم وتدبيره كالمخلوقين</w:t>
      </w:r>
      <w:r w:rsidR="00DB731D" w:rsidRPr="00A52585">
        <w:rPr>
          <w:rFonts w:hint="cs"/>
          <w:rtl/>
        </w:rPr>
        <w:t>،</w:t>
      </w:r>
      <w:r w:rsidRPr="00A52585">
        <w:rPr>
          <w:rFonts w:hint="cs"/>
          <w:rtl/>
        </w:rPr>
        <w:t xml:space="preserve"> ولو كان محتاجا إلى الجلوس والقرار فقبل خلق العرش أين كان الله، تعالى الله عن ذلك علوا كبيرا</w:t>
      </w:r>
      <w:r w:rsidR="0002035C" w:rsidRPr="00A52585">
        <w:rPr>
          <w:rFonts w:hint="cs"/>
          <w:rtl/>
        </w:rPr>
        <w:t>)</w:t>
      </w:r>
      <w:r w:rsidRPr="00A52585">
        <w:rPr>
          <w:rFonts w:hint="cs"/>
          <w:rtl/>
        </w:rPr>
        <w:t xml:space="preserve"> كتاب الوصية</w:t>
      </w:r>
      <w:r w:rsidR="00DB731D" w:rsidRPr="00A52585">
        <w:rPr>
          <w:rFonts w:hint="cs"/>
          <w:rtl/>
        </w:rPr>
        <w:t>،</w:t>
      </w:r>
      <w:r w:rsidRPr="00A52585">
        <w:rPr>
          <w:rFonts w:hint="cs"/>
          <w:rtl/>
        </w:rPr>
        <w:t xml:space="preserve"> ضمن مجموعة رسائل أبي حنيفة بتحقيق الكوثري (ص</w:t>
      </w:r>
      <w:r w:rsidR="0002035C" w:rsidRPr="00A52585">
        <w:rPr>
          <w:rFonts w:hint="cs"/>
          <w:rtl/>
        </w:rPr>
        <w:t xml:space="preserve">: </w:t>
      </w:r>
      <w:r w:rsidRPr="00A52585">
        <w:rPr>
          <w:rFonts w:hint="cs"/>
          <w:rtl/>
        </w:rPr>
        <w:t xml:space="preserve">2)، وذكره الشيخ </w:t>
      </w:r>
      <w:proofErr w:type="spellStart"/>
      <w:r w:rsidRPr="00A52585">
        <w:rPr>
          <w:rFonts w:hint="cs"/>
          <w:rtl/>
        </w:rPr>
        <w:t>الهرري</w:t>
      </w:r>
      <w:proofErr w:type="spellEnd"/>
      <w:r w:rsidRPr="00A52585">
        <w:rPr>
          <w:rFonts w:hint="cs"/>
          <w:rtl/>
        </w:rPr>
        <w:t xml:space="preserve"> كذلك في كتابه السابق</w:t>
      </w:r>
      <w:r w:rsidR="00DB731D" w:rsidRPr="00A52585">
        <w:rPr>
          <w:rFonts w:hint="cs"/>
          <w:rtl/>
        </w:rPr>
        <w:t>،</w:t>
      </w:r>
      <w:r w:rsidR="0002035C" w:rsidRPr="00A52585">
        <w:rPr>
          <w:rFonts w:hint="cs"/>
          <w:rtl/>
        </w:rPr>
        <w:t xml:space="preserve"> </w:t>
      </w:r>
      <w:r w:rsidRPr="00A52585">
        <w:rPr>
          <w:rFonts w:hint="cs"/>
          <w:rtl/>
        </w:rPr>
        <w:t>8- وقال الإمام جعفر الصادق بن محمد الباقر بن زين العابدين علي بن الحسين رضوان الله عليهم ما نصه</w:t>
      </w:r>
      <w:r w:rsidR="0002035C" w:rsidRPr="00A52585">
        <w:rPr>
          <w:rFonts w:hint="cs"/>
          <w:rtl/>
        </w:rPr>
        <w:t>: (</w:t>
      </w:r>
      <w:r w:rsidRPr="00A52585">
        <w:rPr>
          <w:rFonts w:hint="cs"/>
          <w:rtl/>
        </w:rPr>
        <w:t>من زعم أن الله في شيء</w:t>
      </w:r>
      <w:r w:rsidR="00DB731D" w:rsidRPr="00A52585">
        <w:rPr>
          <w:rFonts w:hint="cs"/>
          <w:rtl/>
        </w:rPr>
        <w:t>،</w:t>
      </w:r>
      <w:r w:rsidRPr="00A52585">
        <w:rPr>
          <w:rFonts w:hint="cs"/>
          <w:rtl/>
        </w:rPr>
        <w:t xml:space="preserve"> أو من شيء</w:t>
      </w:r>
      <w:r w:rsidR="00DB731D" w:rsidRPr="00A52585">
        <w:rPr>
          <w:rFonts w:hint="cs"/>
          <w:rtl/>
        </w:rPr>
        <w:t>،</w:t>
      </w:r>
      <w:r w:rsidRPr="00A52585">
        <w:rPr>
          <w:rFonts w:hint="cs"/>
          <w:rtl/>
        </w:rPr>
        <w:t xml:space="preserve"> أو على شيء فقد أشرك</w:t>
      </w:r>
      <w:r w:rsidR="00897A24" w:rsidRPr="00A52585">
        <w:rPr>
          <w:rFonts w:hint="cs"/>
          <w:rtl/>
        </w:rPr>
        <w:t>.</w:t>
      </w:r>
      <w:r w:rsidRPr="00A52585">
        <w:rPr>
          <w:rFonts w:hint="cs"/>
          <w:rtl/>
        </w:rPr>
        <w:t xml:space="preserve"> إذ لو كان على شيء لكان محمولا، ولو كان في شيء لكان محصورا</w:t>
      </w:r>
      <w:r w:rsidR="00DB731D" w:rsidRPr="00A52585">
        <w:rPr>
          <w:rFonts w:hint="cs"/>
          <w:rtl/>
        </w:rPr>
        <w:t>،</w:t>
      </w:r>
      <w:r w:rsidRPr="00A52585">
        <w:rPr>
          <w:rFonts w:hint="cs"/>
          <w:rtl/>
        </w:rPr>
        <w:t xml:space="preserve"> ولو كان من شيء لكان محدثا - أي مخلوقا</w:t>
      </w:r>
      <w:r w:rsidR="0002035C" w:rsidRPr="00A52585">
        <w:rPr>
          <w:rFonts w:hint="cs"/>
          <w:rtl/>
        </w:rPr>
        <w:t>)</w:t>
      </w:r>
      <w:r w:rsidRPr="00A52585">
        <w:rPr>
          <w:rFonts w:hint="cs"/>
          <w:rtl/>
        </w:rPr>
        <w:t xml:space="preserve"> ذكره القشيري في رسالته المعروفة بالرسالة القشيرية (ص6)</w:t>
      </w:r>
      <w:r w:rsidR="00DB731D" w:rsidRPr="00A52585">
        <w:rPr>
          <w:rFonts w:hint="cs"/>
          <w:rtl/>
        </w:rPr>
        <w:t>،</w:t>
      </w:r>
      <w:r w:rsidR="0002035C" w:rsidRPr="00A52585">
        <w:rPr>
          <w:rFonts w:hint="cs"/>
          <w:rtl/>
        </w:rPr>
        <w:t xml:space="preserve"> </w:t>
      </w:r>
      <w:r w:rsidRPr="00A52585">
        <w:rPr>
          <w:rFonts w:hint="cs"/>
          <w:rtl/>
        </w:rPr>
        <w:t xml:space="preserve">9- وقال الإمام </w:t>
      </w:r>
      <w:r w:rsidRPr="00A52585">
        <w:rPr>
          <w:rFonts w:hint="cs"/>
          <w:rtl/>
        </w:rPr>
        <w:lastRenderedPageBreak/>
        <w:t>العز بن عبد السلام الشافعي في كتابه (حل الرموز) في بيان مراد أبي حنيفة ما نصه</w:t>
      </w:r>
      <w:r w:rsidR="0002035C" w:rsidRPr="00A52585">
        <w:rPr>
          <w:rFonts w:hint="cs"/>
          <w:rtl/>
        </w:rPr>
        <w:t>: (</w:t>
      </w:r>
      <w:r w:rsidRPr="00A52585">
        <w:rPr>
          <w:rFonts w:hint="cs"/>
          <w:rtl/>
        </w:rPr>
        <w:t>لأن هذا القول يوهم أن للحق مكانا</w:t>
      </w:r>
      <w:r w:rsidR="00DB731D" w:rsidRPr="00A52585">
        <w:rPr>
          <w:rFonts w:hint="cs"/>
          <w:rtl/>
        </w:rPr>
        <w:t>،</w:t>
      </w:r>
      <w:r w:rsidRPr="00A52585">
        <w:rPr>
          <w:rFonts w:hint="cs"/>
          <w:rtl/>
        </w:rPr>
        <w:t xml:space="preserve"> ومن توهم أن للحق مكانا فهو مشبه</w:t>
      </w:r>
      <w:r w:rsidR="0002035C" w:rsidRPr="00A52585">
        <w:rPr>
          <w:rFonts w:hint="cs"/>
          <w:rtl/>
        </w:rPr>
        <w:t>)</w:t>
      </w:r>
      <w:r w:rsidRPr="00A52585">
        <w:rPr>
          <w:rFonts w:hint="cs"/>
          <w:rtl/>
        </w:rPr>
        <w:t xml:space="preserve"> نقله ملا علي القاري في شرح الفقه الأكبر بعد أن انتهى من شرح رسالة الفقه الأكبر (ص 198)</w:t>
      </w:r>
      <w:r w:rsidR="00DB731D" w:rsidRPr="00A52585">
        <w:rPr>
          <w:rFonts w:hint="cs"/>
          <w:rtl/>
        </w:rPr>
        <w:t>،</w:t>
      </w:r>
      <w:r w:rsidR="0002035C" w:rsidRPr="00A52585">
        <w:rPr>
          <w:rFonts w:hint="cs"/>
          <w:rtl/>
        </w:rPr>
        <w:t xml:space="preserve"> </w:t>
      </w:r>
      <w:r w:rsidRPr="00A52585">
        <w:rPr>
          <w:rFonts w:hint="cs"/>
          <w:rtl/>
        </w:rPr>
        <w:t>10- وأيد ملا علي القاري كلام ابن عبد السلام فقال</w:t>
      </w:r>
      <w:r w:rsidR="0002035C" w:rsidRPr="00A52585">
        <w:rPr>
          <w:rFonts w:hint="cs"/>
          <w:rtl/>
        </w:rPr>
        <w:t>: (</w:t>
      </w:r>
      <w:r w:rsidRPr="00A52585">
        <w:rPr>
          <w:rFonts w:hint="cs"/>
          <w:rtl/>
        </w:rPr>
        <w:t>ولا شك أن ابن عبد السلام من أجل العلماء وأوثقهم</w:t>
      </w:r>
      <w:r w:rsidR="00DB731D" w:rsidRPr="00A52585">
        <w:rPr>
          <w:rFonts w:hint="cs"/>
          <w:rtl/>
        </w:rPr>
        <w:t>،</w:t>
      </w:r>
      <w:r w:rsidRPr="00A52585">
        <w:rPr>
          <w:rFonts w:hint="cs"/>
          <w:rtl/>
        </w:rPr>
        <w:t xml:space="preserve"> فيجب الاعتماد على نقله</w:t>
      </w:r>
      <w:r w:rsidR="0002035C" w:rsidRPr="00A52585">
        <w:rPr>
          <w:rFonts w:hint="cs"/>
          <w:rtl/>
        </w:rPr>
        <w:t>)</w:t>
      </w:r>
      <w:r w:rsidRPr="00A52585">
        <w:rPr>
          <w:rFonts w:hint="cs"/>
          <w:rtl/>
        </w:rPr>
        <w:t xml:space="preserve"> نقله ملا علي القاري في شرح الفقه الأكبر بعد أن انتهى من شرح رسالة الفقه الأكبر (ص 198)</w:t>
      </w:r>
      <w:r w:rsidR="00DB731D" w:rsidRPr="00A52585">
        <w:rPr>
          <w:rFonts w:hint="cs"/>
          <w:rtl/>
        </w:rPr>
        <w:t>،</w:t>
      </w:r>
      <w:r w:rsidR="0002035C" w:rsidRPr="00A52585">
        <w:rPr>
          <w:rFonts w:hint="cs"/>
          <w:rtl/>
        </w:rPr>
        <w:t xml:space="preserve"> </w:t>
      </w:r>
      <w:r w:rsidRPr="00A52585">
        <w:rPr>
          <w:rFonts w:hint="cs"/>
          <w:rtl/>
        </w:rPr>
        <w:t>13- وقال الإمام محمد بن إدريس الشافعي رضي الله عنه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إنه تعالى كان ولا مكان فخلق المكان وهو على صفة الأزلية كما كان قبل خلقه المكان لا يجوز عليه التغيير في ذاته ولا التبديل في صفاته</w:t>
      </w:r>
      <w:r w:rsidR="0002035C" w:rsidRPr="00A52585">
        <w:rPr>
          <w:rFonts w:hint="cs"/>
          <w:rtl/>
        </w:rPr>
        <w:t>)</w:t>
      </w:r>
      <w:r w:rsidRPr="00A52585">
        <w:rPr>
          <w:rFonts w:hint="cs"/>
          <w:rtl/>
        </w:rPr>
        <w:t xml:space="preserve"> إتحاف السادة المتقن (2</w:t>
      </w:r>
      <w:r w:rsidR="0002035C" w:rsidRPr="00A52585">
        <w:rPr>
          <w:rFonts w:hint="cs"/>
          <w:rtl/>
        </w:rPr>
        <w:t xml:space="preserve">: </w:t>
      </w:r>
      <w:r w:rsidRPr="00A52585">
        <w:rPr>
          <w:rFonts w:hint="cs"/>
          <w:rtl/>
        </w:rPr>
        <w:t>24)</w:t>
      </w:r>
      <w:r w:rsidR="00DB731D" w:rsidRPr="00A52585">
        <w:rPr>
          <w:rFonts w:hint="cs"/>
          <w:rtl/>
        </w:rPr>
        <w:t>،</w:t>
      </w:r>
      <w:r w:rsidR="0002035C" w:rsidRPr="00A52585">
        <w:rPr>
          <w:rFonts w:hint="cs"/>
          <w:rtl/>
        </w:rPr>
        <w:t xml:space="preserve"> </w:t>
      </w:r>
      <w:r w:rsidRPr="00A52585">
        <w:rPr>
          <w:rFonts w:hint="cs"/>
          <w:rtl/>
        </w:rPr>
        <w:t>11- وقال الامام أحمد</w:t>
      </w:r>
      <w:r w:rsidR="00DB731D" w:rsidRPr="00A52585">
        <w:rPr>
          <w:rFonts w:hint="cs"/>
          <w:rtl/>
        </w:rPr>
        <w:t>،</w:t>
      </w:r>
      <w:r w:rsidRPr="00A52585">
        <w:rPr>
          <w:rFonts w:hint="cs"/>
          <w:rtl/>
        </w:rPr>
        <w:t xml:space="preserve"> فقد نقل ابو الفضل التميمي رئيس الحنابلة عن الامام احمد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كان يقول - أي الإمام أحمد - في معني الاستواء هو العلو والارتفاع ولم يزل الله عاليا رفيعا قبل أن يخلق عرشه فهو فوق كل شيء والعالي علي كل شيء وإنما خص الله العرش لمعني فيه مخالف لسائر الأشياء والعرش أفضل الأشياء وأرفعها فامتدح الله نفسه بأنه (علي العرش استوي) أي عليه علا ولا يجوز أن يقال استوي بمماسه ولا </w:t>
      </w:r>
      <w:proofErr w:type="spellStart"/>
      <w:r w:rsidRPr="00A52585">
        <w:rPr>
          <w:rFonts w:hint="cs"/>
          <w:rtl/>
        </w:rPr>
        <w:t>بملاقاه</w:t>
      </w:r>
      <w:proofErr w:type="spellEnd"/>
      <w:r w:rsidRPr="00A52585">
        <w:rPr>
          <w:rFonts w:hint="cs"/>
          <w:rtl/>
        </w:rPr>
        <w:t xml:space="preserve"> تعالي الله عن ذلك علوا كبيرا والله تعالي لم يلحقه تغيير ولا تبدل ولا تلحقه الحدود قبل خلق العرش ولا بعد خلق العرش</w:t>
      </w:r>
      <w:r w:rsidR="0002035C" w:rsidRPr="00A52585">
        <w:rPr>
          <w:rFonts w:hint="cs"/>
          <w:rtl/>
        </w:rPr>
        <w:t>)</w:t>
      </w:r>
      <w:r w:rsidRPr="00A52585">
        <w:rPr>
          <w:rFonts w:hint="cs"/>
          <w:rtl/>
        </w:rPr>
        <w:t xml:space="preserve"> انظر رساله التميمي في (2</w:t>
      </w:r>
      <w:r w:rsidR="0002035C" w:rsidRPr="00A52585">
        <w:rPr>
          <w:rFonts w:hint="cs"/>
          <w:rtl/>
        </w:rPr>
        <w:t>:</w:t>
      </w:r>
      <w:r w:rsidRPr="00A52585">
        <w:rPr>
          <w:rFonts w:hint="cs"/>
          <w:rtl/>
        </w:rPr>
        <w:t xml:space="preserve"> 265-290) طبقات </w:t>
      </w:r>
      <w:proofErr w:type="spellStart"/>
      <w:r w:rsidRPr="00A52585">
        <w:rPr>
          <w:rFonts w:hint="cs"/>
          <w:rtl/>
        </w:rPr>
        <w:t>الحنابله</w:t>
      </w:r>
      <w:proofErr w:type="spellEnd"/>
      <w:r w:rsidR="00DB731D" w:rsidRPr="00A52585">
        <w:rPr>
          <w:rFonts w:hint="cs"/>
          <w:rtl/>
        </w:rPr>
        <w:t>،</w:t>
      </w:r>
      <w:r w:rsidRPr="00A52585">
        <w:rPr>
          <w:rFonts w:hint="cs"/>
          <w:rtl/>
        </w:rPr>
        <w:t xml:space="preserve"> ثم قال التميمي في آخر رسالته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وهذا - أي المعتقد - وما شابهه محفوظ عنه - أي الإمام أحمد - وما خالف ذلك فكذب عليه و زور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12- وذكر الشيخ ابن حجر </w:t>
      </w:r>
      <w:proofErr w:type="spellStart"/>
      <w:r w:rsidRPr="00A52585">
        <w:rPr>
          <w:rFonts w:hint="cs"/>
          <w:rtl/>
        </w:rPr>
        <w:t>الهيتمي</w:t>
      </w:r>
      <w:proofErr w:type="spellEnd"/>
      <w:r w:rsidRPr="00A52585">
        <w:rPr>
          <w:rFonts w:hint="cs"/>
          <w:rtl/>
        </w:rPr>
        <w:t xml:space="preserve"> عن الامام احمد أنه كان من المنزهين لله تعالى عن الجهة والجسمية</w:t>
      </w:r>
      <w:r w:rsidR="00DB731D" w:rsidRPr="00A52585">
        <w:rPr>
          <w:rFonts w:hint="cs"/>
          <w:rtl/>
        </w:rPr>
        <w:t>،</w:t>
      </w:r>
      <w:r w:rsidRPr="00A52585">
        <w:rPr>
          <w:rFonts w:hint="cs"/>
          <w:rtl/>
        </w:rPr>
        <w:t xml:space="preserve"> ثم قال ابن حجر ما نصه</w:t>
      </w:r>
      <w:r w:rsidR="0002035C" w:rsidRPr="00A52585">
        <w:rPr>
          <w:rFonts w:hint="cs"/>
          <w:rtl/>
        </w:rPr>
        <w:t>: (</w:t>
      </w:r>
      <w:r w:rsidRPr="00A52585">
        <w:rPr>
          <w:rFonts w:hint="cs"/>
          <w:rtl/>
        </w:rPr>
        <w:t>وما اشتهر بين جهلة المنسوبين إلى هذا الإمام الأعظم المجتهد من أنه قائل بشيء سن الجهة أو نحوها فكذب وبهتان وافتراء عليه</w:t>
      </w:r>
      <w:r w:rsidR="0002035C" w:rsidRPr="00A52585">
        <w:rPr>
          <w:rFonts w:hint="cs"/>
          <w:rtl/>
        </w:rPr>
        <w:t>)</w:t>
      </w:r>
      <w:r w:rsidRPr="00A52585">
        <w:rPr>
          <w:rFonts w:hint="cs"/>
          <w:rtl/>
        </w:rPr>
        <w:t xml:space="preserve"> الفتاوى الحديثية (ص144)</w:t>
      </w:r>
      <w:r w:rsidR="00DB731D" w:rsidRPr="00A52585">
        <w:rPr>
          <w:rFonts w:hint="cs"/>
          <w:rtl/>
        </w:rPr>
        <w:t>،</w:t>
      </w:r>
      <w:r w:rsidR="0002035C" w:rsidRPr="00A52585">
        <w:rPr>
          <w:rFonts w:hint="cs"/>
          <w:rtl/>
        </w:rPr>
        <w:t xml:space="preserve"> </w:t>
      </w:r>
      <w:r w:rsidRPr="00A52585">
        <w:rPr>
          <w:rFonts w:hint="cs"/>
          <w:rtl/>
        </w:rPr>
        <w:t>13- والإمام البخاري رحمه كان منزها</w:t>
      </w:r>
      <w:r w:rsidR="00DB731D" w:rsidRPr="00A52585">
        <w:rPr>
          <w:rFonts w:hint="cs"/>
          <w:rtl/>
        </w:rPr>
        <w:t>،</w:t>
      </w:r>
      <w:r w:rsidRPr="00A52585">
        <w:rPr>
          <w:rFonts w:hint="cs"/>
          <w:rtl/>
        </w:rPr>
        <w:t xml:space="preserve"> فقد فهم شراح صحيحه أن البخاري كان ينزه الله عن المكان والجهة</w:t>
      </w:r>
      <w:r w:rsidR="00DB731D" w:rsidRPr="00A52585">
        <w:rPr>
          <w:rFonts w:hint="cs"/>
          <w:rtl/>
        </w:rPr>
        <w:t>،</w:t>
      </w:r>
      <w:r w:rsidRPr="00A52585">
        <w:rPr>
          <w:rFonts w:hint="cs"/>
          <w:rtl/>
        </w:rPr>
        <w:t xml:space="preserve"> قال الشيخ علي بن خلف المالكي المشهور بابن بطال أحد شراح البخاري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w:t>
      </w:r>
      <w:r w:rsidR="00DB731D" w:rsidRPr="00A52585">
        <w:rPr>
          <w:rFonts w:hint="cs"/>
          <w:rtl/>
        </w:rPr>
        <w:t>،</w:t>
      </w:r>
      <w:r w:rsidRPr="00A52585">
        <w:rPr>
          <w:rFonts w:hint="cs"/>
          <w:rtl/>
        </w:rPr>
        <w:t xml:space="preserve"> وانما أضاف المعارج إليه إضافة تشريف</w:t>
      </w:r>
      <w:r w:rsidR="00DB731D" w:rsidRPr="00A52585">
        <w:rPr>
          <w:rFonts w:hint="cs"/>
          <w:rtl/>
        </w:rPr>
        <w:t>،</w:t>
      </w:r>
      <w:r w:rsidRPr="00A52585">
        <w:rPr>
          <w:rFonts w:hint="cs"/>
          <w:rtl/>
        </w:rPr>
        <w:t xml:space="preserve"> ومعنى الارتفاع إليه اعتلاؤه - أي تعاليه - مع تنزيهه عن المكان</w:t>
      </w:r>
      <w:r w:rsidR="0002035C" w:rsidRPr="00A52585">
        <w:rPr>
          <w:rFonts w:hint="cs"/>
          <w:rtl/>
        </w:rPr>
        <w:t>)</w:t>
      </w:r>
      <w:r w:rsidRPr="00A52585">
        <w:rPr>
          <w:rFonts w:hint="cs"/>
          <w:rtl/>
        </w:rPr>
        <w:t xml:space="preserve"> فتح الباري (13</w:t>
      </w:r>
      <w:r w:rsidR="0002035C" w:rsidRPr="00A52585">
        <w:rPr>
          <w:rFonts w:hint="cs"/>
          <w:rtl/>
        </w:rPr>
        <w:t>:</w:t>
      </w:r>
      <w:r w:rsidRPr="00A52585">
        <w:rPr>
          <w:rFonts w:hint="cs"/>
          <w:rtl/>
        </w:rPr>
        <w:t xml:space="preserve"> 416)</w:t>
      </w:r>
      <w:r w:rsidR="00DB731D" w:rsidRPr="00A52585">
        <w:rPr>
          <w:rFonts w:hint="cs"/>
          <w:rtl/>
        </w:rPr>
        <w:t>،</w:t>
      </w:r>
      <w:r w:rsidR="0002035C" w:rsidRPr="00A52585">
        <w:rPr>
          <w:rFonts w:hint="cs"/>
          <w:rtl/>
        </w:rPr>
        <w:t xml:space="preserve"> </w:t>
      </w:r>
      <w:r w:rsidRPr="00A52585">
        <w:rPr>
          <w:rFonts w:hint="cs"/>
          <w:rtl/>
        </w:rPr>
        <w:t>14- وقال الامام ابن المنيِّر المالكي (695 هـ) ما نصه</w:t>
      </w:r>
      <w:r w:rsidR="0002035C" w:rsidRPr="00A52585">
        <w:rPr>
          <w:rFonts w:hint="cs"/>
          <w:rtl/>
        </w:rPr>
        <w:t>: (</w:t>
      </w:r>
      <w:r w:rsidRPr="00A52585">
        <w:rPr>
          <w:rFonts w:hint="cs"/>
          <w:rtl/>
        </w:rPr>
        <w:t>جميع الأحاديث في هذه الترجمة مطابقة لها إلا حديث ابن عباس فليس فيه إلا قوله "رب العرش" ومطابقته</w:t>
      </w:r>
      <w:r w:rsidR="00DB731D" w:rsidRPr="00A52585">
        <w:rPr>
          <w:rFonts w:hint="cs"/>
          <w:rtl/>
        </w:rPr>
        <w:t>،</w:t>
      </w:r>
      <w:r w:rsidRPr="00A52585">
        <w:rPr>
          <w:rFonts w:hint="cs"/>
          <w:rtl/>
        </w:rPr>
        <w:t xml:space="preserve"> والله أعلم من جهة أنه نبه على بطلان قول من أثبت الجهة </w:t>
      </w:r>
      <w:r w:rsidRPr="00A52585">
        <w:rPr>
          <w:rFonts w:hint="cs"/>
          <w:rtl/>
        </w:rPr>
        <w:lastRenderedPageBreak/>
        <w:t xml:space="preserve">أخذا من قوله </w:t>
      </w:r>
      <w:r w:rsidR="0002035C" w:rsidRPr="00A52585">
        <w:rPr>
          <w:rFonts w:hint="cs"/>
          <w:rtl/>
        </w:rPr>
        <w:t>(</w:t>
      </w:r>
      <w:r w:rsidRPr="00A52585">
        <w:rPr>
          <w:rFonts w:hint="cs"/>
          <w:rtl/>
        </w:rPr>
        <w:t>ذي المَعَارِجِ</w:t>
      </w:r>
      <w:r w:rsidR="0002035C" w:rsidRPr="00A52585">
        <w:rPr>
          <w:rFonts w:hint="cs"/>
          <w:rtl/>
        </w:rPr>
        <w:t>)</w:t>
      </w:r>
      <w:r w:rsidRPr="00A52585">
        <w:rPr>
          <w:rFonts w:hint="cs"/>
          <w:rtl/>
        </w:rPr>
        <w:t xml:space="preserve"> (سورة المعارج 3</w:t>
      </w:r>
      <w:r w:rsidR="0002035C" w:rsidRPr="00A52585">
        <w:rPr>
          <w:rFonts w:hint="cs"/>
          <w:rtl/>
        </w:rPr>
        <w:t>)</w:t>
      </w:r>
      <w:r w:rsidR="00DB731D" w:rsidRPr="00A52585">
        <w:rPr>
          <w:rFonts w:hint="cs"/>
          <w:rtl/>
        </w:rPr>
        <w:t>،</w:t>
      </w:r>
      <w:r w:rsidRPr="00A52585">
        <w:rPr>
          <w:rFonts w:hint="cs"/>
          <w:rtl/>
        </w:rPr>
        <w:t xml:space="preserve"> ففهم أن العلو الفوقي مضاف إلى الله تعالى</w:t>
      </w:r>
      <w:r w:rsidR="00DB731D" w:rsidRPr="00A52585">
        <w:rPr>
          <w:rFonts w:hint="cs"/>
          <w:rtl/>
        </w:rPr>
        <w:t>،</w:t>
      </w:r>
      <w:r w:rsidRPr="00A52585">
        <w:rPr>
          <w:rFonts w:hint="cs"/>
          <w:rtl/>
        </w:rPr>
        <w:t xml:space="preserve"> فبيَّن المصنف - يعني البخاري - أن الجهة التي يصدق عليها أنها سماء والجهة التي يصدق عليها أنها عرش</w:t>
      </w:r>
      <w:r w:rsidR="00DB731D" w:rsidRPr="00A52585">
        <w:rPr>
          <w:rFonts w:hint="cs"/>
          <w:rtl/>
        </w:rPr>
        <w:t>،</w:t>
      </w:r>
      <w:r w:rsidRPr="00A52585">
        <w:rPr>
          <w:rFonts w:hint="cs"/>
          <w:rtl/>
        </w:rPr>
        <w:t xml:space="preserve"> كل منهما مخلوق مربوب محدث</w:t>
      </w:r>
      <w:r w:rsidR="00DB731D" w:rsidRPr="00A52585">
        <w:rPr>
          <w:rFonts w:hint="cs"/>
          <w:rtl/>
        </w:rPr>
        <w:t>،</w:t>
      </w:r>
      <w:r w:rsidRPr="00A52585">
        <w:rPr>
          <w:rFonts w:hint="cs"/>
          <w:rtl/>
        </w:rPr>
        <w:t xml:space="preserve"> وقد كان الله قبل ذلك وغيره</w:t>
      </w:r>
      <w:r w:rsidR="00DB731D" w:rsidRPr="00A52585">
        <w:rPr>
          <w:rFonts w:hint="cs"/>
          <w:rtl/>
        </w:rPr>
        <w:t>،</w:t>
      </w:r>
      <w:r w:rsidRPr="00A52585">
        <w:rPr>
          <w:rFonts w:hint="cs"/>
          <w:rtl/>
        </w:rPr>
        <w:t xml:space="preserve"> فحدثت هذه الأمكنة</w:t>
      </w:r>
      <w:r w:rsidR="00DB731D" w:rsidRPr="00A52585">
        <w:rPr>
          <w:rFonts w:hint="cs"/>
          <w:rtl/>
        </w:rPr>
        <w:t>،</w:t>
      </w:r>
      <w:r w:rsidRPr="00A52585">
        <w:rPr>
          <w:rFonts w:hint="cs"/>
          <w:rtl/>
        </w:rPr>
        <w:t xml:space="preserve"> وقدمه يحيل وصفه بالتحيز فيها</w:t>
      </w:r>
      <w:r w:rsidR="0002035C" w:rsidRPr="00A52585">
        <w:rPr>
          <w:rFonts w:hint="cs"/>
          <w:rtl/>
        </w:rPr>
        <w:t>)</w:t>
      </w:r>
      <w:r w:rsidRPr="00A52585">
        <w:rPr>
          <w:rFonts w:hint="cs"/>
          <w:rtl/>
        </w:rPr>
        <w:t xml:space="preserve"> نقله عنه الحافظ ابن حجر فتح الباري (13</w:t>
      </w:r>
      <w:r w:rsidR="0002035C" w:rsidRPr="00A52585">
        <w:rPr>
          <w:rFonts w:hint="cs"/>
          <w:rtl/>
        </w:rPr>
        <w:t xml:space="preserve">: </w:t>
      </w:r>
      <w:r w:rsidRPr="00A52585">
        <w:rPr>
          <w:rFonts w:hint="cs"/>
          <w:rtl/>
        </w:rPr>
        <w:t>418 - 419).وأقره عليه</w:t>
      </w:r>
      <w:r w:rsidR="00DB731D" w:rsidRPr="00A52585">
        <w:rPr>
          <w:rFonts w:hint="cs"/>
          <w:rtl/>
        </w:rPr>
        <w:t>،</w:t>
      </w:r>
      <w:r w:rsidR="0002035C" w:rsidRPr="00A52585">
        <w:rPr>
          <w:rFonts w:hint="cs"/>
          <w:rtl/>
        </w:rPr>
        <w:t xml:space="preserve"> </w:t>
      </w:r>
      <w:r w:rsidRPr="00A52585">
        <w:rPr>
          <w:rFonts w:hint="cs"/>
          <w:rtl/>
        </w:rPr>
        <w:t>15- قال الامام الطبري رحمه الله</w:t>
      </w:r>
      <w:r w:rsidR="0002035C" w:rsidRPr="00A52585">
        <w:rPr>
          <w:rFonts w:hint="cs"/>
          <w:rtl/>
        </w:rPr>
        <w:t>: (</w:t>
      </w:r>
      <w:r w:rsidRPr="00A52585">
        <w:rPr>
          <w:rFonts w:hint="cs"/>
          <w:rtl/>
        </w:rPr>
        <w:t>.. فتبين إذا أن القديم بارئ الأشياء وصانعها هو الواحد الذي كان قبل كل شيء</w:t>
      </w:r>
      <w:r w:rsidR="00DB731D" w:rsidRPr="00A52585">
        <w:rPr>
          <w:rFonts w:hint="cs"/>
          <w:rtl/>
        </w:rPr>
        <w:t>،</w:t>
      </w:r>
      <w:r w:rsidRPr="00A52585">
        <w:rPr>
          <w:rFonts w:hint="cs"/>
          <w:rtl/>
        </w:rPr>
        <w:t xml:space="preserve"> وهو الكائن بعد كل شيء</w:t>
      </w:r>
      <w:r w:rsidR="00DB731D" w:rsidRPr="00A52585">
        <w:rPr>
          <w:rFonts w:hint="cs"/>
          <w:rtl/>
        </w:rPr>
        <w:t>،</w:t>
      </w:r>
      <w:r w:rsidRPr="00A52585">
        <w:rPr>
          <w:rFonts w:hint="cs"/>
          <w:rtl/>
        </w:rPr>
        <w:t xml:space="preserve"> والأول قبل كل شيء</w:t>
      </w:r>
      <w:r w:rsidR="00DB731D" w:rsidRPr="00A52585">
        <w:rPr>
          <w:rFonts w:hint="cs"/>
          <w:rtl/>
        </w:rPr>
        <w:t>،</w:t>
      </w:r>
      <w:r w:rsidRPr="00A52585">
        <w:rPr>
          <w:rFonts w:hint="cs"/>
          <w:rtl/>
        </w:rPr>
        <w:t xml:space="preserve"> والآخر بعد كل شيء، وأنه كان ولا وقت ولا زمان ولا ليل ولا نهار، ولا ظلمة ولا نور ولا سماء ولا أرض ولا شمس ولا قمر ولا نجوم</w:t>
      </w:r>
      <w:r w:rsidR="00DB731D" w:rsidRPr="00A52585">
        <w:rPr>
          <w:rFonts w:hint="cs"/>
          <w:rtl/>
        </w:rPr>
        <w:t>،</w:t>
      </w:r>
      <w:r w:rsidRPr="00A52585">
        <w:rPr>
          <w:rFonts w:hint="cs"/>
          <w:rtl/>
        </w:rPr>
        <w:t xml:space="preserve"> وأن كل شيء سواه محدث مدبر مصنوع، انفرد بخلق جميعه بغير شريك ولا معين ولا ظهير، سبحانه من قادر قاهر</w:t>
      </w:r>
      <w:r w:rsidR="0002035C" w:rsidRPr="00A52585">
        <w:rPr>
          <w:rFonts w:hint="cs"/>
          <w:rtl/>
        </w:rPr>
        <w:t>)</w:t>
      </w:r>
      <w:r w:rsidRPr="00A52585">
        <w:rPr>
          <w:rFonts w:hint="cs"/>
          <w:rtl/>
        </w:rPr>
        <w:t xml:space="preserve"> تاريخ الطبري (1</w:t>
      </w:r>
      <w:r w:rsidR="0002035C" w:rsidRPr="00A52585">
        <w:rPr>
          <w:rFonts w:hint="cs"/>
          <w:rtl/>
        </w:rPr>
        <w:t xml:space="preserve">: </w:t>
      </w:r>
      <w:r w:rsidRPr="00A52585">
        <w:rPr>
          <w:rFonts w:hint="cs"/>
          <w:rtl/>
        </w:rPr>
        <w:t>26)</w:t>
      </w:r>
      <w:r w:rsidR="00DB731D" w:rsidRPr="00A52585">
        <w:rPr>
          <w:rFonts w:hint="cs"/>
          <w:rtl/>
        </w:rPr>
        <w:t>،</w:t>
      </w:r>
      <w:r w:rsidR="0002035C" w:rsidRPr="00A52585">
        <w:rPr>
          <w:rFonts w:hint="cs"/>
          <w:rtl/>
        </w:rPr>
        <w:t xml:space="preserve"> </w:t>
      </w:r>
      <w:r w:rsidRPr="00A52585">
        <w:rPr>
          <w:rFonts w:hint="cs"/>
          <w:rtl/>
        </w:rPr>
        <w:t>16- وقال أيضا عند تفسير قول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هُوَ الْأَوَّلُ وَالْآخِرُ وَالظَّاهِرُ وَالْبَاطِنُ</w:t>
      </w:r>
      <w:r w:rsidR="0002035C" w:rsidRPr="00A52585">
        <w:rPr>
          <w:rFonts w:hint="cs"/>
          <w:rtl/>
        </w:rPr>
        <w:t>}</w:t>
      </w:r>
      <w:r w:rsidRPr="00A52585">
        <w:rPr>
          <w:rFonts w:hint="cs"/>
          <w:rtl/>
        </w:rPr>
        <w:t xml:space="preserve"> (سورة الحديد</w:t>
      </w:r>
      <w:r w:rsidR="0002035C" w:rsidRPr="00A52585">
        <w:rPr>
          <w:rFonts w:hint="cs"/>
          <w:rtl/>
        </w:rPr>
        <w:t>:</w:t>
      </w:r>
      <w:r w:rsidRPr="00A52585">
        <w:rPr>
          <w:rFonts w:hint="cs"/>
          <w:rtl/>
        </w:rPr>
        <w:t xml:space="preserve"> 3) ما نصه</w:t>
      </w:r>
      <w:r w:rsidR="0002035C" w:rsidRPr="00A52585">
        <w:rPr>
          <w:rFonts w:hint="cs"/>
          <w:rtl/>
        </w:rPr>
        <w:t>:</w:t>
      </w:r>
      <w:r w:rsidRPr="00A52585">
        <w:rPr>
          <w:rFonts w:hint="cs"/>
          <w:rtl/>
        </w:rPr>
        <w:t xml:space="preserve"> (لا شيء أقرب إلى شيء منه كما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وَنَحْنُ أَقْرَبُ إِلَيْهِ مِنْ حَبْلِ الْوَرِيدِ</w:t>
      </w:r>
      <w:r w:rsidR="0002035C" w:rsidRPr="00A52585">
        <w:rPr>
          <w:rFonts w:hint="cs"/>
          <w:rtl/>
        </w:rPr>
        <w:t>}</w:t>
      </w:r>
      <w:r w:rsidRPr="00A52585">
        <w:rPr>
          <w:rFonts w:hint="cs"/>
          <w:rtl/>
        </w:rPr>
        <w:t xml:space="preserve"> سورة ق 16) جامع البيان </w:t>
      </w:r>
      <w:r w:rsidR="0002035C" w:rsidRPr="00A52585">
        <w:rPr>
          <w:rFonts w:hint="cs"/>
          <w:rtl/>
        </w:rPr>
        <w:t>(</w:t>
      </w:r>
      <w:r w:rsidRPr="00A52585">
        <w:rPr>
          <w:rFonts w:hint="cs"/>
          <w:rtl/>
        </w:rPr>
        <w:t>27</w:t>
      </w:r>
      <w:r w:rsidR="0002035C" w:rsidRPr="00A52585">
        <w:rPr>
          <w:rFonts w:hint="cs"/>
          <w:rtl/>
        </w:rPr>
        <w:t>:</w:t>
      </w:r>
      <w:r w:rsidRPr="00A52585">
        <w:rPr>
          <w:rFonts w:hint="cs"/>
          <w:rtl/>
        </w:rPr>
        <w:t xml:space="preserve"> 215)</w:t>
      </w:r>
      <w:r w:rsidR="00DB731D" w:rsidRPr="00A52585">
        <w:rPr>
          <w:rFonts w:hint="cs"/>
          <w:rtl/>
        </w:rPr>
        <w:t>،</w:t>
      </w:r>
      <w:r w:rsidR="0002035C" w:rsidRPr="00A52585">
        <w:rPr>
          <w:rFonts w:hint="cs"/>
          <w:rtl/>
        </w:rPr>
        <w:t xml:space="preserve"> </w:t>
      </w:r>
      <w:r w:rsidRPr="00A52585">
        <w:rPr>
          <w:rFonts w:hint="cs"/>
          <w:rtl/>
        </w:rPr>
        <w:t>17- وقال اللغوي إبراهيم بن السري الزجاج أحد مشاهير اللغويين (311 هـ) ما نصه</w:t>
      </w:r>
      <w:r w:rsidR="0002035C" w:rsidRPr="00A52585">
        <w:rPr>
          <w:rFonts w:hint="cs"/>
          <w:rtl/>
        </w:rPr>
        <w:t>: (</w:t>
      </w:r>
      <w:r w:rsidRPr="00A52585">
        <w:rPr>
          <w:rFonts w:hint="cs"/>
          <w:rtl/>
        </w:rPr>
        <w:t>العلي</w:t>
      </w:r>
      <w:r w:rsidR="0002035C" w:rsidRPr="00A52585">
        <w:rPr>
          <w:rFonts w:hint="cs"/>
          <w:rtl/>
        </w:rPr>
        <w:t>:</w:t>
      </w:r>
      <w:r w:rsidRPr="00A52585">
        <w:rPr>
          <w:rFonts w:hint="cs"/>
          <w:rtl/>
        </w:rPr>
        <w:t xml:space="preserve"> هو فعيل في معنى فاعل</w:t>
      </w:r>
      <w:r w:rsidR="00DB731D" w:rsidRPr="00A52585">
        <w:rPr>
          <w:rFonts w:hint="cs"/>
          <w:rtl/>
        </w:rPr>
        <w:t>،</w:t>
      </w:r>
      <w:r w:rsidRPr="00A52585">
        <w:rPr>
          <w:rFonts w:hint="cs"/>
          <w:rtl/>
        </w:rPr>
        <w:t xml:space="preserve"> فالله تعالى عال على خلقه وهو عليٌّ عليهم بقدرته</w:t>
      </w:r>
      <w:r w:rsidR="00DB731D" w:rsidRPr="00A52585">
        <w:rPr>
          <w:rFonts w:hint="cs"/>
          <w:rtl/>
        </w:rPr>
        <w:t>،</w:t>
      </w:r>
      <w:r w:rsidRPr="00A52585">
        <w:rPr>
          <w:rFonts w:hint="cs"/>
          <w:rtl/>
        </w:rPr>
        <w:t xml:space="preserve"> ولا يجب أن يذهب بالعلو ارتفاع مكاني</w:t>
      </w:r>
      <w:r w:rsidR="00DB731D" w:rsidRPr="00A52585">
        <w:rPr>
          <w:rFonts w:hint="cs"/>
          <w:rtl/>
        </w:rPr>
        <w:t>،</w:t>
      </w:r>
      <w:r w:rsidRPr="00A52585">
        <w:rPr>
          <w:rFonts w:hint="cs"/>
          <w:rtl/>
        </w:rPr>
        <w:t xml:space="preserve"> إذ قد بينا أن ذلك لا يجوز في صفاته تقدست</w:t>
      </w:r>
      <w:r w:rsidR="00DB731D" w:rsidRPr="00A52585">
        <w:rPr>
          <w:rFonts w:hint="cs"/>
          <w:rtl/>
        </w:rPr>
        <w:t>،</w:t>
      </w:r>
      <w:r w:rsidRPr="00A52585">
        <w:rPr>
          <w:rFonts w:hint="cs"/>
          <w:rtl/>
        </w:rPr>
        <w:t xml:space="preserve"> ولا يجوز أن يكون على أن يتصور بذهن</w:t>
      </w:r>
      <w:r w:rsidR="00DB731D" w:rsidRPr="00A52585">
        <w:rPr>
          <w:rFonts w:hint="cs"/>
          <w:rtl/>
        </w:rPr>
        <w:t>،</w:t>
      </w:r>
      <w:r w:rsidRPr="00A52585">
        <w:rPr>
          <w:rFonts w:hint="cs"/>
          <w:rtl/>
        </w:rPr>
        <w:t xml:space="preserve"> تعالى الله عن ذلك علوا كبيرا</w:t>
      </w:r>
      <w:r w:rsidR="0002035C" w:rsidRPr="00A52585">
        <w:rPr>
          <w:rFonts w:hint="cs"/>
          <w:rtl/>
        </w:rPr>
        <w:t>)</w:t>
      </w:r>
      <w:r w:rsidRPr="00A52585">
        <w:rPr>
          <w:rFonts w:hint="cs"/>
          <w:rtl/>
        </w:rPr>
        <w:t xml:space="preserve"> تفسير أسماء الله الحسنى (ص 48)</w:t>
      </w:r>
      <w:r w:rsidR="00DB731D" w:rsidRPr="00A52585">
        <w:rPr>
          <w:rFonts w:hint="cs"/>
          <w:rtl/>
        </w:rPr>
        <w:t>،</w:t>
      </w:r>
      <w:r w:rsidR="0002035C" w:rsidRPr="00A52585">
        <w:rPr>
          <w:rFonts w:hint="cs"/>
          <w:rtl/>
        </w:rPr>
        <w:t xml:space="preserve"> </w:t>
      </w:r>
      <w:r w:rsidRPr="00A52585">
        <w:rPr>
          <w:rFonts w:hint="cs"/>
          <w:rtl/>
        </w:rPr>
        <w:t>18-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والله تعالى عال على كل شيء، وليس المراد بالعلو</w:t>
      </w:r>
      <w:r w:rsidR="0002035C" w:rsidRPr="00A52585">
        <w:rPr>
          <w:rFonts w:hint="cs"/>
          <w:rtl/>
        </w:rPr>
        <w:t>:</w:t>
      </w:r>
      <w:r w:rsidRPr="00A52585">
        <w:rPr>
          <w:rFonts w:hint="cs"/>
          <w:rtl/>
        </w:rPr>
        <w:t xml:space="preserve"> ارتفاع المحلِّ، لأن الله تعالى يجل عن المحل والمكان، وإنما العلو علو الشأن وارتفاع السلطان</w:t>
      </w:r>
      <w:r w:rsidR="0002035C" w:rsidRPr="00A52585">
        <w:rPr>
          <w:rFonts w:hint="cs"/>
          <w:rtl/>
        </w:rPr>
        <w:t>)</w:t>
      </w:r>
      <w:r w:rsidRPr="00A52585">
        <w:rPr>
          <w:rFonts w:hint="cs"/>
          <w:rtl/>
        </w:rPr>
        <w:t xml:space="preserve"> تفسير أسماء الله الحسنى (ص 60</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19- وقال الامام الطحاوي في متن عقيدته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وتعالى - أي الله - عن الحدود والغايات والأركان والأعضاء والأدوات</w:t>
      </w:r>
      <w:r w:rsidR="00DB731D" w:rsidRPr="00A52585">
        <w:rPr>
          <w:rFonts w:hint="cs"/>
          <w:rtl/>
        </w:rPr>
        <w:t>،</w:t>
      </w:r>
      <w:r w:rsidRPr="00A52585">
        <w:rPr>
          <w:rFonts w:hint="cs"/>
          <w:rtl/>
        </w:rPr>
        <w:t xml:space="preserve"> لا تحويه الجهات الست كسائر المبتدعات</w:t>
      </w:r>
      <w:r w:rsidR="0002035C" w:rsidRPr="00A52585">
        <w:rPr>
          <w:rFonts w:hint="cs"/>
          <w:rtl/>
        </w:rPr>
        <w:t>)</w:t>
      </w:r>
      <w:r w:rsidRPr="00A52585">
        <w:rPr>
          <w:rFonts w:hint="cs"/>
          <w:rtl/>
        </w:rPr>
        <w:t xml:space="preserve"> انظر متن العقيدة الطحاوية</w:t>
      </w:r>
      <w:r w:rsidR="00DB731D" w:rsidRPr="00A52585">
        <w:rPr>
          <w:rFonts w:hint="cs"/>
          <w:rtl/>
        </w:rPr>
        <w:t>،</w:t>
      </w:r>
      <w:r w:rsidR="0002035C" w:rsidRPr="00A52585">
        <w:rPr>
          <w:rFonts w:hint="cs"/>
          <w:rtl/>
        </w:rPr>
        <w:t xml:space="preserve"> </w:t>
      </w:r>
      <w:r w:rsidRPr="00A52585">
        <w:rPr>
          <w:rFonts w:hint="cs"/>
          <w:rtl/>
        </w:rPr>
        <w:t>20- وقال إمام أهل السنة أبو الحسن الأشعري (324 هـ) رحمه الله ما نصه</w:t>
      </w:r>
      <w:r w:rsidR="0002035C" w:rsidRPr="00A52585">
        <w:rPr>
          <w:rFonts w:hint="cs"/>
          <w:rtl/>
        </w:rPr>
        <w:t>: (</w:t>
      </w:r>
      <w:r w:rsidRPr="00A52585">
        <w:rPr>
          <w:rFonts w:hint="cs"/>
          <w:rtl/>
        </w:rPr>
        <w:t>كان الله ولا مكان فخلق العرش والكرسي ولم يحتج إلى مكان</w:t>
      </w:r>
      <w:r w:rsidR="00DB731D" w:rsidRPr="00A52585">
        <w:rPr>
          <w:rFonts w:hint="cs"/>
          <w:rtl/>
        </w:rPr>
        <w:t>،</w:t>
      </w:r>
      <w:r w:rsidRPr="00A52585">
        <w:rPr>
          <w:rFonts w:hint="cs"/>
          <w:rtl/>
        </w:rPr>
        <w:t xml:space="preserve"> وهو بعد خلق المكان كما كان قبل خلقه</w:t>
      </w:r>
      <w:r w:rsidR="0002035C" w:rsidRPr="00A52585">
        <w:rPr>
          <w:rFonts w:hint="cs"/>
          <w:rtl/>
        </w:rPr>
        <w:t>)</w:t>
      </w:r>
      <w:r w:rsidRPr="00A52585">
        <w:rPr>
          <w:rFonts w:hint="cs"/>
          <w:rtl/>
        </w:rPr>
        <w:t xml:space="preserve"> أي بلا مكان ومن غير احتياج إلى العرش والكرسي</w:t>
      </w:r>
      <w:r w:rsidR="00DB731D" w:rsidRPr="00A52585">
        <w:rPr>
          <w:rFonts w:hint="cs"/>
          <w:rtl/>
        </w:rPr>
        <w:t>،</w:t>
      </w:r>
      <w:r w:rsidRPr="00A52585">
        <w:rPr>
          <w:rFonts w:hint="cs"/>
          <w:rtl/>
        </w:rPr>
        <w:t xml:space="preserve"> نقل ذلك عنه الحافظ ابن عساكر نقلا عن القاضي أبي المعالي الجويني أنظر تبيين كذب المفتري (ص 150)</w:t>
      </w:r>
      <w:r w:rsidR="00DB731D" w:rsidRPr="00A52585">
        <w:rPr>
          <w:rFonts w:hint="cs"/>
          <w:rtl/>
        </w:rPr>
        <w:t>،</w:t>
      </w:r>
      <w:r w:rsidR="0002035C" w:rsidRPr="00A52585">
        <w:rPr>
          <w:rFonts w:hint="cs"/>
          <w:rtl/>
        </w:rPr>
        <w:t xml:space="preserve"> </w:t>
      </w:r>
      <w:r w:rsidRPr="00A52585">
        <w:rPr>
          <w:rFonts w:hint="cs"/>
          <w:rtl/>
        </w:rPr>
        <w:t>21- وقال أيضا ما نصه</w:t>
      </w:r>
      <w:r w:rsidR="0002035C" w:rsidRPr="00A52585">
        <w:rPr>
          <w:rFonts w:hint="cs"/>
          <w:rtl/>
        </w:rPr>
        <w:t>: (</w:t>
      </w:r>
      <w:r w:rsidRPr="00A52585">
        <w:rPr>
          <w:rFonts w:hint="cs"/>
          <w:rtl/>
        </w:rPr>
        <w:t>فأما الحركة والسكون والكلام فيهما فاصلهما موجود في القرءان وهما يدلان على التوحيد</w:t>
      </w:r>
      <w:r w:rsidR="00DB731D" w:rsidRPr="00A52585">
        <w:rPr>
          <w:rFonts w:hint="cs"/>
          <w:rtl/>
        </w:rPr>
        <w:t>،</w:t>
      </w:r>
      <w:r w:rsidRPr="00A52585">
        <w:rPr>
          <w:rFonts w:hint="cs"/>
          <w:rtl/>
        </w:rPr>
        <w:t xml:space="preserve"> وكذلك الاجتماع والافتراق</w:t>
      </w:r>
      <w:r w:rsidR="00DB731D" w:rsidRPr="00A52585">
        <w:rPr>
          <w:rFonts w:hint="cs"/>
          <w:rtl/>
        </w:rPr>
        <w:t>،</w:t>
      </w:r>
      <w:r w:rsidRPr="00A52585">
        <w:rPr>
          <w:rFonts w:hint="cs"/>
          <w:rtl/>
        </w:rPr>
        <w:t xml:space="preserve"> قال الله تعالى مخبرا عن خليله إبراهيم صلوات الله عليه وسلامه –</w:t>
      </w:r>
      <w:r w:rsidR="0002035C" w:rsidRPr="00A52585">
        <w:rPr>
          <w:rFonts w:hint="cs"/>
          <w:rtl/>
        </w:rPr>
        <w:t>(</w:t>
      </w:r>
      <w:r w:rsidRPr="00A52585">
        <w:rPr>
          <w:rFonts w:hint="cs"/>
          <w:rtl/>
        </w:rPr>
        <w:t>لَمَّا أَفَلَ قَالَ لا أُحِبُّ الآفِلِينَ) (الانعام</w:t>
      </w:r>
      <w:r w:rsidR="0002035C" w:rsidRPr="00A52585">
        <w:rPr>
          <w:rFonts w:hint="cs"/>
          <w:rtl/>
        </w:rPr>
        <w:t>:</w:t>
      </w:r>
      <w:r w:rsidRPr="00A52585">
        <w:rPr>
          <w:rFonts w:hint="cs"/>
          <w:rtl/>
        </w:rPr>
        <w:t xml:space="preserve"> 76) في قصة أفول الكوكب والشمس والقمر وتحريكها من </w:t>
      </w:r>
      <w:r w:rsidRPr="00A52585">
        <w:rPr>
          <w:rFonts w:hint="cs"/>
          <w:rtl/>
        </w:rPr>
        <w:lastRenderedPageBreak/>
        <w:t>مكان إلى مكان ما دل على أن ربه عز وجل لا يجوز عليه شيء من ذلك</w:t>
      </w:r>
      <w:r w:rsidR="00DB731D" w:rsidRPr="00A52585">
        <w:rPr>
          <w:rFonts w:hint="cs"/>
          <w:rtl/>
        </w:rPr>
        <w:t>،</w:t>
      </w:r>
      <w:r w:rsidRPr="00A52585">
        <w:rPr>
          <w:rFonts w:hint="cs"/>
          <w:rtl/>
        </w:rPr>
        <w:t xml:space="preserve"> وأن من جاز عليه الأفول والانتقال من مكان إلى مكان فليس بإله</w:t>
      </w:r>
      <w:r w:rsidR="0002035C" w:rsidRPr="00A52585">
        <w:rPr>
          <w:rFonts w:hint="cs"/>
          <w:rtl/>
        </w:rPr>
        <w:t>)</w:t>
      </w:r>
      <w:r w:rsidRPr="00A52585">
        <w:rPr>
          <w:rFonts w:hint="cs"/>
          <w:rtl/>
        </w:rPr>
        <w:t xml:space="preserve"> أنظر رسالته استحسان الخوض في علم الكلام (ص</w:t>
      </w:r>
      <w:r w:rsidR="0002035C" w:rsidRPr="00A52585">
        <w:rPr>
          <w:rFonts w:hint="cs"/>
          <w:rtl/>
        </w:rPr>
        <w:t xml:space="preserve">: </w:t>
      </w:r>
      <w:r w:rsidRPr="00A52585">
        <w:rPr>
          <w:rFonts w:hint="cs"/>
          <w:rtl/>
        </w:rPr>
        <w:t>45)</w:t>
      </w:r>
      <w:r w:rsidR="00DB731D" w:rsidRPr="00A52585">
        <w:rPr>
          <w:rFonts w:hint="cs"/>
          <w:rtl/>
        </w:rPr>
        <w:t>،</w:t>
      </w:r>
      <w:r w:rsidR="0002035C" w:rsidRPr="00A52585">
        <w:rPr>
          <w:rFonts w:hint="cs"/>
          <w:rtl/>
        </w:rPr>
        <w:t xml:space="preserve"> </w:t>
      </w:r>
      <w:r w:rsidRPr="00A52585">
        <w:rPr>
          <w:rFonts w:hint="cs"/>
          <w:rtl/>
        </w:rPr>
        <w:t>22- وقال إمام أهل السنة أبو منصور الماتريدي (333 هـ) رحمه الله ما نصه</w:t>
      </w:r>
      <w:r w:rsidR="0002035C" w:rsidRPr="00A52585">
        <w:rPr>
          <w:rFonts w:hint="cs"/>
          <w:rtl/>
        </w:rPr>
        <w:t>: (</w:t>
      </w:r>
      <w:r w:rsidRPr="00A52585">
        <w:rPr>
          <w:rFonts w:hint="cs"/>
          <w:rtl/>
        </w:rPr>
        <w:t>إن الله سبحانه كان ولا مكان</w:t>
      </w:r>
      <w:r w:rsidR="00DB731D" w:rsidRPr="00A52585">
        <w:rPr>
          <w:rFonts w:hint="cs"/>
          <w:rtl/>
        </w:rPr>
        <w:t>،</w:t>
      </w:r>
      <w:r w:rsidRPr="00A52585">
        <w:rPr>
          <w:rFonts w:hint="cs"/>
          <w:rtl/>
        </w:rPr>
        <w:t xml:space="preserve"> وجائز ارتفاع الأمكنة وبقاؤه على ما كان</w:t>
      </w:r>
      <w:r w:rsidR="00DB731D" w:rsidRPr="00A52585">
        <w:rPr>
          <w:rFonts w:hint="cs"/>
          <w:rtl/>
        </w:rPr>
        <w:t>،</w:t>
      </w:r>
      <w:r w:rsidRPr="00A52585">
        <w:rPr>
          <w:rFonts w:hint="cs"/>
          <w:rtl/>
        </w:rPr>
        <w:t xml:space="preserve"> فهو على ما كان</w:t>
      </w:r>
      <w:r w:rsidR="00DB731D" w:rsidRPr="00A52585">
        <w:rPr>
          <w:rFonts w:hint="cs"/>
          <w:rtl/>
        </w:rPr>
        <w:t>،</w:t>
      </w:r>
      <w:r w:rsidRPr="00A52585">
        <w:rPr>
          <w:rFonts w:hint="cs"/>
          <w:rtl/>
        </w:rPr>
        <w:t xml:space="preserve"> وكان على ما عليه الان</w:t>
      </w:r>
      <w:r w:rsidR="00DB731D" w:rsidRPr="00A52585">
        <w:rPr>
          <w:rFonts w:hint="cs"/>
          <w:rtl/>
        </w:rPr>
        <w:t>،</w:t>
      </w:r>
      <w:r w:rsidRPr="00A52585">
        <w:rPr>
          <w:rFonts w:hint="cs"/>
          <w:rtl/>
        </w:rPr>
        <w:t xml:space="preserve"> جل عن التغير والزوال والاستحالة</w:t>
      </w:r>
      <w:r w:rsidR="0002035C" w:rsidRPr="00A52585">
        <w:rPr>
          <w:rFonts w:hint="cs"/>
          <w:rtl/>
        </w:rPr>
        <w:t>)</w:t>
      </w:r>
      <w:r w:rsidRPr="00A52585">
        <w:rPr>
          <w:rFonts w:hint="cs"/>
          <w:rtl/>
        </w:rPr>
        <w:t xml:space="preserve"> انظر كتابه التوحيد (ص 69)</w:t>
      </w:r>
      <w:r w:rsidR="00DB731D" w:rsidRPr="00A52585">
        <w:rPr>
          <w:rFonts w:hint="cs"/>
          <w:rtl/>
        </w:rPr>
        <w:t>،</w:t>
      </w:r>
      <w:r w:rsidR="0002035C" w:rsidRPr="00A52585">
        <w:rPr>
          <w:rFonts w:hint="cs"/>
          <w:rtl/>
        </w:rPr>
        <w:t xml:space="preserve"> </w:t>
      </w:r>
      <w:r w:rsidRPr="00A52585">
        <w:rPr>
          <w:rFonts w:hint="cs"/>
          <w:rtl/>
        </w:rPr>
        <w:t>23- وقال أيضا</w:t>
      </w:r>
      <w:r w:rsidR="0002035C" w:rsidRPr="00A52585">
        <w:rPr>
          <w:rFonts w:hint="cs"/>
          <w:rtl/>
        </w:rPr>
        <w:t>: (</w:t>
      </w:r>
      <w:r w:rsidRPr="00A52585">
        <w:rPr>
          <w:rFonts w:hint="cs"/>
          <w:rtl/>
        </w:rPr>
        <w:t>وأما رفع الأيدي إلى السماء فعلى العبادة</w:t>
      </w:r>
      <w:r w:rsidR="00DB731D" w:rsidRPr="00A52585">
        <w:rPr>
          <w:rFonts w:hint="cs"/>
          <w:rtl/>
        </w:rPr>
        <w:t>،</w:t>
      </w:r>
      <w:r w:rsidRPr="00A52585">
        <w:rPr>
          <w:rFonts w:hint="cs"/>
          <w:rtl/>
        </w:rPr>
        <w:t xml:space="preserve"> ولله أن يتعبد عباده بما شاء</w:t>
      </w:r>
      <w:r w:rsidR="00DB731D" w:rsidRPr="00A52585">
        <w:rPr>
          <w:rFonts w:hint="cs"/>
          <w:rtl/>
        </w:rPr>
        <w:t>،</w:t>
      </w:r>
      <w:r w:rsidRPr="00A52585">
        <w:rPr>
          <w:rFonts w:hint="cs"/>
          <w:rtl/>
        </w:rPr>
        <w:t xml:space="preserve"> ويوجههم إلى حيث شاء</w:t>
      </w:r>
      <w:r w:rsidR="00DB731D" w:rsidRPr="00A52585">
        <w:rPr>
          <w:rFonts w:hint="cs"/>
          <w:rtl/>
        </w:rPr>
        <w:t>،</w:t>
      </w:r>
      <w:r w:rsidRPr="00A52585">
        <w:rPr>
          <w:rFonts w:hint="cs"/>
          <w:rtl/>
        </w:rPr>
        <w:t xml:space="preserve"> وإن ظن من يظن أن رفع الأبصار إلى السماء لأن الله من ذلك الوجه إنما هو كظن من يزعم أنه إلى جهة أسفل الأرض بما يضع عليها وجهه متوجها في الصلاة ونحوها</w:t>
      </w:r>
      <w:r w:rsidR="00DB731D" w:rsidRPr="00A52585">
        <w:rPr>
          <w:rFonts w:hint="cs"/>
          <w:rtl/>
        </w:rPr>
        <w:t>،</w:t>
      </w:r>
      <w:r w:rsidRPr="00A52585">
        <w:rPr>
          <w:rFonts w:hint="cs"/>
          <w:rtl/>
        </w:rPr>
        <w:t xml:space="preserve"> وكظن من يزعم أنه في شرق الأرض وغربها بما يتوجه إلى ذلك في الصلاة</w:t>
      </w:r>
      <w:r w:rsidR="00DB731D" w:rsidRPr="00A52585">
        <w:rPr>
          <w:rFonts w:hint="cs"/>
          <w:rtl/>
        </w:rPr>
        <w:t>،</w:t>
      </w:r>
      <w:r w:rsidRPr="00A52585">
        <w:rPr>
          <w:rFonts w:hint="cs"/>
          <w:rtl/>
        </w:rPr>
        <w:t xml:space="preserve"> أو نحو مكة لخروجه إلى الحج</w:t>
      </w:r>
      <w:r w:rsidR="00DB731D" w:rsidRPr="00A52585">
        <w:rPr>
          <w:rFonts w:hint="cs"/>
          <w:rtl/>
        </w:rPr>
        <w:t>،</w:t>
      </w:r>
      <w:r w:rsidRPr="00A52585">
        <w:rPr>
          <w:rFonts w:hint="cs"/>
          <w:rtl/>
        </w:rPr>
        <w:t xml:space="preserve"> جل الله عن ذلك</w:t>
      </w:r>
      <w:r w:rsidR="0002035C" w:rsidRPr="00A52585">
        <w:rPr>
          <w:rFonts w:hint="cs"/>
          <w:rtl/>
        </w:rPr>
        <w:t>)</w:t>
      </w:r>
      <w:r w:rsidRPr="00A52585">
        <w:rPr>
          <w:rFonts w:hint="cs"/>
          <w:rtl/>
        </w:rPr>
        <w:t>. انتهى باختصار</w:t>
      </w:r>
      <w:r w:rsidR="00897A24" w:rsidRPr="00A52585">
        <w:rPr>
          <w:rFonts w:hint="cs"/>
          <w:rtl/>
        </w:rPr>
        <w:t>.</w:t>
      </w:r>
      <w:r w:rsidRPr="00A52585">
        <w:rPr>
          <w:rFonts w:hint="cs"/>
          <w:rtl/>
        </w:rPr>
        <w:t xml:space="preserve"> انظر كتابه التوحيد (ص 75- 76)</w:t>
      </w:r>
      <w:r w:rsidR="00DB731D" w:rsidRPr="00A52585">
        <w:rPr>
          <w:rFonts w:hint="cs"/>
          <w:rtl/>
        </w:rPr>
        <w:t>،</w:t>
      </w:r>
      <w:r w:rsidR="0002035C" w:rsidRPr="00A52585">
        <w:rPr>
          <w:rFonts w:hint="cs"/>
          <w:rtl/>
        </w:rPr>
        <w:t xml:space="preserve"> </w:t>
      </w:r>
      <w:r w:rsidRPr="00A52585">
        <w:rPr>
          <w:rFonts w:hint="cs"/>
          <w:rtl/>
        </w:rPr>
        <w:t>24- وقال ابن حبان رحمه الله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الحمد لله الذي ليس له حد محدود فيحتوى، ولا له أجل معدود فيفنى، ولا يحيط به جوامع المكان ولا يشتمل عليه تواتر الزمان</w:t>
      </w:r>
      <w:r w:rsidR="0002035C" w:rsidRPr="00A52585">
        <w:rPr>
          <w:rFonts w:hint="cs"/>
          <w:rtl/>
        </w:rPr>
        <w:t>)</w:t>
      </w:r>
      <w:r w:rsidRPr="00A52585">
        <w:rPr>
          <w:rFonts w:hint="cs"/>
          <w:rtl/>
        </w:rPr>
        <w:t xml:space="preserve"> الثقات (1</w:t>
      </w:r>
      <w:r w:rsidR="0002035C" w:rsidRPr="00A52585">
        <w:rPr>
          <w:rFonts w:hint="cs"/>
          <w:rtl/>
        </w:rPr>
        <w:t xml:space="preserve">: </w:t>
      </w:r>
      <w:r w:rsidRPr="00A52585">
        <w:rPr>
          <w:rFonts w:hint="cs"/>
          <w:rtl/>
        </w:rPr>
        <w:t>1)</w:t>
      </w:r>
      <w:r w:rsidR="00DB731D" w:rsidRPr="00A52585">
        <w:rPr>
          <w:rFonts w:hint="cs"/>
          <w:rtl/>
        </w:rPr>
        <w:t>،</w:t>
      </w:r>
      <w:r w:rsidR="0002035C" w:rsidRPr="00A52585">
        <w:rPr>
          <w:rFonts w:hint="cs"/>
          <w:rtl/>
        </w:rPr>
        <w:t xml:space="preserve"> </w:t>
      </w:r>
      <w:r w:rsidRPr="00A52585">
        <w:rPr>
          <w:rFonts w:hint="cs"/>
          <w:rtl/>
        </w:rPr>
        <w:t>25- وقال أيضا ما نصه</w:t>
      </w:r>
      <w:r w:rsidR="0002035C" w:rsidRPr="00A52585">
        <w:rPr>
          <w:rFonts w:hint="cs"/>
          <w:rtl/>
        </w:rPr>
        <w:t>: (</w:t>
      </w:r>
      <w:r w:rsidRPr="00A52585">
        <w:rPr>
          <w:rFonts w:hint="cs"/>
          <w:rtl/>
        </w:rPr>
        <w:t>كان- الله - ولا زمان ولا مكان</w:t>
      </w:r>
      <w:r w:rsidR="0002035C" w:rsidRPr="00A52585">
        <w:rPr>
          <w:rFonts w:hint="cs"/>
          <w:rtl/>
        </w:rPr>
        <w:t>)</w:t>
      </w:r>
      <w:r w:rsidRPr="00A52585">
        <w:rPr>
          <w:rFonts w:hint="cs"/>
          <w:rtl/>
        </w:rPr>
        <w:t xml:space="preserve"> صحيح ابن حبان، أنظر الإحسان بترتيب صحيح ابن حبان (8</w:t>
      </w:r>
      <w:r w:rsidR="0002035C" w:rsidRPr="00A52585">
        <w:rPr>
          <w:rFonts w:hint="cs"/>
          <w:rtl/>
        </w:rPr>
        <w:t xml:space="preserve">: </w:t>
      </w:r>
      <w:r w:rsidRPr="00A52585">
        <w:rPr>
          <w:rFonts w:hint="cs"/>
          <w:rtl/>
        </w:rPr>
        <w:t>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26- وقال أيضا</w:t>
      </w:r>
      <w:r w:rsidR="0002035C" w:rsidRPr="00A52585">
        <w:rPr>
          <w:rFonts w:hint="cs"/>
          <w:rtl/>
        </w:rPr>
        <w:t>: (</w:t>
      </w:r>
      <w:r w:rsidRPr="00A52585">
        <w:rPr>
          <w:rFonts w:hint="cs"/>
          <w:rtl/>
        </w:rPr>
        <w:t>كذلك ينزل - يعني الله - بلا آلة ولا تحرك ولا انتقال من مكان إلى مكان</w:t>
      </w:r>
      <w:r w:rsidR="0002035C" w:rsidRPr="00A52585">
        <w:rPr>
          <w:rFonts w:hint="cs"/>
          <w:rtl/>
        </w:rPr>
        <w:t>)</w:t>
      </w:r>
      <w:r w:rsidRPr="00A52585">
        <w:rPr>
          <w:rFonts w:hint="cs"/>
          <w:rtl/>
        </w:rPr>
        <w:t xml:space="preserve"> المصدر السابق (2</w:t>
      </w:r>
      <w:r w:rsidR="0002035C" w:rsidRPr="00A52585">
        <w:rPr>
          <w:rFonts w:hint="cs"/>
          <w:rtl/>
        </w:rPr>
        <w:t xml:space="preserve">: </w:t>
      </w:r>
      <w:r w:rsidRPr="00A52585">
        <w:rPr>
          <w:rFonts w:hint="cs"/>
          <w:rtl/>
        </w:rPr>
        <w:t>136)</w:t>
      </w:r>
      <w:r w:rsidR="00DB731D" w:rsidRPr="00A52585">
        <w:rPr>
          <w:rFonts w:hint="cs"/>
          <w:rtl/>
        </w:rPr>
        <w:t>،</w:t>
      </w:r>
      <w:r w:rsidR="0002035C" w:rsidRPr="00A52585">
        <w:rPr>
          <w:rFonts w:hint="cs"/>
          <w:rtl/>
        </w:rPr>
        <w:t xml:space="preserve"> </w:t>
      </w:r>
      <w:r w:rsidRPr="00A52585">
        <w:rPr>
          <w:rFonts w:hint="cs"/>
          <w:rtl/>
        </w:rPr>
        <w:t>27- وقال الصوفي أبو عثمان المغربي سعيد بن سلام (373 هـ) فيما نقله عنه أبو القاسم عبد الكريم بن هوازن القشيري (469 هـ) ونصه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سمعت الإمام أبا بكر محمد بن الحسن بن فورك رحمه الله تعالى يقول</w:t>
      </w:r>
      <w:r w:rsidR="0002035C" w:rsidRPr="00A52585">
        <w:rPr>
          <w:rFonts w:hint="cs"/>
          <w:rtl/>
        </w:rPr>
        <w:t>:</w:t>
      </w:r>
      <w:r w:rsidRPr="00A52585">
        <w:rPr>
          <w:rFonts w:hint="cs"/>
          <w:rtl/>
        </w:rPr>
        <w:t xml:space="preserve"> سمعت محمد بن المحبوب خادم أبي عثمان المغربي يقول</w:t>
      </w:r>
      <w:r w:rsidR="0002035C" w:rsidRPr="00A52585">
        <w:rPr>
          <w:rFonts w:hint="cs"/>
          <w:rtl/>
        </w:rPr>
        <w:t>:</w:t>
      </w:r>
      <w:r w:rsidRPr="00A52585">
        <w:rPr>
          <w:rFonts w:hint="cs"/>
          <w:rtl/>
        </w:rPr>
        <w:t xml:space="preserve"> قال لي أبو عثمان المغربي يوما</w:t>
      </w:r>
      <w:r w:rsidR="0002035C" w:rsidRPr="00A52585">
        <w:rPr>
          <w:rFonts w:hint="cs"/>
          <w:rtl/>
        </w:rPr>
        <w:t>:</w:t>
      </w:r>
      <w:r w:rsidRPr="00A52585">
        <w:rPr>
          <w:rFonts w:hint="cs"/>
          <w:rtl/>
        </w:rPr>
        <w:t xml:space="preserve"> يا محمد</w:t>
      </w:r>
      <w:r w:rsidR="00DB731D" w:rsidRPr="00A52585">
        <w:rPr>
          <w:rFonts w:hint="cs"/>
          <w:rtl/>
        </w:rPr>
        <w:t>،</w:t>
      </w:r>
      <w:r w:rsidRPr="00A52585">
        <w:rPr>
          <w:rFonts w:hint="cs"/>
          <w:rtl/>
        </w:rPr>
        <w:t xml:space="preserve"> لو قال لك أحد</w:t>
      </w:r>
      <w:r w:rsidR="0002035C" w:rsidRPr="00A52585">
        <w:rPr>
          <w:rFonts w:hint="cs"/>
          <w:rtl/>
        </w:rPr>
        <w:t>:</w:t>
      </w:r>
      <w:r w:rsidRPr="00A52585">
        <w:rPr>
          <w:rFonts w:hint="cs"/>
          <w:rtl/>
        </w:rPr>
        <w:t xml:space="preserve"> أين معبودك أيش تقول</w:t>
      </w:r>
      <w:r w:rsidR="00F95886"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قلت أقول حيث لم يزل، قال</w:t>
      </w:r>
      <w:r w:rsidR="0002035C" w:rsidRPr="00A52585">
        <w:rPr>
          <w:rFonts w:hint="cs"/>
          <w:rtl/>
        </w:rPr>
        <w:t>:</w:t>
      </w:r>
      <w:r w:rsidRPr="00A52585">
        <w:rPr>
          <w:rFonts w:hint="cs"/>
          <w:rtl/>
        </w:rPr>
        <w:t xml:space="preserve"> فإن قال أين كان في الأزل، أيش تقول؟ قال</w:t>
      </w:r>
      <w:r w:rsidR="0002035C" w:rsidRPr="00A52585">
        <w:rPr>
          <w:rFonts w:hint="cs"/>
          <w:rtl/>
        </w:rPr>
        <w:t>:</w:t>
      </w:r>
      <w:r w:rsidRPr="00A52585">
        <w:rPr>
          <w:rFonts w:hint="cs"/>
          <w:rtl/>
        </w:rPr>
        <w:t xml:space="preserve"> قلت أقول حيث هو الان</w:t>
      </w:r>
      <w:r w:rsidR="00DB731D" w:rsidRPr="00A52585">
        <w:rPr>
          <w:rFonts w:hint="cs"/>
          <w:rtl/>
        </w:rPr>
        <w:t>،</w:t>
      </w:r>
      <w:r w:rsidRPr="00A52585">
        <w:rPr>
          <w:rFonts w:hint="cs"/>
          <w:rtl/>
        </w:rPr>
        <w:t xml:space="preserve"> يعني أنه كما كان ولا مكان فهو الآن كما كان</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فارتضى مني ذلك ونزع قميصه </w:t>
      </w:r>
      <w:proofErr w:type="spellStart"/>
      <w:r w:rsidRPr="00A52585">
        <w:rPr>
          <w:rFonts w:hint="cs"/>
          <w:rtl/>
        </w:rPr>
        <w:t>وأعطانيه</w:t>
      </w:r>
      <w:proofErr w:type="spellEnd"/>
      <w:r w:rsidR="0002035C" w:rsidRPr="00A52585">
        <w:rPr>
          <w:rFonts w:hint="cs"/>
          <w:rtl/>
        </w:rPr>
        <w:t>)</w:t>
      </w:r>
      <w:r w:rsidRPr="00A52585">
        <w:rPr>
          <w:rFonts w:hint="cs"/>
          <w:rtl/>
        </w:rPr>
        <w:t xml:space="preserve"> الرسالة القشيرية (ص 5)</w:t>
      </w:r>
      <w:r w:rsidR="00DB731D" w:rsidRPr="00A52585">
        <w:rPr>
          <w:rFonts w:hint="cs"/>
          <w:rtl/>
        </w:rPr>
        <w:t>،</w:t>
      </w:r>
      <w:r w:rsidR="0002035C" w:rsidRPr="00A52585">
        <w:rPr>
          <w:rFonts w:hint="cs"/>
          <w:rtl/>
        </w:rPr>
        <w:t xml:space="preserve"> </w:t>
      </w:r>
      <w:r w:rsidRPr="00A52585">
        <w:rPr>
          <w:rFonts w:hint="cs"/>
          <w:rtl/>
        </w:rPr>
        <w:t>28- قال أبو القاسم القشيري ما نصه</w:t>
      </w:r>
      <w:r w:rsidR="0002035C" w:rsidRPr="00A52585">
        <w:rPr>
          <w:rFonts w:hint="cs"/>
          <w:rtl/>
        </w:rPr>
        <w:t>: (</w:t>
      </w:r>
      <w:r w:rsidRPr="00A52585">
        <w:rPr>
          <w:rFonts w:hint="cs"/>
          <w:rtl/>
        </w:rPr>
        <w:t>سمعت الإمام أبا بكر بن فورك رحمه الله تعالى يقول سمعت أبا عثمان المغربي يقول</w:t>
      </w:r>
      <w:r w:rsidR="0002035C" w:rsidRPr="00A52585">
        <w:rPr>
          <w:rFonts w:hint="cs"/>
          <w:rtl/>
        </w:rPr>
        <w:t>:</w:t>
      </w:r>
      <w:r w:rsidRPr="00A52585">
        <w:rPr>
          <w:rFonts w:hint="cs"/>
          <w:rtl/>
        </w:rPr>
        <w:t xml:space="preserve"> كنت أعتقد شيئا من حديث الجهة فلما قدمت بغداد زال ذلك عن قلبي</w:t>
      </w:r>
      <w:r w:rsidR="00DB731D" w:rsidRPr="00A52585">
        <w:rPr>
          <w:rFonts w:hint="cs"/>
          <w:rtl/>
        </w:rPr>
        <w:t>،</w:t>
      </w:r>
      <w:r w:rsidRPr="00A52585">
        <w:rPr>
          <w:rFonts w:hint="cs"/>
          <w:rtl/>
        </w:rPr>
        <w:t xml:space="preserve"> فكتبت إلى أصحابنا بمكة إني أسلمت الان إسلاما جديدا</w:t>
      </w:r>
      <w:r w:rsidR="0002035C" w:rsidRPr="00A52585">
        <w:rPr>
          <w:rFonts w:hint="cs"/>
          <w:rtl/>
        </w:rPr>
        <w:t>)</w:t>
      </w:r>
      <w:r w:rsidRPr="00A52585">
        <w:rPr>
          <w:rFonts w:hint="cs"/>
          <w:rtl/>
        </w:rPr>
        <w:t xml:space="preserve"> الرسالة القشيرية (ص 5)</w:t>
      </w:r>
      <w:r w:rsidR="00DB731D" w:rsidRPr="00A52585">
        <w:rPr>
          <w:rFonts w:hint="cs"/>
          <w:rtl/>
        </w:rPr>
        <w:t>،</w:t>
      </w:r>
      <w:r w:rsidR="0002035C" w:rsidRPr="00A52585">
        <w:rPr>
          <w:rFonts w:hint="cs"/>
          <w:rtl/>
        </w:rPr>
        <w:t xml:space="preserve"> </w:t>
      </w:r>
      <w:r w:rsidRPr="00A52585">
        <w:rPr>
          <w:rFonts w:hint="cs"/>
          <w:rtl/>
        </w:rPr>
        <w:t xml:space="preserve">29- وقال الشيخ أبو بكر محمد بن إسحق </w:t>
      </w:r>
      <w:proofErr w:type="spellStart"/>
      <w:r w:rsidRPr="00A52585">
        <w:rPr>
          <w:rFonts w:hint="cs"/>
          <w:rtl/>
        </w:rPr>
        <w:t>الكلاباذي</w:t>
      </w:r>
      <w:proofErr w:type="spellEnd"/>
      <w:r w:rsidRPr="00A52585">
        <w:rPr>
          <w:rFonts w:hint="cs"/>
          <w:rtl/>
        </w:rPr>
        <w:t xml:space="preserve"> الحنفي (385 هـ) في بيان عقيدة الصوفية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اجتمعت الصوفية على أن الله لا </w:t>
      </w:r>
      <w:proofErr w:type="spellStart"/>
      <w:r w:rsidRPr="00A52585">
        <w:rPr>
          <w:rFonts w:hint="cs"/>
          <w:rtl/>
        </w:rPr>
        <w:t>يحويه</w:t>
      </w:r>
      <w:proofErr w:type="spellEnd"/>
      <w:r w:rsidRPr="00A52585">
        <w:rPr>
          <w:rFonts w:hint="cs"/>
          <w:rtl/>
        </w:rPr>
        <w:t xml:space="preserve"> مكان ولا يجري عليه زمان</w:t>
      </w:r>
      <w:r w:rsidR="0002035C" w:rsidRPr="00A52585">
        <w:rPr>
          <w:rFonts w:hint="cs"/>
          <w:rtl/>
        </w:rPr>
        <w:t>)</w:t>
      </w:r>
      <w:r w:rsidRPr="00A52585">
        <w:rPr>
          <w:rFonts w:hint="cs"/>
          <w:rtl/>
        </w:rPr>
        <w:t xml:space="preserve"> التعرّف لمذهب أهل التصوف (ص 33)</w:t>
      </w:r>
      <w:r w:rsidR="00DB731D" w:rsidRPr="00A52585">
        <w:rPr>
          <w:rFonts w:hint="cs"/>
          <w:rtl/>
        </w:rPr>
        <w:t>،</w:t>
      </w:r>
      <w:r w:rsidR="0002035C" w:rsidRPr="00A52585">
        <w:rPr>
          <w:rFonts w:hint="cs"/>
          <w:rtl/>
        </w:rPr>
        <w:t xml:space="preserve"> </w:t>
      </w:r>
      <w:r w:rsidRPr="00A52585">
        <w:rPr>
          <w:rFonts w:hint="cs"/>
          <w:rtl/>
        </w:rPr>
        <w:t xml:space="preserve">30- وقال الشيخ أبو سليمان حمد </w:t>
      </w:r>
      <w:r w:rsidRPr="00A52585">
        <w:rPr>
          <w:rFonts w:hint="cs"/>
          <w:rtl/>
        </w:rPr>
        <w:lastRenderedPageBreak/>
        <w:t>بن محمد الخطابي (388 هـ) صاحب "معالم السنن" ما نصه</w:t>
      </w:r>
      <w:r w:rsidR="0002035C" w:rsidRPr="00A52585">
        <w:rPr>
          <w:rFonts w:hint="cs"/>
          <w:rtl/>
        </w:rPr>
        <w:t>:</w:t>
      </w:r>
      <w:r w:rsidRPr="00A52585">
        <w:rPr>
          <w:rFonts w:hint="cs"/>
          <w:rtl/>
        </w:rPr>
        <w:br/>
        <w:t> </w:t>
      </w:r>
      <w:r w:rsidR="0002035C" w:rsidRPr="00A52585">
        <w:rPr>
          <w:rFonts w:hint="cs"/>
          <w:rtl/>
        </w:rPr>
        <w:t>(</w:t>
      </w:r>
      <w:r w:rsidRPr="00A52585">
        <w:rPr>
          <w:rFonts w:hint="cs"/>
          <w:rtl/>
        </w:rPr>
        <w:t>وليس معنى قول المسلمين إن الله على العرش هو أنه تعالى مماس له أو متمكن فيه أو متحيز في جهة من جهاته</w:t>
      </w:r>
      <w:r w:rsidR="00DB731D" w:rsidRPr="00A52585">
        <w:rPr>
          <w:rFonts w:hint="cs"/>
          <w:rtl/>
        </w:rPr>
        <w:t>،</w:t>
      </w:r>
      <w:r w:rsidRPr="00A52585">
        <w:rPr>
          <w:rFonts w:hint="cs"/>
          <w:rtl/>
        </w:rPr>
        <w:t xml:space="preserve"> لكنه بائن من جميع خلقه، وإنما هو خبر جاء به التوقيف فقلنا به ونفينا عنه التكييف إذ (لَيْسَ كَمِثْلِهِ شَيْءٌ وَهُوَ السَّمِيعُ البَصِيرُ) أعلام الحديث</w:t>
      </w:r>
      <w:r w:rsidR="0002035C" w:rsidRPr="00A52585">
        <w:rPr>
          <w:rFonts w:hint="cs"/>
          <w:rtl/>
        </w:rPr>
        <w:t>:</w:t>
      </w:r>
      <w:r w:rsidRPr="00A52585">
        <w:rPr>
          <w:rFonts w:hint="cs"/>
          <w:rtl/>
        </w:rPr>
        <w:t xml:space="preserve"> كتاب بدء الخلق</w:t>
      </w:r>
      <w:r w:rsidR="00DB731D" w:rsidRPr="00A52585">
        <w:rPr>
          <w:rFonts w:hint="cs"/>
          <w:rtl/>
        </w:rPr>
        <w:t>،</w:t>
      </w:r>
      <w:r w:rsidRPr="00A52585">
        <w:rPr>
          <w:rFonts w:hint="cs"/>
          <w:rtl/>
        </w:rPr>
        <w:t xml:space="preserve"> باب ما جاء في قوله تعالى</w:t>
      </w:r>
      <w:r w:rsidR="0002035C" w:rsidRPr="00A52585">
        <w:rPr>
          <w:rFonts w:hint="cs"/>
          <w:rtl/>
        </w:rPr>
        <w:t>:</w:t>
      </w:r>
      <w:r w:rsidRPr="00A52585">
        <w:rPr>
          <w:rFonts w:hint="cs"/>
          <w:rtl/>
        </w:rPr>
        <w:t xml:space="preserve"> (هُوَ الَّذِي يَبْدَأُ الْخَلْقَ ثُمَّ يُعِيدُهُ وَهُوَ أَهْوَنُ عَلَيْهِ) (سورة الروم</w:t>
      </w:r>
      <w:r w:rsidR="0002035C" w:rsidRPr="00A52585">
        <w:rPr>
          <w:rFonts w:hint="cs"/>
          <w:rtl/>
        </w:rPr>
        <w:t>:</w:t>
      </w:r>
      <w:r w:rsidRPr="00A52585">
        <w:rPr>
          <w:rFonts w:hint="cs"/>
          <w:rtl/>
        </w:rPr>
        <w:t xml:space="preserve"> 27) (2</w:t>
      </w:r>
      <w:r w:rsidR="0002035C" w:rsidRPr="00A52585">
        <w:rPr>
          <w:rFonts w:hint="cs"/>
          <w:rtl/>
        </w:rPr>
        <w:t>:</w:t>
      </w:r>
      <w:r w:rsidR="00DB731D" w:rsidRPr="00A52585">
        <w:rPr>
          <w:rFonts w:hint="cs"/>
          <w:rtl/>
        </w:rPr>
        <w:t>،</w:t>
      </w:r>
      <w:r w:rsidRPr="00A52585">
        <w:rPr>
          <w:rFonts w:hint="cs"/>
          <w:rtl/>
        </w:rPr>
        <w:t xml:space="preserve"> 147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31- وقال الشيخ أبو عبد الله الحسين بن الحسن </w:t>
      </w:r>
      <w:proofErr w:type="spellStart"/>
      <w:r w:rsidRPr="00A52585">
        <w:rPr>
          <w:rFonts w:hint="cs"/>
          <w:rtl/>
        </w:rPr>
        <w:t>الحليمي</w:t>
      </w:r>
      <w:proofErr w:type="spellEnd"/>
      <w:r w:rsidRPr="00A52585">
        <w:rPr>
          <w:rFonts w:hint="cs"/>
          <w:rtl/>
        </w:rPr>
        <w:t xml:space="preserve"> الشافعي (403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وأما البراءة من التشبيه بإثبات أنه - تعالى - ليس بجوهر ولا عرض</w:t>
      </w:r>
      <w:r w:rsidR="00DB731D" w:rsidRPr="00A52585">
        <w:rPr>
          <w:rFonts w:hint="cs"/>
          <w:rtl/>
        </w:rPr>
        <w:t>،</w:t>
      </w:r>
      <w:r w:rsidRPr="00A52585">
        <w:rPr>
          <w:rFonts w:hint="cs"/>
          <w:rtl/>
        </w:rPr>
        <w:t xml:space="preserve"> فلأن قوما زاغوا عن الحق فوصفوا البارئ جل ثناؤه ببعض صفات المحدثين، فمنهم من قال</w:t>
      </w:r>
      <w:r w:rsidR="0002035C" w:rsidRPr="00A52585">
        <w:rPr>
          <w:rFonts w:hint="cs"/>
          <w:rtl/>
        </w:rPr>
        <w:t>:</w:t>
      </w:r>
      <w:r w:rsidRPr="00A52585">
        <w:rPr>
          <w:rFonts w:hint="cs"/>
          <w:rtl/>
        </w:rPr>
        <w:t xml:space="preserve"> إنه جوهر، ومنهم من قال</w:t>
      </w:r>
      <w:r w:rsidR="0002035C" w:rsidRPr="00A52585">
        <w:rPr>
          <w:rFonts w:hint="cs"/>
          <w:rtl/>
        </w:rPr>
        <w:t>:</w:t>
      </w:r>
      <w:r w:rsidRPr="00A52585">
        <w:rPr>
          <w:rFonts w:hint="cs"/>
          <w:rtl/>
        </w:rPr>
        <w:t xml:space="preserve"> إنه جسم</w:t>
      </w:r>
      <w:r w:rsidR="00DB731D" w:rsidRPr="00A52585">
        <w:rPr>
          <w:rFonts w:hint="cs"/>
          <w:rtl/>
        </w:rPr>
        <w:t>،</w:t>
      </w:r>
      <w:r w:rsidRPr="00A52585">
        <w:rPr>
          <w:rFonts w:hint="cs"/>
          <w:rtl/>
        </w:rPr>
        <w:t xml:space="preserve"> ومنهم من أجاز أن يكون على العرش كما يكون الملك على سريره</w:t>
      </w:r>
      <w:r w:rsidR="00DB731D" w:rsidRPr="00A52585">
        <w:rPr>
          <w:rFonts w:hint="cs"/>
          <w:rtl/>
        </w:rPr>
        <w:t>،</w:t>
      </w:r>
      <w:r w:rsidRPr="00A52585">
        <w:rPr>
          <w:rFonts w:hint="cs"/>
          <w:rtl/>
        </w:rPr>
        <w:t xml:space="preserve"> وكان ذلك في وجوب اسم الكفر لقائله كالتعطيل والتشريك فإذا أثبت المثبت أنه ليس كمثله شيء، وجماع ذلك أنه ليس بجوهر ولا عرض فقد انتفى التشبيه</w:t>
      </w:r>
      <w:r w:rsidR="00DB731D" w:rsidRPr="00A52585">
        <w:rPr>
          <w:rFonts w:hint="cs"/>
          <w:rtl/>
        </w:rPr>
        <w:t>،</w:t>
      </w:r>
      <w:r w:rsidRPr="00A52585">
        <w:rPr>
          <w:rFonts w:hint="cs"/>
          <w:rtl/>
        </w:rPr>
        <w:t xml:space="preserve"> لأنه لو كان جوهرا أو عرضا لجاز عليه ما يجوز على سائر الجواهر والأعراض</w:t>
      </w:r>
      <w:r w:rsidR="00DB731D" w:rsidRPr="00A52585">
        <w:rPr>
          <w:rFonts w:hint="cs"/>
          <w:rtl/>
        </w:rPr>
        <w:t>،</w:t>
      </w:r>
      <w:r w:rsidRPr="00A52585">
        <w:rPr>
          <w:rFonts w:hint="cs"/>
          <w:rtl/>
        </w:rPr>
        <w:t xml:space="preserve"> ولأنه إذا لم يكن جوهراً ولا عرض لم يجز عليه ما يجوز على الجواهر من حين إنها جواهر كالتآلف </w:t>
      </w:r>
      <w:proofErr w:type="spellStart"/>
      <w:r w:rsidRPr="00A52585">
        <w:rPr>
          <w:rFonts w:hint="cs"/>
          <w:rtl/>
        </w:rPr>
        <w:t>والتجسم</w:t>
      </w:r>
      <w:proofErr w:type="spellEnd"/>
      <w:r w:rsidRPr="00A52585">
        <w:rPr>
          <w:rFonts w:hint="cs"/>
          <w:rtl/>
        </w:rPr>
        <w:t xml:space="preserve"> وشغل الأمكنة والحركة والسكون</w:t>
      </w:r>
      <w:r w:rsidR="00DB731D" w:rsidRPr="00A52585">
        <w:rPr>
          <w:rFonts w:hint="cs"/>
          <w:rtl/>
        </w:rPr>
        <w:t>،</w:t>
      </w:r>
      <w:r w:rsidRPr="00A52585">
        <w:rPr>
          <w:rFonts w:hint="cs"/>
          <w:rtl/>
        </w:rPr>
        <w:t xml:space="preserve"> ولا ما يجوز على الأعراض من حيث إنها أعراض كالحدوث وعدم البقاء</w:t>
      </w:r>
      <w:r w:rsidR="0002035C" w:rsidRPr="00A52585">
        <w:rPr>
          <w:rFonts w:hint="cs"/>
          <w:rtl/>
        </w:rPr>
        <w:t>)</w:t>
      </w:r>
      <w:r w:rsidRPr="00A52585">
        <w:rPr>
          <w:rFonts w:hint="cs"/>
          <w:rtl/>
        </w:rPr>
        <w:t xml:space="preserve"> المنهاج في شعب الإيمان (1</w:t>
      </w:r>
      <w:r w:rsidR="0002035C" w:rsidRPr="00A52585">
        <w:rPr>
          <w:rFonts w:hint="cs"/>
          <w:rtl/>
        </w:rPr>
        <w:t xml:space="preserve">: </w:t>
      </w:r>
      <w:r w:rsidRPr="00A52585">
        <w:rPr>
          <w:rFonts w:hint="cs"/>
          <w:rtl/>
        </w:rPr>
        <w:t>184)</w:t>
      </w:r>
      <w:r w:rsidR="00DB731D" w:rsidRPr="00A52585">
        <w:rPr>
          <w:rFonts w:hint="cs"/>
          <w:rtl/>
        </w:rPr>
        <w:t>،</w:t>
      </w:r>
      <w:r w:rsidR="0002035C" w:rsidRPr="00A52585">
        <w:rPr>
          <w:rFonts w:hint="cs"/>
          <w:rtl/>
        </w:rPr>
        <w:t xml:space="preserve"> </w:t>
      </w:r>
      <w:r w:rsidRPr="00A52585">
        <w:rPr>
          <w:rFonts w:hint="cs"/>
          <w:rtl/>
        </w:rPr>
        <w:t>32- وقال القاضي أبو بكر محمد الباقلاني المالكي الأشعري (403) ما نصه</w:t>
      </w:r>
      <w:r w:rsidR="0002035C" w:rsidRPr="00A52585">
        <w:rPr>
          <w:rFonts w:hint="cs"/>
          <w:rtl/>
        </w:rPr>
        <w:t>: (</w:t>
      </w:r>
      <w:r w:rsidRPr="00A52585">
        <w:rPr>
          <w:rFonts w:hint="cs"/>
          <w:rtl/>
        </w:rPr>
        <w:t>ولا نقول إن العرش له- أي الله- قرار ولا مكان، لأن الله تعالى كان ولا مكان، فلما خلق المكان لم يتغير عما كان</w:t>
      </w:r>
      <w:r w:rsidR="0002035C" w:rsidRPr="00A52585">
        <w:rPr>
          <w:rFonts w:hint="cs"/>
          <w:rtl/>
        </w:rPr>
        <w:t>)</w:t>
      </w:r>
      <w:r w:rsidRPr="00A52585">
        <w:rPr>
          <w:rFonts w:hint="cs"/>
          <w:rtl/>
        </w:rPr>
        <w:t xml:space="preserve"> الانصاف فيما يجب اعتقاده ولا يجوز الجهل به (ص 65)</w:t>
      </w:r>
      <w:r w:rsidR="00DB731D" w:rsidRPr="00A52585">
        <w:rPr>
          <w:rFonts w:hint="cs"/>
          <w:rtl/>
        </w:rPr>
        <w:t>،</w:t>
      </w:r>
      <w:r w:rsidR="0002035C" w:rsidRPr="00A52585">
        <w:rPr>
          <w:rFonts w:hint="cs"/>
          <w:rtl/>
        </w:rPr>
        <w:t xml:space="preserve"> </w:t>
      </w:r>
      <w:r w:rsidRPr="00A52585">
        <w:rPr>
          <w:rFonts w:hint="cs"/>
          <w:rtl/>
        </w:rPr>
        <w:t>33- وقال أيضا ما نصه</w:t>
      </w:r>
      <w:r w:rsidR="0002035C" w:rsidRPr="00A52585">
        <w:rPr>
          <w:rFonts w:hint="cs"/>
          <w:rtl/>
        </w:rPr>
        <w:t>: (</w:t>
      </w:r>
      <w:r w:rsidRPr="00A52585">
        <w:rPr>
          <w:rFonts w:hint="cs"/>
          <w:rtl/>
        </w:rPr>
        <w:t>ويجب أن يعلم أن كل ما يدل على الحدوث أو على سمة النقص فالرب تعالى يتقدس عنه، فمن ذلك</w:t>
      </w:r>
      <w:r w:rsidR="0002035C" w:rsidRPr="00A52585">
        <w:rPr>
          <w:rFonts w:hint="cs"/>
          <w:rtl/>
        </w:rPr>
        <w:t>:</w:t>
      </w:r>
      <w:r w:rsidRPr="00A52585">
        <w:rPr>
          <w:rFonts w:hint="cs"/>
          <w:rtl/>
        </w:rPr>
        <w:t xml:space="preserve"> أنه تعالى متقدس عن الاختصاص بالجهات، والاتصاف بصفات المحدثات، وكذلك لا يوصف بالتحول والانتقال، ولا القيام ولا القعود، ولأن هذه الصفات تدل على الحدوث، والله تعالى يتقدس عن ذلك</w:t>
      </w:r>
      <w:r w:rsidR="0002035C" w:rsidRPr="00A52585">
        <w:rPr>
          <w:rFonts w:hint="cs"/>
          <w:rtl/>
        </w:rPr>
        <w:t>)</w:t>
      </w:r>
      <w:r w:rsidRPr="00A52585">
        <w:rPr>
          <w:rFonts w:hint="cs"/>
          <w:rtl/>
        </w:rPr>
        <w:t xml:space="preserve"> المرجع السابق (ص 64)</w:t>
      </w:r>
      <w:r w:rsidR="00DB731D" w:rsidRPr="00A52585">
        <w:rPr>
          <w:rFonts w:hint="cs"/>
          <w:rtl/>
        </w:rPr>
        <w:t>،</w:t>
      </w:r>
      <w:r w:rsidRPr="00A52585">
        <w:rPr>
          <w:rFonts w:hint="cs"/>
          <w:rtl/>
        </w:rPr>
        <w:t xml:space="preserve"> وقال الحافظ المؤرخ ابن عساكر في تبيين كذب المفتري</w:t>
      </w:r>
      <w:r w:rsidR="0002035C" w:rsidRPr="00A52585">
        <w:rPr>
          <w:rFonts w:hint="cs"/>
          <w:rtl/>
        </w:rPr>
        <w:t>:</w:t>
      </w:r>
      <w:r w:rsidRPr="00A52585">
        <w:rPr>
          <w:rFonts w:hint="cs"/>
          <w:rtl/>
        </w:rPr>
        <w:t xml:space="preserve"> ترجمة الباقلاني (ص 221) نقلا عن أبي عبد الله الحسين بن محمد </w:t>
      </w:r>
      <w:proofErr w:type="spellStart"/>
      <w:r w:rsidRPr="00A52585">
        <w:rPr>
          <w:rFonts w:hint="cs"/>
          <w:rtl/>
        </w:rPr>
        <w:t>الدامغاني</w:t>
      </w:r>
      <w:proofErr w:type="spellEnd"/>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وكان أبو الحسن التميمي الحنبلي يقول لأصحابه</w:t>
      </w:r>
      <w:r w:rsidR="0002035C" w:rsidRPr="00A52585">
        <w:rPr>
          <w:rFonts w:hint="cs"/>
          <w:rtl/>
        </w:rPr>
        <w:t>:</w:t>
      </w:r>
      <w:r w:rsidRPr="00A52585">
        <w:rPr>
          <w:rFonts w:hint="cs"/>
          <w:rtl/>
        </w:rPr>
        <w:t xml:space="preserve"> تمسكوا بهذا الرجل - أي بالباقلاني - فليس للسنة عنه غنى أبدا. قال</w:t>
      </w:r>
      <w:r w:rsidR="0002035C" w:rsidRPr="00A52585">
        <w:rPr>
          <w:rFonts w:hint="cs"/>
          <w:rtl/>
        </w:rPr>
        <w:t>:</w:t>
      </w:r>
      <w:r w:rsidRPr="00A52585">
        <w:rPr>
          <w:rFonts w:hint="cs"/>
          <w:rtl/>
        </w:rPr>
        <w:t xml:space="preserve"> وسمعت الشيخ أبا الفضل التميمي الحنبلي رحمه الله وهو عبد الواحد بن أبي الحسن بن عبد العزيز بن الحرث يقول</w:t>
      </w:r>
      <w:r w:rsidR="0002035C" w:rsidRPr="00A52585">
        <w:rPr>
          <w:rFonts w:hint="cs"/>
          <w:rtl/>
        </w:rPr>
        <w:t>:</w:t>
      </w:r>
      <w:r w:rsidRPr="00A52585">
        <w:rPr>
          <w:rFonts w:hint="cs"/>
          <w:rtl/>
        </w:rPr>
        <w:t xml:space="preserve"> اجتمع رأسي ورأس القاضي أبي بكر محمد بن الطيب - يعني الباقلاني - على مخدة واحدة سبع سنين. قال الشيخ أبو عبد الله</w:t>
      </w:r>
      <w:r w:rsidR="0002035C" w:rsidRPr="00A52585">
        <w:rPr>
          <w:rFonts w:hint="cs"/>
          <w:rtl/>
        </w:rPr>
        <w:t>:</w:t>
      </w:r>
      <w:r w:rsidRPr="00A52585">
        <w:rPr>
          <w:rFonts w:hint="cs"/>
          <w:rtl/>
        </w:rPr>
        <w:t xml:space="preserve"> وحضر الشيخ أبو الفضل التميمي </w:t>
      </w:r>
      <w:r w:rsidRPr="00A52585">
        <w:rPr>
          <w:rFonts w:hint="cs"/>
          <w:rtl/>
        </w:rPr>
        <w:lastRenderedPageBreak/>
        <w:t>يوم وفاته العزاء حافيا مع إخوته وأصحابه وأمر أن ينادي بين يدي جنازته</w:t>
      </w:r>
      <w:r w:rsidR="0002035C" w:rsidRPr="00A52585">
        <w:rPr>
          <w:rFonts w:hint="cs"/>
          <w:rtl/>
        </w:rPr>
        <w:t>:</w:t>
      </w:r>
      <w:r w:rsidRPr="00A52585">
        <w:rPr>
          <w:rFonts w:hint="cs"/>
          <w:rtl/>
        </w:rPr>
        <w:t xml:space="preserve"> "هذا ناصر السنة والدين، هذا إمام المسلمين، هذا الذي كان يذب عن الشريعة ألسنة المخالفين، هذا الذي صنف سبعين ألف ورقة ردا على الملحدين "، وقعد للعزاء مع أصحابه ثلاثة ايام فلم يبرح، وكان يزور تربته كل يوم جمعة في الدار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34- وذكر الشيخ أبو الطيب سهل بن محمد الشافعي مفتي نيسابور (404 هـ) ما نقله عنه الحافظ البيهقي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سمعت الشيخ أبا الطيب </w:t>
      </w:r>
      <w:proofErr w:type="spellStart"/>
      <w:r w:rsidRPr="00A52585">
        <w:rPr>
          <w:rFonts w:hint="cs"/>
          <w:rtl/>
        </w:rPr>
        <w:t>الصعلوكي</w:t>
      </w:r>
      <w:proofErr w:type="spellEnd"/>
      <w:r w:rsidRPr="00A52585">
        <w:rPr>
          <w:rFonts w:hint="cs"/>
          <w:rtl/>
        </w:rPr>
        <w:t xml:space="preserve"> يقول</w:t>
      </w:r>
      <w:r w:rsidR="0002035C" w:rsidRPr="00A52585">
        <w:rPr>
          <w:rFonts w:hint="cs"/>
          <w:rtl/>
        </w:rPr>
        <w:t>:</w:t>
      </w:r>
      <w:r w:rsidRPr="00A52585">
        <w:rPr>
          <w:rFonts w:hint="cs"/>
          <w:rtl/>
        </w:rPr>
        <w:t xml:space="preserve"> </w:t>
      </w:r>
      <w:r w:rsidRPr="00A52585">
        <w:t>"</w:t>
      </w:r>
      <w:r w:rsidRPr="00A52585">
        <w:rPr>
          <w:rFonts w:hint="cs"/>
          <w:rtl/>
        </w:rPr>
        <w:t>ُتضامّون" بضم أوله وتشديد الميم يريد لا تجتمعون لرؤيته - تعالى - في جهة ولا ينضم بعضكم إلى بعض فإنه لا يرى في جهة</w:t>
      </w:r>
      <w:r w:rsidR="0002035C" w:rsidRPr="00A52585">
        <w:rPr>
          <w:rFonts w:hint="cs"/>
          <w:rtl/>
        </w:rPr>
        <w:t>)</w:t>
      </w:r>
      <w:r w:rsidR="00DB731D" w:rsidRPr="00A52585">
        <w:rPr>
          <w:rFonts w:hint="cs"/>
          <w:rtl/>
        </w:rPr>
        <w:t>،</w:t>
      </w:r>
      <w:r w:rsidRPr="00A52585">
        <w:rPr>
          <w:rFonts w:hint="cs"/>
          <w:rtl/>
        </w:rPr>
        <w:t xml:space="preserve"> ذكر ذلك الحافظ ابن حجر في الفتح (447</w:t>
      </w:r>
      <w:r w:rsidR="0002035C" w:rsidRPr="00A52585">
        <w:rPr>
          <w:rFonts w:hint="cs"/>
          <w:rtl/>
        </w:rPr>
        <w:t>:</w:t>
      </w:r>
      <w:r w:rsidRPr="00A52585">
        <w:rPr>
          <w:rFonts w:hint="cs"/>
          <w:rtl/>
        </w:rPr>
        <w:t xml:space="preserve"> 11)</w:t>
      </w:r>
      <w:r w:rsidR="00DB731D" w:rsidRPr="00A52585">
        <w:rPr>
          <w:rFonts w:hint="cs"/>
          <w:rtl/>
        </w:rPr>
        <w:t>،</w:t>
      </w:r>
      <w:r w:rsidR="0002035C" w:rsidRPr="00A52585">
        <w:rPr>
          <w:rFonts w:hint="cs"/>
          <w:rtl/>
        </w:rPr>
        <w:t xml:space="preserve"> </w:t>
      </w:r>
      <w:r w:rsidRPr="00A52585">
        <w:rPr>
          <w:rFonts w:hint="cs"/>
          <w:rtl/>
        </w:rPr>
        <w:t>35- وقال أبو بكر محمد بن الحسن المعروف بابن فورك الأشعري (406 هـ) ما نصه</w:t>
      </w:r>
      <w:r w:rsidR="0002035C" w:rsidRPr="00A52585">
        <w:rPr>
          <w:rFonts w:hint="cs"/>
          <w:rtl/>
        </w:rPr>
        <w:t>: (</w:t>
      </w:r>
      <w:r w:rsidRPr="00A52585">
        <w:rPr>
          <w:rFonts w:hint="cs"/>
          <w:rtl/>
        </w:rPr>
        <w:t>لا يجوز على الله تعالى الحلول في الأماكن لاستحالة كونه محدودا ومتناهيا وذلك لاستحالة كونه محدثا</w:t>
      </w:r>
      <w:r w:rsidR="0002035C" w:rsidRPr="00A52585">
        <w:rPr>
          <w:rFonts w:hint="cs"/>
          <w:rtl/>
        </w:rPr>
        <w:t>)</w:t>
      </w:r>
      <w:r w:rsidRPr="00A52585">
        <w:rPr>
          <w:rFonts w:hint="cs"/>
          <w:rtl/>
        </w:rPr>
        <w:t xml:space="preserve"> مشكل الحديث (ص</w:t>
      </w:r>
      <w:r w:rsidR="0002035C" w:rsidRPr="00A52585">
        <w:rPr>
          <w:rFonts w:hint="cs"/>
          <w:rtl/>
        </w:rPr>
        <w:t xml:space="preserve">: </w:t>
      </w:r>
      <w:r w:rsidRPr="00A52585">
        <w:rPr>
          <w:rFonts w:hint="cs"/>
          <w:rtl/>
        </w:rPr>
        <w:t>57)</w:t>
      </w:r>
      <w:r w:rsidR="00DB731D" w:rsidRPr="00A52585">
        <w:rPr>
          <w:rFonts w:hint="cs"/>
          <w:rtl/>
        </w:rPr>
        <w:t>،</w:t>
      </w:r>
      <w:r w:rsidR="0002035C" w:rsidRPr="00A52585">
        <w:rPr>
          <w:rFonts w:hint="cs"/>
          <w:rtl/>
        </w:rPr>
        <w:t xml:space="preserve"> </w:t>
      </w:r>
      <w:r w:rsidRPr="00A52585">
        <w:rPr>
          <w:rFonts w:hint="cs"/>
          <w:rtl/>
        </w:rPr>
        <w:t>36-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واعلم أنا إذا قلنا إن الله عز وجل فوق ما خلق لم يرجع به إلى فوقية المكان والارتفاع على الأمكنة بالمسافة والإشراف عليها بالمماسة لشيء منها</w:t>
      </w:r>
      <w:r w:rsidR="0002035C" w:rsidRPr="00A52585">
        <w:rPr>
          <w:rFonts w:hint="cs"/>
          <w:rtl/>
        </w:rPr>
        <w:t>)</w:t>
      </w:r>
      <w:r w:rsidRPr="00A52585">
        <w:rPr>
          <w:rFonts w:hint="cs"/>
          <w:rtl/>
        </w:rPr>
        <w:t xml:space="preserve"> مشكل الحديث (ص</w:t>
      </w:r>
      <w:r w:rsidR="0002035C" w:rsidRPr="00A52585">
        <w:rPr>
          <w:rFonts w:hint="cs"/>
          <w:rtl/>
        </w:rPr>
        <w:t xml:space="preserve">: </w:t>
      </w:r>
      <w:r w:rsidRPr="00A52585">
        <w:rPr>
          <w:rFonts w:hint="cs"/>
          <w:rtl/>
        </w:rPr>
        <w:t>64)</w:t>
      </w:r>
      <w:r w:rsidR="00DB731D" w:rsidRPr="00A52585">
        <w:rPr>
          <w:rFonts w:hint="cs"/>
          <w:rtl/>
        </w:rPr>
        <w:t>،</w:t>
      </w:r>
      <w:r w:rsidR="0002035C" w:rsidRPr="00A52585">
        <w:rPr>
          <w:rFonts w:hint="cs"/>
          <w:rtl/>
        </w:rPr>
        <w:t xml:space="preserve"> </w:t>
      </w:r>
      <w:r w:rsidRPr="00A52585">
        <w:rPr>
          <w:rFonts w:hint="cs"/>
          <w:rtl/>
        </w:rPr>
        <w:t>37- وقال الأديب النحوي أبو علي المرزوقي (421 هـ) ما نصه</w:t>
      </w:r>
      <w:r w:rsidR="0002035C" w:rsidRPr="00A52585">
        <w:rPr>
          <w:rFonts w:hint="cs"/>
          <w:rtl/>
        </w:rPr>
        <w:t>: (</w:t>
      </w:r>
      <w:r w:rsidRPr="00A52585">
        <w:rPr>
          <w:rFonts w:hint="cs"/>
          <w:rtl/>
        </w:rPr>
        <w:t>الله تعالى لا تحويه الأماكن ولا تحيط به الأقطار والجوانب</w:t>
      </w:r>
      <w:r w:rsidR="0002035C" w:rsidRPr="00A52585">
        <w:rPr>
          <w:rFonts w:hint="cs"/>
          <w:rtl/>
        </w:rPr>
        <w:t>)</w:t>
      </w:r>
      <w:r w:rsidRPr="00A52585">
        <w:rPr>
          <w:rFonts w:hint="cs"/>
          <w:rtl/>
        </w:rPr>
        <w:t xml:space="preserve"> (1</w:t>
      </w:r>
      <w:r w:rsidR="0002035C" w:rsidRPr="00A52585">
        <w:rPr>
          <w:rFonts w:hint="cs"/>
          <w:rtl/>
        </w:rPr>
        <w:t xml:space="preserve">: </w:t>
      </w:r>
      <w:r w:rsidRPr="00A52585">
        <w:rPr>
          <w:rFonts w:hint="cs"/>
          <w:rtl/>
        </w:rPr>
        <w:t>92)</w:t>
      </w:r>
      <w:r w:rsidR="00DB731D" w:rsidRPr="00A52585">
        <w:rPr>
          <w:rFonts w:hint="cs"/>
          <w:rtl/>
        </w:rPr>
        <w:t>،</w:t>
      </w:r>
      <w:r w:rsidR="0002035C" w:rsidRPr="00A52585">
        <w:rPr>
          <w:rFonts w:hint="cs"/>
          <w:rtl/>
        </w:rPr>
        <w:t xml:space="preserve"> </w:t>
      </w:r>
      <w:r w:rsidRPr="00A52585">
        <w:rPr>
          <w:rFonts w:hint="cs"/>
          <w:rtl/>
        </w:rPr>
        <w:t>38- وقال الشيخ الإمام أبو منصور عبد القاهر بن طاهر التميمي البغدادي الإسفراييني (429 هـ) ما نصه</w:t>
      </w:r>
      <w:r w:rsidR="0002035C" w:rsidRPr="00A52585">
        <w:rPr>
          <w:rFonts w:hint="cs"/>
          <w:rtl/>
        </w:rPr>
        <w:t>: (</w:t>
      </w:r>
      <w:r w:rsidRPr="00A52585">
        <w:rPr>
          <w:rFonts w:hint="cs"/>
          <w:rtl/>
        </w:rPr>
        <w:t xml:space="preserve">وأجمعوا - أي أهل السنة - على أنه - أي الله - لا </w:t>
      </w:r>
      <w:proofErr w:type="spellStart"/>
      <w:r w:rsidRPr="00A52585">
        <w:rPr>
          <w:rFonts w:hint="cs"/>
          <w:rtl/>
        </w:rPr>
        <w:t>يحويه</w:t>
      </w:r>
      <w:proofErr w:type="spellEnd"/>
      <w:r w:rsidRPr="00A52585">
        <w:rPr>
          <w:rFonts w:hint="cs"/>
          <w:rtl/>
        </w:rPr>
        <w:t xml:space="preserve"> مكان ولا يجري عليه زمان</w:t>
      </w:r>
      <w:r w:rsidR="0002035C" w:rsidRPr="00A52585">
        <w:rPr>
          <w:rFonts w:hint="cs"/>
          <w:rtl/>
        </w:rPr>
        <w:t>)</w:t>
      </w:r>
      <w:r w:rsidRPr="00A52585">
        <w:rPr>
          <w:rFonts w:hint="cs"/>
          <w:rtl/>
        </w:rPr>
        <w:t xml:space="preserve"> الفرق بين الفرق (ص</w:t>
      </w:r>
      <w:r w:rsidR="0002035C" w:rsidRPr="00A52585">
        <w:rPr>
          <w:rFonts w:hint="cs"/>
          <w:rtl/>
        </w:rPr>
        <w:t xml:space="preserve">: </w:t>
      </w:r>
      <w:r w:rsidRPr="00A52585">
        <w:rPr>
          <w:rFonts w:hint="cs"/>
          <w:rtl/>
        </w:rPr>
        <w:t>333)</w:t>
      </w:r>
      <w:r w:rsidR="00DB731D" w:rsidRPr="00A52585">
        <w:rPr>
          <w:rFonts w:hint="cs"/>
          <w:rtl/>
        </w:rPr>
        <w:t>،</w:t>
      </w:r>
      <w:r w:rsidR="0002035C" w:rsidRPr="00A52585">
        <w:rPr>
          <w:rFonts w:hint="cs"/>
          <w:rtl/>
        </w:rPr>
        <w:t xml:space="preserve"> </w:t>
      </w:r>
      <w:r w:rsidRPr="00A52585">
        <w:rPr>
          <w:rFonts w:hint="cs"/>
          <w:rtl/>
        </w:rPr>
        <w:t>39- وقال الشيخ علي بن خلف المشهور بابن بطال المالكي (449 هـ) أحد شراح صحيح البخاري ما نصه</w:t>
      </w:r>
      <w:r w:rsidR="0002035C" w:rsidRPr="00A52585">
        <w:rPr>
          <w:rFonts w:hint="cs"/>
          <w:rtl/>
        </w:rPr>
        <w:t xml:space="preserve">: </w:t>
      </w:r>
      <w:r w:rsidRPr="00A52585">
        <w:rPr>
          <w:rFonts w:hint="cs"/>
          <w:rtl/>
        </w:rPr>
        <w:t>(غرض البخاري في هذا الباب الرد على الجهمية المجسمة في تعلقها بهذه الظواهر، وقد تقرر أن الله ليس بجسم فلا يحتاج إلى مكان يستقر فيه</w:t>
      </w:r>
      <w:r w:rsidR="00DB731D" w:rsidRPr="00A52585">
        <w:rPr>
          <w:rFonts w:hint="cs"/>
          <w:rtl/>
        </w:rPr>
        <w:t>،</w:t>
      </w:r>
      <w:r w:rsidRPr="00A52585">
        <w:rPr>
          <w:rFonts w:hint="cs"/>
          <w:rtl/>
        </w:rPr>
        <w:t xml:space="preserve"> فقد كان ولا مكان</w:t>
      </w:r>
      <w:r w:rsidR="00DB731D" w:rsidRPr="00A52585">
        <w:rPr>
          <w:rFonts w:hint="cs"/>
          <w:rtl/>
        </w:rPr>
        <w:t>،</w:t>
      </w:r>
      <w:r w:rsidRPr="00A52585">
        <w:rPr>
          <w:rFonts w:hint="cs"/>
          <w:rtl/>
        </w:rPr>
        <w:t xml:space="preserve"> وإنما أضاف المعارج إليه إضافة تشريف</w:t>
      </w:r>
      <w:r w:rsidR="00DB731D" w:rsidRPr="00A52585">
        <w:rPr>
          <w:rFonts w:hint="cs"/>
          <w:rtl/>
        </w:rPr>
        <w:t>،</w:t>
      </w:r>
      <w:r w:rsidRPr="00A52585">
        <w:rPr>
          <w:rFonts w:hint="cs"/>
          <w:rtl/>
        </w:rPr>
        <w:t xml:space="preserve"> ومعنى الارتفاع إليه اعتلاؤه - أي تعاليه - مع تنزيهه عن المكان</w:t>
      </w:r>
      <w:r w:rsidR="0002035C" w:rsidRPr="00A52585">
        <w:rPr>
          <w:rFonts w:hint="cs"/>
          <w:rtl/>
        </w:rPr>
        <w:t xml:space="preserve">) </w:t>
      </w:r>
      <w:r w:rsidRPr="00A52585">
        <w:rPr>
          <w:rFonts w:hint="cs"/>
          <w:rtl/>
        </w:rPr>
        <w:t>فتح الباري (13</w:t>
      </w:r>
      <w:r w:rsidR="0002035C" w:rsidRPr="00A52585">
        <w:rPr>
          <w:rFonts w:hint="cs"/>
          <w:rtl/>
        </w:rPr>
        <w:t xml:space="preserve">: </w:t>
      </w:r>
      <w:r w:rsidRPr="00A52585">
        <w:rPr>
          <w:rFonts w:hint="cs"/>
          <w:rtl/>
        </w:rPr>
        <w:t>416)</w:t>
      </w:r>
      <w:r w:rsidR="00DB731D" w:rsidRPr="00A52585">
        <w:rPr>
          <w:rFonts w:hint="cs"/>
          <w:rtl/>
        </w:rPr>
        <w:t>،</w:t>
      </w:r>
      <w:r w:rsidR="0002035C" w:rsidRPr="00A52585">
        <w:rPr>
          <w:rFonts w:hint="cs"/>
          <w:rtl/>
        </w:rPr>
        <w:t xml:space="preserve"> </w:t>
      </w:r>
      <w:r w:rsidRPr="00A52585">
        <w:rPr>
          <w:rFonts w:hint="cs"/>
          <w:rtl/>
        </w:rPr>
        <w:t>40-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تعلق للمجسمة في إثبات المكان</w:t>
      </w:r>
      <w:r w:rsidR="00DB731D" w:rsidRPr="00A52585">
        <w:rPr>
          <w:rFonts w:hint="cs"/>
          <w:rtl/>
        </w:rPr>
        <w:t>،</w:t>
      </w:r>
      <w:r w:rsidRPr="00A52585">
        <w:rPr>
          <w:rFonts w:hint="cs"/>
          <w:rtl/>
        </w:rPr>
        <w:t xml:space="preserve"> لما ثبت من استحالة أن يكون سبحانه جسما أو حالا في مكان</w:t>
      </w:r>
      <w:r w:rsidR="0002035C" w:rsidRPr="00A52585">
        <w:rPr>
          <w:rFonts w:hint="cs"/>
          <w:rtl/>
        </w:rPr>
        <w:t>)</w:t>
      </w:r>
      <w:r w:rsidRPr="00A52585">
        <w:rPr>
          <w:rFonts w:hint="cs"/>
          <w:rtl/>
        </w:rPr>
        <w:t xml:space="preserve"> وقد نقله الحافظ ابن حجر العسقلاني مقرا وموافقا له الفتح (13</w:t>
      </w:r>
      <w:r w:rsidR="0002035C" w:rsidRPr="00A52585">
        <w:rPr>
          <w:rFonts w:hint="cs"/>
          <w:rtl/>
        </w:rPr>
        <w:t xml:space="preserve">: </w:t>
      </w:r>
      <w:r w:rsidRPr="00A52585">
        <w:rPr>
          <w:rFonts w:hint="cs"/>
          <w:rtl/>
        </w:rPr>
        <w:t>433).، مما يدل على أن هذه هي عقيدة أهل الحديث أيضا</w:t>
      </w:r>
      <w:r w:rsidR="00DB731D" w:rsidRPr="00A52585">
        <w:rPr>
          <w:rFonts w:hint="cs"/>
          <w:rtl/>
        </w:rPr>
        <w:t>،</w:t>
      </w:r>
      <w:r w:rsidR="0002035C" w:rsidRPr="00A52585">
        <w:rPr>
          <w:rFonts w:hint="cs"/>
          <w:rtl/>
        </w:rPr>
        <w:t xml:space="preserve"> </w:t>
      </w:r>
      <w:r w:rsidRPr="00A52585">
        <w:rPr>
          <w:rFonts w:hint="cs"/>
          <w:rtl/>
        </w:rPr>
        <w:t>41- وقال أبو محمد علي بن أحمد المعروف بابن حزم الأندلسي (456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وأنه تعالى لا في مكان ولا في زمان، بل هو تعالى خالق الأزمنة والأمكنة، قال تعالى</w:t>
      </w:r>
      <w:r w:rsidR="0002035C" w:rsidRPr="00A52585">
        <w:rPr>
          <w:rFonts w:hint="cs"/>
          <w:rtl/>
        </w:rPr>
        <w:t>:</w:t>
      </w:r>
      <w:r w:rsidRPr="00A52585">
        <w:rPr>
          <w:rFonts w:hint="cs"/>
          <w:rtl/>
        </w:rPr>
        <w:t xml:space="preserve"> (وَخَلَقَ كُلَّ شَيْءٍ فَقَدَّرَهُ تَقْدِيراً)(سورة الفرقان</w:t>
      </w:r>
      <w:r w:rsidR="0002035C" w:rsidRPr="00A52585">
        <w:rPr>
          <w:rFonts w:hint="cs"/>
          <w:rtl/>
        </w:rPr>
        <w:t>:</w:t>
      </w:r>
      <w:r w:rsidRPr="00A52585">
        <w:rPr>
          <w:rFonts w:hint="cs"/>
          <w:rtl/>
        </w:rPr>
        <w:t xml:space="preserve"> 2)، وقال (قَ السَّمَاوَاتِ وَالْأَرْضَ وَمَا بَيْنَهُمَا)(سورة الفرقان</w:t>
      </w:r>
      <w:r w:rsidR="0002035C" w:rsidRPr="00A52585">
        <w:rPr>
          <w:rFonts w:hint="cs"/>
          <w:rtl/>
        </w:rPr>
        <w:t>:</w:t>
      </w:r>
      <w:r w:rsidRPr="00A52585">
        <w:rPr>
          <w:rFonts w:hint="cs"/>
          <w:rtl/>
        </w:rPr>
        <w:t xml:space="preserve"> 59)، والزمان والمكان هما مخلوقان، قد كان تعالى دونهما، والمكان إنما هو للأجسام</w:t>
      </w:r>
      <w:r w:rsidR="0002035C" w:rsidRPr="00A52585">
        <w:rPr>
          <w:rFonts w:hint="cs"/>
          <w:rtl/>
        </w:rPr>
        <w:t>)</w:t>
      </w:r>
      <w:r w:rsidRPr="00A52585">
        <w:rPr>
          <w:rFonts w:hint="cs"/>
          <w:rtl/>
        </w:rPr>
        <w:t xml:space="preserve"> أنظر كتابه علم الكلام</w:t>
      </w:r>
      <w:r w:rsidR="0002035C" w:rsidRPr="00A52585">
        <w:rPr>
          <w:rFonts w:hint="cs"/>
          <w:rtl/>
        </w:rPr>
        <w:t>:</w:t>
      </w:r>
      <w:r w:rsidRPr="00A52585">
        <w:rPr>
          <w:rFonts w:hint="cs"/>
          <w:rtl/>
        </w:rPr>
        <w:t xml:space="preserve"> مسألة </w:t>
      </w:r>
      <w:r w:rsidRPr="00A52585">
        <w:rPr>
          <w:rFonts w:hint="cs"/>
          <w:rtl/>
        </w:rPr>
        <w:lastRenderedPageBreak/>
        <w:t>في نفي المكان عن الله تعالى (ص</w:t>
      </w:r>
      <w:r w:rsidR="0002035C" w:rsidRPr="00A52585">
        <w:rPr>
          <w:rFonts w:hint="cs"/>
          <w:rtl/>
        </w:rPr>
        <w:t xml:space="preserve">: </w:t>
      </w:r>
      <w:r w:rsidRPr="00A52585">
        <w:rPr>
          <w:rFonts w:hint="cs"/>
          <w:rtl/>
        </w:rPr>
        <w:t>65)</w:t>
      </w:r>
      <w:r w:rsidR="00DB731D" w:rsidRPr="00A52585">
        <w:rPr>
          <w:rFonts w:hint="cs"/>
          <w:rtl/>
        </w:rPr>
        <w:t>،</w:t>
      </w:r>
      <w:r w:rsidR="0002035C" w:rsidRPr="00A52585">
        <w:rPr>
          <w:rFonts w:hint="cs"/>
          <w:rtl/>
        </w:rPr>
        <w:t xml:space="preserve"> </w:t>
      </w:r>
      <w:r w:rsidRPr="00A52585">
        <w:rPr>
          <w:rFonts w:hint="cs"/>
          <w:rtl/>
        </w:rPr>
        <w:t>42- وقال الحافظ أبو بكر أحمد بن الحسين البيهقي الشافعي (458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والذي روي في ءاخر هذا الحديث </w:t>
      </w:r>
      <w:r w:rsidR="0002035C" w:rsidRPr="00A52585">
        <w:rPr>
          <w:rFonts w:hint="cs"/>
          <w:rtl/>
        </w:rPr>
        <w:t>(</w:t>
      </w:r>
      <w:r w:rsidRPr="00A52585">
        <w:rPr>
          <w:rFonts w:hint="cs"/>
          <w:rtl/>
        </w:rPr>
        <w:t>أي حديث</w:t>
      </w:r>
      <w:r w:rsidR="0002035C" w:rsidRPr="00A52585">
        <w:rPr>
          <w:rFonts w:hint="cs"/>
          <w:rtl/>
        </w:rPr>
        <w:t>:</w:t>
      </w:r>
      <w:r w:rsidRPr="00A52585">
        <w:rPr>
          <w:rFonts w:hint="cs"/>
          <w:rtl/>
        </w:rPr>
        <w:t xml:space="preserve"> "والذي نفس محمد بيده لو أنكم دليتم أحدكم بحبل إلى الأرض السابعة لهبط على الله تبارك وتعالى", وهو حديث ضعيف</w:t>
      </w:r>
      <w:r w:rsidR="0002035C" w:rsidRPr="00A52585">
        <w:rPr>
          <w:rFonts w:hint="cs"/>
          <w:rtl/>
        </w:rPr>
        <w:t>)</w:t>
      </w:r>
      <w:r w:rsidRPr="00A52585">
        <w:rPr>
          <w:rFonts w:hint="cs"/>
          <w:rtl/>
        </w:rPr>
        <w:t xml:space="preserve">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 سلّم) "أنت الظاهر فليس فوقك شيء، وأنت الباطن فليس دونك شيء"، وإذا لم يكن فوقه شيء ولا دونه شيء لم يكن في مكان</w:t>
      </w:r>
      <w:r w:rsidR="0002035C" w:rsidRPr="00A52585">
        <w:rPr>
          <w:rFonts w:hint="cs"/>
          <w:rtl/>
        </w:rPr>
        <w:t>)</w:t>
      </w:r>
      <w:r w:rsidRPr="00A52585">
        <w:rPr>
          <w:rFonts w:hint="cs"/>
          <w:rtl/>
        </w:rPr>
        <w:t xml:space="preserve"> الأسماء والصفات (ص</w:t>
      </w:r>
      <w:r w:rsidR="0002035C" w:rsidRPr="00A52585">
        <w:rPr>
          <w:rFonts w:hint="cs"/>
          <w:rtl/>
        </w:rPr>
        <w:t xml:space="preserve">: </w:t>
      </w:r>
      <w:r w:rsidRPr="00A52585">
        <w:rPr>
          <w:rFonts w:hint="cs"/>
          <w:rtl/>
        </w:rPr>
        <w:t>400)</w:t>
      </w:r>
      <w:r w:rsidR="00DB731D" w:rsidRPr="00A52585">
        <w:rPr>
          <w:rFonts w:hint="cs"/>
          <w:rtl/>
        </w:rPr>
        <w:t>،</w:t>
      </w:r>
      <w:r w:rsidR="0002035C" w:rsidRPr="00A52585">
        <w:rPr>
          <w:rFonts w:hint="cs"/>
          <w:rtl/>
        </w:rPr>
        <w:t xml:space="preserve"> </w:t>
      </w:r>
      <w:r w:rsidRPr="00A52585">
        <w:rPr>
          <w:rFonts w:hint="cs"/>
          <w:rtl/>
        </w:rPr>
        <w:t>43- وقال أيضا ما نصه</w:t>
      </w:r>
      <w:r w:rsidR="0002035C" w:rsidRPr="00A52585">
        <w:rPr>
          <w:rFonts w:hint="cs"/>
          <w:rtl/>
        </w:rPr>
        <w:t>: (</w:t>
      </w:r>
      <w:r w:rsidRPr="00A52585">
        <w:rPr>
          <w:rFonts w:hint="cs"/>
          <w:rtl/>
        </w:rPr>
        <w:t>أخبرنا أبو عبد الله الحافظ، قال</w:t>
      </w:r>
      <w:r w:rsidR="0002035C" w:rsidRPr="00A52585">
        <w:rPr>
          <w:rFonts w:hint="cs"/>
          <w:rtl/>
        </w:rPr>
        <w:t>:</w:t>
      </w:r>
      <w:r w:rsidRPr="00A52585">
        <w:rPr>
          <w:rFonts w:hint="cs"/>
          <w:rtl/>
        </w:rPr>
        <w:t xml:space="preserve"> سمعت أبا محمد أحمد بن عبد الله المزني يقول</w:t>
      </w:r>
      <w:r w:rsidR="0002035C" w:rsidRPr="00A52585">
        <w:rPr>
          <w:rFonts w:hint="cs"/>
          <w:rtl/>
        </w:rPr>
        <w:t>:</w:t>
      </w:r>
      <w:r w:rsidRPr="00A52585">
        <w:rPr>
          <w:rFonts w:hint="cs"/>
          <w:rtl/>
        </w:rPr>
        <w:t xml:space="preserve"> حديث النزول قد ثبت عن رسول الله </w:t>
      </w:r>
      <w:r w:rsidR="0002035C" w:rsidRPr="00A52585">
        <w:rPr>
          <w:rFonts w:hint="cs"/>
          <w:rtl/>
        </w:rPr>
        <w:t>(</w:t>
      </w:r>
      <w:r w:rsidRPr="00A52585">
        <w:rPr>
          <w:rFonts w:hint="cs"/>
          <w:rtl/>
        </w:rPr>
        <w:t>صلى الله عليه و سلّم</w:t>
      </w:r>
      <w:r w:rsidR="0002035C" w:rsidRPr="00A52585">
        <w:rPr>
          <w:rFonts w:hint="cs"/>
          <w:rtl/>
        </w:rPr>
        <w:t>)</w:t>
      </w:r>
      <w:r w:rsidRPr="00A52585">
        <w:rPr>
          <w:rFonts w:hint="cs"/>
          <w:rtl/>
        </w:rPr>
        <w:t xml:space="preserve"> من وجوه صحيحة وورد في التنزيل ما يصدقه وهو </w:t>
      </w:r>
      <w:r w:rsidR="0002035C" w:rsidRPr="00A52585">
        <w:rPr>
          <w:rFonts w:hint="cs"/>
          <w:rtl/>
        </w:rPr>
        <w:t>(</w:t>
      </w:r>
      <w:r w:rsidRPr="00A52585">
        <w:rPr>
          <w:rFonts w:hint="cs"/>
          <w:rtl/>
        </w:rPr>
        <w:t>وَجَاء رَبُّكَ وَالْمَلَكُ صَفّاً صَفّاً</w:t>
      </w:r>
      <w:r w:rsidR="0002035C" w:rsidRPr="00A52585">
        <w:rPr>
          <w:rFonts w:hint="cs"/>
          <w:rtl/>
        </w:rPr>
        <w:t>)</w:t>
      </w:r>
      <w:r w:rsidRPr="00A52585">
        <w:rPr>
          <w:rFonts w:hint="cs"/>
          <w:rtl/>
        </w:rPr>
        <w:t xml:space="preserve"> (الفجر22) والنزول والمجيء صفتان منفيتان عن الله تعالى من طريق الحركة والانتقال من حال إلى حال, بل هما صفتان من صفات الله تعالى بلا تشبيه</w:t>
      </w:r>
      <w:r w:rsidR="00DB731D" w:rsidRPr="00A52585">
        <w:rPr>
          <w:rFonts w:hint="cs"/>
          <w:rtl/>
        </w:rPr>
        <w:t>،</w:t>
      </w:r>
      <w:r w:rsidRPr="00A52585">
        <w:rPr>
          <w:rFonts w:hint="cs"/>
          <w:rtl/>
        </w:rPr>
        <w:t xml:space="preserve"> جل الله تعالى عما تقول المعطلة لصفاته والمشبهة بها علوا كبيرا. قلت</w:t>
      </w:r>
      <w:r w:rsidR="0002035C" w:rsidRPr="00A52585">
        <w:rPr>
          <w:rFonts w:hint="cs"/>
          <w:rtl/>
        </w:rPr>
        <w:t>:</w:t>
      </w:r>
      <w:r w:rsidRPr="00A52585">
        <w:rPr>
          <w:rFonts w:hint="cs"/>
          <w:rtl/>
        </w:rPr>
        <w:t xml:space="preserve"> وكان أبو سليمان الخطابي رحمه الله يقول</w:t>
      </w:r>
      <w:r w:rsidR="0002035C" w:rsidRPr="00A52585">
        <w:rPr>
          <w:rFonts w:hint="cs"/>
          <w:rtl/>
        </w:rPr>
        <w:t>:</w:t>
      </w:r>
      <w:r w:rsidRPr="00A52585">
        <w:rPr>
          <w:rFonts w:hint="cs"/>
          <w:rtl/>
        </w:rPr>
        <w:t xml:space="preserve"> إنما ينكر هذا وما أشبهه من الحديث من يقيس الأمور في ذلك بما يشاهده من النزول الذي هو تدلٍّ من أعلى إلى أسفل وانتقال من فوق إلى تحت وهذه صفة الأجسام والأشباح، فأما نزول من لا تستولي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 ليس كمثله شيء وهو السميع البصير</w:t>
      </w:r>
      <w:r w:rsidR="0002035C" w:rsidRPr="00A52585">
        <w:rPr>
          <w:rFonts w:hint="cs"/>
          <w:rtl/>
        </w:rPr>
        <w:t>)</w:t>
      </w:r>
      <w:r w:rsidRPr="00A52585">
        <w:rPr>
          <w:rFonts w:hint="cs"/>
          <w:rtl/>
        </w:rPr>
        <w:t xml:space="preserve"> السنن الكبرى (3</w:t>
      </w:r>
      <w:r w:rsidR="0002035C" w:rsidRPr="00A52585">
        <w:rPr>
          <w:rFonts w:hint="cs"/>
          <w:rtl/>
        </w:rPr>
        <w:t xml:space="preserve">: </w:t>
      </w:r>
      <w:r w:rsidRPr="00A52585">
        <w:rPr>
          <w:rFonts w:hint="cs"/>
          <w:rtl/>
        </w:rPr>
        <w:t>3)</w:t>
      </w:r>
      <w:r w:rsidR="00DB731D" w:rsidRPr="00A52585">
        <w:rPr>
          <w:rFonts w:hint="cs"/>
          <w:rtl/>
        </w:rPr>
        <w:t>،</w:t>
      </w:r>
      <w:r w:rsidR="0002035C" w:rsidRPr="00A52585">
        <w:rPr>
          <w:rFonts w:hint="cs"/>
          <w:rtl/>
        </w:rPr>
        <w:t xml:space="preserve"> </w:t>
      </w:r>
      <w:r w:rsidRPr="00A52585">
        <w:rPr>
          <w:rFonts w:hint="cs"/>
          <w:rtl/>
        </w:rPr>
        <w:t>44-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 أبو سليمان الخطابي</w:t>
      </w:r>
      <w:r w:rsidR="0002035C" w:rsidRPr="00A52585">
        <w:rPr>
          <w:rFonts w:hint="cs"/>
          <w:rtl/>
        </w:rPr>
        <w:t>:</w:t>
      </w:r>
      <w:r w:rsidRPr="00A52585">
        <w:rPr>
          <w:rFonts w:hint="cs"/>
          <w:rtl/>
        </w:rPr>
        <w:t xml:space="preserve"> وليس معنى قول المسلمين</w:t>
      </w:r>
      <w:r w:rsidR="0002035C" w:rsidRPr="00A52585">
        <w:rPr>
          <w:rFonts w:hint="cs"/>
          <w:rtl/>
        </w:rPr>
        <w:t>:</w:t>
      </w:r>
      <w:r w:rsidRPr="00A52585">
        <w:rPr>
          <w:rFonts w:hint="cs"/>
          <w:rtl/>
        </w:rPr>
        <w:t xml:space="preserve"> إن الله استوى على العرش هو أنه مماس له أو متمكن فيه أو متحيز في جهة من جهاته</w:t>
      </w:r>
      <w:r w:rsidR="00DB731D" w:rsidRPr="00A52585">
        <w:rPr>
          <w:rFonts w:hint="cs"/>
          <w:rtl/>
        </w:rPr>
        <w:t>،</w:t>
      </w:r>
      <w:r w:rsidRPr="00A52585">
        <w:rPr>
          <w:rFonts w:hint="cs"/>
          <w:rtl/>
        </w:rPr>
        <w:t xml:space="preserve"> لكنه بائن من جميع خلقه</w:t>
      </w:r>
      <w:r w:rsidR="00DB731D" w:rsidRPr="00A52585">
        <w:rPr>
          <w:rFonts w:hint="cs"/>
          <w:rtl/>
        </w:rPr>
        <w:t>،</w:t>
      </w:r>
      <w:r w:rsidRPr="00A52585">
        <w:rPr>
          <w:rFonts w:hint="cs"/>
          <w:rtl/>
        </w:rPr>
        <w:t xml:space="preserve"> هـانما هو خبر جاء به التوقيف فقلنا به ونفينا عنه التكييف</w:t>
      </w:r>
      <w:r w:rsidR="00DB731D" w:rsidRPr="00A52585">
        <w:rPr>
          <w:rFonts w:hint="cs"/>
          <w:rtl/>
        </w:rPr>
        <w:t>،</w:t>
      </w:r>
      <w:r w:rsidRPr="00A52585">
        <w:rPr>
          <w:rFonts w:hint="cs"/>
          <w:rtl/>
        </w:rPr>
        <w:t xml:space="preserve"> إذ ليس كمثله شيء</w:t>
      </w:r>
      <w:r w:rsidR="0002035C" w:rsidRPr="00A52585">
        <w:rPr>
          <w:rFonts w:hint="cs"/>
          <w:rtl/>
        </w:rPr>
        <w:t>)</w:t>
      </w:r>
      <w:r w:rsidRPr="00A52585">
        <w:rPr>
          <w:rFonts w:hint="cs"/>
          <w:rtl/>
        </w:rPr>
        <w:t xml:space="preserve"> الأسماء والصفات</w:t>
      </w:r>
      <w:r w:rsidR="0002035C" w:rsidRPr="00A52585">
        <w:rPr>
          <w:rFonts w:hint="cs"/>
          <w:rtl/>
        </w:rPr>
        <w:t>:</w:t>
      </w:r>
      <w:r w:rsidRPr="00A52585">
        <w:rPr>
          <w:rFonts w:hint="cs"/>
          <w:rtl/>
        </w:rPr>
        <w:t xml:space="preserve"> باب ما جاء في العرش والكرسي (ص</w:t>
      </w:r>
      <w:r w:rsidR="0002035C" w:rsidRPr="00A52585">
        <w:rPr>
          <w:rFonts w:hint="cs"/>
          <w:rtl/>
        </w:rPr>
        <w:t>:</w:t>
      </w:r>
      <w:r w:rsidRPr="00A52585">
        <w:rPr>
          <w:rFonts w:hint="cs"/>
          <w:rtl/>
        </w:rPr>
        <w:t xml:space="preserve"> 396- 397)</w:t>
      </w:r>
      <w:r w:rsidR="00DB731D" w:rsidRPr="00A52585">
        <w:rPr>
          <w:rFonts w:hint="cs"/>
          <w:rtl/>
        </w:rPr>
        <w:t>،</w:t>
      </w:r>
      <w:r w:rsidR="0002035C" w:rsidRPr="00A52585">
        <w:rPr>
          <w:rFonts w:hint="cs"/>
          <w:rtl/>
        </w:rPr>
        <w:t xml:space="preserve"> </w:t>
      </w:r>
      <w:r w:rsidRPr="00A52585">
        <w:rPr>
          <w:rFonts w:hint="cs"/>
          <w:rtl/>
        </w:rPr>
        <w:t>45- وقال أبو القاسم عبد الكريم بن هوازن القشيري في رسالته عند ذكر عقيدة الصوفية ما نصه</w:t>
      </w:r>
      <w:r w:rsidR="0002035C" w:rsidRPr="00A52585">
        <w:rPr>
          <w:rFonts w:hint="cs"/>
          <w:rtl/>
        </w:rPr>
        <w:t>: (</w:t>
      </w:r>
      <w:r w:rsidRPr="00A52585">
        <w:rPr>
          <w:rFonts w:hint="cs"/>
          <w:rtl/>
        </w:rPr>
        <w:t>وهذه فصول تشتمل على بيان عقائدهم في مسائل التوحيد ذكرناها على وجه الترتيب</w:t>
      </w:r>
      <w:r w:rsidR="00DB731D" w:rsidRPr="00A52585">
        <w:rPr>
          <w:rFonts w:hint="cs"/>
          <w:rtl/>
        </w:rPr>
        <w:t>،</w:t>
      </w:r>
      <w:r w:rsidRPr="00A52585">
        <w:rPr>
          <w:rFonts w:hint="cs"/>
          <w:rtl/>
        </w:rPr>
        <w:t xml:space="preserve"> قال شيوخ هذه الطريقة على ما يدل عليه متفرقات كلامهم ومجموعاتها ومصنفاتهم في التوحيد</w:t>
      </w:r>
      <w:r w:rsidR="0002035C" w:rsidRPr="00A52585">
        <w:rPr>
          <w:rFonts w:hint="cs"/>
          <w:rtl/>
        </w:rPr>
        <w:t>:</w:t>
      </w:r>
      <w:r w:rsidRPr="00A52585">
        <w:rPr>
          <w:rFonts w:hint="cs"/>
          <w:rtl/>
        </w:rPr>
        <w:t xml:space="preserve"> إن الحق سبحانه وتعالى موجود قديم لا يشبهه شيء من </w:t>
      </w:r>
      <w:proofErr w:type="spellStart"/>
      <w:r w:rsidRPr="00A52585">
        <w:rPr>
          <w:rFonts w:hint="cs"/>
          <w:rtl/>
        </w:rPr>
        <w:t>الفخلوقات</w:t>
      </w:r>
      <w:proofErr w:type="spellEnd"/>
      <w:r w:rsidR="00DB731D" w:rsidRPr="00A52585">
        <w:rPr>
          <w:rFonts w:hint="cs"/>
          <w:rtl/>
        </w:rPr>
        <w:t>،</w:t>
      </w:r>
      <w:r w:rsidRPr="00A52585">
        <w:rPr>
          <w:rFonts w:hint="cs"/>
          <w:rtl/>
        </w:rPr>
        <w:t xml:space="preserve"> ليس بجسم ولا جوهر ولا عرض</w:t>
      </w:r>
      <w:r w:rsidR="00DB731D" w:rsidRPr="00A52585">
        <w:rPr>
          <w:rFonts w:hint="cs"/>
          <w:rtl/>
        </w:rPr>
        <w:t>،</w:t>
      </w:r>
      <w:r w:rsidRPr="00A52585">
        <w:rPr>
          <w:rFonts w:hint="cs"/>
          <w:rtl/>
        </w:rPr>
        <w:t xml:space="preserve"> ولا صفاته أعراض</w:t>
      </w:r>
      <w:r w:rsidR="00DB731D" w:rsidRPr="00A52585">
        <w:rPr>
          <w:rFonts w:hint="cs"/>
          <w:rtl/>
        </w:rPr>
        <w:t>،</w:t>
      </w:r>
      <w:r w:rsidRPr="00A52585">
        <w:rPr>
          <w:rFonts w:hint="cs"/>
          <w:rtl/>
        </w:rPr>
        <w:t xml:space="preserve"> ولا يتصور في الأوهام</w:t>
      </w:r>
      <w:r w:rsidR="00DB731D" w:rsidRPr="00A52585">
        <w:rPr>
          <w:rFonts w:hint="cs"/>
          <w:rtl/>
        </w:rPr>
        <w:t>،</w:t>
      </w:r>
      <w:r w:rsidRPr="00A52585">
        <w:rPr>
          <w:rFonts w:hint="cs"/>
          <w:rtl/>
        </w:rPr>
        <w:t xml:space="preserve"> ولا يتقدر </w:t>
      </w:r>
      <w:r w:rsidRPr="00A52585">
        <w:rPr>
          <w:rFonts w:hint="cs"/>
          <w:rtl/>
        </w:rPr>
        <w:lastRenderedPageBreak/>
        <w:t>في العقول</w:t>
      </w:r>
      <w:r w:rsidR="00DB731D" w:rsidRPr="00A52585">
        <w:rPr>
          <w:rFonts w:hint="cs"/>
          <w:rtl/>
        </w:rPr>
        <w:t>،</w:t>
      </w:r>
      <w:r w:rsidRPr="00A52585">
        <w:rPr>
          <w:rFonts w:hint="cs"/>
          <w:rtl/>
        </w:rPr>
        <w:t xml:space="preserve"> ولا له جهة ولا مكان</w:t>
      </w:r>
      <w:r w:rsidR="00DB731D" w:rsidRPr="00A52585">
        <w:rPr>
          <w:rFonts w:hint="cs"/>
          <w:rtl/>
        </w:rPr>
        <w:t>،</w:t>
      </w:r>
      <w:r w:rsidRPr="00A52585">
        <w:rPr>
          <w:rFonts w:hint="cs"/>
          <w:rtl/>
        </w:rPr>
        <w:t xml:space="preserve"> ولا يجري عليه وقت وزمان</w:t>
      </w:r>
      <w:r w:rsidR="0002035C" w:rsidRPr="00A52585">
        <w:rPr>
          <w:rFonts w:hint="cs"/>
          <w:rtl/>
        </w:rPr>
        <w:t>)</w:t>
      </w:r>
      <w:r w:rsidRPr="00A52585">
        <w:rPr>
          <w:rFonts w:hint="cs"/>
          <w:rtl/>
        </w:rPr>
        <w:t xml:space="preserve"> انتهى باختصار الرسالة القشيرية (ص 7)</w:t>
      </w:r>
      <w:r w:rsidR="00DB731D" w:rsidRPr="00A52585">
        <w:rPr>
          <w:rFonts w:hint="cs"/>
          <w:rtl/>
        </w:rPr>
        <w:t>،</w:t>
      </w:r>
      <w:r w:rsidR="0002035C" w:rsidRPr="00A52585">
        <w:rPr>
          <w:rFonts w:hint="cs"/>
          <w:rtl/>
        </w:rPr>
        <w:t xml:space="preserve"> </w:t>
      </w:r>
      <w:r w:rsidRPr="00A52585">
        <w:rPr>
          <w:rFonts w:hint="cs"/>
          <w:rtl/>
        </w:rPr>
        <w:t>46- وقال الفقيه المتكلم أبو المظفر الإسفراييني الأشعري (471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الباب الخامس عشر في بيان اعتقاد أهل السنة والجماعة</w:t>
      </w:r>
      <w:r w:rsidR="0002035C" w:rsidRPr="00A52585">
        <w:rPr>
          <w:rFonts w:hint="cs"/>
          <w:rtl/>
        </w:rPr>
        <w:t>:</w:t>
      </w:r>
      <w:r w:rsidRPr="00A52585">
        <w:rPr>
          <w:rFonts w:hint="cs"/>
          <w:rtl/>
        </w:rPr>
        <w:t xml:space="preserve"> وأن تعلم أن كل ما دل على حدوث شيء من الحد</w:t>
      </w:r>
      <w:r w:rsidR="00DB731D" w:rsidRPr="00A52585">
        <w:rPr>
          <w:rFonts w:hint="cs"/>
          <w:rtl/>
        </w:rPr>
        <w:t>،</w:t>
      </w:r>
      <w:r w:rsidRPr="00A52585">
        <w:rPr>
          <w:rFonts w:hint="cs"/>
          <w:rtl/>
        </w:rPr>
        <w:t xml:space="preserve"> والنهاية</w:t>
      </w:r>
      <w:r w:rsidR="00DB731D" w:rsidRPr="00A52585">
        <w:rPr>
          <w:rFonts w:hint="cs"/>
          <w:rtl/>
        </w:rPr>
        <w:t>،</w:t>
      </w:r>
      <w:r w:rsidRPr="00A52585">
        <w:rPr>
          <w:rFonts w:hint="cs"/>
          <w:rtl/>
        </w:rPr>
        <w:t xml:space="preserve"> والمكان</w:t>
      </w:r>
      <w:r w:rsidR="00DB731D" w:rsidRPr="00A52585">
        <w:rPr>
          <w:rFonts w:hint="cs"/>
          <w:rtl/>
        </w:rPr>
        <w:t>،</w:t>
      </w:r>
      <w:r w:rsidRPr="00A52585">
        <w:rPr>
          <w:rFonts w:hint="cs"/>
          <w:rtl/>
        </w:rPr>
        <w:t xml:space="preserve"> والجهة، والسكون</w:t>
      </w:r>
      <w:r w:rsidR="00DB731D" w:rsidRPr="00A52585">
        <w:rPr>
          <w:rFonts w:hint="cs"/>
          <w:rtl/>
        </w:rPr>
        <w:t>،</w:t>
      </w:r>
      <w:r w:rsidRPr="00A52585">
        <w:rPr>
          <w:rFonts w:hint="cs"/>
          <w:rtl/>
        </w:rPr>
        <w:t xml:space="preserve"> والحركة</w:t>
      </w:r>
      <w:r w:rsidR="00DB731D" w:rsidRPr="00A52585">
        <w:rPr>
          <w:rFonts w:hint="cs"/>
          <w:rtl/>
        </w:rPr>
        <w:t>،</w:t>
      </w:r>
      <w:r w:rsidRPr="00A52585">
        <w:rPr>
          <w:rFonts w:hint="cs"/>
          <w:rtl/>
        </w:rPr>
        <w:t xml:space="preserve"> فهو مستحيل عليه سبحانه وتعالى</w:t>
      </w:r>
      <w:r w:rsidR="00DB731D" w:rsidRPr="00A52585">
        <w:rPr>
          <w:rFonts w:hint="cs"/>
          <w:rtl/>
        </w:rPr>
        <w:t>،</w:t>
      </w:r>
      <w:r w:rsidRPr="00A52585">
        <w:rPr>
          <w:rFonts w:hint="cs"/>
          <w:rtl/>
        </w:rPr>
        <w:t xml:space="preserve"> لأن ما لا يكون محدثا لا يجوز عليه ما هو دليل على الحدوث</w:t>
      </w:r>
      <w:r w:rsidR="0002035C" w:rsidRPr="00A52585">
        <w:rPr>
          <w:rFonts w:hint="cs"/>
          <w:rtl/>
        </w:rPr>
        <w:t>)</w:t>
      </w:r>
      <w:r w:rsidRPr="00A52585">
        <w:rPr>
          <w:rFonts w:hint="cs"/>
          <w:rtl/>
        </w:rPr>
        <w:t xml:space="preserve"> التبصير في الدين (ص 161)</w:t>
      </w:r>
      <w:r w:rsidR="00DB731D" w:rsidRPr="00A52585">
        <w:rPr>
          <w:rFonts w:hint="cs"/>
          <w:rtl/>
        </w:rPr>
        <w:t>،</w:t>
      </w:r>
      <w:r w:rsidR="0002035C" w:rsidRPr="00A52585">
        <w:rPr>
          <w:rFonts w:hint="cs"/>
          <w:rtl/>
        </w:rPr>
        <w:t xml:space="preserve"> </w:t>
      </w:r>
      <w:r w:rsidRPr="00A52585">
        <w:rPr>
          <w:rFonts w:hint="cs"/>
          <w:rtl/>
        </w:rPr>
        <w:t xml:space="preserve">47-وقال الشيخ محمد بن يوسف المعروف بالكرماني البغدادي (786 هـ) وهو </w:t>
      </w:r>
      <w:proofErr w:type="spellStart"/>
      <w:r w:rsidRPr="00A52585">
        <w:rPr>
          <w:rFonts w:hint="cs"/>
          <w:rtl/>
        </w:rPr>
        <w:t>أحد.شرَّاح</w:t>
      </w:r>
      <w:proofErr w:type="spellEnd"/>
      <w:r w:rsidRPr="00A52585">
        <w:rPr>
          <w:rFonts w:hint="cs"/>
          <w:rtl/>
        </w:rPr>
        <w:t xml:space="preserve"> صحيح البخاري ما نصه</w:t>
      </w:r>
      <w:r w:rsidR="0002035C" w:rsidRPr="00A52585">
        <w:rPr>
          <w:rFonts w:hint="cs"/>
          <w:rtl/>
        </w:rPr>
        <w:t>: (</w:t>
      </w:r>
      <w:r w:rsidRPr="00A52585">
        <w:rPr>
          <w:rFonts w:hint="cs"/>
          <w:rtl/>
        </w:rPr>
        <w:t>قوله "في السماء" ظاهره غير مراد</w:t>
      </w:r>
      <w:r w:rsidR="00DB731D" w:rsidRPr="00A52585">
        <w:rPr>
          <w:rFonts w:hint="cs"/>
          <w:rtl/>
        </w:rPr>
        <w:t>،</w:t>
      </w:r>
      <w:r w:rsidRPr="00A52585">
        <w:rPr>
          <w:rFonts w:hint="cs"/>
          <w:rtl/>
        </w:rPr>
        <w:t xml:space="preserve"> إذ الله منزه عن الحلول في المكان</w:t>
      </w:r>
      <w:r w:rsidR="0002035C" w:rsidRPr="00A52585">
        <w:rPr>
          <w:rFonts w:hint="cs"/>
          <w:rtl/>
        </w:rPr>
        <w:t>)</w:t>
      </w:r>
      <w:r w:rsidRPr="00A52585">
        <w:rPr>
          <w:rFonts w:hint="cs"/>
          <w:rtl/>
        </w:rPr>
        <w:t xml:space="preserve"> نقله عنه الحافظ ابن حجر في فتح الباري (13</w:t>
      </w:r>
      <w:r w:rsidR="0002035C" w:rsidRPr="00A52585">
        <w:rPr>
          <w:rFonts w:hint="cs"/>
          <w:rtl/>
        </w:rPr>
        <w:t xml:space="preserve">: </w:t>
      </w:r>
      <w:r w:rsidRPr="00A52585">
        <w:rPr>
          <w:rFonts w:hint="cs"/>
          <w:rtl/>
        </w:rPr>
        <w:t>412)</w:t>
      </w:r>
      <w:r w:rsidR="00DB731D" w:rsidRPr="00A52585">
        <w:rPr>
          <w:rFonts w:hint="cs"/>
          <w:rtl/>
        </w:rPr>
        <w:t>،</w:t>
      </w:r>
      <w:r w:rsidR="0002035C" w:rsidRPr="00A52585">
        <w:rPr>
          <w:rFonts w:hint="cs"/>
          <w:rtl/>
        </w:rPr>
        <w:t xml:space="preserve"> </w:t>
      </w:r>
      <w:r w:rsidRPr="00A52585">
        <w:rPr>
          <w:rFonts w:hint="cs"/>
          <w:rtl/>
        </w:rPr>
        <w:t>48 - وقال الكرماني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قوله </w:t>
      </w:r>
      <w:r w:rsidR="0002035C" w:rsidRPr="00A52585">
        <w:rPr>
          <w:rFonts w:hint="cs"/>
          <w:rtl/>
        </w:rPr>
        <w:t>(</w:t>
      </w:r>
      <w:r w:rsidRPr="00A52585">
        <w:rPr>
          <w:rFonts w:hint="cs"/>
          <w:rtl/>
        </w:rPr>
        <w:t>في السماء</w:t>
      </w:r>
      <w:r w:rsidR="0002035C" w:rsidRPr="00A52585">
        <w:rPr>
          <w:rFonts w:hint="cs"/>
          <w:rtl/>
        </w:rPr>
        <w:t>)</w:t>
      </w:r>
      <w:r w:rsidRPr="00A52585">
        <w:rPr>
          <w:rFonts w:hint="cs"/>
          <w:rtl/>
        </w:rPr>
        <w:t xml:space="preserve"> ظاهره غير مراد</w:t>
      </w:r>
      <w:r w:rsidR="00DB731D" w:rsidRPr="00A52585">
        <w:rPr>
          <w:rFonts w:hint="cs"/>
          <w:rtl/>
        </w:rPr>
        <w:t>،</w:t>
      </w:r>
      <w:r w:rsidRPr="00A52585">
        <w:rPr>
          <w:rFonts w:hint="cs"/>
          <w:rtl/>
        </w:rPr>
        <w:t xml:space="preserve"> إذ الله منزه عن الحلول في المكان</w:t>
      </w:r>
      <w:r w:rsidR="00DB731D" w:rsidRPr="00A52585">
        <w:rPr>
          <w:rFonts w:hint="cs"/>
          <w:rtl/>
        </w:rPr>
        <w:t>،</w:t>
      </w:r>
      <w:r w:rsidRPr="00A52585">
        <w:rPr>
          <w:rFonts w:hint="cs"/>
          <w:rtl/>
        </w:rPr>
        <w:t xml:space="preserve"> لكن لما كانت جهة العلو أشرف من غيرها أضافها إليه إشارة إلى علو الذات والصفات</w:t>
      </w:r>
      <w:r w:rsidR="00DB731D" w:rsidRPr="00A52585">
        <w:rPr>
          <w:rFonts w:hint="cs"/>
          <w:rtl/>
        </w:rPr>
        <w:t>،</w:t>
      </w:r>
      <w:r w:rsidRPr="00A52585">
        <w:rPr>
          <w:rFonts w:hint="cs"/>
          <w:rtl/>
        </w:rPr>
        <w:t xml:space="preserve"> وبنحو هذا أجاب غيره عن الالفاظ الواردة في الفوقية ونحوها</w:t>
      </w:r>
      <w:r w:rsidR="0002035C" w:rsidRPr="00A52585">
        <w:rPr>
          <w:rFonts w:hint="cs"/>
          <w:rtl/>
        </w:rPr>
        <w:t>)</w:t>
      </w:r>
      <w:r w:rsidRPr="00A52585">
        <w:rPr>
          <w:rFonts w:hint="cs"/>
          <w:rtl/>
        </w:rPr>
        <w:t xml:space="preserve"> نقله عنه الحافظ في الفتح </w:t>
      </w:r>
      <w:r w:rsidR="0002035C" w:rsidRPr="00A52585">
        <w:rPr>
          <w:rFonts w:hint="cs"/>
          <w:rtl/>
        </w:rPr>
        <w:t>(</w:t>
      </w:r>
      <w:r w:rsidRPr="00A52585">
        <w:rPr>
          <w:rFonts w:hint="cs"/>
          <w:rtl/>
        </w:rPr>
        <w:t>13</w:t>
      </w:r>
      <w:r w:rsidR="0002035C" w:rsidRPr="00A52585">
        <w:rPr>
          <w:rFonts w:hint="cs"/>
          <w:rtl/>
        </w:rPr>
        <w:t xml:space="preserve">: </w:t>
      </w:r>
      <w:r w:rsidRPr="00A52585">
        <w:rPr>
          <w:rFonts w:hint="cs"/>
          <w:rtl/>
        </w:rPr>
        <w:t>412</w:t>
      </w:r>
      <w:r w:rsidR="0002035C" w:rsidRPr="00A52585">
        <w:rPr>
          <w:rFonts w:hint="cs"/>
          <w:rtl/>
        </w:rPr>
        <w:t>)</w:t>
      </w:r>
      <w:r w:rsidRPr="00A52585">
        <w:rPr>
          <w:rFonts w:hint="cs"/>
          <w:rtl/>
        </w:rPr>
        <w:t xml:space="preserve"> مقرا له</w:t>
      </w:r>
      <w:r w:rsidR="00DB731D" w:rsidRPr="00A52585">
        <w:rPr>
          <w:rFonts w:hint="cs"/>
          <w:rtl/>
        </w:rPr>
        <w:t>،</w:t>
      </w:r>
      <w:r w:rsidR="0002035C" w:rsidRPr="00A52585">
        <w:rPr>
          <w:rFonts w:hint="cs"/>
          <w:rtl/>
        </w:rPr>
        <w:t xml:space="preserve"> </w:t>
      </w:r>
      <w:r w:rsidRPr="00A52585">
        <w:rPr>
          <w:rFonts w:hint="cs"/>
          <w:rtl/>
        </w:rPr>
        <w:t>49- وقال الفقيه الإمام الشيخ أبو إسحاق الشيرازي الشافعي الأشعري (476 هـ) في عقيدته ما نصه</w:t>
      </w:r>
      <w:r w:rsidR="0002035C" w:rsidRPr="00A52585">
        <w:rPr>
          <w:rFonts w:hint="cs"/>
          <w:rtl/>
        </w:rPr>
        <w:t>: (</w:t>
      </w:r>
      <w:r w:rsidRPr="00A52585">
        <w:rPr>
          <w:rFonts w:hint="cs"/>
          <w:rtl/>
        </w:rPr>
        <w:t>وان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w:t>
      </w:r>
      <w:r w:rsidR="0002035C" w:rsidRPr="00A52585">
        <w:rPr>
          <w:rFonts w:hint="cs"/>
          <w:rtl/>
        </w:rPr>
        <w:t>)</w:t>
      </w:r>
      <w:r w:rsidRPr="00A52585">
        <w:rPr>
          <w:rFonts w:hint="cs"/>
          <w:rtl/>
        </w:rPr>
        <w:t xml:space="preserve"> أنظر عقيدة الشيرازي في مقدمة كتابه شرح اللمع (1</w:t>
      </w:r>
      <w:r w:rsidR="0002035C" w:rsidRPr="00A52585">
        <w:rPr>
          <w:rFonts w:hint="cs"/>
          <w:rtl/>
        </w:rPr>
        <w:t xml:space="preserve">: </w:t>
      </w:r>
      <w:r w:rsidRPr="00A52585">
        <w:rPr>
          <w:rFonts w:hint="cs"/>
          <w:rtl/>
        </w:rPr>
        <w:t>101)</w:t>
      </w:r>
      <w:r w:rsidR="00DB731D" w:rsidRPr="00A52585">
        <w:rPr>
          <w:rFonts w:hint="cs"/>
          <w:rtl/>
        </w:rPr>
        <w:t>،</w:t>
      </w:r>
      <w:r w:rsidR="0002035C" w:rsidRPr="00A52585">
        <w:rPr>
          <w:rFonts w:hint="cs"/>
          <w:rtl/>
        </w:rPr>
        <w:t xml:space="preserve"> </w:t>
      </w:r>
      <w:r w:rsidRPr="00A52585">
        <w:rPr>
          <w:rFonts w:hint="cs"/>
          <w:rtl/>
        </w:rPr>
        <w:t>50 - وقال إمام الحرمين أبو المعالي عبد الملك بن عبد الله الجويني الأشعري (478 هـ) ما نصه</w:t>
      </w:r>
      <w:r w:rsidR="0002035C" w:rsidRPr="00A52585">
        <w:rPr>
          <w:rFonts w:hint="cs"/>
          <w:rtl/>
        </w:rPr>
        <w:t>: (</w:t>
      </w:r>
      <w:r w:rsidRPr="00A52585">
        <w:rPr>
          <w:rFonts w:hint="cs"/>
          <w:rtl/>
        </w:rPr>
        <w:t>البارئ سبحانه وتعالى قائم بنفسه</w:t>
      </w:r>
      <w:r w:rsidR="00DB731D" w:rsidRPr="00A52585">
        <w:rPr>
          <w:rFonts w:hint="cs"/>
          <w:rtl/>
        </w:rPr>
        <w:t>،</w:t>
      </w:r>
      <w:r w:rsidRPr="00A52585">
        <w:rPr>
          <w:rFonts w:hint="cs"/>
          <w:rtl/>
        </w:rPr>
        <w:t xml:space="preserve"> متعال عن الافتقار إلى محل يحله أو مكان يقله</w:t>
      </w:r>
      <w:r w:rsidR="0002035C" w:rsidRPr="00A52585">
        <w:rPr>
          <w:rFonts w:hint="cs"/>
          <w:rtl/>
        </w:rPr>
        <w:t>)</w:t>
      </w:r>
      <w:r w:rsidRPr="00A52585">
        <w:rPr>
          <w:rFonts w:hint="cs"/>
          <w:rtl/>
        </w:rPr>
        <w:t xml:space="preserve"> الإرشاد إلى قواطع الأدلة (ص 53)</w:t>
      </w:r>
      <w:r w:rsidR="00DB731D" w:rsidRPr="00A52585">
        <w:rPr>
          <w:rFonts w:hint="cs"/>
          <w:rtl/>
        </w:rPr>
        <w:t>،</w:t>
      </w:r>
      <w:r w:rsidR="0002035C" w:rsidRPr="00A52585">
        <w:rPr>
          <w:rFonts w:hint="cs"/>
          <w:rtl/>
        </w:rPr>
        <w:t xml:space="preserve"> </w:t>
      </w:r>
      <w:r w:rsidRPr="00A52585">
        <w:rPr>
          <w:rFonts w:hint="cs"/>
          <w:rtl/>
        </w:rPr>
        <w:t>51- وقال أيضا ما نصه</w:t>
      </w:r>
      <w:r w:rsidR="0002035C" w:rsidRPr="00A52585">
        <w:rPr>
          <w:rFonts w:hint="cs"/>
          <w:rtl/>
        </w:rPr>
        <w:t>: (</w:t>
      </w:r>
      <w:r w:rsidRPr="00A52585">
        <w:rPr>
          <w:rFonts w:hint="cs"/>
          <w:rtl/>
        </w:rPr>
        <w:t>مذهب أهل الحق قاطبة أن الله سبحانه وتعالى يتعالى عن التحيز والتخصص بالجهات</w:t>
      </w:r>
      <w:r w:rsidR="0002035C" w:rsidRPr="00A52585">
        <w:rPr>
          <w:rFonts w:hint="cs"/>
          <w:rtl/>
        </w:rPr>
        <w:t>)</w:t>
      </w:r>
      <w:r w:rsidRPr="00A52585">
        <w:rPr>
          <w:rFonts w:hint="cs"/>
          <w:rtl/>
        </w:rPr>
        <w:t xml:space="preserve"> الإرشاد (ص 58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52- وقال أيضا ما نصه</w:t>
      </w:r>
      <w:r w:rsidR="0002035C" w:rsidRPr="00A52585">
        <w:rPr>
          <w:rFonts w:hint="cs"/>
          <w:rtl/>
        </w:rPr>
        <w:t>: (</w:t>
      </w:r>
      <w:r w:rsidRPr="00A52585">
        <w:rPr>
          <w:rFonts w:hint="cs"/>
          <w:rtl/>
        </w:rPr>
        <w:t>واعلموا أن مذهب أهل الحق</w:t>
      </w:r>
      <w:r w:rsidR="0002035C" w:rsidRPr="00A52585">
        <w:rPr>
          <w:rFonts w:hint="cs"/>
          <w:rtl/>
        </w:rPr>
        <w:t>:</w:t>
      </w:r>
      <w:r w:rsidRPr="00A52585">
        <w:rPr>
          <w:rFonts w:hint="cs"/>
          <w:rtl/>
        </w:rPr>
        <w:t xml:space="preserve"> أن الرب سبحانه وتعالى يتقدس عن شغل حيز، وبتنزه عن الاختصاص بجهة</w:t>
      </w:r>
      <w:r w:rsidR="00DB731D" w:rsidRPr="00A52585">
        <w:rPr>
          <w:rFonts w:hint="cs"/>
          <w:rtl/>
        </w:rPr>
        <w:t>،</w:t>
      </w:r>
      <w:r w:rsidRPr="00A52585">
        <w:rPr>
          <w:rFonts w:hint="cs"/>
          <w:rtl/>
        </w:rPr>
        <w:t xml:space="preserve"> وذهبت المشبهة إلى أنه مختص بجهة فوق</w:t>
      </w:r>
      <w:r w:rsidR="00DB731D" w:rsidRPr="00A52585">
        <w:rPr>
          <w:rFonts w:hint="cs"/>
          <w:rtl/>
        </w:rPr>
        <w:t>،</w:t>
      </w:r>
      <w:r w:rsidRPr="00A52585">
        <w:rPr>
          <w:rFonts w:hint="cs"/>
          <w:rtl/>
        </w:rPr>
        <w:t xml:space="preserve"> ثم افترقت آراؤهم بعد الاتفاق منهم على إثبات الجهة، فصار غلاة المشبهة إلى أن الرب تعالى مماس للصفحة العليا من العرش وهو مماسه</w:t>
      </w:r>
      <w:r w:rsidR="00DB731D" w:rsidRPr="00A52585">
        <w:rPr>
          <w:rFonts w:hint="cs"/>
          <w:rtl/>
        </w:rPr>
        <w:t>،</w:t>
      </w:r>
      <w:r w:rsidRPr="00A52585">
        <w:rPr>
          <w:rFonts w:hint="cs"/>
          <w:rtl/>
        </w:rPr>
        <w:t xml:space="preserve"> وجوزوا عليه التحول والانتقال وتبدل الجهات والحركات والسكنات</w:t>
      </w:r>
      <w:r w:rsidR="00DB731D" w:rsidRPr="00A52585">
        <w:rPr>
          <w:rFonts w:hint="cs"/>
          <w:rtl/>
        </w:rPr>
        <w:t>،</w:t>
      </w:r>
      <w:r w:rsidRPr="00A52585">
        <w:rPr>
          <w:rFonts w:hint="cs"/>
          <w:rtl/>
        </w:rPr>
        <w:t xml:space="preserve"> وقد حكينا جملا من فضائح مذهبهم فيما تقدم</w:t>
      </w:r>
      <w:r w:rsidR="0002035C" w:rsidRPr="00A52585">
        <w:rPr>
          <w:rFonts w:hint="cs"/>
          <w:rtl/>
        </w:rPr>
        <w:t>)</w:t>
      </w:r>
      <w:r w:rsidRPr="00A52585">
        <w:rPr>
          <w:rFonts w:hint="cs"/>
          <w:rtl/>
        </w:rPr>
        <w:t xml:space="preserve"> الشامل في أصول الدين (ص 511)</w:t>
      </w:r>
      <w:r w:rsidR="00DB731D" w:rsidRPr="00A52585">
        <w:rPr>
          <w:rFonts w:hint="cs"/>
          <w:rtl/>
        </w:rPr>
        <w:t>،</w:t>
      </w:r>
      <w:r w:rsidR="0002035C" w:rsidRPr="00A52585">
        <w:rPr>
          <w:rFonts w:hint="cs"/>
          <w:rtl/>
        </w:rPr>
        <w:t xml:space="preserve"> </w:t>
      </w:r>
      <w:r w:rsidRPr="00A52585">
        <w:rPr>
          <w:rFonts w:hint="cs"/>
          <w:rtl/>
        </w:rPr>
        <w:t xml:space="preserve">53- وقال امام الحرمين الجويني </w:t>
      </w:r>
      <w:r w:rsidR="0002035C" w:rsidRPr="00A52585">
        <w:rPr>
          <w:rFonts w:hint="cs"/>
          <w:rtl/>
        </w:rPr>
        <w:t>(</w:t>
      </w:r>
      <w:r w:rsidRPr="00A52585">
        <w:rPr>
          <w:rFonts w:hint="cs"/>
          <w:rtl/>
        </w:rPr>
        <w:t>478 هـ</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وها أنا أذكر قولاً وجيزاً في ذلك</w:t>
      </w:r>
      <w:r w:rsidR="00DB731D" w:rsidRPr="00A52585">
        <w:rPr>
          <w:rFonts w:hint="cs"/>
          <w:rtl/>
        </w:rPr>
        <w:t>،</w:t>
      </w:r>
      <w:r w:rsidRPr="00A52585">
        <w:rPr>
          <w:rFonts w:hint="cs"/>
          <w:rtl/>
        </w:rPr>
        <w:t xml:space="preserve"> محيطاً بمعظم المقصود</w:t>
      </w:r>
      <w:r w:rsidR="00DB731D" w:rsidRPr="00A52585">
        <w:rPr>
          <w:rFonts w:hint="cs"/>
          <w:rtl/>
        </w:rPr>
        <w:t>،</w:t>
      </w:r>
      <w:r w:rsidRPr="00A52585">
        <w:rPr>
          <w:rFonts w:hint="cs"/>
          <w:rtl/>
        </w:rPr>
        <w:t xml:space="preserve"> حاكياً ما قيل فيه</w:t>
      </w:r>
      <w:r w:rsidR="00DB731D" w:rsidRPr="00A52585">
        <w:rPr>
          <w:rFonts w:hint="cs"/>
          <w:rtl/>
        </w:rPr>
        <w:t>،</w:t>
      </w:r>
      <w:r w:rsidRPr="00A52585">
        <w:rPr>
          <w:rFonts w:hint="cs"/>
          <w:rtl/>
        </w:rPr>
        <w:t xml:space="preserve"> مشيراً إلى الأصح</w:t>
      </w:r>
      <w:r w:rsidR="00DB731D" w:rsidRPr="00A52585">
        <w:rPr>
          <w:rFonts w:hint="cs"/>
          <w:rtl/>
        </w:rPr>
        <w:t>،</w:t>
      </w:r>
      <w:r w:rsidRPr="00A52585">
        <w:rPr>
          <w:rFonts w:hint="cs"/>
          <w:rtl/>
        </w:rPr>
        <w:t xml:space="preserve"> وقد سبق مني في بعض الرقاع إلى مجلسه طرفاً من الكلام في ذلك</w:t>
      </w:r>
      <w:r w:rsidR="00DB731D" w:rsidRPr="00A52585">
        <w:rPr>
          <w:rFonts w:hint="cs"/>
          <w:rtl/>
        </w:rPr>
        <w:t>،</w:t>
      </w:r>
      <w:r w:rsidRPr="00A52585">
        <w:rPr>
          <w:rFonts w:hint="cs"/>
          <w:rtl/>
        </w:rPr>
        <w:t xml:space="preserve"> </w:t>
      </w:r>
      <w:proofErr w:type="spellStart"/>
      <w:r w:rsidRPr="00A52585">
        <w:rPr>
          <w:rFonts w:hint="cs"/>
          <w:rtl/>
        </w:rPr>
        <w:t>يتشبت</w:t>
      </w:r>
      <w:proofErr w:type="spellEnd"/>
      <w:r w:rsidRPr="00A52585">
        <w:rPr>
          <w:rFonts w:hint="cs"/>
          <w:rtl/>
        </w:rPr>
        <w:t xml:space="preserve"> بالجسمية ومثبتي الجهة</w:t>
      </w:r>
      <w:r w:rsidR="00DB731D" w:rsidRPr="00A52585">
        <w:rPr>
          <w:rFonts w:hint="cs"/>
          <w:rtl/>
        </w:rPr>
        <w:t>،</w:t>
      </w:r>
      <w:r w:rsidRPr="00A52585">
        <w:rPr>
          <w:rFonts w:hint="cs"/>
          <w:rtl/>
        </w:rPr>
        <w:t xml:space="preserve"> وجملة القول في ذلك</w:t>
      </w:r>
      <w:r w:rsidR="0002035C" w:rsidRPr="00A52585">
        <w:rPr>
          <w:rFonts w:hint="cs"/>
          <w:rtl/>
        </w:rPr>
        <w:t>:</w:t>
      </w:r>
      <w:r w:rsidRPr="00A52585">
        <w:rPr>
          <w:rFonts w:hint="cs"/>
          <w:rtl/>
        </w:rPr>
        <w:t xml:space="preserve"> أن عدم العلم </w:t>
      </w:r>
      <w:r w:rsidRPr="00A52585">
        <w:rPr>
          <w:rFonts w:hint="cs"/>
          <w:rtl/>
        </w:rPr>
        <w:lastRenderedPageBreak/>
        <w:t>بالصفات النفسية والمعنوية لا يمنع ثبوت المعرفة بالله صانع العالم</w:t>
      </w:r>
      <w:r w:rsidR="00DB731D" w:rsidRPr="00A52585">
        <w:rPr>
          <w:rFonts w:hint="cs"/>
          <w:rtl/>
        </w:rPr>
        <w:t>،</w:t>
      </w:r>
      <w:r w:rsidRPr="00A52585">
        <w:rPr>
          <w:rFonts w:hint="cs"/>
          <w:rtl/>
        </w:rPr>
        <w:t xml:space="preserve"> مع عدم الجهل بهذا</w:t>
      </w:r>
      <w:r w:rsidR="00DB731D" w:rsidRPr="00A52585">
        <w:rPr>
          <w:rFonts w:hint="cs"/>
          <w:rtl/>
        </w:rPr>
        <w:t>،</w:t>
      </w:r>
      <w:r w:rsidRPr="00A52585">
        <w:rPr>
          <w:rFonts w:hint="cs"/>
          <w:rtl/>
        </w:rPr>
        <w:t xml:space="preserve"> وذلك في ابتداء النظر في افتقار الصنع إلى الصانع</w:t>
      </w:r>
      <w:r w:rsidR="00DB731D" w:rsidRPr="00A52585">
        <w:rPr>
          <w:rFonts w:hint="cs"/>
          <w:rtl/>
        </w:rPr>
        <w:t>،</w:t>
      </w:r>
      <w:r w:rsidRPr="00A52585">
        <w:rPr>
          <w:rFonts w:hint="cs"/>
          <w:rtl/>
        </w:rPr>
        <w:t xml:space="preserve"> قبل التوصل إلى درك صفاته بطرق النظر وسبل العبر</w:t>
      </w:r>
      <w:r w:rsidR="00DB731D" w:rsidRPr="00A52585">
        <w:rPr>
          <w:rFonts w:hint="cs"/>
          <w:rtl/>
        </w:rPr>
        <w:t>،</w:t>
      </w:r>
      <w:r w:rsidRPr="00A52585">
        <w:rPr>
          <w:rFonts w:hint="cs"/>
          <w:rtl/>
        </w:rPr>
        <w:t xml:space="preserve"> فأما إذا نظر وجهل صفة من صفات الباري، واعتقدها على خلاف ما هي عليه</w:t>
      </w:r>
      <w:r w:rsidR="00DB731D" w:rsidRPr="00A52585">
        <w:rPr>
          <w:rFonts w:hint="cs"/>
          <w:rtl/>
        </w:rPr>
        <w:t>،</w:t>
      </w:r>
      <w:r w:rsidRPr="00A52585">
        <w:rPr>
          <w:rFonts w:hint="cs"/>
          <w:rtl/>
        </w:rPr>
        <w:t xml:space="preserve"> فلا يخلو</w:t>
      </w:r>
      <w:r w:rsidR="0002035C" w:rsidRPr="00A52585">
        <w:rPr>
          <w:rFonts w:hint="cs"/>
          <w:rtl/>
        </w:rPr>
        <w:t>:</w:t>
      </w:r>
      <w:r w:rsidRPr="00A52585">
        <w:rPr>
          <w:rFonts w:hint="cs"/>
          <w:rtl/>
        </w:rPr>
        <w:t xml:space="preserve"> إما أن تكون صفة نفسية</w:t>
      </w:r>
      <w:r w:rsidR="00DB731D" w:rsidRPr="00A52585">
        <w:rPr>
          <w:rFonts w:hint="cs"/>
          <w:rtl/>
        </w:rPr>
        <w:t>،</w:t>
      </w:r>
      <w:r w:rsidRPr="00A52585">
        <w:rPr>
          <w:rFonts w:hint="cs"/>
          <w:rtl/>
        </w:rPr>
        <w:t xml:space="preserve"> وإما أن تكون صفة معنوية</w:t>
      </w:r>
      <w:r w:rsidR="00DB731D" w:rsidRPr="00A52585">
        <w:rPr>
          <w:rFonts w:hint="cs"/>
          <w:rtl/>
        </w:rPr>
        <w:t>،</w:t>
      </w:r>
      <w:r w:rsidRPr="00A52585">
        <w:rPr>
          <w:rFonts w:hint="cs"/>
          <w:rtl/>
        </w:rPr>
        <w:t xml:space="preserve"> فإن كانت الصفة التي جهلها صفة نفسية</w:t>
      </w:r>
      <w:r w:rsidR="00DB731D" w:rsidRPr="00A52585">
        <w:rPr>
          <w:rFonts w:hint="cs"/>
          <w:rtl/>
        </w:rPr>
        <w:t>،</w:t>
      </w:r>
      <w:r w:rsidRPr="00A52585">
        <w:rPr>
          <w:rFonts w:hint="cs"/>
          <w:rtl/>
        </w:rPr>
        <w:t xml:space="preserve"> مثل أن يعتقد تحيز الباري – والله جلت قدرته منـزه عنه -</w:t>
      </w:r>
      <w:r w:rsidR="00DB731D" w:rsidRPr="00A52585">
        <w:rPr>
          <w:rFonts w:hint="cs"/>
          <w:rtl/>
        </w:rPr>
        <w:t>،</w:t>
      </w:r>
      <w:r w:rsidRPr="00A52585">
        <w:rPr>
          <w:rFonts w:hint="cs"/>
          <w:rtl/>
        </w:rPr>
        <w:t xml:space="preserve"> فالأصح أن الجهل بها ينافي المعرفة بالله</w:t>
      </w:r>
      <w:r w:rsidR="0002035C" w:rsidRPr="00A52585">
        <w:rPr>
          <w:rFonts w:hint="cs"/>
          <w:rtl/>
        </w:rPr>
        <w:t>)</w:t>
      </w:r>
      <w:r w:rsidRPr="00A52585">
        <w:rPr>
          <w:rFonts w:hint="cs"/>
          <w:rtl/>
        </w:rPr>
        <w:t xml:space="preserve"> انظر </w:t>
      </w:r>
      <w:r w:rsidR="0002035C" w:rsidRPr="00A52585">
        <w:rPr>
          <w:rFonts w:hint="cs"/>
          <w:rtl/>
        </w:rPr>
        <w:t>(</w:t>
      </w:r>
      <w:r w:rsidRPr="00A52585">
        <w:rPr>
          <w:rFonts w:hint="cs"/>
          <w:rtl/>
        </w:rPr>
        <w:t>أَجــْوبــــَـةُ.. إمـَـــامِ الـحَــرَمَيـــــنِ الـجُــوَيـــْنـِــيّ على أَسئــــلــة الإمــَامِ عَــبــْدِ الـحَــقِّ الصّــقِــلّــي رحمهما الله تعالى</w:t>
      </w:r>
      <w:r w:rsidR="0002035C" w:rsidRPr="00A52585">
        <w:rPr>
          <w:rFonts w:hint="cs"/>
          <w:rtl/>
        </w:rPr>
        <w:t>)</w:t>
      </w:r>
      <w:r w:rsidRPr="00A52585">
        <w:rPr>
          <w:rFonts w:hint="cs"/>
          <w:rtl/>
        </w:rPr>
        <w:t xml:space="preserve"> التي علق عليها وشرح </w:t>
      </w:r>
      <w:proofErr w:type="spellStart"/>
      <w:r w:rsidRPr="00A52585">
        <w:rPr>
          <w:rFonts w:hint="cs"/>
          <w:rtl/>
        </w:rPr>
        <w:t>وشرح</w:t>
      </w:r>
      <w:proofErr w:type="spellEnd"/>
      <w:r w:rsidRPr="00A52585">
        <w:rPr>
          <w:rFonts w:hint="cs"/>
          <w:rtl/>
        </w:rPr>
        <w:t xml:space="preserve"> </w:t>
      </w:r>
      <w:proofErr w:type="spellStart"/>
      <w:r w:rsidRPr="00A52585">
        <w:rPr>
          <w:rFonts w:hint="cs"/>
          <w:rtl/>
        </w:rPr>
        <w:t>غوامضها</w:t>
      </w:r>
      <w:proofErr w:type="spellEnd"/>
      <w:r w:rsidRPr="00A52585">
        <w:rPr>
          <w:rFonts w:hint="cs"/>
          <w:rtl/>
        </w:rPr>
        <w:t xml:space="preserve"> الأستاذ الكبير أبو الفداء سعيد فودة</w:t>
      </w:r>
      <w:r w:rsidR="00DB731D" w:rsidRPr="00A52585">
        <w:rPr>
          <w:rFonts w:hint="cs"/>
          <w:rtl/>
        </w:rPr>
        <w:t>،</w:t>
      </w:r>
      <w:r w:rsidR="0002035C" w:rsidRPr="00A52585">
        <w:rPr>
          <w:rFonts w:hint="cs"/>
          <w:rtl/>
        </w:rPr>
        <w:t xml:space="preserve"> </w:t>
      </w:r>
      <w:r w:rsidRPr="00A52585">
        <w:rPr>
          <w:rFonts w:hint="cs"/>
          <w:rtl/>
        </w:rPr>
        <w:t>54 - وقال الفقيه المتكلم أبو سعيد المتولي الشافعي الأشعري (478 هـ) أحد أصحاب الوجوه في المذهب الشافعي ما نصه</w:t>
      </w:r>
      <w:r w:rsidR="0002035C" w:rsidRPr="00A52585">
        <w:rPr>
          <w:rFonts w:hint="cs"/>
          <w:rtl/>
        </w:rPr>
        <w:t xml:space="preserve">: </w:t>
      </w:r>
      <w:r w:rsidRPr="00A52585">
        <w:rPr>
          <w:rFonts w:hint="cs"/>
          <w:rtl/>
        </w:rPr>
        <w:t>(ثبت بالدليل أنه لا يجوز أن يوصف ذاته- تعالى- بالحوادث، ولأن الجوهر متحيز، والحق تعالى لا يجوز أن يكون متحيزا</w:t>
      </w:r>
      <w:r w:rsidR="0002035C" w:rsidRPr="00A52585">
        <w:rPr>
          <w:rFonts w:hint="cs"/>
          <w:rtl/>
        </w:rPr>
        <w:t>)</w:t>
      </w:r>
      <w:r w:rsidRPr="00A52585">
        <w:rPr>
          <w:rFonts w:hint="cs"/>
          <w:rtl/>
        </w:rPr>
        <w:t xml:space="preserve"> الغنية في أصول الدين (ص 83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55- وقال أيضا ما نصه</w:t>
      </w:r>
      <w:r w:rsidR="0002035C" w:rsidRPr="00A52585">
        <w:rPr>
          <w:rFonts w:hint="cs"/>
          <w:rtl/>
        </w:rPr>
        <w:t>: (</w:t>
      </w:r>
      <w:r w:rsidRPr="00A52585">
        <w:rPr>
          <w:rFonts w:hint="cs"/>
          <w:rtl/>
        </w:rPr>
        <w:t xml:space="preserve">والغرض من هذا الفصل نفي الحاجة إلى المحل والجهة خلافا للكرامية </w:t>
      </w:r>
      <w:proofErr w:type="spellStart"/>
      <w:r w:rsidRPr="00A52585">
        <w:rPr>
          <w:rFonts w:hint="cs"/>
          <w:rtl/>
        </w:rPr>
        <w:t>والحشوية</w:t>
      </w:r>
      <w:proofErr w:type="spellEnd"/>
      <w:r w:rsidRPr="00A52585">
        <w:rPr>
          <w:rFonts w:hint="cs"/>
          <w:rtl/>
        </w:rPr>
        <w:t xml:space="preserve"> الذين قالوا</w:t>
      </w:r>
      <w:r w:rsidR="0002035C" w:rsidRPr="00A52585">
        <w:rPr>
          <w:rFonts w:hint="cs"/>
          <w:rtl/>
        </w:rPr>
        <w:t>:</w:t>
      </w:r>
      <w:r w:rsidRPr="00A52585">
        <w:rPr>
          <w:rFonts w:hint="cs"/>
          <w:rtl/>
        </w:rPr>
        <w:t>" إن لله جهة فوق</w:t>
      </w:r>
      <w:r w:rsidR="0002035C" w:rsidRPr="00A52585">
        <w:rPr>
          <w:rFonts w:hint="cs"/>
          <w:rtl/>
        </w:rPr>
        <w:t>)</w:t>
      </w:r>
      <w:r w:rsidRPr="00A52585">
        <w:rPr>
          <w:rFonts w:hint="cs"/>
          <w:rtl/>
        </w:rPr>
        <w:t xml:space="preserve"> المرجع السابق (ص 73)</w:t>
      </w:r>
      <w:r w:rsidR="00DB731D" w:rsidRPr="00A52585">
        <w:rPr>
          <w:rFonts w:hint="cs"/>
          <w:rtl/>
        </w:rPr>
        <w:t>،</w:t>
      </w:r>
      <w:r w:rsidR="0002035C" w:rsidRPr="00A52585">
        <w:rPr>
          <w:rFonts w:hint="cs"/>
          <w:rtl/>
        </w:rPr>
        <w:t xml:space="preserve"> </w:t>
      </w:r>
      <w:r w:rsidRPr="00A52585">
        <w:rPr>
          <w:rFonts w:hint="cs"/>
          <w:rtl/>
        </w:rPr>
        <w:t>56- وقال اللغوي أبو القاسم الحسين بن محمد المشهور بالراغب الأصفهاني (552 هـ) ما نصه</w:t>
      </w:r>
      <w:r w:rsidR="0002035C" w:rsidRPr="00A52585">
        <w:rPr>
          <w:rFonts w:hint="cs"/>
          <w:rtl/>
        </w:rPr>
        <w:t>: (</w:t>
      </w:r>
      <w:r w:rsidRPr="00A52585">
        <w:rPr>
          <w:rFonts w:hint="cs"/>
          <w:rtl/>
        </w:rPr>
        <w:t>أو قرب الله تعالى من العبد هو بالإفضال عليه والفيض لا بالمكان</w:t>
      </w:r>
      <w:r w:rsidR="0002035C" w:rsidRPr="00A52585">
        <w:rPr>
          <w:rFonts w:hint="cs"/>
          <w:rtl/>
        </w:rPr>
        <w:t>)</w:t>
      </w:r>
      <w:r w:rsidRPr="00A52585">
        <w:rPr>
          <w:rFonts w:hint="cs"/>
          <w:rtl/>
        </w:rPr>
        <w:t xml:space="preserve"> المفردات في غريب القرءان (مادة</w:t>
      </w:r>
      <w:r w:rsidR="0002035C" w:rsidRPr="00A52585">
        <w:rPr>
          <w:rFonts w:hint="cs"/>
          <w:rtl/>
        </w:rPr>
        <w:t>:</w:t>
      </w:r>
      <w:r w:rsidRPr="00A52585">
        <w:rPr>
          <w:rFonts w:hint="cs"/>
          <w:rtl/>
        </w:rPr>
        <w:t xml:space="preserve"> ق رب، ص 399)</w:t>
      </w:r>
      <w:r w:rsidR="00DB731D" w:rsidRPr="00A52585">
        <w:rPr>
          <w:rFonts w:hint="cs"/>
          <w:rtl/>
        </w:rPr>
        <w:t>،</w:t>
      </w:r>
      <w:r w:rsidR="0002035C" w:rsidRPr="00A52585">
        <w:rPr>
          <w:rFonts w:hint="cs"/>
          <w:rtl/>
        </w:rPr>
        <w:t xml:space="preserve"> </w:t>
      </w:r>
      <w:r w:rsidRPr="00A52585">
        <w:rPr>
          <w:rFonts w:hint="cs"/>
          <w:rtl/>
        </w:rPr>
        <w:t>57- وقال الامام الغزالي (505 هـ) ما نصه</w:t>
      </w:r>
      <w:r w:rsidR="0002035C" w:rsidRPr="00A52585">
        <w:rPr>
          <w:rFonts w:hint="cs"/>
          <w:rtl/>
        </w:rPr>
        <w:t>: (</w:t>
      </w:r>
      <w:r w:rsidRPr="00A52585">
        <w:rPr>
          <w:rFonts w:hint="cs"/>
          <w:rtl/>
        </w:rPr>
        <w:t xml:space="preserve">تعالى - أي الله - عن أن </w:t>
      </w:r>
      <w:proofErr w:type="spellStart"/>
      <w:r w:rsidRPr="00A52585">
        <w:rPr>
          <w:rFonts w:hint="cs"/>
          <w:rtl/>
        </w:rPr>
        <w:t>يحويه</w:t>
      </w:r>
      <w:proofErr w:type="spellEnd"/>
      <w:r w:rsidRPr="00A52585">
        <w:rPr>
          <w:rFonts w:hint="cs"/>
          <w:rtl/>
        </w:rPr>
        <w:t xml:space="preserve"> مكان</w:t>
      </w:r>
      <w:r w:rsidR="00DB731D" w:rsidRPr="00A52585">
        <w:rPr>
          <w:rFonts w:hint="cs"/>
          <w:rtl/>
        </w:rPr>
        <w:t>،</w:t>
      </w:r>
      <w:r w:rsidRPr="00A52585">
        <w:rPr>
          <w:rFonts w:hint="cs"/>
          <w:rtl/>
        </w:rPr>
        <w:t xml:space="preserve"> كما تقدس عن أن يحده زمان</w:t>
      </w:r>
      <w:r w:rsidR="00DB731D" w:rsidRPr="00A52585">
        <w:rPr>
          <w:rFonts w:hint="cs"/>
          <w:rtl/>
        </w:rPr>
        <w:t>،</w:t>
      </w:r>
      <w:r w:rsidRPr="00A52585">
        <w:rPr>
          <w:rFonts w:hint="cs"/>
          <w:rtl/>
        </w:rPr>
        <w:t xml:space="preserve"> بل كان قبل أن خلق الزمان والمكان وهو الان على ما عليه كان</w:t>
      </w:r>
      <w:r w:rsidR="0002035C" w:rsidRPr="00A52585">
        <w:rPr>
          <w:rFonts w:hint="cs"/>
          <w:rtl/>
        </w:rPr>
        <w:t>)</w:t>
      </w:r>
      <w:r w:rsidRPr="00A52585">
        <w:rPr>
          <w:rFonts w:hint="cs"/>
          <w:rtl/>
        </w:rPr>
        <w:t xml:space="preserve"> إحياء علوم الدين</w:t>
      </w:r>
      <w:r w:rsidR="0002035C" w:rsidRPr="00A52585">
        <w:rPr>
          <w:rFonts w:hint="cs"/>
          <w:rtl/>
        </w:rPr>
        <w:t>:</w:t>
      </w:r>
      <w:r w:rsidRPr="00A52585">
        <w:rPr>
          <w:rFonts w:hint="cs"/>
          <w:rtl/>
        </w:rPr>
        <w:t xml:space="preserve"> كتاب قواعد </w:t>
      </w:r>
      <w:proofErr w:type="spellStart"/>
      <w:r w:rsidRPr="00A52585">
        <w:rPr>
          <w:rFonts w:hint="cs"/>
          <w:rtl/>
        </w:rPr>
        <w:t>العقاند</w:t>
      </w:r>
      <w:proofErr w:type="spellEnd"/>
      <w:r w:rsidRPr="00A52585">
        <w:rPr>
          <w:rFonts w:hint="cs"/>
          <w:rtl/>
        </w:rPr>
        <w:t>، الفصل الأول (1</w:t>
      </w:r>
      <w:r w:rsidR="0002035C" w:rsidRPr="00A52585">
        <w:rPr>
          <w:rFonts w:hint="cs"/>
          <w:rtl/>
        </w:rPr>
        <w:t xml:space="preserve">: </w:t>
      </w:r>
      <w:r w:rsidRPr="00A52585">
        <w:rPr>
          <w:rFonts w:hint="cs"/>
          <w:rtl/>
        </w:rPr>
        <w:t>108)</w:t>
      </w:r>
      <w:r w:rsidR="00DB731D" w:rsidRPr="00A52585">
        <w:rPr>
          <w:rFonts w:hint="cs"/>
          <w:rtl/>
        </w:rPr>
        <w:t>،</w:t>
      </w:r>
      <w:r w:rsidR="0002035C" w:rsidRPr="00A52585">
        <w:rPr>
          <w:rFonts w:hint="cs"/>
          <w:rtl/>
        </w:rPr>
        <w:t xml:space="preserve"> </w:t>
      </w:r>
      <w:r w:rsidRPr="00A52585">
        <w:rPr>
          <w:rFonts w:hint="cs"/>
          <w:rtl/>
        </w:rPr>
        <w:t>58-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الأصل السابع</w:t>
      </w:r>
      <w:r w:rsidR="0002035C" w:rsidRPr="00A52585">
        <w:rPr>
          <w:rFonts w:hint="cs"/>
          <w:rtl/>
        </w:rPr>
        <w:t>:</w:t>
      </w:r>
      <w:r w:rsidRPr="00A52585">
        <w:rPr>
          <w:rFonts w:hint="cs"/>
          <w:rtl/>
        </w:rPr>
        <w:t xml:space="preserve"> العلم بأن الله تعالى منزه الذات عن الاختصاص بالجهات</w:t>
      </w:r>
      <w:r w:rsidR="00DB731D" w:rsidRPr="00A52585">
        <w:rPr>
          <w:rFonts w:hint="cs"/>
          <w:rtl/>
        </w:rPr>
        <w:t>،</w:t>
      </w:r>
      <w:r w:rsidRPr="00A52585">
        <w:rPr>
          <w:rFonts w:hint="cs"/>
          <w:rtl/>
        </w:rPr>
        <w:t xml:space="preserve">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w:t>
      </w:r>
      <w:r w:rsidR="0002035C" w:rsidRPr="00A52585">
        <w:rPr>
          <w:rFonts w:hint="cs"/>
          <w:rtl/>
        </w:rPr>
        <w:t>:</w:t>
      </w:r>
      <w:r w:rsidRPr="00A52585">
        <w:rPr>
          <w:rFonts w:hint="cs"/>
          <w:rtl/>
        </w:rPr>
        <w:t xml:space="preserve"> "فكيف كان في الأزل مختصًا بجهة والجهة حادثة؟ أو كيف صار </w:t>
      </w:r>
      <w:r w:rsidRPr="00A52585">
        <w:rPr>
          <w:rFonts w:hint="cs"/>
          <w:rtl/>
        </w:rPr>
        <w:lastRenderedPageBreak/>
        <w:t>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w:t>
      </w:r>
      <w:r w:rsidR="0002035C" w:rsidRPr="00A52585">
        <w:rPr>
          <w:rFonts w:hint="cs"/>
          <w:rtl/>
        </w:rPr>
        <w:t>:</w:t>
      </w:r>
      <w:r w:rsidRPr="00A52585">
        <w:rPr>
          <w:rFonts w:hint="cs"/>
          <w:rtl/>
        </w:rPr>
        <w:t xml:space="preserve">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w:t>
      </w:r>
      <w:r w:rsidR="0002035C" w:rsidRPr="00A52585">
        <w:rPr>
          <w:rFonts w:hint="cs"/>
          <w:rtl/>
        </w:rPr>
        <w:t>:</w:t>
      </w:r>
      <w:r w:rsidRPr="00A52585">
        <w:rPr>
          <w:rFonts w:hint="cs"/>
          <w:rtl/>
        </w:rPr>
        <w:t xml:space="preserve">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w:t>
      </w:r>
      <w:r w:rsidR="0002035C" w:rsidRPr="00A52585">
        <w:rPr>
          <w:rFonts w:hint="cs"/>
          <w:rtl/>
        </w:rPr>
        <w:t>)</w:t>
      </w:r>
      <w:r w:rsidRPr="00A52585">
        <w:rPr>
          <w:rFonts w:hint="cs"/>
          <w:rtl/>
        </w:rPr>
        <w:t xml:space="preserve"> إحياء علوم الدين</w:t>
      </w:r>
      <w:r w:rsidR="0002035C" w:rsidRPr="00A52585">
        <w:rPr>
          <w:rFonts w:hint="cs"/>
          <w:rtl/>
        </w:rPr>
        <w:t>:</w:t>
      </w:r>
      <w:r w:rsidRPr="00A52585">
        <w:rPr>
          <w:rFonts w:hint="cs"/>
          <w:rtl/>
        </w:rPr>
        <w:t xml:space="preserve"> كتاب قواعد العقائد، الفصل الثالث</w:t>
      </w:r>
      <w:r w:rsidR="00DB731D" w:rsidRPr="00A52585">
        <w:rPr>
          <w:rFonts w:hint="cs"/>
          <w:rtl/>
        </w:rPr>
        <w:t>،</w:t>
      </w:r>
      <w:r w:rsidRPr="00A52585">
        <w:rPr>
          <w:rFonts w:hint="cs"/>
          <w:rtl/>
        </w:rPr>
        <w:t xml:space="preserve"> الاصل السابع (1</w:t>
      </w:r>
      <w:r w:rsidR="0002035C" w:rsidRPr="00A52585">
        <w:rPr>
          <w:rFonts w:hint="cs"/>
          <w:rtl/>
        </w:rPr>
        <w:t xml:space="preserve">: </w:t>
      </w:r>
      <w:r w:rsidRPr="00A52585">
        <w:rPr>
          <w:rFonts w:hint="cs"/>
          <w:rtl/>
        </w:rPr>
        <w:t>128)</w:t>
      </w:r>
      <w:r w:rsidR="00DB731D" w:rsidRPr="00A52585">
        <w:rPr>
          <w:rFonts w:hint="cs"/>
          <w:rtl/>
        </w:rPr>
        <w:t>،</w:t>
      </w:r>
      <w:r w:rsidRPr="00A52585">
        <w:rPr>
          <w:rFonts w:hint="cs"/>
          <w:rtl/>
        </w:rPr>
        <w:t xml:space="preserve"> 59- وقال لسان المتكلمين الشيخ أبو المعين ميمون بن محمد النسفي (في 50 هـ) ما نصه</w:t>
      </w:r>
      <w:r w:rsidR="0002035C" w:rsidRPr="00A52585">
        <w:rPr>
          <w:rFonts w:hint="cs"/>
          <w:rtl/>
        </w:rPr>
        <w:t>: (</w:t>
      </w:r>
      <w:r w:rsidRPr="00A52585">
        <w:rPr>
          <w:rFonts w:hint="cs"/>
          <w:rtl/>
        </w:rPr>
        <w:t>القول بالمكان - أي في حق الله - منافيا للتوحيد</w:t>
      </w:r>
      <w:r w:rsidR="0002035C" w:rsidRPr="00A52585">
        <w:rPr>
          <w:rFonts w:hint="cs"/>
          <w:rtl/>
        </w:rPr>
        <w:t>)</w:t>
      </w:r>
      <w:r w:rsidRPr="00A52585">
        <w:rPr>
          <w:rFonts w:hint="cs"/>
          <w:rtl/>
        </w:rPr>
        <w:t xml:space="preserve"> تبصرة الأدلة (1</w:t>
      </w:r>
      <w:r w:rsidR="0002035C" w:rsidRPr="00A52585">
        <w:rPr>
          <w:rFonts w:hint="cs"/>
          <w:rtl/>
        </w:rPr>
        <w:t xml:space="preserve">: </w:t>
      </w:r>
      <w:r w:rsidRPr="00A52585">
        <w:rPr>
          <w:rFonts w:hint="cs"/>
          <w:rtl/>
        </w:rPr>
        <w:t>171 و 182)</w:t>
      </w:r>
      <w:r w:rsidR="00DB731D" w:rsidRPr="00A52585">
        <w:rPr>
          <w:rFonts w:hint="cs"/>
          <w:rtl/>
        </w:rPr>
        <w:t>،</w:t>
      </w:r>
      <w:r w:rsidRPr="00A52585">
        <w:rPr>
          <w:rFonts w:hint="cs"/>
          <w:rtl/>
        </w:rPr>
        <w:t xml:space="preserve"> 60-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إنا ثبتنا بالآية المحكمة التي لا تحتمل التأويل، وبالدلائل العقلية التي لا احتمال فيها أن تمكنه- سبحانه- في مكان مخصوص أو الأمكنة كلها محال</w:t>
      </w:r>
      <w:r w:rsidR="0002035C" w:rsidRPr="00A52585">
        <w:rPr>
          <w:rFonts w:hint="cs"/>
          <w:rtl/>
        </w:rPr>
        <w:t>)</w:t>
      </w:r>
      <w:r w:rsidRPr="00A52585">
        <w:rPr>
          <w:rFonts w:hint="cs"/>
          <w:rtl/>
        </w:rPr>
        <w:t xml:space="preserve"> تبصرة الأدلة (1</w:t>
      </w:r>
      <w:r w:rsidR="0002035C" w:rsidRPr="00A52585">
        <w:rPr>
          <w:rFonts w:hint="cs"/>
          <w:rtl/>
        </w:rPr>
        <w:t xml:space="preserve">: </w:t>
      </w:r>
      <w:r w:rsidRPr="00A52585">
        <w:rPr>
          <w:rFonts w:hint="cs"/>
          <w:rtl/>
        </w:rPr>
        <w:t>171 و 182)</w:t>
      </w:r>
      <w:r w:rsidR="00DB731D" w:rsidRPr="00A52585">
        <w:rPr>
          <w:rFonts w:hint="cs"/>
          <w:rtl/>
        </w:rPr>
        <w:t>،</w:t>
      </w:r>
      <w:r w:rsidR="0002035C" w:rsidRPr="00A52585">
        <w:rPr>
          <w:rFonts w:hint="cs"/>
          <w:rtl/>
        </w:rPr>
        <w:t xml:space="preserve"> </w:t>
      </w:r>
      <w:r w:rsidRPr="00A52585">
        <w:rPr>
          <w:rFonts w:hint="cs"/>
          <w:rtl/>
        </w:rPr>
        <w:t>61- وقال الإمام أبو القاسم سليمان (سلمان) بن ناصر الأنصاري النيسابوري (512 هـ) شارح كتاب "الإرشاد" لإمام الحرمين بعد كلام في الاستدلال على نفي التحيز في الجهة عن الله تعالى ما نصه</w:t>
      </w:r>
      <w:r w:rsidR="0002035C" w:rsidRPr="00A52585">
        <w:rPr>
          <w:rFonts w:hint="cs"/>
          <w:rtl/>
        </w:rPr>
        <w:t>:</w:t>
      </w:r>
      <w:r w:rsidRPr="00A52585">
        <w:rPr>
          <w:rFonts w:hint="cs"/>
          <w:rtl/>
        </w:rPr>
        <w:t> </w:t>
      </w:r>
      <w:r w:rsidR="0002035C" w:rsidRPr="00A52585">
        <w:rPr>
          <w:rFonts w:hint="cs"/>
          <w:rtl/>
        </w:rPr>
        <w:t>(</w:t>
      </w:r>
      <w:r w:rsidRPr="00A52585">
        <w:rPr>
          <w:rFonts w:hint="cs"/>
          <w:rtl/>
        </w:rPr>
        <w:t>ثم نقول سبيل التوصل إلى درك المعلومات الأدلة دون الأوهام، ورب أمر يتوصل العقل إلى ثبوته مع تقاعد الوهم عنه، وكيف يدرك العقل موجودا يحاذي العرش مع استحالة أن يكون مثل العرش في القدر أو دونه أو أكبر منه، وهذا حكم كل مختص بجهة</w:t>
      </w:r>
      <w:r w:rsidR="0002035C" w:rsidRPr="00A52585">
        <w:rPr>
          <w:rFonts w:hint="cs"/>
          <w:rtl/>
        </w:rPr>
        <w:t>)</w:t>
      </w:r>
      <w:r w:rsidRPr="00A52585">
        <w:rPr>
          <w:rFonts w:hint="cs"/>
          <w:rtl/>
        </w:rPr>
        <w:t xml:space="preserve"> شرح الإرشاد (ق</w:t>
      </w:r>
      <w:r w:rsidR="0002035C" w:rsidRPr="00A52585">
        <w:rPr>
          <w:rFonts w:hint="cs"/>
          <w:rtl/>
        </w:rPr>
        <w:t xml:space="preserve">: </w:t>
      </w:r>
      <w:r w:rsidRPr="00A52585">
        <w:rPr>
          <w:rFonts w:hint="cs"/>
          <w:rtl/>
        </w:rPr>
        <w:t>58- 59)</w:t>
      </w:r>
      <w:r w:rsidR="00DB731D" w:rsidRPr="00A52585">
        <w:rPr>
          <w:rFonts w:hint="cs"/>
          <w:rtl/>
        </w:rPr>
        <w:t>،</w:t>
      </w:r>
      <w:r w:rsidRPr="00A52585">
        <w:rPr>
          <w:rFonts w:hint="cs"/>
          <w:rtl/>
        </w:rPr>
        <w:t xml:space="preserve"> مخطوط</w:t>
      </w:r>
      <w:r w:rsidR="00DB731D" w:rsidRPr="00A52585">
        <w:rPr>
          <w:rFonts w:hint="cs"/>
          <w:rtl/>
        </w:rPr>
        <w:t>،</w:t>
      </w:r>
      <w:r w:rsidR="0002035C" w:rsidRPr="00A52585">
        <w:rPr>
          <w:rFonts w:hint="cs"/>
          <w:rtl/>
        </w:rPr>
        <w:t xml:space="preserve"> </w:t>
      </w:r>
      <w:r w:rsidRPr="00A52585">
        <w:rPr>
          <w:rFonts w:hint="cs"/>
          <w:rtl/>
        </w:rPr>
        <w:t>62- وقال أبو الوفاء علي بن عقيل البغدادي شيخ الحنابلة في زمانه (513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تعالى الله أن يكون له صفة تشغل الأمكنة</w:t>
      </w:r>
      <w:r w:rsidR="00DB731D" w:rsidRPr="00A52585">
        <w:rPr>
          <w:rFonts w:hint="cs"/>
          <w:rtl/>
        </w:rPr>
        <w:t>،</w:t>
      </w:r>
      <w:r w:rsidRPr="00A52585">
        <w:rPr>
          <w:rFonts w:hint="cs"/>
          <w:rtl/>
        </w:rPr>
        <w:t xml:space="preserve"> هذا عين التجسيم</w:t>
      </w:r>
      <w:r w:rsidR="00DB731D" w:rsidRPr="00A52585">
        <w:rPr>
          <w:rFonts w:hint="cs"/>
          <w:rtl/>
        </w:rPr>
        <w:t>،</w:t>
      </w:r>
      <w:r w:rsidRPr="00A52585">
        <w:rPr>
          <w:rFonts w:hint="cs"/>
          <w:rtl/>
        </w:rPr>
        <w:t xml:space="preserve"> وليس الحق بذي أجزاء وأبعاض يعالج بها</w:t>
      </w:r>
      <w:r w:rsidR="0002035C" w:rsidRPr="00A52585">
        <w:rPr>
          <w:rFonts w:hint="cs"/>
          <w:rtl/>
        </w:rPr>
        <w:t>)</w:t>
      </w:r>
      <w:r w:rsidRPr="00A52585">
        <w:rPr>
          <w:rFonts w:hint="cs"/>
          <w:rtl/>
        </w:rPr>
        <w:t xml:space="preserve"> الباز الأشهب</w:t>
      </w:r>
      <w:r w:rsidR="0002035C" w:rsidRPr="00A52585">
        <w:rPr>
          <w:rFonts w:hint="cs"/>
          <w:rtl/>
        </w:rPr>
        <w:t>:</w:t>
      </w:r>
      <w:r w:rsidRPr="00A52585">
        <w:rPr>
          <w:rFonts w:hint="cs"/>
          <w:rtl/>
        </w:rPr>
        <w:t xml:space="preserve"> الحديث الحادي عشر (ص 86)</w:t>
      </w:r>
      <w:r w:rsidR="00DB731D" w:rsidRPr="00A52585">
        <w:rPr>
          <w:rFonts w:hint="cs"/>
          <w:rtl/>
        </w:rPr>
        <w:t>،</w:t>
      </w:r>
      <w:r w:rsidR="0002035C" w:rsidRPr="00A52585">
        <w:rPr>
          <w:rFonts w:hint="cs"/>
          <w:rtl/>
        </w:rPr>
        <w:t xml:space="preserve"> </w:t>
      </w:r>
      <w:r w:rsidRPr="00A52585">
        <w:rPr>
          <w:rFonts w:hint="cs"/>
          <w:rtl/>
        </w:rPr>
        <w:t xml:space="preserve">63- وقال الشيخ أبو نصر عبد الرحيم بن عبد الكريم المعروف بابن القشيري (514هـ) الذي وصفه العلى عبد الرزاق </w:t>
      </w:r>
      <w:proofErr w:type="spellStart"/>
      <w:r w:rsidRPr="00A52585">
        <w:rPr>
          <w:rFonts w:hint="cs"/>
          <w:rtl/>
        </w:rPr>
        <w:t>الطبسي</w:t>
      </w:r>
      <w:proofErr w:type="spellEnd"/>
      <w:r w:rsidRPr="00A52585">
        <w:rPr>
          <w:rFonts w:hint="cs"/>
          <w:rtl/>
        </w:rPr>
        <w:t xml:space="preserve"> بإمام الأئمة كما نقل ذلك الحافظ ابن عساكر في كتابه "تبيين كذب المفتري " ما نصه</w:t>
      </w:r>
      <w:r w:rsidR="0002035C" w:rsidRPr="00A52585">
        <w:rPr>
          <w:rFonts w:hint="cs"/>
          <w:rtl/>
        </w:rPr>
        <w:t>: (</w:t>
      </w:r>
      <w:r w:rsidRPr="00A52585">
        <w:rPr>
          <w:rFonts w:hint="cs"/>
          <w:rtl/>
        </w:rPr>
        <w:t>فالرب إذا موصوف بالعلو وفوقية الرتبة والعظمة منزه عن الكون في المكان</w:t>
      </w:r>
      <w:r w:rsidR="0002035C" w:rsidRPr="00A52585">
        <w:rPr>
          <w:rFonts w:hint="cs"/>
          <w:rtl/>
        </w:rPr>
        <w:t>)</w:t>
      </w:r>
      <w:r w:rsidRPr="00A52585">
        <w:rPr>
          <w:rFonts w:hint="cs"/>
          <w:rtl/>
        </w:rPr>
        <w:t xml:space="preserve"> إتحاف السادة </w:t>
      </w:r>
      <w:r w:rsidRPr="00A52585">
        <w:rPr>
          <w:rFonts w:hint="cs"/>
          <w:rtl/>
        </w:rPr>
        <w:lastRenderedPageBreak/>
        <w:t>المتقين (108</w:t>
      </w:r>
      <w:r w:rsidR="0002035C" w:rsidRPr="00A52585">
        <w:rPr>
          <w:rFonts w:hint="cs"/>
          <w:rtl/>
        </w:rPr>
        <w:t>:</w:t>
      </w:r>
      <w:r w:rsidRPr="00A52585">
        <w:rPr>
          <w:rFonts w:hint="cs"/>
          <w:rtl/>
        </w:rPr>
        <w:t xml:space="preserve"> 2)</w:t>
      </w:r>
      <w:r w:rsidR="00DB731D" w:rsidRPr="00A52585">
        <w:rPr>
          <w:rFonts w:hint="cs"/>
          <w:rtl/>
        </w:rPr>
        <w:t>،</w:t>
      </w:r>
      <w:r w:rsidR="0002035C" w:rsidRPr="00A52585">
        <w:rPr>
          <w:rFonts w:hint="cs"/>
          <w:rtl/>
        </w:rPr>
        <w:t xml:space="preserve"> </w:t>
      </w:r>
      <w:r w:rsidRPr="00A52585">
        <w:rPr>
          <w:rFonts w:hint="cs"/>
          <w:rtl/>
        </w:rPr>
        <w:t>64- وقال القاضي الشيخ أبو الوليد محمد بن أحمد قاضي الجماعة بقرطبة المعروف بابن رشد الجد المالكي (520 هـ) ما نصه</w:t>
      </w:r>
      <w:r w:rsidR="0002035C" w:rsidRPr="00A52585">
        <w:rPr>
          <w:rFonts w:hint="cs"/>
          <w:rtl/>
        </w:rPr>
        <w:t>: (</w:t>
      </w:r>
      <w:r w:rsidRPr="00A52585">
        <w:rPr>
          <w:rFonts w:hint="cs"/>
          <w:rtl/>
        </w:rPr>
        <w:t>ليس - الله - في مكان</w:t>
      </w:r>
      <w:r w:rsidR="00DB731D" w:rsidRPr="00A52585">
        <w:rPr>
          <w:rFonts w:hint="cs"/>
          <w:rtl/>
        </w:rPr>
        <w:t>،</w:t>
      </w:r>
      <w:r w:rsidRPr="00A52585">
        <w:rPr>
          <w:rFonts w:hint="cs"/>
          <w:rtl/>
        </w:rPr>
        <w:t xml:space="preserve"> فقد كان قبل أن يخلق المكان</w:t>
      </w:r>
      <w:r w:rsidR="0002035C" w:rsidRPr="00A52585">
        <w:rPr>
          <w:rFonts w:hint="cs"/>
          <w:rtl/>
        </w:rPr>
        <w:t>)</w:t>
      </w:r>
      <w:r w:rsidRPr="00A52585">
        <w:rPr>
          <w:rFonts w:hint="cs"/>
          <w:rtl/>
        </w:rPr>
        <w:t xml:space="preserve"> ذكره ابن الحاج المالكي في كتابه المدخل</w:t>
      </w:r>
      <w:r w:rsidR="0002035C" w:rsidRPr="00A52585">
        <w:rPr>
          <w:rFonts w:hint="cs"/>
          <w:rtl/>
        </w:rPr>
        <w:t>:</w:t>
      </w:r>
      <w:r w:rsidRPr="00A52585">
        <w:rPr>
          <w:rFonts w:hint="cs"/>
          <w:rtl/>
        </w:rPr>
        <w:t xml:space="preserve"> فصل في الاشتغال بالعلم يوم الجمعة (149</w:t>
      </w:r>
      <w:r w:rsidR="0002035C" w:rsidRPr="00A52585">
        <w:rPr>
          <w:rFonts w:hint="cs"/>
          <w:rtl/>
        </w:rPr>
        <w:t>:</w:t>
      </w:r>
      <w:r w:rsidRPr="00A52585">
        <w:rPr>
          <w:rFonts w:hint="cs"/>
          <w:rtl/>
        </w:rPr>
        <w:t xml:space="preserve"> 2)</w:t>
      </w:r>
      <w:r w:rsidR="00DB731D" w:rsidRPr="00A52585">
        <w:rPr>
          <w:rFonts w:hint="cs"/>
          <w:rtl/>
        </w:rPr>
        <w:t>،</w:t>
      </w:r>
      <w:r w:rsidR="0002035C" w:rsidRPr="00A52585">
        <w:rPr>
          <w:rFonts w:hint="cs"/>
          <w:rtl/>
        </w:rPr>
        <w:t xml:space="preserve"> </w:t>
      </w:r>
      <w:r w:rsidRPr="00A52585">
        <w:rPr>
          <w:rFonts w:hint="cs"/>
          <w:rtl/>
        </w:rPr>
        <w:t>65- وقال أيضا</w:t>
      </w:r>
      <w:r w:rsidR="0002035C" w:rsidRPr="00A52585">
        <w:rPr>
          <w:rFonts w:hint="cs"/>
          <w:rtl/>
        </w:rPr>
        <w:t>: (</w:t>
      </w:r>
      <w:r w:rsidRPr="00A52585">
        <w:rPr>
          <w:rFonts w:hint="cs"/>
          <w:rtl/>
        </w:rPr>
        <w:t>فلا يقال أين ولا كيف ولا متى لأنه خالق الزمان والمكان</w:t>
      </w:r>
      <w:r w:rsidR="0002035C" w:rsidRPr="00A52585">
        <w:rPr>
          <w:rFonts w:hint="cs"/>
          <w:rtl/>
        </w:rPr>
        <w:t>)</w:t>
      </w:r>
      <w:r w:rsidRPr="00A52585">
        <w:rPr>
          <w:rFonts w:hint="cs"/>
          <w:rtl/>
        </w:rPr>
        <w:t xml:space="preserve"> المدخل</w:t>
      </w:r>
      <w:r w:rsidR="0002035C" w:rsidRPr="00A52585">
        <w:rPr>
          <w:rFonts w:hint="cs"/>
          <w:rtl/>
        </w:rPr>
        <w:t>:</w:t>
      </w:r>
      <w:r w:rsidRPr="00A52585">
        <w:rPr>
          <w:rFonts w:hint="cs"/>
          <w:rtl/>
        </w:rPr>
        <w:t xml:space="preserve"> </w:t>
      </w:r>
      <w:proofErr w:type="spellStart"/>
      <w:r w:rsidRPr="00A52585">
        <w:rPr>
          <w:rFonts w:hint="cs"/>
          <w:rtl/>
        </w:rPr>
        <w:t>نصانح</w:t>
      </w:r>
      <w:proofErr w:type="spellEnd"/>
      <w:r w:rsidRPr="00A52585">
        <w:rPr>
          <w:rFonts w:hint="cs"/>
          <w:rtl/>
        </w:rPr>
        <w:t xml:space="preserve"> المريد (3</w:t>
      </w:r>
      <w:r w:rsidR="0002035C" w:rsidRPr="00A52585">
        <w:rPr>
          <w:rFonts w:hint="cs"/>
          <w:rtl/>
        </w:rPr>
        <w:t xml:space="preserve">: </w:t>
      </w:r>
      <w:r w:rsidRPr="00A52585">
        <w:rPr>
          <w:rFonts w:hint="cs"/>
          <w:rtl/>
        </w:rPr>
        <w:t>181)</w:t>
      </w:r>
      <w:r w:rsidR="00DB731D" w:rsidRPr="00A52585">
        <w:rPr>
          <w:rFonts w:hint="cs"/>
          <w:rtl/>
        </w:rPr>
        <w:t>،</w:t>
      </w:r>
      <w:r w:rsidR="0002035C" w:rsidRPr="00A52585">
        <w:rPr>
          <w:rFonts w:hint="cs"/>
          <w:rtl/>
        </w:rPr>
        <w:t xml:space="preserve"> </w:t>
      </w:r>
      <w:r w:rsidRPr="00A52585">
        <w:rPr>
          <w:rFonts w:hint="cs"/>
          <w:rtl/>
        </w:rPr>
        <w:t>66-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أو إضافته - أي العرش - إلى الله تعالى إنما هو بمعنى التشريف له كما يقال</w:t>
      </w:r>
      <w:r w:rsidR="0002035C" w:rsidRPr="00A52585">
        <w:rPr>
          <w:rFonts w:hint="cs"/>
          <w:rtl/>
        </w:rPr>
        <w:t>:</w:t>
      </w:r>
      <w:r w:rsidRPr="00A52585">
        <w:rPr>
          <w:rFonts w:hint="cs"/>
          <w:rtl/>
        </w:rPr>
        <w:t xml:space="preserve"> بيت الله وحرمه، لا أنه محل له وموضع لاستقراره</w:t>
      </w:r>
      <w:r w:rsidR="0002035C" w:rsidRPr="00A52585">
        <w:rPr>
          <w:rFonts w:hint="cs"/>
          <w:rtl/>
        </w:rPr>
        <w:t>)</w:t>
      </w:r>
      <w:r w:rsidRPr="00A52585">
        <w:rPr>
          <w:rFonts w:hint="cs"/>
          <w:rtl/>
        </w:rPr>
        <w:t xml:space="preserve"> المدخل</w:t>
      </w:r>
      <w:r w:rsidR="0002035C" w:rsidRPr="00A52585">
        <w:rPr>
          <w:rFonts w:hint="cs"/>
          <w:rtl/>
        </w:rPr>
        <w:t>:</w:t>
      </w:r>
      <w:r w:rsidRPr="00A52585">
        <w:rPr>
          <w:rFonts w:hint="cs"/>
          <w:rtl/>
        </w:rPr>
        <w:t xml:space="preserve"> فصل في الاشتغال بالعلم يوم الجمعة (149</w:t>
      </w:r>
      <w:r w:rsidR="0002035C" w:rsidRPr="00A52585">
        <w:rPr>
          <w:rFonts w:hint="cs"/>
          <w:rtl/>
        </w:rPr>
        <w:t>:</w:t>
      </w:r>
      <w:r w:rsidRPr="00A52585">
        <w:rPr>
          <w:rFonts w:hint="cs"/>
          <w:rtl/>
        </w:rPr>
        <w:t xml:space="preserve"> 2)</w:t>
      </w:r>
      <w:r w:rsidR="00DB731D" w:rsidRPr="00A52585">
        <w:rPr>
          <w:rFonts w:hint="cs"/>
          <w:rtl/>
        </w:rPr>
        <w:t>،</w:t>
      </w:r>
      <w:r w:rsidRPr="00A52585">
        <w:rPr>
          <w:rFonts w:hint="cs"/>
          <w:rtl/>
        </w:rPr>
        <w:t xml:space="preserve"> وذكر ذلك أيضا الحافظ ابن حجر العسقلاني في الفتح (7</w:t>
      </w:r>
      <w:r w:rsidR="0002035C" w:rsidRPr="00A52585">
        <w:rPr>
          <w:rFonts w:hint="cs"/>
          <w:rtl/>
        </w:rPr>
        <w:t xml:space="preserve">: </w:t>
      </w:r>
      <w:r w:rsidRPr="00A52585">
        <w:rPr>
          <w:rFonts w:hint="cs"/>
          <w:rtl/>
        </w:rPr>
        <w:t>124) موافقا له ومقرا لكلامه</w:t>
      </w:r>
      <w:r w:rsidR="00897A24" w:rsidRPr="00A52585">
        <w:rPr>
          <w:rFonts w:hint="cs"/>
          <w:rtl/>
        </w:rPr>
        <w:t>.</w:t>
      </w:r>
      <w:r w:rsidRPr="00A52585">
        <w:rPr>
          <w:rFonts w:hint="cs"/>
          <w:rtl/>
        </w:rPr>
        <w:t xml:space="preserve">67- وقال أبو الثناء محمود بن زيد </w:t>
      </w:r>
      <w:proofErr w:type="spellStart"/>
      <w:r w:rsidRPr="00A52585">
        <w:rPr>
          <w:rFonts w:hint="cs"/>
          <w:rtl/>
        </w:rPr>
        <w:t>اللاَّمشي</w:t>
      </w:r>
      <w:proofErr w:type="spellEnd"/>
      <w:r w:rsidRPr="00A52585">
        <w:rPr>
          <w:rFonts w:hint="cs"/>
          <w:rtl/>
        </w:rPr>
        <w:t xml:space="preserve"> الحنفي الماتريدي من علماء ما وراء النهر (كان حيّا سنة 539 هـ) ما نصه</w:t>
      </w:r>
      <w:r w:rsidR="0002035C" w:rsidRPr="00A52585">
        <w:rPr>
          <w:rFonts w:hint="cs"/>
          <w:rtl/>
        </w:rPr>
        <w:t>: (</w:t>
      </w:r>
      <w:r w:rsidRPr="00A52585">
        <w:rPr>
          <w:rFonts w:hint="cs"/>
          <w:rtl/>
        </w:rPr>
        <w:t xml:space="preserve">ثم إن الصانع جل وعلا وعزَّ لا يوصف بالمكان لما مر أنه لا مشابهة بينه تعالى وبين شيء من أجزاء العالم، فلو كان متمكنّا بمكان لوقعت المشابهة بينه وبين المكان من حيث المقدار لأن المكان كل متمكن قدر ما يتمكن فيه. والمشابهة منتفية بين الله تعالى وبين شيء من أجزاء العالم لما ذكرنا من الدليل السمعي والعقلي، ولأن في القول بالمكان قولا بِقِدَمِ المكان أو بحدوث البارئ تعالى، وكل ذلك محالُ، لأنه لو كان لم يزل في المكان لكان المكان قديما أزليا، ولو كان ولا مكان ثم خلق المكان وتمكن فيه لتغير عن حاله </w:t>
      </w:r>
      <w:proofErr w:type="spellStart"/>
      <w:r w:rsidRPr="00A52585">
        <w:rPr>
          <w:rFonts w:hint="cs"/>
          <w:rtl/>
        </w:rPr>
        <w:t>ولحدثت</w:t>
      </w:r>
      <w:proofErr w:type="spellEnd"/>
      <w:r w:rsidRPr="00A52585">
        <w:rPr>
          <w:rFonts w:hint="cs"/>
          <w:rtl/>
        </w:rPr>
        <w:t xml:space="preserve"> فيه صفة التمكن بعد أن لم تكن، وقَبول الحوادث من أمارات الحَدَث، وهو على القدير محالٌ</w:t>
      </w:r>
      <w:r w:rsidR="0002035C" w:rsidRPr="00A52585">
        <w:rPr>
          <w:rFonts w:hint="cs"/>
          <w:rtl/>
        </w:rPr>
        <w:t>)</w:t>
      </w:r>
      <w:r w:rsidRPr="00A52585">
        <w:rPr>
          <w:rFonts w:hint="cs"/>
          <w:rtl/>
        </w:rPr>
        <w:t xml:space="preserve"> التمهيد لقواعد التوحيد (ص62- 63)</w:t>
      </w:r>
      <w:r w:rsidR="00DB731D" w:rsidRPr="00A52585">
        <w:rPr>
          <w:rFonts w:hint="cs"/>
          <w:rtl/>
        </w:rPr>
        <w:t>،</w:t>
      </w:r>
      <w:r w:rsidR="0002035C" w:rsidRPr="00A52585">
        <w:rPr>
          <w:rFonts w:hint="cs"/>
          <w:rtl/>
        </w:rPr>
        <w:t xml:space="preserve"> </w:t>
      </w:r>
      <w:r w:rsidRPr="00A52585">
        <w:rPr>
          <w:rFonts w:hint="cs"/>
          <w:rtl/>
        </w:rPr>
        <w:t xml:space="preserve">68- وقال المحدّث أبو حفص نجم الدين عمر بن محمد النسفي الحنفي (537 ص) صاحب العقيدة المشهورة ب "العقيدة </w:t>
      </w:r>
      <w:proofErr w:type="spellStart"/>
      <w:r w:rsidRPr="00A52585">
        <w:rPr>
          <w:rFonts w:hint="cs"/>
          <w:rtl/>
        </w:rPr>
        <w:t>النسفية</w:t>
      </w:r>
      <w:proofErr w:type="spellEnd"/>
      <w:r w:rsidRPr="00A52585">
        <w:rPr>
          <w:rFonts w:hint="cs"/>
          <w:rtl/>
        </w:rPr>
        <w:t xml:space="preserve"> "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والمُحدِثُ للعالَم هو الله تعالى</w:t>
      </w:r>
      <w:r w:rsidR="00DB731D" w:rsidRPr="00A52585">
        <w:rPr>
          <w:rFonts w:hint="cs"/>
          <w:rtl/>
        </w:rPr>
        <w:t>،</w:t>
      </w:r>
      <w:r w:rsidRPr="00A52585">
        <w:rPr>
          <w:rFonts w:hint="cs"/>
          <w:rtl/>
        </w:rPr>
        <w:t xml:space="preserve"> لا يوصف بالماهيَّة ولا بالكيفية ولا يَتمكَّن في مكان</w:t>
      </w:r>
      <w:r w:rsidR="0002035C" w:rsidRPr="00A52585">
        <w:rPr>
          <w:rFonts w:hint="cs"/>
          <w:rtl/>
        </w:rPr>
        <w:t>)</w:t>
      </w:r>
      <w:r w:rsidRPr="00A52585">
        <w:rPr>
          <w:rFonts w:hint="cs"/>
          <w:rtl/>
        </w:rPr>
        <w:t xml:space="preserve"> انتهى باختصار من كتاب العقيدة </w:t>
      </w:r>
      <w:proofErr w:type="spellStart"/>
      <w:r w:rsidRPr="00A52585">
        <w:rPr>
          <w:rFonts w:hint="cs"/>
          <w:rtl/>
        </w:rPr>
        <w:t>النسفية</w:t>
      </w:r>
      <w:proofErr w:type="spellEnd"/>
      <w:r w:rsidRPr="00A52585">
        <w:rPr>
          <w:rFonts w:hint="cs"/>
          <w:rtl/>
        </w:rPr>
        <w:t xml:space="preserve"> (ضمن مجموع مهمات المتون) (ص 28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69-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وقد وَرد الدليلُ السمعيُّ بإيجاب رؤية المؤمنين اللهَ تعالى في دار الآخرة، فيرى لا في مكان، ولا على جهة من مقابلة أو اتصال شُعاع أو ثبوتِ مَسافة بين الرائي وبين الله تعالى</w:t>
      </w:r>
      <w:r w:rsidR="0002035C" w:rsidRPr="00A52585">
        <w:rPr>
          <w:rFonts w:hint="cs"/>
          <w:rtl/>
        </w:rPr>
        <w:t>)</w:t>
      </w:r>
      <w:r w:rsidRPr="00A52585">
        <w:rPr>
          <w:rFonts w:hint="cs"/>
          <w:rtl/>
        </w:rPr>
        <w:t xml:space="preserve"> المصدر السابق (ص 29)</w:t>
      </w:r>
      <w:r w:rsidR="00DB731D" w:rsidRPr="00A52585">
        <w:rPr>
          <w:rFonts w:hint="cs"/>
          <w:rtl/>
        </w:rPr>
        <w:t>،</w:t>
      </w:r>
      <w:r w:rsidR="0002035C" w:rsidRPr="00A52585">
        <w:rPr>
          <w:rFonts w:hint="cs"/>
          <w:rtl/>
        </w:rPr>
        <w:t xml:space="preserve"> </w:t>
      </w:r>
      <w:r w:rsidRPr="00A52585">
        <w:rPr>
          <w:rFonts w:hint="cs"/>
          <w:rtl/>
        </w:rPr>
        <w:t>70- وقال الحافظ ابن عساكر الدمشقي (571 هـ) في بيان عقيدته التي هي عقيدة أبي الحسن الأشعري نقلاً عن القاضي أبي المعالي بن عبد الملك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قالت </w:t>
      </w:r>
      <w:proofErr w:type="spellStart"/>
      <w:r w:rsidRPr="00A52585">
        <w:rPr>
          <w:rFonts w:hint="cs"/>
          <w:rtl/>
        </w:rPr>
        <w:t>النجارية</w:t>
      </w:r>
      <w:proofErr w:type="spellEnd"/>
      <w:r w:rsidR="0002035C" w:rsidRPr="00A52585">
        <w:rPr>
          <w:rFonts w:hint="cs"/>
          <w:rtl/>
        </w:rPr>
        <w:t>:</w:t>
      </w:r>
      <w:r w:rsidRPr="00A52585">
        <w:rPr>
          <w:rFonts w:hint="cs"/>
          <w:rtl/>
        </w:rPr>
        <w:t xml:space="preserve"> إن البارئ سبحانه بكل مكان من غير حلول ولا جهة</w:t>
      </w:r>
      <w:r w:rsidR="00897A24" w:rsidRPr="00A52585">
        <w:rPr>
          <w:rFonts w:hint="cs"/>
          <w:rtl/>
        </w:rPr>
        <w:t>.</w:t>
      </w:r>
      <w:r w:rsidRPr="00A52585">
        <w:rPr>
          <w:rFonts w:hint="cs"/>
          <w:rtl/>
        </w:rPr>
        <w:t xml:space="preserve"> وقالت </w:t>
      </w:r>
      <w:proofErr w:type="spellStart"/>
      <w:r w:rsidRPr="00A52585">
        <w:rPr>
          <w:rFonts w:hint="cs"/>
          <w:rtl/>
        </w:rPr>
        <w:t>الحشوية</w:t>
      </w:r>
      <w:proofErr w:type="spellEnd"/>
      <w:r w:rsidRPr="00A52585">
        <w:rPr>
          <w:rFonts w:hint="cs"/>
          <w:rtl/>
        </w:rPr>
        <w:t xml:space="preserve"> والمجسمة</w:t>
      </w:r>
      <w:r w:rsidR="0002035C" w:rsidRPr="00A52585">
        <w:rPr>
          <w:rFonts w:hint="cs"/>
          <w:rtl/>
        </w:rPr>
        <w:t>:</w:t>
      </w:r>
      <w:r w:rsidRPr="00A52585">
        <w:rPr>
          <w:rFonts w:hint="cs"/>
          <w:rtl/>
        </w:rPr>
        <w:t xml:space="preserve"> إنه سبحانه حالّ</w:t>
      </w:r>
      <w:r w:rsidR="00897A24" w:rsidRPr="00A52585">
        <w:rPr>
          <w:rFonts w:hint="cs"/>
          <w:rtl/>
        </w:rPr>
        <w:t>.</w:t>
      </w:r>
      <w:r w:rsidRPr="00A52585">
        <w:rPr>
          <w:rFonts w:hint="cs"/>
          <w:rtl/>
        </w:rPr>
        <w:t xml:space="preserve"> في العرش وإن العرش مكان له وهو جالس عليه فسلك طريقة بينهما فقال</w:t>
      </w:r>
      <w:r w:rsidR="0002035C" w:rsidRPr="00A52585">
        <w:rPr>
          <w:rFonts w:hint="cs"/>
          <w:rtl/>
        </w:rPr>
        <w:t>:</w:t>
      </w:r>
      <w:r w:rsidRPr="00A52585">
        <w:rPr>
          <w:rFonts w:hint="cs"/>
          <w:rtl/>
        </w:rPr>
        <w:t xml:space="preserve"> كان ولا مكان فخلق العرش والكرسي ولم يحتج إلى مكان</w:t>
      </w:r>
      <w:r w:rsidR="00DB731D" w:rsidRPr="00A52585">
        <w:rPr>
          <w:rFonts w:hint="cs"/>
          <w:rtl/>
        </w:rPr>
        <w:t>،</w:t>
      </w:r>
      <w:r w:rsidRPr="00A52585">
        <w:rPr>
          <w:rFonts w:hint="cs"/>
          <w:rtl/>
        </w:rPr>
        <w:t xml:space="preserve"> وهو بعد خلق المكان كما كان </w:t>
      </w:r>
      <w:r w:rsidRPr="00A52585">
        <w:rPr>
          <w:rFonts w:hint="cs"/>
          <w:rtl/>
        </w:rPr>
        <w:lastRenderedPageBreak/>
        <w:t>قبل خلقه</w:t>
      </w:r>
      <w:r w:rsidR="0002035C" w:rsidRPr="00A52585">
        <w:rPr>
          <w:rFonts w:hint="cs"/>
          <w:rtl/>
        </w:rPr>
        <w:t>)</w:t>
      </w:r>
      <w:r w:rsidRPr="00A52585">
        <w:rPr>
          <w:rFonts w:hint="cs"/>
          <w:rtl/>
        </w:rPr>
        <w:t xml:space="preserve"> تبيين كذب المفتري (ص 150)</w:t>
      </w:r>
      <w:r w:rsidR="00DB731D" w:rsidRPr="00A52585">
        <w:rPr>
          <w:rFonts w:hint="cs"/>
          <w:rtl/>
        </w:rPr>
        <w:t>،</w:t>
      </w:r>
      <w:r w:rsidR="0002035C" w:rsidRPr="00A52585">
        <w:rPr>
          <w:rFonts w:hint="cs"/>
          <w:rtl/>
        </w:rPr>
        <w:t xml:space="preserve"> </w:t>
      </w:r>
      <w:r w:rsidRPr="00A52585">
        <w:rPr>
          <w:rFonts w:hint="cs"/>
          <w:rtl/>
        </w:rPr>
        <w:t>71- وقال أيضا في تنزيه الله عن المكان والجهة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خـلـق السـمـاء كـمـا يـشـاء بـلا دعـائـم مـسـتقـلـه</w:t>
      </w:r>
      <w:r w:rsidR="00DB731D" w:rsidRPr="00A52585">
        <w:rPr>
          <w:rFonts w:hint="cs"/>
          <w:rtl/>
        </w:rPr>
        <w:t>،</w:t>
      </w:r>
      <w:r w:rsidRPr="00A52585">
        <w:rPr>
          <w:rFonts w:hint="cs"/>
          <w:rtl/>
        </w:rPr>
        <w:t xml:space="preserve"> لا لـلـتـحـيـز كـي تـكـو ن لـذاتـه جـهـة مـقـلـه</w:t>
      </w:r>
      <w:r w:rsidR="00DB731D" w:rsidRPr="00A52585">
        <w:rPr>
          <w:rFonts w:hint="cs"/>
          <w:rtl/>
        </w:rPr>
        <w:t>،</w:t>
      </w:r>
      <w:r w:rsidRPr="00A52585">
        <w:rPr>
          <w:rFonts w:hint="cs"/>
          <w:rtl/>
        </w:rPr>
        <w:t xml:space="preserve"> رب عـلـى الـعـرش اسـتـوى قـهـرا ويـنـزل لا بـنـقـلـه</w:t>
      </w:r>
      <w:r w:rsidR="0002035C" w:rsidRPr="00A52585">
        <w:rPr>
          <w:rFonts w:hint="cs"/>
          <w:rtl/>
        </w:rPr>
        <w:t>)</w:t>
      </w:r>
      <w:r w:rsidRPr="00A52585">
        <w:rPr>
          <w:rFonts w:hint="cs"/>
          <w:rtl/>
        </w:rPr>
        <w:t xml:space="preserve"> أنظر مقدمة تبيين كذب المفتري للكوثري (ص 2)</w:t>
      </w:r>
      <w:r w:rsidR="00DB731D" w:rsidRPr="00A52585">
        <w:rPr>
          <w:rFonts w:hint="cs"/>
          <w:rtl/>
        </w:rPr>
        <w:t>،</w:t>
      </w:r>
      <w:r w:rsidR="0002035C" w:rsidRPr="00A52585">
        <w:rPr>
          <w:rFonts w:hint="cs"/>
          <w:rtl/>
        </w:rPr>
        <w:t xml:space="preserve"> </w:t>
      </w:r>
      <w:r w:rsidRPr="00A52585">
        <w:rPr>
          <w:rFonts w:hint="cs"/>
          <w:rtl/>
        </w:rPr>
        <w:t>72- وقال سيدنا الامام أحمد الرفاعي الشافعي الأشعري (578 هـ) ما نصه</w:t>
      </w:r>
      <w:r w:rsidR="0002035C" w:rsidRPr="00A52585">
        <w:rPr>
          <w:rFonts w:hint="cs"/>
          <w:rtl/>
        </w:rPr>
        <w:t>: (</w:t>
      </w:r>
      <w:r w:rsidRPr="00A52585">
        <w:rPr>
          <w:rFonts w:hint="cs"/>
          <w:rtl/>
        </w:rPr>
        <w:t>وطهِّروا عقائدكم من تفسير معنى الاستواء في حقه تعالى بالاستقرار، كاستواء الأجسام على الأجسام المستلزم للحلول</w:t>
      </w:r>
      <w:r w:rsidR="00DB731D" w:rsidRPr="00A52585">
        <w:rPr>
          <w:rFonts w:hint="cs"/>
          <w:rtl/>
        </w:rPr>
        <w:t>،</w:t>
      </w:r>
      <w:r w:rsidRPr="00A52585">
        <w:rPr>
          <w:rFonts w:hint="cs"/>
          <w:rtl/>
        </w:rPr>
        <w:t xml:space="preserve"> تعالى الله عن ذلك</w:t>
      </w:r>
      <w:r w:rsidR="00897A24" w:rsidRPr="00A52585">
        <w:rPr>
          <w:rFonts w:hint="cs"/>
          <w:rtl/>
        </w:rPr>
        <w:t>.</w:t>
      </w:r>
      <w:r w:rsidRPr="00A52585">
        <w:rPr>
          <w:rFonts w:hint="cs"/>
          <w:rtl/>
        </w:rPr>
        <w:t xml:space="preserve"> وإياكم والقول بالفوقية والسُّفْلية والمكان واليد والعين بالجارحة، والنزول بالإتيان والانتقال</w:t>
      </w:r>
      <w:r w:rsidR="00DB731D" w:rsidRPr="00A52585">
        <w:rPr>
          <w:rFonts w:hint="cs"/>
          <w:rtl/>
        </w:rPr>
        <w:t>،</w:t>
      </w:r>
      <w:r w:rsidRPr="00A52585">
        <w:rPr>
          <w:rFonts w:hint="cs"/>
          <w:rtl/>
        </w:rPr>
        <w:t xml:space="preserve"> فإن كل ما جاء في الكتاب والسنة مما يدل ظاهره على ما ذُكر فقد جاء في الكتاب والسنة مثله مما يؤيد المقصود</w:t>
      </w:r>
      <w:r w:rsidR="0002035C" w:rsidRPr="00A52585">
        <w:rPr>
          <w:rFonts w:hint="cs"/>
          <w:rtl/>
        </w:rPr>
        <w:t>)</w:t>
      </w:r>
      <w:r w:rsidRPr="00A52585">
        <w:rPr>
          <w:rFonts w:hint="cs"/>
          <w:rtl/>
        </w:rPr>
        <w:t xml:space="preserve"> البرهان المؤيد (ص 17 - 18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73- وقال أيضا ما نصه</w:t>
      </w:r>
      <w:r w:rsidR="0002035C" w:rsidRPr="00A52585">
        <w:rPr>
          <w:rFonts w:hint="cs"/>
          <w:rtl/>
        </w:rPr>
        <w:t>: (</w:t>
      </w:r>
      <w:r w:rsidRPr="00A52585">
        <w:rPr>
          <w:rFonts w:hint="cs"/>
          <w:rtl/>
        </w:rPr>
        <w:t>غاية المعرفة بالله الإيقان بوجوده تعالى بلا كيف ولا مكان</w:t>
      </w:r>
      <w:r w:rsidR="0002035C" w:rsidRPr="00A52585">
        <w:rPr>
          <w:rFonts w:hint="cs"/>
          <w:rtl/>
        </w:rPr>
        <w:t>)</w:t>
      </w:r>
      <w:r w:rsidRPr="00A52585">
        <w:rPr>
          <w:rFonts w:hint="cs"/>
          <w:rtl/>
        </w:rPr>
        <w:t xml:space="preserve"> أنظر كتاب حكم الشيخ أحمد الرفاعي الكبير (ص35- 36)</w:t>
      </w:r>
      <w:r w:rsidR="00DB731D" w:rsidRPr="00A52585">
        <w:rPr>
          <w:rFonts w:hint="cs"/>
          <w:rtl/>
        </w:rPr>
        <w:t>،</w:t>
      </w:r>
      <w:r w:rsidR="0002035C" w:rsidRPr="00A52585">
        <w:rPr>
          <w:rFonts w:hint="cs"/>
          <w:rtl/>
        </w:rPr>
        <w:t xml:space="preserve"> </w:t>
      </w:r>
      <w:r w:rsidRPr="00A52585">
        <w:rPr>
          <w:rFonts w:hint="cs"/>
          <w:rtl/>
        </w:rPr>
        <w:t>74- وقال أيضا ما نصه</w:t>
      </w:r>
      <w:r w:rsidR="0002035C" w:rsidRPr="00A52585">
        <w:rPr>
          <w:rFonts w:hint="cs"/>
          <w:rtl/>
        </w:rPr>
        <w:t>: (</w:t>
      </w:r>
      <w:r w:rsidRPr="00A52585">
        <w:rPr>
          <w:rFonts w:hint="cs"/>
          <w:rtl/>
        </w:rPr>
        <w:t>وأنه - أي الله - لا يحل في شيء ولا يحل فيه شيء</w:t>
      </w:r>
      <w:r w:rsidR="00DB731D" w:rsidRPr="00A52585">
        <w:rPr>
          <w:rFonts w:hint="cs"/>
          <w:rtl/>
        </w:rPr>
        <w:t>،</w:t>
      </w:r>
      <w:r w:rsidRPr="00A52585">
        <w:rPr>
          <w:rFonts w:hint="cs"/>
          <w:rtl/>
        </w:rPr>
        <w:t xml:space="preserve"> تعالى عن أن </w:t>
      </w:r>
      <w:proofErr w:type="spellStart"/>
      <w:r w:rsidRPr="00A52585">
        <w:rPr>
          <w:rFonts w:hint="cs"/>
          <w:rtl/>
        </w:rPr>
        <w:t>يحويه</w:t>
      </w:r>
      <w:proofErr w:type="spellEnd"/>
      <w:r w:rsidRPr="00A52585">
        <w:rPr>
          <w:rFonts w:hint="cs"/>
          <w:rtl/>
        </w:rPr>
        <w:t xml:space="preserve"> مكان</w:t>
      </w:r>
      <w:r w:rsidR="00DB731D" w:rsidRPr="00A52585">
        <w:rPr>
          <w:rFonts w:hint="cs"/>
          <w:rtl/>
        </w:rPr>
        <w:t>،</w:t>
      </w:r>
      <w:r w:rsidRPr="00A52585">
        <w:rPr>
          <w:rFonts w:hint="cs"/>
          <w:rtl/>
        </w:rPr>
        <w:t xml:space="preserve"> كما تقدَس عن أن يحده زمان</w:t>
      </w:r>
      <w:r w:rsidR="00DB731D" w:rsidRPr="00A52585">
        <w:rPr>
          <w:rFonts w:hint="cs"/>
          <w:rtl/>
        </w:rPr>
        <w:t>،</w:t>
      </w:r>
      <w:r w:rsidRPr="00A52585">
        <w:rPr>
          <w:rFonts w:hint="cs"/>
          <w:rtl/>
        </w:rPr>
        <w:t xml:space="preserve"> بل كان قبل خلق الزمان والمكان، وهو الآن على ما عليه كان</w:t>
      </w:r>
      <w:r w:rsidR="0002035C" w:rsidRPr="00A52585">
        <w:rPr>
          <w:rFonts w:hint="cs"/>
          <w:rtl/>
        </w:rPr>
        <w:t>)</w:t>
      </w:r>
      <w:r w:rsidRPr="00A52585">
        <w:rPr>
          <w:rFonts w:hint="cs"/>
          <w:rtl/>
        </w:rPr>
        <w:t xml:space="preserve"> إجابة الداعي إلى بيان اعتقاد الإمام الرفاعي (ص 44)</w:t>
      </w:r>
      <w:r w:rsidR="00DB731D" w:rsidRPr="00A52585">
        <w:rPr>
          <w:rFonts w:hint="cs"/>
          <w:rtl/>
        </w:rPr>
        <w:t>،</w:t>
      </w:r>
      <w:r w:rsidR="0002035C" w:rsidRPr="00A52585">
        <w:rPr>
          <w:rFonts w:hint="cs"/>
          <w:rtl/>
        </w:rPr>
        <w:t xml:space="preserve"> </w:t>
      </w:r>
      <w:r w:rsidRPr="00A52585">
        <w:rPr>
          <w:rFonts w:hint="cs"/>
          <w:rtl/>
        </w:rPr>
        <w:t>75-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يحده تعالى المقدار، ولا تحويه الأقطار، ولا تحيط به الجهات</w:t>
      </w:r>
      <w:r w:rsidR="00DB731D" w:rsidRPr="00A52585">
        <w:rPr>
          <w:rFonts w:hint="cs"/>
          <w:rtl/>
        </w:rPr>
        <w:t>،</w:t>
      </w:r>
      <w:r w:rsidRPr="00A52585">
        <w:rPr>
          <w:rFonts w:hint="cs"/>
          <w:rtl/>
        </w:rPr>
        <w:t xml:space="preserve"> ولا تكتنفه السماوات وأنه مستوٍ على العرش على الوجه الذي قاله وبالمعنى الذي أراده</w:t>
      </w:r>
      <w:r w:rsidR="00DB731D" w:rsidRPr="00A52585">
        <w:rPr>
          <w:rFonts w:hint="cs"/>
          <w:rtl/>
        </w:rPr>
        <w:t>،</w:t>
      </w:r>
      <w:r w:rsidRPr="00A52585">
        <w:rPr>
          <w:rFonts w:hint="cs"/>
          <w:rtl/>
        </w:rPr>
        <w:t xml:space="preserve"> استواء منزَها عن المماسة والاستقرار والتمكن والتحول والانتقال</w:t>
      </w:r>
      <w:r w:rsidR="00DB731D" w:rsidRPr="00A52585">
        <w:rPr>
          <w:rFonts w:hint="cs"/>
          <w:rtl/>
        </w:rPr>
        <w:t>،</w:t>
      </w:r>
      <w:r w:rsidRPr="00A52585">
        <w:rPr>
          <w:rFonts w:hint="cs"/>
          <w:rtl/>
        </w:rPr>
        <w:t xml:space="preserve"> لا يحمله العرش</w:t>
      </w:r>
      <w:r w:rsidR="00DB731D" w:rsidRPr="00A52585">
        <w:rPr>
          <w:rFonts w:hint="cs"/>
          <w:rtl/>
        </w:rPr>
        <w:t>،</w:t>
      </w:r>
      <w:r w:rsidRPr="00A52585">
        <w:rPr>
          <w:rFonts w:hint="cs"/>
          <w:rtl/>
        </w:rPr>
        <w:t xml:space="preserve"> بل العرش وحملتُه محمولون بلطف قدرته</w:t>
      </w:r>
      <w:r w:rsidR="00DB731D" w:rsidRPr="00A52585">
        <w:rPr>
          <w:rFonts w:hint="cs"/>
          <w:rtl/>
        </w:rPr>
        <w:t>،</w:t>
      </w:r>
      <w:r w:rsidRPr="00A52585">
        <w:rPr>
          <w:rFonts w:hint="cs"/>
          <w:rtl/>
        </w:rPr>
        <w:t xml:space="preserve"> ومقهورون في قبضته</w:t>
      </w:r>
      <w:r w:rsidR="00DB731D" w:rsidRPr="00A52585">
        <w:rPr>
          <w:rFonts w:hint="cs"/>
          <w:rtl/>
        </w:rPr>
        <w:t>،</w:t>
      </w:r>
      <w:r w:rsidRPr="00A52585">
        <w:rPr>
          <w:rFonts w:hint="cs"/>
          <w:rtl/>
        </w:rPr>
        <w:t xml:space="preserve"> وهو فوق العرش</w:t>
      </w:r>
      <w:r w:rsidR="00DB731D" w:rsidRPr="00A52585">
        <w:rPr>
          <w:rFonts w:hint="cs"/>
          <w:rtl/>
        </w:rPr>
        <w:t>،</w:t>
      </w:r>
      <w:r w:rsidRPr="00A52585">
        <w:rPr>
          <w:rFonts w:hint="cs"/>
          <w:rtl/>
        </w:rPr>
        <w:t xml:space="preserve"> وفوق كل شيء إلى تخوم الثرى</w:t>
      </w:r>
      <w:r w:rsidR="00DB731D" w:rsidRPr="00A52585">
        <w:rPr>
          <w:rFonts w:hint="cs"/>
          <w:rtl/>
        </w:rPr>
        <w:t>،</w:t>
      </w:r>
      <w:r w:rsidRPr="00A52585">
        <w:rPr>
          <w:rFonts w:hint="cs"/>
          <w:rtl/>
        </w:rPr>
        <w:t xml:space="preserve"> فوقية لا تزيده قربا إلى العرش والسماء بل هو رفيع الدرجات عن العرش كما أنه رفيع الدرجات عن الثرى</w:t>
      </w:r>
      <w:r w:rsidR="0002035C" w:rsidRPr="00A52585">
        <w:rPr>
          <w:rFonts w:hint="cs"/>
          <w:rtl/>
        </w:rPr>
        <w:t>)</w:t>
      </w:r>
      <w:r w:rsidRPr="00A52585">
        <w:rPr>
          <w:rFonts w:hint="cs"/>
          <w:rtl/>
        </w:rPr>
        <w:t xml:space="preserve"> المرجع السابق (ص 43)</w:t>
      </w:r>
      <w:r w:rsidR="00DB731D" w:rsidRPr="00A52585">
        <w:rPr>
          <w:rFonts w:hint="cs"/>
          <w:rtl/>
        </w:rPr>
        <w:t>،</w:t>
      </w:r>
      <w:r w:rsidR="0002035C" w:rsidRPr="00A52585">
        <w:rPr>
          <w:rFonts w:hint="cs"/>
          <w:rtl/>
        </w:rPr>
        <w:t xml:space="preserve"> </w:t>
      </w:r>
      <w:r w:rsidRPr="00A52585">
        <w:rPr>
          <w:rFonts w:hint="cs"/>
          <w:rtl/>
        </w:rPr>
        <w:t>76- وكذا كان على هذا المعتقد السلطان المجاهد صلاح الدين الأيوبي رحمه الله (589 هـ) كما وصفه أصحاب التراجم</w:t>
      </w:r>
      <w:r w:rsidR="0002035C" w:rsidRPr="00A52585">
        <w:rPr>
          <w:rFonts w:hint="cs"/>
          <w:rtl/>
        </w:rPr>
        <w:t>: (</w:t>
      </w:r>
      <w:r w:rsidRPr="00A52585">
        <w:rPr>
          <w:rFonts w:hint="cs"/>
          <w:rtl/>
        </w:rPr>
        <w:t>شافعي المذهب، أشعري الاعتقاد</w:t>
      </w:r>
      <w:r w:rsidR="0002035C" w:rsidRPr="00A52585">
        <w:rPr>
          <w:rFonts w:hint="cs"/>
          <w:rtl/>
        </w:rPr>
        <w:t>)</w:t>
      </w:r>
      <w:r w:rsidR="00DB731D" w:rsidRPr="00A52585">
        <w:rPr>
          <w:rFonts w:hint="cs"/>
          <w:rtl/>
        </w:rPr>
        <w:t>،</w:t>
      </w:r>
      <w:r w:rsidRPr="00A52585">
        <w:rPr>
          <w:rFonts w:hint="cs"/>
          <w:rtl/>
        </w:rPr>
        <w:t xml:space="preserve"> وقد كان له اعتناء خاص بنشر عقيدة الإمام الأشعري رحمه الله فقد قال السيوطي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فلما ولي صلاح الدين بن أيوب أمر المؤذنين في وقت التسبيح أن يعلنوا العقيدة الأشعرية</w:t>
      </w:r>
      <w:r w:rsidR="00DB731D" w:rsidRPr="00A52585">
        <w:rPr>
          <w:rFonts w:hint="cs"/>
          <w:rtl/>
        </w:rPr>
        <w:t>،</w:t>
      </w:r>
      <w:r w:rsidRPr="00A52585">
        <w:rPr>
          <w:rFonts w:hint="cs"/>
          <w:rtl/>
        </w:rPr>
        <w:t xml:space="preserve"> فوظف المؤذنين على ذكرها كل ليلة الى و قتنا هذا</w:t>
      </w:r>
      <w:r w:rsidR="0002035C" w:rsidRPr="00A52585">
        <w:rPr>
          <w:rFonts w:hint="cs"/>
          <w:rtl/>
        </w:rPr>
        <w:t>)</w:t>
      </w:r>
      <w:r w:rsidRPr="00A52585">
        <w:rPr>
          <w:rFonts w:hint="cs"/>
          <w:rtl/>
        </w:rPr>
        <w:t xml:space="preserve"> اهـ أي إلى وقت السيوطي المتوفى سنة 911.اهـ</w:t>
      </w:r>
      <w:r w:rsidR="0002035C" w:rsidRPr="00A52585">
        <w:rPr>
          <w:rFonts w:hint="cs"/>
          <w:rtl/>
        </w:rPr>
        <w:t>)</w:t>
      </w:r>
      <w:r w:rsidRPr="00A52585">
        <w:rPr>
          <w:rFonts w:hint="cs"/>
          <w:rtl/>
        </w:rPr>
        <w:t xml:space="preserve"> الوسائل إلى مسامرة </w:t>
      </w:r>
      <w:proofErr w:type="spellStart"/>
      <w:r w:rsidRPr="00A52585">
        <w:rPr>
          <w:rFonts w:hint="cs"/>
          <w:rtl/>
        </w:rPr>
        <w:t>الأوانل</w:t>
      </w:r>
      <w:proofErr w:type="spellEnd"/>
      <w:r w:rsidRPr="00A52585">
        <w:rPr>
          <w:rFonts w:hint="cs"/>
          <w:rtl/>
        </w:rPr>
        <w:t xml:space="preserve"> (ص 15)</w:t>
      </w:r>
      <w:r w:rsidR="00DB731D" w:rsidRPr="00A52585">
        <w:rPr>
          <w:rFonts w:hint="cs"/>
          <w:rtl/>
        </w:rPr>
        <w:t>،</w:t>
      </w:r>
      <w:r w:rsidRPr="00A52585">
        <w:rPr>
          <w:rFonts w:hint="cs"/>
          <w:rtl/>
        </w:rPr>
        <w:t xml:space="preserve"> ويقول الشيخ محمد بن علان الصديقي الشافعي ما نصه</w:t>
      </w:r>
      <w:r w:rsidR="0002035C" w:rsidRPr="00A52585">
        <w:rPr>
          <w:rFonts w:hint="cs"/>
          <w:rtl/>
        </w:rPr>
        <w:t>: (</w:t>
      </w:r>
      <w:r w:rsidRPr="00A52585">
        <w:rPr>
          <w:rFonts w:hint="cs"/>
          <w:rtl/>
        </w:rPr>
        <w:t xml:space="preserve">فلما ولي صلاح الدين بن أيوب وحمل الناس على اعتقاد مذهب الأشعري أمر المؤذنين أن يعلنوا وقت التسبيح بذكر العقيدة الأشعرية التي تُعرف </w:t>
      </w:r>
      <w:proofErr w:type="spellStart"/>
      <w:r w:rsidRPr="00A52585">
        <w:rPr>
          <w:rFonts w:hint="cs"/>
          <w:rtl/>
        </w:rPr>
        <w:t>بالمرشدية</w:t>
      </w:r>
      <w:proofErr w:type="spellEnd"/>
      <w:r w:rsidRPr="00A52585">
        <w:rPr>
          <w:rFonts w:hint="cs"/>
          <w:rtl/>
        </w:rPr>
        <w:t xml:space="preserve"> فواظبوا على ذكرها كل ليلة</w:t>
      </w:r>
      <w:r w:rsidR="0002035C" w:rsidRPr="00A52585">
        <w:rPr>
          <w:rFonts w:hint="cs"/>
          <w:rtl/>
        </w:rPr>
        <w:t>)</w:t>
      </w:r>
      <w:r w:rsidRPr="00A52585">
        <w:rPr>
          <w:rFonts w:hint="cs"/>
          <w:rtl/>
        </w:rPr>
        <w:t xml:space="preserve"> الفتوحات الربانية (2</w:t>
      </w:r>
      <w:r w:rsidR="0002035C" w:rsidRPr="00A52585">
        <w:rPr>
          <w:rFonts w:hint="cs"/>
          <w:rtl/>
        </w:rPr>
        <w:t xml:space="preserve">: </w:t>
      </w:r>
      <w:r w:rsidRPr="00A52585">
        <w:rPr>
          <w:rFonts w:hint="cs"/>
          <w:rtl/>
        </w:rPr>
        <w:t>113)</w:t>
      </w:r>
      <w:r w:rsidR="00DB731D" w:rsidRPr="00A52585">
        <w:rPr>
          <w:rFonts w:hint="cs"/>
          <w:rtl/>
        </w:rPr>
        <w:t>،</w:t>
      </w:r>
      <w:r w:rsidRPr="00A52585">
        <w:rPr>
          <w:rFonts w:hint="cs"/>
          <w:rtl/>
        </w:rPr>
        <w:t xml:space="preserve"> ولما كان للسلطان المذكور هذا الاهتمام بعقيدة الأشعري ألف الشيخ الفقيه النحوي </w:t>
      </w:r>
      <w:r w:rsidRPr="00A52585">
        <w:rPr>
          <w:rFonts w:hint="cs"/>
          <w:rtl/>
        </w:rPr>
        <w:lastRenderedPageBreak/>
        <w:t xml:space="preserve">محمد بن هبة الله رسالة في العقيدة وأسماها "حدائق الفصول وجواهر الأصول " وأهداها للسلطان فأقبل عليها وأمر بتعليمها حتى </w:t>
      </w:r>
      <w:proofErr w:type="spellStart"/>
      <w:r w:rsidRPr="00A52585">
        <w:rPr>
          <w:rFonts w:hint="cs"/>
          <w:rtl/>
        </w:rPr>
        <w:t>للصبيان</w:t>
      </w:r>
      <w:proofErr w:type="spellEnd"/>
      <w:r w:rsidRPr="00A52585">
        <w:rPr>
          <w:rFonts w:hint="cs"/>
          <w:rtl/>
        </w:rPr>
        <w:t xml:space="preserve"> في المكاتب، " وصارت تسمى فيما بعد "بالعقيدة الصلاحية"</w:t>
      </w:r>
      <w:r w:rsidR="00DB731D" w:rsidRPr="00A52585">
        <w:rPr>
          <w:rFonts w:hint="cs"/>
          <w:rtl/>
        </w:rPr>
        <w:t>،</w:t>
      </w:r>
      <w:r w:rsidRPr="00A52585">
        <w:rPr>
          <w:rFonts w:hint="cs"/>
          <w:rtl/>
        </w:rPr>
        <w:t xml:space="preserve"> ومما جاء في هذه الرسالة</w:t>
      </w:r>
      <w:r w:rsidR="0002035C" w:rsidRPr="00A52585">
        <w:rPr>
          <w:rFonts w:hint="cs"/>
          <w:rtl/>
        </w:rPr>
        <w:t>:</w:t>
      </w:r>
      <w:r w:rsidRPr="00A52585">
        <w:rPr>
          <w:rFonts w:hint="cs"/>
          <w:rtl/>
        </w:rPr>
        <w:t xml:space="preserve"> و (صانـع الـعـالـم لا </w:t>
      </w:r>
      <w:proofErr w:type="spellStart"/>
      <w:r w:rsidRPr="00A52585">
        <w:rPr>
          <w:rFonts w:hint="cs"/>
          <w:rtl/>
        </w:rPr>
        <w:t>يحويه</w:t>
      </w:r>
      <w:proofErr w:type="spellEnd"/>
      <w:r w:rsidRPr="00A52585">
        <w:rPr>
          <w:rFonts w:hint="cs"/>
          <w:rtl/>
        </w:rPr>
        <w:t xml:space="preserve"> قـطر</w:t>
      </w:r>
      <w:r w:rsidR="0002035C" w:rsidRPr="00A52585">
        <w:rPr>
          <w:rFonts w:hint="cs"/>
          <w:rtl/>
        </w:rPr>
        <w:t>)</w:t>
      </w:r>
      <w:r w:rsidRPr="00A52585">
        <w:rPr>
          <w:rFonts w:hint="cs"/>
          <w:rtl/>
        </w:rPr>
        <w:t xml:space="preserve"> تعالى الله عن تشبيه قد كـان مـوجـودا. ولا مكـانـا وحكمه الان على ما كانا سبحانه جـل عن المكان وعز عن تغيرِ الزمان فـقـد غـلا وزاد فـي الغلو من خصه بجهة العلو وحصر الصانع فـي السماء مبدعها والعرش فوق الماء وأثـبـتـوا لذاته </w:t>
      </w:r>
      <w:proofErr w:type="spellStart"/>
      <w:r w:rsidRPr="00A52585">
        <w:rPr>
          <w:rFonts w:hint="cs"/>
          <w:rtl/>
        </w:rPr>
        <w:t>التحيزا</w:t>
      </w:r>
      <w:proofErr w:type="spellEnd"/>
      <w:r w:rsidRPr="00A52585">
        <w:rPr>
          <w:rFonts w:hint="cs"/>
          <w:rtl/>
        </w:rPr>
        <w:t xml:space="preserve"> قد ضل ذو التشبيه</w:t>
      </w:r>
      <w:r w:rsidR="0002035C" w:rsidRPr="00A52585">
        <w:rPr>
          <w:rFonts w:hint="cs"/>
          <w:rtl/>
        </w:rPr>
        <w:t>)</w:t>
      </w:r>
      <w:r w:rsidRPr="00A52585">
        <w:rPr>
          <w:rFonts w:hint="cs"/>
          <w:rtl/>
        </w:rPr>
        <w:t xml:space="preserve"> أنظر حدائق الفصول (ص15)</w:t>
      </w:r>
      <w:r w:rsidR="00DB731D" w:rsidRPr="00A52585">
        <w:rPr>
          <w:rFonts w:hint="cs"/>
          <w:rtl/>
        </w:rPr>
        <w:t>،</w:t>
      </w:r>
      <w:r w:rsidR="0002035C" w:rsidRPr="00A52585">
        <w:rPr>
          <w:rFonts w:hint="cs"/>
          <w:rtl/>
        </w:rPr>
        <w:t xml:space="preserve"> </w:t>
      </w:r>
      <w:r w:rsidRPr="00A52585">
        <w:rPr>
          <w:rFonts w:hint="cs"/>
          <w:rtl/>
        </w:rPr>
        <w:t>77- قال الإمام الحافظ ابن الجوزي الحنبلي (597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الواجب علينا أن نعتقد أن ذات الله تعالى لا </w:t>
      </w:r>
      <w:proofErr w:type="spellStart"/>
      <w:r w:rsidRPr="00A52585">
        <w:rPr>
          <w:rFonts w:hint="cs"/>
          <w:rtl/>
        </w:rPr>
        <w:t>يحويه</w:t>
      </w:r>
      <w:proofErr w:type="spellEnd"/>
      <w:r w:rsidRPr="00A52585">
        <w:rPr>
          <w:rFonts w:hint="cs"/>
          <w:rtl/>
        </w:rPr>
        <w:t xml:space="preserve"> مكان ولا يوصف بالتغير والانتقال</w:t>
      </w:r>
      <w:r w:rsidR="0002035C" w:rsidRPr="00A52585">
        <w:rPr>
          <w:rFonts w:hint="cs"/>
          <w:rtl/>
        </w:rPr>
        <w:t>)</w:t>
      </w:r>
      <w:r w:rsidRPr="00A52585">
        <w:rPr>
          <w:rFonts w:hint="cs"/>
          <w:rtl/>
        </w:rPr>
        <w:t xml:space="preserve"> صيد الخاطر (ص47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78- وقال أيضا</w:t>
      </w:r>
      <w:r w:rsidR="0002035C" w:rsidRPr="00A52585">
        <w:rPr>
          <w:rFonts w:hint="cs"/>
          <w:rtl/>
        </w:rPr>
        <w:t>: (</w:t>
      </w:r>
      <w:r w:rsidRPr="00A52585">
        <w:rPr>
          <w:rFonts w:hint="cs"/>
          <w:rtl/>
        </w:rPr>
        <w:t>أفترى اقواما يسمعون أخبار الصفات فيحملونها على ما يقتضيه الحس، كقول قائلهم</w:t>
      </w:r>
      <w:r w:rsidR="0002035C" w:rsidRPr="00A52585">
        <w:rPr>
          <w:rFonts w:hint="cs"/>
          <w:rtl/>
        </w:rPr>
        <w:t>:</w:t>
      </w:r>
      <w:r w:rsidRPr="00A52585">
        <w:rPr>
          <w:rFonts w:hint="cs"/>
          <w:rtl/>
        </w:rPr>
        <w:t xml:space="preserve"> ينزل بذاته إلى السماء وينتقل، وهذا فهم </w:t>
      </w:r>
      <w:proofErr w:type="spellStart"/>
      <w:r w:rsidRPr="00A52585">
        <w:rPr>
          <w:rFonts w:hint="cs"/>
          <w:rtl/>
        </w:rPr>
        <w:t>ردىء</w:t>
      </w:r>
      <w:proofErr w:type="spellEnd"/>
      <w:r w:rsidR="00DB731D" w:rsidRPr="00A52585">
        <w:rPr>
          <w:rFonts w:hint="cs"/>
          <w:rtl/>
        </w:rPr>
        <w:t>،</w:t>
      </w:r>
      <w:r w:rsidRPr="00A52585">
        <w:rPr>
          <w:rFonts w:hint="cs"/>
          <w:rtl/>
        </w:rPr>
        <w:t xml:space="preserve"> لأن المنتقل يكون من مكان إلى مكان، ويوجب ذلك كون المكان أكبر منه، ويلزم منه الحركة، وكل ذلك محال على الحق عز وجل</w:t>
      </w:r>
      <w:r w:rsidR="0002035C" w:rsidRPr="00A52585">
        <w:rPr>
          <w:rFonts w:hint="cs"/>
          <w:rtl/>
        </w:rPr>
        <w:t>)</w:t>
      </w:r>
      <w:r w:rsidRPr="00A52585">
        <w:rPr>
          <w:rFonts w:hint="cs"/>
          <w:rtl/>
        </w:rPr>
        <w:t xml:space="preserve"> دفع شبه التشبيه</w:t>
      </w:r>
      <w:r w:rsidR="00DB731D" w:rsidRPr="00A52585">
        <w:rPr>
          <w:rFonts w:hint="cs"/>
          <w:rtl/>
        </w:rPr>
        <w:t>،</w:t>
      </w:r>
      <w:r w:rsidRPr="00A52585">
        <w:rPr>
          <w:rFonts w:hint="cs"/>
          <w:rtl/>
        </w:rPr>
        <w:t xml:space="preserve"> وطبعا كتاب دفع شبه التشبيه هذا الذي رد فيه على المجسمة الذين ينسبون أنفسهم إلى مذهب الامام أحمد والإمام أحمد بريء مما يعتقدون</w:t>
      </w:r>
      <w:r w:rsidR="00897A24" w:rsidRPr="00A52585">
        <w:rPr>
          <w:rFonts w:hint="cs"/>
          <w:rtl/>
        </w:rPr>
        <w:t>.</w:t>
      </w:r>
      <w:r w:rsidRPr="00A52585">
        <w:rPr>
          <w:rFonts w:hint="cs"/>
          <w:rtl/>
        </w:rPr>
        <w:t xml:space="preserve"> وقد بين ابن الجوزي في هذا الكتاب أن عقيدة السلف وعقيدة الإمام أحمد تنزيه الله عن الجهة والمكان والحد والجسمية والقيام والجلوس والاستقرار وغيرها من صفات الحوادث والأجسام</w:t>
      </w:r>
      <w:r w:rsidR="00DB731D" w:rsidRPr="00A52585">
        <w:rPr>
          <w:rFonts w:hint="cs"/>
          <w:rtl/>
        </w:rPr>
        <w:t>،</w:t>
      </w:r>
      <w:r w:rsidR="0002035C" w:rsidRPr="00A52585">
        <w:rPr>
          <w:rFonts w:hint="cs"/>
          <w:rtl/>
        </w:rPr>
        <w:t xml:space="preserve"> </w:t>
      </w:r>
      <w:r w:rsidRPr="00A52585">
        <w:rPr>
          <w:rFonts w:hint="cs"/>
          <w:rtl/>
        </w:rPr>
        <w:t>79- وقال ايضا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من هو في جهة يكون مقدرا محدودا وهو يتعالى عن ذلك</w:t>
      </w:r>
      <w:r w:rsidR="00DB731D" w:rsidRPr="00A52585">
        <w:rPr>
          <w:rFonts w:hint="cs"/>
          <w:rtl/>
        </w:rPr>
        <w:t>،</w:t>
      </w:r>
      <w:r w:rsidRPr="00A52585">
        <w:rPr>
          <w:rFonts w:hint="cs"/>
          <w:rtl/>
        </w:rPr>
        <w:t xml:space="preserve"> وإنما الجهات للجواهر والأجسام لأنها أجرام تحتاج إلى جهة، وإذا ثبت بطلان الجهة ثبت بطلان المكان</w:t>
      </w:r>
      <w:r w:rsidR="0002035C" w:rsidRPr="00A52585">
        <w:rPr>
          <w:rFonts w:hint="cs"/>
          <w:rtl/>
        </w:rPr>
        <w:t>)</w:t>
      </w:r>
      <w:r w:rsidRPr="00A52585">
        <w:rPr>
          <w:rFonts w:hint="cs"/>
          <w:rtl/>
        </w:rPr>
        <w:t xml:space="preserve"> دفع شبه التشبيه</w:t>
      </w:r>
      <w:r w:rsidR="00DB731D" w:rsidRPr="00A52585">
        <w:rPr>
          <w:rFonts w:hint="cs"/>
          <w:rtl/>
        </w:rPr>
        <w:t>،</w:t>
      </w:r>
      <w:r w:rsidR="0002035C" w:rsidRPr="00A52585">
        <w:rPr>
          <w:rFonts w:hint="cs"/>
          <w:rtl/>
        </w:rPr>
        <w:t xml:space="preserve"> </w:t>
      </w:r>
      <w:r w:rsidRPr="00A52585">
        <w:rPr>
          <w:rFonts w:hint="cs"/>
          <w:rtl/>
        </w:rPr>
        <w:t>80-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فإن قيل</w:t>
      </w:r>
      <w:r w:rsidR="0002035C" w:rsidRPr="00A52585">
        <w:rPr>
          <w:rFonts w:hint="cs"/>
          <w:rtl/>
        </w:rPr>
        <w:t>:</w:t>
      </w:r>
      <w:r w:rsidRPr="00A52585">
        <w:rPr>
          <w:rFonts w:hint="cs"/>
          <w:rtl/>
        </w:rPr>
        <w:t xml:space="preserve"> نفي الجهات يحيل وجوده، قلنا</w:t>
      </w:r>
      <w:r w:rsidR="0002035C" w:rsidRPr="00A52585">
        <w:rPr>
          <w:rFonts w:hint="cs"/>
          <w:rtl/>
        </w:rPr>
        <w:t>:</w:t>
      </w:r>
      <w:r w:rsidRPr="00A52585">
        <w:rPr>
          <w:rFonts w:hint="cs"/>
          <w:rtl/>
        </w:rPr>
        <w:t xml:space="preserve"> إن كان الموجود يقبل الاتصال والانفصال فقد صدقتَ، فأما إذا لم يقبلهما فليس خلوه من طرق النقيض بمحال</w:t>
      </w:r>
      <w:r w:rsidR="0002035C" w:rsidRPr="00A52585">
        <w:rPr>
          <w:rFonts w:hint="cs"/>
          <w:rtl/>
        </w:rPr>
        <w:t>)</w:t>
      </w:r>
      <w:r w:rsidRPr="00A52585">
        <w:rPr>
          <w:rFonts w:hint="cs"/>
          <w:rtl/>
        </w:rPr>
        <w:t xml:space="preserve"> دفع شبه التشبيه</w:t>
      </w:r>
      <w:r w:rsidR="00897A24" w:rsidRPr="00A52585">
        <w:rPr>
          <w:rFonts w:hint="cs"/>
          <w:rtl/>
        </w:rPr>
        <w:t>.</w:t>
      </w:r>
      <w:r w:rsidRPr="00A52585">
        <w:rPr>
          <w:rFonts w:hint="cs"/>
          <w:rtl/>
        </w:rPr>
        <w:br/>
        <w:t>81- وقال الشيخ تاج الدين محمد بن هبة الله المكي الحموي المصري (599 هـ) في تنزيه الله عن المكان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وصانع العالم لا </w:t>
      </w:r>
      <w:proofErr w:type="spellStart"/>
      <w:r w:rsidRPr="00A52585">
        <w:rPr>
          <w:rFonts w:hint="cs"/>
          <w:rtl/>
        </w:rPr>
        <w:t>يحويه</w:t>
      </w:r>
      <w:proofErr w:type="spellEnd"/>
      <w:r w:rsidRPr="00A52585">
        <w:rPr>
          <w:rFonts w:hint="cs"/>
          <w:rtl/>
        </w:rPr>
        <w:t xml:space="preserve"> قطر تعالى الله ن تشبيه قد كان موجودا ولا مكانا وحكمه الان على ما كانا سبحانه جل عن المكان وعز عن تغير الزمان</w:t>
      </w:r>
      <w:r w:rsidR="0002035C" w:rsidRPr="00A52585">
        <w:rPr>
          <w:rFonts w:hint="cs"/>
          <w:rtl/>
        </w:rPr>
        <w:t>)</w:t>
      </w:r>
      <w:r w:rsidRPr="00A52585">
        <w:rPr>
          <w:rFonts w:hint="cs"/>
          <w:rtl/>
        </w:rPr>
        <w:t xml:space="preserve"> انظر منظومته "حدائق الفصول وجواهر الأصول" في التوحيد</w:t>
      </w:r>
      <w:r w:rsidR="00DB731D" w:rsidRPr="00A52585">
        <w:rPr>
          <w:rFonts w:hint="cs"/>
          <w:rtl/>
        </w:rPr>
        <w:t>،</w:t>
      </w:r>
      <w:r w:rsidRPr="00A52585">
        <w:rPr>
          <w:rFonts w:hint="cs"/>
          <w:rtl/>
        </w:rPr>
        <w:t xml:space="preserve"> التي كان أمر بتدريسها السلطان المجاهد صلاح الدين الأيوبي (ص 10)</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وهذا الشيخ تاج الدين محمد بن هبة الله المكي الحموي المصري قال تاج الدين السبكي في طبقاته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كان فقيها فرضيا نحويا متكلما</w:t>
      </w:r>
      <w:r w:rsidR="00DB731D" w:rsidRPr="00A52585">
        <w:rPr>
          <w:rFonts w:hint="cs"/>
          <w:rtl/>
        </w:rPr>
        <w:t>،</w:t>
      </w:r>
      <w:r w:rsidRPr="00A52585">
        <w:rPr>
          <w:rFonts w:hint="cs"/>
          <w:rtl/>
        </w:rPr>
        <w:t xml:space="preserve"> أشعري العقيدة</w:t>
      </w:r>
      <w:r w:rsidR="00DB731D" w:rsidRPr="00A52585">
        <w:rPr>
          <w:rFonts w:hint="cs"/>
          <w:rtl/>
        </w:rPr>
        <w:t>،</w:t>
      </w:r>
      <w:r w:rsidRPr="00A52585">
        <w:rPr>
          <w:rFonts w:hint="cs"/>
          <w:rtl/>
        </w:rPr>
        <w:t xml:space="preserve"> إماما من أئمة المسلمين</w:t>
      </w:r>
      <w:r w:rsidR="00DB731D" w:rsidRPr="00A52585">
        <w:rPr>
          <w:rFonts w:hint="cs"/>
          <w:rtl/>
        </w:rPr>
        <w:t>،</w:t>
      </w:r>
      <w:r w:rsidRPr="00A52585">
        <w:rPr>
          <w:rFonts w:hint="cs"/>
          <w:rtl/>
        </w:rPr>
        <w:t xml:space="preserve"> إليه مرجع أهل الديار المصرية في فتاويهم</w:t>
      </w:r>
      <w:r w:rsidR="00897A24" w:rsidRPr="00A52585">
        <w:rPr>
          <w:rFonts w:hint="cs"/>
          <w:rtl/>
        </w:rPr>
        <w:t>.</w:t>
      </w:r>
      <w:r w:rsidRPr="00A52585">
        <w:rPr>
          <w:rFonts w:hint="cs"/>
          <w:rtl/>
        </w:rPr>
        <w:t xml:space="preserve"> وله نظم كثير منه ارجوزة سماها "حدائق الفصول وجواهر الأصول " </w:t>
      </w:r>
      <w:r w:rsidRPr="00A52585">
        <w:rPr>
          <w:rFonts w:hint="cs"/>
          <w:rtl/>
        </w:rPr>
        <w:lastRenderedPageBreak/>
        <w:t>صنفها للسلطان صلاح الدين</w:t>
      </w:r>
      <w:r w:rsidR="00DB731D" w:rsidRPr="00A52585">
        <w:rPr>
          <w:rFonts w:hint="cs"/>
          <w:rtl/>
        </w:rPr>
        <w:t>،</w:t>
      </w:r>
      <w:r w:rsidRPr="00A52585">
        <w:rPr>
          <w:rFonts w:hint="cs"/>
          <w:rtl/>
        </w:rPr>
        <w:t xml:space="preserve"> وهي حسنة جدا نافعة</w:t>
      </w:r>
      <w:r w:rsidR="00DB731D" w:rsidRPr="00A52585">
        <w:rPr>
          <w:rFonts w:hint="cs"/>
          <w:rtl/>
        </w:rPr>
        <w:t>،</w:t>
      </w:r>
      <w:r w:rsidRPr="00A52585">
        <w:rPr>
          <w:rFonts w:hint="cs"/>
          <w:rtl/>
        </w:rPr>
        <w:t xml:space="preserve"> عذبة النظم) اهـ. (7</w:t>
      </w:r>
      <w:r w:rsidR="0002035C" w:rsidRPr="00A52585">
        <w:rPr>
          <w:rFonts w:hint="cs"/>
          <w:rtl/>
        </w:rPr>
        <w:t>:</w:t>
      </w:r>
      <w:r w:rsidRPr="00A52585">
        <w:rPr>
          <w:rFonts w:hint="cs"/>
          <w:rtl/>
        </w:rPr>
        <w:t xml:space="preserve"> 23- 25)</w:t>
      </w:r>
      <w:r w:rsidR="00DB731D" w:rsidRPr="00A52585">
        <w:rPr>
          <w:rFonts w:hint="cs"/>
          <w:rtl/>
        </w:rPr>
        <w:t>،</w:t>
      </w:r>
      <w:r w:rsidR="0002035C" w:rsidRPr="00A52585">
        <w:rPr>
          <w:rFonts w:hint="cs"/>
          <w:rtl/>
        </w:rPr>
        <w:t xml:space="preserve"> </w:t>
      </w:r>
      <w:r w:rsidRPr="00A52585">
        <w:rPr>
          <w:rFonts w:hint="cs"/>
          <w:rtl/>
        </w:rPr>
        <w:t>82- وقال المبارك بن محمد المعروف بابن الأثير (606 ص)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"المراد بقرب العبد من الله تعالى القرب بالذكر والعمل الصالح</w:t>
      </w:r>
      <w:r w:rsidR="00DB731D" w:rsidRPr="00A52585">
        <w:rPr>
          <w:rFonts w:hint="cs"/>
          <w:rtl/>
        </w:rPr>
        <w:t>،</w:t>
      </w:r>
      <w:r w:rsidRPr="00A52585">
        <w:rPr>
          <w:rFonts w:hint="cs"/>
          <w:rtl/>
        </w:rPr>
        <w:t xml:space="preserve"> لا قرب الذات والمكان لأن ذلك من صفات الأجسام</w:t>
      </w:r>
      <w:r w:rsidR="00DB731D" w:rsidRPr="00A52585">
        <w:rPr>
          <w:rFonts w:hint="cs"/>
          <w:rtl/>
        </w:rPr>
        <w:t>،</w:t>
      </w:r>
      <w:r w:rsidRPr="00A52585">
        <w:rPr>
          <w:rFonts w:hint="cs"/>
          <w:rtl/>
        </w:rPr>
        <w:t xml:space="preserve"> والله يتعالى عن ذلك ويتقدس</w:t>
      </w:r>
      <w:r w:rsidR="0002035C" w:rsidRPr="00A52585">
        <w:rPr>
          <w:rFonts w:hint="cs"/>
          <w:rtl/>
        </w:rPr>
        <w:t>)</w:t>
      </w:r>
      <w:r w:rsidRPr="00A52585">
        <w:rPr>
          <w:rFonts w:hint="cs"/>
          <w:rtl/>
        </w:rPr>
        <w:t xml:space="preserve"> انظر النهاية في غريب الحديث (مادة ق ر ب، 4</w:t>
      </w:r>
      <w:r w:rsidR="0002035C" w:rsidRPr="00A52585">
        <w:rPr>
          <w:rFonts w:hint="cs"/>
          <w:rtl/>
        </w:rPr>
        <w:t xml:space="preserve">: </w:t>
      </w:r>
      <w:r w:rsidRPr="00A52585">
        <w:rPr>
          <w:rFonts w:hint="cs"/>
          <w:rtl/>
        </w:rPr>
        <w:t>32)</w:t>
      </w:r>
      <w:r w:rsidR="00DB731D" w:rsidRPr="00A52585">
        <w:rPr>
          <w:rFonts w:hint="cs"/>
          <w:rtl/>
        </w:rPr>
        <w:t>،</w:t>
      </w:r>
      <w:r w:rsidR="0002035C" w:rsidRPr="00A52585">
        <w:rPr>
          <w:rFonts w:hint="cs"/>
          <w:rtl/>
        </w:rPr>
        <w:t xml:space="preserve"> </w:t>
      </w:r>
      <w:r w:rsidRPr="00A52585">
        <w:rPr>
          <w:rFonts w:hint="cs"/>
          <w:rtl/>
        </w:rPr>
        <w:t>83- وقال المفسر فخرالدين الرازي (6 0 6 هـ) في قوله تعالى" وهو العلي العظيم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يجوز أن يكون المراد بكونه عليا العلو في الجهة والمكان لما ثبتت الدلالة على فساده</w:t>
      </w:r>
      <w:r w:rsidR="00DB731D" w:rsidRPr="00A52585">
        <w:rPr>
          <w:rFonts w:hint="cs"/>
          <w:rtl/>
        </w:rPr>
        <w:t>،</w:t>
      </w:r>
      <w:r w:rsidRPr="00A52585">
        <w:rPr>
          <w:rFonts w:hint="cs"/>
          <w:rtl/>
        </w:rPr>
        <w:t xml:space="preserve"> ولا يجوز أن يكون المراد من العظيم العظمة بالجثة وكبر الجسم</w:t>
      </w:r>
      <w:r w:rsidR="00DB731D" w:rsidRPr="00A52585">
        <w:rPr>
          <w:rFonts w:hint="cs"/>
          <w:rtl/>
        </w:rPr>
        <w:t>،</w:t>
      </w:r>
      <w:r w:rsidRPr="00A52585">
        <w:rPr>
          <w:rFonts w:hint="cs"/>
          <w:rtl/>
        </w:rPr>
        <w:t xml:space="preserve"> لأن ذلك يقتضي كونه مؤلفا من الأجزاء والأبعاض، وذلك ضد قوله " قل هو الله أَحد " فوجب أن يكون المراد من العلي المتعالي عن مشابهة الممكنات ومناسبة المحدثات، ومن العظيم العظمة بالقدرة والقهر بالاستعلاء وكمال الإلهية</w:t>
      </w:r>
      <w:r w:rsidR="0002035C" w:rsidRPr="00A52585">
        <w:rPr>
          <w:rFonts w:hint="cs"/>
          <w:rtl/>
        </w:rPr>
        <w:t>)</w:t>
      </w:r>
      <w:r w:rsidRPr="00A52585">
        <w:rPr>
          <w:rFonts w:hint="cs"/>
          <w:rtl/>
        </w:rPr>
        <w:t xml:space="preserve"> المصدر السابق (سورة الشورى</w:t>
      </w:r>
      <w:r w:rsidR="0002035C" w:rsidRPr="00A52585">
        <w:rPr>
          <w:rFonts w:hint="cs"/>
          <w:rtl/>
        </w:rPr>
        <w:t xml:space="preserve">: </w:t>
      </w:r>
      <w:r w:rsidRPr="00A52585">
        <w:rPr>
          <w:rFonts w:hint="cs"/>
          <w:rtl/>
        </w:rPr>
        <w:t>ءاية 4 - 27</w:t>
      </w:r>
      <w:r w:rsidR="0002035C" w:rsidRPr="00A52585">
        <w:rPr>
          <w:rFonts w:hint="cs"/>
          <w:rtl/>
        </w:rPr>
        <w:t xml:space="preserve">: </w:t>
      </w:r>
      <w:r w:rsidRPr="00A52585">
        <w:rPr>
          <w:rFonts w:hint="cs"/>
          <w:rtl/>
        </w:rPr>
        <w:t>144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84- وقال الشيخ أبو منصور - فخر الدين عبد الرحمن بن محمد المعروف بابن عساكر (620 هـ) عن الله تعالى ما نصه</w:t>
      </w:r>
      <w:r w:rsidR="0002035C" w:rsidRPr="00A52585">
        <w:rPr>
          <w:rFonts w:hint="cs"/>
          <w:rtl/>
        </w:rPr>
        <w:t>: (</w:t>
      </w:r>
      <w:r w:rsidRPr="00A52585">
        <w:rPr>
          <w:rFonts w:hint="cs"/>
          <w:rtl/>
        </w:rPr>
        <w:t>موجود قبل الخلق ليس له قبل ولا بعد</w:t>
      </w:r>
      <w:r w:rsidR="00DB731D" w:rsidRPr="00A52585">
        <w:rPr>
          <w:rFonts w:hint="cs"/>
          <w:rtl/>
        </w:rPr>
        <w:t>،</w:t>
      </w:r>
      <w:r w:rsidRPr="00A52585">
        <w:rPr>
          <w:rFonts w:hint="cs"/>
          <w:rtl/>
        </w:rPr>
        <w:t xml:space="preserve"> ولا فوق ولا تحت، ولا يمين ولا شمال</w:t>
      </w:r>
      <w:r w:rsidR="00DB731D" w:rsidRPr="00A52585">
        <w:rPr>
          <w:rFonts w:hint="cs"/>
          <w:rtl/>
        </w:rPr>
        <w:t>،</w:t>
      </w:r>
      <w:r w:rsidRPr="00A52585">
        <w:rPr>
          <w:rFonts w:hint="cs"/>
          <w:rtl/>
        </w:rPr>
        <w:t xml:space="preserve"> ولا أمام ولا خلف</w:t>
      </w:r>
      <w:r w:rsidR="00DB731D" w:rsidRPr="00A52585">
        <w:rPr>
          <w:rFonts w:hint="cs"/>
          <w:rtl/>
        </w:rPr>
        <w:t>،</w:t>
      </w:r>
      <w:r w:rsidRPr="00A52585">
        <w:rPr>
          <w:rFonts w:hint="cs"/>
          <w:rtl/>
        </w:rPr>
        <w:t xml:space="preserve"> ولا كل ولا بعض، ولا يقال متى كان</w:t>
      </w:r>
      <w:r w:rsidR="00DB731D" w:rsidRPr="00A52585">
        <w:rPr>
          <w:rFonts w:hint="cs"/>
          <w:rtl/>
        </w:rPr>
        <w:t>،</w:t>
      </w:r>
      <w:r w:rsidRPr="00A52585">
        <w:rPr>
          <w:rFonts w:hint="cs"/>
          <w:rtl/>
        </w:rPr>
        <w:t xml:space="preserve"> ولا أين كـان ولا كيف</w:t>
      </w:r>
      <w:r w:rsidR="00DB731D" w:rsidRPr="00A52585">
        <w:rPr>
          <w:rFonts w:hint="cs"/>
          <w:rtl/>
        </w:rPr>
        <w:t>،</w:t>
      </w:r>
      <w:r w:rsidRPr="00A52585">
        <w:rPr>
          <w:rFonts w:hint="cs"/>
          <w:rtl/>
        </w:rPr>
        <w:t xml:space="preserve"> كان ولا مكان</w:t>
      </w:r>
      <w:r w:rsidR="00DB731D" w:rsidRPr="00A52585">
        <w:rPr>
          <w:rFonts w:hint="cs"/>
          <w:rtl/>
        </w:rPr>
        <w:t>،</w:t>
      </w:r>
      <w:r w:rsidRPr="00A52585">
        <w:rPr>
          <w:rFonts w:hint="cs"/>
          <w:rtl/>
        </w:rPr>
        <w:t xml:space="preserve"> كون الأكوان</w:t>
      </w:r>
      <w:r w:rsidR="00DB731D" w:rsidRPr="00A52585">
        <w:rPr>
          <w:rFonts w:hint="cs"/>
          <w:rtl/>
        </w:rPr>
        <w:t>،</w:t>
      </w:r>
      <w:r w:rsidRPr="00A52585">
        <w:rPr>
          <w:rFonts w:hint="cs"/>
          <w:rtl/>
        </w:rPr>
        <w:t xml:space="preserve"> ودبر الزمان</w:t>
      </w:r>
      <w:r w:rsidR="00DB731D" w:rsidRPr="00A52585">
        <w:rPr>
          <w:rFonts w:hint="cs"/>
          <w:rtl/>
        </w:rPr>
        <w:t>،</w:t>
      </w:r>
      <w:r w:rsidRPr="00A52585">
        <w:rPr>
          <w:rFonts w:hint="cs"/>
          <w:rtl/>
        </w:rPr>
        <w:t xml:space="preserve"> لا يتقيد بالزمان</w:t>
      </w:r>
      <w:r w:rsidR="00DB731D" w:rsidRPr="00A52585">
        <w:rPr>
          <w:rFonts w:hint="cs"/>
          <w:rtl/>
        </w:rPr>
        <w:t>،</w:t>
      </w:r>
      <w:r w:rsidRPr="00A52585">
        <w:rPr>
          <w:rFonts w:hint="cs"/>
          <w:rtl/>
        </w:rPr>
        <w:t xml:space="preserve"> ولا يتخصص بالمكان</w:t>
      </w:r>
      <w:r w:rsidR="0002035C" w:rsidRPr="00A52585">
        <w:rPr>
          <w:rFonts w:hint="cs"/>
          <w:rtl/>
        </w:rPr>
        <w:t>)</w:t>
      </w:r>
      <w:r w:rsidRPr="00A52585">
        <w:rPr>
          <w:rFonts w:hint="cs"/>
          <w:rtl/>
        </w:rPr>
        <w:t xml:space="preserve"> انظر طبقات الشافعية </w:t>
      </w:r>
      <w:r w:rsidR="0002035C" w:rsidRPr="00A52585">
        <w:rPr>
          <w:rFonts w:hint="cs"/>
          <w:rtl/>
        </w:rPr>
        <w:t>(</w:t>
      </w:r>
      <w:r w:rsidRPr="00A52585">
        <w:rPr>
          <w:rFonts w:hint="cs"/>
          <w:rtl/>
        </w:rPr>
        <w:t>8</w:t>
      </w:r>
      <w:r w:rsidR="0002035C" w:rsidRPr="00A52585">
        <w:rPr>
          <w:rFonts w:hint="cs"/>
          <w:rtl/>
        </w:rPr>
        <w:t xml:space="preserve">: </w:t>
      </w:r>
      <w:r w:rsidRPr="00A52585">
        <w:rPr>
          <w:rFonts w:hint="cs"/>
          <w:rtl/>
        </w:rPr>
        <w:t>186)</w:t>
      </w:r>
      <w:r w:rsidR="00DB731D" w:rsidRPr="00A52585">
        <w:rPr>
          <w:rFonts w:hint="cs"/>
          <w:rtl/>
        </w:rPr>
        <w:t>،</w:t>
      </w:r>
      <w:r w:rsidR="0002035C" w:rsidRPr="00A52585">
        <w:rPr>
          <w:rFonts w:hint="cs"/>
          <w:rtl/>
        </w:rPr>
        <w:t xml:space="preserve"> </w:t>
      </w:r>
      <w:r w:rsidRPr="00A52585">
        <w:rPr>
          <w:rFonts w:hint="cs"/>
          <w:rtl/>
        </w:rPr>
        <w:t>85- وقال الصوفي الزاهد ذو النون المصري (245) ما نصه</w:t>
      </w:r>
      <w:r w:rsidR="0002035C" w:rsidRPr="00A52585">
        <w:rPr>
          <w:rFonts w:hint="cs"/>
          <w:rtl/>
        </w:rPr>
        <w:t>: (</w:t>
      </w:r>
      <w:r w:rsidRPr="00A52585">
        <w:rPr>
          <w:rFonts w:hint="cs"/>
          <w:rtl/>
        </w:rPr>
        <w:t xml:space="preserve">ربي تعالى فلا شيء يحيط به رفو المحيط بنا في كل مرتصد *** لا </w:t>
      </w:r>
      <w:proofErr w:type="spellStart"/>
      <w:r w:rsidRPr="00A52585">
        <w:rPr>
          <w:rFonts w:hint="cs"/>
          <w:rtl/>
        </w:rPr>
        <w:t>الأين</w:t>
      </w:r>
      <w:proofErr w:type="spellEnd"/>
      <w:r w:rsidRPr="00A52585">
        <w:rPr>
          <w:rFonts w:hint="cs"/>
          <w:rtl/>
        </w:rPr>
        <w:t xml:space="preserve"> </w:t>
      </w:r>
      <w:proofErr w:type="spellStart"/>
      <w:r w:rsidRPr="00A52585">
        <w:rPr>
          <w:rFonts w:hint="cs"/>
          <w:rtl/>
        </w:rPr>
        <w:t>والحيث</w:t>
      </w:r>
      <w:proofErr w:type="spellEnd"/>
      <w:r w:rsidRPr="00A52585">
        <w:rPr>
          <w:rFonts w:hint="cs"/>
          <w:rtl/>
        </w:rPr>
        <w:t xml:space="preserve"> والتكييف يدركه ولا يـحـد بـمـقـدار ولا امـد</w:t>
      </w:r>
      <w:r w:rsidR="00DB731D" w:rsidRPr="00A52585">
        <w:rPr>
          <w:rFonts w:hint="cs"/>
          <w:rtl/>
        </w:rPr>
        <w:t>،</w:t>
      </w:r>
      <w:r w:rsidRPr="00A52585">
        <w:rPr>
          <w:rFonts w:hint="cs"/>
          <w:rtl/>
        </w:rPr>
        <w:t xml:space="preserve"> وكـيـف يـدركـه حـد ولـم تـره عين وليس له ير المثل من أحد *** أم كـيف يبلغه وهـم بلا شبه وقد تعالى عن الأشباه والولد</w:t>
      </w:r>
      <w:r w:rsidR="0002035C" w:rsidRPr="00A52585">
        <w:rPr>
          <w:rFonts w:hint="cs"/>
          <w:rtl/>
        </w:rPr>
        <w:t>)</w:t>
      </w:r>
      <w:r w:rsidRPr="00A52585">
        <w:rPr>
          <w:rFonts w:hint="cs"/>
          <w:rtl/>
        </w:rPr>
        <w:t xml:space="preserve"> حلية الأولياء ترجمة ذي النون المصري (9</w:t>
      </w:r>
      <w:r w:rsidR="0002035C" w:rsidRPr="00A52585">
        <w:rPr>
          <w:rFonts w:hint="cs"/>
          <w:rtl/>
        </w:rPr>
        <w:t>:</w:t>
      </w:r>
      <w:r w:rsidRPr="00A52585">
        <w:rPr>
          <w:rFonts w:hint="cs"/>
          <w:rtl/>
        </w:rPr>
        <w:t xml:space="preserve"> 388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86- وقال الشيخ إسماعيل بن إبراهيم الشيباني الحنفي (629 ه) ما نصه</w:t>
      </w:r>
      <w:r w:rsidR="0002035C" w:rsidRPr="00A52585">
        <w:rPr>
          <w:rFonts w:hint="cs"/>
          <w:rtl/>
        </w:rPr>
        <w:t>: (</w:t>
      </w:r>
      <w:r w:rsidRPr="00A52585">
        <w:rPr>
          <w:rFonts w:hint="cs"/>
          <w:rtl/>
        </w:rPr>
        <w:t>مسألة</w:t>
      </w:r>
      <w:r w:rsidR="0002035C" w:rsidRPr="00A52585">
        <w:rPr>
          <w:rFonts w:hint="cs"/>
          <w:rtl/>
        </w:rPr>
        <w:t>:</w:t>
      </w:r>
      <w:r w:rsidRPr="00A52585">
        <w:rPr>
          <w:rFonts w:hint="cs"/>
          <w:rtl/>
        </w:rPr>
        <w:t xml:space="preserve"> قال أهل الحق</w:t>
      </w:r>
      <w:r w:rsidR="0002035C" w:rsidRPr="00A52585">
        <w:rPr>
          <w:rFonts w:hint="cs"/>
          <w:rtl/>
        </w:rPr>
        <w:t>:</w:t>
      </w:r>
      <w:r w:rsidRPr="00A52585">
        <w:rPr>
          <w:rFonts w:hint="cs"/>
          <w:rtl/>
        </w:rPr>
        <w:t xml:space="preserve"> إن "الله تعالى متعال عن المكان</w:t>
      </w:r>
      <w:r w:rsidR="00DB731D" w:rsidRPr="00A52585">
        <w:rPr>
          <w:rFonts w:hint="cs"/>
          <w:rtl/>
        </w:rPr>
        <w:t>،</w:t>
      </w:r>
      <w:r w:rsidRPr="00A52585">
        <w:rPr>
          <w:rFonts w:hint="cs"/>
          <w:rtl/>
        </w:rPr>
        <w:t xml:space="preserve"> غير متمكن في مكان</w:t>
      </w:r>
      <w:r w:rsidR="00DB731D" w:rsidRPr="00A52585">
        <w:rPr>
          <w:rFonts w:hint="cs"/>
          <w:rtl/>
        </w:rPr>
        <w:t>،</w:t>
      </w:r>
      <w:r w:rsidRPr="00A52585">
        <w:rPr>
          <w:rFonts w:hint="cs"/>
          <w:rtl/>
        </w:rPr>
        <w:t xml:space="preserve"> ولا متحيز إلى جهة خلافا للكرامية والمجسمة... والذي يدل عليه قوله تعالى "ليس كمثله شيء وهو السميع البصير "</w:t>
      </w:r>
      <w:r w:rsidR="00DB731D" w:rsidRPr="00A52585">
        <w:rPr>
          <w:rFonts w:hint="cs"/>
          <w:rtl/>
        </w:rPr>
        <w:t>،</w:t>
      </w:r>
      <w:r w:rsidRPr="00A52585">
        <w:rPr>
          <w:rFonts w:hint="cs"/>
          <w:rtl/>
        </w:rPr>
        <w:t xml:space="preserve"> فالله سبحانه وتعالى نفى أن يكون له مثل من الأشياء، والمكان والمتمكن متساويان قدرا متماثلا لاستوائهما في العدد، فكان القول بالمكان والتمكن ردا لهذا النص المحكم الذي لا احتمال فيه، ورد مثله يكون كفرا. ومن حيث المعقول</w:t>
      </w:r>
      <w:r w:rsidR="0002035C" w:rsidRPr="00A52585">
        <w:rPr>
          <w:rFonts w:hint="cs"/>
          <w:rtl/>
        </w:rPr>
        <w:t>:</w:t>
      </w:r>
      <w:r w:rsidRPr="00A52585">
        <w:rPr>
          <w:rFonts w:hint="cs"/>
          <w:rtl/>
        </w:rPr>
        <w:t xml:space="preserve"> ان الله تعالى كان ولا مكان، لأن المكان حادث بالإجماع، فعلم يقينا أنه لم يكن متمكنا في الأزل في مكان، فلو صار متمكنا بعد وجود المكان لصار متمكنا بعد أن لم يكن متمكنا، ولا شك أن هذا المعنى حادث وحدوث المعنى في الذات أمارة الحدث</w:t>
      </w:r>
      <w:r w:rsidR="00DB731D" w:rsidRPr="00A52585">
        <w:rPr>
          <w:rFonts w:hint="cs"/>
          <w:rtl/>
        </w:rPr>
        <w:t>،</w:t>
      </w:r>
      <w:r w:rsidRPr="00A52585">
        <w:rPr>
          <w:rFonts w:hint="cs"/>
          <w:rtl/>
        </w:rPr>
        <w:t xml:space="preserve"> وذات القديم يستحيل أن يكون محل الحوادث على ما مر</w:t>
      </w:r>
      <w:r w:rsidR="00DB731D" w:rsidRPr="00A52585">
        <w:rPr>
          <w:rFonts w:hint="cs"/>
          <w:rtl/>
        </w:rPr>
        <w:t>،</w:t>
      </w:r>
      <w:r w:rsidRPr="00A52585">
        <w:rPr>
          <w:rFonts w:hint="cs"/>
          <w:rtl/>
        </w:rPr>
        <w:t xml:space="preserve"> </w:t>
      </w:r>
      <w:r w:rsidRPr="00A52585">
        <w:rPr>
          <w:rFonts w:hint="cs"/>
          <w:rtl/>
        </w:rPr>
        <w:lastRenderedPageBreak/>
        <w:t>تعالى الله عن ذلك علوا كبيرا</w:t>
      </w:r>
      <w:r w:rsidR="0002035C" w:rsidRPr="00A52585">
        <w:rPr>
          <w:rFonts w:hint="cs"/>
          <w:rtl/>
        </w:rPr>
        <w:t>)</w:t>
      </w:r>
      <w:r w:rsidRPr="00A52585">
        <w:rPr>
          <w:rFonts w:hint="cs"/>
          <w:rtl/>
        </w:rPr>
        <w:t xml:space="preserve"> أنظر شرحه على العقيدة الطحاوية المسمى بيان اعتقاد أهل السنة (ص45)</w:t>
      </w:r>
      <w:r w:rsidR="00DB731D" w:rsidRPr="00A52585">
        <w:rPr>
          <w:rFonts w:hint="cs"/>
          <w:rtl/>
        </w:rPr>
        <w:t>،</w:t>
      </w:r>
      <w:r w:rsidR="0002035C" w:rsidRPr="00A52585">
        <w:rPr>
          <w:rFonts w:hint="cs"/>
          <w:rtl/>
        </w:rPr>
        <w:t xml:space="preserve"> </w:t>
      </w:r>
      <w:r w:rsidRPr="00A52585">
        <w:rPr>
          <w:rFonts w:hint="cs"/>
          <w:rtl/>
        </w:rPr>
        <w:t>87- وقال المتكلم سيف الدين الآمدي (631 هـ) ما نصه</w:t>
      </w:r>
      <w:r w:rsidR="0002035C" w:rsidRPr="00A52585">
        <w:rPr>
          <w:rFonts w:hint="cs"/>
          <w:rtl/>
        </w:rPr>
        <w:t>: (</w:t>
      </w:r>
      <w:r w:rsidRPr="00A52585">
        <w:rPr>
          <w:rFonts w:hint="cs"/>
          <w:rtl/>
        </w:rPr>
        <w:t>وما يروى عن السلف من ألفاظ يوهم ظاهرها إثبات الجهة والمكان فهو محمول على هذا الذي ذكرنا من امتناعهم عن إجرائها على ظواهرها والإيمان بتنزيلها وتلاوة كل آية على ما ذكرنا عنهم، وبين السلف الاختلاف في الألفاظ التي يطلقون فيها، كل ذلك اختلاف منهم في العبارة، مع اتفاقهم جميعا في المعنى أنه تعالى ليس بمتمكن في مكان ولا متحيز بجهة، ومن اشتغل منهم بتأويل يليق بدلائل التوحيد قالوا في قوله</w:t>
      </w:r>
      <w:r w:rsidR="0002035C" w:rsidRPr="00A52585">
        <w:rPr>
          <w:rFonts w:hint="cs"/>
          <w:rtl/>
        </w:rPr>
        <w:t>:</w:t>
      </w:r>
      <w:r w:rsidRPr="00A52585">
        <w:rPr>
          <w:rFonts w:hint="cs"/>
          <w:rtl/>
        </w:rPr>
        <w:t>" وهو الذي في السماء إِله وفي الأرضِ إِله"(84) سورة الزخرف أراد به ثبوت الألوهية في السماء لا ثبوت ذاته، وكذي في هذا قوله</w:t>
      </w:r>
      <w:r w:rsidR="0002035C" w:rsidRPr="00A52585">
        <w:rPr>
          <w:rFonts w:hint="cs"/>
          <w:rtl/>
        </w:rPr>
        <w:t>:</w:t>
      </w:r>
      <w:r w:rsidRPr="00A52585">
        <w:rPr>
          <w:rFonts w:hint="cs"/>
          <w:rtl/>
        </w:rPr>
        <w:t>" وهو اللّه في السماوات وفي الأَرضِ " (3) سورة الأنعام أي ألوهيته فيهما لا ذاته، وكذي في (هذا) قوله</w:t>
      </w:r>
      <w:r w:rsidR="0002035C" w:rsidRPr="00A52585">
        <w:rPr>
          <w:rFonts w:hint="cs"/>
          <w:rtl/>
        </w:rPr>
        <w:t>:</w:t>
      </w:r>
      <w:r w:rsidRPr="00A52585">
        <w:rPr>
          <w:rFonts w:hint="cs"/>
          <w:rtl/>
        </w:rPr>
        <w:t>" أَأَمنتم من في السماء"(16) سورة الملك ألوهيته إلا أن ألوهيته أضمرت بدلالة ما سيق من الآيات</w:t>
      </w:r>
      <w:r w:rsidR="00DB731D" w:rsidRPr="00A52585">
        <w:rPr>
          <w:rFonts w:hint="cs"/>
          <w:rtl/>
        </w:rPr>
        <w:t>،</w:t>
      </w:r>
      <w:r w:rsidRPr="00A52585">
        <w:rPr>
          <w:rFonts w:hint="cs"/>
          <w:rtl/>
        </w:rPr>
        <w:t xml:space="preserve"> وقوله</w:t>
      </w:r>
      <w:r w:rsidR="0002035C" w:rsidRPr="00A52585">
        <w:rPr>
          <w:rFonts w:hint="cs"/>
          <w:rtl/>
        </w:rPr>
        <w:t>:</w:t>
      </w:r>
      <w:r w:rsidRPr="00A52585">
        <w:rPr>
          <w:rFonts w:hint="cs"/>
          <w:rtl/>
        </w:rPr>
        <w:t>" ما يكون من نجوى ثلاثة إِلا هو رابعهم "(7) سورة المجادلة أي يعلم ذلك ولا يخفى عليه شيء، وقوله</w:t>
      </w:r>
      <w:r w:rsidR="0002035C" w:rsidRPr="00A52585">
        <w:rPr>
          <w:rFonts w:hint="cs"/>
          <w:rtl/>
        </w:rPr>
        <w:t>:</w:t>
      </w:r>
      <w:r w:rsidRPr="00A52585">
        <w:rPr>
          <w:rFonts w:hint="cs"/>
          <w:rtl/>
        </w:rPr>
        <w:t>" ونحن أَقرب إِليه من حبلِ الورِيد " (16) سورة ق أي بالسلطان والقدرة، وكذي القول بأنه فوق كل شيء أي بالقهر على ما قال تعالى</w:t>
      </w:r>
      <w:r w:rsidR="0002035C" w:rsidRPr="00A52585">
        <w:rPr>
          <w:rFonts w:hint="cs"/>
          <w:rtl/>
        </w:rPr>
        <w:t>:</w:t>
      </w:r>
      <w:r w:rsidRPr="00A52585">
        <w:rPr>
          <w:rFonts w:hint="cs"/>
          <w:rtl/>
        </w:rPr>
        <w:t>" وهو القاهر فوق عباده" (18) سورة الأنعام وقالو في قوله</w:t>
      </w:r>
      <w:r w:rsidR="0002035C" w:rsidRPr="00A52585">
        <w:rPr>
          <w:rFonts w:hint="cs"/>
          <w:rtl/>
        </w:rPr>
        <w:t>:</w:t>
      </w:r>
      <w:r w:rsidRPr="00A52585">
        <w:rPr>
          <w:rFonts w:hint="cs"/>
          <w:rtl/>
        </w:rPr>
        <w:t>" إِليه يصعد الكلم الطيب والعمل الصالح يرفعه (10) سورة فاطـر، إن الله تعالى جعل ديوان أعمال العباد في السماء والحفظة من الملائكة فيها فيكون ما رفع الى هناك رفعّا اليه، وهذا كما في قوله</w:t>
      </w:r>
      <w:r w:rsidR="0002035C" w:rsidRPr="00A52585">
        <w:rPr>
          <w:rFonts w:hint="cs"/>
          <w:rtl/>
        </w:rPr>
        <w:t>:</w:t>
      </w:r>
      <w:r w:rsidRPr="00A52585">
        <w:rPr>
          <w:rFonts w:hint="cs"/>
          <w:rtl/>
        </w:rPr>
        <w:t>" ونحن أقرب إِليه منكم ولكن لا تبصرون "(85</w:t>
      </w:r>
      <w:r w:rsidR="0002035C" w:rsidRPr="00A52585">
        <w:rPr>
          <w:rFonts w:hint="cs"/>
          <w:rtl/>
        </w:rPr>
        <w:t xml:space="preserve">: </w:t>
      </w:r>
      <w:r w:rsidRPr="00A52585">
        <w:rPr>
          <w:rFonts w:hint="cs"/>
          <w:rtl/>
        </w:rPr>
        <w:t>سورة الواقعة)، وقوله</w:t>
      </w:r>
      <w:r w:rsidR="0002035C" w:rsidRPr="00A52585">
        <w:rPr>
          <w:rFonts w:hint="cs"/>
          <w:rtl/>
        </w:rPr>
        <w:t>:</w:t>
      </w:r>
      <w:r w:rsidRPr="00A52585">
        <w:rPr>
          <w:rFonts w:hint="cs"/>
          <w:rtl/>
        </w:rPr>
        <w:t>" وأنتم حينئذ تنظرون "(84</w:t>
      </w:r>
      <w:r w:rsidR="0002035C" w:rsidRPr="00A52585">
        <w:rPr>
          <w:rFonts w:hint="cs"/>
          <w:rtl/>
        </w:rPr>
        <w:t xml:space="preserve">: </w:t>
      </w:r>
      <w:r w:rsidRPr="00A52585">
        <w:rPr>
          <w:rFonts w:hint="cs"/>
          <w:rtl/>
        </w:rPr>
        <w:t>سورة الواقعة) قالوا ملك الموت وأعوانه، والمجسمة لا يمكنهم أن يقولوا</w:t>
      </w:r>
      <w:r w:rsidR="0002035C" w:rsidRPr="00A52585">
        <w:rPr>
          <w:rFonts w:hint="cs"/>
          <w:rtl/>
        </w:rPr>
        <w:t>:</w:t>
      </w:r>
      <w:r w:rsidRPr="00A52585">
        <w:rPr>
          <w:rFonts w:hint="cs"/>
          <w:rtl/>
        </w:rPr>
        <w:t xml:space="preserve"> إنه بالذات عند كل محتضر، ولا أن يقولوا</w:t>
      </w:r>
      <w:r w:rsidR="0002035C" w:rsidRPr="00A52585">
        <w:rPr>
          <w:rFonts w:hint="cs"/>
          <w:rtl/>
        </w:rPr>
        <w:t>:</w:t>
      </w:r>
      <w:r w:rsidRPr="00A52585">
        <w:rPr>
          <w:rFonts w:hint="cs"/>
          <w:rtl/>
        </w:rPr>
        <w:t xml:space="preserve"> إنه بالذات في السماء لما يلزمهم القول بجعله تحت العرش وتحت عدد من السموات، فوقعوا بهواهم في مثل هذه المناقضات الفاحشة فيكون معنى قوله</w:t>
      </w:r>
      <w:r w:rsidR="0002035C" w:rsidRPr="00A52585">
        <w:rPr>
          <w:rFonts w:hint="cs"/>
          <w:rtl/>
        </w:rPr>
        <w:t>:</w:t>
      </w:r>
      <w:r w:rsidRPr="00A52585">
        <w:rPr>
          <w:rFonts w:hint="cs"/>
          <w:rtl/>
        </w:rPr>
        <w:t>" إِليه يصعد الكلم الطيب"(10</w:t>
      </w:r>
      <w:r w:rsidR="0002035C" w:rsidRPr="00A52585">
        <w:rPr>
          <w:rFonts w:hint="cs"/>
          <w:rtl/>
        </w:rPr>
        <w:t xml:space="preserve">: </w:t>
      </w:r>
      <w:r w:rsidRPr="00A52585">
        <w:rPr>
          <w:rFonts w:hint="cs"/>
          <w:rtl/>
        </w:rPr>
        <w:t>سورة فاطر) كما في قوله تعالى خبرا عن إبراهيم صلوات الله عليه</w:t>
      </w:r>
      <w:r w:rsidR="0002035C" w:rsidRPr="00A52585">
        <w:rPr>
          <w:rFonts w:hint="cs"/>
          <w:rtl/>
        </w:rPr>
        <w:t>:</w:t>
      </w:r>
      <w:r w:rsidRPr="00A52585">
        <w:rPr>
          <w:rFonts w:hint="cs"/>
          <w:rtl/>
        </w:rPr>
        <w:t>" وقال إِني ذاهب إِلى ربي سيهدين "(99</w:t>
      </w:r>
      <w:r w:rsidR="0002035C" w:rsidRPr="00A52585">
        <w:rPr>
          <w:rFonts w:hint="cs"/>
          <w:rtl/>
        </w:rPr>
        <w:t xml:space="preserve">: </w:t>
      </w:r>
      <w:r w:rsidRPr="00A52585">
        <w:rPr>
          <w:rFonts w:hint="cs"/>
          <w:rtl/>
        </w:rPr>
        <w:t xml:space="preserve">سورة الصافات) أي إلى الموضع الذي أمرني ربي أن أذهب إليه، وقالوا في </w:t>
      </w:r>
      <w:proofErr w:type="spellStart"/>
      <w:r w:rsidRPr="00A52585">
        <w:rPr>
          <w:rFonts w:hint="cs"/>
          <w:rtl/>
        </w:rPr>
        <w:t>في</w:t>
      </w:r>
      <w:proofErr w:type="spellEnd"/>
      <w:r w:rsidRPr="00A52585">
        <w:rPr>
          <w:rFonts w:hint="cs"/>
          <w:rtl/>
        </w:rPr>
        <w:t xml:space="preserve"> قوله</w:t>
      </w:r>
      <w:r w:rsidR="0002035C" w:rsidRPr="00A52585">
        <w:rPr>
          <w:rFonts w:hint="cs"/>
          <w:rtl/>
        </w:rPr>
        <w:t>:</w:t>
      </w:r>
      <w:r w:rsidRPr="00A52585">
        <w:rPr>
          <w:rFonts w:hint="cs"/>
          <w:rtl/>
        </w:rPr>
        <w:t>" إِن الذين عند ربك " (206</w:t>
      </w:r>
      <w:r w:rsidR="0002035C" w:rsidRPr="00A52585">
        <w:rPr>
          <w:rFonts w:hint="cs"/>
          <w:rtl/>
        </w:rPr>
        <w:t>:</w:t>
      </w:r>
      <w:r w:rsidRPr="00A52585">
        <w:rPr>
          <w:rFonts w:hint="cs"/>
          <w:rtl/>
        </w:rPr>
        <w:t xml:space="preserve"> سورة الأعراف)، يعني الملائكة، أن المراد منه قرب المنزلة لا قرب المكان كما قال موسى</w:t>
      </w:r>
      <w:r w:rsidR="0002035C" w:rsidRPr="00A52585">
        <w:rPr>
          <w:rFonts w:hint="cs"/>
          <w:rtl/>
        </w:rPr>
        <w:t>:</w:t>
      </w:r>
      <w:r w:rsidRPr="00A52585">
        <w:rPr>
          <w:rFonts w:hint="cs"/>
          <w:rtl/>
        </w:rPr>
        <w:t>" وكان عند اللَّه وجيها"(69) سورة الأحزاب وقال تعالى</w:t>
      </w:r>
      <w:r w:rsidR="0002035C" w:rsidRPr="00A52585">
        <w:rPr>
          <w:rFonts w:hint="cs"/>
          <w:rtl/>
        </w:rPr>
        <w:t>:</w:t>
      </w:r>
      <w:r w:rsidRPr="00A52585">
        <w:rPr>
          <w:rFonts w:hint="cs"/>
          <w:rtl/>
        </w:rPr>
        <w:t>" واذكر عبادنا إبراهيم وإِسحق ويعقوب أولي الأَيدي والأبصارِ "(45</w:t>
      </w:r>
      <w:r w:rsidR="0002035C" w:rsidRPr="00A52585">
        <w:rPr>
          <w:rFonts w:hint="cs"/>
          <w:rtl/>
        </w:rPr>
        <w:t xml:space="preserve">: </w:t>
      </w:r>
      <w:r w:rsidRPr="00A52585">
        <w:rPr>
          <w:rFonts w:hint="cs"/>
          <w:rtl/>
        </w:rPr>
        <w:t>سورة ص) قال المفسرون وأئمة الهدى</w:t>
      </w:r>
      <w:r w:rsidR="0002035C" w:rsidRPr="00A52585">
        <w:rPr>
          <w:rFonts w:hint="cs"/>
          <w:rtl/>
        </w:rPr>
        <w:t>:</w:t>
      </w:r>
      <w:r w:rsidRPr="00A52585">
        <w:rPr>
          <w:rFonts w:hint="cs"/>
          <w:rtl/>
        </w:rPr>
        <w:t xml:space="preserve"> أي أولو القوة في الدين والبصارة في الأمر، ولم يفهم أحد من السلف والخلف منه الأيدي الجارحة مع كونهم موصوفين حقيقة بالأبصار الجارحة والأيدي الجارحة</w:t>
      </w:r>
      <w:r w:rsidR="0002035C" w:rsidRPr="00A52585">
        <w:rPr>
          <w:rFonts w:hint="cs"/>
          <w:rtl/>
        </w:rPr>
        <w:t>:</w:t>
      </w:r>
      <w:r w:rsidRPr="00A52585">
        <w:rPr>
          <w:rFonts w:hint="cs"/>
          <w:rtl/>
        </w:rPr>
        <w:t xml:space="preserve"> فكيف فهمت المشبهة من قوله</w:t>
      </w:r>
      <w:r w:rsidR="0002035C" w:rsidRPr="00A52585">
        <w:rPr>
          <w:rFonts w:hint="cs"/>
          <w:rtl/>
        </w:rPr>
        <w:t>:</w:t>
      </w:r>
      <w:r w:rsidRPr="00A52585">
        <w:rPr>
          <w:rFonts w:hint="cs"/>
          <w:rtl/>
        </w:rPr>
        <w:t xml:space="preserve">" خلقت </w:t>
      </w:r>
      <w:r w:rsidRPr="00A52585">
        <w:rPr>
          <w:rFonts w:hint="cs"/>
          <w:rtl/>
        </w:rPr>
        <w:lastRenderedPageBreak/>
        <w:t>بيدي "(75) سورة ص اليدين الجارحتين، ومن قوله</w:t>
      </w:r>
      <w:r w:rsidR="0002035C" w:rsidRPr="00A52585">
        <w:rPr>
          <w:rFonts w:hint="cs"/>
          <w:rtl/>
        </w:rPr>
        <w:t>:</w:t>
      </w:r>
      <w:r w:rsidRPr="00A52585">
        <w:rPr>
          <w:rFonts w:hint="cs"/>
          <w:rtl/>
        </w:rPr>
        <w:t>" ولتصنع على عيني"(39</w:t>
      </w:r>
      <w:r w:rsidR="0002035C" w:rsidRPr="00A52585">
        <w:rPr>
          <w:rFonts w:hint="cs"/>
          <w:rtl/>
        </w:rPr>
        <w:t xml:space="preserve">: </w:t>
      </w:r>
      <w:r w:rsidRPr="00A52585">
        <w:rPr>
          <w:rFonts w:hint="cs"/>
          <w:rtl/>
        </w:rPr>
        <w:t>سورة طه) العين الجارحة، ومن الخبر المروي</w:t>
      </w:r>
      <w:r w:rsidR="0002035C" w:rsidRPr="00A52585">
        <w:rPr>
          <w:rFonts w:hint="cs"/>
          <w:rtl/>
        </w:rPr>
        <w:t>:</w:t>
      </w:r>
      <w:r w:rsidRPr="00A52585">
        <w:rPr>
          <w:rFonts w:hint="cs"/>
          <w:rtl/>
        </w:rPr>
        <w:t xml:space="preserve"> " إن الصدقة تقع في كف الرحمن " - رواه مسلم - الكف الجارحة مع قوله تعالى</w:t>
      </w:r>
      <w:r w:rsidR="0002035C" w:rsidRPr="00A52585">
        <w:rPr>
          <w:rFonts w:hint="cs"/>
          <w:rtl/>
        </w:rPr>
        <w:t>:</w:t>
      </w:r>
      <w:r w:rsidRPr="00A52585">
        <w:rPr>
          <w:rFonts w:hint="cs"/>
          <w:rtl/>
        </w:rPr>
        <w:t>" ليس كمثله شيء"(11</w:t>
      </w:r>
      <w:r w:rsidR="0002035C" w:rsidRPr="00A52585">
        <w:rPr>
          <w:rFonts w:hint="cs"/>
          <w:rtl/>
        </w:rPr>
        <w:t xml:space="preserve">: </w:t>
      </w:r>
      <w:r w:rsidRPr="00A52585">
        <w:rPr>
          <w:rFonts w:hint="cs"/>
          <w:rtl/>
        </w:rPr>
        <w:t>سورة الشورى) وقوله</w:t>
      </w:r>
      <w:r w:rsidR="0002035C" w:rsidRPr="00A52585">
        <w:rPr>
          <w:rFonts w:hint="cs"/>
          <w:rtl/>
        </w:rPr>
        <w:t>:</w:t>
      </w:r>
      <w:r w:rsidRPr="00A52585">
        <w:rPr>
          <w:rFonts w:hint="cs"/>
          <w:rtl/>
        </w:rPr>
        <w:t>" ولم يكن له كفوا أَحد "(4) سورة الإخلاص وقوله</w:t>
      </w:r>
      <w:r w:rsidR="0002035C" w:rsidRPr="00A52585">
        <w:rPr>
          <w:rFonts w:hint="cs"/>
          <w:rtl/>
        </w:rPr>
        <w:t>:</w:t>
      </w:r>
      <w:r w:rsidRPr="00A52585">
        <w:rPr>
          <w:rFonts w:hint="cs"/>
          <w:rtl/>
        </w:rPr>
        <w:t>" سبحان اللّه عما يصفون"(91) سورة المؤمنون وقوله</w:t>
      </w:r>
      <w:r w:rsidR="0002035C" w:rsidRPr="00A52585">
        <w:rPr>
          <w:rFonts w:hint="cs"/>
          <w:rtl/>
        </w:rPr>
        <w:t>:</w:t>
      </w:r>
      <w:r w:rsidRPr="00A52585">
        <w:rPr>
          <w:rFonts w:hint="cs"/>
          <w:rtl/>
        </w:rPr>
        <w:t>" إِن الله لغني عن العالمين"(6) سورة العنكبوت فـما فهموا من تلك المتشابهات إثبات الجسم والجوارح " الصورة إلا لخبث عقيدتهم وسوء سريرتهم. وبالله العصمة من الخذلان</w:t>
      </w:r>
      <w:r w:rsidR="0002035C" w:rsidRPr="00A52585">
        <w:rPr>
          <w:rFonts w:hint="cs"/>
          <w:rtl/>
        </w:rPr>
        <w:t>)</w:t>
      </w:r>
      <w:r w:rsidRPr="00A52585">
        <w:rPr>
          <w:rFonts w:hint="cs"/>
          <w:rtl/>
        </w:rPr>
        <w:t xml:space="preserve"> </w:t>
      </w:r>
      <w:proofErr w:type="spellStart"/>
      <w:r w:rsidRPr="00A52585">
        <w:rPr>
          <w:rFonts w:hint="cs"/>
          <w:rtl/>
        </w:rPr>
        <w:t>أبكار</w:t>
      </w:r>
      <w:proofErr w:type="spellEnd"/>
      <w:r w:rsidRPr="00A52585">
        <w:rPr>
          <w:rFonts w:hint="cs"/>
          <w:rtl/>
        </w:rPr>
        <w:t xml:space="preserve"> الأفكار (ص 194- 195)</w:t>
      </w:r>
      <w:r w:rsidR="00DB731D" w:rsidRPr="00A52585">
        <w:rPr>
          <w:rFonts w:hint="cs"/>
          <w:rtl/>
        </w:rPr>
        <w:t>،</w:t>
      </w:r>
      <w:r w:rsidRPr="00A52585">
        <w:rPr>
          <w:rFonts w:hint="cs"/>
          <w:rtl/>
        </w:rPr>
        <w:t xml:space="preserve"> مخطوط</w:t>
      </w:r>
      <w:r w:rsidR="00DB731D" w:rsidRPr="00A52585">
        <w:rPr>
          <w:rFonts w:hint="cs"/>
          <w:rtl/>
        </w:rPr>
        <w:t>،</w:t>
      </w:r>
      <w:r w:rsidR="0002035C" w:rsidRPr="00A52585">
        <w:rPr>
          <w:rFonts w:hint="cs"/>
          <w:rtl/>
        </w:rPr>
        <w:t xml:space="preserve"> </w:t>
      </w:r>
      <w:r w:rsidRPr="00A52585">
        <w:rPr>
          <w:rFonts w:hint="cs"/>
          <w:rtl/>
        </w:rPr>
        <w:t xml:space="preserve">88- وقال الشيخ جمال الدين محمود بن أحمد </w:t>
      </w:r>
      <w:proofErr w:type="spellStart"/>
      <w:r w:rsidRPr="00A52585">
        <w:rPr>
          <w:rFonts w:hint="cs"/>
          <w:rtl/>
        </w:rPr>
        <w:t>الحصيري</w:t>
      </w:r>
      <w:proofErr w:type="spellEnd"/>
      <w:r w:rsidRPr="00A52585">
        <w:rPr>
          <w:rFonts w:hint="cs"/>
          <w:rtl/>
        </w:rPr>
        <w:t xml:space="preserve"> شيخ الحنفية في زمانه (636 ص) بعد أن قرأ فتوى ابن عبد السلام في تنزيه الله عن المكان والحروف والصوت ما نصه</w:t>
      </w:r>
      <w:r w:rsidR="0002035C" w:rsidRPr="00A52585">
        <w:rPr>
          <w:rFonts w:hint="cs"/>
          <w:rtl/>
        </w:rPr>
        <w:t>: (</w:t>
      </w:r>
      <w:r w:rsidRPr="00A52585">
        <w:rPr>
          <w:rFonts w:hint="cs"/>
          <w:rtl/>
        </w:rPr>
        <w:t>هذا اعتقاد المسلمين</w:t>
      </w:r>
      <w:r w:rsidR="00DB731D" w:rsidRPr="00A52585">
        <w:rPr>
          <w:rFonts w:hint="cs"/>
          <w:rtl/>
        </w:rPr>
        <w:t>،</w:t>
      </w:r>
      <w:r w:rsidRPr="00A52585">
        <w:rPr>
          <w:rFonts w:hint="cs"/>
          <w:rtl/>
        </w:rPr>
        <w:t xml:space="preserve"> وشعار الصالحين</w:t>
      </w:r>
      <w:r w:rsidR="00DB731D" w:rsidRPr="00A52585">
        <w:rPr>
          <w:rFonts w:hint="cs"/>
          <w:rtl/>
        </w:rPr>
        <w:t>،</w:t>
      </w:r>
      <w:r w:rsidRPr="00A52585">
        <w:rPr>
          <w:rFonts w:hint="cs"/>
          <w:rtl/>
        </w:rPr>
        <w:t xml:space="preserve"> ويقين المؤمنين</w:t>
      </w:r>
      <w:r w:rsidR="00DB731D" w:rsidRPr="00A52585">
        <w:rPr>
          <w:rFonts w:hint="cs"/>
          <w:rtl/>
        </w:rPr>
        <w:t>،</w:t>
      </w:r>
      <w:r w:rsidRPr="00A52585">
        <w:rPr>
          <w:rFonts w:hint="cs"/>
          <w:rtl/>
        </w:rPr>
        <w:t xml:space="preserve"> وكل ما فيهما صحيح</w:t>
      </w:r>
      <w:r w:rsidR="00DB731D" w:rsidRPr="00A52585">
        <w:rPr>
          <w:rFonts w:hint="cs"/>
          <w:rtl/>
        </w:rPr>
        <w:t>،</w:t>
      </w:r>
      <w:r w:rsidRPr="00A52585">
        <w:rPr>
          <w:rFonts w:hint="cs"/>
          <w:rtl/>
        </w:rPr>
        <w:t xml:space="preserve"> ومن خالف ما فيهما وذهب إلى ما قاله الخصم من إثبات الحرف والصوت فهو حمار</w:t>
      </w:r>
      <w:r w:rsidR="0002035C" w:rsidRPr="00A52585">
        <w:rPr>
          <w:rFonts w:hint="cs"/>
          <w:rtl/>
        </w:rPr>
        <w:t>)</w:t>
      </w:r>
      <w:r w:rsidRPr="00A52585">
        <w:rPr>
          <w:rFonts w:hint="cs"/>
          <w:rtl/>
        </w:rPr>
        <w:t xml:space="preserve"> طبقات الشافعية الكبرى</w:t>
      </w:r>
      <w:r w:rsidR="0002035C" w:rsidRPr="00A52585">
        <w:rPr>
          <w:rFonts w:hint="cs"/>
          <w:rtl/>
        </w:rPr>
        <w:t>:</w:t>
      </w:r>
      <w:r w:rsidRPr="00A52585">
        <w:rPr>
          <w:rFonts w:hint="cs"/>
          <w:rtl/>
        </w:rPr>
        <w:t xml:space="preserve"> ترجمة عبد العزيز بن عبد السلام (8</w:t>
      </w:r>
      <w:r w:rsidR="0002035C" w:rsidRPr="00A52585">
        <w:rPr>
          <w:rFonts w:hint="cs"/>
          <w:rtl/>
        </w:rPr>
        <w:t xml:space="preserve">: </w:t>
      </w:r>
      <w:r w:rsidRPr="00A52585">
        <w:rPr>
          <w:rFonts w:hint="cs"/>
          <w:rtl/>
        </w:rPr>
        <w:t>237</w:t>
      </w:r>
      <w:r w:rsidR="0002035C" w:rsidRPr="00A52585">
        <w:rPr>
          <w:rFonts w:hint="cs"/>
          <w:rtl/>
        </w:rPr>
        <w:t>)</w:t>
      </w:r>
      <w:r w:rsidR="00DB731D" w:rsidRPr="00A52585">
        <w:rPr>
          <w:rFonts w:hint="cs"/>
          <w:rtl/>
        </w:rPr>
        <w:t>،</w:t>
      </w:r>
    </w:p>
    <w:p w14:paraId="1CE29B25" w14:textId="247B497C" w:rsidR="00777DCB" w:rsidRPr="00A52585" w:rsidRDefault="00777DCB" w:rsidP="0002035C">
      <w:pPr>
        <w:rPr>
          <w:b/>
          <w:rtl/>
        </w:rPr>
      </w:pPr>
      <w:r w:rsidRPr="00A52585">
        <w:rPr>
          <w:rFonts w:hint="cs"/>
          <w:rtl/>
        </w:rPr>
        <w:t>89- وقال الشيخ جمال الدين أبو عمرو عثمان بن عمر المعروف بابن الحاجب المالكي (646</w:t>
      </w:r>
      <w:r w:rsidR="0002035C" w:rsidRPr="00A52585">
        <w:rPr>
          <w:rFonts w:hint="cs"/>
          <w:rtl/>
        </w:rPr>
        <w:t>)</w:t>
      </w:r>
      <w:r w:rsidRPr="00A52585">
        <w:rPr>
          <w:rFonts w:hint="cs"/>
          <w:rtl/>
        </w:rPr>
        <w:t xml:space="preserve"> </w:t>
      </w:r>
      <w:r w:rsidRPr="00A52585">
        <w:rPr>
          <w:rFonts w:hint="cs"/>
          <w:rtl/>
        </w:rPr>
        <w:br/>
        <w:t>مثنيا على العقيدة التي كتبها الشيخ عبد العزيز ابن عبد السلام ومما جاء في هذه العقيدة قول ابن عبد السلام</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كان - الله - قبل أن كون المكان ودبر الزمان</w:t>
      </w:r>
      <w:r w:rsidR="00DB731D" w:rsidRPr="00A52585">
        <w:rPr>
          <w:rFonts w:hint="cs"/>
          <w:rtl/>
        </w:rPr>
        <w:t>،</w:t>
      </w:r>
      <w:r w:rsidRPr="00A52585">
        <w:rPr>
          <w:rFonts w:hint="cs"/>
          <w:rtl/>
        </w:rPr>
        <w:t xml:space="preserve"> وهو الآن على ما عليه كان</w:t>
      </w:r>
      <w:r w:rsidR="0002035C" w:rsidRPr="00A52585">
        <w:rPr>
          <w:rFonts w:hint="cs"/>
          <w:rtl/>
        </w:rPr>
        <w:t>)</w:t>
      </w:r>
      <w:r w:rsidRPr="00A52585">
        <w:rPr>
          <w:rFonts w:hint="cs"/>
          <w:rtl/>
        </w:rPr>
        <w:t xml:space="preserve"> طبقات الشافعية الكبرى</w:t>
      </w:r>
      <w:r w:rsidR="0002035C" w:rsidRPr="00A52585">
        <w:rPr>
          <w:rFonts w:hint="cs"/>
          <w:rtl/>
        </w:rPr>
        <w:t>:</w:t>
      </w:r>
      <w:r w:rsidRPr="00A52585">
        <w:rPr>
          <w:rFonts w:hint="cs"/>
          <w:rtl/>
        </w:rPr>
        <w:t xml:space="preserve"> ترجمة عبد العزيز بن عبد السلام (8</w:t>
      </w:r>
      <w:r w:rsidR="0002035C" w:rsidRPr="00A52585">
        <w:rPr>
          <w:rFonts w:hint="cs"/>
          <w:rtl/>
        </w:rPr>
        <w:t xml:space="preserve">: </w:t>
      </w:r>
      <w:r w:rsidRPr="00A52585">
        <w:rPr>
          <w:rFonts w:hint="cs"/>
          <w:rtl/>
        </w:rPr>
        <w:t>237</w:t>
      </w:r>
      <w:r w:rsidR="0002035C" w:rsidRPr="00A52585">
        <w:rPr>
          <w:rFonts w:hint="cs"/>
          <w:rtl/>
        </w:rPr>
        <w:t>)</w:t>
      </w:r>
      <w:r w:rsidR="00DB731D" w:rsidRPr="00A52585">
        <w:rPr>
          <w:rFonts w:hint="cs"/>
          <w:rtl/>
        </w:rPr>
        <w:t>،</w:t>
      </w:r>
      <w:r w:rsidRPr="00A52585">
        <w:rPr>
          <w:rFonts w:hint="cs"/>
          <w:rtl/>
        </w:rPr>
        <w:t xml:space="preserve"> ومن جملة ما ذكره في ثنائه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ما قاله ابن عبد السلام هو مذهب أهل الحق</w:t>
      </w:r>
      <w:r w:rsidR="00DB731D" w:rsidRPr="00A52585">
        <w:rPr>
          <w:rFonts w:hint="cs"/>
          <w:rtl/>
        </w:rPr>
        <w:t>،</w:t>
      </w:r>
      <w:r w:rsidRPr="00A52585">
        <w:rPr>
          <w:rFonts w:hint="cs"/>
          <w:rtl/>
        </w:rPr>
        <w:t xml:space="preserve"> وأن جمهور السلف والخلف على ذلك</w:t>
      </w:r>
      <w:r w:rsidR="00DB731D" w:rsidRPr="00A52585">
        <w:rPr>
          <w:rFonts w:hint="cs"/>
          <w:rtl/>
        </w:rPr>
        <w:t>،</w:t>
      </w:r>
      <w:r w:rsidRPr="00A52585">
        <w:rPr>
          <w:rFonts w:hint="cs"/>
          <w:rtl/>
        </w:rPr>
        <w:t xml:space="preserve"> ولم يخالفهم إلا طائفة مخذولة</w:t>
      </w:r>
      <w:r w:rsidR="00DB731D" w:rsidRPr="00A52585">
        <w:rPr>
          <w:rFonts w:hint="cs"/>
          <w:rtl/>
        </w:rPr>
        <w:t>،</w:t>
      </w:r>
      <w:r w:rsidRPr="00A52585">
        <w:rPr>
          <w:rFonts w:hint="cs"/>
          <w:rtl/>
        </w:rPr>
        <w:t xml:space="preserve"> يخفون مذهبهم ويدسونه على تخوف إلى من يستضعفون علمه وعقله</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90- وقال نجم الدين </w:t>
      </w:r>
      <w:proofErr w:type="spellStart"/>
      <w:r w:rsidRPr="00A52585">
        <w:rPr>
          <w:rFonts w:hint="cs"/>
          <w:rtl/>
        </w:rPr>
        <w:t>مَنكُوبَرس</w:t>
      </w:r>
      <w:proofErr w:type="spellEnd"/>
      <w:r w:rsidRPr="00A52585">
        <w:rPr>
          <w:rFonts w:hint="cs"/>
          <w:rtl/>
        </w:rPr>
        <w:t xml:space="preserve"> (652 هـ) شارح العقيدة الطحاوية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ولأن من لم يَرُضْ عقله في التفكر والتدبر والنظر في الدلائل يظن أن صانعه بجهة منه لمِا لا يعرفُ أن التحيز بجهة من أمارات الحدث وأنها منفيِّة عن القديم</w:t>
      </w:r>
      <w:r w:rsidR="0002035C" w:rsidRPr="00A52585">
        <w:rPr>
          <w:rFonts w:hint="cs"/>
          <w:rtl/>
        </w:rPr>
        <w:t>)</w:t>
      </w:r>
      <w:r w:rsidRPr="00A52585">
        <w:rPr>
          <w:rFonts w:hint="cs"/>
          <w:rtl/>
        </w:rPr>
        <w:t xml:space="preserve"> النور اللامع والبرهان الساطع في شرح عقائد الإسلام (ص 108</w:t>
      </w:r>
      <w:r w:rsidR="0002035C" w:rsidRPr="00A52585">
        <w:rPr>
          <w:rFonts w:hint="cs"/>
          <w:rtl/>
        </w:rPr>
        <w:t>)</w:t>
      </w:r>
      <w:r w:rsidRPr="00A52585">
        <w:rPr>
          <w:rFonts w:hint="cs"/>
          <w:rtl/>
        </w:rPr>
        <w:t xml:space="preserve"> من المخطوط</w:t>
      </w:r>
      <w:r w:rsidR="00DB731D" w:rsidRPr="00A52585">
        <w:rPr>
          <w:rFonts w:hint="cs"/>
          <w:rtl/>
        </w:rPr>
        <w:t>،</w:t>
      </w:r>
      <w:r w:rsidR="0002035C" w:rsidRPr="00A52585">
        <w:rPr>
          <w:rFonts w:hint="cs"/>
          <w:rtl/>
        </w:rPr>
        <w:t xml:space="preserve"> </w:t>
      </w:r>
      <w:r w:rsidRPr="00A52585">
        <w:rPr>
          <w:rFonts w:hint="cs"/>
          <w:rtl/>
        </w:rPr>
        <w:t>91- وقال سلطان العلماء العز بن عبد السلام (660 ص) ما نصه</w:t>
      </w:r>
      <w:r w:rsidR="0002035C" w:rsidRPr="00A52585">
        <w:rPr>
          <w:rFonts w:hint="cs"/>
          <w:rtl/>
        </w:rPr>
        <w:t>: (</w:t>
      </w:r>
      <w:r w:rsidRPr="00A52585">
        <w:rPr>
          <w:rFonts w:hint="cs"/>
          <w:rtl/>
        </w:rPr>
        <w:t>ليس - أي الله - بجسم مصوَّر</w:t>
      </w:r>
      <w:r w:rsidR="00DB731D" w:rsidRPr="00A52585">
        <w:rPr>
          <w:rFonts w:hint="cs"/>
          <w:rtl/>
        </w:rPr>
        <w:t>،</w:t>
      </w:r>
      <w:r w:rsidRPr="00A52585">
        <w:rPr>
          <w:rFonts w:hint="cs"/>
          <w:rtl/>
        </w:rPr>
        <w:t xml:space="preserve"> ولا جوهر محدود مُقدَّر</w:t>
      </w:r>
      <w:r w:rsidR="00DB731D" w:rsidRPr="00A52585">
        <w:rPr>
          <w:rFonts w:hint="cs"/>
          <w:rtl/>
        </w:rPr>
        <w:t>،</w:t>
      </w:r>
      <w:r w:rsidRPr="00A52585">
        <w:rPr>
          <w:rFonts w:hint="cs"/>
          <w:rtl/>
        </w:rPr>
        <w:t xml:space="preserve"> ولا يشبه شيئا</w:t>
      </w:r>
      <w:r w:rsidR="00DB731D" w:rsidRPr="00A52585">
        <w:rPr>
          <w:rFonts w:hint="cs"/>
          <w:rtl/>
        </w:rPr>
        <w:t>،</w:t>
      </w:r>
      <w:r w:rsidRPr="00A52585">
        <w:rPr>
          <w:rFonts w:hint="cs"/>
          <w:rtl/>
        </w:rPr>
        <w:t xml:space="preserve"> ولا يُشبهه شيء</w:t>
      </w:r>
      <w:r w:rsidR="00DB731D" w:rsidRPr="00A52585">
        <w:rPr>
          <w:rFonts w:hint="cs"/>
          <w:rtl/>
        </w:rPr>
        <w:t>،</w:t>
      </w:r>
      <w:r w:rsidRPr="00A52585">
        <w:rPr>
          <w:rFonts w:hint="cs"/>
          <w:rtl/>
        </w:rPr>
        <w:t xml:space="preserve"> ولا تحيط به الجهات</w:t>
      </w:r>
      <w:r w:rsidR="00DB731D" w:rsidRPr="00A52585">
        <w:rPr>
          <w:rFonts w:hint="cs"/>
          <w:rtl/>
        </w:rPr>
        <w:t>،</w:t>
      </w:r>
      <w:r w:rsidRPr="00A52585">
        <w:rPr>
          <w:rFonts w:hint="cs"/>
          <w:rtl/>
        </w:rPr>
        <w:t xml:space="preserve"> ولا تكتنفه الأرضون ولا السموات</w:t>
      </w:r>
      <w:r w:rsidR="00DB731D" w:rsidRPr="00A52585">
        <w:rPr>
          <w:rFonts w:hint="cs"/>
          <w:rtl/>
        </w:rPr>
        <w:t>،</w:t>
      </w:r>
      <w:r w:rsidRPr="00A52585">
        <w:rPr>
          <w:rFonts w:hint="cs"/>
          <w:rtl/>
        </w:rPr>
        <w:t xml:space="preserve"> كان قبل أن كوَّن المكان ودبَّر الزمان</w:t>
      </w:r>
      <w:r w:rsidR="00DB731D" w:rsidRPr="00A52585">
        <w:rPr>
          <w:rFonts w:hint="cs"/>
          <w:rtl/>
        </w:rPr>
        <w:t>،</w:t>
      </w:r>
      <w:r w:rsidRPr="00A52585">
        <w:rPr>
          <w:rFonts w:hint="cs"/>
          <w:rtl/>
        </w:rPr>
        <w:t xml:space="preserve"> وهو الآن على ما عليه كان</w:t>
      </w:r>
      <w:r w:rsidR="0002035C" w:rsidRPr="00A52585">
        <w:rPr>
          <w:rFonts w:hint="cs"/>
          <w:rtl/>
        </w:rPr>
        <w:t>)</w:t>
      </w:r>
      <w:r w:rsidRPr="00A52585">
        <w:rPr>
          <w:rFonts w:hint="cs"/>
          <w:rtl/>
        </w:rPr>
        <w:t xml:space="preserve"> طبقات الشافعية الكبرى</w:t>
      </w:r>
      <w:r w:rsidR="0002035C" w:rsidRPr="00A52585">
        <w:rPr>
          <w:rFonts w:hint="cs"/>
          <w:rtl/>
        </w:rPr>
        <w:t>:</w:t>
      </w:r>
      <w:r w:rsidRPr="00A52585">
        <w:rPr>
          <w:rFonts w:hint="cs"/>
          <w:rtl/>
        </w:rPr>
        <w:t xml:space="preserve"> ترجمة عبد العزيز بن عبد السلام (8</w:t>
      </w:r>
      <w:r w:rsidR="0002035C" w:rsidRPr="00A52585">
        <w:rPr>
          <w:rFonts w:hint="cs"/>
          <w:rtl/>
        </w:rPr>
        <w:t xml:space="preserve">: </w:t>
      </w:r>
      <w:r w:rsidRPr="00A52585">
        <w:rPr>
          <w:rFonts w:hint="cs"/>
          <w:rtl/>
        </w:rPr>
        <w:t>219)</w:t>
      </w:r>
      <w:r w:rsidR="00DB731D" w:rsidRPr="00A52585">
        <w:rPr>
          <w:rFonts w:hint="cs"/>
          <w:rtl/>
        </w:rPr>
        <w:t>،</w:t>
      </w:r>
      <w:r w:rsidR="0002035C" w:rsidRPr="00A52585">
        <w:rPr>
          <w:rFonts w:hint="cs"/>
          <w:rtl/>
        </w:rPr>
        <w:t xml:space="preserve"> </w:t>
      </w:r>
      <w:r w:rsidRPr="00A52585">
        <w:rPr>
          <w:rFonts w:hint="cs"/>
          <w:rtl/>
        </w:rPr>
        <w:t>92- وقال محمد بن أحمد القرشي الهاشمي (669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كان الله ولا مكان، وهو الان على ما عليه كان</w:t>
      </w:r>
      <w:r w:rsidR="0002035C" w:rsidRPr="00A52585">
        <w:rPr>
          <w:rFonts w:hint="cs"/>
          <w:rtl/>
        </w:rPr>
        <w:t>)</w:t>
      </w:r>
      <w:r w:rsidRPr="00A52585">
        <w:rPr>
          <w:rFonts w:hint="cs"/>
          <w:rtl/>
        </w:rPr>
        <w:t xml:space="preserve"> روض الرياحين (ص 496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93- وقال الامام القرطبي المالكي (671 هـ) ما نصه</w:t>
      </w:r>
      <w:r w:rsidR="0002035C" w:rsidRPr="00A52585">
        <w:rPr>
          <w:rFonts w:hint="cs"/>
          <w:rtl/>
        </w:rPr>
        <w:t>: (</w:t>
      </w:r>
      <w:r w:rsidRPr="00A52585">
        <w:rPr>
          <w:rFonts w:hint="cs"/>
          <w:rtl/>
        </w:rPr>
        <w:t xml:space="preserve">و "العليّ" يراد به علو القدر والمنزلة </w:t>
      </w:r>
      <w:r w:rsidRPr="00A52585">
        <w:rPr>
          <w:rFonts w:hint="cs"/>
          <w:rtl/>
        </w:rPr>
        <w:lastRenderedPageBreak/>
        <w:t>لا علو المكان</w:t>
      </w:r>
      <w:r w:rsidR="00DB731D" w:rsidRPr="00A52585">
        <w:rPr>
          <w:rFonts w:hint="cs"/>
          <w:rtl/>
        </w:rPr>
        <w:t>،</w:t>
      </w:r>
      <w:r w:rsidRPr="00A52585">
        <w:rPr>
          <w:rFonts w:hint="cs"/>
          <w:rtl/>
        </w:rPr>
        <w:t xml:space="preserve"> لأن الله منزه عن التحيز</w:t>
      </w:r>
      <w:r w:rsidR="0002035C" w:rsidRPr="00A52585">
        <w:rPr>
          <w:rFonts w:hint="cs"/>
          <w:rtl/>
        </w:rPr>
        <w:t>)</w:t>
      </w:r>
      <w:r w:rsidRPr="00A52585">
        <w:rPr>
          <w:rFonts w:hint="cs"/>
          <w:rtl/>
        </w:rPr>
        <w:t xml:space="preserve"> الجامع لأحكام القرءان سورة البقرة</w:t>
      </w:r>
      <w:r w:rsidR="00DB731D" w:rsidRPr="00A52585">
        <w:rPr>
          <w:rFonts w:hint="cs"/>
          <w:rtl/>
        </w:rPr>
        <w:t>،</w:t>
      </w:r>
      <w:r w:rsidRPr="00A52585">
        <w:rPr>
          <w:rFonts w:hint="cs"/>
          <w:rtl/>
        </w:rPr>
        <w:t xml:space="preserve"> آية</w:t>
      </w:r>
      <w:r w:rsidR="0002035C" w:rsidRPr="00A52585">
        <w:rPr>
          <w:rFonts w:hint="cs"/>
          <w:rtl/>
        </w:rPr>
        <w:t xml:space="preserve">: </w:t>
      </w:r>
      <w:r w:rsidRPr="00A52585">
        <w:rPr>
          <w:rFonts w:hint="cs"/>
          <w:rtl/>
        </w:rPr>
        <w:t>55 2 (3</w:t>
      </w:r>
      <w:r w:rsidR="0002035C" w:rsidRPr="00A52585">
        <w:rPr>
          <w:rFonts w:hint="cs"/>
          <w:rtl/>
        </w:rPr>
        <w:t xml:space="preserve">: </w:t>
      </w:r>
      <w:r w:rsidRPr="00A52585">
        <w:rPr>
          <w:rFonts w:hint="cs"/>
          <w:rtl/>
        </w:rPr>
        <w:t>278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94-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ومعنى "فَوْقَ عِبَادِهِ"(18</w:t>
      </w:r>
      <w:r w:rsidR="0002035C" w:rsidRPr="00A52585">
        <w:rPr>
          <w:rFonts w:hint="cs"/>
          <w:rtl/>
        </w:rPr>
        <w:t xml:space="preserve">: </w:t>
      </w:r>
      <w:r w:rsidRPr="00A52585">
        <w:rPr>
          <w:rFonts w:hint="cs"/>
          <w:rtl/>
        </w:rPr>
        <w:t>سورة الأنعام) فوقية الاستعلاء بالقهر والغلبة عليهم</w:t>
      </w:r>
      <w:r w:rsidR="00DB731D" w:rsidRPr="00A52585">
        <w:rPr>
          <w:rFonts w:hint="cs"/>
          <w:rtl/>
        </w:rPr>
        <w:t>،</w:t>
      </w:r>
      <w:r w:rsidRPr="00A52585">
        <w:rPr>
          <w:rFonts w:hint="cs"/>
          <w:rtl/>
        </w:rPr>
        <w:t xml:space="preserve"> أي هم تحت تسخيره لا فوقية مكان</w:t>
      </w:r>
      <w:r w:rsidR="0002035C" w:rsidRPr="00A52585">
        <w:rPr>
          <w:rFonts w:hint="cs"/>
          <w:rtl/>
        </w:rPr>
        <w:t>)</w:t>
      </w:r>
      <w:r w:rsidRPr="00A52585">
        <w:rPr>
          <w:rFonts w:hint="cs"/>
          <w:rtl/>
        </w:rPr>
        <w:t xml:space="preserve"> المصدر السابق سورة الأنعام، آية</w:t>
      </w:r>
      <w:r w:rsidR="0002035C" w:rsidRPr="00A52585">
        <w:rPr>
          <w:rFonts w:hint="cs"/>
          <w:rtl/>
        </w:rPr>
        <w:t xml:space="preserve">: </w:t>
      </w:r>
      <w:r w:rsidRPr="00A52585">
        <w:rPr>
          <w:rFonts w:hint="cs"/>
          <w:rtl/>
        </w:rPr>
        <w:t>18 (6</w:t>
      </w:r>
      <w:r w:rsidR="0002035C" w:rsidRPr="00A52585">
        <w:rPr>
          <w:rFonts w:hint="cs"/>
          <w:rtl/>
        </w:rPr>
        <w:t xml:space="preserve">: </w:t>
      </w:r>
      <w:r w:rsidRPr="00A52585">
        <w:rPr>
          <w:rFonts w:hint="cs"/>
          <w:rtl/>
        </w:rPr>
        <w:t>399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95-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والقاعدة تنزيهه - سبحانه وتعالى - عن الحركة والانتقال وشغل الأمكنة</w:t>
      </w:r>
      <w:r w:rsidR="0002035C" w:rsidRPr="00A52585">
        <w:rPr>
          <w:rFonts w:hint="cs"/>
          <w:rtl/>
        </w:rPr>
        <w:t>)</w:t>
      </w:r>
      <w:r w:rsidRPr="00A52585">
        <w:rPr>
          <w:rFonts w:hint="cs"/>
          <w:rtl/>
        </w:rPr>
        <w:t xml:space="preserve"> المصدر السابق سورة الأنعام</w:t>
      </w:r>
      <w:r w:rsidR="00DB731D" w:rsidRPr="00A52585">
        <w:rPr>
          <w:rFonts w:hint="cs"/>
          <w:rtl/>
        </w:rPr>
        <w:t>،</w:t>
      </w:r>
      <w:r w:rsidRPr="00A52585">
        <w:rPr>
          <w:rFonts w:hint="cs"/>
          <w:rtl/>
        </w:rPr>
        <w:t xml:space="preserve"> آية</w:t>
      </w:r>
      <w:r w:rsidR="0002035C" w:rsidRPr="00A52585">
        <w:rPr>
          <w:rFonts w:hint="cs"/>
          <w:rtl/>
        </w:rPr>
        <w:t xml:space="preserve">: </w:t>
      </w:r>
      <w:r w:rsidRPr="00A52585">
        <w:rPr>
          <w:rFonts w:hint="cs"/>
          <w:rtl/>
        </w:rPr>
        <w:t>3 (6</w:t>
      </w:r>
      <w:r w:rsidR="0002035C" w:rsidRPr="00A52585">
        <w:rPr>
          <w:rFonts w:hint="cs"/>
          <w:rtl/>
        </w:rPr>
        <w:t xml:space="preserve">: </w:t>
      </w:r>
      <w:r w:rsidRPr="00A52585">
        <w:rPr>
          <w:rFonts w:hint="cs"/>
          <w:rtl/>
        </w:rPr>
        <w:t>390</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96 - وقال أيضّا عند تفسير" ءاية "أَوْ يَأْتِيَ رَبُّكَ أَوْ يَأْتِيَ بَعْضُ آيَاتِ رَبِّكَ "(158) سورة الأنعام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وليس مجيئه تعالى حركة ولا انتقالا ولا زوالا لأن ذلك إنما يكون إذا كان </w:t>
      </w:r>
      <w:proofErr w:type="spellStart"/>
      <w:r w:rsidRPr="00A52585">
        <w:rPr>
          <w:rFonts w:hint="cs"/>
          <w:rtl/>
        </w:rPr>
        <w:t>الجائي</w:t>
      </w:r>
      <w:proofErr w:type="spellEnd"/>
      <w:r w:rsidRPr="00A52585">
        <w:rPr>
          <w:rFonts w:hint="cs"/>
          <w:rtl/>
        </w:rPr>
        <w:t xml:space="preserve"> جسما أو جوهرا</w:t>
      </w:r>
      <w:r w:rsidR="0002035C" w:rsidRPr="00A52585">
        <w:rPr>
          <w:rFonts w:hint="cs"/>
          <w:rtl/>
        </w:rPr>
        <w:t>)</w:t>
      </w:r>
      <w:r w:rsidRPr="00A52585">
        <w:rPr>
          <w:rFonts w:hint="cs"/>
          <w:rtl/>
        </w:rPr>
        <w:t xml:space="preserve"> المصدر السابق سورة الأنعام ءاية</w:t>
      </w:r>
      <w:r w:rsidR="0002035C" w:rsidRPr="00A52585">
        <w:rPr>
          <w:rFonts w:hint="cs"/>
          <w:rtl/>
        </w:rPr>
        <w:t>:</w:t>
      </w:r>
      <w:r w:rsidRPr="00A52585">
        <w:rPr>
          <w:rFonts w:hint="cs"/>
          <w:rtl/>
        </w:rPr>
        <w:t xml:space="preserve"> 158 (7</w:t>
      </w:r>
      <w:r w:rsidR="0002035C" w:rsidRPr="00A52585">
        <w:rPr>
          <w:rFonts w:hint="cs"/>
          <w:rtl/>
        </w:rPr>
        <w:t xml:space="preserve">: </w:t>
      </w:r>
      <w:r w:rsidRPr="00A52585">
        <w:rPr>
          <w:rFonts w:hint="cs"/>
          <w:rtl/>
        </w:rPr>
        <w:t>145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97-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 أبو المعالي</w:t>
      </w:r>
      <w:r w:rsidR="0002035C" w:rsidRPr="00A52585">
        <w:rPr>
          <w:rFonts w:hint="cs"/>
          <w:rtl/>
        </w:rPr>
        <w:t>:</w:t>
      </w:r>
      <w:r w:rsidRPr="00A52585">
        <w:rPr>
          <w:rFonts w:hint="cs"/>
          <w:rtl/>
        </w:rPr>
        <w:t xml:space="preserve"> قوله صلى الله عليه وسلم " لا تفضلوني على يونس بن متّى " المعنى فإني لم أكن وأنا في سدرة المنتهى بأقرب إلى الله منه وهو في قعر البحر في بطن الحوت. وهذا يدل على أن البارئ سبحانه وتعالى ليس في جهة</w:t>
      </w:r>
      <w:r w:rsidR="0002035C" w:rsidRPr="00A52585">
        <w:rPr>
          <w:rFonts w:hint="cs"/>
          <w:rtl/>
        </w:rPr>
        <w:t>)</w:t>
      </w:r>
      <w:r w:rsidRPr="00A52585">
        <w:rPr>
          <w:rFonts w:hint="cs"/>
          <w:rtl/>
        </w:rPr>
        <w:t xml:space="preserve"> المصدر السابق سورة، الأنبياء، آية</w:t>
      </w:r>
      <w:r w:rsidR="0002035C" w:rsidRPr="00A52585">
        <w:rPr>
          <w:rFonts w:hint="cs"/>
          <w:rtl/>
        </w:rPr>
        <w:t xml:space="preserve">: </w:t>
      </w:r>
      <w:r w:rsidRPr="00A52585">
        <w:rPr>
          <w:rFonts w:hint="cs"/>
          <w:rtl/>
        </w:rPr>
        <w:t>87 (1 1</w:t>
      </w:r>
      <w:r w:rsidR="0002035C" w:rsidRPr="00A52585">
        <w:rPr>
          <w:rFonts w:hint="cs"/>
          <w:rtl/>
        </w:rPr>
        <w:t>:</w:t>
      </w:r>
      <w:r w:rsidRPr="00A52585">
        <w:rPr>
          <w:rFonts w:hint="cs"/>
          <w:rtl/>
        </w:rPr>
        <w:t xml:space="preserve"> 333-334).</w:t>
      </w:r>
      <w:r w:rsidR="00DB731D" w:rsidRPr="00A52585">
        <w:rPr>
          <w:rFonts w:hint="cs"/>
          <w:rtl/>
        </w:rPr>
        <w:t>،</w:t>
      </w:r>
      <w:r w:rsidR="0002035C" w:rsidRPr="00A52585">
        <w:rPr>
          <w:rFonts w:hint="cs"/>
          <w:rtl/>
        </w:rPr>
        <w:t xml:space="preserve"> </w:t>
      </w:r>
      <w:r w:rsidRPr="00A52585">
        <w:rPr>
          <w:rFonts w:hint="cs"/>
          <w:rtl/>
        </w:rPr>
        <w:t>98- وقال أيضا في تفسير آية</w:t>
      </w:r>
      <w:r w:rsidR="0002035C" w:rsidRPr="00A52585">
        <w:rPr>
          <w:rFonts w:hint="cs"/>
          <w:rtl/>
        </w:rPr>
        <w:t>:</w:t>
      </w:r>
      <w:r w:rsidRPr="00A52585">
        <w:rPr>
          <w:rFonts w:hint="cs"/>
          <w:rtl/>
        </w:rPr>
        <w:t>" وَجَاء رَبُّكَ وَالْمَلَكُ صَفًّا صَفًّا"(22) سورة الفجر ما نصه</w:t>
      </w:r>
      <w:r w:rsidR="0002035C" w:rsidRPr="00A52585">
        <w:rPr>
          <w:rFonts w:hint="cs"/>
          <w:rtl/>
        </w:rPr>
        <w:t>: (</w:t>
      </w:r>
      <w:r w:rsidRPr="00A52585">
        <w:rPr>
          <w:rFonts w:hint="cs"/>
          <w:rtl/>
        </w:rPr>
        <w:t>والله جل ثناؤه لا يوصف بالتحول من مكان إلى مكان</w:t>
      </w:r>
      <w:r w:rsidR="00DB731D" w:rsidRPr="00A52585">
        <w:rPr>
          <w:rFonts w:hint="cs"/>
          <w:rtl/>
        </w:rPr>
        <w:t>،</w:t>
      </w:r>
      <w:r w:rsidRPr="00A52585">
        <w:rPr>
          <w:rFonts w:hint="cs"/>
          <w:rtl/>
        </w:rPr>
        <w:t xml:space="preserve"> وأنَّى له التحول والانتقال ولا مكان له ولا أوان</w:t>
      </w:r>
      <w:r w:rsidR="00DB731D" w:rsidRPr="00A52585">
        <w:rPr>
          <w:rFonts w:hint="cs"/>
          <w:rtl/>
        </w:rPr>
        <w:t>،</w:t>
      </w:r>
      <w:r w:rsidRPr="00A52585">
        <w:rPr>
          <w:rFonts w:hint="cs"/>
          <w:rtl/>
        </w:rPr>
        <w:t xml:space="preserve"> ولا يجري عليه وقت ولا زمان</w:t>
      </w:r>
      <w:r w:rsidR="00DB731D" w:rsidRPr="00A52585">
        <w:rPr>
          <w:rFonts w:hint="cs"/>
          <w:rtl/>
        </w:rPr>
        <w:t>،</w:t>
      </w:r>
      <w:r w:rsidRPr="00A52585">
        <w:rPr>
          <w:rFonts w:hint="cs"/>
          <w:rtl/>
        </w:rPr>
        <w:t xml:space="preserve"> لأن في جريان الوقت على الشيء فوت الأوقات</w:t>
      </w:r>
      <w:r w:rsidR="00DB731D" w:rsidRPr="00A52585">
        <w:rPr>
          <w:rFonts w:hint="cs"/>
          <w:rtl/>
        </w:rPr>
        <w:t>،</w:t>
      </w:r>
      <w:r w:rsidRPr="00A52585">
        <w:rPr>
          <w:rFonts w:hint="cs"/>
          <w:rtl/>
        </w:rPr>
        <w:t xml:space="preserve"> ومن فاته شيء فهو عاجز</w:t>
      </w:r>
      <w:r w:rsidR="0002035C" w:rsidRPr="00A52585">
        <w:rPr>
          <w:rFonts w:hint="cs"/>
          <w:rtl/>
        </w:rPr>
        <w:t>)</w:t>
      </w:r>
      <w:r w:rsidRPr="00A52585">
        <w:rPr>
          <w:rFonts w:hint="cs"/>
          <w:rtl/>
        </w:rPr>
        <w:t xml:space="preserve"> المصدر السابق سورة الفجر</w:t>
      </w:r>
      <w:r w:rsidR="00DB731D" w:rsidRPr="00A52585">
        <w:rPr>
          <w:rFonts w:hint="cs"/>
          <w:rtl/>
        </w:rPr>
        <w:t>،</w:t>
      </w:r>
      <w:r w:rsidRPr="00A52585">
        <w:rPr>
          <w:rFonts w:hint="cs"/>
          <w:rtl/>
        </w:rPr>
        <w:t xml:space="preserve"> آية</w:t>
      </w:r>
      <w:r w:rsidR="0002035C" w:rsidRPr="00A52585">
        <w:rPr>
          <w:rFonts w:hint="cs"/>
          <w:rtl/>
        </w:rPr>
        <w:t xml:space="preserve">: </w:t>
      </w:r>
      <w:r w:rsidRPr="00A52585">
        <w:rPr>
          <w:rFonts w:hint="cs"/>
          <w:rtl/>
        </w:rPr>
        <w:t>22 (20</w:t>
      </w:r>
      <w:r w:rsidR="0002035C" w:rsidRPr="00A52585">
        <w:rPr>
          <w:rFonts w:hint="cs"/>
          <w:rtl/>
        </w:rPr>
        <w:t xml:space="preserve">: </w:t>
      </w:r>
      <w:r w:rsidRPr="00A52585">
        <w:rPr>
          <w:rFonts w:hint="cs"/>
          <w:rtl/>
        </w:rPr>
        <w:t>55)</w:t>
      </w:r>
      <w:r w:rsidR="00DB731D" w:rsidRPr="00A52585">
        <w:rPr>
          <w:rFonts w:hint="cs"/>
          <w:rtl/>
        </w:rPr>
        <w:t>،</w:t>
      </w:r>
      <w:r w:rsidR="0002035C" w:rsidRPr="00A52585">
        <w:rPr>
          <w:rFonts w:hint="cs"/>
          <w:rtl/>
        </w:rPr>
        <w:t xml:space="preserve"> </w:t>
      </w:r>
      <w:r w:rsidRPr="00A52585">
        <w:rPr>
          <w:rFonts w:hint="cs"/>
          <w:rtl/>
        </w:rPr>
        <w:t>99- وقال أيضا عند تفسير قوله تعالى</w:t>
      </w:r>
      <w:r w:rsidR="0002035C" w:rsidRPr="00A52585">
        <w:rPr>
          <w:rFonts w:hint="cs"/>
          <w:rtl/>
        </w:rPr>
        <w:t>:</w:t>
      </w:r>
      <w:r w:rsidRPr="00A52585">
        <w:rPr>
          <w:rFonts w:hint="cs"/>
          <w:rtl/>
        </w:rPr>
        <w:t>" أَأَمِنتُم مَّن فِي السَّمَاء أَن يَخْسِفَ بِكُمُ الأَرْضَ"(16) سورة الملك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والمراد بها توقيره وتنزيهه عن السفل والتحت</w:t>
      </w:r>
      <w:r w:rsidR="00DB731D" w:rsidRPr="00A52585">
        <w:rPr>
          <w:rFonts w:hint="cs"/>
          <w:rtl/>
        </w:rPr>
        <w:t>،</w:t>
      </w:r>
      <w:r w:rsidRPr="00A52585">
        <w:rPr>
          <w:rFonts w:hint="cs"/>
          <w:rtl/>
        </w:rPr>
        <w:t xml:space="preserve"> ووصفه بالعلوِّ والعظمة لا بالأماكن والجهات والحدود لأنها صفات الأجسام</w:t>
      </w:r>
      <w:r w:rsidR="00897A24" w:rsidRPr="00A52585">
        <w:rPr>
          <w:rFonts w:hint="cs"/>
          <w:rtl/>
        </w:rPr>
        <w:t>.</w:t>
      </w:r>
      <w:r w:rsidRPr="00A52585">
        <w:rPr>
          <w:rFonts w:hint="cs"/>
          <w:rtl/>
        </w:rPr>
        <w:t xml:space="preserve"> وإنما ترفع الأيدي بالدعاء إلى السماء لأن السماء مهبط الوحي ومنزل القطر ومحل القُدس ومعدن المطهرين من الملائكة</w:t>
      </w:r>
      <w:r w:rsidR="00DB731D" w:rsidRPr="00A52585">
        <w:rPr>
          <w:rFonts w:hint="cs"/>
          <w:rtl/>
        </w:rPr>
        <w:t>،</w:t>
      </w:r>
      <w:r w:rsidRPr="00A52585">
        <w:rPr>
          <w:rFonts w:hint="cs"/>
          <w:rtl/>
        </w:rPr>
        <w:t xml:space="preserve"> واليها ترفع أعمال العباد</w:t>
      </w:r>
      <w:r w:rsidR="00DB731D" w:rsidRPr="00A52585">
        <w:rPr>
          <w:rFonts w:hint="cs"/>
          <w:rtl/>
        </w:rPr>
        <w:t>،</w:t>
      </w:r>
      <w:r w:rsidRPr="00A52585">
        <w:rPr>
          <w:rFonts w:hint="cs"/>
          <w:rtl/>
        </w:rPr>
        <w:t xml:space="preserve"> وفوقها عرشه وجنته</w:t>
      </w:r>
      <w:r w:rsidR="00DB731D" w:rsidRPr="00A52585">
        <w:rPr>
          <w:rFonts w:hint="cs"/>
          <w:rtl/>
        </w:rPr>
        <w:t>،</w:t>
      </w:r>
      <w:r w:rsidRPr="00A52585">
        <w:rPr>
          <w:rFonts w:hint="cs"/>
          <w:rtl/>
        </w:rPr>
        <w:t xml:space="preserve"> كما جعل الله الكعبة قِبلة للدعاء والصلاة، ولأنه خلق الأمكنة وهو غير محتاج إليها</w:t>
      </w:r>
      <w:r w:rsidR="00DB731D" w:rsidRPr="00A52585">
        <w:rPr>
          <w:rFonts w:hint="cs"/>
          <w:rtl/>
        </w:rPr>
        <w:t>،</w:t>
      </w:r>
      <w:r w:rsidRPr="00A52585">
        <w:rPr>
          <w:rFonts w:hint="cs"/>
          <w:rtl/>
        </w:rPr>
        <w:t xml:space="preserve"> وكان في أزله قبل خلق المكان والزمان ولا مكان له ولا زمان</w:t>
      </w:r>
      <w:r w:rsidR="00DB731D" w:rsidRPr="00A52585">
        <w:rPr>
          <w:rFonts w:hint="cs"/>
          <w:rtl/>
        </w:rPr>
        <w:t>،</w:t>
      </w:r>
      <w:r w:rsidRPr="00A52585">
        <w:rPr>
          <w:rFonts w:hint="cs"/>
          <w:rtl/>
        </w:rPr>
        <w:t xml:space="preserve"> وهو الآن على ما عليه كان</w:t>
      </w:r>
      <w:r w:rsidR="0002035C" w:rsidRPr="00A52585">
        <w:rPr>
          <w:rFonts w:hint="cs"/>
          <w:rtl/>
        </w:rPr>
        <w:t>)</w:t>
      </w:r>
      <w:r w:rsidRPr="00A52585">
        <w:rPr>
          <w:rFonts w:hint="cs"/>
          <w:rtl/>
        </w:rPr>
        <w:t xml:space="preserve"> المصدر السابق سورة الملك، آية</w:t>
      </w:r>
      <w:r w:rsidR="0002035C" w:rsidRPr="00A52585">
        <w:rPr>
          <w:rFonts w:hint="cs"/>
          <w:rtl/>
        </w:rPr>
        <w:t xml:space="preserve">: </w:t>
      </w:r>
      <w:r w:rsidRPr="00A52585">
        <w:rPr>
          <w:rFonts w:hint="cs"/>
          <w:rtl/>
        </w:rPr>
        <w:t>16 (18</w:t>
      </w:r>
      <w:r w:rsidR="0002035C" w:rsidRPr="00A52585">
        <w:rPr>
          <w:rFonts w:hint="cs"/>
          <w:rtl/>
        </w:rPr>
        <w:t xml:space="preserve">: </w:t>
      </w:r>
      <w:r w:rsidRPr="00A52585">
        <w:rPr>
          <w:rFonts w:hint="cs"/>
          <w:rtl/>
        </w:rPr>
        <w:t>216)</w:t>
      </w:r>
      <w:r w:rsidR="00DB731D" w:rsidRPr="00A52585">
        <w:rPr>
          <w:rFonts w:hint="cs"/>
          <w:rtl/>
        </w:rPr>
        <w:t>،</w:t>
      </w:r>
      <w:r w:rsidR="0002035C" w:rsidRPr="00A52585">
        <w:rPr>
          <w:rFonts w:hint="cs"/>
          <w:rtl/>
        </w:rPr>
        <w:t xml:space="preserve"> </w:t>
      </w:r>
      <w:r w:rsidRPr="00A52585">
        <w:rPr>
          <w:rFonts w:hint="cs"/>
          <w:rtl/>
        </w:rPr>
        <w:t>100- وقال الشيخ ضياء الدين أبو العباس أحمد بن محمد بن عمر ابن يوسف بن عمر بن عبد المنعم القرطبي (672 هـ) في الرد على المبتدعة المجسمة مُبيِّنّا عقيدة أهل السنة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هو الله لا أيـن ولا كـيـف عنـده ولا حَدَّ </w:t>
      </w:r>
      <w:proofErr w:type="spellStart"/>
      <w:r w:rsidRPr="00A52585">
        <w:rPr>
          <w:rFonts w:hint="cs"/>
          <w:rtl/>
        </w:rPr>
        <w:t>يحويه</w:t>
      </w:r>
      <w:proofErr w:type="spellEnd"/>
      <w:r w:rsidRPr="00A52585">
        <w:rPr>
          <w:rFonts w:hint="cs"/>
          <w:rtl/>
        </w:rPr>
        <w:t xml:space="preserve"> ولا حصرَ ذي حَدِّ ولا القُرْبُ في الأدنى ولا البعدُ والنَّوى يخالف حالا منه في القُرب والبُعْدِ</w:t>
      </w:r>
      <w:r w:rsidR="0002035C" w:rsidRPr="00A52585">
        <w:rPr>
          <w:rFonts w:hint="cs"/>
          <w:rtl/>
        </w:rPr>
        <w:t>)</w:t>
      </w:r>
      <w:r w:rsidRPr="00A52585">
        <w:rPr>
          <w:rFonts w:hint="cs"/>
          <w:rtl/>
        </w:rPr>
        <w:t xml:space="preserve"> طبقات الشافعية</w:t>
      </w:r>
      <w:r w:rsidR="0002035C" w:rsidRPr="00A52585">
        <w:rPr>
          <w:rFonts w:hint="cs"/>
          <w:rtl/>
        </w:rPr>
        <w:t>:</w:t>
      </w:r>
      <w:r w:rsidRPr="00A52585">
        <w:rPr>
          <w:rFonts w:hint="cs"/>
          <w:rtl/>
        </w:rPr>
        <w:t xml:space="preserve"> ترجمة أبي الحسن الأشعري (3</w:t>
      </w:r>
      <w:r w:rsidR="0002035C" w:rsidRPr="00A52585">
        <w:rPr>
          <w:rFonts w:hint="cs"/>
          <w:rtl/>
        </w:rPr>
        <w:t xml:space="preserve">: </w:t>
      </w:r>
      <w:r w:rsidRPr="00A52585">
        <w:rPr>
          <w:rFonts w:hint="cs"/>
          <w:rtl/>
        </w:rPr>
        <w:t>428)</w:t>
      </w:r>
      <w:r w:rsidR="00DB731D" w:rsidRPr="00A52585">
        <w:rPr>
          <w:rFonts w:hint="cs"/>
          <w:rtl/>
        </w:rPr>
        <w:t>،</w:t>
      </w:r>
      <w:r w:rsidR="0002035C" w:rsidRPr="00A52585">
        <w:rPr>
          <w:rFonts w:hint="cs"/>
          <w:rtl/>
        </w:rPr>
        <w:t xml:space="preserve"> </w:t>
      </w:r>
      <w:r w:rsidRPr="00A52585">
        <w:rPr>
          <w:rFonts w:hint="cs"/>
          <w:rtl/>
        </w:rPr>
        <w:t>101- وقال الامام النووي (676) ما نصه</w:t>
      </w:r>
      <w:r w:rsidR="0002035C" w:rsidRPr="00A52585">
        <w:rPr>
          <w:rFonts w:hint="cs"/>
          <w:rtl/>
        </w:rPr>
        <w:t>: (</w:t>
      </w:r>
      <w:r w:rsidRPr="00A52585">
        <w:rPr>
          <w:rFonts w:hint="cs"/>
          <w:rtl/>
        </w:rPr>
        <w:t xml:space="preserve">إن الله تعالى ليس كمثله شيء , منزه عن التجسيم والانتقال والتحيز </w:t>
      </w:r>
      <w:r w:rsidRPr="00A52585">
        <w:rPr>
          <w:rFonts w:hint="cs"/>
          <w:rtl/>
        </w:rPr>
        <w:lastRenderedPageBreak/>
        <w:t>في جهة وعن سائر صفات المخلوق</w:t>
      </w:r>
      <w:r w:rsidR="0002035C" w:rsidRPr="00A52585">
        <w:rPr>
          <w:rFonts w:hint="cs"/>
          <w:rtl/>
        </w:rPr>
        <w:t>)</w:t>
      </w:r>
      <w:r w:rsidRPr="00A52585">
        <w:rPr>
          <w:rFonts w:hint="cs"/>
          <w:rtl/>
        </w:rPr>
        <w:t xml:space="preserve"> شرح صحيح مسلم (19</w:t>
      </w:r>
      <w:r w:rsidR="0002035C" w:rsidRPr="00A52585">
        <w:rPr>
          <w:rFonts w:hint="cs"/>
          <w:rtl/>
        </w:rPr>
        <w:t>:</w:t>
      </w:r>
      <w:r w:rsidRPr="00A52585">
        <w:rPr>
          <w:rFonts w:hint="cs"/>
          <w:rtl/>
        </w:rPr>
        <w:t xml:space="preserve"> 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102- وقال زكريا بن محمد الأنصاري القزويني (82ه هـ) وهو مؤرخ جغرافي من القضاة رحل إلى الشام والعراق وولي قضاء واسط أيام المعتصم العباسي، وهو صاحب كتاب (عجائب المخلوقات " ما نصه</w:t>
      </w:r>
      <w:r w:rsidR="0002035C" w:rsidRPr="00A52585">
        <w:rPr>
          <w:rFonts w:hint="cs"/>
          <w:rtl/>
        </w:rPr>
        <w:t>: (</w:t>
      </w:r>
      <w:r w:rsidRPr="00A52585">
        <w:rPr>
          <w:rFonts w:hint="cs"/>
          <w:rtl/>
        </w:rPr>
        <w:t>التوحيد</w:t>
      </w:r>
      <w:r w:rsidR="0002035C" w:rsidRPr="00A52585">
        <w:rPr>
          <w:rFonts w:hint="cs"/>
          <w:rtl/>
        </w:rPr>
        <w:t>:</w:t>
      </w:r>
      <w:r w:rsidRPr="00A52585">
        <w:rPr>
          <w:rFonts w:hint="cs"/>
          <w:rtl/>
        </w:rPr>
        <w:t xml:space="preserve"> أن يعلم أن الله واحد قديم</w:t>
      </w:r>
      <w:r w:rsidR="00DB731D" w:rsidRPr="00A52585">
        <w:rPr>
          <w:rFonts w:hint="cs"/>
          <w:rtl/>
        </w:rPr>
        <w:t>،</w:t>
      </w:r>
      <w:r w:rsidRPr="00A52585">
        <w:rPr>
          <w:rFonts w:hint="cs"/>
          <w:rtl/>
        </w:rPr>
        <w:t xml:space="preserve"> لم يزل ولا يزال</w:t>
      </w:r>
      <w:r w:rsidR="00DB731D" w:rsidRPr="00A52585">
        <w:rPr>
          <w:rFonts w:hint="cs"/>
          <w:rtl/>
        </w:rPr>
        <w:t>،</w:t>
      </w:r>
      <w:r w:rsidRPr="00A52585">
        <w:rPr>
          <w:rFonts w:hint="cs"/>
          <w:rtl/>
        </w:rPr>
        <w:t xml:space="preserve"> كان ولا مكان وهو الآن على ما عليه</w:t>
      </w:r>
      <w:r w:rsidR="00DB731D" w:rsidRPr="00A52585">
        <w:rPr>
          <w:rFonts w:hint="cs"/>
          <w:rtl/>
        </w:rPr>
        <w:t>،</w:t>
      </w:r>
      <w:r w:rsidRPr="00A52585">
        <w:rPr>
          <w:rFonts w:hint="cs"/>
          <w:rtl/>
        </w:rPr>
        <w:t xml:space="preserve"> كان عالم بعلم أزلي، قادر بقدرة أزلية</w:t>
      </w:r>
      <w:r w:rsidR="0002035C" w:rsidRPr="00A52585">
        <w:rPr>
          <w:rFonts w:hint="cs"/>
          <w:rtl/>
        </w:rPr>
        <w:t>)</w:t>
      </w:r>
      <w:r w:rsidRPr="00A52585">
        <w:rPr>
          <w:rFonts w:hint="cs"/>
          <w:rtl/>
        </w:rPr>
        <w:t xml:space="preserve"> مفيد العلوم (ص 24)</w:t>
      </w:r>
      <w:r w:rsidR="00DB731D" w:rsidRPr="00A52585">
        <w:rPr>
          <w:rFonts w:hint="cs"/>
          <w:rtl/>
        </w:rPr>
        <w:t>،</w:t>
      </w:r>
      <w:r w:rsidR="0002035C" w:rsidRPr="00A52585">
        <w:rPr>
          <w:rFonts w:hint="cs"/>
          <w:rtl/>
        </w:rPr>
        <w:t xml:space="preserve"> </w:t>
      </w:r>
      <w:r w:rsidRPr="00A52585">
        <w:rPr>
          <w:rFonts w:hint="cs"/>
          <w:rtl/>
        </w:rPr>
        <w:t>103- وقال العلامة الأصولي الشيخ أحمد بن إدريس القَرَافي المالكي المصري (684 هـ) أحد فقهاء المالكية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 أي الله - ليس في جهة</w:t>
      </w:r>
      <w:r w:rsidR="00DB731D" w:rsidRPr="00A52585">
        <w:rPr>
          <w:rFonts w:hint="cs"/>
          <w:rtl/>
        </w:rPr>
        <w:t>،</w:t>
      </w:r>
      <w:r w:rsidRPr="00A52585">
        <w:rPr>
          <w:rFonts w:hint="cs"/>
          <w:rtl/>
        </w:rPr>
        <w:t xml:space="preserve"> ونراه نحن وهو ليس في جهة</w:t>
      </w:r>
      <w:r w:rsidR="0002035C" w:rsidRPr="00A52585">
        <w:rPr>
          <w:rFonts w:hint="cs"/>
          <w:rtl/>
        </w:rPr>
        <w:t>)</w:t>
      </w:r>
      <w:r w:rsidRPr="00A52585">
        <w:rPr>
          <w:rFonts w:hint="cs"/>
          <w:rtl/>
        </w:rPr>
        <w:t xml:space="preserve"> الأجوبة الفاخرة (ص 93)</w:t>
      </w:r>
      <w:r w:rsidR="00DB731D" w:rsidRPr="00A52585">
        <w:rPr>
          <w:rFonts w:hint="cs"/>
          <w:rtl/>
        </w:rPr>
        <w:t>،</w:t>
      </w:r>
      <w:r w:rsidR="0002035C" w:rsidRPr="00A52585">
        <w:rPr>
          <w:rFonts w:hint="cs"/>
          <w:rtl/>
        </w:rPr>
        <w:t xml:space="preserve"> </w:t>
      </w:r>
      <w:r w:rsidRPr="00A52585">
        <w:rPr>
          <w:rFonts w:hint="cs"/>
          <w:rtl/>
        </w:rPr>
        <w:t>104- وقال الإمام القرافي</w:t>
      </w:r>
      <w:r w:rsidR="0002035C" w:rsidRPr="00A52585">
        <w:rPr>
          <w:rFonts w:hint="cs"/>
          <w:rtl/>
        </w:rPr>
        <w:t>: (</w:t>
      </w:r>
      <w:r w:rsidRPr="00A52585">
        <w:rPr>
          <w:rFonts w:hint="cs"/>
          <w:rtl/>
        </w:rPr>
        <w:t>وقال بعض الفضلاء</w:t>
      </w:r>
      <w:r w:rsidR="0002035C" w:rsidRPr="00A52585">
        <w:rPr>
          <w:rFonts w:hint="cs"/>
          <w:rtl/>
        </w:rPr>
        <w:t>:</w:t>
      </w:r>
      <w:r w:rsidRPr="00A52585">
        <w:rPr>
          <w:rFonts w:hint="cs"/>
          <w:rtl/>
        </w:rPr>
        <w:t xml:space="preserve"> هذا إنما يلزمهم إذا لم يصرحوا بأنه ليس كمثله شيء وبغير ذلك من النصوص النافية للجهة، وإنما قصدهم إجراء النصوص كما جاءت من غير تأويل</w:t>
      </w:r>
      <w:r w:rsidR="00DB731D" w:rsidRPr="00A52585">
        <w:rPr>
          <w:rFonts w:hint="cs"/>
          <w:rtl/>
        </w:rPr>
        <w:t>،</w:t>
      </w:r>
      <w:r w:rsidRPr="00A52585">
        <w:rPr>
          <w:rFonts w:hint="cs"/>
          <w:rtl/>
        </w:rPr>
        <w:t xml:space="preserve"> ويقولون لها معان لا ندركها</w:t>
      </w:r>
      <w:r w:rsidR="00DB731D" w:rsidRPr="00A52585">
        <w:rPr>
          <w:rFonts w:hint="cs"/>
          <w:rtl/>
        </w:rPr>
        <w:t>،</w:t>
      </w:r>
      <w:r w:rsidRPr="00A52585">
        <w:rPr>
          <w:rFonts w:hint="cs"/>
          <w:rtl/>
        </w:rPr>
        <w:t xml:space="preserve"> ويقولون هذا استواء لا يشبه </w:t>
      </w:r>
      <w:proofErr w:type="spellStart"/>
      <w:r w:rsidRPr="00A52585">
        <w:rPr>
          <w:rFonts w:hint="cs"/>
          <w:rtl/>
        </w:rPr>
        <w:t>الاستواءات</w:t>
      </w:r>
      <w:proofErr w:type="spellEnd"/>
      <w:r w:rsidR="00DB731D" w:rsidRPr="00A52585">
        <w:rPr>
          <w:rFonts w:hint="cs"/>
          <w:rtl/>
        </w:rPr>
        <w:t>،</w:t>
      </w:r>
      <w:r w:rsidRPr="00A52585">
        <w:rPr>
          <w:rFonts w:hint="cs"/>
          <w:rtl/>
        </w:rPr>
        <w:t xml:space="preserve"> كما أن ذاته لا تشبه الذوات، فكذلك يكون فوق </w:t>
      </w:r>
      <w:proofErr w:type="spellStart"/>
      <w:r w:rsidRPr="00A52585">
        <w:rPr>
          <w:rFonts w:hint="cs"/>
          <w:rtl/>
        </w:rPr>
        <w:t>سماواته</w:t>
      </w:r>
      <w:proofErr w:type="spellEnd"/>
      <w:r w:rsidRPr="00A52585">
        <w:rPr>
          <w:rFonts w:hint="cs"/>
          <w:rtl/>
        </w:rPr>
        <w:t xml:space="preserve"> دون أرضه فوقية لا تشبه الفوقيات. وهذا أقرب لمناصب العلماء من القول بالجهة</w:t>
      </w:r>
      <w:r w:rsidR="0002035C" w:rsidRPr="00A52585">
        <w:rPr>
          <w:rFonts w:hint="cs"/>
          <w:rtl/>
        </w:rPr>
        <w:t>)</w:t>
      </w:r>
      <w:r w:rsidRPr="00A52585">
        <w:rPr>
          <w:rFonts w:hint="cs"/>
          <w:rtl/>
        </w:rPr>
        <w:t xml:space="preserve"> وانظر كلام الإمام القرافي الأشعري في كتابه الذخيرة </w:t>
      </w:r>
      <w:r w:rsidR="0002035C" w:rsidRPr="00A52585">
        <w:rPr>
          <w:rFonts w:hint="cs"/>
          <w:rtl/>
        </w:rPr>
        <w:t>(</w:t>
      </w:r>
      <w:r w:rsidRPr="00A52585">
        <w:rPr>
          <w:rFonts w:hint="cs"/>
          <w:rtl/>
        </w:rPr>
        <w:t>13</w:t>
      </w:r>
      <w:r w:rsidR="0002035C" w:rsidRPr="00A52585">
        <w:rPr>
          <w:rFonts w:hint="cs"/>
          <w:rtl/>
        </w:rPr>
        <w:t xml:space="preserve">: </w:t>
      </w:r>
      <w:r w:rsidRPr="00A52585">
        <w:rPr>
          <w:rFonts w:hint="cs"/>
          <w:rtl/>
        </w:rPr>
        <w:t>242 – 243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105- وقال الشيخ البيضاوي (685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ولما ثبت بالقواطع أنه سبحانه منزه عن الجسمية والتحيز امتنع عليه النزول على معنى الانتقال من موضع إلى موضع أخفض منه</w:t>
      </w:r>
      <w:r w:rsidR="0002035C" w:rsidRPr="00A52585">
        <w:rPr>
          <w:rFonts w:hint="cs"/>
          <w:rtl/>
        </w:rPr>
        <w:t>)</w:t>
      </w:r>
      <w:r w:rsidRPr="00A52585">
        <w:rPr>
          <w:rFonts w:hint="cs"/>
          <w:rtl/>
        </w:rPr>
        <w:t xml:space="preserve"> فتح الباري (3</w:t>
      </w:r>
      <w:r w:rsidR="0002035C" w:rsidRPr="00A52585">
        <w:rPr>
          <w:rFonts w:hint="cs"/>
          <w:rtl/>
        </w:rPr>
        <w:t xml:space="preserve">: </w:t>
      </w:r>
      <w:r w:rsidRPr="00A52585">
        <w:rPr>
          <w:rFonts w:hint="cs"/>
          <w:rtl/>
        </w:rPr>
        <w:t>31)</w:t>
      </w:r>
      <w:r w:rsidR="00DB731D" w:rsidRPr="00A52585">
        <w:rPr>
          <w:rFonts w:hint="cs"/>
          <w:rtl/>
        </w:rPr>
        <w:t>،</w:t>
      </w:r>
      <w:r w:rsidR="0002035C" w:rsidRPr="00A52585">
        <w:rPr>
          <w:rFonts w:hint="cs"/>
          <w:rtl/>
        </w:rPr>
        <w:t xml:space="preserve"> </w:t>
      </w:r>
      <w:r w:rsidRPr="00A52585">
        <w:rPr>
          <w:rFonts w:hint="cs"/>
          <w:rtl/>
        </w:rPr>
        <w:t>106- وقال الشيخ زين الدين علي بن محمد بن منصور المعروف بابن المنَيِّر (695 هـ) ما نصه</w:t>
      </w:r>
      <w:r w:rsidR="0002035C" w:rsidRPr="00A52585">
        <w:rPr>
          <w:rFonts w:hint="cs"/>
          <w:rtl/>
        </w:rPr>
        <w:t>:</w:t>
      </w:r>
      <w:r w:rsidRPr="00A52585">
        <w:rPr>
          <w:rFonts w:hint="cs"/>
          <w:rtl/>
        </w:rPr>
        <w:t xml:space="preserve"> </w:t>
      </w:r>
      <w:r w:rsidRPr="00A52585">
        <w:rPr>
          <w:rFonts w:hint="cs"/>
          <w:rtl/>
        </w:rPr>
        <w:br/>
        <w:t>(جميع الأحاديث في هذه الترجمة مطابقة لها إلا حديث ابن عباس فليس فيه إلا قوله "رب العرش " ومطابقته والله أعلم من جهة أنه نبه على بطلان قول من أثبت الجهة أخذا من قوله</w:t>
      </w:r>
      <w:r w:rsidR="0002035C" w:rsidRPr="00A52585">
        <w:rPr>
          <w:rFonts w:hint="cs"/>
          <w:rtl/>
        </w:rPr>
        <w:t>:</w:t>
      </w:r>
      <w:r w:rsidRPr="00A52585">
        <w:rPr>
          <w:rFonts w:hint="cs"/>
          <w:rtl/>
        </w:rPr>
        <w:t>" ذِي الْمَعَارِجِ"(3) ففهم أن العلو الفوقي مضاف إلى الله تعالى</w:t>
      </w:r>
      <w:r w:rsidR="00DB731D" w:rsidRPr="00A52585">
        <w:rPr>
          <w:rFonts w:hint="cs"/>
          <w:rtl/>
        </w:rPr>
        <w:t>،</w:t>
      </w:r>
      <w:r w:rsidRPr="00A52585">
        <w:rPr>
          <w:rFonts w:hint="cs"/>
          <w:rtl/>
        </w:rPr>
        <w:t xml:space="preserve"> فبيَّن المصنف - يعني البخاري - أن الجهة التي يصدق عليها أنها سماء والجهة التي يصدق عليها أنها عرش</w:t>
      </w:r>
      <w:r w:rsidR="00DB731D" w:rsidRPr="00A52585">
        <w:rPr>
          <w:rFonts w:hint="cs"/>
          <w:rtl/>
        </w:rPr>
        <w:t>،</w:t>
      </w:r>
      <w:r w:rsidRPr="00A52585">
        <w:rPr>
          <w:rFonts w:hint="cs"/>
          <w:rtl/>
        </w:rPr>
        <w:t xml:space="preserve"> كل منهما مخلوق مربوب مُحْدَث</w:t>
      </w:r>
      <w:r w:rsidR="00DB731D" w:rsidRPr="00A52585">
        <w:rPr>
          <w:rFonts w:hint="cs"/>
          <w:rtl/>
        </w:rPr>
        <w:t>،</w:t>
      </w:r>
      <w:r w:rsidRPr="00A52585">
        <w:rPr>
          <w:rFonts w:hint="cs"/>
          <w:rtl/>
        </w:rPr>
        <w:t xml:space="preserve"> وقد كان الله قبل ذلك وغيره، فحدثت هذه الأمكنة</w:t>
      </w:r>
      <w:r w:rsidR="00DB731D" w:rsidRPr="00A52585">
        <w:rPr>
          <w:rFonts w:hint="cs"/>
          <w:rtl/>
        </w:rPr>
        <w:t>،</w:t>
      </w:r>
      <w:r w:rsidRPr="00A52585">
        <w:rPr>
          <w:rFonts w:hint="cs"/>
          <w:rtl/>
        </w:rPr>
        <w:t xml:space="preserve"> وقِدَمه يحيل وصفه بالتحيز فيها</w:t>
      </w:r>
      <w:r w:rsidR="0002035C" w:rsidRPr="00A52585">
        <w:rPr>
          <w:rFonts w:hint="cs"/>
          <w:rtl/>
        </w:rPr>
        <w:t>)</w:t>
      </w:r>
      <w:r w:rsidRPr="00A52585">
        <w:rPr>
          <w:rFonts w:hint="cs"/>
          <w:rtl/>
        </w:rPr>
        <w:t xml:space="preserve"> فتح الباري (13</w:t>
      </w:r>
      <w:r w:rsidR="0002035C" w:rsidRPr="00A52585">
        <w:rPr>
          <w:rFonts w:hint="cs"/>
          <w:rtl/>
        </w:rPr>
        <w:t xml:space="preserve">: </w:t>
      </w:r>
      <w:r w:rsidRPr="00A52585">
        <w:rPr>
          <w:rFonts w:hint="cs"/>
          <w:rtl/>
        </w:rPr>
        <w:t>418- 419)</w:t>
      </w:r>
      <w:r w:rsidR="00DB731D" w:rsidRPr="00A52585">
        <w:rPr>
          <w:rFonts w:hint="cs"/>
          <w:rtl/>
        </w:rPr>
        <w:t>،</w:t>
      </w:r>
      <w:r w:rsidR="0002035C" w:rsidRPr="00A52585">
        <w:rPr>
          <w:rFonts w:hint="cs"/>
          <w:rtl/>
        </w:rPr>
        <w:t xml:space="preserve"> </w:t>
      </w:r>
      <w:r w:rsidRPr="00A52585">
        <w:rPr>
          <w:rFonts w:hint="cs"/>
          <w:rtl/>
        </w:rPr>
        <w:t>107- وقال الشيخ الصوفي الصالح عبد الله بن سعد المعروف بابن أبي جمرة (699 هـ) ما نصه</w:t>
      </w:r>
      <w:r w:rsidR="0002035C" w:rsidRPr="00A52585">
        <w:rPr>
          <w:rFonts w:hint="cs"/>
          <w:rtl/>
        </w:rPr>
        <w:t>: (</w:t>
      </w:r>
      <w:r w:rsidRPr="00A52585">
        <w:rPr>
          <w:rFonts w:hint="cs"/>
          <w:rtl/>
        </w:rPr>
        <w:t>فمحمد عليه السلام فوق السبع الطباق ويونس علبه السلام في قعر البحار، وهما بالنسبة إلى القرب من الله سبحانه على حد سواء، ولو كان عز وجل مقيدا بالمكان أو الزمان لكان النبي (صلى الله عليه و سلم) أقرب إليه</w:t>
      </w:r>
      <w:r w:rsidR="00DB731D" w:rsidRPr="00A52585">
        <w:rPr>
          <w:rFonts w:hint="cs"/>
          <w:rtl/>
        </w:rPr>
        <w:t>،</w:t>
      </w:r>
      <w:r w:rsidRPr="00A52585">
        <w:rPr>
          <w:rFonts w:hint="cs"/>
          <w:rtl/>
        </w:rPr>
        <w:t xml:space="preserve"> فثبت بهذا نفي الاستقرار والجهة في حقه جل جلاله</w:t>
      </w:r>
      <w:r w:rsidR="0002035C" w:rsidRPr="00A52585">
        <w:rPr>
          <w:rFonts w:hint="cs"/>
          <w:rtl/>
        </w:rPr>
        <w:t>)</w:t>
      </w:r>
      <w:r w:rsidRPr="00A52585">
        <w:rPr>
          <w:rFonts w:hint="cs"/>
          <w:rtl/>
        </w:rPr>
        <w:t xml:space="preserve"> بهجة النفوس (3</w:t>
      </w:r>
      <w:r w:rsidR="0002035C" w:rsidRPr="00A52585">
        <w:rPr>
          <w:rFonts w:hint="cs"/>
          <w:rtl/>
        </w:rPr>
        <w:t xml:space="preserve">: </w:t>
      </w:r>
      <w:r w:rsidRPr="00A52585">
        <w:rPr>
          <w:rFonts w:hint="cs"/>
          <w:rtl/>
        </w:rPr>
        <w:t>176)</w:t>
      </w:r>
      <w:r w:rsidR="00DB731D" w:rsidRPr="00A52585">
        <w:rPr>
          <w:rFonts w:hint="cs"/>
          <w:rtl/>
        </w:rPr>
        <w:t>،</w:t>
      </w:r>
      <w:r w:rsidR="0002035C" w:rsidRPr="00A52585">
        <w:rPr>
          <w:rFonts w:hint="cs"/>
          <w:rtl/>
        </w:rPr>
        <w:t xml:space="preserve"> </w:t>
      </w:r>
      <w:r w:rsidRPr="00A52585">
        <w:rPr>
          <w:rFonts w:hint="cs"/>
          <w:rtl/>
        </w:rPr>
        <w:t xml:space="preserve">108- وقد أثنى الفقيه الحافظ الشيخ تقي الدين أبو الفتح محمد بن </w:t>
      </w:r>
      <w:proofErr w:type="spellStart"/>
      <w:r w:rsidRPr="00A52585">
        <w:rPr>
          <w:rFonts w:hint="cs"/>
          <w:rtl/>
        </w:rPr>
        <w:t>بن</w:t>
      </w:r>
      <w:proofErr w:type="spellEnd"/>
      <w:r w:rsidRPr="00A52585">
        <w:rPr>
          <w:rFonts w:hint="cs"/>
          <w:rtl/>
        </w:rPr>
        <w:t xml:space="preserve"> وهب القشيري المعروف </w:t>
      </w:r>
      <w:r w:rsidRPr="00A52585">
        <w:rPr>
          <w:rFonts w:hint="cs"/>
          <w:rtl/>
        </w:rPr>
        <w:lastRenderedPageBreak/>
        <w:t>بابن دقيق العيد الأشعري (752 هـ) على الرسالة التي صنفها ضياء الدين أبو العباس أحمد بن محمد القرطبي يرد بها على ما وقع في عصره من بعض المبتدعة من هجو الإمام أبي الحسن الأشعري، ومن جملة ما جاء في هذه الرسالة</w:t>
      </w:r>
      <w:r w:rsidR="0002035C" w:rsidRPr="00A52585">
        <w:rPr>
          <w:rFonts w:hint="cs"/>
          <w:rtl/>
        </w:rPr>
        <w:t>: (</w:t>
      </w:r>
      <w:r w:rsidRPr="00A52585">
        <w:rPr>
          <w:rFonts w:hint="cs"/>
          <w:rtl/>
        </w:rPr>
        <w:t xml:space="preserve">هو الله لا أين ولا كيف عنده ولا حد </w:t>
      </w:r>
      <w:proofErr w:type="spellStart"/>
      <w:r w:rsidRPr="00A52585">
        <w:rPr>
          <w:rFonts w:hint="cs"/>
          <w:rtl/>
        </w:rPr>
        <w:t>يحويه</w:t>
      </w:r>
      <w:proofErr w:type="spellEnd"/>
      <w:r w:rsidRPr="00A52585">
        <w:rPr>
          <w:rFonts w:hint="cs"/>
          <w:rtl/>
        </w:rPr>
        <w:t xml:space="preserve"> ولا حصر ذي حد</w:t>
      </w:r>
      <w:r w:rsidR="00DB731D" w:rsidRPr="00A52585">
        <w:rPr>
          <w:rFonts w:hint="cs"/>
          <w:rtl/>
        </w:rPr>
        <w:t>،</w:t>
      </w:r>
      <w:r w:rsidRPr="00A52585">
        <w:rPr>
          <w:rFonts w:hint="cs"/>
          <w:rtl/>
        </w:rPr>
        <w:t xml:space="preserve"> ولا القرب في الأدنى ولا البعد والنوى يخالف حالا منه في القرب والبعد</w:t>
      </w:r>
      <w:r w:rsidR="0002035C" w:rsidRPr="00A52585">
        <w:rPr>
          <w:rFonts w:hint="cs"/>
          <w:rtl/>
        </w:rPr>
        <w:t>)</w:t>
      </w:r>
      <w:r w:rsidRPr="00A52585">
        <w:rPr>
          <w:rFonts w:hint="cs"/>
          <w:rtl/>
        </w:rPr>
        <w:t xml:space="preserve"> وبذلك يعلم أن ابن دقيق العيد كان ينزه الله عن الجهة والمكان والحد</w:t>
      </w:r>
      <w:r w:rsidR="00DB731D" w:rsidRPr="00A52585">
        <w:rPr>
          <w:rFonts w:hint="cs"/>
          <w:rtl/>
        </w:rPr>
        <w:t>،</w:t>
      </w:r>
      <w:r w:rsidR="0002035C" w:rsidRPr="00A52585">
        <w:rPr>
          <w:rFonts w:hint="cs"/>
          <w:rtl/>
        </w:rPr>
        <w:t xml:space="preserve"> </w:t>
      </w:r>
      <w:r w:rsidRPr="00A52585">
        <w:rPr>
          <w:rFonts w:hint="cs"/>
          <w:rtl/>
        </w:rPr>
        <w:t>109- وقال الشيخ المتكلم على لسان الصوفية في زمانه أحمد بن عطاء الله الإسكندري الشاذلي (709 هـ) في حكمه التي سارت بها الركبان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وصولك إلى الله وصولك إلى العلم به والا فجل ربنا أن يتصل به شيء أو يتصل هو بشيء</w:t>
      </w:r>
      <w:r w:rsidR="0002035C" w:rsidRPr="00A52585">
        <w:rPr>
          <w:rFonts w:hint="cs"/>
          <w:rtl/>
        </w:rPr>
        <w:t>)</w:t>
      </w:r>
      <w:r w:rsidRPr="00A52585">
        <w:rPr>
          <w:rFonts w:hint="cs"/>
          <w:rtl/>
        </w:rPr>
        <w:t xml:space="preserve"> نقله عنه الشيخ مصطفى نجا مفتي بيروت في كتابه كشف الأسرار لتنوير الافكار </w:t>
      </w:r>
      <w:r w:rsidR="0002035C" w:rsidRPr="00A52585">
        <w:rPr>
          <w:rFonts w:hint="cs"/>
          <w:rtl/>
        </w:rPr>
        <w:t>(</w:t>
      </w:r>
      <w:r w:rsidRPr="00A52585">
        <w:rPr>
          <w:rFonts w:hint="cs"/>
          <w:rtl/>
        </w:rPr>
        <w:t>ص 90</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110- وقال الامام النسفي (710 هـ</w:t>
      </w:r>
      <w:r w:rsidR="00DB731D" w:rsidRPr="00A52585">
        <w:rPr>
          <w:rFonts w:hint="cs"/>
          <w:rtl/>
        </w:rPr>
        <w:t>،</w:t>
      </w:r>
      <w:r w:rsidRPr="00A52585">
        <w:rPr>
          <w:rFonts w:hint="cs"/>
          <w:rtl/>
        </w:rPr>
        <w:t xml:space="preserve"> وقيل 701 هـ) ما نصه</w:t>
      </w:r>
      <w:r w:rsidR="0002035C" w:rsidRPr="00A52585">
        <w:rPr>
          <w:rFonts w:hint="cs"/>
          <w:rtl/>
        </w:rPr>
        <w:t>: (</w:t>
      </w:r>
      <w:r w:rsidRPr="00A52585">
        <w:rPr>
          <w:rFonts w:hint="cs"/>
          <w:rtl/>
        </w:rPr>
        <w:t>إنه تعالى كان ولا مكان فهو على ما كان قبل خلق المكان، لم يتغير عما كان</w:t>
      </w:r>
      <w:r w:rsidR="0002035C" w:rsidRPr="00A52585">
        <w:rPr>
          <w:rFonts w:hint="cs"/>
          <w:rtl/>
        </w:rPr>
        <w:t>)</w:t>
      </w:r>
      <w:r w:rsidRPr="00A52585">
        <w:rPr>
          <w:rFonts w:hint="cs"/>
          <w:rtl/>
        </w:rPr>
        <w:t xml:space="preserve"> تفسير النسفي سورة طه</w:t>
      </w:r>
      <w:r w:rsidR="0002035C" w:rsidRPr="00A52585">
        <w:rPr>
          <w:rFonts w:hint="cs"/>
          <w:rtl/>
        </w:rPr>
        <w:t xml:space="preserve">: </w:t>
      </w:r>
      <w:r w:rsidRPr="00A52585">
        <w:rPr>
          <w:rFonts w:hint="cs"/>
          <w:rtl/>
        </w:rPr>
        <w:t>ءاية ه (مجلد 2</w:t>
      </w:r>
      <w:r w:rsidR="0002035C" w:rsidRPr="00A52585">
        <w:rPr>
          <w:rFonts w:hint="cs"/>
          <w:rtl/>
        </w:rPr>
        <w:t>:</w:t>
      </w:r>
      <w:r w:rsidRPr="00A52585">
        <w:rPr>
          <w:rFonts w:hint="cs"/>
          <w:rtl/>
        </w:rPr>
        <w:t xml:space="preserve"> 248)</w:t>
      </w:r>
      <w:r w:rsidR="00DB731D" w:rsidRPr="00A52585">
        <w:rPr>
          <w:rFonts w:hint="cs"/>
          <w:rtl/>
        </w:rPr>
        <w:t>،</w:t>
      </w:r>
      <w:r w:rsidR="0002035C" w:rsidRPr="00A52585">
        <w:rPr>
          <w:rFonts w:hint="cs"/>
          <w:rtl/>
        </w:rPr>
        <w:t xml:space="preserve"> </w:t>
      </w:r>
      <w:r w:rsidRPr="00A52585">
        <w:rPr>
          <w:rFonts w:hint="cs"/>
          <w:rtl/>
        </w:rPr>
        <w:t>111- وقال العلامة اللغوي محمد بن مكرّم الإفريقي المصري المعروف بابن منظور (711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وفي الحديث</w:t>
      </w:r>
      <w:r w:rsidR="0002035C" w:rsidRPr="00A52585">
        <w:rPr>
          <w:rFonts w:hint="cs"/>
          <w:rtl/>
        </w:rPr>
        <w:t>:</w:t>
      </w:r>
      <w:r w:rsidRPr="00A52585">
        <w:rPr>
          <w:rFonts w:hint="cs"/>
          <w:rtl/>
        </w:rPr>
        <w:t xml:space="preserve"> "من تقرب إليّ شبرا تقربت إليه ذراعًا" المراد بقرب العبد من الله عز وجل</w:t>
      </w:r>
      <w:r w:rsidR="0002035C" w:rsidRPr="00A52585">
        <w:rPr>
          <w:rFonts w:hint="cs"/>
          <w:rtl/>
        </w:rPr>
        <w:t>:</w:t>
      </w:r>
      <w:r w:rsidRPr="00A52585">
        <w:rPr>
          <w:rFonts w:hint="cs"/>
          <w:rtl/>
        </w:rPr>
        <w:t xml:space="preserve"> القرب بالذكر والعمل الصالح لا قرب الذات والمكان لأن ذلك من صفات الأجسام</w:t>
      </w:r>
      <w:r w:rsidR="00DB731D" w:rsidRPr="00A52585">
        <w:rPr>
          <w:rFonts w:hint="cs"/>
          <w:rtl/>
        </w:rPr>
        <w:t>،</w:t>
      </w:r>
      <w:r w:rsidRPr="00A52585">
        <w:rPr>
          <w:rFonts w:hint="cs"/>
          <w:rtl/>
        </w:rPr>
        <w:t xml:space="preserve"> والله يتعالى عن ذلك ويتقدس</w:t>
      </w:r>
      <w:r w:rsidR="0002035C" w:rsidRPr="00A52585">
        <w:rPr>
          <w:rFonts w:hint="cs"/>
          <w:rtl/>
        </w:rPr>
        <w:t>)</w:t>
      </w:r>
      <w:r w:rsidRPr="00A52585">
        <w:rPr>
          <w:rFonts w:hint="cs"/>
          <w:rtl/>
        </w:rPr>
        <w:t xml:space="preserve"> لسان العرب - مادة</w:t>
      </w:r>
      <w:r w:rsidR="0002035C" w:rsidRPr="00A52585">
        <w:rPr>
          <w:rFonts w:hint="cs"/>
          <w:rtl/>
        </w:rPr>
        <w:t>:</w:t>
      </w:r>
      <w:r w:rsidRPr="00A52585">
        <w:rPr>
          <w:rFonts w:hint="cs"/>
          <w:rtl/>
        </w:rPr>
        <w:t xml:space="preserve"> ق رب (1</w:t>
      </w:r>
      <w:r w:rsidR="0002035C" w:rsidRPr="00A52585">
        <w:rPr>
          <w:rFonts w:hint="cs"/>
          <w:rtl/>
        </w:rPr>
        <w:t xml:space="preserve">: </w:t>
      </w:r>
      <w:r w:rsidRPr="00A52585">
        <w:rPr>
          <w:rFonts w:hint="cs"/>
          <w:rtl/>
        </w:rPr>
        <w:t>663- 664)</w:t>
      </w:r>
      <w:r w:rsidR="00DB731D" w:rsidRPr="00A52585">
        <w:rPr>
          <w:rFonts w:hint="cs"/>
          <w:rtl/>
        </w:rPr>
        <w:t>،</w:t>
      </w:r>
      <w:r w:rsidR="0002035C" w:rsidRPr="00A52585">
        <w:rPr>
          <w:rFonts w:hint="cs"/>
          <w:rtl/>
        </w:rPr>
        <w:t xml:space="preserve"> </w:t>
      </w:r>
      <w:r w:rsidRPr="00A52585">
        <w:rPr>
          <w:rFonts w:hint="cs"/>
          <w:rtl/>
        </w:rPr>
        <w:t>112- وقال الراغب الاصفهاني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واستوى امر فلان</w:t>
      </w:r>
      <w:r w:rsidR="00DB731D" w:rsidRPr="00A52585">
        <w:rPr>
          <w:rFonts w:hint="cs"/>
          <w:rtl/>
        </w:rPr>
        <w:t>،</w:t>
      </w:r>
      <w:r w:rsidRPr="00A52585">
        <w:rPr>
          <w:rFonts w:hint="cs"/>
          <w:rtl/>
        </w:rPr>
        <w:t xml:space="preserve"> ومتى عدي بعلى اقتضى الاستيلاء كقوله </w:t>
      </w:r>
      <w:r w:rsidR="0002035C" w:rsidRPr="00A52585">
        <w:rPr>
          <w:rFonts w:hint="cs"/>
          <w:rtl/>
        </w:rPr>
        <w:t>(</w:t>
      </w:r>
      <w:r w:rsidRPr="00A52585">
        <w:rPr>
          <w:rFonts w:hint="cs"/>
          <w:rtl/>
        </w:rPr>
        <w:t>" الرَّحْمَنُ عَلَى الْعَرْشِ اسْتَوَى "</w:t>
      </w:r>
      <w:r w:rsidR="0002035C" w:rsidRPr="00A52585">
        <w:rPr>
          <w:rFonts w:hint="cs"/>
          <w:rtl/>
        </w:rPr>
        <w:t>)</w:t>
      </w:r>
      <w:r w:rsidRPr="00A52585">
        <w:rPr>
          <w:rFonts w:hint="cs"/>
          <w:rtl/>
        </w:rPr>
        <w:t xml:space="preserve"> انظر مفرداته كتاب السين </w:t>
      </w:r>
      <w:r w:rsidR="0002035C" w:rsidRPr="00A52585">
        <w:rPr>
          <w:rFonts w:hint="cs"/>
          <w:rtl/>
        </w:rPr>
        <w:t>(</w:t>
      </w:r>
      <w:r w:rsidRPr="00A52585">
        <w:rPr>
          <w:rFonts w:hint="cs"/>
          <w:rtl/>
        </w:rPr>
        <w:t>ص 251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113- وقال الراغب الاصفهاني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واستوى امر فلان</w:t>
      </w:r>
      <w:r w:rsidR="00DB731D" w:rsidRPr="00A52585">
        <w:rPr>
          <w:rFonts w:hint="cs"/>
          <w:rtl/>
        </w:rPr>
        <w:t>،</w:t>
      </w:r>
      <w:r w:rsidRPr="00A52585">
        <w:rPr>
          <w:rFonts w:hint="cs"/>
          <w:rtl/>
        </w:rPr>
        <w:t xml:space="preserve"> ومتى عدي بعلى اقتضى الاستيلاء كقوله </w:t>
      </w:r>
      <w:r w:rsidR="0002035C" w:rsidRPr="00A52585">
        <w:rPr>
          <w:rFonts w:hint="cs"/>
          <w:rtl/>
        </w:rPr>
        <w:t>(</w:t>
      </w:r>
      <w:r w:rsidRPr="00A52585">
        <w:rPr>
          <w:rFonts w:hint="cs"/>
          <w:rtl/>
        </w:rPr>
        <w:t>" الرَّحْمَنُ عَلَى الْعَرْشِ اسْتَوَى "</w:t>
      </w:r>
      <w:r w:rsidR="0002035C" w:rsidRPr="00A52585">
        <w:rPr>
          <w:rFonts w:hint="cs"/>
          <w:rtl/>
        </w:rPr>
        <w:t>)</w:t>
      </w:r>
      <w:r w:rsidRPr="00A52585">
        <w:rPr>
          <w:rFonts w:hint="cs"/>
          <w:rtl/>
        </w:rPr>
        <w:t xml:space="preserve"> انظر مفرداته كتاب السين </w:t>
      </w:r>
      <w:r w:rsidR="0002035C" w:rsidRPr="00A52585">
        <w:rPr>
          <w:rFonts w:hint="cs"/>
          <w:rtl/>
        </w:rPr>
        <w:t>(</w:t>
      </w:r>
      <w:r w:rsidRPr="00A52585">
        <w:rPr>
          <w:rFonts w:hint="cs"/>
          <w:rtl/>
        </w:rPr>
        <w:t>ص 251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114- وقال ايضا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وقيل معناه استوى كل شيء في النسبة اليه فلاء شيء اقرب اليه من شيء</w:t>
      </w:r>
      <w:r w:rsidR="00DB731D" w:rsidRPr="00A52585">
        <w:rPr>
          <w:rFonts w:hint="cs"/>
          <w:rtl/>
        </w:rPr>
        <w:t>،</w:t>
      </w:r>
      <w:r w:rsidRPr="00A52585">
        <w:rPr>
          <w:rFonts w:hint="cs"/>
          <w:rtl/>
        </w:rPr>
        <w:t xml:space="preserve"> إذ كان تعالى ليس </w:t>
      </w:r>
      <w:proofErr w:type="spellStart"/>
      <w:r w:rsidRPr="00A52585">
        <w:rPr>
          <w:rFonts w:hint="cs"/>
          <w:rtl/>
        </w:rPr>
        <w:t>كالاجسام</w:t>
      </w:r>
      <w:proofErr w:type="spellEnd"/>
      <w:r w:rsidRPr="00A52585">
        <w:rPr>
          <w:rFonts w:hint="cs"/>
          <w:rtl/>
        </w:rPr>
        <w:t xml:space="preserve"> الحالة في مكان دون مكان</w:t>
      </w:r>
      <w:r w:rsidR="0002035C" w:rsidRPr="00A52585">
        <w:rPr>
          <w:rFonts w:hint="cs"/>
          <w:rtl/>
        </w:rPr>
        <w:t>)</w:t>
      </w:r>
      <w:r w:rsidRPr="00A52585">
        <w:rPr>
          <w:rFonts w:hint="cs"/>
          <w:rtl/>
        </w:rPr>
        <w:t xml:space="preserve"> المصدر السابق</w:t>
      </w:r>
      <w:r w:rsidR="00DB731D" w:rsidRPr="00A52585">
        <w:rPr>
          <w:rFonts w:hint="cs"/>
          <w:rtl/>
        </w:rPr>
        <w:t>،</w:t>
      </w:r>
      <w:r w:rsidR="0002035C" w:rsidRPr="00A52585">
        <w:rPr>
          <w:rFonts w:hint="cs"/>
          <w:rtl/>
        </w:rPr>
        <w:t xml:space="preserve"> </w:t>
      </w:r>
      <w:r w:rsidRPr="00A52585">
        <w:rPr>
          <w:rFonts w:hint="cs"/>
          <w:rtl/>
        </w:rPr>
        <w:t xml:space="preserve">115- وقال القاضي ابن العربي الأشعري المالكي رحمه الله في كتابه الماتع النافع </w:t>
      </w:r>
      <w:r w:rsidR="0002035C" w:rsidRPr="00A52585">
        <w:rPr>
          <w:rFonts w:hint="cs"/>
          <w:rtl/>
        </w:rPr>
        <w:t>(</w:t>
      </w:r>
      <w:r w:rsidRPr="00A52585">
        <w:rPr>
          <w:rFonts w:hint="cs"/>
          <w:rtl/>
        </w:rPr>
        <w:t>العواصم من القواصم</w:t>
      </w:r>
      <w:r w:rsidR="0002035C" w:rsidRPr="00A52585">
        <w:rPr>
          <w:rFonts w:hint="cs"/>
          <w:rtl/>
        </w:rPr>
        <w:t>)</w:t>
      </w:r>
      <w:r w:rsidRPr="00A52585">
        <w:rPr>
          <w:rFonts w:hint="cs"/>
          <w:rtl/>
        </w:rPr>
        <w:t xml:space="preserve"> من الطبعة الكاملة </w:t>
      </w:r>
      <w:r w:rsidR="0002035C" w:rsidRPr="00A52585">
        <w:rPr>
          <w:rFonts w:hint="cs"/>
          <w:rtl/>
        </w:rPr>
        <w:t>(</w:t>
      </w:r>
      <w:r w:rsidRPr="00A52585">
        <w:rPr>
          <w:rFonts w:hint="cs"/>
          <w:rtl/>
        </w:rPr>
        <w:t>التي فيها يفضح ظاهرية العقائد و ظاهرية الأصول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بعد ذكره لطوائف أصابها الخلل بسبب استماعهم لمقولات ضُلال</w:t>
      </w:r>
      <w:r w:rsidR="0002035C" w:rsidRPr="00A52585">
        <w:rPr>
          <w:rFonts w:hint="cs"/>
          <w:rtl/>
        </w:rPr>
        <w:t>)</w:t>
      </w:r>
      <w:r w:rsidRPr="00A52585">
        <w:rPr>
          <w:rFonts w:hint="cs"/>
          <w:rtl/>
        </w:rPr>
        <w:t xml:space="preserve"> فقال ما نصه</w:t>
      </w:r>
      <w:r w:rsidR="0002035C" w:rsidRPr="00A52585">
        <w:rPr>
          <w:rFonts w:hint="cs"/>
          <w:rtl/>
        </w:rPr>
        <w:t>: (</w:t>
      </w:r>
      <w:r w:rsidRPr="00A52585">
        <w:rPr>
          <w:rFonts w:hint="cs"/>
          <w:rtl/>
        </w:rPr>
        <w:t>وسمعوا القدرية يقولون</w:t>
      </w:r>
      <w:r w:rsidR="0002035C" w:rsidRPr="00A52585">
        <w:rPr>
          <w:rFonts w:hint="cs"/>
          <w:rtl/>
        </w:rPr>
        <w:t>:</w:t>
      </w:r>
      <w:r w:rsidRPr="00A52585">
        <w:rPr>
          <w:rFonts w:hint="cs"/>
          <w:rtl/>
        </w:rPr>
        <w:t xml:space="preserve"> إن الله في كل مكان , وتكاثرت في ذلك الأقوال من </w:t>
      </w:r>
      <w:proofErr w:type="spellStart"/>
      <w:r w:rsidRPr="00A52585">
        <w:rPr>
          <w:rFonts w:hint="cs"/>
          <w:rtl/>
        </w:rPr>
        <w:t>المؤالف</w:t>
      </w:r>
      <w:proofErr w:type="spellEnd"/>
      <w:r w:rsidRPr="00A52585">
        <w:rPr>
          <w:rFonts w:hint="cs"/>
          <w:rtl/>
        </w:rPr>
        <w:t xml:space="preserve"> والمخالف</w:t>
      </w:r>
      <w:r w:rsidR="00DB731D" w:rsidRPr="00A52585">
        <w:rPr>
          <w:rFonts w:hint="cs"/>
          <w:rtl/>
        </w:rPr>
        <w:t>،</w:t>
      </w:r>
      <w:r w:rsidRPr="00A52585">
        <w:rPr>
          <w:rFonts w:hint="cs"/>
          <w:rtl/>
        </w:rPr>
        <w:t xml:space="preserve"> فأنكروا ذلك عليهم, وقالوا</w:t>
      </w:r>
      <w:r w:rsidR="0002035C" w:rsidRPr="00A52585">
        <w:rPr>
          <w:rFonts w:hint="cs"/>
          <w:rtl/>
        </w:rPr>
        <w:t>:</w:t>
      </w:r>
      <w:r w:rsidRPr="00A52585">
        <w:rPr>
          <w:rFonts w:hint="cs"/>
          <w:rtl/>
        </w:rPr>
        <w:t xml:space="preserve"> إن أطلق لقط في هذا المعنى فالذي ينطلق أنه على العرش، وسامحوا في (</w:t>
      </w:r>
      <w:r w:rsidR="0002035C" w:rsidRPr="00A52585">
        <w:rPr>
          <w:rFonts w:hint="cs"/>
          <w:rtl/>
        </w:rPr>
        <w:t>(</w:t>
      </w:r>
      <w:r w:rsidRPr="00A52585">
        <w:rPr>
          <w:rFonts w:hint="cs"/>
          <w:rtl/>
        </w:rPr>
        <w:t>فوق</w:t>
      </w:r>
      <w:r w:rsidR="0002035C" w:rsidRPr="00A52585">
        <w:rPr>
          <w:rFonts w:hint="cs"/>
          <w:rtl/>
        </w:rPr>
        <w:t>)</w:t>
      </w:r>
      <w:r w:rsidRPr="00A52585">
        <w:rPr>
          <w:rFonts w:hint="cs"/>
          <w:rtl/>
        </w:rPr>
        <w:t>) لأنه بمعنى علا و جل , ورددوها في الحديث المذكور آنفاً , ثم جاءت طائفة ركبت عليه , فقالت</w:t>
      </w:r>
      <w:r w:rsidR="0002035C" w:rsidRPr="00A52585">
        <w:rPr>
          <w:rFonts w:hint="cs"/>
          <w:rtl/>
        </w:rPr>
        <w:t>:</w:t>
      </w:r>
      <w:r w:rsidRPr="00A52585">
        <w:rPr>
          <w:rFonts w:hint="cs"/>
          <w:rtl/>
        </w:rPr>
        <w:t xml:space="preserve"> إنه فوق العرش بذاته و عليها شيخ المغرب أبو محمد عبد الله بن أبي زيد , </w:t>
      </w:r>
      <w:r w:rsidRPr="00A52585">
        <w:rPr>
          <w:rFonts w:hint="cs"/>
          <w:rtl/>
        </w:rPr>
        <w:lastRenderedPageBreak/>
        <w:t xml:space="preserve">فقالها للمعلمين </w:t>
      </w:r>
      <w:proofErr w:type="spellStart"/>
      <w:r w:rsidRPr="00A52585">
        <w:rPr>
          <w:rFonts w:hint="cs"/>
          <w:rtl/>
        </w:rPr>
        <w:t>فسدكت</w:t>
      </w:r>
      <w:proofErr w:type="spellEnd"/>
      <w:r w:rsidRPr="00A52585">
        <w:rPr>
          <w:rFonts w:hint="cs"/>
          <w:rtl/>
        </w:rPr>
        <w:t xml:space="preserve"> بقلوب الأطفال و الكبار</w:t>
      </w:r>
      <w:r w:rsidR="0002035C" w:rsidRPr="00A52585">
        <w:rPr>
          <w:rFonts w:hint="cs"/>
          <w:rtl/>
        </w:rPr>
        <w:t>)</w:t>
      </w:r>
      <w:r w:rsidRPr="00A52585">
        <w:rPr>
          <w:rFonts w:hint="cs"/>
          <w:rtl/>
        </w:rPr>
        <w:t xml:space="preserve"> العواصم من القواصم </w:t>
      </w:r>
      <w:r w:rsidR="0002035C" w:rsidRPr="00A52585">
        <w:rPr>
          <w:rFonts w:hint="cs"/>
          <w:rtl/>
        </w:rPr>
        <w:t>(</w:t>
      </w:r>
      <w:r w:rsidRPr="00A52585">
        <w:rPr>
          <w:rFonts w:hint="cs"/>
          <w:rtl/>
        </w:rPr>
        <w:t>ص215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116- يقول الإمام ابن العربي الأشعري المالكي رحمه الله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فإذا ثبت هذا فقوله </w:t>
      </w:r>
      <w:r w:rsidR="0002035C" w:rsidRPr="00A52585">
        <w:rPr>
          <w:rFonts w:hint="cs"/>
          <w:rtl/>
        </w:rPr>
        <w:t>(</w:t>
      </w:r>
      <w:r w:rsidRPr="00A52585">
        <w:rPr>
          <w:rFonts w:hint="cs"/>
          <w:rtl/>
        </w:rPr>
        <w:t>الرحمن على العرش استوى</w:t>
      </w:r>
      <w:r w:rsidR="0002035C" w:rsidRPr="00A52585">
        <w:rPr>
          <w:rFonts w:hint="cs"/>
          <w:rtl/>
        </w:rPr>
        <w:t>)</w:t>
      </w:r>
      <w:r w:rsidRPr="00A52585">
        <w:rPr>
          <w:rFonts w:hint="cs"/>
          <w:rtl/>
        </w:rPr>
        <w:t xml:space="preserve"> إن ما علمنا معناه علماً آمناً قولاً ومعنى وإن لم نعلم معناه قلنا كما قال مالك</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الاستواء معلوم والكيف مجهول، والسؤال عنه بدعة</w:t>
      </w:r>
      <w:r w:rsidR="0002035C" w:rsidRPr="00A52585">
        <w:rPr>
          <w:rFonts w:hint="cs"/>
          <w:rtl/>
        </w:rPr>
        <w:t>)</w:t>
      </w:r>
      <w:r w:rsidRPr="00A52585">
        <w:rPr>
          <w:rFonts w:hint="cs"/>
          <w:rtl/>
        </w:rPr>
        <w:t xml:space="preserve"> فكيف بتفسير تعلقه بالله، لا يقال</w:t>
      </w:r>
      <w:r w:rsidR="0002035C" w:rsidRPr="00A52585">
        <w:rPr>
          <w:rFonts w:hint="cs"/>
          <w:rtl/>
        </w:rPr>
        <w:t>:</w:t>
      </w:r>
      <w:r w:rsidRPr="00A52585">
        <w:rPr>
          <w:rFonts w:hint="cs"/>
          <w:rtl/>
        </w:rPr>
        <w:t xml:space="preserve"> إنه بدعة بل أشد من البدعة عنده، فكيف لو سمع من يقول</w:t>
      </w:r>
      <w:r w:rsidR="0002035C" w:rsidRPr="00A52585">
        <w:rPr>
          <w:rFonts w:hint="cs"/>
          <w:rtl/>
        </w:rPr>
        <w:t>:</w:t>
      </w:r>
      <w:r w:rsidRPr="00A52585">
        <w:rPr>
          <w:rFonts w:hint="cs"/>
          <w:rtl/>
        </w:rPr>
        <w:t xml:space="preserve"> إن الله فوقه</w:t>
      </w:r>
      <w:r w:rsidR="00F95886" w:rsidRPr="00A52585">
        <w:rPr>
          <w:rFonts w:hint="cs"/>
          <w:rtl/>
        </w:rPr>
        <w:t>؟</w:t>
      </w:r>
      <w:r w:rsidRPr="00A52585">
        <w:rPr>
          <w:rFonts w:hint="cs"/>
          <w:rtl/>
        </w:rPr>
        <w:t xml:space="preserve"> فكيف بمن يعين فوقية الذات</w:t>
      </w:r>
      <w:r w:rsidR="00F95886" w:rsidRPr="00A52585">
        <w:rPr>
          <w:rFonts w:hint="cs"/>
          <w:rtl/>
        </w:rPr>
        <w:t>؟</w:t>
      </w:r>
      <w:r w:rsidRPr="00A52585">
        <w:rPr>
          <w:rFonts w:hint="cs"/>
          <w:rtl/>
        </w:rPr>
        <w:t xml:space="preserve"> فكيف بمن يقول</w:t>
      </w:r>
      <w:r w:rsidR="0002035C" w:rsidRPr="00A52585">
        <w:rPr>
          <w:rFonts w:hint="cs"/>
          <w:rtl/>
        </w:rPr>
        <w:t>:</w:t>
      </w:r>
      <w:r w:rsidRPr="00A52585">
        <w:rPr>
          <w:rFonts w:hint="cs"/>
          <w:rtl/>
        </w:rPr>
        <w:t xml:space="preserve"> لأنه يحاذيه ويليه</w:t>
      </w:r>
      <w:r w:rsidR="00F95886" w:rsidRPr="00A52585">
        <w:rPr>
          <w:rFonts w:hint="cs"/>
          <w:rtl/>
        </w:rPr>
        <w:t>؟</w:t>
      </w:r>
      <w:r w:rsidRPr="00A52585">
        <w:rPr>
          <w:rFonts w:hint="cs"/>
          <w:rtl/>
        </w:rPr>
        <w:t xml:space="preserve"> تباً له</w:t>
      </w:r>
      <w:r w:rsidR="00DB731D" w:rsidRPr="00A52585">
        <w:rPr>
          <w:rFonts w:hint="cs"/>
          <w:rtl/>
        </w:rPr>
        <w:t>،</w:t>
      </w:r>
      <w:r w:rsidRPr="00A52585">
        <w:rPr>
          <w:rFonts w:hint="cs"/>
          <w:rtl/>
        </w:rPr>
        <w:t xml:space="preserve"> والحديث الذي فيه</w:t>
      </w:r>
      <w:r w:rsidR="0002035C" w:rsidRPr="00A52585">
        <w:rPr>
          <w:rFonts w:hint="cs"/>
          <w:rtl/>
        </w:rPr>
        <w:t>:</w:t>
      </w:r>
      <w:r w:rsidRPr="00A52585">
        <w:rPr>
          <w:rFonts w:hint="cs"/>
          <w:rtl/>
        </w:rPr>
        <w:t xml:space="preserve"> والله فوق ذلك لا حجة فيه لأن في الحديث بعينه، وقد عدد الأرضين أيضاً، حتى ذكر الأرض السابعة، ثم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والذي نفسي بيده لو دليتم حبلاً لهبط على الله</w:t>
      </w:r>
      <w:r w:rsidR="0002035C" w:rsidRPr="00A52585">
        <w:rPr>
          <w:rFonts w:hint="cs"/>
          <w:rtl/>
        </w:rPr>
        <w:t>)</w:t>
      </w:r>
      <w:r w:rsidRPr="00A52585">
        <w:rPr>
          <w:rFonts w:hint="cs"/>
          <w:rtl/>
        </w:rPr>
        <w:t xml:space="preserve"> ولم يقتض ذلك أنه تحت الأرض</w:t>
      </w:r>
      <w:r w:rsidR="00DB731D" w:rsidRPr="00A52585">
        <w:rPr>
          <w:rFonts w:hint="cs"/>
          <w:rtl/>
        </w:rPr>
        <w:t>،</w:t>
      </w:r>
      <w:r w:rsidRPr="00A52585">
        <w:rPr>
          <w:rFonts w:hint="cs"/>
          <w:rtl/>
        </w:rPr>
        <w:t xml:space="preserve"> فإن قيل</w:t>
      </w:r>
      <w:r w:rsidR="0002035C" w:rsidRPr="00A52585">
        <w:rPr>
          <w:rFonts w:hint="cs"/>
          <w:rtl/>
        </w:rPr>
        <w:t>:</w:t>
      </w:r>
      <w:r w:rsidRPr="00A52585">
        <w:rPr>
          <w:rFonts w:hint="cs"/>
          <w:rtl/>
        </w:rPr>
        <w:t xml:space="preserve"> فقد قال النبي صلى الله عليه </w:t>
      </w:r>
      <w:proofErr w:type="spellStart"/>
      <w:r w:rsidRPr="00A52585">
        <w:rPr>
          <w:rFonts w:hint="cs"/>
          <w:rtl/>
        </w:rPr>
        <w:t>وآله</w:t>
      </w:r>
      <w:proofErr w:type="spellEnd"/>
      <w:r w:rsidRPr="00A52585">
        <w:rPr>
          <w:rFonts w:hint="cs"/>
          <w:rtl/>
        </w:rPr>
        <w:t xml:space="preserve"> وسلم لسعد بن معاذ حين حكم في بني قريظة بأن يقتل مقاتلهم، وتسبى ذراريهم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لقد حكمت فيهم بحكم الملك من فوق سبعة أرقعة</w:t>
      </w:r>
      <w:r w:rsidR="0002035C" w:rsidRPr="00A52585">
        <w:rPr>
          <w:rFonts w:hint="cs"/>
          <w:rtl/>
        </w:rPr>
        <w:t>)</w:t>
      </w:r>
      <w:r w:rsidRPr="00A52585">
        <w:rPr>
          <w:rFonts w:hint="cs"/>
          <w:rtl/>
        </w:rPr>
        <w:t xml:space="preserve"> حرف جر يتعلق </w:t>
      </w:r>
      <w:proofErr w:type="spellStart"/>
      <w:r w:rsidRPr="00A52585">
        <w:rPr>
          <w:rFonts w:hint="cs"/>
          <w:rtl/>
        </w:rPr>
        <w:t>بحكمت</w:t>
      </w:r>
      <w:proofErr w:type="spellEnd"/>
      <w:r w:rsidRPr="00A52585">
        <w:rPr>
          <w:rFonts w:hint="cs"/>
          <w:rtl/>
        </w:rPr>
        <w:t xml:space="preserve"> أو بحكم المصدر المتصل، لا بقوله </w:t>
      </w:r>
      <w:r w:rsidR="0002035C" w:rsidRPr="00A52585">
        <w:rPr>
          <w:rFonts w:hint="cs"/>
          <w:rtl/>
        </w:rPr>
        <w:t>(</w:t>
      </w:r>
      <w:r w:rsidRPr="00A52585">
        <w:rPr>
          <w:rFonts w:hint="cs"/>
          <w:rtl/>
        </w:rPr>
        <w:t>الملك</w:t>
      </w:r>
      <w:r w:rsidR="0002035C" w:rsidRPr="00A52585">
        <w:rPr>
          <w:rFonts w:hint="cs"/>
          <w:rtl/>
        </w:rPr>
        <w:t>)</w:t>
      </w:r>
      <w:r w:rsidRPr="00A52585">
        <w:rPr>
          <w:rFonts w:hint="cs"/>
          <w:rtl/>
        </w:rPr>
        <w:t xml:space="preserve"> فافهموا ذلك من الصناعة</w:t>
      </w:r>
      <w:r w:rsidR="0002035C" w:rsidRPr="00A52585">
        <w:rPr>
          <w:rFonts w:hint="cs"/>
          <w:rtl/>
        </w:rPr>
        <w:t>)</w:t>
      </w:r>
      <w:r w:rsidRPr="00A52585">
        <w:rPr>
          <w:rFonts w:hint="cs"/>
          <w:rtl/>
        </w:rPr>
        <w:t xml:space="preserve"> انظر العواصم </w:t>
      </w:r>
      <w:r w:rsidR="0002035C" w:rsidRPr="00A52585">
        <w:rPr>
          <w:rFonts w:hint="cs"/>
          <w:rtl/>
        </w:rPr>
        <w:t>(</w:t>
      </w:r>
      <w:r w:rsidRPr="00A52585">
        <w:rPr>
          <w:rFonts w:hint="cs"/>
          <w:rtl/>
        </w:rPr>
        <w:t>ص 216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117- وقال القاضي الشيخ بدر الدين محمد بن إبراهيم المعروف بابن جماعة الشافعي الأشعري (733 هـ</w:t>
      </w:r>
      <w:r w:rsidR="0002035C" w:rsidRPr="00A52585">
        <w:rPr>
          <w:rFonts w:hint="cs"/>
          <w:rtl/>
        </w:rPr>
        <w:t>)</w:t>
      </w:r>
      <w:r w:rsidRPr="00A52585">
        <w:rPr>
          <w:rFonts w:hint="cs"/>
          <w:rtl/>
        </w:rPr>
        <w:t xml:space="preserve"> ما نصه</w:t>
      </w:r>
      <w:r w:rsidR="0002035C" w:rsidRPr="00A52585">
        <w:rPr>
          <w:rFonts w:hint="cs"/>
          <w:rtl/>
        </w:rPr>
        <w:t>: (</w:t>
      </w:r>
      <w:r w:rsidRPr="00A52585">
        <w:rPr>
          <w:rFonts w:hint="cs"/>
          <w:rtl/>
        </w:rPr>
        <w:t>كان الله ولا زمان ولا مكان</w:t>
      </w:r>
      <w:r w:rsidR="00DB731D" w:rsidRPr="00A52585">
        <w:rPr>
          <w:rFonts w:hint="cs"/>
          <w:rtl/>
        </w:rPr>
        <w:t>،</w:t>
      </w:r>
      <w:r w:rsidRPr="00A52585">
        <w:rPr>
          <w:rFonts w:hint="cs"/>
          <w:rtl/>
        </w:rPr>
        <w:t xml:space="preserve"> وهو الان على ما عليه كان</w:t>
      </w:r>
      <w:r w:rsidR="0002035C" w:rsidRPr="00A52585">
        <w:rPr>
          <w:rFonts w:hint="cs"/>
          <w:rtl/>
        </w:rPr>
        <w:t>)</w:t>
      </w:r>
      <w:r w:rsidRPr="00A52585">
        <w:rPr>
          <w:rFonts w:hint="cs"/>
          <w:rtl/>
        </w:rPr>
        <w:t xml:space="preserve"> إيضاح الدليل (ص103-104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118- وقال أيضا ما نصه</w:t>
      </w:r>
      <w:r w:rsidR="0002035C" w:rsidRPr="00A52585">
        <w:rPr>
          <w:rFonts w:hint="cs"/>
          <w:rtl/>
        </w:rPr>
        <w:t>: (</w:t>
      </w:r>
      <w:r w:rsidRPr="00A52585">
        <w:rPr>
          <w:rFonts w:hint="cs"/>
          <w:rtl/>
        </w:rPr>
        <w:t>فإن قيل</w:t>
      </w:r>
      <w:r w:rsidR="0002035C" w:rsidRPr="00A52585">
        <w:rPr>
          <w:rFonts w:hint="cs"/>
          <w:rtl/>
        </w:rPr>
        <w:t>:</w:t>
      </w:r>
      <w:r w:rsidRPr="00A52585">
        <w:rPr>
          <w:rFonts w:hint="cs"/>
          <w:rtl/>
        </w:rPr>
        <w:t xml:space="preserve"> نفي الجهة عن الموجود يوجب نفيه لاستحالة موجود في غير جهة</w:t>
      </w:r>
      <w:r w:rsidR="00897A24" w:rsidRPr="00A52585">
        <w:rPr>
          <w:rFonts w:hint="cs"/>
          <w:rtl/>
        </w:rPr>
        <w:t>.</w:t>
      </w:r>
      <w:r w:rsidRPr="00A52585">
        <w:rPr>
          <w:rFonts w:hint="cs"/>
          <w:rtl/>
        </w:rPr>
        <w:t xml:space="preserve"> " قلنا</w:t>
      </w:r>
      <w:r w:rsidR="0002035C" w:rsidRPr="00A52585">
        <w:rPr>
          <w:rFonts w:hint="cs"/>
          <w:rtl/>
        </w:rPr>
        <w:t>:</w:t>
      </w:r>
      <w:r w:rsidRPr="00A52585">
        <w:rPr>
          <w:rFonts w:hint="cs"/>
          <w:rtl/>
        </w:rPr>
        <w:t xml:space="preserve"> الموجود قسمان</w:t>
      </w:r>
      <w:r w:rsidR="0002035C" w:rsidRPr="00A52585">
        <w:rPr>
          <w:rFonts w:hint="cs"/>
          <w:rtl/>
        </w:rPr>
        <w:t>:</w:t>
      </w:r>
      <w:r w:rsidRPr="00A52585">
        <w:rPr>
          <w:rFonts w:hint="cs"/>
          <w:rtl/>
        </w:rPr>
        <w:t xml:space="preserve"> موجود لا يتصرف فيه الوهم والحس والخيال والانفصال</w:t>
      </w:r>
      <w:r w:rsidR="00DB731D" w:rsidRPr="00A52585">
        <w:rPr>
          <w:rFonts w:hint="cs"/>
          <w:rtl/>
        </w:rPr>
        <w:t>،</w:t>
      </w:r>
      <w:r w:rsidRPr="00A52585">
        <w:rPr>
          <w:rFonts w:hint="cs"/>
          <w:rtl/>
        </w:rPr>
        <w:t xml:space="preserve"> وموجود يتصرف ذلك فيه ويقبله</w:t>
      </w:r>
      <w:r w:rsidR="00897A24" w:rsidRPr="00A52585">
        <w:rPr>
          <w:rFonts w:hint="cs"/>
          <w:rtl/>
        </w:rPr>
        <w:t>.</w:t>
      </w:r>
      <w:r w:rsidRPr="00A52585">
        <w:rPr>
          <w:rFonts w:hint="cs"/>
          <w:rtl/>
        </w:rPr>
        <w:t xml:space="preserve"> فالأول ممنوع لاستحالته</w:t>
      </w:r>
      <w:r w:rsidR="00DB731D" w:rsidRPr="00A52585">
        <w:rPr>
          <w:rFonts w:hint="cs"/>
          <w:rtl/>
        </w:rPr>
        <w:t>،</w:t>
      </w:r>
      <w:r w:rsidRPr="00A52585">
        <w:rPr>
          <w:rFonts w:hint="cs"/>
          <w:rtl/>
        </w:rPr>
        <w:t xml:space="preserve"> والرب لا يتصرف فيه ذلك</w:t>
      </w:r>
      <w:r w:rsidR="00DB731D" w:rsidRPr="00A52585">
        <w:rPr>
          <w:rFonts w:hint="cs"/>
          <w:rtl/>
        </w:rPr>
        <w:t>،</w:t>
      </w:r>
      <w:r w:rsidRPr="00A52585">
        <w:rPr>
          <w:rFonts w:hint="cs"/>
          <w:rtl/>
        </w:rPr>
        <w:t xml:space="preserve"> إذ ليس بجسم ولا عرض ولا جوهر، فصح وجوده عقلا من غير جهة ولا حيز كما دل الدليل العقلي فيه</w:t>
      </w:r>
      <w:r w:rsidR="00DB731D" w:rsidRPr="00A52585">
        <w:rPr>
          <w:rFonts w:hint="cs"/>
          <w:rtl/>
        </w:rPr>
        <w:t>،</w:t>
      </w:r>
      <w:r w:rsidRPr="00A52585">
        <w:rPr>
          <w:rFonts w:hint="cs"/>
          <w:rtl/>
        </w:rPr>
        <w:t xml:space="preserve"> فوجب </w:t>
      </w:r>
      <w:proofErr w:type="spellStart"/>
      <w:r w:rsidRPr="00A52585">
        <w:rPr>
          <w:rFonts w:hint="cs"/>
          <w:rtl/>
        </w:rPr>
        <w:t>تضديقه</w:t>
      </w:r>
      <w:proofErr w:type="spellEnd"/>
      <w:r w:rsidRPr="00A52585">
        <w:rPr>
          <w:rFonts w:hint="cs"/>
          <w:rtl/>
        </w:rPr>
        <w:t xml:space="preserve"> عقلا، وكما دل الدليل العقلي على وجوده مع نفي الجسمية والعرضية مع بُعد الفهم الحسي له، فكذلك دلّ على نفي الجهة والحيز مع بُعد فهم الحسّ له</w:t>
      </w:r>
      <w:r w:rsidR="0002035C" w:rsidRPr="00A52585">
        <w:rPr>
          <w:rFonts w:hint="cs"/>
          <w:rtl/>
        </w:rPr>
        <w:t>)</w:t>
      </w:r>
      <w:r w:rsidRPr="00A52585">
        <w:rPr>
          <w:rFonts w:hint="cs"/>
          <w:rtl/>
        </w:rPr>
        <w:t xml:space="preserve"> إيضاح الدليل (ص 104- 105)</w:t>
      </w:r>
      <w:r w:rsidR="00DB731D" w:rsidRPr="00A52585">
        <w:rPr>
          <w:rFonts w:hint="cs"/>
          <w:rtl/>
        </w:rPr>
        <w:t>،</w:t>
      </w:r>
      <w:r w:rsidR="0002035C" w:rsidRPr="00A52585">
        <w:rPr>
          <w:rFonts w:hint="cs"/>
          <w:rtl/>
        </w:rPr>
        <w:t xml:space="preserve"> </w:t>
      </w:r>
      <w:r w:rsidRPr="00A52585">
        <w:rPr>
          <w:rFonts w:hint="cs"/>
          <w:rtl/>
        </w:rPr>
        <w:t xml:space="preserve">119- وقد ألَّف الشيخ شهاب الدين أحمد بن يحيى بن إسماعيل الكِلابي الحلبي الأصل المعروف بابن </w:t>
      </w:r>
      <w:proofErr w:type="spellStart"/>
      <w:r w:rsidRPr="00A52585">
        <w:rPr>
          <w:rFonts w:hint="cs"/>
          <w:rtl/>
        </w:rPr>
        <w:t>جَهْبَل</w:t>
      </w:r>
      <w:proofErr w:type="spellEnd"/>
      <w:r w:rsidRPr="00A52585">
        <w:rPr>
          <w:rFonts w:hint="cs"/>
          <w:rtl/>
        </w:rPr>
        <w:t xml:space="preserve"> (733 هـ) رسالة في الرد على ابن تيمية</w:t>
      </w:r>
      <w:r w:rsidR="00DB731D" w:rsidRPr="00A52585">
        <w:rPr>
          <w:rFonts w:hint="cs"/>
          <w:rtl/>
        </w:rPr>
        <w:t>،</w:t>
      </w:r>
      <w:r w:rsidRPr="00A52585">
        <w:rPr>
          <w:rFonts w:hint="cs"/>
          <w:rtl/>
        </w:rPr>
        <w:t xml:space="preserve"> قال تاج الدين السبكي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ووقفتُ له - أي ابن </w:t>
      </w:r>
      <w:proofErr w:type="spellStart"/>
      <w:r w:rsidRPr="00A52585">
        <w:rPr>
          <w:rFonts w:hint="cs"/>
          <w:rtl/>
        </w:rPr>
        <w:t>جهبل</w:t>
      </w:r>
      <w:proofErr w:type="spellEnd"/>
      <w:r w:rsidRPr="00A52585">
        <w:rPr>
          <w:rFonts w:hint="cs"/>
          <w:rtl/>
        </w:rPr>
        <w:t xml:space="preserve"> - على تصنيف صنّفَه في نفي الجهة ردَّا على ابن تيمية لا بأس به</w:t>
      </w:r>
      <w:r w:rsidR="00DB731D" w:rsidRPr="00A52585">
        <w:rPr>
          <w:rFonts w:hint="cs"/>
          <w:rtl/>
        </w:rPr>
        <w:t>،</w:t>
      </w:r>
      <w:r w:rsidRPr="00A52585">
        <w:rPr>
          <w:rFonts w:hint="cs"/>
          <w:rtl/>
        </w:rPr>
        <w:t xml:space="preserve"> وهو هذا"</w:t>
      </w:r>
      <w:r w:rsidR="0002035C" w:rsidRPr="00A52585">
        <w:rPr>
          <w:rFonts w:hint="cs"/>
          <w:rtl/>
        </w:rPr>
        <w:t>)</w:t>
      </w:r>
      <w:r w:rsidRPr="00A52585">
        <w:rPr>
          <w:rFonts w:hint="cs"/>
          <w:rtl/>
        </w:rPr>
        <w:t>اهـ</w:t>
      </w:r>
      <w:r w:rsidR="00897A24" w:rsidRPr="00A52585">
        <w:rPr>
          <w:rFonts w:hint="cs"/>
          <w:rtl/>
        </w:rPr>
        <w:t>.</w:t>
      </w:r>
      <w:r w:rsidRPr="00A52585">
        <w:rPr>
          <w:rFonts w:hint="cs"/>
          <w:rtl/>
        </w:rPr>
        <w:t xml:space="preserve"> ثم ذكر هذه الرسالة بكاملها</w:t>
      </w:r>
      <w:r w:rsidR="00897A24" w:rsidRPr="00A52585">
        <w:rPr>
          <w:rFonts w:hint="cs"/>
          <w:rtl/>
        </w:rPr>
        <w:t>.</w:t>
      </w:r>
      <w:r w:rsidRPr="00A52585">
        <w:rPr>
          <w:rFonts w:hint="cs"/>
          <w:rtl/>
        </w:rPr>
        <w:t xml:space="preserve"> وذَكر ابنُ </w:t>
      </w:r>
      <w:proofErr w:type="spellStart"/>
      <w:r w:rsidRPr="00A52585">
        <w:rPr>
          <w:rFonts w:hint="cs"/>
          <w:rtl/>
        </w:rPr>
        <w:t>جَهْبَل</w:t>
      </w:r>
      <w:proofErr w:type="spellEnd"/>
      <w:r w:rsidRPr="00A52585">
        <w:rPr>
          <w:rFonts w:hint="cs"/>
          <w:rtl/>
        </w:rPr>
        <w:t xml:space="preserve"> أنه ضَمَّنَ رسالته هذه عقيدة أهل السنة والرد على المشبهة المجسمة </w:t>
      </w:r>
      <w:proofErr w:type="spellStart"/>
      <w:r w:rsidRPr="00A52585">
        <w:rPr>
          <w:rFonts w:hint="cs"/>
          <w:rtl/>
        </w:rPr>
        <w:t>والحشوية</w:t>
      </w:r>
      <w:proofErr w:type="spellEnd"/>
      <w:r w:rsidRPr="00A52585">
        <w:rPr>
          <w:rFonts w:hint="cs"/>
          <w:rtl/>
        </w:rPr>
        <w:t xml:space="preserve"> والمتسترين بالسلف، ومما قاله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ومذهب السلف إنما هو التوحيد والتنزيه دون التجسيم والتشبيه</w:t>
      </w:r>
      <w:r w:rsidR="00DB731D" w:rsidRPr="00A52585">
        <w:rPr>
          <w:rFonts w:hint="cs"/>
          <w:rtl/>
        </w:rPr>
        <w:t>،</w:t>
      </w:r>
      <w:r w:rsidRPr="00A52585">
        <w:rPr>
          <w:rFonts w:hint="cs"/>
          <w:rtl/>
        </w:rPr>
        <w:t xml:space="preserve"> والمبتدعة تزعم أنها على مذهب السلف</w:t>
      </w:r>
      <w:r w:rsidR="0002035C" w:rsidRPr="00A52585">
        <w:rPr>
          <w:rFonts w:hint="cs"/>
          <w:rtl/>
        </w:rPr>
        <w:t>)</w:t>
      </w:r>
      <w:r w:rsidRPr="00A52585">
        <w:rPr>
          <w:rFonts w:hint="cs"/>
          <w:rtl/>
        </w:rPr>
        <w:t xml:space="preserve"> طبقات الشافعية الكبرى (9</w:t>
      </w:r>
      <w:r w:rsidR="0002035C" w:rsidRPr="00A52585">
        <w:rPr>
          <w:rFonts w:hint="cs"/>
          <w:rtl/>
        </w:rPr>
        <w:t xml:space="preserve">: </w:t>
      </w:r>
      <w:r w:rsidRPr="00A52585">
        <w:rPr>
          <w:rFonts w:hint="cs"/>
          <w:rtl/>
        </w:rPr>
        <w:t>35 - 36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120- وقال ايضا</w:t>
      </w:r>
      <w:r w:rsidR="0002035C" w:rsidRPr="00A52585">
        <w:rPr>
          <w:rFonts w:hint="cs"/>
          <w:rtl/>
        </w:rPr>
        <w:t>: (</w:t>
      </w:r>
      <w:r w:rsidRPr="00A52585">
        <w:rPr>
          <w:rFonts w:hint="cs"/>
          <w:rtl/>
        </w:rPr>
        <w:t xml:space="preserve">وها نحن نذكر عقيدة أهل </w:t>
      </w:r>
      <w:r w:rsidRPr="00A52585">
        <w:rPr>
          <w:rFonts w:hint="cs"/>
          <w:rtl/>
        </w:rPr>
        <w:lastRenderedPageBreak/>
        <w:t>السنة فنقول</w:t>
      </w:r>
      <w:r w:rsidR="0002035C" w:rsidRPr="00A52585">
        <w:rPr>
          <w:rFonts w:hint="cs"/>
          <w:rtl/>
        </w:rPr>
        <w:t>:</w:t>
      </w:r>
      <w:r w:rsidRPr="00A52585">
        <w:rPr>
          <w:rFonts w:hint="cs"/>
          <w:rtl/>
        </w:rPr>
        <w:t xml:space="preserve"> عقيدتنا أن الله قديم أزليٌّ</w:t>
      </w:r>
      <w:r w:rsidR="00DB731D" w:rsidRPr="00A52585">
        <w:rPr>
          <w:rFonts w:hint="cs"/>
          <w:rtl/>
        </w:rPr>
        <w:t>،</w:t>
      </w:r>
      <w:r w:rsidRPr="00A52585">
        <w:rPr>
          <w:rFonts w:hint="cs"/>
          <w:rtl/>
        </w:rPr>
        <w:t xml:space="preserve"> لا يُشْبِهُ شيئا ولا يشبهه شيء</w:t>
      </w:r>
      <w:r w:rsidR="00DB731D" w:rsidRPr="00A52585">
        <w:rPr>
          <w:rFonts w:hint="cs"/>
          <w:rtl/>
        </w:rPr>
        <w:t>،</w:t>
      </w:r>
      <w:r w:rsidRPr="00A52585">
        <w:rPr>
          <w:rFonts w:hint="cs"/>
          <w:rtl/>
        </w:rPr>
        <w:t xml:space="preserve"> ليس له جهة ولا مكان</w:t>
      </w:r>
      <w:r w:rsidR="00DB731D" w:rsidRPr="00A52585">
        <w:rPr>
          <w:rFonts w:hint="cs"/>
          <w:rtl/>
        </w:rPr>
        <w:t>،</w:t>
      </w:r>
      <w:r w:rsidRPr="00A52585">
        <w:rPr>
          <w:rFonts w:hint="cs"/>
          <w:rtl/>
        </w:rPr>
        <w:t xml:space="preserve"> ولا يجري عليه وقتٌ ولا زمان</w:t>
      </w:r>
      <w:r w:rsidR="00DB731D" w:rsidRPr="00A52585">
        <w:rPr>
          <w:rFonts w:hint="cs"/>
          <w:rtl/>
        </w:rPr>
        <w:t>،</w:t>
      </w:r>
      <w:r w:rsidRPr="00A52585">
        <w:rPr>
          <w:rFonts w:hint="cs"/>
          <w:rtl/>
        </w:rPr>
        <w:t xml:space="preserve"> ولا يقال له أين ولا حيث، يُرَى لا عن مقابلة ولا على مقابلة</w:t>
      </w:r>
      <w:r w:rsidR="00DB731D" w:rsidRPr="00A52585">
        <w:rPr>
          <w:rFonts w:hint="cs"/>
          <w:rtl/>
        </w:rPr>
        <w:t>،</w:t>
      </w:r>
      <w:r w:rsidRPr="00A52585">
        <w:rPr>
          <w:rFonts w:hint="cs"/>
          <w:rtl/>
        </w:rPr>
        <w:t xml:space="preserve"> كان ولا مكان</w:t>
      </w:r>
      <w:r w:rsidR="00DB731D" w:rsidRPr="00A52585">
        <w:rPr>
          <w:rFonts w:hint="cs"/>
          <w:rtl/>
        </w:rPr>
        <w:t>،</w:t>
      </w:r>
      <w:r w:rsidRPr="00A52585">
        <w:rPr>
          <w:rFonts w:hint="cs"/>
          <w:rtl/>
        </w:rPr>
        <w:t xml:space="preserve"> كوَّن المكان</w:t>
      </w:r>
      <w:r w:rsidR="00DB731D" w:rsidRPr="00A52585">
        <w:rPr>
          <w:rFonts w:hint="cs"/>
          <w:rtl/>
        </w:rPr>
        <w:t>،</w:t>
      </w:r>
      <w:r w:rsidRPr="00A52585">
        <w:rPr>
          <w:rFonts w:hint="cs"/>
          <w:rtl/>
        </w:rPr>
        <w:t xml:space="preserve"> ودبَّرَ الزمان</w:t>
      </w:r>
      <w:r w:rsidR="00DB731D" w:rsidRPr="00A52585">
        <w:rPr>
          <w:rFonts w:hint="cs"/>
          <w:rtl/>
        </w:rPr>
        <w:t>،</w:t>
      </w:r>
      <w:r w:rsidRPr="00A52585">
        <w:rPr>
          <w:rFonts w:hint="cs"/>
          <w:rtl/>
        </w:rPr>
        <w:t xml:space="preserve"> وهو الآن على ما عليه كان</w:t>
      </w:r>
      <w:r w:rsidR="00DB731D" w:rsidRPr="00A52585">
        <w:rPr>
          <w:rFonts w:hint="cs"/>
          <w:rtl/>
        </w:rPr>
        <w:t>،</w:t>
      </w:r>
      <w:r w:rsidRPr="00A52585">
        <w:rPr>
          <w:rFonts w:hint="cs"/>
          <w:rtl/>
        </w:rPr>
        <w:t xml:space="preserve"> هذا مذهب أهل السنة</w:t>
      </w:r>
      <w:r w:rsidR="00DB731D" w:rsidRPr="00A52585">
        <w:rPr>
          <w:rFonts w:hint="cs"/>
          <w:rtl/>
        </w:rPr>
        <w:t>،</w:t>
      </w:r>
      <w:r w:rsidRPr="00A52585">
        <w:rPr>
          <w:rFonts w:hint="cs"/>
          <w:rtl/>
        </w:rPr>
        <w:t xml:space="preserve"> وعقيدة مشايخ الطريق رضي الله عنهم</w:t>
      </w:r>
      <w:r w:rsidR="0002035C" w:rsidRPr="00A52585">
        <w:rPr>
          <w:rFonts w:hint="cs"/>
          <w:rtl/>
        </w:rPr>
        <w:t>)</w:t>
      </w:r>
      <w:r w:rsidRPr="00A52585">
        <w:rPr>
          <w:rFonts w:hint="cs"/>
          <w:rtl/>
        </w:rPr>
        <w:t xml:space="preserve"> المصدر السابق (9</w:t>
      </w:r>
      <w:r w:rsidR="0002035C" w:rsidRPr="00A52585">
        <w:rPr>
          <w:rFonts w:hint="cs"/>
          <w:rtl/>
        </w:rPr>
        <w:t xml:space="preserve">: </w:t>
      </w:r>
      <w:r w:rsidRPr="00A52585">
        <w:rPr>
          <w:rFonts w:hint="cs"/>
          <w:rtl/>
        </w:rPr>
        <w:t>41)</w:t>
      </w:r>
      <w:r w:rsidR="00DB731D" w:rsidRPr="00A52585">
        <w:rPr>
          <w:rFonts w:hint="cs"/>
          <w:rtl/>
        </w:rPr>
        <w:t>،</w:t>
      </w:r>
      <w:r w:rsidR="0002035C" w:rsidRPr="00A52585">
        <w:rPr>
          <w:rFonts w:hint="cs"/>
          <w:rtl/>
        </w:rPr>
        <w:t xml:space="preserve"> </w:t>
      </w:r>
      <w:r w:rsidRPr="00A52585">
        <w:rPr>
          <w:rFonts w:hint="cs"/>
          <w:rtl/>
        </w:rPr>
        <w:t xml:space="preserve">121- وقال الشيخ أبو عبد الله محمد بن محمد العبدري المعروف بابن الحاج المغربي المالكي (737 هـ) وكان من أصحاب العلاّمة الولي العارف بالله الزاهد </w:t>
      </w:r>
      <w:proofErr w:type="spellStart"/>
      <w:r w:rsidRPr="00A52585">
        <w:rPr>
          <w:rFonts w:hint="cs"/>
          <w:rtl/>
        </w:rPr>
        <w:t>المقريء</w:t>
      </w:r>
      <w:proofErr w:type="spellEnd"/>
      <w:r w:rsidRPr="00A52585">
        <w:rPr>
          <w:rFonts w:hint="cs"/>
          <w:rtl/>
        </w:rPr>
        <w:t xml:space="preserve"> ابن أبي جمرة نفعنا الله به ما نصه</w:t>
      </w:r>
      <w:r w:rsidR="0002035C" w:rsidRPr="00A52585">
        <w:rPr>
          <w:rFonts w:hint="cs"/>
          <w:rtl/>
        </w:rPr>
        <w:t>: (</w:t>
      </w:r>
      <w:r w:rsidRPr="00A52585">
        <w:rPr>
          <w:rFonts w:hint="cs"/>
          <w:rtl/>
        </w:rPr>
        <w:t>لا يقال في حقه - تعالى - أين ولا كيف</w:t>
      </w:r>
      <w:r w:rsidR="0002035C" w:rsidRPr="00A52585">
        <w:rPr>
          <w:rFonts w:hint="cs"/>
          <w:rtl/>
        </w:rPr>
        <w:t>)</w:t>
      </w:r>
      <w:r w:rsidRPr="00A52585">
        <w:rPr>
          <w:rFonts w:hint="cs"/>
          <w:rtl/>
        </w:rPr>
        <w:t xml:space="preserve"> المدخل (3</w:t>
      </w:r>
      <w:r w:rsidR="0002035C" w:rsidRPr="00A52585">
        <w:rPr>
          <w:rFonts w:hint="cs"/>
          <w:rtl/>
        </w:rPr>
        <w:t xml:space="preserve">: </w:t>
      </w:r>
      <w:r w:rsidRPr="00A52585">
        <w:rPr>
          <w:rFonts w:hint="cs"/>
          <w:rtl/>
        </w:rPr>
        <w:t>146)</w:t>
      </w:r>
      <w:r w:rsidR="00DB731D" w:rsidRPr="00A52585">
        <w:rPr>
          <w:rFonts w:hint="cs"/>
          <w:rtl/>
        </w:rPr>
        <w:t>،</w:t>
      </w:r>
      <w:r w:rsidR="0002035C" w:rsidRPr="00A52585">
        <w:rPr>
          <w:rFonts w:hint="cs"/>
          <w:rtl/>
        </w:rPr>
        <w:t xml:space="preserve"> </w:t>
      </w:r>
      <w:r w:rsidRPr="00A52585">
        <w:rPr>
          <w:rFonts w:hint="cs"/>
          <w:rtl/>
        </w:rPr>
        <w:t>122- وقال أيضا ما نصه</w:t>
      </w:r>
      <w:r w:rsidR="0002035C" w:rsidRPr="00A52585">
        <w:rPr>
          <w:rFonts w:hint="cs"/>
          <w:rtl/>
        </w:rPr>
        <w:t>: (</w:t>
      </w:r>
      <w:r w:rsidRPr="00A52585">
        <w:rPr>
          <w:rFonts w:hint="cs"/>
          <w:rtl/>
        </w:rPr>
        <w:t>فلا يقال أين ولا كيف ولا متى</w:t>
      </w:r>
      <w:r w:rsidR="00DB731D" w:rsidRPr="00A52585">
        <w:rPr>
          <w:rFonts w:hint="cs"/>
          <w:rtl/>
        </w:rPr>
        <w:t>،</w:t>
      </w:r>
      <w:r w:rsidRPr="00A52585">
        <w:rPr>
          <w:rFonts w:hint="cs"/>
          <w:rtl/>
        </w:rPr>
        <w:t xml:space="preserve"> لأنه- تعالى - خالق الزمان والمكان</w:t>
      </w:r>
      <w:r w:rsidR="0002035C" w:rsidRPr="00A52585">
        <w:rPr>
          <w:rFonts w:hint="cs"/>
          <w:rtl/>
        </w:rPr>
        <w:t>)</w:t>
      </w:r>
      <w:r w:rsidRPr="00A52585">
        <w:rPr>
          <w:rFonts w:hint="cs"/>
          <w:rtl/>
        </w:rPr>
        <w:t xml:space="preserve"> المدخل (3</w:t>
      </w:r>
      <w:r w:rsidR="0002035C" w:rsidRPr="00A52585">
        <w:rPr>
          <w:rFonts w:hint="cs"/>
          <w:rtl/>
        </w:rPr>
        <w:t xml:space="preserve">: </w:t>
      </w:r>
      <w:r w:rsidRPr="00A52585">
        <w:rPr>
          <w:rFonts w:hint="cs"/>
          <w:rtl/>
        </w:rPr>
        <w:t>181)</w:t>
      </w:r>
      <w:r w:rsidR="00DB731D" w:rsidRPr="00A52585">
        <w:rPr>
          <w:rFonts w:hint="cs"/>
          <w:rtl/>
        </w:rPr>
        <w:t>،</w:t>
      </w:r>
      <w:r w:rsidR="0002035C" w:rsidRPr="00A52585">
        <w:rPr>
          <w:rFonts w:hint="cs"/>
          <w:rtl/>
        </w:rPr>
        <w:t xml:space="preserve"> </w:t>
      </w:r>
      <w:r w:rsidRPr="00A52585">
        <w:rPr>
          <w:rFonts w:hint="cs"/>
          <w:rtl/>
        </w:rPr>
        <w:t>123- قال المفسّر علي بن محمد المعروف بالخازن (741 هـ)</w:t>
      </w:r>
      <w:r w:rsidR="0002035C" w:rsidRPr="00A52585">
        <w:rPr>
          <w:rFonts w:hint="cs"/>
          <w:rtl/>
        </w:rPr>
        <w:t xml:space="preserve">: </w:t>
      </w:r>
      <w:r w:rsidRPr="00A52585">
        <w:rPr>
          <w:rFonts w:hint="cs"/>
          <w:rtl/>
        </w:rPr>
        <w:t xml:space="preserve">إن الشيخ فخر الدين </w:t>
      </w:r>
      <w:proofErr w:type="spellStart"/>
      <w:r w:rsidRPr="00A52585">
        <w:rPr>
          <w:rFonts w:hint="cs"/>
          <w:rtl/>
        </w:rPr>
        <w:t>الرازى</w:t>
      </w:r>
      <w:proofErr w:type="spellEnd"/>
      <w:r w:rsidRPr="00A52585">
        <w:rPr>
          <w:rFonts w:hint="cs"/>
          <w:rtl/>
        </w:rPr>
        <w:t xml:space="preserve"> ذكر الدلائل العقلية والسمعية على أنه لا يمكن حمل قوله تعالى</w:t>
      </w:r>
      <w:r w:rsidR="0002035C" w:rsidRPr="00A52585">
        <w:rPr>
          <w:rFonts w:hint="cs"/>
          <w:rtl/>
        </w:rPr>
        <w:t>:</w:t>
      </w:r>
      <w:r w:rsidRPr="00A52585">
        <w:rPr>
          <w:rFonts w:hint="cs"/>
          <w:rtl/>
        </w:rPr>
        <w:t>" الرَّحْمَنُ عَلَى الْعَرْشِ اسْتَوَى " على الجلوس والاستقرار وشغل المكان والحيّز</w:t>
      </w:r>
      <w:r w:rsidR="00DB731D" w:rsidRPr="00A52585">
        <w:rPr>
          <w:rFonts w:hint="cs"/>
          <w:rtl/>
        </w:rPr>
        <w:t>،</w:t>
      </w:r>
      <w:r w:rsidRPr="00A52585">
        <w:rPr>
          <w:rFonts w:hint="cs"/>
          <w:rtl/>
        </w:rPr>
        <w:t xml:space="preserve"> وقد أصدر الملك الناصر محمد بن </w:t>
      </w:r>
      <w:proofErr w:type="spellStart"/>
      <w:r w:rsidRPr="00A52585">
        <w:rPr>
          <w:rFonts w:hint="cs"/>
          <w:rtl/>
        </w:rPr>
        <w:t>قلاون</w:t>
      </w:r>
      <w:proofErr w:type="spellEnd"/>
      <w:r w:rsidRPr="00A52585">
        <w:rPr>
          <w:rFonts w:hint="cs"/>
          <w:rtl/>
        </w:rPr>
        <w:t xml:space="preserve"> (4) (741 هـ) في سنة خمس وسبعمائة مرسوما يحذر فيه من عقيدة ابن تيمية الزائغة المتضمنة</w:t>
      </w:r>
      <w:r w:rsidR="00897A24" w:rsidRPr="00A52585">
        <w:rPr>
          <w:rFonts w:hint="cs"/>
          <w:rtl/>
        </w:rPr>
        <w:t>.</w:t>
      </w:r>
      <w:r w:rsidRPr="00A52585">
        <w:rPr>
          <w:rFonts w:hint="cs"/>
          <w:rtl/>
        </w:rPr>
        <w:t xml:space="preserve"> للتشبيه والتجسيم وأمر بقراءة هذا المرسوم على المنابر في مصر والشام بعد أن عقد له مجلس شرعي حضره قضاه الإسلام وحكام الأنام وعلماء الدين وفقهاء المسلمين واتفقوا على إنكار ما كان يدعو إليه من إثبات الحيز والمكان والجهة في حق الله تعالى. ومما جاء في هذا المرسوم الذي قُرِأ على مسمع من العلماء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وبلغنا أنه كان استتيب مرارّا فيما تقدم، وأخره الشرع الشريف لما تعرَّض لذلك وأقدم، ثم عاد بعد منعه، ولم تدخل تلك النواهي في سمعه وصح ذلك في مجلس الحاكم المالكي حكم الشرع الشريف أن يسجن هذا المذكور وأن يمنع من التصرف والظهور، ويكتب مرسومنا هذا بأن لا يسلك أحد ما سلكه المذكور من هذه المسالك، وينهى عن التشبيه في اعتقاد مثل ذلك</w:t>
      </w:r>
      <w:r w:rsidR="00DB731D" w:rsidRPr="00A52585">
        <w:rPr>
          <w:rFonts w:hint="cs"/>
          <w:rtl/>
        </w:rPr>
        <w:t>،</w:t>
      </w:r>
      <w:r w:rsidRPr="00A52585">
        <w:rPr>
          <w:rFonts w:hint="cs"/>
          <w:rtl/>
        </w:rPr>
        <w:t xml:space="preserve"> أو يعود له في هذا القول متبعاً</w:t>
      </w:r>
      <w:r w:rsidR="00DB731D" w:rsidRPr="00A52585">
        <w:rPr>
          <w:rFonts w:hint="cs"/>
          <w:rtl/>
        </w:rPr>
        <w:t>،</w:t>
      </w:r>
      <w:r w:rsidRPr="00A52585">
        <w:rPr>
          <w:rFonts w:hint="cs"/>
          <w:rtl/>
        </w:rPr>
        <w:t xml:space="preserve"> أو لهذه الألفاظ مستمعا</w:t>
      </w:r>
      <w:r w:rsidR="00DB731D" w:rsidRPr="00A52585">
        <w:rPr>
          <w:rFonts w:hint="cs"/>
          <w:rtl/>
        </w:rPr>
        <w:t>،</w:t>
      </w:r>
      <w:r w:rsidRPr="00A52585">
        <w:rPr>
          <w:rFonts w:hint="cs"/>
          <w:rtl/>
        </w:rPr>
        <w:t xml:space="preserve"> أو يسري في التشبيه مَسْراه</w:t>
      </w:r>
      <w:r w:rsidR="00DB731D" w:rsidRPr="00A52585">
        <w:rPr>
          <w:rFonts w:hint="cs"/>
          <w:rtl/>
        </w:rPr>
        <w:t>،</w:t>
      </w:r>
      <w:r w:rsidRPr="00A52585">
        <w:rPr>
          <w:rFonts w:hint="cs"/>
          <w:rtl/>
        </w:rPr>
        <w:t xml:space="preserve"> أو يفوه بجهة العلو بما فاه</w:t>
      </w:r>
      <w:r w:rsidR="00DB731D" w:rsidRPr="00A52585">
        <w:rPr>
          <w:rFonts w:hint="cs"/>
          <w:rtl/>
        </w:rPr>
        <w:t>،</w:t>
      </w:r>
      <w:r w:rsidRPr="00A52585">
        <w:rPr>
          <w:rFonts w:hint="cs"/>
          <w:rtl/>
        </w:rPr>
        <w:t xml:space="preserve"> أو يتحدَّث أحد بحرف أو صوت، أو يفوه بذلك إلى الموت، أو يتفوه بتجسيم، أو ينطق بلفظ في ذلك غير مستقيم، أو يخرج عن رأي الأئمة، أو ينفرد به عن علماء الأمة، أو يُحيِّزَ الله سبحانه وتعالى في جهة أو يتعرض إلى حيث وكيف، فليس لمعتقد هذا إلا السيف</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انظر تفسير الخازن (2</w:t>
      </w:r>
      <w:r w:rsidR="0002035C" w:rsidRPr="00A52585">
        <w:rPr>
          <w:rFonts w:hint="cs"/>
          <w:rtl/>
        </w:rPr>
        <w:t xml:space="preserve">: </w:t>
      </w:r>
      <w:r w:rsidRPr="00A52585">
        <w:rPr>
          <w:rFonts w:hint="cs"/>
          <w:rtl/>
        </w:rPr>
        <w:t>238).</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والمرسوم هذا مأخوذ من كتاب "نجم المهتدي " لابن المعلم القرشي (مخطوط)</w:t>
      </w:r>
      <w:r w:rsidR="00DB731D" w:rsidRPr="00A52585">
        <w:rPr>
          <w:rFonts w:hint="cs"/>
          <w:rtl/>
        </w:rPr>
        <w:t>،</w:t>
      </w:r>
      <w:r w:rsidR="0002035C" w:rsidRPr="00A52585">
        <w:rPr>
          <w:rFonts w:hint="cs"/>
          <w:rtl/>
        </w:rPr>
        <w:t xml:space="preserve"> </w:t>
      </w:r>
      <w:r w:rsidRPr="00A52585">
        <w:rPr>
          <w:rFonts w:hint="cs"/>
          <w:rtl/>
        </w:rPr>
        <w:t>124- وقال الشيخ حسين بن محمد الطيبي (743 هـ) عند شرح حديث الجارية ما نصه</w:t>
      </w:r>
      <w:r w:rsidR="0002035C" w:rsidRPr="00A52585">
        <w:rPr>
          <w:rFonts w:hint="cs"/>
          <w:rtl/>
        </w:rPr>
        <w:t>: (</w:t>
      </w:r>
      <w:r w:rsidRPr="00A52585">
        <w:rPr>
          <w:rFonts w:hint="cs"/>
          <w:rtl/>
        </w:rPr>
        <w:t>لم يُرِد - أي الرسول - السؤال عن مكانه - أي الله - فإنه منزه عنه</w:t>
      </w:r>
      <w:r w:rsidR="0002035C" w:rsidRPr="00A52585">
        <w:rPr>
          <w:rFonts w:hint="cs"/>
          <w:rtl/>
        </w:rPr>
        <w:t>)</w:t>
      </w:r>
      <w:r w:rsidRPr="00A52585">
        <w:rPr>
          <w:rFonts w:hint="cs"/>
          <w:rtl/>
        </w:rPr>
        <w:t xml:space="preserve"> شرح الطيبي على مشكاة المصابيح (6</w:t>
      </w:r>
      <w:r w:rsidR="0002035C" w:rsidRPr="00A52585">
        <w:rPr>
          <w:rFonts w:hint="cs"/>
          <w:rtl/>
        </w:rPr>
        <w:t xml:space="preserve">: </w:t>
      </w:r>
      <w:r w:rsidRPr="00A52585">
        <w:rPr>
          <w:rFonts w:hint="cs"/>
          <w:rtl/>
        </w:rPr>
        <w:lastRenderedPageBreak/>
        <w:t>340)</w:t>
      </w:r>
      <w:r w:rsidR="00DB731D" w:rsidRPr="00A52585">
        <w:rPr>
          <w:rFonts w:hint="cs"/>
          <w:rtl/>
        </w:rPr>
        <w:t>،</w:t>
      </w:r>
      <w:r w:rsidR="0002035C" w:rsidRPr="00A52585">
        <w:rPr>
          <w:rFonts w:hint="cs"/>
          <w:rtl/>
        </w:rPr>
        <w:t xml:space="preserve"> </w:t>
      </w:r>
      <w:r w:rsidRPr="00A52585">
        <w:rPr>
          <w:rFonts w:hint="cs"/>
          <w:rtl/>
        </w:rPr>
        <w:t>125- وقال المفسِّر ابي حيان الأندلسي (745 هـ) عند تفسير قوله تعالى</w:t>
      </w:r>
      <w:r w:rsidR="0002035C" w:rsidRPr="00A52585">
        <w:rPr>
          <w:rFonts w:hint="cs"/>
          <w:rtl/>
        </w:rPr>
        <w:t>:</w:t>
      </w:r>
      <w:r w:rsidRPr="00A52585">
        <w:rPr>
          <w:rFonts w:hint="cs"/>
          <w:rtl/>
        </w:rPr>
        <w:t>" وَلَهُ مَن فِي السَّمَاوَاتِ وَالْأَرْضِ وَمَنْ عِندَهُ لَا يَسْتَكْبِرُونَ عَنْ عِبَادَتِه "(19)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وعند هنا لا يراد بها ظرف المكان لأنه تعالى منزه عن المكان، بل المعنى شرف المكانة وعلو المنزلة</w:t>
      </w:r>
      <w:r w:rsidR="0002035C" w:rsidRPr="00A52585">
        <w:rPr>
          <w:rFonts w:hint="cs"/>
          <w:rtl/>
        </w:rPr>
        <w:t>)</w:t>
      </w:r>
      <w:r w:rsidRPr="00A52585">
        <w:rPr>
          <w:rFonts w:hint="cs"/>
          <w:rtl/>
        </w:rPr>
        <w:t xml:space="preserve"> البحر المحيط سورة الأنبياء</w:t>
      </w:r>
      <w:r w:rsidR="0002035C" w:rsidRPr="00A52585">
        <w:rPr>
          <w:rFonts w:hint="cs"/>
          <w:rtl/>
        </w:rPr>
        <w:t xml:space="preserve">: </w:t>
      </w:r>
      <w:r w:rsidRPr="00A52585">
        <w:rPr>
          <w:rFonts w:hint="cs"/>
          <w:rtl/>
        </w:rPr>
        <w:t>ءاية 19 (6</w:t>
      </w:r>
      <w:r w:rsidR="0002035C" w:rsidRPr="00A52585">
        <w:rPr>
          <w:rFonts w:hint="cs"/>
          <w:rtl/>
        </w:rPr>
        <w:t xml:space="preserve">: </w:t>
      </w:r>
      <w:r w:rsidRPr="00A52585">
        <w:rPr>
          <w:rFonts w:hint="cs"/>
          <w:rtl/>
        </w:rPr>
        <w:t>302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126-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قام البرهان العقلي على أنه تعالى ليس بمتحيز في جهة</w:t>
      </w:r>
      <w:r w:rsidR="0002035C" w:rsidRPr="00A52585">
        <w:rPr>
          <w:rFonts w:hint="cs"/>
          <w:rtl/>
        </w:rPr>
        <w:t>)</w:t>
      </w:r>
      <w:r w:rsidRPr="00A52585">
        <w:rPr>
          <w:rFonts w:hint="cs"/>
          <w:rtl/>
        </w:rPr>
        <w:t xml:space="preserve"> البحر المحيط</w:t>
      </w:r>
      <w:r w:rsidR="0002035C" w:rsidRPr="00A52585">
        <w:rPr>
          <w:rFonts w:hint="cs"/>
          <w:rtl/>
        </w:rPr>
        <w:t>:</w:t>
      </w:r>
      <w:r w:rsidRPr="00A52585">
        <w:rPr>
          <w:rFonts w:hint="cs"/>
          <w:rtl/>
        </w:rPr>
        <w:t xml:space="preserve"> (سورة الملك</w:t>
      </w:r>
      <w:r w:rsidR="0002035C" w:rsidRPr="00A52585">
        <w:rPr>
          <w:rFonts w:hint="cs"/>
          <w:rtl/>
        </w:rPr>
        <w:t xml:space="preserve">: </w:t>
      </w:r>
      <w:r w:rsidRPr="00A52585">
        <w:rPr>
          <w:rFonts w:hint="cs"/>
          <w:rtl/>
        </w:rPr>
        <w:t>ءاية 16- 8</w:t>
      </w:r>
      <w:r w:rsidR="0002035C" w:rsidRPr="00A52585">
        <w:rPr>
          <w:rFonts w:hint="cs"/>
          <w:rtl/>
        </w:rPr>
        <w:t xml:space="preserve">: </w:t>
      </w:r>
      <w:r w:rsidRPr="00A52585">
        <w:rPr>
          <w:rFonts w:hint="cs"/>
          <w:rtl/>
        </w:rPr>
        <w:t>302)</w:t>
      </w:r>
      <w:r w:rsidR="00DB731D" w:rsidRPr="00A52585">
        <w:rPr>
          <w:rFonts w:hint="cs"/>
          <w:rtl/>
        </w:rPr>
        <w:t>،</w:t>
      </w:r>
      <w:r w:rsidR="0002035C" w:rsidRPr="00A52585">
        <w:rPr>
          <w:rFonts w:hint="cs"/>
          <w:rtl/>
        </w:rPr>
        <w:t xml:space="preserve"> </w:t>
      </w:r>
      <w:r w:rsidRPr="00A52585">
        <w:rPr>
          <w:rFonts w:hint="cs"/>
          <w:rtl/>
        </w:rPr>
        <w:t>127-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إنه تعالى ليس في جهة</w:t>
      </w:r>
      <w:r w:rsidR="0002035C" w:rsidRPr="00A52585">
        <w:rPr>
          <w:rFonts w:hint="cs"/>
          <w:rtl/>
        </w:rPr>
        <w:t>)</w:t>
      </w:r>
      <w:r w:rsidRPr="00A52585">
        <w:rPr>
          <w:rFonts w:hint="cs"/>
          <w:rtl/>
        </w:rPr>
        <w:t xml:space="preserve"> البحر المحيط</w:t>
      </w:r>
      <w:r w:rsidR="0002035C" w:rsidRPr="00A52585">
        <w:rPr>
          <w:rFonts w:hint="cs"/>
          <w:rtl/>
        </w:rPr>
        <w:t>:</w:t>
      </w:r>
      <w:r w:rsidRPr="00A52585">
        <w:rPr>
          <w:rFonts w:hint="cs"/>
          <w:rtl/>
        </w:rPr>
        <w:t xml:space="preserve"> (سورة فاطر</w:t>
      </w:r>
      <w:r w:rsidR="0002035C" w:rsidRPr="00A52585">
        <w:rPr>
          <w:rFonts w:hint="cs"/>
          <w:rtl/>
        </w:rPr>
        <w:t xml:space="preserve">: </w:t>
      </w:r>
      <w:r w:rsidRPr="00A52585">
        <w:rPr>
          <w:rFonts w:hint="cs"/>
          <w:rtl/>
        </w:rPr>
        <w:t>ءاية 10- جزء 7</w:t>
      </w:r>
      <w:r w:rsidR="0002035C" w:rsidRPr="00A52585">
        <w:rPr>
          <w:rFonts w:hint="cs"/>
          <w:rtl/>
        </w:rPr>
        <w:t xml:space="preserve">: </w:t>
      </w:r>
      <w:r w:rsidRPr="00A52585">
        <w:rPr>
          <w:rFonts w:hint="cs"/>
          <w:rtl/>
        </w:rPr>
        <w:t>ص 303)</w:t>
      </w:r>
      <w:r w:rsidR="00DB731D" w:rsidRPr="00A52585">
        <w:rPr>
          <w:rFonts w:hint="cs"/>
          <w:rtl/>
        </w:rPr>
        <w:t>،</w:t>
      </w:r>
      <w:r w:rsidR="0002035C" w:rsidRPr="00A52585">
        <w:rPr>
          <w:rFonts w:hint="cs"/>
          <w:rtl/>
        </w:rPr>
        <w:t xml:space="preserve"> </w:t>
      </w:r>
      <w:r w:rsidRPr="00A52585">
        <w:rPr>
          <w:rFonts w:hint="cs"/>
          <w:rtl/>
        </w:rPr>
        <w:t xml:space="preserve">128- وقال الإمام المحقق القاضي عضد الدين عبد الرحمن </w:t>
      </w:r>
      <w:proofErr w:type="spellStart"/>
      <w:r w:rsidRPr="00A52585">
        <w:rPr>
          <w:rFonts w:hint="cs"/>
          <w:rtl/>
        </w:rPr>
        <w:t>الإيجي</w:t>
      </w:r>
      <w:proofErr w:type="spellEnd"/>
      <w:r w:rsidRPr="00A52585">
        <w:rPr>
          <w:rFonts w:hint="cs"/>
          <w:rtl/>
        </w:rPr>
        <w:t xml:space="preserve"> (756 هـ) في المواقف في الجزء الثالث صفحة 16 في المرصد الثاني في تنزيهه تعالى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المقصد الأول أنه تعالى ليس في جهة من الجهات ولا في مكان من الأمكنة وخالف فيه المشبهة وخصصوه بجهة الفوق " إلى أن قال</w:t>
      </w:r>
      <w:r w:rsidR="0002035C" w:rsidRPr="00A52585">
        <w:rPr>
          <w:rFonts w:hint="cs"/>
          <w:rtl/>
        </w:rPr>
        <w:t>:</w:t>
      </w:r>
      <w:r w:rsidRPr="00A52585">
        <w:rPr>
          <w:rFonts w:hint="cs"/>
          <w:rtl/>
        </w:rPr>
        <w:t xml:space="preserve"> "لنا في إثبات هذا المطلوب وجوه (الأول) لو كان الرب تعالى. في مكان أو في جهة لزم قدم المكان أو الجهة وقد برهنّا أن لا قديم سوى الله تعالى وعليه الاتفاق من المتخاصمين (الثاني) المتمكن محتاج إلى مكان بحيث يستحيل وجوده بدونه والمكان مستغن عن المتمكن لجواز الخلاء فيلزم إمكان الواجب ووجوب المكان وكلاهما باطل (الثالث) لو كان في مكان فإما أن يكون في بعض الأحياز أو في جميعها وكلاهما باطل (أما) الأول فلتساوي الأحياز في أنفسها لأن المكان عند المتكلمين هو الخلاء المتشابه وتساوى نسبته أي نسبة ذات الواجب إليها وحينئذ فيكون اختصاصه ببعضها دون </w:t>
      </w:r>
      <w:proofErr w:type="spellStart"/>
      <w:r w:rsidRPr="00A52585">
        <w:rPr>
          <w:rFonts w:hint="cs"/>
          <w:rtl/>
        </w:rPr>
        <w:t>بعضءاخر</w:t>
      </w:r>
      <w:proofErr w:type="spellEnd"/>
      <w:r w:rsidRPr="00A52585">
        <w:rPr>
          <w:rFonts w:hint="cs"/>
          <w:rtl/>
        </w:rPr>
        <w:t xml:space="preserve"> منها ترجيحا بلا مرجـح إن لم يكن هناك مخصص من خارج، أو يلزم الاحتياج أي احتجاج الواجب في تحيزه الذي لا تنفك ذاته عنه إلى الغير إن كان هناك مخصص خارجي (وأما) الثاني وهو أن يكون في جميع الأحياز فلأنه يلزم تداخل المتحيزين لأن بعض الأحياز مشغول بالأجسام وأنه أي تداخل المتحيزين مطلقا محال بالضرورة، وأيضا فيلزم على التقدير الثاني مخالطته لقاذورات العالم،. تعالى عن ذلك علوا كبيرا (الرابع) لو كان متحيزا لكان جوهرا لاستحالة كون الواجب تعالى عرَضا وإذا كان جوهرا فإما أن لا ينقسم أصلا أو ينقسم وكلاهما باطل (أما) الأول فلأنه يكون حينئذ جزءا لا يتجزأ وهو أحقر الأشياء، تعالى الله عن ذلك (وأما) الثاني فلأنه يكون جسما وكل جسم مركب وقد مرّ أن التركيب الخارجي ينافي الوجوب الذاتي، وأيضا فقد بيَّنا أن كل جسم محدث فيلزم حدوث الواجب</w:t>
      </w:r>
      <w:r w:rsidR="0002035C" w:rsidRPr="00A52585">
        <w:rPr>
          <w:rFonts w:hint="cs"/>
          <w:rtl/>
        </w:rPr>
        <w:t>)</w:t>
      </w:r>
      <w:r w:rsidRPr="00A52585">
        <w:rPr>
          <w:rFonts w:hint="cs"/>
          <w:rtl/>
        </w:rPr>
        <w:t xml:space="preserve"> ذكره محمود خطاب السبكي في </w:t>
      </w:r>
      <w:r w:rsidR="0002035C" w:rsidRPr="00A52585">
        <w:rPr>
          <w:rFonts w:hint="cs"/>
          <w:rtl/>
        </w:rPr>
        <w:t>(</w:t>
      </w:r>
      <w:r w:rsidRPr="00A52585">
        <w:rPr>
          <w:rFonts w:hint="cs"/>
          <w:rtl/>
        </w:rPr>
        <w:t>إتحاف الكائنات (ص 130 -131)</w:t>
      </w:r>
      <w:r w:rsidR="00DB731D" w:rsidRPr="00A52585">
        <w:rPr>
          <w:rFonts w:hint="cs"/>
          <w:rtl/>
        </w:rPr>
        <w:t>،</w:t>
      </w:r>
      <w:r w:rsidR="0002035C" w:rsidRPr="00A52585">
        <w:rPr>
          <w:rFonts w:hint="cs"/>
          <w:rtl/>
        </w:rPr>
        <w:t xml:space="preserve"> </w:t>
      </w:r>
      <w:r w:rsidRPr="00A52585">
        <w:rPr>
          <w:rFonts w:hint="cs"/>
          <w:rtl/>
        </w:rPr>
        <w:t xml:space="preserve">129- وكان العلامة الحافظ الفقيه المجتهد الأصولي الشيخ تقي الدين علي ابن عبد الكافي السبكي الشافعي الأشعري (756 هـ) ينزّه الله عن </w:t>
      </w:r>
      <w:r w:rsidRPr="00A52585">
        <w:rPr>
          <w:rFonts w:hint="cs"/>
          <w:rtl/>
        </w:rPr>
        <w:lastRenderedPageBreak/>
        <w:t>المكان ورد على المجسمة الذين ينسبون المكان والجهة لله تعالى</w:t>
      </w:r>
      <w:r w:rsidR="00DB731D" w:rsidRPr="00A52585">
        <w:rPr>
          <w:rFonts w:hint="cs"/>
          <w:rtl/>
        </w:rPr>
        <w:t>،</w:t>
      </w:r>
      <w:r w:rsidRPr="00A52585">
        <w:rPr>
          <w:rFonts w:hint="cs"/>
          <w:rtl/>
        </w:rPr>
        <w:t xml:space="preserve"> ذكر ذلك في رسالته </w:t>
      </w:r>
      <w:r w:rsidR="0002035C" w:rsidRPr="00A52585">
        <w:rPr>
          <w:rFonts w:hint="cs"/>
          <w:rtl/>
        </w:rPr>
        <w:t>(</w:t>
      </w:r>
      <w:r w:rsidRPr="00A52585">
        <w:rPr>
          <w:rFonts w:hint="cs"/>
          <w:rtl/>
        </w:rPr>
        <w:t xml:space="preserve">السيف الصقيل في الرد على ابن </w:t>
      </w:r>
      <w:proofErr w:type="spellStart"/>
      <w:r w:rsidRPr="00A52585">
        <w:rPr>
          <w:rFonts w:hint="cs"/>
          <w:rtl/>
        </w:rPr>
        <w:t>زفيل</w:t>
      </w:r>
      <w:proofErr w:type="spellEnd"/>
      <w:r w:rsidR="0002035C" w:rsidRPr="00A52585">
        <w:rPr>
          <w:rFonts w:hint="cs"/>
          <w:rtl/>
        </w:rPr>
        <w:t>)</w:t>
      </w:r>
      <w:r w:rsidRPr="00A52585">
        <w:rPr>
          <w:rFonts w:hint="cs"/>
          <w:rtl/>
        </w:rPr>
        <w:t xml:space="preserve"> وهو ابن قيم الجوزية</w:t>
      </w:r>
      <w:r w:rsidR="00DB731D" w:rsidRPr="00A52585">
        <w:rPr>
          <w:rFonts w:hint="cs"/>
          <w:rtl/>
        </w:rPr>
        <w:t>،</w:t>
      </w:r>
      <w:r w:rsidRPr="00A52585">
        <w:rPr>
          <w:rFonts w:hint="cs"/>
          <w:rtl/>
        </w:rPr>
        <w:t xml:space="preserve"> فقال ما نصه</w:t>
      </w:r>
      <w:r w:rsidR="0002035C" w:rsidRPr="00A52585">
        <w:rPr>
          <w:rFonts w:hint="cs"/>
          <w:rtl/>
        </w:rPr>
        <w:t>: (</w:t>
      </w:r>
      <w:r w:rsidRPr="00A52585">
        <w:rPr>
          <w:rFonts w:hint="cs"/>
          <w:rtl/>
        </w:rPr>
        <w:t>ونحن نقطع أيضا بإجماعهم - أي رسل الله وأنبيائه - (على التنزيه)</w:t>
      </w:r>
      <w:r w:rsidR="00DB731D" w:rsidRPr="00A52585">
        <w:rPr>
          <w:rFonts w:hint="cs"/>
          <w:rtl/>
        </w:rPr>
        <w:t>،</w:t>
      </w:r>
      <w:r w:rsidRPr="00A52585">
        <w:rPr>
          <w:rFonts w:hint="cs"/>
          <w:rtl/>
        </w:rPr>
        <w:t xml:space="preserve"> أما يستحي من ينقل إجماع الرسل على إثبات الجهة والفوقية الحسية لله تعالى؟ وعلماء الشريعة ينكرونها</w:t>
      </w:r>
      <w:r w:rsidR="00897A24" w:rsidRPr="00A52585">
        <w:rPr>
          <w:rFonts w:hint="cs"/>
          <w:rtl/>
        </w:rPr>
        <w:t>.</w:t>
      </w:r>
      <w:r w:rsidRPr="00A52585">
        <w:rPr>
          <w:rFonts w:hint="cs"/>
          <w:rtl/>
        </w:rPr>
        <w:t xml:space="preserve"> أما تخاف منهم أن يقولوا له إنك كذبتَ على الرسل</w:t>
      </w:r>
      <w:r w:rsidR="0002035C" w:rsidRPr="00A52585">
        <w:rPr>
          <w:rFonts w:hint="cs"/>
          <w:rtl/>
        </w:rPr>
        <w:t>)</w:t>
      </w:r>
      <w:r w:rsidRPr="00A52585">
        <w:rPr>
          <w:rFonts w:hint="cs"/>
          <w:rtl/>
        </w:rPr>
        <w:t xml:space="preserve"> السيف الصقيل في الرد على ابن </w:t>
      </w:r>
      <w:proofErr w:type="spellStart"/>
      <w:r w:rsidRPr="00A52585">
        <w:rPr>
          <w:rFonts w:hint="cs"/>
          <w:rtl/>
        </w:rPr>
        <w:t>زفيل</w:t>
      </w:r>
      <w:proofErr w:type="spellEnd"/>
      <w:r w:rsidRPr="00A52585">
        <w:rPr>
          <w:rFonts w:hint="cs"/>
          <w:rtl/>
        </w:rPr>
        <w:t xml:space="preserve"> (ابن قيم الجوزية)</w:t>
      </w:r>
      <w:r w:rsidR="0002035C" w:rsidRPr="00A52585">
        <w:rPr>
          <w:rFonts w:hint="cs"/>
          <w:rtl/>
        </w:rPr>
        <w:t>:</w:t>
      </w:r>
      <w:r w:rsidRPr="00A52585">
        <w:rPr>
          <w:rFonts w:hint="cs"/>
          <w:rtl/>
        </w:rPr>
        <w:t xml:space="preserve"> (ص 105)</w:t>
      </w:r>
      <w:r w:rsidR="0002035C" w:rsidRPr="00A52585">
        <w:rPr>
          <w:rFonts w:hint="cs"/>
          <w:rtl/>
        </w:rPr>
        <w:t xml:space="preserve"> </w:t>
      </w:r>
      <w:r w:rsidRPr="00A52585">
        <w:rPr>
          <w:rFonts w:hint="cs"/>
          <w:rtl/>
        </w:rPr>
        <w:t>130- وكذا الحافظ صلاح الدين أبو سعيد خليل العلائي (761 هـ) كان على عقيدة أهل الحق في تنزيه الله عن المكان والجهة</w:t>
      </w:r>
      <w:r w:rsidR="00DB731D" w:rsidRPr="00A52585">
        <w:rPr>
          <w:rFonts w:hint="cs"/>
          <w:rtl/>
        </w:rPr>
        <w:t>،</w:t>
      </w:r>
      <w:r w:rsidRPr="00A52585">
        <w:rPr>
          <w:rFonts w:hint="cs"/>
          <w:rtl/>
        </w:rPr>
        <w:t xml:space="preserve"> فقد وقف على رسالة في العقيدة ألَّفها الشيخ أبو منصور فخر الدين بن عساكر وأثنى عليها بقوله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وهذه "العقيدةُ المرشدةُ" جرى قائلها على المنهاج القويم، والعَقْد المستقيم، وأصاب فيما نزَّه به العليَّ العظيم</w:t>
      </w:r>
      <w:r w:rsidR="0002035C" w:rsidRPr="00A52585">
        <w:rPr>
          <w:rFonts w:hint="cs"/>
          <w:rtl/>
        </w:rPr>
        <w:t>)</w:t>
      </w:r>
      <w:r w:rsidRPr="00A52585">
        <w:rPr>
          <w:rFonts w:hint="cs"/>
          <w:rtl/>
        </w:rPr>
        <w:t xml:space="preserve"> طبقات الشافعية الكبرى</w:t>
      </w:r>
      <w:r w:rsidR="0002035C" w:rsidRPr="00A52585">
        <w:rPr>
          <w:rFonts w:hint="cs"/>
          <w:rtl/>
        </w:rPr>
        <w:t>:</w:t>
      </w:r>
      <w:r w:rsidRPr="00A52585">
        <w:rPr>
          <w:rFonts w:hint="cs"/>
          <w:rtl/>
        </w:rPr>
        <w:t xml:space="preserve"> ترجمة عبد الرحمن بن محمد بن الحسن بن هبة الله (8</w:t>
      </w:r>
      <w:r w:rsidR="0002035C" w:rsidRPr="00A52585">
        <w:rPr>
          <w:rFonts w:hint="cs"/>
          <w:rtl/>
        </w:rPr>
        <w:t xml:space="preserve">: </w:t>
      </w:r>
      <w:r w:rsidRPr="00A52585">
        <w:rPr>
          <w:rFonts w:hint="cs"/>
          <w:rtl/>
        </w:rPr>
        <w:t>185)</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قال تاج الدين السبكي عن هذا الحافظ العلائي</w:t>
      </w:r>
      <w:r w:rsidR="0002035C" w:rsidRPr="00A52585">
        <w:rPr>
          <w:rFonts w:hint="cs"/>
          <w:rtl/>
        </w:rPr>
        <w:t>:</w:t>
      </w:r>
      <w:r w:rsidRPr="00A52585">
        <w:rPr>
          <w:rFonts w:hint="cs"/>
          <w:rtl/>
        </w:rPr>
        <w:t xml:space="preserve"> (كان حافظا ثبتا ثقة عارفا بأسماء الرجال والعلل والمتون، فقيها متكلما أديبا شاعرا ناظما ناثرا أشعريا صحيح العقيدة سنيا، لم يخلف بعده في الحديث مثله) اهـ، طبقات. ا لشافعية (10</w:t>
      </w:r>
      <w:r w:rsidR="0002035C" w:rsidRPr="00A52585">
        <w:rPr>
          <w:rFonts w:hint="cs"/>
          <w:rtl/>
        </w:rPr>
        <w:t xml:space="preserve">: </w:t>
      </w:r>
      <w:r w:rsidRPr="00A52585">
        <w:rPr>
          <w:rFonts w:hint="cs"/>
          <w:rtl/>
        </w:rPr>
        <w:t>36) فتأمل</w:t>
      </w:r>
      <w:r w:rsidR="00DB731D" w:rsidRPr="00A52585">
        <w:rPr>
          <w:rFonts w:hint="cs"/>
          <w:rtl/>
        </w:rPr>
        <w:t>،</w:t>
      </w:r>
      <w:r w:rsidR="0002035C" w:rsidRPr="00A52585">
        <w:rPr>
          <w:rFonts w:hint="cs"/>
          <w:rtl/>
        </w:rPr>
        <w:t xml:space="preserve"> </w:t>
      </w:r>
      <w:r w:rsidRPr="00A52585">
        <w:rPr>
          <w:rFonts w:hint="cs"/>
          <w:rtl/>
        </w:rPr>
        <w:t>131- وكذا الشيخ تاج الدين أبو نصر عبد الوهاب بن علي بن عبد الكافي السبكي الشافعي الأشعري (771 هـ) كان ينزه الله عن المكان والجهة</w:t>
      </w:r>
      <w:r w:rsidR="00DB731D" w:rsidRPr="00A52585">
        <w:rPr>
          <w:rFonts w:hint="cs"/>
          <w:rtl/>
        </w:rPr>
        <w:t>،</w:t>
      </w:r>
      <w:r w:rsidRPr="00A52585">
        <w:rPr>
          <w:rFonts w:hint="cs"/>
          <w:rtl/>
        </w:rPr>
        <w:t xml:space="preserve"> فقال ما نصه عن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حيٌّ عـليـمٌ قـادرٌ مـتكـلـمٌ عـال ولا نـعـنـي عُـلُـوَّ مـكـان</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"وإلُهنا لا شيء يُشبُههُ ولـيس بمشبه شـيئا من الـحِـدْثـِانِ</w:t>
      </w:r>
      <w:r w:rsidR="00DB731D" w:rsidRPr="00A52585">
        <w:rPr>
          <w:rFonts w:hint="cs"/>
          <w:rtl/>
        </w:rPr>
        <w:t>،</w:t>
      </w:r>
      <w:r w:rsidRPr="00A52585">
        <w:rPr>
          <w:rFonts w:hint="cs"/>
          <w:rtl/>
        </w:rPr>
        <w:t xml:space="preserve"> قد كـان ما معه قـديما قـطُّ من شيء ولـم يَـبْـرح بـلا أعـوان</w:t>
      </w:r>
      <w:r w:rsidR="00DB731D" w:rsidRPr="00A52585">
        <w:rPr>
          <w:rFonts w:hint="cs"/>
          <w:rtl/>
        </w:rPr>
        <w:t>،</w:t>
      </w:r>
      <w:r w:rsidRPr="00A52585">
        <w:rPr>
          <w:rFonts w:hint="cs"/>
          <w:rtl/>
        </w:rPr>
        <w:t xml:space="preserve"> خلق الجهات مع الزمان مع المكان الكـل مخـلوق على الإمكـان</w:t>
      </w:r>
      <w:r w:rsidR="00DB731D" w:rsidRPr="00A52585">
        <w:rPr>
          <w:rFonts w:hint="cs"/>
          <w:rtl/>
        </w:rPr>
        <w:t>،</w:t>
      </w:r>
      <w:r w:rsidRPr="00A52585">
        <w:rPr>
          <w:rFonts w:hint="cs"/>
          <w:rtl/>
        </w:rPr>
        <w:t xml:space="preserve"> ما إن تحُـلُّ به الحـوادثُ لا ولا كلا وليس يحُلُّ في الجسمان</w:t>
      </w:r>
      <w:r w:rsidR="0002035C" w:rsidRPr="00A52585">
        <w:rPr>
          <w:rFonts w:hint="cs"/>
          <w:rtl/>
        </w:rPr>
        <w:t>)</w:t>
      </w:r>
      <w:r w:rsidRPr="00A52585">
        <w:rPr>
          <w:rFonts w:hint="cs"/>
          <w:rtl/>
        </w:rPr>
        <w:t xml:space="preserve"> المصدر السابق</w:t>
      </w:r>
      <w:r w:rsidR="0002035C" w:rsidRPr="00A52585">
        <w:rPr>
          <w:rFonts w:hint="cs"/>
          <w:rtl/>
        </w:rPr>
        <w:t>:</w:t>
      </w:r>
      <w:r w:rsidRPr="00A52585">
        <w:rPr>
          <w:rFonts w:hint="cs"/>
          <w:rtl/>
        </w:rPr>
        <w:t xml:space="preserve"> ترجمة أبي الحسن علي بن إسماعيل الأشعري (3</w:t>
      </w:r>
      <w:r w:rsidR="0002035C" w:rsidRPr="00A52585">
        <w:rPr>
          <w:rFonts w:hint="cs"/>
          <w:rtl/>
        </w:rPr>
        <w:t>:</w:t>
      </w:r>
      <w:r w:rsidRPr="00A52585">
        <w:rPr>
          <w:rFonts w:hint="cs"/>
          <w:rtl/>
        </w:rPr>
        <w:t xml:space="preserve"> 381 - 382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132- وقال أبو إسحاق إبراهيم بن موسى الشاطبي الأندلسي (790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سألني الشيخ الاستاذ الكبير الشهير أبو سعيد فرج بن قاسم ابن لُب التغلبي (782 هـ) أدام الله أيامه عن قول ابن مالك في "تسهيل الفوائد" في باب اسم الإشارة</w:t>
      </w:r>
      <w:r w:rsidR="0002035C" w:rsidRPr="00A52585">
        <w:rPr>
          <w:rFonts w:hint="cs"/>
          <w:rtl/>
        </w:rPr>
        <w:t>:</w:t>
      </w:r>
      <w:r w:rsidRPr="00A52585">
        <w:rPr>
          <w:rFonts w:hint="cs"/>
          <w:rtl/>
        </w:rPr>
        <w:t xml:space="preserve"> " وقد يغني ذو البعد عن ذي القرب لعظمة المشير أو المشار إليه " فقال</w:t>
      </w:r>
      <w:r w:rsidR="0002035C" w:rsidRPr="00A52585">
        <w:rPr>
          <w:rFonts w:hint="cs"/>
          <w:rtl/>
        </w:rPr>
        <w:t>:</w:t>
      </w:r>
      <w:r w:rsidRPr="00A52585">
        <w:rPr>
          <w:rFonts w:hint="cs"/>
          <w:rtl/>
        </w:rPr>
        <w:t xml:space="preserve"> إن المؤلف مثل عظمة المشير في الشرح بقوله تعالى</w:t>
      </w:r>
      <w:r w:rsidR="0002035C" w:rsidRPr="00A52585">
        <w:rPr>
          <w:rFonts w:hint="cs"/>
          <w:rtl/>
        </w:rPr>
        <w:t>:</w:t>
      </w:r>
      <w:r w:rsidRPr="00A52585">
        <w:rPr>
          <w:rFonts w:hint="cs"/>
          <w:rtl/>
        </w:rPr>
        <w:t>" وَمَا تِلْكَ بِيَمِينِكَ يَا مُوسَى (17) سورة طه</w:t>
      </w:r>
      <w:r w:rsidR="00DB731D" w:rsidRPr="00A52585">
        <w:rPr>
          <w:rFonts w:hint="cs"/>
          <w:rtl/>
        </w:rPr>
        <w:t>،</w:t>
      </w:r>
      <w:r w:rsidRPr="00A52585">
        <w:rPr>
          <w:rFonts w:hint="cs"/>
          <w:rtl/>
        </w:rPr>
        <w:t xml:space="preserve"> ولم يبين ما وجه ذلك</w:t>
      </w:r>
      <w:r w:rsidR="00DB731D" w:rsidRPr="00A52585">
        <w:rPr>
          <w:rFonts w:hint="cs"/>
          <w:rtl/>
        </w:rPr>
        <w:t>،</w:t>
      </w:r>
      <w:r w:rsidRPr="00A52585">
        <w:rPr>
          <w:rFonts w:hint="cs"/>
          <w:rtl/>
        </w:rPr>
        <w:t xml:space="preserve"> فما وجهه؟ ففكرت فلم أجد جوابا</w:t>
      </w:r>
      <w:r w:rsidR="00897A24"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وجهه أن الإشارة بذي القرب ههنا قد يُتوهم فيها القرب بالمكان</w:t>
      </w:r>
      <w:r w:rsidR="00DB731D" w:rsidRPr="00A52585">
        <w:rPr>
          <w:rFonts w:hint="cs"/>
          <w:rtl/>
        </w:rPr>
        <w:t>،</w:t>
      </w:r>
      <w:r w:rsidRPr="00A52585">
        <w:rPr>
          <w:rFonts w:hint="cs"/>
          <w:rtl/>
        </w:rPr>
        <w:t xml:space="preserve"> والله تعالى يتقدس عن ذلك، فلما أشار بذي البعد أعطى بمعناه أن المشير مباين للأمكنة، وبعيد عن أن يُوصف بالقرب المكاني، فأتى البعدُ في الإشارة منبها على بعد نسبة المكان عن الذات العلي وأنه يبعد أن يحلَّ في مكان أو يدانيه</w:t>
      </w:r>
      <w:r w:rsidR="0002035C" w:rsidRPr="00A52585">
        <w:rPr>
          <w:rFonts w:hint="cs"/>
          <w:rtl/>
        </w:rPr>
        <w:t>)</w:t>
      </w:r>
      <w:r w:rsidRPr="00A52585">
        <w:rPr>
          <w:rFonts w:hint="cs"/>
          <w:rtl/>
        </w:rPr>
        <w:t xml:space="preserve"> الإفادات </w:t>
      </w:r>
      <w:proofErr w:type="spellStart"/>
      <w:r w:rsidRPr="00A52585">
        <w:rPr>
          <w:rFonts w:hint="cs"/>
          <w:rtl/>
        </w:rPr>
        <w:lastRenderedPageBreak/>
        <w:t>والإنشادات</w:t>
      </w:r>
      <w:proofErr w:type="spellEnd"/>
      <w:r w:rsidRPr="00A52585">
        <w:rPr>
          <w:rFonts w:hint="cs"/>
          <w:rtl/>
        </w:rPr>
        <w:t xml:space="preserve"> رقم 11- إفادة</w:t>
      </w:r>
      <w:r w:rsidR="0002035C" w:rsidRPr="00A52585">
        <w:rPr>
          <w:rFonts w:hint="cs"/>
          <w:rtl/>
        </w:rPr>
        <w:t>:</w:t>
      </w:r>
      <w:r w:rsidRPr="00A52585">
        <w:rPr>
          <w:rFonts w:hint="cs"/>
          <w:rtl/>
        </w:rPr>
        <w:t xml:space="preserve"> الإشارة للبعيد باسم الإشارة الموضوع للقريب (ص93- 94)</w:t>
      </w:r>
      <w:r w:rsidR="00DB731D" w:rsidRPr="00A52585">
        <w:rPr>
          <w:rFonts w:hint="cs"/>
          <w:rtl/>
        </w:rPr>
        <w:t>،</w:t>
      </w:r>
      <w:r w:rsidR="0002035C" w:rsidRPr="00A52585">
        <w:rPr>
          <w:rFonts w:hint="cs"/>
          <w:rtl/>
        </w:rPr>
        <w:t xml:space="preserve"> </w:t>
      </w:r>
      <w:r w:rsidRPr="00A52585">
        <w:rPr>
          <w:rFonts w:hint="cs"/>
          <w:rtl/>
        </w:rPr>
        <w:t>133- وقال الشيخ عبد الله بن أسعد اليافعي اليمني (768 هـ) بعد أن ذكر عقيدة الصوفية في تنزيه الله عن الجهة والمكان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فأنا أذكر الآن عقيدتي معهم على جهة الاختصار فأقول وبالله التوفيق</w:t>
      </w:r>
      <w:r w:rsidR="0002035C" w:rsidRPr="00A52585">
        <w:rPr>
          <w:rFonts w:hint="cs"/>
          <w:rtl/>
        </w:rPr>
        <w:t>:</w:t>
      </w:r>
      <w:r w:rsidRPr="00A52585">
        <w:rPr>
          <w:rFonts w:hint="cs"/>
          <w:rtl/>
        </w:rPr>
        <w:t xml:space="preserve"> الذي نعتقده أنه سبحانه وتغالى استوى على العرش على الوجه الذي قاله</w:t>
      </w:r>
      <w:r w:rsidR="00DB731D" w:rsidRPr="00A52585">
        <w:rPr>
          <w:rFonts w:hint="cs"/>
          <w:rtl/>
        </w:rPr>
        <w:t>،</w:t>
      </w:r>
      <w:r w:rsidRPr="00A52585">
        <w:rPr>
          <w:rFonts w:hint="cs"/>
          <w:rtl/>
        </w:rPr>
        <w:t xml:space="preserve"> وبالمعنى الذي أراده</w:t>
      </w:r>
      <w:r w:rsidR="00DB731D" w:rsidRPr="00A52585">
        <w:rPr>
          <w:rFonts w:hint="cs"/>
          <w:rtl/>
        </w:rPr>
        <w:t>،</w:t>
      </w:r>
      <w:r w:rsidRPr="00A52585">
        <w:rPr>
          <w:rFonts w:hint="cs"/>
          <w:rtl/>
        </w:rPr>
        <w:t xml:space="preserve"> استواء منزها عن الحلول والاستقرار والحركة والانتقال</w:t>
      </w:r>
      <w:r w:rsidR="00DB731D" w:rsidRPr="00A52585">
        <w:rPr>
          <w:rFonts w:hint="cs"/>
          <w:rtl/>
        </w:rPr>
        <w:t>،</w:t>
      </w:r>
      <w:r w:rsidRPr="00A52585">
        <w:rPr>
          <w:rFonts w:hint="cs"/>
          <w:rtl/>
        </w:rPr>
        <w:t xml:space="preserve"> لا يحمله العرش بل العرش وحملته محمولون بلطف قدرته</w:t>
      </w:r>
      <w:r w:rsidR="00DB731D" w:rsidRPr="00A52585">
        <w:rPr>
          <w:rFonts w:hint="cs"/>
          <w:rtl/>
        </w:rPr>
        <w:t>،</w:t>
      </w:r>
      <w:r w:rsidRPr="00A52585">
        <w:rPr>
          <w:rFonts w:hint="cs"/>
          <w:rtl/>
        </w:rPr>
        <w:t xml:space="preserve"> لا يقال أين كان ولا كيف كان</w:t>
      </w:r>
      <w:r w:rsidR="00DB731D" w:rsidRPr="00A52585">
        <w:rPr>
          <w:rFonts w:hint="cs"/>
          <w:rtl/>
        </w:rPr>
        <w:t>،</w:t>
      </w:r>
      <w:r w:rsidRPr="00A52585">
        <w:rPr>
          <w:rFonts w:hint="cs"/>
          <w:rtl/>
        </w:rPr>
        <w:t xml:space="preserve"> ولا متى</w:t>
      </w:r>
      <w:r w:rsidR="00DB731D" w:rsidRPr="00A52585">
        <w:rPr>
          <w:rFonts w:hint="cs"/>
          <w:rtl/>
        </w:rPr>
        <w:t>،</w:t>
      </w:r>
      <w:r w:rsidRPr="00A52585">
        <w:rPr>
          <w:rFonts w:hint="cs"/>
          <w:rtl/>
        </w:rPr>
        <w:t xml:space="preserve"> كان ولا مكان ولا زمان، وهو الآن على ما عليه كان</w:t>
      </w:r>
      <w:r w:rsidR="00DB731D" w:rsidRPr="00A52585">
        <w:rPr>
          <w:rFonts w:hint="cs"/>
          <w:rtl/>
        </w:rPr>
        <w:t>،</w:t>
      </w:r>
      <w:r w:rsidRPr="00A52585">
        <w:rPr>
          <w:rFonts w:hint="cs"/>
          <w:rtl/>
        </w:rPr>
        <w:t xml:space="preserve"> تعالى عن الجهات والأقطار والحدود والمقدار</w:t>
      </w:r>
      <w:r w:rsidR="0002035C" w:rsidRPr="00A52585">
        <w:rPr>
          <w:rFonts w:hint="cs"/>
          <w:rtl/>
        </w:rPr>
        <w:t>)</w:t>
      </w:r>
      <w:r w:rsidRPr="00A52585">
        <w:rPr>
          <w:rFonts w:hint="cs"/>
          <w:rtl/>
        </w:rPr>
        <w:t xml:space="preserve"> روض </w:t>
      </w:r>
      <w:proofErr w:type="spellStart"/>
      <w:r w:rsidRPr="00A52585">
        <w:rPr>
          <w:rFonts w:hint="cs"/>
          <w:rtl/>
        </w:rPr>
        <w:t>الرياحبن</w:t>
      </w:r>
      <w:proofErr w:type="spellEnd"/>
      <w:r w:rsidRPr="00A52585">
        <w:rPr>
          <w:rFonts w:hint="cs"/>
          <w:rtl/>
        </w:rPr>
        <w:t xml:space="preserve"> (ص498)</w:t>
      </w:r>
      <w:r w:rsidR="00DB731D" w:rsidRPr="00A52585">
        <w:rPr>
          <w:rFonts w:hint="cs"/>
          <w:rtl/>
        </w:rPr>
        <w:t>،</w:t>
      </w:r>
      <w:r w:rsidR="0002035C" w:rsidRPr="00A52585">
        <w:rPr>
          <w:rFonts w:hint="cs"/>
          <w:rtl/>
        </w:rPr>
        <w:t xml:space="preserve"> </w:t>
      </w:r>
      <w:r w:rsidRPr="00A52585">
        <w:rPr>
          <w:rFonts w:hint="cs"/>
          <w:rtl/>
        </w:rPr>
        <w:t xml:space="preserve">134- وقال العلامة الشيخ مسعود بن عمر </w:t>
      </w:r>
      <w:proofErr w:type="spellStart"/>
      <w:r w:rsidRPr="00A52585">
        <w:rPr>
          <w:rFonts w:hint="cs"/>
          <w:rtl/>
        </w:rPr>
        <w:t>التفتازاني</w:t>
      </w:r>
      <w:proofErr w:type="spellEnd"/>
      <w:r w:rsidRPr="00A52585">
        <w:rPr>
          <w:rFonts w:hint="cs"/>
          <w:rtl/>
        </w:rPr>
        <w:t xml:space="preserve"> (791هـ) في تنزيه الله عن المكان والحيز والجهة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وأما الدليل على عدم التحيز فهو أنه لو تحيز فإما في الأزل فيلزم قدم الحيز، أو لا فيكون محلاًّ للحوادث</w:t>
      </w:r>
      <w:r w:rsidR="00DB731D" w:rsidRPr="00A52585">
        <w:rPr>
          <w:rFonts w:hint="cs"/>
          <w:rtl/>
        </w:rPr>
        <w:t>،</w:t>
      </w:r>
      <w:r w:rsidRPr="00A52585">
        <w:rPr>
          <w:rFonts w:hint="cs"/>
          <w:rtl/>
        </w:rPr>
        <w:t xml:space="preserve"> وأيضّا إمّا أن يساوي الحيز أو ينقص عنه فيكون متناهيا</w:t>
      </w:r>
      <w:r w:rsidR="00DB731D" w:rsidRPr="00A52585">
        <w:rPr>
          <w:rFonts w:hint="cs"/>
          <w:rtl/>
        </w:rPr>
        <w:t>،</w:t>
      </w:r>
      <w:r w:rsidRPr="00A52585">
        <w:rPr>
          <w:rFonts w:hint="cs"/>
          <w:rtl/>
        </w:rPr>
        <w:t xml:space="preserve"> أو يزيد عليه فيكون متجزئا</w:t>
      </w:r>
      <w:r w:rsidR="00DB731D" w:rsidRPr="00A52585">
        <w:rPr>
          <w:rFonts w:hint="cs"/>
          <w:rtl/>
        </w:rPr>
        <w:t>،</w:t>
      </w:r>
      <w:r w:rsidRPr="00A52585">
        <w:rPr>
          <w:rFonts w:hint="cs"/>
          <w:rtl/>
        </w:rPr>
        <w:t xml:space="preserve"> وإذا لم يكن في مكان لم يكن في جهة</w:t>
      </w:r>
      <w:r w:rsidR="00897A24" w:rsidRPr="00A52585">
        <w:rPr>
          <w:rFonts w:hint="cs"/>
          <w:rtl/>
        </w:rPr>
        <w:t>.</w:t>
      </w:r>
      <w:r w:rsidRPr="00A52585">
        <w:rPr>
          <w:rFonts w:hint="cs"/>
          <w:rtl/>
        </w:rPr>
        <w:t xml:space="preserve"> لا علو ولا سفل ولا غيرهما</w:t>
      </w:r>
      <w:r w:rsidR="0002035C" w:rsidRPr="00A52585">
        <w:rPr>
          <w:rFonts w:hint="cs"/>
          <w:rtl/>
        </w:rPr>
        <w:t>)</w:t>
      </w:r>
      <w:r w:rsidRPr="00A52585">
        <w:rPr>
          <w:rFonts w:hint="cs"/>
          <w:rtl/>
        </w:rPr>
        <w:t xml:space="preserve"> أنظر شرحه على العقيدة </w:t>
      </w:r>
      <w:proofErr w:type="spellStart"/>
      <w:r w:rsidRPr="00A52585">
        <w:rPr>
          <w:rFonts w:hint="cs"/>
          <w:rtl/>
        </w:rPr>
        <w:t>النسفية</w:t>
      </w:r>
      <w:proofErr w:type="spellEnd"/>
      <w:r w:rsidRPr="00A52585">
        <w:rPr>
          <w:rFonts w:hint="cs"/>
          <w:rtl/>
        </w:rPr>
        <w:t xml:space="preserve"> (ص 72)</w:t>
      </w:r>
      <w:r w:rsidR="00DB731D" w:rsidRPr="00A52585">
        <w:rPr>
          <w:rFonts w:hint="cs"/>
          <w:rtl/>
        </w:rPr>
        <w:t>،</w:t>
      </w:r>
      <w:r w:rsidR="0002035C" w:rsidRPr="00A52585">
        <w:rPr>
          <w:rFonts w:hint="cs"/>
          <w:rtl/>
        </w:rPr>
        <w:t xml:space="preserve"> </w:t>
      </w:r>
      <w:r w:rsidRPr="00A52585">
        <w:rPr>
          <w:rFonts w:hint="cs"/>
          <w:rtl/>
        </w:rPr>
        <w:t xml:space="preserve">135- وقال اللغوي مجد الدين محمد بن يعقوب </w:t>
      </w:r>
      <w:proofErr w:type="spellStart"/>
      <w:r w:rsidRPr="00A52585">
        <w:rPr>
          <w:rFonts w:hint="cs"/>
          <w:rtl/>
        </w:rPr>
        <w:t>الفيروزابادى</w:t>
      </w:r>
      <w:proofErr w:type="spellEnd"/>
      <w:r w:rsidRPr="00A52585">
        <w:rPr>
          <w:rFonts w:hint="cs"/>
          <w:rtl/>
        </w:rPr>
        <w:t>(817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وقرب الله تعالى من العبد هو الإفضال عليه والفيض لا بالمكان</w:t>
      </w:r>
      <w:r w:rsidR="0002035C" w:rsidRPr="00A52585">
        <w:rPr>
          <w:rFonts w:hint="cs"/>
          <w:rtl/>
        </w:rPr>
        <w:t>)</w:t>
      </w:r>
      <w:r w:rsidRPr="00A52585">
        <w:rPr>
          <w:rFonts w:hint="cs"/>
          <w:rtl/>
        </w:rPr>
        <w:t xml:space="preserve"> بصائر </w:t>
      </w:r>
      <w:proofErr w:type="spellStart"/>
      <w:r w:rsidRPr="00A52585">
        <w:rPr>
          <w:rFonts w:hint="cs"/>
          <w:rtl/>
        </w:rPr>
        <w:t>ذوى"التمييز</w:t>
      </w:r>
      <w:proofErr w:type="spellEnd"/>
      <w:r w:rsidRPr="00A52585">
        <w:rPr>
          <w:rFonts w:hint="cs"/>
          <w:rtl/>
        </w:rPr>
        <w:t xml:space="preserve"> (مادة</w:t>
      </w:r>
      <w:r w:rsidR="0002035C" w:rsidRPr="00A52585">
        <w:rPr>
          <w:rFonts w:hint="cs"/>
          <w:rtl/>
        </w:rPr>
        <w:t>:</w:t>
      </w:r>
      <w:r w:rsidRPr="00A52585">
        <w:rPr>
          <w:rFonts w:hint="cs"/>
          <w:rtl/>
        </w:rPr>
        <w:t xml:space="preserve"> ق رب، 4</w:t>
      </w:r>
      <w:r w:rsidR="0002035C" w:rsidRPr="00A52585">
        <w:rPr>
          <w:rFonts w:hint="cs"/>
          <w:rtl/>
        </w:rPr>
        <w:t xml:space="preserve">: </w:t>
      </w:r>
      <w:r w:rsidRPr="00A52585">
        <w:rPr>
          <w:rFonts w:hint="cs"/>
          <w:rtl/>
        </w:rPr>
        <w:t>254)</w:t>
      </w:r>
      <w:r w:rsidR="00DB731D" w:rsidRPr="00A52585">
        <w:rPr>
          <w:rFonts w:hint="cs"/>
          <w:rtl/>
        </w:rPr>
        <w:t>،</w:t>
      </w:r>
      <w:r w:rsidR="0002035C" w:rsidRPr="00A52585">
        <w:rPr>
          <w:rFonts w:hint="cs"/>
          <w:rtl/>
        </w:rPr>
        <w:t xml:space="preserve"> </w:t>
      </w:r>
      <w:r w:rsidRPr="00A52585">
        <w:rPr>
          <w:rFonts w:hint="cs"/>
          <w:rtl/>
        </w:rPr>
        <w:t>136- وقال الحافظ المحدث ولي الدين أبو زرعة أحمد بن عبد الرحيم العراقي (826 هـ) ما نصه</w:t>
      </w:r>
      <w:r w:rsidR="0002035C" w:rsidRPr="00A52585">
        <w:rPr>
          <w:rFonts w:hint="cs"/>
          <w:rtl/>
        </w:rPr>
        <w:t>: (</w:t>
      </w:r>
      <w:r w:rsidRPr="00A52585">
        <w:rPr>
          <w:rFonts w:hint="cs"/>
          <w:rtl/>
        </w:rPr>
        <w:t>وقوله أي النبي - "فهو عنده فوق العرش " لا بد من تأويل ظاهر لفظة" عنده " لأن معناها حضرة الشيء والله تعالى منزه عن الاستقرار والتحيز والجهة</w:t>
      </w:r>
      <w:r w:rsidR="00DB731D" w:rsidRPr="00A52585">
        <w:rPr>
          <w:rFonts w:hint="cs"/>
          <w:rtl/>
        </w:rPr>
        <w:t>،</w:t>
      </w:r>
      <w:r w:rsidRPr="00A52585">
        <w:rPr>
          <w:rFonts w:hint="cs"/>
          <w:rtl/>
        </w:rPr>
        <w:t xml:space="preserve"> </w:t>
      </w:r>
      <w:proofErr w:type="spellStart"/>
      <w:r w:rsidRPr="00A52585">
        <w:rPr>
          <w:rFonts w:hint="cs"/>
          <w:rtl/>
        </w:rPr>
        <w:t>فالعندية</w:t>
      </w:r>
      <w:proofErr w:type="spellEnd"/>
      <w:r w:rsidRPr="00A52585">
        <w:rPr>
          <w:rFonts w:hint="cs"/>
          <w:rtl/>
        </w:rPr>
        <w:t xml:space="preserve"> ليست من حضرة المكان بل من حضرة الشرف</w:t>
      </w:r>
      <w:r w:rsidR="00DB731D" w:rsidRPr="00A52585">
        <w:rPr>
          <w:rFonts w:hint="cs"/>
          <w:rtl/>
        </w:rPr>
        <w:t>،</w:t>
      </w:r>
      <w:r w:rsidRPr="00A52585">
        <w:rPr>
          <w:rFonts w:hint="cs"/>
          <w:rtl/>
        </w:rPr>
        <w:t xml:space="preserve"> أي وضع ذلك الكتاب في محل مُعظّم عنده</w:t>
      </w:r>
      <w:r w:rsidR="0002035C" w:rsidRPr="00A52585">
        <w:rPr>
          <w:rFonts w:hint="cs"/>
          <w:rtl/>
        </w:rPr>
        <w:t>)</w:t>
      </w:r>
      <w:r w:rsidRPr="00A52585">
        <w:rPr>
          <w:rFonts w:hint="cs"/>
          <w:rtl/>
        </w:rPr>
        <w:t xml:space="preserve"> انظر طرح التثريب (8</w:t>
      </w:r>
      <w:r w:rsidR="0002035C" w:rsidRPr="00A52585">
        <w:rPr>
          <w:rFonts w:hint="cs"/>
          <w:rtl/>
        </w:rPr>
        <w:t>:</w:t>
      </w:r>
      <w:r w:rsidR="00DB731D" w:rsidRPr="00A52585">
        <w:rPr>
          <w:rFonts w:hint="cs"/>
          <w:rtl/>
        </w:rPr>
        <w:t>،</w:t>
      </w:r>
      <w:r w:rsidRPr="00A52585">
        <w:rPr>
          <w:rFonts w:hint="cs"/>
          <w:rtl/>
        </w:rPr>
        <w:t>84)</w:t>
      </w:r>
      <w:r w:rsidR="00897A24" w:rsidRPr="00A52585">
        <w:rPr>
          <w:rFonts w:hint="cs"/>
          <w:rtl/>
        </w:rPr>
        <w:t>.</w:t>
      </w:r>
      <w:r w:rsidRPr="00A52585">
        <w:rPr>
          <w:rFonts w:hint="cs"/>
          <w:rtl/>
        </w:rPr>
        <w:t xml:space="preserve"> وهذا يدل على أن عقيدة أهل الحديث تنزيه الله عن المكان والجهة</w:t>
      </w:r>
      <w:r w:rsidR="00DB731D" w:rsidRPr="00A52585">
        <w:rPr>
          <w:rFonts w:hint="cs"/>
          <w:rtl/>
        </w:rPr>
        <w:t>،</w:t>
      </w:r>
      <w:r w:rsidRPr="00A52585">
        <w:rPr>
          <w:rFonts w:hint="cs"/>
          <w:rtl/>
        </w:rPr>
        <w:t xml:space="preserve"> ومن نسب إليهم خلاف ذلك فقد افترى عليهم</w:t>
      </w:r>
      <w:r w:rsidR="00DB731D" w:rsidRPr="00A52585">
        <w:rPr>
          <w:rFonts w:hint="cs"/>
          <w:rtl/>
        </w:rPr>
        <w:t>،</w:t>
      </w:r>
      <w:r w:rsidR="0002035C" w:rsidRPr="00A52585">
        <w:rPr>
          <w:rFonts w:hint="cs"/>
          <w:rtl/>
        </w:rPr>
        <w:t xml:space="preserve"> </w:t>
      </w:r>
      <w:r w:rsidRPr="00A52585">
        <w:rPr>
          <w:rFonts w:hint="cs"/>
          <w:rtl/>
        </w:rPr>
        <w:t>137- وقال الحافظ ابن حجر (852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ولا يلزم من كون جهتي العلو والسفل محالا على الله أن لا يوصف بالعلو، لأن وصفه بالعلو من جهة المعنى</w:t>
      </w:r>
      <w:r w:rsidR="00DB731D" w:rsidRPr="00A52585">
        <w:rPr>
          <w:rFonts w:hint="cs"/>
          <w:rtl/>
        </w:rPr>
        <w:t>،</w:t>
      </w:r>
      <w:r w:rsidRPr="00A52585">
        <w:rPr>
          <w:rFonts w:hint="cs"/>
          <w:rtl/>
        </w:rPr>
        <w:t xml:space="preserve"> والمستحيل كون ذلك من جهة الحس</w:t>
      </w:r>
      <w:r w:rsidR="00DB731D" w:rsidRPr="00A52585">
        <w:rPr>
          <w:rFonts w:hint="cs"/>
          <w:rtl/>
        </w:rPr>
        <w:t>،</w:t>
      </w:r>
      <w:r w:rsidRPr="00A52585">
        <w:rPr>
          <w:rFonts w:hint="cs"/>
          <w:rtl/>
        </w:rPr>
        <w:t xml:space="preserve"> ولذلك ورد في صفته العالي والعلي والمتعالي</w:t>
      </w:r>
      <w:r w:rsidR="00DB731D" w:rsidRPr="00A52585">
        <w:rPr>
          <w:rFonts w:hint="cs"/>
          <w:rtl/>
        </w:rPr>
        <w:t>،</w:t>
      </w:r>
      <w:r w:rsidRPr="00A52585">
        <w:rPr>
          <w:rFonts w:hint="cs"/>
          <w:rtl/>
        </w:rPr>
        <w:t xml:space="preserve"> ولم يرد ضد ذلك وإن كان قد أحاط بكل شيء علما جلّ وعز</w:t>
      </w:r>
      <w:r w:rsidR="0002035C" w:rsidRPr="00A52585">
        <w:rPr>
          <w:rFonts w:hint="cs"/>
          <w:rtl/>
        </w:rPr>
        <w:t xml:space="preserve">) </w:t>
      </w:r>
      <w:r w:rsidRPr="00A52585">
        <w:rPr>
          <w:rFonts w:hint="cs"/>
          <w:rtl/>
        </w:rPr>
        <w:t>فتح الباري(6</w:t>
      </w:r>
      <w:r w:rsidR="0002035C" w:rsidRPr="00A52585">
        <w:rPr>
          <w:rFonts w:hint="cs"/>
          <w:rtl/>
        </w:rPr>
        <w:t xml:space="preserve">: </w:t>
      </w:r>
      <w:r w:rsidRPr="00A52585">
        <w:rPr>
          <w:rFonts w:hint="cs"/>
          <w:rtl/>
        </w:rPr>
        <w:t>136)</w:t>
      </w:r>
      <w:r w:rsidR="00DB731D" w:rsidRPr="00A52585">
        <w:rPr>
          <w:rFonts w:hint="cs"/>
          <w:rtl/>
        </w:rPr>
        <w:t>،</w:t>
      </w:r>
      <w:r w:rsidR="0002035C" w:rsidRPr="00A52585">
        <w:rPr>
          <w:rFonts w:hint="cs"/>
          <w:rtl/>
        </w:rPr>
        <w:t xml:space="preserve"> </w:t>
      </w:r>
      <w:r w:rsidRPr="00A52585">
        <w:rPr>
          <w:rFonts w:hint="cs"/>
          <w:rtl/>
        </w:rPr>
        <w:t>138- وقال أيضا عند شرح حديث النزول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استدل به من أثبت الجهة وقال هي جهة العلو</w:t>
      </w:r>
      <w:r w:rsidR="00DB731D" w:rsidRPr="00A52585">
        <w:rPr>
          <w:rFonts w:hint="cs"/>
          <w:rtl/>
        </w:rPr>
        <w:t>،</w:t>
      </w:r>
      <w:r w:rsidRPr="00A52585">
        <w:rPr>
          <w:rFonts w:hint="cs"/>
          <w:rtl/>
        </w:rPr>
        <w:t xml:space="preserve"> وأنكر ذلك الجمهور لأن القول بذلك يفضي إلى التحيز</w:t>
      </w:r>
      <w:r w:rsidR="00DB731D" w:rsidRPr="00A52585">
        <w:rPr>
          <w:rFonts w:hint="cs"/>
          <w:rtl/>
        </w:rPr>
        <w:t>،</w:t>
      </w:r>
      <w:r w:rsidRPr="00A52585">
        <w:rPr>
          <w:rFonts w:hint="cs"/>
          <w:rtl/>
        </w:rPr>
        <w:t xml:space="preserve"> تعالى الله عن ذلك</w:t>
      </w:r>
      <w:r w:rsidR="0002035C" w:rsidRPr="00A52585">
        <w:rPr>
          <w:rFonts w:hint="cs"/>
          <w:rtl/>
        </w:rPr>
        <w:t>)</w:t>
      </w:r>
      <w:r w:rsidRPr="00A52585">
        <w:rPr>
          <w:rFonts w:hint="cs"/>
          <w:rtl/>
        </w:rPr>
        <w:t xml:space="preserve"> فتح الباري (3</w:t>
      </w:r>
      <w:r w:rsidR="0002035C" w:rsidRPr="00A52585">
        <w:rPr>
          <w:rFonts w:hint="cs"/>
          <w:rtl/>
        </w:rPr>
        <w:t xml:space="preserve">: </w:t>
      </w:r>
      <w:r w:rsidRPr="00A52585">
        <w:rPr>
          <w:rFonts w:hint="cs"/>
          <w:rtl/>
        </w:rPr>
        <w:t>30)</w:t>
      </w:r>
      <w:r w:rsidR="00DB731D" w:rsidRPr="00A52585">
        <w:rPr>
          <w:rFonts w:hint="cs"/>
          <w:rtl/>
        </w:rPr>
        <w:t>،</w:t>
      </w:r>
      <w:r w:rsidR="0002035C" w:rsidRPr="00A52585">
        <w:rPr>
          <w:rFonts w:hint="cs"/>
          <w:rtl/>
        </w:rPr>
        <w:t xml:space="preserve"> </w:t>
      </w:r>
      <w:r w:rsidRPr="00A52585">
        <w:rPr>
          <w:rFonts w:hint="cs"/>
          <w:rtl/>
        </w:rPr>
        <w:t>139-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فمعتمد سلف الأئمة وعلماء السنة من الخلف أن الله منزه عن الحركة والتحول والحلول، ليس كمثله شيء</w:t>
      </w:r>
      <w:r w:rsidR="0002035C" w:rsidRPr="00A52585">
        <w:rPr>
          <w:rFonts w:hint="cs"/>
          <w:rtl/>
        </w:rPr>
        <w:t>)</w:t>
      </w:r>
      <w:r w:rsidRPr="00A52585">
        <w:rPr>
          <w:rFonts w:hint="cs"/>
          <w:rtl/>
        </w:rPr>
        <w:t xml:space="preserve"> فتح الباري 7</w:t>
      </w:r>
      <w:r w:rsidR="0002035C" w:rsidRPr="00A52585">
        <w:rPr>
          <w:rFonts w:hint="cs"/>
          <w:rtl/>
        </w:rPr>
        <w:t xml:space="preserve">: </w:t>
      </w:r>
      <w:r w:rsidRPr="00A52585">
        <w:rPr>
          <w:rFonts w:hint="cs"/>
          <w:rtl/>
        </w:rPr>
        <w:t>124)</w:t>
      </w:r>
      <w:r w:rsidR="00DB731D" w:rsidRPr="00A52585">
        <w:rPr>
          <w:rFonts w:hint="cs"/>
          <w:rtl/>
        </w:rPr>
        <w:t>،</w:t>
      </w:r>
      <w:r w:rsidR="0002035C" w:rsidRPr="00A52585">
        <w:rPr>
          <w:rFonts w:hint="cs"/>
          <w:rtl/>
        </w:rPr>
        <w:t xml:space="preserve"> </w:t>
      </w:r>
      <w:r w:rsidRPr="00A52585">
        <w:rPr>
          <w:rFonts w:hint="cs"/>
          <w:rtl/>
        </w:rPr>
        <w:t xml:space="preserve">140- وقال أيضا </w:t>
      </w:r>
      <w:r w:rsidRPr="00A52585">
        <w:rPr>
          <w:rFonts w:hint="cs"/>
          <w:rtl/>
        </w:rPr>
        <w:lastRenderedPageBreak/>
        <w:t>عند شرح قول البخاري</w:t>
      </w:r>
      <w:r w:rsidR="0002035C" w:rsidRPr="00A52585">
        <w:rPr>
          <w:rFonts w:hint="cs"/>
          <w:rtl/>
        </w:rPr>
        <w:t>:</w:t>
      </w:r>
      <w:r w:rsidRPr="00A52585">
        <w:rPr>
          <w:rFonts w:hint="cs"/>
          <w:rtl/>
        </w:rPr>
        <w:t xml:space="preserve"> "</w:t>
      </w:r>
      <w:proofErr w:type="spellStart"/>
      <w:r w:rsidRPr="00A52585">
        <w:rPr>
          <w:rFonts w:hint="cs"/>
          <w:rtl/>
        </w:rPr>
        <w:t>بابٌ</w:t>
      </w:r>
      <w:r w:rsidR="0002035C" w:rsidRPr="00A52585">
        <w:rPr>
          <w:rFonts w:hint="cs"/>
          <w:rtl/>
        </w:rPr>
        <w:t>:</w:t>
      </w:r>
      <w:r w:rsidRPr="00A52585">
        <w:rPr>
          <w:rFonts w:hint="cs"/>
          <w:rtl/>
        </w:rPr>
        <w:t>تحاجَّ</w:t>
      </w:r>
      <w:proofErr w:type="spellEnd"/>
      <w:r w:rsidRPr="00A52585">
        <w:rPr>
          <w:rFonts w:hint="cs"/>
          <w:rtl/>
        </w:rPr>
        <w:t xml:space="preserve"> آدمُ وموسى عند الله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فإن </w:t>
      </w:r>
      <w:proofErr w:type="spellStart"/>
      <w:r w:rsidRPr="00A52585">
        <w:rPr>
          <w:rFonts w:hint="cs"/>
          <w:rtl/>
        </w:rPr>
        <w:t>العندية</w:t>
      </w:r>
      <w:proofErr w:type="spellEnd"/>
      <w:r w:rsidRPr="00A52585">
        <w:rPr>
          <w:rFonts w:hint="cs"/>
          <w:rtl/>
        </w:rPr>
        <w:t xml:space="preserve"> </w:t>
      </w:r>
      <w:proofErr w:type="spellStart"/>
      <w:r w:rsidRPr="00A52585">
        <w:rPr>
          <w:rFonts w:hint="cs"/>
          <w:rtl/>
        </w:rPr>
        <w:t>عندية</w:t>
      </w:r>
      <w:proofErr w:type="spellEnd"/>
      <w:r w:rsidRPr="00A52585">
        <w:rPr>
          <w:rFonts w:hint="cs"/>
          <w:rtl/>
        </w:rPr>
        <w:t xml:space="preserve"> اختصاص وتشريف لا </w:t>
      </w:r>
      <w:proofErr w:type="spellStart"/>
      <w:r w:rsidRPr="00A52585">
        <w:rPr>
          <w:rFonts w:hint="cs"/>
          <w:rtl/>
        </w:rPr>
        <w:t>عندية</w:t>
      </w:r>
      <w:proofErr w:type="spellEnd"/>
      <w:r w:rsidRPr="00A52585">
        <w:rPr>
          <w:rFonts w:hint="cs"/>
          <w:rtl/>
        </w:rPr>
        <w:t xml:space="preserve"> مكان</w:t>
      </w:r>
      <w:r w:rsidR="0002035C" w:rsidRPr="00A52585">
        <w:rPr>
          <w:rFonts w:hint="cs"/>
          <w:rtl/>
        </w:rPr>
        <w:t>)</w:t>
      </w:r>
      <w:r w:rsidRPr="00A52585">
        <w:rPr>
          <w:rFonts w:hint="cs"/>
          <w:rtl/>
        </w:rPr>
        <w:t xml:space="preserve"> فتح الباري (11</w:t>
      </w:r>
      <w:r w:rsidR="0002035C" w:rsidRPr="00A52585">
        <w:rPr>
          <w:rFonts w:hint="cs"/>
          <w:rtl/>
        </w:rPr>
        <w:t xml:space="preserve">: </w:t>
      </w:r>
      <w:r w:rsidRPr="00A52585">
        <w:rPr>
          <w:rFonts w:hint="cs"/>
          <w:rtl/>
        </w:rPr>
        <w:t>505)</w:t>
      </w:r>
      <w:r w:rsidR="00DB731D" w:rsidRPr="00A52585">
        <w:rPr>
          <w:rFonts w:hint="cs"/>
          <w:rtl/>
        </w:rPr>
        <w:t>،</w:t>
      </w:r>
      <w:r w:rsidR="0002035C" w:rsidRPr="00A52585">
        <w:rPr>
          <w:rFonts w:hint="cs"/>
          <w:rtl/>
        </w:rPr>
        <w:t xml:space="preserve"> </w:t>
      </w:r>
      <w:r w:rsidRPr="00A52585">
        <w:rPr>
          <w:rFonts w:hint="cs"/>
          <w:rtl/>
        </w:rPr>
        <w:t>141- وقال الشيخ بدر الدين محمود بن أحمد العَيْني الحنفي (855 هـ) في شرحه على صحيح البخاري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ولا يدل قوله تعالى</w:t>
      </w:r>
      <w:r w:rsidR="0002035C" w:rsidRPr="00A52585">
        <w:rPr>
          <w:rFonts w:hint="cs"/>
          <w:rtl/>
        </w:rPr>
        <w:t>:</w:t>
      </w:r>
      <w:r w:rsidRPr="00A52585">
        <w:rPr>
          <w:rFonts w:hint="cs"/>
          <w:rtl/>
        </w:rPr>
        <w:t xml:space="preserve"> " وكان عرشه على الماء " (7) سورة طه على، أنه - تعالى - حالّ عليه</w:t>
      </w:r>
      <w:r w:rsidR="00DB731D" w:rsidRPr="00A52585">
        <w:rPr>
          <w:rFonts w:hint="cs"/>
          <w:rtl/>
        </w:rPr>
        <w:t>،</w:t>
      </w:r>
      <w:r w:rsidRPr="00A52585">
        <w:rPr>
          <w:rFonts w:hint="cs"/>
          <w:rtl/>
        </w:rPr>
        <w:t xml:space="preserve"> وإنما أخبر عن العرش خاصة بأنه على الماء</w:t>
      </w:r>
      <w:r w:rsidR="00DB731D" w:rsidRPr="00A52585">
        <w:rPr>
          <w:rFonts w:hint="cs"/>
          <w:rtl/>
        </w:rPr>
        <w:t>،</w:t>
      </w:r>
      <w:r w:rsidRPr="00A52585">
        <w:rPr>
          <w:rFonts w:hint="cs"/>
          <w:rtl/>
        </w:rPr>
        <w:t xml:space="preserve"> ولم يخبر عن نفسه بأنه حال عليه، تعالى الله عن ذلك، لأنه لم يكن له حاجة إليه</w:t>
      </w:r>
      <w:r w:rsidR="0002035C" w:rsidRPr="00A52585">
        <w:rPr>
          <w:rFonts w:hint="cs"/>
          <w:rtl/>
        </w:rPr>
        <w:t>)</w:t>
      </w:r>
      <w:r w:rsidRPr="00A52585">
        <w:rPr>
          <w:rFonts w:hint="cs"/>
          <w:rtl/>
        </w:rPr>
        <w:t xml:space="preserve"> عمدة القاري (مجلد 12</w:t>
      </w:r>
      <w:r w:rsidR="0002035C" w:rsidRPr="00A52585">
        <w:rPr>
          <w:rFonts w:hint="cs"/>
          <w:rtl/>
        </w:rPr>
        <w:t xml:space="preserve">: </w:t>
      </w:r>
      <w:r w:rsidRPr="00A52585">
        <w:rPr>
          <w:rFonts w:hint="cs"/>
          <w:rtl/>
        </w:rPr>
        <w:t>25</w:t>
      </w:r>
      <w:r w:rsidR="0002035C" w:rsidRPr="00A52585">
        <w:rPr>
          <w:rFonts w:hint="cs"/>
          <w:rtl/>
        </w:rPr>
        <w:t xml:space="preserve">: </w:t>
      </w:r>
      <w:r w:rsidRPr="00A52585">
        <w:rPr>
          <w:rFonts w:hint="cs"/>
          <w:rtl/>
        </w:rPr>
        <w:t>111)</w:t>
      </w:r>
      <w:r w:rsidR="00DB731D" w:rsidRPr="00A52585">
        <w:rPr>
          <w:rFonts w:hint="cs"/>
          <w:rtl/>
        </w:rPr>
        <w:t>،</w:t>
      </w:r>
      <w:r w:rsidR="0002035C" w:rsidRPr="00A52585">
        <w:rPr>
          <w:rFonts w:hint="cs"/>
          <w:rtl/>
        </w:rPr>
        <w:t xml:space="preserve"> </w:t>
      </w:r>
      <w:r w:rsidRPr="00A52585">
        <w:rPr>
          <w:rFonts w:hint="cs"/>
          <w:rtl/>
        </w:rPr>
        <w:t>133-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تقرر أن الله ليس بجسم</w:t>
      </w:r>
      <w:r w:rsidR="00DB731D" w:rsidRPr="00A52585">
        <w:rPr>
          <w:rFonts w:hint="cs"/>
          <w:rtl/>
        </w:rPr>
        <w:t>،</w:t>
      </w:r>
      <w:r w:rsidRPr="00A52585">
        <w:rPr>
          <w:rFonts w:hint="cs"/>
          <w:rtl/>
        </w:rPr>
        <w:t xml:space="preserve"> فلا يحتاج إلى مكان يستقر فيه، فقد كان ولا مكان</w:t>
      </w:r>
      <w:r w:rsidR="0002035C" w:rsidRPr="00A52585">
        <w:rPr>
          <w:rFonts w:hint="cs"/>
          <w:rtl/>
        </w:rPr>
        <w:t>)</w:t>
      </w:r>
      <w:r w:rsidRPr="00A52585">
        <w:rPr>
          <w:rFonts w:hint="cs"/>
          <w:rtl/>
        </w:rPr>
        <w:t xml:space="preserve"> عمدة القاري (مجلد 12</w:t>
      </w:r>
      <w:r w:rsidR="0002035C" w:rsidRPr="00A52585">
        <w:rPr>
          <w:rFonts w:hint="cs"/>
          <w:rtl/>
        </w:rPr>
        <w:t xml:space="preserve">: </w:t>
      </w:r>
      <w:r w:rsidRPr="00A52585">
        <w:rPr>
          <w:rFonts w:hint="cs"/>
          <w:rtl/>
        </w:rPr>
        <w:t>25</w:t>
      </w:r>
      <w:r w:rsidR="0002035C" w:rsidRPr="00A52585">
        <w:rPr>
          <w:rFonts w:hint="cs"/>
          <w:rtl/>
        </w:rPr>
        <w:t xml:space="preserve">: </w:t>
      </w:r>
      <w:r w:rsidRPr="00A52585">
        <w:rPr>
          <w:rFonts w:hint="cs"/>
          <w:rtl/>
        </w:rPr>
        <w:t>117)</w:t>
      </w:r>
      <w:r w:rsidR="00DB731D" w:rsidRPr="00A52585">
        <w:rPr>
          <w:rFonts w:hint="cs"/>
          <w:rtl/>
        </w:rPr>
        <w:t>،</w:t>
      </w:r>
      <w:r w:rsidR="0002035C" w:rsidRPr="00A52585">
        <w:rPr>
          <w:rFonts w:hint="cs"/>
          <w:rtl/>
        </w:rPr>
        <w:t xml:space="preserve"> </w:t>
      </w:r>
      <w:r w:rsidRPr="00A52585">
        <w:rPr>
          <w:rFonts w:hint="cs"/>
          <w:rtl/>
        </w:rPr>
        <w:t>142- وقال الشيخ جلال الدين محمد بن أحمد المحلي الشافعي (864 هـ) عند شرح قول تاج الدين السبكي</w:t>
      </w:r>
      <w:r w:rsidR="0002035C" w:rsidRPr="00A52585">
        <w:rPr>
          <w:rFonts w:hint="cs"/>
          <w:rtl/>
        </w:rPr>
        <w:t xml:space="preserve">: </w:t>
      </w:r>
      <w:r w:rsidRPr="00A52585">
        <w:rPr>
          <w:rFonts w:hint="cs"/>
          <w:rtl/>
        </w:rPr>
        <w:t>"ليس- الله - بجسم ولا جوهر ولا عَرَض لم يزل وحده ولا مكان ولا زمان"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أي هو موجود وحده قبل المكان والزمان فهو منزه عنهما</w:t>
      </w:r>
      <w:r w:rsidR="0002035C" w:rsidRPr="00A52585">
        <w:rPr>
          <w:rFonts w:hint="cs"/>
          <w:rtl/>
        </w:rPr>
        <w:t>)</w:t>
      </w:r>
      <w:r w:rsidRPr="00A52585">
        <w:rPr>
          <w:rFonts w:hint="cs"/>
          <w:rtl/>
        </w:rPr>
        <w:t xml:space="preserve"> أنظر شرحه على متن جمع الجوامع (مطبوع مع </w:t>
      </w:r>
      <w:proofErr w:type="spellStart"/>
      <w:r w:rsidRPr="00A52585">
        <w:rPr>
          <w:rFonts w:hint="cs"/>
          <w:rtl/>
        </w:rPr>
        <w:t>حاشة</w:t>
      </w:r>
      <w:proofErr w:type="spellEnd"/>
      <w:r w:rsidRPr="00A52585">
        <w:rPr>
          <w:rFonts w:hint="cs"/>
          <w:rtl/>
        </w:rPr>
        <w:t xml:space="preserve"> </w:t>
      </w:r>
      <w:proofErr w:type="spellStart"/>
      <w:r w:rsidRPr="00A52585">
        <w:rPr>
          <w:rFonts w:hint="cs"/>
          <w:rtl/>
        </w:rPr>
        <w:t>البناني</w:t>
      </w:r>
      <w:proofErr w:type="spellEnd"/>
      <w:r w:rsidRPr="00A52585">
        <w:rPr>
          <w:rFonts w:hint="cs"/>
          <w:rtl/>
        </w:rPr>
        <w:t>) (2</w:t>
      </w:r>
      <w:r w:rsidR="0002035C" w:rsidRPr="00A52585">
        <w:rPr>
          <w:rFonts w:hint="cs"/>
          <w:rtl/>
        </w:rPr>
        <w:t xml:space="preserve">: </w:t>
      </w:r>
      <w:r w:rsidRPr="00A52585">
        <w:rPr>
          <w:rFonts w:hint="cs"/>
          <w:rtl/>
        </w:rPr>
        <w:t>405)</w:t>
      </w:r>
      <w:r w:rsidR="00DB731D" w:rsidRPr="00A52585">
        <w:rPr>
          <w:rFonts w:hint="cs"/>
          <w:rtl/>
        </w:rPr>
        <w:t>،</w:t>
      </w:r>
      <w:r w:rsidR="0002035C" w:rsidRPr="00A52585">
        <w:rPr>
          <w:rFonts w:hint="cs"/>
          <w:rtl/>
        </w:rPr>
        <w:t xml:space="preserve"> </w:t>
      </w:r>
      <w:r w:rsidRPr="00A52585">
        <w:rPr>
          <w:rFonts w:hint="cs"/>
          <w:rtl/>
        </w:rPr>
        <w:t>143- وقال الشيخ محمد بن محمد الحنفي المعروف. بابن أمير الحاج الحنفي (879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ولترجيح الأقوى دلالة لزم نفي التشبيه عن البارئ جل وعز في "عَلَى الْعَرْشِ اسْتَوَى" ونحوه مما ظاهره يوهم المكان بقوله تعالى "لَيْسَ كَمِثْلِهِ شَيْءٌ" لأنه يقتضي نفي المماثلة بينه وبين شيء ما</w:t>
      </w:r>
      <w:r w:rsidR="00DB731D" w:rsidRPr="00A52585">
        <w:rPr>
          <w:rFonts w:hint="cs"/>
          <w:rtl/>
        </w:rPr>
        <w:t>،</w:t>
      </w:r>
      <w:r w:rsidRPr="00A52585">
        <w:rPr>
          <w:rFonts w:hint="cs"/>
          <w:rtl/>
        </w:rPr>
        <w:t xml:space="preserve"> و المكان والمتمكن فيه يتماثلان من حيث القدر، إذ حقيقة المكان قدر ما يتمكن فيه المتمكن لا ما فضل عنه</w:t>
      </w:r>
      <w:r w:rsidR="00DB731D" w:rsidRPr="00A52585">
        <w:rPr>
          <w:rFonts w:hint="cs"/>
          <w:rtl/>
        </w:rPr>
        <w:t>،</w:t>
      </w:r>
      <w:r w:rsidRPr="00A52585">
        <w:rPr>
          <w:rFonts w:hint="cs"/>
          <w:rtl/>
        </w:rPr>
        <w:t xml:space="preserve"> وقدم العمل بهذه الآية لأنها محكمة لا تحتمل تأويلا</w:t>
      </w:r>
      <w:r w:rsidR="0002035C" w:rsidRPr="00A52585">
        <w:rPr>
          <w:rFonts w:hint="cs"/>
          <w:rtl/>
        </w:rPr>
        <w:t>)</w:t>
      </w:r>
      <w:r w:rsidRPr="00A52585">
        <w:rPr>
          <w:rFonts w:hint="cs"/>
          <w:rtl/>
        </w:rPr>
        <w:t xml:space="preserve"> التقرير والتحبير (3</w:t>
      </w:r>
      <w:r w:rsidR="0002035C" w:rsidRPr="00A52585">
        <w:rPr>
          <w:rFonts w:hint="cs"/>
          <w:rtl/>
        </w:rPr>
        <w:t xml:space="preserve">: </w:t>
      </w:r>
      <w:r w:rsidRPr="00A52585">
        <w:rPr>
          <w:rFonts w:hint="cs"/>
          <w:rtl/>
        </w:rPr>
        <w:t>18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145- وقال الشيخ برهان الدين إبراهيم بن عمر البقاعي الشافعي (885 هـ) صاحب تفسير "نظم الدُّرر"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ثبت بالدليل القطعي على أنه سبحانه ليس بمتحيِّز في جهة</w:t>
      </w:r>
      <w:r w:rsidR="0002035C" w:rsidRPr="00A52585">
        <w:rPr>
          <w:rFonts w:hint="cs"/>
          <w:rtl/>
        </w:rPr>
        <w:t>)</w:t>
      </w:r>
      <w:r w:rsidRPr="00A52585">
        <w:rPr>
          <w:rFonts w:hint="cs"/>
          <w:rtl/>
        </w:rPr>
        <w:t xml:space="preserve"> نظم الدرر (20</w:t>
      </w:r>
      <w:r w:rsidR="0002035C" w:rsidRPr="00A52585">
        <w:rPr>
          <w:rFonts w:hint="cs"/>
          <w:rtl/>
        </w:rPr>
        <w:t xml:space="preserve">: </w:t>
      </w:r>
      <w:r w:rsidRPr="00A52585">
        <w:rPr>
          <w:rFonts w:hint="cs"/>
          <w:rtl/>
        </w:rPr>
        <w:t>248)</w:t>
      </w:r>
      <w:r w:rsidR="00DB731D" w:rsidRPr="00A52585">
        <w:rPr>
          <w:rFonts w:hint="cs"/>
          <w:rtl/>
        </w:rPr>
        <w:t>،</w:t>
      </w:r>
      <w:r w:rsidR="0002035C" w:rsidRPr="00A52585">
        <w:rPr>
          <w:rFonts w:hint="cs"/>
          <w:rtl/>
        </w:rPr>
        <w:t xml:space="preserve"> </w:t>
      </w:r>
      <w:r w:rsidRPr="00A52585">
        <w:rPr>
          <w:rFonts w:hint="cs"/>
          <w:rtl/>
        </w:rPr>
        <w:t>146-</w:t>
      </w:r>
      <w:r w:rsidR="0002035C" w:rsidRPr="00A52585">
        <w:rPr>
          <w:rFonts w:hint="cs"/>
          <w:rtl/>
        </w:rPr>
        <w:t xml:space="preserve"> </w:t>
      </w:r>
      <w:r w:rsidRPr="00A52585">
        <w:rPr>
          <w:rFonts w:hint="cs"/>
          <w:rtl/>
        </w:rPr>
        <w:t xml:space="preserve">وقال ابن كثير رحمه الله </w:t>
      </w:r>
      <w:r w:rsidR="0002035C" w:rsidRPr="00A52585">
        <w:rPr>
          <w:rFonts w:hint="cs"/>
          <w:rtl/>
        </w:rPr>
        <w:t>(</w:t>
      </w:r>
      <w:r w:rsidRPr="00A52585">
        <w:rPr>
          <w:rFonts w:hint="cs"/>
          <w:rtl/>
        </w:rPr>
        <w:t>774 هـ</w:t>
      </w:r>
      <w:r w:rsidR="0002035C" w:rsidRPr="00A52585">
        <w:rPr>
          <w:rFonts w:hint="cs"/>
          <w:rtl/>
        </w:rPr>
        <w:t>)</w:t>
      </w:r>
      <w:r w:rsidRPr="00A52585">
        <w:rPr>
          <w:rFonts w:hint="cs"/>
          <w:rtl/>
        </w:rPr>
        <w:t xml:space="preserve"> في تفسير قوله تعلى </w:t>
      </w:r>
      <w:r w:rsidR="0002035C" w:rsidRPr="00A52585">
        <w:rPr>
          <w:rFonts w:hint="cs"/>
          <w:rtl/>
        </w:rPr>
        <w:t>(</w:t>
      </w:r>
      <w:r w:rsidRPr="00A52585">
        <w:rPr>
          <w:rFonts w:hint="cs"/>
          <w:rtl/>
        </w:rPr>
        <w:t>ثم استوى على العرش</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br/>
        <w:t> </w:t>
      </w:r>
      <w:r w:rsidR="0002035C" w:rsidRPr="00A52585">
        <w:rPr>
          <w:rFonts w:hint="cs"/>
          <w:rtl/>
        </w:rPr>
        <w:t>(</w:t>
      </w:r>
      <w:r w:rsidRPr="00A52585">
        <w:rPr>
          <w:rFonts w:hint="cs"/>
          <w:rtl/>
        </w:rPr>
        <w:t>وانما نسلك في هذا المقام مذهب السلف الصالح</w:t>
      </w:r>
      <w:r w:rsidR="0002035C" w:rsidRPr="00A52585">
        <w:rPr>
          <w:rFonts w:hint="cs"/>
          <w:rtl/>
        </w:rPr>
        <w:t>:</w:t>
      </w:r>
      <w:r w:rsidRPr="00A52585">
        <w:rPr>
          <w:rFonts w:hint="cs"/>
          <w:rtl/>
        </w:rPr>
        <w:t xml:space="preserve"> مالك والاوزاعي والثوري والليث بن سعد والشافعي واحمد واسحاق بن </w:t>
      </w:r>
      <w:proofErr w:type="spellStart"/>
      <w:r w:rsidRPr="00A52585">
        <w:rPr>
          <w:rFonts w:hint="cs"/>
          <w:rtl/>
        </w:rPr>
        <w:t>راهوية</w:t>
      </w:r>
      <w:proofErr w:type="spellEnd"/>
      <w:r w:rsidRPr="00A52585">
        <w:rPr>
          <w:rFonts w:hint="cs"/>
          <w:rtl/>
        </w:rPr>
        <w:t xml:space="preserve"> وغيرهم من ائمة المسلمين قديما وحديثا</w:t>
      </w:r>
      <w:r w:rsidR="00DB731D" w:rsidRPr="00A52585">
        <w:rPr>
          <w:rFonts w:hint="cs"/>
          <w:rtl/>
        </w:rPr>
        <w:t>،</w:t>
      </w:r>
      <w:r w:rsidRPr="00A52585">
        <w:rPr>
          <w:rFonts w:hint="cs"/>
          <w:rtl/>
        </w:rPr>
        <w:t xml:space="preserve"> وهو امرارها كما جاءت من غير تكييف ولا تشبيه ولا تعطيل</w:t>
      </w:r>
      <w:r w:rsidR="00DB731D" w:rsidRPr="00A52585">
        <w:rPr>
          <w:rFonts w:hint="cs"/>
          <w:rtl/>
        </w:rPr>
        <w:t>،</w:t>
      </w:r>
      <w:r w:rsidRPr="00A52585">
        <w:rPr>
          <w:rFonts w:hint="cs"/>
          <w:rtl/>
        </w:rPr>
        <w:t xml:space="preserve"> والظاهر المتبادر الى اذهان المشبهين منفي عن الله تعالى</w:t>
      </w:r>
      <w:r w:rsidR="00DB731D" w:rsidRPr="00A52585">
        <w:rPr>
          <w:rFonts w:hint="cs"/>
          <w:rtl/>
        </w:rPr>
        <w:t>،</w:t>
      </w:r>
      <w:r w:rsidRPr="00A52585">
        <w:rPr>
          <w:rFonts w:hint="cs"/>
          <w:rtl/>
        </w:rPr>
        <w:t xml:space="preserve"> فان الله تعالى لا يشبهه شيء من خلقه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 وهو السميع البصير</w:t>
      </w:r>
      <w:r w:rsidR="0002035C" w:rsidRPr="00A52585">
        <w:rPr>
          <w:rFonts w:hint="cs"/>
          <w:rtl/>
        </w:rPr>
        <w:t>)</w:t>
      </w:r>
      <w:r w:rsidRPr="00A52585">
        <w:rPr>
          <w:rFonts w:hint="cs"/>
          <w:rtl/>
        </w:rPr>
        <w:t xml:space="preserve"> انظر تفسيره </w:t>
      </w:r>
      <w:r w:rsidR="0002035C" w:rsidRPr="00A52585">
        <w:rPr>
          <w:rFonts w:hint="cs"/>
          <w:rtl/>
        </w:rPr>
        <w:t>(</w:t>
      </w:r>
      <w:r w:rsidRPr="00A52585">
        <w:rPr>
          <w:rFonts w:hint="cs"/>
          <w:rtl/>
        </w:rPr>
        <w:t>2</w:t>
      </w:r>
      <w:r w:rsidR="0002035C" w:rsidRPr="00A52585">
        <w:rPr>
          <w:rFonts w:hint="cs"/>
          <w:rtl/>
        </w:rPr>
        <w:t xml:space="preserve">: </w:t>
      </w:r>
      <w:r w:rsidRPr="00A52585">
        <w:rPr>
          <w:rFonts w:hint="cs"/>
          <w:rtl/>
        </w:rPr>
        <w:t>211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147- وقال ايضا عند تفسير قوله تعالى </w:t>
      </w:r>
      <w:r w:rsidR="0002035C" w:rsidRPr="00A52585">
        <w:rPr>
          <w:rFonts w:hint="cs"/>
          <w:rtl/>
        </w:rPr>
        <w:t>(</w:t>
      </w:r>
      <w:r w:rsidRPr="00A52585">
        <w:rPr>
          <w:rFonts w:hint="cs"/>
          <w:rtl/>
        </w:rPr>
        <w:t>وهو العلي العظيم</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وهذه الآيات وما في معناها من الاحاديث الصحاح الأجود فيها طريقة السلف</w:t>
      </w:r>
      <w:r w:rsidR="0002035C" w:rsidRPr="00A52585">
        <w:rPr>
          <w:rFonts w:hint="cs"/>
          <w:rtl/>
        </w:rPr>
        <w:t>:</w:t>
      </w:r>
      <w:r w:rsidRPr="00A52585">
        <w:rPr>
          <w:rFonts w:hint="cs"/>
          <w:rtl/>
        </w:rPr>
        <w:t xml:space="preserve"> امروها كما جاءت من غير تكييف ولا تشبيه</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148-</w:t>
      </w:r>
      <w:r w:rsidR="0002035C" w:rsidRPr="00A52585">
        <w:rPr>
          <w:rFonts w:hint="cs"/>
          <w:rtl/>
        </w:rPr>
        <w:t xml:space="preserve"> </w:t>
      </w:r>
      <w:r w:rsidRPr="00A52585">
        <w:rPr>
          <w:rFonts w:hint="cs"/>
          <w:rtl/>
        </w:rPr>
        <w:t xml:space="preserve">وقال ايضا عند تفسير قوله تعالى </w:t>
      </w:r>
      <w:r w:rsidR="0002035C" w:rsidRPr="00A52585">
        <w:rPr>
          <w:rFonts w:hint="cs"/>
          <w:rtl/>
        </w:rPr>
        <w:t>(</w:t>
      </w:r>
      <w:r w:rsidRPr="00A52585">
        <w:rPr>
          <w:rFonts w:hint="cs"/>
          <w:rtl/>
        </w:rPr>
        <w:t>وهو القاهر فوق عباده</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اي هو الذي خضعت له الرقاب</w:t>
      </w:r>
      <w:r w:rsidR="00DB731D" w:rsidRPr="00A52585">
        <w:rPr>
          <w:rFonts w:hint="cs"/>
          <w:rtl/>
        </w:rPr>
        <w:t>،</w:t>
      </w:r>
      <w:r w:rsidRPr="00A52585">
        <w:rPr>
          <w:rFonts w:hint="cs"/>
          <w:rtl/>
        </w:rPr>
        <w:t xml:space="preserve"> </w:t>
      </w:r>
      <w:r w:rsidRPr="00A52585">
        <w:rPr>
          <w:rFonts w:hint="cs"/>
          <w:rtl/>
        </w:rPr>
        <w:lastRenderedPageBreak/>
        <w:t>وذلت له الجبابرة وعنت له الوجوه</w:t>
      </w:r>
      <w:r w:rsidR="00DB731D" w:rsidRPr="00A52585">
        <w:rPr>
          <w:rFonts w:hint="cs"/>
          <w:rtl/>
        </w:rPr>
        <w:t>،</w:t>
      </w:r>
      <w:r w:rsidRPr="00A52585">
        <w:rPr>
          <w:rFonts w:hint="cs"/>
          <w:rtl/>
        </w:rPr>
        <w:t xml:space="preserve"> وقهر كل شيء</w:t>
      </w:r>
      <w:r w:rsidR="00DB731D" w:rsidRPr="00A52585">
        <w:rPr>
          <w:rFonts w:hint="cs"/>
          <w:rtl/>
        </w:rPr>
        <w:t>،</w:t>
      </w:r>
      <w:r w:rsidRPr="00A52585">
        <w:rPr>
          <w:rFonts w:hint="cs"/>
          <w:rtl/>
        </w:rPr>
        <w:t xml:space="preserve"> ودانت له الخلائق</w:t>
      </w:r>
      <w:r w:rsidR="00DB731D" w:rsidRPr="00A52585">
        <w:rPr>
          <w:rFonts w:hint="cs"/>
          <w:rtl/>
        </w:rPr>
        <w:t>،</w:t>
      </w:r>
      <w:r w:rsidRPr="00A52585">
        <w:rPr>
          <w:rFonts w:hint="cs"/>
          <w:rtl/>
        </w:rPr>
        <w:t xml:space="preserve"> وتواضعت لعظمة جلاله وكبريائه وعظمته وعلوه وقدرته على الاشياء</w:t>
      </w:r>
      <w:r w:rsidR="00DB731D" w:rsidRPr="00A52585">
        <w:rPr>
          <w:rFonts w:hint="cs"/>
          <w:rtl/>
        </w:rPr>
        <w:t>،</w:t>
      </w:r>
      <w:r w:rsidRPr="00A52585">
        <w:rPr>
          <w:rFonts w:hint="cs"/>
          <w:rtl/>
        </w:rPr>
        <w:t xml:space="preserve"> واستكانت وتضاءلت بين يديه</w:t>
      </w:r>
      <w:r w:rsidR="00DB731D" w:rsidRPr="00A52585">
        <w:rPr>
          <w:rFonts w:hint="cs"/>
          <w:rtl/>
        </w:rPr>
        <w:t>،</w:t>
      </w:r>
      <w:r w:rsidRPr="00A52585">
        <w:rPr>
          <w:rFonts w:hint="cs"/>
          <w:rtl/>
        </w:rPr>
        <w:t xml:space="preserve"> وتحت قهره وحكمه</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149- وقال الشيخ أبو عبد الله محمد بن يوسف السنوسي عند ذكر ما يستحيل في حقه تعالى (895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والمماثلة للحوادث بأن يكونَ جرما أي يأخُذُ ذاتُه العلي قدرا من الفراغ</w:t>
      </w:r>
      <w:r w:rsidR="00DB731D" w:rsidRPr="00A52585">
        <w:rPr>
          <w:rFonts w:hint="cs"/>
          <w:rtl/>
        </w:rPr>
        <w:t>،</w:t>
      </w:r>
      <w:r w:rsidRPr="00A52585">
        <w:rPr>
          <w:rFonts w:hint="cs"/>
          <w:rtl/>
        </w:rPr>
        <w:t xml:space="preserve"> أو أن يكون عَرضا يقوم بالجرم</w:t>
      </w:r>
      <w:r w:rsidR="00DB731D" w:rsidRPr="00A52585">
        <w:rPr>
          <w:rFonts w:hint="cs"/>
          <w:rtl/>
        </w:rPr>
        <w:t>،</w:t>
      </w:r>
      <w:r w:rsidRPr="00A52585">
        <w:rPr>
          <w:rFonts w:hint="cs"/>
          <w:rtl/>
        </w:rPr>
        <w:t xml:space="preserve"> أو يكون في جهة للجرم</w:t>
      </w:r>
      <w:r w:rsidR="00DB731D" w:rsidRPr="00A52585">
        <w:rPr>
          <w:rFonts w:hint="cs"/>
          <w:rtl/>
        </w:rPr>
        <w:t>،</w:t>
      </w:r>
      <w:r w:rsidRPr="00A52585">
        <w:rPr>
          <w:rFonts w:hint="cs"/>
          <w:rtl/>
        </w:rPr>
        <w:t xml:space="preserve"> أو له هو جهة</w:t>
      </w:r>
      <w:r w:rsidR="00DB731D" w:rsidRPr="00A52585">
        <w:rPr>
          <w:rFonts w:hint="cs"/>
          <w:rtl/>
        </w:rPr>
        <w:t>،</w:t>
      </w:r>
      <w:r w:rsidRPr="00A52585">
        <w:rPr>
          <w:rFonts w:hint="cs"/>
          <w:rtl/>
        </w:rPr>
        <w:t xml:space="preserve"> أو يتقيد بمكان أو زمان</w:t>
      </w:r>
      <w:r w:rsidR="0002035C" w:rsidRPr="00A52585">
        <w:rPr>
          <w:rFonts w:hint="cs"/>
          <w:rtl/>
        </w:rPr>
        <w:t>)</w:t>
      </w:r>
      <w:r w:rsidRPr="00A52585">
        <w:rPr>
          <w:rFonts w:hint="cs"/>
          <w:rtl/>
        </w:rPr>
        <w:t xml:space="preserve"> انظر أم البراهين في العقائد (متن السنوسية)</w:t>
      </w:r>
      <w:r w:rsidR="00DB731D" w:rsidRPr="00A52585">
        <w:rPr>
          <w:rFonts w:hint="cs"/>
          <w:rtl/>
        </w:rPr>
        <w:t>،</w:t>
      </w:r>
      <w:r w:rsidRPr="00A52585">
        <w:rPr>
          <w:rFonts w:hint="cs"/>
          <w:rtl/>
        </w:rPr>
        <w:t xml:space="preserve"> المطبوع ضمن مجموع مهمات المتون (ص</w:t>
      </w:r>
      <w:r w:rsidR="0002035C" w:rsidRPr="00A52585">
        <w:rPr>
          <w:rFonts w:hint="cs"/>
          <w:rtl/>
        </w:rPr>
        <w:t xml:space="preserve">: </w:t>
      </w:r>
      <w:r w:rsidRPr="00A52585">
        <w:rPr>
          <w:rFonts w:hint="cs"/>
          <w:rtl/>
        </w:rPr>
        <w:t>4)</w:t>
      </w:r>
      <w:r w:rsidR="00DB731D" w:rsidRPr="00A52585">
        <w:rPr>
          <w:rFonts w:hint="cs"/>
          <w:rtl/>
        </w:rPr>
        <w:t>،</w:t>
      </w:r>
      <w:r w:rsidR="0002035C" w:rsidRPr="00A52585">
        <w:rPr>
          <w:rFonts w:hint="cs"/>
          <w:rtl/>
        </w:rPr>
        <w:t xml:space="preserve"> </w:t>
      </w:r>
      <w:r w:rsidRPr="00A52585">
        <w:rPr>
          <w:rFonts w:hint="cs"/>
          <w:rtl/>
        </w:rPr>
        <w:t xml:space="preserve">150- قال الشيخ محمد </w:t>
      </w:r>
      <w:proofErr w:type="spellStart"/>
      <w:r w:rsidRPr="00A52585">
        <w:rPr>
          <w:rFonts w:hint="cs"/>
          <w:rtl/>
        </w:rPr>
        <w:t>الهدهدي</w:t>
      </w:r>
      <w:proofErr w:type="spellEnd"/>
      <w:r w:rsidRPr="00A52585">
        <w:rPr>
          <w:rFonts w:hint="cs"/>
          <w:rtl/>
        </w:rPr>
        <w:t xml:space="preserve"> المصري شارحا لكلام السنوسي ما نصه</w:t>
      </w:r>
      <w:r w:rsidR="0002035C" w:rsidRPr="00A52585">
        <w:rPr>
          <w:rFonts w:hint="cs"/>
          <w:rtl/>
        </w:rPr>
        <w:t xml:space="preserve"> (</w:t>
      </w:r>
      <w:r w:rsidRPr="00A52585">
        <w:rPr>
          <w:rFonts w:hint="cs"/>
          <w:rtl/>
        </w:rPr>
        <w:t xml:space="preserve">وكذا يستحيل عليه ما يستلزم </w:t>
      </w:r>
      <w:proofErr w:type="spellStart"/>
      <w:r w:rsidRPr="00A52585">
        <w:rPr>
          <w:rFonts w:hint="cs"/>
          <w:rtl/>
        </w:rPr>
        <w:t>مماثلته</w:t>
      </w:r>
      <w:proofErr w:type="spellEnd"/>
      <w:r w:rsidRPr="00A52585">
        <w:rPr>
          <w:rFonts w:hint="cs"/>
          <w:rtl/>
        </w:rPr>
        <w:t xml:space="preserve"> للحوادث بأن يكون في جهة للجرم بأن يكون فوق الجرم أو تحت الجرم أو يمين الجرم أو شمال الجرم أو أمامه أو خلفه</w:t>
      </w:r>
      <w:r w:rsidR="00DB731D" w:rsidRPr="00A52585">
        <w:rPr>
          <w:rFonts w:hint="cs"/>
          <w:rtl/>
        </w:rPr>
        <w:t>،</w:t>
      </w:r>
      <w:r w:rsidRPr="00A52585">
        <w:rPr>
          <w:rFonts w:hint="cs"/>
          <w:rtl/>
        </w:rPr>
        <w:t xml:space="preserve"> لأنه لو كان في جهات الجرم لزم أن يكون متحيزا</w:t>
      </w:r>
      <w:r w:rsidR="00DB731D" w:rsidRPr="00A52585">
        <w:rPr>
          <w:rFonts w:hint="cs"/>
          <w:rtl/>
        </w:rPr>
        <w:t>،</w:t>
      </w:r>
      <w:r w:rsidRPr="00A52585">
        <w:rPr>
          <w:rFonts w:hint="cs"/>
          <w:rtl/>
        </w:rPr>
        <w:t xml:space="preserve"> وكذا يستحيل عليه أن يكونا له جهة لأن الجهة من لوازم الجرم</w:t>
      </w:r>
      <w:r w:rsidR="0002035C" w:rsidRPr="00A52585">
        <w:rPr>
          <w:rFonts w:hint="cs"/>
          <w:rtl/>
        </w:rPr>
        <w:t>)</w:t>
      </w:r>
      <w:r w:rsidRPr="00A52585">
        <w:rPr>
          <w:rFonts w:hint="cs"/>
          <w:rtl/>
        </w:rPr>
        <w:t xml:space="preserve"> شرح </w:t>
      </w:r>
      <w:proofErr w:type="spellStart"/>
      <w:r w:rsidRPr="00A52585">
        <w:rPr>
          <w:rFonts w:hint="cs"/>
          <w:rtl/>
        </w:rPr>
        <w:t>الهدهدي</w:t>
      </w:r>
      <w:proofErr w:type="spellEnd"/>
      <w:r w:rsidRPr="00A52585">
        <w:rPr>
          <w:rFonts w:hint="cs"/>
          <w:rtl/>
        </w:rPr>
        <w:t xml:space="preserve"> على أم البراهين (ص 88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151- وقال القاضي مصطفى بن محمد </w:t>
      </w:r>
      <w:proofErr w:type="spellStart"/>
      <w:r w:rsidRPr="00A52585">
        <w:rPr>
          <w:rFonts w:hint="cs"/>
          <w:rtl/>
        </w:rPr>
        <w:t>الكستلي</w:t>
      </w:r>
      <w:proofErr w:type="spellEnd"/>
      <w:r w:rsidRPr="00A52585">
        <w:rPr>
          <w:rFonts w:hint="cs"/>
          <w:rtl/>
        </w:rPr>
        <w:t xml:space="preserve"> الحنفي الرومي (901 هـ) في حاشيته على شرح </w:t>
      </w:r>
      <w:proofErr w:type="spellStart"/>
      <w:r w:rsidRPr="00A52585">
        <w:rPr>
          <w:rFonts w:hint="cs"/>
          <w:rtl/>
        </w:rPr>
        <w:t>التفتازاني</w:t>
      </w:r>
      <w:proofErr w:type="spellEnd"/>
      <w:r w:rsidRPr="00A52585">
        <w:rPr>
          <w:rFonts w:hint="cs"/>
          <w:rtl/>
        </w:rPr>
        <w:t xml:space="preserve"> على </w:t>
      </w:r>
      <w:proofErr w:type="spellStart"/>
      <w:r w:rsidRPr="00A52585">
        <w:rPr>
          <w:rFonts w:hint="cs"/>
          <w:rtl/>
        </w:rPr>
        <w:t>النسفية</w:t>
      </w:r>
      <w:proofErr w:type="spellEnd"/>
      <w:r w:rsidRPr="00A52585">
        <w:rPr>
          <w:rFonts w:hint="cs"/>
          <w:rtl/>
        </w:rPr>
        <w:t xml:space="preserve"> عند شرح قول </w:t>
      </w:r>
      <w:proofErr w:type="spellStart"/>
      <w:r w:rsidRPr="00A52585">
        <w:rPr>
          <w:rFonts w:hint="cs"/>
          <w:rtl/>
        </w:rPr>
        <w:t>التفتازاني</w:t>
      </w:r>
      <w:proofErr w:type="spellEnd"/>
      <w:r w:rsidRPr="00A52585">
        <w:rPr>
          <w:rFonts w:hint="cs"/>
          <w:rtl/>
        </w:rPr>
        <w:t xml:space="preserve"> في تنزيه الله عن الجهة والحيز ما نصه</w:t>
      </w:r>
      <w:r w:rsidR="0002035C" w:rsidRPr="00A52585">
        <w:rPr>
          <w:rFonts w:hint="cs"/>
          <w:rtl/>
        </w:rPr>
        <w:t>: (</w:t>
      </w:r>
      <w:r w:rsidRPr="00A52585">
        <w:rPr>
          <w:rFonts w:hint="cs"/>
          <w:rtl/>
        </w:rPr>
        <w:t>قوله</w:t>
      </w:r>
      <w:r w:rsidR="0002035C" w:rsidRPr="00A52585">
        <w:rPr>
          <w:rFonts w:hint="cs"/>
          <w:rtl/>
        </w:rPr>
        <w:t>:</w:t>
      </w:r>
      <w:r w:rsidRPr="00A52585">
        <w:rPr>
          <w:rFonts w:hint="cs"/>
          <w:rtl/>
        </w:rPr>
        <w:t xml:space="preserve"> فيلزم قدم الحيز</w:t>
      </w:r>
      <w:r w:rsidR="0002035C" w:rsidRPr="00A52585">
        <w:rPr>
          <w:rFonts w:hint="cs"/>
          <w:rtl/>
        </w:rPr>
        <w:t>)</w:t>
      </w:r>
      <w:r w:rsidRPr="00A52585">
        <w:rPr>
          <w:rFonts w:hint="cs"/>
          <w:rtl/>
        </w:rPr>
        <w:t xml:space="preserve"> إذ المتحيز لا يوجد بدون الحيز فقدمه يستلزم قدمه</w:t>
      </w:r>
      <w:r w:rsidR="0002035C" w:rsidRPr="00A52585">
        <w:rPr>
          <w:rFonts w:hint="cs"/>
          <w:rtl/>
        </w:rPr>
        <w:t>)</w:t>
      </w:r>
      <w:r w:rsidRPr="00A52585">
        <w:rPr>
          <w:rFonts w:hint="cs"/>
          <w:rtl/>
        </w:rPr>
        <w:t xml:space="preserve"> حاشية </w:t>
      </w:r>
      <w:proofErr w:type="spellStart"/>
      <w:r w:rsidRPr="00A52585">
        <w:rPr>
          <w:rFonts w:hint="cs"/>
          <w:rtl/>
        </w:rPr>
        <w:t>الكستلي</w:t>
      </w:r>
      <w:proofErr w:type="spellEnd"/>
      <w:r w:rsidRPr="00A52585">
        <w:rPr>
          <w:rFonts w:hint="cs"/>
          <w:rtl/>
        </w:rPr>
        <w:t xml:space="preserve"> على شرح العقائد (ص72)</w:t>
      </w:r>
      <w:r w:rsidR="00DB731D" w:rsidRPr="00A52585">
        <w:rPr>
          <w:rFonts w:hint="cs"/>
          <w:rtl/>
        </w:rPr>
        <w:t>،</w:t>
      </w:r>
      <w:r w:rsidR="0002035C" w:rsidRPr="00A52585">
        <w:rPr>
          <w:rFonts w:hint="cs"/>
          <w:rtl/>
        </w:rPr>
        <w:t xml:space="preserve"> </w:t>
      </w:r>
      <w:r w:rsidRPr="00A52585">
        <w:rPr>
          <w:rFonts w:hint="cs"/>
          <w:rtl/>
        </w:rPr>
        <w:t>152- وقال الشيخ أبو عبد الله محمد بن يوسف السنوسي عند ذكر ما يستحيل في حقه تعالى (895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والمماثلة للحوادث بأن يكونَ جرما أي يأخُذُ ذاتُه العلي قدرا من الفراغ</w:t>
      </w:r>
      <w:r w:rsidR="00DB731D" w:rsidRPr="00A52585">
        <w:rPr>
          <w:rFonts w:hint="cs"/>
          <w:rtl/>
        </w:rPr>
        <w:t>،</w:t>
      </w:r>
      <w:r w:rsidRPr="00A52585">
        <w:rPr>
          <w:rFonts w:hint="cs"/>
          <w:rtl/>
        </w:rPr>
        <w:t xml:space="preserve"> أو أن يكون عَرضا يقوم بالجرم</w:t>
      </w:r>
      <w:r w:rsidR="00DB731D" w:rsidRPr="00A52585">
        <w:rPr>
          <w:rFonts w:hint="cs"/>
          <w:rtl/>
        </w:rPr>
        <w:t>،</w:t>
      </w:r>
      <w:r w:rsidRPr="00A52585">
        <w:rPr>
          <w:rFonts w:hint="cs"/>
          <w:rtl/>
        </w:rPr>
        <w:t xml:space="preserve"> أو يكون في جهة للجرم</w:t>
      </w:r>
      <w:r w:rsidR="00DB731D" w:rsidRPr="00A52585">
        <w:rPr>
          <w:rFonts w:hint="cs"/>
          <w:rtl/>
        </w:rPr>
        <w:t>،</w:t>
      </w:r>
      <w:r w:rsidRPr="00A52585">
        <w:rPr>
          <w:rFonts w:hint="cs"/>
          <w:rtl/>
        </w:rPr>
        <w:t xml:space="preserve"> أو له هو جهة</w:t>
      </w:r>
      <w:r w:rsidR="00DB731D" w:rsidRPr="00A52585">
        <w:rPr>
          <w:rFonts w:hint="cs"/>
          <w:rtl/>
        </w:rPr>
        <w:t>،</w:t>
      </w:r>
      <w:r w:rsidRPr="00A52585">
        <w:rPr>
          <w:rFonts w:hint="cs"/>
          <w:rtl/>
        </w:rPr>
        <w:t xml:space="preserve"> أو يتقيد بمكان أو زمان</w:t>
      </w:r>
      <w:r w:rsidR="0002035C" w:rsidRPr="00A52585">
        <w:rPr>
          <w:rFonts w:hint="cs"/>
          <w:rtl/>
        </w:rPr>
        <w:t>)</w:t>
      </w:r>
      <w:r w:rsidRPr="00A52585">
        <w:rPr>
          <w:rFonts w:hint="cs"/>
          <w:rtl/>
        </w:rPr>
        <w:t xml:space="preserve"> انظر أم البراهين في العقائد (متن السنوسية)</w:t>
      </w:r>
      <w:r w:rsidR="00DB731D" w:rsidRPr="00A52585">
        <w:rPr>
          <w:rFonts w:hint="cs"/>
          <w:rtl/>
        </w:rPr>
        <w:t>،</w:t>
      </w:r>
      <w:r w:rsidRPr="00A52585">
        <w:rPr>
          <w:rFonts w:hint="cs"/>
          <w:rtl/>
        </w:rPr>
        <w:t xml:space="preserve"> المطبوع ضمن مجموع مهمات المتون (ص 4)</w:t>
      </w:r>
      <w:r w:rsidR="00DB731D" w:rsidRPr="00A52585">
        <w:rPr>
          <w:rFonts w:hint="cs"/>
          <w:rtl/>
        </w:rPr>
        <w:t>،</w:t>
      </w:r>
      <w:r w:rsidR="0002035C" w:rsidRPr="00A52585">
        <w:rPr>
          <w:rFonts w:hint="cs"/>
          <w:rtl/>
        </w:rPr>
        <w:t xml:space="preserve"> </w:t>
      </w:r>
      <w:r w:rsidRPr="00A52585">
        <w:rPr>
          <w:rFonts w:hint="cs"/>
          <w:rtl/>
        </w:rPr>
        <w:t xml:space="preserve">153- قال الشيخ محمد بن منصور </w:t>
      </w:r>
      <w:proofErr w:type="spellStart"/>
      <w:r w:rsidRPr="00A52585">
        <w:rPr>
          <w:rFonts w:hint="cs"/>
          <w:rtl/>
        </w:rPr>
        <w:t>الهدهدي</w:t>
      </w:r>
      <w:proofErr w:type="spellEnd"/>
      <w:r w:rsidRPr="00A52585">
        <w:rPr>
          <w:rFonts w:hint="cs"/>
          <w:rtl/>
        </w:rPr>
        <w:t xml:space="preserve"> المصري شارحا لكلام السنوسي ما نصه</w:t>
      </w:r>
      <w:r w:rsidR="0002035C" w:rsidRPr="00A52585">
        <w:rPr>
          <w:rFonts w:hint="cs"/>
          <w:rtl/>
        </w:rPr>
        <w:t>:</w:t>
      </w:r>
      <w:r w:rsidRPr="00A52585">
        <w:rPr>
          <w:rFonts w:hint="cs"/>
          <w:rtl/>
        </w:rPr>
        <w:t xml:space="preserve"> </w:t>
      </w:r>
      <w:r w:rsidRPr="00A52585">
        <w:rPr>
          <w:rFonts w:hint="cs"/>
          <w:rtl/>
        </w:rPr>
        <w:br/>
      </w:r>
      <w:r w:rsidR="0002035C" w:rsidRPr="00A52585">
        <w:rPr>
          <w:rFonts w:hint="cs"/>
          <w:rtl/>
        </w:rPr>
        <w:t>(</w:t>
      </w:r>
      <w:r w:rsidRPr="00A52585">
        <w:rPr>
          <w:rFonts w:hint="cs"/>
          <w:rtl/>
        </w:rPr>
        <w:t xml:space="preserve">وكذا يستحيل عليه ما يستلزم </w:t>
      </w:r>
      <w:proofErr w:type="spellStart"/>
      <w:r w:rsidRPr="00A52585">
        <w:rPr>
          <w:rFonts w:hint="cs"/>
          <w:rtl/>
        </w:rPr>
        <w:t>مماثلته</w:t>
      </w:r>
      <w:proofErr w:type="spellEnd"/>
      <w:r w:rsidRPr="00A52585">
        <w:rPr>
          <w:rFonts w:hint="cs"/>
          <w:rtl/>
        </w:rPr>
        <w:t xml:space="preserve"> للحوادث بأن يكون في جهة للجرم بأن يكون فوق الجرم أو تحت الجرم أو يمين الجرم أو شمال الجرم أو أمامه أو خلفه</w:t>
      </w:r>
      <w:r w:rsidR="00DB731D" w:rsidRPr="00A52585">
        <w:rPr>
          <w:rFonts w:hint="cs"/>
          <w:rtl/>
        </w:rPr>
        <w:t>،</w:t>
      </w:r>
      <w:r w:rsidRPr="00A52585">
        <w:rPr>
          <w:rFonts w:hint="cs"/>
          <w:rtl/>
        </w:rPr>
        <w:t xml:space="preserve"> لأنه لو كان في جهات الجرم لزم أن يكون متحيزا، وكذا يستحيل عليه أن يكونا له جهة لأن الجهة من لوازم الجرم</w:t>
      </w:r>
      <w:r w:rsidR="0002035C" w:rsidRPr="00A52585">
        <w:rPr>
          <w:rFonts w:hint="cs"/>
          <w:rtl/>
        </w:rPr>
        <w:t>)</w:t>
      </w:r>
      <w:r w:rsidRPr="00A52585">
        <w:rPr>
          <w:rFonts w:hint="cs"/>
          <w:rtl/>
        </w:rPr>
        <w:t xml:space="preserve"> شرح </w:t>
      </w:r>
      <w:proofErr w:type="spellStart"/>
      <w:r w:rsidRPr="00A52585">
        <w:rPr>
          <w:rFonts w:hint="cs"/>
          <w:rtl/>
        </w:rPr>
        <w:t>الهدهدي</w:t>
      </w:r>
      <w:proofErr w:type="spellEnd"/>
      <w:r w:rsidRPr="00A52585">
        <w:rPr>
          <w:rFonts w:hint="cs"/>
          <w:rtl/>
        </w:rPr>
        <w:t xml:space="preserve"> على أم البراهين (ص 88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154- وقال القاضي مصطفى بن محمد </w:t>
      </w:r>
      <w:proofErr w:type="spellStart"/>
      <w:r w:rsidRPr="00A52585">
        <w:rPr>
          <w:rFonts w:hint="cs"/>
          <w:rtl/>
        </w:rPr>
        <w:t>الكستلي</w:t>
      </w:r>
      <w:proofErr w:type="spellEnd"/>
      <w:r w:rsidRPr="00A52585">
        <w:rPr>
          <w:rFonts w:hint="cs"/>
          <w:rtl/>
        </w:rPr>
        <w:t xml:space="preserve"> الحنفي الرومي (901 هـ) في حاشيته على شرح </w:t>
      </w:r>
      <w:proofErr w:type="spellStart"/>
      <w:r w:rsidRPr="00A52585">
        <w:rPr>
          <w:rFonts w:hint="cs"/>
          <w:rtl/>
        </w:rPr>
        <w:t>التفتازاني</w:t>
      </w:r>
      <w:proofErr w:type="spellEnd"/>
      <w:r w:rsidRPr="00A52585">
        <w:rPr>
          <w:rFonts w:hint="cs"/>
          <w:rtl/>
        </w:rPr>
        <w:t xml:space="preserve"> على </w:t>
      </w:r>
      <w:proofErr w:type="spellStart"/>
      <w:r w:rsidRPr="00A52585">
        <w:rPr>
          <w:rFonts w:hint="cs"/>
          <w:rtl/>
        </w:rPr>
        <w:t>النسفية</w:t>
      </w:r>
      <w:proofErr w:type="spellEnd"/>
      <w:r w:rsidRPr="00A52585">
        <w:rPr>
          <w:rFonts w:hint="cs"/>
          <w:rtl/>
        </w:rPr>
        <w:t xml:space="preserve"> عند شرح قول </w:t>
      </w:r>
      <w:proofErr w:type="spellStart"/>
      <w:r w:rsidRPr="00A52585">
        <w:rPr>
          <w:rFonts w:hint="cs"/>
          <w:rtl/>
        </w:rPr>
        <w:t>التفتازاني</w:t>
      </w:r>
      <w:proofErr w:type="spellEnd"/>
      <w:r w:rsidRPr="00A52585">
        <w:rPr>
          <w:rFonts w:hint="cs"/>
          <w:rtl/>
        </w:rPr>
        <w:t xml:space="preserve"> في تنزيه الله عن الجهة والحيز ما نصه</w:t>
      </w:r>
      <w:r w:rsidR="0002035C" w:rsidRPr="00A52585">
        <w:rPr>
          <w:rFonts w:hint="cs"/>
          <w:rtl/>
        </w:rPr>
        <w:t>: (</w:t>
      </w:r>
      <w:r w:rsidRPr="00A52585">
        <w:rPr>
          <w:rFonts w:hint="cs"/>
          <w:rtl/>
        </w:rPr>
        <w:t>قوله</w:t>
      </w:r>
      <w:r w:rsidR="0002035C" w:rsidRPr="00A52585">
        <w:rPr>
          <w:rFonts w:hint="cs"/>
          <w:rtl/>
        </w:rPr>
        <w:t>:</w:t>
      </w:r>
      <w:r w:rsidRPr="00A52585">
        <w:rPr>
          <w:rFonts w:hint="cs"/>
          <w:rtl/>
        </w:rPr>
        <w:t xml:space="preserve"> فيلزم قدم الحيز</w:t>
      </w:r>
      <w:r w:rsidR="0002035C" w:rsidRPr="00A52585">
        <w:rPr>
          <w:rFonts w:hint="cs"/>
          <w:rtl/>
        </w:rPr>
        <w:t>)</w:t>
      </w:r>
      <w:r w:rsidRPr="00A52585">
        <w:rPr>
          <w:rFonts w:hint="cs"/>
          <w:rtl/>
        </w:rPr>
        <w:t xml:space="preserve"> إذ المتحيز لا يوجد بدون الحيز فقدمه يستلزم قدمه</w:t>
      </w:r>
      <w:r w:rsidR="0002035C" w:rsidRPr="00A52585">
        <w:rPr>
          <w:rFonts w:hint="cs"/>
          <w:rtl/>
        </w:rPr>
        <w:t>)</w:t>
      </w:r>
      <w:r w:rsidRPr="00A52585">
        <w:rPr>
          <w:rFonts w:hint="cs"/>
          <w:rtl/>
        </w:rPr>
        <w:t xml:space="preserve"> حاشية </w:t>
      </w:r>
      <w:proofErr w:type="spellStart"/>
      <w:r w:rsidRPr="00A52585">
        <w:rPr>
          <w:rFonts w:hint="cs"/>
          <w:rtl/>
        </w:rPr>
        <w:t>الكستلي</w:t>
      </w:r>
      <w:proofErr w:type="spellEnd"/>
      <w:r w:rsidRPr="00A52585">
        <w:rPr>
          <w:rFonts w:hint="cs"/>
          <w:rtl/>
        </w:rPr>
        <w:t xml:space="preserve"> على شرح العقائد (ص72)</w:t>
      </w:r>
      <w:r w:rsidR="00DB731D" w:rsidRPr="00A52585">
        <w:rPr>
          <w:rFonts w:hint="cs"/>
          <w:rtl/>
        </w:rPr>
        <w:t>،</w:t>
      </w:r>
      <w:r w:rsidR="0002035C" w:rsidRPr="00A52585">
        <w:rPr>
          <w:rFonts w:hint="cs"/>
          <w:rtl/>
        </w:rPr>
        <w:t xml:space="preserve"> </w:t>
      </w:r>
      <w:r w:rsidRPr="00A52585">
        <w:rPr>
          <w:rFonts w:hint="cs"/>
          <w:rtl/>
        </w:rPr>
        <w:t>155- الحافظ محمد بن عبد الرحمن السخاوي (902 هـ</w:t>
      </w:r>
      <w:r w:rsidR="0002035C" w:rsidRPr="00A52585">
        <w:rPr>
          <w:rFonts w:hint="cs"/>
          <w:rtl/>
        </w:rPr>
        <w:t>)</w:t>
      </w:r>
      <w:r w:rsidRPr="00A52585">
        <w:rPr>
          <w:rFonts w:hint="cs"/>
          <w:rtl/>
        </w:rPr>
        <w:t>ما نصه</w:t>
      </w:r>
      <w:r w:rsidR="0002035C" w:rsidRPr="00A52585">
        <w:rPr>
          <w:rFonts w:hint="cs"/>
          <w:rtl/>
        </w:rPr>
        <w:t>: (</w:t>
      </w:r>
      <w:r w:rsidRPr="00A52585">
        <w:rPr>
          <w:rFonts w:hint="cs"/>
          <w:rtl/>
        </w:rPr>
        <w:t xml:space="preserve">قال </w:t>
      </w:r>
      <w:r w:rsidRPr="00A52585">
        <w:rPr>
          <w:rFonts w:hint="cs"/>
          <w:rtl/>
        </w:rPr>
        <w:lastRenderedPageBreak/>
        <w:t>شيخنا - يعني الحافظ ابن حجر -</w:t>
      </w:r>
      <w:r w:rsidR="0002035C" w:rsidRPr="00A52585">
        <w:rPr>
          <w:rFonts w:hint="cs"/>
          <w:rtl/>
        </w:rPr>
        <w:t>:</w:t>
      </w:r>
      <w:r w:rsidRPr="00A52585">
        <w:rPr>
          <w:rFonts w:hint="cs"/>
          <w:rtl/>
        </w:rPr>
        <w:t xml:space="preserve"> إن علم الله يشمل جميع الأقطار</w:t>
      </w:r>
      <w:r w:rsidR="00DB731D" w:rsidRPr="00A52585">
        <w:rPr>
          <w:rFonts w:hint="cs"/>
          <w:rtl/>
        </w:rPr>
        <w:t>،</w:t>
      </w:r>
      <w:r w:rsidRPr="00A52585">
        <w:rPr>
          <w:rFonts w:hint="cs"/>
          <w:rtl/>
        </w:rPr>
        <w:t xml:space="preserve"> والله سبحانه وتعالى منزه عن الحلول في الأماكن</w:t>
      </w:r>
      <w:r w:rsidR="00DB731D" w:rsidRPr="00A52585">
        <w:rPr>
          <w:rFonts w:hint="cs"/>
          <w:rtl/>
        </w:rPr>
        <w:t>،</w:t>
      </w:r>
      <w:r w:rsidRPr="00A52585">
        <w:rPr>
          <w:rFonts w:hint="cs"/>
          <w:rtl/>
        </w:rPr>
        <w:t xml:space="preserve"> فإنه سبحانه وتعالى كان قبل أن تحدث الأماكن</w:t>
      </w:r>
      <w:r w:rsidR="0002035C" w:rsidRPr="00A52585">
        <w:rPr>
          <w:rFonts w:hint="cs"/>
          <w:rtl/>
        </w:rPr>
        <w:t>)</w:t>
      </w:r>
      <w:r w:rsidRPr="00A52585">
        <w:rPr>
          <w:rFonts w:hint="cs"/>
          <w:rtl/>
        </w:rPr>
        <w:t xml:space="preserve"> المقاصد الحسنة (رقم 886</w:t>
      </w:r>
      <w:r w:rsidR="00DB731D" w:rsidRPr="00A52585">
        <w:rPr>
          <w:rFonts w:hint="cs"/>
          <w:rtl/>
        </w:rPr>
        <w:t>،</w:t>
      </w:r>
      <w:r w:rsidRPr="00A52585">
        <w:rPr>
          <w:rFonts w:hint="cs"/>
          <w:rtl/>
        </w:rPr>
        <w:t xml:space="preserve"> ص 342)</w:t>
      </w:r>
      <w:r w:rsidR="00DB731D" w:rsidRPr="00A52585">
        <w:rPr>
          <w:rFonts w:hint="cs"/>
          <w:rtl/>
        </w:rPr>
        <w:t>،</w:t>
      </w:r>
      <w:r w:rsidR="0002035C" w:rsidRPr="00A52585">
        <w:rPr>
          <w:rFonts w:hint="cs"/>
          <w:rtl/>
        </w:rPr>
        <w:t xml:space="preserve"> </w:t>
      </w:r>
      <w:r w:rsidRPr="00A52585">
        <w:rPr>
          <w:rFonts w:hint="cs"/>
          <w:rtl/>
        </w:rPr>
        <w:t>156- وذكر الإمام السيوطي</w:t>
      </w:r>
      <w:r w:rsidR="0002035C" w:rsidRPr="00A52585">
        <w:rPr>
          <w:rFonts w:hint="cs"/>
          <w:rtl/>
        </w:rPr>
        <w:t>: (</w:t>
      </w:r>
      <w:r w:rsidRPr="00A52585">
        <w:rPr>
          <w:rFonts w:hint="cs"/>
          <w:rtl/>
        </w:rPr>
        <w:t>قال القرطبي</w:t>
      </w:r>
      <w:r w:rsidR="0002035C" w:rsidRPr="00A52585">
        <w:rPr>
          <w:rFonts w:hint="cs"/>
          <w:rtl/>
        </w:rPr>
        <w:t>:</w:t>
      </w:r>
      <w:r w:rsidRPr="00A52585">
        <w:rPr>
          <w:rFonts w:hint="cs"/>
          <w:rtl/>
        </w:rPr>
        <w:t xml:space="preserve"> هذا أقرب بالرتبة والكرامة لا بالمسافة</w:t>
      </w:r>
      <w:r w:rsidR="00DB731D" w:rsidRPr="00A52585">
        <w:rPr>
          <w:rFonts w:hint="cs"/>
          <w:rtl/>
        </w:rPr>
        <w:t>،</w:t>
      </w:r>
      <w:r w:rsidRPr="00A52585">
        <w:rPr>
          <w:rFonts w:hint="cs"/>
          <w:rtl/>
        </w:rPr>
        <w:t xml:space="preserve"> لأنه منزه عن المكان والمساحة والزمان</w:t>
      </w:r>
      <w:r w:rsidR="00897A24" w:rsidRPr="00A52585">
        <w:rPr>
          <w:rFonts w:hint="cs"/>
          <w:rtl/>
        </w:rPr>
        <w:t>.</w:t>
      </w:r>
      <w:r w:rsidRPr="00A52585">
        <w:rPr>
          <w:rFonts w:hint="cs"/>
          <w:rtl/>
        </w:rPr>
        <w:t xml:space="preserve"> وقال البدر بن الصاحب في تذكرته</w:t>
      </w:r>
      <w:r w:rsidR="0002035C" w:rsidRPr="00A52585">
        <w:rPr>
          <w:rFonts w:hint="cs"/>
          <w:rtl/>
        </w:rPr>
        <w:t>:</w:t>
      </w:r>
      <w:r w:rsidRPr="00A52585">
        <w:rPr>
          <w:rFonts w:hint="cs"/>
          <w:rtl/>
        </w:rPr>
        <w:t xml:space="preserve"> في الحديث إشارة إلى نفي الجهة عن الله تعالى</w:t>
      </w:r>
      <w:r w:rsidR="0002035C" w:rsidRPr="00A52585">
        <w:rPr>
          <w:rFonts w:hint="cs"/>
          <w:rtl/>
        </w:rPr>
        <w:t>)</w:t>
      </w:r>
      <w:r w:rsidRPr="00A52585">
        <w:rPr>
          <w:rFonts w:hint="cs"/>
          <w:rtl/>
        </w:rPr>
        <w:t xml:space="preserve"> شرح السيوطي لسنن </w:t>
      </w:r>
      <w:proofErr w:type="spellStart"/>
      <w:r w:rsidRPr="00A52585">
        <w:rPr>
          <w:rFonts w:hint="cs"/>
          <w:rtl/>
        </w:rPr>
        <w:t>النساني</w:t>
      </w:r>
      <w:proofErr w:type="spellEnd"/>
      <w:r w:rsidRPr="00A52585">
        <w:rPr>
          <w:rFonts w:hint="cs"/>
          <w:rtl/>
        </w:rPr>
        <w:t xml:space="preserve"> </w:t>
      </w:r>
      <w:r w:rsidR="0002035C" w:rsidRPr="00A52585">
        <w:rPr>
          <w:rFonts w:hint="cs"/>
          <w:rtl/>
        </w:rPr>
        <w:t>(</w:t>
      </w:r>
      <w:r w:rsidRPr="00A52585">
        <w:rPr>
          <w:rFonts w:hint="cs"/>
          <w:rtl/>
        </w:rPr>
        <w:t>1</w:t>
      </w:r>
      <w:r w:rsidR="0002035C" w:rsidRPr="00A52585">
        <w:rPr>
          <w:rFonts w:hint="cs"/>
          <w:rtl/>
        </w:rPr>
        <w:t xml:space="preserve">: </w:t>
      </w:r>
      <w:r w:rsidRPr="00A52585">
        <w:rPr>
          <w:rFonts w:hint="cs"/>
          <w:rtl/>
        </w:rPr>
        <w:t>576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157- وقال الشيخ أبو العباس شهاب الدين أحمد بن محمد </w:t>
      </w:r>
      <w:proofErr w:type="spellStart"/>
      <w:r w:rsidRPr="00A52585">
        <w:rPr>
          <w:rFonts w:hint="cs"/>
          <w:rtl/>
        </w:rPr>
        <w:t>القسطلاني</w:t>
      </w:r>
      <w:proofErr w:type="spellEnd"/>
      <w:r w:rsidRPr="00A52585">
        <w:rPr>
          <w:rFonts w:hint="cs"/>
          <w:rtl/>
        </w:rPr>
        <w:t xml:space="preserve"> المصري (933هـ) في شرحه على صحيح البخاري ما نصه</w:t>
      </w:r>
      <w:r w:rsidR="0002035C" w:rsidRPr="00A52585">
        <w:rPr>
          <w:rFonts w:hint="cs"/>
          <w:rtl/>
        </w:rPr>
        <w:t>: (</w:t>
      </w:r>
      <w:r w:rsidRPr="00A52585">
        <w:rPr>
          <w:rFonts w:hint="cs"/>
          <w:rtl/>
        </w:rPr>
        <w:t>ذات الله منزه عن المكان والجهة</w:t>
      </w:r>
      <w:r w:rsidR="0002035C" w:rsidRPr="00A52585">
        <w:rPr>
          <w:rFonts w:hint="cs"/>
          <w:rtl/>
        </w:rPr>
        <w:t>)</w:t>
      </w:r>
      <w:r w:rsidRPr="00A52585">
        <w:rPr>
          <w:rFonts w:hint="cs"/>
          <w:rtl/>
        </w:rPr>
        <w:t xml:space="preserve"> إرشاد الساري (15</w:t>
      </w:r>
      <w:r w:rsidR="0002035C" w:rsidRPr="00A52585">
        <w:rPr>
          <w:rFonts w:hint="cs"/>
          <w:rtl/>
        </w:rPr>
        <w:t xml:space="preserve">: </w:t>
      </w:r>
      <w:r w:rsidRPr="00A52585">
        <w:rPr>
          <w:rFonts w:hint="cs"/>
          <w:rtl/>
        </w:rPr>
        <w:t>451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158- وقال أيضا ما نصه</w:t>
      </w:r>
      <w:r w:rsidR="0002035C" w:rsidRPr="00A52585">
        <w:rPr>
          <w:rFonts w:hint="cs"/>
          <w:rtl/>
        </w:rPr>
        <w:t>: (</w:t>
      </w:r>
      <w:r w:rsidRPr="00A52585">
        <w:rPr>
          <w:rFonts w:hint="cs"/>
          <w:rtl/>
        </w:rPr>
        <w:t>قول الله تعالى "وُجُوُهٌ" هي وجوه المؤمنين "يَوْمَئًذٍ" يوم القيامة "نَّاضِرَةٌ حسنة ناعمة "إلى رَبِّهَا نَاظِرَةٌ" بلا كيفية ولا جهة ولا ثبوت مسافة</w:t>
      </w:r>
      <w:r w:rsidR="0002035C" w:rsidRPr="00A52585">
        <w:rPr>
          <w:rFonts w:hint="cs"/>
          <w:rtl/>
        </w:rPr>
        <w:t>)</w:t>
      </w:r>
      <w:r w:rsidRPr="00A52585">
        <w:rPr>
          <w:rFonts w:hint="cs"/>
          <w:rtl/>
        </w:rPr>
        <w:t xml:space="preserve"> إرشاد الساري (15</w:t>
      </w:r>
      <w:r w:rsidR="0002035C" w:rsidRPr="00A52585">
        <w:rPr>
          <w:rFonts w:hint="cs"/>
          <w:rtl/>
        </w:rPr>
        <w:t xml:space="preserve">: </w:t>
      </w:r>
      <w:r w:rsidRPr="00A52585">
        <w:rPr>
          <w:rFonts w:hint="cs"/>
          <w:rtl/>
        </w:rPr>
        <w:t>462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159- وقال الشيخ القاضي زكريا الأنصاري الشافعي (926 هـ) في شرحه على "الرسالة القشيرية" ما نصه</w:t>
      </w:r>
      <w:r w:rsidR="0002035C" w:rsidRPr="00A52585">
        <w:rPr>
          <w:rFonts w:hint="cs"/>
          <w:rtl/>
        </w:rPr>
        <w:t>: (</w:t>
      </w:r>
      <w:r w:rsidRPr="00A52585">
        <w:rPr>
          <w:rFonts w:hint="cs"/>
          <w:rtl/>
        </w:rPr>
        <w:t>إن الله ليس بجسم ولا عَرَض ولا في مكان ولا زمان</w:t>
      </w:r>
      <w:r w:rsidR="0002035C" w:rsidRPr="00A52585">
        <w:rPr>
          <w:rFonts w:hint="cs"/>
          <w:rtl/>
        </w:rPr>
        <w:t>)</w:t>
      </w:r>
      <w:r w:rsidRPr="00A52585">
        <w:rPr>
          <w:rFonts w:hint="cs"/>
          <w:rtl/>
        </w:rPr>
        <w:t xml:space="preserve"> حاشية الرسالة القشيرية (ص 2)</w:t>
      </w:r>
      <w:r w:rsidR="00DB731D" w:rsidRPr="00A52585">
        <w:rPr>
          <w:rFonts w:hint="cs"/>
          <w:rtl/>
        </w:rPr>
        <w:t>،</w:t>
      </w:r>
      <w:r w:rsidR="0002035C" w:rsidRPr="00A52585">
        <w:rPr>
          <w:rFonts w:hint="cs"/>
          <w:rtl/>
        </w:rPr>
        <w:t xml:space="preserve"> </w:t>
      </w:r>
      <w:r w:rsidRPr="00A52585">
        <w:rPr>
          <w:rFonts w:hint="cs"/>
          <w:rtl/>
        </w:rPr>
        <w:t>160- وقال أيضا عن الله ما نصه</w:t>
      </w:r>
      <w:r w:rsidR="0002035C" w:rsidRPr="00A52585">
        <w:rPr>
          <w:rFonts w:hint="cs"/>
          <w:rtl/>
        </w:rPr>
        <w:t>: (</w:t>
      </w:r>
      <w:r w:rsidRPr="00A52585">
        <w:rPr>
          <w:rFonts w:hint="cs"/>
          <w:rtl/>
        </w:rPr>
        <w:t>لا مكان له كما لا زمان له لأنه الخالق لكل مكان وزمان</w:t>
      </w:r>
      <w:r w:rsidR="0002035C" w:rsidRPr="00A52585">
        <w:rPr>
          <w:rFonts w:hint="cs"/>
          <w:rtl/>
        </w:rPr>
        <w:t>)</w:t>
      </w:r>
      <w:r w:rsidRPr="00A52585">
        <w:rPr>
          <w:rFonts w:hint="cs"/>
          <w:rtl/>
        </w:rPr>
        <w:t xml:space="preserve"> حاشية الرسالة القشيرية </w:t>
      </w:r>
      <w:r w:rsidR="0002035C" w:rsidRPr="00A52585">
        <w:rPr>
          <w:rFonts w:hint="cs"/>
          <w:rtl/>
        </w:rPr>
        <w:t>(</w:t>
      </w:r>
      <w:r w:rsidRPr="00A52585">
        <w:rPr>
          <w:rFonts w:hint="cs"/>
          <w:rtl/>
        </w:rPr>
        <w:t>ص 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161- وقال في تفسيره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هو تعالى منزه عن كل مكان</w:t>
      </w:r>
      <w:r w:rsidR="0002035C" w:rsidRPr="00A52585">
        <w:rPr>
          <w:rFonts w:hint="cs"/>
          <w:rtl/>
        </w:rPr>
        <w:t>)</w:t>
      </w:r>
      <w:r w:rsidRPr="00A52585">
        <w:rPr>
          <w:rFonts w:hint="cs"/>
          <w:rtl/>
        </w:rPr>
        <w:t xml:space="preserve"> فتح الرحمن</w:t>
      </w:r>
      <w:r w:rsidR="0002035C" w:rsidRPr="00A52585">
        <w:rPr>
          <w:rFonts w:hint="cs"/>
          <w:rtl/>
        </w:rPr>
        <w:t>:</w:t>
      </w:r>
      <w:r w:rsidRPr="00A52585">
        <w:rPr>
          <w:rFonts w:hint="cs"/>
          <w:rtl/>
        </w:rPr>
        <w:t xml:space="preserve"> تفسير سورة الملك (ص 595)</w:t>
      </w:r>
      <w:r w:rsidR="00DB731D" w:rsidRPr="00A52585">
        <w:rPr>
          <w:rFonts w:hint="cs"/>
          <w:rtl/>
        </w:rPr>
        <w:t>،</w:t>
      </w:r>
      <w:r w:rsidR="0002035C" w:rsidRPr="00A52585">
        <w:rPr>
          <w:rFonts w:hint="cs"/>
          <w:rtl/>
        </w:rPr>
        <w:t xml:space="preserve"> </w:t>
      </w:r>
      <w:r w:rsidRPr="00A52585">
        <w:rPr>
          <w:rFonts w:hint="cs"/>
          <w:rtl/>
        </w:rPr>
        <w:t>162- وقال الشيخ أبو علي محمد بن علي بن عبد الرحمن الصوفي الزاهد المعروف بابن عِراق الكناني الدمشقي نزيل بيروت (933</w:t>
      </w:r>
      <w:r w:rsidR="0002035C" w:rsidRPr="00A52585">
        <w:rPr>
          <w:rFonts w:hint="cs"/>
          <w:rtl/>
        </w:rPr>
        <w:t>)</w:t>
      </w:r>
      <w:r w:rsidRPr="00A52585">
        <w:rPr>
          <w:rFonts w:hint="cs"/>
          <w:rtl/>
        </w:rPr>
        <w:t xml:space="preserve"> ما نصه</w:t>
      </w:r>
      <w:r w:rsidR="0002035C" w:rsidRPr="00A52585">
        <w:rPr>
          <w:rFonts w:hint="cs"/>
          <w:rtl/>
        </w:rPr>
        <w:t>: (</w:t>
      </w:r>
      <w:r w:rsidRPr="00A52585">
        <w:rPr>
          <w:rFonts w:hint="cs"/>
          <w:rtl/>
        </w:rPr>
        <w:t>كان الله ولا مكان وهو الآن على ما عليه كان</w:t>
      </w:r>
      <w:r w:rsidR="00DB731D" w:rsidRPr="00A52585">
        <w:rPr>
          <w:rFonts w:hint="cs"/>
          <w:rtl/>
        </w:rPr>
        <w:t>،</w:t>
      </w:r>
      <w:r w:rsidRPr="00A52585">
        <w:rPr>
          <w:rFonts w:hint="cs"/>
          <w:rtl/>
        </w:rPr>
        <w:t xml:space="preserve"> جَلَّ عن التشبيه والتقدير</w:t>
      </w:r>
      <w:r w:rsidR="00DB731D" w:rsidRPr="00A52585">
        <w:rPr>
          <w:rFonts w:hint="cs"/>
          <w:rtl/>
        </w:rPr>
        <w:t>،</w:t>
      </w:r>
      <w:r w:rsidRPr="00A52585">
        <w:rPr>
          <w:rFonts w:hint="cs"/>
          <w:rtl/>
        </w:rPr>
        <w:t xml:space="preserve"> والتكييف والتغيير</w:t>
      </w:r>
      <w:r w:rsidR="00DB731D" w:rsidRPr="00A52585">
        <w:rPr>
          <w:rFonts w:hint="cs"/>
          <w:rtl/>
        </w:rPr>
        <w:t>،</w:t>
      </w:r>
      <w:r w:rsidRPr="00A52585">
        <w:rPr>
          <w:rFonts w:hint="cs"/>
          <w:rtl/>
        </w:rPr>
        <w:t xml:space="preserve"> والتأليف والتصوير</w:t>
      </w:r>
      <w:r w:rsidR="0002035C" w:rsidRPr="00A52585">
        <w:rPr>
          <w:rFonts w:hint="cs"/>
          <w:rtl/>
        </w:rPr>
        <w:t>)</w:t>
      </w:r>
      <w:r w:rsidRPr="00A52585">
        <w:rPr>
          <w:rFonts w:hint="cs"/>
          <w:rtl/>
        </w:rPr>
        <w:t xml:space="preserve"> انظر تاريخ النور السافر (ص175</w:t>
      </w:r>
      <w:r w:rsidR="0002035C" w:rsidRPr="00A52585">
        <w:rPr>
          <w:rFonts w:hint="cs"/>
          <w:rtl/>
        </w:rPr>
        <w:t>)</w:t>
      </w:r>
      <w:r w:rsidR="00DB731D" w:rsidRPr="00A52585">
        <w:rPr>
          <w:rFonts w:hint="cs"/>
          <w:rtl/>
        </w:rPr>
        <w:t>،</w:t>
      </w:r>
      <w:r w:rsidRPr="00A52585">
        <w:rPr>
          <w:rFonts w:hint="cs"/>
          <w:rtl/>
        </w:rPr>
        <w:t xml:space="preserve"> قلت وابن عراق هذا ولد بدمشق ورحل إلى مصر والتقى بعدد من العلماء منهم القاضي زكريا وجلال الدين السيوطي</w:t>
      </w:r>
      <w:r w:rsidR="00DB731D" w:rsidRPr="00A52585">
        <w:rPr>
          <w:rFonts w:hint="cs"/>
          <w:rtl/>
        </w:rPr>
        <w:t>،</w:t>
      </w:r>
      <w:r w:rsidRPr="00A52585">
        <w:rPr>
          <w:rFonts w:hint="cs"/>
          <w:rtl/>
        </w:rPr>
        <w:t xml:space="preserve"> ورجع إلى الشام ثم انتقل إلى بيروت وقعد لتربية المريدين وبنى بها دارا لعياله ورباطا للفقراء</w:t>
      </w:r>
      <w:r w:rsidR="00DB731D" w:rsidRPr="00A52585">
        <w:rPr>
          <w:rFonts w:hint="cs"/>
          <w:rtl/>
        </w:rPr>
        <w:t>،</w:t>
      </w:r>
      <w:r w:rsidRPr="00A52585">
        <w:rPr>
          <w:rFonts w:hint="cs"/>
          <w:rtl/>
        </w:rPr>
        <w:t xml:space="preserve"> وهو صاحـب الزاوية المشهورة بزاوية ابن عِراق في وسط بيروت</w:t>
      </w:r>
      <w:r w:rsidR="00DB731D" w:rsidRPr="00A52585">
        <w:rPr>
          <w:rFonts w:hint="cs"/>
          <w:rtl/>
        </w:rPr>
        <w:t>،</w:t>
      </w:r>
      <w:r w:rsidRPr="00A52585">
        <w:rPr>
          <w:rFonts w:hint="cs"/>
          <w:rtl/>
        </w:rPr>
        <w:t xml:space="preserve"> وحج وتردد بين الحرمين مرارا</w:t>
      </w:r>
      <w:r w:rsidR="00DB731D" w:rsidRPr="00A52585">
        <w:rPr>
          <w:rFonts w:hint="cs"/>
          <w:rtl/>
        </w:rPr>
        <w:t>،</w:t>
      </w:r>
      <w:r w:rsidRPr="00A52585">
        <w:rPr>
          <w:rFonts w:hint="cs"/>
          <w:rtl/>
        </w:rPr>
        <w:t xml:space="preserve"> وتوفي رحمه الله تعالى بمكة المكرمة</w:t>
      </w:r>
      <w:r w:rsidR="00DB731D" w:rsidRPr="00A52585">
        <w:rPr>
          <w:rFonts w:hint="cs"/>
          <w:rtl/>
        </w:rPr>
        <w:t>،</w:t>
      </w:r>
      <w:r w:rsidRPr="00A52585">
        <w:rPr>
          <w:rFonts w:hint="cs"/>
          <w:rtl/>
        </w:rPr>
        <w:t xml:space="preserve"> وهو والد علي بن محمد صاحب كتاب (تنزيه الشريعة المرفوعة عن الأخبار الشنيعة الموضوعة)</w:t>
      </w:r>
      <w:r w:rsidR="00897A24" w:rsidRPr="00A52585">
        <w:rPr>
          <w:rFonts w:hint="cs"/>
          <w:rtl/>
        </w:rPr>
        <w:t>.</w:t>
      </w:r>
      <w:r w:rsidRPr="00A52585">
        <w:rPr>
          <w:rFonts w:hint="cs"/>
          <w:rtl/>
        </w:rPr>
        <w:t xml:space="preserve"> أنظر ترجمته</w:t>
      </w:r>
      <w:r w:rsidR="0002035C" w:rsidRPr="00A52585">
        <w:rPr>
          <w:rFonts w:hint="cs"/>
          <w:rtl/>
        </w:rPr>
        <w:t>:</w:t>
      </w:r>
      <w:r w:rsidRPr="00A52585">
        <w:rPr>
          <w:rFonts w:hint="cs"/>
          <w:rtl/>
        </w:rPr>
        <w:t xml:space="preserve"> تاريخ النور السافر (ص174)، شذرات الذهب (8</w:t>
      </w:r>
      <w:r w:rsidR="0002035C" w:rsidRPr="00A52585">
        <w:rPr>
          <w:rFonts w:hint="cs"/>
          <w:rtl/>
        </w:rPr>
        <w:t xml:space="preserve">: </w:t>
      </w:r>
      <w:r w:rsidRPr="00A52585">
        <w:rPr>
          <w:rFonts w:hint="cs"/>
          <w:rtl/>
        </w:rPr>
        <w:t>196</w:t>
      </w:r>
      <w:r w:rsidR="0002035C" w:rsidRPr="00A52585">
        <w:rPr>
          <w:rFonts w:hint="cs"/>
          <w:rtl/>
        </w:rPr>
        <w:t>)</w:t>
      </w:r>
      <w:r w:rsidRPr="00A52585">
        <w:rPr>
          <w:rFonts w:hint="cs"/>
          <w:rtl/>
        </w:rPr>
        <w:t>، وغيرها من المصادر 151</w:t>
      </w:r>
      <w:r w:rsidR="00DB731D" w:rsidRPr="00A52585">
        <w:rPr>
          <w:rFonts w:hint="cs"/>
          <w:rtl/>
        </w:rPr>
        <w:t>،</w:t>
      </w:r>
      <w:r w:rsidR="0002035C" w:rsidRPr="00A52585">
        <w:rPr>
          <w:rFonts w:hint="cs"/>
          <w:rtl/>
        </w:rPr>
        <w:t xml:space="preserve"> </w:t>
      </w:r>
      <w:r w:rsidRPr="00A52585">
        <w:rPr>
          <w:rFonts w:hint="cs"/>
          <w:rtl/>
        </w:rPr>
        <w:t>163-وقال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ذات الله ليس بجسم</w:t>
      </w:r>
      <w:r w:rsidR="00DB731D" w:rsidRPr="00A52585">
        <w:rPr>
          <w:rFonts w:hint="cs"/>
          <w:rtl/>
        </w:rPr>
        <w:t>،</w:t>
      </w:r>
      <w:r w:rsidRPr="00A52585">
        <w:rPr>
          <w:rFonts w:hint="cs"/>
          <w:rtl/>
        </w:rPr>
        <w:t xml:space="preserve"> فالجسم بالجهات محفوف</w:t>
      </w:r>
      <w:r w:rsidR="00DB731D" w:rsidRPr="00A52585">
        <w:rPr>
          <w:rFonts w:hint="cs"/>
          <w:rtl/>
        </w:rPr>
        <w:t>،</w:t>
      </w:r>
      <w:r w:rsidRPr="00A52585">
        <w:rPr>
          <w:rFonts w:hint="cs"/>
          <w:rtl/>
        </w:rPr>
        <w:t xml:space="preserve"> هو الله الذي لا إله إلا هو الملك القدوس</w:t>
      </w:r>
      <w:r w:rsidR="00DB731D" w:rsidRPr="00A52585">
        <w:rPr>
          <w:rFonts w:hint="cs"/>
          <w:rtl/>
        </w:rPr>
        <w:t>،</w:t>
      </w:r>
      <w:r w:rsidRPr="00A52585">
        <w:rPr>
          <w:rFonts w:hint="cs"/>
          <w:rtl/>
        </w:rPr>
        <w:t xml:space="preserve"> على العرش استوى من غير تمكن ولا جلوس</w:t>
      </w:r>
      <w:r w:rsidR="0002035C" w:rsidRPr="00A52585">
        <w:rPr>
          <w:rFonts w:hint="cs"/>
          <w:rtl/>
        </w:rPr>
        <w:t>)</w:t>
      </w:r>
      <w:r w:rsidRPr="00A52585">
        <w:rPr>
          <w:rFonts w:hint="cs"/>
          <w:rtl/>
        </w:rPr>
        <w:t xml:space="preserve"> تاريخ النور السافر (ص 175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164- وقال الحافظ المؤرخ محمد بن علي المعروف بابن طولون الحنفي (953 هـ) ما نصه</w:t>
      </w:r>
      <w:r w:rsidR="0002035C" w:rsidRPr="00A52585">
        <w:rPr>
          <w:rFonts w:hint="cs"/>
          <w:rtl/>
        </w:rPr>
        <w:t>: (</w:t>
      </w:r>
      <w:r w:rsidRPr="00A52585">
        <w:rPr>
          <w:rFonts w:hint="cs"/>
          <w:rtl/>
        </w:rPr>
        <w:t>قال الحافظ ابن حجر</w:t>
      </w:r>
      <w:r w:rsidR="0002035C" w:rsidRPr="00A52585">
        <w:rPr>
          <w:rFonts w:hint="cs"/>
          <w:rtl/>
        </w:rPr>
        <w:t>:</w:t>
      </w:r>
      <w:r w:rsidRPr="00A52585">
        <w:rPr>
          <w:rFonts w:hint="cs"/>
          <w:rtl/>
        </w:rPr>
        <w:t xml:space="preserve"> إن علم الله يشمل جميع الأقطار</w:t>
      </w:r>
      <w:r w:rsidR="00DB731D" w:rsidRPr="00A52585">
        <w:rPr>
          <w:rFonts w:hint="cs"/>
          <w:rtl/>
        </w:rPr>
        <w:t>،</w:t>
      </w:r>
      <w:r w:rsidRPr="00A52585">
        <w:rPr>
          <w:rFonts w:hint="cs"/>
          <w:rtl/>
        </w:rPr>
        <w:t xml:space="preserve"> </w:t>
      </w:r>
      <w:r w:rsidRPr="00A52585">
        <w:rPr>
          <w:rFonts w:hint="cs"/>
          <w:rtl/>
        </w:rPr>
        <w:lastRenderedPageBreak/>
        <w:t>والله سبحانه وتعالى تنزه عن الحلول في الأماكن</w:t>
      </w:r>
      <w:r w:rsidR="00DB731D" w:rsidRPr="00A52585">
        <w:rPr>
          <w:rFonts w:hint="cs"/>
          <w:rtl/>
        </w:rPr>
        <w:t>،</w:t>
      </w:r>
      <w:r w:rsidRPr="00A52585">
        <w:rPr>
          <w:rFonts w:hint="cs"/>
          <w:rtl/>
        </w:rPr>
        <w:t xml:space="preserve"> فالله سبحانه وتعالى كان قبل أن تحدث الأماكن</w:t>
      </w:r>
      <w:r w:rsidR="0002035C" w:rsidRPr="00A52585">
        <w:rPr>
          <w:rFonts w:hint="cs"/>
          <w:rtl/>
        </w:rPr>
        <w:t>)</w:t>
      </w:r>
      <w:r w:rsidRPr="00A52585">
        <w:rPr>
          <w:rFonts w:hint="cs"/>
          <w:rtl/>
        </w:rPr>
        <w:t xml:space="preserve"> الشذرة في الأحاديث المشتهرة (2</w:t>
      </w:r>
      <w:r w:rsidR="0002035C" w:rsidRPr="00A52585">
        <w:rPr>
          <w:rFonts w:hint="cs"/>
          <w:rtl/>
        </w:rPr>
        <w:t xml:space="preserve">: </w:t>
      </w:r>
      <w:r w:rsidRPr="00A52585">
        <w:rPr>
          <w:rFonts w:hint="cs"/>
          <w:rtl/>
        </w:rPr>
        <w:t>72، رقم 758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165- ويقول الشيخ الشعراني المصري (973 هـ) في لطائف المتن والأخلاق</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ومما مَنَّ الله تبارك وتعالى به علي عدم قولي بالجهة </w:t>
      </w:r>
      <w:proofErr w:type="spellStart"/>
      <w:r w:rsidRPr="00A52585">
        <w:rPr>
          <w:rFonts w:hint="cs"/>
          <w:rtl/>
        </w:rPr>
        <w:t>في</w:t>
      </w:r>
      <w:r w:rsidR="00F95886" w:rsidRPr="00A52585">
        <w:rPr>
          <w:rFonts w:hint="cs"/>
          <w:rtl/>
        </w:rPr>
        <w:t>!</w:t>
      </w:r>
      <w:r w:rsidRPr="00A52585">
        <w:rPr>
          <w:rFonts w:hint="cs"/>
          <w:rtl/>
        </w:rPr>
        <w:t>الحق</w:t>
      </w:r>
      <w:proofErr w:type="spellEnd"/>
      <w:r w:rsidRPr="00A52585">
        <w:rPr>
          <w:rFonts w:hint="cs"/>
          <w:rtl/>
        </w:rPr>
        <w:t xml:space="preserve"> تبارك وتعالى من حين كنت صغير السن عناية من الله سبحانه وتعالى بي</w:t>
      </w:r>
      <w:r w:rsidR="0002035C" w:rsidRPr="00A52585">
        <w:rPr>
          <w:rFonts w:hint="cs"/>
          <w:rtl/>
        </w:rPr>
        <w:t>)</w:t>
      </w:r>
      <w:r w:rsidRPr="00A52585">
        <w:rPr>
          <w:rFonts w:hint="cs"/>
          <w:rtl/>
        </w:rPr>
        <w:t xml:space="preserve"> لطائف المنن والأخلاق (ص 275)</w:t>
      </w:r>
      <w:r w:rsidR="00DB731D" w:rsidRPr="00A52585">
        <w:rPr>
          <w:rFonts w:hint="cs"/>
          <w:rtl/>
        </w:rPr>
        <w:t>،</w:t>
      </w:r>
      <w:r w:rsidR="0002035C" w:rsidRPr="00A52585">
        <w:rPr>
          <w:rFonts w:hint="cs"/>
          <w:rtl/>
        </w:rPr>
        <w:t xml:space="preserve"> </w:t>
      </w:r>
      <w:r w:rsidRPr="00A52585">
        <w:rPr>
          <w:rFonts w:hint="cs"/>
          <w:rtl/>
        </w:rPr>
        <w:t xml:space="preserve">166- وقال الشيخ ابن حجر </w:t>
      </w:r>
      <w:proofErr w:type="spellStart"/>
      <w:r w:rsidRPr="00A52585">
        <w:rPr>
          <w:rFonts w:hint="cs"/>
          <w:rtl/>
        </w:rPr>
        <w:t>الهيتمي</w:t>
      </w:r>
      <w:proofErr w:type="spellEnd"/>
      <w:r w:rsidRPr="00A52585">
        <w:rPr>
          <w:rFonts w:hint="cs"/>
          <w:rtl/>
        </w:rPr>
        <w:t xml:space="preserve"> (974</w:t>
      </w:r>
      <w:r w:rsidR="0002035C" w:rsidRPr="00A52585">
        <w:rPr>
          <w:rFonts w:hint="cs"/>
          <w:rtl/>
        </w:rPr>
        <w:t>)</w:t>
      </w:r>
      <w:r w:rsidRPr="00A52585">
        <w:rPr>
          <w:rFonts w:hint="cs"/>
          <w:rtl/>
        </w:rPr>
        <w:t xml:space="preserve"> ما نصه</w:t>
      </w:r>
      <w:r w:rsidR="0002035C" w:rsidRPr="00A52585">
        <w:rPr>
          <w:rFonts w:hint="cs"/>
          <w:rtl/>
        </w:rPr>
        <w:t>: (</w:t>
      </w:r>
      <w:r w:rsidRPr="00A52585">
        <w:rPr>
          <w:rFonts w:hint="cs"/>
          <w:rtl/>
        </w:rPr>
        <w:t>عقيدة إمام السُّنة أحمد بن حنبل رضي الله عنه موافقة لعقيدة أهل السنة والجماعة من المبالغة التامّة في تنزيه الله تعالى عما يقول الظالمون والجاحدون علوّا كبيرا من الجهة والجسمية وغيرهما من سائر سمات النقص</w:t>
      </w:r>
      <w:r w:rsidR="00DB731D" w:rsidRPr="00A52585">
        <w:rPr>
          <w:rFonts w:hint="cs"/>
          <w:rtl/>
        </w:rPr>
        <w:t>،</w:t>
      </w:r>
      <w:r w:rsidRPr="00A52585">
        <w:rPr>
          <w:rFonts w:hint="cs"/>
          <w:rtl/>
        </w:rPr>
        <w:t xml:space="preserve"> بل وعن كل وصف ليس فيه كمال مطلق</w:t>
      </w:r>
      <w:r w:rsidR="00DB731D" w:rsidRPr="00A52585">
        <w:rPr>
          <w:rFonts w:hint="cs"/>
          <w:rtl/>
        </w:rPr>
        <w:t>،</w:t>
      </w:r>
      <w:r w:rsidRPr="00A52585">
        <w:rPr>
          <w:rFonts w:hint="cs"/>
          <w:rtl/>
        </w:rPr>
        <w:t xml:space="preserve"> وما اشتهر بين جهلة المنسوبين إلى هذا الإمام الأعظم المجتهد من أنه قائل بشيء من الجهة أو نحوها فكذب وبهتان وافتراء عليه</w:t>
      </w:r>
      <w:r w:rsidR="0002035C" w:rsidRPr="00A52585">
        <w:rPr>
          <w:rFonts w:hint="cs"/>
          <w:rtl/>
        </w:rPr>
        <w:t>)</w:t>
      </w:r>
      <w:r w:rsidRPr="00A52585">
        <w:rPr>
          <w:rFonts w:hint="cs"/>
          <w:rtl/>
        </w:rPr>
        <w:t xml:space="preserve"> الفتاوى الحديثية (ص 144)</w:t>
      </w:r>
      <w:r w:rsidR="00DB731D" w:rsidRPr="00A52585">
        <w:rPr>
          <w:rFonts w:hint="cs"/>
          <w:rtl/>
        </w:rPr>
        <w:t>،</w:t>
      </w:r>
      <w:r w:rsidR="0002035C" w:rsidRPr="00A52585">
        <w:rPr>
          <w:rFonts w:hint="cs"/>
          <w:rtl/>
        </w:rPr>
        <w:t xml:space="preserve"> </w:t>
      </w:r>
      <w:r w:rsidRPr="00A52585">
        <w:rPr>
          <w:rFonts w:hint="cs"/>
          <w:rtl/>
        </w:rPr>
        <w:t>167- وقال الشيخ محمد الخطيب الشربيني المصري (977 هـ) ما نصه</w:t>
      </w:r>
      <w:r w:rsidR="0002035C" w:rsidRPr="00A52585">
        <w:rPr>
          <w:rFonts w:hint="cs"/>
          <w:rtl/>
        </w:rPr>
        <w:t>:</w:t>
      </w:r>
      <w:r w:rsidRPr="00A52585">
        <w:rPr>
          <w:rFonts w:hint="cs"/>
          <w:rtl/>
        </w:rPr>
        <w:t> </w:t>
      </w:r>
      <w:r w:rsidR="0002035C" w:rsidRPr="00A52585">
        <w:rPr>
          <w:rFonts w:hint="cs"/>
          <w:rtl/>
        </w:rPr>
        <w:t>(</w:t>
      </w:r>
      <w:r w:rsidRPr="00A52585">
        <w:rPr>
          <w:rFonts w:hint="cs"/>
          <w:rtl/>
        </w:rPr>
        <w:t>ثبت بالدليل القطعي أنه - تعالى - ليس بمتحيز لئلا يلزم التجسيم</w:t>
      </w:r>
      <w:r w:rsidR="0002035C" w:rsidRPr="00A52585">
        <w:rPr>
          <w:rFonts w:hint="cs"/>
          <w:rtl/>
        </w:rPr>
        <w:t>)</w:t>
      </w:r>
      <w:r w:rsidRPr="00A52585">
        <w:rPr>
          <w:rFonts w:hint="cs"/>
          <w:rtl/>
        </w:rPr>
        <w:t xml:space="preserve"> تفسير القرءان الكريم (سورة الملك</w:t>
      </w:r>
      <w:r w:rsidR="0002035C" w:rsidRPr="00A52585">
        <w:rPr>
          <w:rFonts w:hint="cs"/>
          <w:rtl/>
        </w:rPr>
        <w:t xml:space="preserve">: </w:t>
      </w:r>
      <w:r w:rsidRPr="00A52585">
        <w:rPr>
          <w:rFonts w:hint="cs"/>
          <w:rtl/>
        </w:rPr>
        <w:t>ءاية 16- 4</w:t>
      </w:r>
      <w:r w:rsidR="0002035C" w:rsidRPr="00A52585">
        <w:rPr>
          <w:rFonts w:hint="cs"/>
          <w:rtl/>
        </w:rPr>
        <w:t xml:space="preserve">: </w:t>
      </w:r>
      <w:r w:rsidRPr="00A52585">
        <w:rPr>
          <w:rFonts w:hint="cs"/>
          <w:rtl/>
        </w:rPr>
        <w:t>344 - 345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168- وقال أيضا</w:t>
      </w:r>
      <w:r w:rsidR="0002035C" w:rsidRPr="00A52585">
        <w:rPr>
          <w:rFonts w:hint="cs"/>
          <w:rtl/>
        </w:rPr>
        <w:t>: (</w:t>
      </w:r>
      <w:r w:rsidRPr="00A52585">
        <w:rPr>
          <w:rFonts w:hint="cs"/>
          <w:rtl/>
        </w:rPr>
        <w:t>قال القرطبي - المفسّر -</w:t>
      </w:r>
      <w:r w:rsidR="0002035C" w:rsidRPr="00A52585">
        <w:rPr>
          <w:rFonts w:hint="cs"/>
          <w:rtl/>
        </w:rPr>
        <w:t>:</w:t>
      </w:r>
      <w:r w:rsidRPr="00A52585">
        <w:rPr>
          <w:rFonts w:hint="cs"/>
          <w:rtl/>
        </w:rPr>
        <w:t xml:space="preserve"> ووصْفه - تعالى - بالعلوّ والعظمة لا بالأماكن والجهات والحدود لأنها صفات الأجسام</w:t>
      </w:r>
      <w:r w:rsidR="00DB731D" w:rsidRPr="00A52585">
        <w:rPr>
          <w:rFonts w:hint="cs"/>
          <w:rtl/>
        </w:rPr>
        <w:t>،</w:t>
      </w:r>
      <w:r w:rsidRPr="00A52585">
        <w:rPr>
          <w:rFonts w:hint="cs"/>
          <w:rtl/>
        </w:rPr>
        <w:t xml:space="preserve"> ولأنه تعالى خلَق الأمكنة وهو غير متحيز</w:t>
      </w:r>
      <w:r w:rsidR="00DB731D" w:rsidRPr="00A52585">
        <w:rPr>
          <w:rFonts w:hint="cs"/>
          <w:rtl/>
        </w:rPr>
        <w:t>،</w:t>
      </w:r>
      <w:r w:rsidRPr="00A52585">
        <w:rPr>
          <w:rFonts w:hint="cs"/>
          <w:rtl/>
        </w:rPr>
        <w:t xml:space="preserve"> وكان في أزله قبل خلق المكان والزمان ولا مكان له ولا زمان</w:t>
      </w:r>
      <w:r w:rsidR="00DB731D" w:rsidRPr="00A52585">
        <w:rPr>
          <w:rFonts w:hint="cs"/>
          <w:rtl/>
        </w:rPr>
        <w:t>،</w:t>
      </w:r>
      <w:r w:rsidRPr="00A52585">
        <w:rPr>
          <w:rFonts w:hint="cs"/>
          <w:rtl/>
        </w:rPr>
        <w:t xml:space="preserve"> وهو الآن على ما عليه كان</w:t>
      </w:r>
      <w:r w:rsidR="0002035C" w:rsidRPr="00A52585">
        <w:rPr>
          <w:rFonts w:hint="cs"/>
          <w:rtl/>
        </w:rPr>
        <w:t>)</w:t>
      </w:r>
      <w:r w:rsidRPr="00A52585">
        <w:rPr>
          <w:rFonts w:hint="cs"/>
          <w:rtl/>
        </w:rPr>
        <w:t xml:space="preserve"> تفسير القرءان الكريم (سورة الملك</w:t>
      </w:r>
      <w:r w:rsidR="0002035C" w:rsidRPr="00A52585">
        <w:rPr>
          <w:rFonts w:hint="cs"/>
          <w:rtl/>
        </w:rPr>
        <w:t xml:space="preserve">: </w:t>
      </w:r>
      <w:r w:rsidRPr="00A52585">
        <w:rPr>
          <w:rFonts w:hint="cs"/>
          <w:rtl/>
        </w:rPr>
        <w:t>آية 16- 4</w:t>
      </w:r>
      <w:r w:rsidR="0002035C" w:rsidRPr="00A52585">
        <w:rPr>
          <w:rFonts w:hint="cs"/>
          <w:rtl/>
        </w:rPr>
        <w:t xml:space="preserve">: </w:t>
      </w:r>
      <w:r w:rsidRPr="00A52585">
        <w:rPr>
          <w:rFonts w:hint="cs"/>
          <w:rtl/>
        </w:rPr>
        <w:t>344 - 345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169- وقال الشيخ مُلاّ علي القاري الحنفي (1014هـ)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وأما علوّه تعالى على خلقه المُستفاد من نحو قوله تعالى</w:t>
      </w:r>
      <w:r w:rsidR="0002035C" w:rsidRPr="00A52585">
        <w:rPr>
          <w:rFonts w:hint="cs"/>
          <w:rtl/>
        </w:rPr>
        <w:t>:</w:t>
      </w:r>
      <w:r w:rsidRPr="00A52585">
        <w:rPr>
          <w:rFonts w:hint="cs"/>
          <w:rtl/>
        </w:rPr>
        <w:t>" وَهُوَ الْقَاهِرُ فَوْقَ عِبَادِهِ</w:t>
      </w:r>
      <w:r w:rsidR="00DB731D" w:rsidRPr="00A52585">
        <w:rPr>
          <w:rFonts w:hint="cs"/>
          <w:rtl/>
        </w:rPr>
        <w:t>،</w:t>
      </w:r>
      <w:r w:rsidRPr="00A52585">
        <w:rPr>
          <w:rFonts w:hint="cs"/>
          <w:rtl/>
        </w:rPr>
        <w:t xml:space="preserve"> فعلو مكانة ومرتبة لا علو مكان كما هو مقرر عند أهل السنة والجماعة بل وسائر طوائف الإسلام من المعتزلة والخوارج وسائر أهل</w:t>
      </w:r>
      <w:r w:rsidR="00DB731D" w:rsidRPr="00A52585">
        <w:rPr>
          <w:rFonts w:hint="cs"/>
          <w:rtl/>
        </w:rPr>
        <w:t>،</w:t>
      </w:r>
      <w:r w:rsidRPr="00A52585">
        <w:rPr>
          <w:rFonts w:hint="cs"/>
          <w:rtl/>
        </w:rPr>
        <w:t xml:space="preserve"> البدعة إلا طائفة من المجسمة وجهلة من الحنابلة القائلين بالجهة</w:t>
      </w:r>
      <w:r w:rsidR="00DB731D" w:rsidRPr="00A52585">
        <w:rPr>
          <w:rFonts w:hint="cs"/>
          <w:rtl/>
        </w:rPr>
        <w:t>،</w:t>
      </w:r>
      <w:r w:rsidRPr="00A52585">
        <w:rPr>
          <w:rFonts w:hint="cs"/>
          <w:rtl/>
        </w:rPr>
        <w:t xml:space="preserve"> تعالى الله عن ذلك علوا كبير</w:t>
      </w:r>
      <w:r w:rsidR="0002035C" w:rsidRPr="00A52585">
        <w:rPr>
          <w:rFonts w:hint="cs"/>
          <w:rtl/>
        </w:rPr>
        <w:t>)</w:t>
      </w:r>
      <w:r w:rsidRPr="00A52585">
        <w:rPr>
          <w:rFonts w:hint="cs"/>
          <w:rtl/>
        </w:rPr>
        <w:t xml:space="preserve"> انظر شرح الفقه الأكبر</w:t>
      </w:r>
      <w:r w:rsidR="0002035C" w:rsidRPr="00A52585">
        <w:rPr>
          <w:rFonts w:hint="cs"/>
          <w:rtl/>
        </w:rPr>
        <w:t>:</w:t>
      </w:r>
      <w:r w:rsidRPr="00A52585">
        <w:rPr>
          <w:rFonts w:hint="cs"/>
          <w:rtl/>
        </w:rPr>
        <w:t xml:space="preserve"> بعد أن انتهى من شرح رسائله الإمام أبي حنيفة (ص 196 -197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170- وقال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إنه سبحانه ليس في مكان من الأمكنة ولا في زمان من الأزمنة</w:t>
      </w:r>
      <w:r w:rsidR="00DB731D" w:rsidRPr="00A52585">
        <w:rPr>
          <w:rFonts w:hint="cs"/>
          <w:rtl/>
        </w:rPr>
        <w:t>،</w:t>
      </w:r>
      <w:r w:rsidRPr="00A52585">
        <w:rPr>
          <w:rFonts w:hint="cs"/>
          <w:rtl/>
        </w:rPr>
        <w:t xml:space="preserve"> لأن المكان والزمان من جملة المخلوقات وهو سبحانه كان موجودا في الأزل ولم يكن معه شيء من الموجودات</w:t>
      </w:r>
      <w:r w:rsidR="0002035C" w:rsidRPr="00A52585">
        <w:rPr>
          <w:rFonts w:hint="cs"/>
          <w:rtl/>
        </w:rPr>
        <w:t>)</w:t>
      </w:r>
      <w:r w:rsidRPr="00A52585">
        <w:rPr>
          <w:rFonts w:hint="cs"/>
          <w:rtl/>
        </w:rPr>
        <w:t xml:space="preserve"> انظر شرح الفقه الأكبر</w:t>
      </w:r>
      <w:r w:rsidR="0002035C" w:rsidRPr="00A52585">
        <w:rPr>
          <w:rFonts w:hint="cs"/>
          <w:rtl/>
        </w:rPr>
        <w:t>:</w:t>
      </w:r>
      <w:r w:rsidRPr="00A52585">
        <w:rPr>
          <w:rFonts w:hint="cs"/>
          <w:rtl/>
        </w:rPr>
        <w:t xml:space="preserve"> عند شرح قول أبي حنيفة</w:t>
      </w:r>
      <w:r w:rsidR="0002035C" w:rsidRPr="00A52585">
        <w:rPr>
          <w:rFonts w:hint="cs"/>
          <w:rtl/>
        </w:rPr>
        <w:t>:</w:t>
      </w:r>
      <w:r w:rsidRPr="00A52585">
        <w:rPr>
          <w:rFonts w:hint="cs"/>
          <w:rtl/>
        </w:rPr>
        <w:t xml:space="preserve"> "وهو شيء لا كالأشياء"(ص 54</w:t>
      </w:r>
      <w:r w:rsidR="0002035C" w:rsidRPr="00A52585">
        <w:rPr>
          <w:rFonts w:hint="cs"/>
          <w:rtl/>
        </w:rPr>
        <w:t>)</w:t>
      </w:r>
      <w:r w:rsidR="00DB731D" w:rsidRPr="00A52585">
        <w:rPr>
          <w:rFonts w:hint="cs"/>
          <w:rtl/>
        </w:rPr>
        <w:t>،</w:t>
      </w:r>
      <w:r w:rsidRPr="00A52585">
        <w:rPr>
          <w:rFonts w:hint="cs"/>
          <w:rtl/>
        </w:rPr>
        <w:t xml:space="preserve"> وقال العلامة الدسوقي (1230هـ) في حاشيته على شرح أم البراهين عند قول المصنف في المستحيلات</w:t>
      </w:r>
      <w:r w:rsidR="0002035C" w:rsidRPr="00A52585">
        <w:rPr>
          <w:rFonts w:hint="cs"/>
          <w:rtl/>
        </w:rPr>
        <w:t>: (</w:t>
      </w:r>
      <w:r w:rsidRPr="00A52585">
        <w:rPr>
          <w:rFonts w:hint="cs"/>
          <w:rtl/>
        </w:rPr>
        <w:t>أو يكون في جهة أو يكون له هو جهة</w:t>
      </w:r>
      <w:r w:rsidR="0002035C" w:rsidRPr="00A52585">
        <w:rPr>
          <w:rFonts w:hint="cs"/>
          <w:rtl/>
        </w:rPr>
        <w:t>):</w:t>
      </w:r>
      <w:r w:rsidRPr="00A52585">
        <w:rPr>
          <w:rFonts w:hint="cs"/>
          <w:rtl/>
        </w:rPr>
        <w:t xml:space="preserve"> حاصله أنه يستحيل أن يكون له تعالى جهة بأن يكون له يمين أو شمال أو فوق أو تحت أو خلف أو أمام لأن الجهات الست من عوارض الجسم </w:t>
      </w:r>
      <w:r w:rsidRPr="00A52585">
        <w:rPr>
          <w:rFonts w:hint="cs"/>
          <w:rtl/>
        </w:rPr>
        <w:lastRenderedPageBreak/>
        <w:t>ففوق من عوارض الرأس وتحت من عوارض الرجل ويمين وشمال من عوارض الجنب الأيمن والأيسر وأمام وخلف من عوارض البطن والظهر ومن استحال عليه أن يكون جرمّا استحال عليه أن يتصف بهذه الأعضاء ولوازمها</w:t>
      </w:r>
      <w:r w:rsidR="0002035C" w:rsidRPr="00A52585">
        <w:rPr>
          <w:rFonts w:hint="cs"/>
          <w:rtl/>
        </w:rPr>
        <w:t>)</w:t>
      </w:r>
      <w:r w:rsidRPr="00A52585">
        <w:rPr>
          <w:rFonts w:hint="cs"/>
          <w:rtl/>
        </w:rPr>
        <w:t xml:space="preserve"> ذكره محمود خطاب السبكي في كتابه "إتحاف الكائنات" (ص 130).</w:t>
      </w:r>
    </w:p>
    <w:p w14:paraId="3C668FDE" w14:textId="491D8AB5" w:rsidR="00777DCB" w:rsidRPr="00A52585" w:rsidRDefault="00777DCB" w:rsidP="0002035C">
      <w:pPr>
        <w:rPr>
          <w:b/>
          <w:rtl/>
        </w:rPr>
      </w:pPr>
      <w:r w:rsidRPr="00A52585">
        <w:rPr>
          <w:rFonts w:hint="cs"/>
          <w:rtl/>
        </w:rPr>
        <w:t xml:space="preserve">171- وقال الشيخ العلامة أبو البركات أحمد بن محمد </w:t>
      </w:r>
      <w:proofErr w:type="spellStart"/>
      <w:r w:rsidRPr="00A52585">
        <w:rPr>
          <w:rFonts w:hint="cs"/>
          <w:rtl/>
        </w:rPr>
        <w:t>الدردير</w:t>
      </w:r>
      <w:proofErr w:type="spellEnd"/>
      <w:r w:rsidRPr="00A52585">
        <w:rPr>
          <w:rFonts w:hint="cs"/>
          <w:rtl/>
        </w:rPr>
        <w:t xml:space="preserve"> المالكي المصري (1201هـ) عن الله تعالى ما نصه</w:t>
      </w:r>
      <w:r w:rsidR="0002035C" w:rsidRPr="00A52585">
        <w:rPr>
          <w:rFonts w:hint="cs"/>
          <w:rtl/>
        </w:rPr>
        <w:t>: (</w:t>
      </w:r>
      <w:r w:rsidRPr="00A52585">
        <w:rPr>
          <w:rFonts w:hint="cs"/>
          <w:rtl/>
        </w:rPr>
        <w:t xml:space="preserve">منزهٌ عن الحـلول </w:t>
      </w:r>
      <w:proofErr w:type="spellStart"/>
      <w:r w:rsidRPr="00A52585">
        <w:rPr>
          <w:rFonts w:hint="cs"/>
          <w:rtl/>
        </w:rPr>
        <w:t>والجـهه</w:t>
      </w:r>
      <w:proofErr w:type="spellEnd"/>
      <w:r w:rsidRPr="00A52585">
        <w:rPr>
          <w:rFonts w:hint="cs"/>
          <w:rtl/>
        </w:rPr>
        <w:t xml:space="preserve"> *** والاتـصـال الانـفـصـال والسَّفـه</w:t>
      </w:r>
      <w:r w:rsidR="0002035C" w:rsidRPr="00A52585">
        <w:rPr>
          <w:rFonts w:hint="cs"/>
          <w:rtl/>
        </w:rPr>
        <w:t>)</w:t>
      </w:r>
      <w:r w:rsidRPr="00A52585">
        <w:rPr>
          <w:rFonts w:hint="cs"/>
          <w:rtl/>
        </w:rPr>
        <w:t xml:space="preserve"> الخريدة البهية </w:t>
      </w:r>
      <w:r w:rsidR="0002035C" w:rsidRPr="00A52585">
        <w:rPr>
          <w:rFonts w:hint="cs"/>
          <w:rtl/>
        </w:rPr>
        <w:t>(</w:t>
      </w:r>
      <w:r w:rsidRPr="00A52585">
        <w:rPr>
          <w:rFonts w:hint="cs"/>
          <w:rtl/>
        </w:rPr>
        <w:t xml:space="preserve">ضمن </w:t>
      </w:r>
      <w:proofErr w:type="spellStart"/>
      <w:r w:rsidRPr="00A52585">
        <w:rPr>
          <w:rFonts w:hint="cs"/>
          <w:rtl/>
        </w:rPr>
        <w:t>مجمرع</w:t>
      </w:r>
      <w:proofErr w:type="spellEnd"/>
      <w:r w:rsidRPr="00A52585">
        <w:rPr>
          <w:rFonts w:hint="cs"/>
          <w:rtl/>
        </w:rPr>
        <w:t xml:space="preserve"> مهمات المتون</w:t>
      </w:r>
      <w:r w:rsidR="0002035C" w:rsidRPr="00A52585">
        <w:rPr>
          <w:rFonts w:hint="cs"/>
          <w:rtl/>
        </w:rPr>
        <w:t>)</w:t>
      </w:r>
      <w:r w:rsidRPr="00A52585">
        <w:rPr>
          <w:rFonts w:hint="cs"/>
          <w:rtl/>
        </w:rPr>
        <w:t xml:space="preserve"> (رقم البيت 31</w:t>
      </w:r>
      <w:r w:rsidR="0002035C" w:rsidRPr="00A52585">
        <w:rPr>
          <w:rFonts w:hint="cs"/>
          <w:rtl/>
        </w:rPr>
        <w:t xml:space="preserve">: </w:t>
      </w:r>
      <w:r w:rsidRPr="00A52585">
        <w:rPr>
          <w:rFonts w:hint="cs"/>
          <w:rtl/>
        </w:rPr>
        <w:t>ص 25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172- وقال الامام </w:t>
      </w:r>
      <w:proofErr w:type="spellStart"/>
      <w:r w:rsidRPr="00A52585">
        <w:rPr>
          <w:rFonts w:hint="cs"/>
          <w:rtl/>
        </w:rPr>
        <w:t>النفراي</w:t>
      </w:r>
      <w:proofErr w:type="spellEnd"/>
      <w:r w:rsidRPr="00A52585">
        <w:rPr>
          <w:rFonts w:hint="cs"/>
          <w:rtl/>
        </w:rPr>
        <w:t xml:space="preserve"> رحمه الله </w:t>
      </w:r>
      <w:r w:rsidR="0002035C" w:rsidRPr="00A52585">
        <w:rPr>
          <w:rFonts w:hint="cs"/>
          <w:rtl/>
        </w:rPr>
        <w:t>(</w:t>
      </w:r>
      <w:r w:rsidRPr="00A52585">
        <w:rPr>
          <w:rFonts w:hint="cs"/>
          <w:rtl/>
        </w:rPr>
        <w:t>1125 هـ</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 وسع كرسيه الى قوله في كل مكان بعلمه</w:t>
      </w:r>
      <w:r w:rsidR="0002035C" w:rsidRPr="00A52585">
        <w:rPr>
          <w:rFonts w:hint="cs"/>
          <w:rtl/>
        </w:rPr>
        <w:t>)</w:t>
      </w:r>
      <w:r w:rsidRPr="00A52585">
        <w:rPr>
          <w:rFonts w:hint="cs"/>
          <w:rtl/>
        </w:rPr>
        <w:t xml:space="preserve"> اي لم يضق عنهن إذ فضله على السماوات والارض كفضل الفلاة على الحلقة والكرسي في الاصل واحد الكراسي الذي يجلس عليه</w:t>
      </w:r>
      <w:r w:rsidR="00DB731D" w:rsidRPr="00A52585">
        <w:rPr>
          <w:rFonts w:hint="cs"/>
          <w:rtl/>
        </w:rPr>
        <w:t>،</w:t>
      </w:r>
      <w:r w:rsidRPr="00A52585">
        <w:rPr>
          <w:rFonts w:hint="cs"/>
          <w:rtl/>
        </w:rPr>
        <w:t xml:space="preserve"> وهذا مستحيل في حقه تعالى علوا كبيرا</w:t>
      </w:r>
      <w:r w:rsidR="0002035C" w:rsidRPr="00A52585">
        <w:rPr>
          <w:rFonts w:hint="cs"/>
          <w:rtl/>
        </w:rPr>
        <w:t>)</w:t>
      </w:r>
      <w:r w:rsidRPr="00A52585">
        <w:rPr>
          <w:rFonts w:hint="cs"/>
          <w:rtl/>
        </w:rPr>
        <w:t xml:space="preserve"> نقله عنه محمد بن احمد البشير البكري الشنقيطي في كتابه كوثر الاماني والتهاني لموارد النجاح والفلاح </w:t>
      </w:r>
      <w:r w:rsidR="0002035C" w:rsidRPr="00A52585">
        <w:rPr>
          <w:rFonts w:hint="cs"/>
          <w:rtl/>
        </w:rPr>
        <w:t>(</w:t>
      </w:r>
      <w:r w:rsidRPr="00A52585">
        <w:rPr>
          <w:rFonts w:hint="cs"/>
          <w:rtl/>
        </w:rPr>
        <w:t>2</w:t>
      </w:r>
      <w:r w:rsidR="0002035C" w:rsidRPr="00A52585">
        <w:rPr>
          <w:rFonts w:hint="cs"/>
          <w:rtl/>
        </w:rPr>
        <w:t xml:space="preserve">: </w:t>
      </w:r>
      <w:r w:rsidRPr="00A52585">
        <w:rPr>
          <w:rFonts w:hint="cs"/>
          <w:rtl/>
        </w:rPr>
        <w:t>260</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173-</w:t>
      </w:r>
      <w:r w:rsidR="0002035C" w:rsidRPr="00A52585">
        <w:rPr>
          <w:rFonts w:hint="cs"/>
          <w:rtl/>
        </w:rPr>
        <w:t xml:space="preserve"> </w:t>
      </w:r>
      <w:r w:rsidRPr="00A52585">
        <w:rPr>
          <w:rFonts w:hint="cs"/>
          <w:rtl/>
        </w:rPr>
        <w:t>وقال ايضا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واعلم ان الفوقية عبارة عن كون الشيء أعلى من غيره</w:t>
      </w:r>
      <w:r w:rsidR="00DB731D" w:rsidRPr="00A52585">
        <w:rPr>
          <w:rFonts w:hint="cs"/>
          <w:rtl/>
        </w:rPr>
        <w:t>،</w:t>
      </w:r>
      <w:r w:rsidRPr="00A52585">
        <w:rPr>
          <w:rFonts w:hint="cs"/>
          <w:rtl/>
        </w:rPr>
        <w:t xml:space="preserve"> وتكون حسية ومعنوية</w:t>
      </w:r>
      <w:r w:rsidR="00DB731D" w:rsidRPr="00A52585">
        <w:rPr>
          <w:rFonts w:hint="cs"/>
          <w:rtl/>
        </w:rPr>
        <w:t>،</w:t>
      </w:r>
      <w:r w:rsidRPr="00A52585">
        <w:rPr>
          <w:rFonts w:hint="cs"/>
          <w:rtl/>
        </w:rPr>
        <w:t xml:space="preserve"> والذي يستحيل عليه المكان </w:t>
      </w:r>
      <w:proofErr w:type="spellStart"/>
      <w:r w:rsidRPr="00A52585">
        <w:rPr>
          <w:rFonts w:hint="cs"/>
          <w:rtl/>
        </w:rPr>
        <w:t>والحسمية</w:t>
      </w:r>
      <w:proofErr w:type="spellEnd"/>
      <w:r w:rsidRPr="00A52585">
        <w:rPr>
          <w:rFonts w:hint="cs"/>
          <w:rtl/>
        </w:rPr>
        <w:t xml:space="preserve"> </w:t>
      </w:r>
      <w:proofErr w:type="spellStart"/>
      <w:r w:rsidRPr="00A52585">
        <w:rPr>
          <w:rFonts w:hint="cs"/>
          <w:rtl/>
        </w:rPr>
        <w:t>لاتكون</w:t>
      </w:r>
      <w:proofErr w:type="spellEnd"/>
      <w:r w:rsidRPr="00A52585">
        <w:rPr>
          <w:rFonts w:hint="cs"/>
          <w:rtl/>
        </w:rPr>
        <w:t xml:space="preserve"> فوقيته </w:t>
      </w:r>
      <w:proofErr w:type="spellStart"/>
      <w:r w:rsidRPr="00A52585">
        <w:rPr>
          <w:rFonts w:hint="cs"/>
          <w:rtl/>
        </w:rPr>
        <w:t>إلامعنوية</w:t>
      </w:r>
      <w:proofErr w:type="spellEnd"/>
      <w:r w:rsidR="00DB731D" w:rsidRPr="00A52585">
        <w:rPr>
          <w:rFonts w:hint="cs"/>
          <w:rtl/>
        </w:rPr>
        <w:t>،</w:t>
      </w:r>
      <w:r w:rsidRPr="00A52585">
        <w:rPr>
          <w:rFonts w:hint="cs"/>
          <w:rtl/>
        </w:rPr>
        <w:t xml:space="preserve"> ففوقية الله على عرشه ؛ المراد بها فوقية معنوية كما قدمنا) نقله عنه محمد بن احمد البشير البكري الشنقيطي في كتابه كوثر الاماني والتهاني لموارد النجاح والفلاح </w:t>
      </w:r>
      <w:r w:rsidR="0002035C" w:rsidRPr="00A52585">
        <w:rPr>
          <w:rFonts w:hint="cs"/>
          <w:rtl/>
        </w:rPr>
        <w:t>(</w:t>
      </w:r>
      <w:r w:rsidRPr="00A52585">
        <w:rPr>
          <w:rFonts w:hint="cs"/>
          <w:rtl/>
        </w:rPr>
        <w:t>2</w:t>
      </w:r>
      <w:r w:rsidR="0002035C" w:rsidRPr="00A52585">
        <w:rPr>
          <w:rFonts w:hint="cs"/>
          <w:rtl/>
        </w:rPr>
        <w:t xml:space="preserve">: </w:t>
      </w:r>
      <w:r w:rsidRPr="00A52585">
        <w:rPr>
          <w:rFonts w:hint="cs"/>
          <w:rtl/>
        </w:rPr>
        <w:t>261)</w:t>
      </w:r>
      <w:r w:rsidR="00DB731D" w:rsidRPr="00A52585">
        <w:rPr>
          <w:rFonts w:hint="cs"/>
          <w:rtl/>
        </w:rPr>
        <w:t>،</w:t>
      </w:r>
      <w:r w:rsidR="0002035C" w:rsidRPr="00A52585">
        <w:rPr>
          <w:rFonts w:hint="cs"/>
          <w:rtl/>
        </w:rPr>
        <w:t xml:space="preserve"> </w:t>
      </w:r>
      <w:r w:rsidRPr="00A52585">
        <w:rPr>
          <w:rFonts w:hint="cs"/>
          <w:rtl/>
        </w:rPr>
        <w:t>174- وقال المحدث اللغوي الفقيه السيد محمد مرتضى الزبيدي الحنفي (1205هـ)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إنه سبحانه لا مكان له ولا جهة</w:t>
      </w:r>
      <w:r w:rsidR="0002035C" w:rsidRPr="00A52585">
        <w:rPr>
          <w:rFonts w:hint="cs"/>
          <w:rtl/>
        </w:rPr>
        <w:t>)</w:t>
      </w:r>
      <w:r w:rsidRPr="00A52585">
        <w:rPr>
          <w:rFonts w:hint="cs"/>
          <w:rtl/>
        </w:rPr>
        <w:t xml:space="preserve"> إتحاف السادة المتقين (2</w:t>
      </w:r>
      <w:r w:rsidR="0002035C" w:rsidRPr="00A52585">
        <w:rPr>
          <w:rFonts w:hint="cs"/>
          <w:rtl/>
        </w:rPr>
        <w:t xml:space="preserve">: </w:t>
      </w:r>
      <w:r w:rsidRPr="00A52585">
        <w:rPr>
          <w:rFonts w:hint="cs"/>
          <w:rtl/>
        </w:rPr>
        <w:t>24)</w:t>
      </w:r>
      <w:r w:rsidR="00DB731D" w:rsidRPr="00A52585">
        <w:rPr>
          <w:rFonts w:hint="cs"/>
          <w:rtl/>
        </w:rPr>
        <w:t>،</w:t>
      </w:r>
      <w:r w:rsidR="0002035C" w:rsidRPr="00A52585">
        <w:rPr>
          <w:rFonts w:hint="cs"/>
          <w:rtl/>
        </w:rPr>
        <w:t xml:space="preserve"> </w:t>
      </w:r>
      <w:r w:rsidRPr="00A52585">
        <w:rPr>
          <w:rFonts w:hint="cs"/>
          <w:rtl/>
        </w:rPr>
        <w:t>175- وقال أيضا</w:t>
      </w:r>
      <w:r w:rsidR="0002035C" w:rsidRPr="00A52585">
        <w:rPr>
          <w:rFonts w:hint="cs"/>
          <w:rtl/>
        </w:rPr>
        <w:t>: (</w:t>
      </w:r>
      <w:r w:rsidRPr="00A52585">
        <w:rPr>
          <w:rFonts w:hint="cs"/>
          <w:rtl/>
        </w:rPr>
        <w:t>إنه تعالى مقدس منزَّه عن التغير من حال إلى حال والانتقال من مكان إلى مكان</w:t>
      </w:r>
      <w:r w:rsidR="00DB731D" w:rsidRPr="00A52585">
        <w:rPr>
          <w:rFonts w:hint="cs"/>
          <w:rtl/>
        </w:rPr>
        <w:t>،</w:t>
      </w:r>
      <w:r w:rsidRPr="00A52585">
        <w:rPr>
          <w:rFonts w:hint="cs"/>
          <w:rtl/>
        </w:rPr>
        <w:t xml:space="preserve"> وكذا الاتصال والانفصال فإن كلاًّ من ذلك من صفات المخلوقين</w:t>
      </w:r>
      <w:r w:rsidR="0002035C" w:rsidRPr="00A52585">
        <w:rPr>
          <w:rFonts w:hint="cs"/>
          <w:rtl/>
        </w:rPr>
        <w:t>)</w:t>
      </w:r>
      <w:r w:rsidRPr="00A52585">
        <w:rPr>
          <w:rFonts w:hint="cs"/>
          <w:rtl/>
        </w:rPr>
        <w:t xml:space="preserve"> المصدر السابق (2</w:t>
      </w:r>
      <w:r w:rsidR="0002035C" w:rsidRPr="00A52585">
        <w:rPr>
          <w:rFonts w:hint="cs"/>
          <w:rtl/>
        </w:rPr>
        <w:t xml:space="preserve">: </w:t>
      </w:r>
      <w:r w:rsidRPr="00A52585">
        <w:rPr>
          <w:rFonts w:hint="cs"/>
          <w:rtl/>
        </w:rPr>
        <w:t>25)</w:t>
      </w:r>
      <w:r w:rsidR="00DB731D" w:rsidRPr="00A52585">
        <w:rPr>
          <w:rFonts w:hint="cs"/>
          <w:rtl/>
        </w:rPr>
        <w:t>،</w:t>
      </w:r>
      <w:r w:rsidR="0002035C" w:rsidRPr="00A52585">
        <w:rPr>
          <w:rFonts w:hint="cs"/>
          <w:rtl/>
        </w:rPr>
        <w:t xml:space="preserve"> </w:t>
      </w:r>
      <w:r w:rsidRPr="00A52585">
        <w:rPr>
          <w:rFonts w:hint="cs"/>
          <w:rtl/>
        </w:rPr>
        <w:t>176- وقال أيضا</w:t>
      </w:r>
      <w:r w:rsidR="0002035C" w:rsidRPr="00A52585">
        <w:rPr>
          <w:rFonts w:hint="cs"/>
          <w:rtl/>
        </w:rPr>
        <w:t>: (</w:t>
      </w:r>
      <w:r w:rsidRPr="00A52585">
        <w:rPr>
          <w:rFonts w:hint="cs"/>
          <w:rtl/>
        </w:rPr>
        <w:t xml:space="preserve">تقدس - أي الله - عن أن </w:t>
      </w:r>
      <w:proofErr w:type="spellStart"/>
      <w:r w:rsidRPr="00A52585">
        <w:rPr>
          <w:rFonts w:hint="cs"/>
          <w:rtl/>
        </w:rPr>
        <w:t>يَحويه</w:t>
      </w:r>
      <w:proofErr w:type="spellEnd"/>
      <w:r w:rsidRPr="00A52585">
        <w:rPr>
          <w:rFonts w:hint="cs"/>
          <w:rtl/>
        </w:rPr>
        <w:t xml:space="preserve"> مكان فيُشار إليه أو تضمه جهة</w:t>
      </w:r>
      <w:r w:rsidR="0002035C" w:rsidRPr="00A52585">
        <w:rPr>
          <w:rFonts w:hint="cs"/>
          <w:rtl/>
        </w:rPr>
        <w:t>)</w:t>
      </w:r>
      <w:r w:rsidRPr="00A52585">
        <w:rPr>
          <w:rFonts w:hint="cs"/>
          <w:rtl/>
        </w:rPr>
        <w:t xml:space="preserve"> المصدر السابق (2</w:t>
      </w:r>
      <w:r w:rsidR="0002035C" w:rsidRPr="00A52585">
        <w:rPr>
          <w:rFonts w:hint="cs"/>
          <w:rtl/>
        </w:rPr>
        <w:t xml:space="preserve">: </w:t>
      </w:r>
      <w:r w:rsidRPr="00A52585">
        <w:rPr>
          <w:rFonts w:hint="cs"/>
          <w:rtl/>
        </w:rPr>
        <w:t>25)</w:t>
      </w:r>
      <w:r w:rsidR="00DB731D" w:rsidRPr="00A52585">
        <w:rPr>
          <w:rFonts w:hint="cs"/>
          <w:rtl/>
        </w:rPr>
        <w:t>،</w:t>
      </w:r>
      <w:r w:rsidR="0002035C" w:rsidRPr="00A52585">
        <w:rPr>
          <w:rFonts w:hint="cs"/>
          <w:rtl/>
        </w:rPr>
        <w:t xml:space="preserve"> </w:t>
      </w:r>
      <w:r w:rsidRPr="00A52585">
        <w:rPr>
          <w:rFonts w:hint="cs"/>
          <w:rtl/>
        </w:rPr>
        <w:t>177-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ذات الله ليس في جهة من الجهات الست ولا في مكان من الأمكنة</w:t>
      </w:r>
      <w:r w:rsidR="0002035C" w:rsidRPr="00A52585">
        <w:rPr>
          <w:rFonts w:hint="cs"/>
          <w:rtl/>
        </w:rPr>
        <w:t>)</w:t>
      </w:r>
      <w:r w:rsidRPr="00A52585">
        <w:rPr>
          <w:rFonts w:hint="cs"/>
          <w:rtl/>
        </w:rPr>
        <w:t xml:space="preserve"> المصدر السابق (2</w:t>
      </w:r>
      <w:r w:rsidR="0002035C" w:rsidRPr="00A52585">
        <w:rPr>
          <w:rFonts w:hint="cs"/>
          <w:rtl/>
        </w:rPr>
        <w:t xml:space="preserve">: </w:t>
      </w:r>
      <w:r w:rsidRPr="00A52585">
        <w:rPr>
          <w:rFonts w:hint="cs"/>
          <w:rtl/>
        </w:rPr>
        <w:t>103)</w:t>
      </w:r>
      <w:r w:rsidR="00DB731D" w:rsidRPr="00A52585">
        <w:rPr>
          <w:rFonts w:hint="cs"/>
          <w:rtl/>
        </w:rPr>
        <w:t>،</w:t>
      </w:r>
      <w:r w:rsidRPr="00A52585">
        <w:rPr>
          <w:rFonts w:hint="cs"/>
          <w:rtl/>
        </w:rPr>
        <w:t xml:space="preserve"> 178- وسأل الأديبَ أحمد اليافي مفتي الشام محمد خليل المرادي (1206 هـ) ما نصه</w:t>
      </w:r>
      <w:r w:rsidR="0002035C" w:rsidRPr="00A52585">
        <w:rPr>
          <w:rFonts w:hint="cs"/>
          <w:rtl/>
        </w:rPr>
        <w:t>: (</w:t>
      </w:r>
      <w:r w:rsidRPr="00A52585">
        <w:rPr>
          <w:rFonts w:hint="cs"/>
          <w:rtl/>
        </w:rPr>
        <w:t>قلت</w:t>
      </w:r>
      <w:r w:rsidR="0002035C" w:rsidRPr="00A52585">
        <w:rPr>
          <w:rFonts w:hint="cs"/>
          <w:rtl/>
        </w:rPr>
        <w:t>:</w:t>
      </w:r>
      <w:r w:rsidRPr="00A52585">
        <w:rPr>
          <w:rFonts w:hint="cs"/>
          <w:rtl/>
        </w:rPr>
        <w:t xml:space="preserve"> ما الدليل على قيامه بنفسه أيها الأجلّ</w:t>
      </w:r>
      <w:r w:rsidR="00F95886"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استغناؤه عن المخصِّص والمحل</w:t>
      </w:r>
      <w:r w:rsidR="00DB731D" w:rsidRPr="00A52585">
        <w:rPr>
          <w:rFonts w:hint="cs"/>
          <w:rtl/>
        </w:rPr>
        <w:t>،</w:t>
      </w:r>
      <w:r w:rsidRPr="00A52585">
        <w:rPr>
          <w:rFonts w:hint="cs"/>
          <w:rtl/>
        </w:rPr>
        <w:t xml:space="preserve"> وقال</w:t>
      </w:r>
      <w:r w:rsidR="0002035C"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ما الدليل على أنه ليس بجسم ولا عرض في زمان</w:t>
      </w:r>
      <w:r w:rsidR="00F95886"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عدم افتقاره إلى المحل والمكان</w:t>
      </w:r>
      <w:r w:rsidR="0002035C" w:rsidRPr="00A52585">
        <w:rPr>
          <w:rFonts w:hint="cs"/>
          <w:rtl/>
        </w:rPr>
        <w:t>)</w:t>
      </w:r>
      <w:r w:rsidRPr="00A52585">
        <w:rPr>
          <w:rFonts w:hint="cs"/>
          <w:rtl/>
        </w:rPr>
        <w:t xml:space="preserve"> علماء دمشق وأعيانها في القرن الثالث عشر الهجري (1</w:t>
      </w:r>
      <w:r w:rsidR="0002035C" w:rsidRPr="00A52585">
        <w:rPr>
          <w:rFonts w:hint="cs"/>
          <w:rtl/>
        </w:rPr>
        <w:t xml:space="preserve">: </w:t>
      </w:r>
      <w:r w:rsidRPr="00A52585">
        <w:rPr>
          <w:rFonts w:hint="cs"/>
          <w:rtl/>
        </w:rPr>
        <w:t>172 - 173</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فانظر الى جمال السؤال من السائل</w:t>
      </w:r>
      <w:r w:rsidR="00DB731D" w:rsidRPr="00A52585">
        <w:rPr>
          <w:rFonts w:hint="cs"/>
          <w:rtl/>
        </w:rPr>
        <w:t>،</w:t>
      </w:r>
      <w:r w:rsidRPr="00A52585">
        <w:rPr>
          <w:rFonts w:hint="cs"/>
          <w:rtl/>
        </w:rPr>
        <w:t xml:space="preserve"> وانظر الى فطنة ذلك العالم لله دره</w:t>
      </w:r>
      <w:r w:rsidR="00DB731D" w:rsidRPr="00A52585">
        <w:rPr>
          <w:rFonts w:hint="cs"/>
          <w:rtl/>
        </w:rPr>
        <w:t>،</w:t>
      </w:r>
      <w:r w:rsidR="0002035C" w:rsidRPr="00A52585">
        <w:rPr>
          <w:rFonts w:hint="cs"/>
          <w:rtl/>
        </w:rPr>
        <w:t xml:space="preserve"> </w:t>
      </w:r>
      <w:r w:rsidRPr="00A52585">
        <w:rPr>
          <w:rFonts w:hint="cs"/>
          <w:rtl/>
        </w:rPr>
        <w:t xml:space="preserve">179- وقال الشيخ الصوفي الزاهد العلامة مولانا خالد بن أحمد </w:t>
      </w:r>
      <w:proofErr w:type="spellStart"/>
      <w:r w:rsidRPr="00A52585">
        <w:rPr>
          <w:rFonts w:hint="cs"/>
          <w:rtl/>
        </w:rPr>
        <w:t>النقشبندي</w:t>
      </w:r>
      <w:proofErr w:type="spellEnd"/>
      <w:r w:rsidRPr="00A52585">
        <w:rPr>
          <w:rFonts w:hint="cs"/>
          <w:rtl/>
        </w:rPr>
        <w:t xml:space="preserve"> (1242هـ) دفين دمشق ما نصه</w:t>
      </w:r>
      <w:r w:rsidR="0002035C" w:rsidRPr="00A52585">
        <w:rPr>
          <w:rFonts w:hint="cs"/>
          <w:rtl/>
        </w:rPr>
        <w:t>: (</w:t>
      </w:r>
      <w:r w:rsidRPr="00A52585">
        <w:rPr>
          <w:rFonts w:hint="cs"/>
          <w:rtl/>
        </w:rPr>
        <w:t>أشهد بأن الله ليس بجسم ولا جوهر ولا عرض</w:t>
      </w:r>
      <w:r w:rsidR="00DB731D" w:rsidRPr="00A52585">
        <w:rPr>
          <w:rFonts w:hint="cs"/>
          <w:rtl/>
        </w:rPr>
        <w:t>،</w:t>
      </w:r>
      <w:r w:rsidRPr="00A52585">
        <w:rPr>
          <w:rFonts w:hint="cs"/>
          <w:rtl/>
        </w:rPr>
        <w:t xml:space="preserve"> وكذلك صفاته</w:t>
      </w:r>
      <w:r w:rsidR="00DB731D" w:rsidRPr="00A52585">
        <w:rPr>
          <w:rFonts w:hint="cs"/>
          <w:rtl/>
        </w:rPr>
        <w:t>،</w:t>
      </w:r>
      <w:r w:rsidRPr="00A52585">
        <w:rPr>
          <w:rFonts w:hint="cs"/>
          <w:rtl/>
        </w:rPr>
        <w:t xml:space="preserve"> لا </w:t>
      </w:r>
      <w:r w:rsidRPr="00A52585">
        <w:rPr>
          <w:rFonts w:hint="cs"/>
          <w:rtl/>
        </w:rPr>
        <w:lastRenderedPageBreak/>
        <w:t>يقوم به حادث ولا يحل في شيء ولا يتحد بغيره</w:t>
      </w:r>
      <w:r w:rsidR="00DB731D" w:rsidRPr="00A52585">
        <w:rPr>
          <w:rFonts w:hint="cs"/>
          <w:rtl/>
        </w:rPr>
        <w:t>،</w:t>
      </w:r>
      <w:r w:rsidRPr="00A52585">
        <w:rPr>
          <w:rFonts w:hint="cs"/>
          <w:rtl/>
        </w:rPr>
        <w:t xml:space="preserve"> مقدس عن </w:t>
      </w:r>
      <w:proofErr w:type="spellStart"/>
      <w:r w:rsidRPr="00A52585">
        <w:rPr>
          <w:rFonts w:hint="cs"/>
          <w:rtl/>
        </w:rPr>
        <w:t>التجسم</w:t>
      </w:r>
      <w:proofErr w:type="spellEnd"/>
      <w:r w:rsidRPr="00A52585">
        <w:rPr>
          <w:rFonts w:hint="cs"/>
          <w:rtl/>
        </w:rPr>
        <w:t xml:space="preserve"> وتوابعه وعن الجهات والأقطار</w:t>
      </w:r>
      <w:r w:rsidR="0002035C" w:rsidRPr="00A52585">
        <w:rPr>
          <w:rFonts w:hint="cs"/>
          <w:rtl/>
        </w:rPr>
        <w:t>)</w:t>
      </w:r>
      <w:r w:rsidRPr="00A52585">
        <w:rPr>
          <w:rFonts w:hint="cs"/>
          <w:rtl/>
        </w:rPr>
        <w:t xml:space="preserve"> علماء دمشق وأعيانها في القرن الثالث عشر </w:t>
      </w:r>
      <w:proofErr w:type="spellStart"/>
      <w:r w:rsidRPr="00A52585">
        <w:rPr>
          <w:rFonts w:hint="cs"/>
          <w:rtl/>
        </w:rPr>
        <w:t>الهجرى</w:t>
      </w:r>
      <w:proofErr w:type="spellEnd"/>
      <w:r w:rsidRPr="00A52585">
        <w:rPr>
          <w:rFonts w:hint="cs"/>
          <w:rtl/>
        </w:rPr>
        <w:t xml:space="preserve"> (1</w:t>
      </w:r>
      <w:r w:rsidR="0002035C" w:rsidRPr="00A52585">
        <w:rPr>
          <w:rFonts w:hint="cs"/>
          <w:rtl/>
        </w:rPr>
        <w:t xml:space="preserve">: </w:t>
      </w:r>
      <w:r w:rsidRPr="00A52585">
        <w:rPr>
          <w:rFonts w:hint="cs"/>
          <w:rtl/>
        </w:rPr>
        <w:t>312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180-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أشهد بأن الله مقدس عن </w:t>
      </w:r>
      <w:proofErr w:type="spellStart"/>
      <w:r w:rsidRPr="00A52585">
        <w:rPr>
          <w:rFonts w:hint="cs"/>
          <w:rtl/>
        </w:rPr>
        <w:t>التجسم</w:t>
      </w:r>
      <w:proofErr w:type="spellEnd"/>
      <w:r w:rsidRPr="00A52585">
        <w:rPr>
          <w:rFonts w:hint="cs"/>
          <w:rtl/>
        </w:rPr>
        <w:t xml:space="preserve"> وتوابعه وعن الجهات والأقطار</w:t>
      </w:r>
      <w:r w:rsidR="0002035C" w:rsidRPr="00A52585">
        <w:rPr>
          <w:rFonts w:hint="cs"/>
          <w:rtl/>
        </w:rPr>
        <w:t>)</w:t>
      </w:r>
      <w:r w:rsidRPr="00A52585">
        <w:rPr>
          <w:rFonts w:hint="cs"/>
          <w:rtl/>
        </w:rPr>
        <w:t xml:space="preserve"> المصدر السابق (1</w:t>
      </w:r>
      <w:r w:rsidR="0002035C" w:rsidRPr="00A52585">
        <w:rPr>
          <w:rFonts w:hint="cs"/>
          <w:rtl/>
        </w:rPr>
        <w:t xml:space="preserve">: </w:t>
      </w:r>
      <w:r w:rsidRPr="00A52585">
        <w:rPr>
          <w:rFonts w:hint="cs"/>
          <w:rtl/>
        </w:rPr>
        <w:t>312)</w:t>
      </w:r>
      <w:r w:rsidR="00DB731D" w:rsidRPr="00A52585">
        <w:rPr>
          <w:rFonts w:hint="cs"/>
          <w:rtl/>
        </w:rPr>
        <w:t>،</w:t>
      </w:r>
      <w:r w:rsidR="0002035C" w:rsidRPr="00A52585">
        <w:rPr>
          <w:rFonts w:hint="cs"/>
          <w:rtl/>
        </w:rPr>
        <w:t xml:space="preserve"> </w:t>
      </w:r>
      <w:r w:rsidRPr="00A52585">
        <w:rPr>
          <w:rFonts w:hint="cs"/>
          <w:rtl/>
        </w:rPr>
        <w:t>181- وقال الشيخ الفقيه محمد أمين بن عمر المعروف بابن عابدين الحنفي الدمشقي صاحب الحاشية المعروفة (1252هـ)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ودنا من الرحمن عز وجل قرب مكانة من غير قرب مكان) المصدر السابق (1</w:t>
      </w:r>
      <w:r w:rsidR="0002035C" w:rsidRPr="00A52585">
        <w:rPr>
          <w:rFonts w:hint="cs"/>
          <w:rtl/>
        </w:rPr>
        <w:t xml:space="preserve">: </w:t>
      </w:r>
      <w:r w:rsidRPr="00A52585">
        <w:rPr>
          <w:rFonts w:hint="cs"/>
          <w:rtl/>
        </w:rPr>
        <w:t>422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182- وقال مفتي بيروت المحدث الشيخ عبد اللطيف فتح الله الحنفي (1260هـ) عن قول صاحب بدء الأمالي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نسمي الله شيئا لا كالأشياء وذاتا عن جـهات الست خالـي فقال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قد لم ثبت بالدليلين النقلي</w:t>
      </w:r>
      <w:r w:rsidR="00DB731D" w:rsidRPr="00A52585">
        <w:rPr>
          <w:rFonts w:hint="cs"/>
          <w:rtl/>
        </w:rPr>
        <w:t>،</w:t>
      </w:r>
      <w:r w:rsidRPr="00A52585">
        <w:rPr>
          <w:rFonts w:hint="cs"/>
          <w:rtl/>
        </w:rPr>
        <w:t xml:space="preserve"> والعقلي مخالفته تعالى للحوادث قوله تعالى</w:t>
      </w:r>
      <w:r w:rsidR="0002035C" w:rsidRPr="00A52585">
        <w:rPr>
          <w:rFonts w:hint="cs"/>
          <w:rtl/>
        </w:rPr>
        <w:t>:</w:t>
      </w:r>
      <w:r w:rsidRPr="00A52585">
        <w:rPr>
          <w:rFonts w:hint="cs"/>
          <w:rtl/>
        </w:rPr>
        <w:t>" لَيْسَ كَمِثْلِهِ شَيْءٌ وَهُوَ السَّمِيعُ البَصِيرُ وغير ذلك من الأدلة النقلية والعقلية ذكرها أهل الكلام، والكلام عليها طويل</w:t>
      </w:r>
      <w:r w:rsidR="0002035C" w:rsidRPr="00A52585">
        <w:rPr>
          <w:rFonts w:hint="cs"/>
          <w:rtl/>
        </w:rPr>
        <w:t>)</w:t>
      </w:r>
      <w:r w:rsidRPr="00A52585">
        <w:rPr>
          <w:rFonts w:hint="cs"/>
          <w:rtl/>
        </w:rPr>
        <w:t xml:space="preserve"> أنظر ديوان المفتي الشيخ عبد اللطيف فتح الله</w:t>
      </w:r>
      <w:r w:rsidR="00DB731D" w:rsidRPr="00A52585">
        <w:rPr>
          <w:rFonts w:hint="cs"/>
          <w:rtl/>
        </w:rPr>
        <w:t>،</w:t>
      </w:r>
      <w:r w:rsidR="0002035C" w:rsidRPr="00A52585">
        <w:rPr>
          <w:rFonts w:hint="cs"/>
          <w:rtl/>
        </w:rPr>
        <w:t xml:space="preserve"> </w:t>
      </w:r>
      <w:r w:rsidRPr="00A52585">
        <w:rPr>
          <w:rFonts w:hint="cs"/>
          <w:rtl/>
        </w:rPr>
        <w:t>183-قال الشيخ أحمد مرزوقي المالكي المكي(كان حيا سنة1281هـ)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وبـعـد إسراءٍ عُـرُوجٌ </w:t>
      </w:r>
      <w:proofErr w:type="spellStart"/>
      <w:r w:rsidRPr="00A52585">
        <w:rPr>
          <w:rFonts w:hint="cs"/>
          <w:rtl/>
        </w:rPr>
        <w:t>لـلسـمـا</w:t>
      </w:r>
      <w:proofErr w:type="spellEnd"/>
      <w:r w:rsidR="00897A24" w:rsidRPr="00A52585">
        <w:rPr>
          <w:rFonts w:hint="cs"/>
          <w:rtl/>
        </w:rPr>
        <w:t>.</w:t>
      </w:r>
      <w:r w:rsidRPr="00A52585">
        <w:rPr>
          <w:rFonts w:hint="cs"/>
          <w:rtl/>
        </w:rPr>
        <w:t>.. حتى رأى النبيُّ ربَّا كلَّما</w:t>
      </w:r>
      <w:r w:rsidR="00897A24" w:rsidRPr="00A52585">
        <w:rPr>
          <w:rFonts w:hint="cs"/>
          <w:rtl/>
        </w:rPr>
        <w:t>.</w:t>
      </w:r>
      <w:r w:rsidRPr="00A52585">
        <w:rPr>
          <w:rFonts w:hint="cs"/>
          <w:rtl/>
        </w:rPr>
        <w:t>.. من غير كيف وانحصارٍ وافْترضْ</w:t>
      </w:r>
      <w:r w:rsidR="00897A24" w:rsidRPr="00A52585">
        <w:rPr>
          <w:rFonts w:hint="cs"/>
          <w:rtl/>
        </w:rPr>
        <w:t>.</w:t>
      </w:r>
      <w:r w:rsidRPr="00A52585">
        <w:rPr>
          <w:rFonts w:hint="cs"/>
          <w:rtl/>
        </w:rPr>
        <w:t>.. عليه خَمْسا بعد خمسين فَرَضْ</w:t>
      </w:r>
      <w:r w:rsidR="0002035C" w:rsidRPr="00A52585">
        <w:rPr>
          <w:rFonts w:hint="cs"/>
          <w:rtl/>
        </w:rPr>
        <w:t>)</w:t>
      </w:r>
      <w:r w:rsidRPr="00A52585">
        <w:rPr>
          <w:rFonts w:hint="cs"/>
          <w:rtl/>
        </w:rPr>
        <w:t xml:space="preserve"> منظومته عقيدة العوام</w:t>
      </w:r>
      <w:r w:rsidR="00DB731D" w:rsidRPr="00A52585">
        <w:rPr>
          <w:rFonts w:hint="cs"/>
          <w:rtl/>
        </w:rPr>
        <w:t>،</w:t>
      </w:r>
      <w:r w:rsidR="0002035C" w:rsidRPr="00A52585">
        <w:rPr>
          <w:rFonts w:hint="cs"/>
          <w:rtl/>
        </w:rPr>
        <w:t xml:space="preserve"> </w:t>
      </w:r>
      <w:r w:rsidRPr="00A52585">
        <w:rPr>
          <w:rFonts w:hint="cs"/>
          <w:rtl/>
        </w:rPr>
        <w:t>184- وذكر العلامة ابن مرزوق عن العلامة أبي عبد الله بن الجلال ما نصه</w:t>
      </w:r>
      <w:r w:rsidR="0002035C" w:rsidRPr="00A52585">
        <w:rPr>
          <w:rFonts w:hint="cs"/>
          <w:rtl/>
        </w:rPr>
        <w:t>: (</w:t>
      </w:r>
      <w:r w:rsidRPr="00A52585">
        <w:rPr>
          <w:rFonts w:hint="cs"/>
          <w:rtl/>
        </w:rPr>
        <w:t>لو كان - الله - في العالم أو خارجاً عنه لكان مماثلاً</w:t>
      </w:r>
      <w:r w:rsidR="00DB731D" w:rsidRPr="00A52585">
        <w:rPr>
          <w:rFonts w:hint="cs"/>
          <w:rtl/>
        </w:rPr>
        <w:t>،</w:t>
      </w:r>
      <w:r w:rsidRPr="00A52585">
        <w:rPr>
          <w:rFonts w:hint="cs"/>
          <w:rtl/>
        </w:rPr>
        <w:t xml:space="preserve"> وبيانُ المماثلة واضح</w:t>
      </w:r>
      <w:r w:rsidR="00DB731D" w:rsidRPr="00A52585">
        <w:rPr>
          <w:rFonts w:hint="cs"/>
          <w:rtl/>
        </w:rPr>
        <w:t>،</w:t>
      </w:r>
      <w:r w:rsidRPr="00A52585">
        <w:rPr>
          <w:rFonts w:hint="cs"/>
          <w:rtl/>
        </w:rPr>
        <w:t xml:space="preserve"> أما في الأول</w:t>
      </w:r>
      <w:r w:rsidR="0002035C" w:rsidRPr="00A52585">
        <w:rPr>
          <w:rFonts w:hint="cs"/>
          <w:rtl/>
        </w:rPr>
        <w:t>:</w:t>
      </w:r>
      <w:r w:rsidRPr="00A52585">
        <w:rPr>
          <w:rFonts w:hint="cs"/>
          <w:rtl/>
        </w:rPr>
        <w:t xml:space="preserve"> فلأنه إن كان في العالم صار من جنسه، فجيب له ما وجب له</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أي صار من قبيل الأجسام ومادة العالم ؛ لأنه إن كان داخل العالم فيكون جزءاً منه</w:t>
      </w:r>
      <w:r w:rsidR="00DB731D" w:rsidRPr="00A52585">
        <w:rPr>
          <w:rFonts w:hint="cs"/>
          <w:rtl/>
        </w:rPr>
        <w:t>،</w:t>
      </w:r>
      <w:r w:rsidRPr="00A52585">
        <w:rPr>
          <w:rFonts w:hint="cs"/>
          <w:rtl/>
        </w:rPr>
        <w:t xml:space="preserve"> وما كان جزءاً من شيء كان مماثلاً له في الجنس، فالورقُ مثلاً ليس من جنس الحديد إلا باعتبار أن كليهما أجسام ومواد، ولذا لا يمكن أن يكون الورق جزءاً من الحديد</w:t>
      </w:r>
      <w:r w:rsidR="00DB731D" w:rsidRPr="00A52585">
        <w:rPr>
          <w:rFonts w:hint="cs"/>
          <w:rtl/>
        </w:rPr>
        <w:t>،</w:t>
      </w:r>
      <w:r w:rsidRPr="00A52585">
        <w:rPr>
          <w:rFonts w:hint="cs"/>
          <w:rtl/>
        </w:rPr>
        <w:t xml:space="preserve"> وكذا الطير ليس جزءاً من الأحجار لاختلاف الجنس</w:t>
      </w:r>
      <w:r w:rsidR="00DB731D" w:rsidRPr="00A52585">
        <w:rPr>
          <w:rFonts w:hint="cs"/>
          <w:rtl/>
        </w:rPr>
        <w:t>،</w:t>
      </w:r>
      <w:r w:rsidRPr="00A52585">
        <w:rPr>
          <w:rFonts w:hint="cs"/>
          <w:rtl/>
        </w:rPr>
        <w:t xml:space="preserve"> إلا باعتبار أن كليهما أجسام</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وأما في الثاني</w:t>
      </w:r>
      <w:r w:rsidR="0002035C" w:rsidRPr="00A52585">
        <w:rPr>
          <w:rFonts w:hint="cs"/>
          <w:rtl/>
        </w:rPr>
        <w:t>:</w:t>
      </w:r>
      <w:r w:rsidRPr="00A52585">
        <w:rPr>
          <w:rFonts w:hint="cs"/>
          <w:rtl/>
        </w:rPr>
        <w:t xml:space="preserve"> فلأنه إن كان خارجاً لزم إما اتصاله وإما انفصاله</w:t>
      </w:r>
      <w:r w:rsidR="0002035C" w:rsidRPr="00A52585">
        <w:rPr>
          <w:rFonts w:hint="cs"/>
          <w:rtl/>
        </w:rPr>
        <w:t>:</w:t>
      </w:r>
      <w:r w:rsidRPr="00A52585">
        <w:rPr>
          <w:rFonts w:hint="cs"/>
          <w:rtl/>
        </w:rPr>
        <w:t xml:space="preserve"> إما بمسافةٍ متناهية أو غير متناهية، وذلك كله يؤدي لافتقاره إلى مخصص</w:t>
      </w:r>
      <w:r w:rsidR="0002035C" w:rsidRPr="00A52585">
        <w:rPr>
          <w:rFonts w:hint="cs"/>
          <w:rtl/>
        </w:rPr>
        <w:t>)</w:t>
      </w:r>
      <w:r w:rsidRPr="00A52585">
        <w:rPr>
          <w:rFonts w:hint="cs"/>
          <w:rtl/>
        </w:rPr>
        <w:t xml:space="preserve"> انتهى كلام العلامة</w:t>
      </w:r>
      <w:r w:rsidR="00DB731D" w:rsidRPr="00A52585">
        <w:rPr>
          <w:rFonts w:hint="cs"/>
          <w:rtl/>
        </w:rPr>
        <w:t>،</w:t>
      </w:r>
      <w:r w:rsidRPr="00A52585">
        <w:rPr>
          <w:rFonts w:hint="cs"/>
          <w:rtl/>
        </w:rPr>
        <w:t xml:space="preserve"> انظر حسن </w:t>
      </w:r>
      <w:proofErr w:type="spellStart"/>
      <w:r w:rsidRPr="00A52585">
        <w:rPr>
          <w:rFonts w:hint="cs"/>
          <w:rtl/>
        </w:rPr>
        <w:t>المحاججة</w:t>
      </w:r>
      <w:proofErr w:type="spellEnd"/>
      <w:r w:rsidRPr="00A52585">
        <w:rPr>
          <w:rFonts w:hint="cs"/>
          <w:rtl/>
        </w:rPr>
        <w:t xml:space="preserve"> للأستاذ العلامة النَّظَّار سعيد فودة حفظه الله تعالى</w:t>
      </w:r>
      <w:r w:rsidR="00DB731D" w:rsidRPr="00A52585">
        <w:rPr>
          <w:rFonts w:hint="cs"/>
          <w:rtl/>
        </w:rPr>
        <w:t>،</w:t>
      </w:r>
      <w:r w:rsidRPr="00A52585">
        <w:rPr>
          <w:rFonts w:hint="cs"/>
          <w:rtl/>
        </w:rPr>
        <w:t xml:space="preserve"> 185- وقال الشيخ إبراهيم </w:t>
      </w:r>
      <w:proofErr w:type="spellStart"/>
      <w:r w:rsidRPr="00A52585">
        <w:rPr>
          <w:rFonts w:hint="cs"/>
          <w:rtl/>
        </w:rPr>
        <w:t>البيجوري</w:t>
      </w:r>
      <w:proofErr w:type="spellEnd"/>
      <w:r w:rsidRPr="00A52585">
        <w:rPr>
          <w:rFonts w:hint="cs"/>
          <w:rtl/>
        </w:rPr>
        <w:t xml:space="preserve"> الشافعي (1277هـ) ما نصه </w:t>
      </w:r>
      <w:r w:rsidR="0002035C" w:rsidRPr="00A52585">
        <w:rPr>
          <w:rFonts w:hint="cs"/>
          <w:rtl/>
        </w:rPr>
        <w:t>(</w:t>
      </w:r>
      <w:r w:rsidRPr="00A52585">
        <w:rPr>
          <w:rFonts w:hint="cs"/>
          <w:rtl/>
        </w:rPr>
        <w:t>إن يُرى بلا تكيف للمرئي بكيفية من</w:t>
      </w:r>
      <w:r w:rsidR="00897A24" w:rsidRPr="00A52585">
        <w:rPr>
          <w:rFonts w:hint="cs"/>
          <w:rtl/>
        </w:rPr>
        <w:t>.</w:t>
      </w:r>
      <w:r w:rsidRPr="00A52585">
        <w:rPr>
          <w:rFonts w:hint="cs"/>
          <w:rtl/>
        </w:rPr>
        <w:t xml:space="preserve"> كيفيات الحوادث من مقابلة وجهة وتحيز وغير ذلك</w:t>
      </w:r>
      <w:r w:rsidR="0002035C" w:rsidRPr="00A52585">
        <w:rPr>
          <w:rFonts w:hint="cs"/>
          <w:rtl/>
        </w:rPr>
        <w:t>)</w:t>
      </w:r>
      <w:r w:rsidRPr="00A52585">
        <w:rPr>
          <w:rFonts w:hint="cs"/>
          <w:rtl/>
        </w:rPr>
        <w:t xml:space="preserve"> تحفة المريد على جوهرة التوحيد (رقم البيت 54</w:t>
      </w:r>
      <w:r w:rsidR="0002035C" w:rsidRPr="00A52585">
        <w:rPr>
          <w:rFonts w:hint="cs"/>
          <w:rtl/>
        </w:rPr>
        <w:t xml:space="preserve">: </w:t>
      </w:r>
      <w:r w:rsidRPr="00A52585">
        <w:rPr>
          <w:rFonts w:hint="cs"/>
          <w:rtl/>
        </w:rPr>
        <w:t>ص 80</w:t>
      </w:r>
      <w:r w:rsidR="0002035C" w:rsidRPr="00A52585">
        <w:rPr>
          <w:rFonts w:hint="cs"/>
          <w:rtl/>
        </w:rPr>
        <w:t>)</w:t>
      </w:r>
      <w:r w:rsidR="00DB731D" w:rsidRPr="00A52585">
        <w:rPr>
          <w:rFonts w:hint="cs"/>
          <w:rtl/>
        </w:rPr>
        <w:t>،</w:t>
      </w:r>
      <w:r w:rsidRPr="00A52585">
        <w:rPr>
          <w:rFonts w:hint="cs"/>
          <w:rtl/>
        </w:rPr>
        <w:t xml:space="preserve"> 186-وقال الامام الشوكاني في تفسير قوله تعلى </w:t>
      </w:r>
      <w:r w:rsidR="0002035C" w:rsidRPr="00A52585">
        <w:rPr>
          <w:rFonts w:hint="cs"/>
          <w:rtl/>
        </w:rPr>
        <w:t>(</w:t>
      </w:r>
      <w:r w:rsidRPr="00A52585">
        <w:rPr>
          <w:rFonts w:hint="cs"/>
          <w:rtl/>
        </w:rPr>
        <w:t>ثم استوى على العرش</w:t>
      </w:r>
      <w:r w:rsidR="0002035C" w:rsidRPr="00A52585">
        <w:rPr>
          <w:rFonts w:hint="cs"/>
          <w:rtl/>
        </w:rPr>
        <w:t>)</w:t>
      </w:r>
      <w:r w:rsidRPr="00A52585">
        <w:rPr>
          <w:rFonts w:hint="cs"/>
          <w:rtl/>
        </w:rPr>
        <w:t xml:space="preserve"> ما نصه</w:t>
      </w:r>
      <w:r w:rsidR="0002035C" w:rsidRPr="00A52585">
        <w:rPr>
          <w:rFonts w:hint="cs"/>
          <w:rtl/>
        </w:rPr>
        <w:t>: (</w:t>
      </w:r>
      <w:r w:rsidRPr="00A52585">
        <w:rPr>
          <w:rFonts w:hint="cs"/>
          <w:rtl/>
        </w:rPr>
        <w:t>اي استولى عليه بالحفظ والتدبير</w:t>
      </w:r>
      <w:r w:rsidR="00DB731D" w:rsidRPr="00A52585">
        <w:rPr>
          <w:rFonts w:hint="cs"/>
          <w:rtl/>
        </w:rPr>
        <w:t>،</w:t>
      </w:r>
      <w:r w:rsidRPr="00A52585">
        <w:rPr>
          <w:rFonts w:hint="cs"/>
          <w:rtl/>
        </w:rPr>
        <w:t xml:space="preserve"> او استوى امره</w:t>
      </w:r>
      <w:r w:rsidR="00DB731D" w:rsidRPr="00A52585">
        <w:rPr>
          <w:rFonts w:hint="cs"/>
          <w:rtl/>
        </w:rPr>
        <w:t>،</w:t>
      </w:r>
      <w:r w:rsidRPr="00A52585">
        <w:rPr>
          <w:rFonts w:hint="cs"/>
          <w:rtl/>
        </w:rPr>
        <w:t xml:space="preserve"> او اقبل على خلق العرش</w:t>
      </w:r>
      <w:r w:rsidR="0002035C" w:rsidRPr="00A52585">
        <w:rPr>
          <w:rFonts w:hint="cs"/>
          <w:rtl/>
        </w:rPr>
        <w:t>)</w:t>
      </w:r>
      <w:r w:rsidR="00F95886" w:rsidRPr="00A52585">
        <w:rPr>
          <w:rFonts w:hint="cs"/>
          <w:rtl/>
        </w:rPr>
        <w:t>!</w:t>
      </w:r>
      <w:r w:rsidRPr="00A52585">
        <w:rPr>
          <w:rFonts w:hint="cs"/>
          <w:rtl/>
        </w:rPr>
        <w:t xml:space="preserve">!! انظر فتح القدير </w:t>
      </w:r>
      <w:r w:rsidR="0002035C" w:rsidRPr="00A52585">
        <w:rPr>
          <w:rFonts w:hint="cs"/>
          <w:rtl/>
        </w:rPr>
        <w:t>(</w:t>
      </w:r>
      <w:r w:rsidRPr="00A52585">
        <w:rPr>
          <w:rFonts w:hint="cs"/>
          <w:rtl/>
        </w:rPr>
        <w:t>3</w:t>
      </w:r>
      <w:r w:rsidR="0002035C" w:rsidRPr="00A52585">
        <w:rPr>
          <w:rFonts w:hint="cs"/>
          <w:rtl/>
        </w:rPr>
        <w:t xml:space="preserve">: </w:t>
      </w:r>
      <w:r w:rsidRPr="00A52585">
        <w:rPr>
          <w:rFonts w:hint="cs"/>
          <w:rtl/>
        </w:rPr>
        <w:t>63</w:t>
      </w:r>
      <w:r w:rsidR="0002035C" w:rsidRPr="00A52585">
        <w:rPr>
          <w:rFonts w:hint="cs"/>
          <w:rtl/>
        </w:rPr>
        <w:t>)</w:t>
      </w:r>
      <w:r w:rsidRPr="00A52585">
        <w:rPr>
          <w:rFonts w:hint="cs"/>
          <w:rtl/>
        </w:rPr>
        <w:t xml:space="preserve"> طبعة البابي الحلبي</w:t>
      </w:r>
      <w:r w:rsidR="00DB731D" w:rsidRPr="00A52585">
        <w:rPr>
          <w:rFonts w:hint="cs"/>
          <w:rtl/>
        </w:rPr>
        <w:t>،</w:t>
      </w:r>
      <w:r w:rsidRPr="00A52585">
        <w:rPr>
          <w:rFonts w:hint="cs"/>
          <w:rtl/>
        </w:rPr>
        <w:t xml:space="preserve"> ويقول الشيخ عمر بن محمد الأنسي الشافعي البيروتي (293 اهـ) في </w:t>
      </w:r>
      <w:r w:rsidRPr="00A52585">
        <w:rPr>
          <w:rFonts w:hint="cs"/>
          <w:rtl/>
        </w:rPr>
        <w:lastRenderedPageBreak/>
        <w:t>ديوانه ما نصه</w:t>
      </w:r>
      <w:r w:rsidR="0002035C" w:rsidRPr="00A52585">
        <w:rPr>
          <w:rFonts w:hint="cs"/>
          <w:rtl/>
        </w:rPr>
        <w:t>: (</w:t>
      </w:r>
      <w:r w:rsidRPr="00A52585">
        <w:rPr>
          <w:rFonts w:hint="cs"/>
          <w:rtl/>
        </w:rPr>
        <w:t>مـكـانٌ شـادَه شـرفـا وعِـزَا</w:t>
      </w:r>
      <w:r w:rsidR="00897A24" w:rsidRPr="00A52585">
        <w:rPr>
          <w:rFonts w:hint="cs"/>
          <w:rtl/>
        </w:rPr>
        <w:t>.</w:t>
      </w:r>
      <w:r w:rsidRPr="00A52585">
        <w:rPr>
          <w:rFonts w:hint="cs"/>
          <w:rtl/>
        </w:rPr>
        <w:t>.. إلـهٌ لا يـحـيـط بـه مـكـانَ</w:t>
      </w:r>
      <w:r w:rsidR="0002035C" w:rsidRPr="00A52585">
        <w:rPr>
          <w:rFonts w:hint="cs"/>
          <w:rtl/>
        </w:rPr>
        <w:t>)</w:t>
      </w:r>
      <w:r w:rsidRPr="00A52585">
        <w:rPr>
          <w:rFonts w:hint="cs"/>
          <w:rtl/>
        </w:rPr>
        <w:t xml:space="preserve"> المورد العذب (ص 276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187- قال الشيخ عبد الغني الغنيمي الميداني الحنفي الدمشقي (298اهـ)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والله تعالى ليس بجسم</w:t>
      </w:r>
      <w:r w:rsidR="00DB731D" w:rsidRPr="00A52585">
        <w:rPr>
          <w:rFonts w:hint="cs"/>
          <w:rtl/>
        </w:rPr>
        <w:t>،</w:t>
      </w:r>
      <w:r w:rsidRPr="00A52585">
        <w:rPr>
          <w:rFonts w:hint="cs"/>
          <w:rtl/>
        </w:rPr>
        <w:t xml:space="preserve"> فليست رؤيته كرؤية الأجسام</w:t>
      </w:r>
      <w:r w:rsidR="00DB731D" w:rsidRPr="00A52585">
        <w:rPr>
          <w:rFonts w:hint="cs"/>
          <w:rtl/>
        </w:rPr>
        <w:t>،</w:t>
      </w:r>
      <w:r w:rsidRPr="00A52585">
        <w:rPr>
          <w:rFonts w:hint="cs"/>
          <w:rtl/>
        </w:rPr>
        <w:t xml:space="preserve"> فإن الرؤية تابعة للشيء على ما هو عليه</w:t>
      </w:r>
      <w:r w:rsidR="00DB731D" w:rsidRPr="00A52585">
        <w:rPr>
          <w:rFonts w:hint="cs"/>
          <w:rtl/>
        </w:rPr>
        <w:t>،</w:t>
      </w:r>
      <w:r w:rsidRPr="00A52585">
        <w:rPr>
          <w:rFonts w:hint="cs"/>
          <w:rtl/>
        </w:rPr>
        <w:t xml:space="preserve"> فمن كان في مكان وجهة لا يرى إلا في مكان وجهة كما</w:t>
      </w:r>
      <w:r w:rsidR="00897A24" w:rsidRPr="00A52585">
        <w:rPr>
          <w:rFonts w:hint="cs"/>
          <w:rtl/>
        </w:rPr>
        <w:t>.</w:t>
      </w:r>
      <w:r w:rsidRPr="00A52585">
        <w:rPr>
          <w:rFonts w:hint="cs"/>
          <w:rtl/>
        </w:rPr>
        <w:t xml:space="preserve"> هو كذلك</w:t>
      </w:r>
      <w:r w:rsidR="00DB731D" w:rsidRPr="00A52585">
        <w:rPr>
          <w:rFonts w:hint="cs"/>
          <w:rtl/>
        </w:rPr>
        <w:t>،</w:t>
      </w:r>
      <w:r w:rsidRPr="00A52585">
        <w:rPr>
          <w:rFonts w:hint="cs"/>
          <w:rtl/>
        </w:rPr>
        <w:t xml:space="preserve"> ويرى - أي المخلوق - بمقابلة واتصال شعاع وثبوت مسافة ومن لـم يكن في مكان ولا </w:t>
      </w:r>
      <w:proofErr w:type="spellStart"/>
      <w:r w:rsidRPr="00A52585">
        <w:rPr>
          <w:rFonts w:hint="cs"/>
          <w:rtl/>
        </w:rPr>
        <w:t>جهه</w:t>
      </w:r>
      <w:proofErr w:type="spellEnd"/>
      <w:r w:rsidRPr="00A52585">
        <w:rPr>
          <w:rFonts w:hint="cs"/>
          <w:rtl/>
        </w:rPr>
        <w:t xml:space="preserve"> وليس بجسم فرؤيته كذلك ليس في مكان ولا جهة</w:t>
      </w:r>
      <w:r w:rsidR="0002035C" w:rsidRPr="00A52585">
        <w:rPr>
          <w:rFonts w:hint="cs"/>
          <w:rtl/>
        </w:rPr>
        <w:t>)</w:t>
      </w:r>
      <w:r w:rsidRPr="00A52585">
        <w:rPr>
          <w:rFonts w:hint="cs"/>
          <w:rtl/>
        </w:rPr>
        <w:t xml:space="preserve"> انظر شرحه على العقيدة الطحاوية </w:t>
      </w:r>
      <w:r w:rsidR="0002035C" w:rsidRPr="00A52585">
        <w:rPr>
          <w:rFonts w:hint="cs"/>
          <w:rtl/>
        </w:rPr>
        <w:t>(</w:t>
      </w:r>
      <w:r w:rsidRPr="00A52585">
        <w:rPr>
          <w:rFonts w:hint="cs"/>
          <w:rtl/>
        </w:rPr>
        <w:t>ص 69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188- وقال الشيخ المتكلم عبد الله بن عبد الرحمن </w:t>
      </w:r>
      <w:proofErr w:type="spellStart"/>
      <w:r w:rsidRPr="00A52585">
        <w:rPr>
          <w:rFonts w:hint="cs"/>
          <w:rtl/>
        </w:rPr>
        <w:t>الدهلي</w:t>
      </w:r>
      <w:proofErr w:type="spellEnd"/>
      <w:r w:rsidRPr="00A52585">
        <w:rPr>
          <w:rFonts w:hint="cs"/>
          <w:rtl/>
        </w:rPr>
        <w:t xml:space="preserve"> الحنفي </w:t>
      </w:r>
      <w:r w:rsidR="0002035C" w:rsidRPr="00A52585">
        <w:rPr>
          <w:rFonts w:hint="cs"/>
          <w:rtl/>
        </w:rPr>
        <w:t>(</w:t>
      </w:r>
      <w:r w:rsidRPr="00A52585">
        <w:rPr>
          <w:rFonts w:hint="cs"/>
          <w:rtl/>
        </w:rPr>
        <w:t>كان حيا سنة 1299 هـ</w:t>
      </w:r>
      <w:r w:rsidR="0002035C" w:rsidRPr="00A52585">
        <w:rPr>
          <w:rFonts w:hint="cs"/>
          <w:rtl/>
        </w:rPr>
        <w:t>)</w:t>
      </w:r>
      <w:r w:rsidRPr="00A52585">
        <w:rPr>
          <w:rFonts w:hint="cs"/>
          <w:rtl/>
        </w:rPr>
        <w:t xml:space="preserve"> ما نصه</w:t>
      </w:r>
      <w:r w:rsidR="0002035C" w:rsidRPr="00A52585">
        <w:rPr>
          <w:rFonts w:hint="cs"/>
          <w:rtl/>
        </w:rPr>
        <w:t>: (</w:t>
      </w:r>
      <w:r w:rsidRPr="00A52585">
        <w:rPr>
          <w:rFonts w:hint="cs"/>
          <w:rtl/>
        </w:rPr>
        <w:t>أقول</w:t>
      </w:r>
      <w:r w:rsidR="0002035C" w:rsidRPr="00A52585">
        <w:rPr>
          <w:rFonts w:hint="cs"/>
          <w:rtl/>
        </w:rPr>
        <w:t>:</w:t>
      </w:r>
      <w:r w:rsidRPr="00A52585">
        <w:rPr>
          <w:rFonts w:hint="cs"/>
          <w:rtl/>
        </w:rPr>
        <w:t xml:space="preserve"> إن معنى كلامهم إن المولى سبحانه وتعالى منزه عن الجهات الستة أن المعنى في ذلك أنه لا تحويه جهة من هذه الجهات الستة بل ولا كلها</w:t>
      </w:r>
      <w:r w:rsidR="0002035C" w:rsidRPr="00A52585">
        <w:rPr>
          <w:rFonts w:hint="cs"/>
          <w:rtl/>
        </w:rPr>
        <w:t>)</w:t>
      </w:r>
      <w:r w:rsidRPr="00A52585">
        <w:rPr>
          <w:rFonts w:hint="cs"/>
          <w:rtl/>
        </w:rPr>
        <w:t xml:space="preserve"> انظر روض المجال في الرد على أهل الضلال (ص 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189- وقال الشيخ برهان الدين إبراهيم بن إبراهيم بن حسن اللقاني المصري المالكي (1041)هـ صاحب منظومة "جوهرة التوحيد" في العقائد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ويستحيل ضِدُّ ذي الصفات في حقه كـالكون في الجـهات</w:t>
      </w:r>
      <w:r w:rsidR="0002035C" w:rsidRPr="00A52585">
        <w:rPr>
          <w:rFonts w:hint="cs"/>
          <w:rtl/>
        </w:rPr>
        <w:t>)</w:t>
      </w:r>
      <w:r w:rsidRPr="00A52585">
        <w:rPr>
          <w:rFonts w:hint="cs"/>
          <w:rtl/>
        </w:rPr>
        <w:t xml:space="preserve"> جوهرة التوحيد (ضمن مجموع مهمات المتون) (رقم البيت 43</w:t>
      </w:r>
      <w:r w:rsidR="0002035C" w:rsidRPr="00A52585">
        <w:rPr>
          <w:rFonts w:hint="cs"/>
          <w:rtl/>
        </w:rPr>
        <w:t xml:space="preserve">: </w:t>
      </w:r>
      <w:r w:rsidRPr="00A52585">
        <w:rPr>
          <w:rFonts w:hint="cs"/>
          <w:rtl/>
        </w:rPr>
        <w:t>ص 13)</w:t>
      </w:r>
      <w:r w:rsidR="00DB731D" w:rsidRPr="00A52585">
        <w:rPr>
          <w:rFonts w:hint="cs"/>
          <w:rtl/>
        </w:rPr>
        <w:t>،</w:t>
      </w:r>
      <w:r w:rsidR="0002035C" w:rsidRPr="00A52585">
        <w:rPr>
          <w:rFonts w:hint="cs"/>
          <w:rtl/>
        </w:rPr>
        <w:t xml:space="preserve"> </w:t>
      </w:r>
      <w:r w:rsidRPr="00A52585">
        <w:rPr>
          <w:rFonts w:hint="cs"/>
          <w:rtl/>
        </w:rPr>
        <w:t>190- وقال الشيخ المؤرخ أحمد بن محمد المقري التلمساني المالكي الأشعري (1041هـ) في تنزيه الله عن المكان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أو بارْتسَام في خيال يُعْتَبَرْ *** أو بزمان أو مكـان أو كِـبَرْ) إضاءة الدُّجْنَة في </w:t>
      </w:r>
      <w:proofErr w:type="spellStart"/>
      <w:r w:rsidRPr="00A52585">
        <w:rPr>
          <w:rFonts w:hint="cs"/>
          <w:rtl/>
        </w:rPr>
        <w:t>عقاند</w:t>
      </w:r>
      <w:proofErr w:type="spellEnd"/>
      <w:r w:rsidRPr="00A52585">
        <w:rPr>
          <w:rFonts w:hint="cs"/>
          <w:rtl/>
        </w:rPr>
        <w:t xml:space="preserve"> أهل السنة (ص 48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191- وقال منزها الله عن الجهة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جَلَّ عن الجهات</w:t>
      </w:r>
      <w:r w:rsidR="0002035C" w:rsidRPr="00A52585">
        <w:rPr>
          <w:rFonts w:hint="cs"/>
          <w:rtl/>
        </w:rPr>
        <w:t>)</w:t>
      </w:r>
      <w:r w:rsidRPr="00A52585">
        <w:rPr>
          <w:rFonts w:hint="cs"/>
          <w:rtl/>
        </w:rPr>
        <w:t xml:space="preserve"> المصدر السابق (ص 49)</w:t>
      </w:r>
      <w:r w:rsidR="00DB731D" w:rsidRPr="00A52585">
        <w:rPr>
          <w:rFonts w:hint="cs"/>
          <w:rtl/>
        </w:rPr>
        <w:t>،</w:t>
      </w:r>
      <w:r w:rsidR="0002035C" w:rsidRPr="00A52585">
        <w:rPr>
          <w:rFonts w:hint="cs"/>
          <w:rtl/>
        </w:rPr>
        <w:t xml:space="preserve"> </w:t>
      </w:r>
      <w:r w:rsidRPr="00A52585">
        <w:rPr>
          <w:rFonts w:hint="cs"/>
          <w:rtl/>
        </w:rPr>
        <w:t>192- وقال المحدِث الشيخ محمد بن علي المعروف بابن علاّن الصّديقي الشافعي (1057هـ) ما نصه</w:t>
      </w:r>
      <w:r w:rsidR="0002035C" w:rsidRPr="00A52585">
        <w:rPr>
          <w:rFonts w:hint="cs"/>
          <w:rtl/>
        </w:rPr>
        <w:t>: (</w:t>
      </w:r>
      <w:r w:rsidRPr="00A52585">
        <w:rPr>
          <w:rFonts w:hint="cs"/>
          <w:rtl/>
        </w:rPr>
        <w:t>إن الله فوق كل موجود مكانة واستيلاء لا مكانا وجهة</w:t>
      </w:r>
      <w:r w:rsidR="0002035C" w:rsidRPr="00A52585">
        <w:rPr>
          <w:rFonts w:hint="cs"/>
          <w:rtl/>
        </w:rPr>
        <w:t>)</w:t>
      </w:r>
      <w:r w:rsidRPr="00A52585">
        <w:rPr>
          <w:rFonts w:hint="cs"/>
          <w:rtl/>
        </w:rPr>
        <w:t xml:space="preserve"> الفتوحات الربانية (مجلد 4</w:t>
      </w:r>
      <w:r w:rsidR="0002035C" w:rsidRPr="00A52585">
        <w:rPr>
          <w:rFonts w:hint="cs"/>
          <w:rtl/>
        </w:rPr>
        <w:t xml:space="preserve">: </w:t>
      </w:r>
      <w:r w:rsidRPr="00A52585">
        <w:rPr>
          <w:rFonts w:hint="cs"/>
          <w:rtl/>
        </w:rPr>
        <w:t>7</w:t>
      </w:r>
      <w:r w:rsidR="0002035C" w:rsidRPr="00A52585">
        <w:rPr>
          <w:rFonts w:hint="cs"/>
          <w:rtl/>
        </w:rPr>
        <w:t>:</w:t>
      </w:r>
      <w:r w:rsidRPr="00A52585">
        <w:rPr>
          <w:rFonts w:hint="cs"/>
          <w:rtl/>
        </w:rPr>
        <w:t xml:space="preserve"> 327)</w:t>
      </w:r>
      <w:r w:rsidR="00DB731D" w:rsidRPr="00A52585">
        <w:rPr>
          <w:rFonts w:hint="cs"/>
          <w:rtl/>
        </w:rPr>
        <w:t>،</w:t>
      </w:r>
      <w:r w:rsidR="0002035C" w:rsidRPr="00A52585">
        <w:rPr>
          <w:rFonts w:hint="cs"/>
          <w:rtl/>
        </w:rPr>
        <w:t xml:space="preserve"> </w:t>
      </w:r>
      <w:r w:rsidRPr="00A52585">
        <w:rPr>
          <w:rFonts w:hint="cs"/>
          <w:rtl/>
        </w:rPr>
        <w:t>193- وقال الشيخ عبد السلام بن إبراهيم اللقاني المصري المالكي (1078ها) عند ذكر ما يستحيل عليه تعالى ما نصه</w:t>
      </w:r>
      <w:r w:rsidR="0002035C" w:rsidRPr="00A52585">
        <w:rPr>
          <w:rFonts w:hint="cs"/>
          <w:rtl/>
        </w:rPr>
        <w:t>: (</w:t>
      </w:r>
      <w:r w:rsidRPr="00A52585">
        <w:rPr>
          <w:rFonts w:hint="cs"/>
          <w:rtl/>
        </w:rPr>
        <w:t>أو يكون في جهة للجرم</w:t>
      </w:r>
      <w:r w:rsidR="00DB731D" w:rsidRPr="00A52585">
        <w:rPr>
          <w:rFonts w:hint="cs"/>
          <w:rtl/>
        </w:rPr>
        <w:t>،</w:t>
      </w:r>
      <w:r w:rsidRPr="00A52585">
        <w:rPr>
          <w:rFonts w:hint="cs"/>
          <w:rtl/>
        </w:rPr>
        <w:t xml:space="preserve"> أو له هو جهة</w:t>
      </w:r>
      <w:r w:rsidR="00DB731D" w:rsidRPr="00A52585">
        <w:rPr>
          <w:rFonts w:hint="cs"/>
          <w:rtl/>
        </w:rPr>
        <w:t>،</w:t>
      </w:r>
      <w:r w:rsidRPr="00A52585">
        <w:rPr>
          <w:rFonts w:hint="cs"/>
          <w:rtl/>
        </w:rPr>
        <w:t xml:space="preserve"> أو يتقيد بمكان أو زمان</w:t>
      </w:r>
      <w:r w:rsidR="0002035C" w:rsidRPr="00A52585">
        <w:rPr>
          <w:rFonts w:hint="cs"/>
          <w:rtl/>
        </w:rPr>
        <w:t>)</w:t>
      </w:r>
      <w:r w:rsidRPr="00A52585">
        <w:rPr>
          <w:rFonts w:hint="cs"/>
          <w:rtl/>
        </w:rPr>
        <w:t xml:space="preserve"> شرح جوهرة التوحيد (ص 137)</w:t>
      </w:r>
      <w:r w:rsidR="00DB731D" w:rsidRPr="00A52585">
        <w:rPr>
          <w:rFonts w:hint="cs"/>
          <w:rtl/>
        </w:rPr>
        <w:t>،</w:t>
      </w:r>
      <w:r w:rsidR="0002035C" w:rsidRPr="00A52585">
        <w:rPr>
          <w:rFonts w:hint="cs"/>
          <w:rtl/>
        </w:rPr>
        <w:t xml:space="preserve"> </w:t>
      </w:r>
      <w:r w:rsidRPr="00A52585">
        <w:rPr>
          <w:rFonts w:hint="cs"/>
          <w:rtl/>
        </w:rPr>
        <w:t>194- وقال العلامة الشيخ كمال الدين البياضي الحنفي (1098هـ)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 في الفقه الأبسط</w:t>
      </w:r>
      <w:r w:rsidR="0002035C" w:rsidRPr="00A52585">
        <w:rPr>
          <w:rFonts w:hint="cs"/>
          <w:rtl/>
        </w:rPr>
        <w:t>:</w:t>
      </w:r>
      <w:r w:rsidRPr="00A52585">
        <w:rPr>
          <w:rFonts w:hint="cs"/>
          <w:rtl/>
        </w:rPr>
        <w:t xml:space="preserve"> (كان الله تعالى ولا مكان</w:t>
      </w:r>
      <w:r w:rsidR="00DB731D" w:rsidRPr="00A52585">
        <w:rPr>
          <w:rFonts w:hint="cs"/>
          <w:rtl/>
        </w:rPr>
        <w:t>،</w:t>
      </w:r>
      <w:r w:rsidRPr="00A52585">
        <w:rPr>
          <w:rFonts w:hint="cs"/>
          <w:rtl/>
        </w:rPr>
        <w:t xml:space="preserve"> كان قبل أن يخلق الخلق</w:t>
      </w:r>
      <w:r w:rsidR="00DB731D" w:rsidRPr="00A52585">
        <w:rPr>
          <w:rFonts w:hint="cs"/>
          <w:rtl/>
        </w:rPr>
        <w:t>،</w:t>
      </w:r>
      <w:r w:rsidRPr="00A52585">
        <w:rPr>
          <w:rFonts w:hint="cs"/>
          <w:rtl/>
        </w:rPr>
        <w:t xml:space="preserve"> كان ولم يكن أين</w:t>
      </w:r>
      <w:r w:rsidR="0002035C" w:rsidRPr="00A52585">
        <w:rPr>
          <w:rFonts w:hint="cs"/>
          <w:rtl/>
        </w:rPr>
        <w:t>)</w:t>
      </w:r>
      <w:r w:rsidRPr="00A52585">
        <w:rPr>
          <w:rFonts w:hint="cs"/>
          <w:rtl/>
        </w:rPr>
        <w:t xml:space="preserve"> أي مكان</w:t>
      </w:r>
      <w:r w:rsidR="00DB731D" w:rsidRPr="00A52585">
        <w:rPr>
          <w:rFonts w:hint="cs"/>
          <w:rtl/>
        </w:rPr>
        <w:t>،</w:t>
      </w:r>
      <w:r w:rsidRPr="00A52585">
        <w:rPr>
          <w:rFonts w:hint="cs"/>
          <w:rtl/>
        </w:rPr>
        <w:t xml:space="preserve"> " (ولا خلق ولا شيء، وهو خالق كل شيء</w:t>
      </w:r>
      <w:r w:rsidR="0002035C" w:rsidRPr="00A52585">
        <w:rPr>
          <w:rFonts w:hint="cs"/>
          <w:rtl/>
        </w:rPr>
        <w:t>)</w:t>
      </w:r>
      <w:r w:rsidRPr="00A52585">
        <w:rPr>
          <w:rFonts w:hint="cs"/>
          <w:rtl/>
        </w:rPr>
        <w:t xml:space="preserve"> مُوجد له بعد العدم</w:t>
      </w:r>
      <w:r w:rsidR="00DB731D" w:rsidRPr="00A52585">
        <w:rPr>
          <w:rFonts w:hint="cs"/>
          <w:rtl/>
        </w:rPr>
        <w:t>،</w:t>
      </w:r>
      <w:r w:rsidRPr="00A52585">
        <w:rPr>
          <w:rFonts w:hint="cs"/>
          <w:rtl/>
        </w:rPr>
        <w:t xml:space="preserve"> فلا يكون شيء من المكان والجهة قديما</w:t>
      </w:r>
      <w:r w:rsidR="0002035C" w:rsidRPr="00A52585">
        <w:rPr>
          <w:rFonts w:hint="cs"/>
          <w:rtl/>
        </w:rPr>
        <w:t>)</w:t>
      </w:r>
      <w:r w:rsidRPr="00A52585">
        <w:rPr>
          <w:rFonts w:hint="cs"/>
          <w:rtl/>
        </w:rPr>
        <w:t xml:space="preserve"> انظر إشارات المرام (ص 197)</w:t>
      </w:r>
      <w:r w:rsidR="00DB731D" w:rsidRPr="00A52585">
        <w:rPr>
          <w:rFonts w:hint="cs"/>
          <w:rtl/>
        </w:rPr>
        <w:t>،</w:t>
      </w:r>
      <w:r w:rsidR="0002035C" w:rsidRPr="00A52585">
        <w:rPr>
          <w:rFonts w:hint="cs"/>
          <w:rtl/>
        </w:rPr>
        <w:t xml:space="preserve"> </w:t>
      </w:r>
      <w:r w:rsidRPr="00A52585">
        <w:rPr>
          <w:rFonts w:hint="cs"/>
          <w:rtl/>
        </w:rPr>
        <w:t>195- وقال أيضا في كتابه "إشارات المرام" ممزوجا بالمتن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ولقاء الله تعالى لأهل الجنة حق بلا كيفيّة ولا تشبيه له تعالى بشيء من المخلوقات ولا جهة له ولا تحيّز في شيء من الجهات، وفيه إشارات</w:t>
      </w:r>
      <w:r w:rsidR="0002035C" w:rsidRPr="00A52585">
        <w:rPr>
          <w:rFonts w:hint="cs"/>
          <w:rtl/>
        </w:rPr>
        <w:t>:</w:t>
      </w:r>
      <w:r w:rsidRPr="00A52585">
        <w:rPr>
          <w:rFonts w:hint="cs"/>
          <w:rtl/>
        </w:rPr>
        <w:br/>
      </w:r>
      <w:r w:rsidRPr="00A52585">
        <w:rPr>
          <w:rFonts w:hint="cs"/>
          <w:rtl/>
        </w:rPr>
        <w:lastRenderedPageBreak/>
        <w:t>الأولى</w:t>
      </w:r>
      <w:r w:rsidR="0002035C" w:rsidRPr="00A52585">
        <w:rPr>
          <w:rFonts w:hint="cs"/>
          <w:rtl/>
        </w:rPr>
        <w:t>:</w:t>
      </w:r>
      <w:r w:rsidRPr="00A52585">
        <w:rPr>
          <w:rFonts w:hint="cs"/>
          <w:rtl/>
        </w:rPr>
        <w:t xml:space="preserve"> أنه تعالى يُرى بلا تشبيه لعباده في الجنة بخلق قوة </w:t>
      </w:r>
      <w:proofErr w:type="spellStart"/>
      <w:r w:rsidRPr="00A52585">
        <w:rPr>
          <w:rFonts w:hint="cs"/>
          <w:rtl/>
        </w:rPr>
        <w:t>الإدزاك</w:t>
      </w:r>
      <w:proofErr w:type="spellEnd"/>
      <w:r w:rsidRPr="00A52585">
        <w:rPr>
          <w:rFonts w:hint="cs"/>
          <w:rtl/>
        </w:rPr>
        <w:t xml:space="preserve"> في الباصرة من غير تحيّز ومقابلة ولا مواجهة ولا مسـامته</w:t>
      </w:r>
      <w:r w:rsidR="0002035C" w:rsidRPr="00A52585">
        <w:rPr>
          <w:rFonts w:hint="cs"/>
          <w:rtl/>
        </w:rPr>
        <w:t>)</w:t>
      </w:r>
      <w:r w:rsidRPr="00A52585">
        <w:rPr>
          <w:rFonts w:hint="cs"/>
          <w:rtl/>
        </w:rPr>
        <w:t xml:space="preserve"> إشارات المرام (ص 201)</w:t>
      </w:r>
      <w:r w:rsidR="00DB731D" w:rsidRPr="00A52585">
        <w:rPr>
          <w:rFonts w:hint="cs"/>
          <w:rtl/>
        </w:rPr>
        <w:t>،</w:t>
      </w:r>
      <w:r w:rsidR="0002035C" w:rsidRPr="00A52585">
        <w:rPr>
          <w:rFonts w:hint="cs"/>
          <w:rtl/>
        </w:rPr>
        <w:t xml:space="preserve"> </w:t>
      </w:r>
      <w:r w:rsidRPr="00A52585">
        <w:rPr>
          <w:rFonts w:hint="cs"/>
          <w:rtl/>
        </w:rPr>
        <w:t>196- وقال الشيخ محمد بن عبد الباقي الزُّرقاني المالكي (1122هـ) في شرحه على موطأ مالك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 البيضاوي</w:t>
      </w:r>
      <w:r w:rsidR="0002035C" w:rsidRPr="00A52585">
        <w:rPr>
          <w:rFonts w:hint="cs"/>
          <w:rtl/>
        </w:rPr>
        <w:t>:</w:t>
      </w:r>
      <w:r w:rsidRPr="00A52585">
        <w:rPr>
          <w:rFonts w:hint="cs"/>
          <w:rtl/>
        </w:rPr>
        <w:t xml:space="preserve"> لما ثبت بالقواطع أنه سبحانه منزه عن الجسمية والتحيز امتنع عليه النزول على معنى الانتقال من موضع إلى موضع أخفض منه</w:t>
      </w:r>
      <w:r w:rsidR="0002035C" w:rsidRPr="00A52585">
        <w:rPr>
          <w:rFonts w:hint="cs"/>
          <w:rtl/>
        </w:rPr>
        <w:t>)</w:t>
      </w:r>
      <w:r w:rsidRPr="00A52585">
        <w:rPr>
          <w:rFonts w:hint="cs"/>
          <w:rtl/>
        </w:rPr>
        <w:t xml:space="preserve"> شرح الزرقاني على موطأ الإمام مالك (2</w:t>
      </w:r>
      <w:r w:rsidR="0002035C" w:rsidRPr="00A52585">
        <w:rPr>
          <w:rFonts w:hint="cs"/>
          <w:rtl/>
        </w:rPr>
        <w:t xml:space="preserve">: </w:t>
      </w:r>
      <w:r w:rsidRPr="00A52585">
        <w:rPr>
          <w:rFonts w:hint="cs"/>
          <w:rtl/>
        </w:rPr>
        <w:t>36)</w:t>
      </w:r>
      <w:r w:rsidR="00DB731D" w:rsidRPr="00A52585">
        <w:rPr>
          <w:rFonts w:hint="cs"/>
          <w:rtl/>
        </w:rPr>
        <w:t>،</w:t>
      </w:r>
      <w:r w:rsidR="0002035C" w:rsidRPr="00A52585">
        <w:rPr>
          <w:rFonts w:hint="cs"/>
          <w:rtl/>
        </w:rPr>
        <w:t xml:space="preserve"> </w:t>
      </w:r>
      <w:r w:rsidRPr="00A52585">
        <w:rPr>
          <w:rFonts w:hint="cs"/>
          <w:rtl/>
        </w:rPr>
        <w:t xml:space="preserve">197- وقال الشيخ محمد بن عبد الهادي السِّندي الحنفي شارح سنن النسائي (1138هـ) عند شرح حديث </w:t>
      </w:r>
      <w:r w:rsidR="0002035C" w:rsidRPr="00A52585">
        <w:rPr>
          <w:rFonts w:hint="cs"/>
          <w:rtl/>
        </w:rPr>
        <w:t>(</w:t>
      </w:r>
      <w:r w:rsidRPr="00A52585">
        <w:rPr>
          <w:rFonts w:hint="cs"/>
          <w:rtl/>
        </w:rPr>
        <w:t>أقرب ما بكون العبد من ربه وهو ساجد</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 القرطبي</w:t>
      </w:r>
      <w:r w:rsidR="0002035C" w:rsidRPr="00A52585">
        <w:rPr>
          <w:rFonts w:hint="cs"/>
          <w:rtl/>
        </w:rPr>
        <w:t>:</w:t>
      </w:r>
      <w:r w:rsidRPr="00A52585">
        <w:rPr>
          <w:rFonts w:hint="cs"/>
          <w:rtl/>
        </w:rPr>
        <w:t xml:space="preserve"> هذا أقرب بالرتبة والكرامة لا بالمسافة والمساحة</w:t>
      </w:r>
      <w:r w:rsidR="00DB731D" w:rsidRPr="00A52585">
        <w:rPr>
          <w:rFonts w:hint="cs"/>
          <w:rtl/>
        </w:rPr>
        <w:t>،</w:t>
      </w:r>
      <w:r w:rsidRPr="00A52585">
        <w:rPr>
          <w:rFonts w:hint="cs"/>
          <w:rtl/>
        </w:rPr>
        <w:t xml:space="preserve"> لأنه تعالى منزه عن المكان والزمان</w:t>
      </w:r>
      <w:r w:rsidR="00897A24" w:rsidRPr="00A52585">
        <w:rPr>
          <w:rFonts w:hint="cs"/>
          <w:rtl/>
        </w:rPr>
        <w:t>.</w:t>
      </w:r>
      <w:r w:rsidRPr="00A52585">
        <w:rPr>
          <w:rFonts w:hint="cs"/>
          <w:rtl/>
        </w:rPr>
        <w:t xml:space="preserve"> وقال البدر بن الصاحب في تذكرته</w:t>
      </w:r>
      <w:r w:rsidR="0002035C" w:rsidRPr="00A52585">
        <w:rPr>
          <w:rFonts w:hint="cs"/>
          <w:rtl/>
        </w:rPr>
        <w:t>:</w:t>
      </w:r>
      <w:r w:rsidRPr="00A52585">
        <w:rPr>
          <w:rFonts w:hint="cs"/>
          <w:rtl/>
        </w:rPr>
        <w:t xml:space="preserve"> وفي الحديث إشارة إلى نفي الجهة عن الله تعالى</w:t>
      </w:r>
      <w:r w:rsidR="0002035C" w:rsidRPr="00A52585">
        <w:rPr>
          <w:rFonts w:hint="cs"/>
          <w:rtl/>
        </w:rPr>
        <w:t>)</w:t>
      </w:r>
      <w:r w:rsidRPr="00A52585">
        <w:rPr>
          <w:rFonts w:hint="cs"/>
          <w:rtl/>
        </w:rPr>
        <w:t xml:space="preserve"> حاشية السندي على سنن </w:t>
      </w:r>
      <w:proofErr w:type="spellStart"/>
      <w:r w:rsidRPr="00A52585">
        <w:rPr>
          <w:rFonts w:hint="cs"/>
          <w:rtl/>
        </w:rPr>
        <w:t>النساني</w:t>
      </w:r>
      <w:proofErr w:type="spellEnd"/>
      <w:r w:rsidRPr="00A52585">
        <w:rPr>
          <w:rFonts w:hint="cs"/>
          <w:rtl/>
        </w:rPr>
        <w:t xml:space="preserve"> (576</w:t>
      </w:r>
      <w:r w:rsidR="0002035C" w:rsidRPr="00A52585">
        <w:rPr>
          <w:rFonts w:hint="cs"/>
          <w:rtl/>
        </w:rPr>
        <w:t>:</w:t>
      </w:r>
      <w:r w:rsidRPr="00A52585">
        <w:rPr>
          <w:rFonts w:hint="cs"/>
          <w:rtl/>
        </w:rPr>
        <w:t xml:space="preserve"> 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198- وقال الشيخ أبو حفص الفاسي في حواشي الكبرى ما نصه</w:t>
      </w:r>
      <w:r w:rsidR="0002035C" w:rsidRPr="00A52585">
        <w:rPr>
          <w:rFonts w:hint="cs"/>
          <w:rtl/>
        </w:rPr>
        <w:t>: (</w:t>
      </w:r>
      <w:r w:rsidRPr="00A52585">
        <w:rPr>
          <w:rFonts w:hint="cs"/>
          <w:rtl/>
        </w:rPr>
        <w:t>لا شك أن المعتقد هو أن الله تعالى سبحانه ليس في جهة</w:t>
      </w:r>
      <w:r w:rsidR="00DB731D" w:rsidRPr="00A52585">
        <w:rPr>
          <w:rFonts w:hint="cs"/>
          <w:rtl/>
        </w:rPr>
        <w:t>،</w:t>
      </w:r>
      <w:r w:rsidRPr="00A52585">
        <w:rPr>
          <w:rFonts w:hint="cs"/>
          <w:rtl/>
        </w:rPr>
        <w:t xml:space="preserve"> وقد أوضح الأئمة تقريره في الكتب الكلامية بما لا مزيد عنه</w:t>
      </w:r>
      <w:r w:rsidR="00DB731D" w:rsidRPr="00A52585">
        <w:rPr>
          <w:rFonts w:hint="cs"/>
          <w:rtl/>
        </w:rPr>
        <w:t>،</w:t>
      </w:r>
      <w:r w:rsidRPr="00A52585">
        <w:rPr>
          <w:rFonts w:hint="cs"/>
          <w:rtl/>
        </w:rPr>
        <w:t xml:space="preserve"> فهو سبحانه ليس داخل العالم ولا خارجه</w:t>
      </w:r>
      <w:r w:rsidR="00DB731D" w:rsidRPr="00A52585">
        <w:rPr>
          <w:rFonts w:hint="cs"/>
          <w:rtl/>
        </w:rPr>
        <w:t>،</w:t>
      </w:r>
      <w:r w:rsidRPr="00A52585">
        <w:rPr>
          <w:rFonts w:hint="cs"/>
          <w:rtl/>
        </w:rPr>
        <w:t xml:space="preserve"> ولا متصلاً به ولا منفصلاً عنه</w:t>
      </w:r>
      <w:r w:rsidR="00DB731D" w:rsidRPr="00A52585">
        <w:rPr>
          <w:rFonts w:hint="cs"/>
          <w:rtl/>
        </w:rPr>
        <w:t>،</w:t>
      </w:r>
      <w:r w:rsidRPr="00A52585">
        <w:rPr>
          <w:rFonts w:hint="cs"/>
          <w:rtl/>
        </w:rPr>
        <w:t xml:space="preserve"> وتوهم أن في هذا رفعاً للنقيضين وهو محال</w:t>
      </w:r>
      <w:r w:rsidR="00DB731D" w:rsidRPr="00A52585">
        <w:rPr>
          <w:rFonts w:hint="cs"/>
          <w:rtl/>
        </w:rPr>
        <w:t>،</w:t>
      </w:r>
      <w:r w:rsidRPr="00A52585">
        <w:rPr>
          <w:rFonts w:hint="cs"/>
          <w:rtl/>
        </w:rPr>
        <w:t xml:space="preserve"> باطلٌ ؛ إذ لا تناقض بين داخل وخارج</w:t>
      </w:r>
      <w:r w:rsidR="00DB731D" w:rsidRPr="00A52585">
        <w:rPr>
          <w:rFonts w:hint="cs"/>
          <w:rtl/>
        </w:rPr>
        <w:t>،</w:t>
      </w:r>
      <w:r w:rsidRPr="00A52585">
        <w:rPr>
          <w:rFonts w:hint="cs"/>
          <w:rtl/>
        </w:rPr>
        <w:t xml:space="preserve"> وإنما التناقض بين داخل ولا داخل</w:t>
      </w:r>
      <w:r w:rsidR="00DB731D" w:rsidRPr="00A52585">
        <w:rPr>
          <w:rFonts w:hint="cs"/>
          <w:rtl/>
        </w:rPr>
        <w:t>،</w:t>
      </w:r>
      <w:r w:rsidRPr="00A52585">
        <w:rPr>
          <w:rFonts w:hint="cs"/>
          <w:rtl/>
        </w:rPr>
        <w:t xml:space="preserve"> وليس خارج مساوياً للداخل</w:t>
      </w:r>
      <w:r w:rsidR="00DB731D" w:rsidRPr="00A52585">
        <w:rPr>
          <w:rFonts w:hint="cs"/>
          <w:rtl/>
        </w:rPr>
        <w:t>،</w:t>
      </w:r>
      <w:r w:rsidRPr="00A52585">
        <w:rPr>
          <w:rFonts w:hint="cs"/>
          <w:rtl/>
        </w:rPr>
        <w:t xml:space="preserve"> وإنما هو أخص منه، فلا يلزم من نفيه </w:t>
      </w:r>
      <w:proofErr w:type="spellStart"/>
      <w:r w:rsidRPr="00A52585">
        <w:rPr>
          <w:rFonts w:hint="cs"/>
          <w:rtl/>
        </w:rPr>
        <w:t>نفيه</w:t>
      </w:r>
      <w:proofErr w:type="spellEnd"/>
      <w:r w:rsidRPr="00A52585">
        <w:rPr>
          <w:rFonts w:hint="cs"/>
          <w:rtl/>
        </w:rPr>
        <w:t xml:space="preserve"> ؛ لأن نفي الأخص أعم من نفي الأعم، والأعم لا يستلزم الأخص</w:t>
      </w:r>
      <w:r w:rsidR="00DB731D" w:rsidRPr="00A52585">
        <w:rPr>
          <w:rFonts w:hint="cs"/>
          <w:rtl/>
        </w:rPr>
        <w:t>،</w:t>
      </w:r>
      <w:r w:rsidRPr="00A52585">
        <w:rPr>
          <w:rFonts w:hint="cs"/>
          <w:rtl/>
        </w:rPr>
        <w:t xml:space="preserve"> فإن قيل</w:t>
      </w:r>
      <w:r w:rsidR="0002035C" w:rsidRPr="00A52585">
        <w:rPr>
          <w:rFonts w:hint="cs"/>
          <w:rtl/>
        </w:rPr>
        <w:t>:</w:t>
      </w:r>
      <w:r w:rsidRPr="00A52585">
        <w:rPr>
          <w:rFonts w:hint="cs"/>
          <w:rtl/>
        </w:rPr>
        <w:t xml:space="preserve"> بم ينفرد هذا الأعم الذي هو لا داخل</w:t>
      </w:r>
      <w:r w:rsidR="00DB731D" w:rsidRPr="00A52585">
        <w:rPr>
          <w:rFonts w:hint="cs"/>
          <w:rtl/>
        </w:rPr>
        <w:t>،</w:t>
      </w:r>
      <w:r w:rsidRPr="00A52585">
        <w:rPr>
          <w:rFonts w:hint="cs"/>
          <w:rtl/>
        </w:rPr>
        <w:t xml:space="preserve"> عن الأخص الذي هو خارج</w:t>
      </w:r>
      <w:r w:rsidR="00DB731D" w:rsidRPr="00A52585">
        <w:rPr>
          <w:rFonts w:hint="cs"/>
          <w:rtl/>
        </w:rPr>
        <w:t>،</w:t>
      </w:r>
      <w:r w:rsidRPr="00A52585">
        <w:rPr>
          <w:rFonts w:hint="cs"/>
          <w:rtl/>
        </w:rPr>
        <w:t xml:space="preserve"> قلنا</w:t>
      </w:r>
      <w:r w:rsidR="0002035C" w:rsidRPr="00A52585">
        <w:rPr>
          <w:rFonts w:hint="cs"/>
          <w:rtl/>
        </w:rPr>
        <w:t>:</w:t>
      </w:r>
      <w:r w:rsidRPr="00A52585">
        <w:rPr>
          <w:rFonts w:hint="cs"/>
          <w:rtl/>
        </w:rPr>
        <w:t xml:space="preserve"> ينفرد في موجود لا يقبل الدخول ولا الخروج ولا الاتصال ولا الانفصال</w:t>
      </w:r>
      <w:r w:rsidR="00DB731D" w:rsidRPr="00A52585">
        <w:rPr>
          <w:rFonts w:hint="cs"/>
          <w:rtl/>
        </w:rPr>
        <w:t>،</w:t>
      </w:r>
      <w:r w:rsidRPr="00A52585">
        <w:rPr>
          <w:rFonts w:hint="cs"/>
          <w:rtl/>
        </w:rPr>
        <w:t xml:space="preserve"> وهذا يحمله العقل</w:t>
      </w:r>
      <w:r w:rsidR="00DB731D" w:rsidRPr="00A52585">
        <w:rPr>
          <w:rFonts w:hint="cs"/>
          <w:rtl/>
        </w:rPr>
        <w:t>،</w:t>
      </w:r>
      <w:r w:rsidRPr="00A52585">
        <w:rPr>
          <w:rFonts w:hint="cs"/>
          <w:rtl/>
        </w:rPr>
        <w:t xml:space="preserve"> ولكن يقصر عنه الوهم، وقصور الوهم منشأ الشبهة</w:t>
      </w:r>
      <w:r w:rsidR="00DB731D" w:rsidRPr="00A52585">
        <w:rPr>
          <w:rFonts w:hint="cs"/>
          <w:rtl/>
        </w:rPr>
        <w:t>،</w:t>
      </w:r>
      <w:r w:rsidRPr="00A52585">
        <w:rPr>
          <w:rFonts w:hint="cs"/>
          <w:rtl/>
        </w:rPr>
        <w:t xml:space="preserve"> ومثار دعوى الاستحالة</w:t>
      </w:r>
      <w:r w:rsidR="0002035C" w:rsidRPr="00A52585">
        <w:rPr>
          <w:rFonts w:hint="cs"/>
          <w:rtl/>
        </w:rPr>
        <w:t>)</w:t>
      </w:r>
      <w:r w:rsidRPr="00A52585">
        <w:rPr>
          <w:rFonts w:hint="cs"/>
          <w:rtl/>
        </w:rPr>
        <w:t xml:space="preserve"> انظر حسن </w:t>
      </w:r>
      <w:proofErr w:type="spellStart"/>
      <w:r w:rsidRPr="00A52585">
        <w:rPr>
          <w:rFonts w:hint="cs"/>
          <w:rtl/>
        </w:rPr>
        <w:t>المحاججة</w:t>
      </w:r>
      <w:proofErr w:type="spellEnd"/>
      <w:r w:rsidRPr="00A52585">
        <w:rPr>
          <w:rFonts w:hint="cs"/>
          <w:rtl/>
        </w:rPr>
        <w:t xml:space="preserve"> للأستاذ العلامة النَّظَّار سعيد فودة حفظه الله تعالى</w:t>
      </w:r>
      <w:r w:rsidR="00DB731D" w:rsidRPr="00A52585">
        <w:rPr>
          <w:rFonts w:hint="cs"/>
          <w:rtl/>
        </w:rPr>
        <w:t>،</w:t>
      </w:r>
      <w:r w:rsidR="0002035C" w:rsidRPr="00A52585">
        <w:rPr>
          <w:rFonts w:hint="cs"/>
          <w:rtl/>
        </w:rPr>
        <w:t xml:space="preserve"> </w:t>
      </w:r>
      <w:r w:rsidRPr="00A52585">
        <w:rPr>
          <w:rFonts w:hint="cs"/>
          <w:rtl/>
        </w:rPr>
        <w:t>199-</w:t>
      </w:r>
      <w:r w:rsidR="0002035C" w:rsidRPr="00A52585">
        <w:rPr>
          <w:rFonts w:hint="cs"/>
          <w:rtl/>
        </w:rPr>
        <w:t xml:space="preserve"> </w:t>
      </w:r>
      <w:r w:rsidRPr="00A52585">
        <w:rPr>
          <w:rFonts w:hint="cs"/>
          <w:rtl/>
        </w:rPr>
        <w:t>وفي كتاب (الفتاوي الهندية) لجماعة من علماء الهند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يكفر بإثبات المكان لله تعالى</w:t>
      </w:r>
      <w:r w:rsidR="00897A24" w:rsidRPr="00A52585">
        <w:rPr>
          <w:rFonts w:hint="cs"/>
          <w:rtl/>
        </w:rPr>
        <w:t>.</w:t>
      </w:r>
      <w:r w:rsidRPr="00A52585">
        <w:rPr>
          <w:rFonts w:hint="cs"/>
          <w:rtl/>
        </w:rPr>
        <w:t xml:space="preserve"> ولو </w:t>
      </w:r>
      <w:proofErr w:type="spellStart"/>
      <w:r w:rsidRPr="00A52585">
        <w:rPr>
          <w:rFonts w:hint="cs"/>
          <w:rtl/>
        </w:rPr>
        <w:t>قال</w:t>
      </w:r>
      <w:r w:rsidR="0002035C" w:rsidRPr="00A52585">
        <w:rPr>
          <w:rFonts w:hint="cs"/>
          <w:rtl/>
        </w:rPr>
        <w:t>:</w:t>
      </w:r>
      <w:r w:rsidRPr="00A52585">
        <w:rPr>
          <w:rFonts w:hint="cs"/>
          <w:rtl/>
        </w:rPr>
        <w:t>الله</w:t>
      </w:r>
      <w:proofErr w:type="spellEnd"/>
      <w:r w:rsidRPr="00A52585">
        <w:rPr>
          <w:rFonts w:hint="cs"/>
          <w:rtl/>
        </w:rPr>
        <w:t xml:space="preserve"> في </w:t>
      </w:r>
      <w:proofErr w:type="spellStart"/>
      <w:r w:rsidRPr="00A52585">
        <w:rPr>
          <w:rFonts w:hint="cs"/>
          <w:rtl/>
        </w:rPr>
        <w:t>السما</w:t>
      </w:r>
      <w:proofErr w:type="spellEnd"/>
      <w:r w:rsidRPr="00A52585">
        <w:rPr>
          <w:rFonts w:hint="cs"/>
          <w:rtl/>
        </w:rPr>
        <w:t xml:space="preserve"> فإن قصد به حكاية ما جاء فيه ظاهر الأخبار لا يكفر وإن أراد به المكان يكفر</w:t>
      </w:r>
      <w:r w:rsidR="0002035C" w:rsidRPr="00A52585">
        <w:rPr>
          <w:rFonts w:hint="cs"/>
          <w:rtl/>
        </w:rPr>
        <w:t>)</w:t>
      </w:r>
      <w:r w:rsidRPr="00A52585">
        <w:rPr>
          <w:rFonts w:hint="cs"/>
          <w:rtl/>
        </w:rPr>
        <w:t xml:space="preserve"> انظر كتاب (الفتاوي الهندية)لجماعة من علماء الهند(2</w:t>
      </w:r>
      <w:r w:rsidR="0002035C" w:rsidRPr="00A52585">
        <w:rPr>
          <w:rFonts w:hint="cs"/>
          <w:rtl/>
        </w:rPr>
        <w:t>:</w:t>
      </w:r>
      <w:r w:rsidRPr="00A52585">
        <w:rPr>
          <w:rFonts w:hint="cs"/>
          <w:rtl/>
        </w:rPr>
        <w:t xml:space="preserve"> 259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200- وقال ابن نجيم الحنفي في البحر الرائق - وهو من كتب الحنفية المشهورة - ما نصه</w:t>
      </w:r>
      <w:r w:rsidR="0002035C" w:rsidRPr="00A52585">
        <w:rPr>
          <w:rFonts w:hint="cs"/>
          <w:rtl/>
        </w:rPr>
        <w:t>: (</w:t>
      </w:r>
      <w:r w:rsidRPr="00A52585">
        <w:rPr>
          <w:rFonts w:hint="cs"/>
          <w:rtl/>
        </w:rPr>
        <w:t>ويكفر بإثبات المكان لله تعالى</w:t>
      </w:r>
      <w:r w:rsidR="00DB731D" w:rsidRPr="00A52585">
        <w:rPr>
          <w:rFonts w:hint="cs"/>
          <w:rtl/>
        </w:rPr>
        <w:t>،</w:t>
      </w:r>
      <w:r w:rsidRPr="00A52585">
        <w:rPr>
          <w:rFonts w:hint="cs"/>
          <w:rtl/>
        </w:rPr>
        <w:t xml:space="preserve"> فإن قال</w:t>
      </w:r>
      <w:r w:rsidR="0002035C" w:rsidRPr="00A52585">
        <w:rPr>
          <w:rFonts w:hint="cs"/>
          <w:rtl/>
        </w:rPr>
        <w:t>:</w:t>
      </w:r>
      <w:r w:rsidRPr="00A52585">
        <w:rPr>
          <w:rFonts w:hint="cs"/>
          <w:rtl/>
        </w:rPr>
        <w:t xml:space="preserve"> الله في السماء فإن قصد حكاية ما جاء في ظاهر الأخبار لا يكفر، وإن أراد المكان يكفر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201-</w:t>
      </w:r>
      <w:r w:rsidR="0002035C" w:rsidRPr="00A52585">
        <w:rPr>
          <w:rFonts w:hint="cs"/>
          <w:rtl/>
        </w:rPr>
        <w:t xml:space="preserve"> </w:t>
      </w:r>
      <w:r w:rsidRPr="00A52585">
        <w:rPr>
          <w:rFonts w:hint="cs"/>
          <w:rtl/>
        </w:rPr>
        <w:t xml:space="preserve">قال الشيخ محمد بن أحمد </w:t>
      </w:r>
      <w:proofErr w:type="spellStart"/>
      <w:r w:rsidRPr="00A52585">
        <w:rPr>
          <w:rFonts w:hint="cs"/>
          <w:rtl/>
        </w:rPr>
        <w:t>عليش</w:t>
      </w:r>
      <w:proofErr w:type="spellEnd"/>
      <w:r w:rsidRPr="00A52585">
        <w:rPr>
          <w:rFonts w:hint="cs"/>
          <w:rtl/>
        </w:rPr>
        <w:t xml:space="preserve"> المالكي عند ذِكر ما يوقع في الكفر والعياذ بالله ما نصه</w:t>
      </w:r>
      <w:r w:rsidR="0002035C" w:rsidRPr="00A52585">
        <w:rPr>
          <w:rFonts w:hint="cs"/>
          <w:rtl/>
        </w:rPr>
        <w:t>: (</w:t>
      </w:r>
      <w:r w:rsidRPr="00A52585">
        <w:rPr>
          <w:rFonts w:hint="cs"/>
          <w:rtl/>
        </w:rPr>
        <w:t>وكاعتقاد جسمية الله وتحيزه فإنه يستلزم حدوثه واحتياجه لمحدِث</w:t>
      </w:r>
      <w:r w:rsidR="0002035C" w:rsidRPr="00A52585">
        <w:rPr>
          <w:rFonts w:hint="cs"/>
          <w:rtl/>
        </w:rPr>
        <w:t>)</w:t>
      </w:r>
      <w:r w:rsidRPr="00A52585">
        <w:rPr>
          <w:rFonts w:hint="cs"/>
          <w:rtl/>
        </w:rPr>
        <w:t xml:space="preserve"> انظر كتابه منح الجليل شرح مختصر خليل (9</w:t>
      </w:r>
      <w:r w:rsidR="0002035C" w:rsidRPr="00A52585">
        <w:rPr>
          <w:rFonts w:hint="cs"/>
          <w:rtl/>
        </w:rPr>
        <w:t>:</w:t>
      </w:r>
      <w:r w:rsidRPr="00A52585">
        <w:rPr>
          <w:rFonts w:hint="cs"/>
          <w:rtl/>
        </w:rPr>
        <w:t xml:space="preserve"> 206)</w:t>
      </w:r>
      <w:r w:rsidR="00DB731D" w:rsidRPr="00A52585">
        <w:rPr>
          <w:rFonts w:hint="cs"/>
          <w:rtl/>
        </w:rPr>
        <w:t>،</w:t>
      </w:r>
      <w:r w:rsidR="0002035C" w:rsidRPr="00A52585">
        <w:rPr>
          <w:rFonts w:hint="cs"/>
          <w:rtl/>
        </w:rPr>
        <w:t xml:space="preserve"> </w:t>
      </w:r>
      <w:r w:rsidRPr="00A52585">
        <w:rPr>
          <w:rFonts w:hint="cs"/>
          <w:rtl/>
        </w:rPr>
        <w:t xml:space="preserve">202- قال الشيخ محمد حمدي </w:t>
      </w:r>
      <w:proofErr w:type="spellStart"/>
      <w:r w:rsidRPr="00A52585">
        <w:rPr>
          <w:rFonts w:hint="cs"/>
          <w:rtl/>
        </w:rPr>
        <w:t>الجويجاتي</w:t>
      </w:r>
      <w:proofErr w:type="spellEnd"/>
      <w:r w:rsidRPr="00A52585">
        <w:rPr>
          <w:rFonts w:hint="cs"/>
          <w:rtl/>
        </w:rPr>
        <w:t xml:space="preserve"> الدمشقي (1411 هـ) ما نصه</w:t>
      </w:r>
      <w:r w:rsidR="0002035C" w:rsidRPr="00A52585">
        <w:rPr>
          <w:rFonts w:hint="cs"/>
          <w:rtl/>
        </w:rPr>
        <w:t>:</w:t>
      </w:r>
      <w:r w:rsidRPr="00A52585">
        <w:rPr>
          <w:rFonts w:hint="cs"/>
          <w:rtl/>
        </w:rPr>
        <w:t xml:space="preserve"> </w:t>
      </w:r>
      <w:r w:rsidR="0002035C" w:rsidRPr="00A52585">
        <w:rPr>
          <w:rFonts w:hint="cs"/>
          <w:rtl/>
        </w:rPr>
        <w:lastRenderedPageBreak/>
        <w:t>(</w:t>
      </w:r>
      <w:r w:rsidRPr="00A52585">
        <w:rPr>
          <w:rFonts w:hint="cs"/>
          <w:rtl/>
        </w:rPr>
        <w:t>ويستحيل على الله احتياجه لغيره، وللزمان والمكان، إذ هو خالق الزمان والمكان</w:t>
      </w:r>
      <w:r w:rsidR="0002035C" w:rsidRPr="00A52585">
        <w:rPr>
          <w:rFonts w:hint="cs"/>
          <w:rtl/>
        </w:rPr>
        <w:t>)</w:t>
      </w:r>
      <w:r w:rsidRPr="00A52585">
        <w:rPr>
          <w:rFonts w:hint="cs"/>
          <w:rtl/>
        </w:rPr>
        <w:t xml:space="preserve"> العقيدة الاسلامية (ص 8- 9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203- وقال العلامة المحدث محمد زاهد الكوثري الأشعري رحمه الله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وقصة الجارية مذكورة فيما بأيدينا من نسخ مسلم لعلها زيدت فيما بعد إتماماً للحديث, أو كانت نسخة المصنف ناقصة, وقد أشار المصنف إلى اضطراب الحديث بقوله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وقد ذكرت في كتاب الظهار مخالفة من خالف معاوية بن الحكم في لفظ الحديث</w:t>
      </w:r>
      <w:r w:rsidR="0002035C" w:rsidRPr="00A52585">
        <w:rPr>
          <w:rFonts w:hint="cs"/>
          <w:rtl/>
        </w:rPr>
        <w:t>)</w:t>
      </w:r>
      <w:r w:rsidRPr="00A52585">
        <w:rPr>
          <w:rFonts w:hint="cs"/>
          <w:rtl/>
        </w:rPr>
        <w:t>، وقد ذكر في السنن الكبرى 7</w:t>
      </w:r>
      <w:r w:rsidR="0002035C" w:rsidRPr="00A52585">
        <w:rPr>
          <w:rFonts w:hint="cs"/>
          <w:rtl/>
        </w:rPr>
        <w:t>:</w:t>
      </w:r>
      <w:r w:rsidRPr="00A52585">
        <w:rPr>
          <w:rFonts w:hint="cs"/>
          <w:rtl/>
        </w:rPr>
        <w:t xml:space="preserve"> 387 اختلاف الرواة في لفظ الحديث مع أسانيد كل لفظ من ألفاظهم</w:t>
      </w:r>
      <w:r w:rsidR="00DB731D" w:rsidRPr="00A52585">
        <w:rPr>
          <w:rFonts w:hint="cs"/>
          <w:rtl/>
        </w:rPr>
        <w:t>،</w:t>
      </w:r>
      <w:r w:rsidRPr="00A52585">
        <w:rPr>
          <w:rFonts w:hint="cs"/>
          <w:rtl/>
        </w:rPr>
        <w:t xml:space="preserve"> وهي</w:t>
      </w:r>
      <w:r w:rsidR="0002035C" w:rsidRPr="00A52585">
        <w:rPr>
          <w:rFonts w:hint="cs"/>
          <w:rtl/>
        </w:rPr>
        <w:t>:</w:t>
      </w:r>
      <w:r w:rsidRPr="00A52585">
        <w:rPr>
          <w:rFonts w:hint="cs"/>
          <w:rtl/>
        </w:rPr>
        <w:t xml:space="preserve"> (أين الله</w:t>
      </w:r>
      <w:r w:rsidR="00F95886" w:rsidRPr="00A52585">
        <w:rPr>
          <w:rFonts w:hint="cs"/>
          <w:rtl/>
        </w:rPr>
        <w:t>؟</w:t>
      </w:r>
      <w:r w:rsidR="00DB731D" w:rsidRPr="00A52585">
        <w:rPr>
          <w:rFonts w:hint="cs"/>
          <w:rtl/>
        </w:rPr>
        <w:t>،</w:t>
      </w:r>
      <w:r w:rsidRPr="00A52585">
        <w:rPr>
          <w:rFonts w:hint="cs"/>
          <w:rtl/>
        </w:rPr>
        <w:t xml:space="preserve"> فقالت</w:t>
      </w:r>
      <w:r w:rsidR="0002035C" w:rsidRPr="00A52585">
        <w:rPr>
          <w:rFonts w:hint="cs"/>
          <w:rtl/>
        </w:rPr>
        <w:t>:</w:t>
      </w:r>
      <w:r w:rsidRPr="00A52585">
        <w:rPr>
          <w:rFonts w:hint="cs"/>
          <w:rtl/>
        </w:rPr>
        <w:t xml:space="preserve"> في السماء</w:t>
      </w:r>
      <w:r w:rsidR="0002035C" w:rsidRPr="00A52585">
        <w:rPr>
          <w:rFonts w:hint="cs"/>
          <w:rtl/>
        </w:rPr>
        <w:t>)</w:t>
      </w:r>
      <w:r w:rsidR="00DB731D" w:rsidRPr="00A52585">
        <w:rPr>
          <w:rFonts w:hint="cs"/>
          <w:rtl/>
        </w:rPr>
        <w:t>،</w:t>
      </w:r>
      <w:r w:rsidRPr="00A52585">
        <w:rPr>
          <w:rFonts w:hint="cs"/>
          <w:rtl/>
        </w:rPr>
        <w:t xml:space="preserve"> مع لفظ</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فأنها مؤمنة</w:t>
      </w:r>
      <w:r w:rsidR="0002035C" w:rsidRPr="00A52585">
        <w:rPr>
          <w:rFonts w:hint="cs"/>
          <w:rtl/>
        </w:rPr>
        <w:t>)</w:t>
      </w:r>
      <w:r w:rsidR="00DB731D" w:rsidRPr="00A52585">
        <w:rPr>
          <w:rFonts w:hint="cs"/>
          <w:rtl/>
        </w:rPr>
        <w:t>،</w:t>
      </w:r>
      <w:r w:rsidRPr="00A52585">
        <w:rPr>
          <w:rFonts w:hint="cs"/>
          <w:rtl/>
        </w:rPr>
        <w:t xml:space="preserve"> وبدونه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وأين الله, فأشارت إلى السماء بإصبعها</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من ربك</w:t>
      </w:r>
      <w:r w:rsidR="00F95886" w:rsidRPr="00A52585">
        <w:rPr>
          <w:rFonts w:hint="cs"/>
          <w:rtl/>
        </w:rPr>
        <w:t>؟</w:t>
      </w:r>
      <w:r w:rsidRPr="00A52585">
        <w:rPr>
          <w:rFonts w:hint="cs"/>
          <w:rtl/>
        </w:rPr>
        <w:t xml:space="preserve"> قالت</w:t>
      </w:r>
      <w:r w:rsidR="0002035C" w:rsidRPr="00A52585">
        <w:rPr>
          <w:rFonts w:hint="cs"/>
          <w:rtl/>
        </w:rPr>
        <w:t>:</w:t>
      </w:r>
      <w:r w:rsidRPr="00A52585">
        <w:rPr>
          <w:rFonts w:hint="cs"/>
          <w:rtl/>
        </w:rPr>
        <w:t xml:space="preserve"> الله ربي</w:t>
      </w:r>
      <w:r w:rsidR="0002035C" w:rsidRPr="00A52585">
        <w:rPr>
          <w:rFonts w:hint="cs"/>
          <w:rtl/>
        </w:rPr>
        <w:t>)</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أتشهدين أن لا إله إلا الله</w:t>
      </w:r>
      <w:r w:rsidR="00F95886" w:rsidRPr="00A52585">
        <w:rPr>
          <w:rFonts w:hint="cs"/>
          <w:rtl/>
        </w:rPr>
        <w:t>؟</w:t>
      </w:r>
      <w:r w:rsidR="00DB731D" w:rsidRPr="00A52585">
        <w:rPr>
          <w:rFonts w:hint="cs"/>
          <w:rtl/>
        </w:rPr>
        <w:t>،</w:t>
      </w:r>
      <w:r w:rsidRPr="00A52585">
        <w:rPr>
          <w:rFonts w:hint="cs"/>
          <w:rtl/>
        </w:rPr>
        <w:t xml:space="preserve"> قالت</w:t>
      </w:r>
      <w:r w:rsidR="0002035C" w:rsidRPr="00A52585">
        <w:rPr>
          <w:rFonts w:hint="cs"/>
          <w:rtl/>
        </w:rPr>
        <w:t>:</w:t>
      </w:r>
      <w:r w:rsidRPr="00A52585">
        <w:rPr>
          <w:rFonts w:hint="cs"/>
          <w:rtl/>
        </w:rPr>
        <w:t xml:space="preserve"> نعم</w:t>
      </w:r>
      <w:r w:rsidR="0002035C" w:rsidRPr="00A52585">
        <w:rPr>
          <w:rFonts w:hint="cs"/>
          <w:rtl/>
        </w:rPr>
        <w:t>)</w:t>
      </w:r>
      <w:r w:rsidRPr="00A52585">
        <w:rPr>
          <w:rFonts w:hint="cs"/>
          <w:rtl/>
        </w:rPr>
        <w:t>، و (من ربك</w:t>
      </w:r>
      <w:r w:rsidR="00F95886" w:rsidRPr="00A52585">
        <w:rPr>
          <w:rFonts w:hint="cs"/>
          <w:rtl/>
        </w:rPr>
        <w:t>؟</w:t>
      </w:r>
      <w:r w:rsidR="00DB731D" w:rsidRPr="00A52585">
        <w:rPr>
          <w:rFonts w:hint="cs"/>
          <w:rtl/>
        </w:rPr>
        <w:t>،</w:t>
      </w:r>
      <w:r w:rsidRPr="00A52585">
        <w:rPr>
          <w:rFonts w:hint="cs"/>
          <w:rtl/>
        </w:rPr>
        <w:t xml:space="preserve"> قالت</w:t>
      </w:r>
      <w:r w:rsidR="0002035C" w:rsidRPr="00A52585">
        <w:rPr>
          <w:rFonts w:hint="cs"/>
          <w:rtl/>
        </w:rPr>
        <w:t>:</w:t>
      </w:r>
      <w:r w:rsidRPr="00A52585">
        <w:rPr>
          <w:rFonts w:hint="cs"/>
          <w:rtl/>
        </w:rPr>
        <w:t xml:space="preserve"> الله</w:t>
      </w:r>
      <w:r w:rsidR="0002035C" w:rsidRPr="00A52585">
        <w:rPr>
          <w:rFonts w:hint="cs"/>
          <w:rtl/>
        </w:rPr>
        <w:t>)</w:t>
      </w:r>
      <w:r w:rsidRPr="00A52585">
        <w:rPr>
          <w:rFonts w:hint="cs"/>
          <w:rtl/>
        </w:rPr>
        <w:t>، وقد توسعنا في شرح الحديث وبيان مبلغ اضطرابه سنداً و متناً فيما كتبناه على نونية ابن القيم ص94 فليراجع , وهناك بغية الباحث</w:t>
      </w:r>
      <w:r w:rsidR="0002035C" w:rsidRPr="00A52585">
        <w:rPr>
          <w:rFonts w:hint="cs"/>
          <w:rtl/>
        </w:rPr>
        <w:t>)</w:t>
      </w:r>
      <w:r w:rsidRPr="00A52585">
        <w:rPr>
          <w:rFonts w:hint="cs"/>
          <w:rtl/>
        </w:rPr>
        <w:t xml:space="preserve"> انظر تعليقه على كتاب الأسماء والصفات للحافظ البيهقي الأشعري </w:t>
      </w:r>
      <w:r w:rsidR="0002035C" w:rsidRPr="00A52585">
        <w:rPr>
          <w:rFonts w:hint="cs"/>
          <w:rtl/>
        </w:rPr>
        <w:t>(</w:t>
      </w:r>
      <w:r w:rsidRPr="00A52585">
        <w:rPr>
          <w:rFonts w:hint="cs"/>
          <w:rtl/>
        </w:rPr>
        <w:t>ص 533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204- قال الصوفي الزاهد العارف الشيخ عبد الغني النابلسي الدمشقي الحنفي (1143هـ)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فيتنزه سبحانه وتعالى عن جميع الأمكنة العلوية والسفلية وما بينهما</w:t>
      </w:r>
      <w:r w:rsidR="0002035C" w:rsidRPr="00A52585">
        <w:rPr>
          <w:rFonts w:hint="cs"/>
          <w:rtl/>
        </w:rPr>
        <w:t>)</w:t>
      </w:r>
      <w:r w:rsidRPr="00A52585">
        <w:rPr>
          <w:rFonts w:hint="cs"/>
          <w:rtl/>
        </w:rPr>
        <w:t xml:space="preserve"> رائحة الجنة شرح إضاءة الدُّجنَة (ص48 - 49</w:t>
      </w:r>
      <w:r w:rsidR="0002035C" w:rsidRPr="00A52585">
        <w:rPr>
          <w:rFonts w:hint="cs"/>
          <w:rtl/>
        </w:rPr>
        <w:t>)</w:t>
      </w:r>
      <w:r w:rsidR="00DB731D" w:rsidRPr="00A52585">
        <w:rPr>
          <w:rFonts w:hint="cs"/>
          <w:rtl/>
        </w:rPr>
        <w:t>،</w:t>
      </w:r>
      <w:r w:rsidRPr="00A52585">
        <w:rPr>
          <w:rFonts w:hint="cs"/>
          <w:rtl/>
        </w:rPr>
        <w:t xml:space="preserve"> 205-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الجهات جمع جهة</w:t>
      </w:r>
      <w:r w:rsidR="00DB731D" w:rsidRPr="00A52585">
        <w:rPr>
          <w:rFonts w:hint="cs"/>
          <w:rtl/>
        </w:rPr>
        <w:t>،</w:t>
      </w:r>
      <w:r w:rsidRPr="00A52585">
        <w:rPr>
          <w:rFonts w:hint="cs"/>
          <w:rtl/>
        </w:rPr>
        <w:t xml:space="preserve"> وهي ست</w:t>
      </w:r>
      <w:r w:rsidR="0002035C" w:rsidRPr="00A52585">
        <w:rPr>
          <w:rFonts w:hint="cs"/>
          <w:rtl/>
        </w:rPr>
        <w:t>:</w:t>
      </w:r>
      <w:r w:rsidRPr="00A52585">
        <w:rPr>
          <w:rFonts w:hint="cs"/>
          <w:rtl/>
        </w:rPr>
        <w:t xml:space="preserve"> فوق وتحت ويمين وشمال وقدام وخلف</w:t>
      </w:r>
      <w:r w:rsidR="00DB731D" w:rsidRPr="00A52585">
        <w:rPr>
          <w:rFonts w:hint="cs"/>
          <w:rtl/>
        </w:rPr>
        <w:t>،</w:t>
      </w:r>
      <w:r w:rsidRPr="00A52585">
        <w:rPr>
          <w:rFonts w:hint="cs"/>
          <w:rtl/>
        </w:rPr>
        <w:t xml:space="preserve"> والجهة عند المتكلمين هي نفس المكان باعتبار إضافة جسم ءاخر إليه. ومعنى كون الجسم في جهة كونه مضافا إلى جسم ءاخر حتى لو انعدمت الأجسام كلها لزم من ذلك انعدام الجهات كلها، لأن الجهات من توابع الأجسام واضافاتها كما قدمناه في المكان والزمان وحيث انتفى عن الله تعالى الزمان والمكان انتفت الجهات كلها عنه تعالى أيضا لأن جميع ذلك من لوازم الجسمية وهي مستحيلة في حقه تعالى</w:t>
      </w:r>
      <w:r w:rsidR="0002035C" w:rsidRPr="00A52585">
        <w:rPr>
          <w:rFonts w:hint="cs"/>
          <w:rtl/>
        </w:rPr>
        <w:t>)</w:t>
      </w:r>
      <w:r w:rsidRPr="00A52585">
        <w:rPr>
          <w:rFonts w:hint="cs"/>
          <w:rtl/>
        </w:rPr>
        <w:t xml:space="preserve"> المصدر السابق</w:t>
      </w:r>
      <w:r w:rsidR="00DB731D" w:rsidRPr="00A52585">
        <w:rPr>
          <w:rFonts w:hint="cs"/>
          <w:rtl/>
        </w:rPr>
        <w:t>،</w:t>
      </w:r>
      <w:r w:rsidR="0002035C" w:rsidRPr="00A52585">
        <w:rPr>
          <w:rFonts w:hint="cs"/>
          <w:rtl/>
        </w:rPr>
        <w:t xml:space="preserve"> </w:t>
      </w:r>
      <w:r w:rsidRPr="00A52585">
        <w:rPr>
          <w:rFonts w:hint="cs"/>
          <w:rtl/>
        </w:rPr>
        <w:t>206- وقال مفتي ولاية بيروت الشيخ عبد الباسط الفاخوري الشافعي (1323 هـ) عن الله ما نصه</w:t>
      </w:r>
      <w:r w:rsidR="0002035C" w:rsidRPr="00A52585">
        <w:rPr>
          <w:rFonts w:hint="cs"/>
          <w:rtl/>
        </w:rPr>
        <w:t>: (</w:t>
      </w:r>
      <w:r w:rsidRPr="00A52585">
        <w:rPr>
          <w:rFonts w:hint="cs"/>
          <w:rtl/>
        </w:rPr>
        <w:t>ليس بجِرم يأخذ قدرا من الفراغ</w:t>
      </w:r>
      <w:r w:rsidR="00DB731D" w:rsidRPr="00A52585">
        <w:rPr>
          <w:rFonts w:hint="cs"/>
          <w:rtl/>
        </w:rPr>
        <w:t>،</w:t>
      </w:r>
      <w:r w:rsidRPr="00A52585">
        <w:rPr>
          <w:rFonts w:hint="cs"/>
          <w:rtl/>
        </w:rPr>
        <w:t xml:space="preserve"> فلا مكان له</w:t>
      </w:r>
      <w:r w:rsidR="00DB731D" w:rsidRPr="00A52585">
        <w:rPr>
          <w:rFonts w:hint="cs"/>
          <w:rtl/>
        </w:rPr>
        <w:t>،</w:t>
      </w:r>
      <w:r w:rsidRPr="00A52585">
        <w:rPr>
          <w:rFonts w:hint="cs"/>
          <w:rtl/>
        </w:rPr>
        <w:t xml:space="preserve"> وليس بعرض يقوم بالجرم</w:t>
      </w:r>
      <w:r w:rsidR="00DB731D" w:rsidRPr="00A52585">
        <w:rPr>
          <w:rFonts w:hint="cs"/>
          <w:rtl/>
        </w:rPr>
        <w:t>،</w:t>
      </w:r>
      <w:r w:rsidRPr="00A52585">
        <w:rPr>
          <w:rFonts w:hint="cs"/>
          <w:rtl/>
        </w:rPr>
        <w:t xml:space="preserve"> وليس في جهة من الجهات</w:t>
      </w:r>
      <w:r w:rsidR="00DB731D" w:rsidRPr="00A52585">
        <w:rPr>
          <w:rFonts w:hint="cs"/>
          <w:rtl/>
        </w:rPr>
        <w:t>،</w:t>
      </w:r>
      <w:r w:rsidRPr="00A52585">
        <w:rPr>
          <w:rFonts w:hint="cs"/>
          <w:rtl/>
        </w:rPr>
        <w:t xml:space="preserve"> ولا يوصف بالكِبَر ولا بالصغر</w:t>
      </w:r>
      <w:r w:rsidR="00DB731D" w:rsidRPr="00A52585">
        <w:rPr>
          <w:rFonts w:hint="cs"/>
          <w:rtl/>
        </w:rPr>
        <w:t>،</w:t>
      </w:r>
      <w:r w:rsidRPr="00A52585">
        <w:rPr>
          <w:rFonts w:hint="cs"/>
          <w:rtl/>
        </w:rPr>
        <w:t xml:space="preserve"> وكل ما قام ببالك فالله بخلاف ذلك</w:t>
      </w:r>
      <w:r w:rsidR="0002035C" w:rsidRPr="00A52585">
        <w:rPr>
          <w:rFonts w:hint="cs"/>
          <w:rtl/>
        </w:rPr>
        <w:t>)</w:t>
      </w:r>
      <w:r w:rsidRPr="00A52585">
        <w:rPr>
          <w:rFonts w:hint="cs"/>
          <w:rtl/>
        </w:rPr>
        <w:t xml:space="preserve"> انظر الكفاية لذوي العناية </w:t>
      </w:r>
      <w:r w:rsidR="0002035C" w:rsidRPr="00A52585">
        <w:rPr>
          <w:rFonts w:hint="cs"/>
          <w:rtl/>
        </w:rPr>
        <w:t>(</w:t>
      </w:r>
      <w:r w:rsidRPr="00A52585">
        <w:rPr>
          <w:rFonts w:hint="cs"/>
          <w:rtl/>
        </w:rPr>
        <w:t>ص 13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207-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تنزه - أي الله - عن المكان والزمان</w:t>
      </w:r>
      <w:r w:rsidR="0002035C" w:rsidRPr="00A52585">
        <w:rPr>
          <w:rFonts w:hint="cs"/>
          <w:rtl/>
        </w:rPr>
        <w:t>)</w:t>
      </w:r>
      <w:r w:rsidRPr="00A52585">
        <w:rPr>
          <w:rFonts w:hint="cs"/>
          <w:rtl/>
        </w:rPr>
        <w:t xml:space="preserve"> المجالس السنية </w:t>
      </w:r>
      <w:r w:rsidR="0002035C" w:rsidRPr="00A52585">
        <w:rPr>
          <w:rFonts w:hint="cs"/>
          <w:rtl/>
        </w:rPr>
        <w:t>(</w:t>
      </w:r>
      <w:r w:rsidRPr="00A52585">
        <w:rPr>
          <w:rFonts w:hint="cs"/>
          <w:rtl/>
        </w:rPr>
        <w:t>ص 2</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وذكر ذلك في افتتاحية كتابه "المجالس السنية"، مما يدل على أنه كان يعطي علم التوحيد اهتمامه</w:t>
      </w:r>
      <w:r w:rsidR="00DB731D" w:rsidRPr="00A52585">
        <w:rPr>
          <w:rFonts w:hint="cs"/>
          <w:rtl/>
        </w:rPr>
        <w:t>،</w:t>
      </w:r>
      <w:r w:rsidRPr="00A52585">
        <w:rPr>
          <w:rFonts w:hint="cs"/>
          <w:rtl/>
        </w:rPr>
        <w:t xml:space="preserve"> ولذلك كان رحمه الله حريصا على تعليم الصغار والكبار تنزيه الله عن المكان والزمان و الجسمية وكل صفات المخلوقين</w:t>
      </w:r>
      <w:r w:rsidR="00DB731D" w:rsidRPr="00A52585">
        <w:rPr>
          <w:rFonts w:hint="cs"/>
          <w:rtl/>
        </w:rPr>
        <w:t>،</w:t>
      </w:r>
      <w:r w:rsidR="0002035C" w:rsidRPr="00A52585">
        <w:rPr>
          <w:rFonts w:hint="cs"/>
          <w:rtl/>
        </w:rPr>
        <w:t xml:space="preserve"> </w:t>
      </w:r>
      <w:r w:rsidRPr="00A52585">
        <w:rPr>
          <w:rFonts w:hint="cs"/>
          <w:rtl/>
        </w:rPr>
        <w:t>208-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ينبغي للإله الواحد الصمد أن يحتوى بـمكـان هو خـالـقه</w:t>
      </w:r>
      <w:r w:rsidR="00DB731D" w:rsidRPr="00A52585">
        <w:rPr>
          <w:rFonts w:hint="cs"/>
          <w:rtl/>
        </w:rPr>
        <w:t>،</w:t>
      </w:r>
      <w:r w:rsidRPr="00A52585">
        <w:rPr>
          <w:rFonts w:hint="cs"/>
          <w:rtl/>
        </w:rPr>
        <w:t xml:space="preserve"> بل كان ربي ولا عرش ولا مَلَكٌ ولا سـمـاء ورب الـعـرش </w:t>
      </w:r>
      <w:proofErr w:type="spellStart"/>
      <w:r w:rsidRPr="00A52585">
        <w:rPr>
          <w:rFonts w:hint="cs"/>
          <w:rtl/>
        </w:rPr>
        <w:t>واجـده</w:t>
      </w:r>
      <w:r w:rsidR="00DB731D" w:rsidRPr="00A52585">
        <w:rPr>
          <w:rFonts w:hint="cs"/>
          <w:rtl/>
        </w:rPr>
        <w:t>،</w:t>
      </w:r>
      <w:r w:rsidRPr="00A52585">
        <w:rPr>
          <w:rFonts w:hint="cs"/>
          <w:rtl/>
        </w:rPr>
        <w:t>وكـل</w:t>
      </w:r>
      <w:proofErr w:type="spellEnd"/>
      <w:r w:rsidRPr="00A52585">
        <w:rPr>
          <w:rFonts w:hint="cs"/>
          <w:rtl/>
        </w:rPr>
        <w:t xml:space="preserve"> من في مكان فهو مفتقر </w:t>
      </w:r>
      <w:r w:rsidRPr="00A52585">
        <w:rPr>
          <w:rFonts w:hint="cs"/>
          <w:rtl/>
        </w:rPr>
        <w:lastRenderedPageBreak/>
        <w:t xml:space="preserve">إلى المكان </w:t>
      </w:r>
      <w:proofErr w:type="spellStart"/>
      <w:r w:rsidRPr="00A52585">
        <w:rPr>
          <w:rFonts w:hint="cs"/>
          <w:rtl/>
        </w:rPr>
        <w:t>ويحويه</w:t>
      </w:r>
      <w:proofErr w:type="spellEnd"/>
      <w:r w:rsidRPr="00A52585">
        <w:rPr>
          <w:rFonts w:hint="cs"/>
          <w:rtl/>
        </w:rPr>
        <w:t xml:space="preserve"> سرادقه</w:t>
      </w:r>
      <w:r w:rsidR="0002035C" w:rsidRPr="00A52585">
        <w:rPr>
          <w:rFonts w:hint="cs"/>
          <w:rtl/>
        </w:rPr>
        <w:t>)</w:t>
      </w:r>
      <w:r w:rsidRPr="00A52585">
        <w:rPr>
          <w:rFonts w:hint="cs"/>
          <w:rtl/>
        </w:rPr>
        <w:t xml:space="preserve"> المصدر السابق (ص 119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209-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يُرى في الآخرة - بلا كيف ولا شبهٍ ولا مثالٍ ولا حد ولا ند ولا ضد</w:t>
      </w:r>
      <w:r w:rsidR="00DB731D" w:rsidRPr="00A52585">
        <w:rPr>
          <w:rFonts w:hint="cs"/>
          <w:rtl/>
        </w:rPr>
        <w:t>،</w:t>
      </w:r>
      <w:r w:rsidRPr="00A52585">
        <w:rPr>
          <w:rFonts w:hint="cs"/>
          <w:rtl/>
        </w:rPr>
        <w:t xml:space="preserve"> ولا مقابلة ولا أمام ولا وراء ولا يمين ولا شمال</w:t>
      </w:r>
      <w:r w:rsidR="00DB731D" w:rsidRPr="00A52585">
        <w:rPr>
          <w:rFonts w:hint="cs"/>
          <w:rtl/>
        </w:rPr>
        <w:t>،</w:t>
      </w:r>
      <w:r w:rsidRPr="00A52585">
        <w:rPr>
          <w:rFonts w:hint="cs"/>
          <w:rtl/>
        </w:rPr>
        <w:t xml:space="preserve"> ولا محسوس ولا ملموس</w:t>
      </w:r>
      <w:r w:rsidR="00DB731D" w:rsidRPr="00A52585">
        <w:rPr>
          <w:rFonts w:hint="cs"/>
          <w:rtl/>
        </w:rPr>
        <w:t>،</w:t>
      </w:r>
      <w:r w:rsidRPr="00A52585">
        <w:rPr>
          <w:rFonts w:hint="cs"/>
          <w:rtl/>
        </w:rPr>
        <w:t xml:space="preserve"> ولا طويل ولا قصير ولا كبير ولا صغير ولا عريض</w:t>
      </w:r>
      <w:r w:rsidR="0002035C" w:rsidRPr="00A52585">
        <w:rPr>
          <w:rFonts w:hint="cs"/>
          <w:rtl/>
        </w:rPr>
        <w:t>)</w:t>
      </w:r>
      <w:r w:rsidRPr="00A52585">
        <w:rPr>
          <w:rFonts w:hint="cs"/>
          <w:rtl/>
        </w:rPr>
        <w:t xml:space="preserve"> المجالس السنية (ص 119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210- وقال الشيخ حسين بن محمد الجسر الطرابلسي (1327 هـ) في كتابه "الحصون الحميدية للمحافظة على العقائد الإسلامية" ما نصه</w:t>
      </w:r>
      <w:r w:rsidR="0002035C" w:rsidRPr="00A52585">
        <w:rPr>
          <w:rFonts w:hint="cs"/>
          <w:rtl/>
        </w:rPr>
        <w:t xml:space="preserve"> (</w:t>
      </w:r>
      <w:r w:rsidRPr="00A52585">
        <w:rPr>
          <w:rFonts w:hint="cs"/>
          <w:rtl/>
        </w:rPr>
        <w:t>إنه تعالى ليس جوهرا ولا جسما</w:t>
      </w:r>
      <w:r w:rsidR="00DB731D" w:rsidRPr="00A52585">
        <w:rPr>
          <w:rFonts w:hint="cs"/>
          <w:rtl/>
        </w:rPr>
        <w:t>،</w:t>
      </w:r>
      <w:r w:rsidRPr="00A52585">
        <w:rPr>
          <w:rFonts w:hint="cs"/>
          <w:rtl/>
        </w:rPr>
        <w:t xml:space="preserve"> فلا يحتاج إلى مكان يقوم فيه</w:t>
      </w:r>
      <w:r w:rsidR="00DB731D" w:rsidRPr="00A52585">
        <w:rPr>
          <w:rFonts w:hint="cs"/>
          <w:rtl/>
        </w:rPr>
        <w:t>،</w:t>
      </w:r>
      <w:r w:rsidRPr="00A52585">
        <w:rPr>
          <w:rFonts w:hint="cs"/>
          <w:rtl/>
        </w:rPr>
        <w:t xml:space="preserve"> لأن الاحتياج إلى المكان من خواص الجواهر والأجسام</w:t>
      </w:r>
      <w:r w:rsidR="00DB731D" w:rsidRPr="00A52585">
        <w:rPr>
          <w:rFonts w:hint="cs"/>
          <w:rtl/>
        </w:rPr>
        <w:t>،</w:t>
      </w:r>
      <w:r w:rsidRPr="00A52585">
        <w:rPr>
          <w:rFonts w:hint="cs"/>
          <w:rtl/>
        </w:rPr>
        <w:t xml:space="preserve"> وثبت هناك أنه تعالى ليس عرضا فلا يحتاج إلى محل يحل فيه</w:t>
      </w:r>
      <w:r w:rsidR="0002035C" w:rsidRPr="00A52585">
        <w:rPr>
          <w:rFonts w:hint="cs"/>
          <w:rtl/>
        </w:rPr>
        <w:t>)</w:t>
      </w:r>
      <w:r w:rsidRPr="00A52585">
        <w:rPr>
          <w:rFonts w:hint="cs"/>
          <w:rtl/>
        </w:rPr>
        <w:t xml:space="preserve"> الحصون الحميدية (ص 18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211- وقال الشيخ عبد القادر الأدهمي الطرابلسي (1328 هـ) ما نصه</w:t>
      </w:r>
      <w:r w:rsidR="0002035C" w:rsidRPr="00A52585">
        <w:rPr>
          <w:rFonts w:hint="cs"/>
          <w:rtl/>
        </w:rPr>
        <w:t>: (</w:t>
      </w:r>
      <w:r w:rsidRPr="00A52585">
        <w:rPr>
          <w:rFonts w:hint="cs"/>
          <w:rtl/>
        </w:rPr>
        <w:t xml:space="preserve">ولا </w:t>
      </w:r>
      <w:proofErr w:type="spellStart"/>
      <w:r w:rsidRPr="00A52585">
        <w:rPr>
          <w:rFonts w:hint="cs"/>
          <w:rtl/>
        </w:rPr>
        <w:t>يحناج</w:t>
      </w:r>
      <w:proofErr w:type="spellEnd"/>
      <w:r w:rsidRPr="00A52585">
        <w:rPr>
          <w:rFonts w:hint="cs"/>
          <w:rtl/>
        </w:rPr>
        <w:t xml:space="preserve"> الى مكان ومحل</w:t>
      </w:r>
      <w:r w:rsidR="00DB731D" w:rsidRPr="00A52585">
        <w:rPr>
          <w:rFonts w:hint="cs"/>
          <w:rtl/>
        </w:rPr>
        <w:t>،</w:t>
      </w:r>
      <w:r w:rsidRPr="00A52585">
        <w:rPr>
          <w:rFonts w:hint="cs"/>
          <w:rtl/>
        </w:rPr>
        <w:t xml:space="preserve"> ولا يغيره زمان</w:t>
      </w:r>
      <w:r w:rsidR="0002035C" w:rsidRPr="00A52585">
        <w:rPr>
          <w:rFonts w:hint="cs"/>
          <w:rtl/>
        </w:rPr>
        <w:t>)</w:t>
      </w:r>
      <w:r w:rsidRPr="00A52585">
        <w:rPr>
          <w:rFonts w:hint="cs"/>
          <w:rtl/>
        </w:rPr>
        <w:t xml:space="preserve"> وسيلة النجاة والإسعاد في معرفة ما بجب من </w:t>
      </w:r>
      <w:proofErr w:type="spellStart"/>
      <w:r w:rsidRPr="00A52585">
        <w:rPr>
          <w:rFonts w:hint="cs"/>
          <w:rtl/>
        </w:rPr>
        <w:t>النوحيد</w:t>
      </w:r>
      <w:proofErr w:type="spellEnd"/>
      <w:r w:rsidRPr="00A52585">
        <w:rPr>
          <w:rFonts w:hint="cs"/>
          <w:rtl/>
        </w:rPr>
        <w:t xml:space="preserve"> والاعتقاد </w:t>
      </w:r>
      <w:r w:rsidR="0002035C" w:rsidRPr="00A52585">
        <w:rPr>
          <w:rFonts w:hint="cs"/>
          <w:rtl/>
        </w:rPr>
        <w:t>(</w:t>
      </w:r>
      <w:r w:rsidRPr="00A52585">
        <w:rPr>
          <w:rFonts w:hint="cs"/>
          <w:rtl/>
        </w:rPr>
        <w:t>ص 4</w:t>
      </w:r>
      <w:r w:rsidR="0002035C" w:rsidRPr="00A52585">
        <w:rPr>
          <w:rFonts w:hint="cs"/>
          <w:rtl/>
        </w:rPr>
        <w:t>)</w:t>
      </w:r>
      <w:r w:rsidR="00DB731D" w:rsidRPr="00A52585">
        <w:rPr>
          <w:rFonts w:hint="cs"/>
          <w:rtl/>
        </w:rPr>
        <w:t>،</w:t>
      </w:r>
      <w:r w:rsidRPr="00A52585">
        <w:rPr>
          <w:rFonts w:hint="cs"/>
          <w:rtl/>
        </w:rPr>
        <w:t xml:space="preserve"> 212- قال الشيخ رجب بن محمد جمال الدين البيروتي الشافعي الملقب بشيخ بيروت (1328 هـ) ما نصه</w:t>
      </w:r>
      <w:r w:rsidR="0002035C" w:rsidRPr="00A52585">
        <w:rPr>
          <w:rFonts w:hint="cs"/>
          <w:rtl/>
        </w:rPr>
        <w:t>: (</w:t>
      </w:r>
      <w:r w:rsidRPr="00A52585">
        <w:rPr>
          <w:rFonts w:hint="cs"/>
          <w:rtl/>
        </w:rPr>
        <w:t>إنه تعالى ليس مماثلا للحوادث</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فليس بجرم يأخذ قذرا من الفراغ فلا مكان له</w:t>
      </w:r>
      <w:r w:rsidR="00DB731D" w:rsidRPr="00A52585">
        <w:rPr>
          <w:rFonts w:hint="cs"/>
          <w:rtl/>
        </w:rPr>
        <w:t>،</w:t>
      </w:r>
      <w:r w:rsidRPr="00A52585">
        <w:rPr>
          <w:rFonts w:hint="cs"/>
          <w:rtl/>
        </w:rPr>
        <w:t xml:space="preserve"> وليس بعرض يقوم بالجرم فلا يوصف بالصورة ولا بالشكل ولا باللون</w:t>
      </w:r>
      <w:r w:rsidR="0002035C" w:rsidRPr="00A52585">
        <w:rPr>
          <w:rFonts w:hint="cs"/>
          <w:rtl/>
        </w:rPr>
        <w:t>)</w:t>
      </w:r>
      <w:r w:rsidRPr="00A52585">
        <w:rPr>
          <w:rFonts w:hint="cs"/>
          <w:rtl/>
        </w:rPr>
        <w:t xml:space="preserve"> كتاب الأجوبة الجلية في </w:t>
      </w:r>
      <w:proofErr w:type="spellStart"/>
      <w:r w:rsidRPr="00A52585">
        <w:rPr>
          <w:rFonts w:hint="cs"/>
          <w:rtl/>
        </w:rPr>
        <w:t>العقاند</w:t>
      </w:r>
      <w:proofErr w:type="spellEnd"/>
      <w:r w:rsidRPr="00A52585">
        <w:rPr>
          <w:rFonts w:hint="cs"/>
          <w:rtl/>
        </w:rPr>
        <w:t xml:space="preserve"> الدينية </w:t>
      </w:r>
      <w:r w:rsidR="0002035C" w:rsidRPr="00A52585">
        <w:rPr>
          <w:rFonts w:hint="cs"/>
          <w:rtl/>
        </w:rPr>
        <w:t>(</w:t>
      </w:r>
      <w:r w:rsidRPr="00A52585">
        <w:rPr>
          <w:rFonts w:hint="cs"/>
          <w:rtl/>
        </w:rPr>
        <w:t>ص 4</w:t>
      </w:r>
      <w:r w:rsidR="0002035C" w:rsidRPr="00A52585">
        <w:rPr>
          <w:rFonts w:hint="cs"/>
          <w:rtl/>
        </w:rPr>
        <w:t>)</w:t>
      </w:r>
      <w:r w:rsidR="00DB731D" w:rsidRPr="00A52585">
        <w:rPr>
          <w:rFonts w:hint="cs"/>
          <w:rtl/>
        </w:rPr>
        <w:t>،</w:t>
      </w:r>
      <w:r w:rsidRPr="00A52585">
        <w:rPr>
          <w:rFonts w:hint="cs"/>
          <w:rtl/>
        </w:rPr>
        <w:t xml:space="preserve"> طبع في بيروت بالمطبعة الأدبية سنة 1308 هـ</w:t>
      </w:r>
      <w:r w:rsidR="00DB731D" w:rsidRPr="00A52585">
        <w:rPr>
          <w:rFonts w:hint="cs"/>
          <w:rtl/>
        </w:rPr>
        <w:t>،</w:t>
      </w:r>
      <w:r w:rsidRPr="00A52585">
        <w:rPr>
          <w:rFonts w:hint="cs"/>
          <w:rtl/>
        </w:rPr>
        <w:t xml:space="preserve"> وهذا الكتاب كان بدرس في مدارس ولاية بيروت في عهد الدولة العثمانية الإسلامية</w:t>
      </w:r>
      <w:r w:rsidR="00DB731D" w:rsidRPr="00A52585">
        <w:rPr>
          <w:rFonts w:hint="cs"/>
          <w:rtl/>
        </w:rPr>
        <w:t>،</w:t>
      </w:r>
      <w:r w:rsidR="0002035C" w:rsidRPr="00A52585">
        <w:rPr>
          <w:rFonts w:hint="cs"/>
          <w:rtl/>
        </w:rPr>
        <w:t xml:space="preserve"> </w:t>
      </w:r>
      <w:r w:rsidRPr="00A52585">
        <w:rPr>
          <w:rFonts w:hint="cs"/>
          <w:rtl/>
        </w:rPr>
        <w:t>213- وقال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انه تعالى لا يحتاج إلى محل يقوم به</w:t>
      </w:r>
      <w:r w:rsidR="00DB731D" w:rsidRPr="00A52585">
        <w:rPr>
          <w:rFonts w:hint="cs"/>
          <w:rtl/>
        </w:rPr>
        <w:t>،</w:t>
      </w:r>
      <w:r w:rsidRPr="00A52585">
        <w:rPr>
          <w:rFonts w:hint="cs"/>
          <w:rtl/>
        </w:rPr>
        <w:t xml:space="preserve"> ولا إلى مخصص أي موجد يوجده</w:t>
      </w:r>
      <w:r w:rsidR="0002035C" w:rsidRPr="00A52585">
        <w:rPr>
          <w:rFonts w:hint="cs"/>
          <w:rtl/>
        </w:rPr>
        <w:t>)</w:t>
      </w:r>
      <w:r w:rsidRPr="00A52585">
        <w:rPr>
          <w:rFonts w:hint="cs"/>
          <w:rtl/>
        </w:rPr>
        <w:t xml:space="preserve">المرجع السابق </w:t>
      </w:r>
      <w:r w:rsidR="0002035C" w:rsidRPr="00A52585">
        <w:rPr>
          <w:rFonts w:hint="cs"/>
          <w:rtl/>
        </w:rPr>
        <w:t>(</w:t>
      </w:r>
      <w:r w:rsidRPr="00A52585">
        <w:rPr>
          <w:rFonts w:hint="cs"/>
          <w:rtl/>
        </w:rPr>
        <w:t>ص 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214- وقال الشيخ إسماعيل حقي الرومي الحنفي (1335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خصَّ السماء بالذكر ليعلم أن الأصنام التي في الأرض ليست بآلهة لا لأنه تعالى في جهة من الجهات لأن ذلك من صفات الأجسام</w:t>
      </w:r>
      <w:r w:rsidR="0002035C" w:rsidRPr="00A52585">
        <w:rPr>
          <w:rFonts w:hint="cs"/>
          <w:rtl/>
        </w:rPr>
        <w:t>)</w:t>
      </w:r>
      <w:r w:rsidRPr="00A52585">
        <w:rPr>
          <w:rFonts w:hint="cs"/>
          <w:rtl/>
        </w:rPr>
        <w:t xml:space="preserve"> روح البيان </w:t>
      </w:r>
      <w:r w:rsidR="0002035C" w:rsidRPr="00A52585">
        <w:rPr>
          <w:rFonts w:hint="cs"/>
          <w:rtl/>
        </w:rPr>
        <w:t>(</w:t>
      </w:r>
      <w:r w:rsidRPr="00A52585">
        <w:rPr>
          <w:rFonts w:hint="cs"/>
          <w:rtl/>
        </w:rPr>
        <w:t>6</w:t>
      </w:r>
      <w:r w:rsidR="0002035C" w:rsidRPr="00A52585">
        <w:rPr>
          <w:rFonts w:hint="cs"/>
          <w:rtl/>
        </w:rPr>
        <w:t xml:space="preserve">: </w:t>
      </w:r>
      <w:r w:rsidRPr="00A52585">
        <w:rPr>
          <w:rFonts w:hint="cs"/>
          <w:rtl/>
        </w:rPr>
        <w:t>385</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انظروا الى فهم العلماء للنصوص</w:t>
      </w:r>
      <w:r w:rsidR="00DB731D" w:rsidRPr="00A52585">
        <w:rPr>
          <w:rFonts w:hint="cs"/>
          <w:rtl/>
        </w:rPr>
        <w:t>،</w:t>
      </w:r>
      <w:r w:rsidRPr="00A52585">
        <w:rPr>
          <w:rFonts w:hint="cs"/>
          <w:rtl/>
        </w:rPr>
        <w:t xml:space="preserve"> وصدق الله تعالى عندما قال </w:t>
      </w:r>
      <w:r w:rsidR="0002035C" w:rsidRPr="00A52585">
        <w:rPr>
          <w:rFonts w:hint="cs"/>
          <w:rtl/>
        </w:rPr>
        <w:t>(</w:t>
      </w:r>
      <w:r w:rsidRPr="00A52585">
        <w:rPr>
          <w:rFonts w:hint="cs"/>
          <w:rtl/>
        </w:rPr>
        <w:t>قل هل يستوي الذين يعلمون والذين لا يعلون</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215- وقال الشيخ سليم البشري المصري (1335 هـ) شيخ الجامع الأزهر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اعلم أيدك الله بتوفيقه وسلك بنا وبك سواء طريقه</w:t>
      </w:r>
      <w:r w:rsidR="00DB731D" w:rsidRPr="00A52585">
        <w:rPr>
          <w:rFonts w:hint="cs"/>
          <w:rtl/>
        </w:rPr>
        <w:t>،</w:t>
      </w:r>
      <w:r w:rsidRPr="00A52585">
        <w:rPr>
          <w:rFonts w:hint="cs"/>
          <w:rtl/>
        </w:rPr>
        <w:t xml:space="preserve"> أن مذهب الفرقة الناجية وما عليه أجمع السنيون أن الله تعالى منزه عن مشابهة الحوادث مخالف لها في جميع سمات الحدوث</w:t>
      </w:r>
      <w:r w:rsidR="00DB731D" w:rsidRPr="00A52585">
        <w:rPr>
          <w:rFonts w:hint="cs"/>
          <w:rtl/>
        </w:rPr>
        <w:t>،</w:t>
      </w:r>
      <w:r w:rsidRPr="00A52585">
        <w:rPr>
          <w:rFonts w:hint="cs"/>
          <w:rtl/>
        </w:rPr>
        <w:t xml:space="preserve"> ومن ذلك تنزهه عن الجهة والمكان كما دلت على ذلك البراهين القطعية</w:t>
      </w:r>
      <w:r w:rsidR="0002035C" w:rsidRPr="00A52585">
        <w:rPr>
          <w:rFonts w:hint="cs"/>
          <w:rtl/>
        </w:rPr>
        <w:t>)</w:t>
      </w:r>
      <w:r w:rsidRPr="00A52585">
        <w:rPr>
          <w:rFonts w:hint="cs"/>
          <w:rtl/>
        </w:rPr>
        <w:t xml:space="preserve"> انظر فرقان القرءان وهو مطبوع مع كتاب الأسماء والصفات للبيهقي (ص 74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216- وقال الشيخ عبد المجيد الشرنوبي الأزهري (1348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فهو سبحانه لا يحده زمان ولا يقله مكان بل كان ولا مكان ولا زمان وهو الآن على ما عليه كان</w:t>
      </w:r>
      <w:r w:rsidR="0002035C" w:rsidRPr="00A52585">
        <w:rPr>
          <w:rFonts w:hint="cs"/>
          <w:rtl/>
        </w:rPr>
        <w:t>)</w:t>
      </w:r>
      <w:r w:rsidRPr="00A52585">
        <w:rPr>
          <w:rFonts w:hint="cs"/>
          <w:rtl/>
        </w:rPr>
        <w:t xml:space="preserve"> شرح تائية السلوك إلى ملك الملوك </w:t>
      </w:r>
      <w:r w:rsidR="0002035C" w:rsidRPr="00A52585">
        <w:rPr>
          <w:rFonts w:hint="cs"/>
          <w:rtl/>
        </w:rPr>
        <w:t>(</w:t>
      </w:r>
      <w:r w:rsidRPr="00A52585">
        <w:rPr>
          <w:rFonts w:hint="cs"/>
          <w:rtl/>
        </w:rPr>
        <w:t>ص 60</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217- وقال ما نصه</w:t>
      </w:r>
      <w:r w:rsidR="0002035C" w:rsidRPr="00A52585">
        <w:rPr>
          <w:rFonts w:hint="cs"/>
          <w:rtl/>
        </w:rPr>
        <w:t>: (</w:t>
      </w:r>
      <w:r w:rsidRPr="00A52585">
        <w:rPr>
          <w:rFonts w:hint="cs"/>
          <w:rtl/>
        </w:rPr>
        <w:t>خلق الله العرش إظهارا لقدرته لا مكاناً لذاته</w:t>
      </w:r>
      <w:r w:rsidR="0002035C" w:rsidRPr="00A52585">
        <w:rPr>
          <w:rFonts w:hint="cs"/>
          <w:rtl/>
        </w:rPr>
        <w:t>)</w:t>
      </w:r>
      <w:r w:rsidRPr="00A52585">
        <w:rPr>
          <w:rFonts w:hint="cs"/>
          <w:rtl/>
        </w:rPr>
        <w:t xml:space="preserve"> المصدر </w:t>
      </w:r>
      <w:r w:rsidRPr="00A52585">
        <w:rPr>
          <w:rFonts w:hint="cs"/>
          <w:rtl/>
        </w:rPr>
        <w:lastRenderedPageBreak/>
        <w:t xml:space="preserve">السابق </w:t>
      </w:r>
      <w:r w:rsidR="0002035C" w:rsidRPr="00A52585">
        <w:rPr>
          <w:rFonts w:hint="cs"/>
          <w:rtl/>
        </w:rPr>
        <w:t>(</w:t>
      </w:r>
      <w:r w:rsidRPr="00A52585">
        <w:rPr>
          <w:rFonts w:hint="cs"/>
          <w:rtl/>
        </w:rPr>
        <w:t>ص 29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218-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الحمد لله المنزه في كماله عن الكيفية </w:t>
      </w:r>
      <w:proofErr w:type="spellStart"/>
      <w:r w:rsidRPr="00A52585">
        <w:rPr>
          <w:rFonts w:hint="cs"/>
          <w:rtl/>
        </w:rPr>
        <w:t>والأينِيَّة</w:t>
      </w:r>
      <w:proofErr w:type="spellEnd"/>
      <w:r w:rsidR="00DB731D" w:rsidRPr="00A52585">
        <w:rPr>
          <w:rFonts w:hint="cs"/>
          <w:rtl/>
        </w:rPr>
        <w:t>،</w:t>
      </w:r>
      <w:r w:rsidRPr="00A52585">
        <w:rPr>
          <w:rFonts w:hint="cs"/>
          <w:rtl/>
        </w:rPr>
        <w:t xml:space="preserve"> المقدس في جَلاله عن الضِّديَّة والنِّدِّية</w:t>
      </w:r>
      <w:r w:rsidR="00DB731D" w:rsidRPr="00A52585">
        <w:rPr>
          <w:rFonts w:hint="cs"/>
          <w:rtl/>
        </w:rPr>
        <w:t>،</w:t>
      </w:r>
      <w:r w:rsidRPr="00A52585">
        <w:rPr>
          <w:rFonts w:hint="cs"/>
          <w:rtl/>
        </w:rPr>
        <w:t xml:space="preserve"> المتعالي بألوهيته عن الفوقية والتحتية</w:t>
      </w:r>
      <w:r w:rsidR="0002035C" w:rsidRPr="00A52585">
        <w:rPr>
          <w:rFonts w:hint="cs"/>
          <w:rtl/>
        </w:rPr>
        <w:t>)</w:t>
      </w:r>
      <w:r w:rsidRPr="00A52585">
        <w:rPr>
          <w:rFonts w:hint="cs"/>
          <w:rtl/>
        </w:rPr>
        <w:t xml:space="preserve"> الرائية الكبرى </w:t>
      </w:r>
      <w:r w:rsidR="0002035C" w:rsidRPr="00A52585">
        <w:rPr>
          <w:rFonts w:hint="cs"/>
          <w:rtl/>
        </w:rPr>
        <w:t>(</w:t>
      </w:r>
      <w:r w:rsidRPr="00A52585">
        <w:rPr>
          <w:rFonts w:hint="cs"/>
          <w:rtl/>
        </w:rPr>
        <w:t>ص 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219- وقال الشيخ يوسف النبهاني الشافعي البيروتي (1350 هـ) ما نصه</w:t>
      </w:r>
      <w:r w:rsidR="0002035C" w:rsidRPr="00A52585">
        <w:rPr>
          <w:rFonts w:hint="cs"/>
          <w:rtl/>
        </w:rPr>
        <w:t>: (</w:t>
      </w:r>
      <w:r w:rsidRPr="00A52585">
        <w:rPr>
          <w:rFonts w:hint="cs"/>
          <w:rtl/>
        </w:rPr>
        <w:t>فلا جهةٌ تحويه لا جهةٌ له تـنـزَّهَ ربـي عـنـهـا وَعـلاَ قـَدْرَا</w:t>
      </w:r>
      <w:r w:rsidR="0002035C" w:rsidRPr="00A52585">
        <w:rPr>
          <w:rFonts w:hint="cs"/>
          <w:rtl/>
        </w:rPr>
        <w:t>)</w:t>
      </w:r>
      <w:r w:rsidRPr="00A52585">
        <w:rPr>
          <w:rFonts w:hint="cs"/>
          <w:rtl/>
        </w:rPr>
        <w:t xml:space="preserve"> ديوان خطب الشرنوبي</w:t>
      </w:r>
      <w:r w:rsidR="0002035C" w:rsidRPr="00A52585">
        <w:rPr>
          <w:rFonts w:hint="cs"/>
          <w:rtl/>
        </w:rPr>
        <w:t>:</w:t>
      </w:r>
      <w:r w:rsidRPr="00A52585">
        <w:rPr>
          <w:rFonts w:hint="cs"/>
          <w:rtl/>
        </w:rPr>
        <w:t xml:space="preserve"> الخُطبة الثالثة لصفر </w:t>
      </w:r>
      <w:r w:rsidR="0002035C" w:rsidRPr="00A52585">
        <w:rPr>
          <w:rFonts w:hint="cs"/>
          <w:rtl/>
        </w:rPr>
        <w:t>(</w:t>
      </w:r>
      <w:r w:rsidRPr="00A52585">
        <w:rPr>
          <w:rFonts w:hint="cs"/>
          <w:rtl/>
        </w:rPr>
        <w:t>ص 16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220- وقال الشيخ مصطفى نجا الشافعي مفتي بيروت (1351 هـ) ما نصه</w:t>
      </w:r>
      <w:r w:rsidR="0002035C" w:rsidRPr="00A52585">
        <w:rPr>
          <w:rFonts w:hint="cs"/>
          <w:rtl/>
        </w:rPr>
        <w:t>: (</w:t>
      </w:r>
      <w:r w:rsidRPr="00A52585">
        <w:rPr>
          <w:rFonts w:hint="cs"/>
          <w:rtl/>
        </w:rPr>
        <w:t>ومعنى العلي المتعالي في جلاله وكبريائه إلى غير غاية ولا نهاية</w:t>
      </w:r>
      <w:r w:rsidR="00DB731D" w:rsidRPr="00A52585">
        <w:rPr>
          <w:rFonts w:hint="cs"/>
          <w:rtl/>
        </w:rPr>
        <w:t>،</w:t>
      </w:r>
      <w:r w:rsidRPr="00A52585">
        <w:rPr>
          <w:rFonts w:hint="cs"/>
          <w:rtl/>
        </w:rPr>
        <w:t xml:space="preserve"> والمراد به علو القدر والمنزلة لا علو المكان لأنه تعالى منزه عن التحيز والجهة</w:t>
      </w:r>
      <w:r w:rsidR="0002035C" w:rsidRPr="00A52585">
        <w:rPr>
          <w:rFonts w:hint="cs"/>
          <w:rtl/>
        </w:rPr>
        <w:t>)</w:t>
      </w:r>
      <w:r w:rsidRPr="00A52585">
        <w:rPr>
          <w:rFonts w:hint="cs"/>
          <w:rtl/>
        </w:rPr>
        <w:t xml:space="preserve"> كشف الأسرار لتنوير الأفكار </w:t>
      </w:r>
      <w:r w:rsidR="0002035C" w:rsidRPr="00A52585">
        <w:rPr>
          <w:rFonts w:hint="cs"/>
          <w:rtl/>
        </w:rPr>
        <w:t>(</w:t>
      </w:r>
      <w:r w:rsidRPr="00A52585">
        <w:rPr>
          <w:rFonts w:hint="cs"/>
          <w:rtl/>
        </w:rPr>
        <w:t>ص 118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221- وقال الشيخ مصطفى نجا الشافعي مفتي بيروت (1351 هـ) أيضا ما نصه</w:t>
      </w:r>
      <w:r w:rsidR="0002035C" w:rsidRPr="00A52585">
        <w:rPr>
          <w:rFonts w:hint="cs"/>
          <w:rtl/>
        </w:rPr>
        <w:t>: (</w:t>
      </w:r>
      <w:r w:rsidRPr="00A52585">
        <w:rPr>
          <w:rFonts w:hint="cs"/>
          <w:rtl/>
        </w:rPr>
        <w:t>فإنها - يعني آية الكرسي - دالة على انه تعالى موجود واحد في الألوهية</w:t>
      </w:r>
      <w:r w:rsidR="00DB731D" w:rsidRPr="00A52585">
        <w:rPr>
          <w:rFonts w:hint="cs"/>
          <w:rtl/>
        </w:rPr>
        <w:t>،</w:t>
      </w:r>
      <w:r w:rsidRPr="00A52585">
        <w:rPr>
          <w:rFonts w:hint="cs"/>
          <w:rtl/>
        </w:rPr>
        <w:t xml:space="preserve"> متصف بالحياة</w:t>
      </w:r>
      <w:r w:rsidR="00DB731D" w:rsidRPr="00A52585">
        <w:rPr>
          <w:rFonts w:hint="cs"/>
          <w:rtl/>
        </w:rPr>
        <w:t>،</w:t>
      </w:r>
      <w:r w:rsidRPr="00A52585">
        <w:rPr>
          <w:rFonts w:hint="cs"/>
          <w:rtl/>
        </w:rPr>
        <w:t xml:space="preserve"> واجب الوجود لذاته موجد لغيره</w:t>
      </w:r>
      <w:r w:rsidR="00DB731D" w:rsidRPr="00A52585">
        <w:rPr>
          <w:rFonts w:hint="cs"/>
          <w:rtl/>
        </w:rPr>
        <w:t>،</w:t>
      </w:r>
      <w:r w:rsidRPr="00A52585">
        <w:rPr>
          <w:rFonts w:hint="cs"/>
          <w:rtl/>
        </w:rPr>
        <w:t xml:space="preserve"> منزه عن التحيز والحلول</w:t>
      </w:r>
      <w:r w:rsidR="0002035C" w:rsidRPr="00A52585">
        <w:rPr>
          <w:rFonts w:hint="cs"/>
          <w:rtl/>
        </w:rPr>
        <w:t>)</w:t>
      </w:r>
      <w:r w:rsidRPr="00A52585">
        <w:rPr>
          <w:rFonts w:hint="cs"/>
          <w:rtl/>
        </w:rPr>
        <w:t xml:space="preserve"> كشف الأسرار لتنوير الأفكار </w:t>
      </w:r>
      <w:r w:rsidR="0002035C" w:rsidRPr="00A52585">
        <w:rPr>
          <w:rFonts w:hint="cs"/>
          <w:rtl/>
        </w:rPr>
        <w:t>(</w:t>
      </w:r>
      <w:r w:rsidRPr="00A52585">
        <w:rPr>
          <w:rFonts w:hint="cs"/>
          <w:rtl/>
        </w:rPr>
        <w:t>ص 122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222- وقال الشيخ عبد المجيد المغربي الطرابلسي أمين الفتوى في طرابلس الشام (1352 هـ) عن الله تعالى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لا </w:t>
      </w:r>
      <w:proofErr w:type="spellStart"/>
      <w:r w:rsidRPr="00A52585">
        <w:rPr>
          <w:rFonts w:hint="cs"/>
          <w:rtl/>
        </w:rPr>
        <w:t>يحويه</w:t>
      </w:r>
      <w:proofErr w:type="spellEnd"/>
      <w:r w:rsidRPr="00A52585">
        <w:rPr>
          <w:rFonts w:hint="cs"/>
          <w:rtl/>
        </w:rPr>
        <w:t xml:space="preserve"> مكان ولا تحصره جهة لا فوق ولا تحت</w:t>
      </w:r>
      <w:r w:rsidR="00DB731D" w:rsidRPr="00A52585">
        <w:rPr>
          <w:rFonts w:hint="cs"/>
          <w:rtl/>
        </w:rPr>
        <w:t>،</w:t>
      </w:r>
      <w:r w:rsidRPr="00A52585">
        <w:rPr>
          <w:rFonts w:hint="cs"/>
          <w:rtl/>
        </w:rPr>
        <w:t xml:space="preserve"> كان الله تعالى في أزليته ولم يكن شيء من الكائنات والأمكنة والجهات على الإطلاق</w:t>
      </w:r>
      <w:r w:rsidR="0002035C" w:rsidRPr="00A52585">
        <w:rPr>
          <w:rFonts w:hint="cs"/>
          <w:rtl/>
        </w:rPr>
        <w:t>)</w:t>
      </w:r>
      <w:r w:rsidRPr="00A52585">
        <w:rPr>
          <w:rFonts w:hint="cs"/>
          <w:rtl/>
        </w:rPr>
        <w:t xml:space="preserve"> رسالة علميه في الإسراء والمعراج </w:t>
      </w:r>
      <w:r w:rsidR="0002035C" w:rsidRPr="00A52585">
        <w:rPr>
          <w:rFonts w:hint="cs"/>
          <w:rtl/>
        </w:rPr>
        <w:t>(</w:t>
      </w:r>
      <w:r w:rsidRPr="00A52585">
        <w:rPr>
          <w:rFonts w:hint="cs"/>
          <w:rtl/>
        </w:rPr>
        <w:t>ص 24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223- وقال أيضا ما نصه</w:t>
      </w:r>
      <w:r w:rsidR="0002035C" w:rsidRPr="00A52585">
        <w:rPr>
          <w:rFonts w:hint="cs"/>
          <w:rtl/>
        </w:rPr>
        <w:t xml:space="preserve">: </w:t>
      </w:r>
      <w:r w:rsidRPr="00A52585">
        <w:rPr>
          <w:rFonts w:hint="cs"/>
          <w:rtl/>
        </w:rPr>
        <w:t>وليعلم ههنا أن الله صانع الكائنات ومحدثها يجب عقلا أن لا يكون مماثلا لشيء منها من كل وجه</w:t>
      </w:r>
      <w:r w:rsidR="00DB731D" w:rsidRPr="00A52585">
        <w:rPr>
          <w:rFonts w:hint="cs"/>
          <w:rtl/>
        </w:rPr>
        <w:t>،</w:t>
      </w:r>
      <w:r w:rsidRPr="00A52585">
        <w:rPr>
          <w:rFonts w:hint="cs"/>
          <w:rtl/>
        </w:rPr>
        <w:t xml:space="preserve"> ولا شيء من هذه الكائنات إلا ويحصره المكان وتحده الجهة</w:t>
      </w:r>
      <w:r w:rsidR="00DB731D" w:rsidRPr="00A52585">
        <w:rPr>
          <w:rFonts w:hint="cs"/>
          <w:rtl/>
        </w:rPr>
        <w:t>،</w:t>
      </w:r>
      <w:r w:rsidRPr="00A52585">
        <w:rPr>
          <w:rFonts w:hint="cs"/>
          <w:rtl/>
        </w:rPr>
        <w:t xml:space="preserve"> وكل مكان محدود</w:t>
      </w:r>
      <w:r w:rsidR="00DB731D" w:rsidRPr="00A52585">
        <w:rPr>
          <w:rFonts w:hint="cs"/>
          <w:rtl/>
        </w:rPr>
        <w:t>،</w:t>
      </w:r>
      <w:r w:rsidRPr="00A52585">
        <w:rPr>
          <w:rFonts w:hint="cs"/>
          <w:rtl/>
        </w:rPr>
        <w:t xml:space="preserve"> وكل محدود ومحصور حادث</w:t>
      </w:r>
      <w:r w:rsidR="00DB731D" w:rsidRPr="00A52585">
        <w:rPr>
          <w:rFonts w:hint="cs"/>
          <w:rtl/>
        </w:rPr>
        <w:t>،</w:t>
      </w:r>
      <w:r w:rsidRPr="00A52585">
        <w:rPr>
          <w:rFonts w:hint="cs"/>
          <w:rtl/>
        </w:rPr>
        <w:t xml:space="preserve"> والله عز وجل قديم فلا يجوز عقلا أن يكون في مكان أو تحده جهة</w:t>
      </w:r>
      <w:r w:rsidR="0002035C" w:rsidRPr="00A52585">
        <w:rPr>
          <w:rFonts w:hint="cs"/>
          <w:rtl/>
        </w:rPr>
        <w:t>)</w:t>
      </w:r>
      <w:r w:rsidRPr="00A52585">
        <w:rPr>
          <w:rFonts w:hint="cs"/>
          <w:rtl/>
        </w:rPr>
        <w:t xml:space="preserve"> الكوكب الشرقي في رد نظرية لابلاس ورفقائه </w:t>
      </w:r>
      <w:r w:rsidR="0002035C" w:rsidRPr="00A52585">
        <w:rPr>
          <w:rFonts w:hint="cs"/>
          <w:rtl/>
        </w:rPr>
        <w:t>(</w:t>
      </w:r>
      <w:r w:rsidRPr="00A52585">
        <w:rPr>
          <w:rFonts w:hint="cs"/>
          <w:rtl/>
        </w:rPr>
        <w:t>ص 57</w:t>
      </w:r>
      <w:r w:rsidR="0002035C" w:rsidRPr="00A52585">
        <w:rPr>
          <w:rFonts w:hint="cs"/>
          <w:rtl/>
        </w:rPr>
        <w:t>)</w:t>
      </w:r>
      <w:r w:rsidR="00DB731D" w:rsidRPr="00A52585">
        <w:rPr>
          <w:rFonts w:hint="cs"/>
          <w:rtl/>
        </w:rPr>
        <w:t>،</w:t>
      </w:r>
      <w:r w:rsidRPr="00A52585">
        <w:rPr>
          <w:rFonts w:hint="cs"/>
          <w:rtl/>
        </w:rPr>
        <w:t xml:space="preserve"> 224- قال الشيخ محمود بن محمد خطاب السبكي (1352هـ) وهو من مشايخ الأزهر بمصر ما نصه</w:t>
      </w:r>
      <w:r w:rsidR="0002035C" w:rsidRPr="00A52585">
        <w:rPr>
          <w:rFonts w:hint="cs"/>
          <w:rtl/>
        </w:rPr>
        <w:t>: (</w:t>
      </w:r>
      <w:r w:rsidRPr="00A52585">
        <w:rPr>
          <w:rFonts w:hint="cs"/>
          <w:rtl/>
        </w:rPr>
        <w:t>وأما مذهب السلف والخلف بالنسبة للآيات والأحاديث المتشابهة فقد اتفق الكلّ على أن الله تعالى منزه عن صفات الحوادث</w:t>
      </w:r>
      <w:r w:rsidR="00DB731D" w:rsidRPr="00A52585">
        <w:rPr>
          <w:rFonts w:hint="cs"/>
          <w:rtl/>
        </w:rPr>
        <w:t>،</w:t>
      </w:r>
      <w:r w:rsidRPr="00A52585">
        <w:rPr>
          <w:rFonts w:hint="cs"/>
          <w:rtl/>
        </w:rPr>
        <w:t xml:space="preserve"> فليس له عز وجل مكان في العرش ولا في السماء ولا في غيرهما</w:t>
      </w:r>
      <w:r w:rsidR="00DB731D" w:rsidRPr="00A52585">
        <w:rPr>
          <w:rFonts w:hint="cs"/>
          <w:rtl/>
        </w:rPr>
        <w:t>،</w:t>
      </w:r>
      <w:r w:rsidRPr="00A52585">
        <w:rPr>
          <w:rFonts w:hint="cs"/>
          <w:rtl/>
        </w:rPr>
        <w:t xml:space="preserve"> ولا يتصف بالحلول في شيء من الحوادث ولا بالاتصال بشيء منها ولا بالتحول </w:t>
      </w:r>
      <w:proofErr w:type="spellStart"/>
      <w:r w:rsidRPr="00A52585">
        <w:rPr>
          <w:rFonts w:hint="cs"/>
          <w:rtl/>
        </w:rPr>
        <w:t>والإنتقال</w:t>
      </w:r>
      <w:proofErr w:type="spellEnd"/>
      <w:r w:rsidRPr="00A52585">
        <w:rPr>
          <w:rFonts w:hint="cs"/>
          <w:rtl/>
        </w:rPr>
        <w:t xml:space="preserve"> ونحوهما من صفات الحوادث</w:t>
      </w:r>
      <w:r w:rsidR="0002035C" w:rsidRPr="00A52585">
        <w:rPr>
          <w:rFonts w:hint="cs"/>
          <w:rtl/>
        </w:rPr>
        <w:t>)</w:t>
      </w:r>
      <w:r w:rsidRPr="00A52585">
        <w:rPr>
          <w:rFonts w:hint="cs"/>
          <w:rtl/>
        </w:rPr>
        <w:t xml:space="preserve"> انظر إتحاف الكائنات </w:t>
      </w:r>
      <w:r w:rsidR="0002035C" w:rsidRPr="00A52585">
        <w:rPr>
          <w:rFonts w:hint="cs"/>
          <w:rtl/>
        </w:rPr>
        <w:t>(</w:t>
      </w:r>
      <w:r w:rsidRPr="00A52585">
        <w:rPr>
          <w:rFonts w:hint="cs"/>
          <w:rtl/>
        </w:rPr>
        <w:t>ص 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225- وذكر الشيخ محمد الخضر الشنقيطي </w:t>
      </w:r>
      <w:r w:rsidR="0002035C" w:rsidRPr="00A52585">
        <w:rPr>
          <w:rFonts w:hint="cs"/>
          <w:rtl/>
        </w:rPr>
        <w:t>(</w:t>
      </w:r>
      <w:r w:rsidRPr="00A52585">
        <w:rPr>
          <w:rFonts w:hint="cs"/>
          <w:rtl/>
        </w:rPr>
        <w:t>1353هـ) مفتي المدينة المنورة في كتابه "</w:t>
      </w:r>
      <w:proofErr w:type="spellStart"/>
      <w:r w:rsidRPr="00A52585">
        <w:rPr>
          <w:rFonts w:hint="cs"/>
          <w:rtl/>
        </w:rPr>
        <w:t>إستحالة</w:t>
      </w:r>
      <w:proofErr w:type="spellEnd"/>
      <w:r w:rsidRPr="00A52585">
        <w:rPr>
          <w:rFonts w:hint="cs"/>
          <w:rtl/>
        </w:rPr>
        <w:t xml:space="preserve"> المعية بالذات " تنزيه الله عن المكان والجهة</w:t>
      </w:r>
      <w:r w:rsidR="00DB731D" w:rsidRPr="00A52585">
        <w:rPr>
          <w:rFonts w:hint="cs"/>
          <w:rtl/>
        </w:rPr>
        <w:t>،</w:t>
      </w:r>
      <w:r w:rsidRPr="00A52585">
        <w:rPr>
          <w:rFonts w:hint="cs"/>
          <w:rtl/>
        </w:rPr>
        <w:t xml:space="preserve"> ومما ورد فيه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تعالى ليس بجسم</w:t>
      </w:r>
      <w:r w:rsidR="00DB731D" w:rsidRPr="00A52585">
        <w:rPr>
          <w:rFonts w:hint="cs"/>
          <w:rtl/>
        </w:rPr>
        <w:t>،</w:t>
      </w:r>
      <w:r w:rsidRPr="00A52585">
        <w:rPr>
          <w:rFonts w:hint="cs"/>
          <w:rtl/>
        </w:rPr>
        <w:t xml:space="preserve"> فلا يحتاج الى مكان يستقر فيه</w:t>
      </w:r>
      <w:r w:rsidR="00DB731D" w:rsidRPr="00A52585">
        <w:rPr>
          <w:rFonts w:hint="cs"/>
          <w:rtl/>
        </w:rPr>
        <w:t>،</w:t>
      </w:r>
      <w:r w:rsidRPr="00A52585">
        <w:rPr>
          <w:rFonts w:hint="cs"/>
          <w:rtl/>
        </w:rPr>
        <w:t xml:space="preserve"> فقد كان ولا مكان</w:t>
      </w:r>
      <w:r w:rsidR="00897A24" w:rsidRPr="00A52585">
        <w:rPr>
          <w:rFonts w:hint="cs"/>
          <w:rtl/>
        </w:rPr>
        <w:t>.</w:t>
      </w:r>
      <w:r w:rsidRPr="00A52585">
        <w:rPr>
          <w:rFonts w:hint="cs"/>
          <w:rtl/>
        </w:rPr>
        <w:t>.. والبارئ</w:t>
      </w:r>
      <w:r w:rsidR="00897A24" w:rsidRPr="00A52585">
        <w:rPr>
          <w:rFonts w:hint="cs"/>
          <w:rtl/>
        </w:rPr>
        <w:t>.</w:t>
      </w:r>
      <w:r w:rsidRPr="00A52585">
        <w:rPr>
          <w:rFonts w:hint="cs"/>
          <w:rtl/>
        </w:rPr>
        <w:t>.... سبحانه لا تحويه جهة إذ كان موجودا ولا جهة</w:t>
      </w:r>
      <w:r w:rsidR="0002035C" w:rsidRPr="00A52585">
        <w:rPr>
          <w:rFonts w:hint="cs"/>
          <w:rtl/>
        </w:rPr>
        <w:t>)</w:t>
      </w:r>
      <w:r w:rsidRPr="00A52585">
        <w:rPr>
          <w:rFonts w:hint="cs"/>
          <w:rtl/>
        </w:rPr>
        <w:t xml:space="preserve"> استحالة المعية بالذات</w:t>
      </w:r>
      <w:r w:rsidR="0002035C" w:rsidRPr="00A52585">
        <w:rPr>
          <w:rFonts w:hint="cs"/>
          <w:rtl/>
        </w:rPr>
        <w:t>:</w:t>
      </w:r>
      <w:r w:rsidRPr="00A52585">
        <w:rPr>
          <w:rFonts w:hint="cs"/>
          <w:rtl/>
        </w:rPr>
        <w:t xml:space="preserve"> المبحث الثامن في النزول والصعود والعروج </w:t>
      </w:r>
      <w:r w:rsidR="0002035C" w:rsidRPr="00A52585">
        <w:rPr>
          <w:rFonts w:hint="cs"/>
          <w:rtl/>
        </w:rPr>
        <w:t>(</w:t>
      </w:r>
      <w:r w:rsidRPr="00A52585">
        <w:rPr>
          <w:rFonts w:hint="cs"/>
          <w:rtl/>
        </w:rPr>
        <w:t>ص 277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226- وقال الشيخ عبد الفتاح الزعبي الطرابلسي </w:t>
      </w:r>
      <w:r w:rsidRPr="00A52585">
        <w:rPr>
          <w:rFonts w:hint="cs"/>
          <w:rtl/>
        </w:rPr>
        <w:lastRenderedPageBreak/>
        <w:t>اللبناني (1354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كيف يحيط العقل بمن تقدس عن الكميَّة والكيفية </w:t>
      </w:r>
      <w:proofErr w:type="spellStart"/>
      <w:r w:rsidRPr="00A52585">
        <w:rPr>
          <w:rFonts w:hint="cs"/>
          <w:rtl/>
        </w:rPr>
        <w:t>والأينيَّة</w:t>
      </w:r>
      <w:proofErr w:type="spellEnd"/>
      <w:r w:rsidR="00DB731D" w:rsidRPr="00A52585">
        <w:rPr>
          <w:rFonts w:hint="cs"/>
          <w:rtl/>
        </w:rPr>
        <w:t>،</w:t>
      </w:r>
      <w:r w:rsidRPr="00A52585">
        <w:rPr>
          <w:rFonts w:hint="cs"/>
          <w:rtl/>
        </w:rPr>
        <w:t xml:space="preserve"> فنزهوا ربكم وقدسوه عن الخواطر الفكرية</w:t>
      </w:r>
      <w:r w:rsidR="0002035C" w:rsidRPr="00A52585">
        <w:rPr>
          <w:rFonts w:hint="cs"/>
          <w:rtl/>
        </w:rPr>
        <w:t>)</w:t>
      </w:r>
      <w:r w:rsidRPr="00A52585">
        <w:rPr>
          <w:rFonts w:hint="cs"/>
          <w:rtl/>
        </w:rPr>
        <w:t xml:space="preserve"> انظر المواعظ الحميدية </w:t>
      </w:r>
      <w:r w:rsidR="0002035C" w:rsidRPr="00A52585">
        <w:rPr>
          <w:rFonts w:hint="cs"/>
          <w:rtl/>
        </w:rPr>
        <w:t>(</w:t>
      </w:r>
      <w:r w:rsidRPr="00A52585">
        <w:rPr>
          <w:rFonts w:hint="cs"/>
          <w:rtl/>
        </w:rPr>
        <w:t>ص 85</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والشيخ عبد الفتاح الزعبي الطرابلسي اللبناني هذا هو قائم مقام نقيب السادة الأشراف والخطيب والمحدث في الجامع الكبير تتلمذ على الشيخ أبي المحاسن القاوقجي الطرابلسي الحنفي</w:t>
      </w:r>
      <w:r w:rsidR="00DB731D" w:rsidRPr="00A52585">
        <w:rPr>
          <w:rFonts w:hint="cs"/>
          <w:rtl/>
        </w:rPr>
        <w:t>،</w:t>
      </w:r>
      <w:r w:rsidRPr="00A52585">
        <w:rPr>
          <w:rFonts w:hint="cs"/>
          <w:rtl/>
        </w:rPr>
        <w:t xml:space="preserve"> له كتاب سماه </w:t>
      </w:r>
      <w:r w:rsidR="0002035C" w:rsidRPr="00A52585">
        <w:rPr>
          <w:rFonts w:hint="cs"/>
          <w:rtl/>
        </w:rPr>
        <w:t>(</w:t>
      </w:r>
      <w:r w:rsidRPr="00A52585">
        <w:rPr>
          <w:rFonts w:hint="cs"/>
          <w:rtl/>
        </w:rPr>
        <w:t>المواعظ الحميدية في الخطب الجُمعية</w:t>
      </w:r>
      <w:r w:rsidR="0002035C" w:rsidRPr="00A52585">
        <w:rPr>
          <w:rFonts w:hint="cs"/>
          <w:rtl/>
        </w:rPr>
        <w:t>)</w:t>
      </w:r>
      <w:r w:rsidRPr="00A52585">
        <w:rPr>
          <w:rFonts w:hint="cs"/>
          <w:rtl/>
        </w:rPr>
        <w:t xml:space="preserve"> وهو عبارة عن مجموعة خطب ألقاها على منابر المساجد يوم الجمعة</w:t>
      </w:r>
      <w:r w:rsidR="00DB731D" w:rsidRPr="00A52585">
        <w:rPr>
          <w:rFonts w:hint="cs"/>
          <w:rtl/>
        </w:rPr>
        <w:t>،</w:t>
      </w:r>
      <w:r w:rsidR="0002035C" w:rsidRPr="00A52585">
        <w:rPr>
          <w:rFonts w:hint="cs"/>
          <w:rtl/>
        </w:rPr>
        <w:t xml:space="preserve"> </w:t>
      </w:r>
      <w:r w:rsidRPr="00A52585">
        <w:rPr>
          <w:rFonts w:hint="cs"/>
          <w:rtl/>
        </w:rPr>
        <w:t>227- وقال الشيخ محمد حسنين مخلوف مفتي الديار المصرية (1355 هـ</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إن الله - منزه عن جميع النقائص</w:t>
      </w:r>
      <w:r w:rsidR="00DB731D" w:rsidRPr="00A52585">
        <w:rPr>
          <w:rFonts w:hint="cs"/>
          <w:rtl/>
        </w:rPr>
        <w:t>،</w:t>
      </w:r>
      <w:r w:rsidRPr="00A52585">
        <w:rPr>
          <w:rFonts w:hint="cs"/>
          <w:rtl/>
        </w:rPr>
        <w:t xml:space="preserve"> وسمات الحدوث</w:t>
      </w:r>
      <w:r w:rsidR="00DB731D" w:rsidRPr="00A52585">
        <w:rPr>
          <w:rFonts w:hint="cs"/>
          <w:rtl/>
        </w:rPr>
        <w:t>،</w:t>
      </w:r>
      <w:r w:rsidRPr="00A52585">
        <w:rPr>
          <w:rFonts w:hint="cs"/>
          <w:rtl/>
        </w:rPr>
        <w:t xml:space="preserve"> ومنها الزمان والمكان</w:t>
      </w:r>
      <w:r w:rsidR="00DB731D" w:rsidRPr="00A52585">
        <w:rPr>
          <w:rFonts w:hint="cs"/>
          <w:rtl/>
        </w:rPr>
        <w:t>،</w:t>
      </w:r>
      <w:r w:rsidRPr="00A52585">
        <w:rPr>
          <w:rFonts w:hint="cs"/>
          <w:rtl/>
        </w:rPr>
        <w:t xml:space="preserve"> فلا يقارنه زمان ولا </w:t>
      </w:r>
      <w:proofErr w:type="spellStart"/>
      <w:r w:rsidRPr="00A52585">
        <w:rPr>
          <w:rFonts w:hint="cs"/>
          <w:rtl/>
        </w:rPr>
        <w:t>يحويه</w:t>
      </w:r>
      <w:proofErr w:type="spellEnd"/>
      <w:r w:rsidRPr="00A52585">
        <w:rPr>
          <w:rFonts w:hint="cs"/>
          <w:rtl/>
        </w:rPr>
        <w:t xml:space="preserve"> مكان إذ هو الخالق لهما فكيف يحتاج إليهما</w:t>
      </w:r>
      <w:r w:rsidR="0002035C" w:rsidRPr="00A52585">
        <w:rPr>
          <w:rFonts w:hint="cs"/>
          <w:rtl/>
        </w:rPr>
        <w:t>)</w:t>
      </w:r>
      <w:r w:rsidRPr="00A52585">
        <w:rPr>
          <w:rFonts w:hint="cs"/>
          <w:rtl/>
        </w:rPr>
        <w:t xml:space="preserve"> مختصر شرح عقيدة أهل الاسلام (ص 12- 13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228-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تحيط به الجهات</w:t>
      </w:r>
      <w:r w:rsidR="0002035C" w:rsidRPr="00A52585">
        <w:rPr>
          <w:rFonts w:hint="cs"/>
          <w:rtl/>
        </w:rPr>
        <w:t>:</w:t>
      </w:r>
      <w:r w:rsidRPr="00A52585">
        <w:rPr>
          <w:rFonts w:hint="cs"/>
          <w:rtl/>
        </w:rPr>
        <w:t xml:space="preserve"> كقدام وخلف وفوق وتحت</w:t>
      </w:r>
      <w:r w:rsidR="00DB731D" w:rsidRPr="00A52585">
        <w:rPr>
          <w:rFonts w:hint="cs"/>
          <w:rtl/>
        </w:rPr>
        <w:t>،</w:t>
      </w:r>
      <w:r w:rsidRPr="00A52585">
        <w:rPr>
          <w:rFonts w:hint="cs"/>
          <w:rtl/>
        </w:rPr>
        <w:t xml:space="preserve"> وشمال إذ هي نسب حادثة بحدوث الأشياء</w:t>
      </w:r>
      <w:r w:rsidR="00DB731D" w:rsidRPr="00A52585">
        <w:rPr>
          <w:rFonts w:hint="cs"/>
          <w:rtl/>
        </w:rPr>
        <w:t>،</w:t>
      </w:r>
      <w:r w:rsidRPr="00A52585">
        <w:rPr>
          <w:rFonts w:hint="cs"/>
          <w:rtl/>
        </w:rPr>
        <w:t xml:space="preserve"> والله تعالى قديم أزلي</w:t>
      </w:r>
      <w:r w:rsidR="0002035C" w:rsidRPr="00A52585">
        <w:rPr>
          <w:rFonts w:hint="cs"/>
          <w:rtl/>
        </w:rPr>
        <w:t>)</w:t>
      </w:r>
      <w:r w:rsidRPr="00A52585">
        <w:rPr>
          <w:rFonts w:hint="cs"/>
          <w:rtl/>
        </w:rPr>
        <w:t xml:space="preserve"> مختصر شرح عقيدة أهل الإسلام (ص 12- 13</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ولمّا قام البرهان على تنزهه تعالى عن الحيز والمكان والجهة كسائر لوازم الحدوث</w:t>
      </w:r>
      <w:r w:rsidR="00DB731D" w:rsidRPr="00A52585">
        <w:rPr>
          <w:rFonts w:hint="cs"/>
          <w:rtl/>
        </w:rPr>
        <w:t>،</w:t>
      </w:r>
      <w:r w:rsidRPr="00A52585">
        <w:rPr>
          <w:rFonts w:hint="cs"/>
          <w:rtl/>
        </w:rPr>
        <w:t xml:space="preserve"> وجب أن يكون استواؤه على عرشه لا بمعنى الاستقرار والتمكن</w:t>
      </w:r>
      <w:r w:rsidR="00DB731D" w:rsidRPr="00A52585">
        <w:rPr>
          <w:rFonts w:hint="cs"/>
          <w:rtl/>
        </w:rPr>
        <w:t>،</w:t>
      </w:r>
      <w:r w:rsidRPr="00A52585">
        <w:rPr>
          <w:rFonts w:hint="cs"/>
          <w:rtl/>
        </w:rPr>
        <w:t xml:space="preserve"> بل بالمعنى اللائق بجلاله تعالى</w:t>
      </w:r>
      <w:r w:rsidR="0002035C" w:rsidRPr="00A52585">
        <w:rPr>
          <w:rFonts w:hint="cs"/>
          <w:rtl/>
        </w:rPr>
        <w:t>)</w:t>
      </w:r>
      <w:r w:rsidRPr="00A52585">
        <w:rPr>
          <w:rFonts w:hint="cs"/>
          <w:rtl/>
        </w:rPr>
        <w:t xml:space="preserve"> مختصر شرح عقيدة أهل الإسلام (ص 12- 13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290-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فيُرَى سبحانه لا في مكان ولا جهة ولا باتصال شعاع ولا ثبوت مسافة بين </w:t>
      </w:r>
      <w:proofErr w:type="spellStart"/>
      <w:r w:rsidRPr="00A52585">
        <w:rPr>
          <w:rFonts w:hint="cs"/>
          <w:rtl/>
        </w:rPr>
        <w:t>الرائين</w:t>
      </w:r>
      <w:proofErr w:type="spellEnd"/>
      <w:r w:rsidRPr="00A52585">
        <w:rPr>
          <w:rFonts w:hint="cs"/>
          <w:rtl/>
        </w:rPr>
        <w:t xml:space="preserve"> وبينه تعالى بل على الوجه الذي يليق بقدسيته وجلاله سبحانه</w:t>
      </w:r>
      <w:r w:rsidR="0002035C" w:rsidRPr="00A52585">
        <w:rPr>
          <w:rFonts w:hint="cs"/>
          <w:rtl/>
        </w:rPr>
        <w:t>)</w:t>
      </w:r>
      <w:r w:rsidRPr="00A52585">
        <w:rPr>
          <w:rFonts w:hint="cs"/>
          <w:rtl/>
        </w:rPr>
        <w:t xml:space="preserve"> المصدر السابق </w:t>
      </w:r>
      <w:r w:rsidR="0002035C" w:rsidRPr="00A52585">
        <w:rPr>
          <w:rFonts w:hint="cs"/>
          <w:rtl/>
        </w:rPr>
        <w:t>(</w:t>
      </w:r>
      <w:r w:rsidRPr="00A52585">
        <w:rPr>
          <w:rFonts w:hint="cs"/>
          <w:rtl/>
        </w:rPr>
        <w:t>ص 27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230- وقال الشيخ </w:t>
      </w:r>
      <w:proofErr w:type="spellStart"/>
      <w:r w:rsidRPr="00A52585">
        <w:rPr>
          <w:rFonts w:hint="cs"/>
          <w:rtl/>
        </w:rPr>
        <w:t>محمدبن</w:t>
      </w:r>
      <w:proofErr w:type="spellEnd"/>
      <w:r w:rsidRPr="00A52585">
        <w:rPr>
          <w:rFonts w:hint="cs"/>
          <w:rtl/>
        </w:rPr>
        <w:t xml:space="preserve"> إبراهيم الحسيني الطرابلسي (1362 هـ) في تفسير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وَإِذْ قُلْتُمْ يَا مُوسَى لَن نُّؤْمِنَ لَكَ حَتَّى نَرَى اللَّهَ جَهْرَةً فَأَخَذَتْكُمُ الصَّاعِقَةُ وَأَنتُمْ تَنظُرُونَ</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ظنوا أنه سبحانه وتعالى مما يشبه الأجسام وبتعلق به الرؤبة تعلقها بها - أي الأجسام - على طريق المقابلة في الجهات والأحياز</w:t>
      </w:r>
      <w:r w:rsidR="00DB731D" w:rsidRPr="00A52585">
        <w:rPr>
          <w:rFonts w:hint="cs"/>
          <w:rtl/>
        </w:rPr>
        <w:t>،</w:t>
      </w:r>
      <w:r w:rsidRPr="00A52585">
        <w:rPr>
          <w:rFonts w:hint="cs"/>
          <w:rtl/>
        </w:rPr>
        <w:t xml:space="preserve"> ولا ريب في استحالته</w:t>
      </w:r>
      <w:r w:rsidR="0002035C" w:rsidRPr="00A52585">
        <w:rPr>
          <w:rFonts w:hint="cs"/>
          <w:rtl/>
        </w:rPr>
        <w:t>)</w:t>
      </w:r>
      <w:r w:rsidRPr="00A52585">
        <w:rPr>
          <w:rFonts w:hint="cs"/>
          <w:rtl/>
        </w:rPr>
        <w:t xml:space="preserve"> انظر تفسير القرءان الكريم. (ص 101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231- وقال الشيخ يوسف </w:t>
      </w:r>
      <w:proofErr w:type="spellStart"/>
      <w:r w:rsidRPr="00A52585">
        <w:rPr>
          <w:rFonts w:hint="cs"/>
          <w:rtl/>
        </w:rPr>
        <w:t>الدَّجوي</w:t>
      </w:r>
      <w:proofErr w:type="spellEnd"/>
      <w:r w:rsidRPr="00A52585">
        <w:rPr>
          <w:rFonts w:hint="cs"/>
          <w:rtl/>
        </w:rPr>
        <w:t xml:space="preserve"> المصري (1365 هـ) في مجلة الأزهر التي تصدرها مشيخة الأزهر بمصر في تفسير قول الله تبارك وتعالى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سَبِّحِ اسْمَ رَبِّكَ الْأَعْلَى</w:t>
      </w:r>
      <w:r w:rsidR="0002035C" w:rsidRPr="00A52585">
        <w:rPr>
          <w:rFonts w:hint="cs"/>
          <w:rtl/>
        </w:rPr>
        <w:t>}</w:t>
      </w:r>
      <w:r w:rsidRPr="00A52585">
        <w:rPr>
          <w:rFonts w:hint="cs"/>
          <w:rtl/>
        </w:rPr>
        <w:t xml:space="preserve">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والأعلى صفة الرب</w:t>
      </w:r>
      <w:r w:rsidR="00DB731D" w:rsidRPr="00A52585">
        <w:rPr>
          <w:rFonts w:hint="cs"/>
          <w:rtl/>
        </w:rPr>
        <w:t>،</w:t>
      </w:r>
      <w:r w:rsidRPr="00A52585">
        <w:rPr>
          <w:rFonts w:hint="cs"/>
          <w:rtl/>
        </w:rPr>
        <w:t xml:space="preserve"> والمراد بالعلو العلو بالقهر والاقتدار</w:t>
      </w:r>
      <w:r w:rsidR="00DB731D" w:rsidRPr="00A52585">
        <w:rPr>
          <w:rFonts w:hint="cs"/>
          <w:rtl/>
        </w:rPr>
        <w:t>،</w:t>
      </w:r>
      <w:r w:rsidRPr="00A52585">
        <w:rPr>
          <w:rFonts w:hint="cs"/>
          <w:rtl/>
        </w:rPr>
        <w:t xml:space="preserve"> لا بالمكان والجهة</w:t>
      </w:r>
      <w:r w:rsidR="00DB731D" w:rsidRPr="00A52585">
        <w:rPr>
          <w:rFonts w:hint="cs"/>
          <w:rtl/>
        </w:rPr>
        <w:t>،</w:t>
      </w:r>
      <w:r w:rsidRPr="00A52585">
        <w:rPr>
          <w:rFonts w:hint="cs"/>
          <w:rtl/>
        </w:rPr>
        <w:t xml:space="preserve"> </w:t>
      </w:r>
      <w:proofErr w:type="spellStart"/>
      <w:r w:rsidRPr="00A52585">
        <w:rPr>
          <w:rFonts w:hint="cs"/>
          <w:rtl/>
        </w:rPr>
        <w:t>لتنرهه</w:t>
      </w:r>
      <w:proofErr w:type="spellEnd"/>
      <w:r w:rsidRPr="00A52585">
        <w:rPr>
          <w:rFonts w:hint="cs"/>
          <w:rtl/>
        </w:rPr>
        <w:t xml:space="preserve"> عن ذلك</w:t>
      </w:r>
      <w:r w:rsidR="0002035C" w:rsidRPr="00A52585">
        <w:rPr>
          <w:rFonts w:hint="cs"/>
          <w:rtl/>
        </w:rPr>
        <w:t>)</w:t>
      </w:r>
      <w:r w:rsidRPr="00A52585">
        <w:rPr>
          <w:rFonts w:hint="cs"/>
          <w:rtl/>
        </w:rPr>
        <w:t xml:space="preserve"> انظر مجلة الأزهر </w:t>
      </w:r>
      <w:r w:rsidR="0002035C" w:rsidRPr="00A52585">
        <w:rPr>
          <w:rFonts w:hint="cs"/>
          <w:rtl/>
        </w:rPr>
        <w:t>(</w:t>
      </w:r>
      <w:r w:rsidRPr="00A52585">
        <w:rPr>
          <w:rFonts w:hint="cs"/>
          <w:rtl/>
        </w:rPr>
        <w:t>تصدرها مشيخة الأزهر بمصر</w:t>
      </w:r>
      <w:r w:rsidR="0002035C" w:rsidRPr="00A52585">
        <w:rPr>
          <w:rFonts w:hint="cs"/>
          <w:rtl/>
        </w:rPr>
        <w:t>)</w:t>
      </w:r>
      <w:r w:rsidR="00DB731D" w:rsidRPr="00A52585">
        <w:rPr>
          <w:rFonts w:hint="cs"/>
          <w:rtl/>
        </w:rPr>
        <w:t>،</w:t>
      </w:r>
      <w:r w:rsidRPr="00A52585">
        <w:rPr>
          <w:rFonts w:hint="cs"/>
          <w:rtl/>
        </w:rPr>
        <w:t xml:space="preserve"> المجلد التاسع</w:t>
      </w:r>
      <w:r w:rsidR="00DB731D" w:rsidRPr="00A52585">
        <w:rPr>
          <w:rFonts w:hint="cs"/>
          <w:rtl/>
        </w:rPr>
        <w:t>،</w:t>
      </w:r>
      <w:r w:rsidRPr="00A52585">
        <w:rPr>
          <w:rFonts w:hint="cs"/>
          <w:rtl/>
        </w:rPr>
        <w:t xml:space="preserve"> الجزء الأول - المحرم سنة 1357 </w:t>
      </w:r>
      <w:r w:rsidR="0002035C" w:rsidRPr="00A52585">
        <w:rPr>
          <w:rFonts w:hint="cs"/>
          <w:rtl/>
        </w:rPr>
        <w:t>(</w:t>
      </w:r>
      <w:r w:rsidRPr="00A52585">
        <w:rPr>
          <w:rFonts w:hint="cs"/>
          <w:rtl/>
        </w:rPr>
        <w:t>ص 16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232-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واعلم أن السلف قائلون باستحالة العلو المكاني عليه تعالى</w:t>
      </w:r>
      <w:r w:rsidR="00DB731D" w:rsidRPr="00A52585">
        <w:rPr>
          <w:rFonts w:hint="cs"/>
          <w:rtl/>
        </w:rPr>
        <w:t>،</w:t>
      </w:r>
      <w:r w:rsidRPr="00A52585">
        <w:rPr>
          <w:rFonts w:hint="cs"/>
          <w:rtl/>
        </w:rPr>
        <w:t xml:space="preserve"> خلافا لبعض الجهلة الذين يخبطون خبط عشواء في هذا المقام</w:t>
      </w:r>
      <w:r w:rsidR="00DB731D" w:rsidRPr="00A52585">
        <w:rPr>
          <w:rFonts w:hint="cs"/>
          <w:rtl/>
        </w:rPr>
        <w:t>،</w:t>
      </w:r>
      <w:r w:rsidRPr="00A52585">
        <w:rPr>
          <w:rFonts w:hint="cs"/>
          <w:rtl/>
        </w:rPr>
        <w:t xml:space="preserve"> فإن السلف والخلف متفقان على التنزيه</w:t>
      </w:r>
      <w:r w:rsidR="0002035C" w:rsidRPr="00A52585">
        <w:rPr>
          <w:rFonts w:hint="cs"/>
          <w:rtl/>
        </w:rPr>
        <w:t>)</w:t>
      </w:r>
      <w:r w:rsidRPr="00A52585">
        <w:rPr>
          <w:rFonts w:hint="cs"/>
          <w:rtl/>
        </w:rPr>
        <w:t xml:space="preserve"> المصدر السابق </w:t>
      </w:r>
      <w:r w:rsidR="0002035C" w:rsidRPr="00A52585">
        <w:rPr>
          <w:rFonts w:hint="cs"/>
          <w:rtl/>
        </w:rPr>
        <w:t>(</w:t>
      </w:r>
      <w:r w:rsidRPr="00A52585">
        <w:rPr>
          <w:rFonts w:hint="cs"/>
          <w:rtl/>
        </w:rPr>
        <w:t>ص 17</w:t>
      </w:r>
      <w:r w:rsidR="0002035C" w:rsidRPr="00A52585">
        <w:rPr>
          <w:rFonts w:hint="cs"/>
          <w:rtl/>
        </w:rPr>
        <w:t>)</w:t>
      </w:r>
      <w:r w:rsidR="00DB731D" w:rsidRPr="00A52585">
        <w:rPr>
          <w:rFonts w:hint="cs"/>
          <w:rtl/>
        </w:rPr>
        <w:t>،</w:t>
      </w:r>
      <w:r w:rsidRPr="00A52585">
        <w:rPr>
          <w:rFonts w:hint="cs"/>
          <w:rtl/>
        </w:rPr>
        <w:t xml:space="preserve"> </w:t>
      </w:r>
      <w:proofErr w:type="spellStart"/>
      <w:r w:rsidRPr="00A52585">
        <w:rPr>
          <w:rFonts w:hint="cs"/>
          <w:rtl/>
        </w:rPr>
        <w:t>والدجوي</w:t>
      </w:r>
      <w:proofErr w:type="spellEnd"/>
      <w:r w:rsidRPr="00A52585">
        <w:rPr>
          <w:rFonts w:hint="cs"/>
          <w:rtl/>
        </w:rPr>
        <w:t xml:space="preserve"> أحد أعضاء كبار العلماء في الأزهر بمصر</w:t>
      </w:r>
      <w:r w:rsidR="00DB731D" w:rsidRPr="00A52585">
        <w:rPr>
          <w:rFonts w:hint="cs"/>
          <w:rtl/>
        </w:rPr>
        <w:t>،</w:t>
      </w:r>
      <w:r w:rsidRPr="00A52585">
        <w:rPr>
          <w:rFonts w:hint="cs"/>
          <w:rtl/>
        </w:rPr>
        <w:t xml:space="preserve"> وانظر مقالة له بعنوان "تنزيه الله عن المكان والجهة</w:t>
      </w:r>
      <w:r w:rsidR="00897A24" w:rsidRPr="00A52585">
        <w:rPr>
          <w:rFonts w:hint="cs"/>
          <w:rtl/>
        </w:rPr>
        <w:t>.</w:t>
      </w:r>
      <w:r w:rsidRPr="00A52585">
        <w:rPr>
          <w:rFonts w:hint="cs"/>
          <w:rtl/>
        </w:rPr>
        <w:t xml:space="preserve"> انظر </w:t>
      </w:r>
      <w:r w:rsidR="0002035C" w:rsidRPr="00A52585">
        <w:rPr>
          <w:rFonts w:hint="cs"/>
          <w:rtl/>
        </w:rPr>
        <w:t>{</w:t>
      </w:r>
      <w:r w:rsidRPr="00A52585">
        <w:rPr>
          <w:rFonts w:hint="cs"/>
          <w:rtl/>
        </w:rPr>
        <w:t xml:space="preserve">مقالات وفتاوى </w:t>
      </w:r>
      <w:r w:rsidRPr="00A52585">
        <w:rPr>
          <w:rFonts w:hint="cs"/>
          <w:rtl/>
        </w:rPr>
        <w:lastRenderedPageBreak/>
        <w:t>الدجوى (183</w:t>
      </w:r>
      <w:r w:rsidR="0002035C" w:rsidRPr="00A52585">
        <w:rPr>
          <w:rFonts w:hint="cs"/>
          <w:rtl/>
        </w:rPr>
        <w:t>:</w:t>
      </w:r>
      <w:r w:rsidRPr="00A52585">
        <w:rPr>
          <w:rFonts w:hint="cs"/>
          <w:rtl/>
        </w:rPr>
        <w:t xml:space="preserve"> - 194و201--211)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233- وقال الشيخ محمد عبد العظيم الزرقاني (1367 هـ) مدرس علوم القرءان والحديث في كلية أصول الدين في جامعة الأزهر بمصر ما نصه</w:t>
      </w:r>
      <w:r w:rsidR="0002035C" w:rsidRPr="00A52585">
        <w:rPr>
          <w:rFonts w:hint="cs"/>
          <w:rtl/>
        </w:rPr>
        <w:t>: (</w:t>
      </w:r>
      <w:r w:rsidRPr="00A52585">
        <w:rPr>
          <w:rFonts w:hint="cs"/>
          <w:rtl/>
        </w:rPr>
        <w:t>الأدلة القاطعة تنزه الله عن أن يشبه خلقه أو يحتاج إلى شيء منه</w:t>
      </w:r>
      <w:r w:rsidR="00DB731D" w:rsidRPr="00A52585">
        <w:rPr>
          <w:rFonts w:hint="cs"/>
          <w:rtl/>
        </w:rPr>
        <w:t>،</w:t>
      </w:r>
      <w:r w:rsidRPr="00A52585">
        <w:rPr>
          <w:rFonts w:hint="cs"/>
          <w:rtl/>
        </w:rPr>
        <w:t xml:space="preserve"> سواء أكان مكانا يحل فيه أم غيره</w:t>
      </w:r>
      <w:r w:rsidR="0002035C" w:rsidRPr="00A52585">
        <w:rPr>
          <w:rFonts w:hint="cs"/>
          <w:rtl/>
        </w:rPr>
        <w:t>)</w:t>
      </w:r>
      <w:r w:rsidRPr="00A52585">
        <w:rPr>
          <w:rFonts w:hint="cs"/>
          <w:rtl/>
        </w:rPr>
        <w:t xml:space="preserve"> انظر مناهل العرفان في علوم القرءان (2</w:t>
      </w:r>
      <w:r w:rsidR="0002035C" w:rsidRPr="00A52585">
        <w:rPr>
          <w:rFonts w:hint="cs"/>
          <w:rtl/>
        </w:rPr>
        <w:t xml:space="preserve">: </w:t>
      </w:r>
      <w:r w:rsidRPr="00A52585">
        <w:rPr>
          <w:rFonts w:hint="cs"/>
          <w:rtl/>
        </w:rPr>
        <w:t>186</w:t>
      </w:r>
      <w:r w:rsidR="0002035C" w:rsidRPr="00A52585">
        <w:rPr>
          <w:rFonts w:hint="cs"/>
          <w:rtl/>
        </w:rPr>
        <w:t>)</w:t>
      </w:r>
      <w:r w:rsidR="00DB731D" w:rsidRPr="00A52585">
        <w:rPr>
          <w:rFonts w:hint="cs"/>
          <w:rtl/>
        </w:rPr>
        <w:t>،</w:t>
      </w:r>
      <w:r w:rsidRPr="00A52585">
        <w:rPr>
          <w:rFonts w:hint="cs"/>
          <w:rtl/>
        </w:rPr>
        <w:t xml:space="preserve"> وكُتب على غلاف الكتاب</w:t>
      </w:r>
      <w:r w:rsidR="0002035C" w:rsidRPr="00A52585">
        <w:rPr>
          <w:rFonts w:hint="cs"/>
          <w:rtl/>
        </w:rPr>
        <w:t>:</w:t>
      </w:r>
      <w:r w:rsidRPr="00A52585">
        <w:rPr>
          <w:rFonts w:hint="cs"/>
          <w:rtl/>
        </w:rPr>
        <w:t xml:space="preserve"> (طبق ما قرره مجلس الأزهر الأعلى في دراسة تخصص الكليات الأزهرية</w:t>
      </w:r>
      <w:r w:rsidR="0002035C" w:rsidRPr="00A52585">
        <w:rPr>
          <w:rFonts w:hint="cs"/>
          <w:rtl/>
        </w:rPr>
        <w:t>)</w:t>
      </w:r>
      <w:r w:rsidR="00897A24" w:rsidRPr="00A52585">
        <w:rPr>
          <w:rFonts w:hint="cs"/>
          <w:rtl/>
        </w:rPr>
        <w:t>.</w:t>
      </w:r>
      <w:r w:rsidRPr="00A52585">
        <w:rPr>
          <w:rFonts w:hint="cs"/>
          <w:rtl/>
        </w:rPr>
        <w:t xml:space="preserve"> وهذا يعني أن الأزهر بمصر يعلم المسلمين تنزيه الله عن المكان خلاف ما عليه أدعياء </w:t>
      </w:r>
      <w:proofErr w:type="gramStart"/>
      <w:r w:rsidRPr="00A52585">
        <w:rPr>
          <w:rFonts w:hint="cs"/>
          <w:rtl/>
        </w:rPr>
        <w:t>السلفية</w:t>
      </w:r>
      <w:r w:rsidR="00F95886" w:rsidRPr="00A52585">
        <w:rPr>
          <w:rFonts w:hint="cs"/>
          <w:rtl/>
        </w:rPr>
        <w:t>!</w:t>
      </w:r>
      <w:r w:rsidRPr="00A52585">
        <w:rPr>
          <w:rFonts w:hint="cs"/>
          <w:rtl/>
        </w:rPr>
        <w:t>!</w:t>
      </w:r>
      <w:r w:rsidR="00897A24" w:rsidRPr="00A52585">
        <w:rPr>
          <w:rFonts w:hint="cs"/>
          <w:rtl/>
        </w:rPr>
        <w:t>.</w:t>
      </w:r>
      <w:proofErr w:type="gramEnd"/>
      <w:r w:rsidR="0002035C" w:rsidRPr="00A52585">
        <w:rPr>
          <w:rFonts w:hint="cs"/>
          <w:rtl/>
        </w:rPr>
        <w:t xml:space="preserve"> </w:t>
      </w:r>
      <w:r w:rsidRPr="00A52585">
        <w:rPr>
          <w:rFonts w:hint="cs"/>
          <w:rtl/>
        </w:rPr>
        <w:t>234-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قبل أن يخَلق - الله - الزمان والمكان و قبل أن تكون هناك جهات ست لم يكن له جهة ولا مكان</w:t>
      </w:r>
      <w:r w:rsidR="00DB731D" w:rsidRPr="00A52585">
        <w:rPr>
          <w:rFonts w:hint="cs"/>
          <w:rtl/>
        </w:rPr>
        <w:t>،</w:t>
      </w:r>
      <w:r w:rsidRPr="00A52585">
        <w:rPr>
          <w:rFonts w:hint="cs"/>
          <w:rtl/>
        </w:rPr>
        <w:t xml:space="preserve"> وهو الآن على ما عليه كان، لا جهة له ولا مكان</w:t>
      </w:r>
      <w:r w:rsidR="0002035C" w:rsidRPr="00A52585">
        <w:rPr>
          <w:rFonts w:hint="cs"/>
          <w:rtl/>
        </w:rPr>
        <w:t>)</w:t>
      </w:r>
      <w:r w:rsidRPr="00A52585">
        <w:rPr>
          <w:rFonts w:hint="cs"/>
          <w:rtl/>
        </w:rPr>
        <w:t xml:space="preserve"> مناهل العرفان (2</w:t>
      </w:r>
      <w:r w:rsidR="0002035C" w:rsidRPr="00A52585">
        <w:rPr>
          <w:rFonts w:hint="cs"/>
          <w:rtl/>
        </w:rPr>
        <w:t xml:space="preserve">: </w:t>
      </w:r>
      <w:r w:rsidRPr="00A52585">
        <w:rPr>
          <w:rFonts w:hint="cs"/>
          <w:rtl/>
        </w:rPr>
        <w:t>190</w:t>
      </w:r>
      <w:r w:rsidR="0002035C" w:rsidRPr="00A52585">
        <w:rPr>
          <w:rFonts w:hint="cs"/>
          <w:rtl/>
        </w:rPr>
        <w:t>)</w:t>
      </w:r>
      <w:r w:rsidR="00DB731D" w:rsidRPr="00A52585">
        <w:rPr>
          <w:rFonts w:hint="cs"/>
          <w:rtl/>
        </w:rPr>
        <w:t>،</w:t>
      </w:r>
      <w:r w:rsidRPr="00A52585">
        <w:rPr>
          <w:rFonts w:hint="cs"/>
          <w:rtl/>
        </w:rPr>
        <w:t xml:space="preserve"> ثم ردّ المؤلف على المدَّعين بأنهم السلفية وبين فساد اعتقادهم وزيَّف شبههم المتهافتة</w:t>
      </w:r>
      <w:r w:rsidR="00DB731D" w:rsidRPr="00A52585">
        <w:rPr>
          <w:rFonts w:hint="cs"/>
          <w:rtl/>
        </w:rPr>
        <w:t>،</w:t>
      </w:r>
      <w:r w:rsidR="0002035C" w:rsidRPr="00A52585">
        <w:rPr>
          <w:rFonts w:hint="cs"/>
          <w:rtl/>
        </w:rPr>
        <w:t xml:space="preserve"> </w:t>
      </w:r>
      <w:r w:rsidRPr="00A52585">
        <w:rPr>
          <w:rFonts w:hint="cs"/>
          <w:rtl/>
        </w:rPr>
        <w:t>235- وقال الشيخ مصطفى وهيب البارودي الطرابلسي (1372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تعالى منزه الذات عن الاختصاص بالأمكنة والجهات</w:t>
      </w:r>
      <w:r w:rsidR="00DB731D" w:rsidRPr="00A52585">
        <w:rPr>
          <w:rFonts w:hint="cs"/>
          <w:rtl/>
        </w:rPr>
        <w:t>،</w:t>
      </w:r>
      <w:r w:rsidRPr="00A52585">
        <w:rPr>
          <w:rFonts w:hint="cs"/>
          <w:rtl/>
        </w:rPr>
        <w:t xml:space="preserve"> وهذا أصل من أصول العقائد الإيمانية</w:t>
      </w:r>
      <w:r w:rsidR="00DB731D" w:rsidRPr="00A52585">
        <w:rPr>
          <w:rFonts w:hint="cs"/>
          <w:rtl/>
        </w:rPr>
        <w:t>،</w:t>
      </w:r>
      <w:r w:rsidRPr="00A52585">
        <w:rPr>
          <w:rFonts w:hint="cs"/>
          <w:rtl/>
        </w:rPr>
        <w:t xml:space="preserve"> لأنه لو احتاج إلى المكان لكان حادثا</w:t>
      </w:r>
      <w:r w:rsidR="00DB731D" w:rsidRPr="00A52585">
        <w:rPr>
          <w:rFonts w:hint="cs"/>
          <w:rtl/>
        </w:rPr>
        <w:t>،</w:t>
      </w:r>
      <w:r w:rsidRPr="00A52585">
        <w:rPr>
          <w:rFonts w:hint="cs"/>
          <w:rtl/>
        </w:rPr>
        <w:t xml:space="preserve"> وقد قام الدليل على وجوب القِدَم - لله - واستحالة العدم - عليه - ولأن هذه الجهات هو الذي خلقها</w:t>
      </w:r>
      <w:r w:rsidR="0002035C" w:rsidRPr="00A52585">
        <w:rPr>
          <w:rFonts w:hint="cs"/>
          <w:rtl/>
        </w:rPr>
        <w:t>)</w:t>
      </w:r>
      <w:r w:rsidRPr="00A52585">
        <w:rPr>
          <w:rFonts w:hint="cs"/>
          <w:rtl/>
        </w:rPr>
        <w:t xml:space="preserve"> أنظر كتابه الفوز الأبدي في الهدي </w:t>
      </w:r>
      <w:proofErr w:type="spellStart"/>
      <w:r w:rsidRPr="00A52585">
        <w:rPr>
          <w:rFonts w:hint="cs"/>
          <w:rtl/>
        </w:rPr>
        <w:t>المحمدى</w:t>
      </w:r>
      <w:proofErr w:type="spellEnd"/>
      <w:r w:rsidRPr="00A52585">
        <w:rPr>
          <w:rFonts w:hint="cs"/>
          <w:rtl/>
        </w:rPr>
        <w:t xml:space="preserve"> </w:t>
      </w:r>
      <w:r w:rsidR="0002035C" w:rsidRPr="00A52585">
        <w:rPr>
          <w:rFonts w:hint="cs"/>
          <w:rtl/>
        </w:rPr>
        <w:t>(</w:t>
      </w:r>
      <w:r w:rsidRPr="00A52585">
        <w:rPr>
          <w:rFonts w:hint="cs"/>
          <w:rtl/>
        </w:rPr>
        <w:t>ص 73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236- وقال الشيخ سلامة القضاعي </w:t>
      </w:r>
      <w:proofErr w:type="spellStart"/>
      <w:r w:rsidRPr="00A52585">
        <w:rPr>
          <w:rFonts w:hint="cs"/>
          <w:rtl/>
        </w:rPr>
        <w:t>العزامي</w:t>
      </w:r>
      <w:proofErr w:type="spellEnd"/>
      <w:r w:rsidRPr="00A52585">
        <w:rPr>
          <w:rFonts w:hint="cs"/>
          <w:rtl/>
        </w:rPr>
        <w:t xml:space="preserve"> الشافعي (1376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أجمع أهل الحق من علماء السلف والخلف على تنزه الحق - سبحانه - عن الجهة وتقدسه عن المكان</w:t>
      </w:r>
      <w:r w:rsidR="0002035C" w:rsidRPr="00A52585">
        <w:rPr>
          <w:rFonts w:hint="cs"/>
          <w:rtl/>
        </w:rPr>
        <w:t>)</w:t>
      </w:r>
      <w:r w:rsidRPr="00A52585">
        <w:rPr>
          <w:rFonts w:hint="cs"/>
          <w:rtl/>
        </w:rPr>
        <w:t xml:space="preserve"> فرقان القرءان </w:t>
      </w:r>
      <w:r w:rsidR="0002035C" w:rsidRPr="00A52585">
        <w:rPr>
          <w:rFonts w:hint="cs"/>
          <w:rtl/>
        </w:rPr>
        <w:t>(</w:t>
      </w:r>
      <w:r w:rsidRPr="00A52585">
        <w:rPr>
          <w:rFonts w:hint="cs"/>
          <w:rtl/>
        </w:rPr>
        <w:t>مطبوع مع كتاب الأسماء والصفات للبيهقي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ص 93</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237- وقال الحافظ المحدث الشيخ أحمد بن محمد بن الصديق الغُمَاري المغربي (1380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فإن قيل</w:t>
      </w:r>
      <w:r w:rsidR="0002035C" w:rsidRPr="00A52585">
        <w:rPr>
          <w:rFonts w:hint="cs"/>
          <w:rtl/>
        </w:rPr>
        <w:t>:</w:t>
      </w:r>
      <w:r w:rsidRPr="00A52585">
        <w:rPr>
          <w:rFonts w:hint="cs"/>
          <w:rtl/>
        </w:rPr>
        <w:t xml:space="preserve"> إذا كان الحقُّ سبحانه ليس في جهة</w:t>
      </w:r>
      <w:r w:rsidR="00DB731D" w:rsidRPr="00A52585">
        <w:rPr>
          <w:rFonts w:hint="cs"/>
          <w:rtl/>
        </w:rPr>
        <w:t>،</w:t>
      </w:r>
      <w:r w:rsidRPr="00A52585">
        <w:rPr>
          <w:rFonts w:hint="cs"/>
          <w:rtl/>
        </w:rPr>
        <w:t xml:space="preserve"> فما معنى رفع اليدين بالدعاء نحو السماء</w:t>
      </w:r>
      <w:r w:rsidR="00F95886" w:rsidRPr="00A52585">
        <w:rPr>
          <w:rFonts w:hint="cs"/>
          <w:rtl/>
        </w:rPr>
        <w:t>؟</w:t>
      </w:r>
      <w:r w:rsidRPr="00A52585">
        <w:rPr>
          <w:rFonts w:hint="cs"/>
          <w:rtl/>
        </w:rPr>
        <w:t xml:space="preserve"> فالجوابُ كما نقله في "إتحاف السادة المتقين " - إتحاف السادة المتقين </w:t>
      </w:r>
      <w:r w:rsidR="0002035C" w:rsidRPr="00A52585">
        <w:rPr>
          <w:rFonts w:hint="cs"/>
          <w:rtl/>
        </w:rPr>
        <w:t>(</w:t>
      </w:r>
      <w:r w:rsidRPr="00A52585">
        <w:rPr>
          <w:rFonts w:hint="cs"/>
          <w:rtl/>
        </w:rPr>
        <w:t>5</w:t>
      </w:r>
      <w:r w:rsidR="0002035C" w:rsidRPr="00A52585">
        <w:rPr>
          <w:rFonts w:hint="cs"/>
          <w:rtl/>
        </w:rPr>
        <w:t xml:space="preserve">: </w:t>
      </w:r>
      <w:r w:rsidRPr="00A52585">
        <w:rPr>
          <w:rFonts w:hint="cs"/>
          <w:rtl/>
        </w:rPr>
        <w:t>34 - 35</w:t>
      </w:r>
      <w:r w:rsidR="0002035C" w:rsidRPr="00A52585">
        <w:rPr>
          <w:rFonts w:hint="cs"/>
          <w:rtl/>
        </w:rPr>
        <w:t>)</w:t>
      </w:r>
      <w:r w:rsidRPr="00A52585">
        <w:rPr>
          <w:rFonts w:hint="cs"/>
          <w:rtl/>
        </w:rPr>
        <w:t xml:space="preserve"> - عن </w:t>
      </w:r>
      <w:proofErr w:type="spellStart"/>
      <w:r w:rsidRPr="00A52585">
        <w:rPr>
          <w:rFonts w:hint="cs"/>
          <w:rtl/>
        </w:rPr>
        <w:t>الطُّرْطُوشي</w:t>
      </w:r>
      <w:proofErr w:type="spellEnd"/>
      <w:r w:rsidRPr="00A52585">
        <w:rPr>
          <w:rFonts w:hint="cs"/>
          <w:rtl/>
        </w:rPr>
        <w:t xml:space="preserve"> - المالكي - من وجهين</w:t>
      </w:r>
      <w:r w:rsidR="0002035C" w:rsidRPr="00A52585">
        <w:rPr>
          <w:rFonts w:hint="cs"/>
          <w:rtl/>
        </w:rPr>
        <w:t>:</w:t>
      </w:r>
      <w:r w:rsidRPr="00A52585">
        <w:rPr>
          <w:rFonts w:hint="cs"/>
          <w:rtl/>
        </w:rPr>
        <w:t xml:space="preserve"> احدُهما</w:t>
      </w:r>
      <w:r w:rsidR="0002035C" w:rsidRPr="00A52585">
        <w:rPr>
          <w:rFonts w:hint="cs"/>
          <w:rtl/>
        </w:rPr>
        <w:t>:</w:t>
      </w:r>
      <w:r w:rsidRPr="00A52585">
        <w:rPr>
          <w:rFonts w:hint="cs"/>
          <w:rtl/>
        </w:rPr>
        <w:t xml:space="preserve"> أنه محل التعبُّد</w:t>
      </w:r>
      <w:r w:rsidR="00DB731D" w:rsidRPr="00A52585">
        <w:rPr>
          <w:rFonts w:hint="cs"/>
          <w:rtl/>
        </w:rPr>
        <w:t>،</w:t>
      </w:r>
      <w:r w:rsidRPr="00A52585">
        <w:rPr>
          <w:rFonts w:hint="cs"/>
          <w:rtl/>
        </w:rPr>
        <w:t xml:space="preserve"> كاستقبالِ الكعبة في الصلاة</w:t>
      </w:r>
      <w:r w:rsidR="00DB731D" w:rsidRPr="00A52585">
        <w:rPr>
          <w:rFonts w:hint="cs"/>
          <w:rtl/>
        </w:rPr>
        <w:t>،</w:t>
      </w:r>
      <w:r w:rsidRPr="00A52585">
        <w:rPr>
          <w:rFonts w:hint="cs"/>
          <w:rtl/>
        </w:rPr>
        <w:t xml:space="preserve"> وإلصاق الجبهة بالأرض في السجود</w:t>
      </w:r>
      <w:r w:rsidR="00DB731D" w:rsidRPr="00A52585">
        <w:rPr>
          <w:rFonts w:hint="cs"/>
          <w:rtl/>
        </w:rPr>
        <w:t>،</w:t>
      </w:r>
      <w:r w:rsidRPr="00A52585">
        <w:rPr>
          <w:rFonts w:hint="cs"/>
          <w:rtl/>
        </w:rPr>
        <w:t xml:space="preserve"> مع تنزُّهه سبحانه عن محل البيت ومحل السجود</w:t>
      </w:r>
      <w:r w:rsidR="00DB731D" w:rsidRPr="00A52585">
        <w:rPr>
          <w:rFonts w:hint="cs"/>
          <w:rtl/>
        </w:rPr>
        <w:t>،</w:t>
      </w:r>
      <w:r w:rsidRPr="00A52585">
        <w:rPr>
          <w:rFonts w:hint="cs"/>
          <w:rtl/>
        </w:rPr>
        <w:t xml:space="preserve"> فكأنَّ السماء قبلةُ الدعاء</w:t>
      </w:r>
      <w:r w:rsidR="00DB731D" w:rsidRPr="00A52585">
        <w:rPr>
          <w:rFonts w:hint="cs"/>
          <w:rtl/>
        </w:rPr>
        <w:t>،</w:t>
      </w:r>
      <w:r w:rsidR="0002035C" w:rsidRPr="00A52585">
        <w:rPr>
          <w:rFonts w:hint="cs"/>
          <w:rtl/>
        </w:rPr>
        <w:t xml:space="preserve"> </w:t>
      </w:r>
      <w:r w:rsidRPr="00A52585">
        <w:rPr>
          <w:rFonts w:hint="cs"/>
          <w:rtl/>
        </w:rPr>
        <w:t>وثانيهما</w:t>
      </w:r>
      <w:r w:rsidR="0002035C" w:rsidRPr="00A52585">
        <w:rPr>
          <w:rFonts w:hint="cs"/>
          <w:rtl/>
        </w:rPr>
        <w:t>:</w:t>
      </w:r>
      <w:r w:rsidRPr="00A52585">
        <w:rPr>
          <w:rFonts w:hint="cs"/>
          <w:rtl/>
        </w:rPr>
        <w:t xml:space="preserve"> أنها لما كانَتْ مهبط الرزقِ والوحي وموضعَ الرحمةِ والبركةِ</w:t>
      </w:r>
      <w:r w:rsidR="00DB731D" w:rsidRPr="00A52585">
        <w:rPr>
          <w:rFonts w:hint="cs"/>
          <w:rtl/>
        </w:rPr>
        <w:t>،</w:t>
      </w:r>
      <w:r w:rsidRPr="00A52585">
        <w:rPr>
          <w:rFonts w:hint="cs"/>
          <w:rtl/>
        </w:rPr>
        <w:t xml:space="preserve"> على معنى أن المطرَ ينزِلُ منها إلى الأرضِ فيخرج نباتا</w:t>
      </w:r>
      <w:r w:rsidR="00DB731D" w:rsidRPr="00A52585">
        <w:rPr>
          <w:rFonts w:hint="cs"/>
          <w:rtl/>
        </w:rPr>
        <w:t>،</w:t>
      </w:r>
      <w:r w:rsidRPr="00A52585">
        <w:rPr>
          <w:rFonts w:hint="cs"/>
          <w:rtl/>
        </w:rPr>
        <w:t xml:space="preserve"> وهي مَسكَنُ الملاء الأعلى</w:t>
      </w:r>
      <w:r w:rsidR="00DB731D" w:rsidRPr="00A52585">
        <w:rPr>
          <w:rFonts w:hint="cs"/>
          <w:rtl/>
        </w:rPr>
        <w:t>،</w:t>
      </w:r>
      <w:r w:rsidRPr="00A52585">
        <w:rPr>
          <w:rFonts w:hint="cs"/>
          <w:rtl/>
        </w:rPr>
        <w:t xml:space="preserve"> فإذا قَضَى اللهُ أمرا ألقاه إليهم</w:t>
      </w:r>
      <w:r w:rsidR="00DB731D" w:rsidRPr="00A52585">
        <w:rPr>
          <w:rFonts w:hint="cs"/>
          <w:rtl/>
        </w:rPr>
        <w:t>،</w:t>
      </w:r>
      <w:r w:rsidRPr="00A52585">
        <w:rPr>
          <w:rFonts w:hint="cs"/>
          <w:rtl/>
        </w:rPr>
        <w:t xml:space="preserve"> فيُلقونه إلى أهلِ الأرض</w:t>
      </w:r>
      <w:r w:rsidR="00DB731D" w:rsidRPr="00A52585">
        <w:rPr>
          <w:rFonts w:hint="cs"/>
          <w:rtl/>
        </w:rPr>
        <w:t>،</w:t>
      </w:r>
      <w:r w:rsidRPr="00A52585">
        <w:rPr>
          <w:rFonts w:hint="cs"/>
          <w:rtl/>
        </w:rPr>
        <w:t xml:space="preserve"> وكذلك الأعمال تُرفَع</w:t>
      </w:r>
      <w:r w:rsidR="00DB731D" w:rsidRPr="00A52585">
        <w:rPr>
          <w:rFonts w:hint="cs"/>
          <w:rtl/>
        </w:rPr>
        <w:t>،</w:t>
      </w:r>
      <w:r w:rsidRPr="00A52585">
        <w:rPr>
          <w:rFonts w:hint="cs"/>
          <w:rtl/>
        </w:rPr>
        <w:t xml:space="preserve"> وفيها غيرُ واحد من الأنبياء</w:t>
      </w:r>
      <w:r w:rsidR="00DB731D" w:rsidRPr="00A52585">
        <w:rPr>
          <w:rFonts w:hint="cs"/>
          <w:rtl/>
        </w:rPr>
        <w:t>،</w:t>
      </w:r>
      <w:r w:rsidRPr="00A52585">
        <w:rPr>
          <w:rFonts w:hint="cs"/>
          <w:rtl/>
        </w:rPr>
        <w:t xml:space="preserve"> وفيها الجنةُ - التي هي غايةُ الأماني</w:t>
      </w:r>
      <w:r w:rsidR="00DB731D" w:rsidRPr="00A52585">
        <w:rPr>
          <w:rFonts w:hint="cs"/>
          <w:rtl/>
        </w:rPr>
        <w:t>،</w:t>
      </w:r>
      <w:r w:rsidRPr="00A52585">
        <w:rPr>
          <w:rFonts w:hint="cs"/>
          <w:rtl/>
        </w:rPr>
        <w:t xml:space="preserve"> فلما كانت معْدِنّا لهذه الأمور العظام ومَعْرِفةَ القضاءِ والقَدَر</w:t>
      </w:r>
      <w:r w:rsidR="00DB731D" w:rsidRPr="00A52585">
        <w:rPr>
          <w:rFonts w:hint="cs"/>
          <w:rtl/>
        </w:rPr>
        <w:t>،</w:t>
      </w:r>
      <w:r w:rsidRPr="00A52585">
        <w:rPr>
          <w:rFonts w:hint="cs"/>
          <w:rtl/>
        </w:rPr>
        <w:t xml:space="preserve"> تَصرَّفَت الهِممُ إليها</w:t>
      </w:r>
      <w:r w:rsidR="00DB731D" w:rsidRPr="00A52585">
        <w:rPr>
          <w:rFonts w:hint="cs"/>
          <w:rtl/>
        </w:rPr>
        <w:t>،</w:t>
      </w:r>
      <w:r w:rsidRPr="00A52585">
        <w:rPr>
          <w:rFonts w:hint="cs"/>
          <w:rtl/>
        </w:rPr>
        <w:t xml:space="preserve"> وتوفَّرَت الدواعي عليها</w:t>
      </w:r>
      <w:r w:rsidR="0002035C" w:rsidRPr="00A52585">
        <w:rPr>
          <w:rFonts w:hint="cs"/>
          <w:rtl/>
        </w:rPr>
        <w:t>)</w:t>
      </w:r>
      <w:r w:rsidRPr="00A52585">
        <w:rPr>
          <w:rFonts w:hint="cs"/>
          <w:rtl/>
        </w:rPr>
        <w:t xml:space="preserve"> انظر المنَِحُ المطلوبة </w:t>
      </w:r>
      <w:r w:rsidR="0002035C" w:rsidRPr="00A52585">
        <w:rPr>
          <w:rFonts w:hint="cs"/>
          <w:rtl/>
        </w:rPr>
        <w:t>(</w:t>
      </w:r>
      <w:r w:rsidRPr="00A52585">
        <w:rPr>
          <w:rFonts w:hint="cs"/>
          <w:rtl/>
        </w:rPr>
        <w:t>ضمن كتاب ثلاث رسائل في استحباب الدعاء</w:t>
      </w:r>
      <w:r w:rsidR="0002035C" w:rsidRPr="00A52585">
        <w:rPr>
          <w:rFonts w:hint="cs"/>
          <w:rtl/>
        </w:rPr>
        <w:t>)</w:t>
      </w:r>
      <w:r w:rsidRPr="00A52585">
        <w:rPr>
          <w:rFonts w:hint="cs"/>
          <w:rtl/>
        </w:rPr>
        <w:t xml:space="preserve"> (ص 61 - 62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238- وقال المحدث </w:t>
      </w:r>
      <w:r w:rsidRPr="00A52585">
        <w:rPr>
          <w:rFonts w:hint="cs"/>
          <w:rtl/>
        </w:rPr>
        <w:lastRenderedPageBreak/>
        <w:t>الشيخ محـمد عربي التبان المالكي المدرس بمدرسة الفلاح وبالمسجد المكي (1395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اتفق العقلاء من أهل السنة الشافعية والحنفية والمالكية وفضلاء الحنابلة وغيرهم على أن الله تبارك وتعالى منزه عن الجهة والجسمية والحد والمكان ومشابهة مخلوقاته</w:t>
      </w:r>
      <w:r w:rsidR="0002035C" w:rsidRPr="00A52585">
        <w:rPr>
          <w:rFonts w:hint="cs"/>
          <w:rtl/>
        </w:rPr>
        <w:t>)</w:t>
      </w:r>
      <w:r w:rsidRPr="00A52585">
        <w:rPr>
          <w:rFonts w:hint="cs"/>
          <w:rtl/>
        </w:rPr>
        <w:t xml:space="preserve"> براءة الأشعريين </w:t>
      </w:r>
      <w:r w:rsidR="0002035C" w:rsidRPr="00A52585">
        <w:rPr>
          <w:rFonts w:hint="cs"/>
          <w:rtl/>
        </w:rPr>
        <w:t>(</w:t>
      </w:r>
      <w:r w:rsidRPr="00A52585">
        <w:rPr>
          <w:rFonts w:hint="cs"/>
          <w:rtl/>
        </w:rPr>
        <w:t>1</w:t>
      </w:r>
      <w:r w:rsidR="0002035C" w:rsidRPr="00A52585">
        <w:rPr>
          <w:rFonts w:hint="cs"/>
          <w:rtl/>
        </w:rPr>
        <w:t xml:space="preserve">: </w:t>
      </w:r>
      <w:r w:rsidRPr="00A52585">
        <w:rPr>
          <w:rFonts w:hint="cs"/>
          <w:rtl/>
        </w:rPr>
        <w:t>79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239- وقال الشيخ محمد الطاهر بن عاشور المالكي (1393 هـ)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قوله تعالى </w:t>
      </w:r>
      <w:r w:rsidR="0002035C" w:rsidRPr="00A52585">
        <w:rPr>
          <w:rFonts w:hint="cs"/>
          <w:rtl/>
        </w:rPr>
        <w:t>{</w:t>
      </w:r>
      <w:r w:rsidRPr="00A52585">
        <w:rPr>
          <w:rFonts w:hint="cs"/>
          <w:rtl/>
        </w:rPr>
        <w:t xml:space="preserve">مَّن </w:t>
      </w:r>
      <w:proofErr w:type="spellStart"/>
      <w:r w:rsidRPr="00A52585">
        <w:rPr>
          <w:rFonts w:hint="cs"/>
          <w:rtl/>
        </w:rPr>
        <w:t>فىِ</w:t>
      </w:r>
      <w:proofErr w:type="spellEnd"/>
      <w:r w:rsidRPr="00A52585">
        <w:rPr>
          <w:rFonts w:hint="cs"/>
          <w:rtl/>
        </w:rPr>
        <w:t xml:space="preserve"> </w:t>
      </w:r>
      <w:proofErr w:type="spellStart"/>
      <w:r w:rsidRPr="00A52585">
        <w:rPr>
          <w:rFonts w:hint="cs"/>
          <w:rtl/>
        </w:rPr>
        <w:t>السَّمَآءِ</w:t>
      </w:r>
      <w:proofErr w:type="spellEnd"/>
      <w:r w:rsidR="0002035C" w:rsidRPr="00A52585">
        <w:rPr>
          <w:rFonts w:hint="cs"/>
          <w:rtl/>
        </w:rPr>
        <w:t>}</w:t>
      </w:r>
      <w:r w:rsidRPr="00A52585">
        <w:rPr>
          <w:rFonts w:hint="cs"/>
          <w:rtl/>
        </w:rPr>
        <w:t xml:space="preserve"> في الموضعين من قبيل المتشابه الذي يعطي ظاهره معنى الحلول في مكان</w:t>
      </w:r>
      <w:r w:rsidR="00DB731D" w:rsidRPr="00A52585">
        <w:rPr>
          <w:rFonts w:hint="cs"/>
          <w:rtl/>
        </w:rPr>
        <w:t>،</w:t>
      </w:r>
      <w:r w:rsidRPr="00A52585">
        <w:rPr>
          <w:rFonts w:hint="cs"/>
          <w:rtl/>
        </w:rPr>
        <w:t xml:space="preserve"> وذلك لا يليق بالله</w:t>
      </w:r>
      <w:r w:rsidR="0002035C" w:rsidRPr="00A52585">
        <w:rPr>
          <w:rFonts w:hint="cs"/>
          <w:rtl/>
        </w:rPr>
        <w:t>)</w:t>
      </w:r>
      <w:r w:rsidRPr="00A52585">
        <w:rPr>
          <w:rFonts w:hint="cs"/>
          <w:rtl/>
        </w:rPr>
        <w:t xml:space="preserve"> أنظر تفسيره التحرير والتنوير </w:t>
      </w:r>
      <w:r w:rsidR="0002035C" w:rsidRPr="00A52585">
        <w:rPr>
          <w:rFonts w:hint="cs"/>
          <w:rtl/>
        </w:rPr>
        <w:t>(</w:t>
      </w:r>
      <w:r w:rsidRPr="00A52585">
        <w:rPr>
          <w:rFonts w:hint="cs"/>
          <w:rtl/>
        </w:rPr>
        <w:t>29</w:t>
      </w:r>
      <w:r w:rsidR="0002035C" w:rsidRPr="00A52585">
        <w:rPr>
          <w:rFonts w:hint="cs"/>
          <w:rtl/>
        </w:rPr>
        <w:t xml:space="preserve">: </w:t>
      </w:r>
      <w:r w:rsidRPr="00A52585">
        <w:rPr>
          <w:rFonts w:hint="cs"/>
          <w:rtl/>
        </w:rPr>
        <w:t>33</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والشيخ محمد الطاهر بن عاشور المالكي هو رئيس المفتين المالكيين بتونس وشيخ جامع الزيتونة وفروعه بتونس</w:t>
      </w:r>
      <w:r w:rsidR="00897A24" w:rsidRPr="00A52585">
        <w:rPr>
          <w:rFonts w:hint="cs"/>
          <w:rtl/>
        </w:rPr>
        <w:t>.</w:t>
      </w:r>
      <w:r w:rsidRPr="00A52585">
        <w:rPr>
          <w:rFonts w:hint="cs"/>
          <w:rtl/>
        </w:rPr>
        <w:t xml:space="preserve"> انظر </w:t>
      </w:r>
      <w:r w:rsidR="0002035C" w:rsidRPr="00A52585">
        <w:rPr>
          <w:rFonts w:hint="cs"/>
          <w:rtl/>
        </w:rPr>
        <w:t>(</w:t>
      </w:r>
      <w:r w:rsidRPr="00A52585">
        <w:rPr>
          <w:rFonts w:hint="cs"/>
          <w:rtl/>
        </w:rPr>
        <w:t>الأعلام للزِّركلي 6</w:t>
      </w:r>
      <w:r w:rsidR="0002035C" w:rsidRPr="00A52585">
        <w:rPr>
          <w:rFonts w:hint="cs"/>
          <w:rtl/>
        </w:rPr>
        <w:t xml:space="preserve">: </w:t>
      </w:r>
      <w:r w:rsidRPr="00A52585">
        <w:rPr>
          <w:rFonts w:hint="cs"/>
          <w:rtl/>
        </w:rPr>
        <w:t>174</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240- وقال الشيخ عبد الكريم الرفاعي الدمشقي (1393هـ) </w:t>
      </w:r>
      <w:proofErr w:type="gramStart"/>
      <w:r w:rsidRPr="00A52585">
        <w:rPr>
          <w:rFonts w:hint="cs"/>
          <w:rtl/>
        </w:rPr>
        <w:t>احد</w:t>
      </w:r>
      <w:proofErr w:type="gramEnd"/>
      <w:r w:rsidRPr="00A52585">
        <w:rPr>
          <w:rFonts w:hint="cs"/>
          <w:rtl/>
        </w:rPr>
        <w:t xml:space="preserve"> خوَّاص تلاميذ الشيخ المحدث بدر الدين الحسني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ويستحيل على الله المماثلة للحوادث</w:t>
      </w:r>
      <w:r w:rsidR="00DB731D" w:rsidRPr="00A52585">
        <w:rPr>
          <w:rFonts w:hint="cs"/>
          <w:rtl/>
        </w:rPr>
        <w:t>،</w:t>
      </w:r>
      <w:r w:rsidRPr="00A52585">
        <w:rPr>
          <w:rFonts w:hint="cs"/>
          <w:rtl/>
        </w:rPr>
        <w:t xml:space="preserve"> والتقيد في الزمان والمكان</w:t>
      </w:r>
      <w:r w:rsidR="00DB731D" w:rsidRPr="00A52585">
        <w:rPr>
          <w:rFonts w:hint="cs"/>
          <w:rtl/>
        </w:rPr>
        <w:t>،</w:t>
      </w:r>
      <w:r w:rsidRPr="00A52585">
        <w:rPr>
          <w:rFonts w:hint="cs"/>
          <w:rtl/>
        </w:rPr>
        <w:t xml:space="preserve"> وأن يكون في جهة</w:t>
      </w:r>
      <w:r w:rsidR="00DB731D" w:rsidRPr="00A52585">
        <w:rPr>
          <w:rFonts w:hint="cs"/>
          <w:rtl/>
        </w:rPr>
        <w:t>،</w:t>
      </w:r>
      <w:r w:rsidRPr="00A52585">
        <w:rPr>
          <w:rFonts w:hint="cs"/>
          <w:rtl/>
        </w:rPr>
        <w:t xml:space="preserve"> او تكون له جهة</w:t>
      </w:r>
      <w:r w:rsidR="0002035C" w:rsidRPr="00A52585">
        <w:rPr>
          <w:rFonts w:hint="cs"/>
          <w:rtl/>
        </w:rPr>
        <w:t>)</w:t>
      </w:r>
      <w:r w:rsidRPr="00A52585">
        <w:rPr>
          <w:rFonts w:hint="cs"/>
          <w:rtl/>
        </w:rPr>
        <w:t xml:space="preserve"> انظر كتاب المعرفة في بيان عمدة المسلم </w:t>
      </w:r>
      <w:r w:rsidR="0002035C" w:rsidRPr="00A52585">
        <w:rPr>
          <w:rFonts w:hint="cs"/>
          <w:rtl/>
        </w:rPr>
        <w:t>(</w:t>
      </w:r>
      <w:r w:rsidRPr="00A52585">
        <w:rPr>
          <w:rFonts w:hint="cs"/>
          <w:rtl/>
        </w:rPr>
        <w:t>ص 55 - 57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241- وقال أيضا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يستحيل - على الله - التقيد بالمكان لأن المتمكِّن فيه إما ساكن أو متحرك</w:t>
      </w:r>
      <w:r w:rsidR="00DB731D" w:rsidRPr="00A52585">
        <w:rPr>
          <w:rFonts w:hint="cs"/>
          <w:rtl/>
        </w:rPr>
        <w:t>،</w:t>
      </w:r>
      <w:r w:rsidRPr="00A52585">
        <w:rPr>
          <w:rFonts w:hint="cs"/>
          <w:rtl/>
        </w:rPr>
        <w:t xml:space="preserve"> وقد تقدم استحالة الحركة والسكون على الله تعالى</w:t>
      </w:r>
      <w:r w:rsidR="00DB731D" w:rsidRPr="00A52585">
        <w:rPr>
          <w:rFonts w:hint="cs"/>
          <w:rtl/>
        </w:rPr>
        <w:t>،</w:t>
      </w:r>
      <w:r w:rsidRPr="00A52585">
        <w:rPr>
          <w:rFonts w:hint="cs"/>
          <w:rtl/>
        </w:rPr>
        <w:t xml:space="preserve"> فإذا استحال على الله تعالى أن يتقيد بالمكان</w:t>
      </w:r>
      <w:r w:rsidR="00897A24" w:rsidRPr="00A52585">
        <w:rPr>
          <w:rFonts w:hint="cs"/>
          <w:rtl/>
        </w:rPr>
        <w:t>.</w:t>
      </w:r>
      <w:r w:rsidRPr="00A52585">
        <w:rPr>
          <w:rFonts w:hint="cs"/>
          <w:rtl/>
        </w:rPr>
        <w:t xml:space="preserve"> ويستحيل ان يكون الاله في جهة أو يكون له جهة لأن الجهة التي هي الفوق</w:t>
      </w:r>
      <w:r w:rsidR="00DB731D" w:rsidRPr="00A52585">
        <w:rPr>
          <w:rFonts w:hint="cs"/>
          <w:rtl/>
        </w:rPr>
        <w:t>،</w:t>
      </w:r>
      <w:r w:rsidRPr="00A52585">
        <w:rPr>
          <w:rFonts w:hint="cs"/>
          <w:rtl/>
        </w:rPr>
        <w:t xml:space="preserve"> والتحت</w:t>
      </w:r>
      <w:r w:rsidR="00DB731D" w:rsidRPr="00A52585">
        <w:rPr>
          <w:rFonts w:hint="cs"/>
          <w:rtl/>
        </w:rPr>
        <w:t>،</w:t>
      </w:r>
      <w:r w:rsidRPr="00A52585">
        <w:rPr>
          <w:rFonts w:hint="cs"/>
          <w:rtl/>
        </w:rPr>
        <w:t xml:space="preserve"> والأمام</w:t>
      </w:r>
      <w:r w:rsidR="00DB731D" w:rsidRPr="00A52585">
        <w:rPr>
          <w:rFonts w:hint="cs"/>
          <w:rtl/>
        </w:rPr>
        <w:t>،</w:t>
      </w:r>
      <w:r w:rsidRPr="00A52585">
        <w:rPr>
          <w:rFonts w:hint="cs"/>
          <w:rtl/>
        </w:rPr>
        <w:t xml:space="preserve"> والوراء</w:t>
      </w:r>
      <w:r w:rsidR="00DB731D" w:rsidRPr="00A52585">
        <w:rPr>
          <w:rFonts w:hint="cs"/>
          <w:rtl/>
        </w:rPr>
        <w:t>،</w:t>
      </w:r>
      <w:r w:rsidRPr="00A52585">
        <w:rPr>
          <w:rFonts w:hint="cs"/>
          <w:rtl/>
        </w:rPr>
        <w:t xml:space="preserve"> واليمين</w:t>
      </w:r>
      <w:r w:rsidR="00DB731D" w:rsidRPr="00A52585">
        <w:rPr>
          <w:rFonts w:hint="cs"/>
          <w:rtl/>
        </w:rPr>
        <w:t>،</w:t>
      </w:r>
      <w:r w:rsidRPr="00A52585">
        <w:rPr>
          <w:rFonts w:hint="cs"/>
          <w:rtl/>
        </w:rPr>
        <w:t xml:space="preserve"> والشمال لا تتصور ولا تعقل إلا ملازمة للجرم</w:t>
      </w:r>
      <w:r w:rsidR="00DB731D" w:rsidRPr="00A52585">
        <w:rPr>
          <w:rFonts w:hint="cs"/>
          <w:rtl/>
        </w:rPr>
        <w:t>،</w:t>
      </w:r>
      <w:r w:rsidRPr="00A52585">
        <w:rPr>
          <w:rFonts w:hint="cs"/>
          <w:rtl/>
        </w:rPr>
        <w:t xml:space="preserve"> وقد تقدم استحالة الجرمية عليه</w:t>
      </w:r>
      <w:r w:rsidR="00DB731D" w:rsidRPr="00A52585">
        <w:rPr>
          <w:rFonts w:hint="cs"/>
          <w:rtl/>
        </w:rPr>
        <w:t>،</w:t>
      </w:r>
      <w:r w:rsidRPr="00A52585">
        <w:rPr>
          <w:rFonts w:hint="cs"/>
          <w:rtl/>
        </w:rPr>
        <w:t xml:space="preserve"> فإذا لا يتصور أن يكون له جهة أو يكون في جهة</w:t>
      </w:r>
      <w:r w:rsidR="0002035C" w:rsidRPr="00A52585">
        <w:rPr>
          <w:rFonts w:hint="cs"/>
          <w:rtl/>
        </w:rPr>
        <w:t>)</w:t>
      </w:r>
      <w:r w:rsidRPr="00A52585">
        <w:rPr>
          <w:rFonts w:hint="cs"/>
          <w:rtl/>
        </w:rPr>
        <w:t xml:space="preserve"> كتاب المعرفة في بيان عقيدة المسلم (ص 55 - 57</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242- وقال محدث الديار المغربية الشيخ عبد الله بن محمد الصديق الغماري (1413هـ) ما نصه</w:t>
      </w:r>
      <w:r w:rsidR="0002035C" w:rsidRPr="00A52585">
        <w:rPr>
          <w:rFonts w:hint="cs"/>
          <w:rtl/>
        </w:rPr>
        <w:t>: (</w:t>
      </w:r>
      <w:r w:rsidRPr="00A52585">
        <w:rPr>
          <w:rFonts w:hint="cs"/>
          <w:rtl/>
        </w:rPr>
        <w:t>كان الله ولم يكن شيء غيره</w:t>
      </w:r>
      <w:r w:rsidR="00DB731D" w:rsidRPr="00A52585">
        <w:rPr>
          <w:rFonts w:hint="cs"/>
          <w:rtl/>
        </w:rPr>
        <w:t>،</w:t>
      </w:r>
      <w:r w:rsidRPr="00A52585">
        <w:rPr>
          <w:rFonts w:hint="cs"/>
          <w:rtl/>
        </w:rPr>
        <w:t xml:space="preserve"> فلم يكن زمان ولا مكان ولا قطر ولا أوان</w:t>
      </w:r>
      <w:r w:rsidR="00DB731D" w:rsidRPr="00A52585">
        <w:rPr>
          <w:rFonts w:hint="cs"/>
          <w:rtl/>
        </w:rPr>
        <w:t>،</w:t>
      </w:r>
      <w:r w:rsidRPr="00A52585">
        <w:rPr>
          <w:rFonts w:hint="cs"/>
          <w:rtl/>
        </w:rPr>
        <w:t xml:space="preserve"> ولا عرش ولا ملك</w:t>
      </w:r>
      <w:r w:rsidR="00DB731D" w:rsidRPr="00A52585">
        <w:rPr>
          <w:rFonts w:hint="cs"/>
          <w:rtl/>
        </w:rPr>
        <w:t>،</w:t>
      </w:r>
      <w:r w:rsidRPr="00A52585">
        <w:rPr>
          <w:rFonts w:hint="cs"/>
          <w:rtl/>
        </w:rPr>
        <w:t xml:space="preserve"> ولا كوكب ولا فلك</w:t>
      </w:r>
      <w:r w:rsidR="00DB731D" w:rsidRPr="00A52585">
        <w:rPr>
          <w:rFonts w:hint="cs"/>
          <w:rtl/>
        </w:rPr>
        <w:t>،</w:t>
      </w:r>
      <w:r w:rsidRPr="00A52585">
        <w:rPr>
          <w:rFonts w:hint="cs"/>
          <w:rtl/>
        </w:rPr>
        <w:t xml:space="preserve"> ثم اوجد العالم من غير احتياج إليه</w:t>
      </w:r>
      <w:r w:rsidR="00DB731D" w:rsidRPr="00A52585">
        <w:rPr>
          <w:rFonts w:hint="cs"/>
          <w:rtl/>
        </w:rPr>
        <w:t>،</w:t>
      </w:r>
      <w:r w:rsidRPr="00A52585">
        <w:rPr>
          <w:rFonts w:hint="cs"/>
          <w:rtl/>
        </w:rPr>
        <w:t xml:space="preserve"> ولو شاء ما أوجده</w:t>
      </w:r>
      <w:r w:rsidR="00897A24" w:rsidRPr="00A52585">
        <w:rPr>
          <w:rFonts w:hint="cs"/>
          <w:rtl/>
        </w:rPr>
        <w:t>.</w:t>
      </w:r>
      <w:r w:rsidRPr="00A52585">
        <w:rPr>
          <w:rFonts w:hint="cs"/>
          <w:rtl/>
        </w:rPr>
        <w:t xml:space="preserve"> فهذا العالم كله بما فيه من جواهر وأعراض حادث عن عدم</w:t>
      </w:r>
      <w:r w:rsidR="00DB731D" w:rsidRPr="00A52585">
        <w:rPr>
          <w:rFonts w:hint="cs"/>
          <w:rtl/>
        </w:rPr>
        <w:t>،</w:t>
      </w:r>
      <w:r w:rsidRPr="00A52585">
        <w:rPr>
          <w:rFonts w:hint="cs"/>
          <w:rtl/>
        </w:rPr>
        <w:t xml:space="preserve"> ليس فيه شائبة من قِدم</w:t>
      </w:r>
      <w:r w:rsidR="00DB731D" w:rsidRPr="00A52585">
        <w:rPr>
          <w:rFonts w:hint="cs"/>
          <w:rtl/>
        </w:rPr>
        <w:t>،</w:t>
      </w:r>
      <w:r w:rsidRPr="00A52585">
        <w:rPr>
          <w:rFonts w:hint="cs"/>
          <w:rtl/>
        </w:rPr>
        <w:t xml:space="preserve"> حسبما اقتضته قضايا العقول</w:t>
      </w:r>
      <w:r w:rsidR="00DB731D" w:rsidRPr="00A52585">
        <w:rPr>
          <w:rFonts w:hint="cs"/>
          <w:rtl/>
        </w:rPr>
        <w:t>،</w:t>
      </w:r>
      <w:r w:rsidRPr="00A52585">
        <w:rPr>
          <w:rFonts w:hint="cs"/>
          <w:rtl/>
        </w:rPr>
        <w:t xml:space="preserve"> وأيدته دلائل </w:t>
      </w:r>
      <w:proofErr w:type="spellStart"/>
      <w:r w:rsidRPr="00A52585">
        <w:rPr>
          <w:rFonts w:hint="cs"/>
          <w:rtl/>
        </w:rPr>
        <w:t>النقول</w:t>
      </w:r>
      <w:proofErr w:type="spellEnd"/>
      <w:r w:rsidR="00DB731D" w:rsidRPr="00A52585">
        <w:rPr>
          <w:rFonts w:hint="cs"/>
          <w:rtl/>
        </w:rPr>
        <w:t>،</w:t>
      </w:r>
      <w:r w:rsidRPr="00A52585">
        <w:rPr>
          <w:rFonts w:hint="cs"/>
          <w:rtl/>
        </w:rPr>
        <w:t xml:space="preserve"> وأجمع عليه المِلِّيُّوْن قاطبة إلا شُذاذا من الفلاسفة قالوا بقدم العالم</w:t>
      </w:r>
      <w:r w:rsidR="00DB731D" w:rsidRPr="00A52585">
        <w:rPr>
          <w:rFonts w:hint="cs"/>
          <w:rtl/>
        </w:rPr>
        <w:t>،</w:t>
      </w:r>
      <w:r w:rsidRPr="00A52585">
        <w:rPr>
          <w:rFonts w:hint="cs"/>
          <w:rtl/>
        </w:rPr>
        <w:t xml:space="preserve"> وهم كفار بلا نزاع</w:t>
      </w:r>
      <w:r w:rsidR="0002035C" w:rsidRPr="00A52585">
        <w:rPr>
          <w:rFonts w:hint="cs"/>
          <w:rtl/>
        </w:rPr>
        <w:t>)</w:t>
      </w:r>
      <w:r w:rsidRPr="00A52585">
        <w:rPr>
          <w:rFonts w:hint="cs"/>
          <w:rtl/>
        </w:rPr>
        <w:t xml:space="preserve"> انظر قصص الأنبياء</w:t>
      </w:r>
      <w:r w:rsidR="0002035C" w:rsidRPr="00A52585">
        <w:rPr>
          <w:rFonts w:hint="cs"/>
          <w:rtl/>
        </w:rPr>
        <w:t>:</w:t>
      </w:r>
      <w:r w:rsidRPr="00A52585">
        <w:rPr>
          <w:rFonts w:hint="cs"/>
          <w:rtl/>
        </w:rPr>
        <w:t xml:space="preserve"> آدم عليه السلام </w:t>
      </w:r>
      <w:r w:rsidR="0002035C" w:rsidRPr="00A52585">
        <w:rPr>
          <w:rFonts w:hint="cs"/>
          <w:rtl/>
        </w:rPr>
        <w:t>(</w:t>
      </w:r>
      <w:r w:rsidRPr="00A52585">
        <w:rPr>
          <w:rFonts w:hint="cs"/>
          <w:rtl/>
        </w:rPr>
        <w:t>ص 11</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243- وقال أيضا ما نصه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 النيسابوري في "تفسيره" أما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وَرَافِعُكَ إِلَيَّ</w:t>
      </w:r>
      <w:r w:rsidR="0002035C" w:rsidRPr="00A52585">
        <w:rPr>
          <w:rFonts w:hint="cs"/>
          <w:rtl/>
        </w:rPr>
        <w:t>}</w:t>
      </w:r>
      <w:r w:rsidRPr="00A52585">
        <w:rPr>
          <w:rFonts w:hint="cs"/>
          <w:rtl/>
        </w:rPr>
        <w:t xml:space="preserve"> فالمشبهة تمسكوا بمثله في إثبات المكان لله وأنه في السماء</w:t>
      </w:r>
      <w:r w:rsidR="00DB731D" w:rsidRPr="00A52585">
        <w:rPr>
          <w:rFonts w:hint="cs"/>
          <w:rtl/>
        </w:rPr>
        <w:t>،</w:t>
      </w:r>
      <w:r w:rsidRPr="00A52585">
        <w:rPr>
          <w:rFonts w:hint="cs"/>
          <w:rtl/>
        </w:rPr>
        <w:t xml:space="preserve"> لكن الدلائل القاطعة دلّت على أنه متعال عن الحيز والجهة</w:t>
      </w:r>
      <w:r w:rsidR="00DB731D" w:rsidRPr="00A52585">
        <w:rPr>
          <w:rFonts w:hint="cs"/>
          <w:rtl/>
        </w:rPr>
        <w:t>،</w:t>
      </w:r>
      <w:r w:rsidRPr="00A52585">
        <w:rPr>
          <w:rFonts w:hint="cs"/>
          <w:rtl/>
        </w:rPr>
        <w:t xml:space="preserve"> فوجب حمل هذا الظاهر على التأويل بأن المراد إلي محل كرامتي</w:t>
      </w:r>
      <w:r w:rsidR="0002035C" w:rsidRPr="00A52585">
        <w:rPr>
          <w:rFonts w:hint="cs"/>
          <w:rtl/>
        </w:rPr>
        <w:t>)</w:t>
      </w:r>
      <w:r w:rsidRPr="00A52585">
        <w:rPr>
          <w:rFonts w:hint="cs"/>
          <w:rtl/>
        </w:rPr>
        <w:t xml:space="preserve"> انظر عقيدة أهل الاسلام </w:t>
      </w:r>
      <w:r w:rsidR="0002035C" w:rsidRPr="00A52585">
        <w:rPr>
          <w:rFonts w:hint="cs"/>
          <w:rtl/>
        </w:rPr>
        <w:t>(</w:t>
      </w:r>
      <w:r w:rsidRPr="00A52585">
        <w:rPr>
          <w:rFonts w:hint="cs"/>
          <w:rtl/>
        </w:rPr>
        <w:t>ص 29</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eastAsia="Times New Roman" w:hint="cs"/>
          <w:rtl/>
        </w:rPr>
        <w:t>243- اما الازهر الشريف فإنه ذو معتقد اشعري صحيح على منهج اهل السنة والجماعة</w:t>
      </w:r>
      <w:r w:rsidR="00DB731D" w:rsidRPr="00A52585">
        <w:rPr>
          <w:rFonts w:eastAsia="Times New Roman" w:hint="cs"/>
          <w:rtl/>
        </w:rPr>
        <w:t>،</w:t>
      </w:r>
      <w:r w:rsidRPr="00A52585">
        <w:rPr>
          <w:rFonts w:eastAsia="Times New Roman" w:hint="cs"/>
          <w:rtl/>
        </w:rPr>
        <w:t xml:space="preserve"> فقد اصدر فضيلة الأستاذ الدكتور علي جمعة محمد فتوى برقم </w:t>
      </w:r>
      <w:r w:rsidR="0002035C" w:rsidRPr="00A52585">
        <w:rPr>
          <w:rFonts w:eastAsia="Times New Roman" w:hint="cs"/>
          <w:rtl/>
        </w:rPr>
        <w:t>(</w:t>
      </w:r>
      <w:r w:rsidRPr="00A52585">
        <w:rPr>
          <w:rFonts w:eastAsia="Times New Roman" w:hint="cs"/>
          <w:rtl/>
        </w:rPr>
        <w:t>4307</w:t>
      </w:r>
      <w:r w:rsidR="0002035C" w:rsidRPr="00A52585">
        <w:rPr>
          <w:rFonts w:eastAsia="Times New Roman" w:hint="cs"/>
          <w:rtl/>
        </w:rPr>
        <w:t>)</w:t>
      </w:r>
      <w:r w:rsidRPr="00A52585">
        <w:rPr>
          <w:rFonts w:eastAsia="Times New Roman" w:hint="cs"/>
          <w:rtl/>
        </w:rPr>
        <w:t xml:space="preserve"> بتاريخ </w:t>
      </w:r>
      <w:r w:rsidR="0002035C" w:rsidRPr="00A52585">
        <w:rPr>
          <w:rFonts w:eastAsia="Times New Roman" w:hint="cs"/>
          <w:rtl/>
        </w:rPr>
        <w:t>(</w:t>
      </w:r>
      <w:r w:rsidRPr="00A52585">
        <w:rPr>
          <w:rFonts w:eastAsia="Times New Roman" w:hint="cs"/>
          <w:rtl/>
        </w:rPr>
        <w:t>21</w:t>
      </w:r>
      <w:r w:rsidR="0002035C" w:rsidRPr="00A52585">
        <w:rPr>
          <w:rFonts w:eastAsia="Times New Roman" w:hint="cs"/>
          <w:rtl/>
        </w:rPr>
        <w:t>:</w:t>
      </w:r>
      <w:r w:rsidRPr="00A52585">
        <w:rPr>
          <w:rFonts w:eastAsia="Times New Roman" w:hint="cs"/>
          <w:rtl/>
        </w:rPr>
        <w:t xml:space="preserve"> 02</w:t>
      </w:r>
      <w:r w:rsidR="0002035C" w:rsidRPr="00A52585">
        <w:rPr>
          <w:rFonts w:eastAsia="Times New Roman" w:hint="cs"/>
          <w:rtl/>
        </w:rPr>
        <w:t>:</w:t>
      </w:r>
      <w:r w:rsidRPr="00A52585">
        <w:rPr>
          <w:rFonts w:eastAsia="Times New Roman" w:hint="cs"/>
          <w:rtl/>
        </w:rPr>
        <w:t xml:space="preserve"> </w:t>
      </w:r>
      <w:r w:rsidRPr="00A52585">
        <w:rPr>
          <w:rFonts w:eastAsia="Times New Roman" w:hint="cs"/>
          <w:rtl/>
        </w:rPr>
        <w:lastRenderedPageBreak/>
        <w:t>2006</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وكان الموضوع </w:t>
      </w:r>
      <w:r w:rsidR="0002035C" w:rsidRPr="00A52585">
        <w:rPr>
          <w:rFonts w:eastAsia="Times New Roman" w:hint="cs"/>
          <w:rtl/>
        </w:rPr>
        <w:t>(</w:t>
      </w:r>
      <w:r w:rsidRPr="00A52585">
        <w:rPr>
          <w:rFonts w:eastAsia="Times New Roman" w:hint="cs"/>
          <w:rtl/>
        </w:rPr>
        <w:t>هل لله تعالى مكان أو تمييز</w:t>
      </w:r>
      <w:r w:rsidR="0002035C" w:rsidRPr="00A52585">
        <w:rPr>
          <w:rFonts w:eastAsia="Times New Roman" w:hint="cs"/>
          <w:rtl/>
        </w:rPr>
        <w:t>)</w:t>
      </w:r>
      <w:r w:rsidRPr="00A52585">
        <w:rPr>
          <w:rFonts w:eastAsia="Times New Roman" w:hint="cs"/>
          <w:rtl/>
        </w:rPr>
        <w:t xml:space="preserve"> فقال الدكتور ما نصه </w:t>
      </w:r>
      <w:r w:rsidR="0002035C" w:rsidRPr="00A52585">
        <w:rPr>
          <w:rFonts w:eastAsia="Times New Roman" w:hint="cs"/>
          <w:rtl/>
        </w:rPr>
        <w:t>(</w:t>
      </w:r>
      <w:r w:rsidRPr="00A52585">
        <w:rPr>
          <w:rFonts w:eastAsia="Times New Roman" w:hint="cs"/>
          <w:rtl/>
        </w:rPr>
        <w:t xml:space="preserve">... من ثوابت العقيدة عند المسلمين أن الله تعالى لا </w:t>
      </w:r>
      <w:proofErr w:type="spellStart"/>
      <w:r w:rsidRPr="00A52585">
        <w:rPr>
          <w:rFonts w:eastAsia="Times New Roman" w:hint="cs"/>
          <w:rtl/>
        </w:rPr>
        <w:t>يحويه</w:t>
      </w:r>
      <w:proofErr w:type="spellEnd"/>
      <w:r w:rsidRPr="00A52585">
        <w:rPr>
          <w:rFonts w:eastAsia="Times New Roman" w:hint="cs"/>
          <w:rtl/>
        </w:rPr>
        <w:t xml:space="preserve"> مكان ولا يحده زمان ؛ لأن المكان والزمان مخلـوقان</w:t>
      </w:r>
      <w:r w:rsidR="00DB731D" w:rsidRPr="00A52585">
        <w:rPr>
          <w:rFonts w:eastAsia="Times New Roman" w:hint="cs"/>
          <w:rtl/>
        </w:rPr>
        <w:t>،</w:t>
      </w:r>
      <w:r w:rsidRPr="00A52585">
        <w:rPr>
          <w:rFonts w:eastAsia="Times New Roman" w:hint="cs"/>
          <w:rtl/>
        </w:rPr>
        <w:t xml:space="preserve"> وتعالى الله سبحانه أن يحيط به شيء من خلقه</w:t>
      </w:r>
      <w:r w:rsidR="00DB731D" w:rsidRPr="00A52585">
        <w:rPr>
          <w:rFonts w:eastAsia="Times New Roman" w:hint="cs"/>
          <w:rtl/>
        </w:rPr>
        <w:t>،</w:t>
      </w:r>
      <w:r w:rsidRPr="00A52585">
        <w:rPr>
          <w:rFonts w:eastAsia="Times New Roman" w:hint="cs"/>
          <w:rtl/>
        </w:rPr>
        <w:t xml:space="preserve"> بل هو خالق كل شيء</w:t>
      </w:r>
      <w:r w:rsidR="00DB731D" w:rsidRPr="00A52585">
        <w:rPr>
          <w:rFonts w:eastAsia="Times New Roman" w:hint="cs"/>
          <w:rtl/>
        </w:rPr>
        <w:t>،</w:t>
      </w:r>
      <w:r w:rsidRPr="00A52585">
        <w:rPr>
          <w:rFonts w:eastAsia="Times New Roman" w:hint="cs"/>
          <w:rtl/>
        </w:rPr>
        <w:t xml:space="preserve"> وهو المحيط بكل شيء</w:t>
      </w:r>
      <w:r w:rsidR="00DB731D" w:rsidRPr="00A52585">
        <w:rPr>
          <w:rFonts w:eastAsia="Times New Roman" w:hint="cs"/>
          <w:rtl/>
        </w:rPr>
        <w:t>،</w:t>
      </w:r>
      <w:r w:rsidRPr="00A52585">
        <w:rPr>
          <w:rFonts w:eastAsia="Times New Roman" w:hint="cs"/>
          <w:rtl/>
        </w:rPr>
        <w:t xml:space="preserve"> وهذا الاعتقاد متفق عليه بين المسلمين لا يُنكره منهم مُنكِرٌ</w:t>
      </w:r>
      <w:r w:rsidR="00DB731D" w:rsidRPr="00A52585">
        <w:rPr>
          <w:rFonts w:eastAsia="Times New Roman" w:hint="cs"/>
          <w:rtl/>
        </w:rPr>
        <w:t>،</w:t>
      </w:r>
      <w:r w:rsidRPr="00A52585">
        <w:rPr>
          <w:rFonts w:eastAsia="Times New Roman" w:hint="cs"/>
          <w:rtl/>
        </w:rPr>
        <w:t xml:space="preserve"> وقد عبَّر عن ذلك أهل العلم بقولهم</w:t>
      </w:r>
      <w:r w:rsidR="0002035C" w:rsidRPr="00A52585">
        <w:rPr>
          <w:rFonts w:eastAsia="Times New Roman" w:hint="cs"/>
          <w:rtl/>
        </w:rPr>
        <w:t>:</w:t>
      </w:r>
      <w:r w:rsidRPr="00A52585">
        <w:rPr>
          <w:rFonts w:eastAsia="Times New Roman" w:hint="cs"/>
          <w:rtl/>
        </w:rPr>
        <w:t xml:space="preserve"> " كان الله ولا مكان</w:t>
      </w:r>
      <w:r w:rsidR="00DB731D" w:rsidRPr="00A52585">
        <w:rPr>
          <w:rFonts w:eastAsia="Times New Roman" w:hint="cs"/>
          <w:rtl/>
        </w:rPr>
        <w:t>،</w:t>
      </w:r>
      <w:r w:rsidRPr="00A52585">
        <w:rPr>
          <w:rFonts w:eastAsia="Times New Roman" w:hint="cs"/>
          <w:rtl/>
        </w:rPr>
        <w:t xml:space="preserve"> وهو على ما كان قبل خلق المكان ؛ لم يتغير عما كان "</w:t>
      </w:r>
      <w:r w:rsidR="00DB731D" w:rsidRPr="00A52585">
        <w:rPr>
          <w:rFonts w:eastAsia="Times New Roman" w:hint="cs"/>
          <w:rtl/>
        </w:rPr>
        <w:t>،</w:t>
      </w:r>
      <w:r w:rsidRPr="00A52585">
        <w:rPr>
          <w:rFonts w:eastAsia="Times New Roman" w:hint="cs"/>
          <w:rtl/>
        </w:rPr>
        <w:t xml:space="preserve"> ومن عبارات السلف الصالح في ذلك</w:t>
      </w:r>
      <w:r w:rsidR="0002035C" w:rsidRPr="00A52585">
        <w:rPr>
          <w:rFonts w:eastAsia="Times New Roman" w:hint="cs"/>
          <w:rtl/>
        </w:rPr>
        <w:t>:</w:t>
      </w:r>
      <w:r w:rsidRPr="00A52585">
        <w:rPr>
          <w:rFonts w:eastAsia="Times New Roman" w:hint="cs"/>
          <w:rtl/>
        </w:rPr>
        <w:t>...</w:t>
      </w:r>
      <w:r w:rsidR="0002035C" w:rsidRPr="00A52585">
        <w:rPr>
          <w:rFonts w:eastAsia="Times New Roman" w:hint="cs"/>
          <w:rtl/>
        </w:rPr>
        <w:t>)</w:t>
      </w:r>
      <w:r w:rsidRPr="00A52585">
        <w:rPr>
          <w:rFonts w:eastAsia="Times New Roman" w:hint="cs"/>
          <w:rtl/>
        </w:rPr>
        <w:t xml:space="preserve"> ثم ذكر بعض الاقوال مما ذكرت في هذا الموضوع ومنها</w:t>
      </w:r>
      <w:r w:rsidR="0002035C" w:rsidRPr="00A52585">
        <w:rPr>
          <w:rFonts w:eastAsia="Times New Roman" w:hint="cs"/>
          <w:rtl/>
        </w:rPr>
        <w:t>:</w:t>
      </w:r>
      <w:r w:rsidRPr="00A52585">
        <w:rPr>
          <w:rFonts w:eastAsia="Times New Roman" w:hint="cs"/>
          <w:rtl/>
        </w:rPr>
        <w:t>-</w:t>
      </w:r>
      <w:r w:rsidR="0002035C" w:rsidRPr="00A52585">
        <w:rPr>
          <w:rFonts w:eastAsia="Times New Roman" w:hint="cs"/>
          <w:rtl/>
        </w:rPr>
        <w:t xml:space="preserve"> </w:t>
      </w:r>
      <w:r w:rsidRPr="00A52585">
        <w:rPr>
          <w:rFonts w:eastAsia="Times New Roman" w:hint="cs"/>
          <w:rtl/>
        </w:rPr>
        <w:t>244- وقيل ليحيى بن معاذ الرازي</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أَخْبِرْنا عن الله عز وجل</w:t>
      </w:r>
      <w:r w:rsidR="00DB731D" w:rsidRPr="00A52585">
        <w:rPr>
          <w:rFonts w:eastAsia="Times New Roman" w:hint="cs"/>
          <w:rtl/>
        </w:rPr>
        <w:t>،</w:t>
      </w:r>
      <w:r w:rsidRPr="00A52585">
        <w:rPr>
          <w:rFonts w:eastAsia="Times New Roman" w:hint="cs"/>
          <w:rtl/>
        </w:rPr>
        <w:t xml:space="preserve"> فقال</w:t>
      </w:r>
      <w:r w:rsidR="0002035C" w:rsidRPr="00A52585">
        <w:rPr>
          <w:rFonts w:eastAsia="Times New Roman" w:hint="cs"/>
          <w:rtl/>
        </w:rPr>
        <w:t>:</w:t>
      </w:r>
      <w:r w:rsidRPr="00A52585">
        <w:rPr>
          <w:rFonts w:eastAsia="Times New Roman" w:hint="cs"/>
          <w:rtl/>
        </w:rPr>
        <w:t xml:space="preserve"> إله واحد</w:t>
      </w:r>
      <w:r w:rsidR="00DB731D" w:rsidRPr="00A52585">
        <w:rPr>
          <w:rFonts w:eastAsia="Times New Roman" w:hint="cs"/>
          <w:rtl/>
        </w:rPr>
        <w:t>،</w:t>
      </w:r>
      <w:r w:rsidRPr="00A52585">
        <w:rPr>
          <w:rFonts w:eastAsia="Times New Roman" w:hint="cs"/>
          <w:rtl/>
        </w:rPr>
        <w:t xml:space="preserve"> فقيل له</w:t>
      </w:r>
      <w:r w:rsidR="0002035C" w:rsidRPr="00A52585">
        <w:rPr>
          <w:rFonts w:eastAsia="Times New Roman" w:hint="cs"/>
          <w:rtl/>
        </w:rPr>
        <w:t>:</w:t>
      </w:r>
      <w:r w:rsidRPr="00A52585">
        <w:rPr>
          <w:rFonts w:eastAsia="Times New Roman" w:hint="cs"/>
          <w:rtl/>
        </w:rPr>
        <w:t xml:space="preserve"> كيف هو</w:t>
      </w:r>
      <w:r w:rsidR="00F95886" w:rsidRPr="00A52585">
        <w:rPr>
          <w:rFonts w:eastAsia="Times New Roman" w:hint="cs"/>
          <w:rtl/>
        </w:rPr>
        <w:t>؟</w:t>
      </w:r>
      <w:r w:rsidRPr="00A52585">
        <w:rPr>
          <w:rFonts w:eastAsia="Times New Roman" w:hint="cs"/>
          <w:rtl/>
        </w:rPr>
        <w:t xml:space="preserve"> قال</w:t>
      </w:r>
      <w:r w:rsidR="0002035C" w:rsidRPr="00A52585">
        <w:rPr>
          <w:rFonts w:eastAsia="Times New Roman" w:hint="cs"/>
          <w:rtl/>
        </w:rPr>
        <w:t>:</w:t>
      </w:r>
      <w:r w:rsidRPr="00A52585">
        <w:rPr>
          <w:rFonts w:eastAsia="Times New Roman" w:hint="cs"/>
          <w:rtl/>
        </w:rPr>
        <w:t xml:space="preserve"> ملك قادر</w:t>
      </w:r>
      <w:r w:rsidR="00DB731D" w:rsidRPr="00A52585">
        <w:rPr>
          <w:rFonts w:eastAsia="Times New Roman" w:hint="cs"/>
          <w:rtl/>
        </w:rPr>
        <w:t>،</w:t>
      </w:r>
      <w:r w:rsidRPr="00A52585">
        <w:rPr>
          <w:rFonts w:eastAsia="Times New Roman" w:hint="cs"/>
          <w:rtl/>
        </w:rPr>
        <w:t xml:space="preserve"> فقيل له</w:t>
      </w:r>
      <w:r w:rsidR="0002035C" w:rsidRPr="00A52585">
        <w:rPr>
          <w:rFonts w:eastAsia="Times New Roman" w:hint="cs"/>
          <w:rtl/>
        </w:rPr>
        <w:t>:</w:t>
      </w:r>
      <w:r w:rsidRPr="00A52585">
        <w:rPr>
          <w:rFonts w:eastAsia="Times New Roman" w:hint="cs"/>
          <w:rtl/>
        </w:rPr>
        <w:t xml:space="preserve"> أين هو</w:t>
      </w:r>
      <w:r w:rsidR="00F95886" w:rsidRPr="00A52585">
        <w:rPr>
          <w:rFonts w:eastAsia="Times New Roman" w:hint="cs"/>
          <w:rtl/>
        </w:rPr>
        <w:t>؟</w:t>
      </w:r>
      <w:r w:rsidRPr="00A52585">
        <w:rPr>
          <w:rFonts w:eastAsia="Times New Roman" w:hint="cs"/>
          <w:rtl/>
        </w:rPr>
        <w:t xml:space="preserve"> فقال</w:t>
      </w:r>
      <w:r w:rsidR="0002035C" w:rsidRPr="00A52585">
        <w:rPr>
          <w:rFonts w:eastAsia="Times New Roman" w:hint="cs"/>
          <w:rtl/>
        </w:rPr>
        <w:t>:</w:t>
      </w:r>
      <w:r w:rsidRPr="00A52585">
        <w:rPr>
          <w:rFonts w:eastAsia="Times New Roman" w:hint="cs"/>
          <w:rtl/>
        </w:rPr>
        <w:t xml:space="preserve"> بالمرصاد</w:t>
      </w:r>
      <w:r w:rsidR="00DB731D" w:rsidRPr="00A52585">
        <w:rPr>
          <w:rFonts w:eastAsia="Times New Roman" w:hint="cs"/>
          <w:rtl/>
        </w:rPr>
        <w:t>،</w:t>
      </w:r>
      <w:r w:rsidRPr="00A52585">
        <w:rPr>
          <w:rFonts w:eastAsia="Times New Roman" w:hint="cs"/>
          <w:rtl/>
        </w:rPr>
        <w:t xml:space="preserve"> فقال السائل</w:t>
      </w:r>
      <w:r w:rsidR="0002035C" w:rsidRPr="00A52585">
        <w:rPr>
          <w:rFonts w:eastAsia="Times New Roman" w:hint="cs"/>
          <w:rtl/>
        </w:rPr>
        <w:t>:</w:t>
      </w:r>
      <w:r w:rsidRPr="00A52585">
        <w:rPr>
          <w:rFonts w:eastAsia="Times New Roman" w:hint="cs"/>
          <w:rtl/>
        </w:rPr>
        <w:t xml:space="preserve"> لم أسألك عن هذا</w:t>
      </w:r>
      <w:r w:rsidR="00F95886" w:rsidRPr="00A52585">
        <w:rPr>
          <w:rFonts w:eastAsia="Times New Roman" w:hint="cs"/>
          <w:rtl/>
        </w:rPr>
        <w:t>؟</w:t>
      </w:r>
      <w:r w:rsidRPr="00A52585">
        <w:rPr>
          <w:rFonts w:eastAsia="Times New Roman" w:hint="cs"/>
          <w:rtl/>
        </w:rPr>
        <w:t xml:space="preserve"> فقال</w:t>
      </w:r>
      <w:r w:rsidR="0002035C" w:rsidRPr="00A52585">
        <w:rPr>
          <w:rFonts w:eastAsia="Times New Roman" w:hint="cs"/>
          <w:rtl/>
        </w:rPr>
        <w:t>:</w:t>
      </w:r>
      <w:r w:rsidRPr="00A52585">
        <w:rPr>
          <w:rFonts w:eastAsia="Times New Roman" w:hint="cs"/>
          <w:rtl/>
        </w:rPr>
        <w:t xml:space="preserve"> ما كان غير هذا كان صفة المخلوق</w:t>
      </w:r>
      <w:r w:rsidR="00DB731D" w:rsidRPr="00A52585">
        <w:rPr>
          <w:rFonts w:eastAsia="Times New Roman" w:hint="cs"/>
          <w:rtl/>
        </w:rPr>
        <w:t>،</w:t>
      </w:r>
      <w:r w:rsidRPr="00A52585">
        <w:rPr>
          <w:rFonts w:eastAsia="Times New Roman" w:hint="cs"/>
          <w:rtl/>
        </w:rPr>
        <w:t xml:space="preserve"> فأما صفته فما أخبرت عنه</w:t>
      </w:r>
      <w:r w:rsidR="0002035C" w:rsidRPr="00A52585">
        <w:rPr>
          <w:rFonts w:eastAsia="Times New Roman" w:hint="cs"/>
          <w:rtl/>
        </w:rPr>
        <w:t>)</w:t>
      </w:r>
      <w:r w:rsidRPr="00A52585">
        <w:rPr>
          <w:rFonts w:eastAsia="Times New Roman" w:hint="cs"/>
          <w:rtl/>
        </w:rPr>
        <w:t xml:space="preserve"> انظر الفتوى السابقة لفضيلة الأستاذ الدكتور علي جمعة محمد</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245- وسُئِل ذو النون المصري رضي الله عنه عن قوله تعالى </w:t>
      </w:r>
      <w:r w:rsidR="0002035C" w:rsidRPr="00A52585">
        <w:rPr>
          <w:rFonts w:eastAsia="Times New Roman" w:hint="cs"/>
          <w:rtl/>
        </w:rPr>
        <w:t>{</w:t>
      </w:r>
      <w:r w:rsidRPr="00A52585">
        <w:rPr>
          <w:rFonts w:eastAsia="Times New Roman" w:hint="cs"/>
          <w:rtl/>
        </w:rPr>
        <w:t>الرَّحْمَنُ عَلَى العَرْشِ اسْتَوَى</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فقـال</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أثبت ذاته ونفى مكانه ؛ فهو موجود بذاته والأشياء بحكمته كما شاء</w:t>
      </w:r>
      <w:r w:rsidR="0002035C" w:rsidRPr="00A52585">
        <w:rPr>
          <w:rFonts w:eastAsia="Times New Roman" w:hint="cs"/>
          <w:rtl/>
        </w:rPr>
        <w:t>)</w:t>
      </w:r>
      <w:r w:rsidRPr="00A52585">
        <w:rPr>
          <w:rFonts w:eastAsia="Times New Roman" w:hint="cs"/>
          <w:rtl/>
        </w:rPr>
        <w:t xml:space="preserve"> انظر الفتوى السابقة لفضيلة الأستاذ الدكتور علي جمعة محمد</w:t>
      </w:r>
      <w:r w:rsidR="00DB731D" w:rsidRPr="00A52585">
        <w:rPr>
          <w:rFonts w:eastAsia="Times New Roman" w:hint="cs"/>
          <w:rtl/>
        </w:rPr>
        <w:t>،</w:t>
      </w:r>
      <w:r w:rsidRPr="00A52585">
        <w:rPr>
          <w:rFonts w:eastAsia="Times New Roman" w:hint="cs"/>
          <w:rtl/>
        </w:rPr>
        <w:t xml:space="preserve"> وانظر كذلك الرسالة القشيرية (ص6</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246- وقال الشيخ العلامة احمد التيجاني رحمه الله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فذاته جل جلاله متعالية مقدسة على جميع حدود الجرم والجسم ولوازمه ومقتضياته من دخول وخروج وقرب وبعد</w:t>
      </w:r>
      <w:r w:rsidR="00DB731D" w:rsidRPr="00A52585">
        <w:rPr>
          <w:rFonts w:eastAsia="Times New Roman" w:hint="cs"/>
          <w:rtl/>
        </w:rPr>
        <w:t>،</w:t>
      </w:r>
      <w:r w:rsidRPr="00A52585">
        <w:rPr>
          <w:rFonts w:eastAsia="Times New Roman" w:hint="cs"/>
          <w:rtl/>
        </w:rPr>
        <w:t xml:space="preserve"> واتصال وانفصال</w:t>
      </w:r>
      <w:r w:rsidR="00DB731D" w:rsidRPr="00A52585">
        <w:rPr>
          <w:rFonts w:eastAsia="Times New Roman" w:hint="cs"/>
          <w:rtl/>
        </w:rPr>
        <w:t>،</w:t>
      </w:r>
      <w:r w:rsidRPr="00A52585">
        <w:rPr>
          <w:rFonts w:eastAsia="Times New Roman" w:hint="cs"/>
          <w:rtl/>
        </w:rPr>
        <w:t xml:space="preserve"> وتحيز واختصاص </w:t>
      </w:r>
      <w:proofErr w:type="spellStart"/>
      <w:r w:rsidRPr="00A52585">
        <w:rPr>
          <w:rFonts w:eastAsia="Times New Roman" w:hint="cs"/>
          <w:rtl/>
        </w:rPr>
        <w:t>بجهه</w:t>
      </w:r>
      <w:proofErr w:type="spellEnd"/>
      <w:r w:rsidR="00DB731D" w:rsidRPr="00A52585">
        <w:rPr>
          <w:rFonts w:eastAsia="Times New Roman" w:hint="cs"/>
          <w:rtl/>
        </w:rPr>
        <w:t>،</w:t>
      </w:r>
      <w:r w:rsidRPr="00A52585">
        <w:rPr>
          <w:rFonts w:eastAsia="Times New Roman" w:hint="cs"/>
          <w:rtl/>
        </w:rPr>
        <w:t xml:space="preserve"> او إحاطة بالظرفية</w:t>
      </w:r>
      <w:r w:rsidR="00897A24" w:rsidRPr="00A52585">
        <w:rPr>
          <w:rFonts w:eastAsia="Times New Roman" w:hint="cs"/>
          <w:rtl/>
        </w:rPr>
        <w:t>.</w:t>
      </w:r>
      <w:r w:rsidRPr="00A52585">
        <w:rPr>
          <w:rFonts w:eastAsia="Times New Roman" w:hint="cs"/>
          <w:rtl/>
        </w:rPr>
        <w:t>...) انظر كتابه جواهر المعاني الجزء الاول</w:t>
      </w:r>
      <w:r w:rsidR="00DB731D" w:rsidRPr="00A52585">
        <w:rPr>
          <w:rFonts w:eastAsia="Times New Roman" w:hint="cs"/>
          <w:rtl/>
        </w:rPr>
        <w:t>،</w:t>
      </w:r>
      <w:r w:rsidRPr="00A52585">
        <w:rPr>
          <w:rFonts w:eastAsia="Times New Roman" w:hint="cs"/>
          <w:rtl/>
        </w:rPr>
        <w:t xml:space="preserve"> ونقله عنه تلميذه محمد بن احمد البشير البكري الشنقيطي في كتابه كوثر الاماني والتهاني لموارد النجاح والفلاح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263</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247-</w:t>
      </w:r>
      <w:r w:rsidR="0002035C" w:rsidRPr="00A52585">
        <w:rPr>
          <w:rFonts w:eastAsia="Times New Roman" w:hint="cs"/>
          <w:rtl/>
        </w:rPr>
        <w:t xml:space="preserve"> </w:t>
      </w:r>
      <w:r w:rsidRPr="00A52585">
        <w:rPr>
          <w:rFonts w:eastAsia="Times New Roman" w:hint="cs"/>
          <w:rtl/>
        </w:rPr>
        <w:t>وقال ايضا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 xml:space="preserve">كما قال بعض الاكابر في هذا الحد </w:t>
      </w:r>
      <w:r w:rsidR="0002035C" w:rsidRPr="00A52585">
        <w:rPr>
          <w:rFonts w:eastAsia="Times New Roman" w:hint="cs"/>
          <w:rtl/>
        </w:rPr>
        <w:t>(</w:t>
      </w:r>
      <w:r w:rsidRPr="00A52585">
        <w:rPr>
          <w:rFonts w:eastAsia="Times New Roman" w:hint="cs"/>
          <w:rtl/>
        </w:rPr>
        <w:t>لا يتمثل في النفس</w:t>
      </w:r>
      <w:r w:rsidR="00DB731D" w:rsidRPr="00A52585">
        <w:rPr>
          <w:rFonts w:eastAsia="Times New Roman" w:hint="cs"/>
          <w:rtl/>
        </w:rPr>
        <w:t>،</w:t>
      </w:r>
      <w:r w:rsidRPr="00A52585">
        <w:rPr>
          <w:rFonts w:eastAsia="Times New Roman" w:hint="cs"/>
          <w:rtl/>
        </w:rPr>
        <w:t xml:space="preserve"> ولا يتصور في الذهن</w:t>
      </w:r>
      <w:r w:rsidR="00DB731D" w:rsidRPr="00A52585">
        <w:rPr>
          <w:rFonts w:eastAsia="Times New Roman" w:hint="cs"/>
          <w:rtl/>
        </w:rPr>
        <w:t>،</w:t>
      </w:r>
      <w:r w:rsidRPr="00A52585">
        <w:rPr>
          <w:rFonts w:eastAsia="Times New Roman" w:hint="cs"/>
          <w:rtl/>
        </w:rPr>
        <w:t xml:space="preserve"> ولا يتصور في الوهم</w:t>
      </w:r>
      <w:r w:rsidR="00DB731D" w:rsidRPr="00A52585">
        <w:rPr>
          <w:rFonts w:eastAsia="Times New Roman" w:hint="cs"/>
          <w:rtl/>
        </w:rPr>
        <w:t>،</w:t>
      </w:r>
      <w:r w:rsidRPr="00A52585">
        <w:rPr>
          <w:rFonts w:eastAsia="Times New Roman" w:hint="cs"/>
          <w:rtl/>
        </w:rPr>
        <w:t xml:space="preserve"> ولا يتكيف في العقل</w:t>
      </w:r>
      <w:r w:rsidR="00DB731D" w:rsidRPr="00A52585">
        <w:rPr>
          <w:rFonts w:eastAsia="Times New Roman" w:hint="cs"/>
          <w:rtl/>
        </w:rPr>
        <w:t>،</w:t>
      </w:r>
      <w:r w:rsidRPr="00A52585">
        <w:rPr>
          <w:rFonts w:eastAsia="Times New Roman" w:hint="cs"/>
          <w:rtl/>
        </w:rPr>
        <w:t xml:space="preserve"> لا تلحقه العقول</w:t>
      </w:r>
      <w:r w:rsidR="00DB731D" w:rsidRPr="00A52585">
        <w:rPr>
          <w:rFonts w:eastAsia="Times New Roman" w:hint="cs"/>
          <w:rtl/>
        </w:rPr>
        <w:t>،</w:t>
      </w:r>
      <w:r w:rsidRPr="00A52585">
        <w:rPr>
          <w:rFonts w:eastAsia="Times New Roman" w:hint="cs"/>
          <w:rtl/>
        </w:rPr>
        <w:t xml:space="preserve"> ولا الافكار</w:t>
      </w:r>
      <w:r w:rsidR="00DB731D" w:rsidRPr="00A52585">
        <w:rPr>
          <w:rFonts w:eastAsia="Times New Roman" w:hint="cs"/>
          <w:rtl/>
        </w:rPr>
        <w:t>،</w:t>
      </w:r>
      <w:r w:rsidRPr="00A52585">
        <w:rPr>
          <w:rFonts w:eastAsia="Times New Roman" w:hint="cs"/>
          <w:rtl/>
        </w:rPr>
        <w:t xml:space="preserve"> ولا تحيط به الجهات</w:t>
      </w:r>
      <w:r w:rsidR="00DB731D" w:rsidRPr="00A52585">
        <w:rPr>
          <w:rFonts w:eastAsia="Times New Roman" w:hint="cs"/>
          <w:rtl/>
        </w:rPr>
        <w:t>،</w:t>
      </w:r>
      <w:r w:rsidRPr="00A52585">
        <w:rPr>
          <w:rFonts w:eastAsia="Times New Roman" w:hint="cs"/>
          <w:rtl/>
        </w:rPr>
        <w:t xml:space="preserve"> ولا الاقطار</w:t>
      </w:r>
      <w:r w:rsidR="0002035C" w:rsidRPr="00A52585">
        <w:rPr>
          <w:rFonts w:eastAsia="Times New Roman" w:hint="cs"/>
          <w:rtl/>
        </w:rPr>
        <w:t>)</w:t>
      </w:r>
      <w:r w:rsidRPr="00A52585">
        <w:rPr>
          <w:rFonts w:eastAsia="Times New Roman" w:hint="cs"/>
          <w:rtl/>
        </w:rPr>
        <w:t xml:space="preserve"> المصدر السابق</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248- وقال ايضا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فلا اتصال</w:t>
      </w:r>
      <w:r w:rsidR="00DB731D" w:rsidRPr="00A52585">
        <w:rPr>
          <w:rFonts w:eastAsia="Times New Roman" w:hint="cs"/>
          <w:rtl/>
        </w:rPr>
        <w:t>،</w:t>
      </w:r>
      <w:r w:rsidRPr="00A52585">
        <w:rPr>
          <w:rFonts w:eastAsia="Times New Roman" w:hint="cs"/>
          <w:rtl/>
        </w:rPr>
        <w:t xml:space="preserve"> ولا انفصال</w:t>
      </w:r>
      <w:r w:rsidR="00DB731D" w:rsidRPr="00A52585">
        <w:rPr>
          <w:rFonts w:eastAsia="Times New Roman" w:hint="cs"/>
          <w:rtl/>
        </w:rPr>
        <w:t>،</w:t>
      </w:r>
      <w:r w:rsidRPr="00A52585">
        <w:rPr>
          <w:rFonts w:eastAsia="Times New Roman" w:hint="cs"/>
          <w:rtl/>
        </w:rPr>
        <w:t xml:space="preserve"> ولا مسافة للقرب والبعد</w:t>
      </w:r>
      <w:r w:rsidR="00DB731D" w:rsidRPr="00A52585">
        <w:rPr>
          <w:rFonts w:eastAsia="Times New Roman" w:hint="cs"/>
          <w:rtl/>
        </w:rPr>
        <w:t>،</w:t>
      </w:r>
      <w:r w:rsidRPr="00A52585">
        <w:rPr>
          <w:rFonts w:eastAsia="Times New Roman" w:hint="cs"/>
          <w:rtl/>
        </w:rPr>
        <w:t xml:space="preserve"> ولا </w:t>
      </w:r>
      <w:proofErr w:type="spellStart"/>
      <w:r w:rsidRPr="00A52585">
        <w:rPr>
          <w:rFonts w:eastAsia="Times New Roman" w:hint="cs"/>
          <w:rtl/>
        </w:rPr>
        <w:t>أينيّة</w:t>
      </w:r>
      <w:proofErr w:type="spellEnd"/>
      <w:r w:rsidR="00DB731D" w:rsidRPr="00A52585">
        <w:rPr>
          <w:rFonts w:eastAsia="Times New Roman" w:hint="cs"/>
          <w:rtl/>
        </w:rPr>
        <w:t>،</w:t>
      </w:r>
      <w:r w:rsidRPr="00A52585">
        <w:rPr>
          <w:rFonts w:eastAsia="Times New Roman" w:hint="cs"/>
          <w:rtl/>
        </w:rPr>
        <w:t xml:space="preserve"> ولا حلول</w:t>
      </w:r>
      <w:r w:rsidR="00DB731D" w:rsidRPr="00A52585">
        <w:rPr>
          <w:rFonts w:eastAsia="Times New Roman" w:hint="cs"/>
          <w:rtl/>
        </w:rPr>
        <w:t>،</w:t>
      </w:r>
      <w:r w:rsidRPr="00A52585">
        <w:rPr>
          <w:rFonts w:eastAsia="Times New Roman" w:hint="cs"/>
          <w:rtl/>
        </w:rPr>
        <w:t xml:space="preserve"> ولا مكان</w:t>
      </w:r>
      <w:r w:rsidR="00DB731D" w:rsidRPr="00A52585">
        <w:rPr>
          <w:rFonts w:eastAsia="Times New Roman" w:hint="cs"/>
          <w:rtl/>
        </w:rPr>
        <w:t>،</w:t>
      </w:r>
      <w:r w:rsidRPr="00A52585">
        <w:rPr>
          <w:rFonts w:eastAsia="Times New Roman" w:hint="cs"/>
          <w:rtl/>
        </w:rPr>
        <w:t xml:space="preserve"> ولا دخول</w:t>
      </w:r>
      <w:r w:rsidR="00DB731D" w:rsidRPr="00A52585">
        <w:rPr>
          <w:rFonts w:eastAsia="Times New Roman" w:hint="cs"/>
          <w:rtl/>
        </w:rPr>
        <w:t>،</w:t>
      </w:r>
      <w:r w:rsidRPr="00A52585">
        <w:rPr>
          <w:rFonts w:eastAsia="Times New Roman" w:hint="cs"/>
          <w:rtl/>
        </w:rPr>
        <w:t xml:space="preserve"> ولا خروج</w:t>
      </w:r>
      <w:r w:rsidR="00DB731D" w:rsidRPr="00A52585">
        <w:rPr>
          <w:rFonts w:eastAsia="Times New Roman" w:hint="cs"/>
          <w:rtl/>
        </w:rPr>
        <w:t>،</w:t>
      </w:r>
      <w:r w:rsidRPr="00A52585">
        <w:rPr>
          <w:rFonts w:eastAsia="Times New Roman" w:hint="cs"/>
          <w:rtl/>
        </w:rPr>
        <w:t xml:space="preserve"> ولا تعدد للذات بتعددها بالمعية</w:t>
      </w:r>
      <w:r w:rsidR="0002035C" w:rsidRPr="00A52585">
        <w:rPr>
          <w:rFonts w:eastAsia="Times New Roman" w:hint="cs"/>
          <w:rtl/>
        </w:rPr>
        <w:t>)</w:t>
      </w:r>
      <w:r w:rsidRPr="00A52585">
        <w:rPr>
          <w:rFonts w:eastAsia="Times New Roman" w:hint="cs"/>
          <w:rtl/>
        </w:rPr>
        <w:t xml:space="preserve"> المصدر السابق</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249- وقال محشية العدوي رحمه الله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 xml:space="preserve">قوله انه يفهم منه </w:t>
      </w:r>
      <w:proofErr w:type="spellStart"/>
      <w:r w:rsidRPr="00A52585">
        <w:rPr>
          <w:rFonts w:eastAsia="Times New Roman" w:hint="cs"/>
          <w:rtl/>
        </w:rPr>
        <w:t>الجهه</w:t>
      </w:r>
      <w:proofErr w:type="spellEnd"/>
      <w:r w:rsidR="0002035C" w:rsidRPr="00A52585">
        <w:rPr>
          <w:rFonts w:eastAsia="Times New Roman" w:hint="cs"/>
          <w:rtl/>
        </w:rPr>
        <w:t>:</w:t>
      </w:r>
      <w:r w:rsidRPr="00A52585">
        <w:rPr>
          <w:rFonts w:eastAsia="Times New Roman" w:hint="cs"/>
          <w:rtl/>
        </w:rPr>
        <w:t xml:space="preserve"> المناسب ان يقول</w:t>
      </w:r>
      <w:r w:rsidR="0002035C" w:rsidRPr="00A52585">
        <w:rPr>
          <w:rFonts w:eastAsia="Times New Roman" w:hint="cs"/>
          <w:rtl/>
        </w:rPr>
        <w:t>:</w:t>
      </w:r>
      <w:r w:rsidRPr="00A52585">
        <w:rPr>
          <w:rFonts w:eastAsia="Times New Roman" w:hint="cs"/>
          <w:rtl/>
        </w:rPr>
        <w:t xml:space="preserve"> المكان الذي قد صرح به بقوله وهو سبحانه منزه عن المكان</w:t>
      </w:r>
      <w:r w:rsidR="0002035C" w:rsidRPr="00A52585">
        <w:rPr>
          <w:rFonts w:eastAsia="Times New Roman" w:hint="cs"/>
          <w:rtl/>
        </w:rPr>
        <w:t>)</w:t>
      </w:r>
      <w:r w:rsidRPr="00A52585">
        <w:rPr>
          <w:rFonts w:eastAsia="Times New Roman" w:hint="cs"/>
          <w:rtl/>
        </w:rPr>
        <w:t xml:space="preserve"> نقله عنه محمد بن احمد البشير البكري الشنقيطي في كتابه كوثر الاماني والتهاني لموارد النجاح والفلاح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265</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250- وقال ايضا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قوله على العرش استوى وعلى الملك احتوى</w:t>
      </w:r>
      <w:r w:rsidR="00DB731D" w:rsidRPr="00A52585">
        <w:rPr>
          <w:rFonts w:eastAsia="Times New Roman" w:hint="cs"/>
          <w:rtl/>
        </w:rPr>
        <w:t>،</w:t>
      </w:r>
      <w:r w:rsidRPr="00A52585">
        <w:rPr>
          <w:rFonts w:eastAsia="Times New Roman" w:hint="cs"/>
          <w:rtl/>
        </w:rPr>
        <w:t xml:space="preserve"> وله الاسماء الحسنى والصفات العلى</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استوى بالقهر والغلبة ؛ استيلاء ملك واله قادر</w:t>
      </w:r>
      <w:r w:rsidR="00DB731D" w:rsidRPr="00A52585">
        <w:rPr>
          <w:rFonts w:eastAsia="Times New Roman" w:hint="cs"/>
          <w:rtl/>
        </w:rPr>
        <w:t>،</w:t>
      </w:r>
      <w:r w:rsidRPr="00A52585">
        <w:rPr>
          <w:rFonts w:eastAsia="Times New Roman" w:hint="cs"/>
          <w:rtl/>
        </w:rPr>
        <w:t xml:space="preserve"> واله قاهر</w:t>
      </w:r>
      <w:r w:rsidR="0002035C" w:rsidRPr="00A52585">
        <w:rPr>
          <w:rFonts w:eastAsia="Times New Roman" w:hint="cs"/>
          <w:rtl/>
        </w:rPr>
        <w:t>)</w:t>
      </w:r>
      <w:r w:rsidRPr="00A52585">
        <w:rPr>
          <w:rFonts w:eastAsia="Times New Roman" w:hint="cs"/>
          <w:rtl/>
        </w:rPr>
        <w:t xml:space="preserve"> المصدر السابق</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251- وقال الشيخ محدث بيروت محمد بن درويش الحوت </w:t>
      </w:r>
      <w:r w:rsidRPr="00A52585">
        <w:rPr>
          <w:rFonts w:eastAsia="Times New Roman" w:hint="cs"/>
          <w:rtl/>
        </w:rPr>
        <w:lastRenderedPageBreak/>
        <w:t>الحسيني البيروتي الشافعي الأشعري (1276هـ</w:t>
      </w:r>
      <w:r w:rsidR="0002035C" w:rsidRPr="00A52585">
        <w:rPr>
          <w:rFonts w:eastAsia="Times New Roman" w:hint="cs"/>
          <w:rtl/>
        </w:rPr>
        <w:t>)</w:t>
      </w:r>
      <w:r w:rsidRPr="00A52585">
        <w:rPr>
          <w:rFonts w:eastAsia="Times New Roman" w:hint="cs"/>
          <w:rtl/>
        </w:rPr>
        <w:t>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اعلم أنه تعالى منزه عن الحلول والاتحاد بشيء من الكون</w:t>
      </w:r>
      <w:r w:rsidR="0002035C" w:rsidRPr="00A52585">
        <w:rPr>
          <w:rFonts w:eastAsia="Times New Roman" w:hint="cs"/>
          <w:rtl/>
        </w:rPr>
        <w:t>)</w:t>
      </w:r>
      <w:r w:rsidRPr="00A52585">
        <w:rPr>
          <w:rFonts w:eastAsia="Times New Roman" w:hint="cs"/>
          <w:rtl/>
        </w:rPr>
        <w:t xml:space="preserve"> رسائل في بيان عقائد أهل السنة والجماعة </w:t>
      </w:r>
      <w:r w:rsidR="0002035C" w:rsidRPr="00A52585">
        <w:rPr>
          <w:rFonts w:eastAsia="Times New Roman" w:hint="cs"/>
          <w:rtl/>
        </w:rPr>
        <w:t>(</w:t>
      </w:r>
      <w:r w:rsidRPr="00A52585">
        <w:rPr>
          <w:rFonts w:eastAsia="Times New Roman" w:hint="cs"/>
          <w:rtl/>
        </w:rPr>
        <w:t>ص 40</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252- وقال أيضا</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ولا يدخل في وجوده - تعالى - زمان ولا مكان</w:t>
      </w:r>
      <w:r w:rsidR="00DB731D" w:rsidRPr="00A52585">
        <w:rPr>
          <w:rFonts w:eastAsia="Times New Roman" w:hint="cs"/>
          <w:rtl/>
        </w:rPr>
        <w:t>،</w:t>
      </w:r>
      <w:r w:rsidRPr="00A52585">
        <w:rPr>
          <w:rFonts w:eastAsia="Times New Roman" w:hint="cs"/>
          <w:rtl/>
        </w:rPr>
        <w:t xml:space="preserve"> فإنه السابق على الزمان و المكان</w:t>
      </w:r>
      <w:r w:rsidR="0002035C" w:rsidRPr="00A52585">
        <w:rPr>
          <w:rFonts w:eastAsia="Times New Roman" w:hint="cs"/>
          <w:rtl/>
        </w:rPr>
        <w:t>)</w:t>
      </w:r>
      <w:r w:rsidRPr="00A52585">
        <w:rPr>
          <w:rFonts w:eastAsia="Times New Roman" w:hint="cs"/>
          <w:rtl/>
        </w:rPr>
        <w:t xml:space="preserve"> رسائل في بيان عقائد أهل السنة والجماعة </w:t>
      </w:r>
      <w:r w:rsidR="0002035C" w:rsidRPr="00A52585">
        <w:rPr>
          <w:rFonts w:eastAsia="Times New Roman" w:hint="cs"/>
          <w:rtl/>
        </w:rPr>
        <w:t>(</w:t>
      </w:r>
      <w:r w:rsidRPr="00A52585">
        <w:rPr>
          <w:rFonts w:eastAsia="Times New Roman" w:hint="cs"/>
          <w:rtl/>
        </w:rPr>
        <w:t>ص 44 - 49</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253- وقال أيضا</w:t>
      </w:r>
      <w:r w:rsidR="0002035C" w:rsidRPr="00A52585">
        <w:rPr>
          <w:rFonts w:eastAsia="Times New Roman" w:hint="cs"/>
          <w:rtl/>
        </w:rPr>
        <w:t>: (</w:t>
      </w:r>
      <w:r w:rsidRPr="00A52585">
        <w:rPr>
          <w:rFonts w:eastAsia="Times New Roman" w:hint="cs"/>
          <w:rtl/>
        </w:rPr>
        <w:t>إن الله تعالى</w:t>
      </w:r>
      <w:r w:rsidR="0002035C" w:rsidRPr="00A52585">
        <w:rPr>
          <w:rFonts w:eastAsia="Times New Roman" w:hint="cs"/>
          <w:rtl/>
        </w:rPr>
        <w:t>:</w:t>
      </w:r>
      <w:r w:rsidRPr="00A52585">
        <w:rPr>
          <w:rFonts w:eastAsia="Times New Roman" w:hint="cs"/>
          <w:rtl/>
        </w:rPr>
        <w:t xml:space="preserve"> ليس بنار ولا نور ولا روح ولا ريح ولا جسم ولا عرض ولا يتصف بمكان ولا زمان ولا هيئة ولا حركة ولا سكون ولا قيام ولا قعود ولا جهة ولا بعلو ولا بسفل ولا بكونه فوق العالم أو تحته</w:t>
      </w:r>
      <w:r w:rsidR="00DB731D" w:rsidRPr="00A52585">
        <w:rPr>
          <w:rFonts w:eastAsia="Times New Roman" w:hint="cs"/>
          <w:rtl/>
        </w:rPr>
        <w:t>،</w:t>
      </w:r>
      <w:r w:rsidRPr="00A52585">
        <w:rPr>
          <w:rFonts w:eastAsia="Times New Roman" w:hint="cs"/>
          <w:rtl/>
        </w:rPr>
        <w:t xml:space="preserve"> ولا يقال كيف هو ولا أين هو</w:t>
      </w:r>
      <w:r w:rsidR="0002035C" w:rsidRPr="00A52585">
        <w:rPr>
          <w:rFonts w:eastAsia="Times New Roman" w:hint="cs"/>
          <w:rtl/>
        </w:rPr>
        <w:t>)</w:t>
      </w:r>
      <w:r w:rsidRPr="00A52585">
        <w:rPr>
          <w:rFonts w:eastAsia="Times New Roman" w:hint="cs"/>
          <w:rtl/>
        </w:rPr>
        <w:t xml:space="preserve"> رسائل في بيان عقائد أهل السنة والجماعة </w:t>
      </w:r>
      <w:r w:rsidR="0002035C" w:rsidRPr="00A52585">
        <w:rPr>
          <w:rFonts w:eastAsia="Times New Roman" w:hint="cs"/>
          <w:rtl/>
        </w:rPr>
        <w:t>(</w:t>
      </w:r>
      <w:r w:rsidRPr="00A52585">
        <w:rPr>
          <w:rFonts w:eastAsia="Times New Roman" w:hint="cs"/>
          <w:rtl/>
        </w:rPr>
        <w:t>ص 44 - 49</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254- وقال أيضا</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نّزِّه الحقَّ سبحانه وتعالى عن كل ما يوهم الجسمية أو المكان أو الحدوث</w:t>
      </w:r>
      <w:r w:rsidR="00DB731D" w:rsidRPr="00A52585">
        <w:rPr>
          <w:rFonts w:eastAsia="Times New Roman" w:hint="cs"/>
          <w:rtl/>
        </w:rPr>
        <w:t>،</w:t>
      </w:r>
      <w:r w:rsidRPr="00A52585">
        <w:rPr>
          <w:rFonts w:eastAsia="Times New Roman" w:hint="cs"/>
          <w:rtl/>
        </w:rPr>
        <w:t xml:space="preserve"> وفوَّض علم الحقيقة له تعالى في المتشابه نحو قوله تعالى</w:t>
      </w:r>
      <w:r w:rsidR="0002035C" w:rsidRPr="00A52585">
        <w:rPr>
          <w:rFonts w:eastAsia="Times New Roman" w:hint="cs"/>
          <w:rtl/>
        </w:rPr>
        <w:t>:</w:t>
      </w:r>
      <w:r w:rsidRPr="00A52585">
        <w:rPr>
          <w:rFonts w:eastAsia="Times New Roman" w:hint="cs"/>
          <w:rtl/>
        </w:rPr>
        <w:t>" الرَّحْمَنُ عَلَى الْعَرْشِ اسْتَوَى "</w:t>
      </w:r>
      <w:r w:rsidR="0002035C" w:rsidRPr="00A52585">
        <w:rPr>
          <w:rFonts w:eastAsia="Times New Roman" w:hint="cs"/>
          <w:rtl/>
        </w:rPr>
        <w:t>)</w:t>
      </w:r>
      <w:r w:rsidRPr="00A52585">
        <w:rPr>
          <w:rFonts w:eastAsia="Times New Roman" w:hint="cs"/>
          <w:rtl/>
        </w:rPr>
        <w:t xml:space="preserve"> المصدر السابق (ص 106)</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قلت</w:t>
      </w:r>
      <w:r w:rsidR="0002035C" w:rsidRPr="00A52585">
        <w:rPr>
          <w:rFonts w:eastAsia="Times New Roman" w:hint="cs"/>
          <w:rtl/>
        </w:rPr>
        <w:t>:</w:t>
      </w:r>
      <w:r w:rsidRPr="00A52585">
        <w:rPr>
          <w:rFonts w:eastAsia="Times New Roman" w:hint="cs"/>
          <w:rtl/>
        </w:rPr>
        <w:t xml:space="preserve"> والشيخ الحوت هذا وُلد في بيروت سنة 1209 هـ وحفظ القرءان الكريم اتقانا واستظهارا وترتيلا</w:t>
      </w:r>
      <w:r w:rsidR="00DB731D" w:rsidRPr="00A52585">
        <w:rPr>
          <w:rFonts w:eastAsia="Times New Roman" w:hint="cs"/>
          <w:rtl/>
        </w:rPr>
        <w:t>،</w:t>
      </w:r>
      <w:r w:rsidRPr="00A52585">
        <w:rPr>
          <w:rFonts w:eastAsia="Times New Roman" w:hint="cs"/>
          <w:rtl/>
        </w:rPr>
        <w:t xml:space="preserve"> وقرأ على مفتي بيروت العالم الفاضل الشيخ عبداللطيف فتح الله الشيخ محمد المسيري الإسكندري، ثم رحل إلى دمشق وتلقى العلوم على عدد من العلماء منهم مسند الشام عبد الرحمن الكزبري</w:t>
      </w:r>
      <w:r w:rsidR="00DB731D" w:rsidRPr="00A52585">
        <w:rPr>
          <w:rFonts w:eastAsia="Times New Roman" w:hint="cs"/>
          <w:rtl/>
        </w:rPr>
        <w:t>،</w:t>
      </w:r>
      <w:r w:rsidRPr="00A52585">
        <w:rPr>
          <w:rFonts w:eastAsia="Times New Roman" w:hint="cs"/>
          <w:rtl/>
        </w:rPr>
        <w:t xml:space="preserve"> وابن عابدين الحنفي صاحب الحاشية المشهورة والشيخ عبد الرحمن الطيبي وغيرهم، ثم عاد إلى بيروت وصار يدرِّس في الجامع العمري الكبير عقيدة أهل السنة والجماعة وغيرها من العلوم الشرعية النافعة فانتفع به الخاص والعام</w:t>
      </w:r>
      <w:r w:rsidR="00DB731D" w:rsidRPr="00A52585">
        <w:rPr>
          <w:rFonts w:eastAsia="Times New Roman" w:hint="cs"/>
          <w:rtl/>
        </w:rPr>
        <w:t>،</w:t>
      </w:r>
      <w:r w:rsidRPr="00A52585">
        <w:rPr>
          <w:rFonts w:eastAsia="Times New Roman" w:hint="cs"/>
          <w:rtl/>
        </w:rPr>
        <w:t xml:space="preserve"> وقد تخرج على يديه أكثر علماء بيروت ومنهم الشيخ عبد الباسط الفاخوري مفتي ولاية بيروت والأستاذ أبو الحسن قاسم </w:t>
      </w:r>
      <w:proofErr w:type="spellStart"/>
      <w:r w:rsidRPr="00A52585">
        <w:rPr>
          <w:rFonts w:eastAsia="Times New Roman" w:hint="cs"/>
          <w:rtl/>
        </w:rPr>
        <w:t>الكستي</w:t>
      </w:r>
      <w:proofErr w:type="spellEnd"/>
      <w:r w:rsidRPr="00A52585">
        <w:rPr>
          <w:rFonts w:eastAsia="Times New Roman" w:hint="cs"/>
          <w:rtl/>
        </w:rPr>
        <w:t xml:space="preserve"> قاضي بيروت وغيرهما من أهل العلم والفضل. ودفن في تربة الباشورة رحمه الله تعالى وأدخله فسيح جناته</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256- وقال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ويجب في حقه تعالى القيام بالنفس</w:t>
      </w:r>
      <w:r w:rsidR="00DB731D" w:rsidRPr="00A52585">
        <w:rPr>
          <w:rFonts w:eastAsia="Times New Roman" w:hint="cs"/>
          <w:rtl/>
        </w:rPr>
        <w:t>،</w:t>
      </w:r>
      <w:r w:rsidRPr="00A52585">
        <w:rPr>
          <w:rFonts w:eastAsia="Times New Roman" w:hint="cs"/>
          <w:rtl/>
        </w:rPr>
        <w:t xml:space="preserve"> ومعناه أنه تعالى لا يفتقر إلى محل ولا إلى مخصص</w:t>
      </w:r>
      <w:r w:rsidR="0002035C" w:rsidRPr="00A52585">
        <w:rPr>
          <w:rFonts w:eastAsia="Times New Roman" w:hint="cs"/>
          <w:rtl/>
        </w:rPr>
        <w:t>)</w:t>
      </w:r>
      <w:r w:rsidRPr="00A52585">
        <w:rPr>
          <w:rFonts w:eastAsia="Times New Roman" w:hint="cs"/>
          <w:rtl/>
        </w:rPr>
        <w:t xml:space="preserve"> رسالة في علم التوحيد</w:t>
      </w:r>
      <w:r w:rsidR="00DB731D" w:rsidRPr="00A52585">
        <w:rPr>
          <w:rFonts w:eastAsia="Times New Roman" w:hint="cs"/>
          <w:rtl/>
        </w:rPr>
        <w:t>،</w:t>
      </w:r>
      <w:r w:rsidRPr="00A52585">
        <w:rPr>
          <w:rFonts w:eastAsia="Times New Roman" w:hint="cs"/>
          <w:rtl/>
        </w:rPr>
        <w:t xml:space="preserve"> أنظر مجموع</w:t>
      </w:r>
      <w:r w:rsidR="00DB731D" w:rsidRPr="00A52585">
        <w:rPr>
          <w:rFonts w:eastAsia="Times New Roman" w:hint="cs"/>
          <w:rtl/>
        </w:rPr>
        <w:t>،</w:t>
      </w:r>
      <w:r w:rsidRPr="00A52585">
        <w:rPr>
          <w:rFonts w:eastAsia="Times New Roman" w:hint="cs"/>
          <w:rtl/>
        </w:rPr>
        <w:t xml:space="preserve"> أمهات المتون (ص 40</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257- وقال الصوفي العارف بالله الزاهد العابد الشيخ بهاء الدين محمد مهدي بن علي </w:t>
      </w:r>
      <w:proofErr w:type="spellStart"/>
      <w:r w:rsidRPr="00A52585">
        <w:rPr>
          <w:rFonts w:eastAsia="Times New Roman" w:hint="cs"/>
          <w:rtl/>
        </w:rPr>
        <w:t>الرواس</w:t>
      </w:r>
      <w:proofErr w:type="spellEnd"/>
      <w:r w:rsidRPr="00A52585">
        <w:rPr>
          <w:rFonts w:eastAsia="Times New Roman" w:hint="cs"/>
          <w:rtl/>
        </w:rPr>
        <w:t xml:space="preserve"> الصيادي الحسيني الشافعي (287 هـ)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الوسيلة الأولى صحة الاعتقاد</w:t>
      </w:r>
      <w:r w:rsidR="00DB731D" w:rsidRPr="00A52585">
        <w:rPr>
          <w:rFonts w:eastAsia="Times New Roman" w:hint="cs"/>
          <w:rtl/>
        </w:rPr>
        <w:t>،</w:t>
      </w:r>
      <w:r w:rsidRPr="00A52585">
        <w:rPr>
          <w:rFonts w:eastAsia="Times New Roman" w:hint="cs"/>
          <w:rtl/>
        </w:rPr>
        <w:t xml:space="preserve"> ولنذكر ذلك بالاختصار على الوجه الكافي</w:t>
      </w:r>
      <w:r w:rsidR="00DB731D" w:rsidRPr="00A52585">
        <w:rPr>
          <w:rFonts w:eastAsia="Times New Roman" w:hint="cs"/>
          <w:rtl/>
        </w:rPr>
        <w:t>،</w:t>
      </w:r>
      <w:r w:rsidRPr="00A52585">
        <w:rPr>
          <w:rFonts w:eastAsia="Times New Roman" w:hint="cs"/>
          <w:rtl/>
        </w:rPr>
        <w:t xml:space="preserve"> وهو أن يعتقد المرء أن الله واحد لا شريك له</w:t>
      </w:r>
      <w:r w:rsidR="00DB731D" w:rsidRPr="00A52585">
        <w:rPr>
          <w:rFonts w:eastAsia="Times New Roman" w:hint="cs"/>
          <w:rtl/>
        </w:rPr>
        <w:t>،</w:t>
      </w:r>
      <w:r w:rsidRPr="00A52585">
        <w:rPr>
          <w:rFonts w:eastAsia="Times New Roman" w:hint="cs"/>
          <w:rtl/>
        </w:rPr>
        <w:t xml:space="preserve"> وهو الأول والآخر</w:t>
      </w:r>
      <w:r w:rsidR="00DB731D" w:rsidRPr="00A52585">
        <w:rPr>
          <w:rFonts w:eastAsia="Times New Roman" w:hint="cs"/>
          <w:rtl/>
        </w:rPr>
        <w:t>،</w:t>
      </w:r>
      <w:r w:rsidRPr="00A52585">
        <w:rPr>
          <w:rFonts w:eastAsia="Times New Roman" w:hint="cs"/>
          <w:rtl/>
        </w:rPr>
        <w:t xml:space="preserve"> والظاهر والباطن ليس كمثله شيء</w:t>
      </w:r>
      <w:r w:rsidR="00DB731D" w:rsidRPr="00A52585">
        <w:rPr>
          <w:rFonts w:eastAsia="Times New Roman" w:hint="cs"/>
          <w:rtl/>
        </w:rPr>
        <w:t>،</w:t>
      </w:r>
      <w:r w:rsidRPr="00A52585">
        <w:rPr>
          <w:rFonts w:eastAsia="Times New Roman" w:hint="cs"/>
          <w:rtl/>
        </w:rPr>
        <w:t xml:space="preserve"> لا يحده المقدار</w:t>
      </w:r>
      <w:r w:rsidR="00DB731D" w:rsidRPr="00A52585">
        <w:rPr>
          <w:rFonts w:eastAsia="Times New Roman" w:hint="cs"/>
          <w:rtl/>
        </w:rPr>
        <w:t>،</w:t>
      </w:r>
      <w:r w:rsidRPr="00A52585">
        <w:rPr>
          <w:rFonts w:eastAsia="Times New Roman" w:hint="cs"/>
          <w:rtl/>
        </w:rPr>
        <w:t xml:space="preserve"> ولا تحويه الأقطار</w:t>
      </w:r>
      <w:r w:rsidR="00DB731D" w:rsidRPr="00A52585">
        <w:rPr>
          <w:rFonts w:eastAsia="Times New Roman" w:hint="cs"/>
          <w:rtl/>
        </w:rPr>
        <w:t>،</w:t>
      </w:r>
      <w:r w:rsidRPr="00A52585">
        <w:rPr>
          <w:rFonts w:eastAsia="Times New Roman" w:hint="cs"/>
          <w:rtl/>
        </w:rPr>
        <w:t xml:space="preserve"> ولا تحيط به الجهات</w:t>
      </w:r>
      <w:r w:rsidR="00DB731D" w:rsidRPr="00A52585">
        <w:rPr>
          <w:rFonts w:eastAsia="Times New Roman" w:hint="cs"/>
          <w:rtl/>
        </w:rPr>
        <w:t>،</w:t>
      </w:r>
      <w:r w:rsidRPr="00A52585">
        <w:rPr>
          <w:rFonts w:eastAsia="Times New Roman" w:hint="cs"/>
          <w:rtl/>
        </w:rPr>
        <w:t xml:space="preserve"> ولا تكتنفه السموات</w:t>
      </w:r>
      <w:r w:rsidR="0002035C" w:rsidRPr="00A52585">
        <w:rPr>
          <w:rFonts w:eastAsia="Times New Roman" w:hint="cs"/>
          <w:rtl/>
        </w:rPr>
        <w:t>)</w:t>
      </w:r>
      <w:r w:rsidRPr="00A52585">
        <w:rPr>
          <w:rFonts w:eastAsia="Times New Roman" w:hint="cs"/>
          <w:rtl/>
        </w:rPr>
        <w:t xml:space="preserve"> بورق الحقائق (ص 420</w:t>
      </w:r>
      <w:r w:rsidR="0002035C" w:rsidRPr="00A52585">
        <w:rPr>
          <w:rFonts w:eastAsia="Times New Roman" w:hint="cs"/>
          <w:rtl/>
        </w:rPr>
        <w:t>)</w:t>
      </w:r>
      <w:r w:rsidR="00897A24" w:rsidRPr="00A52585">
        <w:rPr>
          <w:rFonts w:eastAsia="Times New Roman" w:hint="cs"/>
          <w:rtl/>
        </w:rPr>
        <w:t>.</w:t>
      </w:r>
      <w:r w:rsidRPr="00A52585">
        <w:rPr>
          <w:rFonts w:eastAsia="Times New Roman" w:hint="cs"/>
          <w:rtl/>
        </w:rPr>
        <w:t xml:space="preserve"> باختصار</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258- ويقول الشيخ عمر بن محمد الأنسي الشافعي البيروتي (293 اهـ) في ديوانه ما نصه</w:t>
      </w:r>
      <w:r w:rsidR="0002035C" w:rsidRPr="00A52585">
        <w:rPr>
          <w:rFonts w:eastAsia="Times New Roman" w:hint="cs"/>
          <w:rtl/>
        </w:rPr>
        <w:t>: (</w:t>
      </w:r>
      <w:r w:rsidRPr="00A52585">
        <w:rPr>
          <w:rFonts w:eastAsia="Times New Roman" w:hint="cs"/>
          <w:rtl/>
        </w:rPr>
        <w:t>مـكـانٌ شـادَه شـرفـا وعِـزَا ** إلـهٌ لا يـحـيـط بـه مـكـانَ</w:t>
      </w:r>
      <w:r w:rsidR="0002035C" w:rsidRPr="00A52585">
        <w:rPr>
          <w:rFonts w:eastAsia="Times New Roman" w:hint="cs"/>
          <w:rtl/>
        </w:rPr>
        <w:t>)</w:t>
      </w:r>
      <w:r w:rsidRPr="00A52585">
        <w:rPr>
          <w:rFonts w:eastAsia="Times New Roman" w:hint="cs"/>
          <w:rtl/>
        </w:rPr>
        <w:t xml:space="preserve"> المورد العذب (ص 276</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259- وقال الشيخ العلامة المحدث الفقيه أبو المحاسن محمد القاوقجي </w:t>
      </w:r>
      <w:r w:rsidRPr="00A52585">
        <w:rPr>
          <w:rFonts w:eastAsia="Times New Roman" w:hint="cs"/>
          <w:rtl/>
        </w:rPr>
        <w:lastRenderedPageBreak/>
        <w:t>الطرابلسي اللبناني الحنفي (1305 هـ)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فهذه عقيدة في التوحيد خالصة من الحشو والتعقيد</w:t>
      </w:r>
      <w:r w:rsidR="00DB731D" w:rsidRPr="00A52585">
        <w:rPr>
          <w:rFonts w:eastAsia="Times New Roman" w:hint="cs"/>
          <w:rtl/>
        </w:rPr>
        <w:t>،</w:t>
      </w:r>
      <w:r w:rsidRPr="00A52585">
        <w:rPr>
          <w:rFonts w:eastAsia="Times New Roman" w:hint="cs"/>
          <w:rtl/>
        </w:rPr>
        <w:t xml:space="preserve"> يحتاج إليها كل مريد</w:t>
      </w:r>
      <w:r w:rsidR="00DB731D" w:rsidRPr="00A52585">
        <w:rPr>
          <w:rFonts w:eastAsia="Times New Roman" w:hint="cs"/>
          <w:rtl/>
        </w:rPr>
        <w:t>،</w:t>
      </w:r>
      <w:r w:rsidRPr="00A52585">
        <w:rPr>
          <w:rFonts w:eastAsia="Times New Roman" w:hint="cs"/>
          <w:rtl/>
        </w:rPr>
        <w:t xml:space="preserve"> نفع الله بها جميع العباد</w:t>
      </w:r>
      <w:r w:rsidR="00DB731D" w:rsidRPr="00A52585">
        <w:rPr>
          <w:rFonts w:eastAsia="Times New Roman" w:hint="cs"/>
          <w:rtl/>
        </w:rPr>
        <w:t>،</w:t>
      </w:r>
      <w:r w:rsidRPr="00A52585">
        <w:rPr>
          <w:rFonts w:eastAsia="Times New Roman" w:hint="cs"/>
          <w:rtl/>
        </w:rPr>
        <w:t xml:space="preserve"> </w:t>
      </w:r>
      <w:proofErr w:type="spellStart"/>
      <w:r w:rsidRPr="00A52585">
        <w:rPr>
          <w:rFonts w:eastAsia="Times New Roman" w:hint="cs"/>
          <w:rtl/>
        </w:rPr>
        <w:t>ءامين</w:t>
      </w:r>
      <w:proofErr w:type="spellEnd"/>
      <w:r w:rsidR="00897A24" w:rsidRPr="00A52585">
        <w:rPr>
          <w:rFonts w:eastAsia="Times New Roman" w:hint="cs"/>
          <w:rtl/>
        </w:rPr>
        <w:t>.</w:t>
      </w:r>
      <w:r w:rsidRPr="00A52585">
        <w:rPr>
          <w:rFonts w:eastAsia="Times New Roman" w:hint="cs"/>
          <w:rtl/>
        </w:rPr>
        <w:t xml:space="preserve">..) ثم قال </w:t>
      </w:r>
      <w:r w:rsidR="0002035C" w:rsidRPr="00A52585">
        <w:rPr>
          <w:rFonts w:eastAsia="Times New Roman" w:hint="cs"/>
          <w:rtl/>
        </w:rPr>
        <w:t>(</w:t>
      </w:r>
      <w:r w:rsidRPr="00A52585">
        <w:rPr>
          <w:rFonts w:eastAsia="Times New Roman" w:hint="cs"/>
          <w:rtl/>
        </w:rPr>
        <w:t>فإذا قال لك</w:t>
      </w:r>
      <w:r w:rsidR="0002035C" w:rsidRPr="00A52585">
        <w:rPr>
          <w:rFonts w:eastAsia="Times New Roman" w:hint="cs"/>
          <w:rtl/>
        </w:rPr>
        <w:t>:</w:t>
      </w:r>
      <w:r w:rsidRPr="00A52585">
        <w:rPr>
          <w:rFonts w:eastAsia="Times New Roman" w:hint="cs"/>
          <w:rtl/>
        </w:rPr>
        <w:t xml:space="preserve"> أين الله</w:t>
      </w:r>
      <w:r w:rsidR="00F95886" w:rsidRPr="00A52585">
        <w:rPr>
          <w:rFonts w:eastAsia="Times New Roman" w:hint="cs"/>
          <w:rtl/>
        </w:rPr>
        <w:t>؟</w:t>
      </w:r>
      <w:r w:rsidRPr="00A52585">
        <w:rPr>
          <w:rFonts w:eastAsia="Times New Roman" w:hint="cs"/>
          <w:rtl/>
        </w:rPr>
        <w:t xml:space="preserve"> فقل</w:t>
      </w:r>
      <w:r w:rsidR="0002035C" w:rsidRPr="00A52585">
        <w:rPr>
          <w:rFonts w:eastAsia="Times New Roman" w:hint="cs"/>
          <w:rtl/>
        </w:rPr>
        <w:t>:</w:t>
      </w:r>
      <w:r w:rsidRPr="00A52585">
        <w:rPr>
          <w:rFonts w:eastAsia="Times New Roman" w:hint="cs"/>
          <w:rtl/>
        </w:rPr>
        <w:t xml:space="preserve"> مع كل أحد بعلمه - لا بذاته -</w:t>
      </w:r>
      <w:r w:rsidR="00DB731D" w:rsidRPr="00A52585">
        <w:rPr>
          <w:rFonts w:eastAsia="Times New Roman" w:hint="cs"/>
          <w:rtl/>
        </w:rPr>
        <w:t>،</w:t>
      </w:r>
      <w:r w:rsidRPr="00A52585">
        <w:rPr>
          <w:rFonts w:eastAsia="Times New Roman" w:hint="cs"/>
          <w:rtl/>
        </w:rPr>
        <w:t xml:space="preserve"> وفوق كل أحد بقدرته</w:t>
      </w:r>
      <w:r w:rsidR="00DB731D" w:rsidRPr="00A52585">
        <w:rPr>
          <w:rFonts w:eastAsia="Times New Roman" w:hint="cs"/>
          <w:rtl/>
        </w:rPr>
        <w:t>،</w:t>
      </w:r>
      <w:r w:rsidRPr="00A52585">
        <w:rPr>
          <w:rFonts w:eastAsia="Times New Roman" w:hint="cs"/>
          <w:rtl/>
        </w:rPr>
        <w:t xml:space="preserve"> وظاهر بكل شيء </w:t>
      </w:r>
      <w:proofErr w:type="spellStart"/>
      <w:r w:rsidRPr="00A52585">
        <w:rPr>
          <w:rFonts w:eastAsia="Times New Roman" w:hint="cs"/>
          <w:rtl/>
        </w:rPr>
        <w:t>باثار</w:t>
      </w:r>
      <w:proofErr w:type="spellEnd"/>
      <w:r w:rsidRPr="00A52585">
        <w:rPr>
          <w:rFonts w:eastAsia="Times New Roman" w:hint="cs"/>
          <w:rtl/>
        </w:rPr>
        <w:t xml:space="preserve"> صفاته</w:t>
      </w:r>
      <w:r w:rsidR="00DB731D" w:rsidRPr="00A52585">
        <w:rPr>
          <w:rFonts w:eastAsia="Times New Roman" w:hint="cs"/>
          <w:rtl/>
        </w:rPr>
        <w:t>،</w:t>
      </w:r>
      <w:r w:rsidRPr="00A52585">
        <w:rPr>
          <w:rFonts w:eastAsia="Times New Roman" w:hint="cs"/>
          <w:rtl/>
        </w:rPr>
        <w:t xml:space="preserve"> وباطن بحقيقة ذاته - أي لا يمكن تصويره في النفس-</w:t>
      </w:r>
      <w:r w:rsidR="00DB731D" w:rsidRPr="00A52585">
        <w:rPr>
          <w:rFonts w:eastAsia="Times New Roman" w:hint="cs"/>
          <w:rtl/>
        </w:rPr>
        <w:t>،</w:t>
      </w:r>
      <w:r w:rsidRPr="00A52585">
        <w:rPr>
          <w:rFonts w:eastAsia="Times New Roman" w:hint="cs"/>
          <w:rtl/>
        </w:rPr>
        <w:t xml:space="preserve"> منزه عن الجهة والجسمية</w:t>
      </w:r>
      <w:r w:rsidR="00897A24" w:rsidRPr="00A52585">
        <w:rPr>
          <w:rFonts w:eastAsia="Times New Roman" w:hint="cs"/>
          <w:rtl/>
        </w:rPr>
        <w:t>.</w:t>
      </w:r>
      <w:r w:rsidRPr="00A52585">
        <w:rPr>
          <w:rFonts w:eastAsia="Times New Roman" w:hint="cs"/>
          <w:rtl/>
        </w:rPr>
        <w:t xml:space="preserve"> فلا يقال</w:t>
      </w:r>
      <w:r w:rsidR="0002035C" w:rsidRPr="00A52585">
        <w:rPr>
          <w:rFonts w:eastAsia="Times New Roman" w:hint="cs"/>
          <w:rtl/>
        </w:rPr>
        <w:t>:</w:t>
      </w:r>
      <w:r w:rsidRPr="00A52585">
        <w:rPr>
          <w:rFonts w:eastAsia="Times New Roman" w:hint="cs"/>
          <w:rtl/>
        </w:rPr>
        <w:t xml:space="preserve"> له يمين ولا شمال ولا خلف ولا أمام</w:t>
      </w:r>
      <w:r w:rsidR="00DB731D" w:rsidRPr="00A52585">
        <w:rPr>
          <w:rFonts w:eastAsia="Times New Roman" w:hint="cs"/>
          <w:rtl/>
        </w:rPr>
        <w:t>،</w:t>
      </w:r>
      <w:r w:rsidRPr="00A52585">
        <w:rPr>
          <w:rFonts w:eastAsia="Times New Roman" w:hint="cs"/>
          <w:rtl/>
        </w:rPr>
        <w:t xml:space="preserve"> ولا فوق العرش ولا تحته</w:t>
      </w:r>
      <w:r w:rsidR="00DB731D" w:rsidRPr="00A52585">
        <w:rPr>
          <w:rFonts w:eastAsia="Times New Roman" w:hint="cs"/>
          <w:rtl/>
        </w:rPr>
        <w:t>،</w:t>
      </w:r>
      <w:r w:rsidRPr="00A52585">
        <w:rPr>
          <w:rFonts w:eastAsia="Times New Roman" w:hint="cs"/>
          <w:rtl/>
        </w:rPr>
        <w:t xml:space="preserve"> ولا عن يمينه ولا عن شماله</w:t>
      </w:r>
      <w:r w:rsidR="00DB731D" w:rsidRPr="00A52585">
        <w:rPr>
          <w:rFonts w:eastAsia="Times New Roman" w:hint="cs"/>
          <w:rtl/>
        </w:rPr>
        <w:t>،</w:t>
      </w:r>
      <w:r w:rsidRPr="00A52585">
        <w:rPr>
          <w:rFonts w:eastAsia="Times New Roman" w:hint="cs"/>
          <w:rtl/>
        </w:rPr>
        <w:t xml:space="preserve"> ولا داخل في العالم ولا خارج عنه</w:t>
      </w:r>
      <w:r w:rsidR="00DB731D" w:rsidRPr="00A52585">
        <w:rPr>
          <w:rFonts w:eastAsia="Times New Roman" w:hint="cs"/>
          <w:rtl/>
        </w:rPr>
        <w:t>،</w:t>
      </w:r>
      <w:r w:rsidRPr="00A52585">
        <w:rPr>
          <w:rFonts w:eastAsia="Times New Roman" w:hint="cs"/>
          <w:rtl/>
        </w:rPr>
        <w:t xml:space="preserve"> ولا يقال</w:t>
      </w:r>
      <w:r w:rsidR="0002035C" w:rsidRPr="00A52585">
        <w:rPr>
          <w:rFonts w:eastAsia="Times New Roman" w:hint="cs"/>
          <w:rtl/>
        </w:rPr>
        <w:t>:</w:t>
      </w:r>
      <w:r w:rsidRPr="00A52585">
        <w:rPr>
          <w:rFonts w:eastAsia="Times New Roman" w:hint="cs"/>
          <w:rtl/>
        </w:rPr>
        <w:t xml:space="preserve"> لا يعلم مكانه إلا هو</w:t>
      </w:r>
      <w:r w:rsidR="00897A24" w:rsidRPr="00A52585">
        <w:rPr>
          <w:rFonts w:eastAsia="Times New Roman" w:hint="cs"/>
          <w:rtl/>
        </w:rPr>
        <w:t>.</w:t>
      </w:r>
      <w:r w:rsidRPr="00A52585">
        <w:rPr>
          <w:rFonts w:eastAsia="Times New Roman" w:hint="cs"/>
          <w:rtl/>
        </w:rPr>
        <w:t xml:space="preserve"> ومن قال</w:t>
      </w:r>
      <w:r w:rsidR="0002035C" w:rsidRPr="00A52585">
        <w:rPr>
          <w:rFonts w:eastAsia="Times New Roman" w:hint="cs"/>
          <w:rtl/>
        </w:rPr>
        <w:t>:</w:t>
      </w:r>
      <w:r w:rsidRPr="00A52585">
        <w:rPr>
          <w:rFonts w:eastAsia="Times New Roman" w:hint="cs"/>
          <w:rtl/>
        </w:rPr>
        <w:t xml:space="preserve"> لا أعرف الله في السماء هو أم في الأرض كفر - لأنه جعل أحدهما له مكانا</w:t>
      </w:r>
      <w:r w:rsidR="00DB731D" w:rsidRPr="00A52585">
        <w:rPr>
          <w:rFonts w:eastAsia="Times New Roman" w:hint="cs"/>
          <w:rtl/>
        </w:rPr>
        <w:t>،</w:t>
      </w:r>
      <w:r w:rsidRPr="00A52585">
        <w:rPr>
          <w:rFonts w:eastAsia="Times New Roman" w:hint="cs"/>
          <w:rtl/>
        </w:rPr>
        <w:t xml:space="preserve"> فإذا قال لك</w:t>
      </w:r>
      <w:r w:rsidR="0002035C" w:rsidRPr="00A52585">
        <w:rPr>
          <w:rFonts w:eastAsia="Times New Roman" w:hint="cs"/>
          <w:rtl/>
        </w:rPr>
        <w:t>:</w:t>
      </w:r>
      <w:r w:rsidRPr="00A52585">
        <w:rPr>
          <w:rFonts w:eastAsia="Times New Roman" w:hint="cs"/>
          <w:rtl/>
        </w:rPr>
        <w:t xml:space="preserve"> ما دليلك على ذلك</w:t>
      </w:r>
      <w:r w:rsidR="00F95886" w:rsidRPr="00A52585">
        <w:rPr>
          <w:rFonts w:eastAsia="Times New Roman" w:hint="cs"/>
          <w:rtl/>
        </w:rPr>
        <w:t>؟</w:t>
      </w:r>
      <w:r w:rsidRPr="00A52585">
        <w:rPr>
          <w:rFonts w:eastAsia="Times New Roman" w:hint="cs"/>
          <w:rtl/>
        </w:rPr>
        <w:t xml:space="preserve"> فقل</w:t>
      </w:r>
      <w:r w:rsidR="0002035C" w:rsidRPr="00A52585">
        <w:rPr>
          <w:rFonts w:eastAsia="Times New Roman" w:hint="cs"/>
          <w:rtl/>
        </w:rPr>
        <w:t>:</w:t>
      </w:r>
      <w:r w:rsidRPr="00A52585">
        <w:rPr>
          <w:rFonts w:eastAsia="Times New Roman" w:hint="cs"/>
          <w:rtl/>
        </w:rPr>
        <w:t xml:space="preserve"> لأنه لو كان له جهة أو هو في جهة لكان متحيزا</w:t>
      </w:r>
      <w:r w:rsidR="00DB731D" w:rsidRPr="00A52585">
        <w:rPr>
          <w:rFonts w:eastAsia="Times New Roman" w:hint="cs"/>
          <w:rtl/>
        </w:rPr>
        <w:t>،</w:t>
      </w:r>
      <w:r w:rsidRPr="00A52585">
        <w:rPr>
          <w:rFonts w:eastAsia="Times New Roman" w:hint="cs"/>
          <w:rtl/>
        </w:rPr>
        <w:t xml:space="preserve"> وكل متحيز حادث</w:t>
      </w:r>
      <w:r w:rsidR="00DB731D" w:rsidRPr="00A52585">
        <w:rPr>
          <w:rFonts w:eastAsia="Times New Roman" w:hint="cs"/>
          <w:rtl/>
        </w:rPr>
        <w:t>،</w:t>
      </w:r>
      <w:r w:rsidRPr="00A52585">
        <w:rPr>
          <w:rFonts w:eastAsia="Times New Roman" w:hint="cs"/>
          <w:rtl/>
        </w:rPr>
        <w:t xml:space="preserve"> والحدوث عليه محال</w:t>
      </w:r>
      <w:r w:rsidR="0002035C" w:rsidRPr="00A52585">
        <w:rPr>
          <w:rFonts w:eastAsia="Times New Roman" w:hint="cs"/>
          <w:rtl/>
        </w:rPr>
        <w:t>)</w:t>
      </w:r>
      <w:r w:rsidRPr="00A52585">
        <w:rPr>
          <w:rFonts w:eastAsia="Times New Roman" w:hint="cs"/>
          <w:rtl/>
        </w:rPr>
        <w:t xml:space="preserve"> انظر كتابه الاعتماد في الاعتقاد (ص 5</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260- وقال في كتاب سفينة النجاة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ويستحيل عليه المماثلة للحوادث بأن يكون ذاته كالذوات يأخذ مقدارا من الفراغ</w:t>
      </w:r>
      <w:r w:rsidR="00DB731D" w:rsidRPr="00A52585">
        <w:rPr>
          <w:rFonts w:eastAsia="Times New Roman" w:hint="cs"/>
          <w:rtl/>
        </w:rPr>
        <w:t>،</w:t>
      </w:r>
      <w:r w:rsidRPr="00A52585">
        <w:rPr>
          <w:rFonts w:eastAsia="Times New Roman" w:hint="cs"/>
          <w:rtl/>
        </w:rPr>
        <w:t xml:space="preserve"> او يتصف بالأعراض كالبياض</w:t>
      </w:r>
      <w:r w:rsidR="00DB731D" w:rsidRPr="00A52585">
        <w:rPr>
          <w:rFonts w:eastAsia="Times New Roman" w:hint="cs"/>
          <w:rtl/>
        </w:rPr>
        <w:t>،</w:t>
      </w:r>
      <w:r w:rsidRPr="00A52585">
        <w:rPr>
          <w:rFonts w:eastAsia="Times New Roman" w:hint="cs"/>
          <w:rtl/>
        </w:rPr>
        <w:t xml:space="preserve"> أو يكون في جهة كالفوق والتحت واليمين والشمال والخلف والأمام</w:t>
      </w:r>
      <w:r w:rsidR="00DB731D" w:rsidRPr="00A52585">
        <w:rPr>
          <w:rFonts w:eastAsia="Times New Roman" w:hint="cs"/>
          <w:rtl/>
        </w:rPr>
        <w:t>،</w:t>
      </w:r>
      <w:r w:rsidRPr="00A52585">
        <w:rPr>
          <w:rFonts w:eastAsia="Times New Roman" w:hint="cs"/>
          <w:rtl/>
        </w:rPr>
        <w:t xml:space="preserve"> أو يكون جهة كالأعلى والأسفل</w:t>
      </w:r>
      <w:r w:rsidR="00DB731D" w:rsidRPr="00A52585">
        <w:rPr>
          <w:rFonts w:eastAsia="Times New Roman" w:hint="cs"/>
          <w:rtl/>
        </w:rPr>
        <w:t>،</w:t>
      </w:r>
      <w:r w:rsidRPr="00A52585">
        <w:rPr>
          <w:rFonts w:eastAsia="Times New Roman" w:hint="cs"/>
          <w:rtl/>
        </w:rPr>
        <w:t xml:space="preserve"> أو يحلّ بمكان أو يُقَيّد بزمان</w:t>
      </w:r>
      <w:r w:rsidR="0002035C" w:rsidRPr="00A52585">
        <w:rPr>
          <w:rFonts w:eastAsia="Times New Roman" w:hint="cs"/>
          <w:rtl/>
        </w:rPr>
        <w:t>)</w:t>
      </w:r>
      <w:r w:rsidRPr="00A52585">
        <w:rPr>
          <w:rFonts w:eastAsia="Times New Roman" w:hint="cs"/>
          <w:rtl/>
        </w:rPr>
        <w:t xml:space="preserve"> سفينة النجاة في معرفة الله وأحكام الصلاة (ص 7</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261- وقال الشيخ محمد نووي الجاوي الشافعي (1316 هـ) عند ذكر أن الله يستحيل عليه المماثلة لشيء من خلقه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أو يكون تعالى في جهة للجرم بأن يكون عن يمينه أو شماله أو فوقه أو تحته أو أمامه أو خلفه</w:t>
      </w:r>
      <w:r w:rsidR="00DB731D" w:rsidRPr="00A52585">
        <w:rPr>
          <w:rFonts w:eastAsia="Times New Roman" w:hint="cs"/>
          <w:rtl/>
        </w:rPr>
        <w:t>،</w:t>
      </w:r>
      <w:r w:rsidRPr="00A52585">
        <w:rPr>
          <w:rFonts w:eastAsia="Times New Roman" w:hint="cs"/>
          <w:rtl/>
        </w:rPr>
        <w:t xml:space="preserve"> أو يكون له تعالى جهة بأن يكون له يمين أو شمال أو فوق أو تحت أو خلف أو أمام</w:t>
      </w:r>
      <w:r w:rsidR="00DB731D" w:rsidRPr="00A52585">
        <w:rPr>
          <w:rFonts w:eastAsia="Times New Roman" w:hint="cs"/>
          <w:rtl/>
        </w:rPr>
        <w:t>،</w:t>
      </w:r>
      <w:r w:rsidRPr="00A52585">
        <w:rPr>
          <w:rFonts w:eastAsia="Times New Roman" w:hint="cs"/>
          <w:rtl/>
        </w:rPr>
        <w:t xml:space="preserve"> أو يتقيد بمكان بأن يحل فيه بأن يكون فوق العرش</w:t>
      </w:r>
      <w:r w:rsidR="0002035C" w:rsidRPr="00A52585">
        <w:rPr>
          <w:rFonts w:eastAsia="Times New Roman" w:hint="cs"/>
          <w:rtl/>
        </w:rPr>
        <w:t>)</w:t>
      </w:r>
      <w:r w:rsidRPr="00A52585">
        <w:rPr>
          <w:rFonts w:eastAsia="Times New Roman" w:hint="cs"/>
          <w:rtl/>
        </w:rPr>
        <w:t xml:space="preserve"> الثمار </w:t>
      </w:r>
      <w:proofErr w:type="spellStart"/>
      <w:r w:rsidRPr="00A52585">
        <w:rPr>
          <w:rFonts w:eastAsia="Times New Roman" w:hint="cs"/>
          <w:rtl/>
        </w:rPr>
        <w:t>اليائعة</w:t>
      </w:r>
      <w:proofErr w:type="spellEnd"/>
      <w:r w:rsidRPr="00A52585">
        <w:rPr>
          <w:rFonts w:eastAsia="Times New Roman" w:hint="cs"/>
          <w:rtl/>
        </w:rPr>
        <w:t xml:space="preserve"> في الرياض البديعة (ص 5</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262- وقال أيضا ما نصه</w:t>
      </w:r>
      <w:r w:rsidR="0002035C" w:rsidRPr="00A52585">
        <w:rPr>
          <w:rFonts w:eastAsia="Times New Roman" w:hint="cs"/>
          <w:rtl/>
        </w:rPr>
        <w:t>:</w:t>
      </w:r>
      <w:r w:rsidRPr="00A52585">
        <w:rPr>
          <w:rFonts w:eastAsia="Times New Roman" w:hint="cs"/>
          <w:rtl/>
        </w:rPr>
        <w:t xml:space="preserve"> (وكل ما خطر ببالك من صفات الحوادث لا تصدق أن في الله شيئا من ذلك</w:t>
      </w:r>
      <w:r w:rsidR="00DB731D" w:rsidRPr="00A52585">
        <w:rPr>
          <w:rFonts w:eastAsia="Times New Roman" w:hint="cs"/>
          <w:rtl/>
        </w:rPr>
        <w:t>،</w:t>
      </w:r>
      <w:r w:rsidRPr="00A52585">
        <w:rPr>
          <w:rFonts w:eastAsia="Times New Roman" w:hint="cs"/>
          <w:rtl/>
        </w:rPr>
        <w:t xml:space="preserve"> وليس له مكان أصلاً فليس داخلاّ في الدنيا ولا خارجا عنها</w:t>
      </w:r>
      <w:r w:rsidR="0002035C" w:rsidRPr="00A52585">
        <w:rPr>
          <w:rFonts w:eastAsia="Times New Roman" w:hint="cs"/>
          <w:rtl/>
        </w:rPr>
        <w:t>)</w:t>
      </w:r>
      <w:r w:rsidRPr="00A52585">
        <w:rPr>
          <w:rFonts w:eastAsia="Times New Roman" w:hint="cs"/>
          <w:rtl/>
        </w:rPr>
        <w:t xml:space="preserve"> نور الظلام شرح منظومة عقيدة العوام (ص 37</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263- وقال الشيخ المتكلم عبد العزيز بن عبد الرحمن السكندري (كان حيّا سنة 1317 هـ) ما نصه</w:t>
      </w:r>
      <w:r w:rsidR="0002035C" w:rsidRPr="00A52585">
        <w:rPr>
          <w:rFonts w:eastAsia="Times New Roman" w:hint="cs"/>
          <w:rtl/>
        </w:rPr>
        <w:t>: (</w:t>
      </w:r>
      <w:r w:rsidRPr="00A52585">
        <w:rPr>
          <w:rFonts w:eastAsia="Times New Roman" w:hint="cs"/>
          <w:rtl/>
        </w:rPr>
        <w:t>وكذا يستحيل عليه تعالى أن يكون في مكان أو زمان لأن الحلول في المكان من لوازم الجرم و الحلول في الزمان من لوازم الجرم والعرض</w:t>
      </w:r>
      <w:r w:rsidR="0002035C" w:rsidRPr="00A52585">
        <w:rPr>
          <w:rFonts w:eastAsia="Times New Roman" w:hint="cs"/>
          <w:rtl/>
        </w:rPr>
        <w:t>)</w:t>
      </w:r>
      <w:r w:rsidRPr="00A52585">
        <w:rPr>
          <w:rFonts w:eastAsia="Times New Roman" w:hint="cs"/>
          <w:rtl/>
        </w:rPr>
        <w:t xml:space="preserve"> الدليل الصادق على وجود الخالق (1</w:t>
      </w:r>
      <w:r w:rsidR="0002035C" w:rsidRPr="00A52585">
        <w:rPr>
          <w:rFonts w:eastAsia="Times New Roman" w:hint="cs"/>
          <w:rtl/>
        </w:rPr>
        <w:t xml:space="preserve">: </w:t>
      </w:r>
      <w:r w:rsidRPr="00A52585">
        <w:rPr>
          <w:rFonts w:eastAsia="Times New Roman" w:hint="cs"/>
          <w:rtl/>
        </w:rPr>
        <w:t>94</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264-</w:t>
      </w:r>
      <w:r w:rsidR="0002035C" w:rsidRPr="00A52585">
        <w:rPr>
          <w:rFonts w:eastAsia="Times New Roman" w:hint="cs"/>
          <w:rtl/>
        </w:rPr>
        <w:t xml:space="preserve"> </w:t>
      </w:r>
      <w:r w:rsidRPr="00A52585">
        <w:rPr>
          <w:rFonts w:eastAsia="Times New Roman" w:hint="cs"/>
          <w:rtl/>
        </w:rPr>
        <w:t>وقال الشيخ العلامة محمد بن احمد البشير البكري الشنقيطي رحمه الله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 xml:space="preserve">وضربه الامثال بنوره وبعرشه وكرسيه ؛ تقريبا منه وتمثيلا وتصويرا للنفوس البشرية بما الفته </w:t>
      </w:r>
      <w:proofErr w:type="spellStart"/>
      <w:r w:rsidRPr="00A52585">
        <w:rPr>
          <w:rFonts w:eastAsia="Times New Roman" w:hint="cs"/>
          <w:rtl/>
        </w:rPr>
        <w:t>وعتادته</w:t>
      </w:r>
      <w:proofErr w:type="spellEnd"/>
      <w:r w:rsidRPr="00A52585">
        <w:rPr>
          <w:rFonts w:eastAsia="Times New Roman" w:hint="cs"/>
          <w:rtl/>
        </w:rPr>
        <w:t xml:space="preserve"> متبادلا بينها</w:t>
      </w:r>
      <w:r w:rsidR="00DB731D" w:rsidRPr="00A52585">
        <w:rPr>
          <w:rFonts w:eastAsia="Times New Roman" w:hint="cs"/>
          <w:rtl/>
        </w:rPr>
        <w:t>،</w:t>
      </w:r>
      <w:r w:rsidRPr="00A52585">
        <w:rPr>
          <w:rFonts w:eastAsia="Times New Roman" w:hint="cs"/>
          <w:rtl/>
        </w:rPr>
        <w:t xml:space="preserve"> ومتعارفا عليه عندها</w:t>
      </w:r>
      <w:r w:rsidR="00DB731D" w:rsidRPr="00A52585">
        <w:rPr>
          <w:rFonts w:eastAsia="Times New Roman" w:hint="cs"/>
          <w:rtl/>
        </w:rPr>
        <w:t>،</w:t>
      </w:r>
      <w:r w:rsidRPr="00A52585">
        <w:rPr>
          <w:rFonts w:eastAsia="Times New Roman" w:hint="cs"/>
          <w:rtl/>
        </w:rPr>
        <w:t xml:space="preserve"> فقال لها - الله - انا ربكم</w:t>
      </w:r>
      <w:r w:rsidR="00DB731D" w:rsidRPr="00A52585">
        <w:rPr>
          <w:rFonts w:eastAsia="Times New Roman" w:hint="cs"/>
          <w:rtl/>
        </w:rPr>
        <w:t>،</w:t>
      </w:r>
      <w:r w:rsidRPr="00A52585">
        <w:rPr>
          <w:rFonts w:eastAsia="Times New Roman" w:hint="cs"/>
          <w:rtl/>
        </w:rPr>
        <w:t xml:space="preserve"> انا إلهكم</w:t>
      </w:r>
      <w:r w:rsidR="00DB731D" w:rsidRPr="00A52585">
        <w:rPr>
          <w:rFonts w:eastAsia="Times New Roman" w:hint="cs"/>
          <w:rtl/>
        </w:rPr>
        <w:t>،</w:t>
      </w:r>
      <w:r w:rsidRPr="00A52585">
        <w:rPr>
          <w:rFonts w:eastAsia="Times New Roman" w:hint="cs"/>
          <w:rtl/>
        </w:rPr>
        <w:t xml:space="preserve"> انا الملك</w:t>
      </w:r>
      <w:r w:rsidR="00DB731D" w:rsidRPr="00A52585">
        <w:rPr>
          <w:rFonts w:eastAsia="Times New Roman" w:hint="cs"/>
          <w:rtl/>
        </w:rPr>
        <w:t>،</w:t>
      </w:r>
      <w:r w:rsidRPr="00A52585">
        <w:rPr>
          <w:rFonts w:eastAsia="Times New Roman" w:hint="cs"/>
          <w:rtl/>
        </w:rPr>
        <w:t xml:space="preserve"> لي عرش ولي كرسي ولي احجبة لاتعد ولا تحصى</w:t>
      </w:r>
      <w:r w:rsidR="00DB731D" w:rsidRPr="00A52585">
        <w:rPr>
          <w:rFonts w:eastAsia="Times New Roman" w:hint="cs"/>
          <w:rtl/>
        </w:rPr>
        <w:t>،</w:t>
      </w:r>
      <w:r w:rsidRPr="00A52585">
        <w:rPr>
          <w:rFonts w:eastAsia="Times New Roman" w:hint="cs"/>
          <w:rtl/>
        </w:rPr>
        <w:t xml:space="preserve"> ولي سرادق لا تخرق</w:t>
      </w:r>
      <w:r w:rsidR="00DB731D" w:rsidRPr="00A52585">
        <w:rPr>
          <w:rFonts w:eastAsia="Times New Roman" w:hint="cs"/>
          <w:rtl/>
        </w:rPr>
        <w:t>،</w:t>
      </w:r>
      <w:r w:rsidRPr="00A52585">
        <w:rPr>
          <w:rFonts w:eastAsia="Times New Roman" w:hint="cs"/>
          <w:rtl/>
        </w:rPr>
        <w:t xml:space="preserve"> وحجب لا ترفع</w:t>
      </w:r>
      <w:r w:rsidR="00DB731D" w:rsidRPr="00A52585">
        <w:rPr>
          <w:rFonts w:eastAsia="Times New Roman" w:hint="cs"/>
          <w:rtl/>
        </w:rPr>
        <w:t>،</w:t>
      </w:r>
      <w:r w:rsidRPr="00A52585">
        <w:rPr>
          <w:rFonts w:eastAsia="Times New Roman" w:hint="cs"/>
          <w:rtl/>
        </w:rPr>
        <w:t xml:space="preserve"> على العرش استويت كما شئت واردت</w:t>
      </w:r>
      <w:r w:rsidR="00DB731D" w:rsidRPr="00A52585">
        <w:rPr>
          <w:rFonts w:eastAsia="Times New Roman" w:hint="cs"/>
          <w:rtl/>
        </w:rPr>
        <w:t>،</w:t>
      </w:r>
      <w:r w:rsidRPr="00A52585">
        <w:rPr>
          <w:rFonts w:eastAsia="Times New Roman" w:hint="cs"/>
          <w:rtl/>
        </w:rPr>
        <w:t xml:space="preserve"> بلا كيف</w:t>
      </w:r>
      <w:r w:rsidR="00DB731D" w:rsidRPr="00A52585">
        <w:rPr>
          <w:rFonts w:eastAsia="Times New Roman" w:hint="cs"/>
          <w:rtl/>
        </w:rPr>
        <w:t>،</w:t>
      </w:r>
      <w:r w:rsidRPr="00A52585">
        <w:rPr>
          <w:rFonts w:eastAsia="Times New Roman" w:hint="cs"/>
          <w:rtl/>
        </w:rPr>
        <w:t xml:space="preserve"> ولا أين</w:t>
      </w:r>
      <w:r w:rsidR="00DB731D" w:rsidRPr="00A52585">
        <w:rPr>
          <w:rFonts w:eastAsia="Times New Roman" w:hint="cs"/>
          <w:rtl/>
        </w:rPr>
        <w:t>،</w:t>
      </w:r>
      <w:r w:rsidRPr="00A52585">
        <w:rPr>
          <w:rFonts w:eastAsia="Times New Roman" w:hint="cs"/>
          <w:rtl/>
        </w:rPr>
        <w:t xml:space="preserve"> ولا ظرف زمان ولا مكان</w:t>
      </w:r>
      <w:r w:rsidR="00DB731D" w:rsidRPr="00A52585">
        <w:rPr>
          <w:rFonts w:eastAsia="Times New Roman" w:hint="cs"/>
          <w:rtl/>
        </w:rPr>
        <w:t>،</w:t>
      </w:r>
      <w:r w:rsidRPr="00A52585">
        <w:rPr>
          <w:rFonts w:eastAsia="Times New Roman" w:hint="cs"/>
          <w:rtl/>
        </w:rPr>
        <w:t xml:space="preserve"> كل هذا </w:t>
      </w:r>
      <w:r w:rsidRPr="00A52585">
        <w:rPr>
          <w:rFonts w:eastAsia="Times New Roman" w:hint="cs"/>
          <w:rtl/>
        </w:rPr>
        <w:lastRenderedPageBreak/>
        <w:t>امثال محسوسة</w:t>
      </w:r>
      <w:r w:rsidR="00DB731D" w:rsidRPr="00A52585">
        <w:rPr>
          <w:rFonts w:eastAsia="Times New Roman" w:hint="cs"/>
          <w:rtl/>
        </w:rPr>
        <w:t>،</w:t>
      </w:r>
      <w:r w:rsidRPr="00A52585">
        <w:rPr>
          <w:rFonts w:eastAsia="Times New Roman" w:hint="cs"/>
          <w:rtl/>
        </w:rPr>
        <w:t xml:space="preserve"> ومعروفة بينكم لعبادي</w:t>
      </w:r>
      <w:r w:rsidR="00DB731D" w:rsidRPr="00A52585">
        <w:rPr>
          <w:rFonts w:eastAsia="Times New Roman" w:hint="cs"/>
          <w:rtl/>
        </w:rPr>
        <w:t>،</w:t>
      </w:r>
      <w:r w:rsidRPr="00A52585">
        <w:rPr>
          <w:rFonts w:eastAsia="Times New Roman" w:hint="cs"/>
          <w:rtl/>
        </w:rPr>
        <w:t xml:space="preserve"> وانا الرب ليس كمثلي شيء</w:t>
      </w:r>
      <w:r w:rsidR="00DB731D" w:rsidRPr="00A52585">
        <w:rPr>
          <w:rFonts w:eastAsia="Times New Roman" w:hint="cs"/>
          <w:rtl/>
        </w:rPr>
        <w:t>،</w:t>
      </w:r>
      <w:r w:rsidRPr="00A52585">
        <w:rPr>
          <w:rFonts w:eastAsia="Times New Roman" w:hint="cs"/>
          <w:rtl/>
        </w:rPr>
        <w:t xml:space="preserve"> لا اجلس على العرش</w:t>
      </w:r>
      <w:r w:rsidR="00DB731D" w:rsidRPr="00A52585">
        <w:rPr>
          <w:rFonts w:eastAsia="Times New Roman" w:hint="cs"/>
          <w:rtl/>
        </w:rPr>
        <w:t>،</w:t>
      </w:r>
      <w:r w:rsidRPr="00A52585">
        <w:rPr>
          <w:rFonts w:eastAsia="Times New Roman" w:hint="cs"/>
          <w:rtl/>
        </w:rPr>
        <w:t xml:space="preserve"> ولا اقعد على كرسي</w:t>
      </w:r>
      <w:r w:rsidR="00DB731D" w:rsidRPr="00A52585">
        <w:rPr>
          <w:rFonts w:eastAsia="Times New Roman" w:hint="cs"/>
          <w:rtl/>
        </w:rPr>
        <w:t>،</w:t>
      </w:r>
      <w:r w:rsidRPr="00A52585">
        <w:rPr>
          <w:rFonts w:eastAsia="Times New Roman" w:hint="cs"/>
          <w:rtl/>
        </w:rPr>
        <w:t xml:space="preserve"> لا أحتاج الى حجاب يسترني</w:t>
      </w:r>
      <w:r w:rsidR="00DB731D" w:rsidRPr="00A52585">
        <w:rPr>
          <w:rFonts w:eastAsia="Times New Roman" w:hint="cs"/>
          <w:rtl/>
        </w:rPr>
        <w:t>،</w:t>
      </w:r>
      <w:r w:rsidRPr="00A52585">
        <w:rPr>
          <w:rFonts w:eastAsia="Times New Roman" w:hint="cs"/>
          <w:rtl/>
        </w:rPr>
        <w:t xml:space="preserve"> ولا حجبة تمنعني</w:t>
      </w:r>
      <w:r w:rsidR="00897A24" w:rsidRPr="00A52585">
        <w:rPr>
          <w:rFonts w:eastAsia="Times New Roman" w:hint="cs"/>
          <w:rtl/>
        </w:rPr>
        <w:t>.</w:t>
      </w:r>
      <w:r w:rsidRPr="00A52585">
        <w:rPr>
          <w:rFonts w:eastAsia="Times New Roman" w:hint="cs"/>
          <w:rtl/>
        </w:rPr>
        <w:t>....</w:t>
      </w:r>
      <w:r w:rsidR="0002035C" w:rsidRPr="00A52585">
        <w:rPr>
          <w:rFonts w:eastAsia="Times New Roman" w:hint="cs"/>
          <w:rtl/>
        </w:rPr>
        <w:t>)</w:t>
      </w:r>
      <w:r w:rsidRPr="00A52585">
        <w:rPr>
          <w:rFonts w:eastAsia="Times New Roman" w:hint="cs"/>
          <w:rtl/>
        </w:rPr>
        <w:t xml:space="preserve"> انظر كتابه كوثر الاماني والتهاني لموارد النجاح والفلاح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260</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265- وقال ايضا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قال بعض المحققين</w:t>
      </w:r>
      <w:r w:rsidR="0002035C" w:rsidRPr="00A52585">
        <w:rPr>
          <w:rFonts w:eastAsia="Times New Roman" w:hint="cs"/>
          <w:rtl/>
        </w:rPr>
        <w:t>:</w:t>
      </w:r>
      <w:r w:rsidRPr="00A52585">
        <w:rPr>
          <w:rFonts w:eastAsia="Times New Roman" w:hint="cs"/>
          <w:rtl/>
        </w:rPr>
        <w:t xml:space="preserve"> هذا تصوير لعظمته وتمثيل حسي لان النفوس البشرية ابداً تجد من التعظيم والهيبة عند سماع الاشياء المحسوسة الدالة على الكبرياء والعظمة ما لا تجده عند سماع ذلك</w:t>
      </w:r>
      <w:r w:rsidR="00DB731D" w:rsidRPr="00A52585">
        <w:rPr>
          <w:rFonts w:eastAsia="Times New Roman" w:hint="cs"/>
          <w:rtl/>
        </w:rPr>
        <w:t>،</w:t>
      </w:r>
      <w:r w:rsidRPr="00A52585">
        <w:rPr>
          <w:rFonts w:eastAsia="Times New Roman" w:hint="cs"/>
          <w:rtl/>
        </w:rPr>
        <w:t xml:space="preserve"> فالقصد من ذكر الكرسي والعرش الذي هو اعظم منه ؛ استشعار النفوس عند سماعها عظمة الباري سبحانه وتعالى</w:t>
      </w:r>
      <w:r w:rsidR="0002035C" w:rsidRPr="00A52585">
        <w:rPr>
          <w:rFonts w:eastAsia="Times New Roman" w:hint="cs"/>
          <w:rtl/>
        </w:rPr>
        <w:t>)</w:t>
      </w:r>
      <w:r w:rsidRPr="00A52585">
        <w:rPr>
          <w:rFonts w:eastAsia="Times New Roman" w:hint="cs"/>
          <w:rtl/>
        </w:rPr>
        <w:t xml:space="preserve"> انظر كتابه كوثر الاماني والتهاني لموارد النجاح والفلاح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260</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266-وقال الشيخ محمد عثمان الميرغني المكي الحنفي (1268هـ) ما نصه</w:t>
      </w:r>
      <w:r w:rsidR="0002035C" w:rsidRPr="00A52585">
        <w:rPr>
          <w:rFonts w:eastAsia="Times New Roman" w:hint="cs"/>
          <w:rtl/>
        </w:rPr>
        <w:t>:</w:t>
      </w:r>
      <w:r w:rsidRPr="00A52585">
        <w:rPr>
          <w:rFonts w:eastAsia="Times New Roman" w:hint="cs"/>
          <w:rtl/>
        </w:rPr>
        <w:t> </w:t>
      </w:r>
      <w:r w:rsidR="0002035C" w:rsidRPr="00A52585">
        <w:rPr>
          <w:rFonts w:eastAsia="Times New Roman" w:hint="cs"/>
          <w:rtl/>
        </w:rPr>
        <w:t>(</w:t>
      </w:r>
      <w:r w:rsidRPr="00A52585">
        <w:rPr>
          <w:rFonts w:eastAsia="Times New Roman" w:hint="cs"/>
          <w:rtl/>
        </w:rPr>
        <w:t>مخالفته للحوادث</w:t>
      </w:r>
      <w:r w:rsidR="0002035C" w:rsidRPr="00A52585">
        <w:rPr>
          <w:rFonts w:eastAsia="Times New Roman" w:hint="cs"/>
          <w:rtl/>
        </w:rPr>
        <w:t>:</w:t>
      </w:r>
      <w:r w:rsidRPr="00A52585">
        <w:rPr>
          <w:rFonts w:eastAsia="Times New Roman" w:hint="cs"/>
          <w:rtl/>
        </w:rPr>
        <w:t xml:space="preserve"> ومعناها عدم الموافقة لشيء من الحوادث</w:t>
      </w:r>
      <w:r w:rsidR="00DB731D" w:rsidRPr="00A52585">
        <w:rPr>
          <w:rFonts w:eastAsia="Times New Roman" w:hint="cs"/>
          <w:rtl/>
        </w:rPr>
        <w:t>،</w:t>
      </w:r>
      <w:r w:rsidRPr="00A52585">
        <w:rPr>
          <w:rFonts w:eastAsia="Times New Roman" w:hint="cs"/>
          <w:rtl/>
        </w:rPr>
        <w:t xml:space="preserve"> وليس تعالى بجوهر ولا جسم ولا عرض ولا متحرك ولا ساكن</w:t>
      </w:r>
      <w:r w:rsidR="00DB731D" w:rsidRPr="00A52585">
        <w:rPr>
          <w:rFonts w:eastAsia="Times New Roman" w:hint="cs"/>
          <w:rtl/>
        </w:rPr>
        <w:t>،</w:t>
      </w:r>
      <w:r w:rsidRPr="00A52585">
        <w:rPr>
          <w:rFonts w:eastAsia="Times New Roman" w:hint="cs"/>
          <w:rtl/>
        </w:rPr>
        <w:t xml:space="preserve"> ولا يوصف تعالى بالصغر ولا بالكبر</w:t>
      </w:r>
      <w:r w:rsidR="00DB731D" w:rsidRPr="00A52585">
        <w:rPr>
          <w:rFonts w:eastAsia="Times New Roman" w:hint="cs"/>
          <w:rtl/>
        </w:rPr>
        <w:t>،</w:t>
      </w:r>
      <w:r w:rsidRPr="00A52585">
        <w:rPr>
          <w:rFonts w:eastAsia="Times New Roman" w:hint="cs"/>
          <w:rtl/>
        </w:rPr>
        <w:t xml:space="preserve"> ولا بالفوقية ولا بالتحتية</w:t>
      </w:r>
      <w:r w:rsidR="00DB731D" w:rsidRPr="00A52585">
        <w:rPr>
          <w:rFonts w:eastAsia="Times New Roman" w:hint="cs"/>
          <w:rtl/>
        </w:rPr>
        <w:t>،</w:t>
      </w:r>
      <w:r w:rsidRPr="00A52585">
        <w:rPr>
          <w:rFonts w:eastAsia="Times New Roman" w:hint="cs"/>
          <w:rtl/>
        </w:rPr>
        <w:t xml:space="preserve"> ولا بالحلول في الأمكنة</w:t>
      </w:r>
      <w:r w:rsidR="00DB731D" w:rsidRPr="00A52585">
        <w:rPr>
          <w:rFonts w:eastAsia="Times New Roman" w:hint="cs"/>
          <w:rtl/>
        </w:rPr>
        <w:t>،</w:t>
      </w:r>
      <w:r w:rsidRPr="00A52585">
        <w:rPr>
          <w:rFonts w:eastAsia="Times New Roman" w:hint="cs"/>
          <w:rtl/>
        </w:rPr>
        <w:t xml:space="preserve"> و لا بالاتحاد ولا بالاتصال و لا بالانفصال</w:t>
      </w:r>
      <w:r w:rsidR="00DB731D" w:rsidRPr="00A52585">
        <w:rPr>
          <w:rFonts w:eastAsia="Times New Roman" w:hint="cs"/>
          <w:rtl/>
        </w:rPr>
        <w:t>،</w:t>
      </w:r>
      <w:r w:rsidRPr="00A52585">
        <w:rPr>
          <w:rFonts w:eastAsia="Times New Roman" w:hint="cs"/>
          <w:rtl/>
        </w:rPr>
        <w:t xml:space="preserve"> ولا باليمين ولا بالشمال ولا بالخلف ولا بالأمام</w:t>
      </w:r>
      <w:r w:rsidR="00DB731D" w:rsidRPr="00A52585">
        <w:rPr>
          <w:rFonts w:eastAsia="Times New Roman" w:hint="cs"/>
          <w:rtl/>
        </w:rPr>
        <w:t>،</w:t>
      </w:r>
      <w:r w:rsidRPr="00A52585">
        <w:rPr>
          <w:rFonts w:eastAsia="Times New Roman" w:hint="cs"/>
          <w:rtl/>
        </w:rPr>
        <w:t xml:space="preserve"> ولا بغير ذلك من صمات الحوادث</w:t>
      </w:r>
      <w:r w:rsidR="0002035C" w:rsidRPr="00A52585">
        <w:rPr>
          <w:rFonts w:eastAsia="Times New Roman" w:hint="cs"/>
          <w:rtl/>
        </w:rPr>
        <w:t>)</w:t>
      </w:r>
      <w:r w:rsidRPr="00A52585">
        <w:rPr>
          <w:rFonts w:eastAsia="Times New Roman" w:hint="cs"/>
          <w:rtl/>
        </w:rPr>
        <w:t xml:space="preserve"> منظومته مُنجية العبيد (ص 16</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267- وقال الشيخ عبد ربه بن سليمان بن محمد بن سليمان الشهير </w:t>
      </w:r>
      <w:proofErr w:type="spellStart"/>
      <w:r w:rsidRPr="00A52585">
        <w:rPr>
          <w:rFonts w:eastAsia="Times New Roman" w:hint="cs"/>
          <w:rtl/>
        </w:rPr>
        <w:t>بالقليوبي</w:t>
      </w:r>
      <w:proofErr w:type="spellEnd"/>
      <w:r w:rsidRPr="00A52585">
        <w:rPr>
          <w:rFonts w:eastAsia="Times New Roman" w:hint="cs"/>
          <w:rtl/>
        </w:rPr>
        <w:t xml:space="preserve"> المصري أحد علماء الأزهر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نقول</w:t>
      </w:r>
      <w:r w:rsidR="0002035C" w:rsidRPr="00A52585">
        <w:rPr>
          <w:rFonts w:eastAsia="Times New Roman" w:hint="cs"/>
          <w:rtl/>
        </w:rPr>
        <w:t>:</w:t>
      </w:r>
      <w:r w:rsidRPr="00A52585">
        <w:rPr>
          <w:rFonts w:eastAsia="Times New Roman" w:hint="cs"/>
          <w:rtl/>
        </w:rPr>
        <w:t xml:space="preserve"> مما تقرر عقلا ونقلاً أن الله تعالى إله قديم مستغن عن كل ما سواه</w:t>
      </w:r>
      <w:r w:rsidR="00DB731D" w:rsidRPr="00A52585">
        <w:rPr>
          <w:rFonts w:eastAsia="Times New Roman" w:hint="cs"/>
          <w:rtl/>
        </w:rPr>
        <w:t>،</w:t>
      </w:r>
      <w:r w:rsidRPr="00A52585">
        <w:rPr>
          <w:rFonts w:eastAsia="Times New Roman" w:hint="cs"/>
          <w:rtl/>
        </w:rPr>
        <w:t xml:space="preserve"> وغيره مفتقر إليه، فكيف يحل في السماء والحلول دليل الاحتياج</w:t>
      </w:r>
      <w:r w:rsidR="00DB731D" w:rsidRPr="00A52585">
        <w:rPr>
          <w:rFonts w:eastAsia="Times New Roman" w:hint="cs"/>
          <w:rtl/>
        </w:rPr>
        <w:t>،</w:t>
      </w:r>
      <w:r w:rsidRPr="00A52585">
        <w:rPr>
          <w:rFonts w:eastAsia="Times New Roman" w:hint="cs"/>
          <w:rtl/>
        </w:rPr>
        <w:t xml:space="preserve"> وأنه تعالى لو كان في مكان لكان متناهي المقدار</w:t>
      </w:r>
      <w:r w:rsidR="00DB731D" w:rsidRPr="00A52585">
        <w:rPr>
          <w:rFonts w:eastAsia="Times New Roman" w:hint="cs"/>
          <w:rtl/>
        </w:rPr>
        <w:t>،</w:t>
      </w:r>
      <w:r w:rsidRPr="00A52585">
        <w:rPr>
          <w:rFonts w:eastAsia="Times New Roman" w:hint="cs"/>
          <w:rtl/>
        </w:rPr>
        <w:t xml:space="preserve"> وما كان متناهي المقدار فهو حادث، والله تعالى قديم فيستحيل عليه الحلول في مكان أو جهة</w:t>
      </w:r>
      <w:r w:rsidR="0002035C" w:rsidRPr="00A52585">
        <w:rPr>
          <w:rFonts w:eastAsia="Times New Roman" w:hint="cs"/>
          <w:rtl/>
        </w:rPr>
        <w:t>)</w:t>
      </w:r>
      <w:r w:rsidRPr="00A52585">
        <w:rPr>
          <w:rFonts w:eastAsia="Times New Roman" w:hint="cs"/>
          <w:rtl/>
        </w:rPr>
        <w:t xml:space="preserve"> فيض الوهاب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26</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268- قال الشيخ حسين عبد الرحيم مكي المصري أحد مشايخ الأزهر ما نصه</w:t>
      </w:r>
      <w:r w:rsidR="0002035C" w:rsidRPr="00A52585">
        <w:rPr>
          <w:rFonts w:eastAsia="Times New Roman" w:hint="cs"/>
          <w:rtl/>
        </w:rPr>
        <w:t>: (</w:t>
      </w:r>
      <w:r w:rsidRPr="00A52585">
        <w:rPr>
          <w:rFonts w:eastAsia="Times New Roman" w:hint="cs"/>
          <w:rtl/>
        </w:rPr>
        <w:t>- إن الله تعالى يرى - من غير أن يكون في مكان وجهة</w:t>
      </w:r>
      <w:r w:rsidR="00DB731D" w:rsidRPr="00A52585">
        <w:rPr>
          <w:rFonts w:eastAsia="Times New Roman" w:hint="cs"/>
          <w:rtl/>
        </w:rPr>
        <w:t>،</w:t>
      </w:r>
      <w:r w:rsidRPr="00A52585">
        <w:rPr>
          <w:rFonts w:eastAsia="Times New Roman" w:hint="cs"/>
          <w:rtl/>
        </w:rPr>
        <w:t xml:space="preserve"> </w:t>
      </w:r>
      <w:proofErr w:type="spellStart"/>
      <w:r w:rsidRPr="00A52585">
        <w:rPr>
          <w:rFonts w:eastAsia="Times New Roman" w:hint="cs"/>
          <w:rtl/>
        </w:rPr>
        <w:t>أومقابلاً</w:t>
      </w:r>
      <w:proofErr w:type="spellEnd"/>
      <w:r w:rsidRPr="00A52585">
        <w:rPr>
          <w:rFonts w:eastAsia="Times New Roman" w:hint="cs"/>
          <w:rtl/>
        </w:rPr>
        <w:t xml:space="preserve"> للرائي او محدودً او محصورا وبدون تكيف بأيّ كيفية من كيفيات رؤية الحوادث بعضهم بعضا</w:t>
      </w:r>
      <w:r w:rsidR="0002035C" w:rsidRPr="00A52585">
        <w:rPr>
          <w:rFonts w:eastAsia="Times New Roman" w:hint="cs"/>
          <w:rtl/>
        </w:rPr>
        <w:t>)</w:t>
      </w:r>
      <w:r w:rsidRPr="00A52585">
        <w:rPr>
          <w:rFonts w:eastAsia="Times New Roman" w:hint="cs"/>
          <w:rtl/>
        </w:rPr>
        <w:t xml:space="preserve"> انظر توضيح العقيدة المفيد في علم التوحيد لشرح الخريدة لسيدي أحمد </w:t>
      </w:r>
      <w:proofErr w:type="spellStart"/>
      <w:r w:rsidRPr="00A52585">
        <w:rPr>
          <w:rFonts w:eastAsia="Times New Roman" w:hint="cs"/>
          <w:rtl/>
        </w:rPr>
        <w:t>الدردير</w:t>
      </w:r>
      <w:proofErr w:type="spellEnd"/>
      <w:r w:rsidRPr="00A52585">
        <w:rPr>
          <w:rFonts w:eastAsia="Times New Roman" w:hint="cs"/>
          <w:rtl/>
        </w:rPr>
        <w:t xml:space="preserve"> (2</w:t>
      </w:r>
      <w:r w:rsidR="0002035C" w:rsidRPr="00A52585">
        <w:rPr>
          <w:rFonts w:eastAsia="Times New Roman" w:hint="cs"/>
          <w:rtl/>
        </w:rPr>
        <w:t xml:space="preserve">: </w:t>
      </w:r>
      <w:r w:rsidRPr="00A52585">
        <w:rPr>
          <w:rFonts w:eastAsia="Times New Roman" w:hint="cs"/>
          <w:rtl/>
        </w:rPr>
        <w:t>35)، الطبعة الخامسة 1384 هـ - 1964 م</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269- وقال الشيخ البوطي حفظه الله ما نصه</w:t>
      </w:r>
      <w:r w:rsidR="0002035C" w:rsidRPr="00A52585">
        <w:rPr>
          <w:rFonts w:eastAsia="Times New Roman" w:hint="cs"/>
          <w:rtl/>
        </w:rPr>
        <w:t>:</w:t>
      </w:r>
      <w:r w:rsidRPr="00A52585">
        <w:rPr>
          <w:rFonts w:eastAsia="Times New Roman" w:hint="cs"/>
          <w:rtl/>
        </w:rPr>
        <w:t xml:space="preserve"> (قال حفظه الله</w:t>
      </w:r>
      <w:r w:rsidR="0002035C" w:rsidRPr="00A52585">
        <w:rPr>
          <w:rFonts w:eastAsia="Times New Roman" w:hint="cs"/>
          <w:rtl/>
        </w:rPr>
        <w:t>:</w:t>
      </w:r>
      <w:r w:rsidRPr="00A52585">
        <w:rPr>
          <w:rFonts w:eastAsia="Times New Roman" w:hint="cs"/>
          <w:rtl/>
        </w:rPr>
        <w:t xml:space="preserve"> إن الله استوى على عرشه وبذاته‏،‏ تلك هي عقيدة السلف وعقيدة الإمام الأشعري‏،‏ وهو صريح القرآن. ولكن هذا لا يستلزم نسبة الجهة إلى الله‏،‏ فالاستواء معلوم والكيف غير معقول كما قالت أم سلمة والإمام مالك‏،‏ وإنما تكون الجهة نتيجة لثبوت الكيفية‏،‏ وهي مستحيلة على الله.</w:t>
      </w:r>
      <w:r w:rsidR="0002035C" w:rsidRPr="00A52585">
        <w:rPr>
          <w:rFonts w:eastAsia="Times New Roman" w:hint="cs"/>
          <w:rtl/>
        </w:rPr>
        <w:t>)</w:t>
      </w:r>
      <w:r w:rsidR="00897A24"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270-</w:t>
      </w:r>
      <w:r w:rsidR="0002035C" w:rsidRPr="00A52585">
        <w:rPr>
          <w:rFonts w:eastAsia="Times New Roman" w:hint="cs"/>
          <w:rtl/>
        </w:rPr>
        <w:t xml:space="preserve"> </w:t>
      </w:r>
      <w:r w:rsidRPr="00A52585">
        <w:rPr>
          <w:rFonts w:eastAsia="Times New Roman" w:hint="cs"/>
          <w:rtl/>
        </w:rPr>
        <w:t xml:space="preserve">وقال الولي </w:t>
      </w:r>
      <w:proofErr w:type="spellStart"/>
      <w:r w:rsidRPr="00A52585">
        <w:rPr>
          <w:rFonts w:eastAsia="Times New Roman" w:hint="cs"/>
          <w:rtl/>
        </w:rPr>
        <w:t>القشاشي</w:t>
      </w:r>
      <w:proofErr w:type="spellEnd"/>
      <w:r w:rsidRPr="00A52585">
        <w:rPr>
          <w:rFonts w:eastAsia="Times New Roman" w:hint="cs"/>
          <w:rtl/>
        </w:rPr>
        <w:t xml:space="preserve"> ما نصه</w:t>
      </w:r>
      <w:r w:rsidR="0002035C" w:rsidRPr="00A52585">
        <w:rPr>
          <w:rFonts w:eastAsia="Times New Roman" w:hint="cs"/>
          <w:rtl/>
        </w:rPr>
        <w:t>: (</w:t>
      </w:r>
      <w:r w:rsidRPr="00A52585">
        <w:rPr>
          <w:rFonts w:eastAsia="Times New Roman" w:hint="cs"/>
          <w:rtl/>
        </w:rPr>
        <w:t xml:space="preserve">وفي هذا دليل واضح على الإحاطة الإلهية وتساوي الأمكنة كلها بالنسبة إلى الله, وبهذا كان العروج إلى الله في بطون الأرضين وفي فجاج الأرض كالعروج إليه نحو السموات للإحاطة والمساواة ففيه شاهد بذلك لمن أراد </w:t>
      </w:r>
      <w:r w:rsidRPr="00A52585">
        <w:rPr>
          <w:rFonts w:eastAsia="Times New Roman" w:hint="cs"/>
          <w:rtl/>
        </w:rPr>
        <w:lastRenderedPageBreak/>
        <w:t>شاهدا من شواهد الإحاطة إن كان في شك منه, وفيه رد على القائلين بالجهة وبالأقوال التي لا حاجة إلى ذكرها لأنها لا تخفى على المستبصرين لأنه لو كان كما توهموا والوقع التفضيل لما وقع التفصيل, وفي ذلك نداء بآية (وهو الذي في السماء إله وفي الأرض إله) (وهو الله في السموات وفي الأرض يعلم سركم وجهركم ويعلم ما تكسبون) انظر الدرة الثمينة</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271-</w:t>
      </w:r>
      <w:r w:rsidR="0002035C" w:rsidRPr="00A52585">
        <w:rPr>
          <w:rFonts w:eastAsia="Times New Roman" w:hint="cs"/>
          <w:rtl/>
        </w:rPr>
        <w:t xml:space="preserve"> </w:t>
      </w:r>
      <w:r w:rsidRPr="00A52585">
        <w:rPr>
          <w:rFonts w:eastAsia="Times New Roman" w:hint="cs"/>
          <w:rtl/>
        </w:rPr>
        <w:t>وقال الكوراني ما نصه</w:t>
      </w:r>
      <w:r w:rsidR="0002035C" w:rsidRPr="00A52585">
        <w:rPr>
          <w:rFonts w:eastAsia="Times New Roman" w:hint="cs"/>
          <w:rtl/>
        </w:rPr>
        <w:t>: (</w:t>
      </w:r>
      <w:r w:rsidRPr="00A52585">
        <w:rPr>
          <w:rFonts w:eastAsia="Times New Roman" w:hint="cs"/>
          <w:rtl/>
        </w:rPr>
        <w:t>إن المعتزلة قد كفرت أهل السنة لقولهم برؤيته سبحانه يوم القيامة ظنا منهم أن ذلك يستلزم التجسيم وهذا ظن فاسد لأن أهل السنة يثبتونها بلا كيف ومع التنزيه عن الجسم و الجهة)</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272- وقال الشيخ حسين عبد الرحيم مكي المصري أحد مشايخ الأزهر في كتابه "توضيع العقيدة "وهو مقرر السنة الرابعة الإعدادية بالمعاهد الأزهرية بمصر،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فنراه تعالى منزَّهاً عن الجهة والمقابلة وسائر التكيفات، كما أنّا نؤمن ونعتقد انه تعالى ليس في جهة ولا مقابلاً وليس جسما</w:t>
      </w:r>
      <w:r w:rsidR="0002035C" w:rsidRPr="00A52585">
        <w:rPr>
          <w:rFonts w:eastAsia="Times New Roman" w:hint="cs"/>
          <w:rtl/>
        </w:rPr>
        <w:t>)</w:t>
      </w:r>
      <w:r w:rsidRPr="00A52585">
        <w:rPr>
          <w:rFonts w:eastAsia="Times New Roman" w:hint="cs"/>
          <w:rtl/>
        </w:rPr>
        <w:t xml:space="preserve"> انظر توضيح العقيدة المفيد في علم التوحيد لشرح الخريدة لسيدي أحمد </w:t>
      </w:r>
      <w:proofErr w:type="spellStart"/>
      <w:r w:rsidRPr="00A52585">
        <w:rPr>
          <w:rFonts w:eastAsia="Times New Roman" w:hint="cs"/>
          <w:rtl/>
        </w:rPr>
        <w:t>الدردير</w:t>
      </w:r>
      <w:proofErr w:type="spellEnd"/>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2</w:t>
      </w:r>
      <w:r w:rsidR="0002035C" w:rsidRPr="00A52585">
        <w:rPr>
          <w:rFonts w:eastAsia="Times New Roman" w:hint="cs"/>
          <w:rtl/>
        </w:rPr>
        <w:t xml:space="preserve">: </w:t>
      </w:r>
      <w:r w:rsidRPr="00A52585">
        <w:rPr>
          <w:rFonts w:eastAsia="Times New Roman" w:hint="cs"/>
          <w:rtl/>
        </w:rPr>
        <w:t>39</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273-</w:t>
      </w:r>
      <w:r w:rsidR="0002035C" w:rsidRPr="00A52585">
        <w:rPr>
          <w:rFonts w:eastAsia="Times New Roman" w:hint="cs"/>
          <w:rtl/>
        </w:rPr>
        <w:t xml:space="preserve"> </w:t>
      </w:r>
      <w:r w:rsidRPr="00A52585">
        <w:rPr>
          <w:rFonts w:eastAsia="Times New Roman" w:hint="cs"/>
          <w:rtl/>
        </w:rPr>
        <w:t>وقال ايضا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وفي كتاب "العقيدة الإسلامية" الذي يدرّس في دولة الإمارات العربية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 xml:space="preserve">وأنه تعالى لا يحل في شيء ولا يحل فيه شيء، تقدس عن أن </w:t>
      </w:r>
      <w:proofErr w:type="spellStart"/>
      <w:r w:rsidRPr="00A52585">
        <w:rPr>
          <w:rFonts w:eastAsia="Times New Roman" w:hint="cs"/>
          <w:rtl/>
        </w:rPr>
        <w:t>يحويه</w:t>
      </w:r>
      <w:proofErr w:type="spellEnd"/>
      <w:r w:rsidRPr="00A52585">
        <w:rPr>
          <w:rFonts w:eastAsia="Times New Roman" w:hint="cs"/>
          <w:rtl/>
        </w:rPr>
        <w:t xml:space="preserve"> مكان، كما تنزه عن أن يحده زمان، بل كان قبل أن يخلق الزمان والمكان وهو الآن على ما عليه كان</w:t>
      </w:r>
      <w:r w:rsidR="0002035C" w:rsidRPr="00A52585">
        <w:rPr>
          <w:rFonts w:eastAsia="Times New Roman" w:hint="cs"/>
          <w:rtl/>
        </w:rPr>
        <w:t>)</w:t>
      </w:r>
      <w:r w:rsidRPr="00A52585">
        <w:rPr>
          <w:rFonts w:eastAsia="Times New Roman" w:hint="cs"/>
          <w:rtl/>
        </w:rPr>
        <w:t xml:space="preserve"> العقيدة الاسلامية</w:t>
      </w:r>
      <w:r w:rsidR="0002035C" w:rsidRPr="00A52585">
        <w:rPr>
          <w:rFonts w:eastAsia="Times New Roman" w:hint="cs"/>
          <w:rtl/>
        </w:rPr>
        <w:t>:</w:t>
      </w:r>
      <w:r w:rsidRPr="00A52585">
        <w:rPr>
          <w:rFonts w:eastAsia="Times New Roman" w:hint="cs"/>
          <w:rtl/>
        </w:rPr>
        <w:t xml:space="preserve"> التوحيد في الكتاب والسنة </w:t>
      </w:r>
      <w:r w:rsidR="0002035C" w:rsidRPr="00A52585">
        <w:rPr>
          <w:rFonts w:eastAsia="Times New Roman" w:hint="cs"/>
          <w:rtl/>
        </w:rPr>
        <w:t>(</w:t>
      </w:r>
      <w:r w:rsidRPr="00A52585">
        <w:rPr>
          <w:rFonts w:eastAsia="Times New Roman" w:hint="cs"/>
          <w:rtl/>
        </w:rPr>
        <w:t>1</w:t>
      </w:r>
      <w:r w:rsidR="0002035C" w:rsidRPr="00A52585">
        <w:rPr>
          <w:rFonts w:eastAsia="Times New Roman" w:hint="cs"/>
          <w:rtl/>
        </w:rPr>
        <w:t xml:space="preserve">: </w:t>
      </w:r>
      <w:r w:rsidRPr="00A52585">
        <w:rPr>
          <w:rFonts w:eastAsia="Times New Roman" w:hint="cs"/>
          <w:rtl/>
        </w:rPr>
        <w:t>167</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274-</w:t>
      </w:r>
      <w:r w:rsidR="0002035C" w:rsidRPr="00A52585">
        <w:rPr>
          <w:rFonts w:eastAsia="Times New Roman" w:hint="cs"/>
          <w:rtl/>
        </w:rPr>
        <w:t xml:space="preserve"> </w:t>
      </w:r>
      <w:r w:rsidRPr="00A52585">
        <w:rPr>
          <w:rFonts w:eastAsia="Times New Roman" w:hint="cs"/>
          <w:rtl/>
        </w:rPr>
        <w:t>وفيه أيضا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وإن عقيدة النجاة المنقذة من أوحال الشرك وضلالات الفرق الزائفة هي اعتقاد رؤيته تعالى في الاخرة للمؤمنين بلا كيف ولا تحديد ولا جهة ولا انحصار</w:t>
      </w:r>
      <w:r w:rsidR="0002035C" w:rsidRPr="00A52585">
        <w:rPr>
          <w:rFonts w:eastAsia="Times New Roman" w:hint="cs"/>
          <w:rtl/>
        </w:rPr>
        <w:t>)</w:t>
      </w:r>
      <w:r w:rsidRPr="00A52585">
        <w:rPr>
          <w:rFonts w:eastAsia="Times New Roman" w:hint="cs"/>
          <w:rtl/>
        </w:rPr>
        <w:t xml:space="preserve"> العقيدة الإسلامية</w:t>
      </w:r>
      <w:r w:rsidR="0002035C" w:rsidRPr="00A52585">
        <w:rPr>
          <w:rFonts w:eastAsia="Times New Roman" w:hint="cs"/>
          <w:rtl/>
        </w:rPr>
        <w:t>:</w:t>
      </w:r>
      <w:r w:rsidRPr="00A52585">
        <w:rPr>
          <w:rFonts w:eastAsia="Times New Roman" w:hint="cs"/>
          <w:rtl/>
        </w:rPr>
        <w:t xml:space="preserve"> التوحيد الكتاب والسنة</w:t>
      </w:r>
      <w:r w:rsidR="0002035C" w:rsidRPr="00A52585">
        <w:rPr>
          <w:rFonts w:eastAsia="Times New Roman" w:hint="cs"/>
          <w:rtl/>
        </w:rPr>
        <w:t>:</w:t>
      </w:r>
      <w:r w:rsidRPr="00A52585">
        <w:rPr>
          <w:rFonts w:eastAsia="Times New Roman" w:hint="cs"/>
          <w:rtl/>
        </w:rPr>
        <w:t xml:space="preserve"> (1</w:t>
      </w:r>
      <w:r w:rsidR="0002035C" w:rsidRPr="00A52585">
        <w:rPr>
          <w:rFonts w:eastAsia="Times New Roman" w:hint="cs"/>
          <w:rtl/>
        </w:rPr>
        <w:t xml:space="preserve">: </w:t>
      </w:r>
      <w:r w:rsidRPr="00A52585">
        <w:rPr>
          <w:rFonts w:eastAsia="Times New Roman" w:hint="cs"/>
          <w:rtl/>
        </w:rPr>
        <w:t>151)275-</w:t>
      </w:r>
      <w:r w:rsidR="0002035C" w:rsidRPr="00A52585">
        <w:rPr>
          <w:rFonts w:eastAsia="Times New Roman" w:hint="cs"/>
          <w:rtl/>
        </w:rPr>
        <w:t xml:space="preserve"> </w:t>
      </w:r>
      <w:r w:rsidRPr="00A52585">
        <w:rPr>
          <w:rFonts w:eastAsia="Times New Roman" w:hint="cs"/>
          <w:rtl/>
        </w:rPr>
        <w:t>وجاء في مجلة دعوة الحق تصدرها وزارة الأوقاف والشئون الاسلامية بالمملكة المغربية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يتفق الجميع من علماء سلف اهل السنة وخلفهم - وكذا العقلانيون من المتكلمين - على أن ظاهر الاستواء على العرش بمعنى الجلوس على كرسي والمتمكن عليه والتحيز فيه مستحيل</w:t>
      </w:r>
      <w:r w:rsidR="00DB731D" w:rsidRPr="00A52585">
        <w:rPr>
          <w:rFonts w:eastAsia="Times New Roman" w:hint="cs"/>
          <w:rtl/>
        </w:rPr>
        <w:t>،</w:t>
      </w:r>
      <w:r w:rsidRPr="00A52585">
        <w:rPr>
          <w:rFonts w:eastAsia="Times New Roman" w:hint="cs"/>
          <w:rtl/>
        </w:rPr>
        <w:t xml:space="preserve"> لأن الأدلة القطعية تنزه الله تعالى عن أن يشبه خلقه أو أن يحتاج الى شيء مخلوق، سواء أكان مكانا يحل فيه أو غيره، وكذلك لأنه سبحانه نفى عن نفسه المماثلة لخلقه في أي شيء، فأثبت لذاته الغنى المطلق فقال تعالى </w:t>
      </w:r>
      <w:r w:rsidR="0002035C" w:rsidRPr="00A52585">
        <w:rPr>
          <w:rFonts w:eastAsia="Times New Roman" w:hint="cs"/>
          <w:rtl/>
        </w:rPr>
        <w:t>(</w:t>
      </w:r>
      <w:r w:rsidRPr="00A52585">
        <w:rPr>
          <w:rFonts w:eastAsia="Times New Roman" w:hint="cs"/>
          <w:rtl/>
        </w:rPr>
        <w:t>لَيْسَ كَمِثْلِهِ شَيْء</w:t>
      </w:r>
      <w:r w:rsidR="0002035C" w:rsidRPr="00A52585">
        <w:rPr>
          <w:rFonts w:eastAsia="Times New Roman" w:hint="cs"/>
          <w:rtl/>
        </w:rPr>
        <w:t>)</w:t>
      </w:r>
      <w:r w:rsidRPr="00A52585">
        <w:rPr>
          <w:rFonts w:eastAsia="Times New Roman" w:hint="cs"/>
          <w:rtl/>
        </w:rPr>
        <w:t xml:space="preserve"> مجلة دعوة الحق</w:t>
      </w:r>
      <w:r w:rsidR="0002035C" w:rsidRPr="00A52585">
        <w:rPr>
          <w:rFonts w:eastAsia="Times New Roman" w:hint="cs"/>
          <w:rtl/>
        </w:rPr>
        <w:t>:</w:t>
      </w:r>
      <w:r w:rsidRPr="00A52585">
        <w:rPr>
          <w:rFonts w:eastAsia="Times New Roman" w:hint="cs"/>
          <w:rtl/>
        </w:rPr>
        <w:t xml:space="preserve"> العددان 305- 306 (ص</w:t>
      </w:r>
      <w:r w:rsidR="0002035C" w:rsidRPr="00A52585">
        <w:rPr>
          <w:rFonts w:eastAsia="Times New Roman" w:hint="cs"/>
          <w:rtl/>
        </w:rPr>
        <w:t xml:space="preserve">: </w:t>
      </w:r>
      <w:r w:rsidRPr="00A52585">
        <w:rPr>
          <w:rFonts w:eastAsia="Times New Roman" w:hint="cs"/>
          <w:rtl/>
        </w:rPr>
        <w:t>65 سنة 1415 هـ -1994م</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276-</w:t>
      </w:r>
      <w:r w:rsidR="0002035C" w:rsidRPr="00A52585">
        <w:rPr>
          <w:rFonts w:eastAsia="Times New Roman" w:hint="cs"/>
          <w:rtl/>
        </w:rPr>
        <w:t xml:space="preserve"> </w:t>
      </w:r>
      <w:r w:rsidRPr="00A52585">
        <w:rPr>
          <w:rFonts w:eastAsia="Times New Roman" w:hint="cs"/>
          <w:rtl/>
        </w:rPr>
        <w:t xml:space="preserve">وجاء في مجلة الأزهر وهي مجلة دينية علمية خلقية تاريخية حكمية تصدرها مشيخة الأزهر بمصر، انتدب الأزهر الشريف بمصر لهؤلاء المنحرفين عن منهج أهل السنة وتصدر للرد على تلك الشرذمة التي تسمي نفسها "الوهابية" المتسترين تحت اسم "السلفية" تارة، و"جماعة أنصار السنة" تارة أخرى، فنشر أكثر من مقال لإبطال مزاعمهم تحت عنوان </w:t>
      </w:r>
      <w:r w:rsidRPr="00A52585">
        <w:rPr>
          <w:rFonts w:eastAsia="Times New Roman" w:hint="cs"/>
          <w:rtl/>
        </w:rPr>
        <w:lastRenderedPageBreak/>
        <w:t>"تنزيه الله عن المكان والجهة"</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277-</w:t>
      </w:r>
      <w:r w:rsidR="0002035C" w:rsidRPr="00A52585">
        <w:rPr>
          <w:rFonts w:eastAsia="Times New Roman" w:hint="cs"/>
          <w:rtl/>
        </w:rPr>
        <w:t xml:space="preserve"> </w:t>
      </w:r>
      <w:r w:rsidRPr="00A52585">
        <w:rPr>
          <w:rFonts w:eastAsia="Times New Roman" w:hint="cs"/>
          <w:rtl/>
        </w:rPr>
        <w:t>ومما جاء فيها</w:t>
      </w:r>
      <w:r w:rsidR="0002035C" w:rsidRPr="00A52585">
        <w:rPr>
          <w:rFonts w:eastAsia="Times New Roman" w:hint="cs"/>
          <w:rtl/>
        </w:rPr>
        <w:t>: (</w:t>
      </w:r>
      <w:r w:rsidRPr="00A52585">
        <w:rPr>
          <w:rFonts w:eastAsia="Times New Roman" w:hint="cs"/>
          <w:rtl/>
        </w:rPr>
        <w:t>و " الأعلى" صفة الرب</w:t>
      </w:r>
      <w:r w:rsidR="00DB731D" w:rsidRPr="00A52585">
        <w:rPr>
          <w:rFonts w:eastAsia="Times New Roman" w:hint="cs"/>
          <w:rtl/>
        </w:rPr>
        <w:t>،</w:t>
      </w:r>
      <w:r w:rsidRPr="00A52585">
        <w:rPr>
          <w:rFonts w:eastAsia="Times New Roman" w:hint="cs"/>
          <w:rtl/>
        </w:rPr>
        <w:t xml:space="preserve"> والمراد بالعلو العلو بالقهر والاقتدار لا بالمكان والجهة، لتنزهه عن ذلك</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مجلة نور الاسلام</w:t>
      </w:r>
      <w:r w:rsidR="00DB731D" w:rsidRPr="00A52585">
        <w:rPr>
          <w:rFonts w:eastAsia="Times New Roman" w:hint="cs"/>
          <w:rtl/>
        </w:rPr>
        <w:t>،</w:t>
      </w:r>
      <w:r w:rsidRPr="00A52585">
        <w:rPr>
          <w:rFonts w:eastAsia="Times New Roman" w:hint="cs"/>
          <w:rtl/>
        </w:rPr>
        <w:t xml:space="preserve"> مجلة الأزهر</w:t>
      </w:r>
      <w:r w:rsidR="0002035C" w:rsidRPr="00A52585">
        <w:rPr>
          <w:rFonts w:eastAsia="Times New Roman" w:hint="cs"/>
          <w:rtl/>
        </w:rPr>
        <w:t>:</w:t>
      </w:r>
      <w:r w:rsidRPr="00A52585">
        <w:rPr>
          <w:rFonts w:eastAsia="Times New Roman" w:hint="cs"/>
          <w:rtl/>
        </w:rPr>
        <w:t xml:space="preserve"> (مجلد 2</w:t>
      </w:r>
      <w:r w:rsidR="0002035C" w:rsidRPr="00A52585">
        <w:rPr>
          <w:rFonts w:eastAsia="Times New Roman" w:hint="cs"/>
          <w:rtl/>
        </w:rPr>
        <w:t xml:space="preserve">: </w:t>
      </w:r>
      <w:r w:rsidRPr="00A52585">
        <w:rPr>
          <w:rFonts w:eastAsia="Times New Roman" w:hint="cs"/>
          <w:rtl/>
        </w:rPr>
        <w:t>جزء4</w:t>
      </w:r>
      <w:r w:rsidR="0002035C" w:rsidRPr="00A52585">
        <w:rPr>
          <w:rFonts w:eastAsia="Times New Roman" w:hint="cs"/>
          <w:rtl/>
        </w:rPr>
        <w:t xml:space="preserve">: </w:t>
      </w:r>
      <w:r w:rsidRPr="00A52585">
        <w:rPr>
          <w:rFonts w:eastAsia="Times New Roman" w:hint="cs"/>
          <w:rtl/>
        </w:rPr>
        <w:t>ص 282 ربيع الثاني سنة 1350ه ـ)</w:t>
      </w:r>
      <w:r w:rsidR="00DB731D"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ومجلد 2</w:t>
      </w:r>
      <w:r w:rsidR="0002035C" w:rsidRPr="00A52585">
        <w:rPr>
          <w:rFonts w:eastAsia="Times New Roman" w:hint="cs"/>
          <w:rtl/>
        </w:rPr>
        <w:t xml:space="preserve">: </w:t>
      </w:r>
      <w:r w:rsidRPr="00A52585">
        <w:rPr>
          <w:rFonts w:eastAsia="Times New Roman" w:hint="cs"/>
          <w:rtl/>
        </w:rPr>
        <w:t>جزء9</w:t>
      </w:r>
      <w:r w:rsidR="0002035C" w:rsidRPr="00A52585">
        <w:rPr>
          <w:rFonts w:eastAsia="Times New Roman" w:hint="cs"/>
          <w:rtl/>
        </w:rPr>
        <w:t xml:space="preserve">: </w:t>
      </w:r>
      <w:r w:rsidRPr="00A52585">
        <w:rPr>
          <w:rFonts w:eastAsia="Times New Roman" w:hint="cs"/>
          <w:rtl/>
        </w:rPr>
        <w:t>ص</w:t>
      </w:r>
      <w:r w:rsidR="0002035C" w:rsidRPr="00A52585">
        <w:rPr>
          <w:rFonts w:eastAsia="Times New Roman" w:hint="cs"/>
          <w:rtl/>
        </w:rPr>
        <w:t>:</w:t>
      </w:r>
      <w:r w:rsidRPr="00A52585">
        <w:rPr>
          <w:rFonts w:eastAsia="Times New Roman" w:hint="cs"/>
          <w:rtl/>
        </w:rPr>
        <w:t xml:space="preserve"> 63 رمضان سنة 1350هـ). (مجلد 9</w:t>
      </w:r>
      <w:r w:rsidR="0002035C" w:rsidRPr="00A52585">
        <w:rPr>
          <w:rFonts w:eastAsia="Times New Roman" w:hint="cs"/>
          <w:rtl/>
        </w:rPr>
        <w:t xml:space="preserve">: </w:t>
      </w:r>
      <w:r w:rsidRPr="00A52585">
        <w:rPr>
          <w:rFonts w:eastAsia="Times New Roman" w:hint="cs"/>
          <w:rtl/>
        </w:rPr>
        <w:t>جزء ا</w:t>
      </w:r>
      <w:r w:rsidR="0002035C" w:rsidRPr="00A52585">
        <w:rPr>
          <w:rFonts w:eastAsia="Times New Roman" w:hint="cs"/>
          <w:rtl/>
        </w:rPr>
        <w:t xml:space="preserve">: </w:t>
      </w:r>
      <w:r w:rsidRPr="00A52585">
        <w:rPr>
          <w:rFonts w:eastAsia="Times New Roman" w:hint="cs"/>
          <w:rtl/>
        </w:rPr>
        <w:t>ص</w:t>
      </w:r>
      <w:r w:rsidR="0002035C" w:rsidRPr="00A52585">
        <w:rPr>
          <w:rFonts w:eastAsia="Times New Roman" w:hint="cs"/>
          <w:rtl/>
        </w:rPr>
        <w:t xml:space="preserve">: </w:t>
      </w:r>
      <w:r w:rsidRPr="00A52585">
        <w:rPr>
          <w:rFonts w:eastAsia="Times New Roman" w:hint="cs"/>
          <w:rtl/>
        </w:rPr>
        <w:t>16) المحرم سنة 1357 هـ)</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278-</w:t>
      </w:r>
      <w:r w:rsidR="0002035C" w:rsidRPr="00A52585">
        <w:rPr>
          <w:rFonts w:eastAsia="Times New Roman" w:hint="cs"/>
          <w:rtl/>
        </w:rPr>
        <w:t xml:space="preserve"> </w:t>
      </w:r>
      <w:r w:rsidRPr="00A52585">
        <w:rPr>
          <w:rFonts w:eastAsia="Times New Roman" w:hint="cs"/>
          <w:rtl/>
        </w:rPr>
        <w:t xml:space="preserve">وامام </w:t>
      </w:r>
      <w:proofErr w:type="spellStart"/>
      <w:r w:rsidRPr="00A52585">
        <w:rPr>
          <w:rFonts w:eastAsia="Times New Roman" w:hint="cs"/>
          <w:rtl/>
        </w:rPr>
        <w:t>الدعاه</w:t>
      </w:r>
      <w:proofErr w:type="spellEnd"/>
      <w:r w:rsidRPr="00A52585">
        <w:rPr>
          <w:rFonts w:eastAsia="Times New Roman" w:hint="cs"/>
          <w:rtl/>
        </w:rPr>
        <w:t xml:space="preserve"> الشيخ الشعراوي يفسر الاستواء في قوله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ثم استوى الى السماء</w:t>
      </w:r>
      <w:r w:rsidR="0002035C" w:rsidRPr="00A52585">
        <w:rPr>
          <w:rFonts w:eastAsia="Times New Roman" w:hint="cs"/>
          <w:rtl/>
        </w:rPr>
        <w:t>)</w:t>
      </w:r>
      <w:r w:rsidRPr="00A52585">
        <w:rPr>
          <w:rFonts w:eastAsia="Times New Roman" w:hint="cs"/>
          <w:rtl/>
        </w:rPr>
        <w:t xml:space="preserve"> فقال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استوى هنا بمعنى قصد</w:t>
      </w:r>
      <w:r w:rsidR="0002035C" w:rsidRPr="00A52585">
        <w:rPr>
          <w:rFonts w:eastAsia="Times New Roman" w:hint="cs"/>
          <w:rtl/>
        </w:rPr>
        <w:t>)</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279- وقال الأستاذ العلامة سعيد فودة ما نصه</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مذهب أهل السنة والجماعة كلهم ومنهم الأشاعرة أن الله تعالى لا يشابه أحداً من خلقه</w:t>
      </w:r>
      <w:r w:rsidR="00DB731D" w:rsidRPr="00A52585">
        <w:rPr>
          <w:rFonts w:eastAsia="Times New Roman" w:hint="cs"/>
          <w:rtl/>
        </w:rPr>
        <w:t>،</w:t>
      </w:r>
      <w:r w:rsidRPr="00A52585">
        <w:rPr>
          <w:rFonts w:eastAsia="Times New Roman" w:hint="cs"/>
          <w:rtl/>
        </w:rPr>
        <w:t xml:space="preserve"> لا في ذاته ولا في صفاته ولا في أفعاله</w:t>
      </w:r>
      <w:r w:rsidR="00897A24" w:rsidRPr="00A52585">
        <w:rPr>
          <w:rFonts w:eastAsia="Times New Roman" w:hint="cs"/>
          <w:rtl/>
        </w:rPr>
        <w:t>.</w:t>
      </w:r>
      <w:r w:rsidRPr="00A52585">
        <w:rPr>
          <w:rFonts w:eastAsia="Times New Roman" w:hint="cs"/>
          <w:rtl/>
        </w:rPr>
        <w:t xml:space="preserve"> وإن كل ما خطر على قلب بشر من صورة أو كيفية فيجب نفيه عنه تعالى</w:t>
      </w:r>
      <w:r w:rsidR="00DB731D" w:rsidRPr="00A52585">
        <w:rPr>
          <w:rFonts w:eastAsia="Times New Roman" w:hint="cs"/>
          <w:rtl/>
        </w:rPr>
        <w:t>،</w:t>
      </w:r>
      <w:r w:rsidRPr="00A52585">
        <w:rPr>
          <w:rFonts w:eastAsia="Times New Roman" w:hint="cs"/>
          <w:rtl/>
        </w:rPr>
        <w:t xml:space="preserve"> لأن الصورة والكيف </w:t>
      </w:r>
      <w:proofErr w:type="spellStart"/>
      <w:r w:rsidRPr="00A52585">
        <w:rPr>
          <w:rFonts w:eastAsia="Times New Roman" w:hint="cs"/>
          <w:rtl/>
        </w:rPr>
        <w:t>منتفيان</w:t>
      </w:r>
      <w:proofErr w:type="spellEnd"/>
      <w:r w:rsidRPr="00A52585">
        <w:rPr>
          <w:rFonts w:eastAsia="Times New Roman" w:hint="cs"/>
          <w:rtl/>
        </w:rPr>
        <w:t xml:space="preserve"> في الأصل عنه تعالى</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وهم يقولون بتنـزيه الله تعالى عن صفات البشر والحوادث والأجسام وكل ما يلزم عن كون الشيء جسماً وهي لوازم الأجسام مثل</w:t>
      </w:r>
      <w:r w:rsidR="0002035C" w:rsidRPr="00A52585">
        <w:rPr>
          <w:rFonts w:eastAsia="Times New Roman" w:hint="cs"/>
          <w:rtl/>
        </w:rPr>
        <w:t>:</w:t>
      </w:r>
      <w:r w:rsidRPr="00A52585">
        <w:rPr>
          <w:rFonts w:eastAsia="Times New Roman" w:hint="cs"/>
          <w:rtl/>
        </w:rPr>
        <w:t xml:space="preserve"> الكون في الأمكنة والحركة والحجم والكيف والتركيب وغير ذلك</w:t>
      </w:r>
      <w:r w:rsidR="0002035C" w:rsidRPr="00A52585">
        <w:rPr>
          <w:rFonts w:eastAsia="Times New Roman" w:hint="cs"/>
          <w:rtl/>
        </w:rPr>
        <w:t>)</w:t>
      </w:r>
      <w:r w:rsidRPr="00A52585">
        <w:rPr>
          <w:rFonts w:eastAsia="Times New Roman" w:hint="cs"/>
          <w:rtl/>
        </w:rPr>
        <w:t xml:space="preserve"> انظر كتابه خواطر حول وصية الإمام فخر الدين الرازي رحمه الله تعالى</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280- وقال ايضا في و صيته</w:t>
      </w:r>
      <w:r w:rsidR="0002035C" w:rsidRPr="00A52585">
        <w:rPr>
          <w:rFonts w:eastAsia="Times New Roman" w:hint="cs"/>
          <w:rtl/>
        </w:rPr>
        <w:t>: (</w:t>
      </w:r>
      <w:r w:rsidRPr="00A52585">
        <w:rPr>
          <w:rFonts w:eastAsia="Times New Roman" w:hint="cs"/>
          <w:rtl/>
        </w:rPr>
        <w:t xml:space="preserve">أن العالم المخصوص تحت تدبير مُدَبِّره المنـزه عن مماثلة </w:t>
      </w:r>
      <w:proofErr w:type="spellStart"/>
      <w:r w:rsidRPr="00A52585">
        <w:rPr>
          <w:rFonts w:eastAsia="Times New Roman" w:hint="cs"/>
          <w:rtl/>
        </w:rPr>
        <w:t>التمحيزات</w:t>
      </w:r>
      <w:proofErr w:type="spellEnd"/>
      <w:r w:rsidR="0002035C" w:rsidRPr="00A52585">
        <w:rPr>
          <w:rFonts w:eastAsia="Times New Roman" w:hint="cs"/>
          <w:rtl/>
        </w:rPr>
        <w:t>)</w:t>
      </w:r>
      <w:r w:rsidRPr="00A52585">
        <w:rPr>
          <w:rFonts w:eastAsia="Times New Roman" w:hint="cs"/>
          <w:rtl/>
        </w:rPr>
        <w:t xml:space="preserve"> انظر المرجع السابق</w:t>
      </w:r>
      <w:r w:rsidR="00DB731D" w:rsidRPr="00A52585">
        <w:rPr>
          <w:rFonts w:eastAsia="Times New Roman" w:hint="cs"/>
          <w:rtl/>
        </w:rPr>
        <w:t>،</w:t>
      </w:r>
      <w:r w:rsidRPr="00A52585">
        <w:rPr>
          <w:rFonts w:eastAsia="Times New Roman" w:hint="cs"/>
          <w:rtl/>
        </w:rPr>
        <w:t xml:space="preserve"> وانظر كذلك طبقات الشافعية الكبرى الإمام المحقق ابن السبكي</w:t>
      </w:r>
      <w:r w:rsidR="0002035C" w:rsidRPr="00A52585">
        <w:rPr>
          <w:rFonts w:eastAsia="Times New Roman" w:hint="cs"/>
          <w:rtl/>
        </w:rPr>
        <w:t>:</w:t>
      </w:r>
      <w:r w:rsidRPr="00A52585">
        <w:rPr>
          <w:rFonts w:eastAsia="Times New Roman" w:hint="cs"/>
          <w:rtl/>
        </w:rPr>
        <w:t xml:space="preserve"> (8</w:t>
      </w:r>
      <w:r w:rsidR="0002035C" w:rsidRPr="00A52585">
        <w:rPr>
          <w:rFonts w:eastAsia="Times New Roman" w:hint="cs"/>
          <w:rtl/>
        </w:rPr>
        <w:t xml:space="preserve">: </w:t>
      </w:r>
      <w:r w:rsidRPr="00A52585">
        <w:rPr>
          <w:rFonts w:eastAsia="Times New Roman" w:hint="cs"/>
          <w:rtl/>
        </w:rPr>
        <w:t>90</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قلت</w:t>
      </w:r>
      <w:r w:rsidR="0002035C" w:rsidRPr="00A52585">
        <w:rPr>
          <w:rFonts w:eastAsia="Times New Roman" w:hint="cs"/>
          <w:rtl/>
        </w:rPr>
        <w:t>:</w:t>
      </w:r>
      <w:r w:rsidRPr="00A52585">
        <w:rPr>
          <w:rFonts w:eastAsia="Times New Roman" w:hint="cs"/>
          <w:rtl/>
        </w:rPr>
        <w:t xml:space="preserve"> وقد ذكر الأستاذ العلامة سعيد فودة هذه الوصية بما معناه - التي يدعي ابن تيمية وممن تأثر به - انه لا يوجد فيها ما يقوله المبطلون من ان هذا الامام الحجة قد تراجع عن معتقده في الصفات</w:t>
      </w:r>
      <w:r w:rsidR="00DB731D" w:rsidRPr="00A52585">
        <w:rPr>
          <w:rFonts w:eastAsia="Times New Roman" w:hint="cs"/>
          <w:rtl/>
        </w:rPr>
        <w:t>،</w:t>
      </w:r>
      <w:r w:rsidRPr="00A52585">
        <w:rPr>
          <w:rFonts w:eastAsia="Times New Roman" w:hint="cs"/>
          <w:rtl/>
        </w:rPr>
        <w:t xml:space="preserve"> وانه تراجع عن اشعريته</w:t>
      </w:r>
      <w:r w:rsidR="00DB731D" w:rsidRPr="00A52585">
        <w:rPr>
          <w:rFonts w:eastAsia="Times New Roman" w:hint="cs"/>
          <w:rtl/>
        </w:rPr>
        <w:t>،</w:t>
      </w:r>
      <w:r w:rsidRPr="00A52585">
        <w:rPr>
          <w:rFonts w:eastAsia="Times New Roman" w:hint="cs"/>
          <w:rtl/>
        </w:rPr>
        <w:t xml:space="preserve"> فليتنبه الاخوة الكرام الى هذه المسألة</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وقال العلامة سعيد فودة</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قلتُ</w:t>
      </w:r>
      <w:r w:rsidR="0002035C" w:rsidRPr="00A52585">
        <w:rPr>
          <w:rFonts w:eastAsia="Times New Roman" w:hint="cs"/>
          <w:rtl/>
        </w:rPr>
        <w:t>:</w:t>
      </w:r>
      <w:r w:rsidRPr="00A52585">
        <w:rPr>
          <w:rFonts w:eastAsia="Times New Roman" w:hint="cs"/>
          <w:rtl/>
        </w:rPr>
        <w:t xml:space="preserve"> الناسُ الذين يقولون إن الله تعالى خارج العالم ويفهمون حقيقة هذا القول</w:t>
      </w:r>
      <w:r w:rsidR="00DB731D" w:rsidRPr="00A52585">
        <w:rPr>
          <w:rFonts w:eastAsia="Times New Roman" w:hint="cs"/>
          <w:rtl/>
        </w:rPr>
        <w:t>،</w:t>
      </w:r>
      <w:r w:rsidRPr="00A52585">
        <w:rPr>
          <w:rFonts w:eastAsia="Times New Roman" w:hint="cs"/>
          <w:rtl/>
        </w:rPr>
        <w:t xml:space="preserve"> هم مجسمة</w:t>
      </w:r>
      <w:r w:rsidR="00DB731D" w:rsidRPr="00A52585">
        <w:rPr>
          <w:rFonts w:eastAsia="Times New Roman" w:hint="cs"/>
          <w:rtl/>
        </w:rPr>
        <w:t>،</w:t>
      </w:r>
      <w:r w:rsidRPr="00A52585">
        <w:rPr>
          <w:rFonts w:eastAsia="Times New Roman" w:hint="cs"/>
          <w:rtl/>
        </w:rPr>
        <w:t xml:space="preserve"> سواء اعترفوا بهذا أم لا ؛ لأنهم يقولون إن الله تعالى خارج العالم في جهة من العالم</w:t>
      </w:r>
      <w:r w:rsidR="00DB731D" w:rsidRPr="00A52585">
        <w:rPr>
          <w:rFonts w:eastAsia="Times New Roman" w:hint="cs"/>
          <w:rtl/>
        </w:rPr>
        <w:t>،</w:t>
      </w:r>
      <w:r w:rsidRPr="00A52585">
        <w:rPr>
          <w:rFonts w:eastAsia="Times New Roman" w:hint="cs"/>
          <w:rtl/>
        </w:rPr>
        <w:t xml:space="preserve"> وهي جهة الفوق</w:t>
      </w:r>
      <w:r w:rsidR="00DB731D" w:rsidRPr="00A52585">
        <w:rPr>
          <w:rFonts w:eastAsia="Times New Roman" w:hint="cs"/>
          <w:rtl/>
        </w:rPr>
        <w:t>،</w:t>
      </w:r>
      <w:r w:rsidRPr="00A52585">
        <w:rPr>
          <w:rFonts w:eastAsia="Times New Roman" w:hint="cs"/>
          <w:rtl/>
        </w:rPr>
        <w:t xml:space="preserve"> ويقولون</w:t>
      </w:r>
      <w:r w:rsidR="0002035C" w:rsidRPr="00A52585">
        <w:rPr>
          <w:rFonts w:eastAsia="Times New Roman" w:hint="cs"/>
          <w:rtl/>
        </w:rPr>
        <w:t>:</w:t>
      </w:r>
      <w:r w:rsidRPr="00A52585">
        <w:rPr>
          <w:rFonts w:eastAsia="Times New Roman" w:hint="cs"/>
          <w:rtl/>
        </w:rPr>
        <w:t xml:space="preserve"> إن هذا هو المكان الذي نقول إن الله تعالى فيه</w:t>
      </w:r>
      <w:r w:rsidR="00F95886" w:rsidRPr="00A52585">
        <w:rPr>
          <w:rFonts w:eastAsia="Times New Roman" w:hint="cs"/>
          <w:rtl/>
        </w:rPr>
        <w:t>!</w:t>
      </w:r>
      <w:r w:rsidRPr="00A52585">
        <w:rPr>
          <w:rFonts w:eastAsia="Times New Roman" w:hint="cs"/>
          <w:rtl/>
        </w:rPr>
        <w:t>!</w:t>
      </w:r>
      <w:r w:rsidR="0002035C" w:rsidRPr="00A52585">
        <w:rPr>
          <w:rFonts w:eastAsia="Times New Roman" w:hint="cs"/>
          <w:rtl/>
        </w:rPr>
        <w:t xml:space="preserve"> </w:t>
      </w:r>
      <w:r w:rsidRPr="00A52585">
        <w:rPr>
          <w:rFonts w:eastAsia="Times New Roman" w:hint="cs"/>
          <w:rtl/>
        </w:rPr>
        <w:t>ويحتجون على هذا بأن يقولوا</w:t>
      </w:r>
      <w:r w:rsidR="0002035C" w:rsidRPr="00A52585">
        <w:rPr>
          <w:rFonts w:eastAsia="Times New Roman" w:hint="cs"/>
          <w:rtl/>
        </w:rPr>
        <w:t>:</w:t>
      </w:r>
      <w:r w:rsidRPr="00A52585">
        <w:rPr>
          <w:rFonts w:eastAsia="Times New Roman" w:hint="cs"/>
          <w:rtl/>
        </w:rPr>
        <w:t xml:space="preserve"> إن من يتصف بأنه لا خارج العالم ولا داخل فهو معدوم ؛ لأنه لا يتصور وجود شيء لا داخل العالم ولا خارجه</w:t>
      </w:r>
      <w:r w:rsidR="00DB731D" w:rsidRPr="00A52585">
        <w:rPr>
          <w:rFonts w:eastAsia="Times New Roman" w:hint="cs"/>
          <w:rtl/>
        </w:rPr>
        <w:t>،</w:t>
      </w:r>
      <w:r w:rsidRPr="00A52585">
        <w:rPr>
          <w:rFonts w:eastAsia="Times New Roman" w:hint="cs"/>
          <w:rtl/>
        </w:rPr>
        <w:t xml:space="preserve"> فمن حيث الاحتمالُ العقلي عندهم، إما أن يكون داخل العالم أو يكون خارجه، ويبطل أن يكون داخل العالم، فوجب أن يكون خارجه، وما دام وجبَ كونه خارج العالم فقد وجب كونه في جهةٍ، والجهات متعددة، ويستحيل أن يكون تحت العالم أو يمينه إلى آخره، فوجب أن يكون فوقه؛ لأن هذه الجهة جهة كمال، وهي التي تليق بالله تعالى، فصار معبودهم بعد هذا البيان خارج العالم، وفي جهة الفوق، هذا حاصل كلامهم</w:t>
      </w:r>
      <w:r w:rsidR="00DB731D" w:rsidRPr="00A52585">
        <w:rPr>
          <w:rFonts w:eastAsia="Times New Roman" w:hint="cs"/>
          <w:rtl/>
        </w:rPr>
        <w:t>،</w:t>
      </w:r>
      <w:r w:rsidRPr="00A52585">
        <w:rPr>
          <w:rFonts w:eastAsia="Times New Roman" w:hint="cs"/>
          <w:rtl/>
        </w:rPr>
        <w:t xml:space="preserve"> فنقول وبالله التوفيق</w:t>
      </w:r>
      <w:r w:rsidR="0002035C" w:rsidRPr="00A52585">
        <w:rPr>
          <w:rFonts w:eastAsia="Times New Roman" w:hint="cs"/>
          <w:rtl/>
        </w:rPr>
        <w:t>:</w:t>
      </w:r>
      <w:r w:rsidRPr="00A52585">
        <w:rPr>
          <w:rFonts w:eastAsia="Times New Roman" w:hint="cs"/>
          <w:rtl/>
        </w:rPr>
        <w:t xml:space="preserve"> كلامهم هذا متهافت، ويدلُّ على سخف عقولهم، ولا يغترُّ به إلا جاهل، لا يفهم معاني الألفاظ ولا </w:t>
      </w:r>
      <w:r w:rsidRPr="00A52585">
        <w:rPr>
          <w:rFonts w:eastAsia="Times New Roman" w:hint="cs"/>
          <w:rtl/>
        </w:rPr>
        <w:lastRenderedPageBreak/>
        <w:t>يعقلها</w:t>
      </w:r>
      <w:r w:rsidR="00DB731D" w:rsidRPr="00A52585">
        <w:rPr>
          <w:rFonts w:eastAsia="Times New Roman" w:hint="cs"/>
          <w:rtl/>
        </w:rPr>
        <w:t>،</w:t>
      </w:r>
      <w:r w:rsidRPr="00A52585">
        <w:rPr>
          <w:rFonts w:eastAsia="Times New Roman" w:hint="cs"/>
          <w:rtl/>
        </w:rPr>
        <w:t xml:space="preserve"> فالله تعالى كان قبل كل شيء</w:t>
      </w:r>
      <w:r w:rsidR="00DB731D" w:rsidRPr="00A52585">
        <w:rPr>
          <w:rFonts w:eastAsia="Times New Roman" w:hint="cs"/>
          <w:rtl/>
        </w:rPr>
        <w:t>،</w:t>
      </w:r>
      <w:r w:rsidRPr="00A52585">
        <w:rPr>
          <w:rFonts w:eastAsia="Times New Roman" w:hint="cs"/>
          <w:rtl/>
        </w:rPr>
        <w:t xml:space="preserve"> والعالم كله بما فيه مخلوق</w:t>
      </w:r>
      <w:r w:rsidR="00DB731D" w:rsidRPr="00A52585">
        <w:rPr>
          <w:rFonts w:eastAsia="Times New Roman" w:hint="cs"/>
          <w:rtl/>
        </w:rPr>
        <w:t>،</w:t>
      </w:r>
      <w:r w:rsidRPr="00A52585">
        <w:rPr>
          <w:rFonts w:eastAsia="Times New Roman" w:hint="cs"/>
          <w:rtl/>
        </w:rPr>
        <w:t xml:space="preserve"> والعالم له بداية لم يكن قبلها موجوداً</w:t>
      </w:r>
      <w:r w:rsidR="00DB731D" w:rsidRPr="00A52585">
        <w:rPr>
          <w:rFonts w:eastAsia="Times New Roman" w:hint="cs"/>
          <w:rtl/>
        </w:rPr>
        <w:t>،</w:t>
      </w:r>
      <w:r w:rsidRPr="00A52585">
        <w:rPr>
          <w:rFonts w:eastAsia="Times New Roman" w:hint="cs"/>
          <w:rtl/>
        </w:rPr>
        <w:t xml:space="preserve"> فقبل أن يخلق الله العالم هل كان في جهةٍ أو كان في مكان</w:t>
      </w:r>
      <w:r w:rsidR="00F95886" w:rsidRPr="00A52585">
        <w:rPr>
          <w:rFonts w:eastAsia="Times New Roman" w:hint="cs"/>
          <w:rtl/>
        </w:rPr>
        <w:t>؟</w:t>
      </w:r>
      <w:r w:rsidRPr="00A52585">
        <w:rPr>
          <w:rFonts w:eastAsia="Times New Roman" w:hint="cs"/>
          <w:rtl/>
        </w:rPr>
        <w:t>! الكل متفق على أن المكان والجهات كلها مخلوقة</w:t>
      </w:r>
      <w:r w:rsidR="00DB731D" w:rsidRPr="00A52585">
        <w:rPr>
          <w:rFonts w:eastAsia="Times New Roman" w:hint="cs"/>
          <w:rtl/>
        </w:rPr>
        <w:t>،</w:t>
      </w:r>
      <w:r w:rsidRPr="00A52585">
        <w:rPr>
          <w:rFonts w:eastAsia="Times New Roman" w:hint="cs"/>
          <w:rtl/>
        </w:rPr>
        <w:t xml:space="preserve"> ومن قال غير هذا فقد كفر بملة الإسلام</w:t>
      </w:r>
      <w:r w:rsidR="00DB731D" w:rsidRPr="00A52585">
        <w:rPr>
          <w:rFonts w:eastAsia="Times New Roman" w:hint="cs"/>
          <w:rtl/>
        </w:rPr>
        <w:t>،</w:t>
      </w:r>
      <w:r w:rsidRPr="00A52585">
        <w:rPr>
          <w:rFonts w:eastAsia="Times New Roman" w:hint="cs"/>
          <w:rtl/>
        </w:rPr>
        <w:t xml:space="preserve"> فالله تعالى كان ولم يكن شيء غيره</w:t>
      </w:r>
      <w:r w:rsidR="0002035C" w:rsidRPr="00A52585">
        <w:rPr>
          <w:rFonts w:eastAsia="Times New Roman" w:hint="cs"/>
          <w:rtl/>
        </w:rPr>
        <w:t>)</w:t>
      </w:r>
      <w:r w:rsidRPr="00A52585">
        <w:rPr>
          <w:rFonts w:eastAsia="Times New Roman" w:hint="cs"/>
          <w:rtl/>
        </w:rPr>
        <w:t xml:space="preserve"> انظر حسن </w:t>
      </w:r>
      <w:proofErr w:type="spellStart"/>
      <w:r w:rsidRPr="00A52585">
        <w:rPr>
          <w:rFonts w:eastAsia="Times New Roman" w:hint="cs"/>
          <w:rtl/>
        </w:rPr>
        <w:t>المحاججة</w:t>
      </w:r>
      <w:proofErr w:type="spellEnd"/>
      <w:r w:rsidRPr="00A52585">
        <w:rPr>
          <w:rFonts w:eastAsia="Times New Roman" w:hint="cs"/>
          <w:rtl/>
        </w:rPr>
        <w:t xml:space="preserve"> للأستاذ العلامة النَّظَّار سعيد فودة حفظه الله تعالى</w:t>
      </w:r>
      <w:r w:rsidR="0002035C" w:rsidRPr="00A52585">
        <w:rPr>
          <w:rFonts w:eastAsia="Times New Roman" w:hint="cs"/>
          <w:rtl/>
        </w:rPr>
        <w:t>)</w:t>
      </w:r>
      <w:r w:rsidRPr="00A52585">
        <w:rPr>
          <w:rFonts w:eastAsia="Times New Roman" w:hint="cs"/>
          <w:rtl/>
        </w:rPr>
        <w:t xml:space="preserve"> انتهى نقلاً عن</w:t>
      </w:r>
      <w:r w:rsidRPr="00A52585">
        <w:rPr>
          <w:rFonts w:hint="cs"/>
          <w:rtl/>
        </w:rPr>
        <w:t xml:space="preserve"> كتاب غاية البيان في تنزيه الله عن الجهة والمكان للشيخ الفاضل خليل دريان الأزهري</w:t>
      </w:r>
      <w:r w:rsidR="0002035C" w:rsidRPr="00A52585">
        <w:rPr>
          <w:rFonts w:hint="cs"/>
          <w:rtl/>
        </w:rPr>
        <w:t>]</w:t>
      </w:r>
      <w:r w:rsidRPr="00A52585">
        <w:rPr>
          <w:rFonts w:hint="cs"/>
          <w:rtl/>
        </w:rPr>
        <w:t>]</w:t>
      </w:r>
      <w:r w:rsidR="00DB731D" w:rsidRPr="00A52585">
        <w:rPr>
          <w:rFonts w:hint="cs"/>
          <w:rtl/>
        </w:rPr>
        <w:t>،</w:t>
      </w:r>
    </w:p>
    <w:p w14:paraId="45A9FEAE" w14:textId="77777777" w:rsidR="00777DCB" w:rsidRPr="00A52585" w:rsidRDefault="00777DCB" w:rsidP="0002035C">
      <w:pPr>
        <w:jc w:val="center"/>
        <w:rPr>
          <w:rtl/>
        </w:rPr>
      </w:pPr>
      <w:r w:rsidRPr="00A52585">
        <w:rPr>
          <w:rFonts w:hint="cs"/>
          <w:rtl/>
        </w:rPr>
        <w:t>***</w:t>
      </w:r>
    </w:p>
    <w:p w14:paraId="259C3A8B" w14:textId="77777777" w:rsidR="00777DCB" w:rsidRPr="00A52585" w:rsidRDefault="00777DCB">
      <w:pPr>
        <w:rPr>
          <w:rtl/>
        </w:rPr>
      </w:pPr>
    </w:p>
    <w:p w14:paraId="757EBE75" w14:textId="77777777" w:rsidR="00777DCB" w:rsidRPr="00A52585" w:rsidRDefault="00777DCB">
      <w:pPr>
        <w:rPr>
          <w:rtl/>
        </w:rPr>
      </w:pPr>
    </w:p>
    <w:p w14:paraId="1A5D9826" w14:textId="77777777" w:rsidR="00777DCB" w:rsidRPr="00A52585" w:rsidRDefault="00777DCB">
      <w:pPr>
        <w:rPr>
          <w:rtl/>
        </w:rPr>
      </w:pPr>
    </w:p>
    <w:p w14:paraId="13A2B735" w14:textId="77777777" w:rsidR="00777DCB" w:rsidRPr="00A52585" w:rsidRDefault="00777DCB">
      <w:pPr>
        <w:rPr>
          <w:rtl/>
        </w:rPr>
      </w:pPr>
    </w:p>
    <w:p w14:paraId="645B3814" w14:textId="77777777" w:rsidR="00777DCB" w:rsidRPr="00A52585" w:rsidRDefault="00777DCB">
      <w:pPr>
        <w:rPr>
          <w:rtl/>
        </w:rPr>
      </w:pPr>
    </w:p>
    <w:p w14:paraId="1A835094" w14:textId="77777777" w:rsidR="00777DCB" w:rsidRPr="00A52585" w:rsidRDefault="00777DCB">
      <w:pPr>
        <w:rPr>
          <w:rtl/>
        </w:rPr>
      </w:pPr>
    </w:p>
    <w:p w14:paraId="3AB6F42A"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bCs/>
          <w:rtl/>
        </w:rPr>
      </w:pPr>
    </w:p>
    <w:p w14:paraId="17C1C428"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56"/>
          <w:szCs w:val="56"/>
          <w:rtl/>
          <w:lang w:bidi="ar-KW"/>
        </w:rPr>
      </w:pPr>
      <w:r w:rsidRPr="00A52585">
        <w:rPr>
          <w:rFonts w:cs="Monotype Koufi"/>
          <w:sz w:val="56"/>
          <w:szCs w:val="56"/>
          <w:rtl/>
          <w:lang w:bidi="ar-KW"/>
        </w:rPr>
        <w:t>الباب الثاني</w:t>
      </w:r>
    </w:p>
    <w:p w14:paraId="7F8EDE49"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56"/>
          <w:szCs w:val="56"/>
          <w:rtl/>
          <w:lang w:bidi="ar-KW"/>
        </w:rPr>
      </w:pPr>
      <w:r w:rsidRPr="00A52585">
        <w:rPr>
          <w:rFonts w:cs="Monotype Koufi"/>
          <w:sz w:val="56"/>
          <w:szCs w:val="56"/>
          <w:rtl/>
          <w:lang w:bidi="ar-KW"/>
        </w:rPr>
        <w:t xml:space="preserve">حل إشكالات ظواهر النصوص غير المرادة </w:t>
      </w:r>
    </w:p>
    <w:p w14:paraId="26F299B9"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56"/>
          <w:szCs w:val="56"/>
          <w:rtl/>
          <w:lang w:bidi="ar-KW"/>
        </w:rPr>
      </w:pPr>
      <w:r w:rsidRPr="00A52585">
        <w:rPr>
          <w:rFonts w:cs="Monotype Koufi"/>
          <w:sz w:val="56"/>
          <w:szCs w:val="56"/>
          <w:rtl/>
          <w:lang w:bidi="ar-KW"/>
        </w:rPr>
        <w:t>والتي قد يُفهم منها مشابهة المخلوقات</w:t>
      </w:r>
    </w:p>
    <w:p w14:paraId="440003C8"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bCs/>
          <w:rtl/>
          <w:lang w:bidi="ar-KW"/>
        </w:rPr>
      </w:pPr>
    </w:p>
    <w:p w14:paraId="4F9DE4A0" w14:textId="77777777" w:rsidR="00777DCB" w:rsidRPr="00A52585" w:rsidRDefault="00777DCB">
      <w:pPr>
        <w:rPr>
          <w:rtl/>
        </w:rPr>
      </w:pPr>
    </w:p>
    <w:p w14:paraId="7758A736" w14:textId="77777777" w:rsidR="00777DCB" w:rsidRPr="00A52585" w:rsidRDefault="00777DCB" w:rsidP="0002035C">
      <w:pPr>
        <w:rPr>
          <w:b/>
          <w:rtl/>
          <w:lang w:bidi="ar-KW"/>
        </w:rPr>
      </w:pPr>
    </w:p>
    <w:p w14:paraId="1F13C1B3" w14:textId="77777777" w:rsidR="00777DCB" w:rsidRPr="00A52585" w:rsidRDefault="00777DCB" w:rsidP="0002035C">
      <w:pPr>
        <w:rPr>
          <w:b/>
          <w:rtl/>
          <w:lang w:bidi="ar-KW"/>
        </w:rPr>
      </w:pPr>
    </w:p>
    <w:p w14:paraId="53FAA5E6" w14:textId="77777777" w:rsidR="00777DCB" w:rsidRPr="00A52585" w:rsidRDefault="00777DCB" w:rsidP="0002035C">
      <w:pPr>
        <w:rPr>
          <w:b/>
          <w:rtl/>
          <w:lang w:bidi="ar-KW"/>
        </w:rPr>
      </w:pPr>
    </w:p>
    <w:p w14:paraId="51BB5965" w14:textId="77777777" w:rsidR="00777DCB" w:rsidRPr="00A52585" w:rsidRDefault="00777DCB" w:rsidP="0002035C">
      <w:pPr>
        <w:rPr>
          <w:b/>
          <w:rtl/>
          <w:lang w:bidi="ar-KW"/>
        </w:rPr>
      </w:pPr>
    </w:p>
    <w:p w14:paraId="1B6166AA" w14:textId="77777777" w:rsidR="00777DCB" w:rsidRPr="00A52585" w:rsidRDefault="00777DCB" w:rsidP="0002035C">
      <w:pPr>
        <w:rPr>
          <w:b/>
          <w:rtl/>
          <w:lang w:bidi="ar-KW"/>
        </w:rPr>
      </w:pPr>
    </w:p>
    <w:p w14:paraId="02AC3B9D" w14:textId="77777777" w:rsidR="00777DCB" w:rsidRPr="00A52585" w:rsidRDefault="00777DCB" w:rsidP="0002035C">
      <w:pPr>
        <w:rPr>
          <w:b/>
          <w:rtl/>
          <w:lang w:bidi="ar-KW"/>
        </w:rPr>
      </w:pPr>
    </w:p>
    <w:p w14:paraId="24779DD3"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p>
    <w:p w14:paraId="1BEE6C71" w14:textId="5F214320"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lang w:bidi="ar-KW"/>
        </w:rPr>
      </w:pPr>
      <w:r w:rsidRPr="00A52585">
        <w:rPr>
          <w:rFonts w:hint="cs"/>
          <w:rtl/>
          <w:lang w:bidi="ar-KW"/>
        </w:rPr>
        <w:t>الفصل الاول</w:t>
      </w:r>
      <w:r w:rsidR="0002035C" w:rsidRPr="00A52585">
        <w:rPr>
          <w:rFonts w:hint="cs"/>
          <w:rtl/>
          <w:lang w:bidi="ar-KW"/>
        </w:rPr>
        <w:t>:</w:t>
      </w:r>
      <w:r w:rsidRPr="00A52585">
        <w:rPr>
          <w:rFonts w:hint="cs"/>
          <w:rtl/>
          <w:lang w:bidi="ar-KW"/>
        </w:rPr>
        <w:t xml:space="preserve"> تحديد دائرة المحكم والمتشابه في باب الصفات والأخبار</w:t>
      </w:r>
      <w:r w:rsidR="00DB731D" w:rsidRPr="00A52585">
        <w:rPr>
          <w:rFonts w:hint="cs"/>
          <w:rtl/>
          <w:lang w:bidi="ar-KW"/>
        </w:rPr>
        <w:t>،</w:t>
      </w:r>
      <w:r w:rsidRPr="00A52585">
        <w:rPr>
          <w:rFonts w:hint="cs"/>
          <w:rtl/>
          <w:lang w:bidi="ar-KW"/>
        </w:rPr>
        <w:t xml:space="preserve"> وبيان أنّ كل خبر يعارض الأدلة القطعية والآيات المحكمة فهو متشابه لا بد من رده إلى المحكم</w:t>
      </w:r>
      <w:r w:rsidR="00DB731D" w:rsidRPr="00A52585">
        <w:rPr>
          <w:rFonts w:hint="cs"/>
          <w:rtl/>
          <w:lang w:bidi="ar-KW"/>
        </w:rPr>
        <w:t>،</w:t>
      </w:r>
      <w:r w:rsidRPr="00A52585">
        <w:rPr>
          <w:rFonts w:hint="cs"/>
          <w:rtl/>
          <w:lang w:bidi="ar-KW"/>
        </w:rPr>
        <w:t xml:space="preserve"> </w:t>
      </w:r>
    </w:p>
    <w:p w14:paraId="24C2EBCA" w14:textId="505FDBF0"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lang w:bidi="ar-KW"/>
        </w:rPr>
        <w:t>الفصل الثاني</w:t>
      </w:r>
      <w:r w:rsidR="0002035C" w:rsidRPr="00A52585">
        <w:rPr>
          <w:rFonts w:hint="cs"/>
          <w:rtl/>
        </w:rPr>
        <w:t>:</w:t>
      </w:r>
      <w:r w:rsidRPr="00A52585">
        <w:rPr>
          <w:rFonts w:hint="cs"/>
          <w:rtl/>
        </w:rPr>
        <w:t xml:space="preserve"> </w:t>
      </w:r>
      <w:r w:rsidRPr="00A52585">
        <w:rPr>
          <w:rFonts w:hint="cs"/>
          <w:rtl/>
          <w:lang w:bidi="ar-KW"/>
        </w:rPr>
        <w:t xml:space="preserve">أبعاد مذهب السلف الحق في باب الأخبار المتشابهات وبيان أنّه تفويض المعنى المراد مع الحفاظ على علم التقديس والتنزيه </w:t>
      </w:r>
    </w:p>
    <w:p w14:paraId="64DC7BD2" w14:textId="01AD481B"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lang w:bidi="ar-KW"/>
        </w:rPr>
        <w:t>الفصل الثالث</w:t>
      </w:r>
      <w:r w:rsidR="0002035C" w:rsidRPr="00A52585">
        <w:rPr>
          <w:rFonts w:hint="cs"/>
          <w:rtl/>
          <w:lang w:bidi="ar-KW"/>
        </w:rPr>
        <w:t>:</w:t>
      </w:r>
      <w:r w:rsidRPr="00A52585">
        <w:rPr>
          <w:rFonts w:hint="cs"/>
          <w:rtl/>
          <w:lang w:bidi="ar-KW"/>
        </w:rPr>
        <w:t xml:space="preserve"> خطأ اعتماد ظواهر النصوص في فهم علم التقديس والتنزيه</w:t>
      </w:r>
    </w:p>
    <w:p w14:paraId="79872684" w14:textId="3542151C"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rPr>
        <w:t>الفصل الرابع</w:t>
      </w:r>
      <w:r w:rsidR="0002035C" w:rsidRPr="00A52585">
        <w:rPr>
          <w:rFonts w:hint="cs"/>
          <w:rtl/>
        </w:rPr>
        <w:t>:</w:t>
      </w:r>
      <w:r w:rsidR="0002035C" w:rsidRPr="00A52585">
        <w:rPr>
          <w:rFonts w:hint="cs"/>
          <w:rtl/>
          <w:lang w:bidi="ar-KW"/>
        </w:rPr>
        <w:t xml:space="preserve"> </w:t>
      </w:r>
      <w:r w:rsidRPr="00A52585">
        <w:rPr>
          <w:rFonts w:hint="cs"/>
          <w:rtl/>
          <w:lang w:bidi="ar-KW"/>
        </w:rPr>
        <w:t>رد المتشابهات إلى المحكمات فيما يتعلق بقواعد تنزيه ذات الله عن مماثلة الذوات</w:t>
      </w:r>
    </w:p>
    <w:p w14:paraId="50DD8020" w14:textId="1EDE28C9"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rPr>
      </w:pPr>
      <w:r w:rsidRPr="00A52585">
        <w:rPr>
          <w:rFonts w:hint="cs"/>
          <w:rtl/>
          <w:lang w:bidi="ar-KW"/>
        </w:rPr>
        <w:t>الفصل الخامس</w:t>
      </w:r>
      <w:r w:rsidR="0002035C" w:rsidRPr="00A52585">
        <w:rPr>
          <w:rFonts w:hint="cs"/>
          <w:rtl/>
          <w:lang w:bidi="ar-KW"/>
        </w:rPr>
        <w:t>:</w:t>
      </w:r>
      <w:r w:rsidRPr="00A52585">
        <w:rPr>
          <w:rFonts w:hint="cs"/>
          <w:rtl/>
          <w:lang w:bidi="ar-KW"/>
        </w:rPr>
        <w:t xml:space="preserve"> دراسة بلاغة القرآن فقه عظيم وفتح مبين لعلم التقديس والتنزيه</w:t>
      </w:r>
    </w:p>
    <w:p w14:paraId="5C89344C" w14:textId="6FFFE714"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lang w:bidi="ar-KW"/>
        </w:rPr>
        <w:t>الفصل السادس</w:t>
      </w:r>
      <w:r w:rsidR="0002035C" w:rsidRPr="00A52585">
        <w:rPr>
          <w:rFonts w:hint="cs"/>
          <w:rtl/>
          <w:lang w:bidi="ar-KW"/>
        </w:rPr>
        <w:t>:</w:t>
      </w:r>
      <w:r w:rsidRPr="00A52585">
        <w:rPr>
          <w:rFonts w:hint="cs"/>
          <w:rtl/>
          <w:lang w:bidi="ar-KW"/>
        </w:rPr>
        <w:t xml:space="preserve"> فقه المراد بالوجه واليد والعين في القرآن الكريم </w:t>
      </w:r>
    </w:p>
    <w:p w14:paraId="16A83E4C" w14:textId="034331BF"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lang w:bidi="ar-KW"/>
        </w:rPr>
        <w:t>الفصل السابع</w:t>
      </w:r>
      <w:r w:rsidR="0002035C" w:rsidRPr="00A52585">
        <w:rPr>
          <w:rFonts w:hint="cs"/>
          <w:rtl/>
          <w:lang w:bidi="ar-KW"/>
        </w:rPr>
        <w:t>:</w:t>
      </w:r>
      <w:r w:rsidRPr="00A52585">
        <w:rPr>
          <w:rFonts w:hint="cs"/>
          <w:rtl/>
          <w:lang w:bidi="ar-KW"/>
        </w:rPr>
        <w:t xml:space="preserve"> </w:t>
      </w:r>
      <w:r w:rsidRPr="00A52585">
        <w:rPr>
          <w:rFonts w:hint="cs"/>
          <w:rtl/>
        </w:rPr>
        <w:t>فقه العلم بالقرب مع الاستواء مع الإحاطة في حق ذات الله تعالى</w:t>
      </w:r>
    </w:p>
    <w:p w14:paraId="4F6AB8A8" w14:textId="53D2A3E6"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Fonts w:hint="cs"/>
          <w:rtl/>
          <w:lang w:bidi="ar-KW"/>
        </w:rPr>
        <w:t>الفصل الثامن</w:t>
      </w:r>
      <w:r w:rsidR="0002035C" w:rsidRPr="00A52585">
        <w:rPr>
          <w:rFonts w:hint="cs"/>
          <w:rtl/>
          <w:lang w:bidi="ar-KW"/>
        </w:rPr>
        <w:t>:</w:t>
      </w:r>
      <w:r w:rsidRPr="00A52585">
        <w:rPr>
          <w:rFonts w:hint="cs"/>
          <w:rtl/>
          <w:lang w:bidi="ar-KW"/>
        </w:rPr>
        <w:t xml:space="preserve"> تحقيق القول في الأخبار المتشابهات وردها إلى أمهاتها من المحكمات </w:t>
      </w:r>
    </w:p>
    <w:p w14:paraId="4C3AF712" w14:textId="4930D0F7"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rPr>
          <w:b/>
          <w:rtl/>
        </w:rPr>
      </w:pPr>
      <w:r w:rsidRPr="00A52585">
        <w:rPr>
          <w:rFonts w:hint="cs"/>
          <w:rtl/>
        </w:rPr>
        <w:t>(</w:t>
      </w:r>
      <w:r w:rsidR="00777DCB" w:rsidRPr="00A52585">
        <w:rPr>
          <w:rFonts w:hint="cs"/>
          <w:rtl/>
        </w:rPr>
        <w:t>1</w:t>
      </w:r>
      <w:r w:rsidRPr="00A52585">
        <w:rPr>
          <w:rFonts w:hint="cs"/>
          <w:rtl/>
        </w:rPr>
        <w:t>)</w:t>
      </w:r>
      <w:r w:rsidR="00777DCB" w:rsidRPr="00A52585">
        <w:rPr>
          <w:rFonts w:hint="cs"/>
          <w:rtl/>
        </w:rPr>
        <w:t xml:space="preserve"> تحقيق القول في </w:t>
      </w:r>
      <w:r w:rsidR="00777DCB" w:rsidRPr="00A52585">
        <w:rPr>
          <w:rFonts w:hint="cs"/>
          <w:rtl/>
          <w:lang w:bidi="ar-KW"/>
        </w:rPr>
        <w:t>فهم حديث</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خلق الله آدم على صورته</w:t>
      </w:r>
      <w:r w:rsidRPr="00A52585">
        <w:rPr>
          <w:rFonts w:hint="cs"/>
          <w:rtl/>
        </w:rPr>
        <w:t>)</w:t>
      </w:r>
      <w:r w:rsidR="00777DCB" w:rsidRPr="00A52585">
        <w:rPr>
          <w:rFonts w:hint="cs"/>
          <w:rtl/>
        </w:rPr>
        <w:t>) والقضاء على شبه المجسمة المتعلقة به</w:t>
      </w:r>
    </w:p>
    <w:p w14:paraId="0D2558EA" w14:textId="3398ADD2"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rPr>
          <w:b/>
          <w:rtl/>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تحقيق القول في فهم حديث</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أين الله</w:t>
      </w:r>
      <w:r w:rsidRPr="00A52585">
        <w:rPr>
          <w:rFonts w:hint="cs"/>
          <w:rtl/>
        </w:rPr>
        <w:t>)</w:t>
      </w:r>
      <w:r w:rsidR="00777DCB" w:rsidRPr="00A52585">
        <w:rPr>
          <w:rFonts w:hint="cs"/>
          <w:rtl/>
        </w:rPr>
        <w:t xml:space="preserve">) والقضاء على شبه المجسمة المتعلقة به </w:t>
      </w:r>
    </w:p>
    <w:p w14:paraId="6CD0C7A5" w14:textId="59837E98"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rPr>
          <w:b/>
          <w:rtl/>
        </w:rPr>
      </w:pPr>
      <w:r w:rsidRPr="00A52585">
        <w:rPr>
          <w:rFonts w:hint="cs"/>
          <w:rtl/>
        </w:rPr>
        <w:lastRenderedPageBreak/>
        <w:t>(</w:t>
      </w:r>
      <w:r w:rsidR="00777DCB" w:rsidRPr="00A52585">
        <w:rPr>
          <w:rFonts w:hint="cs"/>
          <w:rtl/>
        </w:rPr>
        <w:t>3</w:t>
      </w:r>
      <w:r w:rsidRPr="00A52585">
        <w:rPr>
          <w:rFonts w:hint="cs"/>
          <w:rtl/>
        </w:rPr>
        <w:t>)</w:t>
      </w:r>
      <w:r w:rsidR="00777DCB" w:rsidRPr="00A52585">
        <w:rPr>
          <w:rFonts w:hint="cs"/>
          <w:rtl/>
        </w:rPr>
        <w:t xml:space="preserve"> تحقيق القول في فهم حديث النزول والقضاء على شبه المجسمة المتعلقة به </w:t>
      </w:r>
    </w:p>
    <w:p w14:paraId="2087FF74" w14:textId="20444674"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rPr>
          <w:b/>
          <w:rtl/>
          <w:lang w:bidi="ar-KW"/>
        </w:rPr>
      </w:pPr>
      <w:r w:rsidRPr="00A52585">
        <w:rPr>
          <w:rtl/>
        </w:rPr>
        <w:t>(</w:t>
      </w:r>
      <w:r w:rsidR="00777DCB" w:rsidRPr="00A52585">
        <w:rPr>
          <w:rtl/>
        </w:rPr>
        <w:t>4</w:t>
      </w:r>
      <w:r w:rsidRPr="00A52585">
        <w:rPr>
          <w:rtl/>
        </w:rPr>
        <w:t>)</w:t>
      </w:r>
      <w:r w:rsidR="00777DCB" w:rsidRPr="00A52585">
        <w:rPr>
          <w:rtl/>
        </w:rPr>
        <w:t xml:space="preserve"> </w:t>
      </w:r>
      <w:r w:rsidR="00777DCB" w:rsidRPr="00A52585">
        <w:rPr>
          <w:rtl/>
          <w:lang w:bidi="ar-KW"/>
        </w:rPr>
        <w:t xml:space="preserve">حل اشكالية الظواهر الموهمة للتشبيه والتجسيم والجارحة والأعضاء كالوجه واليد والعين </w:t>
      </w:r>
    </w:p>
    <w:p w14:paraId="1C5FB805" w14:textId="64C3A732"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rPr>
          <w:b/>
          <w:rtl/>
        </w:rPr>
      </w:pPr>
      <w:r w:rsidRPr="00A52585">
        <w:rPr>
          <w:rtl/>
          <w:lang w:bidi="ar-KW"/>
        </w:rPr>
        <w:t>(</w:t>
      </w:r>
      <w:r w:rsidR="00777DCB" w:rsidRPr="00A52585">
        <w:rPr>
          <w:rtl/>
          <w:lang w:bidi="ar-KW"/>
        </w:rPr>
        <w:t>5</w:t>
      </w:r>
      <w:r w:rsidRPr="00A52585">
        <w:rPr>
          <w:rtl/>
          <w:lang w:bidi="ar-KW"/>
        </w:rPr>
        <w:t>)</w:t>
      </w:r>
      <w:r w:rsidR="00777DCB" w:rsidRPr="00A52585">
        <w:rPr>
          <w:rtl/>
          <w:lang w:bidi="ar-KW"/>
        </w:rPr>
        <w:t xml:space="preserve"> </w:t>
      </w:r>
      <w:r w:rsidR="00777DCB" w:rsidRPr="00A52585">
        <w:rPr>
          <w:rtl/>
        </w:rPr>
        <w:t xml:space="preserve">تحقيق القول في فهم الأخبار الموهمة بالفوقية الحسية </w:t>
      </w:r>
    </w:p>
    <w:p w14:paraId="1F23581B" w14:textId="231324E1"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pPr>
      <w:r w:rsidRPr="00A52585">
        <w:rPr>
          <w:rtl/>
        </w:rPr>
        <w:t>(</w:t>
      </w:r>
      <w:r w:rsidR="00777DCB" w:rsidRPr="00A52585">
        <w:rPr>
          <w:rtl/>
        </w:rPr>
        <w:t>6</w:t>
      </w:r>
      <w:r w:rsidRPr="00A52585">
        <w:rPr>
          <w:rtl/>
        </w:rPr>
        <w:t>)</w:t>
      </w:r>
      <w:r w:rsidR="00777DCB" w:rsidRPr="00A52585">
        <w:rPr>
          <w:rtl/>
        </w:rPr>
        <w:t xml:space="preserve"> تحقيق القول في الأخبار الموهمة بالتغير والحدوث وقبول الحوادث</w:t>
      </w:r>
    </w:p>
    <w:p w14:paraId="29F7D7CE"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rPr>
          <w:rtl/>
        </w:rPr>
      </w:pPr>
    </w:p>
    <w:p w14:paraId="241EC511" w14:textId="77777777" w:rsidR="00777DCB" w:rsidRPr="00A52585" w:rsidRDefault="00777DCB" w:rsidP="0002035C">
      <w:pPr>
        <w:jc w:val="center"/>
        <w:rPr>
          <w:rtl/>
        </w:rPr>
      </w:pPr>
    </w:p>
    <w:p w14:paraId="4B7ADEBD"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tl/>
        </w:rPr>
      </w:pPr>
    </w:p>
    <w:p w14:paraId="43BFD007"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lang w:bidi="ar-KW"/>
        </w:rPr>
      </w:pPr>
      <w:r w:rsidRPr="00A52585">
        <w:rPr>
          <w:rFonts w:cs="Monotype Koufi"/>
          <w:sz w:val="36"/>
          <w:szCs w:val="36"/>
          <w:rtl/>
          <w:lang w:bidi="ar-KW"/>
        </w:rPr>
        <w:t xml:space="preserve">الفصل الاول </w:t>
      </w:r>
    </w:p>
    <w:p w14:paraId="309C6E71"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lang w:bidi="ar-KW"/>
        </w:rPr>
      </w:pPr>
      <w:r w:rsidRPr="00A52585">
        <w:rPr>
          <w:rFonts w:cs="Monotype Koufi"/>
          <w:sz w:val="36"/>
          <w:szCs w:val="36"/>
          <w:rtl/>
          <w:lang w:bidi="ar-KW"/>
        </w:rPr>
        <w:t xml:space="preserve">تحديد دائرة المحكم والمتشابه في باب الصفات والأخبار </w:t>
      </w:r>
    </w:p>
    <w:p w14:paraId="7C45ACFB"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lang w:bidi="ar-KW"/>
        </w:rPr>
      </w:pPr>
      <w:r w:rsidRPr="00A52585">
        <w:rPr>
          <w:rFonts w:cs="Monotype Koufi"/>
          <w:sz w:val="36"/>
          <w:szCs w:val="36"/>
          <w:rtl/>
          <w:lang w:bidi="ar-KW"/>
        </w:rPr>
        <w:t>وبيان أنّ كل خبر يعارض الأدلة القطعية والآيات المحكمة فهو متشابه لا بد من رده إلى المحكم</w:t>
      </w:r>
    </w:p>
    <w:p w14:paraId="180A0169"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tl/>
        </w:rPr>
      </w:pPr>
    </w:p>
    <w:p w14:paraId="52E4E618" w14:textId="77777777" w:rsidR="00777DCB" w:rsidRPr="00A52585" w:rsidRDefault="00777DCB" w:rsidP="0002035C">
      <w:pPr>
        <w:jc w:val="center"/>
        <w:rPr>
          <w:rtl/>
        </w:rPr>
      </w:pPr>
    </w:p>
    <w:p w14:paraId="325C1577" w14:textId="157424F9" w:rsidR="00777DCB" w:rsidRPr="00A52585" w:rsidRDefault="00777DCB" w:rsidP="0002035C">
      <w:pPr>
        <w:rPr>
          <w:b/>
        </w:rPr>
      </w:pPr>
      <w:r w:rsidRPr="00A52585">
        <w:rPr>
          <w:rFonts w:hint="cs"/>
          <w:bCs/>
          <w:rtl/>
          <w:lang w:bidi="ar-KW"/>
        </w:rPr>
        <w:t>الدليل على وجود المحكم والمتشابه</w:t>
      </w:r>
      <w:r w:rsidR="0002035C" w:rsidRPr="00A52585">
        <w:rPr>
          <w:rFonts w:hint="cs"/>
          <w:bCs/>
          <w:rtl/>
          <w:lang w:bidi="ar-KW"/>
        </w:rPr>
        <w:t>:</w:t>
      </w:r>
      <w:r w:rsidRPr="00A52585">
        <w:rPr>
          <w:rFonts w:hint="cs"/>
          <w:rtl/>
          <w:lang w:bidi="ar-KW"/>
        </w:rPr>
        <w:t xml:space="preserve">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7</w:t>
      </w:r>
      <w:r w:rsidR="00DB731D" w:rsidRPr="00A52585">
        <w:rPr>
          <w:rFonts w:hint="cs"/>
          <w:rtl/>
        </w:rPr>
        <w:t>،</w:t>
      </w:r>
      <w:r w:rsidRPr="00A52585">
        <w:rPr>
          <w:rFonts w:hint="cs"/>
          <w:rtl/>
        </w:rPr>
        <w:t xml:space="preserve"> 8</w:t>
      </w:r>
      <w:r w:rsidR="0002035C" w:rsidRPr="00A52585">
        <w:rPr>
          <w:rFonts w:hint="cs"/>
          <w:rtl/>
        </w:rPr>
        <w:t>]</w:t>
      </w:r>
      <w:r w:rsidR="00DB731D" w:rsidRPr="00A52585">
        <w:rPr>
          <w:rFonts w:hint="cs"/>
          <w:rtl/>
        </w:rPr>
        <w:t>،</w:t>
      </w:r>
      <w:r w:rsidRPr="00A52585">
        <w:rPr>
          <w:rFonts w:hint="cs"/>
          <w:rtl/>
        </w:rPr>
        <w:t xml:space="preserve"> </w:t>
      </w:r>
    </w:p>
    <w:p w14:paraId="11B03B8B" w14:textId="5B7AFE88" w:rsidR="00777DCB" w:rsidRPr="00A52585" w:rsidRDefault="00777DCB" w:rsidP="0002035C">
      <w:pPr>
        <w:shd w:val="clear" w:color="auto" w:fill="FFFFFF"/>
        <w:rPr>
          <w:rFonts w:eastAsia="Times New Roman"/>
          <w:b/>
        </w:rPr>
      </w:pPr>
      <w:r w:rsidRPr="00A52585">
        <w:rPr>
          <w:rFonts w:hint="cs"/>
          <w:bCs/>
          <w:rtl/>
        </w:rPr>
        <w:t>خطورة ترك المحكم والاشتغال بالمتشابه</w:t>
      </w:r>
      <w:r w:rsidR="0002035C" w:rsidRPr="00A52585">
        <w:rPr>
          <w:rFonts w:hint="cs"/>
          <w:bCs/>
          <w:rtl/>
        </w:rPr>
        <w:t>:</w:t>
      </w:r>
      <w:r w:rsidRPr="00A52585">
        <w:rPr>
          <w:rFonts w:hint="cs"/>
          <w:rtl/>
        </w:rPr>
        <w:t xml:space="preserve"> 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فَأَمَّا الَّذِينَ فِي قُلُوبِهِمْ زَيْغٌ فَيَتَّبِعُونَ مَا تَشَابَهَ مِنْهُ ابْتِغَاءَ الْفِتْنَةِ وَابْتِغَاءَ تَأَوِيلِهِ</w:t>
      </w:r>
      <w:r w:rsidR="0002035C" w:rsidRPr="00A52585">
        <w:rPr>
          <w:rFonts w:hint="cs"/>
          <w:rtl/>
        </w:rPr>
        <w:t>}</w:t>
      </w:r>
      <w:r w:rsidR="00DB731D" w:rsidRPr="00A52585">
        <w:rPr>
          <w:rFonts w:hint="cs"/>
          <w:rtl/>
        </w:rPr>
        <w:t>،</w:t>
      </w:r>
      <w:r w:rsidRPr="00A52585">
        <w:rPr>
          <w:rFonts w:hint="cs"/>
          <w:rtl/>
        </w:rPr>
        <w:t xml:space="preserve"> و</w:t>
      </w:r>
      <w:r w:rsidRPr="00A52585">
        <w:rPr>
          <w:rFonts w:eastAsia="Times New Roman" w:hint="cs"/>
          <w:rtl/>
        </w:rPr>
        <w:t xml:space="preserve">أخرج البخاري ومسلم وأبو داود والترمذي عن أم المؤمنين عائشة </w:t>
      </w:r>
      <w:r w:rsidRPr="00A52585">
        <w:rPr>
          <w:rFonts w:eastAsia="Times New Roman" w:hint="cs"/>
          <w:rtl/>
        </w:rPr>
        <w:lastRenderedPageBreak/>
        <w:t>رضي الله عنها قالت</w:t>
      </w:r>
      <w:r w:rsidR="0002035C" w:rsidRPr="00A52585">
        <w:rPr>
          <w:rFonts w:eastAsia="Times New Roman" w:hint="cs"/>
          <w:rtl/>
        </w:rPr>
        <w:t>:</w:t>
      </w:r>
      <w:r w:rsidRPr="00A52585">
        <w:rPr>
          <w:rFonts w:eastAsia="Times New Roman" w:hint="cs"/>
          <w:rtl/>
        </w:rPr>
        <w:t xml:space="preserve"> تَلا رسولُ اللهِ صلَّى اللهُ عليه وسلَّم هذه الآيةَ</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قالَتْ</w:t>
      </w:r>
      <w:r w:rsidR="0002035C" w:rsidRPr="00A52585">
        <w:rPr>
          <w:rFonts w:eastAsia="Times New Roman" w:hint="cs"/>
          <w:rtl/>
        </w:rPr>
        <w:t>:</w:t>
      </w:r>
      <w:r w:rsidRPr="00A52585">
        <w:rPr>
          <w:rFonts w:eastAsia="Times New Roman" w:hint="cs"/>
          <w:rtl/>
        </w:rPr>
        <w:t xml:space="preserve"> قال رسولُ اللهِ صلَّى اللهُ عليه وسلَّم</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فإذا رأيتَ الذين يتَّبِعون ما تَشابَه منه، فأولئك الذين سَمَّى اللهُ، فاحذَروهم</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البخاري</w:t>
      </w:r>
      <w:r w:rsidR="0002035C" w:rsidRPr="00A52585">
        <w:rPr>
          <w:rFonts w:eastAsia="Times New Roman" w:hint="cs"/>
          <w:rtl/>
        </w:rPr>
        <w:t>:</w:t>
      </w:r>
      <w:r w:rsidRPr="00A52585">
        <w:rPr>
          <w:rFonts w:eastAsia="Times New Roman" w:hint="cs"/>
          <w:rtl/>
        </w:rPr>
        <w:t xml:space="preserve"> ح </w:t>
      </w:r>
      <w:r w:rsidR="0002035C" w:rsidRPr="00A52585">
        <w:rPr>
          <w:rFonts w:eastAsia="Times New Roman" w:hint="cs"/>
          <w:rtl/>
        </w:rPr>
        <w:t>(</w:t>
      </w:r>
      <w:r w:rsidRPr="00A52585">
        <w:rPr>
          <w:rFonts w:eastAsia="Times New Roman" w:hint="cs"/>
          <w:rtl/>
        </w:rPr>
        <w:t>4547</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مسلم</w:t>
      </w:r>
      <w:r w:rsidR="0002035C" w:rsidRPr="00A52585">
        <w:rPr>
          <w:rFonts w:eastAsia="Times New Roman" w:hint="cs"/>
          <w:rtl/>
        </w:rPr>
        <w:t>:</w:t>
      </w:r>
      <w:r w:rsidRPr="00A52585">
        <w:rPr>
          <w:rFonts w:eastAsia="Times New Roman" w:hint="cs"/>
          <w:rtl/>
        </w:rPr>
        <w:t xml:space="preserve"> ح </w:t>
      </w:r>
      <w:r w:rsidR="0002035C" w:rsidRPr="00A52585">
        <w:rPr>
          <w:rFonts w:eastAsia="Times New Roman" w:hint="cs"/>
          <w:rtl/>
        </w:rPr>
        <w:t>(</w:t>
      </w:r>
      <w:r w:rsidRPr="00A52585">
        <w:rPr>
          <w:rFonts w:eastAsia="Times New Roman" w:hint="cs"/>
          <w:rtl/>
        </w:rPr>
        <w:t>2665</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w:t>
      </w:r>
    </w:p>
    <w:p w14:paraId="30E8F7A6" w14:textId="3530C982" w:rsidR="00777DCB" w:rsidRPr="00A52585" w:rsidRDefault="00777DCB" w:rsidP="0002035C">
      <w:pPr>
        <w:spacing w:after="240"/>
        <w:rPr>
          <w:rFonts w:eastAsia="Times New Roman"/>
          <w:bCs/>
          <w:noProof/>
          <w:rtl/>
          <w:lang w:eastAsia="ar-SA"/>
        </w:rPr>
      </w:pPr>
      <w:r w:rsidRPr="00A52585">
        <w:rPr>
          <w:rFonts w:eastAsia="Times New Roman"/>
          <w:bCs/>
          <w:noProof/>
          <w:rtl/>
          <w:lang w:eastAsia="ar-SA"/>
        </w:rPr>
        <w:t>ماهي دائرة المتشابه</w:t>
      </w:r>
      <w:r w:rsidR="0002035C" w:rsidRPr="00A52585">
        <w:rPr>
          <w:rFonts w:eastAsia="Times New Roman"/>
          <w:bCs/>
          <w:noProof/>
          <w:rtl/>
          <w:lang w:eastAsia="ar-SA"/>
        </w:rPr>
        <w:t>:</w:t>
      </w:r>
      <w:r w:rsidRPr="00A52585">
        <w:rPr>
          <w:rFonts w:eastAsia="Times New Roman"/>
          <w:noProof/>
          <w:rtl/>
          <w:lang w:eastAsia="ar-SA"/>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DB731D" w:rsidRPr="00A52585">
        <w:rPr>
          <w:rFonts w:eastAsia="Times New Roman"/>
          <w:noProof/>
          <w:rtl/>
          <w:lang w:eastAsia="ar-SA"/>
        </w:rPr>
        <w:t>،</w:t>
      </w:r>
      <w:r w:rsidRPr="00A52585">
        <w:rPr>
          <w:rFonts w:eastAsia="Times New Roman"/>
          <w:noProof/>
          <w:rtl/>
          <w:lang w:eastAsia="ar-SA"/>
        </w:rPr>
        <w:t xml:space="preserve"> وفي الحديث السابق والمتفق علي صحته حذّر النبي صلى الله عليه وسلم من أولئك الذين يتتبعون المتشابه ويتركون المحكم</w:t>
      </w:r>
      <w:r w:rsidR="00DB731D" w:rsidRPr="00A52585">
        <w:rPr>
          <w:rFonts w:eastAsia="Times New Roman"/>
          <w:noProof/>
          <w:rtl/>
          <w:lang w:eastAsia="ar-SA"/>
        </w:rPr>
        <w:t>،</w:t>
      </w:r>
      <w:r w:rsidRPr="00A52585">
        <w:rPr>
          <w:rFonts w:eastAsia="Times New Roman"/>
          <w:noProof/>
          <w:rtl/>
          <w:lang w:eastAsia="ar-SA"/>
        </w:rPr>
        <w:t xml:space="preserve"> وعلى ذلك</w:t>
      </w:r>
      <w:r w:rsidR="0002035C" w:rsidRPr="00A52585">
        <w:rPr>
          <w:rFonts w:eastAsia="Times New Roman"/>
          <w:noProof/>
          <w:rtl/>
          <w:lang w:eastAsia="ar-SA"/>
        </w:rPr>
        <w:t xml:space="preserve"> </w:t>
      </w:r>
      <w:r w:rsidRPr="00A52585">
        <w:rPr>
          <w:rFonts w:eastAsia="Times New Roman"/>
          <w:noProof/>
          <w:rtl/>
          <w:lang w:eastAsia="ar-SA"/>
        </w:rPr>
        <w:t>فكل ما أدى تتبعه إلى الفرقة والخلاف بين المسلمين</w:t>
      </w:r>
      <w:r w:rsidR="00DB731D" w:rsidRPr="00A52585">
        <w:rPr>
          <w:rFonts w:eastAsia="Times New Roman"/>
          <w:noProof/>
          <w:rtl/>
          <w:lang w:eastAsia="ar-SA"/>
        </w:rPr>
        <w:t>،</w:t>
      </w:r>
      <w:r w:rsidRPr="00A52585">
        <w:rPr>
          <w:rFonts w:eastAsia="Times New Roman"/>
          <w:noProof/>
          <w:rtl/>
          <w:lang w:eastAsia="ar-SA"/>
        </w:rPr>
        <w:t xml:space="preserve"> فهو من المتشابه الذي ينبغي أن يرد إلى المحكم</w:t>
      </w:r>
      <w:r w:rsidR="00DB731D" w:rsidRPr="00A52585">
        <w:rPr>
          <w:rFonts w:eastAsia="Times New Roman"/>
          <w:noProof/>
          <w:rtl/>
          <w:lang w:eastAsia="ar-SA"/>
        </w:rPr>
        <w:t>،</w:t>
      </w:r>
      <w:r w:rsidRPr="00A52585">
        <w:rPr>
          <w:rFonts w:eastAsia="Times New Roman"/>
          <w:noProof/>
          <w:rtl/>
          <w:lang w:eastAsia="ar-SA"/>
        </w:rPr>
        <w:t xml:space="preserve"> والأمثلة الصحيحة الواقعية للمتشابه</w:t>
      </w:r>
      <w:r w:rsidR="0002035C" w:rsidRPr="00A52585">
        <w:rPr>
          <w:rFonts w:eastAsia="Times New Roman"/>
          <w:noProof/>
          <w:rtl/>
          <w:lang w:eastAsia="ar-SA"/>
        </w:rPr>
        <w:t>:</w:t>
      </w:r>
      <w:r w:rsidRPr="00A52585">
        <w:rPr>
          <w:rFonts w:eastAsia="Times New Roman"/>
          <w:noProof/>
          <w:rtl/>
          <w:lang w:eastAsia="ar-SA"/>
        </w:rPr>
        <w:t xml:space="preserve"> جميع الآيات التي أدى اتباعها إلى الزيغ والضلال ومخالفة منهاج السنّة والجماعة الناجية</w:t>
      </w:r>
      <w:r w:rsidR="00DB731D" w:rsidRPr="00A52585">
        <w:rPr>
          <w:rFonts w:eastAsia="Times New Roman"/>
          <w:noProof/>
          <w:rtl/>
          <w:lang w:eastAsia="ar-SA"/>
        </w:rPr>
        <w:t>،</w:t>
      </w:r>
      <w:r w:rsidRPr="00A52585">
        <w:rPr>
          <w:rFonts w:eastAsia="Times New Roman"/>
          <w:noProof/>
          <w:rtl/>
          <w:lang w:eastAsia="ar-SA"/>
        </w:rPr>
        <w:t xml:space="preserve"> ومثال ذلك الآيات المتعلقة بالقدر حيث أدى تتابع المتشابه فيها إلى ظهور القدرية </w:t>
      </w:r>
      <w:r w:rsidR="0002035C" w:rsidRPr="00A52585">
        <w:rPr>
          <w:rFonts w:eastAsia="Times New Roman"/>
          <w:noProof/>
          <w:rtl/>
          <w:lang w:eastAsia="ar-SA"/>
        </w:rPr>
        <w:t>(</w:t>
      </w:r>
      <w:r w:rsidRPr="00A52585">
        <w:rPr>
          <w:rFonts w:eastAsia="Times New Roman"/>
          <w:noProof/>
          <w:rtl/>
          <w:lang w:eastAsia="ar-SA"/>
        </w:rPr>
        <w:t>المعتزلة) في جهة والجبرية في جهة أخرى</w:t>
      </w:r>
      <w:r w:rsidR="00DB731D" w:rsidRPr="00A52585">
        <w:rPr>
          <w:rFonts w:eastAsia="Times New Roman"/>
          <w:noProof/>
          <w:rtl/>
          <w:lang w:eastAsia="ar-SA"/>
        </w:rPr>
        <w:t>،</w:t>
      </w:r>
      <w:r w:rsidRPr="00A52585">
        <w:rPr>
          <w:rFonts w:eastAsia="Times New Roman"/>
          <w:noProof/>
          <w:rtl/>
          <w:lang w:eastAsia="ar-SA"/>
        </w:rPr>
        <w:t xml:space="preserve"> وكذلك الآيات المتعلقة بالإيمان حيث</w:t>
      </w:r>
      <w:r w:rsidRPr="00A52585">
        <w:rPr>
          <w:rFonts w:eastAsia="Times New Roman"/>
          <w:noProof/>
          <w:lang w:eastAsia="ar-SA"/>
        </w:rPr>
        <w:t xml:space="preserve"> </w:t>
      </w:r>
      <w:r w:rsidRPr="00A52585">
        <w:rPr>
          <w:rFonts w:eastAsia="Times New Roman"/>
          <w:noProof/>
          <w:rtl/>
          <w:lang w:eastAsia="ar-SA"/>
        </w:rPr>
        <w:t>أدى تتابع المتشابه فيه إلى ظهور الخوارج والمعتزلة في جهة والجهمية والمرجئة في جهة أخرى</w:t>
      </w:r>
      <w:r w:rsidR="00DB731D" w:rsidRPr="00A52585">
        <w:rPr>
          <w:rFonts w:eastAsia="Times New Roman"/>
          <w:noProof/>
          <w:rtl/>
          <w:lang w:eastAsia="ar-SA"/>
        </w:rPr>
        <w:t>،</w:t>
      </w:r>
      <w:r w:rsidRPr="00A52585">
        <w:rPr>
          <w:rFonts w:eastAsia="Times New Roman"/>
          <w:noProof/>
          <w:rtl/>
          <w:lang w:eastAsia="ar-SA"/>
        </w:rPr>
        <w:t xml:space="preserve"> وكذلك الآيات المتعلقة بمتشابه الصفات والأخبار حيث أدى تتابع المتشابه فيها إلى ظهور الجهمية والمعتزلة في جهة</w:t>
      </w:r>
      <w:r w:rsidR="00DB731D" w:rsidRPr="00A52585">
        <w:rPr>
          <w:rFonts w:eastAsia="Times New Roman"/>
          <w:noProof/>
          <w:rtl/>
          <w:lang w:eastAsia="ar-SA"/>
        </w:rPr>
        <w:t>،</w:t>
      </w:r>
      <w:r w:rsidRPr="00A52585">
        <w:rPr>
          <w:rFonts w:eastAsia="Times New Roman"/>
          <w:noProof/>
          <w:rtl/>
          <w:lang w:eastAsia="ar-SA"/>
        </w:rPr>
        <w:t xml:space="preserve"> والمشبهة والمجسمة والحشوية في جهة أخرى</w:t>
      </w:r>
      <w:r w:rsidR="00DB731D" w:rsidRPr="00A52585">
        <w:rPr>
          <w:rFonts w:eastAsia="Times New Roman"/>
          <w:noProof/>
          <w:rtl/>
          <w:lang w:eastAsia="ar-SA"/>
        </w:rPr>
        <w:t>،</w:t>
      </w:r>
      <w:r w:rsidRPr="00A52585">
        <w:rPr>
          <w:rFonts w:eastAsia="Times New Roman"/>
          <w:noProof/>
          <w:rtl/>
          <w:lang w:eastAsia="ar-SA"/>
        </w:rPr>
        <w:t xml:space="preserve"> وهكذا فإنّ تتبع المتشابهات يؤدي إلى الزيغ والخلاف الفرقة والفتنة والضلال</w:t>
      </w:r>
      <w:r w:rsidR="00DB731D" w:rsidRPr="00A52585">
        <w:rPr>
          <w:rFonts w:eastAsia="Times New Roman"/>
          <w:noProof/>
          <w:rtl/>
          <w:lang w:eastAsia="ar-SA"/>
        </w:rPr>
        <w:t>،</w:t>
      </w:r>
      <w:r w:rsidRPr="00A52585">
        <w:rPr>
          <w:rFonts w:eastAsia="Times New Roman"/>
          <w:noProof/>
          <w:rtl/>
          <w:lang w:eastAsia="ar-SA"/>
        </w:rPr>
        <w:t xml:space="preserve"> وطريقة أهل السنة في ذلك هي التوفيق</w:t>
      </w:r>
      <w:r w:rsidR="0002035C" w:rsidRPr="00A52585">
        <w:rPr>
          <w:rFonts w:eastAsia="Times New Roman"/>
          <w:noProof/>
          <w:rtl/>
          <w:lang w:eastAsia="ar-SA"/>
        </w:rPr>
        <w:t xml:space="preserve"> </w:t>
      </w:r>
      <w:r w:rsidRPr="00A52585">
        <w:rPr>
          <w:rFonts w:eastAsia="Times New Roman"/>
          <w:noProof/>
          <w:rtl/>
          <w:lang w:eastAsia="ar-SA"/>
        </w:rPr>
        <w:t>في</w:t>
      </w:r>
      <w:r w:rsidRPr="00A52585">
        <w:rPr>
          <w:rFonts w:eastAsia="Times New Roman"/>
          <w:noProof/>
          <w:lang w:eastAsia="ar-SA"/>
        </w:rPr>
        <w:t xml:space="preserve"> </w:t>
      </w:r>
      <w:r w:rsidRPr="00A52585">
        <w:rPr>
          <w:rFonts w:eastAsia="Times New Roman"/>
          <w:noProof/>
          <w:rtl/>
          <w:lang w:eastAsia="ar-SA"/>
        </w:rPr>
        <w:t>هذه المسائل بين كافة أدلة الكتاب والسنّه</w:t>
      </w:r>
      <w:r w:rsidR="00DB731D" w:rsidRPr="00A52585">
        <w:rPr>
          <w:rFonts w:eastAsia="Times New Roman"/>
          <w:noProof/>
          <w:rtl/>
          <w:lang w:eastAsia="ar-SA"/>
        </w:rPr>
        <w:t>،</w:t>
      </w:r>
      <w:r w:rsidRPr="00A52585">
        <w:rPr>
          <w:rFonts w:eastAsia="Times New Roman"/>
          <w:noProof/>
          <w:lang w:eastAsia="ar-SA"/>
        </w:rPr>
        <w:t>,</w:t>
      </w:r>
      <w:r w:rsidRPr="00A52585">
        <w:rPr>
          <w:rFonts w:eastAsia="Times New Roman"/>
          <w:noProof/>
          <w:rtl/>
          <w:lang w:eastAsia="ar-SA" w:bidi="ar-KW"/>
        </w:rPr>
        <w:t>ورد المتشابه إلى أمه وأصله</w:t>
      </w:r>
      <w:r w:rsidR="00DB731D" w:rsidRPr="00A52585">
        <w:rPr>
          <w:rFonts w:eastAsia="Times New Roman"/>
          <w:noProof/>
          <w:rtl/>
          <w:lang w:eastAsia="ar-SA" w:bidi="ar-KW"/>
        </w:rPr>
        <w:t>،</w:t>
      </w:r>
      <w:r w:rsidRPr="00A52585">
        <w:rPr>
          <w:rFonts w:eastAsia="Times New Roman"/>
          <w:noProof/>
          <w:rtl/>
          <w:lang w:eastAsia="ar-SA" w:bidi="ar-KW"/>
        </w:rPr>
        <w:t xml:space="preserve"> وهو المحكم </w:t>
      </w:r>
      <w:r w:rsidRPr="00A52585">
        <w:rPr>
          <w:rFonts w:eastAsia="Times New Roman"/>
          <w:noProof/>
          <w:rtl/>
          <w:lang w:eastAsia="ar-SA"/>
        </w:rPr>
        <w:t>فتبدو وكأنها نسيج واحد لا ترى فيه من فطور بل تتفق وتتآلف ولا يكون بينها</w:t>
      </w:r>
      <w:r w:rsidRPr="00A52585">
        <w:rPr>
          <w:rFonts w:eastAsia="Times New Roman"/>
          <w:noProof/>
          <w:lang w:eastAsia="ar-SA"/>
        </w:rPr>
        <w:t xml:space="preserve"> </w:t>
      </w:r>
      <w:r w:rsidRPr="00A52585">
        <w:rPr>
          <w:rFonts w:eastAsia="Times New Roman"/>
          <w:noProof/>
          <w:rtl/>
          <w:lang w:eastAsia="ar-SA"/>
        </w:rPr>
        <w:t>تعارض ولا اختلاف وهذا الفقه هو ما تميز به علماء</w:t>
      </w:r>
      <w:r w:rsidR="0002035C" w:rsidRPr="00A52585">
        <w:rPr>
          <w:rFonts w:eastAsia="Times New Roman"/>
          <w:noProof/>
          <w:rtl/>
          <w:lang w:eastAsia="ar-SA"/>
        </w:rPr>
        <w:t xml:space="preserve"> </w:t>
      </w:r>
      <w:r w:rsidRPr="00A52585">
        <w:rPr>
          <w:rFonts w:eastAsia="Times New Roman"/>
          <w:noProof/>
          <w:rtl/>
          <w:lang w:eastAsia="ar-SA"/>
        </w:rPr>
        <w:t>أهل</w:t>
      </w:r>
      <w:r w:rsidRPr="00A52585">
        <w:rPr>
          <w:rFonts w:eastAsia="Times New Roman"/>
          <w:noProof/>
          <w:lang w:eastAsia="ar-SA"/>
        </w:rPr>
        <w:t xml:space="preserve"> </w:t>
      </w:r>
      <w:r w:rsidRPr="00A52585">
        <w:rPr>
          <w:rFonts w:eastAsia="Times New Roman"/>
          <w:noProof/>
          <w:rtl/>
          <w:lang w:eastAsia="ar-SA"/>
        </w:rPr>
        <w:t>السنّه والجماعة الأئمة الأعلام فجمعوا بين الأدلة</w:t>
      </w:r>
      <w:r w:rsidRPr="00A52585">
        <w:rPr>
          <w:rFonts w:eastAsia="Times New Roman"/>
          <w:noProof/>
          <w:lang w:eastAsia="ar-SA"/>
        </w:rPr>
        <w:t xml:space="preserve"> </w:t>
      </w:r>
      <w:r w:rsidRPr="00A52585">
        <w:rPr>
          <w:rFonts w:eastAsia="Times New Roman"/>
          <w:noProof/>
          <w:rtl/>
          <w:lang w:eastAsia="ar-SA"/>
        </w:rPr>
        <w:t>ووفقوا بينها</w:t>
      </w:r>
      <w:r w:rsidR="00DB731D" w:rsidRPr="00A52585">
        <w:rPr>
          <w:rFonts w:eastAsia="Times New Roman"/>
          <w:noProof/>
          <w:rtl/>
          <w:lang w:eastAsia="ar-SA"/>
        </w:rPr>
        <w:t>،</w:t>
      </w:r>
      <w:r w:rsidRPr="00A52585">
        <w:rPr>
          <w:rFonts w:eastAsia="Times New Roman"/>
          <w:noProof/>
          <w:rtl/>
          <w:lang w:eastAsia="ar-SA"/>
        </w:rPr>
        <w:t xml:space="preserve"> وحملوا الأقوال المتعارضة على محاملها الصحيحة فصار الاعتقاد</w:t>
      </w:r>
      <w:r w:rsidRPr="00A52585">
        <w:rPr>
          <w:rFonts w:eastAsia="Times New Roman"/>
          <w:noProof/>
          <w:lang w:eastAsia="ar-SA"/>
        </w:rPr>
        <w:t xml:space="preserve"> </w:t>
      </w:r>
      <w:r w:rsidRPr="00A52585">
        <w:rPr>
          <w:rFonts w:eastAsia="Times New Roman"/>
          <w:noProof/>
          <w:rtl/>
          <w:lang w:eastAsia="ar-SA"/>
        </w:rPr>
        <w:t>بكافة</w:t>
      </w:r>
      <w:r w:rsidRPr="00A52585">
        <w:rPr>
          <w:rFonts w:eastAsia="Times New Roman"/>
          <w:noProof/>
          <w:lang w:eastAsia="ar-SA"/>
        </w:rPr>
        <w:t xml:space="preserve"> </w:t>
      </w:r>
      <w:r w:rsidRPr="00A52585">
        <w:rPr>
          <w:rFonts w:eastAsia="Times New Roman"/>
          <w:noProof/>
          <w:rtl/>
          <w:lang w:eastAsia="ar-SA"/>
        </w:rPr>
        <w:t>أحكامه ومسائله نسيج واحد يدل ويؤكد</w:t>
      </w:r>
      <w:r w:rsidRPr="00A52585">
        <w:rPr>
          <w:rFonts w:eastAsia="Times New Roman"/>
          <w:noProof/>
          <w:lang w:eastAsia="ar-SA"/>
        </w:rPr>
        <w:t xml:space="preserve"> </w:t>
      </w:r>
      <w:r w:rsidRPr="00A52585">
        <w:rPr>
          <w:rFonts w:eastAsia="Times New Roman"/>
          <w:noProof/>
          <w:rtl/>
          <w:lang w:eastAsia="ar-SA"/>
        </w:rPr>
        <w:t>أنه دين الله عز وجل الذي رضيه لعباده</w:t>
      </w:r>
      <w:r w:rsidR="00DB731D" w:rsidRPr="00A52585">
        <w:rPr>
          <w:rFonts w:eastAsia="Times New Roman"/>
          <w:noProof/>
          <w:rtl/>
          <w:lang w:eastAsia="ar-SA"/>
        </w:rPr>
        <w:t>،</w:t>
      </w:r>
      <w:r w:rsidRPr="00A52585">
        <w:rPr>
          <w:rFonts w:eastAsia="Times New Roman"/>
          <w:noProof/>
          <w:rtl/>
          <w:lang w:eastAsia="ar-SA"/>
        </w:rPr>
        <w:t xml:space="preserve"> قال تعالى</w:t>
      </w:r>
      <w:r w:rsidR="0002035C" w:rsidRPr="00A52585">
        <w:rPr>
          <w:rFonts w:eastAsia="Times New Roman"/>
          <w:noProof/>
          <w:rtl/>
          <w:lang w:eastAsia="ar-SA"/>
        </w:rPr>
        <w:t>:</w:t>
      </w:r>
      <w:r w:rsidRPr="00A52585">
        <w:rPr>
          <w:rFonts w:eastAsia="Times New Roman"/>
          <w:noProof/>
          <w:rtl/>
          <w:lang w:eastAsia="ar-SA"/>
        </w:rPr>
        <w:t xml:space="preserve"> </w:t>
      </w:r>
      <w:r w:rsidR="0002035C" w:rsidRPr="00A52585">
        <w:rPr>
          <w:rFonts w:eastAsia="Times New Roman"/>
          <w:noProof/>
          <w:rtl/>
          <w:lang w:eastAsia="ar-SA"/>
        </w:rPr>
        <w:t>{</w:t>
      </w:r>
      <w:r w:rsidRPr="00A52585">
        <w:rPr>
          <w:rFonts w:eastAsia="Times New Roman"/>
          <w:noProof/>
          <w:rtl/>
          <w:lang w:eastAsia="ar-SA"/>
        </w:rPr>
        <w:t>أَفَلَا يَتَدَبَّرُونَ الْقُرْآنَ وَلَوْ كَانَ مِنْ عِنْدِ غَيْرِ اللَّهِ لَوَجَدُوا فِيهِ اخْتِلَافًا كَثِيرًا</w:t>
      </w:r>
      <w:r w:rsidR="0002035C" w:rsidRPr="00A52585">
        <w:rPr>
          <w:rFonts w:eastAsia="Times New Roman"/>
          <w:noProof/>
          <w:rtl/>
          <w:lang w:eastAsia="ar-SA"/>
        </w:rPr>
        <w:t>}</w:t>
      </w:r>
      <w:r w:rsidRPr="00A52585">
        <w:rPr>
          <w:rFonts w:eastAsia="Times New Roman"/>
          <w:noProof/>
          <w:rtl/>
          <w:lang w:eastAsia="ar-SA"/>
        </w:rPr>
        <w:t xml:space="preserve"> </w:t>
      </w:r>
      <w:r w:rsidR="0002035C" w:rsidRPr="00A52585">
        <w:rPr>
          <w:rFonts w:eastAsia="Times New Roman"/>
          <w:noProof/>
          <w:rtl/>
          <w:lang w:eastAsia="ar-SA"/>
        </w:rPr>
        <w:t>[</w:t>
      </w:r>
      <w:r w:rsidRPr="00A52585">
        <w:rPr>
          <w:rFonts w:eastAsia="Times New Roman"/>
          <w:noProof/>
          <w:rtl/>
          <w:lang w:eastAsia="ar-SA"/>
        </w:rPr>
        <w:t>النساء</w:t>
      </w:r>
      <w:r w:rsidR="0002035C" w:rsidRPr="00A52585">
        <w:rPr>
          <w:rFonts w:eastAsia="Times New Roman"/>
          <w:noProof/>
          <w:rtl/>
          <w:lang w:eastAsia="ar-SA"/>
        </w:rPr>
        <w:t>:</w:t>
      </w:r>
      <w:r w:rsidRPr="00A52585">
        <w:rPr>
          <w:rFonts w:eastAsia="Times New Roman"/>
          <w:noProof/>
          <w:rtl/>
          <w:lang w:eastAsia="ar-SA"/>
        </w:rPr>
        <w:t xml:space="preserve"> 82</w:t>
      </w:r>
      <w:r w:rsidR="0002035C" w:rsidRPr="00A52585">
        <w:rPr>
          <w:rFonts w:eastAsia="Times New Roman"/>
          <w:noProof/>
          <w:rtl/>
          <w:lang w:eastAsia="ar-SA"/>
        </w:rPr>
        <w:t>]</w:t>
      </w:r>
      <w:r w:rsidR="00DB731D" w:rsidRPr="00A52585">
        <w:rPr>
          <w:rFonts w:eastAsia="Times New Roman"/>
          <w:noProof/>
          <w:rtl/>
          <w:lang w:eastAsia="ar-SA"/>
        </w:rPr>
        <w:t>،</w:t>
      </w:r>
      <w:r w:rsidRPr="00A52585">
        <w:rPr>
          <w:rFonts w:eastAsia="Times New Roman"/>
          <w:noProof/>
          <w:rtl/>
          <w:lang w:eastAsia="ar-SA"/>
        </w:rPr>
        <w:t xml:space="preserve"> </w:t>
      </w:r>
    </w:p>
    <w:p w14:paraId="74715EF6" w14:textId="6AAE7DA0" w:rsidR="00777DCB" w:rsidRPr="00A52585" w:rsidRDefault="00777DCB" w:rsidP="0002035C">
      <w:pPr>
        <w:shd w:val="clear" w:color="auto" w:fill="FFFFFF"/>
        <w:rPr>
          <w:rFonts w:eastAsia="Times New Roman"/>
          <w:b/>
          <w:rtl/>
        </w:rPr>
      </w:pPr>
      <w:r w:rsidRPr="00A52585">
        <w:rPr>
          <w:rFonts w:eastAsia="Times New Roman" w:hint="cs"/>
          <w:bCs/>
          <w:rtl/>
        </w:rPr>
        <w:t>من الذي يعلم المتشابه</w:t>
      </w:r>
      <w:r w:rsidR="0002035C" w:rsidRPr="00A52585">
        <w:rPr>
          <w:rFonts w:eastAsia="Times New Roman" w:hint="cs"/>
          <w:bCs/>
          <w:rtl/>
        </w:rPr>
        <w:t>:</w:t>
      </w:r>
      <w:r w:rsidRPr="00A52585">
        <w:rPr>
          <w:rFonts w:eastAsia="Times New Roman" w:hint="cs"/>
          <w:rtl/>
        </w:rPr>
        <w:t xml:space="preserve"> قال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وَمَا يَعْلَمُ تَأْوِيلَهُ إِلَّا اللَّهُ وَالرَّاسِخُونَ فِي الْعِلْمِ يَقُولُونَ آمَنَّا بِهِ كُلٌّ مِنْ عِنْدِ رَبِّنَا وَمَا يَذَّكَّرُ إِلَّا أُولُو الْأَلْبَابِ</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آل عمران</w:t>
      </w:r>
      <w:r w:rsidR="0002035C" w:rsidRPr="00A52585">
        <w:rPr>
          <w:rFonts w:eastAsia="Times New Roman" w:hint="cs"/>
          <w:rtl/>
        </w:rPr>
        <w:t>:</w:t>
      </w:r>
      <w:r w:rsidRPr="00A52585">
        <w:rPr>
          <w:rFonts w:eastAsia="Times New Roman" w:hint="cs"/>
          <w:rtl/>
        </w:rPr>
        <w:t xml:space="preserve"> 7</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جميع من تكلم في تفسير القرآن نقل اختلاف العلماء في تحديد من الذي يعلم المتشابه</w:t>
      </w:r>
      <w:r w:rsidR="00DB731D" w:rsidRPr="00A52585">
        <w:rPr>
          <w:rFonts w:eastAsia="Times New Roman" w:hint="cs"/>
          <w:rtl/>
        </w:rPr>
        <w:t>،</w:t>
      </w:r>
      <w:r w:rsidRPr="00A52585">
        <w:rPr>
          <w:rFonts w:eastAsia="Times New Roman" w:hint="cs"/>
          <w:rtl/>
        </w:rPr>
        <w:t xml:space="preserve"> فمن قال أن الوقف لازم عند لفظ الجلالة </w:t>
      </w:r>
      <w:r w:rsidR="0002035C" w:rsidRPr="00A52585">
        <w:rPr>
          <w:rFonts w:eastAsia="Times New Roman" w:hint="cs"/>
          <w:rtl/>
        </w:rPr>
        <w:t>{</w:t>
      </w:r>
      <w:r w:rsidRPr="00A52585">
        <w:rPr>
          <w:rFonts w:eastAsia="Times New Roman" w:hint="cs"/>
          <w:rtl/>
        </w:rPr>
        <w:t>الله</w:t>
      </w:r>
      <w:r w:rsidR="0002035C" w:rsidRPr="00A52585">
        <w:rPr>
          <w:rFonts w:eastAsia="Times New Roman" w:hint="cs"/>
          <w:rtl/>
        </w:rPr>
        <w:t>}</w:t>
      </w:r>
      <w:r w:rsidRPr="00A52585">
        <w:rPr>
          <w:rFonts w:eastAsia="Times New Roman" w:hint="cs"/>
          <w:rtl/>
        </w:rPr>
        <w:t xml:space="preserve"> من قوله </w:t>
      </w:r>
      <w:r w:rsidRPr="00A52585">
        <w:rPr>
          <w:rFonts w:eastAsia="Times New Roman" w:hint="cs"/>
          <w:rtl/>
        </w:rPr>
        <w:lastRenderedPageBreak/>
        <w:t>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وَمَا يَعْلَمُ تَأْوِيلَهُ إِلَّا اللَّهُ</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قال</w:t>
      </w:r>
      <w:r w:rsidR="0002035C" w:rsidRPr="00A52585">
        <w:rPr>
          <w:rFonts w:eastAsia="Times New Roman" w:hint="cs"/>
          <w:rtl/>
        </w:rPr>
        <w:t>:</w:t>
      </w:r>
      <w:r w:rsidRPr="00A52585">
        <w:rPr>
          <w:rFonts w:eastAsia="Times New Roman" w:hint="cs"/>
          <w:rtl/>
        </w:rPr>
        <w:t xml:space="preserve"> لا يعلم المتشابه إلا الله وحده</w:t>
      </w:r>
      <w:r w:rsidR="00DB731D" w:rsidRPr="00A52585">
        <w:rPr>
          <w:rFonts w:eastAsia="Times New Roman" w:hint="cs"/>
          <w:rtl/>
        </w:rPr>
        <w:t>،</w:t>
      </w:r>
      <w:r w:rsidRPr="00A52585">
        <w:rPr>
          <w:rFonts w:eastAsia="Times New Roman" w:hint="cs"/>
          <w:rtl/>
        </w:rPr>
        <w:t xml:space="preserve"> </w:t>
      </w:r>
      <w:r w:rsidRPr="00A52585">
        <w:rPr>
          <w:rFonts w:hint="cs"/>
          <w:rtl/>
        </w:rPr>
        <w:t xml:space="preserve">وَالرَّاسِخُونَ فِي الْعِلْمِ يَقُولُونَ آمَنَّا بِهِ </w:t>
      </w:r>
      <w:r w:rsidR="0002035C" w:rsidRPr="00A52585">
        <w:rPr>
          <w:rFonts w:hint="cs"/>
          <w:rtl/>
        </w:rPr>
        <w:t>(</w:t>
      </w:r>
      <w:r w:rsidRPr="00A52585">
        <w:rPr>
          <w:rFonts w:hint="cs"/>
          <w:rtl/>
        </w:rPr>
        <w:t>أي المتشابه</w:t>
      </w:r>
      <w:r w:rsidR="0002035C" w:rsidRPr="00A52585">
        <w:rPr>
          <w:rFonts w:hint="cs"/>
          <w:rtl/>
        </w:rPr>
        <w:t>)</w:t>
      </w:r>
      <w:r w:rsidRPr="00A52585">
        <w:rPr>
          <w:rFonts w:hint="cs"/>
          <w:rtl/>
        </w:rPr>
        <w:t xml:space="preserve"> كُلٌّ مِنْ عِنْدِ رَبِّنَا</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أي المحكم والمتشابه</w:t>
      </w:r>
      <w:r w:rsidR="0002035C" w:rsidRPr="00A52585">
        <w:rPr>
          <w:rFonts w:eastAsia="Times New Roman" w:hint="cs"/>
          <w:rtl/>
        </w:rPr>
        <w:t>)</w:t>
      </w:r>
      <w:r w:rsidRPr="00A52585">
        <w:rPr>
          <w:rFonts w:eastAsia="Times New Roman" w:hint="cs"/>
          <w:rtl/>
        </w:rPr>
        <w:t xml:space="preserve"> فنعمل بالمحكم ونفوض علم المتشابه إلى الله</w:t>
      </w:r>
      <w:r w:rsidR="00DB731D" w:rsidRPr="00A52585">
        <w:rPr>
          <w:rFonts w:eastAsia="Times New Roman" w:hint="cs"/>
          <w:rtl/>
        </w:rPr>
        <w:t>،</w:t>
      </w:r>
      <w:r w:rsidRPr="00A52585">
        <w:rPr>
          <w:rFonts w:eastAsia="Times New Roman" w:hint="cs"/>
          <w:rtl/>
        </w:rPr>
        <w:t xml:space="preserve"> </w:t>
      </w:r>
      <w:r w:rsidRPr="00A52585">
        <w:rPr>
          <w:rFonts w:hint="cs"/>
          <w:rtl/>
        </w:rPr>
        <w:t>وهو قول ابن عمر من الصحابة رضي الله عنهم</w:t>
      </w:r>
      <w:r w:rsidR="00DB731D" w:rsidRPr="00A52585">
        <w:rPr>
          <w:rFonts w:hint="cs"/>
          <w:rtl/>
        </w:rPr>
        <w:t>،</w:t>
      </w:r>
      <w:r w:rsidRPr="00A52585">
        <w:rPr>
          <w:rFonts w:hint="cs"/>
          <w:rtl/>
        </w:rPr>
        <w:t xml:space="preserve"> وهو </w:t>
      </w:r>
      <w:proofErr w:type="spellStart"/>
      <w:r w:rsidRPr="00A52585">
        <w:rPr>
          <w:rFonts w:hint="cs"/>
          <w:rtl/>
        </w:rPr>
        <w:t>قول</w:t>
      </w:r>
      <w:r w:rsidR="0002035C" w:rsidRPr="00A52585">
        <w:rPr>
          <w:rFonts w:hint="cs"/>
          <w:rtl/>
        </w:rPr>
        <w:t>:</w:t>
      </w:r>
      <w:r w:rsidRPr="00A52585">
        <w:rPr>
          <w:rFonts w:hint="cs"/>
          <w:rtl/>
        </w:rPr>
        <w:t>عروة</w:t>
      </w:r>
      <w:proofErr w:type="spellEnd"/>
      <w:r w:rsidRPr="00A52585">
        <w:rPr>
          <w:rFonts w:hint="cs"/>
          <w:rtl/>
        </w:rPr>
        <w:t xml:space="preserve"> بن الزبير وعمر بن عبدالعزيز وغيرهم من التابعين</w:t>
      </w:r>
      <w:r w:rsidR="00DB731D" w:rsidRPr="00A52585">
        <w:rPr>
          <w:rFonts w:hint="cs"/>
          <w:rtl/>
        </w:rPr>
        <w:t>،</w:t>
      </w:r>
      <w:r w:rsidRPr="00A52585">
        <w:rPr>
          <w:rFonts w:hint="cs"/>
          <w:rtl/>
        </w:rPr>
        <w:t xml:space="preserve"> وهو مذهب الكسائي والأخفش والفراء وأبي عبيد وغيرهم من أهل اللغة</w:t>
      </w:r>
      <w:r w:rsidR="00DB731D" w:rsidRPr="00A52585">
        <w:rPr>
          <w:rFonts w:hint="cs"/>
          <w:rtl/>
        </w:rPr>
        <w:t>،</w:t>
      </w:r>
      <w:r w:rsidRPr="00A52585">
        <w:rPr>
          <w:rFonts w:hint="cs"/>
          <w:rtl/>
        </w:rPr>
        <w:t xml:space="preserve"> وحكى الطبري نحوه عن يونس عن أشهب عن مالك بن أنس رحمه الله</w:t>
      </w:r>
      <w:r w:rsidR="00DB731D" w:rsidRPr="00A52585">
        <w:rPr>
          <w:rFonts w:hint="cs"/>
          <w:rtl/>
        </w:rPr>
        <w:t>،</w:t>
      </w:r>
      <w:r w:rsidRPr="00A52585">
        <w:rPr>
          <w:rFonts w:hint="cs"/>
          <w:rtl/>
        </w:rPr>
        <w:t xml:space="preserve"> </w:t>
      </w:r>
      <w:r w:rsidRPr="00A52585">
        <w:rPr>
          <w:rFonts w:eastAsia="Times New Roman" w:hint="cs"/>
          <w:rtl/>
        </w:rPr>
        <w:t>ومن قال أنّ الوقف عند لفظ الراسخون في العلم من قوله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وَمَا يَعْلَمُ تَأْوِيلَهُ إِلَّا اللَّهُ وَالرَّاسِخُونَ فِي الْعِلْمِ</w:t>
      </w:r>
      <w:r w:rsidR="0002035C" w:rsidRPr="00A52585">
        <w:rPr>
          <w:rFonts w:eastAsia="Times New Roman" w:hint="cs"/>
          <w:rtl/>
        </w:rPr>
        <w:t>}</w:t>
      </w:r>
      <w:r w:rsidRPr="00A52585">
        <w:rPr>
          <w:rFonts w:eastAsia="Times New Roman" w:hint="cs"/>
          <w:rtl/>
        </w:rPr>
        <w:t xml:space="preserve"> قال</w:t>
      </w:r>
      <w:r w:rsidR="0002035C" w:rsidRPr="00A52585">
        <w:rPr>
          <w:rFonts w:eastAsia="Times New Roman" w:hint="cs"/>
          <w:rtl/>
        </w:rPr>
        <w:t>:</w:t>
      </w:r>
      <w:r w:rsidRPr="00A52585">
        <w:rPr>
          <w:rFonts w:eastAsia="Times New Roman" w:hint="cs"/>
          <w:rtl/>
        </w:rPr>
        <w:t xml:space="preserve"> إنّ الله تعالى رزق الراسخين في العلم علم المتشابه</w:t>
      </w:r>
      <w:r w:rsidR="00DB731D" w:rsidRPr="00A52585">
        <w:rPr>
          <w:rFonts w:eastAsia="Times New Roman" w:hint="cs"/>
          <w:rtl/>
        </w:rPr>
        <w:t>،</w:t>
      </w:r>
      <w:r w:rsidRPr="00A52585">
        <w:rPr>
          <w:rFonts w:eastAsia="Times New Roman" w:hint="cs"/>
          <w:rtl/>
        </w:rPr>
        <w:t xml:space="preserve"> </w:t>
      </w:r>
      <w:r w:rsidRPr="00A52585">
        <w:rPr>
          <w:rFonts w:hint="cs"/>
          <w:rtl/>
        </w:rPr>
        <w:t>وهو قول ابن مسعود وأبي بن كعب وابن عباس وعائشة من الصحابة رضي الله عنهم</w:t>
      </w:r>
      <w:r w:rsidR="00DB731D" w:rsidRPr="00A52585">
        <w:rPr>
          <w:rFonts w:hint="cs"/>
          <w:rtl/>
        </w:rPr>
        <w:t>،</w:t>
      </w:r>
      <w:r w:rsidRPr="00A52585">
        <w:rPr>
          <w:rFonts w:hint="cs"/>
          <w:rtl/>
        </w:rPr>
        <w:t xml:space="preserve"> وهو قول مجاهد والربيع ومحمد بن جعفر بن الزبير والقاسم بن محمد وغيرهم من التابعين</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أنظر تفسير القرطبي والطبري وابن كثير في تفسير الآية</w:t>
      </w:r>
      <w:r w:rsidR="0002035C" w:rsidRPr="00A52585">
        <w:rPr>
          <w:rFonts w:hint="cs"/>
          <w:rtl/>
        </w:rPr>
        <w:t>]</w:t>
      </w:r>
    </w:p>
    <w:p w14:paraId="3C550465" w14:textId="7E842DD9" w:rsidR="00777DCB" w:rsidRPr="00A52585" w:rsidRDefault="00777DCB" w:rsidP="0002035C">
      <w:pPr>
        <w:shd w:val="clear" w:color="auto" w:fill="FFFFFF"/>
        <w:rPr>
          <w:rFonts w:eastAsia="Times New Roman"/>
          <w:b/>
          <w:rtl/>
        </w:rPr>
      </w:pPr>
      <w:r w:rsidRPr="00A52585">
        <w:rPr>
          <w:rFonts w:eastAsia="Times New Roman" w:hint="cs"/>
          <w:bCs/>
          <w:rtl/>
        </w:rPr>
        <w:t>القول الفصل في تلك المسألة</w:t>
      </w:r>
      <w:r w:rsidR="0002035C" w:rsidRPr="00A52585">
        <w:rPr>
          <w:rFonts w:eastAsia="Times New Roman" w:hint="cs"/>
          <w:bCs/>
          <w:rtl/>
        </w:rPr>
        <w:t>:</w:t>
      </w:r>
      <w:r w:rsidRPr="00A52585">
        <w:rPr>
          <w:rFonts w:eastAsia="Times New Roman" w:hint="cs"/>
          <w:bCs/>
          <w:rtl/>
        </w:rPr>
        <w:t xml:space="preserve"> </w:t>
      </w:r>
      <w:r w:rsidRPr="00A52585">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sidR="00DB731D" w:rsidRPr="00A52585">
        <w:rPr>
          <w:rFonts w:eastAsia="Times New Roman" w:hint="cs"/>
          <w:rtl/>
        </w:rPr>
        <w:t>،</w:t>
      </w:r>
      <w:r w:rsidRPr="00A52585">
        <w:rPr>
          <w:rFonts w:eastAsia="Times New Roman" w:hint="cs"/>
          <w:rtl/>
        </w:rPr>
        <w:t xml:space="preserve"> وذلك لأنّ الله تعالى ليس كمثله شيء</w:t>
      </w:r>
      <w:r w:rsidR="00DB731D" w:rsidRPr="00A52585">
        <w:rPr>
          <w:rFonts w:eastAsia="Times New Roman" w:hint="cs"/>
          <w:rtl/>
        </w:rPr>
        <w:t>،</w:t>
      </w:r>
      <w:r w:rsidRPr="00A52585">
        <w:rPr>
          <w:rFonts w:eastAsia="Times New Roman" w:hint="cs"/>
          <w:rtl/>
        </w:rPr>
        <w:t xml:space="preserve"> وليس له مثال يُقاس عليه</w:t>
      </w:r>
      <w:r w:rsidR="00DB731D" w:rsidRPr="00A52585">
        <w:rPr>
          <w:rFonts w:eastAsia="Times New Roman" w:hint="cs"/>
          <w:rtl/>
        </w:rPr>
        <w:t>،</w:t>
      </w:r>
      <w:r w:rsidRPr="00A52585">
        <w:rPr>
          <w:rFonts w:eastAsia="Times New Roman" w:hint="cs"/>
          <w:rtl/>
        </w:rPr>
        <w:t xml:space="preserve"> وكل ما يحكم البشر والخلق من قوانين ونواميس فهي من خلق الله تعالى ووضعه</w:t>
      </w:r>
      <w:r w:rsidR="00DB731D" w:rsidRPr="00A52585">
        <w:rPr>
          <w:rFonts w:eastAsia="Times New Roman" w:hint="cs"/>
          <w:rtl/>
        </w:rPr>
        <w:t>،</w:t>
      </w:r>
      <w:r w:rsidRPr="00A52585">
        <w:rPr>
          <w:rFonts w:eastAsia="Times New Roman" w:hint="cs"/>
          <w:rtl/>
        </w:rPr>
        <w:t xml:space="preserve"> ومحال أن تسري هذه النواميس والقوانين على الله تعالى خالقها وخالق كل شيء</w:t>
      </w:r>
      <w:r w:rsidR="00DB731D" w:rsidRPr="00A52585">
        <w:rPr>
          <w:rFonts w:eastAsia="Times New Roman" w:hint="cs"/>
          <w:rtl/>
        </w:rPr>
        <w:t>،</w:t>
      </w:r>
      <w:r w:rsidRPr="00A52585">
        <w:rPr>
          <w:rFonts w:eastAsia="Times New Roman" w:hint="cs"/>
          <w:rtl/>
        </w:rPr>
        <w:t xml:space="preserve"> فلا يكون في مكان</w:t>
      </w:r>
      <w:r w:rsidR="00DB731D" w:rsidRPr="00A52585">
        <w:rPr>
          <w:rFonts w:eastAsia="Times New Roman" w:hint="cs"/>
          <w:rtl/>
        </w:rPr>
        <w:t>،</w:t>
      </w:r>
      <w:r w:rsidRPr="00A52585">
        <w:rPr>
          <w:rFonts w:eastAsia="Times New Roman" w:hint="cs"/>
          <w:rtl/>
        </w:rPr>
        <w:t xml:space="preserve"> ولا يحيط به مكان ولا يسري عليه زمان</w:t>
      </w:r>
      <w:r w:rsidR="00DB731D" w:rsidRPr="00A52585">
        <w:rPr>
          <w:rFonts w:eastAsia="Times New Roman" w:hint="cs"/>
          <w:rtl/>
        </w:rPr>
        <w:t>،</w:t>
      </w:r>
      <w:r w:rsidRPr="00A52585">
        <w:rPr>
          <w:rFonts w:eastAsia="Times New Roman" w:hint="cs"/>
          <w:rtl/>
        </w:rPr>
        <w:t xml:space="preserve"> ولا ينتقل من مكان إلى آخر</w:t>
      </w:r>
      <w:r w:rsidR="00DB731D" w:rsidRPr="00A52585">
        <w:rPr>
          <w:rFonts w:eastAsia="Times New Roman" w:hint="cs"/>
          <w:rtl/>
        </w:rPr>
        <w:t>،</w:t>
      </w:r>
      <w:r w:rsidRPr="00A52585">
        <w:rPr>
          <w:rFonts w:eastAsia="Times New Roman" w:hint="cs"/>
          <w:rtl/>
        </w:rPr>
        <w:t xml:space="preserve"> لأنه محال أن يحل في شيء من مخلوقاته ومن مخلوقاته الزمان والمكان والحركة والسكون</w:t>
      </w:r>
      <w:r w:rsidR="00DB731D" w:rsidRPr="00A52585">
        <w:rPr>
          <w:rFonts w:eastAsia="Times New Roman" w:hint="cs"/>
          <w:rtl/>
        </w:rPr>
        <w:t>،</w:t>
      </w:r>
      <w:r w:rsidRPr="00A52585">
        <w:rPr>
          <w:rFonts w:eastAsia="Times New Roman" w:hint="cs"/>
          <w:rtl/>
        </w:rPr>
        <w:t xml:space="preserve"> وهو بكل شيء محيط وهو من كل شيء قريب وهو على كل شيء قدير</w:t>
      </w:r>
      <w:r w:rsidR="00DB731D" w:rsidRPr="00A52585">
        <w:rPr>
          <w:rFonts w:eastAsia="Times New Roman" w:hint="cs"/>
          <w:rtl/>
        </w:rPr>
        <w:t>،</w:t>
      </w:r>
      <w:r w:rsidRPr="00A52585">
        <w:rPr>
          <w:rFonts w:eastAsia="Times New Roman" w:hint="cs"/>
          <w:rtl/>
        </w:rPr>
        <w:t xml:space="preserve"> ليس كمثله شيء</w:t>
      </w:r>
      <w:r w:rsidR="00DB731D" w:rsidRPr="00A52585">
        <w:rPr>
          <w:rFonts w:eastAsia="Times New Roman" w:hint="cs"/>
          <w:rtl/>
        </w:rPr>
        <w:t>،</w:t>
      </w:r>
      <w:r w:rsidRPr="00A52585">
        <w:rPr>
          <w:rFonts w:eastAsia="Times New Roman" w:hint="cs"/>
          <w:rtl/>
        </w:rPr>
        <w:t xml:space="preserve"> ومهمة العلماء تجاه هذا المتشابه هو الإيمان وتفويض العلم الحقيقي فيه إلى الله وحده</w:t>
      </w:r>
      <w:r w:rsidR="00DB731D" w:rsidRPr="00A52585">
        <w:rPr>
          <w:rFonts w:eastAsia="Times New Roman" w:hint="cs"/>
          <w:rtl/>
        </w:rPr>
        <w:t>،</w:t>
      </w:r>
      <w:r w:rsidRPr="00A52585">
        <w:rPr>
          <w:rFonts w:eastAsia="Times New Roman" w:hint="cs"/>
          <w:rtl/>
        </w:rPr>
        <w:t xml:space="preserve"> لأنّه لا قبل لمخلوق في إدراك ذات الخالق وحقائق صفات الخالق</w:t>
      </w:r>
      <w:r w:rsidR="00DB731D" w:rsidRPr="00A52585">
        <w:rPr>
          <w:rFonts w:eastAsia="Times New Roman" w:hint="cs"/>
          <w:rtl/>
        </w:rPr>
        <w:t>،</w:t>
      </w:r>
      <w:r w:rsidRPr="00A52585">
        <w:rPr>
          <w:rFonts w:eastAsia="Times New Roman" w:hint="cs"/>
          <w:rtl/>
        </w:rPr>
        <w:t xml:space="preserve"> وللعلماء دور آخر مهم وهو تقليل أثر المتشابه وذلك بعدم تتبعه</w:t>
      </w:r>
      <w:r w:rsidR="00DB731D" w:rsidRPr="00A52585">
        <w:rPr>
          <w:rFonts w:eastAsia="Times New Roman" w:hint="cs"/>
          <w:rtl/>
        </w:rPr>
        <w:t>،</w:t>
      </w:r>
      <w:r w:rsidRPr="00A52585">
        <w:rPr>
          <w:rFonts w:eastAsia="Times New Roman" w:hint="cs"/>
          <w:rtl/>
        </w:rPr>
        <w:t xml:space="preserve"> وحمله ما أمكن على محكمه</w:t>
      </w:r>
      <w:r w:rsidR="00DB731D" w:rsidRPr="00A52585">
        <w:rPr>
          <w:rFonts w:eastAsia="Times New Roman" w:hint="cs"/>
          <w:rtl/>
        </w:rPr>
        <w:t>،</w:t>
      </w:r>
      <w:r w:rsidRPr="00A52585">
        <w:rPr>
          <w:rFonts w:eastAsia="Times New Roman" w:hint="cs"/>
          <w:rtl/>
        </w:rPr>
        <w:t xml:space="preserve"> وتفويض حقائق علمه إلى الله وحده</w:t>
      </w:r>
      <w:r w:rsidR="00DB731D" w:rsidRPr="00A52585">
        <w:rPr>
          <w:rFonts w:eastAsia="Times New Roman" w:hint="cs"/>
          <w:rtl/>
        </w:rPr>
        <w:t>،</w:t>
      </w:r>
      <w:r w:rsidRPr="00A52585">
        <w:rPr>
          <w:rFonts w:eastAsia="Times New Roman" w:hint="cs"/>
          <w:rtl/>
        </w:rPr>
        <w:t xml:space="preserve"> ومن المتشابه ما يمكن أن يعلمه العلماء مع الاجتهاد والاستنباط وإعمال الجهد في فهم النصوص</w:t>
      </w:r>
      <w:r w:rsidR="00DB731D" w:rsidRPr="00A52585">
        <w:rPr>
          <w:rFonts w:eastAsia="Times New Roman" w:hint="cs"/>
          <w:rtl/>
        </w:rPr>
        <w:t>،</w:t>
      </w:r>
      <w:r w:rsidRPr="00A52585">
        <w:rPr>
          <w:rFonts w:eastAsia="Times New Roman" w:hint="cs"/>
          <w:rtl/>
        </w:rPr>
        <w:t xml:space="preserve"> وحمل المتشابه على المحكم</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ومثال ذلك كل ما يتعلق بالدين نفسه في مسائل الإيمان والكفر والتوحيد والشرك والسنّة والبدعة</w:t>
      </w:r>
      <w:r w:rsidR="00DB731D" w:rsidRPr="00A52585">
        <w:rPr>
          <w:rFonts w:eastAsia="Times New Roman" w:hint="cs"/>
          <w:rtl/>
        </w:rPr>
        <w:t>،</w:t>
      </w:r>
      <w:r w:rsidRPr="00A52585">
        <w:rPr>
          <w:rFonts w:eastAsia="Times New Roman" w:hint="cs"/>
          <w:rtl/>
        </w:rPr>
        <w:t xml:space="preserve"> وعموم مسائل الأسماء والأحكام مما لا يتعلق بحقائق ذات الله تعالى وصفاته وأفعاله</w:t>
      </w:r>
      <w:r w:rsidR="00DB731D" w:rsidRPr="00A52585">
        <w:rPr>
          <w:rFonts w:eastAsia="Times New Roman" w:hint="cs"/>
          <w:rtl/>
        </w:rPr>
        <w:t>،</w:t>
      </w:r>
      <w:r w:rsidRPr="00A52585">
        <w:rPr>
          <w:rFonts w:eastAsia="Times New Roman" w:hint="cs"/>
          <w:rtl/>
        </w:rPr>
        <w:t xml:space="preserve"> ومن هذا التفصيل نعلم أن كلا القولين صحيح بالوقف على</w:t>
      </w:r>
      <w:r w:rsidR="0002035C" w:rsidRPr="00A52585">
        <w:rPr>
          <w:rFonts w:eastAsia="Times New Roman" w:hint="cs"/>
          <w:rtl/>
        </w:rPr>
        <w:t>:</w:t>
      </w:r>
      <w:r w:rsidRPr="00A52585">
        <w:rPr>
          <w:rFonts w:eastAsia="Times New Roman" w:hint="cs"/>
          <w:rtl/>
        </w:rPr>
        <w:t xml:space="preserve"> لفظ الجلالة </w:t>
      </w:r>
      <w:r w:rsidR="0002035C" w:rsidRPr="00A52585">
        <w:rPr>
          <w:rFonts w:eastAsia="Times New Roman" w:hint="cs"/>
          <w:rtl/>
        </w:rPr>
        <w:t>(</w:t>
      </w:r>
      <w:r w:rsidRPr="00A52585">
        <w:rPr>
          <w:rFonts w:eastAsia="Times New Roman" w:hint="cs"/>
          <w:rtl/>
        </w:rPr>
        <w:t>الله</w:t>
      </w:r>
      <w:r w:rsidR="0002035C" w:rsidRPr="00A52585">
        <w:rPr>
          <w:rFonts w:eastAsia="Times New Roman" w:hint="cs"/>
          <w:rtl/>
        </w:rPr>
        <w:t>)</w:t>
      </w:r>
      <w:r w:rsidRPr="00A52585">
        <w:rPr>
          <w:rFonts w:eastAsia="Times New Roman" w:hint="cs"/>
          <w:rtl/>
        </w:rPr>
        <w:t xml:space="preserve"> أو بالوقف على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الراسخون في العلم</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ولكن وفق طبيعة المتشابه ونوعيه</w:t>
      </w:r>
      <w:r w:rsidR="00DB731D" w:rsidRPr="00A52585">
        <w:rPr>
          <w:rFonts w:eastAsia="Times New Roman" w:hint="cs"/>
          <w:rtl/>
        </w:rPr>
        <w:t>،</w:t>
      </w:r>
      <w:r w:rsidRPr="00A52585">
        <w:rPr>
          <w:rFonts w:eastAsia="Times New Roman" w:hint="cs"/>
          <w:rtl/>
        </w:rPr>
        <w:t xml:space="preserve"> إذ منه ما لا يعلمه سوى الله وحده</w:t>
      </w:r>
      <w:r w:rsidR="00DB731D" w:rsidRPr="00A52585">
        <w:rPr>
          <w:rFonts w:eastAsia="Times New Roman" w:hint="cs"/>
          <w:rtl/>
        </w:rPr>
        <w:t>،</w:t>
      </w:r>
      <w:r w:rsidRPr="00A52585">
        <w:rPr>
          <w:rFonts w:eastAsia="Times New Roman" w:hint="cs"/>
          <w:rtl/>
        </w:rPr>
        <w:t xml:space="preserve"> ومنه ما يعلمه الراسخون في العلم مع الاجتهاد والاستنباط</w:t>
      </w:r>
      <w:r w:rsidR="00DB731D" w:rsidRPr="00A52585">
        <w:rPr>
          <w:rFonts w:eastAsia="Times New Roman" w:hint="cs"/>
          <w:rtl/>
        </w:rPr>
        <w:t>،</w:t>
      </w:r>
      <w:r w:rsidRPr="00A52585">
        <w:rPr>
          <w:rFonts w:eastAsia="Times New Roman" w:hint="cs"/>
          <w:rtl/>
        </w:rPr>
        <w:t xml:space="preserve"> </w:t>
      </w:r>
    </w:p>
    <w:p w14:paraId="24966871" w14:textId="16C84943" w:rsidR="00777DCB" w:rsidRPr="00A52585" w:rsidRDefault="00777DCB" w:rsidP="0002035C">
      <w:pPr>
        <w:rPr>
          <w:b/>
        </w:rPr>
      </w:pPr>
      <w:r w:rsidRPr="00A52585">
        <w:rPr>
          <w:rFonts w:hint="cs"/>
          <w:bCs/>
          <w:rtl/>
        </w:rPr>
        <w:lastRenderedPageBreak/>
        <w:t>أمثلة ودرر من أقوال العلماء فيما يتعلق بالمحكم والمتشابه على وجه العموم</w:t>
      </w:r>
      <w:r w:rsidR="0002035C" w:rsidRPr="00A52585">
        <w:rPr>
          <w:rFonts w:hint="cs"/>
          <w:bCs/>
          <w:rtl/>
        </w:rPr>
        <w:t>:</w:t>
      </w:r>
      <w:r w:rsidRPr="00A52585">
        <w:rPr>
          <w:rFonts w:hint="cs"/>
          <w:bCs/>
          <w:rtl/>
        </w:rPr>
        <w:t xml:space="preserve"> </w:t>
      </w:r>
      <w:r w:rsidRPr="00A52585">
        <w:rPr>
          <w:rFonts w:hint="cs"/>
          <w:rtl/>
        </w:rPr>
        <w:t>وأكتفي هاهنا بقول الإمامين الجليلين القرطبي وابن كثير وذلك لانهما جمعا ما سبقهما من أقوال أئمة المفسرين</w:t>
      </w:r>
      <w:r w:rsidR="00DB731D" w:rsidRPr="00A52585">
        <w:rPr>
          <w:rFonts w:hint="cs"/>
          <w:rtl/>
        </w:rPr>
        <w:t>،</w:t>
      </w:r>
      <w:r w:rsidRPr="00A52585">
        <w:rPr>
          <w:rFonts w:hint="cs"/>
          <w:rtl/>
        </w:rPr>
        <w:t xml:space="preserve"> </w:t>
      </w:r>
    </w:p>
    <w:p w14:paraId="3931710C" w14:textId="3AF8E3FA" w:rsidR="00777DCB" w:rsidRPr="00A52585" w:rsidRDefault="00777DCB" w:rsidP="0002035C">
      <w:pPr>
        <w:spacing w:after="240"/>
        <w:rPr>
          <w:b/>
          <w:rtl/>
        </w:rPr>
      </w:pPr>
      <w:r w:rsidRPr="00A52585">
        <w:rPr>
          <w:rFonts w:hint="cs"/>
          <w:bCs/>
          <w:rtl/>
        </w:rPr>
        <w:t xml:space="preserve">قال القرطبي في </w:t>
      </w:r>
      <w:proofErr w:type="gramStart"/>
      <w:r w:rsidRPr="00A52585">
        <w:rPr>
          <w:rFonts w:hint="cs"/>
          <w:bCs/>
          <w:rtl/>
        </w:rPr>
        <w:t>تفسيره</w:t>
      </w:r>
      <w:r w:rsidR="0002035C" w:rsidRPr="00A52585">
        <w:rPr>
          <w:rFonts w:hint="cs"/>
          <w:rtl/>
        </w:rPr>
        <w:t>:</w:t>
      </w:r>
      <w:r w:rsidRPr="00A52585">
        <w:rPr>
          <w:rFonts w:hint="cs"/>
          <w:rtl/>
        </w:rPr>
        <w:t>-</w:t>
      </w:r>
      <w:proofErr w:type="gramEnd"/>
      <w:r w:rsidRPr="00A52585">
        <w:rPr>
          <w:rFonts w:hint="cs"/>
          <w:rtl/>
        </w:rPr>
        <w:t xml:space="preserve"> </w:t>
      </w:r>
      <w:r w:rsidR="0002035C" w:rsidRPr="00A52585">
        <w:rPr>
          <w:rFonts w:hint="cs"/>
          <w:rtl/>
        </w:rPr>
        <w:t>(</w:t>
      </w:r>
      <w:r w:rsidRPr="00A52585">
        <w:rPr>
          <w:rFonts w:hint="cs"/>
          <w:rtl/>
        </w:rPr>
        <w:t>اختلف العلماء في المحكمات والمتشابهات على أقوال عديدة فقال جابر بن عبدالله</w:t>
      </w:r>
      <w:r w:rsidR="00DB731D" w:rsidRPr="00A52585">
        <w:rPr>
          <w:rFonts w:hint="cs"/>
          <w:rtl/>
        </w:rPr>
        <w:t>،</w:t>
      </w:r>
      <w:r w:rsidRPr="00A52585">
        <w:rPr>
          <w:rFonts w:hint="cs"/>
          <w:rtl/>
        </w:rPr>
        <w:t xml:space="preserve"> وهو مقتضى قول الشعبي وسفيان الثوري وغيرهم</w:t>
      </w:r>
      <w:r w:rsidR="0002035C" w:rsidRPr="00A52585">
        <w:rPr>
          <w:rFonts w:hint="cs"/>
          <w:rtl/>
        </w:rPr>
        <w:t xml:space="preserve"> </w:t>
      </w:r>
      <w:r w:rsidRPr="00A52585">
        <w:rPr>
          <w:rFonts w:hint="cs"/>
          <w:rtl/>
        </w:rPr>
        <w:t xml:space="preserve">المحكمات من </w:t>
      </w:r>
      <w:proofErr w:type="spellStart"/>
      <w:r w:rsidRPr="00A52585">
        <w:rPr>
          <w:rFonts w:hint="cs"/>
          <w:rtl/>
        </w:rPr>
        <w:t>آي</w:t>
      </w:r>
      <w:proofErr w:type="spellEnd"/>
      <w:r w:rsidRPr="00A52585">
        <w:rPr>
          <w:rFonts w:hint="cs"/>
          <w:rtl/>
        </w:rPr>
        <w:t xml:space="preserve"> القرآن ما عرف تأويله وفهم معناه وتفسيره والمتشابه ما لم يكن لأحد إلى علمه سبيل مما أستأثر الله تعالى بعلمه دون خلقه</w:t>
      </w:r>
      <w:r w:rsidR="00897A24" w:rsidRPr="00A52585">
        <w:rPr>
          <w:rFonts w:hint="cs"/>
          <w:rtl/>
        </w:rPr>
        <w:t>.</w:t>
      </w:r>
      <w:r w:rsidRPr="00A52585">
        <w:rPr>
          <w:rFonts w:hint="cs"/>
          <w:rtl/>
        </w:rPr>
        <w:t>. قلت</w:t>
      </w:r>
      <w:r w:rsidR="0002035C" w:rsidRPr="00A52585">
        <w:rPr>
          <w:rFonts w:hint="cs"/>
          <w:rtl/>
        </w:rPr>
        <w:t xml:space="preserve"> </w:t>
      </w:r>
      <w:r w:rsidRPr="00A52585">
        <w:rPr>
          <w:rFonts w:hint="cs"/>
          <w:rtl/>
        </w:rPr>
        <w:t>هذا أحسن ما قيل في المتشابه و قد قيل</w:t>
      </w:r>
      <w:r w:rsidR="0002035C" w:rsidRPr="00A52585">
        <w:rPr>
          <w:rFonts w:hint="cs"/>
          <w:rtl/>
        </w:rPr>
        <w:t xml:space="preserve"> </w:t>
      </w:r>
      <w:r w:rsidRPr="00A52585">
        <w:rPr>
          <w:rFonts w:hint="cs"/>
          <w:rtl/>
        </w:rPr>
        <w:t>القرآن كله محكم</w:t>
      </w:r>
      <w:r w:rsidR="0002035C" w:rsidRPr="00A52585">
        <w:rPr>
          <w:rFonts w:hint="cs"/>
          <w:rtl/>
        </w:rPr>
        <w:t xml:space="preserve"> </w:t>
      </w:r>
      <w:r w:rsidRPr="00A52585">
        <w:rPr>
          <w:rFonts w:hint="cs"/>
          <w:rtl/>
        </w:rPr>
        <w:t>لقوله تعالى</w:t>
      </w:r>
      <w:r w:rsidR="0002035C" w:rsidRPr="00A52585">
        <w:rPr>
          <w:rFonts w:hint="cs"/>
          <w:rtl/>
        </w:rPr>
        <w:t xml:space="preserve"> </w:t>
      </w:r>
      <w:r w:rsidRPr="00A52585">
        <w:rPr>
          <w:rFonts w:hint="cs"/>
          <w:rtl/>
        </w:rPr>
        <w:t>{كتاب أحكمت آياته</w:t>
      </w:r>
      <w:r w:rsidR="0002035C" w:rsidRPr="00A52585">
        <w:rPr>
          <w:rFonts w:hint="cs"/>
          <w:rtl/>
        </w:rPr>
        <w:t>}</w:t>
      </w:r>
      <w:r w:rsidR="00DB731D" w:rsidRPr="00A52585">
        <w:rPr>
          <w:rFonts w:hint="cs"/>
          <w:rtl/>
        </w:rPr>
        <w:t>،</w:t>
      </w:r>
      <w:r w:rsidRPr="00A52585">
        <w:rPr>
          <w:rFonts w:hint="cs"/>
          <w:rtl/>
        </w:rPr>
        <w:t xml:space="preserve"> وقيل متشابه لقوله </w:t>
      </w:r>
      <w:r w:rsidR="0002035C" w:rsidRPr="00A52585">
        <w:rPr>
          <w:rFonts w:hint="cs"/>
          <w:rtl/>
        </w:rPr>
        <w:t>{</w:t>
      </w:r>
      <w:r w:rsidRPr="00A52585">
        <w:rPr>
          <w:rFonts w:hint="cs"/>
          <w:rtl/>
        </w:rPr>
        <w:t>كتابا متشابها</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وليس هذا في معنى الآية في شيء فإن قوله تعالى</w:t>
      </w:r>
      <w:r w:rsidR="0002035C" w:rsidRPr="00A52585">
        <w:rPr>
          <w:rFonts w:hint="cs"/>
          <w:rtl/>
        </w:rPr>
        <w:t xml:space="preserve"> </w:t>
      </w:r>
      <w:r w:rsidRPr="00A52585">
        <w:rPr>
          <w:rFonts w:hint="cs"/>
          <w:rtl/>
        </w:rPr>
        <w:t>كتاب أحكمت آياته أي في النظم والرصف وأنه حق من عند الله معنى كتابا متشابها أي يشبه بعضه بعضا ويصدق بعضه بعضا وليس المراد بقوله آيات محكمات وأخر متشابهات وهذا المعنى وإنما المتشابه في هذه الآية من باب الاحتمال والاشتباه من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البقر تشابه علينا</w:t>
      </w:r>
      <w:r w:rsidR="0002035C" w:rsidRPr="00A52585">
        <w:rPr>
          <w:rFonts w:hint="cs"/>
          <w:rtl/>
        </w:rPr>
        <w:t>}</w:t>
      </w:r>
      <w:r w:rsidRPr="00A52585">
        <w:rPr>
          <w:rFonts w:hint="cs"/>
          <w:rtl/>
        </w:rPr>
        <w:t xml:space="preserve"> أي التبس علينا أي يحتمل أنواعا كثيرة من البقر والمراد بالمحكم ما في مقابلة هذا هو ما لا التباس فيه ولا يحتمل إلا وجها واحدا</w:t>
      </w:r>
      <w:r w:rsidR="00DB731D" w:rsidRPr="00A52585">
        <w:rPr>
          <w:rFonts w:hint="cs"/>
          <w:rtl/>
        </w:rPr>
        <w:t>،</w:t>
      </w:r>
      <w:r w:rsidRPr="00A52585">
        <w:rPr>
          <w:rFonts w:hint="cs"/>
          <w:rtl/>
        </w:rPr>
        <w:t xml:space="preserve"> قيل</w:t>
      </w:r>
      <w:r w:rsidR="0002035C" w:rsidRPr="00A52585">
        <w:rPr>
          <w:rFonts w:hint="cs"/>
          <w:rtl/>
        </w:rPr>
        <w:t>:</w:t>
      </w:r>
      <w:r w:rsidRPr="00A52585">
        <w:rPr>
          <w:rFonts w:hint="cs"/>
          <w:rtl/>
        </w:rPr>
        <w:t xml:space="preserve"> إن المتشابه ما يحتمل وجوها ثم إذا ردت الوجوه إلى وجه واحد وأبطل الباقي صار المتشابه محكما فالمحكم أبدا أصل ترد إليه الفروع والمتشابه هو الفرع</w:t>
      </w:r>
      <w:r w:rsidR="00DB731D" w:rsidRPr="00A52585">
        <w:rPr>
          <w:rFonts w:hint="cs"/>
          <w:rtl/>
        </w:rPr>
        <w:t>،</w:t>
      </w:r>
      <w:r w:rsidRPr="00A52585">
        <w:rPr>
          <w:rFonts w:hint="cs"/>
          <w:rtl/>
        </w:rPr>
        <w:t xml:space="preserve"> وقال أبن عباس</w:t>
      </w:r>
      <w:r w:rsidR="0002035C" w:rsidRPr="00A52585">
        <w:rPr>
          <w:rFonts w:hint="cs"/>
          <w:rtl/>
        </w:rPr>
        <w:t xml:space="preserve"> </w:t>
      </w:r>
      <w:r w:rsidRPr="00A52585">
        <w:rPr>
          <w:rFonts w:hint="cs"/>
          <w:rtl/>
        </w:rPr>
        <w:t>المحكمات هو قوله في سورة الأنعام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 تعالوا أتل ما حرم ربكم عليكم</w:t>
      </w:r>
      <w:r w:rsidR="0002035C" w:rsidRPr="00A52585">
        <w:rPr>
          <w:rFonts w:hint="cs"/>
          <w:rtl/>
        </w:rPr>
        <w:t>}</w:t>
      </w:r>
      <w:r w:rsidRPr="00A52585">
        <w:rPr>
          <w:rFonts w:hint="cs"/>
          <w:rtl/>
        </w:rPr>
        <w:t xml:space="preserve"> إلى ثلاث آيات وقوله في بنى إسرائيل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وقضى ربك ألا تعبدوا إلا إياه وبالوالدين إحسانا</w:t>
      </w:r>
      <w:r w:rsidR="0002035C" w:rsidRPr="00A52585">
        <w:rPr>
          <w:rFonts w:hint="cs"/>
          <w:rtl/>
        </w:rPr>
        <w:t>}</w:t>
      </w:r>
      <w:r w:rsidR="00DB731D" w:rsidRPr="00A52585">
        <w:rPr>
          <w:rFonts w:hint="cs"/>
          <w:rtl/>
        </w:rPr>
        <w:t>،</w:t>
      </w:r>
      <w:r w:rsidRPr="00A52585">
        <w:rPr>
          <w:rFonts w:hint="cs"/>
          <w:rtl/>
        </w:rPr>
        <w:t xml:space="preserve"> قال أبن عطية</w:t>
      </w:r>
      <w:r w:rsidR="0002035C" w:rsidRPr="00A52585">
        <w:rPr>
          <w:rFonts w:hint="cs"/>
          <w:rtl/>
        </w:rPr>
        <w:t xml:space="preserve"> </w:t>
      </w:r>
      <w:r w:rsidRPr="00A52585">
        <w:rPr>
          <w:rFonts w:hint="cs"/>
          <w:rtl/>
        </w:rPr>
        <w:t>وهذا عندي مثال أعطاه في المحكمات</w:t>
      </w:r>
      <w:r w:rsidR="00DB731D" w:rsidRPr="00A52585">
        <w:rPr>
          <w:rFonts w:hint="cs"/>
          <w:rtl/>
        </w:rPr>
        <w:t>،</w:t>
      </w:r>
      <w:r w:rsidRPr="00A52585">
        <w:rPr>
          <w:rFonts w:hint="cs"/>
          <w:rtl/>
        </w:rPr>
        <w:t xml:space="preserve"> وقال ابن عباس أيضا</w:t>
      </w:r>
      <w:r w:rsidR="0002035C" w:rsidRPr="00A52585">
        <w:rPr>
          <w:rFonts w:hint="cs"/>
          <w:rtl/>
        </w:rPr>
        <w:t xml:space="preserve"> </w:t>
      </w:r>
      <w:r w:rsidRPr="00A52585">
        <w:rPr>
          <w:rFonts w:hint="cs"/>
          <w:rtl/>
        </w:rPr>
        <w:t>المحكمات ناسخه وحرامه وفرائضه وما يؤمن به ويعمل به</w:t>
      </w:r>
      <w:r w:rsidR="00DB731D" w:rsidRPr="00A52585">
        <w:rPr>
          <w:rFonts w:hint="cs"/>
          <w:rtl/>
        </w:rPr>
        <w:t>،</w:t>
      </w:r>
      <w:r w:rsidRPr="00A52585">
        <w:rPr>
          <w:rFonts w:hint="cs"/>
          <w:rtl/>
        </w:rPr>
        <w:t xml:space="preserve"> قال أبن مسعود وغيره</w:t>
      </w:r>
      <w:r w:rsidR="0002035C" w:rsidRPr="00A52585">
        <w:rPr>
          <w:rFonts w:hint="cs"/>
          <w:rtl/>
        </w:rPr>
        <w:t>:</w:t>
      </w:r>
      <w:r w:rsidRPr="00A52585">
        <w:rPr>
          <w:rFonts w:hint="cs"/>
          <w:rtl/>
        </w:rPr>
        <w:t xml:space="preserve"> المحكمات الناسخات والمتشابهات المنسوخات ومقدمه ومؤخره وأمثاله وأقسامه وما يؤمن به ولا يعمل به</w:t>
      </w:r>
      <w:r w:rsidR="00DB731D" w:rsidRPr="00A52585">
        <w:rPr>
          <w:rFonts w:hint="cs"/>
          <w:rtl/>
        </w:rPr>
        <w:t>،</w:t>
      </w:r>
      <w:r w:rsidRPr="00A52585">
        <w:rPr>
          <w:rFonts w:hint="cs"/>
          <w:rtl/>
        </w:rPr>
        <w:t xml:space="preserve"> وقال ابن مسعود وغيره</w:t>
      </w:r>
      <w:r w:rsidR="0002035C" w:rsidRPr="00A52585">
        <w:rPr>
          <w:rFonts w:hint="cs"/>
          <w:rtl/>
        </w:rPr>
        <w:t xml:space="preserve"> </w:t>
      </w:r>
      <w:r w:rsidRPr="00A52585">
        <w:rPr>
          <w:rFonts w:hint="cs"/>
          <w:rtl/>
        </w:rPr>
        <w:t>المحكمات الناسخات والتشابهات المنسوخات وقاله قتادة والربيع والضحاك</w:t>
      </w:r>
      <w:r w:rsidR="00DB731D" w:rsidRPr="00A52585">
        <w:rPr>
          <w:rFonts w:hint="cs"/>
          <w:rtl/>
        </w:rPr>
        <w:t>،</w:t>
      </w:r>
      <w:r w:rsidRPr="00A52585">
        <w:rPr>
          <w:rFonts w:hint="cs"/>
          <w:rtl/>
        </w:rPr>
        <w:t xml:space="preserve"> قال محمد بن جعفر بن الزبير</w:t>
      </w:r>
      <w:r w:rsidR="0002035C" w:rsidRPr="00A52585">
        <w:rPr>
          <w:rFonts w:hint="cs"/>
          <w:rtl/>
        </w:rPr>
        <w:t>:</w:t>
      </w:r>
      <w:r w:rsidRPr="00A52585">
        <w:rPr>
          <w:rFonts w:hint="cs"/>
          <w:rtl/>
        </w:rPr>
        <w:t xml:space="preserve"> المحكمات هي التي فيها حجة الرب وعصمة العباد ودفع الخصوم والباطل ليس لها تصريف ولا تحريف عما وضعن عليه والمتشابهات لهن تصريف وتحريف وتأويل ابتلى الله فيهن العباد قال مجاهد وأبن إسحاق قال ابن عطية</w:t>
      </w:r>
      <w:r w:rsidR="0002035C" w:rsidRPr="00A52585">
        <w:rPr>
          <w:rFonts w:hint="cs"/>
          <w:rtl/>
        </w:rPr>
        <w:t xml:space="preserve"> </w:t>
      </w:r>
      <w:r w:rsidRPr="00A52585">
        <w:rPr>
          <w:rFonts w:hint="cs"/>
          <w:rtl/>
        </w:rPr>
        <w:t>وهذا أحسن الأقوال في هذه الآية</w:t>
      </w:r>
      <w:r w:rsidR="00DB731D" w:rsidRPr="00A52585">
        <w:rPr>
          <w:rFonts w:hint="cs"/>
          <w:rtl/>
        </w:rPr>
        <w:t>،</w:t>
      </w:r>
      <w:r w:rsidRPr="00A52585">
        <w:rPr>
          <w:rFonts w:hint="cs"/>
          <w:rtl/>
        </w:rPr>
        <w:t xml:space="preserve"> قال النحاس</w:t>
      </w:r>
      <w:r w:rsidR="0002035C" w:rsidRPr="00A52585">
        <w:rPr>
          <w:rFonts w:hint="cs"/>
          <w:rtl/>
        </w:rPr>
        <w:t xml:space="preserve"> </w:t>
      </w:r>
      <w:r w:rsidRPr="00A52585">
        <w:rPr>
          <w:rFonts w:hint="cs"/>
          <w:rtl/>
        </w:rPr>
        <w:t>أحسن ما قيل في المحكمات والمتشابهات</w:t>
      </w:r>
      <w:r w:rsidR="0002035C" w:rsidRPr="00A52585">
        <w:rPr>
          <w:rFonts w:hint="cs"/>
          <w:rtl/>
        </w:rPr>
        <w:t>:</w:t>
      </w:r>
      <w:r w:rsidRPr="00A52585">
        <w:rPr>
          <w:rFonts w:hint="cs"/>
          <w:rtl/>
        </w:rPr>
        <w:t xml:space="preserve"> أن المحكمات ما كان قائمة بنفسه لا يحتاج أن يرجع فيه إلى غيره نحو {لم يكن له كفوا أحد</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وإني لغفار لمن تاب</w:t>
      </w:r>
      <w:r w:rsidR="0002035C" w:rsidRPr="00A52585">
        <w:rPr>
          <w:rFonts w:hint="cs"/>
          <w:rtl/>
        </w:rPr>
        <w:t>}</w:t>
      </w:r>
      <w:r w:rsidR="00DB731D" w:rsidRPr="00A52585">
        <w:rPr>
          <w:rFonts w:hint="cs"/>
          <w:rtl/>
        </w:rPr>
        <w:t>،</w:t>
      </w:r>
      <w:r w:rsidRPr="00A52585">
        <w:rPr>
          <w:rFonts w:hint="cs"/>
          <w:rtl/>
        </w:rPr>
        <w:t xml:space="preserve"> والمتشابهات نحو</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يغفر الذنوب جميعا</w:t>
      </w:r>
      <w:r w:rsidR="0002035C" w:rsidRPr="00A52585">
        <w:rPr>
          <w:rFonts w:hint="cs"/>
          <w:rtl/>
        </w:rPr>
        <w:t>}</w:t>
      </w:r>
      <w:r w:rsidR="00DB731D" w:rsidRPr="00A52585">
        <w:rPr>
          <w:rFonts w:hint="cs"/>
          <w:rtl/>
        </w:rPr>
        <w:t>،</w:t>
      </w:r>
      <w:r w:rsidRPr="00A52585">
        <w:rPr>
          <w:rFonts w:hint="cs"/>
          <w:rtl/>
        </w:rPr>
        <w:t xml:space="preserve"> يرجع فيه إلى قوله جل وعلا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وإني لغفار لمن تاب</w:t>
      </w:r>
      <w:r w:rsidR="0002035C" w:rsidRPr="00A52585">
        <w:rPr>
          <w:rFonts w:hint="cs"/>
          <w:rtl/>
        </w:rPr>
        <w:t>}</w:t>
      </w:r>
      <w:r w:rsidR="00DB731D" w:rsidRPr="00A52585">
        <w:rPr>
          <w:rFonts w:hint="cs"/>
          <w:rtl/>
        </w:rPr>
        <w:t>،</w:t>
      </w:r>
      <w:r w:rsidRPr="00A52585">
        <w:rPr>
          <w:rFonts w:hint="cs"/>
          <w:rtl/>
        </w:rPr>
        <w:t xml:space="preserve"> وإلى قوله عز وجل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لا يغفر أن يشرك به</w:t>
      </w:r>
      <w:r w:rsidR="0002035C" w:rsidRPr="00A52585">
        <w:rPr>
          <w:rFonts w:hint="cs"/>
          <w:rtl/>
        </w:rPr>
        <w:t>}</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ما قاله النحاس يبين ما اختاره ابن عطية وهو الجاري على وضع </w:t>
      </w:r>
      <w:r w:rsidRPr="00A52585">
        <w:rPr>
          <w:rFonts w:hint="cs"/>
          <w:rtl/>
        </w:rPr>
        <w:lastRenderedPageBreak/>
        <w:t>اللسان وذلك أن المحكم أسم مفعول من أحكم والإحكام الإتقان ولا شك في ما كان واضح المعنى لا إشكال فيه ولا تردد إنما يكون كذلك لوضوح مفردات كلماته وإتقان تركيبه ومتى اختل أحد الأمرين جاء التشابه والإشكال والله أعلم</w:t>
      </w:r>
      <w:r w:rsidR="00897A24" w:rsidRPr="00A52585">
        <w:rPr>
          <w:rFonts w:hint="cs"/>
          <w:rtl/>
        </w:rPr>
        <w:t>.</w:t>
      </w:r>
      <w:r w:rsidRPr="00A52585">
        <w:rPr>
          <w:rFonts w:hint="cs"/>
          <w:rtl/>
        </w:rPr>
        <w:t>.</w:t>
      </w:r>
      <w:r w:rsidR="0002035C" w:rsidRPr="00A52585">
        <w:rPr>
          <w:rFonts w:hint="cs"/>
          <w:rtl/>
        </w:rPr>
        <w:t xml:space="preserve"> </w:t>
      </w:r>
      <w:r w:rsidRPr="00A52585">
        <w:rPr>
          <w:rFonts w:hint="cs"/>
          <w:bCs/>
          <w:rtl/>
        </w:rPr>
        <w:t>قوله تعالى</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فأما الذين في قلوبهم زيغ فيتبعون ما تشابه منه</w:t>
      </w:r>
      <w:r w:rsidR="0002035C" w:rsidRPr="00A52585">
        <w:rPr>
          <w:rFonts w:hint="cs"/>
          <w:rtl/>
        </w:rPr>
        <w:t xml:space="preserve">} </w:t>
      </w:r>
      <w:r w:rsidRPr="00A52585">
        <w:rPr>
          <w:rFonts w:hint="cs"/>
          <w:rtl/>
        </w:rPr>
        <w:t>والزيغ الميل ومنه زاغت الشمس وزاغت الشمس الأبصار ويقال زاغ يزيغ إذا ترك القصد منه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فلما زاغوا أزاغ الله قلوبهم</w:t>
      </w:r>
      <w:r w:rsidR="0002035C" w:rsidRPr="00A52585">
        <w:rPr>
          <w:rFonts w:hint="cs"/>
          <w:rtl/>
        </w:rPr>
        <w:t>}</w:t>
      </w:r>
      <w:r w:rsidR="00DB731D" w:rsidRPr="00A52585">
        <w:rPr>
          <w:rFonts w:hint="cs"/>
          <w:rtl/>
        </w:rPr>
        <w:t>،</w:t>
      </w:r>
      <w:r w:rsidRPr="00A52585">
        <w:rPr>
          <w:rFonts w:hint="cs"/>
          <w:rtl/>
        </w:rPr>
        <w:t xml:space="preserve"> وهذه الآية تعم كل طائفة من كافر وزنديق وجاهل وصاحب بدعة وإن كانت الإشارة بها في ذلك الوقت إلى نصارى نجران</w:t>
      </w:r>
      <w:r w:rsidR="00DB731D" w:rsidRPr="00A52585">
        <w:rPr>
          <w:rFonts w:hint="cs"/>
          <w:rtl/>
        </w:rPr>
        <w:t>،</w:t>
      </w:r>
      <w:r w:rsidRPr="00A52585">
        <w:rPr>
          <w:rFonts w:hint="cs"/>
          <w:rtl/>
        </w:rPr>
        <w:t xml:space="preserve"> وقال قتادة في تفسير قوله تعالى</w:t>
      </w:r>
      <w:r w:rsidR="0002035C" w:rsidRPr="00A52585">
        <w:rPr>
          <w:rFonts w:hint="cs"/>
          <w:rtl/>
        </w:rPr>
        <w:t xml:space="preserve"> </w:t>
      </w:r>
      <w:r w:rsidRPr="00A52585">
        <w:rPr>
          <w:rFonts w:hint="cs"/>
          <w:rtl/>
        </w:rPr>
        <w:t>فأما الذين في قلوبهم زيغ</w:t>
      </w:r>
      <w:r w:rsidR="0002035C" w:rsidRPr="00A52585">
        <w:rPr>
          <w:rFonts w:hint="cs"/>
          <w:rtl/>
        </w:rPr>
        <w:t xml:space="preserve"> </w:t>
      </w:r>
      <w:r w:rsidRPr="00A52585">
        <w:rPr>
          <w:rFonts w:hint="cs"/>
          <w:rtl/>
        </w:rPr>
        <w:t>إن لم يكونوا الحرورية وأنواع الخوارج فلا أدرى من هم</w:t>
      </w:r>
      <w:r w:rsidR="00897A24" w:rsidRPr="00A52585">
        <w:rPr>
          <w:rFonts w:hint="cs"/>
          <w:rtl/>
        </w:rPr>
        <w:t>.</w:t>
      </w:r>
      <w:r w:rsidRPr="00A52585">
        <w:rPr>
          <w:rFonts w:hint="cs"/>
          <w:rtl/>
        </w:rPr>
        <w:t>.</w:t>
      </w:r>
      <w:r w:rsidR="0002035C" w:rsidRPr="00A52585">
        <w:rPr>
          <w:rFonts w:hint="cs"/>
          <w:rtl/>
        </w:rPr>
        <w:t xml:space="preserve"> </w:t>
      </w:r>
      <w:r w:rsidRPr="00A52585">
        <w:rPr>
          <w:rFonts w:hint="cs"/>
          <w:bCs/>
          <w:rtl/>
        </w:rPr>
        <w:t>قوله تعالى</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فيتبعون ما تشابه منه ابتغاء الفتنه وابتغاء تأويله</w:t>
      </w:r>
      <w:r w:rsidR="0002035C" w:rsidRPr="00A52585">
        <w:rPr>
          <w:rFonts w:hint="cs"/>
          <w:rtl/>
        </w:rPr>
        <w:t>}</w:t>
      </w:r>
      <w:r w:rsidR="00DB731D" w:rsidRPr="00A52585">
        <w:rPr>
          <w:rFonts w:hint="cs"/>
          <w:rtl/>
        </w:rPr>
        <w:t>،</w:t>
      </w:r>
      <w:r w:rsidRPr="00A52585">
        <w:rPr>
          <w:rFonts w:hint="cs"/>
          <w:rtl/>
        </w:rPr>
        <w:t xml:space="preserve"> قال شيخنا أبو العباس رحمة الله عليه</w:t>
      </w:r>
      <w:r w:rsidR="0002035C" w:rsidRPr="00A52585">
        <w:rPr>
          <w:rFonts w:hint="cs"/>
          <w:rtl/>
        </w:rPr>
        <w:t>:</w:t>
      </w:r>
      <w:r w:rsidRPr="00A52585">
        <w:rPr>
          <w:rFonts w:hint="cs"/>
          <w:rtl/>
        </w:rPr>
        <w:t xml:space="preserve"> متبعو المتشابه لا يخلو أن يتبعوه ويجمعوه طلبا للتشكيك في القرآن وإضلال العوام كما فعلته الزنادقة والقرامطة الطاعنون في القرآن</w:t>
      </w:r>
      <w:r w:rsidR="00DB731D" w:rsidRPr="00A52585">
        <w:rPr>
          <w:rFonts w:hint="cs"/>
          <w:rtl/>
        </w:rPr>
        <w:t>،</w:t>
      </w:r>
      <w:r w:rsidRPr="00A52585">
        <w:rPr>
          <w:rFonts w:hint="cs"/>
          <w:rtl/>
        </w:rPr>
        <w:t xml:space="preserve"> أو صلبا لاعتقاد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w:t>
      </w:r>
      <w:r w:rsidR="00DB731D" w:rsidRPr="00A52585">
        <w:rPr>
          <w:rFonts w:hint="cs"/>
          <w:rtl/>
        </w:rPr>
        <w:t>،</w:t>
      </w:r>
      <w:r w:rsidRPr="00A52585">
        <w:rPr>
          <w:rFonts w:hint="cs"/>
          <w:rtl/>
        </w:rPr>
        <w:t xml:space="preserve"> أو يتبعوه على جهة إبداء تأويلاتها وإيضاح معانيها</w:t>
      </w:r>
      <w:r w:rsidR="00DB731D" w:rsidRPr="00A52585">
        <w:rPr>
          <w:rFonts w:hint="cs"/>
          <w:rtl/>
        </w:rPr>
        <w:t>،</w:t>
      </w:r>
      <w:r w:rsidRPr="00A52585">
        <w:rPr>
          <w:rFonts w:hint="cs"/>
          <w:rtl/>
        </w:rPr>
        <w:t xml:space="preserve"> أو كما فعل </w:t>
      </w:r>
      <w:proofErr w:type="spellStart"/>
      <w:r w:rsidRPr="00A52585">
        <w:rPr>
          <w:rFonts w:hint="cs"/>
          <w:rtl/>
        </w:rPr>
        <w:t>صبيغ</w:t>
      </w:r>
      <w:proofErr w:type="spellEnd"/>
      <w:r w:rsidRPr="00A52585">
        <w:rPr>
          <w:rFonts w:hint="cs"/>
          <w:rtl/>
        </w:rPr>
        <w:t xml:space="preserve"> حين أكثر على عمر فيه السؤال</w:t>
      </w:r>
      <w:r w:rsidR="00DB731D" w:rsidRPr="00A52585">
        <w:rPr>
          <w:rFonts w:hint="cs"/>
          <w:rtl/>
        </w:rPr>
        <w:t>،</w:t>
      </w:r>
      <w:r w:rsidRPr="00A52585">
        <w:rPr>
          <w:rFonts w:hint="cs"/>
          <w:rtl/>
        </w:rPr>
        <w:t xml:space="preserve"> فهذه أربعة اقسام</w:t>
      </w:r>
      <w:r w:rsidR="0002035C" w:rsidRPr="00A52585">
        <w:rPr>
          <w:rFonts w:hint="cs"/>
          <w:rtl/>
        </w:rPr>
        <w:t xml:space="preserve"> </w:t>
      </w:r>
      <w:r w:rsidRPr="00A52585">
        <w:rPr>
          <w:rFonts w:hint="cs"/>
          <w:rtl/>
        </w:rPr>
        <w:t>الأول لا شك في كفرهم وأن حكم الله فيهم القتل من غير استتابة</w:t>
      </w:r>
      <w:r w:rsidR="00DB731D" w:rsidRPr="00A52585">
        <w:rPr>
          <w:rFonts w:hint="cs"/>
          <w:rtl/>
        </w:rPr>
        <w:t>،</w:t>
      </w:r>
      <w:r w:rsidRPr="00A52585">
        <w:rPr>
          <w:rFonts w:hint="cs"/>
          <w:rtl/>
        </w:rPr>
        <w:t xml:space="preserve"> الثاني الصحيح القول بتكفيرهم </w:t>
      </w:r>
      <w:r w:rsidR="0002035C" w:rsidRPr="00A52585">
        <w:rPr>
          <w:rFonts w:hint="cs"/>
          <w:rtl/>
        </w:rPr>
        <w:t>[</w:t>
      </w:r>
      <w:r w:rsidRPr="00A52585">
        <w:rPr>
          <w:rFonts w:hint="cs"/>
          <w:rtl/>
        </w:rPr>
        <w:t>أي المجسمة</w:t>
      </w:r>
      <w:r w:rsidR="0002035C" w:rsidRPr="00A52585">
        <w:rPr>
          <w:rFonts w:hint="cs"/>
          <w:rtl/>
        </w:rPr>
        <w:t>]</w:t>
      </w:r>
      <w:r w:rsidRPr="00A52585">
        <w:rPr>
          <w:rFonts w:hint="cs"/>
          <w:rtl/>
        </w:rPr>
        <w:t xml:space="preserve"> إذ لا فرق بينهم وبين عباد الأصنام والصور ويستتابون فإن تابوا وإلا قتلوا كما يفعل بمن ارتد</w:t>
      </w:r>
      <w:r w:rsidR="00DB731D" w:rsidRPr="00A52585">
        <w:rPr>
          <w:rFonts w:hint="cs"/>
          <w:rtl/>
        </w:rPr>
        <w:t>،</w:t>
      </w:r>
      <w:r w:rsidRPr="00A52585">
        <w:rPr>
          <w:rFonts w:hint="cs"/>
          <w:rtl/>
        </w:rPr>
        <w:t xml:space="preserve"> الثالث اختلفوا في جواز ذلك بناء على الخلاف في جواز تأويلها قد عرف أن مذهب السلف ترك التعرض لتأويلها مع قطعهم باستحالة ظواهرها فيقولون أمروهم كما جاءت وذهب بعضهم إلى إبداء تأويلاتهم وحملها على ما يصح حمله في اللسان عليها من غير قط بتعيين مجمل منها</w:t>
      </w:r>
      <w:r w:rsidR="00DB731D" w:rsidRPr="00A52585">
        <w:rPr>
          <w:rFonts w:hint="cs"/>
          <w:rtl/>
        </w:rPr>
        <w:t>،</w:t>
      </w:r>
      <w:r w:rsidRPr="00A52585">
        <w:rPr>
          <w:rFonts w:hint="cs"/>
          <w:rtl/>
        </w:rPr>
        <w:t xml:space="preserve"> الرابع الحكم فيه الأدب البليغ كما فعله عمر </w:t>
      </w:r>
      <w:proofErr w:type="spellStart"/>
      <w:r w:rsidRPr="00A52585">
        <w:rPr>
          <w:rFonts w:hint="cs"/>
          <w:rtl/>
        </w:rPr>
        <w:t>بصبيغ</w:t>
      </w:r>
      <w:proofErr w:type="spellEnd"/>
      <w:r w:rsidR="00897A24" w:rsidRPr="00A52585">
        <w:rPr>
          <w:rFonts w:hint="cs"/>
          <w:rtl/>
        </w:rPr>
        <w:t>.</w:t>
      </w:r>
      <w:r w:rsidRPr="00A52585">
        <w:rPr>
          <w:rFonts w:hint="cs"/>
          <w:rtl/>
        </w:rPr>
        <w:t xml:space="preserve">. </w:t>
      </w:r>
      <w:r w:rsidRPr="00A52585">
        <w:rPr>
          <w:rFonts w:hint="cs"/>
          <w:bCs/>
          <w:rtl/>
        </w:rPr>
        <w:t>قوله تعالى</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والراسخون في العلم</w:t>
      </w:r>
      <w:r w:rsidR="0002035C" w:rsidRPr="00A52585">
        <w:rPr>
          <w:rFonts w:hint="cs"/>
          <w:rtl/>
        </w:rPr>
        <w:t>}</w:t>
      </w:r>
      <w:r w:rsidR="00DB731D" w:rsidRPr="00A52585">
        <w:rPr>
          <w:rFonts w:hint="cs"/>
          <w:rtl/>
        </w:rPr>
        <w:t>،</w:t>
      </w:r>
      <w:r w:rsidRPr="00A52585">
        <w:rPr>
          <w:rFonts w:hint="cs"/>
          <w:rtl/>
        </w:rPr>
        <w:t xml:space="preserve"> اختلف العلماء في والراسخون في العلم هل هو كلام مقطوع مما قبله أو هو معطوف على ما قبله فتكون الواو للجمع</w:t>
      </w:r>
      <w:r w:rsidR="00DB731D" w:rsidRPr="00A52585">
        <w:rPr>
          <w:rFonts w:hint="cs"/>
          <w:rtl/>
        </w:rPr>
        <w:t>،</w:t>
      </w:r>
      <w:r w:rsidRPr="00A52585">
        <w:rPr>
          <w:rFonts w:hint="cs"/>
          <w:rtl/>
        </w:rPr>
        <w:t xml:space="preserve"> فالذي عليه الأكثر أنه مقطوع مما قبله وأن الكلام تم عند قوله إلا الله هذا قول ابن عمر وابن عباس وعائشة وعروة بن الزبير وعمر بن عبدالعزيز وغيرهم وهو مذهب الكسائي والأخفش والفراء وأبي عبيد وغيرهم قال أبو نهيك الأسدي</w:t>
      </w:r>
      <w:r w:rsidR="0002035C" w:rsidRPr="00A52585">
        <w:rPr>
          <w:rFonts w:hint="cs"/>
          <w:rtl/>
        </w:rPr>
        <w:t xml:space="preserve"> </w:t>
      </w:r>
      <w:r w:rsidRPr="00A52585">
        <w:rPr>
          <w:rFonts w:hint="cs"/>
          <w:rtl/>
        </w:rPr>
        <w:t>إنكم تصلون هذه الآية إنها مقطوعة وما انتهى علم الراسخين إلا إلى قولهم آمنا به كل من عند ربنا وقال مثل هذا عمر بن عبدالعزيز وحكى الطبري نحوه عن يونس عن أشهب عن مالك بن أنس ويقولون على هذا خبر الراسخون</w:t>
      </w:r>
      <w:r w:rsidR="00DB731D" w:rsidRPr="00A52585">
        <w:rPr>
          <w:rFonts w:hint="cs"/>
          <w:rtl/>
        </w:rPr>
        <w:t>،</w:t>
      </w:r>
      <w:r w:rsidRPr="00A52585">
        <w:rPr>
          <w:rFonts w:hint="cs"/>
          <w:rtl/>
        </w:rPr>
        <w:t xml:space="preserve"> قال الخطابي</w:t>
      </w:r>
      <w:r w:rsidR="0002035C" w:rsidRPr="00A52585">
        <w:rPr>
          <w:rFonts w:hint="cs"/>
          <w:rtl/>
        </w:rPr>
        <w:t>:</w:t>
      </w:r>
      <w:r w:rsidRPr="00A52585">
        <w:rPr>
          <w:rFonts w:hint="cs"/>
          <w:rtl/>
        </w:rPr>
        <w:t xml:space="preserve"> وقد جعل الله تعالى آيات كتابه الذي أمرنا بالإيمان به </w:t>
      </w:r>
      <w:r w:rsidRPr="00A52585">
        <w:rPr>
          <w:rFonts w:hint="cs"/>
          <w:rtl/>
        </w:rPr>
        <w:lastRenderedPageBreak/>
        <w:t>والتصديق بما فيه قسمين</w:t>
      </w:r>
      <w:r w:rsidR="0002035C" w:rsidRPr="00A52585">
        <w:rPr>
          <w:rFonts w:hint="cs"/>
          <w:rtl/>
        </w:rPr>
        <w:t xml:space="preserve"> </w:t>
      </w:r>
      <w:r w:rsidRPr="00A52585">
        <w:rPr>
          <w:rFonts w:hint="cs"/>
          <w:rtl/>
        </w:rPr>
        <w:t>محكما ومتشابها فقال عز من قائل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هو الذي أنزل عليك الكتاب منه آيات محكمات هن أم الكتاب وأخر متشابهات</w:t>
      </w:r>
      <w:r w:rsidR="0002035C" w:rsidRPr="00A52585">
        <w:rPr>
          <w:rFonts w:hint="cs"/>
          <w:rtl/>
        </w:rPr>
        <w:t>}</w:t>
      </w:r>
      <w:r w:rsidRPr="00A52585">
        <w:rPr>
          <w:rFonts w:hint="cs"/>
          <w:rtl/>
        </w:rPr>
        <w:t xml:space="preserve"> إلى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من عند ربنا</w:t>
      </w:r>
      <w:r w:rsidR="0002035C" w:rsidRPr="00A52585">
        <w:rPr>
          <w:rFonts w:hint="cs"/>
          <w:rtl/>
        </w:rPr>
        <w:t>}</w:t>
      </w:r>
      <w:r w:rsidR="00DB731D" w:rsidRPr="00A52585">
        <w:rPr>
          <w:rFonts w:hint="cs"/>
          <w:rtl/>
        </w:rPr>
        <w:t>،</w:t>
      </w:r>
      <w:r w:rsidRPr="00A52585">
        <w:rPr>
          <w:rFonts w:hint="cs"/>
          <w:rtl/>
        </w:rPr>
        <w:t xml:space="preserve"> فأعلم أن المتشابه من الكتاب قد استأثر الله بعلمه فلا يعلم تأويله أحد غيره ثم أثنى الله عز وجل على الراسخين في العلم بأنهم يقولون آمنا به ولولا صحة الإيمان منهم لم يستحقوا الثناء عليه مذهب أكثر العلماء أن الوقف التام في هذه الآية إمنا هو عند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 يعلم تأويله إلا الله</w:t>
      </w:r>
      <w:r w:rsidR="0002035C" w:rsidRPr="00A52585">
        <w:rPr>
          <w:rFonts w:hint="cs"/>
          <w:rtl/>
        </w:rPr>
        <w:t>}</w:t>
      </w:r>
      <w:r w:rsidRPr="00A52585">
        <w:rPr>
          <w:rFonts w:hint="cs"/>
          <w:rtl/>
        </w:rPr>
        <w:t xml:space="preserve"> وأن ما بعده استئناف كلام آخر وهو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والراسخون في العلم يقولون آمنا به</w:t>
      </w:r>
      <w:r w:rsidR="0002035C" w:rsidRPr="00A52585">
        <w:rPr>
          <w:rFonts w:hint="cs"/>
          <w:rtl/>
        </w:rPr>
        <w:t>}</w:t>
      </w:r>
      <w:r w:rsidR="00DB731D" w:rsidRPr="00A52585">
        <w:rPr>
          <w:rFonts w:hint="cs"/>
          <w:rtl/>
        </w:rPr>
        <w:t>،</w:t>
      </w:r>
      <w:r w:rsidRPr="00A52585">
        <w:rPr>
          <w:rFonts w:hint="cs"/>
          <w:rtl/>
        </w:rPr>
        <w:t xml:space="preserve"> وروي ذلك عن ابن مسعود وأبي بن كعب وابن عباس وعائشة</w:t>
      </w:r>
      <w:r w:rsidR="00DB731D" w:rsidRPr="00A52585">
        <w:rPr>
          <w:rFonts w:hint="cs"/>
          <w:rtl/>
        </w:rPr>
        <w:t>،</w:t>
      </w:r>
      <w:r w:rsidRPr="00A52585">
        <w:rPr>
          <w:rFonts w:hint="cs"/>
          <w:rtl/>
        </w:rPr>
        <w:t xml:space="preserve"> وإنما روي عن مجاهد أنه نسق الراسخون على ما قبله وزعم أنهم يعلمونه واحتج له بعض أهل اللغة فقال</w:t>
      </w:r>
      <w:r w:rsidR="0002035C" w:rsidRPr="00A52585">
        <w:rPr>
          <w:rFonts w:hint="cs"/>
          <w:rtl/>
        </w:rPr>
        <w:t>:</w:t>
      </w:r>
      <w:r w:rsidRPr="00A52585">
        <w:rPr>
          <w:rFonts w:hint="cs"/>
          <w:rtl/>
        </w:rPr>
        <w:t xml:space="preserve"> معناه والراسخون في العلم يعلمونه قائلين آمنا وزعم أن موضع يقولون نصب على الحال وعامة أهل اللغة ينكرونه ويستبعدونه</w:t>
      </w:r>
      <w:r w:rsidR="00DB731D" w:rsidRPr="00A52585">
        <w:rPr>
          <w:rFonts w:hint="cs"/>
          <w:rtl/>
        </w:rPr>
        <w:t>،</w:t>
      </w:r>
      <w:r w:rsidRPr="00A52585">
        <w:rPr>
          <w:rFonts w:hint="cs"/>
          <w:rtl/>
        </w:rPr>
        <w:t xml:space="preserve"> فكان قوله عامة العلماء مع مساعدة مذاهب النحو بين له أولى من قول مجاهد وحده وأيضا فإنه لا يجوز أن ينفي الله سبحانه شيئا عن الخلق ويثبته لنفسه ثم يكون له في ذلك شريك ألا ترى قوله عز وجل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 لا يعلم من في السموات والأرض الغيب إلا الله</w:t>
      </w:r>
      <w:r w:rsidR="0002035C" w:rsidRPr="00A52585">
        <w:rPr>
          <w:rFonts w:hint="cs"/>
          <w:rtl/>
        </w:rPr>
        <w:t>}</w:t>
      </w:r>
      <w:r w:rsidR="00DB731D"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يجليها لوقتها إلا هو</w:t>
      </w:r>
      <w:r w:rsidR="0002035C" w:rsidRPr="00A52585">
        <w:rPr>
          <w:rFonts w:hint="cs"/>
          <w:rtl/>
        </w:rPr>
        <w:t>}</w:t>
      </w:r>
      <w:r w:rsidR="00DB731D"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شيء هالك إلا وجهه</w:t>
      </w:r>
      <w:r w:rsidR="0002035C" w:rsidRPr="00A52585">
        <w:rPr>
          <w:rFonts w:hint="cs"/>
          <w:rtl/>
        </w:rPr>
        <w:t>}</w:t>
      </w:r>
      <w:r w:rsidRPr="00A52585">
        <w:rPr>
          <w:rFonts w:hint="cs"/>
          <w:rtl/>
        </w:rPr>
        <w:t xml:space="preserve"> فكان هذا كله مما استأثر الله سبحانه بعلمه لا يشركه فيه غيره كذلك قوله تبارك وتعالى</w:t>
      </w:r>
      <w:r w:rsidR="0002035C" w:rsidRPr="00A52585">
        <w:rPr>
          <w:rFonts w:hint="cs"/>
          <w:rtl/>
        </w:rPr>
        <w:t xml:space="preserve"> </w:t>
      </w:r>
      <w:r w:rsidRPr="00A52585">
        <w:rPr>
          <w:rFonts w:hint="cs"/>
          <w:rtl/>
        </w:rPr>
        <w:t>وما يعلم تأويله إلا الله ولو كانت الواو في قوله</w:t>
      </w:r>
      <w:r w:rsidR="0002035C" w:rsidRPr="00A52585">
        <w:rPr>
          <w:rFonts w:hint="cs"/>
          <w:rtl/>
        </w:rPr>
        <w:t xml:space="preserve"> </w:t>
      </w:r>
      <w:r w:rsidRPr="00A52585">
        <w:rPr>
          <w:rFonts w:hint="cs"/>
          <w:rtl/>
        </w:rPr>
        <w:t>الراسخون للنسق لم يكن لقوله كل من عند ربنا فائدة والله أعلم</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ما حكاه الخطابي من أنه لم يقل مجاهد غيره فقد روى عن ابن عباس أن الراسخين معطوف على اسم الله عز وجل وأنهم داخلون في علم المتشابه وإنهم مع علمهم به يقولون آمنا به وقاله الربيع ومحمد بن جعفر بن الزبير والقاسم بن محمد وغيرهم يقولون على هذا التأويل نصب على الحال من </w:t>
      </w:r>
      <w:proofErr w:type="spellStart"/>
      <w:r w:rsidRPr="00A52585">
        <w:rPr>
          <w:rFonts w:hint="cs"/>
          <w:rtl/>
        </w:rPr>
        <w:t>الراسخين</w:t>
      </w:r>
      <w:r w:rsidR="00897A24" w:rsidRPr="00A52585">
        <w:rPr>
          <w:rFonts w:hint="cs"/>
          <w:rtl/>
        </w:rPr>
        <w:t>.</w:t>
      </w:r>
      <w:r w:rsidRPr="00A52585">
        <w:rPr>
          <w:rFonts w:hint="cs"/>
          <w:rtl/>
        </w:rPr>
        <w:t>.وأحتج</w:t>
      </w:r>
      <w:proofErr w:type="spellEnd"/>
      <w:r w:rsidRPr="00A52585">
        <w:rPr>
          <w:rFonts w:hint="cs"/>
          <w:rtl/>
        </w:rPr>
        <w:t xml:space="preserve"> قائلو هذه المقال أيضا بأن الله سبحانه مدحهم بالرسوخ في العلم فكيف يمدحهم وهم جهال</w:t>
      </w:r>
      <w:r w:rsidR="0002035C" w:rsidRPr="00A52585">
        <w:rPr>
          <w:rFonts w:hint="cs"/>
          <w:rtl/>
        </w:rPr>
        <w:t xml:space="preserve"> </w:t>
      </w:r>
      <w:r w:rsidRPr="00A52585">
        <w:rPr>
          <w:rFonts w:hint="cs"/>
          <w:rtl/>
        </w:rPr>
        <w:t>وقد قال ابن عباس</w:t>
      </w:r>
      <w:r w:rsidR="0002035C" w:rsidRPr="00A52585">
        <w:rPr>
          <w:rFonts w:hint="cs"/>
          <w:rtl/>
        </w:rPr>
        <w:t>:</w:t>
      </w:r>
      <w:r w:rsidRPr="00A52585">
        <w:rPr>
          <w:rFonts w:hint="cs"/>
          <w:rtl/>
        </w:rPr>
        <w:t xml:space="preserve"> أنا ممن يعلم تأويله وقرأ مجاهد هذه الآية وقال</w:t>
      </w:r>
      <w:r w:rsidR="0002035C" w:rsidRPr="00A52585">
        <w:rPr>
          <w:rFonts w:hint="cs"/>
          <w:rtl/>
        </w:rPr>
        <w:t>:</w:t>
      </w:r>
      <w:r w:rsidRPr="00A52585">
        <w:rPr>
          <w:rFonts w:hint="cs"/>
          <w:rtl/>
        </w:rPr>
        <w:t xml:space="preserve"> أنا ممن يعلم تأويله حكاه عنه إمام الحرمين أبو المعالي</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وقد رد بعض العلماء هذا القول إلى القول الأول فقال</w:t>
      </w:r>
      <w:r w:rsidR="0002035C" w:rsidRPr="00A52585">
        <w:rPr>
          <w:rFonts w:hint="cs"/>
          <w:rtl/>
        </w:rPr>
        <w:t xml:space="preserve"> </w:t>
      </w:r>
      <w:r w:rsidRPr="00A52585">
        <w:rPr>
          <w:rFonts w:hint="cs"/>
          <w:rtl/>
        </w:rPr>
        <w:t>وتقدير تمام الكلام عند الله أن معناه وما يعلم تأويله إلا الله يعني تأويل المتشابهات والراسخون في العلم يعلمون بعضه قائلين آمنا به كل من عند ربنا بما نصب من الدلائل في المحكم ومكن من رده إليه فإذا علموا تأويل بعضه ولم يعلموا البعض قالوا آمنا بالجميع كل من عند ربنا وما لم يحط به علمنا من الخفايا مما شرعه الصالح فعلمه عند ربنا</w:t>
      </w:r>
      <w:r w:rsidR="00DB731D" w:rsidRPr="00A52585">
        <w:rPr>
          <w:rFonts w:hint="cs"/>
          <w:rtl/>
        </w:rPr>
        <w:t>،</w:t>
      </w:r>
      <w:r w:rsidRPr="00A52585">
        <w:rPr>
          <w:rFonts w:hint="cs"/>
          <w:rtl/>
        </w:rPr>
        <w:t xml:space="preserve"> ورجح أبن فورك أن الراسخين يعلمون التأويل وأطنب في ذلك وفى قوله عليه السلام لابن عباس</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اللهم فقهه في الدين وعلمه التأويل</w:t>
      </w:r>
      <w:r w:rsidR="0002035C" w:rsidRPr="00A52585">
        <w:rPr>
          <w:rFonts w:hint="cs"/>
          <w:rtl/>
        </w:rPr>
        <w:t>)</w:t>
      </w:r>
      <w:r w:rsidRPr="00A52585">
        <w:rPr>
          <w:rFonts w:hint="cs"/>
          <w:rtl/>
        </w:rPr>
        <w:t xml:space="preserve">) ما يبين لك ذلك أي علمه معانى كتابك والوقف </w:t>
      </w:r>
      <w:r w:rsidRPr="00A52585">
        <w:rPr>
          <w:rFonts w:hint="cs"/>
          <w:rtl/>
        </w:rPr>
        <w:lastRenderedPageBreak/>
        <w:t>على هذا يكون عند قوله والراسخون في العلم</w:t>
      </w:r>
      <w:r w:rsidR="00DB731D" w:rsidRPr="00A52585">
        <w:rPr>
          <w:rFonts w:hint="cs"/>
          <w:rtl/>
        </w:rPr>
        <w:t>،</w:t>
      </w:r>
      <w:r w:rsidRPr="00A52585">
        <w:rPr>
          <w:rFonts w:hint="cs"/>
          <w:rtl/>
        </w:rPr>
        <w:t xml:space="preserve"> قال شيخنا أبو العباس أحمد بن عمر</w:t>
      </w:r>
      <w:r w:rsidR="0002035C" w:rsidRPr="00A52585">
        <w:rPr>
          <w:rFonts w:hint="cs"/>
          <w:rtl/>
        </w:rPr>
        <w:t xml:space="preserve"> </w:t>
      </w:r>
      <w:r w:rsidRPr="00A52585">
        <w:rPr>
          <w:rFonts w:hint="cs"/>
          <w:rtl/>
        </w:rPr>
        <w:t>وهو الصحيح فإن تسميتهم راسخين يقضى أنهم يعلمون أكثر من المحكم الذي يستوى في علمه جميع من يفهم كلام العرب وفي أي شيء هو رسوخهم إذا لم يعلموا إلا ما يعلم الجميع</w:t>
      </w:r>
      <w:r w:rsidR="0002035C" w:rsidRPr="00A52585">
        <w:rPr>
          <w:rFonts w:hint="cs"/>
          <w:rtl/>
        </w:rPr>
        <w:t xml:space="preserve"> </w:t>
      </w:r>
      <w:r w:rsidRPr="00A52585">
        <w:rPr>
          <w:rFonts w:hint="cs"/>
          <w:rtl/>
        </w:rPr>
        <w:t>لكن المتشابه يتنوع فمنه ما لا يعلم البتة كأمر الروح والساعة مما استأثر الله بغيبه وهذا لا يتعاطى علمه أحد لا ابن عباس ولا غيره فمن قال من العلماء الحداق بأن الراسخين لا يعلمون علم المتشابه فإنما أراد هذا النوع وأما ما يمكن حمله على وجوه في اللغة ومناح في كلام العرب فيتأول ويعلم تأويله المستقيم ويزال ما فيه مما عسى أن يتعلق من تأويل غير مستقيم كقوله في عيسى</w:t>
      </w:r>
      <w:r w:rsidR="0002035C" w:rsidRPr="00A52585">
        <w:rPr>
          <w:rFonts w:hint="cs"/>
          <w:rtl/>
        </w:rPr>
        <w:t xml:space="preserve"> </w:t>
      </w:r>
      <w:r w:rsidRPr="00A52585">
        <w:rPr>
          <w:rFonts w:hint="cs"/>
          <w:rtl/>
        </w:rPr>
        <w:t>وروح منه إلى غير ذلك فلا يسمى أحد راسخا إلا بأن يعلم من هذا النوع كثيرا بحسب ما قدر له وأما من يقول</w:t>
      </w:r>
      <w:r w:rsidR="0002035C" w:rsidRPr="00A52585">
        <w:rPr>
          <w:rFonts w:hint="cs"/>
          <w:rtl/>
        </w:rPr>
        <w:t xml:space="preserve"> </w:t>
      </w:r>
      <w:r w:rsidRPr="00A52585">
        <w:rPr>
          <w:rFonts w:hint="cs"/>
          <w:rtl/>
        </w:rPr>
        <w:t>إن المتشابه هو المنسوخ فيستقيم على قوله إدخال الراسخين في علم التأويل لكن تخصيصه المتشابهات بهذا النوع غير صحيح</w:t>
      </w:r>
      <w:r w:rsidR="00897A24" w:rsidRPr="00A52585">
        <w:rPr>
          <w:rFonts w:hint="cs"/>
          <w:rtl/>
        </w:rPr>
        <w:t>.</w:t>
      </w:r>
      <w:r w:rsidRPr="00A52585">
        <w:rPr>
          <w:rFonts w:hint="cs"/>
          <w:rtl/>
        </w:rPr>
        <w:t>. فإن قيل</w:t>
      </w:r>
      <w:r w:rsidR="0002035C" w:rsidRPr="00A52585">
        <w:rPr>
          <w:rFonts w:hint="cs"/>
          <w:rtl/>
        </w:rPr>
        <w:t xml:space="preserve"> </w:t>
      </w:r>
      <w:r w:rsidRPr="00A52585">
        <w:rPr>
          <w:rFonts w:hint="cs"/>
          <w:rtl/>
        </w:rPr>
        <w:t>كيف كان في القرآن متشابه والله يقول</w:t>
      </w:r>
      <w:r w:rsidR="0002035C" w:rsidRPr="00A52585">
        <w:rPr>
          <w:rFonts w:hint="cs"/>
          <w:rtl/>
        </w:rPr>
        <w:t>:</w:t>
      </w:r>
      <w:r w:rsidRPr="00A52585">
        <w:rPr>
          <w:rFonts w:hint="cs"/>
          <w:rtl/>
        </w:rPr>
        <w:t xml:space="preserve"> {وأنزلنا إليك الذكر لتبين للناس ما نزل إليهم</w:t>
      </w:r>
      <w:r w:rsidR="0002035C" w:rsidRPr="00A52585">
        <w:rPr>
          <w:rFonts w:hint="cs"/>
          <w:rtl/>
        </w:rPr>
        <w:t>}</w:t>
      </w:r>
      <w:r w:rsidRPr="00A52585">
        <w:rPr>
          <w:rFonts w:hint="cs"/>
          <w:rtl/>
        </w:rPr>
        <w:t xml:space="preserve"> فكيف لم يجعله كله واضحا قيل له</w:t>
      </w:r>
      <w:r w:rsidR="0002035C" w:rsidRPr="00A52585">
        <w:rPr>
          <w:rFonts w:hint="cs"/>
          <w:rtl/>
        </w:rPr>
        <w:t xml:space="preserve"> </w:t>
      </w:r>
      <w:r w:rsidRPr="00A52585">
        <w:rPr>
          <w:rFonts w:hint="cs"/>
          <w:rtl/>
        </w:rPr>
        <w:t xml:space="preserve">الحكمة في ذلك والله أعلم أن يظهر فضل العلماء لأنه لو كان كله واضحا لم يظهر فضل بعضهم على البعض وهكذا يفعل من يصنف تصنيفا يجعل بعضه واضحا وبعضه مشكلا ويترك للجثوة موضعا لأن ما هان وجوده قل </w:t>
      </w:r>
      <w:proofErr w:type="spellStart"/>
      <w:r w:rsidRPr="00A52585">
        <w:rPr>
          <w:rFonts w:hint="cs"/>
          <w:rtl/>
        </w:rPr>
        <w:t>بهاؤه</w:t>
      </w:r>
      <w:proofErr w:type="spellEnd"/>
      <w:r w:rsidRPr="00A52585">
        <w:rPr>
          <w:rFonts w:hint="cs"/>
          <w:rtl/>
        </w:rPr>
        <w:t xml:space="preserve"> والله أعلم " </w:t>
      </w:r>
      <w:r w:rsidRPr="00A52585">
        <w:rPr>
          <w:rFonts w:hint="cs"/>
          <w:rtl/>
          <w:lang w:bidi="ar-KW"/>
        </w:rPr>
        <w:t>[</w:t>
      </w:r>
      <w:r w:rsidRPr="00A52585">
        <w:rPr>
          <w:rFonts w:hint="cs"/>
          <w:rtl/>
        </w:rPr>
        <w:t>تفسير القرطبي ج: 4 ص: 9-19</w:t>
      </w:r>
      <w:r w:rsidRPr="00A52585">
        <w:rPr>
          <w:rFonts w:hint="cs"/>
          <w:rtl/>
          <w:lang w:bidi="ar-KW"/>
        </w:rPr>
        <w:t>]</w:t>
      </w:r>
      <w:r w:rsidRPr="00A52585">
        <w:rPr>
          <w:rFonts w:hint="cs"/>
          <w:rtl/>
        </w:rPr>
        <w:t xml:space="preserve"> أهـ</w:t>
      </w:r>
    </w:p>
    <w:p w14:paraId="38CAA377" w14:textId="15039526" w:rsidR="00777DCB" w:rsidRPr="00A52585" w:rsidRDefault="00777DCB" w:rsidP="0002035C">
      <w:pPr>
        <w:spacing w:after="240"/>
        <w:rPr>
          <w:b/>
          <w:rtl/>
        </w:rPr>
      </w:pPr>
      <w:r w:rsidRPr="00A52585">
        <w:rPr>
          <w:rFonts w:hint="cs"/>
          <w:bCs/>
          <w:rtl/>
        </w:rPr>
        <w:t>وقال ابن كثير في تفسيره</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فيتبعون ما تشابه منه}</w:t>
      </w:r>
      <w:r w:rsidR="0002035C" w:rsidRPr="00A52585">
        <w:rPr>
          <w:rFonts w:hint="cs"/>
          <w:rtl/>
        </w:rPr>
        <w:t xml:space="preserve">: </w:t>
      </w:r>
      <w:r w:rsidRPr="00A52585">
        <w:rPr>
          <w:rFonts w:hint="cs"/>
          <w:rtl/>
        </w:rPr>
        <w:t>أي إنما يأخذون منه بالمتشابه الذي يمكنهم أن يحرفوه إلى مقاصدهم الفاسدة وينزلوه عليها لاحتمال لفظه لما يصرفونه فأما المحكم فلا نصيب لهم فيه لأنه دافع لهم وحجة عليهم ولهذا 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ابتغاء الفتنة</w:t>
      </w:r>
      <w:r w:rsidR="0002035C" w:rsidRPr="00A52585">
        <w:rPr>
          <w:rFonts w:hint="cs"/>
          <w:rtl/>
        </w:rPr>
        <w:t>}</w:t>
      </w:r>
      <w:r w:rsidRPr="00A52585">
        <w:rPr>
          <w:rFonts w:hint="cs"/>
          <w:rtl/>
        </w:rPr>
        <w:t xml:space="preserve"> أي الإضلال لأتباعهم إيهاما لهم أنهم يحتجون على بدعتهم بالقرآن وهو حجة عليهم لا لهم كما لو أحتج النصارى بأن القرآن قد نطق بأن عيسى روح الله وكلمته ألقاها إلى مريم وتركوا الاحتجاج بقوله</w:t>
      </w:r>
      <w:r w:rsidR="0002035C" w:rsidRPr="00A52585">
        <w:rPr>
          <w:rFonts w:hint="cs"/>
          <w:rtl/>
        </w:rPr>
        <w:t>:</w:t>
      </w:r>
      <w:r w:rsidRPr="00A52585">
        <w:rPr>
          <w:rFonts w:hint="cs"/>
          <w:rtl/>
        </w:rPr>
        <w:t xml:space="preserve"> {إن هو إلا عبد أنعمنا عليه</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وبقوله</w:t>
      </w:r>
      <w:r w:rsidR="0002035C" w:rsidRPr="00A52585">
        <w:rPr>
          <w:rFonts w:hint="cs"/>
          <w:rtl/>
        </w:rPr>
        <w:t>:</w:t>
      </w:r>
      <w:r w:rsidRPr="00A52585">
        <w:rPr>
          <w:rFonts w:hint="cs"/>
          <w:rtl/>
        </w:rPr>
        <w:t xml:space="preserve"> {إن مثل عيسى عند الله كمثل آدم خلقه من تراب ثم قال له كن فيكون}</w:t>
      </w:r>
      <w:r w:rsidR="00DB731D" w:rsidRPr="00A52585">
        <w:rPr>
          <w:rFonts w:hint="cs"/>
          <w:rtl/>
        </w:rPr>
        <w:t>،</w:t>
      </w:r>
      <w:r w:rsidRPr="00A52585">
        <w:rPr>
          <w:rFonts w:hint="cs"/>
          <w:rtl/>
        </w:rPr>
        <w:t xml:space="preserve"> وغير ذلك من الآيات المحكمة المصرحة بأنه خلق من مخلوقات الله وعبد ورسول من رسل الله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وابتغاء تأويله</w:t>
      </w:r>
      <w:r w:rsidR="0002035C" w:rsidRPr="00A52585">
        <w:rPr>
          <w:rFonts w:hint="cs"/>
          <w:rtl/>
        </w:rPr>
        <w:t>}</w:t>
      </w:r>
      <w:r w:rsidRPr="00A52585">
        <w:rPr>
          <w:rFonts w:hint="cs"/>
          <w:rtl/>
        </w:rPr>
        <w:t xml:space="preserve"> أي تحريفه على ما يريدون</w:t>
      </w:r>
      <w:r w:rsidR="00897A24" w:rsidRPr="00A52585">
        <w:rPr>
          <w:rFonts w:hint="cs"/>
          <w:rtl/>
        </w:rPr>
        <w:t>.</w:t>
      </w:r>
      <w:r w:rsidRPr="00A52585">
        <w:rPr>
          <w:rFonts w:hint="cs"/>
          <w:rtl/>
        </w:rPr>
        <w:t>. وقد قال الإمام أحمد</w:t>
      </w:r>
      <w:r w:rsidR="0002035C" w:rsidRPr="00A52585">
        <w:rPr>
          <w:rFonts w:hint="cs"/>
          <w:rtl/>
        </w:rPr>
        <w:t>:</w:t>
      </w:r>
      <w:r w:rsidRPr="00A52585">
        <w:rPr>
          <w:rFonts w:hint="cs"/>
          <w:rtl/>
        </w:rPr>
        <w:t xml:space="preserve"> حدثنا إسماعيل حدثنا أيوب عن عبد الله بن أبي مليكة عن عائشة رضي الله عنها قالت قرأ رسول الله صلى الله عليه وسلم هو الذي أنزل عليك الكتاب منه آيات محكمات هن أم الكتاب وأخر متشابهات إلى قوله أولوا الألباب فقال ((فإذا رأيتم الذين يجادلون فيه فهم الذين عنى الله فاحذروهم</w:t>
      </w:r>
      <w:r w:rsidR="0002035C" w:rsidRPr="00A52585">
        <w:rPr>
          <w:rFonts w:hint="cs"/>
          <w:rtl/>
        </w:rPr>
        <w:t>)</w:t>
      </w:r>
      <w:r w:rsidRPr="00A52585">
        <w:rPr>
          <w:rFonts w:hint="cs"/>
          <w:rtl/>
        </w:rPr>
        <w:t>)</w:t>
      </w:r>
      <w:r w:rsidR="00897A24" w:rsidRPr="00A52585">
        <w:rPr>
          <w:rFonts w:hint="cs"/>
          <w:rtl/>
        </w:rPr>
        <w:t>.</w:t>
      </w:r>
      <w:r w:rsidRPr="00A52585">
        <w:rPr>
          <w:rFonts w:hint="cs"/>
          <w:rtl/>
        </w:rPr>
        <w:t>.وقد روى هذا الحديث البخاري عند تفسيره هذه الآية</w:t>
      </w:r>
      <w:r w:rsidR="0002035C" w:rsidRPr="00A52585">
        <w:rPr>
          <w:rFonts w:hint="cs"/>
          <w:rtl/>
        </w:rPr>
        <w:t xml:space="preserve"> </w:t>
      </w:r>
      <w:r w:rsidRPr="00A52585">
        <w:rPr>
          <w:rFonts w:hint="cs"/>
          <w:rtl/>
        </w:rPr>
        <w:t>ومسلم في كتاب القدر من صحيحه</w:t>
      </w:r>
      <w:r w:rsidR="0002035C" w:rsidRPr="00A52585">
        <w:rPr>
          <w:rFonts w:hint="cs"/>
          <w:rtl/>
        </w:rPr>
        <w:t xml:space="preserve"> </w:t>
      </w:r>
      <w:r w:rsidRPr="00A52585">
        <w:rPr>
          <w:rFonts w:hint="cs"/>
          <w:rtl/>
        </w:rPr>
        <w:t>وأبو داود في السنة من سننه</w:t>
      </w:r>
      <w:r w:rsidR="0002035C" w:rsidRPr="00A52585">
        <w:rPr>
          <w:rFonts w:hint="cs"/>
          <w:rtl/>
        </w:rPr>
        <w:t xml:space="preserve"> </w:t>
      </w:r>
      <w:r w:rsidRPr="00A52585">
        <w:rPr>
          <w:rFonts w:hint="cs"/>
          <w:rtl/>
        </w:rPr>
        <w:t xml:space="preserve">ثلاثتهم عن </w:t>
      </w:r>
      <w:proofErr w:type="spellStart"/>
      <w:r w:rsidRPr="00A52585">
        <w:rPr>
          <w:rFonts w:hint="cs"/>
          <w:rtl/>
        </w:rPr>
        <w:t>القعنبي</w:t>
      </w:r>
      <w:proofErr w:type="spellEnd"/>
      <w:r w:rsidRPr="00A52585">
        <w:rPr>
          <w:rFonts w:hint="cs"/>
          <w:rtl/>
        </w:rPr>
        <w:t xml:space="preserve"> عن يزيد بن </w:t>
      </w:r>
      <w:r w:rsidRPr="00A52585">
        <w:rPr>
          <w:rFonts w:hint="cs"/>
          <w:rtl/>
        </w:rPr>
        <w:lastRenderedPageBreak/>
        <w:t>إبراهيم التستري عن ابن أبي مليكة عن القاسم بن محمد عن عائشة رضي الله عنها قالت تلا رسول الله صلى الله عليه وسلم هذه الآية هو الذي أنزل عليك الكتاب منه آيات محكمات إلى قوله وما يذكر إلا أولوا الألباب قالت قال رسول الله صلى الله عليه وسلم (</w:t>
      </w:r>
      <w:r w:rsidR="0002035C" w:rsidRPr="00A52585">
        <w:rPr>
          <w:rFonts w:hint="cs"/>
          <w:rtl/>
        </w:rPr>
        <w:t>(</w:t>
      </w:r>
      <w:r w:rsidRPr="00A52585">
        <w:rPr>
          <w:rFonts w:hint="cs"/>
          <w:rtl/>
        </w:rPr>
        <w:t>فإذا رأيتم الدين يتبعون ما تشابه منه فأولئك الذين سمى فاحذروهم</w:t>
      </w:r>
      <w:r w:rsidR="0002035C" w:rsidRPr="00A52585">
        <w:rPr>
          <w:rFonts w:hint="cs"/>
          <w:rtl/>
        </w:rPr>
        <w:t>)</w:t>
      </w:r>
      <w:r w:rsidRPr="00A52585">
        <w:rPr>
          <w:rFonts w:hint="cs"/>
          <w:rtl/>
        </w:rPr>
        <w:t>) لفظ البخاري وكذا رواه الترمذي</w:t>
      </w:r>
      <w:r w:rsidR="0002035C" w:rsidRPr="00A52585">
        <w:rPr>
          <w:rFonts w:hint="cs"/>
          <w:rtl/>
        </w:rPr>
        <w:t xml:space="preserve"> </w:t>
      </w:r>
      <w:r w:rsidRPr="00A52585">
        <w:rPr>
          <w:rFonts w:hint="cs"/>
          <w:rtl/>
        </w:rPr>
        <w:t>أيضا عن بندار عن أبي داود الطيالسي عن يزيد بن إبراهيم التستري به وقال حسن صحيح</w:t>
      </w:r>
      <w:r w:rsidR="00897A24" w:rsidRPr="00A52585">
        <w:rPr>
          <w:rFonts w:hint="cs"/>
          <w:rtl/>
        </w:rPr>
        <w:t>.</w:t>
      </w:r>
      <w:r w:rsidRPr="00A52585">
        <w:rPr>
          <w:rFonts w:hint="cs"/>
          <w:rtl/>
        </w:rPr>
        <w:t xml:space="preserve">. وقال الإمام أحمد حدثنا أبو كامل حدثنا حماد عن أبي غالب قال سمعت أبا </w:t>
      </w:r>
      <w:proofErr w:type="spellStart"/>
      <w:r w:rsidRPr="00A52585">
        <w:rPr>
          <w:rFonts w:hint="cs"/>
          <w:rtl/>
        </w:rPr>
        <w:t>أمامة</w:t>
      </w:r>
      <w:proofErr w:type="spellEnd"/>
      <w:r w:rsidRPr="00A52585">
        <w:rPr>
          <w:rFonts w:hint="cs"/>
          <w:rtl/>
        </w:rPr>
        <w:t xml:space="preserve"> يحدث عن النبي صلى الله عليه وسلم في قوله تعالى </w:t>
      </w:r>
      <w:r w:rsidR="0002035C" w:rsidRPr="00A52585">
        <w:rPr>
          <w:rFonts w:hint="cs"/>
          <w:rtl/>
        </w:rPr>
        <w:t>{</w:t>
      </w:r>
      <w:r w:rsidRPr="00A52585">
        <w:rPr>
          <w:rFonts w:hint="cs"/>
          <w:rtl/>
        </w:rPr>
        <w:t>فأما الذين في قلوبهم زيغ فيتبعون ما تشابه منه</w:t>
      </w:r>
      <w:r w:rsidR="0002035C" w:rsidRPr="00A52585">
        <w:rPr>
          <w:rFonts w:hint="cs"/>
          <w:rtl/>
        </w:rPr>
        <w:t xml:space="preserve">} </w:t>
      </w:r>
      <w:r w:rsidRPr="00A52585">
        <w:rPr>
          <w:rFonts w:hint="cs"/>
          <w:rtl/>
        </w:rPr>
        <w:t>قال</w:t>
      </w:r>
      <w:r w:rsidR="0002035C" w:rsidRPr="00A52585">
        <w:rPr>
          <w:rFonts w:hint="cs"/>
          <w:rtl/>
        </w:rPr>
        <w:t>:</w:t>
      </w:r>
      <w:r w:rsidRPr="00A52585">
        <w:rPr>
          <w:rFonts w:hint="cs"/>
          <w:rtl/>
        </w:rPr>
        <w:t xml:space="preserve"> هم الخوارج وفي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يوم تبيض وجوه وتسود وجوه</w:t>
      </w:r>
      <w:r w:rsidR="0002035C"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هم الخوارج وقد رواه ابن </w:t>
      </w:r>
      <w:proofErr w:type="spellStart"/>
      <w:r w:rsidRPr="00A52585">
        <w:rPr>
          <w:rFonts w:hint="cs"/>
          <w:rtl/>
        </w:rPr>
        <w:t>مردويه</w:t>
      </w:r>
      <w:proofErr w:type="spellEnd"/>
      <w:r w:rsidRPr="00A52585">
        <w:rPr>
          <w:rFonts w:hint="cs"/>
          <w:rtl/>
        </w:rPr>
        <w:t xml:space="preserve"> من غير وجه عن أبي غالب عن أبي </w:t>
      </w:r>
      <w:proofErr w:type="spellStart"/>
      <w:r w:rsidRPr="00A52585">
        <w:rPr>
          <w:rFonts w:hint="cs"/>
          <w:rtl/>
        </w:rPr>
        <w:t>أمامة</w:t>
      </w:r>
      <w:proofErr w:type="spellEnd"/>
      <w:r w:rsidRPr="00A52585">
        <w:rPr>
          <w:rFonts w:hint="cs"/>
          <w:rtl/>
        </w:rPr>
        <w:t xml:space="preserve"> فذكره وهذا الحديث أقل اقسامه أن يكون موقوفا من كلام الصحابي ومعناه صحيح فإن أول بدعة وقعت في الإسلام فتنة الخوارج وكان مبدؤهم بسبب الدنيا حين قسم النبي صلى الله عليه وسلم غنائم حنين فكأنهم رأوا في عقولهم الفاسدة أنه لم يعدل في القسمة ففاجئوه بهذه المقالة فقال قائلهم وهو ذو الخويصرة بقر الله خاصرته </w:t>
      </w:r>
      <w:proofErr w:type="spellStart"/>
      <w:r w:rsidRPr="00A52585">
        <w:rPr>
          <w:rFonts w:hint="cs"/>
          <w:rtl/>
        </w:rPr>
        <w:t>إعدل</w:t>
      </w:r>
      <w:proofErr w:type="spellEnd"/>
      <w:r w:rsidRPr="00A52585">
        <w:rPr>
          <w:rFonts w:hint="cs"/>
          <w:rtl/>
        </w:rPr>
        <w:t xml:space="preserve"> فإنك لم تعدل فقال رسول الله صلى الله عليه وسلم لقد خبت وخسرت إن لم أكن أعدل أيأمنني على أهل الأرض ولا تأمنوني فلما قفا الرجل استأذن عمر بن الخطاب وفي رواية خالد بن الوليد في قتله فقال </w:t>
      </w:r>
      <w:r w:rsidR="0002035C" w:rsidRPr="00A52585">
        <w:rPr>
          <w:rFonts w:hint="cs"/>
          <w:rtl/>
        </w:rPr>
        <w:t>(</w:t>
      </w:r>
      <w:r w:rsidRPr="00A52585">
        <w:rPr>
          <w:rFonts w:hint="cs"/>
          <w:rtl/>
        </w:rPr>
        <w:t xml:space="preserve">دعه فإنه يخرج من </w:t>
      </w:r>
      <w:proofErr w:type="spellStart"/>
      <w:r w:rsidRPr="00A52585">
        <w:rPr>
          <w:rFonts w:hint="cs"/>
          <w:rtl/>
        </w:rPr>
        <w:t>ضئضئ</w:t>
      </w:r>
      <w:proofErr w:type="spellEnd"/>
      <w:r w:rsidRPr="00A52585">
        <w:rPr>
          <w:rFonts w:hint="cs"/>
          <w:rtl/>
        </w:rPr>
        <w:t xml:space="preserve"> هذا أي من جنسه قوم يحقر أحدكم صلاته مع صلاتهم وقراءته مع قراءتهم يمرقون من الدين كما يمرق السهم من الرمية فأينما لقيتموهم فاقتلوهم فإن في قتلهم أجرا لمن قتلهم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الحديث أخرجه البخاري ح 3610 و مسلم ح 1064]</w:t>
      </w:r>
      <w:r w:rsidR="00897A24" w:rsidRPr="00A52585">
        <w:rPr>
          <w:rFonts w:hint="cs"/>
          <w:rtl/>
        </w:rPr>
        <w:t>.</w:t>
      </w:r>
      <w:r w:rsidRPr="00A52585">
        <w:rPr>
          <w:rFonts w:hint="cs"/>
          <w:rtl/>
        </w:rPr>
        <w:t>.</w:t>
      </w:r>
      <w:r w:rsidR="0002035C" w:rsidRPr="00A52585">
        <w:rPr>
          <w:rFonts w:hint="cs"/>
          <w:rtl/>
        </w:rPr>
        <w:t xml:space="preserve"> </w:t>
      </w:r>
      <w:r w:rsidRPr="00A52585">
        <w:rPr>
          <w:rFonts w:hint="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 يعلم تأويله إلا الله</w:t>
      </w:r>
      <w:r w:rsidR="0002035C" w:rsidRPr="00A52585">
        <w:rPr>
          <w:rFonts w:hint="cs"/>
          <w:rtl/>
        </w:rPr>
        <w:t>}</w:t>
      </w:r>
      <w:r w:rsidR="00DB731D" w:rsidRPr="00A52585">
        <w:rPr>
          <w:rFonts w:hint="cs"/>
          <w:rtl/>
        </w:rPr>
        <w:t>،</w:t>
      </w:r>
      <w:r w:rsidRPr="00A52585">
        <w:rPr>
          <w:rFonts w:hint="cs"/>
          <w:rtl/>
        </w:rPr>
        <w:t xml:space="preserve"> اختلف القراء في الوقف هاهنا فقيل على الجلالة كما تقدم عن ابن عباس رضي الله عنه أنه قال التفسير على أربعة أنحاء</w:t>
      </w:r>
      <w:r w:rsidR="0002035C" w:rsidRPr="00A52585">
        <w:rPr>
          <w:rFonts w:hint="cs"/>
          <w:rtl/>
        </w:rPr>
        <w:t>:</w:t>
      </w:r>
      <w:r w:rsidRPr="00A52585">
        <w:rPr>
          <w:rFonts w:hint="cs"/>
          <w:rtl/>
        </w:rPr>
        <w:t xml:space="preserve"> فتفسير لا يعذر أحد في فهمه</w:t>
      </w:r>
      <w:r w:rsidR="00DB731D" w:rsidRPr="00A52585">
        <w:rPr>
          <w:rFonts w:hint="cs"/>
          <w:rtl/>
        </w:rPr>
        <w:t>،</w:t>
      </w:r>
      <w:r w:rsidRPr="00A52585">
        <w:rPr>
          <w:rFonts w:hint="cs"/>
          <w:rtl/>
        </w:rPr>
        <w:t xml:space="preserve"> وتفسير تعرفه العرب من لغاتها</w:t>
      </w:r>
      <w:r w:rsidR="00DB731D" w:rsidRPr="00A52585">
        <w:rPr>
          <w:rFonts w:hint="cs"/>
          <w:rtl/>
        </w:rPr>
        <w:t>،</w:t>
      </w:r>
      <w:r w:rsidRPr="00A52585">
        <w:rPr>
          <w:rFonts w:hint="cs"/>
          <w:rtl/>
        </w:rPr>
        <w:t xml:space="preserve"> وتفسير يعلمه الراسخون في العلم</w:t>
      </w:r>
      <w:r w:rsidR="00DB731D" w:rsidRPr="00A52585">
        <w:rPr>
          <w:rFonts w:hint="cs"/>
          <w:rtl/>
        </w:rPr>
        <w:t>،</w:t>
      </w:r>
      <w:r w:rsidRPr="00A52585">
        <w:rPr>
          <w:rFonts w:hint="cs"/>
          <w:rtl/>
        </w:rPr>
        <w:t xml:space="preserve"> وتفسير لا يعلمه إلا الله ويروى هذا القول عن عائشة وعروة وأبي </w:t>
      </w:r>
      <w:proofErr w:type="spellStart"/>
      <w:r w:rsidRPr="00A52585">
        <w:rPr>
          <w:rFonts w:hint="cs"/>
          <w:rtl/>
        </w:rPr>
        <w:t>الشعشاء</w:t>
      </w:r>
      <w:proofErr w:type="spellEnd"/>
      <w:r w:rsidRPr="00A52585">
        <w:rPr>
          <w:rFonts w:hint="cs"/>
          <w:rtl/>
        </w:rPr>
        <w:t xml:space="preserve"> وأبي نهيك </w:t>
      </w:r>
      <w:proofErr w:type="spellStart"/>
      <w:r w:rsidRPr="00A52585">
        <w:rPr>
          <w:rFonts w:hint="cs"/>
          <w:rtl/>
        </w:rPr>
        <w:t>وغيرهم</w:t>
      </w:r>
      <w:r w:rsidR="00897A24" w:rsidRPr="00A52585">
        <w:rPr>
          <w:rFonts w:hint="cs"/>
          <w:rtl/>
        </w:rPr>
        <w:t>.</w:t>
      </w:r>
      <w:r w:rsidRPr="00A52585">
        <w:rPr>
          <w:rFonts w:hint="cs"/>
          <w:rtl/>
        </w:rPr>
        <w:t>.وقال</w:t>
      </w:r>
      <w:proofErr w:type="spellEnd"/>
      <w:r w:rsidRPr="00A52585">
        <w:rPr>
          <w:rFonts w:hint="cs"/>
          <w:rtl/>
        </w:rPr>
        <w:t xml:space="preserve"> عبد الرزاق أنبأنا معمر عن ابن </w:t>
      </w:r>
      <w:proofErr w:type="spellStart"/>
      <w:r w:rsidRPr="00A52585">
        <w:rPr>
          <w:rFonts w:hint="cs"/>
          <w:rtl/>
        </w:rPr>
        <w:t>طاوس</w:t>
      </w:r>
      <w:proofErr w:type="spellEnd"/>
      <w:r w:rsidRPr="00A52585">
        <w:rPr>
          <w:rFonts w:hint="cs"/>
          <w:rtl/>
        </w:rPr>
        <w:t xml:space="preserve"> عن أبيه قال كان ابن عباس يقرأ</w:t>
      </w:r>
      <w:r w:rsidR="0002035C" w:rsidRPr="00A52585">
        <w:rPr>
          <w:rFonts w:hint="cs"/>
          <w:rtl/>
        </w:rPr>
        <w:t>:</w:t>
      </w:r>
      <w:r w:rsidRPr="00A52585">
        <w:rPr>
          <w:rFonts w:hint="cs"/>
          <w:rtl/>
        </w:rPr>
        <w:t xml:space="preserve"> وما يعلم تأويله إلا الله ويقول الراسخون آمنا به وكذا رواه ابن جرير عن عمر بن عبد العزيز ومالك بن أنس إنهم يؤمنون به ولا يعلمون تأويله وحكى ابن جرير أن في قراءة عبد الله بن مسعود إن تأويله إلا عند الله والراسخون في العلم يقولون آمنا به وكذا عن أبي بن كعب وأختار ابن جرير هذا القول</w:t>
      </w:r>
      <w:r w:rsidR="00DB731D" w:rsidRPr="00A52585">
        <w:rPr>
          <w:rFonts w:hint="cs"/>
          <w:rtl/>
        </w:rPr>
        <w:t>،</w:t>
      </w:r>
      <w:r w:rsidRPr="00A52585">
        <w:rPr>
          <w:rFonts w:hint="cs"/>
          <w:rtl/>
        </w:rPr>
        <w:t xml:space="preserve"> ومنهم من يقف على قوله والراسخون في العلم وتبعهم كثير من المفسرين وأهل الأصول وقالوا الخطاب بما لا يفهم بعيد وقد روى ابن أبي نجيح عن مجاهد عن ابن عباس أنه قال </w:t>
      </w:r>
      <w:r w:rsidRPr="00A52585">
        <w:rPr>
          <w:rFonts w:hint="cs"/>
          <w:rtl/>
        </w:rPr>
        <w:lastRenderedPageBreak/>
        <w:t>أنا من الراسخين الذين يعلمون تأويله وقال ابن أبي نجيح عن مجاهد والراسخون في العلم يعلمون تأويله ويقولون آمنا به وكذا قال الربيع بن أنس وقال محمد بن إسحاق عن محمد بن جعفر بن الزبير وما يعلم تأويله الذي أراد ما أراد إلا الله والراسخون في العلم يقولون آمنا به ثم ردوا تأويل المتشابهات على ما عرفوا من تأويل المحكمة التي لا تأويل لأحد فيها إلا تأويل واحد فاتسق بقولهم الكتاب وصدق بعضه بعضا فنفذت الحجة وظهر به العذر وزاح به الباطل ودفع به الكفر وفي الحديث أن رسول الله صلى الله عليه وسلم دعا لابن عباس فقال (</w:t>
      </w:r>
      <w:r w:rsidR="0002035C" w:rsidRPr="00A52585">
        <w:rPr>
          <w:rFonts w:hint="cs"/>
          <w:rtl/>
        </w:rPr>
        <w:t>(</w:t>
      </w:r>
      <w:r w:rsidRPr="00A52585">
        <w:rPr>
          <w:rFonts w:hint="cs"/>
          <w:rtl/>
        </w:rPr>
        <w:t>اللهم فقهه في الدين وعلمه التأويل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الحديث أخرجه البخاري ح</w:t>
      </w:r>
      <w:r w:rsidR="0002035C" w:rsidRPr="00A52585">
        <w:rPr>
          <w:rFonts w:hint="cs"/>
          <w:rtl/>
        </w:rPr>
        <w:t>:</w:t>
      </w:r>
      <w:r w:rsidRPr="00A52585">
        <w:rPr>
          <w:rFonts w:hint="cs"/>
          <w:rtl/>
        </w:rPr>
        <w:t>75 ومسلم ح</w:t>
      </w:r>
      <w:r w:rsidR="0002035C" w:rsidRPr="00A52585">
        <w:rPr>
          <w:rFonts w:hint="cs"/>
          <w:rtl/>
        </w:rPr>
        <w:t>:</w:t>
      </w:r>
      <w:r w:rsidRPr="00A52585">
        <w:rPr>
          <w:rFonts w:hint="cs"/>
          <w:rtl/>
        </w:rPr>
        <w:t>2477]</w:t>
      </w:r>
      <w:r w:rsidR="00DB731D" w:rsidRPr="00A52585">
        <w:rPr>
          <w:rFonts w:hint="cs"/>
          <w:rtl/>
        </w:rPr>
        <w:t>،</w:t>
      </w:r>
      <w:r w:rsidR="0002035C" w:rsidRPr="00A52585">
        <w:rPr>
          <w:rFonts w:hint="cs"/>
          <w:rtl/>
        </w:rPr>
        <w:t xml:space="preserve"> </w:t>
      </w:r>
      <w:r w:rsidRPr="00A52585">
        <w:rPr>
          <w:rFonts w:hint="cs"/>
          <w:rtl/>
        </w:rPr>
        <w:t>ومن العلماء من فصل هذا المقام قال</w:t>
      </w:r>
      <w:r w:rsidR="0002035C" w:rsidRPr="00A52585">
        <w:rPr>
          <w:rFonts w:hint="cs"/>
          <w:rtl/>
        </w:rPr>
        <w:t>:</w:t>
      </w:r>
      <w:r w:rsidRPr="00A52585">
        <w:rPr>
          <w:rFonts w:hint="cs"/>
          <w:rtl/>
        </w:rPr>
        <w:t xml:space="preserve"> التأويل يطلق ويراد به في القرآن معنيان أحدهما التأويل بمعنى حقيقة الشيء وما يؤول أمره إليه ومنه قوله تعالى وقال يا أبت هذا تأويل رؤياي من قبل وقوله هل ينظرون إلا تأويله يوم يأتي تأويله أي حقيقة ما أخبروا به من أمر المعاد فإن أريد بالتأويل هذا فالوقف على الجلالة لأن حقائق الأمور وكنهها لا يعلمه على الجلية إلا الله عز وجل ويكون قوله والراسخون في العلم مبتدأ و يقولون آمنا به خبره وأما إن أريد بالتأويل المعنى الآخر وهو التفسير والبيان والتعبير عن الشيء كقوله نبئنا بتأويله أي بتفسيره فإن أريد به هذا المعنى فالوقف على والراسخون في العلم لأنهم يعلمون ويفهمون ما خوطبوا به بهذا الاعتبار وإن لم يحيطوا علما بحقائق الأشياء على كنه ما هي عليه وعلى هذا فيكون قوله يقولون آمنا به حال منهم وساغ هذا وأن يكون من المعطوف دون المعطوف عليه كقوله للفقراء المهاجرين الذين أخرجوا من ديارهم وأموالهم إلى قوله يقولون ربنا أغفر لنا ولإخواننا الآية وقوله تعالى وجاء ربك والملك صفا </w:t>
      </w:r>
      <w:proofErr w:type="spellStart"/>
      <w:r w:rsidRPr="00A52585">
        <w:rPr>
          <w:rFonts w:hint="cs"/>
          <w:rtl/>
        </w:rPr>
        <w:t>صفا</w:t>
      </w:r>
      <w:proofErr w:type="spellEnd"/>
      <w:r w:rsidRPr="00A52585">
        <w:rPr>
          <w:rFonts w:hint="cs"/>
          <w:rtl/>
        </w:rPr>
        <w:t xml:space="preserve"> أي وجاء الملائكة صفوفا </w:t>
      </w:r>
      <w:proofErr w:type="spellStart"/>
      <w:r w:rsidRPr="00A52585">
        <w:rPr>
          <w:rFonts w:hint="cs"/>
          <w:rtl/>
        </w:rPr>
        <w:t>صفوفا</w:t>
      </w:r>
      <w:proofErr w:type="spellEnd"/>
      <w:r w:rsidR="00DB731D" w:rsidRPr="00A52585">
        <w:rPr>
          <w:rFonts w:hint="cs"/>
          <w:rtl/>
        </w:rPr>
        <w:t>،</w:t>
      </w:r>
      <w:r w:rsidR="0002035C" w:rsidRPr="00A52585">
        <w:rPr>
          <w:rFonts w:hint="cs"/>
          <w:rtl/>
        </w:rPr>
        <w:t xml:space="preserve"> </w:t>
      </w:r>
      <w:r w:rsidRPr="00A52585">
        <w:rPr>
          <w:rFonts w:hint="cs"/>
          <w:rtl/>
        </w:rPr>
        <w:t xml:space="preserve">وقوله إخبارا عنهم إنهم يقولون آمنا به أي المتشابه كل من عند ربنا أي الجميع من المحكم والمتشابه حق وصدق وكل واحد منهما يصدق الآخر ويشهد له لأن الجميع من عند الله وليس شيء من عند الله بمختلف ولا متضاد كقوله أفلا يتدبرون القرآن ولو كان من عند غير الله لوجدوا فيه اختلافا كثيرا ولهذا قال تعالى وما يذكر إلا أولوا الألباب أي إنما يفهم ويعقل ويتدبر المعاني على وجهها أولو العقول السليمة </w:t>
      </w:r>
      <w:proofErr w:type="spellStart"/>
      <w:r w:rsidRPr="00A52585">
        <w:rPr>
          <w:rFonts w:hint="cs"/>
          <w:rtl/>
        </w:rPr>
        <w:t>والفهوم</w:t>
      </w:r>
      <w:proofErr w:type="spellEnd"/>
      <w:r w:rsidRPr="00A52585">
        <w:rPr>
          <w:rFonts w:hint="cs"/>
          <w:rtl/>
        </w:rPr>
        <w:t xml:space="preserve"> المستقيمة " أهــ </w:t>
      </w:r>
      <w:r w:rsidR="0002035C" w:rsidRPr="00A52585">
        <w:rPr>
          <w:rFonts w:hint="cs"/>
          <w:rtl/>
        </w:rPr>
        <w:t>[</w:t>
      </w:r>
      <w:r w:rsidRPr="00A52585">
        <w:rPr>
          <w:rFonts w:hint="cs"/>
          <w:rtl/>
        </w:rPr>
        <w:t>تفسير ابن</w:t>
      </w:r>
      <w:r w:rsidRPr="00A52585">
        <w:rPr>
          <w:rFonts w:hint="cs"/>
        </w:rPr>
        <w:t xml:space="preserve"> </w:t>
      </w:r>
      <w:r w:rsidRPr="00A52585">
        <w:rPr>
          <w:rFonts w:hint="cs"/>
          <w:rtl/>
        </w:rPr>
        <w:t>كثير ج: 1 ص: 346 إلى ص 349</w:t>
      </w:r>
      <w:r w:rsidR="0002035C" w:rsidRPr="00A52585">
        <w:rPr>
          <w:rFonts w:hint="cs"/>
          <w:rtl/>
        </w:rPr>
        <w:t>]</w:t>
      </w:r>
      <w:r w:rsidR="00DB731D" w:rsidRPr="00A52585">
        <w:rPr>
          <w:rFonts w:hint="cs"/>
          <w:rtl/>
        </w:rPr>
        <w:t>،</w:t>
      </w:r>
      <w:r w:rsidRPr="00A52585">
        <w:rPr>
          <w:rFonts w:hint="cs"/>
          <w:rtl/>
        </w:rPr>
        <w:t xml:space="preserve"> </w:t>
      </w:r>
    </w:p>
    <w:p w14:paraId="50EDD85B" w14:textId="7305B811" w:rsidR="00777DCB" w:rsidRPr="00A52585" w:rsidRDefault="00777DCB" w:rsidP="0002035C">
      <w:pPr>
        <w:rPr>
          <w:b/>
          <w:rtl/>
        </w:rPr>
      </w:pPr>
      <w:r w:rsidRPr="00A52585">
        <w:rPr>
          <w:rFonts w:hint="cs"/>
          <w:bCs/>
          <w:rtl/>
        </w:rPr>
        <w:t>أمثلة ودرر من أقوال العلماء فيما يتعلق بالمحكم والمتشابه في باب الصفات والأخبار</w:t>
      </w:r>
      <w:r w:rsidR="0002035C" w:rsidRPr="00A52585">
        <w:rPr>
          <w:rFonts w:hint="cs"/>
          <w:bCs/>
          <w:rtl/>
        </w:rPr>
        <w:t xml:space="preserve">: </w:t>
      </w:r>
      <w:r w:rsidRPr="00A52585">
        <w:rPr>
          <w:rFonts w:hint="cs"/>
          <w:bCs/>
          <w:rtl/>
          <w:lang w:bidi="ar-KW"/>
        </w:rPr>
        <w:t>قال السيوطي في كتابه القيم الجامع " الإتقان في علوم القرآن "</w:t>
      </w:r>
      <w:r w:rsidR="0002035C" w:rsidRPr="00A52585">
        <w:rPr>
          <w:rFonts w:hint="cs"/>
          <w:bCs/>
          <w:rtl/>
          <w:lang w:bidi="ar-KW"/>
        </w:rPr>
        <w:t>:</w:t>
      </w:r>
      <w:r w:rsidR="0002035C" w:rsidRPr="00A52585">
        <w:rPr>
          <w:rFonts w:hint="cs"/>
          <w:rtl/>
          <w:lang w:bidi="ar-KW"/>
        </w:rPr>
        <w:t xml:space="preserve"> </w:t>
      </w:r>
      <w:r w:rsidR="0002035C" w:rsidRPr="00A52585">
        <w:rPr>
          <w:rFonts w:hint="cs"/>
          <w:rtl/>
        </w:rPr>
        <w:t>(</w:t>
      </w:r>
      <w:r w:rsidRPr="00A52585">
        <w:rPr>
          <w:rFonts w:hint="cs"/>
          <w:rtl/>
        </w:rPr>
        <w:t xml:space="preserve">من المتشابه آيات الصفات ولابن اللبان فيها تصنيف مفرد نحو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كل شيء هالك إلا وجهه</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ويبقى وجه ربك</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ولتصنع على عيني</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يد الله فوق أيديهم</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والسموات مطويات بيمينه</w:t>
      </w:r>
      <w:r w:rsidR="0002035C" w:rsidRPr="00A52585">
        <w:rPr>
          <w:rFonts w:hint="cs"/>
          <w:rtl/>
        </w:rPr>
        <w:t>}</w:t>
      </w:r>
      <w:r w:rsidR="00DB731D" w:rsidRPr="00A52585">
        <w:rPr>
          <w:rFonts w:hint="cs"/>
          <w:rtl/>
        </w:rPr>
        <w:t>،</w:t>
      </w:r>
      <w:r w:rsidRPr="00A52585">
        <w:rPr>
          <w:rFonts w:hint="cs"/>
          <w:rtl/>
        </w:rPr>
        <w:t xml:space="preserve"> وجمهور أهل السنة منهم </w:t>
      </w:r>
      <w:r w:rsidRPr="00A52585">
        <w:rPr>
          <w:rFonts w:hint="cs"/>
          <w:rtl/>
        </w:rPr>
        <w:lastRenderedPageBreak/>
        <w:t>السلف وأهل الحديث على الإيمان بها وتفويض معناها المراد منها إلى الله تعالى ولا نفسرها مع تنزيهنا له عن حقيقتها</w:t>
      </w:r>
      <w:r w:rsidR="00DB731D" w:rsidRPr="00A52585">
        <w:rPr>
          <w:rFonts w:hint="cs"/>
          <w:rtl/>
        </w:rPr>
        <w:t>،</w:t>
      </w:r>
      <w:r w:rsidR="0002035C" w:rsidRPr="00A52585">
        <w:rPr>
          <w:rFonts w:hint="cs"/>
          <w:rtl/>
        </w:rPr>
        <w:t xml:space="preserve"> </w:t>
      </w:r>
      <w:r w:rsidRPr="00A52585">
        <w:rPr>
          <w:rFonts w:hint="cs"/>
          <w:rtl/>
        </w:rPr>
        <w:t>أخرج أبو القاسم اللالكائي في السنن عن طريق قرة بن خالد عن الحسن عن أمه عن أم سلمة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قالت الكيف غير معقول والاستواء غير مجهول والإقرار به من الإيمان والجحود به كفر</w:t>
      </w:r>
      <w:r w:rsidR="00DB731D" w:rsidRPr="00A52585">
        <w:rPr>
          <w:rFonts w:hint="cs"/>
          <w:rtl/>
        </w:rPr>
        <w:t>،</w:t>
      </w:r>
      <w:r w:rsidR="0002035C" w:rsidRPr="00A52585">
        <w:rPr>
          <w:rFonts w:hint="cs"/>
          <w:rtl/>
        </w:rPr>
        <w:t xml:space="preserve"> </w:t>
      </w:r>
      <w:r w:rsidRPr="00A52585">
        <w:rPr>
          <w:rFonts w:hint="cs"/>
          <w:rtl/>
        </w:rPr>
        <w:t>وأخرج أيضا عن ربيعة بن أبي عبد الرحمن أنه سئل عن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فقال الاستواء غير مجهول والكيف غير معقول ومن الله الرسالة وعلى الرسول البلاغ المبين وعلينا التصديق</w:t>
      </w:r>
      <w:r w:rsidR="00DB731D" w:rsidRPr="00A52585">
        <w:rPr>
          <w:rFonts w:hint="cs"/>
          <w:rtl/>
        </w:rPr>
        <w:t>،</w:t>
      </w:r>
      <w:r w:rsidR="0002035C" w:rsidRPr="00A52585">
        <w:rPr>
          <w:rFonts w:hint="cs"/>
          <w:rtl/>
        </w:rPr>
        <w:t xml:space="preserve"> </w:t>
      </w:r>
      <w:r w:rsidRPr="00A52585">
        <w:rPr>
          <w:rFonts w:hint="cs"/>
          <w:rtl/>
        </w:rPr>
        <w:t>وأخرج أيضا عن مالك أنه سئل عن الآية فقال</w:t>
      </w:r>
      <w:r w:rsidR="0002035C" w:rsidRPr="00A52585">
        <w:rPr>
          <w:rFonts w:hint="cs"/>
          <w:rtl/>
        </w:rPr>
        <w:t xml:space="preserve">: </w:t>
      </w:r>
      <w:r w:rsidRPr="00A52585">
        <w:rPr>
          <w:rFonts w:hint="cs"/>
          <w:rtl/>
        </w:rPr>
        <w:t>الكيف غير معقول والاستواء غير مجهول والإيمان به واجب والسؤال عنه بدعة</w:t>
      </w:r>
      <w:r w:rsidR="00DB731D" w:rsidRPr="00A52585">
        <w:rPr>
          <w:rFonts w:hint="cs"/>
          <w:rtl/>
        </w:rPr>
        <w:t>،</w:t>
      </w:r>
      <w:r w:rsidR="0002035C" w:rsidRPr="00A52585">
        <w:rPr>
          <w:rFonts w:hint="cs"/>
          <w:rtl/>
        </w:rPr>
        <w:t xml:space="preserve"> </w:t>
      </w:r>
      <w:r w:rsidRPr="00A52585">
        <w:rPr>
          <w:rFonts w:hint="cs"/>
          <w:rtl/>
        </w:rPr>
        <w:t>وأخرج البيهقي عنه أنه قال</w:t>
      </w:r>
      <w:r w:rsidR="0002035C" w:rsidRPr="00A52585">
        <w:rPr>
          <w:rFonts w:hint="cs"/>
          <w:rtl/>
        </w:rPr>
        <w:t>:</w:t>
      </w:r>
      <w:r w:rsidRPr="00A52585">
        <w:rPr>
          <w:rFonts w:hint="cs"/>
          <w:rtl/>
        </w:rPr>
        <w:t xml:space="preserve"> هو كما وصف نفسه ولا يقال كيف وكيف عنه مرفوع</w:t>
      </w:r>
      <w:r w:rsidR="00DB731D" w:rsidRPr="00A52585">
        <w:rPr>
          <w:rFonts w:hint="cs"/>
          <w:rtl/>
        </w:rPr>
        <w:t>،</w:t>
      </w:r>
      <w:r w:rsidRPr="00A52585">
        <w:rPr>
          <w:rFonts w:hint="cs"/>
          <w:rtl/>
        </w:rPr>
        <w:t xml:space="preserve"> وأخرج اللالكائي عن محمد بن الحسن قال </w:t>
      </w:r>
      <w:proofErr w:type="spellStart"/>
      <w:r w:rsidRPr="00A52585">
        <w:rPr>
          <w:rFonts w:hint="cs"/>
          <w:rtl/>
        </w:rPr>
        <w:t>إتفق</w:t>
      </w:r>
      <w:proofErr w:type="spellEnd"/>
      <w:r w:rsidRPr="00A52585">
        <w:rPr>
          <w:rFonts w:hint="cs"/>
          <w:rtl/>
        </w:rPr>
        <w:t xml:space="preserve"> الفقهاء كلهم من المشرق إلى المغرب على الإيمان بالصفات من غير تفسير ولا تشبيه</w:t>
      </w:r>
      <w:r w:rsidR="00DB731D" w:rsidRPr="00A52585">
        <w:rPr>
          <w:rFonts w:hint="cs"/>
          <w:rtl/>
        </w:rPr>
        <w:t>،</w:t>
      </w:r>
      <w:r w:rsidR="0002035C" w:rsidRPr="00A52585">
        <w:rPr>
          <w:rFonts w:hint="cs"/>
          <w:rtl/>
        </w:rPr>
        <w:t xml:space="preserve"> </w:t>
      </w:r>
      <w:r w:rsidRPr="00A52585">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sidR="0002035C" w:rsidRPr="00A52585">
        <w:rPr>
          <w:rFonts w:hint="cs"/>
          <w:rtl/>
        </w:rPr>
        <w:t>:</w:t>
      </w:r>
      <w:r w:rsidRPr="00A52585">
        <w:rPr>
          <w:rFonts w:hint="cs"/>
          <w:rtl/>
        </w:rPr>
        <w:t xml:space="preserve"> نروي هذه الأحاديث كما جاءت ونؤمن بها ولا يقال كيف ولا نفسر ولا نتوهم</w:t>
      </w:r>
      <w:r w:rsidR="00DB731D" w:rsidRPr="00A52585">
        <w:rPr>
          <w:rFonts w:hint="cs"/>
          <w:rtl/>
        </w:rPr>
        <w:t>،</w:t>
      </w:r>
      <w:r w:rsidR="0002035C" w:rsidRPr="00A52585">
        <w:rPr>
          <w:rFonts w:hint="cs"/>
          <w:rtl/>
        </w:rPr>
        <w:t xml:space="preserve"> </w:t>
      </w:r>
      <w:r w:rsidRPr="00A52585">
        <w:rPr>
          <w:rFonts w:hint="cs"/>
          <w:rtl/>
        </w:rPr>
        <w:t>وذهبت طائفة من أهل السنة على أننا نؤولها على ما يليق بجلاله تعالى وهذا مذهب الخلف</w:t>
      </w:r>
      <w:r w:rsidR="00DB731D" w:rsidRPr="00A52585">
        <w:rPr>
          <w:rFonts w:hint="cs"/>
          <w:rtl/>
        </w:rPr>
        <w:t>،</w:t>
      </w:r>
      <w:r w:rsidR="0002035C" w:rsidRPr="00A52585">
        <w:rPr>
          <w:rFonts w:hint="cs"/>
          <w:rtl/>
        </w:rPr>
        <w:t xml:space="preserve"> </w:t>
      </w:r>
      <w:r w:rsidRPr="00A52585">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DB731D" w:rsidRPr="00A52585">
        <w:rPr>
          <w:rFonts w:hint="cs"/>
          <w:rtl/>
        </w:rPr>
        <w:t>،</w:t>
      </w:r>
      <w:r w:rsidRPr="00A52585">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Pr="00A52585">
        <w:rPr>
          <w:rFonts w:hint="cs"/>
          <w:rtl/>
        </w:rPr>
        <w:t>ويأباها</w:t>
      </w:r>
      <w:proofErr w:type="spellEnd"/>
      <w:r w:rsidR="00DB731D" w:rsidRPr="00A52585">
        <w:rPr>
          <w:rFonts w:hint="cs"/>
          <w:rtl/>
        </w:rPr>
        <w:t>،</w:t>
      </w:r>
      <w:r w:rsidR="0002035C" w:rsidRPr="00A52585">
        <w:rPr>
          <w:rFonts w:hint="cs"/>
          <w:rtl/>
        </w:rPr>
        <w:t xml:space="preserve"> </w:t>
      </w:r>
      <w:r w:rsidRPr="00A52585">
        <w:rPr>
          <w:rFonts w:hint="cs"/>
          <w:rtl/>
        </w:rPr>
        <w:t>واختار ابن برهان مذهب التأويل قال</w:t>
      </w:r>
      <w:r w:rsidR="0002035C" w:rsidRPr="00A52585">
        <w:rPr>
          <w:rFonts w:hint="cs"/>
          <w:rtl/>
        </w:rPr>
        <w:t>:</w:t>
      </w:r>
      <w:r w:rsidRPr="00A52585">
        <w:rPr>
          <w:rFonts w:hint="cs"/>
          <w:rtl/>
        </w:rPr>
        <w:t xml:space="preserve"> ومنشأ الخلاف بين الفريقين هل يجوز أن يكون في القرآن شيء لم نعلم معناه أو لا بل يعلمه الراسخون في العلم</w:t>
      </w:r>
      <w:r w:rsidR="00DB731D" w:rsidRPr="00A52585">
        <w:rPr>
          <w:rFonts w:hint="cs"/>
          <w:rtl/>
        </w:rPr>
        <w:t>،</w:t>
      </w:r>
      <w:r w:rsidRPr="00A52585">
        <w:rPr>
          <w:rFonts w:hint="cs"/>
          <w:rtl/>
        </w:rPr>
        <w:t xml:space="preserve"> وتوسط ابن دقيق العيد</w:t>
      </w:r>
      <w:r w:rsidR="0002035C" w:rsidRPr="00A52585">
        <w:rPr>
          <w:rFonts w:hint="cs"/>
          <w:rtl/>
        </w:rPr>
        <w:t>:</w:t>
      </w:r>
      <w:r w:rsidRPr="00A52585">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حسرتي على ما فرطت في جنب الله</w:t>
      </w:r>
      <w:r w:rsidR="0002035C" w:rsidRPr="00A52585">
        <w:rPr>
          <w:rFonts w:hint="cs"/>
          <w:rtl/>
        </w:rPr>
        <w:t>}</w:t>
      </w:r>
      <w:r w:rsidR="00DB731D" w:rsidRPr="00A52585">
        <w:rPr>
          <w:rFonts w:hint="cs"/>
          <w:rtl/>
        </w:rPr>
        <w:t>،</w:t>
      </w:r>
      <w:r w:rsidRPr="00A52585">
        <w:rPr>
          <w:rFonts w:hint="cs"/>
          <w:rtl/>
        </w:rPr>
        <w:t xml:space="preserve"> فنحمله على حق الله وما يجب له</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الإتقان ج: 2 ص: 13</w:t>
      </w:r>
      <w:r w:rsidR="0002035C" w:rsidRPr="00A52585">
        <w:rPr>
          <w:rFonts w:hint="cs"/>
          <w:rtl/>
        </w:rPr>
        <w:t>]</w:t>
      </w:r>
      <w:r w:rsidR="00DB731D" w:rsidRPr="00A52585">
        <w:rPr>
          <w:rFonts w:hint="cs"/>
          <w:rtl/>
        </w:rPr>
        <w:t>،</w:t>
      </w:r>
      <w:r w:rsidRPr="00A52585">
        <w:rPr>
          <w:rFonts w:hint="cs"/>
          <w:rtl/>
        </w:rPr>
        <w:t xml:space="preserve"> ثم أطال رحمه الله - بعد ذلك - في ذكر تأويلات أهل السنّة للمتشابه من الصفات</w:t>
      </w:r>
      <w:r w:rsidR="00DB731D" w:rsidRPr="00A52585">
        <w:rPr>
          <w:rFonts w:hint="cs"/>
          <w:rtl/>
        </w:rPr>
        <w:t>،</w:t>
      </w:r>
      <w:r w:rsidRPr="00A52585">
        <w:rPr>
          <w:rFonts w:hint="cs"/>
          <w:rtl/>
        </w:rPr>
        <w:t xml:space="preserve"> وذكر منها الاستواء والنفس والوجه والعين واليد والمحبة والغضب </w:t>
      </w:r>
      <w:proofErr w:type="spellStart"/>
      <w:r w:rsidRPr="00A52585">
        <w:rPr>
          <w:rFonts w:hint="cs"/>
          <w:rtl/>
        </w:rPr>
        <w:t>والعندية</w:t>
      </w:r>
      <w:proofErr w:type="spellEnd"/>
      <w:r w:rsidRPr="00A52585">
        <w:rPr>
          <w:rFonts w:hint="cs"/>
          <w:rtl/>
        </w:rPr>
        <w:t xml:space="preserve"> والمكان</w:t>
      </w:r>
      <w:r w:rsidR="00DB731D" w:rsidRPr="00A52585">
        <w:rPr>
          <w:rFonts w:hint="cs"/>
          <w:rtl/>
        </w:rPr>
        <w:t>،</w:t>
      </w:r>
      <w:r w:rsidRPr="00A52585">
        <w:rPr>
          <w:rFonts w:hint="cs"/>
          <w:rtl/>
        </w:rPr>
        <w:t xml:space="preserve"> </w:t>
      </w:r>
      <w:r w:rsidRPr="00A52585">
        <w:rPr>
          <w:rFonts w:hint="cs"/>
          <w:bCs/>
          <w:rtl/>
          <w:lang w:bidi="ar-KW"/>
        </w:rPr>
        <w:t>وقال الإمام الزركشي في كتابه القيم</w:t>
      </w:r>
      <w:r w:rsidR="0002035C" w:rsidRPr="00A52585">
        <w:rPr>
          <w:rFonts w:hint="cs"/>
          <w:bCs/>
          <w:rtl/>
          <w:lang w:bidi="ar-KW"/>
        </w:rPr>
        <w:t>:</w:t>
      </w:r>
      <w:r w:rsidRPr="00A52585">
        <w:rPr>
          <w:rFonts w:hint="cs"/>
          <w:bCs/>
          <w:rtl/>
          <w:lang w:bidi="ar-KW"/>
        </w:rPr>
        <w:t xml:space="preserve"> البرهان في علوم القرآن</w:t>
      </w:r>
      <w:r w:rsidR="0002035C" w:rsidRPr="00A52585">
        <w:rPr>
          <w:rFonts w:hint="cs"/>
          <w:bCs/>
          <w:rtl/>
          <w:lang w:bidi="ar-KW"/>
        </w:rPr>
        <w:t xml:space="preserve">: </w:t>
      </w:r>
      <w:r w:rsidR="0002035C" w:rsidRPr="00A52585">
        <w:rPr>
          <w:rFonts w:hint="cs"/>
          <w:rtl/>
        </w:rPr>
        <w:t>(</w:t>
      </w:r>
      <w:r w:rsidRPr="00A52585">
        <w:rPr>
          <w:rFonts w:hint="cs"/>
          <w:rtl/>
        </w:rPr>
        <w:t>النوع السابع والثلاثون</w:t>
      </w:r>
      <w:r w:rsidR="0002035C" w:rsidRPr="00A52585">
        <w:rPr>
          <w:rFonts w:hint="cs"/>
          <w:rtl/>
        </w:rPr>
        <w:t>:</w:t>
      </w:r>
      <w:r w:rsidRPr="00A52585">
        <w:rPr>
          <w:rFonts w:hint="cs"/>
          <w:rtl/>
        </w:rPr>
        <w:t xml:space="preserve"> في حكم الآيات المتشابهات الواردة في الصفات</w:t>
      </w:r>
      <w:r w:rsidR="00DB731D" w:rsidRPr="00A52585">
        <w:rPr>
          <w:rFonts w:hint="cs"/>
          <w:rtl/>
        </w:rPr>
        <w:t>،</w:t>
      </w:r>
      <w:r w:rsidR="0002035C" w:rsidRPr="00A52585">
        <w:rPr>
          <w:rFonts w:hint="cs"/>
          <w:rtl/>
        </w:rPr>
        <w:t xml:space="preserve"> </w:t>
      </w:r>
      <w:r w:rsidRPr="00A52585">
        <w:rPr>
          <w:rFonts w:hint="cs"/>
          <w:rtl/>
        </w:rPr>
        <w:t>وقد اختلف الناس في الوارد منها في الآيات والأحاديث على ثلاث فرق</w:t>
      </w:r>
      <w:r w:rsidR="00DB731D" w:rsidRPr="00A52585">
        <w:rPr>
          <w:rFonts w:hint="cs"/>
          <w:rtl/>
        </w:rPr>
        <w:t>،</w:t>
      </w:r>
      <w:r w:rsidR="0002035C" w:rsidRPr="00A52585">
        <w:rPr>
          <w:rFonts w:hint="cs"/>
          <w:rtl/>
        </w:rPr>
        <w:t xml:space="preserve"> </w:t>
      </w:r>
      <w:r w:rsidRPr="00A52585">
        <w:rPr>
          <w:rFonts w:hint="cs"/>
          <w:rtl/>
        </w:rPr>
        <w:t>أحدها</w:t>
      </w:r>
      <w:r w:rsidR="0002035C" w:rsidRPr="00A52585">
        <w:rPr>
          <w:rFonts w:hint="cs"/>
          <w:rtl/>
        </w:rPr>
        <w:t>:</w:t>
      </w:r>
      <w:r w:rsidRPr="00A52585">
        <w:rPr>
          <w:rFonts w:hint="cs"/>
          <w:rtl/>
        </w:rPr>
        <w:t xml:space="preserve"> أنه لا مدخل للتأويل </w:t>
      </w:r>
      <w:r w:rsidRPr="00A52585">
        <w:rPr>
          <w:rFonts w:hint="cs"/>
          <w:rtl/>
        </w:rPr>
        <w:lastRenderedPageBreak/>
        <w:t>فيها بل تجري على ظاهرها ولا تؤول شيئا منها وهم المشبهة</w:t>
      </w:r>
      <w:r w:rsidR="00DB731D" w:rsidRPr="00A52585">
        <w:rPr>
          <w:rFonts w:hint="cs"/>
          <w:rtl/>
        </w:rPr>
        <w:t>،</w:t>
      </w:r>
      <w:r w:rsidR="0002035C" w:rsidRPr="00A52585">
        <w:rPr>
          <w:rFonts w:hint="cs"/>
          <w:rtl/>
        </w:rPr>
        <w:t xml:space="preserve"> </w:t>
      </w:r>
      <w:r w:rsidRPr="00A52585">
        <w:rPr>
          <w:rFonts w:hint="cs"/>
          <w:rtl/>
        </w:rPr>
        <w:t>والثاني</w:t>
      </w:r>
      <w:r w:rsidR="0002035C" w:rsidRPr="00A52585">
        <w:rPr>
          <w:rFonts w:hint="cs"/>
          <w:rtl/>
        </w:rPr>
        <w:t>:</w:t>
      </w:r>
      <w:r w:rsidRPr="00A52585">
        <w:rPr>
          <w:rFonts w:hint="cs"/>
          <w:rtl/>
        </w:rPr>
        <w:t xml:space="preserve"> أن لها تأويلا ولكنا نمسك عنه مع تنزيه اعتقادنا عن الشبه والتعطيل ونقول لا يعلمه إلا الله وهو قول السلف</w:t>
      </w:r>
      <w:r w:rsidR="00DB731D" w:rsidRPr="00A52585">
        <w:rPr>
          <w:rFonts w:hint="cs"/>
          <w:rtl/>
        </w:rPr>
        <w:t>،</w:t>
      </w:r>
      <w:r w:rsidR="0002035C" w:rsidRPr="00A52585">
        <w:rPr>
          <w:rFonts w:hint="cs"/>
          <w:rtl/>
        </w:rPr>
        <w:t xml:space="preserve"> </w:t>
      </w:r>
      <w:r w:rsidRPr="00A52585">
        <w:rPr>
          <w:rFonts w:hint="cs"/>
          <w:rtl/>
        </w:rPr>
        <w:t>والثالث أنها مؤولة وأولوها على ما يليق به</w:t>
      </w:r>
      <w:r w:rsidR="00DB731D" w:rsidRPr="00A52585">
        <w:rPr>
          <w:rFonts w:hint="cs"/>
          <w:rtl/>
        </w:rPr>
        <w:t>،</w:t>
      </w:r>
      <w:r w:rsidRPr="00A52585">
        <w:rPr>
          <w:rFonts w:hint="cs"/>
          <w:rtl/>
        </w:rPr>
        <w:t xml:space="preserve"> والأول باطل والأخيران منقولان عن الصحابة فنقل الإمساك عن أم سلمة أنها سئلت عن الاستواء فقالت</w:t>
      </w:r>
      <w:r w:rsidR="0002035C" w:rsidRPr="00A52585">
        <w:rPr>
          <w:rFonts w:hint="cs"/>
          <w:rtl/>
        </w:rPr>
        <w:t>:</w:t>
      </w:r>
      <w:r w:rsidRPr="00A52585">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sidR="0002035C" w:rsidRPr="00A52585">
        <w:rPr>
          <w:rFonts w:hint="cs"/>
          <w:rtl/>
        </w:rPr>
        <w:t>:</w:t>
      </w:r>
      <w:r w:rsidRPr="00A52585">
        <w:rPr>
          <w:rFonts w:hint="cs"/>
          <w:rtl/>
        </w:rPr>
        <w:t xml:space="preserve"> أفهم من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 على العرش استوى</w:t>
      </w:r>
      <w:r w:rsidR="0002035C" w:rsidRPr="00A52585">
        <w:rPr>
          <w:rFonts w:hint="cs"/>
          <w:rtl/>
        </w:rPr>
        <w:t xml:space="preserve">} </w:t>
      </w:r>
      <w:r w:rsidRPr="00A52585">
        <w:rPr>
          <w:rFonts w:hint="cs"/>
          <w:rtl/>
        </w:rPr>
        <w:t>ما أفهم من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ثم استوى إلى السماء</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وسئل الأوزاعي عن تفسير هذه الآية فقال</w:t>
      </w:r>
      <w:r w:rsidR="0002035C" w:rsidRPr="00A52585">
        <w:rPr>
          <w:rFonts w:hint="cs"/>
          <w:rtl/>
        </w:rPr>
        <w:t>:</w:t>
      </w:r>
      <w:r w:rsidRPr="00A52585">
        <w:rPr>
          <w:rFonts w:hint="cs"/>
          <w:rtl/>
        </w:rPr>
        <w:t xml:space="preserve"> الرحمن على العرش استوى</w:t>
      </w:r>
      <w:r w:rsidR="0002035C" w:rsidRPr="00A52585">
        <w:rPr>
          <w:rFonts w:hint="cs"/>
          <w:rtl/>
        </w:rPr>
        <w:t xml:space="preserve"> </w:t>
      </w:r>
      <w:r w:rsidRPr="00A52585">
        <w:rPr>
          <w:rFonts w:hint="cs"/>
          <w:rtl/>
        </w:rPr>
        <w:t>كما قال وإني لأراك ضالا</w:t>
      </w:r>
      <w:r w:rsidR="00DB731D" w:rsidRPr="00A52585">
        <w:rPr>
          <w:rFonts w:hint="cs"/>
          <w:rtl/>
        </w:rPr>
        <w:t>،</w:t>
      </w:r>
      <w:r w:rsidRPr="00A52585">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sidR="00DB731D" w:rsidRPr="00A52585">
        <w:rPr>
          <w:rFonts w:hint="cs"/>
          <w:rtl/>
        </w:rPr>
        <w:t>،</w:t>
      </w:r>
      <w:r w:rsidR="0002035C" w:rsidRPr="00A52585">
        <w:rPr>
          <w:rFonts w:hint="cs"/>
          <w:rtl/>
        </w:rPr>
        <w:t xml:space="preserve"> </w:t>
      </w:r>
      <w:r w:rsidRPr="00A52585">
        <w:rPr>
          <w:rFonts w:hint="cs"/>
          <w:rtl/>
        </w:rPr>
        <w:t>قال الشيخ أبو عمرو بن الصلاح وعلى هذه الطريقة مضى صدر الأمة وسادتها</w:t>
      </w:r>
      <w:r w:rsidR="00DB731D" w:rsidRPr="00A52585">
        <w:rPr>
          <w:rFonts w:hint="cs"/>
          <w:rtl/>
        </w:rPr>
        <w:t>،</w:t>
      </w:r>
      <w:r w:rsidRPr="00A52585">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sidRPr="00A52585">
        <w:rPr>
          <w:rFonts w:hint="cs"/>
          <w:rtl/>
        </w:rPr>
        <w:t>ويأباها</w:t>
      </w:r>
      <w:proofErr w:type="spellEnd"/>
      <w:r w:rsidR="0002035C" w:rsidRPr="00A52585">
        <w:rPr>
          <w:rFonts w:hint="cs"/>
          <w:rtl/>
        </w:rPr>
        <w:t xml:space="preserve"> </w:t>
      </w:r>
      <w:r w:rsidRPr="00A52585">
        <w:rPr>
          <w:rFonts w:hint="cs"/>
          <w:rtl/>
        </w:rPr>
        <w:t>وأفصح الغزالي عنهم في غير موضع بتهجين ما سواها حتى ألجم آخرا في إلجامه كل عالم أو عامي عما عداها</w:t>
      </w:r>
      <w:r w:rsidR="00DB731D" w:rsidRPr="00A52585">
        <w:rPr>
          <w:rFonts w:hint="cs"/>
          <w:rtl/>
        </w:rPr>
        <w:t>،</w:t>
      </w:r>
      <w:r w:rsidR="0002035C" w:rsidRPr="00A52585">
        <w:rPr>
          <w:rFonts w:hint="cs"/>
          <w:rtl/>
        </w:rPr>
        <w:t xml:space="preserve"> </w:t>
      </w:r>
      <w:r w:rsidRPr="00A52585">
        <w:rPr>
          <w:rFonts w:hint="cs"/>
          <w:rtl/>
        </w:rPr>
        <w:t>قال وهو كتاب إلجام العوام عن علم الكلام</w:t>
      </w:r>
      <w:r w:rsidR="00DB731D" w:rsidRPr="00A52585">
        <w:rPr>
          <w:rFonts w:hint="cs"/>
          <w:rtl/>
        </w:rPr>
        <w:t>،</w:t>
      </w:r>
      <w:r w:rsidRPr="00A52585">
        <w:rPr>
          <w:rFonts w:hint="cs"/>
          <w:rtl/>
        </w:rPr>
        <w:t xml:space="preserve"> آخر تصانيف الغزالي مطلقا آخر تصانيفه في أصول الدين حث فيه على مذاهب السلف ومن تبعهم</w:t>
      </w:r>
      <w:r w:rsidR="0002035C" w:rsidRPr="00A52585">
        <w:rPr>
          <w:rFonts w:hint="cs"/>
          <w:rtl/>
        </w:rPr>
        <w:t xml:space="preserve"> </w:t>
      </w:r>
      <w:r w:rsidRPr="00A52585">
        <w:rPr>
          <w:rFonts w:hint="cs"/>
          <w:rtl/>
        </w:rPr>
        <w:t>وممن نقل عنه التأويل علي وابن مسعود وابن عباس وغيرهم</w:t>
      </w:r>
      <w:r w:rsidR="0002035C" w:rsidRPr="00A52585">
        <w:rPr>
          <w:rFonts w:hint="cs"/>
          <w:rtl/>
        </w:rPr>
        <w:t xml:space="preserve"> </w:t>
      </w:r>
      <w:r w:rsidRPr="00A52585">
        <w:rPr>
          <w:rFonts w:hint="cs"/>
          <w:rtl/>
        </w:rPr>
        <w:t>وقال الغزالي في كتاب التفرقة بين الإسلام والزندقة</w:t>
      </w:r>
      <w:r w:rsidR="0002035C" w:rsidRPr="00A52585">
        <w:rPr>
          <w:rFonts w:hint="cs"/>
          <w:rtl/>
        </w:rPr>
        <w:t>:</w:t>
      </w:r>
      <w:r w:rsidRPr="00A52585">
        <w:rPr>
          <w:rFonts w:hint="cs"/>
          <w:rtl/>
        </w:rPr>
        <w:t xml:space="preserve"> إن الإمام أحمد أول في ثلاثة مواضع</w:t>
      </w:r>
      <w:r w:rsidR="00DB731D" w:rsidRPr="00A52585">
        <w:rPr>
          <w:rFonts w:hint="cs"/>
          <w:rtl/>
        </w:rPr>
        <w:t>،</w:t>
      </w:r>
      <w:r w:rsidRPr="00A52585">
        <w:rPr>
          <w:rFonts w:hint="cs"/>
          <w:rtl/>
        </w:rPr>
        <w:t xml:space="preserve"> وأنكر ذلك عليه بعض المتأخرين</w:t>
      </w:r>
      <w:r w:rsidR="0002035C" w:rsidRPr="00A52585">
        <w:rPr>
          <w:rFonts w:hint="cs"/>
          <w:rtl/>
        </w:rPr>
        <w:t xml:space="preserve"> </w:t>
      </w:r>
      <w:r w:rsidRPr="00A52585">
        <w:rPr>
          <w:rFonts w:hint="cs"/>
          <w:rtl/>
        </w:rPr>
        <w:t>قلت وقد حكى ابن الجوزي عن القاضي أبي يعلى تأويل أحمد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أو يأتي ربك</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قال وهل هو إلا أمره بدليل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أو يأتي أمر ربك</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sidR="00DB731D" w:rsidRPr="00A52585">
        <w:rPr>
          <w:rFonts w:hint="cs"/>
          <w:rtl/>
        </w:rPr>
        <w:t>،</w:t>
      </w:r>
      <w:r w:rsidR="0002035C" w:rsidRPr="00A52585">
        <w:rPr>
          <w:rFonts w:hint="cs"/>
          <w:rtl/>
        </w:rPr>
        <w:t xml:space="preserve"> </w:t>
      </w:r>
      <w:r w:rsidRPr="00A52585">
        <w:rPr>
          <w:rFonts w:hint="cs"/>
          <w:rtl/>
        </w:rPr>
        <w:t>وعندنا لا يجوز ذلك بل الراسخون يعلمونه</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w:t>
      </w:r>
      <w:r w:rsidRPr="00A52585">
        <w:rPr>
          <w:rFonts w:hint="cs"/>
          <w:rtl/>
        </w:rPr>
        <w:lastRenderedPageBreak/>
        <w:t>يخلو من أحد أمرين إما تأويل يبعد عن الأفهام أو موضع لا يتبين فيه وجه التأويل لقصور الأفهام عن إدراك الحقيقة والطمع في تلفيق كل ما يرد مستحيل المرام والمرد إلى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 وهو السميع البصير</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lang w:bidi="ar-KW"/>
        </w:rPr>
        <w:t>البرهان في علوم القرآن</w:t>
      </w:r>
      <w:r w:rsidR="0002035C" w:rsidRPr="00A52585">
        <w:rPr>
          <w:rFonts w:hint="cs"/>
          <w:rtl/>
          <w:lang w:bidi="ar-KW"/>
        </w:rPr>
        <w:t>:</w:t>
      </w:r>
      <w:r w:rsidRPr="00A52585">
        <w:rPr>
          <w:rFonts w:hint="cs"/>
          <w:rtl/>
          <w:lang w:bidi="ar-KW"/>
        </w:rPr>
        <w:t xml:space="preserve"> </w:t>
      </w:r>
      <w:r w:rsidRPr="00A52585">
        <w:rPr>
          <w:rFonts w:hint="cs"/>
          <w:rtl/>
        </w:rPr>
        <w:t>ج: 2 ص: 78</w:t>
      </w:r>
      <w:r w:rsidR="0002035C" w:rsidRPr="00A52585">
        <w:rPr>
          <w:rFonts w:hint="cs"/>
          <w:rtl/>
        </w:rPr>
        <w:t>]</w:t>
      </w:r>
      <w:r w:rsidR="00DB731D" w:rsidRPr="00A52585">
        <w:rPr>
          <w:rFonts w:hint="cs"/>
          <w:rtl/>
        </w:rPr>
        <w:t>،</w:t>
      </w:r>
      <w:r w:rsidRPr="00A52585">
        <w:rPr>
          <w:rFonts w:hint="cs"/>
          <w:rtl/>
        </w:rPr>
        <w:t xml:space="preserve"> ثم أطال رحمه الله - بعد ذلك - في ذكر تأويلات أهل السنّة للمتشابه من الصفات</w:t>
      </w:r>
      <w:r w:rsidR="00DB731D" w:rsidRPr="00A52585">
        <w:rPr>
          <w:rFonts w:hint="cs"/>
          <w:rtl/>
        </w:rPr>
        <w:t>،</w:t>
      </w:r>
      <w:r w:rsidR="0002035C" w:rsidRPr="00A52585">
        <w:rPr>
          <w:rFonts w:hint="cs"/>
          <w:rtl/>
        </w:rPr>
        <w:t xml:space="preserve"> </w:t>
      </w:r>
      <w:r w:rsidRPr="00A52585">
        <w:rPr>
          <w:rFonts w:hint="cs"/>
          <w:bCs/>
          <w:rtl/>
        </w:rPr>
        <w:t>وقال الزرقاني في كتابه مناهل العرفان</w:t>
      </w:r>
      <w:r w:rsidR="0002035C" w:rsidRPr="00A52585">
        <w:rPr>
          <w:rFonts w:hint="cs"/>
          <w:bCs/>
          <w:rtl/>
        </w:rPr>
        <w:t xml:space="preserve">: </w:t>
      </w:r>
      <w:r w:rsidR="0002035C" w:rsidRPr="00A52585">
        <w:rPr>
          <w:rFonts w:hint="cs"/>
          <w:rtl/>
        </w:rPr>
        <w:t>(</w:t>
      </w:r>
      <w:r w:rsidRPr="00A52585">
        <w:rPr>
          <w:rFonts w:hint="cs"/>
          <w:rtl/>
        </w:rPr>
        <w:t>الرأي الرشيد في متشابه الصفات</w:t>
      </w:r>
      <w:r w:rsidR="0002035C" w:rsidRPr="00A52585">
        <w:rPr>
          <w:rFonts w:hint="cs"/>
          <w:rtl/>
        </w:rPr>
        <w:t>:</w:t>
      </w:r>
      <w:r w:rsidRPr="00A52585">
        <w:rPr>
          <w:rFonts w:hint="cs"/>
          <w:rtl/>
        </w:rPr>
        <w:t xml:space="preserve"> علماؤنا أجزل الله مثوبتهم قد اتفقوا على ثلاثة أمور تتعلق بهذه المتشابهات ثم اختلفوا فيما وراءها</w:t>
      </w:r>
      <w:r w:rsidR="00DB731D" w:rsidRPr="00A52585">
        <w:rPr>
          <w:rFonts w:hint="cs"/>
          <w:rtl/>
        </w:rPr>
        <w:t>،</w:t>
      </w:r>
      <w:r w:rsidR="0002035C" w:rsidRPr="00A52585">
        <w:rPr>
          <w:rFonts w:hint="cs"/>
          <w:rtl/>
        </w:rPr>
        <w:t xml:space="preserve"> </w:t>
      </w:r>
      <w:r w:rsidRPr="00A52585">
        <w:rPr>
          <w:rFonts w:hint="cs"/>
          <w:bCs/>
          <w:rtl/>
        </w:rPr>
        <w:t>فأول ما اتفقوا عليه</w:t>
      </w:r>
      <w:r w:rsidR="0002035C" w:rsidRPr="00A52585">
        <w:rPr>
          <w:rFonts w:hint="cs"/>
          <w:rtl/>
        </w:rPr>
        <w:t>:</w:t>
      </w:r>
      <w:r w:rsidRPr="00A52585">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Pr="00A52585">
        <w:rPr>
          <w:rFonts w:hint="cs"/>
          <w:rtl/>
        </w:rPr>
        <w:t>محكماته</w:t>
      </w:r>
      <w:proofErr w:type="spellEnd"/>
      <w:r w:rsidR="00DB731D" w:rsidRPr="00A52585">
        <w:rPr>
          <w:rFonts w:hint="cs"/>
          <w:rtl/>
        </w:rPr>
        <w:t>،</w:t>
      </w:r>
      <w:r w:rsidR="0002035C" w:rsidRPr="00A52585">
        <w:rPr>
          <w:rFonts w:hint="cs"/>
          <w:rtl/>
        </w:rPr>
        <w:t xml:space="preserve"> </w:t>
      </w:r>
      <w:r w:rsidRPr="00A52585">
        <w:rPr>
          <w:rFonts w:hint="cs"/>
          <w:bCs/>
          <w:rtl/>
        </w:rPr>
        <w:t>ثانيه</w:t>
      </w:r>
      <w:r w:rsidR="0002035C" w:rsidRPr="00A52585">
        <w:rPr>
          <w:rFonts w:hint="cs"/>
          <w:bCs/>
          <w:rtl/>
        </w:rPr>
        <w:t>:</w:t>
      </w:r>
      <w:r w:rsidRPr="00A52585">
        <w:rPr>
          <w:rFonts w:hint="cs"/>
          <w:bCs/>
          <w:rtl/>
        </w:rPr>
        <w:t xml:space="preserve"> أنه إذا توقف</w:t>
      </w:r>
      <w:r w:rsidRPr="00A52585">
        <w:rPr>
          <w:rFonts w:hint="cs"/>
          <w:rtl/>
        </w:rPr>
        <w:t xml:space="preserve"> الدفاع عن الإسلام على التأويل لهذه المتشابهات وجب تأويلها بما يدفع شبهات المشتبهين ويدر طعن الطاعنين</w:t>
      </w:r>
      <w:r w:rsidR="00DB731D" w:rsidRPr="00A52585">
        <w:rPr>
          <w:rFonts w:hint="cs"/>
          <w:rtl/>
        </w:rPr>
        <w:t>،</w:t>
      </w:r>
      <w:r w:rsidRPr="00A52585">
        <w:rPr>
          <w:rFonts w:hint="cs"/>
          <w:rtl/>
        </w:rPr>
        <w:t xml:space="preserve"> </w:t>
      </w:r>
      <w:r w:rsidRPr="00A52585">
        <w:rPr>
          <w:rFonts w:hint="cs"/>
          <w:bCs/>
          <w:rtl/>
        </w:rPr>
        <w:t>ثالثه</w:t>
      </w:r>
      <w:r w:rsidR="0002035C" w:rsidRPr="00A52585">
        <w:rPr>
          <w:rFonts w:hint="cs"/>
          <w:bCs/>
          <w:rtl/>
        </w:rPr>
        <w:t>:</w:t>
      </w:r>
      <w:r w:rsidRPr="00A52585">
        <w:rPr>
          <w:rFonts w:hint="cs"/>
          <w:bCs/>
          <w:rtl/>
        </w:rPr>
        <w:t xml:space="preserve"> أن المتشابه</w:t>
      </w:r>
      <w:r w:rsidRPr="00A52585">
        <w:rPr>
          <w:rFonts w:hint="cs"/>
          <w:rtl/>
        </w:rPr>
        <w:t xml:space="preserve"> إن كان له تأويل واحد يفهم منه فهما قريبا وجب القول به إجماعا وذلك كقوله سبحانه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معكم أين ما كنتم</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DB731D" w:rsidRPr="00A52585">
        <w:rPr>
          <w:rFonts w:hint="cs"/>
          <w:rtl/>
        </w:rPr>
        <w:t>،</w:t>
      </w:r>
      <w:r w:rsidRPr="00A52585">
        <w:rPr>
          <w:rFonts w:hint="cs"/>
          <w:rtl/>
        </w:rPr>
        <w:t xml:space="preserve"> وأما اختلاف العلماء فيما وراء ذلك فقد وقع على ثلاثة مذاهب</w:t>
      </w:r>
      <w:r w:rsidR="0002035C" w:rsidRPr="00A52585">
        <w:rPr>
          <w:rFonts w:hint="cs"/>
          <w:rtl/>
        </w:rPr>
        <w:t>:</w:t>
      </w:r>
      <w:r w:rsidRPr="00A52585">
        <w:rPr>
          <w:rFonts w:hint="cs"/>
          <w:rtl/>
        </w:rPr>
        <w:t xml:space="preserve"> </w:t>
      </w:r>
      <w:r w:rsidRPr="00A52585">
        <w:rPr>
          <w:rFonts w:hint="cs"/>
          <w:bCs/>
          <w:rtl/>
        </w:rPr>
        <w:t>المذهب الأول</w:t>
      </w:r>
      <w:r w:rsidRPr="00A52585">
        <w:rPr>
          <w:rFonts w:hint="cs"/>
          <w:rtl/>
        </w:rPr>
        <w:t xml:space="preserve"> مذهب السلف</w:t>
      </w:r>
      <w:r w:rsidR="0002035C" w:rsidRPr="00A52585">
        <w:rPr>
          <w:rFonts w:hint="cs"/>
          <w:rtl/>
        </w:rPr>
        <w:t>:</w:t>
      </w:r>
      <w:r w:rsidRPr="00A52585">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02035C" w:rsidRPr="00A52585">
        <w:rPr>
          <w:rFonts w:hint="cs"/>
          <w:rtl/>
        </w:rPr>
        <w:t>:</w:t>
      </w:r>
      <w:r w:rsidRPr="00A52585">
        <w:rPr>
          <w:rFonts w:hint="cs"/>
          <w:rtl/>
        </w:rPr>
        <w:t xml:space="preserve"> أحدهما عقلي</w:t>
      </w:r>
      <w:r w:rsidR="0002035C" w:rsidRPr="00A52585">
        <w:rPr>
          <w:rFonts w:hint="cs"/>
          <w:rtl/>
        </w:rPr>
        <w:t>:</w:t>
      </w:r>
      <w:r w:rsidRPr="00A52585">
        <w:rPr>
          <w:rFonts w:hint="cs"/>
          <w:rtl/>
        </w:rPr>
        <w:t xml:space="preserve"> وهو أن تعيين المراد من هذه المتشابهات إنما يجري على قوانين اللغة واستعمالات العرب وهي لا تفيد إلا الظن</w:t>
      </w:r>
      <w:r w:rsidR="00DB731D" w:rsidRPr="00A52585">
        <w:rPr>
          <w:rFonts w:hint="cs"/>
          <w:rtl/>
        </w:rPr>
        <w:t>،</w:t>
      </w:r>
      <w:r w:rsidRPr="00A52585">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DB731D" w:rsidRPr="00A52585">
        <w:rPr>
          <w:rFonts w:hint="cs"/>
          <w:rtl/>
        </w:rPr>
        <w:t>،</w:t>
      </w:r>
      <w:r w:rsidR="0002035C" w:rsidRPr="00A52585">
        <w:rPr>
          <w:rFonts w:hint="cs"/>
          <w:rtl/>
        </w:rPr>
        <w:t xml:space="preserve"> </w:t>
      </w:r>
      <w:r w:rsidRPr="00A52585">
        <w:rPr>
          <w:rFonts w:hint="cs"/>
          <w:rtl/>
        </w:rPr>
        <w:t>والدليل الثاني نقلي</w:t>
      </w:r>
      <w:r w:rsidR="0002035C" w:rsidRPr="00A52585">
        <w:rPr>
          <w:rFonts w:hint="cs"/>
          <w:rtl/>
        </w:rPr>
        <w:t>:</w:t>
      </w:r>
      <w:r w:rsidRPr="00A52585">
        <w:rPr>
          <w:rFonts w:hint="cs"/>
          <w:rtl/>
        </w:rPr>
        <w:t xml:space="preserve"> يعتمدون فيه على عدة أمور منها حديث عائشة السابق وفيه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فإذا رأيت الذين يتبعون ما تشابه منه فأولئك الذين سمى الله فاحذرهم</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ومنها ما رواه الطبراني في الكبير عن أبي مالك الأشعري أنه سمع رسول الله يقول: (</w:t>
      </w:r>
      <w:r w:rsidR="0002035C" w:rsidRPr="00A52585">
        <w:rPr>
          <w:rFonts w:hint="cs"/>
          <w:rtl/>
        </w:rPr>
        <w:t>(</w:t>
      </w:r>
      <w:r w:rsidRPr="00A52585">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02035C" w:rsidRPr="00A52585">
        <w:rPr>
          <w:rFonts w:hint="cs"/>
          <w:rtl/>
        </w:rPr>
        <w:t>)</w:t>
      </w:r>
      <w:r w:rsidRPr="00A52585">
        <w:rPr>
          <w:rFonts w:hint="cs"/>
          <w:rtl/>
        </w:rPr>
        <w:t>) الحديث</w:t>
      </w:r>
      <w:r w:rsidR="00DB731D" w:rsidRPr="00A52585">
        <w:rPr>
          <w:rFonts w:hint="cs"/>
          <w:rtl/>
        </w:rPr>
        <w:t>،</w:t>
      </w:r>
      <w:r w:rsidRPr="00A52585">
        <w:rPr>
          <w:rFonts w:hint="cs"/>
          <w:rtl/>
        </w:rPr>
        <w:t xml:space="preserve"> ومنها ما أخرجه ابن </w:t>
      </w:r>
      <w:proofErr w:type="spellStart"/>
      <w:r w:rsidRPr="00A52585">
        <w:rPr>
          <w:rFonts w:hint="cs"/>
          <w:rtl/>
        </w:rPr>
        <w:t>مردويه</w:t>
      </w:r>
      <w:proofErr w:type="spellEnd"/>
      <w:r w:rsidRPr="00A52585">
        <w:rPr>
          <w:rFonts w:hint="cs"/>
          <w:rtl/>
        </w:rPr>
        <w:t xml:space="preserve"> عن أبيه عن جده عن رسول الله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القرآن لم ينزل ليكذب بعضه بعضا فما عرفتم منه فاعملوا وما تشابه فآمنوا به))</w:t>
      </w:r>
      <w:r w:rsidR="00DB731D" w:rsidRPr="00A52585">
        <w:rPr>
          <w:rFonts w:hint="cs"/>
          <w:rtl/>
        </w:rPr>
        <w:t>،</w:t>
      </w:r>
      <w:r w:rsidRPr="00A52585">
        <w:rPr>
          <w:rFonts w:hint="cs"/>
          <w:rtl/>
        </w:rPr>
        <w:t xml:space="preserve"> ومنها ما أخرجه الدارمي عن سليمان بن يسار أن رجلا يقال له ابن </w:t>
      </w:r>
      <w:proofErr w:type="spellStart"/>
      <w:r w:rsidRPr="00A52585">
        <w:rPr>
          <w:rFonts w:hint="cs"/>
          <w:rtl/>
        </w:rPr>
        <w:t>صبيغ</w:t>
      </w:r>
      <w:proofErr w:type="spellEnd"/>
      <w:r w:rsidRPr="00A52585">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Pr="00A52585">
        <w:rPr>
          <w:rFonts w:hint="cs"/>
          <w:rtl/>
        </w:rPr>
        <w:t>صبيغ</w:t>
      </w:r>
      <w:proofErr w:type="spellEnd"/>
      <w:r w:rsidRPr="00A52585">
        <w:rPr>
          <w:rFonts w:hint="cs"/>
          <w:rtl/>
        </w:rPr>
        <w:t xml:space="preserve"> فأخذ عمر عرجونا فضربه حتى دمى رأسه وجاء في رواية أخرى فضربه حتى ترك ظهره </w:t>
      </w:r>
      <w:r w:rsidRPr="00A52585">
        <w:rPr>
          <w:rFonts w:hint="cs"/>
          <w:rtl/>
        </w:rPr>
        <w:lastRenderedPageBreak/>
        <w:t>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DB731D" w:rsidRPr="00A52585">
        <w:rPr>
          <w:rFonts w:hint="cs"/>
          <w:rtl/>
        </w:rPr>
        <w:t>،</w:t>
      </w:r>
      <w:r w:rsidRPr="00A52585">
        <w:rPr>
          <w:rFonts w:hint="cs"/>
          <w:rtl/>
        </w:rPr>
        <w:t xml:space="preserve"> ورضي الله عن عمر فإن هذا الأثر يدل على أن ابن </w:t>
      </w:r>
      <w:proofErr w:type="spellStart"/>
      <w:r w:rsidRPr="00A52585">
        <w:rPr>
          <w:rFonts w:hint="cs"/>
          <w:rtl/>
        </w:rPr>
        <w:t>صبيغ</w:t>
      </w:r>
      <w:proofErr w:type="spellEnd"/>
      <w:r w:rsidRPr="00A52585">
        <w:rPr>
          <w:rFonts w:hint="cs"/>
          <w:rtl/>
        </w:rPr>
        <w:t xml:space="preserve"> فتح أو حاول أن يفتح باب فتنة بتتبعه متشابهات القرآن يكثر الكلام فيها ويسأل الناس عنها</w:t>
      </w:r>
      <w:r w:rsidR="00DB731D" w:rsidRPr="00A52585">
        <w:rPr>
          <w:rFonts w:hint="cs"/>
          <w:rtl/>
        </w:rPr>
        <w:t>،</w:t>
      </w:r>
      <w:r w:rsidRPr="00A52585">
        <w:rPr>
          <w:rFonts w:hint="cs"/>
          <w:rtl/>
        </w:rPr>
        <w:t xml:space="preserve"> ومنها ما ورد من أن الإمام مالكا رضي الله عنه سأل عن الاستواء في قوله سبحانه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الاستواء معلوم والكيف مجهول والسؤال عن هذا بدعة وأظنك رجل سوء أخرجوه عني</w:t>
      </w:r>
      <w:r w:rsidR="00DB731D" w:rsidRPr="00A52585">
        <w:rPr>
          <w:rFonts w:hint="cs"/>
          <w:rtl/>
        </w:rPr>
        <w:t>،</w:t>
      </w:r>
      <w:r w:rsidRPr="00A52585">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DB731D" w:rsidRPr="00A52585">
        <w:rPr>
          <w:rFonts w:hint="cs"/>
          <w:rtl/>
        </w:rPr>
        <w:t>،</w:t>
      </w:r>
      <w:r w:rsidRPr="00A52585">
        <w:rPr>
          <w:rFonts w:hint="cs"/>
          <w:rtl/>
        </w:rPr>
        <w:t xml:space="preserve"> قال ابن الصلاح</w:t>
      </w:r>
      <w:r w:rsidR="0002035C" w:rsidRPr="00A52585">
        <w:rPr>
          <w:rFonts w:hint="cs"/>
          <w:rtl/>
        </w:rPr>
        <w:t>:</w:t>
      </w:r>
      <w:r w:rsidRPr="00A52585">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Pr="00A52585">
        <w:rPr>
          <w:rFonts w:hint="cs"/>
          <w:rtl/>
        </w:rPr>
        <w:t>ويأباها</w:t>
      </w:r>
      <w:proofErr w:type="spellEnd"/>
      <w:r w:rsidR="00DB731D" w:rsidRPr="00A52585">
        <w:rPr>
          <w:rFonts w:hint="cs"/>
          <w:rtl/>
        </w:rPr>
        <w:t>،</w:t>
      </w:r>
      <w:r w:rsidRPr="00A52585">
        <w:rPr>
          <w:rFonts w:hint="cs"/>
          <w:rtl/>
        </w:rPr>
        <w:t xml:space="preserve"> </w:t>
      </w:r>
      <w:r w:rsidRPr="00A52585">
        <w:rPr>
          <w:rFonts w:hint="cs"/>
          <w:bCs/>
          <w:rtl/>
        </w:rPr>
        <w:t>المذهب الثاني</w:t>
      </w:r>
      <w:r w:rsidR="0002035C" w:rsidRPr="00A52585">
        <w:rPr>
          <w:rFonts w:hint="cs"/>
          <w:bCs/>
          <w:rtl/>
        </w:rPr>
        <w:t>:</w:t>
      </w:r>
      <w:r w:rsidRPr="00A52585">
        <w:rPr>
          <w:rFonts w:hint="cs"/>
          <w:bCs/>
          <w:rtl/>
        </w:rPr>
        <w:t xml:space="preserve"> مذهب الخلف</w:t>
      </w:r>
      <w:r w:rsidR="00DB731D" w:rsidRPr="00A52585">
        <w:rPr>
          <w:rFonts w:hint="cs"/>
          <w:rtl/>
        </w:rPr>
        <w:t>،</w:t>
      </w:r>
      <w:r w:rsidRPr="00A52585">
        <w:rPr>
          <w:rFonts w:hint="cs"/>
          <w:rtl/>
        </w:rPr>
        <w:t xml:space="preserve"> ويسمى مذهب المؤولة بتشديد الواو وكسرها وهم فريقان</w:t>
      </w:r>
      <w:r w:rsidR="0002035C" w:rsidRPr="00A52585">
        <w:rPr>
          <w:rFonts w:hint="cs"/>
          <w:rtl/>
        </w:rPr>
        <w:t>:</w:t>
      </w:r>
      <w:r w:rsidRPr="00A52585">
        <w:rPr>
          <w:rFonts w:hint="cs"/>
          <w:rtl/>
        </w:rPr>
        <w:t xml:space="preserve"> فريق</w:t>
      </w:r>
      <w:r w:rsidR="0002035C" w:rsidRPr="00A52585">
        <w:rPr>
          <w:rFonts w:hint="cs"/>
          <w:rtl/>
        </w:rPr>
        <w:t>:</w:t>
      </w:r>
      <w:r w:rsidRPr="00A52585">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sidR="00DB731D" w:rsidRPr="00A52585">
        <w:rPr>
          <w:rFonts w:hint="cs"/>
          <w:rtl/>
        </w:rPr>
        <w:t>،</w:t>
      </w:r>
      <w:r w:rsidRPr="00A52585">
        <w:rPr>
          <w:rFonts w:hint="cs"/>
          <w:rtl/>
        </w:rPr>
        <w:t xml:space="preserve"> وفريق</w:t>
      </w:r>
      <w:r w:rsidR="0002035C" w:rsidRPr="00A52585">
        <w:rPr>
          <w:rFonts w:hint="cs"/>
          <w:rtl/>
        </w:rPr>
        <w:t>:</w:t>
      </w:r>
      <w:r w:rsidRPr="00A52585">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DB731D" w:rsidRPr="00A52585">
        <w:rPr>
          <w:rFonts w:hint="cs"/>
          <w:rtl/>
        </w:rPr>
        <w:t>،</w:t>
      </w:r>
      <w:r w:rsidRPr="00A52585">
        <w:rPr>
          <w:rFonts w:hint="cs"/>
          <w:rtl/>
        </w:rPr>
        <w:t xml:space="preserve"> قال السيوطي</w:t>
      </w:r>
      <w:r w:rsidR="0002035C" w:rsidRPr="00A52585">
        <w:rPr>
          <w:rFonts w:hint="cs"/>
          <w:rtl/>
        </w:rPr>
        <w:t>:</w:t>
      </w:r>
      <w:r w:rsidRPr="00A52585">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DB731D" w:rsidRPr="00A52585">
        <w:rPr>
          <w:rFonts w:hint="cs"/>
          <w:rtl/>
        </w:rPr>
        <w:t>،</w:t>
      </w:r>
      <w:r w:rsidR="0002035C" w:rsidRPr="00A52585">
        <w:rPr>
          <w:rFonts w:hint="cs"/>
          <w:rtl/>
        </w:rPr>
        <w:t xml:space="preserve"> </w:t>
      </w:r>
      <w:r w:rsidRPr="00A52585">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02035C" w:rsidRPr="00A52585">
        <w:rPr>
          <w:rFonts w:hint="cs"/>
          <w:rtl/>
        </w:rPr>
        <w:t xml:space="preserve"> </w:t>
      </w:r>
      <w:r w:rsidRPr="00A52585">
        <w:rPr>
          <w:rFonts w:hint="cs"/>
          <w:rtl/>
        </w:rPr>
        <w:t xml:space="preserve">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w:t>
      </w:r>
      <w:r w:rsidRPr="00A52585">
        <w:rPr>
          <w:rFonts w:hint="cs"/>
          <w:rtl/>
        </w:rPr>
        <w:lastRenderedPageBreak/>
        <w:t>من تخاطب العرب قلنا به من غير توقف كما في قوله تعالى يا حسرتي على ما فرطت في جنب الله فنحمله على حق الله وما يجب له اه</w:t>
      </w:r>
      <w:r w:rsidR="0002035C" w:rsidRPr="00A52585">
        <w:rPr>
          <w:rFonts w:hint="cs"/>
          <w:rtl/>
        </w:rPr>
        <w:t xml:space="preserve"> </w:t>
      </w:r>
      <w:r w:rsidRPr="00A52585">
        <w:rPr>
          <w:rFonts w:hint="cs"/>
          <w:rtl/>
        </w:rPr>
        <w:t>تطبيق وتمثيل</w:t>
      </w:r>
      <w:r w:rsidR="00DB731D" w:rsidRPr="00A52585">
        <w:rPr>
          <w:rFonts w:hint="cs"/>
          <w:rtl/>
        </w:rPr>
        <w:t>،</w:t>
      </w:r>
      <w:r w:rsidR="0002035C" w:rsidRPr="00A52585">
        <w:rPr>
          <w:rFonts w:hint="cs"/>
          <w:rtl/>
        </w:rPr>
        <w:t xml:space="preserve"> </w:t>
      </w:r>
      <w:r w:rsidRPr="00A52585">
        <w:rPr>
          <w:rFonts w:hint="cs"/>
          <w:bCs/>
          <w:rtl/>
        </w:rPr>
        <w:t>ولنطبق هذه المذاهب على قوله سبحانه</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الرحمن</w:t>
      </w:r>
      <w:r w:rsidR="0002035C" w:rsidRPr="00A52585">
        <w:rPr>
          <w:rFonts w:hint="cs"/>
          <w:bCs/>
          <w:rtl/>
        </w:rPr>
        <w:t xml:space="preserve"> </w:t>
      </w:r>
      <w:r w:rsidRPr="00A52585">
        <w:rPr>
          <w:rFonts w:hint="cs"/>
          <w:bCs/>
          <w:rtl/>
        </w:rPr>
        <w:t>على العرش استوى</w:t>
      </w:r>
      <w:r w:rsidR="0002035C" w:rsidRPr="00A52585">
        <w:rPr>
          <w:rFonts w:hint="cs"/>
          <w:bCs/>
          <w:rtl/>
        </w:rPr>
        <w:t>}</w:t>
      </w:r>
      <w:r w:rsidR="00DB731D" w:rsidRPr="00A52585">
        <w:rPr>
          <w:rFonts w:hint="cs"/>
          <w:bCs/>
          <w:rtl/>
        </w:rPr>
        <w:t>،</w:t>
      </w:r>
      <w:r w:rsidRPr="00A52585">
        <w:rPr>
          <w:rFonts w:hint="cs"/>
          <w:bCs/>
          <w:rtl/>
        </w:rPr>
        <w:t xml:space="preserve"> فنقول</w:t>
      </w:r>
      <w:r w:rsidR="0002035C" w:rsidRPr="00A52585">
        <w:rPr>
          <w:rFonts w:hint="cs"/>
          <w:bCs/>
          <w:rtl/>
        </w:rPr>
        <w:t>:</w:t>
      </w:r>
      <w:r w:rsidRPr="00A52585">
        <w:rPr>
          <w:rFonts w:hint="cs"/>
          <w:rtl/>
        </w:rPr>
        <w:t xml:space="preserve"> </w:t>
      </w:r>
      <w:r w:rsidRPr="00A52585">
        <w:rPr>
          <w:rFonts w:hint="cs"/>
          <w:bCs/>
          <w:rtl/>
        </w:rPr>
        <w:t>يتفق الجميع من سلف وخلف على أن ظاهر الاستواء على العرش وهو الجلوس عليه مع التمكن والتحيز مستحيل</w:t>
      </w:r>
      <w:r w:rsidR="00DB731D" w:rsidRPr="00A52585">
        <w:rPr>
          <w:rFonts w:hint="cs"/>
          <w:bCs/>
          <w:rtl/>
        </w:rPr>
        <w:t>،</w:t>
      </w:r>
      <w:r w:rsidRPr="00A52585">
        <w:rPr>
          <w:rFonts w:hint="cs"/>
          <w:bCs/>
          <w:rtl/>
        </w:rPr>
        <w:t xml:space="preserve"> لأن الأدلة القاطعة تنزه الله عن أن يشبه خلقه أو يحتاج إلى شيء منه سواء أكان مكانا يحل فيه أم غيره</w:t>
      </w:r>
      <w:r w:rsidR="00DB731D" w:rsidRPr="00A52585">
        <w:rPr>
          <w:rFonts w:hint="cs"/>
          <w:rtl/>
        </w:rPr>
        <w:t>،</w:t>
      </w:r>
      <w:r w:rsidRPr="00A52585">
        <w:rPr>
          <w:rFonts w:hint="cs"/>
          <w:rtl/>
        </w:rPr>
        <w:t xml:space="preserve"> </w:t>
      </w:r>
      <w:r w:rsidRPr="00A52585">
        <w:rPr>
          <w:rFonts w:hint="cs"/>
          <w:bCs/>
          <w:rtl/>
        </w:rPr>
        <w:t>وكذلك اتفق السلف والخلف على أن هذا الظاهر غير مراد لله قطعا لأنه تعالى نفى عن نفسه المماثلة لخلقه وأثبت لنفسه الغنى عنهم فقال</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ليس كمثله شيء</w:t>
      </w:r>
      <w:r w:rsidR="0002035C" w:rsidRPr="00A52585">
        <w:rPr>
          <w:rFonts w:hint="cs"/>
          <w:bCs/>
          <w:rtl/>
        </w:rPr>
        <w:t>}</w:t>
      </w:r>
      <w:r w:rsidR="00DB731D" w:rsidRPr="00A52585">
        <w:rPr>
          <w:rFonts w:hint="cs"/>
          <w:bCs/>
          <w:rtl/>
        </w:rPr>
        <w:t>،</w:t>
      </w:r>
      <w:r w:rsidRPr="00A52585">
        <w:rPr>
          <w:rFonts w:hint="cs"/>
          <w:bCs/>
          <w:rtl/>
        </w:rPr>
        <w:t xml:space="preserve"> وقال</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هو الغني الحميد</w:t>
      </w:r>
      <w:r w:rsidR="0002035C" w:rsidRPr="00A52585">
        <w:rPr>
          <w:rFonts w:hint="cs"/>
          <w:bCs/>
          <w:rtl/>
        </w:rPr>
        <w:t>}</w:t>
      </w:r>
      <w:r w:rsidR="00DB731D" w:rsidRPr="00A52585">
        <w:rPr>
          <w:rFonts w:hint="cs"/>
          <w:bCs/>
          <w:rtl/>
        </w:rPr>
        <w:t>،</w:t>
      </w:r>
      <w:r w:rsidRPr="00A52585">
        <w:rPr>
          <w:rFonts w:hint="cs"/>
          <w:bCs/>
          <w:rtl/>
        </w:rPr>
        <w:t xml:space="preserve"> </w:t>
      </w:r>
      <w:r w:rsidRPr="00A52585">
        <w:rPr>
          <w:rFonts w:hint="cs"/>
          <w:rtl/>
        </w:rPr>
        <w:t>فلو أراد هذا الظاهر لكان متناقضا</w:t>
      </w:r>
      <w:r w:rsidR="00DB731D" w:rsidRPr="00A52585">
        <w:rPr>
          <w:rFonts w:hint="cs"/>
          <w:rtl/>
        </w:rPr>
        <w:t>،</w:t>
      </w:r>
      <w:r w:rsidRPr="00A52585">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DB731D" w:rsidRPr="00A52585">
        <w:rPr>
          <w:rFonts w:hint="cs"/>
          <w:rtl/>
        </w:rPr>
        <w:t>،</w:t>
      </w:r>
      <w:r w:rsidRPr="00A52585">
        <w:rPr>
          <w:rFonts w:hint="cs"/>
          <w:rtl/>
        </w:rPr>
        <w:t xml:space="preserve"> بيد أنهم افترقوا في هذا التأويل فرقتين فطائفة الأشاعرة يؤولون من غير تعيين ويقولون</w:t>
      </w:r>
      <w:r w:rsidR="0002035C" w:rsidRPr="00A52585">
        <w:rPr>
          <w:rFonts w:hint="cs"/>
          <w:rtl/>
        </w:rPr>
        <w:t>:</w:t>
      </w:r>
      <w:r w:rsidRPr="00A52585">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sidR="0002035C" w:rsidRPr="00A52585">
        <w:rPr>
          <w:rFonts w:hint="cs"/>
          <w:rtl/>
        </w:rPr>
        <w:t>:</w:t>
      </w:r>
      <w:r w:rsidRPr="00A52585">
        <w:rPr>
          <w:rFonts w:hint="cs"/>
          <w:rtl/>
        </w:rPr>
        <w:t xml:space="preserve"> إن المراد بالاستواء هنا هو الاستيلاء والقهر من غير معاناة ولا تكلف لأن اللغة تتسع لهذا المعنى ومنه قول الشاعر العربي</w:t>
      </w:r>
      <w:r w:rsidR="0002035C" w:rsidRPr="00A52585">
        <w:rPr>
          <w:rFonts w:hint="cs"/>
          <w:rtl/>
        </w:rPr>
        <w:t>:</w:t>
      </w:r>
      <w:r w:rsidRPr="00A52585">
        <w:rPr>
          <w:rFonts w:hint="cs"/>
          <w:rtl/>
        </w:rPr>
        <w:t xml:space="preserve"> قد استوى بشر على العراق من غير سيف ودم مهراق</w:t>
      </w:r>
      <w:r w:rsidR="0002035C" w:rsidRPr="00A52585">
        <w:rPr>
          <w:rFonts w:hint="cs"/>
          <w:rtl/>
        </w:rPr>
        <w:t xml:space="preserve"> </w:t>
      </w:r>
      <w:r w:rsidRPr="00A52585">
        <w:rPr>
          <w:rFonts w:hint="cs"/>
          <w:rtl/>
        </w:rPr>
        <w:t>أي استوى وقهر أو دبر وحكم فكذلك يكون معنى النص الكريم</w:t>
      </w:r>
      <w:r w:rsidR="0002035C" w:rsidRPr="00A52585">
        <w:rPr>
          <w:rFonts w:hint="cs"/>
          <w:rtl/>
        </w:rPr>
        <w:t>:</w:t>
      </w:r>
      <w:r w:rsidRPr="00A52585">
        <w:rPr>
          <w:rFonts w:hint="cs"/>
          <w:rtl/>
        </w:rPr>
        <w:t xml:space="preserve"> الرحمن استولى على عرش العالم وحكم العالم بقدرته ودبره بمشيئته</w:t>
      </w:r>
      <w:r w:rsidR="00DB731D" w:rsidRPr="00A52585">
        <w:rPr>
          <w:rFonts w:hint="cs"/>
          <w:rtl/>
        </w:rPr>
        <w:t>،</w:t>
      </w:r>
      <w:r w:rsidRPr="00A52585">
        <w:rPr>
          <w:rFonts w:hint="cs"/>
          <w:rtl/>
        </w:rPr>
        <w:t xml:space="preserve"> وابن دقيق العيد يقول بهذا التأويل إن رآه قريبا ويتوقف إن رآه بعيدا</w:t>
      </w:r>
      <w:r w:rsidR="0002035C" w:rsidRPr="00A52585">
        <w:rPr>
          <w:rFonts w:hint="cs"/>
          <w:rtl/>
        </w:rPr>
        <w:t xml:space="preserve"> </w:t>
      </w:r>
      <w:r w:rsidRPr="00A52585">
        <w:rPr>
          <w:rFonts w:hint="cs"/>
          <w:rtl/>
        </w:rPr>
        <w:t>ومثل ذلك في نحو</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ويبقى وجه ربك</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ولتصنع على عيني</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يد الله فوق أيديهم</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والسموات مطويات بيمنه</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يخافون ربهم من فوقهم</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وجاء ربك</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وعنده مفاتح الغيب</w:t>
      </w:r>
      <w:r w:rsidR="0002035C" w:rsidRPr="00A52585">
        <w:rPr>
          <w:rFonts w:hint="cs"/>
          <w:rtl/>
        </w:rPr>
        <w:t>}</w:t>
      </w:r>
      <w:r w:rsidR="00DB731D" w:rsidRPr="00A52585">
        <w:rPr>
          <w:rFonts w:hint="cs"/>
          <w:rtl/>
        </w:rPr>
        <w:t>،</w:t>
      </w:r>
      <w:r w:rsidRPr="00A52585">
        <w:rPr>
          <w:rFonts w:hint="cs"/>
          <w:rtl/>
        </w:rPr>
        <w:t xml:space="preserve"> فالسلف يفوضون في معانيها تفويضا مطلقا بعد تنزيه الله عن ظواهرها المستحيلة</w:t>
      </w:r>
      <w:r w:rsidR="00DB731D" w:rsidRPr="00A52585">
        <w:rPr>
          <w:rFonts w:hint="cs"/>
          <w:rtl/>
        </w:rPr>
        <w:t>،</w:t>
      </w:r>
      <w:r w:rsidRPr="00A52585">
        <w:rPr>
          <w:rFonts w:hint="cs"/>
          <w:rtl/>
        </w:rPr>
        <w:t xml:space="preserve"> والأشاعرة يفسرونها بصفات سمعية زائدة على الصفات التي نعلمها</w:t>
      </w:r>
      <w:r w:rsidR="00DB731D" w:rsidRPr="00A52585">
        <w:rPr>
          <w:rFonts w:hint="cs"/>
          <w:rtl/>
        </w:rPr>
        <w:t>،</w:t>
      </w:r>
      <w:r w:rsidRPr="00A52585">
        <w:rPr>
          <w:rFonts w:hint="cs"/>
          <w:rtl/>
        </w:rPr>
        <w:t xml:space="preserve"> ولكنهم يفوضون الأمر في تعيين هذه الصفات إلى الله فهم </w:t>
      </w:r>
      <w:proofErr w:type="spellStart"/>
      <w:r w:rsidRPr="00A52585">
        <w:rPr>
          <w:rFonts w:hint="cs"/>
          <w:rtl/>
        </w:rPr>
        <w:t>مؤولون</w:t>
      </w:r>
      <w:proofErr w:type="spellEnd"/>
      <w:r w:rsidRPr="00A52585">
        <w:rPr>
          <w:rFonts w:hint="cs"/>
          <w:rtl/>
        </w:rPr>
        <w:t xml:space="preserve"> من وجه مفوضون من وجه</w:t>
      </w:r>
      <w:r w:rsidR="00DB731D" w:rsidRPr="00A52585">
        <w:rPr>
          <w:rFonts w:hint="cs"/>
          <w:rtl/>
        </w:rPr>
        <w:t>،</w:t>
      </w:r>
      <w:r w:rsidRPr="00A52585">
        <w:rPr>
          <w:rFonts w:hint="cs"/>
          <w:rtl/>
        </w:rPr>
        <w:t xml:space="preserve"> والمتأخرون يفسرون الوجه بالذات</w:t>
      </w:r>
      <w:r w:rsidR="00DB731D" w:rsidRPr="00A52585">
        <w:rPr>
          <w:rFonts w:hint="cs"/>
          <w:rtl/>
        </w:rPr>
        <w:t>،</w:t>
      </w:r>
      <w:r w:rsidRPr="00A52585">
        <w:rPr>
          <w:rFonts w:hint="cs"/>
          <w:rtl/>
        </w:rPr>
        <w:t xml:space="preserve"> ولفظ ولتصنع على عيني بتربية موسى ملحوظا بعناية الله وجميل رعايته</w:t>
      </w:r>
      <w:r w:rsidR="00DB731D" w:rsidRPr="00A52585">
        <w:rPr>
          <w:rFonts w:hint="cs"/>
          <w:rtl/>
        </w:rPr>
        <w:t>،</w:t>
      </w:r>
      <w:r w:rsidRPr="00A52585">
        <w:rPr>
          <w:rFonts w:hint="cs"/>
          <w:rtl/>
        </w:rPr>
        <w:t xml:space="preserve"> ولفظ اليد بالقدرة</w:t>
      </w:r>
      <w:r w:rsidR="00DB731D" w:rsidRPr="00A52585">
        <w:rPr>
          <w:rFonts w:hint="cs"/>
          <w:rtl/>
        </w:rPr>
        <w:t>،</w:t>
      </w:r>
      <w:r w:rsidRPr="00A52585">
        <w:rPr>
          <w:rFonts w:hint="cs"/>
          <w:rtl/>
        </w:rPr>
        <w:t xml:space="preserve"> ولفظ اليمين بالقوة</w:t>
      </w:r>
      <w:r w:rsidR="00DB731D" w:rsidRPr="00A52585">
        <w:rPr>
          <w:rFonts w:hint="cs"/>
          <w:rtl/>
        </w:rPr>
        <w:t>،</w:t>
      </w:r>
      <w:r w:rsidRPr="00A52585">
        <w:rPr>
          <w:rFonts w:hint="cs"/>
          <w:rtl/>
        </w:rPr>
        <w:t xml:space="preserve"> والفوقية بالعلو المعنوي دون الحسي</w:t>
      </w:r>
      <w:r w:rsidR="00DB731D" w:rsidRPr="00A52585">
        <w:rPr>
          <w:rFonts w:hint="cs"/>
          <w:rtl/>
        </w:rPr>
        <w:t>،</w:t>
      </w:r>
      <w:r w:rsidRPr="00A52585">
        <w:rPr>
          <w:rFonts w:hint="cs"/>
          <w:rtl/>
        </w:rPr>
        <w:t xml:space="preserve"> والمجيء في قوله </w:t>
      </w:r>
      <w:r w:rsidR="0002035C" w:rsidRPr="00A52585">
        <w:rPr>
          <w:rFonts w:hint="cs"/>
          <w:rtl/>
        </w:rPr>
        <w:t>{</w:t>
      </w:r>
      <w:r w:rsidRPr="00A52585">
        <w:rPr>
          <w:rFonts w:hint="cs"/>
          <w:rtl/>
        </w:rPr>
        <w:t>وجاء ربك</w:t>
      </w:r>
      <w:r w:rsidR="0002035C" w:rsidRPr="00A52585">
        <w:rPr>
          <w:rFonts w:hint="cs"/>
          <w:rtl/>
        </w:rPr>
        <w:t>}</w:t>
      </w:r>
      <w:r w:rsidR="00DB731D" w:rsidRPr="00A52585">
        <w:rPr>
          <w:rFonts w:hint="cs"/>
          <w:rtl/>
        </w:rPr>
        <w:t>،</w:t>
      </w:r>
      <w:r w:rsidRPr="00A52585">
        <w:rPr>
          <w:rFonts w:hint="cs"/>
          <w:rtl/>
        </w:rPr>
        <w:t xml:space="preserve"> بمجيء أمره </w:t>
      </w:r>
      <w:proofErr w:type="spellStart"/>
      <w:r w:rsidRPr="00A52585">
        <w:rPr>
          <w:rFonts w:hint="cs"/>
          <w:rtl/>
        </w:rPr>
        <w:t>والعندية</w:t>
      </w:r>
      <w:proofErr w:type="spellEnd"/>
      <w:r w:rsidRPr="00A52585">
        <w:rPr>
          <w:rFonts w:hint="cs"/>
          <w:rtl/>
        </w:rPr>
        <w:t xml:space="preserve"> في قوله </w:t>
      </w:r>
      <w:r w:rsidR="0002035C" w:rsidRPr="00A52585">
        <w:rPr>
          <w:rFonts w:hint="cs"/>
          <w:rtl/>
        </w:rPr>
        <w:t>{</w:t>
      </w:r>
      <w:r w:rsidRPr="00A52585">
        <w:rPr>
          <w:rFonts w:hint="cs"/>
          <w:rtl/>
        </w:rPr>
        <w:t>وعنده مفاتح الغيب</w:t>
      </w:r>
      <w:r w:rsidR="0002035C" w:rsidRPr="00A52585">
        <w:rPr>
          <w:rFonts w:hint="cs"/>
          <w:rtl/>
        </w:rPr>
        <w:t>}</w:t>
      </w:r>
      <w:r w:rsidR="00DB731D" w:rsidRPr="00A52585">
        <w:rPr>
          <w:rFonts w:hint="cs"/>
          <w:rtl/>
        </w:rPr>
        <w:t>،</w:t>
      </w:r>
      <w:r w:rsidRPr="00A52585">
        <w:rPr>
          <w:rFonts w:hint="cs"/>
          <w:rtl/>
        </w:rPr>
        <w:t xml:space="preserve"> بالإحاطة والتمكن أو بمثل ذلك في الجميع</w:t>
      </w:r>
      <w:r w:rsidR="00DB731D" w:rsidRPr="00A52585">
        <w:rPr>
          <w:rFonts w:hint="cs"/>
          <w:rtl/>
        </w:rPr>
        <w:t>،</w:t>
      </w:r>
      <w:r w:rsidR="0002035C" w:rsidRPr="00A52585">
        <w:rPr>
          <w:rFonts w:hint="cs"/>
          <w:rtl/>
        </w:rPr>
        <w:t xml:space="preserve"> </w:t>
      </w:r>
      <w:r w:rsidRPr="00A52585">
        <w:rPr>
          <w:rFonts w:hint="cs"/>
          <w:bCs/>
          <w:rtl/>
        </w:rPr>
        <w:t>إرشاد وتحذير</w:t>
      </w:r>
      <w:r w:rsidR="0002035C" w:rsidRPr="00A52585">
        <w:rPr>
          <w:rFonts w:hint="cs"/>
          <w:bCs/>
          <w:rtl/>
        </w:rPr>
        <w:t>]:</w:t>
      </w:r>
      <w:r w:rsidRPr="00A52585">
        <w:rPr>
          <w:rFonts w:hint="cs"/>
          <w:bCs/>
          <w:rtl/>
        </w:rPr>
        <w:t xml:space="preserve"> </w:t>
      </w:r>
      <w:r w:rsidRPr="00A52585">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w:t>
      </w:r>
      <w:r w:rsidRPr="00A52585">
        <w:rPr>
          <w:rFonts w:hint="cs"/>
          <w:rtl/>
        </w:rPr>
        <w:lastRenderedPageBreak/>
        <w:t>التشبيه والتنزيه وتحتمل الكفر والإيمان حتى باتت هذه الكلمات نفسها من المتشابهات</w:t>
      </w:r>
      <w:r w:rsidR="00DB731D" w:rsidRPr="00A52585">
        <w:rPr>
          <w:rFonts w:hint="cs"/>
          <w:rtl/>
        </w:rPr>
        <w:t>،</w:t>
      </w:r>
      <w:r w:rsidRPr="00A52585">
        <w:rPr>
          <w:rFonts w:hint="cs"/>
          <w:rtl/>
        </w:rPr>
        <w:t xml:space="preserve"> ومن المؤسف أنهم يواجهون العامة وأشباههم بهذا</w:t>
      </w:r>
      <w:r w:rsidR="00DB731D" w:rsidRPr="00A52585">
        <w:rPr>
          <w:rFonts w:hint="cs"/>
          <w:rtl/>
        </w:rPr>
        <w:t>،</w:t>
      </w:r>
      <w:r w:rsidRPr="00A52585">
        <w:rPr>
          <w:rFonts w:hint="cs"/>
          <w:rtl/>
        </w:rPr>
        <w:t xml:space="preserve"> ومن المحزن أنهم ينسبون ما يقولون إلى سلفنا الصالح ويخيلون إلى الناس أنهم سلفيون من ذلك قولهم</w:t>
      </w:r>
      <w:r w:rsidR="0002035C" w:rsidRPr="00A52585">
        <w:rPr>
          <w:rFonts w:hint="cs"/>
          <w:rtl/>
        </w:rPr>
        <w:t>:</w:t>
      </w:r>
      <w:r w:rsidRPr="00A52585">
        <w:rPr>
          <w:rFonts w:hint="cs"/>
          <w:rtl/>
        </w:rPr>
        <w:t xml:space="preserve"> إن الله تعالى يشار إليه بالإشارة الحسية</w:t>
      </w:r>
      <w:r w:rsidR="00DB731D" w:rsidRPr="00A52585">
        <w:rPr>
          <w:rFonts w:hint="cs"/>
          <w:rtl/>
        </w:rPr>
        <w:t>،</w:t>
      </w:r>
      <w:r w:rsidRPr="00A52585">
        <w:rPr>
          <w:rFonts w:hint="cs"/>
          <w:rtl/>
        </w:rPr>
        <w:t xml:space="preserve"> وله من الجهات الست جهة الفوق</w:t>
      </w:r>
      <w:r w:rsidR="00DB731D" w:rsidRPr="00A52585">
        <w:rPr>
          <w:rFonts w:hint="cs"/>
          <w:rtl/>
        </w:rPr>
        <w:t>،</w:t>
      </w:r>
      <w:r w:rsidRPr="00A52585">
        <w:rPr>
          <w:rFonts w:hint="cs"/>
          <w:rtl/>
        </w:rPr>
        <w:t xml:space="preserve"> ويقولون إنه استوى على عرشه بذاته استواء حقيقا</w:t>
      </w:r>
      <w:r w:rsidR="00DB731D" w:rsidRPr="00A52585">
        <w:rPr>
          <w:rFonts w:hint="cs"/>
          <w:rtl/>
        </w:rPr>
        <w:t>،</w:t>
      </w:r>
      <w:r w:rsidRPr="00A52585">
        <w:rPr>
          <w:rFonts w:hint="cs"/>
          <w:rtl/>
        </w:rPr>
        <w:t xml:space="preserve"> بمعنى أنه استقر فوقه استقرارا حقيقيا غير أنهم يعودون فيقولون</w:t>
      </w:r>
      <w:r w:rsidR="0002035C" w:rsidRPr="00A52585">
        <w:rPr>
          <w:rFonts w:hint="cs"/>
          <w:rtl/>
        </w:rPr>
        <w:t>:</w:t>
      </w:r>
      <w:r w:rsidRPr="00A52585">
        <w:rPr>
          <w:rFonts w:hint="cs"/>
          <w:rtl/>
        </w:rPr>
        <w:t xml:space="preserve"> ليس كاستقرارنا وليس على ما نعرف وهكذا يتناولون أمثال هذه الآية وليس لهم مستند فيما نعلم إلا التشبث بالظواهر</w:t>
      </w:r>
      <w:r w:rsidR="00DB731D" w:rsidRPr="00A52585">
        <w:rPr>
          <w:rFonts w:hint="cs"/>
          <w:rtl/>
        </w:rPr>
        <w:t>،</w:t>
      </w:r>
      <w:r w:rsidRPr="00A52585">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DB731D" w:rsidRPr="00A52585">
        <w:rPr>
          <w:rFonts w:hint="cs"/>
          <w:rtl/>
        </w:rPr>
        <w:t>،</w:t>
      </w:r>
      <w:r w:rsidRPr="00A52585">
        <w:rPr>
          <w:rFonts w:hint="cs"/>
          <w:rtl/>
        </w:rPr>
        <w:t xml:space="preserve"> </w:t>
      </w:r>
      <w:r w:rsidRPr="00A52585">
        <w:rPr>
          <w:rFonts w:hint="cs"/>
          <w:bCs/>
          <w:rtl/>
        </w:rPr>
        <w:t>أما نحن معاشر المسلمين فالعمدة عندنا في أمور العقائد هي الأدلة القطعية التي توافرت على أنه تعالى ليس جسما</w:t>
      </w:r>
      <w:r w:rsidR="00DB731D" w:rsidRPr="00A52585">
        <w:rPr>
          <w:rFonts w:hint="cs"/>
          <w:bCs/>
          <w:rtl/>
        </w:rPr>
        <w:t>،</w:t>
      </w:r>
      <w:r w:rsidRPr="00A52585">
        <w:rPr>
          <w:rFonts w:hint="cs"/>
          <w:bCs/>
          <w:rtl/>
        </w:rPr>
        <w:t xml:space="preserve"> ولا متحيزا</w:t>
      </w:r>
      <w:r w:rsidR="00DB731D" w:rsidRPr="00A52585">
        <w:rPr>
          <w:rFonts w:hint="cs"/>
          <w:bCs/>
          <w:rtl/>
        </w:rPr>
        <w:t>،</w:t>
      </w:r>
      <w:r w:rsidRPr="00A52585">
        <w:rPr>
          <w:rFonts w:hint="cs"/>
          <w:bCs/>
          <w:rtl/>
        </w:rPr>
        <w:t xml:space="preserve"> ولا متجزئا</w:t>
      </w:r>
      <w:r w:rsidR="00DB731D" w:rsidRPr="00A52585">
        <w:rPr>
          <w:rFonts w:hint="cs"/>
          <w:bCs/>
          <w:rtl/>
        </w:rPr>
        <w:t>،</w:t>
      </w:r>
      <w:r w:rsidRPr="00A52585">
        <w:rPr>
          <w:rFonts w:hint="cs"/>
          <w:bCs/>
          <w:rtl/>
        </w:rPr>
        <w:t xml:space="preserve"> ولا </w:t>
      </w:r>
      <w:proofErr w:type="spellStart"/>
      <w:r w:rsidRPr="00A52585">
        <w:rPr>
          <w:rFonts w:hint="cs"/>
          <w:bCs/>
          <w:rtl/>
        </w:rPr>
        <w:t>متركبا</w:t>
      </w:r>
      <w:proofErr w:type="spellEnd"/>
      <w:r w:rsidR="00DB731D" w:rsidRPr="00A52585">
        <w:rPr>
          <w:rFonts w:hint="cs"/>
          <w:bCs/>
          <w:rtl/>
        </w:rPr>
        <w:t>،</w:t>
      </w:r>
      <w:r w:rsidRPr="00A52585">
        <w:rPr>
          <w:rFonts w:hint="cs"/>
          <w:bCs/>
          <w:rtl/>
        </w:rPr>
        <w:t xml:space="preserve"> ولا محتاجا لأحد</w:t>
      </w:r>
      <w:r w:rsidR="00DB731D" w:rsidRPr="00A52585">
        <w:rPr>
          <w:rFonts w:hint="cs"/>
          <w:bCs/>
          <w:rtl/>
        </w:rPr>
        <w:t>،</w:t>
      </w:r>
      <w:r w:rsidRPr="00A52585">
        <w:rPr>
          <w:rFonts w:hint="cs"/>
          <w:bCs/>
          <w:rtl/>
        </w:rPr>
        <w:t xml:space="preserve"> ولا إلى مكان</w:t>
      </w:r>
      <w:r w:rsidR="00DB731D" w:rsidRPr="00A52585">
        <w:rPr>
          <w:rFonts w:hint="cs"/>
          <w:bCs/>
          <w:rtl/>
        </w:rPr>
        <w:t>،</w:t>
      </w:r>
      <w:r w:rsidRPr="00A52585">
        <w:rPr>
          <w:rFonts w:hint="cs"/>
          <w:bCs/>
          <w:rtl/>
        </w:rPr>
        <w:t xml:space="preserve"> ولا إلى زمان ولا نحو ذلك</w:t>
      </w:r>
      <w:r w:rsidR="00DB731D" w:rsidRPr="00A52585">
        <w:rPr>
          <w:rFonts w:hint="cs"/>
          <w:bCs/>
          <w:rtl/>
        </w:rPr>
        <w:t>،</w:t>
      </w:r>
      <w:r w:rsidRPr="00A52585">
        <w:rPr>
          <w:rFonts w:hint="cs"/>
          <w:rtl/>
        </w:rPr>
        <w:t xml:space="preserve"> ولقد جاء القرآن بهذا في </w:t>
      </w:r>
      <w:proofErr w:type="spellStart"/>
      <w:r w:rsidRPr="00A52585">
        <w:rPr>
          <w:rFonts w:hint="cs"/>
          <w:rtl/>
        </w:rPr>
        <w:t>محكماته</w:t>
      </w:r>
      <w:proofErr w:type="spellEnd"/>
      <w:r w:rsidRPr="00A52585">
        <w:rPr>
          <w:rFonts w:hint="cs"/>
          <w:rtl/>
        </w:rPr>
        <w:t xml:space="preserve"> إذ يقول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w:t>
      </w:r>
      <w:r w:rsidR="00DB731D" w:rsidRPr="00A52585">
        <w:rPr>
          <w:rFonts w:hint="cs"/>
          <w:rtl/>
        </w:rPr>
        <w:t>،</w:t>
      </w:r>
      <w:r w:rsidRPr="00A52585">
        <w:rPr>
          <w:rFonts w:hint="cs"/>
          <w:rtl/>
        </w:rPr>
        <w:t xml:space="preserve"> ويقول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 هو الله أحد * الله الصمد * لم يلد ولم يولد * ولم يكن له كفوا أحد</w:t>
      </w:r>
      <w:r w:rsidR="0002035C" w:rsidRPr="00A52585">
        <w:rPr>
          <w:rFonts w:hint="cs"/>
          <w:rtl/>
        </w:rPr>
        <w:t>}</w:t>
      </w:r>
      <w:r w:rsidRPr="00A52585">
        <w:rPr>
          <w:rFonts w:hint="cs"/>
          <w:rtl/>
        </w:rPr>
        <w:t xml:space="preserve"> ويقول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تكفروا فإن الله غني عنكم ولا يرضى لعباده الكفر وإن تشكروا يرضه لكم</w:t>
      </w:r>
      <w:r w:rsidR="0002035C" w:rsidRPr="00A52585">
        <w:rPr>
          <w:rFonts w:hint="cs"/>
          <w:rtl/>
        </w:rPr>
        <w:t>}</w:t>
      </w:r>
      <w:r w:rsidR="00DB731D" w:rsidRPr="00A52585">
        <w:rPr>
          <w:rFonts w:hint="cs"/>
          <w:rtl/>
        </w:rPr>
        <w:t>،</w:t>
      </w:r>
      <w:r w:rsidRPr="00A52585">
        <w:rPr>
          <w:rFonts w:hint="cs"/>
          <w:rtl/>
        </w:rPr>
        <w:t xml:space="preserve"> ويقول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يأيها الناس أنتم الفقراء إلى الله والله هو الغني الحميد</w:t>
      </w:r>
      <w:r w:rsidR="0002035C" w:rsidRPr="00A52585">
        <w:rPr>
          <w:rFonts w:hint="cs"/>
          <w:rtl/>
        </w:rPr>
        <w:t>}</w:t>
      </w:r>
      <w:r w:rsidR="00DB731D" w:rsidRPr="00A52585">
        <w:rPr>
          <w:rFonts w:hint="cs"/>
          <w:rtl/>
        </w:rPr>
        <w:t>،</w:t>
      </w:r>
      <w:r w:rsidRPr="00A52585">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DB731D" w:rsidRPr="00A52585">
        <w:rPr>
          <w:rFonts w:hint="cs"/>
          <w:rtl/>
        </w:rPr>
        <w:t>،</w:t>
      </w:r>
      <w:r w:rsidRPr="00A52585">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DB731D" w:rsidRPr="00A52585">
        <w:rPr>
          <w:rFonts w:hint="cs"/>
          <w:rtl/>
        </w:rPr>
        <w:t>،</w:t>
      </w:r>
      <w:r w:rsidRPr="00A52585">
        <w:rPr>
          <w:rFonts w:hint="cs"/>
          <w:rtl/>
        </w:rPr>
        <w:t xml:space="preserve"> ينفون هذه اللوازم مع أن القول بثبوت الملزومات ونفي لوازمها تناقض لا </w:t>
      </w:r>
      <w:proofErr w:type="spellStart"/>
      <w:r w:rsidRPr="00A52585">
        <w:rPr>
          <w:rFonts w:hint="cs"/>
          <w:rtl/>
        </w:rPr>
        <w:t>يرضاه</w:t>
      </w:r>
      <w:proofErr w:type="spellEnd"/>
      <w:r w:rsidRPr="00A52585">
        <w:rPr>
          <w:rFonts w:hint="cs"/>
          <w:rtl/>
        </w:rPr>
        <w:t xml:space="preserve"> لنفسه عاقل</w:t>
      </w:r>
      <w:r w:rsidR="00DB731D" w:rsidRPr="00A52585">
        <w:rPr>
          <w:rFonts w:hint="cs"/>
          <w:rtl/>
        </w:rPr>
        <w:t>،</w:t>
      </w:r>
      <w:r w:rsidRPr="00A52585">
        <w:rPr>
          <w:rFonts w:hint="cs"/>
          <w:rtl/>
        </w:rPr>
        <w:t xml:space="preserve"> فضلا عن طالب أو عالم</w:t>
      </w:r>
      <w:r w:rsidR="00DB731D" w:rsidRPr="00A52585">
        <w:rPr>
          <w:rFonts w:hint="cs"/>
          <w:rtl/>
        </w:rPr>
        <w:t>،</w:t>
      </w:r>
      <w:r w:rsidRPr="00A52585">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02035C" w:rsidRPr="00A52585">
        <w:rPr>
          <w:rFonts w:hint="cs"/>
          <w:rtl/>
        </w:rPr>
        <w:t>:</w:t>
      </w:r>
      <w:r w:rsidRPr="00A52585">
        <w:rPr>
          <w:rFonts w:hint="cs"/>
          <w:rtl/>
        </w:rPr>
        <w:t xml:space="preserve"> ليس هذا الاستواء على ما نعرف يفيد أنه ليس الجلوس المعروف المستلزم للجسمية والتحيز</w:t>
      </w:r>
      <w:r w:rsidR="00DB731D" w:rsidRPr="00A52585">
        <w:rPr>
          <w:rFonts w:hint="cs"/>
          <w:rtl/>
        </w:rPr>
        <w:t>،</w:t>
      </w:r>
      <w:r w:rsidRPr="00A52585">
        <w:rPr>
          <w:rFonts w:hint="cs"/>
          <w:rtl/>
        </w:rPr>
        <w:t xml:space="preserve"> فكأنهم يقولون إنه مستو غير مستو</w:t>
      </w:r>
      <w:r w:rsidR="00DB731D" w:rsidRPr="00A52585">
        <w:rPr>
          <w:rFonts w:hint="cs"/>
          <w:rtl/>
        </w:rPr>
        <w:t>،</w:t>
      </w:r>
      <w:r w:rsidRPr="00A52585">
        <w:rPr>
          <w:rFonts w:hint="cs"/>
          <w:rtl/>
        </w:rPr>
        <w:t xml:space="preserve"> ومستقر فوق العرش غير مستقر</w:t>
      </w:r>
      <w:r w:rsidR="00DB731D" w:rsidRPr="00A52585">
        <w:rPr>
          <w:rFonts w:hint="cs"/>
          <w:rtl/>
        </w:rPr>
        <w:t>،</w:t>
      </w:r>
      <w:r w:rsidRPr="00A52585">
        <w:rPr>
          <w:rFonts w:hint="cs"/>
          <w:rtl/>
        </w:rPr>
        <w:t xml:space="preserve"> أو متحيز غير متحيز</w:t>
      </w:r>
      <w:r w:rsidR="00DB731D" w:rsidRPr="00A52585">
        <w:rPr>
          <w:rFonts w:hint="cs"/>
          <w:rtl/>
        </w:rPr>
        <w:t>،</w:t>
      </w:r>
      <w:r w:rsidRPr="00A52585">
        <w:rPr>
          <w:rFonts w:hint="cs"/>
          <w:rtl/>
        </w:rPr>
        <w:t xml:space="preserve"> وجسم غير جسم</w:t>
      </w:r>
      <w:r w:rsidR="00DB731D" w:rsidRPr="00A52585">
        <w:rPr>
          <w:rFonts w:hint="cs"/>
          <w:rtl/>
        </w:rPr>
        <w:t>،</w:t>
      </w:r>
      <w:r w:rsidRPr="00A52585">
        <w:rPr>
          <w:rFonts w:hint="cs"/>
          <w:rtl/>
        </w:rPr>
        <w:t xml:space="preserve"> أو أن الاستواء على العرش ليس هو الاستواء على العرش</w:t>
      </w:r>
      <w:r w:rsidR="00DB731D" w:rsidRPr="00A52585">
        <w:rPr>
          <w:rFonts w:hint="cs"/>
          <w:rtl/>
        </w:rPr>
        <w:t>،</w:t>
      </w:r>
      <w:r w:rsidRPr="00A52585">
        <w:rPr>
          <w:rFonts w:hint="cs"/>
          <w:rtl/>
        </w:rPr>
        <w:t xml:space="preserve"> والاستقرار فوقه ليس هو الاستقرار فوقه</w:t>
      </w:r>
      <w:r w:rsidR="00DB731D" w:rsidRPr="00A52585">
        <w:rPr>
          <w:rFonts w:hint="cs"/>
          <w:rtl/>
        </w:rPr>
        <w:t>،</w:t>
      </w:r>
      <w:r w:rsidRPr="00A52585">
        <w:rPr>
          <w:rFonts w:hint="cs"/>
          <w:rtl/>
        </w:rPr>
        <w:t xml:space="preserve"> إلى غير ذلك من الإسفاف والتهافت</w:t>
      </w:r>
      <w:r w:rsidR="00DB731D" w:rsidRPr="00A52585">
        <w:rPr>
          <w:rFonts w:hint="cs"/>
          <w:rtl/>
        </w:rPr>
        <w:t>،</w:t>
      </w:r>
      <w:r w:rsidRPr="00A52585">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w:t>
      </w:r>
      <w:r w:rsidRPr="00A52585">
        <w:rPr>
          <w:rFonts w:hint="cs"/>
          <w:rtl/>
        </w:rPr>
        <w:lastRenderedPageBreak/>
        <w:t xml:space="preserve">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Pr="00A52585">
        <w:rPr>
          <w:rFonts w:hint="cs"/>
          <w:rtl/>
        </w:rPr>
        <w:t>يواجهونهم</w:t>
      </w:r>
      <w:proofErr w:type="spellEnd"/>
      <w:r w:rsidRPr="00A52585">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Pr="00A52585">
        <w:rPr>
          <w:rFonts w:hint="cs"/>
          <w:rtl/>
        </w:rPr>
        <w:t>صبيغ</w:t>
      </w:r>
      <w:proofErr w:type="spellEnd"/>
      <w:r w:rsidRPr="00A52585">
        <w:rPr>
          <w:rFonts w:hint="cs"/>
          <w:rtl/>
        </w:rPr>
        <w:t xml:space="preserve"> وجعل مالكا يقول ما يقول ويفعل ما يفعل بالذي سأله عن الاستواء وقد مر بك هذا وذاك</w:t>
      </w:r>
      <w:r w:rsidR="00DB731D" w:rsidRPr="00A52585">
        <w:rPr>
          <w:rFonts w:hint="cs"/>
          <w:rtl/>
        </w:rPr>
        <w:t>،</w:t>
      </w:r>
      <w:r w:rsidRPr="00A52585">
        <w:rPr>
          <w:rFonts w:hint="cs"/>
          <w:rtl/>
        </w:rPr>
        <w:t xml:space="preserve"> لو أنصف هؤلاء</w:t>
      </w:r>
      <w:r w:rsidR="0002035C" w:rsidRPr="00A52585">
        <w:rPr>
          <w:rFonts w:hint="cs"/>
          <w:rtl/>
        </w:rPr>
        <w:t>:</w:t>
      </w:r>
      <w:r w:rsidRPr="00A52585">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DB731D" w:rsidRPr="00A52585">
        <w:rPr>
          <w:rFonts w:hint="cs"/>
          <w:rtl/>
        </w:rPr>
        <w:t>،</w:t>
      </w:r>
      <w:r w:rsidRPr="00A52585">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Pr="00A52585">
        <w:rPr>
          <w:rFonts w:hint="cs"/>
          <w:rtl/>
        </w:rPr>
        <w:t>ويرضاه</w:t>
      </w:r>
      <w:proofErr w:type="spellEnd"/>
      <w:r w:rsidRPr="00A52585">
        <w:rPr>
          <w:rFonts w:hint="cs"/>
          <w:rtl/>
        </w:rPr>
        <w:t xml:space="preserve"> آمين</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دفع الشبهات الواردة في هذا المقام</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الشبهة الأولى ودفعها</w:t>
      </w:r>
      <w:r w:rsidR="0002035C" w:rsidRPr="00A52585">
        <w:rPr>
          <w:rFonts w:hint="cs"/>
          <w:rtl/>
        </w:rPr>
        <w:t>):</w:t>
      </w:r>
      <w:r w:rsidRPr="00A52585">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DB731D" w:rsidRPr="00A52585">
        <w:rPr>
          <w:rFonts w:hint="cs"/>
          <w:rtl/>
        </w:rPr>
        <w:t>،</w:t>
      </w:r>
      <w:r w:rsidRPr="00A52585">
        <w:rPr>
          <w:rFonts w:hint="cs"/>
          <w:rtl/>
        </w:rPr>
        <w:t xml:space="preserve"> </w:t>
      </w:r>
      <w:r w:rsidRPr="00A52585">
        <w:rPr>
          <w:rFonts w:hint="cs"/>
          <w:bCs/>
          <w:rtl/>
        </w:rPr>
        <w:t>وندفع هذه الشبهة بأمور</w:t>
      </w:r>
      <w:r w:rsidR="0002035C" w:rsidRPr="00A52585">
        <w:rPr>
          <w:rFonts w:hint="cs"/>
          <w:bCs/>
          <w:rtl/>
        </w:rPr>
        <w:t>:</w:t>
      </w:r>
      <w:r w:rsidRPr="00A52585">
        <w:rPr>
          <w:rFonts w:hint="cs"/>
          <w:bCs/>
          <w:rtl/>
        </w:rPr>
        <w:t xml:space="preserve"> أولها</w:t>
      </w:r>
      <w:r w:rsidR="0002035C" w:rsidRPr="00A52585">
        <w:rPr>
          <w:rFonts w:hint="cs"/>
          <w:bCs/>
          <w:rtl/>
        </w:rPr>
        <w:t>:</w:t>
      </w:r>
      <w:r w:rsidRPr="00A52585">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sidRPr="00A52585">
        <w:rPr>
          <w:rFonts w:hint="cs"/>
          <w:rtl/>
        </w:rPr>
        <w:t>ألبتة</w:t>
      </w:r>
      <w:proofErr w:type="spellEnd"/>
      <w:r w:rsidRPr="00A52585">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DB731D" w:rsidRPr="00A52585">
        <w:rPr>
          <w:rFonts w:hint="cs"/>
          <w:rtl/>
        </w:rPr>
        <w:t>،</w:t>
      </w:r>
      <w:r w:rsidRPr="00A52585">
        <w:rPr>
          <w:rFonts w:hint="cs"/>
          <w:rtl/>
        </w:rPr>
        <w:t xml:space="preserve"> </w:t>
      </w:r>
      <w:r w:rsidRPr="00A52585">
        <w:rPr>
          <w:rFonts w:hint="cs"/>
          <w:bCs/>
          <w:rtl/>
        </w:rPr>
        <w:lastRenderedPageBreak/>
        <w:t>ثانيا</w:t>
      </w:r>
      <w:r w:rsidR="0002035C" w:rsidRPr="00A52585">
        <w:rPr>
          <w:rFonts w:hint="cs"/>
          <w:bCs/>
          <w:rtl/>
        </w:rPr>
        <w:t>:</w:t>
      </w:r>
      <w:r w:rsidRPr="00A52585">
        <w:rPr>
          <w:rFonts w:hint="cs"/>
          <w:bCs/>
          <w:rtl/>
        </w:rPr>
        <w:t xml:space="preserve"> </w:t>
      </w:r>
      <w:r w:rsidRPr="00A52585">
        <w:rPr>
          <w:rFonts w:hint="cs"/>
          <w:rtl/>
        </w:rPr>
        <w:t>نقول لهؤلاء أين كان الله قبل أن يخلق العرش والفرش والسماء والأرض</w:t>
      </w:r>
      <w:r w:rsidR="00DB731D" w:rsidRPr="00A52585">
        <w:rPr>
          <w:rFonts w:hint="cs"/>
          <w:rtl/>
        </w:rPr>
        <w:t>،</w:t>
      </w:r>
      <w:r w:rsidRPr="00A52585">
        <w:rPr>
          <w:rFonts w:hint="cs"/>
          <w:rtl/>
        </w:rPr>
        <w:t xml:space="preserve"> وقبل أن يخلق الزمان والمكان</w:t>
      </w:r>
      <w:r w:rsidR="00DB731D" w:rsidRPr="00A52585">
        <w:rPr>
          <w:rFonts w:hint="cs"/>
          <w:rtl/>
        </w:rPr>
        <w:t>،</w:t>
      </w:r>
      <w:r w:rsidRPr="00A52585">
        <w:rPr>
          <w:rFonts w:hint="cs"/>
          <w:rtl/>
        </w:rPr>
        <w:t xml:space="preserve"> وقبل أن تكون هناك جهات ست</w:t>
      </w:r>
      <w:r w:rsidR="00F95886" w:rsidRPr="00A52585">
        <w:rPr>
          <w:rFonts w:hint="cs"/>
          <w:rtl/>
        </w:rPr>
        <w:t>؟</w:t>
      </w:r>
      <w:r w:rsidRPr="00A52585">
        <w:rPr>
          <w:rFonts w:hint="cs"/>
          <w:rtl/>
        </w:rPr>
        <w:t xml:space="preserve"> فإن قالوا</w:t>
      </w:r>
      <w:r w:rsidR="0002035C" w:rsidRPr="00A52585">
        <w:rPr>
          <w:rFonts w:hint="cs"/>
          <w:rtl/>
        </w:rPr>
        <w:t>:</w:t>
      </w:r>
      <w:r w:rsidRPr="00A52585">
        <w:rPr>
          <w:rFonts w:hint="cs"/>
          <w:rtl/>
        </w:rPr>
        <w:t xml:space="preserve"> لم يكن له جهة ولا مكان</w:t>
      </w:r>
      <w:r w:rsidR="00DB731D" w:rsidRPr="00A52585">
        <w:rPr>
          <w:rFonts w:hint="cs"/>
          <w:rtl/>
        </w:rPr>
        <w:t>،</w:t>
      </w:r>
      <w:r w:rsidRPr="00A52585">
        <w:rPr>
          <w:rFonts w:hint="cs"/>
          <w:rtl/>
        </w:rPr>
        <w:t xml:space="preserve"> نقول قد اعترفتم بما نقول نحن به وهو الآن على ما عليه كان</w:t>
      </w:r>
      <w:r w:rsidR="00DB731D" w:rsidRPr="00A52585">
        <w:rPr>
          <w:rFonts w:hint="cs"/>
          <w:rtl/>
        </w:rPr>
        <w:t>،</w:t>
      </w:r>
      <w:r w:rsidRPr="00A52585">
        <w:rPr>
          <w:rFonts w:hint="cs"/>
          <w:rtl/>
        </w:rPr>
        <w:t xml:space="preserve"> لا جهة له ولا مكان</w:t>
      </w:r>
      <w:r w:rsidR="00DB731D" w:rsidRPr="00A52585">
        <w:rPr>
          <w:rFonts w:hint="cs"/>
          <w:rtl/>
        </w:rPr>
        <w:t>،</w:t>
      </w:r>
      <w:r w:rsidRPr="00A52585">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DB731D" w:rsidRPr="00A52585">
        <w:rPr>
          <w:rFonts w:hint="cs"/>
          <w:rtl/>
        </w:rPr>
        <w:t>،</w:t>
      </w:r>
      <w:r w:rsidRPr="00A52585">
        <w:rPr>
          <w:rFonts w:hint="cs"/>
          <w:rtl/>
        </w:rPr>
        <w:t xml:space="preserve"> </w:t>
      </w:r>
      <w:r w:rsidRPr="00A52585">
        <w:rPr>
          <w:rFonts w:hint="cs"/>
          <w:bCs/>
          <w:rtl/>
        </w:rPr>
        <w:t>ثالثا</w:t>
      </w:r>
      <w:r w:rsidR="0002035C" w:rsidRPr="00A52585">
        <w:rPr>
          <w:rFonts w:hint="cs"/>
          <w:bCs/>
          <w:rtl/>
        </w:rPr>
        <w:t>:</w:t>
      </w:r>
      <w:r w:rsidRPr="00A52585">
        <w:rPr>
          <w:rFonts w:hint="cs"/>
          <w:bCs/>
          <w:rtl/>
        </w:rPr>
        <w:t xml:space="preserve"> </w:t>
      </w:r>
      <w:r w:rsidRPr="00A52585">
        <w:rPr>
          <w:rFonts w:hint="cs"/>
          <w:rtl/>
        </w:rPr>
        <w:t>نقول لهؤلاء إذا كنتم تأخذون بظواهر النصوص على حقيقتها فماذا تفعلون بمثل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ءأمنتم من في السماء</w:t>
      </w:r>
      <w:r w:rsidR="0002035C" w:rsidRPr="00A52585">
        <w:rPr>
          <w:rFonts w:hint="cs"/>
          <w:rtl/>
        </w:rPr>
        <w:t>}</w:t>
      </w:r>
      <w:r w:rsidR="00DB731D" w:rsidRPr="00A52585">
        <w:rPr>
          <w:rFonts w:hint="cs"/>
          <w:rtl/>
        </w:rPr>
        <w:t>،</w:t>
      </w:r>
      <w:r w:rsidRPr="00A52585">
        <w:rPr>
          <w:rFonts w:hint="cs"/>
          <w:rtl/>
        </w:rPr>
        <w:t xml:space="preserve"> مع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الله في السموات وفي الأرض</w:t>
      </w:r>
      <w:r w:rsidR="0002035C" w:rsidRPr="00A52585">
        <w:rPr>
          <w:rFonts w:hint="cs"/>
          <w:rtl/>
        </w:rPr>
        <w:t>}</w:t>
      </w:r>
      <w:r w:rsidR="00DB731D" w:rsidRPr="00A52585">
        <w:rPr>
          <w:rFonts w:hint="cs"/>
          <w:rtl/>
        </w:rPr>
        <w:t>،</w:t>
      </w:r>
      <w:r w:rsidRPr="00A52585">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DB731D" w:rsidRPr="00A52585">
        <w:rPr>
          <w:rFonts w:hint="cs"/>
          <w:rtl/>
        </w:rPr>
        <w:t>،</w:t>
      </w:r>
      <w:r w:rsidRPr="00A52585">
        <w:rPr>
          <w:rFonts w:hint="cs"/>
          <w:rtl/>
        </w:rPr>
        <w:t xml:space="preserve"> ثم ألا يعلمون أن الجهات أمور نسبية فما هو فوق بالنسبة إلينا يكون تحتا بالنسبة إلى غيرنا فأين يذهبون</w:t>
      </w:r>
      <w:r w:rsidR="00DB731D" w:rsidRPr="00A52585">
        <w:rPr>
          <w:rFonts w:hint="cs"/>
          <w:rtl/>
        </w:rPr>
        <w:t>،</w:t>
      </w:r>
      <w:r w:rsidRPr="00A52585">
        <w:rPr>
          <w:rFonts w:hint="cs"/>
          <w:rtl/>
        </w:rPr>
        <w:t xml:space="preserve"> </w:t>
      </w:r>
      <w:r w:rsidRPr="00A52585">
        <w:rPr>
          <w:rFonts w:hint="cs"/>
          <w:bCs/>
          <w:rtl/>
        </w:rPr>
        <w:t>رابعا</w:t>
      </w:r>
      <w:r w:rsidR="0002035C" w:rsidRPr="00A52585">
        <w:rPr>
          <w:rFonts w:hint="cs"/>
          <w:bCs/>
          <w:rtl/>
        </w:rPr>
        <w:t>:</w:t>
      </w:r>
      <w:r w:rsidRPr="00A52585">
        <w:rPr>
          <w:rFonts w:hint="cs"/>
          <w:bCs/>
          <w:rtl/>
        </w:rPr>
        <w:t xml:space="preserve"> </w:t>
      </w:r>
      <w:r w:rsidRPr="00A52585">
        <w:rPr>
          <w:rFonts w:hint="cs"/>
          <w:rtl/>
        </w:rPr>
        <w:t>نقول لهؤلاء</w:t>
      </w:r>
      <w:r w:rsidRPr="00A52585">
        <w:rPr>
          <w:rFonts w:hint="cs"/>
          <w:bCs/>
          <w:rtl/>
        </w:rPr>
        <w:t xml:space="preserve"> </w:t>
      </w:r>
      <w:r w:rsidRPr="00A52585">
        <w:rPr>
          <w:rFonts w:hint="cs"/>
          <w:rtl/>
        </w:rPr>
        <w:t>ماذا تقولون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يد الله فوق أيديهم</w:t>
      </w:r>
      <w:r w:rsidR="0002035C" w:rsidRPr="00A52585">
        <w:rPr>
          <w:rFonts w:hint="cs"/>
          <w:rtl/>
        </w:rPr>
        <w:t>}</w:t>
      </w:r>
      <w:r w:rsidRPr="00A52585">
        <w:rPr>
          <w:rFonts w:hint="cs"/>
          <w:rtl/>
        </w:rPr>
        <w:t xml:space="preserve"> بإفراد اليد مع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لما خلقت بيدي</w:t>
      </w:r>
      <w:r w:rsidR="0002035C" w:rsidRPr="00A52585">
        <w:rPr>
          <w:rFonts w:hint="cs"/>
          <w:rtl/>
        </w:rPr>
        <w:t>}</w:t>
      </w:r>
      <w:r w:rsidRPr="00A52585">
        <w:rPr>
          <w:rFonts w:hint="cs"/>
          <w:rtl/>
        </w:rPr>
        <w:t xml:space="preserve"> بتثنيتها</w:t>
      </w:r>
      <w:r w:rsidR="00DB731D" w:rsidRPr="00A52585">
        <w:rPr>
          <w:rFonts w:hint="cs"/>
          <w:rtl/>
        </w:rPr>
        <w:t>،</w:t>
      </w:r>
      <w:r w:rsidRPr="00A52585">
        <w:rPr>
          <w:rFonts w:hint="cs"/>
          <w:rtl/>
        </w:rPr>
        <w:t xml:space="preserve"> ومع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والسماء بنيناها </w:t>
      </w:r>
      <w:proofErr w:type="spellStart"/>
      <w:r w:rsidRPr="00A52585">
        <w:rPr>
          <w:rFonts w:hint="cs"/>
          <w:rtl/>
        </w:rPr>
        <w:t>بأييد</w:t>
      </w:r>
      <w:proofErr w:type="spellEnd"/>
      <w:r w:rsidR="0002035C" w:rsidRPr="00A52585">
        <w:rPr>
          <w:rFonts w:hint="cs"/>
          <w:rtl/>
        </w:rPr>
        <w:t>}</w:t>
      </w:r>
      <w:r w:rsidR="00DB731D" w:rsidRPr="00A52585">
        <w:rPr>
          <w:rFonts w:hint="cs"/>
          <w:rtl/>
        </w:rPr>
        <w:t>،</w:t>
      </w:r>
      <w:r w:rsidRPr="00A52585">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DB731D" w:rsidRPr="00A52585">
        <w:rPr>
          <w:rFonts w:hint="cs"/>
          <w:rtl/>
        </w:rPr>
        <w:t>،</w:t>
      </w:r>
      <w:r w:rsidRPr="00A52585">
        <w:rPr>
          <w:rFonts w:hint="cs"/>
          <w:rtl/>
        </w:rPr>
        <w:t xml:space="preserve"> </w:t>
      </w:r>
      <w:r w:rsidRPr="00A52585">
        <w:rPr>
          <w:rFonts w:hint="cs"/>
          <w:bCs/>
          <w:rtl/>
        </w:rPr>
        <w:t>خامسا</w:t>
      </w:r>
      <w:r w:rsidR="0002035C" w:rsidRPr="00A52585">
        <w:rPr>
          <w:rFonts w:hint="cs"/>
          <w:bCs/>
          <w:rtl/>
        </w:rPr>
        <w:t>:</w:t>
      </w:r>
      <w:r w:rsidRPr="00A52585">
        <w:rPr>
          <w:rFonts w:hint="cs"/>
          <w:bCs/>
          <w:rtl/>
        </w:rPr>
        <w:t xml:space="preserve"> </w:t>
      </w:r>
      <w:r w:rsidRPr="00A52585">
        <w:rPr>
          <w:rFonts w:hint="cs"/>
          <w:rtl/>
        </w:rPr>
        <w:t>نقول لهؤلاء قد ورد في الصحيح أن رسول الله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كل ليلة إلى سماء الدنيا حين يبقى ثلث الليل الآخر فيقول من يدعوني فأستجيب له من يسألني فأعطيه من يستغفرني فأغفر له</w:t>
      </w:r>
      <w:r w:rsidR="0002035C" w:rsidRPr="00A52585">
        <w:rPr>
          <w:rFonts w:hint="cs"/>
          <w:rtl/>
        </w:rPr>
        <w:t>)</w:t>
      </w:r>
      <w:r w:rsidRPr="00A52585">
        <w:rPr>
          <w:rFonts w:hint="cs"/>
          <w:rtl/>
        </w:rPr>
        <w:t>) رواه البخاري ومسلم وغيرهما</w:t>
      </w:r>
      <w:r w:rsidR="00DB731D" w:rsidRPr="00A52585">
        <w:rPr>
          <w:rFonts w:hint="cs"/>
          <w:rtl/>
        </w:rPr>
        <w:t>،</w:t>
      </w:r>
      <w:r w:rsidRPr="00A52585">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Pr="00A52585">
        <w:rPr>
          <w:rFonts w:hint="cs"/>
          <w:rtl/>
        </w:rPr>
        <w:t>يماري</w:t>
      </w:r>
      <w:proofErr w:type="spellEnd"/>
      <w:r w:rsidRPr="00A52585">
        <w:rPr>
          <w:rFonts w:hint="cs"/>
          <w:rtl/>
        </w:rPr>
        <w:t xml:space="preserve"> فيه إلا جهول مأفون</w:t>
      </w:r>
      <w:r w:rsidR="00DB731D" w:rsidRPr="00A52585">
        <w:rPr>
          <w:rFonts w:hint="cs"/>
          <w:rtl/>
        </w:rPr>
        <w:t>،</w:t>
      </w:r>
      <w:r w:rsidRPr="00A52585">
        <w:rPr>
          <w:rFonts w:hint="cs"/>
          <w:rtl/>
        </w:rPr>
        <w:t xml:space="preserve"> </w:t>
      </w:r>
      <w:r w:rsidRPr="00A52585">
        <w:rPr>
          <w:rFonts w:hint="cs"/>
          <w:bCs/>
          <w:rtl/>
        </w:rPr>
        <w:t>سادسا</w:t>
      </w:r>
      <w:r w:rsidR="0002035C" w:rsidRPr="00A52585">
        <w:rPr>
          <w:rFonts w:hint="cs"/>
          <w:bCs/>
          <w:rtl/>
        </w:rPr>
        <w:t>:</w:t>
      </w:r>
      <w:r w:rsidRPr="00A52585">
        <w:rPr>
          <w:rFonts w:hint="cs"/>
          <w:bCs/>
          <w:rtl/>
        </w:rPr>
        <w:t xml:space="preserve"> </w:t>
      </w:r>
      <w:r w:rsidRPr="00A52585">
        <w:rPr>
          <w:rFonts w:hint="cs"/>
          <w:rtl/>
        </w:rPr>
        <w:t>نقول لهؤلاء ما قاله حجة الإسلام الغزالي</w:t>
      </w:r>
      <w:r w:rsidR="00DB731D" w:rsidRPr="00A52585">
        <w:rPr>
          <w:rFonts w:hint="cs"/>
          <w:rtl/>
        </w:rPr>
        <w:t>،</w:t>
      </w:r>
      <w:r w:rsidRPr="00A52585">
        <w:rPr>
          <w:rFonts w:hint="cs"/>
          <w:rtl/>
        </w:rPr>
        <w:t xml:space="preserve"> ونصه</w:t>
      </w:r>
      <w:r w:rsidR="0002035C" w:rsidRPr="00A52585">
        <w:rPr>
          <w:rFonts w:hint="cs"/>
          <w:rtl/>
        </w:rPr>
        <w:t>:</w:t>
      </w:r>
      <w:r w:rsidRPr="00A52585">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 xml:space="preserve">الشبهة الثانية </w:t>
      </w:r>
      <w:r w:rsidRPr="00A52585">
        <w:rPr>
          <w:rFonts w:hint="cs"/>
          <w:bCs/>
          <w:rtl/>
        </w:rPr>
        <w:lastRenderedPageBreak/>
        <w:t>ودفعها</w:t>
      </w:r>
      <w:r w:rsidR="0002035C" w:rsidRPr="00A52585">
        <w:rPr>
          <w:rFonts w:hint="cs"/>
          <w:bCs/>
          <w:rtl/>
        </w:rPr>
        <w:t>):</w:t>
      </w:r>
      <w:r w:rsidRPr="00A52585">
        <w:rPr>
          <w:rFonts w:eastAsia="Times New Roman" w:hint="cs"/>
          <w:noProof/>
          <w:rtl/>
          <w:lang w:eastAsia="ar-SA"/>
        </w:rPr>
        <w:t xml:space="preserve"> </w:t>
      </w:r>
      <w:r w:rsidRPr="00A52585">
        <w:rPr>
          <w:rFonts w:hint="cs"/>
          <w:rtl/>
        </w:rPr>
        <w:t>قال الأستاذ الإمام الشيخ محمد عبده رحمه الله في حاشيته على العقائد العضدية</w:t>
      </w:r>
      <w:r w:rsidR="0002035C" w:rsidRPr="00A52585">
        <w:rPr>
          <w:rFonts w:hint="cs"/>
          <w:rtl/>
        </w:rPr>
        <w:t>:</w:t>
      </w:r>
      <w:r w:rsidRPr="00A52585">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sidRPr="00A52585">
        <w:rPr>
          <w:rFonts w:hint="cs"/>
          <w:rtl/>
        </w:rPr>
        <w:t>للتخاطبات</w:t>
      </w:r>
      <w:proofErr w:type="spellEnd"/>
      <w:r w:rsidRPr="00A52585">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DB731D" w:rsidRPr="00A52585">
        <w:rPr>
          <w:rFonts w:hint="cs"/>
          <w:rtl/>
        </w:rPr>
        <w:t>،</w:t>
      </w:r>
      <w:r w:rsidRPr="00A52585">
        <w:rPr>
          <w:rFonts w:hint="cs"/>
          <w:rtl/>
        </w:rPr>
        <w:t xml:space="preserve"> وقال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ولقد أنزلنا إليكم آيات مبينات</w:t>
      </w:r>
      <w:r w:rsidR="0002035C" w:rsidRPr="00A52585">
        <w:rPr>
          <w:rFonts w:hint="cs"/>
          <w:rtl/>
        </w:rPr>
        <w:t>}:</w:t>
      </w:r>
      <w:r w:rsidRPr="00A52585">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sidR="00DB731D" w:rsidRPr="00A52585">
        <w:rPr>
          <w:rFonts w:hint="cs"/>
          <w:rtl/>
        </w:rPr>
        <w:t>،</w:t>
      </w:r>
      <w:r w:rsidRPr="00A52585">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DB731D" w:rsidRPr="00A52585">
        <w:rPr>
          <w:rFonts w:hint="cs"/>
          <w:rtl/>
        </w:rPr>
        <w:t>،</w:t>
      </w:r>
      <w:r w:rsidRPr="00A52585">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الشبهة الثالثة ودفعها</w:t>
      </w:r>
      <w:r w:rsidR="0002035C" w:rsidRPr="00A52585">
        <w:rPr>
          <w:rFonts w:hint="cs"/>
          <w:bCs/>
          <w:rtl/>
        </w:rPr>
        <w:t>):</w:t>
      </w:r>
      <w:r w:rsidRPr="00A52585">
        <w:rPr>
          <w:rFonts w:hint="cs"/>
          <w:rtl/>
        </w:rPr>
        <w:t xml:space="preserve"> نقل السيوطي عن بعضهم أنه قال</w:t>
      </w:r>
      <w:r w:rsidR="0002035C" w:rsidRPr="00A52585">
        <w:rPr>
          <w:rFonts w:hint="cs"/>
          <w:rtl/>
        </w:rPr>
        <w:t>:</w:t>
      </w:r>
      <w:r w:rsidRPr="00A52585">
        <w:rPr>
          <w:rFonts w:hint="cs"/>
          <w:rtl/>
        </w:rPr>
        <w:t xml:space="preserve"> إن قيل ما الحكمة في إنزال المتشابه ممن أراد لعباده البيان والهدى</w:t>
      </w:r>
      <w:r w:rsidR="00DB731D" w:rsidRPr="00A52585">
        <w:rPr>
          <w:rFonts w:hint="cs"/>
          <w:rtl/>
        </w:rPr>
        <w:t>،</w:t>
      </w:r>
      <w:r w:rsidRPr="00A52585">
        <w:rPr>
          <w:rFonts w:hint="cs"/>
          <w:rtl/>
        </w:rPr>
        <w:t xml:space="preserve"> قلنا</w:t>
      </w:r>
      <w:r w:rsidR="0002035C" w:rsidRPr="00A52585">
        <w:rPr>
          <w:rFonts w:hint="cs"/>
          <w:rtl/>
        </w:rPr>
        <w:t>:</w:t>
      </w:r>
      <w:r w:rsidRPr="00A52585">
        <w:rPr>
          <w:rFonts w:hint="cs"/>
          <w:rtl/>
        </w:rPr>
        <w:t xml:space="preserve"> إن كان أي المتشابه مما يمكن علمه فله فوائد منها الحث للعلماء على النظر الموجب للعلم </w:t>
      </w:r>
      <w:proofErr w:type="spellStart"/>
      <w:r w:rsidRPr="00A52585">
        <w:rPr>
          <w:rFonts w:hint="cs"/>
          <w:rtl/>
        </w:rPr>
        <w:t>بغوامضه</w:t>
      </w:r>
      <w:proofErr w:type="spellEnd"/>
      <w:r w:rsidRPr="00A52585">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DB731D" w:rsidRPr="00A52585">
        <w:rPr>
          <w:rFonts w:hint="cs"/>
          <w:rtl/>
        </w:rPr>
        <w:t>،</w:t>
      </w:r>
      <w:r w:rsidR="0002035C" w:rsidRPr="00A52585">
        <w:rPr>
          <w:rFonts w:hint="cs"/>
          <w:rtl/>
        </w:rPr>
        <w:t xml:space="preserve"> </w:t>
      </w:r>
      <w:r w:rsidRPr="00A52585">
        <w:rPr>
          <w:rFonts w:hint="cs"/>
          <w:rtl/>
        </w:rPr>
        <w:t>ونسترعي نظرك هنا إلى ما أسلفناه في الحكم الماضية</w:t>
      </w:r>
      <w:r w:rsidR="00DB731D" w:rsidRPr="00A52585">
        <w:rPr>
          <w:rFonts w:hint="cs"/>
          <w:rtl/>
        </w:rPr>
        <w:t>،</w:t>
      </w:r>
      <w:r w:rsidRPr="00A52585">
        <w:rPr>
          <w:rFonts w:hint="cs"/>
          <w:rtl/>
        </w:rPr>
        <w:t xml:space="preserve"> </w:t>
      </w:r>
      <w:r w:rsidRPr="00A52585">
        <w:rPr>
          <w:rFonts w:hint="cs"/>
          <w:rtl/>
        </w:rPr>
        <w:lastRenderedPageBreak/>
        <w:t>ثم إلى ما ذكره ابن اللبان في مقدمة كتابه رد الآيات المتشابهات إلى الآيات المحكمات</w:t>
      </w:r>
      <w:r w:rsidR="00DB731D" w:rsidRPr="00A52585">
        <w:rPr>
          <w:rFonts w:hint="cs"/>
          <w:rtl/>
        </w:rPr>
        <w:t>،</w:t>
      </w:r>
      <w:r w:rsidRPr="00A52585">
        <w:rPr>
          <w:rFonts w:hint="cs"/>
          <w:rtl/>
        </w:rPr>
        <w:t xml:space="preserve"> إذ قال ما خلاصته</w:t>
      </w:r>
      <w:r w:rsidR="0002035C" w:rsidRPr="00A52585">
        <w:rPr>
          <w:rFonts w:hint="cs"/>
          <w:rtl/>
        </w:rPr>
        <w:t>:</w:t>
      </w:r>
      <w:r w:rsidRPr="00A52585">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02035C" w:rsidRPr="00A52585">
        <w:rPr>
          <w:rFonts w:hint="cs"/>
          <w:rtl/>
        </w:rPr>
        <w:t xml:space="preserve"> </w:t>
      </w:r>
      <w:r w:rsidRPr="00A52585">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Pr="00A52585">
        <w:rPr>
          <w:rFonts w:hint="cs"/>
          <w:rtl/>
        </w:rPr>
        <w:t>الجثمانية</w:t>
      </w:r>
      <w:proofErr w:type="spellEnd"/>
      <w:r w:rsidRPr="00A52585">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DB731D"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الشبهة الرابعة ودفعها</w:t>
      </w:r>
      <w:r w:rsidR="0002035C" w:rsidRPr="00A52585">
        <w:rPr>
          <w:rFonts w:hint="cs"/>
          <w:rtl/>
        </w:rPr>
        <w:t>):</w:t>
      </w:r>
      <w:r w:rsidRPr="00A52585">
        <w:rPr>
          <w:rFonts w:hint="cs"/>
          <w:rtl/>
        </w:rPr>
        <w:t xml:space="preserve"> نقل السيوطي أيضا عن الإمام فخر الدين الرازي أنه قال</w:t>
      </w:r>
      <w:r w:rsidR="0002035C" w:rsidRPr="00A52585">
        <w:rPr>
          <w:rFonts w:hint="cs"/>
          <w:rtl/>
        </w:rPr>
        <w:t>:</w:t>
      </w:r>
      <w:r w:rsidRPr="00A52585">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DB731D" w:rsidRPr="00A52585">
        <w:rPr>
          <w:rFonts w:hint="cs"/>
          <w:rtl/>
        </w:rPr>
        <w:t>،</w:t>
      </w:r>
      <w:r w:rsidRPr="00A52585">
        <w:rPr>
          <w:rFonts w:hint="cs"/>
          <w:rtl/>
        </w:rPr>
        <w:t xml:space="preserve"> فالجبري متمسك بآيات الجبر كقوله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وجعلنا على قلوبهم أكنة أن يفقهوه وفي آذانهم وقرا</w:t>
      </w:r>
      <w:r w:rsidR="0002035C" w:rsidRPr="00A52585">
        <w:rPr>
          <w:rFonts w:hint="cs"/>
          <w:rtl/>
        </w:rPr>
        <w:t>}</w:t>
      </w:r>
      <w:r w:rsidR="00DB731D" w:rsidRPr="00A52585">
        <w:rPr>
          <w:rFonts w:hint="cs"/>
          <w:rtl/>
        </w:rPr>
        <w:t>،</w:t>
      </w:r>
      <w:r w:rsidRPr="00A52585">
        <w:rPr>
          <w:rFonts w:hint="cs"/>
          <w:rtl/>
        </w:rPr>
        <w:t xml:space="preserve"> والقدري يقول هذا مذهب الكفار بدليل أنه تعالى حكى عنهم ذلك في معرض الذم في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وقالوا قلوبنا في أكنة مما تدعونا إليه وفي آذاننا وقر</w:t>
      </w:r>
      <w:r w:rsidR="0002035C" w:rsidRPr="00A52585">
        <w:rPr>
          <w:rFonts w:hint="cs"/>
          <w:rtl/>
        </w:rPr>
        <w:t>}</w:t>
      </w:r>
      <w:r w:rsidR="00DB731D" w:rsidRPr="00A52585">
        <w:rPr>
          <w:rFonts w:hint="cs"/>
          <w:rtl/>
        </w:rPr>
        <w:t>،</w:t>
      </w:r>
      <w:r w:rsidRPr="00A52585">
        <w:rPr>
          <w:rFonts w:hint="cs"/>
          <w:rtl/>
        </w:rPr>
        <w:t xml:space="preserve"> وفي موضع آخر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وقالوا قلوبنا غلف</w:t>
      </w:r>
      <w:r w:rsidR="0002035C" w:rsidRPr="00A52585">
        <w:rPr>
          <w:rFonts w:hint="cs"/>
          <w:rtl/>
        </w:rPr>
        <w:t>}</w:t>
      </w:r>
      <w:r w:rsidR="00DB731D" w:rsidRPr="00A52585">
        <w:rPr>
          <w:rFonts w:hint="cs"/>
          <w:rtl/>
        </w:rPr>
        <w:t>،</w:t>
      </w:r>
      <w:r w:rsidRPr="00A52585">
        <w:rPr>
          <w:rFonts w:hint="cs"/>
          <w:rtl/>
        </w:rPr>
        <w:t xml:space="preserve"> ومنكر الرؤية متمسك بقوله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لا تدركه الأبصار</w:t>
      </w:r>
      <w:r w:rsidR="0002035C" w:rsidRPr="00A52585">
        <w:rPr>
          <w:rFonts w:hint="cs"/>
          <w:rtl/>
        </w:rPr>
        <w:t>}</w:t>
      </w:r>
      <w:r w:rsidR="00DB731D" w:rsidRPr="00A52585">
        <w:rPr>
          <w:rFonts w:hint="cs"/>
          <w:rtl/>
        </w:rPr>
        <w:t>،</w:t>
      </w:r>
      <w:r w:rsidRPr="00A52585">
        <w:rPr>
          <w:rFonts w:hint="cs"/>
          <w:rtl/>
        </w:rPr>
        <w:t xml:space="preserve"> ومثبت الجهة متمسك بقوله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يخافون ربهم من فوقهم</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والثاني متمسك بقوله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DB731D" w:rsidRPr="00A52585">
        <w:rPr>
          <w:rFonts w:hint="cs"/>
          <w:rtl/>
        </w:rPr>
        <w:t>،</w:t>
      </w:r>
      <w:r w:rsidRPr="00A52585">
        <w:rPr>
          <w:rFonts w:hint="cs"/>
          <w:rtl/>
        </w:rPr>
        <w:t xml:space="preserve"> والجواب أن العلماء ذكروا لوقوع المتشابه فيه فوائد</w:t>
      </w:r>
      <w:r w:rsidR="00DB731D" w:rsidRPr="00A52585">
        <w:rPr>
          <w:rFonts w:hint="cs"/>
          <w:rtl/>
        </w:rPr>
        <w:t>،</w:t>
      </w:r>
      <w:r w:rsidRPr="00A52585">
        <w:rPr>
          <w:rFonts w:hint="cs"/>
          <w:rtl/>
        </w:rPr>
        <w:t xml:space="preserve"> منها</w:t>
      </w:r>
      <w:r w:rsidR="0002035C" w:rsidRPr="00A52585">
        <w:rPr>
          <w:rFonts w:hint="cs"/>
          <w:rtl/>
        </w:rPr>
        <w:t>:</w:t>
      </w:r>
      <w:r w:rsidRPr="00A52585">
        <w:rPr>
          <w:rFonts w:hint="cs"/>
          <w:rtl/>
        </w:rPr>
        <w:t xml:space="preserve"> أنه يوجب مزيد </w:t>
      </w:r>
      <w:r w:rsidRPr="00A52585">
        <w:rPr>
          <w:rFonts w:hint="cs"/>
          <w:rtl/>
        </w:rPr>
        <w:lastRenderedPageBreak/>
        <w:t>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الشبهة الخامسة ودفعها</w:t>
      </w:r>
      <w:r w:rsidR="0002035C" w:rsidRPr="00A52585">
        <w:rPr>
          <w:rFonts w:hint="cs"/>
          <w:rtl/>
        </w:rPr>
        <w:t>):</w:t>
      </w:r>
      <w:r w:rsidRPr="00A52585">
        <w:rPr>
          <w:rFonts w:hint="cs"/>
          <w:rtl/>
        </w:rPr>
        <w:t xml:space="preserve"> قال السيوطي في كتابه الإتقان</w:t>
      </w:r>
      <w:r w:rsidR="0002035C" w:rsidRPr="00A52585">
        <w:rPr>
          <w:rFonts w:hint="cs"/>
          <w:rtl/>
        </w:rPr>
        <w:t>:</w:t>
      </w:r>
      <w:r w:rsidRPr="00A52585">
        <w:rPr>
          <w:rFonts w:hint="cs"/>
          <w:rtl/>
        </w:rPr>
        <w:t xml:space="preserve"> أورد بعضهم سؤالا وهو أنه هل للمحكم مزية على المتشابه أو لا فإن قلتم بالثاني فهو خلاف الإجماع</w:t>
      </w:r>
      <w:r w:rsidR="00DB731D" w:rsidRPr="00A52585">
        <w:rPr>
          <w:rFonts w:hint="cs"/>
          <w:rtl/>
        </w:rPr>
        <w:t>،</w:t>
      </w:r>
      <w:r w:rsidRPr="00A52585">
        <w:rPr>
          <w:rFonts w:hint="cs"/>
          <w:rtl/>
        </w:rPr>
        <w:t xml:space="preserve"> وإلا فقد نقضتم أصلكم في أن جميع كلامه سبحانه سواء وإنه منزل بالحكمة</w:t>
      </w:r>
      <w:r w:rsidR="00DB731D" w:rsidRPr="00A52585">
        <w:rPr>
          <w:rFonts w:hint="cs"/>
          <w:rtl/>
        </w:rPr>
        <w:t>،</w:t>
      </w:r>
      <w:r w:rsidRPr="00A52585">
        <w:rPr>
          <w:rFonts w:hint="cs"/>
          <w:rtl/>
        </w:rPr>
        <w:t xml:space="preserve"> وأجاب أبو عبد الله </w:t>
      </w:r>
      <w:proofErr w:type="spellStart"/>
      <w:r w:rsidRPr="00A52585">
        <w:rPr>
          <w:rFonts w:hint="cs"/>
          <w:rtl/>
        </w:rPr>
        <w:t>النكرباذي</w:t>
      </w:r>
      <w:proofErr w:type="spellEnd"/>
      <w:r w:rsidR="0002035C" w:rsidRPr="00A52585">
        <w:rPr>
          <w:rFonts w:hint="cs"/>
          <w:rtl/>
        </w:rPr>
        <w:t>:</w:t>
      </w:r>
      <w:r w:rsidRPr="00A52585">
        <w:rPr>
          <w:rFonts w:hint="cs"/>
          <w:rtl/>
        </w:rPr>
        <w:t xml:space="preserve"> بأن المحكم كالمتشابه من وجه ويخالفه من وجه</w:t>
      </w:r>
      <w:r w:rsidR="00DB731D" w:rsidRPr="00A52585">
        <w:rPr>
          <w:rFonts w:hint="cs"/>
          <w:rtl/>
        </w:rPr>
        <w:t>،</w:t>
      </w:r>
      <w:r w:rsidRPr="00A52585">
        <w:rPr>
          <w:rFonts w:hint="cs"/>
          <w:rtl/>
        </w:rPr>
        <w:t xml:space="preserve"> فيتفقان في أن الاستدلال بهما لا يمكن إلا بعد معرفة حكمة الواضع وأنه لا يختار القبيح</w:t>
      </w:r>
      <w:r w:rsidR="00DB731D" w:rsidRPr="00A52585">
        <w:rPr>
          <w:rFonts w:hint="cs"/>
          <w:rtl/>
        </w:rPr>
        <w:t>،</w:t>
      </w:r>
      <w:r w:rsidRPr="00A52585">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DB731D" w:rsidRPr="00A52585">
        <w:rPr>
          <w:rFonts w:hint="cs"/>
          <w:rtl/>
        </w:rPr>
        <w:t>،</w:t>
      </w:r>
      <w:r w:rsidRPr="00A52585">
        <w:rPr>
          <w:rFonts w:hint="cs"/>
          <w:rtl/>
        </w:rPr>
        <w:t xml:space="preserve"> ولأن المحكم أصل والعلم بالأصل أسبق ولأن المحكم يعلم مفصلا والمتشابه لا يعلم إلا مجملا اهـ</w:t>
      </w:r>
      <w:r w:rsidR="00DB731D" w:rsidRPr="00A52585">
        <w:rPr>
          <w:rFonts w:hint="cs"/>
          <w:rtl/>
        </w:rPr>
        <w:t>،</w:t>
      </w:r>
      <w:r w:rsidRPr="00A52585">
        <w:rPr>
          <w:rFonts w:hint="cs"/>
          <w:rtl/>
        </w:rPr>
        <w:t xml:space="preserve"> أقول</w:t>
      </w:r>
      <w:r w:rsidR="0002035C" w:rsidRPr="00A52585">
        <w:rPr>
          <w:rFonts w:hint="cs"/>
          <w:rtl/>
        </w:rPr>
        <w:t>:</w:t>
      </w:r>
      <w:r w:rsidRPr="00A52585">
        <w:rPr>
          <w:rFonts w:hint="cs"/>
          <w:rtl/>
        </w:rPr>
        <w:t xml:space="preserve"> ويمكن دفع هذه الشبهة بوجه أقرب</w:t>
      </w:r>
      <w:r w:rsidR="00DB731D" w:rsidRPr="00A52585">
        <w:rPr>
          <w:rFonts w:hint="cs"/>
          <w:rtl/>
        </w:rPr>
        <w:t>،</w:t>
      </w:r>
      <w:r w:rsidRPr="00A52585">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DB731D" w:rsidRPr="00A52585">
        <w:rPr>
          <w:rFonts w:hint="cs"/>
          <w:rtl/>
        </w:rPr>
        <w:t>،</w:t>
      </w:r>
      <w:r w:rsidRPr="00A52585">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Pr="00A52585">
        <w:rPr>
          <w:rFonts w:hint="cs"/>
          <w:rtl/>
        </w:rPr>
        <w:t>اميتاز</w:t>
      </w:r>
      <w:proofErr w:type="spellEnd"/>
      <w:r w:rsidRPr="00A52585">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w:t>
      </w:r>
      <w:r w:rsidRPr="00A52585">
        <w:rPr>
          <w:rFonts w:hint="cs"/>
          <w:rtl/>
        </w:rPr>
        <w:lastRenderedPageBreak/>
        <w:t>حسن وحياة</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الشبهة السادسة ودفعها</w:t>
      </w:r>
      <w:r w:rsidR="0002035C" w:rsidRPr="00A52585">
        <w:rPr>
          <w:rFonts w:hint="cs"/>
          <w:bCs/>
          <w:rtl/>
        </w:rPr>
        <w:t>)</w:t>
      </w:r>
      <w:r w:rsidR="0002035C" w:rsidRPr="00A52585">
        <w:rPr>
          <w:rFonts w:hint="cs"/>
          <w:rtl/>
        </w:rPr>
        <w:t>:</w:t>
      </w:r>
      <w:r w:rsidRPr="00A52585">
        <w:rPr>
          <w:rFonts w:hint="cs"/>
          <w:rtl/>
        </w:rPr>
        <w:t xml:space="preserve"> يقولون إن الناظر في موقف السلف والخلف من المتشابه يجزم بأنهم جميعا </w:t>
      </w:r>
      <w:proofErr w:type="spellStart"/>
      <w:r w:rsidRPr="00A52585">
        <w:rPr>
          <w:rFonts w:hint="cs"/>
          <w:rtl/>
        </w:rPr>
        <w:t>مؤولون</w:t>
      </w:r>
      <w:proofErr w:type="spellEnd"/>
      <w:r w:rsidR="00DB731D" w:rsidRPr="00A52585">
        <w:rPr>
          <w:rFonts w:hint="cs"/>
          <w:rtl/>
        </w:rPr>
        <w:t>،</w:t>
      </w:r>
      <w:r w:rsidRPr="00A52585">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DB731D" w:rsidRPr="00A52585">
        <w:rPr>
          <w:rFonts w:hint="cs"/>
          <w:rtl/>
        </w:rPr>
        <w:t>،</w:t>
      </w:r>
      <w:r w:rsidRPr="00A52585">
        <w:rPr>
          <w:rFonts w:hint="cs"/>
          <w:rtl/>
        </w:rPr>
        <w:t xml:space="preserve"> وندفع هذه الشبهة أولا</w:t>
      </w:r>
      <w:r w:rsidR="0002035C" w:rsidRPr="00A52585">
        <w:rPr>
          <w:rFonts w:hint="cs"/>
          <w:rtl/>
        </w:rPr>
        <w:t>:</w:t>
      </w:r>
      <w:r w:rsidRPr="00A52585">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DB731D" w:rsidRPr="00A52585">
        <w:rPr>
          <w:rFonts w:hint="cs"/>
          <w:rtl/>
        </w:rPr>
        <w:t>،</w:t>
      </w:r>
      <w:r w:rsidRPr="00A52585">
        <w:rPr>
          <w:rFonts w:hint="cs"/>
          <w:rtl/>
        </w:rPr>
        <w:t xml:space="preserve"> ثانيا</w:t>
      </w:r>
      <w:r w:rsidR="0002035C" w:rsidRPr="00A52585">
        <w:rPr>
          <w:rFonts w:hint="cs"/>
          <w:rtl/>
        </w:rPr>
        <w:t>:</w:t>
      </w:r>
      <w:r w:rsidRPr="00A52585">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وأما الذين في قلوبهم زيغ</w:t>
      </w:r>
      <w:r w:rsidR="0002035C" w:rsidRPr="00A52585">
        <w:rPr>
          <w:rFonts w:hint="cs"/>
          <w:rtl/>
        </w:rPr>
        <w:t>}</w:t>
      </w:r>
      <w:r w:rsidR="00DB731D" w:rsidRPr="00A52585">
        <w:rPr>
          <w:rFonts w:hint="cs"/>
          <w:rtl/>
        </w:rPr>
        <w:t>،</w:t>
      </w:r>
      <w:r w:rsidRPr="00A52585">
        <w:rPr>
          <w:rFonts w:hint="cs"/>
          <w:rtl/>
        </w:rPr>
        <w:t xml:space="preserve"> أي ميل عن الاستقامة والحجة إلى الهوى والشهوة</w:t>
      </w:r>
      <w:r w:rsidR="00DB731D" w:rsidRPr="00A52585">
        <w:rPr>
          <w:rFonts w:hint="cs"/>
          <w:rtl/>
        </w:rPr>
        <w:t>،</w:t>
      </w:r>
      <w:r w:rsidRPr="00A52585">
        <w:rPr>
          <w:rFonts w:hint="cs"/>
          <w:rtl/>
        </w:rPr>
        <w:t xml:space="preserve"> أما التأويل القائم على تحكيم البراهين القاطعة واتباع الهداية الراشدة فليس من هذا القبيل الذي حظره الله وحرمه</w:t>
      </w:r>
      <w:r w:rsidR="00DB731D" w:rsidRPr="00A52585">
        <w:rPr>
          <w:rFonts w:hint="cs"/>
          <w:rtl/>
        </w:rPr>
        <w:t>،</w:t>
      </w:r>
      <w:r w:rsidRPr="00A52585">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اللهم فقهه في الدين وعلمه التأويل</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02035C" w:rsidRPr="00A52585">
        <w:rPr>
          <w:rFonts w:hint="cs"/>
          <w:rtl/>
        </w:rPr>
        <w:t xml:space="preserve"> </w:t>
      </w:r>
      <w:r w:rsidRPr="00A52585">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مناهل العرفان ج: 2 ص: 206 إلى 217</w:t>
      </w:r>
      <w:r w:rsidR="0002035C" w:rsidRPr="00A52585">
        <w:rPr>
          <w:rFonts w:hint="cs"/>
          <w:rtl/>
        </w:rPr>
        <w:t>]</w:t>
      </w:r>
      <w:r w:rsidR="00DB731D" w:rsidRPr="00A52585">
        <w:rPr>
          <w:rFonts w:hint="cs"/>
          <w:rtl/>
        </w:rPr>
        <w:t>،</w:t>
      </w:r>
      <w:r w:rsidRPr="00A52585">
        <w:rPr>
          <w:rFonts w:hint="cs"/>
          <w:rtl/>
        </w:rPr>
        <w:t xml:space="preserve"> </w:t>
      </w:r>
    </w:p>
    <w:p w14:paraId="4F9209E0" w14:textId="77777777" w:rsidR="00777DCB" w:rsidRPr="00A52585" w:rsidRDefault="00777DCB" w:rsidP="0002035C">
      <w:pPr>
        <w:jc w:val="center"/>
        <w:rPr>
          <w:rtl/>
        </w:rPr>
      </w:pPr>
      <w:r w:rsidRPr="00A52585">
        <w:rPr>
          <w:rFonts w:hint="cs"/>
          <w:rtl/>
        </w:rPr>
        <w:lastRenderedPageBreak/>
        <w:t xml:space="preserve">*** </w:t>
      </w:r>
    </w:p>
    <w:p w14:paraId="3091C904" w14:textId="77777777" w:rsidR="00777DCB" w:rsidRPr="00A52585" w:rsidRDefault="00777DCB" w:rsidP="0002035C">
      <w:pPr>
        <w:jc w:val="center"/>
        <w:rPr>
          <w:rtl/>
        </w:rPr>
      </w:pPr>
    </w:p>
    <w:p w14:paraId="4181C3BD" w14:textId="268AAD6C" w:rsidR="00777DCB" w:rsidRPr="00A52585" w:rsidRDefault="00777DCB" w:rsidP="00185A91">
      <w:pPr>
        <w:pStyle w:val="1"/>
        <w:rPr>
          <w:u w:val="none"/>
          <w:rtl/>
          <w:lang w:bidi="ar-KW"/>
        </w:rPr>
      </w:pPr>
      <w:r w:rsidRPr="00A52585">
        <w:rPr>
          <w:u w:val="none"/>
          <w:rtl/>
          <w:lang w:bidi="ar-KW"/>
        </w:rPr>
        <w:t>الفصل الثاني</w:t>
      </w:r>
      <w:r w:rsidR="00185A91" w:rsidRPr="00A52585">
        <w:rPr>
          <w:rFonts w:hint="cs"/>
          <w:u w:val="none"/>
          <w:rtl/>
          <w:lang w:bidi="ar-KW"/>
        </w:rPr>
        <w:t xml:space="preserve"> </w:t>
      </w:r>
      <w:r w:rsidRPr="00A52585">
        <w:rPr>
          <w:u w:val="none"/>
          <w:rtl/>
          <w:lang w:bidi="ar-KW"/>
        </w:rPr>
        <w:t>أبعاد مذهب السلف الحق في باب الأخبار المتشابهات</w:t>
      </w:r>
      <w:r w:rsidR="00185A91" w:rsidRPr="00A52585">
        <w:rPr>
          <w:rFonts w:hint="cs"/>
          <w:u w:val="none"/>
          <w:rtl/>
          <w:lang w:bidi="ar-KW"/>
        </w:rPr>
        <w:t xml:space="preserve"> </w:t>
      </w:r>
      <w:r w:rsidRPr="00A52585">
        <w:rPr>
          <w:u w:val="none"/>
          <w:rtl/>
          <w:lang w:bidi="ar-KW"/>
        </w:rPr>
        <w:t>وبيان أنّه تفويض المعنى المراد مع الحفاظ على علم التقديس</w:t>
      </w:r>
      <w:r w:rsidR="00185A91" w:rsidRPr="00A52585">
        <w:rPr>
          <w:rFonts w:hint="cs"/>
          <w:u w:val="none"/>
          <w:rtl/>
          <w:lang w:bidi="ar-KW"/>
        </w:rPr>
        <w:t xml:space="preserve"> </w:t>
      </w:r>
      <w:r w:rsidRPr="00A52585">
        <w:rPr>
          <w:u w:val="none"/>
          <w:rtl/>
          <w:lang w:bidi="ar-KW"/>
        </w:rPr>
        <w:t>والتنزيه</w:t>
      </w:r>
    </w:p>
    <w:p w14:paraId="4DA160BE" w14:textId="77777777" w:rsidR="00777DCB" w:rsidRPr="00A52585" w:rsidRDefault="00777DCB" w:rsidP="0002035C">
      <w:pPr>
        <w:jc w:val="center"/>
        <w:rPr>
          <w:rtl/>
        </w:rPr>
      </w:pPr>
    </w:p>
    <w:p w14:paraId="43093077" w14:textId="303A9FE0" w:rsidR="00777DCB" w:rsidRPr="00A52585" w:rsidRDefault="00777DCB" w:rsidP="0002035C">
      <w:pPr>
        <w:spacing w:after="240"/>
        <w:rPr>
          <w:b/>
        </w:rPr>
      </w:pPr>
      <w:r w:rsidRPr="00A52585">
        <w:rPr>
          <w:rFonts w:hint="cs"/>
          <w:rtl/>
        </w:rPr>
        <w:t>ذكرنا في المبحث السابق المتشابه في باب الصفات</w:t>
      </w:r>
      <w:r w:rsidR="00DB731D" w:rsidRPr="00A52585">
        <w:rPr>
          <w:rFonts w:hint="cs"/>
          <w:rtl/>
        </w:rPr>
        <w:t>،</w:t>
      </w:r>
      <w:r w:rsidRPr="00A52585">
        <w:rPr>
          <w:rFonts w:hint="cs"/>
          <w:rtl/>
        </w:rPr>
        <w:t xml:space="preserve"> وهي تلك الصفات التي تدل بظاهرها على الجارحة كالوجه واليد والعين</w:t>
      </w:r>
      <w:r w:rsidR="00DB731D" w:rsidRPr="00A52585">
        <w:rPr>
          <w:rFonts w:hint="cs"/>
          <w:rtl/>
        </w:rPr>
        <w:t>،</w:t>
      </w:r>
      <w:r w:rsidRPr="00A52585">
        <w:rPr>
          <w:rFonts w:hint="cs"/>
          <w:rtl/>
        </w:rPr>
        <w:t xml:space="preserve"> أو الحد والمقدار والحركة والحدوث كالاستواء والجهة والكون في المكان</w:t>
      </w:r>
      <w:r w:rsidR="00DB731D" w:rsidRPr="00A52585">
        <w:rPr>
          <w:rFonts w:hint="cs"/>
          <w:rtl/>
        </w:rPr>
        <w:t>،</w:t>
      </w:r>
      <w:r w:rsidRPr="00A52585">
        <w:rPr>
          <w:rFonts w:hint="cs"/>
          <w:rtl/>
        </w:rPr>
        <w:t xml:space="preserve"> وفي هذه المقدمة أعرض لحال السلف الصالح وبيان مدى حرصهم الشديد على تحريم الخوض في المتشابهات والمنع من مجرد السؤال عنه على سبيل الزيغ والفتنة</w:t>
      </w:r>
      <w:r w:rsidR="00DB731D" w:rsidRPr="00A52585">
        <w:rPr>
          <w:rFonts w:hint="cs"/>
          <w:rtl/>
        </w:rPr>
        <w:t>،</w:t>
      </w:r>
      <w:r w:rsidRPr="00A52585">
        <w:rPr>
          <w:rFonts w:hint="cs"/>
          <w:rtl/>
        </w:rPr>
        <w:t xml:space="preserve"> وسنجد أن مقالاتهم تتركز على كلمات لها مدلول عجيب على غلق باب الفتنة بتفويض المراد منها إلى الله</w:t>
      </w:r>
      <w:r w:rsidR="00DB731D" w:rsidRPr="00A52585">
        <w:rPr>
          <w:rFonts w:hint="cs"/>
          <w:rtl/>
        </w:rPr>
        <w:t>،</w:t>
      </w:r>
      <w:r w:rsidRPr="00A52585">
        <w:rPr>
          <w:rFonts w:hint="cs"/>
          <w:rtl/>
        </w:rPr>
        <w:t xml:space="preserve"> فمن ذلك</w:t>
      </w:r>
      <w:r w:rsidR="0002035C" w:rsidRPr="00A52585">
        <w:rPr>
          <w:rFonts w:hint="cs"/>
          <w:rtl/>
        </w:rPr>
        <w:t>:</w:t>
      </w:r>
      <w:r w:rsidRPr="00A52585">
        <w:rPr>
          <w:rFonts w:hint="cs"/>
          <w:rtl/>
        </w:rPr>
        <w:t xml:space="preserve"> قولهم</w:t>
      </w:r>
      <w:r w:rsidR="0002035C" w:rsidRPr="00A52585">
        <w:rPr>
          <w:rFonts w:hint="cs"/>
          <w:rtl/>
        </w:rPr>
        <w:t>:</w:t>
      </w:r>
      <w:r w:rsidRPr="00A52585">
        <w:rPr>
          <w:rFonts w:hint="cs"/>
          <w:rtl/>
        </w:rPr>
        <w:t xml:space="preserve"> ونؤمن</w:t>
      </w:r>
      <w:r w:rsidRPr="00A52585">
        <w:rPr>
          <w:rFonts w:hint="cs"/>
        </w:rPr>
        <w:t xml:space="preserve"> </w:t>
      </w:r>
      <w:r w:rsidRPr="00A52585">
        <w:rPr>
          <w:rFonts w:hint="cs"/>
          <w:rtl/>
        </w:rPr>
        <w:t>بها ولا يقال كيف ولا نفسر ولا نتوهم</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ويؤمن بها</w:t>
      </w:r>
      <w:r w:rsidRPr="00A52585">
        <w:rPr>
          <w:rFonts w:hint="cs"/>
        </w:rPr>
        <w:t xml:space="preserve"> </w:t>
      </w:r>
      <w:r w:rsidRPr="00A52585">
        <w:rPr>
          <w:rFonts w:hint="cs"/>
          <w:rtl/>
        </w:rPr>
        <w:t>ولا تفسر ولا يتوهم ولا يقال كيف</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نؤمن بها ونفوض معناها المراد منها إلى الله تعالى ولا نفسرها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نترك التعرض لمعانيها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نحن نروي هذه الأحاديث ولا نريغ لها المعاني</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كل</w:t>
      </w:r>
      <w:r w:rsidRPr="00A52585">
        <w:rPr>
          <w:rFonts w:hint="cs"/>
        </w:rPr>
        <w:t xml:space="preserve"> </w:t>
      </w:r>
      <w:r w:rsidRPr="00A52585">
        <w:rPr>
          <w:rFonts w:hint="cs"/>
          <w:rtl/>
        </w:rPr>
        <w:t>ما وصف الله به نفسه في القرآن فقراءته تفسيره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ما</w:t>
      </w:r>
      <w:r w:rsidRPr="00A52585">
        <w:rPr>
          <w:rFonts w:hint="cs"/>
        </w:rPr>
        <w:t xml:space="preserve"> </w:t>
      </w:r>
      <w:r w:rsidRPr="00A52585">
        <w:rPr>
          <w:rFonts w:hint="cs"/>
          <w:rtl/>
        </w:rPr>
        <w:t>وصف الله تبارك به نفسه في كتابه فقراءته تفسيره ليس لأحد</w:t>
      </w:r>
      <w:r w:rsidRPr="00A52585">
        <w:rPr>
          <w:rFonts w:hint="cs"/>
        </w:rPr>
        <w:t xml:space="preserve"> </w:t>
      </w:r>
      <w:r w:rsidRPr="00A52585">
        <w:rPr>
          <w:rFonts w:hint="cs"/>
          <w:rtl/>
        </w:rPr>
        <w:t>أن يفسره بالعربية ولا بالفارسية</w:t>
      </w:r>
      <w:r w:rsidR="00DB731D" w:rsidRPr="00A52585">
        <w:rPr>
          <w:rFonts w:hint="cs"/>
          <w:rtl/>
        </w:rPr>
        <w:t>،</w:t>
      </w:r>
      <w:r w:rsidRPr="00A52585">
        <w:rPr>
          <w:rFonts w:hint="cs"/>
          <w:rtl/>
        </w:rPr>
        <w:t xml:space="preserve"> وقولهم</w:t>
      </w:r>
      <w:r w:rsidR="0002035C" w:rsidRPr="00A52585">
        <w:rPr>
          <w:rFonts w:hint="cs"/>
          <w:bCs/>
          <w:rtl/>
        </w:rPr>
        <w:t>:</w:t>
      </w:r>
      <w:r w:rsidRPr="00A52585">
        <w:rPr>
          <w:rFonts w:hint="cs"/>
          <w:bCs/>
          <w:rtl/>
        </w:rPr>
        <w:t xml:space="preserve"> </w:t>
      </w:r>
      <w:r w:rsidRPr="00A52585">
        <w:rPr>
          <w:rFonts w:hint="cs"/>
          <w:rtl/>
        </w:rPr>
        <w:t>فتفسيره قراءته والسكوت عنه ليس</w:t>
      </w:r>
      <w:r w:rsidRPr="00A52585">
        <w:rPr>
          <w:rFonts w:hint="cs"/>
        </w:rPr>
        <w:t xml:space="preserve"> </w:t>
      </w:r>
      <w:r w:rsidRPr="00A52585">
        <w:rPr>
          <w:rFonts w:hint="cs"/>
          <w:rtl/>
        </w:rPr>
        <w:t>لأحد أن يفسره إلا الله ورسوله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أمروا الأحاديث كما جاءت</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كانوا لا يفسرون شيئا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قلنا لا نفسر هذا ولا سمعنا أحدا يفسره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فتفسيره تلاوته</w:t>
      </w:r>
      <w:r w:rsidRPr="00A52585">
        <w:rPr>
          <w:rFonts w:hint="cs"/>
        </w:rPr>
        <w:t xml:space="preserve"> </w:t>
      </w:r>
      <w:r w:rsidRPr="00A52585">
        <w:rPr>
          <w:rFonts w:hint="cs"/>
          <w:rtl/>
        </w:rPr>
        <w:t>والسكوت عليه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فنحن</w:t>
      </w:r>
      <w:r w:rsidRPr="00A52585">
        <w:rPr>
          <w:rFonts w:hint="cs"/>
        </w:rPr>
        <w:t xml:space="preserve"> </w:t>
      </w:r>
      <w:r w:rsidRPr="00A52585">
        <w:rPr>
          <w:rFonts w:hint="cs"/>
          <w:rtl/>
        </w:rPr>
        <w:t>نرويها ونؤمن بها ولا نفسرها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كل شيء وصف</w:t>
      </w:r>
      <w:r w:rsidRPr="00A52585">
        <w:rPr>
          <w:rFonts w:hint="cs"/>
        </w:rPr>
        <w:t xml:space="preserve"> </w:t>
      </w:r>
      <w:r w:rsidRPr="00A52585">
        <w:rPr>
          <w:rFonts w:hint="cs"/>
          <w:rtl/>
        </w:rPr>
        <w:t>الله به نفسه في القرآن فقراءته تفسيره لا كيف</w:t>
      </w:r>
      <w:r w:rsidRPr="00A52585">
        <w:rPr>
          <w:rFonts w:hint="cs"/>
        </w:rPr>
        <w:t xml:space="preserve"> </w:t>
      </w:r>
      <w:r w:rsidRPr="00A52585">
        <w:rPr>
          <w:rFonts w:hint="cs"/>
          <w:rtl/>
        </w:rPr>
        <w:t>ولا مثل</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فمن فسر اليوم شيئا من</w:t>
      </w:r>
      <w:r w:rsidRPr="00A52585">
        <w:rPr>
          <w:rFonts w:hint="cs"/>
        </w:rPr>
        <w:t xml:space="preserve"> </w:t>
      </w:r>
      <w:r w:rsidRPr="00A52585">
        <w:rPr>
          <w:rFonts w:hint="cs"/>
          <w:rtl/>
        </w:rPr>
        <w:t>ذلك فقد خرج مما كان عليه النبي صلى الله عليه وسلم والجماعة فإنهم لم يصفوا</w:t>
      </w:r>
      <w:r w:rsidRPr="00A52585">
        <w:rPr>
          <w:rFonts w:hint="cs"/>
        </w:rPr>
        <w:t xml:space="preserve"> </w:t>
      </w:r>
      <w:r w:rsidRPr="00A52585">
        <w:rPr>
          <w:rFonts w:hint="cs"/>
          <w:rtl/>
        </w:rPr>
        <w:t xml:space="preserve">ولم </w:t>
      </w:r>
      <w:r w:rsidRPr="00A52585">
        <w:rPr>
          <w:rFonts w:hint="cs"/>
          <w:rtl/>
        </w:rPr>
        <w:lastRenderedPageBreak/>
        <w:t>يفسروا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نحن</w:t>
      </w:r>
      <w:r w:rsidRPr="00A52585">
        <w:rPr>
          <w:rFonts w:hint="cs"/>
        </w:rPr>
        <w:t xml:space="preserve"> </w:t>
      </w:r>
      <w:r w:rsidRPr="00A52585">
        <w:rPr>
          <w:rFonts w:hint="cs"/>
          <w:rtl/>
        </w:rPr>
        <w:t>نرويها ونؤمن بها ولا نفسرها</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إذا سئلنا عن تفسيرها</w:t>
      </w:r>
      <w:r w:rsidR="0002035C" w:rsidRPr="00A52585">
        <w:rPr>
          <w:rtl/>
        </w:rPr>
        <w:t xml:space="preserve"> </w:t>
      </w:r>
      <w:r w:rsidRPr="00A52585">
        <w:rPr>
          <w:rFonts w:hint="cs"/>
          <w:rtl/>
        </w:rPr>
        <w:t>قلنا</w:t>
      </w:r>
      <w:r w:rsidR="0002035C" w:rsidRPr="00A52585">
        <w:rPr>
          <w:rFonts w:hint="cs"/>
          <w:rtl/>
        </w:rPr>
        <w:t>:</w:t>
      </w:r>
      <w:r w:rsidRPr="00A52585">
        <w:rPr>
          <w:rFonts w:hint="cs"/>
          <w:rtl/>
        </w:rPr>
        <w:t xml:space="preserve"> ما أدركنا أحدا يفسر منها شيئا ونحن لا نفسر منها شيئا نصدق بها ونسكت</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أمروها</w:t>
      </w:r>
      <w:r w:rsidRPr="00A52585">
        <w:rPr>
          <w:rFonts w:hint="cs"/>
        </w:rPr>
        <w:t xml:space="preserve"> </w:t>
      </w:r>
      <w:r w:rsidRPr="00A52585">
        <w:rPr>
          <w:rFonts w:hint="cs"/>
          <w:rtl/>
        </w:rPr>
        <w:t>بلا</w:t>
      </w:r>
      <w:r w:rsidRPr="00A52585">
        <w:rPr>
          <w:rFonts w:hint="cs"/>
        </w:rPr>
        <w:t xml:space="preserve"> </w:t>
      </w:r>
      <w:r w:rsidRPr="00A52585">
        <w:rPr>
          <w:rFonts w:hint="cs"/>
          <w:rtl/>
        </w:rPr>
        <w:t>كيف</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أمضها</w:t>
      </w:r>
      <w:r w:rsidRPr="00A52585">
        <w:rPr>
          <w:rFonts w:hint="cs"/>
        </w:rPr>
        <w:t xml:space="preserve"> </w:t>
      </w:r>
      <w:r w:rsidRPr="00A52585">
        <w:rPr>
          <w:rFonts w:hint="cs"/>
          <w:rtl/>
        </w:rPr>
        <w:t>بلا كيف</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وما يعلم تأويله إلا الله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كان</w:t>
      </w:r>
      <w:r w:rsidRPr="00A52585">
        <w:rPr>
          <w:rFonts w:hint="cs"/>
        </w:rPr>
        <w:t xml:space="preserve"> </w:t>
      </w:r>
      <w:r w:rsidRPr="00A52585">
        <w:rPr>
          <w:rFonts w:hint="cs"/>
          <w:rtl/>
        </w:rPr>
        <w:t xml:space="preserve">رسوخهم في العلم أن آمنوا </w:t>
      </w:r>
      <w:proofErr w:type="spellStart"/>
      <w:r w:rsidRPr="00A52585">
        <w:rPr>
          <w:rFonts w:hint="cs"/>
          <w:rtl/>
        </w:rPr>
        <w:t>بمتشابهه</w:t>
      </w:r>
      <w:proofErr w:type="spellEnd"/>
      <w:r w:rsidRPr="00A52585">
        <w:rPr>
          <w:rFonts w:hint="cs"/>
        </w:rPr>
        <w:t xml:space="preserve"> </w:t>
      </w:r>
      <w:r w:rsidRPr="00A52585">
        <w:rPr>
          <w:rFonts w:hint="cs"/>
          <w:rtl/>
        </w:rPr>
        <w:t>ولا</w:t>
      </w:r>
      <w:r w:rsidRPr="00A52585">
        <w:rPr>
          <w:rFonts w:hint="cs"/>
        </w:rPr>
        <w:t xml:space="preserve"> </w:t>
      </w:r>
      <w:r w:rsidRPr="00A52585">
        <w:rPr>
          <w:rFonts w:hint="cs"/>
          <w:rtl/>
        </w:rPr>
        <w:t>يعلمونه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نكل</w:t>
      </w:r>
      <w:r w:rsidRPr="00A52585">
        <w:rPr>
          <w:rFonts w:hint="cs"/>
        </w:rPr>
        <w:t xml:space="preserve"> </w:t>
      </w:r>
      <w:r w:rsidRPr="00A52585">
        <w:rPr>
          <w:rFonts w:hint="cs"/>
          <w:rtl/>
        </w:rPr>
        <w:t>علمه إلى الله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ونفوض علمه إلى الله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هذا من متشابه</w:t>
      </w:r>
      <w:r w:rsidRPr="00A52585">
        <w:rPr>
          <w:rFonts w:hint="cs"/>
        </w:rPr>
        <w:t xml:space="preserve"> </w:t>
      </w:r>
      <w:r w:rsidRPr="00A52585">
        <w:rPr>
          <w:rFonts w:hint="cs"/>
          <w:rtl/>
        </w:rPr>
        <w:t>القرآن الذي</w:t>
      </w:r>
      <w:r w:rsidRPr="00A52585">
        <w:rPr>
          <w:rFonts w:hint="cs"/>
        </w:rPr>
        <w:t xml:space="preserve"> </w:t>
      </w:r>
      <w:r w:rsidRPr="00A52585">
        <w:rPr>
          <w:rFonts w:hint="cs"/>
          <w:rtl/>
        </w:rPr>
        <w:t>نؤمن</w:t>
      </w:r>
      <w:r w:rsidRPr="00A52585">
        <w:rPr>
          <w:rFonts w:hint="cs"/>
        </w:rPr>
        <w:t xml:space="preserve"> </w:t>
      </w:r>
      <w:r w:rsidRPr="00A52585">
        <w:rPr>
          <w:rFonts w:hint="cs"/>
          <w:rtl/>
        </w:rPr>
        <w:t>به</w:t>
      </w:r>
      <w:r w:rsidRPr="00A52585">
        <w:rPr>
          <w:rFonts w:hint="cs"/>
        </w:rPr>
        <w:t xml:space="preserve"> </w:t>
      </w:r>
      <w:r w:rsidRPr="00A52585">
        <w:rPr>
          <w:rFonts w:hint="cs"/>
          <w:rtl/>
        </w:rPr>
        <w:t>ولا</w:t>
      </w:r>
      <w:r w:rsidRPr="00A52585">
        <w:rPr>
          <w:rFonts w:hint="cs"/>
        </w:rPr>
        <w:t xml:space="preserve"> </w:t>
      </w:r>
      <w:r w:rsidRPr="00A52585">
        <w:rPr>
          <w:rFonts w:hint="cs"/>
          <w:rtl/>
        </w:rPr>
        <w:t>نتعرض</w:t>
      </w:r>
      <w:r w:rsidRPr="00A52585">
        <w:rPr>
          <w:rFonts w:hint="cs"/>
        </w:rPr>
        <w:t xml:space="preserve"> </w:t>
      </w:r>
      <w:r w:rsidRPr="00A52585">
        <w:rPr>
          <w:rFonts w:hint="cs"/>
          <w:rtl/>
        </w:rPr>
        <w:t>لمعناه</w:t>
      </w:r>
      <w:r w:rsidR="00DB731D" w:rsidRPr="00A52585">
        <w:rPr>
          <w:rFonts w:hint="cs"/>
          <w:rtl/>
        </w:rPr>
        <w:t>،</w:t>
      </w:r>
      <w:r w:rsidRPr="00A52585">
        <w:rPr>
          <w:rFonts w:hint="cs"/>
          <w:rtl/>
        </w:rPr>
        <w:t xml:space="preserve"> وقولهم</w:t>
      </w:r>
      <w:r w:rsidR="0002035C" w:rsidRPr="00A52585">
        <w:rPr>
          <w:rFonts w:hint="cs"/>
          <w:rtl/>
        </w:rPr>
        <w:t xml:space="preserve">: </w:t>
      </w:r>
      <w:r w:rsidRPr="00A52585">
        <w:rPr>
          <w:rFonts w:hint="cs"/>
          <w:rtl/>
        </w:rPr>
        <w:t>هذا</w:t>
      </w:r>
      <w:r w:rsidRPr="00A52585">
        <w:rPr>
          <w:rFonts w:hint="cs"/>
        </w:rPr>
        <w:t xml:space="preserve"> </w:t>
      </w:r>
      <w:r w:rsidRPr="00A52585">
        <w:rPr>
          <w:rFonts w:hint="cs"/>
          <w:rtl/>
        </w:rPr>
        <w:t>من المكتوم الذي لا يفسر</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المذهب هو عدم الخوض في مثل هذا والسكوت عنه وتفويض علمه</w:t>
      </w:r>
      <w:r w:rsidRPr="00A52585">
        <w:rPr>
          <w:rFonts w:hint="cs"/>
        </w:rPr>
        <w:t xml:space="preserve"> </w:t>
      </w:r>
      <w:r w:rsidRPr="00A52585">
        <w:rPr>
          <w:rFonts w:hint="cs"/>
          <w:rtl/>
        </w:rPr>
        <w:t>إلى الله تعالى</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المذهب في هذا وأمثاله السكوت عن الخوض في معناه وتفويض علمه</w:t>
      </w:r>
      <w:r w:rsidRPr="00A52585">
        <w:rPr>
          <w:rFonts w:hint="cs"/>
        </w:rPr>
        <w:t xml:space="preserve"> </w:t>
      </w:r>
      <w:r w:rsidRPr="00A52585">
        <w:rPr>
          <w:rFonts w:hint="cs"/>
          <w:rtl/>
        </w:rPr>
        <w:t>إلى الله تعالى</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فحق</w:t>
      </w:r>
      <w:r w:rsidRPr="00A52585">
        <w:rPr>
          <w:rFonts w:hint="cs"/>
        </w:rPr>
        <w:t xml:space="preserve"> </w:t>
      </w:r>
      <w:r w:rsidRPr="00A52585">
        <w:rPr>
          <w:rFonts w:hint="cs"/>
          <w:rtl/>
        </w:rPr>
        <w:t>على ذي الدين أن يعتقد تنزيه الباري</w:t>
      </w:r>
      <w:r w:rsidRPr="00A52585">
        <w:rPr>
          <w:rFonts w:hint="cs"/>
        </w:rPr>
        <w:t xml:space="preserve"> </w:t>
      </w:r>
      <w:r w:rsidRPr="00A52585">
        <w:rPr>
          <w:rFonts w:hint="cs"/>
          <w:rtl/>
        </w:rPr>
        <w:t>عن</w:t>
      </w:r>
      <w:r w:rsidRPr="00A52585">
        <w:rPr>
          <w:rFonts w:hint="cs"/>
        </w:rPr>
        <w:t xml:space="preserve"> </w:t>
      </w:r>
      <w:r w:rsidRPr="00A52585">
        <w:rPr>
          <w:rFonts w:hint="cs"/>
          <w:rtl/>
        </w:rPr>
        <w:t>صفات المحدثين ولا يخوض في تأويل المشكلات ويكل معناها</w:t>
      </w:r>
      <w:r w:rsidRPr="00A52585">
        <w:rPr>
          <w:rFonts w:hint="cs"/>
        </w:rPr>
        <w:t xml:space="preserve"> </w:t>
      </w:r>
      <w:r w:rsidRPr="00A52585">
        <w:rPr>
          <w:rFonts w:hint="cs"/>
          <w:rtl/>
        </w:rPr>
        <w:t>إلى الرب</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هذه</w:t>
      </w:r>
      <w:r w:rsidRPr="00A52585">
        <w:rPr>
          <w:rFonts w:hint="cs"/>
        </w:rPr>
        <w:t xml:space="preserve"> </w:t>
      </w:r>
      <w:r w:rsidRPr="00A52585">
        <w:rPr>
          <w:rFonts w:hint="cs"/>
          <w:rtl/>
        </w:rPr>
        <w:t>الأحاديث ونحوها تروى كما جاءت ويفوض معناها إلى</w:t>
      </w:r>
      <w:r w:rsidRPr="00A52585">
        <w:rPr>
          <w:rFonts w:hint="cs"/>
        </w:rPr>
        <w:t xml:space="preserve"> </w:t>
      </w:r>
      <w:r w:rsidRPr="00A52585">
        <w:rPr>
          <w:rFonts w:hint="cs"/>
          <w:rtl/>
        </w:rPr>
        <w:t>الله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حرام</w:t>
      </w:r>
      <w:r w:rsidRPr="00A52585">
        <w:rPr>
          <w:rFonts w:hint="cs"/>
        </w:rPr>
        <w:t xml:space="preserve"> </w:t>
      </w:r>
      <w:r w:rsidRPr="00A52585">
        <w:rPr>
          <w:rFonts w:hint="cs"/>
          <w:rtl/>
        </w:rPr>
        <w:t>على العقول</w:t>
      </w:r>
      <w:r w:rsidRPr="00A52585">
        <w:rPr>
          <w:rFonts w:hint="cs"/>
        </w:rPr>
        <w:t xml:space="preserve"> </w:t>
      </w:r>
      <w:r w:rsidRPr="00A52585">
        <w:rPr>
          <w:rFonts w:hint="cs"/>
          <w:rtl/>
        </w:rPr>
        <w:t>أن</w:t>
      </w:r>
      <w:r w:rsidRPr="00A52585">
        <w:rPr>
          <w:rFonts w:hint="cs"/>
        </w:rPr>
        <w:t xml:space="preserve"> </w:t>
      </w:r>
      <w:r w:rsidRPr="00A52585">
        <w:rPr>
          <w:rFonts w:hint="cs"/>
          <w:rtl/>
        </w:rPr>
        <w:t>تمثل</w:t>
      </w:r>
      <w:r w:rsidRPr="00A52585">
        <w:rPr>
          <w:rFonts w:hint="cs"/>
        </w:rPr>
        <w:t xml:space="preserve"> </w:t>
      </w:r>
      <w:r w:rsidRPr="00A52585">
        <w:rPr>
          <w:rFonts w:hint="cs"/>
          <w:rtl/>
        </w:rPr>
        <w:t>الله</w:t>
      </w:r>
      <w:r w:rsidRPr="00A52585">
        <w:rPr>
          <w:rFonts w:hint="cs"/>
        </w:rPr>
        <w:t xml:space="preserve"> </w:t>
      </w:r>
      <w:r w:rsidRPr="00A52585">
        <w:rPr>
          <w:rFonts w:hint="cs"/>
          <w:rtl/>
        </w:rPr>
        <w:t>تعالى وعلى الأوهام أن</w:t>
      </w:r>
      <w:r w:rsidRPr="00A52585">
        <w:rPr>
          <w:rFonts w:hint="cs"/>
        </w:rPr>
        <w:t xml:space="preserve"> </w:t>
      </w:r>
      <w:r w:rsidRPr="00A52585">
        <w:rPr>
          <w:rFonts w:hint="cs"/>
          <w:rtl/>
        </w:rPr>
        <w:t>تحد</w:t>
      </w:r>
      <w:r w:rsidRPr="00A52585">
        <w:rPr>
          <w:rFonts w:hint="cs"/>
        </w:rPr>
        <w:t xml:space="preserve"> </w:t>
      </w:r>
      <w:r w:rsidRPr="00A52585">
        <w:rPr>
          <w:rFonts w:hint="cs"/>
          <w:rtl/>
        </w:rPr>
        <w:t>وعلى</w:t>
      </w:r>
      <w:r w:rsidRPr="00A52585">
        <w:rPr>
          <w:rFonts w:hint="cs"/>
        </w:rPr>
        <w:t xml:space="preserve"> </w:t>
      </w:r>
      <w:r w:rsidRPr="00A52585">
        <w:rPr>
          <w:rFonts w:hint="cs"/>
          <w:rtl/>
        </w:rPr>
        <w:t>الظنون</w:t>
      </w:r>
      <w:r w:rsidRPr="00A52585">
        <w:rPr>
          <w:rFonts w:hint="cs"/>
        </w:rPr>
        <w:t xml:space="preserve"> </w:t>
      </w:r>
      <w:r w:rsidRPr="00A52585">
        <w:rPr>
          <w:rFonts w:hint="cs"/>
          <w:rtl/>
        </w:rPr>
        <w:t>أن</w:t>
      </w:r>
      <w:r w:rsidRPr="00A52585">
        <w:rPr>
          <w:rFonts w:hint="cs"/>
        </w:rPr>
        <w:t xml:space="preserve"> </w:t>
      </w:r>
      <w:r w:rsidRPr="00A52585">
        <w:rPr>
          <w:rFonts w:hint="cs"/>
          <w:rtl/>
        </w:rPr>
        <w:t>تقطع وعلى النفوس أن</w:t>
      </w:r>
      <w:r w:rsidRPr="00A52585">
        <w:rPr>
          <w:rFonts w:hint="cs"/>
        </w:rPr>
        <w:t xml:space="preserve"> </w:t>
      </w:r>
      <w:r w:rsidRPr="00A52585">
        <w:rPr>
          <w:rFonts w:hint="cs"/>
          <w:rtl/>
        </w:rPr>
        <w:t>تفكر</w:t>
      </w:r>
      <w:r w:rsidRPr="00A52585">
        <w:rPr>
          <w:rFonts w:hint="cs"/>
        </w:rPr>
        <w:t xml:space="preserve"> </w:t>
      </w:r>
      <w:r w:rsidRPr="00A52585">
        <w:rPr>
          <w:rFonts w:hint="cs"/>
          <w:rtl/>
        </w:rPr>
        <w:t>وعلى</w:t>
      </w:r>
      <w:r w:rsidRPr="00A52585">
        <w:rPr>
          <w:rFonts w:hint="cs"/>
        </w:rPr>
        <w:t xml:space="preserve"> </w:t>
      </w:r>
      <w:r w:rsidRPr="00A52585">
        <w:rPr>
          <w:rFonts w:hint="cs"/>
          <w:rtl/>
        </w:rPr>
        <w:t>الضمائر</w:t>
      </w:r>
      <w:r w:rsidRPr="00A52585">
        <w:rPr>
          <w:rFonts w:hint="cs"/>
        </w:rPr>
        <w:t xml:space="preserve"> </w:t>
      </w:r>
      <w:r w:rsidRPr="00A52585">
        <w:rPr>
          <w:rFonts w:hint="cs"/>
          <w:rtl/>
        </w:rPr>
        <w:t>أن تعمق وعلى الخواطر أن تحيط</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آمنت</w:t>
      </w:r>
      <w:r w:rsidRPr="00A52585">
        <w:rPr>
          <w:rFonts w:hint="cs"/>
        </w:rPr>
        <w:t xml:space="preserve"> </w:t>
      </w:r>
      <w:r w:rsidRPr="00A52585">
        <w:rPr>
          <w:rFonts w:hint="cs"/>
          <w:rtl/>
        </w:rPr>
        <w:t>بالله وبما جاء عن الله وعلى مراد الله وآمنت برسول الله</w:t>
      </w:r>
      <w:r w:rsidRPr="00A52585">
        <w:rPr>
          <w:rFonts w:hint="cs"/>
        </w:rPr>
        <w:t xml:space="preserve"> </w:t>
      </w:r>
      <w:r w:rsidRPr="00A52585">
        <w:rPr>
          <w:rFonts w:hint="cs"/>
          <w:rtl/>
        </w:rPr>
        <w:t>وبما جاء به رسول الله وعلى مراد رسول الله</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نكل علمه</w:t>
      </w:r>
      <w:r w:rsidRPr="00A52585">
        <w:rPr>
          <w:rFonts w:hint="cs"/>
        </w:rPr>
        <w:t xml:space="preserve"> </w:t>
      </w:r>
      <w:r w:rsidRPr="00A52585">
        <w:rPr>
          <w:rFonts w:hint="cs"/>
          <w:rtl/>
        </w:rPr>
        <w:t>إلى الله تعالى</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والسؤال عنه بدعة</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من</w:t>
      </w:r>
      <w:r w:rsidRPr="00A52585">
        <w:rPr>
          <w:rFonts w:hint="cs"/>
        </w:rPr>
        <w:t xml:space="preserve"> </w:t>
      </w:r>
      <w:r w:rsidRPr="00A52585">
        <w:rPr>
          <w:rFonts w:hint="cs"/>
          <w:rtl/>
        </w:rPr>
        <w:t>تكلم في معناها فقد ابتدع</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قلت</w:t>
      </w:r>
      <w:r w:rsidR="0002035C" w:rsidRPr="00A52585">
        <w:rPr>
          <w:rFonts w:hint="cs"/>
          <w:bCs/>
          <w:rtl/>
        </w:rPr>
        <w:t>)</w:t>
      </w:r>
      <w:r w:rsidR="0002035C" w:rsidRPr="00A52585">
        <w:rPr>
          <w:rFonts w:hint="cs"/>
          <w:rtl/>
        </w:rPr>
        <w:t>:</w:t>
      </w:r>
      <w:r w:rsidRPr="00A52585">
        <w:rPr>
          <w:rFonts w:hint="cs"/>
          <w:rtl/>
        </w:rPr>
        <w:t xml:space="preserve"> وهذه العبارات الممتلئة علماً وورعاً تدل على مدى حذر السلف من الخوض في المتشابه حذراً من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7]</w:t>
      </w:r>
      <w:r w:rsidR="00DB731D" w:rsidRPr="00A52585">
        <w:rPr>
          <w:rFonts w:hint="cs"/>
          <w:rtl/>
        </w:rPr>
        <w:t>،</w:t>
      </w:r>
      <w:r w:rsidRPr="00A52585">
        <w:rPr>
          <w:rFonts w:hint="cs"/>
          <w:rtl/>
        </w:rPr>
        <w:t xml:space="preserve"> وإليك أمثلة لمنهج السلف في متشابه الإضافات إلى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الأئمة مالك بن</w:t>
      </w:r>
      <w:r w:rsidRPr="00A52585">
        <w:rPr>
          <w:rFonts w:hint="cs"/>
          <w:bCs/>
        </w:rPr>
        <w:t xml:space="preserve"> </w:t>
      </w:r>
      <w:r w:rsidRPr="00A52585">
        <w:rPr>
          <w:rFonts w:hint="cs"/>
          <w:bCs/>
          <w:rtl/>
        </w:rPr>
        <w:t>أنس وسفيان بن عيينة، وعبد الله بن المبارك ومذهب السلف</w:t>
      </w:r>
      <w:r w:rsidR="0002035C" w:rsidRPr="00A52585">
        <w:rPr>
          <w:rFonts w:hint="cs"/>
          <w:bCs/>
          <w:rtl/>
        </w:rPr>
        <w:t>]:</w:t>
      </w:r>
      <w:r w:rsidRPr="00A52585">
        <w:rPr>
          <w:rFonts w:hint="cs"/>
          <w:rtl/>
        </w:rPr>
        <w:t xml:space="preserve"> قال الإمام</w:t>
      </w:r>
      <w:r w:rsidRPr="00A52585">
        <w:rPr>
          <w:rFonts w:hint="cs"/>
        </w:rPr>
        <w:t xml:space="preserve"> </w:t>
      </w:r>
      <w:r w:rsidRPr="00A52585">
        <w:rPr>
          <w:rFonts w:hint="cs"/>
          <w:rtl/>
        </w:rPr>
        <w:t>الترمذي رحمه الله في السنن</w:t>
      </w:r>
      <w:r w:rsidR="0002035C" w:rsidRPr="00A52585">
        <w:rPr>
          <w:rFonts w:hint="cs"/>
          <w:rtl/>
        </w:rPr>
        <w:t>:</w:t>
      </w:r>
      <w:r w:rsidRPr="00A52585">
        <w:rPr>
          <w:rFonts w:hint="cs"/>
          <w:rtl/>
        </w:rPr>
        <w:t xml:space="preserve"> " قد</w:t>
      </w:r>
      <w:r w:rsidRPr="00A52585">
        <w:rPr>
          <w:rFonts w:hint="cs"/>
        </w:rPr>
        <w:t xml:space="preserve"> </w:t>
      </w:r>
      <w:r w:rsidRPr="00A52585">
        <w:rPr>
          <w:rFonts w:hint="cs"/>
          <w:rtl/>
        </w:rPr>
        <w:t>قال غير واحد من أهل العلم في</w:t>
      </w:r>
      <w:r w:rsidRPr="00A52585">
        <w:rPr>
          <w:rFonts w:hint="cs"/>
        </w:rPr>
        <w:t xml:space="preserve"> </w:t>
      </w:r>
      <w:r w:rsidRPr="00A52585">
        <w:rPr>
          <w:rFonts w:hint="cs"/>
          <w:rtl/>
        </w:rPr>
        <w:t>هذه الروايات</w:t>
      </w:r>
      <w:r w:rsidRPr="00A52585">
        <w:rPr>
          <w:rFonts w:hint="cs"/>
        </w:rPr>
        <w:t xml:space="preserve"> </w:t>
      </w:r>
      <w:r w:rsidRPr="00A52585">
        <w:rPr>
          <w:rFonts w:hint="cs"/>
          <w:rtl/>
        </w:rPr>
        <w:t>من الصفات ونزول الرب تبارك وتعالى كل ليلة إلى السماء الدنيا، فإنهم</w:t>
      </w:r>
      <w:r w:rsidRPr="00A52585">
        <w:rPr>
          <w:rFonts w:hint="cs"/>
        </w:rPr>
        <w:t xml:space="preserve"> </w:t>
      </w:r>
      <w:r w:rsidRPr="00A52585">
        <w:rPr>
          <w:rFonts w:hint="cs"/>
          <w:rtl/>
        </w:rPr>
        <w:t>قالوا</w:t>
      </w:r>
      <w:r w:rsidR="0002035C" w:rsidRPr="00A52585">
        <w:rPr>
          <w:rFonts w:hint="cs"/>
          <w:rtl/>
        </w:rPr>
        <w:t>:</w:t>
      </w:r>
      <w:r w:rsidRPr="00A52585">
        <w:rPr>
          <w:rFonts w:hint="cs"/>
          <w:rtl/>
        </w:rPr>
        <w:t xml:space="preserve"> قد</w:t>
      </w:r>
      <w:r w:rsidRPr="00A52585">
        <w:rPr>
          <w:rFonts w:hint="cs"/>
        </w:rPr>
        <w:t xml:space="preserve"> </w:t>
      </w:r>
      <w:r w:rsidRPr="00A52585">
        <w:rPr>
          <w:rFonts w:hint="cs"/>
          <w:rtl/>
        </w:rPr>
        <w:t>ثبتت الروايات في هذا ونؤمن بها ولا نتوهم، ولا يقال كيف هكذا روي عن</w:t>
      </w:r>
      <w:r w:rsidRPr="00A52585">
        <w:rPr>
          <w:rFonts w:hint="cs"/>
        </w:rPr>
        <w:t xml:space="preserve"> </w:t>
      </w:r>
      <w:r w:rsidRPr="00A52585">
        <w:rPr>
          <w:rFonts w:hint="cs"/>
          <w:rtl/>
        </w:rPr>
        <w:t>مالك بن</w:t>
      </w:r>
      <w:r w:rsidRPr="00A52585">
        <w:rPr>
          <w:rFonts w:hint="cs"/>
        </w:rPr>
        <w:t xml:space="preserve"> </w:t>
      </w:r>
      <w:r w:rsidRPr="00A52585">
        <w:rPr>
          <w:rFonts w:hint="cs"/>
          <w:rtl/>
        </w:rPr>
        <w:t>أنس وسفيان بن عيينة، وعبد الله بن المبارك، أنهم قالوا في هذه الأحاديث</w:t>
      </w:r>
      <w:r w:rsidRPr="00A52585">
        <w:rPr>
          <w:rFonts w:hint="cs"/>
        </w:rPr>
        <w:t xml:space="preserve"> </w:t>
      </w:r>
      <w:r w:rsidRPr="00A52585">
        <w:rPr>
          <w:rFonts w:hint="cs"/>
          <w:rtl/>
        </w:rPr>
        <w:t>أمرُّوها بلا</w:t>
      </w:r>
      <w:r w:rsidRPr="00A52585">
        <w:rPr>
          <w:rFonts w:hint="cs"/>
        </w:rPr>
        <w:t xml:space="preserve"> </w:t>
      </w:r>
      <w:r w:rsidRPr="00A52585">
        <w:rPr>
          <w:rFonts w:hint="cs"/>
          <w:rtl/>
        </w:rPr>
        <w:t>كيف وهذا قول أهل العلم من أهل السنة والجماعة "</w:t>
      </w:r>
      <w:r w:rsidR="0002035C" w:rsidRPr="00A52585">
        <w:rPr>
          <w:rFonts w:hint="cs"/>
          <w:rtl/>
        </w:rPr>
        <w:t>[</w:t>
      </w:r>
      <w:r w:rsidRPr="00A52585">
        <w:rPr>
          <w:rFonts w:hint="cs"/>
          <w:rtl/>
        </w:rPr>
        <w:t xml:space="preserve">سنن الترمذي – كتاب الزكاة </w:t>
      </w:r>
      <w:r w:rsidR="0002035C" w:rsidRPr="00A52585">
        <w:rPr>
          <w:rFonts w:hint="cs"/>
          <w:rtl/>
        </w:rPr>
        <w:t>(</w:t>
      </w:r>
      <w:r w:rsidRPr="00A52585">
        <w:rPr>
          <w:rFonts w:hint="cs"/>
          <w:rtl/>
        </w:rPr>
        <w:t>3</w:t>
      </w:r>
      <w:r w:rsidR="0002035C" w:rsidRPr="00A52585">
        <w:rPr>
          <w:rFonts w:hint="cs"/>
          <w:rtl/>
        </w:rPr>
        <w:t>:</w:t>
      </w:r>
      <w:r w:rsidRPr="00A52585">
        <w:rPr>
          <w:rFonts w:hint="cs"/>
          <w:rtl/>
        </w:rPr>
        <w:t xml:space="preserve"> 24</w:t>
      </w:r>
      <w:r w:rsidR="0002035C" w:rsidRPr="00A52585">
        <w:rPr>
          <w:rFonts w:hint="cs"/>
          <w:rtl/>
        </w:rPr>
        <w:t>)]</w:t>
      </w:r>
      <w:r w:rsidRPr="00A52585">
        <w:rPr>
          <w:rFonts w:hint="cs"/>
          <w:rtl/>
        </w:rPr>
        <w:t xml:space="preserve"> أهـ</w:t>
      </w:r>
      <w:r w:rsidR="00DB731D" w:rsidRPr="00A52585">
        <w:rPr>
          <w:rFonts w:hint="cs"/>
          <w:rtl/>
        </w:rPr>
        <w:t>،</w:t>
      </w:r>
      <w:r w:rsidR="0002035C" w:rsidRPr="00A52585">
        <w:rPr>
          <w:rFonts w:hint="cs"/>
          <w:rtl/>
        </w:rPr>
        <w:t xml:space="preserve"> [</w:t>
      </w:r>
      <w:r w:rsidRPr="00A52585">
        <w:rPr>
          <w:rFonts w:hint="cs"/>
          <w:bCs/>
          <w:rtl/>
        </w:rPr>
        <w:t>الأئمة الأوزاعي ومالك بن أنس وسفيان الثوري والليث بن سعد ووكيع</w:t>
      </w:r>
      <w:r w:rsidRPr="00A52585">
        <w:rPr>
          <w:rFonts w:hint="cs"/>
          <w:bCs/>
        </w:rPr>
        <w:t xml:space="preserve"> </w:t>
      </w:r>
      <w:r w:rsidRPr="00A52585">
        <w:rPr>
          <w:rFonts w:hint="cs"/>
          <w:bCs/>
          <w:rtl/>
        </w:rPr>
        <w:t>واسماعيل بن أبى خالد وسفيان بن عيينة وسليمان ومذهب</w:t>
      </w:r>
      <w:r w:rsidRPr="00A52585">
        <w:rPr>
          <w:rFonts w:hint="cs"/>
          <w:bCs/>
        </w:rPr>
        <w:t xml:space="preserve"> </w:t>
      </w:r>
      <w:r w:rsidRPr="00A52585">
        <w:rPr>
          <w:rFonts w:hint="cs"/>
          <w:bCs/>
          <w:rtl/>
        </w:rPr>
        <w:lastRenderedPageBreak/>
        <w:t>السلف</w:t>
      </w:r>
      <w:r w:rsidR="0002035C" w:rsidRPr="00A52585">
        <w:rPr>
          <w:rFonts w:hint="cs"/>
          <w:bCs/>
          <w:rtl/>
        </w:rPr>
        <w:t>]:</w:t>
      </w:r>
      <w:r w:rsidRPr="00A52585">
        <w:rPr>
          <w:rFonts w:hint="cs"/>
          <w:rtl/>
        </w:rPr>
        <w:t xml:space="preserve"> جاء في كتاب الصفات للإمام علي بن عمر الدارقطني</w:t>
      </w:r>
      <w:r w:rsidR="0002035C" w:rsidRPr="00A52585">
        <w:rPr>
          <w:rFonts w:hint="cs"/>
          <w:rtl/>
        </w:rPr>
        <w:t>:</w:t>
      </w:r>
      <w:r w:rsidRPr="00A52585">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فقال وكيع أدركنا اسماعيل بن أبى خالد وسفيان وسليمان يحدثون بهذه الأحاديث ولا يفسرون شيئا</w:t>
      </w:r>
      <w:r w:rsidR="00897A24" w:rsidRPr="00A52585">
        <w:rPr>
          <w:rFonts w:hint="cs"/>
          <w:rtl/>
        </w:rPr>
        <w:t>.</w:t>
      </w:r>
      <w:r w:rsidRPr="00A52585">
        <w:rPr>
          <w:rFonts w:hint="cs"/>
          <w:rtl/>
        </w:rPr>
        <w:t xml:space="preserve">. حدثنا محمد بن مخلد حدثنا عيسى بن اسحاق بن موسى الأنصاري أبو العباس قال سمعت أبى يقول سمعت سفيان بن عيينة يقول كل ما وصف الله به نفسه </w:t>
      </w:r>
      <w:proofErr w:type="spellStart"/>
      <w:r w:rsidRPr="00A52585">
        <w:rPr>
          <w:rFonts w:hint="cs"/>
          <w:rtl/>
        </w:rPr>
        <w:t>فى</w:t>
      </w:r>
      <w:proofErr w:type="spellEnd"/>
      <w:r w:rsidRPr="00A52585">
        <w:rPr>
          <w:rFonts w:hint="cs"/>
          <w:rtl/>
        </w:rPr>
        <w:t xml:space="preserve"> القرآن فقراءته تفسيره لا كيف ولا مثل</w:t>
      </w:r>
      <w:r w:rsidR="00DB731D" w:rsidRPr="00A52585">
        <w:rPr>
          <w:rFonts w:hint="cs"/>
          <w:rtl/>
        </w:rPr>
        <w:t>،</w:t>
      </w:r>
      <w:r w:rsidRPr="00A52585">
        <w:rPr>
          <w:rFonts w:hint="cs"/>
          <w:rtl/>
        </w:rPr>
        <w:t xml:space="preserve"> حدثنا محمد بن مخلد حدثنا اسحاق بن يعقوب العطار قال سمعت أحمد بن </w:t>
      </w:r>
      <w:proofErr w:type="spellStart"/>
      <w:r w:rsidRPr="00A52585">
        <w:rPr>
          <w:rFonts w:hint="cs"/>
          <w:rtl/>
        </w:rPr>
        <w:t>الدورقى</w:t>
      </w:r>
      <w:proofErr w:type="spellEnd"/>
      <w:r w:rsidRPr="00A52585">
        <w:rPr>
          <w:rFonts w:hint="cs"/>
          <w:rtl/>
        </w:rPr>
        <w:t xml:space="preserve"> يقول سمعت وكيعا يقول نسلم هذه الأحاديث كما جاءت ولا نقول كيف هذا ولم جاء هذا</w:t>
      </w:r>
      <w:r w:rsidR="00DB731D" w:rsidRPr="00A52585">
        <w:rPr>
          <w:rFonts w:hint="cs"/>
          <w:rtl/>
        </w:rPr>
        <w:t>،</w:t>
      </w:r>
      <w:r w:rsidRPr="00A52585">
        <w:rPr>
          <w:rFonts w:hint="cs"/>
          <w:rtl/>
        </w:rPr>
        <w:t xml:space="preserve"> حدثنا محمد بن مخلد حدثنا أبو العباس اسحاق ابن يعقوب</w:t>
      </w:r>
      <w:r w:rsidRPr="00A52585">
        <w:rPr>
          <w:rFonts w:hint="cs"/>
        </w:rPr>
        <w:t xml:space="preserve"> </w:t>
      </w:r>
      <w:r w:rsidRPr="00A52585">
        <w:rPr>
          <w:rFonts w:hint="cs"/>
          <w:rtl/>
        </w:rPr>
        <w:t xml:space="preserve">قال سمعت أحمد بن </w:t>
      </w:r>
      <w:proofErr w:type="spellStart"/>
      <w:r w:rsidRPr="00A52585">
        <w:rPr>
          <w:rFonts w:hint="cs"/>
          <w:rtl/>
        </w:rPr>
        <w:t>الدورقى</w:t>
      </w:r>
      <w:proofErr w:type="spellEnd"/>
      <w:r w:rsidRPr="00A52585">
        <w:rPr>
          <w:rFonts w:hint="cs"/>
          <w:rtl/>
        </w:rPr>
        <w:t xml:space="preserve"> يقول </w:t>
      </w:r>
      <w:proofErr w:type="spellStart"/>
      <w:r w:rsidRPr="00A52585">
        <w:rPr>
          <w:rFonts w:hint="cs"/>
          <w:rtl/>
        </w:rPr>
        <w:t>حدثنى</w:t>
      </w:r>
      <w:proofErr w:type="spellEnd"/>
      <w:r w:rsidRPr="00A52585">
        <w:rPr>
          <w:rFonts w:hint="cs"/>
          <w:rtl/>
        </w:rPr>
        <w:t xml:space="preserve"> أحمد بن نصر رحمه الله قال سمعت سفيان بن</w:t>
      </w:r>
      <w:r w:rsidRPr="00A52585">
        <w:rPr>
          <w:rFonts w:hint="cs"/>
        </w:rPr>
        <w:t xml:space="preserve"> </w:t>
      </w:r>
      <w:r w:rsidRPr="00A52585">
        <w:rPr>
          <w:rFonts w:hint="cs"/>
          <w:rtl/>
        </w:rPr>
        <w:t xml:space="preserve">عيينة وأنا </w:t>
      </w:r>
      <w:proofErr w:type="spellStart"/>
      <w:r w:rsidRPr="00A52585">
        <w:rPr>
          <w:rFonts w:hint="cs"/>
          <w:rtl/>
        </w:rPr>
        <w:t>فى</w:t>
      </w:r>
      <w:proofErr w:type="spellEnd"/>
      <w:r w:rsidRPr="00A52585">
        <w:rPr>
          <w:rFonts w:hint="cs"/>
          <w:rtl/>
        </w:rPr>
        <w:t xml:space="preserve"> منزله بعد العتمة فجعلت ألح عليه في المسألة فقال دعني أتنفس فقلت</w:t>
      </w:r>
      <w:r w:rsidRPr="00A52585">
        <w:rPr>
          <w:rFonts w:hint="cs"/>
        </w:rPr>
        <w:t xml:space="preserve"> </w:t>
      </w:r>
      <w:r w:rsidRPr="00A52585">
        <w:rPr>
          <w:rFonts w:hint="cs"/>
          <w:rtl/>
        </w:rPr>
        <w:t xml:space="preserve">له يا أبا محمد </w:t>
      </w:r>
      <w:proofErr w:type="spellStart"/>
      <w:r w:rsidRPr="00A52585">
        <w:rPr>
          <w:rFonts w:hint="cs"/>
          <w:rtl/>
        </w:rPr>
        <w:t>إنى</w:t>
      </w:r>
      <w:proofErr w:type="spellEnd"/>
      <w:r w:rsidRPr="00A52585">
        <w:rPr>
          <w:rFonts w:hint="cs"/>
          <w:rtl/>
        </w:rPr>
        <w:t xml:space="preserve"> أريد أن أسألك عن </w:t>
      </w:r>
      <w:proofErr w:type="spellStart"/>
      <w:r w:rsidRPr="00A52585">
        <w:rPr>
          <w:rFonts w:hint="cs"/>
          <w:rtl/>
        </w:rPr>
        <w:t>شىء</w:t>
      </w:r>
      <w:proofErr w:type="spellEnd"/>
      <w:r w:rsidRPr="00A52585">
        <w:rPr>
          <w:rFonts w:hint="cs"/>
          <w:rtl/>
        </w:rPr>
        <w:t xml:space="preserve"> فقال لا تسأل فقلت لا بد من أن أسألك إذا</w:t>
      </w:r>
      <w:r w:rsidRPr="00A52585">
        <w:rPr>
          <w:rFonts w:hint="cs"/>
        </w:rPr>
        <w:t xml:space="preserve"> </w:t>
      </w:r>
      <w:r w:rsidRPr="00A52585">
        <w:rPr>
          <w:rFonts w:hint="cs"/>
          <w:rtl/>
        </w:rPr>
        <w:t>لم أسألك فمن أسأل فقال هات سل فقلت كيف حديث عبيدة عن عبد الله عن النبي</w:t>
      </w:r>
      <w:r w:rsidR="0002035C" w:rsidRPr="00A52585">
        <w:rPr>
          <w:rFonts w:hint="cs"/>
          <w:rtl/>
        </w:rPr>
        <w:t xml:space="preserve"> </w:t>
      </w:r>
      <w:r w:rsidRPr="00A52585">
        <w:rPr>
          <w:rFonts w:hint="cs"/>
          <w:rtl/>
        </w:rPr>
        <w:t>صلى</w:t>
      </w:r>
      <w:r w:rsidRPr="00A52585">
        <w:rPr>
          <w:rFonts w:hint="cs"/>
        </w:rPr>
        <w:t xml:space="preserve"> </w:t>
      </w:r>
      <w:r w:rsidRPr="00A52585">
        <w:rPr>
          <w:rFonts w:hint="cs"/>
          <w:rtl/>
        </w:rPr>
        <w:t>الله عليه وسلم إن الله عز وجل يحمل السماوات</w:t>
      </w:r>
      <w:r w:rsidRPr="00A52585">
        <w:rPr>
          <w:rFonts w:hint="cs"/>
        </w:rPr>
        <w:t xml:space="preserve"> </w:t>
      </w:r>
      <w:r w:rsidRPr="00A52585">
        <w:rPr>
          <w:rFonts w:hint="cs"/>
          <w:rtl/>
        </w:rPr>
        <w:t>على أصبع والأرضين على أصبع</w:t>
      </w:r>
      <w:r w:rsidR="0002035C" w:rsidRPr="00A52585">
        <w:rPr>
          <w:rFonts w:hint="cs"/>
          <w:rtl/>
        </w:rPr>
        <w:t xml:space="preserve"> </w:t>
      </w:r>
      <w:r w:rsidRPr="00A52585">
        <w:rPr>
          <w:rFonts w:hint="cs"/>
          <w:rtl/>
        </w:rPr>
        <w:t>وحديث</w:t>
      </w:r>
      <w:r w:rsidRPr="00A52585">
        <w:rPr>
          <w:rFonts w:hint="cs"/>
        </w:rPr>
        <w:t xml:space="preserve"> </w:t>
      </w:r>
      <w:r w:rsidRPr="00A52585">
        <w:rPr>
          <w:rFonts w:hint="cs"/>
          <w:rtl/>
        </w:rPr>
        <w:t>إن قلوب بنى آدم بين أصبعين من أصابع الرحمن</w:t>
      </w:r>
      <w:r w:rsidR="0002035C" w:rsidRPr="00A52585">
        <w:rPr>
          <w:rFonts w:hint="cs"/>
          <w:rtl/>
        </w:rPr>
        <w:t xml:space="preserve"> </w:t>
      </w:r>
      <w:r w:rsidRPr="00A52585">
        <w:rPr>
          <w:rFonts w:hint="cs"/>
          <w:rtl/>
        </w:rPr>
        <w:t>وحديث</w:t>
      </w:r>
      <w:r w:rsidRPr="00A52585">
        <w:rPr>
          <w:rFonts w:hint="cs"/>
        </w:rPr>
        <w:t xml:space="preserve"> </w:t>
      </w:r>
      <w:r w:rsidRPr="00A52585">
        <w:rPr>
          <w:rFonts w:hint="cs"/>
          <w:rtl/>
        </w:rPr>
        <w:t>إن الله عز وجل يعجب ويضحك ممن يذكره</w:t>
      </w:r>
      <w:r w:rsidRPr="00A52585">
        <w:rPr>
          <w:rFonts w:hint="cs"/>
        </w:rPr>
        <w:t xml:space="preserve"> </w:t>
      </w:r>
      <w:proofErr w:type="spellStart"/>
      <w:r w:rsidRPr="00A52585">
        <w:rPr>
          <w:rFonts w:hint="cs"/>
          <w:rtl/>
        </w:rPr>
        <w:t>فى</w:t>
      </w:r>
      <w:proofErr w:type="spellEnd"/>
      <w:r w:rsidRPr="00A52585">
        <w:rPr>
          <w:rFonts w:hint="cs"/>
          <w:rtl/>
        </w:rPr>
        <w:t xml:space="preserve"> الآفاق فقال سفيان </w:t>
      </w:r>
      <w:proofErr w:type="spellStart"/>
      <w:r w:rsidRPr="00A52585">
        <w:rPr>
          <w:rFonts w:hint="cs"/>
          <w:rtl/>
        </w:rPr>
        <w:t>هى</w:t>
      </w:r>
      <w:proofErr w:type="spellEnd"/>
      <w:r w:rsidRPr="00A52585">
        <w:rPr>
          <w:rFonts w:hint="cs"/>
          <w:rtl/>
        </w:rPr>
        <w:t xml:space="preserve"> كما جاءت نقر بها ونحدث بها بلا كيف</w:t>
      </w:r>
      <w:r w:rsidR="00897A24" w:rsidRPr="00A52585">
        <w:rPr>
          <w:rFonts w:hint="cs"/>
          <w:rtl/>
        </w:rPr>
        <w:t>.</w:t>
      </w:r>
      <w:r w:rsidRPr="00A52585">
        <w:rPr>
          <w:rFonts w:hint="cs"/>
          <w:rtl/>
        </w:rPr>
        <w:t xml:space="preserve">.. حدثنا محمد بن مخلد حدثنا أحمد بن سعد أبو إبراهيم </w:t>
      </w:r>
      <w:proofErr w:type="spellStart"/>
      <w:r w:rsidRPr="00A52585">
        <w:rPr>
          <w:rFonts w:hint="cs"/>
          <w:rtl/>
        </w:rPr>
        <w:t>الزبيرى</w:t>
      </w:r>
      <w:proofErr w:type="spellEnd"/>
      <w:r w:rsidRPr="00A52585">
        <w:rPr>
          <w:rFonts w:hint="cs"/>
          <w:rtl/>
        </w:rPr>
        <w:t xml:space="preserve"> حدثنا الهيثم بن خارجة حدثنا الوليد بن مسلم قال سألت الأوزاعي ومالك بن أنس وسفيان الثوري والليث بن سعد عن هذه الأحاديث التي فيها الرؤية وغير ذلك فقالوا أمضها بلا كيف "</w:t>
      </w:r>
      <w:r w:rsidR="0002035C" w:rsidRPr="00A52585">
        <w:rPr>
          <w:rFonts w:hint="cs"/>
          <w:rtl/>
        </w:rPr>
        <w:t xml:space="preserve"> </w:t>
      </w:r>
      <w:r w:rsidRPr="00A52585">
        <w:rPr>
          <w:rFonts w:hint="cs"/>
          <w:rtl/>
        </w:rPr>
        <w:t>[الصفات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41- 44] أهـ</w:t>
      </w:r>
      <w:r w:rsidR="00DB731D" w:rsidRPr="00A52585">
        <w:rPr>
          <w:rFonts w:hint="cs"/>
          <w:rtl/>
        </w:rPr>
        <w:t>،</w:t>
      </w:r>
      <w:r w:rsidR="0002035C" w:rsidRPr="00A52585">
        <w:rPr>
          <w:rFonts w:hint="cs"/>
          <w:rtl/>
        </w:rPr>
        <w:t xml:space="preserve"> [</w:t>
      </w:r>
      <w:r w:rsidRPr="00A52585">
        <w:rPr>
          <w:rFonts w:hint="cs"/>
          <w:bCs/>
          <w:rtl/>
        </w:rPr>
        <w:t>الأئمة محمد</w:t>
      </w:r>
      <w:r w:rsidRPr="00A52585">
        <w:rPr>
          <w:rFonts w:hint="cs"/>
          <w:bCs/>
        </w:rPr>
        <w:t xml:space="preserve"> </w:t>
      </w:r>
      <w:r w:rsidRPr="00A52585">
        <w:rPr>
          <w:rFonts w:hint="cs"/>
          <w:bCs/>
          <w:rtl/>
        </w:rPr>
        <w:t>بن الحسن و الزهري</w:t>
      </w:r>
      <w:r w:rsidRPr="00A52585">
        <w:rPr>
          <w:rFonts w:hint="cs"/>
          <w:bCs/>
        </w:rPr>
        <w:t xml:space="preserve"> </w:t>
      </w:r>
      <w:r w:rsidRPr="00A52585">
        <w:rPr>
          <w:rFonts w:hint="cs"/>
          <w:bCs/>
          <w:rtl/>
        </w:rPr>
        <w:t>ومكحول و أحمد</w:t>
      </w:r>
      <w:r w:rsidRPr="00A52585">
        <w:rPr>
          <w:rFonts w:hint="cs"/>
          <w:bCs/>
        </w:rPr>
        <w:t xml:space="preserve"> </w:t>
      </w:r>
      <w:r w:rsidRPr="00A52585">
        <w:rPr>
          <w:rFonts w:hint="cs"/>
          <w:bCs/>
          <w:rtl/>
        </w:rPr>
        <w:t>بن حنبل</w:t>
      </w:r>
      <w:r w:rsidR="00DB731D" w:rsidRPr="00A52585">
        <w:rPr>
          <w:rFonts w:hint="cs"/>
          <w:bCs/>
          <w:rtl/>
        </w:rPr>
        <w:t>،</w:t>
      </w:r>
      <w:r w:rsidRPr="00A52585">
        <w:rPr>
          <w:rFonts w:hint="cs"/>
          <w:bCs/>
          <w:rtl/>
        </w:rPr>
        <w:t xml:space="preserve"> و أبو</w:t>
      </w:r>
      <w:r w:rsidRPr="00A52585">
        <w:rPr>
          <w:rFonts w:hint="cs"/>
          <w:bCs/>
        </w:rPr>
        <w:t xml:space="preserve"> </w:t>
      </w:r>
      <w:r w:rsidRPr="00A52585">
        <w:rPr>
          <w:rFonts w:hint="cs"/>
          <w:bCs/>
          <w:rtl/>
        </w:rPr>
        <w:t>عبيد بن سلام و اتفاق</w:t>
      </w:r>
      <w:r w:rsidRPr="00A52585">
        <w:rPr>
          <w:rFonts w:hint="cs"/>
          <w:bCs/>
        </w:rPr>
        <w:t xml:space="preserve"> </w:t>
      </w:r>
      <w:r w:rsidRPr="00A52585">
        <w:rPr>
          <w:rFonts w:hint="cs"/>
          <w:bCs/>
          <w:rtl/>
        </w:rPr>
        <w:t>الفقهاء كلهم قبل محمد</w:t>
      </w:r>
      <w:r w:rsidRPr="00A52585">
        <w:rPr>
          <w:rFonts w:hint="cs"/>
          <w:bCs/>
        </w:rPr>
        <w:t xml:space="preserve"> </w:t>
      </w:r>
      <w:r w:rsidRPr="00A52585">
        <w:rPr>
          <w:rFonts w:hint="cs"/>
          <w:bCs/>
          <w:rtl/>
        </w:rPr>
        <w:t>بن الحسن على مذهب السلف</w:t>
      </w:r>
      <w:r w:rsidR="0002035C" w:rsidRPr="00A52585">
        <w:rPr>
          <w:rFonts w:hint="cs"/>
          <w:bCs/>
          <w:rtl/>
        </w:rPr>
        <w:t>]:</w:t>
      </w:r>
      <w:r w:rsidRPr="00A52585">
        <w:rPr>
          <w:rFonts w:hint="cs"/>
          <w:bCs/>
          <w:rtl/>
        </w:rPr>
        <w:t xml:space="preserve"> جاء في كتاب اعتقاد أهل السنة للحافظ هبة</w:t>
      </w:r>
      <w:r w:rsidRPr="00A52585">
        <w:rPr>
          <w:rFonts w:hint="cs"/>
          <w:bCs/>
        </w:rPr>
        <w:t xml:space="preserve"> </w:t>
      </w:r>
      <w:r w:rsidRPr="00A52585">
        <w:rPr>
          <w:rFonts w:hint="cs"/>
          <w:bCs/>
          <w:rtl/>
        </w:rPr>
        <w:t>الله بن الحسن بن منصور اللالكائي</w:t>
      </w:r>
      <w:r w:rsidR="0002035C" w:rsidRPr="00A52585">
        <w:rPr>
          <w:rFonts w:hint="cs"/>
          <w:rtl/>
        </w:rPr>
        <w:t>:</w:t>
      </w:r>
      <w:r w:rsidRPr="00A52585">
        <w:rPr>
          <w:rFonts w:hint="cs"/>
          <w:rtl/>
        </w:rPr>
        <w:t xml:space="preserve"> " أخبرنا أحمد أخبرنا محمد بن أحمد بن سليمان قال ثنا أبو علي الحسن بن يوسف</w:t>
      </w:r>
      <w:r w:rsidRPr="00A52585">
        <w:rPr>
          <w:rFonts w:hint="cs"/>
        </w:rPr>
        <w:t xml:space="preserve"> </w:t>
      </w:r>
      <w:r w:rsidRPr="00A52585">
        <w:rPr>
          <w:rFonts w:hint="cs"/>
          <w:rtl/>
        </w:rPr>
        <w:t xml:space="preserve">بن يعقوب قال ثنا أبو محمد أحمد بن علي بن زيد </w:t>
      </w:r>
      <w:proofErr w:type="spellStart"/>
      <w:r w:rsidRPr="00A52585">
        <w:rPr>
          <w:rFonts w:hint="cs"/>
          <w:rtl/>
        </w:rPr>
        <w:t>الغجدواني</w:t>
      </w:r>
      <w:proofErr w:type="spellEnd"/>
      <w:r w:rsidRPr="00A52585">
        <w:rPr>
          <w:rFonts w:hint="cs"/>
          <w:rtl/>
        </w:rPr>
        <w:t xml:space="preserve"> قال ثنا أبو عبد الله</w:t>
      </w:r>
      <w:r w:rsidRPr="00A52585">
        <w:rPr>
          <w:rFonts w:hint="cs"/>
        </w:rPr>
        <w:t xml:space="preserve"> </w:t>
      </w:r>
      <w:r w:rsidRPr="00A52585">
        <w:rPr>
          <w:rFonts w:hint="cs"/>
          <w:rtl/>
        </w:rPr>
        <w:t xml:space="preserve">محمد بن أبي عمرو </w:t>
      </w:r>
      <w:proofErr w:type="spellStart"/>
      <w:r w:rsidRPr="00A52585">
        <w:rPr>
          <w:rFonts w:hint="cs"/>
          <w:rtl/>
        </w:rPr>
        <w:t>الطواويسي</w:t>
      </w:r>
      <w:proofErr w:type="spellEnd"/>
      <w:r w:rsidRPr="00A52585">
        <w:rPr>
          <w:rFonts w:hint="cs"/>
          <w:rtl/>
        </w:rPr>
        <w:t xml:space="preserve"> قال ثنا عمرو بن وهب يقول سمعت شداد بن حكيم</w:t>
      </w:r>
      <w:r w:rsidR="0002035C" w:rsidRPr="00A52585">
        <w:rPr>
          <w:rFonts w:hint="cs"/>
          <w:rtl/>
        </w:rPr>
        <w:t xml:space="preserve"> </w:t>
      </w:r>
      <w:r w:rsidRPr="00A52585">
        <w:rPr>
          <w:rFonts w:hint="cs"/>
          <w:bCs/>
          <w:rtl/>
        </w:rPr>
        <w:t>يذكر عن</w:t>
      </w:r>
      <w:r w:rsidRPr="00A52585">
        <w:rPr>
          <w:rFonts w:hint="cs"/>
          <w:bCs/>
        </w:rPr>
        <w:t xml:space="preserve"> </w:t>
      </w:r>
      <w:r w:rsidRPr="00A52585">
        <w:rPr>
          <w:rFonts w:hint="cs"/>
          <w:bCs/>
          <w:rtl/>
        </w:rPr>
        <w:t>محمد بن الحسن في الأحاديث التي جاءت أن الله يهبط إلى سماء الدنيا ونحو هذا من الأحاديث</w:t>
      </w:r>
      <w:r w:rsidRPr="00A52585">
        <w:rPr>
          <w:rFonts w:hint="cs"/>
          <w:bCs/>
        </w:rPr>
        <w:t xml:space="preserve"> </w:t>
      </w:r>
      <w:r w:rsidRPr="00A52585">
        <w:rPr>
          <w:rFonts w:hint="cs"/>
          <w:bCs/>
          <w:rtl/>
        </w:rPr>
        <w:t>إن هذه الأحاديث قد روتها الثقات فنحن نرويها ونؤمن بها ولا نفسرها</w:t>
      </w:r>
      <w:r w:rsidRPr="00A52585">
        <w:rPr>
          <w:rFonts w:hint="cs"/>
          <w:rtl/>
        </w:rPr>
        <w:t xml:space="preserve"> " [اعتقاد أهل السنة ج 3 ص 433] أهـ</w:t>
      </w:r>
      <w:r w:rsidR="00DB731D" w:rsidRPr="00A52585">
        <w:rPr>
          <w:rFonts w:hint="cs"/>
          <w:bCs/>
          <w:rtl/>
        </w:rPr>
        <w:t>،</w:t>
      </w:r>
      <w:r w:rsidRPr="00A52585">
        <w:rPr>
          <w:rFonts w:hint="cs"/>
          <w:bCs/>
          <w:rtl/>
        </w:rPr>
        <w:t xml:space="preserve"> وجاء فيه أيضا</w:t>
      </w:r>
      <w:r w:rsidR="0002035C" w:rsidRPr="00A52585">
        <w:rPr>
          <w:rFonts w:hint="cs"/>
          <w:bCs/>
          <w:rtl/>
        </w:rPr>
        <w:t>:</w:t>
      </w:r>
      <w:r w:rsidRPr="00A52585">
        <w:rPr>
          <w:rFonts w:hint="cs"/>
          <w:bCs/>
          <w:rtl/>
        </w:rPr>
        <w:t xml:space="preserve"> "</w:t>
      </w:r>
      <w:r w:rsidRPr="00A52585">
        <w:rPr>
          <w:rFonts w:hint="cs"/>
          <w:rtl/>
        </w:rPr>
        <w:t xml:space="preserve"> أخبرنا أحمد بن عبيد قال أخبرنا محمد بن الحسين قال ثنا أحمد بن </w:t>
      </w:r>
      <w:r w:rsidRPr="00A52585">
        <w:rPr>
          <w:rFonts w:hint="cs"/>
          <w:rtl/>
        </w:rPr>
        <w:lastRenderedPageBreak/>
        <w:t xml:space="preserve">زهير قال ثنا عبد الوهاب بن نجدة الحوطي قال ثنا بقية قال ثنا الأوزاعي قال </w:t>
      </w:r>
      <w:r w:rsidRPr="00A52585">
        <w:rPr>
          <w:rFonts w:hint="cs"/>
          <w:bCs/>
          <w:rtl/>
        </w:rPr>
        <w:t>كان الزهري ومكحول يقولان أمروا الأحاديث كما جاءت</w:t>
      </w:r>
      <w:r w:rsidR="00DB731D" w:rsidRPr="00A52585">
        <w:rPr>
          <w:rFonts w:hint="cs"/>
          <w:rtl/>
        </w:rPr>
        <w:t>،</w:t>
      </w:r>
      <w:r w:rsidRPr="00A52585">
        <w:rPr>
          <w:rFonts w:hint="cs"/>
          <w:rtl/>
        </w:rPr>
        <w:t xml:space="preserve"> أخبرنا محمد بن رزق الله قال أخبرنا بن عثمان قال </w:t>
      </w:r>
      <w:proofErr w:type="spellStart"/>
      <w:r w:rsidRPr="00A52585">
        <w:rPr>
          <w:rFonts w:hint="cs"/>
          <w:rtl/>
        </w:rPr>
        <w:t>نا</w:t>
      </w:r>
      <w:proofErr w:type="spellEnd"/>
      <w:r w:rsidRPr="00A52585">
        <w:rPr>
          <w:rFonts w:hint="cs"/>
          <w:rtl/>
        </w:rPr>
        <w:t xml:space="preserve"> عيسى بن موسى بن إسحاق الأنصاري قال سمعت أبي يقول</w:t>
      </w:r>
      <w:r w:rsidR="0002035C" w:rsidRPr="00A52585">
        <w:rPr>
          <w:rFonts w:hint="cs"/>
          <w:rtl/>
        </w:rPr>
        <w:t>:</w:t>
      </w:r>
      <w:r w:rsidRPr="00A52585">
        <w:rPr>
          <w:rFonts w:hint="cs"/>
          <w:rtl/>
        </w:rPr>
        <w:t xml:space="preserve"> </w:t>
      </w:r>
      <w:r w:rsidRPr="00A52585">
        <w:rPr>
          <w:rFonts w:hint="cs"/>
          <w:bCs/>
          <w:rtl/>
        </w:rPr>
        <w:t>سمعت سفيان بن عيينة يقول كل شيء وصف الله به نفسه في القرآن فقراءته تفسيره لا كيف ولا مثل</w:t>
      </w:r>
      <w:r w:rsidR="0002035C" w:rsidRPr="00A52585">
        <w:rPr>
          <w:rFonts w:hint="cs"/>
          <w:rtl/>
        </w:rPr>
        <w:t xml:space="preserve">)) </w:t>
      </w:r>
      <w:r w:rsidRPr="00A52585">
        <w:rPr>
          <w:rFonts w:hint="cs"/>
          <w:rtl/>
        </w:rPr>
        <w:t>[اعتقاد أهل السنة ج</w:t>
      </w:r>
      <w:r w:rsidR="0002035C" w:rsidRPr="00A52585">
        <w:rPr>
          <w:rFonts w:hint="cs"/>
          <w:rtl/>
        </w:rPr>
        <w:t>:</w:t>
      </w:r>
      <w:r w:rsidRPr="00A52585">
        <w:rPr>
          <w:rFonts w:hint="cs"/>
          <w:rtl/>
        </w:rPr>
        <w:t xml:space="preserve"> 3 ص</w:t>
      </w:r>
      <w:r w:rsidR="0002035C" w:rsidRPr="00A52585">
        <w:rPr>
          <w:rFonts w:hint="cs"/>
          <w:rtl/>
        </w:rPr>
        <w:t>:</w:t>
      </w:r>
      <w:r w:rsidRPr="00A52585">
        <w:rPr>
          <w:rFonts w:hint="cs"/>
          <w:rtl/>
        </w:rPr>
        <w:t xml:space="preserve"> 431] أهـ</w:t>
      </w:r>
      <w:r w:rsidR="00DB731D" w:rsidRPr="00A52585">
        <w:rPr>
          <w:rFonts w:hint="cs"/>
          <w:rtl/>
        </w:rPr>
        <w:t>،</w:t>
      </w:r>
      <w:r w:rsidR="0002035C"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bCs/>
          <w:rtl/>
        </w:rPr>
        <w:t xml:space="preserve"> "</w:t>
      </w:r>
      <w:r w:rsidR="0002035C" w:rsidRPr="00A52585">
        <w:rPr>
          <w:rFonts w:hint="cs"/>
          <w:bCs/>
          <w:rtl/>
        </w:rPr>
        <w:t xml:space="preserve"> </w:t>
      </w:r>
      <w:r w:rsidRPr="00A52585">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DB731D" w:rsidRPr="00A52585">
        <w:rPr>
          <w:rFonts w:hint="cs"/>
          <w:rtl/>
        </w:rPr>
        <w:t>،</w:t>
      </w:r>
      <w:r w:rsidRPr="00A52585">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DB731D" w:rsidRPr="00A52585">
        <w:rPr>
          <w:rFonts w:hint="cs"/>
          <w:rtl/>
        </w:rPr>
        <w:t>،</w:t>
      </w:r>
      <w:r w:rsidRPr="00A52585">
        <w:rPr>
          <w:rFonts w:hint="cs"/>
          <w:rtl/>
        </w:rPr>
        <w:t xml:space="preserve"> </w:t>
      </w:r>
      <w:r w:rsidRPr="00A52585">
        <w:rPr>
          <w:rFonts w:hint="cs"/>
          <w:bCs/>
          <w:rtl/>
        </w:rPr>
        <w:t>فقال لي اسكت عن هذا مالك ولهذا امض الحديث على ما روي</w:t>
      </w:r>
      <w:r w:rsidR="0002035C" w:rsidRPr="00A52585">
        <w:rPr>
          <w:rFonts w:hint="cs"/>
          <w:bCs/>
          <w:rtl/>
        </w:rPr>
        <w:t xml:space="preserve"> </w:t>
      </w:r>
      <w:r w:rsidRPr="00A52585">
        <w:rPr>
          <w:rFonts w:hint="cs"/>
          <w:bCs/>
          <w:rtl/>
        </w:rPr>
        <w:t>بلا كيف</w:t>
      </w:r>
      <w:r w:rsidR="0002035C" w:rsidRPr="00A52585">
        <w:rPr>
          <w:rFonts w:hint="cs"/>
          <w:bCs/>
          <w:rtl/>
        </w:rPr>
        <w:t xml:space="preserve"> </w:t>
      </w:r>
      <w:r w:rsidRPr="00A52585">
        <w:rPr>
          <w:rFonts w:hint="cs"/>
          <w:bCs/>
          <w:rtl/>
        </w:rPr>
        <w:t>ولاحد</w:t>
      </w:r>
      <w:r w:rsidR="0002035C" w:rsidRPr="00A52585">
        <w:rPr>
          <w:rFonts w:hint="cs"/>
          <w:bCs/>
          <w:rtl/>
        </w:rPr>
        <w:t xml:space="preserve"> </w:t>
      </w:r>
      <w:r w:rsidRPr="00A52585">
        <w:rPr>
          <w:rFonts w:hint="cs"/>
          <w:bCs/>
          <w:rtl/>
        </w:rPr>
        <w:t>قال الله عز وجل ولا تضربوا لله الأمثال</w:t>
      </w:r>
      <w:r w:rsidR="00DB731D" w:rsidRPr="00A52585">
        <w:rPr>
          <w:rFonts w:hint="cs"/>
          <w:bCs/>
          <w:rtl/>
        </w:rPr>
        <w:t>،</w:t>
      </w:r>
      <w:r w:rsidRPr="00A52585">
        <w:rPr>
          <w:rFonts w:hint="cs"/>
          <w:bCs/>
          <w:rtl/>
        </w:rPr>
        <w:t xml:space="preserve"> ينزل كيف يشاء بعلمه وقدرته وعظمته أحاط بكل شيء علما لا يبلغ قدره واصف ولا ينأى عنه هرب هارب</w:t>
      </w:r>
      <w:r w:rsidRPr="00A52585">
        <w:rPr>
          <w:rFonts w:hint="cs"/>
          <w:rtl/>
        </w:rPr>
        <w:t xml:space="preserve"> "</w:t>
      </w:r>
      <w:r w:rsidR="0002035C" w:rsidRPr="00A52585">
        <w:rPr>
          <w:rFonts w:hint="cs"/>
          <w:rtl/>
        </w:rPr>
        <w:t xml:space="preserve"> </w:t>
      </w:r>
      <w:r w:rsidRPr="00A52585">
        <w:rPr>
          <w:rFonts w:hint="cs"/>
          <w:rtl/>
        </w:rPr>
        <w:t>[اعتقاد أهل السنة ج 3 ص 453] أهـ</w:t>
      </w:r>
      <w:r w:rsidR="00DB731D" w:rsidRPr="00A52585">
        <w:rPr>
          <w:rFonts w:hint="cs"/>
          <w:rtl/>
        </w:rPr>
        <w:t>،</w:t>
      </w:r>
      <w:r w:rsidR="0002035C"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bCs/>
          <w:rtl/>
        </w:rPr>
        <w:t xml:space="preserve"> </w:t>
      </w:r>
      <w:r w:rsidRPr="00A52585">
        <w:rPr>
          <w:rFonts w:hint="cs"/>
          <w:rtl/>
        </w:rPr>
        <w:t>سمعت أبا محمد الحسن بن</w:t>
      </w:r>
      <w:r w:rsidRPr="00A52585">
        <w:rPr>
          <w:rFonts w:hint="cs"/>
        </w:rPr>
        <w:t xml:space="preserve"> </w:t>
      </w:r>
      <w:r w:rsidRPr="00A52585">
        <w:rPr>
          <w:rFonts w:hint="cs"/>
          <w:rtl/>
        </w:rPr>
        <w:t>عثمان بن جابر يقول سمعت أبا نصر أحمد بن يعقوب بن زاذان قال</w:t>
      </w:r>
      <w:r w:rsidR="0002035C" w:rsidRPr="00A52585">
        <w:rPr>
          <w:rFonts w:hint="cs"/>
          <w:rtl/>
        </w:rPr>
        <w:t>:</w:t>
      </w:r>
      <w:r w:rsidRPr="00A52585">
        <w:rPr>
          <w:rFonts w:hint="cs"/>
          <w:rtl/>
        </w:rPr>
        <w:t xml:space="preserve"> بلغني</w:t>
      </w:r>
      <w:r w:rsidRPr="00A52585">
        <w:rPr>
          <w:rFonts w:hint="cs"/>
        </w:rPr>
        <w:t xml:space="preserve"> </w:t>
      </w:r>
      <w:r w:rsidRPr="00A52585">
        <w:rPr>
          <w:rFonts w:hint="cs"/>
          <w:rtl/>
        </w:rPr>
        <w:t>أن أحمد بن حنبل قرأ عليه رجل وما قدروا</w:t>
      </w:r>
      <w:r w:rsidRPr="00A52585">
        <w:rPr>
          <w:rFonts w:hint="cs"/>
        </w:rPr>
        <w:t xml:space="preserve"> </w:t>
      </w:r>
      <w:r w:rsidRPr="00A52585">
        <w:rPr>
          <w:rFonts w:hint="cs"/>
          <w:rtl/>
        </w:rPr>
        <w:t>الله حق قدره والأرض جميعا قبضته يوم القيامة والسموات مطويات بيمينه قال ثم أومأ</w:t>
      </w:r>
      <w:r w:rsidRPr="00A52585">
        <w:rPr>
          <w:rFonts w:hint="cs"/>
        </w:rPr>
        <w:t xml:space="preserve"> </w:t>
      </w:r>
      <w:r w:rsidRPr="00A52585">
        <w:rPr>
          <w:rFonts w:hint="cs"/>
          <w:rtl/>
        </w:rPr>
        <w:t>بيده</w:t>
      </w:r>
      <w:r w:rsidR="00DB731D" w:rsidRPr="00A52585">
        <w:rPr>
          <w:rFonts w:hint="cs"/>
          <w:rtl/>
        </w:rPr>
        <w:t>،</w:t>
      </w:r>
      <w:r w:rsidRPr="00A52585">
        <w:rPr>
          <w:rFonts w:hint="cs"/>
          <w:rtl/>
        </w:rPr>
        <w:t xml:space="preserve"> </w:t>
      </w:r>
      <w:r w:rsidRPr="00A52585">
        <w:rPr>
          <w:rFonts w:hint="cs"/>
          <w:bCs/>
          <w:rtl/>
        </w:rPr>
        <w:t>فقال</w:t>
      </w:r>
      <w:r w:rsidRPr="00A52585">
        <w:rPr>
          <w:rFonts w:hint="cs"/>
          <w:bCs/>
        </w:rPr>
        <w:t xml:space="preserve"> </w:t>
      </w:r>
      <w:r w:rsidRPr="00A52585">
        <w:rPr>
          <w:rFonts w:hint="cs"/>
          <w:bCs/>
          <w:rtl/>
        </w:rPr>
        <w:t>له أحمد قطعها الله قطعها الله</w:t>
      </w:r>
      <w:r w:rsidRPr="00A52585">
        <w:rPr>
          <w:rFonts w:hint="cs"/>
          <w:bCs/>
        </w:rPr>
        <w:t xml:space="preserve"> </w:t>
      </w:r>
      <w:r w:rsidRPr="00A52585">
        <w:rPr>
          <w:rFonts w:hint="cs"/>
          <w:bCs/>
          <w:rtl/>
        </w:rPr>
        <w:t>قطعها الله ثم حرد وقام</w:t>
      </w:r>
      <w:r w:rsidR="00DB731D" w:rsidRPr="00A52585">
        <w:rPr>
          <w:rFonts w:hint="cs"/>
          <w:rtl/>
        </w:rPr>
        <w:t>،</w:t>
      </w:r>
      <w:r w:rsidRPr="00A52585">
        <w:rPr>
          <w:rFonts w:hint="cs"/>
          <w:rtl/>
        </w:rPr>
        <w:t xml:space="preserve"> أخبرنا</w:t>
      </w:r>
      <w:r w:rsidRPr="00A52585">
        <w:rPr>
          <w:rFonts w:hint="cs"/>
        </w:rPr>
        <w:t xml:space="preserve"> </w:t>
      </w:r>
      <w:r w:rsidRPr="00A52585">
        <w:rPr>
          <w:rFonts w:hint="cs"/>
          <w:rtl/>
        </w:rPr>
        <w:t>أحمد بن محمد بن حفص قال ثنا محمد بن أحمد بن سلمة قال ثنا أبو محمد سهل بن عثمان</w:t>
      </w:r>
      <w:r w:rsidRPr="00A52585">
        <w:rPr>
          <w:rFonts w:hint="cs"/>
        </w:rPr>
        <w:t xml:space="preserve"> </w:t>
      </w:r>
      <w:r w:rsidRPr="00A52585">
        <w:rPr>
          <w:rFonts w:hint="cs"/>
          <w:rtl/>
        </w:rPr>
        <w:t>بن سعيد بن حكيم السلمي قال سمعت أبا إسحاق إبراهيم بن المهدي بن يونس يقول سمعت</w:t>
      </w:r>
      <w:r w:rsidRPr="00A52585">
        <w:rPr>
          <w:rFonts w:hint="cs"/>
        </w:rPr>
        <w:t xml:space="preserve"> </w:t>
      </w:r>
      <w:r w:rsidRPr="00A52585">
        <w:rPr>
          <w:rFonts w:hint="cs"/>
          <w:rtl/>
        </w:rPr>
        <w:t>أبا سليمان داود بن طلحة سمعت عبد الله بن أبي حنيفة الدوسي يقول</w:t>
      </w:r>
      <w:r w:rsidR="0002035C" w:rsidRPr="00A52585">
        <w:rPr>
          <w:rFonts w:hint="cs"/>
          <w:rtl/>
        </w:rPr>
        <w:t xml:space="preserve"> </w:t>
      </w:r>
      <w:r w:rsidRPr="00A52585">
        <w:rPr>
          <w:rFonts w:hint="cs"/>
          <w:bCs/>
          <w:rtl/>
        </w:rPr>
        <w:t>سمعت</w:t>
      </w:r>
      <w:r w:rsidRPr="00A52585">
        <w:rPr>
          <w:rFonts w:hint="cs"/>
          <w:bCs/>
        </w:rPr>
        <w:t xml:space="preserve"> </w:t>
      </w:r>
      <w:r w:rsidRPr="00A52585">
        <w:rPr>
          <w:rFonts w:hint="cs"/>
          <w:bCs/>
          <w:rtl/>
        </w:rPr>
        <w:t>محمد بن الحسن يقول</w:t>
      </w:r>
      <w:r w:rsidR="0002035C" w:rsidRPr="00A52585">
        <w:rPr>
          <w:rFonts w:hint="cs"/>
          <w:bCs/>
          <w:rtl/>
        </w:rPr>
        <w:t>:</w:t>
      </w:r>
      <w:r w:rsidRPr="00A52585">
        <w:rPr>
          <w:rFonts w:hint="cs"/>
          <w:bCs/>
          <w:rtl/>
        </w:rPr>
        <w:t xml:space="preserve"> </w:t>
      </w:r>
      <w:r w:rsidRPr="00A52585">
        <w:rPr>
          <w:rFonts w:hint="cs"/>
          <w:rtl/>
        </w:rPr>
        <w:t>اتفق الفقهاء كلهم من</w:t>
      </w:r>
      <w:r w:rsidRPr="00A52585">
        <w:rPr>
          <w:rFonts w:hint="cs"/>
        </w:rPr>
        <w:t xml:space="preserve"> </w:t>
      </w:r>
      <w:r w:rsidRPr="00A52585">
        <w:rPr>
          <w:rFonts w:hint="cs"/>
          <w:rtl/>
        </w:rPr>
        <w:t>المشرق إلى المغرب على الإيمان بالقرآن والأحاديث التي جاء بها الثقات عن رسول الله</w:t>
      </w:r>
      <w:r w:rsidRPr="00A52585">
        <w:rPr>
          <w:rFonts w:hint="cs"/>
        </w:rPr>
        <w:t xml:space="preserve"> </w:t>
      </w:r>
      <w:r w:rsidRPr="00A52585">
        <w:rPr>
          <w:rFonts w:hint="cs"/>
          <w:rtl/>
        </w:rPr>
        <w:t>صلى الله عليه وسلم في صفة الرب عز وجل من غير تغيير ولا وصف ولا تشبيه</w:t>
      </w:r>
      <w:r w:rsidR="00DB731D" w:rsidRPr="00A52585">
        <w:rPr>
          <w:rFonts w:hint="cs"/>
          <w:rtl/>
        </w:rPr>
        <w:t>،</w:t>
      </w:r>
      <w:r w:rsidRPr="00A52585">
        <w:rPr>
          <w:rFonts w:hint="cs"/>
          <w:rtl/>
        </w:rPr>
        <w:t xml:space="preserve"> فمن فسر اليوم شيئا من</w:t>
      </w:r>
      <w:r w:rsidRPr="00A52585">
        <w:rPr>
          <w:rFonts w:hint="cs"/>
        </w:rPr>
        <w:t xml:space="preserve"> </w:t>
      </w:r>
      <w:r w:rsidRPr="00A52585">
        <w:rPr>
          <w:rFonts w:hint="cs"/>
          <w:rtl/>
        </w:rPr>
        <w:t>ذلك فقد خرج مما كان عليه النبي صلى الله عليه وسلم والجماعة فإنهم لم يصفوا</w:t>
      </w:r>
      <w:r w:rsidRPr="00A52585">
        <w:rPr>
          <w:rFonts w:hint="cs"/>
        </w:rPr>
        <w:t xml:space="preserve"> </w:t>
      </w:r>
      <w:r w:rsidRPr="00A52585">
        <w:rPr>
          <w:rFonts w:hint="cs"/>
          <w:rtl/>
        </w:rPr>
        <w:t>ولم يفسروا ولكن أفتوا بما في الكتاب والسنة ثم سكتوا</w:t>
      </w:r>
      <w:r w:rsidR="00DB731D" w:rsidRPr="00A52585">
        <w:rPr>
          <w:rFonts w:hint="cs"/>
          <w:rtl/>
        </w:rPr>
        <w:t>،</w:t>
      </w:r>
      <w:r w:rsidRPr="00A52585">
        <w:rPr>
          <w:rFonts w:hint="cs"/>
          <w:rtl/>
        </w:rPr>
        <w:t xml:space="preserve"> وكل ما جاء في القرآن أو صح عن المصطفى عليه السلام من صفات الرحمن وجب الإيمان به وتلقيه بالتسليم والقبول وترك التعرض له "</w:t>
      </w:r>
      <w:r w:rsidR="0002035C" w:rsidRPr="00A52585">
        <w:rPr>
          <w:rFonts w:hint="cs"/>
          <w:rtl/>
        </w:rPr>
        <w:t>[</w:t>
      </w:r>
      <w:r w:rsidRPr="00A52585">
        <w:rPr>
          <w:rFonts w:hint="cs"/>
          <w:rtl/>
        </w:rPr>
        <w:t>اعتقاد أهل السنة ج</w:t>
      </w:r>
      <w:r w:rsidR="0002035C" w:rsidRPr="00A52585">
        <w:rPr>
          <w:rFonts w:hint="cs"/>
          <w:rtl/>
        </w:rPr>
        <w:t>:</w:t>
      </w:r>
      <w:r w:rsidRPr="00A52585">
        <w:rPr>
          <w:rFonts w:hint="cs"/>
          <w:rtl/>
        </w:rPr>
        <w:t xml:space="preserve"> 3 ص</w:t>
      </w:r>
      <w:r w:rsidR="0002035C" w:rsidRPr="00A52585">
        <w:rPr>
          <w:rFonts w:hint="cs"/>
          <w:rtl/>
        </w:rPr>
        <w:t>:</w:t>
      </w:r>
      <w:r w:rsidRPr="00A52585">
        <w:rPr>
          <w:rFonts w:hint="cs"/>
          <w:rtl/>
        </w:rPr>
        <w:t xml:space="preserve"> 432] أهـ</w:t>
      </w:r>
      <w:r w:rsidR="00DB731D" w:rsidRPr="00A52585">
        <w:rPr>
          <w:rFonts w:hint="cs"/>
          <w:rtl/>
        </w:rPr>
        <w:t>،</w:t>
      </w:r>
      <w:r w:rsidR="0002035C"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sidRPr="00A52585">
        <w:rPr>
          <w:rFonts w:hint="cs"/>
          <w:rtl/>
        </w:rPr>
        <w:t>الغجدواني</w:t>
      </w:r>
      <w:proofErr w:type="spellEnd"/>
      <w:r w:rsidRPr="00A52585">
        <w:rPr>
          <w:rFonts w:hint="cs"/>
          <w:rtl/>
        </w:rPr>
        <w:t xml:space="preserve"> قال ثنا أبو عبد الله محمد بن أبي عمرو </w:t>
      </w:r>
      <w:proofErr w:type="spellStart"/>
      <w:r w:rsidRPr="00A52585">
        <w:rPr>
          <w:rFonts w:hint="cs"/>
          <w:rtl/>
        </w:rPr>
        <w:t>الطواويسي</w:t>
      </w:r>
      <w:proofErr w:type="spellEnd"/>
      <w:r w:rsidRPr="00A52585">
        <w:rPr>
          <w:rFonts w:hint="cs"/>
          <w:rtl/>
        </w:rPr>
        <w:t xml:space="preserve"> قال ثنا عمرو بن وهب يقول سمعت شداد بن </w:t>
      </w:r>
      <w:r w:rsidRPr="00A52585">
        <w:rPr>
          <w:rFonts w:hint="cs"/>
          <w:bCs/>
          <w:rtl/>
        </w:rPr>
        <w:t>حكيم</w:t>
      </w:r>
      <w:r w:rsidR="00DB731D" w:rsidRPr="00A52585">
        <w:rPr>
          <w:rFonts w:hint="cs"/>
          <w:bCs/>
          <w:rtl/>
        </w:rPr>
        <w:t>،</w:t>
      </w:r>
      <w:r w:rsidRPr="00A52585">
        <w:rPr>
          <w:rFonts w:hint="cs"/>
          <w:bCs/>
          <w:rtl/>
        </w:rPr>
        <w:t xml:space="preserve"> يذكر عن محمد بن الحسن </w:t>
      </w:r>
      <w:r w:rsidRPr="00A52585">
        <w:rPr>
          <w:rFonts w:hint="cs"/>
          <w:bCs/>
          <w:rtl/>
        </w:rPr>
        <w:lastRenderedPageBreak/>
        <w:t>في الأحاديث التي جاءت أن الله يهبط إلى سماء الدنيا ونحو هذا من الأحاديث إن هذه الأحاديث قد روتها الثقات فنحن نرويها ونؤمن بها ولا نفسرها</w:t>
      </w:r>
      <w:r w:rsidRPr="00A52585">
        <w:rPr>
          <w:rFonts w:hint="cs"/>
          <w:rtl/>
        </w:rPr>
        <w:t xml:space="preserve"> " [اعتقاد أهل السنة ج</w:t>
      </w:r>
      <w:r w:rsidR="0002035C" w:rsidRPr="00A52585">
        <w:rPr>
          <w:rFonts w:hint="cs"/>
          <w:rtl/>
        </w:rPr>
        <w:t>:</w:t>
      </w:r>
      <w:r w:rsidRPr="00A52585">
        <w:rPr>
          <w:rFonts w:hint="cs"/>
          <w:rtl/>
        </w:rPr>
        <w:t xml:space="preserve"> 3 ص</w:t>
      </w:r>
      <w:r w:rsidR="0002035C" w:rsidRPr="00A52585">
        <w:rPr>
          <w:rFonts w:hint="cs"/>
          <w:rtl/>
        </w:rPr>
        <w:t>:</w:t>
      </w:r>
      <w:r w:rsidRPr="00A52585">
        <w:rPr>
          <w:rFonts w:hint="cs"/>
          <w:rtl/>
        </w:rPr>
        <w:t xml:space="preserve"> 433] أهـ</w:t>
      </w:r>
      <w:r w:rsidR="00DB731D" w:rsidRPr="00A52585">
        <w:rPr>
          <w:rFonts w:hint="cs"/>
          <w:rtl/>
        </w:rPr>
        <w:t>،</w:t>
      </w:r>
      <w:r w:rsidR="0002035C"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rtl/>
        </w:rPr>
        <w:t xml:space="preserve"> "</w:t>
      </w:r>
      <w:r w:rsidR="0002035C" w:rsidRPr="00A52585">
        <w:rPr>
          <w:rFonts w:hint="cs"/>
          <w:rtl/>
        </w:rPr>
        <w:t xml:space="preserve"> </w:t>
      </w:r>
      <w:r w:rsidRPr="00A52585">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02035C" w:rsidRPr="00A52585">
        <w:rPr>
          <w:rFonts w:hint="cs"/>
          <w:rtl/>
        </w:rPr>
        <w:t>:</w:t>
      </w:r>
      <w:r w:rsidRPr="00A52585">
        <w:rPr>
          <w:rFonts w:hint="cs"/>
          <w:rtl/>
        </w:rPr>
        <w:t xml:space="preserve"> </w:t>
      </w:r>
      <w:r w:rsidRPr="00A52585">
        <w:rPr>
          <w:rFonts w:hint="cs"/>
          <w:bCs/>
          <w:rtl/>
        </w:rPr>
        <w:t>سألت الأوزاعي وسفيان الثوري ومالك بن أنس والليث بن سعد عن هذه الأحاديث التي فيها الرؤية فقالوا</w:t>
      </w:r>
      <w:r w:rsidR="0002035C" w:rsidRPr="00A52585">
        <w:rPr>
          <w:rFonts w:hint="cs"/>
          <w:bCs/>
          <w:rtl/>
        </w:rPr>
        <w:t>:</w:t>
      </w:r>
      <w:r w:rsidRPr="00A52585">
        <w:rPr>
          <w:rFonts w:hint="cs"/>
          <w:bCs/>
          <w:rtl/>
        </w:rPr>
        <w:t xml:space="preserve"> أمروها</w:t>
      </w:r>
      <w:r w:rsidR="0002035C" w:rsidRPr="00A52585">
        <w:rPr>
          <w:rFonts w:hint="cs"/>
          <w:bCs/>
          <w:rtl/>
        </w:rPr>
        <w:t xml:space="preserve"> </w:t>
      </w:r>
      <w:r w:rsidRPr="00A52585">
        <w:rPr>
          <w:rFonts w:hint="cs"/>
          <w:bCs/>
          <w:rtl/>
        </w:rPr>
        <w:t>بلا كيف</w:t>
      </w:r>
      <w:r w:rsidRPr="00A52585">
        <w:rPr>
          <w:rFonts w:hint="cs"/>
          <w:rtl/>
        </w:rPr>
        <w:t xml:space="preserve"> " [اعتقاد أهل السنة ج 3 ص 503] أهـ</w:t>
      </w:r>
      <w:r w:rsidR="00DB731D" w:rsidRPr="00A52585">
        <w:rPr>
          <w:rFonts w:hint="cs"/>
          <w:rtl/>
        </w:rPr>
        <w:t>،</w:t>
      </w:r>
      <w:r w:rsidR="0002035C"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bCs/>
          <w:rtl/>
        </w:rPr>
        <w:t xml:space="preserve"> </w:t>
      </w:r>
      <w:r w:rsidRPr="00A52585">
        <w:rPr>
          <w:rFonts w:hint="cs"/>
          <w:rtl/>
        </w:rPr>
        <w:t>" أخبرنا أحمد بن محمد بن الجراح ومحمد بن مخلد قالا ثنا عباس بن محمد الدوري قال</w:t>
      </w:r>
      <w:r w:rsidR="0002035C" w:rsidRPr="00A52585">
        <w:rPr>
          <w:rFonts w:hint="cs"/>
          <w:rtl/>
        </w:rPr>
        <w:t xml:space="preserve"> </w:t>
      </w:r>
      <w:r w:rsidRPr="00A52585">
        <w:rPr>
          <w:rFonts w:hint="cs"/>
          <w:rtl/>
        </w:rPr>
        <w:t>سمعت أبا عبيد القاسم بن سلام وذكر عنده هذه الأحاديث ضحك ربنا عز وجل من قنوط عباده وقرب غيره</w:t>
      </w:r>
      <w:r w:rsidR="00DB731D" w:rsidRPr="00A52585">
        <w:rPr>
          <w:rFonts w:hint="cs"/>
          <w:rtl/>
        </w:rPr>
        <w:t>،</w:t>
      </w:r>
      <w:r w:rsidRPr="00A52585">
        <w:rPr>
          <w:rFonts w:hint="cs"/>
          <w:rtl/>
        </w:rPr>
        <w:t xml:space="preserve"> والكرسي موضع القدمين</w:t>
      </w:r>
      <w:r w:rsidR="00DB731D" w:rsidRPr="00A52585">
        <w:rPr>
          <w:rFonts w:hint="cs"/>
          <w:rtl/>
        </w:rPr>
        <w:t>،</w:t>
      </w:r>
      <w:r w:rsidRPr="00A52585">
        <w:rPr>
          <w:rFonts w:hint="cs"/>
          <w:rtl/>
        </w:rPr>
        <w:t xml:space="preserve"> وأن جهنم لتمتلئ فيضع ربك قدمه فيها وأشباه هذه الأحاديث</w:t>
      </w:r>
      <w:r w:rsidR="0002035C" w:rsidRPr="00A52585">
        <w:rPr>
          <w:rFonts w:hint="cs"/>
          <w:rtl/>
        </w:rPr>
        <w:t xml:space="preserve"> </w:t>
      </w:r>
      <w:r w:rsidRPr="00A52585">
        <w:rPr>
          <w:rFonts w:hint="cs"/>
          <w:bCs/>
          <w:rtl/>
        </w:rPr>
        <w:t>فقال أبو عبيد هذه الأحاديث عندنا حق يرويها الثقات بعضهم عن بعض إلا أنا إذا سئلنا عن تفسيرها</w:t>
      </w:r>
      <w:r w:rsidR="00DB731D" w:rsidRPr="00A52585">
        <w:rPr>
          <w:rFonts w:hint="cs"/>
          <w:bCs/>
          <w:rtl/>
        </w:rPr>
        <w:t>،</w:t>
      </w:r>
      <w:r w:rsidRPr="00A52585">
        <w:rPr>
          <w:rFonts w:hint="cs"/>
          <w:bCs/>
          <w:rtl/>
        </w:rPr>
        <w:t xml:space="preserve"> قلنا ما أدركنا أحدا يفسر منها شيئا ونحن لا نفسر منها شيئا نصدق بها ونسكت</w:t>
      </w:r>
      <w:r w:rsidRPr="00A52585">
        <w:rPr>
          <w:rFonts w:hint="cs"/>
          <w:rtl/>
        </w:rPr>
        <w:t xml:space="preserve"> " [اعتقاد أهل السنة ج</w:t>
      </w:r>
      <w:r w:rsidR="0002035C" w:rsidRPr="00A52585">
        <w:rPr>
          <w:rFonts w:hint="cs"/>
          <w:rtl/>
        </w:rPr>
        <w:t>:</w:t>
      </w:r>
      <w:r w:rsidRPr="00A52585">
        <w:rPr>
          <w:rFonts w:hint="cs"/>
          <w:rtl/>
        </w:rPr>
        <w:t xml:space="preserve"> 3 ص</w:t>
      </w:r>
      <w:r w:rsidR="0002035C" w:rsidRPr="00A52585">
        <w:rPr>
          <w:rFonts w:hint="cs"/>
          <w:rtl/>
        </w:rPr>
        <w:t>:</w:t>
      </w:r>
      <w:r w:rsidRPr="00A52585">
        <w:rPr>
          <w:rFonts w:hint="cs"/>
          <w:rtl/>
        </w:rPr>
        <w:t xml:space="preserve"> 526] أهـ</w:t>
      </w:r>
      <w:r w:rsidR="00DB731D" w:rsidRPr="00A52585">
        <w:rPr>
          <w:rFonts w:hint="cs"/>
          <w:rtl/>
        </w:rPr>
        <w:t>،</w:t>
      </w:r>
      <w:r w:rsidRPr="00A52585">
        <w:rPr>
          <w:rFonts w:hint="cs"/>
          <w:rtl/>
        </w:rPr>
        <w:t xml:space="preserve"> </w:t>
      </w:r>
      <w:r w:rsidRPr="00A52585">
        <w:rPr>
          <w:rFonts w:hint="cs"/>
          <w:bCs/>
          <w:rtl/>
        </w:rPr>
        <w:t>وجاء فيه أيضا</w:t>
      </w:r>
      <w:r w:rsidR="0002035C" w:rsidRPr="00A52585">
        <w:rPr>
          <w:rFonts w:hint="cs"/>
          <w:bCs/>
          <w:rtl/>
        </w:rPr>
        <w:t>:</w:t>
      </w:r>
      <w:r w:rsidRPr="00A52585">
        <w:rPr>
          <w:rFonts w:hint="cs"/>
          <w:bCs/>
          <w:rtl/>
        </w:rPr>
        <w:t xml:space="preserve"> </w:t>
      </w:r>
      <w:r w:rsidRPr="00A52585">
        <w:rPr>
          <w:rFonts w:hint="cs"/>
          <w:rtl/>
        </w:rPr>
        <w:t xml:space="preserve">" وسئل ربيعة بن أبي عبد الرحمن عن قوله </w:t>
      </w:r>
      <w:r w:rsidR="0002035C" w:rsidRPr="00A52585">
        <w:rPr>
          <w:rFonts w:hint="cs"/>
          <w:rtl/>
        </w:rPr>
        <w:t>{</w:t>
      </w:r>
      <w:r w:rsidRPr="00A52585">
        <w:rPr>
          <w:rFonts w:hint="cs"/>
          <w:rtl/>
        </w:rPr>
        <w:t>الرحمن على العرش استوى</w:t>
      </w:r>
      <w:r w:rsidR="0002035C" w:rsidRPr="00A52585">
        <w:rPr>
          <w:rFonts w:hint="cs"/>
          <w:rtl/>
        </w:rPr>
        <w:t>}</w:t>
      </w:r>
      <w:r w:rsidR="00DB731D" w:rsidRPr="00A52585">
        <w:rPr>
          <w:rFonts w:hint="cs"/>
          <w:rtl/>
        </w:rPr>
        <w:t>،</w:t>
      </w:r>
      <w:r w:rsidRPr="00A52585">
        <w:rPr>
          <w:rFonts w:hint="cs"/>
          <w:rtl/>
        </w:rPr>
        <w:t xml:space="preserve"> فقال الاستواء معقول والكيف مجهول والإيمان به واجب قال ابن الجراح والله عز وجل لا يحد</w:t>
      </w:r>
      <w:r w:rsidR="00897A24" w:rsidRPr="00A52585">
        <w:rPr>
          <w:rFonts w:hint="cs"/>
          <w:rtl/>
        </w:rPr>
        <w:t>.</w:t>
      </w:r>
      <w:r w:rsidRPr="00A52585">
        <w:rPr>
          <w:rFonts w:hint="cs"/>
          <w:rtl/>
        </w:rPr>
        <w:t>..</w:t>
      </w:r>
      <w:r w:rsidR="0002035C" w:rsidRPr="00A52585">
        <w:rPr>
          <w:rFonts w:hint="cs"/>
          <w:rtl/>
        </w:rPr>
        <w:t xml:space="preserve"> </w:t>
      </w:r>
      <w:r w:rsidRPr="00A52585">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Pr="00A52585">
        <w:rPr>
          <w:rFonts w:hint="cs"/>
          <w:bCs/>
          <w:rtl/>
        </w:rPr>
        <w:t>سألت الأوزاعي وسفيان الثوري ومالك بن أنس عن هذه الأحاديث التي فيها ذكر الرؤية</w:t>
      </w:r>
      <w:r w:rsidR="00DB731D" w:rsidRPr="00A52585">
        <w:rPr>
          <w:rFonts w:hint="cs"/>
          <w:bCs/>
          <w:rtl/>
        </w:rPr>
        <w:t>،</w:t>
      </w:r>
      <w:r w:rsidRPr="00A52585">
        <w:rPr>
          <w:rFonts w:hint="cs"/>
          <w:bCs/>
          <w:rtl/>
        </w:rPr>
        <w:t xml:space="preserve"> فقالوا أمروها كما جاءت</w:t>
      </w:r>
      <w:r w:rsidR="0002035C" w:rsidRPr="00A52585">
        <w:rPr>
          <w:rFonts w:hint="cs"/>
          <w:bCs/>
          <w:rtl/>
        </w:rPr>
        <w:t xml:space="preserve"> </w:t>
      </w:r>
      <w:r w:rsidRPr="00A52585">
        <w:rPr>
          <w:rFonts w:hint="cs"/>
          <w:bCs/>
          <w:rtl/>
        </w:rPr>
        <w:t>بلا كيف</w:t>
      </w:r>
      <w:r w:rsidR="0002035C" w:rsidRPr="00A52585">
        <w:rPr>
          <w:rFonts w:hint="cs"/>
          <w:bCs/>
          <w:rtl/>
        </w:rPr>
        <w:t>))</w:t>
      </w:r>
      <w:r w:rsidR="0002035C" w:rsidRPr="00A52585">
        <w:rPr>
          <w:rFonts w:hint="cs"/>
          <w:rtl/>
        </w:rPr>
        <w:t xml:space="preserve"> </w:t>
      </w:r>
      <w:r w:rsidRPr="00A52585">
        <w:rPr>
          <w:rFonts w:hint="cs"/>
          <w:rtl/>
        </w:rPr>
        <w:t>[اعتقاد أهل السنة ج 3 ص 527] أهـ</w:t>
      </w:r>
      <w:r w:rsidR="00DB731D" w:rsidRPr="00A52585">
        <w:rPr>
          <w:rFonts w:hint="cs"/>
          <w:rtl/>
        </w:rPr>
        <w:t>،</w:t>
      </w:r>
      <w:r w:rsidR="0002035C" w:rsidRPr="00A52585">
        <w:rPr>
          <w:rFonts w:hint="cs"/>
          <w:rtl/>
        </w:rPr>
        <w:t xml:space="preserve"> </w:t>
      </w:r>
      <w:r w:rsidRPr="00A52585">
        <w:rPr>
          <w:rFonts w:hint="cs"/>
          <w:bCs/>
          <w:rtl/>
        </w:rPr>
        <w:t>وقال شيخ المحدثين البيهقي رحمه الله</w:t>
      </w:r>
      <w:r w:rsidR="0002035C" w:rsidRPr="00A52585">
        <w:rPr>
          <w:rFonts w:hint="cs"/>
          <w:rtl/>
        </w:rPr>
        <w:t>:</w:t>
      </w:r>
      <w:r w:rsidRPr="00A52585">
        <w:rPr>
          <w:rFonts w:hint="cs"/>
          <w:rtl/>
        </w:rPr>
        <w:t xml:space="preserve"> "</w:t>
      </w:r>
      <w:r w:rsidR="00897A24" w:rsidRPr="00A52585">
        <w:rPr>
          <w:rFonts w:hint="cs"/>
          <w:rtl/>
        </w:rPr>
        <w:t>.</w:t>
      </w:r>
      <w:r w:rsidRPr="00A52585">
        <w:rPr>
          <w:rFonts w:hint="cs"/>
          <w:rtl/>
        </w:rPr>
        <w:t>. عن إسحاق بن موسى الأنباري قال سمعت سفيان</w:t>
      </w:r>
      <w:r w:rsidRPr="00A52585">
        <w:rPr>
          <w:rFonts w:hint="cs"/>
        </w:rPr>
        <w:t xml:space="preserve"> </w:t>
      </w:r>
      <w:r w:rsidRPr="00A52585">
        <w:rPr>
          <w:rFonts w:hint="cs"/>
          <w:rtl/>
        </w:rPr>
        <w:t>بن عيينة يقول ما وصف الله تبارك وتعالى به نفسه في كتابه فقراءته تفسيره ليس</w:t>
      </w:r>
      <w:r w:rsidRPr="00A52585">
        <w:rPr>
          <w:rFonts w:hint="cs"/>
        </w:rPr>
        <w:t xml:space="preserve"> </w:t>
      </w:r>
      <w:r w:rsidRPr="00A52585">
        <w:rPr>
          <w:rFonts w:hint="cs"/>
          <w:rtl/>
        </w:rPr>
        <w:t>لأحد أن يفسره بالعربية ولا بالفارسية</w:t>
      </w:r>
      <w:r w:rsidR="0002035C" w:rsidRPr="00A52585">
        <w:rPr>
          <w:rFonts w:hint="cs"/>
          <w:rtl/>
        </w:rPr>
        <w:t xml:space="preserve"> </w:t>
      </w:r>
      <w:r w:rsidRPr="00A52585">
        <w:rPr>
          <w:rFonts w:hint="cs"/>
          <w:rtl/>
        </w:rPr>
        <w:t>" [الأسماء والصفات للبيهقي ص 314]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أخبرنا محمد بن عبد الله الحافظ قال هذه</w:t>
      </w:r>
      <w:r w:rsidRPr="00A52585">
        <w:rPr>
          <w:rFonts w:hint="cs"/>
        </w:rPr>
        <w:t xml:space="preserve"> </w:t>
      </w:r>
      <w:r w:rsidRPr="00A52585">
        <w:rPr>
          <w:rFonts w:hint="cs"/>
          <w:rtl/>
        </w:rPr>
        <w:t>نسخة الكتاب الذي أملاه الشيخ أبو بكر أحمد بن اسحاق بن أيوب في مذهب أهل السنة</w:t>
      </w:r>
      <w:r w:rsidRPr="00A52585">
        <w:rPr>
          <w:rFonts w:hint="cs"/>
        </w:rPr>
        <w:t xml:space="preserve"> </w:t>
      </w:r>
      <w:r w:rsidRPr="00A52585">
        <w:rPr>
          <w:rFonts w:hint="cs"/>
          <w:rtl/>
        </w:rPr>
        <w:t>فيما جرى بين محمد بن إسحاق بن خزيمة وبين أصحابه فذكرها وذكر فيها</w:t>
      </w:r>
      <w:r w:rsidR="0002035C" w:rsidRPr="00A52585">
        <w:rPr>
          <w:rtl/>
        </w:rPr>
        <w:t xml:space="preserve"> </w:t>
      </w:r>
      <w:r w:rsidRPr="00A52585">
        <w:rPr>
          <w:rFonts w:hint="cs"/>
          <w:rtl/>
        </w:rPr>
        <w:t>الرحمن</w:t>
      </w:r>
      <w:r w:rsidRPr="00A52585">
        <w:rPr>
          <w:rFonts w:hint="cs"/>
        </w:rPr>
        <w:t xml:space="preserve"> </w:t>
      </w:r>
      <w:r w:rsidRPr="00A52585">
        <w:rPr>
          <w:rFonts w:hint="cs"/>
          <w:rtl/>
        </w:rPr>
        <w:t>على العرش استوى</w:t>
      </w:r>
      <w:r w:rsidR="0002035C" w:rsidRPr="00A52585">
        <w:rPr>
          <w:rtl/>
        </w:rPr>
        <w:t xml:space="preserve"> </w:t>
      </w:r>
      <w:r w:rsidRPr="00A52585">
        <w:rPr>
          <w:rFonts w:hint="cs"/>
          <w:rtl/>
        </w:rPr>
        <w:t>بلا</w:t>
      </w:r>
      <w:r w:rsidRPr="00A52585">
        <w:rPr>
          <w:rFonts w:hint="cs"/>
        </w:rPr>
        <w:t xml:space="preserve"> </w:t>
      </w:r>
      <w:r w:rsidRPr="00A52585">
        <w:rPr>
          <w:rFonts w:hint="cs"/>
          <w:rtl/>
        </w:rPr>
        <w:t xml:space="preserve">كيف والآثار عن السلف في هذا كثيرة </w:t>
      </w:r>
      <w:r w:rsidRPr="00A52585">
        <w:rPr>
          <w:rFonts w:hint="cs"/>
          <w:bCs/>
          <w:rtl/>
        </w:rPr>
        <w:t>وعلى</w:t>
      </w:r>
      <w:r w:rsidRPr="00A52585">
        <w:rPr>
          <w:rFonts w:hint="cs"/>
          <w:bCs/>
        </w:rPr>
        <w:t xml:space="preserve"> </w:t>
      </w:r>
      <w:r w:rsidRPr="00A52585">
        <w:rPr>
          <w:rFonts w:hint="cs"/>
          <w:bCs/>
          <w:rtl/>
        </w:rPr>
        <w:t>هذه الطريقة يدل مذهب الشافعي رحمه الله تعالى وإليها ذهب أحمد بن حنبل والحسين</w:t>
      </w:r>
      <w:r w:rsidRPr="00A52585">
        <w:rPr>
          <w:rFonts w:hint="cs"/>
          <w:bCs/>
        </w:rPr>
        <w:t xml:space="preserve"> </w:t>
      </w:r>
      <w:r w:rsidRPr="00A52585">
        <w:rPr>
          <w:rFonts w:hint="cs"/>
          <w:bCs/>
          <w:rtl/>
        </w:rPr>
        <w:t>بن الفضل البجلي ومن المتأخرين أبو سليمان الخطابي</w:t>
      </w:r>
      <w:r w:rsidRPr="00A52585">
        <w:rPr>
          <w:rFonts w:hint="cs"/>
        </w:rPr>
        <w:t xml:space="preserve"> </w:t>
      </w:r>
      <w:r w:rsidRPr="00A52585">
        <w:rPr>
          <w:rFonts w:hint="cs"/>
          <w:rtl/>
        </w:rPr>
        <w:t>" [الأسماء والصفات ص 408] أهـ</w:t>
      </w:r>
      <w:r w:rsidR="00DB731D" w:rsidRPr="00A52585">
        <w:rPr>
          <w:rFonts w:hint="cs"/>
          <w:bCs/>
          <w:rtl/>
        </w:rPr>
        <w:t>،</w:t>
      </w:r>
      <w:r w:rsidR="0002035C" w:rsidRPr="00A52585">
        <w:rPr>
          <w:rFonts w:hint="cs"/>
          <w:bCs/>
          <w:rtl/>
        </w:rPr>
        <w:t xml:space="preserve"> </w:t>
      </w:r>
      <w:r w:rsidRPr="00A52585">
        <w:rPr>
          <w:rFonts w:hint="cs"/>
          <w:bCs/>
          <w:rtl/>
        </w:rPr>
        <w:t>وجاء في طبقات الشافعية الكبرى للإمام السبكي</w:t>
      </w:r>
      <w:r w:rsidR="0002035C" w:rsidRPr="00A52585">
        <w:rPr>
          <w:rFonts w:hint="cs"/>
          <w:bCs/>
          <w:rtl/>
        </w:rPr>
        <w:t>:</w:t>
      </w:r>
      <w:r w:rsidRPr="00A52585">
        <w:rPr>
          <w:rFonts w:hint="cs"/>
          <w:bCs/>
          <w:rtl/>
        </w:rPr>
        <w:t xml:space="preserve"> </w:t>
      </w:r>
      <w:r w:rsidRPr="00A52585">
        <w:rPr>
          <w:rFonts w:hint="cs"/>
          <w:rtl/>
        </w:rPr>
        <w:t xml:space="preserve">" </w:t>
      </w:r>
      <w:r w:rsidRPr="00A52585">
        <w:rPr>
          <w:rFonts w:hint="cs"/>
          <w:bCs/>
          <w:rtl/>
        </w:rPr>
        <w:t>وسئل</w:t>
      </w:r>
      <w:r w:rsidRPr="00A52585">
        <w:rPr>
          <w:rFonts w:hint="cs"/>
          <w:bCs/>
        </w:rPr>
        <w:t xml:space="preserve"> </w:t>
      </w:r>
      <w:r w:rsidRPr="00A52585">
        <w:rPr>
          <w:rFonts w:hint="cs"/>
          <w:bCs/>
          <w:rtl/>
        </w:rPr>
        <w:t>الشافعي</w:t>
      </w:r>
      <w:r w:rsidRPr="00A52585">
        <w:rPr>
          <w:rFonts w:hint="cs"/>
          <w:bCs/>
        </w:rPr>
        <w:t xml:space="preserve"> </w:t>
      </w:r>
      <w:r w:rsidRPr="00A52585">
        <w:rPr>
          <w:rFonts w:hint="cs"/>
          <w:bCs/>
          <w:rtl/>
        </w:rPr>
        <w:t>رضي</w:t>
      </w:r>
      <w:r w:rsidRPr="00A52585">
        <w:rPr>
          <w:rFonts w:hint="cs"/>
          <w:bCs/>
        </w:rPr>
        <w:t xml:space="preserve"> </w:t>
      </w:r>
      <w:r w:rsidRPr="00A52585">
        <w:rPr>
          <w:rFonts w:hint="cs"/>
          <w:bCs/>
          <w:rtl/>
        </w:rPr>
        <w:t>الله عنه عن صفات الله فقال</w:t>
      </w:r>
      <w:r w:rsidR="0002035C" w:rsidRPr="00A52585">
        <w:rPr>
          <w:rFonts w:hint="cs"/>
          <w:rtl/>
        </w:rPr>
        <w:t>:</w:t>
      </w:r>
      <w:r w:rsidRPr="00A52585">
        <w:rPr>
          <w:rFonts w:hint="cs"/>
          <w:rtl/>
        </w:rPr>
        <w:t xml:space="preserve"> حرام على العقول</w:t>
      </w:r>
      <w:r w:rsidRPr="00A52585">
        <w:rPr>
          <w:rFonts w:hint="cs"/>
        </w:rPr>
        <w:t xml:space="preserve"> </w:t>
      </w:r>
      <w:r w:rsidRPr="00A52585">
        <w:rPr>
          <w:rFonts w:hint="cs"/>
          <w:rtl/>
        </w:rPr>
        <w:t>أن</w:t>
      </w:r>
      <w:r w:rsidRPr="00A52585">
        <w:rPr>
          <w:rFonts w:hint="cs"/>
        </w:rPr>
        <w:t xml:space="preserve"> </w:t>
      </w:r>
      <w:r w:rsidRPr="00A52585">
        <w:rPr>
          <w:rFonts w:hint="cs"/>
          <w:rtl/>
        </w:rPr>
        <w:t>تمثل</w:t>
      </w:r>
      <w:r w:rsidRPr="00A52585">
        <w:rPr>
          <w:rFonts w:hint="cs"/>
        </w:rPr>
        <w:t xml:space="preserve"> </w:t>
      </w:r>
      <w:r w:rsidRPr="00A52585">
        <w:rPr>
          <w:rFonts w:hint="cs"/>
          <w:rtl/>
        </w:rPr>
        <w:t xml:space="preserve">الله تعالى </w:t>
      </w:r>
      <w:r w:rsidRPr="00A52585">
        <w:rPr>
          <w:rFonts w:hint="cs"/>
          <w:rtl/>
        </w:rPr>
        <w:lastRenderedPageBreak/>
        <w:t>وعلى الأوهام أن</w:t>
      </w:r>
      <w:r w:rsidRPr="00A52585">
        <w:rPr>
          <w:rFonts w:hint="cs"/>
        </w:rPr>
        <w:t xml:space="preserve"> </w:t>
      </w:r>
      <w:r w:rsidRPr="00A52585">
        <w:rPr>
          <w:rFonts w:hint="cs"/>
          <w:rtl/>
        </w:rPr>
        <w:t>تحد وعلى</w:t>
      </w:r>
      <w:r w:rsidRPr="00A52585">
        <w:rPr>
          <w:rFonts w:hint="cs"/>
        </w:rPr>
        <w:t xml:space="preserve"> </w:t>
      </w:r>
      <w:r w:rsidRPr="00A52585">
        <w:rPr>
          <w:rFonts w:hint="cs"/>
          <w:rtl/>
        </w:rPr>
        <w:t>الظنون</w:t>
      </w:r>
      <w:r w:rsidRPr="00A52585">
        <w:rPr>
          <w:rFonts w:hint="cs"/>
        </w:rPr>
        <w:t xml:space="preserve"> </w:t>
      </w:r>
      <w:r w:rsidRPr="00A52585">
        <w:rPr>
          <w:rFonts w:hint="cs"/>
          <w:rtl/>
        </w:rPr>
        <w:t>أن تقطع وعلى النفوس أن</w:t>
      </w:r>
      <w:r w:rsidRPr="00A52585">
        <w:rPr>
          <w:rFonts w:hint="cs"/>
        </w:rPr>
        <w:t xml:space="preserve"> </w:t>
      </w:r>
      <w:r w:rsidRPr="00A52585">
        <w:rPr>
          <w:rFonts w:hint="cs"/>
          <w:rtl/>
        </w:rPr>
        <w:t>تفكر</w:t>
      </w:r>
      <w:r w:rsidRPr="00A52585">
        <w:rPr>
          <w:rFonts w:hint="cs"/>
        </w:rPr>
        <w:t xml:space="preserve"> </w:t>
      </w:r>
      <w:r w:rsidRPr="00A52585">
        <w:rPr>
          <w:rFonts w:hint="cs"/>
          <w:rtl/>
        </w:rPr>
        <w:t>وعلى</w:t>
      </w:r>
      <w:r w:rsidRPr="00A52585">
        <w:rPr>
          <w:rFonts w:hint="cs"/>
        </w:rPr>
        <w:t xml:space="preserve"> </w:t>
      </w:r>
      <w:r w:rsidRPr="00A52585">
        <w:rPr>
          <w:rFonts w:hint="cs"/>
          <w:rtl/>
        </w:rPr>
        <w:t>الضمائر أن تعمق وعلى الخواطر أن تحيط إلا ما وصف</w:t>
      </w:r>
      <w:r w:rsidRPr="00A52585">
        <w:rPr>
          <w:rFonts w:hint="cs"/>
        </w:rPr>
        <w:t xml:space="preserve"> </w:t>
      </w:r>
      <w:r w:rsidRPr="00A52585">
        <w:rPr>
          <w:rFonts w:hint="cs"/>
          <w:rtl/>
        </w:rPr>
        <w:t>به</w:t>
      </w:r>
      <w:r w:rsidRPr="00A52585">
        <w:rPr>
          <w:rFonts w:hint="cs"/>
        </w:rPr>
        <w:t xml:space="preserve"> </w:t>
      </w:r>
      <w:r w:rsidRPr="00A52585">
        <w:rPr>
          <w:rFonts w:hint="cs"/>
          <w:rtl/>
        </w:rPr>
        <w:t>نفسه على لسان نبيه</w:t>
      </w:r>
      <w:r w:rsidR="0002035C" w:rsidRPr="00A52585">
        <w:rPr>
          <w:rFonts w:hint="cs"/>
          <w:rtl/>
        </w:rPr>
        <w:t xml:space="preserve"> </w:t>
      </w:r>
      <w:r w:rsidRPr="00A52585">
        <w:rPr>
          <w:rFonts w:hint="cs"/>
          <w:rtl/>
        </w:rPr>
        <w:t>ومن</w:t>
      </w:r>
      <w:r w:rsidRPr="00A52585">
        <w:rPr>
          <w:rFonts w:hint="cs"/>
        </w:rPr>
        <w:t xml:space="preserve"> </w:t>
      </w:r>
      <w:r w:rsidRPr="00A52585">
        <w:rPr>
          <w:rFonts w:hint="cs"/>
          <w:rtl/>
        </w:rPr>
        <w:t>تقصى</w:t>
      </w:r>
      <w:r w:rsidRPr="00A52585">
        <w:rPr>
          <w:rFonts w:hint="cs"/>
        </w:rPr>
        <w:t xml:space="preserve"> </w:t>
      </w:r>
      <w:r w:rsidRPr="00A52585">
        <w:rPr>
          <w:rFonts w:hint="cs"/>
          <w:rtl/>
        </w:rPr>
        <w:t>وفتش</w:t>
      </w:r>
      <w:r w:rsidRPr="00A52585">
        <w:rPr>
          <w:rFonts w:hint="cs"/>
        </w:rPr>
        <w:t xml:space="preserve"> </w:t>
      </w:r>
      <w:r w:rsidRPr="00A52585">
        <w:rPr>
          <w:rFonts w:hint="cs"/>
          <w:rtl/>
        </w:rPr>
        <w:t>وبحث وجد أن الصحابة رضي</w:t>
      </w:r>
      <w:r w:rsidRPr="00A52585">
        <w:rPr>
          <w:rFonts w:hint="cs"/>
        </w:rPr>
        <w:t xml:space="preserve"> </w:t>
      </w:r>
      <w:r w:rsidRPr="00A52585">
        <w:rPr>
          <w:rFonts w:hint="cs"/>
          <w:rtl/>
        </w:rPr>
        <w:t>الله</w:t>
      </w:r>
      <w:r w:rsidRPr="00A52585">
        <w:rPr>
          <w:rFonts w:hint="cs"/>
        </w:rPr>
        <w:t xml:space="preserve"> </w:t>
      </w:r>
      <w:r w:rsidRPr="00A52585">
        <w:rPr>
          <w:rFonts w:hint="cs"/>
          <w:rtl/>
        </w:rPr>
        <w:t>عنهم</w:t>
      </w:r>
      <w:r w:rsidRPr="00A52585">
        <w:rPr>
          <w:rFonts w:hint="cs"/>
        </w:rPr>
        <w:t xml:space="preserve"> </w:t>
      </w:r>
      <w:r w:rsidRPr="00A52585">
        <w:rPr>
          <w:rFonts w:hint="cs"/>
          <w:rtl/>
        </w:rPr>
        <w:t>والتابعين والصدر الأول لم يكن دأبهم غير الإمساك</w:t>
      </w:r>
      <w:r w:rsidRPr="00A52585">
        <w:rPr>
          <w:rFonts w:hint="cs"/>
        </w:rPr>
        <w:t xml:space="preserve"> </w:t>
      </w:r>
      <w:r w:rsidRPr="00A52585">
        <w:rPr>
          <w:rFonts w:hint="cs"/>
          <w:rtl/>
        </w:rPr>
        <w:t>عن</w:t>
      </w:r>
      <w:r w:rsidRPr="00A52585">
        <w:rPr>
          <w:rFonts w:hint="cs"/>
        </w:rPr>
        <w:t xml:space="preserve"> </w:t>
      </w:r>
      <w:r w:rsidRPr="00A52585">
        <w:rPr>
          <w:rFonts w:hint="cs"/>
          <w:rtl/>
        </w:rPr>
        <w:t>الخوض في هذه الأمور</w:t>
      </w:r>
      <w:r w:rsidRPr="00A52585">
        <w:rPr>
          <w:rFonts w:hint="cs"/>
        </w:rPr>
        <w:t xml:space="preserve"> </w:t>
      </w:r>
      <w:r w:rsidRPr="00A52585">
        <w:rPr>
          <w:rFonts w:hint="cs"/>
          <w:rtl/>
        </w:rPr>
        <w:t>وترك</w:t>
      </w:r>
      <w:r w:rsidRPr="00A52585">
        <w:rPr>
          <w:rFonts w:hint="cs"/>
        </w:rPr>
        <w:t xml:space="preserve"> </w:t>
      </w:r>
      <w:r w:rsidRPr="00A52585">
        <w:rPr>
          <w:rFonts w:hint="cs"/>
          <w:rtl/>
        </w:rPr>
        <w:t>ذكرها</w:t>
      </w:r>
      <w:r w:rsidRPr="00A52585">
        <w:rPr>
          <w:rFonts w:hint="cs"/>
        </w:rPr>
        <w:t xml:space="preserve"> </w:t>
      </w:r>
      <w:r w:rsidRPr="00A52585">
        <w:rPr>
          <w:rFonts w:hint="cs"/>
          <w:rtl/>
        </w:rPr>
        <w:t>في المشاهد ولم يكونوا يدسونها إلى العوام ولا</w:t>
      </w:r>
      <w:r w:rsidRPr="00A52585">
        <w:rPr>
          <w:rFonts w:hint="cs"/>
        </w:rPr>
        <w:t xml:space="preserve"> </w:t>
      </w:r>
      <w:r w:rsidRPr="00A52585">
        <w:rPr>
          <w:rFonts w:hint="cs"/>
          <w:rtl/>
        </w:rPr>
        <w:t>يتكلمون</w:t>
      </w:r>
      <w:r w:rsidRPr="00A52585">
        <w:rPr>
          <w:rFonts w:hint="cs"/>
        </w:rPr>
        <w:t xml:space="preserve"> </w:t>
      </w:r>
      <w:r w:rsidRPr="00A52585">
        <w:rPr>
          <w:rFonts w:hint="cs"/>
          <w:rtl/>
        </w:rPr>
        <w:t>بها على المنابر</w:t>
      </w:r>
      <w:r w:rsidRPr="00A52585">
        <w:rPr>
          <w:rFonts w:hint="cs"/>
        </w:rPr>
        <w:t xml:space="preserve"> </w:t>
      </w:r>
      <w:r w:rsidRPr="00A52585">
        <w:rPr>
          <w:rFonts w:hint="cs"/>
          <w:rtl/>
        </w:rPr>
        <w:t>ولا</w:t>
      </w:r>
      <w:r w:rsidRPr="00A52585">
        <w:rPr>
          <w:rFonts w:hint="cs"/>
        </w:rPr>
        <w:t xml:space="preserve"> </w:t>
      </w:r>
      <w:r w:rsidRPr="00A52585">
        <w:rPr>
          <w:rFonts w:hint="cs"/>
          <w:rtl/>
        </w:rPr>
        <w:t>يوقعون</w:t>
      </w:r>
      <w:r w:rsidRPr="00A52585">
        <w:rPr>
          <w:rFonts w:hint="cs"/>
        </w:rPr>
        <w:t xml:space="preserve"> </w:t>
      </w:r>
      <w:r w:rsidRPr="00A52585">
        <w:rPr>
          <w:rFonts w:hint="cs"/>
          <w:rtl/>
        </w:rPr>
        <w:t>في قلوب الناس منها هواجس كالحريق المشعل وهذا</w:t>
      </w:r>
      <w:r w:rsidRPr="00A52585">
        <w:rPr>
          <w:rFonts w:hint="cs"/>
        </w:rPr>
        <w:t xml:space="preserve"> </w:t>
      </w:r>
      <w:r w:rsidRPr="00A52585">
        <w:rPr>
          <w:rFonts w:hint="cs"/>
          <w:rtl/>
        </w:rPr>
        <w:t>معلوم</w:t>
      </w:r>
      <w:r w:rsidRPr="00A52585">
        <w:rPr>
          <w:rFonts w:hint="cs"/>
        </w:rPr>
        <w:t xml:space="preserve"> </w:t>
      </w:r>
      <w:r w:rsidRPr="00A52585">
        <w:rPr>
          <w:rFonts w:hint="cs"/>
          <w:rtl/>
        </w:rPr>
        <w:t>بالضرورة من</w:t>
      </w:r>
      <w:r w:rsidRPr="00A52585">
        <w:rPr>
          <w:rFonts w:hint="cs"/>
        </w:rPr>
        <w:t xml:space="preserve"> </w:t>
      </w:r>
      <w:r w:rsidRPr="00A52585">
        <w:rPr>
          <w:rFonts w:hint="cs"/>
          <w:rtl/>
        </w:rPr>
        <w:t>سيرهم"</w:t>
      </w:r>
      <w:r w:rsidR="0002035C" w:rsidRPr="00A52585">
        <w:rPr>
          <w:rFonts w:hint="cs"/>
          <w:rtl/>
        </w:rPr>
        <w:t xml:space="preserve"> </w:t>
      </w:r>
      <w:r w:rsidRPr="00A52585">
        <w:rPr>
          <w:rFonts w:hint="cs"/>
          <w:rtl/>
        </w:rPr>
        <w:t xml:space="preserve">أهــ </w:t>
      </w:r>
      <w:r w:rsidR="0002035C" w:rsidRPr="00A52585">
        <w:rPr>
          <w:rFonts w:hint="cs"/>
          <w:rtl/>
          <w:lang w:bidi="ar-KW"/>
        </w:rPr>
        <w:t>[</w:t>
      </w:r>
      <w:r w:rsidRPr="00A52585">
        <w:rPr>
          <w:rFonts w:hint="cs"/>
          <w:rtl/>
        </w:rPr>
        <w:t>طبقات الشافعية الكبرى ج 9 ص 40</w:t>
      </w:r>
      <w:r w:rsidRPr="00A52585">
        <w:rPr>
          <w:rFonts w:hint="cs"/>
          <w:rtl/>
          <w:lang w:bidi="ar-KW"/>
        </w:rPr>
        <w:t>]</w:t>
      </w:r>
      <w:r w:rsidRPr="00A52585">
        <w:rPr>
          <w:rFonts w:hint="cs"/>
          <w:rtl/>
        </w:rPr>
        <w:t xml:space="preserve"> أهـ</w:t>
      </w:r>
      <w:r w:rsidR="00DB731D" w:rsidRPr="00A52585">
        <w:rPr>
          <w:rFonts w:hint="cs"/>
          <w:rtl/>
        </w:rPr>
        <w:t>،</w:t>
      </w:r>
      <w:r w:rsidRPr="00A52585">
        <w:rPr>
          <w:rFonts w:hint="cs"/>
          <w:bCs/>
          <w:rtl/>
        </w:rPr>
        <w:t xml:space="preserve"> وجاء في كتاب عقيدة الإمام أحمد</w:t>
      </w:r>
      <w:r w:rsidRPr="00A52585">
        <w:rPr>
          <w:rFonts w:hint="cs"/>
          <w:bCs/>
        </w:rPr>
        <w:t xml:space="preserve"> </w:t>
      </w:r>
      <w:r w:rsidRPr="00A52585">
        <w:rPr>
          <w:rFonts w:hint="cs"/>
          <w:bCs/>
          <w:rtl/>
        </w:rPr>
        <w:t>بن</w:t>
      </w:r>
      <w:r w:rsidRPr="00A52585">
        <w:rPr>
          <w:rFonts w:hint="cs"/>
          <w:bCs/>
        </w:rPr>
        <w:t xml:space="preserve"> </w:t>
      </w:r>
      <w:r w:rsidRPr="00A52585">
        <w:rPr>
          <w:rFonts w:hint="cs"/>
          <w:bCs/>
          <w:rtl/>
        </w:rPr>
        <w:t>حنبل</w:t>
      </w:r>
      <w:r w:rsidR="0002035C" w:rsidRPr="00A52585">
        <w:rPr>
          <w:rFonts w:hint="cs"/>
          <w:bCs/>
          <w:rtl/>
        </w:rPr>
        <w:t>:</w:t>
      </w:r>
      <w:r w:rsidRPr="00A52585">
        <w:rPr>
          <w:rFonts w:hint="cs"/>
          <w:bCs/>
          <w:rtl/>
        </w:rPr>
        <w:t xml:space="preserve"> </w:t>
      </w:r>
      <w:r w:rsidR="0002035C" w:rsidRPr="00A52585">
        <w:rPr>
          <w:rFonts w:hint="cs"/>
          <w:bCs/>
          <w:rtl/>
        </w:rPr>
        <w:t>(</w:t>
      </w:r>
      <w:r w:rsidR="0002035C" w:rsidRPr="00A52585">
        <w:rPr>
          <w:rFonts w:hint="cs"/>
          <w:rtl/>
        </w:rPr>
        <w:t>(</w:t>
      </w:r>
      <w:r w:rsidRPr="00A52585">
        <w:rPr>
          <w:rFonts w:hint="cs"/>
          <w:rtl/>
        </w:rPr>
        <w:t>نص</w:t>
      </w:r>
      <w:r w:rsidRPr="00A52585">
        <w:rPr>
          <w:rFonts w:hint="cs"/>
        </w:rPr>
        <w:t xml:space="preserve"> </w:t>
      </w:r>
      <w:r w:rsidRPr="00A52585">
        <w:rPr>
          <w:rFonts w:hint="cs"/>
          <w:rtl/>
        </w:rPr>
        <w:t>اعتقاد</w:t>
      </w:r>
      <w:r w:rsidRPr="00A52585">
        <w:rPr>
          <w:rFonts w:hint="cs"/>
        </w:rPr>
        <w:t xml:space="preserve"> </w:t>
      </w:r>
      <w:r w:rsidRPr="00A52585">
        <w:rPr>
          <w:rFonts w:hint="cs"/>
          <w:rtl/>
        </w:rPr>
        <w:t>الإمام أحمد</w:t>
      </w:r>
      <w:r w:rsidRPr="00A52585">
        <w:rPr>
          <w:rFonts w:hint="cs"/>
        </w:rPr>
        <w:t xml:space="preserve"> </w:t>
      </w:r>
      <w:r w:rsidRPr="00A52585">
        <w:rPr>
          <w:rFonts w:hint="cs"/>
          <w:rtl/>
        </w:rPr>
        <w:t>بن</w:t>
      </w:r>
      <w:r w:rsidRPr="00A52585">
        <w:rPr>
          <w:rFonts w:hint="cs"/>
        </w:rPr>
        <w:t xml:space="preserve"> </w:t>
      </w:r>
      <w:r w:rsidRPr="00A52585">
        <w:rPr>
          <w:rFonts w:hint="cs"/>
          <w:rtl/>
        </w:rPr>
        <w:t>حنبل</w:t>
      </w:r>
      <w:r w:rsidR="0002035C" w:rsidRPr="00A52585">
        <w:rPr>
          <w:rFonts w:hint="cs"/>
          <w:rtl/>
        </w:rPr>
        <w:t xml:space="preserve"> </w:t>
      </w:r>
      <w:r w:rsidRPr="00A52585">
        <w:rPr>
          <w:rFonts w:hint="cs"/>
          <w:rtl/>
        </w:rPr>
        <w:t>أخبرنا</w:t>
      </w:r>
      <w:r w:rsidRPr="00A52585">
        <w:rPr>
          <w:rFonts w:hint="cs"/>
        </w:rPr>
        <w:t xml:space="preserve"> </w:t>
      </w:r>
      <w:r w:rsidRPr="00A52585">
        <w:rPr>
          <w:rFonts w:hint="cs"/>
          <w:rtl/>
        </w:rPr>
        <w:t>الشيخ</w:t>
      </w:r>
      <w:r w:rsidRPr="00A52585">
        <w:rPr>
          <w:rFonts w:hint="cs"/>
        </w:rPr>
        <w:t xml:space="preserve"> </w:t>
      </w:r>
      <w:r w:rsidRPr="00A52585">
        <w:rPr>
          <w:rFonts w:hint="cs"/>
          <w:rtl/>
        </w:rPr>
        <w:t>الإمام الحافظ</w:t>
      </w:r>
      <w:r w:rsidRPr="00A52585">
        <w:rPr>
          <w:rFonts w:hint="cs"/>
        </w:rPr>
        <w:t xml:space="preserve"> </w:t>
      </w:r>
      <w:r w:rsidRPr="00A52585">
        <w:rPr>
          <w:rFonts w:hint="cs"/>
          <w:rtl/>
        </w:rPr>
        <w:t>أبو</w:t>
      </w:r>
      <w:r w:rsidRPr="00A52585">
        <w:rPr>
          <w:rFonts w:hint="cs"/>
        </w:rPr>
        <w:t xml:space="preserve"> </w:t>
      </w:r>
      <w:r w:rsidRPr="00A52585">
        <w:rPr>
          <w:rFonts w:hint="cs"/>
          <w:rtl/>
        </w:rPr>
        <w:t>محمد المبارك بن علي بن الحسين بن عبد الله بن محمد المعروف</w:t>
      </w:r>
      <w:r w:rsidRPr="00A52585">
        <w:rPr>
          <w:rFonts w:hint="cs"/>
        </w:rPr>
        <w:t xml:space="preserve"> </w:t>
      </w:r>
      <w:r w:rsidRPr="00A52585">
        <w:rPr>
          <w:rFonts w:hint="cs"/>
          <w:rtl/>
        </w:rPr>
        <w:t>بابن الطباخ</w:t>
      </w:r>
      <w:r w:rsidRPr="00A52585">
        <w:rPr>
          <w:rFonts w:hint="cs"/>
        </w:rPr>
        <w:t xml:space="preserve"> </w:t>
      </w:r>
      <w:r w:rsidRPr="00A52585">
        <w:rPr>
          <w:rFonts w:hint="cs"/>
          <w:rtl/>
        </w:rPr>
        <w:t>البغدادي</w:t>
      </w:r>
      <w:r w:rsidRPr="00A52585">
        <w:rPr>
          <w:rFonts w:hint="cs"/>
        </w:rPr>
        <w:t xml:space="preserve"> </w:t>
      </w:r>
      <w:r w:rsidRPr="00A52585">
        <w:rPr>
          <w:rFonts w:hint="cs"/>
          <w:rtl/>
        </w:rPr>
        <w:t>رحمه الله في الدنيا والآخرة إجازة قال حدثنا شيخنا</w:t>
      </w:r>
      <w:r w:rsidRPr="00A52585">
        <w:rPr>
          <w:rFonts w:hint="cs"/>
        </w:rPr>
        <w:t xml:space="preserve"> </w:t>
      </w:r>
      <w:r w:rsidRPr="00A52585">
        <w:rPr>
          <w:rFonts w:hint="cs"/>
          <w:rtl/>
        </w:rPr>
        <w:t>الإمام الحافظ أبو</w:t>
      </w:r>
      <w:r w:rsidRPr="00A52585">
        <w:rPr>
          <w:rFonts w:hint="cs"/>
        </w:rPr>
        <w:t xml:space="preserve"> </w:t>
      </w:r>
      <w:r w:rsidRPr="00A52585">
        <w:rPr>
          <w:rFonts w:hint="cs"/>
          <w:rtl/>
        </w:rPr>
        <w:t>الفضل</w:t>
      </w:r>
      <w:r w:rsidRPr="00A52585">
        <w:rPr>
          <w:rFonts w:hint="cs"/>
        </w:rPr>
        <w:t xml:space="preserve"> </w:t>
      </w:r>
      <w:r w:rsidRPr="00A52585">
        <w:rPr>
          <w:rFonts w:hint="cs"/>
          <w:rtl/>
        </w:rPr>
        <w:t>محمد بن الناصر بن محمد بن محمد بن علي البغدادي بها</w:t>
      </w:r>
      <w:r w:rsidRPr="00A52585">
        <w:rPr>
          <w:rFonts w:hint="cs"/>
        </w:rPr>
        <w:t xml:space="preserve"> </w:t>
      </w:r>
      <w:r w:rsidRPr="00A52585">
        <w:rPr>
          <w:rFonts w:hint="cs"/>
          <w:rtl/>
        </w:rPr>
        <w:t>قال أخبرنا الإمام جمال</w:t>
      </w:r>
      <w:r w:rsidRPr="00A52585">
        <w:rPr>
          <w:rFonts w:hint="cs"/>
        </w:rPr>
        <w:t xml:space="preserve"> </w:t>
      </w:r>
      <w:r w:rsidRPr="00A52585">
        <w:rPr>
          <w:rFonts w:hint="cs"/>
          <w:rtl/>
        </w:rPr>
        <w:t>الإسلام</w:t>
      </w:r>
      <w:r w:rsidRPr="00A52585">
        <w:rPr>
          <w:rFonts w:hint="cs"/>
        </w:rPr>
        <w:t xml:space="preserve"> </w:t>
      </w:r>
      <w:r w:rsidRPr="00A52585">
        <w:rPr>
          <w:rFonts w:hint="cs"/>
          <w:rtl/>
        </w:rPr>
        <w:t>أبو محمد رزق الله بن عبد الوهاب التميمي قال أخبرنا</w:t>
      </w:r>
      <w:r w:rsidRPr="00A52585">
        <w:rPr>
          <w:rFonts w:hint="cs"/>
        </w:rPr>
        <w:t xml:space="preserve"> </w:t>
      </w:r>
      <w:r w:rsidRPr="00A52585">
        <w:rPr>
          <w:rFonts w:hint="cs"/>
          <w:rtl/>
        </w:rPr>
        <w:t>عمي أبو الفضل عبد</w:t>
      </w:r>
      <w:r w:rsidRPr="00A52585">
        <w:rPr>
          <w:rFonts w:hint="cs"/>
        </w:rPr>
        <w:t xml:space="preserve"> </w:t>
      </w:r>
      <w:r w:rsidRPr="00A52585">
        <w:rPr>
          <w:rFonts w:hint="cs"/>
          <w:rtl/>
        </w:rPr>
        <w:t>الواحد</w:t>
      </w:r>
      <w:r w:rsidRPr="00A52585">
        <w:rPr>
          <w:rFonts w:hint="cs"/>
        </w:rPr>
        <w:t xml:space="preserve"> </w:t>
      </w:r>
      <w:r w:rsidRPr="00A52585">
        <w:rPr>
          <w:rFonts w:hint="cs"/>
          <w:rtl/>
        </w:rPr>
        <w:t>بن عبد العزيز التميمي بجميع هذا الاعتقاد وقال جملة</w:t>
      </w:r>
      <w:r w:rsidRPr="00A52585">
        <w:rPr>
          <w:rFonts w:hint="cs"/>
        </w:rPr>
        <w:t xml:space="preserve"> </w:t>
      </w:r>
      <w:r w:rsidRPr="00A52585">
        <w:rPr>
          <w:rFonts w:hint="cs"/>
          <w:rtl/>
        </w:rPr>
        <w:t>اعتقاد أحمد بن حنبل</w:t>
      </w:r>
      <w:r w:rsidRPr="00A52585">
        <w:rPr>
          <w:rFonts w:hint="cs"/>
        </w:rPr>
        <w:t xml:space="preserve"> </w:t>
      </w:r>
      <w:r w:rsidRPr="00A52585">
        <w:rPr>
          <w:rFonts w:hint="cs"/>
          <w:rtl/>
        </w:rPr>
        <w:t>رضي</w:t>
      </w:r>
      <w:r w:rsidRPr="00A52585">
        <w:rPr>
          <w:rFonts w:hint="cs"/>
        </w:rPr>
        <w:t xml:space="preserve"> </w:t>
      </w:r>
      <w:r w:rsidRPr="00A52585">
        <w:rPr>
          <w:rFonts w:hint="cs"/>
          <w:rtl/>
        </w:rPr>
        <w:t>الله عنه والذي كان يذهب إليه</w:t>
      </w:r>
      <w:r w:rsidR="0002035C" w:rsidRPr="00A52585">
        <w:rPr>
          <w:rFonts w:hint="cs"/>
          <w:rtl/>
        </w:rPr>
        <w:t xml:space="preserve"> </w:t>
      </w:r>
      <w:r w:rsidRPr="00A52585">
        <w:rPr>
          <w:rFonts w:hint="cs"/>
          <w:rtl/>
        </w:rPr>
        <w:t>مجمل</w:t>
      </w:r>
      <w:r w:rsidRPr="00A52585">
        <w:rPr>
          <w:rFonts w:hint="cs"/>
        </w:rPr>
        <w:t xml:space="preserve"> </w:t>
      </w:r>
      <w:r w:rsidRPr="00A52585">
        <w:rPr>
          <w:rFonts w:hint="cs"/>
          <w:rtl/>
        </w:rPr>
        <w:t>الاعتقاد [العقيدة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101</w:t>
      </w:r>
      <w:r w:rsidR="0002035C" w:rsidRPr="00A52585">
        <w:rPr>
          <w:rFonts w:hint="cs"/>
          <w:rtl/>
        </w:rPr>
        <w:t>]</w:t>
      </w:r>
      <w:r w:rsidRPr="00A52585">
        <w:rPr>
          <w:rFonts w:hint="cs"/>
          <w:rtl/>
        </w:rPr>
        <w:t>...</w:t>
      </w:r>
      <w:r w:rsidRPr="00A52585">
        <w:rPr>
          <w:rFonts w:hint="cs"/>
          <w:bCs/>
          <w:rtl/>
        </w:rPr>
        <w:t xml:space="preserve"> وسئل</w:t>
      </w:r>
      <w:r w:rsidRPr="00A52585">
        <w:rPr>
          <w:rFonts w:hint="cs"/>
          <w:bCs/>
        </w:rPr>
        <w:t xml:space="preserve"> </w:t>
      </w:r>
      <w:r w:rsidRPr="00A52585">
        <w:rPr>
          <w:rFonts w:hint="cs"/>
          <w:bCs/>
          <w:rtl/>
        </w:rPr>
        <w:t>قبل موته بيوم عن أحاديث الصفات فقال تمر كما جاءت ويؤمن</w:t>
      </w:r>
      <w:r w:rsidRPr="00A52585">
        <w:rPr>
          <w:rFonts w:hint="cs"/>
          <w:bCs/>
        </w:rPr>
        <w:t xml:space="preserve"> </w:t>
      </w:r>
      <w:r w:rsidRPr="00A52585">
        <w:rPr>
          <w:rFonts w:hint="cs"/>
          <w:bCs/>
          <w:rtl/>
        </w:rPr>
        <w:t>بها ولا يرد منها شيء إذا كانت بأسانيد صحاح ولا يوصف الله بأكثر مما وصف</w:t>
      </w:r>
      <w:r w:rsidRPr="00A52585">
        <w:rPr>
          <w:rFonts w:hint="cs"/>
          <w:bCs/>
        </w:rPr>
        <w:t xml:space="preserve"> </w:t>
      </w:r>
      <w:r w:rsidRPr="00A52585">
        <w:rPr>
          <w:rFonts w:hint="cs"/>
          <w:bCs/>
          <w:rtl/>
        </w:rPr>
        <w:t>به نفسه بلا حد ولا غاية</w:t>
      </w:r>
      <w:r w:rsidR="0002035C" w:rsidRPr="00A52585">
        <w:rPr>
          <w:rFonts w:hint="cs"/>
          <w:bCs/>
          <w:rtl/>
        </w:rPr>
        <w:t xml:space="preserve"> </w:t>
      </w:r>
      <w:r w:rsidRPr="00A52585">
        <w:rPr>
          <w:rFonts w:hint="cs"/>
          <w:bCs/>
          <w:rtl/>
        </w:rPr>
        <w:t>ليس كمثله</w:t>
      </w:r>
      <w:r w:rsidRPr="00A52585">
        <w:rPr>
          <w:rFonts w:hint="cs"/>
          <w:bCs/>
        </w:rPr>
        <w:t xml:space="preserve"> </w:t>
      </w:r>
      <w:r w:rsidRPr="00A52585">
        <w:rPr>
          <w:rFonts w:hint="cs"/>
          <w:bCs/>
          <w:rtl/>
        </w:rPr>
        <w:t xml:space="preserve">شيء وهو السميع البصير " </w:t>
      </w:r>
      <w:r w:rsidRPr="00A52585">
        <w:rPr>
          <w:rFonts w:hint="cs"/>
          <w:rtl/>
        </w:rPr>
        <w:t>[العقيدة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127] أهـ</w:t>
      </w:r>
      <w:r w:rsidR="00DB731D" w:rsidRPr="00A52585">
        <w:rPr>
          <w:rFonts w:hint="cs"/>
          <w:bCs/>
          <w:rtl/>
        </w:rPr>
        <w:t>،</w:t>
      </w:r>
      <w:r w:rsidRPr="00A52585">
        <w:rPr>
          <w:rFonts w:hint="cs"/>
          <w:bCs/>
          <w:rtl/>
        </w:rPr>
        <w:t xml:space="preserve"> </w:t>
      </w:r>
      <w:r w:rsidRPr="00A52585">
        <w:rPr>
          <w:rFonts w:hint="cs"/>
          <w:rtl/>
        </w:rPr>
        <w:t>ونفس النص السابق جاء في كتاب اعتقاد الإمام المبجل ابن حنبل</w:t>
      </w:r>
      <w:r w:rsidR="00DB731D"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وسئل</w:t>
      </w:r>
      <w:r w:rsidRPr="00A52585">
        <w:rPr>
          <w:rFonts w:hint="cs"/>
        </w:rPr>
        <w:t xml:space="preserve"> </w:t>
      </w:r>
      <w:r w:rsidRPr="00A52585">
        <w:rPr>
          <w:rFonts w:hint="cs"/>
          <w:rtl/>
        </w:rPr>
        <w:t>قبل</w:t>
      </w:r>
      <w:r w:rsidRPr="00A52585">
        <w:rPr>
          <w:rFonts w:hint="cs"/>
        </w:rPr>
        <w:t xml:space="preserve"> </w:t>
      </w:r>
      <w:r w:rsidRPr="00A52585">
        <w:rPr>
          <w:rFonts w:hint="cs"/>
          <w:rtl/>
        </w:rPr>
        <w:t>موته</w:t>
      </w:r>
      <w:r w:rsidRPr="00A52585">
        <w:rPr>
          <w:rFonts w:hint="cs"/>
        </w:rPr>
        <w:t xml:space="preserve"> </w:t>
      </w:r>
      <w:r w:rsidRPr="00A52585">
        <w:rPr>
          <w:rFonts w:hint="cs"/>
          <w:rtl/>
        </w:rPr>
        <w:t>بيوم عن احاديث الصفات فقال تمر كما جاءت ويؤمن بها ولا</w:t>
      </w:r>
      <w:r w:rsidRPr="00A52585">
        <w:rPr>
          <w:rFonts w:hint="cs"/>
        </w:rPr>
        <w:t xml:space="preserve"> </w:t>
      </w:r>
      <w:r w:rsidRPr="00A52585">
        <w:rPr>
          <w:rFonts w:hint="cs"/>
          <w:rtl/>
        </w:rPr>
        <w:t>يرد منه شيء إذا كانت</w:t>
      </w:r>
      <w:r w:rsidRPr="00A52585">
        <w:rPr>
          <w:rFonts w:hint="cs"/>
        </w:rPr>
        <w:t xml:space="preserve"> </w:t>
      </w:r>
      <w:r w:rsidRPr="00A52585">
        <w:rPr>
          <w:rFonts w:hint="cs"/>
          <w:rtl/>
        </w:rPr>
        <w:t>بأسانيد</w:t>
      </w:r>
      <w:r w:rsidRPr="00A52585">
        <w:rPr>
          <w:rFonts w:hint="cs"/>
        </w:rPr>
        <w:t xml:space="preserve"> </w:t>
      </w:r>
      <w:r w:rsidRPr="00A52585">
        <w:rPr>
          <w:rFonts w:hint="cs"/>
          <w:rtl/>
        </w:rPr>
        <w:t>صحاح ولا يوصف الله بأكثر مما وصف به نفسه بلا</w:t>
      </w:r>
      <w:r w:rsidR="0002035C" w:rsidRPr="00A52585">
        <w:rPr>
          <w:rFonts w:hint="cs"/>
          <w:rtl/>
        </w:rPr>
        <w:t xml:space="preserve"> </w:t>
      </w:r>
      <w:r w:rsidRPr="00A52585">
        <w:rPr>
          <w:rFonts w:hint="cs"/>
          <w:rtl/>
        </w:rPr>
        <w:t>حد</w:t>
      </w:r>
      <w:r w:rsidR="0002035C" w:rsidRPr="00A52585">
        <w:rPr>
          <w:rFonts w:hint="cs"/>
          <w:rtl/>
        </w:rPr>
        <w:t xml:space="preserve"> </w:t>
      </w:r>
      <w:r w:rsidRPr="00A52585">
        <w:rPr>
          <w:rFonts w:hint="cs"/>
          <w:rtl/>
        </w:rPr>
        <w:t>ولا</w:t>
      </w:r>
      <w:r w:rsidRPr="00A52585">
        <w:rPr>
          <w:rFonts w:hint="cs"/>
        </w:rPr>
        <w:t xml:space="preserve"> </w:t>
      </w:r>
      <w:r w:rsidRPr="00A52585">
        <w:rPr>
          <w:rFonts w:hint="cs"/>
          <w:rtl/>
        </w:rPr>
        <w:t>غاية ليس</w:t>
      </w:r>
      <w:r w:rsidRPr="00A52585">
        <w:rPr>
          <w:rFonts w:hint="cs"/>
        </w:rPr>
        <w:t xml:space="preserve"> </w:t>
      </w:r>
      <w:r w:rsidRPr="00A52585">
        <w:rPr>
          <w:rFonts w:hint="cs"/>
          <w:rtl/>
        </w:rPr>
        <w:t xml:space="preserve">كمثله شيء وهو السميع البصير </w:t>
      </w:r>
      <w:r w:rsidRPr="00A52585">
        <w:rPr>
          <w:rFonts w:hint="cs"/>
          <w:bCs/>
          <w:rtl/>
        </w:rPr>
        <w:t>ومن تكلم في معناها ابتدع</w:t>
      </w:r>
      <w:r w:rsidRPr="00A52585">
        <w:rPr>
          <w:rFonts w:hint="cs"/>
          <w:rtl/>
        </w:rPr>
        <w:t xml:space="preserve"> " </w:t>
      </w:r>
      <w:r w:rsidRPr="00A52585">
        <w:rPr>
          <w:rFonts w:hint="cs"/>
          <w:rtl/>
          <w:lang w:bidi="ar-KW"/>
        </w:rPr>
        <w:t>[</w:t>
      </w:r>
      <w:r w:rsidRPr="00A52585">
        <w:rPr>
          <w:rFonts w:hint="cs"/>
          <w:rtl/>
        </w:rPr>
        <w:t>اعتقاد الإمام المبجل ابن حنبل ج 1 ص 307</w:t>
      </w:r>
      <w:r w:rsidRPr="00A52585">
        <w:rPr>
          <w:rFonts w:hint="cs"/>
          <w:rtl/>
          <w:lang w:bidi="ar-KW"/>
        </w:rPr>
        <w:t>]</w:t>
      </w:r>
      <w:r w:rsidR="0002035C" w:rsidRPr="00A52585">
        <w:rPr>
          <w:rFonts w:hint="cs"/>
          <w:rtl/>
          <w:lang w:bidi="ar-KW"/>
        </w:rPr>
        <w:t xml:space="preserve"> </w:t>
      </w:r>
      <w:r w:rsidRPr="00A52585">
        <w:rPr>
          <w:rFonts w:hint="cs"/>
          <w:rtl/>
        </w:rPr>
        <w:t>أهـ</w:t>
      </w:r>
      <w:r w:rsidR="00DB731D" w:rsidRPr="00A52585">
        <w:rPr>
          <w:rFonts w:hint="cs"/>
          <w:rtl/>
        </w:rPr>
        <w:t>،</w:t>
      </w:r>
      <w:r w:rsidRPr="00A52585">
        <w:rPr>
          <w:rFonts w:hint="cs"/>
          <w:rtl/>
          <w:lang w:bidi="ar-KW"/>
        </w:rPr>
        <w:t xml:space="preserve"> </w:t>
      </w:r>
      <w:r w:rsidRPr="00A52585">
        <w:rPr>
          <w:rFonts w:hint="cs"/>
          <w:bCs/>
          <w:rtl/>
        </w:rPr>
        <w:t>وقال الزركشي في البرهان</w:t>
      </w:r>
      <w:r w:rsidR="0002035C" w:rsidRPr="00A52585">
        <w:rPr>
          <w:rFonts w:hint="cs"/>
          <w:bCs/>
          <w:rtl/>
        </w:rPr>
        <w:t>:</w:t>
      </w:r>
      <w:r w:rsidRPr="00A52585">
        <w:rPr>
          <w:rFonts w:hint="cs"/>
          <w:bCs/>
          <w:rtl/>
        </w:rPr>
        <w:t xml:space="preserve"> " </w:t>
      </w:r>
      <w:r w:rsidRPr="00A52585">
        <w:rPr>
          <w:rFonts w:hint="cs"/>
          <w:rtl/>
        </w:rPr>
        <w:t>فصل</w:t>
      </w:r>
      <w:r w:rsidRPr="00A52585">
        <w:rPr>
          <w:rFonts w:hint="cs"/>
        </w:rPr>
        <w:t xml:space="preserve"> </w:t>
      </w:r>
      <w:r w:rsidRPr="00A52585">
        <w:rPr>
          <w:rFonts w:hint="cs"/>
          <w:rtl/>
        </w:rPr>
        <w:t>في حكم الآيات المتشابهات الواردة في الصفات</w:t>
      </w:r>
      <w:r w:rsidR="0002035C" w:rsidRPr="00A52585">
        <w:rPr>
          <w:rtl/>
        </w:rPr>
        <w:t xml:space="preserve"> </w:t>
      </w:r>
      <w:r w:rsidRPr="00A52585">
        <w:rPr>
          <w:rFonts w:hint="cs"/>
          <w:rtl/>
        </w:rPr>
        <w:t>وقد</w:t>
      </w:r>
      <w:r w:rsidRPr="00A52585">
        <w:rPr>
          <w:rFonts w:hint="cs"/>
        </w:rPr>
        <w:t xml:space="preserve"> </w:t>
      </w:r>
      <w:r w:rsidRPr="00A52585">
        <w:rPr>
          <w:rFonts w:hint="cs"/>
          <w:rtl/>
        </w:rPr>
        <w:t>اختلف الناس في الوارد منها في الآيات والأحاديث</w:t>
      </w:r>
      <w:r w:rsidRPr="00A52585">
        <w:rPr>
          <w:rFonts w:hint="cs"/>
        </w:rPr>
        <w:t xml:space="preserve"> </w:t>
      </w:r>
      <w:r w:rsidRPr="00A52585">
        <w:rPr>
          <w:rFonts w:hint="cs"/>
          <w:rtl/>
        </w:rPr>
        <w:t>على ثلاث فرق</w:t>
      </w:r>
      <w:r w:rsidR="0002035C" w:rsidRPr="00A52585">
        <w:rPr>
          <w:rtl/>
        </w:rPr>
        <w:t xml:space="preserve"> </w:t>
      </w:r>
      <w:r w:rsidRPr="00A52585">
        <w:rPr>
          <w:rFonts w:hint="cs"/>
          <w:rtl/>
        </w:rPr>
        <w:t>أحدها</w:t>
      </w:r>
      <w:r w:rsidRPr="00A52585">
        <w:rPr>
          <w:rFonts w:hint="cs"/>
        </w:rPr>
        <w:t xml:space="preserve"> </w:t>
      </w:r>
      <w:r w:rsidRPr="00A52585">
        <w:rPr>
          <w:rFonts w:hint="cs"/>
          <w:rtl/>
        </w:rPr>
        <w:t>أنه لا مدخل</w:t>
      </w:r>
      <w:r w:rsidRPr="00A52585">
        <w:rPr>
          <w:rFonts w:hint="cs"/>
        </w:rPr>
        <w:t xml:space="preserve"> </w:t>
      </w:r>
      <w:r w:rsidRPr="00A52585">
        <w:rPr>
          <w:rFonts w:hint="cs"/>
          <w:rtl/>
        </w:rPr>
        <w:t>للتأويل فيها بل تجري على ظاهرها ولا تؤول شيئا منها وهم المشبهة</w:t>
      </w:r>
      <w:r w:rsidR="0002035C" w:rsidRPr="00A52585">
        <w:rPr>
          <w:rtl/>
        </w:rPr>
        <w:t xml:space="preserve"> </w:t>
      </w:r>
      <w:r w:rsidRPr="00A52585">
        <w:rPr>
          <w:rFonts w:hint="cs"/>
          <w:bCs/>
          <w:rtl/>
        </w:rPr>
        <w:t>والثاني</w:t>
      </w:r>
      <w:r w:rsidRPr="00A52585">
        <w:rPr>
          <w:rFonts w:hint="cs"/>
          <w:bCs/>
        </w:rPr>
        <w:t xml:space="preserve"> </w:t>
      </w:r>
      <w:r w:rsidRPr="00A52585">
        <w:rPr>
          <w:rFonts w:hint="cs"/>
          <w:bCs/>
          <w:rtl/>
        </w:rPr>
        <w:t>أن لها تأويلا ولكنا نمسك عنه مع تنزيه اعتقادنا</w:t>
      </w:r>
      <w:r w:rsidRPr="00A52585">
        <w:rPr>
          <w:rFonts w:hint="cs"/>
          <w:bCs/>
        </w:rPr>
        <w:t xml:space="preserve"> </w:t>
      </w:r>
      <w:r w:rsidRPr="00A52585">
        <w:rPr>
          <w:rFonts w:hint="cs"/>
          <w:bCs/>
          <w:rtl/>
        </w:rPr>
        <w:t>عن الشبه والتعطيل ونقول لا يعلمه إلا الله وهو قول السلف</w:t>
      </w:r>
      <w:r w:rsidR="0002035C" w:rsidRPr="00A52585">
        <w:rPr>
          <w:rtl/>
        </w:rPr>
        <w:t xml:space="preserve"> </w:t>
      </w:r>
      <w:r w:rsidRPr="00A52585">
        <w:rPr>
          <w:rFonts w:hint="cs"/>
          <w:rtl/>
        </w:rPr>
        <w:t>والثالث</w:t>
      </w:r>
      <w:r w:rsidRPr="00A52585">
        <w:rPr>
          <w:rFonts w:hint="cs"/>
        </w:rPr>
        <w:t xml:space="preserve"> </w:t>
      </w:r>
      <w:r w:rsidRPr="00A52585">
        <w:rPr>
          <w:rFonts w:hint="cs"/>
          <w:rtl/>
        </w:rPr>
        <w:t>أنها مؤولة وأولوها على ما يليق به</w:t>
      </w:r>
      <w:r w:rsidR="0002035C" w:rsidRPr="00A52585">
        <w:rPr>
          <w:rtl/>
        </w:rPr>
        <w:t xml:space="preserve"> </w:t>
      </w:r>
      <w:r w:rsidRPr="00A52585">
        <w:rPr>
          <w:rFonts w:hint="cs"/>
          <w:rtl/>
        </w:rPr>
        <w:t>والأول</w:t>
      </w:r>
      <w:r w:rsidRPr="00A52585">
        <w:rPr>
          <w:rFonts w:hint="cs"/>
        </w:rPr>
        <w:t xml:space="preserve"> </w:t>
      </w:r>
      <w:r w:rsidRPr="00A52585">
        <w:rPr>
          <w:rFonts w:hint="cs"/>
          <w:rtl/>
        </w:rPr>
        <w:t xml:space="preserve">باطل والأخيران منقولان عن الصحابة </w:t>
      </w:r>
      <w:r w:rsidRPr="00A52585">
        <w:rPr>
          <w:rFonts w:hint="cs"/>
          <w:bCs/>
          <w:rtl/>
        </w:rPr>
        <w:t>فنقل الإمساك</w:t>
      </w:r>
      <w:r w:rsidRPr="00A52585">
        <w:rPr>
          <w:rFonts w:hint="cs"/>
          <w:bCs/>
        </w:rPr>
        <w:t xml:space="preserve"> </w:t>
      </w:r>
      <w:r w:rsidRPr="00A52585">
        <w:rPr>
          <w:rFonts w:hint="cs"/>
          <w:bCs/>
          <w:rtl/>
        </w:rPr>
        <w:t xml:space="preserve">عن أم سلمة </w:t>
      </w:r>
      <w:r w:rsidRPr="00A52585">
        <w:rPr>
          <w:rFonts w:hint="cs"/>
          <w:rtl/>
        </w:rPr>
        <w:t>أنها</w:t>
      </w:r>
      <w:r w:rsidRPr="00A52585">
        <w:rPr>
          <w:rFonts w:hint="cs"/>
        </w:rPr>
        <w:t xml:space="preserve"> </w:t>
      </w:r>
      <w:r w:rsidRPr="00A52585">
        <w:rPr>
          <w:rFonts w:hint="cs"/>
          <w:rtl/>
        </w:rPr>
        <w:t>سئلت عن الاستواء فقالت الاستواء معلوم والكيف مجهول والإيمان</w:t>
      </w:r>
      <w:r w:rsidRPr="00A52585">
        <w:rPr>
          <w:rFonts w:hint="cs"/>
        </w:rPr>
        <w:t xml:space="preserve"> </w:t>
      </w:r>
      <w:r w:rsidRPr="00A52585">
        <w:rPr>
          <w:rFonts w:hint="cs"/>
          <w:rtl/>
        </w:rPr>
        <w:t xml:space="preserve">به واجب والسؤال عنه بدعة وكذلك </w:t>
      </w:r>
      <w:r w:rsidRPr="00A52585">
        <w:rPr>
          <w:rFonts w:hint="cs"/>
          <w:bCs/>
          <w:rtl/>
        </w:rPr>
        <w:t>سئل</w:t>
      </w:r>
      <w:r w:rsidRPr="00A52585">
        <w:rPr>
          <w:rFonts w:hint="cs"/>
          <w:bCs/>
        </w:rPr>
        <w:t xml:space="preserve"> </w:t>
      </w:r>
      <w:r w:rsidRPr="00A52585">
        <w:rPr>
          <w:rFonts w:hint="cs"/>
          <w:bCs/>
          <w:rtl/>
        </w:rPr>
        <w:t>عنه مالك</w:t>
      </w:r>
      <w:r w:rsidRPr="00A52585">
        <w:rPr>
          <w:rFonts w:hint="cs"/>
          <w:rtl/>
        </w:rPr>
        <w:t xml:space="preserve"> فأجاب</w:t>
      </w:r>
      <w:r w:rsidRPr="00A52585">
        <w:rPr>
          <w:rFonts w:hint="cs"/>
        </w:rPr>
        <w:t xml:space="preserve"> </w:t>
      </w:r>
      <w:r w:rsidRPr="00A52585">
        <w:rPr>
          <w:rFonts w:hint="cs"/>
          <w:rtl/>
        </w:rPr>
        <w:t>بما قالته</w:t>
      </w:r>
      <w:r w:rsidRPr="00A52585">
        <w:rPr>
          <w:rFonts w:hint="cs"/>
        </w:rPr>
        <w:t xml:space="preserve"> </w:t>
      </w:r>
      <w:r w:rsidRPr="00A52585">
        <w:rPr>
          <w:rFonts w:hint="cs"/>
          <w:rtl/>
        </w:rPr>
        <w:t>أم سلمة</w:t>
      </w:r>
      <w:r w:rsidRPr="00A52585">
        <w:rPr>
          <w:rFonts w:hint="cs"/>
        </w:rPr>
        <w:t xml:space="preserve"> </w:t>
      </w:r>
      <w:r w:rsidRPr="00A52585">
        <w:rPr>
          <w:rFonts w:hint="cs"/>
          <w:rtl/>
        </w:rPr>
        <w:t>إلا أنه زاد فيها أن من عاد إلى هذا السؤال عنه أضرب عنقه وكذلك سئل سفيان الثوري</w:t>
      </w:r>
      <w:r w:rsidRPr="00A52585">
        <w:rPr>
          <w:rFonts w:hint="cs"/>
        </w:rPr>
        <w:t xml:space="preserve"> </w:t>
      </w:r>
      <w:r w:rsidRPr="00A52585">
        <w:rPr>
          <w:rFonts w:hint="cs"/>
          <w:rtl/>
        </w:rPr>
        <w:t xml:space="preserve">فقال أفهم من </w:t>
      </w:r>
      <w:r w:rsidRPr="00A52585">
        <w:rPr>
          <w:rFonts w:hint="cs"/>
          <w:rtl/>
        </w:rPr>
        <w:lastRenderedPageBreak/>
        <w:t xml:space="preserve">قوله </w:t>
      </w:r>
      <w:r w:rsidR="0002035C" w:rsidRPr="00A52585">
        <w:rPr>
          <w:rFonts w:hint="cs"/>
          <w:rtl/>
        </w:rPr>
        <w:t>(</w:t>
      </w:r>
      <w:r w:rsidRPr="00A52585">
        <w:rPr>
          <w:rFonts w:hint="cs"/>
          <w:rtl/>
        </w:rPr>
        <w:t>الرحمن</w:t>
      </w:r>
      <w:r w:rsidRPr="00A52585">
        <w:rPr>
          <w:rFonts w:hint="cs"/>
        </w:rPr>
        <w:t xml:space="preserve"> </w:t>
      </w:r>
      <w:r w:rsidRPr="00A52585">
        <w:rPr>
          <w:rFonts w:hint="cs"/>
          <w:rtl/>
        </w:rPr>
        <w:t>على</w:t>
      </w:r>
      <w:r w:rsidRPr="00A52585">
        <w:rPr>
          <w:rFonts w:hint="cs"/>
        </w:rPr>
        <w:t xml:space="preserve"> </w:t>
      </w:r>
      <w:r w:rsidRPr="00A52585">
        <w:rPr>
          <w:rFonts w:hint="cs"/>
          <w:rtl/>
        </w:rPr>
        <w:t>العرش استوى</w:t>
      </w:r>
      <w:r w:rsidR="0002035C" w:rsidRPr="00A52585">
        <w:rPr>
          <w:rFonts w:hint="cs"/>
          <w:rtl/>
        </w:rPr>
        <w:t>)</w:t>
      </w:r>
      <w:r w:rsidRPr="00A52585">
        <w:rPr>
          <w:rFonts w:hint="cs"/>
          <w:rtl/>
        </w:rPr>
        <w:t xml:space="preserve"> ما أفهم من قوله </w:t>
      </w:r>
      <w:r w:rsidR="0002035C" w:rsidRPr="00A52585">
        <w:rPr>
          <w:rFonts w:hint="cs"/>
          <w:rtl/>
        </w:rPr>
        <w:t>(</w:t>
      </w:r>
      <w:r w:rsidRPr="00A52585">
        <w:rPr>
          <w:rFonts w:hint="cs"/>
          <w:rtl/>
        </w:rPr>
        <w:t>ثم استوى إلى السماء</w:t>
      </w:r>
      <w:r w:rsidR="0002035C" w:rsidRPr="00A52585">
        <w:rPr>
          <w:rFonts w:hint="cs"/>
          <w:rtl/>
        </w:rPr>
        <w:t>)</w:t>
      </w:r>
      <w:r w:rsidRPr="00A52585">
        <w:rPr>
          <w:rFonts w:hint="cs"/>
          <w:rtl/>
        </w:rPr>
        <w:t xml:space="preserve"> </w:t>
      </w:r>
      <w:r w:rsidRPr="00A52585">
        <w:rPr>
          <w:rFonts w:hint="cs"/>
          <w:bCs/>
          <w:rtl/>
        </w:rPr>
        <w:t>وسئل</w:t>
      </w:r>
      <w:r w:rsidRPr="00A52585">
        <w:rPr>
          <w:rFonts w:hint="cs"/>
          <w:bCs/>
        </w:rPr>
        <w:t xml:space="preserve"> </w:t>
      </w:r>
      <w:r w:rsidRPr="00A52585">
        <w:rPr>
          <w:rFonts w:hint="cs"/>
          <w:bCs/>
          <w:rtl/>
        </w:rPr>
        <w:t>الأوزاعي</w:t>
      </w:r>
      <w:r w:rsidRPr="00A52585">
        <w:rPr>
          <w:rFonts w:hint="cs"/>
          <w:rtl/>
        </w:rPr>
        <w:t xml:space="preserve"> عن</w:t>
      </w:r>
      <w:r w:rsidRPr="00A52585">
        <w:rPr>
          <w:rFonts w:hint="cs"/>
        </w:rPr>
        <w:t xml:space="preserve"> </w:t>
      </w:r>
      <w:r w:rsidRPr="00A52585">
        <w:rPr>
          <w:rFonts w:hint="cs"/>
          <w:rtl/>
        </w:rPr>
        <w:t>تفسير هذه الآية</w:t>
      </w:r>
      <w:r w:rsidRPr="00A52585">
        <w:rPr>
          <w:rFonts w:hint="cs"/>
        </w:rPr>
        <w:t xml:space="preserve"> </w:t>
      </w:r>
      <w:r w:rsidRPr="00A52585">
        <w:rPr>
          <w:rFonts w:hint="cs"/>
          <w:rtl/>
        </w:rPr>
        <w:t xml:space="preserve">فقال </w:t>
      </w:r>
      <w:r w:rsidR="0002035C" w:rsidRPr="00A52585">
        <w:rPr>
          <w:rFonts w:hint="cs"/>
          <w:rtl/>
        </w:rPr>
        <w:t>(</w:t>
      </w:r>
      <w:r w:rsidRPr="00A52585">
        <w:rPr>
          <w:rFonts w:hint="cs"/>
          <w:rtl/>
        </w:rPr>
        <w:t>الرحمن</w:t>
      </w:r>
      <w:r w:rsidRPr="00A52585">
        <w:rPr>
          <w:rFonts w:hint="cs"/>
        </w:rPr>
        <w:t xml:space="preserve"> </w:t>
      </w:r>
      <w:r w:rsidRPr="00A52585">
        <w:rPr>
          <w:rFonts w:hint="cs"/>
          <w:rtl/>
        </w:rPr>
        <w:t>على</w:t>
      </w:r>
      <w:r w:rsidRPr="00A52585">
        <w:rPr>
          <w:rFonts w:hint="cs"/>
        </w:rPr>
        <w:t xml:space="preserve"> </w:t>
      </w:r>
      <w:r w:rsidRPr="00A52585">
        <w:rPr>
          <w:rFonts w:hint="cs"/>
          <w:rtl/>
        </w:rPr>
        <w:t>العرش استوى</w:t>
      </w:r>
      <w:r w:rsidR="0002035C" w:rsidRPr="00A52585">
        <w:rPr>
          <w:rFonts w:hint="cs"/>
          <w:rtl/>
        </w:rPr>
        <w:t>)</w:t>
      </w:r>
      <w:r w:rsidRPr="00A52585">
        <w:rPr>
          <w:rFonts w:hint="cs"/>
          <w:rtl/>
        </w:rPr>
        <w:t xml:space="preserve"> كما قال</w:t>
      </w:r>
      <w:r w:rsidRPr="00A52585">
        <w:rPr>
          <w:rFonts w:hint="cs"/>
        </w:rPr>
        <w:t xml:space="preserve"> </w:t>
      </w:r>
      <w:r w:rsidRPr="00A52585">
        <w:rPr>
          <w:rFonts w:hint="cs"/>
          <w:rtl/>
        </w:rPr>
        <w:t xml:space="preserve">وإني لأراك ضالا </w:t>
      </w:r>
      <w:r w:rsidRPr="00A52585">
        <w:rPr>
          <w:rFonts w:hint="cs"/>
          <w:bCs/>
          <w:rtl/>
        </w:rPr>
        <w:t>وسئل</w:t>
      </w:r>
      <w:r w:rsidRPr="00A52585">
        <w:rPr>
          <w:rFonts w:hint="cs"/>
          <w:bCs/>
        </w:rPr>
        <w:t xml:space="preserve"> </w:t>
      </w:r>
      <w:r w:rsidRPr="00A52585">
        <w:rPr>
          <w:rFonts w:hint="cs"/>
          <w:bCs/>
          <w:rtl/>
        </w:rPr>
        <w:t>ابن راهويه</w:t>
      </w:r>
      <w:r w:rsidRPr="00A52585">
        <w:rPr>
          <w:rFonts w:hint="cs"/>
          <w:rtl/>
        </w:rPr>
        <w:t xml:space="preserve"> عن</w:t>
      </w:r>
      <w:r w:rsidRPr="00A52585">
        <w:rPr>
          <w:rFonts w:hint="cs"/>
        </w:rPr>
        <w:t xml:space="preserve"> </w:t>
      </w:r>
      <w:r w:rsidRPr="00A52585">
        <w:rPr>
          <w:rFonts w:hint="cs"/>
          <w:rtl/>
        </w:rPr>
        <w:t>الاستواء أقائم هو أم قاعد فقال لا يمل</w:t>
      </w:r>
      <w:r w:rsidRPr="00A52585">
        <w:rPr>
          <w:rFonts w:hint="cs"/>
        </w:rPr>
        <w:t xml:space="preserve"> </w:t>
      </w:r>
      <w:r w:rsidRPr="00A52585">
        <w:rPr>
          <w:rFonts w:hint="cs"/>
          <w:rtl/>
        </w:rPr>
        <w:t>القيام حتى يقعد ولا يمل القعود حتى يقوم وأنت إلى هذا السؤال أحوج</w:t>
      </w:r>
      <w:r w:rsidR="0002035C" w:rsidRPr="00A52585">
        <w:rPr>
          <w:rFonts w:hint="cs"/>
          <w:rtl/>
        </w:rPr>
        <w:t xml:space="preserve"> </w:t>
      </w:r>
      <w:r w:rsidRPr="00A52585">
        <w:rPr>
          <w:rFonts w:hint="cs"/>
          <w:bCs/>
          <w:rtl/>
        </w:rPr>
        <w:t>قال الشيخ</w:t>
      </w:r>
      <w:r w:rsidRPr="00A52585">
        <w:rPr>
          <w:rFonts w:hint="cs"/>
          <w:bCs/>
        </w:rPr>
        <w:t xml:space="preserve"> </w:t>
      </w:r>
      <w:r w:rsidRPr="00A52585">
        <w:rPr>
          <w:rFonts w:hint="cs"/>
          <w:bCs/>
          <w:rtl/>
        </w:rPr>
        <w:t>أبو عمرو بن الصلاح</w:t>
      </w:r>
      <w:r w:rsidR="0002035C" w:rsidRPr="00A52585">
        <w:rPr>
          <w:rFonts w:hint="cs"/>
          <w:bCs/>
          <w:rtl/>
        </w:rPr>
        <w:t>:</w:t>
      </w:r>
      <w:r w:rsidRPr="00A52585">
        <w:rPr>
          <w:rFonts w:hint="cs"/>
          <w:bCs/>
          <w:rtl/>
        </w:rPr>
        <w:t xml:space="preserve"> وعلى هذه الطريقة مضى صدر الأمة وسادتها " </w:t>
      </w:r>
      <w:r w:rsidRPr="00A52585">
        <w:rPr>
          <w:rFonts w:hint="cs"/>
          <w:rtl/>
          <w:lang w:bidi="ar-KW"/>
        </w:rPr>
        <w:t>[</w:t>
      </w:r>
      <w:r w:rsidRPr="00A52585">
        <w:rPr>
          <w:rFonts w:hint="cs"/>
          <w:rtl/>
        </w:rPr>
        <w:t>البرهان في علوم القرآن ج</w:t>
      </w:r>
      <w:r w:rsidR="0002035C" w:rsidRPr="00A52585">
        <w:rPr>
          <w:rFonts w:hint="cs"/>
          <w:rtl/>
        </w:rPr>
        <w:t>:</w:t>
      </w:r>
      <w:r w:rsidRPr="00A52585">
        <w:rPr>
          <w:rFonts w:hint="cs"/>
          <w:rtl/>
        </w:rPr>
        <w:t xml:space="preserve"> 2 ص</w:t>
      </w:r>
      <w:r w:rsidR="0002035C" w:rsidRPr="00A52585">
        <w:rPr>
          <w:rFonts w:hint="cs"/>
          <w:rtl/>
        </w:rPr>
        <w:t>:</w:t>
      </w:r>
      <w:r w:rsidRPr="00A52585">
        <w:rPr>
          <w:rFonts w:hint="cs"/>
          <w:rtl/>
        </w:rPr>
        <w:t xml:space="preserve"> 78</w:t>
      </w:r>
      <w:r w:rsidRPr="00A52585">
        <w:rPr>
          <w:rFonts w:hint="cs"/>
          <w:rtl/>
          <w:lang w:bidi="ar-KW"/>
        </w:rPr>
        <w:t>]</w:t>
      </w:r>
      <w:r w:rsidRPr="00A52585">
        <w:rPr>
          <w:rFonts w:hint="cs"/>
          <w:rtl/>
        </w:rPr>
        <w:t xml:space="preserve"> أهـ</w:t>
      </w:r>
      <w:r w:rsidR="00DB731D" w:rsidRPr="00A52585">
        <w:rPr>
          <w:rFonts w:hint="cs"/>
          <w:rtl/>
        </w:rPr>
        <w:t>،</w:t>
      </w:r>
      <w:r w:rsidR="0002035C" w:rsidRPr="00A52585">
        <w:rPr>
          <w:rFonts w:hint="cs"/>
          <w:rtl/>
          <w:lang w:bidi="ar-KW"/>
        </w:rPr>
        <w:t xml:space="preserve"> </w:t>
      </w:r>
      <w:r w:rsidRPr="00A52585">
        <w:rPr>
          <w:rFonts w:hint="cs"/>
          <w:bCs/>
          <w:rtl/>
        </w:rPr>
        <w:t>وقال الحافظ ابن حجر في الفتح</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وأسند البيهقي بسند صحيح عن احمد بن أبي الحواري </w:t>
      </w:r>
      <w:r w:rsidRPr="00A52585">
        <w:rPr>
          <w:rFonts w:hint="cs"/>
          <w:bCs/>
          <w:rtl/>
        </w:rPr>
        <w:t>عن سفيان بن عيينة</w:t>
      </w:r>
      <w:r w:rsidRPr="00A52585">
        <w:rPr>
          <w:rFonts w:hint="cs"/>
          <w:rtl/>
        </w:rPr>
        <w:t xml:space="preserve"> قال </w:t>
      </w:r>
      <w:r w:rsidRPr="00A52585">
        <w:rPr>
          <w:rFonts w:hint="cs"/>
          <w:bCs/>
          <w:rtl/>
        </w:rPr>
        <w:t>كل ما وصف الله به نفسه في كتابه فتفسيره تلاوته والسكوت عنه "</w:t>
      </w:r>
      <w:r w:rsidR="0002035C" w:rsidRPr="00A52585">
        <w:rPr>
          <w:rFonts w:hint="cs"/>
          <w:bCs/>
          <w:rtl/>
        </w:rPr>
        <w:t xml:space="preserve"> </w:t>
      </w:r>
      <w:r w:rsidRPr="00A52585">
        <w:rPr>
          <w:rFonts w:hint="cs"/>
          <w:rtl/>
        </w:rPr>
        <w:t>[فتح الباري ج13 ص 407] أهـ</w:t>
      </w:r>
      <w:r w:rsidR="00DB731D" w:rsidRPr="00A52585">
        <w:rPr>
          <w:rFonts w:hint="cs"/>
          <w:rtl/>
        </w:rPr>
        <w:t>،</w:t>
      </w:r>
      <w:r w:rsidR="0002035C" w:rsidRPr="00A52585">
        <w:rPr>
          <w:rFonts w:hint="cs"/>
          <w:rtl/>
        </w:rPr>
        <w:t xml:space="preserve"> </w:t>
      </w:r>
      <w:r w:rsidRPr="00A52585">
        <w:rPr>
          <w:rFonts w:hint="cs"/>
          <w:bCs/>
          <w:rtl/>
        </w:rPr>
        <w:t>وقال القرطبي في تفسيره</w:t>
      </w:r>
      <w:r w:rsidR="0002035C" w:rsidRPr="00A52585">
        <w:rPr>
          <w:rFonts w:hint="cs"/>
          <w:bCs/>
          <w:rtl/>
        </w:rPr>
        <w:t>:</w:t>
      </w:r>
      <w:r w:rsidR="0002035C" w:rsidRPr="00A52585">
        <w:rPr>
          <w:rFonts w:hint="cs"/>
          <w:rtl/>
        </w:rPr>
        <w:t xml:space="preserve"> </w:t>
      </w:r>
      <w:r w:rsidRPr="00A52585">
        <w:rPr>
          <w:rFonts w:hint="cs"/>
          <w:rtl/>
        </w:rPr>
        <w:t>" قال بعضهم</w:t>
      </w:r>
      <w:r w:rsidR="0002035C" w:rsidRPr="00A52585">
        <w:rPr>
          <w:rFonts w:hint="cs"/>
          <w:rtl/>
        </w:rPr>
        <w:t xml:space="preserve"> </w:t>
      </w:r>
      <w:r w:rsidRPr="00A52585">
        <w:rPr>
          <w:rFonts w:hint="cs"/>
          <w:bCs/>
          <w:rtl/>
        </w:rPr>
        <w:t>نقرؤها</w:t>
      </w:r>
      <w:r w:rsidRPr="00A52585">
        <w:rPr>
          <w:rFonts w:hint="cs"/>
          <w:bCs/>
        </w:rPr>
        <w:t xml:space="preserve"> </w:t>
      </w:r>
      <w:r w:rsidRPr="00A52585">
        <w:rPr>
          <w:rFonts w:hint="cs"/>
          <w:bCs/>
          <w:rtl/>
        </w:rPr>
        <w:t>ونؤمن بها ولا نفسرها</w:t>
      </w:r>
      <w:r w:rsidRPr="00A52585">
        <w:rPr>
          <w:rFonts w:hint="cs"/>
          <w:rtl/>
        </w:rPr>
        <w:t xml:space="preserve"> وذهب</w:t>
      </w:r>
      <w:r w:rsidRPr="00A52585">
        <w:rPr>
          <w:rFonts w:hint="cs"/>
        </w:rPr>
        <w:t xml:space="preserve"> </w:t>
      </w:r>
      <w:r w:rsidRPr="00A52585">
        <w:rPr>
          <w:rFonts w:hint="cs"/>
          <w:rtl/>
        </w:rPr>
        <w:t>إليه كثير من الأئمة وهذا كما روي عن مالك رحمه الله أن رجلا سأله عن قوله تعالى</w:t>
      </w:r>
      <w:r w:rsidR="0002035C" w:rsidRPr="00A52585">
        <w:rPr>
          <w:rFonts w:hint="cs"/>
          <w:rtl/>
        </w:rPr>
        <w:t xml:space="preserve"> </w:t>
      </w:r>
      <w:r w:rsidRPr="00A52585">
        <w:rPr>
          <w:rFonts w:hint="cs"/>
          <w:rtl/>
        </w:rPr>
        <w:t>الرحمن</w:t>
      </w:r>
      <w:r w:rsidRPr="00A52585">
        <w:rPr>
          <w:rFonts w:hint="cs"/>
        </w:rPr>
        <w:t xml:space="preserve"> </w:t>
      </w:r>
      <w:r w:rsidRPr="00A52585">
        <w:rPr>
          <w:rFonts w:hint="cs"/>
          <w:rtl/>
        </w:rPr>
        <w:t>على العرش أستوى قال مالك</w:t>
      </w:r>
      <w:r w:rsidR="0002035C" w:rsidRPr="00A52585">
        <w:rPr>
          <w:rFonts w:hint="cs"/>
          <w:rtl/>
        </w:rPr>
        <w:t xml:space="preserve"> </w:t>
      </w:r>
      <w:proofErr w:type="spellStart"/>
      <w:r w:rsidRPr="00A52585">
        <w:rPr>
          <w:rFonts w:hint="cs"/>
          <w:rtl/>
        </w:rPr>
        <w:t>الأستواء</w:t>
      </w:r>
      <w:proofErr w:type="spellEnd"/>
      <w:r w:rsidRPr="00A52585">
        <w:rPr>
          <w:rFonts w:hint="cs"/>
        </w:rPr>
        <w:t xml:space="preserve"> </w:t>
      </w:r>
      <w:r w:rsidRPr="00A52585">
        <w:rPr>
          <w:rFonts w:hint="cs"/>
          <w:rtl/>
        </w:rPr>
        <w:t>غير مجهول والكيف غير معقول</w:t>
      </w:r>
      <w:r w:rsidRPr="00A52585">
        <w:rPr>
          <w:rFonts w:hint="cs"/>
        </w:rPr>
        <w:t xml:space="preserve"> </w:t>
      </w:r>
      <w:r w:rsidRPr="00A52585">
        <w:rPr>
          <w:rFonts w:hint="cs"/>
          <w:rtl/>
        </w:rPr>
        <w:t>والإيمان به واجب</w:t>
      </w:r>
      <w:r w:rsidR="0002035C" w:rsidRPr="00A52585">
        <w:rPr>
          <w:rFonts w:hint="cs"/>
          <w:rtl/>
        </w:rPr>
        <w:t xml:space="preserve"> </w:t>
      </w:r>
      <w:r w:rsidRPr="00A52585">
        <w:rPr>
          <w:rFonts w:hint="cs"/>
          <w:rtl/>
        </w:rPr>
        <w:t>والسؤال</w:t>
      </w:r>
      <w:r w:rsidRPr="00A52585">
        <w:rPr>
          <w:rFonts w:hint="cs"/>
        </w:rPr>
        <w:t xml:space="preserve"> </w:t>
      </w:r>
      <w:r w:rsidRPr="00A52585">
        <w:rPr>
          <w:rFonts w:hint="cs"/>
          <w:rtl/>
        </w:rPr>
        <w:t>عنه بدعة" [تفسير القرطبي ج 1 ص254] أهـ</w:t>
      </w:r>
      <w:r w:rsidR="00DB731D" w:rsidRPr="00A52585">
        <w:rPr>
          <w:rFonts w:hint="cs"/>
          <w:rtl/>
        </w:rPr>
        <w:t>،</w:t>
      </w:r>
      <w:r w:rsidR="0002035C" w:rsidRPr="00A52585">
        <w:rPr>
          <w:rFonts w:hint="cs"/>
          <w:rtl/>
        </w:rPr>
        <w:t xml:space="preserve"> </w:t>
      </w:r>
      <w:r w:rsidRPr="00A52585">
        <w:rPr>
          <w:rFonts w:hint="cs"/>
          <w:bCs/>
          <w:rtl/>
        </w:rPr>
        <w:t>وقال الزرقاني</w:t>
      </w:r>
      <w:r w:rsidRPr="00A52585">
        <w:rPr>
          <w:rFonts w:hint="cs"/>
          <w:bCs/>
        </w:rPr>
        <w:t xml:space="preserve"> </w:t>
      </w:r>
      <w:r w:rsidRPr="00A52585">
        <w:rPr>
          <w:rFonts w:hint="cs"/>
          <w:bCs/>
          <w:rtl/>
        </w:rPr>
        <w:t>في شرحه على موطأ مالك</w:t>
      </w:r>
      <w:r w:rsidR="0002035C" w:rsidRPr="00A52585">
        <w:rPr>
          <w:rFonts w:hint="cs"/>
          <w:bCs/>
          <w:rtl/>
        </w:rPr>
        <w:t>:</w:t>
      </w:r>
      <w:r w:rsidRPr="00A52585">
        <w:rPr>
          <w:rFonts w:hint="cs"/>
          <w:bCs/>
          <w:rtl/>
        </w:rPr>
        <w:t xml:space="preserve"> </w:t>
      </w:r>
      <w:r w:rsidRPr="00A52585">
        <w:rPr>
          <w:bCs/>
        </w:rPr>
        <w:t>"</w:t>
      </w:r>
      <w:r w:rsidR="0002035C" w:rsidRPr="00A52585">
        <w:rPr>
          <w:bCs/>
          <w:rtl/>
        </w:rPr>
        <w:t xml:space="preserve"> </w:t>
      </w:r>
      <w:r w:rsidRPr="00A52585">
        <w:rPr>
          <w:rFonts w:hint="cs"/>
          <w:rtl/>
        </w:rPr>
        <w:t>وعن</w:t>
      </w:r>
      <w:r w:rsidRPr="00A52585">
        <w:rPr>
          <w:rFonts w:hint="cs"/>
        </w:rPr>
        <w:t xml:space="preserve"> </w:t>
      </w:r>
      <w:r w:rsidRPr="00A52585">
        <w:rPr>
          <w:rFonts w:hint="cs"/>
          <w:rtl/>
        </w:rPr>
        <w:t>أبي</w:t>
      </w:r>
      <w:r w:rsidRPr="00A52585">
        <w:rPr>
          <w:rFonts w:hint="cs"/>
        </w:rPr>
        <w:t xml:space="preserve"> </w:t>
      </w:r>
      <w:r w:rsidRPr="00A52585">
        <w:rPr>
          <w:rFonts w:hint="cs"/>
          <w:rtl/>
        </w:rPr>
        <w:t>سلمة بن عبد الرحمن بن عوف القرشي الزهري عن أبي</w:t>
      </w:r>
      <w:r w:rsidRPr="00A52585">
        <w:rPr>
          <w:rFonts w:hint="cs"/>
        </w:rPr>
        <w:t xml:space="preserve"> </w:t>
      </w:r>
      <w:r w:rsidRPr="00A52585">
        <w:rPr>
          <w:rFonts w:hint="cs"/>
          <w:rtl/>
        </w:rPr>
        <w:t>هريرة أن رسول الله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w:t>
      </w:r>
      <w:r w:rsidRPr="00A52585">
        <w:rPr>
          <w:rFonts w:hint="cs"/>
        </w:rPr>
        <w:t xml:space="preserve"> </w:t>
      </w:r>
      <w:r w:rsidRPr="00A52585">
        <w:rPr>
          <w:rFonts w:hint="cs"/>
          <w:rtl/>
        </w:rPr>
        <w:t>ربنا</w:t>
      </w:r>
      <w:r w:rsidR="0002035C" w:rsidRPr="00A52585">
        <w:rPr>
          <w:rFonts w:hint="cs"/>
          <w:rtl/>
        </w:rPr>
        <w:t>)</w:t>
      </w:r>
      <w:r w:rsidRPr="00A52585">
        <w:rPr>
          <w:rFonts w:hint="cs"/>
          <w:rtl/>
        </w:rPr>
        <w:t xml:space="preserve"> اختلف فيه </w:t>
      </w:r>
      <w:r w:rsidRPr="00A52585">
        <w:rPr>
          <w:rFonts w:hint="cs"/>
          <w:bCs/>
          <w:rtl/>
        </w:rPr>
        <w:t>فالراسخون</w:t>
      </w:r>
      <w:r w:rsidRPr="00A52585">
        <w:rPr>
          <w:rFonts w:hint="cs"/>
          <w:bCs/>
        </w:rPr>
        <w:t xml:space="preserve"> </w:t>
      </w:r>
      <w:r w:rsidRPr="00A52585">
        <w:rPr>
          <w:rFonts w:hint="cs"/>
          <w:bCs/>
          <w:rtl/>
        </w:rPr>
        <w:t>في</w:t>
      </w:r>
      <w:r w:rsidRPr="00A52585">
        <w:rPr>
          <w:rFonts w:hint="cs"/>
          <w:bCs/>
        </w:rPr>
        <w:t xml:space="preserve"> </w:t>
      </w:r>
      <w:r w:rsidRPr="00A52585">
        <w:rPr>
          <w:rFonts w:hint="cs"/>
          <w:bCs/>
          <w:rtl/>
        </w:rPr>
        <w:t>العلم يقولون آمنا به كل من عند ربنا على طريق</w:t>
      </w:r>
      <w:r w:rsidRPr="00A52585">
        <w:rPr>
          <w:rFonts w:hint="cs"/>
          <w:bCs/>
        </w:rPr>
        <w:t xml:space="preserve"> </w:t>
      </w:r>
      <w:r w:rsidRPr="00A52585">
        <w:rPr>
          <w:rFonts w:hint="cs"/>
          <w:bCs/>
          <w:rtl/>
        </w:rPr>
        <w:t>الإجمال</w:t>
      </w:r>
      <w:r w:rsidRPr="00A52585">
        <w:rPr>
          <w:rFonts w:hint="cs"/>
          <w:bCs/>
        </w:rPr>
        <w:t xml:space="preserve"> </w:t>
      </w:r>
      <w:r w:rsidRPr="00A52585">
        <w:rPr>
          <w:rFonts w:hint="cs"/>
          <w:bCs/>
          <w:rtl/>
        </w:rPr>
        <w:t>منزهين لله تعالى عن الكيفية والتشبيه</w:t>
      </w:r>
      <w:r w:rsidR="0002035C" w:rsidRPr="00A52585">
        <w:rPr>
          <w:bCs/>
          <w:rtl/>
        </w:rPr>
        <w:t xml:space="preserve"> </w:t>
      </w:r>
      <w:r w:rsidRPr="00A52585">
        <w:rPr>
          <w:rFonts w:hint="cs"/>
          <w:bCs/>
          <w:rtl/>
        </w:rPr>
        <w:t>ونقله</w:t>
      </w:r>
      <w:r w:rsidRPr="00A52585">
        <w:rPr>
          <w:rFonts w:hint="cs"/>
          <w:bCs/>
        </w:rPr>
        <w:t xml:space="preserve"> </w:t>
      </w:r>
      <w:r w:rsidRPr="00A52585">
        <w:rPr>
          <w:rFonts w:hint="cs"/>
          <w:bCs/>
          <w:rtl/>
        </w:rPr>
        <w:t>البيهقي</w:t>
      </w:r>
      <w:r w:rsidRPr="00A52585">
        <w:rPr>
          <w:rFonts w:hint="cs"/>
          <w:bCs/>
        </w:rPr>
        <w:t xml:space="preserve"> </w:t>
      </w:r>
      <w:r w:rsidRPr="00A52585">
        <w:rPr>
          <w:rFonts w:hint="cs"/>
          <w:bCs/>
          <w:rtl/>
        </w:rPr>
        <w:t xml:space="preserve">وغيره عن الأئمة الأربعة </w:t>
      </w:r>
      <w:proofErr w:type="spellStart"/>
      <w:r w:rsidRPr="00A52585">
        <w:rPr>
          <w:rFonts w:hint="cs"/>
          <w:bCs/>
          <w:rtl/>
        </w:rPr>
        <w:t>والسفيانين</w:t>
      </w:r>
      <w:proofErr w:type="spellEnd"/>
      <w:r w:rsidRPr="00A52585">
        <w:rPr>
          <w:rFonts w:hint="cs"/>
          <w:bCs/>
          <w:rtl/>
        </w:rPr>
        <w:t xml:space="preserve"> </w:t>
      </w:r>
      <w:proofErr w:type="spellStart"/>
      <w:r w:rsidRPr="00A52585">
        <w:rPr>
          <w:rFonts w:hint="cs"/>
          <w:bCs/>
          <w:rtl/>
        </w:rPr>
        <w:t>والحمادين</w:t>
      </w:r>
      <w:proofErr w:type="spellEnd"/>
      <w:r w:rsidRPr="00A52585">
        <w:rPr>
          <w:rFonts w:hint="cs"/>
          <w:bCs/>
          <w:rtl/>
        </w:rPr>
        <w:t xml:space="preserve"> والليث</w:t>
      </w:r>
      <w:r w:rsidRPr="00A52585">
        <w:rPr>
          <w:rFonts w:hint="cs"/>
          <w:bCs/>
        </w:rPr>
        <w:t xml:space="preserve"> </w:t>
      </w:r>
      <w:r w:rsidRPr="00A52585">
        <w:rPr>
          <w:rFonts w:hint="cs"/>
          <w:bCs/>
          <w:rtl/>
        </w:rPr>
        <w:t>والأوزاعي</w:t>
      </w:r>
      <w:r w:rsidRPr="00A52585">
        <w:rPr>
          <w:rFonts w:hint="cs"/>
          <w:bCs/>
        </w:rPr>
        <w:t xml:space="preserve"> </w:t>
      </w:r>
      <w:r w:rsidRPr="00A52585">
        <w:rPr>
          <w:rFonts w:hint="cs"/>
          <w:bCs/>
          <w:rtl/>
        </w:rPr>
        <w:t>وغيرهم قال البيهقي وهو أسلم ويدل عليه اتفاقهم</w:t>
      </w:r>
      <w:r w:rsidRPr="00A52585">
        <w:rPr>
          <w:rFonts w:hint="cs"/>
          <w:bCs/>
        </w:rPr>
        <w:t xml:space="preserve"> </w:t>
      </w:r>
      <w:r w:rsidRPr="00A52585">
        <w:rPr>
          <w:rFonts w:hint="cs"/>
          <w:bCs/>
          <w:rtl/>
        </w:rPr>
        <w:t>على أن التأويل المعين</w:t>
      </w:r>
      <w:r w:rsidRPr="00A52585">
        <w:rPr>
          <w:rFonts w:hint="cs"/>
          <w:bCs/>
        </w:rPr>
        <w:t xml:space="preserve"> </w:t>
      </w:r>
      <w:r w:rsidRPr="00A52585">
        <w:rPr>
          <w:rFonts w:hint="cs"/>
          <w:bCs/>
          <w:rtl/>
        </w:rPr>
        <w:t>لا</w:t>
      </w:r>
      <w:r w:rsidRPr="00A52585">
        <w:rPr>
          <w:rFonts w:hint="cs"/>
          <w:bCs/>
        </w:rPr>
        <w:t xml:space="preserve"> </w:t>
      </w:r>
      <w:r w:rsidRPr="00A52585">
        <w:rPr>
          <w:rFonts w:hint="cs"/>
          <w:bCs/>
          <w:rtl/>
        </w:rPr>
        <w:t xml:space="preserve">يجب فحينئذ التفويض أسلم </w:t>
      </w:r>
      <w:r w:rsidRPr="00A52585">
        <w:rPr>
          <w:bCs/>
        </w:rPr>
        <w:t>"</w:t>
      </w:r>
      <w:r w:rsidRPr="00A52585">
        <w:rPr>
          <w:rtl/>
        </w:rPr>
        <w:t xml:space="preserve"> </w:t>
      </w:r>
      <w:r w:rsidRPr="00A52585">
        <w:rPr>
          <w:rFonts w:hint="cs"/>
          <w:rtl/>
        </w:rPr>
        <w:t>[شرح الزرقاني ج 2 ص49] أهـ</w:t>
      </w:r>
      <w:r w:rsidR="00DB731D" w:rsidRPr="00A52585">
        <w:rPr>
          <w:rFonts w:hint="cs"/>
          <w:rtl/>
        </w:rPr>
        <w:t>،</w:t>
      </w:r>
      <w:r w:rsidRPr="00A52585">
        <w:rPr>
          <w:rFonts w:hint="cs"/>
          <w:rtl/>
        </w:rPr>
        <w:t xml:space="preserve"> و</w:t>
      </w:r>
      <w:r w:rsidRPr="00A52585">
        <w:rPr>
          <w:rFonts w:hint="cs"/>
          <w:bCs/>
          <w:rtl/>
        </w:rPr>
        <w:t xml:space="preserve"> قال الإمام السيوطي في الإتقان</w:t>
      </w:r>
      <w:r w:rsidR="0002035C" w:rsidRPr="00A52585">
        <w:rPr>
          <w:rFonts w:hint="cs"/>
          <w:bCs/>
          <w:rtl/>
        </w:rPr>
        <w:t>:</w:t>
      </w:r>
      <w:r w:rsidRPr="00A52585">
        <w:rPr>
          <w:rFonts w:hint="cs"/>
          <w:bCs/>
          <w:rtl/>
        </w:rPr>
        <w:t xml:space="preserve"> " فصل</w:t>
      </w:r>
      <w:r w:rsidR="0002035C" w:rsidRPr="00A52585">
        <w:rPr>
          <w:rFonts w:hint="cs"/>
          <w:bCs/>
          <w:rtl/>
        </w:rPr>
        <w:t>:</w:t>
      </w:r>
      <w:r w:rsidRPr="00A52585">
        <w:rPr>
          <w:rFonts w:hint="cs"/>
          <w:bCs/>
          <w:rtl/>
        </w:rPr>
        <w:t xml:space="preserve"> من المتشابه آيات الصفات</w:t>
      </w:r>
      <w:r w:rsidRPr="00A52585">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DB731D" w:rsidRPr="00A52585">
        <w:rPr>
          <w:rFonts w:hint="cs"/>
          <w:rtl/>
        </w:rPr>
        <w:t>،</w:t>
      </w:r>
      <w:r w:rsidRPr="00A52585">
        <w:rPr>
          <w:rFonts w:hint="cs"/>
          <w:rtl/>
        </w:rPr>
        <w:t xml:space="preserve"> وجمهور أهل السنة منهم السلف وأهل الحديث </w:t>
      </w:r>
      <w:r w:rsidRPr="00A52585">
        <w:rPr>
          <w:rFonts w:hint="cs"/>
          <w:bCs/>
          <w:rtl/>
        </w:rPr>
        <w:t>على الإيمان بها وتفويض معناها المراد منها إلى الله تعالى ولا نفسرها مع تنزيهنا له عن حقيقتها</w:t>
      </w:r>
      <w:r w:rsidRPr="00A52585">
        <w:rPr>
          <w:rFonts w:hint="cs"/>
          <w:rtl/>
        </w:rPr>
        <w:t xml:space="preserve"> " أهــ [الإتقان ج</w:t>
      </w:r>
      <w:r w:rsidR="0002035C" w:rsidRPr="00A52585">
        <w:rPr>
          <w:rFonts w:hint="cs"/>
          <w:rtl/>
        </w:rPr>
        <w:t>:</w:t>
      </w:r>
      <w:r w:rsidRPr="00A52585">
        <w:rPr>
          <w:rFonts w:hint="cs"/>
          <w:rtl/>
        </w:rPr>
        <w:t xml:space="preserve"> 2 ص</w:t>
      </w:r>
      <w:r w:rsidR="0002035C" w:rsidRPr="00A52585">
        <w:rPr>
          <w:rFonts w:hint="cs"/>
          <w:rtl/>
        </w:rPr>
        <w:t>:</w:t>
      </w:r>
      <w:r w:rsidRPr="00A52585">
        <w:rPr>
          <w:rFonts w:hint="cs"/>
          <w:rtl/>
        </w:rPr>
        <w:t xml:space="preserve"> 12</w:t>
      </w:r>
      <w:r w:rsidR="0002035C" w:rsidRPr="00A52585">
        <w:rPr>
          <w:rFonts w:hint="cs"/>
          <w:rtl/>
        </w:rPr>
        <w:t xml:space="preserve">] </w:t>
      </w:r>
      <w:r w:rsidRPr="00A52585">
        <w:rPr>
          <w:rFonts w:hint="cs"/>
          <w:rtl/>
        </w:rPr>
        <w:t>أهـ</w:t>
      </w:r>
      <w:r w:rsidR="00DB731D" w:rsidRPr="00A52585">
        <w:rPr>
          <w:rFonts w:hint="cs"/>
          <w:rtl/>
        </w:rPr>
        <w:t>،</w:t>
      </w:r>
      <w:r w:rsidR="0002035C" w:rsidRPr="00A52585">
        <w:rPr>
          <w:rFonts w:hint="cs"/>
          <w:rtl/>
        </w:rPr>
        <w:t xml:space="preserve"> </w:t>
      </w:r>
      <w:r w:rsidRPr="00A52585">
        <w:rPr>
          <w:rFonts w:hint="cs"/>
          <w:bCs/>
          <w:rtl/>
        </w:rPr>
        <w:t>وقال مرعي</w:t>
      </w:r>
      <w:r w:rsidRPr="00A52585">
        <w:rPr>
          <w:rFonts w:hint="cs"/>
          <w:bCs/>
        </w:rPr>
        <w:t xml:space="preserve"> </w:t>
      </w:r>
      <w:r w:rsidRPr="00A52585">
        <w:rPr>
          <w:rFonts w:hint="cs"/>
          <w:bCs/>
          <w:rtl/>
        </w:rPr>
        <w:t>بن يوسف الكرمي المقدسي</w:t>
      </w:r>
      <w:r w:rsidRPr="00A52585">
        <w:rPr>
          <w:rFonts w:hint="cs"/>
          <w:rtl/>
        </w:rPr>
        <w:t xml:space="preserve"> </w:t>
      </w:r>
      <w:r w:rsidR="0002035C" w:rsidRPr="00A52585">
        <w:rPr>
          <w:rFonts w:hint="cs"/>
          <w:rtl/>
        </w:rPr>
        <w:t>(</w:t>
      </w:r>
      <w:r w:rsidRPr="00A52585">
        <w:rPr>
          <w:rFonts w:hint="cs"/>
          <w:rtl/>
        </w:rPr>
        <w:t xml:space="preserve">ت </w:t>
      </w:r>
      <w:r w:rsidRPr="00A52585">
        <w:t>1033</w:t>
      </w:r>
      <w:r w:rsidRPr="00A52585">
        <w:rPr>
          <w:rFonts w:hint="cs"/>
          <w:rtl/>
        </w:rPr>
        <w:t>هـ</w:t>
      </w:r>
      <w:r w:rsidR="0002035C" w:rsidRPr="00A52585">
        <w:rPr>
          <w:rFonts w:hint="cs"/>
          <w:rtl/>
        </w:rPr>
        <w:t>)</w:t>
      </w:r>
      <w:r w:rsidRPr="00A52585">
        <w:rPr>
          <w:rFonts w:hint="cs"/>
          <w:rtl/>
        </w:rPr>
        <w:t xml:space="preserve"> في كتابه أقاويل</w:t>
      </w:r>
      <w:r w:rsidRPr="00A52585">
        <w:rPr>
          <w:rFonts w:hint="cs"/>
        </w:rPr>
        <w:t xml:space="preserve"> </w:t>
      </w:r>
      <w:r w:rsidRPr="00A52585">
        <w:rPr>
          <w:rFonts w:hint="cs"/>
          <w:rtl/>
        </w:rPr>
        <w:t>الثقات في</w:t>
      </w:r>
      <w:r w:rsidRPr="00A52585">
        <w:rPr>
          <w:rFonts w:hint="cs"/>
        </w:rPr>
        <w:t xml:space="preserve"> </w:t>
      </w:r>
      <w:r w:rsidRPr="00A52585">
        <w:rPr>
          <w:rFonts w:hint="cs"/>
          <w:rtl/>
        </w:rPr>
        <w:t>تأويل الأسماء والصفات والآيات المحكمات والمشتبهات</w:t>
      </w:r>
      <w:r w:rsidR="0002035C" w:rsidRPr="00A52585">
        <w:rPr>
          <w:rFonts w:hint="cs"/>
          <w:rtl/>
          <w:lang w:bidi="ar-KW"/>
        </w:rPr>
        <w:t>:</w:t>
      </w:r>
      <w:r w:rsidRPr="00A52585">
        <w:rPr>
          <w:rFonts w:hint="cs"/>
          <w:rtl/>
          <w:lang w:bidi="ar-KW"/>
        </w:rPr>
        <w:t xml:space="preserve"> </w:t>
      </w:r>
      <w:r w:rsidRPr="00A52585">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Pr="00A52585">
        <w:rPr>
          <w:rFonts w:hint="cs"/>
          <w:bCs/>
          <w:rtl/>
        </w:rPr>
        <w:t>ومتشابه لا يعلمه إلا الله ومن ادعى علمه سوى الله فهو كاذب</w:t>
      </w:r>
      <w:r w:rsidRPr="00A52585">
        <w:rPr>
          <w:rFonts w:hint="cs"/>
          <w:rtl/>
        </w:rPr>
        <w:t xml:space="preserve"> ثم رواه من وجه آخر عن ابن عباس موقوفا بنحوه</w:t>
      </w:r>
      <w:r w:rsidR="00DB731D" w:rsidRPr="00A52585">
        <w:rPr>
          <w:rFonts w:hint="cs"/>
          <w:rtl/>
        </w:rPr>
        <w:t>،</w:t>
      </w:r>
      <w:r w:rsidRPr="00A52585">
        <w:rPr>
          <w:rFonts w:hint="cs"/>
          <w:rtl/>
        </w:rPr>
        <w:t xml:space="preserve"> وروى ابن أبي حاتم من طريق العوفي عن ابن عباس رضي الله</w:t>
      </w:r>
      <w:r w:rsidRPr="00A52585">
        <w:rPr>
          <w:rFonts w:hint="cs"/>
        </w:rPr>
        <w:t xml:space="preserve"> </w:t>
      </w:r>
      <w:r w:rsidRPr="00A52585">
        <w:rPr>
          <w:rFonts w:hint="cs"/>
          <w:rtl/>
        </w:rPr>
        <w:t>عنه قال نؤمن بالمحكم وندين به ونؤمن بالمتشابه</w:t>
      </w:r>
      <w:r w:rsidRPr="00A52585">
        <w:rPr>
          <w:rFonts w:hint="cs"/>
        </w:rPr>
        <w:t xml:space="preserve"> </w:t>
      </w:r>
      <w:r w:rsidRPr="00A52585">
        <w:rPr>
          <w:rFonts w:hint="cs"/>
          <w:rtl/>
        </w:rPr>
        <w:t>ولا ندين به وهو من عند الله كله وروى</w:t>
      </w:r>
      <w:r w:rsidRPr="00A52585">
        <w:rPr>
          <w:rFonts w:hint="cs"/>
        </w:rPr>
        <w:t xml:space="preserve"> </w:t>
      </w:r>
      <w:r w:rsidRPr="00A52585">
        <w:rPr>
          <w:rFonts w:hint="cs"/>
          <w:rtl/>
        </w:rPr>
        <w:t xml:space="preserve">أيضا عن عائشة </w:t>
      </w:r>
      <w:r w:rsidRPr="00A52585">
        <w:rPr>
          <w:rFonts w:hint="cs"/>
          <w:rtl/>
        </w:rPr>
        <w:lastRenderedPageBreak/>
        <w:t xml:space="preserve">رضي الله عنها قالت </w:t>
      </w:r>
      <w:r w:rsidRPr="00A52585">
        <w:rPr>
          <w:rFonts w:hint="cs"/>
          <w:bCs/>
          <w:rtl/>
        </w:rPr>
        <w:t xml:space="preserve">كان رسوخهم في العلم أن آمنوا </w:t>
      </w:r>
      <w:proofErr w:type="spellStart"/>
      <w:r w:rsidRPr="00A52585">
        <w:rPr>
          <w:rFonts w:hint="cs"/>
          <w:bCs/>
          <w:rtl/>
        </w:rPr>
        <w:t>بمتشابهه</w:t>
      </w:r>
      <w:proofErr w:type="spellEnd"/>
      <w:r w:rsidRPr="00A52585">
        <w:rPr>
          <w:rFonts w:hint="cs"/>
          <w:bCs/>
        </w:rPr>
        <w:t xml:space="preserve"> </w:t>
      </w:r>
      <w:r w:rsidRPr="00A52585">
        <w:rPr>
          <w:rFonts w:hint="cs"/>
          <w:bCs/>
          <w:rtl/>
        </w:rPr>
        <w:t>ولا يعلمونه</w:t>
      </w:r>
      <w:r w:rsidR="0002035C" w:rsidRPr="00A52585">
        <w:rPr>
          <w:rFonts w:hint="cs"/>
          <w:rtl/>
        </w:rPr>
        <w:t xml:space="preserve">)) </w:t>
      </w:r>
      <w:r w:rsidRPr="00A52585">
        <w:rPr>
          <w:rFonts w:hint="cs"/>
          <w:rtl/>
        </w:rPr>
        <w:t>[أقاويل الثقات ج 1 ص57ـ 58] أهـ</w:t>
      </w:r>
      <w:r w:rsidR="00DB731D" w:rsidRPr="00A52585">
        <w:rPr>
          <w:rFonts w:hint="cs"/>
          <w:rtl/>
        </w:rPr>
        <w:t>،</w:t>
      </w:r>
      <w:r w:rsidRPr="00A52585">
        <w:rPr>
          <w:rFonts w:hint="cs"/>
          <w:rtl/>
        </w:rPr>
        <w:t xml:space="preserve"> </w:t>
      </w:r>
      <w:r w:rsidRPr="00A52585">
        <w:rPr>
          <w:rFonts w:hint="cs"/>
          <w:bCs/>
          <w:rtl/>
        </w:rPr>
        <w:t>إلى أن قال رحمه الله</w:t>
      </w:r>
      <w:r w:rsidR="0002035C" w:rsidRPr="00A52585">
        <w:rPr>
          <w:rFonts w:hint="cs"/>
          <w:bCs/>
          <w:rtl/>
        </w:rPr>
        <w:t>:</w:t>
      </w:r>
      <w:r w:rsidRPr="00A52585">
        <w:rPr>
          <w:rFonts w:hint="cs"/>
          <w:bCs/>
          <w:rtl/>
        </w:rPr>
        <w:t xml:space="preserve"> </w:t>
      </w:r>
      <w:r w:rsidRPr="00A52585">
        <w:rPr>
          <w:rFonts w:hint="cs"/>
          <w:rtl/>
        </w:rPr>
        <w:t>" إذا</w:t>
      </w:r>
      <w:r w:rsidRPr="00A52585">
        <w:rPr>
          <w:rFonts w:hint="cs"/>
        </w:rPr>
        <w:t xml:space="preserve"> </w:t>
      </w:r>
      <w:r w:rsidRPr="00A52585">
        <w:rPr>
          <w:rFonts w:hint="cs"/>
          <w:rtl/>
        </w:rPr>
        <w:t>تقرر هذا فاعلم أن من المتشابهات آيات الصفات</w:t>
      </w:r>
      <w:r w:rsidRPr="00A52585">
        <w:rPr>
          <w:rFonts w:hint="cs"/>
        </w:rPr>
        <w:t xml:space="preserve"> </w:t>
      </w:r>
      <w:r w:rsidRPr="00A52585">
        <w:rPr>
          <w:rFonts w:hint="cs"/>
          <w:rtl/>
        </w:rPr>
        <w:t xml:space="preserve">التي التأويل فيها بعيد </w:t>
      </w:r>
      <w:r w:rsidRPr="00A52585">
        <w:rPr>
          <w:rFonts w:hint="cs"/>
          <w:bCs/>
          <w:rtl/>
        </w:rPr>
        <w:t>فلا تؤول ولا تفسر</w:t>
      </w:r>
      <w:r w:rsidR="00DB731D" w:rsidRPr="00A52585">
        <w:rPr>
          <w:rFonts w:hint="cs"/>
          <w:bCs/>
          <w:rtl/>
        </w:rPr>
        <w:t>،</w:t>
      </w:r>
      <w:r w:rsidRPr="00A52585">
        <w:rPr>
          <w:rFonts w:hint="cs"/>
          <w:rtl/>
        </w:rPr>
        <w:t xml:space="preserve"> وجمهور</w:t>
      </w:r>
      <w:r w:rsidRPr="00A52585">
        <w:rPr>
          <w:rFonts w:hint="cs"/>
        </w:rPr>
        <w:t xml:space="preserve"> </w:t>
      </w:r>
      <w:r w:rsidRPr="00A52585">
        <w:rPr>
          <w:rFonts w:hint="cs"/>
          <w:rtl/>
        </w:rPr>
        <w:t xml:space="preserve">أهل السنة منهم السلف وأهل الحديث على الإيمان بها </w:t>
      </w:r>
      <w:r w:rsidRPr="00A52585">
        <w:rPr>
          <w:rFonts w:hint="cs"/>
          <w:bCs/>
          <w:rtl/>
        </w:rPr>
        <w:t>وتفويض</w:t>
      </w:r>
      <w:r w:rsidRPr="00A52585">
        <w:rPr>
          <w:rFonts w:hint="cs"/>
          <w:bCs/>
        </w:rPr>
        <w:t xml:space="preserve"> </w:t>
      </w:r>
      <w:r w:rsidRPr="00A52585">
        <w:rPr>
          <w:rFonts w:hint="cs"/>
          <w:bCs/>
          <w:rtl/>
        </w:rPr>
        <w:t>معناها المراد منها إلى الله تعالى ولا نفسرها مع تنزيهنا له عن حقيقتها</w:t>
      </w:r>
      <w:r w:rsidRPr="00A52585">
        <w:rPr>
          <w:rFonts w:hint="cs"/>
          <w:rtl/>
        </w:rPr>
        <w:t xml:space="preserve"> فقد روى</w:t>
      </w:r>
      <w:r w:rsidRPr="00A52585">
        <w:rPr>
          <w:rFonts w:hint="cs"/>
        </w:rPr>
        <w:t xml:space="preserve"> </w:t>
      </w:r>
      <w:r w:rsidRPr="00A52585">
        <w:rPr>
          <w:rFonts w:hint="cs"/>
          <w:rtl/>
        </w:rPr>
        <w:t>الإمام اللالكائي الحافظ عن محمد بن الحسن قال اتفق الفقهاء كلهم من المشرق إلى</w:t>
      </w:r>
      <w:r w:rsidRPr="00A52585">
        <w:rPr>
          <w:rFonts w:hint="cs"/>
        </w:rPr>
        <w:t xml:space="preserve"> </w:t>
      </w:r>
      <w:r w:rsidRPr="00A52585">
        <w:rPr>
          <w:rFonts w:hint="cs"/>
          <w:rtl/>
        </w:rPr>
        <w:t>المغرب على الإيمان بالصفات من غير تفسير ولا تشبيه</w:t>
      </w:r>
      <w:r w:rsidR="00897A24" w:rsidRPr="00A52585">
        <w:rPr>
          <w:rFonts w:hint="cs"/>
          <w:rtl/>
        </w:rPr>
        <w:t>.</w:t>
      </w:r>
      <w:r w:rsidRPr="00A52585">
        <w:rPr>
          <w:rFonts w:hint="cs"/>
          <w:rtl/>
        </w:rPr>
        <w:t>.</w:t>
      </w:r>
      <w:r w:rsidR="0002035C" w:rsidRPr="00A52585">
        <w:rPr>
          <w:rFonts w:hint="cs"/>
          <w:bCs/>
          <w:rtl/>
        </w:rPr>
        <w:t xml:space="preserve"> </w:t>
      </w:r>
      <w:r w:rsidRPr="00A52585">
        <w:rPr>
          <w:rFonts w:hint="cs"/>
          <w:bCs/>
          <w:rtl/>
        </w:rPr>
        <w:t>وقال الإمام</w:t>
      </w:r>
      <w:r w:rsidRPr="00A52585">
        <w:rPr>
          <w:rFonts w:hint="cs"/>
          <w:bCs/>
        </w:rPr>
        <w:t xml:space="preserve"> </w:t>
      </w:r>
      <w:r w:rsidRPr="00A52585">
        <w:rPr>
          <w:rFonts w:hint="cs"/>
          <w:bCs/>
          <w:rtl/>
        </w:rPr>
        <w:t>الترمذي</w:t>
      </w:r>
      <w:r w:rsidRPr="00A52585">
        <w:rPr>
          <w:rFonts w:hint="cs"/>
          <w:rtl/>
        </w:rPr>
        <w:t xml:space="preserve"> في الكلام على حديث الرؤية المذهب في هذا عند أهل العلم من الأئمة مثل</w:t>
      </w:r>
      <w:r w:rsidRPr="00A52585">
        <w:rPr>
          <w:rFonts w:hint="cs"/>
        </w:rPr>
        <w:t xml:space="preserve"> </w:t>
      </w:r>
      <w:r w:rsidRPr="00A52585">
        <w:rPr>
          <w:rFonts w:hint="cs"/>
          <w:rtl/>
        </w:rPr>
        <w:t xml:space="preserve">سفيان الثوري وابن المبارك ومالك وابن عيينة ووكيع وغيرهم </w:t>
      </w:r>
      <w:r w:rsidRPr="00A52585">
        <w:rPr>
          <w:rFonts w:hint="cs"/>
          <w:bCs/>
          <w:rtl/>
        </w:rPr>
        <w:t>أنهم قالوا نروي هذه الأحاديث</w:t>
      </w:r>
      <w:r w:rsidRPr="00A52585">
        <w:rPr>
          <w:rFonts w:hint="cs"/>
          <w:bCs/>
        </w:rPr>
        <w:t xml:space="preserve"> </w:t>
      </w:r>
      <w:r w:rsidRPr="00A52585">
        <w:rPr>
          <w:rFonts w:hint="cs"/>
          <w:bCs/>
          <w:rtl/>
        </w:rPr>
        <w:t>كما جاءت ونؤمن بها ولا يقال كيف ولا نفسر ولا نتوهم</w:t>
      </w:r>
      <w:r w:rsidR="00897A24" w:rsidRPr="00A52585">
        <w:rPr>
          <w:rFonts w:hint="cs"/>
          <w:rtl/>
        </w:rPr>
        <w:t>.</w:t>
      </w:r>
      <w:r w:rsidRPr="00A52585">
        <w:rPr>
          <w:rFonts w:hint="cs"/>
          <w:rtl/>
        </w:rPr>
        <w:t>.</w:t>
      </w:r>
      <w:r w:rsidR="0002035C" w:rsidRPr="00A52585">
        <w:rPr>
          <w:rFonts w:hint="cs"/>
          <w:bCs/>
          <w:rtl/>
        </w:rPr>
        <w:t xml:space="preserve"> </w:t>
      </w:r>
      <w:r w:rsidRPr="00A52585">
        <w:rPr>
          <w:rFonts w:hint="cs"/>
          <w:bCs/>
          <w:rtl/>
        </w:rPr>
        <w:t>قال</w:t>
      </w:r>
      <w:r w:rsidRPr="00A52585">
        <w:rPr>
          <w:rFonts w:hint="cs"/>
          <w:bCs/>
        </w:rPr>
        <w:t xml:space="preserve"> </w:t>
      </w:r>
      <w:r w:rsidRPr="00A52585">
        <w:rPr>
          <w:rFonts w:hint="cs"/>
          <w:bCs/>
          <w:rtl/>
        </w:rPr>
        <w:t>ابن عباس</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هذا من المكتوم الذي لا يفسر</w:t>
      </w:r>
      <w:r w:rsidR="0002035C" w:rsidRPr="00A52585">
        <w:rPr>
          <w:rFonts w:hint="cs"/>
          <w:bCs/>
          <w:rtl/>
        </w:rPr>
        <w:t xml:space="preserve">) </w:t>
      </w:r>
      <w:r w:rsidRPr="00A52585">
        <w:rPr>
          <w:rFonts w:hint="cs"/>
          <w:rtl/>
        </w:rPr>
        <w:t>فالأولى في هذه الآية وما شاكلها أن يؤمن الإنسان</w:t>
      </w:r>
      <w:r w:rsidRPr="00A52585">
        <w:rPr>
          <w:rFonts w:hint="cs"/>
        </w:rPr>
        <w:t xml:space="preserve"> </w:t>
      </w:r>
      <w:r w:rsidRPr="00A52585">
        <w:rPr>
          <w:rFonts w:hint="cs"/>
          <w:rtl/>
        </w:rPr>
        <w:t xml:space="preserve">بظاهرها </w:t>
      </w:r>
      <w:r w:rsidRPr="00A52585">
        <w:rPr>
          <w:rFonts w:hint="cs"/>
          <w:bCs/>
          <w:rtl/>
        </w:rPr>
        <w:t>ويكل علمها إلى الله تعالى</w:t>
      </w:r>
      <w:r w:rsidRPr="00A52585">
        <w:rPr>
          <w:rFonts w:hint="cs"/>
          <w:rtl/>
        </w:rPr>
        <w:t xml:space="preserve"> وعلى ذلك مضت أئمة السلف</w:t>
      </w:r>
      <w:r w:rsidR="00DB731D" w:rsidRPr="00A52585">
        <w:rPr>
          <w:rFonts w:hint="cs"/>
          <w:rtl/>
        </w:rPr>
        <w:t>،</w:t>
      </w:r>
      <w:r w:rsidRPr="00A52585">
        <w:rPr>
          <w:rFonts w:hint="cs"/>
          <w:rtl/>
        </w:rPr>
        <w:t xml:space="preserve"> وكان</w:t>
      </w:r>
      <w:r w:rsidRPr="00A52585">
        <w:rPr>
          <w:rFonts w:hint="cs"/>
        </w:rPr>
        <w:t xml:space="preserve"> </w:t>
      </w:r>
      <w:r w:rsidRPr="00A52585">
        <w:rPr>
          <w:rFonts w:hint="cs"/>
          <w:rtl/>
        </w:rPr>
        <w:t>الزهري ومالك والأوزاعي وسفيان الثوري</w:t>
      </w:r>
      <w:r w:rsidRPr="00A52585">
        <w:rPr>
          <w:rFonts w:hint="cs"/>
        </w:rPr>
        <w:t xml:space="preserve"> </w:t>
      </w:r>
      <w:r w:rsidRPr="00A52585">
        <w:rPr>
          <w:rFonts w:hint="cs"/>
          <w:rtl/>
        </w:rPr>
        <w:t>والليث بن سعد وابن المبارك وأحمد بن حنبل وإسحاق يقولون في هذه الآية وأمثالها</w:t>
      </w:r>
      <w:r w:rsidRPr="00A52585">
        <w:rPr>
          <w:rFonts w:hint="cs"/>
        </w:rPr>
        <w:t xml:space="preserve"> </w:t>
      </w:r>
      <w:r w:rsidRPr="00A52585">
        <w:rPr>
          <w:rFonts w:hint="cs"/>
          <w:bCs/>
          <w:rtl/>
        </w:rPr>
        <w:t>أمروها كما جاءت</w:t>
      </w:r>
      <w:r w:rsidRPr="00A52585">
        <w:rPr>
          <w:rFonts w:hint="cs"/>
          <w:rtl/>
        </w:rPr>
        <w:t xml:space="preserve"> وقال</w:t>
      </w:r>
      <w:r w:rsidRPr="00A52585">
        <w:rPr>
          <w:rFonts w:hint="cs"/>
        </w:rPr>
        <w:t xml:space="preserve"> </w:t>
      </w:r>
      <w:r w:rsidRPr="00A52585">
        <w:rPr>
          <w:rFonts w:hint="cs"/>
          <w:rtl/>
        </w:rPr>
        <w:t>سفيان بن</w:t>
      </w:r>
      <w:r w:rsidRPr="00A52585">
        <w:rPr>
          <w:rFonts w:hint="cs"/>
        </w:rPr>
        <w:t xml:space="preserve"> </w:t>
      </w:r>
      <w:r w:rsidRPr="00A52585">
        <w:rPr>
          <w:rFonts w:hint="cs"/>
          <w:rtl/>
        </w:rPr>
        <w:t xml:space="preserve">عيينة وناهيك به كل ما وصف الله به نفسه في كتابه </w:t>
      </w:r>
      <w:r w:rsidRPr="00A52585">
        <w:rPr>
          <w:rFonts w:hint="cs"/>
          <w:bCs/>
          <w:rtl/>
        </w:rPr>
        <w:t>فتفسيره قراءته والسكوت عنه ليس</w:t>
      </w:r>
      <w:r w:rsidRPr="00A52585">
        <w:rPr>
          <w:rFonts w:hint="cs"/>
          <w:bCs/>
        </w:rPr>
        <w:t xml:space="preserve"> </w:t>
      </w:r>
      <w:r w:rsidRPr="00A52585">
        <w:rPr>
          <w:rFonts w:hint="cs"/>
          <w:bCs/>
          <w:rtl/>
        </w:rPr>
        <w:t>لأحد أن يفسره إلا الله ورسوله</w:t>
      </w:r>
      <w:r w:rsidR="00DB731D" w:rsidRPr="00A52585">
        <w:rPr>
          <w:rFonts w:hint="cs"/>
          <w:rtl/>
        </w:rPr>
        <w:t>،</w:t>
      </w:r>
      <w:r w:rsidRPr="00A52585">
        <w:rPr>
          <w:rFonts w:hint="cs"/>
          <w:rtl/>
        </w:rPr>
        <w:t xml:space="preserve"> وذكرت في كتابي البرهان في تفسير القرآن عند قوله تعالى هل ينظرون إلا أن يأتيهم الله في ظلل من الغمام</w:t>
      </w:r>
      <w:r w:rsidR="0002035C" w:rsidRPr="00A52585">
        <w:rPr>
          <w:rFonts w:hint="cs"/>
          <w:rtl/>
        </w:rPr>
        <w:t xml:space="preserve"> </w:t>
      </w:r>
      <w:r w:rsidRPr="00A52585">
        <w:rPr>
          <w:rFonts w:hint="cs"/>
          <w:rtl/>
        </w:rPr>
        <w:t xml:space="preserve">البقرة 210 وبعد أن ذكرت مذاهب المتأولين أن مذهب السلف هو عدم الخوض في مثل هذا والسكوت عنه </w:t>
      </w:r>
      <w:r w:rsidRPr="00A52585">
        <w:rPr>
          <w:rFonts w:hint="cs"/>
          <w:bCs/>
          <w:rtl/>
        </w:rPr>
        <w:t>وتفويض علمه إلى الله تعالى</w:t>
      </w:r>
      <w:r w:rsidRPr="00A52585">
        <w:rPr>
          <w:rFonts w:hint="cs"/>
          <w:rtl/>
        </w:rPr>
        <w:t xml:space="preserve"> " [أقاويل الثقات ج 1 ص 60- 62</w:t>
      </w:r>
      <w:r w:rsidR="0002035C" w:rsidRPr="00A52585">
        <w:rPr>
          <w:rFonts w:hint="cs"/>
          <w:rtl/>
        </w:rPr>
        <w:t>]</w:t>
      </w:r>
      <w:r w:rsidRPr="00A52585">
        <w:rPr>
          <w:rFonts w:hint="cs"/>
          <w:rtl/>
        </w:rPr>
        <w:t xml:space="preserve"> أهـ</w:t>
      </w:r>
      <w:r w:rsidR="00DB731D" w:rsidRPr="00A52585">
        <w:rPr>
          <w:rFonts w:hint="cs"/>
          <w:rtl/>
        </w:rPr>
        <w:t>،</w:t>
      </w:r>
      <w:r w:rsidR="0002035C"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قال</w:t>
      </w:r>
      <w:r w:rsidRPr="00A52585">
        <w:rPr>
          <w:rFonts w:hint="cs"/>
        </w:rPr>
        <w:t xml:space="preserve"> </w:t>
      </w:r>
      <w:r w:rsidRPr="00A52585">
        <w:rPr>
          <w:rFonts w:hint="cs"/>
          <w:rtl/>
        </w:rPr>
        <w:t>الحافظ السيوطي في كتابه الإتقان من المتشابه</w:t>
      </w:r>
      <w:r w:rsidRPr="00A52585">
        <w:rPr>
          <w:rFonts w:hint="cs"/>
        </w:rPr>
        <w:t xml:space="preserve"> </w:t>
      </w:r>
      <w:r w:rsidRPr="00A52585">
        <w:rPr>
          <w:rFonts w:hint="cs"/>
          <w:rtl/>
        </w:rPr>
        <w:t>آيات الصفات ولابن اللبان فيها تصنيف مفرد نحو</w:t>
      </w:r>
      <w:r w:rsidR="0002035C" w:rsidRPr="00A52585">
        <w:rPr>
          <w:rFonts w:hint="cs"/>
          <w:rtl/>
        </w:rPr>
        <w:t xml:space="preserve"> </w:t>
      </w:r>
      <w:r w:rsidRPr="00A52585">
        <w:rPr>
          <w:rFonts w:hint="cs"/>
          <w:rtl/>
        </w:rPr>
        <w:t>الرحمن</w:t>
      </w:r>
      <w:r w:rsidRPr="00A52585">
        <w:rPr>
          <w:rFonts w:hint="cs"/>
        </w:rPr>
        <w:t xml:space="preserve"> </w:t>
      </w:r>
      <w:r w:rsidRPr="00A52585">
        <w:rPr>
          <w:rFonts w:hint="cs"/>
          <w:rtl/>
        </w:rPr>
        <w:t>على العرش استوى</w:t>
      </w:r>
      <w:r w:rsidR="0002035C" w:rsidRPr="00A52585">
        <w:rPr>
          <w:rFonts w:hint="cs"/>
          <w:rtl/>
        </w:rPr>
        <w:t xml:space="preserve"> </w:t>
      </w:r>
      <w:r w:rsidRPr="00A52585">
        <w:rPr>
          <w:rFonts w:hint="cs"/>
          <w:rtl/>
        </w:rPr>
        <w:t>طه</w:t>
      </w:r>
      <w:r w:rsidRPr="00A52585">
        <w:rPr>
          <w:rFonts w:hint="cs"/>
        </w:rPr>
        <w:t xml:space="preserve"> </w:t>
      </w:r>
      <w:r w:rsidRPr="00A52585">
        <w:rPr>
          <w:rFonts w:hint="cs"/>
          <w:rtl/>
        </w:rPr>
        <w:t>5</w:t>
      </w:r>
      <w:r w:rsidR="0002035C" w:rsidRPr="00A52585">
        <w:rPr>
          <w:rFonts w:hint="cs"/>
          <w:rtl/>
        </w:rPr>
        <w:t xml:space="preserve"> </w:t>
      </w:r>
      <w:r w:rsidRPr="00A52585">
        <w:rPr>
          <w:rFonts w:hint="cs"/>
          <w:rtl/>
        </w:rPr>
        <w:t>كل</w:t>
      </w:r>
      <w:r w:rsidRPr="00A52585">
        <w:rPr>
          <w:rFonts w:hint="cs"/>
        </w:rPr>
        <w:t xml:space="preserve"> </w:t>
      </w:r>
      <w:r w:rsidRPr="00A52585">
        <w:rPr>
          <w:rFonts w:hint="cs"/>
          <w:rtl/>
        </w:rPr>
        <w:t>شيء هالك إلا وجهه</w:t>
      </w:r>
      <w:r w:rsidR="0002035C" w:rsidRPr="00A52585">
        <w:rPr>
          <w:rFonts w:hint="cs"/>
          <w:rtl/>
        </w:rPr>
        <w:t xml:space="preserve"> </w:t>
      </w:r>
      <w:r w:rsidRPr="00A52585">
        <w:rPr>
          <w:rFonts w:hint="cs"/>
          <w:rtl/>
        </w:rPr>
        <w:t>القصص</w:t>
      </w:r>
      <w:r w:rsidRPr="00A52585">
        <w:rPr>
          <w:rFonts w:hint="cs"/>
        </w:rPr>
        <w:t xml:space="preserve"> </w:t>
      </w:r>
      <w:r w:rsidRPr="00A52585">
        <w:rPr>
          <w:rFonts w:hint="cs"/>
          <w:rtl/>
        </w:rPr>
        <w:t>88</w:t>
      </w:r>
      <w:r w:rsidR="0002035C" w:rsidRPr="00A52585">
        <w:rPr>
          <w:rFonts w:hint="cs"/>
          <w:rtl/>
        </w:rPr>
        <w:t xml:space="preserve"> </w:t>
      </w:r>
      <w:r w:rsidRPr="00A52585">
        <w:rPr>
          <w:rFonts w:hint="cs"/>
          <w:rtl/>
        </w:rPr>
        <w:t>ويبقى</w:t>
      </w:r>
      <w:r w:rsidRPr="00A52585">
        <w:rPr>
          <w:rFonts w:hint="cs"/>
        </w:rPr>
        <w:t xml:space="preserve"> </w:t>
      </w:r>
      <w:r w:rsidRPr="00A52585">
        <w:rPr>
          <w:rFonts w:hint="cs"/>
          <w:rtl/>
        </w:rPr>
        <w:t>وجه ربك</w:t>
      </w:r>
      <w:r w:rsidR="0002035C" w:rsidRPr="00A52585">
        <w:rPr>
          <w:rFonts w:hint="cs"/>
          <w:rtl/>
        </w:rPr>
        <w:t xml:space="preserve"> </w:t>
      </w:r>
      <w:r w:rsidRPr="00A52585">
        <w:rPr>
          <w:rFonts w:hint="cs"/>
          <w:rtl/>
        </w:rPr>
        <w:t>الرحمن</w:t>
      </w:r>
      <w:r w:rsidRPr="00A52585">
        <w:rPr>
          <w:rFonts w:hint="cs"/>
        </w:rPr>
        <w:t xml:space="preserve"> </w:t>
      </w:r>
      <w:r w:rsidRPr="00A52585">
        <w:rPr>
          <w:rFonts w:hint="cs"/>
          <w:rtl/>
        </w:rPr>
        <w:t>27</w:t>
      </w:r>
      <w:r w:rsidR="0002035C" w:rsidRPr="00A52585">
        <w:rPr>
          <w:rFonts w:hint="cs"/>
          <w:rtl/>
        </w:rPr>
        <w:t xml:space="preserve"> </w:t>
      </w:r>
      <w:r w:rsidRPr="00A52585">
        <w:rPr>
          <w:rFonts w:hint="cs"/>
          <w:rtl/>
        </w:rPr>
        <w:t>ولتصنع على</w:t>
      </w:r>
      <w:r w:rsidRPr="00A52585">
        <w:rPr>
          <w:rFonts w:hint="cs"/>
        </w:rPr>
        <w:t xml:space="preserve"> </w:t>
      </w:r>
      <w:r w:rsidRPr="00A52585">
        <w:rPr>
          <w:rFonts w:hint="cs"/>
          <w:rtl/>
        </w:rPr>
        <w:t>عيني</w:t>
      </w:r>
      <w:r w:rsidR="0002035C" w:rsidRPr="00A52585">
        <w:rPr>
          <w:rFonts w:hint="cs"/>
          <w:rtl/>
        </w:rPr>
        <w:t xml:space="preserve"> </w:t>
      </w:r>
      <w:r w:rsidRPr="00A52585">
        <w:rPr>
          <w:rFonts w:hint="cs"/>
          <w:rtl/>
        </w:rPr>
        <w:t>طه</w:t>
      </w:r>
      <w:r w:rsidRPr="00A52585">
        <w:rPr>
          <w:rFonts w:hint="cs"/>
        </w:rPr>
        <w:t xml:space="preserve"> </w:t>
      </w:r>
      <w:r w:rsidRPr="00A52585">
        <w:rPr>
          <w:rFonts w:hint="cs"/>
          <w:rtl/>
        </w:rPr>
        <w:t>39</w:t>
      </w:r>
      <w:r w:rsidR="0002035C" w:rsidRPr="00A52585">
        <w:rPr>
          <w:rFonts w:hint="cs"/>
          <w:rtl/>
        </w:rPr>
        <w:t xml:space="preserve"> </w:t>
      </w:r>
      <w:r w:rsidRPr="00A52585">
        <w:rPr>
          <w:rFonts w:hint="cs"/>
          <w:rtl/>
        </w:rPr>
        <w:t>يد</w:t>
      </w:r>
      <w:r w:rsidRPr="00A52585">
        <w:rPr>
          <w:rFonts w:hint="cs"/>
        </w:rPr>
        <w:t xml:space="preserve"> </w:t>
      </w:r>
      <w:r w:rsidRPr="00A52585">
        <w:rPr>
          <w:rFonts w:hint="cs"/>
          <w:rtl/>
        </w:rPr>
        <w:t>الله فوق أيديهم</w:t>
      </w:r>
      <w:r w:rsidR="0002035C" w:rsidRPr="00A52585">
        <w:rPr>
          <w:rFonts w:hint="cs"/>
          <w:rtl/>
        </w:rPr>
        <w:t xml:space="preserve"> </w:t>
      </w:r>
      <w:r w:rsidRPr="00A52585">
        <w:rPr>
          <w:rFonts w:hint="cs"/>
          <w:rtl/>
        </w:rPr>
        <w:t>الفتح</w:t>
      </w:r>
      <w:r w:rsidRPr="00A52585">
        <w:rPr>
          <w:rFonts w:hint="cs"/>
        </w:rPr>
        <w:t xml:space="preserve"> </w:t>
      </w:r>
      <w:r w:rsidRPr="00A52585">
        <w:rPr>
          <w:rFonts w:hint="cs"/>
          <w:rtl/>
        </w:rPr>
        <w:t>10</w:t>
      </w:r>
      <w:r w:rsidR="0002035C" w:rsidRPr="00A52585">
        <w:rPr>
          <w:rFonts w:hint="cs"/>
          <w:rtl/>
        </w:rPr>
        <w:t xml:space="preserve"> </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 xml:space="preserve"> </w:t>
      </w:r>
      <w:r w:rsidRPr="00A52585">
        <w:rPr>
          <w:rFonts w:hint="cs"/>
          <w:rtl/>
        </w:rPr>
        <w:t>ص 75</w:t>
      </w:r>
      <w:r w:rsidR="0002035C" w:rsidRPr="00A52585">
        <w:rPr>
          <w:rFonts w:hint="cs"/>
          <w:rtl/>
        </w:rPr>
        <w:t xml:space="preserve"> </w:t>
      </w:r>
      <w:r w:rsidRPr="00A52585">
        <w:rPr>
          <w:rFonts w:hint="cs"/>
          <w:rtl/>
        </w:rPr>
        <w:t>والسموات</w:t>
      </w:r>
      <w:r w:rsidRPr="00A52585">
        <w:rPr>
          <w:rFonts w:hint="cs"/>
        </w:rPr>
        <w:t xml:space="preserve"> </w:t>
      </w:r>
      <w:r w:rsidRPr="00A52585">
        <w:rPr>
          <w:rFonts w:hint="cs"/>
          <w:rtl/>
        </w:rPr>
        <w:t>مطويات بيمينه</w:t>
      </w:r>
      <w:r w:rsidR="0002035C" w:rsidRPr="00A52585">
        <w:rPr>
          <w:rFonts w:hint="cs"/>
          <w:rtl/>
        </w:rPr>
        <w:t xml:space="preserve"> </w:t>
      </w:r>
      <w:r w:rsidRPr="00A52585">
        <w:rPr>
          <w:rFonts w:hint="cs"/>
          <w:rtl/>
        </w:rPr>
        <w:t>الزمر</w:t>
      </w:r>
      <w:r w:rsidRPr="00A52585">
        <w:rPr>
          <w:rFonts w:hint="cs"/>
        </w:rPr>
        <w:t xml:space="preserve"> </w:t>
      </w:r>
      <w:r w:rsidRPr="00A52585">
        <w:rPr>
          <w:rFonts w:hint="cs"/>
          <w:rtl/>
        </w:rPr>
        <w:t>67</w:t>
      </w:r>
      <w:r w:rsidR="0002035C" w:rsidRPr="00A52585">
        <w:rPr>
          <w:rFonts w:hint="cs"/>
          <w:rtl/>
        </w:rPr>
        <w:t xml:space="preserve"> </w:t>
      </w:r>
      <w:r w:rsidRPr="00A52585">
        <w:rPr>
          <w:rFonts w:hint="cs"/>
          <w:bCs/>
          <w:rtl/>
        </w:rPr>
        <w:t>وجمهور</w:t>
      </w:r>
      <w:r w:rsidRPr="00A52585">
        <w:rPr>
          <w:rFonts w:hint="cs"/>
          <w:bCs/>
        </w:rPr>
        <w:t xml:space="preserve"> </w:t>
      </w:r>
      <w:r w:rsidRPr="00A52585">
        <w:rPr>
          <w:rFonts w:hint="cs"/>
          <w:bCs/>
          <w:rtl/>
        </w:rPr>
        <w:t>أهل السنة منهم السلف وأهل الحديث على الإيمان بها وتفويض</w:t>
      </w:r>
      <w:r w:rsidRPr="00A52585">
        <w:rPr>
          <w:rFonts w:hint="cs"/>
          <w:bCs/>
        </w:rPr>
        <w:t xml:space="preserve"> </w:t>
      </w:r>
      <w:r w:rsidRPr="00A52585">
        <w:rPr>
          <w:rFonts w:hint="cs"/>
          <w:bCs/>
          <w:rtl/>
        </w:rPr>
        <w:t xml:space="preserve">معناها المراد منها إلى الله تعالى ولا نفسرها مع تنزيهنا له عن حقيقتها " </w:t>
      </w:r>
      <w:r w:rsidRPr="00A52585">
        <w:rPr>
          <w:rFonts w:hint="cs"/>
          <w:rtl/>
        </w:rPr>
        <w:t>[أقاويل الثقات ج 1 ص 62]</w:t>
      </w:r>
      <w:r w:rsidRPr="00A52585">
        <w:rPr>
          <w:rFonts w:hint="cs"/>
          <w:bCs/>
          <w:rtl/>
        </w:rPr>
        <w:t xml:space="preserve"> أهـ</w:t>
      </w:r>
      <w:r w:rsidR="00DB731D" w:rsidRPr="00A52585">
        <w:rPr>
          <w:rFonts w:hint="cs"/>
          <w:bCs/>
          <w:rtl/>
          <w:lang w:bidi="ar-KW"/>
        </w:rPr>
        <w:t>،</w:t>
      </w:r>
      <w:r w:rsidR="0002035C" w:rsidRPr="00A52585">
        <w:rPr>
          <w:rFonts w:hint="cs"/>
          <w:bCs/>
          <w:rtl/>
          <w:lang w:bidi="ar-KW"/>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والمناقشة في</w:t>
      </w:r>
      <w:r w:rsidRPr="00A52585">
        <w:rPr>
          <w:rFonts w:hint="cs"/>
        </w:rPr>
        <w:t xml:space="preserve"> </w:t>
      </w:r>
      <w:r w:rsidRPr="00A52585">
        <w:rPr>
          <w:rFonts w:hint="cs"/>
          <w:rtl/>
        </w:rPr>
        <w:t>مثل هذا تطول وتخرج عن المقصود والمقصود إنما هو الإشارة إلى أن كل واحد يدعي أن</w:t>
      </w:r>
      <w:r w:rsidRPr="00A52585">
        <w:rPr>
          <w:rFonts w:hint="cs"/>
        </w:rPr>
        <w:t xml:space="preserve"> </w:t>
      </w:r>
      <w:r w:rsidRPr="00A52585">
        <w:rPr>
          <w:rFonts w:hint="cs"/>
          <w:rtl/>
        </w:rPr>
        <w:t xml:space="preserve">الحق بيده ويقيم الدليل عليه كما تقدم </w:t>
      </w:r>
      <w:r w:rsidRPr="00A52585">
        <w:rPr>
          <w:rFonts w:hint="cs"/>
          <w:bCs/>
          <w:rtl/>
        </w:rPr>
        <w:t>فنسكت نحن عن الخوض في ذلك ولا نبحث في تحقيقه</w:t>
      </w:r>
      <w:r w:rsidRPr="00A52585">
        <w:rPr>
          <w:rFonts w:hint="cs"/>
          <w:bCs/>
        </w:rPr>
        <w:t xml:space="preserve"> </w:t>
      </w:r>
      <w:r w:rsidRPr="00A52585">
        <w:rPr>
          <w:rFonts w:hint="cs"/>
          <w:bCs/>
          <w:rtl/>
        </w:rPr>
        <w:t>فإنه بدعة ونفوض علمه إلى الله تعالى</w:t>
      </w:r>
      <w:r w:rsidRPr="00A52585">
        <w:rPr>
          <w:rFonts w:hint="cs"/>
          <w:rtl/>
        </w:rPr>
        <w:t xml:space="preserve"> ولا نكفر أحدا من أهل الفرق بما ذهب إليه</w:t>
      </w:r>
      <w:r w:rsidRPr="00A52585">
        <w:rPr>
          <w:rFonts w:hint="cs"/>
        </w:rPr>
        <w:t xml:space="preserve"> </w:t>
      </w:r>
      <w:r w:rsidRPr="00A52585">
        <w:rPr>
          <w:rFonts w:hint="cs"/>
          <w:rtl/>
        </w:rPr>
        <w:t>واعتقده خصوصا مع قيام الشبهة " [أقاويل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69] أهـ</w:t>
      </w:r>
      <w:r w:rsidR="00DB731D" w:rsidRPr="00A52585">
        <w:rPr>
          <w:rFonts w:hint="cs"/>
          <w:rtl/>
        </w:rPr>
        <w:t>،</w:t>
      </w:r>
      <w:r w:rsidR="0002035C"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w:t>
      </w:r>
      <w:r w:rsidR="0002035C" w:rsidRPr="00A52585">
        <w:rPr>
          <w:rFonts w:hint="cs"/>
          <w:rtl/>
        </w:rPr>
        <w:t xml:space="preserve"> </w:t>
      </w:r>
      <w:r w:rsidRPr="00A52585">
        <w:rPr>
          <w:rFonts w:hint="cs"/>
          <w:rtl/>
        </w:rPr>
        <w:t>قال</w:t>
      </w:r>
      <w:r w:rsidRPr="00A52585">
        <w:rPr>
          <w:rFonts w:hint="cs"/>
        </w:rPr>
        <w:t xml:space="preserve"> </w:t>
      </w:r>
      <w:proofErr w:type="spellStart"/>
      <w:r w:rsidRPr="00A52585">
        <w:rPr>
          <w:rFonts w:hint="cs"/>
          <w:rtl/>
        </w:rPr>
        <w:t>القرطبي</w:t>
      </w:r>
      <w:r w:rsidR="00897A24" w:rsidRPr="00A52585">
        <w:rPr>
          <w:rFonts w:hint="cs"/>
          <w:rtl/>
        </w:rPr>
        <w:t>.</w:t>
      </w:r>
      <w:r w:rsidRPr="00A52585">
        <w:rPr>
          <w:rFonts w:hint="cs"/>
          <w:rtl/>
        </w:rPr>
        <w:t>.</w:t>
      </w:r>
      <w:r w:rsidRPr="00A52585">
        <w:rPr>
          <w:rFonts w:hint="cs"/>
          <w:bCs/>
          <w:rtl/>
        </w:rPr>
        <w:t>فالسلف</w:t>
      </w:r>
      <w:proofErr w:type="spellEnd"/>
      <w:r w:rsidRPr="00A52585">
        <w:rPr>
          <w:rFonts w:hint="cs"/>
          <w:bCs/>
          <w:rtl/>
        </w:rPr>
        <w:t xml:space="preserve"> لم يفسروا مثال</w:t>
      </w:r>
      <w:r w:rsidRPr="00A52585">
        <w:rPr>
          <w:rFonts w:hint="cs"/>
          <w:bCs/>
        </w:rPr>
        <w:t xml:space="preserve"> </w:t>
      </w:r>
      <w:r w:rsidRPr="00A52585">
        <w:rPr>
          <w:rFonts w:hint="cs"/>
          <w:bCs/>
          <w:rtl/>
        </w:rPr>
        <w:t xml:space="preserve">هذا ولم </w:t>
      </w:r>
      <w:proofErr w:type="spellStart"/>
      <w:r w:rsidRPr="00A52585">
        <w:rPr>
          <w:rFonts w:hint="cs"/>
          <w:bCs/>
          <w:rtl/>
        </w:rPr>
        <w:t>يشتغلوا</w:t>
      </w:r>
      <w:proofErr w:type="spellEnd"/>
      <w:r w:rsidRPr="00A52585">
        <w:rPr>
          <w:rFonts w:hint="cs"/>
          <w:bCs/>
          <w:rtl/>
        </w:rPr>
        <w:t xml:space="preserve"> </w:t>
      </w:r>
      <w:r w:rsidRPr="00A52585">
        <w:rPr>
          <w:rFonts w:hint="cs"/>
          <w:bCs/>
          <w:rtl/>
        </w:rPr>
        <w:lastRenderedPageBreak/>
        <w:t>بتأويله مع اعتقادهم أن الله تعالى غير متبعض ولا ذي حاجة.</w:t>
      </w:r>
      <w:r w:rsidRPr="00A52585">
        <w:rPr>
          <w:rFonts w:hint="cs"/>
          <w:rtl/>
        </w:rPr>
        <w:t xml:space="preserve">... </w:t>
      </w:r>
      <w:r w:rsidRPr="00A52585">
        <w:rPr>
          <w:rFonts w:hint="cs"/>
          <w:bCs/>
          <w:rtl/>
        </w:rPr>
        <w:t>واعلم أن هذه الأحاديث ونحوها تروى كما جاءت ويفوض معناها إلى</w:t>
      </w:r>
      <w:r w:rsidRPr="00A52585">
        <w:rPr>
          <w:rFonts w:hint="cs"/>
          <w:bCs/>
        </w:rPr>
        <w:t xml:space="preserve"> </w:t>
      </w:r>
      <w:r w:rsidRPr="00A52585">
        <w:rPr>
          <w:rFonts w:hint="cs"/>
          <w:bCs/>
          <w:rtl/>
        </w:rPr>
        <w:t xml:space="preserve">الله أو تؤول بما يليق بجلاله سبحانه ولا ترد بمجرد العناد والمكابرة </w:t>
      </w:r>
      <w:r w:rsidRPr="00A52585">
        <w:rPr>
          <w:rFonts w:hint="cs"/>
          <w:rtl/>
        </w:rPr>
        <w:t xml:space="preserve">" </w:t>
      </w:r>
      <w:r w:rsidR="0002035C" w:rsidRPr="00A52585">
        <w:rPr>
          <w:rFonts w:hint="cs"/>
          <w:rtl/>
        </w:rPr>
        <w:t>[</w:t>
      </w:r>
      <w:r w:rsidRPr="00A52585">
        <w:rPr>
          <w:rFonts w:hint="cs"/>
          <w:rtl/>
        </w:rPr>
        <w:t>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118] أهـ</w:t>
      </w:r>
      <w:r w:rsidR="00DB731D" w:rsidRPr="00A52585">
        <w:rPr>
          <w:rFonts w:hint="cs"/>
          <w:rtl/>
        </w:rPr>
        <w:t>،</w:t>
      </w:r>
      <w:r w:rsidR="0002035C"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t>"</w:t>
      </w:r>
      <w:r w:rsidRPr="00A52585">
        <w:rPr>
          <w:rFonts w:hint="cs"/>
          <w:rtl/>
        </w:rPr>
        <w:t xml:space="preserve"> ومن</w:t>
      </w:r>
      <w:r w:rsidRPr="00A52585">
        <w:rPr>
          <w:rFonts w:hint="cs"/>
        </w:rPr>
        <w:t xml:space="preserve"> </w:t>
      </w:r>
      <w:r w:rsidRPr="00A52585">
        <w:rPr>
          <w:rFonts w:hint="cs"/>
          <w:rtl/>
        </w:rPr>
        <w:t>المتشابه</w:t>
      </w:r>
      <w:r w:rsidRPr="00A52585">
        <w:rPr>
          <w:rFonts w:hint="cs"/>
        </w:rPr>
        <w:t xml:space="preserve"> </w:t>
      </w:r>
      <w:r w:rsidRPr="00A52585">
        <w:rPr>
          <w:rFonts w:hint="cs"/>
          <w:rtl/>
        </w:rPr>
        <w:t>الاستواء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w:t>
      </w:r>
      <w:r w:rsidRPr="00A52585">
        <w:rPr>
          <w:rFonts w:hint="cs"/>
        </w:rPr>
        <w:t xml:space="preserve"> </w:t>
      </w:r>
      <w:r w:rsidRPr="00A52585">
        <w:rPr>
          <w:rFonts w:hint="cs"/>
          <w:rtl/>
        </w:rPr>
        <w:t>على</w:t>
      </w:r>
      <w:r w:rsidRPr="00A52585">
        <w:rPr>
          <w:rFonts w:hint="cs"/>
        </w:rPr>
        <w:t xml:space="preserve"> </w:t>
      </w:r>
      <w:r w:rsidRPr="00A52585">
        <w:rPr>
          <w:rFonts w:hint="cs"/>
          <w:rtl/>
        </w:rPr>
        <w:t>العرش</w:t>
      </w:r>
      <w:r w:rsidRPr="00A52585">
        <w:rPr>
          <w:rFonts w:hint="cs"/>
        </w:rPr>
        <w:t xml:space="preserve"> </w:t>
      </w:r>
      <w:r w:rsidRPr="00A52585">
        <w:rPr>
          <w:rFonts w:hint="cs"/>
          <w:rtl/>
        </w:rPr>
        <w:t>استوى</w:t>
      </w:r>
      <w:r w:rsidR="0002035C" w:rsidRPr="00A52585">
        <w:rPr>
          <w:rFonts w:hint="cs"/>
          <w:rtl/>
        </w:rPr>
        <w:t xml:space="preserve">} </w:t>
      </w:r>
      <w:r w:rsidRPr="00A52585">
        <w:rPr>
          <w:rFonts w:hint="cs"/>
          <w:rtl/>
        </w:rPr>
        <w:t>وقوله</w:t>
      </w:r>
      <w:r w:rsidR="0002035C" w:rsidRPr="00A52585">
        <w:rPr>
          <w:rFonts w:hint="cs"/>
          <w:rtl/>
        </w:rPr>
        <w:t>:</w:t>
      </w:r>
      <w:r w:rsidRPr="00A52585">
        <w:rPr>
          <w:rFonts w:hint="cs"/>
          <w:rtl/>
          <w:lang w:bidi="ar-KW"/>
        </w:rPr>
        <w:t xml:space="preserve"> </w:t>
      </w:r>
      <w:r w:rsidR="0002035C" w:rsidRPr="00A52585">
        <w:rPr>
          <w:rFonts w:hint="cs"/>
          <w:rtl/>
          <w:lang w:bidi="ar-KW"/>
        </w:rPr>
        <w:t>{</w:t>
      </w:r>
      <w:r w:rsidRPr="00A52585">
        <w:rPr>
          <w:rFonts w:hint="cs"/>
          <w:rtl/>
        </w:rPr>
        <w:t>ثم</w:t>
      </w:r>
      <w:r w:rsidRPr="00A52585">
        <w:rPr>
          <w:rFonts w:hint="cs"/>
        </w:rPr>
        <w:t xml:space="preserve"> </w:t>
      </w:r>
      <w:r w:rsidRPr="00A52585">
        <w:rPr>
          <w:rFonts w:hint="cs"/>
          <w:rtl/>
        </w:rPr>
        <w:t>استوى</w:t>
      </w:r>
      <w:r w:rsidRPr="00A52585">
        <w:rPr>
          <w:rFonts w:hint="cs"/>
        </w:rPr>
        <w:t xml:space="preserve"> </w:t>
      </w:r>
      <w:r w:rsidRPr="00A52585">
        <w:rPr>
          <w:rFonts w:hint="cs"/>
          <w:rtl/>
        </w:rPr>
        <w:t>على العرش</w:t>
      </w:r>
      <w:r w:rsidR="0002035C" w:rsidRPr="00A52585">
        <w:rPr>
          <w:rFonts w:hint="cs"/>
          <w:rtl/>
          <w:lang w:bidi="ar-KW"/>
        </w:rPr>
        <w:t xml:space="preserve">} </w:t>
      </w:r>
      <w:r w:rsidRPr="00A52585">
        <w:rPr>
          <w:rFonts w:hint="cs"/>
          <w:rtl/>
        </w:rPr>
        <w:t>الأعراف</w:t>
      </w:r>
      <w:r w:rsidRPr="00A52585">
        <w:t xml:space="preserve"> 54 </w:t>
      </w:r>
      <w:r w:rsidRPr="00A52585">
        <w:rPr>
          <w:rFonts w:hint="cs"/>
          <w:rtl/>
        </w:rPr>
        <w:t>وهو</w:t>
      </w:r>
      <w:r w:rsidRPr="00A52585">
        <w:rPr>
          <w:rFonts w:hint="cs"/>
        </w:rPr>
        <w:t xml:space="preserve"> </w:t>
      </w:r>
      <w:r w:rsidRPr="00A52585">
        <w:rPr>
          <w:rFonts w:hint="cs"/>
          <w:rtl/>
        </w:rPr>
        <w:t>مذكور</w:t>
      </w:r>
      <w:r w:rsidRPr="00A52585">
        <w:rPr>
          <w:rFonts w:hint="cs"/>
        </w:rPr>
        <w:t xml:space="preserve"> </w:t>
      </w:r>
      <w:r w:rsidRPr="00A52585">
        <w:rPr>
          <w:rFonts w:hint="cs"/>
          <w:rtl/>
        </w:rPr>
        <w:t>في سبع آيات من القرآن</w:t>
      </w:r>
      <w:r w:rsidR="0002035C" w:rsidRPr="00A52585">
        <w:rPr>
          <w:rtl/>
        </w:rPr>
        <w:t xml:space="preserve"> </w:t>
      </w:r>
      <w:r w:rsidRPr="00A52585">
        <w:rPr>
          <w:rFonts w:hint="cs"/>
          <w:bCs/>
          <w:rtl/>
        </w:rPr>
        <w:t>فأما السلف</w:t>
      </w:r>
      <w:r w:rsidRPr="00A52585">
        <w:rPr>
          <w:rFonts w:hint="cs"/>
          <w:bCs/>
        </w:rPr>
        <w:t xml:space="preserve"> </w:t>
      </w:r>
      <w:r w:rsidRPr="00A52585">
        <w:rPr>
          <w:rFonts w:hint="cs"/>
          <w:bCs/>
          <w:rtl/>
        </w:rPr>
        <w:t>فإنهم</w:t>
      </w:r>
      <w:r w:rsidRPr="00A52585">
        <w:rPr>
          <w:rFonts w:hint="cs"/>
          <w:bCs/>
        </w:rPr>
        <w:t xml:space="preserve"> </w:t>
      </w:r>
      <w:r w:rsidRPr="00A52585">
        <w:rPr>
          <w:rFonts w:hint="cs"/>
          <w:bCs/>
          <w:rtl/>
        </w:rPr>
        <w:t>لم يتكلموا في ذلك بشيء جريا على عادتهم في المتشابه</w:t>
      </w:r>
      <w:r w:rsidRPr="00A52585">
        <w:rPr>
          <w:rFonts w:hint="cs"/>
          <w:bCs/>
        </w:rPr>
        <w:t xml:space="preserve"> </w:t>
      </w:r>
      <w:r w:rsidRPr="00A52585">
        <w:rPr>
          <w:rFonts w:hint="cs"/>
          <w:bCs/>
          <w:rtl/>
        </w:rPr>
        <w:t>من عدم الخوض فيه مع</w:t>
      </w:r>
      <w:r w:rsidRPr="00A52585">
        <w:rPr>
          <w:rFonts w:hint="cs"/>
          <w:bCs/>
        </w:rPr>
        <w:t xml:space="preserve"> </w:t>
      </w:r>
      <w:r w:rsidRPr="00A52585">
        <w:rPr>
          <w:rFonts w:hint="cs"/>
          <w:bCs/>
          <w:rtl/>
        </w:rPr>
        <w:t>تفويض</w:t>
      </w:r>
      <w:r w:rsidRPr="00A52585">
        <w:rPr>
          <w:rFonts w:hint="cs"/>
          <w:bCs/>
        </w:rPr>
        <w:t xml:space="preserve"> </w:t>
      </w:r>
      <w:r w:rsidRPr="00A52585">
        <w:rPr>
          <w:rFonts w:hint="cs"/>
          <w:bCs/>
          <w:rtl/>
        </w:rPr>
        <w:t>علمه إلى الله تعالى والإيمان به</w:t>
      </w:r>
      <w:r w:rsidR="00897A24" w:rsidRPr="00A52585">
        <w:rPr>
          <w:rtl/>
        </w:rPr>
        <w:t>.</w:t>
      </w:r>
      <w:r w:rsidRPr="00A52585">
        <w:t>.</w:t>
      </w:r>
      <w:r w:rsidRPr="00A52585">
        <w:rPr>
          <w:rFonts w:hint="cs"/>
          <w:rtl/>
        </w:rPr>
        <w:t>ويروى</w:t>
      </w:r>
      <w:r w:rsidRPr="00A52585">
        <w:rPr>
          <w:rFonts w:hint="cs"/>
        </w:rPr>
        <w:t xml:space="preserve"> </w:t>
      </w:r>
      <w:r w:rsidRPr="00A52585">
        <w:rPr>
          <w:rFonts w:hint="cs"/>
          <w:rtl/>
        </w:rPr>
        <w:t>عن</w:t>
      </w:r>
      <w:r w:rsidRPr="00A52585">
        <w:rPr>
          <w:rFonts w:hint="cs"/>
        </w:rPr>
        <w:t xml:space="preserve"> </w:t>
      </w:r>
      <w:r w:rsidRPr="00A52585">
        <w:rPr>
          <w:rFonts w:hint="cs"/>
          <w:rtl/>
        </w:rPr>
        <w:t>الشعبي</w:t>
      </w:r>
      <w:r w:rsidRPr="00A52585">
        <w:rPr>
          <w:rFonts w:hint="cs"/>
        </w:rPr>
        <w:t xml:space="preserve"> </w:t>
      </w:r>
      <w:r w:rsidRPr="00A52585">
        <w:rPr>
          <w:rFonts w:hint="cs"/>
          <w:rtl/>
        </w:rPr>
        <w:t>أنه</w:t>
      </w:r>
      <w:r w:rsidRPr="00A52585">
        <w:rPr>
          <w:rFonts w:hint="cs"/>
        </w:rPr>
        <w:t xml:space="preserve"> </w:t>
      </w:r>
      <w:r w:rsidRPr="00A52585">
        <w:rPr>
          <w:rFonts w:hint="cs"/>
          <w:rtl/>
        </w:rPr>
        <w:t>سئل</w:t>
      </w:r>
      <w:r w:rsidRPr="00A52585">
        <w:rPr>
          <w:rFonts w:hint="cs"/>
        </w:rPr>
        <w:t xml:space="preserve"> </w:t>
      </w:r>
      <w:r w:rsidRPr="00A52585">
        <w:rPr>
          <w:rFonts w:hint="cs"/>
          <w:rtl/>
        </w:rPr>
        <w:t>عن</w:t>
      </w:r>
      <w:r w:rsidRPr="00A52585">
        <w:rPr>
          <w:rFonts w:hint="cs"/>
        </w:rPr>
        <w:t xml:space="preserve"> </w:t>
      </w:r>
      <w:proofErr w:type="spellStart"/>
      <w:r w:rsidRPr="00A52585">
        <w:rPr>
          <w:rFonts w:hint="cs"/>
          <w:rtl/>
        </w:rPr>
        <w:t>الإستواء</w:t>
      </w:r>
      <w:proofErr w:type="spellEnd"/>
      <w:r w:rsidRPr="00A52585">
        <w:rPr>
          <w:rFonts w:hint="cs"/>
          <w:rtl/>
        </w:rPr>
        <w:t xml:space="preserve"> فقال</w:t>
      </w:r>
      <w:r w:rsidR="0002035C" w:rsidRPr="00A52585">
        <w:rPr>
          <w:rFonts w:hint="cs"/>
          <w:rtl/>
        </w:rPr>
        <w:t>:</w:t>
      </w:r>
      <w:r w:rsidRPr="00A52585">
        <w:rPr>
          <w:rFonts w:hint="cs"/>
          <w:rtl/>
        </w:rPr>
        <w:t xml:space="preserve"> هذا من </w:t>
      </w:r>
      <w:r w:rsidRPr="00A52585">
        <w:rPr>
          <w:rFonts w:hint="cs"/>
          <w:bCs/>
          <w:rtl/>
        </w:rPr>
        <w:t>متشابه</w:t>
      </w:r>
      <w:r w:rsidRPr="00A52585">
        <w:rPr>
          <w:rFonts w:hint="cs"/>
          <w:bCs/>
        </w:rPr>
        <w:t xml:space="preserve"> </w:t>
      </w:r>
      <w:r w:rsidRPr="00A52585">
        <w:rPr>
          <w:rFonts w:hint="cs"/>
          <w:bCs/>
          <w:rtl/>
        </w:rPr>
        <w:t>القرآن</w:t>
      </w:r>
      <w:r w:rsidRPr="00A52585">
        <w:rPr>
          <w:rFonts w:hint="cs"/>
          <w:bCs/>
        </w:rPr>
        <w:t xml:space="preserve"> </w:t>
      </w:r>
      <w:r w:rsidRPr="00A52585">
        <w:rPr>
          <w:rFonts w:hint="cs"/>
          <w:bCs/>
          <w:rtl/>
        </w:rPr>
        <w:t>نؤمن به</w:t>
      </w:r>
      <w:r w:rsidRPr="00A52585">
        <w:rPr>
          <w:rFonts w:hint="cs"/>
          <w:bCs/>
        </w:rPr>
        <w:t xml:space="preserve"> </w:t>
      </w:r>
      <w:r w:rsidRPr="00A52585">
        <w:rPr>
          <w:rFonts w:hint="cs"/>
          <w:bCs/>
          <w:rtl/>
        </w:rPr>
        <w:t>ولا</w:t>
      </w:r>
      <w:r w:rsidRPr="00A52585">
        <w:rPr>
          <w:rFonts w:hint="cs"/>
          <w:bCs/>
        </w:rPr>
        <w:t xml:space="preserve"> </w:t>
      </w:r>
      <w:r w:rsidRPr="00A52585">
        <w:rPr>
          <w:rFonts w:hint="cs"/>
          <w:bCs/>
          <w:rtl/>
        </w:rPr>
        <w:t>نتعرض لمعناه</w:t>
      </w:r>
      <w:r w:rsidRPr="00A52585">
        <w:rPr>
          <w:rFonts w:hint="cs"/>
          <w:rtl/>
        </w:rPr>
        <w:t xml:space="preserve"> وعن</w:t>
      </w:r>
      <w:r w:rsidRPr="00A52585">
        <w:rPr>
          <w:rFonts w:hint="cs"/>
        </w:rPr>
        <w:t xml:space="preserve"> </w:t>
      </w:r>
      <w:r w:rsidRPr="00A52585">
        <w:rPr>
          <w:rFonts w:hint="cs"/>
          <w:rtl/>
        </w:rPr>
        <w:t>الشافعي</w:t>
      </w:r>
      <w:r w:rsidRPr="00A52585">
        <w:rPr>
          <w:rFonts w:hint="cs"/>
        </w:rPr>
        <w:t xml:space="preserve"> </w:t>
      </w:r>
      <w:r w:rsidRPr="00A52585">
        <w:rPr>
          <w:rFonts w:hint="cs"/>
          <w:rtl/>
        </w:rPr>
        <w:t>أنه</w:t>
      </w:r>
      <w:r w:rsidRPr="00A52585">
        <w:rPr>
          <w:rFonts w:hint="cs"/>
        </w:rPr>
        <w:t xml:space="preserve"> </w:t>
      </w:r>
      <w:r w:rsidRPr="00A52585">
        <w:rPr>
          <w:rFonts w:hint="cs"/>
          <w:rtl/>
        </w:rPr>
        <w:t xml:space="preserve">قال لما سئل عن </w:t>
      </w:r>
      <w:proofErr w:type="spellStart"/>
      <w:r w:rsidRPr="00A52585">
        <w:rPr>
          <w:rFonts w:hint="cs"/>
          <w:rtl/>
        </w:rPr>
        <w:t>الإستواء</w:t>
      </w:r>
      <w:proofErr w:type="spellEnd"/>
      <w:r w:rsidRPr="00A52585">
        <w:rPr>
          <w:rFonts w:hint="cs"/>
          <w:rtl/>
        </w:rPr>
        <w:t xml:space="preserve"> آمنت</w:t>
      </w:r>
      <w:r w:rsidRPr="00A52585">
        <w:rPr>
          <w:rFonts w:hint="cs"/>
        </w:rPr>
        <w:t xml:space="preserve"> </w:t>
      </w:r>
      <w:r w:rsidRPr="00A52585">
        <w:rPr>
          <w:rFonts w:hint="cs"/>
          <w:rtl/>
        </w:rPr>
        <w:t>بلا</w:t>
      </w:r>
      <w:r w:rsidRPr="00A52585">
        <w:rPr>
          <w:rFonts w:hint="cs"/>
        </w:rPr>
        <w:t xml:space="preserve"> </w:t>
      </w:r>
      <w:r w:rsidRPr="00A52585">
        <w:rPr>
          <w:rFonts w:hint="cs"/>
          <w:rtl/>
        </w:rPr>
        <w:t>تشبيه</w:t>
      </w:r>
      <w:r w:rsidRPr="00A52585">
        <w:rPr>
          <w:rFonts w:hint="cs"/>
        </w:rPr>
        <w:t xml:space="preserve"> </w:t>
      </w:r>
      <w:r w:rsidRPr="00A52585">
        <w:rPr>
          <w:rFonts w:hint="cs"/>
          <w:rtl/>
        </w:rPr>
        <w:t>وصدقت بلا تمثيل واتهمت نفسي في الإدراك وأمسكت</w:t>
      </w:r>
      <w:r w:rsidRPr="00A52585">
        <w:rPr>
          <w:rFonts w:hint="cs"/>
        </w:rPr>
        <w:t xml:space="preserve"> </w:t>
      </w:r>
      <w:r w:rsidRPr="00A52585">
        <w:rPr>
          <w:rFonts w:hint="cs"/>
          <w:rtl/>
        </w:rPr>
        <w:t>عن</w:t>
      </w:r>
      <w:r w:rsidRPr="00A52585">
        <w:rPr>
          <w:rFonts w:hint="cs"/>
        </w:rPr>
        <w:t xml:space="preserve"> </w:t>
      </w:r>
      <w:r w:rsidRPr="00A52585">
        <w:rPr>
          <w:rFonts w:hint="cs"/>
          <w:rtl/>
        </w:rPr>
        <w:t>الخوض غاية الإمساك</w:t>
      </w:r>
      <w:r w:rsidR="0002035C" w:rsidRPr="00A52585">
        <w:rPr>
          <w:rtl/>
        </w:rPr>
        <w:t xml:space="preserve"> </w:t>
      </w:r>
      <w:r w:rsidRPr="00A52585">
        <w:rPr>
          <w:rFonts w:hint="cs"/>
          <w:rtl/>
        </w:rPr>
        <w:t>وعن</w:t>
      </w:r>
      <w:r w:rsidRPr="00A52585">
        <w:rPr>
          <w:rFonts w:hint="cs"/>
        </w:rPr>
        <w:t xml:space="preserve"> </w:t>
      </w:r>
      <w:r w:rsidRPr="00A52585">
        <w:rPr>
          <w:rFonts w:hint="cs"/>
          <w:rtl/>
        </w:rPr>
        <w:t>أحمد</w:t>
      </w:r>
      <w:r w:rsidRPr="00A52585">
        <w:rPr>
          <w:rFonts w:hint="cs"/>
        </w:rPr>
        <w:t xml:space="preserve"> </w:t>
      </w:r>
      <w:r w:rsidRPr="00A52585">
        <w:rPr>
          <w:rFonts w:hint="cs"/>
          <w:rtl/>
        </w:rPr>
        <w:t>بن</w:t>
      </w:r>
      <w:r w:rsidRPr="00A52585">
        <w:rPr>
          <w:rFonts w:hint="cs"/>
        </w:rPr>
        <w:t xml:space="preserve"> </w:t>
      </w:r>
      <w:r w:rsidRPr="00A52585">
        <w:rPr>
          <w:rFonts w:hint="cs"/>
          <w:rtl/>
        </w:rPr>
        <w:t>حنبل أنه قال استوى</w:t>
      </w:r>
      <w:r w:rsidRPr="00A52585">
        <w:rPr>
          <w:rFonts w:hint="cs"/>
        </w:rPr>
        <w:t xml:space="preserve"> </w:t>
      </w:r>
      <w:r w:rsidRPr="00A52585">
        <w:rPr>
          <w:rFonts w:hint="cs"/>
          <w:rtl/>
        </w:rPr>
        <w:t>كما</w:t>
      </w:r>
      <w:r w:rsidRPr="00A52585">
        <w:rPr>
          <w:rFonts w:hint="cs"/>
        </w:rPr>
        <w:t xml:space="preserve"> </w:t>
      </w:r>
      <w:r w:rsidRPr="00A52585">
        <w:rPr>
          <w:rFonts w:hint="cs"/>
          <w:rtl/>
        </w:rPr>
        <w:t>ذكر</w:t>
      </w:r>
      <w:r w:rsidRPr="00A52585">
        <w:rPr>
          <w:rFonts w:hint="cs"/>
        </w:rPr>
        <w:t xml:space="preserve"> </w:t>
      </w:r>
      <w:r w:rsidRPr="00A52585">
        <w:rPr>
          <w:rFonts w:hint="cs"/>
          <w:rtl/>
        </w:rPr>
        <w:t>لا كما يخطر للبشر</w:t>
      </w:r>
      <w:r w:rsidR="00DB731D" w:rsidRPr="00A52585">
        <w:rPr>
          <w:rFonts w:hint="cs"/>
          <w:rtl/>
        </w:rPr>
        <w:t>،</w:t>
      </w:r>
      <w:r w:rsidR="0002035C" w:rsidRPr="00A52585">
        <w:rPr>
          <w:rtl/>
        </w:rPr>
        <w:t xml:space="preserve"> </w:t>
      </w:r>
      <w:r w:rsidRPr="00A52585">
        <w:rPr>
          <w:rFonts w:hint="cs"/>
          <w:rtl/>
        </w:rPr>
        <w:t>وكلام</w:t>
      </w:r>
      <w:r w:rsidRPr="00A52585">
        <w:rPr>
          <w:rFonts w:hint="cs"/>
        </w:rPr>
        <w:t xml:space="preserve"> </w:t>
      </w:r>
      <w:r w:rsidRPr="00A52585">
        <w:rPr>
          <w:rFonts w:hint="cs"/>
          <w:rtl/>
        </w:rPr>
        <w:t>السلف</w:t>
      </w:r>
      <w:r w:rsidRPr="00A52585">
        <w:rPr>
          <w:rFonts w:hint="cs"/>
        </w:rPr>
        <w:t xml:space="preserve"> </w:t>
      </w:r>
      <w:r w:rsidRPr="00A52585">
        <w:rPr>
          <w:rFonts w:hint="cs"/>
          <w:rtl/>
        </w:rPr>
        <w:t>مستفيض</w:t>
      </w:r>
      <w:r w:rsidRPr="00A52585">
        <w:rPr>
          <w:rFonts w:hint="cs"/>
        </w:rPr>
        <w:t xml:space="preserve"> </w:t>
      </w:r>
      <w:r w:rsidRPr="00A52585">
        <w:rPr>
          <w:rFonts w:hint="cs"/>
          <w:rtl/>
        </w:rPr>
        <w:t xml:space="preserve">بمثل هذا </w:t>
      </w:r>
      <w:r w:rsidRPr="00A52585">
        <w:t>"</w:t>
      </w:r>
      <w:r w:rsidRPr="00A52585">
        <w:rPr>
          <w:rtl/>
        </w:rPr>
        <w:t xml:space="preserve"> </w:t>
      </w:r>
      <w:r w:rsidRPr="00A52585">
        <w:rPr>
          <w:rFonts w:hint="cs"/>
          <w:rtl/>
        </w:rPr>
        <w:t>[أقاويل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120</w:t>
      </w:r>
      <w:r w:rsidR="0002035C" w:rsidRPr="00A52585">
        <w:rPr>
          <w:rFonts w:hint="cs"/>
          <w:rtl/>
        </w:rPr>
        <w:t>:</w:t>
      </w:r>
      <w:r w:rsidRPr="00A52585">
        <w:rPr>
          <w:rFonts w:hint="cs"/>
          <w:rtl/>
        </w:rPr>
        <w:t xml:space="preserve"> 121] أ</w:t>
      </w:r>
      <w:r w:rsidRPr="00A52585">
        <w:rPr>
          <w:rFonts w:hint="cs"/>
        </w:rPr>
        <w:t xml:space="preserve"> </w:t>
      </w:r>
      <w:r w:rsidRPr="00A52585">
        <w:rPr>
          <w:rFonts w:hint="cs"/>
          <w:rtl/>
        </w:rPr>
        <w:t>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قال</w:t>
      </w:r>
      <w:r w:rsidRPr="00A52585">
        <w:rPr>
          <w:rFonts w:hint="cs"/>
        </w:rPr>
        <w:t xml:space="preserve"> </w:t>
      </w:r>
      <w:r w:rsidRPr="00A52585">
        <w:rPr>
          <w:rFonts w:hint="cs"/>
          <w:rtl/>
        </w:rPr>
        <w:t>الطيبي</w:t>
      </w:r>
      <w:r w:rsidR="0002035C" w:rsidRPr="00A52585">
        <w:rPr>
          <w:rFonts w:hint="cs"/>
          <w:rtl/>
        </w:rPr>
        <w:t>:</w:t>
      </w:r>
      <w:r w:rsidRPr="00A52585">
        <w:rPr>
          <w:rFonts w:hint="cs"/>
          <w:rtl/>
        </w:rPr>
        <w:t xml:space="preserve"> </w:t>
      </w:r>
      <w:r w:rsidRPr="00A52585">
        <w:rPr>
          <w:rFonts w:hint="cs"/>
          <w:bCs/>
          <w:rtl/>
        </w:rPr>
        <w:t>هذا المذهب</w:t>
      </w:r>
      <w:r w:rsidRPr="00A52585">
        <w:rPr>
          <w:rFonts w:hint="cs"/>
          <w:rtl/>
        </w:rPr>
        <w:t xml:space="preserve"> </w:t>
      </w:r>
      <w:r w:rsidR="0002035C" w:rsidRPr="00A52585">
        <w:rPr>
          <w:rFonts w:hint="cs"/>
          <w:rtl/>
        </w:rPr>
        <w:t>[</w:t>
      </w:r>
      <w:r w:rsidRPr="00A52585">
        <w:rPr>
          <w:rFonts w:hint="cs"/>
          <w:rtl/>
        </w:rPr>
        <w:t>أي تفويض العلم</w:t>
      </w:r>
      <w:r w:rsidR="0002035C" w:rsidRPr="00A52585">
        <w:rPr>
          <w:rFonts w:hint="cs"/>
          <w:rtl/>
        </w:rPr>
        <w:t>]</w:t>
      </w:r>
      <w:r w:rsidRPr="00A52585">
        <w:rPr>
          <w:rFonts w:hint="cs"/>
          <w:bCs/>
          <w:rtl/>
        </w:rPr>
        <w:t>هو المعتمد عليه وبه يقول السلف الصالح ومن ذهب إلى التأويل</w:t>
      </w:r>
      <w:r w:rsidRPr="00A52585">
        <w:rPr>
          <w:rFonts w:hint="cs"/>
          <w:bCs/>
        </w:rPr>
        <w:t xml:space="preserve"> </w:t>
      </w:r>
      <w:r w:rsidRPr="00A52585">
        <w:rPr>
          <w:rFonts w:hint="cs"/>
          <w:bCs/>
          <w:rtl/>
        </w:rPr>
        <w:t>شرط فيه أن يكون مما يؤدي إلى تعظيم الله تعالى وجلاله وتنزيهه وكبريائه وما</w:t>
      </w:r>
      <w:r w:rsidRPr="00A52585">
        <w:rPr>
          <w:rFonts w:hint="cs"/>
          <w:bCs/>
        </w:rPr>
        <w:t xml:space="preserve"> </w:t>
      </w:r>
      <w:r w:rsidRPr="00A52585">
        <w:rPr>
          <w:rFonts w:hint="cs"/>
          <w:bCs/>
          <w:rtl/>
        </w:rPr>
        <w:t>لا تعظيم فيه فلا يجوز الخوض فيه فكيف بما يؤدي إلى التجسيم والتشبيه</w:t>
      </w:r>
      <w:r w:rsidRPr="00A52585">
        <w:rPr>
          <w:rFonts w:hint="cs"/>
          <w:rtl/>
        </w:rPr>
        <w:t xml:space="preserve"> انتهى</w:t>
      </w:r>
      <w:r w:rsidR="0002035C" w:rsidRPr="00A52585">
        <w:rPr>
          <w:rFonts w:hint="cs"/>
          <w:rtl/>
        </w:rPr>
        <w:t xml:space="preserve"> </w:t>
      </w:r>
      <w:r w:rsidRPr="00A52585">
        <w:rPr>
          <w:rFonts w:hint="cs"/>
          <w:rtl/>
        </w:rPr>
        <w:t>وهو</w:t>
      </w:r>
      <w:r w:rsidRPr="00A52585">
        <w:rPr>
          <w:rFonts w:hint="cs"/>
        </w:rPr>
        <w:t xml:space="preserve"> </w:t>
      </w:r>
      <w:r w:rsidRPr="00A52585">
        <w:rPr>
          <w:rFonts w:hint="cs"/>
          <w:rtl/>
        </w:rPr>
        <w:t>كلام في غاية التحقيق إلا أن</w:t>
      </w:r>
      <w:r w:rsidRPr="00A52585">
        <w:rPr>
          <w:rFonts w:hint="cs"/>
        </w:rPr>
        <w:t xml:space="preserve"> </w:t>
      </w:r>
      <w:r w:rsidRPr="00A52585">
        <w:rPr>
          <w:rFonts w:hint="cs"/>
          <w:rtl/>
        </w:rPr>
        <w:t xml:space="preserve">ترك التأويل مطلقا </w:t>
      </w:r>
      <w:r w:rsidRPr="00A52585">
        <w:rPr>
          <w:rFonts w:hint="cs"/>
          <w:bCs/>
          <w:rtl/>
        </w:rPr>
        <w:t>وتفويض العلم إلى الله أسلم</w:t>
      </w:r>
      <w:r w:rsidR="0002035C" w:rsidRPr="00A52585">
        <w:rPr>
          <w:rFonts w:hint="cs"/>
          <w:rtl/>
        </w:rPr>
        <w:t xml:space="preserve">)) </w:t>
      </w:r>
      <w:r w:rsidRPr="00A52585">
        <w:rPr>
          <w:rFonts w:hint="cs"/>
          <w:rtl/>
        </w:rPr>
        <w:t>[أقاويل الثقات ج 1 ص 158ـ162]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_ </w:t>
      </w:r>
      <w:r w:rsidRPr="00A52585">
        <w:rPr>
          <w:rFonts w:hint="cs"/>
          <w:rtl/>
        </w:rPr>
        <w:t>عند تعرضه لحديث</w:t>
      </w:r>
      <w:r w:rsidRPr="00A52585">
        <w:rPr>
          <w:rFonts w:hint="cs"/>
          <w:bCs/>
          <w:rtl/>
        </w:rPr>
        <w:t xml:space="preserve"> </w:t>
      </w:r>
      <w:r w:rsidR="0002035C" w:rsidRPr="00A52585">
        <w:rPr>
          <w:rFonts w:hint="cs"/>
          <w:bCs/>
          <w:rtl/>
        </w:rPr>
        <w:t>(</w:t>
      </w:r>
      <w:r w:rsidRPr="00A52585">
        <w:rPr>
          <w:rFonts w:hint="cs"/>
          <w:rtl/>
        </w:rPr>
        <w:t>حتى يضع الجبار فيها قدمه</w:t>
      </w:r>
      <w:r w:rsidR="0002035C" w:rsidRPr="00A52585">
        <w:rPr>
          <w:rFonts w:hint="cs"/>
          <w:rtl/>
        </w:rPr>
        <w:t>)</w:t>
      </w:r>
      <w:r w:rsidRPr="00A52585">
        <w:rPr>
          <w:rFonts w:hint="cs"/>
          <w:rtl/>
        </w:rPr>
        <w:t xml:space="preserve"> _</w:t>
      </w:r>
      <w:r w:rsidRPr="00A52585">
        <w:rPr>
          <w:rFonts w:hint="cs"/>
          <w:bCs/>
          <w:rtl/>
        </w:rPr>
        <w:t xml:space="preserve"> </w:t>
      </w:r>
      <w:r w:rsidRPr="00A52585">
        <w:rPr>
          <w:rFonts w:hint="cs"/>
          <w:rtl/>
        </w:rPr>
        <w:t>"</w:t>
      </w:r>
      <w:r w:rsidR="0002035C" w:rsidRPr="00A52585">
        <w:rPr>
          <w:rFonts w:hint="cs"/>
          <w:rtl/>
        </w:rPr>
        <w:t xml:space="preserve"> </w:t>
      </w:r>
      <w:r w:rsidRPr="00A52585">
        <w:rPr>
          <w:rFonts w:hint="cs"/>
          <w:bCs/>
          <w:rtl/>
        </w:rPr>
        <w:t xml:space="preserve">قال الترمذي </w:t>
      </w:r>
      <w:r w:rsidRPr="00A52585">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Pr="00A52585">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sidRPr="00A52585">
        <w:rPr>
          <w:rFonts w:hint="cs"/>
          <w:bCs/>
          <w:rtl/>
        </w:rPr>
        <w:t>أختاروه</w:t>
      </w:r>
      <w:proofErr w:type="spellEnd"/>
      <w:r w:rsidRPr="00A52585">
        <w:rPr>
          <w:rFonts w:hint="cs"/>
          <w:bCs/>
          <w:rtl/>
        </w:rPr>
        <w:t xml:space="preserve"> وذهبوا إليه</w:t>
      </w:r>
      <w:r w:rsidR="00DB731D" w:rsidRPr="00A52585">
        <w:rPr>
          <w:rFonts w:hint="cs"/>
          <w:bCs/>
          <w:rtl/>
        </w:rPr>
        <w:t>،</w:t>
      </w:r>
      <w:r w:rsidR="0002035C" w:rsidRPr="00A52585">
        <w:rPr>
          <w:rFonts w:hint="cs"/>
          <w:bCs/>
          <w:rtl/>
        </w:rPr>
        <w:t xml:space="preserve"> </w:t>
      </w:r>
      <w:r w:rsidRPr="00A52585">
        <w:rPr>
          <w:rFonts w:hint="cs"/>
          <w:rtl/>
        </w:rPr>
        <w:t xml:space="preserve">وقال الخطابي كان أبو عبيد القاسم بن سلام وهو أحد </w:t>
      </w:r>
      <w:proofErr w:type="spellStart"/>
      <w:r w:rsidRPr="00A52585">
        <w:rPr>
          <w:rFonts w:hint="cs"/>
          <w:rtl/>
        </w:rPr>
        <w:t>أنهياء</w:t>
      </w:r>
      <w:proofErr w:type="spellEnd"/>
      <w:r w:rsidRPr="00A52585">
        <w:rPr>
          <w:rFonts w:hint="cs"/>
          <w:rtl/>
        </w:rPr>
        <w:t xml:space="preserve"> أهل العلم يقول</w:t>
      </w:r>
      <w:r w:rsidRPr="00A52585">
        <w:rPr>
          <w:rFonts w:hint="cs"/>
          <w:bCs/>
          <w:rtl/>
        </w:rPr>
        <w:t xml:space="preserve"> نحن نروي هذه الأحاديث ولا نريغ لها المعاني</w:t>
      </w:r>
      <w:r w:rsidR="0002035C" w:rsidRPr="00A52585">
        <w:rPr>
          <w:rFonts w:hint="cs"/>
          <w:bCs/>
          <w:rtl/>
        </w:rPr>
        <w:t xml:space="preserve"> </w:t>
      </w:r>
      <w:r w:rsidRPr="00A52585">
        <w:rPr>
          <w:rFonts w:hint="cs"/>
          <w:bCs/>
          <w:rtl/>
        </w:rPr>
        <w:t xml:space="preserve">قال الخطابي ونحن أحرى أن لا نتقدم فيما تأخر عنه من هو أكثر منا علما وأقدم زمانا وسنا </w:t>
      </w:r>
      <w:r w:rsidRPr="00A52585">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DB731D" w:rsidRPr="00A52585">
        <w:rPr>
          <w:rFonts w:hint="cs"/>
          <w:rtl/>
        </w:rPr>
        <w:t>،</w:t>
      </w:r>
      <w:r w:rsidRPr="00A52585">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w:t>
      </w:r>
      <w:r w:rsidRPr="00A52585">
        <w:rPr>
          <w:rFonts w:hint="cs"/>
          <w:rtl/>
        </w:rPr>
        <w:lastRenderedPageBreak/>
        <w:t xml:space="preserve">علينا أن نطلب لما يرد من هذه الأحاديث إذا صحت من طريق النقل والسند تأويلا </w:t>
      </w:r>
      <w:r w:rsidRPr="00A52585">
        <w:rPr>
          <w:rFonts w:hint="cs"/>
          <w:bCs/>
          <w:rtl/>
        </w:rPr>
        <w:t xml:space="preserve">" </w:t>
      </w:r>
      <w:r w:rsidRPr="00A52585">
        <w:rPr>
          <w:rFonts w:hint="cs"/>
          <w:rtl/>
        </w:rPr>
        <w:t>[أقاويل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177- 178]</w:t>
      </w:r>
      <w:r w:rsidRPr="00A52585">
        <w:rPr>
          <w:rFonts w:hint="cs"/>
          <w:bCs/>
          <w:rtl/>
        </w:rPr>
        <w:t xml:space="preserve"> </w:t>
      </w:r>
      <w:r w:rsidRPr="00A52585">
        <w:rPr>
          <w:rFonts w:hint="cs"/>
          <w:rtl/>
        </w:rPr>
        <w:t>أهـ</w:t>
      </w:r>
      <w:r w:rsidR="00DB731D" w:rsidRPr="00A52585">
        <w:rPr>
          <w:rFonts w:hint="cs"/>
          <w:rtl/>
        </w:rPr>
        <w:t>،</w:t>
      </w:r>
      <w:r w:rsidR="0002035C"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xml:space="preserve">" </w:t>
      </w:r>
      <w:r w:rsidRPr="00A52585">
        <w:rPr>
          <w:rFonts w:hint="cs"/>
          <w:bCs/>
          <w:rtl/>
        </w:rPr>
        <w:t xml:space="preserve">ومن المتشابه المجيء </w:t>
      </w:r>
      <w:r w:rsidRPr="00A52585">
        <w:rPr>
          <w:rFonts w:hint="cs"/>
          <w:rtl/>
        </w:rPr>
        <w:t>في قوله تعالى</w:t>
      </w:r>
      <w:r w:rsidR="0002035C" w:rsidRPr="00A52585">
        <w:rPr>
          <w:rFonts w:hint="cs"/>
          <w:rtl/>
        </w:rPr>
        <w:t xml:space="preserve"> </w:t>
      </w:r>
      <w:r w:rsidRPr="00A52585">
        <w:rPr>
          <w:rFonts w:hint="cs"/>
          <w:rtl/>
        </w:rPr>
        <w:t xml:space="preserve">وجاء ربك والملك صفا </w:t>
      </w:r>
      <w:proofErr w:type="spellStart"/>
      <w:r w:rsidRPr="00A52585">
        <w:rPr>
          <w:rFonts w:hint="cs"/>
          <w:rtl/>
        </w:rPr>
        <w:t>صفا</w:t>
      </w:r>
      <w:proofErr w:type="spellEnd"/>
      <w:r w:rsidR="0002035C" w:rsidRPr="00A52585">
        <w:rPr>
          <w:rFonts w:hint="cs"/>
          <w:rtl/>
        </w:rPr>
        <w:t xml:space="preserve"> </w:t>
      </w:r>
      <w:r w:rsidRPr="00A52585">
        <w:rPr>
          <w:rFonts w:hint="cs"/>
          <w:rtl/>
        </w:rPr>
        <w:t>الفجر 22 وقوله</w:t>
      </w:r>
      <w:r w:rsidR="0002035C" w:rsidRPr="00A52585">
        <w:rPr>
          <w:rFonts w:hint="cs"/>
          <w:rtl/>
        </w:rPr>
        <w:t xml:space="preserve"> </w:t>
      </w:r>
      <w:r w:rsidRPr="00A52585">
        <w:rPr>
          <w:rFonts w:hint="cs"/>
          <w:rtl/>
        </w:rPr>
        <w:t>هل ينظرون إلا أن يأتيهم الله</w:t>
      </w:r>
      <w:r w:rsidR="0002035C" w:rsidRPr="00A52585">
        <w:rPr>
          <w:rFonts w:hint="cs"/>
          <w:rtl/>
        </w:rPr>
        <w:t xml:space="preserve"> </w:t>
      </w:r>
      <w:r w:rsidRPr="00A52585">
        <w:rPr>
          <w:rFonts w:hint="cs"/>
          <w:rtl/>
        </w:rPr>
        <w:t>البقرة 210</w:t>
      </w:r>
      <w:r w:rsidR="0002035C" w:rsidRPr="00A52585">
        <w:rPr>
          <w:rFonts w:hint="cs"/>
          <w:bCs/>
          <w:rtl/>
        </w:rPr>
        <w:t xml:space="preserve"> </w:t>
      </w:r>
      <w:r w:rsidRPr="00A52585">
        <w:rPr>
          <w:rFonts w:hint="cs"/>
          <w:bCs/>
          <w:rtl/>
        </w:rPr>
        <w:t xml:space="preserve">فمذهب السلف في هذا وأمثاله السكوت عن الخوض في معناه وتفويض علمه إلى الله تعالى كما مرت الإشارة إليه أول الكتاب " </w:t>
      </w:r>
      <w:r w:rsidRPr="00A52585">
        <w:rPr>
          <w:rFonts w:hint="cs"/>
          <w:rtl/>
        </w:rPr>
        <w:t>[أقاويل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197]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 </w:t>
      </w:r>
      <w:r w:rsidRPr="00A52585">
        <w:rPr>
          <w:rFonts w:hint="cs"/>
          <w:rtl/>
        </w:rPr>
        <w:t>قال</w:t>
      </w:r>
      <w:r w:rsidRPr="00A52585">
        <w:rPr>
          <w:rFonts w:hint="cs"/>
        </w:rPr>
        <w:t xml:space="preserve"> </w:t>
      </w:r>
      <w:r w:rsidRPr="00A52585">
        <w:rPr>
          <w:rFonts w:hint="cs"/>
          <w:rtl/>
        </w:rPr>
        <w:t>مسلمة بن القاسم في كتاب غرائب الأصول حديث تجلي الله يوم القيامة ومجيئه</w:t>
      </w:r>
      <w:r w:rsidRPr="00A52585">
        <w:rPr>
          <w:rFonts w:hint="cs"/>
        </w:rPr>
        <w:t xml:space="preserve"> </w:t>
      </w:r>
      <w:r w:rsidRPr="00A52585">
        <w:rPr>
          <w:rFonts w:hint="cs"/>
          <w:rtl/>
        </w:rPr>
        <w:t>في الظلل محمول على أنه تعالى يغير أبصار خلقه حتى يروه كذلك وهو على عرشه غير</w:t>
      </w:r>
      <w:r w:rsidRPr="00A52585">
        <w:rPr>
          <w:rFonts w:hint="cs"/>
        </w:rPr>
        <w:t xml:space="preserve"> </w:t>
      </w:r>
      <w:r w:rsidRPr="00A52585">
        <w:rPr>
          <w:rFonts w:hint="cs"/>
          <w:rtl/>
        </w:rPr>
        <w:t>متغير عن عظمته ولا متنقل عن ملكه كذلك جاء معناه عن عبد العزيز الماجشون قال فكل</w:t>
      </w:r>
      <w:r w:rsidRPr="00A52585">
        <w:rPr>
          <w:rFonts w:hint="cs"/>
        </w:rPr>
        <w:t xml:space="preserve"> </w:t>
      </w:r>
      <w:r w:rsidRPr="00A52585">
        <w:rPr>
          <w:rFonts w:hint="cs"/>
          <w:rtl/>
        </w:rPr>
        <w:t>حديث جاء في التنقل والرؤية في المحشر فمعناه أنه تعالى يغير أبصار خلقه فيرونه</w:t>
      </w:r>
      <w:r w:rsidRPr="00A52585">
        <w:rPr>
          <w:rFonts w:hint="cs"/>
        </w:rPr>
        <w:t xml:space="preserve"> </w:t>
      </w:r>
      <w:r w:rsidRPr="00A52585">
        <w:rPr>
          <w:rFonts w:hint="cs"/>
          <w:rtl/>
        </w:rPr>
        <w:t>نازلا ومتجليا ويناجي خلقه ويخاطبهم وهو غير متغير عن عظمته ولا متنقل عن ملكه</w:t>
      </w:r>
      <w:r w:rsidRPr="00A52585">
        <w:rPr>
          <w:rFonts w:hint="cs"/>
        </w:rPr>
        <w:t xml:space="preserve"> </w:t>
      </w:r>
      <w:r w:rsidRPr="00A52585">
        <w:rPr>
          <w:rFonts w:hint="cs"/>
          <w:rtl/>
        </w:rPr>
        <w:t>انتهى</w:t>
      </w:r>
      <w:r w:rsidR="0002035C" w:rsidRPr="00A52585">
        <w:rPr>
          <w:rFonts w:hint="cs"/>
          <w:rtl/>
        </w:rPr>
        <w:t xml:space="preserve"> </w:t>
      </w:r>
      <w:r w:rsidRPr="00A52585">
        <w:rPr>
          <w:rFonts w:hint="cs"/>
          <w:rtl/>
        </w:rPr>
        <w:t>وهو</w:t>
      </w:r>
      <w:r w:rsidRPr="00A52585">
        <w:rPr>
          <w:rFonts w:hint="cs"/>
        </w:rPr>
        <w:t xml:space="preserve"> </w:t>
      </w:r>
      <w:r w:rsidRPr="00A52585">
        <w:rPr>
          <w:rFonts w:hint="cs"/>
          <w:rtl/>
        </w:rPr>
        <w:t>تأويل حسن يطرد في كثير</w:t>
      </w:r>
      <w:r w:rsidRPr="00A52585">
        <w:rPr>
          <w:rFonts w:hint="cs"/>
        </w:rPr>
        <w:t xml:space="preserve"> </w:t>
      </w:r>
      <w:r w:rsidRPr="00A52585">
        <w:rPr>
          <w:rFonts w:hint="cs"/>
          <w:rtl/>
        </w:rPr>
        <w:t>من المواضع</w:t>
      </w:r>
      <w:r w:rsidR="0002035C" w:rsidRPr="00A52585">
        <w:rPr>
          <w:rFonts w:hint="cs"/>
          <w:rtl/>
        </w:rPr>
        <w:t xml:space="preserve"> </w:t>
      </w:r>
      <w:r w:rsidRPr="00A52585">
        <w:rPr>
          <w:rFonts w:hint="cs"/>
          <w:bCs/>
          <w:rtl/>
        </w:rPr>
        <w:t>ومذهب السلف إنما هو التوحيد والتنزيه دون التجسيم والتشبيه والمبتدعة تزعم أنها على مذهب السلف "</w:t>
      </w:r>
      <w:r w:rsidRPr="00A52585">
        <w:rPr>
          <w:rFonts w:hint="cs"/>
          <w:rtl/>
        </w:rPr>
        <w:t xml:space="preserve"> [أقاويل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198]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قال الحافظ ابن الجوزي</w:t>
      </w:r>
      <w:r w:rsidR="00897A24" w:rsidRPr="00A52585">
        <w:rPr>
          <w:rFonts w:hint="cs"/>
          <w:rtl/>
        </w:rPr>
        <w:t>.</w:t>
      </w:r>
      <w:r w:rsidRPr="00A52585">
        <w:rPr>
          <w:rFonts w:hint="cs"/>
          <w:rtl/>
        </w:rPr>
        <w:t>.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02035C" w:rsidRPr="00A52585">
        <w:rPr>
          <w:rFonts w:hint="cs"/>
          <w:rtl/>
        </w:rPr>
        <w:t xml:space="preserve"> (</w:t>
      </w:r>
      <w:r w:rsidRPr="00A52585">
        <w:rPr>
          <w:rFonts w:hint="cs"/>
          <w:rtl/>
        </w:rPr>
        <w:t>قل الروح من أمر ربي</w:t>
      </w:r>
      <w:r w:rsidR="0002035C" w:rsidRPr="00A52585">
        <w:rPr>
          <w:rFonts w:hint="cs"/>
          <w:rtl/>
        </w:rPr>
        <w:t>)</w:t>
      </w:r>
      <w:r w:rsidRPr="00A52585">
        <w:rPr>
          <w:rFonts w:hint="cs"/>
          <w:rtl/>
        </w:rPr>
        <w:t xml:space="preserve"> [الإسراء 85</w:t>
      </w:r>
      <w:r w:rsidR="0002035C" w:rsidRPr="00A52585">
        <w:rPr>
          <w:rFonts w:hint="cs"/>
          <w:rtl/>
        </w:rPr>
        <w:t>]</w:t>
      </w:r>
      <w:r w:rsidRPr="00A52585">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02035C" w:rsidRPr="00A52585">
        <w:rPr>
          <w:rFonts w:hint="cs"/>
          <w:rtl/>
        </w:rPr>
        <w:t xml:space="preserve"> </w:t>
      </w:r>
      <w:r w:rsidRPr="00A52585">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02035C" w:rsidRPr="00A52585">
        <w:rPr>
          <w:rFonts w:hint="cs"/>
          <w:rtl/>
        </w:rPr>
        <w:t xml:space="preserve"> </w:t>
      </w:r>
      <w:r w:rsidRPr="00A52585">
        <w:rPr>
          <w:rFonts w:hint="cs"/>
          <w:rtl/>
        </w:rPr>
        <w:t>ولو قال قائل ما الصواعق وما البرق وما الزلازل قلنا شيء مزعج ويكفي والسر في هذا أنه لو كشفت حقائقه لخف مقدار تعظيمه</w:t>
      </w:r>
      <w:r w:rsidR="0002035C" w:rsidRPr="00A52585">
        <w:rPr>
          <w:rFonts w:hint="cs"/>
          <w:rtl/>
        </w:rPr>
        <w:t xml:space="preserve"> </w:t>
      </w:r>
      <w:r w:rsidRPr="00A52585">
        <w:rPr>
          <w:rFonts w:hint="cs"/>
          <w:rtl/>
        </w:rPr>
        <w:t>قال فإذا ثبت هذا في المخلوقات فالخالق أجل وأعلا فينبغي أن يوقف في إثباته على دليل وجوده ثم يستدل على جواز بعثه</w:t>
      </w:r>
      <w:r w:rsidRPr="00A52585">
        <w:rPr>
          <w:rFonts w:hint="cs"/>
        </w:rPr>
        <w:t xml:space="preserve"> </w:t>
      </w:r>
      <w:r w:rsidRPr="00A52585">
        <w:rPr>
          <w:rFonts w:hint="cs"/>
          <w:rtl/>
        </w:rPr>
        <w:t>رسله ثم تتلقى أوصافه من كتبه ورسله ولا يزاد على ذلك ولقد بحث خلق كثير عن صفاته تعالى بآرائهم فعاد وبال ذلك عليهم</w:t>
      </w:r>
      <w:r w:rsidR="0002035C" w:rsidRPr="00A52585">
        <w:rPr>
          <w:rFonts w:hint="cs"/>
          <w:rtl/>
        </w:rPr>
        <w:t xml:space="preserve"> </w:t>
      </w:r>
      <w:r w:rsidRPr="00A52585">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sidRPr="00A52585">
        <w:rPr>
          <w:rFonts w:hint="cs"/>
          <w:bCs/>
          <w:rtl/>
        </w:rPr>
        <w:t xml:space="preserve">ولم تقل السلف تلاوة ومتلو وقراءة ومقروء ولا قالوا استوى على العرش بذاته ولا قالوا ينزل بذاته بل أطلقوا ما ورد من غير زيادة ونفوا ما لم يثبت بالدليل مما </w:t>
      </w:r>
      <w:r w:rsidRPr="00A52585">
        <w:rPr>
          <w:rFonts w:hint="cs"/>
          <w:bCs/>
          <w:rtl/>
        </w:rPr>
        <w:lastRenderedPageBreak/>
        <w:t>لا يجوز عليه سبحانه</w:t>
      </w:r>
      <w:r w:rsidR="00DB731D" w:rsidRPr="00A52585">
        <w:rPr>
          <w:rFonts w:hint="cs"/>
          <w:bCs/>
          <w:rtl/>
        </w:rPr>
        <w:t>،</w:t>
      </w:r>
      <w:r w:rsidRPr="00A52585">
        <w:rPr>
          <w:rFonts w:hint="cs"/>
          <w:bCs/>
          <w:rtl/>
        </w:rPr>
        <w:t xml:space="preserve"> </w:t>
      </w:r>
      <w:r w:rsidRPr="00A52585">
        <w:rPr>
          <w:rFonts w:hint="cs"/>
          <w:rtl/>
        </w:rPr>
        <w:t>وقال أيضا في موضع آخر</w:t>
      </w:r>
      <w:r w:rsidR="0002035C" w:rsidRPr="00A52585">
        <w:rPr>
          <w:rFonts w:hint="cs"/>
          <w:bCs/>
          <w:rtl/>
        </w:rPr>
        <w:t>:</w:t>
      </w:r>
      <w:r w:rsidRPr="00A52585">
        <w:rPr>
          <w:rFonts w:hint="cs"/>
          <w:bCs/>
          <w:rtl/>
        </w:rPr>
        <w:t xml:space="preserve"> </w:t>
      </w:r>
      <w:r w:rsidRPr="00A52585">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w:t>
      </w:r>
      <w:r w:rsidR="00897A24" w:rsidRPr="00A52585">
        <w:rPr>
          <w:rFonts w:hint="cs"/>
          <w:rtl/>
        </w:rPr>
        <w:t>.</w:t>
      </w:r>
      <w:r w:rsidRPr="00A52585">
        <w:rPr>
          <w:rFonts w:hint="cs"/>
          <w:rtl/>
        </w:rPr>
        <w:t xml:space="preserve">. </w:t>
      </w:r>
      <w:r w:rsidRPr="00A52585">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DB731D" w:rsidRPr="00A52585">
        <w:rPr>
          <w:rFonts w:hint="cs"/>
          <w:rtl/>
        </w:rPr>
        <w:t>،</w:t>
      </w:r>
      <w:r w:rsidRPr="00A52585">
        <w:rPr>
          <w:rFonts w:hint="cs"/>
          <w:rtl/>
        </w:rPr>
        <w:t xml:space="preserve"> قال وقد تكلموا بأقبح ما يتكلم به </w:t>
      </w:r>
      <w:proofErr w:type="spellStart"/>
      <w:r w:rsidRPr="00A52585">
        <w:rPr>
          <w:rFonts w:hint="cs"/>
          <w:rtl/>
        </w:rPr>
        <w:t>المتأولون</w:t>
      </w:r>
      <w:proofErr w:type="spellEnd"/>
      <w:r w:rsidRPr="00A52585">
        <w:rPr>
          <w:rFonts w:hint="cs"/>
          <w:rtl/>
        </w:rPr>
        <w:t xml:space="preserve"> ثم عابوا المتكلمين</w:t>
      </w:r>
      <w:r w:rsidR="0002035C" w:rsidRPr="00A52585">
        <w:rPr>
          <w:rFonts w:hint="cs"/>
          <w:rtl/>
        </w:rPr>
        <w:t xml:space="preserve"> </w:t>
      </w:r>
      <w:r w:rsidRPr="00A52585">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sidRPr="00A52585">
        <w:rPr>
          <w:rFonts w:hint="cs"/>
          <w:rtl/>
        </w:rPr>
        <w:t>الإنفعال</w:t>
      </w:r>
      <w:proofErr w:type="spellEnd"/>
      <w:r w:rsidRPr="00A52585">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02035C" w:rsidRPr="00A52585">
        <w:rPr>
          <w:rFonts w:hint="cs"/>
          <w:rtl/>
        </w:rPr>
        <w:t xml:space="preserve"> </w:t>
      </w:r>
      <w:r w:rsidRPr="00A52585">
        <w:rPr>
          <w:rFonts w:hint="cs"/>
          <w:rtl/>
        </w:rPr>
        <w:t>فإذا قيل له فما تصنع في الحديث</w:t>
      </w:r>
      <w:r w:rsidR="0002035C" w:rsidRPr="00A52585">
        <w:rPr>
          <w:rFonts w:hint="cs"/>
          <w:rtl/>
        </w:rPr>
        <w:t xml:space="preserve"> </w:t>
      </w:r>
      <w:r w:rsidRPr="00A52585">
        <w:rPr>
          <w:rFonts w:hint="cs"/>
          <w:rtl/>
        </w:rPr>
        <w:t>فقال هذا ضرب مثل بإقامة صورة ليعلم بتلك الصورة الحسية موت ذلك المعنى</w:t>
      </w:r>
      <w:r w:rsidR="0002035C" w:rsidRPr="00A52585">
        <w:rPr>
          <w:rFonts w:hint="cs"/>
          <w:rtl/>
        </w:rPr>
        <w:t xml:space="preserve"> </w:t>
      </w:r>
      <w:r w:rsidRPr="00A52585">
        <w:rPr>
          <w:rFonts w:hint="cs"/>
          <w:rtl/>
        </w:rPr>
        <w:t>قلنا له قد ورد في الحديث الصحيح تأتي البقرة وآل عمران كأنهما غمامتان فقال الكلام لا يكون غمامة ولا يشبه بها</w:t>
      </w:r>
      <w:r w:rsidR="0002035C" w:rsidRPr="00A52585">
        <w:rPr>
          <w:rFonts w:hint="cs"/>
          <w:rtl/>
        </w:rPr>
        <w:t xml:space="preserve"> </w:t>
      </w:r>
      <w:r w:rsidRPr="00A52585">
        <w:rPr>
          <w:rFonts w:hint="cs"/>
          <w:rtl/>
        </w:rPr>
        <w:t xml:space="preserve">قلنا </w:t>
      </w:r>
      <w:proofErr w:type="spellStart"/>
      <w:r w:rsidRPr="00A52585">
        <w:rPr>
          <w:rFonts w:hint="cs"/>
          <w:rtl/>
        </w:rPr>
        <w:t>أفتعطل</w:t>
      </w:r>
      <w:proofErr w:type="spellEnd"/>
      <w:r w:rsidRPr="00A52585">
        <w:rPr>
          <w:rFonts w:hint="cs"/>
          <w:rtl/>
        </w:rPr>
        <w:t xml:space="preserve"> النقل قال لا ولكن يأتي ثوابهما</w:t>
      </w:r>
      <w:r w:rsidR="00DB731D" w:rsidRPr="00A52585">
        <w:rPr>
          <w:rFonts w:hint="cs"/>
          <w:rtl/>
        </w:rPr>
        <w:t>،</w:t>
      </w:r>
      <w:r w:rsidRPr="00A52585">
        <w:rPr>
          <w:rFonts w:hint="cs"/>
          <w:rtl/>
        </w:rPr>
        <w:t xml:space="preserve"> قلنا فما الدليل </w:t>
      </w:r>
      <w:proofErr w:type="spellStart"/>
      <w:r w:rsidRPr="00A52585">
        <w:rPr>
          <w:rFonts w:hint="cs"/>
          <w:rtl/>
        </w:rPr>
        <w:t>الصارف</w:t>
      </w:r>
      <w:proofErr w:type="spellEnd"/>
      <w:r w:rsidRPr="00A52585">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sidR="0002035C" w:rsidRPr="00A52585">
        <w:rPr>
          <w:rFonts w:hint="cs"/>
          <w:rtl/>
        </w:rPr>
        <w:t xml:space="preserve"> </w:t>
      </w:r>
      <w:r w:rsidRPr="00A52585">
        <w:rPr>
          <w:rFonts w:hint="cs"/>
          <w:rtl/>
        </w:rPr>
        <w:t>فقال العلماء صدقت هكذا نقول في تفسير مجيء سورة البقرة وفي ذبح الموت</w:t>
      </w:r>
      <w:r w:rsidR="00DB731D" w:rsidRPr="00A52585">
        <w:rPr>
          <w:rFonts w:hint="cs"/>
          <w:rtl/>
        </w:rPr>
        <w:t>،</w:t>
      </w:r>
      <w:r w:rsidRPr="00A52585">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DB731D" w:rsidRPr="00A52585">
        <w:rPr>
          <w:rFonts w:hint="cs"/>
          <w:rtl/>
        </w:rPr>
        <w:t>،</w:t>
      </w:r>
      <w:r w:rsidRPr="00A52585">
        <w:rPr>
          <w:rFonts w:hint="cs"/>
          <w:rtl/>
        </w:rPr>
        <w:t xml:space="preserve"> </w:t>
      </w:r>
      <w:r w:rsidRPr="00A52585">
        <w:rPr>
          <w:rFonts w:hint="cs"/>
          <w:bCs/>
          <w:rtl/>
        </w:rPr>
        <w:t>وقال عبدالباقي</w:t>
      </w:r>
      <w:r w:rsidRPr="00A52585">
        <w:rPr>
          <w:rFonts w:hint="cs"/>
          <w:bCs/>
        </w:rPr>
        <w:t xml:space="preserve"> </w:t>
      </w:r>
      <w:r w:rsidRPr="00A52585">
        <w:rPr>
          <w:rFonts w:hint="cs"/>
          <w:bCs/>
          <w:rtl/>
        </w:rPr>
        <w:t>بن إبراهيم الحنبلي</w:t>
      </w:r>
      <w:r w:rsidRPr="00A52585">
        <w:rPr>
          <w:rFonts w:hint="cs"/>
          <w:rtl/>
        </w:rPr>
        <w:t xml:space="preserve"> </w:t>
      </w:r>
      <w:r w:rsidR="0002035C" w:rsidRPr="00A52585">
        <w:rPr>
          <w:rFonts w:hint="cs"/>
          <w:rtl/>
        </w:rPr>
        <w:t>(</w:t>
      </w:r>
      <w:r w:rsidRPr="00A52585">
        <w:rPr>
          <w:rFonts w:hint="cs"/>
          <w:rtl/>
        </w:rPr>
        <w:t>ت 1071 هـ</w:t>
      </w:r>
      <w:r w:rsidR="0002035C" w:rsidRPr="00A52585">
        <w:rPr>
          <w:rFonts w:hint="cs"/>
          <w:rtl/>
        </w:rPr>
        <w:t>)</w:t>
      </w:r>
      <w:r w:rsidRPr="00A52585">
        <w:rPr>
          <w:rFonts w:hint="cs"/>
          <w:rtl/>
        </w:rPr>
        <w:t xml:space="preserve"> في كتابه العين والأثر في عقائد أهل الأثر</w:t>
      </w:r>
      <w:r w:rsidR="0002035C" w:rsidRPr="00A52585">
        <w:rPr>
          <w:rFonts w:hint="cs"/>
          <w:rtl/>
        </w:rPr>
        <w:t xml:space="preserve"> </w:t>
      </w:r>
      <w:r w:rsidRPr="00A52585">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DB731D" w:rsidRPr="00A52585">
        <w:rPr>
          <w:rFonts w:hint="cs"/>
          <w:rtl/>
        </w:rPr>
        <w:t>،</w:t>
      </w:r>
      <w:r w:rsidRPr="00A52585">
        <w:rPr>
          <w:rFonts w:hint="cs"/>
          <w:rtl/>
        </w:rPr>
        <w:t xml:space="preserve"> ومنها نزول الرب سبحانه وتعالى كل ليلة إلى السماء الدنيا من غير تشبيه بنزول المخلوقين ولا تمثيل ولا تكييف</w:t>
      </w:r>
      <w:r w:rsidR="00DB731D" w:rsidRPr="00A52585">
        <w:rPr>
          <w:rFonts w:hint="cs"/>
          <w:rtl/>
        </w:rPr>
        <w:t>،</w:t>
      </w:r>
      <w:r w:rsidRPr="00A52585">
        <w:rPr>
          <w:rFonts w:hint="cs"/>
          <w:rtl/>
        </w:rPr>
        <w:t xml:space="preserve"> بل يثبت الحنابلة ما أثبته </w:t>
      </w:r>
      <w:r w:rsidRPr="00A52585">
        <w:rPr>
          <w:rFonts w:hint="cs"/>
          <w:rtl/>
        </w:rPr>
        <w:lastRenderedPageBreak/>
        <w:t xml:space="preserve">رسول الله ويمرون الخبر الصحيح الوارد بذكره على ظاهره </w:t>
      </w:r>
      <w:r w:rsidRPr="00A52585">
        <w:rPr>
          <w:rFonts w:hint="cs"/>
          <w:bCs/>
          <w:rtl/>
        </w:rPr>
        <w:t>ويكلون علمه</w:t>
      </w:r>
      <w:r w:rsidRPr="00A52585">
        <w:rPr>
          <w:rFonts w:hint="cs"/>
          <w:bCs/>
        </w:rPr>
        <w:t xml:space="preserve"> </w:t>
      </w:r>
      <w:r w:rsidRPr="00A52585">
        <w:rPr>
          <w:rFonts w:hint="cs"/>
          <w:bCs/>
          <w:rtl/>
        </w:rPr>
        <w:t>إلى الله تعالى</w:t>
      </w:r>
      <w:r w:rsidR="00DB731D" w:rsidRPr="00A52585">
        <w:rPr>
          <w:rFonts w:hint="cs"/>
          <w:bCs/>
          <w:rtl/>
        </w:rPr>
        <w:t>،</w:t>
      </w:r>
      <w:r w:rsidRPr="00A52585">
        <w:rPr>
          <w:rFonts w:hint="cs"/>
          <w:rtl/>
        </w:rPr>
        <w:t xml:space="preserve"> وكذلك</w:t>
      </w:r>
      <w:r w:rsidRPr="00A52585">
        <w:rPr>
          <w:rFonts w:hint="cs"/>
        </w:rPr>
        <w:t xml:space="preserve"> </w:t>
      </w:r>
      <w:r w:rsidRPr="00A52585">
        <w:rPr>
          <w:rFonts w:hint="cs"/>
          <w:rtl/>
        </w:rPr>
        <w:t>ما أنزل الله</w:t>
      </w:r>
      <w:r w:rsidRPr="00A52585">
        <w:rPr>
          <w:rFonts w:hint="cs"/>
        </w:rPr>
        <w:t xml:space="preserve"> </w:t>
      </w:r>
      <w:r w:rsidRPr="00A52585">
        <w:rPr>
          <w:rFonts w:hint="cs"/>
          <w:rtl/>
        </w:rPr>
        <w:t>عز اسمه في كتابه من ذكر المجيء والإتيان المذكورين في قوله تعالى</w:t>
      </w:r>
      <w:r w:rsidR="0002035C" w:rsidRPr="00A52585">
        <w:rPr>
          <w:rFonts w:hint="cs"/>
          <w:rtl/>
        </w:rPr>
        <w:t xml:space="preserve"> </w:t>
      </w:r>
      <w:r w:rsidRPr="00A52585">
        <w:rPr>
          <w:rFonts w:hint="cs"/>
          <w:rtl/>
        </w:rPr>
        <w:t>وجاء</w:t>
      </w:r>
      <w:r w:rsidRPr="00A52585">
        <w:rPr>
          <w:rFonts w:hint="cs"/>
        </w:rPr>
        <w:t xml:space="preserve"> </w:t>
      </w:r>
      <w:r w:rsidRPr="00A52585">
        <w:rPr>
          <w:rFonts w:hint="cs"/>
          <w:rtl/>
        </w:rPr>
        <w:t>ربك والملك</w:t>
      </w:r>
      <w:r w:rsidR="0002035C" w:rsidRPr="00A52585">
        <w:rPr>
          <w:rFonts w:hint="cs"/>
          <w:rtl/>
        </w:rPr>
        <w:t xml:space="preserve"> </w:t>
      </w:r>
      <w:r w:rsidRPr="00A52585">
        <w:rPr>
          <w:rFonts w:hint="cs"/>
          <w:rtl/>
        </w:rPr>
        <w:t>الآية</w:t>
      </w:r>
      <w:r w:rsidRPr="00A52585">
        <w:rPr>
          <w:rFonts w:hint="cs"/>
        </w:rPr>
        <w:t xml:space="preserve"> </w:t>
      </w:r>
      <w:r w:rsidRPr="00A52585">
        <w:rPr>
          <w:rFonts w:hint="cs"/>
          <w:rtl/>
        </w:rPr>
        <w:t>وفي قوله</w:t>
      </w:r>
      <w:r w:rsidR="0002035C" w:rsidRPr="00A52585">
        <w:rPr>
          <w:rFonts w:hint="cs"/>
          <w:rtl/>
        </w:rPr>
        <w:t xml:space="preserve"> </w:t>
      </w:r>
      <w:r w:rsidRPr="00A52585">
        <w:rPr>
          <w:rFonts w:hint="cs"/>
          <w:rtl/>
        </w:rPr>
        <w:t>ينظرون</w:t>
      </w:r>
      <w:r w:rsidRPr="00A52585">
        <w:rPr>
          <w:rFonts w:hint="cs"/>
        </w:rPr>
        <w:t xml:space="preserve"> </w:t>
      </w:r>
      <w:r w:rsidRPr="00A52585">
        <w:rPr>
          <w:rFonts w:hint="cs"/>
          <w:rtl/>
        </w:rPr>
        <w:t>إلا أن يأتيهم الله في ظلل من الغمام</w:t>
      </w:r>
      <w:r w:rsidR="0002035C" w:rsidRPr="00A52585">
        <w:rPr>
          <w:rFonts w:hint="cs"/>
          <w:rtl/>
        </w:rPr>
        <w:t xml:space="preserve"> </w:t>
      </w:r>
      <w:r w:rsidRPr="00A52585">
        <w:rPr>
          <w:rFonts w:hint="cs"/>
          <w:rtl/>
        </w:rPr>
        <w:t>الآية</w:t>
      </w:r>
      <w:r w:rsidR="0002035C" w:rsidRPr="00A52585">
        <w:rPr>
          <w:rFonts w:hint="cs"/>
          <w:rtl/>
        </w:rPr>
        <w:t xml:space="preserve"> </w:t>
      </w:r>
      <w:r w:rsidRPr="00A52585">
        <w:rPr>
          <w:rFonts w:hint="cs"/>
          <w:rtl/>
        </w:rPr>
        <w:t>ونؤمن</w:t>
      </w:r>
      <w:r w:rsidRPr="00A52585">
        <w:rPr>
          <w:rFonts w:hint="cs"/>
        </w:rPr>
        <w:t xml:space="preserve"> </w:t>
      </w:r>
      <w:r w:rsidRPr="00A52585">
        <w:rPr>
          <w:rFonts w:hint="cs"/>
          <w:rtl/>
        </w:rPr>
        <w:t>بذلك بلا كيف فلو شاء سبحانه أن يبين لنا كيفية ذلك فعل فانتهينا إلى ما</w:t>
      </w:r>
      <w:r w:rsidRPr="00A52585">
        <w:rPr>
          <w:rFonts w:hint="cs"/>
        </w:rPr>
        <w:t xml:space="preserve"> </w:t>
      </w:r>
      <w:r w:rsidRPr="00A52585">
        <w:rPr>
          <w:rFonts w:hint="cs"/>
          <w:rtl/>
        </w:rPr>
        <w:t>أحكمه وكففنا عن الذي يتشابه</w:t>
      </w:r>
      <w:r w:rsidR="00DB731D" w:rsidRPr="00A52585">
        <w:rPr>
          <w:rFonts w:hint="cs"/>
          <w:rtl/>
        </w:rPr>
        <w:t>،</w:t>
      </w:r>
      <w:r w:rsidR="0002035C" w:rsidRPr="00A52585">
        <w:rPr>
          <w:rFonts w:hint="cs"/>
          <w:rtl/>
        </w:rPr>
        <w:t xml:space="preserve"> </w:t>
      </w:r>
      <w:r w:rsidRPr="00A52585">
        <w:rPr>
          <w:rFonts w:hint="cs"/>
          <w:rtl/>
        </w:rPr>
        <w:t xml:space="preserve">قال ابن عيينة </w:t>
      </w:r>
      <w:r w:rsidRPr="00A52585">
        <w:rPr>
          <w:rFonts w:hint="cs"/>
          <w:bCs/>
          <w:rtl/>
        </w:rPr>
        <w:t>كل ما وصف الله به نفسه في كتابه فتفسيره تلاوته والسكوت عنه</w:t>
      </w:r>
      <w:r w:rsidR="00DB731D" w:rsidRPr="00A52585">
        <w:rPr>
          <w:rFonts w:hint="cs"/>
          <w:rtl/>
        </w:rPr>
        <w:t>،</w:t>
      </w:r>
      <w:r w:rsidRPr="00A52585">
        <w:rPr>
          <w:rFonts w:hint="cs"/>
          <w:rtl/>
        </w:rPr>
        <w:t xml:space="preserve"> وقال بعض السلف قدم الإسلام لا يثبت إلا على قنطرة التسليم</w:t>
      </w:r>
      <w:r w:rsidR="00DB731D" w:rsidRPr="00A52585">
        <w:rPr>
          <w:rFonts w:hint="cs"/>
          <w:rtl/>
        </w:rPr>
        <w:t>،</w:t>
      </w:r>
      <w:r w:rsidRPr="00A52585">
        <w:rPr>
          <w:rFonts w:hint="cs"/>
          <w:rtl/>
        </w:rPr>
        <w:t xml:space="preserve"> فقد قال الإمام الشافعي رحمه الله تعالى </w:t>
      </w:r>
      <w:r w:rsidRPr="00A52585">
        <w:rPr>
          <w:rFonts w:hint="cs"/>
          <w:bCs/>
          <w:rtl/>
        </w:rPr>
        <w:t>آمنت بالله وبما جاء عن الله وعلى مراد الله وآمنت برسول الله وبما جاء به رسول الله وعلى مراد رسول الله</w:t>
      </w:r>
      <w:r w:rsidRPr="00A52585">
        <w:rPr>
          <w:rFonts w:hint="cs"/>
          <w:rtl/>
        </w:rPr>
        <w:t xml:space="preserve"> نقله عنه الإمام أبو الحسن </w:t>
      </w:r>
      <w:proofErr w:type="spellStart"/>
      <w:r w:rsidRPr="00A52585">
        <w:rPr>
          <w:rFonts w:hint="cs"/>
          <w:rtl/>
        </w:rPr>
        <w:t>اللبوذي</w:t>
      </w:r>
      <w:proofErr w:type="spellEnd"/>
      <w:r w:rsidRPr="00A52585">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sidRPr="00A52585">
        <w:rPr>
          <w:rFonts w:hint="cs"/>
        </w:rPr>
        <w:t xml:space="preserve"> </w:t>
      </w:r>
      <w:r w:rsidRPr="00A52585">
        <w:rPr>
          <w:rFonts w:hint="cs"/>
          <w:rtl/>
        </w:rPr>
        <w:t>في</w:t>
      </w:r>
      <w:r w:rsidRPr="00A52585">
        <w:rPr>
          <w:rFonts w:hint="cs"/>
        </w:rPr>
        <w:t xml:space="preserve"> </w:t>
      </w:r>
      <w:r w:rsidRPr="00A52585">
        <w:rPr>
          <w:rFonts w:hint="cs"/>
          <w:rtl/>
        </w:rPr>
        <w:t>الاعتقاد وأنه</w:t>
      </w:r>
      <w:r w:rsidRPr="00A52585">
        <w:rPr>
          <w:rFonts w:hint="cs"/>
        </w:rPr>
        <w:t xml:space="preserve"> </w:t>
      </w:r>
      <w:r w:rsidRPr="00A52585">
        <w:rPr>
          <w:rFonts w:hint="cs"/>
          <w:rtl/>
        </w:rPr>
        <w:t>يجري المتشابهات على ما قاله الله من غير تصرف ولا تأويل كما</w:t>
      </w:r>
      <w:r w:rsidRPr="00A52585">
        <w:rPr>
          <w:rFonts w:hint="cs"/>
        </w:rPr>
        <w:t xml:space="preserve"> </w:t>
      </w:r>
      <w:r w:rsidRPr="00A52585">
        <w:rPr>
          <w:rFonts w:hint="cs"/>
          <w:rtl/>
        </w:rPr>
        <w:t>هو</w:t>
      </w:r>
      <w:r w:rsidRPr="00A52585">
        <w:rPr>
          <w:rFonts w:hint="cs"/>
        </w:rPr>
        <w:t xml:space="preserve"> </w:t>
      </w:r>
      <w:r w:rsidRPr="00A52585">
        <w:rPr>
          <w:rFonts w:hint="cs"/>
          <w:rtl/>
        </w:rPr>
        <w:t>مذهب السلف وعليه فلا خلاف ولا نزاع والحمد لله "</w:t>
      </w:r>
      <w:r w:rsidRPr="00A52585">
        <w:rPr>
          <w:rFonts w:hint="cs"/>
          <w:bCs/>
          <w:rtl/>
        </w:rPr>
        <w:t xml:space="preserve"> [</w:t>
      </w:r>
      <w:r w:rsidRPr="00A52585">
        <w:rPr>
          <w:rFonts w:hint="cs"/>
          <w:rtl/>
        </w:rPr>
        <w:t>العين والأثر في عقائد أهل الأثر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62- 63</w:t>
      </w:r>
      <w:r w:rsidRPr="00A52585">
        <w:rPr>
          <w:rFonts w:hint="cs"/>
          <w:bCs/>
          <w:rtl/>
        </w:rPr>
        <w:t>]</w:t>
      </w:r>
      <w:r w:rsidRPr="00A52585">
        <w:rPr>
          <w:rFonts w:hint="cs"/>
          <w:rtl/>
        </w:rPr>
        <w:t xml:space="preserve"> أهـ</w:t>
      </w:r>
      <w:r w:rsidR="00DB731D" w:rsidRPr="00A52585">
        <w:rPr>
          <w:rFonts w:hint="cs"/>
          <w:rtl/>
        </w:rPr>
        <w:t>،</w:t>
      </w:r>
      <w:r w:rsidR="0002035C" w:rsidRPr="00A52585">
        <w:rPr>
          <w:rFonts w:hint="cs"/>
          <w:rtl/>
        </w:rPr>
        <w:t xml:space="preserve"> </w:t>
      </w:r>
      <w:r w:rsidRPr="00A52585">
        <w:rPr>
          <w:rFonts w:hint="cs"/>
          <w:bCs/>
          <w:rtl/>
        </w:rPr>
        <w:t>وقال ابن عبد البر في التمهيد</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Pr="00A52585">
        <w:rPr>
          <w:rFonts w:hint="cs"/>
          <w:bCs/>
          <w:rtl/>
        </w:rPr>
        <w:t>فقال</w:t>
      </w:r>
      <w:r w:rsidR="0002035C" w:rsidRPr="00A52585">
        <w:rPr>
          <w:rFonts w:hint="cs"/>
          <w:bCs/>
          <w:rtl/>
        </w:rPr>
        <w:t>:</w:t>
      </w:r>
      <w:r w:rsidRPr="00A52585">
        <w:rPr>
          <w:rFonts w:hint="cs"/>
          <w:bCs/>
          <w:rtl/>
        </w:rPr>
        <w:t xml:space="preserve"> هذه الأحاديث نرويها ونقر بها كما جاءت بلا كيف</w:t>
      </w:r>
      <w:r w:rsidRPr="00A52585">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Pr="00A52585">
        <w:rPr>
          <w:rFonts w:hint="cs"/>
          <w:bCs/>
          <w:rtl/>
        </w:rPr>
        <w:t>فقالوا أمروها كما جاءت بلا كيف</w:t>
      </w:r>
      <w:r w:rsidRPr="00A52585">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sidRPr="00A52585">
        <w:rPr>
          <w:rFonts w:hint="cs"/>
          <w:bCs/>
          <w:rtl/>
        </w:rPr>
        <w:t xml:space="preserve">يحدثون بهذه الأحاديث ولا يفسرون شيئا </w:t>
      </w:r>
      <w:r w:rsidRPr="00A52585">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sidRPr="00A52585">
        <w:rPr>
          <w:rFonts w:hint="cs"/>
          <w:rtl/>
        </w:rPr>
        <w:t>لتمتلىء</w:t>
      </w:r>
      <w:proofErr w:type="spellEnd"/>
      <w:r w:rsidRPr="00A52585">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Pr="00A52585">
        <w:rPr>
          <w:rFonts w:hint="cs"/>
          <w:bCs/>
          <w:rtl/>
        </w:rPr>
        <w:t xml:space="preserve">إلا أنا إذا سئلنا عن تفسير </w:t>
      </w:r>
      <w:r w:rsidRPr="00A52585">
        <w:rPr>
          <w:rFonts w:hint="cs"/>
          <w:bCs/>
          <w:rtl/>
        </w:rPr>
        <w:lastRenderedPageBreak/>
        <w:t>هذه الأحاديث لم نفسرها ولم نذكر أحدا يفسرها</w:t>
      </w:r>
      <w:r w:rsidR="00DB731D" w:rsidRPr="00A52585">
        <w:rPr>
          <w:rFonts w:hint="cs"/>
          <w:bCs/>
          <w:rtl/>
        </w:rPr>
        <w:t>،</w:t>
      </w:r>
      <w:r w:rsidRPr="00A52585">
        <w:rPr>
          <w:rFonts w:hint="cs"/>
          <w:rtl/>
        </w:rPr>
        <w:t xml:space="preserve"> </w:t>
      </w:r>
      <w:r w:rsidRPr="00A52585">
        <w:rPr>
          <w:rFonts w:hint="cs"/>
          <w:bCs/>
          <w:rtl/>
        </w:rPr>
        <w:t xml:space="preserve">وقد كان مالك ينكر على من حدث بمثل هذه الأحاديث </w:t>
      </w:r>
      <w:r w:rsidRPr="00A52585">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sidRPr="00A52585">
        <w:rPr>
          <w:rFonts w:hint="cs"/>
          <w:bCs/>
          <w:rtl/>
        </w:rPr>
        <w:t xml:space="preserve"> فأنكر ذلك إنكارا شديدا ونهى أن يحدث به أحدا وإنما كره ذلك مالك خشية الخوض في التشبيه بكيف </w:t>
      </w:r>
      <w:proofErr w:type="spellStart"/>
      <w:r w:rsidRPr="00A52585">
        <w:rPr>
          <w:rFonts w:hint="cs"/>
          <w:bCs/>
          <w:rtl/>
        </w:rPr>
        <w:t>هاهنا</w:t>
      </w:r>
      <w:r w:rsidR="00897A24" w:rsidRPr="00A52585">
        <w:rPr>
          <w:rFonts w:hint="cs"/>
          <w:rtl/>
        </w:rPr>
        <w:t>.</w:t>
      </w:r>
      <w:r w:rsidRPr="00A52585">
        <w:rPr>
          <w:rFonts w:hint="cs"/>
          <w:rtl/>
        </w:rPr>
        <w:t>.وقال</w:t>
      </w:r>
      <w:proofErr w:type="spellEnd"/>
      <w:r w:rsidRPr="00A52585">
        <w:rPr>
          <w:rFonts w:hint="cs"/>
          <w:rtl/>
        </w:rPr>
        <w:t xml:space="preserve"> يحيى بن </w:t>
      </w:r>
      <w:proofErr w:type="spellStart"/>
      <w:r w:rsidRPr="00A52585">
        <w:rPr>
          <w:rFonts w:hint="cs"/>
          <w:rtl/>
        </w:rPr>
        <w:t>إبرهيم</w:t>
      </w:r>
      <w:proofErr w:type="spellEnd"/>
      <w:r w:rsidRPr="00A52585">
        <w:rPr>
          <w:rFonts w:hint="cs"/>
          <w:rtl/>
        </w:rPr>
        <w:t xml:space="preserve"> بن مزين إنما كره مالك أن يتحدث بتلك</w:t>
      </w:r>
      <w:r w:rsidRPr="00A52585">
        <w:rPr>
          <w:rFonts w:hint="cs"/>
        </w:rPr>
        <w:t xml:space="preserve"> </w:t>
      </w:r>
      <w:r w:rsidRPr="00A52585">
        <w:rPr>
          <w:rFonts w:hint="cs"/>
          <w:rtl/>
        </w:rPr>
        <w:t xml:space="preserve">الأحاديث لأن فيها حدا وصفة وتشبيها والنجاة في هذا الانتهاء إلى ما قال الله عز </w:t>
      </w:r>
      <w:proofErr w:type="spellStart"/>
      <w:r w:rsidRPr="00A52585">
        <w:rPr>
          <w:rFonts w:hint="cs"/>
          <w:rtl/>
        </w:rPr>
        <w:t>وجل</w:t>
      </w:r>
      <w:r w:rsidR="00897A24" w:rsidRPr="00A52585">
        <w:rPr>
          <w:rFonts w:hint="cs"/>
          <w:rtl/>
        </w:rPr>
        <w:t>.</w:t>
      </w:r>
      <w:r w:rsidRPr="00A52585">
        <w:rPr>
          <w:rFonts w:hint="cs"/>
          <w:rtl/>
        </w:rPr>
        <w:t>.ولا</w:t>
      </w:r>
      <w:proofErr w:type="spellEnd"/>
      <w:r w:rsidRPr="00A52585">
        <w:rPr>
          <w:rFonts w:hint="cs"/>
        </w:rPr>
        <w:t xml:space="preserve"> </w:t>
      </w:r>
      <w:r w:rsidRPr="00A52585">
        <w:rPr>
          <w:rFonts w:hint="cs"/>
          <w:rtl/>
        </w:rPr>
        <w:t xml:space="preserve">يعدوه </w:t>
      </w:r>
      <w:r w:rsidRPr="00A52585">
        <w:rPr>
          <w:rFonts w:hint="cs"/>
          <w:bCs/>
          <w:rtl/>
        </w:rPr>
        <w:t>ولا يفسره</w:t>
      </w:r>
      <w:r w:rsidRPr="00A52585">
        <w:rPr>
          <w:rFonts w:hint="cs"/>
          <w:rtl/>
        </w:rPr>
        <w:t xml:space="preserve"> ولا يقل كيف فإن في ذلك الهلاك لأن الله كلف عبيده الإيمان بالتنزيل</w:t>
      </w:r>
      <w:r w:rsidRPr="00A52585">
        <w:rPr>
          <w:rFonts w:hint="cs"/>
        </w:rPr>
        <w:t xml:space="preserve"> </w:t>
      </w:r>
      <w:r w:rsidRPr="00A52585">
        <w:rPr>
          <w:rFonts w:hint="cs"/>
          <w:rtl/>
        </w:rPr>
        <w:t>ولم يكلفهم الخوض في التأويل الذي لا يعلمه غيره</w:t>
      </w:r>
      <w:r w:rsidR="0002035C" w:rsidRPr="00A52585">
        <w:rPr>
          <w:rFonts w:hint="cs"/>
          <w:rtl/>
        </w:rPr>
        <w:t xml:space="preserve">)) </w:t>
      </w:r>
      <w:r w:rsidRPr="00A52585">
        <w:rPr>
          <w:rFonts w:hint="cs"/>
          <w:rtl/>
        </w:rPr>
        <w:t>[التمهيد لابن عبد البر ج 7 ص 149ـ152] أهـ</w:t>
      </w:r>
      <w:r w:rsidR="00DB731D" w:rsidRPr="00A52585">
        <w:rPr>
          <w:rFonts w:hint="cs"/>
          <w:rtl/>
        </w:rPr>
        <w:t>،</w:t>
      </w:r>
      <w:r w:rsidR="0002035C" w:rsidRPr="00A52585">
        <w:rPr>
          <w:rFonts w:hint="cs"/>
          <w:rtl/>
        </w:rPr>
        <w:t xml:space="preserve"> </w:t>
      </w:r>
      <w:r w:rsidRPr="00A52585">
        <w:rPr>
          <w:rFonts w:hint="cs"/>
          <w:bCs/>
          <w:rtl/>
        </w:rPr>
        <w:t>وقال الذهبي في سير أعلام النبلاء</w:t>
      </w:r>
      <w:r w:rsidR="0002035C" w:rsidRPr="00A52585">
        <w:rPr>
          <w:rFonts w:hint="cs"/>
          <w:bCs/>
          <w:rtl/>
        </w:rPr>
        <w:t>:</w:t>
      </w:r>
      <w:r w:rsidRPr="00A52585">
        <w:rPr>
          <w:rFonts w:hint="cs"/>
          <w:bCs/>
          <w:rtl/>
        </w:rPr>
        <w:t xml:space="preserve"> </w:t>
      </w:r>
      <w:r w:rsidRPr="00A52585">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02035C" w:rsidRPr="00A52585">
        <w:rPr>
          <w:rFonts w:hint="cs"/>
          <w:rtl/>
        </w:rPr>
        <w:t xml:space="preserve"> </w:t>
      </w:r>
      <w:r w:rsidRPr="00A52585">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Pr="00A52585">
        <w:rPr>
          <w:rFonts w:hint="cs"/>
          <w:bCs/>
          <w:rtl/>
        </w:rPr>
        <w:t>وتفويض معناه</w:t>
      </w:r>
      <w:r w:rsidRPr="00A52585">
        <w:rPr>
          <w:rFonts w:hint="cs"/>
          <w:rtl/>
        </w:rPr>
        <w:t xml:space="preserve"> إلى قائله الصادق المعصوم</w:t>
      </w:r>
      <w:r w:rsidR="0002035C" w:rsidRPr="00A52585">
        <w:rPr>
          <w:rFonts w:hint="cs"/>
          <w:rtl/>
        </w:rPr>
        <w:t xml:space="preserve"> </w:t>
      </w:r>
      <w:r w:rsidRPr="00A52585">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02035C" w:rsidRPr="00A52585">
        <w:rPr>
          <w:rFonts w:hint="cs"/>
          <w:rtl/>
        </w:rPr>
        <w:t xml:space="preserve"> </w:t>
      </w:r>
      <w:r w:rsidRPr="00A52585">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02035C" w:rsidRPr="00A52585">
        <w:rPr>
          <w:rFonts w:hint="cs"/>
          <w:rtl/>
        </w:rPr>
        <w:t>[</w:t>
      </w:r>
      <w:r w:rsidRPr="00A52585">
        <w:rPr>
          <w:rFonts w:hint="cs"/>
          <w:rtl/>
        </w:rPr>
        <w:t>سير أعلام النبلاء ج 8 ص 103-105] أهـ</w:t>
      </w:r>
      <w:r w:rsidR="00DB731D" w:rsidRPr="00A52585">
        <w:rPr>
          <w:rFonts w:hint="cs"/>
          <w:rtl/>
        </w:rPr>
        <w:t>،</w:t>
      </w:r>
      <w:r w:rsidR="0002035C" w:rsidRPr="00A52585">
        <w:rPr>
          <w:rFonts w:hint="cs"/>
          <w:rtl/>
        </w:rPr>
        <w:t xml:space="preserve"> </w:t>
      </w:r>
      <w:r w:rsidRPr="00A52585">
        <w:rPr>
          <w:rFonts w:hint="cs"/>
          <w:bCs/>
          <w:rtl/>
        </w:rPr>
        <w:t>وقال النووي في المجموع</w:t>
      </w:r>
      <w:r w:rsidR="0002035C" w:rsidRPr="00A52585">
        <w:rPr>
          <w:rFonts w:hint="cs"/>
          <w:bCs/>
          <w:rtl/>
        </w:rPr>
        <w:t>:</w:t>
      </w:r>
      <w:r w:rsidRPr="00A52585">
        <w:rPr>
          <w:rFonts w:hint="cs"/>
          <w:bCs/>
          <w:rtl/>
        </w:rPr>
        <w:t xml:space="preserve"> </w:t>
      </w:r>
      <w:r w:rsidRPr="00A52585">
        <w:rPr>
          <w:rFonts w:hint="cs"/>
          <w:rtl/>
        </w:rPr>
        <w:t>" عن أبي هريرة رضي الله عنه رسول الله</w:t>
      </w:r>
      <w:r w:rsidR="0002035C" w:rsidRPr="00A52585">
        <w:rPr>
          <w:rFonts w:hint="cs"/>
          <w:rtl/>
        </w:rPr>
        <w:t xml:space="preserve"> </w:t>
      </w:r>
      <w:r w:rsidRPr="00A52585">
        <w:rPr>
          <w:rFonts w:hint="cs"/>
          <w:rtl/>
        </w:rPr>
        <w:t>صلى الله عليه وسلم</w:t>
      </w:r>
      <w:r w:rsidR="0002035C" w:rsidRPr="00A52585">
        <w:rPr>
          <w:rFonts w:hint="cs"/>
          <w:rtl/>
        </w:rPr>
        <w:t xml:space="preserve"> </w:t>
      </w:r>
      <w:r w:rsidRPr="00A52585">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w:t>
      </w:r>
      <w:r w:rsidRPr="00A52585">
        <w:rPr>
          <w:rFonts w:hint="cs"/>
          <w:rtl/>
        </w:rPr>
        <w:lastRenderedPageBreak/>
        <w:t xml:space="preserve">الأشهر عن المتكلمين والثاني الإمساك عن تأويلها مع اعتقاد تنزيه الله سبحانه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أهـ </w:t>
      </w:r>
      <w:r w:rsidR="0002035C" w:rsidRPr="00A52585">
        <w:rPr>
          <w:rFonts w:hint="cs"/>
          <w:rtl/>
        </w:rPr>
        <w:t>[</w:t>
      </w:r>
      <w:r w:rsidRPr="00A52585">
        <w:rPr>
          <w:rFonts w:hint="cs"/>
          <w:rtl/>
        </w:rPr>
        <w:t>المجموع ج 4 ص51]</w:t>
      </w:r>
      <w:r w:rsidR="00DB731D" w:rsidRPr="00A52585">
        <w:rPr>
          <w:rFonts w:hint="cs"/>
          <w:rtl/>
        </w:rPr>
        <w:t>،</w:t>
      </w:r>
      <w:r w:rsidR="0002035C" w:rsidRPr="00A52585">
        <w:rPr>
          <w:rFonts w:hint="cs"/>
          <w:rtl/>
        </w:rPr>
        <w:t xml:space="preserve"> </w:t>
      </w:r>
      <w:r w:rsidRPr="00A52585">
        <w:rPr>
          <w:rFonts w:hint="cs"/>
          <w:bCs/>
          <w:rtl/>
        </w:rPr>
        <w:t>وقال الإمام القرطبي</w:t>
      </w:r>
      <w:r w:rsidR="0002035C" w:rsidRPr="00A52585">
        <w:rPr>
          <w:rFonts w:hint="cs"/>
          <w:rtl/>
        </w:rPr>
        <w:t>:</w:t>
      </w:r>
      <w:r w:rsidRPr="00A52585">
        <w:rPr>
          <w:rFonts w:hint="cs"/>
          <w:rtl/>
        </w:rPr>
        <w:t xml:space="preserve"> _في تفسير قوله تعالى </w:t>
      </w:r>
      <w:r w:rsidR="0002035C" w:rsidRPr="00A52585">
        <w:rPr>
          <w:rFonts w:hint="cs"/>
          <w:rtl/>
        </w:rPr>
        <w:t>(</w:t>
      </w:r>
      <w:r w:rsidRPr="00A52585">
        <w:rPr>
          <w:rFonts w:hint="cs"/>
          <w:rtl/>
        </w:rPr>
        <w:t>فيتبعون ما تشابه منه ابتغاء الفتنة وابتغاء تأويله</w:t>
      </w:r>
      <w:r w:rsidR="0002035C" w:rsidRPr="00A52585">
        <w:rPr>
          <w:rFonts w:hint="cs"/>
          <w:rtl/>
        </w:rPr>
        <w:t>):</w:t>
      </w:r>
      <w:r w:rsidRPr="00A52585">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sidR="0002035C" w:rsidRPr="00A52585">
        <w:rPr>
          <w:rFonts w:hint="cs"/>
          <w:rtl/>
        </w:rPr>
        <w:t xml:space="preserve"> </w:t>
      </w:r>
      <w:r w:rsidRPr="00A52585">
        <w:rPr>
          <w:rFonts w:hint="cs"/>
          <w:rtl/>
        </w:rPr>
        <w:t xml:space="preserve">الطاعنون في القرآن أو </w:t>
      </w:r>
      <w:r w:rsidRPr="00A52585">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Pr="00A52585">
        <w:rPr>
          <w:rFonts w:hint="cs"/>
          <w:rtl/>
        </w:rPr>
        <w:t xml:space="preserve"> أو يتبعوه على جهة إبداء تأويلاتها وإيضاح معانيها أو كما فعل </w:t>
      </w:r>
      <w:proofErr w:type="spellStart"/>
      <w:r w:rsidRPr="00A52585">
        <w:rPr>
          <w:rFonts w:hint="cs"/>
          <w:rtl/>
        </w:rPr>
        <w:t>صبيغ</w:t>
      </w:r>
      <w:proofErr w:type="spellEnd"/>
      <w:r w:rsidRPr="00A52585">
        <w:rPr>
          <w:rFonts w:hint="cs"/>
          <w:rtl/>
        </w:rPr>
        <w:t xml:space="preserve"> حين أكثر على عمر فيه السؤال فهذه أربعة أقسام</w:t>
      </w:r>
      <w:r w:rsidR="0002035C" w:rsidRPr="00A52585">
        <w:rPr>
          <w:rFonts w:hint="cs"/>
          <w:rtl/>
        </w:rPr>
        <w:t xml:space="preserve"> </w:t>
      </w:r>
      <w:r w:rsidRPr="00A52585">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Pr="00A52585">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Pr="00A52585">
        <w:rPr>
          <w:rFonts w:hint="cs"/>
          <w:rtl/>
        </w:rPr>
        <w:t xml:space="preserve">الرابع الحكم فيه التأديب البليغ كما فعله عمر رضي الله عنه </w:t>
      </w:r>
      <w:proofErr w:type="spellStart"/>
      <w:r w:rsidRPr="00A52585">
        <w:rPr>
          <w:rFonts w:hint="cs"/>
          <w:rtl/>
        </w:rPr>
        <w:t>بصبيغ</w:t>
      </w:r>
      <w:proofErr w:type="spellEnd"/>
      <w:r w:rsidR="0002035C" w:rsidRPr="00A52585">
        <w:rPr>
          <w:rFonts w:hint="cs"/>
          <w:rtl/>
        </w:rPr>
        <w:t xml:space="preserve">)) </w:t>
      </w:r>
      <w:r w:rsidRPr="00A52585">
        <w:rPr>
          <w:rFonts w:hint="cs"/>
          <w:rtl/>
        </w:rPr>
        <w:t xml:space="preserve">[الجامع </w:t>
      </w:r>
      <w:proofErr w:type="spellStart"/>
      <w:r w:rsidRPr="00A52585">
        <w:rPr>
          <w:rFonts w:hint="cs"/>
          <w:rtl/>
        </w:rPr>
        <w:t>لاحكام</w:t>
      </w:r>
      <w:proofErr w:type="spellEnd"/>
      <w:r w:rsidRPr="00A52585">
        <w:rPr>
          <w:rFonts w:hint="cs"/>
          <w:rtl/>
        </w:rPr>
        <w:t xml:space="preserve"> القران 4</w:t>
      </w:r>
      <w:r w:rsidR="0002035C" w:rsidRPr="00A52585">
        <w:rPr>
          <w:rFonts w:hint="cs"/>
          <w:rtl/>
        </w:rPr>
        <w:t>:</w:t>
      </w:r>
      <w:r w:rsidRPr="00A52585">
        <w:rPr>
          <w:rFonts w:hint="cs"/>
          <w:rtl/>
        </w:rPr>
        <w:t xml:space="preserve"> 14,13] أهـ</w:t>
      </w:r>
      <w:r w:rsidR="00DB731D" w:rsidRPr="00A52585">
        <w:rPr>
          <w:rFonts w:hint="cs"/>
          <w:rtl/>
        </w:rPr>
        <w:t>،</w:t>
      </w:r>
      <w:r w:rsidRPr="00A52585">
        <w:rPr>
          <w:rFonts w:hint="cs"/>
          <w:rtl/>
        </w:rPr>
        <w:t xml:space="preserve"> </w:t>
      </w:r>
      <w:r w:rsidRPr="00A52585">
        <w:rPr>
          <w:rFonts w:hint="cs"/>
          <w:bCs/>
          <w:rtl/>
        </w:rPr>
        <w:t>وقال الشيخ علاء الدين بن عابدين</w:t>
      </w:r>
      <w:r w:rsidR="0002035C" w:rsidRPr="00A52585">
        <w:rPr>
          <w:rFonts w:hint="cs"/>
          <w:rtl/>
        </w:rPr>
        <w:t>:</w:t>
      </w:r>
      <w:r w:rsidRPr="00A52585">
        <w:rPr>
          <w:rFonts w:hint="cs"/>
          <w:rtl/>
        </w:rPr>
        <w:t xml:space="preserve"> " </w:t>
      </w:r>
      <w:r w:rsidRPr="00A52585">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sidR="00DB731D" w:rsidRPr="00A52585">
        <w:rPr>
          <w:rFonts w:hint="cs"/>
          <w:rtl/>
        </w:rPr>
        <w:t>،</w:t>
      </w:r>
      <w:r w:rsidRPr="00A52585">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sidR="0002035C" w:rsidRPr="00A52585">
        <w:rPr>
          <w:rFonts w:hint="cs"/>
          <w:rtl/>
        </w:rPr>
        <w:t xml:space="preserve"> </w:t>
      </w:r>
      <w:r w:rsidRPr="00A52585">
        <w:rPr>
          <w:rFonts w:hint="cs"/>
          <w:rtl/>
        </w:rPr>
        <w:t>واليد بمعنى القدرة والنزول بمعنى نزول الرحمة</w:t>
      </w:r>
      <w:r w:rsidR="0002035C" w:rsidRPr="00A52585">
        <w:rPr>
          <w:rFonts w:hint="cs"/>
          <w:rtl/>
        </w:rPr>
        <w:t xml:space="preserve"> </w:t>
      </w:r>
      <w:r w:rsidRPr="00A52585">
        <w:rPr>
          <w:rFonts w:hint="cs"/>
          <w:rtl/>
        </w:rPr>
        <w:t>فمن يجد من نفسه قدرة على صنيع السلف فليمش على سننهم وإلا فليتبع الخلف وليحترز من المهالك"</w:t>
      </w:r>
      <w:r w:rsidR="0002035C" w:rsidRPr="00A52585">
        <w:rPr>
          <w:rFonts w:hint="cs"/>
          <w:rtl/>
        </w:rPr>
        <w:t xml:space="preserve"> </w:t>
      </w:r>
      <w:r w:rsidRPr="00A52585">
        <w:rPr>
          <w:rFonts w:hint="cs"/>
          <w:rtl/>
        </w:rPr>
        <w:t>[إيضاح الدليل في قطع حجج أهل التعطيل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57] أهـ</w:t>
      </w:r>
      <w:r w:rsidR="00DB731D" w:rsidRPr="00A52585">
        <w:rPr>
          <w:rFonts w:hint="cs"/>
          <w:rtl/>
        </w:rPr>
        <w:t>،</w:t>
      </w:r>
      <w:r w:rsidR="0002035C" w:rsidRPr="00A52585">
        <w:rPr>
          <w:rFonts w:hint="cs"/>
          <w:rtl/>
        </w:rPr>
        <w:t xml:space="preserve"> </w:t>
      </w:r>
      <w:r w:rsidR="0002035C" w:rsidRPr="00A52585">
        <w:rPr>
          <w:rFonts w:hint="cs"/>
          <w:bCs/>
          <w:rtl/>
        </w:rPr>
        <w:t>(</w:t>
      </w:r>
      <w:r w:rsidRPr="00A52585">
        <w:rPr>
          <w:rFonts w:hint="cs"/>
          <w:bCs/>
          <w:rtl/>
        </w:rPr>
        <w:t>قلت</w:t>
      </w:r>
      <w:r w:rsidR="0002035C" w:rsidRPr="00A52585">
        <w:rPr>
          <w:rFonts w:hint="cs"/>
          <w:bCs/>
          <w:rtl/>
        </w:rPr>
        <w:t>):</w:t>
      </w:r>
      <w:r w:rsidRPr="00A52585">
        <w:rPr>
          <w:rFonts w:hint="cs"/>
          <w:bCs/>
          <w:rtl/>
        </w:rPr>
        <w:t xml:space="preserve"> وللدكتور عبد الحليم محمود مقالة طيبة</w:t>
      </w:r>
      <w:r w:rsidRPr="00A52585">
        <w:rPr>
          <w:rFonts w:hint="cs"/>
          <w:rtl/>
        </w:rPr>
        <w:t xml:space="preserve"> في هذا الباب</w:t>
      </w:r>
      <w:r w:rsidR="0002035C" w:rsidRPr="00A52585">
        <w:rPr>
          <w:rFonts w:hint="cs"/>
          <w:rtl/>
        </w:rPr>
        <w:t>:</w:t>
      </w:r>
      <w:r w:rsidRPr="00A52585">
        <w:rPr>
          <w:rFonts w:hint="cs"/>
          <w:rtl/>
        </w:rPr>
        <w:t xml:space="preserve"> قال رحمه الله في كتابه التفكير الفلسفي في الاسلام</w:t>
      </w:r>
      <w:r w:rsidR="0002035C" w:rsidRPr="00A52585">
        <w:rPr>
          <w:rFonts w:hint="cs"/>
          <w:rtl/>
        </w:rPr>
        <w:t>:</w:t>
      </w:r>
      <w:r w:rsidRPr="00A52585">
        <w:rPr>
          <w:rFonts w:hint="cs"/>
          <w:rtl/>
        </w:rPr>
        <w:t xml:space="preserve"> " لأننا الان بصدد تحديد مذهب السلف فيما يتعلق بصفات الباري تعالى وسنعتمد إن شاء الله تعالى في هذا </w:t>
      </w:r>
      <w:r w:rsidRPr="00A52585">
        <w:rPr>
          <w:rFonts w:hint="cs"/>
          <w:rtl/>
        </w:rPr>
        <w:lastRenderedPageBreak/>
        <w:t xml:space="preserve">التحديد بوجه أخص على </w:t>
      </w:r>
      <w:proofErr w:type="spellStart"/>
      <w:r w:rsidRPr="00A52585">
        <w:rPr>
          <w:rFonts w:hint="cs"/>
          <w:rtl/>
        </w:rPr>
        <w:t>الشهرستاني</w:t>
      </w:r>
      <w:proofErr w:type="spellEnd"/>
      <w:r w:rsidRPr="00A52585">
        <w:rPr>
          <w:rFonts w:hint="cs"/>
          <w:rtl/>
        </w:rPr>
        <w:t xml:space="preserve"> في الملل والنحل وعلى الامام الغزالي في الاحياء وفي إلجام العوام وعلى الإمام الرازي في أساس التقديس</w:t>
      </w:r>
      <w:r w:rsidR="00DB731D" w:rsidRPr="00A52585">
        <w:rPr>
          <w:rFonts w:hint="cs"/>
          <w:rtl/>
        </w:rPr>
        <w:t>،</w:t>
      </w:r>
      <w:r w:rsidRPr="00A52585">
        <w:rPr>
          <w:rFonts w:hint="cs"/>
          <w:rtl/>
        </w:rPr>
        <w:t xml:space="preserve"> وأظن أن خطورة الموضوع تعطينا كل عزم في الاستفاضة والاسترسال 0 ونعود </w:t>
      </w:r>
      <w:proofErr w:type="spellStart"/>
      <w:r w:rsidRPr="00A52585">
        <w:rPr>
          <w:rFonts w:hint="cs"/>
          <w:rtl/>
        </w:rPr>
        <w:t>فنتسائل</w:t>
      </w:r>
      <w:proofErr w:type="spellEnd"/>
      <w:r w:rsidRPr="00A52585">
        <w:rPr>
          <w:rFonts w:hint="cs"/>
          <w:rtl/>
        </w:rPr>
        <w:t xml:space="preserve"> عن موقف السلف من الصورة واليد والنزول والاستواء وما يجرى مجراها مما ورد في الكتاب والسنه مما يوهم التشبيه</w:t>
      </w:r>
      <w:r w:rsidR="00F95886" w:rsidRPr="00A52585">
        <w:rPr>
          <w:rFonts w:hint="cs"/>
          <w:rtl/>
        </w:rPr>
        <w:t>؟</w:t>
      </w:r>
      <w:r w:rsidR="0002035C" w:rsidRPr="00A52585">
        <w:rPr>
          <w:rFonts w:hint="cs"/>
          <w:rtl/>
        </w:rPr>
        <w:t xml:space="preserve"> </w:t>
      </w:r>
      <w:r w:rsidRPr="00A52585">
        <w:rPr>
          <w:rFonts w:hint="cs"/>
          <w:rtl/>
        </w:rPr>
        <w:t>1-إن أول موقف يقفه السلفي من هذه الاخبار</w:t>
      </w:r>
      <w:r w:rsidR="0002035C" w:rsidRPr="00A52585">
        <w:rPr>
          <w:rFonts w:hint="cs"/>
          <w:rtl/>
        </w:rPr>
        <w:t>:</w:t>
      </w:r>
      <w:r w:rsidRPr="00A52585">
        <w:rPr>
          <w:rFonts w:hint="cs"/>
          <w:rtl/>
        </w:rPr>
        <w:t xml:space="preserve"> إنما هو التقديس لله سبحانه وتعالى عن الجسمية وتوابعها 0 فإذا سمع كلمة الصور</w:t>
      </w:r>
      <w:r w:rsidR="0002035C" w:rsidRPr="00A52585">
        <w:rPr>
          <w:rFonts w:hint="cs"/>
          <w:rtl/>
        </w:rPr>
        <w:t>:</w:t>
      </w:r>
      <w:r w:rsidRPr="00A52585">
        <w:rPr>
          <w:rFonts w:hint="cs"/>
          <w:rtl/>
        </w:rPr>
        <w:t xml:space="preserve"> مثلا في </w:t>
      </w:r>
      <w:proofErr w:type="spellStart"/>
      <w:r w:rsidRPr="00A52585">
        <w:rPr>
          <w:rFonts w:hint="cs"/>
          <w:rtl/>
        </w:rPr>
        <w:t>قوله</w:t>
      </w:r>
      <w:r w:rsidR="00DB731D" w:rsidRPr="00A52585">
        <w:rPr>
          <w:rFonts w:hint="cs"/>
          <w:rtl/>
        </w:rPr>
        <w:t>،</w:t>
      </w:r>
      <w:r w:rsidRPr="00A52585">
        <w:rPr>
          <w:rFonts w:hint="cs"/>
          <w:rtl/>
        </w:rPr>
        <w:t>صلى</w:t>
      </w:r>
      <w:proofErr w:type="spellEnd"/>
      <w:r w:rsidRPr="00A52585">
        <w:rPr>
          <w:rFonts w:hint="cs"/>
          <w:rtl/>
        </w:rPr>
        <w:t xml:space="preserve"> الله عليه وسلم </w:t>
      </w:r>
      <w:r w:rsidR="0002035C" w:rsidRPr="00A52585">
        <w:rPr>
          <w:rFonts w:hint="cs"/>
          <w:rtl/>
        </w:rPr>
        <w:t>(</w:t>
      </w:r>
      <w:r w:rsidRPr="00A52585">
        <w:rPr>
          <w:rFonts w:hint="cs"/>
          <w:rtl/>
        </w:rPr>
        <w:t>إني رأيت ربى في أحسن صوره</w:t>
      </w:r>
      <w:r w:rsidR="0002035C" w:rsidRPr="00A52585">
        <w:rPr>
          <w:rFonts w:hint="cs"/>
          <w:rtl/>
        </w:rPr>
        <w:t>)</w:t>
      </w:r>
      <w:r w:rsidRPr="00A52585">
        <w:rPr>
          <w:rFonts w:hint="cs"/>
          <w:rtl/>
        </w:rPr>
        <w:t xml:space="preserve"> فينبغي أن يعلم أن الصورة اسم مشترك قد </w:t>
      </w:r>
      <w:proofErr w:type="spellStart"/>
      <w:r w:rsidRPr="00A52585">
        <w:rPr>
          <w:rFonts w:hint="cs"/>
          <w:rtl/>
        </w:rPr>
        <w:t>يطلف</w:t>
      </w:r>
      <w:proofErr w:type="spellEnd"/>
      <w:r w:rsidRPr="00A52585">
        <w:rPr>
          <w:rFonts w:hint="cs"/>
          <w:rtl/>
        </w:rPr>
        <w:t xml:space="preserve"> ويراد به الهيئة الحاصلة في أجسام مؤلفه</w:t>
      </w:r>
      <w:r w:rsidR="00DB731D" w:rsidRPr="00A52585">
        <w:rPr>
          <w:rFonts w:hint="cs"/>
          <w:rtl/>
        </w:rPr>
        <w:t>،</w:t>
      </w:r>
      <w:r w:rsidRPr="00A52585">
        <w:rPr>
          <w:rFonts w:hint="cs"/>
          <w:rtl/>
        </w:rPr>
        <w:t xml:space="preserve"> مرتبه ترتيبا مخصوصا</w:t>
      </w:r>
      <w:r w:rsidR="00DB731D" w:rsidRPr="00A52585">
        <w:rPr>
          <w:rFonts w:hint="cs"/>
          <w:rtl/>
        </w:rPr>
        <w:t>،</w:t>
      </w:r>
      <w:r w:rsidRPr="00A52585">
        <w:rPr>
          <w:rFonts w:hint="cs"/>
          <w:rtl/>
        </w:rPr>
        <w:t xml:space="preserve"> مثل الأنف</w:t>
      </w:r>
      <w:r w:rsidR="00DB731D" w:rsidRPr="00A52585">
        <w:rPr>
          <w:rFonts w:hint="cs"/>
          <w:rtl/>
        </w:rPr>
        <w:t>،</w:t>
      </w:r>
      <w:r w:rsidRPr="00A52585">
        <w:rPr>
          <w:rFonts w:hint="cs"/>
          <w:rtl/>
        </w:rPr>
        <w:t xml:space="preserve"> والعين</w:t>
      </w:r>
      <w:r w:rsidR="00DB731D" w:rsidRPr="00A52585">
        <w:rPr>
          <w:rFonts w:hint="cs"/>
          <w:rtl/>
        </w:rPr>
        <w:t>،</w:t>
      </w:r>
      <w:r w:rsidRPr="00A52585">
        <w:rPr>
          <w:rFonts w:hint="cs"/>
          <w:rtl/>
        </w:rPr>
        <w:t xml:space="preserve"> والفم</w:t>
      </w:r>
      <w:r w:rsidR="00DB731D" w:rsidRPr="00A52585">
        <w:rPr>
          <w:rFonts w:hint="cs"/>
          <w:rtl/>
        </w:rPr>
        <w:t>،</w:t>
      </w:r>
      <w:r w:rsidRPr="00A52585">
        <w:rPr>
          <w:rFonts w:hint="cs"/>
          <w:rtl/>
        </w:rPr>
        <w:t xml:space="preserve"> والخد 0 التي هي أجسام</w:t>
      </w:r>
      <w:r w:rsidR="00DB731D" w:rsidRPr="00A52585">
        <w:rPr>
          <w:rFonts w:hint="cs"/>
          <w:rtl/>
        </w:rPr>
        <w:t>،</w:t>
      </w:r>
      <w:r w:rsidRPr="00A52585">
        <w:rPr>
          <w:rFonts w:hint="cs"/>
          <w:rtl/>
        </w:rPr>
        <w:t xml:space="preserve"> وهى لحوم العظام</w:t>
      </w:r>
      <w:r w:rsidR="00DB731D" w:rsidRPr="00A52585">
        <w:rPr>
          <w:rFonts w:hint="cs"/>
          <w:rtl/>
        </w:rPr>
        <w:t>،</w:t>
      </w:r>
      <w:r w:rsidRPr="00A52585">
        <w:rPr>
          <w:rFonts w:hint="cs"/>
          <w:rtl/>
        </w:rPr>
        <w:t xml:space="preserve"> وقد يطلق ويراد به ما ليس بجسم ولا هيئه في جسم</w:t>
      </w:r>
      <w:r w:rsidR="00DB731D" w:rsidRPr="00A52585">
        <w:rPr>
          <w:rFonts w:hint="cs"/>
          <w:rtl/>
        </w:rPr>
        <w:t>،</w:t>
      </w:r>
      <w:r w:rsidRPr="00A52585">
        <w:rPr>
          <w:rFonts w:hint="cs"/>
          <w:rtl/>
        </w:rPr>
        <w:t xml:space="preserve"> كما تقول</w:t>
      </w:r>
      <w:r w:rsidR="0002035C" w:rsidRPr="00A52585">
        <w:rPr>
          <w:rFonts w:hint="cs"/>
          <w:rtl/>
        </w:rPr>
        <w:t>:</w:t>
      </w:r>
      <w:r w:rsidRPr="00A52585">
        <w:rPr>
          <w:rFonts w:hint="cs"/>
          <w:rtl/>
        </w:rPr>
        <w:t xml:space="preserve"> صورة هذه المسألة كذا وصورة الواقعة كذا</w:t>
      </w:r>
      <w:r w:rsidR="00DB731D" w:rsidRPr="00A52585">
        <w:rPr>
          <w:rFonts w:hint="cs"/>
          <w:rtl/>
        </w:rPr>
        <w:t>،</w:t>
      </w:r>
      <w:r w:rsidRPr="00A52585">
        <w:rPr>
          <w:rFonts w:hint="cs"/>
          <w:rtl/>
        </w:rPr>
        <w:t xml:space="preserve"> ولقد صورت للمسألة صوره في غاية الحسن</w:t>
      </w:r>
      <w:r w:rsidR="00DB731D" w:rsidRPr="00A52585">
        <w:rPr>
          <w:rFonts w:hint="cs"/>
          <w:rtl/>
        </w:rPr>
        <w:t>،</w:t>
      </w:r>
      <w:r w:rsidRPr="00A52585">
        <w:rPr>
          <w:rFonts w:hint="cs"/>
          <w:rtl/>
        </w:rPr>
        <w:t xml:space="preserve"> فليتحقق كل مؤمن أن الصورة في حق الله لم تطلق لإرادة المعنى الأول الذى هو جسم وهيئه 0 وإن خالق الاجسام ليتنزه عن مشابهتها وصفاتها</w:t>
      </w:r>
      <w:r w:rsidR="0002035C" w:rsidRPr="00A52585">
        <w:rPr>
          <w:rFonts w:hint="cs"/>
          <w:rtl/>
        </w:rPr>
        <w:t>:</w:t>
      </w:r>
      <w:r w:rsidRPr="00A52585">
        <w:rPr>
          <w:rFonts w:hint="cs"/>
          <w:rtl/>
        </w:rPr>
        <w:t xml:space="preserve"> وإذا علم هذا يقينا فهو مؤمن</w:t>
      </w:r>
      <w:r w:rsidR="00DB731D" w:rsidRPr="00A52585">
        <w:rPr>
          <w:rFonts w:hint="cs"/>
          <w:rtl/>
        </w:rPr>
        <w:t>،</w:t>
      </w:r>
      <w:r w:rsidRPr="00A52585">
        <w:rPr>
          <w:rFonts w:hint="cs"/>
          <w:rtl/>
        </w:rPr>
        <w:t xml:space="preserve"> فإن خطر له أنه</w:t>
      </w:r>
      <w:r w:rsidR="00DB731D" w:rsidRPr="00A52585">
        <w:rPr>
          <w:rFonts w:hint="cs"/>
          <w:rtl/>
        </w:rPr>
        <w:t>،</w:t>
      </w:r>
      <w:r w:rsidRPr="00A52585">
        <w:rPr>
          <w:rFonts w:hint="cs"/>
          <w:rtl/>
        </w:rPr>
        <w:t xml:space="preserve"> عليه الصلاة والسلام</w:t>
      </w:r>
      <w:r w:rsidR="00DB731D" w:rsidRPr="00A52585">
        <w:rPr>
          <w:rFonts w:hint="cs"/>
          <w:rtl/>
        </w:rPr>
        <w:t>،</w:t>
      </w:r>
      <w:r w:rsidRPr="00A52585">
        <w:rPr>
          <w:rFonts w:hint="cs"/>
          <w:rtl/>
        </w:rPr>
        <w:t xml:space="preserve"> إن لم يرد هذا المعنى الجسم </w:t>
      </w:r>
      <w:proofErr w:type="spellStart"/>
      <w:r w:rsidRPr="00A52585">
        <w:rPr>
          <w:rFonts w:hint="cs"/>
          <w:rtl/>
        </w:rPr>
        <w:t>فأى</w:t>
      </w:r>
      <w:proofErr w:type="spellEnd"/>
      <w:r w:rsidRPr="00A52585">
        <w:rPr>
          <w:rFonts w:hint="cs"/>
          <w:rtl/>
        </w:rPr>
        <w:t xml:space="preserve"> معنى أراد</w:t>
      </w:r>
      <w:r w:rsidR="00F95886" w:rsidRPr="00A52585">
        <w:rPr>
          <w:rFonts w:hint="cs"/>
          <w:rtl/>
        </w:rPr>
        <w:t>؟</w:t>
      </w:r>
      <w:r w:rsidRPr="00A52585">
        <w:rPr>
          <w:rFonts w:hint="cs"/>
          <w:rtl/>
        </w:rPr>
        <w:t xml:space="preserve"> فينبغي أن يعلم أن ذلك لم يؤمر به</w:t>
      </w:r>
      <w:r w:rsidR="00DB731D" w:rsidRPr="00A52585">
        <w:rPr>
          <w:rFonts w:hint="cs"/>
          <w:rtl/>
        </w:rPr>
        <w:t>،</w:t>
      </w:r>
      <w:r w:rsidRPr="00A52585">
        <w:rPr>
          <w:rFonts w:hint="cs"/>
          <w:rtl/>
        </w:rPr>
        <w:t xml:space="preserve"> بل أمر بأن لا يخوض فيه فإنه ليس على قدر طاقته</w:t>
      </w:r>
      <w:r w:rsidR="00DB731D" w:rsidRPr="00A52585">
        <w:rPr>
          <w:rFonts w:hint="cs"/>
          <w:rtl/>
        </w:rPr>
        <w:t>،</w:t>
      </w:r>
      <w:r w:rsidRPr="00A52585">
        <w:rPr>
          <w:rFonts w:hint="cs"/>
          <w:rtl/>
        </w:rPr>
        <w:t xml:space="preserve"> لكن ينبغي أن يعتقد أنه أريد به معنى يليق بجلال الله وعظمته ما ليس بجسم ولا عرض في جسم</w:t>
      </w:r>
      <w:r w:rsidR="00DB731D" w:rsidRPr="00A52585">
        <w:rPr>
          <w:rFonts w:hint="cs"/>
          <w:rtl/>
        </w:rPr>
        <w:t>،</w:t>
      </w:r>
      <w:r w:rsidR="0002035C" w:rsidRPr="00A52585">
        <w:rPr>
          <w:rFonts w:hint="cs"/>
          <w:rtl/>
        </w:rPr>
        <w:t xml:space="preserve"> </w:t>
      </w:r>
      <w:r w:rsidRPr="00A52585">
        <w:rPr>
          <w:rFonts w:hint="cs"/>
          <w:rtl/>
        </w:rPr>
        <w:t>وعلى هذا النمط يكون موقفه في بقية ما ورد</w:t>
      </w:r>
      <w:r w:rsidR="0002035C" w:rsidRPr="00A52585">
        <w:rPr>
          <w:rFonts w:hint="cs"/>
          <w:rtl/>
        </w:rPr>
        <w:t>:</w:t>
      </w:r>
      <w:r w:rsidRPr="00A52585">
        <w:rPr>
          <w:rFonts w:hint="cs"/>
          <w:rtl/>
        </w:rPr>
        <w:t xml:space="preserve"> كالفوقية 0 والنزول واليد</w:t>
      </w:r>
      <w:r w:rsidR="00DB731D" w:rsidRPr="00A52585">
        <w:rPr>
          <w:rFonts w:hint="cs"/>
          <w:rtl/>
        </w:rPr>
        <w:t>،</w:t>
      </w:r>
      <w:r w:rsidRPr="00A52585">
        <w:rPr>
          <w:rFonts w:hint="cs"/>
          <w:rtl/>
        </w:rPr>
        <w:t xml:space="preserve"> القدم 0 يجب أن ينفي </w:t>
      </w:r>
      <w:proofErr w:type="spellStart"/>
      <w:r w:rsidRPr="00A52585">
        <w:rPr>
          <w:rFonts w:hint="cs"/>
          <w:rtl/>
        </w:rPr>
        <w:t>فىى</w:t>
      </w:r>
      <w:proofErr w:type="spellEnd"/>
      <w:r w:rsidRPr="00A52585">
        <w:rPr>
          <w:rFonts w:hint="cs"/>
          <w:rtl/>
        </w:rPr>
        <w:t xml:space="preserve"> كل ذلك المعنى المادي 0 وأن يحدد معنى يخترعه هو</w:t>
      </w:r>
      <w:r w:rsidR="00DB731D" w:rsidRPr="00A52585">
        <w:rPr>
          <w:rFonts w:hint="cs"/>
          <w:rtl/>
        </w:rPr>
        <w:t>،</w:t>
      </w:r>
      <w:r w:rsidR="0002035C" w:rsidRPr="00A52585">
        <w:rPr>
          <w:rFonts w:hint="cs"/>
          <w:rtl/>
        </w:rPr>
        <w:t xml:space="preserve"> </w:t>
      </w:r>
      <w:r w:rsidRPr="00A52585">
        <w:rPr>
          <w:rFonts w:hint="cs"/>
          <w:rtl/>
        </w:rPr>
        <w:t>2- ويجب عليه الايمان والتصديق</w:t>
      </w:r>
      <w:r w:rsidR="0002035C" w:rsidRPr="00A52585">
        <w:rPr>
          <w:rFonts w:hint="cs"/>
          <w:rtl/>
        </w:rPr>
        <w:t>:</w:t>
      </w:r>
      <w:r w:rsidRPr="00A52585">
        <w:rPr>
          <w:rFonts w:hint="cs"/>
          <w:rtl/>
        </w:rPr>
        <w:t xml:space="preserve"> وهو أن يعلم قطعا أن هذه الألفاظ أريد بها معنى يليق بجلال الله وعظمته وأن رسول الله</w:t>
      </w:r>
      <w:r w:rsidR="00DB731D" w:rsidRPr="00A52585">
        <w:rPr>
          <w:rFonts w:hint="cs"/>
          <w:rtl/>
        </w:rPr>
        <w:t>،</w:t>
      </w:r>
      <w:r w:rsidRPr="00A52585">
        <w:rPr>
          <w:rFonts w:hint="cs"/>
          <w:rtl/>
        </w:rPr>
        <w:t xml:space="preserve"> صلى الله عليه وسلم صادق في وصف الله تعالى به</w:t>
      </w:r>
      <w:r w:rsidR="00DB731D" w:rsidRPr="00A52585">
        <w:rPr>
          <w:rFonts w:hint="cs"/>
          <w:rtl/>
        </w:rPr>
        <w:t>،</w:t>
      </w:r>
      <w:r w:rsidRPr="00A52585">
        <w:rPr>
          <w:rFonts w:hint="cs"/>
          <w:rtl/>
        </w:rPr>
        <w:t xml:space="preserve"> فليؤمن بذلك وليوقن بأن ما قاله صدق</w:t>
      </w:r>
      <w:r w:rsidR="00DB731D" w:rsidRPr="00A52585">
        <w:rPr>
          <w:rFonts w:hint="cs"/>
          <w:rtl/>
        </w:rPr>
        <w:t>،</w:t>
      </w:r>
      <w:r w:rsidRPr="00A52585">
        <w:rPr>
          <w:rFonts w:hint="cs"/>
          <w:rtl/>
        </w:rPr>
        <w:t xml:space="preserve"> وما أخبر عنه حق لا ريب فيه ويقول آمنا وصدقنا وأن ما وصف الله</w:t>
      </w:r>
      <w:r w:rsidR="00DB731D" w:rsidRPr="00A52585">
        <w:rPr>
          <w:rFonts w:hint="cs"/>
          <w:rtl/>
        </w:rPr>
        <w:t>،</w:t>
      </w:r>
      <w:r w:rsidRPr="00A52585">
        <w:rPr>
          <w:rFonts w:hint="cs"/>
          <w:rtl/>
        </w:rPr>
        <w:t xml:space="preserve"> تعالى به نفسه أو وصفه به رسوله فهو كما وصفه وحق بالمعنى الذى أراده</w:t>
      </w:r>
      <w:r w:rsidR="00DB731D" w:rsidRPr="00A52585">
        <w:rPr>
          <w:rFonts w:hint="cs"/>
          <w:rtl/>
        </w:rPr>
        <w:t>،</w:t>
      </w:r>
      <w:r w:rsidRPr="00A52585">
        <w:rPr>
          <w:rFonts w:hint="cs"/>
          <w:rtl/>
        </w:rPr>
        <w:t xml:space="preserve"> وعلى الوجه الذى قاله</w:t>
      </w:r>
      <w:r w:rsidR="00DB731D" w:rsidRPr="00A52585">
        <w:rPr>
          <w:rFonts w:hint="cs"/>
          <w:rtl/>
        </w:rPr>
        <w:t>،</w:t>
      </w:r>
      <w:r w:rsidRPr="00A52585">
        <w:rPr>
          <w:rFonts w:hint="cs"/>
          <w:rtl/>
        </w:rPr>
        <w:t xml:space="preserve"> وإن كان لا يقف على حقيقته</w:t>
      </w:r>
      <w:r w:rsidR="00DB731D" w:rsidRPr="00A52585">
        <w:rPr>
          <w:rFonts w:hint="cs"/>
          <w:rtl/>
        </w:rPr>
        <w:t>،</w:t>
      </w:r>
      <w:r w:rsidR="0002035C" w:rsidRPr="00A52585">
        <w:rPr>
          <w:rFonts w:hint="cs"/>
          <w:rtl/>
        </w:rPr>
        <w:t xml:space="preserve"> </w:t>
      </w:r>
      <w:r w:rsidRPr="00A52585">
        <w:rPr>
          <w:rFonts w:hint="cs"/>
          <w:rtl/>
        </w:rPr>
        <w:t>3- ويجب أمام هذه الاخبار أن يعترف بالعجز فإن التصديق واجب وهو عن إدراك المعنى عاجز فإن ادعى المعرفة فقد كذب 0 وأوائل حقائق هذه المعاني بالإضافة الى عوام الخلق كأواخرها بالإضافة الى خواص الخلق</w:t>
      </w:r>
      <w:r w:rsidR="00DB731D" w:rsidRPr="00A52585">
        <w:rPr>
          <w:rFonts w:hint="cs"/>
          <w:rtl/>
        </w:rPr>
        <w:t>،</w:t>
      </w:r>
      <w:r w:rsidR="0002035C" w:rsidRPr="00A52585">
        <w:rPr>
          <w:rFonts w:hint="cs"/>
          <w:rtl/>
        </w:rPr>
        <w:t xml:space="preserve"> </w:t>
      </w:r>
      <w:r w:rsidRPr="00A52585">
        <w:rPr>
          <w:rFonts w:hint="cs"/>
          <w:rtl/>
        </w:rPr>
        <w:t>4- وبالسؤال عن هذه الامور0 يتعرض الإنسان لما لا يطيقه وقد ضرب عمر بالدرة من سأله عن المتشابهات ويرى الامام "الغزالي" أنه يحرم على الواعظ على رؤوس المنابر الجواب عن أسئلة المتشابهات 0 وإنما يجب عليهم المبالغة في التقديس 0ونفي التشبيه</w:t>
      </w:r>
      <w:r w:rsidR="00DB731D" w:rsidRPr="00A52585">
        <w:rPr>
          <w:rFonts w:hint="cs"/>
          <w:rtl/>
        </w:rPr>
        <w:t>،</w:t>
      </w:r>
      <w:r w:rsidR="0002035C" w:rsidRPr="00A52585">
        <w:rPr>
          <w:rFonts w:hint="cs"/>
          <w:rtl/>
        </w:rPr>
        <w:t xml:space="preserve"> </w:t>
      </w:r>
      <w:r w:rsidRPr="00A52585">
        <w:rPr>
          <w:rFonts w:hint="cs"/>
          <w:rtl/>
        </w:rPr>
        <w:t xml:space="preserve">5- ولا يجوز تبديل لفظ من الالفاظ المتشابهة بلفظ آخر غير متشابه سواء كان بالعربية أو بالفارسية </w:t>
      </w:r>
      <w:r w:rsidRPr="00A52585">
        <w:rPr>
          <w:rFonts w:hint="cs"/>
          <w:rtl/>
        </w:rPr>
        <w:lastRenderedPageBreak/>
        <w:t>وذلك لأن الألفاظ المتشابهة قد يكون بعضها أكثر إبهاما للباطل من البعض</w:t>
      </w:r>
      <w:r w:rsidR="00DB731D" w:rsidRPr="00A52585">
        <w:rPr>
          <w:rFonts w:hint="cs"/>
          <w:rtl/>
        </w:rPr>
        <w:t>،</w:t>
      </w:r>
      <w:r w:rsidRPr="00A52585">
        <w:rPr>
          <w:rFonts w:hint="cs"/>
          <w:rtl/>
        </w:rPr>
        <w:t xml:space="preserve"> فتفسيرها وترجمتها إذن ممنوعان 0 ولا يجوز النطق إل بالفظ الوارد</w:t>
      </w:r>
      <w:r w:rsidR="0002035C" w:rsidRPr="00A52585">
        <w:rPr>
          <w:rFonts w:hint="cs"/>
          <w:rtl/>
        </w:rPr>
        <w:t>:</w:t>
      </w:r>
      <w:r w:rsidRPr="00A52585">
        <w:rPr>
          <w:rFonts w:hint="cs"/>
          <w:rtl/>
        </w:rPr>
        <w:t xml:space="preserve">" </w:t>
      </w:r>
      <w:proofErr w:type="spellStart"/>
      <w:r w:rsidRPr="00A52585">
        <w:rPr>
          <w:rFonts w:hint="cs"/>
          <w:rtl/>
        </w:rPr>
        <w:t>للأن</w:t>
      </w:r>
      <w:proofErr w:type="spellEnd"/>
      <w:r w:rsidRPr="00A52585">
        <w:rPr>
          <w:rFonts w:hint="cs"/>
          <w:rtl/>
        </w:rPr>
        <w:t xml:space="preserve"> من الألفاظ العربية ما لا يوجد لها فارسيه تطابقها</w:t>
      </w:r>
      <w:r w:rsidR="00DB731D" w:rsidRPr="00A52585">
        <w:rPr>
          <w:rFonts w:hint="cs"/>
          <w:rtl/>
        </w:rPr>
        <w:t>،</w:t>
      </w:r>
      <w:r w:rsidRPr="00A52585">
        <w:rPr>
          <w:rFonts w:hint="cs"/>
          <w:rtl/>
        </w:rPr>
        <w:t xml:space="preserve"> ومنها ما يوجد لها فارسيه</w:t>
      </w:r>
      <w:r w:rsidR="00DB731D" w:rsidRPr="00A52585">
        <w:rPr>
          <w:rFonts w:hint="cs"/>
          <w:rtl/>
        </w:rPr>
        <w:t>،</w:t>
      </w:r>
      <w:r w:rsidRPr="00A52585">
        <w:rPr>
          <w:rFonts w:hint="cs"/>
          <w:rtl/>
        </w:rPr>
        <w:t xml:space="preserve"> ولكن ما جرت عادة الفرس باستعارتها للمعاني </w:t>
      </w:r>
      <w:proofErr w:type="spellStart"/>
      <w:r w:rsidRPr="00A52585">
        <w:rPr>
          <w:rFonts w:hint="cs"/>
          <w:rtl/>
        </w:rPr>
        <w:t>التى</w:t>
      </w:r>
      <w:proofErr w:type="spellEnd"/>
      <w:r w:rsidRPr="00A52585">
        <w:rPr>
          <w:rFonts w:hint="cs"/>
          <w:rtl/>
        </w:rPr>
        <w:t xml:space="preserve"> جرت عادة العرب باستعارتها منها 0 ومنها ما يكون مشتركا في العربية ولا يكون في العجمية كذلك "والأمثلة كثيره</w:t>
      </w:r>
      <w:r w:rsidR="0002035C" w:rsidRPr="00A52585">
        <w:rPr>
          <w:rFonts w:hint="cs"/>
          <w:rtl/>
        </w:rPr>
        <w:t>:</w:t>
      </w:r>
      <w:r w:rsidRPr="00A52585">
        <w:rPr>
          <w:rFonts w:hint="cs"/>
          <w:rtl/>
        </w:rPr>
        <w:t xml:space="preserve"> فمثلا لفظ </w:t>
      </w:r>
      <w:r w:rsidR="0002035C" w:rsidRPr="00A52585">
        <w:rPr>
          <w:rFonts w:hint="cs"/>
          <w:rtl/>
        </w:rPr>
        <w:t>((</w:t>
      </w:r>
      <w:r w:rsidRPr="00A52585">
        <w:rPr>
          <w:rFonts w:hint="cs"/>
          <w:rtl/>
        </w:rPr>
        <w:t>الاستواء</w:t>
      </w:r>
      <w:r w:rsidR="0002035C" w:rsidRPr="00A52585">
        <w:rPr>
          <w:rFonts w:hint="cs"/>
          <w:rtl/>
        </w:rPr>
        <w:t>))</w:t>
      </w:r>
      <w:r w:rsidRPr="00A52585">
        <w:rPr>
          <w:rFonts w:hint="cs"/>
          <w:rtl/>
        </w:rPr>
        <w:t xml:space="preserve"> فإنه ليس له في الفارسية – كما يقول الإمام "</w:t>
      </w:r>
      <w:proofErr w:type="spellStart"/>
      <w:r w:rsidRPr="00A52585">
        <w:rPr>
          <w:rFonts w:hint="cs"/>
          <w:rtl/>
        </w:rPr>
        <w:t>الغزالى</w:t>
      </w:r>
      <w:proofErr w:type="spellEnd"/>
      <w:r w:rsidRPr="00A52585">
        <w:rPr>
          <w:rFonts w:hint="cs"/>
          <w:rtl/>
        </w:rPr>
        <w:t>" – لفظ مطابق يؤدى بين الفرس من المعنى ما يؤديه لفظ الاستواء بين العرب</w:t>
      </w:r>
      <w:r w:rsidR="00DB731D" w:rsidRPr="00A52585">
        <w:rPr>
          <w:rFonts w:hint="cs"/>
          <w:rtl/>
        </w:rPr>
        <w:t>،</w:t>
      </w:r>
      <w:r w:rsidRPr="00A52585">
        <w:rPr>
          <w:rFonts w:hint="cs"/>
          <w:rtl/>
        </w:rPr>
        <w:t xml:space="preserve"> بحيث لا يشتمل على مزيد إيهام</w:t>
      </w:r>
      <w:r w:rsidR="0002035C" w:rsidRPr="00A52585">
        <w:rPr>
          <w:rFonts w:hint="cs"/>
          <w:rtl/>
        </w:rPr>
        <w:t>:</w:t>
      </w:r>
      <w:r w:rsidRPr="00A52585">
        <w:rPr>
          <w:rFonts w:hint="cs"/>
          <w:rtl/>
        </w:rPr>
        <w:t xml:space="preserve"> إذ </w:t>
      </w:r>
      <w:proofErr w:type="spellStart"/>
      <w:r w:rsidRPr="00A52585">
        <w:rPr>
          <w:rFonts w:hint="cs"/>
          <w:rtl/>
        </w:rPr>
        <w:t>فارسيته</w:t>
      </w:r>
      <w:proofErr w:type="spellEnd"/>
      <w:r w:rsidRPr="00A52585">
        <w:rPr>
          <w:rFonts w:hint="cs"/>
          <w:rtl/>
        </w:rPr>
        <w:t xml:space="preserve"> أن يقال "راست بإستاد " وهذان لفظان 0 </w:t>
      </w:r>
      <w:r w:rsidR="0002035C" w:rsidRPr="00A52585">
        <w:rPr>
          <w:rFonts w:hint="cs"/>
          <w:rtl/>
        </w:rPr>
        <w:t>(</w:t>
      </w:r>
      <w:r w:rsidRPr="00A52585">
        <w:rPr>
          <w:rFonts w:hint="cs"/>
          <w:rtl/>
        </w:rPr>
        <w:t>الاول</w:t>
      </w:r>
      <w:r w:rsidR="0002035C" w:rsidRPr="00A52585">
        <w:rPr>
          <w:rFonts w:hint="cs"/>
          <w:rtl/>
        </w:rPr>
        <w:t>)</w:t>
      </w:r>
      <w:r w:rsidRPr="00A52585">
        <w:rPr>
          <w:rFonts w:hint="cs"/>
          <w:rtl/>
        </w:rPr>
        <w:t xml:space="preserve"> ينبئ عن انتصاب واستقامة فيما يتصور أن ينحى ويعوج</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tl/>
        </w:rPr>
        <w:t xml:space="preserve"> ينبئ عن سكون وثبات فيما يتصور أن يتحرك ويضطرب وإشعاره بهذه </w:t>
      </w:r>
      <w:proofErr w:type="spellStart"/>
      <w:r w:rsidRPr="00A52585">
        <w:rPr>
          <w:rFonts w:hint="cs"/>
          <w:rtl/>
        </w:rPr>
        <w:t>المعانى</w:t>
      </w:r>
      <w:proofErr w:type="spellEnd"/>
      <w:r w:rsidRPr="00A52585">
        <w:rPr>
          <w:rFonts w:hint="cs"/>
          <w:rtl/>
        </w:rPr>
        <w:t xml:space="preserve"> وإشارته إليها في العجمية</w:t>
      </w:r>
      <w:r w:rsidR="0002035C" w:rsidRPr="00A52585">
        <w:rPr>
          <w:rFonts w:hint="cs"/>
          <w:rtl/>
        </w:rPr>
        <w:t>:</w:t>
      </w:r>
      <w:r w:rsidRPr="00A52585">
        <w:rPr>
          <w:rFonts w:hint="cs"/>
          <w:rtl/>
        </w:rPr>
        <w:t xml:space="preserve"> أظهر من إشعار لفظ الاستواء وإشارته إليها في العربية 0 فإذا تفاوتا في الدلالة</w:t>
      </w:r>
      <w:r w:rsidR="00DB731D" w:rsidRPr="00A52585">
        <w:rPr>
          <w:rFonts w:hint="cs"/>
          <w:rtl/>
        </w:rPr>
        <w:t>،</w:t>
      </w:r>
      <w:r w:rsidRPr="00A52585">
        <w:rPr>
          <w:rFonts w:hint="cs"/>
          <w:rtl/>
        </w:rPr>
        <w:t xml:space="preserve"> والاشعار</w:t>
      </w:r>
      <w:r w:rsidR="0002035C" w:rsidRPr="00A52585">
        <w:rPr>
          <w:rFonts w:hint="cs"/>
          <w:rtl/>
        </w:rPr>
        <w:t>:</w:t>
      </w:r>
      <w:r w:rsidRPr="00A52585">
        <w:rPr>
          <w:rFonts w:hint="cs"/>
          <w:rtl/>
        </w:rPr>
        <w:t xml:space="preserve"> لم يكن هذا مثل الأول</w:t>
      </w:r>
      <w:r w:rsidR="00DB731D" w:rsidRPr="00A52585">
        <w:rPr>
          <w:rFonts w:hint="cs"/>
          <w:rtl/>
        </w:rPr>
        <w:t>،</w:t>
      </w:r>
      <w:r w:rsidRPr="00A52585">
        <w:rPr>
          <w:rFonts w:hint="cs"/>
          <w:rtl/>
        </w:rPr>
        <w:t xml:space="preserve"> وإنما يجوز تبديل اللفظ بمثله</w:t>
      </w:r>
      <w:r w:rsidR="00DB731D" w:rsidRPr="00A52585">
        <w:rPr>
          <w:rFonts w:hint="cs"/>
          <w:rtl/>
        </w:rPr>
        <w:t>،</w:t>
      </w:r>
      <w:r w:rsidRPr="00A52585">
        <w:rPr>
          <w:rFonts w:hint="cs"/>
          <w:rtl/>
        </w:rPr>
        <w:t xml:space="preserve"> المرادف له الذى لا يخالفه ولو بأدنى شيء</w:t>
      </w:r>
      <w:r w:rsidR="00DB731D" w:rsidRPr="00A52585">
        <w:rPr>
          <w:rFonts w:hint="cs"/>
          <w:rtl/>
        </w:rPr>
        <w:t>،</w:t>
      </w:r>
      <w:r w:rsidR="0002035C" w:rsidRPr="00A52585">
        <w:rPr>
          <w:rFonts w:hint="cs"/>
          <w:rtl/>
        </w:rPr>
        <w:t xml:space="preserve"> </w:t>
      </w:r>
      <w:r w:rsidRPr="00A52585">
        <w:rPr>
          <w:rFonts w:hint="cs"/>
          <w:rtl/>
        </w:rPr>
        <w:t>6- ويجب الاحتراز عن التصرف</w:t>
      </w:r>
      <w:r w:rsidR="0002035C" w:rsidRPr="00A52585">
        <w:rPr>
          <w:rFonts w:hint="cs"/>
          <w:rtl/>
        </w:rPr>
        <w:t>:</w:t>
      </w:r>
      <w:r w:rsidRPr="00A52585">
        <w:rPr>
          <w:rFonts w:hint="cs"/>
          <w:rtl/>
        </w:rPr>
        <w:t xml:space="preserve"> فلا تقول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استوى</w:t>
      </w:r>
      <w:r w:rsidR="0002035C" w:rsidRPr="00A52585">
        <w:rPr>
          <w:rFonts w:hint="cs"/>
          <w:rtl/>
        </w:rPr>
        <w:t>)</w:t>
      </w:r>
      <w:r w:rsidRPr="00A52585">
        <w:rPr>
          <w:rFonts w:hint="cs"/>
          <w:rtl/>
        </w:rPr>
        <w:t xml:space="preserve"> أنه مستو فاسم الفاعل يدل على كون المشتق ممكنا ومستقرا</w:t>
      </w:r>
      <w:r w:rsidR="00DB731D" w:rsidRPr="00A52585">
        <w:rPr>
          <w:rFonts w:hint="cs"/>
          <w:rtl/>
        </w:rPr>
        <w:t>،</w:t>
      </w:r>
      <w:r w:rsidRPr="00A52585">
        <w:rPr>
          <w:rFonts w:hint="cs"/>
          <w:rtl/>
        </w:rPr>
        <w:t xml:space="preserve"> أما لفظ الفعل فدلالته على هذا المعنى ضعيفة</w:t>
      </w:r>
      <w:r w:rsidR="00DB731D" w:rsidRPr="00A52585">
        <w:rPr>
          <w:rFonts w:hint="cs"/>
          <w:rtl/>
        </w:rPr>
        <w:t>،</w:t>
      </w:r>
      <w:r w:rsidR="0002035C" w:rsidRPr="00A52585">
        <w:rPr>
          <w:rFonts w:hint="cs"/>
          <w:rtl/>
        </w:rPr>
        <w:t xml:space="preserve"> </w:t>
      </w:r>
      <w:r w:rsidRPr="00A52585">
        <w:rPr>
          <w:rFonts w:hint="cs"/>
          <w:rtl/>
        </w:rPr>
        <w:t>7- ولا يجوز الجمع بين هذه الألفاظ المتشابهة في مكان واحد لأنا إذا جمعنا الألفاظ المتشابهة</w:t>
      </w:r>
      <w:r w:rsidR="00DB731D" w:rsidRPr="00A52585">
        <w:rPr>
          <w:rFonts w:hint="cs"/>
          <w:rtl/>
        </w:rPr>
        <w:t>،</w:t>
      </w:r>
      <w:r w:rsidRPr="00A52585">
        <w:rPr>
          <w:rFonts w:hint="cs"/>
          <w:rtl/>
        </w:rPr>
        <w:t xml:space="preserve"> وروينا هذا دفعه واحدة أوهمت كثرتها</w:t>
      </w:r>
      <w:r w:rsidR="0002035C" w:rsidRPr="00A52585">
        <w:rPr>
          <w:rFonts w:hint="cs"/>
          <w:rtl/>
        </w:rPr>
        <w:t>:</w:t>
      </w:r>
      <w:r w:rsidRPr="00A52585">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sidR="00DB731D" w:rsidRPr="00A52585">
        <w:rPr>
          <w:rFonts w:hint="cs"/>
          <w:rtl/>
        </w:rPr>
        <w:t>،</w:t>
      </w:r>
      <w:r w:rsidRPr="00A52585">
        <w:rPr>
          <w:rFonts w:hint="cs"/>
          <w:rtl/>
        </w:rPr>
        <w:t xml:space="preserve"> والله سبحانه وتعالى</w:t>
      </w:r>
      <w:r w:rsidR="0002035C" w:rsidRPr="00A52585">
        <w:rPr>
          <w:rFonts w:hint="cs"/>
          <w:rtl/>
        </w:rPr>
        <w:t>:</w:t>
      </w:r>
      <w:r w:rsidRPr="00A52585">
        <w:rPr>
          <w:rFonts w:hint="cs"/>
          <w:rtl/>
        </w:rPr>
        <w:t xml:space="preserve"> لم يذكر لفظ المتشابهات إلا وقرن بها قرينه من سابق أو لا حق تدل على زوال الوهم الباطل</w:t>
      </w:r>
      <w:r w:rsidR="00DB731D" w:rsidRPr="00A52585">
        <w:rPr>
          <w:rFonts w:hint="cs"/>
          <w:rtl/>
        </w:rPr>
        <w:t>،</w:t>
      </w:r>
      <w:r w:rsidRPr="00A52585">
        <w:rPr>
          <w:rFonts w:hint="cs"/>
          <w:rtl/>
        </w:rPr>
        <w:t xml:space="preserve"> فذكر العبودية</w:t>
      </w:r>
      <w:r w:rsidR="0002035C" w:rsidRPr="00A52585">
        <w:rPr>
          <w:rFonts w:hint="cs"/>
          <w:rtl/>
        </w:rPr>
        <w:t>:</w:t>
      </w:r>
      <w:r w:rsidRPr="00A52585">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sidR="00DB731D" w:rsidRPr="00A52585">
        <w:rPr>
          <w:rFonts w:hint="cs"/>
          <w:rtl/>
        </w:rPr>
        <w:t>،</w:t>
      </w:r>
      <w:r w:rsidR="0002035C" w:rsidRPr="00A52585">
        <w:rPr>
          <w:rFonts w:hint="cs"/>
          <w:rtl/>
        </w:rPr>
        <w:t xml:space="preserve"> </w:t>
      </w:r>
      <w:r w:rsidRPr="00A52585">
        <w:rPr>
          <w:rFonts w:hint="cs"/>
          <w:rtl/>
        </w:rPr>
        <w:t>8- 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sidR="00DB731D" w:rsidRPr="00A52585">
        <w:rPr>
          <w:rFonts w:hint="cs"/>
          <w:rtl/>
        </w:rPr>
        <w:t>،</w:t>
      </w:r>
      <w:r w:rsidR="0002035C" w:rsidRPr="00A52585">
        <w:rPr>
          <w:rFonts w:hint="cs"/>
          <w:rtl/>
        </w:rPr>
        <w:t xml:space="preserve"> </w:t>
      </w:r>
      <w:r w:rsidRPr="00A52585">
        <w:rPr>
          <w:rFonts w:hint="cs"/>
          <w:rtl/>
        </w:rPr>
        <w:t>9- 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sidR="00DB731D" w:rsidRPr="00A52585">
        <w:rPr>
          <w:rFonts w:hint="cs"/>
          <w:rtl/>
        </w:rPr>
        <w:t>،</w:t>
      </w:r>
      <w:r w:rsidRPr="00A52585">
        <w:rPr>
          <w:rFonts w:hint="cs"/>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w:t>
      </w:r>
      <w:r w:rsidRPr="00A52585">
        <w:rPr>
          <w:rFonts w:hint="cs"/>
          <w:rtl/>
        </w:rPr>
        <w:lastRenderedPageBreak/>
        <w:t>ذلك لمن يشاء</w:t>
      </w:r>
      <w:r w:rsidR="00DB731D" w:rsidRPr="00A52585">
        <w:rPr>
          <w:rFonts w:hint="cs"/>
          <w:rtl/>
        </w:rPr>
        <w:t>،</w:t>
      </w:r>
      <w:r w:rsidRPr="00A52585">
        <w:rPr>
          <w:rFonts w:hint="cs"/>
          <w:rtl/>
        </w:rPr>
        <w:t xml:space="preserve"> </w:t>
      </w:r>
      <w:r w:rsidRPr="00A52585">
        <w:rPr>
          <w:rFonts w:hint="cs"/>
          <w:bCs/>
          <w:rtl/>
        </w:rPr>
        <w:t>وأخيرا فإن حاصل هذا المذهب – كما يقول الرازي –هو</w:t>
      </w:r>
      <w:r w:rsidR="0002035C" w:rsidRPr="00A52585">
        <w:rPr>
          <w:rFonts w:hint="cs"/>
          <w:bCs/>
          <w:rtl/>
        </w:rPr>
        <w:t>:</w:t>
      </w:r>
      <w:r w:rsidRPr="00A52585">
        <w:rPr>
          <w:rFonts w:hint="cs"/>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Pr="00A52585">
        <w:rPr>
          <w:rFonts w:hint="cs"/>
          <w:rtl/>
        </w:rPr>
        <w:t xml:space="preserve"> " [التفكير </w:t>
      </w:r>
      <w:proofErr w:type="spellStart"/>
      <w:r w:rsidRPr="00A52585">
        <w:rPr>
          <w:rFonts w:hint="cs"/>
          <w:rtl/>
        </w:rPr>
        <w:t>الفلسفى</w:t>
      </w:r>
      <w:proofErr w:type="spellEnd"/>
      <w:r w:rsidRPr="00A52585">
        <w:rPr>
          <w:rFonts w:hint="cs"/>
          <w:rtl/>
        </w:rPr>
        <w:t xml:space="preserve"> </w:t>
      </w:r>
      <w:proofErr w:type="spellStart"/>
      <w:r w:rsidRPr="00A52585">
        <w:rPr>
          <w:rFonts w:hint="cs"/>
          <w:rtl/>
        </w:rPr>
        <w:t>فى</w:t>
      </w:r>
      <w:proofErr w:type="spellEnd"/>
      <w:r w:rsidRPr="00A52585">
        <w:rPr>
          <w:rFonts w:hint="cs"/>
          <w:rtl/>
        </w:rPr>
        <w:t xml:space="preserve"> الاسلام صــ134 الى 144] أهـ </w:t>
      </w:r>
    </w:p>
    <w:p w14:paraId="52951E18" w14:textId="67EF0E5C" w:rsidR="00777DCB" w:rsidRPr="00A52585" w:rsidRDefault="0002035C" w:rsidP="0002035C">
      <w:pPr>
        <w:rPr>
          <w:b/>
        </w:rPr>
      </w:pPr>
      <w:r w:rsidRPr="00A52585">
        <w:rPr>
          <w:rFonts w:hint="cs"/>
          <w:bCs/>
          <w:rtl/>
          <w:lang w:bidi="ar-KW"/>
        </w:rPr>
        <w:t>[</w:t>
      </w:r>
      <w:r w:rsidR="00777DCB" w:rsidRPr="00A52585">
        <w:rPr>
          <w:rFonts w:hint="cs"/>
          <w:bCs/>
          <w:rtl/>
          <w:lang w:bidi="ar-KW"/>
        </w:rPr>
        <w:t>لماذا كان التفويض هو مذهب السلف الصحيح</w:t>
      </w:r>
      <w:r w:rsidR="00DB731D" w:rsidRPr="00A52585">
        <w:rPr>
          <w:rFonts w:hint="cs"/>
          <w:bCs/>
          <w:rtl/>
          <w:lang w:bidi="ar-KW"/>
        </w:rPr>
        <w:t>،</w:t>
      </w:r>
      <w:r w:rsidR="00777DCB" w:rsidRPr="00A52585">
        <w:rPr>
          <w:rFonts w:hint="cs"/>
          <w:bCs/>
          <w:rtl/>
          <w:lang w:bidi="ar-KW"/>
        </w:rPr>
        <w:t xml:space="preserve"> وما هي محاذير مذهب اثبات المتشابهات</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هناك نصوص توهم الجارحة كالعين واليد</w:t>
      </w:r>
      <w:r w:rsidR="00DB731D" w:rsidRPr="00A52585">
        <w:rPr>
          <w:rFonts w:hint="cs"/>
          <w:rtl/>
          <w:lang w:bidi="ar-KW"/>
        </w:rPr>
        <w:t>،</w:t>
      </w:r>
      <w:r w:rsidR="00777DCB" w:rsidRPr="00A52585">
        <w:rPr>
          <w:rFonts w:hint="cs"/>
          <w:rtl/>
          <w:lang w:bidi="ar-KW"/>
        </w:rPr>
        <w:t xml:space="preserve"> ونصوص توهم التغير والحدوث كالمجيء والإتيان والنزول</w:t>
      </w:r>
      <w:r w:rsidR="00DB731D" w:rsidRPr="00A52585">
        <w:rPr>
          <w:rFonts w:hint="cs"/>
          <w:rtl/>
          <w:lang w:bidi="ar-KW"/>
        </w:rPr>
        <w:t>،</w:t>
      </w:r>
      <w:r w:rsidR="00777DCB" w:rsidRPr="00A52585">
        <w:rPr>
          <w:rFonts w:hint="cs"/>
          <w:rtl/>
          <w:lang w:bidi="ar-KW"/>
        </w:rPr>
        <w:t xml:space="preserve"> ونصوص توهم النقص والحد</w:t>
      </w:r>
      <w:r w:rsidR="00DB731D" w:rsidRPr="00A52585">
        <w:rPr>
          <w:rFonts w:hint="cs"/>
          <w:rtl/>
          <w:lang w:bidi="ar-KW"/>
        </w:rPr>
        <w:t>،</w:t>
      </w:r>
      <w:r w:rsidR="00777DCB" w:rsidRPr="00A52585">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DB731D" w:rsidRPr="00A52585">
        <w:rPr>
          <w:rFonts w:hint="cs"/>
          <w:rtl/>
          <w:lang w:bidi="ar-KW"/>
        </w:rPr>
        <w:t>،</w:t>
      </w:r>
      <w:r w:rsidR="00777DCB" w:rsidRPr="00A52585">
        <w:rPr>
          <w:rFonts w:hint="cs"/>
          <w:rtl/>
          <w:lang w:bidi="ar-KW"/>
        </w:rPr>
        <w:t xml:space="preserve"> قال الإمام التـرمذي رحمه الله - مبيناً مذهب السلف الصالح في المتشابهات -</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w:t>
      </w:r>
      <w:r w:rsidRPr="00A52585">
        <w:rPr>
          <w:rFonts w:hint="cs"/>
          <w:rtl/>
          <w:lang w:bidi="ar-KW"/>
        </w:rPr>
        <w:t xml:space="preserve">) </w:t>
      </w:r>
      <w:r w:rsidR="00777DCB" w:rsidRPr="00A52585">
        <w:rPr>
          <w:rFonts w:hint="cs"/>
          <w:rtl/>
          <w:lang w:bidi="ar-KW"/>
        </w:rPr>
        <w:t>اهـ [سنن الترمذي 4</w:t>
      </w:r>
      <w:r w:rsidRPr="00A52585">
        <w:rPr>
          <w:rFonts w:hint="cs"/>
          <w:rtl/>
          <w:lang w:bidi="ar-KW"/>
        </w:rPr>
        <w:t xml:space="preserve">: </w:t>
      </w:r>
      <w:r w:rsidR="00777DCB" w:rsidRPr="00A52585">
        <w:rPr>
          <w:rFonts w:hint="cs"/>
          <w:rtl/>
          <w:lang w:bidi="ar-KW"/>
        </w:rPr>
        <w:t>492</w:t>
      </w:r>
      <w:r w:rsidRPr="00A52585">
        <w:rPr>
          <w:rFonts w:hint="cs"/>
          <w:rtl/>
          <w:lang w:bidi="ar-KW"/>
        </w:rPr>
        <w:t>]</w:t>
      </w:r>
      <w:r w:rsidR="00DB731D" w:rsidRPr="00A52585">
        <w:rPr>
          <w:rFonts w:hint="cs"/>
          <w:rtl/>
          <w:lang w:bidi="ar-KW"/>
        </w:rPr>
        <w:t>،</w:t>
      </w:r>
      <w:r w:rsidR="00777DCB" w:rsidRPr="00A52585">
        <w:rPr>
          <w:rFonts w:hint="cs"/>
          <w:rtl/>
          <w:lang w:bidi="ar-KW"/>
        </w:rPr>
        <w:t xml:space="preserve"> وروى الخلال بسند صحيح عن الإمام أحمد رضي الله عنه أنه قال في مثل هذه النصوص</w:t>
      </w:r>
      <w:r w:rsidRPr="00A52585">
        <w:rPr>
          <w:rFonts w:hint="cs"/>
          <w:rtl/>
          <w:lang w:bidi="ar-KW"/>
        </w:rPr>
        <w:t>: (</w:t>
      </w:r>
      <w:r w:rsidR="00777DCB" w:rsidRPr="00A52585">
        <w:rPr>
          <w:rFonts w:hint="cs"/>
          <w:rtl/>
          <w:lang w:bidi="ar-KW"/>
        </w:rPr>
        <w:t>نؤمن بها ونصدق ولا كيف ولا معنى</w:t>
      </w:r>
      <w:r w:rsidRPr="00A52585">
        <w:rPr>
          <w:rFonts w:hint="cs"/>
          <w:rtl/>
          <w:lang w:bidi="ar-KW"/>
        </w:rPr>
        <w:t xml:space="preserve">) </w:t>
      </w:r>
      <w:r w:rsidR="00777DCB" w:rsidRPr="00A52585">
        <w:rPr>
          <w:rFonts w:hint="cs"/>
          <w:rtl/>
          <w:lang w:bidi="ar-KW"/>
        </w:rPr>
        <w:t>اهـ</w:t>
      </w:r>
      <w:r w:rsidR="00DB731D" w:rsidRPr="00A52585">
        <w:rPr>
          <w:rFonts w:hint="cs"/>
          <w:rtl/>
          <w:lang w:bidi="ar-KW"/>
        </w:rPr>
        <w:t>،</w:t>
      </w:r>
      <w:r w:rsidR="00777DCB" w:rsidRPr="00A52585">
        <w:rPr>
          <w:rFonts w:hint="cs"/>
          <w:rtl/>
          <w:lang w:bidi="ar-KW"/>
        </w:rPr>
        <w:t xml:space="preserve"> وروى الإمـام الحـافظ البيهقي بسنده عن الإمام الأوزاعي قال</w:t>
      </w:r>
      <w:r w:rsidRPr="00A52585">
        <w:rPr>
          <w:rFonts w:hint="cs"/>
          <w:rtl/>
          <w:lang w:bidi="ar-KW"/>
        </w:rPr>
        <w:t>: (</w:t>
      </w:r>
      <w:r w:rsidR="00777DCB" w:rsidRPr="00A52585">
        <w:rPr>
          <w:rFonts w:hint="cs"/>
          <w:rtl/>
          <w:lang w:bidi="ar-KW"/>
        </w:rPr>
        <w:t>كل ما وصف الله تعالى به نفسه في كتابه فتفسيره تلاوته والسكوت عليه</w:t>
      </w:r>
      <w:r w:rsidRPr="00A52585">
        <w:rPr>
          <w:rFonts w:hint="cs"/>
          <w:rtl/>
          <w:lang w:bidi="ar-KW"/>
        </w:rPr>
        <w:t xml:space="preserve">) </w:t>
      </w:r>
      <w:r w:rsidR="00777DCB" w:rsidRPr="00A52585">
        <w:rPr>
          <w:rFonts w:hint="cs"/>
          <w:rtl/>
          <w:lang w:bidi="ar-KW"/>
        </w:rPr>
        <w:t xml:space="preserve">اهـ. </w:t>
      </w:r>
      <w:r w:rsidRPr="00A52585">
        <w:rPr>
          <w:rFonts w:hint="cs"/>
          <w:rtl/>
          <w:lang w:bidi="ar-KW"/>
        </w:rPr>
        <w:t>[</w:t>
      </w:r>
      <w:r w:rsidR="00777DCB" w:rsidRPr="00A52585">
        <w:rPr>
          <w:rFonts w:hint="cs"/>
          <w:rtl/>
          <w:lang w:bidi="ar-KW"/>
        </w:rPr>
        <w:t>الاعتقاد ص</w:t>
      </w:r>
      <w:r w:rsidRPr="00A52585">
        <w:rPr>
          <w:rFonts w:hint="cs"/>
          <w:rtl/>
          <w:lang w:bidi="ar-KW"/>
        </w:rPr>
        <w:t xml:space="preserve">: </w:t>
      </w:r>
      <w:r w:rsidR="00777DCB" w:rsidRPr="00A52585">
        <w:rPr>
          <w:rFonts w:hint="cs"/>
          <w:rtl/>
          <w:lang w:bidi="ar-KW"/>
        </w:rPr>
        <w:t>93]</w:t>
      </w:r>
      <w:r w:rsidR="00DB731D" w:rsidRPr="00A52585">
        <w:rPr>
          <w:rFonts w:hint="cs"/>
          <w:rtl/>
          <w:lang w:bidi="ar-KW"/>
        </w:rPr>
        <w:t>،</w:t>
      </w:r>
      <w:r w:rsidR="00777DCB" w:rsidRPr="00A52585">
        <w:rPr>
          <w:rFonts w:hint="cs"/>
          <w:rtl/>
          <w:lang w:bidi="ar-KW"/>
        </w:rPr>
        <w:t xml:space="preserve"> وقال النووي</w:t>
      </w:r>
      <w:r w:rsidRPr="00A52585">
        <w:rPr>
          <w:rFonts w:hint="cs"/>
          <w:rtl/>
          <w:lang w:bidi="ar-KW"/>
        </w:rPr>
        <w:t>: (</w:t>
      </w:r>
      <w:r w:rsidR="00777DCB" w:rsidRPr="00A52585">
        <w:rPr>
          <w:rFonts w:hint="cs"/>
          <w:rtl/>
          <w:lang w:bidi="ar-KW"/>
        </w:rPr>
        <w:t>اختلفوا في آيات الصفات وأخبارها هل يخاض فيها بالتأويل أم لا؟ فقال قائلون تتأول على ما يليق بها، وهذا أشهر المذهبين للمتكلمين، وقال آخرون</w:t>
      </w:r>
      <w:r w:rsidRPr="00A52585">
        <w:rPr>
          <w:rFonts w:hint="cs"/>
          <w:rtl/>
          <w:lang w:bidi="ar-KW"/>
        </w:rPr>
        <w:t>:</w:t>
      </w:r>
      <w:r w:rsidR="00777DCB" w:rsidRPr="00A52585">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sidRPr="00A52585">
        <w:rPr>
          <w:rFonts w:hint="cs"/>
          <w:rtl/>
          <w:lang w:bidi="ar-KW"/>
        </w:rPr>
        <w:t>:</w:t>
      </w:r>
      <w:r w:rsidR="00777DCB" w:rsidRPr="00A52585">
        <w:rPr>
          <w:rFonts w:hint="cs"/>
          <w:rtl/>
          <w:lang w:bidi="ar-KW"/>
        </w:rPr>
        <w:t xml:space="preserve">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w:t>
      </w:r>
      <w:r w:rsidRPr="00A52585">
        <w:rPr>
          <w:rFonts w:hint="cs"/>
          <w:rtl/>
          <w:lang w:bidi="ar-KW"/>
        </w:rPr>
        <w:t xml:space="preserve">) </w:t>
      </w:r>
      <w:r w:rsidR="00777DCB" w:rsidRPr="00A52585">
        <w:rPr>
          <w:rFonts w:hint="cs"/>
          <w:rtl/>
          <w:lang w:bidi="ar-KW"/>
        </w:rPr>
        <w:t xml:space="preserve">اهـ. </w:t>
      </w:r>
      <w:r w:rsidRPr="00A52585">
        <w:rPr>
          <w:rFonts w:hint="cs"/>
          <w:rtl/>
          <w:lang w:bidi="ar-KW"/>
        </w:rPr>
        <w:t>[</w:t>
      </w:r>
      <w:r w:rsidR="00777DCB" w:rsidRPr="00A52585">
        <w:rPr>
          <w:rFonts w:hint="cs"/>
          <w:rtl/>
          <w:lang w:bidi="ar-KW"/>
        </w:rPr>
        <w:t>المجموع 1</w:t>
      </w:r>
      <w:r w:rsidRPr="00A52585">
        <w:rPr>
          <w:rFonts w:hint="cs"/>
          <w:rtl/>
          <w:lang w:bidi="ar-KW"/>
        </w:rPr>
        <w:t xml:space="preserve">: </w:t>
      </w:r>
      <w:r w:rsidR="00777DCB" w:rsidRPr="00A52585">
        <w:rPr>
          <w:rFonts w:hint="cs"/>
          <w:rtl/>
          <w:lang w:bidi="ar-KW"/>
        </w:rPr>
        <w:t>25</w:t>
      </w:r>
      <w:r w:rsidRPr="00A52585">
        <w:rPr>
          <w:rFonts w:hint="cs"/>
          <w:rtl/>
          <w:lang w:bidi="ar-KW"/>
        </w:rPr>
        <w:t>]</w:t>
      </w:r>
      <w:r w:rsidR="00DB731D" w:rsidRPr="00A52585">
        <w:rPr>
          <w:rFonts w:hint="cs"/>
          <w:rtl/>
          <w:lang w:bidi="ar-KW"/>
        </w:rPr>
        <w:t>،</w:t>
      </w:r>
      <w:r w:rsidR="00777DCB" w:rsidRPr="00A52585">
        <w:rPr>
          <w:rFonts w:hint="cs"/>
          <w:rtl/>
          <w:lang w:bidi="ar-KW"/>
        </w:rPr>
        <w:t xml:space="preserve"> وقال السيوطي</w:t>
      </w:r>
      <w:r w:rsidRPr="00A52585">
        <w:rPr>
          <w:rFonts w:hint="cs"/>
          <w:rtl/>
          <w:lang w:bidi="ar-KW"/>
        </w:rPr>
        <w:t>: (</w:t>
      </w:r>
      <w:r w:rsidR="00777DCB" w:rsidRPr="00A52585">
        <w:rPr>
          <w:rFonts w:hint="cs"/>
          <w:rtl/>
          <w:lang w:bidi="ar-KW"/>
        </w:rPr>
        <w:t xml:space="preserve">من المتشابه آيات الصفات... وجمهور أهل السنة منهم السلف وأهل الحديث على الإيمان وتفويض معناها المراد منها إلى الله تعالى، ولا نفسرها </w:t>
      </w:r>
      <w:r w:rsidR="00777DCB" w:rsidRPr="00A52585">
        <w:rPr>
          <w:rFonts w:hint="cs"/>
          <w:bCs/>
          <w:rtl/>
          <w:lang w:bidi="ar-KW"/>
        </w:rPr>
        <w:t>مع تنزيهنا له - تعالى - عن حقيقتها</w:t>
      </w:r>
      <w:r w:rsidRPr="00A52585">
        <w:rPr>
          <w:rFonts w:hint="cs"/>
          <w:rtl/>
          <w:lang w:bidi="ar-KW"/>
        </w:rPr>
        <w:t xml:space="preserve">) </w:t>
      </w:r>
      <w:r w:rsidR="00777DCB" w:rsidRPr="00A52585">
        <w:rPr>
          <w:rFonts w:hint="cs"/>
          <w:rtl/>
          <w:lang w:bidi="ar-KW"/>
        </w:rPr>
        <w:t>اهـ.</w:t>
      </w:r>
      <w:r w:rsidRPr="00A52585">
        <w:rPr>
          <w:rFonts w:hint="cs"/>
          <w:rtl/>
          <w:lang w:bidi="ar-KW"/>
        </w:rPr>
        <w:t>[</w:t>
      </w:r>
      <w:r w:rsidR="00777DCB" w:rsidRPr="00A52585">
        <w:rPr>
          <w:rFonts w:hint="cs"/>
          <w:rtl/>
          <w:lang w:bidi="ar-KW"/>
        </w:rPr>
        <w:t>الإتقان في علوم القرآن 2</w:t>
      </w:r>
      <w:r w:rsidRPr="00A52585">
        <w:rPr>
          <w:rFonts w:hint="cs"/>
          <w:rtl/>
          <w:lang w:bidi="ar-KW"/>
        </w:rPr>
        <w:t xml:space="preserve">: </w:t>
      </w:r>
      <w:r w:rsidR="00777DCB" w:rsidRPr="00A52585">
        <w:rPr>
          <w:rFonts w:hint="cs"/>
          <w:rtl/>
          <w:lang w:bidi="ar-KW"/>
        </w:rPr>
        <w:t>10</w:t>
      </w:r>
      <w:r w:rsidRPr="00A52585">
        <w:rPr>
          <w:rFonts w:hint="cs"/>
          <w:rtl/>
          <w:lang w:bidi="ar-KW"/>
        </w:rPr>
        <w:t>]</w:t>
      </w:r>
      <w:r w:rsidR="00DB731D" w:rsidRPr="00A52585">
        <w:rPr>
          <w:rFonts w:hint="cs"/>
          <w:rtl/>
          <w:lang w:bidi="ar-KW"/>
        </w:rPr>
        <w:t>،</w:t>
      </w:r>
      <w:r w:rsidR="00777DCB" w:rsidRPr="00A52585">
        <w:rPr>
          <w:rFonts w:hint="cs"/>
          <w:rtl/>
          <w:lang w:bidi="ar-KW"/>
        </w:rPr>
        <w:t xml:space="preserve"> وليس معنى ذلك أن السلف كانوا لا يدركون أي معنى لهذه النصوص المتشابهة</w:t>
      </w:r>
      <w:r w:rsidR="00DB731D" w:rsidRPr="00A52585">
        <w:rPr>
          <w:rFonts w:hint="cs"/>
          <w:rtl/>
          <w:lang w:bidi="ar-KW"/>
        </w:rPr>
        <w:t>،</w:t>
      </w:r>
      <w:r w:rsidR="00777DCB" w:rsidRPr="00A52585">
        <w:rPr>
          <w:rFonts w:hint="cs"/>
          <w:rtl/>
          <w:lang w:bidi="ar-KW"/>
        </w:rPr>
        <w:t xml:space="preserve"> - حاش لله من هذا الظن السيئ بهم - بل كانوا يدركون المعنى الإجمالي الذي سيقت الآيات من أجله</w:t>
      </w:r>
      <w:r w:rsidR="00DB731D" w:rsidRPr="00A52585">
        <w:rPr>
          <w:rFonts w:hint="cs"/>
          <w:rtl/>
          <w:lang w:bidi="ar-KW"/>
        </w:rPr>
        <w:t>،</w:t>
      </w:r>
      <w:r w:rsidR="00777DCB" w:rsidRPr="00A52585">
        <w:rPr>
          <w:rFonts w:hint="cs"/>
          <w:rtl/>
          <w:lang w:bidi="ar-KW"/>
        </w:rPr>
        <w:t xml:space="preserve"> ولكن لعلمهم الراسخ بما يجب لله من الأسماء والصفات وما يستحيل </w:t>
      </w:r>
      <w:r w:rsidR="00777DCB" w:rsidRPr="00A52585">
        <w:rPr>
          <w:rFonts w:hint="cs"/>
          <w:rtl/>
          <w:lang w:bidi="ar-KW"/>
        </w:rPr>
        <w:lastRenderedPageBreak/>
        <w:t>عليه من الصفات التي يلزم من إثباتها النقص أو التمثيل أو التشبيه</w:t>
      </w:r>
      <w:r w:rsidR="00DB731D" w:rsidRPr="00A52585">
        <w:rPr>
          <w:rFonts w:hint="cs"/>
          <w:rtl/>
          <w:lang w:bidi="ar-KW"/>
        </w:rPr>
        <w:t>،</w:t>
      </w:r>
      <w:r w:rsidR="00777DCB" w:rsidRPr="00A52585">
        <w:rPr>
          <w:rFonts w:hint="cs"/>
          <w:rtl/>
          <w:lang w:bidi="ar-KW"/>
        </w:rPr>
        <w:t xml:space="preserve"> وهم أعلم الناس بمعنى قوله تعالى</w:t>
      </w:r>
      <w:r w:rsidRPr="00A52585">
        <w:rPr>
          <w:rFonts w:hint="cs"/>
          <w:rtl/>
          <w:lang w:bidi="ar-KW"/>
        </w:rPr>
        <w:t>:</w:t>
      </w:r>
      <w:r w:rsidR="00777DCB" w:rsidRPr="00A52585">
        <w:rPr>
          <w:rFonts w:hint="cs"/>
          <w:rtl/>
        </w:rPr>
        <w:t xml:space="preserve">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هل تعلم له سميا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يحيطون به علما</w:t>
      </w:r>
      <w:r w:rsidRPr="00A52585">
        <w:rPr>
          <w:rFonts w:hint="cs"/>
          <w:rtl/>
        </w:rPr>
        <w:t>}</w:t>
      </w:r>
      <w:r w:rsidR="00DB731D" w:rsidRPr="00A52585">
        <w:rPr>
          <w:rFonts w:hint="cs"/>
          <w:rtl/>
        </w:rPr>
        <w:t>،</w:t>
      </w:r>
      <w:r w:rsidR="00777DCB" w:rsidRPr="00A52585">
        <w:rPr>
          <w:rFonts w:hint="cs"/>
          <w:rtl/>
        </w:rPr>
        <w:t xml:space="preserve"> وما فيها من التنزيه ونفي الكفء والمثيل والسمي</w:t>
      </w:r>
      <w:r w:rsidR="00DB731D" w:rsidRPr="00A52585">
        <w:rPr>
          <w:rFonts w:hint="cs"/>
          <w:rtl/>
        </w:rPr>
        <w:t>،</w:t>
      </w:r>
      <w:r w:rsidR="00777DCB" w:rsidRPr="00A52585">
        <w:rPr>
          <w:rFonts w:hint="cs"/>
          <w:rtl/>
        </w:rPr>
        <w:t xml:space="preserve"> فكانوا لا يثبتون للمتشابه أي معنى يخالف التنزيه والتقديس</w:t>
      </w:r>
      <w:r w:rsidR="00DB731D" w:rsidRPr="00A52585">
        <w:rPr>
          <w:rFonts w:hint="cs"/>
          <w:rtl/>
        </w:rPr>
        <w:t>،</w:t>
      </w:r>
      <w:r w:rsidR="00777DCB" w:rsidRPr="00A52585">
        <w:rPr>
          <w:rFonts w:hint="cs"/>
          <w:rtl/>
        </w:rPr>
        <w:t xml:space="preserve"> و</w:t>
      </w:r>
      <w:r w:rsidR="00777DCB" w:rsidRPr="00A52585">
        <w:rPr>
          <w:rFonts w:hint="cs"/>
          <w:rtl/>
          <w:lang w:bidi="ar-KW"/>
        </w:rPr>
        <w:t>مثال على هذا قوله تعالى</w:t>
      </w:r>
      <w:r w:rsidR="00777DCB" w:rsidRPr="00A52585">
        <w:rPr>
          <w:rFonts w:hint="cs"/>
          <w:bCs/>
          <w:rtl/>
          <w:lang w:bidi="ar-KW"/>
        </w:rPr>
        <w:t xml:space="preserve"> </w:t>
      </w:r>
      <w:r w:rsidRPr="00A52585">
        <w:rPr>
          <w:rFonts w:hint="cs"/>
          <w:bCs/>
          <w:rtl/>
          <w:lang w:bidi="ar-KW"/>
        </w:rPr>
        <w:t>(</w:t>
      </w:r>
      <w:r w:rsidR="00777DCB" w:rsidRPr="00A52585">
        <w:rPr>
          <w:rFonts w:hint="cs"/>
          <w:bCs/>
          <w:rtl/>
          <w:lang w:bidi="ar-KW"/>
        </w:rPr>
        <w:t>بل يداه مبسوطتان</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يفهم منه على سبيل الإجمال معنى الكرم والجود المطلق والعطاء الذي لا ينقطع اللائق بصفة الرب تعالى، أما لفظ اليدين المضاف لله تعالى في الآية</w:t>
      </w:r>
      <w:r w:rsidR="00DB731D" w:rsidRPr="00A52585">
        <w:rPr>
          <w:rFonts w:hint="cs"/>
          <w:rtl/>
          <w:lang w:bidi="ar-KW"/>
        </w:rPr>
        <w:t>،</w:t>
      </w:r>
      <w:r w:rsidR="00777DCB" w:rsidRPr="00A52585">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DB731D" w:rsidRPr="00A52585">
        <w:rPr>
          <w:rFonts w:hint="cs"/>
          <w:rtl/>
          <w:lang w:bidi="ar-KW"/>
        </w:rPr>
        <w:t>،</w:t>
      </w:r>
      <w:r w:rsidR="00777DCB" w:rsidRPr="00A52585">
        <w:rPr>
          <w:rFonts w:hint="cs"/>
          <w:rtl/>
          <w:lang w:bidi="ar-KW"/>
        </w:rPr>
        <w:t xml:space="preserve"> منها أنه سبحانه </w:t>
      </w:r>
      <w:r w:rsidRPr="00A52585">
        <w:rPr>
          <w:rFonts w:hint="cs"/>
          <w:rtl/>
          <w:lang w:bidi="ar-KW"/>
        </w:rPr>
        <w:t>(</w:t>
      </w:r>
      <w:r w:rsidR="00777DCB" w:rsidRPr="00A52585">
        <w:rPr>
          <w:rFonts w:hint="cs"/>
          <w:rtl/>
          <w:lang w:bidi="ar-KW"/>
        </w:rPr>
        <w:t>الأحد</w:t>
      </w:r>
      <w:r w:rsidRPr="00A52585">
        <w:rPr>
          <w:rFonts w:hint="cs"/>
          <w:rtl/>
          <w:lang w:bidi="ar-KW"/>
        </w:rPr>
        <w:t>)</w:t>
      </w:r>
      <w:r w:rsidR="00777DCB" w:rsidRPr="00A52585">
        <w:rPr>
          <w:rFonts w:hint="cs"/>
          <w:rtl/>
          <w:lang w:bidi="ar-KW"/>
        </w:rPr>
        <w:t xml:space="preserve"> وصفة الأحدية تمنع من التركيب</w:t>
      </w:r>
      <w:r w:rsidR="00DB731D" w:rsidRPr="00A52585">
        <w:rPr>
          <w:rFonts w:hint="cs"/>
          <w:rtl/>
          <w:lang w:bidi="ar-KW"/>
        </w:rPr>
        <w:t>،</w:t>
      </w:r>
      <w:r w:rsidR="00777DCB" w:rsidRPr="00A52585">
        <w:rPr>
          <w:rFonts w:hint="cs"/>
          <w:rtl/>
          <w:lang w:bidi="ar-KW"/>
        </w:rPr>
        <w:t xml:space="preserve"> ومنع التركيب يمنع وجود الأجزاء</w:t>
      </w:r>
      <w:r w:rsidR="00DB731D" w:rsidRPr="00A52585">
        <w:rPr>
          <w:rFonts w:hint="cs"/>
          <w:rtl/>
          <w:lang w:bidi="ar-KW"/>
        </w:rPr>
        <w:t>،</w:t>
      </w:r>
      <w:r w:rsidR="00777DCB" w:rsidRPr="00A52585">
        <w:rPr>
          <w:rFonts w:hint="cs"/>
          <w:rtl/>
          <w:lang w:bidi="ar-KW"/>
        </w:rPr>
        <w:t xml:space="preserve"> كما أنه سبحانه </w:t>
      </w:r>
      <w:r w:rsidRPr="00A52585">
        <w:rPr>
          <w:rFonts w:hint="cs"/>
          <w:rtl/>
          <w:lang w:bidi="ar-KW"/>
        </w:rPr>
        <w:t>(</w:t>
      </w:r>
      <w:r w:rsidR="00777DCB" w:rsidRPr="00A52585">
        <w:rPr>
          <w:rFonts w:hint="cs"/>
          <w:rtl/>
          <w:lang w:bidi="ar-KW"/>
        </w:rPr>
        <w:t>الغني</w:t>
      </w:r>
      <w:r w:rsidRPr="00A52585">
        <w:rPr>
          <w:rFonts w:hint="cs"/>
          <w:rtl/>
          <w:lang w:bidi="ar-KW"/>
        </w:rPr>
        <w:t>)</w:t>
      </w:r>
      <w:r w:rsidR="00777DCB" w:rsidRPr="00A52585">
        <w:rPr>
          <w:rFonts w:hint="cs"/>
          <w:rtl/>
          <w:lang w:bidi="ar-KW"/>
        </w:rPr>
        <w:t xml:space="preserve"> وكمال الغنى يمنع من الاحتياج للجوارح في تصريف الأمور</w:t>
      </w:r>
      <w:r w:rsidR="00DB731D" w:rsidRPr="00A52585">
        <w:rPr>
          <w:rFonts w:hint="cs"/>
          <w:rtl/>
          <w:lang w:bidi="ar-KW"/>
        </w:rPr>
        <w:t>،</w:t>
      </w:r>
      <w:r w:rsidR="00777DCB" w:rsidRPr="00A52585">
        <w:rPr>
          <w:rFonts w:hint="cs"/>
          <w:rtl/>
          <w:lang w:bidi="ar-KW"/>
        </w:rPr>
        <w:t xml:space="preserve"> ومنها نفي المثلية في 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ليس كمثله شيء</w:t>
      </w:r>
      <w:r w:rsidRPr="00A52585">
        <w:rPr>
          <w:rFonts w:hint="cs"/>
          <w:rtl/>
          <w:lang w:bidi="ar-KW"/>
        </w:rPr>
        <w:t>}</w:t>
      </w:r>
      <w:r w:rsidR="00DB731D" w:rsidRPr="00A52585">
        <w:rPr>
          <w:rFonts w:hint="cs"/>
          <w:rtl/>
          <w:lang w:bidi="ar-KW"/>
        </w:rPr>
        <w:t>،</w:t>
      </w:r>
      <w:r w:rsidR="00777DCB" w:rsidRPr="00A52585">
        <w:rPr>
          <w:rFonts w:hint="cs"/>
          <w:rtl/>
          <w:lang w:bidi="ar-KW"/>
        </w:rPr>
        <w:t xml:space="preserve"> وجميع الخلق تتكون أجسامهم من أجزاء والله تعالى ليس كمثله</w:t>
      </w:r>
      <w:r w:rsidR="00DB731D" w:rsidRPr="00A52585">
        <w:rPr>
          <w:rFonts w:hint="cs"/>
          <w:rtl/>
          <w:lang w:bidi="ar-KW"/>
        </w:rPr>
        <w:t>،</w:t>
      </w:r>
      <w:r w:rsidR="00777DCB" w:rsidRPr="00A52585">
        <w:rPr>
          <w:rFonts w:hint="cs"/>
          <w:rtl/>
          <w:lang w:bidi="ar-KW"/>
        </w:rPr>
        <w:t xml:space="preserve"> ولهذه الأسباب وغيرها - مما </w:t>
      </w:r>
      <w:proofErr w:type="spellStart"/>
      <w:r w:rsidR="00777DCB" w:rsidRPr="00A52585">
        <w:rPr>
          <w:rFonts w:hint="cs"/>
          <w:rtl/>
          <w:lang w:bidi="ar-KW"/>
        </w:rPr>
        <w:t>حواه</w:t>
      </w:r>
      <w:proofErr w:type="spellEnd"/>
      <w:r w:rsidR="00777DCB" w:rsidRPr="00A52585">
        <w:rPr>
          <w:rFonts w:hint="cs"/>
          <w:rtl/>
          <w:lang w:bidi="ar-KW"/>
        </w:rPr>
        <w:t xml:space="preserve"> علم التقديس -</w:t>
      </w:r>
      <w:r w:rsidRPr="00A52585">
        <w:rPr>
          <w:rFonts w:hint="cs"/>
          <w:rtl/>
          <w:lang w:bidi="ar-KW"/>
        </w:rPr>
        <w:t xml:space="preserve"> </w:t>
      </w:r>
      <w:r w:rsidR="00777DCB" w:rsidRPr="00A52585">
        <w:rPr>
          <w:rFonts w:hint="cs"/>
          <w:rtl/>
          <w:lang w:bidi="ar-KW"/>
        </w:rPr>
        <w:t>توقف السلف عن الخوض في المتشابه</w:t>
      </w:r>
      <w:r w:rsidR="00DB731D" w:rsidRPr="00A52585">
        <w:rPr>
          <w:rFonts w:hint="cs"/>
          <w:rtl/>
          <w:lang w:bidi="ar-KW"/>
        </w:rPr>
        <w:t>،</w:t>
      </w:r>
      <w:r w:rsidR="00777DCB" w:rsidRPr="00A52585">
        <w:rPr>
          <w:rFonts w:hint="cs"/>
          <w:rtl/>
          <w:lang w:bidi="ar-KW"/>
        </w:rPr>
        <w:t xml:space="preserve"> واكتفوا بالمعنى الإجمالي المفهوم من الآيات</w:t>
      </w:r>
      <w:r w:rsidR="00DB731D" w:rsidRPr="00A52585">
        <w:rPr>
          <w:rFonts w:hint="cs"/>
          <w:rtl/>
          <w:lang w:bidi="ar-KW"/>
        </w:rPr>
        <w:t>،</w:t>
      </w:r>
      <w:r w:rsidR="00777DCB" w:rsidRPr="00A52585">
        <w:rPr>
          <w:rFonts w:hint="cs"/>
          <w:rtl/>
          <w:lang w:bidi="ar-KW"/>
        </w:rPr>
        <w:t xml:space="preserve"> هذا هو اللائق بمقامات السلف في العلم</w:t>
      </w:r>
      <w:r w:rsidR="00DB731D" w:rsidRPr="00A52585">
        <w:rPr>
          <w:rFonts w:hint="cs"/>
          <w:rtl/>
          <w:lang w:bidi="ar-KW"/>
        </w:rPr>
        <w:t>،</w:t>
      </w:r>
      <w:r w:rsidR="00777DCB" w:rsidRPr="00A52585">
        <w:rPr>
          <w:rFonts w:hint="cs"/>
          <w:rtl/>
          <w:lang w:bidi="ar-KW"/>
        </w:rPr>
        <w:t xml:space="preserve"> إذ لا يعقل أنهم كانوا يسمعون مثلاً قول الله تعالـى </w:t>
      </w:r>
      <w:r w:rsidRPr="00A52585">
        <w:rPr>
          <w:rFonts w:hint="cs"/>
          <w:rtl/>
          <w:lang w:bidi="ar-KW"/>
        </w:rPr>
        <w:t>(</w:t>
      </w:r>
      <w:r w:rsidR="00777DCB" w:rsidRPr="00A52585">
        <w:rPr>
          <w:rFonts w:hint="cs"/>
          <w:bCs/>
          <w:rtl/>
          <w:lang w:bidi="ar-KW"/>
        </w:rPr>
        <w:t>يد الله فوق أيديهم</w:t>
      </w:r>
      <w:r w:rsidRPr="00A52585">
        <w:rPr>
          <w:rFonts w:hint="cs"/>
          <w:bCs/>
          <w:rtl/>
          <w:lang w:bidi="ar-KW"/>
        </w:rPr>
        <w:t xml:space="preserve">) </w:t>
      </w:r>
      <w:r w:rsidR="00777DCB" w:rsidRPr="00A52585">
        <w:rPr>
          <w:rFonts w:hint="cs"/>
          <w:bCs/>
          <w:rtl/>
          <w:lang w:bidi="ar-KW"/>
        </w:rPr>
        <w:t xml:space="preserve">أو </w:t>
      </w:r>
      <w:r w:rsidRPr="00A52585">
        <w:rPr>
          <w:rFonts w:hint="cs"/>
          <w:bCs/>
          <w:rtl/>
          <w:lang w:bidi="ar-KW"/>
        </w:rPr>
        <w:t>(</w:t>
      </w:r>
      <w:r w:rsidR="00777DCB" w:rsidRPr="00A52585">
        <w:rPr>
          <w:rFonts w:hint="cs"/>
          <w:bCs/>
          <w:rtl/>
          <w:lang w:bidi="ar-KW"/>
        </w:rPr>
        <w:t>بل يداه مبسوطتان ينفق كيف يشاء</w:t>
      </w:r>
      <w:r w:rsidRPr="00A52585">
        <w:rPr>
          <w:rFonts w:hint="cs"/>
          <w:bCs/>
          <w:rtl/>
          <w:lang w:bidi="ar-KW"/>
        </w:rPr>
        <w:t xml:space="preserve">) </w:t>
      </w:r>
      <w:r w:rsidR="00777DCB" w:rsidRPr="00A52585">
        <w:rPr>
          <w:rFonts w:hint="cs"/>
          <w:bCs/>
          <w:rtl/>
          <w:lang w:bidi="ar-KW"/>
        </w:rPr>
        <w:t xml:space="preserve">أو </w:t>
      </w:r>
      <w:r w:rsidRPr="00A52585">
        <w:rPr>
          <w:rFonts w:hint="cs"/>
          <w:bCs/>
          <w:rtl/>
          <w:lang w:bidi="ar-KW"/>
        </w:rPr>
        <w:t>(</w:t>
      </w:r>
      <w:r w:rsidR="00777DCB" w:rsidRPr="00A52585">
        <w:rPr>
          <w:rFonts w:hint="cs"/>
          <w:bCs/>
          <w:rtl/>
          <w:lang w:bidi="ar-KW"/>
        </w:rPr>
        <w:t>الرحمن على العرش استوى</w:t>
      </w:r>
      <w:r w:rsidRPr="00A52585">
        <w:rPr>
          <w:rFonts w:hint="cs"/>
          <w:bCs/>
          <w:rtl/>
          <w:lang w:bidi="ar-KW"/>
        </w:rPr>
        <w:t xml:space="preserve">) </w:t>
      </w:r>
      <w:r w:rsidR="00777DCB" w:rsidRPr="00A52585">
        <w:rPr>
          <w:rFonts w:hint="cs"/>
          <w:bCs/>
          <w:rtl/>
          <w:lang w:bidi="ar-KW"/>
        </w:rPr>
        <w:t xml:space="preserve">أو </w:t>
      </w:r>
      <w:r w:rsidRPr="00A52585">
        <w:rPr>
          <w:rFonts w:hint="cs"/>
          <w:bCs/>
          <w:rtl/>
          <w:lang w:bidi="ar-KW"/>
        </w:rPr>
        <w:t>(</w:t>
      </w:r>
      <w:r w:rsidR="00777DCB" w:rsidRPr="00A52585">
        <w:rPr>
          <w:rFonts w:hint="cs"/>
          <w:bCs/>
          <w:rtl/>
          <w:lang w:bidi="ar-KW"/>
        </w:rPr>
        <w:t>ثم استوى إلى السماء</w:t>
      </w:r>
      <w:r w:rsidRPr="00A52585">
        <w:rPr>
          <w:rFonts w:hint="cs"/>
          <w:bCs/>
          <w:rtl/>
          <w:lang w:bidi="ar-KW"/>
        </w:rPr>
        <w:t>)</w:t>
      </w:r>
      <w:r w:rsidR="00777DCB" w:rsidRPr="00A52585">
        <w:rPr>
          <w:rFonts w:hint="cs"/>
          <w:bCs/>
          <w:rtl/>
          <w:lang w:bidi="ar-KW"/>
        </w:rPr>
        <w:t xml:space="preserve"> أو </w:t>
      </w:r>
      <w:r w:rsidRPr="00A52585">
        <w:rPr>
          <w:rFonts w:hint="cs"/>
          <w:bCs/>
          <w:rtl/>
          <w:lang w:bidi="ar-KW"/>
        </w:rPr>
        <w:t>(</w:t>
      </w:r>
      <w:r w:rsidR="00777DCB" w:rsidRPr="00A52585">
        <w:rPr>
          <w:rFonts w:hint="cs"/>
          <w:bCs/>
          <w:rtl/>
          <w:lang w:bidi="ar-KW"/>
        </w:rPr>
        <w:t>يوم يكشف عن ساق</w:t>
      </w:r>
      <w:r w:rsidRPr="00A52585">
        <w:rPr>
          <w:rFonts w:hint="cs"/>
          <w:bCs/>
          <w:rtl/>
          <w:lang w:bidi="ar-KW"/>
        </w:rPr>
        <w:t>)</w:t>
      </w:r>
      <w:r w:rsidR="00DB731D" w:rsidRPr="00A52585">
        <w:rPr>
          <w:rFonts w:hint="cs"/>
          <w:bCs/>
          <w:rtl/>
          <w:lang w:bidi="ar-KW"/>
        </w:rPr>
        <w:t>،</w:t>
      </w:r>
      <w:r w:rsidR="00777DCB" w:rsidRPr="00A52585">
        <w:rPr>
          <w:rFonts w:hint="cs"/>
          <w:rtl/>
          <w:lang w:bidi="ar-KW"/>
        </w:rPr>
        <w:t xml:space="preserve"> أو قول رسول الله </w:t>
      </w:r>
      <w:r w:rsidR="00777DCB" w:rsidRPr="00A52585">
        <w:rPr>
          <w:rFonts w:hint="cs"/>
          <w:rtl/>
        </w:rPr>
        <w:t>‘</w:t>
      </w:r>
      <w:r w:rsidRPr="00A52585">
        <w:rPr>
          <w:rFonts w:hint="cs"/>
          <w:rtl/>
          <w:lang w:bidi="ar-KW"/>
        </w:rPr>
        <w:t xml:space="preserve"> </w:t>
      </w:r>
      <w:r w:rsidRPr="00A52585">
        <w:rPr>
          <w:rFonts w:hint="cs"/>
          <w:bCs/>
          <w:rtl/>
          <w:lang w:bidi="ar-KW"/>
        </w:rPr>
        <w:t>(</w:t>
      </w:r>
      <w:r w:rsidR="00777DCB" w:rsidRPr="00A52585">
        <w:rPr>
          <w:rFonts w:hint="cs"/>
          <w:bCs/>
          <w:rtl/>
          <w:lang w:bidi="ar-KW"/>
        </w:rPr>
        <w:t>يضحك ربنا</w:t>
      </w:r>
      <w:r w:rsidRPr="00A52585">
        <w:rPr>
          <w:rFonts w:hint="cs"/>
          <w:bCs/>
          <w:rtl/>
          <w:lang w:bidi="ar-KW"/>
        </w:rPr>
        <w:t xml:space="preserve">) </w:t>
      </w:r>
      <w:r w:rsidR="00777DCB" w:rsidRPr="00A52585">
        <w:rPr>
          <w:rFonts w:hint="cs"/>
          <w:rtl/>
          <w:lang w:bidi="ar-KW"/>
        </w:rPr>
        <w:t>أو</w:t>
      </w:r>
      <w:r w:rsidRPr="00A52585">
        <w:rPr>
          <w:rFonts w:hint="cs"/>
          <w:rtl/>
          <w:lang w:bidi="ar-KW"/>
        </w:rPr>
        <w:t xml:space="preserve"> </w:t>
      </w:r>
      <w:r w:rsidRPr="00A52585">
        <w:rPr>
          <w:rFonts w:hint="cs"/>
          <w:bCs/>
          <w:rtl/>
          <w:lang w:bidi="ar-KW"/>
        </w:rPr>
        <w:t>(</w:t>
      </w:r>
      <w:r w:rsidR="00777DCB" w:rsidRPr="00A52585">
        <w:rPr>
          <w:rFonts w:hint="cs"/>
          <w:bCs/>
          <w:rtl/>
          <w:lang w:bidi="ar-KW"/>
        </w:rPr>
        <w:t>ينزل ربنا</w:t>
      </w:r>
      <w:r w:rsidRPr="00A52585">
        <w:rPr>
          <w:rFonts w:hint="cs"/>
          <w:bCs/>
          <w:rtl/>
          <w:lang w:bidi="ar-KW"/>
        </w:rPr>
        <w:t xml:space="preserve">) </w:t>
      </w:r>
      <w:r w:rsidR="00777DCB" w:rsidRPr="00A52585">
        <w:rPr>
          <w:rFonts w:hint="cs"/>
          <w:rtl/>
          <w:lang w:bidi="ar-KW"/>
        </w:rPr>
        <w:t>أو</w:t>
      </w:r>
      <w:r w:rsidRPr="00A52585">
        <w:rPr>
          <w:rFonts w:hint="cs"/>
          <w:rtl/>
          <w:lang w:bidi="ar-KW"/>
        </w:rPr>
        <w:t xml:space="preserve"> </w:t>
      </w:r>
      <w:r w:rsidRPr="00A52585">
        <w:rPr>
          <w:rFonts w:hint="cs"/>
          <w:bCs/>
          <w:rtl/>
          <w:lang w:bidi="ar-KW"/>
        </w:rPr>
        <w:t>(</w:t>
      </w:r>
      <w:r w:rsidR="00777DCB" w:rsidRPr="00A52585">
        <w:rPr>
          <w:rFonts w:hint="cs"/>
          <w:bCs/>
          <w:rtl/>
          <w:lang w:bidi="ar-KW"/>
        </w:rPr>
        <w:t>يعجب ربنا</w:t>
      </w:r>
      <w:r w:rsidRPr="00A52585">
        <w:rPr>
          <w:rFonts w:hint="cs"/>
          <w:bCs/>
          <w:rtl/>
          <w:lang w:bidi="ar-KW"/>
        </w:rPr>
        <w:t xml:space="preserve">) </w:t>
      </w:r>
      <w:r w:rsidR="00777DCB" w:rsidRPr="00A52585">
        <w:rPr>
          <w:rFonts w:hint="cs"/>
          <w:rtl/>
          <w:lang w:bidi="ar-KW"/>
        </w:rPr>
        <w:t>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sidR="00DB731D" w:rsidRPr="00A52585">
        <w:rPr>
          <w:rFonts w:hint="cs"/>
          <w:bCs/>
          <w:rtl/>
          <w:lang w:bidi="ar-KW"/>
        </w:rPr>
        <w:t>،</w:t>
      </w:r>
      <w:r w:rsidR="00777DCB" w:rsidRPr="00A52585">
        <w:rPr>
          <w:rFonts w:hint="cs"/>
          <w:bCs/>
          <w:rtl/>
          <w:lang w:bidi="ar-KW"/>
        </w:rPr>
        <w:t xml:space="preserve"> </w:t>
      </w:r>
      <w:r w:rsidR="00777DCB" w:rsidRPr="00A52585">
        <w:rPr>
          <w:rFonts w:hint="cs"/>
          <w:rtl/>
          <w:lang w:bidi="ar-KW"/>
        </w:rPr>
        <w:t>وكما ذكرنا فإنّه ليس معنى ذلك أن السلف كانوا لا يدركون أي معنى لهذه النصوص المتشابهة</w:t>
      </w:r>
      <w:r w:rsidR="00DB731D" w:rsidRPr="00A52585">
        <w:rPr>
          <w:rFonts w:hint="cs"/>
          <w:rtl/>
          <w:lang w:bidi="ar-KW"/>
        </w:rPr>
        <w:t>،</w:t>
      </w:r>
      <w:r w:rsidR="00777DCB" w:rsidRPr="00A52585">
        <w:rPr>
          <w:rFonts w:hint="cs"/>
          <w:rtl/>
          <w:lang w:bidi="ar-KW"/>
        </w:rPr>
        <w:t xml:space="preserve"> - حاش لله من هذا الظن السيئ بهم - بل كانوا يدركون المعنى الإجمالي الذي سيقت الآيات من أجله</w:t>
      </w:r>
      <w:r w:rsidR="00DB731D" w:rsidRPr="00A52585">
        <w:rPr>
          <w:rFonts w:hint="cs"/>
          <w:rtl/>
          <w:lang w:bidi="ar-KW"/>
        </w:rPr>
        <w:t>،</w:t>
      </w:r>
      <w:r w:rsidR="00777DCB" w:rsidRPr="00A52585">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DB731D" w:rsidRPr="00A52585">
        <w:rPr>
          <w:rFonts w:hint="cs"/>
          <w:rtl/>
          <w:lang w:bidi="ar-KW"/>
        </w:rPr>
        <w:t>،</w:t>
      </w:r>
      <w:r w:rsidR="00777DCB" w:rsidRPr="00A52585">
        <w:rPr>
          <w:rFonts w:hint="cs"/>
          <w:rtl/>
          <w:lang w:bidi="ar-KW"/>
        </w:rPr>
        <w:t xml:space="preserve"> وهم أعلم الناس بمعنى قوله تعالى</w:t>
      </w:r>
      <w:r w:rsidRPr="00A52585">
        <w:rPr>
          <w:rFonts w:hint="cs"/>
          <w:rtl/>
          <w:lang w:bidi="ar-KW"/>
        </w:rPr>
        <w:t>:</w:t>
      </w:r>
      <w:r w:rsidR="00777DCB" w:rsidRPr="00A52585">
        <w:rPr>
          <w:rFonts w:hint="cs"/>
          <w:rtl/>
        </w:rPr>
        <w:t xml:space="preserve"> </w:t>
      </w:r>
      <w:r w:rsidRPr="00A52585">
        <w:rPr>
          <w:rFonts w:hint="cs"/>
          <w:rtl/>
        </w:rPr>
        <w:t>{</w:t>
      </w:r>
      <w:r w:rsidR="00777DCB" w:rsidRPr="00A52585">
        <w:rPr>
          <w:rFonts w:hint="cs"/>
          <w:rtl/>
        </w:rPr>
        <w:t>ولم يكن له كفوا أحد</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وقوله </w:t>
      </w:r>
      <w:r w:rsidR="00777DCB" w:rsidRPr="00A52585">
        <w:rPr>
          <w:rFonts w:hint="cs"/>
          <w:rtl/>
        </w:rPr>
        <w:lastRenderedPageBreak/>
        <w:t>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هل تعلم له سميا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يحيطون به علما</w:t>
      </w:r>
      <w:r w:rsidRPr="00A52585">
        <w:rPr>
          <w:rFonts w:hint="cs"/>
          <w:rtl/>
        </w:rPr>
        <w:t>}</w:t>
      </w:r>
      <w:r w:rsidR="00DB731D" w:rsidRPr="00A52585">
        <w:rPr>
          <w:rFonts w:hint="cs"/>
          <w:rtl/>
        </w:rPr>
        <w:t>،</w:t>
      </w:r>
      <w:r w:rsidR="00777DCB" w:rsidRPr="00A52585">
        <w:rPr>
          <w:rFonts w:hint="cs"/>
          <w:rtl/>
        </w:rPr>
        <w:t xml:space="preserve"> وما فيها من التنزيه ونفي الكفء والمثيل والسمي</w:t>
      </w:r>
      <w:r w:rsidR="00DB731D" w:rsidRPr="00A52585">
        <w:rPr>
          <w:rFonts w:hint="cs"/>
          <w:rtl/>
        </w:rPr>
        <w:t>،</w:t>
      </w:r>
      <w:r w:rsidR="00777DCB" w:rsidRPr="00A52585">
        <w:rPr>
          <w:rFonts w:hint="cs"/>
          <w:rtl/>
        </w:rPr>
        <w:t xml:space="preserve"> فكانوا لا يثبتون للمتشابه أي معنى يخالف التنزيه والتقديس </w:t>
      </w:r>
    </w:p>
    <w:p w14:paraId="3DB068E5" w14:textId="21F841C0" w:rsidR="00777DCB" w:rsidRPr="00A52585" w:rsidRDefault="0002035C" w:rsidP="0002035C">
      <w:pPr>
        <w:rPr>
          <w:b/>
          <w:rtl/>
          <w:lang w:bidi="ar-KW"/>
        </w:rPr>
      </w:pPr>
      <w:r w:rsidRPr="00A52585">
        <w:rPr>
          <w:rFonts w:hint="cs"/>
          <w:bCs/>
          <w:rtl/>
          <w:lang w:bidi="ar-KW"/>
        </w:rPr>
        <w:t>[</w:t>
      </w:r>
      <w:r w:rsidR="00777DCB" w:rsidRPr="00A52585">
        <w:rPr>
          <w:rFonts w:hint="cs"/>
          <w:bCs/>
          <w:rtl/>
          <w:lang w:bidi="ar-KW"/>
        </w:rPr>
        <w:t>المذهب الثاني للسلف في المتشابهات التأويل</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والتأويل نوعان تأويل لسبب حقيقي تلزم به قواعد التقديس المستمدة من الكتاب والسنة</w:t>
      </w:r>
      <w:r w:rsidR="00DB731D" w:rsidRPr="00A52585">
        <w:rPr>
          <w:rFonts w:hint="cs"/>
          <w:rtl/>
          <w:lang w:bidi="ar-KW"/>
        </w:rPr>
        <w:t>،</w:t>
      </w:r>
      <w:r w:rsidR="00777DCB" w:rsidRPr="00A52585">
        <w:rPr>
          <w:rFonts w:hint="cs"/>
          <w:rtl/>
          <w:lang w:bidi="ar-KW"/>
        </w:rPr>
        <w:t xml:space="preserve"> فهذا تأويل شرعي صحيح</w:t>
      </w:r>
      <w:r w:rsidR="00DB731D" w:rsidRPr="00A52585">
        <w:rPr>
          <w:rFonts w:hint="cs"/>
          <w:rtl/>
          <w:lang w:bidi="ar-KW"/>
        </w:rPr>
        <w:t>،</w:t>
      </w:r>
      <w:r w:rsidR="00777DCB" w:rsidRPr="00A52585">
        <w:rPr>
          <w:rFonts w:hint="cs"/>
          <w:rtl/>
          <w:lang w:bidi="ar-KW"/>
        </w:rPr>
        <w:t xml:space="preserve"> ورد عن السلف الكرام بضوابط حكيمة</w:t>
      </w:r>
      <w:r w:rsidR="00DB731D" w:rsidRPr="00A52585">
        <w:rPr>
          <w:rFonts w:hint="cs"/>
          <w:rtl/>
          <w:lang w:bidi="ar-KW"/>
        </w:rPr>
        <w:t>،</w:t>
      </w:r>
      <w:r w:rsidR="00777DCB" w:rsidRPr="00A52585">
        <w:rPr>
          <w:rFonts w:hint="cs"/>
          <w:rtl/>
          <w:lang w:bidi="ar-KW"/>
        </w:rPr>
        <w:t xml:space="preserve"> وهناك تأويل آخر للتلاعب بحقائق الدين والعقيدة</w:t>
      </w:r>
      <w:r w:rsidR="00DB731D" w:rsidRPr="00A52585">
        <w:rPr>
          <w:rFonts w:hint="cs"/>
          <w:rtl/>
          <w:lang w:bidi="ar-KW"/>
        </w:rPr>
        <w:t>،</w:t>
      </w:r>
      <w:r w:rsidR="00777DCB" w:rsidRPr="00A52585">
        <w:rPr>
          <w:rFonts w:hint="cs"/>
          <w:rtl/>
          <w:lang w:bidi="ar-KW"/>
        </w:rPr>
        <w:t xml:space="preserve"> وهذا </w:t>
      </w:r>
      <w:r w:rsidRPr="00A52585">
        <w:rPr>
          <w:rFonts w:hint="cs"/>
          <w:rtl/>
          <w:lang w:bidi="ar-KW"/>
        </w:rPr>
        <w:t>(</w:t>
      </w:r>
      <w:r w:rsidR="00777DCB" w:rsidRPr="00A52585">
        <w:rPr>
          <w:rFonts w:hint="cs"/>
          <w:rtl/>
          <w:lang w:bidi="ar-KW"/>
        </w:rPr>
        <w:t>تعطيل</w:t>
      </w:r>
      <w:r w:rsidRPr="00A52585">
        <w:rPr>
          <w:rFonts w:hint="cs"/>
          <w:rtl/>
          <w:lang w:bidi="ar-KW"/>
        </w:rPr>
        <w:t>)</w:t>
      </w:r>
      <w:r w:rsidR="00777DCB" w:rsidRPr="00A52585">
        <w:rPr>
          <w:rFonts w:hint="cs"/>
          <w:rtl/>
          <w:lang w:bidi="ar-KW"/>
        </w:rPr>
        <w:t xml:space="preserve"> وليس تأويل</w:t>
      </w:r>
      <w:r w:rsidR="00DB731D" w:rsidRPr="00A52585">
        <w:rPr>
          <w:rFonts w:hint="cs"/>
          <w:rtl/>
          <w:lang w:bidi="ar-KW"/>
        </w:rPr>
        <w:t>،</w:t>
      </w:r>
      <w:r w:rsidR="00777DCB" w:rsidRPr="00A52585">
        <w:rPr>
          <w:rFonts w:hint="cs"/>
          <w:rtl/>
          <w:lang w:bidi="ar-KW"/>
        </w:rPr>
        <w:t xml:space="preserve"> وهذا ما اتهمت به الفرق الضالة كالجهمية والباطنية والمعتزلة</w:t>
      </w:r>
      <w:r w:rsidR="00DB731D" w:rsidRPr="00A52585">
        <w:rPr>
          <w:rFonts w:hint="cs"/>
          <w:rtl/>
          <w:lang w:bidi="ar-KW"/>
        </w:rPr>
        <w:t>،</w:t>
      </w:r>
      <w:r w:rsidR="00777DCB" w:rsidRPr="00A52585">
        <w:rPr>
          <w:rFonts w:hint="cs"/>
          <w:rtl/>
          <w:lang w:bidi="ar-KW"/>
        </w:rPr>
        <w:t xml:space="preserve"> وهذا </w:t>
      </w:r>
      <w:r w:rsidRPr="00A52585">
        <w:rPr>
          <w:rFonts w:hint="cs"/>
          <w:rtl/>
          <w:lang w:bidi="ar-KW"/>
        </w:rPr>
        <w:t>(</w:t>
      </w:r>
      <w:r w:rsidR="00777DCB" w:rsidRPr="00A52585">
        <w:rPr>
          <w:rFonts w:hint="cs"/>
          <w:rtl/>
          <w:lang w:bidi="ar-KW"/>
        </w:rPr>
        <w:t>التعطيل</w:t>
      </w:r>
      <w:r w:rsidRPr="00A52585">
        <w:rPr>
          <w:rFonts w:hint="cs"/>
          <w:rtl/>
          <w:lang w:bidi="ar-KW"/>
        </w:rPr>
        <w:t>)</w:t>
      </w:r>
      <w:r w:rsidR="00777DCB" w:rsidRPr="00A52585">
        <w:rPr>
          <w:rFonts w:hint="cs"/>
          <w:rtl/>
          <w:lang w:bidi="ar-KW"/>
        </w:rPr>
        <w:t xml:space="preserve"> لا يختلف على منعه وحرمته اثنان من علماء أهل السنة والجماعة</w:t>
      </w:r>
      <w:r w:rsidR="00DB731D" w:rsidRPr="00A52585">
        <w:rPr>
          <w:rFonts w:hint="cs"/>
          <w:rtl/>
          <w:lang w:bidi="ar-KW"/>
        </w:rPr>
        <w:t>،</w:t>
      </w:r>
      <w:r w:rsidR="00777DCB" w:rsidRPr="00A52585">
        <w:rPr>
          <w:rFonts w:hint="cs"/>
          <w:rtl/>
          <w:lang w:bidi="ar-KW"/>
        </w:rPr>
        <w:t xml:space="preserve"> أما </w:t>
      </w:r>
      <w:r w:rsidRPr="00A52585">
        <w:rPr>
          <w:rFonts w:hint="cs"/>
          <w:rtl/>
          <w:lang w:bidi="ar-KW"/>
        </w:rPr>
        <w:t>(</w:t>
      </w:r>
      <w:r w:rsidR="00777DCB" w:rsidRPr="00A52585">
        <w:rPr>
          <w:rFonts w:hint="cs"/>
          <w:rtl/>
          <w:lang w:bidi="ar-KW"/>
        </w:rPr>
        <w:t>التأويل الصحيح بضوابطه</w:t>
      </w:r>
      <w:r w:rsidRPr="00A52585">
        <w:rPr>
          <w:rFonts w:hint="cs"/>
          <w:rtl/>
          <w:lang w:bidi="ar-KW"/>
        </w:rPr>
        <w:t>)</w:t>
      </w:r>
      <w:r w:rsidR="00DB731D" w:rsidRPr="00A52585">
        <w:rPr>
          <w:rFonts w:hint="cs"/>
          <w:rtl/>
          <w:lang w:bidi="ar-KW"/>
        </w:rPr>
        <w:t>،</w:t>
      </w:r>
      <w:r w:rsidRPr="00A52585">
        <w:rPr>
          <w:rFonts w:hint="cs"/>
          <w:rtl/>
          <w:lang w:bidi="ar-KW"/>
        </w:rPr>
        <w:t xml:space="preserve"> </w:t>
      </w:r>
      <w:r w:rsidR="00777DCB" w:rsidRPr="00A52585">
        <w:rPr>
          <w:rFonts w:hint="cs"/>
          <w:rtl/>
          <w:lang w:bidi="ar-KW"/>
        </w:rPr>
        <w:t>فهذا قد ورد عن السلف الكرام</w:t>
      </w:r>
      <w:r w:rsidR="00DB731D" w:rsidRPr="00A52585">
        <w:rPr>
          <w:rFonts w:hint="cs"/>
          <w:rtl/>
          <w:lang w:bidi="ar-KW"/>
        </w:rPr>
        <w:t>،</w:t>
      </w:r>
      <w:r w:rsidR="00777DCB" w:rsidRPr="00A52585">
        <w:rPr>
          <w:rFonts w:hint="cs"/>
          <w:rtl/>
          <w:lang w:bidi="ar-KW"/>
        </w:rPr>
        <w:t xml:space="preserve"> وسارت به الركبان من علماء أهل السنة والجماعة بما لا مجال لدفعه البتة أبدا</w:t>
      </w:r>
      <w:r w:rsidR="00DB731D" w:rsidRPr="00A52585">
        <w:rPr>
          <w:rFonts w:hint="cs"/>
          <w:rtl/>
          <w:lang w:bidi="ar-KW"/>
        </w:rPr>
        <w:t>،</w:t>
      </w:r>
      <w:r w:rsidRPr="00A52585">
        <w:rPr>
          <w:rFonts w:hint="cs"/>
          <w:rtl/>
          <w:lang w:bidi="ar-KW"/>
        </w:rPr>
        <w:t xml:space="preserve"> </w:t>
      </w:r>
      <w:r w:rsidR="00777DCB" w:rsidRPr="00A52585">
        <w:rPr>
          <w:rFonts w:hint="cs"/>
          <w:bCs/>
          <w:rtl/>
          <w:lang w:bidi="ar-KW"/>
        </w:rPr>
        <w:t>قال الإمام الزركشي</w:t>
      </w:r>
      <w:r w:rsidRPr="00A52585">
        <w:rPr>
          <w:rFonts w:hint="cs"/>
          <w:rtl/>
          <w:lang w:bidi="ar-KW"/>
        </w:rPr>
        <w:t>:</w:t>
      </w:r>
      <w:r w:rsidR="00777DCB" w:rsidRPr="00A52585">
        <w:rPr>
          <w:rFonts w:hint="cs"/>
          <w:rtl/>
          <w:lang w:bidi="ar-KW"/>
        </w:rPr>
        <w:t xml:space="preserve"> " وقد اختلف الناس في الوارد منها - يعني المتشابهات - في الآيات والأحاديث على ثلاث فرق</w:t>
      </w:r>
      <w:r w:rsidRPr="00A52585">
        <w:rPr>
          <w:rFonts w:hint="cs"/>
          <w:rtl/>
          <w:lang w:bidi="ar-KW"/>
        </w:rPr>
        <w:t>:</w:t>
      </w:r>
      <w:r w:rsidR="00777DCB" w:rsidRPr="00A52585">
        <w:rPr>
          <w:rFonts w:hint="cs"/>
          <w:rtl/>
          <w:lang w:bidi="ar-KW"/>
        </w:rPr>
        <w:t xml:space="preserve"> </w:t>
      </w:r>
      <w:r w:rsidR="00777DCB" w:rsidRPr="00A52585">
        <w:rPr>
          <w:rFonts w:hint="cs"/>
          <w:bCs/>
          <w:rtl/>
          <w:lang w:bidi="ar-KW"/>
        </w:rPr>
        <w:t>أحدها</w:t>
      </w:r>
      <w:r w:rsidRPr="00A52585">
        <w:rPr>
          <w:rFonts w:hint="cs"/>
          <w:bCs/>
          <w:rtl/>
          <w:lang w:bidi="ar-KW"/>
        </w:rPr>
        <w:t>:</w:t>
      </w:r>
      <w:r w:rsidR="00777DCB" w:rsidRPr="00A52585">
        <w:rPr>
          <w:rFonts w:hint="cs"/>
          <w:rtl/>
          <w:lang w:bidi="ar-KW"/>
        </w:rPr>
        <w:t xml:space="preserve"> أنه لا مدخل للتأويل فيها، بل تجرى على ظاهرها، ولا نؤول شيئاً منها، وهم المشبهة</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الثانية</w:t>
      </w:r>
      <w:r w:rsidRPr="00A52585">
        <w:rPr>
          <w:rFonts w:hint="cs"/>
          <w:bCs/>
          <w:rtl/>
          <w:lang w:bidi="ar-KW"/>
        </w:rPr>
        <w:t>:</w:t>
      </w:r>
      <w:r w:rsidR="00777DCB" w:rsidRPr="00A52585">
        <w:rPr>
          <w:rFonts w:hint="cs"/>
          <w:rtl/>
          <w:lang w:bidi="ar-KW"/>
        </w:rPr>
        <w:t xml:space="preserve"> أن لها تأويلاً ولكنا نمسك عنه مع تنزيه اعتقادنا عن الشبه، والتعطيل، ونقول لا يعلمه إلا الله وهو قول السلف</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والثالثة</w:t>
      </w:r>
      <w:r w:rsidRPr="00A52585">
        <w:rPr>
          <w:rFonts w:hint="cs"/>
          <w:bCs/>
          <w:rtl/>
          <w:lang w:bidi="ar-KW"/>
        </w:rPr>
        <w:t>:</w:t>
      </w:r>
      <w:r w:rsidR="00777DCB" w:rsidRPr="00A52585">
        <w:rPr>
          <w:rFonts w:hint="cs"/>
          <w:rtl/>
          <w:lang w:bidi="ar-KW"/>
        </w:rPr>
        <w:t xml:space="preserve"> أنها مؤولة وأولوها على ما يليق به</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والأول باطل - يعني مذهب المشبهة - والأخيران منقولان عن الصحابة" اهـ.</w:t>
      </w:r>
      <w:r w:rsidR="00777DCB" w:rsidRPr="00A52585">
        <w:rPr>
          <w:rFonts w:hint="cs"/>
          <w:rtl/>
          <w:lang w:bidi="ar-KW"/>
        </w:rPr>
        <w:t xml:space="preserve"> [البرهان في علوم القرآن 2</w:t>
      </w:r>
      <w:r w:rsidRPr="00A52585">
        <w:rPr>
          <w:rFonts w:hint="cs"/>
          <w:rtl/>
          <w:lang w:bidi="ar-KW"/>
        </w:rPr>
        <w:t xml:space="preserve">: </w:t>
      </w:r>
      <w:r w:rsidR="00777DCB" w:rsidRPr="00A52585">
        <w:rPr>
          <w:rFonts w:hint="cs"/>
          <w:rtl/>
          <w:lang w:bidi="ar-KW"/>
        </w:rPr>
        <w:t>207]</w:t>
      </w:r>
      <w:r w:rsidR="00DB731D" w:rsidRPr="00A52585">
        <w:rPr>
          <w:rFonts w:hint="cs"/>
          <w:rtl/>
          <w:lang w:bidi="ar-KW"/>
        </w:rPr>
        <w:t>،</w:t>
      </w:r>
      <w:r w:rsidRPr="00A52585">
        <w:rPr>
          <w:rFonts w:hint="cs"/>
          <w:rtl/>
          <w:lang w:bidi="ar-KW"/>
        </w:rPr>
        <w:t xml:space="preserve"> </w:t>
      </w:r>
      <w:r w:rsidR="00777DCB" w:rsidRPr="00A52585">
        <w:rPr>
          <w:rFonts w:hint="cs"/>
          <w:bCs/>
          <w:rtl/>
          <w:lang w:bidi="ar-KW"/>
        </w:rPr>
        <w:t>وقال الإمام النووي</w:t>
      </w:r>
      <w:r w:rsidR="00777DCB" w:rsidRPr="00A52585">
        <w:rPr>
          <w:rFonts w:hint="cs"/>
          <w:rtl/>
          <w:lang w:bidi="ar-KW"/>
        </w:rPr>
        <w:t xml:space="preserve"> في سياق شرحه لحديث من أحاديث الصفات</w:t>
      </w:r>
      <w:r w:rsidRPr="00A52585">
        <w:rPr>
          <w:rFonts w:hint="cs"/>
          <w:rtl/>
          <w:lang w:bidi="ar-KW"/>
        </w:rPr>
        <w:t>:</w:t>
      </w:r>
      <w:r w:rsidR="00777DCB" w:rsidRPr="00A52585">
        <w:rPr>
          <w:rFonts w:hint="cs"/>
          <w:rtl/>
          <w:lang w:bidi="ar-KW"/>
        </w:rPr>
        <w:t xml:space="preserve"> " هذا حديث من أحاديث الصفات وفيه مذهبان مشهوران للعلماء... أحدهما وهو مذهب السلف... </w:t>
      </w:r>
      <w:r w:rsidR="00777DCB" w:rsidRPr="00A52585">
        <w:rPr>
          <w:rFonts w:hint="cs"/>
          <w:bCs/>
          <w:rtl/>
          <w:lang w:bidi="ar-KW"/>
        </w:rPr>
        <w:t>والثاني مذهب أكثر المتكلمين وجماعات من السلف وهو محكي عن مالك والأوزاعي أنها تتأول على ما يليق بها بحسب مواطنها</w:t>
      </w:r>
      <w:r w:rsidRPr="00A52585">
        <w:rPr>
          <w:rFonts w:hint="cs"/>
          <w:bCs/>
          <w:rtl/>
          <w:lang w:bidi="ar-KW"/>
        </w:rPr>
        <w:t xml:space="preserve">) </w:t>
      </w:r>
      <w:r w:rsidR="00777DCB" w:rsidRPr="00A52585">
        <w:rPr>
          <w:rFonts w:hint="cs"/>
          <w:rtl/>
          <w:lang w:bidi="ar-KW"/>
        </w:rPr>
        <w:t>اهـ</w:t>
      </w:r>
      <w:r w:rsidR="00777DCB" w:rsidRPr="00A52585">
        <w:rPr>
          <w:rFonts w:hint="cs"/>
          <w:b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شرح مسلم للنووي</w:t>
      </w:r>
      <w:r w:rsidRPr="00A52585">
        <w:rPr>
          <w:rFonts w:hint="cs"/>
          <w:rtl/>
          <w:lang w:bidi="ar-KW"/>
        </w:rPr>
        <w:t>:</w:t>
      </w:r>
      <w:r w:rsidR="00777DCB" w:rsidRPr="00A52585">
        <w:rPr>
          <w:rFonts w:hint="cs"/>
          <w:rtl/>
          <w:lang w:bidi="ar-KW"/>
        </w:rPr>
        <w:t xml:space="preserve"> 6</w:t>
      </w:r>
      <w:r w:rsidRPr="00A52585">
        <w:rPr>
          <w:rFonts w:hint="cs"/>
          <w:rtl/>
          <w:lang w:bidi="ar-KW"/>
        </w:rPr>
        <w:t xml:space="preserve">: </w:t>
      </w:r>
      <w:r w:rsidR="00777DCB" w:rsidRPr="00A52585">
        <w:rPr>
          <w:rFonts w:hint="cs"/>
          <w:rtl/>
          <w:lang w:bidi="ar-KW"/>
        </w:rPr>
        <w:t>36</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وقال العلامة الشوكاني</w:t>
      </w:r>
      <w:r w:rsidRPr="00A52585">
        <w:rPr>
          <w:rFonts w:hint="cs"/>
          <w:rtl/>
          <w:lang w:bidi="ar-KW"/>
        </w:rPr>
        <w:t>:</w:t>
      </w:r>
      <w:r w:rsidR="00777DCB" w:rsidRPr="00A52585">
        <w:rPr>
          <w:rFonts w:hint="cs"/>
          <w:rtl/>
          <w:lang w:bidi="ar-KW"/>
        </w:rPr>
        <w:t xml:space="preserve"> " الفصل الثاني</w:t>
      </w:r>
      <w:r w:rsidRPr="00A52585">
        <w:rPr>
          <w:rFonts w:hint="cs"/>
          <w:rtl/>
          <w:lang w:bidi="ar-KW"/>
        </w:rPr>
        <w:t>:</w:t>
      </w:r>
      <w:r w:rsidR="00777DCB" w:rsidRPr="00A52585">
        <w:rPr>
          <w:rFonts w:hint="cs"/>
          <w:rtl/>
          <w:lang w:bidi="ar-KW"/>
        </w:rPr>
        <w:t xml:space="preserve">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w:t>
      </w:r>
      <w:r w:rsidRPr="00A52585">
        <w:rPr>
          <w:rFonts w:hint="cs"/>
          <w:rtl/>
          <w:lang w:bidi="ar-KW"/>
        </w:rPr>
        <w:t>:</w:t>
      </w:r>
      <w:r w:rsidR="00777DCB" w:rsidRPr="00A52585">
        <w:rPr>
          <w:rFonts w:hint="cs"/>
          <w:rtl/>
          <w:lang w:bidi="ar-KW"/>
        </w:rPr>
        <w:t xml:space="preserve"> </w:t>
      </w:r>
      <w:r w:rsidR="00777DCB" w:rsidRPr="00A52585">
        <w:rPr>
          <w:rFonts w:hint="cs"/>
          <w:bCs/>
          <w:rtl/>
          <w:lang w:bidi="ar-KW"/>
        </w:rPr>
        <w:t>الأول</w:t>
      </w:r>
      <w:r w:rsidRPr="00A52585">
        <w:rPr>
          <w:rFonts w:hint="cs"/>
          <w:rtl/>
          <w:lang w:bidi="ar-KW"/>
        </w:rPr>
        <w:t>:</w:t>
      </w:r>
      <w:r w:rsidR="00777DCB" w:rsidRPr="00A52585">
        <w:rPr>
          <w:rFonts w:hint="cs"/>
          <w:rtl/>
          <w:lang w:bidi="ar-KW"/>
        </w:rPr>
        <w:t xml:space="preserve"> أنه لا مدخل للتأويل فيها، بل تجرى على ظاهرها ولا يؤوَّل شيء منها، وهذا قول المشبهة</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والثاني</w:t>
      </w:r>
      <w:r w:rsidRPr="00A52585">
        <w:rPr>
          <w:rFonts w:hint="cs"/>
          <w:rtl/>
          <w:lang w:bidi="ar-KW"/>
        </w:rPr>
        <w:t>:</w:t>
      </w:r>
      <w:r w:rsidR="00777DCB" w:rsidRPr="00A52585">
        <w:rPr>
          <w:rFonts w:hint="cs"/>
          <w:rtl/>
          <w:lang w:bidi="ar-KW"/>
        </w:rPr>
        <w:t xml:space="preserve"> أن لها تأويلاً ولكنا نمسك عنه، مع تنزيه اعتقادنا عن التشبيه والتعطيل لقوله تعالى </w:t>
      </w:r>
      <w:r w:rsidRPr="00A52585">
        <w:rPr>
          <w:rFonts w:hint="cs"/>
          <w:rtl/>
          <w:lang w:bidi="ar-KW"/>
        </w:rPr>
        <w:t>(</w:t>
      </w:r>
      <w:r w:rsidR="00777DCB" w:rsidRPr="00A52585">
        <w:rPr>
          <w:rFonts w:hint="cs"/>
          <w:bCs/>
          <w:rtl/>
          <w:lang w:bidi="ar-KW"/>
        </w:rPr>
        <w:t>وما يعلم تأويله إلا الله</w:t>
      </w:r>
      <w:r w:rsidRPr="00A52585">
        <w:rPr>
          <w:rFonts w:hint="cs"/>
          <w:bCs/>
          <w:rtl/>
          <w:lang w:bidi="ar-KW"/>
        </w:rPr>
        <w:t>)</w:t>
      </w:r>
      <w:r w:rsidR="00DB731D" w:rsidRPr="00A52585">
        <w:rPr>
          <w:rFonts w:hint="cs"/>
          <w:bCs/>
          <w:rtl/>
          <w:lang w:bidi="ar-KW"/>
        </w:rPr>
        <w:t>،</w:t>
      </w:r>
      <w:r w:rsidR="00777DCB" w:rsidRPr="00A52585">
        <w:rPr>
          <w:rFonts w:hint="cs"/>
          <w:rtl/>
          <w:lang w:bidi="ar-KW"/>
        </w:rPr>
        <w:t xml:space="preserve"> قال ابن برهان وهذا قول السلف...</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والمذهب الثالث</w:t>
      </w:r>
      <w:r w:rsidRPr="00A52585">
        <w:rPr>
          <w:rFonts w:hint="cs"/>
          <w:bCs/>
          <w:rtl/>
          <w:lang w:bidi="ar-KW"/>
        </w:rPr>
        <w:t>:</w:t>
      </w:r>
      <w:r w:rsidR="00777DCB" w:rsidRPr="00A52585">
        <w:rPr>
          <w:rFonts w:hint="cs"/>
          <w:rtl/>
          <w:lang w:bidi="ar-KW"/>
        </w:rPr>
        <w:t xml:space="preserve"> أنها مؤولة. قال ابن برهان، والأول من هذه المذاهب باطل،</w:t>
      </w:r>
      <w:r w:rsidR="00777DCB" w:rsidRPr="00A52585">
        <w:rPr>
          <w:rFonts w:hint="cs"/>
          <w:bCs/>
          <w:rtl/>
          <w:lang w:bidi="ar-KW"/>
        </w:rPr>
        <w:t xml:space="preserve"> والآخران منقـولان عن الصحابة، ونقل هذا المذهب الثالث عن علي وابن مسعود وابن عباس وأم سلمة</w:t>
      </w:r>
      <w:r w:rsidRPr="00A52585">
        <w:rPr>
          <w:rFonts w:hint="cs"/>
          <w:bCs/>
          <w:rtl/>
          <w:lang w:bidi="ar-KW"/>
        </w:rPr>
        <w:t xml:space="preserve">) </w:t>
      </w:r>
      <w:r w:rsidR="00777DCB" w:rsidRPr="00A52585">
        <w:rPr>
          <w:rFonts w:hint="cs"/>
          <w:rtl/>
          <w:lang w:bidi="ar-KW"/>
        </w:rPr>
        <w:t xml:space="preserve">اهـ. </w:t>
      </w:r>
      <w:r w:rsidRPr="00A52585">
        <w:rPr>
          <w:rFonts w:hint="cs"/>
          <w:rtl/>
          <w:lang w:bidi="ar-KW"/>
        </w:rPr>
        <w:t>[</w:t>
      </w:r>
      <w:r w:rsidR="00777DCB" w:rsidRPr="00A52585">
        <w:rPr>
          <w:rFonts w:hint="cs"/>
          <w:rtl/>
          <w:lang w:bidi="ar-KW"/>
        </w:rPr>
        <w:t>إرشاد الفحول 176]</w:t>
      </w:r>
      <w:r w:rsidR="00DB731D" w:rsidRPr="00A52585">
        <w:rPr>
          <w:rFonts w:hint="cs"/>
          <w:rtl/>
          <w:lang w:bidi="ar-KW"/>
        </w:rPr>
        <w:t>،</w:t>
      </w:r>
      <w:r w:rsidR="00777DCB" w:rsidRPr="00A52585">
        <w:rPr>
          <w:rFonts w:hint="cs"/>
          <w:rtl/>
          <w:lang w:bidi="ar-KW"/>
        </w:rPr>
        <w:t xml:space="preserve"> </w:t>
      </w:r>
      <w:r w:rsidR="00777DCB" w:rsidRPr="00A52585">
        <w:rPr>
          <w:rFonts w:hint="cs"/>
          <w:bCs/>
          <w:rtl/>
          <w:lang w:bidi="ar-KW"/>
        </w:rPr>
        <w:t>وهذه أقوال صريحة للعلماء</w:t>
      </w:r>
      <w:r w:rsidRPr="00A52585">
        <w:rPr>
          <w:rFonts w:hint="cs"/>
          <w:bCs/>
          <w:rtl/>
          <w:lang w:bidi="ar-KW"/>
        </w:rPr>
        <w:t xml:space="preserve"> </w:t>
      </w:r>
      <w:r w:rsidR="00777DCB" w:rsidRPr="00A52585">
        <w:rPr>
          <w:rFonts w:hint="cs"/>
          <w:bCs/>
          <w:rtl/>
          <w:lang w:bidi="ar-KW"/>
        </w:rPr>
        <w:t>بإثبات جواز التأويل عند السلف الصالح</w:t>
      </w:r>
      <w:r w:rsidR="00DB731D" w:rsidRPr="00A52585">
        <w:rPr>
          <w:rFonts w:hint="cs"/>
          <w:rtl/>
          <w:lang w:bidi="ar-KW"/>
        </w:rPr>
        <w:t>،</w:t>
      </w:r>
      <w:r w:rsidR="00777DCB" w:rsidRPr="00A52585">
        <w:rPr>
          <w:rFonts w:hint="cs"/>
          <w:rtl/>
          <w:lang w:bidi="ar-KW"/>
        </w:rPr>
        <w:t xml:space="preserve"> وتصديق هذا ما سبق نقله عن </w:t>
      </w:r>
      <w:r w:rsidR="00777DCB" w:rsidRPr="00A52585">
        <w:rPr>
          <w:rFonts w:hint="cs"/>
          <w:rtl/>
          <w:lang w:bidi="ar-KW"/>
        </w:rPr>
        <w:lastRenderedPageBreak/>
        <w:t>حبر الأمة عبد الله بن عباس رضي الله عنهما</w:t>
      </w:r>
      <w:r w:rsidR="00DB731D" w:rsidRPr="00A52585">
        <w:rPr>
          <w:rFonts w:hint="cs"/>
          <w:rtl/>
          <w:lang w:bidi="ar-KW"/>
        </w:rPr>
        <w:t>،</w:t>
      </w:r>
      <w:r w:rsidR="00777DCB" w:rsidRPr="00A52585">
        <w:rPr>
          <w:rFonts w:hint="cs"/>
          <w:rtl/>
          <w:lang w:bidi="ar-KW"/>
        </w:rPr>
        <w:t xml:space="preserve"> وعن عدد من التابعين وتابعيهم عن تأويل بعض النصوص المتشابهات ما يدعم المعنى العام الذي سيقت له الآيات</w:t>
      </w:r>
      <w:r w:rsidR="00DB731D" w:rsidRPr="00A52585">
        <w:rPr>
          <w:rFonts w:hint="cs"/>
          <w:rtl/>
          <w:lang w:bidi="ar-KW"/>
        </w:rPr>
        <w:t>،</w:t>
      </w:r>
      <w:r w:rsidR="00777DCB" w:rsidRPr="00A52585">
        <w:rPr>
          <w:rFonts w:hint="cs"/>
          <w:rtl/>
          <w:lang w:bidi="ar-KW"/>
        </w:rPr>
        <w:t xml:space="preserve"> </w:t>
      </w:r>
    </w:p>
    <w:p w14:paraId="33B4DB6E" w14:textId="14327EAD" w:rsidR="00777DCB" w:rsidRPr="00A52585" w:rsidRDefault="00777DCB" w:rsidP="0002035C">
      <w:pPr>
        <w:rPr>
          <w:b/>
          <w:bCs/>
          <w:rtl/>
          <w:lang w:val="uz-Latn-UZ"/>
        </w:rPr>
      </w:pPr>
      <w:r w:rsidRPr="00A52585">
        <w:rPr>
          <w:rFonts w:hint="cs"/>
          <w:bCs/>
          <w:rtl/>
          <w:lang w:val="uz-Latn-UZ"/>
        </w:rPr>
        <w:t xml:space="preserve">ومن ذلك </w:t>
      </w:r>
      <w:r w:rsidRPr="00A52585">
        <w:rPr>
          <w:rFonts w:hint="cs"/>
          <w:bCs/>
          <w:rtl/>
        </w:rPr>
        <w:t xml:space="preserve">تأويل حبر الأمة وترجمان القرآن </w:t>
      </w:r>
      <w:r w:rsidRPr="00A52585">
        <w:rPr>
          <w:rFonts w:hint="cs"/>
          <w:bCs/>
          <w:rtl/>
          <w:lang w:val="uz-Latn-UZ"/>
        </w:rPr>
        <w:t>عبد الله ابن عباس رضي الله عنه</w:t>
      </w:r>
      <w:r w:rsidRPr="00A52585">
        <w:rPr>
          <w:rFonts w:hint="cs"/>
          <w:rtl/>
          <w:lang w:val="uz-Latn-UZ"/>
        </w:rPr>
        <w:t xml:space="preserve"> للكرسي في قوله تعالى </w:t>
      </w:r>
      <w:r w:rsidR="0002035C" w:rsidRPr="00A52585">
        <w:rPr>
          <w:rFonts w:hint="cs"/>
          <w:rtl/>
          <w:lang w:val="uz-Latn-UZ"/>
        </w:rPr>
        <w:t>(</w:t>
      </w:r>
      <w:r w:rsidRPr="00A52585">
        <w:rPr>
          <w:rFonts w:hint="cs"/>
          <w:rtl/>
          <w:lang w:val="uz-Latn-UZ"/>
        </w:rPr>
        <w:t>وسع كرسيه السموات والأرض</w:t>
      </w:r>
      <w:r w:rsidR="0002035C" w:rsidRPr="00A52585">
        <w:rPr>
          <w:rFonts w:hint="cs"/>
          <w:rtl/>
          <w:lang w:val="uz-Latn-UZ"/>
        </w:rPr>
        <w:t>)</w:t>
      </w:r>
      <w:r w:rsidRPr="00A52585">
        <w:rPr>
          <w:rFonts w:hint="cs"/>
          <w:rtl/>
          <w:lang w:val="uz-Latn-UZ"/>
        </w:rPr>
        <w:t xml:space="preserve"> بعلم الله [</w:t>
      </w:r>
      <w:r w:rsidRPr="00A52585">
        <w:rPr>
          <w:rFonts w:hint="cs"/>
          <w:spacing w:val="-6"/>
          <w:rtl/>
          <w:lang w:val="uz-Latn-UZ"/>
        </w:rPr>
        <w:t>تفسير الطبري</w:t>
      </w:r>
      <w:r w:rsidR="0002035C" w:rsidRPr="00A52585">
        <w:rPr>
          <w:rFonts w:hint="cs"/>
          <w:spacing w:val="-6"/>
          <w:rtl/>
          <w:lang w:val="uz-Latn-UZ"/>
        </w:rPr>
        <w:t xml:space="preserve"> (</w:t>
      </w:r>
      <w:r w:rsidRPr="00A52585">
        <w:rPr>
          <w:rFonts w:hint="cs"/>
          <w:spacing w:val="-6"/>
          <w:rtl/>
          <w:lang w:val="uz-Latn-UZ"/>
        </w:rPr>
        <w:t>3</w:t>
      </w:r>
      <w:r w:rsidR="0002035C" w:rsidRPr="00A52585">
        <w:rPr>
          <w:rFonts w:hint="cs"/>
          <w:spacing w:val="-6"/>
          <w:rtl/>
          <w:lang w:val="uz-Latn-UZ"/>
        </w:rPr>
        <w:t xml:space="preserve">: </w:t>
      </w:r>
      <w:r w:rsidRPr="00A52585">
        <w:rPr>
          <w:rFonts w:hint="cs"/>
          <w:spacing w:val="-6"/>
          <w:rtl/>
          <w:lang w:val="uz-Latn-UZ"/>
        </w:rPr>
        <w:t>7</w:t>
      </w:r>
      <w:r w:rsidR="0002035C" w:rsidRPr="00A52585">
        <w:rPr>
          <w:rFonts w:hint="cs"/>
          <w:spacing w:val="-6"/>
          <w:rtl/>
          <w:lang w:val="uz-Latn-UZ"/>
        </w:rPr>
        <w:t>)]</w:t>
      </w:r>
      <w:r w:rsidR="00DB731D" w:rsidRPr="00A52585">
        <w:rPr>
          <w:rFonts w:hint="cs"/>
          <w:rtl/>
          <w:lang w:val="uz-Latn-UZ"/>
        </w:rPr>
        <w:t>،</w:t>
      </w:r>
      <w:r w:rsidRPr="00A52585">
        <w:rPr>
          <w:rFonts w:hint="cs"/>
          <w:rtl/>
          <w:lang w:val="uz-Latn-UZ"/>
        </w:rPr>
        <w:t xml:space="preserve"> وتأويله رضي الله عنه للفظ</w:t>
      </w:r>
      <w:r w:rsidR="0002035C" w:rsidRPr="00A52585">
        <w:rPr>
          <w:rFonts w:hint="cs"/>
          <w:rtl/>
          <w:lang w:val="uz-Latn-UZ"/>
        </w:rPr>
        <w:t xml:space="preserve"> (</w:t>
      </w:r>
      <w:r w:rsidRPr="00A52585">
        <w:rPr>
          <w:rFonts w:hint="cs"/>
          <w:rtl/>
          <w:lang w:val="uz-Latn-UZ"/>
        </w:rPr>
        <w:t>الأعين</w:t>
      </w:r>
      <w:r w:rsidR="0002035C" w:rsidRPr="00A52585">
        <w:rPr>
          <w:rFonts w:hint="cs"/>
          <w:rtl/>
          <w:lang w:val="uz-Latn-UZ"/>
        </w:rPr>
        <w:t xml:space="preserve">) </w:t>
      </w:r>
      <w:r w:rsidRPr="00A52585">
        <w:rPr>
          <w:rFonts w:hint="cs"/>
          <w:rtl/>
          <w:lang w:val="uz-Latn-UZ"/>
        </w:rPr>
        <w:t xml:space="preserve">في قوله تعالى </w:t>
      </w:r>
      <w:r w:rsidR="0002035C" w:rsidRPr="00A52585">
        <w:rPr>
          <w:rFonts w:hint="cs"/>
          <w:rtl/>
          <w:lang w:val="uz-Latn-UZ"/>
        </w:rPr>
        <w:t>(</w:t>
      </w:r>
      <w:r w:rsidRPr="00A52585">
        <w:rPr>
          <w:rFonts w:hint="cs"/>
          <w:rtl/>
          <w:lang w:val="uz-Latn-UZ"/>
        </w:rPr>
        <w:t>واصنع الفلك بأعيننا</w:t>
      </w:r>
      <w:r w:rsidR="0002035C" w:rsidRPr="00A52585">
        <w:rPr>
          <w:rFonts w:hint="cs"/>
          <w:rtl/>
          <w:lang w:val="uz-Latn-UZ"/>
        </w:rPr>
        <w:t>)</w:t>
      </w:r>
      <w:r w:rsidRPr="00A52585">
        <w:rPr>
          <w:rFonts w:hint="cs"/>
          <w:rtl/>
          <w:lang w:val="uz-Latn-UZ"/>
        </w:rPr>
        <w:t xml:space="preserve"> قال رضي الله عنه</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بمرأى منا</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تفسير البغوي 2</w:t>
      </w:r>
      <w:r w:rsidR="0002035C" w:rsidRPr="00A52585">
        <w:rPr>
          <w:rFonts w:hint="cs"/>
          <w:rtl/>
          <w:lang w:val="uz-Latn-UZ"/>
        </w:rPr>
        <w:t xml:space="preserve">: </w:t>
      </w:r>
      <w:r w:rsidRPr="00A52585">
        <w:rPr>
          <w:rFonts w:hint="cs"/>
          <w:rtl/>
          <w:lang w:val="uz-Latn-UZ"/>
        </w:rPr>
        <w:t>322</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وتأويله رضي الله عنه للفظ </w:t>
      </w:r>
      <w:r w:rsidR="0002035C" w:rsidRPr="00A52585">
        <w:rPr>
          <w:rFonts w:hint="cs"/>
          <w:rtl/>
          <w:lang w:val="uz-Latn-UZ"/>
        </w:rPr>
        <w:t>(</w:t>
      </w:r>
      <w:r w:rsidRPr="00A52585">
        <w:rPr>
          <w:rFonts w:hint="cs"/>
          <w:rtl/>
          <w:lang w:val="uz-Latn-UZ"/>
        </w:rPr>
        <w:t>الأيد</w:t>
      </w:r>
      <w:r w:rsidR="0002035C" w:rsidRPr="00A52585">
        <w:rPr>
          <w:rFonts w:hint="cs"/>
          <w:rtl/>
          <w:lang w:val="uz-Latn-UZ"/>
        </w:rPr>
        <w:t xml:space="preserve">) </w:t>
      </w:r>
      <w:r w:rsidRPr="00A52585">
        <w:rPr>
          <w:rFonts w:hint="cs"/>
          <w:rtl/>
          <w:lang w:val="uz-Latn-UZ"/>
        </w:rPr>
        <w:t xml:space="preserve">في قوله تعالى </w:t>
      </w:r>
      <w:r w:rsidR="0002035C" w:rsidRPr="00A52585">
        <w:rPr>
          <w:rFonts w:hint="cs"/>
          <w:rtl/>
          <w:lang w:val="uz-Latn-UZ"/>
        </w:rPr>
        <w:t>(</w:t>
      </w:r>
      <w:r w:rsidRPr="00A52585">
        <w:rPr>
          <w:rFonts w:hint="cs"/>
          <w:rtl/>
          <w:lang w:val="uz-Latn-UZ"/>
        </w:rPr>
        <w:t xml:space="preserve">والسماء بنيناها </w:t>
      </w:r>
      <w:proofErr w:type="spellStart"/>
      <w:r w:rsidRPr="00A52585">
        <w:rPr>
          <w:rFonts w:hint="cs"/>
          <w:rtl/>
          <w:lang w:val="uz-Latn-UZ"/>
        </w:rPr>
        <w:t>بأييد</w:t>
      </w:r>
      <w:proofErr w:type="spellEnd"/>
      <w:r w:rsidR="0002035C" w:rsidRPr="00A52585">
        <w:rPr>
          <w:rFonts w:hint="cs"/>
          <w:rtl/>
          <w:lang w:val="uz-Latn-UZ"/>
        </w:rPr>
        <w:t>)</w:t>
      </w:r>
      <w:r w:rsidRPr="00A52585">
        <w:rPr>
          <w:rFonts w:hint="cs"/>
          <w:rtl/>
          <w:lang w:val="uz-Latn-UZ"/>
        </w:rPr>
        <w:t xml:space="preserve"> قال رضي الله عنه</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بقوّة وقدرة</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القرطبي17</w:t>
      </w:r>
      <w:r w:rsidR="0002035C" w:rsidRPr="00A52585">
        <w:rPr>
          <w:rFonts w:hint="cs"/>
          <w:rtl/>
          <w:lang w:val="uz-Latn-UZ"/>
        </w:rPr>
        <w:t xml:space="preserve">: </w:t>
      </w:r>
      <w:r w:rsidRPr="00A52585">
        <w:rPr>
          <w:rFonts w:hint="cs"/>
          <w:rtl/>
          <w:lang w:val="uz-Latn-UZ"/>
        </w:rPr>
        <w:t>52</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تأويله رضي الله عنه للنور في قوله تعالى </w:t>
      </w:r>
      <w:r w:rsidR="0002035C" w:rsidRPr="00A52585">
        <w:rPr>
          <w:rFonts w:hint="cs"/>
          <w:rtl/>
          <w:lang w:val="uz-Latn-UZ"/>
        </w:rPr>
        <w:t>(</w:t>
      </w:r>
      <w:r w:rsidRPr="00A52585">
        <w:rPr>
          <w:rFonts w:hint="cs"/>
          <w:rtl/>
          <w:lang w:val="uz-Latn-UZ"/>
        </w:rPr>
        <w:t>الله نور السموات والأرض</w:t>
      </w:r>
      <w:r w:rsidR="0002035C" w:rsidRPr="00A52585">
        <w:rPr>
          <w:rFonts w:hint="cs"/>
          <w:rtl/>
          <w:lang w:val="uz-Latn-UZ"/>
        </w:rPr>
        <w:t>)</w:t>
      </w:r>
      <w:r w:rsidRPr="00A52585">
        <w:rPr>
          <w:rFonts w:hint="cs"/>
          <w:rtl/>
          <w:lang w:val="uz-Latn-UZ"/>
        </w:rPr>
        <w:t xml:space="preserve"> بالهادي </w:t>
      </w:r>
      <w:r w:rsidR="0002035C" w:rsidRPr="00A52585">
        <w:rPr>
          <w:rFonts w:hint="cs"/>
          <w:rtl/>
          <w:lang w:val="uz-Latn-UZ"/>
        </w:rPr>
        <w:t>[</w:t>
      </w:r>
      <w:r w:rsidRPr="00A52585">
        <w:rPr>
          <w:rFonts w:hint="cs"/>
          <w:spacing w:val="-10"/>
          <w:rtl/>
          <w:lang w:val="uz-Latn-UZ"/>
        </w:rPr>
        <w:t>تفسير الطبري</w:t>
      </w:r>
      <w:r w:rsidR="0002035C" w:rsidRPr="00A52585">
        <w:rPr>
          <w:rFonts w:hint="cs"/>
          <w:spacing w:val="-10"/>
          <w:rtl/>
          <w:lang w:val="uz-Latn-UZ"/>
        </w:rPr>
        <w:t xml:space="preserve"> (</w:t>
      </w:r>
      <w:r w:rsidRPr="00A52585">
        <w:rPr>
          <w:rFonts w:hint="cs"/>
          <w:spacing w:val="-10"/>
          <w:rtl/>
          <w:lang w:val="uz-Latn-UZ"/>
        </w:rPr>
        <w:t>18</w:t>
      </w:r>
      <w:r w:rsidR="0002035C" w:rsidRPr="00A52585">
        <w:rPr>
          <w:rFonts w:hint="cs"/>
          <w:spacing w:val="-10"/>
          <w:rtl/>
          <w:lang w:val="uz-Latn-UZ"/>
        </w:rPr>
        <w:t>:</w:t>
      </w:r>
      <w:r w:rsidRPr="00A52585">
        <w:rPr>
          <w:rFonts w:hint="cs"/>
          <w:spacing w:val="-10"/>
          <w:rtl/>
          <w:lang w:val="uz-Latn-UZ"/>
        </w:rPr>
        <w:t xml:space="preserve"> 135</w:t>
      </w:r>
      <w:r w:rsidR="0002035C" w:rsidRPr="00A52585">
        <w:rPr>
          <w:rFonts w:hint="cs"/>
          <w:spacing w:val="-10"/>
          <w:rtl/>
          <w:lang w:val="uz-Latn-UZ"/>
        </w:rPr>
        <w:t>)]</w:t>
      </w:r>
      <w:r w:rsidR="00DB731D" w:rsidRPr="00A52585">
        <w:rPr>
          <w:rFonts w:hint="cs"/>
          <w:spacing w:val="-10"/>
          <w:rtl/>
          <w:lang w:val="uz-Latn-UZ"/>
        </w:rPr>
        <w:t>،</w:t>
      </w:r>
      <w:r w:rsidRPr="00A52585">
        <w:rPr>
          <w:rFonts w:hint="cs"/>
          <w:spacing w:val="-10"/>
          <w:rtl/>
          <w:lang w:val="uz-Latn-UZ"/>
        </w:rPr>
        <w:t xml:space="preserve"> و</w:t>
      </w:r>
      <w:r w:rsidRPr="00A52585">
        <w:rPr>
          <w:rFonts w:hint="cs"/>
          <w:rtl/>
          <w:lang w:val="uz-Latn-UZ"/>
        </w:rPr>
        <w:t>تأويله رضي الله عنه للفظ</w:t>
      </w:r>
      <w:r w:rsidR="0002035C" w:rsidRPr="00A52585">
        <w:rPr>
          <w:rFonts w:hint="cs"/>
          <w:rtl/>
          <w:lang w:val="uz-Latn-UZ"/>
        </w:rPr>
        <w:t xml:space="preserve"> (</w:t>
      </w:r>
      <w:r w:rsidRPr="00A52585">
        <w:rPr>
          <w:rFonts w:hint="cs"/>
          <w:rtl/>
          <w:lang w:val="uz-Latn-UZ"/>
        </w:rPr>
        <w:t>الساق</w:t>
      </w:r>
      <w:r w:rsidR="0002035C" w:rsidRPr="00A52585">
        <w:rPr>
          <w:rFonts w:hint="cs"/>
          <w:rtl/>
          <w:lang w:val="uz-Latn-UZ"/>
        </w:rPr>
        <w:t xml:space="preserve">) </w:t>
      </w:r>
      <w:r w:rsidRPr="00A52585">
        <w:rPr>
          <w:rFonts w:hint="cs"/>
          <w:rtl/>
          <w:lang w:val="uz-Latn-UZ"/>
        </w:rPr>
        <w:t xml:space="preserve">في قوله تعالى </w:t>
      </w:r>
      <w:r w:rsidR="0002035C" w:rsidRPr="00A52585">
        <w:rPr>
          <w:rFonts w:hint="cs"/>
          <w:rtl/>
          <w:lang w:val="uz-Latn-UZ"/>
        </w:rPr>
        <w:t>(</w:t>
      </w:r>
      <w:r w:rsidRPr="00A52585">
        <w:rPr>
          <w:rFonts w:hint="cs"/>
          <w:rtl/>
          <w:lang w:val="uz-Latn-UZ"/>
        </w:rPr>
        <w:t>يوم يُكشف عن ساق</w:t>
      </w:r>
      <w:r w:rsidR="0002035C" w:rsidRPr="00A52585">
        <w:rPr>
          <w:rFonts w:hint="cs"/>
          <w:rtl/>
          <w:lang w:val="uz-Latn-UZ"/>
        </w:rPr>
        <w:t>)</w:t>
      </w:r>
      <w:r w:rsidRPr="00A52585">
        <w:rPr>
          <w:rFonts w:hint="cs"/>
          <w:rtl/>
          <w:lang w:val="uz-Latn-UZ"/>
        </w:rPr>
        <w:t xml:space="preserve"> بالكرب شديـد </w:t>
      </w:r>
      <w:r w:rsidR="0002035C" w:rsidRPr="00A52585">
        <w:rPr>
          <w:rFonts w:hint="cs"/>
          <w:rtl/>
          <w:lang w:val="uz-Latn-UZ"/>
        </w:rPr>
        <w:t>[</w:t>
      </w:r>
      <w:r w:rsidRPr="00A52585">
        <w:rPr>
          <w:rFonts w:hint="cs"/>
          <w:rtl/>
          <w:lang w:val="uz-Latn-UZ"/>
        </w:rPr>
        <w:t>الطبري 29</w:t>
      </w:r>
      <w:r w:rsidR="0002035C" w:rsidRPr="00A52585">
        <w:rPr>
          <w:rFonts w:hint="cs"/>
          <w:rtl/>
          <w:lang w:val="uz-Latn-UZ"/>
        </w:rPr>
        <w:t xml:space="preserve">: </w:t>
      </w:r>
      <w:r w:rsidRPr="00A52585">
        <w:rPr>
          <w:rFonts w:hint="cs"/>
          <w:rtl/>
          <w:lang w:val="uz-Latn-UZ"/>
        </w:rPr>
        <w:t>38، القرطبي 18</w:t>
      </w:r>
      <w:r w:rsidR="0002035C" w:rsidRPr="00A52585">
        <w:rPr>
          <w:rFonts w:hint="cs"/>
          <w:rtl/>
          <w:lang w:val="uz-Latn-UZ"/>
        </w:rPr>
        <w:t xml:space="preserve">: </w:t>
      </w:r>
      <w:r w:rsidRPr="00A52585">
        <w:rPr>
          <w:rFonts w:hint="cs"/>
          <w:rtl/>
          <w:lang w:val="uz-Latn-UZ"/>
        </w:rPr>
        <w:t>249]</w:t>
      </w:r>
      <w:r w:rsidR="00DB731D" w:rsidRPr="00A52585">
        <w:rPr>
          <w:rFonts w:hint="cs"/>
          <w:rtl/>
          <w:lang w:val="uz-Latn-UZ"/>
        </w:rPr>
        <w:t>،</w:t>
      </w:r>
      <w:r w:rsidRPr="00A52585">
        <w:rPr>
          <w:rFonts w:hint="cs"/>
          <w:rtl/>
          <w:lang w:val="uz-Latn-UZ"/>
        </w:rPr>
        <w:t xml:space="preserve"> فهذه هي تأويلات حبر الأمة وترجمان القرآن الذي دعـا له رسول الله </w:t>
      </w:r>
      <w:r w:rsidRPr="00A52585">
        <w:rPr>
          <w:rFonts w:hint="cs"/>
          <w:rtl/>
        </w:rPr>
        <w:t xml:space="preserve">‘ </w:t>
      </w:r>
      <w:r w:rsidRPr="00A52585">
        <w:rPr>
          <w:rFonts w:hint="cs"/>
          <w:rtl/>
          <w:lang w:val="uz-Latn-UZ"/>
        </w:rPr>
        <w:t>بقوله</w:t>
      </w:r>
      <w:r w:rsidR="0002035C" w:rsidRPr="00A52585">
        <w:rPr>
          <w:rFonts w:hint="cs"/>
          <w:rtl/>
          <w:lang w:val="uz-Latn-UZ"/>
        </w:rPr>
        <w:t>: (</w:t>
      </w:r>
      <w:r w:rsidRPr="00A52585">
        <w:rPr>
          <w:rFonts w:hint="cs"/>
          <w:rtl/>
          <w:lang w:val="uz-Latn-UZ"/>
        </w:rPr>
        <w:t>اللهمّ فقّهه في الدين وعلمه التأويل</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w:t>
      </w:r>
      <w:r w:rsidRPr="00A52585">
        <w:rPr>
          <w:rFonts w:hint="cs"/>
          <w:bCs/>
          <w:rtl/>
          <w:lang w:val="uz-Latn-UZ"/>
        </w:rPr>
        <w:t>ومن تأويلات التابعين</w:t>
      </w:r>
      <w:r w:rsidR="0002035C" w:rsidRPr="00A52585">
        <w:rPr>
          <w:rFonts w:hint="cs"/>
          <w:rtl/>
          <w:lang w:val="uz-Latn-UZ"/>
        </w:rPr>
        <w:t>:</w:t>
      </w:r>
      <w:r w:rsidRPr="00A52585">
        <w:rPr>
          <w:rFonts w:hint="cs"/>
          <w:rtl/>
          <w:lang w:val="uz-Latn-UZ"/>
        </w:rPr>
        <w:t xml:space="preserve"> تأويل مجاهد والسدي للفظ</w:t>
      </w:r>
      <w:r w:rsidR="0002035C" w:rsidRPr="00A52585">
        <w:rPr>
          <w:rFonts w:hint="cs"/>
          <w:rtl/>
          <w:lang w:val="uz-Latn-UZ"/>
        </w:rPr>
        <w:t xml:space="preserve"> (</w:t>
      </w:r>
      <w:r w:rsidRPr="00A52585">
        <w:rPr>
          <w:rFonts w:hint="cs"/>
          <w:rtl/>
          <w:lang w:val="uz-Latn-UZ"/>
        </w:rPr>
        <w:t>الجنب</w:t>
      </w:r>
      <w:r w:rsidR="0002035C" w:rsidRPr="00A52585">
        <w:rPr>
          <w:rFonts w:hint="cs"/>
          <w:rtl/>
          <w:lang w:val="uz-Latn-UZ"/>
        </w:rPr>
        <w:t>)</w:t>
      </w:r>
      <w:r w:rsidRPr="00A52585">
        <w:rPr>
          <w:rFonts w:hint="cs"/>
          <w:rtl/>
          <w:lang w:val="uz-Latn-UZ"/>
        </w:rPr>
        <w:t xml:space="preserve"> في قوله تعالى </w:t>
      </w:r>
      <w:r w:rsidR="0002035C" w:rsidRPr="00A52585">
        <w:rPr>
          <w:rFonts w:hint="cs"/>
          <w:rtl/>
          <w:lang w:val="uz-Latn-UZ"/>
        </w:rPr>
        <w:t>(</w:t>
      </w:r>
      <w:r w:rsidRPr="00A52585">
        <w:rPr>
          <w:rFonts w:hint="cs"/>
          <w:rtl/>
          <w:lang w:val="uz-Latn-UZ"/>
        </w:rPr>
        <w:t xml:space="preserve">أن تقول نفس يا </w:t>
      </w:r>
      <w:proofErr w:type="spellStart"/>
      <w:r w:rsidRPr="00A52585">
        <w:rPr>
          <w:rFonts w:hint="cs"/>
          <w:rtl/>
          <w:lang w:val="uz-Latn-UZ"/>
        </w:rPr>
        <w:t>حسرتى</w:t>
      </w:r>
      <w:proofErr w:type="spellEnd"/>
      <w:r w:rsidRPr="00A52585">
        <w:rPr>
          <w:rFonts w:hint="cs"/>
          <w:rtl/>
          <w:lang w:val="uz-Latn-UZ"/>
        </w:rPr>
        <w:t xml:space="preserve"> على ما فرّطت في جنب الله</w:t>
      </w:r>
      <w:r w:rsidR="0002035C" w:rsidRPr="00A52585">
        <w:rPr>
          <w:rFonts w:hint="cs"/>
          <w:rtl/>
          <w:lang w:val="uz-Latn-UZ"/>
        </w:rPr>
        <w:t>)</w:t>
      </w:r>
      <w:r w:rsidRPr="00A52585">
        <w:rPr>
          <w:rFonts w:hint="cs"/>
          <w:rtl/>
          <w:lang w:val="uz-Latn-UZ"/>
        </w:rPr>
        <w:t xml:space="preserve"> قال مجاهد</w:t>
      </w:r>
      <w:r w:rsidR="0002035C" w:rsidRPr="00A52585">
        <w:rPr>
          <w:rFonts w:hint="cs"/>
          <w:rtl/>
          <w:lang w:val="uz-Latn-UZ"/>
        </w:rPr>
        <w:t>:</w:t>
      </w:r>
      <w:r w:rsidRPr="00A52585">
        <w:rPr>
          <w:rFonts w:hint="cs"/>
          <w:rtl/>
          <w:lang w:val="uz-Latn-UZ"/>
        </w:rPr>
        <w:t xml:space="preserve"> في أمر الله، وقال السدي</w:t>
      </w:r>
      <w:r w:rsidR="0002035C" w:rsidRPr="00A52585">
        <w:rPr>
          <w:rFonts w:hint="cs"/>
          <w:rtl/>
          <w:lang w:val="uz-Latn-UZ"/>
        </w:rPr>
        <w:t>:</w:t>
      </w:r>
      <w:r w:rsidRPr="00A52585">
        <w:rPr>
          <w:rFonts w:hint="cs"/>
          <w:rtl/>
          <w:lang w:val="uz-Latn-UZ"/>
        </w:rPr>
        <w:t xml:space="preserve"> على ما تركت من أمر الله. </w:t>
      </w:r>
      <w:r w:rsidR="0002035C" w:rsidRPr="00A52585">
        <w:rPr>
          <w:rFonts w:hint="cs"/>
          <w:rtl/>
          <w:lang w:val="uz-Latn-UZ"/>
        </w:rPr>
        <w:t>[</w:t>
      </w:r>
      <w:r w:rsidRPr="00A52585">
        <w:rPr>
          <w:rFonts w:hint="cs"/>
          <w:rtl/>
          <w:lang w:val="uz-Latn-UZ"/>
        </w:rPr>
        <w:t>تفسير الطبري</w:t>
      </w:r>
      <w:r w:rsidR="0002035C" w:rsidRPr="00A52585">
        <w:rPr>
          <w:rFonts w:hint="cs"/>
          <w:rtl/>
          <w:lang w:val="uz-Latn-UZ"/>
        </w:rPr>
        <w:t xml:space="preserve"> (</w:t>
      </w:r>
      <w:r w:rsidRPr="00A52585">
        <w:rPr>
          <w:rFonts w:hint="cs"/>
          <w:rtl/>
          <w:lang w:val="uz-Latn-UZ"/>
        </w:rPr>
        <w:t>24</w:t>
      </w:r>
      <w:r w:rsidR="0002035C" w:rsidRPr="00A52585">
        <w:rPr>
          <w:rFonts w:hint="cs"/>
          <w:rtl/>
          <w:lang w:val="uz-Latn-UZ"/>
        </w:rPr>
        <w:t xml:space="preserve">: </w:t>
      </w:r>
      <w:r w:rsidRPr="00A52585">
        <w:rPr>
          <w:rFonts w:hint="cs"/>
          <w:rtl/>
          <w:lang w:val="uz-Latn-UZ"/>
        </w:rPr>
        <w:t>19</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وتأويل الضحاك وقتادة وسعيد بن جبير للفظ</w:t>
      </w:r>
      <w:r w:rsidR="0002035C" w:rsidRPr="00A52585">
        <w:rPr>
          <w:rFonts w:hint="cs"/>
          <w:rtl/>
          <w:lang w:val="uz-Latn-UZ"/>
        </w:rPr>
        <w:t xml:space="preserve"> (</w:t>
      </w:r>
      <w:r w:rsidRPr="00A52585">
        <w:rPr>
          <w:rFonts w:hint="cs"/>
          <w:rtl/>
          <w:lang w:val="uz-Latn-UZ"/>
        </w:rPr>
        <w:t>الساق</w:t>
      </w:r>
      <w:r w:rsidR="0002035C" w:rsidRPr="00A52585">
        <w:rPr>
          <w:rFonts w:hint="cs"/>
          <w:rtl/>
          <w:lang w:val="uz-Latn-UZ"/>
        </w:rPr>
        <w:t xml:space="preserve">) </w:t>
      </w:r>
      <w:r w:rsidRPr="00A52585">
        <w:rPr>
          <w:rFonts w:hint="cs"/>
          <w:rtl/>
          <w:lang w:val="uz-Latn-UZ"/>
        </w:rPr>
        <w:t>قال الضحاك</w:t>
      </w:r>
      <w:r w:rsidR="0002035C" w:rsidRPr="00A52585">
        <w:rPr>
          <w:rFonts w:hint="cs"/>
          <w:rtl/>
          <w:lang w:val="uz-Latn-UZ"/>
        </w:rPr>
        <w:t>:</w:t>
      </w:r>
      <w:r w:rsidRPr="00A52585">
        <w:rPr>
          <w:rFonts w:hint="cs"/>
          <w:rtl/>
          <w:lang w:val="uz-Latn-UZ"/>
        </w:rPr>
        <w:t xml:space="preserve"> هو أمر شديد، وقال قتادة</w:t>
      </w:r>
      <w:r w:rsidR="0002035C" w:rsidRPr="00A52585">
        <w:rPr>
          <w:rFonts w:hint="cs"/>
          <w:rtl/>
          <w:lang w:val="uz-Latn-UZ"/>
        </w:rPr>
        <w:t>:</w:t>
      </w:r>
      <w:r w:rsidRPr="00A52585">
        <w:rPr>
          <w:rFonts w:hint="cs"/>
          <w:rtl/>
          <w:lang w:val="uz-Latn-UZ"/>
        </w:rPr>
        <w:t xml:space="preserve"> أمر فظيع وشدّة الأمر، وقال سعيد</w:t>
      </w:r>
      <w:r w:rsidR="0002035C" w:rsidRPr="00A52585">
        <w:rPr>
          <w:rFonts w:hint="cs"/>
          <w:rtl/>
          <w:lang w:val="uz-Latn-UZ"/>
        </w:rPr>
        <w:t>:</w:t>
      </w:r>
      <w:r w:rsidRPr="00A52585">
        <w:rPr>
          <w:rFonts w:hint="cs"/>
          <w:rtl/>
          <w:lang w:val="uz-Latn-UZ"/>
        </w:rPr>
        <w:t xml:space="preserve"> شدة الأمر.</w:t>
      </w:r>
      <w:r w:rsidR="0002035C" w:rsidRPr="00A52585">
        <w:rPr>
          <w:rFonts w:hint="cs"/>
          <w:rtl/>
          <w:lang w:val="uz-Latn-UZ"/>
        </w:rPr>
        <w:t>[</w:t>
      </w:r>
      <w:r w:rsidRPr="00A52585">
        <w:rPr>
          <w:rFonts w:hint="cs"/>
          <w:rtl/>
          <w:lang w:val="uz-Latn-UZ"/>
        </w:rPr>
        <w:t>تفسير الطبري</w:t>
      </w:r>
      <w:r w:rsidR="0002035C" w:rsidRPr="00A52585">
        <w:rPr>
          <w:rFonts w:hint="cs"/>
          <w:rtl/>
          <w:lang w:val="uz-Latn-UZ"/>
        </w:rPr>
        <w:t xml:space="preserve"> (</w:t>
      </w:r>
      <w:r w:rsidRPr="00A52585">
        <w:rPr>
          <w:rFonts w:hint="cs"/>
          <w:rtl/>
          <w:lang w:val="uz-Latn-UZ"/>
        </w:rPr>
        <w:t>29</w:t>
      </w:r>
      <w:r w:rsidR="0002035C" w:rsidRPr="00A52585">
        <w:rPr>
          <w:rFonts w:hint="cs"/>
          <w:rtl/>
          <w:lang w:val="uz-Latn-UZ"/>
        </w:rPr>
        <w:t xml:space="preserve">: </w:t>
      </w:r>
      <w:r w:rsidRPr="00A52585">
        <w:rPr>
          <w:rFonts w:hint="cs"/>
          <w:rtl/>
          <w:lang w:val="uz-Latn-UZ"/>
        </w:rPr>
        <w:t>38 – 39</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وتأويل مجاهد والضحاك وأبي عبيدة للفظ</w:t>
      </w:r>
      <w:r w:rsidR="0002035C" w:rsidRPr="00A52585">
        <w:rPr>
          <w:rFonts w:hint="cs"/>
          <w:rtl/>
          <w:lang w:val="uz-Latn-UZ"/>
        </w:rPr>
        <w:t xml:space="preserve"> (</w:t>
      </w:r>
      <w:r w:rsidRPr="00A52585">
        <w:rPr>
          <w:rFonts w:hint="cs"/>
          <w:rtl/>
          <w:lang w:val="uz-Latn-UZ"/>
        </w:rPr>
        <w:t>الوجه</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في قوله تعالى </w:t>
      </w:r>
      <w:r w:rsidR="0002035C" w:rsidRPr="00A52585">
        <w:rPr>
          <w:rFonts w:hint="cs"/>
          <w:rtl/>
          <w:lang w:val="uz-Latn-UZ"/>
        </w:rPr>
        <w:t>(</w:t>
      </w:r>
      <w:r w:rsidRPr="00A52585">
        <w:rPr>
          <w:rFonts w:hint="cs"/>
          <w:rtl/>
          <w:lang w:val="uz-Latn-UZ"/>
        </w:rPr>
        <w:t>فأينما تولُّوا فثم وجه الله</w:t>
      </w:r>
      <w:r w:rsidR="0002035C" w:rsidRPr="00A52585">
        <w:rPr>
          <w:rFonts w:hint="cs"/>
          <w:rtl/>
          <w:lang w:val="uz-Latn-UZ"/>
        </w:rPr>
        <w:t>)</w:t>
      </w:r>
      <w:r w:rsidRPr="00A52585">
        <w:rPr>
          <w:rFonts w:hint="cs"/>
          <w:rtl/>
          <w:lang w:val="uz-Latn-UZ"/>
        </w:rPr>
        <w:t xml:space="preserve"> بقبلة الله </w:t>
      </w:r>
      <w:r w:rsidR="0002035C" w:rsidRPr="00A52585">
        <w:rPr>
          <w:rFonts w:hint="cs"/>
          <w:rtl/>
          <w:lang w:val="uz-Latn-UZ"/>
        </w:rPr>
        <w:t>[(</w:t>
      </w:r>
      <w:r w:rsidRPr="00A52585">
        <w:rPr>
          <w:rFonts w:hint="cs"/>
          <w:rtl/>
          <w:lang w:val="uz-Latn-UZ"/>
        </w:rPr>
        <w:t>الطبري 1</w:t>
      </w:r>
      <w:r w:rsidR="0002035C" w:rsidRPr="00A52585">
        <w:rPr>
          <w:rFonts w:hint="cs"/>
          <w:rtl/>
          <w:lang w:val="uz-Latn-UZ"/>
        </w:rPr>
        <w:t xml:space="preserve">: </w:t>
      </w:r>
      <w:r w:rsidRPr="00A52585">
        <w:rPr>
          <w:rFonts w:hint="cs"/>
          <w:rtl/>
          <w:lang w:val="uz-Latn-UZ"/>
        </w:rPr>
        <w:t>402</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وقال الضحاك وأبو عبيدة في قوله تعالى</w:t>
      </w:r>
      <w:r w:rsidR="0002035C" w:rsidRPr="00A52585">
        <w:rPr>
          <w:rFonts w:hint="cs"/>
          <w:rtl/>
          <w:lang w:val="uz-Latn-UZ"/>
        </w:rPr>
        <w:t xml:space="preserve"> (</w:t>
      </w:r>
      <w:r w:rsidRPr="00A52585">
        <w:rPr>
          <w:rFonts w:hint="cs"/>
          <w:rtl/>
          <w:lang w:val="uz-Latn-UZ"/>
        </w:rPr>
        <w:t>كلُّ شيء هالك إلا وجهه</w:t>
      </w:r>
      <w:r w:rsidR="0002035C" w:rsidRPr="00A52585">
        <w:rPr>
          <w:rFonts w:hint="cs"/>
          <w:rtl/>
          <w:lang w:val="uz-Latn-UZ"/>
        </w:rPr>
        <w:t>):</w:t>
      </w:r>
      <w:r w:rsidRPr="00A52585">
        <w:rPr>
          <w:rFonts w:hint="cs"/>
          <w:rtl/>
          <w:lang w:val="uz-Latn-UZ"/>
        </w:rPr>
        <w:t xml:space="preserve"> أي إلا هو </w:t>
      </w:r>
      <w:r w:rsidR="0002035C" w:rsidRPr="00A52585">
        <w:rPr>
          <w:rFonts w:hint="cs"/>
          <w:rtl/>
          <w:lang w:val="uz-Latn-UZ"/>
        </w:rPr>
        <w:t>[</w:t>
      </w:r>
      <w:r w:rsidRPr="00A52585">
        <w:rPr>
          <w:rFonts w:hint="cs"/>
          <w:rtl/>
          <w:lang w:val="uz-Latn-UZ"/>
        </w:rPr>
        <w:t>دفع شبه التشبيه ص</w:t>
      </w:r>
      <w:r w:rsidR="0002035C" w:rsidRPr="00A52585">
        <w:rPr>
          <w:rFonts w:hint="cs"/>
          <w:rtl/>
          <w:lang w:val="uz-Latn-UZ"/>
        </w:rPr>
        <w:t xml:space="preserve">: </w:t>
      </w:r>
      <w:r w:rsidRPr="00A52585">
        <w:rPr>
          <w:rFonts w:hint="cs"/>
          <w:rtl/>
          <w:lang w:val="uz-Latn-UZ"/>
        </w:rPr>
        <w:t xml:space="preserve">113] وتأويل الحسن البصري </w:t>
      </w:r>
      <w:r w:rsidR="0002035C" w:rsidRPr="00A52585">
        <w:rPr>
          <w:rFonts w:hint="cs"/>
          <w:rtl/>
          <w:lang w:val="uz-Latn-UZ"/>
        </w:rPr>
        <w:t>(</w:t>
      </w:r>
      <w:r w:rsidRPr="00A52585">
        <w:rPr>
          <w:rFonts w:hint="cs"/>
          <w:rtl/>
          <w:lang w:val="uz-Latn-UZ"/>
        </w:rPr>
        <w:t>المجيء</w:t>
      </w:r>
      <w:r w:rsidR="0002035C" w:rsidRPr="00A52585">
        <w:rPr>
          <w:rFonts w:hint="cs"/>
          <w:rtl/>
          <w:lang w:val="uz-Latn-UZ"/>
        </w:rPr>
        <w:t>)</w:t>
      </w:r>
      <w:r w:rsidRPr="00A52585">
        <w:rPr>
          <w:rFonts w:hint="cs"/>
          <w:rtl/>
          <w:lang w:val="uz-Latn-UZ"/>
        </w:rPr>
        <w:t xml:space="preserve"> في قوله تعالى</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وجاء ربك</w:t>
      </w:r>
      <w:r w:rsidR="0002035C" w:rsidRPr="00A52585">
        <w:rPr>
          <w:rFonts w:hint="cs"/>
          <w:rtl/>
          <w:lang w:val="uz-Latn-UZ"/>
        </w:rPr>
        <w:t>):</w:t>
      </w:r>
      <w:r w:rsidRPr="00A52585">
        <w:rPr>
          <w:rFonts w:hint="cs"/>
          <w:rtl/>
          <w:lang w:val="uz-Latn-UZ"/>
        </w:rPr>
        <w:t xml:space="preserve"> بمجيء أمره وقضاؤه </w:t>
      </w:r>
      <w:r w:rsidR="0002035C" w:rsidRPr="00A52585">
        <w:rPr>
          <w:rFonts w:hint="cs"/>
          <w:rtl/>
          <w:lang w:val="uz-Latn-UZ"/>
        </w:rPr>
        <w:t>[</w:t>
      </w:r>
      <w:r w:rsidRPr="00A52585">
        <w:rPr>
          <w:rFonts w:hint="cs"/>
          <w:rtl/>
          <w:lang w:val="uz-Latn-UZ"/>
        </w:rPr>
        <w:t>تفسير البغوي 4</w:t>
      </w:r>
      <w:r w:rsidR="0002035C" w:rsidRPr="00A52585">
        <w:rPr>
          <w:rFonts w:hint="cs"/>
          <w:rtl/>
          <w:lang w:val="uz-Latn-UZ"/>
        </w:rPr>
        <w:t xml:space="preserve">: </w:t>
      </w:r>
      <w:r w:rsidRPr="00A52585">
        <w:rPr>
          <w:rFonts w:hint="cs"/>
          <w:rtl/>
          <w:lang w:val="uz-Latn-UZ"/>
        </w:rPr>
        <w:t>454</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وتأويله </w:t>
      </w:r>
      <w:r w:rsidR="0002035C" w:rsidRPr="00A52585">
        <w:rPr>
          <w:rFonts w:hint="cs"/>
          <w:rtl/>
          <w:lang w:val="uz-Latn-UZ"/>
        </w:rPr>
        <w:t>(</w:t>
      </w:r>
      <w:r w:rsidRPr="00A52585">
        <w:rPr>
          <w:rFonts w:hint="cs"/>
          <w:rtl/>
          <w:lang w:val="uz-Latn-UZ"/>
        </w:rPr>
        <w:t>الجنب</w:t>
      </w:r>
      <w:r w:rsidR="0002035C" w:rsidRPr="00A52585">
        <w:rPr>
          <w:rFonts w:hint="cs"/>
          <w:rtl/>
          <w:lang w:val="uz-Latn-UZ"/>
        </w:rPr>
        <w:t>)</w:t>
      </w:r>
      <w:r w:rsidRPr="00A52585">
        <w:rPr>
          <w:rFonts w:hint="cs"/>
          <w:rtl/>
          <w:lang w:val="uz-Latn-UZ"/>
        </w:rPr>
        <w:t xml:space="preserve"> في قوله تعالى </w:t>
      </w:r>
      <w:r w:rsidR="0002035C" w:rsidRPr="00A52585">
        <w:rPr>
          <w:rFonts w:hint="cs"/>
          <w:rtl/>
          <w:lang w:val="uz-Latn-UZ"/>
        </w:rPr>
        <w:t>(</w:t>
      </w:r>
      <w:r w:rsidRPr="00A52585">
        <w:rPr>
          <w:rFonts w:hint="cs"/>
          <w:rtl/>
          <w:lang w:val="uz-Latn-UZ"/>
        </w:rPr>
        <w:t xml:space="preserve">أن تقول نفس يا </w:t>
      </w:r>
      <w:proofErr w:type="spellStart"/>
      <w:r w:rsidRPr="00A52585">
        <w:rPr>
          <w:rFonts w:hint="cs"/>
          <w:rtl/>
          <w:lang w:val="uz-Latn-UZ"/>
        </w:rPr>
        <w:t>حسرتى</w:t>
      </w:r>
      <w:proofErr w:type="spellEnd"/>
      <w:r w:rsidRPr="00A52585">
        <w:rPr>
          <w:rFonts w:hint="cs"/>
          <w:rtl/>
          <w:lang w:val="uz-Latn-UZ"/>
        </w:rPr>
        <w:t xml:space="preserve"> على ما فرطت في جنب الله</w:t>
      </w:r>
      <w:r w:rsidR="0002035C" w:rsidRPr="00A52585">
        <w:rPr>
          <w:rFonts w:hint="cs"/>
          <w:rtl/>
          <w:lang w:val="uz-Latn-UZ"/>
        </w:rPr>
        <w:t>)</w:t>
      </w:r>
      <w:r w:rsidRPr="00A52585">
        <w:rPr>
          <w:rFonts w:hint="cs"/>
          <w:rtl/>
          <w:lang w:val="uz-Latn-UZ"/>
        </w:rPr>
        <w:t xml:space="preserve"> قال</w:t>
      </w:r>
      <w:r w:rsidR="0002035C" w:rsidRPr="00A52585">
        <w:rPr>
          <w:rFonts w:hint="cs"/>
          <w:rtl/>
          <w:lang w:val="uz-Latn-UZ"/>
        </w:rPr>
        <w:t>:</w:t>
      </w:r>
      <w:r w:rsidRPr="00A52585">
        <w:rPr>
          <w:rFonts w:hint="cs"/>
          <w:rtl/>
          <w:lang w:val="uz-Latn-UZ"/>
        </w:rPr>
        <w:t xml:space="preserve"> في طاعة الله. </w:t>
      </w:r>
      <w:r w:rsidR="0002035C" w:rsidRPr="00A52585">
        <w:rPr>
          <w:rFonts w:hint="cs"/>
          <w:rtl/>
          <w:lang w:val="uz-Latn-UZ"/>
        </w:rPr>
        <w:t>[</w:t>
      </w:r>
      <w:r w:rsidRPr="00A52585">
        <w:rPr>
          <w:rFonts w:hint="cs"/>
          <w:rtl/>
          <w:lang w:val="uz-Latn-UZ"/>
        </w:rPr>
        <w:t>روح المعاني تفسير الآية 56 من سورة الزمر</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w:t>
      </w:r>
      <w:r w:rsidRPr="00A52585">
        <w:rPr>
          <w:rFonts w:hint="cs"/>
          <w:bCs/>
          <w:rtl/>
          <w:lang w:val="uz-Latn-UZ"/>
        </w:rPr>
        <w:t>ومن تأويلات تابعي التابعين</w:t>
      </w:r>
      <w:r w:rsidR="00DB731D" w:rsidRPr="00A52585">
        <w:rPr>
          <w:rFonts w:hint="cs"/>
          <w:rtl/>
          <w:lang w:val="uz-Latn-UZ"/>
        </w:rPr>
        <w:t>،</w:t>
      </w:r>
      <w:r w:rsidRPr="00A52585">
        <w:rPr>
          <w:rFonts w:hint="cs"/>
          <w:rtl/>
          <w:lang w:val="uz-Latn-UZ"/>
        </w:rPr>
        <w:t xml:space="preserve"> تأويل سفيان الثوري للاستواء في قوله تعالى </w:t>
      </w:r>
      <w:r w:rsidR="0002035C" w:rsidRPr="00A52585">
        <w:rPr>
          <w:rFonts w:hint="cs"/>
          <w:rtl/>
          <w:lang w:val="uz-Latn-UZ"/>
        </w:rPr>
        <w:t>(</w:t>
      </w:r>
      <w:r w:rsidRPr="00A52585">
        <w:rPr>
          <w:rFonts w:hint="cs"/>
          <w:rtl/>
          <w:lang w:val="uz-Latn-UZ"/>
        </w:rPr>
        <w:t>ثم استوي إلى السماء</w:t>
      </w:r>
      <w:r w:rsidR="0002035C" w:rsidRPr="00A52585">
        <w:rPr>
          <w:rFonts w:hint="cs"/>
          <w:rtl/>
          <w:lang w:val="uz-Latn-UZ"/>
        </w:rPr>
        <w:t>)</w:t>
      </w:r>
      <w:r w:rsidRPr="00A52585">
        <w:rPr>
          <w:rFonts w:hint="cs"/>
          <w:rtl/>
          <w:lang w:val="uz-Latn-UZ"/>
        </w:rPr>
        <w:t xml:space="preserve"> بالقصد إليها </w:t>
      </w:r>
      <w:r w:rsidR="0002035C" w:rsidRPr="00A52585">
        <w:rPr>
          <w:rFonts w:hint="cs"/>
          <w:rtl/>
          <w:lang w:val="uz-Latn-UZ"/>
        </w:rPr>
        <w:t>[</w:t>
      </w:r>
      <w:r w:rsidRPr="00A52585">
        <w:rPr>
          <w:rFonts w:hint="cs"/>
          <w:rtl/>
          <w:lang w:val="uz-Latn-UZ"/>
        </w:rPr>
        <w:t>مرقاة المفاتيح 2</w:t>
      </w:r>
      <w:r w:rsidR="0002035C" w:rsidRPr="00A52585">
        <w:rPr>
          <w:rFonts w:hint="cs"/>
          <w:rtl/>
          <w:lang w:val="uz-Latn-UZ"/>
        </w:rPr>
        <w:t xml:space="preserve">: </w:t>
      </w:r>
      <w:r w:rsidRPr="00A52585">
        <w:rPr>
          <w:rFonts w:hint="cs"/>
          <w:rtl/>
          <w:lang w:val="uz-Latn-UZ"/>
        </w:rPr>
        <w:t>137</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وتأويل الإمام مالك بن أنس للنزول في حديث النزول</w:t>
      </w:r>
      <w:r w:rsidR="00DB731D" w:rsidRPr="00A52585">
        <w:rPr>
          <w:rFonts w:hint="cs"/>
          <w:rtl/>
          <w:lang w:val="uz-Latn-UZ"/>
        </w:rPr>
        <w:t>،</w:t>
      </w:r>
      <w:r w:rsidRPr="00A52585">
        <w:rPr>
          <w:rFonts w:hint="cs"/>
          <w:rtl/>
          <w:lang w:val="uz-Latn-UZ"/>
        </w:rPr>
        <w:t xml:space="preserve"> بقوله</w:t>
      </w:r>
      <w:r w:rsidR="0002035C" w:rsidRPr="00A52585">
        <w:rPr>
          <w:rFonts w:hint="cs"/>
          <w:rtl/>
          <w:lang w:val="uz-Latn-UZ"/>
        </w:rPr>
        <w:t>: (</w:t>
      </w:r>
      <w:r w:rsidRPr="00A52585">
        <w:rPr>
          <w:rFonts w:hint="cs"/>
          <w:rtl/>
          <w:lang w:val="uz-Latn-UZ"/>
        </w:rPr>
        <w:t>ينزل أمره - تعالى - كل سَحَر، فأما هو عزّ وجلّ فإنه دائم لا يزول ولا ينتقل سبحانه لا إله إلى هو</w:t>
      </w:r>
      <w:r w:rsidR="0002035C" w:rsidRPr="00A52585">
        <w:rPr>
          <w:rFonts w:hint="cs"/>
          <w:rtl/>
          <w:lang w:val="uz-Latn-UZ"/>
        </w:rPr>
        <w:t xml:space="preserve">) </w:t>
      </w:r>
      <w:r w:rsidRPr="00A52585">
        <w:rPr>
          <w:rFonts w:hint="cs"/>
          <w:rtl/>
          <w:lang w:val="uz-Latn-UZ"/>
        </w:rPr>
        <w:t xml:space="preserve">اهـ </w:t>
      </w:r>
      <w:r w:rsidR="0002035C" w:rsidRPr="00A52585">
        <w:rPr>
          <w:rFonts w:hint="cs"/>
          <w:rtl/>
          <w:lang w:val="uz-Latn-UZ"/>
        </w:rPr>
        <w:t>[</w:t>
      </w:r>
      <w:r w:rsidRPr="00A52585">
        <w:rPr>
          <w:rFonts w:hint="cs"/>
          <w:rtl/>
          <w:lang w:val="uz-Latn-UZ"/>
        </w:rPr>
        <w:t>التمهيد 7</w:t>
      </w:r>
      <w:r w:rsidR="0002035C" w:rsidRPr="00A52585">
        <w:rPr>
          <w:rFonts w:hint="cs"/>
          <w:rtl/>
          <w:lang w:val="uz-Latn-UZ"/>
        </w:rPr>
        <w:t xml:space="preserve">: </w:t>
      </w:r>
      <w:r w:rsidRPr="00A52585">
        <w:rPr>
          <w:rFonts w:hint="cs"/>
          <w:rtl/>
          <w:lang w:val="uz-Latn-UZ"/>
        </w:rPr>
        <w:t>143، سير أعلام النبلاء 8</w:t>
      </w:r>
      <w:r w:rsidR="0002035C" w:rsidRPr="00A52585">
        <w:rPr>
          <w:rFonts w:hint="cs"/>
          <w:rtl/>
          <w:lang w:val="uz-Latn-UZ"/>
        </w:rPr>
        <w:t xml:space="preserve">: </w:t>
      </w:r>
      <w:r w:rsidRPr="00A52585">
        <w:rPr>
          <w:rFonts w:hint="cs"/>
          <w:rtl/>
          <w:lang w:val="uz-Latn-UZ"/>
        </w:rPr>
        <w:t>105</w:t>
      </w:r>
      <w:r w:rsidR="00DB731D" w:rsidRPr="00A52585">
        <w:rPr>
          <w:rFonts w:hint="cs"/>
          <w:rtl/>
          <w:lang w:val="uz-Latn-UZ"/>
        </w:rPr>
        <w:t>،</w:t>
      </w:r>
      <w:r w:rsidRPr="00A52585">
        <w:rPr>
          <w:rFonts w:hint="cs"/>
          <w:rtl/>
          <w:lang w:val="uz-Latn-UZ"/>
        </w:rPr>
        <w:t xml:space="preserve"> الرسالة الوافية لأبي عمرو الداني ص</w:t>
      </w:r>
      <w:r w:rsidR="0002035C" w:rsidRPr="00A52585">
        <w:rPr>
          <w:rFonts w:hint="cs"/>
          <w:rtl/>
          <w:lang w:val="uz-Latn-UZ"/>
        </w:rPr>
        <w:t>:</w:t>
      </w:r>
      <w:r w:rsidRPr="00A52585">
        <w:rPr>
          <w:rFonts w:hint="cs"/>
          <w:rtl/>
          <w:lang w:val="uz-Latn-UZ"/>
        </w:rPr>
        <w:t xml:space="preserve"> 136، شرح النووي على صحيح مسلم 6</w:t>
      </w:r>
      <w:r w:rsidR="0002035C" w:rsidRPr="00A52585">
        <w:rPr>
          <w:rFonts w:hint="cs"/>
          <w:rtl/>
          <w:lang w:val="uz-Latn-UZ"/>
        </w:rPr>
        <w:t xml:space="preserve">: </w:t>
      </w:r>
      <w:r w:rsidRPr="00A52585">
        <w:rPr>
          <w:rFonts w:hint="cs"/>
          <w:rtl/>
          <w:lang w:val="uz-Latn-UZ"/>
        </w:rPr>
        <w:t>37، الإنصاف لابن السيد البطليوسي ص</w:t>
      </w:r>
      <w:r w:rsidR="0002035C" w:rsidRPr="00A52585">
        <w:rPr>
          <w:rFonts w:hint="cs"/>
          <w:rtl/>
          <w:lang w:val="uz-Latn-UZ"/>
        </w:rPr>
        <w:t xml:space="preserve">: </w:t>
      </w:r>
      <w:r w:rsidRPr="00A52585">
        <w:rPr>
          <w:rFonts w:hint="cs"/>
          <w:rtl/>
          <w:lang w:val="uz-Latn-UZ"/>
        </w:rPr>
        <w:t>82]</w:t>
      </w:r>
      <w:r w:rsidR="00DB731D" w:rsidRPr="00A52585">
        <w:rPr>
          <w:rFonts w:hint="cs"/>
          <w:rtl/>
          <w:lang w:val="uz-Latn-UZ"/>
        </w:rPr>
        <w:t>،</w:t>
      </w:r>
      <w:r w:rsidRPr="00A52585">
        <w:rPr>
          <w:rFonts w:hint="cs"/>
          <w:rtl/>
          <w:lang w:val="uz-Latn-UZ"/>
        </w:rPr>
        <w:t xml:space="preserve"> </w:t>
      </w:r>
      <w:r w:rsidRPr="00A52585">
        <w:rPr>
          <w:rFonts w:hint="cs"/>
          <w:bCs/>
          <w:rtl/>
          <w:lang w:val="uz-Latn-UZ"/>
        </w:rPr>
        <w:t>وقد تأول الإمام أحمد</w:t>
      </w:r>
      <w:r w:rsidRPr="00A52585">
        <w:rPr>
          <w:rFonts w:hint="cs"/>
          <w:rtl/>
          <w:lang w:val="uz-Latn-UZ"/>
        </w:rPr>
        <w:t xml:space="preserve"> مجيء الله تعالى</w:t>
      </w:r>
      <w:r w:rsidR="00DB731D" w:rsidRPr="00A52585">
        <w:rPr>
          <w:rFonts w:hint="cs"/>
          <w:rtl/>
          <w:lang w:val="uz-Latn-UZ"/>
        </w:rPr>
        <w:t>،</w:t>
      </w:r>
      <w:r w:rsidRPr="00A52585">
        <w:rPr>
          <w:rFonts w:hint="cs"/>
          <w:rtl/>
          <w:lang w:val="uz-Latn-UZ"/>
        </w:rPr>
        <w:t xml:space="preserve"> في قوله تعالى </w:t>
      </w:r>
      <w:r w:rsidR="0002035C" w:rsidRPr="00A52585">
        <w:rPr>
          <w:rFonts w:hint="cs"/>
          <w:rtl/>
          <w:lang w:val="uz-Latn-UZ"/>
        </w:rPr>
        <w:t>(</w:t>
      </w:r>
      <w:r w:rsidRPr="00A52585">
        <w:rPr>
          <w:rFonts w:hint="cs"/>
          <w:rtl/>
          <w:lang w:val="uz-Latn-UZ"/>
        </w:rPr>
        <w:t>وجاء ربك</w:t>
      </w:r>
      <w:r w:rsidR="0002035C" w:rsidRPr="00A52585">
        <w:rPr>
          <w:rFonts w:hint="cs"/>
          <w:rtl/>
          <w:lang w:val="uz-Latn-UZ"/>
        </w:rPr>
        <w:t>)</w:t>
      </w:r>
      <w:r w:rsidRPr="00A52585">
        <w:rPr>
          <w:rFonts w:hint="cs"/>
          <w:rtl/>
          <w:lang w:val="uz-Latn-UZ"/>
        </w:rPr>
        <w:t xml:space="preserve"> أنه جاء ثوابه. ثم قال البيهقي</w:t>
      </w:r>
      <w:r w:rsidR="0002035C" w:rsidRPr="00A52585">
        <w:rPr>
          <w:rFonts w:hint="cs"/>
          <w:rtl/>
          <w:lang w:val="uz-Latn-UZ"/>
        </w:rPr>
        <w:t>:</w:t>
      </w:r>
      <w:r w:rsidRPr="00A52585">
        <w:rPr>
          <w:rFonts w:hint="cs"/>
          <w:rtl/>
          <w:lang w:val="uz-Latn-UZ"/>
        </w:rPr>
        <w:t xml:space="preserve"> وهذا إسناد لا غبار عليه [البداية </w:t>
      </w:r>
      <w:r w:rsidRPr="00A52585">
        <w:rPr>
          <w:rFonts w:hint="cs"/>
          <w:rtl/>
          <w:lang w:val="uz-Latn-UZ"/>
        </w:rPr>
        <w:lastRenderedPageBreak/>
        <w:t>والنهاية لابن كثير 10</w:t>
      </w:r>
      <w:r w:rsidR="0002035C" w:rsidRPr="00A52585">
        <w:rPr>
          <w:rFonts w:hint="cs"/>
          <w:rtl/>
          <w:lang w:val="uz-Latn-UZ"/>
        </w:rPr>
        <w:t xml:space="preserve">: </w:t>
      </w:r>
      <w:r w:rsidRPr="00A52585">
        <w:rPr>
          <w:rFonts w:hint="cs"/>
          <w:rtl/>
          <w:lang w:val="uz-Latn-UZ"/>
        </w:rPr>
        <w:t>361</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ونقل الحافظ ابن الجوزي عن القاضي أبي يعلى عن الإمام أحمد في قولـه تعالـى</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هل ينظرون إلا أن يأتيهم الله في ظلل من الغمام</w:t>
      </w:r>
      <w:r w:rsidR="0002035C" w:rsidRPr="00A52585">
        <w:rPr>
          <w:rFonts w:hint="cs"/>
          <w:rtl/>
          <w:lang w:val="uz-Latn-UZ"/>
        </w:rPr>
        <w:t>)</w:t>
      </w:r>
      <w:r w:rsidRPr="00A52585">
        <w:rPr>
          <w:rFonts w:hint="cs"/>
          <w:rtl/>
          <w:lang w:val="uz-Latn-UZ"/>
        </w:rPr>
        <w:t xml:space="preserve"> أنه قال</w:t>
      </w:r>
      <w:r w:rsidR="0002035C" w:rsidRPr="00A52585">
        <w:rPr>
          <w:rFonts w:hint="cs"/>
          <w:rtl/>
          <w:lang w:val="uz-Latn-UZ"/>
        </w:rPr>
        <w:t>:</w:t>
      </w:r>
      <w:r w:rsidRPr="00A52585">
        <w:rPr>
          <w:rFonts w:hint="cs"/>
          <w:rtl/>
          <w:lang w:val="uz-Latn-UZ"/>
        </w:rPr>
        <w:t xml:space="preserve"> المراد به قدرته وأمره. قال</w:t>
      </w:r>
      <w:r w:rsidR="0002035C" w:rsidRPr="00A52585">
        <w:rPr>
          <w:rFonts w:hint="cs"/>
          <w:rtl/>
          <w:lang w:val="uz-Latn-UZ"/>
        </w:rPr>
        <w:t>:</w:t>
      </w:r>
      <w:r w:rsidRPr="00A52585">
        <w:rPr>
          <w:rFonts w:hint="cs"/>
          <w:rtl/>
          <w:lang w:val="uz-Latn-UZ"/>
        </w:rPr>
        <w:t xml:space="preserve"> وقد بيّنه في قوله تعالى </w:t>
      </w:r>
      <w:r w:rsidR="0002035C" w:rsidRPr="00A52585">
        <w:rPr>
          <w:rFonts w:hint="cs"/>
          <w:rtl/>
          <w:lang w:val="uz-Latn-UZ"/>
        </w:rPr>
        <w:t>(</w:t>
      </w:r>
      <w:r w:rsidRPr="00A52585">
        <w:rPr>
          <w:rFonts w:hint="cs"/>
          <w:rtl/>
          <w:lang w:val="uz-Latn-UZ"/>
        </w:rPr>
        <w:t xml:space="preserve">أو </w:t>
      </w:r>
      <w:proofErr w:type="spellStart"/>
      <w:r w:rsidRPr="00A52585">
        <w:rPr>
          <w:rFonts w:hint="cs"/>
          <w:rtl/>
          <w:lang w:val="uz-Latn-UZ"/>
        </w:rPr>
        <w:t>يأتى</w:t>
      </w:r>
      <w:proofErr w:type="spellEnd"/>
      <w:r w:rsidRPr="00A52585">
        <w:rPr>
          <w:rFonts w:hint="cs"/>
          <w:rtl/>
          <w:lang w:val="uz-Latn-UZ"/>
        </w:rPr>
        <w:t xml:space="preserve"> أمر ربك</w:t>
      </w:r>
      <w:r w:rsidR="0002035C" w:rsidRPr="00A52585">
        <w:rPr>
          <w:rFonts w:hint="cs"/>
          <w:rtl/>
          <w:lang w:val="uz-Latn-UZ"/>
        </w:rPr>
        <w:t>)</w:t>
      </w:r>
      <w:r w:rsidRPr="00A52585">
        <w:rPr>
          <w:rFonts w:hint="cs"/>
          <w:rtl/>
          <w:lang w:val="uz-Latn-UZ"/>
        </w:rPr>
        <w:t xml:space="preserve"> ومثل هذا في القرآن </w:t>
      </w:r>
      <w:r w:rsidR="0002035C" w:rsidRPr="00A52585">
        <w:rPr>
          <w:rFonts w:hint="cs"/>
          <w:rtl/>
          <w:lang w:val="uz-Latn-UZ"/>
        </w:rPr>
        <w:t>(</w:t>
      </w:r>
      <w:r w:rsidRPr="00A52585">
        <w:rPr>
          <w:rFonts w:hint="cs"/>
          <w:rtl/>
          <w:lang w:val="uz-Latn-UZ"/>
        </w:rPr>
        <w:t>وجاء ربك</w:t>
      </w:r>
      <w:r w:rsidR="0002035C" w:rsidRPr="00A52585">
        <w:rPr>
          <w:rFonts w:hint="cs"/>
          <w:rtl/>
          <w:lang w:val="uz-Latn-UZ"/>
        </w:rPr>
        <w:t xml:space="preserve">) </w:t>
      </w:r>
      <w:r w:rsidRPr="00A52585">
        <w:rPr>
          <w:rFonts w:hint="cs"/>
          <w:rtl/>
          <w:lang w:val="uz-Latn-UZ"/>
        </w:rPr>
        <w:t>قال</w:t>
      </w:r>
      <w:r w:rsidR="0002035C" w:rsidRPr="00A52585">
        <w:rPr>
          <w:rFonts w:hint="cs"/>
          <w:rtl/>
          <w:lang w:val="uz-Latn-UZ"/>
        </w:rPr>
        <w:t>:</w:t>
      </w:r>
      <w:r w:rsidRPr="00A52585">
        <w:rPr>
          <w:rFonts w:hint="cs"/>
          <w:rtl/>
          <w:lang w:val="uz-Latn-UZ"/>
        </w:rPr>
        <w:t xml:space="preserve"> إنما هو قدرته. </w:t>
      </w:r>
      <w:r w:rsidR="0002035C" w:rsidRPr="00A52585">
        <w:rPr>
          <w:rFonts w:hint="cs"/>
          <w:rtl/>
          <w:lang w:val="uz-Latn-UZ"/>
        </w:rPr>
        <w:t>[</w:t>
      </w:r>
      <w:r w:rsidRPr="00A52585">
        <w:rPr>
          <w:rFonts w:hint="cs"/>
          <w:rtl/>
          <w:lang w:val="uz-Latn-UZ"/>
        </w:rPr>
        <w:t>دفع شبه التشبيه ص</w:t>
      </w:r>
      <w:r w:rsidR="0002035C" w:rsidRPr="00A52585">
        <w:rPr>
          <w:rFonts w:hint="cs"/>
          <w:rtl/>
          <w:lang w:val="uz-Latn-UZ"/>
        </w:rPr>
        <w:t xml:space="preserve">: </w:t>
      </w:r>
      <w:r w:rsidRPr="00A52585">
        <w:rPr>
          <w:rFonts w:hint="cs"/>
          <w:rtl/>
          <w:lang w:val="uz-Latn-UZ"/>
        </w:rPr>
        <w:t>141</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w:t>
      </w:r>
      <w:r w:rsidRPr="00A52585">
        <w:rPr>
          <w:rFonts w:hint="cs"/>
          <w:bCs/>
          <w:rtl/>
          <w:lang w:val="uz-Latn-UZ"/>
        </w:rPr>
        <w:t>وقد تأول الإمام البخاري</w:t>
      </w:r>
      <w:r w:rsidR="0002035C" w:rsidRPr="00A52585">
        <w:rPr>
          <w:rFonts w:hint="cs"/>
          <w:rtl/>
          <w:lang w:val="uz-Latn-UZ"/>
        </w:rPr>
        <w:t xml:space="preserve"> (</w:t>
      </w:r>
      <w:r w:rsidRPr="00A52585">
        <w:rPr>
          <w:rFonts w:hint="cs"/>
          <w:rtl/>
          <w:lang w:val="uz-Latn-UZ"/>
        </w:rPr>
        <w:t>الوجه</w:t>
      </w:r>
      <w:r w:rsidR="0002035C" w:rsidRPr="00A52585">
        <w:rPr>
          <w:rFonts w:hint="cs"/>
          <w:rtl/>
          <w:lang w:val="uz-Latn-UZ"/>
        </w:rPr>
        <w:t xml:space="preserve">) </w:t>
      </w:r>
      <w:r w:rsidRPr="00A52585">
        <w:rPr>
          <w:rFonts w:hint="cs"/>
          <w:rtl/>
          <w:lang w:val="uz-Latn-UZ"/>
        </w:rPr>
        <w:t xml:space="preserve">في قوله تعالى </w:t>
      </w:r>
      <w:r w:rsidR="0002035C" w:rsidRPr="00A52585">
        <w:rPr>
          <w:rFonts w:hint="cs"/>
          <w:rtl/>
          <w:lang w:val="uz-Latn-UZ"/>
        </w:rPr>
        <w:t>(</w:t>
      </w:r>
      <w:r w:rsidRPr="00A52585">
        <w:rPr>
          <w:rFonts w:hint="cs"/>
          <w:rtl/>
          <w:lang w:val="uz-Latn-UZ"/>
        </w:rPr>
        <w:t xml:space="preserve">كلّ </w:t>
      </w:r>
      <w:proofErr w:type="spellStart"/>
      <w:r w:rsidRPr="00A52585">
        <w:rPr>
          <w:rFonts w:hint="cs"/>
          <w:rtl/>
          <w:lang w:val="uz-Latn-UZ"/>
        </w:rPr>
        <w:t>شـئ</w:t>
      </w:r>
      <w:proofErr w:type="spellEnd"/>
      <w:r w:rsidRPr="00A52585">
        <w:rPr>
          <w:rFonts w:hint="cs"/>
          <w:rtl/>
          <w:lang w:val="uz-Latn-UZ"/>
        </w:rPr>
        <w:t xml:space="preserve"> هالك إلا وجهه</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إلا ملكه</w:t>
      </w:r>
      <w:r w:rsidR="0002035C" w:rsidRPr="00A52585">
        <w:rPr>
          <w:rFonts w:hint="cs"/>
          <w:rtl/>
          <w:lang w:val="uz-Latn-UZ"/>
        </w:rPr>
        <w:t>)</w:t>
      </w:r>
      <w:r w:rsidRPr="00A52585">
        <w:rPr>
          <w:rFonts w:hint="cs"/>
          <w:rtl/>
          <w:lang w:val="uz-Latn-UZ"/>
        </w:rPr>
        <w:t xml:space="preserve"> </w:t>
      </w:r>
      <w:r w:rsidR="0002035C" w:rsidRPr="00A52585">
        <w:rPr>
          <w:rFonts w:hint="cs"/>
          <w:rtl/>
          <w:lang w:val="uz-Latn-UZ"/>
        </w:rPr>
        <w:t>[</w:t>
      </w:r>
      <w:r w:rsidRPr="00A52585">
        <w:rPr>
          <w:rFonts w:hint="cs"/>
          <w:rtl/>
          <w:lang w:val="uz-Latn-UZ"/>
        </w:rPr>
        <w:t>صحيـح</w:t>
      </w:r>
      <w:r w:rsidR="0002035C" w:rsidRPr="00A52585">
        <w:rPr>
          <w:rFonts w:hint="cs"/>
          <w:rtl/>
          <w:lang w:val="uz-Latn-UZ"/>
        </w:rPr>
        <w:t xml:space="preserve"> </w:t>
      </w:r>
      <w:r w:rsidRPr="00A52585">
        <w:rPr>
          <w:rFonts w:hint="cs"/>
          <w:rtl/>
          <w:lang w:val="uz-Latn-UZ"/>
        </w:rPr>
        <w:t>البخاري كتـاب التفسيـر سـورة القصص، فتح البـاري 8</w:t>
      </w:r>
      <w:r w:rsidR="0002035C" w:rsidRPr="00A52585">
        <w:rPr>
          <w:rFonts w:hint="cs"/>
          <w:rtl/>
          <w:lang w:val="uz-Latn-UZ"/>
        </w:rPr>
        <w:t xml:space="preserve">: </w:t>
      </w:r>
      <w:r w:rsidRPr="00A52585">
        <w:rPr>
          <w:rFonts w:hint="cs"/>
          <w:rtl/>
          <w:lang w:val="uz-Latn-UZ"/>
        </w:rPr>
        <w:t>364]</w:t>
      </w:r>
      <w:r w:rsidR="00DB731D" w:rsidRPr="00A52585">
        <w:rPr>
          <w:rFonts w:hint="cs"/>
          <w:rtl/>
          <w:lang w:val="uz-Latn-UZ"/>
        </w:rPr>
        <w:t>،</w:t>
      </w:r>
      <w:r w:rsidRPr="00A52585">
        <w:rPr>
          <w:rFonts w:hint="cs"/>
          <w:rtl/>
          <w:lang w:val="uz-Latn-UZ"/>
        </w:rPr>
        <w:t xml:space="preserve"> </w:t>
      </w:r>
      <w:r w:rsidRPr="00A52585">
        <w:rPr>
          <w:rFonts w:hint="cs"/>
          <w:bCs/>
          <w:rtl/>
          <w:lang w:val="uz-Latn-UZ"/>
        </w:rPr>
        <w:t>وقد تأول الإمام الطبري</w:t>
      </w:r>
      <w:r w:rsidRPr="00A52585">
        <w:rPr>
          <w:rFonts w:hint="cs"/>
          <w:rtl/>
          <w:lang w:val="uz-Latn-UZ"/>
        </w:rPr>
        <w:t xml:space="preserve"> </w:t>
      </w:r>
      <w:r w:rsidR="0002035C" w:rsidRPr="00A52585">
        <w:rPr>
          <w:rFonts w:hint="cs"/>
          <w:rtl/>
          <w:lang w:val="uz-Latn-UZ"/>
        </w:rPr>
        <w:t>(</w:t>
      </w:r>
      <w:r w:rsidRPr="00A52585">
        <w:rPr>
          <w:rFonts w:hint="cs"/>
          <w:rtl/>
          <w:lang w:val="uz-Latn-UZ"/>
        </w:rPr>
        <w:t>العين</w:t>
      </w:r>
      <w:r w:rsidR="0002035C" w:rsidRPr="00A52585">
        <w:rPr>
          <w:rFonts w:hint="cs"/>
          <w:rtl/>
          <w:lang w:val="uz-Latn-UZ"/>
        </w:rPr>
        <w:t>)</w:t>
      </w:r>
      <w:r w:rsidRPr="00A52585">
        <w:rPr>
          <w:rFonts w:hint="cs"/>
          <w:rtl/>
          <w:lang w:val="uz-Latn-UZ"/>
        </w:rPr>
        <w:t xml:space="preserve"> في قوله تعالى </w:t>
      </w:r>
      <w:r w:rsidR="0002035C" w:rsidRPr="00A52585">
        <w:rPr>
          <w:rFonts w:hint="cs"/>
          <w:rtl/>
          <w:lang w:val="uz-Latn-UZ"/>
        </w:rPr>
        <w:t>(</w:t>
      </w:r>
      <w:r w:rsidRPr="00A52585">
        <w:rPr>
          <w:rFonts w:hint="cs"/>
          <w:rtl/>
          <w:lang w:val="uz-Latn-UZ"/>
        </w:rPr>
        <w:t>ولتصنع على عيني</w:t>
      </w:r>
      <w:r w:rsidR="0002035C" w:rsidRPr="00A52585">
        <w:rPr>
          <w:rFonts w:hint="cs"/>
          <w:rtl/>
          <w:lang w:val="uz-Latn-UZ"/>
        </w:rPr>
        <w:t>)</w:t>
      </w:r>
      <w:r w:rsidRPr="00A52585">
        <w:rPr>
          <w:rFonts w:hint="cs"/>
          <w:rtl/>
          <w:lang w:val="uz-Latn-UZ"/>
        </w:rPr>
        <w:t xml:space="preserve"> أي بمرأى مني ومحبة وإرادة </w:t>
      </w:r>
      <w:r w:rsidR="0002035C" w:rsidRPr="00A52585">
        <w:rPr>
          <w:rFonts w:hint="cs"/>
          <w:rtl/>
          <w:lang w:val="uz-Latn-UZ"/>
        </w:rPr>
        <w:t>[</w:t>
      </w:r>
      <w:r w:rsidRPr="00A52585">
        <w:rPr>
          <w:rFonts w:hint="cs"/>
          <w:rtl/>
          <w:lang w:val="uz-Latn-UZ"/>
        </w:rPr>
        <w:t>تفسير الطبري</w:t>
      </w:r>
      <w:r w:rsidR="0002035C" w:rsidRPr="00A52585">
        <w:rPr>
          <w:rFonts w:hint="cs"/>
          <w:rtl/>
          <w:lang w:val="uz-Latn-UZ"/>
        </w:rPr>
        <w:t xml:space="preserve"> (</w:t>
      </w:r>
      <w:r w:rsidRPr="00A52585">
        <w:rPr>
          <w:rFonts w:hint="cs"/>
          <w:rtl/>
          <w:lang w:val="uz-Latn-UZ"/>
        </w:rPr>
        <w:t>16</w:t>
      </w:r>
      <w:r w:rsidR="0002035C" w:rsidRPr="00A52585">
        <w:rPr>
          <w:rFonts w:hint="cs"/>
          <w:rtl/>
          <w:lang w:val="uz-Latn-UZ"/>
        </w:rPr>
        <w:t xml:space="preserve">: </w:t>
      </w:r>
      <w:r w:rsidRPr="00A52585">
        <w:rPr>
          <w:rFonts w:hint="cs"/>
          <w:rtl/>
          <w:lang w:val="uz-Latn-UZ"/>
        </w:rPr>
        <w:t>123</w:t>
      </w:r>
      <w:r w:rsidR="0002035C" w:rsidRPr="00A52585">
        <w:rPr>
          <w:rFonts w:hint="cs"/>
          <w:rtl/>
          <w:lang w:val="uz-Latn-UZ"/>
        </w:rPr>
        <w:t>)]</w:t>
      </w:r>
      <w:r w:rsidR="00DB731D" w:rsidRPr="00A52585">
        <w:rPr>
          <w:rFonts w:hint="cs"/>
          <w:rtl/>
          <w:lang w:val="uz-Latn-UZ"/>
        </w:rPr>
        <w:t>،</w:t>
      </w:r>
      <w:r w:rsidRPr="00A52585">
        <w:rPr>
          <w:rFonts w:hint="cs"/>
          <w:rtl/>
          <w:lang w:val="uz-Latn-UZ"/>
        </w:rPr>
        <w:t xml:space="preserve"> وتأول </w:t>
      </w:r>
      <w:r w:rsidR="0002035C" w:rsidRPr="00A52585">
        <w:rPr>
          <w:rFonts w:hint="cs"/>
          <w:rtl/>
          <w:lang w:val="uz-Latn-UZ"/>
        </w:rPr>
        <w:t>(</w:t>
      </w:r>
      <w:r w:rsidRPr="00A52585">
        <w:rPr>
          <w:rFonts w:hint="cs"/>
          <w:rtl/>
          <w:lang w:val="uz-Latn-UZ"/>
        </w:rPr>
        <w:t>الاستواء</w:t>
      </w:r>
      <w:r w:rsidR="0002035C" w:rsidRPr="00A52585">
        <w:rPr>
          <w:rFonts w:hint="cs"/>
          <w:rtl/>
          <w:lang w:val="uz-Latn-UZ"/>
        </w:rPr>
        <w:t>)</w:t>
      </w:r>
      <w:r w:rsidRPr="00A52585">
        <w:rPr>
          <w:rFonts w:hint="cs"/>
          <w:rtl/>
          <w:lang w:val="uz-Latn-UZ"/>
        </w:rPr>
        <w:t xml:space="preserve"> بقوله</w:t>
      </w:r>
      <w:r w:rsidR="0002035C" w:rsidRPr="00A52585">
        <w:rPr>
          <w:rFonts w:hint="cs"/>
          <w:rtl/>
          <w:lang w:val="uz-Latn-UZ"/>
        </w:rPr>
        <w:t xml:space="preserve"> (</w:t>
      </w:r>
      <w:r w:rsidRPr="00A52585">
        <w:rPr>
          <w:rFonts w:hint="cs"/>
          <w:rtl/>
          <w:lang w:val="uz-Latn-UZ"/>
        </w:rPr>
        <w:t>علا عليهن وارتفع، فدبرهن بقدرته....علا عليها علو ملك وسلطان، لا علو انتقال وزوال</w:t>
      </w:r>
      <w:r w:rsidR="0002035C" w:rsidRPr="00A52585">
        <w:rPr>
          <w:rFonts w:hint="cs"/>
          <w:rtl/>
          <w:lang w:val="uz-Latn-UZ"/>
        </w:rPr>
        <w:t>) [</w:t>
      </w:r>
      <w:r w:rsidRPr="00A52585">
        <w:rPr>
          <w:rFonts w:hint="cs"/>
          <w:rtl/>
          <w:lang w:val="uz-Latn-UZ"/>
        </w:rPr>
        <w:t>تفسير الطبري</w:t>
      </w:r>
      <w:r w:rsidR="0002035C" w:rsidRPr="00A52585">
        <w:rPr>
          <w:rFonts w:hint="cs"/>
          <w:rtl/>
          <w:lang w:val="uz-Latn-UZ"/>
        </w:rPr>
        <w:t>: (</w:t>
      </w:r>
      <w:r w:rsidRPr="00A52585">
        <w:rPr>
          <w:rFonts w:hint="cs"/>
          <w:rtl/>
          <w:lang w:val="uz-Latn-UZ"/>
        </w:rPr>
        <w:t>1</w:t>
      </w:r>
      <w:r w:rsidR="0002035C" w:rsidRPr="00A52585">
        <w:rPr>
          <w:rFonts w:hint="cs"/>
          <w:rtl/>
          <w:lang w:val="uz-Latn-UZ"/>
        </w:rPr>
        <w:t xml:space="preserve">: </w:t>
      </w:r>
      <w:r w:rsidRPr="00A52585">
        <w:rPr>
          <w:rFonts w:hint="cs"/>
          <w:rtl/>
          <w:lang w:val="uz-Latn-UZ"/>
        </w:rPr>
        <w:t>192</w:t>
      </w:r>
      <w:r w:rsidR="0002035C" w:rsidRPr="00A52585">
        <w:rPr>
          <w:rFonts w:hint="cs"/>
          <w:rtl/>
          <w:lang w:val="uz-Latn-UZ"/>
        </w:rPr>
        <w:t>)]</w:t>
      </w:r>
      <w:r w:rsidR="00DB731D" w:rsidRPr="00A52585">
        <w:rPr>
          <w:rFonts w:hint="cs"/>
          <w:rtl/>
        </w:rPr>
        <w:t>،</w:t>
      </w:r>
      <w:r w:rsidRPr="00A52585">
        <w:rPr>
          <w:rFonts w:hint="cs"/>
          <w:bCs/>
          <w:rtl/>
        </w:rPr>
        <w:t xml:space="preserve"> </w:t>
      </w:r>
      <w:r w:rsidR="0002035C" w:rsidRPr="00A52585">
        <w:rPr>
          <w:rFonts w:hint="cs"/>
          <w:bCs/>
          <w:rtl/>
        </w:rPr>
        <w:t>(</w:t>
      </w:r>
      <w:r w:rsidRPr="00A52585">
        <w:rPr>
          <w:rFonts w:hint="cs"/>
          <w:bCs/>
          <w:rtl/>
          <w:lang w:val="uz-Latn-UZ"/>
        </w:rPr>
        <w:t>قلت</w:t>
      </w:r>
      <w:r w:rsidR="0002035C" w:rsidRPr="00A52585">
        <w:rPr>
          <w:rFonts w:hint="cs"/>
          <w:bCs/>
          <w:rtl/>
          <w:lang w:val="uz-Latn-UZ"/>
        </w:rPr>
        <w:t>)</w:t>
      </w:r>
      <w:r w:rsidRPr="00A52585">
        <w:rPr>
          <w:rFonts w:hint="cs"/>
          <w:bCs/>
          <w:rtl/>
          <w:lang w:val="uz-Latn-UZ"/>
        </w:rPr>
        <w:t xml:space="preserve"> ومنه يتبين أنّ للسلف الصالح في المتشابهات مسلكان</w:t>
      </w:r>
      <w:r w:rsidR="00DB731D" w:rsidRPr="00A52585">
        <w:rPr>
          <w:rFonts w:hint="cs"/>
          <w:bCs/>
          <w:rtl/>
          <w:lang w:val="uz-Latn-UZ"/>
        </w:rPr>
        <w:t>،</w:t>
      </w:r>
      <w:r w:rsidRPr="00A52585">
        <w:rPr>
          <w:rFonts w:hint="cs"/>
          <w:bCs/>
          <w:rtl/>
          <w:lang w:val="uz-Latn-UZ"/>
        </w:rPr>
        <w:t xml:space="preserve"> وكلاهما يخدم التقديس والتنزيه</w:t>
      </w:r>
      <w:r w:rsidR="00DB731D" w:rsidRPr="00A52585">
        <w:rPr>
          <w:rFonts w:hint="cs"/>
          <w:bCs/>
          <w:rtl/>
          <w:lang w:val="uz-Latn-UZ"/>
        </w:rPr>
        <w:t>،</w:t>
      </w:r>
      <w:r w:rsidRPr="00A52585">
        <w:rPr>
          <w:rFonts w:hint="cs"/>
          <w:bCs/>
          <w:rtl/>
          <w:lang w:val="uz-Latn-UZ"/>
        </w:rPr>
        <w:t xml:space="preserve"> الأول تفويض المعنى والثاني حمل الكلام على ما يقتضيه سياق الآيات من البلاغة والمجاز</w:t>
      </w:r>
      <w:r w:rsidR="00DB731D" w:rsidRPr="00A52585">
        <w:rPr>
          <w:rFonts w:hint="cs"/>
          <w:bCs/>
          <w:rtl/>
          <w:lang w:val="uz-Latn-UZ"/>
        </w:rPr>
        <w:t>،</w:t>
      </w:r>
      <w:r w:rsidRPr="00A52585">
        <w:rPr>
          <w:rFonts w:hint="cs"/>
          <w:bCs/>
          <w:rtl/>
          <w:lang w:val="uz-Latn-UZ"/>
        </w:rPr>
        <w:t xml:space="preserve"> </w:t>
      </w:r>
    </w:p>
    <w:p w14:paraId="3C52D451" w14:textId="77777777" w:rsidR="00777DCB" w:rsidRPr="00A52585" w:rsidRDefault="00777DCB" w:rsidP="0002035C">
      <w:pPr>
        <w:spacing w:before="240" w:after="240"/>
        <w:jc w:val="center"/>
        <w:rPr>
          <w:b/>
        </w:rPr>
      </w:pPr>
      <w:r w:rsidRPr="00A52585">
        <w:rPr>
          <w:rFonts w:hint="cs"/>
          <w:rtl/>
        </w:rPr>
        <w:t xml:space="preserve">*** </w:t>
      </w:r>
    </w:p>
    <w:p w14:paraId="50A7FA98" w14:textId="77777777" w:rsidR="00777DCB" w:rsidRPr="00A52585" w:rsidRDefault="00777DCB" w:rsidP="0002035C">
      <w:pPr>
        <w:jc w:val="center"/>
        <w:rPr>
          <w:rtl/>
        </w:rPr>
      </w:pPr>
    </w:p>
    <w:p w14:paraId="3FF67FE2" w14:textId="7B19C9BE" w:rsidR="00777DCB" w:rsidRPr="00A52585" w:rsidRDefault="00777DCB" w:rsidP="00185A91">
      <w:pPr>
        <w:pStyle w:val="1"/>
        <w:rPr>
          <w:u w:val="none"/>
          <w:rtl/>
          <w:lang w:bidi="ar-KW"/>
        </w:rPr>
      </w:pPr>
      <w:r w:rsidRPr="00A52585">
        <w:rPr>
          <w:u w:val="none"/>
          <w:rtl/>
          <w:lang w:bidi="ar-KW"/>
        </w:rPr>
        <w:t>الفصل الثالث</w:t>
      </w:r>
      <w:r w:rsidR="00185A91" w:rsidRPr="00A52585">
        <w:rPr>
          <w:rFonts w:hint="cs"/>
          <w:u w:val="none"/>
          <w:rtl/>
          <w:lang w:bidi="ar-KW"/>
        </w:rPr>
        <w:t xml:space="preserve"> </w:t>
      </w:r>
      <w:r w:rsidRPr="00A52585">
        <w:rPr>
          <w:u w:val="none"/>
          <w:rtl/>
          <w:lang w:bidi="ar-KW"/>
        </w:rPr>
        <w:t>خطأ اعتماد ظواهر النصوص في فهم علم التقديس والتنزيه</w:t>
      </w:r>
    </w:p>
    <w:p w14:paraId="5E7DCE48" w14:textId="77777777" w:rsidR="00777DCB" w:rsidRPr="00A52585" w:rsidRDefault="00777DCB" w:rsidP="0002035C">
      <w:pPr>
        <w:jc w:val="center"/>
        <w:rPr>
          <w:rtl/>
        </w:rPr>
      </w:pPr>
    </w:p>
    <w:p w14:paraId="1B5F9A38" w14:textId="7F3665D6" w:rsidR="00777DCB" w:rsidRPr="00A52585" w:rsidRDefault="00777DCB" w:rsidP="0002035C">
      <w:pPr>
        <w:spacing w:before="240" w:after="240"/>
        <w:rPr>
          <w:bCs/>
        </w:rPr>
      </w:pPr>
      <w:r w:rsidRPr="00A52585">
        <w:rPr>
          <w:rFonts w:hint="cs"/>
          <w:bCs/>
          <w:rtl/>
        </w:rPr>
        <w:t>قال القرطبي رحمه الله - في درة من كلامه -</w:t>
      </w:r>
      <w:r w:rsidR="0002035C" w:rsidRPr="00A52585">
        <w:rPr>
          <w:rFonts w:hint="cs"/>
          <w:bCs/>
          <w:rtl/>
        </w:rPr>
        <w:t>:</w:t>
      </w:r>
      <w:r w:rsidRPr="00A52585">
        <w:rPr>
          <w:rFonts w:hint="cs"/>
          <w:rtl/>
        </w:rPr>
        <w:t xml:space="preserve"> " اعتقاد ظواهر المتشابه كما فعلته</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المجسمة</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02035C" w:rsidRPr="00A52585">
        <w:rPr>
          <w:rFonts w:hint="cs"/>
          <w:rtl/>
        </w:rPr>
        <w:t>[</w:t>
      </w:r>
      <w:r w:rsidRPr="00A52585">
        <w:rPr>
          <w:rFonts w:hint="cs"/>
          <w:rtl/>
        </w:rPr>
        <w:t>تفسير القرطبي ج:4 ص:14</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وكلامه غاية في الصواب</w:t>
      </w:r>
      <w:r w:rsidR="0002035C" w:rsidRPr="00A52585">
        <w:rPr>
          <w:rFonts w:hint="cs"/>
          <w:rtl/>
        </w:rPr>
        <w:t>:</w:t>
      </w:r>
      <w:r w:rsidRPr="00A52585">
        <w:rPr>
          <w:rFonts w:hint="cs"/>
          <w:rtl/>
        </w:rPr>
        <w:t xml:space="preserve"> </w:t>
      </w:r>
      <w:r w:rsidRPr="00A52585">
        <w:rPr>
          <w:rFonts w:hint="cs"/>
          <w:bCs/>
          <w:rtl/>
        </w:rPr>
        <w:t>إذ هناك آيات ظاهرها يدل على حدوث علم الله</w:t>
      </w:r>
      <w:r w:rsidR="00DB731D" w:rsidRPr="00A52585">
        <w:rPr>
          <w:rFonts w:hint="cs"/>
          <w:rtl/>
        </w:rPr>
        <w:t>،</w:t>
      </w:r>
      <w:r w:rsidRPr="00A52585">
        <w:rPr>
          <w:rFonts w:hint="cs"/>
          <w:rtl/>
        </w:rPr>
        <w:t xml:space="preserve"> واعتقاد هذا الظاهر كفر بالله تعالى وصفاته القديمة الكاملة</w:t>
      </w:r>
      <w:r w:rsidR="00DB731D" w:rsidRPr="00A52585">
        <w:rPr>
          <w:rFonts w:hint="cs"/>
          <w:rtl/>
        </w:rPr>
        <w:t>،</w:t>
      </w:r>
      <w:r w:rsidRPr="00A52585">
        <w:rPr>
          <w:rFonts w:hint="cs"/>
          <w:rtl/>
        </w:rPr>
        <w:t xml:space="preserve"> لأنّ علم الله تعالى قديم</w:t>
      </w:r>
      <w:r w:rsidR="00DB731D" w:rsidRPr="00A52585">
        <w:rPr>
          <w:rFonts w:hint="cs"/>
          <w:rtl/>
        </w:rPr>
        <w:t>،</w:t>
      </w:r>
      <w:r w:rsidRPr="00A52585">
        <w:rPr>
          <w:rFonts w:hint="cs"/>
          <w:rtl/>
        </w:rPr>
        <w:t xml:space="preserve"> يعلم ما كان وما يكون </w:t>
      </w:r>
      <w:r w:rsidRPr="00A52585">
        <w:rPr>
          <w:rFonts w:hint="cs"/>
          <w:rtl/>
        </w:rPr>
        <w:lastRenderedPageBreak/>
        <w:t>وما سيكون</w:t>
      </w:r>
      <w:r w:rsidR="00DB731D" w:rsidRPr="00A52585">
        <w:rPr>
          <w:rFonts w:hint="cs"/>
          <w:rtl/>
        </w:rPr>
        <w:t>،</w:t>
      </w:r>
      <w:r w:rsidRPr="00A52585">
        <w:rPr>
          <w:rFonts w:hint="cs"/>
          <w:rtl/>
        </w:rPr>
        <w:t xml:space="preserve"> لا يعزب عن علمه شيء في الماضي أو الحاضر أو المستقبل</w:t>
      </w:r>
      <w:r w:rsidR="00DB731D" w:rsidRPr="00A52585">
        <w:rPr>
          <w:rFonts w:hint="cs"/>
          <w:rtl/>
        </w:rPr>
        <w:t>،</w:t>
      </w:r>
      <w:r w:rsidRPr="00A52585">
        <w:rPr>
          <w:rFonts w:hint="cs"/>
          <w:rtl/>
        </w:rPr>
        <w:t xml:space="preserve"> وهذه عقيده المسلمين جميعا من خالفها كفر والعياذ بالله</w:t>
      </w:r>
      <w:r w:rsidR="00DB731D" w:rsidRPr="00A52585">
        <w:rPr>
          <w:rFonts w:hint="cs"/>
          <w:rtl/>
        </w:rPr>
        <w:t>،</w:t>
      </w:r>
      <w:r w:rsidRPr="00A52585">
        <w:rPr>
          <w:rFonts w:hint="cs"/>
          <w:rtl/>
        </w:rPr>
        <w:t xml:space="preserve"> ومن هذه الآيات</w:t>
      </w:r>
      <w:r w:rsidR="00DB731D"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أَمْ حَسِبْتُمْ</w:t>
      </w:r>
      <w:r w:rsidRPr="00A52585">
        <w:rPr>
          <w:rFonts w:hint="cs"/>
        </w:rPr>
        <w:t xml:space="preserve"> </w:t>
      </w:r>
      <w:r w:rsidRPr="00A52585">
        <w:rPr>
          <w:rFonts w:hint="cs"/>
          <w:rtl/>
        </w:rPr>
        <w:t>أَن تَدْخُلُواْ الْجَنَّةَ وَلَمَّا يَعْلَمِ اللّهُ الَّذِينَ جَاهَدُواْ</w:t>
      </w:r>
      <w:r w:rsidRPr="00A52585">
        <w:rPr>
          <w:rFonts w:hint="cs"/>
        </w:rPr>
        <w:t xml:space="preserve"> </w:t>
      </w:r>
      <w:r w:rsidRPr="00A52585">
        <w:rPr>
          <w:rFonts w:hint="cs"/>
          <w:rtl/>
        </w:rPr>
        <w:t>مِنكُمْ وَيَعْلَمَ الصَّابِرِينَ {142}}</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 أَصَابَكُمْ يَوْمَ الْتَقَى الْجَمْعَانِ فَبِإِذْنِ اللّهِ وَلِيَعْلَمَ الْمُؤْمِنِينَ *</w:t>
      </w:r>
      <w:r w:rsidR="0002035C" w:rsidRPr="00A52585">
        <w:rPr>
          <w:rFonts w:hint="cs"/>
          <w:rtl/>
        </w:rPr>
        <w:t xml:space="preserve"> </w:t>
      </w:r>
      <w:r w:rsidRPr="00A52585">
        <w:rPr>
          <w:rFonts w:hint="cs"/>
          <w:rtl/>
        </w:rPr>
        <w:t>وَلْيَعْلَمَ الَّذِينَ نَافَقُواْ</w:t>
      </w:r>
      <w:r w:rsidR="0002035C" w:rsidRPr="00A52585">
        <w:rPr>
          <w:rFonts w:hint="cs"/>
          <w:rtl/>
        </w:rPr>
        <w:t xml:space="preserve"> </w:t>
      </w:r>
      <w:r w:rsidRPr="00A52585">
        <w:rPr>
          <w:rFonts w:hint="cs"/>
          <w:rtl/>
        </w:rPr>
        <w:t>{167،،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أَيُّهَا</w:t>
      </w:r>
      <w:r w:rsidRPr="00A52585">
        <w:rPr>
          <w:rFonts w:hint="cs"/>
        </w:rPr>
        <w:t xml:space="preserve"> </w:t>
      </w:r>
      <w:r w:rsidRPr="00A52585">
        <w:rPr>
          <w:rFonts w:hint="cs"/>
          <w:rtl/>
        </w:rPr>
        <w:t>الَّذِينَ آمَنُواْ لَيَبْلُوَنَّكُمُ اللّهُ بِشَيْءٍ مِّنَ الصَّيْدِ تَنَالُهُ</w:t>
      </w:r>
      <w:r w:rsidRPr="00A52585">
        <w:rPr>
          <w:rFonts w:hint="cs"/>
        </w:rPr>
        <w:t xml:space="preserve"> </w:t>
      </w:r>
      <w:r w:rsidRPr="00A52585">
        <w:rPr>
          <w:rFonts w:hint="cs"/>
          <w:rtl/>
        </w:rPr>
        <w:t>أَيْدِيكُمْ وَرِمَاحُكُمْ لِيَعْلَمَ اللّهُ مَن يَخَافُهُ بِالْغَيْبِ فَمَنِ</w:t>
      </w:r>
      <w:r w:rsidRPr="00A52585">
        <w:rPr>
          <w:rFonts w:hint="cs"/>
        </w:rPr>
        <w:t xml:space="preserve"> </w:t>
      </w:r>
      <w:r w:rsidRPr="00A52585">
        <w:rPr>
          <w:rFonts w:hint="cs"/>
          <w:rtl/>
        </w:rPr>
        <w:t>اعْتَدَى بَعْدَ ذَلِكَ فَلَهُ عَذَابٌ أَلِيمٌ {94}</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الآنَ خَفَّفَ اللّهُ عَنكُمْ وَعَلِمَ</w:t>
      </w:r>
      <w:r w:rsidRPr="00A52585">
        <w:rPr>
          <w:rFonts w:hint="cs"/>
        </w:rPr>
        <w:t xml:space="preserve"> </w:t>
      </w:r>
      <w:r w:rsidRPr="00A52585">
        <w:rPr>
          <w:rFonts w:hint="cs"/>
          <w:rtl/>
        </w:rPr>
        <w:t>أَنَّ فِيكُمْ ضَعْفًا فَإِن يَكُن مِّنكُم مِّئَةٌ صَابِرَةٌ يَغْلِبُواْ</w:t>
      </w:r>
      <w:r w:rsidRPr="00A52585">
        <w:rPr>
          <w:rFonts w:hint="cs"/>
        </w:rPr>
        <w:t xml:space="preserve"> </w:t>
      </w:r>
      <w:r w:rsidRPr="00A52585">
        <w:rPr>
          <w:rFonts w:hint="cs"/>
          <w:rtl/>
        </w:rPr>
        <w:t>مِئَتَيْنِ وَإِن يَكُن مِّنكُمْ أَلْفٌ يَغْلِبُواْ أَلْفَيْنِ بِإِذْنِ</w:t>
      </w:r>
      <w:r w:rsidRPr="00A52585">
        <w:rPr>
          <w:rFonts w:hint="cs"/>
        </w:rPr>
        <w:t xml:space="preserve"> </w:t>
      </w:r>
      <w:r w:rsidRPr="00A52585">
        <w:rPr>
          <w:rFonts w:hint="cs"/>
          <w:rtl/>
        </w:rPr>
        <w:t>اللّهِ وَاللّهُ مَعَ الصَّابِرِينَ {66}</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w:t>
      </w:r>
      <w:r w:rsidRPr="00A52585">
        <w:rPr>
          <w:rFonts w:hint="cs"/>
        </w:rPr>
        <w:t xml:space="preserve"> </w:t>
      </w:r>
      <w:r w:rsidRPr="00A52585">
        <w:rPr>
          <w:rFonts w:hint="cs"/>
          <w:rtl/>
        </w:rPr>
        <w:t>أَيُّهَا النَّبِيُّ قُل لِّمَن</w:t>
      </w:r>
      <w:r w:rsidRPr="00A52585">
        <w:rPr>
          <w:rFonts w:hint="cs"/>
        </w:rPr>
        <w:t xml:space="preserve"> </w:t>
      </w:r>
      <w:r w:rsidRPr="00A52585">
        <w:rPr>
          <w:rFonts w:hint="cs"/>
          <w:rtl/>
        </w:rPr>
        <w:t>فِي أَيْدِيكُم مِّنَ الأَسْرَى إِن يَعْلَمِ اللّهُ فِي قُلُوبِكُمْ خَيْرًا</w:t>
      </w:r>
      <w:r w:rsidRPr="00A52585">
        <w:rPr>
          <w:rFonts w:hint="cs"/>
        </w:rPr>
        <w:t xml:space="preserve"> </w:t>
      </w:r>
      <w:r w:rsidRPr="00A52585">
        <w:rPr>
          <w:rFonts w:hint="cs"/>
          <w:rtl/>
        </w:rPr>
        <w:t>يُؤْتِكُمْ خَيْرًا مِّمَّا أُخِذَ مِنكُمْ وَيَغْفِرْ لَكُمْ وَاللّهُ غَفُورٌ</w:t>
      </w:r>
      <w:r w:rsidRPr="00A52585">
        <w:rPr>
          <w:rFonts w:hint="cs"/>
        </w:rPr>
        <w:t xml:space="preserve"> </w:t>
      </w:r>
      <w:r w:rsidRPr="00A52585">
        <w:rPr>
          <w:rFonts w:hint="cs"/>
          <w:rtl/>
        </w:rPr>
        <w:t>رَّحِيمٌ {70}</w:t>
      </w:r>
      <w:r w:rsidR="00DB731D" w:rsidRPr="00A52585">
        <w:rPr>
          <w:rFonts w:hint="cs"/>
          <w:rtl/>
        </w:rPr>
        <w:t>،</w:t>
      </w:r>
      <w:r w:rsidRPr="00A52585">
        <w:rPr>
          <w:rFonts w:hint="cs"/>
          <w:rtl/>
        </w:rPr>
        <w:t xml:space="preserve"> وقوله تعالى</w:t>
      </w:r>
      <w:r w:rsidR="0002035C" w:rsidRPr="00A52585">
        <w:rPr>
          <w:rFonts w:hint="cs"/>
          <w:rtl/>
        </w:rPr>
        <w:t>: {</w:t>
      </w:r>
      <w:r w:rsidRPr="00A52585">
        <w:rPr>
          <w:rFonts w:hint="cs"/>
          <w:rtl/>
        </w:rPr>
        <w:t>أَمْ حَسِبْتُمْ أَن تُتْرَكُواْ وَلَمَّا</w:t>
      </w:r>
      <w:r w:rsidRPr="00A52585">
        <w:rPr>
          <w:rFonts w:hint="cs"/>
        </w:rPr>
        <w:t xml:space="preserve"> </w:t>
      </w:r>
      <w:r w:rsidRPr="00A52585">
        <w:rPr>
          <w:rFonts w:hint="cs"/>
          <w:rtl/>
        </w:rPr>
        <w:t>يَعْلَمِ اللّهُ الَّذِينَ جَاهَدُواْ مِنكُمْ وَلَمْ يَتَّخِذُواْ مِن دُونِ</w:t>
      </w:r>
      <w:r w:rsidRPr="00A52585">
        <w:rPr>
          <w:rFonts w:hint="cs"/>
        </w:rPr>
        <w:t xml:space="preserve"> </w:t>
      </w:r>
      <w:r w:rsidRPr="00A52585">
        <w:rPr>
          <w:rFonts w:hint="cs"/>
          <w:rtl/>
        </w:rPr>
        <w:t>اللّهِ وَلاَ رَسُولِهِ وَلاَ الْمُؤْمِنِينَ وَلِيجَةً وَاللّهُ خَبِيرٌ بِمَا</w:t>
      </w:r>
      <w:r w:rsidRPr="00A52585">
        <w:rPr>
          <w:rFonts w:hint="cs"/>
        </w:rPr>
        <w:t xml:space="preserve"> </w:t>
      </w:r>
      <w:r w:rsidRPr="00A52585">
        <w:rPr>
          <w:rFonts w:hint="cs"/>
          <w:rtl/>
        </w:rPr>
        <w:t>تَعْمَلُونَ {16}</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Pr="00A52585">
        <w:rPr>
          <w:rFonts w:hint="cs"/>
          <w:rtl/>
        </w:rPr>
        <w:t xml:space="preserve"> قال الطبري في تفسير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إلا لنعلم من يتبع الرسول} " معنى</w:t>
      </w:r>
      <w:r w:rsidR="0002035C" w:rsidRPr="00A52585">
        <w:rPr>
          <w:rFonts w:hint="cs"/>
          <w:rtl/>
        </w:rPr>
        <w:t>:</w:t>
      </w:r>
      <w:r w:rsidRPr="00A52585">
        <w:rPr>
          <w:rFonts w:hint="cs"/>
          <w:rtl/>
        </w:rPr>
        <w:t xml:space="preserve"> يعلم أوليائي وحزبي " أهـ</w:t>
      </w:r>
      <w:r w:rsidR="00DB731D" w:rsidRPr="00A52585">
        <w:rPr>
          <w:rFonts w:hint="cs"/>
          <w:rtl/>
        </w:rPr>
        <w:t>،</w:t>
      </w:r>
      <w:r w:rsidRPr="00A52585">
        <w:rPr>
          <w:rFonts w:hint="cs"/>
          <w:rtl/>
        </w:rPr>
        <w:t xml:space="preserve"> وقال البيضاوي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ج: 1 ص: 418</w:t>
      </w:r>
      <w:r w:rsidR="0002035C" w:rsidRPr="00A52585">
        <w:rPr>
          <w:rFonts w:hint="cs"/>
          <w:rtl/>
        </w:rPr>
        <w:t>]</w:t>
      </w:r>
      <w:r w:rsidRPr="00A52585">
        <w:rPr>
          <w:rFonts w:hint="cs"/>
          <w:rtl/>
        </w:rPr>
        <w:t xml:space="preserve"> " ليعلم رسوله والمؤمنون لكنه أسنده إلى نفسه لأنهم خواصه " أهـ</w:t>
      </w:r>
      <w:r w:rsidR="00DB731D" w:rsidRPr="00A52585">
        <w:rPr>
          <w:rFonts w:hint="cs"/>
          <w:rtl/>
        </w:rPr>
        <w:t>،</w:t>
      </w:r>
      <w:r w:rsidRPr="00A52585">
        <w:rPr>
          <w:rFonts w:hint="cs"/>
          <w:rtl/>
        </w:rPr>
        <w:t xml:space="preserve"> وقال القرطبي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ج: 2 ص: 156</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المعنى إلا لتعلموا أننا نعلم فإن المنافقين كانوا في شك من علم الله تعالى بالأشياء قبل كونها</w:t>
      </w:r>
      <w:r w:rsidR="00897A24" w:rsidRPr="00A52585">
        <w:rPr>
          <w:rFonts w:hint="cs"/>
          <w:rtl/>
        </w:rPr>
        <w:t>.</w:t>
      </w:r>
      <w:r w:rsidRPr="00A52585">
        <w:rPr>
          <w:rFonts w:hint="cs"/>
          <w:rtl/>
        </w:rPr>
        <w:t>. وقيل</w:t>
      </w:r>
      <w:r w:rsidR="0002035C" w:rsidRPr="00A52585">
        <w:rPr>
          <w:rFonts w:hint="cs"/>
          <w:rtl/>
        </w:rPr>
        <w:t xml:space="preserve"> </w:t>
      </w:r>
      <w:r w:rsidRPr="00A52585">
        <w:rPr>
          <w:rFonts w:hint="cs"/>
          <w:rtl/>
        </w:rPr>
        <w:t>المعنى إلا ليعلم النبي وأتباعه وأخبر تعالى بذلك عن نفسه كما يقال فعل الأمير كذا وإنما فعله أتباعه " أهـ</w:t>
      </w:r>
      <w:r w:rsidR="00DB731D" w:rsidRPr="00A52585">
        <w:rPr>
          <w:rFonts w:hint="cs"/>
          <w:rtl/>
        </w:rPr>
        <w:t>،</w:t>
      </w:r>
      <w:r w:rsidRPr="00A52585">
        <w:rPr>
          <w:rFonts w:hint="cs"/>
          <w:rtl/>
        </w:rPr>
        <w:t xml:space="preserve"> وقال أبو السعود في تفسيره</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02035C" w:rsidRPr="00A52585">
        <w:rPr>
          <w:rFonts w:hint="cs"/>
          <w:rtl/>
        </w:rPr>
        <w:t xml:space="preserve"> </w:t>
      </w:r>
      <w:r w:rsidRPr="00A52585">
        <w:rPr>
          <w:rFonts w:hint="cs"/>
          <w:rtl/>
        </w:rPr>
        <w:t>ج: 1 ص: 173</w:t>
      </w:r>
      <w:r w:rsidR="0002035C" w:rsidRPr="00A52585">
        <w:rPr>
          <w:rFonts w:hint="cs"/>
          <w:rtl/>
        </w:rPr>
        <w:t>]</w:t>
      </w:r>
      <w:r w:rsidR="00DB731D" w:rsidRPr="00A52585">
        <w:rPr>
          <w:rFonts w:hint="cs"/>
          <w:rtl/>
        </w:rPr>
        <w:t>،</w:t>
      </w:r>
      <w:r w:rsidRPr="00A52585">
        <w:rPr>
          <w:rFonts w:hint="cs"/>
          <w:rtl/>
        </w:rPr>
        <w:t xml:space="preserve"> وقال ابن كثير في تفسير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ليعلم أن قد أبلغوا رسالات ربهم</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ليعلم أن قد أبلغوا رسالات ربهم ويكون ذلك كقوله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 جعلنا القبلة التي كنت عليها إلا لنعلم من يتبع الرسول ممن ينقلب على عقبيه</w:t>
      </w:r>
      <w:r w:rsidR="0002035C" w:rsidRPr="00A52585">
        <w:rPr>
          <w:rFonts w:hint="cs"/>
          <w:rtl/>
        </w:rPr>
        <w:t>}</w:t>
      </w:r>
      <w:r w:rsidR="00DB731D" w:rsidRPr="00A52585">
        <w:rPr>
          <w:rFonts w:hint="cs"/>
          <w:rtl/>
        </w:rPr>
        <w:t>،</w:t>
      </w:r>
      <w:r w:rsidRPr="00A52585">
        <w:rPr>
          <w:rFonts w:hint="cs"/>
          <w:rtl/>
        </w:rPr>
        <w:t xml:space="preserve"> وكقوله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وليعلمن الله الذين آمنوا وليعلمن المنافقين</w:t>
      </w:r>
      <w:r w:rsidR="0002035C" w:rsidRPr="00A52585">
        <w:rPr>
          <w:rFonts w:hint="cs"/>
          <w:rtl/>
        </w:rPr>
        <w:t>}</w:t>
      </w:r>
      <w:r w:rsidR="00DB731D" w:rsidRPr="00A52585">
        <w:rPr>
          <w:rFonts w:hint="cs"/>
          <w:rtl/>
        </w:rPr>
        <w:t>،</w:t>
      </w:r>
      <w:r w:rsidRPr="00A52585">
        <w:rPr>
          <w:rFonts w:hint="cs"/>
          <w:rtl/>
        </w:rPr>
        <w:t xml:space="preserve"> إلى أمثال ذلك من العلم بأنه تعالى يعلم الأشياء قبل كونها قطعا لامحالة ولهذا قال بعد هذا</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وأحاط بما لديهم وأحصى كل شيء عددا</w:t>
      </w:r>
      <w:r w:rsidR="0002035C" w:rsidRPr="00A52585">
        <w:rPr>
          <w:rFonts w:hint="cs"/>
          <w:rtl/>
        </w:rPr>
        <w:t>}</w:t>
      </w:r>
      <w:r w:rsidRPr="00A52585">
        <w:rPr>
          <w:rFonts w:hint="cs"/>
          <w:rtl/>
        </w:rPr>
        <w:t xml:space="preserve"> " أهـ</w:t>
      </w:r>
      <w:r w:rsidR="0002035C" w:rsidRPr="00A52585">
        <w:rPr>
          <w:rFonts w:hint="cs"/>
          <w:rtl/>
        </w:rPr>
        <w:t xml:space="preserve"> </w:t>
      </w:r>
      <w:r w:rsidRPr="00A52585">
        <w:rPr>
          <w:rFonts w:hint="cs"/>
          <w:rtl/>
        </w:rPr>
        <w:t>[تفسير ابن كثير ج: 4 ص: 434]</w:t>
      </w:r>
      <w:r w:rsidR="00DB731D" w:rsidRPr="00A52585">
        <w:rPr>
          <w:rFonts w:hint="cs"/>
          <w:rtl/>
        </w:rPr>
        <w:t>،</w:t>
      </w:r>
      <w:r w:rsidRPr="00A52585">
        <w:rPr>
          <w:rFonts w:hint="cs"/>
          <w:rtl/>
        </w:rPr>
        <w:t xml:space="preserve"> </w:t>
      </w:r>
      <w:r w:rsidRPr="00A52585">
        <w:rPr>
          <w:rFonts w:hint="cs"/>
          <w:bCs/>
          <w:rtl/>
        </w:rPr>
        <w:t>وهناك آيات ظاهرها جواز النسيان على الله تعالى</w:t>
      </w:r>
      <w:r w:rsidR="00DB731D" w:rsidRPr="00A52585">
        <w:rPr>
          <w:rFonts w:hint="cs"/>
          <w:bCs/>
          <w:rtl/>
        </w:rPr>
        <w:t>،</w:t>
      </w:r>
      <w:r w:rsidRPr="00A52585">
        <w:rPr>
          <w:rFonts w:hint="cs"/>
          <w:rtl/>
        </w:rPr>
        <w:t xml:space="preserve"> واعتقاد هذا الظاهر كفر بالله تعالى لأنّ الله تعالى لا يضل ولا ينسى</w:t>
      </w:r>
      <w:r w:rsidR="00DB731D" w:rsidRPr="00A52585">
        <w:rPr>
          <w:rFonts w:hint="cs"/>
          <w:rtl/>
        </w:rPr>
        <w:t>،</w:t>
      </w:r>
      <w:r w:rsidRPr="00A52585">
        <w:rPr>
          <w:rFonts w:hint="cs"/>
          <w:rtl/>
        </w:rPr>
        <w:t xml:space="preserve"> وهذه عقيده المسلمين جميعا من خالفها كفر والعياذ بالله</w:t>
      </w:r>
      <w:r w:rsidR="00DB731D" w:rsidRPr="00A52585">
        <w:rPr>
          <w:rFonts w:hint="cs"/>
          <w:rtl/>
        </w:rPr>
        <w:t>،</w:t>
      </w:r>
      <w:r w:rsidRPr="00A52585">
        <w:rPr>
          <w:rFonts w:hint="cs"/>
          <w:rtl/>
        </w:rPr>
        <w:t xml:space="preserve"> ومن هذه الآيات</w:t>
      </w:r>
      <w:r w:rsidR="00DB731D"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02035C" w:rsidRPr="00A52585">
        <w:rPr>
          <w:rFonts w:hint="cs"/>
          <w:rtl/>
        </w:rPr>
        <w:t>}</w:t>
      </w:r>
      <w:r w:rsidRPr="00A52585">
        <w:rPr>
          <w:rFonts w:hint="cs"/>
          <w:rtl/>
        </w:rPr>
        <w:t xml:space="preserve"> </w:t>
      </w:r>
      <w:r w:rsidR="0002035C" w:rsidRPr="00A52585">
        <w:rPr>
          <w:rFonts w:hint="cs"/>
          <w:rtl/>
        </w:rPr>
        <w:lastRenderedPageBreak/>
        <w:t>[</w:t>
      </w:r>
      <w:r w:rsidRPr="00A52585">
        <w:rPr>
          <w:rFonts w:hint="cs"/>
          <w:rtl/>
        </w:rPr>
        <w:t>التوبة</w:t>
      </w:r>
      <w:r w:rsidR="0002035C" w:rsidRPr="00A52585">
        <w:rPr>
          <w:rFonts w:hint="cs"/>
          <w:rtl/>
        </w:rPr>
        <w:t>:</w:t>
      </w:r>
      <w:r w:rsidRPr="00A52585">
        <w:rPr>
          <w:rFonts w:hint="cs"/>
          <w:rtl/>
        </w:rPr>
        <w:t xml:space="preserve"> 67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فَذُوقُوا بِمَا</w:t>
      </w:r>
      <w:r w:rsidRPr="00A52585">
        <w:rPr>
          <w:rFonts w:hint="cs"/>
        </w:rPr>
        <w:t xml:space="preserve"> </w:t>
      </w:r>
      <w:r w:rsidRPr="00A52585">
        <w:rPr>
          <w:rFonts w:hint="cs"/>
          <w:rtl/>
        </w:rPr>
        <w:t>نَسِيتُمْ لِقَاء يَوْمِكُمْ هَذَا إِنَّا نَسِينَاكُمْ وَذُوقُوا عَذَابَ الْخُلْدِ</w:t>
      </w:r>
      <w:r w:rsidRPr="00A52585">
        <w:rPr>
          <w:rFonts w:hint="cs"/>
        </w:rPr>
        <w:t xml:space="preserve"> </w:t>
      </w:r>
      <w:r w:rsidRPr="00A52585">
        <w:rPr>
          <w:rFonts w:hint="cs"/>
          <w:rtl/>
        </w:rPr>
        <w:t>بِمَا كُنتُمْ تَعْمَلُونَ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السجدة</w:t>
      </w:r>
      <w:r w:rsidR="0002035C" w:rsidRPr="00A52585">
        <w:rPr>
          <w:rFonts w:hint="cs"/>
          <w:rtl/>
        </w:rPr>
        <w:t>:</w:t>
      </w:r>
      <w:r w:rsidRPr="00A52585">
        <w:rPr>
          <w:rFonts w:hint="cs"/>
          <w:rtl/>
        </w:rPr>
        <w:t xml:space="preserve"> 14</w:t>
      </w:r>
      <w:r w:rsidR="0002035C" w:rsidRPr="00A52585">
        <w:rPr>
          <w:rFonts w:hint="cs"/>
          <w:rtl/>
        </w:rPr>
        <w:t>]</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Pr="00A52585">
        <w:rPr>
          <w:rFonts w:hint="cs"/>
          <w:rtl/>
        </w:rPr>
        <w:t xml:space="preserve"> قال القرطبي</w:t>
      </w:r>
      <w:r w:rsidR="0002035C" w:rsidRPr="00A52585">
        <w:rPr>
          <w:rFonts w:hint="cs"/>
          <w:rtl/>
        </w:rPr>
        <w:t>:</w:t>
      </w:r>
      <w:r w:rsidRPr="00A52585">
        <w:rPr>
          <w:rFonts w:hint="cs"/>
          <w:rtl/>
        </w:rPr>
        <w:t xml:space="preserve"> " نسوا الله</w:t>
      </w:r>
      <w:r w:rsidR="0002035C" w:rsidRPr="00A52585">
        <w:rPr>
          <w:rFonts w:hint="cs"/>
          <w:rtl/>
        </w:rPr>
        <w:t xml:space="preserve"> </w:t>
      </w:r>
      <w:r w:rsidRPr="00A52585">
        <w:rPr>
          <w:rFonts w:hint="cs"/>
          <w:rtl/>
        </w:rPr>
        <w:t>فنسيهم</w:t>
      </w:r>
      <w:r w:rsidR="0002035C" w:rsidRPr="00A52585">
        <w:rPr>
          <w:rFonts w:hint="cs"/>
          <w:rtl/>
        </w:rPr>
        <w:t xml:space="preserve"> </w:t>
      </w:r>
      <w:r w:rsidRPr="00A52585">
        <w:rPr>
          <w:rFonts w:hint="cs"/>
          <w:rtl/>
        </w:rPr>
        <w:t xml:space="preserve">أي تركوا عبادته فتركهم في العذاب " أهـ </w:t>
      </w:r>
      <w:r w:rsidR="0002035C" w:rsidRPr="00A52585">
        <w:rPr>
          <w:rFonts w:hint="cs"/>
          <w:rtl/>
        </w:rPr>
        <w:t>[</w:t>
      </w:r>
      <w:r w:rsidRPr="00A52585">
        <w:rPr>
          <w:rFonts w:hint="cs"/>
          <w:rtl/>
        </w:rPr>
        <w:t>تفسير القرطبي ج: 2 ص: 68</w:t>
      </w:r>
      <w:r w:rsidR="0002035C" w:rsidRPr="00A52585">
        <w:rPr>
          <w:rFonts w:hint="cs"/>
          <w:rtl/>
        </w:rPr>
        <w:t>]</w:t>
      </w:r>
      <w:r w:rsidR="00DB731D" w:rsidRPr="00A52585">
        <w:rPr>
          <w:rFonts w:hint="cs"/>
          <w:rtl/>
        </w:rPr>
        <w:t>،</w:t>
      </w:r>
      <w:r w:rsidRPr="00A52585">
        <w:rPr>
          <w:rFonts w:hint="cs"/>
          <w:rtl/>
        </w:rPr>
        <w:t xml:space="preserve"> وقال البيضاوي</w:t>
      </w:r>
      <w:r w:rsidR="0002035C" w:rsidRPr="00A52585">
        <w:rPr>
          <w:rFonts w:hint="cs"/>
          <w:rtl/>
        </w:rPr>
        <w:t>:</w:t>
      </w:r>
      <w:r w:rsidRPr="00A52585">
        <w:rPr>
          <w:rFonts w:hint="cs"/>
          <w:rtl/>
        </w:rPr>
        <w:t xml:space="preserve"> " نسوا الله غفلوا عن ذكر الله وتركوا طاعته</w:t>
      </w:r>
      <w:r w:rsidR="0002035C" w:rsidRPr="00A52585">
        <w:rPr>
          <w:rFonts w:hint="cs"/>
          <w:rtl/>
        </w:rPr>
        <w:t xml:space="preserve"> </w:t>
      </w:r>
      <w:r w:rsidRPr="00A52585">
        <w:rPr>
          <w:rFonts w:hint="cs"/>
          <w:rtl/>
        </w:rPr>
        <w:t>فنسيهم</w:t>
      </w:r>
      <w:r w:rsidR="0002035C" w:rsidRPr="00A52585">
        <w:rPr>
          <w:rFonts w:hint="cs"/>
          <w:rtl/>
        </w:rPr>
        <w:t xml:space="preserve"> </w:t>
      </w:r>
      <w:r w:rsidRPr="00A52585">
        <w:rPr>
          <w:rFonts w:hint="cs"/>
          <w:rtl/>
        </w:rPr>
        <w:t xml:space="preserve">فتركهم من لطفه وفضله " أهـ </w:t>
      </w:r>
      <w:r w:rsidR="0002035C" w:rsidRPr="00A52585">
        <w:rPr>
          <w:rFonts w:hint="cs"/>
          <w:rtl/>
        </w:rPr>
        <w:t>[</w:t>
      </w:r>
      <w:r w:rsidRPr="00A52585">
        <w:rPr>
          <w:rFonts w:hint="cs"/>
          <w:rtl/>
        </w:rPr>
        <w:t>تفسير البيضاوي ج: 3 ص: 156</w:t>
      </w:r>
      <w:r w:rsidR="0002035C" w:rsidRPr="00A52585">
        <w:rPr>
          <w:rFonts w:hint="cs"/>
          <w:rtl/>
        </w:rPr>
        <w:t>]</w:t>
      </w:r>
      <w:r w:rsidR="00DB731D" w:rsidRPr="00A52585">
        <w:rPr>
          <w:rFonts w:hint="cs"/>
          <w:rtl/>
        </w:rPr>
        <w:t>،</w:t>
      </w:r>
      <w:r w:rsidRPr="00A52585">
        <w:rPr>
          <w:rFonts w:hint="cs"/>
          <w:rtl/>
        </w:rPr>
        <w:t xml:space="preserve"> وقال ابن كثير</w:t>
      </w:r>
      <w:r w:rsidR="0002035C" w:rsidRPr="00A52585">
        <w:rPr>
          <w:rFonts w:hint="cs"/>
          <w:rtl/>
        </w:rPr>
        <w:t>:</w:t>
      </w:r>
      <w:r w:rsidRPr="00A52585">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02035C" w:rsidRPr="00A52585">
        <w:rPr>
          <w:rFonts w:hint="cs"/>
          <w:rtl/>
        </w:rPr>
        <w:t>:</w:t>
      </w:r>
      <w:r w:rsidRPr="00A52585">
        <w:rPr>
          <w:rFonts w:hint="cs"/>
          <w:rtl/>
        </w:rPr>
        <w:t xml:space="preserve"> {في كتاب لا يضل ربي ولا ينسى</w:t>
      </w:r>
      <w:r w:rsidR="0002035C" w:rsidRPr="00A52585">
        <w:rPr>
          <w:rFonts w:hint="cs"/>
          <w:rtl/>
        </w:rPr>
        <w:t>}</w:t>
      </w:r>
      <w:r w:rsidR="00DB731D" w:rsidRPr="00A52585">
        <w:rPr>
          <w:rFonts w:hint="cs"/>
          <w:rtl/>
        </w:rPr>
        <w:t>،</w:t>
      </w:r>
      <w:r w:rsidRPr="00A52585">
        <w:rPr>
          <w:rFonts w:hint="cs"/>
          <w:rtl/>
        </w:rPr>
        <w:t xml:space="preserve"> وإنما قال تعالى هذا من باب المقابلة كقوله</w:t>
      </w:r>
      <w:r w:rsidR="0002035C" w:rsidRPr="00A52585">
        <w:rPr>
          <w:rFonts w:hint="cs"/>
          <w:rtl/>
        </w:rPr>
        <w:t>:</w:t>
      </w:r>
      <w:r w:rsidRPr="00A52585">
        <w:rPr>
          <w:rFonts w:hint="cs"/>
          <w:rtl/>
        </w:rPr>
        <w:t xml:space="preserve"> {نسوا الله فنسيهم</w:t>
      </w:r>
      <w:r w:rsidR="0002035C" w:rsidRPr="00A52585">
        <w:rPr>
          <w:rFonts w:hint="cs"/>
          <w:rtl/>
        </w:rPr>
        <w:t>}</w:t>
      </w:r>
      <w:r w:rsidR="00DB731D" w:rsidRPr="00A52585">
        <w:rPr>
          <w:rFonts w:hint="cs"/>
          <w:rtl/>
        </w:rPr>
        <w:t>،</w:t>
      </w:r>
      <w:r w:rsidRPr="00A52585">
        <w:rPr>
          <w:rFonts w:hint="cs"/>
          <w:rtl/>
        </w:rPr>
        <w:t xml:space="preserve"> وقال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كذلك أتتك آياتنا فنسيتها وكذلك اليوم تنسى</w:t>
      </w:r>
      <w:r w:rsidR="0002035C"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وقيل اليوم ننساكم كما نسيتم لقاء يومكم هذا</w:t>
      </w:r>
      <w:r w:rsidR="0002035C" w:rsidRPr="00A52585">
        <w:rPr>
          <w:rFonts w:hint="cs"/>
          <w:rtl/>
        </w:rPr>
        <w:t>}</w:t>
      </w:r>
      <w:r w:rsidR="00DB731D" w:rsidRPr="00A52585">
        <w:rPr>
          <w:rFonts w:hint="cs"/>
          <w:rtl/>
        </w:rPr>
        <w:t>،</w:t>
      </w:r>
      <w:r w:rsidRPr="00A52585">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02035C" w:rsidRPr="00A52585">
        <w:rPr>
          <w:rFonts w:hint="cs"/>
          <w:rtl/>
        </w:rPr>
        <w:t>[</w:t>
      </w:r>
      <w:r w:rsidRPr="00A52585">
        <w:rPr>
          <w:rFonts w:hint="cs"/>
          <w:rtl/>
        </w:rPr>
        <w:t>تفسير ابن كثير ج: 2 ص: 220</w:t>
      </w:r>
      <w:r w:rsidR="0002035C" w:rsidRPr="00A52585">
        <w:rPr>
          <w:rFonts w:hint="cs"/>
          <w:rtl/>
        </w:rPr>
        <w:t>]</w:t>
      </w:r>
      <w:r w:rsidR="00DB731D" w:rsidRPr="00A52585">
        <w:rPr>
          <w:rFonts w:hint="cs"/>
          <w:rtl/>
        </w:rPr>
        <w:t>،</w:t>
      </w:r>
      <w:r w:rsidRPr="00A52585">
        <w:rPr>
          <w:rFonts w:hint="cs"/>
          <w:rtl/>
        </w:rPr>
        <w:t xml:space="preserve"> وقال البغوي</w:t>
      </w:r>
      <w:r w:rsidR="0002035C" w:rsidRPr="00A52585">
        <w:rPr>
          <w:rFonts w:hint="cs"/>
          <w:rtl/>
        </w:rPr>
        <w:t>:</w:t>
      </w:r>
      <w:r w:rsidRPr="00A52585">
        <w:rPr>
          <w:rFonts w:hint="cs"/>
          <w:rtl/>
        </w:rPr>
        <w:t xml:space="preserve"> نسوا الله</w:t>
      </w:r>
      <w:r w:rsidR="0002035C" w:rsidRPr="00A52585">
        <w:rPr>
          <w:rFonts w:hint="cs"/>
          <w:rtl/>
        </w:rPr>
        <w:t xml:space="preserve"> </w:t>
      </w:r>
      <w:r w:rsidRPr="00A52585">
        <w:rPr>
          <w:rFonts w:hint="cs"/>
          <w:rtl/>
        </w:rPr>
        <w:t>فنسيهم</w:t>
      </w:r>
      <w:r w:rsidR="0002035C" w:rsidRPr="00A52585">
        <w:rPr>
          <w:rFonts w:hint="cs"/>
          <w:rtl/>
        </w:rPr>
        <w:t xml:space="preserve"> </w:t>
      </w:r>
      <w:r w:rsidRPr="00A52585">
        <w:rPr>
          <w:rFonts w:hint="cs"/>
          <w:rtl/>
        </w:rPr>
        <w:t xml:space="preserve">تركوا طاعة الله فتركهم من توفيقه وهدايته في الدنيا ومن رحمته في الآخرة وتركهم في عذابه " أهـ </w:t>
      </w:r>
      <w:r w:rsidR="0002035C" w:rsidRPr="00A52585">
        <w:rPr>
          <w:rFonts w:hint="cs"/>
          <w:rtl/>
        </w:rPr>
        <w:t>[</w:t>
      </w:r>
      <w:r w:rsidRPr="00A52585">
        <w:rPr>
          <w:rFonts w:hint="cs"/>
          <w:rtl/>
        </w:rPr>
        <w:t>تفسير البغوي ج: 2 ص: 309</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وقال السيوطي</w:t>
      </w:r>
      <w:r w:rsidRPr="00A52585">
        <w:rPr>
          <w:rFonts w:hint="cs"/>
          <w:rtl/>
        </w:rPr>
        <w:t xml:space="preserve"> " فنسيهم</w:t>
      </w:r>
      <w:r w:rsidR="0002035C" w:rsidRPr="00A52585">
        <w:rPr>
          <w:rFonts w:hint="cs"/>
          <w:rtl/>
        </w:rPr>
        <w:t>:</w:t>
      </w:r>
      <w:r w:rsidRPr="00A52585">
        <w:rPr>
          <w:rFonts w:hint="cs"/>
          <w:rtl/>
        </w:rPr>
        <w:t xml:space="preserve"> تركهم من ثوابه وكرامته " </w:t>
      </w:r>
      <w:r w:rsidR="0002035C" w:rsidRPr="00A52585">
        <w:rPr>
          <w:rFonts w:hint="cs"/>
          <w:rtl/>
        </w:rPr>
        <w:t>[</w:t>
      </w:r>
      <w:r w:rsidRPr="00A52585">
        <w:rPr>
          <w:rFonts w:hint="cs"/>
          <w:rtl/>
        </w:rPr>
        <w:t>الإتقان ج: 1 ص: 343</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وهناك آيات ظاهرها أنّ الله تعالى يشغله شيء عن شيء</w:t>
      </w:r>
      <w:r w:rsidR="00DB731D" w:rsidRPr="00A52585">
        <w:rPr>
          <w:rFonts w:hint="cs"/>
          <w:rtl/>
        </w:rPr>
        <w:t>،</w:t>
      </w:r>
      <w:r w:rsidRPr="00A52585">
        <w:rPr>
          <w:rFonts w:hint="cs"/>
          <w:rtl/>
        </w:rPr>
        <w:t xml:space="preserve"> واعتقاد هذا الظاهر كفر بالله تعالى لأنّ الله تعالى لا يشغله شيء عن شيء</w:t>
      </w:r>
      <w:r w:rsidR="00DB731D" w:rsidRPr="00A52585">
        <w:rPr>
          <w:rFonts w:hint="cs"/>
          <w:rtl/>
        </w:rPr>
        <w:t>،</w:t>
      </w:r>
      <w:r w:rsidRPr="00A52585">
        <w:rPr>
          <w:rFonts w:hint="cs"/>
          <w:rtl/>
        </w:rPr>
        <w:t xml:space="preserve"> وسع علمه كل شيء ووسعت قدرته كل شيء</w:t>
      </w:r>
      <w:r w:rsidR="00DB731D" w:rsidRPr="00A52585">
        <w:rPr>
          <w:rFonts w:hint="cs"/>
          <w:rtl/>
        </w:rPr>
        <w:t>،</w:t>
      </w:r>
      <w:r w:rsidRPr="00A52585">
        <w:rPr>
          <w:rFonts w:hint="cs"/>
          <w:rtl/>
        </w:rPr>
        <w:t xml:space="preserve"> ومن هذه الآيات</w:t>
      </w:r>
      <w:r w:rsidR="00DB731D"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سَنَفْرُغُ لَكُمْ أَيُّهَا الثَّقَلَانِ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w:t>
      </w:r>
      <w:r w:rsidR="0002035C" w:rsidRPr="00A52585">
        <w:rPr>
          <w:rFonts w:hint="cs"/>
          <w:rtl/>
        </w:rPr>
        <w:t>:</w:t>
      </w:r>
      <w:r w:rsidRPr="00A52585">
        <w:rPr>
          <w:rFonts w:hint="cs"/>
          <w:rtl/>
        </w:rPr>
        <w:t xml:space="preserve"> 31</w:t>
      </w:r>
      <w:r w:rsidR="0002035C" w:rsidRPr="00A52585">
        <w:rPr>
          <w:rFonts w:hint="cs"/>
          <w:rtl/>
        </w:rPr>
        <w:t>]</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Pr="00A52585">
        <w:rPr>
          <w:rFonts w:hint="cs"/>
          <w:rtl/>
        </w:rPr>
        <w:t xml:space="preserve"> قال الطبري في تفسيره</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وأما تأويله فإنه وعيد من الله لعباده وتهدد كقول القائل الذي يتهدد غيره ويتوعده ولا شغل له يشغله عن عقابه </w:t>
      </w:r>
      <w:proofErr w:type="spellStart"/>
      <w:r w:rsidRPr="00A52585">
        <w:rPr>
          <w:rFonts w:hint="cs"/>
          <w:rtl/>
        </w:rPr>
        <w:t>لأتفرغن</w:t>
      </w:r>
      <w:proofErr w:type="spellEnd"/>
      <w:r w:rsidRPr="00A52585">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02035C" w:rsidRPr="00A52585">
        <w:rPr>
          <w:rFonts w:hint="cs"/>
          <w:rtl/>
        </w:rPr>
        <w:t xml:space="preserve"> </w:t>
      </w:r>
      <w:r w:rsidRPr="00A52585">
        <w:rPr>
          <w:rFonts w:hint="cs"/>
          <w:rtl/>
        </w:rPr>
        <w:t>" أهـ</w:t>
      </w:r>
      <w:r w:rsidR="0002035C" w:rsidRPr="00A52585">
        <w:rPr>
          <w:rFonts w:hint="cs"/>
          <w:rtl/>
        </w:rPr>
        <w:t xml:space="preserve"> </w:t>
      </w:r>
      <w:r w:rsidRPr="00A52585">
        <w:rPr>
          <w:rFonts w:hint="cs"/>
          <w:rtl/>
        </w:rPr>
        <w:t>[تفسير الطبري ج: 27 ص: 136</w:t>
      </w:r>
      <w:r w:rsidR="0002035C" w:rsidRPr="00A52585">
        <w:rPr>
          <w:rFonts w:hint="cs"/>
          <w:rtl/>
        </w:rPr>
        <w:t>]</w:t>
      </w:r>
      <w:r w:rsidR="00DB731D" w:rsidRPr="00A52585">
        <w:rPr>
          <w:rFonts w:hint="cs"/>
          <w:rtl/>
        </w:rPr>
        <w:t>،</w:t>
      </w:r>
      <w:r w:rsidRPr="00A52585">
        <w:rPr>
          <w:rFonts w:hint="cs"/>
          <w:rtl/>
        </w:rPr>
        <w:t xml:space="preserve"> وقال القرطبي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سنفرغ لكم أيها الثقلان</w:t>
      </w:r>
      <w:r w:rsidR="0002035C" w:rsidRPr="00A52585">
        <w:rPr>
          <w:rFonts w:hint="cs"/>
          <w:rtl/>
        </w:rPr>
        <w:t>}</w:t>
      </w:r>
      <w:r w:rsidR="00DB731D" w:rsidRPr="00A52585">
        <w:rPr>
          <w:rFonts w:hint="cs"/>
          <w:rtl/>
        </w:rPr>
        <w:t>،</w:t>
      </w:r>
      <w:r w:rsidRPr="00A52585">
        <w:rPr>
          <w:rFonts w:hint="cs"/>
          <w:rtl/>
        </w:rPr>
        <w:t xml:space="preserve"> يقال</w:t>
      </w:r>
      <w:r w:rsidR="0002035C" w:rsidRPr="00A52585">
        <w:rPr>
          <w:rFonts w:hint="cs"/>
          <w:rtl/>
        </w:rPr>
        <w:t xml:space="preserve"> </w:t>
      </w:r>
      <w:r w:rsidRPr="00A52585">
        <w:rPr>
          <w:rFonts w:hint="cs"/>
          <w:rtl/>
        </w:rPr>
        <w:t>فرغت من الشغل أفرغ فروغا وفراغا وتفرغت لكذا واستفرغت مجهودي في كذا أي بذلته</w:t>
      </w:r>
      <w:r w:rsidR="00DB731D" w:rsidRPr="00A52585">
        <w:rPr>
          <w:rFonts w:hint="cs"/>
          <w:rtl/>
        </w:rPr>
        <w:t>،</w:t>
      </w:r>
      <w:r w:rsidRPr="00A52585">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sidR="0002035C" w:rsidRPr="00A52585">
        <w:rPr>
          <w:rFonts w:hint="cs"/>
          <w:rtl/>
        </w:rPr>
        <w:t xml:space="preserve"> </w:t>
      </w:r>
      <w:r w:rsidRPr="00A52585">
        <w:rPr>
          <w:rFonts w:hint="cs"/>
          <w:rtl/>
        </w:rPr>
        <w:t>إذا أتفرغ لك أي أقصدك وفرغ بمعنى قصد "</w:t>
      </w:r>
      <w:r w:rsidR="0002035C" w:rsidRPr="00A52585">
        <w:rPr>
          <w:rFonts w:hint="cs"/>
          <w:rtl/>
        </w:rPr>
        <w:t xml:space="preserve"> [</w:t>
      </w:r>
      <w:r w:rsidRPr="00A52585">
        <w:rPr>
          <w:rFonts w:hint="cs"/>
          <w:rtl/>
        </w:rPr>
        <w:t>تفسير القرطبي ج: 17 ص: 168</w:t>
      </w:r>
      <w:r w:rsidR="0002035C" w:rsidRPr="00A52585">
        <w:rPr>
          <w:rFonts w:hint="cs"/>
          <w:rtl/>
        </w:rPr>
        <w:t>]</w:t>
      </w:r>
      <w:r w:rsidR="00DB731D" w:rsidRPr="00A52585">
        <w:rPr>
          <w:rFonts w:hint="cs"/>
          <w:rtl/>
        </w:rPr>
        <w:t>،</w:t>
      </w:r>
      <w:r w:rsidRPr="00A52585">
        <w:rPr>
          <w:rFonts w:hint="cs"/>
          <w:rtl/>
        </w:rPr>
        <w:t xml:space="preserve"> وقال ابن كثير</w:t>
      </w:r>
      <w:r w:rsidR="0002035C" w:rsidRPr="00A52585">
        <w:rPr>
          <w:rFonts w:hint="cs"/>
          <w:rtl/>
        </w:rPr>
        <w:t>:</w:t>
      </w:r>
      <w:r w:rsidRPr="00A52585">
        <w:rPr>
          <w:rFonts w:hint="cs"/>
          <w:rtl/>
        </w:rPr>
        <w:t xml:space="preserve"> قال علي بن أبي طلحة عن ابن عباس </w:t>
      </w:r>
      <w:r w:rsidRPr="00A52585">
        <w:rPr>
          <w:rFonts w:hint="cs"/>
          <w:rtl/>
        </w:rPr>
        <w:lastRenderedPageBreak/>
        <w:t>في قوله تعالى</w:t>
      </w:r>
      <w:r w:rsidR="0002035C" w:rsidRPr="00A52585">
        <w:rPr>
          <w:rFonts w:hint="cs"/>
          <w:rtl/>
        </w:rPr>
        <w:t xml:space="preserve"> </w:t>
      </w:r>
      <w:r w:rsidRPr="00A52585">
        <w:rPr>
          <w:rFonts w:hint="cs"/>
          <w:rtl/>
        </w:rPr>
        <w:t>سنفرغ لكم أيها الثقلان</w:t>
      </w:r>
      <w:r w:rsidR="0002035C" w:rsidRPr="00A52585">
        <w:rPr>
          <w:rFonts w:hint="cs"/>
          <w:rtl/>
        </w:rPr>
        <w:t xml:space="preserve"> </w:t>
      </w:r>
      <w:r w:rsidRPr="00A52585">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sidRPr="00A52585">
        <w:rPr>
          <w:rFonts w:hint="cs"/>
          <w:rtl/>
        </w:rPr>
        <w:t>لأتفرغن</w:t>
      </w:r>
      <w:proofErr w:type="spellEnd"/>
      <w:r w:rsidRPr="00A52585">
        <w:rPr>
          <w:rFonts w:hint="cs"/>
          <w:rtl/>
        </w:rPr>
        <w:t xml:space="preserve"> لك وما به شغل يقول لآخذنك على غرتك " أهـ </w:t>
      </w:r>
      <w:r w:rsidR="0002035C" w:rsidRPr="00A52585">
        <w:rPr>
          <w:rFonts w:hint="cs"/>
          <w:rtl/>
        </w:rPr>
        <w:t>[</w:t>
      </w:r>
      <w:r w:rsidRPr="00A52585">
        <w:rPr>
          <w:rFonts w:hint="cs"/>
          <w:rtl/>
        </w:rPr>
        <w:t>تفسير ابن كثير ج: 4 ص: 275</w:t>
      </w:r>
      <w:r w:rsidR="0002035C" w:rsidRPr="00A52585">
        <w:rPr>
          <w:rFonts w:hint="cs"/>
          <w:rtl/>
        </w:rPr>
        <w:t>]</w:t>
      </w:r>
      <w:r w:rsidR="00DB731D" w:rsidRPr="00A52585">
        <w:rPr>
          <w:rFonts w:hint="cs"/>
          <w:rtl/>
        </w:rPr>
        <w:t>،</w:t>
      </w:r>
      <w:r w:rsidRPr="00A52585">
        <w:rPr>
          <w:rFonts w:hint="cs"/>
          <w:rtl/>
        </w:rPr>
        <w:t xml:space="preserve"> وجاء في البرهان في علوم القرآن "</w:t>
      </w:r>
      <w:r w:rsidR="0002035C" w:rsidRPr="00A52585">
        <w:rPr>
          <w:rFonts w:hint="cs"/>
          <w:rtl/>
        </w:rPr>
        <w:t xml:space="preserve"> </w:t>
      </w:r>
      <w:r w:rsidRPr="00A52585">
        <w:rPr>
          <w:rFonts w:hint="cs"/>
          <w:rtl/>
        </w:rPr>
        <w:t>قوله تعالى</w:t>
      </w:r>
      <w:r w:rsidR="0002035C" w:rsidRPr="00A52585">
        <w:rPr>
          <w:rFonts w:hint="cs"/>
          <w:rtl/>
        </w:rPr>
        <w:t xml:space="preserve"> </w:t>
      </w:r>
      <w:r w:rsidRPr="00A52585">
        <w:rPr>
          <w:rFonts w:hint="cs"/>
          <w:rtl/>
        </w:rPr>
        <w:t>سنفرغ لكم أيها الثقلان</w:t>
      </w:r>
      <w:r w:rsidR="0002035C" w:rsidRPr="00A52585">
        <w:rPr>
          <w:rFonts w:hint="cs"/>
          <w:rtl/>
        </w:rPr>
        <w:t xml:space="preserve"> </w:t>
      </w:r>
      <w:r w:rsidRPr="00A52585">
        <w:rPr>
          <w:rFonts w:hint="cs"/>
          <w:rtl/>
        </w:rPr>
        <w:t>5 فرغ يأتي بمعنى قطع شغلا أتفرغ لك أي أقصد قصدك والآية منه أي سنقصد لعقوبتكم ونحكم جزاءكم</w:t>
      </w:r>
      <w:r w:rsidR="0002035C" w:rsidRPr="00A52585">
        <w:rPr>
          <w:rFonts w:hint="cs"/>
          <w:rtl/>
        </w:rPr>
        <w:t xml:space="preserve"> </w:t>
      </w:r>
      <w:r w:rsidRPr="00A52585">
        <w:rPr>
          <w:rFonts w:hint="cs"/>
          <w:rtl/>
        </w:rPr>
        <w:t xml:space="preserve">" أهـ </w:t>
      </w:r>
      <w:r w:rsidR="0002035C" w:rsidRPr="00A52585">
        <w:rPr>
          <w:rFonts w:hint="cs"/>
          <w:rtl/>
        </w:rPr>
        <w:t>[</w:t>
      </w:r>
      <w:r w:rsidRPr="00A52585">
        <w:rPr>
          <w:rFonts w:hint="cs"/>
          <w:rtl/>
        </w:rPr>
        <w:t>البرهان في علوم القرآن ج: 2 ص: 84</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وهناك آيات ظاهرها أنّ الله تعالى</w:t>
      </w:r>
      <w:r w:rsidRPr="00A52585">
        <w:rPr>
          <w:rFonts w:hint="cs"/>
          <w:rtl/>
        </w:rPr>
        <w:t xml:space="preserve"> تتفاوت قدرته</w:t>
      </w:r>
      <w:r w:rsidR="00DB731D" w:rsidRPr="00A52585">
        <w:rPr>
          <w:rFonts w:hint="cs"/>
          <w:rtl/>
        </w:rPr>
        <w:t>،</w:t>
      </w:r>
      <w:r w:rsidRPr="00A52585">
        <w:rPr>
          <w:rFonts w:hint="cs"/>
          <w:rtl/>
        </w:rPr>
        <w:t xml:space="preserve"> وأنّ هناك شيء أهون عليه من شيء</w:t>
      </w:r>
      <w:r w:rsidR="00DB731D" w:rsidRPr="00A52585">
        <w:rPr>
          <w:rFonts w:hint="cs"/>
          <w:rtl/>
        </w:rPr>
        <w:t>،</w:t>
      </w:r>
      <w:r w:rsidRPr="00A52585">
        <w:rPr>
          <w:rFonts w:hint="cs"/>
          <w:rtl/>
        </w:rPr>
        <w:t xml:space="preserve"> واعتقاد هذا الظاهر كفر</w:t>
      </w:r>
      <w:r w:rsidR="00DB731D" w:rsidRPr="00A52585">
        <w:rPr>
          <w:rFonts w:hint="cs"/>
          <w:rtl/>
        </w:rPr>
        <w:t>،</w:t>
      </w:r>
      <w:r w:rsidRPr="00A52585">
        <w:rPr>
          <w:rFonts w:hint="cs"/>
          <w:rtl/>
        </w:rPr>
        <w:t xml:space="preserve"> لأنّ الله تعالى وسعت قدرته كل شيء لا يعجزه شيء</w:t>
      </w:r>
      <w:r w:rsidR="00DB731D" w:rsidRPr="00A52585">
        <w:rPr>
          <w:rFonts w:hint="cs"/>
          <w:rtl/>
        </w:rPr>
        <w:t>،</w:t>
      </w:r>
      <w:r w:rsidRPr="00A52585">
        <w:rPr>
          <w:rFonts w:hint="cs"/>
          <w:rtl/>
        </w:rPr>
        <w:t xml:space="preserve"> وليس هناك شيء أهون عليه من شيء</w:t>
      </w:r>
      <w:r w:rsidR="00DB731D" w:rsidRPr="00A52585">
        <w:rPr>
          <w:rFonts w:hint="cs"/>
          <w:rtl/>
        </w:rPr>
        <w:t>،</w:t>
      </w:r>
      <w:r w:rsidRPr="00A52585">
        <w:rPr>
          <w:rFonts w:hint="cs"/>
          <w:rtl/>
        </w:rPr>
        <w:t xml:space="preserve"> ولا شيء أثقل عليه من شيء</w:t>
      </w:r>
      <w:r w:rsidR="00DB731D" w:rsidRPr="00A52585">
        <w:rPr>
          <w:rFonts w:hint="cs"/>
          <w:rtl/>
        </w:rPr>
        <w:t>،</w:t>
      </w:r>
      <w:r w:rsidRPr="00A52585">
        <w:rPr>
          <w:rFonts w:hint="cs"/>
          <w:rtl/>
        </w:rPr>
        <w:t xml:space="preserve"> ومن هذه الآيات</w:t>
      </w:r>
      <w:r w:rsidR="00DB731D"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الَّذِي يَبْدَأُ الْخَلْقَ ثُمَّ يُعِيدُهُ وَهُوَ أَهْوَنُ عَلَيْهِ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الروم</w:t>
      </w:r>
      <w:r w:rsidR="0002035C" w:rsidRPr="00A52585">
        <w:rPr>
          <w:rFonts w:hint="cs"/>
          <w:rtl/>
        </w:rPr>
        <w:t>:</w:t>
      </w:r>
      <w:r w:rsidRPr="00A52585">
        <w:rPr>
          <w:rFonts w:hint="cs"/>
          <w:rtl/>
        </w:rPr>
        <w:t xml:space="preserve"> 27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 كَذَلِكَ قَالَ رَبُّكَ هُوَ عَلَيَّ هَيِّنٌ وَقَدْ خَلَقْتُكَ مِنْ قَبْلُ وَلَمْ تَكُ شَيْئًا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مريم</w:t>
      </w:r>
      <w:r w:rsidR="0002035C" w:rsidRPr="00A52585">
        <w:rPr>
          <w:rFonts w:hint="cs"/>
          <w:rtl/>
        </w:rPr>
        <w:t>:</w:t>
      </w:r>
      <w:r w:rsidRPr="00A52585">
        <w:rPr>
          <w:rFonts w:hint="cs"/>
          <w:rtl/>
        </w:rPr>
        <w:t xml:space="preserve"> 9</w:t>
      </w:r>
      <w:r w:rsidR="0002035C" w:rsidRPr="00A52585">
        <w:rPr>
          <w:rFonts w:hint="cs"/>
          <w:rtl/>
        </w:rPr>
        <w:t>]</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Pr="00A52585">
        <w:rPr>
          <w:rFonts w:hint="cs"/>
          <w:rtl/>
        </w:rPr>
        <w:t xml:space="preserve"> جاء في لسان العرب</w:t>
      </w:r>
      <w:r w:rsidR="0002035C" w:rsidRPr="00A52585">
        <w:rPr>
          <w:rFonts w:hint="cs"/>
          <w:rtl/>
        </w:rPr>
        <w:t>:</w:t>
      </w:r>
      <w:r w:rsidRPr="00A52585">
        <w:rPr>
          <w:rFonts w:hint="cs"/>
          <w:rtl/>
        </w:rPr>
        <w:t xml:space="preserve"> " {وهو أهون عليه</w:t>
      </w:r>
      <w:r w:rsidR="0002035C" w:rsidRPr="00A52585">
        <w:rPr>
          <w:rFonts w:hint="cs"/>
          <w:rtl/>
        </w:rPr>
        <w:t>}</w:t>
      </w:r>
      <w:r w:rsidR="00DB731D" w:rsidRPr="00A52585">
        <w:rPr>
          <w:rFonts w:hint="cs"/>
          <w:rtl/>
        </w:rPr>
        <w:t>،</w:t>
      </w:r>
      <w:r w:rsidRPr="00A52585">
        <w:rPr>
          <w:rFonts w:hint="cs"/>
          <w:rtl/>
        </w:rPr>
        <w:t xml:space="preserve"> أي كل ذلك هين على ا وليست للمفاضلة لأنه ليس شيء أيسر عليه من غيره " أهـ </w:t>
      </w:r>
      <w:r w:rsidR="0002035C" w:rsidRPr="00A52585">
        <w:rPr>
          <w:rFonts w:hint="cs"/>
          <w:rtl/>
        </w:rPr>
        <w:t>[</w:t>
      </w:r>
      <w:r w:rsidRPr="00A52585">
        <w:rPr>
          <w:rFonts w:hint="cs"/>
          <w:rtl/>
        </w:rPr>
        <w:t>لسان العرب ج: 13 ص: 438]</w:t>
      </w:r>
      <w:r w:rsidR="00DB731D" w:rsidRPr="00A52585">
        <w:rPr>
          <w:rFonts w:hint="cs"/>
          <w:rtl/>
        </w:rPr>
        <w:t>،</w:t>
      </w:r>
      <w:r w:rsidRPr="00A52585">
        <w:rPr>
          <w:rFonts w:hint="cs"/>
          <w:rtl/>
        </w:rPr>
        <w:t xml:space="preserve"> وقال القرطبي</w:t>
      </w:r>
      <w:r w:rsidR="0002035C" w:rsidRPr="00A52585">
        <w:rPr>
          <w:rFonts w:hint="cs"/>
          <w:rtl/>
        </w:rPr>
        <w:t>:</w:t>
      </w:r>
      <w:r w:rsidRPr="00A52585">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02035C" w:rsidRPr="00A52585">
        <w:rPr>
          <w:rFonts w:hint="cs"/>
          <w:rtl/>
        </w:rPr>
        <w:t xml:space="preserve"> </w:t>
      </w:r>
      <w:r w:rsidRPr="00A52585">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sidR="0002035C" w:rsidRPr="00A52585">
        <w:rPr>
          <w:rFonts w:hint="cs"/>
          <w:rtl/>
        </w:rPr>
        <w:t>[</w:t>
      </w:r>
      <w:r w:rsidRPr="00A52585">
        <w:rPr>
          <w:rFonts w:hint="cs"/>
          <w:rtl/>
        </w:rPr>
        <w:t>تفسير القرطبي ج: 14 ص: 21</w:t>
      </w:r>
      <w:r w:rsidR="0002035C" w:rsidRPr="00A52585">
        <w:rPr>
          <w:rFonts w:hint="cs"/>
          <w:rtl/>
        </w:rPr>
        <w:t>]</w:t>
      </w:r>
      <w:r w:rsidR="00DB731D" w:rsidRPr="00A52585">
        <w:rPr>
          <w:rFonts w:hint="cs"/>
          <w:rtl/>
        </w:rPr>
        <w:t>،</w:t>
      </w:r>
      <w:r w:rsidRPr="00A52585">
        <w:rPr>
          <w:rFonts w:hint="cs"/>
          <w:rtl/>
        </w:rPr>
        <w:t xml:space="preserve"> وقال الواحدي</w:t>
      </w:r>
      <w:r w:rsidR="0002035C" w:rsidRPr="00A52585">
        <w:rPr>
          <w:rFonts w:hint="cs"/>
          <w:rtl/>
        </w:rPr>
        <w:t>:</w:t>
      </w:r>
      <w:r w:rsidRPr="00A52585">
        <w:rPr>
          <w:rFonts w:hint="cs"/>
          <w:rtl/>
        </w:rPr>
        <w:t xml:space="preserve"> " وهو أهون عليه</w:t>
      </w:r>
      <w:r w:rsidR="0002035C" w:rsidRPr="00A52585">
        <w:rPr>
          <w:rFonts w:hint="cs"/>
          <w:rtl/>
        </w:rPr>
        <w:t xml:space="preserve"> </w:t>
      </w:r>
      <w:r w:rsidRPr="00A52585">
        <w:rPr>
          <w:rFonts w:hint="cs"/>
          <w:rtl/>
        </w:rPr>
        <w:t xml:space="preserve">أي هين عليه وقيل هو أهون عليه عندكم وفيما بينكم لأن الإعادة عندنا أيسر من الابتداء " أهـ </w:t>
      </w:r>
      <w:r w:rsidR="0002035C" w:rsidRPr="00A52585">
        <w:rPr>
          <w:rFonts w:hint="cs"/>
          <w:rtl/>
        </w:rPr>
        <w:t>[</w:t>
      </w:r>
      <w:r w:rsidRPr="00A52585">
        <w:rPr>
          <w:rFonts w:hint="cs"/>
          <w:rtl/>
        </w:rPr>
        <w:t>تفسير الواحدي ج: 2 ص: 841</w:t>
      </w:r>
      <w:r w:rsidR="0002035C" w:rsidRPr="00A52585">
        <w:rPr>
          <w:rFonts w:hint="cs"/>
          <w:rtl/>
        </w:rPr>
        <w:t>]</w:t>
      </w:r>
      <w:r w:rsidR="00DB731D" w:rsidRPr="00A52585">
        <w:rPr>
          <w:rFonts w:hint="cs"/>
          <w:rtl/>
        </w:rPr>
        <w:t>،</w:t>
      </w:r>
      <w:r w:rsidRPr="00A52585">
        <w:rPr>
          <w:rFonts w:hint="cs"/>
          <w:rtl/>
        </w:rPr>
        <w:t xml:space="preserve"> وقال الشوكاني</w:t>
      </w:r>
      <w:r w:rsidR="0002035C" w:rsidRPr="00A52585">
        <w:rPr>
          <w:rFonts w:hint="cs"/>
          <w:rtl/>
        </w:rPr>
        <w:t>:</w:t>
      </w:r>
      <w:r w:rsidRPr="00A52585">
        <w:rPr>
          <w:rFonts w:hint="cs"/>
          <w:rtl/>
        </w:rPr>
        <w:t xml:space="preserve"> " وهو أهون عليه</w:t>
      </w:r>
      <w:r w:rsidR="0002035C" w:rsidRPr="00A52585">
        <w:rPr>
          <w:rFonts w:hint="cs"/>
          <w:rtl/>
        </w:rPr>
        <w:t xml:space="preserve"> </w:t>
      </w:r>
      <w:r w:rsidRPr="00A52585">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02035C" w:rsidRPr="00A52585">
        <w:rPr>
          <w:rFonts w:hint="cs"/>
          <w:rtl/>
        </w:rPr>
        <w:t>[</w:t>
      </w:r>
      <w:r w:rsidRPr="00A52585">
        <w:rPr>
          <w:rFonts w:hint="cs"/>
          <w:rtl/>
        </w:rPr>
        <w:t>فتح القدير ج: 4 ص: 221</w:t>
      </w:r>
      <w:r w:rsidR="0002035C" w:rsidRPr="00A52585">
        <w:rPr>
          <w:rFonts w:hint="cs"/>
          <w:rtl/>
        </w:rPr>
        <w:t>]</w:t>
      </w:r>
      <w:r w:rsidR="00DB731D" w:rsidRPr="00A52585">
        <w:rPr>
          <w:rFonts w:hint="cs"/>
          <w:rtl/>
        </w:rPr>
        <w:t>،</w:t>
      </w:r>
      <w:r w:rsidRPr="00A52585">
        <w:rPr>
          <w:rFonts w:hint="cs"/>
          <w:rtl/>
        </w:rPr>
        <w:t xml:space="preserve"> وجاء في تفسير الجلالين</w:t>
      </w:r>
      <w:r w:rsidR="0002035C" w:rsidRPr="00A52585">
        <w:rPr>
          <w:rFonts w:hint="cs"/>
          <w:rtl/>
        </w:rPr>
        <w:t xml:space="preserve">: </w:t>
      </w:r>
      <w:r w:rsidRPr="00A52585">
        <w:rPr>
          <w:rFonts w:hint="cs"/>
          <w:rtl/>
        </w:rPr>
        <w:t>"وهو أهون عليه</w:t>
      </w:r>
      <w:r w:rsidR="0002035C" w:rsidRPr="00A52585">
        <w:rPr>
          <w:rFonts w:hint="cs"/>
          <w:rtl/>
        </w:rPr>
        <w:t xml:space="preserve"> </w:t>
      </w:r>
      <w:r w:rsidRPr="00A52585">
        <w:rPr>
          <w:rFonts w:hint="cs"/>
          <w:rtl/>
        </w:rPr>
        <w:t xml:space="preserve">من البدء بالنظر إلى ما عند المخاطبين من أن إعادة الشيء أسهل من ابتدائه وإلا فهما عند الله تعالى سواء في السهولة " أهـ </w:t>
      </w:r>
      <w:r w:rsidR="0002035C" w:rsidRPr="00A52585">
        <w:rPr>
          <w:rFonts w:hint="cs"/>
          <w:rtl/>
        </w:rPr>
        <w:t>[</w:t>
      </w:r>
      <w:r w:rsidRPr="00A52585">
        <w:rPr>
          <w:rFonts w:hint="cs"/>
          <w:rtl/>
        </w:rPr>
        <w:t>تفسير الجلالين ج: 1 ص: 534</w:t>
      </w:r>
      <w:r w:rsidR="0002035C" w:rsidRPr="00A52585">
        <w:rPr>
          <w:rFonts w:hint="cs"/>
          <w:rtl/>
        </w:rPr>
        <w:t>]</w:t>
      </w:r>
      <w:r w:rsidR="00DB731D" w:rsidRPr="00A52585">
        <w:rPr>
          <w:rFonts w:hint="cs"/>
          <w:rtl/>
        </w:rPr>
        <w:t>،</w:t>
      </w:r>
      <w:r w:rsidRPr="00A52585">
        <w:rPr>
          <w:rFonts w:hint="cs"/>
          <w:rtl/>
        </w:rPr>
        <w:t xml:space="preserve"> وقال الألوسي</w:t>
      </w:r>
      <w:r w:rsidR="0002035C" w:rsidRPr="00A52585">
        <w:rPr>
          <w:rFonts w:hint="cs"/>
          <w:rtl/>
        </w:rPr>
        <w:t>:</w:t>
      </w:r>
      <w:r w:rsidRPr="00A52585">
        <w:rPr>
          <w:rFonts w:hint="cs"/>
          <w:rtl/>
        </w:rPr>
        <w:t xml:space="preserve"> " و أهون للتفضيل أي والإعادة أسهل على الله تعالى من المبدأ </w:t>
      </w:r>
      <w:proofErr w:type="spellStart"/>
      <w:r w:rsidRPr="00A52585">
        <w:rPr>
          <w:rFonts w:hint="cs"/>
          <w:rtl/>
        </w:rPr>
        <w:t>والأسهلية</w:t>
      </w:r>
      <w:proofErr w:type="spellEnd"/>
      <w:r w:rsidRPr="00A52585">
        <w:rPr>
          <w:rFonts w:hint="cs"/>
          <w:rtl/>
        </w:rPr>
        <w:t xml:space="preserve"> على طريقة التمثيل بالنسبة لما يفعله البشر مما </w:t>
      </w:r>
      <w:r w:rsidRPr="00A52585">
        <w:rPr>
          <w:rFonts w:hint="cs"/>
          <w:rtl/>
        </w:rPr>
        <w:lastRenderedPageBreak/>
        <w:t xml:space="preserve">يقدرون عليه فإن إعادة شيء من مادته الأولى أهون عليهم من إيجاده </w:t>
      </w:r>
      <w:proofErr w:type="spellStart"/>
      <w:r w:rsidRPr="00A52585">
        <w:rPr>
          <w:rFonts w:hint="cs"/>
          <w:rtl/>
        </w:rPr>
        <w:t>إبتداء</w:t>
      </w:r>
      <w:proofErr w:type="spellEnd"/>
      <w:r w:rsidRPr="00A52585">
        <w:rPr>
          <w:rFonts w:hint="cs"/>
          <w:rtl/>
        </w:rPr>
        <w:t xml:space="preserve"> والمراد التقريب لعقول الجهلة المنكرين للبعث وإلا فكل الممكنات بالنسبة إلى قدرته تعالى عز وجل سواء فكأنه قيل</w:t>
      </w:r>
      <w:r w:rsidR="0002035C" w:rsidRPr="00A52585">
        <w:rPr>
          <w:rFonts w:hint="cs"/>
          <w:rtl/>
        </w:rPr>
        <w:t xml:space="preserve"> </w:t>
      </w:r>
      <w:r w:rsidRPr="00A52585">
        <w:rPr>
          <w:rFonts w:hint="cs"/>
          <w:rtl/>
        </w:rPr>
        <w:t>وهو أهون عليه</w:t>
      </w:r>
      <w:r w:rsidR="0002035C" w:rsidRPr="00A52585">
        <w:rPr>
          <w:rFonts w:hint="cs"/>
          <w:rtl/>
        </w:rPr>
        <w:t xml:space="preserve"> </w:t>
      </w:r>
      <w:r w:rsidRPr="00A52585">
        <w:rPr>
          <w:rFonts w:hint="cs"/>
          <w:rtl/>
        </w:rPr>
        <w:t xml:space="preserve">بالإضافة إلى قدركم والقياس على أصولكم " أهـ </w:t>
      </w:r>
      <w:r w:rsidR="0002035C" w:rsidRPr="00A52585">
        <w:rPr>
          <w:rFonts w:hint="cs"/>
          <w:rtl/>
        </w:rPr>
        <w:t>[</w:t>
      </w:r>
      <w:r w:rsidRPr="00A52585">
        <w:rPr>
          <w:rFonts w:hint="cs"/>
          <w:rtl/>
        </w:rPr>
        <w:t>روح المعاني ج: 21 ص: 36</w:t>
      </w:r>
      <w:r w:rsidR="0002035C" w:rsidRPr="00A52585">
        <w:rPr>
          <w:rFonts w:hint="cs"/>
          <w:rtl/>
        </w:rPr>
        <w:t>]</w:t>
      </w:r>
      <w:r w:rsidR="00DB731D" w:rsidRPr="00A52585">
        <w:rPr>
          <w:rFonts w:hint="cs"/>
          <w:rtl/>
        </w:rPr>
        <w:t>،</w:t>
      </w:r>
      <w:r w:rsidRPr="00A52585">
        <w:rPr>
          <w:rFonts w:hint="cs"/>
          <w:rtl/>
        </w:rPr>
        <w:t xml:space="preserve"> فلا يظن مسلم أن الأمر بالنسبة لله تعالى فيه شيء هَيِّن وشيء أَهْوَن، وشيء شاقّ، فالمراد بهذه الألفاظ تقريب المعنى إلى أذهاننا</w:t>
      </w:r>
      <w:r w:rsidR="00DB731D" w:rsidRPr="00A52585">
        <w:rPr>
          <w:rFonts w:hint="cs"/>
          <w:rtl/>
        </w:rPr>
        <w:t>،</w:t>
      </w:r>
      <w:r w:rsidRPr="00A52585">
        <w:rPr>
          <w:rFonts w:hint="cs"/>
          <w:rtl/>
        </w:rPr>
        <w:t xml:space="preserve"> والله تعالى لا يعجزه شيء ولا يعييه خلق</w:t>
      </w:r>
      <w:r w:rsidR="00DB731D" w:rsidRPr="00A52585">
        <w:rPr>
          <w:rFonts w:hint="cs"/>
          <w:rtl/>
        </w:rPr>
        <w:t>،</w:t>
      </w:r>
      <w:r w:rsidRPr="00A52585">
        <w:rPr>
          <w:rFonts w:hint="cs"/>
          <w:rtl/>
        </w:rPr>
        <w:t xml:space="preserve"> بل يقول للشيء كُنْ فيكون: </w:t>
      </w:r>
      <w:r w:rsidR="0002035C" w:rsidRPr="00A52585">
        <w:rPr>
          <w:rFonts w:hint="cs"/>
          <w:bCs/>
          <w:rtl/>
        </w:rPr>
        <w:t>{</w:t>
      </w:r>
      <w:proofErr w:type="spellStart"/>
      <w:r w:rsidRPr="00A52585">
        <w:rPr>
          <w:rFonts w:hint="cs"/>
          <w:bCs/>
          <w:rtl/>
        </w:rPr>
        <w:t>إِنَّمَآ</w:t>
      </w:r>
      <w:proofErr w:type="spellEnd"/>
      <w:r w:rsidRPr="00A52585">
        <w:rPr>
          <w:rFonts w:hint="cs"/>
          <w:bCs/>
          <w:rtl/>
        </w:rPr>
        <w:t xml:space="preserve"> أَمْرُهُ إِذَآ أَرَادَ شَيْئاً أَن يَقُولَ لَهُ كُن فَيَكُونُ</w:t>
      </w:r>
      <w:r w:rsidR="0002035C" w:rsidRPr="00A52585">
        <w:rPr>
          <w:rFonts w:hint="cs"/>
          <w:bCs/>
          <w:rtl/>
        </w:rPr>
        <w:t>}</w:t>
      </w:r>
      <w:r w:rsidRPr="00A52585">
        <w:rPr>
          <w:rFonts w:hint="cs"/>
          <w:bCs/>
          <w:rtl/>
        </w:rPr>
        <w:t xml:space="preserve"> </w:t>
      </w:r>
      <w:r w:rsidRPr="00A52585">
        <w:rPr>
          <w:rFonts w:hint="cs"/>
          <w:rtl/>
        </w:rPr>
        <w:t>[يس: 82]</w:t>
      </w:r>
      <w:r w:rsidR="00DB731D" w:rsidRPr="00A52585">
        <w:rPr>
          <w:rFonts w:hint="cs"/>
          <w:rtl/>
        </w:rPr>
        <w:t>،</w:t>
      </w:r>
      <w:r w:rsidRPr="00A52585">
        <w:rPr>
          <w:rFonts w:hint="cs"/>
          <w:rtl/>
        </w:rPr>
        <w:t xml:space="preserve"> وظاهر الآيات محال على الله تعالى</w:t>
      </w:r>
      <w:r w:rsidR="00DB731D" w:rsidRPr="00A52585">
        <w:rPr>
          <w:rFonts w:hint="cs"/>
          <w:rtl/>
        </w:rPr>
        <w:t>،</w:t>
      </w:r>
      <w:r w:rsidRPr="00A52585">
        <w:rPr>
          <w:rFonts w:hint="cs"/>
          <w:rtl/>
        </w:rPr>
        <w:t xml:space="preserve"> </w:t>
      </w:r>
      <w:r w:rsidRPr="00A52585">
        <w:rPr>
          <w:rFonts w:hint="cs"/>
          <w:bCs/>
          <w:rtl/>
        </w:rPr>
        <w:t>وهناك آيات ظاهرها أنّ الله تعالى</w:t>
      </w:r>
      <w:r w:rsidRPr="00A52585">
        <w:rPr>
          <w:rFonts w:hint="cs"/>
          <w:rtl/>
        </w:rPr>
        <w:t xml:space="preserve"> محيط بالعالم وأنّ احاطته بالعالم حسية</w:t>
      </w:r>
      <w:r w:rsidR="00DB731D" w:rsidRPr="00A52585">
        <w:rPr>
          <w:rFonts w:hint="cs"/>
          <w:rtl/>
        </w:rPr>
        <w:t>،،</w:t>
      </w:r>
      <w:r w:rsidRPr="00A52585">
        <w:rPr>
          <w:rFonts w:hint="cs"/>
          <w:rtl/>
        </w:rPr>
        <w:t xml:space="preserve"> واعتقاد هذا الظاهر كفر</w:t>
      </w:r>
      <w:r w:rsidR="00DB731D" w:rsidRPr="00A52585">
        <w:rPr>
          <w:rFonts w:hint="cs"/>
          <w:rtl/>
        </w:rPr>
        <w:t>،</w:t>
      </w:r>
      <w:r w:rsidRPr="00A52585">
        <w:rPr>
          <w:rFonts w:hint="cs"/>
          <w:rtl/>
        </w:rPr>
        <w:t xml:space="preserve"> لأنّ معناه أنّ العالم كله محاط بالرحمن وأنّ الكون بما فيه داخل الرحمن</w:t>
      </w:r>
      <w:r w:rsidR="00DB731D" w:rsidRPr="00A52585">
        <w:rPr>
          <w:rFonts w:hint="cs"/>
          <w:rtl/>
        </w:rPr>
        <w:t>،</w:t>
      </w:r>
      <w:r w:rsidRPr="00A52585">
        <w:rPr>
          <w:rFonts w:hint="cs"/>
          <w:rtl/>
        </w:rPr>
        <w:t xml:space="preserve"> تعالى الله عن ذلك علواً كبيرا</w:t>
      </w:r>
      <w:r w:rsidR="00DB731D" w:rsidRPr="00A52585">
        <w:rPr>
          <w:rFonts w:hint="cs"/>
          <w:rtl/>
        </w:rPr>
        <w:t>،</w:t>
      </w:r>
      <w:r w:rsidRPr="00A52585">
        <w:rPr>
          <w:rFonts w:hint="cs"/>
          <w:rtl/>
        </w:rPr>
        <w:t xml:space="preserve"> ومن هذه الآيات</w:t>
      </w:r>
      <w:r w:rsidR="00DB731D" w:rsidRPr="00A52585">
        <w:rPr>
          <w:rFonts w:hint="cs"/>
          <w:rtl/>
        </w:rPr>
        <w:t>،</w:t>
      </w:r>
      <w:r w:rsidRPr="00A52585">
        <w:rPr>
          <w:rFonts w:hint="cs"/>
          <w:rtl/>
          <w:lang w:bidi="ar-KW"/>
        </w:rPr>
        <w:t xml:space="preserve">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وَلِلَّهِ مَا فِي السَّمَوَاتِ وَمَا فِي الْأَرْضِ وَكَانَ اللَّهُ بِكُلِّ شَيْءٍ مُحِيطًا (126)</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النساء</w:t>
      </w:r>
      <w:r w:rsidR="0002035C" w:rsidRPr="00A52585">
        <w:rPr>
          <w:rFonts w:hint="cs"/>
          <w:rtl/>
        </w:rPr>
        <w:t>:</w:t>
      </w:r>
      <w:r w:rsidRPr="00A52585">
        <w:rPr>
          <w:rFonts w:hint="cs"/>
          <w:rtl/>
        </w:rPr>
        <w:t xml:space="preserve"> 126</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أَلَا إِنَّهُمْ فِي مِرْيَةٍ مِنْ لِقَاءِ رَبِّهِمْ أَلَا إِنَّهُ بِكُلِّ شَيْءٍ مُحِيطٌ (54)</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فصلت</w:t>
      </w:r>
      <w:r w:rsidR="0002035C" w:rsidRPr="00A52585">
        <w:rPr>
          <w:rFonts w:hint="cs"/>
          <w:rtl/>
        </w:rPr>
        <w:t>:</w:t>
      </w:r>
      <w:r w:rsidRPr="00A52585">
        <w:rPr>
          <w:rFonts w:hint="cs"/>
          <w:rtl/>
        </w:rPr>
        <w:t xml:space="preserve"> 54</w:t>
      </w:r>
      <w:r w:rsidR="0002035C" w:rsidRPr="00A52585">
        <w:rPr>
          <w:rFonts w:hint="cs"/>
          <w:rtl/>
        </w:rPr>
        <w:t>]</w:t>
      </w:r>
      <w:r w:rsidR="00DB731D" w:rsidRPr="00A52585">
        <w:rPr>
          <w:rFonts w:hint="cs"/>
          <w:rtl/>
        </w:rPr>
        <w:t>،</w:t>
      </w:r>
      <w:r w:rsidRPr="00A52585">
        <w:rPr>
          <w:rFonts w:hint="cs"/>
          <w:rtl/>
        </w:rPr>
        <w:t xml:space="preserve"> وهذه الادلة ظاهرها يفيد إحاطة الله تعالى الذاتية بكل شيء</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0002035C" w:rsidRPr="00A52585">
        <w:rPr>
          <w:rFonts w:hint="cs"/>
          <w:rtl/>
        </w:rPr>
        <w:t xml:space="preserve"> </w:t>
      </w:r>
      <w:r w:rsidRPr="00A52585">
        <w:rPr>
          <w:rFonts w:hint="cs"/>
          <w:rtl/>
        </w:rPr>
        <w:t>واعتقاد هذا الظاهر كفر</w:t>
      </w:r>
      <w:r w:rsidR="00DB731D" w:rsidRPr="00A52585">
        <w:rPr>
          <w:rFonts w:hint="cs"/>
          <w:rtl/>
        </w:rPr>
        <w:t>،</w:t>
      </w:r>
      <w:r w:rsidRPr="00A52585">
        <w:rPr>
          <w:rFonts w:hint="cs"/>
          <w:rtl/>
        </w:rPr>
        <w:t xml:space="preserve"> لأنّ الله تعالى تقدس وتنزه عن معاني الحلول والاتحاد ومعاني المماسة والاتصال ليس كذاته ذات</w:t>
      </w:r>
      <w:r w:rsidR="0002035C" w:rsidRPr="00A52585">
        <w:rPr>
          <w:rFonts w:hint="cs"/>
          <w:rtl/>
        </w:rPr>
        <w:t xml:space="preserve"> </w:t>
      </w:r>
      <w:r w:rsidRPr="00A52585">
        <w:rPr>
          <w:rFonts w:hint="cs"/>
          <w:rtl/>
        </w:rPr>
        <w:t>تنزه عن كل ما خطر بقلوب البشر له الكمال والتنزيه المطلقين في ذاته وصفاته وافعاله ليس كمثله شيء ولا نحيط به علما</w:t>
      </w:r>
      <w:r w:rsidR="00DB731D" w:rsidRPr="00A52585">
        <w:rPr>
          <w:rFonts w:hint="cs"/>
          <w:rtl/>
        </w:rPr>
        <w:t>،</w:t>
      </w:r>
      <w:r w:rsidRPr="00A52585">
        <w:rPr>
          <w:rFonts w:hint="cs"/>
          <w:rtl/>
        </w:rPr>
        <w:t xml:space="preserve"> نعجز عن ادراك ذاته</w:t>
      </w:r>
      <w:r w:rsidR="00DB731D" w:rsidRPr="00A52585">
        <w:rPr>
          <w:rFonts w:hint="cs"/>
          <w:rtl/>
        </w:rPr>
        <w:t>،</w:t>
      </w:r>
      <w:r w:rsidRPr="00A52585">
        <w:rPr>
          <w:rFonts w:hint="cs"/>
          <w:rtl/>
        </w:rPr>
        <w:t xml:space="preserve"> وما نستطيع ان نقدره قدره</w:t>
      </w:r>
      <w:r w:rsidR="00DB731D" w:rsidRPr="00A52585">
        <w:rPr>
          <w:rFonts w:hint="cs"/>
          <w:rtl/>
        </w:rPr>
        <w:t>،</w:t>
      </w:r>
      <w:r w:rsidRPr="00A52585">
        <w:rPr>
          <w:rFonts w:hint="cs"/>
          <w:rtl/>
        </w:rPr>
        <w:t xml:space="preserve"> لا نحصي ثناءً عليه</w:t>
      </w:r>
      <w:r w:rsidR="00DB731D" w:rsidRPr="00A52585">
        <w:rPr>
          <w:rFonts w:hint="cs"/>
          <w:rtl/>
        </w:rPr>
        <w:t>،</w:t>
      </w:r>
      <w:r w:rsidRPr="00A52585">
        <w:rPr>
          <w:rFonts w:hint="cs"/>
          <w:rtl/>
        </w:rPr>
        <w:t xml:space="preserve"> هو كما أثنى على نفسه</w:t>
      </w:r>
      <w:r w:rsidR="00DB731D" w:rsidRPr="00A52585">
        <w:rPr>
          <w:rFonts w:hint="cs"/>
          <w:rtl/>
        </w:rPr>
        <w:t>،</w:t>
      </w:r>
      <w:r w:rsidRPr="00A52585">
        <w:rPr>
          <w:rFonts w:hint="cs"/>
          <w:rtl/>
        </w:rPr>
        <w:t xml:space="preserve"> وقد حمل العلماء المتخصصون في العقيدة الإحاطة على إحاطة العلم والسمع والبصر والقدرة</w:t>
      </w:r>
      <w:r w:rsidR="00DB731D" w:rsidRPr="00A52585">
        <w:rPr>
          <w:rFonts w:hint="cs"/>
          <w:rtl/>
        </w:rPr>
        <w:t>،</w:t>
      </w:r>
      <w:r w:rsidRPr="00A52585">
        <w:rPr>
          <w:rFonts w:hint="cs"/>
          <w:rtl/>
        </w:rPr>
        <w:t xml:space="preserve"> وذلك للتنزيه وابعاد شبهة الحلول والاتحاد مع المخلوقات</w:t>
      </w:r>
      <w:r w:rsidR="00DB731D" w:rsidRPr="00A52585">
        <w:rPr>
          <w:rFonts w:hint="cs"/>
          <w:rtl/>
        </w:rPr>
        <w:t>،</w:t>
      </w:r>
      <w:r w:rsidRPr="00A52585">
        <w:rPr>
          <w:rFonts w:hint="cs"/>
          <w:rtl/>
        </w:rPr>
        <w:t xml:space="preserve"> كما حملوا متشابه الآيات السابقة على المحكم من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 اللَّهَ قَدْ أَحَاطَ بِكُلِّ شَيْءٍ عِلْمًا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الطلاق</w:t>
      </w:r>
      <w:r w:rsidR="0002035C" w:rsidRPr="00A52585">
        <w:rPr>
          <w:rFonts w:hint="cs"/>
          <w:rtl/>
        </w:rPr>
        <w:t>:</w:t>
      </w:r>
      <w:r w:rsidRPr="00A52585">
        <w:rPr>
          <w:rFonts w:hint="cs"/>
          <w:rtl/>
        </w:rPr>
        <w:t xml:space="preserve"> 12</w:t>
      </w:r>
      <w:r w:rsidR="0002035C" w:rsidRPr="00A52585">
        <w:rPr>
          <w:rFonts w:hint="cs"/>
          <w:rtl/>
        </w:rPr>
        <w:t>]</w:t>
      </w:r>
      <w:r w:rsidR="00DB731D" w:rsidRPr="00A52585">
        <w:rPr>
          <w:rFonts w:hint="cs"/>
          <w:rtl/>
        </w:rPr>
        <w:t>،</w:t>
      </w:r>
      <w:r w:rsidRPr="00A52585">
        <w:rPr>
          <w:rFonts w:hint="cs"/>
          <w:rtl/>
        </w:rPr>
        <w:t xml:space="preserve"> إذ جعلت الآية الإحاطة هي إحاطة العلم</w:t>
      </w:r>
      <w:r w:rsidR="00DB731D" w:rsidRPr="00A52585">
        <w:rPr>
          <w:rFonts w:hint="cs"/>
          <w:rtl/>
        </w:rPr>
        <w:t>،</w:t>
      </w:r>
      <w:r w:rsidRPr="00A52585">
        <w:rPr>
          <w:rFonts w:hint="cs"/>
          <w:rtl/>
        </w:rPr>
        <w:t xml:space="preserve"> وسع ربي كل شيء علما</w:t>
      </w:r>
      <w:r w:rsidR="00DB731D" w:rsidRPr="00A52585">
        <w:rPr>
          <w:rFonts w:hint="cs"/>
          <w:rtl/>
        </w:rPr>
        <w:t>،</w:t>
      </w:r>
      <w:r w:rsidRPr="00A52585">
        <w:rPr>
          <w:rFonts w:hint="cs"/>
          <w:rtl/>
        </w:rPr>
        <w:t xml:space="preserve"> </w:t>
      </w:r>
      <w:r w:rsidRPr="00A52585">
        <w:rPr>
          <w:rFonts w:hint="cs"/>
          <w:bCs/>
          <w:rtl/>
        </w:rPr>
        <w:t>وهناك آيات ظاهرها أنّ الله تعالى معنا بذاته</w:t>
      </w:r>
      <w:r w:rsidR="00DB731D" w:rsidRPr="00A52585">
        <w:rPr>
          <w:rFonts w:hint="cs"/>
          <w:bCs/>
          <w:rtl/>
        </w:rPr>
        <w:t>،</w:t>
      </w:r>
      <w:r w:rsidRPr="00A52585">
        <w:rPr>
          <w:rFonts w:hint="cs"/>
          <w:bCs/>
          <w:rtl/>
        </w:rPr>
        <w:t xml:space="preserve"> </w:t>
      </w:r>
      <w:r w:rsidRPr="00A52585">
        <w:rPr>
          <w:rFonts w:hint="cs"/>
          <w:rtl/>
        </w:rPr>
        <w:t>واعتقاد هذا الظاهر كفر</w:t>
      </w:r>
      <w:r w:rsidR="00DB731D" w:rsidRPr="00A52585">
        <w:rPr>
          <w:rFonts w:hint="cs"/>
          <w:rtl/>
        </w:rPr>
        <w:t>،</w:t>
      </w:r>
      <w:r w:rsidRPr="00A52585">
        <w:rPr>
          <w:rFonts w:hint="cs"/>
          <w:rtl/>
        </w:rPr>
        <w:t xml:space="preserve"> لأنّ الله تعالى منزه عن الاتحاد أو الحلول بخلقه</w:t>
      </w:r>
      <w:r w:rsidR="00DB731D" w:rsidRPr="00A52585">
        <w:rPr>
          <w:rFonts w:hint="cs"/>
          <w:rtl/>
        </w:rPr>
        <w:t>،</w:t>
      </w:r>
      <w:r w:rsidRPr="00A52585">
        <w:rPr>
          <w:rFonts w:hint="cs"/>
          <w:bCs/>
          <w:rtl/>
        </w:rPr>
        <w:t xml:space="preserve"> </w:t>
      </w:r>
      <w:r w:rsidRPr="00A52585">
        <w:rPr>
          <w:rFonts w:hint="cs"/>
          <w:rtl/>
        </w:rPr>
        <w:t>ومنزه عن القرب الحسي بالذات</w:t>
      </w:r>
      <w:r w:rsidR="00DB731D" w:rsidRPr="00A52585">
        <w:rPr>
          <w:rFonts w:hint="cs"/>
          <w:rtl/>
        </w:rPr>
        <w:t>،</w:t>
      </w:r>
      <w:r w:rsidRPr="00A52585">
        <w:rPr>
          <w:rFonts w:hint="cs"/>
          <w:rtl/>
        </w:rPr>
        <w:t xml:space="preserve"> ومن هذه الآيات </w:t>
      </w:r>
      <w:r w:rsidRPr="00A52585">
        <w:rPr>
          <w:rFonts w:hint="cs"/>
          <w:rtl/>
          <w:lang w:bidi="ar-KW"/>
        </w:rPr>
        <w:t>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وَإِذَا سَأَلَكَ عِبَادِي عَنِّي فَإِنِّي قَرِيبٌ أُجِيبُ دَعْوَةَ الدَّاعِ إِذَا دَعَانِ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فَاسْتَغْفِرُوهُ ثُمَّ تُوبُوا إِلَيْهِ إِنَّ رَبِّي قَرِيبٌ مُجِيبٌ</w:t>
      </w:r>
      <w:r w:rsidR="0002035C" w:rsidRPr="00A52585">
        <w:rPr>
          <w:rFonts w:hint="cs"/>
          <w:rtl/>
        </w:rPr>
        <w:t>}</w:t>
      </w:r>
      <w:r w:rsidRPr="00A52585">
        <w:rPr>
          <w:rFonts w:hint="cs"/>
          <w:rtl/>
        </w:rPr>
        <w:t xml:space="preserve"> [هود</w:t>
      </w:r>
      <w:r w:rsidR="0002035C" w:rsidRPr="00A52585">
        <w:rPr>
          <w:rFonts w:hint="cs"/>
          <w:rtl/>
        </w:rPr>
        <w:t>:</w:t>
      </w:r>
      <w:r w:rsidRPr="00A52585">
        <w:rPr>
          <w:rFonts w:hint="cs"/>
          <w:rtl/>
        </w:rPr>
        <w:t xml:space="preserve"> 61</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 إِنْ ضَلَلْتُ فَإِنَّمَا أَضِلُّ عَلَى نَفْسِي وَإِنِ اهْتَدَيْتُ فَبِمَا يُوحِي إِلَيَّ رَبِّي إِنَّهُ سَمِيعٌ قَرِيبٌ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سبأ</w:t>
      </w:r>
      <w:r w:rsidR="0002035C" w:rsidRPr="00A52585">
        <w:rPr>
          <w:rFonts w:hint="cs"/>
          <w:rtl/>
        </w:rPr>
        <w:t>:</w:t>
      </w:r>
      <w:r w:rsidRPr="00A52585">
        <w:rPr>
          <w:rFonts w:hint="cs"/>
          <w:rtl/>
        </w:rPr>
        <w:t xml:space="preserve"> 50</w:t>
      </w:r>
      <w:r w:rsidR="0002035C" w:rsidRPr="00A52585">
        <w:rPr>
          <w:rFonts w:hint="cs"/>
          <w:rtl/>
        </w:rPr>
        <w:t>]</w:t>
      </w:r>
      <w:r w:rsidR="00DB731D" w:rsidRPr="00A52585">
        <w:rPr>
          <w:rFonts w:hint="cs"/>
          <w:rtl/>
        </w:rPr>
        <w:t>،</w:t>
      </w:r>
      <w:r w:rsidRPr="00A52585">
        <w:rPr>
          <w:rFonts w:hint="cs"/>
          <w:rtl/>
        </w:rPr>
        <w:t>،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وَلَقَدْ خَلَقْنَا الْإِنْسَانَ وَنَعْلَمُ مَا تُوَسْوِسُ بِهِ نَفْسُهُ وَنَحْنُ أَقْرَبُ إِلَيْهِ مِنْ حَبْلِ الْوَرِيدِ</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w:t>
      </w:r>
      <w:r w:rsidR="0002035C" w:rsidRPr="00A52585">
        <w:rPr>
          <w:rFonts w:hint="cs"/>
          <w:rtl/>
        </w:rPr>
        <w:t>:</w:t>
      </w:r>
      <w:r w:rsidRPr="00A52585">
        <w:rPr>
          <w:rFonts w:hint="cs"/>
          <w:rtl/>
        </w:rPr>
        <w:t xml:space="preserve"> 16</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وَنَحْنُ أَقْرَبُ إِلَيْهِ مِنْكُمْ وَلَكِنْ لَا تُبْصِرُونَ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الواقعة</w:t>
      </w:r>
      <w:r w:rsidR="0002035C" w:rsidRPr="00A52585">
        <w:rPr>
          <w:rFonts w:hint="cs"/>
          <w:rtl/>
        </w:rPr>
        <w:t>:</w:t>
      </w:r>
      <w:r w:rsidRPr="00A52585">
        <w:rPr>
          <w:rFonts w:hint="cs"/>
          <w:rtl/>
        </w:rPr>
        <w:t xml:space="preserve"> 85</w:t>
      </w:r>
      <w:r w:rsidR="0002035C" w:rsidRPr="00A52585">
        <w:rPr>
          <w:rFonts w:hint="cs"/>
          <w:rtl/>
        </w:rPr>
        <w:t>]</w:t>
      </w:r>
      <w:r w:rsidR="00DB731D" w:rsidRPr="00A52585">
        <w:rPr>
          <w:rFonts w:hint="cs"/>
          <w:rtl/>
        </w:rPr>
        <w:t>،</w:t>
      </w:r>
      <w:r w:rsidRPr="00A52585">
        <w:rPr>
          <w:rFonts w:hint="cs"/>
          <w:rtl/>
        </w:rPr>
        <w:t xml:space="preserve"> وظاهر هذه الادلة يدل على قرب الله تعالى بذاته من عباده</w:t>
      </w:r>
      <w:r w:rsidR="00DB731D" w:rsidRPr="00A52585">
        <w:rPr>
          <w:rFonts w:hint="cs"/>
          <w:rtl/>
        </w:rPr>
        <w:t>،</w:t>
      </w:r>
      <w:r w:rsidRPr="00A52585">
        <w:rPr>
          <w:rFonts w:hint="cs"/>
          <w:rtl/>
        </w:rPr>
        <w:t xml:space="preserve"> وهذا الظاهر محال على الله تعالى</w:t>
      </w:r>
      <w:r w:rsidR="00DB731D" w:rsidRPr="00A52585">
        <w:rPr>
          <w:rFonts w:hint="cs"/>
          <w:rtl/>
        </w:rPr>
        <w:t>،</w:t>
      </w:r>
      <w:r w:rsidRPr="00A52585">
        <w:rPr>
          <w:rFonts w:hint="cs"/>
          <w:rtl/>
        </w:rPr>
        <w:t xml:space="preserve"> </w:t>
      </w:r>
      <w:r w:rsidRPr="00A52585">
        <w:rPr>
          <w:rFonts w:hint="cs"/>
          <w:rtl/>
        </w:rPr>
        <w:lastRenderedPageBreak/>
        <w:t>إذ هو قرب منزه عن الاتحاد والحلول والاتصال والانفصال مع خلقه ليس كمثله شيء</w:t>
      </w:r>
      <w:r w:rsidR="00DB731D" w:rsidRPr="00A52585">
        <w:rPr>
          <w:rFonts w:hint="cs"/>
          <w:rtl/>
        </w:rPr>
        <w:t>،</w:t>
      </w:r>
      <w:r w:rsidRPr="00A52585">
        <w:rPr>
          <w:rFonts w:hint="cs"/>
          <w:rtl/>
        </w:rPr>
        <w:t xml:space="preserve"> وقد حمل العلماء المتخصصون في العقيدة القرب على قرب العلم والسمع والبصر والقدرة</w:t>
      </w:r>
      <w:r w:rsidR="00DB731D" w:rsidRPr="00A52585">
        <w:rPr>
          <w:rFonts w:hint="cs"/>
          <w:rtl/>
        </w:rPr>
        <w:t>،</w:t>
      </w:r>
      <w:r w:rsidRPr="00A52585">
        <w:rPr>
          <w:rFonts w:hint="cs"/>
          <w:rtl/>
        </w:rPr>
        <w:t xml:space="preserve"> وقرب الملائكة</w:t>
      </w:r>
      <w:r w:rsidR="00DB731D" w:rsidRPr="00A52585">
        <w:rPr>
          <w:rFonts w:hint="cs"/>
          <w:rtl/>
        </w:rPr>
        <w:t>،</w:t>
      </w:r>
      <w:r w:rsidRPr="00A52585">
        <w:rPr>
          <w:rFonts w:hint="cs"/>
          <w:rtl/>
        </w:rPr>
        <w:t xml:space="preserve"> وذلك للتنزيه وابعاد شبهة الحلول والاتحاد مع المخلوقات</w:t>
      </w:r>
      <w:r w:rsidR="00DB731D" w:rsidRPr="00A52585">
        <w:rPr>
          <w:rFonts w:hint="cs"/>
          <w:rtl/>
        </w:rPr>
        <w:t>،</w:t>
      </w:r>
      <w:r w:rsidR="0002035C" w:rsidRPr="00A52585">
        <w:rPr>
          <w:rFonts w:hint="cs"/>
          <w:rtl/>
        </w:rPr>
        <w:t xml:space="preserve"> </w:t>
      </w:r>
      <w:r w:rsidRPr="00A52585">
        <w:rPr>
          <w:rFonts w:hint="cs"/>
          <w:bCs/>
          <w:rtl/>
        </w:rPr>
        <w:t>وهناك آيات ظاهرها - لمن جهل قواعد التقديس - أنّ الله تعالى مستوٍ على عرشه بذاته</w:t>
      </w:r>
      <w:r w:rsidR="00DB731D" w:rsidRPr="00A52585">
        <w:rPr>
          <w:rFonts w:hint="cs"/>
          <w:rtl/>
        </w:rPr>
        <w:t>،</w:t>
      </w:r>
      <w:r w:rsidRPr="00A52585">
        <w:rPr>
          <w:rFonts w:hint="cs"/>
          <w:rtl/>
        </w:rPr>
        <w:t xml:space="preserve"> يجلس على عرشه بذاته ويستقر عليه بذاته</w:t>
      </w:r>
      <w:r w:rsidR="00DB731D" w:rsidRPr="00A52585">
        <w:rPr>
          <w:rFonts w:hint="cs"/>
          <w:rtl/>
        </w:rPr>
        <w:t>،</w:t>
      </w:r>
      <w:r w:rsidRPr="00A52585">
        <w:rPr>
          <w:rFonts w:hint="cs"/>
          <w:rtl/>
        </w:rPr>
        <w:t xml:space="preserve"> وأنّ العرش مكان الرحمن واعتقاد هذا الظاهر جهل وضلال</w:t>
      </w:r>
      <w:r w:rsidR="00DB731D" w:rsidRPr="00A52585">
        <w:rPr>
          <w:rFonts w:hint="cs"/>
          <w:rtl/>
        </w:rPr>
        <w:t>،</w:t>
      </w:r>
      <w:r w:rsidRPr="00A52585">
        <w:rPr>
          <w:rFonts w:hint="cs"/>
          <w:rtl/>
        </w:rPr>
        <w:t xml:space="preserve"> لأنّ العرش خلق من خلق الله</w:t>
      </w:r>
      <w:r w:rsidR="00DB731D" w:rsidRPr="00A52585">
        <w:rPr>
          <w:rFonts w:hint="cs"/>
          <w:rtl/>
        </w:rPr>
        <w:t>،</w:t>
      </w:r>
      <w:r w:rsidRPr="00A52585">
        <w:rPr>
          <w:rFonts w:hint="cs"/>
          <w:rtl/>
        </w:rPr>
        <w:t xml:space="preserve"> ولا يجوز في حق الله تعالى المماسة والاتصال مع شيء من خلقه</w:t>
      </w:r>
      <w:r w:rsidR="00DB731D" w:rsidRPr="00A52585">
        <w:rPr>
          <w:rFonts w:hint="cs"/>
          <w:rtl/>
        </w:rPr>
        <w:t>،</w:t>
      </w:r>
      <w:r w:rsidRPr="00A52585">
        <w:rPr>
          <w:rFonts w:hint="cs"/>
          <w:rtl/>
        </w:rPr>
        <w:t xml:space="preserve"> كما لا يجوز في حق الله تعالى الحيز والحد والمقدار</w:t>
      </w:r>
      <w:r w:rsidR="00DB731D" w:rsidRPr="00A52585">
        <w:rPr>
          <w:rFonts w:hint="cs"/>
          <w:rtl/>
        </w:rPr>
        <w:t>،</w:t>
      </w:r>
      <w:r w:rsidRPr="00A52585">
        <w:rPr>
          <w:rFonts w:hint="cs"/>
          <w:rtl/>
        </w:rPr>
        <w:t xml:space="preserve"> كما أنّ من لوازم هذا كون العرش أكبر من ذات الرحمن</w:t>
      </w:r>
      <w:r w:rsidR="00DB731D" w:rsidRPr="00A52585">
        <w:rPr>
          <w:rFonts w:hint="cs"/>
          <w:rtl/>
        </w:rPr>
        <w:t>،</w:t>
      </w:r>
      <w:r w:rsidRPr="00A52585">
        <w:rPr>
          <w:rFonts w:hint="cs"/>
          <w:rtl/>
        </w:rPr>
        <w:t xml:space="preserve"> وعقيدة كل المسلمين عدا المجسمة أنّ الله تعالى أكبر من كل شيء</w:t>
      </w:r>
      <w:r w:rsidR="00DB731D" w:rsidRPr="00A52585">
        <w:rPr>
          <w:rFonts w:hint="cs"/>
          <w:rtl/>
        </w:rPr>
        <w:t>،</w:t>
      </w:r>
      <w:r w:rsidRPr="00A52585">
        <w:rPr>
          <w:rFonts w:hint="cs"/>
          <w:rtl/>
        </w:rPr>
        <w:t xml:space="preserve"> وأنه الواحد القهار</w:t>
      </w:r>
      <w:r w:rsidR="00DB731D" w:rsidRPr="00A52585">
        <w:rPr>
          <w:rFonts w:hint="cs"/>
          <w:rtl/>
        </w:rPr>
        <w:t>،</w:t>
      </w:r>
      <w:r w:rsidRPr="00A52585">
        <w:rPr>
          <w:rFonts w:hint="cs"/>
          <w:rtl/>
        </w:rPr>
        <w:t xml:space="preserve"> وأنّه الكبير المتعال</w:t>
      </w:r>
      <w:r w:rsidR="00DB731D" w:rsidRPr="00A52585">
        <w:rPr>
          <w:rFonts w:hint="cs"/>
          <w:rtl/>
        </w:rPr>
        <w:t>،</w:t>
      </w:r>
      <w:r w:rsidRPr="00A52585">
        <w:rPr>
          <w:rFonts w:hint="cs"/>
          <w:rtl/>
        </w:rPr>
        <w:t xml:space="preserve"> وأنّه مستغن عن خلقه بما فيهم عرشه وغيره</w:t>
      </w:r>
      <w:r w:rsidR="00DB731D" w:rsidRPr="00A52585">
        <w:rPr>
          <w:rFonts w:hint="cs"/>
          <w:rtl/>
        </w:rPr>
        <w:t>،</w:t>
      </w:r>
      <w:r w:rsidRPr="00A52585">
        <w:rPr>
          <w:rFonts w:hint="cs"/>
          <w:rtl/>
        </w:rPr>
        <w:t xml:space="preserve"> وهو رب العالمين وهو رب العرش وغيره من خلق الله</w:t>
      </w:r>
      <w:r w:rsidR="00DB731D" w:rsidRPr="00A52585">
        <w:rPr>
          <w:rFonts w:hint="cs"/>
          <w:rtl/>
        </w:rPr>
        <w:t>،</w:t>
      </w:r>
      <w:r w:rsidR="0002035C" w:rsidRPr="00A52585">
        <w:rPr>
          <w:rFonts w:hint="cs"/>
          <w:rtl/>
        </w:rPr>
        <w:t xml:space="preserve"> </w:t>
      </w:r>
      <w:r w:rsidRPr="00A52585">
        <w:rPr>
          <w:rFonts w:hint="cs"/>
          <w:rtl/>
        </w:rPr>
        <w:t xml:space="preserve">وقد ورد الاستواء في سبعة مواضع من القرآن الكريم كلها تدل لمن تدبرها </w:t>
      </w:r>
      <w:proofErr w:type="spellStart"/>
      <w:r w:rsidRPr="00A52585">
        <w:rPr>
          <w:rFonts w:hint="cs"/>
          <w:rtl/>
        </w:rPr>
        <w:t>بقرآئنها</w:t>
      </w:r>
      <w:proofErr w:type="spellEnd"/>
      <w:r w:rsidRPr="00A52585">
        <w:rPr>
          <w:rFonts w:hint="cs"/>
          <w:rtl/>
        </w:rPr>
        <w:t xml:space="preserve"> كما ذكرناها في الباب الأول</w:t>
      </w:r>
      <w:r w:rsidR="0002035C" w:rsidRPr="00A52585">
        <w:rPr>
          <w:rFonts w:hint="cs"/>
          <w:rtl/>
        </w:rPr>
        <w:t>:</w:t>
      </w:r>
      <w:r w:rsidRPr="00A52585">
        <w:rPr>
          <w:rFonts w:hint="cs"/>
          <w:rtl/>
        </w:rPr>
        <w:t xml:space="preserve"> القاعدة الثامنة</w:t>
      </w:r>
      <w:r w:rsidR="0002035C" w:rsidRPr="00A52585">
        <w:rPr>
          <w:rFonts w:hint="cs"/>
          <w:rtl/>
        </w:rPr>
        <w:t>:</w:t>
      </w:r>
      <w:r w:rsidRPr="00A52585">
        <w:rPr>
          <w:rFonts w:hint="cs"/>
          <w:rtl/>
        </w:rPr>
        <w:t xml:space="preserve"> فقه العلم بالقرب مع الاستواء مع الإحاطة في حق ذات الله تعالى</w:t>
      </w:r>
      <w:r w:rsidR="00DB731D" w:rsidRPr="00A52585">
        <w:rPr>
          <w:rFonts w:hint="cs"/>
          <w:rtl/>
        </w:rPr>
        <w:t>،</w:t>
      </w:r>
      <w:r w:rsidRPr="00A52585">
        <w:rPr>
          <w:rFonts w:hint="cs"/>
          <w:rtl/>
        </w:rPr>
        <w:t xml:space="preserve"> بأن الاستواء المقصود هو استواء ملك وقهر وتسخير وهيمنة وربوبية </w:t>
      </w:r>
      <w:proofErr w:type="spellStart"/>
      <w:r w:rsidRPr="00A52585">
        <w:rPr>
          <w:rFonts w:hint="cs"/>
          <w:rtl/>
        </w:rPr>
        <w:t>للعالم</w:t>
      </w:r>
      <w:r w:rsidR="00DB731D" w:rsidRPr="00A52585">
        <w:rPr>
          <w:rFonts w:hint="cs"/>
          <w:rtl/>
        </w:rPr>
        <w:t>،</w:t>
      </w:r>
      <w:r w:rsidRPr="00A52585">
        <w:rPr>
          <w:rFonts w:hint="cs"/>
          <w:rtl/>
        </w:rPr>
        <w:t>وبيان</w:t>
      </w:r>
      <w:proofErr w:type="spellEnd"/>
      <w:r w:rsidRPr="00A52585">
        <w:rPr>
          <w:rFonts w:hint="cs"/>
          <w:rtl/>
        </w:rPr>
        <w:t xml:space="preserve"> كمال قدرته التامة سبحانه في تدابير الملك والملكوت</w:t>
      </w:r>
      <w:r w:rsidR="00DB731D" w:rsidRPr="00A52585">
        <w:rPr>
          <w:rFonts w:hint="cs"/>
          <w:rtl/>
        </w:rPr>
        <w:t>،</w:t>
      </w:r>
      <w:r w:rsidRPr="00A52585">
        <w:rPr>
          <w:rFonts w:hint="cs"/>
          <w:rtl/>
        </w:rPr>
        <w:t xml:space="preserve"> فهذا هو التمدح المقصود بالاستواء</w:t>
      </w:r>
      <w:r w:rsidR="00DB731D" w:rsidRPr="00A52585">
        <w:rPr>
          <w:rFonts w:hint="cs"/>
          <w:rtl/>
        </w:rPr>
        <w:t>،</w:t>
      </w:r>
      <w:r w:rsidRPr="00A52585">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DB731D" w:rsidRPr="00A52585">
        <w:rPr>
          <w:rFonts w:hint="cs"/>
          <w:rtl/>
        </w:rPr>
        <w:t>،</w:t>
      </w:r>
      <w:r w:rsidRPr="00A52585">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DB731D" w:rsidRPr="00A52585">
        <w:rPr>
          <w:rFonts w:hint="cs"/>
          <w:rtl/>
        </w:rPr>
        <w:t>،</w:t>
      </w:r>
      <w:r w:rsidRPr="00A52585">
        <w:rPr>
          <w:rFonts w:hint="cs"/>
          <w:rtl/>
        </w:rPr>
        <w:t xml:space="preserve"> وأما ما يزعمون من أنه استواء استقرار فهو باطل لأن الله عز وجل منزه عن التغير والحدوث</w:t>
      </w:r>
      <w:r w:rsidR="00DB731D" w:rsidRPr="00A52585">
        <w:rPr>
          <w:rFonts w:hint="cs"/>
          <w:rtl/>
        </w:rPr>
        <w:t>،</w:t>
      </w:r>
      <w:r w:rsidRPr="00A52585">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DB731D" w:rsidRPr="00A52585">
        <w:rPr>
          <w:rFonts w:hint="cs"/>
          <w:rtl/>
        </w:rPr>
        <w:t>،</w:t>
      </w:r>
      <w:r w:rsidRPr="00A52585">
        <w:rPr>
          <w:rFonts w:hint="cs"/>
          <w:rtl/>
        </w:rPr>
        <w:t xml:space="preserve"> والتمدح لا يكون بالكون في المكان ولا بالاستقرار ولكن ببيان صفات القدرة والعظمة وهذا هو مقصود آيات القرآن</w:t>
      </w:r>
      <w:r w:rsidR="00DB731D" w:rsidRPr="00A52585">
        <w:rPr>
          <w:rFonts w:hint="cs"/>
          <w:rtl/>
        </w:rPr>
        <w:t>،</w:t>
      </w:r>
      <w:r w:rsidRPr="00A52585">
        <w:rPr>
          <w:rFonts w:hint="cs"/>
          <w:rtl/>
        </w:rPr>
        <w:t xml:space="preserve"> ومثال ذلك </w:t>
      </w: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02035C" w:rsidRPr="00A52585">
        <w:rPr>
          <w:rFonts w:hint="cs"/>
          <w:rtl/>
        </w:rPr>
        <w:t>}</w:t>
      </w:r>
      <w:r w:rsidRPr="00A52585">
        <w:rPr>
          <w:rFonts w:hint="cs"/>
          <w:rtl/>
        </w:rPr>
        <w:t xml:space="preserve"> [الحديد: 2 إلى 5</w:t>
      </w:r>
      <w:r w:rsidR="0002035C" w:rsidRPr="00A52585">
        <w:rPr>
          <w:rFonts w:hint="cs"/>
          <w:rtl/>
        </w:rPr>
        <w:t>]</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هاهنا استواء ملك وربوبية وتدبير بقرائن عديدة لمن تدبرها منه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له ملك السموات والأرض}</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{خلق السموات والأرض</w:t>
      </w:r>
      <w:r w:rsidR="0002035C" w:rsidRPr="00A52585">
        <w:rPr>
          <w:rFonts w:hint="cs"/>
          <w:rtl/>
        </w:rPr>
        <w:t>}</w:t>
      </w:r>
      <w:r w:rsidRPr="00A52585">
        <w:rPr>
          <w:rFonts w:hint="cs"/>
          <w:rtl/>
        </w:rPr>
        <w:t xml:space="preserve"> </w:t>
      </w:r>
      <w:r w:rsidRPr="00A52585">
        <w:rPr>
          <w:rFonts w:hint="cs"/>
          <w:rtl/>
        </w:rPr>
        <w:lastRenderedPageBreak/>
        <w:t>ثم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له ملك السموات والأرض</w:t>
      </w:r>
      <w:r w:rsidR="0002035C" w:rsidRPr="00A52585">
        <w:rPr>
          <w:rFonts w:hint="cs"/>
          <w:rtl/>
        </w:rPr>
        <w:t>}</w:t>
      </w:r>
      <w:r w:rsidRPr="00A52585">
        <w:rPr>
          <w:rFonts w:hint="cs"/>
          <w:rtl/>
        </w:rPr>
        <w:t xml:space="preserve"> ثم هذه الآية تمتلئ بقواعد تنزيه تنافي ما يقوله المخطئون</w:t>
      </w:r>
      <w:r w:rsidR="00DB731D" w:rsidRPr="00A52585">
        <w:rPr>
          <w:rFonts w:hint="cs"/>
          <w:rtl/>
        </w:rPr>
        <w:t>،</w:t>
      </w:r>
      <w:r w:rsidRPr="00A52585">
        <w:rPr>
          <w:rFonts w:hint="cs"/>
          <w:rtl/>
        </w:rPr>
        <w:t xml:space="preserve"> </w:t>
      </w:r>
      <w:r w:rsidRPr="00A52585">
        <w:rPr>
          <w:rFonts w:hint="cs"/>
          <w:bCs/>
          <w:rtl/>
        </w:rPr>
        <w:t>أولا:</w:t>
      </w:r>
      <w:r w:rsidRPr="00A52585">
        <w:rPr>
          <w:rFonts w:hint="cs"/>
          <w:rtl/>
        </w:rPr>
        <w:t xml:space="preserve"> فقوله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 والآخر</w:t>
      </w:r>
      <w:r w:rsidR="0002035C" w:rsidRPr="00A52585">
        <w:rPr>
          <w:rFonts w:hint="cs"/>
          <w:rtl/>
        </w:rPr>
        <w:t>}</w:t>
      </w:r>
      <w:r w:rsidRPr="00A52585">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02035C" w:rsidRPr="00A52585">
        <w:rPr>
          <w:rFonts w:hint="cs"/>
          <w:rtl/>
        </w:rPr>
        <w:t>(</w:t>
      </w:r>
      <w:r w:rsidRPr="00A52585">
        <w:rPr>
          <w:rFonts w:hint="cs"/>
          <w:rtl/>
        </w:rPr>
        <w:t>أي له بداية</w:t>
      </w:r>
      <w:r w:rsidR="0002035C" w:rsidRPr="00A52585">
        <w:rPr>
          <w:rFonts w:hint="cs"/>
          <w:rtl/>
        </w:rPr>
        <w:t>)</w:t>
      </w:r>
      <w:r w:rsidRPr="00A52585">
        <w:rPr>
          <w:rFonts w:hint="cs"/>
          <w:rtl/>
        </w:rPr>
        <w:t xml:space="preserve"> فهو أبدي </w:t>
      </w:r>
      <w:r w:rsidR="0002035C" w:rsidRPr="00A52585">
        <w:rPr>
          <w:rFonts w:hint="cs"/>
          <w:rtl/>
        </w:rPr>
        <w:t>(</w:t>
      </w:r>
      <w:r w:rsidRPr="00A52585">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DB731D" w:rsidRPr="00A52585">
        <w:rPr>
          <w:rFonts w:hint="cs"/>
          <w:rtl/>
        </w:rPr>
        <w:t>،</w:t>
      </w:r>
      <w:r w:rsidRPr="00A52585">
        <w:rPr>
          <w:rFonts w:hint="cs"/>
          <w:rtl/>
        </w:rPr>
        <w:t xml:space="preserve"> </w:t>
      </w:r>
      <w:r w:rsidRPr="00A52585">
        <w:rPr>
          <w:rFonts w:hint="cs"/>
          <w:bCs/>
          <w:rtl/>
        </w:rPr>
        <w:t>ثانيا</w:t>
      </w:r>
      <w:r w:rsidR="0002035C" w:rsidRPr="00A52585">
        <w:rPr>
          <w:rFonts w:hint="cs"/>
          <w:b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الظاهر والباطن</w:t>
      </w:r>
      <w:r w:rsidR="0002035C" w:rsidRPr="00A52585">
        <w:rPr>
          <w:rFonts w:hint="cs"/>
          <w:rtl/>
        </w:rPr>
        <w:t>}</w:t>
      </w:r>
      <w:r w:rsidRPr="00A52585">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897A24" w:rsidRPr="00A52585">
        <w:rPr>
          <w:rFonts w:hint="cs"/>
          <w:rtl/>
        </w:rPr>
        <w:t>.</w:t>
      </w:r>
      <w:r w:rsidRPr="00A52585">
        <w:rPr>
          <w:rFonts w:hint="cs"/>
          <w:rtl/>
        </w:rPr>
        <w:t xml:space="preserve"> وهذا يدل على بطلان قول </w:t>
      </w:r>
      <w:proofErr w:type="spellStart"/>
      <w:r w:rsidRPr="00A52585">
        <w:rPr>
          <w:rFonts w:hint="cs"/>
          <w:rtl/>
        </w:rPr>
        <w:t>الحشوية</w:t>
      </w:r>
      <w:proofErr w:type="spellEnd"/>
      <w:r w:rsidRPr="00A52585">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02035C" w:rsidRPr="00A52585">
        <w:rPr>
          <w:rFonts w:hint="cs"/>
          <w:rtl/>
        </w:rPr>
        <w:t xml:space="preserve"> </w:t>
      </w:r>
      <w:r w:rsidRPr="00A52585">
        <w:rPr>
          <w:rFonts w:hint="cs"/>
          <w:rtl/>
        </w:rPr>
        <w:t>ليس كمثله شيء ولم يكن له كفوا أحد</w:t>
      </w:r>
      <w:r w:rsidR="00DB731D" w:rsidRPr="00A52585">
        <w:rPr>
          <w:rFonts w:hint="cs"/>
          <w:rtl/>
        </w:rPr>
        <w:t>،</w:t>
      </w:r>
      <w:r w:rsidRPr="00A52585">
        <w:rPr>
          <w:rFonts w:hint="cs"/>
          <w:rtl/>
        </w:rPr>
        <w:t xml:space="preserve"> </w:t>
      </w:r>
      <w:r w:rsidRPr="00A52585">
        <w:rPr>
          <w:rFonts w:hint="cs"/>
          <w:bCs/>
          <w:rtl/>
        </w:rPr>
        <w:t>ثالثا</w:t>
      </w:r>
      <w:r w:rsidR="0002035C" w:rsidRPr="00A52585">
        <w:rPr>
          <w:rFonts w:hint="cs"/>
          <w:b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معكم أينما كنتم</w:t>
      </w:r>
      <w:r w:rsidR="0002035C" w:rsidRPr="00A52585">
        <w:rPr>
          <w:rFonts w:hint="cs"/>
          <w:rtl/>
        </w:rPr>
        <w:t>}</w:t>
      </w:r>
      <w:r w:rsidRPr="00A52585">
        <w:rPr>
          <w:rFonts w:hint="cs"/>
          <w:rtl/>
        </w:rPr>
        <w:t xml:space="preserve"> دليل على قربه</w:t>
      </w:r>
      <w:r w:rsidR="00DB731D" w:rsidRPr="00A52585">
        <w:rPr>
          <w:rFonts w:hint="cs"/>
          <w:rtl/>
        </w:rPr>
        <w:t>،</w:t>
      </w:r>
      <w:r w:rsidRPr="00A52585">
        <w:rPr>
          <w:rFonts w:hint="cs"/>
          <w:rtl/>
        </w:rPr>
        <w:t xml:space="preserve"> وليس القرب بأولى بالتأويل من الاستواء</w:t>
      </w:r>
      <w:r w:rsidR="00DB731D" w:rsidRPr="00A52585">
        <w:rPr>
          <w:rFonts w:hint="cs"/>
          <w:rtl/>
        </w:rPr>
        <w:t>،</w:t>
      </w:r>
      <w:r w:rsidRPr="00A52585">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DB731D" w:rsidRPr="00A52585">
        <w:rPr>
          <w:rFonts w:hint="cs"/>
          <w:rtl/>
        </w:rPr>
        <w:t>،</w:t>
      </w:r>
      <w:r w:rsidRPr="00A52585">
        <w:rPr>
          <w:rFonts w:hint="cs"/>
          <w:rtl/>
        </w:rPr>
        <w:t xml:space="preserve"> </w:t>
      </w:r>
      <w:r w:rsidRPr="00A52585">
        <w:rPr>
          <w:rFonts w:hint="cs"/>
          <w:bCs/>
          <w:rtl/>
        </w:rPr>
        <w:t>رابعاً</w:t>
      </w:r>
      <w:r w:rsidR="0002035C" w:rsidRPr="00A52585">
        <w:rPr>
          <w:rFonts w:hint="cs"/>
          <w:bCs/>
          <w:rtl/>
        </w:rPr>
        <w:t>:</w:t>
      </w:r>
      <w:r w:rsidRPr="00A52585">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02035C" w:rsidRPr="00A52585">
        <w:rPr>
          <w:rFonts w:hint="cs"/>
          <w:rtl/>
        </w:rPr>
        <w:t>(</w:t>
      </w:r>
      <w:r w:rsidRPr="00A52585">
        <w:rPr>
          <w:rFonts w:hint="cs"/>
          <w:rtl/>
        </w:rPr>
        <w:t>المعية</w:t>
      </w:r>
      <w:r w:rsidR="0002035C" w:rsidRPr="00A52585">
        <w:rPr>
          <w:rFonts w:hint="cs"/>
          <w:rtl/>
        </w:rPr>
        <w:t>)</w:t>
      </w:r>
      <w:r w:rsidR="00DB731D" w:rsidRPr="00A52585">
        <w:rPr>
          <w:rFonts w:hint="cs"/>
          <w:rtl/>
        </w:rPr>
        <w:t>،</w:t>
      </w:r>
      <w:r w:rsidRPr="00A52585">
        <w:rPr>
          <w:rFonts w:hint="cs"/>
          <w:rtl/>
        </w:rPr>
        <w:t xml:space="preserve"> وليست المعية بأجدر بالتأويل من الاستواء</w:t>
      </w:r>
      <w:r w:rsidR="00DB731D" w:rsidRPr="00A52585">
        <w:rPr>
          <w:rFonts w:hint="cs"/>
          <w:rtl/>
        </w:rPr>
        <w:t>،</w:t>
      </w:r>
      <w:r w:rsidRPr="00A52585">
        <w:rPr>
          <w:rFonts w:hint="cs"/>
          <w:rtl/>
        </w:rPr>
        <w:t xml:space="preserve"> فإنّ تأويل المعية بمعية العلم والسمع والبصر</w:t>
      </w:r>
      <w:r w:rsidR="00DB731D" w:rsidRPr="00A52585">
        <w:rPr>
          <w:rFonts w:hint="cs"/>
          <w:rtl/>
        </w:rPr>
        <w:t>،</w:t>
      </w:r>
      <w:r w:rsidRPr="00A52585">
        <w:rPr>
          <w:rFonts w:hint="cs"/>
          <w:rtl/>
        </w:rPr>
        <w:t xml:space="preserve"> ليس بأولى من تأويل الاستواء بالربوبية والهيمنة والتدبير والتصريف</w:t>
      </w:r>
      <w:r w:rsidR="00DB731D" w:rsidRPr="00A52585">
        <w:rPr>
          <w:rFonts w:hint="cs"/>
          <w:rtl/>
        </w:rPr>
        <w:t>،</w:t>
      </w:r>
      <w:r w:rsidRPr="00A52585">
        <w:rPr>
          <w:rFonts w:hint="cs"/>
          <w:rtl/>
        </w:rPr>
        <w:t xml:space="preserve"> والمنهج الصحيح السوي يقتضي تأويل الجميع</w:t>
      </w:r>
      <w:r w:rsidR="00DB731D" w:rsidRPr="00A52585">
        <w:rPr>
          <w:rFonts w:hint="cs"/>
          <w:rtl/>
        </w:rPr>
        <w:t>،</w:t>
      </w:r>
      <w:r w:rsidRPr="00A52585">
        <w:rPr>
          <w:rFonts w:hint="cs"/>
          <w:rtl/>
        </w:rPr>
        <w:t xml:space="preserve"> بمعنى حمل الجميع على المجاز اللغوي</w:t>
      </w:r>
      <w:r w:rsidR="00DB731D" w:rsidRPr="00A52585">
        <w:rPr>
          <w:rFonts w:hint="cs"/>
          <w:rtl/>
        </w:rPr>
        <w:t>،</w:t>
      </w:r>
      <w:r w:rsidRPr="00A52585">
        <w:rPr>
          <w:rFonts w:hint="cs"/>
          <w:rtl/>
        </w:rPr>
        <w:t xml:space="preserve"> فلا القرب قرب الذات</w:t>
      </w:r>
      <w:r w:rsidR="00DB731D" w:rsidRPr="00A52585">
        <w:rPr>
          <w:rFonts w:hint="cs"/>
          <w:rtl/>
        </w:rPr>
        <w:t>،</w:t>
      </w:r>
      <w:r w:rsidRPr="00A52585">
        <w:rPr>
          <w:rFonts w:hint="cs"/>
          <w:rtl/>
        </w:rPr>
        <w:t xml:space="preserve"> ولا الاستواء استواء الذات بالمعنى الحسي الذي يلائم المخلوق ولا يلائم الخالق</w:t>
      </w:r>
      <w:r w:rsidR="00DB731D" w:rsidRPr="00A52585">
        <w:rPr>
          <w:rFonts w:hint="cs"/>
          <w:rtl/>
        </w:rPr>
        <w:t>،</w:t>
      </w:r>
      <w:r w:rsidRPr="00A52585">
        <w:rPr>
          <w:rFonts w:hint="cs"/>
          <w:rtl/>
        </w:rPr>
        <w:t xml:space="preserve"> أو التفويض في الجميع</w:t>
      </w:r>
      <w:r w:rsidR="00DB731D" w:rsidRPr="00A52585">
        <w:rPr>
          <w:rFonts w:hint="cs"/>
          <w:rtl/>
        </w:rPr>
        <w:t>،</w:t>
      </w:r>
      <w:r w:rsidRPr="00A52585">
        <w:rPr>
          <w:rFonts w:hint="cs"/>
          <w:rtl/>
        </w:rPr>
        <w:t xml:space="preserve"> قرب ليس كمثله شيء</w:t>
      </w:r>
      <w:r w:rsidR="00DB731D" w:rsidRPr="00A52585">
        <w:rPr>
          <w:rFonts w:hint="cs"/>
          <w:rtl/>
        </w:rPr>
        <w:t>،</w:t>
      </w:r>
      <w:r w:rsidRPr="00A52585">
        <w:rPr>
          <w:rFonts w:hint="cs"/>
          <w:rtl/>
        </w:rPr>
        <w:t xml:space="preserve"> واستواء ليس كمثله شيء</w:t>
      </w:r>
      <w:r w:rsidR="00DB731D" w:rsidRPr="00A52585">
        <w:rPr>
          <w:rFonts w:hint="cs"/>
          <w:rtl/>
        </w:rPr>
        <w:t>،</w:t>
      </w:r>
      <w:r w:rsidRPr="00A52585">
        <w:rPr>
          <w:rFonts w:hint="cs"/>
          <w:rtl/>
        </w:rPr>
        <w:t xml:space="preserve"> والحاصل أن القول الفصل في الاستواء</w:t>
      </w:r>
      <w:r w:rsidR="0002035C" w:rsidRPr="00A52585">
        <w:rPr>
          <w:rFonts w:hint="cs"/>
          <w:rtl/>
        </w:rPr>
        <w:t xml:space="preserve"> </w:t>
      </w:r>
      <w:r w:rsidRPr="00A52585">
        <w:rPr>
          <w:rFonts w:hint="cs"/>
          <w:rtl/>
        </w:rPr>
        <w:t>أنه على منهاج أهل السنة والجماعة</w:t>
      </w:r>
      <w:r w:rsidR="00DB731D" w:rsidRPr="00A52585">
        <w:rPr>
          <w:rFonts w:hint="cs"/>
          <w:rtl/>
        </w:rPr>
        <w:t>،</w:t>
      </w:r>
      <w:r w:rsidRPr="00A52585">
        <w:rPr>
          <w:rFonts w:hint="cs"/>
          <w:rtl/>
        </w:rPr>
        <w:t xml:space="preserve"> لا يخرج عن ثلاثة أقوال جميعها عند أهل السنة صحيحة</w:t>
      </w:r>
      <w:r w:rsidR="00DB731D" w:rsidRPr="00A52585">
        <w:rPr>
          <w:rFonts w:hint="cs"/>
          <w:rtl/>
        </w:rPr>
        <w:t>،</w:t>
      </w:r>
      <w:r w:rsidRPr="00A52585">
        <w:rPr>
          <w:rFonts w:hint="cs"/>
          <w:rtl/>
        </w:rPr>
        <w:t xml:space="preserve"> هي</w:t>
      </w:r>
      <w:r w:rsidR="0002035C" w:rsidRPr="00A52585">
        <w:rPr>
          <w:rFonts w:hint="cs"/>
          <w:rtl/>
        </w:rPr>
        <w:t>:</w:t>
      </w:r>
      <w:r w:rsidRPr="00A52585">
        <w:rPr>
          <w:rFonts w:hint="cs"/>
          <w:rtl/>
        </w:rPr>
        <w:t xml:space="preserve"> </w:t>
      </w:r>
      <w:r w:rsidRPr="00A52585">
        <w:rPr>
          <w:rFonts w:hint="cs"/>
          <w:bCs/>
          <w:rtl/>
        </w:rPr>
        <w:t>أولا</w:t>
      </w:r>
      <w:r w:rsidR="0002035C" w:rsidRPr="00A52585">
        <w:rPr>
          <w:rFonts w:hint="cs"/>
          <w:rtl/>
        </w:rPr>
        <w:t>:</w:t>
      </w:r>
      <w:r w:rsidRPr="00A52585">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DB731D" w:rsidRPr="00A52585">
        <w:rPr>
          <w:rFonts w:hint="cs"/>
          <w:rtl/>
        </w:rPr>
        <w:t>،</w:t>
      </w:r>
      <w:r w:rsidRPr="00A52585">
        <w:rPr>
          <w:rFonts w:hint="cs"/>
          <w:rtl/>
        </w:rPr>
        <w:t xml:space="preserve"> وعلى ذلك فالمقصود من الاستواء الدلالة على الاستعلاء والقهر وعلو الربوبية والتدبير بقرينة (يدبر الأمر</w:t>
      </w:r>
      <w:r w:rsidR="0002035C" w:rsidRPr="00A52585">
        <w:rPr>
          <w:rFonts w:hint="cs"/>
          <w:rtl/>
        </w:rPr>
        <w:t>)</w:t>
      </w:r>
      <w:r w:rsidRPr="00A52585">
        <w:rPr>
          <w:rFonts w:hint="cs"/>
          <w:rtl/>
        </w:rPr>
        <w:t>والتي تعقب ذكر الاستواء عادة والله تعالى أعلم</w:t>
      </w:r>
      <w:r w:rsidR="00DB731D" w:rsidRPr="00A52585">
        <w:rPr>
          <w:rFonts w:hint="cs"/>
          <w:rtl/>
        </w:rPr>
        <w:t>،</w:t>
      </w:r>
      <w:r w:rsidRPr="00A52585">
        <w:rPr>
          <w:rFonts w:hint="cs"/>
          <w:rtl/>
        </w:rPr>
        <w:t xml:space="preserve"> وفي بيان الاستعارة </w:t>
      </w:r>
      <w:r w:rsidRPr="00A52585">
        <w:rPr>
          <w:rFonts w:hint="cs"/>
          <w:rtl/>
        </w:rPr>
        <w:lastRenderedPageBreak/>
        <w:t>التمثيلية جاء في فتح الباري</w:t>
      </w:r>
      <w:r w:rsidR="0002035C" w:rsidRPr="00A52585">
        <w:rPr>
          <w:rFonts w:hint="cs"/>
          <w:rtl/>
        </w:rPr>
        <w:t>:</w:t>
      </w:r>
      <w:r w:rsidRPr="00A52585">
        <w:rPr>
          <w:rFonts w:hint="cs"/>
          <w:rtl/>
        </w:rPr>
        <w:t xml:space="preserve"> " قال الحافظ</w:t>
      </w:r>
      <w:r w:rsidRPr="00A52585">
        <w:rPr>
          <w:rFonts w:hint="cs"/>
        </w:rPr>
        <w:t xml:space="preserve"> </w:t>
      </w:r>
      <w:r w:rsidRPr="00A52585">
        <w:rPr>
          <w:rFonts w:hint="cs"/>
          <w:rtl/>
        </w:rPr>
        <w:t>صلاح الدين العلائي</w:t>
      </w:r>
      <w:r w:rsidR="0002035C" w:rsidRPr="00A52585">
        <w:rPr>
          <w:rFonts w:hint="cs"/>
          <w:rtl/>
        </w:rPr>
        <w:t>:</w:t>
      </w:r>
      <w:r w:rsidRPr="00A52585">
        <w:rPr>
          <w:rFonts w:hint="cs"/>
          <w:rtl/>
        </w:rPr>
        <w:t xml:space="preserve"> </w:t>
      </w:r>
      <w:r w:rsidRPr="00A52585">
        <w:rPr>
          <w:rFonts w:hint="cs"/>
          <w:bCs/>
          <w:rtl/>
        </w:rPr>
        <w:t>ويتخرج</w:t>
      </w:r>
      <w:r w:rsidRPr="00A52585">
        <w:rPr>
          <w:rFonts w:hint="cs"/>
          <w:bCs/>
        </w:rPr>
        <w:t xml:space="preserve"> </w:t>
      </w:r>
      <w:r w:rsidRPr="00A52585">
        <w:rPr>
          <w:rFonts w:hint="cs"/>
          <w:bCs/>
          <w:rtl/>
        </w:rPr>
        <w:t>كثير من أحاديث الصفات</w:t>
      </w:r>
      <w:r w:rsidRPr="00A52585">
        <w:rPr>
          <w:rFonts w:hint="cs"/>
          <w:bCs/>
        </w:rPr>
        <w:t xml:space="preserve"> </w:t>
      </w:r>
      <w:r w:rsidRPr="00A52585">
        <w:rPr>
          <w:rFonts w:hint="cs"/>
          <w:bCs/>
          <w:rtl/>
        </w:rPr>
        <w:t>على الاستعارة</w:t>
      </w:r>
      <w:r w:rsidRPr="00A52585">
        <w:rPr>
          <w:rFonts w:hint="cs"/>
          <w:bCs/>
        </w:rPr>
        <w:t xml:space="preserve"> </w:t>
      </w:r>
      <w:proofErr w:type="spellStart"/>
      <w:r w:rsidRPr="00A52585">
        <w:rPr>
          <w:rFonts w:hint="cs"/>
          <w:bCs/>
          <w:rtl/>
        </w:rPr>
        <w:t>التخييلية</w:t>
      </w:r>
      <w:proofErr w:type="spellEnd"/>
      <w:r w:rsidRPr="00A52585">
        <w:rPr>
          <w:rFonts w:hint="cs"/>
          <w:rtl/>
        </w:rPr>
        <w:t xml:space="preserve"> وهي ان يشترك شيئان في وصف ثم يعتمد لوازم أحدهما حيث</w:t>
      </w:r>
      <w:r w:rsidRPr="00A52585">
        <w:rPr>
          <w:rFonts w:hint="cs"/>
        </w:rPr>
        <w:t xml:space="preserve"> </w:t>
      </w:r>
      <w:r w:rsidRPr="00A52585">
        <w:rPr>
          <w:rFonts w:hint="cs"/>
          <w:rtl/>
        </w:rPr>
        <w:t>تكون جهة</w:t>
      </w:r>
      <w:r w:rsidRPr="00A52585">
        <w:rPr>
          <w:rFonts w:hint="cs"/>
        </w:rPr>
        <w:t xml:space="preserve"> </w:t>
      </w:r>
      <w:r w:rsidRPr="00A52585">
        <w:rPr>
          <w:rFonts w:hint="cs"/>
          <w:rtl/>
        </w:rPr>
        <w:t>الاشتراك وصفا فيثبت كماله في المستعار بواسطة شيء آخر فيثبت ذلك للمستعار</w:t>
      </w:r>
      <w:r w:rsidRPr="00A52585">
        <w:rPr>
          <w:rFonts w:hint="cs"/>
        </w:rPr>
        <w:t xml:space="preserve"> </w:t>
      </w:r>
      <w:r w:rsidRPr="00A52585">
        <w:rPr>
          <w:rFonts w:hint="cs"/>
          <w:rtl/>
        </w:rPr>
        <w:t>مبالغة في</w:t>
      </w:r>
      <w:r w:rsidRPr="00A52585">
        <w:rPr>
          <w:rFonts w:hint="cs"/>
        </w:rPr>
        <w:t xml:space="preserve"> </w:t>
      </w:r>
      <w:r w:rsidRPr="00A52585">
        <w:rPr>
          <w:rFonts w:hint="cs"/>
          <w:rtl/>
        </w:rPr>
        <w:t xml:space="preserve">اثبات المشترك قال </w:t>
      </w:r>
      <w:r w:rsidRPr="00A52585">
        <w:rPr>
          <w:rFonts w:hint="cs"/>
          <w:bCs/>
          <w:rtl/>
        </w:rPr>
        <w:t xml:space="preserve">وبالحمل على هذه الاستعارة </w:t>
      </w:r>
      <w:proofErr w:type="spellStart"/>
      <w:r w:rsidRPr="00A52585">
        <w:rPr>
          <w:rFonts w:hint="cs"/>
          <w:bCs/>
          <w:rtl/>
        </w:rPr>
        <w:t>التخييلية</w:t>
      </w:r>
      <w:proofErr w:type="spellEnd"/>
      <w:r w:rsidRPr="00A52585">
        <w:rPr>
          <w:rFonts w:hint="cs"/>
          <w:bCs/>
          <w:rtl/>
        </w:rPr>
        <w:t xml:space="preserve"> يحصل التخلص</w:t>
      </w:r>
      <w:r w:rsidRPr="00A52585">
        <w:rPr>
          <w:rFonts w:hint="cs"/>
          <w:bCs/>
        </w:rPr>
        <w:t xml:space="preserve"> </w:t>
      </w:r>
      <w:r w:rsidRPr="00A52585">
        <w:rPr>
          <w:rFonts w:hint="cs"/>
          <w:bCs/>
          <w:rtl/>
        </w:rPr>
        <w:t>من مهاوي</w:t>
      </w:r>
      <w:r w:rsidRPr="00A52585">
        <w:rPr>
          <w:rFonts w:hint="cs"/>
          <w:bCs/>
        </w:rPr>
        <w:t xml:space="preserve"> </w:t>
      </w:r>
      <w:r w:rsidRPr="00A52585">
        <w:rPr>
          <w:rFonts w:hint="cs"/>
          <w:bCs/>
          <w:rtl/>
        </w:rPr>
        <w:t>التجسيم</w:t>
      </w:r>
      <w:r w:rsidRPr="00A52585">
        <w:rPr>
          <w:rFonts w:hint="cs"/>
          <w:u w:val="single"/>
          <w:rtl/>
        </w:rPr>
        <w:t xml:space="preserve"> </w:t>
      </w:r>
      <w:r w:rsidRPr="00A52585">
        <w:rPr>
          <w:rFonts w:hint="cs"/>
          <w:rtl/>
        </w:rPr>
        <w:t>" أ هـ [فتح</w:t>
      </w:r>
      <w:r w:rsidRPr="00A52585">
        <w:rPr>
          <w:rFonts w:hint="cs"/>
        </w:rPr>
        <w:t xml:space="preserve"> </w:t>
      </w:r>
      <w:r w:rsidRPr="00A52585">
        <w:rPr>
          <w:rFonts w:hint="cs"/>
          <w:rtl/>
        </w:rPr>
        <w:t>الباري ج: 13 ص: 431]</w:t>
      </w:r>
      <w:r w:rsidR="00DB731D" w:rsidRPr="00A52585">
        <w:rPr>
          <w:rFonts w:hint="cs"/>
          <w:rtl/>
        </w:rPr>
        <w:t>،</w:t>
      </w:r>
      <w:r w:rsidRPr="00A52585">
        <w:rPr>
          <w:rFonts w:hint="cs"/>
          <w:rtl/>
        </w:rPr>
        <w:t xml:space="preserve"> والثاني</w:t>
      </w:r>
      <w:r w:rsidR="0002035C" w:rsidRPr="00A52585">
        <w:rPr>
          <w:rFonts w:hint="cs"/>
          <w:rtl/>
        </w:rPr>
        <w:t>:</w:t>
      </w:r>
      <w:r w:rsidRPr="00A52585">
        <w:rPr>
          <w:rFonts w:hint="cs"/>
          <w:rtl/>
        </w:rPr>
        <w:t xml:space="preserve"> أنه </w:t>
      </w:r>
      <w:r w:rsidR="0002035C" w:rsidRPr="00A52585">
        <w:rPr>
          <w:rFonts w:hint="cs"/>
          <w:rtl/>
        </w:rPr>
        <w:t>(</w:t>
      </w:r>
      <w:r w:rsidRPr="00A52585">
        <w:rPr>
          <w:rFonts w:hint="cs"/>
          <w:rtl/>
        </w:rPr>
        <w:t>استواء</w:t>
      </w:r>
      <w:r w:rsidR="0002035C" w:rsidRPr="00A52585">
        <w:rPr>
          <w:rFonts w:hint="cs"/>
          <w:rtl/>
        </w:rPr>
        <w:t>)</w:t>
      </w:r>
      <w:r w:rsidRPr="00A52585">
        <w:rPr>
          <w:rFonts w:hint="cs"/>
          <w:rtl/>
        </w:rPr>
        <w:t xml:space="preserve"> على مراد الله تعالى ومراد رسوله</w:t>
      </w:r>
      <w:r w:rsidR="00DB731D" w:rsidRPr="00A52585">
        <w:rPr>
          <w:rFonts w:hint="cs"/>
          <w:rtl/>
        </w:rPr>
        <w:t>،</w:t>
      </w:r>
      <w:r w:rsidRPr="00A52585">
        <w:rPr>
          <w:rFonts w:hint="cs"/>
          <w:rtl/>
        </w:rPr>
        <w:t xml:space="preserve"> ليس كمثل استوائه استواء</w:t>
      </w:r>
      <w:r w:rsidR="00DB731D" w:rsidRPr="00A52585">
        <w:rPr>
          <w:rFonts w:hint="cs"/>
          <w:rtl/>
        </w:rPr>
        <w:t>،</w:t>
      </w:r>
      <w:r w:rsidRPr="00A52585">
        <w:rPr>
          <w:rFonts w:hint="cs"/>
          <w:rtl/>
        </w:rPr>
        <w:t xml:space="preserve"> كما أنه ليس كمثل ذاته ذات</w:t>
      </w:r>
      <w:r w:rsidR="00DB731D" w:rsidRPr="00A52585">
        <w:rPr>
          <w:rFonts w:hint="cs"/>
          <w:rtl/>
        </w:rPr>
        <w:t>،</w:t>
      </w:r>
      <w:r w:rsidRPr="00A52585">
        <w:rPr>
          <w:rFonts w:hint="cs"/>
          <w:rtl/>
        </w:rPr>
        <w:t xml:space="preserve"> وليس كمثل صفاته صفات</w:t>
      </w:r>
      <w:r w:rsidR="00DB731D" w:rsidRPr="00A52585">
        <w:rPr>
          <w:rFonts w:hint="cs"/>
          <w:rtl/>
        </w:rPr>
        <w:t>،</w:t>
      </w:r>
      <w:r w:rsidRPr="00A52585">
        <w:rPr>
          <w:rFonts w:hint="cs"/>
          <w:rtl/>
        </w:rPr>
        <w:t xml:space="preserve"> والثالث</w:t>
      </w:r>
      <w:r w:rsidR="0002035C" w:rsidRPr="00A52585">
        <w:rPr>
          <w:rFonts w:hint="cs"/>
          <w:rtl/>
        </w:rPr>
        <w:t>:</w:t>
      </w:r>
      <w:r w:rsidRPr="00A52585">
        <w:rPr>
          <w:rFonts w:hint="cs"/>
          <w:rtl/>
        </w:rPr>
        <w:t xml:space="preserve"> معاملة صفات القرب والإحاطة والاستواء معاملة واحدة</w:t>
      </w:r>
      <w:r w:rsidR="00DB731D" w:rsidRPr="00A52585">
        <w:rPr>
          <w:rFonts w:hint="cs"/>
          <w:rtl/>
        </w:rPr>
        <w:t>،</w:t>
      </w:r>
      <w:r w:rsidRPr="00A52585">
        <w:rPr>
          <w:rFonts w:hint="cs"/>
          <w:rtl/>
        </w:rPr>
        <w:t xml:space="preserve"> فإذا أثبتنا الاستواء أثبتنا القرب</w:t>
      </w:r>
      <w:r w:rsidR="00DB731D" w:rsidRPr="00A52585">
        <w:rPr>
          <w:rFonts w:hint="cs"/>
          <w:rtl/>
        </w:rPr>
        <w:t>،</w:t>
      </w:r>
      <w:r w:rsidRPr="00A52585">
        <w:rPr>
          <w:rFonts w:hint="cs"/>
          <w:rtl/>
        </w:rPr>
        <w:t xml:space="preserve"> وأثبتنا الإحاطة</w:t>
      </w:r>
      <w:r w:rsidR="00DB731D" w:rsidRPr="00A52585">
        <w:rPr>
          <w:rFonts w:hint="cs"/>
          <w:rtl/>
        </w:rPr>
        <w:t>،</w:t>
      </w:r>
      <w:r w:rsidRPr="00A52585">
        <w:rPr>
          <w:rFonts w:hint="cs"/>
          <w:rtl/>
        </w:rPr>
        <w:t xml:space="preserve"> وآنذاك</w:t>
      </w:r>
      <w:r w:rsidR="00DB731D" w:rsidRPr="00A52585">
        <w:rPr>
          <w:rFonts w:hint="cs"/>
          <w:rtl/>
        </w:rPr>
        <w:t>،</w:t>
      </w:r>
      <w:r w:rsidRPr="00A52585">
        <w:rPr>
          <w:rFonts w:hint="cs"/>
          <w:rtl/>
        </w:rPr>
        <w:t xml:space="preserve"> يمتنع التكييف لأنه جمع بين الأضداد</w:t>
      </w:r>
      <w:r w:rsidR="00DB731D" w:rsidRPr="00A52585">
        <w:rPr>
          <w:rFonts w:hint="cs"/>
          <w:rtl/>
        </w:rPr>
        <w:t>،</w:t>
      </w:r>
      <w:r w:rsidRPr="00A52585">
        <w:rPr>
          <w:rFonts w:hint="cs"/>
          <w:rtl/>
        </w:rPr>
        <w:t xml:space="preserve"> ويبقي ملاحظتان مهمتان</w:t>
      </w:r>
      <w:r w:rsidR="0002035C" w:rsidRPr="00A52585">
        <w:rPr>
          <w:rFonts w:hint="cs"/>
          <w:rtl/>
        </w:rPr>
        <w:t xml:space="preserve">: </w:t>
      </w:r>
      <w:r w:rsidRPr="00A52585">
        <w:rPr>
          <w:rFonts w:hint="cs"/>
          <w:bCs/>
          <w:rtl/>
        </w:rPr>
        <w:t>الملاحظة الاولى</w:t>
      </w:r>
      <w:r w:rsidR="0002035C" w:rsidRPr="00A52585">
        <w:rPr>
          <w:rFonts w:hint="cs"/>
          <w:bCs/>
          <w:rtl/>
        </w:rPr>
        <w:t>:</w:t>
      </w:r>
      <w:r w:rsidRPr="00A52585">
        <w:rPr>
          <w:rFonts w:hint="cs"/>
          <w:bCs/>
          <w:rtl/>
        </w:rPr>
        <w:t xml:space="preserve"> </w:t>
      </w:r>
      <w:r w:rsidRPr="00A52585">
        <w:rPr>
          <w:rFonts w:hint="cs"/>
          <w:rtl/>
        </w:rPr>
        <w:t>استدلت المشبهة على أنّ الاستواء استواء جلوس على العرش</w:t>
      </w:r>
      <w:r w:rsidR="00DB731D" w:rsidRPr="00A52585">
        <w:rPr>
          <w:rFonts w:hint="cs"/>
          <w:rtl/>
        </w:rPr>
        <w:t>،</w:t>
      </w:r>
      <w:r w:rsidRPr="00A52585">
        <w:rPr>
          <w:rFonts w:hint="cs"/>
          <w:rtl/>
        </w:rPr>
        <w:t xml:space="preserve"> واختلفوا هل بمماسة أو من غير مماسة</w:t>
      </w:r>
      <w:r w:rsidR="00DB731D" w:rsidRPr="00A52585">
        <w:rPr>
          <w:rFonts w:hint="cs"/>
          <w:rtl/>
        </w:rPr>
        <w:t>،</w:t>
      </w:r>
      <w:r w:rsidRPr="00A52585">
        <w:rPr>
          <w:rFonts w:hint="cs"/>
          <w:rtl/>
        </w:rPr>
        <w:t xml:space="preserve"> وهل بحد ونهاية أم من غير حد ونهاية</w:t>
      </w:r>
      <w:r w:rsidR="00DB731D" w:rsidRPr="00A52585">
        <w:rPr>
          <w:rFonts w:hint="cs"/>
          <w:rtl/>
        </w:rPr>
        <w:t>،</w:t>
      </w:r>
      <w:r w:rsidRPr="00A52585">
        <w:rPr>
          <w:rFonts w:hint="cs"/>
          <w:rtl/>
        </w:rPr>
        <w:t xml:space="preserve"> وهل إذا نزل إلى السماء الدنيا يخلو منه العرش أم لا</w:t>
      </w:r>
      <w:r w:rsidR="00DB731D" w:rsidRPr="00A52585">
        <w:rPr>
          <w:rFonts w:hint="cs"/>
          <w:rtl/>
        </w:rPr>
        <w:t>،</w:t>
      </w:r>
      <w:r w:rsidRPr="00A52585">
        <w:rPr>
          <w:rFonts w:hint="cs"/>
          <w:rtl/>
        </w:rPr>
        <w:t xml:space="preserve"> وكل هذه المصائب العقائدية أتت عليهم من تكييف الاستواء</w:t>
      </w:r>
      <w:r w:rsidR="00DB731D" w:rsidRPr="00A52585">
        <w:rPr>
          <w:rFonts w:hint="cs"/>
          <w:rtl/>
        </w:rPr>
        <w:t>،</w:t>
      </w:r>
      <w:r w:rsidRPr="00A52585">
        <w:rPr>
          <w:rFonts w:hint="cs"/>
          <w:rtl/>
        </w:rPr>
        <w:t xml:space="preserve"> وأنه يشبه جلوس الملك على كرسيه</w:t>
      </w:r>
      <w:r w:rsidR="00DB731D" w:rsidRPr="00A52585">
        <w:rPr>
          <w:rFonts w:hint="cs"/>
          <w:rtl/>
        </w:rPr>
        <w:t>،</w:t>
      </w:r>
      <w:r w:rsidRPr="00A52585">
        <w:rPr>
          <w:rFonts w:hint="cs"/>
          <w:rtl/>
        </w:rPr>
        <w:t xml:space="preserve"> وتناسوا أن ليس كمثله شيء</w:t>
      </w:r>
      <w:r w:rsidR="00DB731D" w:rsidRPr="00A52585">
        <w:rPr>
          <w:rFonts w:hint="cs"/>
          <w:rtl/>
        </w:rPr>
        <w:t>،</w:t>
      </w:r>
      <w:r w:rsidRPr="00A52585">
        <w:rPr>
          <w:rFonts w:hint="cs"/>
          <w:rtl/>
        </w:rPr>
        <w:t xml:space="preserve"> تعالى عن الحد والتشبيه والتمثيل والتكييف</w:t>
      </w:r>
      <w:r w:rsidR="00DB731D" w:rsidRPr="00A52585">
        <w:rPr>
          <w:rFonts w:hint="cs"/>
          <w:rtl/>
        </w:rPr>
        <w:t>،</w:t>
      </w:r>
      <w:r w:rsidRPr="00A52585">
        <w:rPr>
          <w:rFonts w:hint="cs"/>
          <w:rtl/>
        </w:rPr>
        <w:t xml:space="preserve"> وهل عقول البشر المحدودة تستطيع أن تحيط علماً باستواء الرحمن على العرش</w:t>
      </w:r>
      <w:r w:rsidR="00DB731D" w:rsidRPr="00A52585">
        <w:rPr>
          <w:rFonts w:hint="cs"/>
          <w:rtl/>
        </w:rPr>
        <w:t>،</w:t>
      </w:r>
      <w:r w:rsidRPr="00A52585">
        <w:rPr>
          <w:rFonts w:hint="cs"/>
          <w:bCs/>
          <w:rtl/>
        </w:rPr>
        <w:t xml:space="preserve"> والملاحظة الثانية</w:t>
      </w:r>
      <w:r w:rsidR="0002035C" w:rsidRPr="00A52585">
        <w:rPr>
          <w:rFonts w:hint="cs"/>
          <w:bCs/>
          <w:rtl/>
        </w:rPr>
        <w:t>:</w:t>
      </w:r>
      <w:r w:rsidRPr="00A52585">
        <w:rPr>
          <w:rFonts w:hint="cs"/>
          <w:rtl/>
        </w:rPr>
        <w:t xml:space="preserve"> استدلت الجهمية من هذه الآيات على أن الله موجود بذاته في كل مكان</w:t>
      </w:r>
      <w:r w:rsidR="0002035C" w:rsidRPr="00A52585">
        <w:rPr>
          <w:rFonts w:hint="cs"/>
          <w:rtl/>
        </w:rPr>
        <w:t xml:space="preserve"> </w:t>
      </w:r>
      <w:r w:rsidRPr="00A52585">
        <w:rPr>
          <w:rFonts w:hint="cs"/>
          <w:rtl/>
        </w:rPr>
        <w:t>لأنه الظاهر والباطن وأنه معنا حيث كنا فأنتصب السلف للرد على هذه البدعة وأوضحوا أن كلمة</w:t>
      </w:r>
      <w:r w:rsidR="0002035C" w:rsidRPr="00A52585">
        <w:rPr>
          <w:rFonts w:hint="cs"/>
          <w:rtl/>
        </w:rPr>
        <w:t xml:space="preserve"> </w:t>
      </w:r>
      <w:r w:rsidRPr="00A52585">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DB731D" w:rsidRPr="00A52585">
        <w:rPr>
          <w:rFonts w:hint="cs"/>
          <w:rtl/>
        </w:rPr>
        <w:t>،</w:t>
      </w:r>
      <w:r w:rsidRPr="00A52585">
        <w:rPr>
          <w:rFonts w:hint="cs"/>
          <w:rtl/>
        </w:rPr>
        <w:t xml:space="preserve"> ثم ظهرت </w:t>
      </w:r>
      <w:proofErr w:type="spellStart"/>
      <w:r w:rsidRPr="00A52585">
        <w:rPr>
          <w:rFonts w:hint="cs"/>
          <w:rtl/>
        </w:rPr>
        <w:t>الحشوية</w:t>
      </w:r>
      <w:proofErr w:type="spellEnd"/>
      <w:r w:rsidRPr="00A52585">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DB731D" w:rsidRPr="00A52585">
        <w:rPr>
          <w:rFonts w:hint="cs"/>
          <w:rtl/>
        </w:rPr>
        <w:t>،</w:t>
      </w:r>
      <w:r w:rsidRPr="00A52585">
        <w:rPr>
          <w:rFonts w:hint="cs"/>
          <w:rtl/>
        </w:rPr>
        <w:t xml:space="preserve"> وهناك </w:t>
      </w:r>
      <w:r w:rsidRPr="00A52585">
        <w:rPr>
          <w:rFonts w:hint="cs"/>
          <w:bCs/>
          <w:u w:val="single"/>
          <w:rtl/>
        </w:rPr>
        <w:t>ملاحظة أخرى جديرة بالتسجيل</w:t>
      </w:r>
      <w:r w:rsidR="0002035C" w:rsidRPr="00A52585">
        <w:rPr>
          <w:rFonts w:hint="cs"/>
          <w:rtl/>
        </w:rPr>
        <w:t>:</w:t>
      </w:r>
      <w:r w:rsidRPr="00A52585">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w:t>
      </w:r>
      <w:r w:rsidRPr="00A52585">
        <w:rPr>
          <w:rFonts w:hint="cs"/>
          <w:rtl/>
        </w:rPr>
        <w:lastRenderedPageBreak/>
        <w:t xml:space="preserve">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A52585">
        <w:rPr>
          <w:rFonts w:hint="cs"/>
          <w:bCs/>
          <w:u w:val="single"/>
          <w:rtl/>
        </w:rPr>
        <w:t>فمتى يستوي على عرشه حقيقة كما يقولون</w:t>
      </w:r>
      <w:r w:rsidRPr="00A52585">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Pr="00A52585">
        <w:rPr>
          <w:rFonts w:hint="cs"/>
          <w:rtl/>
        </w:rPr>
        <w:t>يمارى</w:t>
      </w:r>
      <w:proofErr w:type="spellEnd"/>
      <w:r w:rsidRPr="00A52585">
        <w:rPr>
          <w:rFonts w:hint="cs"/>
          <w:rtl/>
        </w:rPr>
        <w:t xml:space="preserve"> فيه إلا جهول مأفون</w:t>
      </w:r>
      <w:r w:rsidR="00DB731D" w:rsidRPr="00A52585">
        <w:rPr>
          <w:rFonts w:hint="cs"/>
          <w:rtl/>
        </w:rPr>
        <w:t>،</w:t>
      </w:r>
      <w:r w:rsidRPr="00A52585">
        <w:rPr>
          <w:rFonts w:hint="cs"/>
          <w:rtl/>
        </w:rPr>
        <w:t xml:space="preserve"> </w:t>
      </w:r>
      <w:r w:rsidRPr="00A52585">
        <w:rPr>
          <w:rFonts w:hint="cs"/>
          <w:bCs/>
          <w:rtl/>
        </w:rPr>
        <w:t>وملاحظة أخرى</w:t>
      </w:r>
      <w:r w:rsidR="0002035C" w:rsidRPr="00A52585">
        <w:rPr>
          <w:rFonts w:hint="cs"/>
          <w:bCs/>
          <w:rtl/>
        </w:rPr>
        <w:t>:</w:t>
      </w:r>
      <w:r w:rsidRPr="00A52585">
        <w:rPr>
          <w:rFonts w:hint="cs"/>
          <w:rtl/>
        </w:rPr>
        <w:t xml:space="preserve"> و نقول لهؤلاء الذين يفهمون من الاستواء إلى السماء أنه </w:t>
      </w:r>
      <w:proofErr w:type="spellStart"/>
      <w:r w:rsidRPr="00A52585">
        <w:rPr>
          <w:rFonts w:hint="cs"/>
          <w:rtl/>
        </w:rPr>
        <w:t>الإنتقال</w:t>
      </w:r>
      <w:proofErr w:type="spellEnd"/>
      <w:r w:rsidRPr="00A52585">
        <w:rPr>
          <w:rFonts w:hint="cs"/>
          <w:rtl/>
        </w:rPr>
        <w:t xml:space="preserve"> من الأرض إلى السماء وذلك في قوله تعالى ((</w:t>
      </w:r>
      <w:r w:rsidRPr="00A52585">
        <w:rPr>
          <w:rFonts w:hint="cs"/>
          <w:bCs/>
          <w:rtl/>
        </w:rPr>
        <w:t>هو الذي خلق لكم ما في الأرض جميعا ثم استوى إلى السماء فسواهن سبع سموات وهو بكل شيء عليم</w:t>
      </w:r>
      <w:r w:rsidR="0002035C" w:rsidRPr="00A52585">
        <w:rPr>
          <w:rFonts w:hint="cs"/>
          <w:rtl/>
        </w:rPr>
        <w:t>)[</w:t>
      </w:r>
      <w:r w:rsidRPr="00A52585">
        <w:rPr>
          <w:rFonts w:hint="cs"/>
          <w:rtl/>
        </w:rPr>
        <w:t>البقرة 29] أن</w:t>
      </w:r>
      <w:r w:rsidR="0002035C" w:rsidRPr="00A52585">
        <w:rPr>
          <w:rFonts w:hint="cs"/>
          <w:rtl/>
        </w:rPr>
        <w:t xml:space="preserve"> </w:t>
      </w:r>
      <w:r w:rsidRPr="00A52585">
        <w:rPr>
          <w:rFonts w:hint="cs"/>
          <w:rtl/>
        </w:rPr>
        <w:t xml:space="preserve">تصورهم الاستواء بهذه الصورة محض باطل وجهل عظيم ووقاحة في </w:t>
      </w:r>
      <w:proofErr w:type="spellStart"/>
      <w:r w:rsidRPr="00A52585">
        <w:rPr>
          <w:rFonts w:hint="cs"/>
          <w:rtl/>
        </w:rPr>
        <w:t>الإعتقاد</w:t>
      </w:r>
      <w:proofErr w:type="spellEnd"/>
      <w:r w:rsidRPr="00A52585">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02035C" w:rsidRPr="00A52585">
        <w:rPr>
          <w:rFonts w:hint="cs"/>
          <w:rtl/>
        </w:rPr>
        <w:t xml:space="preserve"> </w:t>
      </w:r>
      <w:r w:rsidRPr="00A52585">
        <w:rPr>
          <w:rFonts w:hint="cs"/>
          <w:rtl/>
        </w:rPr>
        <w:t>وليس صعد من الأرض إلى السماء تعالى الله عن ذلك علوا كبيرا</w:t>
      </w:r>
      <w:r w:rsidR="00DB731D" w:rsidRPr="00A52585">
        <w:rPr>
          <w:rFonts w:hint="cs"/>
          <w:rtl/>
        </w:rPr>
        <w:t>،</w:t>
      </w:r>
      <w:r w:rsidRPr="00A52585">
        <w:rPr>
          <w:rFonts w:hint="cs"/>
          <w:rtl/>
        </w:rPr>
        <w:t xml:space="preserve"> </w:t>
      </w:r>
      <w:r w:rsidRPr="00A52585">
        <w:rPr>
          <w:rFonts w:hint="cs"/>
          <w:bCs/>
          <w:rtl/>
        </w:rPr>
        <w:t>كما أنّ هناك آيات ظاهرها - لمن جهل قواعد التقديس -</w:t>
      </w:r>
      <w:r w:rsidR="0002035C" w:rsidRPr="00A52585">
        <w:rPr>
          <w:rFonts w:hint="cs"/>
          <w:bCs/>
          <w:rtl/>
        </w:rPr>
        <w:t xml:space="preserve"> </w:t>
      </w:r>
      <w:r w:rsidRPr="00A52585">
        <w:rPr>
          <w:rFonts w:hint="cs"/>
          <w:bCs/>
          <w:rtl/>
        </w:rPr>
        <w:t xml:space="preserve">يوحي </w:t>
      </w:r>
      <w:r w:rsidRPr="00A52585">
        <w:rPr>
          <w:rFonts w:hint="cs"/>
          <w:rtl/>
          <w:lang w:bidi="ar-KW"/>
        </w:rPr>
        <w:t>نسبتها إلى الله تعالى بالجوارح والأعضاء</w:t>
      </w:r>
      <w:r w:rsidR="00DB731D" w:rsidRPr="00A52585">
        <w:rPr>
          <w:rFonts w:hint="cs"/>
          <w:rtl/>
          <w:lang w:bidi="ar-KW"/>
        </w:rPr>
        <w:t>،</w:t>
      </w:r>
      <w:r w:rsidRPr="00A52585">
        <w:rPr>
          <w:rFonts w:hint="cs"/>
          <w:rtl/>
          <w:lang w:bidi="ar-KW"/>
        </w:rPr>
        <w:t xml:space="preserve"> كالوجه واليد والعين</w:t>
      </w:r>
      <w:r w:rsidR="00DB731D" w:rsidRPr="00A52585">
        <w:rPr>
          <w:rFonts w:hint="cs"/>
          <w:rtl/>
          <w:lang w:bidi="ar-KW"/>
        </w:rPr>
        <w:t>،</w:t>
      </w:r>
      <w:r w:rsidRPr="00A52585">
        <w:rPr>
          <w:rFonts w:hint="cs"/>
          <w:rtl/>
          <w:lang w:bidi="ar-KW"/>
        </w:rPr>
        <w:t xml:space="preserve"> </w:t>
      </w:r>
      <w:r w:rsidRPr="00A52585">
        <w:rPr>
          <w:rFonts w:hint="cs"/>
          <w:rtl/>
        </w:rPr>
        <w:t>وهذه نثبتها على الوجه الذي يحمل المتشابه على المحكم</w:t>
      </w:r>
      <w:r w:rsidR="00DB731D" w:rsidRPr="00A52585">
        <w:rPr>
          <w:rFonts w:hint="cs"/>
          <w:rtl/>
        </w:rPr>
        <w:t>،</w:t>
      </w:r>
      <w:r w:rsidRPr="00A52585">
        <w:rPr>
          <w:rFonts w:hint="cs"/>
          <w:rtl/>
        </w:rPr>
        <w:t xml:space="preserve"> وعلى الوجه الذي يدل على الكمال</w:t>
      </w:r>
      <w:r w:rsidR="00DB731D" w:rsidRPr="00A52585">
        <w:rPr>
          <w:rFonts w:hint="cs"/>
          <w:rtl/>
        </w:rPr>
        <w:t>،</w:t>
      </w:r>
      <w:r w:rsidRPr="00A52585">
        <w:rPr>
          <w:rFonts w:hint="cs"/>
          <w:rtl/>
        </w:rPr>
        <w:t xml:space="preserve"> مع تنزيه الله تعالى عن أوجه النقص فيها</w:t>
      </w:r>
      <w:r w:rsidR="00DB731D" w:rsidRPr="00A52585">
        <w:rPr>
          <w:rFonts w:hint="cs"/>
          <w:rtl/>
        </w:rPr>
        <w:t>،</w:t>
      </w:r>
      <w:r w:rsidRPr="00A52585">
        <w:rPr>
          <w:rFonts w:hint="cs"/>
          <w:rtl/>
        </w:rPr>
        <w:t xml:space="preserve"> مع الاحتراس عن نفي ما أثبته الله تعالى</w:t>
      </w:r>
      <w:r w:rsidR="00DB731D" w:rsidRPr="00A52585">
        <w:rPr>
          <w:rFonts w:hint="cs"/>
          <w:rtl/>
        </w:rPr>
        <w:t>،</w:t>
      </w:r>
      <w:r w:rsidRPr="00A52585">
        <w:rPr>
          <w:rFonts w:hint="cs"/>
          <w:rtl/>
        </w:rPr>
        <w:t xml:space="preserve"> ومثال ذلك </w:t>
      </w:r>
      <w:r w:rsidR="0002035C" w:rsidRPr="00A52585">
        <w:rPr>
          <w:rFonts w:hint="cs"/>
          <w:rtl/>
        </w:rPr>
        <w:t>(</w:t>
      </w:r>
      <w:r w:rsidRPr="00A52585">
        <w:rPr>
          <w:rFonts w:hint="cs"/>
          <w:rtl/>
        </w:rPr>
        <w:t>الوجه</w:t>
      </w:r>
      <w:r w:rsidR="0002035C" w:rsidRPr="00A52585">
        <w:rPr>
          <w:rFonts w:hint="cs"/>
          <w:rtl/>
        </w:rPr>
        <w:t>)</w:t>
      </w:r>
      <w:r w:rsidRPr="00A52585">
        <w:rPr>
          <w:rFonts w:hint="cs"/>
          <w:rtl/>
        </w:rPr>
        <w:t xml:space="preserve"> فإنه إثبات لصفة خبرية </w:t>
      </w:r>
      <w:r w:rsidR="0002035C" w:rsidRPr="00A52585">
        <w:rPr>
          <w:rFonts w:hint="cs"/>
          <w:rtl/>
        </w:rPr>
        <w:t>(</w:t>
      </w:r>
      <w:r w:rsidRPr="00A52585">
        <w:rPr>
          <w:rFonts w:hint="cs"/>
          <w:rtl/>
        </w:rPr>
        <w:t>جاء بها الخبر</w:t>
      </w:r>
      <w:r w:rsidR="0002035C" w:rsidRPr="00A52585">
        <w:rPr>
          <w:rFonts w:hint="cs"/>
          <w:rtl/>
        </w:rPr>
        <w:t>)</w:t>
      </w:r>
      <w:r w:rsidRPr="00A52585">
        <w:rPr>
          <w:rFonts w:hint="cs"/>
          <w:rtl/>
        </w:rPr>
        <w:t xml:space="preserve"> ولكن اثباتها على ظاهرها اللغوي قد يوحي بالجارحة والجزء من الله</w:t>
      </w:r>
      <w:r w:rsidR="00DB731D" w:rsidRPr="00A52585">
        <w:rPr>
          <w:rFonts w:hint="cs"/>
          <w:rtl/>
        </w:rPr>
        <w:t>،</w:t>
      </w:r>
      <w:r w:rsidRPr="00A52585">
        <w:rPr>
          <w:rFonts w:hint="cs"/>
          <w:rtl/>
        </w:rPr>
        <w:t xml:space="preserve"> وهذا محال لأنّ الله تعالى أحد لا جزء له</w:t>
      </w:r>
      <w:r w:rsidR="00DB731D" w:rsidRPr="00A52585">
        <w:rPr>
          <w:rFonts w:hint="cs"/>
          <w:rtl/>
        </w:rPr>
        <w:t>،</w:t>
      </w:r>
      <w:r w:rsidRPr="00A52585">
        <w:rPr>
          <w:rFonts w:hint="cs"/>
          <w:rtl/>
        </w:rPr>
        <w:t xml:space="preserve"> غني لا جارحة له</w:t>
      </w:r>
      <w:r w:rsidR="00DB731D" w:rsidRPr="00A52585">
        <w:rPr>
          <w:rFonts w:hint="cs"/>
          <w:rtl/>
        </w:rPr>
        <w:t>،</w:t>
      </w:r>
      <w:r w:rsidRPr="00A52585">
        <w:rPr>
          <w:rFonts w:hint="cs"/>
          <w:rtl/>
        </w:rPr>
        <w:t xml:space="preserve"> قهار لا حد له</w:t>
      </w:r>
      <w:r w:rsidR="00DB731D" w:rsidRPr="00A52585">
        <w:rPr>
          <w:rFonts w:hint="cs"/>
          <w:rtl/>
        </w:rPr>
        <w:t>،</w:t>
      </w:r>
      <w:r w:rsidRPr="00A52585">
        <w:rPr>
          <w:rFonts w:hint="cs"/>
          <w:rtl/>
        </w:rPr>
        <w:t xml:space="preserve"> متعال على النهاية فلا نهاية له</w:t>
      </w:r>
      <w:r w:rsidR="00DB731D" w:rsidRPr="00A52585">
        <w:rPr>
          <w:rFonts w:hint="cs"/>
          <w:rtl/>
        </w:rPr>
        <w:t>،</w:t>
      </w:r>
      <w:r w:rsidRPr="00A52585">
        <w:rPr>
          <w:rFonts w:hint="cs"/>
          <w:rtl/>
        </w:rPr>
        <w:t xml:space="preserve"> فينبغي أنّ نسلك في ذلك طرق الراسخين في العلم الذين علموا أنّ ظواهر تلك الآيات من الجارحة والجزء غير مرادة</w:t>
      </w:r>
      <w:r w:rsidR="00DB731D" w:rsidRPr="00A52585">
        <w:rPr>
          <w:rFonts w:hint="cs"/>
          <w:rtl/>
        </w:rPr>
        <w:t>،</w:t>
      </w:r>
      <w:r w:rsidRPr="00A52585">
        <w:rPr>
          <w:rFonts w:hint="cs"/>
          <w:rtl/>
        </w:rPr>
        <w:t xml:space="preserve"> ثم احترزوا من ظاهرها فسموها صفات أو حملوا الآيات على المعنى الذي سيقت الآيات من أجله</w:t>
      </w:r>
      <w:r w:rsidR="00DB731D" w:rsidRPr="00A52585">
        <w:rPr>
          <w:rFonts w:hint="cs"/>
          <w:rtl/>
        </w:rPr>
        <w:t>،</w:t>
      </w:r>
      <w:r w:rsidRPr="00A52585">
        <w:rPr>
          <w:rFonts w:hint="cs"/>
          <w:rtl/>
        </w:rPr>
        <w:t xml:space="preserve"> ومثال ذلك حمل الوجه على الذات في قوله تعالى</w:t>
      </w:r>
      <w:r w:rsidR="0002035C" w:rsidRPr="00A52585">
        <w:rPr>
          <w:rFonts w:hint="cs"/>
          <w:rtl/>
        </w:rPr>
        <w:t>:</w:t>
      </w:r>
      <w:r w:rsidRPr="00A52585">
        <w:rPr>
          <w:rFonts w:hint="cs"/>
          <w:rtl/>
        </w:rPr>
        <w:t xml:space="preserve"> {كل شيء هالك إلا وجهه</w:t>
      </w:r>
      <w:r w:rsidR="0002035C" w:rsidRPr="00A52585">
        <w:rPr>
          <w:rFonts w:hint="cs"/>
          <w:rtl/>
        </w:rPr>
        <w:t>}</w:t>
      </w:r>
      <w:r w:rsidRPr="00A52585">
        <w:rPr>
          <w:rFonts w:hint="cs"/>
          <w:rtl/>
        </w:rPr>
        <w:t xml:space="preserve"> وقوله تعالى {ويبقى وجه ربك ذي الجلال والإكرام</w:t>
      </w:r>
      <w:r w:rsidR="0002035C" w:rsidRPr="00A52585">
        <w:rPr>
          <w:rFonts w:hint="cs"/>
          <w:rtl/>
        </w:rPr>
        <w:t>}</w:t>
      </w:r>
      <w:r w:rsidRPr="00A52585">
        <w:rPr>
          <w:rFonts w:hint="cs"/>
          <w:rtl/>
        </w:rPr>
        <w:t xml:space="preserve"> على الذات أو ما قصد به ذات الله تعالى من العمل الصالح</w:t>
      </w:r>
      <w:r w:rsidR="00DB731D" w:rsidRPr="00A52585">
        <w:rPr>
          <w:rFonts w:hint="cs"/>
          <w:rtl/>
        </w:rPr>
        <w:t>،</w:t>
      </w:r>
      <w:r w:rsidRPr="00A52585">
        <w:rPr>
          <w:rFonts w:hint="cs"/>
          <w:rtl/>
        </w:rPr>
        <w:t xml:space="preserve"> إذ لا يعقل لذي لُب أن الهلاك سيلحق بالذات ولا يبقى إلا الوجه سبحانك هذا كفر عظيم</w:t>
      </w:r>
      <w:r w:rsidR="00DB731D" w:rsidRPr="00A52585">
        <w:rPr>
          <w:rFonts w:hint="cs"/>
          <w:rtl/>
        </w:rPr>
        <w:t>،</w:t>
      </w:r>
      <w:r w:rsidRPr="00A52585">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DB731D" w:rsidRPr="00A52585">
        <w:rPr>
          <w:rFonts w:hint="cs"/>
          <w:bCs/>
          <w:rtl/>
        </w:rPr>
        <w:t>،</w:t>
      </w:r>
      <w:r w:rsidRPr="00A52585">
        <w:rPr>
          <w:rFonts w:hint="cs"/>
          <w:bCs/>
          <w:rtl/>
        </w:rPr>
        <w:t xml:space="preserve"> وقوله تعالى</w:t>
      </w:r>
      <w:r w:rsidRPr="00A52585">
        <w:rPr>
          <w:rFonts w:hint="cs"/>
          <w:rtl/>
        </w:rPr>
        <w:t xml:space="preserve"> </w:t>
      </w:r>
      <w:r w:rsidR="0002035C" w:rsidRPr="00A52585">
        <w:rPr>
          <w:rFonts w:hint="cs"/>
          <w:rtl/>
        </w:rPr>
        <w:t>(</w:t>
      </w:r>
      <w:r w:rsidRPr="00A52585">
        <w:rPr>
          <w:rFonts w:hint="cs"/>
          <w:rtl/>
        </w:rPr>
        <w:t>وَلِلّهِ الْمَشْرِقُ</w:t>
      </w:r>
      <w:r w:rsidRPr="00A52585">
        <w:rPr>
          <w:rFonts w:hint="cs"/>
        </w:rPr>
        <w:t xml:space="preserve"> </w:t>
      </w:r>
      <w:r w:rsidRPr="00A52585">
        <w:rPr>
          <w:rFonts w:hint="cs"/>
          <w:rtl/>
        </w:rPr>
        <w:t>وَالْمَغْرِبُ فَأَيْنَمَا تُوَلُّواْ فَثَمَّ وَجْهُ اللّهِ إِنَّ اللّهَ</w:t>
      </w:r>
      <w:r w:rsidRPr="00A52585">
        <w:rPr>
          <w:rFonts w:hint="cs"/>
        </w:rPr>
        <w:t xml:space="preserve"> </w:t>
      </w:r>
      <w:r w:rsidRPr="00A52585">
        <w:rPr>
          <w:rFonts w:hint="cs"/>
          <w:rtl/>
        </w:rPr>
        <w:t>وَاسِعٌ عَلِيمٌ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 /115]</w:t>
      </w:r>
      <w:r w:rsidR="00DB731D" w:rsidRPr="00A52585">
        <w:rPr>
          <w:rFonts w:hint="cs"/>
          <w:rtl/>
        </w:rPr>
        <w:t>،</w:t>
      </w:r>
      <w:r w:rsidRPr="00A52585">
        <w:rPr>
          <w:rFonts w:hint="cs"/>
          <w:rtl/>
        </w:rPr>
        <w:t xml:space="preserve"> فأينما تولوا فثم وجه الله تحتمل عدة معاني جاءت عن الصحابة والتابعين منها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w:t>
      </w:r>
      <w:r w:rsidR="0002035C" w:rsidRPr="00A52585">
        <w:rPr>
          <w:rFonts w:hint="cs"/>
          <w:rtl/>
        </w:rPr>
        <w:t>)</w:t>
      </w:r>
      <w:r w:rsidRPr="00A52585">
        <w:rPr>
          <w:rFonts w:hint="cs"/>
          <w:rtl/>
        </w:rPr>
        <w:t xml:space="preserve"> فثم قبلة</w:t>
      </w:r>
      <w:r w:rsidRPr="00A52585">
        <w:rPr>
          <w:rFonts w:hint="cs"/>
        </w:rPr>
        <w:t xml:space="preserve"> </w:t>
      </w:r>
      <w:r w:rsidRPr="00A52585">
        <w:rPr>
          <w:rFonts w:hint="cs"/>
          <w:rtl/>
        </w:rPr>
        <w:lastRenderedPageBreak/>
        <w:t>الله</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ب</w:t>
      </w:r>
      <w:r w:rsidR="0002035C" w:rsidRPr="00A52585">
        <w:rPr>
          <w:rFonts w:hint="cs"/>
          <w:rtl/>
        </w:rPr>
        <w:t>)</w:t>
      </w:r>
      <w:r w:rsidRPr="00A52585">
        <w:rPr>
          <w:rFonts w:hint="cs"/>
          <w:rtl/>
        </w:rPr>
        <w:t xml:space="preserve"> فثم الله</w:t>
      </w:r>
      <w:r w:rsidRPr="00A52585">
        <w:rPr>
          <w:rFonts w:hint="cs"/>
        </w:rPr>
        <w:t xml:space="preserve"> </w:t>
      </w:r>
      <w:r w:rsidRPr="00A52585">
        <w:rPr>
          <w:rFonts w:hint="cs"/>
          <w:rtl/>
        </w:rPr>
        <w:t>تبارك وتعالى يريد علمه</w:t>
      </w:r>
      <w:r w:rsidRPr="00A52585">
        <w:rPr>
          <w:rFonts w:hint="cs"/>
        </w:rPr>
        <w:t xml:space="preserve"> </w:t>
      </w:r>
      <w:r w:rsidRPr="00A52585">
        <w:rPr>
          <w:rFonts w:hint="cs"/>
          <w:rtl/>
        </w:rPr>
        <w:t>معكم أينما كنتم</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ت</w:t>
      </w:r>
      <w:r w:rsidR="0002035C" w:rsidRPr="00A52585">
        <w:rPr>
          <w:rFonts w:hint="cs"/>
          <w:rtl/>
        </w:rPr>
        <w:t>)</w:t>
      </w:r>
      <w:r w:rsidRPr="00A52585">
        <w:rPr>
          <w:rFonts w:hint="cs"/>
          <w:rtl/>
        </w:rPr>
        <w:t xml:space="preserve"> فثم تدركون</w:t>
      </w:r>
      <w:r w:rsidRPr="00A52585">
        <w:rPr>
          <w:rFonts w:hint="cs"/>
        </w:rPr>
        <w:t xml:space="preserve"> </w:t>
      </w:r>
      <w:r w:rsidRPr="00A52585">
        <w:rPr>
          <w:rFonts w:hint="cs"/>
          <w:rtl/>
        </w:rPr>
        <w:t>بالتوجه إليه رضا الله تعالى كقوله تعالى (إنما نطعمكم لوجه الله) وقوله تعالى (والذين</w:t>
      </w:r>
      <w:r w:rsidRPr="00A52585">
        <w:rPr>
          <w:rFonts w:hint="cs"/>
        </w:rPr>
        <w:t xml:space="preserve"> </w:t>
      </w:r>
      <w:r w:rsidRPr="00A52585">
        <w:rPr>
          <w:rFonts w:hint="cs"/>
          <w:rtl/>
        </w:rPr>
        <w:t>صبروا ابتغاء وجه ربهم</w:t>
      </w:r>
      <w:r w:rsidR="0002035C" w:rsidRPr="00A52585">
        <w:rPr>
          <w:rFonts w:hint="cs"/>
          <w:rtl/>
        </w:rPr>
        <w:t>)</w:t>
      </w:r>
      <w:r w:rsidRPr="00A52585">
        <w:rPr>
          <w:rFonts w:hint="cs"/>
          <w:rtl/>
        </w:rPr>
        <w:t xml:space="preserve"> أي لأجل رضا الله وابتغاء مرضاته</w:t>
      </w:r>
      <w:r w:rsidR="00DB731D" w:rsidRPr="00A52585">
        <w:rPr>
          <w:rFonts w:hint="cs"/>
          <w:rtl/>
        </w:rPr>
        <w:t>،</w:t>
      </w:r>
      <w:r w:rsidRPr="00A52585">
        <w:rPr>
          <w:rFonts w:hint="cs"/>
          <w:rtl/>
        </w:rPr>
        <w:t xml:space="preserve"> فهذه المعاني هي التي جاءت عن الصحابة والتابعين وأما ما عدا ذلك فهو تكلف لا دليل عليه</w:t>
      </w:r>
      <w:r w:rsidR="00DB731D" w:rsidRPr="00A52585">
        <w:rPr>
          <w:rFonts w:hint="cs"/>
          <w:rtl/>
        </w:rPr>
        <w:t>،</w:t>
      </w:r>
      <w:r w:rsidRPr="00A52585">
        <w:rPr>
          <w:rFonts w:hint="cs"/>
          <w:rtl/>
        </w:rPr>
        <w:t xml:space="preserve"> وأما من أراد بهذه الآية إثبات وجه جارحة هو جزء من الذات فتعالى الله عما يصفون</w:t>
      </w:r>
      <w:r w:rsidR="00DB731D" w:rsidRPr="00A52585">
        <w:rPr>
          <w:rFonts w:hint="cs"/>
          <w:rtl/>
        </w:rPr>
        <w:t>،</w:t>
      </w:r>
      <w:r w:rsidRPr="00A52585">
        <w:rPr>
          <w:rFonts w:hint="cs"/>
          <w:rtl/>
        </w:rPr>
        <w:t xml:space="preserve"> لأن الله تعالى له الأحدية المطلقة فهو منزه عن الأبعاض والأجزاء والجوارح</w:t>
      </w:r>
      <w:r w:rsidR="00DB731D" w:rsidRPr="00A52585">
        <w:rPr>
          <w:rFonts w:hint="cs"/>
          <w:rtl/>
        </w:rPr>
        <w:t>،</w:t>
      </w:r>
      <w:r w:rsidRPr="00A52585">
        <w:rPr>
          <w:rFonts w:hint="cs"/>
          <w:rtl/>
        </w:rPr>
        <w:t xml:space="preserve"> </w:t>
      </w:r>
      <w:r w:rsidRPr="00A52585">
        <w:rPr>
          <w:rFonts w:hint="cs"/>
          <w:bCs/>
          <w:rtl/>
        </w:rPr>
        <w:t>وكذلك جاءت الآيات في العين مضافاً إلى الله تعالى</w:t>
      </w:r>
      <w:r w:rsidR="0002035C" w:rsidRPr="00A52585">
        <w:rPr>
          <w:rFonts w:hint="cs"/>
          <w:bCs/>
          <w:rtl/>
        </w:rPr>
        <w:t>:</w:t>
      </w:r>
      <w:r w:rsidRPr="00A52585">
        <w:rPr>
          <w:rFonts w:hint="cs"/>
          <w:bCs/>
          <w:rtl/>
        </w:rPr>
        <w:t xml:space="preserve"> </w:t>
      </w:r>
      <w:r w:rsidRPr="00A52585">
        <w:rPr>
          <w:rFonts w:hint="cs"/>
          <w:rtl/>
        </w:rPr>
        <w:t>جاءت</w:t>
      </w:r>
      <w:r w:rsidR="0002035C" w:rsidRPr="00A52585">
        <w:rPr>
          <w:rFonts w:hint="cs"/>
          <w:rtl/>
        </w:rPr>
        <w:t xml:space="preserve"> </w:t>
      </w:r>
      <w:r w:rsidRPr="00A52585">
        <w:rPr>
          <w:rFonts w:hint="cs"/>
          <w:rtl/>
        </w:rPr>
        <w:t>العين مضافةً إلى الله تعالى في خمس آيات</w:t>
      </w:r>
      <w:r w:rsidR="0002035C" w:rsidRPr="00A52585">
        <w:rPr>
          <w:rFonts w:hint="cs"/>
          <w:rtl/>
        </w:rPr>
        <w:t>:</w:t>
      </w:r>
      <w:r w:rsidRPr="00A52585">
        <w:rPr>
          <w:rFonts w:hint="cs"/>
          <w:rtl/>
        </w:rPr>
        <w:t xml:space="preserve"> في سورة هود </w:t>
      </w:r>
      <w:r w:rsidR="0002035C" w:rsidRPr="00A52585">
        <w:rPr>
          <w:rFonts w:hint="cs"/>
          <w:rtl/>
        </w:rPr>
        <w:t>(</w:t>
      </w:r>
      <w:r w:rsidRPr="00A52585">
        <w:rPr>
          <w:rFonts w:hint="cs"/>
          <w:rtl/>
        </w:rPr>
        <w:t>واصنع الفلك بأعيننا ووحينا</w:t>
      </w:r>
      <w:r w:rsidR="0002035C" w:rsidRPr="00A52585">
        <w:rPr>
          <w:rFonts w:hint="cs"/>
          <w:rtl/>
        </w:rPr>
        <w:t xml:space="preserve">) </w:t>
      </w:r>
      <w:r w:rsidRPr="00A52585">
        <w:rPr>
          <w:rFonts w:hint="cs"/>
          <w:rtl/>
        </w:rPr>
        <w:t xml:space="preserve">وفي سورة المؤمنون </w:t>
      </w:r>
      <w:r w:rsidR="0002035C" w:rsidRPr="00A52585">
        <w:rPr>
          <w:rFonts w:hint="cs"/>
          <w:rtl/>
        </w:rPr>
        <w:t>(</w:t>
      </w:r>
      <w:r w:rsidRPr="00A52585">
        <w:rPr>
          <w:rFonts w:hint="cs"/>
          <w:rtl/>
        </w:rPr>
        <w:t>فأوحينا إليه أن اصنع الفلك بأعيننا ووحينا)</w:t>
      </w:r>
      <w:r w:rsidR="0002035C" w:rsidRPr="00A52585">
        <w:rPr>
          <w:rFonts w:hint="cs"/>
          <w:rtl/>
        </w:rPr>
        <w:t xml:space="preserve"> </w:t>
      </w:r>
      <w:r w:rsidRPr="00A52585">
        <w:rPr>
          <w:rFonts w:hint="cs"/>
          <w:rtl/>
        </w:rPr>
        <w:t>وفي سورة طه</w:t>
      </w:r>
      <w:r w:rsidR="0002035C" w:rsidRPr="00A52585">
        <w:rPr>
          <w:rFonts w:hint="cs"/>
          <w:rtl/>
        </w:rPr>
        <w:t xml:space="preserve"> (</w:t>
      </w:r>
      <w:r w:rsidRPr="00A52585">
        <w:rPr>
          <w:rFonts w:hint="cs"/>
          <w:rtl/>
        </w:rPr>
        <w:t>وألقيت عليك محبة مني ولتصنع على عيني</w:t>
      </w:r>
      <w:r w:rsidR="0002035C" w:rsidRPr="00A52585">
        <w:rPr>
          <w:rFonts w:hint="cs"/>
          <w:rtl/>
        </w:rPr>
        <w:t xml:space="preserve">) </w:t>
      </w:r>
      <w:r w:rsidRPr="00A52585">
        <w:rPr>
          <w:rFonts w:hint="cs"/>
          <w:rtl/>
        </w:rPr>
        <w:t xml:space="preserve">وفي سورة الطور </w:t>
      </w:r>
      <w:r w:rsidR="0002035C" w:rsidRPr="00A52585">
        <w:rPr>
          <w:rFonts w:hint="cs"/>
          <w:rtl/>
        </w:rPr>
        <w:t>(</w:t>
      </w:r>
      <w:r w:rsidRPr="00A52585">
        <w:rPr>
          <w:rFonts w:hint="cs"/>
          <w:rtl/>
        </w:rPr>
        <w:t>واصبر لحكم ربك فإنك بأعيننا</w:t>
      </w:r>
      <w:r w:rsidR="0002035C" w:rsidRPr="00A52585">
        <w:rPr>
          <w:rFonts w:hint="cs"/>
          <w:rtl/>
        </w:rPr>
        <w:t xml:space="preserve">) </w:t>
      </w:r>
      <w:r w:rsidRPr="00A52585">
        <w:rPr>
          <w:rFonts w:hint="cs"/>
          <w:rtl/>
        </w:rPr>
        <w:t xml:space="preserve">وفي سورة القمر </w:t>
      </w:r>
      <w:r w:rsidR="0002035C" w:rsidRPr="00A52585">
        <w:rPr>
          <w:rFonts w:hint="cs"/>
          <w:rtl/>
        </w:rPr>
        <w:t>(</w:t>
      </w:r>
      <w:r w:rsidRPr="00A52585">
        <w:rPr>
          <w:rFonts w:hint="cs"/>
          <w:rtl/>
        </w:rPr>
        <w:t>تجري بأعيننا</w:t>
      </w:r>
      <w:r w:rsidR="0002035C" w:rsidRPr="00A52585">
        <w:rPr>
          <w:rFonts w:hint="cs"/>
          <w:rtl/>
        </w:rPr>
        <w:t>)</w:t>
      </w:r>
      <w:r w:rsidR="00DB731D" w:rsidRPr="00A52585">
        <w:rPr>
          <w:rFonts w:hint="cs"/>
          <w:rtl/>
        </w:rPr>
        <w:t>،</w:t>
      </w:r>
      <w:r w:rsidRPr="00A52585">
        <w:rPr>
          <w:rFonts w:hint="cs"/>
          <w:rtl/>
        </w:rPr>
        <w:t xml:space="preserve"> المتدبر لآيات</w:t>
      </w:r>
      <w:r w:rsidRPr="00A52585">
        <w:rPr>
          <w:rFonts w:hint="cs"/>
        </w:rPr>
        <w:t xml:space="preserve"> </w:t>
      </w:r>
      <w:r w:rsidRPr="00A52585">
        <w:rPr>
          <w:rFonts w:hint="cs"/>
          <w:rtl/>
        </w:rPr>
        <w:t>القرآن يعلم يقينا أن العين يستعمل فيه في مجازات متعددة</w:t>
      </w:r>
      <w:r w:rsidR="00DB731D" w:rsidRPr="00A52585">
        <w:rPr>
          <w:rFonts w:hint="cs"/>
          <w:rtl/>
        </w:rPr>
        <w:t>،</w:t>
      </w:r>
      <w:r w:rsidRPr="00A52585">
        <w:rPr>
          <w:rFonts w:hint="cs"/>
          <w:rtl/>
        </w:rPr>
        <w:t xml:space="preserve"> فالعين تأتي حقيقة</w:t>
      </w:r>
      <w:r w:rsidRPr="00A52585">
        <w:rPr>
          <w:rFonts w:hint="cs"/>
        </w:rPr>
        <w:t xml:space="preserve"> </w:t>
      </w:r>
      <w:r w:rsidRPr="00A52585">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Pr="00A52585">
        <w:rPr>
          <w:rFonts w:hint="cs"/>
        </w:rPr>
        <w:t xml:space="preserve"> </w:t>
      </w:r>
      <w:r w:rsidRPr="00A52585">
        <w:rPr>
          <w:rFonts w:hint="cs"/>
          <w:rtl/>
        </w:rPr>
        <w:t>الحراسة والحفظ</w:t>
      </w:r>
      <w:r w:rsidRPr="00A52585">
        <w:rPr>
          <w:rFonts w:hint="cs"/>
        </w:rPr>
        <w:t xml:space="preserve"> </w:t>
      </w:r>
      <w:r w:rsidRPr="00A52585">
        <w:rPr>
          <w:rFonts w:hint="cs"/>
          <w:rtl/>
        </w:rPr>
        <w:t>في الغالب</w:t>
      </w:r>
      <w:r w:rsidR="00DB731D" w:rsidRPr="00A52585">
        <w:rPr>
          <w:rFonts w:hint="cs"/>
          <w:rtl/>
        </w:rPr>
        <w:t>،</w:t>
      </w:r>
      <w:r w:rsidRPr="00A52585">
        <w:rPr>
          <w:rFonts w:hint="cs"/>
          <w:rtl/>
        </w:rPr>
        <w:t xml:space="preserve"> فتأتي كناية على شدة العناية والحراسة</w:t>
      </w:r>
      <w:r w:rsidR="00DB731D" w:rsidRPr="00A52585">
        <w:rPr>
          <w:rFonts w:hint="cs"/>
          <w:rtl/>
        </w:rPr>
        <w:t>،</w:t>
      </w:r>
      <w:r w:rsidRPr="00A52585">
        <w:rPr>
          <w:rFonts w:hint="cs"/>
          <w:rtl/>
        </w:rPr>
        <w:t xml:space="preserve"> والوجه في حسن هذا المجاز</w:t>
      </w:r>
      <w:r w:rsidR="0002035C" w:rsidRPr="00A52585">
        <w:rPr>
          <w:rFonts w:hint="cs"/>
          <w:rtl/>
        </w:rPr>
        <w:t>:</w:t>
      </w:r>
      <w:r w:rsidRPr="00A52585">
        <w:rPr>
          <w:rFonts w:hint="cs"/>
          <w:rtl/>
        </w:rPr>
        <w:t xml:space="preserve"> أن من عظمت عنايته بشيء وميله إليه</w:t>
      </w:r>
      <w:r w:rsidR="00DB731D" w:rsidRPr="00A52585">
        <w:rPr>
          <w:rFonts w:hint="cs"/>
          <w:rtl/>
        </w:rPr>
        <w:t>،</w:t>
      </w:r>
      <w:r w:rsidRPr="00A52585">
        <w:rPr>
          <w:rFonts w:hint="cs"/>
          <w:rtl/>
        </w:rPr>
        <w:t xml:space="preserve"> ورغبته فيه</w:t>
      </w:r>
      <w:r w:rsidR="00DB731D" w:rsidRPr="00A52585">
        <w:rPr>
          <w:rFonts w:hint="cs"/>
          <w:rtl/>
        </w:rPr>
        <w:t>،</w:t>
      </w:r>
      <w:r w:rsidRPr="00A52585">
        <w:rPr>
          <w:rFonts w:hint="cs"/>
          <w:rtl/>
        </w:rPr>
        <w:t xml:space="preserve"> كان كثير النظر إليه</w:t>
      </w:r>
      <w:r w:rsidR="00DB731D" w:rsidRPr="00A52585">
        <w:rPr>
          <w:rFonts w:hint="cs"/>
          <w:rtl/>
        </w:rPr>
        <w:t>،</w:t>
      </w:r>
      <w:r w:rsidRPr="00A52585">
        <w:rPr>
          <w:rFonts w:hint="cs"/>
          <w:rtl/>
        </w:rPr>
        <w:t xml:space="preserve"> فجعل لفظ العين ـ التي هي آلة لذلك النظر ـ كناية عن شدة العناية</w:t>
      </w:r>
      <w:r w:rsidR="00DB731D" w:rsidRPr="00A52585">
        <w:rPr>
          <w:rFonts w:hint="cs"/>
          <w:rtl/>
        </w:rPr>
        <w:t>،</w:t>
      </w:r>
      <w:r w:rsidRPr="00A52585">
        <w:rPr>
          <w:rFonts w:hint="cs"/>
          <w:rtl/>
        </w:rPr>
        <w:t xml:space="preserve"> فإذا جمعت العين دلت على كمال الحفظ والمبالغة فيه</w:t>
      </w:r>
      <w:r w:rsidR="00DB731D" w:rsidRPr="00A52585">
        <w:rPr>
          <w:rFonts w:hint="cs"/>
          <w:rtl/>
        </w:rPr>
        <w:t>،</w:t>
      </w:r>
      <w:r w:rsidRPr="00A52585">
        <w:rPr>
          <w:rFonts w:hint="cs"/>
          <w:rtl/>
        </w:rPr>
        <w:t xml:space="preserve"> ولما اتفقت الأمة على تنزيه الله تعالى عن العين الجارحة لأنها تحمل معنى التجزؤ </w:t>
      </w:r>
      <w:proofErr w:type="spellStart"/>
      <w:r w:rsidRPr="00A52585">
        <w:rPr>
          <w:rFonts w:hint="cs"/>
          <w:rtl/>
        </w:rPr>
        <w:t>والتبعض</w:t>
      </w:r>
      <w:proofErr w:type="spellEnd"/>
      <w:r w:rsidRPr="00A52585">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Pr="00A52585">
        <w:rPr>
          <w:rFonts w:hint="cs"/>
          <w:rtl/>
        </w:rPr>
        <w:t>القيومية</w:t>
      </w:r>
      <w:proofErr w:type="spellEnd"/>
      <w:r w:rsidRPr="00A52585">
        <w:rPr>
          <w:rFonts w:hint="cs"/>
          <w:rtl/>
        </w:rPr>
        <w:t xml:space="preserve"> والغنى</w:t>
      </w:r>
      <w:r w:rsidR="00DB731D" w:rsidRPr="00A52585">
        <w:rPr>
          <w:rFonts w:hint="cs"/>
          <w:rtl/>
        </w:rPr>
        <w:t>،</w:t>
      </w:r>
      <w:r w:rsidRPr="00A52585">
        <w:rPr>
          <w:rFonts w:hint="cs"/>
          <w:rtl/>
        </w:rPr>
        <w:t xml:space="preserve"> فهو منزه في إبصاره للخلق ونظره إليهم من جارحة العين وغيرها بل هو السميع البصير بلا جارحة أذن أو عين</w:t>
      </w:r>
      <w:r w:rsidR="00DB731D" w:rsidRPr="00A52585">
        <w:rPr>
          <w:rFonts w:hint="cs"/>
          <w:rtl/>
        </w:rPr>
        <w:t>،</w:t>
      </w:r>
      <w:r w:rsidRPr="00A52585">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A52585">
        <w:rPr>
          <w:rFonts w:hint="cs"/>
        </w:rPr>
        <w:t xml:space="preserve"> </w:t>
      </w:r>
      <w:r w:rsidRPr="00A52585">
        <w:rPr>
          <w:rFonts w:hint="cs"/>
          <w:rtl/>
        </w:rPr>
        <w:t>العناية والحراسة</w:t>
      </w:r>
      <w:r w:rsidR="00DB731D" w:rsidRPr="00A52585">
        <w:rPr>
          <w:rFonts w:hint="cs"/>
          <w:rtl/>
        </w:rPr>
        <w:t>،</w:t>
      </w:r>
      <w:r w:rsidRPr="00A52585">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DB731D" w:rsidRPr="00A52585">
        <w:rPr>
          <w:rFonts w:hint="cs"/>
          <w:rtl/>
        </w:rPr>
        <w:t>،</w:t>
      </w:r>
      <w:r w:rsidRPr="00A52585">
        <w:rPr>
          <w:rFonts w:hint="cs"/>
          <w:rtl/>
        </w:rPr>
        <w:t xml:space="preserve"> ثم تواترت أقوال الأئمة المقتدى بهم في الدين على ذلك</w:t>
      </w:r>
      <w:r w:rsidR="00DB731D" w:rsidRPr="00A52585">
        <w:rPr>
          <w:rFonts w:hint="cs"/>
          <w:rtl/>
        </w:rPr>
        <w:t>،</w:t>
      </w:r>
      <w:r w:rsidRPr="00A52585">
        <w:rPr>
          <w:rFonts w:hint="cs"/>
          <w:rtl/>
        </w:rPr>
        <w:t xml:space="preserve"> وسيأتي طائفة كثيرة من أقوالهم في هذا المبحث إن شاء الله تعالى</w:t>
      </w:r>
      <w:r w:rsidR="00DB731D" w:rsidRPr="00A52585">
        <w:rPr>
          <w:rFonts w:hint="cs"/>
          <w:rtl/>
        </w:rPr>
        <w:t>،</w:t>
      </w:r>
      <w:r w:rsidRPr="00A52585">
        <w:rPr>
          <w:rFonts w:hint="cs"/>
          <w:rtl/>
        </w:rPr>
        <w:t xml:space="preserve"> فقوله</w:t>
      </w:r>
      <w:r w:rsidRPr="00A52585">
        <w:rPr>
          <w:rFonts w:hint="cs"/>
        </w:rPr>
        <w:t xml:space="preserve"> </w:t>
      </w:r>
      <w:r w:rsidRPr="00A52585">
        <w:rPr>
          <w:rFonts w:hint="cs"/>
          <w:rtl/>
        </w:rPr>
        <w:t xml:space="preserve">تعالى </w:t>
      </w:r>
      <w:r w:rsidR="0002035C" w:rsidRPr="00A52585">
        <w:rPr>
          <w:rFonts w:hint="cs"/>
          <w:rtl/>
        </w:rPr>
        <w:t>(</w:t>
      </w:r>
      <w:r w:rsidRPr="00A52585">
        <w:rPr>
          <w:rFonts w:hint="cs"/>
          <w:rtl/>
        </w:rPr>
        <w:t>واصنع الفلك بأعيننا ووحينا</w:t>
      </w:r>
      <w:r w:rsidR="0002035C" w:rsidRPr="00A52585">
        <w:rPr>
          <w:rFonts w:hint="cs"/>
          <w:rtl/>
        </w:rPr>
        <w:t>)</w:t>
      </w:r>
      <w:r w:rsidRPr="00A52585">
        <w:rPr>
          <w:rFonts w:hint="cs"/>
          <w:rtl/>
        </w:rPr>
        <w:t xml:space="preserve"> معناه بمرأى منا أو بحفظنا</w:t>
      </w:r>
      <w:r w:rsidR="00DB731D" w:rsidRPr="00A52585">
        <w:rPr>
          <w:rFonts w:hint="cs"/>
          <w:rtl/>
        </w:rPr>
        <w:t>،</w:t>
      </w:r>
      <w:r w:rsidRPr="00A52585">
        <w:rPr>
          <w:rFonts w:hint="cs"/>
          <w:rtl/>
        </w:rPr>
        <w:t xml:space="preserve"> وقوله تعالى </w:t>
      </w:r>
      <w:r w:rsidR="0002035C" w:rsidRPr="00A52585">
        <w:rPr>
          <w:rFonts w:hint="cs"/>
          <w:rtl/>
        </w:rPr>
        <w:t>{</w:t>
      </w:r>
      <w:r w:rsidRPr="00A52585">
        <w:rPr>
          <w:rFonts w:hint="cs"/>
          <w:rtl/>
        </w:rPr>
        <w:t>وألقيت عليك محبة مني ولتصنع على عيني</w:t>
      </w:r>
      <w:r w:rsidR="0002035C" w:rsidRPr="00A52585">
        <w:rPr>
          <w:rFonts w:hint="cs"/>
          <w:rtl/>
        </w:rPr>
        <w:t xml:space="preserve">} </w:t>
      </w:r>
      <w:r w:rsidRPr="00A52585">
        <w:rPr>
          <w:rFonts w:hint="cs"/>
          <w:rtl/>
        </w:rPr>
        <w:t>معناه أي بمرأى منى كناية عن الحفظ والصون والحنو والشفقة والرعاية والمراقبة</w:t>
      </w:r>
      <w:r w:rsidR="00DB731D" w:rsidRPr="00A52585">
        <w:rPr>
          <w:rFonts w:hint="cs"/>
          <w:rtl/>
        </w:rPr>
        <w:t>،</w:t>
      </w:r>
      <w:r w:rsidRPr="00A52585">
        <w:rPr>
          <w:rFonts w:hint="cs"/>
          <w:rtl/>
        </w:rPr>
        <w:t xml:space="preserve"> وقوله تعالى </w:t>
      </w:r>
      <w:r w:rsidR="0002035C" w:rsidRPr="00A52585">
        <w:rPr>
          <w:rFonts w:hint="cs"/>
          <w:rtl/>
        </w:rPr>
        <w:t>(</w:t>
      </w:r>
      <w:r w:rsidRPr="00A52585">
        <w:rPr>
          <w:rFonts w:hint="cs"/>
          <w:rtl/>
        </w:rPr>
        <w:t>واصبر لحكم ربك فإنك بأعيننا</w:t>
      </w:r>
      <w:r w:rsidR="0002035C" w:rsidRPr="00A52585">
        <w:rPr>
          <w:rFonts w:hint="cs"/>
          <w:rtl/>
        </w:rPr>
        <w:t>)</w:t>
      </w:r>
      <w:r w:rsidRPr="00A52585">
        <w:rPr>
          <w:rFonts w:hint="cs"/>
          <w:rtl/>
        </w:rPr>
        <w:t xml:space="preserve"> معناه بحفظنا </w:t>
      </w:r>
      <w:r w:rsidRPr="00A52585">
        <w:rPr>
          <w:rFonts w:hint="cs"/>
          <w:rtl/>
        </w:rPr>
        <w:lastRenderedPageBreak/>
        <w:t>إياك وحراستنا لك</w:t>
      </w:r>
      <w:r w:rsidR="00DB731D" w:rsidRPr="00A52585">
        <w:rPr>
          <w:rFonts w:hint="cs"/>
          <w:rtl/>
        </w:rPr>
        <w:t>،</w:t>
      </w:r>
      <w:r w:rsidRPr="00A52585">
        <w:rPr>
          <w:rFonts w:hint="cs"/>
          <w:rtl/>
        </w:rPr>
        <w:t xml:space="preserve"> قال الألوسي</w:t>
      </w:r>
      <w:r w:rsidR="0002035C" w:rsidRPr="00A52585">
        <w:rPr>
          <w:rFonts w:hint="cs"/>
          <w:rtl/>
        </w:rPr>
        <w:t>:</w:t>
      </w:r>
      <w:r w:rsidRPr="00A52585">
        <w:rPr>
          <w:rFonts w:hint="cs"/>
          <w:rtl/>
        </w:rPr>
        <w:t xml:space="preserve"> " وعلى </w:t>
      </w:r>
      <w:proofErr w:type="spellStart"/>
      <w:r w:rsidRPr="00A52585">
        <w:rPr>
          <w:rFonts w:hint="cs"/>
          <w:rtl/>
        </w:rPr>
        <w:t>عينى</w:t>
      </w:r>
      <w:proofErr w:type="spellEnd"/>
      <w:r w:rsidRPr="00A52585">
        <w:rPr>
          <w:rFonts w:hint="cs"/>
          <w:rtl/>
        </w:rPr>
        <w:t xml:space="preserve"> أي بمرأى منى وهو استعارة تمثيلية للحفظ والصون فان المصون يجعل بمرأى والصنع الإحسان قال النحاس</w:t>
      </w:r>
      <w:r w:rsidR="0002035C" w:rsidRPr="00A52585">
        <w:rPr>
          <w:rFonts w:hint="cs"/>
          <w:rtl/>
        </w:rPr>
        <w:t xml:space="preserve"> </w:t>
      </w:r>
      <w:r w:rsidRPr="00A52585">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02035C" w:rsidRPr="00A52585">
        <w:rPr>
          <w:rFonts w:hint="cs"/>
          <w:rtl/>
        </w:rPr>
        <w:t>[</w:t>
      </w:r>
      <w:r w:rsidRPr="00A52585">
        <w:rPr>
          <w:rFonts w:hint="cs"/>
          <w:rtl/>
        </w:rPr>
        <w:t>روح المعاني ج: 16 ص: 190]</w:t>
      </w:r>
      <w:r w:rsidR="00DB731D" w:rsidRPr="00A52585">
        <w:rPr>
          <w:rFonts w:hint="cs"/>
          <w:rtl/>
        </w:rPr>
        <w:t>،</w:t>
      </w:r>
      <w:r w:rsidRPr="00A52585">
        <w:rPr>
          <w:rFonts w:hint="cs"/>
          <w:rtl/>
        </w:rPr>
        <w:t xml:space="preserve"> </w:t>
      </w:r>
      <w:r w:rsidRPr="00A52585">
        <w:rPr>
          <w:rFonts w:hint="cs"/>
          <w:bCs/>
          <w:rtl/>
        </w:rPr>
        <w:t>وكذلك جاءت الآيات في اليد مضافاً إلى الله تعالى</w:t>
      </w:r>
      <w:r w:rsidR="0002035C" w:rsidRPr="00A52585">
        <w:rPr>
          <w:rFonts w:hint="cs"/>
          <w:bCs/>
          <w:rtl/>
        </w:rPr>
        <w:t>:</w:t>
      </w:r>
      <w:r w:rsidRPr="00A52585">
        <w:rPr>
          <w:rFonts w:hint="cs"/>
          <w:bCs/>
          <w:rtl/>
        </w:rPr>
        <w:t xml:space="preserve"> </w:t>
      </w:r>
      <w:r w:rsidRPr="00A52585">
        <w:rPr>
          <w:rFonts w:hint="cs"/>
          <w:rtl/>
        </w:rPr>
        <w:t>وذلك</w:t>
      </w:r>
      <w:r w:rsidRPr="00A52585">
        <w:rPr>
          <w:rFonts w:hint="cs"/>
        </w:rPr>
        <w:t xml:space="preserve"> </w:t>
      </w:r>
      <w:r w:rsidRPr="00A52585">
        <w:rPr>
          <w:rFonts w:hint="cs"/>
          <w:rtl/>
        </w:rPr>
        <w:t>في ثمان آيات بلفظ الوحدان في أربعة مواضع</w:t>
      </w:r>
      <w:r w:rsidRPr="00A52585">
        <w:rPr>
          <w:rFonts w:hint="cs"/>
        </w:rPr>
        <w:t xml:space="preserve"> </w:t>
      </w:r>
      <w:r w:rsidRPr="00A52585">
        <w:rPr>
          <w:rFonts w:hint="cs"/>
          <w:rtl/>
        </w:rPr>
        <w:t>والتثنية في موضعين والجمع في موضعين</w:t>
      </w:r>
      <w:r w:rsidR="00DB731D" w:rsidRPr="00A52585">
        <w:rPr>
          <w:rFonts w:hint="cs"/>
          <w:rtl/>
        </w:rPr>
        <w:t>،</w:t>
      </w:r>
      <w:r w:rsidRPr="00A52585">
        <w:rPr>
          <w:rFonts w:hint="cs"/>
          <w:rtl/>
        </w:rPr>
        <w:t xml:space="preserve"> ففي سورة المائدة </w:t>
      </w:r>
      <w:r w:rsidR="0002035C" w:rsidRPr="00A52585">
        <w:rPr>
          <w:rFonts w:hint="cs"/>
          <w:rtl/>
        </w:rPr>
        <w:t>(</w:t>
      </w:r>
      <w:r w:rsidRPr="00A52585">
        <w:rPr>
          <w:rFonts w:hint="cs"/>
          <w:rtl/>
        </w:rPr>
        <w:t>بل يداه</w:t>
      </w:r>
      <w:r w:rsidRPr="00A52585">
        <w:rPr>
          <w:rFonts w:hint="cs"/>
        </w:rPr>
        <w:t xml:space="preserve"> </w:t>
      </w:r>
      <w:r w:rsidRPr="00A52585">
        <w:rPr>
          <w:rFonts w:hint="cs"/>
          <w:rtl/>
        </w:rPr>
        <w:t>مبسوطتان</w:t>
      </w:r>
      <w:r w:rsidR="0002035C" w:rsidRPr="00A52585">
        <w:rPr>
          <w:rFonts w:hint="cs"/>
          <w:rtl/>
        </w:rPr>
        <w:t xml:space="preserve">) </w:t>
      </w:r>
      <w:r w:rsidRPr="00A52585">
        <w:rPr>
          <w:rFonts w:hint="cs"/>
          <w:rtl/>
        </w:rPr>
        <w:t>وفي سورة</w:t>
      </w:r>
      <w:r w:rsidRPr="00A52585">
        <w:rPr>
          <w:rFonts w:hint="cs"/>
        </w:rPr>
        <w:t xml:space="preserve"> </w:t>
      </w:r>
      <w:r w:rsidRPr="00A52585">
        <w:rPr>
          <w:rFonts w:hint="cs"/>
          <w:rtl/>
        </w:rPr>
        <w:t xml:space="preserve">ص </w:t>
      </w:r>
      <w:r w:rsidR="0002035C" w:rsidRPr="00A52585">
        <w:rPr>
          <w:rFonts w:hint="cs"/>
          <w:rtl/>
          <w:lang w:bidi="ar-KW"/>
        </w:rPr>
        <w:t>(</w:t>
      </w:r>
      <w:r w:rsidRPr="00A52585">
        <w:rPr>
          <w:rFonts w:hint="cs"/>
          <w:rtl/>
        </w:rPr>
        <w:t>يا إبليس ما منعك أن تسجد لما خلقت بيدي</w:t>
      </w:r>
      <w:r w:rsidR="0002035C" w:rsidRPr="00A52585">
        <w:rPr>
          <w:rFonts w:hint="cs"/>
          <w:rtl/>
        </w:rPr>
        <w:t>)</w:t>
      </w:r>
      <w:r w:rsidRPr="00A52585">
        <w:rPr>
          <w:rFonts w:hint="cs"/>
          <w:rtl/>
        </w:rPr>
        <w:t xml:space="preserve"> وفي سورة الأعراف </w:t>
      </w:r>
      <w:r w:rsidR="0002035C" w:rsidRPr="00A52585">
        <w:rPr>
          <w:rFonts w:hint="cs"/>
          <w:rtl/>
        </w:rPr>
        <w:t>(</w:t>
      </w:r>
      <w:r w:rsidRPr="00A52585">
        <w:rPr>
          <w:rFonts w:hint="cs"/>
          <w:rtl/>
        </w:rPr>
        <w:t>ألهم أرجل</w:t>
      </w:r>
      <w:r w:rsidRPr="00A52585">
        <w:rPr>
          <w:rFonts w:hint="cs"/>
        </w:rPr>
        <w:t xml:space="preserve"> </w:t>
      </w:r>
      <w:r w:rsidRPr="00A52585">
        <w:rPr>
          <w:rFonts w:hint="cs"/>
          <w:rtl/>
        </w:rPr>
        <w:t>يمشون بها أم لهم أيد يبطشون بها أم لهم أعين يبصرون بها أم لهم آذان يسمعون بها</w:t>
      </w:r>
      <w:r w:rsidR="0002035C" w:rsidRPr="00A52585">
        <w:rPr>
          <w:rtl/>
        </w:rPr>
        <w:t>)</w:t>
      </w:r>
      <w:r w:rsidRPr="00A52585">
        <w:rPr>
          <w:rFonts w:hint="cs"/>
          <w:rtl/>
        </w:rPr>
        <w:t xml:space="preserve"> عيرهم بعدم هذه الصفات وفي سورة</w:t>
      </w:r>
      <w:r w:rsidR="0002035C" w:rsidRPr="00A52585">
        <w:rPr>
          <w:rFonts w:hint="cs"/>
          <w:rtl/>
        </w:rPr>
        <w:t xml:space="preserve"> </w:t>
      </w:r>
      <w:r w:rsidRPr="00A52585">
        <w:rPr>
          <w:rFonts w:hint="cs"/>
          <w:rtl/>
        </w:rPr>
        <w:t xml:space="preserve">يس </w:t>
      </w:r>
      <w:r w:rsidR="0002035C" w:rsidRPr="00A52585">
        <w:rPr>
          <w:rFonts w:hint="cs"/>
          <w:rtl/>
        </w:rPr>
        <w:t>(</w:t>
      </w:r>
      <w:r w:rsidRPr="00A52585">
        <w:rPr>
          <w:rFonts w:hint="cs"/>
          <w:rtl/>
        </w:rPr>
        <w:t>أو لم يروا أنا خلقنا لهم مما عملت أيدينا أنعاما</w:t>
      </w:r>
      <w:r w:rsidR="0002035C" w:rsidRPr="00A52585">
        <w:rPr>
          <w:rFonts w:hint="cs"/>
          <w:rtl/>
        </w:rPr>
        <w:t>)</w:t>
      </w:r>
      <w:r w:rsidRPr="00A52585">
        <w:rPr>
          <w:rFonts w:hint="cs"/>
          <w:rtl/>
        </w:rPr>
        <w:t xml:space="preserve"> وفي سورة الفتح </w:t>
      </w:r>
      <w:r w:rsidR="0002035C" w:rsidRPr="00A52585">
        <w:rPr>
          <w:rFonts w:hint="cs"/>
          <w:rtl/>
        </w:rPr>
        <w:t>(</w:t>
      </w:r>
      <w:r w:rsidRPr="00A52585">
        <w:rPr>
          <w:rFonts w:hint="cs"/>
          <w:rtl/>
        </w:rPr>
        <w:t>يد الله فوق أيديهم</w:t>
      </w:r>
      <w:r w:rsidR="0002035C" w:rsidRPr="00A52585">
        <w:rPr>
          <w:rFonts w:hint="cs"/>
          <w:rtl/>
        </w:rPr>
        <w:t>)</w:t>
      </w:r>
      <w:r w:rsidRPr="00A52585">
        <w:rPr>
          <w:rFonts w:hint="cs"/>
          <w:rtl/>
        </w:rPr>
        <w:t xml:space="preserve"> وفي سورة الحديد </w:t>
      </w:r>
      <w:r w:rsidR="0002035C" w:rsidRPr="00A52585">
        <w:rPr>
          <w:rFonts w:hint="cs"/>
          <w:rtl/>
        </w:rPr>
        <w:t>(</w:t>
      </w:r>
      <w:r w:rsidRPr="00A52585">
        <w:rPr>
          <w:rFonts w:hint="cs"/>
          <w:rtl/>
        </w:rPr>
        <w:t>وان الفضل بيد الله يؤتيه</w:t>
      </w:r>
      <w:r w:rsidRPr="00A52585">
        <w:rPr>
          <w:rFonts w:hint="cs"/>
        </w:rPr>
        <w:t xml:space="preserve"> </w:t>
      </w:r>
      <w:r w:rsidRPr="00A52585">
        <w:rPr>
          <w:rFonts w:hint="cs"/>
          <w:rtl/>
        </w:rPr>
        <w:t>من يشاء</w:t>
      </w:r>
      <w:r w:rsidR="0002035C" w:rsidRPr="00A52585">
        <w:rPr>
          <w:rFonts w:hint="cs"/>
          <w:rtl/>
        </w:rPr>
        <w:t>)</w:t>
      </w:r>
      <w:r w:rsidRPr="00A52585">
        <w:rPr>
          <w:rFonts w:hint="cs"/>
          <w:rtl/>
        </w:rPr>
        <w:t xml:space="preserve"> وفي سورة الملك </w:t>
      </w:r>
      <w:r w:rsidR="0002035C" w:rsidRPr="00A52585">
        <w:rPr>
          <w:rFonts w:hint="cs"/>
          <w:rtl/>
        </w:rPr>
        <w:t>(</w:t>
      </w:r>
      <w:r w:rsidRPr="00A52585">
        <w:rPr>
          <w:rFonts w:hint="cs"/>
          <w:rtl/>
        </w:rPr>
        <w:t>تبارك الذي بيده الملك</w:t>
      </w:r>
      <w:r w:rsidR="0002035C" w:rsidRPr="00A52585">
        <w:rPr>
          <w:rFonts w:hint="cs"/>
          <w:rtl/>
        </w:rPr>
        <w:t>)</w:t>
      </w:r>
      <w:r w:rsidRPr="00A52585">
        <w:rPr>
          <w:rFonts w:hint="cs"/>
          <w:rtl/>
        </w:rPr>
        <w:t xml:space="preserve"> وفي سورة آل عمران </w:t>
      </w:r>
      <w:r w:rsidR="0002035C" w:rsidRPr="00A52585">
        <w:rPr>
          <w:rFonts w:hint="cs"/>
          <w:rtl/>
        </w:rPr>
        <w:t>(</w:t>
      </w:r>
      <w:r w:rsidRPr="00A52585">
        <w:rPr>
          <w:rFonts w:hint="cs"/>
          <w:rtl/>
        </w:rPr>
        <w:t>بيدك الخير انك على كل</w:t>
      </w:r>
      <w:r w:rsidRPr="00A52585">
        <w:rPr>
          <w:rFonts w:hint="cs"/>
        </w:rPr>
        <w:t xml:space="preserve"> </w:t>
      </w:r>
      <w:r w:rsidRPr="00A52585">
        <w:rPr>
          <w:rFonts w:hint="cs"/>
          <w:rtl/>
        </w:rPr>
        <w:t>شيء قدير</w:t>
      </w:r>
      <w:r w:rsidR="0002035C" w:rsidRPr="00A52585">
        <w:rPr>
          <w:rFonts w:hint="cs"/>
          <w:rtl/>
        </w:rPr>
        <w:t>)</w:t>
      </w:r>
      <w:r w:rsidR="00DB731D" w:rsidRPr="00A52585">
        <w:rPr>
          <w:rFonts w:hint="cs"/>
          <w:rtl/>
        </w:rPr>
        <w:t>،</w:t>
      </w:r>
      <w:r w:rsidRPr="00A52585">
        <w:rPr>
          <w:rFonts w:hint="cs"/>
          <w:rtl/>
        </w:rPr>
        <w:t xml:space="preserve"> المتدبر لآيات القرآن يعلم يقينا أن اليد تستعمل فيه في مجازات متعددة لا يمكن إنكارها ولا على سبيل المكابرة ومثالها</w:t>
      </w:r>
      <w:r w:rsidR="00DB731D" w:rsidRPr="00A52585">
        <w:rPr>
          <w:rFonts w:hint="cs"/>
          <w:rtl/>
        </w:rPr>
        <w:t>،</w:t>
      </w:r>
      <w:r w:rsidRPr="00A52585">
        <w:rPr>
          <w:rFonts w:hint="cs"/>
          <w:rtl/>
        </w:rPr>
        <w:t xml:space="preserve"> </w:t>
      </w:r>
      <w:r w:rsidRPr="00A52585">
        <w:rPr>
          <w:rFonts w:hint="cs"/>
          <w:bCs/>
          <w:rtl/>
        </w:rPr>
        <w:t>قوله تعالى</w:t>
      </w:r>
      <w:r w:rsidRPr="00A52585">
        <w:rPr>
          <w:rFonts w:hint="cs"/>
          <w:rtl/>
        </w:rPr>
        <w:t xml:space="preserve"> </w:t>
      </w:r>
      <w:r w:rsidR="0002035C" w:rsidRPr="00A52585">
        <w:rPr>
          <w:rFonts w:hint="cs"/>
          <w:rtl/>
        </w:rPr>
        <w:t>{</w:t>
      </w:r>
      <w:r w:rsidRPr="00A52585">
        <w:rPr>
          <w:rFonts w:hint="cs"/>
          <w:rtl/>
        </w:rPr>
        <w:t>بَلْ يَدَاهُ مَبْسُوطَتَانِ يُنفِقُ كَيْفَ يَشَاء</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المائدة</w:t>
      </w:r>
      <w:r w:rsidR="0002035C" w:rsidRPr="00A52585">
        <w:rPr>
          <w:rFonts w:hint="cs"/>
          <w:rtl/>
        </w:rPr>
        <w:t>:</w:t>
      </w:r>
      <w:r w:rsidRPr="00A52585">
        <w:rPr>
          <w:rFonts w:hint="cs"/>
          <w:rtl/>
        </w:rPr>
        <w:t xml:space="preserve"> 64</w:t>
      </w:r>
      <w:r w:rsidR="0002035C" w:rsidRPr="00A52585">
        <w:rPr>
          <w:rFonts w:hint="cs"/>
          <w:rtl/>
        </w:rPr>
        <w:t>]</w:t>
      </w:r>
      <w:r w:rsidR="00DB731D" w:rsidRPr="00A52585">
        <w:rPr>
          <w:rFonts w:hint="cs"/>
          <w:rtl/>
        </w:rPr>
        <w:t>،</w:t>
      </w:r>
      <w:r w:rsidRPr="00A52585">
        <w:rPr>
          <w:rFonts w:hint="cs"/>
          <w:rtl/>
        </w:rPr>
        <w:t xml:space="preserve"> فإن بلغاء العرب يعلمون أن الوصف بغل</w:t>
      </w:r>
      <w:r w:rsidRPr="00A52585">
        <w:rPr>
          <w:rFonts w:hint="cs"/>
        </w:rPr>
        <w:t xml:space="preserve"> </w:t>
      </w:r>
      <w:r w:rsidRPr="00A52585">
        <w:rPr>
          <w:rFonts w:hint="cs"/>
          <w:rtl/>
        </w:rPr>
        <w:t>اليد وبسطها</w:t>
      </w:r>
      <w:r w:rsidRPr="00A52585">
        <w:rPr>
          <w:rFonts w:hint="cs"/>
        </w:rPr>
        <w:t xml:space="preserve"> </w:t>
      </w:r>
      <w:r w:rsidRPr="00A52585">
        <w:rPr>
          <w:rFonts w:hint="cs"/>
          <w:rtl/>
        </w:rPr>
        <w:t>مجاز</w:t>
      </w:r>
      <w:r w:rsidRPr="00A52585">
        <w:rPr>
          <w:rFonts w:hint="cs"/>
        </w:rPr>
        <w:t xml:space="preserve"> </w:t>
      </w:r>
      <w:r w:rsidRPr="00A52585">
        <w:rPr>
          <w:rFonts w:hint="cs"/>
          <w:rtl/>
        </w:rPr>
        <w:t xml:space="preserve">عن البخل والجود ومنه قوله تعالى آمراً نبيه صلى الله عليه وسلم </w:t>
      </w:r>
      <w:r w:rsidR="0002035C" w:rsidRPr="00A52585">
        <w:rPr>
          <w:rFonts w:hint="cs"/>
          <w:rtl/>
        </w:rPr>
        <w:t>(</w:t>
      </w:r>
      <w:r w:rsidRPr="00A52585">
        <w:rPr>
          <w:rFonts w:hint="cs"/>
          <w:rtl/>
        </w:rPr>
        <w:t>ولا تجعل يدك مغلولة</w:t>
      </w:r>
      <w:r w:rsidRPr="00A52585">
        <w:rPr>
          <w:rFonts w:hint="cs"/>
        </w:rPr>
        <w:t xml:space="preserve"> </w:t>
      </w:r>
      <w:r w:rsidRPr="00A52585">
        <w:rPr>
          <w:rFonts w:hint="cs"/>
          <w:rtl/>
        </w:rPr>
        <w:t>إلى عنقك ولا تبسطها</w:t>
      </w:r>
      <w:r w:rsidRPr="00A52585">
        <w:rPr>
          <w:rFonts w:hint="cs"/>
        </w:rPr>
        <w:t xml:space="preserve"> </w:t>
      </w:r>
      <w:r w:rsidRPr="00A52585">
        <w:rPr>
          <w:rFonts w:hint="cs"/>
          <w:rtl/>
        </w:rPr>
        <w:t>كل</w:t>
      </w:r>
      <w:r w:rsidRPr="00A52585">
        <w:rPr>
          <w:rFonts w:hint="cs"/>
        </w:rPr>
        <w:t xml:space="preserve"> </w:t>
      </w:r>
      <w:r w:rsidRPr="00A52585">
        <w:rPr>
          <w:rFonts w:hint="cs"/>
          <w:rtl/>
        </w:rPr>
        <w:t>البسط</w:t>
      </w:r>
      <w:r w:rsidR="0002035C" w:rsidRPr="00A52585">
        <w:rPr>
          <w:rFonts w:hint="cs"/>
          <w:rtl/>
        </w:rPr>
        <w:t>)</w:t>
      </w:r>
      <w:r w:rsidRPr="00A52585">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DB731D" w:rsidRPr="00A52585">
        <w:rPr>
          <w:rFonts w:hint="cs"/>
          <w:rtl/>
        </w:rPr>
        <w:t>،</w:t>
      </w:r>
      <w:r w:rsidRPr="00A52585">
        <w:rPr>
          <w:rFonts w:hint="cs"/>
          <w:rtl/>
        </w:rPr>
        <w:t xml:space="preserve"> وإنما الأمر بالقصد في الإنفاق</w:t>
      </w:r>
      <w:r w:rsidR="00DB731D" w:rsidRPr="00A52585">
        <w:rPr>
          <w:rFonts w:hint="cs"/>
          <w:rtl/>
        </w:rPr>
        <w:t>،</w:t>
      </w:r>
      <w:r w:rsidRPr="00A52585">
        <w:rPr>
          <w:rFonts w:hint="cs"/>
          <w:rtl/>
        </w:rPr>
        <w:t xml:space="preserve"> وهكذا هاهنا</w:t>
      </w:r>
      <w:r w:rsidR="00DB731D" w:rsidRPr="00A52585">
        <w:rPr>
          <w:rFonts w:hint="cs"/>
          <w:rtl/>
        </w:rPr>
        <w:t>،</w:t>
      </w:r>
      <w:r w:rsidRPr="00A52585">
        <w:rPr>
          <w:rFonts w:hint="cs"/>
          <w:rtl/>
        </w:rPr>
        <w:t xml:space="preserve"> فالمقصود من غل اليد وبسطها</w:t>
      </w:r>
      <w:r w:rsidRPr="00A52585">
        <w:rPr>
          <w:rFonts w:hint="cs"/>
        </w:rPr>
        <w:t xml:space="preserve"> </w:t>
      </w:r>
      <w:r w:rsidRPr="00A52585">
        <w:rPr>
          <w:rFonts w:hint="cs"/>
          <w:rtl/>
        </w:rPr>
        <w:t>المجاز</w:t>
      </w:r>
      <w:r w:rsidRPr="00A52585">
        <w:rPr>
          <w:rFonts w:hint="cs"/>
        </w:rPr>
        <w:t xml:space="preserve"> </w:t>
      </w:r>
      <w:r w:rsidRPr="00A52585">
        <w:rPr>
          <w:rFonts w:hint="cs"/>
          <w:rtl/>
        </w:rPr>
        <w:t>عن محض البخل والجود من غير قصد في ذلك إلى إثبات يد</w:t>
      </w:r>
      <w:r w:rsidRPr="00A52585">
        <w:rPr>
          <w:rFonts w:hint="cs"/>
        </w:rPr>
        <w:t xml:space="preserve"> </w:t>
      </w:r>
      <w:r w:rsidRPr="00A52585">
        <w:rPr>
          <w:rFonts w:hint="cs"/>
          <w:rtl/>
        </w:rPr>
        <w:t>أو غل أو بسط</w:t>
      </w:r>
      <w:r w:rsidR="00DB731D" w:rsidRPr="00A52585">
        <w:rPr>
          <w:rFonts w:hint="cs"/>
          <w:rtl/>
        </w:rPr>
        <w:t>،</w:t>
      </w:r>
      <w:r w:rsidRPr="00A52585">
        <w:rPr>
          <w:rFonts w:hint="cs"/>
          <w:rtl/>
        </w:rPr>
        <w:t xml:space="preserve"> ومعنى الآيات</w:t>
      </w:r>
      <w:r w:rsidR="0002035C" w:rsidRPr="00A52585">
        <w:rPr>
          <w:rFonts w:hint="cs"/>
          <w:rtl/>
        </w:rPr>
        <w:t>:</w:t>
      </w:r>
      <w:r w:rsidRPr="00A52585">
        <w:rPr>
          <w:rFonts w:hint="cs"/>
          <w:rtl/>
        </w:rPr>
        <w:t xml:space="preserve"> أن</w:t>
      </w:r>
      <w:r w:rsidR="0002035C" w:rsidRPr="00A52585">
        <w:rPr>
          <w:rFonts w:hint="cs"/>
          <w:rtl/>
        </w:rPr>
        <w:t xml:space="preserve"> </w:t>
      </w:r>
      <w:r w:rsidRPr="00A52585">
        <w:rPr>
          <w:rFonts w:hint="cs"/>
          <w:rtl/>
        </w:rPr>
        <w:t>اليهود</w:t>
      </w:r>
      <w:r w:rsidRPr="00A52585">
        <w:rPr>
          <w:rFonts w:hint="cs"/>
        </w:rPr>
        <w:t xml:space="preserve"> </w:t>
      </w:r>
      <w:r w:rsidRPr="00A52585">
        <w:rPr>
          <w:rFonts w:hint="cs"/>
          <w:rtl/>
        </w:rPr>
        <w:t>لعنهم الله عز وجل</w:t>
      </w:r>
      <w:r w:rsidR="0002035C" w:rsidRPr="00A52585">
        <w:rPr>
          <w:rFonts w:hint="cs"/>
          <w:rtl/>
        </w:rPr>
        <w:t xml:space="preserve"> </w:t>
      </w:r>
      <w:r w:rsidRPr="00A52585">
        <w:rPr>
          <w:rFonts w:hint="cs"/>
          <w:rtl/>
        </w:rPr>
        <w:t>قالوا على جهة الوصف بالبخل يد الله مغلولة فرد الله تعالى عليهم بقوله (بل يداه مبسوطتان</w:t>
      </w:r>
      <w:r w:rsidR="0002035C" w:rsidRPr="00A52585">
        <w:rPr>
          <w:rFonts w:hint="cs"/>
          <w:rtl/>
        </w:rPr>
        <w:t>)</w:t>
      </w:r>
      <w:r w:rsidRPr="00A52585">
        <w:rPr>
          <w:rFonts w:hint="cs"/>
          <w:rtl/>
        </w:rPr>
        <w:t xml:space="preserve"> معناه أي كلا ليس كذلك بل هو في غاية ما يكون من الجود</w:t>
      </w:r>
      <w:r w:rsidRPr="00A52585">
        <w:rPr>
          <w:rFonts w:hint="cs"/>
        </w:rPr>
        <w:t xml:space="preserve"> </w:t>
      </w:r>
      <w:r w:rsidRPr="00A52585">
        <w:rPr>
          <w:rFonts w:hint="cs"/>
          <w:rtl/>
        </w:rPr>
        <w:t>والإنعام</w:t>
      </w:r>
      <w:r w:rsidR="00DB731D" w:rsidRPr="00A52585">
        <w:rPr>
          <w:rFonts w:hint="cs"/>
          <w:rtl/>
        </w:rPr>
        <w:t>،</w:t>
      </w:r>
      <w:r w:rsidRPr="00A52585">
        <w:rPr>
          <w:rFonts w:hint="cs"/>
          <w:rtl/>
        </w:rPr>
        <w:t xml:space="preserve"> فإن قيل لم ثنيت اليد في قوله تعالى </w:t>
      </w:r>
      <w:r w:rsidR="0002035C" w:rsidRPr="00A52585">
        <w:rPr>
          <w:rFonts w:hint="cs"/>
          <w:rtl/>
        </w:rPr>
        <w:t>{</w:t>
      </w:r>
      <w:r w:rsidRPr="00A52585">
        <w:rPr>
          <w:rFonts w:hint="cs"/>
          <w:rtl/>
        </w:rPr>
        <w:t>بل يداه مبسوطتان</w:t>
      </w:r>
      <w:r w:rsidR="0002035C" w:rsidRPr="00A52585">
        <w:rPr>
          <w:rFonts w:hint="cs"/>
          <w:rtl/>
        </w:rPr>
        <w:t>}</w:t>
      </w:r>
      <w:r w:rsidR="00F95886"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ثنيت اليد ليكون أبلغ وأدل على إثبات</w:t>
      </w:r>
      <w:r w:rsidRPr="00A52585">
        <w:rPr>
          <w:rFonts w:hint="cs"/>
        </w:rPr>
        <w:t xml:space="preserve"> </w:t>
      </w:r>
      <w:r w:rsidRPr="00A52585">
        <w:rPr>
          <w:rFonts w:hint="cs"/>
          <w:rtl/>
        </w:rPr>
        <w:t>غاية السخاء</w:t>
      </w:r>
      <w:r w:rsidRPr="00A52585">
        <w:rPr>
          <w:rFonts w:hint="cs"/>
        </w:rPr>
        <w:t xml:space="preserve"> </w:t>
      </w:r>
      <w:r w:rsidRPr="00A52585">
        <w:rPr>
          <w:rFonts w:hint="cs"/>
          <w:rtl/>
        </w:rPr>
        <w:t>له ونفى البخل عنه</w:t>
      </w:r>
      <w:r w:rsidR="00DB731D" w:rsidRPr="00A52585">
        <w:rPr>
          <w:rFonts w:hint="cs"/>
          <w:rtl/>
        </w:rPr>
        <w:t>،</w:t>
      </w:r>
      <w:r w:rsidRPr="00A52585">
        <w:rPr>
          <w:rFonts w:hint="cs"/>
          <w:rtl/>
        </w:rPr>
        <w:t xml:space="preserve"> فإن أقصى ما ينتهي إليه همم الأسخياء من الوصف بالمبالغة في الجود</w:t>
      </w:r>
      <w:r w:rsidRPr="00A52585">
        <w:rPr>
          <w:rFonts w:hint="cs"/>
        </w:rPr>
        <w:t xml:space="preserve"> </w:t>
      </w:r>
      <w:r w:rsidRPr="00A52585">
        <w:rPr>
          <w:rFonts w:hint="cs"/>
          <w:rtl/>
        </w:rPr>
        <w:t>والإنعام أن يعطوا ما يعطونه</w:t>
      </w:r>
      <w:r w:rsidRPr="00A52585">
        <w:rPr>
          <w:rFonts w:hint="cs"/>
        </w:rPr>
        <w:t xml:space="preserve"> </w:t>
      </w:r>
      <w:r w:rsidRPr="00A52585">
        <w:rPr>
          <w:rFonts w:hint="cs"/>
          <w:rtl/>
        </w:rPr>
        <w:t>بكلتا يديهم</w:t>
      </w:r>
      <w:r w:rsidR="00DB731D" w:rsidRPr="00A52585">
        <w:rPr>
          <w:rFonts w:hint="cs"/>
          <w:rtl/>
        </w:rPr>
        <w:t>،</w:t>
      </w:r>
      <w:r w:rsidRPr="00A52585">
        <w:rPr>
          <w:rFonts w:hint="cs"/>
          <w:rtl/>
        </w:rPr>
        <w:t xml:space="preserve"> فالآية من باب الاستعارة التمثيلية ومن نظر في علم البيان والبلاغة لا يصعب عليه تصور ذلك أبدا</w:t>
      </w:r>
      <w:r w:rsidR="00DB731D" w:rsidRPr="00A52585">
        <w:rPr>
          <w:rFonts w:hint="cs"/>
          <w:rtl/>
        </w:rPr>
        <w:t>،</w:t>
      </w:r>
      <w:r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bCs/>
          <w:rtl/>
        </w:rPr>
        <w:t>{</w:t>
      </w:r>
      <w:r w:rsidRPr="00A52585">
        <w:rPr>
          <w:rFonts w:hint="cs"/>
          <w:bCs/>
          <w:rtl/>
        </w:rPr>
        <w:t>إِنَّ الَّذِينَ</w:t>
      </w:r>
      <w:r w:rsidRPr="00A52585">
        <w:rPr>
          <w:rFonts w:hint="cs"/>
          <w:bCs/>
        </w:rPr>
        <w:t xml:space="preserve"> </w:t>
      </w:r>
      <w:r w:rsidRPr="00A52585">
        <w:rPr>
          <w:rFonts w:hint="cs"/>
          <w:bCs/>
          <w:rtl/>
        </w:rPr>
        <w:t>يُبَايِعُونَكَ إِنَّمَا يُبَايِعُونَ اللَّهَ يَدُ اللَّهِ فَوْقَ أَيْدِيهِمْ</w:t>
      </w:r>
      <w:r w:rsidRPr="00A52585">
        <w:rPr>
          <w:rFonts w:hint="cs"/>
          <w:bCs/>
        </w:rPr>
        <w:t xml:space="preserve"> </w:t>
      </w:r>
      <w:r w:rsidRPr="00A52585">
        <w:rPr>
          <w:rFonts w:hint="cs"/>
          <w:bCs/>
          <w:rtl/>
        </w:rPr>
        <w:t>فَمَن نَّكَثَ فَإِنَّمَا يَنكُثُ عَلَى نَفْسِهِ وَمَنْ أَوْفَى بِمَا</w:t>
      </w:r>
      <w:r w:rsidRPr="00A52585">
        <w:rPr>
          <w:rFonts w:hint="cs"/>
          <w:bCs/>
        </w:rPr>
        <w:t xml:space="preserve"> </w:t>
      </w:r>
      <w:r w:rsidRPr="00A52585">
        <w:rPr>
          <w:rFonts w:hint="cs"/>
          <w:bCs/>
          <w:rtl/>
        </w:rPr>
        <w:t>عَاهَدَ عَلَيْهُ اللَّهَ فَسَيُؤْتِيهِ أَجْرًا عَظِيمًا</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الفتح</w:t>
      </w:r>
      <w:r w:rsidR="0002035C" w:rsidRPr="00A52585">
        <w:rPr>
          <w:rFonts w:hint="cs"/>
          <w:rtl/>
        </w:rPr>
        <w:t>:</w:t>
      </w:r>
      <w:r w:rsidRPr="00A52585">
        <w:rPr>
          <w:rFonts w:hint="cs"/>
          <w:rtl/>
        </w:rPr>
        <w:t xml:space="preserve"> 10</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فإن سياق الآية يدل على الرضا ببيعتهم</w:t>
      </w:r>
      <w:r w:rsidR="00DB731D" w:rsidRPr="00A52585">
        <w:rPr>
          <w:rFonts w:hint="cs"/>
          <w:bCs/>
          <w:rtl/>
        </w:rPr>
        <w:t>،</w:t>
      </w:r>
      <w:r w:rsidRPr="00A52585">
        <w:rPr>
          <w:rFonts w:hint="cs"/>
          <w:bCs/>
          <w:rtl/>
        </w:rPr>
        <w:t xml:space="preserve"> و</w:t>
      </w:r>
      <w:r w:rsidRPr="00A52585">
        <w:rPr>
          <w:rFonts w:hint="cs"/>
          <w:rtl/>
        </w:rPr>
        <w:t>الآية لم ترد للإخبار عن الله بأن له يداً</w:t>
      </w:r>
      <w:r w:rsidR="00DB731D" w:rsidRPr="00A52585">
        <w:rPr>
          <w:rFonts w:hint="cs"/>
          <w:rtl/>
        </w:rPr>
        <w:t>،</w:t>
      </w:r>
      <w:r w:rsidRPr="00A52585">
        <w:rPr>
          <w:rFonts w:hint="cs"/>
          <w:rtl/>
        </w:rPr>
        <w:t xml:space="preserve"> وأن يده </w:t>
      </w:r>
      <w:r w:rsidRPr="00A52585">
        <w:rPr>
          <w:rFonts w:hint="cs"/>
          <w:rtl/>
        </w:rPr>
        <w:lastRenderedPageBreak/>
        <w:t>هذه فوق الصحابة المبايعين</w:t>
      </w:r>
      <w:r w:rsidR="00DB731D" w:rsidRPr="00A52585">
        <w:rPr>
          <w:rFonts w:hint="cs"/>
          <w:rtl/>
        </w:rPr>
        <w:t>،</w:t>
      </w:r>
      <w:r w:rsidRPr="00A52585">
        <w:rPr>
          <w:rFonts w:hint="cs"/>
          <w:rtl/>
        </w:rPr>
        <w:t xml:space="preserve"> وإنما وردت لبيان قضية أكبر من ذلك والإخبار عن مسألة أعظم</w:t>
      </w:r>
      <w:r w:rsidR="00DB731D" w:rsidRPr="00A52585">
        <w:rPr>
          <w:rFonts w:hint="cs"/>
          <w:rtl/>
        </w:rPr>
        <w:t>،</w:t>
      </w:r>
      <w:r w:rsidRPr="00A52585">
        <w:rPr>
          <w:rFonts w:hint="cs"/>
          <w:rtl/>
        </w:rPr>
        <w:t xml:space="preserve"> ألا وهي تأكيد هذه البيعة وتعظيم أمرها والإخبار عن شرفها</w:t>
      </w:r>
      <w:r w:rsidR="0002035C" w:rsidRPr="00A52585">
        <w:rPr>
          <w:rFonts w:hint="cs"/>
          <w:rtl/>
        </w:rPr>
        <w:t xml:space="preserve"> </w:t>
      </w:r>
      <w:r w:rsidRPr="00A52585">
        <w:rPr>
          <w:rFonts w:hint="cs"/>
          <w:rtl/>
        </w:rPr>
        <w:t>وعلو مقامها</w:t>
      </w:r>
      <w:r w:rsidR="00DB731D" w:rsidRPr="00A52585">
        <w:rPr>
          <w:rFonts w:hint="cs"/>
          <w:rtl/>
        </w:rPr>
        <w:t>،</w:t>
      </w:r>
      <w:r w:rsidRPr="00A52585">
        <w:rPr>
          <w:rFonts w:hint="cs"/>
          <w:rtl/>
        </w:rPr>
        <w:t xml:space="preserve"> وربطها بالله سبحانه وتعالى مباشرة لتقوية روابطها وتوثيق عراها</w:t>
      </w:r>
      <w:r w:rsidR="0002035C" w:rsidRPr="00A52585">
        <w:rPr>
          <w:rFonts w:hint="cs"/>
          <w:rtl/>
        </w:rPr>
        <w:t xml:space="preserve"> </w:t>
      </w:r>
      <w:r w:rsidRPr="00A52585">
        <w:rPr>
          <w:rFonts w:hint="cs"/>
          <w:rtl/>
        </w:rPr>
        <w:t>لذلك بدأت الآية بالبيعة فقال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الذين يبايعونك إنما يبايعون الله يد الله فوق أيديهم</w:t>
      </w:r>
      <w:r w:rsidR="0002035C" w:rsidRPr="00A52585">
        <w:rPr>
          <w:rFonts w:hint="cs"/>
          <w:rtl/>
        </w:rPr>
        <w:t>)</w:t>
      </w:r>
      <w:r w:rsidRPr="00A52585">
        <w:rPr>
          <w:rFonts w:hint="cs"/>
          <w:rtl/>
        </w:rPr>
        <w:t xml:space="preserve"> ثم تَدرج إلى التنبيه إلى أن البيعة مع الله فقال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إنما يبايعون الله</w:t>
      </w:r>
      <w:r w:rsidR="0002035C" w:rsidRPr="00A52585">
        <w:rPr>
          <w:rFonts w:hint="cs"/>
          <w:rtl/>
        </w:rPr>
        <w:t>)</w:t>
      </w:r>
      <w:r w:rsidRPr="00A52585">
        <w:rPr>
          <w:rFonts w:hint="cs"/>
          <w:rtl/>
        </w:rPr>
        <w:t xml:space="preserve"> ثم صوَّر هذا المعنى لتقريبه إلى الأذهان فقال: (يد الله فوق أيديهم</w:t>
      </w:r>
      <w:r w:rsidR="0002035C" w:rsidRPr="00A52585">
        <w:rPr>
          <w:rFonts w:hint="cs"/>
          <w:rtl/>
        </w:rPr>
        <w:t>)</w:t>
      </w:r>
      <w:r w:rsidRPr="00A52585">
        <w:rPr>
          <w:rFonts w:hint="cs"/>
          <w:rtl/>
        </w:rPr>
        <w:t xml:space="preserve"> تعظيماً وتبريكا</w:t>
      </w:r>
      <w:r w:rsidR="00DB731D" w:rsidRPr="00A52585">
        <w:rPr>
          <w:rFonts w:hint="cs"/>
          <w:rtl/>
        </w:rPr>
        <w:t>،</w:t>
      </w:r>
      <w:r w:rsidRPr="00A52585">
        <w:rPr>
          <w:rFonts w:hint="cs"/>
          <w:rtl/>
        </w:rPr>
        <w:t xml:space="preserve"> ثم بين ما يترتب على قضية اليد للمبايعة والمبايَعَة من الالتزام بالعهد والميثاق وخطر الخيانة</w:t>
      </w:r>
      <w:r w:rsidR="00DB731D" w:rsidRPr="00A52585">
        <w:rPr>
          <w:rFonts w:hint="cs"/>
          <w:rtl/>
        </w:rPr>
        <w:t>،</w:t>
      </w:r>
      <w:r w:rsidRPr="00A52585">
        <w:rPr>
          <w:rFonts w:hint="cs"/>
          <w:rtl/>
        </w:rPr>
        <w:t xml:space="preserve"> وأن الذي يخون إنما يخون الله فقال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ومن نكث فإنما ينكث على نفسه</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أَوَلَمْ يَرَوْا أَنَّا خَلَقْنَا لَهُمْ مِمَّا عَمِلَتْ أَيْدِينَا أَنْعَامًا فَهُمْ لَهَا مَالِكُونَ</w:t>
      </w:r>
      <w:r w:rsidRPr="00A52585">
        <w:rPr>
          <w:rFonts w:hint="cs"/>
        </w:rPr>
        <w:t xml:space="preserve"> </w:t>
      </w:r>
      <w:r w:rsidRPr="00A52585">
        <w:rPr>
          <w:rFonts w:hint="cs"/>
          <w:rtl/>
        </w:rPr>
        <w:t>{71}</w:t>
      </w:r>
      <w:r w:rsidRPr="00A52585">
        <w:rPr>
          <w:rFonts w:hint="cs"/>
        </w:rPr>
        <w:t xml:space="preserve"> </w:t>
      </w:r>
      <w:r w:rsidRPr="00A52585">
        <w:rPr>
          <w:rFonts w:hint="cs"/>
          <w:rtl/>
        </w:rPr>
        <w:t>وَذَلَّلْنَاهَا لَهُمْ فَمِنْهَا رَكُوبُهُمْ</w:t>
      </w:r>
      <w:r w:rsidRPr="00A52585">
        <w:rPr>
          <w:rFonts w:hint="cs"/>
        </w:rPr>
        <w:t xml:space="preserve"> </w:t>
      </w:r>
      <w:r w:rsidRPr="00A52585">
        <w:rPr>
          <w:rFonts w:hint="cs"/>
          <w:rtl/>
        </w:rPr>
        <w:t>وَمِنْهَا يَأْكُلُونَ {72}}</w:t>
      </w:r>
      <w:r w:rsidR="00DB731D" w:rsidRPr="00A52585">
        <w:rPr>
          <w:rFonts w:hint="cs"/>
          <w:rtl/>
        </w:rPr>
        <w:t>،</w:t>
      </w:r>
      <w:r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أَيُّهَا</w:t>
      </w:r>
      <w:r w:rsidRPr="00A52585">
        <w:rPr>
          <w:rFonts w:hint="cs"/>
        </w:rPr>
        <w:t xml:space="preserve"> </w:t>
      </w:r>
      <w:r w:rsidRPr="00A52585">
        <w:rPr>
          <w:rFonts w:hint="cs"/>
          <w:rtl/>
        </w:rPr>
        <w:t>الَّذِينَ آمَنُوا لَا تُقَدِّمُوا بَيْنَ يَدَيِ اللَّهِ وَرَسُولِهِ وَاتَّقُوا</w:t>
      </w:r>
      <w:r w:rsidRPr="00A52585">
        <w:rPr>
          <w:rFonts w:hint="cs"/>
        </w:rPr>
        <w:t xml:space="preserve"> </w:t>
      </w:r>
      <w:r w:rsidRPr="00A52585">
        <w:rPr>
          <w:rFonts w:hint="cs"/>
          <w:rtl/>
        </w:rPr>
        <w:t>اللَّهَ إِنَّ اللَّهَ سَمِيعٌ عَلِيمٌ {1}</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وَالسَّمَاء بَنَيْنَاهَا بِأَيْدٍ وَإِنَّا لَمُوسِعُونَ {47}}</w:t>
      </w:r>
      <w:r w:rsidR="00DB731D" w:rsidRPr="00A52585">
        <w:rPr>
          <w:rFonts w:hint="cs"/>
          <w:rtl/>
        </w:rPr>
        <w:t>،</w:t>
      </w:r>
      <w:r w:rsidRPr="00A52585">
        <w:rPr>
          <w:rFonts w:hint="cs"/>
          <w:rtl/>
        </w:rPr>
        <w:t xml:space="preserve"> </w:t>
      </w:r>
      <w:r w:rsidRPr="00A52585">
        <w:rPr>
          <w:rFonts w:hint="cs"/>
          <w:bCs/>
          <w:rtl/>
        </w:rPr>
        <w:t>قلت</w:t>
      </w:r>
      <w:r w:rsidR="0002035C" w:rsidRPr="00A52585">
        <w:rPr>
          <w:rFonts w:hint="cs"/>
          <w:rtl/>
        </w:rPr>
        <w:t>:</w:t>
      </w:r>
      <w:r w:rsidRPr="00A52585">
        <w:rPr>
          <w:rFonts w:hint="cs"/>
          <w:rtl/>
        </w:rPr>
        <w:t xml:space="preserve"> اليد تجمع على أيد قال تعالى </w:t>
      </w:r>
      <w:r w:rsidR="0002035C" w:rsidRPr="00A52585">
        <w:rPr>
          <w:rFonts w:hint="cs"/>
          <w:rtl/>
        </w:rPr>
        <w:t>{</w:t>
      </w:r>
      <w:r w:rsidRPr="00A52585">
        <w:rPr>
          <w:rFonts w:hint="cs"/>
          <w:rtl/>
        </w:rPr>
        <w:t>ألهم أيد يبطشون بها</w:t>
      </w:r>
      <w:r w:rsidR="0002035C" w:rsidRPr="00A52585">
        <w:rPr>
          <w:rFonts w:hint="cs"/>
          <w:rtl/>
        </w:rPr>
        <w:t>}</w:t>
      </w:r>
      <w:r w:rsidRPr="00A52585">
        <w:rPr>
          <w:rFonts w:hint="cs"/>
          <w:rtl/>
        </w:rPr>
        <w:t xml:space="preserve"> وقال تعالى </w:t>
      </w:r>
      <w:r w:rsidR="0002035C" w:rsidRPr="00A52585">
        <w:rPr>
          <w:rFonts w:hint="cs"/>
          <w:rtl/>
        </w:rPr>
        <w:t>{</w:t>
      </w:r>
      <w:r w:rsidRPr="00A52585">
        <w:rPr>
          <w:rFonts w:hint="cs"/>
          <w:rtl/>
        </w:rPr>
        <w:t>والسماء بنيناها بأيد</w:t>
      </w:r>
      <w:r w:rsidR="0002035C" w:rsidRPr="00A52585">
        <w:rPr>
          <w:rFonts w:hint="cs"/>
          <w:rtl/>
        </w:rPr>
        <w:t>}</w:t>
      </w:r>
      <w:r w:rsidRPr="00A52585">
        <w:rPr>
          <w:rFonts w:hint="cs"/>
          <w:rtl/>
        </w:rPr>
        <w:t xml:space="preserve"> و على أيدي قال تعالى </w:t>
      </w:r>
      <w:r w:rsidR="0002035C" w:rsidRPr="00A52585">
        <w:rPr>
          <w:rFonts w:hint="cs"/>
          <w:rtl/>
        </w:rPr>
        <w:t>{</w:t>
      </w:r>
      <w:r w:rsidRPr="00A52585">
        <w:rPr>
          <w:rFonts w:hint="cs"/>
          <w:rtl/>
        </w:rPr>
        <w:t>مما عملت أيدينا</w:t>
      </w:r>
      <w:r w:rsidR="0002035C" w:rsidRPr="00A52585">
        <w:rPr>
          <w:rFonts w:hint="cs"/>
          <w:rtl/>
        </w:rPr>
        <w:t>}</w:t>
      </w:r>
      <w:r w:rsidR="00DB731D" w:rsidRPr="00A52585">
        <w:rPr>
          <w:rFonts w:hint="cs"/>
          <w:rtl/>
        </w:rPr>
        <w:t>،</w:t>
      </w:r>
      <w:r w:rsidRPr="00A52585">
        <w:rPr>
          <w:rFonts w:hint="cs"/>
          <w:rtl/>
        </w:rPr>
        <w:t xml:space="preserve"> فلا التفات إلى من زعم أن اليد لا تجمع على أيد لأن ذلك مما جاء في القرآن والقرآن نزل بلسان عربي مبين</w:t>
      </w:r>
      <w:r w:rsidR="00DB731D" w:rsidRPr="00A52585">
        <w:rPr>
          <w:rFonts w:hint="cs"/>
          <w:rtl/>
        </w:rPr>
        <w:t>،</w:t>
      </w:r>
      <w:r w:rsidRPr="00A52585">
        <w:rPr>
          <w:rFonts w:hint="cs"/>
          <w:rtl/>
        </w:rPr>
        <w:t xml:space="preserve"> والمراد بالآية هاهنا</w:t>
      </w:r>
      <w:r w:rsidR="0002035C" w:rsidRPr="00A52585">
        <w:rPr>
          <w:rFonts w:hint="cs"/>
          <w:rtl/>
        </w:rPr>
        <w:t xml:space="preserve"> </w:t>
      </w:r>
      <w:r w:rsidRPr="00A52585">
        <w:rPr>
          <w:rFonts w:hint="cs"/>
          <w:rtl/>
        </w:rPr>
        <w:t>إثبات القوة والقدرة</w:t>
      </w:r>
      <w:r w:rsidR="00DB731D" w:rsidRPr="00A52585">
        <w:rPr>
          <w:rFonts w:hint="cs"/>
          <w:rtl/>
        </w:rPr>
        <w:t>،</w:t>
      </w:r>
      <w:r w:rsidRPr="00A52585">
        <w:rPr>
          <w:rFonts w:hint="cs"/>
          <w:rtl/>
        </w:rPr>
        <w:t xml:space="preserve"> مثالها في ذلك تماما قوله تعالى </w:t>
      </w:r>
      <w:r w:rsidR="0002035C" w:rsidRPr="00A52585">
        <w:rPr>
          <w:rFonts w:hint="cs"/>
          <w:rtl/>
        </w:rPr>
        <w:t>{</w:t>
      </w:r>
      <w:r w:rsidRPr="00A52585">
        <w:rPr>
          <w:rFonts w:hint="cs"/>
          <w:rtl/>
        </w:rPr>
        <w:t>وَاذْكُرْ عَبْدَنَا</w:t>
      </w:r>
      <w:r w:rsidRPr="00A52585">
        <w:rPr>
          <w:rFonts w:hint="cs"/>
        </w:rPr>
        <w:t xml:space="preserve"> </w:t>
      </w:r>
      <w:r w:rsidRPr="00A52585">
        <w:rPr>
          <w:rFonts w:hint="cs"/>
          <w:rtl/>
        </w:rPr>
        <w:t>دَاوُودَ ذَا الْأَيْدِ إِنَّهُ أَوَّابٌ</w:t>
      </w:r>
      <w:r w:rsidR="0002035C" w:rsidRPr="00A52585">
        <w:rPr>
          <w:rFonts w:hint="cs"/>
          <w:rtl/>
        </w:rPr>
        <w:t>}</w:t>
      </w:r>
      <w:r w:rsidRPr="00A52585">
        <w:rPr>
          <w:rFonts w:hint="cs"/>
          <w:rtl/>
        </w:rPr>
        <w:t xml:space="preserve"> وقوله تعالى</w:t>
      </w:r>
      <w:r w:rsidR="0002035C" w:rsidRPr="00A52585">
        <w:rPr>
          <w:rFonts w:hint="cs"/>
          <w:rtl/>
        </w:rPr>
        <w:t xml:space="preserve"> {</w:t>
      </w:r>
      <w:r w:rsidRPr="00A52585">
        <w:rPr>
          <w:rFonts w:hint="cs"/>
          <w:rtl/>
        </w:rPr>
        <w:t>وَاذْكُرْ عِبَادَنَا إبْرَاهِيمَ وَإِسْحَقَ وَيَعْقُوبَ أُوْلِي</w:t>
      </w:r>
      <w:r w:rsidRPr="00A52585">
        <w:rPr>
          <w:rFonts w:hint="cs"/>
        </w:rPr>
        <w:t xml:space="preserve"> </w:t>
      </w:r>
      <w:r w:rsidRPr="00A52585">
        <w:rPr>
          <w:rFonts w:hint="cs"/>
          <w:rtl/>
        </w:rPr>
        <w:t>الْأَيْدِي</w:t>
      </w:r>
      <w:r w:rsidRPr="00A52585">
        <w:rPr>
          <w:rFonts w:hint="cs"/>
        </w:rPr>
        <w:t xml:space="preserve"> </w:t>
      </w:r>
      <w:r w:rsidRPr="00A52585">
        <w:rPr>
          <w:rFonts w:hint="cs"/>
          <w:rtl/>
        </w:rPr>
        <w:t>وَالْأَبْصَارِ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فهل المراد من الآيات مدح الأنبياء بوجود الأيد التي هي الجوارح مع أن جميع البشر بما فيهم الكفار والفجار لهم أيدي وأبصار</w:t>
      </w:r>
      <w:r w:rsidR="00DB731D" w:rsidRPr="00A52585">
        <w:rPr>
          <w:rFonts w:hint="cs"/>
          <w:rtl/>
        </w:rPr>
        <w:t>،</w:t>
      </w:r>
      <w:r w:rsidRPr="00A52585">
        <w:rPr>
          <w:rFonts w:hint="cs"/>
          <w:rtl/>
        </w:rPr>
        <w:t xml:space="preserve"> أم أن المقصود بالأيدي في الآيات هو قوتهم في الطاعة وجدهم وتشميرهم للعبادة</w:t>
      </w:r>
      <w:r w:rsidR="00DB731D" w:rsidRPr="00A52585">
        <w:rPr>
          <w:rFonts w:hint="cs"/>
          <w:rtl/>
        </w:rPr>
        <w:t>،</w:t>
      </w:r>
      <w:r w:rsidRPr="00A52585">
        <w:rPr>
          <w:rFonts w:hint="cs"/>
          <w:rtl/>
        </w:rPr>
        <w:t xml:space="preserve"> واستعير لذلك بلفظ الأيدي لأنها عادة موضع القوة والجد والعمل</w:t>
      </w:r>
      <w:r w:rsidR="00897A24" w:rsidRPr="00A52585">
        <w:rPr>
          <w:rFonts w:hint="cs"/>
          <w:rtl/>
        </w:rPr>
        <w:t>.</w:t>
      </w:r>
      <w:r w:rsidRPr="00A52585">
        <w:rPr>
          <w:rFonts w:hint="cs"/>
          <w:rtl/>
        </w:rPr>
        <w:t xml:space="preserve"> فلا شك أن المعنى المقصود هو الثاني</w:t>
      </w:r>
      <w:r w:rsidR="00DB731D" w:rsidRPr="00A52585">
        <w:rPr>
          <w:rFonts w:hint="cs"/>
          <w:rtl/>
        </w:rPr>
        <w:t>،</w:t>
      </w:r>
      <w:r w:rsidRPr="00A52585">
        <w:rPr>
          <w:rFonts w:hint="cs"/>
          <w:rtl/>
        </w:rPr>
        <w:t xml:space="preserve"> وهاهنا في الآية (وَالسَّمَاء بَنَيْنَاهَا بِأَيْدٍ وَإِنَّا لَمُوسِعُونَ</w:t>
      </w:r>
      <w:r w:rsidR="0002035C" w:rsidRPr="00A52585">
        <w:rPr>
          <w:rFonts w:hint="cs"/>
          <w:rtl/>
        </w:rPr>
        <w:t>)</w:t>
      </w:r>
      <w:r w:rsidRPr="00A52585">
        <w:rPr>
          <w:rFonts w:hint="cs"/>
          <w:rtl/>
        </w:rPr>
        <w:t xml:space="preserve"> نفس المقصود إذ لم تسق الآية لإثبات جارحة لله تعالى عن ذلك لأنه نقص يتنزه الأحد الصمد عنه</w:t>
      </w:r>
      <w:r w:rsidR="00DB731D" w:rsidRPr="00A52585">
        <w:rPr>
          <w:rFonts w:hint="cs"/>
          <w:rtl/>
        </w:rPr>
        <w:t>،</w:t>
      </w:r>
      <w:r w:rsidRPr="00A52585">
        <w:rPr>
          <w:rFonts w:hint="cs"/>
          <w:rtl/>
        </w:rPr>
        <w:t xml:space="preserve"> لأن الجارحة تعني الجزء والتجزؤ يضاد الأحدية التي تعني نفي </w:t>
      </w:r>
      <w:proofErr w:type="spellStart"/>
      <w:r w:rsidRPr="00A52585">
        <w:rPr>
          <w:rFonts w:hint="cs"/>
          <w:rtl/>
        </w:rPr>
        <w:t>التبغض</w:t>
      </w:r>
      <w:proofErr w:type="spellEnd"/>
      <w:r w:rsidRPr="00A52585">
        <w:rPr>
          <w:rFonts w:hint="cs"/>
          <w:rtl/>
        </w:rPr>
        <w:t xml:space="preserve"> ويضاد الصمدية التي تعني كمال الغنى لأن </w:t>
      </w:r>
      <w:proofErr w:type="spellStart"/>
      <w:r w:rsidRPr="00A52585">
        <w:rPr>
          <w:rFonts w:hint="cs"/>
          <w:rtl/>
        </w:rPr>
        <w:t>المتجزىء</w:t>
      </w:r>
      <w:proofErr w:type="spellEnd"/>
      <w:r w:rsidRPr="00A52585">
        <w:rPr>
          <w:rFonts w:hint="cs"/>
          <w:rtl/>
        </w:rPr>
        <w:t xml:space="preserve"> يحتاج إلى جزئه فصاحب اليد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xml:space="preserve"> يحتاج إلى يده لتناوله الأشياء وصاحب الرجل (الجارحة</w:t>
      </w:r>
      <w:r w:rsidR="0002035C" w:rsidRPr="00A52585">
        <w:rPr>
          <w:rFonts w:hint="cs"/>
          <w:rtl/>
        </w:rPr>
        <w:t>)</w:t>
      </w:r>
      <w:r w:rsidRPr="00A52585">
        <w:rPr>
          <w:rFonts w:hint="cs"/>
          <w:rtl/>
        </w:rPr>
        <w:t xml:space="preserve"> يحتاج إلى رجله ليتحرك بها وصاحب العين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xml:space="preserve"> يحتاج إلى عينه ليبصر بها وهكذا </w:t>
      </w:r>
      <w:proofErr w:type="spellStart"/>
      <w:r w:rsidRPr="00A52585">
        <w:rPr>
          <w:rFonts w:hint="cs"/>
          <w:rtl/>
        </w:rPr>
        <w:t>فالمتجزيء</w:t>
      </w:r>
      <w:proofErr w:type="spellEnd"/>
      <w:r w:rsidRPr="00A52585">
        <w:rPr>
          <w:rFonts w:hint="cs"/>
          <w:rtl/>
        </w:rPr>
        <w:t xml:space="preserve"> يحتاج إلى جزئه </w:t>
      </w:r>
      <w:proofErr w:type="spellStart"/>
      <w:r w:rsidRPr="00A52585">
        <w:rPr>
          <w:rFonts w:hint="cs"/>
          <w:rtl/>
        </w:rPr>
        <w:t>والمتبعض</w:t>
      </w:r>
      <w:proofErr w:type="spellEnd"/>
      <w:r w:rsidRPr="00A52585">
        <w:rPr>
          <w:rFonts w:hint="cs"/>
          <w:rtl/>
        </w:rPr>
        <w:t xml:space="preserve"> يحتاج إلى بعضه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كمال الغنى</w:t>
      </w:r>
      <w:r w:rsidR="00DB731D" w:rsidRPr="00A52585">
        <w:rPr>
          <w:rFonts w:hint="cs"/>
          <w:rtl/>
        </w:rPr>
        <w:t>،</w:t>
      </w:r>
      <w:r w:rsidRPr="00A52585">
        <w:rPr>
          <w:rFonts w:hint="cs"/>
          <w:rtl/>
        </w:rPr>
        <w:t xml:space="preserve"> وإثبات الجارحة ليس فيه أي معنى للكمال الإلهي المتصف بكمال الأحدية وكمال الصمدية وكمال </w:t>
      </w:r>
      <w:proofErr w:type="spellStart"/>
      <w:r w:rsidRPr="00A52585">
        <w:rPr>
          <w:rFonts w:hint="cs"/>
          <w:rtl/>
        </w:rPr>
        <w:t>القيومية</w:t>
      </w:r>
      <w:proofErr w:type="spellEnd"/>
      <w:r w:rsidRPr="00A52585">
        <w:rPr>
          <w:rFonts w:hint="cs"/>
          <w:rtl/>
        </w:rPr>
        <w:t xml:space="preserve"> وكمال الغنى</w:t>
      </w:r>
      <w:r w:rsidR="00DB731D" w:rsidRPr="00A52585">
        <w:rPr>
          <w:rFonts w:hint="cs"/>
          <w:rtl/>
        </w:rPr>
        <w:t>،</w:t>
      </w:r>
      <w:r w:rsidRPr="00A52585">
        <w:rPr>
          <w:rFonts w:hint="cs"/>
          <w:rtl/>
        </w:rPr>
        <w:t xml:space="preserve"> بل هو نقص يتنزه الله تعالى عنه ويضاد جميع تلك الصفات العلا</w:t>
      </w:r>
      <w:r w:rsidR="00DB731D" w:rsidRPr="00A52585">
        <w:rPr>
          <w:rFonts w:hint="cs"/>
          <w:rtl/>
        </w:rPr>
        <w:t>،</w:t>
      </w:r>
      <w:r w:rsidRPr="00A52585">
        <w:rPr>
          <w:rFonts w:hint="cs"/>
          <w:rtl/>
        </w:rPr>
        <w:t xml:space="preserve"> ونعود إلى الآية فنقول</w:t>
      </w:r>
      <w:r w:rsidR="0002035C" w:rsidRPr="00A52585">
        <w:rPr>
          <w:rFonts w:hint="cs"/>
          <w:rtl/>
        </w:rPr>
        <w:t>:</w:t>
      </w:r>
      <w:r w:rsidRPr="00A52585">
        <w:rPr>
          <w:rFonts w:hint="cs"/>
          <w:rtl/>
        </w:rPr>
        <w:t xml:space="preserve"> [تأويل حبر </w:t>
      </w:r>
      <w:r w:rsidRPr="00A52585">
        <w:rPr>
          <w:rFonts w:hint="cs"/>
          <w:rtl/>
        </w:rPr>
        <w:lastRenderedPageBreak/>
        <w:t>الأمة وترجمان القرآن للأيد في الآية بالقوة</w:t>
      </w:r>
      <w:r w:rsidR="0002035C" w:rsidRPr="00A52585">
        <w:rPr>
          <w:rFonts w:hint="cs"/>
          <w:rtl/>
        </w:rPr>
        <w:t>]</w:t>
      </w:r>
      <w:r w:rsidR="00DB731D" w:rsidRPr="00A52585">
        <w:rPr>
          <w:rFonts w:hint="cs"/>
          <w:rtl/>
        </w:rPr>
        <w:t>،</w:t>
      </w:r>
      <w:r w:rsidRPr="00A52585">
        <w:rPr>
          <w:rFonts w:hint="cs"/>
          <w:rtl/>
        </w:rPr>
        <w:t xml:space="preserve"> فقد أخرج ابن</w:t>
      </w:r>
      <w:r w:rsidRPr="00A52585">
        <w:rPr>
          <w:rFonts w:hint="cs"/>
        </w:rPr>
        <w:t xml:space="preserve"> </w:t>
      </w:r>
      <w:r w:rsidRPr="00A52585">
        <w:rPr>
          <w:rFonts w:hint="cs"/>
          <w:rtl/>
        </w:rPr>
        <w:t>جرير وابن المنذر وابن أبي حاتم والبيهقي في الأسماء والصفات عن ابن عباس رضي الله</w:t>
      </w:r>
      <w:r w:rsidRPr="00A52585">
        <w:rPr>
          <w:rFonts w:hint="cs"/>
        </w:rPr>
        <w:t xml:space="preserve"> </w:t>
      </w:r>
      <w:r w:rsidRPr="00A52585">
        <w:rPr>
          <w:rFonts w:hint="cs"/>
          <w:rtl/>
        </w:rPr>
        <w:t xml:space="preserve">عنهما في قوله تعالى </w:t>
      </w:r>
      <w:r w:rsidR="0002035C" w:rsidRPr="00A52585">
        <w:rPr>
          <w:rFonts w:hint="cs"/>
          <w:rtl/>
        </w:rPr>
        <w:t>(</w:t>
      </w:r>
      <w:r w:rsidRPr="00A52585">
        <w:rPr>
          <w:rFonts w:hint="cs"/>
          <w:rtl/>
        </w:rPr>
        <w:t>والسماء بنيناها</w:t>
      </w:r>
      <w:r w:rsidRPr="00A52585">
        <w:rPr>
          <w:rFonts w:hint="cs"/>
        </w:rPr>
        <w:t xml:space="preserve"> </w:t>
      </w:r>
      <w:r w:rsidRPr="00A52585">
        <w:rPr>
          <w:rFonts w:hint="cs"/>
          <w:rtl/>
        </w:rPr>
        <w:t>بأيد</w:t>
      </w:r>
      <w:r w:rsidR="0002035C" w:rsidRPr="00A52585">
        <w:rPr>
          <w:rFonts w:hint="cs"/>
          <w:rtl/>
        </w:rPr>
        <w:t xml:space="preserve">) </w:t>
      </w:r>
      <w:r w:rsidRPr="00A52585">
        <w:rPr>
          <w:rFonts w:hint="cs"/>
          <w:rtl/>
        </w:rPr>
        <w:t>قال: بقوة</w:t>
      </w:r>
      <w:r w:rsidR="00DB731D" w:rsidRPr="00A52585">
        <w:rPr>
          <w:rFonts w:hint="cs"/>
          <w:rtl/>
        </w:rPr>
        <w:t>،</w:t>
      </w:r>
      <w:r w:rsidRPr="00A52585">
        <w:rPr>
          <w:rFonts w:hint="cs"/>
          <w:rtl/>
        </w:rPr>
        <w:t xml:space="preserve"> وقد تأول التابعون للأيد في الآية بالقوة</w:t>
      </w:r>
      <w:r w:rsidR="00DB731D" w:rsidRPr="00A52585">
        <w:rPr>
          <w:rFonts w:hint="cs"/>
          <w:rtl/>
        </w:rPr>
        <w:t>،</w:t>
      </w:r>
      <w:r w:rsidRPr="00A52585">
        <w:rPr>
          <w:rFonts w:hint="cs"/>
          <w:bCs/>
          <w:rtl/>
        </w:rPr>
        <w:t xml:space="preserve"> فقد أخرج ابن</w:t>
      </w:r>
      <w:r w:rsidRPr="00A52585">
        <w:rPr>
          <w:rFonts w:hint="cs"/>
          <w:bCs/>
        </w:rPr>
        <w:t xml:space="preserve"> </w:t>
      </w:r>
      <w:r w:rsidRPr="00A52585">
        <w:rPr>
          <w:rFonts w:hint="cs"/>
          <w:bCs/>
          <w:rtl/>
        </w:rPr>
        <w:t>جرير عن مجاهد و قتادة</w:t>
      </w:r>
      <w:r w:rsidR="0002035C" w:rsidRPr="00A52585">
        <w:rPr>
          <w:rFonts w:hint="cs"/>
          <w:bCs/>
          <w:rtl/>
        </w:rPr>
        <w:t xml:space="preserve"> </w:t>
      </w:r>
      <w:r w:rsidRPr="00A52585">
        <w:rPr>
          <w:rFonts w:hint="cs"/>
          <w:bCs/>
          <w:rtl/>
        </w:rPr>
        <w:t>والسدي وغيرهم من التابعين وأخرج</w:t>
      </w:r>
      <w:r w:rsidRPr="00A52585">
        <w:rPr>
          <w:rFonts w:hint="cs"/>
          <w:bCs/>
        </w:rPr>
        <w:t xml:space="preserve"> </w:t>
      </w:r>
      <w:r w:rsidRPr="00A52585">
        <w:rPr>
          <w:rFonts w:hint="cs"/>
          <w:bCs/>
          <w:rtl/>
        </w:rPr>
        <w:t>البيهقي</w:t>
      </w:r>
      <w:r w:rsidRPr="00A52585">
        <w:rPr>
          <w:rFonts w:hint="cs"/>
          <w:bCs/>
        </w:rPr>
        <w:t xml:space="preserve"> </w:t>
      </w:r>
      <w:r w:rsidRPr="00A52585">
        <w:rPr>
          <w:rFonts w:hint="cs"/>
          <w:bCs/>
          <w:rtl/>
        </w:rPr>
        <w:t>وغيره عن مجاهد في قولهم (والسماء</w:t>
      </w:r>
      <w:r w:rsidRPr="00A52585">
        <w:rPr>
          <w:rFonts w:hint="cs"/>
          <w:bCs/>
        </w:rPr>
        <w:t xml:space="preserve"> </w:t>
      </w:r>
      <w:r w:rsidRPr="00A52585">
        <w:rPr>
          <w:rFonts w:hint="cs"/>
          <w:bCs/>
          <w:rtl/>
        </w:rPr>
        <w:t>بنيناها</w:t>
      </w:r>
      <w:r w:rsidRPr="00A52585">
        <w:rPr>
          <w:rFonts w:hint="cs"/>
          <w:bCs/>
        </w:rPr>
        <w:t xml:space="preserve"> </w:t>
      </w:r>
      <w:r w:rsidRPr="00A52585">
        <w:rPr>
          <w:rFonts w:hint="cs"/>
          <w:bCs/>
          <w:rtl/>
        </w:rPr>
        <w:t>بأيد</w:t>
      </w:r>
      <w:r w:rsidR="0002035C" w:rsidRPr="00A52585">
        <w:rPr>
          <w:rFonts w:hint="cs"/>
          <w:bCs/>
          <w:rtl/>
        </w:rPr>
        <w:t>)</w:t>
      </w:r>
      <w:r w:rsidRPr="00A52585">
        <w:rPr>
          <w:rFonts w:hint="cs"/>
          <w:bCs/>
          <w:rtl/>
        </w:rPr>
        <w:t xml:space="preserve"> قالوا</w:t>
      </w:r>
      <w:r w:rsidR="0002035C" w:rsidRPr="00A52585">
        <w:rPr>
          <w:rFonts w:hint="cs"/>
          <w:bCs/>
          <w:rtl/>
        </w:rPr>
        <w:t>:</w:t>
      </w:r>
      <w:r w:rsidRPr="00A52585">
        <w:rPr>
          <w:rFonts w:hint="cs"/>
          <w:bCs/>
          <w:rtl/>
        </w:rPr>
        <w:t xml:space="preserve"> يعني</w:t>
      </w:r>
      <w:r w:rsidRPr="00A52585">
        <w:rPr>
          <w:rFonts w:hint="cs"/>
          <w:bCs/>
        </w:rPr>
        <w:t xml:space="preserve"> </w:t>
      </w:r>
      <w:r w:rsidRPr="00A52585">
        <w:rPr>
          <w:rFonts w:hint="cs"/>
          <w:bCs/>
          <w:rtl/>
        </w:rPr>
        <w:t>بقوة</w:t>
      </w:r>
      <w:r w:rsidR="00DB731D" w:rsidRPr="00A52585">
        <w:rPr>
          <w:rFonts w:hint="cs"/>
          <w:rtl/>
        </w:rPr>
        <w:t>،</w:t>
      </w:r>
      <w:r w:rsidRPr="00A52585">
        <w:rPr>
          <w:rFonts w:hint="cs"/>
          <w:rtl/>
        </w:rPr>
        <w:t xml:space="preserve"> </w:t>
      </w:r>
      <w:r w:rsidRPr="00A52585">
        <w:rPr>
          <w:rFonts w:hint="cs"/>
          <w:bCs/>
          <w:rtl/>
        </w:rPr>
        <w:t>وقد تواترت أقوال العلماء والمفسرين واللغويين على تأويل اليد بالقوة</w:t>
      </w:r>
      <w:r w:rsidR="0002035C" w:rsidRPr="00A52585">
        <w:rPr>
          <w:rFonts w:hint="cs"/>
          <w:bCs/>
          <w:rtl/>
        </w:rPr>
        <w:t>]</w:t>
      </w:r>
      <w:r w:rsidR="00DB731D" w:rsidRPr="00A52585">
        <w:rPr>
          <w:rFonts w:hint="cs"/>
          <w:bCs/>
          <w:rtl/>
        </w:rPr>
        <w:t>،</w:t>
      </w:r>
      <w:r w:rsidRPr="00A52585">
        <w:rPr>
          <w:rFonts w:hint="cs"/>
          <w:bCs/>
          <w:rtl/>
        </w:rPr>
        <w:t xml:space="preserve"> قال الطبري</w:t>
      </w:r>
      <w:r w:rsidRPr="00A52585">
        <w:rPr>
          <w:rFonts w:hint="cs"/>
          <w:rtl/>
        </w:rPr>
        <w:t xml:space="preserve"> " ذا</w:t>
      </w:r>
      <w:r w:rsidRPr="00A52585">
        <w:rPr>
          <w:rFonts w:hint="cs"/>
        </w:rPr>
        <w:t xml:space="preserve"> </w:t>
      </w:r>
      <w:r w:rsidRPr="00A52585">
        <w:rPr>
          <w:rFonts w:hint="cs"/>
          <w:rtl/>
        </w:rPr>
        <w:t>الأيد ويعني بقوله ذا الأيد ذا القوة والبطش الشديد</w:t>
      </w:r>
      <w:r w:rsidRPr="00A52585">
        <w:rPr>
          <w:rFonts w:hint="cs"/>
        </w:rPr>
        <w:t xml:space="preserve"> </w:t>
      </w:r>
      <w:r w:rsidRPr="00A52585">
        <w:rPr>
          <w:rFonts w:hint="cs"/>
          <w:rtl/>
        </w:rPr>
        <w:t xml:space="preserve">في ذات الله والصبر على </w:t>
      </w:r>
      <w:proofErr w:type="spellStart"/>
      <w:r w:rsidRPr="00A52585">
        <w:rPr>
          <w:rFonts w:hint="cs"/>
          <w:rtl/>
        </w:rPr>
        <w:t>طاعته</w:t>
      </w:r>
      <w:r w:rsidR="00897A24" w:rsidRPr="00A52585">
        <w:rPr>
          <w:rFonts w:hint="cs"/>
          <w:rtl/>
        </w:rPr>
        <w:t>.</w:t>
      </w:r>
      <w:r w:rsidRPr="00A52585">
        <w:rPr>
          <w:rFonts w:hint="cs"/>
          <w:rtl/>
        </w:rPr>
        <w:t>.قال</w:t>
      </w:r>
      <w:proofErr w:type="spellEnd"/>
      <w:r w:rsidRPr="00A52585">
        <w:rPr>
          <w:rFonts w:hint="cs"/>
          <w:rtl/>
        </w:rPr>
        <w:t xml:space="preserve"> ابن زيد في قوله داود ذا الأيد قال ذا القوة في عبادة الله الأيد القوة وقرأ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قال بقوة "</w:t>
      </w:r>
      <w:r w:rsidR="0002035C" w:rsidRPr="00A52585">
        <w:rPr>
          <w:rFonts w:hint="cs"/>
          <w:rtl/>
        </w:rPr>
        <w:t>[</w:t>
      </w:r>
      <w:r w:rsidRPr="00A52585">
        <w:rPr>
          <w:rFonts w:hint="cs"/>
          <w:rtl/>
        </w:rPr>
        <w:t>تفسير الطبري ج: 23 ص: 136] أهـ</w:t>
      </w:r>
      <w:r w:rsidR="00DB731D" w:rsidRPr="00A52585">
        <w:rPr>
          <w:rFonts w:hint="cs"/>
          <w:bCs/>
          <w:rtl/>
        </w:rPr>
        <w:t>،</w:t>
      </w:r>
      <w:r w:rsidRPr="00A52585">
        <w:rPr>
          <w:rFonts w:hint="cs"/>
          <w:bCs/>
          <w:rtl/>
        </w:rPr>
        <w:t xml:space="preserve"> وقوله تعالى</w:t>
      </w:r>
      <w:r w:rsidRPr="00A52585">
        <w:rPr>
          <w:rFonts w:hint="cs"/>
          <w:rtl/>
        </w:rPr>
        <w:t xml:space="preserve"> </w:t>
      </w:r>
      <w:r w:rsidR="0002035C" w:rsidRPr="00A52585">
        <w:rPr>
          <w:rFonts w:hint="cs"/>
          <w:rtl/>
        </w:rPr>
        <w:t>{</w:t>
      </w:r>
      <w:r w:rsidRPr="00A52585">
        <w:rPr>
          <w:rFonts w:hint="cs"/>
          <w:rtl/>
        </w:rPr>
        <w:t>قَالَ يَا إِبْلِيسُ مَا مَنَعَكَ أَن تَسْجُدَ لِمَا خَلَقْتُ بِيَدَيَّ أَسْتَكْبَرْتَ أَمْ كُنتَ مِنَ الْعَالِينَ * قَالَ أَنَا خَيْرٌ مِّنْهُ خَلَقْتَنِي مِن نَّارٍ وَخَلَقْتَهُ مِن طِينٍ</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قلت</w:t>
      </w:r>
      <w:r w:rsidR="0002035C" w:rsidRPr="00A52585">
        <w:rPr>
          <w:rFonts w:hint="cs"/>
          <w:rtl/>
        </w:rPr>
        <w:t>:</w:t>
      </w:r>
      <w:r w:rsidRPr="00A52585">
        <w:rPr>
          <w:rFonts w:hint="cs"/>
          <w:rtl/>
        </w:rPr>
        <w:t xml:space="preserve"> فصحاء العرب وأهل البلاغة فيه يعلمون من قوله تعالى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w:t>
      </w:r>
      <w:r w:rsidRPr="00A52585">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DB731D" w:rsidRPr="00A52585">
        <w:rPr>
          <w:rFonts w:hint="cs"/>
          <w:rtl/>
        </w:rPr>
        <w:t>،</w:t>
      </w:r>
      <w:r w:rsidRPr="00A52585">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DB731D" w:rsidRPr="00A52585">
        <w:rPr>
          <w:rFonts w:hint="cs"/>
          <w:rtl/>
        </w:rPr>
        <w:t>،</w:t>
      </w:r>
      <w:r w:rsidRPr="00A52585">
        <w:rPr>
          <w:rFonts w:hint="cs"/>
          <w:rtl/>
        </w:rPr>
        <w:t xml:space="preserve"> لأن الجارحة تعني الجزء والتجزؤ يضاد الأحدية التي تعني نفي </w:t>
      </w:r>
      <w:proofErr w:type="spellStart"/>
      <w:r w:rsidRPr="00A52585">
        <w:rPr>
          <w:rFonts w:hint="cs"/>
          <w:rtl/>
        </w:rPr>
        <w:t>التبعض</w:t>
      </w:r>
      <w:proofErr w:type="spellEnd"/>
      <w:r w:rsidRPr="00A52585">
        <w:rPr>
          <w:rFonts w:hint="cs"/>
          <w:rtl/>
        </w:rPr>
        <w:t xml:space="preserve"> ويضاد الصمدية التي تعني كمال الغنى لأن المتجزئ يحتاج إلى جزئه</w:t>
      </w:r>
      <w:r w:rsidR="00DB731D" w:rsidRPr="00A52585">
        <w:rPr>
          <w:rFonts w:hint="cs"/>
          <w:rtl/>
        </w:rPr>
        <w:t>،</w:t>
      </w:r>
      <w:r w:rsidRPr="00A52585">
        <w:rPr>
          <w:rFonts w:hint="cs"/>
          <w:rtl/>
        </w:rPr>
        <w:t xml:space="preserve">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كمال الغنى</w:t>
      </w:r>
      <w:r w:rsidR="00DB731D" w:rsidRPr="00A52585">
        <w:rPr>
          <w:rFonts w:hint="cs"/>
          <w:rtl/>
        </w:rPr>
        <w:t>،</w:t>
      </w:r>
      <w:r w:rsidRPr="00A52585">
        <w:rPr>
          <w:rFonts w:hint="cs"/>
          <w:rtl/>
          <w:lang w:eastAsia="ar-SA"/>
        </w:rPr>
        <w:t xml:space="preserve"> </w:t>
      </w:r>
      <w:r w:rsidRPr="00A52585">
        <w:rPr>
          <w:rFonts w:hint="cs"/>
          <w:rtl/>
        </w:rPr>
        <w:t xml:space="preserve">وإلا فما الفارق عند كل منصف لم تحرق البدعة قلبه بين هذا التعبير القرآني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w:t>
      </w:r>
      <w:r w:rsidRPr="00A52585">
        <w:rPr>
          <w:rFonts w:hint="cs"/>
          <w:rtl/>
        </w:rPr>
        <w:t xml:space="preserve"> وبين قوله تعالى </w:t>
      </w:r>
      <w:r w:rsidR="0002035C" w:rsidRPr="00A52585">
        <w:rPr>
          <w:rFonts w:hint="cs"/>
          <w:rtl/>
        </w:rPr>
        <w:t>(</w:t>
      </w:r>
      <w:r w:rsidRPr="00A52585">
        <w:rPr>
          <w:rFonts w:hint="cs"/>
          <w:rtl/>
        </w:rPr>
        <w:t>مما عملت أيدينا أنعاما</w:t>
      </w:r>
      <w:r w:rsidR="0002035C" w:rsidRPr="00A52585">
        <w:rPr>
          <w:rFonts w:hint="cs"/>
          <w:rtl/>
        </w:rPr>
        <w:t>)</w:t>
      </w:r>
      <w:r w:rsidRPr="00A52585">
        <w:rPr>
          <w:rFonts w:hint="cs"/>
          <w:rtl/>
        </w:rPr>
        <w:t xml:space="preserve"> و قوله تعالى </w:t>
      </w:r>
      <w:r w:rsidR="0002035C" w:rsidRPr="00A52585">
        <w:rPr>
          <w:rFonts w:hint="cs"/>
          <w:rtl/>
        </w:rPr>
        <w:t>(</w:t>
      </w:r>
      <w:r w:rsidRPr="00A52585">
        <w:rPr>
          <w:rFonts w:hint="cs"/>
          <w:rtl/>
        </w:rPr>
        <w:t>والسماء بنيناها بأيد</w:t>
      </w:r>
      <w:r w:rsidR="0002035C" w:rsidRPr="00A52585">
        <w:rPr>
          <w:rFonts w:hint="cs"/>
          <w:rtl/>
        </w:rPr>
        <w:t>)</w:t>
      </w:r>
      <w:r w:rsidRPr="00A52585">
        <w:rPr>
          <w:rFonts w:hint="cs"/>
          <w:rtl/>
        </w:rPr>
        <w:t xml:space="preserve"> وأيد جمع يد لقوله تعالى (ألهم أيد يبطشون بها</w:t>
      </w:r>
      <w:r w:rsidR="0002035C" w:rsidRPr="00A52585">
        <w:rPr>
          <w:rFonts w:hint="cs"/>
          <w:rtl/>
        </w:rPr>
        <w:t>)</w:t>
      </w:r>
      <w:r w:rsidRPr="00A52585">
        <w:rPr>
          <w:rFonts w:hint="cs"/>
          <w:rtl/>
        </w:rPr>
        <w:t xml:space="preserve"> فالإنسان خلق بصفة اليد والأنعام كالغنم والبقر والإبل خلقت كذلك بصفة اليد والسماء خلقت كذلك بصفة اليد</w:t>
      </w:r>
      <w:r w:rsidR="00DB731D" w:rsidRPr="00A52585">
        <w:rPr>
          <w:rFonts w:hint="cs"/>
          <w:rtl/>
        </w:rPr>
        <w:t>،</w:t>
      </w:r>
      <w:r w:rsidRPr="00A52585">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02035C" w:rsidRPr="00A52585">
        <w:rPr>
          <w:rFonts w:hint="cs"/>
          <w:rtl/>
        </w:rPr>
        <w:t>)</w:t>
      </w:r>
      <w:r w:rsidR="00DB731D" w:rsidRPr="00A52585">
        <w:rPr>
          <w:rFonts w:hint="cs"/>
          <w:rtl/>
        </w:rPr>
        <w:t>،</w:t>
      </w:r>
      <w:r w:rsidRPr="00A52585">
        <w:rPr>
          <w:rFonts w:hint="cs"/>
          <w:rtl/>
        </w:rPr>
        <w:t xml:space="preserve"> ولا عبرة لمن قال</w:t>
      </w:r>
      <w:r w:rsidR="0002035C" w:rsidRPr="00A52585">
        <w:rPr>
          <w:rFonts w:hint="cs"/>
          <w:rtl/>
        </w:rPr>
        <w:t>:</w:t>
      </w:r>
      <w:r w:rsidRPr="00A52585">
        <w:rPr>
          <w:rFonts w:hint="cs"/>
          <w:rtl/>
        </w:rPr>
        <w:t xml:space="preserve"> لو لم يكن لآدم مزية علي سائر الحيوانات باليد التي هي صفة لما عظمه بذكرها وأجله فقال </w:t>
      </w:r>
      <w:r w:rsidR="0002035C" w:rsidRPr="00A52585">
        <w:rPr>
          <w:rFonts w:hint="cs"/>
          <w:rtl/>
        </w:rPr>
        <w:t>(</w:t>
      </w:r>
      <w:r w:rsidRPr="00A52585">
        <w:rPr>
          <w:rFonts w:hint="cs"/>
          <w:rtl/>
        </w:rPr>
        <w:t>بيدي</w:t>
      </w:r>
      <w:r w:rsidR="0002035C" w:rsidRPr="00A52585">
        <w:rPr>
          <w:rFonts w:hint="cs"/>
          <w:rtl/>
        </w:rPr>
        <w:t>)</w:t>
      </w:r>
      <w:r w:rsidRPr="00A52585">
        <w:rPr>
          <w:rFonts w:hint="cs"/>
          <w:rtl/>
        </w:rPr>
        <w:t xml:space="preserve"> ولو كانت القدرة لما كانت له مزية</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ميزه بذلك عن الحيوان فقد قال عز وجل</w:t>
      </w:r>
      <w:r w:rsidR="0002035C" w:rsidRPr="00A52585">
        <w:rPr>
          <w:rFonts w:hint="cs"/>
          <w:rtl/>
        </w:rPr>
        <w:t>:</w:t>
      </w:r>
      <w:r w:rsidRPr="00A52585">
        <w:rPr>
          <w:rFonts w:hint="cs"/>
          <w:rtl/>
        </w:rPr>
        <w:t xml:space="preserve"> {خلقنا لهم مما عملت أيدينا أنعاما</w:t>
      </w:r>
      <w:r w:rsidR="0002035C" w:rsidRPr="00A52585">
        <w:rPr>
          <w:rFonts w:hint="cs"/>
          <w:rtl/>
        </w:rPr>
        <w:t>}</w:t>
      </w:r>
      <w:r w:rsidRPr="00A52585">
        <w:rPr>
          <w:rFonts w:hint="cs"/>
          <w:rtl/>
        </w:rPr>
        <w:t xml:space="preserve"> ولم يدل هذا علي تمييز الأنعام علي بقية الحيوان وقال الله تعالي</w:t>
      </w:r>
      <w:r w:rsidR="0002035C" w:rsidRPr="00A52585">
        <w:rPr>
          <w:rFonts w:hint="cs"/>
          <w:rtl/>
        </w:rPr>
        <w:t xml:space="preserve"> {</w:t>
      </w:r>
      <w:r w:rsidRPr="00A52585">
        <w:rPr>
          <w:rFonts w:hint="cs"/>
          <w:rtl/>
        </w:rPr>
        <w:t>والسماء بنيناها بأيد وإنا لموسعون</w:t>
      </w:r>
      <w:r w:rsidR="0002035C" w:rsidRPr="00A52585">
        <w:rPr>
          <w:rFonts w:hint="cs"/>
          <w:rtl/>
        </w:rPr>
        <w:t>}</w:t>
      </w:r>
      <w:r w:rsidRPr="00A52585">
        <w:rPr>
          <w:rFonts w:hint="cs"/>
          <w:rtl/>
        </w:rPr>
        <w:t xml:space="preserve"> أي بقوة ولم يدل ذلك على تميز السماء على بقية المخلوقات</w:t>
      </w:r>
      <w:r w:rsidR="00DB731D" w:rsidRPr="00A52585">
        <w:rPr>
          <w:rFonts w:hint="cs"/>
          <w:rtl/>
        </w:rPr>
        <w:t>،</w:t>
      </w:r>
      <w:r w:rsidRPr="00A52585">
        <w:rPr>
          <w:rFonts w:hint="cs"/>
          <w:rtl/>
        </w:rPr>
        <w:t xml:space="preserve"> فإن قالوا</w:t>
      </w:r>
      <w:r w:rsidR="0002035C" w:rsidRPr="00A52585">
        <w:rPr>
          <w:rFonts w:hint="cs"/>
          <w:rtl/>
        </w:rPr>
        <w:t>:</w:t>
      </w:r>
      <w:r w:rsidRPr="00A52585">
        <w:rPr>
          <w:rFonts w:hint="cs"/>
          <w:rtl/>
        </w:rPr>
        <w:t xml:space="preserve"> القدرة لا تثن</w:t>
      </w:r>
      <w:r w:rsidR="00DB731D" w:rsidRPr="00A52585">
        <w:rPr>
          <w:rFonts w:hint="cs"/>
          <w:rtl/>
        </w:rPr>
        <w:t>،</w:t>
      </w:r>
      <w:r w:rsidRPr="00A52585">
        <w:rPr>
          <w:rFonts w:hint="cs"/>
          <w:rtl/>
        </w:rPr>
        <w:t xml:space="preserve"> وقد قال </w:t>
      </w:r>
      <w:r w:rsidR="0002035C" w:rsidRPr="00A52585">
        <w:rPr>
          <w:rFonts w:hint="cs"/>
          <w:rtl/>
        </w:rPr>
        <w:t>{</w:t>
      </w:r>
      <w:r w:rsidRPr="00A52585">
        <w:rPr>
          <w:rFonts w:hint="cs"/>
          <w:rtl/>
        </w:rPr>
        <w:t>بيدي</w:t>
      </w:r>
      <w:r w:rsidR="0002035C" w:rsidRPr="00A52585">
        <w:rPr>
          <w:rFonts w:hint="cs"/>
          <w:rtl/>
        </w:rPr>
        <w:t>}</w:t>
      </w:r>
      <w:r w:rsidRPr="00A52585">
        <w:rPr>
          <w:rFonts w:hint="cs"/>
          <w:rtl/>
        </w:rPr>
        <w:t xml:space="preserve"> </w:t>
      </w:r>
      <w:r w:rsidRPr="00A52585">
        <w:rPr>
          <w:rFonts w:hint="cs"/>
          <w:rtl/>
        </w:rPr>
        <w:lastRenderedPageBreak/>
        <w:t>قلنا بلي قال العربي</w:t>
      </w:r>
      <w:r w:rsidR="0002035C" w:rsidRPr="00A52585">
        <w:rPr>
          <w:rFonts w:hint="cs"/>
          <w:rtl/>
        </w:rPr>
        <w:t>:</w:t>
      </w:r>
      <w:r w:rsidRPr="00A52585">
        <w:rPr>
          <w:rFonts w:hint="cs"/>
          <w:rtl/>
        </w:rPr>
        <w:t xml:space="preserve"> ليس لي بهذا الأمر يدان</w:t>
      </w:r>
      <w:r w:rsidR="00DB731D" w:rsidRPr="00A52585">
        <w:rPr>
          <w:rFonts w:hint="cs"/>
          <w:rtl/>
        </w:rPr>
        <w:t>،</w:t>
      </w:r>
      <w:r w:rsidRPr="00A52585">
        <w:rPr>
          <w:rFonts w:hint="cs"/>
          <w:rtl/>
        </w:rPr>
        <w:t xml:space="preserve"> أي ليس لي به قدرة ولا يقصد سوى ذلك</w:t>
      </w:r>
      <w:r w:rsidR="00DB731D" w:rsidRPr="00A52585">
        <w:rPr>
          <w:rFonts w:hint="cs"/>
          <w:rtl/>
        </w:rPr>
        <w:t>،</w:t>
      </w:r>
      <w:r w:rsidRPr="00A52585">
        <w:rPr>
          <w:rFonts w:hint="cs"/>
          <w:rtl/>
        </w:rPr>
        <w:t xml:space="preserve"> فإن قالوا إنما عبروا بذلك لأن للإنسان يد على الحقيقة</w:t>
      </w:r>
      <w:r w:rsidR="00DB731D" w:rsidRPr="00A52585">
        <w:rPr>
          <w:rFonts w:hint="cs"/>
          <w:rtl/>
        </w:rPr>
        <w:t>،</w:t>
      </w:r>
      <w:r w:rsidRPr="00A52585">
        <w:rPr>
          <w:rFonts w:hint="cs"/>
          <w:rtl/>
        </w:rPr>
        <w:t xml:space="preserve"> قلنا إذن يلزمنا إثبات اليدين للرحمة {بين يدي رحمته} وللعذاب {بين يدي عذاب شديد</w:t>
      </w:r>
      <w:r w:rsidR="0002035C" w:rsidRPr="00A52585">
        <w:rPr>
          <w:rFonts w:hint="cs"/>
          <w:rtl/>
        </w:rPr>
        <w:t>}</w:t>
      </w:r>
      <w:r w:rsidRPr="00A52585">
        <w:rPr>
          <w:rFonts w:hint="cs"/>
          <w:rtl/>
        </w:rPr>
        <w:t xml:space="preserve"> وللنجوى {بين يدي نجواكم صدقة</w:t>
      </w:r>
      <w:r w:rsidR="0002035C" w:rsidRPr="00A52585">
        <w:rPr>
          <w:rFonts w:hint="cs"/>
          <w:rtl/>
        </w:rPr>
        <w:t>}</w:t>
      </w:r>
      <w:r w:rsidRPr="00A52585">
        <w:rPr>
          <w:rFonts w:hint="cs"/>
          <w:rtl/>
        </w:rPr>
        <w:t xml:space="preserve"> وفي هذا الإثبات من الجهل باللغة والتلاعب </w:t>
      </w:r>
      <w:proofErr w:type="spellStart"/>
      <w:r w:rsidRPr="00A52585">
        <w:rPr>
          <w:rFonts w:hint="cs"/>
          <w:rtl/>
        </w:rPr>
        <w:t>بثوابتها</w:t>
      </w:r>
      <w:proofErr w:type="spellEnd"/>
      <w:r w:rsidRPr="00A52585">
        <w:rPr>
          <w:rFonts w:hint="cs"/>
          <w:rtl/>
        </w:rPr>
        <w:t xml:space="preserve"> ما فيه ومن قال بذلك فلا ينبغي أن يضيع الوقت معه</w:t>
      </w:r>
      <w:r w:rsidR="00DB731D" w:rsidRPr="00A52585">
        <w:rPr>
          <w:rFonts w:hint="cs"/>
          <w:rtl/>
        </w:rPr>
        <w:t>،</w:t>
      </w:r>
      <w:r w:rsidRPr="00A52585">
        <w:rPr>
          <w:rFonts w:hint="cs"/>
          <w:rtl/>
        </w:rPr>
        <w:t xml:space="preserve"> فإن أصروا وجادلوا قلنا</w:t>
      </w:r>
      <w:r w:rsidR="0002035C" w:rsidRPr="00A52585">
        <w:rPr>
          <w:rFonts w:hint="cs"/>
          <w:rtl/>
        </w:rPr>
        <w:t xml:space="preserve">: </w:t>
      </w:r>
      <w:r w:rsidRPr="00A52585">
        <w:rPr>
          <w:rFonts w:hint="cs"/>
          <w:rtl/>
        </w:rPr>
        <w:t xml:space="preserve">قال الله تعالي في محكم التنزيل </w:t>
      </w:r>
      <w:r w:rsidR="0002035C" w:rsidRPr="00A52585">
        <w:rPr>
          <w:rFonts w:hint="cs"/>
          <w:rtl/>
        </w:rPr>
        <w:t>{</w:t>
      </w:r>
      <w:r w:rsidRPr="00A52585">
        <w:rPr>
          <w:rFonts w:hint="cs"/>
          <w:rtl/>
        </w:rPr>
        <w:t>إن مثل عيسي عند</w:t>
      </w:r>
      <w:r w:rsidRPr="00A52585">
        <w:rPr>
          <w:rFonts w:hint="cs"/>
        </w:rPr>
        <w:t xml:space="preserve"> </w:t>
      </w:r>
      <w:r w:rsidRPr="00A52585">
        <w:rPr>
          <w:rFonts w:hint="cs"/>
          <w:rtl/>
        </w:rPr>
        <w:t>الله كمثل آدم خلقه من تراب ثم قال له كن فيكون</w:t>
      </w:r>
      <w:r w:rsidR="0002035C" w:rsidRPr="00A52585">
        <w:rPr>
          <w:rFonts w:hint="cs"/>
          <w:rtl/>
        </w:rPr>
        <w:t>}</w:t>
      </w:r>
      <w:r w:rsidR="00DB731D" w:rsidRPr="00A52585">
        <w:rPr>
          <w:rFonts w:hint="cs"/>
          <w:rtl/>
        </w:rPr>
        <w:t>،</w:t>
      </w:r>
      <w:r w:rsidRPr="00A52585">
        <w:rPr>
          <w:rFonts w:hint="cs"/>
          <w:rtl/>
        </w:rPr>
        <w:t xml:space="preserve"> فالقرآن نص على أن خلق عيسى كخلق آدم كلاهما بالقدرة المعبر عنها بقوله تعالى </w:t>
      </w:r>
      <w:r w:rsidR="0002035C" w:rsidRPr="00A52585">
        <w:rPr>
          <w:rFonts w:hint="cs"/>
          <w:rtl/>
        </w:rPr>
        <w:t>{</w:t>
      </w:r>
      <w:r w:rsidRPr="00A52585">
        <w:rPr>
          <w:rFonts w:hint="cs"/>
          <w:rtl/>
        </w:rPr>
        <w:t>ثم قال له كن فيكون</w:t>
      </w:r>
      <w:r w:rsidR="0002035C" w:rsidRPr="00A52585">
        <w:rPr>
          <w:rFonts w:hint="cs"/>
          <w:rtl/>
        </w:rPr>
        <w:t>}</w:t>
      </w:r>
      <w:r w:rsidR="00DB731D" w:rsidRPr="00A52585">
        <w:rPr>
          <w:rFonts w:hint="cs"/>
          <w:rtl/>
        </w:rPr>
        <w:t>،</w:t>
      </w:r>
      <w:r w:rsidRPr="00A52585">
        <w:rPr>
          <w:rFonts w:hint="cs"/>
          <w:rtl/>
        </w:rPr>
        <w:t xml:space="preserve"> فسياق الآية يدل على أن المراد من قوله تعالى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 xml:space="preserve">} </w:t>
      </w:r>
      <w:r w:rsidRPr="00A52585">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02035C" w:rsidRPr="00A52585">
        <w:rPr>
          <w:rFonts w:hint="cs"/>
          <w:rtl/>
        </w:rPr>
        <w:t>{</w:t>
      </w:r>
      <w:r w:rsidRPr="00A52585">
        <w:rPr>
          <w:rFonts w:hint="cs"/>
          <w:rtl/>
        </w:rPr>
        <w:t>وعلم آدم الأسماء كلها</w:t>
      </w:r>
      <w:r w:rsidR="0002035C" w:rsidRPr="00A52585">
        <w:rPr>
          <w:rFonts w:hint="cs"/>
          <w:rtl/>
        </w:rPr>
        <w:t>}</w:t>
      </w:r>
      <w:r w:rsidR="00DB731D" w:rsidRPr="00A52585">
        <w:rPr>
          <w:rFonts w:hint="cs"/>
          <w:rtl/>
        </w:rPr>
        <w:t>،</w:t>
      </w:r>
      <w:r w:rsidRPr="00A52585">
        <w:rPr>
          <w:rFonts w:hint="cs"/>
          <w:rtl/>
        </w:rPr>
        <w:t xml:space="preserve"> وفضلته في ذلك كله على غيره من المخلوقين</w:t>
      </w:r>
      <w:r w:rsidR="00DB731D" w:rsidRPr="00A52585">
        <w:rPr>
          <w:rFonts w:hint="cs"/>
          <w:rtl/>
        </w:rPr>
        <w:t>،</w:t>
      </w:r>
      <w:r w:rsidRPr="00A52585">
        <w:rPr>
          <w:rFonts w:hint="cs"/>
          <w:rtl/>
        </w:rPr>
        <w:t xml:space="preserve"> هذا هو المفهوم من سياق الآيات فلم تسق الآية لإثبات جارحة لله تعالى عن ذلك لأنه نقص يتنزه الأحد الصمد عنه</w:t>
      </w:r>
      <w:r w:rsidR="00DB731D" w:rsidRPr="00A52585">
        <w:rPr>
          <w:rFonts w:hint="cs"/>
          <w:rtl/>
        </w:rPr>
        <w:t>،</w:t>
      </w:r>
      <w:r w:rsidRPr="00A52585">
        <w:rPr>
          <w:rFonts w:hint="cs"/>
          <w:rtl/>
        </w:rPr>
        <w:t xml:space="preserve"> لأن الجارحة تعني الجزء والتجزؤ يضاد الأحدية التي تعني نفي </w:t>
      </w:r>
      <w:proofErr w:type="spellStart"/>
      <w:r w:rsidRPr="00A52585">
        <w:rPr>
          <w:rFonts w:hint="cs"/>
          <w:rtl/>
        </w:rPr>
        <w:t>التبغض</w:t>
      </w:r>
      <w:proofErr w:type="spellEnd"/>
      <w:r w:rsidRPr="00A52585">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كمال الغنى</w:t>
      </w:r>
      <w:r w:rsidR="00DB731D" w:rsidRPr="00A52585">
        <w:rPr>
          <w:rFonts w:hint="cs"/>
          <w:rtl/>
        </w:rPr>
        <w:t>،</w:t>
      </w:r>
      <w:r w:rsidRPr="00A52585">
        <w:rPr>
          <w:rFonts w:hint="cs"/>
          <w:rtl/>
        </w:rPr>
        <w:t xml:space="preserve"> على أن بعض علماء أهل السنة والجماعة أثبت بالآيات صفات لله تعالى ليست على هيئة الجارحة وإنما صفات لا نعلمها</w:t>
      </w:r>
      <w:r w:rsidR="00DB731D" w:rsidRPr="00A52585">
        <w:rPr>
          <w:rFonts w:hint="cs"/>
          <w:rtl/>
        </w:rPr>
        <w:t>،</w:t>
      </w:r>
      <w:r w:rsidRPr="00A52585">
        <w:rPr>
          <w:rFonts w:hint="cs"/>
          <w:rtl/>
        </w:rPr>
        <w:t xml:space="preserve"> وهذا الوجه مقبول ضمناً</w:t>
      </w:r>
      <w:r w:rsidR="00DB731D" w:rsidRPr="00A52585">
        <w:rPr>
          <w:rFonts w:hint="cs"/>
          <w:rtl/>
        </w:rPr>
        <w:t>،</w:t>
      </w:r>
      <w:r w:rsidRPr="00A52585">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DB731D" w:rsidRPr="00A52585">
        <w:rPr>
          <w:rFonts w:hint="cs"/>
          <w:rtl/>
        </w:rPr>
        <w:t>،</w:t>
      </w:r>
      <w:r w:rsidRPr="00A52585">
        <w:rPr>
          <w:rFonts w:hint="cs"/>
          <w:rtl/>
        </w:rPr>
        <w:t xml:space="preserve"> بل قد تدخل إلى التمثيل والتجسيم</w:t>
      </w:r>
      <w:r w:rsidR="00DB731D" w:rsidRPr="00A52585">
        <w:rPr>
          <w:rFonts w:hint="cs"/>
          <w:rtl/>
        </w:rPr>
        <w:t>،</w:t>
      </w:r>
      <w:r w:rsidRPr="00A52585">
        <w:rPr>
          <w:rFonts w:hint="cs"/>
          <w:rtl/>
        </w:rPr>
        <w:t xml:space="preserve"> قال تعالى </w:t>
      </w:r>
      <w:r w:rsidR="0002035C" w:rsidRPr="00A52585">
        <w:rPr>
          <w:rFonts w:hint="cs"/>
          <w:rtl/>
        </w:rPr>
        <w:t>{</w:t>
      </w:r>
      <w:r w:rsidRPr="00A52585">
        <w:rPr>
          <w:rFonts w:hint="cs"/>
          <w:rtl/>
        </w:rPr>
        <w:t>لعلمه الذين يستنبطونه منهم</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وعدم التعرض للمعنى الحقيقي المراد من الآيات المتشابهات لأنه </w:t>
      </w:r>
      <w:r w:rsidR="0002035C" w:rsidRPr="00A52585">
        <w:rPr>
          <w:rFonts w:hint="cs"/>
          <w:rtl/>
        </w:rPr>
        <w:t>{</w:t>
      </w:r>
      <w:r w:rsidRPr="00A52585">
        <w:rPr>
          <w:rFonts w:hint="cs"/>
          <w:rtl/>
        </w:rPr>
        <w:t>وما يعلم تأويله إلا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والراسخون في العلم يقولون آمنا به كل من عند ربنا</w:t>
      </w:r>
      <w:r w:rsidR="0002035C" w:rsidRPr="00A52585">
        <w:rPr>
          <w:rFonts w:hint="cs"/>
          <w:rtl/>
        </w:rPr>
        <w:t>}</w:t>
      </w:r>
      <w:r w:rsidR="00DB731D" w:rsidRPr="00A52585">
        <w:rPr>
          <w:rFonts w:hint="cs"/>
          <w:rtl/>
        </w:rPr>
        <w:t>،</w:t>
      </w:r>
      <w:r w:rsidRPr="00A52585">
        <w:rPr>
          <w:rFonts w:hint="cs"/>
          <w:rtl/>
        </w:rPr>
        <w:t xml:space="preserve"> فالمتشابه كاليد والوجه ونحو ذلك فظاهره المستعمل في اللغة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DB731D" w:rsidRPr="00A52585">
        <w:rPr>
          <w:rFonts w:hint="cs"/>
          <w:rtl/>
        </w:rPr>
        <w:t>،</w:t>
      </w:r>
      <w:r w:rsidRPr="00A52585">
        <w:rPr>
          <w:rFonts w:hint="cs"/>
          <w:rtl/>
        </w:rPr>
        <w:t xml:space="preserve"> </w:t>
      </w:r>
    </w:p>
    <w:p w14:paraId="3DAC05B3" w14:textId="532D6DC5" w:rsidR="00777DCB" w:rsidRPr="00A52585" w:rsidRDefault="0002035C" w:rsidP="0002035C">
      <w:pPr>
        <w:spacing w:before="240" w:after="240"/>
        <w:rPr>
          <w:rtl/>
          <w:lang w:bidi="ar-KW"/>
        </w:rPr>
      </w:pPr>
      <w:r w:rsidRPr="00A52585">
        <w:rPr>
          <w:rFonts w:hint="cs"/>
          <w:bCs/>
          <w:rtl/>
        </w:rPr>
        <w:t>[</w:t>
      </w:r>
      <w:r w:rsidR="00777DCB" w:rsidRPr="00A52585">
        <w:rPr>
          <w:rFonts w:hint="cs"/>
          <w:bCs/>
          <w:rtl/>
        </w:rPr>
        <w:t>أقوال العلماء في أنّ ظواهر المتشابهات غير مرادة</w:t>
      </w:r>
      <w:r w:rsidRPr="00A52585">
        <w:rPr>
          <w:rFonts w:hint="cs"/>
          <w:bCs/>
          <w:rtl/>
        </w:rPr>
        <w:t xml:space="preserve">]: </w:t>
      </w:r>
      <w:r w:rsidR="00777DCB" w:rsidRPr="00A52585">
        <w:rPr>
          <w:rFonts w:hint="cs"/>
          <w:bCs/>
          <w:rtl/>
        </w:rPr>
        <w:t xml:space="preserve">قال إمام الحرمين في </w:t>
      </w:r>
      <w:proofErr w:type="spellStart"/>
      <w:r w:rsidR="00777DCB" w:rsidRPr="00A52585">
        <w:rPr>
          <w:rFonts w:hint="cs"/>
          <w:bCs/>
          <w:rtl/>
        </w:rPr>
        <w:t>العقيده</w:t>
      </w:r>
      <w:proofErr w:type="spellEnd"/>
      <w:r w:rsidR="00777DCB" w:rsidRPr="00A52585">
        <w:rPr>
          <w:rFonts w:hint="cs"/>
          <w:bCs/>
        </w:rPr>
        <w:t xml:space="preserve"> </w:t>
      </w:r>
      <w:proofErr w:type="spellStart"/>
      <w:r w:rsidR="00777DCB" w:rsidRPr="00A52585">
        <w:rPr>
          <w:rFonts w:hint="cs"/>
          <w:bCs/>
          <w:rtl/>
        </w:rPr>
        <w:t>النظاميه</w:t>
      </w:r>
      <w:proofErr w:type="spellEnd"/>
      <w:r w:rsidRPr="00A52585">
        <w:rPr>
          <w:rFonts w:hint="cs"/>
          <w:rtl/>
        </w:rPr>
        <w:t>:</w:t>
      </w:r>
      <w:r w:rsidR="00777DCB" w:rsidRPr="00A52585">
        <w:rPr>
          <w:rFonts w:hint="cs"/>
          <w:rtl/>
        </w:rPr>
        <w:t xml:space="preserve"> " وقد </w:t>
      </w:r>
      <w:proofErr w:type="spellStart"/>
      <w:r w:rsidR="00777DCB" w:rsidRPr="00A52585">
        <w:rPr>
          <w:rFonts w:hint="cs"/>
          <w:rtl/>
        </w:rPr>
        <w:t>إختلف</w:t>
      </w:r>
      <w:proofErr w:type="spellEnd"/>
      <w:r w:rsidR="00777DCB" w:rsidRPr="00A52585">
        <w:rPr>
          <w:rFonts w:hint="cs"/>
          <w:rtl/>
        </w:rPr>
        <w:t xml:space="preserve"> مسالك العلماء في الظواهر التي وردت في الكتاب والسنة 0 وامتنع على أهل الحق اعتقاد فحواها</w:t>
      </w:r>
      <w:r w:rsidRPr="00A52585">
        <w:rPr>
          <w:rFonts w:hint="cs"/>
          <w:rtl/>
        </w:rPr>
        <w:t xml:space="preserve"> </w:t>
      </w:r>
      <w:r w:rsidR="00777DCB" w:rsidRPr="00A52585">
        <w:rPr>
          <w:rFonts w:hint="cs"/>
          <w:rtl/>
        </w:rPr>
        <w:t xml:space="preserve">وإجراؤها على موجب ما </w:t>
      </w:r>
      <w:proofErr w:type="spellStart"/>
      <w:r w:rsidR="00777DCB" w:rsidRPr="00A52585">
        <w:rPr>
          <w:rFonts w:hint="cs"/>
          <w:rtl/>
        </w:rPr>
        <w:t>تبتدره</w:t>
      </w:r>
      <w:proofErr w:type="spellEnd"/>
      <w:r w:rsidR="00777DCB" w:rsidRPr="00A52585">
        <w:rPr>
          <w:rFonts w:hint="cs"/>
          <w:rtl/>
        </w:rPr>
        <w:t xml:space="preserve"> أفهام أرباب اللسان منها</w:t>
      </w:r>
      <w:r w:rsidR="00DB731D" w:rsidRPr="00A52585">
        <w:rPr>
          <w:rFonts w:hint="cs"/>
          <w:rtl/>
        </w:rPr>
        <w:t>،</w:t>
      </w:r>
      <w:r w:rsidR="00777DCB" w:rsidRPr="00A52585">
        <w:rPr>
          <w:rFonts w:hint="cs"/>
          <w:rtl/>
        </w:rPr>
        <w:t xml:space="preserve"> فرأى بعضهم تأويلها والتزام هذا المنهج في </w:t>
      </w:r>
      <w:proofErr w:type="spellStart"/>
      <w:r w:rsidR="00777DCB" w:rsidRPr="00A52585">
        <w:rPr>
          <w:rFonts w:hint="cs"/>
          <w:rtl/>
        </w:rPr>
        <w:t>آي</w:t>
      </w:r>
      <w:proofErr w:type="spellEnd"/>
      <w:r w:rsidR="00777DCB" w:rsidRPr="00A52585">
        <w:rPr>
          <w:rFonts w:hint="cs"/>
          <w:rtl/>
        </w:rPr>
        <w:t xml:space="preserve"> الكتاب</w:t>
      </w:r>
      <w:r w:rsidR="00DB731D" w:rsidRPr="00A52585">
        <w:rPr>
          <w:rFonts w:hint="cs"/>
          <w:rtl/>
        </w:rPr>
        <w:t>،</w:t>
      </w:r>
      <w:r w:rsidR="00777DCB" w:rsidRPr="00A52585">
        <w:rPr>
          <w:rFonts w:hint="cs"/>
          <w:rtl/>
        </w:rPr>
        <w:t xml:space="preserve"> وما يصح من سنن الرسول صلى الله عليه </w:t>
      </w:r>
      <w:proofErr w:type="spellStart"/>
      <w:r w:rsidR="00777DCB" w:rsidRPr="00A52585">
        <w:rPr>
          <w:rFonts w:hint="cs"/>
          <w:rtl/>
        </w:rPr>
        <w:t>وآله</w:t>
      </w:r>
      <w:proofErr w:type="spellEnd"/>
      <w:r w:rsidR="00777DCB" w:rsidRPr="00A52585">
        <w:rPr>
          <w:rFonts w:hint="cs"/>
          <w:rtl/>
        </w:rPr>
        <w:t xml:space="preserve"> وسلم</w:t>
      </w:r>
      <w:r w:rsidR="00DB731D" w:rsidRPr="00A52585">
        <w:rPr>
          <w:rFonts w:hint="cs"/>
          <w:rtl/>
        </w:rPr>
        <w:t>،</w:t>
      </w:r>
      <w:r w:rsidR="00777DCB" w:rsidRPr="00A52585">
        <w:rPr>
          <w:rFonts w:hint="cs"/>
          <w:rtl/>
        </w:rPr>
        <w:t xml:space="preserve"> وذهب أئمة السلف إلى الانكفاف </w:t>
      </w:r>
      <w:r w:rsidR="00777DCB" w:rsidRPr="00A52585">
        <w:rPr>
          <w:rFonts w:hint="cs"/>
          <w:rtl/>
        </w:rPr>
        <w:lastRenderedPageBreak/>
        <w:t>عن التأويل</w:t>
      </w:r>
      <w:r w:rsidR="00DB731D" w:rsidRPr="00A52585">
        <w:rPr>
          <w:rFonts w:hint="cs"/>
          <w:rtl/>
        </w:rPr>
        <w:t>،</w:t>
      </w:r>
      <w:r w:rsidR="00777DCB" w:rsidRPr="00A52585">
        <w:rPr>
          <w:rFonts w:hint="cs"/>
          <w:rtl/>
        </w:rPr>
        <w:t xml:space="preserve"> وإجراء الظواهر على مواردها وتفويض معانيها الى الرب تعالى 0 والذي نرتضيه رأيا</w:t>
      </w:r>
      <w:r w:rsidRPr="00A52585">
        <w:rPr>
          <w:rFonts w:hint="cs"/>
          <w:rtl/>
        </w:rPr>
        <w:t>:</w:t>
      </w:r>
      <w:r w:rsidR="00777DCB" w:rsidRPr="00A52585">
        <w:rPr>
          <w:rFonts w:hint="cs"/>
          <w:rtl/>
        </w:rPr>
        <w:t xml:space="preserve"> وندين الله به عقلا</w:t>
      </w:r>
      <w:r w:rsidRPr="00A52585">
        <w:rPr>
          <w:rFonts w:hint="cs"/>
          <w:rtl/>
        </w:rPr>
        <w:t>:</w:t>
      </w:r>
      <w:r w:rsidR="00777DCB" w:rsidRPr="00A52585">
        <w:rPr>
          <w:rFonts w:hint="cs"/>
          <w:rtl/>
        </w:rPr>
        <w:t xml:space="preserve"> اتباع سلف الأمة 0 فالأولى الاتباع</w:t>
      </w:r>
      <w:r w:rsidR="00DB731D" w:rsidRPr="00A52585">
        <w:rPr>
          <w:rFonts w:hint="cs"/>
          <w:rtl/>
        </w:rPr>
        <w:t>،</w:t>
      </w:r>
      <w:r w:rsidR="00777DCB" w:rsidRPr="00A52585">
        <w:rPr>
          <w:rFonts w:hint="cs"/>
          <w:rtl/>
        </w:rPr>
        <w:t xml:space="preserve"> وترك الابتداع والدليل السمعي القاطع في ذلك</w:t>
      </w:r>
      <w:r w:rsidRPr="00A52585">
        <w:rPr>
          <w:rFonts w:hint="cs"/>
          <w:rtl/>
        </w:rPr>
        <w:t>:</w:t>
      </w:r>
      <w:r w:rsidR="00777DCB" w:rsidRPr="00A52585">
        <w:rPr>
          <w:rFonts w:hint="cs"/>
          <w:rtl/>
        </w:rPr>
        <w:t xml:space="preserve"> أن إجماع الأمة حجه متبعة</w:t>
      </w:r>
      <w:r w:rsidR="00DB731D" w:rsidRPr="00A52585">
        <w:rPr>
          <w:rFonts w:hint="cs"/>
          <w:rtl/>
        </w:rPr>
        <w:t>،</w:t>
      </w:r>
      <w:r w:rsidR="00777DCB" w:rsidRPr="00A52585">
        <w:rPr>
          <w:rFonts w:hint="cs"/>
          <w:rtl/>
        </w:rPr>
        <w:t xml:space="preserve"> وهو مستند معظم الشريعة</w:t>
      </w:r>
      <w:r w:rsidR="00DB731D" w:rsidRPr="00A52585">
        <w:rPr>
          <w:rFonts w:hint="cs"/>
          <w:rtl/>
        </w:rPr>
        <w:t>،</w:t>
      </w:r>
      <w:r w:rsidR="00777DCB" w:rsidRPr="00A52585">
        <w:rPr>
          <w:rFonts w:hint="cs"/>
          <w:rtl/>
        </w:rPr>
        <w:t xml:space="preserve"> وقد درج صحب رسول الله صلى الله عليه وسلم</w:t>
      </w:r>
      <w:r w:rsidR="00DB731D" w:rsidRPr="00A52585">
        <w:rPr>
          <w:rFonts w:hint="cs"/>
          <w:rtl/>
        </w:rPr>
        <w:t>،</w:t>
      </w:r>
      <w:r w:rsidR="00777DCB" w:rsidRPr="00A52585">
        <w:rPr>
          <w:rFonts w:hint="cs"/>
          <w:rtl/>
        </w:rPr>
        <w:t xml:space="preserve"> ورضى عنهم على ترك التعرض لمعانيها ودرك ما فيها</w:t>
      </w:r>
      <w:r w:rsidR="00DB731D" w:rsidRPr="00A52585">
        <w:rPr>
          <w:rFonts w:hint="cs"/>
          <w:rtl/>
        </w:rPr>
        <w:t>،</w:t>
      </w:r>
      <w:r w:rsidR="00777DCB" w:rsidRPr="00A52585">
        <w:rPr>
          <w:rFonts w:hint="cs"/>
          <w:rtl/>
        </w:rPr>
        <w:t xml:space="preserve"> وهم صفوة الإسلام</w:t>
      </w:r>
      <w:r w:rsidR="00DB731D" w:rsidRPr="00A52585">
        <w:rPr>
          <w:rFonts w:hint="cs"/>
          <w:rtl/>
        </w:rPr>
        <w:t>،</w:t>
      </w:r>
      <w:r w:rsidR="00777DCB" w:rsidRPr="00A52585">
        <w:rPr>
          <w:rFonts w:hint="cs"/>
          <w:rtl/>
        </w:rPr>
        <w:t xml:space="preserve"> والمستقلون بأعباء الشريعة وكانوا لا يألون في ضبط قواعد الملة والتواصي بحفظها</w:t>
      </w:r>
      <w:r w:rsidR="00DB731D" w:rsidRPr="00A52585">
        <w:rPr>
          <w:rFonts w:hint="cs"/>
          <w:rtl/>
        </w:rPr>
        <w:t>،</w:t>
      </w:r>
      <w:r w:rsidR="00777DCB" w:rsidRPr="00A52585">
        <w:rPr>
          <w:rFonts w:hint="cs"/>
          <w:rtl/>
        </w:rPr>
        <w:t xml:space="preserve"> وتعليم الناس ما يحتاجون إليه منها 0 فلو كان تأويل هذه </w:t>
      </w:r>
      <w:proofErr w:type="spellStart"/>
      <w:r w:rsidR="00777DCB" w:rsidRPr="00A52585">
        <w:rPr>
          <w:rFonts w:hint="cs"/>
          <w:rtl/>
        </w:rPr>
        <w:t>الآي</w:t>
      </w:r>
      <w:proofErr w:type="spellEnd"/>
      <w:r w:rsidR="00777DCB" w:rsidRPr="00A52585">
        <w:rPr>
          <w:rFonts w:hint="cs"/>
          <w:rtl/>
        </w:rPr>
        <w:t xml:space="preserve"> والظواهر مسوغا</w:t>
      </w:r>
      <w:r w:rsidR="00DB731D" w:rsidRPr="00A52585">
        <w:rPr>
          <w:rFonts w:hint="cs"/>
          <w:rtl/>
        </w:rPr>
        <w:t>،</w:t>
      </w:r>
      <w:r w:rsidR="00777DCB" w:rsidRPr="00A52585">
        <w:rPr>
          <w:rFonts w:hint="cs"/>
          <w:rtl/>
        </w:rPr>
        <w:t xml:space="preserve"> ومحتوما</w:t>
      </w:r>
      <w:r w:rsidR="00DB731D" w:rsidRPr="00A52585">
        <w:rPr>
          <w:rFonts w:hint="cs"/>
          <w:rtl/>
        </w:rPr>
        <w:t>،</w:t>
      </w:r>
      <w:r w:rsidR="00777DCB" w:rsidRPr="00A52585">
        <w:rPr>
          <w:rFonts w:hint="cs"/>
          <w:rtl/>
        </w:rPr>
        <w:t xml:space="preserve"> لأوشك أن يكون اهتمامهم بها فوق اهتمامهم بفروع الشريعة 0واذا انصرم عصرهم</w:t>
      </w:r>
      <w:r w:rsidR="00DB731D" w:rsidRPr="00A52585">
        <w:rPr>
          <w:rFonts w:hint="cs"/>
          <w:rtl/>
        </w:rPr>
        <w:t>،</w:t>
      </w:r>
      <w:r w:rsidR="00777DCB" w:rsidRPr="00A52585">
        <w:rPr>
          <w:rFonts w:hint="cs"/>
          <w:rtl/>
        </w:rPr>
        <w:t xml:space="preserve"> وعصر التابعين على الإضراب عن التأويل كان ذلك قاطعا بأنه الوجه المتبع 0 </w:t>
      </w:r>
      <w:r w:rsidR="00777DCB" w:rsidRPr="00A52585">
        <w:rPr>
          <w:rFonts w:hint="cs"/>
          <w:bCs/>
          <w:rtl/>
        </w:rPr>
        <w:t>فحق على ذي دين</w:t>
      </w:r>
      <w:r w:rsidRPr="00A52585">
        <w:rPr>
          <w:rFonts w:hint="cs"/>
          <w:bCs/>
          <w:rtl/>
        </w:rPr>
        <w:t>:</w:t>
      </w:r>
      <w:r w:rsidR="00777DCB" w:rsidRPr="00A52585">
        <w:rPr>
          <w:rFonts w:hint="cs"/>
          <w:bCs/>
          <w:rtl/>
        </w:rPr>
        <w:t xml:space="preserve"> أن يعتقد تنزه الباري عن صفات المحدثين</w:t>
      </w:r>
      <w:r w:rsidR="00DB731D" w:rsidRPr="00A52585">
        <w:rPr>
          <w:rFonts w:hint="cs"/>
          <w:bCs/>
          <w:rtl/>
        </w:rPr>
        <w:t>،</w:t>
      </w:r>
      <w:r w:rsidR="00777DCB" w:rsidRPr="00A52585">
        <w:rPr>
          <w:rFonts w:hint="cs"/>
          <w:bCs/>
          <w:rtl/>
        </w:rPr>
        <w:t xml:space="preserve"> ولا يخوض في تأويل المشكلات</w:t>
      </w:r>
      <w:r w:rsidR="00DB731D" w:rsidRPr="00A52585">
        <w:rPr>
          <w:rFonts w:hint="cs"/>
          <w:bCs/>
          <w:rtl/>
        </w:rPr>
        <w:t>،</w:t>
      </w:r>
      <w:r w:rsidR="00777DCB" w:rsidRPr="00A52585">
        <w:rPr>
          <w:rFonts w:hint="cs"/>
          <w:bCs/>
          <w:rtl/>
        </w:rPr>
        <w:t xml:space="preserve"> ويكل معناها إلى الرب تبارك وتعالى</w:t>
      </w:r>
      <w:r w:rsidR="00DB731D" w:rsidRPr="00A52585">
        <w:rPr>
          <w:rFonts w:hint="cs"/>
          <w:bCs/>
          <w:rtl/>
        </w:rPr>
        <w:t>،</w:t>
      </w:r>
      <w:r w:rsidR="00777DCB" w:rsidRPr="00A52585">
        <w:rPr>
          <w:rFonts w:hint="cs"/>
          <w:bCs/>
          <w:rtl/>
        </w:rPr>
        <w:t xml:space="preserve"> </w:t>
      </w:r>
      <w:r w:rsidR="00777DCB" w:rsidRPr="00A52585">
        <w:rPr>
          <w:rFonts w:hint="cs"/>
          <w:rtl/>
        </w:rPr>
        <w:t>وعد إمام</w:t>
      </w:r>
      <w:r w:rsidR="00777DCB" w:rsidRPr="00A52585">
        <w:rPr>
          <w:rFonts w:hint="cs"/>
        </w:rPr>
        <w:t xml:space="preserve"> </w:t>
      </w:r>
      <w:r w:rsidR="00777DCB" w:rsidRPr="00A52585">
        <w:rPr>
          <w:rFonts w:hint="cs"/>
          <w:rtl/>
        </w:rPr>
        <w:t>القراء وسيدهم</w:t>
      </w:r>
      <w:r w:rsidRPr="00A52585">
        <w:rPr>
          <w:rFonts w:hint="cs"/>
          <w:rtl/>
        </w:rPr>
        <w:t>:</w:t>
      </w:r>
      <w:r w:rsidR="00777DCB" w:rsidRPr="00A52585">
        <w:rPr>
          <w:rFonts w:hint="cs"/>
          <w:rtl/>
        </w:rPr>
        <w:t xml:space="preserve"> الوقوف على قوله تبارك وتعالى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w:t>
      </w:r>
      <w:r w:rsidR="00777DCB" w:rsidRPr="00A52585">
        <w:rPr>
          <w:rFonts w:hint="cs"/>
        </w:rPr>
        <w:t xml:space="preserve"> </w:t>
      </w:r>
      <w:r w:rsidR="00777DCB" w:rsidRPr="00A52585">
        <w:rPr>
          <w:rFonts w:hint="cs"/>
          <w:rtl/>
        </w:rPr>
        <w:t>يعلم تأويله إلا</w:t>
      </w:r>
      <w:r w:rsidR="00777DCB" w:rsidRPr="00A52585">
        <w:rPr>
          <w:rFonts w:hint="cs"/>
        </w:rPr>
        <w:t xml:space="preserve"> </w:t>
      </w:r>
      <w:r w:rsidR="00777DCB" w:rsidRPr="00A52585">
        <w:rPr>
          <w:rFonts w:hint="cs"/>
          <w:rtl/>
        </w:rPr>
        <w:t>الله</w:t>
      </w:r>
      <w:r w:rsidRPr="00A52585">
        <w:rPr>
          <w:rFonts w:hint="cs"/>
          <w:rtl/>
        </w:rPr>
        <w:t>}</w:t>
      </w:r>
      <w:r w:rsidR="00777DCB" w:rsidRPr="00A52585">
        <w:rPr>
          <w:rFonts w:hint="cs"/>
          <w:rtl/>
        </w:rPr>
        <w:t xml:space="preserve"> من</w:t>
      </w:r>
      <w:r w:rsidR="00777DCB" w:rsidRPr="00A52585">
        <w:rPr>
          <w:rFonts w:hint="cs"/>
        </w:rPr>
        <w:t xml:space="preserve"> </w:t>
      </w:r>
      <w:r w:rsidR="00777DCB" w:rsidRPr="00A52585">
        <w:rPr>
          <w:rFonts w:hint="cs"/>
          <w:rtl/>
        </w:rPr>
        <w:t>العزائم</w:t>
      </w:r>
      <w:r w:rsidR="00DB731D" w:rsidRPr="00A52585">
        <w:rPr>
          <w:rFonts w:hint="cs"/>
          <w:rtl/>
        </w:rPr>
        <w:t>،</w:t>
      </w:r>
      <w:r w:rsidR="00777DCB" w:rsidRPr="00A52585">
        <w:rPr>
          <w:rFonts w:hint="cs"/>
          <w:rtl/>
        </w:rPr>
        <w:t xml:space="preserve"> ثم الابتداء </w:t>
      </w:r>
      <w:r w:rsidRPr="00A52585">
        <w:rPr>
          <w:rFonts w:hint="cs"/>
          <w:rtl/>
        </w:rPr>
        <w:t>{</w:t>
      </w:r>
      <w:r w:rsidR="00777DCB" w:rsidRPr="00A52585">
        <w:rPr>
          <w:rFonts w:hint="cs"/>
          <w:rtl/>
        </w:rPr>
        <w:t>والراسخون</w:t>
      </w:r>
      <w:r w:rsidR="00777DCB" w:rsidRPr="00A52585">
        <w:rPr>
          <w:rFonts w:hint="cs"/>
        </w:rPr>
        <w:t xml:space="preserve"> </w:t>
      </w:r>
      <w:r w:rsidR="00777DCB" w:rsidRPr="00A52585">
        <w:rPr>
          <w:rFonts w:hint="cs"/>
          <w:rtl/>
        </w:rPr>
        <w:t>في العلم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Pr="00A52585">
        <w:rPr>
          <w:rFonts w:hint="cs"/>
          <w:rtl/>
        </w:rPr>
        <w:t xml:space="preserve">] </w:t>
      </w:r>
      <w:r w:rsidR="00777DCB" w:rsidRPr="00A52585">
        <w:rPr>
          <w:rFonts w:hint="cs"/>
          <w:rtl/>
        </w:rPr>
        <w:t>ومما استحق من كلام امام دار الهجرة –رضى الله عنه – وهو مالك بن أنس رضى</w:t>
      </w:r>
      <w:r w:rsidR="00777DCB" w:rsidRPr="00A52585">
        <w:rPr>
          <w:rFonts w:hint="cs"/>
        </w:rPr>
        <w:t xml:space="preserve"> </w:t>
      </w:r>
      <w:r w:rsidR="00777DCB" w:rsidRPr="00A52585">
        <w:rPr>
          <w:rFonts w:hint="cs"/>
          <w:rtl/>
        </w:rPr>
        <w:t xml:space="preserve">الله عنه 0 أنه سئل عن قوله تبارك وتعالى </w:t>
      </w:r>
      <w:r w:rsidRPr="00A52585">
        <w:rPr>
          <w:rFonts w:hint="cs"/>
          <w:rtl/>
        </w:rPr>
        <w:t>{</w:t>
      </w:r>
      <w:r w:rsidR="00777DCB" w:rsidRPr="00A52585">
        <w:rPr>
          <w:rFonts w:hint="cs"/>
          <w:rtl/>
        </w:rPr>
        <w:t>الرحمن على العرش استوى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5</w:t>
      </w:r>
      <w:r w:rsidRPr="00A52585">
        <w:rPr>
          <w:rFonts w:hint="cs"/>
          <w:rtl/>
        </w:rPr>
        <w:t>]</w:t>
      </w:r>
      <w:r w:rsidR="00777DCB" w:rsidRPr="00A52585">
        <w:rPr>
          <w:rFonts w:hint="cs"/>
          <w:rtl/>
        </w:rPr>
        <w:t xml:space="preserve"> فقال </w:t>
      </w:r>
      <w:r w:rsidRPr="00A52585">
        <w:rPr>
          <w:rFonts w:hint="cs"/>
          <w:rtl/>
        </w:rPr>
        <w:t>(</w:t>
      </w:r>
      <w:r w:rsidR="00777DCB" w:rsidRPr="00A52585">
        <w:rPr>
          <w:rFonts w:hint="cs"/>
          <w:rtl/>
        </w:rPr>
        <w:t>الاستواء معلوم 0 والكيفية مجهولة 0 والسؤال عنه بدعه</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فلتجري آية</w:t>
      </w:r>
      <w:r w:rsidR="00777DCB" w:rsidRPr="00A52585">
        <w:rPr>
          <w:rFonts w:hint="cs"/>
          <w:bCs/>
        </w:rPr>
        <w:t xml:space="preserve"> </w:t>
      </w:r>
      <w:r w:rsidR="00777DCB" w:rsidRPr="00A52585">
        <w:rPr>
          <w:rFonts w:hint="cs"/>
          <w:bCs/>
          <w:rtl/>
        </w:rPr>
        <w:t xml:space="preserve">الاستواء والمجيء وقوله </w:t>
      </w:r>
      <w:r w:rsidRPr="00A52585">
        <w:rPr>
          <w:rFonts w:hint="cs"/>
          <w:bCs/>
          <w:rtl/>
        </w:rPr>
        <w:t>(</w:t>
      </w:r>
      <w:r w:rsidR="00777DCB" w:rsidRPr="00A52585">
        <w:rPr>
          <w:rFonts w:hint="cs"/>
          <w:bCs/>
          <w:rtl/>
        </w:rPr>
        <w:t>لما</w:t>
      </w:r>
      <w:r w:rsidR="00777DCB" w:rsidRPr="00A52585">
        <w:rPr>
          <w:rFonts w:hint="cs"/>
          <w:bCs/>
        </w:rPr>
        <w:t xml:space="preserve"> </w:t>
      </w:r>
      <w:r w:rsidR="00777DCB" w:rsidRPr="00A52585">
        <w:rPr>
          <w:rFonts w:hint="cs"/>
          <w:bCs/>
          <w:rtl/>
        </w:rPr>
        <w:t>خلقت بيدي</w:t>
      </w:r>
      <w:r w:rsidRPr="00A52585">
        <w:rPr>
          <w:rFonts w:hint="cs"/>
          <w:bCs/>
          <w:rtl/>
        </w:rPr>
        <w:t>)</w:t>
      </w:r>
      <w:r w:rsidR="00777DCB" w:rsidRPr="00A52585">
        <w:rPr>
          <w:rFonts w:hint="cs"/>
          <w:bCs/>
          <w:rtl/>
        </w:rPr>
        <w:t xml:space="preserve"> </w:t>
      </w:r>
      <w:r w:rsidR="00777DCB" w:rsidRPr="00A52585">
        <w:rPr>
          <w:rFonts w:hint="cs"/>
          <w:rtl/>
        </w:rPr>
        <w:t>[ص/75]</w:t>
      </w:r>
      <w:r w:rsidR="00777DCB" w:rsidRPr="00A52585">
        <w:rPr>
          <w:rFonts w:hint="cs"/>
          <w:bCs/>
          <w:rtl/>
        </w:rPr>
        <w:t xml:space="preserve"> وقوله </w:t>
      </w:r>
      <w:r w:rsidRPr="00A52585">
        <w:rPr>
          <w:rFonts w:hint="cs"/>
          <w:bCs/>
          <w:rtl/>
        </w:rPr>
        <w:t>(</w:t>
      </w:r>
      <w:r w:rsidR="00777DCB" w:rsidRPr="00A52585">
        <w:rPr>
          <w:rFonts w:hint="cs"/>
          <w:bCs/>
          <w:rtl/>
        </w:rPr>
        <w:t>ويبقى وجه ربك</w:t>
      </w:r>
      <w:r w:rsidRPr="00A52585">
        <w:rPr>
          <w:rFonts w:hint="cs"/>
          <w:bCs/>
          <w:rtl/>
        </w:rPr>
        <w:t>)</w:t>
      </w:r>
      <w:r w:rsidR="00777DCB" w:rsidRPr="00A52585">
        <w:rPr>
          <w:rFonts w:hint="cs"/>
          <w:rtl/>
        </w:rPr>
        <w:t>[الرحمن/ 27]</w:t>
      </w:r>
      <w:r w:rsidR="00777DCB" w:rsidRPr="00A52585">
        <w:rPr>
          <w:rFonts w:hint="cs"/>
          <w:bCs/>
          <w:rtl/>
        </w:rPr>
        <w:t xml:space="preserve"> وقوله </w:t>
      </w:r>
      <w:r w:rsidRPr="00A52585">
        <w:rPr>
          <w:rFonts w:hint="cs"/>
          <w:bCs/>
          <w:rtl/>
        </w:rPr>
        <w:t>(</w:t>
      </w:r>
      <w:r w:rsidR="00777DCB" w:rsidRPr="00A52585">
        <w:rPr>
          <w:rFonts w:hint="cs"/>
          <w:bCs/>
          <w:rtl/>
        </w:rPr>
        <w:t>تجرى بأعيننا</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rPr>
        <w:t>القمر /14]</w:t>
      </w:r>
      <w:r w:rsidR="00777DCB" w:rsidRPr="00A52585">
        <w:rPr>
          <w:rFonts w:hint="cs"/>
          <w:bCs/>
          <w:rtl/>
        </w:rPr>
        <w:t xml:space="preserve"> وما صح من أخبار الرسول صلى الله عليه وسلم</w:t>
      </w:r>
      <w:r w:rsidR="00777DCB" w:rsidRPr="00A52585">
        <w:rPr>
          <w:rFonts w:hint="cs"/>
          <w:bCs/>
        </w:rPr>
        <w:t xml:space="preserve"> </w:t>
      </w:r>
      <w:r w:rsidR="00777DCB" w:rsidRPr="00A52585">
        <w:rPr>
          <w:rFonts w:hint="cs"/>
          <w:bCs/>
          <w:rtl/>
        </w:rPr>
        <w:t>كخبر النزول وغيره على ما ذكرناه فهذا ما يجب لله تبارك وتعالى</w:t>
      </w:r>
      <w:r w:rsidR="00897A24" w:rsidRPr="00A52585">
        <w:rPr>
          <w:rFonts w:hint="cs"/>
          <w:bCs/>
          <w:rtl/>
        </w:rPr>
        <w:t>.</w:t>
      </w:r>
      <w:r w:rsidR="00777DCB" w:rsidRPr="00A52585">
        <w:rPr>
          <w:rFonts w:hint="cs"/>
          <w:rtl/>
        </w:rPr>
        <w:t>" أهـ</w:t>
      </w:r>
      <w:r w:rsidR="00777DCB" w:rsidRPr="00A52585">
        <w:rPr>
          <w:rFonts w:hint="cs"/>
          <w:bCs/>
          <w:rtl/>
        </w:rPr>
        <w:t xml:space="preserve"> </w:t>
      </w:r>
      <w:r w:rsidRPr="00A52585">
        <w:rPr>
          <w:rFonts w:eastAsia="Times New Roman" w:hint="cs"/>
          <w:rtl/>
          <w:lang w:eastAsia="ar-SA"/>
        </w:rPr>
        <w:t>[</w:t>
      </w:r>
      <w:proofErr w:type="spellStart"/>
      <w:r w:rsidR="00777DCB" w:rsidRPr="00A52585">
        <w:rPr>
          <w:rFonts w:eastAsia="Times New Roman" w:hint="cs"/>
          <w:rtl/>
          <w:lang w:eastAsia="ar-SA"/>
        </w:rPr>
        <w:t>العقيده</w:t>
      </w:r>
      <w:proofErr w:type="spellEnd"/>
      <w:r w:rsidR="00777DCB" w:rsidRPr="00A52585">
        <w:rPr>
          <w:rFonts w:eastAsia="Times New Roman" w:hint="cs"/>
          <w:rtl/>
          <w:lang w:eastAsia="ar-SA"/>
        </w:rPr>
        <w:t xml:space="preserve"> </w:t>
      </w:r>
      <w:proofErr w:type="spellStart"/>
      <w:r w:rsidR="00777DCB" w:rsidRPr="00A52585">
        <w:rPr>
          <w:rFonts w:eastAsia="Times New Roman" w:hint="cs"/>
          <w:rtl/>
          <w:lang w:eastAsia="ar-SA"/>
        </w:rPr>
        <w:t>النظاميه</w:t>
      </w:r>
      <w:proofErr w:type="spellEnd"/>
      <w:r w:rsidR="00777DCB" w:rsidRPr="00A52585">
        <w:rPr>
          <w:rFonts w:eastAsia="Times New Roman" w:hint="cs"/>
          <w:lang w:eastAsia="ar-SA"/>
        </w:rPr>
        <w:t xml:space="preserve"> </w:t>
      </w:r>
      <w:r w:rsidR="00777DCB" w:rsidRPr="00A52585">
        <w:rPr>
          <w:rFonts w:eastAsia="Times New Roman" w:hint="cs"/>
          <w:rtl/>
          <w:lang w:eastAsia="ar-SA"/>
        </w:rPr>
        <w:t>ص 32</w:t>
      </w:r>
      <w:r w:rsidRPr="00A52585">
        <w:rPr>
          <w:rFonts w:eastAsia="Times New Roman" w:hint="cs"/>
          <w:rtl/>
          <w:lang w:eastAsia="ar-SA"/>
        </w:rPr>
        <w:t>]</w:t>
      </w:r>
      <w:r w:rsidR="00DB731D" w:rsidRPr="00A52585">
        <w:rPr>
          <w:rFonts w:eastAsia="Times New Roman" w:hint="cs"/>
          <w:rtl/>
          <w:lang w:eastAsia="ar-SA"/>
        </w:rPr>
        <w:t>،</w:t>
      </w:r>
      <w:r w:rsidRPr="00A52585">
        <w:rPr>
          <w:rFonts w:eastAsia="Times New Roman" w:hint="cs"/>
          <w:rtl/>
          <w:lang w:eastAsia="ar-SA"/>
        </w:rPr>
        <w:t xml:space="preserve"> </w:t>
      </w:r>
      <w:r w:rsidR="00777DCB" w:rsidRPr="00A52585">
        <w:rPr>
          <w:rFonts w:hint="cs"/>
          <w:bCs/>
          <w:rtl/>
        </w:rPr>
        <w:t>وقال الزرقاني</w:t>
      </w:r>
      <w:r w:rsidR="00777DCB" w:rsidRPr="00A52585">
        <w:rPr>
          <w:rFonts w:hint="cs"/>
          <w:rtl/>
        </w:rPr>
        <w:t xml:space="preserve"> رحمه الله - في درة من كلامه -</w:t>
      </w:r>
      <w:r w:rsidRPr="00A52585">
        <w:rPr>
          <w:rFonts w:hint="cs"/>
          <w:rtl/>
        </w:rPr>
        <w:t>:</w:t>
      </w:r>
      <w:r w:rsidR="00777DCB" w:rsidRPr="00A52585">
        <w:rPr>
          <w:rFonts w:hint="cs"/>
          <w:rtl/>
        </w:rPr>
        <w:t xml:space="preserve"> " {الرحمن على</w:t>
      </w:r>
      <w:r w:rsidRPr="00A52585">
        <w:rPr>
          <w:rFonts w:hint="cs"/>
          <w:rtl/>
        </w:rPr>
        <w:t xml:space="preserve"> </w:t>
      </w:r>
      <w:r w:rsidR="00777DCB" w:rsidRPr="00A52585">
        <w:rPr>
          <w:rFonts w:hint="cs"/>
          <w:rtl/>
        </w:rPr>
        <w:t>العرش استوى</w:t>
      </w:r>
      <w:r w:rsidRPr="00A52585">
        <w:rPr>
          <w:rFonts w:hint="cs"/>
          <w:rtl/>
        </w:rPr>
        <w:t xml:space="preserve">} </w:t>
      </w:r>
      <w:r w:rsidR="00777DCB" w:rsidRPr="00A52585">
        <w:rPr>
          <w:rFonts w:hint="cs"/>
          <w:rtl/>
        </w:rPr>
        <w:t>فنقول يتفق الجميع من سلف وخلف على أن ظاهر الاستواء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Pr="00A52585">
        <w:rPr>
          <w:rFonts w:hint="cs"/>
          <w:rtl/>
        </w:rPr>
        <w:t xml:space="preserve"> </w:t>
      </w:r>
      <w:r w:rsidR="00777DCB" w:rsidRPr="00A52585">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97A24" w:rsidRPr="00A52585">
        <w:rPr>
          <w:rFonts w:hint="cs"/>
          <w:rtl/>
        </w:rPr>
        <w:t>.</w:t>
      </w:r>
      <w:r w:rsidR="00777DCB" w:rsidRPr="00A52585">
        <w:rPr>
          <w:rFonts w:hint="cs"/>
          <w:rtl/>
        </w:rPr>
        <w:t>.. إلى أن قال</w:t>
      </w:r>
      <w:r w:rsidRPr="00A52585">
        <w:rPr>
          <w:rFonts w:hint="cs"/>
          <w:rtl/>
        </w:rPr>
        <w:t>:</w:t>
      </w:r>
      <w:r w:rsidR="00777DCB" w:rsidRPr="00A52585">
        <w:rPr>
          <w:rFonts w:hint="cs"/>
          <w:rtl/>
        </w:rPr>
        <w:t xml:space="preserve"> لقد أسرف بعض الناس في هذا العصر فخاضوا في متشابه الصفات بغير حق وأتوا في حديثهم عنها وتعليقهم عليها بما لم </w:t>
      </w:r>
      <w:r w:rsidR="00777DCB" w:rsidRPr="00A52585">
        <w:rPr>
          <w:rFonts w:hint="cs"/>
          <w:rtl/>
        </w:rPr>
        <w:lastRenderedPageBreak/>
        <w:t xml:space="preserve">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777DCB" w:rsidRPr="00A52585">
        <w:rPr>
          <w:rFonts w:hint="cs"/>
          <w:rtl/>
        </w:rPr>
        <w:t>متركبا</w:t>
      </w:r>
      <w:proofErr w:type="spellEnd"/>
      <w:r w:rsidR="00777DCB" w:rsidRPr="00A52585">
        <w:rPr>
          <w:rFonts w:hint="cs"/>
          <w:rtl/>
        </w:rPr>
        <w:t xml:space="preserve"> ولا محتاجا لأحد ولا إلى مكان ولا إلى زمان ولا نحو ذلك ولقد جاء القرآن بهذا في </w:t>
      </w:r>
      <w:proofErr w:type="spellStart"/>
      <w:r w:rsidR="00777DCB" w:rsidRPr="00A52585">
        <w:rPr>
          <w:rFonts w:hint="cs"/>
          <w:rtl/>
        </w:rPr>
        <w:t>محكماته</w:t>
      </w:r>
      <w:proofErr w:type="spellEnd"/>
      <w:r w:rsidR="00777DCB" w:rsidRPr="00A52585">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A52585">
        <w:rPr>
          <w:rFonts w:hint="cs"/>
          <w:rtl/>
        </w:rPr>
        <w:t xml:space="preserve"> </w:t>
      </w:r>
      <w:r w:rsidR="00777DCB" w:rsidRPr="00A52585">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777DCB" w:rsidRPr="00A52585">
        <w:rPr>
          <w:rFonts w:hint="cs"/>
          <w:rtl/>
        </w:rPr>
        <w:t>يرضاه</w:t>
      </w:r>
      <w:proofErr w:type="spellEnd"/>
      <w:r w:rsidR="00777DCB" w:rsidRPr="00A52585">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غير مستقر أو متحيز غير متحيز وجسم غير جسم أو أن الاستواء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ليس هو الاستواء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w:t>
      </w:r>
      <w:r w:rsidR="00777DCB" w:rsidRPr="00A52585">
        <w:rPr>
          <w:rFonts w:hint="cs"/>
          <w:rtl/>
        </w:rPr>
        <w:lastRenderedPageBreak/>
        <w:t xml:space="preserve">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77DCB" w:rsidRPr="00A52585">
        <w:rPr>
          <w:rFonts w:hint="cs"/>
          <w:rtl/>
        </w:rPr>
        <w:t>يواجهونهم</w:t>
      </w:r>
      <w:proofErr w:type="spellEnd"/>
      <w:r w:rsidR="00777DCB" w:rsidRPr="00A52585">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777DCB" w:rsidRPr="00A52585">
        <w:rPr>
          <w:rFonts w:hint="cs"/>
          <w:rtl/>
        </w:rPr>
        <w:t>صبيغ</w:t>
      </w:r>
      <w:proofErr w:type="spellEnd"/>
      <w:r w:rsidR="00777DCB" w:rsidRPr="00A52585">
        <w:rPr>
          <w:rFonts w:hint="cs"/>
          <w:rtl/>
        </w:rPr>
        <w:t xml:space="preserve"> وجعل مالكا يقول ما يقول ويفعل ما يفعل بالذي سأله عن الاستواء وقد مر بك هذا وذاك</w:t>
      </w:r>
      <w:r w:rsidR="00DB731D" w:rsidRPr="00A52585">
        <w:rPr>
          <w:rFonts w:hint="cs"/>
          <w:rtl/>
        </w:rPr>
        <w:t>،</w:t>
      </w:r>
      <w:r w:rsidR="00777DCB" w:rsidRPr="00A52585">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77DCB" w:rsidRPr="00A52585">
        <w:rPr>
          <w:rFonts w:hint="cs"/>
          <w:rtl/>
        </w:rPr>
        <w:t>ويرضاه</w:t>
      </w:r>
      <w:proofErr w:type="spellEnd"/>
      <w:r w:rsidR="00777DCB" w:rsidRPr="00A52585">
        <w:rPr>
          <w:rFonts w:hint="cs"/>
          <w:rtl/>
        </w:rPr>
        <w:t xml:space="preserve"> " أ هـ </w:t>
      </w:r>
      <w:r w:rsidRPr="00A52585">
        <w:rPr>
          <w:rFonts w:hint="cs"/>
          <w:rtl/>
        </w:rPr>
        <w:t>[</w:t>
      </w:r>
      <w:r w:rsidR="00777DCB" w:rsidRPr="00A52585">
        <w:rPr>
          <w:rFonts w:hint="cs"/>
          <w:rtl/>
        </w:rPr>
        <w:t>مناهل العرفان ج: 2 ص: 208/211]</w:t>
      </w:r>
      <w:r w:rsidR="00DB731D" w:rsidRPr="00A52585">
        <w:rPr>
          <w:rFonts w:hint="cs"/>
          <w:rtl/>
        </w:rPr>
        <w:t>،</w:t>
      </w:r>
      <w:r w:rsidRPr="00A52585">
        <w:rPr>
          <w:rFonts w:hint="cs"/>
          <w:rtl/>
        </w:rPr>
        <w:t xml:space="preserve"> </w:t>
      </w:r>
      <w:r w:rsidR="00777DCB" w:rsidRPr="00A52585">
        <w:rPr>
          <w:rFonts w:hint="cs"/>
          <w:bCs/>
          <w:rtl/>
        </w:rPr>
        <w:t>ونقل النووي عن القاضي عياض المالكي</w:t>
      </w:r>
      <w:r w:rsidRPr="00A52585">
        <w:rPr>
          <w:rFonts w:hint="cs"/>
          <w:rtl/>
        </w:rPr>
        <w:t>:</w:t>
      </w:r>
      <w:r w:rsidR="00777DCB" w:rsidRPr="00A52585">
        <w:rPr>
          <w:rFonts w:hint="cs"/>
          <w:rtl/>
        </w:rPr>
        <w:t xml:space="preserve"> " أنه لا خلاف بين المسلمين قاطبه </w:t>
      </w:r>
      <w:proofErr w:type="spellStart"/>
      <w:r w:rsidR="00777DCB" w:rsidRPr="00A52585">
        <w:rPr>
          <w:rFonts w:hint="cs"/>
          <w:rtl/>
        </w:rPr>
        <w:t>فقيههم</w:t>
      </w:r>
      <w:proofErr w:type="spellEnd"/>
      <w:r w:rsidR="00777DCB" w:rsidRPr="00A52585">
        <w:rPr>
          <w:rFonts w:hint="cs"/>
          <w:rtl/>
        </w:rPr>
        <w:t xml:space="preserve"> ومحدثهم </w:t>
      </w:r>
      <w:proofErr w:type="spellStart"/>
      <w:r w:rsidR="00777DCB" w:rsidRPr="00A52585">
        <w:rPr>
          <w:rFonts w:hint="cs"/>
          <w:rtl/>
        </w:rPr>
        <w:t>ومتكلمهم</w:t>
      </w:r>
      <w:proofErr w:type="spellEnd"/>
      <w:r w:rsidR="00777DCB" w:rsidRPr="00A52585">
        <w:rPr>
          <w:rFonts w:hint="cs"/>
          <w:rtl/>
        </w:rPr>
        <w:t xml:space="preserve"> ونظائرهم ومقلدهم أن الظواهر الواردة بذكر الله في السماء كقوله تعالى</w:t>
      </w:r>
      <w:r w:rsidRPr="00A52585">
        <w:rPr>
          <w:rFonts w:hint="cs"/>
          <w:rtl/>
        </w:rPr>
        <w:t>:</w:t>
      </w:r>
      <w:r w:rsidR="00777DCB" w:rsidRPr="00A52585">
        <w:rPr>
          <w:rFonts w:hint="cs"/>
          <w:rtl/>
        </w:rPr>
        <w:t xml:space="preserve"> {ءأمنتم من في السماء}</w:t>
      </w:r>
      <w:r w:rsidRPr="00A52585">
        <w:rPr>
          <w:rFonts w:hint="cs"/>
          <w:rtl/>
        </w:rPr>
        <w:t xml:space="preserve"> </w:t>
      </w:r>
      <w:r w:rsidR="00777DCB" w:rsidRPr="00A52585">
        <w:rPr>
          <w:rFonts w:hint="cs"/>
          <w:rtl/>
        </w:rPr>
        <w:t xml:space="preserve">ونحوه ليس على ظاهرها بل </w:t>
      </w:r>
      <w:proofErr w:type="spellStart"/>
      <w:r w:rsidR="00777DCB" w:rsidRPr="00A52585">
        <w:rPr>
          <w:rFonts w:hint="cs"/>
          <w:rtl/>
        </w:rPr>
        <w:t>متأولة</w:t>
      </w:r>
      <w:proofErr w:type="spellEnd"/>
      <w:r w:rsidR="00777DCB" w:rsidRPr="00A52585">
        <w:rPr>
          <w:rFonts w:hint="cs"/>
          <w:rtl/>
        </w:rPr>
        <w:t xml:space="preserve"> عند جميعهم " أهـ </w:t>
      </w:r>
      <w:r w:rsidRPr="00A52585">
        <w:rPr>
          <w:rFonts w:hint="cs"/>
          <w:rtl/>
        </w:rPr>
        <w:t>[</w:t>
      </w:r>
      <w:r w:rsidR="00777DCB" w:rsidRPr="00A52585">
        <w:rPr>
          <w:rFonts w:hint="cs"/>
          <w:rtl/>
        </w:rPr>
        <w:t>شرح مسلم 5/24</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النووي في المجموع</w:t>
      </w:r>
      <w:r w:rsidRPr="00A52585">
        <w:rPr>
          <w:rFonts w:hint="cs"/>
          <w:rtl/>
        </w:rPr>
        <w:t>:</w:t>
      </w:r>
      <w:r w:rsidR="00777DCB" w:rsidRPr="00A52585">
        <w:rPr>
          <w:rFonts w:hint="cs"/>
          <w:rtl/>
        </w:rPr>
        <w:t xml:space="preserve"> " وعن أبي هريرة رضي الله عنه أنّ رسول الله صلى الله عليه وسلم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تبارك وتعالى في كل ليلة حين يبقى من ثلث الليل الآخر يقول من يدعو فأستجيب له، من يسألني فأعطيه، من يستغفرني فأغفر له</w:t>
      </w:r>
      <w:r w:rsidRPr="00A52585">
        <w:rPr>
          <w:rFonts w:hint="cs"/>
          <w:rtl/>
        </w:rPr>
        <w:t>)</w:t>
      </w:r>
      <w:r w:rsidR="00777DCB" w:rsidRPr="00A52585">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Pr="00A52585">
        <w:rPr>
          <w:rFonts w:hint="cs"/>
          <w:rtl/>
        </w:rPr>
        <w:t xml:space="preserve"> </w:t>
      </w:r>
      <w:r w:rsidR="00777DCB" w:rsidRPr="00A52585">
        <w:rPr>
          <w:rFonts w:hint="cs"/>
          <w:rtl/>
        </w:rPr>
        <w:t>تنزيه الله</w:t>
      </w:r>
      <w:r w:rsidRPr="00A52585">
        <w:rPr>
          <w:rFonts w:hint="cs"/>
          <w:rtl/>
        </w:rPr>
        <w:t xml:space="preserve"> </w:t>
      </w:r>
      <w:proofErr w:type="spellStart"/>
      <w:r w:rsidR="00777DCB" w:rsidRPr="00A52585">
        <w:rPr>
          <w:rFonts w:hint="cs"/>
          <w:rtl/>
        </w:rPr>
        <w:t>بحانه</w:t>
      </w:r>
      <w:proofErr w:type="spellEnd"/>
      <w:r w:rsidR="00777DCB" w:rsidRPr="00A52585">
        <w:rPr>
          <w:rFonts w:hint="cs"/>
          <w:rtl/>
        </w:rPr>
        <w:t xml:space="preserve"> عن صفات المحدث لقوله تعالى ليس كمثله شيء وهذا مذهب السلف وجماعة من المتكلمين، وحاصله أن يقال لا نعلم المراد بهذا </w:t>
      </w:r>
      <w:r w:rsidR="00777DCB" w:rsidRPr="00A52585">
        <w:rPr>
          <w:rFonts w:hint="cs"/>
          <w:bCs/>
          <w:rtl/>
        </w:rPr>
        <w:t xml:space="preserve">ولكن نؤمن به مع اعتقادنا أن ظاهره غير مراد، وله معنى يليق بالله تعالى والله أعلم </w:t>
      </w:r>
      <w:r w:rsidR="00777DCB" w:rsidRPr="00A52585">
        <w:rPr>
          <w:rFonts w:hint="cs"/>
          <w:rtl/>
        </w:rPr>
        <w:t xml:space="preserve">" </w:t>
      </w:r>
      <w:r w:rsidRPr="00A52585">
        <w:rPr>
          <w:rFonts w:hint="cs"/>
          <w:rtl/>
        </w:rPr>
        <w:t>[</w:t>
      </w:r>
      <w:r w:rsidR="00777DCB" w:rsidRPr="00A52585">
        <w:rPr>
          <w:rFonts w:hint="cs"/>
          <w:rtl/>
        </w:rPr>
        <w:t>المجموع ج: 4 ص: 51</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القرطبي رحمه الله</w:t>
      </w:r>
      <w:r w:rsidRPr="00A52585">
        <w:rPr>
          <w:rFonts w:hint="cs"/>
          <w:rtl/>
        </w:rPr>
        <w:t>:</w:t>
      </w:r>
      <w:r w:rsidR="00777DCB" w:rsidRPr="00A52585">
        <w:rPr>
          <w:rFonts w:hint="cs"/>
          <w:rtl/>
        </w:rPr>
        <w:t xml:space="preserve"> " اعتقاد ظواهر المتشابه كما فعلته</w:t>
      </w:r>
      <w:r w:rsidRPr="00A52585">
        <w:rPr>
          <w:rFonts w:hint="cs"/>
          <w:rtl/>
        </w:rPr>
        <w:t xml:space="preserve"> </w:t>
      </w:r>
      <w:r w:rsidR="00777DCB" w:rsidRPr="00A52585">
        <w:rPr>
          <w:rFonts w:hint="cs"/>
          <w:rtl/>
        </w:rPr>
        <w:t>المجسمة</w:t>
      </w:r>
      <w:r w:rsidRPr="00A52585">
        <w:rPr>
          <w:rFonts w:hint="cs"/>
          <w:rtl/>
        </w:rPr>
        <w:t xml:space="preserve"> </w:t>
      </w:r>
      <w:r w:rsidR="00777DCB" w:rsidRPr="00A52585">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Pr="00A52585">
        <w:rPr>
          <w:rFonts w:hint="cs"/>
          <w:rtl/>
        </w:rPr>
        <w:t>[</w:t>
      </w:r>
      <w:r w:rsidR="00777DCB" w:rsidRPr="00A52585">
        <w:rPr>
          <w:rFonts w:hint="cs"/>
          <w:rtl/>
        </w:rPr>
        <w:t xml:space="preserve">تفسير </w:t>
      </w:r>
      <w:r w:rsidR="00777DCB" w:rsidRPr="00A52585">
        <w:rPr>
          <w:rFonts w:hint="cs"/>
          <w:rtl/>
        </w:rPr>
        <w:lastRenderedPageBreak/>
        <w:t>القرطبي ج: 4 ص: 14</w:t>
      </w:r>
      <w:r w:rsidRPr="00A52585">
        <w:rPr>
          <w:rFonts w:hint="cs"/>
          <w:rtl/>
        </w:rPr>
        <w:t>]</w:t>
      </w:r>
      <w:r w:rsidR="00DB731D" w:rsidRPr="00A52585">
        <w:rPr>
          <w:rFonts w:hint="cs"/>
          <w:rtl/>
        </w:rPr>
        <w:t>،</w:t>
      </w:r>
      <w:r w:rsidR="00777DCB" w:rsidRPr="00A52585">
        <w:rPr>
          <w:rFonts w:hint="cs"/>
          <w:rtl/>
        </w:rPr>
        <w:t xml:space="preserve"> وقال رحمه الله في </w:t>
      </w:r>
      <w:proofErr w:type="spellStart"/>
      <w:r w:rsidR="00777DCB" w:rsidRPr="00A52585">
        <w:rPr>
          <w:rFonts w:hint="cs"/>
          <w:rtl/>
        </w:rPr>
        <w:t>المفهم</w:t>
      </w:r>
      <w:proofErr w:type="spellEnd"/>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 xml:space="preserve">يمين الله </w:t>
      </w:r>
      <w:proofErr w:type="spellStart"/>
      <w:r w:rsidR="00777DCB" w:rsidRPr="00A52585">
        <w:rPr>
          <w:rFonts w:hint="cs"/>
          <w:rtl/>
        </w:rPr>
        <w:t>ملأى</w:t>
      </w:r>
      <w:proofErr w:type="spellEnd"/>
      <w:r w:rsidRPr="00A52585">
        <w:rPr>
          <w:rFonts w:hint="cs"/>
          <w:rtl/>
        </w:rPr>
        <w:t>):</w:t>
      </w:r>
      <w:r w:rsidR="00777DCB" w:rsidRPr="00A52585">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Pr="00A52585">
        <w:rPr>
          <w:rFonts w:hint="cs"/>
          <w:rtl/>
        </w:rPr>
        <w:t>(</w:t>
      </w:r>
      <w:r w:rsidR="00777DCB" w:rsidRPr="00A52585">
        <w:rPr>
          <w:rFonts w:hint="cs"/>
          <w:rtl/>
        </w:rPr>
        <w:t>لأخذنا منه باليمين</w:t>
      </w:r>
      <w:r w:rsidRPr="00A52585">
        <w:rPr>
          <w:rFonts w:hint="cs"/>
          <w:rtl/>
        </w:rPr>
        <w:t>)</w:t>
      </w:r>
      <w:r w:rsidR="00777DCB" w:rsidRPr="00A52585">
        <w:rPr>
          <w:rFonts w:hint="cs"/>
          <w:rtl/>
        </w:rPr>
        <w:t xml:space="preserve"> واليد عبارة عن القدرة وتسميتها باليمين على ما </w:t>
      </w:r>
      <w:proofErr w:type="spellStart"/>
      <w:r w:rsidR="00777DCB" w:rsidRPr="00A52585">
        <w:rPr>
          <w:rFonts w:hint="cs"/>
          <w:rtl/>
        </w:rPr>
        <w:t>تعارفناه</w:t>
      </w:r>
      <w:proofErr w:type="spellEnd"/>
      <w:r w:rsidR="00777DCB" w:rsidRPr="00A52585">
        <w:rPr>
          <w:rFonts w:hint="cs"/>
          <w:rtl/>
        </w:rPr>
        <w:t xml:space="preserve"> فيما بيننا من أن القوة والبطش والتصرف إنما هو باليمين ولأنه مشتق من اليمين والبركة</w:t>
      </w:r>
      <w:r w:rsidR="00DB731D" w:rsidRPr="00A52585">
        <w:rPr>
          <w:rFonts w:hint="cs"/>
          <w:rtl/>
        </w:rPr>
        <w:t>،</w:t>
      </w:r>
      <w:r w:rsidR="00777DCB" w:rsidRPr="00A52585">
        <w:rPr>
          <w:rFonts w:hint="cs"/>
          <w:rtl/>
        </w:rPr>
        <w:t xml:space="preserve"> وكذلك قال في حديث آخر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وكلتا يديه يمين</w:t>
      </w:r>
      <w:r w:rsidRPr="00A52585">
        <w:rPr>
          <w:rFonts w:hint="cs"/>
          <w:rtl/>
        </w:rPr>
        <w:t>)</w:t>
      </w:r>
      <w:r w:rsidR="00777DCB" w:rsidRPr="00A52585">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777DCB" w:rsidRPr="00A52585">
        <w:rPr>
          <w:rFonts w:hint="cs"/>
          <w:rtl/>
        </w:rPr>
        <w:t>متأولة</w:t>
      </w:r>
      <w:proofErr w:type="spellEnd"/>
      <w:r w:rsidR="00777DCB" w:rsidRPr="00A52585">
        <w:rPr>
          <w:rFonts w:hint="cs"/>
          <w:rtl/>
        </w:rPr>
        <w:t xml:space="preserve"> في حقه تعالى </w:t>
      </w:r>
      <w:r w:rsidR="00777DCB" w:rsidRPr="00A52585">
        <w:rPr>
          <w:rFonts w:hint="cs"/>
          <w:bCs/>
          <w:rtl/>
        </w:rPr>
        <w:t>لاستحالة حملها على ظواهرها</w:t>
      </w:r>
      <w:r w:rsidR="00777DCB" w:rsidRPr="00A52585">
        <w:rPr>
          <w:rFonts w:hint="cs"/>
          <w:rtl/>
        </w:rPr>
        <w:t xml:space="preserve"> " أهـ </w:t>
      </w:r>
      <w:r w:rsidRPr="00A52585">
        <w:rPr>
          <w:rFonts w:hint="cs"/>
          <w:rtl/>
        </w:rPr>
        <w:t>[</w:t>
      </w:r>
      <w:proofErr w:type="spellStart"/>
      <w:r w:rsidR="00777DCB" w:rsidRPr="00A52585">
        <w:rPr>
          <w:rFonts w:hint="cs"/>
          <w:rtl/>
        </w:rPr>
        <w:t>المفهم</w:t>
      </w:r>
      <w:proofErr w:type="spellEnd"/>
      <w:r w:rsidR="00777DCB" w:rsidRPr="00A52585">
        <w:rPr>
          <w:rFonts w:hint="cs"/>
          <w:rtl/>
        </w:rPr>
        <w:t xml:space="preserve"> ج3ص37</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الحافظ ابن كثير في تفسيره</w:t>
      </w:r>
      <w:r w:rsidRPr="00A52585">
        <w:rPr>
          <w:rFonts w:hint="cs"/>
          <w:bCs/>
          <w:rtl/>
        </w:rPr>
        <w:t>:</w:t>
      </w:r>
      <w:r w:rsidR="00777DCB" w:rsidRPr="00A52585">
        <w:rPr>
          <w:rFonts w:hint="cs"/>
          <w:rtl/>
        </w:rPr>
        <w:t xml:space="preserve"> " </w:t>
      </w:r>
      <w:r w:rsidRPr="00A52585">
        <w:rPr>
          <w:rFonts w:hint="cs"/>
          <w:rtl/>
        </w:rPr>
        <w:t>{</w:t>
      </w:r>
      <w:r w:rsidR="00777DCB" w:rsidRPr="00A52585">
        <w:rPr>
          <w:rFonts w:hint="cs"/>
          <w:rtl/>
        </w:rPr>
        <w:t>ثم استو ى على العرش</w:t>
      </w:r>
      <w:r w:rsidRPr="00A52585">
        <w:rPr>
          <w:rFonts w:hint="cs"/>
          <w:rtl/>
        </w:rPr>
        <w:t>}</w:t>
      </w:r>
      <w:r w:rsidR="00777DCB" w:rsidRPr="00A52585">
        <w:rPr>
          <w:rFonts w:hint="cs"/>
          <w:rtl/>
        </w:rPr>
        <w:t xml:space="preserve"> وللناس في هذا المقام مقالات كثيرة جدا ليس هذا موضع بسطها , وإنا نسلك في هذا المقام مذهب السلف </w:t>
      </w:r>
      <w:proofErr w:type="spellStart"/>
      <w:r w:rsidR="00777DCB" w:rsidRPr="00A52585">
        <w:rPr>
          <w:rFonts w:hint="cs"/>
          <w:rtl/>
        </w:rPr>
        <w:t>الصالح</w:t>
      </w:r>
      <w:r w:rsidR="00897A24" w:rsidRPr="00A52585">
        <w:rPr>
          <w:rFonts w:hint="cs"/>
          <w:rtl/>
        </w:rPr>
        <w:t>.</w:t>
      </w:r>
      <w:r w:rsidR="00777DCB" w:rsidRPr="00A52585">
        <w:rPr>
          <w:rFonts w:hint="cs"/>
          <w:rtl/>
        </w:rPr>
        <w:t>مالك</w:t>
      </w:r>
      <w:proofErr w:type="spellEnd"/>
      <w:r w:rsidR="00777DCB" w:rsidRPr="00A52585">
        <w:rPr>
          <w:rFonts w:hint="cs"/>
          <w:rtl/>
        </w:rPr>
        <w:t xml:space="preserve"> الأوزاعي , والثوري ,والليث ابن سعد ,والشافعي ,وأحمد ,واسحاق بن </w:t>
      </w:r>
      <w:proofErr w:type="spellStart"/>
      <w:r w:rsidR="00777DCB" w:rsidRPr="00A52585">
        <w:rPr>
          <w:rFonts w:hint="cs"/>
          <w:rtl/>
        </w:rPr>
        <w:t>راهوية</w:t>
      </w:r>
      <w:proofErr w:type="spellEnd"/>
      <w:r w:rsidR="00777DCB" w:rsidRPr="00A52585">
        <w:rPr>
          <w:rFonts w:hint="cs"/>
          <w:rtl/>
        </w:rPr>
        <w:t xml:space="preserve"> , وغيرهم من أئمة المسلمين قديما وحديثا ,وهو إمرارها كما جاءت من غير تكييف ولا تشبيه ولا تعطيل , </w:t>
      </w:r>
      <w:r w:rsidR="00777DCB" w:rsidRPr="00A52585">
        <w:rPr>
          <w:rFonts w:hint="cs"/>
          <w:bCs/>
          <w:rtl/>
        </w:rPr>
        <w:t>والظاهر المتبادر الى أذهان المشبهين , منفي عن الله , لا يشبهه شيء من خلقه</w:t>
      </w:r>
      <w:r w:rsidR="00777DCB" w:rsidRPr="00A52585">
        <w:rPr>
          <w:rFonts w:hint="cs"/>
          <w:rtl/>
        </w:rPr>
        <w:t xml:space="preserve"> </w:t>
      </w:r>
      <w:r w:rsidRPr="00A52585">
        <w:rPr>
          <w:rFonts w:hint="cs"/>
          <w:rtl/>
        </w:rPr>
        <w:t>{</w:t>
      </w:r>
      <w:r w:rsidR="00777DCB" w:rsidRPr="00A52585">
        <w:rPr>
          <w:rFonts w:hint="cs"/>
          <w:rtl/>
        </w:rPr>
        <w:t>ليس كمثله شيء وهو السميع البصير</w:t>
      </w:r>
      <w:r w:rsidRPr="00A52585">
        <w:rPr>
          <w:rFonts w:hint="cs"/>
          <w:rtl/>
        </w:rPr>
        <w:t>}</w:t>
      </w:r>
      <w:r w:rsidR="00777DCB" w:rsidRPr="00A52585">
        <w:rPr>
          <w:rFonts w:hint="cs"/>
          <w:rtl/>
        </w:rPr>
        <w:t xml:space="preserve"> " أهـ</w:t>
      </w:r>
      <w:r w:rsidRPr="00A52585">
        <w:rPr>
          <w:rFonts w:hint="cs"/>
          <w:rtl/>
        </w:rPr>
        <w:t xml:space="preserve"> [</w:t>
      </w:r>
      <w:r w:rsidR="00777DCB" w:rsidRPr="00A52585">
        <w:rPr>
          <w:rFonts w:hint="cs"/>
          <w:rtl/>
        </w:rPr>
        <w:t>تفسير بن كثير الآية 54 سورة الأعراف</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وجاء في جواهر القرآن</w:t>
      </w:r>
      <w:r w:rsidRPr="00A52585">
        <w:rPr>
          <w:rFonts w:hint="cs"/>
          <w:rtl/>
        </w:rPr>
        <w:t xml:space="preserve">: </w:t>
      </w:r>
      <w:r w:rsidR="00777DCB" w:rsidRPr="00A52585">
        <w:rPr>
          <w:rFonts w:hint="cs"/>
          <w:rtl/>
        </w:rPr>
        <w:t xml:space="preserve">" </w:t>
      </w:r>
      <w:r w:rsidR="00777DCB" w:rsidRPr="00A52585">
        <w:rPr>
          <w:rFonts w:hint="cs"/>
          <w:bCs/>
          <w:u w:val="single"/>
          <w:rtl/>
        </w:rPr>
        <w:t>تطبيق وتمثيل</w:t>
      </w:r>
      <w:r w:rsidRPr="00A52585">
        <w:rPr>
          <w:rFonts w:hint="cs"/>
          <w:rtl/>
        </w:rPr>
        <w:t>:</w:t>
      </w:r>
      <w:r w:rsidR="00777DCB" w:rsidRPr="00A52585">
        <w:rPr>
          <w:rFonts w:hint="cs"/>
          <w:rtl/>
        </w:rPr>
        <w:t xml:space="preserve"> ولنطبق هذه المذاهب على قوله سبحانه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 على العرش استوى</w:t>
      </w:r>
      <w:r w:rsidRPr="00A52585">
        <w:rPr>
          <w:rFonts w:hint="cs"/>
          <w:rtl/>
        </w:rPr>
        <w:t>}</w:t>
      </w:r>
      <w:r w:rsidR="00777DCB" w:rsidRPr="00A52585">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الغني الحميد</w:t>
      </w:r>
      <w:r w:rsidRPr="00A52585">
        <w:rPr>
          <w:rFonts w:hint="cs"/>
          <w:rtl/>
        </w:rPr>
        <w:t>}</w:t>
      </w:r>
      <w:r w:rsidR="00DB731D" w:rsidRPr="00A52585">
        <w:rPr>
          <w:rFonts w:hint="cs"/>
          <w:rtl/>
        </w:rPr>
        <w:t>،</w:t>
      </w:r>
      <w:r w:rsidR="00777DCB" w:rsidRPr="00A52585">
        <w:rPr>
          <w:rFonts w:hint="cs"/>
          <w:rtl/>
        </w:rPr>
        <w:t xml:space="preserve"> فلو أراد هذا الظاهر لكان متناقضا " أهـ </w:t>
      </w:r>
      <w:r w:rsidRPr="00A52585">
        <w:rPr>
          <w:rFonts w:hint="cs"/>
          <w:rtl/>
        </w:rPr>
        <w:t>[</w:t>
      </w:r>
      <w:r w:rsidR="00777DCB" w:rsidRPr="00A52585">
        <w:rPr>
          <w:rFonts w:hint="cs"/>
          <w:rtl/>
        </w:rPr>
        <w:t>جواهر القرآن ج: 2 ص: 208]</w:t>
      </w:r>
      <w:r w:rsidR="00DB731D" w:rsidRPr="00A52585">
        <w:rPr>
          <w:rFonts w:hint="cs"/>
          <w:rtl/>
        </w:rPr>
        <w:t>،</w:t>
      </w:r>
      <w:r w:rsidRPr="00A52585">
        <w:rPr>
          <w:rFonts w:hint="cs"/>
          <w:rtl/>
        </w:rPr>
        <w:t xml:space="preserve"> </w:t>
      </w:r>
      <w:r w:rsidR="00777DCB" w:rsidRPr="00A52585">
        <w:rPr>
          <w:rFonts w:hint="cs"/>
          <w:bCs/>
          <w:rtl/>
        </w:rPr>
        <w:t>وقال العلامة القاضي ابن جماعة</w:t>
      </w:r>
      <w:r w:rsidRPr="00A52585">
        <w:rPr>
          <w:rFonts w:hint="cs"/>
          <w:rtl/>
        </w:rPr>
        <w:t>:</w:t>
      </w:r>
      <w:r w:rsidR="00777DCB" w:rsidRPr="00A52585">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777DCB" w:rsidRPr="00A52585">
        <w:rPr>
          <w:rFonts w:hint="cs"/>
          <w:rtl/>
        </w:rPr>
        <w:t>المؤولون</w:t>
      </w:r>
      <w:proofErr w:type="spellEnd"/>
      <w:r w:rsidR="00777DCB" w:rsidRPr="00A52585">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Pr="00A52585">
        <w:rPr>
          <w:rFonts w:hint="cs"/>
          <w:rtl/>
        </w:rPr>
        <w:t xml:space="preserve"> </w:t>
      </w:r>
      <w:r w:rsidR="00777DCB" w:rsidRPr="00A52585">
        <w:rPr>
          <w:rFonts w:hint="cs"/>
          <w:rtl/>
        </w:rPr>
        <w:t xml:space="preserve">" أهـ </w:t>
      </w:r>
      <w:r w:rsidRPr="00A52585">
        <w:rPr>
          <w:rFonts w:hint="cs"/>
          <w:rtl/>
        </w:rPr>
        <w:t>[</w:t>
      </w:r>
      <w:r w:rsidR="00777DCB" w:rsidRPr="00A52585">
        <w:rPr>
          <w:rFonts w:hint="cs"/>
          <w:rtl/>
        </w:rPr>
        <w:t>إيضاح الدليل في قطع حجج أهل التعطيل ج: 1 ص: 103</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 xml:space="preserve">وقال الزركشي </w:t>
      </w:r>
      <w:r w:rsidR="00777DCB" w:rsidRPr="00A52585">
        <w:rPr>
          <w:rFonts w:hint="cs"/>
          <w:bCs/>
          <w:rtl/>
        </w:rPr>
        <w:lastRenderedPageBreak/>
        <w:t>في البرهان في علوم القرآن</w:t>
      </w:r>
      <w:r w:rsidRPr="00A52585">
        <w:rPr>
          <w:rFonts w:hint="cs"/>
          <w:bCs/>
          <w:rtl/>
        </w:rPr>
        <w:t>:</w:t>
      </w:r>
      <w:r w:rsidR="00777DCB" w:rsidRPr="00A52585">
        <w:rPr>
          <w:rFonts w:hint="cs"/>
          <w:rtl/>
        </w:rPr>
        <w:t xml:space="preserve"> " النوع السابع والثلاثون</w:t>
      </w:r>
      <w:r w:rsidRPr="00A52585">
        <w:rPr>
          <w:rFonts w:hint="cs"/>
          <w:rtl/>
        </w:rPr>
        <w:t xml:space="preserve"> </w:t>
      </w:r>
      <w:r w:rsidR="00777DCB" w:rsidRPr="00A52585">
        <w:rPr>
          <w:rFonts w:hint="cs"/>
          <w:rtl/>
        </w:rPr>
        <w:t>في حكم الآيات المتشابهات الواردة في الصفات</w:t>
      </w:r>
      <w:r w:rsidRPr="00A52585">
        <w:rPr>
          <w:rFonts w:hint="cs"/>
          <w:rtl/>
        </w:rPr>
        <w:t xml:space="preserve"> </w:t>
      </w:r>
      <w:r w:rsidR="00777DCB" w:rsidRPr="00A52585">
        <w:rPr>
          <w:rFonts w:hint="cs"/>
          <w:rtl/>
        </w:rPr>
        <w:t>وقد اختلف الناس في الوارد منها في الآيات والأحاديث على ثلاث فرق</w:t>
      </w:r>
      <w:r w:rsidRPr="00A52585">
        <w:rPr>
          <w:rFonts w:hint="cs"/>
          <w:rtl/>
        </w:rPr>
        <w:t xml:space="preserve"> </w:t>
      </w:r>
      <w:r w:rsidR="00777DCB" w:rsidRPr="00A52585">
        <w:rPr>
          <w:rFonts w:hint="cs"/>
          <w:rtl/>
        </w:rPr>
        <w:t>أحدها أنه لا مدخل للتأويل فيها بل تجري على ظاهرها ولا تؤول شيئا منها وهم المشبهة</w:t>
      </w:r>
      <w:r w:rsidRPr="00A52585">
        <w:rPr>
          <w:rFonts w:hint="cs"/>
          <w:rtl/>
        </w:rPr>
        <w:t xml:space="preserve"> </w:t>
      </w:r>
      <w:r w:rsidR="00777DCB" w:rsidRPr="00A52585">
        <w:rPr>
          <w:rFonts w:hint="cs"/>
          <w:rtl/>
        </w:rPr>
        <w:t>والثاني أن لها تأويلا ولكنا نمسك عنه مع تنزيه اعتقادنا عن الشبه والتعطيل ونقول لا يعلمه إلا الله وهو قول السلف</w:t>
      </w:r>
      <w:r w:rsidRPr="00A52585">
        <w:rPr>
          <w:rFonts w:hint="cs"/>
          <w:rtl/>
        </w:rPr>
        <w:t xml:space="preserve"> </w:t>
      </w:r>
      <w:r w:rsidR="00777DCB" w:rsidRPr="00A52585">
        <w:rPr>
          <w:rFonts w:hint="cs"/>
          <w:rtl/>
        </w:rPr>
        <w:t>والثالث أنها مؤولة وأولوها على ما يليق به</w:t>
      </w:r>
      <w:r w:rsidRPr="00A52585">
        <w:rPr>
          <w:rFonts w:hint="cs"/>
          <w:rtl/>
        </w:rPr>
        <w:t xml:space="preserve"> </w:t>
      </w:r>
      <w:r w:rsidR="00777DCB" w:rsidRPr="00A52585">
        <w:rPr>
          <w:rFonts w:hint="cs"/>
          <w:rtl/>
        </w:rPr>
        <w:t xml:space="preserve">والأول باطل والأخيران منقولان عن الصحابة " أهـ </w:t>
      </w:r>
      <w:r w:rsidRPr="00A52585">
        <w:rPr>
          <w:rFonts w:hint="cs"/>
          <w:rtl/>
        </w:rPr>
        <w:t>[</w:t>
      </w:r>
      <w:r w:rsidR="00777DCB" w:rsidRPr="00A52585">
        <w:rPr>
          <w:rFonts w:hint="cs"/>
          <w:rtl/>
        </w:rPr>
        <w:t>البرهان في علوم القرآن ج: 2 ص: 78</w:t>
      </w:r>
      <w:r w:rsidRPr="00A52585">
        <w:rPr>
          <w:rFonts w:hint="cs"/>
          <w:rtl/>
        </w:rPr>
        <w:t>]</w:t>
      </w:r>
      <w:r w:rsidR="00DB731D" w:rsidRPr="00A52585">
        <w:rPr>
          <w:rFonts w:hint="cs"/>
          <w:rtl/>
        </w:rPr>
        <w:t>،</w:t>
      </w:r>
      <w:r w:rsidRPr="00A52585">
        <w:rPr>
          <w:rFonts w:hint="cs"/>
          <w:rtl/>
        </w:rPr>
        <w:t xml:space="preserve"> </w:t>
      </w:r>
      <w:r w:rsidR="00777DCB" w:rsidRPr="00A52585">
        <w:rPr>
          <w:rFonts w:hint="cs"/>
          <w:bCs/>
          <w:rtl/>
        </w:rPr>
        <w:t>وقال عبد الله بن عبد الرحمن المكي الهاشمي</w:t>
      </w:r>
      <w:r w:rsidRPr="00A52585">
        <w:rPr>
          <w:rFonts w:hint="cs"/>
          <w:bCs/>
          <w:rtl/>
        </w:rPr>
        <w:t>:</w:t>
      </w:r>
      <w:r w:rsidR="00777DCB" w:rsidRPr="00A52585">
        <w:rPr>
          <w:rFonts w:hint="cs"/>
          <w:rtl/>
        </w:rPr>
        <w:t xml:space="preserve"> </w:t>
      </w:r>
      <w:r w:rsidR="00777DCB" w:rsidRPr="00A52585">
        <w:rPr>
          <w:rFonts w:hint="cs"/>
          <w:bCs/>
          <w:rtl/>
        </w:rPr>
        <w:t>" عقيدة الهدى في تفسير ما يوهم تشبيها من صفاته تعالى</w:t>
      </w:r>
      <w:r w:rsidRPr="00A52585">
        <w:rPr>
          <w:rFonts w:hint="cs"/>
          <w:bCs/>
          <w:rtl/>
        </w:rPr>
        <w:t>:</w:t>
      </w:r>
      <w:r w:rsidR="00777DCB" w:rsidRPr="00A52585">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DB731D" w:rsidRPr="00A52585">
        <w:rPr>
          <w:rFonts w:hint="cs"/>
          <w:rtl/>
        </w:rPr>
        <w:t>،</w:t>
      </w:r>
      <w:r w:rsidR="00777DCB" w:rsidRPr="00A52585">
        <w:rPr>
          <w:rFonts w:hint="cs"/>
          <w:rtl/>
        </w:rPr>
        <w:t xml:space="preserve"> قال تعالى: </w:t>
      </w:r>
      <w:r w:rsidRPr="00A52585">
        <w:rPr>
          <w:rFonts w:hint="cs"/>
          <w:rtl/>
        </w:rPr>
        <w:t>{</w:t>
      </w:r>
      <w:r w:rsidR="00777DCB" w:rsidRPr="00A52585">
        <w:rPr>
          <w:rFonts w:hint="cs"/>
          <w:rtl/>
        </w:rPr>
        <w:t>وخلق كل شيء فقدره تقديراً</w:t>
      </w:r>
      <w:r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جعل الله لكل شيء قدرا ؤ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وإن من شيء إلاّ عندنا </w:t>
      </w:r>
      <w:proofErr w:type="spellStart"/>
      <w:r w:rsidR="00777DCB" w:rsidRPr="00A52585">
        <w:rPr>
          <w:rFonts w:hint="cs"/>
          <w:rtl/>
        </w:rPr>
        <w:t>خزآئنه</w:t>
      </w:r>
      <w:proofErr w:type="spellEnd"/>
      <w:r w:rsidR="00777DCB" w:rsidRPr="00A52585">
        <w:rPr>
          <w:rFonts w:hint="cs"/>
          <w:rtl/>
        </w:rPr>
        <w:t xml:space="preserve"> وما ننزله إلا بقدر معلوم</w:t>
      </w:r>
      <w:r w:rsidRPr="00A52585">
        <w:rPr>
          <w:rFonts w:hint="cs"/>
          <w:rtl/>
        </w:rPr>
        <w:t>}</w:t>
      </w:r>
      <w:r w:rsidR="00DB731D" w:rsidRPr="00A52585">
        <w:rPr>
          <w:rFonts w:hint="cs"/>
          <w:rtl/>
        </w:rPr>
        <w:t>،</w:t>
      </w:r>
      <w:r w:rsidR="00777DCB" w:rsidRPr="00A52585">
        <w:rPr>
          <w:rFonts w:hint="cs"/>
          <w:rtl/>
        </w:rPr>
        <w:t xml:space="preserve"> فهذه الآيات تعطيك أن كل مقدر بقدر محدود هو مخلوق ,وتجعل ذلك التقدير سمة من سمات حدوثه</w:t>
      </w:r>
      <w:r w:rsidR="00DB731D" w:rsidRPr="00A52585">
        <w:rPr>
          <w:rFonts w:hint="cs"/>
          <w:rtl/>
        </w:rPr>
        <w:t>،</w:t>
      </w:r>
      <w:r w:rsidR="00777DCB" w:rsidRPr="00A52585">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777DCB" w:rsidRPr="00A52585">
        <w:rPr>
          <w:rFonts w:hint="cs"/>
          <w:rtl/>
        </w:rPr>
        <w:t>والمخلوقية</w:t>
      </w:r>
      <w:proofErr w:type="spellEnd"/>
      <w:r w:rsidR="00777DCB" w:rsidRPr="00A52585">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897A24" w:rsidRPr="00A52585">
        <w:rPr>
          <w:rFonts w:hint="cs"/>
          <w:rtl/>
        </w:rPr>
        <w:t>.</w:t>
      </w:r>
      <w:r w:rsidR="00777DCB" w:rsidRPr="00A52585">
        <w:rPr>
          <w:rFonts w:hint="cs"/>
          <w:rtl/>
        </w:rPr>
        <w:t xml:space="preserve"> فاحتج الله على خلق الإنسان بتركيبه وصورته إذ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أي صورة ما شاء ركبك</w:t>
      </w:r>
      <w:r w:rsidRPr="00A52585">
        <w:rPr>
          <w:rFonts w:hint="cs"/>
          <w:rtl/>
        </w:rPr>
        <w:t>}</w:t>
      </w:r>
      <w:r w:rsidR="00DB731D" w:rsidRPr="00A52585">
        <w:rPr>
          <w:rFonts w:hint="cs"/>
          <w:rtl/>
        </w:rPr>
        <w:t>،</w:t>
      </w:r>
      <w:r w:rsidR="00777DCB" w:rsidRPr="00A52585">
        <w:rPr>
          <w:rFonts w:hint="cs"/>
          <w:rtl/>
        </w:rPr>
        <w:t xml:space="preserve"> وإمام الحنفاء إبراهيم عليه السلام الذي قال ربه</w:t>
      </w:r>
      <w:r w:rsidRPr="00A52585">
        <w:rPr>
          <w:rFonts w:hint="cs"/>
          <w:rtl/>
        </w:rPr>
        <w:t>:</w:t>
      </w:r>
      <w:r w:rsidR="00777DCB" w:rsidRPr="00A52585">
        <w:rPr>
          <w:rFonts w:hint="cs"/>
          <w:rtl/>
        </w:rPr>
        <w:t xml:space="preserve"> {وتلك حجتنا ءاتيناها إبراهيم على قومه</w:t>
      </w:r>
      <w:r w:rsidRPr="00A52585">
        <w:rPr>
          <w:rFonts w:hint="cs"/>
          <w:rtl/>
        </w:rPr>
        <w:t>}</w:t>
      </w:r>
      <w:r w:rsidR="00DB731D" w:rsidRPr="00A52585">
        <w:rPr>
          <w:rFonts w:hint="cs"/>
          <w:rtl/>
        </w:rPr>
        <w:t>،</w:t>
      </w:r>
      <w:r w:rsidR="00777DCB" w:rsidRPr="00A52585">
        <w:rPr>
          <w:rFonts w:hint="cs"/>
          <w:rtl/>
        </w:rPr>
        <w:t xml:space="preserve"> احتج على قومه لإبطال ألوهية الكواكب بحركتها ونقلتها لدلالتها على حدوث المتحرك </w:t>
      </w:r>
      <w:proofErr w:type="spellStart"/>
      <w:r w:rsidR="00777DCB" w:rsidRPr="00A52585">
        <w:rPr>
          <w:rFonts w:hint="cs"/>
          <w:rtl/>
        </w:rPr>
        <w:t>ومخلوقيته</w:t>
      </w:r>
      <w:proofErr w:type="spellEnd"/>
      <w:r w:rsidR="00777DCB" w:rsidRPr="00A52585">
        <w:rPr>
          <w:rFonts w:hint="cs"/>
          <w:rtl/>
        </w:rPr>
        <w:t xml:space="preserve"> وخص هذا النوع من الحركة لأنه أظهر للمخاطبين في الاستدلال على المقصود</w:t>
      </w:r>
      <w:r w:rsidR="00DB731D" w:rsidRPr="00A52585">
        <w:rPr>
          <w:rFonts w:hint="cs"/>
          <w:rtl/>
        </w:rPr>
        <w:t>،</w:t>
      </w:r>
      <w:r w:rsidR="00777DCB" w:rsidRPr="00A52585">
        <w:rPr>
          <w:rFonts w:hint="cs"/>
          <w:rtl/>
        </w:rPr>
        <w:t xml:space="preserve"> فيتعالى عن الجسمية </w:t>
      </w:r>
      <w:proofErr w:type="spellStart"/>
      <w:r w:rsidR="00777DCB" w:rsidRPr="00A52585">
        <w:rPr>
          <w:rFonts w:hint="cs"/>
          <w:rtl/>
        </w:rPr>
        <w:t>ولوازمها</w:t>
      </w:r>
      <w:r w:rsidRPr="00A52585">
        <w:rPr>
          <w:rFonts w:hint="cs"/>
          <w:rtl/>
        </w:rPr>
        <w:t>:</w:t>
      </w:r>
      <w:r w:rsidR="00777DCB" w:rsidRPr="00A52585">
        <w:rPr>
          <w:rFonts w:hint="cs"/>
          <w:rtl/>
        </w:rPr>
        <w:t>كالتركيب</w:t>
      </w:r>
      <w:proofErr w:type="spellEnd"/>
      <w:r w:rsidR="00777DCB" w:rsidRPr="00A52585">
        <w:rPr>
          <w:rFonts w:hint="cs"/>
          <w:rtl/>
        </w:rPr>
        <w:t xml:space="preserve"> والأجزاء والصورة والمكان والجهة والقرب والبعد والحركة والسكون , من قال</w:t>
      </w:r>
      <w:r w:rsidRPr="00A52585">
        <w:rPr>
          <w:rFonts w:hint="cs"/>
          <w:rtl/>
        </w:rPr>
        <w:t>:</w:t>
      </w:r>
      <w:r w:rsidR="00777DCB" w:rsidRPr="00A52585">
        <w:rPr>
          <w:rFonts w:hint="cs"/>
          <w:rtl/>
        </w:rPr>
        <w:t xml:space="preserve"> {سبحان ربك رب العزة عما يصفون</w:t>
      </w:r>
      <w:r w:rsidRPr="00A52585">
        <w:rPr>
          <w:rFonts w:hint="cs"/>
          <w:rtl/>
        </w:rPr>
        <w:t>}</w:t>
      </w:r>
      <w:r w:rsidR="00DB731D" w:rsidRPr="00A52585">
        <w:rPr>
          <w:rFonts w:hint="cs"/>
          <w:rtl/>
        </w:rPr>
        <w:t>،</w:t>
      </w:r>
      <w:r w:rsidR="00777DCB" w:rsidRPr="00A52585">
        <w:rPr>
          <w:rFonts w:hint="cs"/>
          <w:rtl/>
        </w:rPr>
        <w:t xml:space="preserve"> ومن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 وهو السميع البصير</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sidR="00DB731D" w:rsidRPr="00A52585">
        <w:rPr>
          <w:rFonts w:hint="cs"/>
          <w:rtl/>
        </w:rPr>
        <w:t>،</w:t>
      </w:r>
      <w:r w:rsidR="00777DCB" w:rsidRPr="00A52585">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DB731D" w:rsidRPr="00A52585">
        <w:rPr>
          <w:rFonts w:hint="cs"/>
          <w:rtl/>
        </w:rPr>
        <w:t>،</w:t>
      </w:r>
      <w:r w:rsidRPr="00A52585">
        <w:rPr>
          <w:rFonts w:hint="cs"/>
          <w:rtl/>
        </w:rPr>
        <w:t xml:space="preserve"> </w:t>
      </w:r>
      <w:r w:rsidR="00777DCB" w:rsidRPr="00A52585">
        <w:rPr>
          <w:rFonts w:hint="cs"/>
          <w:rtl/>
        </w:rPr>
        <w:t xml:space="preserve">فلا يفسر الاستواء بالجلوس </w:t>
      </w:r>
      <w:r w:rsidR="00777DCB" w:rsidRPr="00A52585">
        <w:rPr>
          <w:rFonts w:hint="cs"/>
          <w:rtl/>
        </w:rPr>
        <w:lastRenderedPageBreak/>
        <w:t>والاستقرار على العرش ,ولا يفسر الوجه والعين والقدم واليد والساق وسواها من الجوارح والأعضاء</w:t>
      </w:r>
      <w:r w:rsidR="00DB731D" w:rsidRPr="00A52585">
        <w:rPr>
          <w:rFonts w:hint="cs"/>
          <w:rtl/>
        </w:rPr>
        <w:t>،</w:t>
      </w:r>
      <w:r w:rsidR="00777DCB" w:rsidRPr="00A52585">
        <w:rPr>
          <w:rFonts w:hint="cs"/>
          <w:rtl/>
        </w:rPr>
        <w:t xml:space="preserve"> وحسبك أنهم سموها صفات ولم يسموها أعضاء</w:t>
      </w:r>
      <w:r w:rsidR="00DB731D" w:rsidRPr="00A52585">
        <w:rPr>
          <w:rFonts w:hint="cs"/>
          <w:rtl/>
        </w:rPr>
        <w:t>،</w:t>
      </w:r>
      <w:r w:rsidR="00777DCB" w:rsidRPr="00A52585">
        <w:rPr>
          <w:rFonts w:hint="cs"/>
          <w:rtl/>
        </w:rPr>
        <w:t xml:space="preserve"> ولا يفسر العلو والنزول والانتقال على المعنى الظاهر الحسي الذي هو من لوازم الأجسام</w:t>
      </w:r>
      <w:r w:rsidR="00DB731D" w:rsidRPr="00A52585">
        <w:rPr>
          <w:rFonts w:hint="cs"/>
          <w:rtl/>
        </w:rPr>
        <w:t>،</w:t>
      </w:r>
      <w:r w:rsidR="00777DCB" w:rsidRPr="00A52585">
        <w:rPr>
          <w:rFonts w:hint="cs"/>
          <w:rtl/>
        </w:rPr>
        <w:t xml:space="preserve"> </w:t>
      </w:r>
      <w:r w:rsidR="00777DCB" w:rsidRPr="00A52585">
        <w:rPr>
          <w:rFonts w:hint="cs"/>
          <w:bCs/>
          <w:rtl/>
        </w:rPr>
        <w:t xml:space="preserve">وبعد اتفاق سواد العلماء سلفهم وخلفهم على أن المعنى الظاهر الحسي الذي هو من لوازم الأجسام غير مراد </w:t>
      </w:r>
      <w:r w:rsidR="00777DCB" w:rsidRPr="00A52585">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DB731D" w:rsidRPr="00A52585">
        <w:rPr>
          <w:rFonts w:hint="cs"/>
          <w:rtl/>
        </w:rPr>
        <w:t>،</w:t>
      </w:r>
      <w:r w:rsidR="00777DCB" w:rsidRPr="00A52585">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897A24" w:rsidRPr="00A52585">
        <w:rPr>
          <w:rFonts w:hint="cs"/>
          <w:rtl/>
        </w:rPr>
        <w:t>.</w:t>
      </w:r>
      <w:r w:rsidR="00777DCB" w:rsidRPr="00A52585">
        <w:rPr>
          <w:rFonts w:hint="cs"/>
          <w:rtl/>
        </w:rPr>
        <w:t xml:space="preserve"> وذلك هو معنى قولهم:" أمروها كما جاءت" وبقولهم</w:t>
      </w:r>
      <w:r w:rsidRPr="00A52585">
        <w:rPr>
          <w:rFonts w:hint="cs"/>
          <w:rtl/>
        </w:rPr>
        <w:t>:</w:t>
      </w:r>
      <w:r w:rsidR="00777DCB" w:rsidRPr="00A52585">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Pr="00A52585">
        <w:rPr>
          <w:rFonts w:hint="cs"/>
          <w:rtl/>
        </w:rPr>
        <w:t>:</w:t>
      </w:r>
      <w:r w:rsidR="00777DCB" w:rsidRPr="00A52585">
        <w:rPr>
          <w:rFonts w:hint="cs"/>
          <w:rtl/>
        </w:rPr>
        <w:t xml:space="preserve"> " قراءتها تفسيرها " صريح في براءة ساحة أئمة الدين مما ألصقه بهم أهل التشبيه والتجسيم</w:t>
      </w:r>
      <w:r w:rsidR="00DB731D" w:rsidRPr="00A52585">
        <w:rPr>
          <w:rFonts w:hint="cs"/>
          <w:rtl/>
        </w:rPr>
        <w:t>،</w:t>
      </w:r>
      <w:r w:rsidR="00777DCB" w:rsidRPr="00A52585">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DB731D" w:rsidRPr="00A52585">
        <w:rPr>
          <w:rFonts w:hint="cs"/>
          <w:rtl/>
        </w:rPr>
        <w:t>،</w:t>
      </w:r>
      <w:r w:rsidR="00777DCB" w:rsidRPr="00A52585">
        <w:rPr>
          <w:rFonts w:hint="cs"/>
          <w:rtl/>
        </w:rPr>
        <w:t xml:space="preserve"> فأفصح أحمد لما سئل في محنته عن قوله تعالى: </w:t>
      </w:r>
      <w:r w:rsidRPr="00A52585">
        <w:rPr>
          <w:rFonts w:hint="cs"/>
          <w:rtl/>
        </w:rPr>
        <w:t>{</w:t>
      </w:r>
      <w:r w:rsidR="00777DCB" w:rsidRPr="00A52585">
        <w:rPr>
          <w:rFonts w:hint="cs"/>
          <w:rtl/>
        </w:rPr>
        <w:t>وجاء ربك</w:t>
      </w:r>
      <w:r w:rsidRPr="00A52585">
        <w:rPr>
          <w:rFonts w:hint="cs"/>
          <w:rtl/>
        </w:rPr>
        <w:t xml:space="preserve">} </w:t>
      </w:r>
      <w:r w:rsidR="00777DCB" w:rsidRPr="00A52585">
        <w:rPr>
          <w:rFonts w:hint="cs"/>
          <w:rtl/>
        </w:rPr>
        <w:t>بأن المراد مجيء أمره</w:t>
      </w:r>
      <w:r w:rsidR="00DB731D" w:rsidRPr="00A52585">
        <w:rPr>
          <w:rFonts w:hint="cs"/>
          <w:rtl/>
        </w:rPr>
        <w:t>،</w:t>
      </w:r>
      <w:r w:rsidRPr="00A52585">
        <w:rPr>
          <w:rFonts w:hint="cs"/>
          <w:rtl/>
        </w:rPr>
        <w:t xml:space="preserve"> </w:t>
      </w:r>
      <w:r w:rsidR="00777DCB" w:rsidRPr="00A52585">
        <w:rPr>
          <w:rFonts w:hint="cs"/>
          <w:rtl/>
        </w:rPr>
        <w:t>وأفصح مالك عن حديث نزول الرب تعالى فقال</w:t>
      </w:r>
      <w:r w:rsidRPr="00A52585">
        <w:rPr>
          <w:rFonts w:hint="cs"/>
          <w:rtl/>
        </w:rPr>
        <w:t>:</w:t>
      </w:r>
      <w:r w:rsidR="00777DCB" w:rsidRPr="00A52585">
        <w:rPr>
          <w:rFonts w:hint="cs"/>
          <w:rtl/>
        </w:rPr>
        <w:t xml:space="preserve"> هو نزول رحمته لا نزول </w:t>
      </w:r>
      <w:proofErr w:type="spellStart"/>
      <w:r w:rsidR="00777DCB" w:rsidRPr="00A52585">
        <w:rPr>
          <w:rFonts w:hint="cs"/>
          <w:rtl/>
        </w:rPr>
        <w:t>نقله</w:t>
      </w:r>
      <w:r w:rsidR="00897A24" w:rsidRPr="00A52585">
        <w:rPr>
          <w:rFonts w:hint="cs"/>
          <w:rtl/>
        </w:rPr>
        <w:t>.</w:t>
      </w:r>
      <w:r w:rsidR="00777DCB" w:rsidRPr="00A52585">
        <w:rPr>
          <w:rFonts w:hint="cs"/>
          <w:rtl/>
        </w:rPr>
        <w:t>وفي</w:t>
      </w:r>
      <w:proofErr w:type="spellEnd"/>
      <w:r w:rsidR="00777DCB" w:rsidRPr="00A52585">
        <w:rPr>
          <w:rFonts w:hint="cs"/>
          <w:rtl/>
        </w:rPr>
        <w:t xml:space="preserve">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Pr="00A52585">
        <w:rPr>
          <w:rFonts w:hint="cs"/>
          <w:rtl/>
        </w:rPr>
        <w:t>:</w:t>
      </w:r>
      <w:r w:rsidR="00777DCB" w:rsidRPr="00A52585">
        <w:rPr>
          <w:rFonts w:hint="cs"/>
          <w:rtl/>
        </w:rPr>
        <w:t xml:space="preserve"> نؤمن بها بلا كيف وبلا تشبيه وقولهم</w:t>
      </w:r>
      <w:r w:rsidRPr="00A52585">
        <w:rPr>
          <w:rFonts w:hint="cs"/>
          <w:rtl/>
        </w:rPr>
        <w:t>:</w:t>
      </w:r>
      <w:r w:rsidR="00777DCB" w:rsidRPr="00A52585">
        <w:rPr>
          <w:rFonts w:hint="cs"/>
          <w:rtl/>
        </w:rPr>
        <w:t xml:space="preserve"> قراءتها تفسيرها</w:t>
      </w:r>
      <w:r w:rsidR="00DB731D" w:rsidRPr="00A52585">
        <w:rPr>
          <w:rFonts w:hint="cs"/>
          <w:rtl/>
        </w:rPr>
        <w:t>،</w:t>
      </w:r>
      <w:r w:rsidR="00777DCB" w:rsidRPr="00A52585">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777DCB" w:rsidRPr="00A52585">
        <w:rPr>
          <w:rFonts w:hint="cs"/>
          <w:rtl/>
        </w:rPr>
        <w:t>القرآن</w:t>
      </w:r>
      <w:r w:rsidR="00DB731D" w:rsidRPr="00A52585">
        <w:rPr>
          <w:rFonts w:hint="cs"/>
          <w:rtl/>
        </w:rPr>
        <w:t>،</w:t>
      </w:r>
      <w:r w:rsidR="00777DCB" w:rsidRPr="00A52585">
        <w:rPr>
          <w:rFonts w:hint="cs"/>
          <w:rtl/>
        </w:rPr>
        <w:t>وما</w:t>
      </w:r>
      <w:proofErr w:type="spellEnd"/>
      <w:r w:rsidR="00777DCB" w:rsidRPr="00A52585">
        <w:rPr>
          <w:rFonts w:hint="cs"/>
          <w:rtl/>
        </w:rPr>
        <w:t xml:space="preserve"> دام تعيين </w:t>
      </w:r>
      <w:r w:rsidR="00777DCB" w:rsidRPr="00A52585">
        <w:rPr>
          <w:rFonts w:hint="cs"/>
          <w:rtl/>
        </w:rPr>
        <w:lastRenderedPageBreak/>
        <w:t>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DB731D" w:rsidRPr="00A52585">
        <w:rPr>
          <w:rFonts w:hint="cs"/>
          <w:rtl/>
        </w:rPr>
        <w:t>،</w:t>
      </w:r>
      <w:r w:rsidRPr="00A52585">
        <w:rPr>
          <w:rFonts w:hint="cs"/>
          <w:rtl/>
        </w:rPr>
        <w:t xml:space="preserve"> </w:t>
      </w:r>
      <w:r w:rsidR="00777DCB" w:rsidRPr="00A52585">
        <w:rPr>
          <w:rFonts w:hint="cs"/>
          <w:bCs/>
          <w:rtl/>
        </w:rPr>
        <w:t>قال الإمام ابن دقيق العيد</w:t>
      </w:r>
      <w:r w:rsidRPr="00A52585">
        <w:rPr>
          <w:rFonts w:hint="cs"/>
          <w:rtl/>
        </w:rPr>
        <w:t>:</w:t>
      </w:r>
      <w:r w:rsidR="00777DCB" w:rsidRPr="00A52585">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DB731D" w:rsidRPr="00A52585">
        <w:rPr>
          <w:rFonts w:hint="cs"/>
          <w:rtl/>
        </w:rPr>
        <w:t>،</w:t>
      </w:r>
      <w:r w:rsidR="00777DCB" w:rsidRPr="00A52585">
        <w:rPr>
          <w:rFonts w:hint="cs"/>
          <w:rtl/>
        </w:rPr>
        <w:t xml:space="preserve"> الأمر فيها ليس بالخطأ بالنسبة للفريقين " يريد المؤولين والمفوضين</w:t>
      </w:r>
      <w:r w:rsidR="00DB731D" w:rsidRPr="00A52585">
        <w:rPr>
          <w:rFonts w:hint="cs"/>
          <w:rtl/>
        </w:rPr>
        <w:t>،</w:t>
      </w:r>
      <w:r w:rsidR="00777DCB" w:rsidRPr="00A52585">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w:t>
      </w:r>
      <w:proofErr w:type="spellStart"/>
      <w:r w:rsidR="00777DCB" w:rsidRPr="00A52585">
        <w:rPr>
          <w:rFonts w:hint="cs"/>
          <w:rtl/>
        </w:rPr>
        <w:t>منه</w:t>
      </w:r>
      <w:r w:rsidR="00897A24" w:rsidRPr="00A52585">
        <w:rPr>
          <w:rFonts w:hint="cs"/>
          <w:rtl/>
        </w:rPr>
        <w:t>.</w:t>
      </w:r>
      <w:r w:rsidR="00777DCB" w:rsidRPr="00A52585">
        <w:rPr>
          <w:rFonts w:hint="cs"/>
          <w:rtl/>
        </w:rPr>
        <w:t>وعل</w:t>
      </w:r>
      <w:proofErr w:type="spellEnd"/>
      <w:r w:rsidR="00777DCB" w:rsidRPr="00A52585">
        <w:rPr>
          <w:rFonts w:hint="cs"/>
          <w:rtl/>
        </w:rPr>
        <w:t xml:space="preserve">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777DCB" w:rsidRPr="00A52585">
        <w:rPr>
          <w:rFonts w:hint="cs"/>
          <w:rtl/>
        </w:rPr>
        <w:t>الكنائي</w:t>
      </w:r>
      <w:proofErr w:type="spellEnd"/>
      <w:r w:rsidR="00777DCB" w:rsidRPr="00A52585">
        <w:rPr>
          <w:rFonts w:hint="cs"/>
          <w:rtl/>
        </w:rPr>
        <w:t xml:space="preserve"> إلا من انسلخ عن العربية وما عقل عن الله تعالى معنى ما أراد</w:t>
      </w:r>
      <w:r w:rsidR="00DB731D" w:rsidRPr="00A52585">
        <w:rPr>
          <w:rFonts w:hint="cs"/>
          <w:rtl/>
        </w:rPr>
        <w:t>،</w:t>
      </w:r>
      <w:r w:rsidR="00777DCB" w:rsidRPr="00A52585">
        <w:rPr>
          <w:rFonts w:hint="cs"/>
          <w:rtl/>
        </w:rPr>
        <w:t xml:space="preserve"> </w:t>
      </w:r>
      <w:r w:rsidR="00777DCB" w:rsidRPr="00A52585">
        <w:rPr>
          <w:rFonts w:hint="cs"/>
          <w:bCs/>
          <w:rtl/>
        </w:rPr>
        <w:t>وقال الشريف الجرجاني</w:t>
      </w:r>
      <w:r w:rsidR="00777DCB" w:rsidRPr="00A52585">
        <w:rPr>
          <w:rFonts w:hint="cs"/>
          <w:rtl/>
        </w:rPr>
        <w:t xml:space="preserve"> في " شرحه على المواقف "</w:t>
      </w:r>
      <w:r w:rsidRPr="00A52585">
        <w:rPr>
          <w:rFonts w:hint="cs"/>
          <w:rtl/>
        </w:rPr>
        <w:t>:</w:t>
      </w:r>
      <w:r w:rsidR="00777DCB" w:rsidRPr="00A52585">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DB731D" w:rsidRPr="00A52585">
        <w:rPr>
          <w:rFonts w:hint="cs"/>
          <w:rtl/>
        </w:rPr>
        <w:t>،</w:t>
      </w:r>
      <w:r w:rsidR="00777DCB" w:rsidRPr="00A52585">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وجاء ربك</w:t>
      </w:r>
      <w:r w:rsidRPr="00A52585">
        <w:rPr>
          <w:rFonts w:hint="cs"/>
          <w:rtl/>
        </w:rPr>
        <w:t xml:space="preserve">} </w:t>
      </w:r>
      <w:r w:rsidR="00777DCB" w:rsidRPr="00A52585">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DB731D" w:rsidRPr="00A52585">
        <w:rPr>
          <w:rFonts w:hint="cs"/>
          <w:rtl/>
        </w:rPr>
        <w:t>،</w:t>
      </w:r>
      <w:r w:rsidR="00777DCB" w:rsidRPr="00A52585">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w:t>
      </w:r>
      <w:r w:rsidR="00777DCB" w:rsidRPr="00A52585">
        <w:rPr>
          <w:rFonts w:hint="cs"/>
          <w:rtl/>
        </w:rPr>
        <w:lastRenderedPageBreak/>
        <w:t>المراد غاياتها فجرى التعبير عن إضافة الجود بالرحمة وعن الرضا والسخط باللذة والألم والفرح والحزن ونحو ذلك</w:t>
      </w:r>
      <w:r w:rsidR="00DB731D" w:rsidRPr="00A52585">
        <w:rPr>
          <w:rFonts w:hint="cs"/>
          <w:rtl/>
        </w:rPr>
        <w:t>،</w:t>
      </w:r>
      <w:r w:rsidR="00777DCB" w:rsidRPr="00A52585">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DB731D" w:rsidRPr="00A52585">
        <w:rPr>
          <w:rFonts w:hint="cs"/>
          <w:rtl/>
        </w:rPr>
        <w:t>،</w:t>
      </w:r>
      <w:r w:rsidR="00777DCB" w:rsidRPr="00A52585">
        <w:rPr>
          <w:rFonts w:hint="cs"/>
          <w:rtl/>
        </w:rPr>
        <w:t xml:space="preserve"> والله تعالى الذي يقول</w:t>
      </w:r>
      <w:r w:rsidRPr="00A52585">
        <w:rPr>
          <w:rFonts w:hint="cs"/>
          <w:rtl/>
        </w:rPr>
        <w:t>:{</w:t>
      </w:r>
      <w:r w:rsidR="00777DCB" w:rsidRPr="00A52585">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Pr="00A52585">
        <w:rPr>
          <w:rFonts w:hint="cs"/>
          <w:rtl/>
        </w:rPr>
        <w:t>[</w:t>
      </w:r>
      <w:r w:rsidR="00777DCB" w:rsidRPr="00A52585">
        <w:rPr>
          <w:rFonts w:hint="cs"/>
          <w:rtl/>
        </w:rPr>
        <w:t>السلفية المعاصرة مناقشات وردود صـ181 إلى صـ</w:t>
      </w:r>
      <w:r w:rsidRPr="00A52585">
        <w:rPr>
          <w:rFonts w:hint="cs"/>
          <w:rtl/>
        </w:rPr>
        <w:t xml:space="preserve"> </w:t>
      </w:r>
      <w:r w:rsidR="00777DCB" w:rsidRPr="00A52585">
        <w:rPr>
          <w:rFonts w:hint="cs"/>
          <w:rtl/>
        </w:rPr>
        <w:t>184]</w:t>
      </w:r>
      <w:r w:rsidR="00DB731D" w:rsidRPr="00A52585">
        <w:rPr>
          <w:rFonts w:hint="cs"/>
          <w:rtl/>
        </w:rPr>
        <w:t>،</w:t>
      </w:r>
      <w:r w:rsidR="00777DCB" w:rsidRPr="00A52585">
        <w:rPr>
          <w:rFonts w:hint="cs"/>
          <w:rtl/>
        </w:rPr>
        <w:t xml:space="preserve"> </w:t>
      </w:r>
      <w:r w:rsidR="00777DCB" w:rsidRPr="00A52585">
        <w:rPr>
          <w:bCs/>
          <w:rtl/>
        </w:rPr>
        <w:t>وقال القضاعي في فرقان القرآن</w:t>
      </w:r>
      <w:r w:rsidR="00777DCB" w:rsidRPr="00A52585">
        <w:rPr>
          <w:bCs/>
        </w:rPr>
        <w:t xml:space="preserve"> </w:t>
      </w:r>
      <w:r w:rsidR="00777DCB" w:rsidRPr="00A52585">
        <w:rPr>
          <w:bCs/>
          <w:rtl/>
        </w:rPr>
        <w:t>بين صفات الخالق وصفات الأكوان</w:t>
      </w:r>
      <w:r w:rsidRPr="00A52585">
        <w:rPr>
          <w:bCs/>
          <w:rtl/>
        </w:rPr>
        <w:t>:</w:t>
      </w:r>
      <w:r w:rsidR="00777DCB" w:rsidRPr="00A52585">
        <w:rPr>
          <w:bCs/>
          <w:rtl/>
        </w:rPr>
        <w:t xml:space="preserve"> </w:t>
      </w:r>
      <w:r w:rsidR="00777DCB" w:rsidRPr="00A52585">
        <w:rPr>
          <w:rtl/>
        </w:rPr>
        <w:t>" وهكذا اتفق سلف هذه الأمة</w:t>
      </w:r>
      <w:r w:rsidR="00777DCB" w:rsidRPr="00A52585">
        <w:t xml:space="preserve"> </w:t>
      </w:r>
      <w:r w:rsidR="00777DCB" w:rsidRPr="00A52585">
        <w:rPr>
          <w:rtl/>
        </w:rPr>
        <w:t>الصالح وخلفها الموفق على صرف هذه المتشابهات عن هذه الظواهر المادية</w:t>
      </w:r>
      <w:r w:rsidR="00DB731D" w:rsidRPr="00A52585">
        <w:rPr>
          <w:rtl/>
        </w:rPr>
        <w:t>،</w:t>
      </w:r>
      <w:r w:rsidR="00777DCB" w:rsidRPr="00A52585">
        <w:rPr>
          <w:rtl/>
        </w:rPr>
        <w:t xml:space="preserve"> لا خلاف في</w:t>
      </w:r>
      <w:r w:rsidR="00777DCB" w:rsidRPr="00A52585">
        <w:t xml:space="preserve"> </w:t>
      </w:r>
      <w:r w:rsidR="00777DCB" w:rsidRPr="00A52585">
        <w:rPr>
          <w:rtl/>
        </w:rPr>
        <w:t>ذلك بين أوائلهم وأواخرهم رضي الله عنهم، وسموا من فسرها بتلك الظواهر بالمجسمة</w:t>
      </w:r>
      <w:r w:rsidR="00777DCB" w:rsidRPr="00A52585">
        <w:t xml:space="preserve"> </w:t>
      </w:r>
      <w:proofErr w:type="spellStart"/>
      <w:r w:rsidR="00777DCB" w:rsidRPr="00A52585">
        <w:rPr>
          <w:rtl/>
        </w:rPr>
        <w:t>والحشوية</w:t>
      </w:r>
      <w:proofErr w:type="spellEnd"/>
      <w:r w:rsidR="00777DCB" w:rsidRPr="00A52585">
        <w:rPr>
          <w:rtl/>
        </w:rPr>
        <w:t xml:space="preserve"> إيماء منهم رضي الله عنهم إلى أن ما أتى به هؤلاء من التفسير من اللغو</w:t>
      </w:r>
      <w:r w:rsidR="00777DCB" w:rsidRPr="00A52585">
        <w:t xml:space="preserve"> </w:t>
      </w:r>
      <w:r w:rsidR="00777DCB" w:rsidRPr="00A52585">
        <w:rPr>
          <w:rtl/>
        </w:rPr>
        <w:t>الذي لا يلتفت إليه</w:t>
      </w:r>
      <w:r w:rsidR="00DB731D" w:rsidRPr="00A52585">
        <w:rPr>
          <w:rtl/>
        </w:rPr>
        <w:t>،</w:t>
      </w:r>
      <w:r w:rsidR="00777DCB" w:rsidRPr="00A52585">
        <w:rPr>
          <w:rtl/>
        </w:rPr>
        <w:t xml:space="preserve"> والحشو الذي لا يعول أهل العلم بالكتاب والسنة عليه</w:t>
      </w:r>
      <w:r w:rsidR="00DB731D" w:rsidRPr="00A52585">
        <w:rPr>
          <w:rtl/>
        </w:rPr>
        <w:t>،</w:t>
      </w:r>
      <w:r w:rsidR="00777DCB" w:rsidRPr="00A52585">
        <w:rPr>
          <w:rtl/>
        </w:rPr>
        <w:t xml:space="preserve"> </w:t>
      </w:r>
      <w:r w:rsidRPr="00A52585">
        <w:rPr>
          <w:rFonts w:hint="cs"/>
          <w:rtl/>
        </w:rPr>
        <w:t>(</w:t>
      </w:r>
      <w:r w:rsidR="00777DCB" w:rsidRPr="00A52585">
        <w:rPr>
          <w:rtl/>
        </w:rPr>
        <w:t>تتمة</w:t>
      </w:r>
      <w:r w:rsidRPr="00A52585">
        <w:rPr>
          <w:rtl/>
        </w:rPr>
        <w:t>):</w:t>
      </w:r>
      <w:r w:rsidR="00777DCB" w:rsidRPr="00A52585">
        <w:rPr>
          <w:rtl/>
        </w:rPr>
        <w:t xml:space="preserve"> ونختم هذا الفصل بذكر</w:t>
      </w:r>
      <w:r w:rsidR="00777DCB" w:rsidRPr="00A52585">
        <w:t xml:space="preserve"> </w:t>
      </w:r>
      <w:r w:rsidR="00777DCB" w:rsidRPr="00A52585">
        <w:rPr>
          <w:rtl/>
        </w:rPr>
        <w:t>فتوى في هذا الموضوع صدرت من شيخ الإسلام بحق</w:t>
      </w:r>
      <w:r w:rsidR="00DB731D" w:rsidRPr="00A52585">
        <w:rPr>
          <w:rtl/>
        </w:rPr>
        <w:t>،</w:t>
      </w:r>
      <w:r w:rsidR="00777DCB" w:rsidRPr="00A52585">
        <w:rPr>
          <w:rtl/>
        </w:rPr>
        <w:t xml:space="preserve"> ورأس المحققين الأعلام</w:t>
      </w:r>
      <w:r w:rsidR="00DB731D" w:rsidRPr="00A52585">
        <w:rPr>
          <w:rtl/>
        </w:rPr>
        <w:t>،</w:t>
      </w:r>
      <w:r w:rsidR="00777DCB" w:rsidRPr="00A52585">
        <w:rPr>
          <w:rtl/>
        </w:rPr>
        <w:t xml:space="preserve"> أستاذ</w:t>
      </w:r>
      <w:r w:rsidR="00777DCB" w:rsidRPr="00A52585">
        <w:t xml:space="preserve"> </w:t>
      </w:r>
      <w:r w:rsidR="00777DCB" w:rsidRPr="00A52585">
        <w:rPr>
          <w:rtl/>
        </w:rPr>
        <w:t>الأساتذة</w:t>
      </w:r>
      <w:r w:rsidR="00DB731D" w:rsidRPr="00A52585">
        <w:rPr>
          <w:rtl/>
        </w:rPr>
        <w:t>،</w:t>
      </w:r>
      <w:r w:rsidR="00777DCB" w:rsidRPr="00A52585">
        <w:rPr>
          <w:rtl/>
        </w:rPr>
        <w:t xml:space="preserve"> الشيخ سليم البشري تغمده الله برحمته وأعلى في الفراديس درجاته</w:t>
      </w:r>
      <w:r w:rsidR="00DB731D" w:rsidRPr="00A52585">
        <w:rPr>
          <w:rtl/>
        </w:rPr>
        <w:t>،</w:t>
      </w:r>
      <w:r w:rsidR="00777DCB" w:rsidRPr="00A52585">
        <w:rPr>
          <w:rFonts w:hint="cs"/>
          <w:rtl/>
          <w:lang w:bidi="ar-KW"/>
        </w:rPr>
        <w:t xml:space="preserve"> </w:t>
      </w:r>
      <w:r w:rsidR="00777DCB" w:rsidRPr="00A52585">
        <w:rPr>
          <w:rtl/>
        </w:rPr>
        <w:t>ونص السؤال والجواب نقلاً عن</w:t>
      </w:r>
      <w:r w:rsidR="00777DCB" w:rsidRPr="00A52585">
        <w:t xml:space="preserve"> </w:t>
      </w:r>
      <w:r w:rsidR="00777DCB" w:rsidRPr="00A52585">
        <w:rPr>
          <w:rtl/>
        </w:rPr>
        <w:t>كتاب شمس الحقيقة والهداية في الرد على أهل الضلالة والغواية للعلامة المحقق والنقي</w:t>
      </w:r>
      <w:r w:rsidR="00777DCB" w:rsidRPr="00A52585">
        <w:t xml:space="preserve"> </w:t>
      </w:r>
      <w:r w:rsidR="00777DCB" w:rsidRPr="00A52585">
        <w:rPr>
          <w:rtl/>
        </w:rPr>
        <w:t>الموفق الشيخ أحمد بن العلامة الكبير الشيخ علي بدر</w:t>
      </w:r>
      <w:r w:rsidR="00DB731D" w:rsidRPr="00A52585">
        <w:rPr>
          <w:rtl/>
        </w:rPr>
        <w:t>،</w:t>
      </w:r>
      <w:r w:rsidR="00777DCB" w:rsidRPr="00A52585">
        <w:rPr>
          <w:rtl/>
        </w:rPr>
        <w:t xml:space="preserve"> شيخ معهد </w:t>
      </w:r>
      <w:proofErr w:type="spellStart"/>
      <w:r w:rsidR="00777DCB" w:rsidRPr="00A52585">
        <w:rPr>
          <w:rtl/>
        </w:rPr>
        <w:t>بلصفورة</w:t>
      </w:r>
      <w:proofErr w:type="spellEnd"/>
      <w:r w:rsidR="00DB731D" w:rsidRPr="00A52585">
        <w:rPr>
          <w:rtl/>
        </w:rPr>
        <w:t>،</w:t>
      </w:r>
      <w:r w:rsidR="00777DCB" w:rsidRPr="00A52585">
        <w:rPr>
          <w:rtl/>
        </w:rPr>
        <w:t xml:space="preserve"> وهو رافع</w:t>
      </w:r>
      <w:r w:rsidR="00777DCB" w:rsidRPr="00A52585">
        <w:t xml:space="preserve"> </w:t>
      </w:r>
      <w:r w:rsidR="00777DCB" w:rsidRPr="00A52585">
        <w:rPr>
          <w:rtl/>
        </w:rPr>
        <w:t>السؤال إلى شيخ الإسلام رضي الله عنهما</w:t>
      </w:r>
      <w:r w:rsidR="00DB731D" w:rsidRPr="00A52585">
        <w:rPr>
          <w:rtl/>
          <w:lang w:bidi="ar-KW"/>
        </w:rPr>
        <w:t>،</w:t>
      </w:r>
      <w:r w:rsidR="00777DCB" w:rsidRPr="00A52585">
        <w:rPr>
          <w:rtl/>
          <w:lang w:bidi="ar-KW"/>
        </w:rPr>
        <w:t xml:space="preserve"> </w:t>
      </w:r>
      <w:r w:rsidRPr="00A52585">
        <w:rPr>
          <w:rtl/>
          <w:lang w:bidi="ar-KW"/>
        </w:rPr>
        <w:t>(</w:t>
      </w:r>
      <w:r w:rsidR="00777DCB" w:rsidRPr="00A52585">
        <w:rPr>
          <w:rtl/>
        </w:rPr>
        <w:t>قال</w:t>
      </w:r>
      <w:r w:rsidRPr="00A52585">
        <w:rPr>
          <w:rtl/>
        </w:rPr>
        <w:t>):</w:t>
      </w:r>
      <w:r w:rsidR="00777DCB" w:rsidRPr="00A52585">
        <w:rPr>
          <w:rtl/>
        </w:rPr>
        <w:t xml:space="preserve"> ما قولكم دام فضلكم في رجل</w:t>
      </w:r>
      <w:r w:rsidR="00777DCB" w:rsidRPr="00A52585">
        <w:t xml:space="preserve"> </w:t>
      </w:r>
      <w:r w:rsidR="00777DCB" w:rsidRPr="00A52585">
        <w:rPr>
          <w:rtl/>
        </w:rPr>
        <w:t>من أهل العلم هنا من الذين يوصفون بالتفقه في الدين تظاهر باعتقاد ثبوت جهة الفوقية</w:t>
      </w:r>
      <w:r w:rsidR="00777DCB" w:rsidRPr="00A52585">
        <w:t xml:space="preserve"> </w:t>
      </w:r>
      <w:r w:rsidR="00777DCB" w:rsidRPr="00A52585">
        <w:rPr>
          <w:rtl/>
        </w:rPr>
        <w:t>لله سبحانه وتعالى</w:t>
      </w:r>
      <w:r w:rsidR="00DB731D" w:rsidRPr="00A52585">
        <w:rPr>
          <w:rtl/>
        </w:rPr>
        <w:t>،</w:t>
      </w:r>
      <w:r w:rsidR="00777DCB" w:rsidRPr="00A52585">
        <w:rPr>
          <w:rtl/>
        </w:rPr>
        <w:t xml:space="preserve"> ويدعي أن ذلك مذهب السلف</w:t>
      </w:r>
      <w:r w:rsidR="00DB731D" w:rsidRPr="00A52585">
        <w:rPr>
          <w:rtl/>
        </w:rPr>
        <w:t>،</w:t>
      </w:r>
      <w:r w:rsidR="00777DCB" w:rsidRPr="00A52585">
        <w:rPr>
          <w:rtl/>
        </w:rPr>
        <w:t xml:space="preserve"> وتبعه على ذلك البعض القليل من</w:t>
      </w:r>
      <w:r w:rsidR="00777DCB" w:rsidRPr="00A52585">
        <w:t xml:space="preserve"> </w:t>
      </w:r>
      <w:r w:rsidR="00777DCB" w:rsidRPr="00A52585">
        <w:rPr>
          <w:rtl/>
        </w:rPr>
        <w:t>الناس</w:t>
      </w:r>
      <w:r w:rsidR="00DB731D" w:rsidRPr="00A52585">
        <w:rPr>
          <w:rtl/>
        </w:rPr>
        <w:t>،</w:t>
      </w:r>
      <w:r w:rsidR="00777DCB" w:rsidRPr="00A52585">
        <w:rPr>
          <w:rtl/>
        </w:rPr>
        <w:t xml:space="preserve"> وجمهور أهل العلم ينكرون عليه</w:t>
      </w:r>
      <w:r w:rsidR="00DB731D" w:rsidRPr="00A52585">
        <w:rPr>
          <w:rtl/>
        </w:rPr>
        <w:t>،</w:t>
      </w:r>
      <w:r w:rsidR="00777DCB" w:rsidRPr="00A52585">
        <w:rPr>
          <w:rtl/>
          <w:lang w:bidi="ar-KW"/>
        </w:rPr>
        <w:t xml:space="preserve"> </w:t>
      </w:r>
      <w:r w:rsidR="00777DCB" w:rsidRPr="00A52585">
        <w:rPr>
          <w:rtl/>
        </w:rPr>
        <w:t>والسبب في تظاهره بهذا المعتقد</w:t>
      </w:r>
      <w:r w:rsidR="00777DCB" w:rsidRPr="00A52585">
        <w:t xml:space="preserve"> </w:t>
      </w:r>
      <w:r w:rsidR="00777DCB" w:rsidRPr="00A52585">
        <w:rPr>
          <w:rtl/>
        </w:rPr>
        <w:t>كما عرض علي هو بنفسه ذلك عثوره على كتاب لبعض علماء الهند نقل فيه صاحبه كلاما</w:t>
      </w:r>
      <w:r w:rsidR="00777DCB" w:rsidRPr="00A52585">
        <w:t xml:space="preserve"> </w:t>
      </w:r>
      <w:r w:rsidR="00777DCB" w:rsidRPr="00A52585">
        <w:rPr>
          <w:rtl/>
        </w:rPr>
        <w:t>كثيرا عن ابن تيمية في إثبات الجهة للباري سبحانه وتعالى</w:t>
      </w:r>
      <w:r w:rsidR="00DB731D" w:rsidRPr="00A52585">
        <w:rPr>
          <w:rtl/>
        </w:rPr>
        <w:t>،</w:t>
      </w:r>
      <w:r w:rsidR="00777DCB" w:rsidRPr="00A52585">
        <w:rPr>
          <w:rtl/>
        </w:rPr>
        <w:t xml:space="preserve"> وليكن معلوماً أنه يعتقد</w:t>
      </w:r>
      <w:r w:rsidR="00777DCB" w:rsidRPr="00A52585">
        <w:t xml:space="preserve"> </w:t>
      </w:r>
      <w:r w:rsidR="00777DCB" w:rsidRPr="00A52585">
        <w:rPr>
          <w:rtl/>
        </w:rPr>
        <w:t>الفوقية الذاتية له جل ذكره</w:t>
      </w:r>
      <w:r w:rsidR="00DB731D" w:rsidRPr="00A52585">
        <w:rPr>
          <w:rtl/>
        </w:rPr>
        <w:t>،</w:t>
      </w:r>
      <w:r w:rsidR="00777DCB" w:rsidRPr="00A52585">
        <w:rPr>
          <w:rtl/>
        </w:rPr>
        <w:t xml:space="preserve"> يعني أن ذاته سبحانه فوق العرش بمعنى ما قابل التحت</w:t>
      </w:r>
      <w:r w:rsidR="00777DCB" w:rsidRPr="00A52585">
        <w:t xml:space="preserve"> </w:t>
      </w:r>
      <w:r w:rsidR="00777DCB" w:rsidRPr="00A52585">
        <w:rPr>
          <w:rtl/>
        </w:rPr>
        <w:t>مع التنزيه</w:t>
      </w:r>
      <w:r w:rsidR="00DB731D" w:rsidRPr="00A52585">
        <w:rPr>
          <w:rtl/>
        </w:rPr>
        <w:t>،</w:t>
      </w:r>
      <w:r w:rsidR="00777DCB" w:rsidRPr="00A52585">
        <w:rPr>
          <w:rtl/>
        </w:rPr>
        <w:t xml:space="preserve"> ويخطئ أبا البركات </w:t>
      </w:r>
      <w:proofErr w:type="spellStart"/>
      <w:r w:rsidR="00777DCB" w:rsidRPr="00A52585">
        <w:rPr>
          <w:rtl/>
        </w:rPr>
        <w:t>الدردير</w:t>
      </w:r>
      <w:proofErr w:type="spellEnd"/>
      <w:r w:rsidR="00777DCB" w:rsidRPr="00A52585">
        <w:rPr>
          <w:rtl/>
        </w:rPr>
        <w:t xml:space="preserve"> رضي الله عنه في قوله في </w:t>
      </w:r>
      <w:proofErr w:type="spellStart"/>
      <w:r w:rsidR="00777DCB" w:rsidRPr="00A52585">
        <w:rPr>
          <w:rtl/>
        </w:rPr>
        <w:t>خريدته</w:t>
      </w:r>
      <w:r w:rsidRPr="00A52585">
        <w:rPr>
          <w:rtl/>
        </w:rPr>
        <w:t>:</w:t>
      </w:r>
      <w:r w:rsidR="00777DCB" w:rsidRPr="00A52585">
        <w:rPr>
          <w:rtl/>
        </w:rPr>
        <w:t>منزه</w:t>
      </w:r>
      <w:proofErr w:type="spellEnd"/>
      <w:r w:rsidR="00777DCB" w:rsidRPr="00A52585">
        <w:rPr>
          <w:rtl/>
        </w:rPr>
        <w:t xml:space="preserve"> عن الحلول والجهة والاتصال</w:t>
      </w:r>
      <w:r w:rsidR="00777DCB" w:rsidRPr="00A52585">
        <w:t xml:space="preserve"> </w:t>
      </w:r>
      <w:r w:rsidR="00777DCB" w:rsidRPr="00A52585">
        <w:rPr>
          <w:rtl/>
        </w:rPr>
        <w:t>الانفصال والسفه</w:t>
      </w:r>
      <w:r w:rsidR="00DB731D" w:rsidRPr="00A52585">
        <w:rPr>
          <w:rFonts w:hint="cs"/>
          <w:rtl/>
        </w:rPr>
        <w:t>،</w:t>
      </w:r>
      <w:r w:rsidR="00777DCB" w:rsidRPr="00A52585">
        <w:rPr>
          <w:rFonts w:hint="cs"/>
          <w:rtl/>
        </w:rPr>
        <w:t xml:space="preserve"> </w:t>
      </w:r>
      <w:r w:rsidR="00777DCB" w:rsidRPr="00A52585">
        <w:rPr>
          <w:rtl/>
        </w:rPr>
        <w:t>يخطئه في موضعين من البيت</w:t>
      </w:r>
      <w:r w:rsidRPr="00A52585">
        <w:rPr>
          <w:rtl/>
        </w:rPr>
        <w:t>:</w:t>
      </w:r>
      <w:r w:rsidR="00777DCB" w:rsidRPr="00A52585">
        <w:t xml:space="preserve"> </w:t>
      </w:r>
      <w:r w:rsidR="00777DCB" w:rsidRPr="00A52585">
        <w:rPr>
          <w:rtl/>
        </w:rPr>
        <w:t>قوله والجهة</w:t>
      </w:r>
      <w:r w:rsidR="00DB731D" w:rsidRPr="00A52585">
        <w:rPr>
          <w:rtl/>
        </w:rPr>
        <w:t>،</w:t>
      </w:r>
      <w:r w:rsidR="00777DCB" w:rsidRPr="00A52585">
        <w:rPr>
          <w:rtl/>
        </w:rPr>
        <w:t xml:space="preserve"> وقوله والانفصال</w:t>
      </w:r>
      <w:r w:rsidR="00DB731D" w:rsidRPr="00A52585">
        <w:rPr>
          <w:rtl/>
        </w:rPr>
        <w:t>،</w:t>
      </w:r>
      <w:r w:rsidR="00777DCB" w:rsidRPr="00A52585">
        <w:rPr>
          <w:rtl/>
        </w:rPr>
        <w:t xml:space="preserve"> والشيخ </w:t>
      </w:r>
      <w:proofErr w:type="spellStart"/>
      <w:r w:rsidR="00777DCB" w:rsidRPr="00A52585">
        <w:rPr>
          <w:rtl/>
        </w:rPr>
        <w:t>اللقائي</w:t>
      </w:r>
      <w:proofErr w:type="spellEnd"/>
      <w:r w:rsidR="00777DCB" w:rsidRPr="00A52585">
        <w:rPr>
          <w:rtl/>
        </w:rPr>
        <w:t xml:space="preserve"> في </w:t>
      </w:r>
      <w:proofErr w:type="spellStart"/>
      <w:r w:rsidR="00777DCB" w:rsidRPr="00A52585">
        <w:rPr>
          <w:rtl/>
        </w:rPr>
        <w:t>قوله</w:t>
      </w:r>
      <w:r w:rsidRPr="00A52585">
        <w:rPr>
          <w:rtl/>
        </w:rPr>
        <w:t>:</w:t>
      </w:r>
      <w:r w:rsidR="00777DCB" w:rsidRPr="00A52585">
        <w:rPr>
          <w:rtl/>
        </w:rPr>
        <w:t>ويستحيل</w:t>
      </w:r>
      <w:proofErr w:type="spellEnd"/>
      <w:r w:rsidR="00777DCB" w:rsidRPr="00A52585">
        <w:rPr>
          <w:rtl/>
        </w:rPr>
        <w:t xml:space="preserve"> ضد ذي الصفات في حقه</w:t>
      </w:r>
      <w:r w:rsidR="00777DCB" w:rsidRPr="00A52585">
        <w:t xml:space="preserve"> </w:t>
      </w:r>
      <w:r w:rsidR="00777DCB" w:rsidRPr="00A52585">
        <w:rPr>
          <w:rtl/>
        </w:rPr>
        <w:t>كالكون في الجهات</w:t>
      </w:r>
      <w:r w:rsidR="00DB731D" w:rsidRPr="00A52585">
        <w:rPr>
          <w:rFonts w:hint="cs"/>
          <w:rtl/>
        </w:rPr>
        <w:t>،</w:t>
      </w:r>
      <w:r w:rsidR="00777DCB" w:rsidRPr="00A52585">
        <w:rPr>
          <w:rtl/>
        </w:rPr>
        <w:t xml:space="preserve"> وبالجملة هو يخطئ كل من يقول</w:t>
      </w:r>
      <w:r w:rsidR="00777DCB" w:rsidRPr="00A52585">
        <w:t xml:space="preserve"> </w:t>
      </w:r>
      <w:r w:rsidR="00777DCB" w:rsidRPr="00A52585">
        <w:rPr>
          <w:rtl/>
        </w:rPr>
        <w:t>بنفي الجهة مهما كان قدره</w:t>
      </w:r>
      <w:r w:rsidR="00DB731D" w:rsidRPr="00A52585">
        <w:rPr>
          <w:rtl/>
        </w:rPr>
        <w:t>،</w:t>
      </w:r>
      <w:r w:rsidR="00777DCB" w:rsidRPr="00A52585">
        <w:rPr>
          <w:rtl/>
        </w:rPr>
        <w:t xml:space="preserve"> ويستدل أيضاً بنص كتاب آخر غير الكتاب المتقدم ذكره</w:t>
      </w:r>
      <w:r w:rsidR="00DB731D" w:rsidRPr="00A52585">
        <w:rPr>
          <w:rtl/>
        </w:rPr>
        <w:t>،</w:t>
      </w:r>
      <w:r w:rsidR="00777DCB" w:rsidRPr="00A52585">
        <w:t xml:space="preserve"> </w:t>
      </w:r>
      <w:r w:rsidR="00777DCB" w:rsidRPr="00A52585">
        <w:rPr>
          <w:rtl/>
        </w:rPr>
        <w:t xml:space="preserve">وهو تفسير الشيخ </w:t>
      </w:r>
      <w:proofErr w:type="spellStart"/>
      <w:r w:rsidR="00777DCB" w:rsidRPr="00A52585">
        <w:rPr>
          <w:rtl/>
        </w:rPr>
        <w:lastRenderedPageBreak/>
        <w:t>الآلوسي</w:t>
      </w:r>
      <w:proofErr w:type="spellEnd"/>
      <w:r w:rsidR="00777DCB" w:rsidRPr="00A52585">
        <w:rPr>
          <w:rtl/>
        </w:rPr>
        <w:t xml:space="preserve"> المسمى بروح المعاني</w:t>
      </w:r>
      <w:r w:rsidR="00DB731D" w:rsidRPr="00A52585">
        <w:rPr>
          <w:rtl/>
        </w:rPr>
        <w:t>،</w:t>
      </w:r>
      <w:r w:rsidR="00777DCB" w:rsidRPr="00A52585">
        <w:rPr>
          <w:rtl/>
        </w:rPr>
        <w:t xml:space="preserve"> عند قوله تعالى </w:t>
      </w:r>
      <w:r w:rsidRPr="00A52585">
        <w:rPr>
          <w:rtl/>
        </w:rPr>
        <w:t>(</w:t>
      </w:r>
      <w:r w:rsidR="00777DCB" w:rsidRPr="00A52585">
        <w:rPr>
          <w:rtl/>
        </w:rPr>
        <w:t>وهو القاهر فوق</w:t>
      </w:r>
      <w:r w:rsidR="00777DCB" w:rsidRPr="00A52585">
        <w:t xml:space="preserve"> </w:t>
      </w:r>
      <w:r w:rsidR="00777DCB" w:rsidRPr="00A52585">
        <w:rPr>
          <w:rtl/>
        </w:rPr>
        <w:t>عباده</w:t>
      </w:r>
      <w:r w:rsidRPr="00A52585">
        <w:rPr>
          <w:rtl/>
        </w:rPr>
        <w:t>)</w:t>
      </w:r>
      <w:r w:rsidR="00777DCB" w:rsidRPr="00A52585">
        <w:rPr>
          <w:rtl/>
        </w:rPr>
        <w:t xml:space="preserve"> مع أن المطلع على عبارة </w:t>
      </w:r>
      <w:proofErr w:type="spellStart"/>
      <w:r w:rsidR="00777DCB" w:rsidRPr="00A52585">
        <w:rPr>
          <w:rtl/>
        </w:rPr>
        <w:t>الآلوسي</w:t>
      </w:r>
      <w:proofErr w:type="spellEnd"/>
      <w:r w:rsidR="00777DCB" w:rsidRPr="00A52585">
        <w:rPr>
          <w:rtl/>
        </w:rPr>
        <w:t xml:space="preserve"> يجده في آخر عبارته ذكر ما يؤخذ منه أنه</w:t>
      </w:r>
      <w:r w:rsidR="00777DCB" w:rsidRPr="00A52585">
        <w:t xml:space="preserve"> </w:t>
      </w:r>
      <w:r w:rsidR="00777DCB" w:rsidRPr="00A52585">
        <w:rPr>
          <w:rtl/>
        </w:rPr>
        <w:t>غير جازم بذلك</w:t>
      </w:r>
      <w:r w:rsidR="00897A24" w:rsidRPr="00A52585">
        <w:rPr>
          <w:rtl/>
        </w:rPr>
        <w:t>.</w:t>
      </w:r>
      <w:r w:rsidR="00777DCB" w:rsidRPr="00A52585">
        <w:rPr>
          <w:rtl/>
        </w:rPr>
        <w:t xml:space="preserve"> ويستدل على ذلك بمثل قوله تعالى </w:t>
      </w:r>
      <w:r w:rsidRPr="00A52585">
        <w:rPr>
          <w:rtl/>
        </w:rPr>
        <w:t>(</w:t>
      </w:r>
      <w:r w:rsidR="00777DCB" w:rsidRPr="00A52585">
        <w:rPr>
          <w:rtl/>
        </w:rPr>
        <w:t>وهو القاهر فوق عباده</w:t>
      </w:r>
      <w:r w:rsidRPr="00A52585">
        <w:rPr>
          <w:rtl/>
        </w:rPr>
        <w:t>)</w:t>
      </w:r>
      <w:r w:rsidR="00777DCB" w:rsidRPr="00A52585">
        <w:rPr>
          <w:rtl/>
        </w:rPr>
        <w:t xml:space="preserve"> </w:t>
      </w:r>
      <w:r w:rsidRPr="00A52585">
        <w:rPr>
          <w:rtl/>
        </w:rPr>
        <w:t>(</w:t>
      </w:r>
      <w:r w:rsidR="00777DCB" w:rsidRPr="00A52585">
        <w:rPr>
          <w:rtl/>
        </w:rPr>
        <w:t>يخافون</w:t>
      </w:r>
      <w:r w:rsidR="00777DCB" w:rsidRPr="00A52585">
        <w:t xml:space="preserve"> </w:t>
      </w:r>
      <w:r w:rsidR="00777DCB" w:rsidRPr="00A52585">
        <w:rPr>
          <w:rtl/>
        </w:rPr>
        <w:t>ربهم من فوقهم</w:t>
      </w:r>
      <w:r w:rsidRPr="00A52585">
        <w:rPr>
          <w:rtl/>
        </w:rPr>
        <w:t>)</w:t>
      </w:r>
      <w:r w:rsidR="00777DCB" w:rsidRPr="00A52585">
        <w:rPr>
          <w:rtl/>
        </w:rPr>
        <w:t xml:space="preserve"> </w:t>
      </w:r>
      <w:r w:rsidRPr="00A52585">
        <w:rPr>
          <w:rtl/>
        </w:rPr>
        <w:t>(</w:t>
      </w:r>
      <w:r w:rsidR="00777DCB" w:rsidRPr="00A52585">
        <w:rPr>
          <w:rtl/>
        </w:rPr>
        <w:t>إليه يصعد الكلم الطيب</w:t>
      </w:r>
      <w:r w:rsidRPr="00A52585">
        <w:rPr>
          <w:rtl/>
        </w:rPr>
        <w:t>)</w:t>
      </w:r>
      <w:r w:rsidR="00777DCB" w:rsidRPr="00A52585">
        <w:rPr>
          <w:rtl/>
        </w:rPr>
        <w:t xml:space="preserve"> وبقوله صلى الله عليه وسلم للجارية التي</w:t>
      </w:r>
      <w:r w:rsidR="00777DCB" w:rsidRPr="00A52585">
        <w:t xml:space="preserve"> </w:t>
      </w:r>
      <w:r w:rsidR="00777DCB" w:rsidRPr="00A52585">
        <w:rPr>
          <w:rtl/>
        </w:rPr>
        <w:t>أراد سيدها عتقها</w:t>
      </w:r>
      <w:r w:rsidRPr="00A52585">
        <w:rPr>
          <w:rtl/>
        </w:rPr>
        <w:t>:</w:t>
      </w:r>
      <w:r w:rsidR="00777DCB" w:rsidRPr="00A52585">
        <w:rPr>
          <w:rtl/>
        </w:rPr>
        <w:t xml:space="preserve"> أين الله</w:t>
      </w:r>
      <w:r w:rsidR="00F95886" w:rsidRPr="00A52585">
        <w:rPr>
          <w:rtl/>
        </w:rPr>
        <w:t>؟</w:t>
      </w:r>
      <w:r w:rsidR="00777DCB" w:rsidRPr="00A52585">
        <w:rPr>
          <w:rtl/>
        </w:rPr>
        <w:t xml:space="preserve"> فقالت في السماء</w:t>
      </w:r>
      <w:r w:rsidR="00897A24" w:rsidRPr="00A52585">
        <w:rPr>
          <w:rtl/>
        </w:rPr>
        <w:t>.</w:t>
      </w:r>
      <w:r w:rsidR="00777DCB" w:rsidRPr="00A52585">
        <w:rPr>
          <w:rtl/>
        </w:rPr>
        <w:t xml:space="preserve"> مع ما هو معلوم لفضيلتكم من أنها</w:t>
      </w:r>
      <w:r w:rsidR="00777DCB" w:rsidRPr="00A52585">
        <w:t xml:space="preserve"> </w:t>
      </w:r>
      <w:r w:rsidR="00777DCB" w:rsidRPr="00A52585">
        <w:rPr>
          <w:rtl/>
        </w:rPr>
        <w:t>كانت خرساء وأشارت إلى السماء كما هو منصوص</w:t>
      </w:r>
      <w:r w:rsidR="00DB731D" w:rsidRPr="00A52585">
        <w:rPr>
          <w:rtl/>
        </w:rPr>
        <w:t>،</w:t>
      </w:r>
      <w:r w:rsidR="00777DCB" w:rsidRPr="00A52585">
        <w:rPr>
          <w:rtl/>
        </w:rPr>
        <w:t xml:space="preserve"> وفي بعض مؤلفات حجة الإسلام الغزالي</w:t>
      </w:r>
      <w:r w:rsidR="00777DCB" w:rsidRPr="00A52585">
        <w:t xml:space="preserve"> </w:t>
      </w:r>
      <w:r w:rsidR="00777DCB" w:rsidRPr="00A52585">
        <w:rPr>
          <w:rtl/>
        </w:rPr>
        <w:t>رضي الله عنه</w:t>
      </w:r>
      <w:r w:rsidR="00DB731D" w:rsidRPr="00A52585">
        <w:rPr>
          <w:rtl/>
        </w:rPr>
        <w:t>،</w:t>
      </w:r>
      <w:r w:rsidR="00777DCB" w:rsidRPr="00A52585">
        <w:rPr>
          <w:rtl/>
        </w:rPr>
        <w:t xml:space="preserve"> وقد تعرض لذلك السيد محمد مرتضى في شرحه للإحياء</w:t>
      </w:r>
      <w:r w:rsidR="00DB731D" w:rsidRPr="00A52585">
        <w:rPr>
          <w:rtl/>
        </w:rPr>
        <w:t>،</w:t>
      </w:r>
      <w:r w:rsidR="00777DCB" w:rsidRPr="00A52585">
        <w:rPr>
          <w:rtl/>
        </w:rPr>
        <w:t xml:space="preserve"> ويستدل أيضاً بقوله صلى الله</w:t>
      </w:r>
      <w:r w:rsidR="00777DCB" w:rsidRPr="00A52585">
        <w:t xml:space="preserve"> </w:t>
      </w:r>
      <w:r w:rsidR="00777DCB" w:rsidRPr="00A52585">
        <w:rPr>
          <w:rtl/>
        </w:rPr>
        <w:t>عليه وسلم في حجة الوداع</w:t>
      </w:r>
      <w:r w:rsidRPr="00A52585">
        <w:rPr>
          <w:rtl/>
        </w:rPr>
        <w:t>:</w:t>
      </w:r>
      <w:r w:rsidR="00777DCB" w:rsidRPr="00A52585">
        <w:rPr>
          <w:rtl/>
        </w:rPr>
        <w:t xml:space="preserve"> اللهم اشهد</w:t>
      </w:r>
      <w:r w:rsidR="00DB731D" w:rsidRPr="00A52585">
        <w:rPr>
          <w:rtl/>
        </w:rPr>
        <w:t>،</w:t>
      </w:r>
      <w:r w:rsidR="00777DCB" w:rsidRPr="00A52585">
        <w:rPr>
          <w:rtl/>
        </w:rPr>
        <w:t xml:space="preserve"> وأشار بإصبعه إلى السماء</w:t>
      </w:r>
      <w:r w:rsidR="00DB731D" w:rsidRPr="00A52585">
        <w:rPr>
          <w:rtl/>
        </w:rPr>
        <w:t>،</w:t>
      </w:r>
      <w:r w:rsidR="00777DCB" w:rsidRPr="00A52585">
        <w:rPr>
          <w:rtl/>
        </w:rPr>
        <w:t xml:space="preserve"> ويورد على من</w:t>
      </w:r>
      <w:r w:rsidR="00777DCB" w:rsidRPr="00A52585">
        <w:t xml:space="preserve"> </w:t>
      </w:r>
      <w:r w:rsidR="00777DCB" w:rsidRPr="00A52585">
        <w:rPr>
          <w:rtl/>
        </w:rPr>
        <w:t>ينازعه في ذلك سؤال الكرامية المشهور وهو قولهم إن نفيه عن الجهات الست إخبار عن</w:t>
      </w:r>
      <w:r w:rsidR="00777DCB" w:rsidRPr="00A52585">
        <w:t xml:space="preserve"> </w:t>
      </w:r>
      <w:r w:rsidR="00777DCB" w:rsidRPr="00A52585">
        <w:rPr>
          <w:rtl/>
        </w:rPr>
        <w:t>عدمه</w:t>
      </w:r>
      <w:r w:rsidR="00DB731D" w:rsidRPr="00A52585">
        <w:rPr>
          <w:rtl/>
        </w:rPr>
        <w:t>،</w:t>
      </w:r>
      <w:r w:rsidR="00777DCB" w:rsidRPr="00A52585">
        <w:rPr>
          <w:rtl/>
        </w:rPr>
        <w:t xml:space="preserve"> ولا يخفى على فضيلتكم أن الكلام في مسألة الجهة شهير</w:t>
      </w:r>
      <w:r w:rsidR="00DB731D" w:rsidRPr="00A52585">
        <w:rPr>
          <w:rtl/>
        </w:rPr>
        <w:t>،</w:t>
      </w:r>
      <w:r w:rsidR="00777DCB" w:rsidRPr="00A52585">
        <w:rPr>
          <w:rtl/>
        </w:rPr>
        <w:t xml:space="preserve"> إلا أنه من المعلوم</w:t>
      </w:r>
      <w:r w:rsidR="00777DCB" w:rsidRPr="00A52585">
        <w:t xml:space="preserve"> </w:t>
      </w:r>
      <w:r w:rsidR="00777DCB" w:rsidRPr="00A52585">
        <w:rPr>
          <w:rtl/>
        </w:rPr>
        <w:t>أن قول فضيلتكم سيما في مثل هذا الأمر هو الفصل، وأرجو أن يكون عليه إمضاؤكم بخطكم</w:t>
      </w:r>
      <w:r w:rsidR="00777DCB" w:rsidRPr="00A52585">
        <w:t xml:space="preserve"> </w:t>
      </w:r>
      <w:r w:rsidR="00777DCB" w:rsidRPr="00A52585">
        <w:rPr>
          <w:rtl/>
        </w:rPr>
        <w:t xml:space="preserve">والختم ولا </w:t>
      </w:r>
      <w:proofErr w:type="spellStart"/>
      <w:r w:rsidR="00777DCB" w:rsidRPr="00A52585">
        <w:rPr>
          <w:rtl/>
        </w:rPr>
        <w:t>مؤاخذة</w:t>
      </w:r>
      <w:r w:rsidR="00897A24" w:rsidRPr="00A52585">
        <w:rPr>
          <w:rtl/>
        </w:rPr>
        <w:t>.</w:t>
      </w:r>
      <w:r w:rsidR="00777DCB" w:rsidRPr="00A52585">
        <w:rPr>
          <w:rtl/>
        </w:rPr>
        <w:t>لا</w:t>
      </w:r>
      <w:proofErr w:type="spellEnd"/>
      <w:r w:rsidR="00777DCB" w:rsidRPr="00A52585">
        <w:rPr>
          <w:rtl/>
        </w:rPr>
        <w:t xml:space="preserve"> زلتم محفوظين ولمذهب أهل</w:t>
      </w:r>
      <w:r w:rsidR="00777DCB" w:rsidRPr="00A52585">
        <w:t xml:space="preserve"> </w:t>
      </w:r>
      <w:r w:rsidR="00777DCB" w:rsidRPr="00A52585">
        <w:rPr>
          <w:rtl/>
        </w:rPr>
        <w:t>السنة والجماعة ناصرين آمين</w:t>
      </w:r>
      <w:r w:rsidR="00DB731D" w:rsidRPr="00A52585">
        <w:rPr>
          <w:rtl/>
        </w:rPr>
        <w:t>،</w:t>
      </w:r>
      <w:r w:rsidRPr="00A52585">
        <w:rPr>
          <w:rtl/>
        </w:rPr>
        <w:t xml:space="preserve"> </w:t>
      </w:r>
      <w:r w:rsidR="00777DCB" w:rsidRPr="00A52585">
        <w:rPr>
          <w:rtl/>
        </w:rPr>
        <w:t>وهذا نص جوابه حفظه الله</w:t>
      </w:r>
      <w:r w:rsidRPr="00A52585">
        <w:rPr>
          <w:rtl/>
        </w:rPr>
        <w:t>:</w:t>
      </w:r>
      <w:r w:rsidR="00777DCB" w:rsidRPr="00A52585">
        <w:rPr>
          <w:rtl/>
        </w:rPr>
        <w:t xml:space="preserve"> إلى</w:t>
      </w:r>
      <w:r w:rsidR="00777DCB" w:rsidRPr="00A52585">
        <w:t xml:space="preserve"> </w:t>
      </w:r>
      <w:r w:rsidR="00777DCB" w:rsidRPr="00A52585">
        <w:rPr>
          <w:rtl/>
        </w:rPr>
        <w:t xml:space="preserve">حضرة الفاضل العلامة الشيخ أحمد علي بدر خادم العلم الشريف </w:t>
      </w:r>
      <w:proofErr w:type="spellStart"/>
      <w:r w:rsidR="00777DCB" w:rsidRPr="00A52585">
        <w:rPr>
          <w:rtl/>
        </w:rPr>
        <w:t>ببلصفورة</w:t>
      </w:r>
      <w:proofErr w:type="spellEnd"/>
      <w:r w:rsidRPr="00A52585">
        <w:rPr>
          <w:rtl/>
        </w:rPr>
        <w:t>:</w:t>
      </w:r>
      <w:r w:rsidR="00777DCB" w:rsidRPr="00A52585">
        <w:rPr>
          <w:rtl/>
        </w:rPr>
        <w:t xml:space="preserve"> قد أرسلتم بتاريخ 22 محرم سنة</w:t>
      </w:r>
      <w:r w:rsidR="00777DCB" w:rsidRPr="00A52585">
        <w:t xml:space="preserve"> 1325 </w:t>
      </w:r>
      <w:r w:rsidR="00777DCB" w:rsidRPr="00A52585">
        <w:rPr>
          <w:rtl/>
        </w:rPr>
        <w:t>هـ</w:t>
      </w:r>
      <w:r w:rsidR="00897A24" w:rsidRPr="00A52585">
        <w:rPr>
          <w:rtl/>
        </w:rPr>
        <w:t>.</w:t>
      </w:r>
      <w:r w:rsidR="00777DCB" w:rsidRPr="00A52585">
        <w:rPr>
          <w:rtl/>
        </w:rPr>
        <w:t xml:space="preserve"> مكتوباً مصحوباً بسؤال عن حكم من يعتقد ثبوت الجهة له تعالى</w:t>
      </w:r>
      <w:r w:rsidR="00DB731D" w:rsidRPr="00A52585">
        <w:rPr>
          <w:rtl/>
        </w:rPr>
        <w:t>،</w:t>
      </w:r>
      <w:r w:rsidR="00777DCB" w:rsidRPr="00A52585">
        <w:rPr>
          <w:rtl/>
        </w:rPr>
        <w:t xml:space="preserve"> فحررنا لكم</w:t>
      </w:r>
      <w:r w:rsidR="00777DCB" w:rsidRPr="00A52585">
        <w:t xml:space="preserve"> </w:t>
      </w:r>
      <w:r w:rsidR="00777DCB" w:rsidRPr="00A52585">
        <w:rPr>
          <w:rtl/>
        </w:rPr>
        <w:t>الجواب الآتي وفيه الكفاية لمن اتبع الحق وأنصف</w:t>
      </w:r>
      <w:r w:rsidR="00DB731D" w:rsidRPr="00A52585">
        <w:rPr>
          <w:rtl/>
        </w:rPr>
        <w:t>،</w:t>
      </w:r>
      <w:r w:rsidR="00777DCB" w:rsidRPr="00A52585">
        <w:rPr>
          <w:rtl/>
        </w:rPr>
        <w:t xml:space="preserve"> جزاكم الله عن المسلمين خيراً</w:t>
      </w:r>
      <w:r w:rsidRPr="00A52585">
        <w:rPr>
          <w:rtl/>
        </w:rPr>
        <w:t>:</w:t>
      </w:r>
      <w:r w:rsidR="00777DCB" w:rsidRPr="00A52585">
        <w:t xml:space="preserve"> </w:t>
      </w:r>
      <w:proofErr w:type="spellStart"/>
      <w:r w:rsidR="00777DCB" w:rsidRPr="00A52585">
        <w:rPr>
          <w:rtl/>
        </w:rPr>
        <w:t>إعلم</w:t>
      </w:r>
      <w:proofErr w:type="spellEnd"/>
      <w:r w:rsidR="00777DCB" w:rsidRPr="00A52585">
        <w:rPr>
          <w:rtl/>
        </w:rPr>
        <w:t xml:space="preserve"> أيدك الله بتوفيقه وسلك</w:t>
      </w:r>
      <w:r w:rsidR="00777DCB" w:rsidRPr="00A52585">
        <w:t xml:space="preserve"> </w:t>
      </w:r>
      <w:r w:rsidR="00777DCB" w:rsidRPr="00A52585">
        <w:rPr>
          <w:rtl/>
        </w:rPr>
        <w:t>بنا وبك سواء طريقه</w:t>
      </w:r>
      <w:r w:rsidR="00DB731D" w:rsidRPr="00A52585">
        <w:rPr>
          <w:rtl/>
        </w:rPr>
        <w:t>،</w:t>
      </w:r>
      <w:r w:rsidR="00777DCB" w:rsidRPr="00A52585">
        <w:rPr>
          <w:rtl/>
        </w:rPr>
        <w:t xml:space="preserve"> أن مذهب الفرقة الناجية وما عليه أجمع السنيون أن الله تعالى</w:t>
      </w:r>
      <w:r w:rsidR="00777DCB" w:rsidRPr="00A52585">
        <w:t xml:space="preserve"> </w:t>
      </w:r>
      <w:r w:rsidR="00777DCB" w:rsidRPr="00A52585">
        <w:rPr>
          <w:rtl/>
        </w:rPr>
        <w:t>منزه عن مشابهة الحوادث مخالف لها في جميع سمات الحدوث</w:t>
      </w:r>
      <w:r w:rsidR="00DB731D" w:rsidRPr="00A52585">
        <w:rPr>
          <w:rtl/>
        </w:rPr>
        <w:t>،</w:t>
      </w:r>
      <w:r w:rsidR="00777DCB" w:rsidRPr="00A52585">
        <w:rPr>
          <w:rtl/>
        </w:rPr>
        <w:t xml:space="preserve"> ومن ذلك تنزهه عن الجهة</w:t>
      </w:r>
      <w:r w:rsidR="00777DCB" w:rsidRPr="00A52585">
        <w:t xml:space="preserve"> </w:t>
      </w:r>
      <w:r w:rsidR="00777DCB" w:rsidRPr="00A52585">
        <w:rPr>
          <w:rtl/>
        </w:rPr>
        <w:t>والمكان كما دلت على ذلك البراهين القطعية</w:t>
      </w:r>
      <w:r w:rsidR="00DB731D" w:rsidRPr="00A52585">
        <w:rPr>
          <w:rtl/>
        </w:rPr>
        <w:t>،</w:t>
      </w:r>
      <w:r w:rsidR="00777DCB" w:rsidRPr="00A52585">
        <w:rPr>
          <w:rtl/>
        </w:rPr>
        <w:t xml:space="preserve"> فإن كونه في جهة يستلزم قدم الجهة أو</w:t>
      </w:r>
      <w:r w:rsidR="00777DCB" w:rsidRPr="00A52585">
        <w:t xml:space="preserve"> </w:t>
      </w:r>
      <w:r w:rsidR="00777DCB" w:rsidRPr="00A52585">
        <w:rPr>
          <w:rtl/>
        </w:rPr>
        <w:t>المكان وهما من العالم وهو ما سوى الله تعالى</w:t>
      </w:r>
      <w:r w:rsidR="00DB731D" w:rsidRPr="00A52585">
        <w:rPr>
          <w:rtl/>
        </w:rPr>
        <w:t>،</w:t>
      </w:r>
      <w:r w:rsidR="00777DCB" w:rsidRPr="00A52585">
        <w:rPr>
          <w:rtl/>
        </w:rPr>
        <w:t xml:space="preserve"> وقد قام البرهان القاطع على حدوث كل</w:t>
      </w:r>
      <w:r w:rsidR="00777DCB" w:rsidRPr="00A52585">
        <w:t xml:space="preserve"> </w:t>
      </w:r>
      <w:r w:rsidR="00777DCB" w:rsidRPr="00A52585">
        <w:rPr>
          <w:rtl/>
        </w:rPr>
        <w:t>ما سوى الله تعالى بإجماع من أثبت الجهة ومن نفاها</w:t>
      </w:r>
      <w:r w:rsidR="00DB731D" w:rsidRPr="00A52585">
        <w:rPr>
          <w:rtl/>
        </w:rPr>
        <w:t>،</w:t>
      </w:r>
      <w:r w:rsidR="00777DCB" w:rsidRPr="00A52585">
        <w:rPr>
          <w:rtl/>
        </w:rPr>
        <w:t xml:space="preserve"> ولأن المتمكن يستحيل وجود ذاته</w:t>
      </w:r>
      <w:r w:rsidR="00777DCB" w:rsidRPr="00A52585">
        <w:t xml:space="preserve"> </w:t>
      </w:r>
      <w:r w:rsidR="00777DCB" w:rsidRPr="00A52585">
        <w:rPr>
          <w:rtl/>
        </w:rPr>
        <w:t>بدون المكان مع أن المكان يمكن وجوده بدون المتمكن لجواز الخلاء فيلزم إمكان الواجب</w:t>
      </w:r>
      <w:r w:rsidR="00777DCB" w:rsidRPr="00A52585">
        <w:t xml:space="preserve"> </w:t>
      </w:r>
      <w:r w:rsidR="00777DCB" w:rsidRPr="00A52585">
        <w:rPr>
          <w:rtl/>
        </w:rPr>
        <w:t>ووجوب الممكن وكلاهما باطل</w:t>
      </w:r>
      <w:r w:rsidR="00DB731D" w:rsidRPr="00A52585">
        <w:rPr>
          <w:rtl/>
        </w:rPr>
        <w:t>،</w:t>
      </w:r>
      <w:r w:rsidR="00777DCB" w:rsidRPr="00A52585">
        <w:rPr>
          <w:rtl/>
        </w:rPr>
        <w:t xml:space="preserve"> ولأنه لو تحيز لكان جوهراً</w:t>
      </w:r>
      <w:r w:rsidR="00777DCB" w:rsidRPr="00A52585">
        <w:t xml:space="preserve"> </w:t>
      </w:r>
      <w:r w:rsidR="00777DCB" w:rsidRPr="00A52585">
        <w:rPr>
          <w:rtl/>
        </w:rPr>
        <w:t>لاستحالة كونه عرضاً</w:t>
      </w:r>
      <w:r w:rsidR="00DB731D" w:rsidRPr="00A52585">
        <w:rPr>
          <w:rtl/>
        </w:rPr>
        <w:t>،</w:t>
      </w:r>
      <w:r w:rsidR="00777DCB" w:rsidRPr="00A52585">
        <w:rPr>
          <w:rtl/>
        </w:rPr>
        <w:t xml:space="preserve"> ولو كان جوهراً فإما أن ينقسم وإما أن لا ينقسم</w:t>
      </w:r>
      <w:r w:rsidR="00DB731D" w:rsidRPr="00A52585">
        <w:rPr>
          <w:rtl/>
        </w:rPr>
        <w:t>،</w:t>
      </w:r>
      <w:r w:rsidR="00777DCB" w:rsidRPr="00A52585">
        <w:rPr>
          <w:rtl/>
        </w:rPr>
        <w:t xml:space="preserve"> كلاهما</w:t>
      </w:r>
      <w:r w:rsidR="00777DCB" w:rsidRPr="00A52585">
        <w:t xml:space="preserve"> </w:t>
      </w:r>
      <w:r w:rsidR="00777DCB" w:rsidRPr="00A52585">
        <w:rPr>
          <w:rtl/>
        </w:rPr>
        <w:t>باطل</w:t>
      </w:r>
      <w:r w:rsidR="00DB731D" w:rsidRPr="00A52585">
        <w:rPr>
          <w:rtl/>
        </w:rPr>
        <w:t>،</w:t>
      </w:r>
      <w:r w:rsidR="00777DCB" w:rsidRPr="00A52585">
        <w:rPr>
          <w:rtl/>
        </w:rPr>
        <w:t xml:space="preserve"> فإن غير المنقسم هو الجزء الذي لا يتجزأ وهو أحقر الأشياء</w:t>
      </w:r>
      <w:r w:rsidR="00DB731D" w:rsidRPr="00A52585">
        <w:rPr>
          <w:rtl/>
        </w:rPr>
        <w:t>،</w:t>
      </w:r>
      <w:r w:rsidR="00777DCB" w:rsidRPr="00A52585">
        <w:rPr>
          <w:rtl/>
        </w:rPr>
        <w:t xml:space="preserve"> تعالى الله عن</w:t>
      </w:r>
      <w:r w:rsidR="00777DCB" w:rsidRPr="00A52585">
        <w:t xml:space="preserve"> </w:t>
      </w:r>
      <w:r w:rsidR="00777DCB" w:rsidRPr="00A52585">
        <w:rPr>
          <w:rtl/>
        </w:rPr>
        <w:t>ذلك علواً كبيراً</w:t>
      </w:r>
      <w:r w:rsidR="00897A24" w:rsidRPr="00A52585">
        <w:rPr>
          <w:rtl/>
        </w:rPr>
        <w:t>.</w:t>
      </w:r>
      <w:r w:rsidR="00777DCB" w:rsidRPr="00A52585">
        <w:rPr>
          <w:rtl/>
        </w:rPr>
        <w:t xml:space="preserve"> والمنقسم جسم وهو مركب والتركيب ينافي الوجوب الذاتي</w:t>
      </w:r>
      <w:r w:rsidR="00DB731D" w:rsidRPr="00A52585">
        <w:rPr>
          <w:rtl/>
        </w:rPr>
        <w:t>،</w:t>
      </w:r>
      <w:r w:rsidR="00777DCB" w:rsidRPr="00A52585">
        <w:rPr>
          <w:rtl/>
        </w:rPr>
        <w:t xml:space="preserve"> فيكون</w:t>
      </w:r>
      <w:r w:rsidR="00777DCB" w:rsidRPr="00A52585">
        <w:t xml:space="preserve"> </w:t>
      </w:r>
      <w:r w:rsidR="00777DCB" w:rsidRPr="00A52585">
        <w:rPr>
          <w:rtl/>
        </w:rPr>
        <w:t>المركب ممكناً يحتاج إلى علة مؤثرة</w:t>
      </w:r>
      <w:r w:rsidR="00DB731D" w:rsidRPr="00A52585">
        <w:rPr>
          <w:rtl/>
        </w:rPr>
        <w:t>،</w:t>
      </w:r>
      <w:r w:rsidR="00777DCB" w:rsidRPr="00A52585">
        <w:rPr>
          <w:rtl/>
        </w:rPr>
        <w:t xml:space="preserve"> وقد ثبت بالبرهان القاطع أنه تعالى واجب</w:t>
      </w:r>
      <w:r w:rsidR="00777DCB" w:rsidRPr="00A52585">
        <w:t xml:space="preserve"> </w:t>
      </w:r>
      <w:r w:rsidR="00777DCB" w:rsidRPr="00A52585">
        <w:rPr>
          <w:rtl/>
        </w:rPr>
        <w:t>الوجود لذاته</w:t>
      </w:r>
      <w:r w:rsidR="00DB731D" w:rsidRPr="00A52585">
        <w:rPr>
          <w:rtl/>
        </w:rPr>
        <w:t>،</w:t>
      </w:r>
      <w:r w:rsidR="00777DCB" w:rsidRPr="00A52585">
        <w:rPr>
          <w:rtl/>
        </w:rPr>
        <w:t xml:space="preserve"> غني عن كل ما سواه</w:t>
      </w:r>
      <w:r w:rsidR="00DB731D" w:rsidRPr="00A52585">
        <w:rPr>
          <w:rtl/>
        </w:rPr>
        <w:t>،</w:t>
      </w:r>
      <w:r w:rsidR="00777DCB" w:rsidRPr="00A52585">
        <w:rPr>
          <w:rtl/>
        </w:rPr>
        <w:t xml:space="preserve"> مفتقر إليه كل ما عداه</w:t>
      </w:r>
      <w:r w:rsidR="00DB731D" w:rsidRPr="00A52585">
        <w:rPr>
          <w:rtl/>
        </w:rPr>
        <w:t>،</w:t>
      </w:r>
      <w:r w:rsidR="00777DCB" w:rsidRPr="00A52585">
        <w:rPr>
          <w:rtl/>
        </w:rPr>
        <w:t xml:space="preserve"> سبحانه ليس كمثله شيء</w:t>
      </w:r>
      <w:r w:rsidR="00777DCB" w:rsidRPr="00A52585">
        <w:t xml:space="preserve"> </w:t>
      </w:r>
      <w:r w:rsidR="00777DCB" w:rsidRPr="00A52585">
        <w:rPr>
          <w:rtl/>
        </w:rPr>
        <w:t>وهو السميع البصير</w:t>
      </w:r>
      <w:r w:rsidR="00DB731D" w:rsidRPr="00A52585">
        <w:rPr>
          <w:rtl/>
        </w:rPr>
        <w:t>،</w:t>
      </w:r>
      <w:r w:rsidR="00777DCB" w:rsidRPr="00A52585">
        <w:rPr>
          <w:rtl/>
          <w:lang w:bidi="ar-KW"/>
        </w:rPr>
        <w:t xml:space="preserve"> </w:t>
      </w:r>
      <w:r w:rsidR="00777DCB" w:rsidRPr="00A52585">
        <w:rPr>
          <w:rtl/>
        </w:rPr>
        <w:t>هذا وقد خذل الله أقواماً</w:t>
      </w:r>
      <w:r w:rsidR="00777DCB" w:rsidRPr="00A52585">
        <w:t xml:space="preserve"> </w:t>
      </w:r>
      <w:r w:rsidR="00777DCB" w:rsidRPr="00A52585">
        <w:rPr>
          <w:rtl/>
        </w:rPr>
        <w:t>أغواهم الشيطان وأزلهم، اتبعوا أهواءهم وتمسكوا بما لا يجدي فاعتقدوا ثبوت الجهة</w:t>
      </w:r>
      <w:r w:rsidR="00777DCB" w:rsidRPr="00A52585">
        <w:t xml:space="preserve"> </w:t>
      </w:r>
      <w:r w:rsidR="00777DCB" w:rsidRPr="00A52585">
        <w:rPr>
          <w:rtl/>
        </w:rPr>
        <w:lastRenderedPageBreak/>
        <w:t>تعالى الله عن ذلك علواً كبيراً</w:t>
      </w:r>
      <w:r w:rsidR="00DB731D" w:rsidRPr="00A52585">
        <w:rPr>
          <w:rtl/>
        </w:rPr>
        <w:t>،</w:t>
      </w:r>
      <w:r w:rsidR="00777DCB" w:rsidRPr="00A52585">
        <w:rPr>
          <w:rtl/>
        </w:rPr>
        <w:t xml:space="preserve"> واتفقوا على أنها جهة فوق إلا أنهم افترقوا فمنهم</w:t>
      </w:r>
      <w:r w:rsidR="00777DCB" w:rsidRPr="00A52585">
        <w:t xml:space="preserve"> </w:t>
      </w:r>
      <w:r w:rsidR="00777DCB" w:rsidRPr="00A52585">
        <w:rPr>
          <w:rtl/>
        </w:rPr>
        <w:t>من اعتقد أنه جسم مماس للسطح الأعلى من العرش</w:t>
      </w:r>
      <w:r w:rsidR="00DB731D" w:rsidRPr="00A52585">
        <w:rPr>
          <w:rtl/>
        </w:rPr>
        <w:t>،</w:t>
      </w:r>
      <w:r w:rsidR="00777DCB" w:rsidRPr="00A52585">
        <w:rPr>
          <w:rtl/>
        </w:rPr>
        <w:t xml:space="preserve"> وبه قال الكرامية واليهود</w:t>
      </w:r>
      <w:r w:rsidR="00DB731D" w:rsidRPr="00A52585">
        <w:rPr>
          <w:rtl/>
        </w:rPr>
        <w:t>،</w:t>
      </w:r>
      <w:r w:rsidR="00777DCB" w:rsidRPr="00A52585">
        <w:rPr>
          <w:rtl/>
        </w:rPr>
        <w:t xml:space="preserve"> وهؤلاء</w:t>
      </w:r>
      <w:r w:rsidR="00777DCB" w:rsidRPr="00A52585">
        <w:t xml:space="preserve"> </w:t>
      </w:r>
      <w:r w:rsidR="00777DCB" w:rsidRPr="00A52585">
        <w:rPr>
          <w:rtl/>
        </w:rPr>
        <w:t>لا نزاع في كفرهم</w:t>
      </w:r>
      <w:r w:rsidR="00DB731D" w:rsidRPr="00A52585">
        <w:rPr>
          <w:rtl/>
        </w:rPr>
        <w:t>،</w:t>
      </w:r>
      <w:r w:rsidR="00777DCB" w:rsidRPr="00A52585">
        <w:rPr>
          <w:rtl/>
        </w:rPr>
        <w:t xml:space="preserve"> ومنهم من أثبت الجهة مع التنزيه</w:t>
      </w:r>
      <w:r w:rsidR="00DB731D" w:rsidRPr="00A52585">
        <w:rPr>
          <w:rtl/>
        </w:rPr>
        <w:t>،</w:t>
      </w:r>
      <w:r w:rsidR="00777DCB" w:rsidRPr="00A52585">
        <w:rPr>
          <w:rtl/>
        </w:rPr>
        <w:t xml:space="preserve"> وأن كونه فيها ليس ككون</w:t>
      </w:r>
      <w:r w:rsidR="00777DCB" w:rsidRPr="00A52585">
        <w:t xml:space="preserve"> </w:t>
      </w:r>
      <w:r w:rsidR="00777DCB" w:rsidRPr="00A52585">
        <w:rPr>
          <w:rtl/>
        </w:rPr>
        <w:t>الأجسام وهؤلاء ضلال فساق في عقيدتهم</w:t>
      </w:r>
      <w:r w:rsidR="00DB731D" w:rsidRPr="00A52585">
        <w:rPr>
          <w:rtl/>
        </w:rPr>
        <w:t>،</w:t>
      </w:r>
      <w:r w:rsidR="00777DCB" w:rsidRPr="00A52585">
        <w:rPr>
          <w:rtl/>
        </w:rPr>
        <w:t xml:space="preserve"> وإطلاقهم على الله ما لم يأذن به الشارع</w:t>
      </w:r>
      <w:r w:rsidR="00897A24" w:rsidRPr="00A52585">
        <w:rPr>
          <w:rtl/>
        </w:rPr>
        <w:t>.</w:t>
      </w:r>
      <w:r w:rsidR="00777DCB" w:rsidRPr="00A52585">
        <w:t xml:space="preserve"> </w:t>
      </w:r>
      <w:r w:rsidR="00777DCB" w:rsidRPr="00A52585">
        <w:rPr>
          <w:rtl/>
        </w:rPr>
        <w:t>ولا مرية أن فاسق العقيدة أقبح وأشنع من فاسق الجارحة بكثير سيما من كان داعية أو</w:t>
      </w:r>
      <w:r w:rsidR="00777DCB" w:rsidRPr="00A52585">
        <w:t xml:space="preserve"> </w:t>
      </w:r>
      <w:r w:rsidR="00777DCB" w:rsidRPr="00A52585">
        <w:rPr>
          <w:rtl/>
        </w:rPr>
        <w:t>مقتدى به</w:t>
      </w:r>
      <w:r w:rsidR="00DB731D" w:rsidRPr="00A52585">
        <w:rPr>
          <w:rtl/>
        </w:rPr>
        <w:t>،</w:t>
      </w:r>
      <w:r w:rsidRPr="00A52585">
        <w:rPr>
          <w:rtl/>
        </w:rPr>
        <w:t xml:space="preserve"> </w:t>
      </w:r>
      <w:r w:rsidR="00777DCB" w:rsidRPr="00A52585">
        <w:rPr>
          <w:rtl/>
        </w:rPr>
        <w:t>وممن نسب إليه القول بالجهة من</w:t>
      </w:r>
      <w:r w:rsidR="00777DCB" w:rsidRPr="00A52585">
        <w:t xml:space="preserve"> </w:t>
      </w:r>
      <w:r w:rsidR="00777DCB" w:rsidRPr="00A52585">
        <w:rPr>
          <w:rtl/>
        </w:rPr>
        <w:t>المتأخرين أحمد بن عبد الحليم بن عبد السلام بن تيمية الحراني الحنبلي الدمشقي من</w:t>
      </w:r>
      <w:r w:rsidR="00777DCB" w:rsidRPr="00A52585">
        <w:t xml:space="preserve"> </w:t>
      </w:r>
      <w:r w:rsidR="00777DCB" w:rsidRPr="00A52585">
        <w:rPr>
          <w:rtl/>
        </w:rPr>
        <w:t>علماء القرن الثامن</w:t>
      </w:r>
      <w:r w:rsidR="00DB731D" w:rsidRPr="00A52585">
        <w:rPr>
          <w:rtl/>
        </w:rPr>
        <w:t>،</w:t>
      </w:r>
      <w:r w:rsidR="00777DCB" w:rsidRPr="00A52585">
        <w:rPr>
          <w:rtl/>
        </w:rPr>
        <w:t xml:space="preserve"> في ضمن أمور نسبت إليه خالف الإجماع فيها عملاً برأيه وشنع</w:t>
      </w:r>
      <w:r w:rsidR="00777DCB" w:rsidRPr="00A52585">
        <w:t xml:space="preserve"> </w:t>
      </w:r>
      <w:r w:rsidR="00777DCB" w:rsidRPr="00A52585">
        <w:rPr>
          <w:rtl/>
        </w:rPr>
        <w:t>عليه معاصروه بل البعض منهم كفروه</w:t>
      </w:r>
      <w:r w:rsidR="00DB731D" w:rsidRPr="00A52585">
        <w:rPr>
          <w:rtl/>
        </w:rPr>
        <w:t>،</w:t>
      </w:r>
      <w:r w:rsidR="00777DCB" w:rsidRPr="00A52585">
        <w:rPr>
          <w:rtl/>
        </w:rPr>
        <w:t xml:space="preserve"> ولقي من الذل والهوان ما لقي</w:t>
      </w:r>
      <w:r w:rsidR="00DB731D" w:rsidRPr="00A52585">
        <w:rPr>
          <w:rtl/>
        </w:rPr>
        <w:t>،</w:t>
      </w:r>
      <w:r w:rsidR="00777DCB" w:rsidRPr="00A52585">
        <w:rPr>
          <w:rtl/>
        </w:rPr>
        <w:t xml:space="preserve"> وقد انتدب بعض</w:t>
      </w:r>
      <w:r w:rsidR="00777DCB" w:rsidRPr="00A52585">
        <w:t xml:space="preserve"> </w:t>
      </w:r>
      <w:r w:rsidR="00777DCB" w:rsidRPr="00A52585">
        <w:rPr>
          <w:rtl/>
        </w:rPr>
        <w:t>تلامذته للذب عنه وتبرئته مما نسب إليه وساق له عبارات أوضح معناها</w:t>
      </w:r>
      <w:r w:rsidR="00DB731D" w:rsidRPr="00A52585">
        <w:rPr>
          <w:rtl/>
        </w:rPr>
        <w:t>،</w:t>
      </w:r>
      <w:r w:rsidR="00777DCB" w:rsidRPr="00A52585">
        <w:rPr>
          <w:rtl/>
        </w:rPr>
        <w:t xml:space="preserve"> وأبان غلط</w:t>
      </w:r>
      <w:r w:rsidR="00777DCB" w:rsidRPr="00A52585">
        <w:t xml:space="preserve"> </w:t>
      </w:r>
      <w:r w:rsidR="00777DCB" w:rsidRPr="00A52585">
        <w:rPr>
          <w:rtl/>
        </w:rPr>
        <w:t>الناس في فهم مراده</w:t>
      </w:r>
      <w:r w:rsidR="00DB731D" w:rsidRPr="00A52585">
        <w:rPr>
          <w:rtl/>
        </w:rPr>
        <w:t>،</w:t>
      </w:r>
      <w:r w:rsidR="00777DCB" w:rsidRPr="00A52585">
        <w:rPr>
          <w:rtl/>
        </w:rPr>
        <w:t xml:space="preserve"> واستشهد بعبارات له أخرى صريحة في دفع التهمة عنه</w:t>
      </w:r>
      <w:r w:rsidR="00DB731D" w:rsidRPr="00A52585">
        <w:rPr>
          <w:rtl/>
        </w:rPr>
        <w:t>،</w:t>
      </w:r>
      <w:r w:rsidR="00777DCB" w:rsidRPr="00A52585">
        <w:rPr>
          <w:rtl/>
        </w:rPr>
        <w:t xml:space="preserve"> وأنه لم</w:t>
      </w:r>
      <w:r w:rsidR="00777DCB" w:rsidRPr="00A52585">
        <w:t xml:space="preserve"> </w:t>
      </w:r>
      <w:r w:rsidR="00777DCB" w:rsidRPr="00A52585">
        <w:rPr>
          <w:rtl/>
        </w:rPr>
        <w:t>يخرج عما على الإجماع وذلك هو المظنون بالرجل لجلالة قدره ورسوخ قدمه</w:t>
      </w:r>
      <w:r w:rsidR="00DB731D" w:rsidRPr="00A52585">
        <w:rPr>
          <w:rtl/>
        </w:rPr>
        <w:t>،</w:t>
      </w:r>
      <w:r w:rsidR="00777DCB" w:rsidRPr="00A52585">
        <w:rPr>
          <w:rtl/>
        </w:rPr>
        <w:t xml:space="preserve"> وما تمسك به المخالفون القائلون</w:t>
      </w:r>
      <w:r w:rsidR="00777DCB" w:rsidRPr="00A52585">
        <w:t xml:space="preserve"> </w:t>
      </w:r>
      <w:r w:rsidR="00777DCB" w:rsidRPr="00A52585">
        <w:rPr>
          <w:rtl/>
        </w:rPr>
        <w:t>بالجهة أمور واهية وهمية</w:t>
      </w:r>
      <w:r w:rsidR="00DB731D" w:rsidRPr="00A52585">
        <w:rPr>
          <w:rtl/>
        </w:rPr>
        <w:t>،</w:t>
      </w:r>
      <w:r w:rsidR="00777DCB" w:rsidRPr="00A52585">
        <w:rPr>
          <w:rtl/>
        </w:rPr>
        <w:t xml:space="preserve"> لا تصلح أدلة عقلية ولا نقلية</w:t>
      </w:r>
      <w:r w:rsidR="00DB731D" w:rsidRPr="00A52585">
        <w:rPr>
          <w:rtl/>
        </w:rPr>
        <w:t>،</w:t>
      </w:r>
      <w:r w:rsidR="00777DCB" w:rsidRPr="00A52585">
        <w:rPr>
          <w:rtl/>
        </w:rPr>
        <w:t xml:space="preserve"> قد أبطلها العلماء بما</w:t>
      </w:r>
      <w:r w:rsidR="00777DCB" w:rsidRPr="00A52585">
        <w:t xml:space="preserve"> </w:t>
      </w:r>
      <w:r w:rsidR="00777DCB" w:rsidRPr="00A52585">
        <w:rPr>
          <w:rtl/>
        </w:rPr>
        <w:t>لا مزيد عليه</w:t>
      </w:r>
      <w:r w:rsidR="00DB731D" w:rsidRPr="00A52585">
        <w:rPr>
          <w:rtl/>
        </w:rPr>
        <w:t>،</w:t>
      </w:r>
      <w:r w:rsidR="00777DCB" w:rsidRPr="00A52585">
        <w:rPr>
          <w:rtl/>
        </w:rPr>
        <w:t xml:space="preserve"> وما تمسكوا به ظواهر آيات وأحاديث موهمة كقوله تعالى (الرحمن على</w:t>
      </w:r>
      <w:r w:rsidR="00777DCB" w:rsidRPr="00A52585">
        <w:t xml:space="preserve"> </w:t>
      </w:r>
      <w:r w:rsidR="00777DCB" w:rsidRPr="00A52585">
        <w:rPr>
          <w:rtl/>
        </w:rPr>
        <w:t>العرش استوى</w:t>
      </w:r>
      <w:r w:rsidRPr="00A52585">
        <w:rPr>
          <w:rtl/>
        </w:rPr>
        <w:t>)</w:t>
      </w:r>
      <w:r w:rsidR="00777DCB" w:rsidRPr="00A52585">
        <w:rPr>
          <w:rtl/>
        </w:rPr>
        <w:t xml:space="preserve"> وقوله </w:t>
      </w:r>
      <w:r w:rsidRPr="00A52585">
        <w:rPr>
          <w:rtl/>
        </w:rPr>
        <w:t>(</w:t>
      </w:r>
      <w:r w:rsidR="00777DCB" w:rsidRPr="00A52585">
        <w:rPr>
          <w:rtl/>
        </w:rPr>
        <w:t>إليه يصعد الكلم الطيب</w:t>
      </w:r>
      <w:r w:rsidRPr="00A52585">
        <w:rPr>
          <w:rtl/>
        </w:rPr>
        <w:t>)</w:t>
      </w:r>
      <w:r w:rsidR="00777DCB" w:rsidRPr="00A52585">
        <w:rPr>
          <w:rtl/>
        </w:rPr>
        <w:t xml:space="preserve"> وقوله </w:t>
      </w:r>
      <w:r w:rsidRPr="00A52585">
        <w:rPr>
          <w:rtl/>
        </w:rPr>
        <w:t>(</w:t>
      </w:r>
      <w:r w:rsidR="00777DCB" w:rsidRPr="00A52585">
        <w:rPr>
          <w:rtl/>
        </w:rPr>
        <w:t>تعرج الملائكة والروح إليه</w:t>
      </w:r>
      <w:r w:rsidRPr="00A52585">
        <w:rPr>
          <w:rtl/>
        </w:rPr>
        <w:t>)</w:t>
      </w:r>
      <w:r w:rsidR="00777DCB" w:rsidRPr="00A52585">
        <w:t xml:space="preserve"> </w:t>
      </w:r>
      <w:r w:rsidR="00777DCB" w:rsidRPr="00A52585">
        <w:rPr>
          <w:rtl/>
        </w:rPr>
        <w:t xml:space="preserve">وقوله </w:t>
      </w:r>
      <w:r w:rsidRPr="00A52585">
        <w:rPr>
          <w:rtl/>
        </w:rPr>
        <w:t>(</w:t>
      </w:r>
      <w:r w:rsidR="00777DCB" w:rsidRPr="00A52585">
        <w:rPr>
          <w:rtl/>
        </w:rPr>
        <w:t>أأمنتم من في السماء أن يخسف بكم الأرض</w:t>
      </w:r>
      <w:r w:rsidRPr="00A52585">
        <w:rPr>
          <w:rtl/>
        </w:rPr>
        <w:t>)</w:t>
      </w:r>
      <w:r w:rsidR="00777DCB" w:rsidRPr="00A52585">
        <w:rPr>
          <w:rtl/>
        </w:rPr>
        <w:t xml:space="preserve"> وقوله </w:t>
      </w:r>
      <w:r w:rsidRPr="00A52585">
        <w:rPr>
          <w:rtl/>
        </w:rPr>
        <w:t>(</w:t>
      </w:r>
      <w:r w:rsidR="00777DCB" w:rsidRPr="00A52585">
        <w:rPr>
          <w:rtl/>
        </w:rPr>
        <w:t>وهو القاهر فوق عباده</w:t>
      </w:r>
      <w:r w:rsidRPr="00A52585">
        <w:rPr>
          <w:rtl/>
        </w:rPr>
        <w:t>)</w:t>
      </w:r>
      <w:r w:rsidR="00777DCB" w:rsidRPr="00A52585">
        <w:t xml:space="preserve"> </w:t>
      </w:r>
      <w:r w:rsidR="00777DCB" w:rsidRPr="00A52585">
        <w:rPr>
          <w:rtl/>
        </w:rPr>
        <w:t>وكحديث إنه تعالى ينزل إلى سماء الدنيا كل ليلة</w:t>
      </w:r>
      <w:r w:rsidR="00DB731D" w:rsidRPr="00A52585">
        <w:rPr>
          <w:rtl/>
        </w:rPr>
        <w:t>،</w:t>
      </w:r>
      <w:r w:rsidR="00777DCB" w:rsidRPr="00A52585">
        <w:rPr>
          <w:rtl/>
        </w:rPr>
        <w:t xml:space="preserve"> وفي رواية في كل ليلة جمعة فيقول</w:t>
      </w:r>
      <w:r w:rsidR="00777DCB" w:rsidRPr="00A52585">
        <w:t xml:space="preserve"> </w:t>
      </w:r>
      <w:r w:rsidR="00777DCB" w:rsidRPr="00A52585">
        <w:rPr>
          <w:rtl/>
        </w:rPr>
        <w:t>هل من تائب فأتوب عليه</w:t>
      </w:r>
      <w:r w:rsidR="00F95886" w:rsidRPr="00A52585">
        <w:rPr>
          <w:rtl/>
        </w:rPr>
        <w:t>؟</w:t>
      </w:r>
      <w:r w:rsidR="00777DCB" w:rsidRPr="00A52585">
        <w:rPr>
          <w:rFonts w:hint="cs"/>
          <w:rtl/>
        </w:rPr>
        <w:t xml:space="preserve"> </w:t>
      </w:r>
      <w:r w:rsidR="00777DCB" w:rsidRPr="00A52585">
        <w:rPr>
          <w:rtl/>
        </w:rPr>
        <w:t>هل من مستغفر فأغفر له</w:t>
      </w:r>
      <w:r w:rsidR="00F95886" w:rsidRPr="00A52585">
        <w:rPr>
          <w:rtl/>
        </w:rPr>
        <w:t>؟</w:t>
      </w:r>
      <w:r w:rsidR="00777DCB" w:rsidRPr="00A52585">
        <w:rPr>
          <w:rtl/>
        </w:rPr>
        <w:t xml:space="preserve"> وكقوله</w:t>
      </w:r>
      <w:r w:rsidR="00777DCB" w:rsidRPr="00A52585">
        <w:t xml:space="preserve"> </w:t>
      </w:r>
      <w:r w:rsidR="00777DCB" w:rsidRPr="00A52585">
        <w:rPr>
          <w:rtl/>
        </w:rPr>
        <w:t>للجارية الخرساء</w:t>
      </w:r>
      <w:r w:rsidRPr="00A52585">
        <w:rPr>
          <w:rtl/>
        </w:rPr>
        <w:t>:</w:t>
      </w:r>
      <w:r w:rsidR="00777DCB" w:rsidRPr="00A52585">
        <w:rPr>
          <w:rtl/>
        </w:rPr>
        <w:t xml:space="preserve"> أين الله فأشارت إلى السماء</w:t>
      </w:r>
      <w:r w:rsidR="00DB731D" w:rsidRPr="00A52585">
        <w:rPr>
          <w:rtl/>
        </w:rPr>
        <w:t>،</w:t>
      </w:r>
      <w:r w:rsidR="00777DCB" w:rsidRPr="00A52585">
        <w:rPr>
          <w:rtl/>
        </w:rPr>
        <w:t xml:space="preserve"> حيث سأل </w:t>
      </w:r>
      <w:proofErr w:type="spellStart"/>
      <w:r w:rsidR="00777DCB" w:rsidRPr="00A52585">
        <w:rPr>
          <w:rtl/>
        </w:rPr>
        <w:t>بأين</w:t>
      </w:r>
      <w:proofErr w:type="spellEnd"/>
      <w:r w:rsidR="00777DCB" w:rsidRPr="00A52585">
        <w:rPr>
          <w:rtl/>
        </w:rPr>
        <w:t xml:space="preserve"> التي للمكان ولم ينكر</w:t>
      </w:r>
      <w:r w:rsidR="00777DCB" w:rsidRPr="00A52585">
        <w:t xml:space="preserve"> </w:t>
      </w:r>
      <w:r w:rsidR="00777DCB" w:rsidRPr="00A52585">
        <w:rPr>
          <w:rtl/>
        </w:rPr>
        <w:t>عليها الإشارة إلى السماء</w:t>
      </w:r>
      <w:r w:rsidR="00DB731D" w:rsidRPr="00A52585">
        <w:rPr>
          <w:rtl/>
        </w:rPr>
        <w:t>،</w:t>
      </w:r>
      <w:r w:rsidR="00777DCB" w:rsidRPr="00A52585">
        <w:rPr>
          <w:rtl/>
        </w:rPr>
        <w:t xml:space="preserve"> بل قال إنها مؤمنة</w:t>
      </w:r>
      <w:r w:rsidR="00897A24" w:rsidRPr="00A52585">
        <w:rPr>
          <w:rtl/>
        </w:rPr>
        <w:t>.</w:t>
      </w:r>
      <w:r w:rsidR="00777DCB" w:rsidRPr="00A52585">
        <w:rPr>
          <w:rFonts w:hint="cs"/>
          <w:rtl/>
        </w:rPr>
        <w:t xml:space="preserve">، </w:t>
      </w:r>
      <w:r w:rsidR="00777DCB" w:rsidRPr="00A52585">
        <w:rPr>
          <w:rtl/>
        </w:rPr>
        <w:t>ومثل هذه يجاب عنها بأنها ظواهر</w:t>
      </w:r>
      <w:r w:rsidR="00777DCB" w:rsidRPr="00A52585">
        <w:t xml:space="preserve"> </w:t>
      </w:r>
      <w:r w:rsidR="00777DCB" w:rsidRPr="00A52585">
        <w:rPr>
          <w:rtl/>
        </w:rPr>
        <w:t>ظنية لا تعارض الأدلة القطعية اليقينية الدالة على انتفاء المكان والجهة</w:t>
      </w:r>
      <w:r w:rsidR="00DB731D" w:rsidRPr="00A52585">
        <w:rPr>
          <w:rtl/>
        </w:rPr>
        <w:t>،</w:t>
      </w:r>
      <w:r w:rsidR="00777DCB" w:rsidRPr="00A52585">
        <w:rPr>
          <w:rtl/>
        </w:rPr>
        <w:t xml:space="preserve"> فيجب</w:t>
      </w:r>
      <w:r w:rsidR="00777DCB" w:rsidRPr="00A52585">
        <w:t xml:space="preserve"> </w:t>
      </w:r>
      <w:r w:rsidR="00777DCB" w:rsidRPr="00A52585">
        <w:rPr>
          <w:rtl/>
        </w:rPr>
        <w:t xml:space="preserve">تأويلها وحملها على محامل صحيحة لا </w:t>
      </w:r>
      <w:proofErr w:type="spellStart"/>
      <w:r w:rsidR="00777DCB" w:rsidRPr="00A52585">
        <w:rPr>
          <w:rtl/>
        </w:rPr>
        <w:t>تأباها</w:t>
      </w:r>
      <w:proofErr w:type="spellEnd"/>
      <w:r w:rsidR="00777DCB" w:rsidRPr="00A52585">
        <w:rPr>
          <w:rtl/>
        </w:rPr>
        <w:t xml:space="preserve"> الدلائل والنصوص الشرعية</w:t>
      </w:r>
      <w:r w:rsidR="00DB731D" w:rsidRPr="00A52585">
        <w:rPr>
          <w:rtl/>
        </w:rPr>
        <w:t>،</w:t>
      </w:r>
      <w:r w:rsidR="00777DCB" w:rsidRPr="00A52585">
        <w:rPr>
          <w:rtl/>
        </w:rPr>
        <w:t xml:space="preserve"> إما تأويلاً</w:t>
      </w:r>
      <w:r w:rsidR="00777DCB" w:rsidRPr="00A52585">
        <w:t xml:space="preserve"> </w:t>
      </w:r>
      <w:r w:rsidR="00777DCB" w:rsidRPr="00A52585">
        <w:rPr>
          <w:rtl/>
        </w:rPr>
        <w:t>إجمالياً بلا تعيين للمراد منها كما هو مذهب السلف، وإما تأويلاً تفصيلياً بتعيين</w:t>
      </w:r>
      <w:r w:rsidR="00777DCB" w:rsidRPr="00A52585">
        <w:t xml:space="preserve"> </w:t>
      </w:r>
      <w:r w:rsidR="00777DCB" w:rsidRPr="00A52585">
        <w:rPr>
          <w:rtl/>
        </w:rPr>
        <w:t>محاملها وما يراد منها كما هو رأي الخلف</w:t>
      </w:r>
      <w:r w:rsidR="00DB731D" w:rsidRPr="00A52585">
        <w:rPr>
          <w:rtl/>
        </w:rPr>
        <w:t>،</w:t>
      </w:r>
      <w:r w:rsidR="00777DCB" w:rsidRPr="00A52585">
        <w:rPr>
          <w:rtl/>
        </w:rPr>
        <w:t xml:space="preserve"> كقولهم</w:t>
      </w:r>
      <w:r w:rsidRPr="00A52585">
        <w:rPr>
          <w:rtl/>
        </w:rPr>
        <w:t>:</w:t>
      </w:r>
      <w:r w:rsidR="00777DCB" w:rsidRPr="00A52585">
        <w:rPr>
          <w:rtl/>
        </w:rPr>
        <w:t xml:space="preserve"> إن </w:t>
      </w:r>
      <w:proofErr w:type="spellStart"/>
      <w:r w:rsidR="00777DCB" w:rsidRPr="00A52585">
        <w:rPr>
          <w:rtl/>
        </w:rPr>
        <w:t>الإستواء</w:t>
      </w:r>
      <w:proofErr w:type="spellEnd"/>
      <w:r w:rsidR="00777DCB" w:rsidRPr="00A52585">
        <w:rPr>
          <w:rtl/>
        </w:rPr>
        <w:t xml:space="preserve"> بمعنى </w:t>
      </w:r>
      <w:proofErr w:type="spellStart"/>
      <w:r w:rsidR="00777DCB" w:rsidRPr="00A52585">
        <w:rPr>
          <w:rtl/>
        </w:rPr>
        <w:t>الإستيلاء</w:t>
      </w:r>
      <w:proofErr w:type="spellEnd"/>
      <w:r w:rsidR="00777DCB" w:rsidRPr="00A52585">
        <w:t xml:space="preserve"> </w:t>
      </w:r>
      <w:r w:rsidR="00777DCB" w:rsidRPr="00A52585">
        <w:rPr>
          <w:rtl/>
        </w:rPr>
        <w:t>كما في قول القائل</w:t>
      </w:r>
      <w:r w:rsidRPr="00A52585">
        <w:rPr>
          <w:rtl/>
        </w:rPr>
        <w:t>:</w:t>
      </w:r>
      <w:r w:rsidR="00777DCB" w:rsidRPr="00A52585">
        <w:rPr>
          <w:rFonts w:hint="cs"/>
          <w:rtl/>
        </w:rPr>
        <w:t xml:space="preserve">" </w:t>
      </w:r>
      <w:r w:rsidR="00777DCB" w:rsidRPr="00A52585">
        <w:rPr>
          <w:rtl/>
        </w:rPr>
        <w:t>قد استوى بشر على العراق من غير</w:t>
      </w:r>
      <w:r w:rsidR="00777DCB" w:rsidRPr="00A52585">
        <w:t xml:space="preserve"> </w:t>
      </w:r>
      <w:r w:rsidR="00777DCB" w:rsidRPr="00A52585">
        <w:rPr>
          <w:rtl/>
        </w:rPr>
        <w:t>سيف ودم مهراق</w:t>
      </w:r>
      <w:r w:rsidR="00777DCB" w:rsidRPr="00A52585">
        <w:rPr>
          <w:rFonts w:hint="cs"/>
          <w:rtl/>
        </w:rPr>
        <w:t xml:space="preserve"> "</w:t>
      </w:r>
      <w:r w:rsidR="00DB731D" w:rsidRPr="00A52585">
        <w:rPr>
          <w:rFonts w:hint="cs"/>
          <w:rtl/>
        </w:rPr>
        <w:t>،</w:t>
      </w:r>
      <w:r w:rsidR="00777DCB" w:rsidRPr="00A52585">
        <w:rPr>
          <w:rFonts w:hint="cs"/>
          <w:rtl/>
        </w:rPr>
        <w:t xml:space="preserve"> </w:t>
      </w:r>
      <w:r w:rsidR="00777DCB" w:rsidRPr="00A52585">
        <w:rPr>
          <w:rtl/>
        </w:rPr>
        <w:t>وصعود الكلم الطيب إليه قبوله</w:t>
      </w:r>
      <w:r w:rsidR="00777DCB" w:rsidRPr="00A52585">
        <w:t xml:space="preserve"> </w:t>
      </w:r>
      <w:r w:rsidR="00777DCB" w:rsidRPr="00A52585">
        <w:rPr>
          <w:rtl/>
        </w:rPr>
        <w:t>إياه ورضاه به</w:t>
      </w:r>
      <w:r w:rsidR="00DB731D" w:rsidRPr="00A52585">
        <w:rPr>
          <w:rtl/>
        </w:rPr>
        <w:t>،</w:t>
      </w:r>
      <w:r w:rsidR="00777DCB" w:rsidRPr="00A52585">
        <w:rPr>
          <w:rtl/>
        </w:rPr>
        <w:t xml:space="preserve"> لأن الكلم عرض يستحيل صعوده</w:t>
      </w:r>
      <w:r w:rsidR="00DB731D" w:rsidRPr="00A52585">
        <w:rPr>
          <w:rtl/>
        </w:rPr>
        <w:t>،</w:t>
      </w:r>
      <w:r w:rsidR="00777DCB" w:rsidRPr="00A52585">
        <w:rPr>
          <w:rtl/>
          <w:lang w:bidi="ar-KW"/>
        </w:rPr>
        <w:t xml:space="preserve"> </w:t>
      </w:r>
      <w:r w:rsidR="00777DCB" w:rsidRPr="00A52585">
        <w:rPr>
          <w:rtl/>
        </w:rPr>
        <w:t>وقوله</w:t>
      </w:r>
      <w:r w:rsidRPr="00A52585">
        <w:rPr>
          <w:rtl/>
        </w:rPr>
        <w:t>:</w:t>
      </w:r>
      <w:r w:rsidR="00777DCB" w:rsidRPr="00A52585">
        <w:rPr>
          <w:rtl/>
        </w:rPr>
        <w:t xml:space="preserve"> من في السماء</w:t>
      </w:r>
      <w:r w:rsidR="00DB731D" w:rsidRPr="00A52585">
        <w:rPr>
          <w:rtl/>
        </w:rPr>
        <w:t>،</w:t>
      </w:r>
      <w:r w:rsidR="00777DCB" w:rsidRPr="00A52585">
        <w:rPr>
          <w:rtl/>
        </w:rPr>
        <w:t xml:space="preserve"> أي أمره</w:t>
      </w:r>
      <w:r w:rsidR="00777DCB" w:rsidRPr="00A52585">
        <w:t xml:space="preserve"> </w:t>
      </w:r>
      <w:r w:rsidR="00777DCB" w:rsidRPr="00A52585">
        <w:rPr>
          <w:rtl/>
        </w:rPr>
        <w:t>وسلطانه أو ملك من ملائكته وكل بالعذاب</w:t>
      </w:r>
      <w:r w:rsidR="00DB731D" w:rsidRPr="00A52585">
        <w:rPr>
          <w:rtl/>
        </w:rPr>
        <w:t>،</w:t>
      </w:r>
      <w:r w:rsidR="00777DCB" w:rsidRPr="00A52585">
        <w:rPr>
          <w:rtl/>
          <w:lang w:bidi="ar-KW"/>
        </w:rPr>
        <w:t xml:space="preserve"> </w:t>
      </w:r>
      <w:r w:rsidR="00777DCB" w:rsidRPr="00A52585">
        <w:rPr>
          <w:rtl/>
        </w:rPr>
        <w:t>وعروج الملائكة والروح إليه</w:t>
      </w:r>
      <w:r w:rsidRPr="00A52585">
        <w:rPr>
          <w:rtl/>
        </w:rPr>
        <w:t>:</w:t>
      </w:r>
      <w:r w:rsidR="00777DCB" w:rsidRPr="00A52585">
        <w:t xml:space="preserve"> </w:t>
      </w:r>
      <w:r w:rsidR="00777DCB" w:rsidRPr="00A52585">
        <w:rPr>
          <w:rtl/>
        </w:rPr>
        <w:t>صعودهم إلى مكان يتقرب إليه فيه. وقوله</w:t>
      </w:r>
      <w:r w:rsidRPr="00A52585">
        <w:rPr>
          <w:rtl/>
        </w:rPr>
        <w:t>:</w:t>
      </w:r>
      <w:r w:rsidR="00777DCB" w:rsidRPr="00A52585">
        <w:rPr>
          <w:rtl/>
        </w:rPr>
        <w:t xml:space="preserve"> فوق عباده</w:t>
      </w:r>
      <w:r w:rsidR="00DB731D" w:rsidRPr="00A52585">
        <w:rPr>
          <w:rtl/>
        </w:rPr>
        <w:t>،</w:t>
      </w:r>
      <w:r w:rsidR="00777DCB" w:rsidRPr="00A52585">
        <w:rPr>
          <w:rtl/>
        </w:rPr>
        <w:t xml:space="preserve"> أي بالقدرة والغلبة فإن كل من</w:t>
      </w:r>
      <w:r w:rsidR="00777DCB" w:rsidRPr="00A52585">
        <w:t xml:space="preserve"> </w:t>
      </w:r>
      <w:r w:rsidR="00777DCB" w:rsidRPr="00A52585">
        <w:rPr>
          <w:rtl/>
        </w:rPr>
        <w:t>قهر غيره وغلبه فهو فوقه أي عال عليه بالقهر والغلبة</w:t>
      </w:r>
      <w:r w:rsidR="00DB731D" w:rsidRPr="00A52585">
        <w:rPr>
          <w:rtl/>
        </w:rPr>
        <w:t>،</w:t>
      </w:r>
      <w:r w:rsidR="00777DCB" w:rsidRPr="00A52585">
        <w:rPr>
          <w:rtl/>
        </w:rPr>
        <w:t xml:space="preserve"> كما يقال أمر فلان فوق أمر</w:t>
      </w:r>
      <w:r w:rsidR="00777DCB" w:rsidRPr="00A52585">
        <w:t xml:space="preserve"> </w:t>
      </w:r>
      <w:r w:rsidR="00777DCB" w:rsidRPr="00A52585">
        <w:rPr>
          <w:rtl/>
        </w:rPr>
        <w:t>فلان</w:t>
      </w:r>
      <w:r w:rsidR="00DB731D" w:rsidRPr="00A52585">
        <w:rPr>
          <w:rtl/>
        </w:rPr>
        <w:t>،</w:t>
      </w:r>
      <w:r w:rsidR="00777DCB" w:rsidRPr="00A52585">
        <w:rPr>
          <w:rtl/>
        </w:rPr>
        <w:t xml:space="preserve"> أي أنه أقدر منه وأغلب</w:t>
      </w:r>
      <w:r w:rsidR="00897A24" w:rsidRPr="00A52585">
        <w:rPr>
          <w:rtl/>
        </w:rPr>
        <w:t>.</w:t>
      </w:r>
      <w:r w:rsidR="00777DCB" w:rsidRPr="00A52585">
        <w:rPr>
          <w:rtl/>
        </w:rPr>
        <w:t xml:space="preserve"> ونزوله إلى السماء محمول على لطفه ورحمته وعدم</w:t>
      </w:r>
      <w:r w:rsidR="00777DCB" w:rsidRPr="00A52585">
        <w:t xml:space="preserve"> </w:t>
      </w:r>
      <w:r w:rsidR="00777DCB" w:rsidRPr="00A52585">
        <w:rPr>
          <w:rtl/>
        </w:rPr>
        <w:t xml:space="preserve">المعاملة </w:t>
      </w:r>
      <w:r w:rsidR="00777DCB" w:rsidRPr="00A52585">
        <w:rPr>
          <w:rtl/>
        </w:rPr>
        <w:lastRenderedPageBreak/>
        <w:t>بما يستدعيه علو رتبته وعظم شأنه على سبيل التمثيل</w:t>
      </w:r>
      <w:r w:rsidR="00DB731D" w:rsidRPr="00A52585">
        <w:rPr>
          <w:rtl/>
        </w:rPr>
        <w:t>،</w:t>
      </w:r>
      <w:r w:rsidR="00777DCB" w:rsidRPr="00A52585">
        <w:rPr>
          <w:rtl/>
        </w:rPr>
        <w:t xml:space="preserve"> وخص الليل لأنه مظنة</w:t>
      </w:r>
      <w:r w:rsidR="00777DCB" w:rsidRPr="00A52585">
        <w:t xml:space="preserve"> </w:t>
      </w:r>
      <w:r w:rsidR="00777DCB" w:rsidRPr="00A52585">
        <w:rPr>
          <w:rtl/>
        </w:rPr>
        <w:t>الخلوة والخضوع وحضور القلب</w:t>
      </w:r>
      <w:r w:rsidR="00DB731D" w:rsidRPr="00A52585">
        <w:rPr>
          <w:rtl/>
        </w:rPr>
        <w:t>،</w:t>
      </w:r>
      <w:r w:rsidR="00777DCB" w:rsidRPr="00A52585">
        <w:rPr>
          <w:rtl/>
        </w:rPr>
        <w:t xml:space="preserve"> وسؤاله للجارية </w:t>
      </w:r>
      <w:r w:rsidRPr="00A52585">
        <w:rPr>
          <w:rtl/>
        </w:rPr>
        <w:t>(</w:t>
      </w:r>
      <w:proofErr w:type="spellStart"/>
      <w:r w:rsidR="00777DCB" w:rsidRPr="00A52585">
        <w:rPr>
          <w:rtl/>
        </w:rPr>
        <w:t>بأين</w:t>
      </w:r>
      <w:proofErr w:type="spellEnd"/>
      <w:r w:rsidR="00777DCB" w:rsidRPr="00A52585">
        <w:t xml:space="preserve"> </w:t>
      </w:r>
      <w:r w:rsidRPr="00A52585">
        <w:rPr>
          <w:rtl/>
        </w:rPr>
        <w:t>(</w:t>
      </w:r>
      <w:r w:rsidR="00777DCB" w:rsidRPr="00A52585">
        <w:rPr>
          <w:rtl/>
        </w:rPr>
        <w:t xml:space="preserve">استكشاف لما يظن بها اعتقاده من </w:t>
      </w:r>
      <w:proofErr w:type="spellStart"/>
      <w:r w:rsidR="00777DCB" w:rsidRPr="00A52585">
        <w:rPr>
          <w:rtl/>
        </w:rPr>
        <w:t>أينية</w:t>
      </w:r>
      <w:proofErr w:type="spellEnd"/>
      <w:r w:rsidR="00777DCB" w:rsidRPr="00A52585">
        <w:rPr>
          <w:rtl/>
        </w:rPr>
        <w:t xml:space="preserve"> المعبود كما يعتقده الوثنيون</w:t>
      </w:r>
      <w:r w:rsidR="00DB731D" w:rsidRPr="00A52585">
        <w:rPr>
          <w:rtl/>
        </w:rPr>
        <w:t>،</w:t>
      </w:r>
      <w:r w:rsidR="00777DCB" w:rsidRPr="00A52585">
        <w:rPr>
          <w:rtl/>
        </w:rPr>
        <w:t xml:space="preserve"> فلما أشارت</w:t>
      </w:r>
      <w:r w:rsidR="00777DCB" w:rsidRPr="00A52585">
        <w:t xml:space="preserve"> </w:t>
      </w:r>
      <w:r w:rsidR="00777DCB" w:rsidRPr="00A52585">
        <w:rPr>
          <w:rtl/>
        </w:rPr>
        <w:t>إلى السماء فهم أنها أرادت خالق السماء فاستبان أنها ليست وثنية</w:t>
      </w:r>
      <w:r w:rsidR="00DB731D" w:rsidRPr="00A52585">
        <w:rPr>
          <w:rtl/>
        </w:rPr>
        <w:t>،</w:t>
      </w:r>
      <w:r w:rsidR="00777DCB" w:rsidRPr="00A52585">
        <w:rPr>
          <w:rtl/>
        </w:rPr>
        <w:t xml:space="preserve"> وحكم بإيمانها</w:t>
      </w:r>
      <w:r w:rsidR="00DB731D" w:rsidRPr="00A52585">
        <w:rPr>
          <w:rtl/>
        </w:rPr>
        <w:t>،</w:t>
      </w:r>
      <w:r w:rsidR="00777DCB" w:rsidRPr="00A52585">
        <w:rPr>
          <w:rtl/>
        </w:rPr>
        <w:t xml:space="preserve"> وقد بسط العلماء في مطولاتهم</w:t>
      </w:r>
      <w:r w:rsidR="00777DCB" w:rsidRPr="00A52585">
        <w:t xml:space="preserve"> </w:t>
      </w:r>
      <w:r w:rsidR="00777DCB" w:rsidRPr="00A52585">
        <w:rPr>
          <w:rtl/>
        </w:rPr>
        <w:t>تأويل كل ما ورد من أمثال ذلك</w:t>
      </w:r>
      <w:r w:rsidR="00DB731D" w:rsidRPr="00A52585">
        <w:rPr>
          <w:rtl/>
        </w:rPr>
        <w:t>،</w:t>
      </w:r>
      <w:r w:rsidR="00777DCB" w:rsidRPr="00A52585">
        <w:rPr>
          <w:rtl/>
        </w:rPr>
        <w:t xml:space="preserve"> عملاً بالقطعي وحملاً للظني عليه</w:t>
      </w:r>
      <w:r w:rsidR="00DB731D" w:rsidRPr="00A52585">
        <w:rPr>
          <w:rtl/>
        </w:rPr>
        <w:t>،</w:t>
      </w:r>
      <w:r w:rsidR="00777DCB" w:rsidRPr="00A52585">
        <w:rPr>
          <w:rtl/>
        </w:rPr>
        <w:t xml:space="preserve"> فجزاهم الله عن</w:t>
      </w:r>
      <w:r w:rsidR="00777DCB" w:rsidRPr="00A52585">
        <w:t xml:space="preserve"> </w:t>
      </w:r>
      <w:r w:rsidR="00777DCB" w:rsidRPr="00A52585">
        <w:rPr>
          <w:rtl/>
        </w:rPr>
        <w:t>الدين وأهله خير الجزاء</w:t>
      </w:r>
      <w:r w:rsidR="00DB731D" w:rsidRPr="00A52585">
        <w:rPr>
          <w:rtl/>
        </w:rPr>
        <w:t>،</w:t>
      </w:r>
      <w:r w:rsidR="00777DCB" w:rsidRPr="00A52585">
        <w:rPr>
          <w:rtl/>
        </w:rPr>
        <w:t xml:space="preserve"> ومن العجيب أن يدع مسلم قول</w:t>
      </w:r>
      <w:r w:rsidR="00777DCB" w:rsidRPr="00A52585">
        <w:t xml:space="preserve"> </w:t>
      </w:r>
      <w:r w:rsidR="00777DCB" w:rsidRPr="00A52585">
        <w:rPr>
          <w:rtl/>
        </w:rPr>
        <w:t xml:space="preserve">جماعة المسلمين وأئمتهم </w:t>
      </w:r>
      <w:proofErr w:type="spellStart"/>
      <w:r w:rsidR="00777DCB" w:rsidRPr="00A52585">
        <w:rPr>
          <w:rtl/>
        </w:rPr>
        <w:t>ويتمشدق</w:t>
      </w:r>
      <w:proofErr w:type="spellEnd"/>
      <w:r w:rsidR="00777DCB" w:rsidRPr="00A52585">
        <w:rPr>
          <w:rtl/>
        </w:rPr>
        <w:t xml:space="preserve"> بترهات المبتدعين وضلالتهم</w:t>
      </w:r>
      <w:r w:rsidR="00DB731D" w:rsidRPr="00A52585">
        <w:rPr>
          <w:rtl/>
        </w:rPr>
        <w:t>،</w:t>
      </w:r>
      <w:r w:rsidR="00777DCB" w:rsidRPr="00A52585">
        <w:rPr>
          <w:rtl/>
        </w:rPr>
        <w:t xml:space="preserve"> أما سمع قول الله تعالى </w:t>
      </w:r>
      <w:r w:rsidRPr="00A52585">
        <w:rPr>
          <w:rtl/>
        </w:rPr>
        <w:t>(</w:t>
      </w:r>
      <w:r w:rsidR="00777DCB" w:rsidRPr="00A52585">
        <w:rPr>
          <w:rtl/>
        </w:rPr>
        <w:t>ومن</w:t>
      </w:r>
      <w:r w:rsidR="00777DCB" w:rsidRPr="00A52585">
        <w:t xml:space="preserve"> </w:t>
      </w:r>
      <w:r w:rsidR="00777DCB" w:rsidRPr="00A52585">
        <w:rPr>
          <w:rtl/>
        </w:rPr>
        <w:t>يشاقق الرسول من بعد ما تبين له الهدى ويتبع غير سبيل المؤمنين نوله ما تولى ونصله</w:t>
      </w:r>
      <w:r w:rsidR="00777DCB" w:rsidRPr="00A52585">
        <w:t xml:space="preserve"> </w:t>
      </w:r>
      <w:r w:rsidR="00777DCB" w:rsidRPr="00A52585">
        <w:rPr>
          <w:rtl/>
        </w:rPr>
        <w:t>جهنم وساءت مصيراً</w:t>
      </w:r>
      <w:r w:rsidRPr="00A52585">
        <w:rPr>
          <w:rtl/>
        </w:rPr>
        <w:t>)</w:t>
      </w:r>
      <w:r w:rsidR="00777DCB" w:rsidRPr="00A52585">
        <w:rPr>
          <w:rtl/>
        </w:rPr>
        <w:t xml:space="preserve"> فليتب إلى الله تعالى من تلطخ </w:t>
      </w:r>
      <w:proofErr w:type="spellStart"/>
      <w:r w:rsidR="00777DCB" w:rsidRPr="00A52585">
        <w:rPr>
          <w:rtl/>
        </w:rPr>
        <w:t>بشئ</w:t>
      </w:r>
      <w:proofErr w:type="spellEnd"/>
      <w:r w:rsidR="00777DCB" w:rsidRPr="00A52585">
        <w:rPr>
          <w:rtl/>
        </w:rPr>
        <w:t xml:space="preserve"> من هذه القاذورات ولا يتبع</w:t>
      </w:r>
      <w:r w:rsidR="00777DCB" w:rsidRPr="00A52585">
        <w:t xml:space="preserve"> </w:t>
      </w:r>
      <w:r w:rsidR="00777DCB" w:rsidRPr="00A52585">
        <w:rPr>
          <w:rtl/>
        </w:rPr>
        <w:t>خطوات الشيطان فإنه يأمر بالفحشاء والمنكر</w:t>
      </w:r>
      <w:r w:rsidR="00DB731D" w:rsidRPr="00A52585">
        <w:rPr>
          <w:rtl/>
        </w:rPr>
        <w:t>،</w:t>
      </w:r>
      <w:r w:rsidR="00777DCB" w:rsidRPr="00A52585">
        <w:rPr>
          <w:rtl/>
        </w:rPr>
        <w:t xml:space="preserve"> ولا يحملنه العناد على التمادي</w:t>
      </w:r>
      <w:r w:rsidR="00777DCB" w:rsidRPr="00A52585">
        <w:t xml:space="preserve"> </w:t>
      </w:r>
      <w:r w:rsidR="00777DCB" w:rsidRPr="00A52585">
        <w:rPr>
          <w:rtl/>
        </w:rPr>
        <w:t>والإصرار عليه</w:t>
      </w:r>
      <w:r w:rsidR="00DB731D" w:rsidRPr="00A52585">
        <w:rPr>
          <w:rtl/>
        </w:rPr>
        <w:t>،</w:t>
      </w:r>
      <w:r w:rsidR="00777DCB" w:rsidRPr="00A52585">
        <w:rPr>
          <w:rtl/>
        </w:rPr>
        <w:t xml:space="preserve"> فإن الرجوع إلى الصواب عين الصواب والتمادي على الباطل يفضي إلى</w:t>
      </w:r>
      <w:r w:rsidR="00777DCB" w:rsidRPr="00A52585">
        <w:t xml:space="preserve"> </w:t>
      </w:r>
      <w:r w:rsidR="00777DCB" w:rsidRPr="00A52585">
        <w:rPr>
          <w:rtl/>
        </w:rPr>
        <w:t xml:space="preserve">أشد العذاب </w:t>
      </w:r>
      <w:r w:rsidRPr="00A52585">
        <w:rPr>
          <w:rtl/>
        </w:rPr>
        <w:t>{</w:t>
      </w:r>
      <w:r w:rsidR="00777DCB" w:rsidRPr="00A52585">
        <w:rPr>
          <w:rtl/>
        </w:rPr>
        <w:t>من يهد الله فهو المهتد ومن يضلل فلن تجد له ولياً مرشدا</w:t>
      </w:r>
      <w:r w:rsidRPr="00A52585">
        <w:rPr>
          <w:rtl/>
          <w:lang w:bidi="ar-KW"/>
        </w:rPr>
        <w:t>}</w:t>
      </w:r>
      <w:r w:rsidR="00DB731D" w:rsidRPr="00A52585">
        <w:rPr>
          <w:rtl/>
          <w:lang w:bidi="ar-KW"/>
        </w:rPr>
        <w:t>،</w:t>
      </w:r>
      <w:r w:rsidR="00777DCB" w:rsidRPr="00A52585">
        <w:rPr>
          <w:rtl/>
          <w:lang w:bidi="ar-KW"/>
        </w:rPr>
        <w:t xml:space="preserve"> </w:t>
      </w:r>
      <w:r w:rsidR="00777DCB" w:rsidRPr="00A52585">
        <w:rPr>
          <w:rtl/>
        </w:rPr>
        <w:t>نسأل الله تعالى أن يهدينا</w:t>
      </w:r>
      <w:r w:rsidR="00777DCB" w:rsidRPr="00A52585">
        <w:t xml:space="preserve"> </w:t>
      </w:r>
      <w:r w:rsidR="00777DCB" w:rsidRPr="00A52585">
        <w:rPr>
          <w:rtl/>
        </w:rPr>
        <w:t>جميعاً سواء السبيل وهو حسبنا ونعم الوكيل</w:t>
      </w:r>
      <w:r w:rsidR="00DB731D" w:rsidRPr="00A52585">
        <w:rPr>
          <w:rtl/>
        </w:rPr>
        <w:t>،</w:t>
      </w:r>
      <w:r w:rsidR="00777DCB" w:rsidRPr="00A52585">
        <w:rPr>
          <w:rtl/>
        </w:rPr>
        <w:t xml:space="preserve"> وصلى الله تعالى وسلم على سيدنا محمد</w:t>
      </w:r>
      <w:r w:rsidR="00777DCB" w:rsidRPr="00A52585">
        <w:t xml:space="preserve"> </w:t>
      </w:r>
      <w:r w:rsidR="00777DCB" w:rsidRPr="00A52585">
        <w:rPr>
          <w:rtl/>
        </w:rPr>
        <w:t>وصحبه أجمعين ومن تبعهم بإحسان إلى يوم الدين</w:t>
      </w:r>
      <w:r w:rsidR="00DB731D" w:rsidRPr="00A52585">
        <w:rPr>
          <w:rtl/>
        </w:rPr>
        <w:t>،</w:t>
      </w:r>
      <w:r w:rsidR="00777DCB" w:rsidRPr="00A52585">
        <w:rPr>
          <w:rtl/>
        </w:rPr>
        <w:t xml:space="preserve"> أملاه الفقير إليه سبحانه سليم</w:t>
      </w:r>
      <w:r w:rsidR="00777DCB" w:rsidRPr="00A52585">
        <w:t xml:space="preserve"> </w:t>
      </w:r>
      <w:r w:rsidR="00777DCB" w:rsidRPr="00A52585">
        <w:rPr>
          <w:rtl/>
        </w:rPr>
        <w:t xml:space="preserve">البشري خادم العلم والسادة المالكية بالأزهر عفي عنه آمين </w:t>
      </w:r>
      <w:proofErr w:type="spellStart"/>
      <w:r w:rsidR="00777DCB" w:rsidRPr="00A52585">
        <w:rPr>
          <w:rtl/>
        </w:rPr>
        <w:t>آمين</w:t>
      </w:r>
      <w:proofErr w:type="spellEnd"/>
      <w:r w:rsidR="00DB731D" w:rsidRPr="00A52585">
        <w:rPr>
          <w:rtl/>
        </w:rPr>
        <w:t>،</w:t>
      </w:r>
      <w:r w:rsidRPr="00A52585">
        <w:rPr>
          <w:rFonts w:hint="cs"/>
          <w:rtl/>
        </w:rPr>
        <w:t xml:space="preserve"> </w:t>
      </w:r>
      <w:r w:rsidR="00777DCB" w:rsidRPr="00A52585">
        <w:rPr>
          <w:rtl/>
        </w:rPr>
        <w:t>ثم أضاف القضاعي معلقاً على</w:t>
      </w:r>
      <w:r w:rsidR="00777DCB" w:rsidRPr="00A52585">
        <w:t xml:space="preserve"> </w:t>
      </w:r>
      <w:r w:rsidR="00777DCB" w:rsidRPr="00A52585">
        <w:rPr>
          <w:rtl/>
        </w:rPr>
        <w:t>رسالة البشري</w:t>
      </w:r>
      <w:r w:rsidRPr="00A52585">
        <w:rPr>
          <w:rtl/>
        </w:rPr>
        <w:t>:</w:t>
      </w:r>
      <w:r w:rsidR="00777DCB" w:rsidRPr="00A52585">
        <w:rPr>
          <w:rtl/>
        </w:rPr>
        <w:t xml:space="preserve"> وقول الشيخ رضي الله عنه</w:t>
      </w:r>
      <w:r w:rsidRPr="00A52585">
        <w:rPr>
          <w:rtl/>
        </w:rPr>
        <w:t>:</w:t>
      </w:r>
      <w:r w:rsidR="00777DCB" w:rsidRPr="00A52585">
        <w:rPr>
          <w:rtl/>
        </w:rPr>
        <w:t xml:space="preserve"> وذلك هو المظنون بالرجل لجلالة قدره</w:t>
      </w:r>
      <w:r w:rsidR="00777DCB" w:rsidRPr="00A52585">
        <w:t xml:space="preserve"> </w:t>
      </w:r>
      <w:r w:rsidR="00777DCB" w:rsidRPr="00A52585">
        <w:rPr>
          <w:rtl/>
        </w:rPr>
        <w:t>ورسوخ قدمه</w:t>
      </w:r>
      <w:r w:rsidR="00897A24" w:rsidRPr="00A52585">
        <w:rPr>
          <w:rtl/>
        </w:rPr>
        <w:t>.</w:t>
      </w:r>
      <w:r w:rsidR="00777DCB" w:rsidRPr="00A52585">
        <w:rPr>
          <w:rtl/>
        </w:rPr>
        <w:t xml:space="preserve"> هو حسن ظن من الشيخ حمله عليه قول هذا التلميذ</w:t>
      </w:r>
      <w:r w:rsidR="00897A24" w:rsidRPr="00A52585">
        <w:rPr>
          <w:rtl/>
        </w:rPr>
        <w:t>.</w:t>
      </w:r>
      <w:r w:rsidR="00777DCB" w:rsidRPr="00A52585">
        <w:rPr>
          <w:rtl/>
        </w:rPr>
        <w:t xml:space="preserve"> والذي يطيل النظر في</w:t>
      </w:r>
      <w:r w:rsidR="00777DCB" w:rsidRPr="00A52585">
        <w:t xml:space="preserve"> </w:t>
      </w:r>
      <w:r w:rsidR="00777DCB" w:rsidRPr="00A52585">
        <w:rPr>
          <w:rtl/>
        </w:rPr>
        <w:t>كتبه وكتب تلميذه ابن القيم كما فعلنا نحن لا يرتاب في قوله بالتجسيم والجهة</w:t>
      </w:r>
      <w:r w:rsidR="00777DCB" w:rsidRPr="00A52585">
        <w:t xml:space="preserve"> </w:t>
      </w:r>
      <w:r w:rsidR="00777DCB" w:rsidRPr="00A52585">
        <w:rPr>
          <w:rtl/>
        </w:rPr>
        <w:t>والتشبيه</w:t>
      </w:r>
      <w:r w:rsidR="00DB731D" w:rsidRPr="00A52585">
        <w:rPr>
          <w:rtl/>
        </w:rPr>
        <w:t>،</w:t>
      </w:r>
      <w:r w:rsidR="00777DCB" w:rsidRPr="00A52585">
        <w:rPr>
          <w:rtl/>
        </w:rPr>
        <w:t xml:space="preserve"> ولكنه يتبرأ من اسمه ويقول بالتنزيه</w:t>
      </w:r>
      <w:r w:rsidR="00DB731D" w:rsidRPr="00A52585">
        <w:rPr>
          <w:rtl/>
        </w:rPr>
        <w:t>،</w:t>
      </w:r>
      <w:r w:rsidR="00777DCB" w:rsidRPr="00A52585">
        <w:rPr>
          <w:rtl/>
        </w:rPr>
        <w:t xml:space="preserve"> لكنه إنما يقول بلفظه ويتباعد عن</w:t>
      </w:r>
      <w:r w:rsidR="00777DCB" w:rsidRPr="00A52585">
        <w:t xml:space="preserve"> </w:t>
      </w:r>
      <w:r w:rsidR="00777DCB" w:rsidRPr="00A52585">
        <w:rPr>
          <w:rtl/>
        </w:rPr>
        <w:t>القول بمعناه</w:t>
      </w:r>
      <w:r w:rsidR="00DB731D" w:rsidRPr="00A52585">
        <w:rPr>
          <w:rtl/>
        </w:rPr>
        <w:t>،</w:t>
      </w:r>
      <w:r w:rsidR="00777DCB" w:rsidRPr="00A52585">
        <w:rPr>
          <w:rtl/>
        </w:rPr>
        <w:t xml:space="preserve"> وليس أحد أعرف بهذا الرجل من علماء عصره</w:t>
      </w:r>
      <w:r w:rsidR="00DB731D" w:rsidRPr="00A52585">
        <w:rPr>
          <w:rtl/>
        </w:rPr>
        <w:t>،</w:t>
      </w:r>
      <w:r w:rsidR="00777DCB" w:rsidRPr="00A52585">
        <w:rPr>
          <w:rtl/>
        </w:rPr>
        <w:t xml:space="preserve"> ولا سيما الورع الحجة</w:t>
      </w:r>
      <w:r w:rsidR="00777DCB" w:rsidRPr="00A52585">
        <w:t xml:space="preserve"> </w:t>
      </w:r>
      <w:r w:rsidR="00777DCB" w:rsidRPr="00A52585">
        <w:rPr>
          <w:rtl/>
        </w:rPr>
        <w:t>المحقق الإمام شيخ الإسلام التقي علي بن عبد الكافي وقد كان له معاصراً ورد عليه في</w:t>
      </w:r>
      <w:r w:rsidR="00777DCB" w:rsidRPr="00A52585">
        <w:t xml:space="preserve"> </w:t>
      </w:r>
      <w:r w:rsidR="00777DCB" w:rsidRPr="00A52585">
        <w:rPr>
          <w:rtl/>
        </w:rPr>
        <w:t>حياته وبعد وفاته بعدة مصنفات</w:t>
      </w:r>
      <w:r w:rsidR="00DB731D" w:rsidRPr="00A52585">
        <w:rPr>
          <w:rtl/>
        </w:rPr>
        <w:t>،</w:t>
      </w:r>
      <w:r w:rsidR="00777DCB" w:rsidRPr="00A52585">
        <w:rPr>
          <w:rtl/>
        </w:rPr>
        <w:t xml:space="preserve"> ودونك عبارة شيخ الإسلام التقي</w:t>
      </w:r>
      <w:r w:rsidR="00777DCB" w:rsidRPr="00A52585">
        <w:t xml:space="preserve"> </w:t>
      </w:r>
      <w:r w:rsidR="00777DCB" w:rsidRPr="00A52585">
        <w:rPr>
          <w:rtl/>
        </w:rPr>
        <w:t xml:space="preserve">في هذا المبتدع </w:t>
      </w:r>
      <w:proofErr w:type="spellStart"/>
      <w:r w:rsidR="00777DCB" w:rsidRPr="00A52585">
        <w:rPr>
          <w:rtl/>
        </w:rPr>
        <w:t>الغوي</w:t>
      </w:r>
      <w:proofErr w:type="spellEnd"/>
      <w:r w:rsidR="00777DCB" w:rsidRPr="00A52585">
        <w:rPr>
          <w:rtl/>
        </w:rPr>
        <w:t xml:space="preserve"> في خطبة كتابه</w:t>
      </w:r>
      <w:r w:rsidR="00777DCB" w:rsidRPr="00A52585">
        <w:rPr>
          <w:rFonts w:hint="cs"/>
          <w:rtl/>
        </w:rPr>
        <w:t xml:space="preserve"> </w:t>
      </w:r>
      <w:r w:rsidRPr="00A52585">
        <w:rPr>
          <w:rFonts w:hint="cs"/>
          <w:rtl/>
        </w:rPr>
        <w:t>(</w:t>
      </w:r>
      <w:r w:rsidR="00777DCB" w:rsidRPr="00A52585">
        <w:rPr>
          <w:rtl/>
        </w:rPr>
        <w:t>الدرة المضية في الرد على ابن</w:t>
      </w:r>
      <w:r w:rsidR="00777DCB" w:rsidRPr="00A52585">
        <w:t xml:space="preserve"> </w:t>
      </w:r>
      <w:r w:rsidR="00777DCB" w:rsidRPr="00A52585">
        <w:rPr>
          <w:rtl/>
        </w:rPr>
        <w:t>تيمية</w:t>
      </w:r>
      <w:r w:rsidRPr="00A52585">
        <w:rPr>
          <w:rtl/>
        </w:rPr>
        <w:t>)</w:t>
      </w:r>
      <w:r w:rsidR="00777DCB" w:rsidRPr="00A52585">
        <w:rPr>
          <w:rtl/>
        </w:rPr>
        <w:t xml:space="preserve"> في قوله بعدم وقوع الطلاق المعلق على وجه اليمين</w:t>
      </w:r>
      <w:r w:rsidR="00DB731D" w:rsidRPr="00A52585">
        <w:rPr>
          <w:rtl/>
        </w:rPr>
        <w:t>،</w:t>
      </w:r>
      <w:r w:rsidR="00777DCB" w:rsidRPr="00A52585">
        <w:rPr>
          <w:rtl/>
        </w:rPr>
        <w:t xml:space="preserve"> وأنه خرق الإجماع بهذا</w:t>
      </w:r>
      <w:r w:rsidR="00777DCB" w:rsidRPr="00A52585">
        <w:t xml:space="preserve"> </w:t>
      </w:r>
      <w:r w:rsidR="00777DCB" w:rsidRPr="00A52585">
        <w:rPr>
          <w:rtl/>
        </w:rPr>
        <w:t>القول</w:t>
      </w:r>
      <w:r w:rsidR="00DB731D" w:rsidRPr="00A52585">
        <w:rPr>
          <w:rtl/>
        </w:rPr>
        <w:t>،</w:t>
      </w:r>
      <w:r w:rsidR="00777DCB" w:rsidRPr="00A52585">
        <w:rPr>
          <w:rtl/>
        </w:rPr>
        <w:t xml:space="preserve"> وكذب على الصحابة والتابعين ومن بعدهم</w:t>
      </w:r>
      <w:r w:rsidR="00DB731D" w:rsidRPr="00A52585">
        <w:rPr>
          <w:rtl/>
        </w:rPr>
        <w:t>،</w:t>
      </w:r>
      <w:r w:rsidR="00777DCB" w:rsidRPr="00A52585">
        <w:rPr>
          <w:rtl/>
        </w:rPr>
        <w:t xml:space="preserve"> قال رفع الله درجته في المهديين</w:t>
      </w:r>
      <w:r w:rsidR="00777DCB" w:rsidRPr="00A52585">
        <w:t xml:space="preserve"> </w:t>
      </w:r>
      <w:r w:rsidR="00777DCB" w:rsidRPr="00A52585">
        <w:rPr>
          <w:rtl/>
        </w:rPr>
        <w:t>ما لفظه</w:t>
      </w:r>
      <w:r w:rsidRPr="00A52585">
        <w:rPr>
          <w:rtl/>
        </w:rPr>
        <w:t>:</w:t>
      </w:r>
      <w:r w:rsidR="00777DCB" w:rsidRPr="00A52585">
        <w:rPr>
          <w:rtl/>
        </w:rPr>
        <w:t xml:space="preserve"> أما بعد فإنه لما أحدث ابن تيمية ما أحدث في أصول العقائد</w:t>
      </w:r>
      <w:r w:rsidR="00DB731D" w:rsidRPr="00A52585">
        <w:rPr>
          <w:rtl/>
        </w:rPr>
        <w:t>،</w:t>
      </w:r>
      <w:r w:rsidR="00777DCB" w:rsidRPr="00A52585">
        <w:rPr>
          <w:rtl/>
        </w:rPr>
        <w:t xml:space="preserve"> ونقض من</w:t>
      </w:r>
      <w:r w:rsidR="00777DCB" w:rsidRPr="00A52585">
        <w:t xml:space="preserve"> </w:t>
      </w:r>
      <w:r w:rsidR="00777DCB" w:rsidRPr="00A52585">
        <w:rPr>
          <w:rtl/>
        </w:rPr>
        <w:t>دعائم الإسلام الأركان والمعاقد</w:t>
      </w:r>
      <w:r w:rsidR="00DB731D" w:rsidRPr="00A52585">
        <w:rPr>
          <w:rtl/>
        </w:rPr>
        <w:t>،</w:t>
      </w:r>
      <w:r w:rsidR="00777DCB" w:rsidRPr="00A52585">
        <w:rPr>
          <w:rtl/>
        </w:rPr>
        <w:t xml:space="preserve"> بعد أن كان مستتراً بتبعية الكتاب والسنة</w:t>
      </w:r>
      <w:r w:rsidR="00DB731D" w:rsidRPr="00A52585">
        <w:rPr>
          <w:rtl/>
        </w:rPr>
        <w:t>،</w:t>
      </w:r>
      <w:r w:rsidR="00777DCB" w:rsidRPr="00A52585">
        <w:t xml:space="preserve"> </w:t>
      </w:r>
      <w:r w:rsidR="00777DCB" w:rsidRPr="00A52585">
        <w:rPr>
          <w:rtl/>
        </w:rPr>
        <w:t>مظهراً أنه داع إلى الحق هاد إلى الجنة</w:t>
      </w:r>
      <w:r w:rsidR="00DB731D" w:rsidRPr="00A52585">
        <w:rPr>
          <w:rtl/>
        </w:rPr>
        <w:t>،</w:t>
      </w:r>
      <w:r w:rsidR="00777DCB" w:rsidRPr="00A52585">
        <w:rPr>
          <w:rtl/>
        </w:rPr>
        <w:t xml:space="preserve"> فخرج عن الإتباع إلى </w:t>
      </w:r>
      <w:proofErr w:type="spellStart"/>
      <w:r w:rsidR="00777DCB" w:rsidRPr="00A52585">
        <w:rPr>
          <w:rtl/>
        </w:rPr>
        <w:t>الإبتداع</w:t>
      </w:r>
      <w:proofErr w:type="spellEnd"/>
      <w:r w:rsidR="00777DCB" w:rsidRPr="00A52585">
        <w:rPr>
          <w:rtl/>
        </w:rPr>
        <w:t xml:space="preserve"> وشذ عن</w:t>
      </w:r>
      <w:r w:rsidR="00777DCB" w:rsidRPr="00A52585">
        <w:t xml:space="preserve"> </w:t>
      </w:r>
      <w:r w:rsidR="00777DCB" w:rsidRPr="00A52585">
        <w:rPr>
          <w:rtl/>
        </w:rPr>
        <w:t>جماعة المسلمين بمخالفة الإجماع، وقال بما يقتضي الجسمية والتركيب في الذات المقدسة</w:t>
      </w:r>
      <w:r w:rsidR="00DB731D" w:rsidRPr="00A52585">
        <w:rPr>
          <w:rtl/>
        </w:rPr>
        <w:t>،</w:t>
      </w:r>
      <w:r w:rsidR="00777DCB" w:rsidRPr="00A52585">
        <w:rPr>
          <w:rtl/>
        </w:rPr>
        <w:t xml:space="preserve"> وأن </w:t>
      </w:r>
      <w:proofErr w:type="spellStart"/>
      <w:r w:rsidR="00777DCB" w:rsidRPr="00A52585">
        <w:rPr>
          <w:rtl/>
        </w:rPr>
        <w:t>الإفتقار</w:t>
      </w:r>
      <w:proofErr w:type="spellEnd"/>
      <w:r w:rsidR="00777DCB" w:rsidRPr="00A52585">
        <w:rPr>
          <w:rtl/>
        </w:rPr>
        <w:t xml:space="preserve"> إلى الجزء ليس بمحال</w:t>
      </w:r>
      <w:r w:rsidR="00DB731D" w:rsidRPr="00A52585">
        <w:rPr>
          <w:rtl/>
        </w:rPr>
        <w:t>،</w:t>
      </w:r>
      <w:r w:rsidR="00777DCB" w:rsidRPr="00A52585">
        <w:rPr>
          <w:rtl/>
        </w:rPr>
        <w:t xml:space="preserve"> وقال بحلول الحوادث بذات الله </w:t>
      </w:r>
      <w:r w:rsidR="00777DCB" w:rsidRPr="00A52585">
        <w:rPr>
          <w:rtl/>
        </w:rPr>
        <w:lastRenderedPageBreak/>
        <w:t>تعالى</w:t>
      </w:r>
      <w:r w:rsidR="00DB731D" w:rsidRPr="00A52585">
        <w:rPr>
          <w:rtl/>
        </w:rPr>
        <w:t>،</w:t>
      </w:r>
      <w:r w:rsidR="00777DCB" w:rsidRPr="00A52585">
        <w:rPr>
          <w:rtl/>
        </w:rPr>
        <w:t xml:space="preserve"> وأن</w:t>
      </w:r>
      <w:r w:rsidR="00777DCB" w:rsidRPr="00A52585">
        <w:t xml:space="preserve"> </w:t>
      </w:r>
      <w:r w:rsidR="00777DCB" w:rsidRPr="00A52585">
        <w:rPr>
          <w:rtl/>
        </w:rPr>
        <w:t>القرآن محدث تكلم الله به بعد أن لم يكن</w:t>
      </w:r>
      <w:r w:rsidR="00DB731D" w:rsidRPr="00A52585">
        <w:rPr>
          <w:rtl/>
        </w:rPr>
        <w:t>،</w:t>
      </w:r>
      <w:r w:rsidR="00777DCB" w:rsidRPr="00A52585">
        <w:rPr>
          <w:rtl/>
        </w:rPr>
        <w:t xml:space="preserve"> وأنه يتكلم ويسكت</w:t>
      </w:r>
      <w:r w:rsidR="00DB731D" w:rsidRPr="00A52585">
        <w:rPr>
          <w:rtl/>
        </w:rPr>
        <w:t>،</w:t>
      </w:r>
      <w:r w:rsidR="00777DCB" w:rsidRPr="00A52585">
        <w:rPr>
          <w:rtl/>
        </w:rPr>
        <w:t xml:space="preserve"> ويحدث في ذاته</w:t>
      </w:r>
      <w:r w:rsidR="00777DCB" w:rsidRPr="00A52585">
        <w:t xml:space="preserve"> </w:t>
      </w:r>
      <w:r w:rsidR="00777DCB" w:rsidRPr="00A52585">
        <w:rPr>
          <w:rtl/>
        </w:rPr>
        <w:t>الإرادات بحسب المخلوقات</w:t>
      </w:r>
      <w:r w:rsidR="00DB731D" w:rsidRPr="00A52585">
        <w:rPr>
          <w:rtl/>
        </w:rPr>
        <w:t>،</w:t>
      </w:r>
      <w:r w:rsidR="00777DCB" w:rsidRPr="00A52585">
        <w:rPr>
          <w:rtl/>
        </w:rPr>
        <w:t xml:space="preserve"> وتعدى في ذلك إلى استلزام قدم العالم</w:t>
      </w:r>
      <w:r w:rsidR="00DB731D" w:rsidRPr="00A52585">
        <w:rPr>
          <w:rtl/>
        </w:rPr>
        <w:t>،</w:t>
      </w:r>
      <w:r w:rsidR="00777DCB" w:rsidRPr="00A52585">
        <w:rPr>
          <w:rtl/>
        </w:rPr>
        <w:t xml:space="preserve"> والتزمه بالقول</w:t>
      </w:r>
      <w:r w:rsidR="00777DCB" w:rsidRPr="00A52585">
        <w:t xml:space="preserve"> </w:t>
      </w:r>
      <w:r w:rsidR="00777DCB" w:rsidRPr="00A52585">
        <w:rPr>
          <w:rtl/>
        </w:rPr>
        <w:t>بأنه لا أول للمخلوقات فقال بحوادث لا أول لها</w:t>
      </w:r>
      <w:r w:rsidR="00DB731D" w:rsidRPr="00A52585">
        <w:rPr>
          <w:rtl/>
        </w:rPr>
        <w:t>،</w:t>
      </w:r>
      <w:r w:rsidR="00777DCB" w:rsidRPr="00A52585">
        <w:rPr>
          <w:rtl/>
        </w:rPr>
        <w:t xml:space="preserve"> فأثبت الصفة القديمة حادثة</w:t>
      </w:r>
      <w:r w:rsidR="00777DCB" w:rsidRPr="00A52585">
        <w:t xml:space="preserve"> </w:t>
      </w:r>
      <w:r w:rsidR="00777DCB" w:rsidRPr="00A52585">
        <w:rPr>
          <w:rtl/>
        </w:rPr>
        <w:t>والمخلوق الحادث قديماً</w:t>
      </w:r>
      <w:r w:rsidR="00DB731D" w:rsidRPr="00A52585">
        <w:rPr>
          <w:rtl/>
        </w:rPr>
        <w:t>،</w:t>
      </w:r>
      <w:r w:rsidR="00777DCB" w:rsidRPr="00A52585">
        <w:rPr>
          <w:rtl/>
        </w:rPr>
        <w:t xml:space="preserve"> ولم يجمع أحد هذين القولين في ملة من الملل ولا نحلة من</w:t>
      </w:r>
      <w:r w:rsidR="00777DCB" w:rsidRPr="00A52585">
        <w:t xml:space="preserve"> </w:t>
      </w:r>
      <w:r w:rsidR="00777DCB" w:rsidRPr="00A52585">
        <w:rPr>
          <w:rtl/>
        </w:rPr>
        <w:t>النحل</w:t>
      </w:r>
      <w:r w:rsidR="00DB731D" w:rsidRPr="00A52585">
        <w:rPr>
          <w:rtl/>
        </w:rPr>
        <w:t>،</w:t>
      </w:r>
      <w:r w:rsidR="00777DCB" w:rsidRPr="00A52585">
        <w:rPr>
          <w:rtl/>
        </w:rPr>
        <w:t xml:space="preserve"> فلم يدخل في فرقة من الفرق الثلاثة والسبعين التي افترقت عليها الأمة</w:t>
      </w:r>
      <w:r w:rsidR="00DB731D" w:rsidRPr="00A52585">
        <w:rPr>
          <w:rtl/>
        </w:rPr>
        <w:t>،</w:t>
      </w:r>
      <w:r w:rsidR="00777DCB" w:rsidRPr="00A52585">
        <w:rPr>
          <w:rtl/>
        </w:rPr>
        <w:t xml:space="preserve"> ولا</w:t>
      </w:r>
      <w:r w:rsidR="00777DCB" w:rsidRPr="00A52585">
        <w:t xml:space="preserve"> </w:t>
      </w:r>
      <w:r w:rsidR="00777DCB" w:rsidRPr="00A52585">
        <w:rPr>
          <w:rtl/>
        </w:rPr>
        <w:t>وقفت به مع أمة من الأمم همة</w:t>
      </w:r>
      <w:r w:rsidR="00897A24" w:rsidRPr="00A52585">
        <w:rPr>
          <w:rtl/>
        </w:rPr>
        <w:t>.</w:t>
      </w:r>
      <w:r w:rsidR="00777DCB" w:rsidRPr="00A52585">
        <w:rPr>
          <w:rtl/>
        </w:rPr>
        <w:t xml:space="preserve"> وكل ذلك وإن كان كفراً شنيعاً مما تقل جملته بالنسبة</w:t>
      </w:r>
      <w:r w:rsidR="00777DCB" w:rsidRPr="00A52585">
        <w:t xml:space="preserve"> </w:t>
      </w:r>
      <w:r w:rsidR="00777DCB" w:rsidRPr="00A52585">
        <w:rPr>
          <w:rtl/>
        </w:rPr>
        <w:t>إلى ما أحدث في الفروع</w:t>
      </w:r>
      <w:r w:rsidR="00897A24" w:rsidRPr="00A52585">
        <w:rPr>
          <w:rtl/>
        </w:rPr>
        <w:t>.</w:t>
      </w:r>
      <w:r w:rsidR="00777DCB" w:rsidRPr="00A52585">
        <w:rPr>
          <w:rtl/>
        </w:rPr>
        <w:t xml:space="preserve"> انتهى</w:t>
      </w:r>
      <w:r w:rsidR="00DB731D" w:rsidRPr="00A52585">
        <w:rPr>
          <w:rtl/>
        </w:rPr>
        <w:t>،</w:t>
      </w:r>
      <w:r w:rsidR="00777DCB" w:rsidRPr="00A52585">
        <w:rPr>
          <w:rtl/>
        </w:rPr>
        <w:t xml:space="preserve"> وهي رسالة نفيسة أجاد فيها رضي</w:t>
      </w:r>
      <w:r w:rsidR="00777DCB" w:rsidRPr="00A52585">
        <w:t xml:space="preserve"> </w:t>
      </w:r>
      <w:r w:rsidR="00777DCB" w:rsidRPr="00A52585">
        <w:rPr>
          <w:rtl/>
        </w:rPr>
        <w:t>الله عنه الرد عليه وبيان الحق في المسألة وقد طبعت بدمشق</w:t>
      </w:r>
      <w:r w:rsidR="00897A24" w:rsidRPr="00A52585">
        <w:rPr>
          <w:rtl/>
        </w:rPr>
        <w:t>.</w:t>
      </w:r>
      <w:r w:rsidR="00777DCB" w:rsidRPr="00A52585">
        <w:rPr>
          <w:rtl/>
        </w:rPr>
        <w:t xml:space="preserve"> وفي التحقيق الدقيق</w:t>
      </w:r>
      <w:r w:rsidR="00777DCB" w:rsidRPr="00A52585">
        <w:t xml:space="preserve"> </w:t>
      </w:r>
      <w:r w:rsidR="00777DCB" w:rsidRPr="00A52585">
        <w:rPr>
          <w:rtl/>
        </w:rPr>
        <w:t>الذي قام به العلامة الكوثري في كتابه تكملة الرد على نونية ابن القيم المطبوع مع</w:t>
      </w:r>
      <w:r w:rsidR="00777DCB" w:rsidRPr="00A52585">
        <w:t xml:space="preserve"> </w:t>
      </w:r>
      <w:r w:rsidR="00777DCB" w:rsidRPr="00A52585">
        <w:rPr>
          <w:rtl/>
        </w:rPr>
        <w:t>السيف الصقيل ما يغنينا عن الإطالة في شرح حال هذا الرجل وشيعته</w:t>
      </w:r>
      <w:r w:rsidR="00897A24" w:rsidRPr="00A52585">
        <w:rPr>
          <w:rtl/>
        </w:rPr>
        <w:t>.</w:t>
      </w:r>
      <w:r w:rsidR="00777DCB" w:rsidRPr="00A52585">
        <w:rPr>
          <w:rtl/>
        </w:rPr>
        <w:t xml:space="preserve"> أجارنا الله</w:t>
      </w:r>
      <w:r w:rsidR="00777DCB" w:rsidRPr="00A52585">
        <w:t xml:space="preserve"> </w:t>
      </w:r>
      <w:r w:rsidR="00777DCB" w:rsidRPr="00A52585">
        <w:rPr>
          <w:rtl/>
        </w:rPr>
        <w:t>وسائر المسلمين من اتباع الهوى</w:t>
      </w:r>
      <w:r w:rsidRPr="00A52585">
        <w:rPr>
          <w:rtl/>
        </w:rPr>
        <w:t>)</w:t>
      </w:r>
      <w:r w:rsidR="00897A24" w:rsidRPr="00A52585">
        <w:rPr>
          <w:rtl/>
        </w:rPr>
        <w:t>.</w:t>
      </w:r>
      <w:r w:rsidR="00777DCB" w:rsidRPr="00A52585">
        <w:rPr>
          <w:rtl/>
        </w:rPr>
        <w:t xml:space="preserve"> انتهى</w:t>
      </w:r>
      <w:r w:rsidR="00DB731D" w:rsidRPr="00A52585">
        <w:rPr>
          <w:rtl/>
        </w:rPr>
        <w:t>،</w:t>
      </w:r>
      <w:r w:rsidR="00777DCB" w:rsidRPr="00A52585">
        <w:rPr>
          <w:rtl/>
        </w:rPr>
        <w:t xml:space="preserve"> وقال القضاعي في فرقان القرآن ص</w:t>
      </w:r>
      <w:r w:rsidR="00777DCB" w:rsidRPr="00A52585">
        <w:t xml:space="preserve"> 17</w:t>
      </w:r>
      <w:r w:rsidRPr="00A52585">
        <w:rPr>
          <w:rtl/>
        </w:rPr>
        <w:t>:</w:t>
      </w:r>
      <w:r w:rsidRPr="00A52585">
        <w:rPr>
          <w:rFonts w:hint="cs"/>
          <w:rtl/>
        </w:rPr>
        <w:t>:</w:t>
      </w:r>
      <w:r w:rsidR="00777DCB" w:rsidRPr="00A52585">
        <w:rPr>
          <w:rFonts w:hint="cs"/>
          <w:rtl/>
        </w:rPr>
        <w:t xml:space="preserve"> </w:t>
      </w:r>
      <w:r w:rsidRPr="00A52585">
        <w:rPr>
          <w:rFonts w:hint="cs"/>
          <w:rtl/>
        </w:rPr>
        <w:t>(</w:t>
      </w:r>
      <w:r w:rsidR="00777DCB" w:rsidRPr="00A52585">
        <w:rPr>
          <w:rtl/>
        </w:rPr>
        <w:t>ولهذه الفئة ولع شديد بافتراء</w:t>
      </w:r>
      <w:r w:rsidR="00777DCB" w:rsidRPr="00A52585">
        <w:t xml:space="preserve"> </w:t>
      </w:r>
      <w:r w:rsidR="00777DCB" w:rsidRPr="00A52585">
        <w:rPr>
          <w:rtl/>
        </w:rPr>
        <w:t>الأباطيل ونسبتها إلى أكابر أئمة هذه الأمة</w:t>
      </w:r>
      <w:r w:rsidR="00DB731D" w:rsidRPr="00A52585">
        <w:rPr>
          <w:rtl/>
        </w:rPr>
        <w:t>،</w:t>
      </w:r>
      <w:r w:rsidR="00777DCB" w:rsidRPr="00A52585">
        <w:rPr>
          <w:rtl/>
        </w:rPr>
        <w:t xml:space="preserve"> ولو استقريت القرون منذ نجمت هذه</w:t>
      </w:r>
      <w:r w:rsidR="00777DCB" w:rsidRPr="00A52585">
        <w:t xml:space="preserve"> </w:t>
      </w:r>
      <w:r w:rsidR="00777DCB" w:rsidRPr="00A52585">
        <w:rPr>
          <w:rtl/>
        </w:rPr>
        <w:t>البدعة لرأيت في كل قرن إلى زمانك هذا من هذه الطائفة فلولا تشاغب وتموه وبإزائهم</w:t>
      </w:r>
      <w:r w:rsidR="00777DCB" w:rsidRPr="00A52585">
        <w:t xml:space="preserve"> </w:t>
      </w:r>
      <w:r w:rsidR="00777DCB" w:rsidRPr="00A52585">
        <w:rPr>
          <w:rtl/>
        </w:rPr>
        <w:t>جيوشاً من أهل السنة بحق تدافع وتبين</w:t>
      </w:r>
      <w:r w:rsidR="00DB731D" w:rsidRPr="00A52585">
        <w:rPr>
          <w:rtl/>
        </w:rPr>
        <w:t>،</w:t>
      </w:r>
      <w:r w:rsidR="00777DCB" w:rsidRPr="00A52585">
        <w:rPr>
          <w:rtl/>
        </w:rPr>
        <w:t xml:space="preserve"> بين مناظر يجادل عن الحق في المجالس الخاصة</w:t>
      </w:r>
      <w:r w:rsidR="00777DCB" w:rsidRPr="00A52585">
        <w:t xml:space="preserve"> </w:t>
      </w:r>
      <w:r w:rsidR="00777DCB" w:rsidRPr="00A52585">
        <w:rPr>
          <w:rtl/>
        </w:rPr>
        <w:t>والعامة</w:t>
      </w:r>
      <w:r w:rsidR="00DB731D" w:rsidRPr="00A52585">
        <w:rPr>
          <w:rtl/>
        </w:rPr>
        <w:t>،</w:t>
      </w:r>
      <w:r w:rsidR="00777DCB" w:rsidRPr="00A52585">
        <w:rPr>
          <w:rtl/>
        </w:rPr>
        <w:t xml:space="preserve"> ومؤلف يزيل ظلمات شبههم بنور الحجج المعقولة</w:t>
      </w:r>
      <w:r w:rsidR="00DB731D" w:rsidRPr="00A52585">
        <w:rPr>
          <w:rtl/>
        </w:rPr>
        <w:t>،</w:t>
      </w:r>
      <w:r w:rsidR="00777DCB" w:rsidRPr="00A52585">
        <w:rPr>
          <w:rtl/>
        </w:rPr>
        <w:t xml:space="preserve"> حتى تركوا من هذه المؤلفات</w:t>
      </w:r>
      <w:r w:rsidR="00777DCB" w:rsidRPr="00A52585">
        <w:t xml:space="preserve"> </w:t>
      </w:r>
      <w:r w:rsidR="00777DCB" w:rsidRPr="00A52585">
        <w:rPr>
          <w:rtl/>
        </w:rPr>
        <w:t>القيمة لطالب الهدى ثروة لا تنفد</w:t>
      </w:r>
      <w:r w:rsidR="00DB731D" w:rsidRPr="00A52585">
        <w:rPr>
          <w:rtl/>
        </w:rPr>
        <w:t>،</w:t>
      </w:r>
      <w:r w:rsidR="00777DCB" w:rsidRPr="00A52585">
        <w:rPr>
          <w:rtl/>
        </w:rPr>
        <w:t xml:space="preserve"> وكنوزاً لا تبيد على الأبد</w:t>
      </w:r>
      <w:r w:rsidR="00DB731D" w:rsidRPr="00A52585">
        <w:rPr>
          <w:rtl/>
        </w:rPr>
        <w:t>،</w:t>
      </w:r>
      <w:r w:rsidR="00777DCB" w:rsidRPr="00A52585">
        <w:rPr>
          <w:rtl/>
        </w:rPr>
        <w:t xml:space="preserve"> ومن هذه الكنوز</w:t>
      </w:r>
      <w:r w:rsidR="00777DCB" w:rsidRPr="00A52585">
        <w:t xml:space="preserve"> </w:t>
      </w:r>
      <w:r w:rsidR="00777DCB" w:rsidRPr="00A52585">
        <w:rPr>
          <w:rtl/>
        </w:rPr>
        <w:t>الفائقة وتلك الثروات العظيمة كتاب الإمام الحافظ الثقة الحجة المبرز في علم الحديث</w:t>
      </w:r>
      <w:r w:rsidR="00777DCB" w:rsidRPr="00A52585">
        <w:t xml:space="preserve"> </w:t>
      </w:r>
      <w:r w:rsidR="00777DCB" w:rsidRPr="00A52585">
        <w:rPr>
          <w:rtl/>
        </w:rPr>
        <w:t>رواية ودراية</w:t>
      </w:r>
      <w:r w:rsidR="00DB731D" w:rsidRPr="00A52585">
        <w:rPr>
          <w:rtl/>
        </w:rPr>
        <w:t>،</w:t>
      </w:r>
      <w:r w:rsidR="00777DCB" w:rsidRPr="00A52585">
        <w:rPr>
          <w:rtl/>
        </w:rPr>
        <w:t xml:space="preserve"> علم الفقهاء أبي بكر أحمد بن الحسين بن علي البيهقي المتوفى سنة</w:t>
      </w:r>
      <w:r w:rsidR="00777DCB" w:rsidRPr="00A52585">
        <w:t xml:space="preserve"> </w:t>
      </w:r>
      <w:r w:rsidR="00777DCB" w:rsidRPr="00A52585">
        <w:rPr>
          <w:rtl/>
        </w:rPr>
        <w:t>ثمان وخمسين وأربعمائة</w:t>
      </w:r>
      <w:r w:rsidR="00DB731D" w:rsidRPr="00A52585">
        <w:rPr>
          <w:rtl/>
        </w:rPr>
        <w:t>،</w:t>
      </w:r>
      <w:r w:rsidR="00777DCB" w:rsidRPr="00A52585">
        <w:rPr>
          <w:rtl/>
          <w:lang w:bidi="ar-KW"/>
        </w:rPr>
        <w:t xml:space="preserve"> </w:t>
      </w:r>
      <w:r w:rsidR="00777DCB" w:rsidRPr="00A52585">
        <w:rPr>
          <w:rtl/>
        </w:rPr>
        <w:t>كثر في زمانه رضي الله عنه</w:t>
      </w:r>
      <w:r w:rsidR="00777DCB" w:rsidRPr="00A52585">
        <w:t xml:space="preserve"> </w:t>
      </w:r>
      <w:r w:rsidR="00777DCB" w:rsidRPr="00A52585">
        <w:rPr>
          <w:rtl/>
        </w:rPr>
        <w:t>الخوض في أسماء الله تعالى وصفاته بما لا يليق بجنابه عز وجل</w:t>
      </w:r>
      <w:r w:rsidR="00DB731D" w:rsidRPr="00A52585">
        <w:rPr>
          <w:rtl/>
        </w:rPr>
        <w:t>،</w:t>
      </w:r>
      <w:r w:rsidR="00777DCB" w:rsidRPr="00A52585">
        <w:rPr>
          <w:rtl/>
        </w:rPr>
        <w:t xml:space="preserve"> فألف كتابه المسمى</w:t>
      </w:r>
      <w:r w:rsidR="00777DCB" w:rsidRPr="00A52585">
        <w:t xml:space="preserve"> </w:t>
      </w:r>
      <w:r w:rsidR="00777DCB" w:rsidRPr="00A52585">
        <w:rPr>
          <w:rtl/>
        </w:rPr>
        <w:t>بالأسماء والصفات</w:t>
      </w:r>
      <w:r w:rsidR="00DB731D" w:rsidRPr="00A52585">
        <w:rPr>
          <w:rtl/>
        </w:rPr>
        <w:t>،</w:t>
      </w:r>
      <w:r w:rsidR="00777DCB" w:rsidRPr="00A52585">
        <w:rPr>
          <w:rtl/>
        </w:rPr>
        <w:t xml:space="preserve"> قال الإمام تاج الدين السبكي</w:t>
      </w:r>
      <w:r w:rsidRPr="00A52585">
        <w:rPr>
          <w:rtl/>
        </w:rPr>
        <w:t>:</w:t>
      </w:r>
      <w:r w:rsidR="00777DCB" w:rsidRPr="00A52585">
        <w:t xml:space="preserve"> </w:t>
      </w:r>
      <w:r w:rsidR="00777DCB" w:rsidRPr="00A52585">
        <w:rPr>
          <w:rtl/>
        </w:rPr>
        <w:t>لا أعلم له في بابه نظيراً</w:t>
      </w:r>
      <w:r w:rsidR="00897A24" w:rsidRPr="00A52585">
        <w:rPr>
          <w:rtl/>
        </w:rPr>
        <w:t>.</w:t>
      </w:r>
      <w:r w:rsidR="00777DCB" w:rsidRPr="00A52585">
        <w:rPr>
          <w:rtl/>
        </w:rPr>
        <w:t xml:space="preserve"> وصدق رضي الله عنه فإنه عمد فيه إلى جمع الأحاديث التي</w:t>
      </w:r>
      <w:r w:rsidR="00777DCB" w:rsidRPr="00A52585">
        <w:t xml:space="preserve"> </w:t>
      </w:r>
      <w:r w:rsidR="00777DCB" w:rsidRPr="00A52585">
        <w:rPr>
          <w:rtl/>
        </w:rPr>
        <w:t xml:space="preserve">تعلقت بها المبتدعة من المشبهة </w:t>
      </w:r>
      <w:proofErr w:type="spellStart"/>
      <w:r w:rsidR="00777DCB" w:rsidRPr="00A52585">
        <w:rPr>
          <w:rtl/>
        </w:rPr>
        <w:t>والحشوية</w:t>
      </w:r>
      <w:proofErr w:type="spellEnd"/>
      <w:r w:rsidR="00DB731D" w:rsidRPr="00A52585">
        <w:rPr>
          <w:rtl/>
        </w:rPr>
        <w:t>،</w:t>
      </w:r>
      <w:r w:rsidR="00777DCB" w:rsidRPr="00A52585">
        <w:rPr>
          <w:rtl/>
        </w:rPr>
        <w:t xml:space="preserve"> فبين ما لا يصح الاحتجاج به منها بذكر ما</w:t>
      </w:r>
      <w:r w:rsidR="00777DCB" w:rsidRPr="00A52585">
        <w:t xml:space="preserve"> </w:t>
      </w:r>
      <w:r w:rsidR="00777DCB" w:rsidRPr="00A52585">
        <w:rPr>
          <w:rtl/>
        </w:rPr>
        <w:t>فيه من علة</w:t>
      </w:r>
      <w:r w:rsidR="00DB731D" w:rsidRPr="00A52585">
        <w:rPr>
          <w:rtl/>
        </w:rPr>
        <w:t>،</w:t>
      </w:r>
      <w:r w:rsidR="00777DCB" w:rsidRPr="00A52585">
        <w:rPr>
          <w:rtl/>
        </w:rPr>
        <w:t xml:space="preserve"> وأزال الإشكال عما صح من </w:t>
      </w:r>
      <w:proofErr w:type="spellStart"/>
      <w:r w:rsidR="00777DCB" w:rsidRPr="00A52585">
        <w:rPr>
          <w:rtl/>
        </w:rPr>
        <w:t>متشابهها</w:t>
      </w:r>
      <w:proofErr w:type="spellEnd"/>
      <w:r w:rsidR="00DB731D" w:rsidRPr="00A52585">
        <w:rPr>
          <w:rtl/>
        </w:rPr>
        <w:t>،</w:t>
      </w:r>
      <w:r w:rsidR="00777DCB" w:rsidRPr="00A52585">
        <w:rPr>
          <w:rtl/>
        </w:rPr>
        <w:t xml:space="preserve"> وضم إليها ما ناسبها من آيات</w:t>
      </w:r>
      <w:r w:rsidR="00777DCB" w:rsidRPr="00A52585">
        <w:t xml:space="preserve"> </w:t>
      </w:r>
      <w:r w:rsidR="00777DCB" w:rsidRPr="00A52585">
        <w:rPr>
          <w:rtl/>
        </w:rPr>
        <w:t>الكتاب</w:t>
      </w:r>
      <w:r w:rsidR="00897A24" w:rsidRPr="00A52585">
        <w:rPr>
          <w:rtl/>
        </w:rPr>
        <w:t>.</w:t>
      </w:r>
      <w:r w:rsidR="00777DCB" w:rsidRPr="00A52585">
        <w:rPr>
          <w:rtl/>
        </w:rPr>
        <w:t xml:space="preserve"> وأضاف إلى ذلك ما قال أكابر العلماء ممن قبله</w:t>
      </w:r>
      <w:r w:rsidR="00DB731D" w:rsidRPr="00A52585">
        <w:rPr>
          <w:rtl/>
        </w:rPr>
        <w:t>،</w:t>
      </w:r>
      <w:r w:rsidR="00777DCB" w:rsidRPr="00A52585">
        <w:rPr>
          <w:rtl/>
        </w:rPr>
        <w:t xml:space="preserve"> فجزاه الله عن دينه وأمة نبيه</w:t>
      </w:r>
      <w:r w:rsidR="00777DCB" w:rsidRPr="00A52585">
        <w:t xml:space="preserve"> </w:t>
      </w:r>
      <w:r w:rsidR="00777DCB" w:rsidRPr="00A52585">
        <w:rPr>
          <w:rtl/>
        </w:rPr>
        <w:t>صلى الله عليه وسلم خير الجزاء</w:t>
      </w:r>
      <w:r w:rsidR="00DB731D" w:rsidRPr="00A52585">
        <w:rPr>
          <w:rtl/>
        </w:rPr>
        <w:t>،</w:t>
      </w:r>
      <w:r w:rsidR="00777DCB" w:rsidRPr="00A52585">
        <w:rPr>
          <w:rtl/>
        </w:rPr>
        <w:t xml:space="preserve"> كأنه رضي الله عنه قصد بكتابه هذا غسل العار الذي</w:t>
      </w:r>
      <w:r w:rsidR="00777DCB" w:rsidRPr="00A52585">
        <w:t xml:space="preserve"> </w:t>
      </w:r>
      <w:r w:rsidR="00777DCB" w:rsidRPr="00A52585">
        <w:rPr>
          <w:rtl/>
        </w:rPr>
        <w:t>ألحقه الحافظ ابن خزيمة بأهل الحديث</w:t>
      </w:r>
      <w:r w:rsidR="00DB731D" w:rsidRPr="00A52585">
        <w:rPr>
          <w:rtl/>
        </w:rPr>
        <w:t>،</w:t>
      </w:r>
      <w:r w:rsidR="00777DCB" w:rsidRPr="00A52585">
        <w:rPr>
          <w:rtl/>
        </w:rPr>
        <w:t xml:space="preserve"> فإنه ألف كتاباً سماه كتاب التوحيد</w:t>
      </w:r>
      <w:r w:rsidR="00DB731D" w:rsidRPr="00A52585">
        <w:rPr>
          <w:rtl/>
        </w:rPr>
        <w:t>،</w:t>
      </w:r>
      <w:r w:rsidR="00777DCB" w:rsidRPr="00A52585">
        <w:rPr>
          <w:rtl/>
        </w:rPr>
        <w:t xml:space="preserve"> وليته</w:t>
      </w:r>
      <w:r w:rsidR="00777DCB" w:rsidRPr="00A52585">
        <w:t xml:space="preserve"> </w:t>
      </w:r>
      <w:r w:rsidR="00777DCB" w:rsidRPr="00A52585">
        <w:rPr>
          <w:rtl/>
        </w:rPr>
        <w:t>اقتصر فيه على جمع الأحاديث المتشابهة</w:t>
      </w:r>
      <w:r w:rsidR="00DB731D" w:rsidRPr="00A52585">
        <w:rPr>
          <w:rtl/>
        </w:rPr>
        <w:t>،</w:t>
      </w:r>
      <w:r w:rsidR="00777DCB" w:rsidRPr="00A52585">
        <w:rPr>
          <w:rtl/>
        </w:rPr>
        <w:t xml:space="preserve"> ولكنه فسرها بما لا يصح أن يعتقد في الله</w:t>
      </w:r>
      <w:r w:rsidR="00777DCB" w:rsidRPr="00A52585">
        <w:t xml:space="preserve"> </w:t>
      </w:r>
      <w:r w:rsidR="00777DCB" w:rsidRPr="00A52585">
        <w:rPr>
          <w:rtl/>
        </w:rPr>
        <w:t>تعالى</w:t>
      </w:r>
      <w:r w:rsidR="00DB731D" w:rsidRPr="00A52585">
        <w:rPr>
          <w:rtl/>
        </w:rPr>
        <w:t>،</w:t>
      </w:r>
      <w:r w:rsidR="00777DCB" w:rsidRPr="00A52585">
        <w:rPr>
          <w:rtl/>
        </w:rPr>
        <w:t xml:space="preserve"> ولا يقول به المحققون من سلف ولا خلف</w:t>
      </w:r>
      <w:r w:rsidR="00DB731D" w:rsidRPr="00A52585">
        <w:rPr>
          <w:rtl/>
        </w:rPr>
        <w:t>،</w:t>
      </w:r>
      <w:r w:rsidR="00777DCB" w:rsidRPr="00A52585">
        <w:rPr>
          <w:rtl/>
        </w:rPr>
        <w:t xml:space="preserve"> وقد طعنه الإمام فخر الدين الرازي</w:t>
      </w:r>
      <w:r w:rsidR="00777DCB" w:rsidRPr="00A52585">
        <w:t xml:space="preserve"> </w:t>
      </w:r>
      <w:r w:rsidR="00777DCB" w:rsidRPr="00A52585">
        <w:rPr>
          <w:rtl/>
        </w:rPr>
        <w:t>طعنة أردته قتيلاً</w:t>
      </w:r>
      <w:r w:rsidR="00DB731D" w:rsidRPr="00A52585">
        <w:rPr>
          <w:rtl/>
        </w:rPr>
        <w:t>،</w:t>
      </w:r>
      <w:r w:rsidR="00777DCB" w:rsidRPr="00A52585">
        <w:rPr>
          <w:rtl/>
        </w:rPr>
        <w:t xml:space="preserve"> حيث قال رضي الله عنه في تفسير قوله تعالى </w:t>
      </w:r>
      <w:r w:rsidRPr="00A52585">
        <w:rPr>
          <w:rtl/>
        </w:rPr>
        <w:t>(</w:t>
      </w:r>
      <w:r w:rsidR="00777DCB" w:rsidRPr="00A52585">
        <w:rPr>
          <w:rtl/>
        </w:rPr>
        <w:t xml:space="preserve">ليس كمثله </w:t>
      </w:r>
      <w:proofErr w:type="spellStart"/>
      <w:r w:rsidR="00777DCB" w:rsidRPr="00A52585">
        <w:rPr>
          <w:rtl/>
        </w:rPr>
        <w:t>شئ</w:t>
      </w:r>
      <w:proofErr w:type="spellEnd"/>
      <w:r w:rsidRPr="00A52585">
        <w:rPr>
          <w:rtl/>
        </w:rPr>
        <w:t>)</w:t>
      </w:r>
      <w:r w:rsidR="00777DCB" w:rsidRPr="00A52585">
        <w:t xml:space="preserve">: </w:t>
      </w:r>
      <w:r w:rsidR="00777DCB" w:rsidRPr="00A52585">
        <w:rPr>
          <w:rtl/>
        </w:rPr>
        <w:t xml:space="preserve">واعلم أن محمد </w:t>
      </w:r>
      <w:r w:rsidR="00777DCB" w:rsidRPr="00A52585">
        <w:rPr>
          <w:rtl/>
        </w:rPr>
        <w:lastRenderedPageBreak/>
        <w:t>بن إسحاق بن خزيمة أورد استدلال أصحابنا بهذه الآية في الكتاب الذي</w:t>
      </w:r>
      <w:r w:rsidR="00777DCB" w:rsidRPr="00A52585">
        <w:t xml:space="preserve"> </w:t>
      </w:r>
      <w:r w:rsidR="00777DCB" w:rsidRPr="00A52585">
        <w:rPr>
          <w:rtl/>
        </w:rPr>
        <w:t>سماه بالتوحيد</w:t>
      </w:r>
      <w:r w:rsidR="00DB731D" w:rsidRPr="00A52585">
        <w:rPr>
          <w:rtl/>
        </w:rPr>
        <w:t>،</w:t>
      </w:r>
      <w:r w:rsidR="00777DCB" w:rsidRPr="00A52585">
        <w:rPr>
          <w:rtl/>
        </w:rPr>
        <w:t xml:space="preserve"> وهو في الحقيقة كتاب الشرك</w:t>
      </w:r>
      <w:r w:rsidR="00DB731D" w:rsidRPr="00A52585">
        <w:rPr>
          <w:rtl/>
        </w:rPr>
        <w:t>،</w:t>
      </w:r>
      <w:r w:rsidR="00777DCB" w:rsidRPr="00A52585">
        <w:rPr>
          <w:rtl/>
        </w:rPr>
        <w:t xml:space="preserve"> واعترض عليه</w:t>
      </w:r>
      <w:r w:rsidR="00DB731D" w:rsidRPr="00A52585">
        <w:rPr>
          <w:rtl/>
        </w:rPr>
        <w:t>،</w:t>
      </w:r>
      <w:r w:rsidR="00777DCB" w:rsidRPr="00A52585">
        <w:rPr>
          <w:rtl/>
        </w:rPr>
        <w:t xml:space="preserve"> وأنا أذكر حاصل كلامه</w:t>
      </w:r>
      <w:r w:rsidR="00777DCB" w:rsidRPr="00A52585">
        <w:t xml:space="preserve"> </w:t>
      </w:r>
      <w:r w:rsidR="00777DCB" w:rsidRPr="00A52585">
        <w:rPr>
          <w:rtl/>
        </w:rPr>
        <w:t xml:space="preserve">بعد حذف </w:t>
      </w:r>
      <w:proofErr w:type="spellStart"/>
      <w:r w:rsidR="00777DCB" w:rsidRPr="00A52585">
        <w:rPr>
          <w:rtl/>
        </w:rPr>
        <w:t>التطويلات</w:t>
      </w:r>
      <w:proofErr w:type="spellEnd"/>
      <w:r w:rsidR="00DB731D" w:rsidRPr="00A52585">
        <w:rPr>
          <w:rtl/>
        </w:rPr>
        <w:t>،</w:t>
      </w:r>
      <w:r w:rsidR="00777DCB" w:rsidRPr="00A52585">
        <w:rPr>
          <w:rtl/>
        </w:rPr>
        <w:t xml:space="preserve"> لأنه كان رجلاً مضطرب الكلام قليل الفهم ناقص العقل</w:t>
      </w:r>
      <w:r w:rsidR="00897A24" w:rsidRPr="00A52585">
        <w:rPr>
          <w:rtl/>
        </w:rPr>
        <w:t>.</w:t>
      </w:r>
      <w:r w:rsidR="00777DCB" w:rsidRPr="00A52585">
        <w:rPr>
          <w:rtl/>
        </w:rPr>
        <w:t xml:space="preserve"> انتهى</w:t>
      </w:r>
      <w:r w:rsidR="00DB731D" w:rsidRPr="00A52585">
        <w:rPr>
          <w:rtl/>
          <w:lang w:bidi="ar-KW"/>
        </w:rPr>
        <w:t>،</w:t>
      </w:r>
      <w:r w:rsidR="00777DCB" w:rsidRPr="00A52585">
        <w:rPr>
          <w:rtl/>
          <w:lang w:bidi="ar-KW"/>
        </w:rPr>
        <w:t xml:space="preserve"> </w:t>
      </w:r>
      <w:r w:rsidR="00777DCB" w:rsidRPr="00A52585">
        <w:rPr>
          <w:rtl/>
        </w:rPr>
        <w:t xml:space="preserve">ثم ساق كلامه وهو كلام </w:t>
      </w:r>
      <w:proofErr w:type="spellStart"/>
      <w:r w:rsidR="00777DCB" w:rsidRPr="00A52585">
        <w:rPr>
          <w:rtl/>
        </w:rPr>
        <w:t>لايقوله</w:t>
      </w:r>
      <w:proofErr w:type="spellEnd"/>
      <w:r w:rsidR="00777DCB" w:rsidRPr="00A52585">
        <w:t xml:space="preserve"> </w:t>
      </w:r>
      <w:r w:rsidR="00777DCB" w:rsidRPr="00A52585">
        <w:rPr>
          <w:rtl/>
        </w:rPr>
        <w:t>مؤمن محقق نافذ البصيرة في المعرفة بربه</w:t>
      </w:r>
      <w:r w:rsidR="00DB731D" w:rsidRPr="00A52585">
        <w:rPr>
          <w:rtl/>
        </w:rPr>
        <w:t>،</w:t>
      </w:r>
      <w:r w:rsidR="00777DCB" w:rsidRPr="00A52585">
        <w:rPr>
          <w:rtl/>
        </w:rPr>
        <w:t xml:space="preserve"> ولذلك ضربنا عن نقله </w:t>
      </w:r>
      <w:proofErr w:type="spellStart"/>
      <w:r w:rsidR="00777DCB" w:rsidRPr="00A52585">
        <w:rPr>
          <w:rtl/>
        </w:rPr>
        <w:t>ولئلا</w:t>
      </w:r>
      <w:proofErr w:type="spellEnd"/>
      <w:r w:rsidR="00777DCB" w:rsidRPr="00A52585">
        <w:rPr>
          <w:rtl/>
        </w:rPr>
        <w:t xml:space="preserve"> يتشوش به ضعيف</w:t>
      </w:r>
      <w:r w:rsidR="00DB731D" w:rsidRPr="00A52585">
        <w:rPr>
          <w:rtl/>
        </w:rPr>
        <w:t>،</w:t>
      </w:r>
      <w:r w:rsidR="00777DCB" w:rsidRPr="00A52585">
        <w:rPr>
          <w:rtl/>
        </w:rPr>
        <w:t xml:space="preserve"> ثم قال الإمام الفخر رضي الله عنه: وأقول هذا المسكين الجاهل إنما وقع في أمثال</w:t>
      </w:r>
      <w:r w:rsidR="00777DCB" w:rsidRPr="00A52585">
        <w:t xml:space="preserve"> </w:t>
      </w:r>
      <w:r w:rsidR="00777DCB" w:rsidRPr="00A52585">
        <w:rPr>
          <w:rtl/>
        </w:rPr>
        <w:t>هذه الخرافات لأنه لم يعرف حقيقة المثلية</w:t>
      </w:r>
      <w:r w:rsidR="00DB731D" w:rsidRPr="00A52585">
        <w:rPr>
          <w:rtl/>
        </w:rPr>
        <w:t>،</w:t>
      </w:r>
      <w:r w:rsidR="00777DCB" w:rsidRPr="00A52585">
        <w:rPr>
          <w:rtl/>
        </w:rPr>
        <w:t xml:space="preserve"> وعلماء التوحيد حققوا الكلام في المثلية</w:t>
      </w:r>
      <w:r w:rsidR="00DB731D" w:rsidRPr="00A52585">
        <w:rPr>
          <w:rtl/>
        </w:rPr>
        <w:t>،</w:t>
      </w:r>
      <w:r w:rsidR="00777DCB" w:rsidRPr="00A52585">
        <w:rPr>
          <w:rtl/>
        </w:rPr>
        <w:t xml:space="preserve"> إلى أن قال</w:t>
      </w:r>
      <w:r w:rsidRPr="00A52585">
        <w:rPr>
          <w:rtl/>
        </w:rPr>
        <w:t>:</w:t>
      </w:r>
      <w:r w:rsidR="00777DCB" w:rsidRPr="00A52585">
        <w:rPr>
          <w:rtl/>
        </w:rPr>
        <w:t xml:space="preserve"> وإن هذه الكلمات التي أوردها هذا الإنسان إنما أوردها لكونه كان</w:t>
      </w:r>
      <w:r w:rsidR="00777DCB" w:rsidRPr="00A52585">
        <w:t xml:space="preserve"> </w:t>
      </w:r>
      <w:r w:rsidR="00777DCB" w:rsidRPr="00A52585">
        <w:rPr>
          <w:rtl/>
        </w:rPr>
        <w:t>بعيداً عن معرفة الحقائق</w:t>
      </w:r>
      <w:r w:rsidR="00DB731D" w:rsidRPr="00A52585">
        <w:rPr>
          <w:rtl/>
        </w:rPr>
        <w:t>،</w:t>
      </w:r>
      <w:r w:rsidR="00777DCB" w:rsidRPr="00A52585">
        <w:rPr>
          <w:rtl/>
        </w:rPr>
        <w:t xml:space="preserve"> فجرى على منهج كلمات العوام</w:t>
      </w:r>
      <w:r w:rsidR="00DB731D" w:rsidRPr="00A52585">
        <w:rPr>
          <w:rtl/>
        </w:rPr>
        <w:t>،</w:t>
      </w:r>
      <w:r w:rsidR="00777DCB" w:rsidRPr="00A52585">
        <w:rPr>
          <w:rtl/>
        </w:rPr>
        <w:t xml:space="preserve"> فاغتر بتلك الكلمات التي</w:t>
      </w:r>
      <w:r w:rsidR="00777DCB" w:rsidRPr="00A52585">
        <w:t xml:space="preserve"> </w:t>
      </w:r>
      <w:r w:rsidR="00777DCB" w:rsidRPr="00A52585">
        <w:rPr>
          <w:rtl/>
        </w:rPr>
        <w:t>ذكرها</w:t>
      </w:r>
      <w:r w:rsidR="00DB731D" w:rsidRPr="00A52585">
        <w:rPr>
          <w:rtl/>
        </w:rPr>
        <w:t>،</w:t>
      </w:r>
      <w:r w:rsidR="00777DCB" w:rsidRPr="00A52585">
        <w:rPr>
          <w:rtl/>
        </w:rPr>
        <w:t xml:space="preserve"> ونسأل الله حسن الخاتمة</w:t>
      </w:r>
      <w:r w:rsidR="00897A24" w:rsidRPr="00A52585">
        <w:rPr>
          <w:rtl/>
        </w:rPr>
        <w:t>.</w:t>
      </w:r>
      <w:r w:rsidR="00777DCB" w:rsidRPr="00A52585">
        <w:rPr>
          <w:rtl/>
        </w:rPr>
        <w:t xml:space="preserve"> انتهى</w:t>
      </w:r>
      <w:r w:rsidR="00DB731D" w:rsidRPr="00A52585">
        <w:rPr>
          <w:rtl/>
          <w:lang w:bidi="ar-KW"/>
        </w:rPr>
        <w:t>،</w:t>
      </w:r>
      <w:r w:rsidRPr="00A52585">
        <w:rPr>
          <w:rtl/>
          <w:lang w:bidi="ar-KW"/>
        </w:rPr>
        <w:t xml:space="preserve"> </w:t>
      </w:r>
      <w:r w:rsidR="00777DCB" w:rsidRPr="00A52585">
        <w:rPr>
          <w:rtl/>
        </w:rPr>
        <w:t>ومن قرأ توحيد ابن خزيمة عذر</w:t>
      </w:r>
      <w:r w:rsidR="00777DCB" w:rsidRPr="00A52585">
        <w:t xml:space="preserve"> </w:t>
      </w:r>
      <w:r w:rsidR="00777DCB" w:rsidRPr="00A52585">
        <w:rPr>
          <w:rtl/>
        </w:rPr>
        <w:t>هذا الإمام فيما قال</w:t>
      </w:r>
      <w:r w:rsidR="00DB731D" w:rsidRPr="00A52585">
        <w:rPr>
          <w:rtl/>
        </w:rPr>
        <w:t>،</w:t>
      </w:r>
      <w:r w:rsidR="00777DCB" w:rsidRPr="00A52585">
        <w:rPr>
          <w:rtl/>
        </w:rPr>
        <w:t xml:space="preserve"> وقد أسلفنا لك أن الإمامة في الحفظ والعلم بالعلل في متون</w:t>
      </w:r>
      <w:r w:rsidR="00777DCB" w:rsidRPr="00A52585">
        <w:t xml:space="preserve"> </w:t>
      </w:r>
      <w:r w:rsidR="00777DCB" w:rsidRPr="00A52585">
        <w:rPr>
          <w:rtl/>
        </w:rPr>
        <w:t>الأحاديث وأسانيدها لا تقتضي الإمامة المطلقة في كل فن</w:t>
      </w:r>
      <w:r w:rsidR="00DB731D" w:rsidRPr="00A52585">
        <w:rPr>
          <w:rtl/>
        </w:rPr>
        <w:t>،</w:t>
      </w:r>
      <w:r w:rsidR="00777DCB" w:rsidRPr="00A52585">
        <w:rPr>
          <w:rtl/>
        </w:rPr>
        <w:t xml:space="preserve"> وذلك ظاهر لا يحتاج إلى</w:t>
      </w:r>
      <w:r w:rsidR="00777DCB" w:rsidRPr="00A52585">
        <w:t xml:space="preserve"> </w:t>
      </w:r>
      <w:r w:rsidR="00777DCB" w:rsidRPr="00A52585">
        <w:rPr>
          <w:rtl/>
        </w:rPr>
        <w:t>بيان</w:t>
      </w:r>
      <w:r w:rsidR="00DB731D" w:rsidRPr="00A52585">
        <w:rPr>
          <w:rtl/>
        </w:rPr>
        <w:t>،</w:t>
      </w:r>
      <w:r w:rsidR="00777DCB" w:rsidRPr="00A52585">
        <w:rPr>
          <w:rtl/>
        </w:rPr>
        <w:t xml:space="preserve"> فلا ينبغي أن يقتدى به إلا فيما هو إمام فيه</w:t>
      </w:r>
      <w:r w:rsidR="00DB731D" w:rsidRPr="00A52585">
        <w:rPr>
          <w:rtl/>
        </w:rPr>
        <w:t>،</w:t>
      </w:r>
      <w:r w:rsidR="00777DCB" w:rsidRPr="00A52585">
        <w:rPr>
          <w:rtl/>
        </w:rPr>
        <w:t xml:space="preserve"> ومن خالف هذه القاعدة لم يسلم</w:t>
      </w:r>
      <w:r w:rsidR="00777DCB" w:rsidRPr="00A52585">
        <w:t xml:space="preserve"> </w:t>
      </w:r>
      <w:r w:rsidR="00777DCB" w:rsidRPr="00A52585">
        <w:rPr>
          <w:rtl/>
        </w:rPr>
        <w:t>له دينه في أصول ولا في فروع</w:t>
      </w:r>
      <w:r w:rsidR="00DB731D" w:rsidRPr="00A52585">
        <w:rPr>
          <w:rtl/>
        </w:rPr>
        <w:t>،</w:t>
      </w:r>
      <w:r w:rsidR="00777DCB" w:rsidRPr="00A52585">
        <w:rPr>
          <w:rtl/>
        </w:rPr>
        <w:t xml:space="preserve"> فنصيحتي لك إذا أردت السلامة لنفسك أن تكون في</w:t>
      </w:r>
      <w:r w:rsidR="00777DCB" w:rsidRPr="00A52585">
        <w:t xml:space="preserve"> </w:t>
      </w:r>
      <w:r w:rsidR="00777DCB" w:rsidRPr="00A52585">
        <w:rPr>
          <w:rtl/>
        </w:rPr>
        <w:t>عقائدك على ما دونه الإمام أبو منصور الماتريدي وأبو الحسن الأشعري</w:t>
      </w:r>
      <w:r w:rsidR="00DB731D" w:rsidRPr="00A52585">
        <w:rPr>
          <w:rtl/>
        </w:rPr>
        <w:t>،</w:t>
      </w:r>
      <w:r w:rsidR="00777DCB" w:rsidRPr="00A52585">
        <w:rPr>
          <w:rtl/>
        </w:rPr>
        <w:t xml:space="preserve"> فإنه هو ما</w:t>
      </w:r>
      <w:r w:rsidR="00777DCB" w:rsidRPr="00A52585">
        <w:t xml:space="preserve"> </w:t>
      </w:r>
      <w:r w:rsidR="00777DCB" w:rsidRPr="00A52585">
        <w:rPr>
          <w:rtl/>
        </w:rPr>
        <w:t>يهدي إليه كتاب الله وسنة رسول الله صلى الله عليه وسلم</w:t>
      </w:r>
      <w:r w:rsidR="00DB731D" w:rsidRPr="00A52585">
        <w:rPr>
          <w:rtl/>
        </w:rPr>
        <w:t>،</w:t>
      </w:r>
      <w:r w:rsidR="00777DCB" w:rsidRPr="00A52585">
        <w:rPr>
          <w:rtl/>
        </w:rPr>
        <w:t xml:space="preserve"> من غير ميل إلى جانب</w:t>
      </w:r>
      <w:r w:rsidR="00777DCB" w:rsidRPr="00A52585">
        <w:t xml:space="preserve"> </w:t>
      </w:r>
      <w:r w:rsidR="00777DCB" w:rsidRPr="00A52585">
        <w:rPr>
          <w:rtl/>
        </w:rPr>
        <w:t>إفراط أو تفريط</w:t>
      </w:r>
      <w:r w:rsidRPr="00A52585">
        <w:rPr>
          <w:rtl/>
        </w:rPr>
        <w:t>)</w:t>
      </w:r>
      <w:r w:rsidR="00897A24" w:rsidRPr="00A52585">
        <w:rPr>
          <w:rtl/>
        </w:rPr>
        <w:t>.</w:t>
      </w:r>
      <w:r w:rsidR="00777DCB" w:rsidRPr="00A52585">
        <w:rPr>
          <w:rtl/>
        </w:rPr>
        <w:t xml:space="preserve"> انتهى</w:t>
      </w:r>
      <w:r w:rsidR="00DB731D" w:rsidRPr="00A52585">
        <w:rPr>
          <w:rtl/>
        </w:rPr>
        <w:t>،</w:t>
      </w:r>
      <w:r w:rsidRPr="00A52585">
        <w:rPr>
          <w:rtl/>
        </w:rPr>
        <w:t xml:space="preserve"> </w:t>
      </w:r>
      <w:r w:rsidR="00777DCB" w:rsidRPr="00A52585">
        <w:rPr>
          <w:rtl/>
        </w:rPr>
        <w:t>وما ذكره القضاعي من رد الفخر</w:t>
      </w:r>
      <w:r w:rsidR="00777DCB" w:rsidRPr="00A52585">
        <w:t xml:space="preserve"> </w:t>
      </w:r>
      <w:r w:rsidR="00777DCB" w:rsidRPr="00A52585">
        <w:rPr>
          <w:rtl/>
        </w:rPr>
        <w:t xml:space="preserve">الرازي على ابن خزيمة </w:t>
      </w:r>
      <w:proofErr w:type="spellStart"/>
      <w:r w:rsidR="00777DCB" w:rsidRPr="00A52585">
        <w:rPr>
          <w:rtl/>
        </w:rPr>
        <w:t>النيشابوري</w:t>
      </w:r>
      <w:proofErr w:type="spellEnd"/>
      <w:r w:rsidR="00DB731D" w:rsidRPr="00A52585">
        <w:rPr>
          <w:rtl/>
        </w:rPr>
        <w:t>،</w:t>
      </w:r>
      <w:r w:rsidR="00777DCB" w:rsidRPr="00A52585">
        <w:rPr>
          <w:rtl/>
        </w:rPr>
        <w:t xml:space="preserve"> تجده مفصلاً في تفسير الرازي</w:t>
      </w:r>
      <w:r w:rsidRPr="00A52585">
        <w:rPr>
          <w:rtl/>
        </w:rPr>
        <w:t>:</w:t>
      </w:r>
      <w:r w:rsidR="00777DCB" w:rsidRPr="00A52585">
        <w:rPr>
          <w:rtl/>
        </w:rPr>
        <w:t>27/ 150 - 153 من</w:t>
      </w:r>
      <w:r w:rsidR="00777DCB" w:rsidRPr="00A52585">
        <w:t xml:space="preserve"> </w:t>
      </w:r>
      <w:r w:rsidR="00777DCB" w:rsidRPr="00A52585">
        <w:rPr>
          <w:rtl/>
        </w:rPr>
        <w:t>الطبعة الثالثة دار إحياء التراث العربي</w:t>
      </w:r>
      <w:r w:rsidR="00897A24" w:rsidRPr="00A52585">
        <w:rPr>
          <w:rtl/>
        </w:rPr>
        <w:t>.</w:t>
      </w:r>
      <w:r w:rsidR="00777DCB" w:rsidRPr="00A52585">
        <w:rPr>
          <w:rtl/>
        </w:rPr>
        <w:t xml:space="preserve"> وقد نقل الرازي كلام ابن خزيمة ومغالطته</w:t>
      </w:r>
      <w:r w:rsidR="00777DCB" w:rsidRPr="00A52585">
        <w:t xml:space="preserve"> </w:t>
      </w:r>
      <w:r w:rsidR="00777DCB" w:rsidRPr="00A52585">
        <w:rPr>
          <w:rtl/>
        </w:rPr>
        <w:t>في معنى المثلية والتماثل لإثبات الجسمية لله تعالى</w:t>
      </w:r>
      <w:r w:rsidR="00DB731D" w:rsidRPr="00A52585">
        <w:rPr>
          <w:rtl/>
        </w:rPr>
        <w:t>،</w:t>
      </w:r>
      <w:r w:rsidR="00777DCB" w:rsidRPr="00A52585">
        <w:rPr>
          <w:rtl/>
        </w:rPr>
        <w:t xml:space="preserve"> شبيهاً بمغالطته المتقدمة في</w:t>
      </w:r>
      <w:r w:rsidR="00777DCB" w:rsidRPr="00A52585">
        <w:t xml:space="preserve"> </w:t>
      </w:r>
      <w:r w:rsidR="00777DCB" w:rsidRPr="00A52585">
        <w:rPr>
          <w:rtl/>
        </w:rPr>
        <w:t>الفصل الأول لإثبات رؤية الله تعالى</w:t>
      </w:r>
      <w:r w:rsidR="00897A24" w:rsidRPr="00A52585">
        <w:rPr>
          <w:rtl/>
        </w:rPr>
        <w:t>.</w:t>
      </w:r>
      <w:r w:rsidR="00777DCB" w:rsidRPr="00A52585">
        <w:rPr>
          <w:rtl/>
        </w:rPr>
        <w:t xml:space="preserve"> وقد هاجمه الرازي بشدة تتناسب مع فداحة</w:t>
      </w:r>
      <w:r w:rsidR="00777DCB" w:rsidRPr="00A52585">
        <w:t xml:space="preserve"> </w:t>
      </w:r>
      <w:r w:rsidR="00777DCB" w:rsidRPr="00A52585">
        <w:rPr>
          <w:rtl/>
        </w:rPr>
        <w:t xml:space="preserve">المغالطة وشرح معنى تماثل الأجسام وأثبت تنزيه الله تعالى عن </w:t>
      </w:r>
      <w:proofErr w:type="spellStart"/>
      <w:r w:rsidR="00777DCB" w:rsidRPr="00A52585">
        <w:rPr>
          <w:rtl/>
        </w:rPr>
        <w:t>مماثلتها</w:t>
      </w:r>
      <w:proofErr w:type="spellEnd"/>
      <w:r w:rsidR="00897A24" w:rsidRPr="00A52585">
        <w:rPr>
          <w:rtl/>
        </w:rPr>
        <w:t>.</w:t>
      </w:r>
      <w:r w:rsidR="00777DCB" w:rsidRPr="00A52585">
        <w:rPr>
          <w:rtl/>
        </w:rPr>
        <w:t xml:space="preserve"> وقد</w:t>
      </w:r>
      <w:r w:rsidR="00777DCB" w:rsidRPr="00A52585">
        <w:t xml:space="preserve"> </w:t>
      </w:r>
      <w:r w:rsidR="00777DCB" w:rsidRPr="00A52585">
        <w:rPr>
          <w:rtl/>
        </w:rPr>
        <w:t>اكتفينا عن إيراد كلام الرازي هنا ببحثه الذي سنورده في الفصل التالي في نفي</w:t>
      </w:r>
      <w:r w:rsidR="00777DCB" w:rsidRPr="00A52585">
        <w:t xml:space="preserve"> </w:t>
      </w:r>
      <w:r w:rsidR="00777DCB" w:rsidRPr="00A52585">
        <w:rPr>
          <w:rtl/>
        </w:rPr>
        <w:t>الجسمية</w:t>
      </w:r>
      <w:r w:rsidR="00DB731D" w:rsidRPr="00A52585">
        <w:rPr>
          <w:rtl/>
        </w:rPr>
        <w:t>،</w:t>
      </w:r>
      <w:r w:rsidR="00777DCB" w:rsidRPr="00A52585">
        <w:rPr>
          <w:rtl/>
        </w:rPr>
        <w:t xml:space="preserve"> وينبغي أن نشير هنا إلى أن كبار</w:t>
      </w:r>
      <w:r w:rsidR="00777DCB" w:rsidRPr="00A52585">
        <w:t xml:space="preserve"> </w:t>
      </w:r>
      <w:r w:rsidR="00777DCB" w:rsidRPr="00A52585">
        <w:rPr>
          <w:rtl/>
        </w:rPr>
        <w:t xml:space="preserve">علماء الوهابية يرشدون المسلمين إلى قراءة كتاب </w:t>
      </w:r>
      <w:r w:rsidRPr="00A52585">
        <w:rPr>
          <w:rtl/>
        </w:rPr>
        <w:t>(</w:t>
      </w:r>
      <w:r w:rsidR="00777DCB" w:rsidRPr="00A52585">
        <w:rPr>
          <w:rtl/>
        </w:rPr>
        <w:t>التوحيد</w:t>
      </w:r>
      <w:r w:rsidRPr="00A52585">
        <w:rPr>
          <w:rtl/>
        </w:rPr>
        <w:t>)</w:t>
      </w:r>
      <w:r w:rsidR="00777DCB" w:rsidRPr="00A52585">
        <w:rPr>
          <w:rtl/>
        </w:rPr>
        <w:t xml:space="preserve"> لابن خزيمة</w:t>
      </w:r>
      <w:r w:rsidR="00DB731D" w:rsidRPr="00A52585">
        <w:rPr>
          <w:rtl/>
        </w:rPr>
        <w:t>،</w:t>
      </w:r>
      <w:r w:rsidR="00777DCB" w:rsidRPr="00A52585">
        <w:rPr>
          <w:rtl/>
        </w:rPr>
        <w:t xml:space="preserve"> وقد تبنوا</w:t>
      </w:r>
      <w:r w:rsidR="00777DCB" w:rsidRPr="00A52585">
        <w:t xml:space="preserve"> </w:t>
      </w:r>
      <w:r w:rsidR="00777DCB" w:rsidRPr="00A52585">
        <w:rPr>
          <w:rtl/>
        </w:rPr>
        <w:t>نشره بين المسلمين بسبب أفكاره التجسيمية مع الأسف</w:t>
      </w:r>
      <w:r w:rsidR="00DB731D" w:rsidRPr="00A52585">
        <w:rPr>
          <w:rtl/>
        </w:rPr>
        <w:t>،</w:t>
      </w:r>
      <w:r w:rsidR="00777DCB" w:rsidRPr="00A52585">
        <w:rPr>
          <w:rtl/>
        </w:rPr>
        <w:t xml:space="preserve"> وقال - أيضاً - في فرقان القرآن ص 61</w:t>
      </w:r>
      <w:r w:rsidRPr="00A52585">
        <w:rPr>
          <w:rtl/>
        </w:rPr>
        <w:t>:</w:t>
      </w:r>
      <w:r w:rsidR="00777DCB" w:rsidRPr="00A52585">
        <w:rPr>
          <w:rtl/>
        </w:rPr>
        <w:t xml:space="preserve"> </w:t>
      </w:r>
      <w:r w:rsidRPr="00A52585">
        <w:rPr>
          <w:rtl/>
        </w:rPr>
        <w:t>(</w:t>
      </w:r>
      <w:r w:rsidR="00777DCB" w:rsidRPr="00A52585">
        <w:rPr>
          <w:rtl/>
        </w:rPr>
        <w:t xml:space="preserve">فوجب أن يكون منزهاً عن التركب وقبول </w:t>
      </w:r>
      <w:proofErr w:type="spellStart"/>
      <w:r w:rsidR="00777DCB" w:rsidRPr="00A52585">
        <w:rPr>
          <w:rtl/>
        </w:rPr>
        <w:t>الإنقسام</w:t>
      </w:r>
      <w:proofErr w:type="spellEnd"/>
      <w:r w:rsidR="00DB731D" w:rsidRPr="00A52585">
        <w:rPr>
          <w:rtl/>
        </w:rPr>
        <w:t>،</w:t>
      </w:r>
      <w:r w:rsidR="00777DCB" w:rsidRPr="00A52585">
        <w:rPr>
          <w:rtl/>
        </w:rPr>
        <w:t xml:space="preserve"> وكل ما هو من خصائص المادة والأجسام</w:t>
      </w:r>
      <w:r w:rsidR="00DB731D" w:rsidRPr="00A52585">
        <w:rPr>
          <w:rtl/>
        </w:rPr>
        <w:t>،</w:t>
      </w:r>
      <w:r w:rsidR="00777DCB" w:rsidRPr="00A52585">
        <w:rPr>
          <w:rtl/>
        </w:rPr>
        <w:t xml:space="preserve"> بذلك نطق كتاب الله لقوم يسمعون</w:t>
      </w:r>
      <w:r w:rsidR="00DB731D" w:rsidRPr="00A52585">
        <w:rPr>
          <w:rtl/>
        </w:rPr>
        <w:t>،</w:t>
      </w:r>
      <w:r w:rsidR="00777DCB" w:rsidRPr="00A52585">
        <w:rPr>
          <w:rtl/>
        </w:rPr>
        <w:t xml:space="preserve"> ونادت بهذا آياته من ألقى إليها السمع وهو شهيد</w:t>
      </w:r>
      <w:r w:rsidR="00DB731D" w:rsidRPr="00A52585">
        <w:rPr>
          <w:rtl/>
        </w:rPr>
        <w:t>،</w:t>
      </w:r>
      <w:r w:rsidR="00777DCB" w:rsidRPr="00A52585">
        <w:rPr>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sidR="00DB731D" w:rsidRPr="00A52585">
        <w:rPr>
          <w:rtl/>
        </w:rPr>
        <w:t>،</w:t>
      </w:r>
      <w:r w:rsidR="00777DCB" w:rsidRPr="00A52585">
        <w:rPr>
          <w:rtl/>
        </w:rPr>
        <w:t xml:space="preserve"> والعجب أنك ترى إمام المدافعين عن بيضة أهل التشبيه وشيخ إسلام أهل التجسيم ممن سبقه من </w:t>
      </w:r>
      <w:r w:rsidR="00777DCB" w:rsidRPr="00A52585">
        <w:rPr>
          <w:rtl/>
        </w:rPr>
        <w:lastRenderedPageBreak/>
        <w:t>الكرامية وجهلة المحدثين الذين يحفظون وليس لهم فقه فيما يحفظون</w:t>
      </w:r>
      <w:r w:rsidR="00DB731D" w:rsidRPr="00A52585">
        <w:rPr>
          <w:rtl/>
        </w:rPr>
        <w:t>،</w:t>
      </w:r>
      <w:r w:rsidR="00777DCB" w:rsidRPr="00A52585">
        <w:rPr>
          <w:rtl/>
        </w:rPr>
        <w:t xml:space="preserve"> أحمد بن عبد الحليم المعروف بابن تيمية</w:t>
      </w:r>
      <w:r w:rsidR="00DB731D" w:rsidRPr="00A52585">
        <w:rPr>
          <w:rtl/>
        </w:rPr>
        <w:t>،</w:t>
      </w:r>
      <w:r w:rsidR="00777DCB" w:rsidRPr="00A52585">
        <w:rPr>
          <w:rtl/>
        </w:rPr>
        <w:t xml:space="preserve"> يرمي إمام الحرمين وحجة الإسلام الغزالي بأنهما أشد كفراً من اليهود والنصارى</w:t>
      </w:r>
      <w:r w:rsidR="00DB731D" w:rsidRPr="00A52585">
        <w:rPr>
          <w:rtl/>
        </w:rPr>
        <w:t>،</w:t>
      </w:r>
      <w:r w:rsidR="00777DCB" w:rsidRPr="00A52585">
        <w:rPr>
          <w:rtl/>
        </w:rPr>
        <w:t xml:space="preserve"> في كتابه الموافقة المطبوع على هامش منهاجه</w:t>
      </w:r>
      <w:r w:rsidR="00DB731D" w:rsidRPr="00A52585">
        <w:rPr>
          <w:rtl/>
        </w:rPr>
        <w:t>،</w:t>
      </w:r>
      <w:r w:rsidR="00777DCB" w:rsidRPr="00A52585">
        <w:rPr>
          <w:rtl/>
        </w:rPr>
        <w:t xml:space="preserve"> لقولهما بالتنزيه</w:t>
      </w:r>
      <w:r w:rsidR="00DB731D" w:rsidRPr="00A52585">
        <w:rPr>
          <w:rtl/>
        </w:rPr>
        <w:t>،</w:t>
      </w:r>
      <w:r w:rsidR="00777DCB" w:rsidRPr="00A52585">
        <w:rPr>
          <w:rtl/>
        </w:rPr>
        <w:t xml:space="preserve"> وهما لم ينفردا به</w:t>
      </w:r>
      <w:r w:rsidR="00DB731D" w:rsidRPr="00A52585">
        <w:rPr>
          <w:rtl/>
        </w:rPr>
        <w:t>،</w:t>
      </w:r>
      <w:r w:rsidR="00777DCB" w:rsidRPr="00A52585">
        <w:rPr>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sidR="00DB731D" w:rsidRPr="00A52585">
        <w:rPr>
          <w:rtl/>
        </w:rPr>
        <w:t>،</w:t>
      </w:r>
      <w:r w:rsidR="00777DCB" w:rsidRPr="00A52585">
        <w:rPr>
          <w:rtl/>
        </w:rPr>
        <w:t xml:space="preserve"> فقد صح عنه عليه الصلاة والسلام</w:t>
      </w:r>
      <w:r w:rsidRPr="00A52585">
        <w:rPr>
          <w:rtl/>
        </w:rPr>
        <w:t>:</w:t>
      </w:r>
      <w:r w:rsidR="00777DCB" w:rsidRPr="00A52585">
        <w:t xml:space="preserve"> </w:t>
      </w:r>
      <w:r w:rsidR="00777DCB" w:rsidRPr="00A52585">
        <w:rPr>
          <w:rtl/>
        </w:rPr>
        <w:t>لن تزال طائفة من هذه الأمة ظاهرين على الحق لا يضرهم من خالفهم أو خذلهم حتى يأتي أمر الله</w:t>
      </w:r>
      <w:r w:rsidR="00DB731D" w:rsidRPr="00A52585">
        <w:rPr>
          <w:rtl/>
        </w:rPr>
        <w:t>،</w:t>
      </w:r>
      <w:r w:rsidR="00777DCB" w:rsidRPr="00A52585">
        <w:rPr>
          <w:rtl/>
        </w:rPr>
        <w:t xml:space="preserve"> وفي بعض ألفاظ هذا الحديث أنهم السواد الأعظم من أمته</w:t>
      </w:r>
      <w:r w:rsidR="00DB731D" w:rsidRPr="00A52585">
        <w:rPr>
          <w:rtl/>
        </w:rPr>
        <w:t>،</w:t>
      </w:r>
      <w:r w:rsidR="00777DCB" w:rsidRPr="00A52585">
        <w:rPr>
          <w:rtl/>
        </w:rPr>
        <w:t xml:space="preserve"> وسيأتي لنا كلام في خطر </w:t>
      </w:r>
      <w:proofErr w:type="spellStart"/>
      <w:r w:rsidR="00777DCB" w:rsidRPr="00A52585">
        <w:rPr>
          <w:rtl/>
        </w:rPr>
        <w:t>الإغترار</w:t>
      </w:r>
      <w:proofErr w:type="spellEnd"/>
      <w:r w:rsidR="00777DCB" w:rsidRPr="00A52585">
        <w:rPr>
          <w:rtl/>
        </w:rPr>
        <w:t xml:space="preserve"> بهذا الرجل ومصنفاته وشيعته</w:t>
      </w:r>
      <w:r w:rsidR="00DB731D" w:rsidRPr="00A52585">
        <w:rPr>
          <w:rtl/>
        </w:rPr>
        <w:t>،</w:t>
      </w:r>
      <w:r w:rsidR="00777DCB" w:rsidRPr="00A52585">
        <w:rPr>
          <w:rtl/>
        </w:rPr>
        <w:t xml:space="preserve"> ورأي المحققين من الجهابذة فيه وفيهم فانتظر</w:t>
      </w:r>
      <w:r w:rsidR="00DB731D" w:rsidRPr="00A52585">
        <w:rPr>
          <w:rtl/>
        </w:rPr>
        <w:t>،</w:t>
      </w:r>
      <w:r w:rsidR="00777DCB" w:rsidRPr="00A52585">
        <w:rPr>
          <w:rtl/>
        </w:rPr>
        <w:t xml:space="preserve"> </w:t>
      </w:r>
      <w:r w:rsidRPr="00A52585">
        <w:rPr>
          <w:rtl/>
        </w:rPr>
        <w:t>[</w:t>
      </w:r>
      <w:r w:rsidR="00777DCB" w:rsidRPr="00A52585">
        <w:rPr>
          <w:rtl/>
        </w:rPr>
        <w:t>بيان أن العلو المعنوي من المجاز الشائع في كلام العرب</w:t>
      </w:r>
      <w:r w:rsidRPr="00A52585">
        <w:rPr>
          <w:rtl/>
          <w:lang w:bidi="ar-KW"/>
        </w:rPr>
        <w:t>]:</w:t>
      </w:r>
      <w:r w:rsidR="00777DCB" w:rsidRPr="00A52585">
        <w:rPr>
          <w:rtl/>
        </w:rPr>
        <w:t xml:space="preserve">والعلو المعنوي منتشر في القرآن مستفيض في لغة العرب في وصف الخالق والمخلوق على ما يليق بكلٍّ </w:t>
      </w:r>
      <w:r w:rsidRPr="00A52585">
        <w:rPr>
          <w:rtl/>
        </w:rPr>
        <w:t>(</w:t>
      </w:r>
      <w:r w:rsidR="00777DCB" w:rsidRPr="00A52585">
        <w:rPr>
          <w:rtl/>
        </w:rPr>
        <w:t>ولا تهنوا ولا تحزنوا وأنتم الأعلون</w:t>
      </w:r>
      <w:r w:rsidRPr="00A52585">
        <w:rPr>
          <w:rtl/>
        </w:rPr>
        <w:t>)</w:t>
      </w:r>
      <w:r w:rsidR="00897A24" w:rsidRPr="00A52585">
        <w:rPr>
          <w:rtl/>
        </w:rPr>
        <w:t>.</w:t>
      </w:r>
      <w:r w:rsidR="00777DCB" w:rsidRPr="00A52585">
        <w:rPr>
          <w:rtl/>
        </w:rPr>
        <w:t xml:space="preserve"> </w:t>
      </w:r>
      <w:r w:rsidRPr="00A52585">
        <w:rPr>
          <w:rtl/>
        </w:rPr>
        <w:t>(</w:t>
      </w:r>
      <w:r w:rsidR="00777DCB" w:rsidRPr="00A52585">
        <w:rPr>
          <w:rtl/>
        </w:rPr>
        <w:t>ألا تعلوا علي وأتوني مسلمين</w:t>
      </w:r>
      <w:r w:rsidRPr="00A52585">
        <w:rPr>
          <w:rtl/>
        </w:rPr>
        <w:t>)</w:t>
      </w:r>
      <w:r w:rsidR="00777DCB" w:rsidRPr="00A52585">
        <w:rPr>
          <w:rtl/>
        </w:rPr>
        <w:t xml:space="preserve">. </w:t>
      </w:r>
      <w:r w:rsidRPr="00A52585">
        <w:rPr>
          <w:rtl/>
        </w:rPr>
        <w:t>(</w:t>
      </w:r>
      <w:r w:rsidR="00777DCB" w:rsidRPr="00A52585">
        <w:rPr>
          <w:rtl/>
        </w:rPr>
        <w:t>إنهم إن يظهروا عليكم يرجموكم</w:t>
      </w:r>
      <w:r w:rsidRPr="00A52585">
        <w:rPr>
          <w:rtl/>
        </w:rPr>
        <w:t>)</w:t>
      </w:r>
      <w:r w:rsidR="00897A24" w:rsidRPr="00A52585">
        <w:rPr>
          <w:rtl/>
        </w:rPr>
        <w:t>.</w:t>
      </w:r>
      <w:r w:rsidR="00777DCB" w:rsidRPr="00A52585">
        <w:rPr>
          <w:rtl/>
        </w:rPr>
        <w:t xml:space="preserve"> والظهور هنا هو العلو</w:t>
      </w:r>
      <w:r w:rsidR="00897A24" w:rsidRPr="00A52585">
        <w:rPr>
          <w:rtl/>
        </w:rPr>
        <w:t>.</w:t>
      </w:r>
      <w:r w:rsidR="00777DCB" w:rsidRPr="00A52585">
        <w:rPr>
          <w:rtl/>
        </w:rPr>
        <w:t xml:space="preserve"> </w:t>
      </w:r>
      <w:r w:rsidRPr="00A52585">
        <w:rPr>
          <w:rtl/>
        </w:rPr>
        <w:t>(</w:t>
      </w:r>
      <w:r w:rsidR="00777DCB" w:rsidRPr="00A52585">
        <w:rPr>
          <w:rtl/>
        </w:rPr>
        <w:t>إن فرعون علا في الأرض</w:t>
      </w:r>
      <w:r w:rsidRPr="00A52585">
        <w:rPr>
          <w:rtl/>
        </w:rPr>
        <w:t>)</w:t>
      </w:r>
      <w:r w:rsidR="00897A24" w:rsidRPr="00A52585">
        <w:rPr>
          <w:rtl/>
        </w:rPr>
        <w:t>.</w:t>
      </w:r>
      <w:r w:rsidR="00777DCB" w:rsidRPr="00A52585">
        <w:rPr>
          <w:rtl/>
        </w:rPr>
        <w:t xml:space="preserve"> </w:t>
      </w:r>
      <w:r w:rsidRPr="00A52585">
        <w:rPr>
          <w:rtl/>
        </w:rPr>
        <w:t>(</w:t>
      </w:r>
      <w:r w:rsidR="00777DCB" w:rsidRPr="00A52585">
        <w:rPr>
          <w:rtl/>
        </w:rPr>
        <w:t>وإنا فوقهم قاهرون</w:t>
      </w:r>
      <w:r w:rsidRPr="00A52585">
        <w:rPr>
          <w:rtl/>
        </w:rPr>
        <w:t>)</w:t>
      </w:r>
      <w:r w:rsidR="00777DCB" w:rsidRPr="00A52585">
        <w:rPr>
          <w:rtl/>
        </w:rPr>
        <w:t xml:space="preserve"> </w:t>
      </w:r>
      <w:r w:rsidRPr="00A52585">
        <w:rPr>
          <w:rtl/>
        </w:rPr>
        <w:t>(</w:t>
      </w:r>
      <w:r w:rsidR="00777DCB" w:rsidRPr="00A52585">
        <w:rPr>
          <w:rtl/>
        </w:rPr>
        <w:t>وأن لا تعلوا على الله إني آتيكم بسلطان مبين</w:t>
      </w:r>
      <w:r w:rsidRPr="00A52585">
        <w:rPr>
          <w:rtl/>
        </w:rPr>
        <w:t>)</w:t>
      </w:r>
      <w:r w:rsidR="00897A24" w:rsidRPr="00A52585">
        <w:rPr>
          <w:rtl/>
        </w:rPr>
        <w:t>.</w:t>
      </w:r>
      <w:r w:rsidR="00777DCB" w:rsidRPr="00A52585">
        <w:rPr>
          <w:rtl/>
        </w:rPr>
        <w:t xml:space="preserve"> </w:t>
      </w:r>
      <w:r w:rsidRPr="00A52585">
        <w:rPr>
          <w:rtl/>
        </w:rPr>
        <w:t>(</w:t>
      </w:r>
      <w:r w:rsidR="00777DCB" w:rsidRPr="00A52585">
        <w:rPr>
          <w:rtl/>
        </w:rPr>
        <w:t>وليتبروا ما علوا تتبيراً</w:t>
      </w:r>
      <w:r w:rsidRPr="00A52585">
        <w:rPr>
          <w:rtl/>
        </w:rPr>
        <w:t>)</w:t>
      </w:r>
      <w:r w:rsidR="00897A24" w:rsidRPr="00A52585">
        <w:rPr>
          <w:rtl/>
        </w:rPr>
        <w:t>.</w:t>
      </w:r>
      <w:r w:rsidR="00777DCB" w:rsidRPr="00A52585">
        <w:rPr>
          <w:rtl/>
        </w:rPr>
        <w:t xml:space="preserve"> </w:t>
      </w:r>
      <w:r w:rsidRPr="00A52585">
        <w:rPr>
          <w:rtl/>
        </w:rPr>
        <w:t>(</w:t>
      </w:r>
      <w:r w:rsidR="00777DCB" w:rsidRPr="00A52585">
        <w:rPr>
          <w:rtl/>
        </w:rPr>
        <w:t>لا تخف إنك أنت الأعلى</w:t>
      </w:r>
      <w:r w:rsidRPr="00A52585">
        <w:rPr>
          <w:rtl/>
        </w:rPr>
        <w:t>)</w:t>
      </w:r>
      <w:r w:rsidR="00DB731D" w:rsidRPr="00A52585">
        <w:rPr>
          <w:rFonts w:hint="cs"/>
          <w:rtl/>
        </w:rPr>
        <w:t>،</w:t>
      </w:r>
      <w:r w:rsidR="00777DCB" w:rsidRPr="00A52585">
        <w:rPr>
          <w:rFonts w:hint="cs"/>
          <w:rtl/>
        </w:rPr>
        <w:t xml:space="preserve"> </w:t>
      </w:r>
      <w:r w:rsidR="00777DCB" w:rsidRPr="00A52585">
        <w:rPr>
          <w:rtl/>
        </w:rPr>
        <w:t xml:space="preserve">ولما ذاق المشركون حلاوة النصر المؤقت يوم أحد قال قائلهم </w:t>
      </w:r>
      <w:r w:rsidRPr="00A52585">
        <w:rPr>
          <w:rtl/>
        </w:rPr>
        <w:t>(</w:t>
      </w:r>
      <w:r w:rsidR="00777DCB" w:rsidRPr="00A52585">
        <w:rPr>
          <w:rtl/>
        </w:rPr>
        <w:t>أعل هبل</w:t>
      </w:r>
      <w:r w:rsidRPr="00A52585">
        <w:rPr>
          <w:rtl/>
        </w:rPr>
        <w:t>)</w:t>
      </w:r>
      <w:r w:rsidR="00777DCB" w:rsidRPr="00A52585">
        <w:rPr>
          <w:rtl/>
        </w:rPr>
        <w:t xml:space="preserve"> وهو اسم صنم لهم أجابهم المسلمون عن أمر رسول الله صلى الله عليه وسلم بقولهم </w:t>
      </w:r>
      <w:r w:rsidRPr="00A52585">
        <w:rPr>
          <w:rtl/>
        </w:rPr>
        <w:t>(</w:t>
      </w:r>
      <w:r w:rsidR="00777DCB" w:rsidRPr="00A52585">
        <w:rPr>
          <w:rtl/>
        </w:rPr>
        <w:t>الله أعلى وأجل</w:t>
      </w:r>
      <w:r w:rsidRPr="00A52585">
        <w:rPr>
          <w:rtl/>
        </w:rPr>
        <w:t>)</w:t>
      </w:r>
      <w:r w:rsidR="00777DCB" w:rsidRPr="00A52585">
        <w:rPr>
          <w:rtl/>
        </w:rPr>
        <w:t xml:space="preserve"> وفي شعر العرب</w:t>
      </w:r>
      <w:r w:rsidRPr="00A52585">
        <w:rPr>
          <w:rtl/>
        </w:rPr>
        <w:t>:</w:t>
      </w:r>
      <w:r w:rsidR="00777DCB" w:rsidRPr="00A52585">
        <w:rPr>
          <w:rFonts w:hint="cs"/>
          <w:rtl/>
        </w:rPr>
        <w:t xml:space="preserve">" </w:t>
      </w:r>
      <w:r w:rsidR="00777DCB" w:rsidRPr="00A52585">
        <w:rPr>
          <w:rtl/>
        </w:rPr>
        <w:t>ولما علونا واستوينا عليهم تركناهم مرعى لنسر وكاسر</w:t>
      </w:r>
      <w:r w:rsidR="00777DCB" w:rsidRPr="00A52585">
        <w:rPr>
          <w:rFonts w:hint="cs"/>
          <w:rtl/>
        </w:rPr>
        <w:t xml:space="preserve"> "</w:t>
      </w:r>
      <w:r w:rsidR="00DB731D" w:rsidRPr="00A52585">
        <w:rPr>
          <w:rFonts w:hint="cs"/>
          <w:rtl/>
        </w:rPr>
        <w:t>،</w:t>
      </w:r>
      <w:r w:rsidR="00777DCB" w:rsidRPr="00A52585">
        <w:rPr>
          <w:rFonts w:hint="cs"/>
          <w:rtl/>
        </w:rPr>
        <w:t xml:space="preserve"> </w:t>
      </w:r>
      <w:r w:rsidR="00777DCB" w:rsidRPr="00A52585">
        <w:rPr>
          <w:rtl/>
        </w:rPr>
        <w:t>ولو ذهبنا نستقصي ما في الكتاب العزيز من ذلك وما في كلام العرب لكان مجلداً</w:t>
      </w:r>
      <w:r w:rsidR="00DB731D" w:rsidRPr="00A52585">
        <w:rPr>
          <w:rtl/>
        </w:rPr>
        <w:t>،</w:t>
      </w:r>
      <w:r w:rsidR="00777DCB" w:rsidRPr="00A52585">
        <w:rPr>
          <w:rtl/>
        </w:rPr>
        <w:t xml:space="preserve"> وأين علو المكان من علو السلطان</w:t>
      </w:r>
      <w:r w:rsidR="00F95886" w:rsidRPr="00A52585">
        <w:rPr>
          <w:rtl/>
        </w:rPr>
        <w:t>؟</w:t>
      </w:r>
      <w:r w:rsidR="00777DCB" w:rsidRPr="00A52585">
        <w:rPr>
          <w:rtl/>
        </w:rPr>
        <w:t xml:space="preserve"> وهل العلو في المكان إلا كمال جسماني عرضي نازل كل النزول عن الكمال الذاتي الأصلي</w:t>
      </w:r>
      <w:r w:rsidR="00F95886" w:rsidRPr="00A52585">
        <w:rPr>
          <w:rtl/>
        </w:rPr>
        <w:t>؟</w:t>
      </w:r>
      <w:r w:rsidR="00777DCB" w:rsidRPr="00A52585">
        <w:rPr>
          <w:rtl/>
        </w:rPr>
        <w:t xml:space="preserve"> تعالى الله عما يخطر للواهمين</w:t>
      </w:r>
      <w:r w:rsidR="00DB731D" w:rsidRPr="00A52585">
        <w:rPr>
          <w:rtl/>
        </w:rPr>
        <w:t>،</w:t>
      </w:r>
      <w:r w:rsidR="00777DCB" w:rsidRPr="00A52585">
        <w:rPr>
          <w:rtl/>
        </w:rPr>
        <w:t xml:space="preserve"> وقال الإمام أبو جعفر </w:t>
      </w:r>
      <w:r w:rsidRPr="00A52585">
        <w:rPr>
          <w:rtl/>
        </w:rPr>
        <w:t>(</w:t>
      </w:r>
      <w:r w:rsidR="00777DCB" w:rsidRPr="00A52585">
        <w:rPr>
          <w:rtl/>
        </w:rPr>
        <w:t>الطبري</w:t>
      </w:r>
      <w:r w:rsidRPr="00A52585">
        <w:rPr>
          <w:rtl/>
        </w:rPr>
        <w:t>)</w:t>
      </w:r>
      <w:r w:rsidR="00777DCB" w:rsidRPr="00A52585">
        <w:t xml:space="preserve"> </w:t>
      </w:r>
      <w:r w:rsidR="00777DCB" w:rsidRPr="00A52585">
        <w:rPr>
          <w:rtl/>
        </w:rPr>
        <w:t xml:space="preserve">في قوله تعالى </w:t>
      </w:r>
      <w:r w:rsidRPr="00A52585">
        <w:rPr>
          <w:rtl/>
        </w:rPr>
        <w:t>(</w:t>
      </w:r>
      <w:r w:rsidR="00777DCB" w:rsidRPr="00A52585">
        <w:rPr>
          <w:rtl/>
        </w:rPr>
        <w:t>كل شيء هالك إلا وجهه</w:t>
      </w:r>
      <w:r w:rsidRPr="00A52585">
        <w:rPr>
          <w:rtl/>
        </w:rPr>
        <w:t>)</w:t>
      </w:r>
      <w:r w:rsidR="00777DCB" w:rsidRPr="00A52585">
        <w:rPr>
          <w:rtl/>
        </w:rPr>
        <w:t xml:space="preserve"> إلا هو</w:t>
      </w:r>
      <w:r w:rsidR="00897A24" w:rsidRPr="00A52585">
        <w:rPr>
          <w:rtl/>
        </w:rPr>
        <w:t>.</w:t>
      </w:r>
      <w:r w:rsidR="00777DCB" w:rsidRPr="00A52585">
        <w:rPr>
          <w:rtl/>
        </w:rPr>
        <w:t xml:space="preserve"> فانظر كيف حمل الوجه على الذات ولم يحك فيه خلافا لمن تقدمه</w:t>
      </w:r>
      <w:r w:rsidR="00DB731D" w:rsidRPr="00A52585">
        <w:rPr>
          <w:rtl/>
        </w:rPr>
        <w:t>،</w:t>
      </w:r>
      <w:r w:rsidR="00777DCB" w:rsidRPr="00A52585">
        <w:rPr>
          <w:rtl/>
        </w:rPr>
        <w:t xml:space="preserve"> وقال البخاري في جامعه في تفسير سورة القصص </w:t>
      </w:r>
      <w:r w:rsidRPr="00A52585">
        <w:rPr>
          <w:rtl/>
        </w:rPr>
        <w:t>(</w:t>
      </w:r>
      <w:r w:rsidR="00777DCB" w:rsidRPr="00A52585">
        <w:rPr>
          <w:rtl/>
        </w:rPr>
        <w:t>كل شيء هالك إلا وجهه</w:t>
      </w:r>
      <w:r w:rsidRPr="00A52585">
        <w:rPr>
          <w:rtl/>
        </w:rPr>
        <w:t>)</w:t>
      </w:r>
      <w:r w:rsidR="00777DCB" w:rsidRPr="00A52585">
        <w:rPr>
          <w:rtl/>
        </w:rPr>
        <w:t xml:space="preserve"> إلا ملكه ويقال</w:t>
      </w:r>
      <w:r w:rsidRPr="00A52585">
        <w:rPr>
          <w:rtl/>
        </w:rPr>
        <w:t>:</w:t>
      </w:r>
      <w:r w:rsidR="00777DCB" w:rsidRPr="00A52585">
        <w:rPr>
          <w:rtl/>
        </w:rPr>
        <w:t xml:space="preserve"> إلا ما أريد به وجه الله</w:t>
      </w:r>
      <w:r w:rsidR="00897A24" w:rsidRPr="00A52585">
        <w:rPr>
          <w:rtl/>
        </w:rPr>
        <w:t>.</w:t>
      </w:r>
      <w:r w:rsidR="00777DCB" w:rsidRPr="00A52585">
        <w:t xml:space="preserve"> </w:t>
      </w:r>
      <w:r w:rsidR="00777DCB" w:rsidRPr="00A52585">
        <w:rPr>
          <w:rtl/>
        </w:rPr>
        <w:t>انتهى</w:t>
      </w:r>
      <w:r w:rsidR="00897A24" w:rsidRPr="00A52585">
        <w:rPr>
          <w:rtl/>
        </w:rPr>
        <w:t>.</w:t>
      </w:r>
      <w:r w:rsidR="00777DCB" w:rsidRPr="00A52585">
        <w:rPr>
          <w:rtl/>
        </w:rPr>
        <w:t xml:space="preserve"> فقد حمل الوجه على الملك جازماً به. ولا أظن عاقلاً يرتاب في أن البخاري من خير السلف</w:t>
      </w:r>
      <w:r w:rsidR="00DB731D" w:rsidRPr="00A52585">
        <w:rPr>
          <w:rtl/>
        </w:rPr>
        <w:t>،</w:t>
      </w:r>
      <w:r w:rsidR="00777DCB" w:rsidRPr="00A52585">
        <w:rPr>
          <w:rtl/>
        </w:rPr>
        <w:t xml:space="preserve"> وقال البخاري أيضاً في تفسير سورة هود في قوله تعالى </w:t>
      </w:r>
      <w:r w:rsidRPr="00A52585">
        <w:rPr>
          <w:rtl/>
        </w:rPr>
        <w:t>(</w:t>
      </w:r>
      <w:r w:rsidR="00777DCB" w:rsidRPr="00A52585">
        <w:rPr>
          <w:rtl/>
        </w:rPr>
        <w:t>ما من دابة إلا هو آخذ بناصيتها</w:t>
      </w:r>
      <w:r w:rsidRPr="00A52585">
        <w:rPr>
          <w:rtl/>
        </w:rPr>
        <w:t>)</w:t>
      </w:r>
      <w:r w:rsidR="00777DCB" w:rsidRPr="00A52585">
        <w:rPr>
          <w:rtl/>
        </w:rPr>
        <w:t xml:space="preserve"> في ملكه وسلطانه</w:t>
      </w:r>
      <w:r w:rsidR="00897A24" w:rsidRPr="00A52585">
        <w:rPr>
          <w:rtl/>
        </w:rPr>
        <w:t>.</w:t>
      </w:r>
      <w:r w:rsidR="00777DCB" w:rsidRPr="00A52585">
        <w:t xml:space="preserve"> </w:t>
      </w:r>
      <w:r w:rsidR="00777DCB" w:rsidRPr="00A52585">
        <w:rPr>
          <w:rtl/>
        </w:rPr>
        <w:t>انتهى</w:t>
      </w:r>
      <w:r w:rsidRPr="00A52585">
        <w:rPr>
          <w:rtl/>
        </w:rPr>
        <w:t xml:space="preserve"> </w:t>
      </w:r>
      <w:r w:rsidR="00777DCB" w:rsidRPr="00A52585">
        <w:rPr>
          <w:rtl/>
        </w:rPr>
        <w:t>كلام البخاري رضي الله عنه</w:t>
      </w:r>
      <w:r w:rsidR="00897A24" w:rsidRPr="00A52585">
        <w:rPr>
          <w:rtl/>
        </w:rPr>
        <w:t>.</w:t>
      </w:r>
      <w:r w:rsidR="00777DCB" w:rsidRPr="00A52585">
        <w:rPr>
          <w:rtl/>
        </w:rPr>
        <w:t xml:space="preserve"> وقال الله تعالى </w:t>
      </w:r>
      <w:r w:rsidRPr="00A52585">
        <w:rPr>
          <w:rtl/>
        </w:rPr>
        <w:t>(</w:t>
      </w:r>
      <w:r w:rsidR="00777DCB" w:rsidRPr="00A52585">
        <w:rPr>
          <w:rtl/>
        </w:rPr>
        <w:t>والله واسع عليم</w:t>
      </w:r>
      <w:r w:rsidRPr="00A52585">
        <w:rPr>
          <w:rtl/>
        </w:rPr>
        <w:t>)</w:t>
      </w:r>
      <w:r w:rsidR="00777DCB" w:rsidRPr="00A52585">
        <w:rPr>
          <w:rtl/>
        </w:rPr>
        <w:t xml:space="preserve"> فالسعة المتعارفة عظم امتداد الجسم</w:t>
      </w:r>
      <w:r w:rsidR="00DB731D" w:rsidRPr="00A52585">
        <w:rPr>
          <w:rtl/>
        </w:rPr>
        <w:t>،</w:t>
      </w:r>
      <w:r w:rsidR="00777DCB" w:rsidRPr="00A52585">
        <w:rPr>
          <w:rtl/>
        </w:rPr>
        <w:t xml:space="preserve"> فهل قال ذلك أحد من السلف</w:t>
      </w:r>
      <w:r w:rsidR="00F95886" w:rsidRPr="00A52585">
        <w:rPr>
          <w:rtl/>
        </w:rPr>
        <w:t>؟</w:t>
      </w:r>
      <w:r w:rsidR="00777DCB" w:rsidRPr="00A52585">
        <w:rPr>
          <w:rtl/>
        </w:rPr>
        <w:t xml:space="preserve"> حاشاهم من ذلك</w:t>
      </w:r>
      <w:r w:rsidR="00DB731D" w:rsidRPr="00A52585">
        <w:rPr>
          <w:rtl/>
        </w:rPr>
        <w:t>،</w:t>
      </w:r>
      <w:r w:rsidRPr="00A52585">
        <w:rPr>
          <w:rtl/>
        </w:rPr>
        <w:t xml:space="preserve"> </w:t>
      </w:r>
      <w:r w:rsidR="00777DCB" w:rsidRPr="00A52585">
        <w:rPr>
          <w:rtl/>
        </w:rPr>
        <w:t xml:space="preserve">واستمع الى ما قال الإمام الطبري وقال تعالى (الله نور </w:t>
      </w:r>
      <w:proofErr w:type="gramStart"/>
      <w:r w:rsidR="00777DCB" w:rsidRPr="00A52585">
        <w:rPr>
          <w:rtl/>
        </w:rPr>
        <w:t>السموات</w:t>
      </w:r>
      <w:proofErr w:type="gramEnd"/>
      <w:r w:rsidR="00777DCB" w:rsidRPr="00A52585">
        <w:rPr>
          <w:rtl/>
        </w:rPr>
        <w:t xml:space="preserve"> والأرض</w:t>
      </w:r>
      <w:r w:rsidRPr="00A52585">
        <w:rPr>
          <w:rtl/>
        </w:rPr>
        <w:t>)</w:t>
      </w:r>
      <w:r w:rsidR="00777DCB" w:rsidRPr="00A52585">
        <w:rPr>
          <w:rtl/>
        </w:rPr>
        <w:t xml:space="preserve"> هل فهم أحد من السلف أنه هو ذلك النور الفائض على الحيطان والجدران المنتشر في الجو</w:t>
      </w:r>
      <w:r w:rsidR="00F95886" w:rsidRPr="00A52585">
        <w:rPr>
          <w:rtl/>
        </w:rPr>
        <w:t>؟</w:t>
      </w:r>
      <w:r w:rsidR="00777DCB" w:rsidRPr="00A52585">
        <w:rPr>
          <w:rtl/>
        </w:rPr>
        <w:t xml:space="preserve"> جل مقام العلماء بالله </w:t>
      </w:r>
      <w:r w:rsidR="00777DCB" w:rsidRPr="00A52585">
        <w:rPr>
          <w:rtl/>
        </w:rPr>
        <w:lastRenderedPageBreak/>
        <w:t>وكتابه أن يفهموا هذا المعنى الظاهر العامي</w:t>
      </w:r>
      <w:r w:rsidR="00DB731D" w:rsidRPr="00A52585">
        <w:rPr>
          <w:rtl/>
        </w:rPr>
        <w:t>،</w:t>
      </w:r>
      <w:r w:rsidR="00777DCB" w:rsidRPr="00A52585">
        <w:rPr>
          <w:rFonts w:hint="cs"/>
          <w:rtl/>
        </w:rPr>
        <w:t xml:space="preserve"> </w:t>
      </w:r>
      <w:r w:rsidR="00777DCB" w:rsidRPr="00A52585">
        <w:rPr>
          <w:rtl/>
        </w:rPr>
        <w:t>قال حبر الأمة ابن عباس فيما رواه عنه الطبري بالسند الصحيح</w:t>
      </w:r>
      <w:r w:rsidRPr="00A52585">
        <w:rPr>
          <w:rtl/>
        </w:rPr>
        <w:t>:</w:t>
      </w:r>
      <w:r w:rsidR="00777DCB" w:rsidRPr="00A52585">
        <w:rPr>
          <w:rtl/>
        </w:rPr>
        <w:t xml:space="preserve"> الله سبحانه هادي أهل </w:t>
      </w:r>
      <w:proofErr w:type="gramStart"/>
      <w:r w:rsidR="00777DCB" w:rsidRPr="00A52585">
        <w:rPr>
          <w:rtl/>
        </w:rPr>
        <w:t>السموات</w:t>
      </w:r>
      <w:proofErr w:type="gramEnd"/>
      <w:r w:rsidR="00777DCB" w:rsidRPr="00A52585">
        <w:rPr>
          <w:rtl/>
        </w:rPr>
        <w:t xml:space="preserve"> والأرض</w:t>
      </w:r>
      <w:r w:rsidR="00897A24" w:rsidRPr="00A52585">
        <w:rPr>
          <w:rtl/>
        </w:rPr>
        <w:t>.</w:t>
      </w:r>
      <w:r w:rsidR="00777DCB" w:rsidRPr="00A52585">
        <w:rPr>
          <w:rtl/>
        </w:rPr>
        <w:t xml:space="preserve"> وروي نحوه عن أنس بن مالك</w:t>
      </w:r>
      <w:r w:rsidR="00DB731D" w:rsidRPr="00A52585">
        <w:rPr>
          <w:rtl/>
        </w:rPr>
        <w:t>،</w:t>
      </w:r>
      <w:r w:rsidR="00777DCB" w:rsidRPr="00A52585">
        <w:rPr>
          <w:rtl/>
        </w:rPr>
        <w:t xml:space="preserve"> وروي عن مجاهد أن معناه المدبر</w:t>
      </w:r>
      <w:r w:rsidR="00DB731D" w:rsidRPr="00A52585">
        <w:rPr>
          <w:rtl/>
        </w:rPr>
        <w:t>،</w:t>
      </w:r>
      <w:r w:rsidR="00777DCB" w:rsidRPr="00A52585">
        <w:rPr>
          <w:rtl/>
        </w:rPr>
        <w:t xml:space="preserve"> ورجح الإمام الأول وزيف ما عداه</w:t>
      </w:r>
      <w:r w:rsidR="00DB731D" w:rsidRPr="00A52585">
        <w:rPr>
          <w:rtl/>
        </w:rPr>
        <w:t>،</w:t>
      </w:r>
      <w:r w:rsidR="00777DCB" w:rsidRPr="00A52585">
        <w:rPr>
          <w:rtl/>
        </w:rPr>
        <w:t xml:space="preserve"> وقد سمعت ما قاله في معنى الإحاطة وأنها مصروفة إلى إحاطة العلم والمشيئة والاقتدار</w:t>
      </w:r>
      <w:r w:rsidR="00DB731D" w:rsidRPr="00A52585">
        <w:rPr>
          <w:rtl/>
        </w:rPr>
        <w:t>،</w:t>
      </w:r>
      <w:r w:rsidR="00777DCB" w:rsidRPr="00A52585">
        <w:rPr>
          <w:rtl/>
        </w:rPr>
        <w:t xml:space="preserve"> وليس معناها ما يفهم من إحاطة جسم بجسم والتفافه حوله واشتماله عليه</w:t>
      </w:r>
      <w:r w:rsidR="00DB731D" w:rsidRPr="00A52585">
        <w:rPr>
          <w:rtl/>
        </w:rPr>
        <w:t>،</w:t>
      </w:r>
      <w:r w:rsidR="00777DCB" w:rsidRPr="00A52585">
        <w:rPr>
          <w:rtl/>
        </w:rPr>
        <w:t xml:space="preserve"> تعالى الله عن صفات الأجسام وسمات الحدوث</w:t>
      </w:r>
      <w:r w:rsidR="00DB731D" w:rsidRPr="00A52585">
        <w:rPr>
          <w:rtl/>
        </w:rPr>
        <w:t>،</w:t>
      </w:r>
      <w:r w:rsidR="00777DCB" w:rsidRPr="00A52585">
        <w:rPr>
          <w:rFonts w:hint="cs"/>
          <w:rtl/>
        </w:rPr>
        <w:t xml:space="preserve"> </w:t>
      </w:r>
      <w:r w:rsidR="00777DCB" w:rsidRPr="00A52585">
        <w:rPr>
          <w:rtl/>
        </w:rPr>
        <w:t>هذا ولو استقريت أقوال السلف من مظانها لرأيت الكثير الطيب من بيان المعاني اللائقة بالله تعالى على سبيل التعيين</w:t>
      </w:r>
      <w:r w:rsidR="00DB731D" w:rsidRPr="00A52585">
        <w:rPr>
          <w:rtl/>
        </w:rPr>
        <w:t>،</w:t>
      </w:r>
      <w:r w:rsidR="00777DCB" w:rsidRPr="00A52585">
        <w:rPr>
          <w:rtl/>
        </w:rPr>
        <w:t xml:space="preserve"> فمن نقل عدم التعيين مطلقاً عن السلف فما دقق البحث ولا اتسع اطلاعه</w:t>
      </w:r>
      <w:r w:rsidR="00DB731D" w:rsidRPr="00A52585">
        <w:rPr>
          <w:rtl/>
        </w:rPr>
        <w:t>،</w:t>
      </w:r>
      <w:r w:rsidR="00777DCB" w:rsidRPr="00A52585">
        <w:rPr>
          <w:rtl/>
          <w:lang w:bidi="ar-KW"/>
        </w:rPr>
        <w:t xml:space="preserve"> </w:t>
      </w:r>
      <w:r w:rsidR="00777DCB" w:rsidRPr="00A52585">
        <w:rPr>
          <w:rtl/>
        </w:rPr>
        <w:t>وهذا صحيح البخاري بين أيدينا وتفسير ابن جرير الطبري بين أظهرنا يناديان بما قلنا</w:t>
      </w:r>
      <w:r w:rsidR="00DB731D" w:rsidRPr="00A52585">
        <w:rPr>
          <w:rtl/>
        </w:rPr>
        <w:t>،</w:t>
      </w:r>
      <w:r w:rsidR="00777DCB" w:rsidRPr="00A52585">
        <w:rPr>
          <w:rtl/>
        </w:rPr>
        <w:t xml:space="preserve"> وإنما ذكرنا ما ذكرنا لك من ذلك على سبيل التمثيل لندلك بما سمعت على ما لم تسمع</w:t>
      </w:r>
      <w:r w:rsidR="00DB731D" w:rsidRPr="00A52585">
        <w:rPr>
          <w:rtl/>
        </w:rPr>
        <w:t>،</w:t>
      </w:r>
      <w:r w:rsidR="00777DCB" w:rsidRPr="00A52585">
        <w:rPr>
          <w:rtl/>
        </w:rPr>
        <w:t xml:space="preserve"> ولا نريد في هذا الوجيز الاستقصاء</w:t>
      </w:r>
      <w:r w:rsidR="00DB731D" w:rsidRPr="00A52585">
        <w:rPr>
          <w:rtl/>
        </w:rPr>
        <w:t>،</w:t>
      </w:r>
      <w:r w:rsidR="00777DCB" w:rsidRPr="00A52585">
        <w:rPr>
          <w:rtl/>
        </w:rPr>
        <w:t xml:space="preserve"> وعليك بكتاب الأسماء والصفات للحافظ البيهقي</w:t>
      </w:r>
      <w:r w:rsidR="00DB731D" w:rsidRPr="00A52585">
        <w:rPr>
          <w:rtl/>
        </w:rPr>
        <w:t>،</w:t>
      </w:r>
      <w:r w:rsidR="00777DCB" w:rsidRPr="00A52585">
        <w:rPr>
          <w:rtl/>
        </w:rPr>
        <w:t xml:space="preserve"> وبمراجعة ما قال العلماء في شروح الأحاديث المشكلة</w:t>
      </w:r>
      <w:r w:rsidR="00DB731D" w:rsidRPr="00A52585">
        <w:rPr>
          <w:rtl/>
        </w:rPr>
        <w:t>،</w:t>
      </w:r>
      <w:r w:rsidR="00777DCB" w:rsidRPr="00A52585">
        <w:rPr>
          <w:rtl/>
        </w:rPr>
        <w:t xml:space="preserve"> وما نقلوه عن أكابر السلف في ذلك فقد قدمنا لك نقل الإمام أبي بكر بن العربي عن مالك أنه قال في حديث النزول</w:t>
      </w:r>
      <w:r w:rsidRPr="00A52585">
        <w:rPr>
          <w:rtl/>
        </w:rPr>
        <w:t>:</w:t>
      </w:r>
      <w:r w:rsidR="00777DCB" w:rsidRPr="00A52585">
        <w:rPr>
          <w:rtl/>
        </w:rPr>
        <w:t xml:space="preserve"> هو نزول رحمة لا نزول نقلة</w:t>
      </w:r>
      <w:r w:rsidR="00DB731D" w:rsidRPr="00A52585">
        <w:rPr>
          <w:rtl/>
        </w:rPr>
        <w:t>،</w:t>
      </w:r>
      <w:r w:rsidR="00777DCB" w:rsidRPr="00A52585">
        <w:rPr>
          <w:rtl/>
        </w:rPr>
        <w:t xml:space="preserve"> ولعله رضي الله عنه لم يبلغه الحديث المفسر له أو لم يستحضره أو بلغه من طريق لا يعتمد عليه</w:t>
      </w:r>
      <w:r w:rsidR="00DB731D" w:rsidRPr="00A52585">
        <w:rPr>
          <w:rtl/>
        </w:rPr>
        <w:t>،</w:t>
      </w:r>
      <w:r w:rsidR="00777DCB" w:rsidRPr="00A52585">
        <w:rPr>
          <w:rtl/>
        </w:rPr>
        <w:t xml:space="preserve"> وقد أخرج النسائي في سننه عن أبي هريرة رضي الله عنه رفعه</w:t>
      </w:r>
      <w:r w:rsidRPr="00A52585">
        <w:rPr>
          <w:rtl/>
        </w:rPr>
        <w:t>:</w:t>
      </w:r>
      <w:r w:rsidR="00777DCB" w:rsidRPr="00A52585">
        <w:t xml:space="preserve"> </w:t>
      </w:r>
      <w:r w:rsidR="00777DCB" w:rsidRPr="00A52585">
        <w:rPr>
          <w:rtl/>
        </w:rPr>
        <w:t>إن الله يمهل حتى إذا مضى شطر الليل أمر منادياً أن ينادي ألا من سائل فأعطيه</w:t>
      </w:r>
      <w:r w:rsidR="00DB731D" w:rsidRPr="00A52585">
        <w:rPr>
          <w:rtl/>
        </w:rPr>
        <w:t>،</w:t>
      </w:r>
      <w:r w:rsidR="00777DCB" w:rsidRPr="00A52585">
        <w:rPr>
          <w:rtl/>
        </w:rPr>
        <w:t xml:space="preserve"> الحديث</w:t>
      </w:r>
      <w:r w:rsidR="00897A24" w:rsidRPr="00A52585">
        <w:rPr>
          <w:rtl/>
        </w:rPr>
        <w:t>.</w:t>
      </w:r>
      <w:r w:rsidR="00777DCB" w:rsidRPr="00A52585">
        <w:rPr>
          <w:rtl/>
        </w:rPr>
        <w:t xml:space="preserve"> فتبين به أن إسناد النزول إليه تعالى إسناد مجازي</w:t>
      </w:r>
      <w:r w:rsidR="00DB731D" w:rsidRPr="00A52585">
        <w:rPr>
          <w:rtl/>
        </w:rPr>
        <w:t>،</w:t>
      </w:r>
      <w:r w:rsidR="00777DCB" w:rsidRPr="00A52585">
        <w:rPr>
          <w:rtl/>
        </w:rPr>
        <w:t xml:space="preserve"> فالمجاز في الإسناد وليس في الطرف وليس ذلك بغريب</w:t>
      </w:r>
      <w:r w:rsidR="00DB731D" w:rsidRPr="00A52585">
        <w:rPr>
          <w:rtl/>
        </w:rPr>
        <w:t>،</w:t>
      </w:r>
      <w:r w:rsidR="00777DCB" w:rsidRPr="00A52585">
        <w:rPr>
          <w:rtl/>
        </w:rPr>
        <w:t xml:space="preserve"> ففي القرآن العزيز </w:t>
      </w:r>
      <w:r w:rsidRPr="00A52585">
        <w:rPr>
          <w:rtl/>
        </w:rPr>
        <w:t>(</w:t>
      </w:r>
      <w:r w:rsidR="00777DCB" w:rsidRPr="00A52585">
        <w:rPr>
          <w:rtl/>
        </w:rPr>
        <w:t>فإذا قرأناه فاتبع قرآنه</w:t>
      </w:r>
      <w:r w:rsidRPr="00A52585">
        <w:rPr>
          <w:rtl/>
        </w:rPr>
        <w:t>)</w:t>
      </w:r>
      <w:r w:rsidR="00777DCB" w:rsidRPr="00A52585">
        <w:t xml:space="preserve"> </w:t>
      </w:r>
      <w:r w:rsidR="00777DCB" w:rsidRPr="00A52585">
        <w:rPr>
          <w:rtl/>
        </w:rPr>
        <w:t>والمعنى إذا قرأه عليك جبريل بأمرنا</w:t>
      </w:r>
      <w:r w:rsidR="00DB731D" w:rsidRPr="00A52585">
        <w:rPr>
          <w:rtl/>
        </w:rPr>
        <w:t>،</w:t>
      </w:r>
      <w:r w:rsidR="00777DCB" w:rsidRPr="00A52585">
        <w:rPr>
          <w:rtl/>
        </w:rPr>
        <w:t xml:space="preserve"> كما يعلم ذلك من قرأ ما أخرج البخاري عن ابن عباس في بدء الوحي فقد أزيل </w:t>
      </w:r>
      <w:proofErr w:type="spellStart"/>
      <w:r w:rsidR="00777DCB" w:rsidRPr="00A52585">
        <w:rPr>
          <w:rtl/>
        </w:rPr>
        <w:t>الإشتباه</w:t>
      </w:r>
      <w:proofErr w:type="spellEnd"/>
      <w:r w:rsidR="00777DCB" w:rsidRPr="00A52585">
        <w:rPr>
          <w:rtl/>
        </w:rPr>
        <w:t xml:space="preserve"> في الحديث بهذه الرواية كما أزيل </w:t>
      </w:r>
      <w:proofErr w:type="spellStart"/>
      <w:r w:rsidR="00777DCB" w:rsidRPr="00A52585">
        <w:rPr>
          <w:rtl/>
        </w:rPr>
        <w:t>الإشتباه</w:t>
      </w:r>
      <w:proofErr w:type="spellEnd"/>
      <w:r w:rsidR="00777DCB" w:rsidRPr="00A52585">
        <w:rPr>
          <w:rtl/>
        </w:rPr>
        <w:t xml:space="preserve"> في الآية الأخرى</w:t>
      </w:r>
      <w:r w:rsidR="00DB731D" w:rsidRPr="00A52585">
        <w:rPr>
          <w:rtl/>
        </w:rPr>
        <w:t>،</w:t>
      </w:r>
      <w:r w:rsidR="00777DCB" w:rsidRPr="00A52585">
        <w:rPr>
          <w:rtl/>
        </w:rPr>
        <w:t xml:space="preserve"> وصح النقل عن حبر الأمة ابن عباس أنه فسر بالعلو ولم يفسره بالجلوس</w:t>
      </w:r>
      <w:r w:rsidR="00DB731D" w:rsidRPr="00A52585">
        <w:rPr>
          <w:rtl/>
        </w:rPr>
        <w:t>،</w:t>
      </w:r>
      <w:r w:rsidR="00777DCB" w:rsidRPr="00A52585">
        <w:rPr>
          <w:rtl/>
        </w:rPr>
        <w:t xml:space="preserve"> وقد علمت ما قاله الإمام الطبري في معنى العلو</w:t>
      </w:r>
      <w:r w:rsidR="00DB731D" w:rsidRPr="00A52585">
        <w:rPr>
          <w:rtl/>
        </w:rPr>
        <w:t>،</w:t>
      </w:r>
      <w:r w:rsidR="00777DCB" w:rsidRPr="00A52585">
        <w:rPr>
          <w:rtl/>
        </w:rPr>
        <w:t xml:space="preserve"> ونقلنا لك عن الذهبي نفسه ما يفيد إجماع علماء الأمصار أنهم يقولون كلهم بلا كيف</w:t>
      </w:r>
      <w:r w:rsidR="00DB731D" w:rsidRPr="00A52585">
        <w:rPr>
          <w:rtl/>
        </w:rPr>
        <w:t>،</w:t>
      </w:r>
      <w:r w:rsidR="00777DCB" w:rsidRPr="00A52585">
        <w:rPr>
          <w:rtl/>
        </w:rPr>
        <w:t xml:space="preserve"> وشرحنا معناه بما يزيل عنك </w:t>
      </w:r>
      <w:proofErr w:type="spellStart"/>
      <w:r w:rsidR="00777DCB" w:rsidRPr="00A52585">
        <w:rPr>
          <w:rtl/>
        </w:rPr>
        <w:t>الإلتباس</w:t>
      </w:r>
      <w:proofErr w:type="spellEnd"/>
      <w:r w:rsidR="00777DCB" w:rsidRPr="00A52585">
        <w:rPr>
          <w:rtl/>
        </w:rPr>
        <w:t xml:space="preserve"> إن شاء الله تعالى</w:t>
      </w:r>
      <w:r w:rsidR="00DB731D" w:rsidRPr="00A52585">
        <w:rPr>
          <w:rtl/>
        </w:rPr>
        <w:t>،</w:t>
      </w:r>
      <w:r w:rsidR="00777DCB" w:rsidRPr="00A52585">
        <w:rPr>
          <w:rFonts w:hint="cs"/>
          <w:rtl/>
          <w:lang w:bidi="ar-KW"/>
        </w:rPr>
        <w:t xml:space="preserve"> </w:t>
      </w:r>
      <w:r w:rsidR="00777DCB" w:rsidRPr="00A52585">
        <w:rPr>
          <w:rtl/>
        </w:rPr>
        <w:t>وبعد فقد سبقتنا أساطين العلماء رضي الله عنهم فدونوا في المتشابهات الكتب الكثيرة القيمة بين مطول مفيد ومقل مجيد</w:t>
      </w:r>
      <w:r w:rsidR="00DB731D" w:rsidRPr="00A52585">
        <w:rPr>
          <w:rtl/>
        </w:rPr>
        <w:t>،</w:t>
      </w:r>
      <w:r w:rsidR="00777DCB" w:rsidRPr="00A52585">
        <w:rPr>
          <w:rtl/>
        </w:rPr>
        <w:t xml:space="preserve"> فاملأ قلبك بتنزه الله تعالى عن هذا الظواهر الحسية الجسمية " أهـ </w:t>
      </w:r>
      <w:r w:rsidRPr="00A52585">
        <w:rPr>
          <w:rtl/>
        </w:rPr>
        <w:t>[</w:t>
      </w:r>
      <w:r w:rsidR="00777DCB" w:rsidRPr="00A52585">
        <w:rPr>
          <w:rtl/>
        </w:rPr>
        <w:t>فرقان القرآن بين صفات الخالق وصفات الأكوان ص 72 المطبوع مع الأسماء والصفات للبيهقي</w:t>
      </w:r>
      <w:r w:rsidRPr="00A52585">
        <w:rPr>
          <w:rtl/>
        </w:rPr>
        <w:t>]</w:t>
      </w:r>
      <w:r w:rsidR="00DB731D" w:rsidRPr="00A52585">
        <w:rPr>
          <w:rtl/>
          <w:lang w:bidi="ar-KW"/>
        </w:rPr>
        <w:t>،</w:t>
      </w:r>
    </w:p>
    <w:p w14:paraId="0B637614" w14:textId="29135496" w:rsidR="00777DCB" w:rsidRPr="00A52585" w:rsidRDefault="00777DCB" w:rsidP="0002035C">
      <w:pPr>
        <w:spacing w:after="240"/>
        <w:jc w:val="center"/>
        <w:rPr>
          <w:rtl/>
        </w:rPr>
      </w:pPr>
      <w:r w:rsidRPr="00A52585">
        <w:rPr>
          <w:rFonts w:hint="cs"/>
          <w:rtl/>
        </w:rPr>
        <w:t>***</w:t>
      </w:r>
      <w:r w:rsidR="0002035C" w:rsidRPr="00A52585">
        <w:rPr>
          <w:rFonts w:hint="cs"/>
          <w:rtl/>
        </w:rPr>
        <w:t xml:space="preserve"> </w:t>
      </w:r>
    </w:p>
    <w:p w14:paraId="01B58CC6" w14:textId="77777777" w:rsidR="00777DCB" w:rsidRPr="00A52585" w:rsidRDefault="00777DCB" w:rsidP="0002035C">
      <w:pPr>
        <w:spacing w:after="240"/>
        <w:jc w:val="center"/>
        <w:rPr>
          <w:rtl/>
        </w:rPr>
      </w:pPr>
    </w:p>
    <w:p w14:paraId="7DB1CD8D" w14:textId="32E575E4" w:rsidR="00777DCB" w:rsidRPr="00A52585" w:rsidRDefault="00777DCB" w:rsidP="00185A91">
      <w:pPr>
        <w:pStyle w:val="1"/>
        <w:rPr>
          <w:u w:val="none"/>
          <w:rtl/>
          <w:lang w:bidi="ar-KW"/>
        </w:rPr>
      </w:pPr>
      <w:r w:rsidRPr="00A52585">
        <w:rPr>
          <w:u w:val="none"/>
          <w:rtl/>
          <w:lang w:bidi="ar-KW"/>
        </w:rPr>
        <w:t>الفصل الرابع</w:t>
      </w:r>
      <w:r w:rsidR="00185A91" w:rsidRPr="00A52585">
        <w:rPr>
          <w:rFonts w:hint="cs"/>
          <w:u w:val="none"/>
          <w:rtl/>
          <w:lang w:bidi="ar-KW"/>
        </w:rPr>
        <w:t xml:space="preserve"> </w:t>
      </w:r>
      <w:r w:rsidRPr="00A52585">
        <w:rPr>
          <w:u w:val="none"/>
          <w:rtl/>
          <w:lang w:bidi="ar-KW"/>
        </w:rPr>
        <w:t>رد المتشابهات إلى المحكمات</w:t>
      </w:r>
      <w:r w:rsidR="00185A91" w:rsidRPr="00A52585">
        <w:rPr>
          <w:rFonts w:hint="cs"/>
          <w:u w:val="none"/>
          <w:rtl/>
          <w:lang w:bidi="ar-KW"/>
        </w:rPr>
        <w:t xml:space="preserve"> </w:t>
      </w:r>
      <w:r w:rsidRPr="00A52585">
        <w:rPr>
          <w:u w:val="none"/>
          <w:rtl/>
          <w:lang w:bidi="ar-KW"/>
        </w:rPr>
        <w:t>فيما يتعلق بقواعد تنزيه ذات الله عن مماثلة الذوات</w:t>
      </w:r>
    </w:p>
    <w:p w14:paraId="7016F0DC" w14:textId="77777777" w:rsidR="00777DCB" w:rsidRPr="00A52585" w:rsidRDefault="00777DCB" w:rsidP="0002035C">
      <w:pPr>
        <w:jc w:val="center"/>
        <w:rPr>
          <w:rtl/>
        </w:rPr>
      </w:pPr>
    </w:p>
    <w:p w14:paraId="3B232859" w14:textId="02CC3274" w:rsidR="00777DCB" w:rsidRPr="00A52585" w:rsidRDefault="0002035C" w:rsidP="0002035C">
      <w:pPr>
        <w:spacing w:before="240" w:after="240"/>
        <w:rPr>
          <w:bCs/>
          <w:lang w:bidi="ar-KW"/>
        </w:rPr>
      </w:pPr>
      <w:r w:rsidRPr="00A52585">
        <w:rPr>
          <w:rFonts w:hint="cs"/>
          <w:rtl/>
          <w:lang w:bidi="ar-KW"/>
        </w:rPr>
        <w:t>(</w:t>
      </w:r>
      <w:r w:rsidR="00777DCB" w:rsidRPr="00A52585">
        <w:rPr>
          <w:rFonts w:hint="cs"/>
          <w:rtl/>
          <w:lang w:bidi="ar-KW"/>
        </w:rPr>
        <w:t>أ</w:t>
      </w:r>
      <w:r w:rsidRPr="00A52585">
        <w:rPr>
          <w:rFonts w:hint="cs"/>
          <w:rtl/>
          <w:lang w:bidi="ar-KW"/>
        </w:rPr>
        <w:t>)</w:t>
      </w:r>
      <w:r w:rsidR="00777DCB" w:rsidRPr="00A52585">
        <w:rPr>
          <w:rFonts w:hint="cs"/>
          <w:rtl/>
          <w:lang w:bidi="ar-KW"/>
        </w:rPr>
        <w:t xml:space="preserve"> من الآيات المتشابهة ما يوحي نسبتها إلى الله تعالى بالجوارح والأعضاء</w:t>
      </w:r>
      <w:r w:rsidR="00DB731D" w:rsidRPr="00A52585">
        <w:rPr>
          <w:rFonts w:hint="cs"/>
          <w:rtl/>
          <w:lang w:bidi="ar-KW"/>
        </w:rPr>
        <w:t>،</w:t>
      </w:r>
      <w:r w:rsidR="00777DCB" w:rsidRPr="00A52585">
        <w:rPr>
          <w:rFonts w:hint="cs"/>
          <w:rtl/>
          <w:lang w:bidi="ar-KW"/>
        </w:rPr>
        <w:t xml:space="preserve"> كالوجه واليد والعين</w:t>
      </w:r>
      <w:r w:rsidR="00DB731D" w:rsidRPr="00A52585">
        <w:rPr>
          <w:rFonts w:hint="cs"/>
          <w:rtl/>
          <w:lang w:bidi="ar-KW"/>
        </w:rPr>
        <w:t>،</w:t>
      </w:r>
      <w:r w:rsidR="00777DCB" w:rsidRPr="00A52585">
        <w:rPr>
          <w:rFonts w:hint="cs"/>
          <w:rtl/>
          <w:lang w:bidi="ar-KW"/>
        </w:rPr>
        <w:t xml:space="preserve"> ومنها ما يوحي ما يوحي بالجلوس والاستقرار كالاستواء</w:t>
      </w:r>
      <w:r w:rsidR="00DB731D" w:rsidRPr="00A52585">
        <w:rPr>
          <w:rFonts w:hint="cs"/>
          <w:rtl/>
          <w:lang w:bidi="ar-KW"/>
        </w:rPr>
        <w:t>،</w:t>
      </w:r>
      <w:r w:rsidR="00777DCB" w:rsidRPr="00A52585">
        <w:rPr>
          <w:rFonts w:hint="cs"/>
          <w:rtl/>
          <w:lang w:bidi="ar-KW"/>
        </w:rPr>
        <w:t xml:space="preserve"> ومنها ما يوحي بالحركة والانتقال كالنزول والمجيء</w:t>
      </w:r>
      <w:r w:rsidR="00DB731D" w:rsidRPr="00A52585">
        <w:rPr>
          <w:rFonts w:hint="cs"/>
          <w:rtl/>
          <w:lang w:bidi="ar-KW"/>
        </w:rPr>
        <w:t>،</w:t>
      </w:r>
      <w:r w:rsidR="00777DCB" w:rsidRPr="00A52585">
        <w:rPr>
          <w:rFonts w:hint="cs"/>
          <w:rtl/>
          <w:lang w:bidi="ar-KW"/>
        </w:rPr>
        <w:t xml:space="preserve"> ومنها ما يوحي بالانفعال كالغضب والفرح والسرور والضحك</w:t>
      </w:r>
      <w:r w:rsidR="00DB731D" w:rsidRPr="00A52585">
        <w:rPr>
          <w:rFonts w:hint="cs"/>
          <w:rtl/>
          <w:lang w:bidi="ar-KW"/>
        </w:rPr>
        <w:t>،</w:t>
      </w:r>
      <w:r w:rsidRPr="00A52585">
        <w:rPr>
          <w:rFonts w:hint="cs"/>
          <w:rtl/>
          <w:lang w:bidi="ar-KW"/>
        </w:rPr>
        <w:t xml:space="preserve"> </w:t>
      </w:r>
      <w:r w:rsidR="00777DCB" w:rsidRPr="00A52585">
        <w:rPr>
          <w:rFonts w:hint="cs"/>
          <w:rtl/>
        </w:rPr>
        <w:t>وهذه في حقيقة الأمر أخبار تتضمن عند اثباتها لله تعالى</w:t>
      </w:r>
      <w:r w:rsidRPr="00A52585">
        <w:rPr>
          <w:rFonts w:hint="cs"/>
          <w:rtl/>
        </w:rPr>
        <w:t xml:space="preserve"> </w:t>
      </w:r>
      <w:r w:rsidR="00777DCB" w:rsidRPr="00A52585">
        <w:rPr>
          <w:rFonts w:hint="cs"/>
          <w:rtl/>
        </w:rPr>
        <w:t>كمالاً من جهة وتتضمن نقصاً من جهة أخرى</w:t>
      </w:r>
      <w:r w:rsidR="00DB731D" w:rsidRPr="00A52585">
        <w:rPr>
          <w:rFonts w:hint="cs"/>
          <w:rtl/>
        </w:rPr>
        <w:t>،</w:t>
      </w:r>
      <w:r w:rsidR="00777DCB" w:rsidRPr="00A52585">
        <w:rPr>
          <w:rFonts w:hint="cs"/>
          <w:rtl/>
        </w:rPr>
        <w:t xml:space="preserve"> وهذه نثبتها على الوجه الذي يحمل المتشابه على المحكم</w:t>
      </w:r>
      <w:r w:rsidR="00DB731D" w:rsidRPr="00A52585">
        <w:rPr>
          <w:rFonts w:hint="cs"/>
          <w:rtl/>
        </w:rPr>
        <w:t>،</w:t>
      </w:r>
      <w:r w:rsidR="00777DCB" w:rsidRPr="00A52585">
        <w:rPr>
          <w:rFonts w:hint="cs"/>
          <w:rtl/>
        </w:rPr>
        <w:t xml:space="preserve"> وعلى الوجه الذي يدل على الكمال</w:t>
      </w:r>
      <w:r w:rsidR="00DB731D" w:rsidRPr="00A52585">
        <w:rPr>
          <w:rFonts w:hint="cs"/>
          <w:rtl/>
        </w:rPr>
        <w:t>،</w:t>
      </w:r>
      <w:r w:rsidR="00777DCB" w:rsidRPr="00A52585">
        <w:rPr>
          <w:rFonts w:hint="cs"/>
          <w:rtl/>
        </w:rPr>
        <w:t xml:space="preserve"> مع تنزيه الله تعالى عن أوجه النقص فيها</w:t>
      </w:r>
      <w:r w:rsidR="00DB731D" w:rsidRPr="00A52585">
        <w:rPr>
          <w:rFonts w:hint="cs"/>
          <w:rtl/>
        </w:rPr>
        <w:t>،</w:t>
      </w:r>
      <w:r w:rsidR="00777DCB" w:rsidRPr="00A52585">
        <w:rPr>
          <w:rFonts w:hint="cs"/>
          <w:rtl/>
        </w:rPr>
        <w:t xml:space="preserve"> مع الاحتراس عن نفي ما أثبته الله تعالى</w:t>
      </w:r>
      <w:r w:rsidR="00DB731D" w:rsidRPr="00A52585">
        <w:rPr>
          <w:rFonts w:hint="cs"/>
          <w:rtl/>
        </w:rPr>
        <w:t>،</w:t>
      </w:r>
      <w:r w:rsidR="00777DCB" w:rsidRPr="00A52585">
        <w:rPr>
          <w:rFonts w:hint="cs"/>
          <w:rtl/>
        </w:rPr>
        <w:t xml:space="preserve"> ومثال ذلك </w:t>
      </w:r>
      <w:r w:rsidRPr="00A52585">
        <w:rPr>
          <w:rFonts w:hint="cs"/>
          <w:rtl/>
        </w:rPr>
        <w:t>(</w:t>
      </w:r>
      <w:r w:rsidR="00777DCB" w:rsidRPr="00A52585">
        <w:rPr>
          <w:rFonts w:hint="cs"/>
          <w:rtl/>
        </w:rPr>
        <w:t>الوجه</w:t>
      </w:r>
      <w:r w:rsidRPr="00A52585">
        <w:rPr>
          <w:rFonts w:hint="cs"/>
          <w:rtl/>
        </w:rPr>
        <w:t>)</w:t>
      </w:r>
      <w:r w:rsidR="00777DCB" w:rsidRPr="00A52585">
        <w:rPr>
          <w:rFonts w:hint="cs"/>
          <w:rtl/>
        </w:rPr>
        <w:t xml:space="preserve"> فإنه إثبات لصفة خبرية </w:t>
      </w:r>
      <w:r w:rsidRPr="00A52585">
        <w:rPr>
          <w:rFonts w:hint="cs"/>
          <w:rtl/>
        </w:rPr>
        <w:t>(</w:t>
      </w:r>
      <w:r w:rsidR="00777DCB" w:rsidRPr="00A52585">
        <w:rPr>
          <w:rFonts w:hint="cs"/>
          <w:rtl/>
        </w:rPr>
        <w:t>جاء بها الخبر</w:t>
      </w:r>
      <w:r w:rsidRPr="00A52585">
        <w:rPr>
          <w:rFonts w:hint="cs"/>
          <w:rtl/>
        </w:rPr>
        <w:t>)</w:t>
      </w:r>
      <w:r w:rsidR="00777DCB" w:rsidRPr="00A52585">
        <w:rPr>
          <w:rFonts w:hint="cs"/>
          <w:rtl/>
        </w:rPr>
        <w:t xml:space="preserve"> ولكن اثباتها على ظاهرها قد يوحي بالجارحة والجزء من الله</w:t>
      </w:r>
      <w:r w:rsidR="00DB731D" w:rsidRPr="00A52585">
        <w:rPr>
          <w:rFonts w:hint="cs"/>
          <w:rtl/>
        </w:rPr>
        <w:t>،</w:t>
      </w:r>
      <w:r w:rsidR="00777DCB" w:rsidRPr="00A52585">
        <w:rPr>
          <w:rFonts w:hint="cs"/>
          <w:rtl/>
        </w:rPr>
        <w:t xml:space="preserve"> وهذا محال لأنّ الله تعالى أحد لا جزء له</w:t>
      </w:r>
      <w:r w:rsidR="00DB731D" w:rsidRPr="00A52585">
        <w:rPr>
          <w:rFonts w:hint="cs"/>
          <w:rtl/>
        </w:rPr>
        <w:t>،</w:t>
      </w:r>
      <w:r w:rsidR="00777DCB" w:rsidRPr="00A52585">
        <w:rPr>
          <w:rFonts w:hint="cs"/>
          <w:rtl/>
        </w:rPr>
        <w:t xml:space="preserve"> غني لا جارحة له</w:t>
      </w:r>
      <w:r w:rsidR="00DB731D" w:rsidRPr="00A52585">
        <w:rPr>
          <w:rFonts w:hint="cs"/>
          <w:rtl/>
        </w:rPr>
        <w:t>،</w:t>
      </w:r>
      <w:r w:rsidR="00777DCB" w:rsidRPr="00A52585">
        <w:rPr>
          <w:rFonts w:hint="cs"/>
          <w:rtl/>
        </w:rPr>
        <w:t xml:space="preserve"> قهار لا حد له</w:t>
      </w:r>
      <w:r w:rsidR="00DB731D" w:rsidRPr="00A52585">
        <w:rPr>
          <w:rFonts w:hint="cs"/>
          <w:rtl/>
        </w:rPr>
        <w:t>،</w:t>
      </w:r>
      <w:r w:rsidR="00777DCB" w:rsidRPr="00A52585">
        <w:rPr>
          <w:rFonts w:hint="cs"/>
          <w:rtl/>
        </w:rPr>
        <w:t xml:space="preserve"> متعال على النهاية فلا نهاية له</w:t>
      </w:r>
      <w:r w:rsidR="00DB731D" w:rsidRPr="00A52585">
        <w:rPr>
          <w:rFonts w:hint="cs"/>
          <w:rtl/>
        </w:rPr>
        <w:t>،</w:t>
      </w:r>
      <w:r w:rsidR="00777DCB" w:rsidRPr="00A52585">
        <w:rPr>
          <w:rFonts w:hint="cs"/>
          <w:rtl/>
        </w:rPr>
        <w:t xml:space="preserve"> فينبغي أنّ نسلك في ذلك طرق الراسخين في العلم</w:t>
      </w:r>
      <w:r w:rsidR="00DB731D" w:rsidRPr="00A52585">
        <w:rPr>
          <w:rFonts w:hint="cs"/>
          <w:rtl/>
        </w:rPr>
        <w:t>،</w:t>
      </w:r>
      <w:r w:rsidR="00777DCB" w:rsidRPr="00A52585">
        <w:rPr>
          <w:rFonts w:hint="cs"/>
          <w:rtl/>
        </w:rPr>
        <w:t xml:space="preserve"> </w:t>
      </w:r>
      <w:r w:rsidR="00777DCB" w:rsidRPr="00A52585">
        <w:rPr>
          <w:rFonts w:hint="cs"/>
          <w:bCs/>
          <w:rtl/>
        </w:rPr>
        <w:t>وهي أحدى ثلاث طرق</w:t>
      </w:r>
      <w:r w:rsidR="00777DCB" w:rsidRPr="00A52585">
        <w:rPr>
          <w:rFonts w:hint="cs"/>
          <w:rtl/>
        </w:rPr>
        <w:t xml:space="preserve"> لا رابع لها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الطريق الأول</w:t>
      </w:r>
      <w:r w:rsidRPr="00A52585">
        <w:rPr>
          <w:rFonts w:hint="cs"/>
          <w:rtl/>
        </w:rPr>
        <w:t>)</w:t>
      </w:r>
      <w:r w:rsidR="00777DCB" w:rsidRPr="00A52585">
        <w:rPr>
          <w:rFonts w:hint="cs"/>
          <w:rtl/>
        </w:rPr>
        <w:t xml:space="preserve"> اثبات الوجه على سبيل الصفة لا سبيل الجزء والجارحة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والطريق الثاني</w:t>
      </w:r>
      <w:r w:rsidRPr="00A52585">
        <w:rPr>
          <w:rFonts w:hint="cs"/>
          <w:rtl/>
        </w:rPr>
        <w:t xml:space="preserve">) </w:t>
      </w:r>
      <w:r w:rsidR="00777DCB" w:rsidRPr="00A52585">
        <w:rPr>
          <w:rFonts w:hint="cs"/>
          <w:rtl/>
        </w:rPr>
        <w:t>حمل الآية على المجاز المراد من الوجه وهو الذات</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والطريق الثالث</w:t>
      </w:r>
      <w:r w:rsidRPr="00A52585">
        <w:rPr>
          <w:rFonts w:hint="cs"/>
          <w:rtl/>
        </w:rPr>
        <w:t xml:space="preserve">) </w:t>
      </w:r>
      <w:r w:rsidR="00777DCB" w:rsidRPr="00A52585">
        <w:rPr>
          <w:rFonts w:hint="cs"/>
          <w:rtl/>
        </w:rPr>
        <w:t xml:space="preserve">تفويض علمها إلى الله مع المنع من تفسيرها على ظاهرها </w:t>
      </w:r>
      <w:r w:rsidRPr="00A52585">
        <w:rPr>
          <w:rFonts w:hint="cs"/>
          <w:rtl/>
        </w:rPr>
        <w:t>(</w:t>
      </w:r>
      <w:r w:rsidR="00777DCB" w:rsidRPr="00A52585">
        <w:rPr>
          <w:rFonts w:hint="cs"/>
          <w:rtl/>
        </w:rPr>
        <w:t>الذي هو الجزء من الذات</w:t>
      </w:r>
      <w:r w:rsidRPr="00A52585">
        <w:rPr>
          <w:rFonts w:hint="cs"/>
          <w:rtl/>
        </w:rPr>
        <w:t>)</w:t>
      </w:r>
      <w:r w:rsidR="00777DCB" w:rsidRPr="00A52585">
        <w:rPr>
          <w:rFonts w:hint="cs"/>
          <w:rtl/>
        </w:rPr>
        <w:t xml:space="preserve"> مع تنزيه الله تعالى عن النقص</w:t>
      </w:r>
      <w:r w:rsidR="00DB731D" w:rsidRPr="00A52585">
        <w:rPr>
          <w:rFonts w:hint="cs"/>
          <w:rtl/>
        </w:rPr>
        <w:t>،</w:t>
      </w:r>
      <w:r w:rsidR="00777DCB" w:rsidRPr="00A52585">
        <w:rPr>
          <w:rFonts w:hint="cs"/>
          <w:rtl/>
        </w:rPr>
        <w:t xml:space="preserve"> مع الحذر - كل الحذر - من اثبات الوجه على أنه جزء من الذات</w:t>
      </w:r>
      <w:r w:rsidR="00DB731D" w:rsidRPr="00A52585">
        <w:rPr>
          <w:rFonts w:hint="cs"/>
          <w:rtl/>
        </w:rPr>
        <w:t>،</w:t>
      </w:r>
      <w:r w:rsidR="00777DCB" w:rsidRPr="00A52585">
        <w:rPr>
          <w:rFonts w:hint="cs"/>
          <w:rtl/>
        </w:rPr>
        <w:t xml:space="preserve"> فهذا تشبيه</w:t>
      </w:r>
      <w:r w:rsidR="00DB731D" w:rsidRPr="00A52585">
        <w:rPr>
          <w:rFonts w:hint="cs"/>
          <w:rtl/>
        </w:rPr>
        <w:t>،</w:t>
      </w:r>
      <w:r w:rsidR="00777DCB" w:rsidRPr="00A52585">
        <w:rPr>
          <w:rFonts w:hint="cs"/>
          <w:rtl/>
        </w:rPr>
        <w:t xml:space="preserve"> وخروج عن إطار أهل السنّة إلى المشبهة</w:t>
      </w:r>
      <w:r w:rsidR="00DB731D" w:rsidRPr="00A52585">
        <w:rPr>
          <w:rFonts w:hint="cs"/>
          <w:rtl/>
        </w:rPr>
        <w:t>،</w:t>
      </w:r>
      <w:r w:rsidR="00777DCB" w:rsidRPr="00A52585">
        <w:rPr>
          <w:rFonts w:hint="cs"/>
          <w:rtl/>
        </w:rPr>
        <w:t xml:space="preserve"> لما فيه من محاذير اثبات للحد والنهاية</w:t>
      </w:r>
      <w:r w:rsidR="00DB731D" w:rsidRPr="00A52585">
        <w:rPr>
          <w:rFonts w:hint="cs"/>
          <w:rtl/>
        </w:rPr>
        <w:t>،</w:t>
      </w:r>
      <w:r w:rsidR="00777DCB" w:rsidRPr="00A52585">
        <w:rPr>
          <w:rFonts w:hint="cs"/>
          <w:rtl/>
        </w:rPr>
        <w:t xml:space="preserve"> واثبات للجزء والبعض والجارحة</w:t>
      </w:r>
      <w:r w:rsidR="00DB731D" w:rsidRPr="00A52585">
        <w:rPr>
          <w:rFonts w:hint="cs"/>
          <w:rtl/>
        </w:rPr>
        <w:t>،</w:t>
      </w:r>
      <w:r w:rsidR="00777DCB" w:rsidRPr="00A52585">
        <w:rPr>
          <w:rFonts w:hint="cs"/>
          <w:rtl/>
        </w:rPr>
        <w:t xml:space="preserve"> والله تعالى أحد صمد منزه عن الجزء والجارحة ومنزه عن الحد والنهاية</w:t>
      </w:r>
      <w:r w:rsidR="00DB731D" w:rsidRPr="00A52585">
        <w:rPr>
          <w:rFonts w:hint="cs"/>
          <w:rtl/>
        </w:rPr>
        <w:t>،</w:t>
      </w:r>
      <w:r w:rsidR="00777DCB" w:rsidRPr="00A52585">
        <w:rPr>
          <w:rFonts w:hint="cs"/>
          <w:rtl/>
        </w:rPr>
        <w:t xml:space="preserve"> ومثال الصفات الخبرية </w:t>
      </w:r>
      <w:r w:rsidRPr="00A52585">
        <w:rPr>
          <w:rFonts w:hint="cs"/>
          <w:rtl/>
        </w:rPr>
        <w:t>(</w:t>
      </w:r>
      <w:r w:rsidR="00777DCB" w:rsidRPr="00A52585">
        <w:rPr>
          <w:rFonts w:hint="cs"/>
          <w:rtl/>
        </w:rPr>
        <w:t>الاستواء</w:t>
      </w:r>
      <w:r w:rsidRPr="00A52585">
        <w:rPr>
          <w:rFonts w:hint="cs"/>
          <w:rtl/>
        </w:rPr>
        <w:t>)</w:t>
      </w:r>
      <w:r w:rsidR="00777DCB" w:rsidRPr="00A52585">
        <w:rPr>
          <w:rFonts w:hint="cs"/>
          <w:rtl/>
        </w:rPr>
        <w:t xml:space="preserve"> فإنه إثبات لصفة خبرية </w:t>
      </w:r>
      <w:r w:rsidRPr="00A52585">
        <w:rPr>
          <w:rFonts w:hint="cs"/>
          <w:rtl/>
        </w:rPr>
        <w:t>(</w:t>
      </w:r>
      <w:r w:rsidR="00777DCB" w:rsidRPr="00A52585">
        <w:rPr>
          <w:rFonts w:hint="cs"/>
          <w:rtl/>
        </w:rPr>
        <w:t>جاء بها الخبر</w:t>
      </w:r>
      <w:r w:rsidRPr="00A52585">
        <w:rPr>
          <w:rFonts w:hint="cs"/>
          <w:rtl/>
        </w:rPr>
        <w:t>)</w:t>
      </w:r>
      <w:r w:rsidR="00777DCB" w:rsidRPr="00A52585">
        <w:rPr>
          <w:rFonts w:hint="cs"/>
          <w:rtl/>
        </w:rPr>
        <w:t xml:space="preserve"> ولكن اثباتها على ظاهرها قد يوحي بالحد والنهاية لذات الله</w:t>
      </w:r>
      <w:r w:rsidR="00DB731D" w:rsidRPr="00A52585">
        <w:rPr>
          <w:rFonts w:hint="cs"/>
          <w:rtl/>
        </w:rPr>
        <w:t>،</w:t>
      </w:r>
      <w:r w:rsidR="00777DCB" w:rsidRPr="00A52585">
        <w:rPr>
          <w:rFonts w:hint="cs"/>
          <w:rtl/>
        </w:rPr>
        <w:t xml:space="preserve"> وهذا وصف لذات الله تعالى بالنقص</w:t>
      </w:r>
      <w:r w:rsidR="00DB731D" w:rsidRPr="00A52585">
        <w:rPr>
          <w:rFonts w:hint="cs"/>
          <w:rtl/>
        </w:rPr>
        <w:t>،</w:t>
      </w:r>
      <w:r w:rsidR="00777DCB" w:rsidRPr="00A52585">
        <w:rPr>
          <w:rFonts w:hint="cs"/>
          <w:rtl/>
        </w:rPr>
        <w:t xml:space="preserve"> لأنّ الحد </w:t>
      </w:r>
      <w:r w:rsidR="00777DCB" w:rsidRPr="00A52585">
        <w:rPr>
          <w:rFonts w:hint="cs"/>
          <w:rtl/>
        </w:rPr>
        <w:lastRenderedPageBreak/>
        <w:t>يعني النهاية والله تعالى منزه عن النهاية لأنها سمة المخلوق المحدود</w:t>
      </w:r>
      <w:r w:rsidR="00DB731D" w:rsidRPr="00A52585">
        <w:rPr>
          <w:rFonts w:hint="cs"/>
          <w:rtl/>
        </w:rPr>
        <w:t>،</w:t>
      </w:r>
      <w:r w:rsidR="00777DCB" w:rsidRPr="00A52585">
        <w:rPr>
          <w:rFonts w:hint="cs"/>
          <w:rtl/>
        </w:rPr>
        <w:t xml:space="preserve"> وكذلك فإنّ عقيدة المسلمين أنّ الله تعالى أكبر من كل شيء</w:t>
      </w:r>
      <w:r w:rsidR="00DB731D" w:rsidRPr="00A52585">
        <w:rPr>
          <w:rFonts w:hint="cs"/>
          <w:rtl/>
        </w:rPr>
        <w:t>،</w:t>
      </w:r>
      <w:r w:rsidR="00777DCB" w:rsidRPr="00A52585">
        <w:rPr>
          <w:rFonts w:hint="cs"/>
          <w:rtl/>
        </w:rPr>
        <w:t xml:space="preserve"> وهو أكبر من الحدود</w:t>
      </w:r>
      <w:r w:rsidR="00DB731D" w:rsidRPr="00A52585">
        <w:rPr>
          <w:rFonts w:hint="cs"/>
          <w:rtl/>
        </w:rPr>
        <w:t>،</w:t>
      </w:r>
      <w:r w:rsidR="00777DCB" w:rsidRPr="00A52585">
        <w:rPr>
          <w:rFonts w:hint="cs"/>
          <w:rtl/>
        </w:rPr>
        <w:t xml:space="preserve"> وكل محدود فإنه يجوز أن يكون ما هو أكبر منه</w:t>
      </w:r>
      <w:r w:rsidR="00DB731D" w:rsidRPr="00A52585">
        <w:rPr>
          <w:rFonts w:hint="cs"/>
          <w:rtl/>
        </w:rPr>
        <w:t>،</w:t>
      </w:r>
      <w:r w:rsidR="00777DCB" w:rsidRPr="00A52585">
        <w:rPr>
          <w:rFonts w:hint="cs"/>
          <w:rtl/>
        </w:rPr>
        <w:t xml:space="preserve"> والله أكبر من كل تصور فوجب أن يكون منزها عن الحدود</w:t>
      </w:r>
      <w:r w:rsidR="00DB731D" w:rsidRPr="00A52585">
        <w:rPr>
          <w:rFonts w:hint="cs"/>
          <w:rtl/>
        </w:rPr>
        <w:t>،</w:t>
      </w:r>
      <w:r w:rsidR="00777DCB" w:rsidRPr="00A52585">
        <w:rPr>
          <w:rFonts w:hint="cs"/>
          <w:rtl/>
        </w:rPr>
        <w:t xml:space="preserve"> كما أنّه الواحد القهار الذي قهر الحدود</w:t>
      </w:r>
      <w:r w:rsidR="00DB731D" w:rsidRPr="00A52585">
        <w:rPr>
          <w:rFonts w:hint="cs"/>
          <w:rtl/>
        </w:rPr>
        <w:t>،</w:t>
      </w:r>
      <w:r w:rsidR="00777DCB" w:rsidRPr="00A52585">
        <w:rPr>
          <w:rFonts w:hint="cs"/>
          <w:rtl/>
        </w:rPr>
        <w:t xml:space="preserve"> وهو الكبير المتعال الذي تعالى عن النهايات</w:t>
      </w:r>
      <w:r w:rsidR="00DB731D" w:rsidRPr="00A52585">
        <w:rPr>
          <w:rFonts w:hint="cs"/>
          <w:rtl/>
        </w:rPr>
        <w:t>،</w:t>
      </w:r>
      <w:r w:rsidR="00777DCB" w:rsidRPr="00A52585">
        <w:rPr>
          <w:rFonts w:hint="cs"/>
          <w:rtl/>
        </w:rPr>
        <w:t xml:space="preserve"> فإثبات الاستواء على معناه الظاهر </w:t>
      </w:r>
      <w:r w:rsidRPr="00A52585">
        <w:rPr>
          <w:rFonts w:hint="cs"/>
          <w:rtl/>
        </w:rPr>
        <w:t>(</w:t>
      </w:r>
      <w:r w:rsidR="00777DCB" w:rsidRPr="00A52585">
        <w:rPr>
          <w:rFonts w:hint="cs"/>
          <w:rtl/>
        </w:rPr>
        <w:t>الجلوس</w:t>
      </w:r>
      <w:r w:rsidRPr="00A52585">
        <w:rPr>
          <w:rFonts w:hint="cs"/>
          <w:rtl/>
        </w:rPr>
        <w:t>)</w:t>
      </w:r>
      <w:r w:rsidR="00DB731D" w:rsidRPr="00A52585">
        <w:rPr>
          <w:rFonts w:hint="cs"/>
          <w:rtl/>
        </w:rPr>
        <w:t>،</w:t>
      </w:r>
      <w:r w:rsidR="00777DCB" w:rsidRPr="00A52585">
        <w:rPr>
          <w:rFonts w:hint="cs"/>
          <w:rtl/>
        </w:rPr>
        <w:t xml:space="preserve"> قد يوحي بالمقابلة أو </w:t>
      </w:r>
      <w:proofErr w:type="spellStart"/>
      <w:r w:rsidR="00777DCB" w:rsidRPr="00A52585">
        <w:rPr>
          <w:rFonts w:hint="cs"/>
          <w:rtl/>
        </w:rPr>
        <w:t>المحايثة</w:t>
      </w:r>
      <w:proofErr w:type="spellEnd"/>
      <w:r w:rsidR="00777DCB" w:rsidRPr="00A52585">
        <w:rPr>
          <w:rFonts w:hint="cs"/>
          <w:rtl/>
        </w:rPr>
        <w:t xml:space="preserve"> بين الخالق والمخلوق وبين الرب والعرش المربوب</w:t>
      </w:r>
      <w:r w:rsidR="00DB731D" w:rsidRPr="00A52585">
        <w:rPr>
          <w:rFonts w:hint="cs"/>
          <w:rtl/>
        </w:rPr>
        <w:t>،</w:t>
      </w:r>
      <w:r w:rsidR="00777DCB" w:rsidRPr="00A52585">
        <w:rPr>
          <w:rFonts w:hint="cs"/>
          <w:rtl/>
        </w:rPr>
        <w:t xml:space="preserve"> وهذا محال لأنّ الله تعالى قهار لا حد له</w:t>
      </w:r>
      <w:r w:rsidR="00DB731D" w:rsidRPr="00A52585">
        <w:rPr>
          <w:rFonts w:hint="cs"/>
          <w:rtl/>
        </w:rPr>
        <w:t>،</w:t>
      </w:r>
      <w:r w:rsidR="00777DCB" w:rsidRPr="00A52585">
        <w:rPr>
          <w:rFonts w:hint="cs"/>
          <w:rtl/>
        </w:rPr>
        <w:t xml:space="preserve"> متعال على النهاية فلا نهاية له</w:t>
      </w:r>
      <w:r w:rsidR="00DB731D" w:rsidRPr="00A52585">
        <w:rPr>
          <w:rFonts w:hint="cs"/>
          <w:rtl/>
        </w:rPr>
        <w:t>،</w:t>
      </w:r>
      <w:r w:rsidR="00777DCB" w:rsidRPr="00A52585">
        <w:rPr>
          <w:rFonts w:hint="cs"/>
          <w:rtl/>
        </w:rPr>
        <w:t xml:space="preserve"> فينبغي أنّ نسلك في ذلك طرق الراسخين في العلم</w:t>
      </w:r>
      <w:r w:rsidR="00DB731D" w:rsidRPr="00A52585">
        <w:rPr>
          <w:rFonts w:hint="cs"/>
          <w:rtl/>
        </w:rPr>
        <w:t>،</w:t>
      </w:r>
      <w:r w:rsidR="00777DCB" w:rsidRPr="00A52585">
        <w:rPr>
          <w:rFonts w:hint="cs"/>
          <w:rtl/>
        </w:rPr>
        <w:t xml:space="preserve"> وهي أحدى ثلاث طرق لا رابع لها</w:t>
      </w:r>
      <w:r w:rsidR="00DB731D" w:rsidRPr="00A52585">
        <w:rPr>
          <w:rFonts w:hint="cs"/>
          <w:rtl/>
        </w:rPr>
        <w:t>،</w:t>
      </w:r>
      <w:r w:rsidR="00777DCB" w:rsidRPr="00A52585">
        <w:rPr>
          <w:rFonts w:hint="cs"/>
          <w:rtl/>
        </w:rPr>
        <w:t xml:space="preserve"> إما اثبات الاستواء على سبيل الصفة لا سبيل الجلوس والاستقرار</w:t>
      </w:r>
      <w:r w:rsidR="00DB731D" w:rsidRPr="00A52585">
        <w:rPr>
          <w:rFonts w:hint="cs"/>
          <w:rtl/>
        </w:rPr>
        <w:t>،</w:t>
      </w:r>
      <w:r w:rsidR="00777DCB" w:rsidRPr="00A52585">
        <w:rPr>
          <w:rFonts w:hint="cs"/>
          <w:rtl/>
        </w:rPr>
        <w:t xml:space="preserve"> وإما حمل الآية على المجاز المراد من الاستواء وهو علو الهيمنة والربوبية والتدبير</w:t>
      </w:r>
      <w:r w:rsidR="00DB731D" w:rsidRPr="00A52585">
        <w:rPr>
          <w:rFonts w:hint="cs"/>
          <w:rtl/>
        </w:rPr>
        <w:t>،</w:t>
      </w:r>
      <w:r w:rsidR="00777DCB" w:rsidRPr="00A52585">
        <w:rPr>
          <w:rFonts w:hint="cs"/>
          <w:rtl/>
        </w:rPr>
        <w:t xml:space="preserve"> وإما تفويض علمه إلى الله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استواء على مراد الله ومراد رسول الله</w:t>
      </w:r>
      <w:r w:rsidRPr="00A52585">
        <w:rPr>
          <w:rFonts w:hint="cs"/>
          <w:rtl/>
        </w:rPr>
        <w:t>)</w:t>
      </w:r>
      <w:r w:rsidR="00777DCB" w:rsidRPr="00A52585">
        <w:rPr>
          <w:rFonts w:hint="cs"/>
          <w:rtl/>
        </w:rPr>
        <w:t xml:space="preserve"> مع المنع من تفسيره على ظاهره </w:t>
      </w:r>
      <w:r w:rsidRPr="00A52585">
        <w:rPr>
          <w:rFonts w:hint="cs"/>
          <w:rtl/>
        </w:rPr>
        <w:t>(</w:t>
      </w:r>
      <w:r w:rsidR="00777DCB" w:rsidRPr="00A52585">
        <w:rPr>
          <w:rFonts w:hint="cs"/>
          <w:rtl/>
        </w:rPr>
        <w:t>الذي هو الاستقرار والجلوس على العرش</w:t>
      </w:r>
      <w:r w:rsidRPr="00A52585">
        <w:rPr>
          <w:rFonts w:hint="cs"/>
          <w:rtl/>
        </w:rPr>
        <w:t>)</w:t>
      </w:r>
      <w:r w:rsidR="00777DCB" w:rsidRPr="00A52585">
        <w:rPr>
          <w:rFonts w:hint="cs"/>
          <w:rtl/>
        </w:rPr>
        <w:t xml:space="preserve"> مع تنزيه الله تعالى عن النقص المتمثل في الحد والنهاية والتكييف كجلوس الملك على كرسي عرشه</w:t>
      </w:r>
      <w:r w:rsidR="00DB731D" w:rsidRPr="00A52585">
        <w:rPr>
          <w:rFonts w:hint="cs"/>
          <w:rtl/>
        </w:rPr>
        <w:t>،</w:t>
      </w:r>
      <w:r w:rsidR="00777DCB" w:rsidRPr="00A52585">
        <w:rPr>
          <w:rFonts w:hint="cs"/>
          <w:rtl/>
        </w:rPr>
        <w:t xml:space="preserve"> مع الحذر من اثبات الاستواء على أته الجلوس</w:t>
      </w:r>
      <w:r w:rsidR="00DB731D" w:rsidRPr="00A52585">
        <w:rPr>
          <w:rFonts w:hint="cs"/>
          <w:rtl/>
        </w:rPr>
        <w:t>،</w:t>
      </w:r>
      <w:r w:rsidR="00777DCB" w:rsidRPr="00A52585">
        <w:rPr>
          <w:rFonts w:hint="cs"/>
          <w:rtl/>
        </w:rPr>
        <w:t xml:space="preserve"> فهذا تشبيه</w:t>
      </w:r>
      <w:r w:rsidR="00DB731D" w:rsidRPr="00A52585">
        <w:rPr>
          <w:rFonts w:hint="cs"/>
          <w:rtl/>
        </w:rPr>
        <w:t>،</w:t>
      </w:r>
      <w:r w:rsidR="00777DCB" w:rsidRPr="00A52585">
        <w:rPr>
          <w:rFonts w:hint="cs"/>
          <w:rtl/>
        </w:rPr>
        <w:t xml:space="preserve"> وخروج عن إطار أهل السنّة إلى المشبهة</w:t>
      </w:r>
      <w:r w:rsidR="00DB731D" w:rsidRPr="00A52585">
        <w:rPr>
          <w:rFonts w:hint="cs"/>
          <w:rtl/>
        </w:rPr>
        <w:t>،</w:t>
      </w:r>
      <w:r w:rsidR="00777DCB" w:rsidRPr="00A52585">
        <w:rPr>
          <w:rFonts w:hint="cs"/>
          <w:rtl/>
        </w:rPr>
        <w:t xml:space="preserve"> ومع الحذر من نفي </w:t>
      </w:r>
      <w:r w:rsidRPr="00A52585">
        <w:rPr>
          <w:rFonts w:hint="cs"/>
          <w:rtl/>
        </w:rPr>
        <w:t>(</w:t>
      </w:r>
      <w:r w:rsidR="00777DCB" w:rsidRPr="00A52585">
        <w:rPr>
          <w:rFonts w:hint="cs"/>
          <w:rtl/>
        </w:rPr>
        <w:t>الاستواء</w:t>
      </w:r>
      <w:r w:rsidRPr="00A52585">
        <w:rPr>
          <w:rFonts w:hint="cs"/>
          <w:rtl/>
        </w:rPr>
        <w:t>)</w:t>
      </w:r>
      <w:r w:rsidR="00777DCB" w:rsidRPr="00A52585">
        <w:rPr>
          <w:rFonts w:hint="cs"/>
          <w:rtl/>
        </w:rPr>
        <w:t xml:space="preserve"> كأن يقول</w:t>
      </w:r>
      <w:r w:rsidRPr="00A52585">
        <w:rPr>
          <w:rFonts w:hint="cs"/>
          <w:rtl/>
        </w:rPr>
        <w:t>:</w:t>
      </w:r>
      <w:r w:rsidR="00777DCB" w:rsidRPr="00A52585">
        <w:rPr>
          <w:rFonts w:hint="cs"/>
          <w:rtl/>
        </w:rPr>
        <w:t xml:space="preserve"> ليس للرحمن صفة الاستواء على العرش</w:t>
      </w:r>
      <w:r w:rsidR="00DB731D" w:rsidRPr="00A52585">
        <w:rPr>
          <w:rFonts w:hint="cs"/>
          <w:rtl/>
        </w:rPr>
        <w:t>،</w:t>
      </w:r>
      <w:r w:rsidR="00777DCB" w:rsidRPr="00A52585">
        <w:rPr>
          <w:rFonts w:hint="cs"/>
          <w:rtl/>
        </w:rPr>
        <w:t xml:space="preserve"> فهذا تعطيل وخروج عن إطار أهل السنّة إلى الاعتزال</w:t>
      </w:r>
      <w:r w:rsidR="00DB731D" w:rsidRPr="00A52585">
        <w:rPr>
          <w:rFonts w:hint="cs"/>
          <w:rtl/>
        </w:rPr>
        <w:t>،</w:t>
      </w:r>
      <w:r w:rsidR="00777DCB" w:rsidRPr="00A52585">
        <w:rPr>
          <w:rFonts w:hint="cs"/>
          <w:rtl/>
        </w:rPr>
        <w:t xml:space="preserve"> </w:t>
      </w:r>
    </w:p>
    <w:p w14:paraId="4ECFC50F" w14:textId="56AE6A5E" w:rsidR="00777DCB" w:rsidRPr="00A52585" w:rsidRDefault="0002035C" w:rsidP="0002035C">
      <w:pPr>
        <w:spacing w:before="240" w:after="240"/>
        <w:rPr>
          <w:bCs/>
          <w:lang w:bidi="ar-KW"/>
        </w:rPr>
      </w:pPr>
      <w:r w:rsidRPr="00A52585">
        <w:rPr>
          <w:rFonts w:hint="cs"/>
          <w:bCs/>
          <w:rtl/>
          <w:lang w:bidi="ar-KW"/>
        </w:rPr>
        <w:t>(</w:t>
      </w:r>
      <w:r w:rsidR="00777DCB" w:rsidRPr="00A52585">
        <w:rPr>
          <w:rFonts w:hint="cs"/>
          <w:bCs/>
          <w:rtl/>
          <w:lang w:bidi="ar-KW"/>
        </w:rPr>
        <w:t>ب</w:t>
      </w:r>
      <w:r w:rsidRPr="00A52585">
        <w:rPr>
          <w:rFonts w:hint="cs"/>
          <w:bCs/>
          <w:rtl/>
          <w:lang w:bidi="ar-KW"/>
        </w:rPr>
        <w:t>)</w:t>
      </w:r>
      <w:r w:rsidR="00777DCB" w:rsidRPr="00A52585">
        <w:rPr>
          <w:rFonts w:hint="cs"/>
          <w:bCs/>
          <w:rtl/>
          <w:lang w:bidi="ar-KW"/>
        </w:rPr>
        <w:t xml:space="preserve"> طرق علماء أهل السنّة والجماعة في اثبات الصفات الخبرية</w:t>
      </w:r>
      <w:r w:rsidRPr="00A52585">
        <w:rPr>
          <w:rFonts w:hint="cs"/>
          <w:bCs/>
          <w:rtl/>
          <w:lang w:bidi="ar-KW"/>
        </w:rPr>
        <w:t>:</w:t>
      </w:r>
      <w:r w:rsidR="00777DCB" w:rsidRPr="00A52585">
        <w:rPr>
          <w:rFonts w:hint="cs"/>
          <w:bCs/>
          <w:rtl/>
          <w:lang w:bidi="ar-KW"/>
        </w:rPr>
        <w:t xml:space="preserve"> </w:t>
      </w:r>
      <w:r w:rsidR="00777DCB" w:rsidRPr="00A52585">
        <w:rPr>
          <w:rFonts w:hint="cs"/>
          <w:rtl/>
        </w:rPr>
        <w:t>الصفات الثبوتية الخبرية والتي في اثباتها على ظواهرها محاذير عظيمة</w:t>
      </w:r>
      <w:r w:rsidR="00DB731D" w:rsidRPr="00A52585">
        <w:rPr>
          <w:rFonts w:hint="cs"/>
          <w:rtl/>
        </w:rPr>
        <w:t>،</w:t>
      </w:r>
      <w:r w:rsidR="00777DCB" w:rsidRPr="00A52585">
        <w:rPr>
          <w:rFonts w:hint="cs"/>
          <w:rtl/>
        </w:rPr>
        <w:t xml:space="preserve"> وتحتاج إلى الرسوخ في العلم</w:t>
      </w:r>
      <w:r w:rsidR="00DB731D" w:rsidRPr="00A52585">
        <w:rPr>
          <w:rFonts w:hint="cs"/>
          <w:rtl/>
        </w:rPr>
        <w:t>،</w:t>
      </w:r>
      <w:r w:rsidR="00777DCB" w:rsidRPr="00A52585">
        <w:rPr>
          <w:rFonts w:hint="cs"/>
          <w:rtl/>
        </w:rPr>
        <w:t xml:space="preserve"> والفقه في الدين عند الحديث عنها</w:t>
      </w:r>
      <w:r w:rsidRPr="00A52585">
        <w:rPr>
          <w:rFonts w:hint="cs"/>
          <w:bCs/>
          <w:rtl/>
        </w:rPr>
        <w:t xml:space="preserve">: </w:t>
      </w:r>
      <w:r w:rsidR="00777DCB" w:rsidRPr="00A52585">
        <w:rPr>
          <w:rFonts w:hint="cs"/>
          <w:rtl/>
        </w:rPr>
        <w:t>وتتناول ثلاثة أقسام عريضة</w:t>
      </w:r>
      <w:r w:rsidR="00DB731D" w:rsidRPr="00A52585">
        <w:rPr>
          <w:rFonts w:hint="cs"/>
          <w:rtl/>
        </w:rPr>
        <w:t>،</w:t>
      </w:r>
      <w:r w:rsidR="00777DCB" w:rsidRPr="00A52585">
        <w:rPr>
          <w:rFonts w:hint="cs"/>
          <w:rtl/>
        </w:rPr>
        <w:t xml:space="preserve"> القسم الأول</w:t>
      </w:r>
      <w:r w:rsidRPr="00A52585">
        <w:rPr>
          <w:rFonts w:hint="cs"/>
          <w:rtl/>
        </w:rPr>
        <w:t>:</w:t>
      </w:r>
      <w:r w:rsidR="00777DCB" w:rsidRPr="00A52585">
        <w:rPr>
          <w:rFonts w:hint="cs"/>
          <w:rtl/>
        </w:rPr>
        <w:t xml:space="preserve"> ما يوحي بالجارحة والتجزؤ </w:t>
      </w:r>
      <w:proofErr w:type="spellStart"/>
      <w:r w:rsidR="00777DCB" w:rsidRPr="00A52585">
        <w:rPr>
          <w:rFonts w:hint="cs"/>
          <w:rtl/>
        </w:rPr>
        <w:t>والتبعض</w:t>
      </w:r>
      <w:proofErr w:type="spellEnd"/>
      <w:r w:rsidR="00777DCB" w:rsidRPr="00A52585">
        <w:rPr>
          <w:rFonts w:hint="cs"/>
          <w:rtl/>
        </w:rPr>
        <w:t xml:space="preserve"> في ذات الله</w:t>
      </w:r>
      <w:r w:rsidR="00DB731D" w:rsidRPr="00A52585">
        <w:rPr>
          <w:rFonts w:hint="cs"/>
          <w:rtl/>
        </w:rPr>
        <w:t>،</w:t>
      </w:r>
      <w:r w:rsidR="00777DCB" w:rsidRPr="00A52585">
        <w:rPr>
          <w:rFonts w:hint="cs"/>
          <w:rtl/>
        </w:rPr>
        <w:t xml:space="preserve"> وأظهرها الوجه واليد والعين</w:t>
      </w:r>
      <w:r w:rsidR="00DB731D" w:rsidRPr="00A52585">
        <w:rPr>
          <w:rFonts w:hint="cs"/>
          <w:rtl/>
        </w:rPr>
        <w:t>،</w:t>
      </w:r>
      <w:r w:rsidR="00777DCB" w:rsidRPr="00A52585">
        <w:rPr>
          <w:rFonts w:hint="cs"/>
          <w:rtl/>
        </w:rPr>
        <w:t xml:space="preserve"> والقسم الثاني</w:t>
      </w:r>
      <w:r w:rsidRPr="00A52585">
        <w:rPr>
          <w:rFonts w:hint="cs"/>
          <w:rtl/>
        </w:rPr>
        <w:t>:</w:t>
      </w:r>
      <w:r w:rsidR="00777DCB" w:rsidRPr="00A52585">
        <w:rPr>
          <w:rFonts w:hint="cs"/>
          <w:rtl/>
        </w:rPr>
        <w:t xml:space="preserve"> وهو ما يوحي بالتغير والحدوث والحد والنهاية وأظهرها الاستواء والنزول والمجيء</w:t>
      </w:r>
      <w:r w:rsidR="00DB731D" w:rsidRPr="00A52585">
        <w:rPr>
          <w:rFonts w:hint="cs"/>
          <w:rtl/>
        </w:rPr>
        <w:t>،</w:t>
      </w:r>
      <w:r w:rsidR="00777DCB" w:rsidRPr="00A52585">
        <w:rPr>
          <w:rFonts w:hint="cs"/>
          <w:rtl/>
        </w:rPr>
        <w:t xml:space="preserve"> والقسم الثالث وهو ما يوحي بالكيفيات الحسية والتغير والانفعال كالغضب والرضا والفرح والضحك والسرور</w:t>
      </w:r>
      <w:r w:rsidR="00DB731D" w:rsidRPr="00A52585">
        <w:rPr>
          <w:rFonts w:hint="cs"/>
          <w:rtl/>
        </w:rPr>
        <w:t>،</w:t>
      </w:r>
      <w:r w:rsidR="00777DCB" w:rsidRPr="00A52585">
        <w:rPr>
          <w:rFonts w:hint="cs"/>
          <w:rtl/>
        </w:rPr>
        <w:t xml:space="preserve"> ومجمل مسالك أهل السنة والجماعة في تفسيرها واعتقاد ما تحملها من معان وحاصله</w:t>
      </w:r>
      <w:r w:rsidRPr="00A52585">
        <w:rPr>
          <w:rFonts w:hint="cs"/>
          <w:rtl/>
        </w:rPr>
        <w:t>:</w:t>
      </w:r>
      <w:r w:rsidR="00777DCB" w:rsidRPr="00A52585">
        <w:rPr>
          <w:rFonts w:hint="cs"/>
          <w:rtl/>
        </w:rPr>
        <w:t xml:space="preserve"> أنّ هناك ثلاث مسالك معتمدة عند أهل السنة والجماعة</w:t>
      </w:r>
      <w:r w:rsidR="00DB731D" w:rsidRPr="00A52585">
        <w:rPr>
          <w:rFonts w:hint="cs"/>
          <w:rtl/>
        </w:rPr>
        <w:t>،</w:t>
      </w:r>
      <w:r w:rsidR="00777DCB" w:rsidRPr="00A52585">
        <w:rPr>
          <w:rFonts w:hint="cs"/>
          <w:rtl/>
        </w:rPr>
        <w:t xml:space="preserve"> وما عداها ميل نحو الاعتزال أو الحشو</w:t>
      </w:r>
      <w:r w:rsidR="00DB731D" w:rsidRPr="00A52585">
        <w:rPr>
          <w:rFonts w:hint="cs"/>
          <w:rtl/>
        </w:rPr>
        <w:t>،</w:t>
      </w:r>
      <w:r w:rsidR="00777DCB" w:rsidRPr="00A52585">
        <w:rPr>
          <w:rFonts w:hint="cs"/>
          <w:rtl/>
        </w:rPr>
        <w:t xml:space="preserve"> و المسلك </w:t>
      </w:r>
      <w:r w:rsidRPr="00A52585">
        <w:rPr>
          <w:rFonts w:hint="cs"/>
          <w:bCs/>
          <w:rtl/>
        </w:rPr>
        <w:t>(</w:t>
      </w:r>
      <w:r w:rsidR="00777DCB" w:rsidRPr="00A52585">
        <w:rPr>
          <w:rFonts w:hint="cs"/>
          <w:bCs/>
          <w:rtl/>
        </w:rPr>
        <w:t>الاول</w:t>
      </w:r>
      <w:r w:rsidRPr="00A52585">
        <w:rPr>
          <w:rFonts w:hint="cs"/>
          <w:bCs/>
          <w:rtl/>
        </w:rPr>
        <w:t>)</w:t>
      </w:r>
      <w:r w:rsidRPr="00A52585">
        <w:rPr>
          <w:rFonts w:hint="cs"/>
          <w:rtl/>
        </w:rPr>
        <w:t>:</w:t>
      </w:r>
      <w:r w:rsidR="00777DCB" w:rsidRPr="00A52585">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DB731D" w:rsidRPr="00A52585">
        <w:rPr>
          <w:rFonts w:hint="cs"/>
          <w:rtl/>
        </w:rPr>
        <w:t>،</w:t>
      </w:r>
      <w:r w:rsidR="00777DCB" w:rsidRPr="00A52585">
        <w:rPr>
          <w:rFonts w:hint="cs"/>
          <w:rtl/>
        </w:rPr>
        <w:t xml:space="preserve"> وامراره على مراد الله تعالى ومراد رسوله صلى الله عليه وسلم</w:t>
      </w:r>
      <w:r w:rsidR="00DB731D" w:rsidRPr="00A52585">
        <w:rPr>
          <w:rFonts w:hint="cs"/>
          <w:rtl/>
        </w:rPr>
        <w:t>،</w:t>
      </w:r>
      <w:r w:rsidR="00777DCB" w:rsidRPr="00A52585">
        <w:rPr>
          <w:rFonts w:hint="cs"/>
          <w:rtl/>
        </w:rPr>
        <w:t xml:space="preserve"> و المسلك </w:t>
      </w:r>
      <w:r w:rsidRPr="00A52585">
        <w:rPr>
          <w:rFonts w:hint="cs"/>
          <w:bCs/>
          <w:rtl/>
        </w:rPr>
        <w:t>(</w:t>
      </w:r>
      <w:r w:rsidR="00777DCB" w:rsidRPr="00A52585">
        <w:rPr>
          <w:rFonts w:hint="cs"/>
          <w:bCs/>
          <w:rtl/>
        </w:rPr>
        <w:t>الثاني</w:t>
      </w:r>
      <w:r w:rsidRPr="00A52585">
        <w:rPr>
          <w:rFonts w:hint="cs"/>
          <w:bCs/>
          <w:rtl/>
        </w:rPr>
        <w:t>)</w:t>
      </w:r>
      <w:r w:rsidRPr="00A52585">
        <w:rPr>
          <w:rFonts w:hint="cs"/>
          <w:rtl/>
        </w:rPr>
        <w:t>:</w:t>
      </w:r>
      <w:r w:rsidR="00777DCB" w:rsidRPr="00A52585">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777DCB" w:rsidRPr="00A52585">
        <w:rPr>
          <w:rFonts w:hint="cs"/>
          <w:rtl/>
        </w:rPr>
        <w:t>متركبا</w:t>
      </w:r>
      <w:proofErr w:type="spellEnd"/>
      <w:r w:rsidR="00777DCB" w:rsidRPr="00A52585">
        <w:rPr>
          <w:rFonts w:hint="cs"/>
          <w:rtl/>
        </w:rPr>
        <w:t xml:space="preserve"> ولا محتاجا لأحد</w:t>
      </w:r>
      <w:r w:rsidR="00DB731D" w:rsidRPr="00A52585">
        <w:rPr>
          <w:rFonts w:hint="cs"/>
          <w:rtl/>
        </w:rPr>
        <w:t>،</w:t>
      </w:r>
      <w:r w:rsidR="00777DCB" w:rsidRPr="00A52585">
        <w:rPr>
          <w:rFonts w:hint="cs"/>
          <w:rtl/>
        </w:rPr>
        <w:t xml:space="preserve"> ومثال ذلك اثبات الوجه على أنّه صفة منزهة عن الجارحة والحد والصورة</w:t>
      </w:r>
      <w:r w:rsidR="00DB731D" w:rsidRPr="00A52585">
        <w:rPr>
          <w:rFonts w:hint="cs"/>
          <w:rtl/>
        </w:rPr>
        <w:t>،</w:t>
      </w:r>
      <w:r w:rsidR="00777DCB" w:rsidRPr="00A52585">
        <w:rPr>
          <w:rFonts w:hint="cs"/>
          <w:rtl/>
        </w:rPr>
        <w:t xml:space="preserve"> </w:t>
      </w:r>
      <w:r w:rsidR="00777DCB" w:rsidRPr="00A52585">
        <w:rPr>
          <w:rFonts w:hint="cs"/>
          <w:rtl/>
        </w:rPr>
        <w:lastRenderedPageBreak/>
        <w:t>واثبات الاستواء صفة لله تعالى منزها عن الجلوس والتحيز والحد والجهة الحسية</w:t>
      </w:r>
      <w:r w:rsidR="00DB731D" w:rsidRPr="00A52585">
        <w:rPr>
          <w:rFonts w:hint="cs"/>
          <w:rtl/>
        </w:rPr>
        <w:t>،</w:t>
      </w:r>
      <w:r w:rsidR="00777DCB" w:rsidRPr="00A52585">
        <w:rPr>
          <w:rFonts w:hint="cs"/>
          <w:rtl/>
        </w:rPr>
        <w:t xml:space="preserve"> واثبات الضحك والغضب صفات لله تعالى منزهة عن التغير والحدوث والانفعالات الحسية</w:t>
      </w:r>
      <w:r w:rsidR="00DB731D" w:rsidRPr="00A52585">
        <w:rPr>
          <w:rFonts w:hint="cs"/>
          <w:rtl/>
        </w:rPr>
        <w:t>،</w:t>
      </w:r>
      <w:r w:rsidR="00777DCB" w:rsidRPr="00A52585">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DB731D" w:rsidRPr="00A52585">
        <w:rPr>
          <w:rFonts w:hint="cs"/>
          <w:rtl/>
        </w:rPr>
        <w:t>،</w:t>
      </w:r>
      <w:r w:rsidR="00777DCB" w:rsidRPr="00A52585">
        <w:rPr>
          <w:rFonts w:hint="cs"/>
          <w:rtl/>
        </w:rPr>
        <w:t xml:space="preserve"> وأن إتيانه ليس بإتيان من مكان إلى مكان</w:t>
      </w:r>
      <w:r w:rsidR="00DB731D" w:rsidRPr="00A52585">
        <w:rPr>
          <w:rFonts w:hint="cs"/>
          <w:rtl/>
        </w:rPr>
        <w:t>،</w:t>
      </w:r>
      <w:r w:rsidR="00777DCB" w:rsidRPr="00A52585">
        <w:rPr>
          <w:rFonts w:hint="cs"/>
          <w:rtl/>
        </w:rPr>
        <w:t xml:space="preserve"> وأن مجيئه ليس بحركة</w:t>
      </w:r>
      <w:r w:rsidR="00DB731D" w:rsidRPr="00A52585">
        <w:rPr>
          <w:rFonts w:hint="cs"/>
          <w:rtl/>
        </w:rPr>
        <w:t>،</w:t>
      </w:r>
      <w:r w:rsidR="00777DCB" w:rsidRPr="00A52585">
        <w:rPr>
          <w:rFonts w:hint="cs"/>
          <w:rtl/>
        </w:rPr>
        <w:t xml:space="preserve"> وأن نزوله ليس بنقلة</w:t>
      </w:r>
      <w:r w:rsidR="00DB731D" w:rsidRPr="00A52585">
        <w:rPr>
          <w:rFonts w:hint="cs"/>
          <w:rtl/>
        </w:rPr>
        <w:t>،</w:t>
      </w:r>
      <w:r w:rsidR="00777DCB" w:rsidRPr="00A52585">
        <w:rPr>
          <w:rFonts w:hint="cs"/>
          <w:rtl/>
        </w:rPr>
        <w:t xml:space="preserve"> وأن نفسه ليس بجسم وأن وجهه ليس بصورة</w:t>
      </w:r>
      <w:r w:rsidR="00DB731D" w:rsidRPr="00A52585">
        <w:rPr>
          <w:rFonts w:hint="cs"/>
          <w:rtl/>
        </w:rPr>
        <w:t>،</w:t>
      </w:r>
      <w:r w:rsidR="00777DCB" w:rsidRPr="00A52585">
        <w:rPr>
          <w:rFonts w:hint="cs"/>
          <w:rtl/>
        </w:rPr>
        <w:t xml:space="preserve"> وأن يده ليست بجارحة</w:t>
      </w:r>
      <w:r w:rsidR="00DB731D" w:rsidRPr="00A52585">
        <w:rPr>
          <w:rFonts w:hint="cs"/>
          <w:rtl/>
        </w:rPr>
        <w:t>،</w:t>
      </w:r>
      <w:r w:rsidR="00777DCB" w:rsidRPr="00A52585">
        <w:rPr>
          <w:rFonts w:hint="cs"/>
          <w:rtl/>
        </w:rPr>
        <w:t xml:space="preserve"> وأن عينه ليست بحدقة وإنما هذه أوصاف جاء بها التوقيف فقلنا بها ونفينا عنها التكييف لقوله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هل تعلم له سميا</w:t>
      </w:r>
      <w:r w:rsidRPr="00A52585">
        <w:rPr>
          <w:rFonts w:hint="cs"/>
          <w:rtl/>
        </w:rPr>
        <w:t>}</w:t>
      </w:r>
      <w:r w:rsidR="00DB731D" w:rsidRPr="00A52585">
        <w:rPr>
          <w:rFonts w:hint="cs"/>
          <w:rtl/>
        </w:rPr>
        <w:t>،</w:t>
      </w:r>
      <w:r w:rsidR="00777DCB" w:rsidRPr="00A52585">
        <w:rPr>
          <w:rFonts w:hint="cs"/>
          <w:rtl/>
        </w:rPr>
        <w:t xml:space="preserve"> والمسلك </w:t>
      </w:r>
      <w:r w:rsidRPr="00A52585">
        <w:rPr>
          <w:rFonts w:hint="cs"/>
          <w:bCs/>
          <w:rtl/>
        </w:rPr>
        <w:t>(</w:t>
      </w:r>
      <w:r w:rsidR="00777DCB" w:rsidRPr="00A52585">
        <w:rPr>
          <w:rFonts w:hint="cs"/>
          <w:bCs/>
          <w:rtl/>
        </w:rPr>
        <w:t>الثالث</w:t>
      </w:r>
      <w:r w:rsidRPr="00A52585">
        <w:rPr>
          <w:rFonts w:hint="cs"/>
          <w:bCs/>
          <w:rtl/>
        </w:rPr>
        <w:t>)</w:t>
      </w:r>
      <w:r w:rsidRPr="00A52585">
        <w:rPr>
          <w:rFonts w:hint="cs"/>
          <w:rtl/>
        </w:rPr>
        <w:t>:</w:t>
      </w:r>
      <w:r w:rsidR="00777DCB" w:rsidRPr="00A52585">
        <w:rPr>
          <w:rFonts w:hint="cs"/>
          <w:rtl/>
        </w:rPr>
        <w:t xml:space="preserve"> حملها على مجاز اللغة وحمل </w:t>
      </w:r>
      <w:proofErr w:type="spellStart"/>
      <w:r w:rsidR="00777DCB" w:rsidRPr="00A52585">
        <w:rPr>
          <w:rFonts w:hint="cs"/>
          <w:rtl/>
        </w:rPr>
        <w:t>متشابهها</w:t>
      </w:r>
      <w:proofErr w:type="spellEnd"/>
      <w:r w:rsidR="00777DCB" w:rsidRPr="00A52585">
        <w:rPr>
          <w:rFonts w:hint="cs"/>
          <w:rtl/>
        </w:rPr>
        <w:t xml:space="preserve"> على محكمها</w:t>
      </w:r>
      <w:r w:rsidR="00DB731D" w:rsidRPr="00A52585">
        <w:rPr>
          <w:rFonts w:hint="cs"/>
          <w:rtl/>
        </w:rPr>
        <w:t>،</w:t>
      </w:r>
      <w:r w:rsidR="00777DCB" w:rsidRPr="00A52585">
        <w:rPr>
          <w:rFonts w:hint="cs"/>
          <w:rtl/>
        </w:rPr>
        <w:t xml:space="preserve"> ومثاله حمل الوجه على الذات</w:t>
      </w:r>
      <w:r w:rsidR="00DB731D" w:rsidRPr="00A52585">
        <w:rPr>
          <w:rFonts w:hint="cs"/>
          <w:rtl/>
        </w:rPr>
        <w:t>،</w:t>
      </w:r>
      <w:r w:rsidR="00777DCB" w:rsidRPr="00A52585">
        <w:rPr>
          <w:rFonts w:hint="cs"/>
          <w:rtl/>
        </w:rPr>
        <w:t xml:space="preserve"> وحمل اليد على مقتضي الآية</w:t>
      </w:r>
      <w:r w:rsidR="00DB731D" w:rsidRPr="00A52585">
        <w:rPr>
          <w:rFonts w:hint="cs"/>
          <w:rtl/>
        </w:rPr>
        <w:t>،</w:t>
      </w:r>
      <w:r w:rsidR="00777DCB" w:rsidRPr="00A52585">
        <w:rPr>
          <w:rFonts w:hint="cs"/>
          <w:rtl/>
        </w:rPr>
        <w:t xml:space="preserve"> ففي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بل يداه مبسوطتان</w:t>
      </w:r>
      <w:r w:rsidRPr="00A52585">
        <w:rPr>
          <w:rFonts w:hint="cs"/>
          <w:rtl/>
        </w:rPr>
        <w:t>}</w:t>
      </w:r>
      <w:r w:rsidR="00777DCB" w:rsidRPr="00A52585">
        <w:rPr>
          <w:rFonts w:hint="cs"/>
          <w:rtl/>
        </w:rPr>
        <w:t xml:space="preserve"> تحمل على الكرم والجود والعطاء</w:t>
      </w:r>
      <w:r w:rsidR="00DB731D" w:rsidRPr="00A52585">
        <w:rPr>
          <w:rFonts w:hint="cs"/>
          <w:rtl/>
        </w:rPr>
        <w:t>،</w:t>
      </w:r>
      <w:r w:rsidR="00777DCB" w:rsidRPr="00A52585">
        <w:rPr>
          <w:rFonts w:hint="cs"/>
          <w:rtl/>
        </w:rPr>
        <w:t xml:space="preserve"> وفي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لما خلقت بيدي</w:t>
      </w:r>
      <w:r w:rsidRPr="00A52585">
        <w:rPr>
          <w:rFonts w:hint="cs"/>
          <w:rtl/>
        </w:rPr>
        <w:t>}</w:t>
      </w:r>
      <w:r w:rsidR="00777DCB" w:rsidRPr="00A52585">
        <w:rPr>
          <w:rFonts w:hint="cs"/>
          <w:rtl/>
        </w:rPr>
        <w:t xml:space="preserve"> بمزيد الإنعام والتفضل وزيادة التكريم لا اكثر بقرائن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مما خلقت أيدينا أنعاما</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والسماء بنيناها بأيد</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مثل عيسى عند الله كمثل آدم خلقه من تراب ثم قال له كن فيكون</w:t>
      </w:r>
      <w:r w:rsidRPr="00A52585">
        <w:rPr>
          <w:rFonts w:hint="cs"/>
          <w:rtl/>
        </w:rPr>
        <w:t>}</w:t>
      </w:r>
      <w:r w:rsidR="00DB731D" w:rsidRPr="00A52585">
        <w:rPr>
          <w:rFonts w:hint="cs"/>
          <w:rtl/>
        </w:rPr>
        <w:t>،</w:t>
      </w:r>
      <w:r w:rsidR="00777DCB" w:rsidRPr="00A52585">
        <w:rPr>
          <w:rFonts w:hint="cs"/>
          <w:rtl/>
        </w:rPr>
        <w:t xml:space="preserve"> وهكذا</w:t>
      </w:r>
      <w:r w:rsidR="00DB731D" w:rsidRPr="00A52585">
        <w:rPr>
          <w:rFonts w:hint="cs"/>
          <w:rtl/>
        </w:rPr>
        <w:t>،</w:t>
      </w:r>
      <w:r w:rsidR="00777DCB" w:rsidRPr="00A52585">
        <w:rPr>
          <w:rFonts w:hint="cs"/>
          <w:rtl/>
        </w:rPr>
        <w:t xml:space="preserve"> وقد تقدم بيان ذلك</w:t>
      </w:r>
      <w:r w:rsidR="00DB731D" w:rsidRPr="00A52585">
        <w:rPr>
          <w:rFonts w:hint="cs"/>
          <w:rtl/>
        </w:rPr>
        <w:t>،</w:t>
      </w:r>
      <w:r w:rsidR="00777DCB" w:rsidRPr="00A52585">
        <w:rPr>
          <w:rFonts w:hint="cs"/>
          <w:rtl/>
        </w:rPr>
        <w:t xml:space="preserve"> وحمل الضحك في حديث (</w:t>
      </w:r>
      <w:r w:rsidRPr="00A52585">
        <w:rPr>
          <w:rFonts w:hint="cs"/>
          <w:rtl/>
        </w:rPr>
        <w:t>(</w:t>
      </w:r>
      <w:r w:rsidR="00777DCB" w:rsidRPr="00A52585">
        <w:rPr>
          <w:rFonts w:hint="cs"/>
          <w:rtl/>
        </w:rPr>
        <w:t>يضحك ربنا</w:t>
      </w:r>
      <w:r w:rsidRPr="00A52585">
        <w:rPr>
          <w:rFonts w:hint="cs"/>
          <w:rtl/>
        </w:rPr>
        <w:t>)</w:t>
      </w:r>
      <w:r w:rsidR="00777DCB" w:rsidRPr="00A52585">
        <w:rPr>
          <w:rFonts w:hint="cs"/>
          <w:rtl/>
        </w:rPr>
        <w:t>) إلى علامة الرضا وإرادة الثواب</w:t>
      </w:r>
      <w:r w:rsidR="00DB731D" w:rsidRPr="00A52585">
        <w:rPr>
          <w:rFonts w:hint="cs"/>
          <w:rtl/>
        </w:rPr>
        <w:t>،</w:t>
      </w:r>
      <w:r w:rsidR="00777DCB" w:rsidRPr="00A52585">
        <w:rPr>
          <w:rFonts w:hint="cs"/>
          <w:rtl/>
        </w:rPr>
        <w:t xml:space="preserve"> وهكذا على ما تحمله اللغة من مجاز وبلاغة</w:t>
      </w:r>
      <w:r w:rsidR="00DB731D" w:rsidRPr="00A52585">
        <w:rPr>
          <w:rFonts w:hint="cs"/>
          <w:rtl/>
        </w:rPr>
        <w:t>،</w:t>
      </w:r>
      <w:r w:rsidR="00777DCB" w:rsidRPr="00A52585">
        <w:rPr>
          <w:rFonts w:hint="cs"/>
          <w:rtl/>
        </w:rPr>
        <w:t xml:space="preserve"> </w:t>
      </w:r>
      <w:r w:rsidR="00777DCB" w:rsidRPr="00A52585">
        <w:rPr>
          <w:rFonts w:hint="cs"/>
          <w:bCs/>
          <w:rtl/>
        </w:rPr>
        <w:t>وما سوى ذلك فهو ميل إلى الاعتزال</w:t>
      </w:r>
      <w:r w:rsidR="00777DCB" w:rsidRPr="00A52585">
        <w:rPr>
          <w:rFonts w:hint="cs"/>
          <w:rtl/>
        </w:rPr>
        <w:t xml:space="preserve"> مثاله نفي الصفة</w:t>
      </w:r>
      <w:r w:rsidR="00DB731D" w:rsidRPr="00A52585">
        <w:rPr>
          <w:rFonts w:hint="cs"/>
          <w:rtl/>
        </w:rPr>
        <w:t>،</w:t>
      </w:r>
      <w:r w:rsidR="00777DCB" w:rsidRPr="00A52585">
        <w:rPr>
          <w:rFonts w:hint="cs"/>
          <w:rtl/>
        </w:rPr>
        <w:t xml:space="preserve"> كأن يقول </w:t>
      </w:r>
      <w:r w:rsidRPr="00A52585">
        <w:rPr>
          <w:rFonts w:hint="cs"/>
          <w:rtl/>
        </w:rPr>
        <w:t>(</w:t>
      </w:r>
      <w:r w:rsidR="00777DCB" w:rsidRPr="00A52585">
        <w:rPr>
          <w:rFonts w:hint="cs"/>
          <w:rtl/>
        </w:rPr>
        <w:t>ليس لله استواء</w:t>
      </w:r>
      <w:r w:rsidRPr="00A52585">
        <w:rPr>
          <w:rFonts w:hint="cs"/>
          <w:rtl/>
        </w:rPr>
        <w:t>)</w:t>
      </w:r>
      <w:r w:rsidR="00777DCB" w:rsidRPr="00A52585">
        <w:rPr>
          <w:rFonts w:hint="cs"/>
          <w:rtl/>
        </w:rPr>
        <w:t xml:space="preserve"> أو يقول </w:t>
      </w:r>
      <w:r w:rsidRPr="00A52585">
        <w:rPr>
          <w:rFonts w:hint="cs"/>
          <w:rtl/>
        </w:rPr>
        <w:t>(</w:t>
      </w:r>
      <w:r w:rsidR="00777DCB" w:rsidRPr="00A52585">
        <w:rPr>
          <w:rFonts w:hint="cs"/>
          <w:rtl/>
        </w:rPr>
        <w:t>ليس لله وجه</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وفي المقابل ميل إلى الحشو والتشبيه</w:t>
      </w:r>
      <w:r w:rsidR="00DB731D" w:rsidRPr="00A52585">
        <w:rPr>
          <w:rFonts w:hint="cs"/>
          <w:rtl/>
        </w:rPr>
        <w:t>،</w:t>
      </w:r>
      <w:r w:rsidR="00777DCB" w:rsidRPr="00A52585">
        <w:rPr>
          <w:rFonts w:hint="cs"/>
          <w:rtl/>
        </w:rPr>
        <w:t xml:space="preserve"> ومثاله حمل تلك المتشابهات في الصفات على ظواهرها مع القول بأنها باقية على حقيقتها</w:t>
      </w:r>
      <w:r w:rsidR="00DB731D" w:rsidRPr="00A52585">
        <w:rPr>
          <w:rFonts w:hint="cs"/>
          <w:rtl/>
        </w:rPr>
        <w:t>،</w:t>
      </w:r>
      <w:r w:rsidR="00777DCB" w:rsidRPr="00A52585">
        <w:rPr>
          <w:rFonts w:hint="cs"/>
          <w:rtl/>
        </w:rPr>
        <w:t xml:space="preserve"> فيقولون الوجه جزء من الذات</w:t>
      </w:r>
      <w:r w:rsidR="00DB731D" w:rsidRPr="00A52585">
        <w:rPr>
          <w:rFonts w:hint="cs"/>
          <w:rtl/>
        </w:rPr>
        <w:t>،</w:t>
      </w:r>
      <w:r w:rsidR="00777DCB" w:rsidRPr="00A52585">
        <w:rPr>
          <w:rFonts w:hint="cs"/>
          <w:rtl/>
        </w:rPr>
        <w:t xml:space="preserve"> والاستواء صفة فعلية للذات على العرش</w:t>
      </w:r>
      <w:r w:rsidR="00DB731D" w:rsidRPr="00A52585">
        <w:rPr>
          <w:rFonts w:hint="cs"/>
          <w:rtl/>
        </w:rPr>
        <w:t>،</w:t>
      </w:r>
      <w:r w:rsidR="00777DCB" w:rsidRPr="00A52585">
        <w:rPr>
          <w:rFonts w:hint="cs"/>
          <w:rtl/>
        </w:rPr>
        <w:t xml:space="preserve"> والضحك تغير في الذات</w:t>
      </w:r>
      <w:r w:rsidR="00DB731D" w:rsidRPr="00A52585">
        <w:rPr>
          <w:rFonts w:hint="cs"/>
          <w:rtl/>
        </w:rPr>
        <w:t>،</w:t>
      </w:r>
      <w:r w:rsidRPr="00A52585">
        <w:rPr>
          <w:rFonts w:hint="cs"/>
          <w:rtl/>
        </w:rPr>
        <w:t xml:space="preserve"> </w:t>
      </w:r>
    </w:p>
    <w:p w14:paraId="13C7AB6A" w14:textId="4F2E90BB" w:rsidR="00777DCB" w:rsidRPr="00A52585" w:rsidRDefault="0002035C" w:rsidP="0002035C">
      <w:pPr>
        <w:rPr>
          <w:b/>
          <w:rtl/>
        </w:rPr>
      </w:pPr>
      <w:r w:rsidRPr="00A52585">
        <w:rPr>
          <w:rFonts w:hint="cs"/>
          <w:bCs/>
          <w:rtl/>
          <w:lang w:bidi="ar-KW"/>
        </w:rPr>
        <w:t>(</w:t>
      </w:r>
      <w:r w:rsidR="00777DCB" w:rsidRPr="00A52585">
        <w:rPr>
          <w:rFonts w:hint="cs"/>
          <w:bCs/>
          <w:rtl/>
          <w:lang w:bidi="ar-KW"/>
        </w:rPr>
        <w:t>ت</w:t>
      </w:r>
      <w:r w:rsidRPr="00A52585">
        <w:rPr>
          <w:rFonts w:hint="cs"/>
          <w:bCs/>
          <w:rtl/>
          <w:lang w:bidi="ar-KW"/>
        </w:rPr>
        <w:t>)</w:t>
      </w:r>
      <w:r w:rsidR="00777DCB" w:rsidRPr="00A52585">
        <w:rPr>
          <w:rFonts w:hint="cs"/>
          <w:bCs/>
          <w:rtl/>
          <w:lang w:bidi="ar-KW"/>
        </w:rPr>
        <w:t xml:space="preserve"> آراء أهل السنّة والجماعة في المتشابهات كما ذكرنا ثلاثة</w:t>
      </w:r>
      <w:r w:rsidR="00DB731D" w:rsidRPr="00A52585">
        <w:rPr>
          <w:rFonts w:hint="cs"/>
          <w:bCs/>
          <w:rtl/>
          <w:lang w:bidi="ar-KW"/>
        </w:rPr>
        <w:t>،</w:t>
      </w:r>
      <w:r w:rsidR="00777DCB" w:rsidRPr="00A52585">
        <w:rPr>
          <w:rFonts w:hint="cs"/>
          <w:bCs/>
          <w:rtl/>
          <w:lang w:bidi="ar-KW"/>
        </w:rPr>
        <w:t xml:space="preserve"> </w:t>
      </w:r>
      <w:r w:rsidR="00777DCB" w:rsidRPr="00A52585">
        <w:rPr>
          <w:rFonts w:hint="cs"/>
          <w:rtl/>
        </w:rPr>
        <w:t>والفرق بين هذه الآراء</w:t>
      </w:r>
      <w:r w:rsidRPr="00A52585">
        <w:rPr>
          <w:rFonts w:hint="cs"/>
          <w:rtl/>
        </w:rPr>
        <w:t>:</w:t>
      </w:r>
      <w:r w:rsidR="00777DCB" w:rsidRPr="00A52585">
        <w:rPr>
          <w:rFonts w:hint="cs"/>
          <w:rtl/>
        </w:rPr>
        <w:t xml:space="preserve"> أن الرأي الاول - مذهب السلف -</w:t>
      </w:r>
      <w:r w:rsidRPr="00A52585">
        <w:rPr>
          <w:rFonts w:hint="cs"/>
          <w:rtl/>
        </w:rPr>
        <w:t xml:space="preserve"> </w:t>
      </w:r>
      <w:r w:rsidR="00777DCB" w:rsidRPr="00A52585">
        <w:rPr>
          <w:rFonts w:hint="cs"/>
          <w:rtl/>
        </w:rPr>
        <w:t>يعامل الآيات والأحاديث على أنها من المتشابه فلا يجزم بانه صفات أو أخبار</w:t>
      </w:r>
      <w:r w:rsidR="00DB731D" w:rsidRPr="00A52585">
        <w:rPr>
          <w:rFonts w:hint="cs"/>
          <w:rtl/>
        </w:rPr>
        <w:t>،</w:t>
      </w:r>
      <w:r w:rsidR="00777DCB" w:rsidRPr="00A52585">
        <w:rPr>
          <w:rFonts w:hint="cs"/>
          <w:rtl/>
        </w:rPr>
        <w:t xml:space="preserve"> فلا يفسر ولا يخوض ويرويها كما جاءت على مراد الله ومراد رسوله</w:t>
      </w:r>
      <w:r w:rsidR="00DB731D" w:rsidRPr="00A52585">
        <w:rPr>
          <w:rFonts w:hint="cs"/>
          <w:rtl/>
        </w:rPr>
        <w:t>،</w:t>
      </w:r>
      <w:r w:rsidR="00777DCB" w:rsidRPr="00A52585">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00DB731D" w:rsidRPr="00A52585">
        <w:rPr>
          <w:rFonts w:hint="cs"/>
          <w:rtl/>
        </w:rPr>
        <w:t>،</w:t>
      </w:r>
      <w:r w:rsidR="00777DCB" w:rsidRPr="00A52585">
        <w:rPr>
          <w:rFonts w:hint="cs"/>
          <w:rtl/>
        </w:rPr>
        <w:t xml:space="preserve"> والرأي الثالث يعاملها على انها أخبار تحمل معاني محكمة وأخرى متشابهة فيتم حمل المتشابه على المحكم عملاً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وَلَوْ رَدُّوهُ إِلَى الرَّسُولِ وَإِلَى أُولِي الْأَمْرِ مِنْهُمْ لَعَلِمَهُ الَّذِينَ يَسْتَنْبِطُونَهُ مِنْهُمْ</w:t>
      </w:r>
      <w:r w:rsidRPr="00A52585">
        <w:rPr>
          <w:rFonts w:hint="cs"/>
          <w:rtl/>
        </w:rPr>
        <w:t>}</w:t>
      </w:r>
      <w:r w:rsidR="00777DCB" w:rsidRPr="00A52585">
        <w:rPr>
          <w:rFonts w:hint="cs"/>
          <w:rtl/>
        </w:rPr>
        <w:t xml:space="preserve"> فيفسرون الآية او الحديث بما سيق لأجله دون التعرض لمتشابه أو حمل المتشابه على المحكم</w:t>
      </w:r>
      <w:r w:rsidR="00DB731D" w:rsidRPr="00A52585">
        <w:rPr>
          <w:rFonts w:hint="cs"/>
          <w:rtl/>
        </w:rPr>
        <w:t>،</w:t>
      </w:r>
      <w:r w:rsidR="00777DCB" w:rsidRPr="00A52585">
        <w:rPr>
          <w:rFonts w:hint="cs"/>
          <w:rtl/>
        </w:rPr>
        <w:t xml:space="preserve"> فمثلاً حديث النزول سيق لبيان فضل الثلث الآخر وليس لبيان كيفية النزول</w:t>
      </w:r>
      <w:r w:rsidR="00DB731D" w:rsidRPr="00A52585">
        <w:rPr>
          <w:rFonts w:hint="cs"/>
          <w:rtl/>
        </w:rPr>
        <w:t>،</w:t>
      </w:r>
      <w:r w:rsidR="00777DCB" w:rsidRPr="00A52585">
        <w:rPr>
          <w:rFonts w:hint="cs"/>
          <w:rtl/>
        </w:rPr>
        <w:t xml:space="preserve"> </w:t>
      </w:r>
      <w:r w:rsidR="00777DCB" w:rsidRPr="00A52585">
        <w:rPr>
          <w:rFonts w:hint="cs"/>
          <w:rtl/>
        </w:rPr>
        <w:lastRenderedPageBreak/>
        <w:t>فنفسره بذلك</w:t>
      </w:r>
      <w:r w:rsidR="00DB731D" w:rsidRPr="00A52585">
        <w:rPr>
          <w:rFonts w:hint="cs"/>
          <w:rtl/>
        </w:rPr>
        <w:t>،</w:t>
      </w:r>
      <w:r w:rsidR="00777DCB" w:rsidRPr="00A52585">
        <w:rPr>
          <w:rFonts w:hint="cs"/>
          <w:rtl/>
        </w:rPr>
        <w:t xml:space="preserve"> ولا نتعرض للنزول</w:t>
      </w:r>
      <w:r w:rsidR="00DB731D" w:rsidRPr="00A52585">
        <w:rPr>
          <w:rFonts w:hint="cs"/>
          <w:rtl/>
        </w:rPr>
        <w:t>،</w:t>
      </w:r>
      <w:r w:rsidR="00777DCB" w:rsidRPr="00A52585">
        <w:rPr>
          <w:rFonts w:hint="cs"/>
          <w:rtl/>
        </w:rPr>
        <w:t xml:space="preserve"> أو نجعل المقصود من النزول هو نزول الرحمة وقبول الدعاء</w:t>
      </w:r>
      <w:r w:rsidR="00DB731D" w:rsidRPr="00A52585">
        <w:rPr>
          <w:rFonts w:hint="cs"/>
          <w:rtl/>
        </w:rPr>
        <w:t>،</w:t>
      </w:r>
      <w:r w:rsidR="00777DCB" w:rsidRPr="00A52585">
        <w:rPr>
          <w:rFonts w:hint="cs"/>
          <w:rtl/>
        </w:rPr>
        <w:t xml:space="preserve"> مع عدم نفي خبر النزول</w:t>
      </w:r>
      <w:r w:rsidRPr="00A52585">
        <w:rPr>
          <w:rFonts w:hint="cs"/>
          <w:rtl/>
        </w:rPr>
        <w:t xml:space="preserve"> </w:t>
      </w:r>
      <w:r w:rsidR="00777DCB" w:rsidRPr="00A52585">
        <w:rPr>
          <w:rFonts w:hint="cs"/>
          <w:rtl/>
        </w:rPr>
        <w:t>ن</w:t>
      </w:r>
      <w:r w:rsidRPr="00A52585">
        <w:rPr>
          <w:rFonts w:hint="cs"/>
          <w:rtl/>
        </w:rPr>
        <w:t xml:space="preserve"> </w:t>
      </w:r>
    </w:p>
    <w:p w14:paraId="6E07C89D" w14:textId="65CEF57C" w:rsidR="00777DCB" w:rsidRPr="00A52585" w:rsidRDefault="0002035C" w:rsidP="0002035C">
      <w:pPr>
        <w:rPr>
          <w:b/>
          <w:rtl/>
        </w:rPr>
      </w:pP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777DCB" w:rsidRPr="00A52585">
        <w:rPr>
          <w:rFonts w:hint="cs"/>
          <w:rtl/>
        </w:rPr>
        <w:t>والماتريدبة</w:t>
      </w:r>
      <w:proofErr w:type="spellEnd"/>
      <w:r w:rsidR="00DB731D" w:rsidRPr="00A52585">
        <w:rPr>
          <w:rFonts w:hint="cs"/>
          <w:rtl/>
        </w:rPr>
        <w:t>،</w:t>
      </w:r>
      <w:r w:rsidR="00777DCB" w:rsidRPr="00A52585">
        <w:rPr>
          <w:rFonts w:hint="cs"/>
          <w:rtl/>
        </w:rPr>
        <w:t xml:space="preserve"> وقالوا يجوز لكل مسلم أن يسلك أحد تلك المسالك الجائزة ولا تثريب عليه بها</w:t>
      </w:r>
      <w:r w:rsidR="00DB731D" w:rsidRPr="00A52585">
        <w:rPr>
          <w:rFonts w:hint="cs"/>
          <w:rtl/>
        </w:rPr>
        <w:t>،</w:t>
      </w:r>
      <w:r w:rsidR="00777DCB" w:rsidRPr="00A52585">
        <w:rPr>
          <w:rFonts w:hint="cs"/>
          <w:rtl/>
        </w:rPr>
        <w:t xml:space="preserve"> وإنما الخلل لمن مال إلى المشبهة والمجسمة وأبى إلا الظاهر المتبادر إلى الذهن مع رفضه التنزيه</w:t>
      </w:r>
      <w:r w:rsidR="00DB731D" w:rsidRPr="00A52585">
        <w:rPr>
          <w:rFonts w:hint="cs"/>
          <w:rtl/>
        </w:rPr>
        <w:t>،</w:t>
      </w:r>
      <w:r w:rsidR="00777DCB" w:rsidRPr="00A52585">
        <w:rPr>
          <w:rFonts w:hint="cs"/>
          <w:rtl/>
        </w:rPr>
        <w:t xml:space="preserve"> أو مال إلى المعتزلة وغامر ونفى ما جاء في الكتاب والسنة الصحيحة بحجة التنزيه</w:t>
      </w:r>
      <w:r w:rsidR="00DB731D" w:rsidRPr="00A52585">
        <w:rPr>
          <w:rFonts w:hint="cs"/>
          <w:rtl/>
        </w:rPr>
        <w:t>،</w:t>
      </w:r>
      <w:r w:rsidR="00777DCB" w:rsidRPr="00A52585">
        <w:rPr>
          <w:rFonts w:hint="cs"/>
          <w:rtl/>
        </w:rPr>
        <w:t xml:space="preserve"> </w:t>
      </w:r>
    </w:p>
    <w:p w14:paraId="3BA81756" w14:textId="3FA7C429" w:rsidR="00777DCB" w:rsidRPr="00A52585" w:rsidRDefault="0002035C" w:rsidP="0002035C">
      <w:pPr>
        <w:rPr>
          <w:b/>
          <w:rtl/>
        </w:rPr>
      </w:pPr>
      <w:r w:rsidRPr="00A52585">
        <w:rPr>
          <w:rFonts w:hint="cs"/>
          <w:bCs/>
          <w:rtl/>
        </w:rPr>
        <w:t>(</w:t>
      </w:r>
      <w:r w:rsidR="00777DCB" w:rsidRPr="00A52585">
        <w:rPr>
          <w:rFonts w:hint="cs"/>
          <w:bCs/>
          <w:rtl/>
        </w:rPr>
        <w:t>ج</w:t>
      </w:r>
      <w:r w:rsidRPr="00A52585">
        <w:rPr>
          <w:rFonts w:hint="cs"/>
          <w:bCs/>
          <w:rtl/>
        </w:rPr>
        <w:t>)</w:t>
      </w:r>
      <w:r w:rsidR="00777DCB" w:rsidRPr="00A52585">
        <w:rPr>
          <w:rFonts w:hint="cs"/>
          <w:bCs/>
          <w:rtl/>
        </w:rPr>
        <w:t xml:space="preserve"> درر من أقوال العلماء في بيان مذاهب أهل السنة والجماعة المعتمدة في باب الصفات الخبرية</w:t>
      </w:r>
      <w:r w:rsidRPr="00A52585">
        <w:rPr>
          <w:rFonts w:hint="cs"/>
          <w:rtl/>
        </w:rPr>
        <w:t xml:space="preserve">: </w:t>
      </w:r>
      <w:r w:rsidR="00777DCB" w:rsidRPr="00A52585">
        <w:rPr>
          <w:rFonts w:hint="cs"/>
          <w:bCs/>
          <w:rtl/>
        </w:rPr>
        <w:t>قال الإمام النووي رحمه الله تعالى</w:t>
      </w:r>
      <w:r w:rsidR="00777DCB" w:rsidRPr="00A52585">
        <w:rPr>
          <w:rFonts w:hint="cs"/>
          <w:rtl/>
        </w:rPr>
        <w:t xml:space="preserve"> في شرحه لحديث الرؤية</w:t>
      </w:r>
      <w:r w:rsidRPr="00A52585">
        <w:rPr>
          <w:rFonts w:hint="cs"/>
          <w:rtl/>
        </w:rPr>
        <w:t>:</w:t>
      </w:r>
      <w:r w:rsidR="00777DCB" w:rsidRPr="00A52585">
        <w:rPr>
          <w:rFonts w:hint="cs"/>
          <w:rtl/>
        </w:rPr>
        <w:t xml:space="preserve"> " اعلم أن لأهل العلم في أحاديث الصفات وآيات الصفات قولين: أحدهما وهو مذهب معظم</w:t>
      </w:r>
      <w:r w:rsidR="00777DCB" w:rsidRPr="00A52585">
        <w:rPr>
          <w:rFonts w:hint="cs"/>
        </w:rPr>
        <w:t xml:space="preserve"> </w:t>
      </w:r>
      <w:r w:rsidR="00777DCB" w:rsidRPr="00A52585">
        <w:rPr>
          <w:rFonts w:hint="cs"/>
          <w:rtl/>
        </w:rPr>
        <w:t>السلف أو كلهم أنه لا يتكلم في معناها بل يقولون: يجب علينا أن نؤمن بها ونعتقد لها</w:t>
      </w:r>
      <w:r w:rsidR="00777DCB" w:rsidRPr="00A52585">
        <w:rPr>
          <w:rFonts w:hint="cs"/>
        </w:rPr>
        <w:t xml:space="preserve"> </w:t>
      </w:r>
      <w:r w:rsidR="00777DCB" w:rsidRPr="00A52585">
        <w:rPr>
          <w:rFonts w:hint="cs"/>
          <w:rtl/>
        </w:rPr>
        <w:t xml:space="preserve">معنى يليق بجلال الله تعالى وعظمته </w:t>
      </w:r>
      <w:r w:rsidR="00777DCB" w:rsidRPr="00A52585">
        <w:rPr>
          <w:rFonts w:hint="cs"/>
          <w:bCs/>
          <w:rtl/>
        </w:rPr>
        <w:t>مع اعتقادنا الجازم أن الله تعالى ليس كمثله</w:t>
      </w:r>
      <w:r w:rsidR="00777DCB" w:rsidRPr="00A52585">
        <w:rPr>
          <w:rFonts w:hint="cs"/>
          <w:bCs/>
        </w:rPr>
        <w:t xml:space="preserve"> </w:t>
      </w:r>
      <w:r w:rsidR="00777DCB" w:rsidRPr="00A52585">
        <w:rPr>
          <w:rFonts w:hint="cs"/>
          <w:bCs/>
          <w:rtl/>
        </w:rPr>
        <w:t xml:space="preserve">شيء، وأنه منزه عن </w:t>
      </w:r>
      <w:proofErr w:type="spellStart"/>
      <w:r w:rsidR="00777DCB" w:rsidRPr="00A52585">
        <w:rPr>
          <w:rFonts w:hint="cs"/>
          <w:bCs/>
          <w:rtl/>
        </w:rPr>
        <w:t>التجسم</w:t>
      </w:r>
      <w:proofErr w:type="spellEnd"/>
      <w:r w:rsidR="00777DCB" w:rsidRPr="00A52585">
        <w:rPr>
          <w:rFonts w:hint="cs"/>
          <w:bCs/>
          <w:rtl/>
        </w:rPr>
        <w:t xml:space="preserve"> والانتقال والتحيز في جهة وعن سائر صفات المخلوق</w:t>
      </w:r>
      <w:r w:rsidR="00777DCB" w:rsidRPr="00A52585">
        <w:rPr>
          <w:rFonts w:hint="cs"/>
          <w:rtl/>
        </w:rPr>
        <w:t>، وهذا</w:t>
      </w:r>
      <w:r w:rsidR="00777DCB" w:rsidRPr="00A52585">
        <w:rPr>
          <w:rFonts w:hint="cs"/>
        </w:rPr>
        <w:t xml:space="preserve"> </w:t>
      </w:r>
      <w:r w:rsidR="00777DCB" w:rsidRPr="00A52585">
        <w:rPr>
          <w:rFonts w:hint="cs"/>
          <w:rtl/>
        </w:rPr>
        <w:t>القول هو مذهب جماعة من المتكلمين واختاره جماعة من محققيهم وهو أسلم. والقول</w:t>
      </w:r>
      <w:r w:rsidR="00777DCB" w:rsidRPr="00A52585">
        <w:rPr>
          <w:rFonts w:hint="cs"/>
        </w:rPr>
        <w:t xml:space="preserve"> </w:t>
      </w:r>
      <w:r w:rsidR="00777DCB" w:rsidRPr="00A52585">
        <w:rPr>
          <w:rFonts w:hint="cs"/>
          <w:rtl/>
        </w:rPr>
        <w:t>الثاني: وهو مذهب معظم المتكلمين أنها تتأول على ما يليق بها على حسب مواقعها،</w:t>
      </w:r>
      <w:r w:rsidR="00777DCB" w:rsidRPr="00A52585">
        <w:rPr>
          <w:rFonts w:hint="cs"/>
        </w:rPr>
        <w:t xml:space="preserve"> </w:t>
      </w:r>
      <w:r w:rsidR="00777DCB" w:rsidRPr="00A52585">
        <w:rPr>
          <w:rFonts w:hint="cs"/>
          <w:rtl/>
        </w:rPr>
        <w:t>وإنما يسوغ تأويلها لمن كان من أهله بأن يكون عارفاً بلسان العرب وقواعد الأصول</w:t>
      </w:r>
      <w:r w:rsidR="00777DCB" w:rsidRPr="00A52585">
        <w:rPr>
          <w:rFonts w:hint="cs"/>
        </w:rPr>
        <w:t xml:space="preserve"> </w:t>
      </w:r>
      <w:r w:rsidR="00777DCB" w:rsidRPr="00A52585">
        <w:rPr>
          <w:rFonts w:hint="cs"/>
          <w:rtl/>
        </w:rPr>
        <w:t>الفروع ذا رياضة في العلم " أهـ [شرح صحيح</w:t>
      </w:r>
      <w:r w:rsidR="00777DCB" w:rsidRPr="00A52585">
        <w:rPr>
          <w:rFonts w:hint="cs"/>
        </w:rPr>
        <w:t xml:space="preserve"> </w:t>
      </w:r>
      <w:r w:rsidR="00777DCB" w:rsidRPr="00A52585">
        <w:rPr>
          <w:rFonts w:hint="cs"/>
          <w:rtl/>
        </w:rPr>
        <w:t xml:space="preserve">مسلم </w:t>
      </w:r>
      <w:proofErr w:type="spellStart"/>
      <w:r w:rsidR="00777DCB" w:rsidRPr="00A52585">
        <w:rPr>
          <w:rFonts w:hint="cs"/>
          <w:rtl/>
        </w:rPr>
        <w:t>للنووى</w:t>
      </w:r>
      <w:proofErr w:type="spellEnd"/>
      <w:r w:rsidR="00777DCB" w:rsidRPr="00A52585">
        <w:rPr>
          <w:rFonts w:hint="cs"/>
          <w:rtl/>
        </w:rPr>
        <w:t xml:space="preserve"> ج 3ص 19-20</w:t>
      </w:r>
      <w:r w:rsidRPr="00A52585">
        <w:rPr>
          <w:rFonts w:hint="cs"/>
          <w:rtl/>
        </w:rPr>
        <w:t>]</w:t>
      </w:r>
      <w:r w:rsidR="00DB731D" w:rsidRPr="00A52585">
        <w:rPr>
          <w:rFonts w:hint="cs"/>
          <w:rtl/>
        </w:rPr>
        <w:t>،</w:t>
      </w:r>
      <w:r w:rsidR="00777DCB" w:rsidRPr="00A52585">
        <w:rPr>
          <w:rFonts w:hint="cs"/>
          <w:rtl/>
        </w:rPr>
        <w:t xml:space="preserve"> قال الإمام الحافظ ابن الجوزي الحنبلي (597هـ)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الواجب علينا أن نعتقد أن ذات الله تعالى لا </w:t>
      </w:r>
      <w:proofErr w:type="spellStart"/>
      <w:r w:rsidR="00777DCB" w:rsidRPr="00A52585">
        <w:rPr>
          <w:rFonts w:hint="cs"/>
          <w:rtl/>
        </w:rPr>
        <w:t>يحويه</w:t>
      </w:r>
      <w:proofErr w:type="spellEnd"/>
      <w:r w:rsidR="00777DCB" w:rsidRPr="00A52585">
        <w:rPr>
          <w:rFonts w:hint="cs"/>
          <w:rtl/>
        </w:rPr>
        <w:t xml:space="preserve"> مكان ولا يوصف بالتغيّر والانتقال)</w:t>
      </w:r>
      <w:r w:rsidRPr="00A52585">
        <w:rPr>
          <w:rFonts w:hint="cs"/>
          <w:rtl/>
        </w:rPr>
        <w:t xml:space="preserve"> </w:t>
      </w:r>
      <w:r w:rsidR="00777DCB" w:rsidRPr="00A52585">
        <w:rPr>
          <w:rFonts w:hint="cs"/>
          <w:rtl/>
        </w:rPr>
        <w:t xml:space="preserve">اهـ. </w:t>
      </w:r>
      <w:r w:rsidRPr="00A52585">
        <w:rPr>
          <w:rFonts w:hint="cs"/>
          <w:rtl/>
        </w:rPr>
        <w:t>[</w:t>
      </w:r>
      <w:r w:rsidR="00777DCB" w:rsidRPr="00A52585">
        <w:rPr>
          <w:rFonts w:hint="cs"/>
          <w:rtl/>
        </w:rPr>
        <w:t>دفع شبه التشبيه (ص/58)</w:t>
      </w:r>
      <w:r w:rsidRPr="00A52585">
        <w:rPr>
          <w:rFonts w:hint="cs"/>
          <w:rtl/>
        </w:rPr>
        <w:t>]</w:t>
      </w:r>
      <w:r w:rsidR="00DB731D" w:rsidRPr="00A52585">
        <w:rPr>
          <w:rFonts w:hint="cs"/>
          <w:rtl/>
        </w:rPr>
        <w:t>،</w:t>
      </w:r>
      <w:r w:rsidR="00777DCB" w:rsidRPr="00A52585">
        <w:rPr>
          <w:rFonts w:hint="cs"/>
          <w:bCs/>
          <w:rtl/>
        </w:rPr>
        <w:t xml:space="preserve"> وقال مرعي بن يوسف</w:t>
      </w:r>
      <w:r w:rsidR="00777DCB" w:rsidRPr="00A52585">
        <w:rPr>
          <w:rFonts w:hint="cs"/>
          <w:rtl/>
        </w:rPr>
        <w:t xml:space="preserve"> الكرمي المقدسي الحنبلي في كتابه أقاويل</w:t>
      </w:r>
      <w:r w:rsidR="00777DCB" w:rsidRPr="00A52585">
        <w:rPr>
          <w:rFonts w:hint="cs"/>
        </w:rPr>
        <w:t xml:space="preserve"> </w:t>
      </w:r>
      <w:r w:rsidR="00777DCB" w:rsidRPr="00A52585">
        <w:rPr>
          <w:rFonts w:hint="cs"/>
          <w:rtl/>
        </w:rPr>
        <w:t>الثقات في تأويل الأسماء والصفات والآيات المحكمات</w:t>
      </w:r>
      <w:r w:rsidR="00777DCB" w:rsidRPr="00A52585">
        <w:rPr>
          <w:rFonts w:hint="cs"/>
        </w:rPr>
        <w:t xml:space="preserve"> </w:t>
      </w:r>
      <w:r w:rsidR="00777DCB" w:rsidRPr="00A52585">
        <w:rPr>
          <w:rFonts w:hint="cs"/>
          <w:rtl/>
        </w:rPr>
        <w:t>والمشتبهات</w:t>
      </w:r>
      <w:r w:rsidRPr="00A52585">
        <w:rPr>
          <w:rFonts w:hint="cs"/>
          <w:rtl/>
        </w:rPr>
        <w:t xml:space="preserve">: </w:t>
      </w:r>
      <w:r w:rsidR="00777DCB" w:rsidRPr="00A52585">
        <w:rPr>
          <w:rFonts w:hint="cs"/>
          <w:rtl/>
        </w:rPr>
        <w:t>" ومن المتشابه الاستواء في قوله تعالى</w:t>
      </w:r>
      <w:r w:rsidRPr="00A52585">
        <w:rPr>
          <w:rFonts w:hint="cs"/>
          <w:rtl/>
        </w:rPr>
        <w:t xml:space="preserve"> </w:t>
      </w:r>
      <w:r w:rsidR="00777DCB" w:rsidRPr="00A52585">
        <w:rPr>
          <w:rFonts w:hint="cs"/>
          <w:rtl/>
        </w:rPr>
        <w:t>الرحمن على العرش استوى</w:t>
      </w:r>
      <w:r w:rsidRPr="00A52585">
        <w:rPr>
          <w:rFonts w:hint="cs"/>
          <w:rtl/>
        </w:rPr>
        <w:t xml:space="preserve"> </w:t>
      </w:r>
      <w:r w:rsidR="00777DCB" w:rsidRPr="00A52585">
        <w:rPr>
          <w:rFonts w:hint="cs"/>
          <w:rtl/>
        </w:rPr>
        <w:t>وقوله</w:t>
      </w:r>
      <w:r w:rsidRPr="00A52585">
        <w:rPr>
          <w:rFonts w:hint="cs"/>
          <w:rtl/>
        </w:rPr>
        <w:t xml:space="preserve"> </w:t>
      </w:r>
      <w:r w:rsidR="00777DCB" w:rsidRPr="00A52585">
        <w:rPr>
          <w:rFonts w:hint="cs"/>
          <w:rtl/>
        </w:rPr>
        <w:t>ثم استوى على العرش</w:t>
      </w:r>
      <w:r w:rsidRPr="00A52585">
        <w:rPr>
          <w:rFonts w:hint="cs"/>
          <w:rtl/>
        </w:rPr>
        <w:t xml:space="preserve"> </w:t>
      </w:r>
      <w:r w:rsidR="00777DCB" w:rsidRPr="00A52585">
        <w:rPr>
          <w:rFonts w:hint="cs"/>
          <w:rtl/>
        </w:rPr>
        <w:t>الأعراف 54 وهو مذكور في سبع آيات من القرآن</w:t>
      </w:r>
      <w:r w:rsidRPr="00A52585">
        <w:rPr>
          <w:rFonts w:hint="cs"/>
          <w:rtl/>
        </w:rPr>
        <w:t xml:space="preserve"> </w:t>
      </w:r>
      <w:r w:rsidR="00777DCB" w:rsidRPr="00A52585">
        <w:rPr>
          <w:rFonts w:hint="cs"/>
          <w:bCs/>
          <w:rtl/>
        </w:rPr>
        <w:t xml:space="preserve">فأما السلف فإنهم لم يتكلموا في ذلك بشيء جريا على عادتهم في المتشابه من عدم الخوض فيه مع تفويض علمه إلى الله تعالى والإيمان </w:t>
      </w:r>
      <w:proofErr w:type="spellStart"/>
      <w:r w:rsidR="00777DCB" w:rsidRPr="00A52585">
        <w:rPr>
          <w:rFonts w:hint="cs"/>
          <w:bCs/>
          <w:rtl/>
        </w:rPr>
        <w:t>به</w:t>
      </w:r>
      <w:r w:rsidR="00897A24" w:rsidRPr="00A52585">
        <w:rPr>
          <w:rFonts w:hint="cs"/>
          <w:rtl/>
        </w:rPr>
        <w:t>.</w:t>
      </w:r>
      <w:r w:rsidR="00777DCB" w:rsidRPr="00A52585">
        <w:rPr>
          <w:rFonts w:hint="cs"/>
          <w:rtl/>
        </w:rPr>
        <w:t>.ويروى</w:t>
      </w:r>
      <w:proofErr w:type="spellEnd"/>
      <w:r w:rsidR="00777DCB" w:rsidRPr="00A52585">
        <w:rPr>
          <w:rFonts w:hint="cs"/>
        </w:rPr>
        <w:t xml:space="preserve"> </w:t>
      </w:r>
      <w:r w:rsidR="00777DCB" w:rsidRPr="00A52585">
        <w:rPr>
          <w:rFonts w:hint="cs"/>
          <w:rtl/>
        </w:rPr>
        <w:t>عن الشعبي أنه</w:t>
      </w:r>
      <w:r w:rsidR="00777DCB" w:rsidRPr="00A52585">
        <w:rPr>
          <w:rFonts w:hint="cs"/>
        </w:rPr>
        <w:t xml:space="preserve"> </w:t>
      </w:r>
      <w:r w:rsidR="00777DCB" w:rsidRPr="00A52585">
        <w:rPr>
          <w:rFonts w:hint="cs"/>
          <w:rtl/>
        </w:rPr>
        <w:t>سئل عن الاستواء فقال</w:t>
      </w:r>
      <w:r w:rsidRPr="00A52585">
        <w:rPr>
          <w:rFonts w:hint="cs"/>
          <w:rtl/>
        </w:rPr>
        <w:t>:</w:t>
      </w:r>
      <w:r w:rsidR="00777DCB" w:rsidRPr="00A52585">
        <w:rPr>
          <w:rFonts w:hint="cs"/>
          <w:rtl/>
        </w:rPr>
        <w:t xml:space="preserve"> هذا من </w:t>
      </w:r>
      <w:r w:rsidR="00777DCB" w:rsidRPr="00A52585">
        <w:rPr>
          <w:rFonts w:hint="cs"/>
          <w:bCs/>
          <w:rtl/>
        </w:rPr>
        <w:t>متشابه القرآن نؤمن به ولا نتعرض لمعناه</w:t>
      </w:r>
      <w:r w:rsidR="00777DCB" w:rsidRPr="00A52585">
        <w:rPr>
          <w:rFonts w:hint="cs"/>
          <w:rtl/>
        </w:rPr>
        <w:t xml:space="preserve"> وعن</w:t>
      </w:r>
      <w:r w:rsidR="00777DCB" w:rsidRPr="00A52585">
        <w:rPr>
          <w:rFonts w:hint="cs"/>
        </w:rPr>
        <w:t xml:space="preserve"> </w:t>
      </w:r>
      <w:r w:rsidR="00777DCB" w:rsidRPr="00A52585">
        <w:rPr>
          <w:rFonts w:hint="cs"/>
          <w:rtl/>
        </w:rPr>
        <w:t>الشافعي أنه قال لما سئل عن الاستواء آمنت</w:t>
      </w:r>
      <w:r w:rsidR="00777DCB" w:rsidRPr="00A52585">
        <w:rPr>
          <w:rFonts w:hint="cs"/>
        </w:rPr>
        <w:t xml:space="preserve"> </w:t>
      </w:r>
      <w:r w:rsidR="00777DCB" w:rsidRPr="00A52585">
        <w:rPr>
          <w:rFonts w:hint="cs"/>
          <w:rtl/>
        </w:rPr>
        <w:t>بلا تشبيه وصدقت بلا تمثيل واتهمت نفسي في الإدراك وأمسكت عن الخوض غاية الإمساك</w:t>
      </w:r>
      <w:r w:rsidRPr="00A52585">
        <w:rPr>
          <w:rtl/>
        </w:rPr>
        <w:t xml:space="preserve"> </w:t>
      </w:r>
      <w:r w:rsidR="00777DCB" w:rsidRPr="00A52585">
        <w:rPr>
          <w:rFonts w:hint="cs"/>
          <w:rtl/>
        </w:rPr>
        <w:t>وعن</w:t>
      </w:r>
      <w:r w:rsidR="00777DCB" w:rsidRPr="00A52585">
        <w:rPr>
          <w:rFonts w:hint="cs"/>
        </w:rPr>
        <w:t xml:space="preserve"> </w:t>
      </w:r>
      <w:r w:rsidR="00777DCB" w:rsidRPr="00A52585">
        <w:rPr>
          <w:rFonts w:hint="cs"/>
          <w:rtl/>
        </w:rPr>
        <w:t>أحمد بن حنبل أنه قال استوى</w:t>
      </w:r>
      <w:r w:rsidR="00777DCB" w:rsidRPr="00A52585">
        <w:rPr>
          <w:rFonts w:hint="cs"/>
        </w:rPr>
        <w:t xml:space="preserve"> </w:t>
      </w:r>
      <w:r w:rsidR="00777DCB" w:rsidRPr="00A52585">
        <w:rPr>
          <w:rFonts w:hint="cs"/>
          <w:rtl/>
        </w:rPr>
        <w:t>كما ذكر لا كما يخطر للبشر</w:t>
      </w:r>
      <w:r w:rsidRPr="00A52585">
        <w:rPr>
          <w:rtl/>
        </w:rPr>
        <w:t xml:space="preserve"> </w:t>
      </w:r>
      <w:r w:rsidR="00777DCB" w:rsidRPr="00A52585">
        <w:rPr>
          <w:rFonts w:hint="cs"/>
          <w:rtl/>
        </w:rPr>
        <w:t>وكلام</w:t>
      </w:r>
      <w:r w:rsidR="00777DCB" w:rsidRPr="00A52585">
        <w:rPr>
          <w:rFonts w:hint="cs"/>
        </w:rPr>
        <w:t xml:space="preserve"> </w:t>
      </w:r>
      <w:r w:rsidR="00777DCB" w:rsidRPr="00A52585">
        <w:rPr>
          <w:rFonts w:hint="cs"/>
          <w:rtl/>
        </w:rPr>
        <w:t>السلف مستفيض بمثل هذا " [أقاويل الثقات ج: 1 ص: 120/121] أ هـ</w:t>
      </w:r>
      <w:r w:rsidR="00DB731D" w:rsidRPr="00A52585">
        <w:rPr>
          <w:rFonts w:hint="cs"/>
          <w:rtl/>
        </w:rPr>
        <w:t>،</w:t>
      </w:r>
      <w:r w:rsidRPr="00A52585">
        <w:rPr>
          <w:rFonts w:hint="cs"/>
          <w:bCs/>
          <w:rtl/>
        </w:rPr>
        <w:t xml:space="preserve"> </w:t>
      </w:r>
      <w:r w:rsidR="00777DCB" w:rsidRPr="00A52585">
        <w:rPr>
          <w:rFonts w:hint="cs"/>
          <w:bCs/>
          <w:rtl/>
        </w:rPr>
        <w:t>وقال عبد الباقي بن إبراهيم الحنبلي</w:t>
      </w:r>
      <w:r w:rsidR="00777DCB" w:rsidRPr="00A52585">
        <w:rPr>
          <w:rFonts w:hint="cs"/>
          <w:rtl/>
        </w:rPr>
        <w:t xml:space="preserve"> في كتابه العين والأثر في </w:t>
      </w:r>
      <w:r w:rsidR="00777DCB" w:rsidRPr="00A52585">
        <w:rPr>
          <w:rFonts w:hint="cs"/>
          <w:rtl/>
        </w:rPr>
        <w:lastRenderedPageBreak/>
        <w:t>عقائد أهل الأثر</w:t>
      </w:r>
      <w:r w:rsidRPr="00A52585">
        <w:rPr>
          <w:rFonts w:hint="cs"/>
          <w:rtl/>
        </w:rPr>
        <w:t>:</w:t>
      </w:r>
      <w:r w:rsidR="00777DCB" w:rsidRPr="00A52585">
        <w:rPr>
          <w:rFonts w:hint="cs"/>
          <w:rtl/>
        </w:rPr>
        <w:t xml:space="preserve"> " فصل</w:t>
      </w:r>
      <w:r w:rsidRPr="00A52585">
        <w:rPr>
          <w:rFonts w:hint="cs"/>
          <w:rtl/>
        </w:rPr>
        <w:t>:</w:t>
      </w:r>
      <w:r w:rsidR="00777DCB" w:rsidRPr="00A52585">
        <w:rPr>
          <w:rFonts w:hint="cs"/>
          <w:rtl/>
        </w:rPr>
        <w:t xml:space="preserve"> ويجب الجزم بأن الله تعالى ليس بجوهر ولا جسم ولا عرض ولا تحله الحوادث ولا يحل في حادث ولا ينحصر فيه </w:t>
      </w:r>
      <w:r w:rsidR="00777DCB" w:rsidRPr="00A52585">
        <w:rPr>
          <w:rFonts w:hint="cs"/>
          <w:bCs/>
          <w:rtl/>
        </w:rPr>
        <w:t>فمن اعتقد</w:t>
      </w:r>
      <w:r w:rsidRPr="00A52585">
        <w:rPr>
          <w:rFonts w:hint="cs"/>
          <w:bCs/>
          <w:rtl/>
        </w:rPr>
        <w:t xml:space="preserve"> </w:t>
      </w:r>
      <w:r w:rsidR="00777DCB" w:rsidRPr="00A52585">
        <w:rPr>
          <w:rFonts w:hint="cs"/>
          <w:bCs/>
          <w:rtl/>
        </w:rPr>
        <w:t>أو قال إن الله بذاته في مكان فكافر</w:t>
      </w:r>
      <w:r w:rsidRPr="00A52585">
        <w:rPr>
          <w:rFonts w:hint="cs"/>
          <w:bCs/>
          <w:rtl/>
        </w:rPr>
        <w:t xml:space="preserve"> </w:t>
      </w:r>
      <w:r w:rsidR="00777DCB" w:rsidRPr="00A52585">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Pr="00A52585">
        <w:rPr>
          <w:rFonts w:hint="cs"/>
          <w:rtl/>
        </w:rPr>
        <w:t xml:space="preserve"> </w:t>
      </w:r>
      <w:r w:rsidR="00777DCB" w:rsidRPr="00A52585">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Pr="00A52585">
        <w:rPr>
          <w:rFonts w:hint="cs"/>
          <w:bCs/>
          <w:rtl/>
        </w:rPr>
        <w:t xml:space="preserve"> </w:t>
      </w:r>
      <w:r w:rsidR="00777DCB" w:rsidRPr="00A52585">
        <w:rPr>
          <w:rFonts w:hint="cs"/>
          <w:bCs/>
          <w:rtl/>
        </w:rPr>
        <w:t>وحديث النزول</w:t>
      </w:r>
      <w:r w:rsidR="00777DCB" w:rsidRPr="00A52585">
        <w:rPr>
          <w:rFonts w:hint="cs"/>
          <w:bCs/>
        </w:rPr>
        <w:t xml:space="preserve"> </w:t>
      </w:r>
      <w:r w:rsidR="00777DCB" w:rsidRPr="00A52585">
        <w:rPr>
          <w:rFonts w:hint="cs"/>
          <w:bCs/>
          <w:rtl/>
        </w:rPr>
        <w:t>وغير ذلك من آيات الصفات إلا بصادر عن النبي أو بعض الصحابة وهذا مذهب السلف</w:t>
      </w:r>
      <w:r w:rsidR="00777DCB" w:rsidRPr="00A52585">
        <w:rPr>
          <w:rFonts w:hint="cs"/>
          <w:bCs/>
        </w:rPr>
        <w:t xml:space="preserve"> </w:t>
      </w:r>
      <w:r w:rsidR="00777DCB" w:rsidRPr="00A52585">
        <w:rPr>
          <w:rFonts w:hint="cs"/>
          <w:bCs/>
          <w:rtl/>
        </w:rPr>
        <w:t>قاطبة</w:t>
      </w:r>
      <w:r w:rsidR="00777DCB" w:rsidRPr="00A52585">
        <w:rPr>
          <w:rFonts w:hint="cs"/>
          <w:rtl/>
        </w:rPr>
        <w:t xml:space="preserve"> " </w:t>
      </w:r>
      <w:r w:rsidRPr="00A52585">
        <w:rPr>
          <w:rFonts w:hint="cs"/>
          <w:rtl/>
        </w:rPr>
        <w:t>[</w:t>
      </w:r>
      <w:r w:rsidR="00777DCB" w:rsidRPr="00A52585">
        <w:rPr>
          <w:rFonts w:hint="cs"/>
          <w:rtl/>
        </w:rPr>
        <w:t>العين والأثر في عقائد أهل الأثر ج: 1 ص: 34]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bCs/>
          <w:rtl/>
        </w:rPr>
        <w:t>:</w:t>
      </w:r>
      <w:r w:rsidR="00777DCB" w:rsidRPr="00A52585">
        <w:rPr>
          <w:rFonts w:hint="cs"/>
          <w:bCs/>
          <w:rtl/>
        </w:rPr>
        <w:t xml:space="preserve"> </w:t>
      </w:r>
      <w:r w:rsidR="00777DCB" w:rsidRPr="00A52585">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sidR="00DB731D" w:rsidRPr="00A52585">
        <w:rPr>
          <w:rFonts w:hint="cs"/>
          <w:rtl/>
        </w:rPr>
        <w:t>،</w:t>
      </w:r>
      <w:r w:rsidRPr="00A52585">
        <w:rPr>
          <w:rFonts w:hint="cs"/>
          <w:rtl/>
        </w:rPr>
        <w:t xml:space="preserve"> </w:t>
      </w:r>
      <w:r w:rsidR="00777DCB" w:rsidRPr="00A52585">
        <w:rPr>
          <w:rFonts w:hint="cs"/>
          <w:bCs/>
          <w:rtl/>
        </w:rPr>
        <w:t>وقال شيخ محدثي زمانه الإمام</w:t>
      </w:r>
      <w:r w:rsidRPr="00A52585">
        <w:rPr>
          <w:rFonts w:hint="cs"/>
          <w:bCs/>
          <w:rtl/>
        </w:rPr>
        <w:t xml:space="preserve"> </w:t>
      </w:r>
      <w:r w:rsidR="00777DCB" w:rsidRPr="00A52585">
        <w:rPr>
          <w:rFonts w:hint="cs"/>
          <w:bCs/>
          <w:rtl/>
        </w:rPr>
        <w:t>البيهقي</w:t>
      </w:r>
      <w:r w:rsidRPr="00A52585">
        <w:rPr>
          <w:rFonts w:hint="cs"/>
          <w:rtl/>
        </w:rPr>
        <w:t>:</w:t>
      </w:r>
      <w:r w:rsidR="00777DCB" w:rsidRPr="00A52585">
        <w:rPr>
          <w:rFonts w:hint="cs"/>
          <w:rtl/>
        </w:rPr>
        <w:t xml:space="preserve"> _ وهو يوضح مذهب السلف وأهل الحديث في </w:t>
      </w:r>
      <w:proofErr w:type="spellStart"/>
      <w:r w:rsidR="00777DCB" w:rsidRPr="00A52585">
        <w:rPr>
          <w:rFonts w:hint="cs"/>
          <w:rtl/>
        </w:rPr>
        <w:t>الإستواء</w:t>
      </w:r>
      <w:proofErr w:type="spellEnd"/>
      <w:r w:rsidR="00777DCB" w:rsidRPr="00A52585">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777DCB" w:rsidRPr="00A52585">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DB731D" w:rsidRPr="00A52585">
        <w:rPr>
          <w:rFonts w:hint="cs"/>
          <w:rtl/>
        </w:rPr>
        <w:t>،</w:t>
      </w:r>
      <w:r w:rsidR="00777DCB" w:rsidRPr="00A52585">
        <w:rPr>
          <w:rFonts w:hint="cs"/>
          <w:rtl/>
        </w:rPr>
        <w:t xml:space="preserve"> أخبرنا</w:t>
      </w:r>
      <w:r w:rsidR="00897A24" w:rsidRPr="00A52585">
        <w:rPr>
          <w:rFonts w:hint="cs"/>
          <w:rtl/>
        </w:rPr>
        <w:t>.</w:t>
      </w:r>
      <w:r w:rsidR="00777DCB" w:rsidRPr="00A52585">
        <w:rPr>
          <w:rFonts w:hint="cs"/>
          <w:rtl/>
        </w:rPr>
        <w:t xml:space="preserve">. سمعت يحيى بن يحيى يقول كنا عند </w:t>
      </w:r>
      <w:r w:rsidR="00777DCB" w:rsidRPr="00A52585">
        <w:rPr>
          <w:rFonts w:hint="cs"/>
          <w:bCs/>
          <w:rtl/>
        </w:rPr>
        <w:t>مالك بن أنس</w:t>
      </w:r>
      <w:r w:rsidR="00777DCB" w:rsidRPr="00A52585">
        <w:rPr>
          <w:rFonts w:hint="cs"/>
          <w:rtl/>
        </w:rPr>
        <w:t xml:space="preserve"> فجاء رجل فقال يا أبا عبد الله الرحمن على العرش استوى كيف استوى فأطرق مالك رأسه ثم علاه الرحضاء ثم قال</w:t>
      </w:r>
      <w:r w:rsidRPr="00A52585">
        <w:rPr>
          <w:rFonts w:hint="cs"/>
          <w:rtl/>
        </w:rPr>
        <w:t>:</w:t>
      </w:r>
      <w:r w:rsidR="00777DCB" w:rsidRPr="00A52585">
        <w:rPr>
          <w:rFonts w:hint="cs"/>
          <w:rtl/>
        </w:rPr>
        <w:t xml:space="preserve"> الاستواء غير مجهول والكيف غير معقول والإيمان به واجب والسؤال عنه بدعة وما أراك إلا مبتدعا فأمر به أن يخرج</w:t>
      </w:r>
      <w:r w:rsidR="00DB731D" w:rsidRPr="00A52585">
        <w:rPr>
          <w:rFonts w:eastAsiaTheme="majorEastAsia" w:hint="cs"/>
          <w:vertAlign w:val="superscript"/>
          <w:rtl/>
        </w:rPr>
        <w:t>،</w:t>
      </w:r>
      <w:r w:rsidR="00777DCB" w:rsidRPr="00A52585">
        <w:rPr>
          <w:rFonts w:hint="cs"/>
          <w:rtl/>
        </w:rPr>
        <w:t xml:space="preserve"> </w:t>
      </w:r>
      <w:r w:rsidR="00777DCB" w:rsidRPr="00A52585">
        <w:rPr>
          <w:rFonts w:hint="cs"/>
          <w:bCs/>
          <w:rtl/>
        </w:rPr>
        <w:t>وعلى مثل هذا درج أكثر علمائنا في مسألة الاستواء وفي مسألة المجيء والإتيان والنزول</w:t>
      </w:r>
      <w:r w:rsidR="00897A24" w:rsidRPr="00A52585">
        <w:rPr>
          <w:rFonts w:hint="cs"/>
          <w:rtl/>
        </w:rPr>
        <w:t>.</w:t>
      </w:r>
      <w:r w:rsidR="00777DCB" w:rsidRPr="00A52585">
        <w:rPr>
          <w:rFonts w:hint="cs"/>
          <w:rtl/>
        </w:rPr>
        <w:t xml:space="preserve">. </w:t>
      </w:r>
      <w:r w:rsidR="00777DCB" w:rsidRPr="00A52585">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777DCB" w:rsidRPr="00A52585">
        <w:rPr>
          <w:rFonts w:hint="cs"/>
          <w:rtl/>
        </w:rPr>
        <w:t xml:space="preserve"> </w:t>
      </w:r>
      <w:r w:rsidR="00777DCB" w:rsidRPr="00A52585">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DB731D" w:rsidRPr="00A52585">
        <w:rPr>
          <w:rFonts w:hint="cs"/>
          <w:rtl/>
        </w:rPr>
        <w:t>،</w:t>
      </w:r>
      <w:r w:rsidR="00777DCB" w:rsidRPr="00A52585">
        <w:rPr>
          <w:rFonts w:hint="cs"/>
          <w:rtl/>
        </w:rPr>
        <w:t xml:space="preserve"> أخبرنا محمد بن عبد الله الحافظ </w:t>
      </w:r>
      <w:r w:rsidR="00777DCB" w:rsidRPr="00A52585">
        <w:rPr>
          <w:rFonts w:hint="cs"/>
          <w:rtl/>
        </w:rPr>
        <w:lastRenderedPageBreak/>
        <w:t>أنا أبو بكر محمد بن أحمد بن بالويه ثنا محمد بن بشر بن مطر ثنا الهيثم بن خارجة حدثنا الوليد بن مسلم قال</w:t>
      </w:r>
      <w:r w:rsidRPr="00A52585">
        <w:rPr>
          <w:rFonts w:hint="cs"/>
          <w:rtl/>
        </w:rPr>
        <w:t>:</w:t>
      </w:r>
      <w:r w:rsidR="00777DCB" w:rsidRPr="00A52585">
        <w:rPr>
          <w:rFonts w:hint="cs"/>
          <w:rtl/>
        </w:rPr>
        <w:t xml:space="preserve"> سئل الأوزاعي ومالك وسفيان الثوري والليث بن سعد عن هذه الأحاديث </w:t>
      </w:r>
      <w:r w:rsidR="00777DCB" w:rsidRPr="00A52585">
        <w:rPr>
          <w:rFonts w:hint="cs"/>
          <w:bCs/>
          <w:rtl/>
        </w:rPr>
        <w:t>فقالوا أمروها كما جاءت بلا كيفية</w:t>
      </w:r>
      <w:r w:rsidR="00DB731D" w:rsidRPr="00A52585">
        <w:rPr>
          <w:rFonts w:hint="cs"/>
          <w:rtl/>
        </w:rPr>
        <w:t>،</w:t>
      </w:r>
      <w:r w:rsidR="00777DCB" w:rsidRPr="00A52585">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777DCB" w:rsidRPr="00A52585">
        <w:rPr>
          <w:rFonts w:hint="cs"/>
          <w:bCs/>
          <w:rtl/>
        </w:rPr>
        <w:t>فتفسيره تلاوته</w:t>
      </w:r>
      <w:r w:rsidR="00777DCB" w:rsidRPr="00A52585">
        <w:rPr>
          <w:rFonts w:hint="cs"/>
          <w:rtl/>
        </w:rPr>
        <w:t xml:space="preserve"> </w:t>
      </w:r>
      <w:r w:rsidR="00777DCB" w:rsidRPr="00A52585">
        <w:rPr>
          <w:rFonts w:hint="cs"/>
          <w:bCs/>
          <w:rtl/>
        </w:rPr>
        <w:t>والسكوت عليه</w:t>
      </w:r>
      <w:r w:rsidR="00777DCB" w:rsidRPr="00A52585">
        <w:rPr>
          <w:rFonts w:hint="cs"/>
          <w:rtl/>
        </w:rPr>
        <w:t xml:space="preserve"> وإنما أراد به والله أعلم فيما تفسيره يؤدي إلى تكييف وتكييفه يقتضي تشبيهه له بخلقه في أوصاف الحدوث</w:t>
      </w:r>
      <w:r w:rsidRPr="00A52585">
        <w:rPr>
          <w:rFonts w:hint="cs"/>
          <w:rtl/>
        </w:rPr>
        <w:t xml:space="preserve"> </w:t>
      </w:r>
      <w:r w:rsidR="00777DCB" w:rsidRPr="00A52585">
        <w:rPr>
          <w:rFonts w:hint="cs"/>
          <w:rtl/>
        </w:rPr>
        <w:t>" [الاعتقاد للبيهقي ج: 1 ص: 114- 118] أ هـ</w:t>
      </w:r>
      <w:r w:rsidR="00DB731D" w:rsidRPr="00A52585">
        <w:rPr>
          <w:rFonts w:hint="cs"/>
          <w:rtl/>
        </w:rPr>
        <w:t>،</w:t>
      </w:r>
      <w:r w:rsidRPr="00A52585">
        <w:rPr>
          <w:rFonts w:hint="cs"/>
          <w:rtl/>
        </w:rPr>
        <w:t xml:space="preserve"> </w:t>
      </w:r>
      <w:r w:rsidR="00777DCB" w:rsidRPr="00A52585">
        <w:rPr>
          <w:rFonts w:hint="cs"/>
          <w:bCs/>
          <w:rtl/>
        </w:rPr>
        <w:t>وقال مرعي بن يوسف المقدسي الحنبلي في كتابه أقاويل الثقات</w:t>
      </w:r>
      <w:r w:rsidRPr="00A52585">
        <w:rPr>
          <w:rFonts w:hint="cs"/>
          <w:rtl/>
        </w:rPr>
        <w:t xml:space="preserve">: </w:t>
      </w:r>
      <w:r w:rsidR="00777DCB" w:rsidRPr="00A52585">
        <w:rPr>
          <w:rFonts w:hint="cs"/>
          <w:rtl/>
        </w:rPr>
        <w:t>"</w:t>
      </w:r>
      <w:r w:rsidRPr="00A52585">
        <w:rPr>
          <w:rFonts w:hint="cs"/>
          <w:rtl/>
        </w:rPr>
        <w:t xml:space="preserve"> </w:t>
      </w:r>
      <w:r w:rsidR="00777DCB" w:rsidRPr="00A52585">
        <w:rPr>
          <w:rFonts w:hint="cs"/>
          <w:rtl/>
        </w:rPr>
        <w:t>باب</w:t>
      </w:r>
      <w:r w:rsidRPr="00A52585">
        <w:rPr>
          <w:rFonts w:hint="cs"/>
          <w:rtl/>
        </w:rPr>
        <w:t xml:space="preserve"> </w:t>
      </w:r>
      <w:r w:rsidR="00777DCB" w:rsidRPr="00A52585">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Pr="00A52585">
        <w:rPr>
          <w:rFonts w:hint="cs"/>
          <w:rtl/>
        </w:rPr>
        <w:t xml:space="preserve"> </w:t>
      </w:r>
      <w:r w:rsidR="00777DCB" w:rsidRPr="00A52585">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إلى أن قال</w:t>
      </w:r>
      <w:r w:rsidRPr="00A52585">
        <w:rPr>
          <w:rFonts w:hint="cs"/>
          <w:rtl/>
        </w:rPr>
        <w:t>:</w:t>
      </w:r>
      <w:r w:rsidR="00777DCB" w:rsidRPr="00A52585">
        <w:rPr>
          <w:rFonts w:hint="cs"/>
          <w:rtl/>
        </w:rPr>
        <w:t xml:space="preserve"> </w:t>
      </w:r>
      <w:r w:rsidR="00777DCB" w:rsidRPr="00A52585">
        <w:rPr>
          <w:rFonts w:hint="cs"/>
          <w:bCs/>
          <w:rtl/>
        </w:rPr>
        <w:t>وغلت طائفة أخرى في الإثبات فشبهته فأثبتت له الصورة والجوارح</w:t>
      </w:r>
      <w:r w:rsidR="00777DCB" w:rsidRPr="00A52585">
        <w:rPr>
          <w:rFonts w:hint="cs"/>
          <w:rtl/>
        </w:rPr>
        <w:t xml:space="preserve"> حتى إن الهشامية من غلاة الرافضة زعموا كما قال القرطبي أن معبودهم سبعة أشبار بشبر نفسه </w:t>
      </w:r>
      <w:r w:rsidR="00777DCB" w:rsidRPr="00A52585">
        <w:rPr>
          <w:rFonts w:hint="cs"/>
          <w:bCs/>
          <w:rtl/>
        </w:rPr>
        <w:t>وقالت الكرامية إنه</w:t>
      </w:r>
      <w:r w:rsidRPr="00A52585">
        <w:rPr>
          <w:rFonts w:hint="cs"/>
          <w:bCs/>
          <w:rtl/>
        </w:rPr>
        <w:t xml:space="preserve"> </w:t>
      </w:r>
      <w:r w:rsidR="00777DCB" w:rsidRPr="00A52585">
        <w:rPr>
          <w:rFonts w:hint="cs"/>
          <w:bCs/>
          <w:rtl/>
        </w:rPr>
        <w:t>جسم</w:t>
      </w:r>
      <w:r w:rsidRPr="00A52585">
        <w:rPr>
          <w:rFonts w:hint="cs"/>
          <w:rtl/>
        </w:rPr>
        <w:t xml:space="preserve"> </w:t>
      </w:r>
      <w:r w:rsidR="00777DCB" w:rsidRPr="00A52585">
        <w:rPr>
          <w:rFonts w:hint="cs"/>
          <w:rtl/>
        </w:rPr>
        <w:t>قال</w:t>
      </w:r>
      <w:r w:rsidRPr="00A52585">
        <w:rPr>
          <w:rFonts w:hint="cs"/>
          <w:rtl/>
        </w:rPr>
        <w:t>:</w:t>
      </w:r>
      <w:r w:rsidR="00777DCB" w:rsidRPr="00A52585">
        <w:rPr>
          <w:rFonts w:hint="cs"/>
          <w:rtl/>
        </w:rPr>
        <w:t xml:space="preserve"> </w:t>
      </w:r>
      <w:r w:rsidR="00777DCB" w:rsidRPr="00A52585">
        <w:rPr>
          <w:rFonts w:hint="cs"/>
          <w:bCs/>
          <w:rtl/>
        </w:rPr>
        <w:t xml:space="preserve">وقد بالغ بعض أهل الإغواء فقال إنه على صورة الإنسان </w:t>
      </w:r>
      <w:r w:rsidR="00777DCB" w:rsidRPr="00A52585">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777DCB" w:rsidRPr="00A52585">
        <w:rPr>
          <w:rFonts w:hint="cs"/>
          <w:bCs/>
          <w:rtl/>
        </w:rPr>
        <w:t>تعالى الله عن أقوالهم علو كبيرا</w:t>
      </w:r>
      <w:r w:rsidR="00777DCB" w:rsidRPr="00A52585">
        <w:rPr>
          <w:rFonts w:hint="cs"/>
          <w:rtl/>
        </w:rPr>
        <w:t xml:space="preserve"> وعن مثله نهى الله تعالى بقوله تعالى</w:t>
      </w:r>
      <w:r w:rsidRPr="00A52585">
        <w:rPr>
          <w:rFonts w:hint="cs"/>
          <w:rtl/>
        </w:rPr>
        <w:t>:</w:t>
      </w:r>
      <w:r w:rsidR="00777DCB" w:rsidRPr="00A52585">
        <w:rPr>
          <w:rFonts w:hint="cs"/>
          <w:rtl/>
        </w:rPr>
        <w:t xml:space="preserve"> (</w:t>
      </w:r>
      <w:r w:rsidR="00777DCB" w:rsidRPr="00A52585">
        <w:rPr>
          <w:rFonts w:hint="cs"/>
          <w:bCs/>
          <w:rtl/>
        </w:rPr>
        <w:t>يا أهل الكتاب لا تغلو في دينكم ولا تقولوا على الله إلا الحق</w:t>
      </w:r>
      <w:r w:rsidRPr="00A52585">
        <w:rPr>
          <w:rFonts w:hint="cs"/>
          <w:rtl/>
        </w:rPr>
        <w:t>)</w:t>
      </w:r>
      <w:r w:rsidR="00777DCB" w:rsidRPr="00A52585">
        <w:rPr>
          <w:rFonts w:hint="cs"/>
          <w:rtl/>
        </w:rPr>
        <w:t xml:space="preserve"> [النساء /171</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rtl/>
        </w:rPr>
        <w:t>[أقاويل الثقات ج: 1 ص: 134\135] أهـ</w:t>
      </w:r>
      <w:r w:rsidR="00DB731D" w:rsidRPr="00A52585">
        <w:rPr>
          <w:rFonts w:hint="cs"/>
          <w:rtl/>
        </w:rPr>
        <w:t>،</w:t>
      </w:r>
      <w:r w:rsidR="00777DCB" w:rsidRPr="00A52585">
        <w:rPr>
          <w:rFonts w:hint="cs"/>
          <w:rtl/>
        </w:rPr>
        <w:t xml:space="preserve"> </w:t>
      </w:r>
      <w:r w:rsidR="00777DCB" w:rsidRPr="00A52585">
        <w:rPr>
          <w:rFonts w:hint="cs"/>
          <w:bCs/>
          <w:rtl/>
        </w:rPr>
        <w:t>وقال الإمام الحنبلي مرعي بن يوسف في كتابه أقاويل الثقات</w:t>
      </w:r>
      <w:r w:rsidRPr="00A52585">
        <w:rPr>
          <w:rFonts w:hint="cs"/>
          <w:bCs/>
          <w:rtl/>
        </w:rPr>
        <w:t>:</w:t>
      </w:r>
      <w:r w:rsidR="00777DCB" w:rsidRPr="00A52585">
        <w:rPr>
          <w:rFonts w:hint="cs"/>
          <w:bCs/>
          <w:rtl/>
          <w:lang w:eastAsia="ar-SA"/>
        </w:rPr>
        <w:t xml:space="preserve"> </w:t>
      </w:r>
      <w:r w:rsidR="00777DCB" w:rsidRPr="00A52585">
        <w:rPr>
          <w:rFonts w:hint="cs"/>
          <w:rtl/>
        </w:rPr>
        <w:t xml:space="preserve">" </w:t>
      </w:r>
      <w:r w:rsidR="00777DCB" w:rsidRPr="00A52585">
        <w:rPr>
          <w:rFonts w:hint="cs"/>
          <w:bCs/>
          <w:rtl/>
        </w:rPr>
        <w:t>ومن المتشابه اليد</w:t>
      </w:r>
      <w:r w:rsidR="00777DCB" w:rsidRPr="00A52585">
        <w:rPr>
          <w:rFonts w:hint="cs"/>
          <w:rtl/>
        </w:rPr>
        <w:t xml:space="preserve"> في قوله تعالى </w:t>
      </w:r>
      <w:r w:rsidRPr="00A52585">
        <w:rPr>
          <w:rFonts w:hint="cs"/>
          <w:rtl/>
        </w:rPr>
        <w:t>(</w:t>
      </w:r>
      <w:r w:rsidR="00777DCB" w:rsidRPr="00A52585">
        <w:rPr>
          <w:rFonts w:hint="cs"/>
          <w:rtl/>
        </w:rPr>
        <w:t>يد الله فوق أيديهم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 10]</w:t>
      </w:r>
      <w:r w:rsidRPr="00A52585">
        <w:rPr>
          <w:rFonts w:hint="cs"/>
          <w:rtl/>
        </w:rPr>
        <w:t xml:space="preserve"> (</w:t>
      </w:r>
      <w:r w:rsidR="00777DCB" w:rsidRPr="00A52585">
        <w:rPr>
          <w:rFonts w:hint="cs"/>
          <w:rtl/>
        </w:rPr>
        <w:t>لما خلقت بيدي</w:t>
      </w:r>
      <w:r w:rsidRPr="00A52585">
        <w:rPr>
          <w:rFonts w:hint="cs"/>
          <w:rtl/>
        </w:rPr>
        <w:t>)</w:t>
      </w:r>
      <w:r w:rsidR="00777DCB" w:rsidRPr="00A52585">
        <w:rPr>
          <w:rFonts w:hint="cs"/>
          <w:rtl/>
        </w:rPr>
        <w:t xml:space="preserve"> [ص 75]</w:t>
      </w:r>
      <w:r w:rsidRPr="00A52585">
        <w:rPr>
          <w:rFonts w:hint="cs"/>
          <w:rtl/>
        </w:rPr>
        <w:t xml:space="preserve"> (</w:t>
      </w:r>
      <w:r w:rsidR="00777DCB" w:rsidRPr="00A52585">
        <w:rPr>
          <w:rFonts w:hint="cs"/>
          <w:rtl/>
        </w:rPr>
        <w:t>بل يداه مبسوطتان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 64]</w:t>
      </w:r>
      <w:r w:rsidRPr="00A52585">
        <w:rPr>
          <w:rFonts w:hint="cs"/>
          <w:rtl/>
        </w:rPr>
        <w:t>)</w:t>
      </w:r>
      <w:r w:rsidR="00777DCB" w:rsidRPr="00A52585">
        <w:t xml:space="preserve"> </w:t>
      </w:r>
      <w:r w:rsidR="00777DCB" w:rsidRPr="00A52585">
        <w:rPr>
          <w:rFonts w:hint="cs"/>
          <w:rtl/>
        </w:rPr>
        <w:t>مما عملت أيدينا</w:t>
      </w:r>
      <w:r w:rsidRPr="00A52585">
        <w:rPr>
          <w:rtl/>
        </w:rPr>
        <w:t>(</w:t>
      </w:r>
      <w:r w:rsidRPr="00A52585">
        <w:rPr>
          <w:rFonts w:hint="cs"/>
          <w:rtl/>
        </w:rPr>
        <w:t>[</w:t>
      </w:r>
      <w:r w:rsidR="00777DCB" w:rsidRPr="00A52585">
        <w:rPr>
          <w:rFonts w:hint="cs"/>
          <w:rtl/>
        </w:rPr>
        <w:t>يس 71</w:t>
      </w:r>
      <w:r w:rsidRPr="00A52585">
        <w:rPr>
          <w:rFonts w:hint="cs"/>
          <w:rtl/>
        </w:rPr>
        <w:t>] (</w:t>
      </w:r>
      <w:r w:rsidR="00777DCB" w:rsidRPr="00A52585">
        <w:rPr>
          <w:rFonts w:hint="cs"/>
          <w:rtl/>
        </w:rPr>
        <w:t>قل إن الفضل بيد الله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 73</w:t>
      </w:r>
      <w:r w:rsidRPr="00A52585">
        <w:rPr>
          <w:rFonts w:hint="cs"/>
          <w:rtl/>
        </w:rPr>
        <w:t xml:space="preserve">] </w:t>
      </w:r>
      <w:r w:rsidR="00777DCB" w:rsidRPr="00A52585">
        <w:rPr>
          <w:rFonts w:hint="cs"/>
          <w:rtl/>
        </w:rPr>
        <w:t>وتأويله أن المراد باليد القدرة</w:t>
      </w:r>
      <w:r w:rsidRPr="00A52585">
        <w:rPr>
          <w:rFonts w:hint="cs"/>
          <w:rtl/>
        </w:rPr>
        <w:t xml:space="preserve"> </w:t>
      </w:r>
      <w:r w:rsidR="00777DCB" w:rsidRPr="00A52585">
        <w:rPr>
          <w:rFonts w:hint="cs"/>
          <w:rtl/>
        </w:rPr>
        <w:t xml:space="preserve">وقال الأشعري اليد صفة ورد بها الشرع والذي يلوح من معنى هذه الصفة أنها قريبة من </w:t>
      </w:r>
      <w:r w:rsidR="00777DCB" w:rsidRPr="00A52585">
        <w:rPr>
          <w:rFonts w:hint="cs"/>
          <w:rtl/>
        </w:rPr>
        <w:lastRenderedPageBreak/>
        <w:t>معنى القدرة إلا أنها أخص والقدرة أعم كالمحبة مع الإرادة والمشيئة فإن في اليد تشريفا لازما</w:t>
      </w:r>
      <w:r w:rsidR="00DB731D" w:rsidRPr="00A52585">
        <w:rPr>
          <w:rFonts w:hint="cs"/>
          <w:rtl/>
        </w:rPr>
        <w:t>،</w:t>
      </w:r>
      <w:r w:rsidRPr="00A52585">
        <w:rPr>
          <w:rFonts w:hint="cs"/>
          <w:rtl/>
        </w:rPr>
        <w:t xml:space="preserve"> </w:t>
      </w:r>
      <w:r w:rsidR="00777DCB" w:rsidRPr="00A52585">
        <w:rPr>
          <w:rFonts w:hint="cs"/>
          <w:bCs/>
          <w:rtl/>
        </w:rPr>
        <w:t>وقال البيهقي</w:t>
      </w:r>
      <w:r w:rsidR="00777DCB" w:rsidRPr="00A52585">
        <w:rPr>
          <w:rFonts w:hint="cs"/>
          <w:rtl/>
        </w:rPr>
        <w:t xml:space="preserve"> في كتاب الأسماء والصفات باب ما جاء في إثبات اليدين صفتين لا من حيث الجارحة قال الله </w:t>
      </w:r>
      <w:r w:rsidRPr="00A52585">
        <w:rPr>
          <w:rFonts w:hint="cs"/>
          <w:rtl/>
        </w:rPr>
        <w:t>(</w:t>
      </w:r>
      <w:r w:rsidR="00777DCB" w:rsidRPr="00A52585">
        <w:rPr>
          <w:rFonts w:hint="cs"/>
          <w:rtl/>
        </w:rPr>
        <w:t>يا إبليس ما منعك أن تسجد لما خلقت بيدي</w:t>
      </w:r>
      <w:r w:rsidRPr="00A52585">
        <w:rPr>
          <w:rFonts w:hint="cs"/>
          <w:rtl/>
        </w:rPr>
        <w:t xml:space="preserve">) </w:t>
      </w:r>
      <w:r w:rsidR="00777DCB" w:rsidRPr="00A52585">
        <w:rPr>
          <w:rFonts w:hint="cs"/>
          <w:rtl/>
        </w:rPr>
        <w:t>[ص</w:t>
      </w:r>
      <w:r w:rsidRPr="00A52585">
        <w:rPr>
          <w:rFonts w:hint="cs"/>
          <w:rtl/>
        </w:rPr>
        <w:t>:</w:t>
      </w:r>
      <w:r w:rsidR="00777DCB" w:rsidRPr="00A52585">
        <w:rPr>
          <w:rFonts w:hint="cs"/>
          <w:rtl/>
        </w:rPr>
        <w:t xml:space="preserve"> 75</w:t>
      </w:r>
      <w:r w:rsidRPr="00A52585">
        <w:rPr>
          <w:rFonts w:hint="cs"/>
          <w:rtl/>
        </w:rPr>
        <w:t xml:space="preserve">] </w:t>
      </w:r>
      <w:r w:rsidR="00777DCB" w:rsidRPr="00A52585">
        <w:rPr>
          <w:rFonts w:hint="cs"/>
          <w:rtl/>
        </w:rPr>
        <w:t>وقال</w:t>
      </w:r>
      <w:r w:rsidRPr="00A52585">
        <w:rPr>
          <w:rFonts w:hint="cs"/>
          <w:rtl/>
        </w:rPr>
        <w:t xml:space="preserve"> {</w:t>
      </w:r>
      <w:r w:rsidR="00777DCB" w:rsidRPr="00A52585">
        <w:rPr>
          <w:rFonts w:hint="cs"/>
          <w:rtl/>
        </w:rPr>
        <w:t>بل يداه مبسوطتان</w:t>
      </w:r>
      <w:r w:rsidRPr="00A52585">
        <w:rPr>
          <w:rFonts w:hint="cs"/>
          <w:rtl/>
        </w:rPr>
        <w:t>} [</w:t>
      </w:r>
      <w:r w:rsidR="00777DCB" w:rsidRPr="00A52585">
        <w:rPr>
          <w:rFonts w:hint="cs"/>
          <w:rtl/>
        </w:rPr>
        <w:t>المائدة</w:t>
      </w:r>
      <w:r w:rsidRPr="00A52585">
        <w:rPr>
          <w:rFonts w:hint="cs"/>
          <w:rtl/>
        </w:rPr>
        <w:t>:</w:t>
      </w:r>
      <w:r w:rsidR="00777DCB" w:rsidRPr="00A52585">
        <w:rPr>
          <w:rFonts w:hint="cs"/>
          <w:rtl/>
          <w:lang w:bidi="ar-KW"/>
        </w:rPr>
        <w:t xml:space="preserve"> </w:t>
      </w:r>
      <w:r w:rsidR="00777DCB" w:rsidRPr="00A52585">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DB731D" w:rsidRPr="00A52585">
        <w:rPr>
          <w:rFonts w:hint="cs"/>
          <w:rtl/>
        </w:rPr>
        <w:t>،</w:t>
      </w:r>
      <w:r w:rsidR="00777DCB" w:rsidRPr="00A52585">
        <w:rPr>
          <w:rFonts w:hint="cs"/>
          <w:rtl/>
        </w:rPr>
        <w:t xml:space="preserve"> </w:t>
      </w:r>
      <w:r w:rsidR="00777DCB" w:rsidRPr="00A52585">
        <w:rPr>
          <w:rFonts w:hint="cs"/>
          <w:bCs/>
          <w:rtl/>
        </w:rPr>
        <w:t>وقال البيهقي</w:t>
      </w:r>
      <w:r w:rsidR="00777DCB" w:rsidRPr="00A52585">
        <w:rPr>
          <w:rFonts w:hint="cs"/>
          <w:rtl/>
        </w:rPr>
        <w:t xml:space="preserve"> قال بعض أهل النظر قد تكون اليد بمعنى القوة كقوله </w:t>
      </w:r>
      <w:r w:rsidRPr="00A52585">
        <w:rPr>
          <w:rFonts w:hint="cs"/>
          <w:rtl/>
        </w:rPr>
        <w:t>{</w:t>
      </w:r>
      <w:r w:rsidR="00777DCB" w:rsidRPr="00A52585">
        <w:rPr>
          <w:rFonts w:hint="cs"/>
          <w:rtl/>
        </w:rPr>
        <w:t>داود ذا الأيد</w:t>
      </w:r>
      <w:r w:rsidRPr="00A52585">
        <w:rPr>
          <w:rFonts w:hint="cs"/>
          <w:rtl/>
        </w:rPr>
        <w:t>} [</w:t>
      </w:r>
      <w:r w:rsidR="00777DCB" w:rsidRPr="00A52585">
        <w:rPr>
          <w:rFonts w:hint="cs"/>
          <w:rtl/>
        </w:rPr>
        <w:t>ص</w:t>
      </w:r>
      <w:r w:rsidRPr="00A52585">
        <w:rPr>
          <w:rFonts w:hint="cs"/>
          <w:rtl/>
        </w:rPr>
        <w:t>:</w:t>
      </w:r>
      <w:r w:rsidR="00777DCB" w:rsidRPr="00A52585">
        <w:rPr>
          <w:rFonts w:hint="cs"/>
          <w:rtl/>
        </w:rPr>
        <w:t xml:space="preserve"> 17</w:t>
      </w:r>
      <w:r w:rsidRPr="00A52585">
        <w:rPr>
          <w:rFonts w:hint="cs"/>
          <w:rtl/>
        </w:rPr>
        <w:t>]</w:t>
      </w:r>
      <w:r w:rsidR="00777DCB" w:rsidRPr="00A52585">
        <w:rPr>
          <w:rFonts w:hint="cs"/>
          <w:rtl/>
        </w:rPr>
        <w:t xml:space="preserve"> ذا القوة وبمعنى الملك والقدرة كقوله</w:t>
      </w:r>
      <w:r w:rsidRPr="00A52585">
        <w:rPr>
          <w:rFonts w:hint="cs"/>
          <w:rtl/>
        </w:rPr>
        <w:t xml:space="preserve"> {</w:t>
      </w:r>
      <w:r w:rsidR="00777DCB" w:rsidRPr="00A52585">
        <w:rPr>
          <w:rFonts w:hint="cs"/>
          <w:rtl/>
        </w:rPr>
        <w:t>إن الفضل بيد الله</w:t>
      </w:r>
      <w:r w:rsidRPr="00A52585">
        <w:rPr>
          <w:rFonts w:hint="cs"/>
          <w:rtl/>
        </w:rPr>
        <w:t>} [</w:t>
      </w:r>
      <w:r w:rsidR="00777DCB" w:rsidRPr="00A52585">
        <w:rPr>
          <w:rFonts w:hint="cs"/>
          <w:rtl/>
        </w:rPr>
        <w:t>آل عمران</w:t>
      </w:r>
      <w:r w:rsidRPr="00A52585">
        <w:rPr>
          <w:rFonts w:hint="cs"/>
          <w:rtl/>
        </w:rPr>
        <w:t xml:space="preserve">: </w:t>
      </w:r>
      <w:r w:rsidR="00777DCB" w:rsidRPr="00A52585">
        <w:rPr>
          <w:rFonts w:hint="cs"/>
          <w:rtl/>
        </w:rPr>
        <w:t>73</w:t>
      </w:r>
      <w:r w:rsidRPr="00A52585">
        <w:rPr>
          <w:rFonts w:hint="cs"/>
          <w:rtl/>
        </w:rPr>
        <w:t xml:space="preserve">] </w:t>
      </w:r>
      <w:r w:rsidR="00777DCB" w:rsidRPr="00A52585">
        <w:rPr>
          <w:rFonts w:hint="cs"/>
          <w:rtl/>
        </w:rPr>
        <w:t>وبمعنى النعمة كقولهم لي عند فلان يد وتكون صلة أي زائدة كقوله</w:t>
      </w:r>
      <w:r w:rsidRPr="00A52585">
        <w:rPr>
          <w:rFonts w:hint="cs"/>
          <w:rtl/>
        </w:rPr>
        <w:t xml:space="preserve"> {</w:t>
      </w:r>
      <w:r w:rsidR="00777DCB" w:rsidRPr="00A52585">
        <w:rPr>
          <w:rFonts w:hint="cs"/>
          <w:rtl/>
        </w:rPr>
        <w:t>مما عملت أيدينا أنعاما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يس</w:t>
      </w:r>
      <w:r w:rsidRPr="00A52585">
        <w:rPr>
          <w:rFonts w:hint="cs"/>
          <w:rtl/>
        </w:rPr>
        <w:t>:</w:t>
      </w:r>
      <w:r w:rsidR="00777DCB" w:rsidRPr="00A52585">
        <w:rPr>
          <w:rFonts w:hint="cs"/>
          <w:rtl/>
        </w:rPr>
        <w:t xml:space="preserve"> 71</w:t>
      </w:r>
      <w:r w:rsidRPr="00A52585">
        <w:rPr>
          <w:rFonts w:hint="cs"/>
          <w:rtl/>
        </w:rPr>
        <w:t>]</w:t>
      </w:r>
      <w:r w:rsidR="00777DCB" w:rsidRPr="00A52585">
        <w:rPr>
          <w:rFonts w:hint="cs"/>
          <w:rtl/>
        </w:rPr>
        <w:t xml:space="preserve"> أي مما عملناه نحن وبمعنى الجارحة كقوله </w:t>
      </w:r>
      <w:r w:rsidRPr="00A52585">
        <w:rPr>
          <w:rFonts w:hint="cs"/>
          <w:rtl/>
        </w:rPr>
        <w:t>{</w:t>
      </w:r>
      <w:r w:rsidR="00777DCB" w:rsidRPr="00A52585">
        <w:rPr>
          <w:rFonts w:hint="cs"/>
          <w:rtl/>
        </w:rPr>
        <w:t>وخذ بيدك ضغثا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44</w:t>
      </w:r>
      <w:r w:rsidRPr="00A52585">
        <w:rPr>
          <w:rFonts w:hint="cs"/>
          <w:rtl/>
        </w:rPr>
        <w:t xml:space="preserve">] </w:t>
      </w:r>
      <w:r w:rsidR="00777DCB" w:rsidRPr="00A52585">
        <w:rPr>
          <w:rFonts w:hint="cs"/>
          <w:rtl/>
        </w:rPr>
        <w:t xml:space="preserve">قال فأما قوله </w:t>
      </w:r>
      <w:r w:rsidRPr="00A52585">
        <w:rPr>
          <w:rFonts w:hint="cs"/>
          <w:rtl/>
        </w:rPr>
        <w:t>{</w:t>
      </w:r>
      <w:r w:rsidR="00777DCB" w:rsidRPr="00A52585">
        <w:rPr>
          <w:rFonts w:hint="cs"/>
          <w:rtl/>
        </w:rPr>
        <w:t>لما خلقت بيدي</w:t>
      </w:r>
      <w:r w:rsidRPr="00A52585">
        <w:rPr>
          <w:rFonts w:hint="cs"/>
          <w:rtl/>
        </w:rPr>
        <w:t>}</w:t>
      </w:r>
      <w:r w:rsidR="00777DCB" w:rsidRPr="00A52585">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Pr="00A52585">
        <w:rPr>
          <w:rFonts w:hint="cs"/>
          <w:rtl/>
        </w:rPr>
        <w:t xml:space="preserve"> </w:t>
      </w:r>
      <w:r w:rsidR="00777DCB" w:rsidRPr="00A52585">
        <w:rPr>
          <w:rFonts w:hint="cs"/>
          <w:rtl/>
        </w:rPr>
        <w:t>لما خلقت بيدي</w:t>
      </w:r>
      <w:r w:rsidRPr="00A52585">
        <w:rPr>
          <w:rFonts w:hint="cs"/>
          <w:rtl/>
        </w:rPr>
        <w:t xml:space="preserve"> </w:t>
      </w:r>
      <w:r w:rsidR="00777DCB" w:rsidRPr="00A52585">
        <w:rPr>
          <w:rFonts w:hint="cs"/>
          <w:rtl/>
        </w:rPr>
        <w:t xml:space="preserve">انتهى </w:t>
      </w:r>
      <w:r w:rsidRPr="00A52585">
        <w:rPr>
          <w:rFonts w:hint="cs"/>
          <w:rtl/>
        </w:rPr>
        <w:t>(</w:t>
      </w:r>
      <w:r w:rsidR="00777DCB" w:rsidRPr="00A52585">
        <w:rPr>
          <w:rFonts w:hint="cs"/>
          <w:rtl/>
        </w:rPr>
        <w:t>أي كلام البيهقي</w:t>
      </w:r>
      <w:r w:rsidRPr="00A52585">
        <w:rPr>
          <w:rFonts w:hint="cs"/>
          <w:rtl/>
        </w:rPr>
        <w:t xml:space="preserve">) </w:t>
      </w:r>
      <w:r w:rsidR="00777DCB" w:rsidRPr="00A52585">
        <w:rPr>
          <w:rFonts w:hint="cs"/>
          <w:rtl/>
        </w:rPr>
        <w:t>تنبيه</w:t>
      </w:r>
      <w:r w:rsidRPr="00A52585">
        <w:rPr>
          <w:rFonts w:hint="cs"/>
          <w:rtl/>
        </w:rPr>
        <w:t xml:space="preserve"> </w:t>
      </w:r>
      <w:r w:rsidR="00777DCB" w:rsidRPr="00A52585">
        <w:rPr>
          <w:rFonts w:hint="cs"/>
          <w:rtl/>
        </w:rPr>
        <w:t xml:space="preserve">من هذا النمط حديث الترمذي وابن ماجه </w:t>
      </w:r>
      <w:r w:rsidRPr="00A52585">
        <w:rPr>
          <w:rFonts w:hint="cs"/>
          <w:rtl/>
        </w:rPr>
        <w:t>(</w:t>
      </w:r>
      <w:r w:rsidR="00777DCB" w:rsidRPr="00A52585">
        <w:rPr>
          <w:rFonts w:hint="cs"/>
          <w:rtl/>
        </w:rPr>
        <w:t>إن الله تعالى لما خلق الخلق كتب بيده على نفسه إن رحمتي تغلب غضبي</w:t>
      </w:r>
      <w:r w:rsidRPr="00A52585">
        <w:rPr>
          <w:rFonts w:hint="cs"/>
          <w:rtl/>
        </w:rPr>
        <w:t>)</w:t>
      </w:r>
      <w:r w:rsidR="00777DCB" w:rsidRPr="00A52585">
        <w:rPr>
          <w:rFonts w:hint="cs"/>
          <w:rtl/>
        </w:rPr>
        <w:t xml:space="preserve"> وفي حديث آخر </w:t>
      </w:r>
      <w:r w:rsidRPr="00A52585">
        <w:rPr>
          <w:rFonts w:hint="cs"/>
          <w:rtl/>
        </w:rPr>
        <w:t>(</w:t>
      </w:r>
      <w:r w:rsidR="00777DCB" w:rsidRPr="00A52585">
        <w:rPr>
          <w:rFonts w:hint="cs"/>
          <w:rtl/>
        </w:rPr>
        <w:t>إن الله تعالى خلق ثلاثة أشياء بيده خلق آدم بيده وكتب التوراة بيده وغرس الفردوس بيده</w:t>
      </w:r>
      <w:r w:rsidRPr="00A52585">
        <w:rPr>
          <w:rFonts w:hint="cs"/>
          <w:rtl/>
        </w:rPr>
        <w:t xml:space="preserve">) </w:t>
      </w:r>
      <w:r w:rsidR="00777DCB" w:rsidRPr="00A52585">
        <w:rPr>
          <w:rFonts w:hint="cs"/>
          <w:rtl/>
        </w:rPr>
        <w:t xml:space="preserve">وحديث أحمد ومسلم </w:t>
      </w:r>
      <w:r w:rsidRPr="00A52585">
        <w:rPr>
          <w:rFonts w:hint="cs"/>
          <w:rtl/>
        </w:rPr>
        <w:t>(</w:t>
      </w:r>
      <w:r w:rsidR="00777DCB" w:rsidRPr="00A52585">
        <w:rPr>
          <w:rFonts w:hint="cs"/>
          <w:rtl/>
        </w:rPr>
        <w:t xml:space="preserve">إن الله تعالى يبسط يده بالليل ليتوب </w:t>
      </w:r>
      <w:proofErr w:type="spellStart"/>
      <w:r w:rsidR="00777DCB" w:rsidRPr="00A52585">
        <w:rPr>
          <w:rFonts w:hint="cs"/>
          <w:rtl/>
        </w:rPr>
        <w:t>مسييء</w:t>
      </w:r>
      <w:proofErr w:type="spellEnd"/>
      <w:r w:rsidR="00777DCB" w:rsidRPr="00A52585">
        <w:rPr>
          <w:rFonts w:hint="cs"/>
          <w:rtl/>
        </w:rPr>
        <w:t xml:space="preserve"> النهار ويبسط يده بالنهار ليتوب مسيئ الليل</w:t>
      </w:r>
      <w:r w:rsidRPr="00A52585">
        <w:rPr>
          <w:rFonts w:hint="cs"/>
          <w:rtl/>
        </w:rPr>
        <w:t xml:space="preserve">) </w:t>
      </w:r>
      <w:r w:rsidR="00777DCB" w:rsidRPr="00A52585">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DB731D" w:rsidRPr="00A52585">
        <w:rPr>
          <w:rFonts w:hint="cs"/>
          <w:bCs/>
          <w:rtl/>
        </w:rPr>
        <w:t>،</w:t>
      </w:r>
      <w:r w:rsidR="00777DCB" w:rsidRPr="00A52585">
        <w:rPr>
          <w:rFonts w:hint="cs"/>
          <w:rtl/>
        </w:rPr>
        <w:t xml:space="preserve"> </w:t>
      </w:r>
      <w:r w:rsidR="00777DCB" w:rsidRPr="00A52585">
        <w:rPr>
          <w:rFonts w:hint="cs"/>
          <w:bCs/>
          <w:rtl/>
        </w:rPr>
        <w:t>ومن المتشابه القبضة واليمين</w:t>
      </w:r>
      <w:r w:rsidR="00777DCB" w:rsidRPr="00A52585">
        <w:rPr>
          <w:rFonts w:hint="cs"/>
          <w:rtl/>
        </w:rPr>
        <w:t xml:space="preserve"> في وقوله تعالى </w:t>
      </w:r>
      <w:r w:rsidRPr="00A52585">
        <w:rPr>
          <w:rFonts w:hint="cs"/>
          <w:rtl/>
        </w:rPr>
        <w:t>(</w:t>
      </w:r>
      <w:r w:rsidR="00777DCB" w:rsidRPr="00A52585">
        <w:rPr>
          <w:rFonts w:hint="cs"/>
          <w:rtl/>
        </w:rPr>
        <w:t>والأرض جميعا قبضته يوم القيامة والسماوات مطويات بيمينه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 67</w:t>
      </w:r>
      <w:r w:rsidRPr="00A52585">
        <w:rPr>
          <w:rFonts w:hint="cs"/>
          <w:rtl/>
        </w:rPr>
        <w:t xml:space="preserve">] </w:t>
      </w:r>
      <w:r w:rsidR="00777DCB" w:rsidRPr="00A52585">
        <w:rPr>
          <w:rFonts w:hint="cs"/>
          <w:rtl/>
        </w:rPr>
        <w:t xml:space="preserve">وحديث البخاري ومسلم </w:t>
      </w:r>
      <w:r w:rsidRPr="00A52585">
        <w:rPr>
          <w:rFonts w:hint="cs"/>
          <w:rtl/>
        </w:rPr>
        <w:t>(</w:t>
      </w:r>
      <w:r w:rsidR="00777DCB" w:rsidRPr="00A52585">
        <w:rPr>
          <w:rFonts w:hint="cs"/>
          <w:rtl/>
        </w:rPr>
        <w:t>يقبض الله الأرض يوم القيامة ويطوي السماء بيمينه ثم يقول أنا الملك أين ملوك الأرض</w:t>
      </w:r>
      <w:r w:rsidRPr="00A52585">
        <w:rPr>
          <w:rFonts w:hint="cs"/>
          <w:rtl/>
        </w:rPr>
        <w:t xml:space="preserve">) </w:t>
      </w:r>
      <w:r w:rsidR="00777DCB" w:rsidRPr="00A52585">
        <w:rPr>
          <w:rFonts w:hint="cs"/>
          <w:rtl/>
        </w:rPr>
        <w:t xml:space="preserve">وحديث مسلم </w:t>
      </w:r>
      <w:r w:rsidRPr="00A52585">
        <w:rPr>
          <w:rFonts w:hint="cs"/>
          <w:rtl/>
        </w:rPr>
        <w:t>(</w:t>
      </w:r>
      <w:r w:rsidR="00777DCB" w:rsidRPr="00A52585">
        <w:rPr>
          <w:rFonts w:hint="cs"/>
          <w:rtl/>
        </w:rPr>
        <w:t>يطوي الله السماوات يوم القيامة ثم يأخذهن بيده اليمنى</w:t>
      </w:r>
      <w:r w:rsidRPr="00A52585">
        <w:rPr>
          <w:rFonts w:hint="cs"/>
          <w:rtl/>
        </w:rPr>
        <w:t>)</w:t>
      </w:r>
      <w:r w:rsidR="00777DCB" w:rsidRPr="00A52585">
        <w:rPr>
          <w:rFonts w:hint="cs"/>
          <w:rtl/>
        </w:rPr>
        <w:t xml:space="preserve"> الحديث</w:t>
      </w:r>
      <w:r w:rsidRPr="00A52585">
        <w:rPr>
          <w:rFonts w:hint="cs"/>
          <w:rtl/>
        </w:rPr>
        <w:t xml:space="preserve"> </w:t>
      </w:r>
      <w:r w:rsidR="00777DCB" w:rsidRPr="00A52585">
        <w:rPr>
          <w:rFonts w:hint="cs"/>
          <w:rtl/>
        </w:rPr>
        <w:t xml:space="preserve">وحديث مسلم أيضا </w:t>
      </w:r>
      <w:r w:rsidRPr="00A52585">
        <w:rPr>
          <w:rFonts w:hint="cs"/>
          <w:rtl/>
        </w:rPr>
        <w:t>(</w:t>
      </w:r>
      <w:r w:rsidR="00777DCB" w:rsidRPr="00A52585">
        <w:rPr>
          <w:rFonts w:hint="cs"/>
          <w:rtl/>
        </w:rPr>
        <w:t xml:space="preserve">يأخذ الله </w:t>
      </w:r>
      <w:proofErr w:type="spellStart"/>
      <w:r w:rsidR="00777DCB" w:rsidRPr="00A52585">
        <w:rPr>
          <w:rFonts w:hint="cs"/>
          <w:rtl/>
        </w:rPr>
        <w:t>سماواته</w:t>
      </w:r>
      <w:proofErr w:type="spellEnd"/>
      <w:r w:rsidR="00777DCB" w:rsidRPr="00A52585">
        <w:rPr>
          <w:rFonts w:hint="cs"/>
          <w:rtl/>
        </w:rPr>
        <w:t xml:space="preserve"> وأرضيه بيديه فيقول أنا الله ويبسطها أنا الملك</w:t>
      </w:r>
      <w:r w:rsidRPr="00A52585">
        <w:rPr>
          <w:rFonts w:hint="cs"/>
          <w:rtl/>
        </w:rPr>
        <w:t xml:space="preserve">) </w:t>
      </w:r>
      <w:r w:rsidR="00777DCB" w:rsidRPr="00A52585">
        <w:rPr>
          <w:rFonts w:hint="cs"/>
          <w:bCs/>
          <w:rtl/>
        </w:rPr>
        <w:t xml:space="preserve">قال البيهقي المتقدمون من هذه الأمة لم يفسروا ما ورد من </w:t>
      </w:r>
      <w:proofErr w:type="spellStart"/>
      <w:r w:rsidR="00777DCB" w:rsidRPr="00A52585">
        <w:rPr>
          <w:rFonts w:hint="cs"/>
          <w:bCs/>
          <w:rtl/>
        </w:rPr>
        <w:t>الآي</w:t>
      </w:r>
      <w:proofErr w:type="spellEnd"/>
      <w:r w:rsidR="00777DCB" w:rsidRPr="00A52585">
        <w:rPr>
          <w:rFonts w:hint="cs"/>
          <w:bCs/>
          <w:rtl/>
        </w:rPr>
        <w:t xml:space="preserve"> والأخبار في هذا الباب مع </w:t>
      </w:r>
      <w:r w:rsidR="00777DCB" w:rsidRPr="00A52585">
        <w:rPr>
          <w:rFonts w:hint="cs"/>
          <w:bCs/>
          <w:rtl/>
        </w:rPr>
        <w:lastRenderedPageBreak/>
        <w:t>اعتقادهم بأجمعهم أن الله واحد لا يجوز عليه التبعيض</w:t>
      </w:r>
      <w:r w:rsidR="00DB731D" w:rsidRPr="00A52585">
        <w:rPr>
          <w:rFonts w:hint="cs"/>
          <w:bCs/>
          <w:rtl/>
        </w:rPr>
        <w:t>،</w:t>
      </w:r>
      <w:r w:rsidR="00777DCB" w:rsidRPr="00A52585">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DB731D" w:rsidRPr="00A52585">
        <w:rPr>
          <w:rFonts w:hint="cs"/>
          <w:rtl/>
        </w:rPr>
        <w:t>،</w:t>
      </w:r>
      <w:r w:rsidR="00777DCB" w:rsidRPr="00A52585">
        <w:rPr>
          <w:rFonts w:hint="cs"/>
          <w:rtl/>
        </w:rPr>
        <w:t xml:space="preserve"> </w:t>
      </w:r>
      <w:r w:rsidR="00777DCB" w:rsidRPr="00A52585">
        <w:rPr>
          <w:rFonts w:hint="cs"/>
          <w:bCs/>
          <w:rtl/>
        </w:rPr>
        <w:t>وهذا مذهب الحنابلة</w:t>
      </w:r>
      <w:r w:rsidR="00DB731D" w:rsidRPr="00A52585">
        <w:rPr>
          <w:rFonts w:hint="cs"/>
          <w:bCs/>
          <w:rtl/>
        </w:rPr>
        <w:t>،</w:t>
      </w:r>
      <w:r w:rsidR="00777DCB" w:rsidRPr="00A52585">
        <w:rPr>
          <w:rFonts w:hint="cs"/>
          <w:rtl/>
        </w:rPr>
        <w:t xml:space="preserve"> </w:t>
      </w:r>
      <w:r w:rsidR="00777DCB" w:rsidRPr="00A52585">
        <w:rPr>
          <w:rFonts w:hint="cs"/>
          <w:bCs/>
          <w:rtl/>
        </w:rPr>
        <w:t>قال الخطابي</w:t>
      </w:r>
      <w:r w:rsidR="00777DCB" w:rsidRPr="00A52585">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Pr="00A52585">
        <w:rPr>
          <w:rFonts w:hint="cs"/>
          <w:rtl/>
        </w:rPr>
        <w:t xml:space="preserve"> </w:t>
      </w:r>
      <w:r w:rsidR="00777DCB" w:rsidRPr="00A52585">
        <w:rPr>
          <w:rFonts w:hint="cs"/>
          <w:bCs/>
          <w:rtl/>
        </w:rPr>
        <w:t>وقال بعض أهل التأويل</w:t>
      </w:r>
      <w:r w:rsidR="00777DCB" w:rsidRPr="00A52585">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DB731D" w:rsidRPr="00A52585">
        <w:rPr>
          <w:rFonts w:hint="cs"/>
          <w:rtl/>
        </w:rPr>
        <w:t>،</w:t>
      </w:r>
      <w:r w:rsidRPr="00A52585">
        <w:rPr>
          <w:rFonts w:hint="cs"/>
          <w:rtl/>
        </w:rPr>
        <w:t xml:space="preserve"> </w:t>
      </w:r>
      <w:r w:rsidR="00777DCB" w:rsidRPr="00A52585">
        <w:rPr>
          <w:rFonts w:hint="cs"/>
          <w:bCs/>
          <w:rtl/>
        </w:rPr>
        <w:t>وقال بعضهم هو لبيان عظمة الله وجلاله وقدرته وأن المكونات كلها منقادة لإرادته ومسخرات بأمره</w:t>
      </w:r>
      <w:r w:rsidR="00DB731D" w:rsidRPr="00A52585">
        <w:rPr>
          <w:rFonts w:hint="cs"/>
          <w:bCs/>
          <w:rtl/>
        </w:rPr>
        <w:t>،</w:t>
      </w:r>
      <w:r w:rsidR="00777DCB" w:rsidRPr="00A52585">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777DCB" w:rsidRPr="00A52585">
        <w:rPr>
          <w:rFonts w:hint="cs"/>
          <w:rtl/>
        </w:rPr>
        <w:t xml:space="preserve"> " [أقاويل الثقات ج: 1 ص: 149إلى 158] أهـــ</w:t>
      </w:r>
      <w:r w:rsidRPr="00A52585">
        <w:rPr>
          <w:rFonts w:hint="cs"/>
          <w:rtl/>
        </w:rPr>
        <w:t xml:space="preserve"> </w:t>
      </w:r>
    </w:p>
    <w:p w14:paraId="3A941216" w14:textId="77777777" w:rsidR="00777DCB" w:rsidRPr="00A52585" w:rsidRDefault="00777DCB" w:rsidP="0002035C">
      <w:pPr>
        <w:rPr>
          <w:rtl/>
        </w:rPr>
      </w:pPr>
      <w:r w:rsidRPr="00A52585">
        <w:rPr>
          <w:rFonts w:hint="cs"/>
          <w:rtl/>
        </w:rPr>
        <w:t xml:space="preserve">*** </w:t>
      </w:r>
    </w:p>
    <w:p w14:paraId="5D86B9A5" w14:textId="77777777" w:rsidR="00777DCB" w:rsidRPr="00A52585" w:rsidRDefault="00777DCB" w:rsidP="0002035C">
      <w:pPr>
        <w:rPr>
          <w:b/>
          <w:rtl/>
          <w:lang w:bidi="ar-KW"/>
        </w:rPr>
      </w:pPr>
    </w:p>
    <w:p w14:paraId="148CDF1D" w14:textId="77777777" w:rsidR="00777DCB" w:rsidRPr="00A52585" w:rsidRDefault="00777DCB" w:rsidP="0002035C">
      <w:pPr>
        <w:rPr>
          <w:b/>
          <w:rtl/>
          <w:lang w:bidi="ar-KW"/>
        </w:rPr>
      </w:pPr>
    </w:p>
    <w:p w14:paraId="3C67E21E" w14:textId="5568A476" w:rsidR="00777DCB" w:rsidRPr="00A52585" w:rsidRDefault="00A52585" w:rsidP="00A52585">
      <w:pPr>
        <w:pStyle w:val="1"/>
        <w:rPr>
          <w:u w:val="none"/>
          <w:rtl/>
          <w:lang w:bidi="ar-KW"/>
        </w:rPr>
      </w:pPr>
      <w:r w:rsidRPr="00A52585">
        <w:rPr>
          <w:rFonts w:hint="cs"/>
          <w:u w:val="none"/>
          <w:rtl/>
          <w:lang w:bidi="ar-KW"/>
        </w:rPr>
        <w:lastRenderedPageBreak/>
        <w:t>ا</w:t>
      </w:r>
      <w:r w:rsidR="00777DCB" w:rsidRPr="00A52585">
        <w:rPr>
          <w:u w:val="none"/>
          <w:rtl/>
          <w:lang w:bidi="ar-KW"/>
        </w:rPr>
        <w:t>لفصل الخامس</w:t>
      </w:r>
      <w:r w:rsidRPr="00A52585">
        <w:rPr>
          <w:rFonts w:hint="cs"/>
          <w:u w:val="none"/>
          <w:rtl/>
          <w:lang w:bidi="ar-KW"/>
        </w:rPr>
        <w:t xml:space="preserve"> </w:t>
      </w:r>
      <w:r w:rsidR="00777DCB" w:rsidRPr="00A52585">
        <w:rPr>
          <w:u w:val="none"/>
          <w:rtl/>
          <w:lang w:bidi="ar-KW"/>
        </w:rPr>
        <w:t>دراسة بلاغة القرآن فقه عظيم وفتح مبين لعلم</w:t>
      </w:r>
      <w:r w:rsidRPr="00A52585">
        <w:rPr>
          <w:rFonts w:hint="cs"/>
          <w:u w:val="none"/>
          <w:rtl/>
          <w:lang w:bidi="ar-KW"/>
        </w:rPr>
        <w:t xml:space="preserve"> </w:t>
      </w:r>
      <w:r w:rsidR="00777DCB" w:rsidRPr="00A52585">
        <w:rPr>
          <w:u w:val="none"/>
          <w:rtl/>
          <w:lang w:bidi="ar-KW"/>
        </w:rPr>
        <w:t>التقديس والتنزيه</w:t>
      </w:r>
      <w:r w:rsidRPr="00A52585">
        <w:rPr>
          <w:rFonts w:hint="cs"/>
          <w:u w:val="none"/>
          <w:rtl/>
          <w:lang w:bidi="ar-KW"/>
        </w:rPr>
        <w:t xml:space="preserve"> </w:t>
      </w:r>
      <w:r w:rsidR="00777DCB" w:rsidRPr="00A52585">
        <w:rPr>
          <w:rFonts w:hint="cs"/>
          <w:u w:val="none"/>
          <w:rtl/>
          <w:lang w:bidi="ar-KW"/>
        </w:rPr>
        <w:t>وحاجز متين أمام شبه التشبيه والتجسيم</w:t>
      </w:r>
    </w:p>
    <w:p w14:paraId="3FE548BF" w14:textId="77777777" w:rsidR="00777DCB" w:rsidRPr="00A52585" w:rsidRDefault="00777DCB" w:rsidP="0002035C">
      <w:pPr>
        <w:rPr>
          <w:rtl/>
        </w:rPr>
      </w:pPr>
    </w:p>
    <w:p w14:paraId="5A249BAE" w14:textId="04AAFB3F" w:rsidR="00777DCB" w:rsidRPr="00A52585" w:rsidRDefault="00777DCB" w:rsidP="0002035C">
      <w:r w:rsidRPr="00A52585">
        <w:rPr>
          <w:rFonts w:eastAsia="Times New Roman" w:hint="cs"/>
          <w:bCs/>
          <w:rtl/>
        </w:rPr>
        <w:t>القرآن كتاب عربي مبين نزل بلسان عربي مبين</w:t>
      </w:r>
      <w:r w:rsidR="00DB731D" w:rsidRPr="00A52585">
        <w:rPr>
          <w:rFonts w:eastAsia="Times New Roman" w:hint="cs"/>
          <w:bCs/>
          <w:rtl/>
        </w:rPr>
        <w:t>،</w:t>
      </w:r>
      <w:r w:rsidRPr="00A52585">
        <w:rPr>
          <w:rFonts w:eastAsia="Times New Roman" w:hint="cs"/>
          <w:bCs/>
          <w:rtl/>
        </w:rPr>
        <w:t xml:space="preserve"> </w:t>
      </w:r>
      <w:r w:rsidRPr="00A52585">
        <w:rPr>
          <w:rFonts w:eastAsia="Times New Roman" w:hint="cs"/>
          <w:rtl/>
        </w:rPr>
        <w:t>قال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لِسَانُ الَّذِي يُلْحِدُونَ إِلَيْهِ أَعْجَمِيٌّ وَهَذَا لِسَانٌ عَرَبِيٌّ مُبِينٌ</w:t>
      </w:r>
      <w:r w:rsidR="0002035C" w:rsidRPr="00A52585">
        <w:rPr>
          <w:rFonts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النحل</w:t>
      </w:r>
      <w:r w:rsidR="0002035C" w:rsidRPr="00A52585">
        <w:rPr>
          <w:rFonts w:eastAsia="Times New Roman" w:hint="cs"/>
          <w:rtl/>
        </w:rPr>
        <w:t>:</w:t>
      </w:r>
      <w:r w:rsidRPr="00A52585">
        <w:rPr>
          <w:rFonts w:eastAsia="Times New Roman" w:hint="cs"/>
          <w:rtl/>
        </w:rPr>
        <w:t xml:space="preserve"> 103</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وقال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وَإِنَّهُ لَتَنْزِيلُ رَبِّ الْعَالَمِينَ * نَزَلَ بِهِ الرُّوحُ الْأَمِينُ * عَلَى قَلْبِكَ لِتَكُونَ مِنَ الْمُنْذِرِينَ * بِلِسَانٍ عَرَبِيٍّ مُبِينٍ</w:t>
      </w:r>
      <w:r w:rsidR="0002035C" w:rsidRPr="00A52585">
        <w:rPr>
          <w:rFonts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الشعراء</w:t>
      </w:r>
      <w:r w:rsidR="0002035C" w:rsidRPr="00A52585">
        <w:rPr>
          <w:rFonts w:eastAsia="Times New Roman" w:hint="cs"/>
          <w:rtl/>
        </w:rPr>
        <w:t>:</w:t>
      </w:r>
      <w:r w:rsidRPr="00A52585">
        <w:rPr>
          <w:rFonts w:eastAsia="Times New Roman" w:hint="cs"/>
          <w:rtl/>
        </w:rPr>
        <w:t xml:space="preserve"> 192 إلى</w:t>
      </w:r>
      <w:r w:rsidR="0002035C" w:rsidRPr="00A52585">
        <w:rPr>
          <w:rFonts w:eastAsia="Times New Roman" w:hint="cs"/>
          <w:rtl/>
        </w:rPr>
        <w:t xml:space="preserve"> </w:t>
      </w:r>
      <w:r w:rsidRPr="00A52585">
        <w:rPr>
          <w:rFonts w:eastAsia="Times New Roman" w:hint="cs"/>
          <w:rtl/>
        </w:rPr>
        <w:t>195]</w:t>
      </w:r>
      <w:r w:rsidR="00DB731D" w:rsidRPr="00A52585">
        <w:rPr>
          <w:rFonts w:eastAsia="Times New Roman" w:hint="cs"/>
          <w:rtl/>
        </w:rPr>
        <w:t>،</w:t>
      </w:r>
      <w:r w:rsidR="0002035C" w:rsidRPr="00A52585">
        <w:rPr>
          <w:rFonts w:eastAsia="Times New Roman" w:hint="cs"/>
          <w:rtl/>
        </w:rPr>
        <w:t xml:space="preserve"> </w:t>
      </w:r>
      <w:r w:rsidRPr="00A52585">
        <w:rPr>
          <w:rFonts w:eastAsia="Times New Roman" w:hint="cs"/>
          <w:rtl/>
        </w:rPr>
        <w:t>وقال تعالى</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02035C" w:rsidRPr="00A52585">
        <w:rPr>
          <w:rFonts w:hint="cs"/>
          <w:rtl/>
        </w:rPr>
        <w:t>}</w:t>
      </w:r>
      <w:r w:rsidRPr="00A52585">
        <w:rPr>
          <w:rFonts w:hint="cs"/>
          <w:rtl/>
        </w:rPr>
        <w:t xml:space="preserve"> </w:t>
      </w:r>
      <w:r w:rsidR="0002035C" w:rsidRPr="00A52585">
        <w:rPr>
          <w:rFonts w:hint="cs"/>
          <w:rtl/>
        </w:rPr>
        <w:t>[</w:t>
      </w:r>
      <w:r w:rsidRPr="00A52585">
        <w:rPr>
          <w:rFonts w:eastAsia="Times New Roman" w:hint="cs"/>
          <w:rtl/>
        </w:rPr>
        <w:t>فصلت</w:t>
      </w:r>
      <w:r w:rsidR="0002035C" w:rsidRPr="00A52585">
        <w:rPr>
          <w:rFonts w:eastAsia="Times New Roman" w:hint="cs"/>
          <w:rtl/>
        </w:rPr>
        <w:t>:</w:t>
      </w:r>
      <w:r w:rsidRPr="00A52585">
        <w:rPr>
          <w:rFonts w:eastAsia="Times New Roman" w:hint="cs"/>
          <w:rtl/>
        </w:rPr>
        <w:t xml:space="preserve"> 44</w:t>
      </w:r>
      <w:r w:rsidR="0002035C" w:rsidRPr="00A52585">
        <w:rPr>
          <w:rFonts w:eastAsia="Times New Roman" w:hint="cs"/>
          <w:rtl/>
        </w:rPr>
        <w:t>]</w:t>
      </w:r>
      <w:r w:rsidR="00DB731D" w:rsidRPr="00A52585">
        <w:rPr>
          <w:rFonts w:eastAsia="Times New Roman" w:hint="cs"/>
          <w:rtl/>
        </w:rPr>
        <w:t>،</w:t>
      </w:r>
      <w:r w:rsidRPr="00A52585">
        <w:rPr>
          <w:rFonts w:eastAsia="Times New Roman" w:hint="cs"/>
          <w:rtl/>
        </w:rPr>
        <w:t xml:space="preserve"> </w:t>
      </w:r>
      <w:r w:rsidRPr="00A52585">
        <w:rPr>
          <w:rFonts w:eastAsia="Times New Roman" w:hint="cs"/>
          <w:bCs/>
          <w:rtl/>
        </w:rPr>
        <w:t>ما كان من استعمالات العربية من أساليب البلاغة والبيان</w:t>
      </w:r>
      <w:r w:rsidR="00DB731D" w:rsidRPr="00A52585">
        <w:rPr>
          <w:rFonts w:eastAsia="Times New Roman" w:hint="cs"/>
          <w:bCs/>
          <w:rtl/>
        </w:rPr>
        <w:t>،</w:t>
      </w:r>
      <w:r w:rsidRPr="00A52585">
        <w:rPr>
          <w:rFonts w:eastAsia="Times New Roman" w:hint="cs"/>
          <w:bCs/>
          <w:rtl/>
        </w:rPr>
        <w:t xml:space="preserve"> فهو لاشك يسري على القرآن لأنه نزل بلسان عربي مبين</w:t>
      </w:r>
      <w:r w:rsidR="00DB731D" w:rsidRPr="00A52585">
        <w:rPr>
          <w:rFonts w:eastAsia="Times New Roman" w:hint="cs"/>
          <w:bCs/>
          <w:rtl/>
        </w:rPr>
        <w:t>،</w:t>
      </w:r>
      <w:r w:rsidRPr="00A52585">
        <w:rPr>
          <w:rFonts w:eastAsia="Times New Roman" w:hint="cs"/>
          <w:rtl/>
        </w:rPr>
        <w:t xml:space="preserve"> ولما كانت البلاغة هو ذروة البيان العربي</w:t>
      </w:r>
      <w:r w:rsidR="00DB731D" w:rsidRPr="00A52585">
        <w:rPr>
          <w:rFonts w:eastAsia="Times New Roman" w:hint="cs"/>
          <w:rtl/>
        </w:rPr>
        <w:t>،</w:t>
      </w:r>
      <w:r w:rsidRPr="00A52585">
        <w:rPr>
          <w:rFonts w:eastAsia="Times New Roman" w:hint="cs"/>
          <w:rtl/>
        </w:rPr>
        <w:t xml:space="preserve"> فلا غرابة في أن يكون القرآن الكريم هو مصدر البلاغة التي تحدى الله تعالى بها بلغاء العرب وفصحائهم</w:t>
      </w:r>
      <w:r w:rsidR="00DB731D" w:rsidRPr="00A52585">
        <w:rPr>
          <w:rFonts w:eastAsia="Times New Roman" w:hint="cs"/>
          <w:rtl/>
        </w:rPr>
        <w:t>،</w:t>
      </w:r>
      <w:r w:rsidRPr="00A52585">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DB731D" w:rsidRPr="00A52585">
        <w:rPr>
          <w:rFonts w:eastAsia="Times New Roman" w:hint="cs"/>
          <w:rtl/>
        </w:rPr>
        <w:t>،</w:t>
      </w:r>
      <w:r w:rsidRPr="00A52585">
        <w:rPr>
          <w:rFonts w:eastAsia="Times New Roman" w:hint="cs"/>
          <w:rtl/>
        </w:rPr>
        <w:t xml:space="preserve"> كان القرآن الكريم لا تكاد تخلو منه سورة من المجاز</w:t>
      </w:r>
      <w:r w:rsidR="00DB731D" w:rsidRPr="00A52585">
        <w:rPr>
          <w:rFonts w:eastAsia="Times New Roman" w:hint="cs"/>
          <w:rtl/>
        </w:rPr>
        <w:t>،</w:t>
      </w:r>
      <w:r w:rsidRPr="00A52585">
        <w:rPr>
          <w:rFonts w:eastAsia="Times New Roman" w:hint="cs"/>
          <w:rtl/>
        </w:rPr>
        <w:t xml:space="preserve"> وهذا ما دعا عبد القاهر أن يقول</w:t>
      </w:r>
      <w:r w:rsidR="0002035C" w:rsidRPr="00A52585">
        <w:rPr>
          <w:rFonts w:eastAsia="Times New Roman" w:hint="cs"/>
          <w:rtl/>
        </w:rPr>
        <w:t>:</w:t>
      </w:r>
      <w:r w:rsidRPr="00A52585">
        <w:rPr>
          <w:rFonts w:eastAsia="Times New Roman" w:hint="cs"/>
          <w:rtl/>
        </w:rPr>
        <w:t xml:space="preserve"> </w:t>
      </w:r>
      <w:r w:rsidR="0002035C" w:rsidRPr="00A52585">
        <w:rPr>
          <w:rFonts w:hint="cs"/>
          <w:rtl/>
        </w:rPr>
        <w:t>(</w:t>
      </w:r>
      <w:r w:rsidRPr="00A52585">
        <w:rPr>
          <w:rFonts w:hint="cs"/>
          <w:rtl/>
        </w:rPr>
        <w:t>ومن قدح في المجاز</w:t>
      </w:r>
      <w:r w:rsidR="00DB731D" w:rsidRPr="00A52585">
        <w:rPr>
          <w:rFonts w:hint="cs"/>
          <w:rtl/>
        </w:rPr>
        <w:t>،</w:t>
      </w:r>
      <w:r w:rsidRPr="00A52585">
        <w:rPr>
          <w:rFonts w:hint="cs"/>
          <w:rtl/>
        </w:rPr>
        <w:t xml:space="preserve"> وهم أن يصفه بغير الصدق</w:t>
      </w:r>
      <w:r w:rsidR="00DB731D" w:rsidRPr="00A52585">
        <w:rPr>
          <w:rFonts w:hint="cs"/>
          <w:rtl/>
        </w:rPr>
        <w:t>،</w:t>
      </w:r>
      <w:r w:rsidRPr="00A52585">
        <w:rPr>
          <w:rFonts w:hint="cs"/>
          <w:rtl/>
        </w:rPr>
        <w:t xml:space="preserve"> فقد خبط خبطا عظيما</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sz w:val="19"/>
          <w:szCs w:val="19"/>
          <w:rtl/>
        </w:rPr>
        <w:t>أسرار البلاغة</w:t>
      </w:r>
      <w:r w:rsidR="0002035C" w:rsidRPr="00A52585">
        <w:rPr>
          <w:rFonts w:hint="cs"/>
          <w:sz w:val="19"/>
          <w:szCs w:val="19"/>
          <w:rtl/>
        </w:rPr>
        <w:t>:</w:t>
      </w:r>
      <w:r w:rsidRPr="00A52585">
        <w:rPr>
          <w:rFonts w:hint="cs"/>
          <w:sz w:val="19"/>
          <w:szCs w:val="19"/>
          <w:rtl/>
        </w:rPr>
        <w:t xml:space="preserve"> صـ ٣٦١</w:t>
      </w:r>
      <w:r w:rsidR="0002035C" w:rsidRPr="00A52585">
        <w:rPr>
          <w:rFonts w:hint="cs"/>
          <w:sz w:val="19"/>
          <w:szCs w:val="19"/>
          <w:rtl/>
        </w:rPr>
        <w:t>]</w:t>
      </w:r>
      <w:r w:rsidR="00DB731D" w:rsidRPr="00A52585">
        <w:rPr>
          <w:rFonts w:hint="cs"/>
          <w:sz w:val="19"/>
          <w:szCs w:val="19"/>
          <w:rtl/>
        </w:rPr>
        <w:t>،</w:t>
      </w:r>
      <w:r w:rsidRPr="00A52585">
        <w:rPr>
          <w:rFonts w:hint="cs"/>
          <w:sz w:val="19"/>
          <w:szCs w:val="19"/>
          <w:rtl/>
        </w:rPr>
        <w:t xml:space="preserve"> </w:t>
      </w:r>
      <w:r w:rsidRPr="00A52585">
        <w:rPr>
          <w:rFonts w:hint="cs"/>
          <w:bCs/>
          <w:sz w:val="19"/>
          <w:szCs w:val="19"/>
          <w:rtl/>
        </w:rPr>
        <w:t>وقال الزركشي</w:t>
      </w:r>
      <w:r w:rsidR="0002035C" w:rsidRPr="00A52585">
        <w:rPr>
          <w:rFonts w:hint="cs"/>
          <w:sz w:val="19"/>
          <w:szCs w:val="19"/>
          <w:rtl/>
        </w:rPr>
        <w:t>:</w:t>
      </w:r>
      <w:r w:rsidRPr="00A52585">
        <w:rPr>
          <w:rFonts w:hint="cs"/>
          <w:sz w:val="19"/>
          <w:szCs w:val="19"/>
          <w:rtl/>
        </w:rPr>
        <w:t xml:space="preserve"> </w:t>
      </w:r>
      <w:r w:rsidR="0002035C" w:rsidRPr="00A52585">
        <w:rPr>
          <w:rFonts w:hint="cs"/>
          <w:rtl/>
        </w:rPr>
        <w:t>(</w:t>
      </w:r>
      <w:r w:rsidRPr="00A52585">
        <w:rPr>
          <w:rFonts w:hint="cs"/>
          <w:rtl/>
        </w:rPr>
        <w:t>ولو وجب خلو القرآن من المجاز لوجب خلوه من التوكيد والحذف وتثنية القصص وغيره</w:t>
      </w:r>
      <w:r w:rsidR="00DB731D" w:rsidRPr="00A52585">
        <w:rPr>
          <w:rFonts w:hint="cs"/>
          <w:rtl/>
        </w:rPr>
        <w:t>،</w:t>
      </w:r>
      <w:r w:rsidRPr="00A52585">
        <w:rPr>
          <w:rFonts w:hint="cs"/>
          <w:rtl/>
        </w:rPr>
        <w:t xml:space="preserve"> ولو سقط المجاز من القرآن سقط شطر الحسن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البرهان في علوم القرآن</w:t>
      </w:r>
      <w:r w:rsidR="0002035C" w:rsidRPr="00A52585">
        <w:rPr>
          <w:rFonts w:hint="cs"/>
          <w:rtl/>
        </w:rPr>
        <w:t>:</w:t>
      </w:r>
      <w:r w:rsidRPr="00A52585">
        <w:rPr>
          <w:rFonts w:hint="cs"/>
          <w:rtl/>
        </w:rPr>
        <w:t xml:space="preserve"> ٢/٢٥٥</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وقال السيوطي</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02035C" w:rsidRPr="00A52585">
        <w:rPr>
          <w:rFonts w:hint="cs"/>
          <w:rtl/>
        </w:rPr>
        <w:t>)</w:t>
      </w:r>
      <w:r w:rsidRPr="00A52585">
        <w:rPr>
          <w:rFonts w:hint="cs"/>
          <w:rtl/>
        </w:rPr>
        <w:t xml:space="preserve"> أهـ [الإتقان ج: 2 ص: 97</w:t>
      </w:r>
      <w:r w:rsidR="0002035C" w:rsidRPr="00A52585">
        <w:rPr>
          <w:rFonts w:hint="cs"/>
          <w:rtl/>
        </w:rPr>
        <w:t>]</w:t>
      </w:r>
      <w:r w:rsidR="00DB731D" w:rsidRPr="00A52585">
        <w:rPr>
          <w:rFonts w:hint="cs"/>
          <w:rtl/>
        </w:rPr>
        <w:t>،</w:t>
      </w:r>
      <w:r w:rsidRPr="00A52585">
        <w:rPr>
          <w:rFonts w:hint="cs"/>
          <w:rtl/>
        </w:rPr>
        <w:t xml:space="preserve"> </w:t>
      </w:r>
      <w:r w:rsidRPr="00A52585">
        <w:rPr>
          <w:rFonts w:eastAsia="Times New Roman" w:hint="cs"/>
          <w:bCs/>
          <w:rtl/>
        </w:rPr>
        <w:t>وقال الشوكاني</w:t>
      </w:r>
      <w:r w:rsidR="0002035C" w:rsidRPr="00A52585">
        <w:rPr>
          <w:rFonts w:eastAsia="Times New Roman" w:hint="cs"/>
          <w:b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 xml:space="preserve">المجاز واقع في لغة العرب عند جمهور أهل العلم وخالف في ذلك أبو إسحاق </w:t>
      </w:r>
      <w:proofErr w:type="spellStart"/>
      <w:r w:rsidRPr="00A52585">
        <w:rPr>
          <w:rFonts w:eastAsia="Times New Roman" w:hint="cs"/>
          <w:rtl/>
        </w:rPr>
        <w:t>الإسفرائيني</w:t>
      </w:r>
      <w:proofErr w:type="spellEnd"/>
      <w:r w:rsidR="00DB731D" w:rsidRPr="00A52585">
        <w:rPr>
          <w:rFonts w:eastAsia="Times New Roman" w:hint="cs"/>
          <w:rtl/>
        </w:rPr>
        <w:t>،</w:t>
      </w:r>
      <w:r w:rsidRPr="00A52585">
        <w:rPr>
          <w:rFonts w:eastAsia="Times New Roman" w:hint="cs"/>
          <w:rtl/>
          <w:lang w:bidi="ar-KW"/>
        </w:rPr>
        <w:t xml:space="preserve"> </w:t>
      </w:r>
      <w:r w:rsidRPr="00A52585">
        <w:rPr>
          <w:rFonts w:eastAsia="Times New Roman" w:hint="cs"/>
          <w:rtl/>
        </w:rPr>
        <w:t xml:space="preserve">وخلافه هذا يدل </w:t>
      </w:r>
      <w:r w:rsidRPr="00A52585">
        <w:rPr>
          <w:rFonts w:eastAsia="Times New Roman" w:hint="cs"/>
          <w:rtl/>
        </w:rPr>
        <w:lastRenderedPageBreak/>
        <w:t>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DB731D" w:rsidRPr="00A52585">
        <w:rPr>
          <w:rFonts w:eastAsia="Times New Roman" w:hint="cs"/>
          <w:rtl/>
        </w:rPr>
        <w:t>،</w:t>
      </w:r>
      <w:r w:rsidR="00897A24" w:rsidRPr="00A52585">
        <w:rPr>
          <w:rFonts w:eastAsia="Times New Roman" w:hint="cs"/>
          <w:rtl/>
        </w:rPr>
        <w:t>.</w:t>
      </w:r>
      <w:r w:rsidRPr="00A52585">
        <w:rPr>
          <w:rFonts w:eastAsia="Times New Roman" w:hint="cs"/>
          <w:rtl/>
        </w:rPr>
        <w:t>.</w:t>
      </w:r>
      <w:r w:rsidR="0002035C" w:rsidRPr="00A52585">
        <w:rPr>
          <w:rFonts w:eastAsia="Times New Roman" w:hint="cs"/>
          <w:rtl/>
        </w:rPr>
        <w:t xml:space="preserve"> </w:t>
      </w:r>
      <w:r w:rsidRPr="00A52585">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Pr="00A52585">
        <w:rPr>
          <w:rFonts w:eastAsia="Times New Roman" w:hint="cs"/>
          <w:rtl/>
        </w:rPr>
        <w:t>يأباه</w:t>
      </w:r>
      <w:proofErr w:type="spellEnd"/>
      <w:r w:rsidRPr="00A52585">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02035C" w:rsidRPr="00A52585">
        <w:rPr>
          <w:rFonts w:eastAsia="Times New Roman" w:hint="cs"/>
          <w:rtl/>
        </w:rPr>
        <w:t>)</w:t>
      </w:r>
      <w:r w:rsidRPr="00A52585">
        <w:rPr>
          <w:rFonts w:eastAsia="Times New Roman" w:hint="cs"/>
          <w:rtl/>
        </w:rPr>
        <w:t xml:space="preserve"> </w:t>
      </w:r>
      <w:r w:rsidR="0002035C" w:rsidRPr="00A52585">
        <w:rPr>
          <w:rFonts w:eastAsia="Times New Roman" w:hint="cs"/>
          <w:rtl/>
        </w:rPr>
        <w:t>[</w:t>
      </w:r>
      <w:r w:rsidRPr="00A52585">
        <w:rPr>
          <w:rFonts w:eastAsia="Times New Roman" w:hint="cs"/>
          <w:rtl/>
        </w:rPr>
        <w:t>إرشاد الفحول</w:t>
      </w:r>
      <w:r w:rsidR="0002035C" w:rsidRPr="00A52585">
        <w:rPr>
          <w:rFonts w:eastAsia="Times New Roman" w:hint="cs"/>
          <w:rtl/>
        </w:rPr>
        <w:t>:</w:t>
      </w:r>
      <w:r w:rsidRPr="00A52585">
        <w:rPr>
          <w:rFonts w:eastAsia="Times New Roman" w:hint="cs"/>
          <w:rtl/>
        </w:rPr>
        <w:t xml:space="preserve"> 50</w:t>
      </w:r>
      <w:r w:rsidR="00DB731D" w:rsidRPr="00A52585">
        <w:rPr>
          <w:rFonts w:eastAsia="Times New Roman" w:hint="cs"/>
          <w:rtl/>
        </w:rPr>
        <w:t>،</w:t>
      </w:r>
      <w:r w:rsidRPr="00A52585">
        <w:rPr>
          <w:rFonts w:eastAsia="Times New Roman" w:hint="cs"/>
          <w:rtl/>
        </w:rPr>
        <w:t xml:space="preserve"> 51</w:t>
      </w:r>
      <w:r w:rsidR="0002035C" w:rsidRPr="00A52585">
        <w:rPr>
          <w:rFonts w:eastAsia="Times New Roman" w:hint="cs"/>
          <w:rtl/>
        </w:rPr>
        <w:t>]</w:t>
      </w:r>
      <w:r w:rsidR="00DB731D" w:rsidRPr="00A52585">
        <w:rPr>
          <w:rFonts w:eastAsia="Times New Roman" w:hint="cs"/>
          <w:rtl/>
        </w:rPr>
        <w:t>،</w:t>
      </w:r>
      <w:r w:rsidRPr="00A52585">
        <w:rPr>
          <w:rFonts w:hint="cs"/>
          <w:rtl/>
        </w:rPr>
        <w:t xml:space="preserve"> </w:t>
      </w:r>
      <w:r w:rsidRPr="00A52585">
        <w:rPr>
          <w:rFonts w:eastAsia="Times New Roman" w:hint="cs"/>
          <w:bCs/>
          <w:rtl/>
        </w:rPr>
        <w:t>وقال الجرجاني في دلائل الاعجاز في علم المعاني</w:t>
      </w:r>
      <w:r w:rsidR="0002035C" w:rsidRPr="00A52585">
        <w:rPr>
          <w:rFonts w:eastAsia="Times New Roman" w:hint="cs"/>
          <w:bCs/>
          <w:rtl/>
        </w:rPr>
        <w:t>:</w:t>
      </w:r>
      <w:r w:rsidRPr="00A52585">
        <w:rPr>
          <w:rFonts w:eastAsia="Times New Roman" w:hint="cs"/>
          <w:bCs/>
          <w:rtl/>
        </w:rPr>
        <w:t xml:space="preserve"> </w:t>
      </w:r>
      <w:r w:rsidR="0002035C" w:rsidRPr="00A52585">
        <w:rPr>
          <w:rFonts w:eastAsia="Times New Roman" w:hint="cs"/>
          <w:rtl/>
        </w:rPr>
        <w:t>(</w:t>
      </w:r>
      <w:r w:rsidRPr="00A52585">
        <w:rPr>
          <w:rFonts w:hint="cs"/>
          <w:rtl/>
        </w:rPr>
        <w:t>ثم إِنه اتّفاقٌ منَ العقلاء أن الوصف الذي به تَنَاهى القرآنُ إِلى حَدٍّ عَجِزَ عنه المخلوقون هو الفصاحةُ والبلاغة</w:t>
      </w:r>
      <w:r w:rsidR="00DB731D" w:rsidRPr="00A52585">
        <w:rPr>
          <w:rFonts w:hint="cs"/>
          <w:rtl/>
        </w:rPr>
        <w:t>،</w:t>
      </w:r>
      <w:r w:rsidR="00897A24" w:rsidRPr="00A52585">
        <w:rPr>
          <w:rFonts w:hint="cs"/>
          <w:rtl/>
        </w:rPr>
        <w:t>.</w:t>
      </w:r>
      <w:r w:rsidRPr="00A52585">
        <w:rPr>
          <w:rFonts w:hint="cs"/>
          <w:rtl/>
        </w:rPr>
        <w:t>. ودَعْ هذا وهَبْ أنه لا يلزمُ شيءٌ منه</w:t>
      </w:r>
      <w:r w:rsidR="00DB731D" w:rsidRPr="00A52585">
        <w:rPr>
          <w:rFonts w:hint="cs"/>
          <w:rtl/>
        </w:rPr>
        <w:t>،</w:t>
      </w:r>
      <w:r w:rsidR="0002035C" w:rsidRPr="00A52585">
        <w:rPr>
          <w:rFonts w:hint="cs"/>
          <w:rtl/>
        </w:rPr>
        <w:t xml:space="preserve"> </w:t>
      </w:r>
      <w:r w:rsidRPr="00A52585">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DB731D" w:rsidRPr="00A52585">
        <w:rPr>
          <w:rFonts w:hint="cs"/>
          <w:rtl/>
        </w:rPr>
        <w:t>،</w:t>
      </w:r>
      <w:r w:rsidR="0002035C" w:rsidRPr="00A52585">
        <w:rPr>
          <w:rFonts w:hint="cs"/>
          <w:rtl/>
        </w:rPr>
        <w:t xml:space="preserve"> </w:t>
      </w:r>
      <w:r w:rsidRPr="00A52585">
        <w:rPr>
          <w:rFonts w:hint="cs"/>
          <w:rtl/>
        </w:rPr>
        <w:t>فإِنكَ تراهم يجعلونَهما عنوانَ ما يذكرون وأولَ ما يُوردون وتراهم يذكرونَ من الاستعارة قولَه عزَّ وجل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واشْتَعَلَ الرأْسُ شيباً</w:t>
      </w:r>
      <w:r w:rsidR="0002035C"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وأُشْرِبُوا فِي قُلُوبِهِم العِجْلَ</w:t>
      </w:r>
      <w:r w:rsidR="0002035C" w:rsidRPr="00A52585">
        <w:rPr>
          <w:rFonts w:hint="cs"/>
          <w:rtl/>
        </w:rPr>
        <w:t>}</w:t>
      </w:r>
      <w:r w:rsidRPr="00A52585">
        <w:rPr>
          <w:rFonts w:hint="cs"/>
          <w:rtl/>
        </w:rPr>
        <w:t xml:space="preserve"> وقولَه عز و 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وآيةٌ لَهُمْ اللّيلُ نَسْلَخُ مِنْهُ النَّهَار} وقوله عز و 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فاصْدَعْ بِمَا تُؤمَرُ</w:t>
      </w:r>
      <w:r w:rsidR="0002035C"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فلما اسْتَيأسوا منه خَلَصوا نَجيَّاً</w:t>
      </w:r>
      <w:r w:rsidR="0002035C"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حَتَّى تَضَعَ الحَرْبُ أَوْزَارَهَا ؤ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فَما رَبِحَتْ تِجَارَتُهُمْ</w:t>
      </w:r>
      <w:r w:rsidR="0002035C" w:rsidRPr="00A52585">
        <w:rPr>
          <w:rFonts w:hint="cs"/>
          <w:rtl/>
        </w:rPr>
        <w:t>}</w:t>
      </w:r>
      <w:r w:rsidR="00DB731D" w:rsidRPr="00A52585">
        <w:rPr>
          <w:rFonts w:hint="cs"/>
          <w:rtl/>
        </w:rPr>
        <w:t>،</w:t>
      </w:r>
      <w:r w:rsidRPr="00A52585">
        <w:rPr>
          <w:rFonts w:hint="cs"/>
          <w:rtl/>
        </w:rPr>
        <w:t xml:space="preserve"> ومن الإيجاز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وإِمَّا تَخَافَنَّ مِنْ قومٍ خِيانةً فانْبذْ إِليهم عَلى سَوَاءٍ</w:t>
      </w:r>
      <w:r w:rsidR="0002035C"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ولا يُنْبِئُك مِثْلُ خَبِيرٍ</w:t>
      </w:r>
      <w:r w:rsidR="0002035C"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فشرِّدْ بِهم مِنْ خَلْفَهُمْ</w:t>
      </w:r>
      <w:r w:rsidR="0002035C" w:rsidRPr="00A52585">
        <w:rPr>
          <w:rFonts w:hint="cs"/>
          <w:rtl/>
        </w:rPr>
        <w:t>}</w:t>
      </w:r>
      <w:r w:rsidR="00DB731D" w:rsidRPr="00A52585">
        <w:rPr>
          <w:rFonts w:hint="cs"/>
          <w:rtl/>
        </w:rPr>
        <w:t>،</w:t>
      </w:r>
      <w:r w:rsidRPr="00A52585">
        <w:rPr>
          <w:rFonts w:hint="cs"/>
          <w:rtl/>
        </w:rPr>
        <w:t xml:space="preserve"> وتراهم على لسانٍ واحدٍ في أن المجازَ والإِيجازَ من الأركانِ في أمرِ الإِعجاز</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دلائل الإعجاز</w:t>
      </w:r>
      <w:r w:rsidR="0002035C" w:rsidRPr="00A52585">
        <w:rPr>
          <w:rFonts w:hint="cs"/>
          <w:rtl/>
        </w:rPr>
        <w:t>:</w:t>
      </w:r>
      <w:r w:rsidRPr="00A52585">
        <w:rPr>
          <w:rFonts w:hint="cs"/>
          <w:rtl/>
        </w:rPr>
        <w:t xml:space="preserve"> ج 1</w:t>
      </w:r>
      <w:r w:rsidR="00DB731D" w:rsidRPr="00A52585">
        <w:rPr>
          <w:rFonts w:hint="cs"/>
          <w:rtl/>
        </w:rPr>
        <w:t>،</w:t>
      </w:r>
      <w:r w:rsidRPr="00A52585">
        <w:rPr>
          <w:rFonts w:hint="cs"/>
          <w:rtl/>
        </w:rPr>
        <w:t xml:space="preserve"> صـ 378</w:t>
      </w:r>
      <w:r w:rsidR="00DB731D" w:rsidRPr="00A52585">
        <w:rPr>
          <w:rFonts w:hint="cs"/>
          <w:rtl/>
        </w:rPr>
        <w:t>،</w:t>
      </w:r>
      <w:r w:rsidRPr="00A52585">
        <w:rPr>
          <w:rFonts w:hint="cs"/>
          <w:rtl/>
        </w:rPr>
        <w:t xml:space="preserve"> 379</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lang w:bidi="ar-KW"/>
        </w:rPr>
        <w:t xml:space="preserve">والقرآن الكريم يمتلئ بالمجاز الذي </w:t>
      </w:r>
      <w:r w:rsidRPr="00A52585">
        <w:rPr>
          <w:rFonts w:hint="cs"/>
          <w:bCs/>
          <w:rtl/>
          <w:lang w:bidi="ar-KW"/>
        </w:rPr>
        <w:lastRenderedPageBreak/>
        <w:t>هو ذروة اللغة وسنام بلاغتها</w:t>
      </w:r>
      <w:r w:rsidR="00DB731D" w:rsidRPr="00A52585">
        <w:rPr>
          <w:rFonts w:hint="cs"/>
          <w:bCs/>
          <w:rtl/>
          <w:lang w:bidi="ar-KW"/>
        </w:rPr>
        <w:t>،</w:t>
      </w:r>
      <w:r w:rsidRPr="00A52585">
        <w:rPr>
          <w:rFonts w:hint="cs"/>
          <w:bCs/>
          <w:rtl/>
          <w:lang w:bidi="ar-KW"/>
        </w:rPr>
        <w:t xml:space="preserve"> ومن ذلك</w:t>
      </w:r>
      <w:r w:rsidR="0002035C" w:rsidRPr="00A52585">
        <w:rPr>
          <w:rFonts w:hint="cs"/>
          <w:bCs/>
          <w:rtl/>
          <w:lang w:bidi="ar-KW"/>
        </w:rPr>
        <w:t xml:space="preserve">: </w:t>
      </w:r>
      <w:r w:rsidRPr="00A52585">
        <w:rPr>
          <w:rFonts w:hint="cs"/>
          <w:bCs/>
          <w:rtl/>
          <w:lang w:bidi="ar-KW"/>
        </w:rPr>
        <w:t>التعبير عن الإيمان بالنور وعن الكفر بالظلمات</w:t>
      </w:r>
      <w:r w:rsidR="00DB731D" w:rsidRPr="00A52585">
        <w:rPr>
          <w:rFonts w:hint="cs"/>
          <w:rtl/>
          <w:lang w:bidi="ar-KW"/>
        </w:rPr>
        <w:t>،</w:t>
      </w:r>
      <w:r w:rsidRPr="00A52585">
        <w:rPr>
          <w:rFonts w:hint="cs"/>
          <w:rtl/>
          <w:lang w:bidi="ar-KW"/>
        </w:rPr>
        <w:t xml:space="preserve"> 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257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الـر كِتَابٌ أَنْزَلْنَاهُ إِلَيْكَ لِتُخْرِجَ النَّاسَ مِنَ الظُّلُمَاتِ إِلَى النُّورِ بِإِذْنِ رَبِّهِمْ إِلَى صِرَاطِ الْعَزِيزِ الْحَمِيدِ</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ابراهيم</w:t>
      </w:r>
      <w:r w:rsidR="0002035C" w:rsidRPr="00A52585">
        <w:rPr>
          <w:rFonts w:hint="cs"/>
          <w:rtl/>
        </w:rPr>
        <w:t>:</w:t>
      </w:r>
      <w:r w:rsidRPr="00A52585">
        <w:rPr>
          <w:rFonts w:hint="cs"/>
          <w:rtl/>
        </w:rPr>
        <w:t xml:space="preserve"> 1</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رَسُولًا يَتْلُو عَلَيْكُمْ آيَاتِ اللَّهِ مُبَيِّنَاتٍ لِيُخْرِجَ الَّذِينَ آمَنُوا وَعَمِلُوا الصَّالِحَاتِ مِنَ الظُّلُمَاتِ إِلَى النُّورِ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الطلاق</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 القرآن بالحبل لأنّ فيه النجاة</w:t>
      </w:r>
      <w:r w:rsidR="00DB731D" w:rsidRPr="00A52585">
        <w:rPr>
          <w:rFonts w:hint="cs"/>
          <w:b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وَاعْتَصِمُوا بِحَبْلِ اللَّهِ جَمِيعًا وَلَا تَفَرَّقُوا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103</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عنه بالنور لأنّ فيه الهداية</w:t>
      </w:r>
      <w:r w:rsidR="00DB731D" w:rsidRPr="00A52585">
        <w:rPr>
          <w:rFonts w:hint="cs"/>
          <w:b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الشورى</w:t>
      </w:r>
      <w:r w:rsidR="0002035C" w:rsidRPr="00A52585">
        <w:rPr>
          <w:rFonts w:hint="cs"/>
          <w:rtl/>
        </w:rPr>
        <w:t>:</w:t>
      </w:r>
      <w:r w:rsidRPr="00A52585">
        <w:rPr>
          <w:rFonts w:hint="cs"/>
          <w:rtl/>
        </w:rPr>
        <w:t xml:space="preserve"> 52</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أَيُّهَا النَّاسُ قَدْ جَاءَكُمْ بُرْهَانٌ مِنْ رَبِّكُمْ وَأَنْزَلْنَا إِلَيْكُمْ نُورًا مُبِينًا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النساء</w:t>
      </w:r>
      <w:r w:rsidR="0002035C" w:rsidRPr="00A52585">
        <w:rPr>
          <w:rFonts w:hint="cs"/>
          <w:rtl/>
        </w:rPr>
        <w:t>:</w:t>
      </w:r>
      <w:r w:rsidRPr="00A52585">
        <w:rPr>
          <w:rFonts w:hint="cs"/>
          <w:rtl/>
        </w:rPr>
        <w:t xml:space="preserve"> 174</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 المؤمن بالحي الذي يسمع ويبصر فيستفيد بما يسمع ويبصر</w:t>
      </w:r>
      <w:r w:rsidR="00DB731D" w:rsidRPr="00A52585">
        <w:rPr>
          <w:rFonts w:hint="cs"/>
          <w:bCs/>
          <w:rtl/>
        </w:rPr>
        <w:t>،</w:t>
      </w:r>
      <w:r w:rsidRPr="00A52585">
        <w:rPr>
          <w:rFonts w:hint="cs"/>
          <w:bCs/>
          <w:rtl/>
        </w:rPr>
        <w:t xml:space="preserve"> وعن الكافر بالميت الذي لا يسمع ولا يبصر لأنّه لا يستفيد بهما</w:t>
      </w:r>
      <w:r w:rsidR="00DB731D" w:rsidRPr="00A52585">
        <w:rPr>
          <w:rFonts w:hint="cs"/>
          <w:bCs/>
          <w:rtl/>
        </w:rPr>
        <w:t>،</w:t>
      </w:r>
      <w:r w:rsidRPr="00A52585">
        <w:rPr>
          <w:rFonts w:hint="cs"/>
          <w:rtl/>
        </w:rPr>
        <w:t xml:space="preserve"> وهذا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إِنَّكَ لَا تُسْمِعُ الْمَوْتَى وَلَا تُسْمِعُ الصُّمَّ الدُّعَاءَ إِذَا وَلَّوْا مُدْبِرِينَ * وَمَا أَنْتَ بِهَادِي الْعُمْيِ عَنْ ضَلَالَتِهِمْ إِنْ تُسْمِعُ إِلَّا مَنْ يُؤْمِنُ بِآيَاتِنَا فَهُمْ مُسْلِمُونَ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النمل</w:t>
      </w:r>
      <w:r w:rsidR="0002035C" w:rsidRPr="00A52585">
        <w:rPr>
          <w:rFonts w:hint="cs"/>
          <w:rtl/>
        </w:rPr>
        <w:t>:</w:t>
      </w:r>
      <w:r w:rsidRPr="00A52585">
        <w:rPr>
          <w:rFonts w:hint="cs"/>
          <w:rtl/>
        </w:rPr>
        <w:t xml:space="preserve"> 80</w:t>
      </w:r>
      <w:r w:rsidR="00DB731D" w:rsidRPr="00A52585">
        <w:rPr>
          <w:rFonts w:hint="cs"/>
          <w:rtl/>
        </w:rPr>
        <w:t>،</w:t>
      </w:r>
      <w:r w:rsidRPr="00A52585">
        <w:rPr>
          <w:rFonts w:hint="cs"/>
          <w:rtl/>
        </w:rPr>
        <w:t xml:space="preserve"> 81</w:t>
      </w:r>
      <w:r w:rsidR="0002035C" w:rsidRPr="00A52585">
        <w:rPr>
          <w:rFonts w:hint="cs"/>
          <w:rtl/>
        </w:rPr>
        <w:t>]</w:t>
      </w:r>
      <w:r w:rsidR="00DB731D" w:rsidRPr="00A52585">
        <w:rPr>
          <w:rFonts w:hint="cs"/>
          <w:rtl/>
        </w:rPr>
        <w:t>،</w:t>
      </w:r>
      <w:r w:rsidRPr="00A52585">
        <w:rPr>
          <w:rFonts w:hint="cs"/>
          <w:rtl/>
        </w:rPr>
        <w:t xml:space="preserve"> فسياق الآية يتناول الكفار الذين لا يهتدون</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وَمَنْ كَانَ فِي هَذِهِ أَعْمَى فَهُوَ فِي الْآخِرَةِ أَعْمَى وَأَضَلُّ سَبِيلًا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الإسراء</w:t>
      </w:r>
      <w:r w:rsidR="0002035C" w:rsidRPr="00A52585">
        <w:rPr>
          <w:rFonts w:hint="cs"/>
          <w:rtl/>
        </w:rPr>
        <w:t>:</w:t>
      </w:r>
      <w:r w:rsidRPr="00A52585">
        <w:rPr>
          <w:rFonts w:hint="cs"/>
          <w:rtl/>
        </w:rPr>
        <w:t xml:space="preserve"> 72</w:t>
      </w:r>
      <w:r w:rsidR="0002035C" w:rsidRPr="00A52585">
        <w:rPr>
          <w:rFonts w:hint="cs"/>
          <w:rtl/>
        </w:rPr>
        <w:t>]</w:t>
      </w:r>
      <w:r w:rsidR="00DB731D" w:rsidRPr="00A52585">
        <w:rPr>
          <w:rFonts w:hint="cs"/>
          <w:rtl/>
        </w:rPr>
        <w:t>،</w:t>
      </w:r>
      <w:r w:rsidRPr="00A52585">
        <w:rPr>
          <w:rFonts w:hint="cs"/>
          <w:rtl/>
        </w:rPr>
        <w:t xml:space="preserve"> ومعلوم أنّ المقصود بالعمى هو عمى القلب عن سماع الحق ورؤية الحقيقة</w:t>
      </w:r>
      <w:r w:rsidR="00DB731D" w:rsidRPr="00A52585">
        <w:rPr>
          <w:rFonts w:hint="cs"/>
          <w:rtl/>
        </w:rPr>
        <w:t>،</w:t>
      </w:r>
      <w:r w:rsidRPr="00A52585">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DB731D" w:rsidRPr="00A52585">
        <w:rPr>
          <w:rFonts w:hint="cs"/>
          <w:rtl/>
        </w:rPr>
        <w:t>،</w:t>
      </w:r>
      <w:r w:rsidRPr="00A52585">
        <w:rPr>
          <w:rFonts w:hint="cs"/>
          <w:rtl/>
        </w:rPr>
        <w:t xml:space="preserve"> وهذا لا يقول به عاقل</w:t>
      </w:r>
      <w:r w:rsidR="00DB731D" w:rsidRPr="00A52585">
        <w:rPr>
          <w:rFonts w:hint="cs"/>
          <w:rtl/>
        </w:rPr>
        <w:t>،</w:t>
      </w:r>
      <w:r w:rsidRPr="00A52585">
        <w:rPr>
          <w:rFonts w:hint="cs"/>
          <w:rtl/>
        </w:rPr>
        <w:t xml:space="preserve"> فالآية عبّرت عن الكافر بالأعمى لأنّه لا يرى الهداية ولا يميزها عن الكفر والضلال</w:t>
      </w:r>
      <w:r w:rsidR="00DB731D" w:rsidRPr="00A52585">
        <w:rPr>
          <w:rFonts w:hint="cs"/>
          <w:rtl/>
        </w:rPr>
        <w:t>،</w:t>
      </w:r>
      <w:r w:rsidRPr="00A52585">
        <w:rPr>
          <w:rFonts w:hint="cs"/>
          <w:rtl/>
        </w:rPr>
        <w:t xml:space="preserve"> </w:t>
      </w:r>
      <w:r w:rsidRPr="00A52585">
        <w:rPr>
          <w:rFonts w:hint="cs"/>
          <w:bCs/>
          <w:rtl/>
        </w:rPr>
        <w:t>والتعبير عن الكفر الموجب لدخول النار بشفا الحفرة</w:t>
      </w:r>
      <w:r w:rsidR="00DB731D" w:rsidRPr="00A52585">
        <w:rPr>
          <w:rFonts w:hint="cs"/>
          <w:bCs/>
          <w:rtl/>
        </w:rPr>
        <w:t>،</w:t>
      </w:r>
      <w:r w:rsidRPr="00A52585">
        <w:rPr>
          <w:rFonts w:hint="cs"/>
          <w:rtl/>
        </w:rPr>
        <w:t xml:space="preserve">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وَكُنْتُمْ عَلَى شَفَا حُفْرَةٍ مِنَ النَّارِ فَأَنْقَذَكُمْ مِنْهَا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103</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وشفا الجرف الهار</w:t>
      </w:r>
      <w:r w:rsidR="00DB731D" w:rsidRPr="00A52585">
        <w:rPr>
          <w:rFonts w:hint="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أَفَمَنْ أَسَّسَ بُنْيَانَهُ عَلَى تَقْوَى مِنَ اللَّهِ وَرِضْوَانٍ خَيْرٌ أَمْ مَنْ أَسَّسَ بُنْيَانَهُ عَلَى شَفَا جُرُفٍ هَارٍ فَانْهَارَ بِهِ فِي نَارِ جَهَنَّمَ وَاللَّهُ لَا يَهْدِي الْقَوْمَ الظَّالِمِينَ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التوبة</w:t>
      </w:r>
      <w:r w:rsidR="0002035C" w:rsidRPr="00A52585">
        <w:rPr>
          <w:rFonts w:hint="cs"/>
          <w:rtl/>
        </w:rPr>
        <w:t>:</w:t>
      </w:r>
      <w:r w:rsidRPr="00A52585">
        <w:rPr>
          <w:rFonts w:hint="cs"/>
          <w:rtl/>
        </w:rPr>
        <w:t xml:space="preserve"> 109</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 التواضع ولين الجانب بخفض الجناح</w:t>
      </w:r>
      <w:r w:rsidR="00DB731D" w:rsidRPr="00A52585">
        <w:rPr>
          <w:rFonts w:hint="cs"/>
          <w:b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وَاخْفِضْ لَهُمَا جَنَاحَ الذُّلِّ مِنَ الرَّحْمَةِ وَقُلْ رَبِّ ارْحَمْهُمَا كَمَا رَبَّيَانِي صَغِيرًا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الإسراء</w:t>
      </w:r>
      <w:r w:rsidR="0002035C" w:rsidRPr="00A52585">
        <w:rPr>
          <w:rFonts w:hint="cs"/>
          <w:rtl/>
        </w:rPr>
        <w:t>:</w:t>
      </w:r>
      <w:r w:rsidRPr="00A52585">
        <w:rPr>
          <w:rFonts w:hint="cs"/>
          <w:rtl/>
        </w:rPr>
        <w:t xml:space="preserve"> 24</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وَاخْفِضْ جَنَاحَكَ لِمَنِ اتَّبَعَكَ مِنَ الْمُؤْمِنِينَ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الشعراء</w:t>
      </w:r>
      <w:r w:rsidR="0002035C" w:rsidRPr="00A52585">
        <w:rPr>
          <w:rFonts w:hint="cs"/>
          <w:rtl/>
        </w:rPr>
        <w:t>:</w:t>
      </w:r>
      <w:r w:rsidRPr="00A52585">
        <w:rPr>
          <w:rFonts w:hint="cs"/>
          <w:rtl/>
        </w:rPr>
        <w:t xml:space="preserve"> 215</w:t>
      </w:r>
      <w:r w:rsidR="0002035C" w:rsidRPr="00A52585">
        <w:rPr>
          <w:rFonts w:hint="cs"/>
          <w:rtl/>
        </w:rPr>
        <w:t>]</w:t>
      </w:r>
      <w:r w:rsidR="00DB731D" w:rsidRPr="00A52585">
        <w:rPr>
          <w:rFonts w:hint="cs"/>
          <w:rtl/>
        </w:rPr>
        <w:t>،</w:t>
      </w:r>
      <w:r w:rsidRPr="00A52585">
        <w:rPr>
          <w:rFonts w:hint="cs"/>
          <w:rtl/>
        </w:rPr>
        <w:t xml:space="preserve"> ومعلوم أنّه ليس للمؤمن جناح يخفضه عند والديه</w:t>
      </w:r>
      <w:r w:rsidR="00DB731D" w:rsidRPr="00A52585">
        <w:rPr>
          <w:rFonts w:hint="cs"/>
          <w:rtl/>
        </w:rPr>
        <w:t>،</w:t>
      </w:r>
      <w:r w:rsidRPr="00A52585">
        <w:rPr>
          <w:rFonts w:hint="cs"/>
          <w:rtl/>
        </w:rPr>
        <w:t xml:space="preserve"> ولا للرسول صلى الله عليه وسلم جناح </w:t>
      </w:r>
      <w:r w:rsidRPr="00A52585">
        <w:rPr>
          <w:rFonts w:hint="cs"/>
          <w:rtl/>
        </w:rPr>
        <w:lastRenderedPageBreak/>
        <w:t>يخفضه للمؤمنين</w:t>
      </w:r>
      <w:r w:rsidR="00DB731D" w:rsidRPr="00A52585">
        <w:rPr>
          <w:rFonts w:hint="cs"/>
          <w:rtl/>
        </w:rPr>
        <w:t>،</w:t>
      </w:r>
      <w:r w:rsidRPr="00A52585">
        <w:rPr>
          <w:rFonts w:hint="cs"/>
          <w:rtl/>
        </w:rPr>
        <w:t xml:space="preserve"> وإنما هو مجاز عن التواضع ولين الجانب</w:t>
      </w:r>
      <w:r w:rsidR="00DB731D" w:rsidRPr="00A52585">
        <w:rPr>
          <w:rFonts w:hint="cs"/>
          <w:rtl/>
        </w:rPr>
        <w:t>،</w:t>
      </w:r>
      <w:r w:rsidRPr="00A52585">
        <w:rPr>
          <w:rFonts w:hint="cs"/>
          <w:rtl/>
        </w:rPr>
        <w:t xml:space="preserve"> كما يعبر عن التواضع باللين</w:t>
      </w:r>
      <w:r w:rsidR="00DB731D" w:rsidRPr="00A52585">
        <w:rPr>
          <w:rFonts w:hint="cs"/>
          <w:rtl/>
        </w:rPr>
        <w:t>،</w:t>
      </w:r>
      <w:r w:rsidRPr="00A52585">
        <w:rPr>
          <w:rFonts w:hint="cs"/>
          <w:rtl/>
        </w:rPr>
        <w:t xml:space="preserve"> وعن القسوة بغلظة القلب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فَبِمَا رَحْمَةٍ مِنَ اللَّهِ لِنْتَ لَهُمْ وَلَوْ كُنْتَ فَظًّا غَلِيظَ الْقَلْبِ لَانْفَضُّوا مِنْ حَوْلِكَ</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159</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بالأخذ تارة عن الهلاك</w:t>
      </w:r>
      <w:r w:rsidR="00DB731D" w:rsidRPr="00A52585">
        <w:rPr>
          <w:rFonts w:hint="cs"/>
          <w:bCs/>
          <w:rtl/>
        </w:rPr>
        <w:t>،</w:t>
      </w:r>
      <w:r w:rsidRPr="00A52585">
        <w:rPr>
          <w:rFonts w:hint="cs"/>
          <w:bCs/>
          <w:rtl/>
        </w:rPr>
        <w:t xml:space="preserve"> وتارة عن القبول والرضا</w:t>
      </w:r>
      <w:r w:rsidR="00DB731D" w:rsidRPr="00A52585">
        <w:rPr>
          <w:rFonts w:hint="cs"/>
          <w:bCs/>
          <w:rtl/>
        </w:rPr>
        <w:t>،</w:t>
      </w:r>
      <w:r w:rsidRPr="00A52585">
        <w:rPr>
          <w:rFonts w:hint="cs"/>
          <w:bCs/>
          <w:rtl/>
        </w:rPr>
        <w:t xml:space="preserve"> وتارة عن الجد والاجتهاد في التمسك</w:t>
      </w:r>
      <w:r w:rsidR="00DB731D" w:rsidRPr="00A52585">
        <w:rPr>
          <w:rFonts w:hint="cs"/>
          <w:bCs/>
          <w:rtl/>
        </w:rPr>
        <w:t>،</w:t>
      </w:r>
      <w:r w:rsidRPr="00A52585">
        <w:rPr>
          <w:rFonts w:hint="cs"/>
          <w:bCs/>
          <w:rtl/>
        </w:rPr>
        <w:t xml:space="preserve"> </w:t>
      </w:r>
      <w:r w:rsidRPr="00A52585">
        <w:rPr>
          <w:rFonts w:hint="cs"/>
          <w:rtl/>
        </w:rPr>
        <w:t>فمن التعبير عن الأخذ بالهلاك</w:t>
      </w:r>
      <w:r w:rsidR="0002035C" w:rsidRPr="00A52585">
        <w:rPr>
          <w:rFonts w:hint="cs"/>
          <w:rtl/>
        </w:rPr>
        <w:t xml:space="preserve"> </w:t>
      </w:r>
      <w:r w:rsidRPr="00A52585">
        <w:rPr>
          <w:rFonts w:hint="cs"/>
          <w:rtl/>
        </w:rPr>
        <w:t>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فَعَصَوْا رَسُولَ رَبِّهِمْ فَأَخَذَهُمْ أَخْذَةً رَابِيَةً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الحاقة</w:t>
      </w:r>
      <w:r w:rsidR="0002035C" w:rsidRPr="00A52585">
        <w:rPr>
          <w:rFonts w:hint="cs"/>
          <w:rtl/>
        </w:rPr>
        <w:t>:</w:t>
      </w:r>
      <w:r w:rsidRPr="00A52585">
        <w:rPr>
          <w:rFonts w:hint="cs"/>
          <w:rtl/>
        </w:rPr>
        <w:t xml:space="preserve"> 10</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فَأَخَذَهُمُ اللَّهُ بِذُنُوبِهِمْ وَاللَّهُ شَدِيدُ الْعِقَابِ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وَهَمَّتْ كُلُّ أُمَّةٍ بِرَسُولِهِمْ لِيَأْخُذُوهُ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غافر</w:t>
      </w:r>
      <w:r w:rsidR="0002035C" w:rsidRPr="00A52585">
        <w:rPr>
          <w:rFonts w:hint="cs"/>
          <w:rtl/>
        </w:rPr>
        <w:t>:</w:t>
      </w:r>
      <w:r w:rsidRPr="00A52585">
        <w:rPr>
          <w:rFonts w:hint="cs"/>
          <w:rtl/>
        </w:rPr>
        <w:t xml:space="preserve"> 5</w:t>
      </w:r>
      <w:r w:rsidR="0002035C" w:rsidRPr="00A52585">
        <w:rPr>
          <w:rFonts w:hint="cs"/>
          <w:rtl/>
        </w:rPr>
        <w:t>]</w:t>
      </w:r>
      <w:r w:rsidR="00DB731D" w:rsidRPr="00A52585">
        <w:rPr>
          <w:rFonts w:hint="cs"/>
          <w:rtl/>
        </w:rPr>
        <w:t>،</w:t>
      </w:r>
      <w:r w:rsidRPr="00A52585">
        <w:rPr>
          <w:rFonts w:hint="cs"/>
          <w:rtl/>
        </w:rPr>
        <w:t xml:space="preserve"> ومن التعبير بالأخذ عن الجد والاجتهاد في التمسك</w:t>
      </w:r>
      <w:r w:rsidR="00DB731D" w:rsidRPr="00A52585">
        <w:rPr>
          <w:rFonts w:hint="cs"/>
          <w:rtl/>
        </w:rPr>
        <w:t>،</w:t>
      </w:r>
      <w:r w:rsidRPr="00A52585">
        <w:rPr>
          <w:rFonts w:hint="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يَحْيَى خُذِ الْكِتَابَ بِقُوَّةٍ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مريم</w:t>
      </w:r>
      <w:r w:rsidR="0002035C" w:rsidRPr="00A52585">
        <w:rPr>
          <w:rFonts w:hint="cs"/>
          <w:rtl/>
        </w:rPr>
        <w:t>:</w:t>
      </w:r>
      <w:r w:rsidRPr="00A52585">
        <w:rPr>
          <w:rFonts w:hint="cs"/>
          <w:rtl/>
        </w:rPr>
        <w:t xml:space="preserve"> 12</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خُذُوا مَا آتَيْنَاكُمْ بِقُوَّةٍ وَاذْكُرُوا مَا فِيهِ لَعَلَّكُمْ تَتَّقُونَ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63</w:t>
      </w:r>
      <w:r w:rsidR="0002035C" w:rsidRPr="00A52585">
        <w:rPr>
          <w:rFonts w:hint="cs"/>
          <w:rtl/>
        </w:rPr>
        <w:t>]</w:t>
      </w:r>
      <w:r w:rsidR="00DB731D" w:rsidRPr="00A52585">
        <w:rPr>
          <w:rFonts w:hint="cs"/>
          <w:rtl/>
        </w:rPr>
        <w:t>،</w:t>
      </w:r>
      <w:r w:rsidRPr="00A52585">
        <w:rPr>
          <w:rFonts w:hint="cs"/>
          <w:rtl/>
        </w:rPr>
        <w:t xml:space="preserve"> ومن التعبير بالأخذ عن القبول والرضا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أَلَمْ يَعْلَمُوا أَنَّ اللَّهَ هُوَ يَقْبَلُ التَّوْبَةَ عَنْ عِبَادِهِ وَيَأْخُذُ الصَّدَقَاتِ وَأَنَّ اللَّهَ هُوَ التَّوَّابُ الرَّحِيمُ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التوبة</w:t>
      </w:r>
      <w:r w:rsidR="0002035C" w:rsidRPr="00A52585">
        <w:rPr>
          <w:rFonts w:hint="cs"/>
          <w:rtl/>
        </w:rPr>
        <w:t>:</w:t>
      </w:r>
      <w:r w:rsidRPr="00A52585">
        <w:rPr>
          <w:rFonts w:hint="cs"/>
          <w:rtl/>
        </w:rPr>
        <w:t xml:space="preserve"> 104</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فَخُذْ مَا آتَيْتُكَ وَكُنْ مِنَ الشَّاكِرِينَ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الأعراف</w:t>
      </w:r>
      <w:r w:rsidR="0002035C" w:rsidRPr="00A52585">
        <w:rPr>
          <w:rFonts w:hint="cs"/>
          <w:rtl/>
        </w:rPr>
        <w:t>:</w:t>
      </w:r>
      <w:r w:rsidRPr="00A52585">
        <w:rPr>
          <w:rFonts w:hint="cs"/>
          <w:rtl/>
        </w:rPr>
        <w:t xml:space="preserve"> 144</w:t>
      </w:r>
      <w:r w:rsidR="0002035C" w:rsidRPr="00A52585">
        <w:rPr>
          <w:rFonts w:hint="cs"/>
          <w:rtl/>
        </w:rPr>
        <w:t>]</w:t>
      </w:r>
      <w:r w:rsidR="00DB731D" w:rsidRPr="00A52585">
        <w:rPr>
          <w:rFonts w:hint="cs"/>
          <w:rtl/>
        </w:rPr>
        <w:t>،</w:t>
      </w:r>
      <w:r w:rsidRPr="00A52585">
        <w:rPr>
          <w:rFonts w:hint="cs"/>
          <w:bCs/>
          <w:rtl/>
        </w:rPr>
        <w:t xml:space="preserve"> والتعبير بالقبض عن البخل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الْمُنَافِقُونَ وَالْمُنَافِقَاتُ بَعْضُهُمْ مِنْ بَعْضٍ يَأْمُرُونَ بِالْمُنْكَرِ وَيَنْهَوْنَ عَنِ الْمَعْرُوفِ وَيَقْبِضُونَ أَيْدِيَهُمْ نَسُوا اللَّهَ فَنَسِيَهُمْ إِنَّ الْمُنَافِقِينَ هُمُ الْفَاسِقُونَ (67</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التوبة</w:t>
      </w:r>
      <w:r w:rsidR="0002035C" w:rsidRPr="00A52585">
        <w:rPr>
          <w:rFonts w:hint="cs"/>
          <w:rtl/>
        </w:rPr>
        <w:t>:</w:t>
      </w:r>
      <w:r w:rsidRPr="00A52585">
        <w:rPr>
          <w:rFonts w:hint="cs"/>
          <w:rtl/>
        </w:rPr>
        <w:t xml:space="preserve"> 67</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lang w:bidi="ar-KW"/>
        </w:rPr>
        <w:t>والتعبير بالبسط تارة عن العدوان</w:t>
      </w:r>
      <w:r w:rsidR="00DB731D" w:rsidRPr="00A52585">
        <w:rPr>
          <w:rFonts w:hint="cs"/>
          <w:rtl/>
          <w:lang w:bidi="ar-KW"/>
        </w:rPr>
        <w:t>،</w:t>
      </w:r>
      <w:r w:rsidRPr="00A52585">
        <w:rPr>
          <w:rFonts w:hint="cs"/>
          <w:rtl/>
          <w:lang w:bidi="ar-KW"/>
        </w:rPr>
        <w:t xml:space="preserve"> 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يَا أَيُّهَا الَّذِينَ آمَنُوا اذْكُرُوا نِعْمَةَ اللَّهِ عَلَيْكُمْ إِذْ هَمَّ قَوْمٌ أَنْ يَبْسُطُوا إِلَيْكُمْ أَيْدِيَهُمْ فَكَفَّ أَيْدِيَهُمْ عَنْكُمْ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المائدة</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وتارة عن الغنى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اللَّهُ يَبْسُطُ الرِّزْقَ لِمَنْ يَشَاءُ وَيَقْدِرُ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الرعد</w:t>
      </w:r>
      <w:r w:rsidR="0002035C" w:rsidRPr="00A52585">
        <w:rPr>
          <w:rFonts w:hint="cs"/>
          <w:rtl/>
        </w:rPr>
        <w:t>:</w:t>
      </w:r>
      <w:r w:rsidRPr="00A52585">
        <w:rPr>
          <w:rFonts w:hint="cs"/>
          <w:rtl/>
        </w:rPr>
        <w:t xml:space="preserve"> 26</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lang w:bidi="ar-KW"/>
        </w:rPr>
        <w:t>كما يعبر</w:t>
      </w:r>
      <w:r w:rsidRPr="00A52585">
        <w:rPr>
          <w:rFonts w:hint="cs"/>
          <w:rtl/>
          <w:lang w:bidi="ar-KW"/>
        </w:rPr>
        <w:t xml:space="preserve"> </w:t>
      </w:r>
      <w:r w:rsidRPr="00A52585">
        <w:rPr>
          <w:rFonts w:hint="cs"/>
          <w:bCs/>
          <w:rtl/>
        </w:rPr>
        <w:t>بالقبض والبسط عن الغنى والفقر</w:t>
      </w:r>
      <w:r w:rsidR="00DB731D" w:rsidRPr="00A52585">
        <w:rPr>
          <w:rFonts w:hint="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وَاللَّهُ يَقْبِضُ وَيَبْسُطُ وَإِلَيْهِ تُرْجَعُونَ (245</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245</w:t>
      </w:r>
      <w:r w:rsidR="0002035C" w:rsidRPr="00A52585">
        <w:rPr>
          <w:rFonts w:hint="cs"/>
          <w:rtl/>
        </w:rPr>
        <w:t>]</w:t>
      </w:r>
      <w:r w:rsidR="00DB731D" w:rsidRPr="00A52585">
        <w:rPr>
          <w:rFonts w:hint="cs"/>
          <w:rtl/>
        </w:rPr>
        <w:t>،</w:t>
      </w:r>
      <w:r w:rsidRPr="00A52585">
        <w:rPr>
          <w:rFonts w:hint="cs"/>
          <w:rtl/>
        </w:rPr>
        <w:t xml:space="preserve"> وقمة البلاغة والمجاز التعبير عن التوسط بالإنفاق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وَلَا تَجْعَلْ يَدَكَ مَغْلُولَةً إِلَى عُنُقِكَ وَلَا تَبْسُطْهَا كُلَّ الْبَسْطِ فَتَقْعُدَ مَلُومًا مَحْسُورًا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الإسراء</w:t>
      </w:r>
      <w:r w:rsidR="0002035C" w:rsidRPr="00A52585">
        <w:rPr>
          <w:rFonts w:hint="cs"/>
          <w:rtl/>
        </w:rPr>
        <w:t>:</w:t>
      </w:r>
      <w:r w:rsidRPr="00A52585">
        <w:rPr>
          <w:rFonts w:hint="cs"/>
          <w:rtl/>
        </w:rPr>
        <w:t xml:space="preserve"> 29</w:t>
      </w:r>
      <w:r w:rsidR="0002035C" w:rsidRPr="00A52585">
        <w:rPr>
          <w:rFonts w:hint="cs"/>
          <w:rtl/>
        </w:rPr>
        <w:t>]</w:t>
      </w:r>
      <w:r w:rsidR="00DB731D" w:rsidRPr="00A52585">
        <w:rPr>
          <w:rFonts w:hint="cs"/>
          <w:rtl/>
        </w:rPr>
        <w:t>،</w:t>
      </w:r>
      <w:r w:rsidRPr="00A52585">
        <w:rPr>
          <w:rFonts w:hint="cs"/>
          <w:rtl/>
        </w:rPr>
        <w:t xml:space="preserve"> والتعبير عن غاية الكرم والسخاء ببسط اليد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وَقَالَتِ الْيَهُودُ يَدُ اللَّهِ مَغْلُولَةٌ غُلَّتْ أَيْدِيهِمْ وَلُعِنُوا بِمَا قَالُوا بَلْ يَدَاهُ مَبْسُوطَتَانِ يُنْفِقُ كَيْفَ يَشَاءُ</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المائدة</w:t>
      </w:r>
      <w:r w:rsidR="0002035C" w:rsidRPr="00A52585">
        <w:rPr>
          <w:rFonts w:hint="cs"/>
          <w:rtl/>
        </w:rPr>
        <w:t>:</w:t>
      </w:r>
      <w:r w:rsidRPr="00A52585">
        <w:rPr>
          <w:rFonts w:hint="cs"/>
          <w:rtl/>
        </w:rPr>
        <w:t xml:space="preserve"> 64</w:t>
      </w:r>
      <w:r w:rsidR="0002035C" w:rsidRPr="00A52585">
        <w:rPr>
          <w:rFonts w:hint="cs"/>
          <w:rtl/>
        </w:rPr>
        <w:t>]</w:t>
      </w:r>
      <w:r w:rsidR="00DB731D" w:rsidRPr="00A52585">
        <w:rPr>
          <w:rFonts w:hint="cs"/>
          <w:rtl/>
        </w:rPr>
        <w:t>،</w:t>
      </w:r>
      <w:r w:rsidRPr="00A52585">
        <w:rPr>
          <w:rFonts w:hint="cs"/>
          <w:rtl/>
        </w:rPr>
        <w:t xml:space="preserve"> فاليهود قصدوا بالغل وصف الله تعالى بالبخل </w:t>
      </w:r>
      <w:r w:rsidR="0002035C" w:rsidRPr="00A52585">
        <w:rPr>
          <w:rFonts w:hint="cs"/>
          <w:rtl/>
        </w:rPr>
        <w:t>{</w:t>
      </w:r>
      <w:r w:rsidRPr="00A52585">
        <w:rPr>
          <w:rFonts w:hint="cs"/>
          <w:rtl/>
        </w:rPr>
        <w:t>غُلَّتْ أَيْدِيهِمْ وَلُعِنُوا بِمَا قَالُوا بَلْ يَدَاهُ مَبْسُوطَتَانِ</w:t>
      </w:r>
      <w:r w:rsidR="0002035C" w:rsidRPr="00A52585">
        <w:rPr>
          <w:rFonts w:hint="cs"/>
          <w:rtl/>
        </w:rPr>
        <w:t>}</w:t>
      </w:r>
      <w:r w:rsidRPr="00A52585">
        <w:rPr>
          <w:rFonts w:hint="cs"/>
          <w:rtl/>
        </w:rPr>
        <w:t xml:space="preserve"> أي غاية السخاء والكرم </w:t>
      </w:r>
      <w:r w:rsidR="0002035C" w:rsidRPr="00A52585">
        <w:rPr>
          <w:rFonts w:hint="cs"/>
          <w:rtl/>
        </w:rPr>
        <w:t>{</w:t>
      </w:r>
      <w:r w:rsidRPr="00A52585">
        <w:rPr>
          <w:rFonts w:hint="cs"/>
          <w:rtl/>
        </w:rPr>
        <w:t>يُنْفِقُ كَيْفَ يَشَاءُ</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 الرعاية والحفظ والكلاءة بالعين</w:t>
      </w:r>
      <w:r w:rsidR="00DB731D" w:rsidRPr="00A52585">
        <w:rPr>
          <w:rFonts w:hint="cs"/>
          <w:rtl/>
        </w:rPr>
        <w:t>،</w:t>
      </w:r>
      <w:r w:rsidRPr="00A52585">
        <w:rPr>
          <w:rFonts w:hint="cs"/>
          <w:rtl/>
        </w:rPr>
        <w:t xml:space="preserve">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وَاصْنَعِ الْفُلْكَ بِأَعْيُنِنَا وَوَحْيِنَا وَلَا تُخَاطِبْنِي فِي الَّذِينَ ظَلَمُوا إِنَّهُمْ مُغْرَقُونَ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هود</w:t>
      </w:r>
      <w:r w:rsidR="0002035C" w:rsidRPr="00A52585">
        <w:rPr>
          <w:rFonts w:hint="cs"/>
          <w:rtl/>
        </w:rPr>
        <w:t>:</w:t>
      </w:r>
      <w:r w:rsidRPr="00A52585">
        <w:rPr>
          <w:rFonts w:hint="cs"/>
          <w:rtl/>
        </w:rPr>
        <w:t xml:space="preserve"> 37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فَأَوْحَيْنَا إِلَيْهِ أَنِ اصْنَعِ الْفُلْكَ بِأَعْيُنِنَا وَوَحْيِنَا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المؤمنون</w:t>
      </w:r>
      <w:r w:rsidR="0002035C" w:rsidRPr="00A52585">
        <w:rPr>
          <w:rFonts w:hint="cs"/>
          <w:rtl/>
        </w:rPr>
        <w:t>:</w:t>
      </w:r>
      <w:r w:rsidRPr="00A52585">
        <w:rPr>
          <w:rFonts w:hint="cs"/>
          <w:rtl/>
        </w:rPr>
        <w:t xml:space="preserve"> 27</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وَحَمَلْنَاهُ عَلَى ذَاتِ أَلْوَاحٍ وَدُسُرٍ * تَجْرِي بِأَعْيُنِنَا جَزَاءً لِمَنْ كَانَ كُفِرَ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القمر</w:t>
      </w:r>
      <w:r w:rsidR="0002035C" w:rsidRPr="00A52585">
        <w:rPr>
          <w:rFonts w:hint="cs"/>
          <w:rtl/>
        </w:rPr>
        <w:t>:</w:t>
      </w:r>
      <w:r w:rsidRPr="00A52585">
        <w:rPr>
          <w:rFonts w:hint="cs"/>
          <w:rtl/>
        </w:rPr>
        <w:t xml:space="preserve"> 13</w:t>
      </w:r>
      <w:r w:rsidR="00DB731D" w:rsidRPr="00A52585">
        <w:rPr>
          <w:rFonts w:hint="cs"/>
          <w:rtl/>
        </w:rPr>
        <w:t>،</w:t>
      </w:r>
      <w:r w:rsidRPr="00A52585">
        <w:rPr>
          <w:rFonts w:hint="cs"/>
          <w:rtl/>
        </w:rPr>
        <w:t xml:space="preserve"> 14</w:t>
      </w:r>
      <w:r w:rsidR="0002035C" w:rsidRPr="00A52585">
        <w:rPr>
          <w:rFonts w:hint="cs"/>
          <w:rtl/>
        </w:rPr>
        <w:t>]</w:t>
      </w:r>
      <w:r w:rsidR="00DB731D" w:rsidRPr="00A52585">
        <w:rPr>
          <w:rFonts w:hint="cs"/>
          <w:rtl/>
        </w:rPr>
        <w:t>،</w:t>
      </w:r>
      <w:r w:rsidRPr="00A52585">
        <w:rPr>
          <w:rFonts w:hint="cs"/>
          <w:rtl/>
        </w:rPr>
        <w:t xml:space="preserve"> والسفينة لا تجري في أعين الله</w:t>
      </w:r>
      <w:r w:rsidR="00DB731D" w:rsidRPr="00A52585">
        <w:rPr>
          <w:rFonts w:hint="cs"/>
          <w:rtl/>
        </w:rPr>
        <w:t>،</w:t>
      </w:r>
      <w:r w:rsidRPr="00A52585">
        <w:rPr>
          <w:rFonts w:hint="cs"/>
          <w:rtl/>
        </w:rPr>
        <w:t xml:space="preserve"> تعالى الله</w:t>
      </w:r>
      <w:r w:rsidR="00DB731D" w:rsidRPr="00A52585">
        <w:rPr>
          <w:rFonts w:hint="cs"/>
          <w:rtl/>
        </w:rPr>
        <w:t>،</w:t>
      </w:r>
      <w:r w:rsidRPr="00A52585">
        <w:rPr>
          <w:rFonts w:hint="cs"/>
          <w:rtl/>
        </w:rPr>
        <w:t xml:space="preserve"> وإنما هو تعبير مجازي عن رعاية الله تعالى وحفظه لأهل السفينة</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وَأَلْقَيْتُ </w:t>
      </w:r>
      <w:r w:rsidRPr="00A52585">
        <w:rPr>
          <w:rFonts w:hint="cs"/>
          <w:rtl/>
        </w:rPr>
        <w:lastRenderedPageBreak/>
        <w:t>عَلَيْكَ مَحَبَّةً مِنِّي وَلِتُصْنَعَ عَلَى عَيْنِي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طه</w:t>
      </w:r>
      <w:r w:rsidR="0002035C" w:rsidRPr="00A52585">
        <w:rPr>
          <w:rFonts w:hint="cs"/>
          <w:rtl/>
        </w:rPr>
        <w:t>:</w:t>
      </w:r>
      <w:r w:rsidRPr="00A52585">
        <w:rPr>
          <w:rFonts w:hint="cs"/>
          <w:rtl/>
        </w:rPr>
        <w:t xml:space="preserve"> 39</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وَاصْبِرْ لِحُكْمِ رَبِّكَ فَإِنَّكَ بِأَعْيُنِنَا وَسَبِّحْ بِحَمْدِ رَبِّكَ حِينَ تَقُومُ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الطور</w:t>
      </w:r>
      <w:r w:rsidR="0002035C" w:rsidRPr="00A52585">
        <w:rPr>
          <w:rFonts w:hint="cs"/>
          <w:rtl/>
        </w:rPr>
        <w:t>:</w:t>
      </w:r>
      <w:r w:rsidRPr="00A52585">
        <w:rPr>
          <w:rFonts w:hint="cs"/>
          <w:rtl/>
        </w:rPr>
        <w:t xml:space="preserve"> 48</w:t>
      </w:r>
      <w:r w:rsidR="0002035C" w:rsidRPr="00A52585">
        <w:rPr>
          <w:rFonts w:hint="cs"/>
          <w:rtl/>
        </w:rPr>
        <w:t>]</w:t>
      </w:r>
      <w:r w:rsidR="00DB731D" w:rsidRPr="00A52585">
        <w:rPr>
          <w:rFonts w:hint="cs"/>
          <w:rtl/>
        </w:rPr>
        <w:t>،</w:t>
      </w:r>
      <w:r w:rsidRPr="00A52585">
        <w:rPr>
          <w:rFonts w:hint="cs"/>
          <w:rtl/>
        </w:rPr>
        <w:t xml:space="preserve"> ومعلوم أنّ موسى عليه السلام لم يصنع على عين الله تعالى</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وَلِتُصْنَعَ عَلَى عَيْنِي</w:t>
      </w:r>
      <w:r w:rsidR="0002035C" w:rsidRPr="00A52585">
        <w:rPr>
          <w:rFonts w:hint="cs"/>
          <w:rtl/>
        </w:rPr>
        <w:t>}</w:t>
      </w:r>
      <w:r w:rsidR="00DB731D" w:rsidRPr="00A52585">
        <w:rPr>
          <w:rFonts w:hint="cs"/>
          <w:rtl/>
        </w:rPr>
        <w:t>،</w:t>
      </w:r>
      <w:r w:rsidRPr="00A52585">
        <w:rPr>
          <w:rFonts w:hint="cs"/>
          <w:rtl/>
        </w:rPr>
        <w:t xml:space="preserve"> ومعلوم أنّ الرسول صلى الله عليه وسلم لم يكن في عين الله</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فَإِنَّكَ بِأَعْيُنِنَا</w:t>
      </w:r>
      <w:r w:rsidR="0002035C" w:rsidRPr="00A52585">
        <w:rPr>
          <w:rFonts w:hint="cs"/>
          <w:rtl/>
        </w:rPr>
        <w:t>}</w:t>
      </w:r>
      <w:r w:rsidR="00DB731D" w:rsidRPr="00A52585">
        <w:rPr>
          <w:rFonts w:hint="cs"/>
          <w:rtl/>
        </w:rPr>
        <w:t>،</w:t>
      </w:r>
      <w:r w:rsidRPr="00A52585">
        <w:rPr>
          <w:rFonts w:hint="cs"/>
          <w:rtl/>
        </w:rPr>
        <w:t xml:space="preserve"> وإنما هو تعبير مجازي عن الرعاية والحفظ والكلاءة</w:t>
      </w:r>
      <w:r w:rsidR="00DB731D" w:rsidRPr="00A52585">
        <w:rPr>
          <w:rFonts w:hint="cs"/>
          <w:rtl/>
        </w:rPr>
        <w:t>،</w:t>
      </w:r>
      <w:r w:rsidRPr="00A52585">
        <w:rPr>
          <w:rFonts w:hint="cs"/>
          <w:rtl/>
        </w:rPr>
        <w:t xml:space="preserve"> </w:t>
      </w:r>
      <w:r w:rsidRPr="00A52585">
        <w:rPr>
          <w:rFonts w:hint="cs"/>
          <w:bCs/>
          <w:rtl/>
        </w:rPr>
        <w:t>والتعبير عن القهر والقدرة والغلبة والملك بلفظ اليد</w:t>
      </w:r>
      <w:r w:rsidR="00DB731D" w:rsidRPr="00A52585">
        <w:rPr>
          <w:rFonts w:hint="cs"/>
          <w:rtl/>
        </w:rPr>
        <w:t>،</w:t>
      </w:r>
      <w:r w:rsidRPr="00A52585">
        <w:rPr>
          <w:rFonts w:hint="cs"/>
          <w:rtl/>
        </w:rPr>
        <w:t xml:space="preserve">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 أَيُّهَا النَّبِيُّ قُلْ لِمَنْ فِي أَيْدِيكُمْ مِنَ الْأَسْرَى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الأنفال</w:t>
      </w:r>
      <w:r w:rsidR="0002035C" w:rsidRPr="00A52585">
        <w:rPr>
          <w:rFonts w:hint="cs"/>
          <w:rtl/>
        </w:rPr>
        <w:t>:</w:t>
      </w:r>
      <w:r w:rsidRPr="00A52585">
        <w:rPr>
          <w:rFonts w:hint="cs"/>
          <w:rtl/>
        </w:rPr>
        <w:t xml:space="preserve"> 70</w:t>
      </w:r>
      <w:r w:rsidR="0002035C" w:rsidRPr="00A52585">
        <w:rPr>
          <w:rFonts w:hint="cs"/>
          <w:rtl/>
        </w:rPr>
        <w:t>]</w:t>
      </w:r>
      <w:r w:rsidR="00DB731D" w:rsidRPr="00A52585">
        <w:rPr>
          <w:rFonts w:hint="cs"/>
          <w:rtl/>
        </w:rPr>
        <w:t>،</w:t>
      </w:r>
      <w:r w:rsidRPr="00A52585">
        <w:rPr>
          <w:rFonts w:hint="cs"/>
          <w:rtl/>
        </w:rPr>
        <w:t xml:space="preserve"> أي في قهركم واستيلائكم</w:t>
      </w:r>
      <w:r w:rsidR="00DB731D" w:rsidRPr="00A52585">
        <w:rPr>
          <w:rFonts w:hint="cs"/>
          <w:rtl/>
        </w:rPr>
        <w:t>،</w:t>
      </w:r>
      <w:r w:rsidRPr="00A52585">
        <w:rPr>
          <w:rFonts w:hint="cs"/>
          <w:rtl/>
        </w:rPr>
        <w:t xml:space="preserve"> لأنّ الكفار لم يكونوا في أيديهم</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وَالَّذِينَ هُمْ لِفُرُوجِهِمْ حَافِظُونَ * إِلَّا عَلَى أَزْوَاجِهِمْ أَوْ مَا مَلَكَتْ أَيْمَانُهُمْ فَإِنَّهُمْ غَيْرُ مَلُومِينَ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المؤمنون</w:t>
      </w:r>
      <w:r w:rsidR="0002035C" w:rsidRPr="00A52585">
        <w:rPr>
          <w:rFonts w:hint="cs"/>
          <w:rtl/>
        </w:rPr>
        <w:t>:</w:t>
      </w:r>
      <w:r w:rsidRPr="00A52585">
        <w:rPr>
          <w:rFonts w:hint="cs"/>
          <w:rtl/>
        </w:rPr>
        <w:t xml:space="preserve"> 5</w:t>
      </w:r>
      <w:r w:rsidR="00DB731D" w:rsidRPr="00A52585">
        <w:rPr>
          <w:rFonts w:hint="cs"/>
          <w:rtl/>
        </w:rPr>
        <w:t>،</w:t>
      </w:r>
      <w:r w:rsidRPr="00A52585">
        <w:rPr>
          <w:rFonts w:hint="cs"/>
          <w:rtl/>
        </w:rPr>
        <w:t xml:space="preserve"> 6</w:t>
      </w:r>
      <w:r w:rsidR="0002035C" w:rsidRPr="00A52585">
        <w:rPr>
          <w:rFonts w:hint="cs"/>
          <w:rtl/>
        </w:rPr>
        <w:t>]</w:t>
      </w:r>
      <w:r w:rsidR="00DB731D" w:rsidRPr="00A52585">
        <w:rPr>
          <w:rFonts w:hint="cs"/>
          <w:rtl/>
        </w:rPr>
        <w:t>،</w:t>
      </w:r>
      <w:r w:rsidRPr="00A52585">
        <w:rPr>
          <w:rFonts w:hint="cs"/>
          <w:rtl/>
        </w:rPr>
        <w:t xml:space="preserve"> ومعلوم أنّ ملكة اليمين ليسن في اليمين ولكنه تعبير مجازي عن ما يملكه الإنسان</w:t>
      </w:r>
      <w:r w:rsidR="00DB731D" w:rsidRPr="00A52585">
        <w:rPr>
          <w:rFonts w:hint="cs"/>
          <w:rtl/>
        </w:rPr>
        <w:t>،</w:t>
      </w:r>
      <w:r w:rsidR="0002035C" w:rsidRPr="00A52585">
        <w:rPr>
          <w:rFonts w:hint="cs"/>
          <w:rtl/>
        </w:rPr>
        <w:t xml:space="preserve"> </w:t>
      </w:r>
      <w:r w:rsidRPr="00A52585">
        <w:rPr>
          <w:rFonts w:hint="cs"/>
          <w:rtl/>
        </w:rPr>
        <w:t>ومنه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تَبَارَكَ الَّذِي بِيَدِهِ الْمُلْكُ وَهُوَ عَلَى كُلِّ شَيْءٍ قَدِيرٌ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الملك</w:t>
      </w:r>
      <w:r w:rsidR="0002035C" w:rsidRPr="00A52585">
        <w:rPr>
          <w:rFonts w:hint="cs"/>
          <w:rtl/>
        </w:rPr>
        <w:t>:</w:t>
      </w:r>
      <w:r w:rsidRPr="00A52585">
        <w:rPr>
          <w:rFonts w:hint="cs"/>
          <w:rtl/>
        </w:rPr>
        <w:t xml:space="preserve"> 1</w:t>
      </w:r>
      <w:r w:rsidR="0002035C" w:rsidRPr="00A52585">
        <w:rPr>
          <w:rFonts w:hint="cs"/>
          <w:rtl/>
        </w:rPr>
        <w:t>]</w:t>
      </w:r>
      <w:r w:rsidR="00DB731D" w:rsidRPr="00A52585">
        <w:rPr>
          <w:rFonts w:hint="cs"/>
          <w:rtl/>
        </w:rPr>
        <w:t>،</w:t>
      </w:r>
      <w:r w:rsidRPr="00A52585">
        <w:rPr>
          <w:rFonts w:hint="cs"/>
          <w:rtl/>
        </w:rPr>
        <w:t xml:space="preserve"> أي له القدرة التامة والقهر على عباده وخلقه</w:t>
      </w:r>
      <w:r w:rsidR="00DB731D" w:rsidRPr="00A52585">
        <w:rPr>
          <w:rFonts w:hint="cs"/>
          <w:rtl/>
        </w:rPr>
        <w:t>،</w:t>
      </w:r>
      <w:r w:rsidRPr="00A52585">
        <w:rPr>
          <w:rFonts w:hint="cs"/>
          <w:rtl/>
        </w:rPr>
        <w:t xml:space="preserve"> </w:t>
      </w:r>
      <w:r w:rsidRPr="00A52585">
        <w:rPr>
          <w:rFonts w:hint="cs"/>
          <w:bCs/>
          <w:rtl/>
        </w:rPr>
        <w:t>والتعبير عن الذات باليد</w:t>
      </w:r>
      <w:r w:rsidR="00DB731D" w:rsidRPr="00A52585">
        <w:rPr>
          <w:rFonts w:hint="cs"/>
          <w:bCs/>
          <w:rtl/>
        </w:rPr>
        <w:t>،</w:t>
      </w:r>
      <w:r w:rsidRPr="00A52585">
        <w:rPr>
          <w:rFonts w:hint="cs"/>
          <w:b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ظَهَرَ الْفَسَادُ فِي الْبَرِّ وَالْبَحْرِ بِمَا كَسَبَتْ أَيْدِي النَّاسِ لِيُذِيقَهُمْ بَعْضَ الَّذِي عَمِلُوا لَعَلَّهُمْ يَرْجِعُونَ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الروم</w:t>
      </w:r>
      <w:r w:rsidR="0002035C" w:rsidRPr="00A52585">
        <w:rPr>
          <w:rFonts w:hint="cs"/>
          <w:rtl/>
        </w:rPr>
        <w:t>:</w:t>
      </w:r>
      <w:r w:rsidRPr="00A52585">
        <w:rPr>
          <w:rFonts w:hint="cs"/>
          <w:rtl/>
        </w:rPr>
        <w:t xml:space="preserve"> 41</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 أَصَابَكُمْ مِنْ مُصِيبَةٍ فَبِمَا كَسَبَتْ أَيْدِيكُمْ وَيَعْفُو عَنْ كَثِيرٍ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الشورى</w:t>
      </w:r>
      <w:r w:rsidR="0002035C" w:rsidRPr="00A52585">
        <w:rPr>
          <w:rFonts w:hint="cs"/>
          <w:rtl/>
        </w:rPr>
        <w:t>:</w:t>
      </w:r>
      <w:r w:rsidRPr="00A52585">
        <w:rPr>
          <w:rFonts w:hint="cs"/>
          <w:rtl/>
        </w:rPr>
        <w:t xml:space="preserve"> 30</w:t>
      </w:r>
      <w:r w:rsidR="0002035C" w:rsidRPr="00A52585">
        <w:rPr>
          <w:rFonts w:hint="cs"/>
          <w:rtl/>
        </w:rPr>
        <w:t>]</w:t>
      </w:r>
      <w:r w:rsidR="00DB731D" w:rsidRPr="00A52585">
        <w:rPr>
          <w:rFonts w:hint="cs"/>
          <w:rtl/>
        </w:rPr>
        <w:t>،</w:t>
      </w:r>
      <w:r w:rsidRPr="00A52585">
        <w:rPr>
          <w:rFonts w:hint="cs"/>
          <w:rtl/>
        </w:rPr>
        <w:t xml:space="preserve"> والمقصود به مطلق ذنوب الناس لا ذنوب اليدين فقط</w:t>
      </w:r>
      <w:r w:rsidR="00DB731D" w:rsidRPr="00A52585">
        <w:rPr>
          <w:rFonts w:hint="cs"/>
          <w:rtl/>
        </w:rPr>
        <w:t>،</w:t>
      </w:r>
      <w:r w:rsidRPr="00A52585">
        <w:rPr>
          <w:rFonts w:hint="cs"/>
          <w:rtl/>
        </w:rPr>
        <w:t xml:space="preserve"> </w:t>
      </w:r>
      <w:r w:rsidRPr="00A52585">
        <w:rPr>
          <w:rFonts w:hint="cs"/>
          <w:rtl/>
          <w:lang w:bidi="ar-KW"/>
        </w:rPr>
        <w:t>كما في قوله تعالى</w:t>
      </w:r>
      <w:r w:rsidR="0002035C" w:rsidRPr="00A52585">
        <w:rPr>
          <w:rFonts w:hint="cs"/>
          <w:rtl/>
          <w:lang w:bidi="ar-KW"/>
        </w:rPr>
        <w:t>:</w:t>
      </w:r>
      <w:r w:rsidRPr="00A52585">
        <w:rPr>
          <w:rFonts w:hint="cs"/>
          <w:rtl/>
          <w:lang w:bidi="ar-KW"/>
        </w:rPr>
        <w:t xml:space="preserve"> {</w:t>
      </w:r>
      <w:r w:rsidRPr="00A52585">
        <w:rPr>
          <w:rFonts w:hint="cs"/>
          <w:rtl/>
        </w:rPr>
        <w:t>ذَلِكَ بِمَا قَدَّمَتْ يَدَاكَ وَأَنَّ اللَّهَ لَيْسَ بِظَلَّامٍ لِلْعَبِيدِ</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الحج</w:t>
      </w:r>
      <w:r w:rsidR="0002035C" w:rsidRPr="00A52585">
        <w:rPr>
          <w:rFonts w:hint="cs"/>
          <w:rtl/>
        </w:rPr>
        <w:t>:</w:t>
      </w:r>
      <w:r w:rsidRPr="00A52585">
        <w:rPr>
          <w:rFonts w:hint="cs"/>
          <w:rtl/>
        </w:rPr>
        <w:t xml:space="preserve"> 10</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والتعبير عن الذات بالوجه</w:t>
      </w:r>
      <w:r w:rsidR="00DB731D" w:rsidRPr="00A52585">
        <w:rPr>
          <w:rFonts w:hint="cs"/>
          <w:rtl/>
        </w:rPr>
        <w:t>،</w:t>
      </w:r>
      <w:r w:rsidRPr="00A52585">
        <w:rPr>
          <w:rFonts w:hint="cs"/>
          <w:rtl/>
        </w:rPr>
        <w:t xml:space="preserve"> كما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إِلَّا هُوَ كُلُّ شَيْءٍ هَالِكٌ إِلَّا وَجْهَهُ لَهُ الْحُكْمُ وَإِلَيْهِ تُرْجَعُونَ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القصص</w:t>
      </w:r>
      <w:r w:rsidR="0002035C" w:rsidRPr="00A52585">
        <w:rPr>
          <w:rFonts w:hint="cs"/>
          <w:rtl/>
        </w:rPr>
        <w:t>:</w:t>
      </w:r>
      <w:r w:rsidRPr="00A52585">
        <w:rPr>
          <w:rFonts w:hint="cs"/>
          <w:rtl/>
        </w:rPr>
        <w:t xml:space="preserve"> 88</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مَنْ عَلَيْهَا فَانٍ * وَيَبْقَى وَجْهُ رَبِّكَ ذُو الْجَلَالِ وَالْإِكْرَامِ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الرحمن</w:t>
      </w:r>
      <w:r w:rsidR="0002035C" w:rsidRPr="00A52585">
        <w:rPr>
          <w:rFonts w:hint="cs"/>
          <w:rtl/>
        </w:rPr>
        <w:t>:</w:t>
      </w:r>
      <w:r w:rsidRPr="00A52585">
        <w:rPr>
          <w:rFonts w:hint="cs"/>
          <w:rtl/>
        </w:rPr>
        <w:t xml:space="preserve"> 26 ‘ 27</w:t>
      </w:r>
      <w:r w:rsidR="0002035C" w:rsidRPr="00A52585">
        <w:rPr>
          <w:rFonts w:hint="cs"/>
          <w:rtl/>
        </w:rPr>
        <w:t>]</w:t>
      </w:r>
      <w:r w:rsidR="00DB731D" w:rsidRPr="00A52585">
        <w:rPr>
          <w:rFonts w:hint="cs"/>
          <w:rtl/>
        </w:rPr>
        <w:t>،</w:t>
      </w:r>
      <w:r w:rsidRPr="00A52585">
        <w:rPr>
          <w:rFonts w:hint="cs"/>
          <w:rtl/>
        </w:rPr>
        <w:t xml:space="preserve"> ولا يعقل أنّ الذات يهلك ولا يبقى إلا الوجه</w:t>
      </w:r>
      <w:r w:rsidR="00DB731D" w:rsidRPr="00A52585">
        <w:rPr>
          <w:rFonts w:hint="cs"/>
          <w:rtl/>
        </w:rPr>
        <w:t>،</w:t>
      </w:r>
      <w:r w:rsidRPr="00A52585">
        <w:rPr>
          <w:rFonts w:hint="cs"/>
          <w:rtl/>
        </w:rPr>
        <w:t xml:space="preserve"> سبحان الله وتعالى عما يصفون</w:t>
      </w:r>
      <w:r w:rsidR="00DB731D" w:rsidRPr="00A52585">
        <w:rPr>
          <w:rFonts w:hint="cs"/>
          <w:rtl/>
        </w:rPr>
        <w:t>،</w:t>
      </w:r>
      <w:r w:rsidRPr="00A52585">
        <w:rPr>
          <w:rFonts w:hint="cs"/>
          <w:rtl/>
        </w:rPr>
        <w:t xml:space="preserve"> تنزه عن الأجزاء والأبعاض والجوارح</w:t>
      </w:r>
      <w:r w:rsidR="00DB731D" w:rsidRPr="00A52585">
        <w:rPr>
          <w:rFonts w:hint="cs"/>
          <w:rtl/>
        </w:rPr>
        <w:t>،</w:t>
      </w:r>
      <w:r w:rsidRPr="00A52585">
        <w:rPr>
          <w:rFonts w:hint="cs"/>
          <w:rtl/>
        </w:rPr>
        <w:t xml:space="preserve"> أحد صمد لم يلد ولم يولد ولم يكن له كفوا أحد</w:t>
      </w:r>
      <w:r w:rsidR="00DB731D" w:rsidRPr="00A52585">
        <w:rPr>
          <w:rFonts w:hint="cs"/>
          <w:rtl/>
        </w:rPr>
        <w:t>،</w:t>
      </w:r>
      <w:r w:rsidRPr="00A52585">
        <w:rPr>
          <w:rFonts w:hint="cs"/>
          <w:rtl/>
        </w:rPr>
        <w:t xml:space="preserve"> </w:t>
      </w:r>
      <w:r w:rsidRPr="00A52585">
        <w:rPr>
          <w:rFonts w:hint="cs"/>
          <w:bCs/>
          <w:rtl/>
          <w:lang w:bidi="ar-KW"/>
        </w:rPr>
        <w:t>ومن المجاز في أحاديث الرسول صلى الله عليه وسلم</w:t>
      </w:r>
      <w:r w:rsidR="0002035C" w:rsidRPr="00A52585">
        <w:rPr>
          <w:rFonts w:hint="cs"/>
          <w:bCs/>
          <w:rtl/>
          <w:lang w:bidi="ar-KW"/>
        </w:rPr>
        <w:t>:</w:t>
      </w:r>
      <w:r w:rsidRPr="00A52585">
        <w:rPr>
          <w:rFonts w:hint="cs"/>
          <w:bCs/>
          <w:rtl/>
          <w:lang w:bidi="ar-KW"/>
        </w:rPr>
        <w:t xml:space="preserve"> </w:t>
      </w:r>
      <w:r w:rsidRPr="00A52585">
        <w:rPr>
          <w:rFonts w:hint="cs"/>
          <w:rtl/>
        </w:rPr>
        <w:t xml:space="preserve">حديث الترمذي وابن ماجه </w:t>
      </w:r>
      <w:r w:rsidR="0002035C" w:rsidRPr="00A52585">
        <w:rPr>
          <w:rFonts w:hint="cs"/>
          <w:rtl/>
        </w:rPr>
        <w:t>(</w:t>
      </w:r>
      <w:r w:rsidRPr="00A52585">
        <w:rPr>
          <w:rFonts w:hint="cs"/>
          <w:rtl/>
        </w:rPr>
        <w:t>إن الله تعالى لما خلق الخلق كتب بيده على نفسه إن رحمتي تغلب غضبي</w:t>
      </w:r>
      <w:r w:rsidR="0002035C" w:rsidRPr="00A52585">
        <w:rPr>
          <w:rFonts w:hint="cs"/>
          <w:rtl/>
        </w:rPr>
        <w:t>)</w:t>
      </w:r>
      <w:r w:rsidRPr="00A52585">
        <w:rPr>
          <w:rFonts w:hint="cs"/>
          <w:rtl/>
        </w:rPr>
        <w:t xml:space="preserve"> وفي حديث آخر </w:t>
      </w:r>
      <w:r w:rsidR="0002035C" w:rsidRPr="00A52585">
        <w:rPr>
          <w:rFonts w:hint="cs"/>
          <w:rtl/>
        </w:rPr>
        <w:t>(</w:t>
      </w:r>
      <w:r w:rsidRPr="00A52585">
        <w:rPr>
          <w:rFonts w:hint="cs"/>
          <w:rtl/>
        </w:rPr>
        <w:t>إن الله تعالى خلق ثلاثة أشياء بيده خلق آدم بيده وكتب التوراة بيده وغرس الفردوس بيده</w:t>
      </w:r>
      <w:r w:rsidR="0002035C" w:rsidRPr="00A52585">
        <w:rPr>
          <w:rFonts w:hint="cs"/>
          <w:rtl/>
        </w:rPr>
        <w:t xml:space="preserve">) </w:t>
      </w:r>
      <w:r w:rsidRPr="00A52585">
        <w:rPr>
          <w:rFonts w:hint="cs"/>
          <w:rtl/>
        </w:rPr>
        <w:t xml:space="preserve">وحديث أحمد ومسلم </w:t>
      </w:r>
      <w:r w:rsidR="0002035C" w:rsidRPr="00A52585">
        <w:rPr>
          <w:rFonts w:hint="cs"/>
          <w:rtl/>
        </w:rPr>
        <w:t>(</w:t>
      </w:r>
      <w:r w:rsidRPr="00A52585">
        <w:rPr>
          <w:rFonts w:hint="cs"/>
          <w:rtl/>
        </w:rPr>
        <w:t>إن الله تعالى يبسط يده بالليل ليتوب مسيئ النهار ويبسط يده بالنهار ليتوب مسيئ الليل</w:t>
      </w:r>
      <w:r w:rsidR="0002035C" w:rsidRPr="00A52585">
        <w:rPr>
          <w:rFonts w:hint="cs"/>
          <w:rtl/>
        </w:rPr>
        <w:t xml:space="preserve">) </w:t>
      </w:r>
      <w:r w:rsidRPr="00A52585">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DB731D" w:rsidRPr="00A52585">
        <w:rPr>
          <w:rFonts w:hint="cs"/>
          <w:bCs/>
          <w:rtl/>
        </w:rPr>
        <w:t>،</w:t>
      </w:r>
      <w:r w:rsidRPr="00A52585">
        <w:rPr>
          <w:rFonts w:hint="cs"/>
          <w:bCs/>
          <w:rtl/>
        </w:rPr>
        <w:t xml:space="preserve"> فإن يد الجارحة مستحيلة في حقه تعالى</w:t>
      </w:r>
      <w:r w:rsidR="00DB731D" w:rsidRPr="00A52585">
        <w:rPr>
          <w:rFonts w:hint="cs"/>
          <w:bCs/>
          <w:rtl/>
        </w:rPr>
        <w:t>،</w:t>
      </w:r>
      <w:r w:rsidRPr="00A52585">
        <w:rPr>
          <w:rFonts w:hint="cs"/>
          <w:rtl/>
        </w:rPr>
        <w:t xml:space="preserve"> وقد أجمع علماء أهل السنّة على تنزيه الله تعالى عن الجارحة وعن اليد بمعنى الجارحة والجزء من الذات</w:t>
      </w:r>
      <w:r w:rsidR="00DB731D" w:rsidRPr="00A52585">
        <w:rPr>
          <w:rFonts w:hint="cs"/>
          <w:rtl/>
        </w:rPr>
        <w:t>،</w:t>
      </w:r>
      <w:r w:rsidRPr="00A52585">
        <w:rPr>
          <w:rFonts w:hint="cs"/>
          <w:rtl/>
        </w:rPr>
        <w:t xml:space="preserve"> تعالى الله عما </w:t>
      </w:r>
      <w:proofErr w:type="spellStart"/>
      <w:r w:rsidRPr="00A52585">
        <w:rPr>
          <w:rFonts w:hint="cs"/>
          <w:rtl/>
        </w:rPr>
        <w:t>يتوهمه</w:t>
      </w:r>
      <w:proofErr w:type="spellEnd"/>
      <w:r w:rsidRPr="00A52585">
        <w:rPr>
          <w:rFonts w:hint="cs"/>
          <w:rtl/>
        </w:rPr>
        <w:t xml:space="preserve"> المجسمون</w:t>
      </w:r>
      <w:r w:rsidR="00DB731D" w:rsidRPr="00A52585">
        <w:rPr>
          <w:rFonts w:hint="cs"/>
          <w:rtl/>
        </w:rPr>
        <w:t>،</w:t>
      </w:r>
      <w:r w:rsidRPr="00A52585">
        <w:rPr>
          <w:rFonts w:hint="cs"/>
          <w:rtl/>
        </w:rPr>
        <w:t xml:space="preserve"> </w:t>
      </w:r>
    </w:p>
    <w:p w14:paraId="49754950" w14:textId="77777777" w:rsidR="00777DCB" w:rsidRPr="00A52585" w:rsidRDefault="00777DCB" w:rsidP="0002035C">
      <w:pPr>
        <w:jc w:val="center"/>
        <w:rPr>
          <w:bCs/>
        </w:rPr>
      </w:pPr>
      <w:r w:rsidRPr="00A52585">
        <w:rPr>
          <w:rFonts w:hint="cs"/>
          <w:bCs/>
          <w:rtl/>
        </w:rPr>
        <w:t xml:space="preserve">**** </w:t>
      </w:r>
    </w:p>
    <w:p w14:paraId="338A5981" w14:textId="77777777" w:rsidR="00777DCB" w:rsidRPr="00A52585" w:rsidRDefault="00777DCB" w:rsidP="0002035C">
      <w:pPr>
        <w:rPr>
          <w:rtl/>
        </w:rPr>
      </w:pPr>
    </w:p>
    <w:p w14:paraId="5D9882BA" w14:textId="77777777" w:rsidR="00777DCB" w:rsidRPr="00A52585" w:rsidRDefault="00777DCB" w:rsidP="0002035C">
      <w:pPr>
        <w:rPr>
          <w:b/>
          <w:rtl/>
          <w:lang w:bidi="ar-KW"/>
        </w:rPr>
      </w:pPr>
    </w:p>
    <w:p w14:paraId="3EDC03BE" w14:textId="77777777" w:rsidR="00777DCB" w:rsidRPr="00A52585" w:rsidRDefault="00777DCB" w:rsidP="0002035C">
      <w:pPr>
        <w:rPr>
          <w:b/>
          <w:rtl/>
          <w:lang w:bidi="ar-KW"/>
        </w:rPr>
      </w:pPr>
    </w:p>
    <w:p w14:paraId="412A50DB" w14:textId="2CE7F82E" w:rsidR="00777DCB" w:rsidRPr="00A52585" w:rsidRDefault="00777DCB" w:rsidP="00A52585">
      <w:pPr>
        <w:pStyle w:val="1"/>
        <w:rPr>
          <w:u w:val="none"/>
          <w:rtl/>
          <w:lang w:bidi="ar-KW"/>
        </w:rPr>
      </w:pPr>
      <w:r w:rsidRPr="00A52585">
        <w:rPr>
          <w:u w:val="none"/>
          <w:rtl/>
          <w:lang w:bidi="ar-KW"/>
        </w:rPr>
        <w:t>الفصل السادس</w:t>
      </w:r>
      <w:r w:rsidR="00A52585" w:rsidRPr="00A52585">
        <w:rPr>
          <w:rFonts w:hint="cs"/>
          <w:u w:val="none"/>
          <w:rtl/>
          <w:lang w:bidi="ar-KW"/>
        </w:rPr>
        <w:t xml:space="preserve"> </w:t>
      </w:r>
      <w:r w:rsidRPr="00A52585">
        <w:rPr>
          <w:u w:val="none"/>
          <w:rtl/>
          <w:lang w:bidi="ar-KW"/>
        </w:rPr>
        <w:t>فقه المراد بالوجه واليد والعين في القرآن الكريم</w:t>
      </w:r>
    </w:p>
    <w:p w14:paraId="573062D1" w14:textId="77777777" w:rsidR="00777DCB" w:rsidRPr="00A52585" w:rsidRDefault="00777DCB" w:rsidP="0002035C">
      <w:pPr>
        <w:rPr>
          <w:rtl/>
        </w:rPr>
      </w:pPr>
    </w:p>
    <w:p w14:paraId="764BBF2B" w14:textId="68C38928" w:rsidR="00777DCB" w:rsidRPr="00A52585" w:rsidRDefault="0002035C" w:rsidP="0002035C">
      <w:pPr>
        <w:rPr>
          <w:lang w:bidi="ar-KW"/>
        </w:rPr>
      </w:pPr>
      <w:r w:rsidRPr="00A52585">
        <w:rPr>
          <w:rFonts w:hint="cs"/>
          <w:bCs/>
          <w:rtl/>
        </w:rPr>
        <w:t>(</w:t>
      </w:r>
      <w:r w:rsidR="00777DCB" w:rsidRPr="00A52585">
        <w:rPr>
          <w:rFonts w:hint="cs"/>
          <w:bCs/>
          <w:rtl/>
        </w:rPr>
        <w:t>1</w:t>
      </w:r>
      <w:r w:rsidRPr="00A52585">
        <w:rPr>
          <w:rFonts w:hint="cs"/>
          <w:bCs/>
          <w:rtl/>
        </w:rPr>
        <w:t>)</w:t>
      </w:r>
      <w:r w:rsidR="00777DCB" w:rsidRPr="00A52585">
        <w:rPr>
          <w:rFonts w:hint="cs"/>
          <w:bCs/>
          <w:rtl/>
        </w:rPr>
        <w:t xml:space="preserve"> أجمع أهل القبلة عدا المجسمة والمشبهة على تنزيه الله تعالى عن الأجزاء والأعضاء والجوارح تعالى الله عن ذلك علوا كبيرا</w:t>
      </w:r>
      <w:r w:rsidR="00897A24" w:rsidRPr="00A52585">
        <w:rPr>
          <w:rFonts w:hint="cs"/>
          <w:bCs/>
          <w:rtl/>
        </w:rPr>
        <w:t>.</w:t>
      </w:r>
      <w:r w:rsidR="00777DCB" w:rsidRPr="00A52585">
        <w:rPr>
          <w:rFonts w:hint="cs"/>
        </w:rPr>
        <w:t xml:space="preserve"> </w:t>
      </w:r>
      <w:r w:rsidR="00777DCB" w:rsidRPr="00A52585">
        <w:rPr>
          <w:rFonts w:hint="cs"/>
          <w:rtl/>
        </w:rPr>
        <w:t xml:space="preserve">قال تعالى: {قل هو الله أحد} </w:t>
      </w:r>
      <w:r w:rsidRPr="00A52585">
        <w:rPr>
          <w:rFonts w:hint="cs"/>
          <w:rtl/>
        </w:rPr>
        <w:t>[</w:t>
      </w:r>
      <w:r w:rsidR="00777DCB" w:rsidRPr="00A52585">
        <w:rPr>
          <w:rFonts w:hint="cs"/>
          <w:rtl/>
        </w:rPr>
        <w:t>الإخلاص</w:t>
      </w:r>
      <w:r w:rsidRPr="00A52585">
        <w:rPr>
          <w:rFonts w:hint="cs"/>
          <w:rtl/>
        </w:rPr>
        <w:t>:</w:t>
      </w:r>
      <w:r w:rsidR="00777DCB" w:rsidRPr="00A52585">
        <w:rPr>
          <w:rFonts w:hint="cs"/>
          <w:rtl/>
        </w:rPr>
        <w:t xml:space="preserve"> 1</w:t>
      </w:r>
      <w:r w:rsidRPr="00A52585">
        <w:rPr>
          <w:rFonts w:hint="cs"/>
          <w:rtl/>
        </w:rPr>
        <w:t>]</w:t>
      </w:r>
      <w:r w:rsidR="00777DCB" w:rsidRPr="00A52585">
        <w:rPr>
          <w:rFonts w:hint="cs"/>
          <w:rtl/>
        </w:rPr>
        <w:t xml:space="preserve"> ولفظ الأحد مبالغة في الوحدة، وذلك ينافي كونه مركباً من الأجزاء والأبعاض</w:t>
      </w:r>
      <w:r w:rsidR="00DB731D" w:rsidRPr="00A52585">
        <w:rPr>
          <w:rFonts w:hint="cs"/>
          <w:rtl/>
        </w:rPr>
        <w:t>،</w:t>
      </w:r>
      <w:r w:rsidR="00777DCB" w:rsidRPr="00A52585">
        <w:rPr>
          <w:rFonts w:hint="cs"/>
          <w:rtl/>
        </w:rPr>
        <w:t xml:space="preserve"> وقال تعالى: {والله الغني وأنتم الفقراء} (محمد: 38) ولو كان مركباً من</w:t>
      </w:r>
      <w:r w:rsidR="00777DCB" w:rsidRPr="00A52585">
        <w:rPr>
          <w:rFonts w:hint="cs"/>
        </w:rPr>
        <w:t xml:space="preserve"> </w:t>
      </w:r>
      <w:r w:rsidR="00777DCB" w:rsidRPr="00A52585">
        <w:rPr>
          <w:rFonts w:hint="cs"/>
          <w:rtl/>
        </w:rPr>
        <w:t>الأجزاء والأبعاض لكان محتاجاً إليها وذلك يمنع من كونه غنياً على الإطلاق، فثبت</w:t>
      </w:r>
      <w:r w:rsidR="00777DCB" w:rsidRPr="00A52585">
        <w:rPr>
          <w:rFonts w:hint="cs"/>
        </w:rPr>
        <w:t xml:space="preserve"> </w:t>
      </w:r>
      <w:r w:rsidR="00777DCB" w:rsidRPr="00A52585">
        <w:rPr>
          <w:rFonts w:hint="cs"/>
          <w:rtl/>
        </w:rPr>
        <w:t>بهذه الوجوه أن القول بإثبات الأعضاء والأجزاء لله محال</w:t>
      </w:r>
    </w:p>
    <w:p w14:paraId="52F1CD41" w14:textId="1763557D" w:rsidR="00777DCB" w:rsidRPr="00A52585" w:rsidRDefault="00777DCB" w:rsidP="0002035C">
      <w:pPr>
        <w:rPr>
          <w:rtl/>
        </w:rPr>
      </w:pPr>
      <w:r w:rsidRPr="00A52585">
        <w:rPr>
          <w:rFonts w:hint="cs"/>
          <w:bCs/>
          <w:rtl/>
        </w:rPr>
        <w:t>الإمام أحمد</w:t>
      </w:r>
      <w:r w:rsidRPr="00A52585">
        <w:rPr>
          <w:rFonts w:hint="cs"/>
          <w:bCs/>
        </w:rPr>
        <w:t xml:space="preserve"> </w:t>
      </w:r>
      <w:r w:rsidRPr="00A52585">
        <w:rPr>
          <w:rFonts w:hint="cs"/>
          <w:bCs/>
          <w:rtl/>
        </w:rPr>
        <w:t>بن</w:t>
      </w:r>
      <w:r w:rsidRPr="00A52585">
        <w:rPr>
          <w:rFonts w:hint="cs"/>
          <w:bCs/>
        </w:rPr>
        <w:t xml:space="preserve"> </w:t>
      </w:r>
      <w:r w:rsidRPr="00A52585">
        <w:rPr>
          <w:rFonts w:hint="cs"/>
          <w:bCs/>
          <w:rtl/>
        </w:rPr>
        <w:t>حنبل وتنزيه الله تعالى عن الجسمية والصورة والتركيب</w:t>
      </w:r>
      <w:r w:rsidR="0002035C" w:rsidRPr="00A52585">
        <w:rPr>
          <w:rFonts w:hint="cs"/>
          <w:bCs/>
          <w:rtl/>
        </w:rPr>
        <w:t>:</w:t>
      </w:r>
      <w:r w:rsidRPr="00A52585">
        <w:rPr>
          <w:rFonts w:hint="cs"/>
          <w:bCs/>
          <w:rtl/>
        </w:rPr>
        <w:t xml:space="preserve"> </w:t>
      </w:r>
      <w:r w:rsidRPr="00A52585">
        <w:rPr>
          <w:rFonts w:hint="cs"/>
          <w:rtl/>
        </w:rPr>
        <w:t>جاء في كتاب عقيدة الإمام أحمد رحمه الله التي رواها أبو الفضل عبد</w:t>
      </w:r>
      <w:r w:rsidRPr="00A52585">
        <w:rPr>
          <w:rFonts w:hint="cs"/>
        </w:rPr>
        <w:t xml:space="preserve"> </w:t>
      </w:r>
      <w:r w:rsidRPr="00A52585">
        <w:rPr>
          <w:rFonts w:hint="cs"/>
          <w:rtl/>
        </w:rPr>
        <w:t xml:space="preserve">الواحد بن عبد العزيز التميمي </w:t>
      </w:r>
      <w:r w:rsidR="0002035C" w:rsidRPr="00A52585">
        <w:rPr>
          <w:rFonts w:hint="cs"/>
          <w:rtl/>
        </w:rPr>
        <w:t>(</w:t>
      </w:r>
      <w:r w:rsidRPr="00A52585">
        <w:rPr>
          <w:rFonts w:hint="cs"/>
          <w:bCs/>
          <w:rtl/>
        </w:rPr>
        <w:t>ومذهب</w:t>
      </w:r>
      <w:r w:rsidRPr="00A52585">
        <w:rPr>
          <w:rFonts w:hint="cs"/>
          <w:bCs/>
        </w:rPr>
        <w:t xml:space="preserve"> </w:t>
      </w:r>
      <w:r w:rsidRPr="00A52585">
        <w:rPr>
          <w:rFonts w:hint="cs"/>
          <w:bCs/>
          <w:rtl/>
        </w:rPr>
        <w:t>أبي عبد الله أحمد بن حنبل رضي الله عنه أن لله عز وجل</w:t>
      </w:r>
      <w:r w:rsidRPr="00A52585">
        <w:rPr>
          <w:rFonts w:hint="cs"/>
          <w:bCs/>
        </w:rPr>
        <w:t xml:space="preserve"> </w:t>
      </w:r>
      <w:r w:rsidRPr="00A52585">
        <w:rPr>
          <w:rFonts w:hint="cs"/>
          <w:bCs/>
          <w:rtl/>
        </w:rPr>
        <w:t xml:space="preserve">وجها لا كالصور المصورة والأعيان المخططة بل وجهة </w:t>
      </w:r>
      <w:proofErr w:type="spellStart"/>
      <w:r w:rsidRPr="00A52585">
        <w:rPr>
          <w:rFonts w:hint="cs"/>
          <w:bCs/>
          <w:rtl/>
        </w:rPr>
        <w:t>وصفه</w:t>
      </w:r>
      <w:r w:rsidR="00897A24" w:rsidRPr="00A52585">
        <w:rPr>
          <w:rFonts w:hint="cs"/>
          <w:bCs/>
          <w:rtl/>
        </w:rPr>
        <w:t>.</w:t>
      </w:r>
      <w:r w:rsidRPr="00A52585">
        <w:rPr>
          <w:rFonts w:hint="cs"/>
          <w:bCs/>
          <w:rtl/>
        </w:rPr>
        <w:t>.ومن</w:t>
      </w:r>
      <w:proofErr w:type="spellEnd"/>
      <w:r w:rsidRPr="00A52585">
        <w:rPr>
          <w:rFonts w:hint="cs"/>
          <w:bCs/>
          <w:rtl/>
        </w:rPr>
        <w:t xml:space="preserve"> غير</w:t>
      </w:r>
      <w:r w:rsidRPr="00A52585">
        <w:rPr>
          <w:rFonts w:hint="cs"/>
          <w:bCs/>
        </w:rPr>
        <w:t xml:space="preserve"> </w:t>
      </w:r>
      <w:r w:rsidRPr="00A52585">
        <w:rPr>
          <w:rFonts w:hint="cs"/>
          <w:bCs/>
          <w:rtl/>
        </w:rPr>
        <w:t>معناه فقد ألحد عنه وليس</w:t>
      </w:r>
      <w:r w:rsidRPr="00A52585">
        <w:rPr>
          <w:rFonts w:hint="cs"/>
          <w:bCs/>
        </w:rPr>
        <w:t xml:space="preserve"> </w:t>
      </w:r>
      <w:r w:rsidRPr="00A52585">
        <w:rPr>
          <w:rFonts w:hint="cs"/>
          <w:bCs/>
          <w:rtl/>
        </w:rPr>
        <w:t>معنى وجه معنى جسد عنده ولا صورة ولا تخطيط ومن قال ذلك</w:t>
      </w:r>
      <w:r w:rsidRPr="00A52585">
        <w:rPr>
          <w:rFonts w:hint="cs"/>
          <w:bCs/>
        </w:rPr>
        <w:t xml:space="preserve"> </w:t>
      </w:r>
      <w:r w:rsidRPr="00A52585">
        <w:rPr>
          <w:rFonts w:hint="cs"/>
          <w:bCs/>
          <w:rtl/>
        </w:rPr>
        <w:t>فقد ابتدع</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العقيدة للإمام أحمد ج 1/ص 101] أهـ</w:t>
      </w:r>
      <w:r w:rsidR="00DB731D" w:rsidRPr="00A52585">
        <w:rPr>
          <w:rFonts w:hint="cs"/>
          <w:bCs/>
          <w:rtl/>
        </w:rPr>
        <w:t>،</w:t>
      </w:r>
      <w:r w:rsidRPr="00A52585">
        <w:rPr>
          <w:rFonts w:hint="cs"/>
          <w:rtl/>
        </w:rPr>
        <w:t xml:space="preserve"> </w:t>
      </w:r>
      <w:r w:rsidRPr="00A52585">
        <w:rPr>
          <w:rFonts w:hint="cs"/>
          <w:bCs/>
          <w:rtl/>
        </w:rPr>
        <w:t>وجاء فيه أيضا</w:t>
      </w:r>
      <w:r w:rsidR="0002035C" w:rsidRPr="00A52585">
        <w:rPr>
          <w:rFonts w:hint="cs"/>
          <w:bCs/>
          <w:rtl/>
        </w:rPr>
        <w:t xml:space="preserve">: </w:t>
      </w:r>
      <w:r w:rsidRPr="00A52585">
        <w:rPr>
          <w:rFonts w:hint="cs"/>
          <w:rtl/>
        </w:rPr>
        <w:t xml:space="preserve">" </w:t>
      </w:r>
      <w:r w:rsidRPr="00A52585">
        <w:rPr>
          <w:rFonts w:hint="cs"/>
          <w:bCs/>
          <w:rtl/>
        </w:rPr>
        <w:t>لا</w:t>
      </w:r>
      <w:r w:rsidRPr="00A52585">
        <w:rPr>
          <w:rFonts w:hint="cs"/>
          <w:bCs/>
        </w:rPr>
        <w:t xml:space="preserve"> </w:t>
      </w:r>
      <w:r w:rsidRPr="00A52585">
        <w:rPr>
          <w:rFonts w:hint="cs"/>
          <w:bCs/>
          <w:rtl/>
        </w:rPr>
        <w:t>يجوز أن يسمى جسما</w:t>
      </w:r>
      <w:r w:rsidR="0002035C" w:rsidRPr="00A52585">
        <w:rPr>
          <w:rFonts w:hint="cs"/>
          <w:bCs/>
          <w:rtl/>
        </w:rPr>
        <w:t xml:space="preserve"> </w:t>
      </w:r>
      <w:r w:rsidRPr="00A52585">
        <w:rPr>
          <w:rFonts w:hint="cs"/>
          <w:bCs/>
          <w:rtl/>
        </w:rPr>
        <w:t>وأنكر</w:t>
      </w:r>
      <w:r w:rsidRPr="00A52585">
        <w:rPr>
          <w:rFonts w:hint="cs"/>
          <w:bCs/>
        </w:rPr>
        <w:t xml:space="preserve"> </w:t>
      </w:r>
      <w:r w:rsidR="0002035C" w:rsidRPr="00A52585">
        <w:rPr>
          <w:rFonts w:hint="cs"/>
          <w:bCs/>
          <w:rtl/>
        </w:rPr>
        <w:t>(</w:t>
      </w:r>
      <w:r w:rsidRPr="00A52585">
        <w:rPr>
          <w:rFonts w:hint="cs"/>
          <w:bCs/>
          <w:rtl/>
        </w:rPr>
        <w:t>أي الإمام أحمد</w:t>
      </w:r>
      <w:r w:rsidR="0002035C" w:rsidRPr="00A52585">
        <w:rPr>
          <w:rFonts w:hint="cs"/>
          <w:bCs/>
          <w:rtl/>
        </w:rPr>
        <w:t>)</w:t>
      </w:r>
      <w:r w:rsidRPr="00A52585">
        <w:rPr>
          <w:rFonts w:hint="cs"/>
          <w:bCs/>
          <w:rtl/>
        </w:rPr>
        <w:t xml:space="preserve"> على من يقول بالجسم وقال إن</w:t>
      </w:r>
      <w:r w:rsidRPr="00A52585">
        <w:rPr>
          <w:rFonts w:hint="cs"/>
          <w:bCs/>
        </w:rPr>
        <w:t xml:space="preserve"> </w:t>
      </w:r>
      <w:r w:rsidRPr="00A52585">
        <w:rPr>
          <w:rFonts w:hint="cs"/>
          <w:bCs/>
          <w:rtl/>
        </w:rPr>
        <w:t xml:space="preserve">الأسماء مأخوذة بالشريعة واللغة وأهل اللغة وضعوا هذا </w:t>
      </w:r>
      <w:proofErr w:type="spellStart"/>
      <w:r w:rsidRPr="00A52585">
        <w:rPr>
          <w:rFonts w:hint="cs"/>
          <w:bCs/>
          <w:rtl/>
        </w:rPr>
        <w:t>الأسم</w:t>
      </w:r>
      <w:proofErr w:type="spellEnd"/>
      <w:r w:rsidRPr="00A52585">
        <w:rPr>
          <w:rFonts w:hint="cs"/>
          <w:bCs/>
          <w:rtl/>
        </w:rPr>
        <w:t xml:space="preserve"> على كل ذي طول وعرض وسمك</w:t>
      </w:r>
      <w:r w:rsidRPr="00A52585">
        <w:rPr>
          <w:rFonts w:hint="cs"/>
          <w:bCs/>
        </w:rPr>
        <w:t xml:space="preserve"> </w:t>
      </w:r>
      <w:r w:rsidRPr="00A52585">
        <w:rPr>
          <w:rFonts w:hint="cs"/>
          <w:bCs/>
          <w:rtl/>
        </w:rPr>
        <w:t>وتركيب وصورة وتأليف والله تعالى خارج عن ذلك كله فلم يجز أن يسمى جسما لخروجه عن</w:t>
      </w:r>
      <w:r w:rsidRPr="00A52585">
        <w:rPr>
          <w:rFonts w:hint="cs"/>
          <w:bCs/>
        </w:rPr>
        <w:t xml:space="preserve"> </w:t>
      </w:r>
      <w:r w:rsidRPr="00A52585">
        <w:rPr>
          <w:rFonts w:hint="cs"/>
          <w:bCs/>
          <w:rtl/>
        </w:rPr>
        <w:t>معنى الجسمية ولم يجيء في الشريعة ذلك فبطل</w:t>
      </w:r>
      <w:r w:rsidR="0002035C" w:rsidRPr="00A52585">
        <w:rPr>
          <w:rFonts w:hint="cs"/>
          <w:bCs/>
          <w:rtl/>
        </w:rPr>
        <w:t xml:space="preserve"> </w:t>
      </w:r>
      <w:r w:rsidRPr="00A52585">
        <w:rPr>
          <w:rFonts w:hint="cs"/>
          <w:bCs/>
          <w:rtl/>
        </w:rPr>
        <w:t xml:space="preserve">" </w:t>
      </w:r>
      <w:r w:rsidRPr="00A52585">
        <w:rPr>
          <w:rFonts w:hint="cs"/>
          <w:rtl/>
        </w:rPr>
        <w:t>[العقيدة ج 1 /ص 111] أهـ</w:t>
      </w:r>
      <w:r w:rsidR="0002035C" w:rsidRPr="00A52585">
        <w:rPr>
          <w:rFonts w:hint="cs"/>
          <w:rtl/>
        </w:rPr>
        <w:t xml:space="preserve"> </w:t>
      </w:r>
    </w:p>
    <w:p w14:paraId="215C218A" w14:textId="3DB9E914" w:rsidR="00777DCB" w:rsidRPr="00A52585" w:rsidRDefault="00777DCB" w:rsidP="0002035C">
      <w:pPr>
        <w:rPr>
          <w:rtl/>
        </w:rPr>
      </w:pPr>
      <w:r w:rsidRPr="00A52585">
        <w:rPr>
          <w:rFonts w:hint="cs"/>
          <w:bCs/>
          <w:rtl/>
        </w:rPr>
        <w:lastRenderedPageBreak/>
        <w:t>وقال مرعي بن يوسف المقدسي الحنبلي في كتابه أقاويل الثقات</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02035C" w:rsidRPr="00A52585">
        <w:rPr>
          <w:rFonts w:hint="cs"/>
          <w:rtl/>
        </w:rPr>
        <w:t xml:space="preserve"> </w:t>
      </w:r>
      <w:r w:rsidRPr="00A52585">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إلى أن قال</w:t>
      </w:r>
      <w:r w:rsidR="0002035C" w:rsidRPr="00A52585">
        <w:rPr>
          <w:rFonts w:hint="cs"/>
          <w:rtl/>
        </w:rPr>
        <w:t>:</w:t>
      </w:r>
      <w:r w:rsidRPr="00A52585">
        <w:rPr>
          <w:rFonts w:hint="cs"/>
          <w:rtl/>
        </w:rPr>
        <w:t xml:space="preserve"> </w:t>
      </w:r>
      <w:r w:rsidRPr="00A52585">
        <w:rPr>
          <w:rFonts w:hint="cs"/>
          <w:bCs/>
          <w:rtl/>
        </w:rPr>
        <w:t>وغلت طائفة أخرى في الإثبات فشبهته فأثبتت له الصورة والجوارح</w:t>
      </w:r>
      <w:r w:rsidRPr="00A52585">
        <w:rPr>
          <w:rFonts w:hint="cs"/>
          <w:rtl/>
        </w:rPr>
        <w:t xml:space="preserve"> حتى إن الهشامية من غلاة الرافضة زعموا كما قال القرطبي أن معبودهم سبعة أشبار بشبر نفسه </w:t>
      </w:r>
      <w:r w:rsidRPr="00A52585">
        <w:rPr>
          <w:rFonts w:hint="cs"/>
          <w:bCs/>
          <w:rtl/>
        </w:rPr>
        <w:t>وقالت الكرامية إنه</w:t>
      </w:r>
      <w:r w:rsidR="0002035C" w:rsidRPr="00A52585">
        <w:rPr>
          <w:rFonts w:hint="cs"/>
          <w:bCs/>
          <w:rtl/>
        </w:rPr>
        <w:t xml:space="preserve"> </w:t>
      </w:r>
      <w:r w:rsidRPr="00A52585">
        <w:rPr>
          <w:rFonts w:hint="cs"/>
          <w:bCs/>
          <w:rtl/>
        </w:rPr>
        <w:t>جسم</w:t>
      </w:r>
      <w:r w:rsidR="0002035C" w:rsidRPr="00A52585">
        <w:rPr>
          <w:rFonts w:hint="cs"/>
          <w:rtl/>
        </w:rPr>
        <w:t xml:space="preserve"> </w:t>
      </w:r>
      <w:r w:rsidRPr="00A52585">
        <w:rPr>
          <w:rFonts w:hint="cs"/>
          <w:rtl/>
        </w:rPr>
        <w:t>قال</w:t>
      </w:r>
      <w:r w:rsidR="0002035C" w:rsidRPr="00A52585">
        <w:rPr>
          <w:rFonts w:hint="cs"/>
          <w:rtl/>
        </w:rPr>
        <w:t>:</w:t>
      </w:r>
      <w:r w:rsidRPr="00A52585">
        <w:rPr>
          <w:rFonts w:hint="cs"/>
          <w:rtl/>
        </w:rPr>
        <w:t xml:space="preserve"> </w:t>
      </w:r>
      <w:r w:rsidRPr="00A52585">
        <w:rPr>
          <w:rFonts w:hint="cs"/>
          <w:bCs/>
          <w:rtl/>
        </w:rPr>
        <w:t xml:space="preserve">وقد بالغ بعض أهل الإغواء فقال إنه على صورة الإنسان </w:t>
      </w:r>
      <w:r w:rsidRPr="00A52585">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A52585">
        <w:rPr>
          <w:rFonts w:hint="cs"/>
          <w:bCs/>
          <w:rtl/>
        </w:rPr>
        <w:t>تعالى الله عن أقوالهم علو كبيرا</w:t>
      </w:r>
      <w:r w:rsidRPr="00A52585">
        <w:rPr>
          <w:rFonts w:hint="cs"/>
          <w:rtl/>
        </w:rPr>
        <w:t xml:space="preserve"> وعن مثله نهى الله تعالى بقوله تعالى</w:t>
      </w:r>
      <w:r w:rsidR="0002035C" w:rsidRPr="00A52585">
        <w:rPr>
          <w:rFonts w:hint="cs"/>
          <w:rtl/>
        </w:rPr>
        <w:t>:</w:t>
      </w:r>
      <w:r w:rsidRPr="00A52585">
        <w:rPr>
          <w:rFonts w:hint="cs"/>
          <w:rtl/>
        </w:rPr>
        <w:t xml:space="preserve"> (</w:t>
      </w:r>
      <w:r w:rsidRPr="00A52585">
        <w:rPr>
          <w:rFonts w:hint="cs"/>
          <w:bCs/>
          <w:rtl/>
        </w:rPr>
        <w:t>يا أهل الكتاب لا تغلو في دينكم ولا تقولوا على الله إلا الحق</w:t>
      </w:r>
      <w:r w:rsidR="0002035C" w:rsidRPr="00A52585">
        <w:rPr>
          <w:rFonts w:hint="cs"/>
          <w:rtl/>
        </w:rPr>
        <w:t>)</w:t>
      </w:r>
      <w:r w:rsidRPr="00A52585">
        <w:rPr>
          <w:rFonts w:hint="cs"/>
          <w:rtl/>
        </w:rPr>
        <w:t xml:space="preserve"> [النساء /171</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[أقاويل الثقات ج: 1 ص: 134\135] أهـ </w:t>
      </w:r>
    </w:p>
    <w:p w14:paraId="667F6653" w14:textId="6AC948DB" w:rsidR="00777DCB" w:rsidRPr="00A52585" w:rsidRDefault="0002035C" w:rsidP="0002035C">
      <w:pPr>
        <w:rPr>
          <w:rtl/>
        </w:rPr>
      </w:pPr>
      <w:r w:rsidRPr="00A52585">
        <w:rPr>
          <w:rFonts w:hint="cs"/>
          <w:bCs/>
          <w:rtl/>
        </w:rPr>
        <w:t>(</w:t>
      </w:r>
      <w:r w:rsidR="00777DCB" w:rsidRPr="00A52585">
        <w:rPr>
          <w:rFonts w:hint="cs"/>
          <w:bCs/>
          <w:rtl/>
        </w:rPr>
        <w:t>2</w:t>
      </w:r>
      <w:r w:rsidRPr="00A52585">
        <w:rPr>
          <w:rFonts w:hint="cs"/>
          <w:bCs/>
          <w:rtl/>
        </w:rPr>
        <w:t>)</w:t>
      </w:r>
      <w:r w:rsidR="00777DCB" w:rsidRPr="00A52585">
        <w:rPr>
          <w:rFonts w:hint="cs"/>
          <w:bCs/>
          <w:rtl/>
        </w:rPr>
        <w:t xml:space="preserve"> فصل</w:t>
      </w:r>
      <w:r w:rsidRPr="00A52585">
        <w:rPr>
          <w:rFonts w:hint="cs"/>
          <w:bCs/>
          <w:rtl/>
        </w:rPr>
        <w:t>:</w:t>
      </w:r>
      <w:r w:rsidR="00777DCB" w:rsidRPr="00A52585">
        <w:rPr>
          <w:rFonts w:hint="cs"/>
          <w:bCs/>
          <w:rtl/>
        </w:rPr>
        <w:t xml:space="preserve"> ما جاء في الوجه</w:t>
      </w:r>
      <w:r w:rsidRPr="00A52585">
        <w:rPr>
          <w:rFonts w:hint="cs"/>
          <w:bCs/>
          <w:rtl/>
        </w:rPr>
        <w:t xml:space="preserve"> </w:t>
      </w:r>
      <w:r w:rsidR="00777DCB" w:rsidRPr="00A52585">
        <w:rPr>
          <w:rFonts w:hint="cs"/>
          <w:bCs/>
          <w:rtl/>
        </w:rPr>
        <w:t>مضافاً إلى الله تعالى</w:t>
      </w:r>
      <w:r w:rsidRPr="00A52585">
        <w:rPr>
          <w:rFonts w:hint="cs"/>
          <w:bCs/>
          <w:rtl/>
        </w:rPr>
        <w:t>:</w:t>
      </w:r>
      <w:r w:rsidR="00777DCB" w:rsidRPr="00A52585">
        <w:rPr>
          <w:rFonts w:hint="cs"/>
          <w:bCs/>
          <w:rtl/>
        </w:rPr>
        <w:t xml:space="preserve"> </w:t>
      </w:r>
      <w:r w:rsidR="00777DCB" w:rsidRPr="00A52585">
        <w:rPr>
          <w:rFonts w:hint="cs"/>
          <w:rtl/>
        </w:rPr>
        <w:t>وذلك في عشر آيات في القصص</w:t>
      </w:r>
      <w:r w:rsidRPr="00A52585">
        <w:rPr>
          <w:rFonts w:hint="cs"/>
          <w:rtl/>
        </w:rPr>
        <w:t xml:space="preserve"> </w:t>
      </w:r>
      <w:r w:rsidR="00777DCB" w:rsidRPr="00A52585">
        <w:rPr>
          <w:rFonts w:hint="cs"/>
          <w:rtl/>
        </w:rPr>
        <w:t>(كل شيء هالك إلا وجهه</w:t>
      </w:r>
      <w:r w:rsidRPr="00A52585">
        <w:rPr>
          <w:rFonts w:hint="cs"/>
          <w:rtl/>
        </w:rPr>
        <w:t>)</w:t>
      </w:r>
      <w:r w:rsidR="00777DCB" w:rsidRPr="00A52585">
        <w:rPr>
          <w:rFonts w:hint="cs"/>
          <w:rtl/>
        </w:rPr>
        <w:t xml:space="preserve"> وفي الروم</w:t>
      </w:r>
      <w:r w:rsidRPr="00A52585">
        <w:rPr>
          <w:rFonts w:hint="cs"/>
          <w:rtl/>
        </w:rPr>
        <w:t xml:space="preserve"> (</w:t>
      </w:r>
      <w:r w:rsidR="00777DCB" w:rsidRPr="00A52585">
        <w:rPr>
          <w:rFonts w:hint="cs"/>
          <w:rtl/>
        </w:rPr>
        <w:t>ذلك خير للذين يريدون وجه الله</w:t>
      </w:r>
      <w:r w:rsidRPr="00A52585">
        <w:rPr>
          <w:rFonts w:hint="cs"/>
          <w:rtl/>
        </w:rPr>
        <w:t>)</w:t>
      </w:r>
      <w:r w:rsidR="00777DCB" w:rsidRPr="00A52585">
        <w:rPr>
          <w:rFonts w:hint="cs"/>
          <w:rtl/>
        </w:rPr>
        <w:t xml:space="preserve"> وفيها </w:t>
      </w:r>
      <w:r w:rsidRPr="00A52585">
        <w:rPr>
          <w:rFonts w:hint="cs"/>
          <w:rtl/>
        </w:rPr>
        <w:t>(</w:t>
      </w:r>
      <w:r w:rsidR="00777DCB" w:rsidRPr="00A52585">
        <w:rPr>
          <w:rFonts w:hint="cs"/>
          <w:rtl/>
        </w:rPr>
        <w:t>وما آتيتم من زكاة تريدون وجه الله</w:t>
      </w:r>
      <w:r w:rsidRPr="00A52585">
        <w:rPr>
          <w:rFonts w:hint="cs"/>
          <w:rtl/>
        </w:rPr>
        <w:t>)</w:t>
      </w:r>
      <w:r w:rsidR="00777DCB" w:rsidRPr="00A52585">
        <w:rPr>
          <w:rFonts w:hint="cs"/>
          <w:rtl/>
        </w:rPr>
        <w:t xml:space="preserve"> وفي الرحمن (ويبقى وجه ربك ذي الجلال والإكرام</w:t>
      </w:r>
      <w:r w:rsidRPr="00A52585">
        <w:rPr>
          <w:rFonts w:hint="cs"/>
          <w:rtl/>
        </w:rPr>
        <w:t xml:space="preserve">) </w:t>
      </w:r>
      <w:r w:rsidR="00777DCB" w:rsidRPr="00A52585">
        <w:rPr>
          <w:rFonts w:hint="cs"/>
          <w:rtl/>
        </w:rPr>
        <w:t xml:space="preserve">وفي البقرة </w:t>
      </w:r>
      <w:r w:rsidRPr="00A52585">
        <w:rPr>
          <w:rFonts w:hint="cs"/>
          <w:rtl/>
        </w:rPr>
        <w:t>(</w:t>
      </w:r>
      <w:r w:rsidR="00777DCB" w:rsidRPr="00A52585">
        <w:rPr>
          <w:rFonts w:hint="cs"/>
          <w:rtl/>
        </w:rPr>
        <w:t>فأينما تولوا فثم وجه الله</w:t>
      </w:r>
      <w:r w:rsidRPr="00A52585">
        <w:rPr>
          <w:rFonts w:hint="cs"/>
          <w:rtl/>
        </w:rPr>
        <w:t>)</w:t>
      </w:r>
      <w:r w:rsidR="00777DCB" w:rsidRPr="00A52585">
        <w:rPr>
          <w:rFonts w:hint="cs"/>
          <w:rtl/>
        </w:rPr>
        <w:t xml:space="preserve"> وفي الأنعام</w:t>
      </w:r>
      <w:r w:rsidRPr="00A52585">
        <w:rPr>
          <w:rFonts w:hint="cs"/>
          <w:rtl/>
        </w:rPr>
        <w:t xml:space="preserve"> </w:t>
      </w:r>
      <w:r w:rsidR="00777DCB" w:rsidRPr="00A52585">
        <w:rPr>
          <w:rFonts w:hint="cs"/>
          <w:rtl/>
        </w:rPr>
        <w:t>(يدعون ربهم بالغداة والعشي يريدون وجهه</w:t>
      </w:r>
      <w:r w:rsidRPr="00A52585">
        <w:rPr>
          <w:rFonts w:hint="cs"/>
          <w:rtl/>
        </w:rPr>
        <w:t xml:space="preserve">) </w:t>
      </w:r>
      <w:r w:rsidR="00777DCB" w:rsidRPr="00A52585">
        <w:rPr>
          <w:rFonts w:hint="cs"/>
          <w:rtl/>
        </w:rPr>
        <w:t xml:space="preserve">وفي الكهف </w:t>
      </w:r>
      <w:r w:rsidRPr="00A52585">
        <w:rPr>
          <w:rFonts w:hint="cs"/>
          <w:rtl/>
        </w:rPr>
        <w:t>(</w:t>
      </w:r>
      <w:r w:rsidR="00777DCB" w:rsidRPr="00A52585">
        <w:rPr>
          <w:rFonts w:hint="cs"/>
          <w:rtl/>
        </w:rPr>
        <w:t>يريدون وجهه</w:t>
      </w:r>
      <w:r w:rsidRPr="00A52585">
        <w:rPr>
          <w:rFonts w:hint="cs"/>
          <w:rtl/>
        </w:rPr>
        <w:t>)</w:t>
      </w:r>
      <w:r w:rsidR="00777DCB" w:rsidRPr="00A52585">
        <w:rPr>
          <w:rFonts w:hint="cs"/>
          <w:rtl/>
        </w:rPr>
        <w:t xml:space="preserve"> وفي سورة الرعد</w:t>
      </w:r>
      <w:r w:rsidRPr="00A52585">
        <w:rPr>
          <w:rFonts w:hint="cs"/>
          <w:rtl/>
        </w:rPr>
        <w:t xml:space="preserve"> (</w:t>
      </w:r>
      <w:r w:rsidR="00777DCB" w:rsidRPr="00A52585">
        <w:rPr>
          <w:rFonts w:hint="cs"/>
          <w:rtl/>
        </w:rPr>
        <w:t>والذين صبروا ابتغاء وجه ربهم</w:t>
      </w:r>
      <w:r w:rsidRPr="00A52585">
        <w:rPr>
          <w:rFonts w:hint="cs"/>
          <w:rtl/>
        </w:rPr>
        <w:t xml:space="preserve">) </w:t>
      </w:r>
      <w:r w:rsidR="00777DCB" w:rsidRPr="00A52585">
        <w:rPr>
          <w:rFonts w:hint="cs"/>
          <w:rtl/>
        </w:rPr>
        <w:t>وفي الانسان</w:t>
      </w:r>
      <w:r w:rsidRPr="00A52585">
        <w:rPr>
          <w:rFonts w:hint="cs"/>
          <w:rtl/>
        </w:rPr>
        <w:t xml:space="preserve"> (</w:t>
      </w:r>
      <w:r w:rsidR="00777DCB" w:rsidRPr="00A52585">
        <w:rPr>
          <w:rFonts w:hint="cs"/>
          <w:rtl/>
        </w:rPr>
        <w:t>إنما نطعمكم لوجه الله</w:t>
      </w:r>
      <w:r w:rsidRPr="00A52585">
        <w:rPr>
          <w:rFonts w:hint="cs"/>
          <w:rtl/>
        </w:rPr>
        <w:t xml:space="preserve">) </w:t>
      </w:r>
      <w:r w:rsidR="00777DCB" w:rsidRPr="00A52585">
        <w:rPr>
          <w:rFonts w:hint="cs"/>
          <w:rtl/>
        </w:rPr>
        <w:t>وفي الليل</w:t>
      </w:r>
      <w:r w:rsidRPr="00A52585">
        <w:rPr>
          <w:rFonts w:hint="cs"/>
          <w:rtl/>
        </w:rPr>
        <w:t xml:space="preserve"> (</w:t>
      </w:r>
      <w:r w:rsidR="00777DCB" w:rsidRPr="00A52585">
        <w:rPr>
          <w:rFonts w:hint="cs"/>
          <w:rtl/>
        </w:rPr>
        <w:t>وما لأحد عنده من نعمة تجزى إلا ابتغاء وجه ربه الأعلى</w:t>
      </w:r>
      <w:r w:rsidRPr="00A52585">
        <w:rPr>
          <w:rFonts w:hint="cs"/>
          <w:rtl/>
        </w:rPr>
        <w:t>)</w:t>
      </w:r>
    </w:p>
    <w:p w14:paraId="40856B06" w14:textId="3DD9A2A5" w:rsidR="00777DCB" w:rsidRPr="00A52585" w:rsidRDefault="0002035C" w:rsidP="0002035C">
      <w:pPr>
        <w:rPr>
          <w:rtl/>
        </w:rPr>
      </w:pPr>
      <w:r w:rsidRPr="00A52585">
        <w:rPr>
          <w:rFonts w:hint="cs"/>
          <w:bCs/>
          <w:rtl/>
        </w:rPr>
        <w:t>(</w:t>
      </w:r>
      <w:r w:rsidR="00777DCB" w:rsidRPr="00A52585">
        <w:rPr>
          <w:rFonts w:hint="cs"/>
          <w:bCs/>
          <w:rtl/>
        </w:rPr>
        <w:t>3</w:t>
      </w:r>
      <w:r w:rsidRPr="00A52585">
        <w:rPr>
          <w:rFonts w:hint="cs"/>
          <w:bCs/>
          <w:rtl/>
        </w:rPr>
        <w:t>)</w:t>
      </w:r>
      <w:r w:rsidR="00777DCB" w:rsidRPr="00A52585">
        <w:rPr>
          <w:rFonts w:hint="cs"/>
          <w:bCs/>
          <w:rtl/>
        </w:rPr>
        <w:t xml:space="preserve"> تمهيد</w:t>
      </w:r>
      <w:r w:rsidRPr="00A52585">
        <w:rPr>
          <w:rFonts w:hint="cs"/>
          <w:bCs/>
          <w:rtl/>
        </w:rPr>
        <w:t>:</w:t>
      </w:r>
      <w:r w:rsidR="00777DCB" w:rsidRPr="00A52585">
        <w:rPr>
          <w:rFonts w:hint="cs"/>
          <w:bCs/>
          <w:rtl/>
        </w:rPr>
        <w:t xml:space="preserve"> يتناول مجاز الوجه في القرآن:</w:t>
      </w:r>
      <w:r w:rsidR="00777DCB" w:rsidRPr="00A52585">
        <w:rPr>
          <w:rFonts w:hint="cs"/>
          <w:rtl/>
        </w:rPr>
        <w:t xml:space="preserve"> المتدبر لآيات القرآن يعلم يقينا أن الوجه يستعمل فيه في مجازات متعددة لا يمكن إنكارها ومثالها</w:t>
      </w:r>
      <w:r w:rsidRPr="00A52585">
        <w:rPr>
          <w:rFonts w:hint="cs"/>
          <w:rtl/>
        </w:rPr>
        <w:t>:</w:t>
      </w:r>
      <w:r w:rsidR="00777DCB" w:rsidRPr="00A52585">
        <w:rPr>
          <w:rFonts w:hint="cs"/>
          <w:bCs/>
          <w:rtl/>
        </w:rPr>
        <w:t xml:space="preserve"> قوله تعالى </w:t>
      </w:r>
      <w:r w:rsidRPr="00A52585">
        <w:rPr>
          <w:rFonts w:hint="cs"/>
          <w:bCs/>
          <w:rtl/>
        </w:rPr>
        <w:t>{</w:t>
      </w:r>
      <w:r w:rsidR="00777DCB" w:rsidRPr="00A52585">
        <w:rPr>
          <w:rFonts w:hint="cs"/>
          <w:rtl/>
        </w:rPr>
        <w:t>وَقَالَت طَّآئِفَةٌ مِّنْ أَهْلِ الْكِتَابِ آمِنُواْ بِالَّذِيَ أُنزِلَ عَلَى الَّذِينَ آمَنُواْ وَجْهَ النَّهَارِ وَاكْفُرُواْ آخِرَهُ لَعَلَّهُمْ يَرْجِعُونَ</w:t>
      </w:r>
      <w:r w:rsidRPr="00A52585">
        <w:rPr>
          <w:rFonts w:hint="cs"/>
          <w:rtl/>
        </w:rPr>
        <w:t>}</w:t>
      </w:r>
      <w:r w:rsidR="00777DCB" w:rsidRPr="00A52585">
        <w:rPr>
          <w:rFonts w:hint="cs"/>
          <w:rtl/>
        </w:rPr>
        <w:t xml:space="preserve"> [آل عمران/72]</w:t>
      </w:r>
      <w:r w:rsidR="00DB731D" w:rsidRPr="00A52585">
        <w:rPr>
          <w:rFonts w:hint="cs"/>
          <w:rtl/>
        </w:rPr>
        <w:t>،</w:t>
      </w:r>
      <w:r w:rsidR="00777DCB" w:rsidRPr="00A52585">
        <w:rPr>
          <w:rFonts w:hint="cs"/>
          <w:rtl/>
        </w:rPr>
        <w:t xml:space="preserve"> فهل للنهار وجه على الحقيقة _ والوجه إذا قيل له على الحقيقة قصد به الجارحة المعروفة _ وهل تفيد الآية إثبات الوجه </w:t>
      </w:r>
      <w:r w:rsidR="00777DCB" w:rsidRPr="00A52585">
        <w:rPr>
          <w:rFonts w:hint="cs"/>
          <w:rtl/>
        </w:rPr>
        <w:lastRenderedPageBreak/>
        <w:t>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DB731D" w:rsidRPr="00A52585">
        <w:rPr>
          <w:rFonts w:hint="cs"/>
          <w:rtl/>
        </w:rPr>
        <w:t>،</w:t>
      </w:r>
      <w:r w:rsidR="00777DCB" w:rsidRPr="00A52585">
        <w:rPr>
          <w:rFonts w:hint="cs"/>
          <w:rtl/>
        </w:rPr>
        <w:t xml:space="preserve"> والعرب تستعمل الوجه في معانٍ كثيرة</w:t>
      </w:r>
      <w:r w:rsidR="00DB731D" w:rsidRPr="00A52585">
        <w:rPr>
          <w:rFonts w:hint="cs"/>
          <w:rtl/>
        </w:rPr>
        <w:t>،</w:t>
      </w:r>
      <w:r w:rsidR="00777DCB" w:rsidRPr="00A52585">
        <w:rPr>
          <w:rFonts w:hint="cs"/>
          <w:rtl/>
        </w:rPr>
        <w:t xml:space="preserve"> فيقولون هذا الرجل وجه الناس ويقصدون المقدم فيهم والمفضل عندهم</w:t>
      </w:r>
      <w:r w:rsidR="00DB731D" w:rsidRPr="00A52585">
        <w:rPr>
          <w:rFonts w:hint="cs"/>
          <w:rtl/>
        </w:rPr>
        <w:t>،</w:t>
      </w:r>
      <w:r w:rsidR="00777DCB" w:rsidRPr="00A52585">
        <w:rPr>
          <w:rFonts w:hint="cs"/>
          <w:rtl/>
        </w:rPr>
        <w:t xml:space="preserve"> ومنه قوله تعالى </w:t>
      </w:r>
      <w:r w:rsidRPr="00A52585">
        <w:rPr>
          <w:rFonts w:hint="cs"/>
          <w:rtl/>
        </w:rPr>
        <w:t>(</w:t>
      </w:r>
      <w:r w:rsidR="00777DCB" w:rsidRPr="00A52585">
        <w:rPr>
          <w:rFonts w:hint="cs"/>
          <w:rtl/>
        </w:rPr>
        <w:t>وكان عند الله وجيها</w:t>
      </w:r>
      <w:r w:rsidRPr="00A52585">
        <w:rPr>
          <w:rFonts w:hint="cs"/>
          <w:rtl/>
        </w:rPr>
        <w:t xml:space="preserve">) </w:t>
      </w:r>
      <w:r w:rsidR="00777DCB" w:rsidRPr="00A52585">
        <w:rPr>
          <w:rFonts w:hint="cs"/>
          <w:rtl/>
        </w:rPr>
        <w:t>أي ذا منزلة عند الله</w:t>
      </w:r>
      <w:r w:rsidR="00DB731D" w:rsidRPr="00A52585">
        <w:rPr>
          <w:rFonts w:hint="cs"/>
          <w:rtl/>
        </w:rPr>
        <w:t>،</w:t>
      </w:r>
      <w:r w:rsidR="00777DCB" w:rsidRPr="00A52585">
        <w:rPr>
          <w:rFonts w:hint="cs"/>
          <w:rtl/>
        </w:rPr>
        <w:t xml:space="preserve"> ويقولون وجه الثياب ويقصدون أفضله وأجوده</w:t>
      </w:r>
      <w:r w:rsidR="00DB731D" w:rsidRPr="00A52585">
        <w:rPr>
          <w:rFonts w:hint="cs"/>
          <w:rtl/>
        </w:rPr>
        <w:t>،</w:t>
      </w:r>
      <w:r w:rsidR="00777DCB" w:rsidRPr="00A52585">
        <w:rPr>
          <w:rFonts w:hint="cs"/>
          <w:rtl/>
        </w:rPr>
        <w:t xml:space="preserve"> ويقولون وجه الصواب وعين الصواب ولا يقصدون أن للصواب وجه أو عين </w:t>
      </w:r>
    </w:p>
    <w:p w14:paraId="59679C18" w14:textId="2784CA2B" w:rsidR="00777DCB" w:rsidRPr="00A52585" w:rsidRDefault="00777DCB" w:rsidP="0002035C">
      <w:pPr>
        <w:rPr>
          <w:rtl/>
        </w:rPr>
      </w:pPr>
      <w:r w:rsidRPr="00A52585">
        <w:rPr>
          <w:rFonts w:hint="cs"/>
          <w:bCs/>
          <w:rtl/>
        </w:rPr>
        <w:t>قوله تعالى</w:t>
      </w:r>
      <w:r w:rsidR="0002035C" w:rsidRPr="00A52585">
        <w:rPr>
          <w:rFonts w:hint="cs"/>
          <w:bCs/>
          <w:rtl/>
        </w:rPr>
        <w:t>:</w:t>
      </w:r>
      <w:r w:rsidRPr="00A52585">
        <w:rPr>
          <w:rFonts w:hint="cs"/>
          <w:bCs/>
          <w:rtl/>
        </w:rPr>
        <w:t xml:space="preserve"> {</w:t>
      </w:r>
      <w:r w:rsidRPr="00A52585">
        <w:rPr>
          <w:rFonts w:hint="cs"/>
          <w:rtl/>
        </w:rPr>
        <w:t>ذَلِكَ أَدْنَى</w:t>
      </w:r>
      <w:r w:rsidRPr="00A52585">
        <w:rPr>
          <w:rFonts w:hint="cs"/>
        </w:rPr>
        <w:t xml:space="preserve"> </w:t>
      </w:r>
      <w:r w:rsidRPr="00A52585">
        <w:rPr>
          <w:rFonts w:hint="cs"/>
          <w:rtl/>
        </w:rPr>
        <w:t>أَن</w:t>
      </w:r>
      <w:r w:rsidRPr="00A52585">
        <w:rPr>
          <w:rFonts w:hint="cs"/>
        </w:rPr>
        <w:t xml:space="preserve"> </w:t>
      </w:r>
      <w:r w:rsidRPr="00A52585">
        <w:rPr>
          <w:rFonts w:hint="cs"/>
          <w:rtl/>
        </w:rPr>
        <w:t>يَأْتُواْ بِالشَّهَادَةِ</w:t>
      </w:r>
      <w:r w:rsidRPr="00A52585">
        <w:rPr>
          <w:rFonts w:hint="cs"/>
        </w:rPr>
        <w:t xml:space="preserve"> </w:t>
      </w:r>
      <w:r w:rsidRPr="00A52585">
        <w:rPr>
          <w:rFonts w:hint="cs"/>
          <w:rtl/>
        </w:rPr>
        <w:t>عَلَى وَجْهِهَا أَوْ</w:t>
      </w:r>
      <w:r w:rsidRPr="00A52585">
        <w:rPr>
          <w:rFonts w:hint="cs"/>
        </w:rPr>
        <w:t xml:space="preserve"> </w:t>
      </w:r>
      <w:r w:rsidRPr="00A52585">
        <w:rPr>
          <w:rFonts w:hint="cs"/>
          <w:rtl/>
        </w:rPr>
        <w:t>يَخَافُواْ أَن تُرَدَّ</w:t>
      </w:r>
      <w:r w:rsidRPr="00A52585">
        <w:rPr>
          <w:rFonts w:hint="cs"/>
        </w:rPr>
        <w:t xml:space="preserve"> </w:t>
      </w:r>
      <w:r w:rsidRPr="00A52585">
        <w:rPr>
          <w:rFonts w:hint="cs"/>
          <w:rtl/>
        </w:rPr>
        <w:t>أَيْمَانٌ</w:t>
      </w:r>
      <w:r w:rsidRPr="00A52585">
        <w:rPr>
          <w:rFonts w:hint="cs"/>
        </w:rPr>
        <w:t xml:space="preserve"> </w:t>
      </w:r>
      <w:r w:rsidRPr="00A52585">
        <w:rPr>
          <w:rFonts w:hint="cs"/>
          <w:rtl/>
        </w:rPr>
        <w:t>بَعْدَ أَيْمَانِهِمْ وَاتَّقُوا اللّهَ وَاسْمَعُواْ</w:t>
      </w:r>
      <w:r w:rsidRPr="00A52585">
        <w:rPr>
          <w:rFonts w:hint="cs"/>
        </w:rPr>
        <w:t xml:space="preserve"> </w:t>
      </w:r>
      <w:r w:rsidRPr="00A52585">
        <w:rPr>
          <w:rFonts w:hint="cs"/>
          <w:rtl/>
        </w:rPr>
        <w:t>وَاللّهُ لاَ</w:t>
      </w:r>
      <w:r w:rsidRPr="00A52585">
        <w:rPr>
          <w:rFonts w:hint="cs"/>
        </w:rPr>
        <w:t xml:space="preserve"> </w:t>
      </w:r>
      <w:r w:rsidRPr="00A52585">
        <w:rPr>
          <w:rFonts w:hint="cs"/>
          <w:rtl/>
        </w:rPr>
        <w:t>يَهْدِي</w:t>
      </w:r>
      <w:r w:rsidRPr="00A52585">
        <w:rPr>
          <w:rFonts w:hint="cs"/>
        </w:rPr>
        <w:t xml:space="preserve"> </w:t>
      </w:r>
      <w:r w:rsidRPr="00A52585">
        <w:rPr>
          <w:rFonts w:hint="cs"/>
          <w:rtl/>
        </w:rPr>
        <w:t>الْقَوْمَ الْفَاسِقِينَ</w:t>
      </w:r>
      <w:r w:rsidR="0002035C" w:rsidRPr="00A52585">
        <w:rPr>
          <w:rFonts w:hint="cs"/>
          <w:rtl/>
        </w:rPr>
        <w:t>} [</w:t>
      </w:r>
      <w:r w:rsidRPr="00A52585">
        <w:rPr>
          <w:rFonts w:hint="cs"/>
          <w:rtl/>
        </w:rPr>
        <w:t>المائدة /108]</w:t>
      </w:r>
      <w:r w:rsidR="00DB731D" w:rsidRPr="00A52585">
        <w:rPr>
          <w:rFonts w:hint="cs"/>
          <w:rtl/>
        </w:rPr>
        <w:t>،</w:t>
      </w:r>
      <w:r w:rsidRPr="00A52585">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DB731D" w:rsidRPr="00A52585">
        <w:rPr>
          <w:rFonts w:hint="cs"/>
          <w:rtl/>
        </w:rPr>
        <w:t>،</w:t>
      </w:r>
      <w:r w:rsidRPr="00A52585">
        <w:rPr>
          <w:rFonts w:hint="cs"/>
          <w:rtl/>
        </w:rPr>
        <w:t xml:space="preserve"> وقد اتفق المفسرون على أن المعنى المقصود من الآية هو</w:t>
      </w:r>
      <w:r w:rsidR="0002035C" w:rsidRPr="00A52585">
        <w:rPr>
          <w:rFonts w:hint="cs"/>
          <w:rtl/>
        </w:rPr>
        <w:t xml:space="preserve"> </w:t>
      </w:r>
      <w:r w:rsidRPr="00A52585">
        <w:rPr>
          <w:rFonts w:hint="cs"/>
          <w:rtl/>
        </w:rPr>
        <w:t>أن يؤدي الشهود الشهادة كما حملوها على حقيقتها من غير</w:t>
      </w:r>
      <w:r w:rsidRPr="00A52585">
        <w:rPr>
          <w:rFonts w:hint="cs"/>
        </w:rPr>
        <w:t xml:space="preserve"> </w:t>
      </w:r>
      <w:r w:rsidRPr="00A52585">
        <w:rPr>
          <w:rFonts w:hint="cs"/>
          <w:rtl/>
        </w:rPr>
        <w:t xml:space="preserve">تغيير لها ولا تحريف ولا خيانة. </w:t>
      </w:r>
    </w:p>
    <w:p w14:paraId="76DC3987" w14:textId="4013AD76" w:rsidR="00777DCB" w:rsidRPr="00A52585" w:rsidRDefault="00777DCB" w:rsidP="0002035C">
      <w:pPr>
        <w:rPr>
          <w:rtl/>
        </w:rPr>
      </w:pPr>
      <w:r w:rsidRPr="00A52585">
        <w:rPr>
          <w:rFonts w:hint="cs"/>
          <w:bCs/>
          <w:rtl/>
        </w:rPr>
        <w:t xml:space="preserve">قوله تعالى </w:t>
      </w:r>
      <w:r w:rsidR="0002035C" w:rsidRPr="00A52585">
        <w:rPr>
          <w:rFonts w:hint="cs"/>
          <w:bCs/>
          <w:rtl/>
        </w:rPr>
        <w:t>{</w:t>
      </w:r>
      <w:r w:rsidRPr="00A52585">
        <w:rPr>
          <w:rFonts w:hint="cs"/>
          <w:rtl/>
        </w:rPr>
        <w:t>بَلَى مَنْ</w:t>
      </w:r>
      <w:r w:rsidRPr="00A52585">
        <w:rPr>
          <w:rFonts w:hint="cs"/>
        </w:rPr>
        <w:t xml:space="preserve"> </w:t>
      </w:r>
      <w:r w:rsidRPr="00A52585">
        <w:rPr>
          <w:rFonts w:hint="cs"/>
          <w:rtl/>
        </w:rPr>
        <w:t>أَسْلَمَ وَجْهَهُ لِلّهِ وَهُوَ مُحْسِنٌ فَلَهُ أَجْرُهُ عِندَ رَبِّهِ وَلاَ</w:t>
      </w:r>
      <w:r w:rsidRPr="00A52585">
        <w:rPr>
          <w:rFonts w:hint="cs"/>
        </w:rPr>
        <w:t xml:space="preserve"> </w:t>
      </w:r>
      <w:r w:rsidRPr="00A52585">
        <w:rPr>
          <w:rFonts w:hint="cs"/>
          <w:rtl/>
        </w:rPr>
        <w:t>خَوْفٌ عَلَيْهِمْ وَلاَ هُمْ يَحْزَنُونَ</w:t>
      </w:r>
      <w:r w:rsidR="0002035C" w:rsidRPr="00A52585">
        <w:rPr>
          <w:rFonts w:hint="cs"/>
          <w:rtl/>
        </w:rPr>
        <w:t>} [</w:t>
      </w:r>
      <w:r w:rsidRPr="00A52585">
        <w:rPr>
          <w:rFonts w:hint="cs"/>
          <w:rtl/>
        </w:rPr>
        <w:t>البقرة /112]‏</w:t>
      </w:r>
      <w:r w:rsidR="00DB731D" w:rsidRPr="00A52585">
        <w:rPr>
          <w:rFonts w:hint="cs"/>
          <w:rtl/>
        </w:rPr>
        <w:t>،</w:t>
      </w:r>
      <w:r w:rsidRPr="00A52585">
        <w:rPr>
          <w:rFonts w:hint="cs"/>
          <w:rtl/>
        </w:rPr>
        <w:t xml:space="preserve"> </w:t>
      </w:r>
      <w:r w:rsidRPr="00A52585">
        <w:rPr>
          <w:rFonts w:hint="cs"/>
          <w:bCs/>
          <w:rtl/>
        </w:rPr>
        <w:t>وقوله تعالى (</w:t>
      </w:r>
      <w:r w:rsidRPr="00A52585">
        <w:rPr>
          <w:rFonts w:hint="cs"/>
          <w:rtl/>
        </w:rPr>
        <w:t>وَمَنْ أَحْسَنُ</w:t>
      </w:r>
      <w:r w:rsidRPr="00A52585">
        <w:rPr>
          <w:rFonts w:hint="cs"/>
        </w:rPr>
        <w:t xml:space="preserve"> </w:t>
      </w:r>
      <w:r w:rsidRPr="00A52585">
        <w:rPr>
          <w:rFonts w:hint="cs"/>
          <w:rtl/>
        </w:rPr>
        <w:t>دِينًا مِّمَّنْ أَسْلَمَ وَجْهَهُ لله وَهُوَ مُحْسِنٌ واتَّبَعَ مِلَّةَ</w:t>
      </w:r>
      <w:r w:rsidRPr="00A52585">
        <w:rPr>
          <w:rFonts w:hint="cs"/>
        </w:rPr>
        <w:t xml:space="preserve"> </w:t>
      </w:r>
      <w:r w:rsidRPr="00A52585">
        <w:rPr>
          <w:rFonts w:hint="cs"/>
          <w:rtl/>
        </w:rPr>
        <w:t xml:space="preserve">إِبْرَاهِيمَ حَنِيفًا وَاتَّخَذَ اللّهُ إِبْرَاهِيمَ خَلِيلاً </w:t>
      </w:r>
      <w:r w:rsidR="0002035C" w:rsidRPr="00A52585">
        <w:rPr>
          <w:rFonts w:hint="cs"/>
          <w:rtl/>
        </w:rPr>
        <w:t>[</w:t>
      </w:r>
      <w:r w:rsidRPr="00A52585">
        <w:rPr>
          <w:rFonts w:hint="cs"/>
          <w:rtl/>
        </w:rPr>
        <w:t>النساء /125]</w:t>
      </w:r>
      <w:r w:rsidR="00DB731D" w:rsidRPr="00A52585">
        <w:rPr>
          <w:rFonts w:hint="cs"/>
          <w:rtl/>
        </w:rPr>
        <w:t>،</w:t>
      </w:r>
      <w:r w:rsidRPr="00A52585">
        <w:rPr>
          <w:rFonts w:hint="cs"/>
          <w:rtl/>
        </w:rPr>
        <w:t xml:space="preserve"> و</w:t>
      </w:r>
      <w:r w:rsidRPr="00A52585">
        <w:rPr>
          <w:rFonts w:hint="cs"/>
          <w:bCs/>
          <w:rtl/>
        </w:rPr>
        <w:t xml:space="preserve">قوله تعالى </w:t>
      </w:r>
      <w:r w:rsidR="0002035C" w:rsidRPr="00A52585">
        <w:rPr>
          <w:rFonts w:hint="cs"/>
          <w:bCs/>
          <w:rtl/>
        </w:rPr>
        <w:t>{</w:t>
      </w:r>
      <w:r w:rsidRPr="00A52585">
        <w:rPr>
          <w:rFonts w:hint="cs"/>
          <w:rtl/>
        </w:rPr>
        <w:t>إِنِّي وَجَّهْتُ</w:t>
      </w:r>
      <w:r w:rsidRPr="00A52585">
        <w:rPr>
          <w:rFonts w:hint="cs"/>
        </w:rPr>
        <w:t xml:space="preserve"> </w:t>
      </w:r>
      <w:r w:rsidRPr="00A52585">
        <w:rPr>
          <w:rFonts w:hint="cs"/>
          <w:rtl/>
        </w:rPr>
        <w:t>وَجْهِيَ</w:t>
      </w:r>
      <w:r w:rsidRPr="00A52585">
        <w:rPr>
          <w:rFonts w:hint="cs"/>
        </w:rPr>
        <w:t xml:space="preserve"> </w:t>
      </w:r>
      <w:r w:rsidRPr="00A52585">
        <w:rPr>
          <w:rFonts w:hint="cs"/>
          <w:rtl/>
        </w:rPr>
        <w:t>لِلَّذِي فَطَرَ السَّمَاوَاتِ وَالأَرْضَ حَنِيفًا</w:t>
      </w:r>
      <w:r w:rsidRPr="00A52585">
        <w:rPr>
          <w:rFonts w:hint="cs"/>
        </w:rPr>
        <w:t xml:space="preserve"> </w:t>
      </w:r>
      <w:r w:rsidRPr="00A52585">
        <w:rPr>
          <w:rFonts w:hint="cs"/>
          <w:rtl/>
        </w:rPr>
        <w:t>وَمَا أَنَاْ</w:t>
      </w:r>
      <w:r w:rsidRPr="00A52585">
        <w:rPr>
          <w:rFonts w:hint="cs"/>
        </w:rPr>
        <w:t xml:space="preserve"> </w:t>
      </w:r>
      <w:r w:rsidRPr="00A52585">
        <w:rPr>
          <w:rFonts w:hint="cs"/>
          <w:rtl/>
        </w:rPr>
        <w:t>مِنَ</w:t>
      </w:r>
      <w:r w:rsidRPr="00A52585">
        <w:rPr>
          <w:rFonts w:hint="cs"/>
        </w:rPr>
        <w:t xml:space="preserve"> </w:t>
      </w:r>
      <w:r w:rsidRPr="00A52585">
        <w:rPr>
          <w:rFonts w:hint="cs"/>
          <w:rtl/>
        </w:rPr>
        <w:t>الْمُشْرِكِينَ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الأنعام /79]</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DB731D" w:rsidRPr="00A52585">
        <w:rPr>
          <w:rFonts w:hint="cs"/>
          <w:rtl/>
        </w:rPr>
        <w:t>،</w:t>
      </w:r>
      <w:r w:rsidRPr="00A52585">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DB731D" w:rsidRPr="00A52585">
        <w:rPr>
          <w:rFonts w:hint="cs"/>
          <w:rtl/>
        </w:rPr>
        <w:t>،</w:t>
      </w:r>
      <w:r w:rsidRPr="00A52585">
        <w:rPr>
          <w:rFonts w:hint="cs"/>
          <w:rtl/>
        </w:rPr>
        <w:t xml:space="preserve"> أو أن المراد إخلاص النية والتوجه إلى الله</w:t>
      </w:r>
      <w:r w:rsidR="00DB731D" w:rsidRPr="00A52585">
        <w:rPr>
          <w:rFonts w:hint="cs"/>
          <w:rtl/>
        </w:rPr>
        <w:t>،</w:t>
      </w:r>
      <w:r w:rsidRPr="00A52585">
        <w:rPr>
          <w:rFonts w:hint="cs"/>
          <w:rtl/>
        </w:rPr>
        <w:t xml:space="preserve"> </w:t>
      </w:r>
      <w:r w:rsidRPr="00A52585">
        <w:rPr>
          <w:rFonts w:hint="cs"/>
          <w:bCs/>
          <w:rtl/>
        </w:rPr>
        <w:t>قال الطبري</w:t>
      </w:r>
      <w:r w:rsidR="0002035C" w:rsidRPr="00A52585">
        <w:rPr>
          <w:rFonts w:hint="cs"/>
          <w:rtl/>
        </w:rPr>
        <w:t>:</w:t>
      </w:r>
      <w:r w:rsidRPr="00A52585">
        <w:rPr>
          <w:rFonts w:hint="cs"/>
          <w:rtl/>
        </w:rPr>
        <w:t xml:space="preserve"> " وأما قوله من</w:t>
      </w:r>
      <w:r w:rsidR="0002035C" w:rsidRPr="00A52585">
        <w:rPr>
          <w:rFonts w:hint="cs"/>
          <w:rtl/>
        </w:rPr>
        <w:t xml:space="preserve"> </w:t>
      </w:r>
      <w:r w:rsidRPr="00A52585">
        <w:rPr>
          <w:rFonts w:hint="cs"/>
          <w:rtl/>
        </w:rPr>
        <w:t>أسلم وجهه لله</w:t>
      </w:r>
      <w:r w:rsidR="0002035C" w:rsidRPr="00A52585">
        <w:rPr>
          <w:rFonts w:hint="cs"/>
          <w:rtl/>
        </w:rPr>
        <w:t xml:space="preserve"> </w:t>
      </w:r>
      <w:r w:rsidRPr="00A52585">
        <w:rPr>
          <w:rFonts w:hint="cs"/>
          <w:rtl/>
        </w:rPr>
        <w:t>فإنه يعني بإسلام الوجه التذلل لطاعته والإذعان لأمره</w:t>
      </w:r>
      <w:r w:rsidR="0002035C" w:rsidRPr="00A52585">
        <w:rPr>
          <w:rFonts w:hint="cs"/>
          <w:rtl/>
        </w:rPr>
        <w:t xml:space="preserve"> </w:t>
      </w:r>
      <w:r w:rsidRPr="00A52585">
        <w:rPr>
          <w:rFonts w:hint="cs"/>
          <w:rtl/>
        </w:rPr>
        <w:t>وأصل الإسلام الاستسلام لأنه من استسلمت لأمره وهو الخضوع لأمره</w:t>
      </w:r>
      <w:r w:rsidR="0002035C" w:rsidRPr="00A52585">
        <w:rPr>
          <w:rFonts w:hint="cs"/>
          <w:rtl/>
        </w:rPr>
        <w:t xml:space="preserve"> </w:t>
      </w:r>
      <w:r w:rsidRPr="00A52585">
        <w:rPr>
          <w:rFonts w:hint="cs"/>
          <w:rtl/>
        </w:rPr>
        <w:t>وإنما سمي المسلم مسلما بخضوع جوارحه لطاعة ربه</w:t>
      </w:r>
      <w:r w:rsidR="0002035C" w:rsidRPr="00A52585">
        <w:rPr>
          <w:rFonts w:hint="cs"/>
          <w:rtl/>
        </w:rPr>
        <w:t xml:space="preserve"> </w:t>
      </w:r>
      <w:r w:rsidRPr="00A52585">
        <w:rPr>
          <w:rFonts w:hint="cs"/>
          <w:rtl/>
        </w:rPr>
        <w:t xml:space="preserve">كما حدثني المثنى قال ثنا إسحاق قال ثنا ابن أبي جعفر عن أبيه عن </w:t>
      </w:r>
      <w:r w:rsidRPr="00A52585">
        <w:rPr>
          <w:rFonts w:hint="cs"/>
          <w:bCs/>
          <w:rtl/>
        </w:rPr>
        <w:t>الربيع</w:t>
      </w:r>
      <w:r w:rsidRPr="00A52585">
        <w:rPr>
          <w:rFonts w:hint="cs"/>
          <w:rtl/>
        </w:rPr>
        <w:t xml:space="preserve"> </w:t>
      </w:r>
      <w:r w:rsidR="0002035C" w:rsidRPr="00A52585">
        <w:rPr>
          <w:rFonts w:hint="cs"/>
          <w:rtl/>
        </w:rPr>
        <w:t>(</w:t>
      </w:r>
      <w:r w:rsidRPr="00A52585">
        <w:rPr>
          <w:rFonts w:hint="cs"/>
          <w:rtl/>
        </w:rPr>
        <w:t>بلى من أسلم وجهه لله</w:t>
      </w:r>
      <w:r w:rsidR="0002035C" w:rsidRPr="00A52585">
        <w:rPr>
          <w:rFonts w:hint="cs"/>
          <w:rtl/>
        </w:rPr>
        <w:t xml:space="preserve">) </w:t>
      </w:r>
      <w:r w:rsidRPr="00A52585">
        <w:rPr>
          <w:rFonts w:hint="cs"/>
          <w:rtl/>
        </w:rPr>
        <w:t>يقول</w:t>
      </w:r>
      <w:r w:rsidR="0002035C" w:rsidRPr="00A52585">
        <w:rPr>
          <w:rFonts w:hint="cs"/>
          <w:rtl/>
        </w:rPr>
        <w:t>:</w:t>
      </w:r>
      <w:r w:rsidRPr="00A52585">
        <w:rPr>
          <w:rFonts w:hint="cs"/>
          <w:rtl/>
        </w:rPr>
        <w:t xml:space="preserve"> أخلص لله</w:t>
      </w:r>
      <w:r w:rsidR="0002035C" w:rsidRPr="00A52585">
        <w:rPr>
          <w:rFonts w:hint="cs"/>
          <w:rtl/>
        </w:rPr>
        <w:t xml:space="preserve"> </w:t>
      </w:r>
      <w:r w:rsidRPr="00A52585">
        <w:rPr>
          <w:rFonts w:hint="cs"/>
          <w:rtl/>
        </w:rPr>
        <w:t>وكما قال زيد بن عمرو بن نفيل وأسلمت وجهي لمن أسلمت له المزن تحمل عذبا زلالا يعني بذلك استسلمت لطاعة من استسلم لطاعته المزن وانقادت له</w:t>
      </w:r>
      <w:r w:rsidR="00897A24" w:rsidRPr="00A52585">
        <w:rPr>
          <w:rFonts w:hint="cs"/>
          <w:rtl/>
        </w:rPr>
        <w:t>.</w:t>
      </w:r>
      <w:r w:rsidRPr="00A52585">
        <w:rPr>
          <w:rFonts w:hint="cs"/>
          <w:rtl/>
        </w:rPr>
        <w:t xml:space="preserve">. فكذلك معنى قوله جل ثناؤه </w:t>
      </w:r>
      <w:r w:rsidR="0002035C" w:rsidRPr="00A52585">
        <w:rPr>
          <w:rFonts w:hint="cs"/>
          <w:rtl/>
        </w:rPr>
        <w:t>(</w:t>
      </w:r>
      <w:r w:rsidRPr="00A52585">
        <w:rPr>
          <w:rFonts w:hint="cs"/>
          <w:rtl/>
        </w:rPr>
        <w:t>بلى من أسلم وجهه لله</w:t>
      </w:r>
      <w:r w:rsidR="0002035C" w:rsidRPr="00A52585">
        <w:rPr>
          <w:rFonts w:hint="cs"/>
          <w:rtl/>
        </w:rPr>
        <w:t xml:space="preserve">) </w:t>
      </w:r>
      <w:r w:rsidRPr="00A52585">
        <w:rPr>
          <w:rFonts w:hint="cs"/>
          <w:bCs/>
          <w:rtl/>
        </w:rPr>
        <w:t>إنما يعني بلى من أسلم لله بدنه فخضع له بالطاعة جسده وهو محسن في إسلامه له جسده فله أجره عند ربه</w:t>
      </w:r>
      <w:r w:rsidR="0002035C" w:rsidRPr="00A52585">
        <w:rPr>
          <w:rFonts w:hint="cs"/>
          <w:bCs/>
          <w:rtl/>
        </w:rPr>
        <w:t xml:space="preserve"> </w:t>
      </w:r>
      <w:r w:rsidRPr="00A52585">
        <w:rPr>
          <w:rFonts w:hint="cs"/>
          <w:bCs/>
          <w:rtl/>
        </w:rPr>
        <w:t xml:space="preserve">فاكتفى بذكر الوجه من ذكر جسده لدلالة الكلام على المعنى </w:t>
      </w:r>
      <w:r w:rsidRPr="00A52585">
        <w:rPr>
          <w:rFonts w:hint="cs"/>
          <w:bCs/>
          <w:rtl/>
        </w:rPr>
        <w:lastRenderedPageBreak/>
        <w:t>الذي أريد به بذكر الوجه</w:t>
      </w:r>
      <w:r w:rsidRPr="00A52585">
        <w:rPr>
          <w:rFonts w:hint="cs"/>
          <w:rtl/>
        </w:rPr>
        <w:t xml:space="preserve"> " </w:t>
      </w:r>
      <w:r w:rsidR="0002035C" w:rsidRPr="00A52585">
        <w:rPr>
          <w:rFonts w:hint="cs"/>
          <w:rtl/>
        </w:rPr>
        <w:t>[</w:t>
      </w:r>
      <w:r w:rsidRPr="00A52585">
        <w:rPr>
          <w:rFonts w:hint="cs"/>
          <w:rtl/>
        </w:rPr>
        <w:t>تفسير الطبري ج: 1 ص: 493] أهـ</w:t>
      </w:r>
      <w:r w:rsidR="00DB731D" w:rsidRPr="00A52585">
        <w:rPr>
          <w:rFonts w:hint="cs"/>
          <w:rtl/>
        </w:rPr>
        <w:t>،</w:t>
      </w:r>
      <w:r w:rsidRPr="00A52585">
        <w:rPr>
          <w:rFonts w:hint="cs"/>
          <w:rtl/>
        </w:rPr>
        <w:t xml:space="preserve"> </w:t>
      </w:r>
      <w:r w:rsidRPr="00A52585">
        <w:rPr>
          <w:rFonts w:hint="cs"/>
          <w:bCs/>
          <w:rtl/>
        </w:rPr>
        <w:t>وقال ابن كثير</w:t>
      </w:r>
      <w:r w:rsidR="0002035C" w:rsidRPr="00A52585">
        <w:rPr>
          <w:rFonts w:hint="cs"/>
          <w:rtl/>
        </w:rPr>
        <w:t>:</w:t>
      </w:r>
      <w:r w:rsidRPr="00A52585">
        <w:rPr>
          <w:rFonts w:hint="cs"/>
          <w:rtl/>
        </w:rPr>
        <w:t xml:space="preserve"> " أسلم وجهه لله</w:t>
      </w:r>
      <w:r w:rsidR="0002035C" w:rsidRPr="00A52585">
        <w:rPr>
          <w:rFonts w:hint="cs"/>
          <w:rtl/>
        </w:rPr>
        <w:t xml:space="preserve"> </w:t>
      </w:r>
      <w:r w:rsidRPr="00A52585">
        <w:rPr>
          <w:rFonts w:hint="cs"/>
          <w:rtl/>
        </w:rPr>
        <w:t xml:space="preserve">وهو محسن أي من أخلص العمل لله وحده لا شريك له كما قال تعالى فإن حاجوك فقل أسلمت وجهي لله ومن اتبعن الآية </w:t>
      </w:r>
      <w:r w:rsidRPr="00A52585">
        <w:rPr>
          <w:rFonts w:hint="cs"/>
          <w:bCs/>
          <w:rtl/>
        </w:rPr>
        <w:t xml:space="preserve">وقال أبو العالية </w:t>
      </w:r>
      <w:proofErr w:type="spellStart"/>
      <w:r w:rsidRPr="00A52585">
        <w:rPr>
          <w:rFonts w:hint="cs"/>
          <w:bCs/>
          <w:rtl/>
        </w:rPr>
        <w:t>والربيع</w:t>
      </w:r>
      <w:r w:rsidR="0002035C" w:rsidRPr="00A52585">
        <w:rPr>
          <w:rFonts w:hint="cs"/>
          <w:rtl/>
        </w:rPr>
        <w:t>:</w:t>
      </w:r>
      <w:r w:rsidRPr="00A52585">
        <w:rPr>
          <w:rFonts w:hint="cs"/>
          <w:rtl/>
        </w:rPr>
        <w:t>بلى</w:t>
      </w:r>
      <w:proofErr w:type="spellEnd"/>
      <w:r w:rsidRPr="00A52585">
        <w:rPr>
          <w:rFonts w:hint="cs"/>
          <w:rtl/>
        </w:rPr>
        <w:t xml:space="preserve"> من</w:t>
      </w:r>
      <w:r w:rsidR="0002035C" w:rsidRPr="00A52585">
        <w:rPr>
          <w:rFonts w:hint="cs"/>
          <w:rtl/>
        </w:rPr>
        <w:t xml:space="preserve"> </w:t>
      </w:r>
      <w:r w:rsidRPr="00A52585">
        <w:rPr>
          <w:rFonts w:hint="cs"/>
          <w:rtl/>
        </w:rPr>
        <w:t>أسلم وجهه لله</w:t>
      </w:r>
      <w:r w:rsidR="0002035C" w:rsidRPr="00A52585">
        <w:rPr>
          <w:rFonts w:hint="cs"/>
          <w:rtl/>
        </w:rPr>
        <w:t xml:space="preserve"> </w:t>
      </w:r>
      <w:r w:rsidRPr="00A52585">
        <w:rPr>
          <w:rFonts w:hint="cs"/>
          <w:rtl/>
        </w:rPr>
        <w:t>يقول من أخلص لله وقال سعيد بن جبير بلى من أسلم أخلص وجهه قال دينه " [تفسير ابن كثير ج: 1 ص: 155]أهـ</w:t>
      </w:r>
      <w:r w:rsidR="00DB731D" w:rsidRPr="00A52585">
        <w:rPr>
          <w:rFonts w:hint="cs"/>
          <w:rtl/>
        </w:rPr>
        <w:t>،</w:t>
      </w:r>
      <w:r w:rsidRPr="00A52585">
        <w:rPr>
          <w:rFonts w:hint="cs"/>
          <w:rtl/>
        </w:rPr>
        <w:t xml:space="preserve"> </w:t>
      </w:r>
      <w:r w:rsidRPr="00A52585">
        <w:rPr>
          <w:rFonts w:hint="cs"/>
          <w:bCs/>
          <w:rtl/>
        </w:rPr>
        <w:t>وقال السيوطي</w:t>
      </w:r>
      <w:r w:rsidRPr="00A52585">
        <w:rPr>
          <w:rFonts w:hint="cs"/>
          <w:rtl/>
        </w:rPr>
        <w:t xml:space="preserve"> " بلى من أسلم وجهه لله</w:t>
      </w:r>
      <w:r w:rsidR="0002035C" w:rsidRPr="00A52585">
        <w:rPr>
          <w:rFonts w:hint="cs"/>
          <w:rtl/>
        </w:rPr>
        <w:t xml:space="preserve"> </w:t>
      </w:r>
      <w:r w:rsidRPr="00A52585">
        <w:rPr>
          <w:rFonts w:hint="cs"/>
          <w:rtl/>
        </w:rPr>
        <w:t>يقول</w:t>
      </w:r>
      <w:r w:rsidR="0002035C" w:rsidRPr="00A52585">
        <w:rPr>
          <w:rFonts w:hint="cs"/>
          <w:rtl/>
        </w:rPr>
        <w:t xml:space="preserve"> </w:t>
      </w:r>
      <w:r w:rsidRPr="00A52585">
        <w:rPr>
          <w:rFonts w:hint="cs"/>
          <w:rtl/>
        </w:rPr>
        <w:t>أخلص لله</w:t>
      </w:r>
      <w:r w:rsidR="0002035C" w:rsidRPr="00A52585">
        <w:rPr>
          <w:rFonts w:hint="cs"/>
          <w:rtl/>
        </w:rPr>
        <w:t xml:space="preserve"> </w:t>
      </w:r>
      <w:r w:rsidRPr="00A52585">
        <w:rPr>
          <w:rFonts w:hint="cs"/>
          <w:rtl/>
        </w:rPr>
        <w:t xml:space="preserve">وأخرج ابن جرير عن </w:t>
      </w:r>
      <w:r w:rsidRPr="00A52585">
        <w:rPr>
          <w:rFonts w:hint="cs"/>
          <w:bCs/>
          <w:rtl/>
        </w:rPr>
        <w:t>مجاهد</w:t>
      </w:r>
      <w:r w:rsidRPr="00A52585">
        <w:rPr>
          <w:rFonts w:hint="cs"/>
          <w:rtl/>
        </w:rPr>
        <w:t xml:space="preserve"> </w:t>
      </w:r>
      <w:r w:rsidR="0002035C" w:rsidRPr="00A52585">
        <w:rPr>
          <w:rFonts w:hint="cs"/>
          <w:rtl/>
        </w:rPr>
        <w:t>(</w:t>
      </w:r>
      <w:r w:rsidRPr="00A52585">
        <w:rPr>
          <w:rFonts w:hint="cs"/>
          <w:rtl/>
        </w:rPr>
        <w:t>من أسلم وجهه لله</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 xml:space="preserve">أخلص دينه " </w:t>
      </w:r>
      <w:r w:rsidR="0002035C" w:rsidRPr="00A52585">
        <w:rPr>
          <w:rFonts w:hint="cs"/>
          <w:rtl/>
        </w:rPr>
        <w:t>[</w:t>
      </w:r>
      <w:r w:rsidRPr="00A52585">
        <w:rPr>
          <w:rFonts w:hint="cs"/>
          <w:rtl/>
        </w:rPr>
        <w:t>الدر المنثور ج: 1 ص: 263] أهـ</w:t>
      </w:r>
      <w:r w:rsidR="00DB731D" w:rsidRPr="00A52585">
        <w:rPr>
          <w:rFonts w:hint="cs"/>
          <w:rtl/>
        </w:rPr>
        <w:t>،</w:t>
      </w:r>
      <w:r w:rsidRPr="00A52585">
        <w:rPr>
          <w:rFonts w:hint="cs"/>
          <w:rtl/>
        </w:rPr>
        <w:t xml:space="preserve"> </w:t>
      </w:r>
      <w:r w:rsidRPr="00A52585">
        <w:rPr>
          <w:rFonts w:hint="cs"/>
          <w:bCs/>
          <w:rtl/>
        </w:rPr>
        <w:t>وقال القاضي البيضاوي</w:t>
      </w:r>
      <w:r w:rsidRPr="00A52585">
        <w:rPr>
          <w:rFonts w:hint="cs"/>
          <w:rtl/>
        </w:rPr>
        <w:t xml:space="preserve"> " أسلم وجهه لله</w:t>
      </w:r>
      <w:r w:rsidR="0002035C" w:rsidRPr="00A52585">
        <w:rPr>
          <w:rFonts w:hint="cs"/>
          <w:rtl/>
        </w:rPr>
        <w:t xml:space="preserve"> </w:t>
      </w:r>
      <w:r w:rsidRPr="00A52585">
        <w:rPr>
          <w:rFonts w:hint="cs"/>
          <w:rtl/>
        </w:rPr>
        <w:t>أخلص له نفسه أو قصده " [تفسير البيضاوي ج: 1 ص: 384] أهـ</w:t>
      </w:r>
      <w:r w:rsidR="00DB731D" w:rsidRPr="00A52585">
        <w:rPr>
          <w:rFonts w:hint="cs"/>
          <w:rtl/>
        </w:rPr>
        <w:t>،</w:t>
      </w:r>
      <w:r w:rsidRPr="00A52585">
        <w:rPr>
          <w:rFonts w:hint="cs"/>
          <w:rtl/>
        </w:rPr>
        <w:t xml:space="preserve"> </w:t>
      </w:r>
      <w:r w:rsidRPr="00A52585">
        <w:rPr>
          <w:rFonts w:hint="cs"/>
          <w:bCs/>
          <w:rtl/>
        </w:rPr>
        <w:t>وقال القرطبي</w:t>
      </w:r>
      <w:r w:rsidR="0002035C" w:rsidRPr="00A52585">
        <w:rPr>
          <w:rFonts w:hint="cs"/>
          <w:rtl/>
        </w:rPr>
        <w:t>:</w:t>
      </w:r>
      <w:r w:rsidRPr="00A52585">
        <w:rPr>
          <w:rFonts w:hint="cs"/>
          <w:rtl/>
        </w:rPr>
        <w:t xml:space="preserve"> " أسلم وجهه لله</w:t>
      </w:r>
      <w:r w:rsidR="0002035C" w:rsidRPr="00A52585">
        <w:rPr>
          <w:rFonts w:hint="cs"/>
          <w:rtl/>
        </w:rPr>
        <w:t xml:space="preserve"> </w:t>
      </w:r>
      <w:r w:rsidRPr="00A52585">
        <w:rPr>
          <w:rFonts w:hint="cs"/>
          <w:rtl/>
        </w:rPr>
        <w:t>معناه أخلص دينه لله وخضع له وتوجه إليه بالعبادة " [تفسير البيضاوي ج: 1 ص: 384] أهـ</w:t>
      </w:r>
      <w:r w:rsidR="00DB731D" w:rsidRPr="00A52585">
        <w:rPr>
          <w:rFonts w:hint="cs"/>
          <w:rtl/>
        </w:rPr>
        <w:t>،</w:t>
      </w:r>
      <w:r w:rsidRPr="00A52585">
        <w:rPr>
          <w:rFonts w:hint="cs"/>
          <w:rtl/>
        </w:rPr>
        <w:t xml:space="preserve"> </w:t>
      </w:r>
      <w:r w:rsidRPr="00A52585">
        <w:rPr>
          <w:rFonts w:hint="cs"/>
          <w:bCs/>
          <w:rtl/>
        </w:rPr>
        <w:t>وقال ابن</w:t>
      </w:r>
      <w:r w:rsidRPr="00A52585">
        <w:rPr>
          <w:rFonts w:hint="cs"/>
          <w:bCs/>
        </w:rPr>
        <w:t xml:space="preserve"> </w:t>
      </w:r>
      <w:r w:rsidRPr="00A52585">
        <w:rPr>
          <w:rFonts w:hint="cs"/>
          <w:bCs/>
          <w:rtl/>
        </w:rPr>
        <w:t>الجوزي</w:t>
      </w:r>
      <w:r w:rsidRPr="00A52585">
        <w:rPr>
          <w:rFonts w:hint="cs"/>
          <w:rtl/>
        </w:rPr>
        <w:t xml:space="preserve"> </w:t>
      </w:r>
      <w:r w:rsidRPr="00A52585">
        <w:t>"</w:t>
      </w:r>
      <w:r w:rsidRPr="00A52585">
        <w:rPr>
          <w:rFonts w:hint="cs"/>
          <w:rtl/>
        </w:rPr>
        <w:t xml:space="preserve"> قوله</w:t>
      </w:r>
      <w:r w:rsidRPr="00A52585">
        <w:rPr>
          <w:rFonts w:hint="cs"/>
        </w:rPr>
        <w:t xml:space="preserve"> </w:t>
      </w:r>
      <w:r w:rsidRPr="00A52585">
        <w:rPr>
          <w:rFonts w:hint="cs"/>
          <w:rtl/>
        </w:rPr>
        <w:t>تعالى ومن أحسن دينا ممن</w:t>
      </w:r>
      <w:r w:rsidR="0002035C" w:rsidRPr="00A52585">
        <w:rPr>
          <w:rtl/>
        </w:rPr>
        <w:t xml:space="preserve"> </w:t>
      </w:r>
      <w:r w:rsidRPr="00A52585">
        <w:rPr>
          <w:rFonts w:hint="cs"/>
          <w:rtl/>
        </w:rPr>
        <w:t>أسلم</w:t>
      </w:r>
      <w:r w:rsidRPr="00A52585">
        <w:rPr>
          <w:rFonts w:hint="cs"/>
        </w:rPr>
        <w:t xml:space="preserve"> </w:t>
      </w:r>
      <w:r w:rsidRPr="00A52585">
        <w:rPr>
          <w:rFonts w:hint="cs"/>
          <w:rtl/>
        </w:rPr>
        <w:t>وجهه لله</w:t>
      </w:r>
      <w:r w:rsidR="0002035C" w:rsidRPr="00A52585">
        <w:rPr>
          <w:rtl/>
        </w:rPr>
        <w:t xml:space="preserve"> </w:t>
      </w:r>
      <w:r w:rsidRPr="00A52585">
        <w:rPr>
          <w:rFonts w:hint="cs"/>
          <w:rtl/>
        </w:rPr>
        <w:t>قال</w:t>
      </w:r>
      <w:r w:rsidRPr="00A52585">
        <w:rPr>
          <w:rFonts w:hint="cs"/>
        </w:rPr>
        <w:t xml:space="preserve"> </w:t>
      </w:r>
      <w:r w:rsidRPr="00A52585">
        <w:rPr>
          <w:rFonts w:hint="cs"/>
          <w:rtl/>
        </w:rPr>
        <w:t>ابن عباس خير الله بين الأديان بهذه الآية وأسلم بمعنى أخلص وفي</w:t>
      </w:r>
      <w:r w:rsidRPr="00A52585">
        <w:rPr>
          <w:rFonts w:hint="cs"/>
        </w:rPr>
        <w:t xml:space="preserve"> </w:t>
      </w:r>
      <w:r w:rsidRPr="00A52585">
        <w:rPr>
          <w:rFonts w:hint="cs"/>
          <w:rtl/>
        </w:rPr>
        <w:t>الوجه قولان</w:t>
      </w:r>
      <w:r w:rsidR="0002035C" w:rsidRPr="00A52585">
        <w:rPr>
          <w:rtl/>
        </w:rPr>
        <w:t xml:space="preserve"> </w:t>
      </w:r>
      <w:r w:rsidRPr="00A52585">
        <w:rPr>
          <w:rFonts w:hint="cs"/>
          <w:rtl/>
        </w:rPr>
        <w:t>أحدهما</w:t>
      </w:r>
      <w:r w:rsidRPr="00A52585">
        <w:rPr>
          <w:rFonts w:hint="cs"/>
        </w:rPr>
        <w:t xml:space="preserve"> </w:t>
      </w:r>
      <w:r w:rsidRPr="00A52585">
        <w:rPr>
          <w:rFonts w:hint="cs"/>
          <w:rtl/>
        </w:rPr>
        <w:t>أنه الدين والثاني</w:t>
      </w:r>
      <w:r w:rsidRPr="00A52585">
        <w:rPr>
          <w:rFonts w:hint="cs"/>
        </w:rPr>
        <w:t xml:space="preserve"> </w:t>
      </w:r>
      <w:r w:rsidRPr="00A52585">
        <w:rPr>
          <w:rFonts w:hint="cs"/>
          <w:rtl/>
        </w:rPr>
        <w:t xml:space="preserve">العمل </w:t>
      </w:r>
      <w:r w:rsidRPr="00A52585">
        <w:t>"</w:t>
      </w:r>
      <w:r w:rsidRPr="00A52585">
        <w:rPr>
          <w:rFonts w:hint="cs"/>
          <w:rtl/>
        </w:rPr>
        <w:t>[زاد المسير ج: 2 ص: 211] أهـ</w:t>
      </w:r>
      <w:r w:rsidR="00DB731D" w:rsidRPr="00A52585">
        <w:rPr>
          <w:rFonts w:hint="cs"/>
          <w:rtl/>
        </w:rPr>
        <w:t>،</w:t>
      </w:r>
      <w:r w:rsidRPr="00A52585">
        <w:rPr>
          <w:rFonts w:hint="cs"/>
          <w:rtl/>
        </w:rPr>
        <w:t xml:space="preserve"> </w:t>
      </w:r>
      <w:r w:rsidRPr="00A52585">
        <w:rPr>
          <w:rFonts w:hint="cs"/>
          <w:bCs/>
          <w:rtl/>
        </w:rPr>
        <w:t>وقال الثعالبي</w:t>
      </w:r>
      <w:r w:rsidRPr="00A52585">
        <w:rPr>
          <w:rFonts w:hint="cs"/>
          <w:rtl/>
        </w:rPr>
        <w:t xml:space="preserve"> " أسلم وجهه لله</w:t>
      </w:r>
      <w:r w:rsidR="0002035C" w:rsidRPr="00A52585">
        <w:rPr>
          <w:rFonts w:hint="cs"/>
          <w:rtl/>
        </w:rPr>
        <w:t xml:space="preserve"> </w:t>
      </w:r>
      <w:r w:rsidRPr="00A52585">
        <w:rPr>
          <w:rFonts w:hint="cs"/>
          <w:rtl/>
        </w:rPr>
        <w:t>أي أخلص مقصده وتوجهه " [تفسير الثعالبي ج: 1 ص:417] أهـ</w:t>
      </w:r>
      <w:r w:rsidR="00DB731D" w:rsidRPr="00A52585">
        <w:rPr>
          <w:rFonts w:hint="cs"/>
          <w:rtl/>
          <w:lang w:bidi="ar-KW"/>
        </w:rPr>
        <w:t>،</w:t>
      </w:r>
      <w:r w:rsidRPr="00A52585">
        <w:rPr>
          <w:rFonts w:hint="cs"/>
          <w:rtl/>
          <w:lang w:bidi="ar-KW"/>
        </w:rPr>
        <w:t xml:space="preserve"> </w:t>
      </w:r>
      <w:r w:rsidRPr="00A52585">
        <w:rPr>
          <w:rFonts w:hint="cs"/>
          <w:bCs/>
          <w:rtl/>
        </w:rPr>
        <w:t xml:space="preserve">وقال أبو السعود " </w:t>
      </w:r>
      <w:r w:rsidRPr="00A52585">
        <w:rPr>
          <w:rFonts w:hint="cs"/>
          <w:rtl/>
        </w:rPr>
        <w:t>ومن أحسن دينا ممن</w:t>
      </w:r>
      <w:r w:rsidR="0002035C" w:rsidRPr="00A52585">
        <w:rPr>
          <w:rFonts w:hint="cs"/>
          <w:rtl/>
        </w:rPr>
        <w:t xml:space="preserve"> </w:t>
      </w:r>
      <w:r w:rsidRPr="00A52585">
        <w:rPr>
          <w:rFonts w:hint="cs"/>
          <w:rtl/>
        </w:rPr>
        <w:t>أسلم وجهه لله</w:t>
      </w:r>
      <w:r w:rsidR="0002035C" w:rsidRPr="00A52585">
        <w:rPr>
          <w:rFonts w:hint="cs"/>
          <w:rtl/>
        </w:rPr>
        <w:t xml:space="preserve"> </w:t>
      </w:r>
      <w:r w:rsidRPr="00A52585">
        <w:rPr>
          <w:rFonts w:hint="cs"/>
          <w:rtl/>
        </w:rPr>
        <w:t>أي أخلص نفسه له تعالى لا يعرف له ربا سواه " [تفسير أبي السعود ج: 2 ص: 236] أهـ</w:t>
      </w:r>
      <w:r w:rsidR="00DB731D" w:rsidRPr="00A52585">
        <w:rPr>
          <w:rFonts w:hint="cs"/>
          <w:rtl/>
        </w:rPr>
        <w:t>،</w:t>
      </w:r>
      <w:r w:rsidRPr="00A52585">
        <w:rPr>
          <w:rFonts w:hint="cs"/>
          <w:rtl/>
        </w:rPr>
        <w:t xml:space="preserve"> </w:t>
      </w:r>
      <w:r w:rsidRPr="00A52585">
        <w:rPr>
          <w:rFonts w:hint="cs"/>
          <w:bCs/>
          <w:rtl/>
        </w:rPr>
        <w:t xml:space="preserve">وقال الواحدي " </w:t>
      </w:r>
      <w:r w:rsidRPr="00A52585">
        <w:rPr>
          <w:rFonts w:hint="cs"/>
          <w:rtl/>
        </w:rPr>
        <w:t>أسلم وجهه لله</w:t>
      </w:r>
      <w:r w:rsidR="0002035C" w:rsidRPr="00A52585">
        <w:rPr>
          <w:rFonts w:hint="cs"/>
          <w:rtl/>
        </w:rPr>
        <w:t xml:space="preserve"> </w:t>
      </w:r>
      <w:r w:rsidRPr="00A52585">
        <w:rPr>
          <w:rFonts w:hint="cs"/>
          <w:rtl/>
        </w:rPr>
        <w:t xml:space="preserve">انقاد لأمره " </w:t>
      </w:r>
      <w:r w:rsidR="0002035C" w:rsidRPr="00A52585">
        <w:rPr>
          <w:rFonts w:hint="cs"/>
          <w:rtl/>
        </w:rPr>
        <w:t>[</w:t>
      </w:r>
      <w:r w:rsidRPr="00A52585">
        <w:rPr>
          <w:rFonts w:hint="cs"/>
          <w:rtl/>
        </w:rPr>
        <w:t>تفسير الواحدي ج: 1 ص: 125] أهـ</w:t>
      </w:r>
      <w:r w:rsidR="00DB731D" w:rsidRPr="00A52585">
        <w:rPr>
          <w:rFonts w:hint="cs"/>
          <w:rtl/>
        </w:rPr>
        <w:t>،</w:t>
      </w:r>
      <w:r w:rsidRPr="00A52585">
        <w:rPr>
          <w:rFonts w:hint="cs"/>
          <w:rtl/>
        </w:rPr>
        <w:t xml:space="preserve"> </w:t>
      </w:r>
      <w:r w:rsidRPr="00A52585">
        <w:rPr>
          <w:rFonts w:hint="cs"/>
          <w:bCs/>
          <w:rtl/>
        </w:rPr>
        <w:t>وقال البغوي</w:t>
      </w:r>
      <w:r w:rsidR="0002035C" w:rsidRPr="00A52585">
        <w:rPr>
          <w:rFonts w:hint="cs"/>
          <w:rtl/>
        </w:rPr>
        <w:t>:</w:t>
      </w:r>
      <w:r w:rsidRPr="00A52585">
        <w:rPr>
          <w:rFonts w:hint="cs"/>
          <w:rtl/>
        </w:rPr>
        <w:t xml:space="preserve"> " أسلم وجهه لله</w:t>
      </w:r>
      <w:r w:rsidR="0002035C" w:rsidRPr="00A52585">
        <w:rPr>
          <w:rFonts w:hint="cs"/>
          <w:rtl/>
        </w:rPr>
        <w:t xml:space="preserve"> </w:t>
      </w:r>
      <w:r w:rsidRPr="00A52585">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sidR="00DB731D" w:rsidRPr="00A52585">
        <w:rPr>
          <w:rFonts w:hint="cs"/>
          <w:rtl/>
        </w:rPr>
        <w:t>،</w:t>
      </w:r>
      <w:r w:rsidRPr="00A52585">
        <w:rPr>
          <w:rFonts w:hint="cs"/>
          <w:rtl/>
        </w:rPr>
        <w:t xml:space="preserve"> </w:t>
      </w:r>
      <w:r w:rsidRPr="00A52585">
        <w:rPr>
          <w:rFonts w:hint="cs"/>
          <w:bCs/>
          <w:rtl/>
        </w:rPr>
        <w:t>وقال الشوكاني</w:t>
      </w:r>
      <w:r w:rsidRPr="00A52585">
        <w:rPr>
          <w:rFonts w:hint="cs"/>
          <w:rtl/>
        </w:rPr>
        <w:t xml:space="preserve"> " أسلم وجهه لله</w:t>
      </w:r>
      <w:r w:rsidR="0002035C" w:rsidRPr="00A52585">
        <w:rPr>
          <w:rFonts w:hint="cs"/>
          <w:rtl/>
        </w:rPr>
        <w:t xml:space="preserve"> </w:t>
      </w:r>
      <w:r w:rsidRPr="00A52585">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sidR="00DB731D" w:rsidRPr="00A52585">
        <w:rPr>
          <w:rFonts w:hint="cs"/>
          <w:rtl/>
        </w:rPr>
        <w:t>،</w:t>
      </w:r>
      <w:r w:rsidRPr="00A52585">
        <w:rPr>
          <w:rFonts w:hint="cs"/>
          <w:rtl/>
        </w:rPr>
        <w:t xml:space="preserve"> </w:t>
      </w:r>
      <w:r w:rsidRPr="00A52585">
        <w:rPr>
          <w:rFonts w:hint="cs"/>
          <w:bCs/>
          <w:rtl/>
        </w:rPr>
        <w:t>وجاء في تفسير الجلالين</w:t>
      </w:r>
      <w:r w:rsidRPr="00A52585">
        <w:rPr>
          <w:rFonts w:hint="cs"/>
          <w:rtl/>
        </w:rPr>
        <w:t xml:space="preserve"> " (من أسلم وجهه لله</w:t>
      </w:r>
      <w:r w:rsidR="0002035C" w:rsidRPr="00A52585">
        <w:rPr>
          <w:rFonts w:hint="cs"/>
          <w:rtl/>
        </w:rPr>
        <w:t xml:space="preserve">) </w:t>
      </w:r>
      <w:r w:rsidRPr="00A52585">
        <w:rPr>
          <w:rFonts w:hint="cs"/>
          <w:rtl/>
        </w:rPr>
        <w:t>أي انقاد وجهه لأمره وخص الوجه لأنه أشرف الأعضاء فغيره أولى " [تفسير الجلالين ج: 1 ص: 24] أهـ</w:t>
      </w:r>
      <w:r w:rsidR="00DB731D" w:rsidRPr="00A52585">
        <w:rPr>
          <w:rFonts w:hint="cs"/>
          <w:rtl/>
          <w:lang w:bidi="ar-KW"/>
        </w:rPr>
        <w:t>،</w:t>
      </w:r>
      <w:r w:rsidRPr="00A52585">
        <w:rPr>
          <w:rFonts w:hint="cs"/>
          <w:rtl/>
          <w:lang w:bidi="ar-KW"/>
        </w:rPr>
        <w:t xml:space="preserve"> </w:t>
      </w:r>
      <w:r w:rsidRPr="00A52585">
        <w:rPr>
          <w:rFonts w:hint="cs"/>
          <w:bCs/>
          <w:rtl/>
        </w:rPr>
        <w:t>وقال النسفي</w:t>
      </w:r>
      <w:r w:rsidRPr="00A52585">
        <w:rPr>
          <w:rFonts w:hint="cs"/>
          <w:rtl/>
        </w:rPr>
        <w:t xml:space="preserve"> "(من أسلم وجهه لله</w:t>
      </w:r>
      <w:r w:rsidR="0002035C" w:rsidRPr="00A52585">
        <w:rPr>
          <w:rFonts w:hint="cs"/>
          <w:rtl/>
        </w:rPr>
        <w:t>)</w:t>
      </w:r>
      <w:r w:rsidRPr="00A52585">
        <w:rPr>
          <w:rFonts w:hint="cs"/>
          <w:rtl/>
        </w:rPr>
        <w:t xml:space="preserve"> من أخلص نفسه له لا يشرك به غيره " </w:t>
      </w:r>
      <w:r w:rsidR="0002035C" w:rsidRPr="00A52585">
        <w:rPr>
          <w:rFonts w:hint="cs"/>
          <w:rtl/>
        </w:rPr>
        <w:t>[</w:t>
      </w:r>
      <w:r w:rsidRPr="00A52585">
        <w:rPr>
          <w:rFonts w:hint="cs"/>
          <w:rtl/>
        </w:rPr>
        <w:t>تفسير النسفي ج: 1 ص: 65] أهـ</w:t>
      </w:r>
      <w:r w:rsidR="0002035C" w:rsidRPr="00A52585">
        <w:rPr>
          <w:rFonts w:hint="cs"/>
          <w:rtl/>
        </w:rPr>
        <w:t xml:space="preserve"> </w:t>
      </w:r>
      <w:r w:rsidRPr="00A52585">
        <w:rPr>
          <w:rFonts w:hint="cs"/>
          <w:bCs/>
          <w:rtl/>
        </w:rPr>
        <w:t>وقال</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أسلم وجهه لله</w:t>
      </w:r>
      <w:r w:rsidR="0002035C" w:rsidRPr="00A52585">
        <w:rPr>
          <w:rFonts w:hint="cs"/>
          <w:rtl/>
        </w:rPr>
        <w:t xml:space="preserve"> </w:t>
      </w:r>
      <w:r w:rsidRPr="00A52585">
        <w:rPr>
          <w:rFonts w:hint="cs"/>
          <w:rtl/>
        </w:rPr>
        <w:t>أخلص نفسه لله وجعلها سالمة له لا يعرف لها ربا ولا معبودا سواه " [تفسير النسفي ج: 1 ص: 250] 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rtl/>
        </w:rPr>
        <w:t>:</w:t>
      </w:r>
      <w:r w:rsidRPr="00A52585">
        <w:rPr>
          <w:rFonts w:hint="cs"/>
          <w:rtl/>
        </w:rPr>
        <w:t xml:space="preserve"> " من</w:t>
      </w:r>
      <w:r w:rsidR="0002035C" w:rsidRPr="00A52585">
        <w:rPr>
          <w:rFonts w:hint="cs"/>
          <w:rtl/>
        </w:rPr>
        <w:t xml:space="preserve"> </w:t>
      </w:r>
      <w:r w:rsidRPr="00A52585">
        <w:rPr>
          <w:rFonts w:hint="cs"/>
          <w:rtl/>
        </w:rPr>
        <w:t>أسلم وجهه لله</w:t>
      </w:r>
      <w:r w:rsidR="0002035C" w:rsidRPr="00A52585">
        <w:rPr>
          <w:rFonts w:hint="cs"/>
          <w:rtl/>
        </w:rPr>
        <w:t xml:space="preserve"> </w:t>
      </w:r>
      <w:r w:rsidRPr="00A52585">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w:t>
      </w:r>
      <w:r w:rsidRPr="00A52585">
        <w:rPr>
          <w:rFonts w:hint="cs"/>
          <w:rtl/>
        </w:rPr>
        <w:lastRenderedPageBreak/>
        <w:t xml:space="preserve">لأنه أشرف الأعضاء ومعدن الحواس وإما مجاز عن القصد لأن القاصد للشيء مواجه له " </w:t>
      </w:r>
      <w:r w:rsidR="0002035C" w:rsidRPr="00A52585">
        <w:rPr>
          <w:rFonts w:hint="cs"/>
          <w:rtl/>
        </w:rPr>
        <w:t>[</w:t>
      </w:r>
      <w:r w:rsidRPr="00A52585">
        <w:rPr>
          <w:rFonts w:hint="cs"/>
          <w:rtl/>
        </w:rPr>
        <w:t>روح المعاني ج: 1 ص: 360] أهـ</w:t>
      </w:r>
    </w:p>
    <w:p w14:paraId="7997F710" w14:textId="669B2E6C" w:rsidR="00777DCB" w:rsidRPr="00A52585" w:rsidRDefault="00777DCB" w:rsidP="0002035C">
      <w:pPr>
        <w:rPr>
          <w:rtl/>
        </w:rPr>
      </w:pPr>
      <w:r w:rsidRPr="00A52585">
        <w:rPr>
          <w:rFonts w:hint="cs"/>
          <w:bCs/>
          <w:rtl/>
        </w:rPr>
        <w:t>قلت</w:t>
      </w:r>
      <w:r w:rsidR="0002035C" w:rsidRPr="00A52585">
        <w:rPr>
          <w:rFonts w:hint="cs"/>
          <w:bCs/>
          <w:rtl/>
        </w:rPr>
        <w:t>:</w:t>
      </w:r>
      <w:r w:rsidRPr="00A52585">
        <w:rPr>
          <w:rFonts w:hint="cs"/>
          <w:rtl/>
        </w:rPr>
        <w:t xml:space="preserve"> وهكذا نجد تواتر حمل المفسرين الوجه في الآيات على الذات أو القصد</w:t>
      </w:r>
      <w:r w:rsidR="00DB731D" w:rsidRPr="00A52585">
        <w:rPr>
          <w:rFonts w:hint="cs"/>
          <w:rtl/>
        </w:rPr>
        <w:t>،</w:t>
      </w:r>
      <w:r w:rsidRPr="00A52585">
        <w:rPr>
          <w:rFonts w:hint="cs"/>
          <w:rtl/>
        </w:rPr>
        <w:t xml:space="preserve"> وعلى نفس المنوال ينبغي حمل قوله تعالى {كل شيء هالك إلا وجهه</w:t>
      </w:r>
      <w:r w:rsidR="0002035C" w:rsidRPr="00A52585">
        <w:rPr>
          <w:rFonts w:hint="cs"/>
          <w:rtl/>
        </w:rPr>
        <w:t>}</w:t>
      </w:r>
      <w:r w:rsidRPr="00A52585">
        <w:rPr>
          <w:rFonts w:hint="cs"/>
          <w:rtl/>
        </w:rPr>
        <w:t xml:space="preserve"> وقوله تعالى {ويبقى وجه ربك ذي الجلال والإكرام</w:t>
      </w:r>
      <w:r w:rsidR="0002035C" w:rsidRPr="00A52585">
        <w:rPr>
          <w:rFonts w:hint="cs"/>
          <w:rtl/>
        </w:rPr>
        <w:t>}</w:t>
      </w:r>
      <w:r w:rsidRPr="00A52585">
        <w:rPr>
          <w:rFonts w:hint="cs"/>
          <w:rtl/>
        </w:rPr>
        <w:t xml:space="preserve"> على الذات أو ما قصد به ذات الله تعالى من العمل الصالح</w:t>
      </w:r>
      <w:r w:rsidR="00DB731D" w:rsidRPr="00A52585">
        <w:rPr>
          <w:rFonts w:hint="cs"/>
          <w:rtl/>
        </w:rPr>
        <w:t>،</w:t>
      </w:r>
      <w:r w:rsidRPr="00A52585">
        <w:rPr>
          <w:rFonts w:hint="cs"/>
          <w:rtl/>
        </w:rPr>
        <w:t xml:space="preserve"> إذ لا يعقل لذي لُب أن الهلاك سيلحق بالذات ولا يبقى إلا الوجه سبحانك هذا كفر عظيم</w:t>
      </w:r>
      <w:r w:rsidR="00DB731D" w:rsidRPr="00A52585">
        <w:rPr>
          <w:rFonts w:hint="cs"/>
          <w:rtl/>
        </w:rPr>
        <w:t>،</w:t>
      </w:r>
      <w:r w:rsidRPr="00A52585">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DB731D" w:rsidRPr="00A52585">
        <w:rPr>
          <w:rFonts w:hint="cs"/>
          <w:rtl/>
        </w:rPr>
        <w:t>،</w:t>
      </w:r>
      <w:r w:rsidRPr="00A52585">
        <w:rPr>
          <w:rFonts w:hint="cs"/>
          <w:rtl/>
        </w:rPr>
        <w:t xml:space="preserve"> وسيأتي إن شاء الله تعالى بيان ذلك بأحسن تفصيل</w:t>
      </w:r>
      <w:r w:rsidR="00897A24" w:rsidRPr="00A52585">
        <w:rPr>
          <w:rFonts w:hint="cs"/>
          <w:rtl/>
        </w:rPr>
        <w:t>.</w:t>
      </w:r>
    </w:p>
    <w:p w14:paraId="55EE06F0" w14:textId="64875592" w:rsidR="00777DCB" w:rsidRPr="00A52585" w:rsidRDefault="00777DCB" w:rsidP="0002035C">
      <w:pPr>
        <w:rPr>
          <w:rtl/>
        </w:rPr>
      </w:pPr>
      <w:r w:rsidRPr="00A52585">
        <w:rPr>
          <w:rFonts w:hint="cs"/>
          <w:bCs/>
          <w:rtl/>
        </w:rPr>
        <w:t>قوله تعالى</w:t>
      </w:r>
      <w:r w:rsidR="0002035C" w:rsidRPr="00A52585">
        <w:rPr>
          <w:rFonts w:hint="cs"/>
          <w:bCs/>
          <w:rtl/>
        </w:rPr>
        <w:t>:(</w:t>
      </w:r>
      <w:r w:rsidRPr="00A52585">
        <w:rPr>
          <w:rFonts w:hint="cs"/>
          <w:rtl/>
        </w:rPr>
        <w:t>اقْتُلُواْ يُوسُفَ</w:t>
      </w:r>
      <w:r w:rsidRPr="00A52585">
        <w:rPr>
          <w:rFonts w:hint="cs"/>
        </w:rPr>
        <w:t xml:space="preserve"> </w:t>
      </w:r>
      <w:r w:rsidRPr="00A52585">
        <w:rPr>
          <w:rFonts w:hint="cs"/>
          <w:rtl/>
        </w:rPr>
        <w:t>أَوِ</w:t>
      </w:r>
      <w:r w:rsidRPr="00A52585">
        <w:rPr>
          <w:rFonts w:hint="cs"/>
        </w:rPr>
        <w:t xml:space="preserve"> </w:t>
      </w:r>
      <w:r w:rsidRPr="00A52585">
        <w:rPr>
          <w:rFonts w:hint="cs"/>
          <w:rtl/>
        </w:rPr>
        <w:t>اطْرَحُوهُ أَرْضًا يَخْلُ لَكُمْ وَجْهُ أَبِيكُمْ وَتَكُونُواْ</w:t>
      </w:r>
      <w:r w:rsidRPr="00A52585">
        <w:rPr>
          <w:rFonts w:hint="cs"/>
        </w:rPr>
        <w:t xml:space="preserve"> </w:t>
      </w:r>
      <w:r w:rsidRPr="00A52585">
        <w:rPr>
          <w:rFonts w:hint="cs"/>
          <w:rtl/>
        </w:rPr>
        <w:t>مِن بَعْدِهِ</w:t>
      </w:r>
      <w:r w:rsidRPr="00A52585">
        <w:rPr>
          <w:rFonts w:hint="cs"/>
        </w:rPr>
        <w:t xml:space="preserve"> </w:t>
      </w:r>
      <w:r w:rsidRPr="00A52585">
        <w:rPr>
          <w:rFonts w:hint="cs"/>
          <w:rtl/>
        </w:rPr>
        <w:t>قَوْمًا</w:t>
      </w:r>
      <w:r w:rsidRPr="00A52585">
        <w:rPr>
          <w:rFonts w:hint="cs"/>
        </w:rPr>
        <w:t xml:space="preserve"> </w:t>
      </w:r>
      <w:r w:rsidRPr="00A52585">
        <w:rPr>
          <w:rFonts w:hint="cs"/>
          <w:rtl/>
        </w:rPr>
        <w:t>صَالِحِينَ</w:t>
      </w:r>
      <w:r w:rsidR="0002035C" w:rsidRPr="00A52585">
        <w:rPr>
          <w:rFonts w:hint="cs"/>
          <w:rtl/>
        </w:rPr>
        <w:t>)</w:t>
      </w:r>
      <w:r w:rsidRPr="00A52585">
        <w:rPr>
          <w:rFonts w:hint="cs"/>
          <w:rtl/>
        </w:rPr>
        <w:t xml:space="preserve"> [يوسف/9]</w:t>
      </w:r>
      <w:r w:rsidR="00DB731D" w:rsidRPr="00A52585">
        <w:rPr>
          <w:rFonts w:hint="cs"/>
          <w:rtl/>
        </w:rPr>
        <w:t>،</w:t>
      </w:r>
      <w:r w:rsidRPr="00A52585">
        <w:rPr>
          <w:rFonts w:hint="cs"/>
          <w:rtl/>
        </w:rPr>
        <w:t xml:space="preserve"> وعلى نفس منوال الآيات السابقات هل يقصد أخوة يوسف خلو وجه أبيهم عليه السلام</w:t>
      </w:r>
      <w:r w:rsidR="00DB731D" w:rsidRPr="00A52585">
        <w:rPr>
          <w:rFonts w:hint="cs"/>
          <w:rtl/>
        </w:rPr>
        <w:t>،</w:t>
      </w:r>
      <w:r w:rsidRPr="00A52585">
        <w:rPr>
          <w:rFonts w:hint="cs"/>
          <w:rtl/>
        </w:rPr>
        <w:t xml:space="preserve"> وكيف يخلو هذا الوجه</w:t>
      </w:r>
      <w:r w:rsidR="00F95886" w:rsidRPr="00A52585">
        <w:rPr>
          <w:rFonts w:hint="cs"/>
          <w:rtl/>
        </w:rPr>
        <w:t>؟</w:t>
      </w:r>
      <w:r w:rsidRPr="00A52585">
        <w:rPr>
          <w:rFonts w:hint="cs"/>
          <w:rtl/>
        </w:rPr>
        <w:t xml:space="preserve"> ومن أي شيءٍ يخلو</w:t>
      </w:r>
      <w:r w:rsidR="00F95886" w:rsidRPr="00A52585">
        <w:rPr>
          <w:rFonts w:hint="cs"/>
          <w:rtl/>
        </w:rPr>
        <w:t>؟</w:t>
      </w:r>
      <w:r w:rsidRPr="00A52585">
        <w:rPr>
          <w:rFonts w:hint="cs"/>
          <w:rtl/>
        </w:rPr>
        <w:t xml:space="preserve"> </w:t>
      </w:r>
      <w:r w:rsidRPr="00A52585">
        <w:rPr>
          <w:rFonts w:hint="cs"/>
          <w:bCs/>
          <w:rtl/>
        </w:rPr>
        <w:t>اللهم إلا أن يراد بسياق الكلام معنى آخر وهو فراغ أبيهم لهم وإقباله عليهم وتوجهه بكليته إليهم</w:t>
      </w:r>
      <w:r w:rsidRPr="00A52585">
        <w:rPr>
          <w:rFonts w:hint="cs"/>
          <w:rtl/>
        </w:rPr>
        <w:t xml:space="preserve"> ولا يلتفت عنهم</w:t>
      </w:r>
      <w:r w:rsidRPr="00A52585">
        <w:rPr>
          <w:rFonts w:hint="cs"/>
        </w:rPr>
        <w:t xml:space="preserve"> </w:t>
      </w:r>
      <w:r w:rsidRPr="00A52585">
        <w:rPr>
          <w:rFonts w:hint="cs"/>
          <w:rtl/>
        </w:rPr>
        <w:t>إلى غيرهم وسلامة محبته لهم ممن يشاركهم فيها بعد ما كان كل ذلك</w:t>
      </w:r>
      <w:r w:rsidR="0002035C" w:rsidRPr="00A52585">
        <w:rPr>
          <w:rFonts w:hint="cs"/>
          <w:rtl/>
        </w:rPr>
        <w:t xml:space="preserve"> </w:t>
      </w:r>
      <w:r w:rsidRPr="00A52585">
        <w:rPr>
          <w:rFonts w:hint="cs"/>
          <w:rtl/>
        </w:rPr>
        <w:t>ليوسف عليه السلام</w:t>
      </w:r>
      <w:r w:rsidR="00897A24" w:rsidRPr="00A52585">
        <w:rPr>
          <w:rFonts w:hint="cs"/>
          <w:rtl/>
        </w:rPr>
        <w:t>.</w:t>
      </w:r>
      <w:r w:rsidRPr="00A52585">
        <w:rPr>
          <w:rFonts w:hint="cs"/>
          <w:rtl/>
        </w:rPr>
        <w:t xml:space="preserve"> </w:t>
      </w:r>
      <w:r w:rsidRPr="00A52585">
        <w:rPr>
          <w:rFonts w:hint="cs"/>
          <w:bCs/>
          <w:rtl/>
        </w:rPr>
        <w:t>فكان ذكر الوجه مجازاً لتصوير معنى</w:t>
      </w:r>
      <w:r w:rsidRPr="00A52585">
        <w:rPr>
          <w:rFonts w:hint="cs"/>
          <w:bCs/>
        </w:rPr>
        <w:t xml:space="preserve"> </w:t>
      </w:r>
      <w:r w:rsidRPr="00A52585">
        <w:rPr>
          <w:rFonts w:hint="cs"/>
          <w:bCs/>
          <w:rtl/>
        </w:rPr>
        <w:t>إقباله عليهم</w:t>
      </w:r>
      <w:r w:rsidRPr="00A52585">
        <w:rPr>
          <w:rFonts w:hint="cs"/>
          <w:rtl/>
        </w:rPr>
        <w:t xml:space="preserve"> لأن الرجل إذا أقبل على </w:t>
      </w:r>
      <w:proofErr w:type="spellStart"/>
      <w:r w:rsidRPr="00A52585">
        <w:rPr>
          <w:rFonts w:hint="cs"/>
          <w:rtl/>
        </w:rPr>
        <w:t>الشئ</w:t>
      </w:r>
      <w:proofErr w:type="spellEnd"/>
      <w:r w:rsidRPr="00A52585">
        <w:rPr>
          <w:rFonts w:hint="cs"/>
          <w:rtl/>
        </w:rPr>
        <w:t xml:space="preserve"> أقبل بوجهه</w:t>
      </w:r>
      <w:r w:rsidR="00DB731D" w:rsidRPr="00A52585">
        <w:rPr>
          <w:rFonts w:hint="cs"/>
          <w:rtl/>
        </w:rPr>
        <w:t>،</w:t>
      </w:r>
      <w:r w:rsidRPr="00A52585">
        <w:rPr>
          <w:rFonts w:hint="cs"/>
          <w:rtl/>
        </w:rPr>
        <w:t xml:space="preserve"> </w:t>
      </w:r>
      <w:r w:rsidRPr="00A52585">
        <w:rPr>
          <w:rFonts w:hint="cs"/>
          <w:bCs/>
          <w:rtl/>
        </w:rPr>
        <w:t>قال أبو السعود في تفسيره</w:t>
      </w:r>
      <w:r w:rsidR="0002035C" w:rsidRPr="00A52585">
        <w:rPr>
          <w:rFonts w:hint="cs"/>
          <w:rtl/>
        </w:rPr>
        <w:t>:</w:t>
      </w:r>
      <w:r w:rsidRPr="00A52585">
        <w:rPr>
          <w:rFonts w:hint="cs"/>
          <w:rtl/>
        </w:rPr>
        <w:t xml:space="preserve"> " أي يخلص لكم وجه أبيكم فيقبل عليكم بكليته ولا يلتفت عنكم إلى غيركم ولا يساهمكم في محبته أحد </w:t>
      </w:r>
      <w:r w:rsidRPr="00A52585">
        <w:rPr>
          <w:rFonts w:hint="cs"/>
          <w:bCs/>
          <w:rtl/>
        </w:rPr>
        <w:t xml:space="preserve">فذكر الوجه لتصوير معنى إقباله عليهم " </w:t>
      </w:r>
      <w:r w:rsidRPr="00A52585">
        <w:rPr>
          <w:rFonts w:hint="cs"/>
          <w:rtl/>
        </w:rPr>
        <w:t>[تفسير أبي السعود ج: 4 ص: 256</w:t>
      </w:r>
      <w:r w:rsidR="0002035C" w:rsidRPr="00A52585">
        <w:rPr>
          <w:rFonts w:hint="cs"/>
          <w:rtl/>
        </w:rPr>
        <w:t>]</w:t>
      </w:r>
      <w:r w:rsidRPr="00A52585">
        <w:rPr>
          <w:rFonts w:hint="cs"/>
          <w:rtl/>
        </w:rPr>
        <w:t xml:space="preserve"> أهـ</w:t>
      </w:r>
      <w:r w:rsidR="00DB731D" w:rsidRPr="00A52585">
        <w:rPr>
          <w:rFonts w:hint="cs"/>
          <w:bCs/>
          <w:rtl/>
        </w:rPr>
        <w:t>،</w:t>
      </w:r>
      <w:r w:rsidRPr="00A52585">
        <w:rPr>
          <w:rFonts w:hint="cs"/>
          <w:bCs/>
          <w:rtl/>
        </w:rPr>
        <w:t xml:space="preserve"> </w:t>
      </w:r>
      <w:r w:rsidRPr="00A52585">
        <w:rPr>
          <w:rFonts w:hint="cs"/>
          <w:rtl/>
        </w:rPr>
        <w:t>وعلى هذا المعنى اتفق قول المفسرين</w:t>
      </w:r>
      <w:r w:rsidR="00897A24" w:rsidRPr="00A52585">
        <w:rPr>
          <w:rFonts w:hint="cs"/>
          <w:rtl/>
        </w:rPr>
        <w:t>.</w:t>
      </w:r>
    </w:p>
    <w:p w14:paraId="6A735AEF" w14:textId="62790C40" w:rsidR="00777DCB" w:rsidRPr="00A52585" w:rsidRDefault="00777DCB" w:rsidP="00F11B49">
      <w:pPr>
        <w:rPr>
          <w:rtl/>
        </w:rPr>
      </w:pPr>
      <w:r w:rsidRPr="00A52585">
        <w:rPr>
          <w:rFonts w:hint="cs"/>
          <w:bCs/>
          <w:rtl/>
        </w:rPr>
        <w:t xml:space="preserve">قوله تعالى </w:t>
      </w:r>
      <w:r w:rsidR="0002035C" w:rsidRPr="00A52585">
        <w:rPr>
          <w:rFonts w:hint="cs"/>
          <w:bCs/>
          <w:rtl/>
        </w:rPr>
        <w:t>(</w:t>
      </w:r>
      <w:r w:rsidRPr="00A52585">
        <w:rPr>
          <w:rFonts w:hint="cs"/>
          <w:rtl/>
        </w:rPr>
        <w:t>وَمِنَ النَّاسِ مَن يَعْبُدُ اللَّهَ</w:t>
      </w:r>
      <w:r w:rsidRPr="00A52585">
        <w:rPr>
          <w:rFonts w:hint="cs"/>
        </w:rPr>
        <w:t xml:space="preserve"> </w:t>
      </w:r>
      <w:r w:rsidRPr="00A52585">
        <w:rPr>
          <w:rFonts w:hint="cs"/>
          <w:rtl/>
        </w:rPr>
        <w:t>عَلَى حَرْفٍ فَإِنْ أَصَابَهُ خَيْرٌ اطْمَأَنَّ بِهِ وَإِنْ أَصَابَتْهُ فِتْنَةٌ</w:t>
      </w:r>
      <w:r w:rsidRPr="00A52585">
        <w:rPr>
          <w:rFonts w:hint="cs"/>
        </w:rPr>
        <w:t xml:space="preserve"> </w:t>
      </w:r>
      <w:r w:rsidRPr="00A52585">
        <w:rPr>
          <w:rFonts w:hint="cs"/>
          <w:rtl/>
        </w:rPr>
        <w:t>انقَلَبَ عَلَى وَجْهِهِ خَسِرَ الدُّنْيَا وَالْآخِرَةَ ذَلِكَ هُوَ الْخُسْرَانُ</w:t>
      </w:r>
      <w:r w:rsidRPr="00A52585">
        <w:rPr>
          <w:rFonts w:hint="cs"/>
        </w:rPr>
        <w:t xml:space="preserve"> </w:t>
      </w:r>
      <w:r w:rsidRPr="00A52585">
        <w:rPr>
          <w:rFonts w:hint="cs"/>
          <w:rtl/>
        </w:rPr>
        <w:t>الْمُبِينُ</w:t>
      </w:r>
      <w:r w:rsidR="0002035C" w:rsidRPr="00A52585">
        <w:rPr>
          <w:rFonts w:hint="cs"/>
          <w:rtl/>
        </w:rPr>
        <w:t>)</w:t>
      </w:r>
      <w:r w:rsidRPr="00A52585">
        <w:rPr>
          <w:rFonts w:hint="cs"/>
          <w:rtl/>
        </w:rPr>
        <w:t xml:space="preserve"> [الحج /11]</w:t>
      </w:r>
      <w:r w:rsidR="00DB731D" w:rsidRPr="00A52585">
        <w:rPr>
          <w:rFonts w:hint="cs"/>
          <w:rtl/>
        </w:rPr>
        <w:t>،</w:t>
      </w:r>
      <w:r w:rsidRPr="00A52585">
        <w:rPr>
          <w:rFonts w:hint="cs"/>
          <w:rtl/>
        </w:rPr>
        <w:t xml:space="preserve"> وانقلاب الإنسان على وجهه هاهنا هل يراد به معناه اللفظي وأنه متى ما وقع إنسان وانقلب على وجهه (الجارحة </w:t>
      </w:r>
      <w:proofErr w:type="gramStart"/>
      <w:r w:rsidRPr="00A52585">
        <w:rPr>
          <w:rFonts w:hint="cs"/>
          <w:rtl/>
        </w:rPr>
        <w:t>المعروفة</w:t>
      </w:r>
      <w:r w:rsidR="0002035C" w:rsidRPr="00A52585">
        <w:rPr>
          <w:rFonts w:hint="cs"/>
          <w:rtl/>
        </w:rPr>
        <w:t>)</w:t>
      </w:r>
      <w:r w:rsidRPr="00A52585">
        <w:rPr>
          <w:rFonts w:hint="cs"/>
          <w:rtl/>
        </w:rPr>
        <w:t>خسر</w:t>
      </w:r>
      <w:proofErr w:type="gramEnd"/>
      <w:r w:rsidRPr="00A52585">
        <w:rPr>
          <w:rFonts w:hint="cs"/>
          <w:rtl/>
        </w:rPr>
        <w:t xml:space="preserve"> الدنيا والآخرة</w:t>
      </w:r>
      <w:r w:rsidR="00DB731D" w:rsidRPr="00A52585">
        <w:rPr>
          <w:rFonts w:hint="cs"/>
          <w:rtl/>
        </w:rPr>
        <w:t>،</w:t>
      </w:r>
      <w:r w:rsidRPr="00A52585">
        <w:rPr>
          <w:rFonts w:hint="cs"/>
          <w:rtl/>
        </w:rPr>
        <w:t xml:space="preserve"> أم المقصود الذي لا ريب في صحته هو ردته عن دينه وتراجعه عن إيمانه بقرينة خسران الدنيا والآخرة</w:t>
      </w:r>
      <w:r w:rsidR="00897A24" w:rsidRPr="00A52585">
        <w:rPr>
          <w:rFonts w:hint="cs"/>
          <w:rtl/>
        </w:rPr>
        <w:t>.</w:t>
      </w:r>
    </w:p>
    <w:p w14:paraId="5A182CD2" w14:textId="77777777" w:rsidR="00F11B49" w:rsidRPr="00A52585" w:rsidRDefault="00F11B49" w:rsidP="00F11B49">
      <w:pPr>
        <w:rPr>
          <w:b/>
          <w:bCs/>
          <w:kern w:val="0"/>
          <w:u w:val="single"/>
          <w:rtl/>
        </w:rPr>
      </w:pPr>
      <w:r w:rsidRPr="00A52585">
        <w:rPr>
          <w:rFonts w:hint="cs"/>
          <w:b/>
          <w:bCs/>
          <w:u w:val="single"/>
          <w:rtl/>
        </w:rPr>
        <w:t xml:space="preserve">(4) </w:t>
      </w:r>
      <w:r w:rsidRPr="00A52585">
        <w:rPr>
          <w:b/>
          <w:bCs/>
          <w:kern w:val="0"/>
          <w:u w:val="single"/>
          <w:rtl/>
        </w:rPr>
        <w:t>الآيات التي ذكر فيها الوجه مضافاً إلى الله تعالى وبيان المعنى الذي سيقت لأجله</w:t>
      </w:r>
      <w:r w:rsidRPr="00A52585">
        <w:rPr>
          <w:rFonts w:hint="cs"/>
          <w:b/>
          <w:bCs/>
          <w:kern w:val="0"/>
          <w:u w:val="single"/>
          <w:rtl/>
        </w:rPr>
        <w:t xml:space="preserve">: </w:t>
      </w:r>
    </w:p>
    <w:p w14:paraId="66746401" w14:textId="4837733F" w:rsidR="00777DCB" w:rsidRPr="00A52585" w:rsidRDefault="0002035C" w:rsidP="00F11B49">
      <w:pPr>
        <w:rPr>
          <w:rtl/>
        </w:rPr>
      </w:pPr>
      <w:r w:rsidRPr="00A52585">
        <w:rPr>
          <w:rFonts w:hint="cs"/>
          <w:bCs/>
          <w:rtl/>
        </w:rPr>
        <w:lastRenderedPageBreak/>
        <w:t>(</w:t>
      </w:r>
      <w:r w:rsidR="00777DCB" w:rsidRPr="00A52585">
        <w:rPr>
          <w:rFonts w:hint="cs"/>
          <w:bCs/>
          <w:rtl/>
        </w:rPr>
        <w:t>أ</w:t>
      </w:r>
      <w:r w:rsidRPr="00A52585">
        <w:rPr>
          <w:rFonts w:hint="cs"/>
          <w:bCs/>
          <w:rtl/>
        </w:rPr>
        <w:t>)</w:t>
      </w:r>
      <w:r w:rsidR="00777DCB" w:rsidRPr="00A52585">
        <w:rPr>
          <w:rFonts w:hint="cs"/>
          <w:bCs/>
          <w:rtl/>
        </w:rPr>
        <w:t xml:space="preserve"> قوله تعالى</w:t>
      </w:r>
      <w:r w:rsidR="00777DCB" w:rsidRPr="00A52585">
        <w:rPr>
          <w:rFonts w:hint="cs"/>
          <w:rtl/>
        </w:rPr>
        <w:t xml:space="preserve"> </w:t>
      </w:r>
      <w:r w:rsidRPr="00A52585">
        <w:rPr>
          <w:rFonts w:hint="cs"/>
          <w:rtl/>
        </w:rPr>
        <w:t>{</w:t>
      </w:r>
      <w:r w:rsidR="00777DCB" w:rsidRPr="00A52585">
        <w:rPr>
          <w:rFonts w:hint="cs"/>
          <w:rtl/>
        </w:rPr>
        <w:t>وَلِلّهِ الْمَشْرِقُ</w:t>
      </w:r>
      <w:r w:rsidR="00777DCB" w:rsidRPr="00A52585">
        <w:rPr>
          <w:rFonts w:hint="cs"/>
        </w:rPr>
        <w:t xml:space="preserve"> </w:t>
      </w:r>
      <w:r w:rsidR="00777DCB" w:rsidRPr="00A52585">
        <w:rPr>
          <w:rFonts w:hint="cs"/>
          <w:rtl/>
        </w:rPr>
        <w:t>وَالْمَغْرِبُ فَأَيْنَمَا تُوَلُّواْ فَثَمَّ وَجْهُ اللّهِ إِنَّ اللّهَ</w:t>
      </w:r>
      <w:r w:rsidR="00777DCB" w:rsidRPr="00A52585">
        <w:rPr>
          <w:rFonts w:hint="cs"/>
        </w:rPr>
        <w:t xml:space="preserve"> </w:t>
      </w:r>
      <w:r w:rsidR="00777DCB" w:rsidRPr="00A52585">
        <w:rPr>
          <w:rFonts w:hint="cs"/>
          <w:rtl/>
        </w:rPr>
        <w:t>وَاسِعٌ عَلِيمٌ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 /115]</w:t>
      </w:r>
      <w:r w:rsidR="00DB731D" w:rsidRPr="00A52585">
        <w:rPr>
          <w:rFonts w:hint="cs"/>
          <w:rtl/>
        </w:rPr>
        <w:t>،</w:t>
      </w:r>
      <w:r w:rsidR="00777DCB" w:rsidRPr="00A52585">
        <w:rPr>
          <w:rFonts w:hint="cs"/>
          <w:rtl/>
        </w:rPr>
        <w:t xml:space="preserve"> فأينما تولوا فثم وجه الله تحتمل عدة معاني جاءت عن الصحابة والتابعين منها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فثم قبلة</w:t>
      </w:r>
      <w:r w:rsidR="00777DCB" w:rsidRPr="00A52585">
        <w:rPr>
          <w:rFonts w:hint="cs"/>
        </w:rPr>
        <w:t xml:space="preserve"> </w:t>
      </w:r>
      <w:r w:rsidR="00777DCB" w:rsidRPr="00A52585">
        <w:rPr>
          <w:rFonts w:hint="cs"/>
          <w:rtl/>
        </w:rPr>
        <w:t>الله يعني بذلك الوجهة والجهة التي وجههم إليها ومن معاني الوجه في اللغة القبلة لأننا نتوجه إليها بوجوهنا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فثم الله</w:t>
      </w:r>
      <w:r w:rsidR="00777DCB" w:rsidRPr="00A52585">
        <w:rPr>
          <w:rFonts w:hint="cs"/>
        </w:rPr>
        <w:t xml:space="preserve"> </w:t>
      </w:r>
      <w:r w:rsidR="00777DCB" w:rsidRPr="00A52585">
        <w:rPr>
          <w:rFonts w:hint="cs"/>
          <w:rtl/>
        </w:rPr>
        <w:t>تبارك وتعالى</w:t>
      </w:r>
      <w:r w:rsidRPr="00A52585">
        <w:rPr>
          <w:rFonts w:hint="cs"/>
          <w:rtl/>
        </w:rPr>
        <w:t xml:space="preserve"> </w:t>
      </w:r>
      <w:r w:rsidR="00777DCB" w:rsidRPr="00A52585">
        <w:rPr>
          <w:rFonts w:hint="cs"/>
          <w:rtl/>
        </w:rPr>
        <w:t>يريد علمه</w:t>
      </w:r>
      <w:r w:rsidR="00777DCB" w:rsidRPr="00A52585">
        <w:rPr>
          <w:rFonts w:hint="cs"/>
        </w:rPr>
        <w:t xml:space="preserve"> </w:t>
      </w:r>
      <w:r w:rsidR="00777DCB" w:rsidRPr="00A52585">
        <w:rPr>
          <w:rFonts w:hint="cs"/>
          <w:rtl/>
        </w:rPr>
        <w:t>معكم أينما كنتم</w:t>
      </w:r>
      <w:r w:rsidR="00DB731D" w:rsidRPr="00A52585">
        <w:rPr>
          <w:rFonts w:hint="cs"/>
          <w:rtl/>
        </w:rPr>
        <w:t>،</w:t>
      </w:r>
      <w:r w:rsidR="00777DCB" w:rsidRPr="00A52585">
        <w:rPr>
          <w:rFonts w:hint="cs"/>
          <w:rtl/>
        </w:rPr>
        <w:t xml:space="preserve"> فعبر بالوجه عن الذات كقوله تعالى (كل شيء هالك إلا وجهه</w:t>
      </w:r>
      <w:r w:rsidRPr="00A52585">
        <w:rPr>
          <w:rFonts w:hint="cs"/>
          <w:rtl/>
        </w:rPr>
        <w:t>)</w:t>
      </w:r>
      <w:r w:rsidR="00777DCB" w:rsidRPr="00A52585">
        <w:rPr>
          <w:rFonts w:hint="cs"/>
          <w:rtl/>
        </w:rPr>
        <w:t xml:space="preserve"> وقوله تعالى (ويبقى</w:t>
      </w:r>
      <w:r w:rsidR="00777DCB" w:rsidRPr="00A52585">
        <w:rPr>
          <w:rFonts w:hint="cs"/>
        </w:rPr>
        <w:t xml:space="preserve"> </w:t>
      </w:r>
      <w:r w:rsidR="00777DCB" w:rsidRPr="00A52585">
        <w:rPr>
          <w:rFonts w:hint="cs"/>
          <w:rtl/>
        </w:rPr>
        <w:t>وجه ربك ذي الجلال والإكرام</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فثم تدركون</w:t>
      </w:r>
      <w:r w:rsidR="00777DCB" w:rsidRPr="00A52585">
        <w:rPr>
          <w:rFonts w:hint="cs"/>
        </w:rPr>
        <w:t xml:space="preserve"> </w:t>
      </w:r>
      <w:r w:rsidR="00777DCB" w:rsidRPr="00A52585">
        <w:rPr>
          <w:rFonts w:hint="cs"/>
          <w:rtl/>
        </w:rPr>
        <w:t>بالتوجه إليه رضا الله تعالى كقوله تعالى (إنما نطعمكم لوجه الله) وقوله تعالى (والذين</w:t>
      </w:r>
      <w:r w:rsidR="00777DCB" w:rsidRPr="00A52585">
        <w:rPr>
          <w:rFonts w:hint="cs"/>
        </w:rPr>
        <w:t xml:space="preserve"> </w:t>
      </w:r>
      <w:r w:rsidR="00777DCB" w:rsidRPr="00A52585">
        <w:rPr>
          <w:rFonts w:hint="cs"/>
          <w:rtl/>
        </w:rPr>
        <w:t>صبروا ابتغاء وجه ربهم</w:t>
      </w:r>
      <w:r w:rsidRPr="00A52585">
        <w:rPr>
          <w:rFonts w:hint="cs"/>
          <w:rtl/>
        </w:rPr>
        <w:t>)</w:t>
      </w:r>
      <w:r w:rsidR="00777DCB" w:rsidRPr="00A52585">
        <w:rPr>
          <w:rFonts w:hint="cs"/>
          <w:rtl/>
        </w:rPr>
        <w:t xml:space="preserve"> أي لأجل رضا الله وابتغاء مرضاته</w:t>
      </w:r>
      <w:r w:rsidR="00DB731D" w:rsidRPr="00A52585">
        <w:rPr>
          <w:rFonts w:hint="cs"/>
          <w:rtl/>
        </w:rPr>
        <w:t>،</w:t>
      </w:r>
      <w:r w:rsidR="00777DCB" w:rsidRPr="00A52585">
        <w:rPr>
          <w:rFonts w:hint="cs"/>
          <w:rtl/>
        </w:rPr>
        <w:t xml:space="preserve"> فهذه المعاني هي التي جاءت عن الصحابة والتابعين وأما ما عدا ذلك فهو تكلف لا دليل عليه</w:t>
      </w:r>
      <w:r w:rsidR="00DB731D" w:rsidRPr="00A52585">
        <w:rPr>
          <w:rFonts w:hint="cs"/>
          <w:rtl/>
        </w:rPr>
        <w:t>،</w:t>
      </w:r>
      <w:r w:rsidR="00777DCB" w:rsidRPr="00A52585">
        <w:rPr>
          <w:rFonts w:hint="cs"/>
          <w:rtl/>
        </w:rPr>
        <w:t xml:space="preserve"> وأما من أراد بهذه الآية إثبات وجه جارحة هو جزء من الذات فتعالى الله عما يصفون</w:t>
      </w:r>
      <w:r w:rsidR="00DB731D" w:rsidRPr="00A52585">
        <w:rPr>
          <w:rFonts w:hint="cs"/>
          <w:rtl/>
        </w:rPr>
        <w:t>،</w:t>
      </w:r>
      <w:r w:rsidR="00777DCB" w:rsidRPr="00A52585">
        <w:rPr>
          <w:rFonts w:hint="cs"/>
          <w:rtl/>
        </w:rPr>
        <w:t xml:space="preserve"> لأن الله تعالى له الأحدية المطلقة فهو منزه عن الأبعاض والأجزاء والجوارح</w:t>
      </w:r>
      <w:r w:rsidR="00DB731D" w:rsidRPr="00A52585">
        <w:rPr>
          <w:rFonts w:hint="cs"/>
          <w:rtl/>
        </w:rPr>
        <w:t>،</w:t>
      </w:r>
      <w:r w:rsidR="00777DCB" w:rsidRPr="00A52585">
        <w:rPr>
          <w:rFonts w:hint="cs"/>
          <w:rtl/>
        </w:rPr>
        <w:t xml:space="preserve"> ثم هؤلاء متناقضون لأنهم يثبتون الوجه على سبيل الجزء</w:t>
      </w:r>
      <w:r w:rsidR="00DB731D" w:rsidRPr="00A52585">
        <w:rPr>
          <w:rFonts w:hint="cs"/>
          <w:rtl/>
        </w:rPr>
        <w:t>،</w:t>
      </w:r>
      <w:r w:rsidR="00777DCB" w:rsidRPr="00A52585">
        <w:rPr>
          <w:rFonts w:hint="cs"/>
          <w:rtl/>
        </w:rPr>
        <w:t xml:space="preserve"> ثم يثبتون الفوقية الحسية على سبيل المسافة ويثبتون الاستواء على سبيل الحد والحيز والجهة</w:t>
      </w:r>
      <w:r w:rsidR="00DB731D" w:rsidRPr="00A52585">
        <w:rPr>
          <w:rFonts w:hint="cs"/>
          <w:rtl/>
        </w:rPr>
        <w:t>،</w:t>
      </w:r>
      <w:r w:rsidR="00777DCB" w:rsidRPr="00A52585">
        <w:rPr>
          <w:rFonts w:hint="cs"/>
          <w:rtl/>
        </w:rPr>
        <w:t xml:space="preserve"> والآية تهد عليهم مذهبهم في الجهة هدا</w:t>
      </w:r>
      <w:r w:rsidR="00DB731D" w:rsidRPr="00A52585">
        <w:rPr>
          <w:rFonts w:hint="cs"/>
          <w:rtl/>
        </w:rPr>
        <w:t>،</w:t>
      </w:r>
      <w:r w:rsidR="00777DCB" w:rsidRPr="00A52585">
        <w:rPr>
          <w:rFonts w:hint="cs"/>
          <w:rtl/>
        </w:rPr>
        <w:t xml:space="preserve"> وذلك لأن الآية تفيد نفي الجهة الواحدة إذ أينما تولوا وفي أي جهة تتوجهوا فثم وجه الله</w:t>
      </w:r>
      <w:r w:rsidR="00DB731D" w:rsidRPr="00A52585">
        <w:rPr>
          <w:rFonts w:hint="cs"/>
          <w:rtl/>
        </w:rPr>
        <w:t>،</w:t>
      </w:r>
      <w:r w:rsidR="00777DCB" w:rsidRPr="00A52585">
        <w:rPr>
          <w:rFonts w:hint="cs"/>
          <w:rtl/>
        </w:rPr>
        <w:t xml:space="preserve"> وإثبات الجهة الواحدة هو مذهبهم الذي بدعوا عموم علماء الأمة لأجله</w:t>
      </w:r>
      <w:r w:rsidR="00DB731D" w:rsidRPr="00A52585">
        <w:rPr>
          <w:rFonts w:hint="cs"/>
          <w:rtl/>
        </w:rPr>
        <w:t>،</w:t>
      </w:r>
      <w:r w:rsidR="00777DCB" w:rsidRPr="00A52585">
        <w:rPr>
          <w:rFonts w:hint="cs"/>
          <w:rtl/>
        </w:rPr>
        <w:t xml:space="preserve"> وعندما تنبه بعضهم لهذا قال</w:t>
      </w:r>
      <w:r w:rsidRPr="00A52585">
        <w:rPr>
          <w:rFonts w:hint="cs"/>
          <w:rtl/>
        </w:rPr>
        <w:t>:</w:t>
      </w:r>
      <w:r w:rsidR="00777DCB" w:rsidRPr="00A52585">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sidR="00DB731D" w:rsidRPr="00A52585">
        <w:rPr>
          <w:rFonts w:hint="cs"/>
          <w:rtl/>
        </w:rPr>
        <w:t>،</w:t>
      </w:r>
      <w:r w:rsidR="00777DCB" w:rsidRPr="00A52585">
        <w:rPr>
          <w:rFonts w:hint="cs"/>
          <w:rtl/>
        </w:rPr>
        <w:t xml:space="preserve"> وفي الحديث عن</w:t>
      </w:r>
      <w:r w:rsidR="00777DCB" w:rsidRPr="00A52585">
        <w:rPr>
          <w:rFonts w:hint="cs"/>
        </w:rPr>
        <w:t xml:space="preserve"> </w:t>
      </w:r>
      <w:r w:rsidR="00777DCB" w:rsidRPr="00A52585">
        <w:rPr>
          <w:rFonts w:hint="cs"/>
          <w:rtl/>
        </w:rPr>
        <w:t>ابن عمر عن النبي صلى الله عليه وسلم</w:t>
      </w:r>
      <w:r w:rsidRPr="00A52585">
        <w:rPr>
          <w:rFonts w:hint="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أحدكم إذا صلى</w:t>
      </w:r>
      <w:r w:rsidR="00777DCB" w:rsidRPr="00A52585">
        <w:rPr>
          <w:rFonts w:hint="cs"/>
        </w:rPr>
        <w:t xml:space="preserve"> </w:t>
      </w:r>
      <w:r w:rsidR="00777DCB" w:rsidRPr="00A52585">
        <w:rPr>
          <w:rFonts w:hint="cs"/>
          <w:rtl/>
        </w:rPr>
        <w:t>فإن الله قبل وجهه</w:t>
      </w:r>
      <w:r w:rsidRPr="00A52585">
        <w:rPr>
          <w:rFonts w:hint="cs"/>
          <w:rtl/>
        </w:rPr>
        <w:t>)</w:t>
      </w:r>
      <w:r w:rsidR="00777DCB" w:rsidRPr="00A52585">
        <w:rPr>
          <w:rFonts w:hint="cs"/>
          <w:rtl/>
        </w:rPr>
        <w:t xml:space="preserve"> وفي رواية أنس </w:t>
      </w:r>
      <w:r w:rsidRPr="00A52585">
        <w:rPr>
          <w:rFonts w:hint="cs"/>
          <w:rtl/>
        </w:rPr>
        <w:t>(</w:t>
      </w:r>
      <w:r w:rsidR="00777DCB" w:rsidRPr="00A52585">
        <w:rPr>
          <w:rFonts w:hint="cs"/>
          <w:rtl/>
        </w:rPr>
        <w:t>إن ربه بينه وبين القبلة</w:t>
      </w:r>
      <w:r w:rsidRPr="00A52585">
        <w:rPr>
          <w:rFonts w:hint="cs"/>
          <w:rtl/>
        </w:rPr>
        <w:t>)</w:t>
      </w:r>
      <w:r w:rsidR="00777DCB" w:rsidRPr="00A52585">
        <w:rPr>
          <w:rFonts w:hint="cs"/>
          <w:rtl/>
        </w:rPr>
        <w:t xml:space="preserve"> وهذا</w:t>
      </w:r>
      <w:r w:rsidR="00777DCB" w:rsidRPr="00A52585">
        <w:rPr>
          <w:rFonts w:hint="cs"/>
        </w:rPr>
        <w:t xml:space="preserve"> </w:t>
      </w:r>
      <w:r w:rsidR="00777DCB" w:rsidRPr="00A52585">
        <w:rPr>
          <w:rFonts w:hint="cs"/>
          <w:rtl/>
        </w:rPr>
        <w:t>الحديث دافع لمذهب الجهة فإن جهة فوق وقدام</w:t>
      </w:r>
      <w:r w:rsidR="00777DCB" w:rsidRPr="00A52585">
        <w:rPr>
          <w:rFonts w:hint="cs"/>
        </w:rPr>
        <w:t xml:space="preserve"> </w:t>
      </w:r>
      <w:r w:rsidR="00777DCB" w:rsidRPr="00A52585">
        <w:rPr>
          <w:rFonts w:hint="cs"/>
          <w:rtl/>
        </w:rPr>
        <w:t>متضادان لا يجتمعان البتة فإن حملها على ظاهرهما محال على الله تعالى لا يجتمعان</w:t>
      </w:r>
      <w:r w:rsidR="00777DCB" w:rsidRPr="00A52585">
        <w:rPr>
          <w:rFonts w:hint="cs"/>
        </w:rPr>
        <w:t xml:space="preserve"> </w:t>
      </w:r>
      <w:r w:rsidR="00777DCB" w:rsidRPr="00A52585">
        <w:rPr>
          <w:rFonts w:hint="cs"/>
          <w:rtl/>
        </w:rPr>
        <w:t>عقلا وعادة وشرعا وإن أول هذا دون ذلك فتحكم وإن أولهما فأهلا بالوفاق</w:t>
      </w:r>
    </w:p>
    <w:p w14:paraId="1A2D6AC2" w14:textId="4675AC57" w:rsidR="00777DCB" w:rsidRPr="00A52585" w:rsidRDefault="00777DCB" w:rsidP="0002035C">
      <w:pPr>
        <w:rPr>
          <w:rtl/>
        </w:rPr>
      </w:pPr>
      <w:r w:rsidRPr="00A52585">
        <w:rPr>
          <w:rFonts w:hint="cs"/>
          <w:bCs/>
          <w:rtl/>
        </w:rPr>
        <w:t>تأويل الصحابة والتابعين للوجه في الآية</w:t>
      </w:r>
      <w:r w:rsidR="0002035C" w:rsidRPr="00A52585">
        <w:rPr>
          <w:rFonts w:hint="cs"/>
          <w:rtl/>
        </w:rPr>
        <w:t>:</w:t>
      </w:r>
      <w:r w:rsidRPr="00A52585">
        <w:rPr>
          <w:rFonts w:hint="cs"/>
          <w:rtl/>
        </w:rPr>
        <w:t xml:space="preserve"> </w:t>
      </w:r>
      <w:r w:rsidRPr="00A52585">
        <w:rPr>
          <w:rFonts w:hint="cs"/>
          <w:bCs/>
          <w:rtl/>
        </w:rPr>
        <w:t>قال السيوطي في الدر المنثور</w:t>
      </w:r>
      <w:r w:rsidR="0002035C" w:rsidRPr="00A52585">
        <w:rPr>
          <w:rFonts w:hint="cs"/>
          <w:bCs/>
          <w:rtl/>
        </w:rPr>
        <w:t>:</w:t>
      </w:r>
      <w:r w:rsidRPr="00A52585">
        <w:rPr>
          <w:rFonts w:hint="cs"/>
          <w:bCs/>
          <w:rtl/>
        </w:rPr>
        <w:t xml:space="preserve"> " </w:t>
      </w:r>
      <w:r w:rsidRPr="00A52585">
        <w:rPr>
          <w:rFonts w:hint="cs"/>
          <w:rtl/>
        </w:rPr>
        <w:t>وأخرج ابن أبي حاتم عن ابن عباس فأينما تولوا</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قال</w:t>
      </w:r>
      <w:r w:rsidR="0002035C" w:rsidRPr="00A52585">
        <w:rPr>
          <w:rFonts w:hint="cs"/>
          <w:rtl/>
        </w:rPr>
        <w:t>:</w:t>
      </w:r>
      <w:r w:rsidRPr="00A52585">
        <w:rPr>
          <w:rFonts w:hint="cs"/>
          <w:rtl/>
        </w:rPr>
        <w:t xml:space="preserve"> قبلة الله أينما توجهت شرقا أو غربا</w:t>
      </w:r>
      <w:r w:rsidR="0002035C" w:rsidRPr="00A52585">
        <w:rPr>
          <w:rFonts w:hint="cs"/>
          <w:rtl/>
        </w:rPr>
        <w:t xml:space="preserve"> </w:t>
      </w:r>
      <w:r w:rsidRPr="00A52585">
        <w:rPr>
          <w:rFonts w:hint="cs"/>
          <w:rtl/>
        </w:rPr>
        <w:t>وأخرج ابن ابي شيبة وعبد بن حميد والترمذي والبيهقي في سننه عن مجاهد</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قال</w:t>
      </w:r>
      <w:r w:rsidR="0002035C" w:rsidRPr="00A52585">
        <w:rPr>
          <w:rFonts w:hint="cs"/>
          <w:rtl/>
        </w:rPr>
        <w:t>:</w:t>
      </w:r>
      <w:r w:rsidRPr="00A52585">
        <w:rPr>
          <w:rFonts w:hint="cs"/>
          <w:rtl/>
        </w:rPr>
        <w:t xml:space="preserve"> قبلة الله فأينما كنتم في شرق أو غرب فاستقبلوها " [الدر المنثور ج: 1 ص: 267] أهـ</w:t>
      </w:r>
      <w:r w:rsidR="00DB731D" w:rsidRPr="00A52585">
        <w:rPr>
          <w:rFonts w:hint="cs"/>
          <w:bCs/>
          <w:rtl/>
        </w:rPr>
        <w:t>،</w:t>
      </w:r>
      <w:r w:rsidRPr="00A52585">
        <w:rPr>
          <w:rFonts w:hint="cs"/>
          <w:bCs/>
          <w:rtl/>
        </w:rPr>
        <w:t xml:space="preserve"> وقال الطبري في تفسيره</w:t>
      </w:r>
      <w:r w:rsidR="0002035C" w:rsidRPr="00A52585">
        <w:rPr>
          <w:rFonts w:hint="cs"/>
          <w:rtl/>
        </w:rPr>
        <w:t>:</w:t>
      </w:r>
      <w:r w:rsidRPr="00A52585">
        <w:rPr>
          <w:rFonts w:hint="cs"/>
          <w:rtl/>
        </w:rPr>
        <w:t xml:space="preserve"> " واختلف في تأويل قوله</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 xml:space="preserve">فقال بعضهم تأويل ذلك فثم قبلة الله يعني بذلك وجهه الذي وجههم إليه عن </w:t>
      </w:r>
      <w:r w:rsidRPr="00A52585">
        <w:rPr>
          <w:rFonts w:hint="cs"/>
          <w:bCs/>
          <w:rtl/>
        </w:rPr>
        <w:t>مجاهد</w:t>
      </w:r>
      <w:r w:rsidRPr="00A52585">
        <w:rPr>
          <w:rFonts w:hint="cs"/>
          <w:rtl/>
        </w:rPr>
        <w:t xml:space="preserve"> قال حيثما كنتم فلكم قبلة تستقبلونها</w:t>
      </w:r>
      <w:r w:rsidR="0002035C" w:rsidRPr="00A52585">
        <w:rPr>
          <w:rFonts w:hint="cs"/>
          <w:rtl/>
        </w:rPr>
        <w:t xml:space="preserve"> </w:t>
      </w:r>
      <w:r w:rsidRPr="00A52585">
        <w:rPr>
          <w:rFonts w:hint="cs"/>
          <w:rtl/>
        </w:rPr>
        <w:t>وقال آخرون معنى قول الله عز وجل</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فثم الله تبارك وتعالى</w:t>
      </w:r>
      <w:r w:rsidR="0002035C" w:rsidRPr="00A52585">
        <w:rPr>
          <w:rFonts w:hint="cs"/>
          <w:rtl/>
        </w:rPr>
        <w:t xml:space="preserve"> </w:t>
      </w:r>
      <w:r w:rsidRPr="00A52585">
        <w:rPr>
          <w:rFonts w:hint="cs"/>
          <w:rtl/>
        </w:rPr>
        <w:t>وقال آخرون معنى قوله</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 xml:space="preserve">فثم تدركون بالتوجه إليه رضا الله الذي له الوجه </w:t>
      </w:r>
      <w:r w:rsidRPr="00A52585">
        <w:rPr>
          <w:rFonts w:hint="cs"/>
          <w:rtl/>
        </w:rPr>
        <w:lastRenderedPageBreak/>
        <w:t>الكريم</w:t>
      </w:r>
      <w:r w:rsidR="0002035C" w:rsidRPr="00A52585">
        <w:rPr>
          <w:rFonts w:hint="cs"/>
          <w:rtl/>
        </w:rPr>
        <w:t xml:space="preserve"> </w:t>
      </w:r>
      <w:r w:rsidRPr="00A52585">
        <w:rPr>
          <w:rFonts w:hint="cs"/>
          <w:rtl/>
        </w:rPr>
        <w:t xml:space="preserve">وقال آخرون عنى بالوجه ذا الوجه وقال </w:t>
      </w:r>
      <w:proofErr w:type="spellStart"/>
      <w:r w:rsidRPr="00A52585">
        <w:rPr>
          <w:rFonts w:hint="cs"/>
          <w:rtl/>
        </w:rPr>
        <w:t>قائلوا</w:t>
      </w:r>
      <w:proofErr w:type="spellEnd"/>
      <w:r w:rsidRPr="00A52585">
        <w:rPr>
          <w:rFonts w:hint="cs"/>
          <w:rtl/>
        </w:rPr>
        <w:t xml:space="preserve"> هذه المقالة وجه الله صفة له " </w:t>
      </w:r>
      <w:r w:rsidR="0002035C" w:rsidRPr="00A52585">
        <w:rPr>
          <w:rFonts w:hint="cs"/>
          <w:rtl/>
        </w:rPr>
        <w:t>[</w:t>
      </w:r>
      <w:r w:rsidRPr="00A52585">
        <w:rPr>
          <w:rFonts w:hint="cs"/>
          <w:rtl/>
        </w:rPr>
        <w:t>تفسير الطبري ج: 1 ص: 506] أهـ</w:t>
      </w:r>
      <w:r w:rsidR="00DB731D" w:rsidRPr="00A52585">
        <w:rPr>
          <w:rFonts w:hint="cs"/>
          <w:rtl/>
        </w:rPr>
        <w:t>،</w:t>
      </w:r>
      <w:r w:rsidRPr="00A52585">
        <w:rPr>
          <w:rFonts w:hint="cs"/>
          <w:rtl/>
        </w:rPr>
        <w:t xml:space="preserve"> </w:t>
      </w:r>
      <w:r w:rsidRPr="00A52585">
        <w:rPr>
          <w:rFonts w:hint="cs"/>
          <w:bCs/>
          <w:rtl/>
        </w:rPr>
        <w:t>وقال البغوي في تفسيره</w:t>
      </w:r>
      <w:r w:rsidR="0002035C" w:rsidRPr="00A52585">
        <w:rPr>
          <w:rFonts w:hint="cs"/>
          <w:rtl/>
        </w:rPr>
        <w:t>:</w:t>
      </w:r>
      <w:r w:rsidRPr="00A52585">
        <w:rPr>
          <w:rFonts w:hint="cs"/>
          <w:rtl/>
        </w:rPr>
        <w:t xml:space="preserve"> " فأينما تولوا</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يعني أينما تحولوا وجوهكم فثم أي هناك وجه الله قال الكلبي فثم الله يعلم ويرى وجه صلة كقوله تعالى (كل شيء هالك إلا وجهه</w:t>
      </w:r>
      <w:r w:rsidR="0002035C" w:rsidRPr="00A52585">
        <w:rPr>
          <w:rFonts w:hint="cs"/>
          <w:rtl/>
        </w:rPr>
        <w:t>)</w:t>
      </w:r>
      <w:r w:rsidRPr="00A52585">
        <w:rPr>
          <w:rFonts w:hint="cs"/>
          <w:rtl/>
        </w:rPr>
        <w:t xml:space="preserve"> أي إلا هو وقال </w:t>
      </w:r>
      <w:r w:rsidRPr="00A52585">
        <w:rPr>
          <w:rFonts w:hint="cs"/>
          <w:bCs/>
          <w:rtl/>
        </w:rPr>
        <w:t>الحسن ومجاهد وقتادة ومقاتل بن حيان</w:t>
      </w:r>
      <w:r w:rsidRPr="00A52585">
        <w:rPr>
          <w:rFonts w:hint="cs"/>
          <w:rtl/>
        </w:rPr>
        <w:t xml:space="preserve"> فثم قبلة الله والوجه والوجهة والجهة القبلة وقيل رضا الله تعالى " [تفسير البغوي ج: 1 ص: 108] أهـ</w:t>
      </w:r>
      <w:r w:rsidR="00DB731D" w:rsidRPr="00A52585">
        <w:rPr>
          <w:rFonts w:hint="cs"/>
          <w:rtl/>
        </w:rPr>
        <w:t>،</w:t>
      </w:r>
      <w:r w:rsidRPr="00A52585">
        <w:rPr>
          <w:rFonts w:hint="cs"/>
          <w:rtl/>
        </w:rPr>
        <w:t xml:space="preserve"> </w:t>
      </w:r>
      <w:r w:rsidRPr="00A52585">
        <w:rPr>
          <w:rFonts w:hint="cs"/>
          <w:bCs/>
          <w:rtl/>
        </w:rPr>
        <w:t>وقال بن كثير في تفسيره</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وقال عكرمة عن </w:t>
      </w:r>
      <w:r w:rsidRPr="00A52585">
        <w:rPr>
          <w:rFonts w:hint="cs"/>
          <w:bCs/>
          <w:rtl/>
        </w:rPr>
        <w:t>ابن عباس</w:t>
      </w:r>
      <w:r w:rsidRPr="00A52585">
        <w:rPr>
          <w:rFonts w:hint="cs"/>
          <w:rtl/>
        </w:rPr>
        <w:t xml:space="preserve"> فأينما تولوا</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 xml:space="preserve">قال قبلة الله أينما توجهت شرقا أو غربا وقال </w:t>
      </w:r>
      <w:r w:rsidRPr="00A52585">
        <w:rPr>
          <w:rFonts w:hint="cs"/>
          <w:bCs/>
          <w:rtl/>
        </w:rPr>
        <w:t>مجاهد</w:t>
      </w:r>
      <w:r w:rsidRPr="00A52585">
        <w:rPr>
          <w:rFonts w:hint="cs"/>
          <w:rtl/>
        </w:rPr>
        <w:t xml:space="preserve"> فأينما تولوا فثم وجه الله حيثما كنتم فلكم قبلة تستقبلونها الكعبة " [تفسير ابن كثير ج: 1 ص: 159] أهـ</w:t>
      </w:r>
      <w:r w:rsidR="00DB731D" w:rsidRPr="00A52585">
        <w:rPr>
          <w:rFonts w:hint="cs"/>
          <w:rtl/>
        </w:rPr>
        <w:t>،</w:t>
      </w:r>
      <w:r w:rsidRPr="00A52585">
        <w:rPr>
          <w:rFonts w:hint="cs"/>
          <w:rtl/>
        </w:rPr>
        <w:t xml:space="preserve"> </w:t>
      </w:r>
      <w:r w:rsidRPr="00A52585">
        <w:rPr>
          <w:rFonts w:hint="cs"/>
          <w:bCs/>
          <w:rtl/>
        </w:rPr>
        <w:t>وقال ابن الجوزي في تفسيره</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قوله تعالى فثم وجه الله فيه قولان أحدهما فثم الله يريد علمه معكم اين كنتم وهو قول </w:t>
      </w:r>
      <w:r w:rsidRPr="00A52585">
        <w:rPr>
          <w:rFonts w:hint="cs"/>
          <w:bCs/>
          <w:rtl/>
        </w:rPr>
        <w:t>ابن عباس و مقاتل</w:t>
      </w:r>
      <w:r w:rsidRPr="00A52585">
        <w:rPr>
          <w:rFonts w:hint="cs"/>
          <w:rtl/>
        </w:rPr>
        <w:t xml:space="preserve"> والثاني فثم قبلة الله قاله </w:t>
      </w:r>
      <w:r w:rsidRPr="00A52585">
        <w:rPr>
          <w:rFonts w:hint="cs"/>
          <w:bCs/>
          <w:rtl/>
        </w:rPr>
        <w:t>عكرمة و مجاهد</w:t>
      </w:r>
      <w:r w:rsidRPr="00A52585">
        <w:rPr>
          <w:rFonts w:hint="cs"/>
          <w:rtl/>
        </w:rPr>
        <w:t xml:space="preserve"> "</w:t>
      </w:r>
      <w:r w:rsidR="0002035C" w:rsidRPr="00A52585">
        <w:rPr>
          <w:rFonts w:hint="cs"/>
          <w:rtl/>
        </w:rPr>
        <w:t>[</w:t>
      </w:r>
      <w:r w:rsidRPr="00A52585">
        <w:rPr>
          <w:rFonts w:hint="cs"/>
          <w:rtl/>
        </w:rPr>
        <w:t>زاد المسير ج: 1 ص: 134-135] أهـ</w:t>
      </w:r>
    </w:p>
    <w:p w14:paraId="5B6559A2" w14:textId="78BFF429" w:rsidR="00777DCB" w:rsidRPr="00A52585" w:rsidRDefault="00777DCB" w:rsidP="0002035C">
      <w:pPr>
        <w:rPr>
          <w:rtl/>
        </w:rPr>
      </w:pPr>
      <w:proofErr w:type="spellStart"/>
      <w:r w:rsidRPr="00A52585">
        <w:rPr>
          <w:rFonts w:hint="cs"/>
          <w:bCs/>
          <w:rtl/>
        </w:rPr>
        <w:t>إتفاق</w:t>
      </w:r>
      <w:proofErr w:type="spellEnd"/>
      <w:r w:rsidRPr="00A52585">
        <w:rPr>
          <w:rFonts w:hint="cs"/>
          <w:bCs/>
          <w:rtl/>
        </w:rPr>
        <w:t xml:space="preserve"> أهل العلم على تأويل الوجه في الآية</w:t>
      </w:r>
      <w:r w:rsidR="0002035C" w:rsidRPr="00A52585">
        <w:rPr>
          <w:rFonts w:hint="cs"/>
          <w:rtl/>
        </w:rPr>
        <w:t xml:space="preserve">: </w:t>
      </w:r>
      <w:r w:rsidRPr="00A52585">
        <w:rPr>
          <w:rFonts w:hint="cs"/>
          <w:bCs/>
          <w:rtl/>
        </w:rPr>
        <w:t>قال القرطبي في تفسيره</w:t>
      </w:r>
      <w:r w:rsidR="0002035C" w:rsidRPr="00A52585">
        <w:rPr>
          <w:rFonts w:hint="cs"/>
          <w:rtl/>
        </w:rPr>
        <w:t>:</w:t>
      </w:r>
      <w:r w:rsidRPr="00A52585">
        <w:rPr>
          <w:rFonts w:hint="cs"/>
          <w:rtl/>
        </w:rPr>
        <w:t xml:space="preserve"> " اختلف الناس في تأويل الوجه المضاف إلى الله في القرآن والسنة </w:t>
      </w:r>
      <w:r w:rsidRPr="00A52585">
        <w:rPr>
          <w:rFonts w:hint="cs"/>
          <w:bCs/>
          <w:rtl/>
        </w:rPr>
        <w:t>فقال الحذاق</w:t>
      </w:r>
      <w:r w:rsidR="0002035C" w:rsidRPr="00A52585">
        <w:rPr>
          <w:rFonts w:hint="cs"/>
          <w:rtl/>
        </w:rPr>
        <w:t xml:space="preserve"> </w:t>
      </w:r>
      <w:r w:rsidRPr="00A52585">
        <w:rPr>
          <w:rFonts w:hint="cs"/>
          <w:rtl/>
        </w:rPr>
        <w:t xml:space="preserve">ذلك راجع إلى الوجود والعبارة عنه بالوجه من مجاز الكلام إذ كان الوجه أظهر لأعضاء في الشاهد واجلها قدرا </w:t>
      </w:r>
      <w:r w:rsidRPr="00A52585">
        <w:rPr>
          <w:rFonts w:hint="cs"/>
          <w:bCs/>
          <w:rtl/>
        </w:rPr>
        <w:t>وقال ابن فورك</w:t>
      </w:r>
      <w:r w:rsidR="0002035C" w:rsidRPr="00A52585">
        <w:rPr>
          <w:rFonts w:hint="cs"/>
          <w:rtl/>
        </w:rPr>
        <w:t xml:space="preserve"> </w:t>
      </w:r>
      <w:r w:rsidRPr="00A52585">
        <w:rPr>
          <w:rFonts w:hint="cs"/>
          <w:rtl/>
        </w:rPr>
        <w:t>قد تذكر صفة الشيء والمراد بها الموصوف توسعا كما يقول القائل</w:t>
      </w:r>
      <w:r w:rsidR="0002035C" w:rsidRPr="00A52585">
        <w:rPr>
          <w:rFonts w:hint="cs"/>
          <w:rtl/>
        </w:rPr>
        <w:t xml:space="preserve"> </w:t>
      </w:r>
      <w:r w:rsidRPr="00A52585">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02035C" w:rsidRPr="00A52585">
        <w:rPr>
          <w:rFonts w:hint="cs"/>
          <w:rtl/>
        </w:rPr>
        <w:t xml:space="preserve"> </w:t>
      </w:r>
      <w:r w:rsidRPr="00A52585">
        <w:rPr>
          <w:rFonts w:hint="cs"/>
          <w:rtl/>
        </w:rPr>
        <w:t>إنما نطعمكم لوجه الله لأن المراد به</w:t>
      </w:r>
      <w:r w:rsidR="0002035C" w:rsidRPr="00A52585">
        <w:rPr>
          <w:rFonts w:hint="cs"/>
          <w:rtl/>
        </w:rPr>
        <w:t xml:space="preserve"> </w:t>
      </w:r>
      <w:r w:rsidRPr="00A52585">
        <w:rPr>
          <w:rFonts w:hint="cs"/>
          <w:rtl/>
        </w:rPr>
        <w:t>لله الذي له الوجه وكذلك قوله</w:t>
      </w:r>
      <w:r w:rsidR="0002035C" w:rsidRPr="00A52585">
        <w:rPr>
          <w:rFonts w:hint="cs"/>
          <w:rtl/>
        </w:rPr>
        <w:t xml:space="preserve"> </w:t>
      </w:r>
      <w:r w:rsidRPr="00A52585">
        <w:rPr>
          <w:rFonts w:hint="cs"/>
          <w:rtl/>
        </w:rPr>
        <w:t xml:space="preserve">إلا ابتغاء وجه ربه الاعلى أي الذي له الوجه </w:t>
      </w:r>
      <w:r w:rsidRPr="00A52585">
        <w:rPr>
          <w:rFonts w:hint="cs"/>
          <w:bCs/>
          <w:rtl/>
        </w:rPr>
        <w:t xml:space="preserve">قال ابن </w:t>
      </w:r>
      <w:proofErr w:type="spellStart"/>
      <w:r w:rsidRPr="00A52585">
        <w:rPr>
          <w:rFonts w:hint="cs"/>
          <w:bCs/>
          <w:rtl/>
        </w:rPr>
        <w:t>عباس</w:t>
      </w:r>
      <w:r w:rsidR="0002035C" w:rsidRPr="00A52585">
        <w:rPr>
          <w:rFonts w:hint="cs"/>
          <w:bCs/>
          <w:rtl/>
        </w:rPr>
        <w:t>:</w:t>
      </w:r>
      <w:r w:rsidRPr="00A52585">
        <w:rPr>
          <w:rFonts w:hint="cs"/>
          <w:rtl/>
        </w:rPr>
        <w:t>الوجه</w:t>
      </w:r>
      <w:proofErr w:type="spellEnd"/>
      <w:r w:rsidRPr="00A52585">
        <w:rPr>
          <w:rFonts w:hint="cs"/>
          <w:rtl/>
        </w:rPr>
        <w:t xml:space="preserve"> عبارة عنه عز وجل كما قال</w:t>
      </w:r>
      <w:r w:rsidR="0002035C" w:rsidRPr="00A52585">
        <w:rPr>
          <w:rFonts w:hint="cs"/>
          <w:rtl/>
        </w:rPr>
        <w:t xml:space="preserve"> </w:t>
      </w:r>
      <w:r w:rsidRPr="00A52585">
        <w:rPr>
          <w:rFonts w:hint="cs"/>
          <w:rtl/>
        </w:rPr>
        <w:t xml:space="preserve">ويبقى وجه ربك ذو الجلال والإكرام </w:t>
      </w:r>
      <w:r w:rsidRPr="00A52585">
        <w:rPr>
          <w:rFonts w:hint="cs"/>
          <w:bCs/>
          <w:rtl/>
        </w:rPr>
        <w:t>وقال بعض الأئمة</w:t>
      </w:r>
      <w:r w:rsidR="0002035C" w:rsidRPr="00A52585">
        <w:rPr>
          <w:rFonts w:hint="cs"/>
          <w:rtl/>
        </w:rPr>
        <w:t xml:space="preserve"> </w:t>
      </w:r>
      <w:r w:rsidRPr="00A52585">
        <w:rPr>
          <w:rFonts w:hint="cs"/>
          <w:rtl/>
        </w:rPr>
        <w:t>تلك صفة ثابتة بالسمع زائدة على ما توجبه العقول من صفات القديم تعالى قال ابن عطية</w:t>
      </w:r>
      <w:r w:rsidR="0002035C" w:rsidRPr="00A52585">
        <w:rPr>
          <w:rFonts w:hint="cs"/>
          <w:rtl/>
        </w:rPr>
        <w:t xml:space="preserve"> </w:t>
      </w:r>
      <w:r w:rsidRPr="00A52585">
        <w:rPr>
          <w:rFonts w:hint="cs"/>
          <w:bCs/>
          <w:rtl/>
        </w:rPr>
        <w:t>وضعف أبو المعالي هذا القول</w:t>
      </w:r>
      <w:r w:rsidRPr="00A52585">
        <w:rPr>
          <w:rFonts w:hint="cs"/>
          <w:rtl/>
        </w:rPr>
        <w:t xml:space="preserve"> وهو كذلك ضعيف </w:t>
      </w:r>
      <w:r w:rsidRPr="00A52585">
        <w:rPr>
          <w:rFonts w:hint="cs"/>
          <w:bCs/>
          <w:rtl/>
        </w:rPr>
        <w:t>وإنما المراد وجوده وقيل</w:t>
      </w:r>
      <w:r w:rsidR="0002035C" w:rsidRPr="00A52585">
        <w:rPr>
          <w:rFonts w:hint="cs"/>
          <w:bCs/>
          <w:rtl/>
        </w:rPr>
        <w:t xml:space="preserve"> </w:t>
      </w:r>
      <w:r w:rsidRPr="00A52585">
        <w:rPr>
          <w:rFonts w:hint="cs"/>
          <w:bCs/>
          <w:rtl/>
        </w:rPr>
        <w:t>المراد بالوجه هنا الجهة التي وجهنا إليها أي القبلة وقيل</w:t>
      </w:r>
      <w:r w:rsidR="0002035C" w:rsidRPr="00A52585">
        <w:rPr>
          <w:rFonts w:hint="cs"/>
          <w:bCs/>
          <w:rtl/>
        </w:rPr>
        <w:t xml:space="preserve"> </w:t>
      </w:r>
      <w:r w:rsidRPr="00A52585">
        <w:rPr>
          <w:rFonts w:hint="cs"/>
          <w:bCs/>
          <w:rtl/>
        </w:rPr>
        <w:t xml:space="preserve">الوجه القصد </w:t>
      </w:r>
      <w:r w:rsidRPr="00A52585">
        <w:rPr>
          <w:rFonts w:hint="cs"/>
          <w:rtl/>
        </w:rPr>
        <w:t>كما قال الشاعر</w:t>
      </w:r>
      <w:r w:rsidR="0002035C" w:rsidRPr="00A52585">
        <w:rPr>
          <w:rFonts w:hint="cs"/>
          <w:rtl/>
        </w:rPr>
        <w:t xml:space="preserve"> </w:t>
      </w:r>
      <w:r w:rsidRPr="00A52585">
        <w:rPr>
          <w:rFonts w:hint="cs"/>
          <w:rtl/>
        </w:rPr>
        <w:t>أستغفر الله ذنبا لست محصيه رب العباد إليه الوجه والعمل وقيل</w:t>
      </w:r>
      <w:r w:rsidR="0002035C" w:rsidRPr="00A52585">
        <w:rPr>
          <w:rFonts w:hint="cs"/>
          <w:rtl/>
        </w:rPr>
        <w:t xml:space="preserve"> </w:t>
      </w:r>
      <w:r w:rsidRPr="00A52585">
        <w:rPr>
          <w:rFonts w:hint="cs"/>
          <w:rtl/>
        </w:rPr>
        <w:t>المعنى فثم رضا الله وثوابه كما قال</w:t>
      </w:r>
      <w:r w:rsidR="0002035C" w:rsidRPr="00A52585">
        <w:rPr>
          <w:rFonts w:hint="cs"/>
          <w:rtl/>
        </w:rPr>
        <w:t xml:space="preserve"> </w:t>
      </w:r>
      <w:r w:rsidRPr="00A52585">
        <w:rPr>
          <w:rFonts w:hint="cs"/>
          <w:rtl/>
        </w:rPr>
        <w:t xml:space="preserve">إنما نطعمكم لوجه الله أي لرضائه وطلب ثوابه " </w:t>
      </w:r>
      <w:r w:rsidR="0002035C" w:rsidRPr="00A52585">
        <w:rPr>
          <w:rFonts w:hint="cs"/>
          <w:rtl/>
        </w:rPr>
        <w:t>[</w:t>
      </w:r>
      <w:r w:rsidRPr="00A52585">
        <w:rPr>
          <w:rFonts w:hint="cs"/>
          <w:rtl/>
        </w:rPr>
        <w:t>تفسير القرطبي ج: 2 ص: 83]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ويبقى وجه ربك أي ويبقى وجه الله فالوجه عبارة عن وجوده وذاته سبحانه قال الشاعر</w:t>
      </w:r>
      <w:r w:rsidR="0002035C" w:rsidRPr="00A52585">
        <w:rPr>
          <w:rFonts w:hint="cs"/>
          <w:rtl/>
        </w:rPr>
        <w:t>: (</w:t>
      </w:r>
      <w:r w:rsidRPr="00A52585">
        <w:rPr>
          <w:rFonts w:hint="cs"/>
          <w:rtl/>
        </w:rPr>
        <w:t>قضى على خلقه المنايا *</w:t>
      </w:r>
      <w:r w:rsidR="0002035C" w:rsidRPr="00A52585">
        <w:rPr>
          <w:rFonts w:hint="cs"/>
          <w:rtl/>
        </w:rPr>
        <w:t xml:space="preserve"> </w:t>
      </w:r>
      <w:r w:rsidRPr="00A52585">
        <w:rPr>
          <w:rFonts w:hint="cs"/>
          <w:rtl/>
        </w:rPr>
        <w:t>فكل شيء سواه فاني</w:t>
      </w:r>
      <w:r w:rsidR="0002035C" w:rsidRPr="00A52585">
        <w:rPr>
          <w:rFonts w:hint="cs"/>
          <w:rtl/>
        </w:rPr>
        <w:t>)</w:t>
      </w:r>
      <w:r w:rsidR="00DB731D" w:rsidRPr="00A52585">
        <w:rPr>
          <w:rFonts w:hint="cs"/>
          <w:rtl/>
        </w:rPr>
        <w:t>،</w:t>
      </w:r>
      <w:r w:rsidRPr="00A52585">
        <w:rPr>
          <w:rFonts w:hint="cs"/>
          <w:rtl/>
        </w:rPr>
        <w:t xml:space="preserve"> وهذا الذي ارتضاه المحققون من علمائنا</w:t>
      </w:r>
      <w:r w:rsidR="0002035C" w:rsidRPr="00A52585">
        <w:rPr>
          <w:rFonts w:hint="cs"/>
          <w:rtl/>
        </w:rPr>
        <w:t xml:space="preserve"> </w:t>
      </w:r>
      <w:r w:rsidRPr="00A52585">
        <w:rPr>
          <w:rFonts w:hint="cs"/>
          <w:rtl/>
        </w:rPr>
        <w:t>ابن فورك وأبو المعالي وغيرهم وقال ابن عباس</w:t>
      </w:r>
      <w:r w:rsidR="0002035C" w:rsidRPr="00A52585">
        <w:rPr>
          <w:rFonts w:hint="cs"/>
          <w:rtl/>
        </w:rPr>
        <w:t xml:space="preserve"> </w:t>
      </w:r>
      <w:r w:rsidRPr="00A52585">
        <w:rPr>
          <w:rFonts w:hint="cs"/>
          <w:rtl/>
        </w:rPr>
        <w:t>الوجه عبارة عنه كما قال</w:t>
      </w:r>
      <w:r w:rsidR="0002035C" w:rsidRPr="00A52585">
        <w:rPr>
          <w:rFonts w:hint="cs"/>
          <w:rtl/>
        </w:rPr>
        <w:t xml:space="preserve"> </w:t>
      </w:r>
      <w:r w:rsidRPr="00A52585">
        <w:rPr>
          <w:rFonts w:hint="cs"/>
          <w:rtl/>
        </w:rPr>
        <w:t>ويبقى وجه ربك ذو الجلال والإكرام وقال أبو المعالي</w:t>
      </w:r>
      <w:r w:rsidR="0002035C" w:rsidRPr="00A52585">
        <w:rPr>
          <w:rFonts w:hint="cs"/>
          <w:rtl/>
        </w:rPr>
        <w:t xml:space="preserve"> </w:t>
      </w:r>
      <w:r w:rsidRPr="00A52585">
        <w:rPr>
          <w:rFonts w:hint="cs"/>
          <w:rtl/>
        </w:rPr>
        <w:lastRenderedPageBreak/>
        <w:t>وأما الوجه فالمراد به عند معظم أئمتنا وجود الباري تعالى وهو الذي ارتضاه شيخنا ومن الدليل على ذلك قوله تعالى</w:t>
      </w:r>
      <w:r w:rsidR="0002035C" w:rsidRPr="00A52585">
        <w:rPr>
          <w:rFonts w:hint="cs"/>
          <w:rtl/>
        </w:rPr>
        <w:t xml:space="preserve"> </w:t>
      </w:r>
      <w:r w:rsidRPr="00A52585">
        <w:rPr>
          <w:rFonts w:hint="cs"/>
          <w:rtl/>
        </w:rPr>
        <w:t>ويبقى وجه ربك والموصف بالبقاء عند تعرض الخلق للفناء وجود الباري تعالى وقد مضى في البقرة القول في هذا عند قوله تعالى</w:t>
      </w:r>
      <w:r w:rsidR="0002035C" w:rsidRPr="00A52585">
        <w:rPr>
          <w:rFonts w:hint="cs"/>
          <w:rtl/>
        </w:rPr>
        <w:t xml:space="preserve"> </w:t>
      </w:r>
      <w:r w:rsidRPr="00A52585">
        <w:rPr>
          <w:rFonts w:hint="cs"/>
          <w:rtl/>
        </w:rPr>
        <w:t>فأينما تولوا</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 xml:space="preserve">وقد ذكرناه في الكتاب </w:t>
      </w:r>
      <w:proofErr w:type="spellStart"/>
      <w:r w:rsidRPr="00A52585">
        <w:rPr>
          <w:rFonts w:hint="cs"/>
          <w:rtl/>
        </w:rPr>
        <w:t>الأسني</w:t>
      </w:r>
      <w:proofErr w:type="spellEnd"/>
      <w:r w:rsidRPr="00A52585">
        <w:rPr>
          <w:rFonts w:hint="cs"/>
          <w:rtl/>
        </w:rPr>
        <w:t xml:space="preserve"> مستوفى قال القشيري</w:t>
      </w:r>
      <w:r w:rsidR="0002035C" w:rsidRPr="00A52585">
        <w:rPr>
          <w:rFonts w:hint="cs"/>
          <w:rtl/>
        </w:rPr>
        <w:t xml:space="preserve"> </w:t>
      </w:r>
      <w:r w:rsidRPr="00A52585">
        <w:rPr>
          <w:rFonts w:hint="cs"/>
          <w:rtl/>
        </w:rPr>
        <w:t xml:space="preserve">قام قوم هو صفة زائدة على الذات لا تكيف يحصل بها الإقبال على من أراد الرب تخصيصه بالإكرام </w:t>
      </w:r>
      <w:r w:rsidRPr="00A52585">
        <w:rPr>
          <w:rFonts w:hint="cs"/>
          <w:bCs/>
          <w:rtl/>
        </w:rPr>
        <w:t>والصحيح أن يقال</w:t>
      </w:r>
      <w:r w:rsidR="0002035C" w:rsidRPr="00A52585">
        <w:rPr>
          <w:rFonts w:hint="cs"/>
          <w:bCs/>
          <w:rtl/>
        </w:rPr>
        <w:t xml:space="preserve"> </w:t>
      </w:r>
      <w:r w:rsidRPr="00A52585">
        <w:rPr>
          <w:rFonts w:hint="cs"/>
          <w:bCs/>
          <w:rtl/>
        </w:rPr>
        <w:t>وجهه وجوده وذاته</w:t>
      </w:r>
      <w:r w:rsidRPr="00A52585">
        <w:rPr>
          <w:rFonts w:hint="cs"/>
          <w:rtl/>
        </w:rPr>
        <w:t xml:space="preserve"> يقال</w:t>
      </w:r>
      <w:r w:rsidR="0002035C" w:rsidRPr="00A52585">
        <w:rPr>
          <w:rFonts w:hint="cs"/>
          <w:rtl/>
        </w:rPr>
        <w:t xml:space="preserve"> </w:t>
      </w:r>
      <w:r w:rsidRPr="00A52585">
        <w:rPr>
          <w:rFonts w:hint="cs"/>
          <w:rtl/>
        </w:rPr>
        <w:t>هذا وجه الأمر ووجه الصواب وعين الصواب "</w:t>
      </w:r>
      <w:r w:rsidR="0002035C" w:rsidRPr="00A52585">
        <w:rPr>
          <w:rFonts w:hint="cs"/>
          <w:rtl/>
        </w:rPr>
        <w:t>[</w:t>
      </w:r>
      <w:r w:rsidRPr="00A52585">
        <w:rPr>
          <w:rFonts w:hint="cs"/>
          <w:rtl/>
        </w:rPr>
        <w:t>تفسير القرطبي ج: 17 ص: 165] أهـ</w:t>
      </w:r>
    </w:p>
    <w:p w14:paraId="5A2C8ECA" w14:textId="58F35F5A" w:rsidR="00777DCB" w:rsidRPr="00A52585" w:rsidRDefault="00777DCB" w:rsidP="0002035C">
      <w:pPr>
        <w:rPr>
          <w:rtl/>
        </w:rPr>
      </w:pPr>
      <w:r w:rsidRPr="00A52585">
        <w:rPr>
          <w:rFonts w:hint="cs"/>
          <w:bCs/>
          <w:rtl/>
        </w:rPr>
        <w:t>وقال أبو حيان في تفسيره البحر المحيط</w:t>
      </w:r>
      <w:r w:rsidR="0002035C" w:rsidRPr="00A52585">
        <w:rPr>
          <w:rFonts w:hint="cs"/>
          <w:bCs/>
          <w:rtl/>
        </w:rPr>
        <w:t>:</w:t>
      </w:r>
      <w:r w:rsidRPr="00A52585">
        <w:rPr>
          <w:rFonts w:hint="cs"/>
          <w:bCs/>
          <w:rtl/>
        </w:rPr>
        <w:t xml:space="preserve"> " </w:t>
      </w:r>
      <w:r w:rsidRPr="00A52585">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02035C" w:rsidRPr="00A52585">
        <w:rPr>
          <w:rFonts w:hint="cs"/>
          <w:rtl/>
        </w:rPr>
        <w:t>(</w:t>
      </w:r>
      <w:r w:rsidRPr="00A52585">
        <w:rPr>
          <w:rFonts w:hint="cs"/>
          <w:rtl/>
        </w:rPr>
        <w:t>أستغفر الله ذنباً لست محصيه</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رب العباد إليه الوجه والعمل</w:t>
      </w:r>
      <w:r w:rsidR="0002035C" w:rsidRPr="00A52585">
        <w:rPr>
          <w:rFonts w:hint="cs"/>
          <w:rtl/>
        </w:rPr>
        <w:t>)</w:t>
      </w:r>
      <w:r w:rsidR="00DB731D" w:rsidRPr="00A52585">
        <w:rPr>
          <w:rFonts w:hint="cs"/>
          <w:rtl/>
        </w:rPr>
        <w:t>،</w:t>
      </w:r>
      <w:r w:rsidRPr="00A52585">
        <w:rPr>
          <w:rFonts w:hint="cs"/>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DB731D" w:rsidRPr="00A52585">
        <w:rPr>
          <w:rFonts w:hint="cs"/>
          <w:rtl/>
        </w:rPr>
        <w:t>،</w:t>
      </w:r>
      <w:r w:rsidRPr="00A52585">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w:t>
      </w:r>
      <w:proofErr w:type="gramStart"/>
      <w:r w:rsidRPr="00A52585">
        <w:rPr>
          <w:rFonts w:hint="cs"/>
          <w:rtl/>
        </w:rPr>
        <w:t>يدرى</w:t>
      </w:r>
      <w:proofErr w:type="gramEnd"/>
      <w:r w:rsidRPr="00A52585">
        <w:rPr>
          <w:rFonts w:hint="cs"/>
          <w:rtl/>
        </w:rPr>
        <w:t xml:space="preserve"> ما هي، ولا يعقل معناها في اللسان العربي، فوجب إطراح هذا القول </w:t>
      </w:r>
      <w:proofErr w:type="spellStart"/>
      <w:r w:rsidRPr="00A52585">
        <w:rPr>
          <w:rFonts w:hint="cs"/>
          <w:rtl/>
        </w:rPr>
        <w:t>والإعتماد</w:t>
      </w:r>
      <w:proofErr w:type="spellEnd"/>
      <w:r w:rsidRPr="00A52585">
        <w:rPr>
          <w:rFonts w:hint="cs"/>
          <w:rtl/>
        </w:rPr>
        <w:t xml:space="preserve"> على ما له محمل في لسان العرب</w:t>
      </w:r>
      <w:r w:rsidR="00DB731D" w:rsidRPr="00A52585">
        <w:rPr>
          <w:rFonts w:hint="cs"/>
          <w:rtl/>
        </w:rPr>
        <w:t>،</w:t>
      </w:r>
      <w:r w:rsidRPr="00A52585">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Pr="00A52585">
        <w:rPr>
          <w:rFonts w:hint="cs"/>
          <w:bCs/>
          <w:rtl/>
        </w:rPr>
        <w:t>والمجاز في كلام العرب أكثر من رمل يبرين ونهر فلسطين</w:t>
      </w:r>
      <w:r w:rsidR="00DB731D" w:rsidRPr="00A52585">
        <w:rPr>
          <w:rFonts w:hint="cs"/>
          <w:bCs/>
          <w:rtl/>
        </w:rPr>
        <w:t>،</w:t>
      </w:r>
      <w:r w:rsidRPr="00A52585">
        <w:rPr>
          <w:rFonts w:hint="cs"/>
          <w:bCs/>
          <w:rtl/>
        </w:rPr>
        <w:t xml:space="preserve"> </w:t>
      </w:r>
      <w:r w:rsidRPr="00A52585">
        <w:rPr>
          <w:rFonts w:hint="cs"/>
          <w:rtl/>
        </w:rPr>
        <w:t xml:space="preserve">فالوقوف مع ظاهر اللفظ الدال على التجسيم غباوة وجهل بلسان العرب وأنحائها </w:t>
      </w:r>
      <w:proofErr w:type="spellStart"/>
      <w:r w:rsidRPr="00A52585">
        <w:rPr>
          <w:rFonts w:hint="cs"/>
          <w:rtl/>
        </w:rPr>
        <w:t>ومتصرّفاتها</w:t>
      </w:r>
      <w:proofErr w:type="spellEnd"/>
      <w:r w:rsidRPr="00A52585">
        <w:rPr>
          <w:rFonts w:hint="cs"/>
          <w:rtl/>
        </w:rPr>
        <w:t xml:space="preserve">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w:t>
      </w:r>
      <w:r w:rsidRPr="00A52585">
        <w:rPr>
          <w:rFonts w:hint="cs"/>
          <w:rtl/>
        </w:rPr>
        <w:lastRenderedPageBreak/>
        <w:t>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Pr="00A52585">
        <w:rPr>
          <w:rFonts w:hint="cs"/>
        </w:rPr>
        <w:t xml:space="preserve"> </w:t>
      </w:r>
      <w:r w:rsidRPr="00A52585">
        <w:rPr>
          <w:rFonts w:hint="cs"/>
          <w:rtl/>
        </w:rPr>
        <w:t xml:space="preserve">" [تفسير البحر المحيط </w:t>
      </w:r>
      <w:r w:rsidR="0002035C" w:rsidRPr="00A52585">
        <w:rPr>
          <w:rFonts w:hint="cs"/>
          <w:rtl/>
        </w:rPr>
        <w:t>[</w:t>
      </w:r>
      <w:r w:rsidRPr="00A52585">
        <w:rPr>
          <w:rFonts w:hint="cs"/>
          <w:rtl/>
        </w:rPr>
        <w:t>البقرة /115]] أهـ</w:t>
      </w:r>
      <w:r w:rsidR="00DB731D" w:rsidRPr="00A52585">
        <w:rPr>
          <w:rFonts w:hint="cs"/>
          <w:rtl/>
        </w:rPr>
        <w:t>،</w:t>
      </w:r>
      <w:r w:rsidRPr="00A52585">
        <w:rPr>
          <w:rFonts w:hint="cs"/>
          <w:rtl/>
        </w:rPr>
        <w:t xml:space="preserve"> </w:t>
      </w:r>
      <w:r w:rsidRPr="00A52585">
        <w:rPr>
          <w:rFonts w:hint="cs"/>
          <w:bCs/>
          <w:rtl/>
        </w:rPr>
        <w:t>وقال السيوطي في الإتقان</w:t>
      </w:r>
      <w:r w:rsidR="0002035C" w:rsidRPr="00A52585">
        <w:rPr>
          <w:rFonts w:hint="cs"/>
          <w:rtl/>
        </w:rPr>
        <w:t>:</w:t>
      </w:r>
      <w:r w:rsidRPr="00A52585">
        <w:rPr>
          <w:rFonts w:hint="cs"/>
          <w:rtl/>
        </w:rPr>
        <w:t xml:space="preserve"> " ومن ذلك الوجه وهو مؤول بالذات</w:t>
      </w:r>
      <w:r w:rsidR="0002035C" w:rsidRPr="00A52585">
        <w:rPr>
          <w:rFonts w:hint="cs"/>
          <w:rtl/>
        </w:rPr>
        <w:t xml:space="preserve"> </w:t>
      </w:r>
      <w:r w:rsidRPr="00A52585">
        <w:rPr>
          <w:rFonts w:hint="cs"/>
          <w:rtl/>
        </w:rPr>
        <w:t xml:space="preserve">وقال ابن اللبان في قوله </w:t>
      </w:r>
      <w:r w:rsidR="0002035C" w:rsidRPr="00A52585">
        <w:rPr>
          <w:rFonts w:hint="cs"/>
          <w:rtl/>
        </w:rPr>
        <w:t>(</w:t>
      </w:r>
      <w:r w:rsidRPr="00A52585">
        <w:rPr>
          <w:rFonts w:hint="cs"/>
          <w:rtl/>
        </w:rPr>
        <w:t>يريدون وجهه</w:t>
      </w:r>
      <w:r w:rsidR="0002035C" w:rsidRPr="00A52585">
        <w:rPr>
          <w:rFonts w:hint="cs"/>
          <w:rtl/>
        </w:rPr>
        <w:t>)</w:t>
      </w:r>
      <w:r w:rsidRPr="00A52585">
        <w:rPr>
          <w:rFonts w:hint="cs"/>
          <w:rtl/>
        </w:rPr>
        <w:t xml:space="preserve"> (إنما نطعمكم لوجه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إلا ابتغاء وجه ربه الأعلى</w:t>
      </w:r>
      <w:r w:rsidR="0002035C" w:rsidRPr="00A52585">
        <w:rPr>
          <w:rFonts w:hint="cs"/>
          <w:rtl/>
        </w:rPr>
        <w:t>)</w:t>
      </w:r>
      <w:r w:rsidRPr="00A52585">
        <w:rPr>
          <w:rFonts w:hint="cs"/>
          <w:rtl/>
        </w:rPr>
        <w:t xml:space="preserve"> المراد إخلاص النية</w:t>
      </w:r>
      <w:r w:rsidR="0002035C" w:rsidRPr="00A52585">
        <w:rPr>
          <w:rFonts w:hint="cs"/>
          <w:rtl/>
        </w:rPr>
        <w:t xml:space="preserve"> </w:t>
      </w:r>
      <w:r w:rsidRPr="00A52585">
        <w:rPr>
          <w:rFonts w:hint="cs"/>
          <w:rtl/>
        </w:rPr>
        <w:t>وقال غيره في قوله</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 xml:space="preserve">أي الجهة التي أمر بالتوجه إليها " </w:t>
      </w:r>
      <w:r w:rsidRPr="00A52585">
        <w:rPr>
          <w:rFonts w:hint="cs"/>
          <w:rtl/>
          <w:lang w:bidi="ar-KW"/>
        </w:rPr>
        <w:t>[</w:t>
      </w:r>
      <w:r w:rsidRPr="00A52585">
        <w:rPr>
          <w:rFonts w:hint="cs"/>
          <w:rtl/>
        </w:rPr>
        <w:t>الإتقان ج: 2 ص: 17</w:t>
      </w:r>
      <w:r w:rsidRPr="00A52585">
        <w:rPr>
          <w:rFonts w:hint="cs"/>
          <w:rtl/>
          <w:lang w:bidi="ar-KW"/>
        </w:rPr>
        <w:t xml:space="preserve">] </w:t>
      </w:r>
      <w:r w:rsidRPr="00A52585">
        <w:rPr>
          <w:rFonts w:hint="cs"/>
          <w:rtl/>
        </w:rPr>
        <w:t>أهـ</w:t>
      </w:r>
      <w:r w:rsidR="00DB731D" w:rsidRPr="00A52585">
        <w:rPr>
          <w:rFonts w:hint="cs"/>
          <w:rtl/>
        </w:rPr>
        <w:t>،</w:t>
      </w:r>
      <w:r w:rsidRPr="00A52585">
        <w:rPr>
          <w:rFonts w:hint="cs"/>
          <w:rtl/>
        </w:rPr>
        <w:t xml:space="preserve"> </w:t>
      </w:r>
      <w:r w:rsidRPr="00A52585">
        <w:rPr>
          <w:rFonts w:hint="cs"/>
          <w:bCs/>
          <w:rtl/>
        </w:rPr>
        <w:t>وقال أبو بكر الجصاص</w:t>
      </w:r>
      <w:r w:rsidRPr="00A52585">
        <w:rPr>
          <w:rFonts w:hint="cs"/>
          <w:bCs/>
        </w:rPr>
        <w:t xml:space="preserve"> </w:t>
      </w:r>
      <w:r w:rsidRPr="00A52585">
        <w:rPr>
          <w:rFonts w:hint="cs"/>
          <w:bCs/>
          <w:rtl/>
        </w:rPr>
        <w:t>في كتابه أحكام القرآن</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فثم وجه الله</w:t>
      </w:r>
      <w:r w:rsidR="0002035C" w:rsidRPr="00A52585">
        <w:rPr>
          <w:rFonts w:hint="cs"/>
          <w:rtl/>
        </w:rPr>
        <w:t>)</w:t>
      </w:r>
      <w:r w:rsidRPr="00A52585">
        <w:rPr>
          <w:rFonts w:hint="cs"/>
          <w:rtl/>
        </w:rPr>
        <w:t xml:space="preserve"> معناه فثم رضوان الله وهو الوجه الذي أمرتم بالتوجه إليه كقوله تعالى إنما نطعمكم لوجه الله يعني </w:t>
      </w:r>
      <w:proofErr w:type="spellStart"/>
      <w:r w:rsidRPr="00A52585">
        <w:rPr>
          <w:rFonts w:hint="cs"/>
          <w:rtl/>
        </w:rPr>
        <w:t>لرضوانه</w:t>
      </w:r>
      <w:proofErr w:type="spellEnd"/>
      <w:r w:rsidRPr="00A52585">
        <w:rPr>
          <w:rFonts w:hint="cs"/>
          <w:rtl/>
        </w:rPr>
        <w:t xml:space="preserve"> ولما أراده منا وقوله كل شيء هالك إلا وجهه يعني ما كان لرضاه وإرادته " </w:t>
      </w:r>
      <w:r w:rsidR="0002035C" w:rsidRPr="00A52585">
        <w:rPr>
          <w:rFonts w:hint="cs"/>
          <w:rtl/>
        </w:rPr>
        <w:t>[</w:t>
      </w:r>
      <w:r w:rsidRPr="00A52585">
        <w:rPr>
          <w:rFonts w:hint="cs"/>
          <w:rtl/>
        </w:rPr>
        <w:t>أحكام القرآن 2 ج: 1 ص: 77] أهـ</w:t>
      </w:r>
      <w:r w:rsidR="00DB731D" w:rsidRPr="00A52585">
        <w:rPr>
          <w:rFonts w:hint="cs"/>
          <w:rtl/>
        </w:rPr>
        <w:t>،</w:t>
      </w:r>
      <w:r w:rsidRPr="00A52585">
        <w:rPr>
          <w:rFonts w:hint="cs"/>
          <w:rtl/>
        </w:rPr>
        <w:t xml:space="preserve"> </w:t>
      </w:r>
      <w:r w:rsidRPr="00A52585">
        <w:rPr>
          <w:rFonts w:hint="cs"/>
          <w:bCs/>
          <w:rtl/>
        </w:rPr>
        <w:t>وقال الألوسي في تفسيره</w:t>
      </w:r>
      <w:r w:rsidR="0002035C" w:rsidRPr="00A52585">
        <w:rPr>
          <w:rFonts w:hint="cs"/>
          <w:rtl/>
        </w:rPr>
        <w:t>:</w:t>
      </w:r>
      <w:r w:rsidRPr="00A52585">
        <w:rPr>
          <w:rFonts w:hint="cs"/>
          <w:rtl/>
        </w:rPr>
        <w:t xml:space="preserve"> " فثم وجه الله</w:t>
      </w:r>
      <w:r w:rsidR="0002035C" w:rsidRPr="00A52585">
        <w:rPr>
          <w:rFonts w:hint="cs"/>
          <w:rtl/>
        </w:rPr>
        <w:t xml:space="preserve"> </w:t>
      </w:r>
      <w:r w:rsidRPr="00A52585">
        <w:rPr>
          <w:rFonts w:hint="cs"/>
          <w:rtl/>
        </w:rPr>
        <w:t>أي فهناك جهته سبحانه التي أمرتم بها فأي جهة يتوجه المرء من الظاهر والباطن</w:t>
      </w:r>
      <w:r w:rsidR="0002035C" w:rsidRPr="00A52585">
        <w:rPr>
          <w:rFonts w:hint="cs"/>
          <w:rtl/>
        </w:rPr>
        <w:t xml:space="preserve"> </w:t>
      </w:r>
      <w:r w:rsidRPr="00A52585">
        <w:rPr>
          <w:rFonts w:hint="cs"/>
          <w:rtl/>
        </w:rPr>
        <w:t>فثم وجه الله</w:t>
      </w:r>
      <w:r w:rsidR="0002035C" w:rsidRPr="00A52585">
        <w:rPr>
          <w:rFonts w:hint="cs"/>
          <w:rtl/>
        </w:rPr>
        <w:t xml:space="preserve"> </w:t>
      </w:r>
      <w:proofErr w:type="spellStart"/>
      <w:r w:rsidRPr="00A52585">
        <w:rPr>
          <w:rFonts w:hint="cs"/>
          <w:rtl/>
        </w:rPr>
        <w:t>المتحلي</w:t>
      </w:r>
      <w:proofErr w:type="spellEnd"/>
      <w:r w:rsidRPr="00A52585">
        <w:rPr>
          <w:rFonts w:hint="cs"/>
          <w:rtl/>
        </w:rPr>
        <w:t xml:space="preserve"> بجميع الصفات المتجلي بما شاء منزها عن الجهات " </w:t>
      </w:r>
      <w:r w:rsidR="0002035C" w:rsidRPr="00A52585">
        <w:rPr>
          <w:rFonts w:hint="cs"/>
          <w:rtl/>
        </w:rPr>
        <w:t>[</w:t>
      </w:r>
      <w:r w:rsidRPr="00A52585">
        <w:rPr>
          <w:rFonts w:hint="cs"/>
          <w:rtl/>
        </w:rPr>
        <w:t>روح المعاني ج: 1 ص: 365] أهـ</w:t>
      </w:r>
      <w:r w:rsidR="00DB731D" w:rsidRPr="00A52585">
        <w:rPr>
          <w:rFonts w:hint="cs"/>
          <w:rtl/>
        </w:rPr>
        <w:t>،</w:t>
      </w:r>
      <w:r w:rsidRPr="00A52585">
        <w:rPr>
          <w:rFonts w:hint="cs"/>
          <w:rtl/>
        </w:rPr>
        <w:t xml:space="preserve"> </w:t>
      </w:r>
      <w:r w:rsidRPr="00A52585">
        <w:rPr>
          <w:rFonts w:hint="cs"/>
          <w:bCs/>
          <w:rtl/>
        </w:rPr>
        <w:t>وجاء في التعاريف</w:t>
      </w:r>
      <w:r w:rsidR="0002035C" w:rsidRPr="00A52585">
        <w:rPr>
          <w:rFonts w:hint="cs"/>
          <w:rtl/>
        </w:rPr>
        <w:t>:</w:t>
      </w:r>
      <w:r w:rsidRPr="00A52585">
        <w:rPr>
          <w:rFonts w:hint="cs"/>
          <w:rtl/>
        </w:rPr>
        <w:t xml:space="preserve"> " قال الراغب</w:t>
      </w:r>
      <w:r w:rsidR="0002035C" w:rsidRPr="00A52585">
        <w:rPr>
          <w:rFonts w:hint="cs"/>
          <w:rtl/>
        </w:rPr>
        <w:t>:</w:t>
      </w:r>
      <w:r w:rsidRPr="00A52585">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02035C" w:rsidRPr="00A52585">
        <w:rPr>
          <w:rFonts w:hint="cs"/>
          <w:rtl/>
        </w:rPr>
        <w:t xml:space="preserve"> </w:t>
      </w:r>
      <w:r w:rsidRPr="00A52585">
        <w:rPr>
          <w:rFonts w:hint="cs"/>
          <w:rtl/>
        </w:rPr>
        <w:t xml:space="preserve">وجه الحق ما به الشيء حقا إذ لا حقيقة لشيء إلا به تعالى وهو المشار إليه بآية </w:t>
      </w:r>
      <w:r w:rsidR="0002035C" w:rsidRPr="00A52585">
        <w:rPr>
          <w:rFonts w:hint="cs"/>
          <w:rtl/>
        </w:rPr>
        <w:t>(</w:t>
      </w:r>
      <w:r w:rsidRPr="00A52585">
        <w:rPr>
          <w:rFonts w:hint="cs"/>
          <w:rtl/>
        </w:rPr>
        <w:t>فأينما تولوا فثم وجه الله</w:t>
      </w:r>
      <w:r w:rsidR="0002035C" w:rsidRPr="00A52585">
        <w:rPr>
          <w:rFonts w:hint="cs"/>
          <w:rtl/>
        </w:rPr>
        <w:t>)</w:t>
      </w:r>
      <w:r w:rsidRPr="00A52585">
        <w:rPr>
          <w:rFonts w:hint="cs"/>
          <w:rtl/>
        </w:rPr>
        <w:t xml:space="preserve"> وهو عين الحق المقيم لجميع الأشياء فمن رأى </w:t>
      </w:r>
      <w:proofErr w:type="spellStart"/>
      <w:r w:rsidRPr="00A52585">
        <w:rPr>
          <w:rFonts w:hint="cs"/>
          <w:rtl/>
        </w:rPr>
        <w:t>قيومية</w:t>
      </w:r>
      <w:proofErr w:type="spellEnd"/>
      <w:r w:rsidRPr="00A52585">
        <w:rPr>
          <w:rFonts w:hint="cs"/>
          <w:rtl/>
        </w:rPr>
        <w:t xml:space="preserve"> الحق للأشياء فهو الذي يرى وجه الحق في كل شيء</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التعاريف ج: 1 ص: 720] أهـ</w:t>
      </w:r>
      <w:r w:rsidR="00DB731D" w:rsidRPr="00A52585">
        <w:rPr>
          <w:rFonts w:hint="cs"/>
          <w:rtl/>
        </w:rPr>
        <w:t>،</w:t>
      </w:r>
      <w:r w:rsidRPr="00A52585">
        <w:rPr>
          <w:rFonts w:hint="cs"/>
          <w:rtl/>
        </w:rPr>
        <w:t xml:space="preserve"> </w:t>
      </w:r>
      <w:r w:rsidRPr="00A52585">
        <w:rPr>
          <w:rFonts w:hint="cs"/>
          <w:bCs/>
          <w:rtl/>
        </w:rPr>
        <w:t>وقال الزركشي في البرهان</w:t>
      </w:r>
      <w:r w:rsidR="0002035C" w:rsidRPr="00A52585">
        <w:rPr>
          <w:rFonts w:hint="cs"/>
          <w:rtl/>
        </w:rPr>
        <w:t>:</w:t>
      </w:r>
      <w:r w:rsidRPr="00A52585">
        <w:rPr>
          <w:rFonts w:hint="cs"/>
          <w:rtl/>
        </w:rPr>
        <w:t xml:space="preserve"> " وحكي الواحدي عن اكثر المفسرين في قوله تعالى فأينما تولوا</w:t>
      </w:r>
      <w:r w:rsidR="0002035C" w:rsidRPr="00A52585">
        <w:rPr>
          <w:rFonts w:hint="cs"/>
          <w:rtl/>
        </w:rPr>
        <w:t xml:space="preserve"> </w:t>
      </w:r>
      <w:r w:rsidRPr="00A52585">
        <w:rPr>
          <w:rFonts w:hint="cs"/>
          <w:rtl/>
        </w:rPr>
        <w:t>فثم وجه الله</w:t>
      </w:r>
      <w:r w:rsidR="0002035C" w:rsidRPr="00A52585">
        <w:rPr>
          <w:rFonts w:hint="cs"/>
          <w:rtl/>
        </w:rPr>
        <w:t xml:space="preserve"> </w:t>
      </w:r>
      <w:r w:rsidRPr="00A52585">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02035C" w:rsidRPr="00A52585">
        <w:rPr>
          <w:rFonts w:hint="cs"/>
          <w:rtl/>
        </w:rPr>
        <w:t xml:space="preserve"> </w:t>
      </w:r>
      <w:r w:rsidRPr="00A52585">
        <w:rPr>
          <w:rFonts w:hint="cs"/>
          <w:rtl/>
        </w:rPr>
        <w:t>قلت والأشبه حمله على أن المراد به الذات كما في قوله تعالى بلى من اسلم وجهة الله "</w:t>
      </w:r>
      <w:r w:rsidR="0002035C" w:rsidRPr="00A52585">
        <w:rPr>
          <w:rFonts w:hint="cs"/>
          <w:rtl/>
        </w:rPr>
        <w:t>[</w:t>
      </w:r>
      <w:r w:rsidRPr="00A52585">
        <w:rPr>
          <w:rFonts w:hint="cs"/>
          <w:rtl/>
        </w:rPr>
        <w:t>البرهان في علوم القرآن ج: 2 ص: 278] أهـ</w:t>
      </w:r>
      <w:r w:rsidR="00DB731D" w:rsidRPr="00A52585">
        <w:rPr>
          <w:rFonts w:hint="cs"/>
          <w:rtl/>
        </w:rPr>
        <w:t>،</w:t>
      </w:r>
    </w:p>
    <w:p w14:paraId="7A6ECDA5" w14:textId="77685194" w:rsidR="00777DCB" w:rsidRPr="00A52585" w:rsidRDefault="0002035C" w:rsidP="0002035C">
      <w:pPr>
        <w:rPr>
          <w:rtl/>
        </w:rPr>
      </w:pPr>
      <w:r w:rsidRPr="00A52585">
        <w:rPr>
          <w:rFonts w:hint="cs"/>
          <w:bCs/>
          <w:rtl/>
        </w:rPr>
        <w:t>(</w:t>
      </w:r>
      <w:r w:rsidR="00777DCB" w:rsidRPr="00A52585">
        <w:rPr>
          <w:rFonts w:hint="cs"/>
          <w:bCs/>
          <w:rtl/>
        </w:rPr>
        <w:t>ب</w:t>
      </w:r>
      <w:r w:rsidRPr="00A52585">
        <w:rPr>
          <w:rFonts w:hint="cs"/>
          <w:bCs/>
          <w:rtl/>
        </w:rPr>
        <w:t>)</w:t>
      </w:r>
      <w:r w:rsidR="00777DCB" w:rsidRPr="00A52585">
        <w:rPr>
          <w:rFonts w:hint="cs"/>
          <w:bCs/>
          <w:rtl/>
        </w:rPr>
        <w:t xml:space="preserve"> وقوله تعالى</w:t>
      </w:r>
      <w:r w:rsidR="00777DCB" w:rsidRPr="00A52585">
        <w:rPr>
          <w:rFonts w:hint="cs"/>
          <w:rtl/>
        </w:rPr>
        <w:t xml:space="preserve"> </w:t>
      </w:r>
      <w:r w:rsidRPr="00A52585">
        <w:rPr>
          <w:rFonts w:hint="cs"/>
          <w:rtl/>
        </w:rPr>
        <w:t>{</w:t>
      </w:r>
      <w:r w:rsidR="00777DCB" w:rsidRPr="00A52585">
        <w:rPr>
          <w:rFonts w:hint="cs"/>
          <w:rtl/>
        </w:rPr>
        <w:t>وَمَا تُنفِقُونَ</w:t>
      </w:r>
      <w:r w:rsidR="00777DCB" w:rsidRPr="00A52585">
        <w:rPr>
          <w:rFonts w:hint="cs"/>
        </w:rPr>
        <w:t xml:space="preserve"> </w:t>
      </w:r>
      <w:r w:rsidR="00777DCB" w:rsidRPr="00A52585">
        <w:rPr>
          <w:rFonts w:hint="cs"/>
          <w:rtl/>
        </w:rPr>
        <w:t>إِلاَّ ابْتِغَاء وَجْهِ اللّهِ وَمَا تُنفِقُواْ مِنْ خَيْرٍ يُوَفَّ إِلَيْكُمْ</w:t>
      </w:r>
      <w:r w:rsidR="00777DCB" w:rsidRPr="00A52585">
        <w:rPr>
          <w:rFonts w:hint="cs"/>
        </w:rPr>
        <w:t xml:space="preserve"> </w:t>
      </w:r>
      <w:r w:rsidR="00777DCB" w:rsidRPr="00A52585">
        <w:rPr>
          <w:rFonts w:hint="cs"/>
          <w:rtl/>
        </w:rPr>
        <w:t>وَأَنتُمْ لاَ تُظْلَمُونَ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272</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w:t>
      </w:r>
      <w:r w:rsidR="00777DCB" w:rsidRPr="00A52585">
        <w:rPr>
          <w:rFonts w:hint="cs"/>
          <w:bCs/>
        </w:rPr>
        <w:t xml:space="preserve"> </w:t>
      </w:r>
      <w:r w:rsidR="00777DCB" w:rsidRPr="00A52585">
        <w:rPr>
          <w:rFonts w:hint="cs"/>
          <w:bCs/>
          <w:rtl/>
        </w:rPr>
        <w:t xml:space="preserve">تعالى </w:t>
      </w:r>
      <w:r w:rsidRPr="00A52585">
        <w:rPr>
          <w:rFonts w:hint="cs"/>
          <w:bCs/>
          <w:rtl/>
        </w:rPr>
        <w:t>{</w:t>
      </w:r>
      <w:r w:rsidR="00777DCB" w:rsidRPr="00A52585">
        <w:rPr>
          <w:rFonts w:hint="cs"/>
          <w:rtl/>
        </w:rPr>
        <w:t>وَلاَ تَطْرُدِ</w:t>
      </w:r>
      <w:r w:rsidR="00777DCB" w:rsidRPr="00A52585">
        <w:rPr>
          <w:rFonts w:hint="cs"/>
        </w:rPr>
        <w:t xml:space="preserve"> </w:t>
      </w:r>
      <w:r w:rsidR="00777DCB" w:rsidRPr="00A52585">
        <w:rPr>
          <w:rFonts w:hint="cs"/>
          <w:rtl/>
        </w:rPr>
        <w:t>الَّذِينَ يَدْعُونَ رَبَّهُم بِالْغَدَاةِ وَالْعَشِيِّ يُرِيدُونَ وَجْهَهُ</w:t>
      </w:r>
      <w:r w:rsidR="00777DCB" w:rsidRPr="00A52585">
        <w:rPr>
          <w:rFonts w:hint="cs"/>
        </w:rPr>
        <w:t xml:space="preserve"> </w:t>
      </w:r>
      <w:r w:rsidR="00777DCB" w:rsidRPr="00A52585">
        <w:rPr>
          <w:rFonts w:hint="cs"/>
          <w:rtl/>
        </w:rPr>
        <w:t>مَا عَلَيْكَ مِنْ حِسَابِهِم مِّن شَيْءٍ وَمَا مِنْ حِسَابِكَ عَلَيْهِم مِّن</w:t>
      </w:r>
      <w:r w:rsidR="00777DCB" w:rsidRPr="00A52585">
        <w:rPr>
          <w:rFonts w:hint="cs"/>
        </w:rPr>
        <w:t xml:space="preserve"> </w:t>
      </w:r>
      <w:r w:rsidR="00777DCB" w:rsidRPr="00A52585">
        <w:rPr>
          <w:rFonts w:hint="cs"/>
          <w:rtl/>
        </w:rPr>
        <w:t>شَيْءٍ فَتَطْرُدَهُمْ فَتَكُونَ مِنَ الظَّالِمِينَ</w:t>
      </w:r>
      <w:r w:rsidRPr="00A52585">
        <w:rPr>
          <w:rFonts w:hint="cs"/>
          <w:rtl/>
        </w:rPr>
        <w:t>} [</w:t>
      </w:r>
      <w:r w:rsidR="00777DCB" w:rsidRPr="00A52585">
        <w:rPr>
          <w:rFonts w:hint="cs"/>
          <w:rtl/>
        </w:rPr>
        <w:t>سورة الأنعام</w:t>
      </w:r>
      <w:r w:rsidRPr="00A52585">
        <w:rPr>
          <w:rFonts w:hint="cs"/>
          <w:rtl/>
        </w:rPr>
        <w:t>:</w:t>
      </w:r>
      <w:r w:rsidR="00777DCB" w:rsidRPr="00A52585">
        <w:rPr>
          <w:rFonts w:hint="cs"/>
          <w:rtl/>
        </w:rPr>
        <w:t xml:space="preserve"> 52</w:t>
      </w:r>
      <w:r w:rsidRPr="00A52585">
        <w:rPr>
          <w:rFonts w:hint="cs"/>
          <w:rtl/>
        </w:rPr>
        <w:t>]</w:t>
      </w:r>
      <w:r w:rsidR="00DB731D" w:rsidRPr="00A52585">
        <w:rPr>
          <w:rFonts w:hint="cs"/>
          <w:bCs/>
          <w:rtl/>
        </w:rPr>
        <w:t>،</w:t>
      </w:r>
      <w:r w:rsidR="00777DCB" w:rsidRPr="00A52585">
        <w:rPr>
          <w:rFonts w:hint="cs"/>
          <w:bCs/>
          <w:rtl/>
        </w:rPr>
        <w:t xml:space="preserve"> وقوله</w:t>
      </w:r>
      <w:r w:rsidR="00777DCB" w:rsidRPr="00A52585">
        <w:rPr>
          <w:rFonts w:hint="cs"/>
          <w:bCs/>
        </w:rPr>
        <w:t xml:space="preserve"> </w:t>
      </w:r>
      <w:r w:rsidR="00777DCB" w:rsidRPr="00A52585">
        <w:rPr>
          <w:rFonts w:hint="cs"/>
          <w:bCs/>
          <w:rtl/>
        </w:rPr>
        <w:t xml:space="preserve">تعالى </w:t>
      </w:r>
      <w:r w:rsidRPr="00A52585">
        <w:rPr>
          <w:rFonts w:hint="cs"/>
          <w:rtl/>
        </w:rPr>
        <w:t>{</w:t>
      </w:r>
      <w:r w:rsidR="00777DCB" w:rsidRPr="00A52585">
        <w:rPr>
          <w:rFonts w:hint="cs"/>
          <w:rtl/>
        </w:rPr>
        <w:t>وَاصْبِرْ نَفْسَكَ</w:t>
      </w:r>
      <w:r w:rsidR="00777DCB" w:rsidRPr="00A52585">
        <w:rPr>
          <w:rFonts w:hint="cs"/>
        </w:rPr>
        <w:t xml:space="preserve"> </w:t>
      </w:r>
      <w:r w:rsidR="00777DCB" w:rsidRPr="00A52585">
        <w:rPr>
          <w:rFonts w:hint="cs"/>
          <w:rtl/>
        </w:rPr>
        <w:t>مَعَ الَّذِينَ يَدْعُونَ رَبَّهُم بِالْغَدَاةِ وَالْعَشِيِّ يُرِيدُونَ وَجْهَهُ</w:t>
      </w:r>
      <w:r w:rsidR="00777DCB" w:rsidRPr="00A52585">
        <w:rPr>
          <w:rFonts w:hint="cs"/>
        </w:rPr>
        <w:t xml:space="preserve"> </w:t>
      </w:r>
      <w:r w:rsidR="00777DCB" w:rsidRPr="00A52585">
        <w:rPr>
          <w:rFonts w:hint="cs"/>
          <w:rtl/>
        </w:rPr>
        <w:t>وَلَا تَعْدُ عَيْنَاكَ عَنْهُمْ تُرِيدُ زِينَةَ الْحَيَاةِ الدُّنْيَا وَلَا</w:t>
      </w:r>
      <w:r w:rsidR="00777DCB" w:rsidRPr="00A52585">
        <w:rPr>
          <w:rFonts w:hint="cs"/>
        </w:rPr>
        <w:t xml:space="preserve"> </w:t>
      </w:r>
      <w:r w:rsidR="00777DCB" w:rsidRPr="00A52585">
        <w:rPr>
          <w:rFonts w:hint="cs"/>
          <w:rtl/>
        </w:rPr>
        <w:t>تُطِعْ مَنْ أَغْفَلْنَا قَلْبَهُ عَن ذِكْرِنَا وَاتَّبَعَ هَوَاهُ وَكَانَ أَمْرُهُ</w:t>
      </w:r>
      <w:r w:rsidR="00777DCB" w:rsidRPr="00A52585">
        <w:rPr>
          <w:rFonts w:hint="cs"/>
        </w:rPr>
        <w:t xml:space="preserve"> </w:t>
      </w:r>
      <w:r w:rsidR="00777DCB" w:rsidRPr="00A52585">
        <w:rPr>
          <w:rFonts w:hint="cs"/>
          <w:rtl/>
        </w:rPr>
        <w:t>فُرُطًا</w:t>
      </w:r>
      <w:r w:rsidRPr="00A52585">
        <w:rPr>
          <w:rFonts w:hint="cs"/>
          <w:rtl/>
        </w:rPr>
        <w:t>} [</w:t>
      </w:r>
      <w:r w:rsidR="00777DCB" w:rsidRPr="00A52585">
        <w:rPr>
          <w:rFonts w:hint="cs"/>
          <w:rtl/>
        </w:rPr>
        <w:t>سورة الكهف</w:t>
      </w:r>
      <w:r w:rsidRPr="00A52585">
        <w:rPr>
          <w:rFonts w:hint="cs"/>
          <w:rtl/>
        </w:rPr>
        <w:t>:</w:t>
      </w:r>
      <w:r w:rsidR="00777DCB" w:rsidRPr="00A52585">
        <w:rPr>
          <w:rFonts w:hint="cs"/>
          <w:rtl/>
        </w:rPr>
        <w:t xml:space="preserve"> </w:t>
      </w:r>
      <w:r w:rsidR="00777DCB" w:rsidRPr="00A52585">
        <w:rPr>
          <w:rFonts w:hint="cs"/>
          <w:rtl/>
        </w:rPr>
        <w:lastRenderedPageBreak/>
        <w:t>28</w:t>
      </w:r>
      <w:r w:rsidRPr="00A52585">
        <w:rPr>
          <w:rFonts w:hint="cs"/>
          <w:rtl/>
        </w:rPr>
        <w:t>]</w:t>
      </w:r>
      <w:r w:rsidR="00DB731D" w:rsidRPr="00A52585">
        <w:rPr>
          <w:rFonts w:hint="cs"/>
          <w:bCs/>
          <w:rtl/>
        </w:rPr>
        <w:t>،</w:t>
      </w:r>
      <w:r w:rsidR="00777DCB" w:rsidRPr="00A52585">
        <w:rPr>
          <w:rFonts w:hint="cs"/>
          <w:bCs/>
          <w:rtl/>
        </w:rPr>
        <w:t xml:space="preserve"> وقوله</w:t>
      </w:r>
      <w:r w:rsidR="00777DCB" w:rsidRPr="00A52585">
        <w:rPr>
          <w:rFonts w:hint="cs"/>
          <w:bCs/>
        </w:rPr>
        <w:t xml:space="preserve"> </w:t>
      </w:r>
      <w:r w:rsidR="00777DCB" w:rsidRPr="00A52585">
        <w:rPr>
          <w:rFonts w:hint="cs"/>
          <w:bCs/>
          <w:rtl/>
        </w:rPr>
        <w:t xml:space="preserve">تعالى </w:t>
      </w:r>
      <w:r w:rsidRPr="00A52585">
        <w:rPr>
          <w:rFonts w:hint="cs"/>
          <w:bCs/>
          <w:rtl/>
        </w:rPr>
        <w:t>{</w:t>
      </w:r>
      <w:r w:rsidR="00777DCB" w:rsidRPr="00A52585">
        <w:rPr>
          <w:rFonts w:hint="cs"/>
          <w:rtl/>
        </w:rPr>
        <w:t>فَآتِ ذَا</w:t>
      </w:r>
      <w:r w:rsidR="00777DCB" w:rsidRPr="00A52585">
        <w:rPr>
          <w:rFonts w:hint="cs"/>
        </w:rPr>
        <w:t xml:space="preserve"> </w:t>
      </w:r>
      <w:r w:rsidR="00777DCB" w:rsidRPr="00A52585">
        <w:rPr>
          <w:rFonts w:hint="cs"/>
          <w:rtl/>
        </w:rPr>
        <w:t>الْقُرْبَى حَقَّهُ وَالْمِسْكِينَ وَابْنَ السَّبِيلِ ذَلِكَ خَيْرٌ لِّلَّذِينَ</w:t>
      </w:r>
      <w:r w:rsidR="00777DCB" w:rsidRPr="00A52585">
        <w:rPr>
          <w:rFonts w:hint="cs"/>
        </w:rPr>
        <w:t xml:space="preserve"> </w:t>
      </w:r>
      <w:r w:rsidR="00777DCB" w:rsidRPr="00A52585">
        <w:rPr>
          <w:rFonts w:hint="cs"/>
          <w:rtl/>
        </w:rPr>
        <w:t>يُرِيدُونَ وَجْهَ اللَّهِ وَأُوْلَئِكَ هُمُ الْمُفْلِحُونَ * وَمَا</w:t>
      </w:r>
      <w:r w:rsidR="00777DCB" w:rsidRPr="00A52585">
        <w:rPr>
          <w:rFonts w:hint="cs"/>
        </w:rPr>
        <w:t xml:space="preserve"> </w:t>
      </w:r>
      <w:r w:rsidR="00777DCB" w:rsidRPr="00A52585">
        <w:rPr>
          <w:rFonts w:hint="cs"/>
          <w:rtl/>
        </w:rPr>
        <w:t>آتَيْتُم مِّن رِّبًا لِّيَرْبُوَ فِي أَمْوَالِ النَّاسِ فَلَا يَرْبُو عِندَ</w:t>
      </w:r>
      <w:r w:rsidR="00777DCB" w:rsidRPr="00A52585">
        <w:rPr>
          <w:rFonts w:hint="cs"/>
        </w:rPr>
        <w:t xml:space="preserve"> </w:t>
      </w:r>
      <w:r w:rsidR="00777DCB" w:rsidRPr="00A52585">
        <w:rPr>
          <w:rFonts w:hint="cs"/>
          <w:rtl/>
        </w:rPr>
        <w:t>اللَّهِ وَمَا آتَيْتُم مِّن زَكَاةٍ تُرِيدُونَ وَجْهَ اللَّهِ فَأُوْلَئِكَ</w:t>
      </w:r>
      <w:r w:rsidR="00777DCB" w:rsidRPr="00A52585">
        <w:rPr>
          <w:rFonts w:hint="cs"/>
        </w:rPr>
        <w:t xml:space="preserve"> </w:t>
      </w:r>
      <w:r w:rsidR="00777DCB" w:rsidRPr="00A52585">
        <w:rPr>
          <w:rFonts w:hint="cs"/>
          <w:rtl/>
        </w:rPr>
        <w:t>هُمُ الْمُضْعِفُونَ</w:t>
      </w:r>
      <w:r w:rsidRPr="00A52585">
        <w:rPr>
          <w:rFonts w:hint="cs"/>
          <w:rtl/>
        </w:rPr>
        <w:t>}</w:t>
      </w:r>
      <w:r w:rsidR="00777DCB" w:rsidRPr="00A52585">
        <w:rPr>
          <w:rFonts w:hint="cs"/>
          <w:rtl/>
        </w:rPr>
        <w:t xml:space="preserve"> [سورة الروم</w:t>
      </w:r>
      <w:r w:rsidRPr="00A52585">
        <w:rPr>
          <w:rFonts w:hint="cs"/>
          <w:rtl/>
        </w:rPr>
        <w:t>:</w:t>
      </w:r>
      <w:r w:rsidR="00777DCB" w:rsidRPr="00A52585">
        <w:rPr>
          <w:rFonts w:hint="cs"/>
          <w:rtl/>
        </w:rPr>
        <w:t xml:space="preserve"> 39</w:t>
      </w:r>
      <w:r w:rsidRPr="00A52585">
        <w:rPr>
          <w:rFonts w:hint="cs"/>
          <w:rtl/>
        </w:rPr>
        <w:t xml:space="preserve">] </w:t>
      </w:r>
    </w:p>
    <w:p w14:paraId="07D43339" w14:textId="55EA05A9" w:rsidR="00777DCB" w:rsidRPr="00A52585" w:rsidRDefault="00777DCB" w:rsidP="0002035C">
      <w:pPr>
        <w:rPr>
          <w:rtl/>
        </w:rPr>
      </w:pPr>
      <w:r w:rsidRPr="00A52585">
        <w:rPr>
          <w:rFonts w:hint="cs"/>
          <w:bCs/>
          <w:rtl/>
        </w:rPr>
        <w:t>(</w:t>
      </w:r>
      <w:r w:rsidR="0002035C" w:rsidRPr="00A52585">
        <w:rPr>
          <w:rFonts w:hint="cs"/>
          <w:bCs/>
          <w:rtl/>
        </w:rPr>
        <w:t>(</w:t>
      </w:r>
      <w:r w:rsidRPr="00A52585">
        <w:rPr>
          <w:rFonts w:hint="cs"/>
          <w:bCs/>
          <w:rtl/>
        </w:rPr>
        <w:t>قلت</w:t>
      </w:r>
      <w:r w:rsidR="0002035C" w:rsidRPr="00A52585">
        <w:rPr>
          <w:rFonts w:hint="cs"/>
          <w:bCs/>
          <w:rtl/>
        </w:rPr>
        <w:t>)</w:t>
      </w:r>
      <w:r w:rsidRPr="00A52585">
        <w:rPr>
          <w:rFonts w:hint="cs"/>
          <w:bCs/>
          <w:rtl/>
        </w:rPr>
        <w:t>)</w:t>
      </w:r>
      <w:r w:rsidR="0002035C" w:rsidRPr="00A52585">
        <w:rPr>
          <w:rFonts w:hint="cs"/>
          <w:rtl/>
        </w:rPr>
        <w:t>:</w:t>
      </w:r>
      <w:r w:rsidRPr="00A52585">
        <w:rPr>
          <w:rFonts w:hint="cs"/>
          <w:rtl/>
        </w:rPr>
        <w:t xml:space="preserve"> من تدبر ذكر الوجه في هذه الآيات (يريدون</w:t>
      </w:r>
      <w:r w:rsidRPr="00A52585">
        <w:rPr>
          <w:rFonts w:hint="cs"/>
        </w:rPr>
        <w:t xml:space="preserve"> </w:t>
      </w:r>
      <w:r w:rsidRPr="00A52585">
        <w:rPr>
          <w:rFonts w:hint="cs"/>
          <w:rtl/>
        </w:rPr>
        <w:t>وجه الله</w:t>
      </w:r>
      <w:r w:rsidR="0002035C" w:rsidRPr="00A52585">
        <w:rPr>
          <w:rFonts w:hint="cs"/>
          <w:rtl/>
        </w:rPr>
        <w:t>)</w:t>
      </w:r>
      <w:r w:rsidRPr="00A52585">
        <w:rPr>
          <w:rFonts w:hint="cs"/>
          <w:rtl/>
        </w:rPr>
        <w:t xml:space="preserve"> و (تريدون</w:t>
      </w:r>
      <w:r w:rsidRPr="00A52585">
        <w:rPr>
          <w:rFonts w:hint="cs"/>
        </w:rPr>
        <w:t xml:space="preserve"> </w:t>
      </w:r>
      <w:r w:rsidRPr="00A52585">
        <w:rPr>
          <w:rFonts w:hint="cs"/>
          <w:rtl/>
        </w:rPr>
        <w:t>وجه الله</w:t>
      </w:r>
      <w:r w:rsidR="0002035C" w:rsidRPr="00A52585">
        <w:rPr>
          <w:rFonts w:hint="cs"/>
          <w:rtl/>
        </w:rPr>
        <w:t>)</w:t>
      </w:r>
      <w:r w:rsidRPr="00A52585">
        <w:rPr>
          <w:rFonts w:hint="cs"/>
          <w:rtl/>
        </w:rPr>
        <w:t xml:space="preserve"> و (يريدون</w:t>
      </w:r>
      <w:r w:rsidRPr="00A52585">
        <w:rPr>
          <w:rFonts w:hint="cs"/>
        </w:rPr>
        <w:t xml:space="preserve"> </w:t>
      </w:r>
      <w:r w:rsidRPr="00A52585">
        <w:rPr>
          <w:rFonts w:hint="cs"/>
          <w:rtl/>
        </w:rPr>
        <w:t>وجهه</w:t>
      </w:r>
      <w:r w:rsidR="0002035C" w:rsidRPr="00A52585">
        <w:rPr>
          <w:rFonts w:hint="cs"/>
          <w:rtl/>
        </w:rPr>
        <w:t>)</w:t>
      </w:r>
      <w:r w:rsidR="00DB731D" w:rsidRPr="00A52585">
        <w:rPr>
          <w:rFonts w:hint="cs"/>
          <w:rtl/>
        </w:rPr>
        <w:t>،</w:t>
      </w:r>
      <w:r w:rsidRPr="00A52585">
        <w:rPr>
          <w:rFonts w:hint="cs"/>
          <w:rtl/>
        </w:rPr>
        <w:t xml:space="preserve"> و (ابتغاء</w:t>
      </w:r>
      <w:r w:rsidRPr="00A52585">
        <w:rPr>
          <w:rFonts w:hint="cs"/>
        </w:rPr>
        <w:t xml:space="preserve"> </w:t>
      </w:r>
      <w:r w:rsidRPr="00A52585">
        <w:rPr>
          <w:rFonts w:hint="cs"/>
          <w:rtl/>
        </w:rPr>
        <w:t>وجه ربهم</w:t>
      </w:r>
      <w:r w:rsidR="0002035C" w:rsidRPr="00A52585">
        <w:rPr>
          <w:rFonts w:hint="cs"/>
          <w:rtl/>
        </w:rPr>
        <w:t>)</w:t>
      </w:r>
      <w:r w:rsidRPr="00A52585">
        <w:rPr>
          <w:rFonts w:hint="cs"/>
          <w:rtl/>
        </w:rPr>
        <w:t xml:space="preserve"> و (إلا</w:t>
      </w:r>
      <w:r w:rsidRPr="00A52585">
        <w:rPr>
          <w:rFonts w:hint="cs"/>
        </w:rPr>
        <w:t xml:space="preserve"> </w:t>
      </w:r>
      <w:r w:rsidRPr="00A52585">
        <w:rPr>
          <w:rFonts w:hint="cs"/>
          <w:rtl/>
        </w:rPr>
        <w:t>ابتغاء وجه ربه الأعلى) و (إنما</w:t>
      </w:r>
      <w:r w:rsidRPr="00A52585">
        <w:rPr>
          <w:rFonts w:hint="cs"/>
        </w:rPr>
        <w:t xml:space="preserve"> </w:t>
      </w:r>
      <w:r w:rsidRPr="00A52585">
        <w:rPr>
          <w:rFonts w:hint="cs"/>
          <w:rtl/>
        </w:rPr>
        <w:t>نطعمكم لوجه الله</w:t>
      </w:r>
      <w:r w:rsidR="0002035C" w:rsidRPr="00A52585">
        <w:rPr>
          <w:rFonts w:hint="cs"/>
          <w:rtl/>
        </w:rPr>
        <w:t>)</w:t>
      </w:r>
      <w:r w:rsidRPr="00A52585">
        <w:rPr>
          <w:rFonts w:hint="cs"/>
          <w:rtl/>
        </w:rPr>
        <w:t xml:space="preserve"> وجد أن المراد من سياق الآيات رضا الله تعالى</w:t>
      </w:r>
      <w:r w:rsidR="00DB731D" w:rsidRPr="00A52585">
        <w:rPr>
          <w:rFonts w:hint="cs"/>
          <w:rtl/>
        </w:rPr>
        <w:t>،</w:t>
      </w:r>
      <w:r w:rsidRPr="00A52585">
        <w:rPr>
          <w:rFonts w:hint="cs"/>
          <w:rtl/>
        </w:rPr>
        <w:t xml:space="preserve"> وإليك نخبة من أقوال المفسرين في ذلك</w:t>
      </w:r>
      <w:r w:rsidR="0002035C" w:rsidRPr="00A52585">
        <w:rPr>
          <w:rFonts w:hint="cs"/>
          <w:rtl/>
        </w:rPr>
        <w:t>:</w:t>
      </w:r>
      <w:r w:rsidRPr="00A52585">
        <w:rPr>
          <w:rFonts w:hint="cs"/>
          <w:rtl/>
        </w:rPr>
        <w:t xml:space="preserve"> </w:t>
      </w:r>
      <w:r w:rsidRPr="00A52585">
        <w:rPr>
          <w:rFonts w:hint="cs"/>
          <w:bCs/>
          <w:rtl/>
        </w:rPr>
        <w:t>قال القرطبي في تفسير قوله تعالى (يريدون</w:t>
      </w:r>
      <w:r w:rsidRPr="00A52585">
        <w:rPr>
          <w:rFonts w:hint="cs"/>
          <w:bCs/>
        </w:rPr>
        <w:t xml:space="preserve"> </w:t>
      </w:r>
      <w:r w:rsidRPr="00A52585">
        <w:rPr>
          <w:rFonts w:hint="cs"/>
          <w:bCs/>
          <w:rtl/>
        </w:rPr>
        <w:t>وجهه</w:t>
      </w:r>
      <w:r w:rsidR="0002035C" w:rsidRPr="00A52585">
        <w:rPr>
          <w:rFonts w:hint="cs"/>
          <w:bCs/>
          <w:rtl/>
        </w:rPr>
        <w:t>):</w:t>
      </w:r>
      <w:r w:rsidRPr="00A52585">
        <w:rPr>
          <w:rFonts w:hint="cs"/>
          <w:rtl/>
        </w:rPr>
        <w:t xml:space="preserve"> " يريدون وجهه</w:t>
      </w:r>
      <w:r w:rsidR="0002035C" w:rsidRPr="00A52585">
        <w:rPr>
          <w:rFonts w:hint="cs"/>
          <w:rtl/>
        </w:rPr>
        <w:t xml:space="preserve"> </w:t>
      </w:r>
      <w:r w:rsidRPr="00A52585">
        <w:rPr>
          <w:rFonts w:hint="cs"/>
          <w:rtl/>
        </w:rPr>
        <w:t>أي طاعته والإخلاص فيها أي يخلصون في عبادتهم وأعمالهم لله ويتوجهون بذلك إليه لا لغيره " [تفسير القرطبي ج: 6 ص: 432] أهـ</w:t>
      </w:r>
      <w:r w:rsidR="00DB731D" w:rsidRPr="00A52585">
        <w:rPr>
          <w:rFonts w:hint="cs"/>
          <w:rtl/>
        </w:rPr>
        <w:t>،</w:t>
      </w:r>
      <w:r w:rsidRPr="00A52585">
        <w:rPr>
          <w:rFonts w:hint="cs"/>
          <w:rtl/>
        </w:rPr>
        <w:t xml:space="preserve"> </w:t>
      </w:r>
      <w:r w:rsidRPr="00A52585">
        <w:rPr>
          <w:rFonts w:hint="cs"/>
          <w:bCs/>
          <w:rtl/>
        </w:rPr>
        <w:t>وقال البيضاوي</w:t>
      </w:r>
      <w:r w:rsidRPr="00A52585">
        <w:rPr>
          <w:rFonts w:hint="cs"/>
          <w:rtl/>
        </w:rPr>
        <w:t>: " (يريدون وجهه) رضا الله وطاعته " [تفسير البيضاوي ج: 3 ص: 493] أهـ</w:t>
      </w:r>
      <w:r w:rsidR="00DB731D" w:rsidRPr="00A52585">
        <w:rPr>
          <w:rFonts w:hint="cs"/>
          <w:rtl/>
          <w:lang w:bidi="ar-KW"/>
        </w:rPr>
        <w:t>،</w:t>
      </w:r>
      <w:r w:rsidRPr="00A52585">
        <w:rPr>
          <w:rFonts w:hint="cs"/>
          <w:rtl/>
          <w:lang w:bidi="ar-KW"/>
        </w:rPr>
        <w:t xml:space="preserve"> </w:t>
      </w:r>
      <w:r w:rsidRPr="00A52585">
        <w:rPr>
          <w:rFonts w:hint="cs"/>
          <w:bCs/>
          <w:rtl/>
        </w:rPr>
        <w:t>وقال أبو السعود</w:t>
      </w:r>
      <w:r w:rsidRPr="00A52585">
        <w:rPr>
          <w:rFonts w:hint="cs"/>
          <w:rtl/>
        </w:rPr>
        <w:t>: " وقوله تعالى</w:t>
      </w:r>
      <w:r w:rsidR="0002035C" w:rsidRPr="00A52585">
        <w:rPr>
          <w:rFonts w:hint="cs"/>
          <w:rtl/>
        </w:rPr>
        <w:t xml:space="preserve"> </w:t>
      </w:r>
      <w:r w:rsidRPr="00A52585">
        <w:rPr>
          <w:rFonts w:hint="cs"/>
          <w:rtl/>
        </w:rPr>
        <w:t>يريدون وجهه</w:t>
      </w:r>
      <w:r w:rsidR="0002035C" w:rsidRPr="00A52585">
        <w:rPr>
          <w:rFonts w:hint="cs"/>
          <w:rtl/>
        </w:rPr>
        <w:t xml:space="preserve"> </w:t>
      </w:r>
      <w:r w:rsidRPr="00A52585">
        <w:rPr>
          <w:rFonts w:hint="cs"/>
          <w:rtl/>
        </w:rPr>
        <w:t>حال من ضمير يدعون أي يدعونه تعالى مخلصين له فيه " [تفسير أبي السعود ج: 3 ص: 139] أهـ</w:t>
      </w:r>
      <w:r w:rsidR="00DB731D" w:rsidRPr="00A52585">
        <w:rPr>
          <w:rFonts w:hint="cs"/>
          <w:rtl/>
        </w:rPr>
        <w:t>،</w:t>
      </w:r>
      <w:r w:rsidRPr="00A52585">
        <w:rPr>
          <w:rFonts w:hint="cs"/>
          <w:rtl/>
        </w:rPr>
        <w:t xml:space="preserve"> </w:t>
      </w:r>
      <w:r w:rsidRPr="00A52585">
        <w:rPr>
          <w:rFonts w:hint="cs"/>
          <w:bCs/>
          <w:rtl/>
        </w:rPr>
        <w:t>وقال الواحدي</w:t>
      </w:r>
      <w:r w:rsidRPr="00A52585">
        <w:rPr>
          <w:rFonts w:hint="cs"/>
          <w:rtl/>
        </w:rPr>
        <w:t>: " يريدون وجهه</w:t>
      </w:r>
      <w:r w:rsidR="0002035C" w:rsidRPr="00A52585">
        <w:rPr>
          <w:rFonts w:hint="cs"/>
          <w:rtl/>
        </w:rPr>
        <w:t xml:space="preserve"> </w:t>
      </w:r>
      <w:r w:rsidRPr="00A52585">
        <w:rPr>
          <w:rFonts w:hint="cs"/>
          <w:rtl/>
        </w:rPr>
        <w:t>يطلبون ثواب الله " [تفسير الواحدي ج: 1 ص: 355]أهـ</w:t>
      </w:r>
      <w:r w:rsidR="00DB731D" w:rsidRPr="00A52585">
        <w:rPr>
          <w:rFonts w:hint="cs"/>
          <w:rtl/>
        </w:rPr>
        <w:t>،</w:t>
      </w:r>
      <w:r w:rsidRPr="00A52585">
        <w:rPr>
          <w:rFonts w:hint="cs"/>
          <w:rtl/>
        </w:rPr>
        <w:t xml:space="preserve"> </w:t>
      </w:r>
      <w:r w:rsidRPr="00A52585">
        <w:rPr>
          <w:rFonts w:hint="cs"/>
          <w:bCs/>
          <w:rtl/>
        </w:rPr>
        <w:t>وقال البغوي</w:t>
      </w:r>
      <w:r w:rsidR="0002035C" w:rsidRPr="00A52585">
        <w:rPr>
          <w:rFonts w:hint="cs"/>
          <w:bCs/>
          <w:rtl/>
        </w:rPr>
        <w:t>:</w:t>
      </w:r>
      <w:r w:rsidRPr="00A52585">
        <w:rPr>
          <w:rFonts w:hint="cs"/>
          <w:rtl/>
        </w:rPr>
        <w:t xml:space="preserve"> " يريدون وجهه</w:t>
      </w:r>
      <w:r w:rsidR="0002035C" w:rsidRPr="00A52585">
        <w:rPr>
          <w:rFonts w:hint="cs"/>
          <w:rtl/>
        </w:rPr>
        <w:t xml:space="preserve"> </w:t>
      </w:r>
      <w:r w:rsidRPr="00A52585">
        <w:rPr>
          <w:rFonts w:hint="cs"/>
          <w:rtl/>
        </w:rPr>
        <w:t xml:space="preserve">أي يريدون الله بطاعتهم قال ابن عباس رضي الله عنهما يطلبون ثواب الله " </w:t>
      </w:r>
      <w:r w:rsidR="0002035C" w:rsidRPr="00A52585">
        <w:rPr>
          <w:rFonts w:hint="cs"/>
          <w:rtl/>
        </w:rPr>
        <w:t>[</w:t>
      </w:r>
      <w:r w:rsidRPr="00A52585">
        <w:rPr>
          <w:rFonts w:hint="cs"/>
          <w:rtl/>
        </w:rPr>
        <w:t>تفسير البغوي ج: 2 ص: 99]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يريدون وجهه</w:t>
      </w:r>
      <w:r w:rsidR="0002035C" w:rsidRPr="00A52585">
        <w:rPr>
          <w:rFonts w:hint="cs"/>
          <w:rtl/>
        </w:rPr>
        <w:t xml:space="preserve"> </w:t>
      </w:r>
      <w:r w:rsidRPr="00A52585">
        <w:rPr>
          <w:rFonts w:hint="cs"/>
          <w:rtl/>
        </w:rPr>
        <w:t>أي يريدون الله لا يريدون به عرضا من الدنيا " [تفسير البغوي ج: 3 ص: 159]أهـ</w:t>
      </w:r>
      <w:r w:rsidR="00DB731D" w:rsidRPr="00A52585">
        <w:rPr>
          <w:rFonts w:hint="cs"/>
          <w:rtl/>
        </w:rPr>
        <w:t>،</w:t>
      </w:r>
      <w:r w:rsidRPr="00A52585">
        <w:rPr>
          <w:rFonts w:hint="cs"/>
          <w:rtl/>
        </w:rPr>
        <w:t xml:space="preserve"> </w:t>
      </w:r>
      <w:r w:rsidRPr="00A52585">
        <w:rPr>
          <w:rFonts w:hint="cs"/>
          <w:bCs/>
          <w:rtl/>
        </w:rPr>
        <w:t>وقال الشوكاني</w:t>
      </w:r>
      <w:r w:rsidR="0002035C" w:rsidRPr="00A52585">
        <w:rPr>
          <w:rFonts w:hint="cs"/>
          <w:bCs/>
          <w:rtl/>
        </w:rPr>
        <w:t>:</w:t>
      </w:r>
      <w:r w:rsidRPr="00A52585">
        <w:rPr>
          <w:rFonts w:hint="cs"/>
          <w:rtl/>
        </w:rPr>
        <w:t xml:space="preserve"> " و</w:t>
      </w:r>
      <w:r w:rsidR="0002035C" w:rsidRPr="00A52585">
        <w:rPr>
          <w:rFonts w:hint="cs"/>
          <w:rtl/>
        </w:rPr>
        <w:t xml:space="preserve"> </w:t>
      </w:r>
      <w:r w:rsidRPr="00A52585">
        <w:rPr>
          <w:rFonts w:hint="cs"/>
          <w:rtl/>
        </w:rPr>
        <w:t>يريدون وجهه</w:t>
      </w:r>
      <w:r w:rsidR="0002035C" w:rsidRPr="00A52585">
        <w:rPr>
          <w:rFonts w:hint="cs"/>
          <w:rtl/>
        </w:rPr>
        <w:t xml:space="preserve"> </w:t>
      </w:r>
      <w:r w:rsidRPr="00A52585">
        <w:rPr>
          <w:rFonts w:hint="cs"/>
          <w:rtl/>
        </w:rPr>
        <w:t>في محل نصب على الحال والمعنى أنهم مخلصون في عبادتهم لا يريدون بذلك إلا وجه الله تعالى أي يتوجهون</w:t>
      </w:r>
      <w:r w:rsidR="0002035C" w:rsidRPr="00A52585">
        <w:rPr>
          <w:rFonts w:hint="cs"/>
          <w:rtl/>
        </w:rPr>
        <w:t xml:space="preserve"> </w:t>
      </w:r>
      <w:r w:rsidRPr="00A52585">
        <w:rPr>
          <w:rFonts w:hint="cs"/>
          <w:rtl/>
        </w:rPr>
        <w:t>بذلك إليه لا إلى غيره "</w:t>
      </w:r>
      <w:r w:rsidR="0002035C" w:rsidRPr="00A52585">
        <w:rPr>
          <w:rFonts w:hint="cs"/>
          <w:rtl/>
        </w:rPr>
        <w:t>[</w:t>
      </w:r>
      <w:r w:rsidRPr="00A52585">
        <w:rPr>
          <w:rFonts w:hint="cs"/>
          <w:rtl/>
        </w:rPr>
        <w:t>فتح القدير ج: 2 ص: 119]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ومعنى</w:t>
      </w:r>
      <w:r w:rsidR="0002035C" w:rsidRPr="00A52585">
        <w:rPr>
          <w:rFonts w:hint="cs"/>
          <w:rtl/>
        </w:rPr>
        <w:t xml:space="preserve"> </w:t>
      </w:r>
      <w:r w:rsidRPr="00A52585">
        <w:rPr>
          <w:rFonts w:hint="cs"/>
          <w:rtl/>
        </w:rPr>
        <w:t>يريدون وجهه</w:t>
      </w:r>
      <w:r w:rsidR="0002035C" w:rsidRPr="00A52585">
        <w:rPr>
          <w:rFonts w:hint="cs"/>
          <w:rtl/>
        </w:rPr>
        <w:t xml:space="preserve"> </w:t>
      </w:r>
      <w:r w:rsidRPr="00A52585">
        <w:rPr>
          <w:rFonts w:hint="cs"/>
          <w:rtl/>
        </w:rPr>
        <w:t>أنهم يريدون بدعائهم رضى الله سبحانه " [فتح القدير ج: 3 ص: 281]أهـ</w:t>
      </w:r>
      <w:r w:rsidR="00DB731D" w:rsidRPr="00A52585">
        <w:rPr>
          <w:rFonts w:hint="cs"/>
          <w:rtl/>
        </w:rPr>
        <w:t>،</w:t>
      </w:r>
      <w:r w:rsidRPr="00A52585">
        <w:rPr>
          <w:rFonts w:hint="cs"/>
          <w:rtl/>
        </w:rPr>
        <w:t xml:space="preserve"> </w:t>
      </w:r>
      <w:r w:rsidRPr="00A52585">
        <w:rPr>
          <w:rFonts w:hint="cs"/>
          <w:bCs/>
          <w:rtl/>
        </w:rPr>
        <w:t>وقال ابن الجوزي</w:t>
      </w:r>
      <w:r w:rsidR="0002035C" w:rsidRPr="00A52585">
        <w:rPr>
          <w:rFonts w:hint="cs"/>
          <w:rtl/>
        </w:rPr>
        <w:t>:</w:t>
      </w:r>
      <w:r w:rsidRPr="00A52585">
        <w:rPr>
          <w:rFonts w:hint="cs"/>
          <w:rtl/>
        </w:rPr>
        <w:t xml:space="preserve"> " قوله تعالى</w:t>
      </w:r>
      <w:r w:rsidR="0002035C" w:rsidRPr="00A52585">
        <w:rPr>
          <w:rFonts w:hint="cs"/>
          <w:rtl/>
        </w:rPr>
        <w:t xml:space="preserve"> </w:t>
      </w:r>
      <w:r w:rsidRPr="00A52585">
        <w:rPr>
          <w:rFonts w:hint="cs"/>
          <w:rtl/>
        </w:rPr>
        <w:t>يريدون وجهه</w:t>
      </w:r>
      <w:r w:rsidR="0002035C" w:rsidRPr="00A52585">
        <w:rPr>
          <w:rFonts w:hint="cs"/>
          <w:rtl/>
        </w:rPr>
        <w:t xml:space="preserve"> </w:t>
      </w:r>
      <w:r w:rsidRPr="00A52585">
        <w:rPr>
          <w:rFonts w:hint="cs"/>
          <w:rtl/>
        </w:rPr>
        <w:t>قال الزجاج أي يريدون الله فيشهد الله لهم بصحة النيات وأنهم مخلصون في ذلك " [زاد المسير ج: 3 ص: 47] أهـ</w:t>
      </w:r>
      <w:r w:rsidR="00DB731D" w:rsidRPr="00A52585">
        <w:rPr>
          <w:rFonts w:hint="cs"/>
          <w:rtl/>
        </w:rPr>
        <w:t>،</w:t>
      </w:r>
      <w:r w:rsidRPr="00A52585">
        <w:rPr>
          <w:rFonts w:hint="cs"/>
          <w:rtl/>
        </w:rPr>
        <w:t xml:space="preserve"> </w:t>
      </w:r>
      <w:r w:rsidRPr="00A52585">
        <w:rPr>
          <w:rFonts w:hint="cs"/>
          <w:bCs/>
          <w:rtl/>
        </w:rPr>
        <w:t>وقال النسفي</w:t>
      </w:r>
      <w:r w:rsidRPr="00A52585">
        <w:rPr>
          <w:rFonts w:hint="cs"/>
          <w:rtl/>
        </w:rPr>
        <w:t xml:space="preserve"> " ووسمهم بالإخلاص </w:t>
      </w:r>
      <w:proofErr w:type="spellStart"/>
      <w:r w:rsidRPr="00A52585">
        <w:rPr>
          <w:rFonts w:hint="cs"/>
          <w:rtl/>
        </w:rPr>
        <w:t>فى</w:t>
      </w:r>
      <w:proofErr w:type="spellEnd"/>
      <w:r w:rsidRPr="00A52585">
        <w:rPr>
          <w:rFonts w:hint="cs"/>
          <w:rtl/>
        </w:rPr>
        <w:t xml:space="preserve"> عبادتهم بقوله</w:t>
      </w:r>
      <w:r w:rsidR="0002035C" w:rsidRPr="00A52585">
        <w:rPr>
          <w:rFonts w:hint="cs"/>
          <w:rtl/>
        </w:rPr>
        <w:t xml:space="preserve"> </w:t>
      </w:r>
      <w:r w:rsidRPr="00A52585">
        <w:rPr>
          <w:rFonts w:hint="cs"/>
          <w:rtl/>
        </w:rPr>
        <w:t>يريدون وجهه</w:t>
      </w:r>
      <w:r w:rsidR="0002035C" w:rsidRPr="00A52585">
        <w:rPr>
          <w:rFonts w:hint="cs"/>
          <w:rtl/>
        </w:rPr>
        <w:t xml:space="preserve"> </w:t>
      </w:r>
      <w:r w:rsidRPr="00A52585">
        <w:rPr>
          <w:rFonts w:hint="cs"/>
          <w:rtl/>
        </w:rPr>
        <w:t xml:space="preserve">فالوجه يعبر به عن ذات </w:t>
      </w:r>
      <w:proofErr w:type="spellStart"/>
      <w:r w:rsidRPr="00A52585">
        <w:rPr>
          <w:rFonts w:hint="cs"/>
          <w:rtl/>
        </w:rPr>
        <w:t>الشئ</w:t>
      </w:r>
      <w:proofErr w:type="spellEnd"/>
      <w:r w:rsidRPr="00A52585">
        <w:rPr>
          <w:rFonts w:hint="cs"/>
          <w:rtl/>
        </w:rPr>
        <w:t xml:space="preserve"> وحقيقته " [تفسير النسفي ج: 1 ص: 324] أهـ </w:t>
      </w:r>
      <w:r w:rsidRPr="00A52585">
        <w:rPr>
          <w:rFonts w:hint="cs"/>
          <w:bCs/>
          <w:rtl/>
        </w:rPr>
        <w:t>وقال</w:t>
      </w:r>
      <w:r w:rsidR="0002035C" w:rsidRPr="00A52585">
        <w:rPr>
          <w:rFonts w:hint="cs"/>
          <w:rtl/>
        </w:rPr>
        <w:t>:</w:t>
      </w:r>
      <w:r w:rsidRPr="00A52585">
        <w:rPr>
          <w:rFonts w:hint="cs"/>
          <w:rtl/>
        </w:rPr>
        <w:t xml:space="preserve"> " يريدون وجهه</w:t>
      </w:r>
      <w:r w:rsidR="0002035C" w:rsidRPr="00A52585">
        <w:rPr>
          <w:rFonts w:hint="cs"/>
          <w:rtl/>
        </w:rPr>
        <w:t xml:space="preserve"> </w:t>
      </w:r>
      <w:r w:rsidRPr="00A52585">
        <w:rPr>
          <w:rFonts w:hint="cs"/>
          <w:rtl/>
        </w:rPr>
        <w:t xml:space="preserve">رضا الله " </w:t>
      </w:r>
      <w:r w:rsidR="0002035C" w:rsidRPr="00A52585">
        <w:rPr>
          <w:rFonts w:hint="cs"/>
          <w:rtl/>
        </w:rPr>
        <w:t>[</w:t>
      </w:r>
      <w:r w:rsidRPr="00A52585">
        <w:rPr>
          <w:rFonts w:hint="cs"/>
          <w:rtl/>
        </w:rPr>
        <w:t>تفسير النسفي ج: 3 ص: 12] أهـ</w:t>
      </w:r>
    </w:p>
    <w:p w14:paraId="72BDC3FB" w14:textId="38D14E87" w:rsidR="00777DCB" w:rsidRPr="00A52585" w:rsidRDefault="00777DCB" w:rsidP="0002035C">
      <w:pPr>
        <w:rPr>
          <w:rtl/>
        </w:rPr>
      </w:pPr>
      <w:r w:rsidRPr="00A52585">
        <w:rPr>
          <w:rFonts w:hint="cs"/>
          <w:bCs/>
          <w:rtl/>
        </w:rPr>
        <w:t>وقال الألوسي</w:t>
      </w:r>
      <w:r w:rsidR="0002035C" w:rsidRPr="00A52585">
        <w:rPr>
          <w:rFonts w:hint="cs"/>
          <w:rtl/>
        </w:rPr>
        <w:t>:</w:t>
      </w:r>
      <w:r w:rsidRPr="00A52585">
        <w:rPr>
          <w:rFonts w:hint="cs"/>
          <w:rtl/>
        </w:rPr>
        <w:t xml:space="preserve"> " </w:t>
      </w:r>
      <w:r w:rsidR="0002035C" w:rsidRPr="00A52585">
        <w:rPr>
          <w:rFonts w:hint="cs"/>
          <w:rtl/>
        </w:rPr>
        <w:t>(</w:t>
      </w:r>
      <w:r w:rsidRPr="00A52585">
        <w:rPr>
          <w:rFonts w:hint="cs"/>
          <w:rtl/>
        </w:rPr>
        <w:t>يريدون وجهه</w:t>
      </w:r>
      <w:r w:rsidR="0002035C" w:rsidRPr="00A52585">
        <w:rPr>
          <w:rFonts w:hint="cs"/>
          <w:rtl/>
        </w:rPr>
        <w:t>)</w:t>
      </w:r>
      <w:r w:rsidR="00897A24" w:rsidRPr="00A52585">
        <w:rPr>
          <w:rFonts w:hint="cs"/>
          <w:rtl/>
        </w:rPr>
        <w:t>.</w:t>
      </w:r>
      <w:r w:rsidRPr="00A52585">
        <w:rPr>
          <w:rFonts w:hint="cs"/>
          <w:rtl/>
        </w:rPr>
        <w:t>.</w:t>
      </w:r>
      <w:r w:rsidRPr="00A52585">
        <w:rPr>
          <w:rFonts w:hint="cs"/>
          <w:bCs/>
          <w:rtl/>
        </w:rPr>
        <w:t>قيل</w:t>
      </w:r>
      <w:r w:rsidRPr="00A52585">
        <w:rPr>
          <w:rFonts w:hint="cs"/>
          <w:rtl/>
        </w:rPr>
        <w:t xml:space="preserve"> وهو المشهور إنه الذات أي مريدين ذاته تعالى ومعنى إرادة الذات على ما قيل الإخلاص </w:t>
      </w:r>
      <w:proofErr w:type="spellStart"/>
      <w:r w:rsidRPr="00A52585">
        <w:rPr>
          <w:rFonts w:hint="cs"/>
          <w:rtl/>
        </w:rPr>
        <w:t>لها</w:t>
      </w:r>
      <w:r w:rsidR="00897A24" w:rsidRPr="00A52585">
        <w:rPr>
          <w:rFonts w:hint="cs"/>
          <w:rtl/>
        </w:rPr>
        <w:t>.</w:t>
      </w:r>
      <w:r w:rsidRPr="00A52585">
        <w:rPr>
          <w:rFonts w:hint="cs"/>
          <w:rtl/>
        </w:rPr>
        <w:t>.أي</w:t>
      </w:r>
      <w:proofErr w:type="spellEnd"/>
      <w:r w:rsidRPr="00A52585">
        <w:rPr>
          <w:rFonts w:hint="cs"/>
          <w:rtl/>
        </w:rPr>
        <w:t xml:space="preserve"> يدعون ربهم مخلصين له سبحانه </w:t>
      </w:r>
      <w:proofErr w:type="spellStart"/>
      <w:r w:rsidRPr="00A52585">
        <w:rPr>
          <w:rFonts w:hint="cs"/>
          <w:rtl/>
        </w:rPr>
        <w:t>فيه</w:t>
      </w:r>
      <w:r w:rsidR="00897A24" w:rsidRPr="00A52585">
        <w:rPr>
          <w:rFonts w:hint="cs"/>
          <w:rtl/>
        </w:rPr>
        <w:t>.</w:t>
      </w:r>
      <w:r w:rsidRPr="00A52585">
        <w:rPr>
          <w:rFonts w:hint="cs"/>
          <w:rtl/>
        </w:rPr>
        <w:t>.</w:t>
      </w:r>
      <w:r w:rsidRPr="00A52585">
        <w:rPr>
          <w:rFonts w:hint="cs"/>
          <w:bCs/>
          <w:rtl/>
        </w:rPr>
        <w:t>وقيل</w:t>
      </w:r>
      <w:proofErr w:type="spellEnd"/>
      <w:r w:rsidR="0002035C" w:rsidRPr="00A52585">
        <w:rPr>
          <w:rFonts w:hint="cs"/>
          <w:rtl/>
        </w:rPr>
        <w:t xml:space="preserve"> </w:t>
      </w:r>
      <w:r w:rsidRPr="00A52585">
        <w:rPr>
          <w:rFonts w:hint="cs"/>
          <w:rtl/>
        </w:rPr>
        <w:t xml:space="preserve">المراد به الجهة والطريق والمعنى مريدين الطريق الذي أمرهم جل شأنه بإرادته وهو الذي يقتضيه كلام الزجاج </w:t>
      </w:r>
      <w:r w:rsidRPr="00A52585">
        <w:rPr>
          <w:rFonts w:hint="cs"/>
          <w:bCs/>
          <w:rtl/>
        </w:rPr>
        <w:t>وقيل</w:t>
      </w:r>
      <w:r w:rsidR="0002035C" w:rsidRPr="00A52585">
        <w:rPr>
          <w:rFonts w:hint="cs"/>
          <w:rtl/>
        </w:rPr>
        <w:t xml:space="preserve"> </w:t>
      </w:r>
      <w:r w:rsidRPr="00A52585">
        <w:rPr>
          <w:rFonts w:hint="cs"/>
          <w:rtl/>
        </w:rPr>
        <w:t xml:space="preserve">إنه كناية عن المحبة وطلب الرضا لأن من أحب ذاتا أحب أن يرى وجهه فرؤية الوجه من لوازم المحبة </w:t>
      </w:r>
      <w:r w:rsidRPr="00A52585">
        <w:rPr>
          <w:rFonts w:hint="cs"/>
          <w:rtl/>
        </w:rPr>
        <w:lastRenderedPageBreak/>
        <w:t>فلهذا جعل كناية عنها قاله الإمام وهو كما ترى</w:t>
      </w:r>
      <w:r w:rsidR="0002035C" w:rsidRPr="00A52585">
        <w:rPr>
          <w:rFonts w:hint="cs"/>
          <w:rtl/>
        </w:rPr>
        <w:t xml:space="preserve"> </w:t>
      </w:r>
      <w:r w:rsidRPr="00A52585">
        <w:rPr>
          <w:rFonts w:hint="cs"/>
          <w:rtl/>
        </w:rPr>
        <w:t>وجوز أيضا أن يكون ذكر الوجه للتعظيم كما يقال</w:t>
      </w:r>
      <w:r w:rsidR="0002035C" w:rsidRPr="00A52585">
        <w:rPr>
          <w:rFonts w:hint="cs"/>
          <w:rtl/>
        </w:rPr>
        <w:t xml:space="preserve"> </w:t>
      </w:r>
      <w:r w:rsidRPr="00A52585">
        <w:rPr>
          <w:rFonts w:hint="cs"/>
          <w:rtl/>
        </w:rPr>
        <w:t>هذا وجه الرأي وهذا وجهه الدليل والمعنى يريدونه " [روح المعاني ج: 7 ص: 160] أهـ</w:t>
      </w:r>
      <w:r w:rsidR="00DB731D" w:rsidRPr="00A52585">
        <w:rPr>
          <w:rFonts w:hint="cs"/>
          <w:rtl/>
        </w:rPr>
        <w:t>،</w:t>
      </w:r>
      <w:r w:rsidRPr="00A52585">
        <w:rPr>
          <w:rFonts w:hint="cs"/>
          <w:rtl/>
        </w:rPr>
        <w:t xml:space="preserve"> </w:t>
      </w:r>
      <w:r w:rsidRPr="00A52585">
        <w:rPr>
          <w:rFonts w:hint="cs"/>
          <w:bCs/>
          <w:rtl/>
        </w:rPr>
        <w:t>وقال</w:t>
      </w:r>
      <w:r w:rsidR="0002035C" w:rsidRPr="00A52585">
        <w:rPr>
          <w:rFonts w:hint="cs"/>
          <w:rtl/>
        </w:rPr>
        <w:t>:</w:t>
      </w:r>
      <w:r w:rsidRPr="00A52585">
        <w:rPr>
          <w:rFonts w:hint="cs"/>
          <w:rtl/>
        </w:rPr>
        <w:t xml:space="preserve"> " يريدون وجهه</w:t>
      </w:r>
      <w:r w:rsidR="0002035C" w:rsidRPr="00A52585">
        <w:rPr>
          <w:rFonts w:hint="cs"/>
          <w:rtl/>
        </w:rPr>
        <w:t xml:space="preserve"> </w:t>
      </w:r>
      <w:r w:rsidRPr="00A52585">
        <w:rPr>
          <w:rFonts w:hint="cs"/>
          <w:rtl/>
        </w:rPr>
        <w:t xml:space="preserve">أي يريدونه سبحانه بذاته وصفاته " </w:t>
      </w:r>
      <w:r w:rsidR="0002035C" w:rsidRPr="00A52585">
        <w:rPr>
          <w:rFonts w:hint="cs"/>
          <w:rtl/>
        </w:rPr>
        <w:t>[</w:t>
      </w:r>
      <w:r w:rsidRPr="00A52585">
        <w:rPr>
          <w:rFonts w:hint="cs"/>
          <w:rtl/>
        </w:rPr>
        <w:t>روح المعاني ج: 7 ص: 166] أهـ</w:t>
      </w:r>
      <w:r w:rsidR="00DB731D" w:rsidRPr="00A52585">
        <w:rPr>
          <w:rFonts w:hint="cs"/>
          <w:rtl/>
        </w:rPr>
        <w:t>،</w:t>
      </w:r>
      <w:r w:rsidRPr="00A52585">
        <w:rPr>
          <w:rFonts w:hint="cs"/>
          <w:rtl/>
        </w:rPr>
        <w:t xml:space="preserve"> </w:t>
      </w:r>
      <w:r w:rsidRPr="00A52585">
        <w:rPr>
          <w:rFonts w:hint="cs"/>
          <w:bCs/>
          <w:rtl/>
        </w:rPr>
        <w:t>وقال الطبري في تفسير قوله تعالى (يريدون وجه الله</w:t>
      </w:r>
      <w:r w:rsidR="0002035C" w:rsidRPr="00A52585">
        <w:rPr>
          <w:rFonts w:hint="cs"/>
          <w:bCs/>
          <w:rtl/>
        </w:rPr>
        <w:t>)</w:t>
      </w:r>
      <w:r w:rsidR="0002035C" w:rsidRPr="00A52585">
        <w:rPr>
          <w:rFonts w:hint="cs"/>
          <w:rtl/>
        </w:rPr>
        <w:t>:</w:t>
      </w:r>
      <w:r w:rsidRPr="00A52585">
        <w:rPr>
          <w:rFonts w:hint="cs"/>
          <w:rtl/>
        </w:rPr>
        <w:t xml:space="preserve"> " وقوله ذلك خير للذين</w:t>
      </w:r>
      <w:r w:rsidR="0002035C" w:rsidRPr="00A52585">
        <w:rPr>
          <w:rFonts w:hint="cs"/>
          <w:rtl/>
        </w:rPr>
        <w:t xml:space="preserve"> </w:t>
      </w:r>
      <w:r w:rsidRPr="00A52585">
        <w:rPr>
          <w:rFonts w:hint="cs"/>
          <w:rtl/>
        </w:rPr>
        <w:t>يريدون وجه الله</w:t>
      </w:r>
      <w:r w:rsidR="0002035C" w:rsidRPr="00A52585">
        <w:rPr>
          <w:rFonts w:hint="cs"/>
          <w:rtl/>
        </w:rPr>
        <w:t xml:space="preserve"> </w:t>
      </w:r>
      <w:r w:rsidRPr="00A52585">
        <w:rPr>
          <w:rFonts w:hint="cs"/>
          <w:rtl/>
        </w:rPr>
        <w:t>يقول تعالى ذكره إيتاء هؤلاء حقوقهم التي ألزمها الله عباده خير للذين يريدون الله بإتيانهم ذلك " [تفسير الطبري ج: 21 ص: 45] أهـ</w:t>
      </w:r>
      <w:r w:rsidR="00DB731D" w:rsidRPr="00A52585">
        <w:rPr>
          <w:rFonts w:hint="cs"/>
          <w:rtl/>
        </w:rPr>
        <w:t>،</w:t>
      </w:r>
      <w:r w:rsidRPr="00A52585">
        <w:rPr>
          <w:rFonts w:hint="cs"/>
          <w:rtl/>
        </w:rPr>
        <w:t xml:space="preserve"> </w:t>
      </w:r>
      <w:r w:rsidRPr="00A52585">
        <w:rPr>
          <w:rFonts w:hint="cs"/>
          <w:bCs/>
          <w:rtl/>
        </w:rPr>
        <w:t>وقال البيضاوي</w:t>
      </w:r>
      <w:r w:rsidR="0002035C" w:rsidRPr="00A52585">
        <w:rPr>
          <w:rFonts w:hint="cs"/>
          <w:rtl/>
        </w:rPr>
        <w:t>:</w:t>
      </w:r>
      <w:r w:rsidRPr="00A52585">
        <w:rPr>
          <w:rFonts w:hint="cs"/>
          <w:rtl/>
        </w:rPr>
        <w:t xml:space="preserve"> " يريدون وجه الله</w:t>
      </w:r>
      <w:r w:rsidR="0002035C" w:rsidRPr="00A52585">
        <w:rPr>
          <w:rFonts w:hint="cs"/>
          <w:rtl/>
        </w:rPr>
        <w:t xml:space="preserve"> </w:t>
      </w:r>
      <w:r w:rsidRPr="00A52585">
        <w:rPr>
          <w:rFonts w:hint="cs"/>
          <w:rtl/>
        </w:rPr>
        <w:t>ذاته أو جهته أي يقصدون بمعروفهم إياه خالصا أو جهة التقرب إليه لا جهة أخرى " [تفسير البيضاوي ج: 4 ص: 336]أهـ</w:t>
      </w:r>
      <w:r w:rsidR="00DB731D" w:rsidRPr="00A52585">
        <w:rPr>
          <w:rFonts w:hint="cs"/>
          <w:rtl/>
        </w:rPr>
        <w:t>،</w:t>
      </w:r>
      <w:r w:rsidRPr="00A52585">
        <w:rPr>
          <w:rFonts w:hint="cs"/>
          <w:rtl/>
        </w:rPr>
        <w:t xml:space="preserve"> </w:t>
      </w:r>
      <w:r w:rsidRPr="00A52585">
        <w:rPr>
          <w:rFonts w:hint="cs"/>
          <w:bCs/>
          <w:rtl/>
        </w:rPr>
        <w:t>وقال أبو السعود</w:t>
      </w:r>
      <w:r w:rsidRPr="00A52585">
        <w:rPr>
          <w:rFonts w:hint="cs"/>
          <w:rtl/>
        </w:rPr>
        <w:t xml:space="preserve"> " ذلك خير للذين</w:t>
      </w:r>
      <w:r w:rsidR="0002035C" w:rsidRPr="00A52585">
        <w:rPr>
          <w:rFonts w:hint="cs"/>
          <w:rtl/>
        </w:rPr>
        <w:t xml:space="preserve"> </w:t>
      </w:r>
      <w:r w:rsidRPr="00A52585">
        <w:rPr>
          <w:rFonts w:hint="cs"/>
          <w:rtl/>
        </w:rPr>
        <w:t>يريدون وجه الله</w:t>
      </w:r>
      <w:r w:rsidR="0002035C" w:rsidRPr="00A52585">
        <w:rPr>
          <w:rFonts w:hint="cs"/>
          <w:rtl/>
        </w:rPr>
        <w:t xml:space="preserve"> </w:t>
      </w:r>
      <w:r w:rsidRPr="00A52585">
        <w:rPr>
          <w:rFonts w:hint="cs"/>
          <w:rtl/>
        </w:rPr>
        <w:t>ذاته او جهته ويقصدون بمعروفهم إياه تعالى خالصا أو جهة التقرب إليه لا جهة أخرى " [تفسير أبي السعود ج: 7 ص: 62] أهـ</w:t>
      </w:r>
      <w:r w:rsidR="00DB731D" w:rsidRPr="00A52585">
        <w:rPr>
          <w:rFonts w:hint="cs"/>
          <w:rtl/>
        </w:rPr>
        <w:t>،</w:t>
      </w:r>
      <w:r w:rsidRPr="00A52585">
        <w:rPr>
          <w:rFonts w:hint="cs"/>
          <w:rtl/>
        </w:rPr>
        <w:t xml:space="preserve"> </w:t>
      </w:r>
      <w:r w:rsidRPr="00A52585">
        <w:rPr>
          <w:rFonts w:hint="cs"/>
          <w:bCs/>
          <w:rtl/>
        </w:rPr>
        <w:t>وقال البغوي</w:t>
      </w:r>
      <w:r w:rsidRPr="00A52585">
        <w:rPr>
          <w:rFonts w:hint="cs"/>
          <w:rtl/>
        </w:rPr>
        <w:t>: " (يريدون وجه الله</w:t>
      </w:r>
      <w:r w:rsidR="0002035C" w:rsidRPr="00A52585">
        <w:rPr>
          <w:rFonts w:hint="cs"/>
          <w:rtl/>
        </w:rPr>
        <w:t>)</w:t>
      </w:r>
      <w:r w:rsidRPr="00A52585">
        <w:rPr>
          <w:rFonts w:hint="cs"/>
          <w:rtl/>
        </w:rPr>
        <w:t xml:space="preserve"> يطلبون ثواب الله بما يعملون " [تفسير البغوي ج: 3 ص: 484] أهـ</w:t>
      </w:r>
      <w:r w:rsidR="00DB731D" w:rsidRPr="00A52585">
        <w:rPr>
          <w:rFonts w:hint="cs"/>
          <w:rtl/>
        </w:rPr>
        <w:t>،</w:t>
      </w:r>
      <w:r w:rsidRPr="00A52585">
        <w:rPr>
          <w:rFonts w:hint="cs"/>
          <w:rtl/>
        </w:rPr>
        <w:t xml:space="preserve"> </w:t>
      </w:r>
      <w:r w:rsidRPr="00A52585">
        <w:rPr>
          <w:rFonts w:hint="cs"/>
          <w:bCs/>
          <w:rtl/>
        </w:rPr>
        <w:t>وقال ابن الجوزي</w:t>
      </w:r>
      <w:r w:rsidRPr="00A52585">
        <w:rPr>
          <w:rFonts w:hint="cs"/>
          <w:rtl/>
        </w:rPr>
        <w:t>:"</w:t>
      </w:r>
      <w:r w:rsidR="0002035C" w:rsidRPr="00A52585">
        <w:rPr>
          <w:rFonts w:hint="cs"/>
          <w:rtl/>
        </w:rPr>
        <w:t>(</w:t>
      </w:r>
      <w:r w:rsidRPr="00A52585">
        <w:rPr>
          <w:rFonts w:hint="cs"/>
          <w:rtl/>
        </w:rPr>
        <w:t>يريدون وجه الله</w:t>
      </w:r>
      <w:r w:rsidR="0002035C" w:rsidRPr="00A52585">
        <w:rPr>
          <w:rFonts w:hint="cs"/>
          <w:rtl/>
        </w:rPr>
        <w:t>)</w:t>
      </w:r>
      <w:r w:rsidRPr="00A52585">
        <w:rPr>
          <w:rFonts w:hint="cs"/>
          <w:rtl/>
        </w:rPr>
        <w:t xml:space="preserve"> أي يطلبون بأعمالهم ثواب الله " [زاد المسير ج: 6 ص: 303] أهـ</w:t>
      </w:r>
    </w:p>
    <w:p w14:paraId="75146FD0" w14:textId="0B337212" w:rsidR="00777DCB" w:rsidRPr="00A52585" w:rsidRDefault="00777DCB" w:rsidP="0002035C">
      <w:pPr>
        <w:rPr>
          <w:rtl/>
        </w:rPr>
      </w:pPr>
      <w:r w:rsidRPr="00A52585">
        <w:rPr>
          <w:rFonts w:hint="cs"/>
          <w:bCs/>
          <w:rtl/>
        </w:rPr>
        <w:t>وجاء في الجلالين</w:t>
      </w:r>
      <w:r w:rsidR="0002035C" w:rsidRPr="00A52585">
        <w:rPr>
          <w:rFonts w:hint="cs"/>
          <w:rtl/>
        </w:rPr>
        <w:t>:</w:t>
      </w:r>
      <w:r w:rsidRPr="00A52585">
        <w:rPr>
          <w:rFonts w:hint="cs"/>
          <w:rtl/>
        </w:rPr>
        <w:t xml:space="preserve"> " (يريدون وجه الله</w:t>
      </w:r>
      <w:r w:rsidR="0002035C" w:rsidRPr="00A52585">
        <w:rPr>
          <w:rFonts w:hint="cs"/>
          <w:rtl/>
        </w:rPr>
        <w:t>)</w:t>
      </w:r>
      <w:r w:rsidRPr="00A52585">
        <w:rPr>
          <w:rFonts w:hint="cs"/>
          <w:rtl/>
        </w:rPr>
        <w:t xml:space="preserve"> أي ثوابه بما يعملون "</w:t>
      </w:r>
      <w:r w:rsidR="0002035C" w:rsidRPr="00A52585">
        <w:rPr>
          <w:rFonts w:hint="cs"/>
          <w:rtl/>
        </w:rPr>
        <w:t>[</w:t>
      </w:r>
      <w:r w:rsidRPr="00A52585">
        <w:rPr>
          <w:rFonts w:hint="cs"/>
          <w:rtl/>
        </w:rPr>
        <w:t>تفسير الجلالين ج: 1 ص: 536] 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rtl/>
        </w:rPr>
        <w:t>:</w:t>
      </w:r>
      <w:r w:rsidRPr="00A52585">
        <w:rPr>
          <w:rFonts w:hint="cs"/>
          <w:rtl/>
        </w:rPr>
        <w:t xml:space="preserve"> " </w:t>
      </w:r>
      <w:r w:rsidR="0002035C" w:rsidRPr="00A52585">
        <w:rPr>
          <w:rFonts w:hint="cs"/>
          <w:rtl/>
        </w:rPr>
        <w:t>(</w:t>
      </w:r>
      <w:r w:rsidRPr="00A52585">
        <w:rPr>
          <w:rFonts w:hint="cs"/>
          <w:rtl/>
        </w:rPr>
        <w:t>يريدون وجه الله</w:t>
      </w:r>
      <w:r w:rsidR="0002035C" w:rsidRPr="00A52585">
        <w:rPr>
          <w:rFonts w:hint="cs"/>
          <w:rtl/>
        </w:rPr>
        <w:t xml:space="preserve">) </w:t>
      </w:r>
      <w:r w:rsidRPr="00A52585">
        <w:rPr>
          <w:rFonts w:hint="cs"/>
          <w:rtl/>
        </w:rPr>
        <w:t>أي ذاته أي يقصدون بمعروفهم إياه خالصا " [تفسير النسفي ج: 3 ص: 275] 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bCs/>
          <w:rtl/>
        </w:rPr>
        <w:t>:</w:t>
      </w:r>
      <w:r w:rsidRPr="00A52585">
        <w:rPr>
          <w:rFonts w:hint="cs"/>
          <w:rtl/>
        </w:rPr>
        <w:t xml:space="preserve"> " يريدون وجه الله</w:t>
      </w:r>
      <w:r w:rsidR="0002035C" w:rsidRPr="00A52585">
        <w:rPr>
          <w:rFonts w:hint="cs"/>
          <w:rtl/>
        </w:rPr>
        <w:t xml:space="preserve"> </w:t>
      </w:r>
      <w:r w:rsidRPr="00A52585">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02035C" w:rsidRPr="00A52585">
        <w:rPr>
          <w:rFonts w:hint="cs"/>
          <w:rtl/>
        </w:rPr>
        <w:t>[</w:t>
      </w:r>
      <w:r w:rsidRPr="00A52585">
        <w:rPr>
          <w:rFonts w:hint="cs"/>
          <w:rtl/>
        </w:rPr>
        <w:t>روح المعاني ج: 21 ص: 45] أهـ</w:t>
      </w:r>
      <w:r w:rsidR="00DB731D" w:rsidRPr="00A52585">
        <w:rPr>
          <w:rFonts w:hint="cs"/>
          <w:rtl/>
        </w:rPr>
        <w:t>،</w:t>
      </w:r>
      <w:r w:rsidRPr="00A52585">
        <w:rPr>
          <w:rFonts w:hint="cs"/>
          <w:rtl/>
        </w:rPr>
        <w:t xml:space="preserve"> </w:t>
      </w:r>
      <w:r w:rsidRPr="00A52585">
        <w:rPr>
          <w:rFonts w:hint="cs"/>
          <w:bCs/>
          <w:rtl/>
        </w:rPr>
        <w:t>وقال الجصاص</w:t>
      </w:r>
      <w:r w:rsidR="0002035C" w:rsidRPr="00A52585">
        <w:rPr>
          <w:rFonts w:hint="cs"/>
          <w:bCs/>
          <w:rtl/>
        </w:rPr>
        <w:t>:</w:t>
      </w:r>
      <w:r w:rsidRPr="00A52585">
        <w:rPr>
          <w:rFonts w:hint="cs"/>
          <w:rtl/>
        </w:rPr>
        <w:t xml:space="preserve"> " وما آتيتم من زكاة</w:t>
      </w:r>
      <w:r w:rsidR="0002035C" w:rsidRPr="00A52585">
        <w:rPr>
          <w:rFonts w:hint="cs"/>
          <w:rtl/>
        </w:rPr>
        <w:t xml:space="preserve"> </w:t>
      </w:r>
      <w:r w:rsidRPr="00A52585">
        <w:rPr>
          <w:rFonts w:hint="cs"/>
          <w:rtl/>
        </w:rPr>
        <w:t>تريدون وجه الله</w:t>
      </w:r>
      <w:r w:rsidR="0002035C" w:rsidRPr="00A52585">
        <w:rPr>
          <w:rFonts w:hint="cs"/>
          <w:rtl/>
        </w:rPr>
        <w:t xml:space="preserve"> </w:t>
      </w:r>
      <w:r w:rsidRPr="00A52585">
        <w:rPr>
          <w:rFonts w:hint="cs"/>
          <w:rtl/>
        </w:rPr>
        <w:t xml:space="preserve">فأولئك هم المضعفون أخبر الله تعالى في هذه الآيات أن الصدقات إذا لم تكن خالصة لله عارية من </w:t>
      </w:r>
      <w:proofErr w:type="spellStart"/>
      <w:r w:rsidRPr="00A52585">
        <w:rPr>
          <w:rFonts w:hint="cs"/>
          <w:rtl/>
        </w:rPr>
        <w:t>منٍ</w:t>
      </w:r>
      <w:proofErr w:type="spellEnd"/>
      <w:r w:rsidRPr="00A52585">
        <w:rPr>
          <w:rFonts w:hint="cs"/>
          <w:rtl/>
        </w:rPr>
        <w:t xml:space="preserve">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02035C" w:rsidRPr="00A52585">
        <w:rPr>
          <w:rFonts w:hint="cs"/>
          <w:rtl/>
        </w:rPr>
        <w:t>[</w:t>
      </w:r>
      <w:r w:rsidRPr="00A52585">
        <w:rPr>
          <w:rFonts w:hint="cs"/>
          <w:rtl/>
        </w:rPr>
        <w:t>أحكام القرآن للجصاص ج: 2 ص: 173] أهـ</w:t>
      </w:r>
      <w:r w:rsidR="00DB731D" w:rsidRPr="00A52585">
        <w:rPr>
          <w:rFonts w:hint="cs"/>
          <w:rtl/>
        </w:rPr>
        <w:t>،</w:t>
      </w:r>
      <w:r w:rsidRPr="00A52585">
        <w:rPr>
          <w:rFonts w:hint="cs"/>
          <w:rtl/>
        </w:rPr>
        <w:t xml:space="preserve"> </w:t>
      </w:r>
      <w:r w:rsidRPr="00A52585">
        <w:rPr>
          <w:rFonts w:hint="cs"/>
          <w:bCs/>
          <w:rtl/>
        </w:rPr>
        <w:t xml:space="preserve">وقال القرطبي في تفسير قوله تعالى </w:t>
      </w:r>
      <w:r w:rsidR="0002035C" w:rsidRPr="00A52585">
        <w:rPr>
          <w:rFonts w:hint="cs"/>
          <w:bCs/>
          <w:rtl/>
        </w:rPr>
        <w:t>(</w:t>
      </w:r>
      <w:r w:rsidRPr="00A52585">
        <w:rPr>
          <w:rFonts w:hint="cs"/>
          <w:bCs/>
          <w:rtl/>
        </w:rPr>
        <w:t>إلا ابتغاء وجه ربه الأعلى</w:t>
      </w:r>
      <w:r w:rsidR="0002035C" w:rsidRPr="00A52585">
        <w:rPr>
          <w:rFonts w:hint="cs"/>
          <w:bCs/>
          <w:rtl/>
        </w:rPr>
        <w:t>):</w:t>
      </w:r>
      <w:r w:rsidRPr="00A52585">
        <w:rPr>
          <w:rFonts w:hint="cs"/>
          <w:bCs/>
          <w:rtl/>
        </w:rPr>
        <w:t xml:space="preserve"> " </w:t>
      </w:r>
      <w:r w:rsidRPr="00A52585">
        <w:rPr>
          <w:rFonts w:hint="cs"/>
          <w:rtl/>
        </w:rPr>
        <w:t>وجه ربه</w:t>
      </w:r>
      <w:r w:rsidR="0002035C" w:rsidRPr="00A52585">
        <w:rPr>
          <w:rFonts w:hint="cs"/>
          <w:rtl/>
        </w:rPr>
        <w:t xml:space="preserve"> </w:t>
      </w:r>
      <w:r w:rsidRPr="00A52585">
        <w:rPr>
          <w:rFonts w:hint="cs"/>
          <w:rtl/>
        </w:rPr>
        <w:t xml:space="preserve">الأعلى أي مرضاته وما يقرب منه " </w:t>
      </w:r>
      <w:r w:rsidR="0002035C" w:rsidRPr="00A52585">
        <w:rPr>
          <w:rFonts w:hint="cs"/>
          <w:rtl/>
        </w:rPr>
        <w:t>[</w:t>
      </w:r>
      <w:r w:rsidRPr="00A52585">
        <w:rPr>
          <w:rFonts w:hint="cs"/>
          <w:rtl/>
        </w:rPr>
        <w:t>تفسير القرطبي ج: 20 ص: 89] أهـ</w:t>
      </w:r>
      <w:r w:rsidR="00DB731D" w:rsidRPr="00A52585">
        <w:rPr>
          <w:rFonts w:hint="cs"/>
          <w:bCs/>
          <w:rtl/>
        </w:rPr>
        <w:t>،</w:t>
      </w:r>
      <w:r w:rsidRPr="00A52585">
        <w:rPr>
          <w:rFonts w:hint="cs"/>
          <w:bCs/>
          <w:rtl/>
        </w:rPr>
        <w:t xml:space="preserve"> وقال الطبري</w:t>
      </w:r>
      <w:r w:rsidR="0002035C" w:rsidRPr="00A52585">
        <w:rPr>
          <w:rFonts w:hint="cs"/>
          <w:rtl/>
        </w:rPr>
        <w:t>:</w:t>
      </w:r>
      <w:r w:rsidRPr="00A52585">
        <w:rPr>
          <w:rFonts w:hint="cs"/>
          <w:rtl/>
        </w:rPr>
        <w:t xml:space="preserve"> " حدثنا بشر قال ثنا يزيد قال ثنا سعيد عن قتادة (وما لأحد عنده من نعمة تجزى إلا ابتغاء</w:t>
      </w:r>
      <w:r w:rsidR="0002035C" w:rsidRPr="00A52585">
        <w:rPr>
          <w:rFonts w:hint="cs"/>
          <w:rtl/>
        </w:rPr>
        <w:t xml:space="preserve"> </w:t>
      </w:r>
      <w:r w:rsidRPr="00A52585">
        <w:rPr>
          <w:rFonts w:hint="cs"/>
          <w:rtl/>
        </w:rPr>
        <w:t>وجه ربه</w:t>
      </w:r>
      <w:r w:rsidR="0002035C" w:rsidRPr="00A52585">
        <w:rPr>
          <w:rFonts w:hint="cs"/>
          <w:rtl/>
        </w:rPr>
        <w:t xml:space="preserve"> </w:t>
      </w:r>
      <w:r w:rsidRPr="00A52585">
        <w:rPr>
          <w:rFonts w:hint="cs"/>
          <w:rtl/>
        </w:rPr>
        <w:t xml:space="preserve">الأعلى ولسوف يرضى يقول ليس به مثابة الناس ولا مجازاتهم إنما عطيته لله " </w:t>
      </w:r>
      <w:r w:rsidR="0002035C" w:rsidRPr="00A52585">
        <w:rPr>
          <w:rFonts w:hint="cs"/>
          <w:rtl/>
        </w:rPr>
        <w:t>[</w:t>
      </w:r>
      <w:r w:rsidRPr="00A52585">
        <w:rPr>
          <w:rFonts w:hint="cs"/>
          <w:rtl/>
        </w:rPr>
        <w:t xml:space="preserve">تفسير الطبري ج: </w:t>
      </w:r>
      <w:r w:rsidRPr="00A52585">
        <w:rPr>
          <w:rFonts w:hint="cs"/>
          <w:rtl/>
        </w:rPr>
        <w:lastRenderedPageBreak/>
        <w:t>30 ص: 228] أهـ</w:t>
      </w:r>
      <w:r w:rsidR="00DB731D" w:rsidRPr="00A52585">
        <w:rPr>
          <w:rFonts w:hint="cs"/>
          <w:rtl/>
        </w:rPr>
        <w:t>،</w:t>
      </w:r>
      <w:r w:rsidRPr="00A52585">
        <w:rPr>
          <w:rFonts w:hint="cs"/>
          <w:rtl/>
        </w:rPr>
        <w:t xml:space="preserve"> </w:t>
      </w:r>
      <w:r w:rsidRPr="00A52585">
        <w:rPr>
          <w:rFonts w:hint="cs"/>
          <w:bCs/>
          <w:rtl/>
        </w:rPr>
        <w:t>وقال الواحدي</w:t>
      </w:r>
      <w:r w:rsidRPr="00A52585">
        <w:rPr>
          <w:rFonts w:hint="cs"/>
          <w:rtl/>
        </w:rPr>
        <w:t xml:space="preserve">: " </w:t>
      </w:r>
      <w:r w:rsidR="0002035C" w:rsidRPr="00A52585">
        <w:rPr>
          <w:rFonts w:hint="cs"/>
          <w:rtl/>
        </w:rPr>
        <w:t>(</w:t>
      </w:r>
      <w:r w:rsidRPr="00A52585">
        <w:rPr>
          <w:rFonts w:hint="cs"/>
          <w:rtl/>
        </w:rPr>
        <w:t>إلا ابتغاء</w:t>
      </w:r>
      <w:r w:rsidR="0002035C" w:rsidRPr="00A52585">
        <w:rPr>
          <w:rFonts w:hint="cs"/>
          <w:rtl/>
        </w:rPr>
        <w:t xml:space="preserve"> </w:t>
      </w:r>
      <w:r w:rsidRPr="00A52585">
        <w:rPr>
          <w:rFonts w:hint="cs"/>
          <w:rtl/>
        </w:rPr>
        <w:t>وجه ربه</w:t>
      </w:r>
      <w:r w:rsidR="0002035C" w:rsidRPr="00A52585">
        <w:rPr>
          <w:rFonts w:hint="cs"/>
          <w:rtl/>
        </w:rPr>
        <w:t xml:space="preserve"> </w:t>
      </w:r>
      <w:r w:rsidRPr="00A52585">
        <w:rPr>
          <w:rFonts w:hint="cs"/>
          <w:rtl/>
        </w:rPr>
        <w:t>الأعلى</w:t>
      </w:r>
      <w:r w:rsidR="0002035C" w:rsidRPr="00A52585">
        <w:rPr>
          <w:rFonts w:hint="cs"/>
          <w:rtl/>
        </w:rPr>
        <w:t>)</w:t>
      </w:r>
      <w:r w:rsidRPr="00A52585">
        <w:rPr>
          <w:rFonts w:hint="cs"/>
          <w:rtl/>
        </w:rPr>
        <w:t xml:space="preserve"> أي طلب ثواب الله " [تفسير الواحدي ج: 2 ص: 1209] أهـ</w:t>
      </w:r>
      <w:r w:rsidR="00DB731D" w:rsidRPr="00A52585">
        <w:rPr>
          <w:rFonts w:hint="cs"/>
          <w:rtl/>
        </w:rPr>
        <w:t>،</w:t>
      </w:r>
      <w:r w:rsidRPr="00A52585">
        <w:rPr>
          <w:rFonts w:hint="cs"/>
          <w:rtl/>
        </w:rPr>
        <w:t xml:space="preserve"> </w:t>
      </w:r>
      <w:r w:rsidRPr="00A52585">
        <w:rPr>
          <w:rFonts w:hint="cs"/>
          <w:bCs/>
          <w:rtl/>
        </w:rPr>
        <w:t>وقال ابن الجوزي</w:t>
      </w:r>
      <w:r w:rsidRPr="00A52585">
        <w:rPr>
          <w:rFonts w:hint="cs"/>
          <w:rtl/>
        </w:rPr>
        <w:t>: "(إلا ابتغاء وجه ربه الأعلى</w:t>
      </w:r>
      <w:r w:rsidR="0002035C" w:rsidRPr="00A52585">
        <w:rPr>
          <w:rFonts w:hint="cs"/>
          <w:rtl/>
        </w:rPr>
        <w:t>)</w:t>
      </w:r>
      <w:r w:rsidRPr="00A52585">
        <w:rPr>
          <w:rFonts w:hint="cs"/>
          <w:rtl/>
        </w:rPr>
        <w:t xml:space="preserve"> أي إلا طلبا لثواب ربه " [زاد المسير ج: 9 ص: 152] أهـ</w:t>
      </w:r>
      <w:r w:rsidR="00DB731D" w:rsidRPr="00A52585">
        <w:rPr>
          <w:rFonts w:hint="cs"/>
          <w:rtl/>
        </w:rPr>
        <w:t>،</w:t>
      </w:r>
      <w:r w:rsidRPr="00A52585">
        <w:rPr>
          <w:rFonts w:hint="cs"/>
          <w:rtl/>
        </w:rPr>
        <w:t xml:space="preserve"> </w:t>
      </w:r>
      <w:r w:rsidRPr="00A52585">
        <w:rPr>
          <w:rFonts w:hint="cs"/>
          <w:bCs/>
          <w:rtl/>
        </w:rPr>
        <w:t>وجاء في تفسير</w:t>
      </w:r>
      <w:r w:rsidRPr="00A52585">
        <w:rPr>
          <w:rFonts w:hint="cs"/>
          <w:bCs/>
        </w:rPr>
        <w:t xml:space="preserve"> </w:t>
      </w:r>
      <w:r w:rsidRPr="00A52585">
        <w:rPr>
          <w:rFonts w:hint="cs"/>
          <w:bCs/>
          <w:rtl/>
        </w:rPr>
        <w:t>الجلالين</w:t>
      </w:r>
      <w:r w:rsidRPr="00A52585">
        <w:rPr>
          <w:rFonts w:hint="cs"/>
          <w:rtl/>
        </w:rPr>
        <w:t xml:space="preserve"> (إلا ابتغاء وجه ربه الأعلى)أي طلب ثواب الله " [تفسير الجلالين ج: 1 ص: 811] أهـ</w:t>
      </w:r>
      <w:r w:rsidR="00DB731D" w:rsidRPr="00A52585">
        <w:rPr>
          <w:rFonts w:hint="cs"/>
          <w:rtl/>
        </w:rPr>
        <w:t>،</w:t>
      </w:r>
      <w:r w:rsidRPr="00A52585">
        <w:rPr>
          <w:rFonts w:hint="cs"/>
          <w:rtl/>
        </w:rPr>
        <w:t xml:space="preserve"> </w:t>
      </w:r>
      <w:r w:rsidRPr="00A52585">
        <w:rPr>
          <w:rFonts w:hint="cs"/>
          <w:bCs/>
          <w:rtl/>
        </w:rPr>
        <w:t xml:space="preserve">وقال ابن الجوزي في تفسير قوله تعالى </w:t>
      </w:r>
      <w:r w:rsidR="0002035C" w:rsidRPr="00A52585">
        <w:rPr>
          <w:rFonts w:hint="cs"/>
          <w:bCs/>
          <w:rtl/>
        </w:rPr>
        <w:t>(</w:t>
      </w:r>
      <w:r w:rsidRPr="00A52585">
        <w:rPr>
          <w:rFonts w:hint="cs"/>
          <w:bCs/>
          <w:rtl/>
        </w:rPr>
        <w:t>إلا ابتغاء وجه الله</w:t>
      </w:r>
      <w:r w:rsidR="0002035C" w:rsidRPr="00A52585">
        <w:rPr>
          <w:rFonts w:hint="cs"/>
          <w:bCs/>
          <w:rtl/>
        </w:rPr>
        <w:t>)</w:t>
      </w:r>
      <w:r w:rsidRPr="00A52585">
        <w:rPr>
          <w:rFonts w:hint="cs"/>
          <w:bCs/>
          <w:rtl/>
        </w:rPr>
        <w:t xml:space="preserve"> </w:t>
      </w:r>
      <w:r w:rsidRPr="00A52585">
        <w:rPr>
          <w:rFonts w:hint="cs"/>
          <w:rtl/>
        </w:rPr>
        <w:t>" قوله تعالى وما تنفقون إلا ابتغاء وجه الله</w:t>
      </w:r>
      <w:r w:rsidR="0002035C" w:rsidRPr="00A52585">
        <w:rPr>
          <w:rFonts w:hint="cs"/>
          <w:rtl/>
        </w:rPr>
        <w:t xml:space="preserve"> </w:t>
      </w:r>
      <w:r w:rsidRPr="00A52585">
        <w:rPr>
          <w:rFonts w:hint="cs"/>
          <w:rtl/>
        </w:rPr>
        <w:t>قال الزجاج هذا خاص للمؤمنين أعلمهم الله أنه قد علم أن مرادهم ما عنده " [زاد المسير ج: 1 ص: 327] أهـ</w:t>
      </w:r>
      <w:r w:rsidR="00DB731D" w:rsidRPr="00A52585">
        <w:rPr>
          <w:rFonts w:hint="cs"/>
          <w:rtl/>
        </w:rPr>
        <w:t>،</w:t>
      </w:r>
      <w:r w:rsidRPr="00A52585">
        <w:rPr>
          <w:rFonts w:hint="cs"/>
          <w:rtl/>
        </w:rPr>
        <w:t xml:space="preserve"> </w:t>
      </w:r>
      <w:r w:rsidRPr="00A52585">
        <w:rPr>
          <w:rFonts w:hint="cs"/>
          <w:bCs/>
          <w:rtl/>
        </w:rPr>
        <w:t>وجاء في تفسير الجلالين</w:t>
      </w:r>
      <w:r w:rsidRPr="00A52585">
        <w:rPr>
          <w:rFonts w:hint="cs"/>
          <w:rtl/>
        </w:rPr>
        <w:t xml:space="preserve"> " وما تنفقون إلا</w:t>
      </w:r>
      <w:r w:rsidR="0002035C" w:rsidRPr="00A52585">
        <w:rPr>
          <w:rFonts w:hint="cs"/>
          <w:rtl/>
        </w:rPr>
        <w:t xml:space="preserve"> </w:t>
      </w:r>
      <w:r w:rsidRPr="00A52585">
        <w:rPr>
          <w:rFonts w:hint="cs"/>
          <w:rtl/>
        </w:rPr>
        <w:t>ابتغاء وجه الله</w:t>
      </w:r>
      <w:r w:rsidR="0002035C" w:rsidRPr="00A52585">
        <w:rPr>
          <w:rFonts w:hint="cs"/>
          <w:rtl/>
        </w:rPr>
        <w:t xml:space="preserve"> </w:t>
      </w:r>
      <w:r w:rsidRPr="00A52585">
        <w:rPr>
          <w:rFonts w:hint="cs"/>
          <w:rtl/>
        </w:rPr>
        <w:t xml:space="preserve">أي ثوابه لا غيره من أعراض الدنيا " </w:t>
      </w:r>
      <w:r w:rsidR="0002035C" w:rsidRPr="00A52585">
        <w:rPr>
          <w:rFonts w:hint="cs"/>
          <w:rtl/>
        </w:rPr>
        <w:t>[</w:t>
      </w:r>
      <w:r w:rsidRPr="00A52585">
        <w:rPr>
          <w:rFonts w:hint="cs"/>
          <w:rtl/>
        </w:rPr>
        <w:t>تفسير الجلالين ج: 1 ص: 60] أهـ</w:t>
      </w:r>
      <w:r w:rsidR="00DB731D" w:rsidRPr="00A52585">
        <w:rPr>
          <w:rFonts w:hint="cs"/>
          <w:rtl/>
        </w:rPr>
        <w:t>،</w:t>
      </w:r>
      <w:r w:rsidRPr="00A52585">
        <w:rPr>
          <w:rFonts w:hint="cs"/>
          <w:rtl/>
        </w:rPr>
        <w:t xml:space="preserve"> </w:t>
      </w:r>
      <w:r w:rsidRPr="00A52585">
        <w:rPr>
          <w:rFonts w:hint="cs"/>
          <w:bCs/>
          <w:rtl/>
        </w:rPr>
        <w:t>وفيه أيضا</w:t>
      </w:r>
      <w:r w:rsidR="0002035C" w:rsidRPr="00A52585">
        <w:rPr>
          <w:rFonts w:hint="cs"/>
          <w:bCs/>
          <w:rtl/>
        </w:rPr>
        <w:t>:</w:t>
      </w:r>
      <w:r w:rsidRPr="00A52585">
        <w:rPr>
          <w:rFonts w:hint="cs"/>
          <w:bCs/>
          <w:rtl/>
        </w:rPr>
        <w:t xml:space="preserve"> </w:t>
      </w:r>
      <w:r w:rsidRPr="00A52585">
        <w:rPr>
          <w:rFonts w:hint="cs"/>
          <w:rtl/>
        </w:rPr>
        <w:t>"</w:t>
      </w:r>
      <w:r w:rsidR="0002035C" w:rsidRPr="00A52585">
        <w:rPr>
          <w:rFonts w:hint="cs"/>
          <w:rtl/>
        </w:rPr>
        <w:t xml:space="preserve"> </w:t>
      </w:r>
      <w:r w:rsidRPr="00A52585">
        <w:rPr>
          <w:rFonts w:hint="cs"/>
          <w:rtl/>
        </w:rPr>
        <w:t>(</w:t>
      </w:r>
      <w:proofErr w:type="spellStart"/>
      <w:r w:rsidRPr="00A52585">
        <w:rPr>
          <w:rFonts w:hint="cs"/>
          <w:rtl/>
        </w:rPr>
        <w:t>إبتغاء</w:t>
      </w:r>
      <w:proofErr w:type="spellEnd"/>
      <w:r w:rsidRPr="00A52585">
        <w:rPr>
          <w:rFonts w:hint="cs"/>
          <w:rtl/>
        </w:rPr>
        <w:t xml:space="preserve"> وجه ربهم</w:t>
      </w:r>
      <w:r w:rsidR="0002035C" w:rsidRPr="00A52585">
        <w:rPr>
          <w:rFonts w:hint="cs"/>
          <w:rtl/>
        </w:rPr>
        <w:t>)</w:t>
      </w:r>
      <w:r w:rsidRPr="00A52585">
        <w:rPr>
          <w:rFonts w:hint="cs"/>
          <w:rtl/>
        </w:rPr>
        <w:t xml:space="preserve"> يعني </w:t>
      </w:r>
      <w:proofErr w:type="spellStart"/>
      <w:r w:rsidRPr="00A52585">
        <w:rPr>
          <w:rFonts w:hint="cs"/>
          <w:rtl/>
        </w:rPr>
        <w:t>إبتغاء</w:t>
      </w:r>
      <w:proofErr w:type="spellEnd"/>
      <w:r w:rsidRPr="00A52585">
        <w:rPr>
          <w:rFonts w:hint="cs"/>
          <w:rtl/>
        </w:rPr>
        <w:t xml:space="preserve"> رضا ربهم " </w:t>
      </w:r>
      <w:r w:rsidR="0002035C" w:rsidRPr="00A52585">
        <w:rPr>
          <w:rFonts w:hint="cs"/>
          <w:rtl/>
        </w:rPr>
        <w:t>[</w:t>
      </w:r>
      <w:r w:rsidRPr="00A52585">
        <w:rPr>
          <w:rFonts w:hint="cs"/>
          <w:rtl/>
        </w:rPr>
        <w:t>الدر المنثور ج: 4 ص: 637] 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rtl/>
        </w:rPr>
        <w:t>:</w:t>
      </w:r>
      <w:r w:rsidRPr="00A52585">
        <w:rPr>
          <w:rFonts w:hint="cs"/>
          <w:rtl/>
        </w:rPr>
        <w:t xml:space="preserve"> " إلا ابتغاء وجه الله أي رضا الله ولطلب ما عنده " [تفسير النسفي ج: 1 ص: 132]أهـ</w:t>
      </w:r>
      <w:r w:rsidR="00DB731D" w:rsidRPr="00A52585">
        <w:rPr>
          <w:rFonts w:hint="cs"/>
          <w:rtl/>
        </w:rPr>
        <w:t>،</w:t>
      </w:r>
      <w:r w:rsidRPr="00A52585">
        <w:rPr>
          <w:rFonts w:hint="cs"/>
          <w:rtl/>
        </w:rPr>
        <w:t xml:space="preserve"> </w:t>
      </w:r>
      <w:r w:rsidRPr="00A52585">
        <w:rPr>
          <w:rFonts w:hint="cs"/>
          <w:bCs/>
          <w:rtl/>
        </w:rPr>
        <w:t>وقال القرطبي في تفسيره</w:t>
      </w:r>
      <w:r w:rsidRPr="00A52585">
        <w:rPr>
          <w:rFonts w:hint="cs"/>
          <w:rtl/>
        </w:rPr>
        <w:t xml:space="preserve"> " (وجه ربه الأعلى) أي مرضاته وما يقرب منه " [تفسير القرطبي ج: 20 ص: 89] أهـ</w:t>
      </w:r>
    </w:p>
    <w:p w14:paraId="2C1273AD" w14:textId="2C56716A" w:rsidR="00777DCB" w:rsidRPr="00A52585" w:rsidRDefault="00777DCB" w:rsidP="0002035C">
      <w:pPr>
        <w:rPr>
          <w:rtl/>
        </w:rPr>
      </w:pPr>
      <w:r w:rsidRPr="00A52585">
        <w:rPr>
          <w:rFonts w:hint="cs"/>
          <w:bCs/>
          <w:rtl/>
        </w:rPr>
        <w:t>وقد أجمل القاضي بن جماعة في كتابه إيضاح الدليل ما سبق بقوله</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rtl/>
        </w:rPr>
        <w:t xml:space="preserve">قوله تعالى </w:t>
      </w:r>
      <w:r w:rsidR="0002035C" w:rsidRPr="00A52585">
        <w:rPr>
          <w:rFonts w:hint="cs"/>
          <w:rtl/>
        </w:rPr>
        <w:t>(</w:t>
      </w:r>
      <w:r w:rsidRPr="00A52585">
        <w:rPr>
          <w:rFonts w:hint="cs"/>
          <w:rtl/>
        </w:rPr>
        <w:t xml:space="preserve">يريدون وجهه) و </w:t>
      </w:r>
      <w:r w:rsidR="0002035C" w:rsidRPr="00A52585">
        <w:rPr>
          <w:rFonts w:hint="cs"/>
          <w:rtl/>
        </w:rPr>
        <w:t>(</w:t>
      </w:r>
      <w:r w:rsidRPr="00A52585">
        <w:rPr>
          <w:rFonts w:hint="cs"/>
          <w:rtl/>
        </w:rPr>
        <w:t>ويبقى وجه ربك</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كل شيء هالك إلا وجهه</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يريدون وجه الله</w:t>
      </w:r>
      <w:r w:rsidR="0002035C" w:rsidRPr="00A52585">
        <w:rPr>
          <w:rFonts w:hint="cs"/>
          <w:rtl/>
        </w:rPr>
        <w:t>)</w:t>
      </w:r>
      <w:r w:rsidRPr="00A52585">
        <w:rPr>
          <w:rFonts w:hint="cs"/>
          <w:rtl/>
        </w:rPr>
        <w:t xml:space="preserve"> وما ورد فيه</w:t>
      </w:r>
      <w:r w:rsidR="00DB731D" w:rsidRPr="00A52585">
        <w:rPr>
          <w:rFonts w:hint="cs"/>
          <w:rtl/>
        </w:rPr>
        <w:t>،</w:t>
      </w:r>
      <w:r w:rsidR="0002035C" w:rsidRPr="00A52585">
        <w:rPr>
          <w:rFonts w:hint="cs"/>
          <w:rtl/>
        </w:rPr>
        <w:t xml:space="preserve"> </w:t>
      </w:r>
      <w:r w:rsidRPr="00A52585">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Pr="00A52585">
        <w:rPr>
          <w:rFonts w:hint="cs"/>
          <w:bCs/>
          <w:rtl/>
        </w:rPr>
        <w:t>فعلت لوجهك أي لك</w:t>
      </w:r>
      <w:r w:rsidR="00DB731D" w:rsidRPr="00A52585">
        <w:rPr>
          <w:rFonts w:hint="cs"/>
          <w:rtl/>
        </w:rPr>
        <w:t>،</w:t>
      </w:r>
      <w:r w:rsidRPr="00A52585">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A52585">
        <w:rPr>
          <w:rFonts w:hint="cs"/>
          <w:bCs/>
          <w:rtl/>
        </w:rPr>
        <w:t>فأطلق على الذات مجازا</w:t>
      </w:r>
      <w:r w:rsidR="00DB731D" w:rsidRPr="00A52585">
        <w:rPr>
          <w:rFonts w:hint="cs"/>
          <w:bCs/>
          <w:rtl/>
        </w:rPr>
        <w:t>،</w:t>
      </w:r>
      <w:r w:rsidRPr="00A52585">
        <w:rPr>
          <w:rFonts w:hint="cs"/>
          <w:bCs/>
          <w:rtl/>
        </w:rPr>
        <w:t xml:space="preserve"> </w:t>
      </w:r>
      <w:r w:rsidRPr="00A52585">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DB731D" w:rsidRPr="00A52585">
        <w:rPr>
          <w:rFonts w:hint="cs"/>
          <w:rtl/>
        </w:rPr>
        <w:t>،</w:t>
      </w:r>
      <w:r w:rsidR="0002035C" w:rsidRPr="00A52585">
        <w:rPr>
          <w:rFonts w:hint="cs"/>
          <w:rtl/>
        </w:rPr>
        <w:t xml:space="preserve"> </w:t>
      </w:r>
      <w:r w:rsidRPr="00A52585">
        <w:rPr>
          <w:rFonts w:hint="cs"/>
          <w:bCs/>
          <w:rtl/>
        </w:rPr>
        <w:t xml:space="preserve">إذا أثبت ذلك تعين صرف الوجه إلى الذات في قوله </w:t>
      </w:r>
      <w:r w:rsidR="0002035C" w:rsidRPr="00A52585">
        <w:rPr>
          <w:rFonts w:hint="cs"/>
          <w:bCs/>
          <w:rtl/>
        </w:rPr>
        <w:t>(</w:t>
      </w:r>
      <w:r w:rsidRPr="00A52585">
        <w:rPr>
          <w:rFonts w:hint="cs"/>
          <w:bCs/>
          <w:rtl/>
        </w:rPr>
        <w:t>ويبقى وجه ربك</w:t>
      </w:r>
      <w:r w:rsidR="0002035C" w:rsidRPr="00A52585">
        <w:rPr>
          <w:rFonts w:hint="cs"/>
          <w:bCs/>
          <w:rtl/>
        </w:rPr>
        <w:t>)</w:t>
      </w:r>
      <w:r w:rsidRPr="00A52585">
        <w:rPr>
          <w:rFonts w:hint="cs"/>
          <w:bCs/>
          <w:rtl/>
        </w:rPr>
        <w:t xml:space="preserve"> و (كل شيء هالك إلا وجهه</w:t>
      </w:r>
      <w:r w:rsidR="0002035C" w:rsidRPr="00A52585">
        <w:rPr>
          <w:rFonts w:hint="cs"/>
          <w:bCs/>
          <w:rtl/>
        </w:rPr>
        <w:t>)</w:t>
      </w:r>
      <w:r w:rsidRPr="00A52585">
        <w:rPr>
          <w:rFonts w:hint="cs"/>
          <w:bCs/>
          <w:rtl/>
        </w:rPr>
        <w:t xml:space="preserve"> ولا يجوز إرادة ظاهره حقيقة لوجوه</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الأول</w:t>
      </w:r>
      <w:r w:rsidR="0002035C" w:rsidRPr="00A52585">
        <w:rPr>
          <w:rFonts w:hint="cs"/>
          <w:bCs/>
          <w:rtl/>
        </w:rPr>
        <w:t>):</w:t>
      </w:r>
      <w:r w:rsidRPr="00A52585">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02035C" w:rsidRPr="00A52585">
        <w:rPr>
          <w:rFonts w:hint="cs"/>
          <w:rtl/>
        </w:rPr>
        <w:t>(</w:t>
      </w:r>
      <w:r w:rsidRPr="00A52585">
        <w:rPr>
          <w:rFonts w:hint="cs"/>
          <w:bCs/>
          <w:rtl/>
        </w:rPr>
        <w:t>الوجه الثاني</w:t>
      </w:r>
      <w:r w:rsidR="0002035C" w:rsidRPr="00A52585">
        <w:rPr>
          <w:rFonts w:hint="cs"/>
          <w:rtl/>
        </w:rPr>
        <w:t>):</w:t>
      </w:r>
      <w:r w:rsidRPr="00A52585">
        <w:rPr>
          <w:rFonts w:hint="cs"/>
          <w:rtl/>
        </w:rPr>
        <w:t xml:space="preserve"> قوله </w:t>
      </w:r>
      <w:r w:rsidR="0002035C" w:rsidRPr="00A52585">
        <w:rPr>
          <w:rFonts w:hint="cs"/>
          <w:rtl/>
        </w:rPr>
        <w:t>(</w:t>
      </w:r>
      <w:r w:rsidRPr="00A52585">
        <w:rPr>
          <w:rFonts w:hint="cs"/>
          <w:rtl/>
        </w:rPr>
        <w:t>فأينما تولوا فثم وجه الله</w:t>
      </w:r>
      <w:r w:rsidR="0002035C" w:rsidRPr="00A52585">
        <w:rPr>
          <w:rFonts w:hint="cs"/>
          <w:rtl/>
        </w:rPr>
        <w:t>)</w:t>
      </w:r>
      <w:r w:rsidRPr="00A52585">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الوجه الثالث</w:t>
      </w:r>
      <w:r w:rsidR="0002035C" w:rsidRPr="00A52585">
        <w:rPr>
          <w:rFonts w:hint="cs"/>
          <w:rtl/>
        </w:rPr>
        <w:t>):</w:t>
      </w:r>
      <w:r w:rsidRPr="00A52585">
        <w:rPr>
          <w:rFonts w:hint="cs"/>
          <w:rtl/>
        </w:rPr>
        <w:t xml:space="preserve"> أنه وصف الوجه بذي الجلال والإكرام والموصوف بذلك هو الله تعالى بدليل </w:t>
      </w:r>
      <w:r w:rsidRPr="00A52585">
        <w:rPr>
          <w:rFonts w:hint="cs"/>
          <w:rtl/>
        </w:rPr>
        <w:lastRenderedPageBreak/>
        <w:t xml:space="preserve">قوله </w:t>
      </w:r>
      <w:r w:rsidR="0002035C" w:rsidRPr="00A52585">
        <w:rPr>
          <w:rFonts w:hint="cs"/>
          <w:rtl/>
        </w:rPr>
        <w:t>(</w:t>
      </w:r>
      <w:r w:rsidRPr="00A52585">
        <w:rPr>
          <w:rFonts w:hint="cs"/>
          <w:rtl/>
        </w:rPr>
        <w:t>تبارك اسم ربك ذي الجلال والإكرام</w:t>
      </w:r>
      <w:r w:rsidR="0002035C" w:rsidRPr="00A52585">
        <w:rPr>
          <w:rFonts w:hint="cs"/>
          <w:rtl/>
        </w:rPr>
        <w:t xml:space="preserve">) </w:t>
      </w:r>
      <w:r w:rsidRPr="00A52585">
        <w:rPr>
          <w:rFonts w:hint="cs"/>
          <w:rtl/>
        </w:rPr>
        <w:t>فإنه صفة للرب</w:t>
      </w:r>
      <w:r w:rsidRPr="00A52585">
        <w:rPr>
          <w:rFonts w:hint="cs"/>
        </w:rPr>
        <w:t xml:space="preserve"> </w:t>
      </w:r>
      <w:r w:rsidRPr="00A52585">
        <w:rPr>
          <w:rFonts w:hint="cs"/>
          <w:rtl/>
        </w:rPr>
        <w:t>وبدليل ما</w:t>
      </w:r>
      <w:r w:rsidRPr="00A52585">
        <w:rPr>
          <w:rFonts w:hint="cs"/>
        </w:rPr>
        <w:t xml:space="preserve"> </w:t>
      </w:r>
      <w:r w:rsidRPr="00A52585">
        <w:rPr>
          <w:rFonts w:hint="cs"/>
          <w:rtl/>
        </w:rPr>
        <w:t>ورد في الدعاء يا ذا الجلال والإكرام فدل في تلك الآية على أنه وصف للذات لا للوجه</w:t>
      </w:r>
      <w:r w:rsidRPr="00A52585">
        <w:rPr>
          <w:rFonts w:hint="cs"/>
        </w:rPr>
        <w:t xml:space="preserve"> </w:t>
      </w:r>
      <w:r w:rsidRPr="00A52585">
        <w:rPr>
          <w:rFonts w:hint="cs"/>
          <w:rtl/>
        </w:rPr>
        <w:t>خاصة لأن القرآن يفسر بعضه بعضا</w:t>
      </w:r>
      <w:r w:rsidR="00DB731D" w:rsidRPr="00A52585">
        <w:rPr>
          <w:rFonts w:hint="cs"/>
          <w:rtl/>
        </w:rPr>
        <w:t>،</w:t>
      </w:r>
      <w:r w:rsidRPr="00A52585">
        <w:rPr>
          <w:rFonts w:hint="cs"/>
          <w:rtl/>
        </w:rPr>
        <w:t xml:space="preserve"> وقوله</w:t>
      </w:r>
      <w:r w:rsidRPr="00A52585">
        <w:rPr>
          <w:rFonts w:hint="cs"/>
        </w:rPr>
        <w:t xml:space="preserve"> </w:t>
      </w:r>
      <w:r w:rsidRPr="00A52585">
        <w:rPr>
          <w:rFonts w:hint="cs"/>
          <w:rtl/>
        </w:rPr>
        <w:t>تعالى</w:t>
      </w:r>
      <w:r w:rsidRPr="00A52585">
        <w:rPr>
          <w:rFonts w:hint="cs"/>
        </w:rPr>
        <w:t xml:space="preserve"> </w:t>
      </w:r>
      <w:r w:rsidR="0002035C" w:rsidRPr="00A52585">
        <w:rPr>
          <w:rFonts w:hint="cs"/>
          <w:rtl/>
        </w:rPr>
        <w:t>(</w:t>
      </w:r>
      <w:r w:rsidRPr="00A52585">
        <w:rPr>
          <w:rFonts w:hint="cs"/>
          <w:rtl/>
        </w:rPr>
        <w:t>يريدون وجهه</w:t>
      </w:r>
      <w:r w:rsidR="0002035C" w:rsidRPr="00A52585">
        <w:rPr>
          <w:rtl/>
        </w:rPr>
        <w:t xml:space="preserve"> </w:t>
      </w:r>
      <w:r w:rsidR="0002035C" w:rsidRPr="00A52585">
        <w:t>)</w:t>
      </w:r>
      <w:r w:rsidR="0002035C" w:rsidRPr="00A52585">
        <w:rPr>
          <w:rFonts w:hint="cs"/>
          <w:rtl/>
        </w:rPr>
        <w:t xml:space="preserve"> </w:t>
      </w:r>
      <w:r w:rsidRPr="00A52585">
        <w:rPr>
          <w:rFonts w:hint="cs"/>
          <w:rtl/>
        </w:rPr>
        <w:t xml:space="preserve">و </w:t>
      </w:r>
      <w:r w:rsidR="0002035C" w:rsidRPr="00A52585">
        <w:rPr>
          <w:rFonts w:hint="cs"/>
          <w:rtl/>
        </w:rPr>
        <w:t>(</w:t>
      </w:r>
      <w:r w:rsidRPr="00A52585">
        <w:rPr>
          <w:rFonts w:hint="cs"/>
          <w:rtl/>
        </w:rPr>
        <w:t>إنما</w:t>
      </w:r>
      <w:r w:rsidRPr="00A52585">
        <w:rPr>
          <w:rFonts w:hint="cs"/>
        </w:rPr>
        <w:t xml:space="preserve"> </w:t>
      </w:r>
      <w:r w:rsidRPr="00A52585">
        <w:rPr>
          <w:rFonts w:hint="cs"/>
          <w:rtl/>
        </w:rPr>
        <w:t>نطعمكم لوجه الله</w:t>
      </w:r>
      <w:r w:rsidR="0002035C" w:rsidRPr="00A52585">
        <w:rPr>
          <w:rtl/>
        </w:rPr>
        <w:t>)</w:t>
      </w:r>
      <w:r w:rsidR="0002035C" w:rsidRPr="00A52585">
        <w:rPr>
          <w:rFonts w:hint="cs"/>
          <w:rtl/>
        </w:rPr>
        <w:t xml:space="preserve"> </w:t>
      </w:r>
      <w:r w:rsidRPr="00A52585">
        <w:rPr>
          <w:rFonts w:hint="cs"/>
          <w:rtl/>
        </w:rPr>
        <w:t>فالمراد</w:t>
      </w:r>
      <w:r w:rsidRPr="00A52585">
        <w:rPr>
          <w:rFonts w:hint="cs"/>
        </w:rPr>
        <w:t xml:space="preserve"> </w:t>
      </w:r>
      <w:r w:rsidRPr="00A52585">
        <w:rPr>
          <w:rFonts w:hint="cs"/>
          <w:rtl/>
        </w:rPr>
        <w:t>بذلك والله أعلم تحصيل رضاه تعالى كما تقدم لأن الإرادة في قوله تعالى(يريدون</w:t>
      </w:r>
      <w:r w:rsidRPr="00A52585">
        <w:rPr>
          <w:rFonts w:hint="cs"/>
        </w:rPr>
        <w:t xml:space="preserve"> </w:t>
      </w:r>
      <w:r w:rsidRPr="00A52585">
        <w:rPr>
          <w:rFonts w:hint="cs"/>
          <w:rtl/>
        </w:rPr>
        <w:t>وجهه) لا</w:t>
      </w:r>
      <w:r w:rsidRPr="00A52585">
        <w:rPr>
          <w:rFonts w:hint="cs"/>
        </w:rPr>
        <w:t xml:space="preserve"> </w:t>
      </w:r>
      <w:r w:rsidRPr="00A52585">
        <w:rPr>
          <w:rFonts w:hint="cs"/>
          <w:rtl/>
        </w:rPr>
        <w:t>تتعلق بحصول نفس الذات بمجردها ولا نفس ظاهر</w:t>
      </w:r>
      <w:r w:rsidRPr="00A52585">
        <w:rPr>
          <w:rFonts w:hint="cs"/>
        </w:rPr>
        <w:t xml:space="preserve"> </w:t>
      </w:r>
      <w:r w:rsidRPr="00A52585">
        <w:rPr>
          <w:rFonts w:hint="cs"/>
          <w:rtl/>
        </w:rPr>
        <w:t>الوجه بمجرده وإنما تتعلق بحصول مراد يحصل لهم دخوله في الوجود وذلك في الذات أو</w:t>
      </w:r>
      <w:r w:rsidRPr="00A52585">
        <w:rPr>
          <w:rFonts w:hint="cs"/>
        </w:rPr>
        <w:t xml:space="preserve"> </w:t>
      </w:r>
      <w:r w:rsidRPr="00A52585">
        <w:rPr>
          <w:rFonts w:hint="cs"/>
          <w:rtl/>
        </w:rPr>
        <w:t>الوجه القديم الأزلي محال فدل على أن المراد حصول شيء منه وهو رضاه عنهم وعبر فيه</w:t>
      </w:r>
      <w:r w:rsidRPr="00A52585">
        <w:rPr>
          <w:rFonts w:hint="cs"/>
        </w:rPr>
        <w:t xml:space="preserve"> </w:t>
      </w:r>
      <w:r w:rsidRPr="00A52585">
        <w:rPr>
          <w:rFonts w:hint="cs"/>
          <w:rtl/>
        </w:rPr>
        <w:t>بالوجه كما تقدم أن الراضي يقبل بوجه على من رضيه</w:t>
      </w:r>
      <w:r w:rsidR="00DB731D" w:rsidRPr="00A52585">
        <w:rPr>
          <w:rFonts w:hint="cs"/>
          <w:rtl/>
          <w:lang w:bidi="ar-KW"/>
        </w:rPr>
        <w:t>،</w:t>
      </w:r>
      <w:r w:rsidRPr="00A52585">
        <w:rPr>
          <w:rFonts w:hint="cs"/>
          <w:rtl/>
          <w:lang w:bidi="ar-KW"/>
        </w:rPr>
        <w:t xml:space="preserve"> </w:t>
      </w:r>
      <w:r w:rsidRPr="00A52585">
        <w:rPr>
          <w:rFonts w:hint="cs"/>
          <w:rtl/>
        </w:rPr>
        <w:t>وقيل</w:t>
      </w:r>
      <w:r w:rsidRPr="00A52585">
        <w:rPr>
          <w:rFonts w:hint="cs"/>
        </w:rPr>
        <w:t xml:space="preserve"> </w:t>
      </w:r>
      <w:r w:rsidRPr="00A52585">
        <w:rPr>
          <w:rFonts w:hint="cs"/>
          <w:rtl/>
        </w:rPr>
        <w:t>المراد بالوجه القصد ومنه قول الشاعر رب العباد إليه الوجه والعمل</w:t>
      </w:r>
      <w:r w:rsidR="00DB731D" w:rsidRPr="00A52585">
        <w:rPr>
          <w:rtl/>
        </w:rPr>
        <w:t>،</w:t>
      </w:r>
      <w:r w:rsidRPr="00A52585">
        <w:rPr>
          <w:rFonts w:hint="cs"/>
          <w:rtl/>
          <w:lang w:bidi="ar-KW"/>
        </w:rPr>
        <w:t xml:space="preserve"> </w:t>
      </w:r>
      <w:r w:rsidRPr="00A52585">
        <w:rPr>
          <w:rFonts w:hint="cs"/>
          <w:rtl/>
        </w:rPr>
        <w:t>وقيل</w:t>
      </w:r>
      <w:r w:rsidRPr="00A52585">
        <w:rPr>
          <w:rFonts w:hint="cs"/>
        </w:rPr>
        <w:t xml:space="preserve"> </w:t>
      </w:r>
      <w:r w:rsidRPr="00A52585">
        <w:rPr>
          <w:rFonts w:hint="cs"/>
          <w:rtl/>
        </w:rPr>
        <w:t>في قوله تعالى</w:t>
      </w:r>
      <w:r w:rsidR="0002035C" w:rsidRPr="00A52585">
        <w:rPr>
          <w:rFonts w:hint="cs"/>
          <w:rtl/>
        </w:rPr>
        <w:t>(</w:t>
      </w:r>
      <w:r w:rsidRPr="00A52585">
        <w:rPr>
          <w:rFonts w:hint="cs"/>
          <w:rtl/>
        </w:rPr>
        <w:t>إنما</w:t>
      </w:r>
      <w:r w:rsidRPr="00A52585">
        <w:rPr>
          <w:rFonts w:hint="cs"/>
        </w:rPr>
        <w:t xml:space="preserve"> </w:t>
      </w:r>
      <w:r w:rsidRPr="00A52585">
        <w:rPr>
          <w:rFonts w:hint="cs"/>
          <w:rtl/>
        </w:rPr>
        <w:t>نطعمكم لوجه الله</w:t>
      </w:r>
      <w:r w:rsidR="0002035C" w:rsidRPr="00A52585">
        <w:rPr>
          <w:rtl/>
        </w:rPr>
        <w:t>)</w:t>
      </w:r>
      <w:r w:rsidRPr="00A52585">
        <w:rPr>
          <w:rFonts w:hint="cs"/>
          <w:rtl/>
        </w:rPr>
        <w:t xml:space="preserve"> أي</w:t>
      </w:r>
      <w:r w:rsidRPr="00A52585">
        <w:rPr>
          <w:rFonts w:hint="cs"/>
        </w:rPr>
        <w:t xml:space="preserve"> </w:t>
      </w:r>
      <w:r w:rsidRPr="00A52585">
        <w:rPr>
          <w:rFonts w:hint="cs"/>
          <w:rtl/>
        </w:rPr>
        <w:t>لرضاه كما تقدم أن المراد حصول رضاه</w:t>
      </w:r>
      <w:r w:rsidR="0002035C" w:rsidRPr="00A52585">
        <w:rPr>
          <w:rFonts w:hint="cs"/>
          <w:rtl/>
        </w:rPr>
        <w:t>)</w:t>
      </w:r>
      <w:r w:rsidRPr="00A52585">
        <w:rPr>
          <w:rFonts w:hint="cs"/>
          <w:rtl/>
          <w:lang w:bidi="ar-KW"/>
        </w:rPr>
        <w:t xml:space="preserve"> [</w:t>
      </w:r>
      <w:r w:rsidRPr="00A52585">
        <w:rPr>
          <w:rFonts w:hint="cs"/>
          <w:rtl/>
        </w:rPr>
        <w:t>إيضاح الدليل في قطع حجج أهل التعطيل ج: 1 ص: 120-122</w:t>
      </w:r>
      <w:r w:rsidRPr="00A52585">
        <w:rPr>
          <w:rFonts w:hint="cs"/>
          <w:rtl/>
          <w:lang w:bidi="ar-KW"/>
        </w:rPr>
        <w:t xml:space="preserve">] </w:t>
      </w:r>
      <w:r w:rsidRPr="00A52585">
        <w:rPr>
          <w:rFonts w:hint="cs"/>
          <w:rtl/>
        </w:rPr>
        <w:t>أهـ</w:t>
      </w:r>
    </w:p>
    <w:p w14:paraId="5AEC8A17" w14:textId="6016D65F" w:rsidR="00777DCB" w:rsidRPr="00A52585" w:rsidRDefault="0002035C" w:rsidP="0002035C">
      <w:pPr>
        <w:rPr>
          <w:rtl/>
          <w:lang w:bidi="ar-KW"/>
        </w:rPr>
      </w:pPr>
      <w:r w:rsidRPr="00A52585">
        <w:rPr>
          <w:rFonts w:hint="cs"/>
          <w:bCs/>
          <w:rtl/>
        </w:rPr>
        <w:t>(</w:t>
      </w:r>
      <w:r w:rsidR="00777DCB" w:rsidRPr="00A52585">
        <w:rPr>
          <w:rFonts w:hint="cs"/>
          <w:bCs/>
          <w:rtl/>
        </w:rPr>
        <w:t>ت</w:t>
      </w:r>
      <w:r w:rsidRPr="00A52585">
        <w:rPr>
          <w:rFonts w:hint="cs"/>
          <w:bCs/>
          <w:rtl/>
        </w:rPr>
        <w:t>)</w:t>
      </w:r>
      <w:r w:rsidR="00777DCB" w:rsidRPr="00A52585">
        <w:rPr>
          <w:rFonts w:hint="cs"/>
          <w:bCs/>
          <w:rtl/>
        </w:rPr>
        <w:t xml:space="preserve"> قوله تعالى</w:t>
      </w:r>
      <w:r w:rsidR="00777DCB" w:rsidRPr="00A52585">
        <w:rPr>
          <w:rFonts w:hint="cs"/>
          <w:rtl/>
        </w:rPr>
        <w:t xml:space="preserve"> </w:t>
      </w:r>
      <w:r w:rsidRPr="00A52585">
        <w:rPr>
          <w:rFonts w:hint="cs"/>
          <w:rtl/>
        </w:rPr>
        <w:t>{</w:t>
      </w:r>
      <w:r w:rsidR="00777DCB" w:rsidRPr="00A52585">
        <w:rPr>
          <w:rFonts w:hint="cs"/>
          <w:rtl/>
        </w:rPr>
        <w:t>وَلَا تَدْعُ</w:t>
      </w:r>
      <w:r w:rsidR="00777DCB" w:rsidRPr="00A52585">
        <w:rPr>
          <w:rFonts w:hint="cs"/>
        </w:rPr>
        <w:t xml:space="preserve"> </w:t>
      </w:r>
      <w:r w:rsidR="00777DCB" w:rsidRPr="00A52585">
        <w:rPr>
          <w:rFonts w:hint="cs"/>
          <w:rtl/>
        </w:rPr>
        <w:t>مَعَ اللَّهِ إِلَهًا آخَرَ لَا إِلَهَ إِلَّا هُوَ كُلُّ شَيْءٍ هَالِكٌ إِلَّا</w:t>
      </w:r>
      <w:r w:rsidR="00777DCB" w:rsidRPr="00A52585">
        <w:rPr>
          <w:rFonts w:hint="cs"/>
        </w:rPr>
        <w:t xml:space="preserve"> </w:t>
      </w:r>
      <w:r w:rsidR="00777DCB" w:rsidRPr="00A52585">
        <w:rPr>
          <w:rFonts w:hint="cs"/>
          <w:rtl/>
        </w:rPr>
        <w:t>وَجْهَهُ لَهُ الْحُكْمُ وَإِلَيْهِ تُرْجَعُونَ</w:t>
      </w:r>
      <w:r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الآية تدعو إلى التوحيد وإخلاص الدعاء لله وتنهى عن الشرك ودعاء غير الله</w:t>
      </w:r>
      <w:r w:rsidR="00DB731D" w:rsidRPr="00A52585">
        <w:rPr>
          <w:rFonts w:hint="cs"/>
          <w:rtl/>
        </w:rPr>
        <w:t>،</w:t>
      </w:r>
      <w:r w:rsidR="00777DCB" w:rsidRPr="00A52585">
        <w:rPr>
          <w:rFonts w:hint="cs"/>
          <w:rtl/>
        </w:rPr>
        <w:t xml:space="preserve"> ومناسبة الآية أن تختم بأنه لا يبقى إلا العمل الصالح الخالص الذي أُريد به رضا الله وحده لا شريك له</w:t>
      </w:r>
      <w:r w:rsidR="00DB731D" w:rsidRPr="00A52585">
        <w:rPr>
          <w:rFonts w:hint="cs"/>
          <w:rtl/>
        </w:rPr>
        <w:t>،</w:t>
      </w:r>
      <w:r w:rsidR="00777DCB" w:rsidRPr="00A52585">
        <w:rPr>
          <w:rFonts w:hint="cs"/>
          <w:rtl/>
        </w:rPr>
        <w:t xml:space="preserve"> وعلى ذلك فالمفهوم من سياق الآية أن المقصود بالوجه هو ما قصد به الله تعالى من التوحيد والعمل الصالح</w:t>
      </w:r>
      <w:r w:rsidR="00DB731D" w:rsidRPr="00A52585">
        <w:rPr>
          <w:rFonts w:hint="cs"/>
          <w:rtl/>
        </w:rPr>
        <w:t>،</w:t>
      </w:r>
      <w:r w:rsidR="00777DCB" w:rsidRPr="00A52585">
        <w:rPr>
          <w:rFonts w:hint="cs"/>
          <w:rtl/>
        </w:rPr>
        <w:t xml:space="preserve"> وعلى هذا التفسير تواترت أقوال العلماء والمفسرين وأهل اللسان العربي الفصيح</w:t>
      </w:r>
      <w:r w:rsidR="00DB731D" w:rsidRPr="00A52585">
        <w:rPr>
          <w:rFonts w:hint="cs"/>
          <w:rtl/>
        </w:rPr>
        <w:t>،</w:t>
      </w:r>
      <w:r w:rsidR="00777DCB" w:rsidRPr="00A52585">
        <w:rPr>
          <w:rFonts w:hint="cs"/>
          <w:rtl/>
          <w:lang w:bidi="ar-KW"/>
        </w:rPr>
        <w:t xml:space="preserve"> </w:t>
      </w:r>
    </w:p>
    <w:p w14:paraId="3F7A70D1" w14:textId="57BF363B" w:rsidR="00777DCB" w:rsidRPr="00A52585" w:rsidRDefault="00777DCB" w:rsidP="0002035C">
      <w:pPr>
        <w:rPr>
          <w:rtl/>
        </w:rPr>
      </w:pPr>
      <w:r w:rsidRPr="00A52585">
        <w:rPr>
          <w:rFonts w:hint="cs"/>
          <w:bCs/>
          <w:rtl/>
        </w:rPr>
        <w:t>جاء في لسان العرب</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وقوله عز وجل</w:t>
      </w:r>
      <w:r w:rsidR="0002035C" w:rsidRPr="00A52585">
        <w:rPr>
          <w:rFonts w:hint="cs"/>
          <w:rtl/>
        </w:rPr>
        <w:t xml:space="preserve"> </w:t>
      </w:r>
      <w:r w:rsidRPr="00A52585">
        <w:rPr>
          <w:rFonts w:hint="cs"/>
          <w:rtl/>
        </w:rPr>
        <w:t>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قال الزجاج</w:t>
      </w:r>
      <w:r w:rsidR="0002035C" w:rsidRPr="00A52585">
        <w:rPr>
          <w:rFonts w:hint="cs"/>
          <w:rtl/>
        </w:rPr>
        <w:t xml:space="preserve"> </w:t>
      </w:r>
      <w:r w:rsidRPr="00A52585">
        <w:rPr>
          <w:rFonts w:hint="cs"/>
          <w:rtl/>
        </w:rPr>
        <w:t>أراد إلا إياه</w:t>
      </w:r>
      <w:r w:rsidR="0002035C" w:rsidRPr="00A52585">
        <w:rPr>
          <w:rFonts w:hint="cs"/>
          <w:rtl/>
        </w:rPr>
        <w:t xml:space="preserve"> </w:t>
      </w:r>
      <w:r w:rsidRPr="00A52585">
        <w:rPr>
          <w:rFonts w:hint="cs"/>
          <w:rtl/>
        </w:rPr>
        <w:t>" [لسان العرب ج: 13 ص: 555] أهـ</w:t>
      </w:r>
      <w:r w:rsidR="00DB731D" w:rsidRPr="00A52585">
        <w:rPr>
          <w:rFonts w:hint="cs"/>
          <w:rtl/>
        </w:rPr>
        <w:t>،</w:t>
      </w:r>
      <w:r w:rsidRPr="00A52585">
        <w:rPr>
          <w:rFonts w:hint="cs"/>
          <w:rtl/>
        </w:rPr>
        <w:t xml:space="preserve"> </w:t>
      </w:r>
      <w:r w:rsidRPr="00A52585">
        <w:rPr>
          <w:rFonts w:hint="cs"/>
          <w:bCs/>
          <w:rtl/>
        </w:rPr>
        <w:t>وجاء في الدر المنثور</w:t>
      </w:r>
      <w:r w:rsidR="0002035C" w:rsidRPr="00A52585">
        <w:rPr>
          <w:rFonts w:hint="cs"/>
          <w:rtl/>
        </w:rPr>
        <w:t>:</w:t>
      </w:r>
      <w:r w:rsidRPr="00A52585">
        <w:rPr>
          <w:rFonts w:hint="cs"/>
          <w:rtl/>
        </w:rPr>
        <w:t xml:space="preserve"> " وأخرج عبد بن حميد عن </w:t>
      </w:r>
      <w:r w:rsidRPr="00A52585">
        <w:rPr>
          <w:rFonts w:hint="cs"/>
          <w:bCs/>
          <w:rtl/>
        </w:rPr>
        <w:t>ابن عباس</w:t>
      </w:r>
      <w:r w:rsidRPr="00A52585">
        <w:rPr>
          <w:rFonts w:hint="cs"/>
          <w:rtl/>
        </w:rPr>
        <w:t xml:space="preserve"> رضي الله عنهما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إلا ما يريد به وجهه</w:t>
      </w:r>
      <w:r w:rsidR="0002035C" w:rsidRPr="00A52585">
        <w:rPr>
          <w:rFonts w:hint="cs"/>
          <w:rtl/>
        </w:rPr>
        <w:t xml:space="preserve"> </w:t>
      </w:r>
      <w:r w:rsidRPr="00A52585">
        <w:rPr>
          <w:rFonts w:hint="cs"/>
          <w:rtl/>
        </w:rPr>
        <w:t xml:space="preserve">وأخرج ابن أبي حاتم عن </w:t>
      </w:r>
      <w:r w:rsidRPr="00A52585">
        <w:rPr>
          <w:rFonts w:hint="cs"/>
          <w:bCs/>
          <w:rtl/>
        </w:rPr>
        <w:t xml:space="preserve">مجاهد </w:t>
      </w:r>
      <w:r w:rsidRPr="00A52585">
        <w:rPr>
          <w:rFonts w:hint="cs"/>
          <w:rtl/>
        </w:rPr>
        <w:t>رضي الله عنه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إلا ما أريد به وجهه</w:t>
      </w:r>
      <w:r w:rsidR="0002035C" w:rsidRPr="00A52585">
        <w:rPr>
          <w:rFonts w:hint="cs"/>
          <w:rtl/>
        </w:rPr>
        <w:t xml:space="preserve"> </w:t>
      </w:r>
      <w:r w:rsidRPr="00A52585">
        <w:rPr>
          <w:rFonts w:hint="cs"/>
          <w:rtl/>
        </w:rPr>
        <w:t xml:space="preserve">وأخرج البيهقي في شعب الايمان عن </w:t>
      </w:r>
      <w:r w:rsidRPr="00A52585">
        <w:rPr>
          <w:rFonts w:hint="cs"/>
          <w:bCs/>
          <w:rtl/>
        </w:rPr>
        <w:t>سفيان</w:t>
      </w:r>
      <w:r w:rsidRPr="00A52585">
        <w:rPr>
          <w:rFonts w:hint="cs"/>
          <w:rtl/>
        </w:rPr>
        <w:t xml:space="preserve"> قال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إلا ما أريد به وجهه من الاعمال الصالحة "</w:t>
      </w:r>
      <w:r w:rsidR="0002035C" w:rsidRPr="00A52585">
        <w:rPr>
          <w:rFonts w:hint="cs"/>
          <w:rtl/>
        </w:rPr>
        <w:t>[</w:t>
      </w:r>
      <w:r w:rsidRPr="00A52585">
        <w:rPr>
          <w:rFonts w:hint="cs"/>
          <w:rtl/>
        </w:rPr>
        <w:t>الدر المنثور ج: 6 ص: 447] أهـ</w:t>
      </w:r>
      <w:r w:rsidR="00DB731D" w:rsidRPr="00A52585">
        <w:rPr>
          <w:rFonts w:hint="cs"/>
          <w:rtl/>
        </w:rPr>
        <w:t>،</w:t>
      </w:r>
      <w:r w:rsidRPr="00A52585">
        <w:rPr>
          <w:rFonts w:hint="cs"/>
          <w:rtl/>
        </w:rPr>
        <w:t xml:space="preserve"> </w:t>
      </w:r>
      <w:r w:rsidRPr="00A52585">
        <w:rPr>
          <w:rFonts w:hint="cs"/>
          <w:bCs/>
          <w:rtl/>
        </w:rPr>
        <w:t>وقال الطبري</w:t>
      </w:r>
      <w:r w:rsidR="0002035C" w:rsidRPr="00A52585">
        <w:rPr>
          <w:rFonts w:hint="cs"/>
          <w:rtl/>
        </w:rPr>
        <w:t>:</w:t>
      </w:r>
      <w:r w:rsidRPr="00A52585">
        <w:rPr>
          <w:rFonts w:hint="cs"/>
          <w:rtl/>
        </w:rPr>
        <w:t xml:space="preserve"> " واختلف في معنى قوله إلا وجهه فقال بعضهم معناه كل شيء هالك إلا هو</w:t>
      </w:r>
      <w:r w:rsidR="0002035C" w:rsidRPr="00A52585">
        <w:rPr>
          <w:rFonts w:hint="cs"/>
          <w:rtl/>
        </w:rPr>
        <w:t xml:space="preserve"> </w:t>
      </w:r>
      <w:r w:rsidRPr="00A52585">
        <w:rPr>
          <w:rFonts w:hint="cs"/>
          <w:rtl/>
        </w:rPr>
        <w:t xml:space="preserve">وقال آخرون معنى ذلك إلا ما أريد به وجهه " </w:t>
      </w:r>
      <w:r w:rsidR="0002035C" w:rsidRPr="00A52585">
        <w:rPr>
          <w:rFonts w:hint="cs"/>
          <w:rtl/>
        </w:rPr>
        <w:t>[</w:t>
      </w:r>
      <w:r w:rsidRPr="00A52585">
        <w:rPr>
          <w:rFonts w:hint="cs"/>
          <w:rtl/>
        </w:rPr>
        <w:t>تفسير الطبري ج: 20 ص: 127]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لأنه كان ولا شيء موجود سواه وهو كائن بعد فناء الأشياء كلها كما قال جل ثناؤه كل شيء</w:t>
      </w:r>
      <w:r w:rsidR="0002035C" w:rsidRPr="00A52585">
        <w:rPr>
          <w:rFonts w:hint="cs"/>
          <w:rtl/>
        </w:rPr>
        <w:t xml:space="preserve"> </w:t>
      </w:r>
      <w:r w:rsidRPr="00A52585">
        <w:rPr>
          <w:rFonts w:hint="cs"/>
          <w:rtl/>
        </w:rPr>
        <w:t xml:space="preserve">هالك إلا وجهه " </w:t>
      </w:r>
      <w:r w:rsidR="0002035C" w:rsidRPr="00A52585">
        <w:rPr>
          <w:rFonts w:hint="cs"/>
          <w:rtl/>
        </w:rPr>
        <w:t>[</w:t>
      </w:r>
      <w:r w:rsidRPr="00A52585">
        <w:rPr>
          <w:rFonts w:hint="cs"/>
          <w:rtl/>
        </w:rPr>
        <w:t>تفسير الطبري ج: 27 ص: 215] أهـ</w:t>
      </w:r>
      <w:r w:rsidR="00DB731D" w:rsidRPr="00A52585">
        <w:rPr>
          <w:rFonts w:hint="cs"/>
          <w:rtl/>
        </w:rPr>
        <w:t>،</w:t>
      </w:r>
      <w:r w:rsidRPr="00A52585">
        <w:rPr>
          <w:rFonts w:hint="cs"/>
          <w:rtl/>
        </w:rPr>
        <w:t xml:space="preserve"> </w:t>
      </w:r>
      <w:r w:rsidRPr="00A52585">
        <w:rPr>
          <w:rFonts w:hint="cs"/>
          <w:bCs/>
          <w:rtl/>
        </w:rPr>
        <w:t>وقال الواحدي</w:t>
      </w:r>
      <w:r w:rsidR="0002035C" w:rsidRPr="00A52585">
        <w:rPr>
          <w:rFonts w:hint="cs"/>
          <w:rtl/>
        </w:rPr>
        <w:t>:</w:t>
      </w:r>
      <w:r w:rsidRPr="00A52585">
        <w:rPr>
          <w:rFonts w:hint="cs"/>
          <w:rtl/>
        </w:rPr>
        <w:t xml:space="preserve"> " (كل شيء هالك إلا وجهه)</w:t>
      </w:r>
      <w:r w:rsidR="0002035C" w:rsidRPr="00A52585">
        <w:rPr>
          <w:rFonts w:hint="cs"/>
          <w:rtl/>
        </w:rPr>
        <w:t xml:space="preserve"> </w:t>
      </w:r>
      <w:r w:rsidRPr="00A52585">
        <w:rPr>
          <w:rFonts w:hint="cs"/>
          <w:rtl/>
        </w:rPr>
        <w:t>أي إلا إياه "</w:t>
      </w:r>
      <w:r w:rsidR="0002035C" w:rsidRPr="00A52585">
        <w:rPr>
          <w:rFonts w:hint="cs"/>
          <w:rtl/>
        </w:rPr>
        <w:t>[</w:t>
      </w:r>
      <w:r w:rsidRPr="00A52585">
        <w:rPr>
          <w:rFonts w:hint="cs"/>
          <w:rtl/>
        </w:rPr>
        <w:t>تفسير الواحدي ج: 2 ص: 827] أهـ</w:t>
      </w:r>
      <w:r w:rsidR="00DB731D" w:rsidRPr="00A52585">
        <w:rPr>
          <w:rFonts w:hint="cs"/>
          <w:rtl/>
        </w:rPr>
        <w:t>،</w:t>
      </w:r>
      <w:r w:rsidRPr="00A52585">
        <w:rPr>
          <w:rFonts w:hint="cs"/>
          <w:rtl/>
        </w:rPr>
        <w:t xml:space="preserve"> </w:t>
      </w:r>
      <w:r w:rsidRPr="00A52585">
        <w:rPr>
          <w:rFonts w:hint="cs"/>
          <w:bCs/>
          <w:rtl/>
        </w:rPr>
        <w:t>وقال البغوي</w:t>
      </w:r>
      <w:r w:rsidR="0002035C" w:rsidRPr="00A52585">
        <w:rPr>
          <w:rFonts w:hint="cs"/>
          <w:rtl/>
        </w:rPr>
        <w:t>:</w:t>
      </w:r>
      <w:r w:rsidRPr="00A52585">
        <w:rPr>
          <w:rFonts w:hint="cs"/>
          <w:rtl/>
        </w:rPr>
        <w:t xml:space="preserve"> " (كل شيء هالك إلا وجهه)</w:t>
      </w:r>
      <w:r w:rsidR="0002035C" w:rsidRPr="00A52585">
        <w:rPr>
          <w:rFonts w:hint="cs"/>
          <w:rtl/>
        </w:rPr>
        <w:t xml:space="preserve"> </w:t>
      </w:r>
      <w:r w:rsidRPr="00A52585">
        <w:rPr>
          <w:rFonts w:hint="cs"/>
          <w:rtl/>
        </w:rPr>
        <w:t xml:space="preserve">أي إلا هو " </w:t>
      </w:r>
      <w:r w:rsidR="0002035C" w:rsidRPr="00A52585">
        <w:rPr>
          <w:rFonts w:hint="cs"/>
          <w:rtl/>
        </w:rPr>
        <w:t>[</w:t>
      </w:r>
      <w:r w:rsidRPr="00A52585">
        <w:rPr>
          <w:rFonts w:hint="cs"/>
          <w:rtl/>
        </w:rPr>
        <w:t>تفسير البغوي ج: 1 ص: 108]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 xml:space="preserve">أي </w:t>
      </w:r>
      <w:r w:rsidRPr="00A52585">
        <w:rPr>
          <w:rFonts w:hint="cs"/>
          <w:rtl/>
        </w:rPr>
        <w:lastRenderedPageBreak/>
        <w:t xml:space="preserve">هو وقيل إلا ملكه </w:t>
      </w:r>
      <w:r w:rsidRPr="00A52585">
        <w:rPr>
          <w:rFonts w:hint="cs"/>
          <w:bCs/>
          <w:rtl/>
        </w:rPr>
        <w:t xml:space="preserve">قال أبو العالية </w:t>
      </w:r>
      <w:r w:rsidRPr="00A52585">
        <w:rPr>
          <w:rFonts w:hint="cs"/>
          <w:rtl/>
        </w:rPr>
        <w:t>إلا ما أريد به وجهه</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تفسير البغوي ج: 3 ص: 459] أهـ</w:t>
      </w:r>
      <w:r w:rsidR="00DB731D" w:rsidRPr="00A52585">
        <w:rPr>
          <w:rFonts w:hint="cs"/>
          <w:rtl/>
        </w:rPr>
        <w:t>،</w:t>
      </w:r>
      <w:r w:rsidRPr="00A52585">
        <w:rPr>
          <w:rFonts w:hint="cs"/>
          <w:rtl/>
        </w:rPr>
        <w:t xml:space="preserve"> </w:t>
      </w:r>
      <w:r w:rsidRPr="00A52585">
        <w:rPr>
          <w:rFonts w:hint="cs"/>
          <w:bCs/>
          <w:rtl/>
        </w:rPr>
        <w:t>وقال القرطبي</w:t>
      </w:r>
      <w:r w:rsidR="0002035C" w:rsidRPr="00A52585">
        <w:rPr>
          <w:rFonts w:hint="cs"/>
          <w:bCs/>
          <w:rtl/>
        </w:rPr>
        <w:t>:</w:t>
      </w:r>
      <w:r w:rsidRPr="00A52585">
        <w:rPr>
          <w:rFonts w:hint="cs"/>
          <w:bCs/>
          <w:rtl/>
        </w:rPr>
        <w:t xml:space="preserve"> </w:t>
      </w:r>
      <w:r w:rsidRPr="00A52585">
        <w:rPr>
          <w:rFonts w:hint="cs"/>
          <w:rtl/>
        </w:rPr>
        <w:t>" (كل شيء هالك إلا وجهه)</w:t>
      </w:r>
      <w:r w:rsidR="0002035C" w:rsidRPr="00A52585">
        <w:rPr>
          <w:rFonts w:hint="cs"/>
          <w:rtl/>
        </w:rPr>
        <w:t xml:space="preserve"> </w:t>
      </w:r>
      <w:r w:rsidRPr="00A52585">
        <w:rPr>
          <w:rFonts w:hint="cs"/>
          <w:rtl/>
        </w:rPr>
        <w:t xml:space="preserve">قال </w:t>
      </w:r>
      <w:r w:rsidRPr="00A52585">
        <w:rPr>
          <w:rFonts w:hint="cs"/>
          <w:bCs/>
          <w:rtl/>
        </w:rPr>
        <w:t>مجاهد</w:t>
      </w:r>
      <w:r w:rsidRPr="00A52585">
        <w:rPr>
          <w:rFonts w:hint="cs"/>
          <w:rtl/>
        </w:rPr>
        <w:t xml:space="preserve"> معناه إلا هو وقال </w:t>
      </w:r>
      <w:r w:rsidRPr="00A52585">
        <w:rPr>
          <w:rFonts w:hint="cs"/>
          <w:bCs/>
          <w:rtl/>
        </w:rPr>
        <w:t>الصادق</w:t>
      </w:r>
      <w:r w:rsidR="0002035C" w:rsidRPr="00A52585">
        <w:rPr>
          <w:rFonts w:hint="cs"/>
          <w:rtl/>
        </w:rPr>
        <w:t xml:space="preserve"> </w:t>
      </w:r>
      <w:r w:rsidRPr="00A52585">
        <w:rPr>
          <w:rFonts w:hint="cs"/>
          <w:rtl/>
        </w:rPr>
        <w:t xml:space="preserve">دينه </w:t>
      </w:r>
      <w:r w:rsidRPr="00A52585">
        <w:rPr>
          <w:rFonts w:hint="cs"/>
          <w:bCs/>
          <w:rtl/>
        </w:rPr>
        <w:t>وقال أبو العالية وسفيان</w:t>
      </w:r>
      <w:r w:rsidR="0002035C" w:rsidRPr="00A52585">
        <w:rPr>
          <w:rFonts w:hint="cs"/>
          <w:rtl/>
        </w:rPr>
        <w:t xml:space="preserve"> </w:t>
      </w:r>
      <w:r w:rsidRPr="00A52585">
        <w:rPr>
          <w:rFonts w:hint="cs"/>
          <w:rtl/>
        </w:rPr>
        <w:t>أي إلا ما أريد به وجهه أي ما يقصد إليه بالقربة قال</w:t>
      </w:r>
      <w:r w:rsidR="0002035C" w:rsidRPr="00A52585">
        <w:rPr>
          <w:rFonts w:hint="cs"/>
          <w:rtl/>
        </w:rPr>
        <w:t xml:space="preserve"> </w:t>
      </w:r>
      <w:r w:rsidRPr="00A52585">
        <w:rPr>
          <w:rFonts w:hint="cs"/>
          <w:rtl/>
        </w:rPr>
        <w:t>أستغفر الله ذنبا لست محصيه رب العباد إليه الوجه والعمل وقال محمد بن يزيد</w:t>
      </w:r>
      <w:r w:rsidR="0002035C" w:rsidRPr="00A52585">
        <w:rPr>
          <w:rFonts w:hint="cs"/>
          <w:rtl/>
        </w:rPr>
        <w:t xml:space="preserve"> </w:t>
      </w:r>
      <w:r w:rsidRPr="00A52585">
        <w:rPr>
          <w:rFonts w:hint="cs"/>
          <w:rtl/>
        </w:rPr>
        <w:t xml:space="preserve">حدثني الثوري قال سألت </w:t>
      </w:r>
      <w:r w:rsidRPr="00A52585">
        <w:rPr>
          <w:rFonts w:hint="cs"/>
          <w:bCs/>
          <w:rtl/>
        </w:rPr>
        <w:t>أبا عبيدة</w:t>
      </w:r>
      <w:r w:rsidRPr="00A52585">
        <w:rPr>
          <w:rFonts w:hint="cs"/>
          <w:rtl/>
        </w:rPr>
        <w:t xml:space="preserve"> عن قوله تعالى</w:t>
      </w:r>
      <w:r w:rsidR="0002035C" w:rsidRPr="00A52585">
        <w:rPr>
          <w:rFonts w:hint="cs"/>
          <w:rtl/>
        </w:rPr>
        <w:t xml:space="preserve"> </w:t>
      </w:r>
      <w:r w:rsidRPr="00A52585">
        <w:rPr>
          <w:rFonts w:hint="cs"/>
          <w:rtl/>
        </w:rPr>
        <w:t>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فقال</w:t>
      </w:r>
      <w:r w:rsidR="0002035C" w:rsidRPr="00A52585">
        <w:rPr>
          <w:rFonts w:hint="cs"/>
          <w:rtl/>
        </w:rPr>
        <w:t xml:space="preserve"> </w:t>
      </w:r>
      <w:r w:rsidRPr="00A52585">
        <w:rPr>
          <w:rFonts w:hint="cs"/>
          <w:rtl/>
        </w:rPr>
        <w:t>إلا جاهه كما تقول لفلان وجه في الناس أي جاه " [تفسير القرطبي ج: 13 ص: 322] أهـ</w:t>
      </w:r>
      <w:r w:rsidR="00DB731D" w:rsidRPr="00A52585">
        <w:rPr>
          <w:rFonts w:hint="cs"/>
          <w:rtl/>
        </w:rPr>
        <w:t>،</w:t>
      </w:r>
      <w:r w:rsidRPr="00A52585">
        <w:rPr>
          <w:rFonts w:hint="cs"/>
          <w:rtl/>
        </w:rPr>
        <w:t xml:space="preserve"> </w:t>
      </w:r>
      <w:r w:rsidRPr="00A52585">
        <w:rPr>
          <w:rFonts w:hint="cs"/>
          <w:bCs/>
          <w:rtl/>
        </w:rPr>
        <w:t>وقال ابن كثير</w:t>
      </w:r>
      <w:r w:rsidR="0002035C" w:rsidRPr="00A52585">
        <w:rPr>
          <w:rFonts w:hint="cs"/>
          <w:bCs/>
          <w:rtl/>
        </w:rPr>
        <w:t>:</w:t>
      </w:r>
      <w:r w:rsidRPr="00A52585">
        <w:rPr>
          <w:rFonts w:hint="cs"/>
          <w:bCs/>
          <w:rtl/>
        </w:rPr>
        <w:t xml:space="preserve"> </w:t>
      </w:r>
      <w:r w:rsidRPr="00A52585">
        <w:rPr>
          <w:rFonts w:hint="cs"/>
          <w:rtl/>
        </w:rPr>
        <w:t xml:space="preserve">" (كل شيء هالك إلا وجهه)كل شيء يفنى ولا يبقى إلا الله عز وجل كما قال كل من عليها فان ويبقى وجه ربك ذو الجلال والإكرام " </w:t>
      </w:r>
      <w:r w:rsidR="0002035C" w:rsidRPr="00A52585">
        <w:rPr>
          <w:rFonts w:hint="cs"/>
          <w:rtl/>
        </w:rPr>
        <w:t>[</w:t>
      </w:r>
      <w:r w:rsidRPr="00A52585">
        <w:rPr>
          <w:rFonts w:hint="cs"/>
          <w:rtl/>
        </w:rPr>
        <w:t>تفسير ابن كثير ج: 1 ص: 594]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وقوله (كل شيء هالك إلا وجهه)</w:t>
      </w:r>
      <w:r w:rsidR="0002035C" w:rsidRPr="00A52585">
        <w:rPr>
          <w:rFonts w:hint="cs"/>
          <w:rtl/>
        </w:rPr>
        <w:t xml:space="preserve"> </w:t>
      </w:r>
      <w:r w:rsidRPr="00A52585">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Pr="00A52585">
        <w:rPr>
          <w:rFonts w:hint="cs"/>
          <w:bCs/>
          <w:rtl/>
        </w:rPr>
        <w:t>فعبر بالوجه عن الذات</w:t>
      </w:r>
      <w:r w:rsidRPr="00A52585">
        <w:rPr>
          <w:rFonts w:hint="cs"/>
          <w:rtl/>
        </w:rPr>
        <w:t xml:space="preserve"> وهكذا قوله هاهنا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bCs/>
          <w:rtl/>
        </w:rPr>
        <w:t>أي إلا إياه</w:t>
      </w:r>
      <w:r w:rsidRPr="00A52585">
        <w:rPr>
          <w:rFonts w:hint="cs"/>
          <w:rtl/>
        </w:rPr>
        <w:t xml:space="preserve"> وقد ثبت في الصحيح [تفسير ابن كثير ج: 3 ص: 404] من طريق أبي سلمة عن أبي هريرة قال </w:t>
      </w:r>
      <w:proofErr w:type="spellStart"/>
      <w:r w:rsidRPr="00A52585">
        <w:rPr>
          <w:rFonts w:hint="cs"/>
          <w:rtl/>
        </w:rPr>
        <w:t>قال</w:t>
      </w:r>
      <w:proofErr w:type="spellEnd"/>
      <w:r w:rsidRPr="00A52585">
        <w:rPr>
          <w:rFonts w:hint="cs"/>
          <w:rtl/>
        </w:rPr>
        <w:t xml:space="preserve"> رسول الله صلى الله عليه وسلم أصدق كلمة قالها الشاعر كلمة لبيد إلا كل شيء ما خلا الله باطل </w:t>
      </w:r>
      <w:r w:rsidRPr="00A52585">
        <w:rPr>
          <w:rFonts w:hint="cs"/>
          <w:bCs/>
          <w:rtl/>
        </w:rPr>
        <w:t xml:space="preserve">وقال مجاهد </w:t>
      </w:r>
      <w:proofErr w:type="spellStart"/>
      <w:r w:rsidRPr="00A52585">
        <w:rPr>
          <w:rFonts w:hint="cs"/>
          <w:bCs/>
          <w:rtl/>
        </w:rPr>
        <w:t>والثورى</w:t>
      </w:r>
      <w:proofErr w:type="spellEnd"/>
      <w:r w:rsidRPr="00A52585">
        <w:rPr>
          <w:rFonts w:hint="cs"/>
          <w:bCs/>
          <w:rtl/>
        </w:rPr>
        <w:t>:</w:t>
      </w:r>
      <w:r w:rsidRPr="00A52585">
        <w:rPr>
          <w:rFonts w:hint="cs"/>
          <w:rtl/>
        </w:rPr>
        <w:t xml:space="preserve"> في قوله 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أي إلا ما أريد به وجهه وحكاه البخاري في صحيحه كالمقرر له " [تفسير ابن كثير ج: 3 ص: 404] أهـ</w:t>
      </w:r>
      <w:r w:rsidR="00DB731D" w:rsidRPr="00A52585">
        <w:rPr>
          <w:rFonts w:hint="cs"/>
          <w:rtl/>
        </w:rPr>
        <w:t>،</w:t>
      </w:r>
      <w:r w:rsidRPr="00A52585">
        <w:rPr>
          <w:rFonts w:hint="cs"/>
          <w:rtl/>
        </w:rPr>
        <w:t xml:space="preserve"> </w:t>
      </w:r>
      <w:r w:rsidRPr="00A52585">
        <w:rPr>
          <w:rFonts w:hint="cs"/>
          <w:bCs/>
          <w:rtl/>
        </w:rPr>
        <w:t>وقال البيضاوي</w:t>
      </w:r>
      <w:r w:rsidR="0002035C" w:rsidRPr="00A52585">
        <w:rPr>
          <w:rFonts w:hint="cs"/>
          <w:rtl/>
        </w:rPr>
        <w:t>:</w:t>
      </w:r>
      <w:r w:rsidRPr="00A52585">
        <w:rPr>
          <w:rFonts w:hint="cs"/>
          <w:rtl/>
        </w:rPr>
        <w:t xml:space="preserve"> " هالك إلا وجهه</w:t>
      </w:r>
      <w:r w:rsidR="0002035C" w:rsidRPr="00A52585">
        <w:rPr>
          <w:rFonts w:hint="cs"/>
          <w:rtl/>
        </w:rPr>
        <w:t xml:space="preserve"> </w:t>
      </w:r>
      <w:r w:rsidRPr="00A52585">
        <w:rPr>
          <w:rFonts w:hint="cs"/>
          <w:rtl/>
        </w:rPr>
        <w:t>إلا ذاته فإن ما عداه ممكن هالك في حد ذاته معدوم له الحكم القضاء النافذ في الخلق " [تفسير البيضاوي ج: 4 ص: 306] أهـ</w:t>
      </w:r>
      <w:r w:rsidR="00DB731D" w:rsidRPr="00A52585">
        <w:rPr>
          <w:rFonts w:hint="cs"/>
          <w:rtl/>
        </w:rPr>
        <w:t>،</w:t>
      </w:r>
      <w:r w:rsidRPr="00A52585">
        <w:rPr>
          <w:rFonts w:hint="cs"/>
          <w:rtl/>
        </w:rPr>
        <w:t xml:space="preserve"> </w:t>
      </w:r>
      <w:r w:rsidRPr="00A52585">
        <w:rPr>
          <w:rFonts w:hint="cs"/>
          <w:bCs/>
          <w:rtl/>
        </w:rPr>
        <w:t>وقال الجصاص</w:t>
      </w:r>
      <w:r w:rsidR="0002035C" w:rsidRPr="00A52585">
        <w:rPr>
          <w:rFonts w:hint="cs"/>
          <w:rtl/>
        </w:rPr>
        <w:t>:</w:t>
      </w:r>
      <w:r w:rsidRPr="00A52585">
        <w:rPr>
          <w:rFonts w:hint="cs"/>
          <w:rtl/>
        </w:rPr>
        <w:t xml:space="preserve"> " وقوله </w:t>
      </w:r>
      <w:r w:rsidR="0002035C" w:rsidRPr="00A52585">
        <w:rPr>
          <w:rFonts w:hint="cs"/>
          <w:rtl/>
        </w:rPr>
        <w:t>(</w:t>
      </w:r>
      <w:r w:rsidRPr="00A52585">
        <w:rPr>
          <w:rFonts w:hint="cs"/>
          <w:rtl/>
        </w:rPr>
        <w:t>كل شيء هالك إلا وجهه)</w:t>
      </w:r>
      <w:r w:rsidR="0002035C" w:rsidRPr="00A52585">
        <w:rPr>
          <w:rFonts w:hint="cs"/>
          <w:rtl/>
        </w:rPr>
        <w:t xml:space="preserve"> </w:t>
      </w:r>
      <w:r w:rsidRPr="00A52585">
        <w:rPr>
          <w:rFonts w:hint="cs"/>
          <w:rtl/>
        </w:rPr>
        <w:t>يعني ما كان لرضاه وإرادته "</w:t>
      </w:r>
      <w:r w:rsidR="0002035C" w:rsidRPr="00A52585">
        <w:rPr>
          <w:rFonts w:hint="cs"/>
          <w:rtl/>
        </w:rPr>
        <w:t>[</w:t>
      </w:r>
      <w:r w:rsidRPr="00A52585">
        <w:rPr>
          <w:rFonts w:hint="cs"/>
          <w:rtl/>
        </w:rPr>
        <w:t>أحكام القرآن للجصاص ج: 1 ص: 77]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"كقوله تعالى (كل شيء هالك إلا وجهه) يعني به ذاته " </w:t>
      </w:r>
      <w:r w:rsidR="0002035C" w:rsidRPr="00A52585">
        <w:rPr>
          <w:rFonts w:hint="cs"/>
          <w:rtl/>
        </w:rPr>
        <w:t>[</w:t>
      </w:r>
      <w:r w:rsidRPr="00A52585">
        <w:rPr>
          <w:rFonts w:hint="cs"/>
          <w:rtl/>
        </w:rPr>
        <w:t>أحكام القرآن للجصاص ج: 3 ص: 362] أهـ</w:t>
      </w:r>
    </w:p>
    <w:p w14:paraId="5746E14F" w14:textId="4C1919D9" w:rsidR="00777DCB" w:rsidRPr="00A52585" w:rsidRDefault="00777DCB" w:rsidP="0002035C">
      <w:pPr>
        <w:rPr>
          <w:rtl/>
        </w:rPr>
      </w:pPr>
      <w:r w:rsidRPr="00A52585">
        <w:rPr>
          <w:rFonts w:hint="cs"/>
          <w:bCs/>
          <w:rtl/>
        </w:rPr>
        <w:t>وقال الشوكاني</w:t>
      </w:r>
      <w:r w:rsidR="0002035C" w:rsidRPr="00A52585">
        <w:rPr>
          <w:rFonts w:hint="cs"/>
          <w:bCs/>
          <w:rtl/>
        </w:rPr>
        <w:t>:</w:t>
      </w:r>
      <w:r w:rsidRPr="00A52585">
        <w:rPr>
          <w:rFonts w:hint="cs"/>
          <w:bCs/>
          <w:rtl/>
        </w:rPr>
        <w:t xml:space="preserve"> </w:t>
      </w:r>
      <w:r w:rsidRPr="00A52585">
        <w:rPr>
          <w:rFonts w:hint="cs"/>
          <w:rtl/>
        </w:rPr>
        <w:t>" هالك إلا وجهه</w:t>
      </w:r>
      <w:r w:rsidR="0002035C" w:rsidRPr="00A52585">
        <w:rPr>
          <w:rFonts w:hint="cs"/>
          <w:rtl/>
        </w:rPr>
        <w:t xml:space="preserve"> </w:t>
      </w:r>
      <w:r w:rsidRPr="00A52585">
        <w:rPr>
          <w:rFonts w:hint="cs"/>
          <w:rtl/>
        </w:rPr>
        <w:t xml:space="preserve">أي إلا </w:t>
      </w:r>
      <w:proofErr w:type="spellStart"/>
      <w:r w:rsidRPr="00A52585">
        <w:rPr>
          <w:rFonts w:hint="cs"/>
          <w:rtl/>
        </w:rPr>
        <w:t>ذاته</w:t>
      </w:r>
      <w:r w:rsidR="00897A24" w:rsidRPr="00A52585">
        <w:rPr>
          <w:rFonts w:hint="cs"/>
          <w:rtl/>
        </w:rPr>
        <w:t>.</w:t>
      </w:r>
      <w:r w:rsidRPr="00A52585">
        <w:rPr>
          <w:rFonts w:hint="cs"/>
          <w:rtl/>
        </w:rPr>
        <w:t>.وأخرج</w:t>
      </w:r>
      <w:proofErr w:type="spellEnd"/>
      <w:r w:rsidRPr="00A52585">
        <w:rPr>
          <w:rFonts w:hint="cs"/>
          <w:rtl/>
        </w:rPr>
        <w:t xml:space="preserve"> عبد بن حميد </w:t>
      </w:r>
      <w:r w:rsidRPr="00A52585">
        <w:rPr>
          <w:rFonts w:hint="cs"/>
          <w:bCs/>
          <w:rtl/>
        </w:rPr>
        <w:t xml:space="preserve">عن ابن </w:t>
      </w:r>
      <w:proofErr w:type="spellStart"/>
      <w:r w:rsidRPr="00A52585">
        <w:rPr>
          <w:rFonts w:hint="cs"/>
          <w:bCs/>
          <w:rtl/>
        </w:rPr>
        <w:t>عباس</w:t>
      </w:r>
      <w:r w:rsidR="0002035C" w:rsidRPr="00A52585">
        <w:rPr>
          <w:rFonts w:hint="cs"/>
          <w:rtl/>
        </w:rPr>
        <w:t>:</w:t>
      </w:r>
      <w:r w:rsidRPr="00A52585">
        <w:rPr>
          <w:rFonts w:hint="cs"/>
          <w:rtl/>
        </w:rPr>
        <w:t>كل</w:t>
      </w:r>
      <w:proofErr w:type="spellEnd"/>
      <w:r w:rsidRPr="00A52585">
        <w:rPr>
          <w:rFonts w:hint="cs"/>
          <w:rtl/>
        </w:rPr>
        <w:t xml:space="preserve">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قال إلا ما أريد به وجهه "</w:t>
      </w:r>
      <w:r w:rsidR="0002035C" w:rsidRPr="00A52585">
        <w:rPr>
          <w:rFonts w:hint="cs"/>
          <w:rtl/>
        </w:rPr>
        <w:t>[</w:t>
      </w:r>
      <w:r w:rsidRPr="00A52585">
        <w:rPr>
          <w:rFonts w:hint="cs"/>
          <w:rtl/>
        </w:rPr>
        <w:t>فتح القدير ج: 4 ص: 189] أهـ</w:t>
      </w:r>
      <w:r w:rsidR="00DB731D" w:rsidRPr="00A52585">
        <w:rPr>
          <w:rFonts w:hint="cs"/>
          <w:rtl/>
        </w:rPr>
        <w:t>،</w:t>
      </w:r>
      <w:r w:rsidRPr="00A52585">
        <w:rPr>
          <w:rFonts w:hint="cs"/>
          <w:rtl/>
        </w:rPr>
        <w:t xml:space="preserve"> </w:t>
      </w:r>
      <w:r w:rsidRPr="00A52585">
        <w:rPr>
          <w:rFonts w:hint="cs"/>
          <w:bCs/>
          <w:rtl/>
        </w:rPr>
        <w:t>وقال ابن الجوزي</w:t>
      </w:r>
      <w:r w:rsidR="0002035C" w:rsidRPr="00A52585">
        <w:rPr>
          <w:rFonts w:hint="cs"/>
          <w:bCs/>
          <w:rtl/>
        </w:rPr>
        <w:t>:</w:t>
      </w:r>
      <w:r w:rsidRPr="00A52585">
        <w:rPr>
          <w:rFonts w:hint="cs"/>
          <w:rtl/>
        </w:rPr>
        <w:t xml:space="preserve"> " قولان أحدهما إلا ما أريد به وجهه رواه عطاء عن </w:t>
      </w:r>
      <w:r w:rsidRPr="00A52585">
        <w:rPr>
          <w:rFonts w:hint="cs"/>
          <w:bCs/>
          <w:rtl/>
        </w:rPr>
        <w:t xml:space="preserve">ابن عباس </w:t>
      </w:r>
      <w:r w:rsidRPr="00A52585">
        <w:rPr>
          <w:rFonts w:hint="cs"/>
          <w:rtl/>
        </w:rPr>
        <w:t xml:space="preserve">وبه قال </w:t>
      </w:r>
      <w:r w:rsidRPr="00A52585">
        <w:rPr>
          <w:rFonts w:hint="cs"/>
          <w:bCs/>
          <w:rtl/>
        </w:rPr>
        <w:t>الثوري</w:t>
      </w:r>
      <w:r w:rsidRPr="00A52585">
        <w:rPr>
          <w:rFonts w:hint="cs"/>
          <w:rtl/>
        </w:rPr>
        <w:t xml:space="preserve"> والثاني إلا هو قاله </w:t>
      </w:r>
      <w:r w:rsidRPr="00A52585">
        <w:rPr>
          <w:rFonts w:hint="cs"/>
          <w:bCs/>
          <w:rtl/>
        </w:rPr>
        <w:t>الضحاك وأبو عبيدة</w:t>
      </w:r>
      <w:r w:rsidRPr="00A52585">
        <w:rPr>
          <w:rFonts w:hint="cs"/>
          <w:rtl/>
        </w:rPr>
        <w:t xml:space="preserve"> " [زاد المسير ج: 6 ص: 252] 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bCs/>
          <w:rtl/>
        </w:rPr>
        <w:t>:</w:t>
      </w:r>
      <w:r w:rsidRPr="00A52585">
        <w:rPr>
          <w:rFonts w:hint="cs"/>
          <w:rtl/>
        </w:rPr>
        <w:t xml:space="preserve"> " </w:t>
      </w:r>
      <w:r w:rsidR="0002035C" w:rsidRPr="00A52585">
        <w:rPr>
          <w:rFonts w:hint="cs"/>
          <w:rtl/>
        </w:rPr>
        <w:t>(</w:t>
      </w:r>
      <w:r w:rsidRPr="00A52585">
        <w:rPr>
          <w:rFonts w:hint="cs"/>
          <w:rtl/>
        </w:rPr>
        <w:t>كل شيء</w:t>
      </w:r>
      <w:r w:rsidRPr="00A52585">
        <w:rPr>
          <w:rFonts w:hint="cs"/>
        </w:rPr>
        <w:t xml:space="preserve"> </w:t>
      </w:r>
      <w:r w:rsidRPr="00A52585">
        <w:rPr>
          <w:rFonts w:hint="cs"/>
          <w:rtl/>
        </w:rPr>
        <w:t>هالك</w:t>
      </w:r>
      <w:r w:rsidRPr="00A52585">
        <w:rPr>
          <w:rFonts w:hint="cs"/>
        </w:rPr>
        <w:t xml:space="preserve"> </w:t>
      </w:r>
      <w:r w:rsidRPr="00A52585">
        <w:rPr>
          <w:rFonts w:hint="cs"/>
          <w:rtl/>
        </w:rPr>
        <w:t>إلا وجهه</w:t>
      </w:r>
      <w:r w:rsidR="0002035C" w:rsidRPr="00A52585">
        <w:rPr>
          <w:rFonts w:hint="cs"/>
          <w:rtl/>
        </w:rPr>
        <w:t>)</w:t>
      </w:r>
      <w:r w:rsidRPr="00A52585">
        <w:rPr>
          <w:rFonts w:hint="cs"/>
          <w:rtl/>
        </w:rPr>
        <w:t xml:space="preserve"> </w:t>
      </w:r>
      <w:r w:rsidRPr="00A52585">
        <w:rPr>
          <w:rFonts w:hint="cs"/>
          <w:bCs/>
          <w:rtl/>
        </w:rPr>
        <w:t>أي</w:t>
      </w:r>
      <w:r w:rsidRPr="00A52585">
        <w:rPr>
          <w:rFonts w:hint="cs"/>
          <w:bCs/>
        </w:rPr>
        <w:t xml:space="preserve"> </w:t>
      </w:r>
      <w:r w:rsidRPr="00A52585">
        <w:rPr>
          <w:rFonts w:hint="cs"/>
          <w:bCs/>
          <w:rtl/>
        </w:rPr>
        <w:t>إلا إياه فالوجه يعبر به عن الذات</w:t>
      </w:r>
      <w:r w:rsidRPr="00A52585">
        <w:rPr>
          <w:rFonts w:hint="cs"/>
          <w:rtl/>
        </w:rPr>
        <w:t xml:space="preserve"> " </w:t>
      </w:r>
      <w:r w:rsidR="0002035C" w:rsidRPr="00A52585">
        <w:rPr>
          <w:rFonts w:hint="cs"/>
          <w:rtl/>
        </w:rPr>
        <w:t>[</w:t>
      </w:r>
      <w:r w:rsidRPr="00A52585">
        <w:rPr>
          <w:rFonts w:hint="cs"/>
          <w:rtl/>
        </w:rPr>
        <w:t>تفسير النسفي ج: 3 ص: 249] أهـ</w:t>
      </w:r>
      <w:r w:rsidR="00DB731D" w:rsidRPr="00A52585">
        <w:rPr>
          <w:rFonts w:hint="cs"/>
          <w:rtl/>
        </w:rPr>
        <w:t>،</w:t>
      </w:r>
      <w:r w:rsidRPr="00A52585">
        <w:rPr>
          <w:rFonts w:hint="cs"/>
          <w:rtl/>
        </w:rPr>
        <w:t xml:space="preserve"> </w:t>
      </w:r>
      <w:r w:rsidRPr="00A52585">
        <w:rPr>
          <w:rFonts w:hint="cs"/>
          <w:bCs/>
          <w:rtl/>
        </w:rPr>
        <w:t>وجاء في تفسير الجلالين</w:t>
      </w:r>
      <w:r w:rsidR="0002035C" w:rsidRPr="00A52585">
        <w:rPr>
          <w:rFonts w:hint="cs"/>
          <w:rtl/>
        </w:rPr>
        <w:t>:</w:t>
      </w:r>
      <w:r w:rsidRPr="00A52585">
        <w:rPr>
          <w:rFonts w:hint="cs"/>
          <w:rtl/>
        </w:rPr>
        <w:t xml:space="preserve"> " (كل شيء هالك إلا وجهه</w:t>
      </w:r>
      <w:r w:rsidR="0002035C" w:rsidRPr="00A52585">
        <w:rPr>
          <w:rFonts w:hint="cs"/>
          <w:rtl/>
        </w:rPr>
        <w:t xml:space="preserve">) </w:t>
      </w:r>
      <w:r w:rsidRPr="00A52585">
        <w:rPr>
          <w:rFonts w:hint="cs"/>
          <w:rtl/>
        </w:rPr>
        <w:t>إلا إياه</w:t>
      </w:r>
      <w:r w:rsidR="0002035C" w:rsidRPr="00A52585">
        <w:rPr>
          <w:rFonts w:hint="cs"/>
          <w:rtl/>
        </w:rPr>
        <w:t xml:space="preserve"> </w:t>
      </w:r>
      <w:r w:rsidRPr="00A52585">
        <w:rPr>
          <w:rFonts w:hint="cs"/>
          <w:rtl/>
        </w:rPr>
        <w:t>" [تفسير الجلالين ج: 1 ص: 520] 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rtl/>
        </w:rPr>
        <w:t>:</w:t>
      </w:r>
      <w:r w:rsidRPr="00A52585">
        <w:rPr>
          <w:rFonts w:hint="cs"/>
          <w:rtl/>
        </w:rPr>
        <w:t xml:space="preserve"> " وقيل</w:t>
      </w:r>
      <w:r w:rsidR="0002035C" w:rsidRPr="00A52585">
        <w:rPr>
          <w:rFonts w:hint="cs"/>
          <w:rtl/>
        </w:rPr>
        <w:t xml:space="preserve"> </w:t>
      </w:r>
      <w:r w:rsidRPr="00A52585">
        <w:rPr>
          <w:rFonts w:hint="cs"/>
          <w:rtl/>
        </w:rPr>
        <w:t>الوجه بمعنى الذات مثله في قوله تعالى</w:t>
      </w:r>
      <w:r w:rsidR="0002035C" w:rsidRPr="00A52585">
        <w:rPr>
          <w:rFonts w:hint="cs"/>
          <w:rtl/>
        </w:rPr>
        <w:t>(</w:t>
      </w:r>
      <w:r w:rsidRPr="00A52585">
        <w:rPr>
          <w:rFonts w:hint="cs"/>
          <w:rtl/>
        </w:rPr>
        <w:t xml:space="preserve">كل شيء هالك إلا وجهه) " [روح المعاني ج: 1 ص: 365] </w:t>
      </w:r>
      <w:r w:rsidRPr="00A52585">
        <w:rPr>
          <w:rFonts w:hint="cs"/>
          <w:rtl/>
        </w:rPr>
        <w:lastRenderedPageBreak/>
        <w:t>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w:t>
      </w:r>
      <w:r w:rsidR="00897A24" w:rsidRPr="00A52585">
        <w:rPr>
          <w:rFonts w:hint="cs"/>
          <w:rtl/>
        </w:rPr>
        <w:t>.</w:t>
      </w:r>
      <w:r w:rsidRPr="00A52585">
        <w:rPr>
          <w:rFonts w:hint="cs"/>
          <w:rtl/>
        </w:rPr>
        <w:t>.وبقوله سبحانه</w:t>
      </w:r>
      <w:r w:rsidR="0002035C" w:rsidRPr="00A52585">
        <w:rPr>
          <w:rFonts w:hint="cs"/>
          <w:rtl/>
        </w:rPr>
        <w:t xml:space="preserve"> </w:t>
      </w:r>
      <w:r w:rsidRPr="00A52585">
        <w:rPr>
          <w:rFonts w:hint="cs"/>
          <w:rtl/>
        </w:rPr>
        <w:t>كل شيء</w:t>
      </w:r>
      <w:r w:rsidR="0002035C" w:rsidRPr="00A52585">
        <w:rPr>
          <w:rFonts w:hint="cs"/>
          <w:rtl/>
        </w:rPr>
        <w:t xml:space="preserve"> </w:t>
      </w:r>
      <w:r w:rsidRPr="00A52585">
        <w:rPr>
          <w:rFonts w:hint="cs"/>
          <w:rtl/>
        </w:rPr>
        <w:t>هالك إلا وجهه</w:t>
      </w:r>
      <w:r w:rsidR="0002035C" w:rsidRPr="00A52585">
        <w:rPr>
          <w:rFonts w:hint="cs"/>
          <w:rtl/>
        </w:rPr>
        <w:t xml:space="preserve"> </w:t>
      </w:r>
      <w:r w:rsidRPr="00A52585">
        <w:rPr>
          <w:rFonts w:hint="cs"/>
          <w:rtl/>
        </w:rPr>
        <w:t>حيث استثنى من كل شيء الوجه وهو بمعنى الذات.. "</w:t>
      </w:r>
      <w:r w:rsidR="0002035C" w:rsidRPr="00A52585">
        <w:rPr>
          <w:rFonts w:hint="cs"/>
          <w:rtl/>
        </w:rPr>
        <w:t>[</w:t>
      </w:r>
      <w:r w:rsidRPr="00A52585">
        <w:rPr>
          <w:rFonts w:hint="cs"/>
          <w:rtl/>
        </w:rPr>
        <w:t>روح المعاني ج: 7 ص: 117] أهـ</w:t>
      </w:r>
      <w:r w:rsidR="00DB731D" w:rsidRPr="00A52585">
        <w:rPr>
          <w:rFonts w:hint="cs"/>
          <w:rtl/>
        </w:rPr>
        <w:t>،</w:t>
      </w:r>
      <w:r w:rsidRPr="00A52585">
        <w:rPr>
          <w:rFonts w:hint="cs"/>
          <w:rtl/>
        </w:rPr>
        <w:t xml:space="preserve"> </w:t>
      </w:r>
      <w:r w:rsidRPr="00A52585">
        <w:rPr>
          <w:rFonts w:hint="cs"/>
          <w:bCs/>
          <w:rtl/>
        </w:rPr>
        <w:t>وقال القاسمي</w:t>
      </w:r>
      <w:r w:rsidR="0002035C" w:rsidRPr="00A52585">
        <w:rPr>
          <w:rFonts w:hint="cs"/>
          <w:rtl/>
        </w:rPr>
        <w:t>:</w:t>
      </w:r>
      <w:r w:rsidRPr="00A52585">
        <w:rPr>
          <w:rFonts w:hint="cs"/>
          <w:rtl/>
        </w:rPr>
        <w:t xml:space="preserve"> " </w:t>
      </w:r>
      <w:r w:rsidR="0002035C" w:rsidRPr="00A52585">
        <w:rPr>
          <w:rFonts w:hint="cs"/>
          <w:rtl/>
        </w:rPr>
        <w:t>(</w:t>
      </w:r>
      <w:r w:rsidRPr="00A52585">
        <w:rPr>
          <w:rFonts w:hint="cs"/>
          <w:rtl/>
        </w:rPr>
        <w:t>كل شيء هالك إلا وجهه) أي إلا إياه</w:t>
      </w:r>
      <w:r w:rsidR="00DB731D" w:rsidRPr="00A52585">
        <w:rPr>
          <w:rFonts w:hint="cs"/>
          <w:rtl/>
        </w:rPr>
        <w:t>،</w:t>
      </w:r>
      <w:r w:rsidRPr="00A52585">
        <w:rPr>
          <w:rFonts w:hint="cs"/>
          <w:rtl/>
        </w:rPr>
        <w:t xml:space="preserve"> والوجه يعبر عن الذات</w:t>
      </w:r>
      <w:r w:rsidR="00DB731D" w:rsidRPr="00A52585">
        <w:rPr>
          <w:rFonts w:hint="cs"/>
          <w:rtl/>
        </w:rPr>
        <w:t>،</w:t>
      </w:r>
      <w:r w:rsidRPr="00A52585">
        <w:rPr>
          <w:rFonts w:hint="cs"/>
          <w:rtl/>
        </w:rPr>
        <w:t xml:space="preserve"> كما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من عليها فان ويبقى وجه ربك)</w:t>
      </w:r>
      <w:r w:rsidR="0002035C" w:rsidRPr="00A52585">
        <w:rPr>
          <w:rFonts w:hint="cs"/>
          <w:rtl/>
        </w:rPr>
        <w:t xml:space="preserve"> </w:t>
      </w:r>
      <w:r w:rsidRPr="00A52585">
        <w:rPr>
          <w:rFonts w:hint="cs"/>
          <w:rtl/>
        </w:rPr>
        <w:t xml:space="preserve">" </w:t>
      </w:r>
      <w:r w:rsidR="0002035C" w:rsidRPr="00A52585">
        <w:rPr>
          <w:rFonts w:hint="cs"/>
          <w:rtl/>
        </w:rPr>
        <w:t>[</w:t>
      </w:r>
      <w:r w:rsidRPr="00A52585">
        <w:rPr>
          <w:rFonts w:hint="cs"/>
          <w:rtl/>
        </w:rPr>
        <w:t>تفسير</w:t>
      </w:r>
      <w:r w:rsidRPr="00A52585">
        <w:rPr>
          <w:rFonts w:hint="cs"/>
        </w:rPr>
        <w:t xml:space="preserve"> </w:t>
      </w:r>
      <w:r w:rsidRPr="00A52585">
        <w:rPr>
          <w:rFonts w:hint="cs"/>
          <w:rtl/>
        </w:rPr>
        <w:t>القاسمي [القصص/ 88]] أهـ</w:t>
      </w:r>
      <w:r w:rsidR="00DB731D" w:rsidRPr="00A52585">
        <w:rPr>
          <w:rFonts w:hint="cs"/>
          <w:rtl/>
        </w:rPr>
        <w:t>،</w:t>
      </w:r>
      <w:r w:rsidRPr="00A52585">
        <w:rPr>
          <w:rFonts w:hint="cs"/>
          <w:rtl/>
        </w:rPr>
        <w:t xml:space="preserve"> </w:t>
      </w:r>
      <w:r w:rsidRPr="00A52585">
        <w:rPr>
          <w:rFonts w:hint="cs"/>
          <w:bCs/>
          <w:rtl/>
        </w:rPr>
        <w:t>وقال الإمام</w:t>
      </w:r>
      <w:r w:rsidRPr="00A52585">
        <w:rPr>
          <w:rFonts w:hint="cs"/>
          <w:bCs/>
        </w:rPr>
        <w:t xml:space="preserve"> </w:t>
      </w:r>
      <w:r w:rsidRPr="00A52585">
        <w:rPr>
          <w:rFonts w:hint="cs"/>
          <w:bCs/>
          <w:rtl/>
        </w:rPr>
        <w:t>الرازي رحمه الله</w:t>
      </w:r>
      <w:r w:rsidR="0002035C" w:rsidRPr="00A52585">
        <w:rPr>
          <w:rFonts w:hint="cs"/>
          <w:rtl/>
        </w:rPr>
        <w:t>:</w:t>
      </w:r>
      <w:r w:rsidRPr="00A52585">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DB731D" w:rsidRPr="00A52585">
        <w:rPr>
          <w:rFonts w:hint="cs"/>
          <w:rtl/>
        </w:rPr>
        <w:t>،</w:t>
      </w:r>
      <w:r w:rsidRPr="00A52585">
        <w:rPr>
          <w:rFonts w:hint="cs"/>
          <w:rtl/>
        </w:rPr>
        <w:t xml:space="preserve"> والجواب</w:t>
      </w:r>
      <w:r w:rsidRPr="00A52585">
        <w:t xml:space="preserve">: </w:t>
      </w:r>
      <w:r w:rsidRPr="00A52585">
        <w:rPr>
          <w:rFonts w:hint="cs"/>
          <w:rtl/>
        </w:rPr>
        <w:t>لو صح هذا الكلام يلزم أن يفنى جميع أعضائه</w:t>
      </w:r>
      <w:r w:rsidRPr="00A52585">
        <w:rPr>
          <w:rFonts w:hint="cs"/>
        </w:rPr>
        <w:t xml:space="preserve"> </w:t>
      </w:r>
      <w:proofErr w:type="gramStart"/>
      <w:r w:rsidRPr="00A52585">
        <w:rPr>
          <w:rFonts w:hint="cs"/>
          <w:rtl/>
        </w:rPr>
        <w:t>وأن لا</w:t>
      </w:r>
      <w:proofErr w:type="gramEnd"/>
      <w:r w:rsidRPr="00A52585">
        <w:rPr>
          <w:rFonts w:hint="cs"/>
          <w:rtl/>
        </w:rPr>
        <w:t xml:space="preserve"> يبقى منه إلا الوجه، وقد التزم ذلك بعض المشبهة من الرافضة. وهو بيان</w:t>
      </w:r>
      <w:r w:rsidRPr="00A52585">
        <w:rPr>
          <w:rFonts w:hint="cs"/>
        </w:rPr>
        <w:t xml:space="preserve"> </w:t>
      </w:r>
      <w:r w:rsidRPr="00A52585">
        <w:rPr>
          <w:rFonts w:hint="cs"/>
          <w:rtl/>
        </w:rPr>
        <w:t>ابن سمعان وذلك لا يقول به عاقل، ثم من الناس من قال الوجه هو الوجود والحقيقة يقال</w:t>
      </w:r>
      <w:r w:rsidRPr="00A52585">
        <w:rPr>
          <w:rFonts w:hint="cs"/>
        </w:rPr>
        <w:t xml:space="preserve"> </w:t>
      </w:r>
      <w:r w:rsidRPr="00A52585">
        <w:rPr>
          <w:rFonts w:hint="cs"/>
          <w:rtl/>
        </w:rPr>
        <w:t>وجه هذا الأمر كذا أي حقيقته، ومنهم من قال الوجه صلة، والمراد كل شيء هالك إلا</w:t>
      </w:r>
      <w:r w:rsidRPr="00A52585">
        <w:rPr>
          <w:rFonts w:hint="cs"/>
        </w:rPr>
        <w:t xml:space="preserve"> </w:t>
      </w:r>
      <w:r w:rsidRPr="00A52585">
        <w:rPr>
          <w:rFonts w:hint="cs"/>
          <w:rtl/>
        </w:rPr>
        <w:t>هو، وأما كلمة إلى فالمعنى وإلى موضع حكمه وقضائه ترجعون."</w:t>
      </w:r>
      <w:r w:rsidR="0002035C" w:rsidRPr="00A52585">
        <w:rPr>
          <w:rFonts w:hint="cs"/>
          <w:rtl/>
        </w:rPr>
        <w:t>[</w:t>
      </w:r>
      <w:r w:rsidRPr="00A52585">
        <w:rPr>
          <w:rFonts w:hint="cs"/>
          <w:rtl/>
        </w:rPr>
        <w:t xml:space="preserve">تفسير </w:t>
      </w:r>
      <w:proofErr w:type="spellStart"/>
      <w:r w:rsidRPr="00A52585">
        <w:rPr>
          <w:rFonts w:hint="cs"/>
          <w:rtl/>
        </w:rPr>
        <w:t>الرازى</w:t>
      </w:r>
      <w:proofErr w:type="spellEnd"/>
      <w:r w:rsidRPr="00A52585">
        <w:rPr>
          <w:rFonts w:hint="cs"/>
          <w:rtl/>
        </w:rPr>
        <w:t xml:space="preserve"> </w:t>
      </w:r>
      <w:r w:rsidR="0002035C" w:rsidRPr="00A52585">
        <w:rPr>
          <w:rFonts w:hint="cs"/>
          <w:rtl/>
        </w:rPr>
        <w:t>[</w:t>
      </w:r>
      <w:r w:rsidRPr="00A52585">
        <w:rPr>
          <w:rFonts w:hint="cs"/>
          <w:rtl/>
        </w:rPr>
        <w:t>القصص /88</w:t>
      </w:r>
      <w:r w:rsidR="0002035C" w:rsidRPr="00A52585">
        <w:rPr>
          <w:rFonts w:hint="cs"/>
          <w:rtl/>
        </w:rPr>
        <w:t>]</w:t>
      </w:r>
      <w:r w:rsidRPr="00A52585">
        <w:rPr>
          <w:rFonts w:hint="cs"/>
          <w:rtl/>
        </w:rPr>
        <w:t>] أهـ</w:t>
      </w:r>
    </w:p>
    <w:p w14:paraId="553E764E" w14:textId="1012B1DB" w:rsidR="00777DCB" w:rsidRPr="00A52585" w:rsidRDefault="0002035C" w:rsidP="0002035C">
      <w:pPr>
        <w:rPr>
          <w:rtl/>
        </w:rPr>
      </w:pPr>
      <w:r w:rsidRPr="00A52585">
        <w:rPr>
          <w:rFonts w:hint="cs"/>
          <w:bCs/>
          <w:rtl/>
        </w:rPr>
        <w:t>(</w:t>
      </w:r>
      <w:r w:rsidR="00777DCB" w:rsidRPr="00A52585">
        <w:rPr>
          <w:rFonts w:hint="cs"/>
          <w:bCs/>
          <w:rtl/>
        </w:rPr>
        <w:t>ث</w:t>
      </w:r>
      <w:r w:rsidRPr="00A52585">
        <w:rPr>
          <w:rFonts w:hint="cs"/>
          <w:bCs/>
          <w:rtl/>
        </w:rPr>
        <w:t>)</w:t>
      </w:r>
      <w:r w:rsidR="00777DCB" w:rsidRPr="00A52585">
        <w:rPr>
          <w:rFonts w:hint="cs"/>
          <w:bCs/>
          <w:rtl/>
        </w:rPr>
        <w:t xml:space="preserve"> قوله</w:t>
      </w:r>
      <w:r w:rsidR="00777DCB" w:rsidRPr="00A52585">
        <w:rPr>
          <w:rFonts w:hint="cs"/>
          <w:bCs/>
        </w:rPr>
        <w:t xml:space="preserve"> </w:t>
      </w:r>
      <w:r w:rsidR="00777DCB" w:rsidRPr="00A52585">
        <w:rPr>
          <w:rFonts w:hint="cs"/>
          <w:bCs/>
          <w:rtl/>
        </w:rPr>
        <w:t>تعالى</w:t>
      </w:r>
      <w:r w:rsidR="00777DCB" w:rsidRPr="00A52585">
        <w:rPr>
          <w:rFonts w:hint="cs"/>
          <w:rtl/>
        </w:rPr>
        <w:t xml:space="preserve"> {كُلُّ مَنْ</w:t>
      </w:r>
      <w:r w:rsidR="00777DCB" w:rsidRPr="00A52585">
        <w:rPr>
          <w:rFonts w:hint="cs"/>
        </w:rPr>
        <w:t xml:space="preserve"> </w:t>
      </w:r>
      <w:r w:rsidR="00777DCB" w:rsidRPr="00A52585">
        <w:rPr>
          <w:rFonts w:hint="cs"/>
          <w:rtl/>
        </w:rPr>
        <w:t>عَلَيْهَا فَانٍ * وَيَبْقَى وَجْهُ رَبِّكَ ذُو الْجَلَالِ وَالْإِكْرَامِ</w:t>
      </w:r>
      <w:r w:rsidRPr="00A52585">
        <w:rPr>
          <w:rFonts w:hint="cs"/>
          <w:rtl/>
        </w:rPr>
        <w:t>} [</w:t>
      </w:r>
      <w:r w:rsidR="00777DCB" w:rsidRPr="00A52585">
        <w:rPr>
          <w:rFonts w:hint="cs"/>
          <w:rtl/>
        </w:rPr>
        <w:t>سورة الرحمن /26-27]</w:t>
      </w:r>
      <w:r w:rsidR="00DB731D" w:rsidRPr="00A52585">
        <w:rPr>
          <w:rFonts w:hint="cs"/>
          <w:rtl/>
        </w:rPr>
        <w:t>،</w:t>
      </w:r>
      <w:r w:rsidR="00777DCB" w:rsidRPr="00A52585">
        <w:rPr>
          <w:rFonts w:hint="cs"/>
          <w:rtl/>
        </w:rPr>
        <w:t xml:space="preserve"> </w:t>
      </w:r>
      <w:r w:rsidR="00777DCB" w:rsidRPr="00A52585">
        <w:rPr>
          <w:rFonts w:hint="cs"/>
          <w:bCs/>
          <w:rtl/>
        </w:rPr>
        <w:t>قال</w:t>
      </w:r>
      <w:r w:rsidR="00777DCB" w:rsidRPr="00A52585">
        <w:rPr>
          <w:rFonts w:hint="cs"/>
          <w:bCs/>
        </w:rPr>
        <w:t xml:space="preserve"> </w:t>
      </w:r>
      <w:r w:rsidR="00777DCB" w:rsidRPr="00A52585">
        <w:rPr>
          <w:rFonts w:hint="cs"/>
          <w:bCs/>
          <w:rtl/>
        </w:rPr>
        <w:t>القرطبي في تفسيره</w:t>
      </w:r>
      <w:r w:rsidRPr="00A52585">
        <w:rPr>
          <w:rFonts w:hint="cs"/>
          <w:rtl/>
        </w:rPr>
        <w:t>:</w:t>
      </w:r>
      <w:r w:rsidR="00777DCB" w:rsidRPr="00A52585">
        <w:rPr>
          <w:rFonts w:hint="cs"/>
          <w:rtl/>
        </w:rPr>
        <w:t xml:space="preserve"> ".. قال حذاق المتكلمين في قوله تعالى </w:t>
      </w:r>
      <w:r w:rsidRPr="00A52585">
        <w:rPr>
          <w:rFonts w:hint="cs"/>
          <w:rtl/>
        </w:rPr>
        <w:t>(</w:t>
      </w:r>
      <w:r w:rsidR="00777DCB" w:rsidRPr="00A52585">
        <w:rPr>
          <w:rFonts w:hint="cs"/>
          <w:rtl/>
        </w:rPr>
        <w:t>ويبقى وجه ربك</w:t>
      </w:r>
      <w:r w:rsidRPr="00A52585">
        <w:rPr>
          <w:rFonts w:hint="cs"/>
          <w:rtl/>
        </w:rPr>
        <w:t>)</w:t>
      </w:r>
      <w:r w:rsidR="00777DCB" w:rsidRPr="00A52585">
        <w:rPr>
          <w:rFonts w:hint="cs"/>
          <w:rtl/>
        </w:rPr>
        <w:t xml:space="preserve"> إنها عبارة عن الذات</w:t>
      </w:r>
      <w:r w:rsidR="00DB731D" w:rsidRPr="00A52585">
        <w:rPr>
          <w:rFonts w:hint="cs"/>
          <w:rtl/>
        </w:rPr>
        <w:t>،</w:t>
      </w:r>
      <w:r w:rsidR="00777DCB" w:rsidRPr="00A52585">
        <w:rPr>
          <w:rFonts w:hint="cs"/>
          <w:rtl/>
        </w:rPr>
        <w:t xml:space="preserve"> قيل العمل الذي يقصد به وجهه " </w:t>
      </w:r>
      <w:r w:rsidRPr="00A52585">
        <w:rPr>
          <w:rFonts w:hint="cs"/>
          <w:rtl/>
        </w:rPr>
        <w:t>[</w:t>
      </w:r>
      <w:r w:rsidR="00777DCB" w:rsidRPr="00A52585">
        <w:rPr>
          <w:rFonts w:hint="cs"/>
          <w:rtl/>
        </w:rPr>
        <w:t>تفسير القرطبي ج: 4 ص: 45]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يريدون وجهه أي طاعته والإخلاص فيها أي يخلصون في عبادتهم وأعمالهم لله ويتوجهون بذلك إليه لا لغيره " </w:t>
      </w:r>
      <w:r w:rsidRPr="00A52585">
        <w:rPr>
          <w:rFonts w:hint="cs"/>
          <w:rtl/>
        </w:rPr>
        <w:t>[</w:t>
      </w:r>
      <w:r w:rsidR="00777DCB" w:rsidRPr="00A52585">
        <w:rPr>
          <w:rFonts w:hint="cs"/>
          <w:rtl/>
        </w:rPr>
        <w:t>تفسير القرطبي ج: 6 ص: 432]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وأما ما كان منها لله فهو من الآخرة وهو الذي يبقى كما قال</w:t>
      </w:r>
      <w:r w:rsidRPr="00A52585">
        <w:rPr>
          <w:rFonts w:hint="cs"/>
          <w:rtl/>
        </w:rPr>
        <w:t xml:space="preserve"> (</w:t>
      </w:r>
      <w:r w:rsidR="00777DCB" w:rsidRPr="00A52585">
        <w:rPr>
          <w:rFonts w:hint="cs"/>
          <w:rtl/>
        </w:rPr>
        <w:t>ويبقى</w:t>
      </w:r>
      <w:r w:rsidRPr="00A52585">
        <w:rPr>
          <w:rFonts w:hint="cs"/>
          <w:rtl/>
        </w:rPr>
        <w:t xml:space="preserve"> </w:t>
      </w:r>
      <w:r w:rsidR="00777DCB" w:rsidRPr="00A52585">
        <w:rPr>
          <w:rFonts w:hint="cs"/>
          <w:rtl/>
        </w:rPr>
        <w:t>وجه ربك</w:t>
      </w:r>
      <w:r w:rsidRPr="00A52585">
        <w:rPr>
          <w:rFonts w:hint="cs"/>
          <w:rtl/>
        </w:rPr>
        <w:t xml:space="preserve"> </w:t>
      </w:r>
      <w:r w:rsidR="00777DCB" w:rsidRPr="00A52585">
        <w:rPr>
          <w:rFonts w:hint="cs"/>
          <w:rtl/>
        </w:rPr>
        <w:t>ذو الجلال والإكرام</w:t>
      </w:r>
      <w:r w:rsidRPr="00A52585">
        <w:rPr>
          <w:rFonts w:hint="cs"/>
          <w:rtl/>
        </w:rPr>
        <w:t>)</w:t>
      </w:r>
      <w:r w:rsidR="00777DCB" w:rsidRPr="00A52585">
        <w:rPr>
          <w:rFonts w:hint="cs"/>
          <w:rtl/>
        </w:rPr>
        <w:t xml:space="preserve"> أي ما ابتغى به ثوابه ورضاه وإن </w:t>
      </w:r>
      <w:proofErr w:type="spellStart"/>
      <w:r w:rsidR="00777DCB" w:rsidRPr="00A52585">
        <w:rPr>
          <w:rFonts w:hint="cs"/>
          <w:rtl/>
        </w:rPr>
        <w:t>الدارالآخرة</w:t>
      </w:r>
      <w:proofErr w:type="spellEnd"/>
      <w:r w:rsidR="00777DCB" w:rsidRPr="00A52585">
        <w:rPr>
          <w:rFonts w:hint="cs"/>
          <w:rtl/>
        </w:rPr>
        <w:t xml:space="preserve"> لهي الحيوان أي دار الحياة الباقية التي لا تزول ولا موت فيها " [تفسير القرطبي ج: 13 ص: 362]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رحمه الله</w:t>
      </w:r>
      <w:r w:rsidRPr="00A52585">
        <w:rPr>
          <w:rFonts w:hint="cs"/>
          <w:rtl/>
        </w:rPr>
        <w:t>:</w:t>
      </w:r>
      <w:r w:rsidR="00777DCB" w:rsidRPr="00A52585">
        <w:rPr>
          <w:rFonts w:hint="cs"/>
          <w:rtl/>
        </w:rPr>
        <w:t xml:space="preserve"> " قوله تعالى</w:t>
      </w:r>
      <w:r w:rsidRPr="00A52585">
        <w:rPr>
          <w:rFonts w:hint="cs"/>
          <w:rtl/>
        </w:rPr>
        <w:t xml:space="preserve"> </w:t>
      </w:r>
      <w:r w:rsidR="00777DCB" w:rsidRPr="00A52585">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777DCB" w:rsidRPr="00A52585">
        <w:rPr>
          <w:rFonts w:hint="cs"/>
          <w:bCs/>
          <w:rtl/>
        </w:rPr>
        <w:t>مجاهد</w:t>
      </w:r>
      <w:r w:rsidRPr="00A52585">
        <w:rPr>
          <w:rFonts w:hint="cs"/>
          <w:rtl/>
        </w:rPr>
        <w:t>:</w:t>
      </w:r>
      <w:r w:rsidR="00777DCB" w:rsidRPr="00A52585">
        <w:rPr>
          <w:rFonts w:hint="cs"/>
          <w:rtl/>
        </w:rPr>
        <w:t xml:space="preserve"> اليد هاهنا بمعنى التأكد والصلة مجازه لما خلقت أنا كقوله</w:t>
      </w:r>
      <w:r w:rsidRPr="00A52585">
        <w:rPr>
          <w:rFonts w:hint="cs"/>
          <w:rtl/>
        </w:rPr>
        <w:t xml:space="preserve"> (</w:t>
      </w:r>
      <w:r w:rsidR="00777DCB" w:rsidRPr="00A52585">
        <w:rPr>
          <w:rFonts w:hint="cs"/>
          <w:bCs/>
          <w:rtl/>
        </w:rPr>
        <w:t>ويبقى وجه ربك</w:t>
      </w:r>
      <w:r w:rsidRPr="00A52585">
        <w:rPr>
          <w:rFonts w:hint="cs"/>
          <w:rtl/>
        </w:rPr>
        <w:t xml:space="preserve">) </w:t>
      </w:r>
      <w:r w:rsidR="00777DCB" w:rsidRPr="00A52585">
        <w:rPr>
          <w:rFonts w:hint="cs"/>
          <w:rtl/>
        </w:rPr>
        <w:t>أي يبقى ربك " [تفسير القرطبي ج: 15 ص: 228</w:t>
      </w:r>
      <w:r w:rsidRPr="00A52585">
        <w:rPr>
          <w:rFonts w:hint="cs"/>
          <w:rtl/>
        </w:rPr>
        <w:t>]</w:t>
      </w:r>
      <w:r w:rsidR="00777DCB" w:rsidRPr="00A52585">
        <w:rPr>
          <w:rFonts w:hint="cs"/>
          <w:rtl/>
        </w:rPr>
        <w:t xml:space="preserve"> أهـ</w:t>
      </w:r>
      <w:r w:rsidR="00DB731D" w:rsidRPr="00A52585">
        <w:rPr>
          <w:rFonts w:hint="cs"/>
          <w:rtl/>
        </w:rPr>
        <w:t>،</w:t>
      </w:r>
      <w:r w:rsidR="00777DCB" w:rsidRPr="00A52585">
        <w:rPr>
          <w:rFonts w:hint="cs"/>
          <w:rtl/>
        </w:rPr>
        <w:t xml:space="preserve"> </w:t>
      </w:r>
      <w:r w:rsidR="00777DCB" w:rsidRPr="00A52585">
        <w:rPr>
          <w:rFonts w:hint="cs"/>
          <w:bCs/>
          <w:rtl/>
        </w:rPr>
        <w:t>وقال ابن كثير في تفسيره</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ويبقى وجه ربك ذو الجلال والإكرام</w:t>
      </w:r>
      <w:r w:rsidRPr="00A52585">
        <w:rPr>
          <w:rFonts w:hint="cs"/>
          <w:rtl/>
        </w:rPr>
        <w:t>)</w:t>
      </w:r>
      <w:r w:rsidR="00777DCB" w:rsidRPr="00A52585">
        <w:rPr>
          <w:rFonts w:hint="cs"/>
          <w:rtl/>
        </w:rPr>
        <w:t xml:space="preserve">فهو تعالى وحده الذي لا يموت والجن والإنس يموتون وكذلك الملائكة وحملة العرش وينفرد الواحد الأحد </w:t>
      </w:r>
      <w:r w:rsidR="00777DCB" w:rsidRPr="00A52585">
        <w:rPr>
          <w:rFonts w:hint="cs"/>
          <w:rtl/>
        </w:rPr>
        <w:lastRenderedPageBreak/>
        <w:t>القهار بالديمومة والبقاء فيكون آخرا كما كان أولا "</w:t>
      </w:r>
      <w:r w:rsidRPr="00A52585">
        <w:rPr>
          <w:rFonts w:hint="cs"/>
          <w:rtl/>
        </w:rPr>
        <w:t>[</w:t>
      </w:r>
      <w:r w:rsidR="00777DCB" w:rsidRPr="00A52585">
        <w:rPr>
          <w:rFonts w:hint="cs"/>
          <w:rtl/>
        </w:rPr>
        <w:t>تفسير ابن كثير ج: 1 ص: 435]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رحمه</w:t>
      </w:r>
      <w:r w:rsidR="00777DCB" w:rsidRPr="00A52585">
        <w:rPr>
          <w:rFonts w:hint="cs"/>
          <w:bCs/>
        </w:rPr>
        <w:t xml:space="preserve"> </w:t>
      </w:r>
      <w:r w:rsidR="00777DCB" w:rsidRPr="00A52585">
        <w:rPr>
          <w:rFonts w:hint="cs"/>
          <w:bCs/>
          <w:rtl/>
        </w:rPr>
        <w:t>الله</w:t>
      </w:r>
      <w:r w:rsidRPr="00A52585">
        <w:rPr>
          <w:rFonts w:hint="cs"/>
          <w:rtl/>
        </w:rPr>
        <w:t>:</w:t>
      </w:r>
      <w:r w:rsidR="00777DCB" w:rsidRPr="00A52585">
        <w:rPr>
          <w:rFonts w:hint="cs"/>
          <w:rtl/>
        </w:rPr>
        <w:t xml:space="preserve"> " وقوله كل شيء هالك إلا وجهه إخبار بأنه الدائم الباقي الحي القيوم الذي تموت الخلائق ولا يموت كما قال تعالى </w:t>
      </w:r>
      <w:r w:rsidRPr="00A52585">
        <w:rPr>
          <w:rFonts w:hint="cs"/>
          <w:rtl/>
        </w:rPr>
        <w:t>(</w:t>
      </w:r>
      <w:r w:rsidR="00777DCB" w:rsidRPr="00A52585">
        <w:rPr>
          <w:rFonts w:hint="cs"/>
          <w:rtl/>
        </w:rPr>
        <w:t>كل من عليها فان ويبقى وجه ربك ذو الجلال والإكرام</w:t>
      </w:r>
      <w:r w:rsidRPr="00A52585">
        <w:rPr>
          <w:rFonts w:hint="cs"/>
          <w:rtl/>
        </w:rPr>
        <w:t>)</w:t>
      </w:r>
      <w:r w:rsidR="00777DCB" w:rsidRPr="00A52585">
        <w:rPr>
          <w:rFonts w:hint="cs"/>
          <w:rtl/>
        </w:rPr>
        <w:t xml:space="preserve"> </w:t>
      </w:r>
      <w:r w:rsidR="00777DCB" w:rsidRPr="00A52585">
        <w:rPr>
          <w:rFonts w:hint="cs"/>
          <w:bCs/>
          <w:rtl/>
        </w:rPr>
        <w:t>فعبر بالوجه عن الذات</w:t>
      </w:r>
      <w:r w:rsidR="00777DCB" w:rsidRPr="00A52585">
        <w:rPr>
          <w:rFonts w:hint="cs"/>
          <w:rtl/>
        </w:rPr>
        <w:t xml:space="preserve"> وهكذا قوله هاهنا (كل شيء هالك إلا وجهه)</w:t>
      </w:r>
      <w:r w:rsidRPr="00A52585">
        <w:rPr>
          <w:rFonts w:hint="cs"/>
          <w:rtl/>
        </w:rPr>
        <w:t xml:space="preserve"> </w:t>
      </w:r>
      <w:r w:rsidR="00777DCB" w:rsidRPr="00A52585">
        <w:rPr>
          <w:rFonts w:hint="cs"/>
          <w:rtl/>
        </w:rPr>
        <w:t xml:space="preserve">أي إلا </w:t>
      </w:r>
      <w:proofErr w:type="spellStart"/>
      <w:r w:rsidR="00777DCB" w:rsidRPr="00A52585">
        <w:rPr>
          <w:rFonts w:hint="cs"/>
          <w:rtl/>
        </w:rPr>
        <w:t>إياه</w:t>
      </w:r>
      <w:r w:rsidR="00897A24" w:rsidRPr="00A52585">
        <w:rPr>
          <w:rFonts w:hint="cs"/>
          <w:rtl/>
        </w:rPr>
        <w:t>.</w:t>
      </w:r>
      <w:r w:rsidR="00777DCB" w:rsidRPr="00A52585">
        <w:rPr>
          <w:rFonts w:hint="cs"/>
          <w:rtl/>
        </w:rPr>
        <w:t>.وقال</w:t>
      </w:r>
      <w:proofErr w:type="spellEnd"/>
      <w:r w:rsidR="00777DCB" w:rsidRPr="00A52585">
        <w:rPr>
          <w:rFonts w:hint="cs"/>
          <w:rtl/>
        </w:rPr>
        <w:t xml:space="preserve"> مجاهد والثوري في قوله </w:t>
      </w:r>
      <w:r w:rsidRPr="00A52585">
        <w:rPr>
          <w:rFonts w:hint="cs"/>
          <w:rtl/>
        </w:rPr>
        <w:t>(</w:t>
      </w:r>
      <w:r w:rsidR="00777DCB" w:rsidRPr="00A52585">
        <w:rPr>
          <w:rFonts w:hint="cs"/>
          <w:rtl/>
        </w:rPr>
        <w:t>كل شيء هالك إلا وجهه</w:t>
      </w:r>
      <w:r w:rsidRPr="00A52585">
        <w:rPr>
          <w:rFonts w:hint="cs"/>
          <w:rtl/>
        </w:rPr>
        <w:t>)</w:t>
      </w:r>
      <w:r w:rsidR="00777DCB" w:rsidRPr="00A52585">
        <w:rPr>
          <w:rFonts w:hint="cs"/>
          <w:rtl/>
        </w:rPr>
        <w:t xml:space="preserve"> أي إلا ما أريد به وجهه وحكاه البخاري في صحيحه كالمقرر له قال ابن جرير</w:t>
      </w:r>
      <w:r w:rsidRPr="00A52585">
        <w:rPr>
          <w:rFonts w:hint="cs"/>
          <w:rtl/>
        </w:rPr>
        <w:t>:</w:t>
      </w:r>
      <w:r w:rsidR="00777DCB" w:rsidRPr="00A52585">
        <w:rPr>
          <w:rFonts w:hint="cs"/>
          <w:rtl/>
        </w:rPr>
        <w:t xml:space="preserve"> ويستشهد من قال ذلك بقول الشاعر</w:t>
      </w:r>
      <w:r w:rsidRPr="00A52585">
        <w:rPr>
          <w:rFonts w:hint="cs"/>
          <w:rtl/>
        </w:rPr>
        <w:t xml:space="preserve"> (</w:t>
      </w:r>
      <w:r w:rsidR="00777DCB" w:rsidRPr="00A52585">
        <w:rPr>
          <w:rFonts w:hint="cs"/>
          <w:rtl/>
        </w:rPr>
        <w:t>أستغفر الله ذنبا لست محصيه * رب العباد إليه الوجه والعمل</w:t>
      </w:r>
      <w:r w:rsidRPr="00A52585">
        <w:rPr>
          <w:rFonts w:hint="cs"/>
          <w:rtl/>
        </w:rPr>
        <w:t>)</w:t>
      </w:r>
      <w:r w:rsidR="00777DCB" w:rsidRPr="00A52585">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w:t>
      </w:r>
      <w:proofErr w:type="spellStart"/>
      <w:r w:rsidR="00777DCB" w:rsidRPr="00A52585">
        <w:rPr>
          <w:rFonts w:hint="cs"/>
          <w:rtl/>
        </w:rPr>
        <w:t>شئ</w:t>
      </w:r>
      <w:proofErr w:type="spellEnd"/>
      <w:r w:rsidR="00777DCB" w:rsidRPr="00A52585">
        <w:rPr>
          <w:rFonts w:hint="cs"/>
          <w:rtl/>
        </w:rPr>
        <w:t xml:space="preserve"> " </w:t>
      </w:r>
      <w:r w:rsidRPr="00A52585">
        <w:rPr>
          <w:rFonts w:hint="cs"/>
          <w:rtl/>
        </w:rPr>
        <w:t>[</w:t>
      </w:r>
      <w:r w:rsidR="00777DCB" w:rsidRPr="00A52585">
        <w:rPr>
          <w:rFonts w:hint="cs"/>
          <w:rtl/>
        </w:rPr>
        <w:t>تفسير ابن كثير ج: 3 ص: 404]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الزركشي في البرهان</w:t>
      </w:r>
      <w:r w:rsidRPr="00A52585">
        <w:rPr>
          <w:rFonts w:hint="cs"/>
          <w:rtl/>
        </w:rPr>
        <w:t>:</w:t>
      </w:r>
      <w:r w:rsidR="00777DCB" w:rsidRPr="00A52585">
        <w:rPr>
          <w:rFonts w:hint="cs"/>
          <w:rtl/>
        </w:rPr>
        <w:t xml:space="preserve"> " حكي الواحدي عن اكثر المفسرين في قوله تعالى </w:t>
      </w:r>
      <w:proofErr w:type="spellStart"/>
      <w:r w:rsidR="00777DCB" w:rsidRPr="00A52585">
        <w:rPr>
          <w:rFonts w:hint="cs"/>
          <w:rtl/>
        </w:rPr>
        <w:t>فاينما</w:t>
      </w:r>
      <w:proofErr w:type="spellEnd"/>
      <w:r w:rsidR="00777DCB" w:rsidRPr="00A52585">
        <w:rPr>
          <w:rFonts w:hint="cs"/>
          <w:rtl/>
        </w:rPr>
        <w:t xml:space="preserve"> تولوا فثم وجه الله ان الوجه صلة والمعنى فثم الله يعلم ويرى قال والوجه قد ورد صلة مع اسم الله كثيرا كقوله </w:t>
      </w:r>
      <w:r w:rsidRPr="00A52585">
        <w:rPr>
          <w:rFonts w:hint="cs"/>
          <w:rtl/>
        </w:rPr>
        <w:t>(</w:t>
      </w:r>
      <w:r w:rsidR="00777DCB" w:rsidRPr="00A52585">
        <w:rPr>
          <w:rFonts w:hint="cs"/>
          <w:rtl/>
        </w:rPr>
        <w:t>ويبقى وجه ربك</w:t>
      </w:r>
      <w:r w:rsidRPr="00A52585">
        <w:rPr>
          <w:rFonts w:hint="cs"/>
          <w:rtl/>
        </w:rPr>
        <w:t xml:space="preserve">) </w:t>
      </w:r>
      <w:r w:rsidR="00777DCB" w:rsidRPr="00A52585">
        <w:rPr>
          <w:rFonts w:hint="cs"/>
          <w:rtl/>
        </w:rPr>
        <w:t>إنما نطعمكم لوجه الله كل شيء هلك إلا وجهة</w:t>
      </w:r>
      <w:r w:rsidRPr="00A52585">
        <w:rPr>
          <w:rFonts w:hint="cs"/>
          <w:rtl/>
        </w:rPr>
        <w:t xml:space="preserve"> </w:t>
      </w:r>
      <w:r w:rsidR="00777DCB" w:rsidRPr="00A52585">
        <w:rPr>
          <w:rFonts w:hint="cs"/>
          <w:rtl/>
        </w:rPr>
        <w:t xml:space="preserve">قلت والاشبه حمله على أن المراد به الذات كما في قوله تعالى بلى من اسلم وجهة الله وهو أولى من دعوى الزيادة " </w:t>
      </w:r>
      <w:r w:rsidRPr="00A52585">
        <w:rPr>
          <w:rFonts w:hint="cs"/>
          <w:rtl/>
        </w:rPr>
        <w:t>[</w:t>
      </w:r>
      <w:r w:rsidR="00777DCB" w:rsidRPr="00A52585">
        <w:rPr>
          <w:rFonts w:hint="cs"/>
          <w:rtl/>
        </w:rPr>
        <w:t>البرهان في علوم القرآن ج: 2 ص: 278] أهـ</w:t>
      </w:r>
      <w:r w:rsidR="00DB731D" w:rsidRPr="00A52585">
        <w:rPr>
          <w:rFonts w:hint="cs"/>
          <w:rtl/>
        </w:rPr>
        <w:t>،</w:t>
      </w:r>
      <w:r w:rsidR="00777DCB" w:rsidRPr="00A52585">
        <w:rPr>
          <w:rFonts w:hint="cs"/>
          <w:rtl/>
        </w:rPr>
        <w:t xml:space="preserve"> </w:t>
      </w:r>
      <w:r w:rsidR="00777DCB" w:rsidRPr="00A52585">
        <w:rPr>
          <w:rFonts w:hint="cs"/>
          <w:bCs/>
          <w:rtl/>
        </w:rPr>
        <w:t>وجاء في معاني القرآن</w:t>
      </w:r>
      <w:r w:rsidRPr="00A52585">
        <w:rPr>
          <w:rFonts w:hint="cs"/>
          <w:rtl/>
        </w:rPr>
        <w:t>:</w:t>
      </w:r>
      <w:r w:rsidR="00777DCB" w:rsidRPr="00A52585">
        <w:rPr>
          <w:rFonts w:hint="cs"/>
          <w:rtl/>
        </w:rPr>
        <w:t xml:space="preserve"> " ومعنى أسلمت وجهي لله أسلمت نفسي لله كما قال تعالى </w:t>
      </w:r>
      <w:r w:rsidRPr="00A52585">
        <w:rPr>
          <w:rFonts w:hint="cs"/>
          <w:rtl/>
        </w:rPr>
        <w:t>(</w:t>
      </w:r>
      <w:r w:rsidR="00777DCB" w:rsidRPr="00A52585">
        <w:rPr>
          <w:rFonts w:hint="cs"/>
          <w:rtl/>
        </w:rPr>
        <w:t>ويبقى وجه ربك</w:t>
      </w:r>
      <w:r w:rsidRPr="00A52585">
        <w:rPr>
          <w:rFonts w:hint="cs"/>
          <w:rtl/>
        </w:rPr>
        <w:t xml:space="preserve">) </w:t>
      </w:r>
      <w:r w:rsidR="00777DCB" w:rsidRPr="00A52585">
        <w:rPr>
          <w:rFonts w:hint="cs"/>
          <w:rtl/>
        </w:rPr>
        <w:t>أي ويبقى ربك " [معاني القرآن ج: 1 ص: 373] أهـ</w:t>
      </w:r>
      <w:r w:rsidR="00DB731D" w:rsidRPr="00A52585">
        <w:rPr>
          <w:rFonts w:hint="cs"/>
          <w:rtl/>
        </w:rPr>
        <w:t>،</w:t>
      </w:r>
      <w:r w:rsidR="00777DCB" w:rsidRPr="00A52585">
        <w:rPr>
          <w:rFonts w:hint="cs"/>
          <w:rtl/>
        </w:rPr>
        <w:t xml:space="preserve"> </w:t>
      </w:r>
      <w:r w:rsidR="00777DCB" w:rsidRPr="00A52585">
        <w:rPr>
          <w:rFonts w:hint="cs"/>
          <w:bCs/>
          <w:rtl/>
        </w:rPr>
        <w:t>وقال القاضي البيضاوي في تفسيره</w:t>
      </w:r>
      <w:r w:rsidRPr="00A52585">
        <w:rPr>
          <w:rFonts w:hint="cs"/>
          <w:rtl/>
        </w:rPr>
        <w:t>:</w:t>
      </w:r>
      <w:r w:rsidR="00777DCB" w:rsidRPr="00A52585">
        <w:rPr>
          <w:rFonts w:hint="cs"/>
          <w:rtl/>
        </w:rPr>
        <w:t xml:space="preserve"> " ويبقى</w:t>
      </w:r>
      <w:r w:rsidRPr="00A52585">
        <w:rPr>
          <w:rFonts w:hint="cs"/>
          <w:rtl/>
        </w:rPr>
        <w:t xml:space="preserve"> </w:t>
      </w:r>
      <w:r w:rsidR="00777DCB" w:rsidRPr="00A52585">
        <w:rPr>
          <w:rFonts w:hint="cs"/>
          <w:rtl/>
        </w:rPr>
        <w:t>وجه ربك</w:t>
      </w:r>
      <w:r w:rsidRPr="00A52585">
        <w:rPr>
          <w:rFonts w:hint="cs"/>
          <w:rtl/>
        </w:rPr>
        <w:t xml:space="preserve"> </w:t>
      </w:r>
      <w:r w:rsidR="00777DCB" w:rsidRPr="00A52585">
        <w:rPr>
          <w:rFonts w:hint="cs"/>
          <w:rtl/>
        </w:rPr>
        <w:t xml:space="preserve">ذاته " </w:t>
      </w:r>
      <w:r w:rsidRPr="00A52585">
        <w:rPr>
          <w:rFonts w:hint="cs"/>
          <w:rtl/>
        </w:rPr>
        <w:t>[</w:t>
      </w:r>
      <w:r w:rsidR="00777DCB" w:rsidRPr="00A52585">
        <w:rPr>
          <w:rFonts w:hint="cs"/>
          <w:rtl/>
        </w:rPr>
        <w:t>تفسير البيضاوي</w:t>
      </w:r>
      <w:r w:rsidR="00777DCB" w:rsidRPr="00A52585">
        <w:rPr>
          <w:rFonts w:hint="cs"/>
        </w:rPr>
        <w:t xml:space="preserve"> </w:t>
      </w:r>
      <w:r w:rsidR="00777DCB" w:rsidRPr="00A52585">
        <w:rPr>
          <w:rFonts w:hint="cs"/>
          <w:rtl/>
        </w:rPr>
        <w:t>ج: 5 ص: 276]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أبو السعود في تفسيره</w:t>
      </w:r>
      <w:r w:rsidR="00777DCB" w:rsidRPr="00A52585">
        <w:rPr>
          <w:rFonts w:hint="cs"/>
          <w:rtl/>
        </w:rPr>
        <w:t xml:space="preserve"> " </w:t>
      </w:r>
      <w:r w:rsidRPr="00A52585">
        <w:rPr>
          <w:rFonts w:hint="cs"/>
          <w:rtl/>
        </w:rPr>
        <w:t>(</w:t>
      </w:r>
      <w:r w:rsidR="00777DCB" w:rsidRPr="00A52585">
        <w:rPr>
          <w:rFonts w:hint="cs"/>
          <w:rtl/>
        </w:rPr>
        <w:t>ويبقى وجه ربك</w:t>
      </w:r>
      <w:r w:rsidRPr="00A52585">
        <w:rPr>
          <w:rFonts w:hint="cs"/>
          <w:rtl/>
        </w:rPr>
        <w:t xml:space="preserve">) </w:t>
      </w:r>
      <w:r w:rsidR="00777DCB" w:rsidRPr="00A52585">
        <w:rPr>
          <w:rFonts w:hint="cs"/>
          <w:rtl/>
        </w:rPr>
        <w:t xml:space="preserve">أي ذاته عز وجل " </w:t>
      </w:r>
      <w:r w:rsidRPr="00A52585">
        <w:rPr>
          <w:rFonts w:hint="cs"/>
          <w:rtl/>
        </w:rPr>
        <w:t>[</w:t>
      </w:r>
      <w:r w:rsidR="00777DCB" w:rsidRPr="00A52585">
        <w:rPr>
          <w:rFonts w:hint="cs"/>
          <w:rtl/>
        </w:rPr>
        <w:t>تفسير أبي السعود ج: 8 ص: 180]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الشوكاني في تفسيره</w:t>
      </w:r>
      <w:r w:rsidRPr="00A52585">
        <w:rPr>
          <w:rFonts w:hint="cs"/>
          <w:rtl/>
        </w:rPr>
        <w:t>:</w:t>
      </w:r>
      <w:r w:rsidR="00777DCB" w:rsidRPr="00A52585">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777DCB" w:rsidRPr="00A52585">
        <w:rPr>
          <w:rFonts w:hint="cs"/>
          <w:bCs/>
          <w:rtl/>
        </w:rPr>
        <w:t>قال مجاهد</w:t>
      </w:r>
      <w:r w:rsidRPr="00A52585">
        <w:rPr>
          <w:rFonts w:hint="cs"/>
          <w:rtl/>
        </w:rPr>
        <w:t>:</w:t>
      </w:r>
      <w:r w:rsidR="00777DCB" w:rsidRPr="00A52585">
        <w:rPr>
          <w:rFonts w:hint="cs"/>
          <w:rtl/>
        </w:rPr>
        <w:t xml:space="preserve"> اليد هنا بمعنى التأكيد والصلة مجازا كقوله </w:t>
      </w:r>
      <w:r w:rsidRPr="00A52585">
        <w:rPr>
          <w:rFonts w:hint="cs"/>
          <w:rtl/>
        </w:rPr>
        <w:t>(</w:t>
      </w:r>
      <w:r w:rsidR="00777DCB" w:rsidRPr="00A52585">
        <w:rPr>
          <w:rFonts w:hint="cs"/>
          <w:bCs/>
          <w:rtl/>
        </w:rPr>
        <w:t>ويبقى وجه ربك</w:t>
      </w:r>
      <w:r w:rsidRPr="00A52585">
        <w:rPr>
          <w:rFonts w:hint="cs"/>
          <w:rtl/>
        </w:rPr>
        <w:t xml:space="preserve">) </w:t>
      </w:r>
      <w:r w:rsidR="00777DCB" w:rsidRPr="00A52585">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رحمه</w:t>
      </w:r>
      <w:r w:rsidR="00777DCB" w:rsidRPr="00A52585">
        <w:rPr>
          <w:rFonts w:hint="cs"/>
          <w:bCs/>
        </w:rPr>
        <w:t xml:space="preserve"> </w:t>
      </w:r>
      <w:r w:rsidR="00777DCB" w:rsidRPr="00A52585">
        <w:rPr>
          <w:rFonts w:hint="cs"/>
          <w:bCs/>
          <w:rtl/>
        </w:rPr>
        <w:t>الله</w:t>
      </w:r>
      <w:r w:rsidRPr="00A52585">
        <w:rPr>
          <w:rFonts w:hint="cs"/>
          <w:bCs/>
          <w:rtl/>
        </w:rPr>
        <w:t xml:space="preserve">: </w:t>
      </w:r>
      <w:r w:rsidR="00777DCB" w:rsidRPr="00A52585">
        <w:rPr>
          <w:rFonts w:hint="cs"/>
          <w:rtl/>
        </w:rPr>
        <w:t>ويبقي</w:t>
      </w:r>
      <w:r w:rsidRPr="00A52585">
        <w:rPr>
          <w:rFonts w:hint="cs"/>
          <w:rtl/>
        </w:rPr>
        <w:t xml:space="preserve"> </w:t>
      </w:r>
      <w:r w:rsidR="00777DCB" w:rsidRPr="00A52585">
        <w:rPr>
          <w:rFonts w:hint="cs"/>
          <w:rtl/>
        </w:rPr>
        <w:t>وجه ربك</w:t>
      </w:r>
      <w:r w:rsidRPr="00A52585">
        <w:rPr>
          <w:rFonts w:hint="cs"/>
          <w:rtl/>
        </w:rPr>
        <w:t xml:space="preserve"> </w:t>
      </w:r>
      <w:r w:rsidR="00777DCB" w:rsidRPr="00A52585">
        <w:rPr>
          <w:rFonts w:hint="cs"/>
          <w:rtl/>
        </w:rPr>
        <w:t xml:space="preserve">ذو الجلال والإكرام الوجه عبارة عن ذاته سبحانه ووجوده وقد نقدم في سورة البقرة بيان معنى هذا وقيل معنى </w:t>
      </w:r>
      <w:r w:rsidRPr="00A52585">
        <w:rPr>
          <w:rFonts w:hint="cs"/>
          <w:rtl/>
        </w:rPr>
        <w:t>(</w:t>
      </w:r>
      <w:r w:rsidR="00777DCB" w:rsidRPr="00A52585">
        <w:rPr>
          <w:rFonts w:hint="cs"/>
          <w:rtl/>
        </w:rPr>
        <w:t>يبقى وجه ربك</w:t>
      </w:r>
      <w:r w:rsidRPr="00A52585">
        <w:rPr>
          <w:rFonts w:hint="cs"/>
          <w:rtl/>
        </w:rPr>
        <w:t>)</w:t>
      </w:r>
      <w:r w:rsidR="00777DCB" w:rsidRPr="00A52585">
        <w:rPr>
          <w:rFonts w:hint="cs"/>
          <w:rtl/>
        </w:rPr>
        <w:t xml:space="preserve"> تبقى حجته التي يتقرب بها إليه " [فتح القدير ج: 5 ص: 136]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بن الجوزي في تفسيره</w:t>
      </w:r>
      <w:r w:rsidRPr="00A52585">
        <w:rPr>
          <w:rFonts w:hint="cs"/>
          <w:rtl/>
        </w:rPr>
        <w:t>:</w:t>
      </w:r>
      <w:r w:rsidR="00777DCB" w:rsidRPr="00A52585">
        <w:rPr>
          <w:rFonts w:hint="cs"/>
          <w:rtl/>
        </w:rPr>
        <w:t xml:space="preserve"> " </w:t>
      </w:r>
      <w:r w:rsidRPr="00A52585">
        <w:rPr>
          <w:rFonts w:hint="cs"/>
          <w:rtl/>
        </w:rPr>
        <w:lastRenderedPageBreak/>
        <w:t>(</w:t>
      </w:r>
      <w:r w:rsidR="00777DCB" w:rsidRPr="00A52585">
        <w:rPr>
          <w:rFonts w:hint="cs"/>
          <w:rtl/>
        </w:rPr>
        <w:t>ويبقى وجه ربك</w:t>
      </w:r>
      <w:r w:rsidRPr="00A52585">
        <w:rPr>
          <w:rFonts w:hint="cs"/>
          <w:rtl/>
        </w:rPr>
        <w:t xml:space="preserve">) </w:t>
      </w:r>
      <w:r w:rsidR="00777DCB" w:rsidRPr="00A52585">
        <w:rPr>
          <w:rFonts w:hint="cs"/>
          <w:rtl/>
        </w:rPr>
        <w:t>أي ويبقى ربك ذو الجلال والإكرام "</w:t>
      </w:r>
      <w:r w:rsidRPr="00A52585">
        <w:rPr>
          <w:rFonts w:hint="cs"/>
          <w:rtl/>
        </w:rPr>
        <w:t>[</w:t>
      </w:r>
      <w:r w:rsidR="00777DCB" w:rsidRPr="00A52585">
        <w:rPr>
          <w:rFonts w:hint="cs"/>
          <w:rtl/>
        </w:rPr>
        <w:t>زاد المسير ج: 8 ص: 114] أهـ</w:t>
      </w:r>
      <w:r w:rsidR="00DB731D" w:rsidRPr="00A52585">
        <w:rPr>
          <w:rFonts w:hint="cs"/>
          <w:rtl/>
        </w:rPr>
        <w:t>،</w:t>
      </w:r>
      <w:r w:rsidR="00777DCB" w:rsidRPr="00A52585">
        <w:rPr>
          <w:rFonts w:hint="cs"/>
          <w:rtl/>
        </w:rPr>
        <w:t xml:space="preserve"> </w:t>
      </w:r>
      <w:r w:rsidR="00777DCB" w:rsidRPr="00A52585">
        <w:rPr>
          <w:rFonts w:hint="cs"/>
          <w:bCs/>
          <w:rtl/>
        </w:rPr>
        <w:t>وجاء في تفسير الجلالين</w:t>
      </w:r>
      <w:r w:rsidR="00777DCB" w:rsidRPr="00A52585">
        <w:rPr>
          <w:rFonts w:hint="cs"/>
          <w:rtl/>
        </w:rPr>
        <w:t xml:space="preserve">:" </w:t>
      </w:r>
      <w:r w:rsidRPr="00A52585">
        <w:rPr>
          <w:rFonts w:hint="cs"/>
          <w:rtl/>
        </w:rPr>
        <w:t>(</w:t>
      </w:r>
      <w:r w:rsidR="00777DCB" w:rsidRPr="00A52585">
        <w:rPr>
          <w:rFonts w:hint="cs"/>
          <w:rtl/>
        </w:rPr>
        <w:t>ويبقى وجه ربك</w:t>
      </w:r>
      <w:r w:rsidRPr="00A52585">
        <w:rPr>
          <w:rFonts w:hint="cs"/>
          <w:rtl/>
        </w:rPr>
        <w:t>)</w:t>
      </w:r>
      <w:r w:rsidR="00777DCB" w:rsidRPr="00A52585">
        <w:rPr>
          <w:rFonts w:hint="cs"/>
          <w:rtl/>
        </w:rPr>
        <w:t xml:space="preserve"> ذاته ذو الجلال العظمة والإكرام "</w:t>
      </w:r>
      <w:r w:rsidRPr="00A52585">
        <w:rPr>
          <w:rFonts w:hint="cs"/>
          <w:rtl/>
        </w:rPr>
        <w:t>[</w:t>
      </w:r>
      <w:r w:rsidR="00777DCB" w:rsidRPr="00A52585">
        <w:rPr>
          <w:rFonts w:hint="cs"/>
          <w:rtl/>
        </w:rPr>
        <w:t>تفسير الجلالين ج: 1 ص: 710]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النسفي في تفسيره</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w:t>
      </w:r>
      <w:proofErr w:type="spellStart"/>
      <w:r w:rsidR="00777DCB" w:rsidRPr="00A52585">
        <w:rPr>
          <w:rFonts w:hint="cs"/>
          <w:rtl/>
        </w:rPr>
        <w:t>الشئ</w:t>
      </w:r>
      <w:proofErr w:type="spellEnd"/>
      <w:r w:rsidR="00777DCB" w:rsidRPr="00A52585">
        <w:rPr>
          <w:rFonts w:hint="cs"/>
          <w:rtl/>
        </w:rPr>
        <w:t xml:space="preserve"> أقبل بوجهه وجاز أن يراد بالوجه الذات كما قال </w:t>
      </w:r>
      <w:r w:rsidRPr="00A52585">
        <w:rPr>
          <w:rFonts w:hint="cs"/>
          <w:rtl/>
        </w:rPr>
        <w:t>(</w:t>
      </w:r>
      <w:r w:rsidR="00777DCB" w:rsidRPr="00A52585">
        <w:rPr>
          <w:rFonts w:hint="cs"/>
          <w:rtl/>
        </w:rPr>
        <w:t>ويبقى وجه ربك</w:t>
      </w:r>
      <w:r w:rsidRPr="00A52585">
        <w:rPr>
          <w:rFonts w:hint="cs"/>
          <w:rtl/>
        </w:rPr>
        <w:t>)</w:t>
      </w:r>
      <w:r w:rsidR="00777DCB" w:rsidRPr="00A52585">
        <w:rPr>
          <w:rFonts w:hint="cs"/>
          <w:rtl/>
        </w:rPr>
        <w:t xml:space="preserve"> " [تفسير النسفي ج: 2 ص: 180]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الألوسي في تفسيره</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ويبقى وجه ربك</w:t>
      </w:r>
      <w:r w:rsidRPr="00A52585">
        <w:rPr>
          <w:rFonts w:hint="cs"/>
          <w:rtl/>
        </w:rPr>
        <w:t xml:space="preserve">) </w:t>
      </w:r>
      <w:r w:rsidR="00777DCB" w:rsidRPr="00A52585">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Pr="00A52585">
        <w:rPr>
          <w:rFonts w:hint="cs"/>
          <w:rtl/>
        </w:rPr>
        <w:t xml:space="preserve"> </w:t>
      </w:r>
      <w:r w:rsidR="00777DCB" w:rsidRPr="00A52585">
        <w:rPr>
          <w:rFonts w:hint="cs"/>
          <w:rtl/>
        </w:rPr>
        <w:t>أصله الجهة واستعماله في الذات من باب الكناية " [روح المعاني ج: 27 ص: 108] أهـ</w:t>
      </w:r>
      <w:r w:rsidR="00DB731D" w:rsidRPr="00A52585">
        <w:rPr>
          <w:rFonts w:hint="cs"/>
          <w:rtl/>
        </w:rPr>
        <w:t>،</w:t>
      </w:r>
      <w:r w:rsidR="00777DCB" w:rsidRPr="00A52585">
        <w:rPr>
          <w:rFonts w:hint="cs"/>
          <w:rtl/>
        </w:rPr>
        <w:t xml:space="preserve"> </w:t>
      </w:r>
      <w:r w:rsidR="00777DCB" w:rsidRPr="00A52585">
        <w:rPr>
          <w:rFonts w:hint="cs"/>
          <w:bCs/>
          <w:rtl/>
        </w:rPr>
        <w:t>وجاء في تفسير التحرير والتنوير</w:t>
      </w:r>
      <w:r w:rsidR="00777DCB" w:rsidRPr="00A52585">
        <w:rPr>
          <w:rFonts w:hint="cs"/>
          <w:rtl/>
        </w:rPr>
        <w:t>: "</w:t>
      </w:r>
      <w:r w:rsidR="00897A24" w:rsidRPr="00A52585">
        <w:rPr>
          <w:rFonts w:hint="cs"/>
          <w:rtl/>
        </w:rPr>
        <w:t>.</w:t>
      </w:r>
      <w:r w:rsidR="00777DCB" w:rsidRPr="00A52585">
        <w:rPr>
          <w:rFonts w:hint="cs"/>
          <w:rtl/>
        </w:rPr>
        <w:t>.والوجه يعبر عن الجملة والذات وقد علم السامعون أن الله تعالى يستحيل أن يكون له وجه بالمعنى الحقيقي وهو الجزء الذي في الرأس</w:t>
      </w:r>
      <w:r w:rsidR="00DB731D" w:rsidRPr="00A52585">
        <w:rPr>
          <w:rFonts w:hint="cs"/>
          <w:rtl/>
        </w:rPr>
        <w:t>،</w:t>
      </w:r>
      <w:r w:rsidR="00777DCB" w:rsidRPr="00A52585">
        <w:rPr>
          <w:rFonts w:hint="cs"/>
          <w:rtl/>
        </w:rPr>
        <w:t xml:space="preserve"> واصطلح علماء العقائد على تسمية مثل هذا بالمتشابه</w:t>
      </w:r>
      <w:r w:rsidR="00897A24" w:rsidRPr="00A52585">
        <w:rPr>
          <w:rFonts w:hint="cs"/>
          <w:rtl/>
        </w:rPr>
        <w:t>.</w:t>
      </w:r>
      <w:r w:rsidR="00777DCB" w:rsidRPr="00A52585">
        <w:rPr>
          <w:rFonts w:hint="cs"/>
          <w:rtl/>
        </w:rPr>
        <w:t xml:space="preserve"> وكان السلف يحجمون عن الخوض في ذلك مع اليقين باستحالة ظاهره على الله تعالى</w:t>
      </w:r>
      <w:r w:rsidR="00DB731D" w:rsidRPr="00A52585">
        <w:rPr>
          <w:rFonts w:hint="cs"/>
          <w:rtl/>
        </w:rPr>
        <w:t>،</w:t>
      </w:r>
      <w:r w:rsidR="00777DCB" w:rsidRPr="00A52585">
        <w:rPr>
          <w:rFonts w:hint="cs"/>
          <w:rtl/>
        </w:rPr>
        <w:t xml:space="preserve"> ثم تناوله علماء التابعين ومن بعدهم بالتأويل تدريجا إلى أن اتضح وجه التأويل بالجري</w:t>
      </w:r>
      <w:r w:rsidRPr="00A52585">
        <w:rPr>
          <w:rFonts w:hint="cs"/>
          <w:rtl/>
        </w:rPr>
        <w:t xml:space="preserve"> </w:t>
      </w:r>
      <w:r w:rsidR="00777DCB" w:rsidRPr="00A52585">
        <w:rPr>
          <w:rFonts w:hint="cs"/>
          <w:rtl/>
        </w:rPr>
        <w:t>على قواعد علم المعاني</w:t>
      </w:r>
      <w:r w:rsidR="00DB731D" w:rsidRPr="00A52585">
        <w:rPr>
          <w:rFonts w:hint="cs"/>
          <w:rtl/>
        </w:rPr>
        <w:t>،</w:t>
      </w:r>
      <w:r w:rsidR="00777DCB" w:rsidRPr="00A52585">
        <w:rPr>
          <w:rFonts w:hint="cs"/>
          <w:rtl/>
        </w:rPr>
        <w:t xml:space="preserve"> فزال الخفاء واندفع الجفاء وكلا الفريقين خيرة الحنفاء " [التحرير والتنوير</w:t>
      </w:r>
      <w:r w:rsidRPr="00A52585">
        <w:rPr>
          <w:rFonts w:hint="cs"/>
          <w:rtl/>
        </w:rPr>
        <w:t>:</w:t>
      </w:r>
      <w:r w:rsidR="00777DCB" w:rsidRPr="00A52585">
        <w:rPr>
          <w:rFonts w:hint="cs"/>
          <w:rtl/>
        </w:rPr>
        <w:t xml:space="preserve"> ج 27ص253] أهـ</w:t>
      </w:r>
      <w:r w:rsidR="00DB731D" w:rsidRPr="00A52585">
        <w:rPr>
          <w:rFonts w:hint="cs"/>
          <w:rtl/>
        </w:rPr>
        <w:t>،</w:t>
      </w:r>
      <w:r w:rsidR="00777DCB" w:rsidRPr="00A52585">
        <w:rPr>
          <w:rFonts w:hint="cs"/>
          <w:rtl/>
        </w:rPr>
        <w:t xml:space="preserve"> </w:t>
      </w:r>
      <w:r w:rsidR="00777DCB" w:rsidRPr="00A52585">
        <w:rPr>
          <w:rFonts w:hint="cs"/>
          <w:bCs/>
          <w:rtl/>
        </w:rPr>
        <w:t>وقال الرازي رحمه الله</w:t>
      </w:r>
      <w:r w:rsidRPr="00A52585">
        <w:rPr>
          <w:rFonts w:hint="cs"/>
          <w:rtl/>
        </w:rPr>
        <w:t xml:space="preserve">: </w:t>
      </w:r>
      <w:r w:rsidR="00777DCB" w:rsidRPr="00A52585">
        <w:rPr>
          <w:rFonts w:hint="cs"/>
          <w:rtl/>
        </w:rPr>
        <w:t xml:space="preserve">" </w:t>
      </w:r>
      <w:r w:rsidRPr="00A52585">
        <w:rPr>
          <w:rFonts w:hint="cs"/>
          <w:rtl/>
        </w:rPr>
        <w:t>(</w:t>
      </w:r>
      <w:r w:rsidR="00777DCB" w:rsidRPr="00A52585">
        <w:rPr>
          <w:rFonts w:hint="cs"/>
          <w:rtl/>
        </w:rPr>
        <w:t>وَيَبْقَى وَجْهُ رَبِّكَ ذُو الْجَلالِ وَالإِكْرَامِ</w:t>
      </w:r>
      <w:r w:rsidRPr="00A52585">
        <w:rPr>
          <w:rFonts w:hint="cs"/>
          <w:rtl/>
        </w:rPr>
        <w:t>)</w:t>
      </w:r>
      <w:r w:rsidR="00897A24" w:rsidRPr="00A52585">
        <w:rPr>
          <w:rFonts w:hint="cs"/>
          <w:rtl/>
        </w:rPr>
        <w:t>.</w:t>
      </w:r>
      <w:r w:rsidR="00777DCB" w:rsidRPr="00A52585">
        <w:rPr>
          <w:rFonts w:hint="cs"/>
          <w:rtl/>
        </w:rPr>
        <w:t xml:space="preserve">.الوجه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w:t>
      </w:r>
      <w:proofErr w:type="spellStart"/>
      <w:r w:rsidR="00777DCB" w:rsidRPr="00A52585">
        <w:rPr>
          <w:rFonts w:hint="cs"/>
          <w:rtl/>
        </w:rPr>
        <w:t>الرازى</w:t>
      </w:r>
      <w:proofErr w:type="spellEnd"/>
      <w:r w:rsidR="00777DCB" w:rsidRPr="00A52585">
        <w:rPr>
          <w:rFonts w:hint="cs"/>
          <w:rtl/>
        </w:rPr>
        <w:t xml:space="preserve"> </w:t>
      </w:r>
      <w:r w:rsidRPr="00A52585">
        <w:rPr>
          <w:rFonts w:hint="cs"/>
          <w:rtl/>
        </w:rPr>
        <w:t>[</w:t>
      </w:r>
      <w:r w:rsidR="00777DCB" w:rsidRPr="00A52585">
        <w:rPr>
          <w:rFonts w:hint="cs"/>
          <w:rtl/>
        </w:rPr>
        <w:t xml:space="preserve">الرحمن/27-28]] أهـ </w:t>
      </w:r>
    </w:p>
    <w:p w14:paraId="584D69AC" w14:textId="39D67862" w:rsidR="00777DCB" w:rsidRPr="00A52585" w:rsidRDefault="00777DCB" w:rsidP="0002035C">
      <w:pPr>
        <w:rPr>
          <w:rtl/>
          <w:lang w:bidi="ar-KW"/>
        </w:rPr>
      </w:pPr>
      <w:r w:rsidRPr="00A52585">
        <w:rPr>
          <w:rFonts w:hint="cs"/>
          <w:bCs/>
          <w:rtl/>
        </w:rPr>
        <w:t>وقال ابن الجوزي رحمه الله</w:t>
      </w:r>
      <w:r w:rsidR="0002035C" w:rsidRPr="00A52585">
        <w:rPr>
          <w:rFonts w:hint="cs"/>
          <w:rtl/>
        </w:rPr>
        <w:t>:</w:t>
      </w:r>
      <w:r w:rsidRPr="00A52585">
        <w:rPr>
          <w:rFonts w:hint="cs"/>
          <w:rtl/>
        </w:rPr>
        <w:t xml:space="preserve"> " قال الله تعالى " ويبقي وجه ربك ذي الجلال والإكرام " قال المفسرون</w:t>
      </w:r>
      <w:r w:rsidR="0002035C" w:rsidRPr="00A52585">
        <w:rPr>
          <w:rFonts w:hint="cs"/>
          <w:rtl/>
        </w:rPr>
        <w:t>:</w:t>
      </w:r>
      <w:r w:rsidRPr="00A52585">
        <w:rPr>
          <w:rFonts w:hint="cs"/>
          <w:rtl/>
        </w:rPr>
        <w:t xml:space="preserve"> يبقي ربك</w:t>
      </w:r>
      <w:r w:rsidR="00DB731D" w:rsidRPr="00A52585">
        <w:rPr>
          <w:rFonts w:hint="cs"/>
          <w:rtl/>
        </w:rPr>
        <w:t>،</w:t>
      </w:r>
      <w:r w:rsidRPr="00A52585">
        <w:rPr>
          <w:rFonts w:hint="cs"/>
          <w:rtl/>
        </w:rPr>
        <w:t xml:space="preserve"> وكذا قالوا في قوله " يريدون وجهه ". أي يريدونه</w:t>
      </w:r>
      <w:r w:rsidR="00DB731D" w:rsidRPr="00A52585">
        <w:rPr>
          <w:rFonts w:hint="cs"/>
          <w:rtl/>
        </w:rPr>
        <w:t>،</w:t>
      </w:r>
      <w:r w:rsidRPr="00A52585">
        <w:rPr>
          <w:rFonts w:hint="cs"/>
          <w:rtl/>
        </w:rPr>
        <w:t xml:space="preserve"> وقال الضحاك و أبو عبيدة في قوله " كل </w:t>
      </w:r>
      <w:proofErr w:type="spellStart"/>
      <w:r w:rsidRPr="00A52585">
        <w:rPr>
          <w:rFonts w:hint="cs"/>
          <w:rtl/>
        </w:rPr>
        <w:t>شئ</w:t>
      </w:r>
      <w:proofErr w:type="spellEnd"/>
      <w:r w:rsidRPr="00A52585">
        <w:rPr>
          <w:rFonts w:hint="cs"/>
          <w:rtl/>
        </w:rPr>
        <w:t xml:space="preserve"> هالك إلا وجهه " أي إلا هو</w:t>
      </w:r>
      <w:r w:rsidR="00DB731D" w:rsidRPr="00A52585">
        <w:rPr>
          <w:rFonts w:hint="cs"/>
          <w:rtl/>
        </w:rPr>
        <w:t>،</w:t>
      </w:r>
      <w:r w:rsidRPr="00A52585">
        <w:rPr>
          <w:rFonts w:hint="cs"/>
          <w:rtl/>
        </w:rPr>
        <w:t xml:space="preserve"> وقد ذهب الذين أنكرنا عليهم إلى أن الوجه صفة باسم زائد علي الذات</w:t>
      </w:r>
      <w:r w:rsidR="00DB731D" w:rsidRPr="00A52585">
        <w:rPr>
          <w:rFonts w:hint="cs"/>
          <w:rtl/>
        </w:rPr>
        <w:t>،</w:t>
      </w:r>
      <w:r w:rsidRPr="00A52585">
        <w:rPr>
          <w:rFonts w:hint="cs"/>
          <w:rtl/>
        </w:rPr>
        <w:t xml:space="preserve"> </w:t>
      </w:r>
      <w:r w:rsidRPr="00A52585">
        <w:rPr>
          <w:rFonts w:hint="cs"/>
          <w:bCs/>
          <w:rtl/>
        </w:rPr>
        <w:t>قلت</w:t>
      </w:r>
      <w:r w:rsidRPr="00A52585">
        <w:rPr>
          <w:rFonts w:hint="cs"/>
          <w:rtl/>
        </w:rPr>
        <w:t xml:space="preserve"> </w:t>
      </w:r>
      <w:r w:rsidR="0002035C" w:rsidRPr="00A52585">
        <w:rPr>
          <w:rFonts w:hint="cs"/>
          <w:rtl/>
        </w:rPr>
        <w:t>(</w:t>
      </w:r>
      <w:r w:rsidRPr="00A52585">
        <w:rPr>
          <w:rFonts w:hint="cs"/>
          <w:rtl/>
        </w:rPr>
        <w:t>القائل ابن الجوزي رحمه الله</w:t>
      </w:r>
      <w:r w:rsidR="0002035C" w:rsidRPr="00A52585">
        <w:rPr>
          <w:rFonts w:hint="cs"/>
          <w:rtl/>
        </w:rPr>
        <w:t>)</w:t>
      </w:r>
      <w:r w:rsidR="0002035C" w:rsidRPr="00A52585">
        <w:rPr>
          <w:rFonts w:hint="cs"/>
          <w:bCs/>
          <w:rtl/>
        </w:rPr>
        <w:t>:</w:t>
      </w:r>
      <w:r w:rsidRPr="00A52585">
        <w:rPr>
          <w:rFonts w:hint="cs"/>
          <w:rtl/>
        </w:rPr>
        <w:t xml:space="preserve"> فمن أين قالوا هذا وليس لهم دليل إلا ما عرفوه من </w:t>
      </w:r>
      <w:proofErr w:type="spellStart"/>
      <w:r w:rsidRPr="00A52585">
        <w:rPr>
          <w:rFonts w:hint="cs"/>
          <w:rtl/>
        </w:rPr>
        <w:t>الحسيات</w:t>
      </w:r>
      <w:proofErr w:type="spellEnd"/>
      <w:proofErr w:type="gramStart"/>
      <w:r w:rsidR="00897A24" w:rsidRPr="00A52585">
        <w:rPr>
          <w:rFonts w:hint="cs"/>
          <w:rtl/>
        </w:rPr>
        <w:t>.</w:t>
      </w:r>
      <w:r w:rsidRPr="00A52585">
        <w:rPr>
          <w:rFonts w:hint="cs"/>
          <w:rtl/>
        </w:rPr>
        <w:t>....؟</w:t>
      </w:r>
      <w:proofErr w:type="gramEnd"/>
      <w:r w:rsidRPr="00A52585">
        <w:rPr>
          <w:rFonts w:hint="cs"/>
          <w:rtl/>
        </w:rPr>
        <w:t xml:space="preserve"> وذلك يوجب التبغيض</w:t>
      </w:r>
      <w:r w:rsidR="00DB731D" w:rsidRPr="00A52585">
        <w:rPr>
          <w:rFonts w:hint="cs"/>
          <w:rtl/>
        </w:rPr>
        <w:t>،</w:t>
      </w:r>
      <w:r w:rsidRPr="00A52585">
        <w:rPr>
          <w:rFonts w:hint="cs"/>
          <w:rtl/>
        </w:rPr>
        <w:t xml:space="preserve"> ولو كان كما </w:t>
      </w:r>
      <w:proofErr w:type="spellStart"/>
      <w:proofErr w:type="gramStart"/>
      <w:r w:rsidRPr="00A52585">
        <w:rPr>
          <w:rFonts w:hint="cs"/>
          <w:rtl/>
        </w:rPr>
        <w:t>قالوا</w:t>
      </w:r>
      <w:r w:rsidR="0002035C" w:rsidRPr="00A52585">
        <w:rPr>
          <w:rFonts w:hint="cs"/>
          <w:rtl/>
        </w:rPr>
        <w:t>:</w:t>
      </w:r>
      <w:r w:rsidRPr="00A52585">
        <w:rPr>
          <w:rFonts w:hint="cs"/>
          <w:rtl/>
        </w:rPr>
        <w:t>كان</w:t>
      </w:r>
      <w:proofErr w:type="spellEnd"/>
      <w:proofErr w:type="gramEnd"/>
      <w:r w:rsidRPr="00A52585">
        <w:rPr>
          <w:rFonts w:hint="cs"/>
          <w:rtl/>
        </w:rPr>
        <w:t xml:space="preserve"> المعنى</w:t>
      </w:r>
      <w:r w:rsidR="0002035C" w:rsidRPr="00A52585">
        <w:rPr>
          <w:rFonts w:hint="cs"/>
          <w:rtl/>
        </w:rPr>
        <w:t>:</w:t>
      </w:r>
      <w:r w:rsidRPr="00A52585">
        <w:rPr>
          <w:rFonts w:hint="cs"/>
          <w:rtl/>
        </w:rPr>
        <w:t xml:space="preserve"> أن ذاته تهلك إلا وجهه</w:t>
      </w:r>
      <w:r w:rsidR="00897A24" w:rsidRPr="00A52585">
        <w:rPr>
          <w:rFonts w:hint="cs"/>
          <w:rtl/>
        </w:rPr>
        <w:t>.</w:t>
      </w:r>
      <w:r w:rsidRPr="00A52585">
        <w:rPr>
          <w:rFonts w:hint="cs"/>
          <w:rtl/>
        </w:rPr>
        <w:t xml:space="preserve"> وقال بن حامد</w:t>
      </w:r>
      <w:r w:rsidR="0002035C" w:rsidRPr="00A52585">
        <w:rPr>
          <w:rFonts w:hint="cs"/>
          <w:rtl/>
        </w:rPr>
        <w:t>:</w:t>
      </w:r>
      <w:r w:rsidRPr="00A52585">
        <w:rPr>
          <w:rFonts w:hint="cs"/>
          <w:rtl/>
        </w:rPr>
        <w:t xml:space="preserve"> أثبتنا لله وجها ولا نجوز إثبات الرأس</w:t>
      </w:r>
      <w:r w:rsidR="00897A24"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ولقد اقشعر بدني من جراءته </w:t>
      </w:r>
      <w:proofErr w:type="gramStart"/>
      <w:r w:rsidRPr="00A52585">
        <w:rPr>
          <w:rFonts w:hint="cs"/>
          <w:rtl/>
        </w:rPr>
        <w:t>علي</w:t>
      </w:r>
      <w:proofErr w:type="gramEnd"/>
      <w:r w:rsidRPr="00A52585">
        <w:rPr>
          <w:rFonts w:hint="cs"/>
          <w:rtl/>
        </w:rPr>
        <w:t xml:space="preserve"> ذكر هذا فما </w:t>
      </w:r>
      <w:r w:rsidRPr="00A52585">
        <w:rPr>
          <w:rFonts w:hint="cs"/>
          <w:rtl/>
        </w:rPr>
        <w:lastRenderedPageBreak/>
        <w:t>أعوزه في التشبيه غير الرأس</w:t>
      </w:r>
      <w:r w:rsidR="00897A24" w:rsidRPr="00A52585">
        <w:rPr>
          <w:rFonts w:hint="cs"/>
          <w:rtl/>
        </w:rPr>
        <w:t>.</w:t>
      </w:r>
      <w:r w:rsidRPr="00A52585">
        <w:rPr>
          <w:rFonts w:hint="cs"/>
          <w:rtl/>
        </w:rPr>
        <w:t xml:space="preserve">" </w:t>
      </w:r>
      <w:r w:rsidR="0002035C" w:rsidRPr="00A52585">
        <w:rPr>
          <w:rFonts w:hint="cs"/>
          <w:rtl/>
        </w:rPr>
        <w:t>[</w:t>
      </w:r>
      <w:r w:rsidRPr="00A52585">
        <w:rPr>
          <w:rFonts w:hint="cs"/>
          <w:rtl/>
        </w:rPr>
        <w:t>الباز الأشهب صـ؟؟؟] أهـ</w:t>
      </w:r>
      <w:r w:rsidR="00DB731D" w:rsidRPr="00A52585">
        <w:rPr>
          <w:rFonts w:hint="cs"/>
          <w:rtl/>
        </w:rPr>
        <w:t>،</w:t>
      </w:r>
      <w:r w:rsidRPr="00A52585">
        <w:rPr>
          <w:rFonts w:hint="cs"/>
          <w:rtl/>
        </w:rPr>
        <w:t xml:space="preserve"> وخلاصة القول في الوجه في القرآن لمن تدبره أنه دلالة على ذات </w:t>
      </w:r>
      <w:r w:rsidRPr="00A52585">
        <w:rPr>
          <w:rFonts w:hint="cs"/>
          <w:rtl/>
          <w:lang w:bidi="ar-KW"/>
        </w:rPr>
        <w:t>الله ورضاه وضرورة إخلاص العمل ابتغاء مرضاة الله</w:t>
      </w:r>
      <w:r w:rsidR="00DB731D" w:rsidRPr="00A52585">
        <w:rPr>
          <w:rFonts w:hint="cs"/>
          <w:rtl/>
          <w:lang w:bidi="ar-KW"/>
        </w:rPr>
        <w:t>،</w:t>
      </w:r>
      <w:r w:rsidRPr="00A52585">
        <w:rPr>
          <w:rFonts w:hint="cs"/>
          <w:rtl/>
          <w:lang w:bidi="ar-KW"/>
        </w:rPr>
        <w:t xml:space="preserve"> </w:t>
      </w:r>
    </w:p>
    <w:p w14:paraId="2CDBD56F" w14:textId="3DB024AD" w:rsidR="00777DCB" w:rsidRPr="00A52585" w:rsidRDefault="0002035C" w:rsidP="0002035C">
      <w:pPr>
        <w:rPr>
          <w:rtl/>
        </w:rPr>
      </w:pPr>
      <w:r w:rsidRPr="00A52585">
        <w:rPr>
          <w:rFonts w:hint="cs"/>
          <w:bCs/>
          <w:rtl/>
        </w:rPr>
        <w:t>(</w:t>
      </w:r>
      <w:r w:rsidR="00777DCB" w:rsidRPr="00A52585">
        <w:rPr>
          <w:rFonts w:hint="cs"/>
          <w:bCs/>
          <w:rtl/>
        </w:rPr>
        <w:t>5</w:t>
      </w:r>
      <w:r w:rsidRPr="00A52585">
        <w:rPr>
          <w:rFonts w:hint="cs"/>
          <w:bCs/>
          <w:rtl/>
        </w:rPr>
        <w:t>)</w:t>
      </w:r>
      <w:r w:rsidR="00777DCB" w:rsidRPr="00A52585">
        <w:rPr>
          <w:rFonts w:hint="cs"/>
          <w:bCs/>
          <w:rtl/>
        </w:rPr>
        <w:t xml:space="preserve"> فصل ما جاء في العين مضافاً إلى الله تعالى</w:t>
      </w:r>
      <w:r w:rsidRPr="00A52585">
        <w:rPr>
          <w:rFonts w:hint="cs"/>
          <w:bCs/>
          <w:rtl/>
        </w:rPr>
        <w:t>:</w:t>
      </w:r>
      <w:r w:rsidR="00777DCB" w:rsidRPr="00A52585">
        <w:rPr>
          <w:rFonts w:hint="cs"/>
          <w:bCs/>
          <w:rtl/>
        </w:rPr>
        <w:t xml:space="preserve"> </w:t>
      </w:r>
      <w:r w:rsidR="00777DCB" w:rsidRPr="00A52585">
        <w:rPr>
          <w:rFonts w:hint="cs"/>
          <w:rtl/>
        </w:rPr>
        <w:t>جاءت</w:t>
      </w:r>
      <w:r w:rsidRPr="00A52585">
        <w:rPr>
          <w:rFonts w:hint="cs"/>
          <w:rtl/>
        </w:rPr>
        <w:t xml:space="preserve"> </w:t>
      </w:r>
      <w:r w:rsidR="00777DCB" w:rsidRPr="00A52585">
        <w:rPr>
          <w:rFonts w:hint="cs"/>
          <w:rtl/>
        </w:rPr>
        <w:t>العين مضافةً إلى الله تعالى في خمس آيات</w:t>
      </w:r>
      <w:r w:rsidRPr="00A52585">
        <w:rPr>
          <w:rFonts w:hint="cs"/>
          <w:rtl/>
        </w:rPr>
        <w:t>:</w:t>
      </w:r>
      <w:r w:rsidR="00777DCB" w:rsidRPr="00A52585">
        <w:rPr>
          <w:rFonts w:hint="cs"/>
          <w:rtl/>
        </w:rPr>
        <w:t xml:space="preserve"> في سورة هود </w:t>
      </w:r>
      <w:r w:rsidRPr="00A52585">
        <w:rPr>
          <w:rFonts w:hint="cs"/>
          <w:rtl/>
        </w:rPr>
        <w:t>(</w:t>
      </w:r>
      <w:r w:rsidR="00777DCB" w:rsidRPr="00A52585">
        <w:rPr>
          <w:rFonts w:hint="cs"/>
          <w:rtl/>
        </w:rPr>
        <w:t>واصنع الفلك بأعيننا ووحينا</w:t>
      </w:r>
      <w:r w:rsidRPr="00A52585">
        <w:rPr>
          <w:rFonts w:hint="cs"/>
          <w:rtl/>
        </w:rPr>
        <w:t xml:space="preserve">) </w:t>
      </w:r>
      <w:r w:rsidR="00777DCB" w:rsidRPr="00A52585">
        <w:rPr>
          <w:rFonts w:hint="cs"/>
          <w:rtl/>
        </w:rPr>
        <w:t xml:space="preserve">وفي سورة المؤمنون </w:t>
      </w:r>
      <w:r w:rsidRPr="00A52585">
        <w:rPr>
          <w:rFonts w:hint="cs"/>
          <w:rtl/>
        </w:rPr>
        <w:t>(</w:t>
      </w:r>
      <w:r w:rsidR="00777DCB" w:rsidRPr="00A52585">
        <w:rPr>
          <w:rFonts w:hint="cs"/>
          <w:rtl/>
        </w:rPr>
        <w:t>فأوحينا إليه أن اصنع الفلك بأعيننا ووحينا)</w:t>
      </w:r>
      <w:r w:rsidRPr="00A52585">
        <w:rPr>
          <w:rFonts w:hint="cs"/>
          <w:rtl/>
        </w:rPr>
        <w:t xml:space="preserve"> </w:t>
      </w:r>
      <w:r w:rsidR="00777DCB" w:rsidRPr="00A52585">
        <w:rPr>
          <w:rFonts w:hint="cs"/>
          <w:rtl/>
        </w:rPr>
        <w:t>وفي سورة طه</w:t>
      </w:r>
      <w:r w:rsidRPr="00A52585">
        <w:rPr>
          <w:rFonts w:hint="cs"/>
          <w:rtl/>
        </w:rPr>
        <w:t xml:space="preserve"> (</w:t>
      </w:r>
      <w:r w:rsidR="00777DCB" w:rsidRPr="00A52585">
        <w:rPr>
          <w:rFonts w:hint="cs"/>
          <w:rtl/>
        </w:rPr>
        <w:t>وألقيت عليك محبة مني ولتصنع على عيني</w:t>
      </w:r>
      <w:r w:rsidRPr="00A52585">
        <w:rPr>
          <w:rFonts w:hint="cs"/>
          <w:rtl/>
        </w:rPr>
        <w:t xml:space="preserve">) </w:t>
      </w:r>
      <w:r w:rsidR="00777DCB" w:rsidRPr="00A52585">
        <w:rPr>
          <w:rFonts w:hint="cs"/>
          <w:rtl/>
        </w:rPr>
        <w:t xml:space="preserve">وفي سورة الطور </w:t>
      </w:r>
      <w:r w:rsidRPr="00A52585">
        <w:rPr>
          <w:rFonts w:hint="cs"/>
          <w:rtl/>
        </w:rPr>
        <w:t>(</w:t>
      </w:r>
      <w:r w:rsidR="00777DCB" w:rsidRPr="00A52585">
        <w:rPr>
          <w:rFonts w:hint="cs"/>
          <w:rtl/>
        </w:rPr>
        <w:t>واصبر لحكم ربك فإنك بأعيننا</w:t>
      </w:r>
      <w:r w:rsidRPr="00A52585">
        <w:rPr>
          <w:rFonts w:hint="cs"/>
          <w:rtl/>
        </w:rPr>
        <w:t xml:space="preserve">) </w:t>
      </w:r>
      <w:r w:rsidR="00777DCB" w:rsidRPr="00A52585">
        <w:rPr>
          <w:rFonts w:hint="cs"/>
          <w:rtl/>
        </w:rPr>
        <w:t xml:space="preserve">وفي سورة القمر </w:t>
      </w:r>
      <w:r w:rsidRPr="00A52585">
        <w:rPr>
          <w:rFonts w:hint="cs"/>
          <w:rtl/>
        </w:rPr>
        <w:t>(</w:t>
      </w:r>
      <w:r w:rsidR="00777DCB" w:rsidRPr="00A52585">
        <w:rPr>
          <w:rFonts w:hint="cs"/>
          <w:rtl/>
        </w:rPr>
        <w:t>تجري بأعيننا</w:t>
      </w:r>
      <w:r w:rsidRPr="00A52585">
        <w:rPr>
          <w:rFonts w:hint="cs"/>
          <w:rtl/>
        </w:rPr>
        <w:t>)</w:t>
      </w:r>
    </w:p>
    <w:p w14:paraId="0897D706" w14:textId="2DC774EC" w:rsidR="00777DCB" w:rsidRPr="00A52585" w:rsidRDefault="0002035C" w:rsidP="0002035C">
      <w:pPr>
        <w:rPr>
          <w:rtl/>
        </w:rPr>
      </w:pPr>
      <w:r w:rsidRPr="00A52585">
        <w:rPr>
          <w:rFonts w:hint="cs"/>
          <w:bCs/>
          <w:rtl/>
        </w:rPr>
        <w:t>(</w:t>
      </w:r>
      <w:r w:rsidR="00777DCB" w:rsidRPr="00A52585">
        <w:rPr>
          <w:rFonts w:hint="cs"/>
          <w:bCs/>
          <w:rtl/>
        </w:rPr>
        <w:t>6</w:t>
      </w:r>
      <w:r w:rsidRPr="00A52585">
        <w:rPr>
          <w:rFonts w:hint="cs"/>
          <w:bCs/>
          <w:rtl/>
        </w:rPr>
        <w:t>)</w:t>
      </w:r>
      <w:r w:rsidR="00777DCB" w:rsidRPr="00A52585">
        <w:rPr>
          <w:rFonts w:hint="cs"/>
          <w:bCs/>
          <w:rtl/>
        </w:rPr>
        <w:t xml:space="preserve"> تمهيد</w:t>
      </w:r>
      <w:r w:rsidRPr="00A52585">
        <w:rPr>
          <w:rFonts w:hint="cs"/>
          <w:bCs/>
          <w:rtl/>
        </w:rPr>
        <w:t>:</w:t>
      </w:r>
      <w:r w:rsidR="00777DCB" w:rsidRPr="00A52585">
        <w:rPr>
          <w:rFonts w:hint="cs"/>
          <w:bCs/>
          <w:rtl/>
        </w:rPr>
        <w:t xml:space="preserve"> مجاز العين في القرآن</w:t>
      </w:r>
      <w:r w:rsidR="00777DCB" w:rsidRPr="00A52585">
        <w:rPr>
          <w:rFonts w:hint="cs"/>
          <w:rtl/>
        </w:rPr>
        <w:t>: المتدبر لآيات</w:t>
      </w:r>
      <w:r w:rsidR="00777DCB" w:rsidRPr="00A52585">
        <w:rPr>
          <w:rFonts w:hint="cs"/>
        </w:rPr>
        <w:t xml:space="preserve"> </w:t>
      </w:r>
      <w:r w:rsidR="00777DCB" w:rsidRPr="00A52585">
        <w:rPr>
          <w:rFonts w:hint="cs"/>
          <w:rtl/>
        </w:rPr>
        <w:t>القرآن يعلم يقينا أن العين يستعمل فيه في مجازات متعددة</w:t>
      </w:r>
      <w:r w:rsidR="00DB731D" w:rsidRPr="00A52585">
        <w:rPr>
          <w:rFonts w:hint="cs"/>
          <w:rtl/>
        </w:rPr>
        <w:t>،</w:t>
      </w:r>
      <w:r w:rsidR="00777DCB" w:rsidRPr="00A52585">
        <w:rPr>
          <w:rFonts w:hint="cs"/>
          <w:rtl/>
        </w:rPr>
        <w:t xml:space="preserve"> فالعين تأتي حقيقة</w:t>
      </w:r>
      <w:r w:rsidR="00777DCB" w:rsidRPr="00A52585">
        <w:rPr>
          <w:rFonts w:hint="cs"/>
        </w:rPr>
        <w:t xml:space="preserve"> </w:t>
      </w:r>
      <w:r w:rsidR="00777DCB" w:rsidRPr="00A52585">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777DCB" w:rsidRPr="00A52585">
        <w:rPr>
          <w:rFonts w:hint="cs"/>
          <w:rtl/>
        </w:rPr>
        <w:t>التى</w:t>
      </w:r>
      <w:proofErr w:type="spellEnd"/>
      <w:r w:rsidR="00777DCB" w:rsidRPr="00A52585">
        <w:rPr>
          <w:rFonts w:hint="cs"/>
          <w:rtl/>
        </w:rPr>
        <w:t xml:space="preserve"> تكون بها</w:t>
      </w:r>
      <w:r w:rsidR="00777DCB" w:rsidRPr="00A52585">
        <w:rPr>
          <w:rFonts w:hint="cs"/>
        </w:rPr>
        <w:t xml:space="preserve"> </w:t>
      </w:r>
      <w:r w:rsidR="00777DCB" w:rsidRPr="00A52585">
        <w:rPr>
          <w:rFonts w:hint="cs"/>
          <w:rtl/>
        </w:rPr>
        <w:t>الحراسة والحفظ</w:t>
      </w:r>
      <w:r w:rsidR="00777DCB" w:rsidRPr="00A52585">
        <w:rPr>
          <w:rFonts w:hint="cs"/>
        </w:rPr>
        <w:t xml:space="preserve"> </w:t>
      </w:r>
      <w:r w:rsidR="00777DCB" w:rsidRPr="00A52585">
        <w:rPr>
          <w:rFonts w:hint="cs"/>
          <w:rtl/>
        </w:rPr>
        <w:t>في الغالب</w:t>
      </w:r>
      <w:r w:rsidR="00DB731D" w:rsidRPr="00A52585">
        <w:rPr>
          <w:rFonts w:hint="cs"/>
          <w:rtl/>
        </w:rPr>
        <w:t>،</w:t>
      </w:r>
      <w:r w:rsidR="00777DCB" w:rsidRPr="00A52585">
        <w:rPr>
          <w:rFonts w:hint="cs"/>
          <w:rtl/>
        </w:rPr>
        <w:t xml:space="preserve"> فتأتي كناية على شدة العناية والحراسة</w:t>
      </w:r>
      <w:r w:rsidR="00DB731D" w:rsidRPr="00A52585">
        <w:rPr>
          <w:rFonts w:hint="cs"/>
          <w:rtl/>
        </w:rPr>
        <w:t>،</w:t>
      </w:r>
      <w:r w:rsidR="00777DCB" w:rsidRPr="00A52585">
        <w:rPr>
          <w:rFonts w:hint="cs"/>
          <w:rtl/>
        </w:rPr>
        <w:t xml:space="preserve"> والوجه في حسن هذا المجاز</w:t>
      </w:r>
      <w:r w:rsidRPr="00A52585">
        <w:rPr>
          <w:rFonts w:hint="cs"/>
          <w:rtl/>
        </w:rPr>
        <w:t>:</w:t>
      </w:r>
      <w:r w:rsidR="00777DCB" w:rsidRPr="00A52585">
        <w:rPr>
          <w:rFonts w:hint="cs"/>
          <w:rtl/>
        </w:rPr>
        <w:t xml:space="preserve"> أن من عظمت عنايته بشيء وميله إليه</w:t>
      </w:r>
      <w:r w:rsidR="00DB731D" w:rsidRPr="00A52585">
        <w:rPr>
          <w:rFonts w:hint="cs"/>
          <w:rtl/>
        </w:rPr>
        <w:t>،</w:t>
      </w:r>
      <w:r w:rsidR="00777DCB" w:rsidRPr="00A52585">
        <w:rPr>
          <w:rFonts w:hint="cs"/>
          <w:rtl/>
        </w:rPr>
        <w:t xml:space="preserve"> ورغبته فيه</w:t>
      </w:r>
      <w:r w:rsidR="00DB731D" w:rsidRPr="00A52585">
        <w:rPr>
          <w:rFonts w:hint="cs"/>
          <w:rtl/>
        </w:rPr>
        <w:t>،</w:t>
      </w:r>
      <w:r w:rsidR="00777DCB" w:rsidRPr="00A52585">
        <w:rPr>
          <w:rFonts w:hint="cs"/>
          <w:rtl/>
        </w:rPr>
        <w:t xml:space="preserve"> كان كثير النظر إليه</w:t>
      </w:r>
      <w:r w:rsidR="00DB731D" w:rsidRPr="00A52585">
        <w:rPr>
          <w:rFonts w:hint="cs"/>
          <w:rtl/>
        </w:rPr>
        <w:t>،</w:t>
      </w:r>
      <w:r w:rsidR="00777DCB" w:rsidRPr="00A52585">
        <w:rPr>
          <w:rFonts w:hint="cs"/>
          <w:rtl/>
        </w:rPr>
        <w:t xml:space="preserve"> فجعل لفظ العين ـ التي هي آلة لذلك النظر ـ كناية عن شدة العناية</w:t>
      </w:r>
      <w:r w:rsidR="00DB731D" w:rsidRPr="00A52585">
        <w:rPr>
          <w:rFonts w:hint="cs"/>
          <w:rtl/>
        </w:rPr>
        <w:t>،</w:t>
      </w:r>
      <w:r w:rsidR="00777DCB" w:rsidRPr="00A52585">
        <w:rPr>
          <w:rFonts w:hint="cs"/>
          <w:rtl/>
        </w:rPr>
        <w:t xml:space="preserve"> فإذا جمعت العين دلت على كمال الحفظ والمبالغة فيه</w:t>
      </w:r>
      <w:r w:rsidR="00DB731D" w:rsidRPr="00A52585">
        <w:rPr>
          <w:rFonts w:hint="cs"/>
          <w:rtl/>
        </w:rPr>
        <w:t>،</w:t>
      </w:r>
      <w:r w:rsidR="00777DCB" w:rsidRPr="00A52585">
        <w:rPr>
          <w:rFonts w:hint="cs"/>
          <w:rtl/>
        </w:rPr>
        <w:t xml:space="preserve"> ولما اتفقت الأمة على تنزيه الله تعالى عن العين الجارحة لأنها تحمل معنى التجزؤ </w:t>
      </w:r>
      <w:proofErr w:type="spellStart"/>
      <w:r w:rsidR="00777DCB" w:rsidRPr="00A52585">
        <w:rPr>
          <w:rFonts w:hint="cs"/>
          <w:rtl/>
        </w:rPr>
        <w:t>والتبعض</w:t>
      </w:r>
      <w:proofErr w:type="spellEnd"/>
      <w:r w:rsidR="00777DCB" w:rsidRPr="00A52585">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777DCB" w:rsidRPr="00A52585">
        <w:rPr>
          <w:rFonts w:hint="cs"/>
          <w:rtl/>
        </w:rPr>
        <w:t>القيومية</w:t>
      </w:r>
      <w:proofErr w:type="spellEnd"/>
      <w:r w:rsidR="00777DCB" w:rsidRPr="00A52585">
        <w:rPr>
          <w:rFonts w:hint="cs"/>
          <w:rtl/>
        </w:rPr>
        <w:t xml:space="preserve"> والغنى</w:t>
      </w:r>
      <w:r w:rsidR="00DB731D" w:rsidRPr="00A52585">
        <w:rPr>
          <w:rFonts w:hint="cs"/>
          <w:rtl/>
        </w:rPr>
        <w:t>،</w:t>
      </w:r>
      <w:r w:rsidR="00777DCB" w:rsidRPr="00A52585">
        <w:rPr>
          <w:rFonts w:hint="cs"/>
          <w:rtl/>
        </w:rPr>
        <w:t xml:space="preserve"> فهو منزه في إبصاره للخلق ونظره إليهم من جارحة العين وغيرها بل هو السميع البصير بلا جارحة أذن أو عين</w:t>
      </w:r>
      <w:r w:rsidR="00DB731D" w:rsidRPr="00A52585">
        <w:rPr>
          <w:rFonts w:hint="cs"/>
          <w:rtl/>
        </w:rPr>
        <w:t>،</w:t>
      </w:r>
      <w:r w:rsidR="00777DCB" w:rsidRPr="00A52585">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777DCB" w:rsidRPr="00A52585">
        <w:rPr>
          <w:rFonts w:hint="cs"/>
        </w:rPr>
        <w:t xml:space="preserve"> </w:t>
      </w:r>
      <w:r w:rsidR="00777DCB" w:rsidRPr="00A52585">
        <w:rPr>
          <w:rFonts w:hint="cs"/>
          <w:rtl/>
        </w:rPr>
        <w:t>العناية والحراسة</w:t>
      </w:r>
      <w:r w:rsidR="00DB731D" w:rsidRPr="00A52585">
        <w:rPr>
          <w:rFonts w:hint="cs"/>
          <w:rtl/>
        </w:rPr>
        <w:t>،</w:t>
      </w:r>
      <w:r w:rsidR="00777DCB" w:rsidRPr="00A52585">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DB731D" w:rsidRPr="00A52585">
        <w:rPr>
          <w:rFonts w:hint="cs"/>
          <w:rtl/>
        </w:rPr>
        <w:t>،</w:t>
      </w:r>
      <w:r w:rsidR="00777DCB" w:rsidRPr="00A52585">
        <w:rPr>
          <w:rFonts w:hint="cs"/>
          <w:rtl/>
        </w:rPr>
        <w:t xml:space="preserve"> ثم تواترت أقوال الأئمة المقتدى بهم في الدين على ذلك</w:t>
      </w:r>
      <w:r w:rsidR="00DB731D" w:rsidRPr="00A52585">
        <w:rPr>
          <w:rFonts w:hint="cs"/>
          <w:rtl/>
        </w:rPr>
        <w:t>،</w:t>
      </w:r>
      <w:r w:rsidR="00777DCB" w:rsidRPr="00A52585">
        <w:rPr>
          <w:rFonts w:hint="cs"/>
          <w:rtl/>
        </w:rPr>
        <w:t xml:space="preserve"> وسيأتي طائفة كثيرة من أقوالهم في هذا المبحث إن شاء الله تعالى</w:t>
      </w:r>
      <w:r w:rsidR="00DB731D" w:rsidRPr="00A52585">
        <w:rPr>
          <w:rFonts w:hint="cs"/>
          <w:rtl/>
        </w:rPr>
        <w:t>،</w:t>
      </w:r>
      <w:r w:rsidR="00777DCB" w:rsidRPr="00A52585">
        <w:rPr>
          <w:rFonts w:hint="cs"/>
          <w:rtl/>
        </w:rPr>
        <w:t xml:space="preserve"> فقوله</w:t>
      </w:r>
      <w:r w:rsidR="00777DCB" w:rsidRPr="00A52585">
        <w:rPr>
          <w:rFonts w:hint="cs"/>
        </w:rPr>
        <w:t xml:space="preserve"> </w:t>
      </w:r>
      <w:r w:rsidR="00777DCB" w:rsidRPr="00A52585">
        <w:rPr>
          <w:rFonts w:hint="cs"/>
          <w:rtl/>
        </w:rPr>
        <w:t xml:space="preserve">تعالى </w:t>
      </w:r>
      <w:r w:rsidRPr="00A52585">
        <w:rPr>
          <w:rFonts w:hint="cs"/>
          <w:rtl/>
        </w:rPr>
        <w:t>(</w:t>
      </w:r>
      <w:r w:rsidR="00777DCB" w:rsidRPr="00A52585">
        <w:rPr>
          <w:rFonts w:hint="cs"/>
          <w:rtl/>
        </w:rPr>
        <w:t>واصنع الفلك بأعيننا ووحينا</w:t>
      </w:r>
      <w:r w:rsidRPr="00A52585">
        <w:rPr>
          <w:rFonts w:hint="cs"/>
          <w:rtl/>
        </w:rPr>
        <w:t>)</w:t>
      </w:r>
      <w:r w:rsidR="00777DCB" w:rsidRPr="00A52585">
        <w:rPr>
          <w:rFonts w:hint="cs"/>
          <w:rtl/>
        </w:rPr>
        <w:t xml:space="preserve"> معناه بمرأى منا أو بحفظنا</w:t>
      </w:r>
      <w:r w:rsidR="00DB731D" w:rsidRPr="00A52585">
        <w:rPr>
          <w:rFonts w:hint="cs"/>
          <w:rtl/>
        </w:rPr>
        <w:t>،</w:t>
      </w:r>
      <w:r w:rsidR="00777DCB" w:rsidRPr="00A52585">
        <w:rPr>
          <w:rFonts w:hint="cs"/>
          <w:rtl/>
        </w:rPr>
        <w:t xml:space="preserve"> وقوله تعالى (وألقيت عليك محبة مني ولتصنع على عيني</w:t>
      </w:r>
      <w:r w:rsidRPr="00A52585">
        <w:rPr>
          <w:rFonts w:hint="cs"/>
          <w:rtl/>
        </w:rPr>
        <w:t>)</w:t>
      </w:r>
      <w:r w:rsidR="00777DCB" w:rsidRPr="00A52585">
        <w:rPr>
          <w:rFonts w:hint="cs"/>
          <w:rtl/>
        </w:rPr>
        <w:t xml:space="preserve"> [قال الألوسي</w:t>
      </w:r>
      <w:r w:rsidRPr="00A52585">
        <w:rPr>
          <w:rFonts w:hint="cs"/>
          <w:rtl/>
        </w:rPr>
        <w:t>:</w:t>
      </w:r>
      <w:r w:rsidR="00777DCB" w:rsidRPr="00A52585">
        <w:rPr>
          <w:rFonts w:hint="cs"/>
          <w:rtl/>
        </w:rPr>
        <w:t xml:space="preserve"> " وعلى </w:t>
      </w:r>
      <w:proofErr w:type="spellStart"/>
      <w:r w:rsidR="00777DCB" w:rsidRPr="00A52585">
        <w:rPr>
          <w:rFonts w:hint="cs"/>
          <w:rtl/>
        </w:rPr>
        <w:t>عينى</w:t>
      </w:r>
      <w:proofErr w:type="spellEnd"/>
      <w:r w:rsidR="00777DCB" w:rsidRPr="00A52585">
        <w:rPr>
          <w:rFonts w:hint="cs"/>
          <w:rtl/>
        </w:rPr>
        <w:t xml:space="preserve"> أي بمرأى منى وهو استعارة تمثيلية للحفظ والصون فان المصون يجعل بمرأى والصنع الإحسان قال النحاس</w:t>
      </w:r>
      <w:r w:rsidRPr="00A52585">
        <w:rPr>
          <w:rFonts w:hint="cs"/>
          <w:rtl/>
        </w:rPr>
        <w:t xml:space="preserve"> </w:t>
      </w:r>
      <w:r w:rsidR="00777DCB" w:rsidRPr="00A52585">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Pr="00A52585">
        <w:rPr>
          <w:rFonts w:hint="cs"/>
          <w:rtl/>
        </w:rPr>
        <w:t>[</w:t>
      </w:r>
      <w:r w:rsidR="00777DCB" w:rsidRPr="00A52585">
        <w:rPr>
          <w:rFonts w:hint="cs"/>
          <w:rtl/>
        </w:rPr>
        <w:t xml:space="preserve">روح المعاني ج: 16 ص: 190]] معناه </w:t>
      </w:r>
      <w:r w:rsidR="00777DCB" w:rsidRPr="00A52585">
        <w:rPr>
          <w:rFonts w:hint="cs"/>
          <w:rtl/>
        </w:rPr>
        <w:lastRenderedPageBreak/>
        <w:t>أي بمرأى منى كناية عن الحفظ والصون والحنو والشفقة والرعاية والمراقبة</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واصبر لحكم ربك فإنك بأعيننا</w:t>
      </w:r>
      <w:r w:rsidRPr="00A52585">
        <w:rPr>
          <w:rFonts w:hint="cs"/>
          <w:rtl/>
        </w:rPr>
        <w:t>)</w:t>
      </w:r>
      <w:r w:rsidR="00777DCB" w:rsidRPr="00A52585">
        <w:rPr>
          <w:rFonts w:hint="cs"/>
          <w:rtl/>
        </w:rPr>
        <w:t xml:space="preserve"> معناه بحفظنا إياك وحراستنا لك</w:t>
      </w:r>
    </w:p>
    <w:p w14:paraId="4420B089" w14:textId="001652D0" w:rsidR="00777DCB" w:rsidRPr="00A52585" w:rsidRDefault="0002035C" w:rsidP="0002035C">
      <w:pPr>
        <w:rPr>
          <w:rtl/>
        </w:rPr>
      </w:pPr>
      <w:r w:rsidRPr="00A52585">
        <w:rPr>
          <w:rFonts w:hint="cs"/>
          <w:bCs/>
          <w:rtl/>
        </w:rPr>
        <w:t>(</w:t>
      </w:r>
      <w:r w:rsidR="00777DCB" w:rsidRPr="00A52585">
        <w:rPr>
          <w:rFonts w:hint="cs"/>
          <w:bCs/>
          <w:rtl/>
        </w:rPr>
        <w:t>7</w:t>
      </w:r>
      <w:r w:rsidRPr="00A52585">
        <w:rPr>
          <w:rFonts w:hint="cs"/>
          <w:bCs/>
          <w:rtl/>
        </w:rPr>
        <w:t>)</w:t>
      </w:r>
      <w:r w:rsidR="00777DCB" w:rsidRPr="00A52585">
        <w:rPr>
          <w:rFonts w:hint="cs"/>
          <w:bCs/>
          <w:rtl/>
        </w:rPr>
        <w:t xml:space="preserve"> الآيات التي ذكرت فيها العين مضافةً إلى الله تعالى وبيان المعنى الذي سيقت لأجله</w:t>
      </w:r>
      <w:r w:rsidRPr="00A52585">
        <w:rPr>
          <w:rFonts w:hint="cs"/>
          <w:rtl/>
        </w:rPr>
        <w:t>:</w:t>
      </w:r>
      <w:r w:rsidR="00777DCB" w:rsidRPr="00A52585">
        <w:rPr>
          <w:rFonts w:hint="cs"/>
          <w:rtl/>
        </w:rPr>
        <w:t xml:space="preserve"> </w:t>
      </w:r>
      <w:r w:rsidR="00777DCB" w:rsidRPr="00A52585">
        <w:rPr>
          <w:rFonts w:hint="cs"/>
          <w:bCs/>
          <w:rtl/>
        </w:rPr>
        <w:t xml:space="preserve">قوله تعالى </w:t>
      </w:r>
      <w:r w:rsidRPr="00A52585">
        <w:rPr>
          <w:rFonts w:hint="cs"/>
          <w:bCs/>
          <w:rtl/>
        </w:rPr>
        <w:t>{</w:t>
      </w:r>
      <w:r w:rsidR="00777DCB" w:rsidRPr="00A52585">
        <w:rPr>
          <w:rFonts w:hint="cs"/>
          <w:rtl/>
        </w:rPr>
        <w:t>وَاصْنَعِ الْفُلْكَ</w:t>
      </w:r>
      <w:r w:rsidR="00777DCB" w:rsidRPr="00A52585">
        <w:rPr>
          <w:rFonts w:hint="cs"/>
        </w:rPr>
        <w:t xml:space="preserve"> </w:t>
      </w:r>
      <w:r w:rsidR="00777DCB" w:rsidRPr="00A52585">
        <w:rPr>
          <w:rFonts w:hint="cs"/>
          <w:rtl/>
        </w:rPr>
        <w:t>بِأَعْيُنِنَا</w:t>
      </w:r>
      <w:r w:rsidR="00777DCB" w:rsidRPr="00A52585">
        <w:rPr>
          <w:rFonts w:hint="cs"/>
        </w:rPr>
        <w:t xml:space="preserve"> </w:t>
      </w:r>
      <w:r w:rsidR="00777DCB" w:rsidRPr="00A52585">
        <w:rPr>
          <w:rFonts w:hint="cs"/>
          <w:rtl/>
        </w:rPr>
        <w:t>وَوَحْيِنَا وَلاَ تُخَاطِبْنِي فِي الَّذِينَ</w:t>
      </w:r>
      <w:r w:rsidR="00777DCB" w:rsidRPr="00A52585">
        <w:rPr>
          <w:rFonts w:hint="cs"/>
        </w:rPr>
        <w:t xml:space="preserve"> </w:t>
      </w:r>
      <w:r w:rsidR="00777DCB" w:rsidRPr="00A52585">
        <w:rPr>
          <w:rFonts w:hint="cs"/>
          <w:rtl/>
        </w:rPr>
        <w:t>ظَلَمُواْ إِنَّهُم</w:t>
      </w:r>
      <w:r w:rsidR="00777DCB" w:rsidRPr="00A52585">
        <w:rPr>
          <w:rFonts w:hint="cs"/>
        </w:rPr>
        <w:t xml:space="preserve"> </w:t>
      </w:r>
      <w:r w:rsidR="00777DCB" w:rsidRPr="00A52585">
        <w:rPr>
          <w:rFonts w:hint="cs"/>
          <w:rtl/>
        </w:rPr>
        <w:t>مُّغْرَقُونَ</w:t>
      </w:r>
      <w:r w:rsidRPr="00A52585">
        <w:rPr>
          <w:rFonts w:hint="cs"/>
          <w:rtl/>
        </w:rPr>
        <w:t xml:space="preserve">} </w:t>
      </w:r>
      <w:r w:rsidR="00777DCB" w:rsidRPr="00A52585">
        <w:rPr>
          <w:rFonts w:hint="cs"/>
          <w:rtl/>
        </w:rPr>
        <w:t>[سورة هود/37]</w:t>
      </w:r>
      <w:r w:rsidR="00DB731D" w:rsidRPr="00A52585">
        <w:rPr>
          <w:rFonts w:hint="cs"/>
          <w:bCs/>
          <w:rtl/>
        </w:rPr>
        <w:t>،</w:t>
      </w:r>
      <w:r w:rsidR="00777DCB" w:rsidRPr="00A52585">
        <w:rPr>
          <w:rFonts w:hint="cs"/>
          <w:bCs/>
          <w:rtl/>
        </w:rPr>
        <w:t xml:space="preserve"> وقوله</w:t>
      </w:r>
      <w:r w:rsidR="00777DCB" w:rsidRPr="00A52585">
        <w:rPr>
          <w:rFonts w:hint="cs"/>
          <w:bCs/>
        </w:rPr>
        <w:t xml:space="preserve"> </w:t>
      </w:r>
      <w:r w:rsidR="00777DCB" w:rsidRPr="00A52585">
        <w:rPr>
          <w:rFonts w:hint="cs"/>
          <w:bCs/>
          <w:rtl/>
        </w:rPr>
        <w:t>تعالى (</w:t>
      </w:r>
      <w:r w:rsidR="00777DCB" w:rsidRPr="00A52585">
        <w:rPr>
          <w:rFonts w:hint="cs"/>
          <w:rtl/>
        </w:rPr>
        <w:t>فَأَوْحَيْنَا إِلَيْهِ</w:t>
      </w:r>
      <w:r w:rsidR="00777DCB" w:rsidRPr="00A52585">
        <w:rPr>
          <w:rFonts w:hint="cs"/>
        </w:rPr>
        <w:t xml:space="preserve"> </w:t>
      </w:r>
      <w:r w:rsidR="00777DCB" w:rsidRPr="00A52585">
        <w:rPr>
          <w:rFonts w:hint="cs"/>
          <w:rtl/>
        </w:rPr>
        <w:t>أَنِ اصْنَعِ الْفُلْكَ بِأَعْيُنِنَا وَوَحْيِنَا فَإِذَا جَاء أَمْرُنَا</w:t>
      </w:r>
      <w:r w:rsidR="00777DCB" w:rsidRPr="00A52585">
        <w:rPr>
          <w:rFonts w:hint="cs"/>
        </w:rPr>
        <w:t xml:space="preserve"> </w:t>
      </w:r>
      <w:r w:rsidR="00777DCB" w:rsidRPr="00A52585">
        <w:rPr>
          <w:rFonts w:hint="cs"/>
          <w:rtl/>
        </w:rPr>
        <w:t>وَفَارَ التَّنُّورُ فَاسْلُكْ فِيهَا مِن كُلٍّ زَوْجَيْنِ اثْنَيْنِ وَأَهْلَكَ</w:t>
      </w:r>
      <w:r w:rsidR="00777DCB" w:rsidRPr="00A52585">
        <w:rPr>
          <w:rFonts w:hint="cs"/>
        </w:rPr>
        <w:t xml:space="preserve"> </w:t>
      </w:r>
      <w:r w:rsidR="00777DCB" w:rsidRPr="00A52585">
        <w:rPr>
          <w:rFonts w:hint="cs"/>
          <w:rtl/>
        </w:rPr>
        <w:t>إِلَّا مَن سَبَقَ عَلَيْهِ الْقَوْلُ مِنْهُمْ وَلَا تُخَاطِبْنِي فِي الَّذِينَ</w:t>
      </w:r>
      <w:r w:rsidR="00777DCB" w:rsidRPr="00A52585">
        <w:rPr>
          <w:rFonts w:hint="cs"/>
        </w:rPr>
        <w:t xml:space="preserve"> </w:t>
      </w:r>
      <w:r w:rsidR="00777DCB" w:rsidRPr="00A52585">
        <w:rPr>
          <w:rFonts w:hint="cs"/>
          <w:rtl/>
        </w:rPr>
        <w:t>ظَلَمُوا إِنَّهُم مُّغْرَقُونَ [سورة المؤمنون/27]</w:t>
      </w:r>
      <w:r w:rsidR="00DB731D" w:rsidRPr="00A52585">
        <w:rPr>
          <w:rFonts w:hint="cs"/>
          <w:rtl/>
        </w:rPr>
        <w:t>،</w:t>
      </w:r>
      <w:r w:rsidR="00777DCB" w:rsidRPr="00A52585">
        <w:rPr>
          <w:rFonts w:hint="cs"/>
          <w:rtl/>
        </w:rPr>
        <w:t xml:space="preserve"> </w:t>
      </w:r>
      <w:r w:rsidR="00777DCB" w:rsidRPr="00A52585">
        <w:rPr>
          <w:rFonts w:hint="cs"/>
          <w:bCs/>
          <w:rtl/>
        </w:rPr>
        <w:t>وقوله</w:t>
      </w:r>
      <w:r w:rsidR="00777DCB" w:rsidRPr="00A52585">
        <w:rPr>
          <w:rFonts w:hint="cs"/>
          <w:bCs/>
        </w:rPr>
        <w:t xml:space="preserve"> </w:t>
      </w:r>
      <w:r w:rsidR="00777DCB" w:rsidRPr="00A52585">
        <w:rPr>
          <w:rFonts w:hint="cs"/>
          <w:bCs/>
          <w:rtl/>
        </w:rPr>
        <w:t xml:space="preserve">تعالى </w:t>
      </w:r>
      <w:r w:rsidRPr="00A52585">
        <w:rPr>
          <w:rFonts w:hint="cs"/>
          <w:bCs/>
          <w:rtl/>
        </w:rPr>
        <w:t>{</w:t>
      </w:r>
      <w:r w:rsidR="00777DCB" w:rsidRPr="00A52585">
        <w:rPr>
          <w:rFonts w:hint="cs"/>
          <w:rtl/>
        </w:rPr>
        <w:t>وَحَمَلْنَاهُ عَلَى</w:t>
      </w:r>
      <w:r w:rsidR="00777DCB" w:rsidRPr="00A52585">
        <w:rPr>
          <w:rFonts w:hint="cs"/>
        </w:rPr>
        <w:t xml:space="preserve"> </w:t>
      </w:r>
      <w:r w:rsidR="00777DCB" w:rsidRPr="00A52585">
        <w:rPr>
          <w:rFonts w:hint="cs"/>
          <w:rtl/>
        </w:rPr>
        <w:t>ذَاتِ أَلْوَاحٍ وَدُسُرٍ * تَجْرِي بِأَعْيُنِنَا جَزَاء لِّمَن كَانَ كُفِرَ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سورة القمر/13-14]</w:t>
      </w:r>
      <w:r w:rsidR="00DB731D" w:rsidRPr="00A52585">
        <w:rPr>
          <w:rFonts w:hint="cs"/>
          <w:bCs/>
          <w:rtl/>
        </w:rPr>
        <w:t>،</w:t>
      </w:r>
      <w:r w:rsidR="00777DCB" w:rsidRPr="00A52585">
        <w:rPr>
          <w:rFonts w:hint="cs"/>
          <w:bCs/>
          <w:rtl/>
        </w:rPr>
        <w:t xml:space="preserve"> قال البغوي في تفسيره</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واصنع الفلك بأعيننا</w:t>
      </w:r>
      <w:r w:rsidRPr="00A52585">
        <w:rPr>
          <w:rFonts w:hint="cs"/>
          <w:rtl/>
        </w:rPr>
        <w:t xml:space="preserve">) </w:t>
      </w:r>
      <w:r w:rsidR="00777DCB" w:rsidRPr="00A52585">
        <w:rPr>
          <w:rFonts w:hint="cs"/>
          <w:bCs/>
          <w:rtl/>
        </w:rPr>
        <w:t>قال ابن عباس</w:t>
      </w:r>
      <w:r w:rsidRPr="00A52585">
        <w:rPr>
          <w:rFonts w:hint="cs"/>
          <w:rtl/>
        </w:rPr>
        <w:t>:</w:t>
      </w:r>
      <w:r w:rsidR="00777DCB" w:rsidRPr="00A52585">
        <w:rPr>
          <w:rFonts w:hint="cs"/>
          <w:rtl/>
        </w:rPr>
        <w:t xml:space="preserve"> بمرأى منا</w:t>
      </w:r>
      <w:r w:rsidRPr="00A52585">
        <w:rPr>
          <w:rFonts w:hint="cs"/>
          <w:rtl/>
        </w:rPr>
        <w:t xml:space="preserve"> </w:t>
      </w:r>
      <w:r w:rsidR="00777DCB" w:rsidRPr="00A52585">
        <w:rPr>
          <w:rFonts w:hint="cs"/>
          <w:bCs/>
          <w:rtl/>
        </w:rPr>
        <w:t>وقال مقاتل</w:t>
      </w:r>
      <w:r w:rsidRPr="00A52585">
        <w:rPr>
          <w:rFonts w:hint="cs"/>
          <w:rtl/>
        </w:rPr>
        <w:t>:</w:t>
      </w:r>
      <w:r w:rsidR="00777DCB" w:rsidRPr="00A52585">
        <w:rPr>
          <w:rFonts w:hint="cs"/>
          <w:rtl/>
        </w:rPr>
        <w:t xml:space="preserve"> بعلمنا</w:t>
      </w:r>
      <w:r w:rsidRPr="00A52585">
        <w:rPr>
          <w:rFonts w:hint="cs"/>
          <w:rtl/>
        </w:rPr>
        <w:t xml:space="preserve"> </w:t>
      </w:r>
      <w:r w:rsidR="00777DCB" w:rsidRPr="00A52585">
        <w:rPr>
          <w:rFonts w:hint="cs"/>
          <w:rtl/>
        </w:rPr>
        <w:t>وقيل</w:t>
      </w:r>
      <w:r w:rsidRPr="00A52585">
        <w:rPr>
          <w:rFonts w:hint="cs"/>
          <w:rtl/>
        </w:rPr>
        <w:t xml:space="preserve"> </w:t>
      </w:r>
      <w:r w:rsidR="00777DCB" w:rsidRPr="00A52585">
        <w:rPr>
          <w:rFonts w:hint="cs"/>
          <w:rtl/>
        </w:rPr>
        <w:t>يحفظنا "</w:t>
      </w:r>
      <w:r w:rsidRPr="00A52585">
        <w:rPr>
          <w:rFonts w:hint="cs"/>
          <w:rtl/>
        </w:rPr>
        <w:t>[</w:t>
      </w:r>
      <w:r w:rsidR="00777DCB" w:rsidRPr="00A52585">
        <w:rPr>
          <w:rFonts w:hint="cs"/>
          <w:rtl/>
        </w:rPr>
        <w:t>تفسير البغوي ج: 2 ص: 382] أهـ</w:t>
      </w:r>
      <w:r w:rsidR="00DB731D" w:rsidRPr="00A52585">
        <w:rPr>
          <w:rFonts w:hint="cs"/>
          <w:rtl/>
        </w:rPr>
        <w:t>،</w:t>
      </w:r>
      <w:r w:rsidR="00777DCB" w:rsidRPr="00A52585">
        <w:rPr>
          <w:rFonts w:hint="cs"/>
          <w:rtl/>
        </w:rPr>
        <w:t xml:space="preserve"> وقال رحمه الله: "(فإنك بأعيننا</w:t>
      </w:r>
      <w:r w:rsidRPr="00A52585">
        <w:rPr>
          <w:rFonts w:hint="cs"/>
          <w:rtl/>
        </w:rPr>
        <w:t>)</w:t>
      </w:r>
      <w:r w:rsidR="00777DCB" w:rsidRPr="00A52585">
        <w:rPr>
          <w:rFonts w:hint="cs"/>
          <w:rtl/>
        </w:rPr>
        <w:t xml:space="preserve"> أي بمرأى منا </w:t>
      </w:r>
      <w:r w:rsidR="00777DCB" w:rsidRPr="00A52585">
        <w:rPr>
          <w:rFonts w:hint="cs"/>
          <w:bCs/>
          <w:rtl/>
        </w:rPr>
        <w:t>قال ابن عباس</w:t>
      </w:r>
      <w:r w:rsidRPr="00A52585">
        <w:rPr>
          <w:rFonts w:hint="cs"/>
          <w:rtl/>
        </w:rPr>
        <w:t>:</w:t>
      </w:r>
      <w:r w:rsidR="00777DCB" w:rsidRPr="00A52585">
        <w:rPr>
          <w:rFonts w:hint="cs"/>
          <w:rtl/>
        </w:rPr>
        <w:t xml:space="preserve"> نرى ما يعمل بك </w:t>
      </w:r>
      <w:r w:rsidR="00777DCB" w:rsidRPr="00A52585">
        <w:rPr>
          <w:rFonts w:hint="cs"/>
          <w:bCs/>
          <w:rtl/>
        </w:rPr>
        <w:t>وقال الزجاج</w:t>
      </w:r>
      <w:r w:rsidRPr="00A52585">
        <w:rPr>
          <w:rFonts w:hint="cs"/>
          <w:rtl/>
        </w:rPr>
        <w:t>:</w:t>
      </w:r>
      <w:r w:rsidR="00777DCB" w:rsidRPr="00A52585">
        <w:rPr>
          <w:rFonts w:hint="cs"/>
          <w:rtl/>
        </w:rPr>
        <w:t xml:space="preserve"> معناه أنك بحيث نراك ونحفظك فلا يصلون إلى </w:t>
      </w:r>
      <w:proofErr w:type="spellStart"/>
      <w:r w:rsidR="00777DCB" w:rsidRPr="00A52585">
        <w:rPr>
          <w:rFonts w:hint="cs"/>
          <w:rtl/>
        </w:rPr>
        <w:t>مكروهك</w:t>
      </w:r>
      <w:proofErr w:type="spellEnd"/>
      <w:r w:rsidR="00777DCB" w:rsidRPr="00A52585">
        <w:rPr>
          <w:rFonts w:hint="cs"/>
          <w:rtl/>
        </w:rPr>
        <w:t xml:space="preserve"> " </w:t>
      </w:r>
      <w:r w:rsidRPr="00A52585">
        <w:rPr>
          <w:rFonts w:hint="cs"/>
          <w:rtl/>
        </w:rPr>
        <w:t>[</w:t>
      </w:r>
      <w:r w:rsidR="00777DCB" w:rsidRPr="00A52585">
        <w:rPr>
          <w:rFonts w:hint="cs"/>
          <w:rtl/>
        </w:rPr>
        <w:t>تفسير البغوي ج: 4 ص: 243] أهـ</w:t>
      </w:r>
      <w:r w:rsidR="00DB731D" w:rsidRPr="00A52585">
        <w:rPr>
          <w:rFonts w:hint="cs"/>
          <w:rtl/>
        </w:rPr>
        <w:t>،</w:t>
      </w:r>
      <w:r w:rsidR="00777DCB" w:rsidRPr="00A52585">
        <w:rPr>
          <w:rFonts w:hint="cs"/>
          <w:rtl/>
        </w:rPr>
        <w:t xml:space="preserve"> </w:t>
      </w:r>
      <w:r w:rsidR="00777DCB" w:rsidRPr="00A52585">
        <w:rPr>
          <w:rFonts w:hint="cs"/>
          <w:bCs/>
          <w:rtl/>
        </w:rPr>
        <w:t>وقال ابن الجوزي في زاد المسير</w:t>
      </w:r>
      <w:r w:rsidRPr="00A52585">
        <w:rPr>
          <w:rFonts w:hint="cs"/>
          <w:rtl/>
        </w:rPr>
        <w:t>:</w:t>
      </w:r>
      <w:r w:rsidR="00777DCB" w:rsidRPr="00A52585">
        <w:rPr>
          <w:rFonts w:hint="cs"/>
          <w:rtl/>
        </w:rPr>
        <w:t xml:space="preserve"> " وفي قوله</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 xml:space="preserve">ثلاثة أقوال أحدها بمرأى منا </w:t>
      </w:r>
      <w:r w:rsidR="00777DCB" w:rsidRPr="00A52585">
        <w:rPr>
          <w:rFonts w:hint="cs"/>
          <w:bCs/>
          <w:rtl/>
        </w:rPr>
        <w:t>قاله ابن عباس</w:t>
      </w:r>
      <w:r w:rsidR="00777DCB" w:rsidRPr="00A52585">
        <w:rPr>
          <w:rFonts w:hint="cs"/>
          <w:rtl/>
        </w:rPr>
        <w:t xml:space="preserve"> والثاني بحفظنا </w:t>
      </w:r>
      <w:r w:rsidR="00777DCB" w:rsidRPr="00A52585">
        <w:rPr>
          <w:rFonts w:hint="cs"/>
          <w:bCs/>
          <w:rtl/>
        </w:rPr>
        <w:t>قاله الربيع</w:t>
      </w:r>
      <w:r w:rsidRPr="00A52585">
        <w:rPr>
          <w:rFonts w:hint="cs"/>
          <w:rtl/>
        </w:rPr>
        <w:t xml:space="preserve"> </w:t>
      </w:r>
      <w:r w:rsidR="00777DCB" w:rsidRPr="00A52585">
        <w:rPr>
          <w:rFonts w:hint="cs"/>
          <w:rtl/>
        </w:rPr>
        <w:t xml:space="preserve">والثالث بعلمنا </w:t>
      </w:r>
      <w:r w:rsidR="00777DCB" w:rsidRPr="00A52585">
        <w:rPr>
          <w:rFonts w:hint="cs"/>
          <w:bCs/>
          <w:rtl/>
        </w:rPr>
        <w:t>قاله مقاتل</w:t>
      </w:r>
      <w:r w:rsidR="00777DCB" w:rsidRPr="00A52585">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sidR="00DB731D" w:rsidRPr="00A52585">
        <w:rPr>
          <w:rFonts w:hint="cs"/>
          <w:rtl/>
        </w:rPr>
        <w:t>،</w:t>
      </w:r>
      <w:r w:rsidR="00777DCB" w:rsidRPr="00A52585">
        <w:rPr>
          <w:rFonts w:hint="cs"/>
          <w:rtl/>
        </w:rPr>
        <w:t xml:space="preserve"> </w:t>
      </w:r>
      <w:r w:rsidR="00777DCB" w:rsidRPr="00A52585">
        <w:rPr>
          <w:rFonts w:hint="cs"/>
          <w:bCs/>
          <w:rtl/>
        </w:rPr>
        <w:t>وقال الواحدي</w:t>
      </w:r>
      <w:r w:rsidRPr="00A52585">
        <w:rPr>
          <w:rFonts w:hint="cs"/>
          <w:rtl/>
        </w:rPr>
        <w:t>:</w:t>
      </w:r>
      <w:r w:rsidR="00777DCB" w:rsidRPr="00A52585">
        <w:rPr>
          <w:rFonts w:hint="cs"/>
          <w:rtl/>
        </w:rPr>
        <w:t xml:space="preserve"> " واصنع الفلك</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بمرأى منا وتأويله بحفظنا إياك حفظ من يراك ويملك دفع السوء عنك " [تفسير الواحدي ج: 1 ص: 520] أهـ</w:t>
      </w:r>
      <w:r w:rsidR="00DB731D" w:rsidRPr="00A52585">
        <w:rPr>
          <w:rFonts w:hint="cs"/>
          <w:rtl/>
        </w:rPr>
        <w:t>،</w:t>
      </w:r>
      <w:r w:rsidR="00777DCB" w:rsidRPr="00A52585">
        <w:rPr>
          <w:rFonts w:hint="cs"/>
          <w:rtl/>
        </w:rPr>
        <w:t xml:space="preserve"> </w:t>
      </w:r>
      <w:r w:rsidR="00777DCB" w:rsidRPr="00A52585">
        <w:rPr>
          <w:rFonts w:hint="cs"/>
          <w:bCs/>
          <w:rtl/>
        </w:rPr>
        <w:t>وقال الثعالبي</w:t>
      </w:r>
      <w:r w:rsidRPr="00A52585">
        <w:rPr>
          <w:rFonts w:hint="cs"/>
          <w:rtl/>
        </w:rPr>
        <w:t>:</w:t>
      </w:r>
      <w:r w:rsidR="00777DCB" w:rsidRPr="00A52585">
        <w:rPr>
          <w:rFonts w:hint="cs"/>
          <w:rtl/>
        </w:rPr>
        <w:t xml:space="preserve"> " وقوله تعالى تجري</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معناه بحفظنا وتحت نظر منا" [تفسير الثعالبي ج: 4 ص: 235] أهـ</w:t>
      </w:r>
      <w:r w:rsidR="00DB731D" w:rsidRPr="00A52585">
        <w:rPr>
          <w:rFonts w:hint="cs"/>
          <w:rtl/>
        </w:rPr>
        <w:t>،</w:t>
      </w:r>
      <w:r w:rsidR="00777DCB" w:rsidRPr="00A52585">
        <w:rPr>
          <w:rFonts w:hint="cs"/>
          <w:rtl/>
        </w:rPr>
        <w:t xml:space="preserve"> وقال الجصاص في أحكام القرآن</w:t>
      </w:r>
      <w:r w:rsidRPr="00A52585">
        <w:rPr>
          <w:rFonts w:hint="cs"/>
          <w:rtl/>
        </w:rPr>
        <w:t>:</w:t>
      </w:r>
      <w:r w:rsidR="00777DCB" w:rsidRPr="00A52585">
        <w:rPr>
          <w:rFonts w:hint="cs"/>
          <w:rtl/>
        </w:rPr>
        <w:t xml:space="preserve"> " واصنع الفلك بأعيننا ووحينا يعني بحيث نراها فكأنها ترى بأعين على طريق البلاغة والمعنى بحفظنا إياك " [أحكام القرآن</w:t>
      </w:r>
      <w:r w:rsidR="00777DCB" w:rsidRPr="00A52585">
        <w:rPr>
          <w:rFonts w:hint="cs"/>
        </w:rPr>
        <w:t xml:space="preserve"> </w:t>
      </w:r>
      <w:r w:rsidR="00777DCB" w:rsidRPr="00A52585">
        <w:rPr>
          <w:rFonts w:hint="cs"/>
          <w:rtl/>
        </w:rPr>
        <w:t>للجصاص ج: 4 ص: 377] أهـ</w:t>
      </w:r>
      <w:r w:rsidR="00DB731D" w:rsidRPr="00A52585">
        <w:rPr>
          <w:rFonts w:hint="cs"/>
          <w:rtl/>
        </w:rPr>
        <w:t>،</w:t>
      </w:r>
      <w:r w:rsidR="00777DCB" w:rsidRPr="00A52585">
        <w:rPr>
          <w:rFonts w:hint="cs"/>
          <w:rtl/>
        </w:rPr>
        <w:t xml:space="preserve"> </w:t>
      </w:r>
      <w:r w:rsidR="00777DCB" w:rsidRPr="00A52585">
        <w:rPr>
          <w:rFonts w:hint="cs"/>
          <w:bCs/>
          <w:rtl/>
        </w:rPr>
        <w:t>وقال النسفي</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rtl/>
        </w:rPr>
        <w:t>تجرى بأعيننا بمرأى منا أو بحفظنا</w:t>
      </w:r>
      <w:r w:rsidR="00DB731D" w:rsidRPr="00A52585">
        <w:rPr>
          <w:rFonts w:hint="cs"/>
          <w:rtl/>
        </w:rPr>
        <w:t>،</w:t>
      </w:r>
      <w:r w:rsidR="00777DCB" w:rsidRPr="00A52585">
        <w:rPr>
          <w:rFonts w:hint="cs"/>
          <w:rtl/>
        </w:rPr>
        <w:t xml:space="preserve"> أو </w:t>
      </w:r>
      <w:r w:rsidRPr="00A52585">
        <w:rPr>
          <w:rFonts w:hint="cs"/>
          <w:rtl/>
        </w:rPr>
        <w:t>(</w:t>
      </w:r>
      <w:r w:rsidR="00777DCB" w:rsidRPr="00A52585">
        <w:rPr>
          <w:rFonts w:hint="cs"/>
          <w:rtl/>
        </w:rPr>
        <w:t>بأعيننا</w:t>
      </w:r>
      <w:r w:rsidRPr="00A52585">
        <w:rPr>
          <w:rFonts w:hint="cs"/>
          <w:rtl/>
        </w:rPr>
        <w:t>)</w:t>
      </w:r>
      <w:r w:rsidR="00777DCB" w:rsidRPr="00A52585">
        <w:rPr>
          <w:rFonts w:hint="cs"/>
          <w:rtl/>
        </w:rPr>
        <w:t xml:space="preserve"> حال من الضمير في تجرى أي محفوظة بنا " [تفسير النسفي ج: 4 ص: 195] أهـ</w:t>
      </w:r>
      <w:r w:rsidR="00DB731D" w:rsidRPr="00A52585">
        <w:rPr>
          <w:rFonts w:hint="cs"/>
          <w:rtl/>
        </w:rPr>
        <w:t>،</w:t>
      </w:r>
      <w:r w:rsidR="00777DCB" w:rsidRPr="00A52585">
        <w:rPr>
          <w:rFonts w:hint="cs"/>
          <w:rtl/>
        </w:rPr>
        <w:t xml:space="preserve"> </w:t>
      </w:r>
      <w:r w:rsidR="00777DCB" w:rsidRPr="00A52585">
        <w:rPr>
          <w:rFonts w:hint="cs"/>
          <w:bCs/>
          <w:rtl/>
        </w:rPr>
        <w:t>وقال الشوكاني</w:t>
      </w:r>
      <w:r w:rsidRPr="00A52585">
        <w:rPr>
          <w:rFonts w:hint="cs"/>
          <w:rtl/>
        </w:rPr>
        <w:t>:</w:t>
      </w:r>
      <w:r w:rsidR="00777DCB" w:rsidRPr="00A52585">
        <w:rPr>
          <w:rFonts w:hint="cs"/>
          <w:rtl/>
        </w:rPr>
        <w:t xml:space="preserve"> " واصنع الفلك</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ووحينا أي اعمل السفينة متلبسا</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 xml:space="preserve">أي بمرأى منا والمراد بحراستنا لك وحفظنا لك وعبر عن ذلك بالأعين لأنها آلة الرؤية والرؤية </w:t>
      </w:r>
      <w:proofErr w:type="spellStart"/>
      <w:r w:rsidR="00777DCB" w:rsidRPr="00A52585">
        <w:rPr>
          <w:rFonts w:hint="cs"/>
          <w:rtl/>
        </w:rPr>
        <w:t>هى</w:t>
      </w:r>
      <w:proofErr w:type="spellEnd"/>
      <w:r w:rsidR="00777DCB" w:rsidRPr="00A52585">
        <w:rPr>
          <w:rFonts w:hint="cs"/>
          <w:rtl/>
        </w:rPr>
        <w:t xml:space="preserve"> </w:t>
      </w:r>
      <w:proofErr w:type="spellStart"/>
      <w:r w:rsidR="00777DCB" w:rsidRPr="00A52585">
        <w:rPr>
          <w:rFonts w:hint="cs"/>
          <w:rtl/>
        </w:rPr>
        <w:t>التى</w:t>
      </w:r>
      <w:proofErr w:type="spellEnd"/>
      <w:r w:rsidR="00777DCB" w:rsidRPr="00A52585">
        <w:rPr>
          <w:rFonts w:hint="cs"/>
          <w:rtl/>
        </w:rPr>
        <w:t xml:space="preserve"> تكون بها الحراسة والحفظ في الغالب وجمع الأعين للتعظيم لا للتكثير وقيل المعنى</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أي بأعين ملائكتنا الذين جعلناهم عيونا على حفظك وقيل</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 xml:space="preserve">بعلمنا وقيل بأمرنا " </w:t>
      </w:r>
      <w:r w:rsidRPr="00A52585">
        <w:rPr>
          <w:rFonts w:hint="cs"/>
          <w:rtl/>
        </w:rPr>
        <w:t>[</w:t>
      </w:r>
      <w:r w:rsidR="00777DCB" w:rsidRPr="00A52585">
        <w:rPr>
          <w:rFonts w:hint="cs"/>
          <w:rtl/>
        </w:rPr>
        <w:t>فتح القدير ج: 2 ص: 497]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بأعيننا</w:t>
      </w:r>
      <w:r w:rsidRPr="00A52585">
        <w:rPr>
          <w:rFonts w:hint="cs"/>
          <w:rtl/>
        </w:rPr>
        <w:t xml:space="preserve"> </w:t>
      </w:r>
      <w:r w:rsidR="00777DCB" w:rsidRPr="00A52585">
        <w:rPr>
          <w:rFonts w:hint="cs"/>
          <w:rtl/>
        </w:rPr>
        <w:t xml:space="preserve">أي بمرأى ومنظر منا وفي حفظنا وحمايتنا فلا تبال بهم قال </w:t>
      </w:r>
      <w:r w:rsidR="00777DCB" w:rsidRPr="00A52585">
        <w:rPr>
          <w:rFonts w:hint="cs"/>
          <w:rtl/>
        </w:rPr>
        <w:lastRenderedPageBreak/>
        <w:t>الزجاج إنك بحيث نراك ونحفظك ونرعاك " [فتح القدير ج: 5 ص: 102]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بأعيننا</w:t>
      </w:r>
      <w:r w:rsidRPr="00A52585">
        <w:rPr>
          <w:rFonts w:hint="cs"/>
          <w:rtl/>
        </w:rPr>
        <w:t xml:space="preserve"> </w:t>
      </w:r>
      <w:r w:rsidR="00777DCB" w:rsidRPr="00A52585">
        <w:rPr>
          <w:rFonts w:hint="cs"/>
          <w:rtl/>
        </w:rPr>
        <w:t>أي بمنظر ومرأي منا وحفظ لها كما في قوله واصنع الفلك</w:t>
      </w:r>
      <w:r w:rsidRPr="00A52585">
        <w:rPr>
          <w:rFonts w:hint="cs"/>
          <w:rtl/>
        </w:rPr>
        <w:t xml:space="preserve"> </w:t>
      </w:r>
      <w:r w:rsidR="00777DCB" w:rsidRPr="00A52585">
        <w:rPr>
          <w:rFonts w:hint="cs"/>
          <w:rtl/>
        </w:rPr>
        <w:t>بأعيننا " [فتح القدير ج: 5 ص: 123] أهـ</w:t>
      </w:r>
      <w:r w:rsidR="00DB731D" w:rsidRPr="00A52585">
        <w:rPr>
          <w:rFonts w:hint="cs"/>
          <w:rtl/>
        </w:rPr>
        <w:t>،</w:t>
      </w:r>
      <w:r w:rsidR="00777DCB" w:rsidRPr="00A52585">
        <w:rPr>
          <w:rFonts w:hint="cs"/>
          <w:rtl/>
        </w:rPr>
        <w:t xml:space="preserve"> </w:t>
      </w:r>
      <w:r w:rsidR="00777DCB" w:rsidRPr="00A52585">
        <w:rPr>
          <w:rFonts w:hint="cs"/>
          <w:bCs/>
          <w:rtl/>
        </w:rPr>
        <w:t>وقال البيضاوي</w:t>
      </w:r>
      <w:r w:rsidRPr="00A52585">
        <w:rPr>
          <w:rFonts w:hint="cs"/>
          <w:rtl/>
        </w:rPr>
        <w:t>:</w:t>
      </w:r>
      <w:r w:rsidR="00777DCB" w:rsidRPr="00A52585">
        <w:rPr>
          <w:rFonts w:hint="cs"/>
          <w:rtl/>
        </w:rPr>
        <w:t xml:space="preserve"> " واصنع الفلك</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ملتبسا</w:t>
      </w:r>
      <w:r w:rsidRPr="00A52585">
        <w:rPr>
          <w:rFonts w:hint="cs"/>
          <w:rtl/>
        </w:rPr>
        <w:t xml:space="preserve"> </w:t>
      </w:r>
      <w:r w:rsidR="00777DCB" w:rsidRPr="00A52585">
        <w:rPr>
          <w:rFonts w:hint="cs"/>
          <w:rtl/>
        </w:rPr>
        <w:t>بأعيننا</w:t>
      </w:r>
      <w:r w:rsidRPr="00A52585">
        <w:rPr>
          <w:rFonts w:hint="cs"/>
          <w:rtl/>
        </w:rPr>
        <w:t xml:space="preserve"> </w:t>
      </w:r>
      <w:r w:rsidR="00777DCB" w:rsidRPr="00A52585">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أن اصنع الفلك بأعيننا</w:t>
      </w:r>
      <w:r w:rsidRPr="00A52585">
        <w:rPr>
          <w:rFonts w:hint="cs"/>
          <w:rtl/>
        </w:rPr>
        <w:t xml:space="preserve">) </w:t>
      </w:r>
      <w:r w:rsidR="00777DCB" w:rsidRPr="00A52585">
        <w:rPr>
          <w:rFonts w:hint="cs"/>
          <w:rtl/>
        </w:rPr>
        <w:t>بحفظنا نحفظه أن تخطئ فيه أو يفسده عليك مفسد " [تفسير البيضاوي ج: 4 ص: 152] أهـ</w:t>
      </w:r>
      <w:r w:rsidR="00DB731D" w:rsidRPr="00A52585">
        <w:rPr>
          <w:rFonts w:hint="cs"/>
          <w:rtl/>
        </w:rPr>
        <w:t>،</w:t>
      </w:r>
      <w:r w:rsidR="00777DCB" w:rsidRPr="00A52585">
        <w:rPr>
          <w:rFonts w:hint="cs"/>
          <w:rtl/>
        </w:rPr>
        <w:t xml:space="preserve"> </w:t>
      </w:r>
      <w:r w:rsidR="00777DCB" w:rsidRPr="00A52585">
        <w:rPr>
          <w:rFonts w:hint="cs"/>
          <w:bCs/>
          <w:rtl/>
        </w:rPr>
        <w:t>وجاء في تفسير الجلالين</w:t>
      </w:r>
      <w:r w:rsidRPr="00A52585">
        <w:rPr>
          <w:rFonts w:hint="cs"/>
          <w:rtl/>
        </w:rPr>
        <w:t>:</w:t>
      </w:r>
      <w:r w:rsidR="00777DCB" w:rsidRPr="00A52585">
        <w:rPr>
          <w:rFonts w:hint="cs"/>
          <w:rtl/>
        </w:rPr>
        <w:t xml:space="preserve"> " بأعيننا بمرأى منا وحفظنا " </w:t>
      </w:r>
      <w:r w:rsidRPr="00A52585">
        <w:rPr>
          <w:rFonts w:hint="cs"/>
          <w:rtl/>
        </w:rPr>
        <w:t>[</w:t>
      </w:r>
      <w:r w:rsidR="00777DCB" w:rsidRPr="00A52585">
        <w:rPr>
          <w:rFonts w:hint="cs"/>
          <w:rtl/>
        </w:rPr>
        <w:t>تفسير الجلالين ج: 1 ص: 448] أهـ</w:t>
      </w:r>
      <w:r w:rsidR="00DB731D" w:rsidRPr="00A52585">
        <w:rPr>
          <w:rFonts w:hint="cs"/>
          <w:rtl/>
        </w:rPr>
        <w:t>،</w:t>
      </w:r>
      <w:r w:rsidR="00777DCB" w:rsidRPr="00A52585">
        <w:rPr>
          <w:rFonts w:hint="cs"/>
          <w:rtl/>
        </w:rPr>
        <w:t xml:space="preserve"> </w:t>
      </w:r>
      <w:r w:rsidR="00777DCB" w:rsidRPr="00A52585">
        <w:rPr>
          <w:rFonts w:hint="cs"/>
          <w:bCs/>
          <w:rtl/>
        </w:rPr>
        <w:t>وقال الألوسي</w:t>
      </w:r>
      <w:r w:rsidRPr="00A52585">
        <w:rPr>
          <w:rFonts w:hint="cs"/>
          <w:rtl/>
        </w:rPr>
        <w:t>:</w:t>
      </w:r>
      <w:r w:rsidR="00777DCB" w:rsidRPr="00A52585">
        <w:rPr>
          <w:rFonts w:hint="cs"/>
          <w:rtl/>
        </w:rPr>
        <w:t xml:space="preserve"> " والأعين حقيقة في الجارحة وهي جارية مجرى التمثيل كأن لله سبحانه أعينا </w:t>
      </w:r>
      <w:proofErr w:type="spellStart"/>
      <w:r w:rsidR="00777DCB" w:rsidRPr="00A52585">
        <w:rPr>
          <w:rFonts w:hint="cs"/>
          <w:rtl/>
        </w:rPr>
        <w:t>تكلؤه</w:t>
      </w:r>
      <w:proofErr w:type="spellEnd"/>
      <w:r w:rsidR="00777DCB" w:rsidRPr="00A52585">
        <w:rPr>
          <w:rFonts w:hint="cs"/>
          <w:rtl/>
        </w:rPr>
        <w:t xml:space="preserve"> من تعدي </w:t>
      </w:r>
      <w:proofErr w:type="spellStart"/>
      <w:r w:rsidR="00777DCB" w:rsidRPr="00A52585">
        <w:rPr>
          <w:rFonts w:hint="cs"/>
          <w:rtl/>
        </w:rPr>
        <w:t>الكفرة</w:t>
      </w:r>
      <w:r w:rsidR="00897A24" w:rsidRPr="00A52585">
        <w:rPr>
          <w:rFonts w:hint="cs"/>
          <w:rtl/>
        </w:rPr>
        <w:t>.</w:t>
      </w:r>
      <w:r w:rsidR="00777DCB" w:rsidRPr="00A52585">
        <w:rPr>
          <w:rFonts w:hint="cs"/>
          <w:rtl/>
        </w:rPr>
        <w:t>.والجمع</w:t>
      </w:r>
      <w:proofErr w:type="spellEnd"/>
      <w:r w:rsidR="00777DCB" w:rsidRPr="00A52585">
        <w:rPr>
          <w:rFonts w:hint="cs"/>
          <w:rtl/>
        </w:rPr>
        <w:t xml:space="preserve"> </w:t>
      </w:r>
      <w:proofErr w:type="spellStart"/>
      <w:r w:rsidR="00777DCB" w:rsidRPr="00A52585">
        <w:rPr>
          <w:rFonts w:hint="cs"/>
          <w:rtl/>
        </w:rPr>
        <w:t>للمبالغة</w:t>
      </w:r>
      <w:r w:rsidR="00897A24" w:rsidRPr="00A52585">
        <w:rPr>
          <w:rFonts w:hint="cs"/>
          <w:rtl/>
        </w:rPr>
        <w:t>.</w:t>
      </w:r>
      <w:r w:rsidR="00777DCB" w:rsidRPr="00A52585">
        <w:rPr>
          <w:rFonts w:hint="cs"/>
          <w:rtl/>
        </w:rPr>
        <w:t>.وقيل</w:t>
      </w:r>
      <w:proofErr w:type="spellEnd"/>
      <w:r w:rsidRPr="00A52585">
        <w:rPr>
          <w:rFonts w:hint="cs"/>
          <w:rtl/>
        </w:rPr>
        <w:t xml:space="preserve"> </w:t>
      </w:r>
      <w:r w:rsidR="00777DCB" w:rsidRPr="00A52585">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rtl/>
        </w:rPr>
        <w:t>فإنك بأعيننا في إفادة العناية والحفظ "</w:t>
      </w:r>
      <w:r w:rsidRPr="00A52585">
        <w:rPr>
          <w:rFonts w:hint="cs"/>
          <w:rtl/>
        </w:rPr>
        <w:t>[</w:t>
      </w:r>
      <w:r w:rsidR="00777DCB" w:rsidRPr="00A52585">
        <w:rPr>
          <w:rFonts w:hint="cs"/>
          <w:rtl/>
        </w:rPr>
        <w:t>روح المعاني ج: 17 ص: 74] أهـ</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rtl/>
        </w:rPr>
        <w:t>:</w:t>
      </w:r>
      <w:r w:rsidR="00777DCB" w:rsidRPr="00A52585">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w:t>
      </w:r>
      <w:proofErr w:type="spellStart"/>
      <w:r w:rsidR="00777DCB" w:rsidRPr="00A52585">
        <w:rPr>
          <w:rFonts w:hint="cs"/>
          <w:rtl/>
        </w:rPr>
        <w:t>ونكلؤك</w:t>
      </w:r>
      <w:proofErr w:type="spellEnd"/>
      <w:r w:rsidR="00777DCB" w:rsidRPr="00A52585">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Pr="00A52585">
        <w:rPr>
          <w:rFonts w:hint="cs"/>
          <w:rtl/>
        </w:rPr>
        <w:t>[</w:t>
      </w:r>
      <w:r w:rsidR="00777DCB" w:rsidRPr="00A52585">
        <w:rPr>
          <w:rFonts w:hint="cs"/>
          <w:rtl/>
        </w:rPr>
        <w:t>روح المعاني ج: 27 ص: 40] أهـ</w:t>
      </w:r>
      <w:r w:rsidR="00DB731D" w:rsidRPr="00A52585">
        <w:rPr>
          <w:rFonts w:hint="cs"/>
          <w:rtl/>
          <w:lang w:bidi="ar-KW"/>
        </w:rPr>
        <w:t>،</w:t>
      </w:r>
      <w:r w:rsidR="00777DCB" w:rsidRPr="00A52585">
        <w:rPr>
          <w:rFonts w:hint="cs"/>
          <w:rtl/>
          <w:lang w:bidi="ar-KW"/>
        </w:rPr>
        <w:t xml:space="preserve"> </w:t>
      </w:r>
      <w:r w:rsidR="00777DCB" w:rsidRPr="00A52585">
        <w:rPr>
          <w:rFonts w:hint="cs"/>
          <w:bCs/>
          <w:rtl/>
        </w:rPr>
        <w:t>وقال</w:t>
      </w:r>
      <w:r w:rsidRPr="00A52585">
        <w:rPr>
          <w:rFonts w:hint="cs"/>
          <w:bCs/>
          <w:rtl/>
        </w:rPr>
        <w:t>:</w:t>
      </w:r>
      <w:r w:rsidR="00777DCB" w:rsidRPr="00A52585">
        <w:rPr>
          <w:rFonts w:hint="cs"/>
          <w:rtl/>
        </w:rPr>
        <w:t xml:space="preserve"> "</w:t>
      </w:r>
      <w:r w:rsidRPr="00A52585">
        <w:rPr>
          <w:rFonts w:hint="cs"/>
          <w:rtl/>
        </w:rPr>
        <w:t xml:space="preserve"> </w:t>
      </w:r>
      <w:r w:rsidR="00777DCB" w:rsidRPr="00A52585">
        <w:rPr>
          <w:rFonts w:hint="cs"/>
          <w:rtl/>
        </w:rPr>
        <w:t>تجري بأعيننا بمرأى منا وكني به عن الحفظ " [روح المعاني ج: 27 ص: 83] أهـ</w:t>
      </w:r>
      <w:r w:rsidR="00DB731D" w:rsidRPr="00A52585">
        <w:rPr>
          <w:rFonts w:hint="cs"/>
          <w:rtl/>
        </w:rPr>
        <w:t>،</w:t>
      </w:r>
      <w:r w:rsidR="00777DCB" w:rsidRPr="00A52585">
        <w:rPr>
          <w:rFonts w:hint="cs"/>
          <w:rtl/>
        </w:rPr>
        <w:t xml:space="preserve"> </w:t>
      </w:r>
      <w:r w:rsidR="00777DCB" w:rsidRPr="00A52585">
        <w:rPr>
          <w:rFonts w:hint="cs"/>
          <w:bCs/>
          <w:rtl/>
        </w:rPr>
        <w:t>وقال الكرماني</w:t>
      </w:r>
      <w:r w:rsidRPr="00A52585">
        <w:rPr>
          <w:rFonts w:hint="cs"/>
          <w:rtl/>
        </w:rPr>
        <w:t>:</w:t>
      </w:r>
      <w:r w:rsidR="00777DCB" w:rsidRPr="00A52585">
        <w:rPr>
          <w:rFonts w:hint="cs"/>
          <w:rtl/>
        </w:rPr>
        <w:t xml:space="preserve"> " </w:t>
      </w:r>
      <w:r w:rsidRPr="00A52585">
        <w:rPr>
          <w:rFonts w:hint="cs"/>
          <w:rtl/>
        </w:rPr>
        <w:t>(</w:t>
      </w:r>
      <w:r w:rsidR="00777DCB" w:rsidRPr="00A52585">
        <w:rPr>
          <w:rFonts w:hint="cs"/>
          <w:rtl/>
        </w:rPr>
        <w:t>تجري بأعيننا</w:t>
      </w:r>
      <w:r w:rsidRPr="00A52585">
        <w:rPr>
          <w:rFonts w:hint="cs"/>
          <w:rtl/>
        </w:rPr>
        <w:t>)</w:t>
      </w:r>
      <w:r w:rsidR="00777DCB" w:rsidRPr="00A52585">
        <w:rPr>
          <w:rFonts w:hint="cs"/>
          <w:rtl/>
        </w:rPr>
        <w:t xml:space="preserve"> أي بمرأى منا وهو محمول على الحفظ إذن لدليل مانع عن إرادة العضو</w:t>
      </w:r>
      <w:r w:rsidR="00DB731D" w:rsidRPr="00A52585">
        <w:rPr>
          <w:rFonts w:hint="cs"/>
          <w:rtl/>
        </w:rPr>
        <w:t>،</w:t>
      </w:r>
      <w:r w:rsidR="00777DCB" w:rsidRPr="00A52585">
        <w:rPr>
          <w:rFonts w:hint="cs"/>
          <w:rtl/>
        </w:rPr>
        <w:t xml:space="preserve"> وأما الجمع فهو للتعظيم " [شرح الكرماني على البخاري ج</w:t>
      </w:r>
      <w:r w:rsidRPr="00A52585">
        <w:rPr>
          <w:rFonts w:hint="cs"/>
          <w:rtl/>
        </w:rPr>
        <w:t>:</w:t>
      </w:r>
      <w:r w:rsidR="00777DCB" w:rsidRPr="00A52585">
        <w:rPr>
          <w:rFonts w:hint="cs"/>
          <w:rtl/>
        </w:rPr>
        <w:t>25ص116] أهـ</w:t>
      </w:r>
    </w:p>
    <w:p w14:paraId="352149D1" w14:textId="34DE50B1" w:rsidR="00777DCB" w:rsidRPr="00A52585" w:rsidRDefault="00777DCB" w:rsidP="0002035C">
      <w:pPr>
        <w:rPr>
          <w:rtl/>
        </w:rPr>
      </w:pPr>
      <w:r w:rsidRPr="00A52585">
        <w:rPr>
          <w:rFonts w:hint="cs"/>
          <w:bCs/>
          <w:rtl/>
        </w:rPr>
        <w:t>قوله</w:t>
      </w:r>
      <w:r w:rsidRPr="00A52585">
        <w:rPr>
          <w:rFonts w:hint="cs"/>
          <w:bCs/>
        </w:rPr>
        <w:t xml:space="preserve"> </w:t>
      </w:r>
      <w:r w:rsidRPr="00A52585">
        <w:rPr>
          <w:rFonts w:hint="cs"/>
          <w:bCs/>
          <w:rtl/>
        </w:rPr>
        <w:t xml:space="preserve">تعالى </w:t>
      </w:r>
      <w:r w:rsidR="0002035C" w:rsidRPr="00A52585">
        <w:rPr>
          <w:rFonts w:hint="cs"/>
          <w:bCs/>
          <w:rtl/>
        </w:rPr>
        <w:t>{</w:t>
      </w:r>
      <w:r w:rsidRPr="00A52585">
        <w:rPr>
          <w:rFonts w:hint="cs"/>
          <w:bCs/>
          <w:rtl/>
        </w:rPr>
        <w:t>وَاصْبِرْ لِحُكْمِ</w:t>
      </w:r>
      <w:r w:rsidRPr="00A52585">
        <w:rPr>
          <w:rFonts w:hint="cs"/>
          <w:bCs/>
        </w:rPr>
        <w:t xml:space="preserve"> </w:t>
      </w:r>
      <w:r w:rsidRPr="00A52585">
        <w:rPr>
          <w:rFonts w:hint="cs"/>
          <w:bCs/>
          <w:rtl/>
        </w:rPr>
        <w:t>رَبِّكَ فَإِنَّكَ</w:t>
      </w:r>
      <w:r w:rsidRPr="00A52585">
        <w:rPr>
          <w:rFonts w:hint="cs"/>
          <w:bCs/>
        </w:rPr>
        <w:t xml:space="preserve"> </w:t>
      </w:r>
      <w:r w:rsidRPr="00A52585">
        <w:rPr>
          <w:rFonts w:hint="cs"/>
          <w:bCs/>
          <w:rtl/>
        </w:rPr>
        <w:t>بِأَعْيُنِنَا وَسَبِّحْ</w:t>
      </w:r>
      <w:r w:rsidRPr="00A52585">
        <w:rPr>
          <w:rFonts w:hint="cs"/>
          <w:bCs/>
        </w:rPr>
        <w:t xml:space="preserve"> </w:t>
      </w:r>
      <w:r w:rsidRPr="00A52585">
        <w:rPr>
          <w:rFonts w:hint="cs"/>
          <w:bCs/>
          <w:rtl/>
        </w:rPr>
        <w:t>بِحَمْدِ رَبِّكَ حِينَ</w:t>
      </w:r>
      <w:r w:rsidRPr="00A52585">
        <w:rPr>
          <w:rFonts w:hint="cs"/>
          <w:bCs/>
        </w:rPr>
        <w:t xml:space="preserve"> </w:t>
      </w:r>
      <w:r w:rsidRPr="00A52585">
        <w:rPr>
          <w:rFonts w:hint="cs"/>
          <w:bCs/>
          <w:rtl/>
        </w:rPr>
        <w:t>تَقُومُ</w:t>
      </w:r>
      <w:r w:rsidR="0002035C" w:rsidRPr="00A52585">
        <w:rPr>
          <w:rFonts w:hint="cs"/>
          <w:bCs/>
          <w:rtl/>
        </w:rPr>
        <w:t>}</w:t>
      </w:r>
      <w:r w:rsidRPr="00A52585">
        <w:rPr>
          <w:rFonts w:hint="cs"/>
          <w:bCs/>
          <w:rtl/>
        </w:rPr>
        <w:t xml:space="preserve"> </w:t>
      </w:r>
      <w:r w:rsidR="0002035C" w:rsidRPr="00A52585">
        <w:rPr>
          <w:rFonts w:hint="cs"/>
          <w:rtl/>
        </w:rPr>
        <w:t>[</w:t>
      </w:r>
      <w:r w:rsidRPr="00A52585">
        <w:rPr>
          <w:rFonts w:hint="cs"/>
          <w:rtl/>
        </w:rPr>
        <w:t>سورة الطور: 48]</w:t>
      </w:r>
      <w:r w:rsidR="0002035C" w:rsidRPr="00A52585">
        <w:rPr>
          <w:rFonts w:hint="cs"/>
          <w:rtl/>
        </w:rPr>
        <w:t>:</w:t>
      </w:r>
      <w:r w:rsidRPr="00A52585">
        <w:rPr>
          <w:rFonts w:hint="cs"/>
          <w:rtl/>
        </w:rPr>
        <w:t xml:space="preserve"> </w:t>
      </w:r>
      <w:r w:rsidRPr="00A52585">
        <w:rPr>
          <w:rFonts w:hint="cs"/>
          <w:bCs/>
          <w:rtl/>
        </w:rPr>
        <w:t>قال البغوي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فإنك</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 xml:space="preserve">أي بمرأى منا </w:t>
      </w:r>
      <w:r w:rsidRPr="00A52585">
        <w:rPr>
          <w:rFonts w:hint="cs"/>
          <w:bCs/>
          <w:rtl/>
        </w:rPr>
        <w:t>قال ابن عباس</w:t>
      </w:r>
      <w:r w:rsidRPr="00A52585">
        <w:rPr>
          <w:rFonts w:hint="cs"/>
          <w:rtl/>
        </w:rPr>
        <w:t xml:space="preserve"> نرى ما يعمل بك وقال </w:t>
      </w:r>
      <w:r w:rsidRPr="00A52585">
        <w:rPr>
          <w:rFonts w:hint="cs"/>
          <w:bCs/>
          <w:rtl/>
        </w:rPr>
        <w:t xml:space="preserve">الزجاج </w:t>
      </w:r>
      <w:r w:rsidRPr="00A52585">
        <w:rPr>
          <w:rFonts w:hint="cs"/>
          <w:rtl/>
        </w:rPr>
        <w:t xml:space="preserve">معناه أنك بحيث نراك ونحفظك فلا يصلون إلى </w:t>
      </w:r>
      <w:proofErr w:type="spellStart"/>
      <w:r w:rsidRPr="00A52585">
        <w:rPr>
          <w:rFonts w:hint="cs"/>
          <w:rtl/>
        </w:rPr>
        <w:t>مكروهك</w:t>
      </w:r>
      <w:proofErr w:type="spellEnd"/>
      <w:r w:rsidRPr="00A52585">
        <w:rPr>
          <w:rFonts w:hint="cs"/>
          <w:rtl/>
        </w:rPr>
        <w:t xml:space="preserve"> " [تفسير البغوي ج: 4 ص: 243] أهـ</w:t>
      </w:r>
      <w:r w:rsidR="00DB731D" w:rsidRPr="00A52585">
        <w:rPr>
          <w:rFonts w:hint="cs"/>
          <w:rtl/>
        </w:rPr>
        <w:t>،</w:t>
      </w:r>
      <w:r w:rsidRPr="00A52585">
        <w:rPr>
          <w:rFonts w:hint="cs"/>
          <w:rtl/>
        </w:rPr>
        <w:t xml:space="preserve"> </w:t>
      </w:r>
      <w:r w:rsidRPr="00A52585">
        <w:rPr>
          <w:rFonts w:hint="cs"/>
          <w:bCs/>
          <w:rtl/>
        </w:rPr>
        <w:t>وقال القرطبي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بأعيننا</w:t>
      </w:r>
      <w:r w:rsidR="0002035C" w:rsidRPr="00A52585">
        <w:rPr>
          <w:rFonts w:hint="cs"/>
          <w:rtl/>
        </w:rPr>
        <w:t>)</w:t>
      </w:r>
      <w:r w:rsidRPr="00A52585">
        <w:rPr>
          <w:rFonts w:hint="cs"/>
          <w:rtl/>
        </w:rPr>
        <w:t xml:space="preserve"> أي بمرأى منا وحيث نراك وقال </w:t>
      </w:r>
      <w:r w:rsidRPr="00A52585">
        <w:rPr>
          <w:rFonts w:hint="cs"/>
          <w:bCs/>
          <w:rtl/>
        </w:rPr>
        <w:t>الربيع بن أنس</w:t>
      </w:r>
      <w:r w:rsidR="0002035C" w:rsidRPr="00A52585">
        <w:rPr>
          <w:rFonts w:hint="cs"/>
          <w:rtl/>
        </w:rPr>
        <w:t xml:space="preserve"> </w:t>
      </w:r>
      <w:r w:rsidRPr="00A52585">
        <w:rPr>
          <w:rFonts w:hint="cs"/>
          <w:rtl/>
        </w:rPr>
        <w:t xml:space="preserve">بحفظنا إياك حفظ من يراك </w:t>
      </w:r>
      <w:r w:rsidRPr="00A52585">
        <w:rPr>
          <w:rFonts w:hint="cs"/>
          <w:bCs/>
          <w:rtl/>
        </w:rPr>
        <w:t xml:space="preserve">وقال ابن عباس </w:t>
      </w:r>
      <w:r w:rsidRPr="00A52585">
        <w:rPr>
          <w:rFonts w:hint="cs"/>
          <w:rtl/>
        </w:rPr>
        <w:t>رضي الله عنهما</w:t>
      </w:r>
      <w:r w:rsidR="0002035C" w:rsidRPr="00A52585">
        <w:rPr>
          <w:rFonts w:hint="cs"/>
          <w:rtl/>
        </w:rPr>
        <w:t xml:space="preserve"> </w:t>
      </w:r>
      <w:r w:rsidRPr="00A52585">
        <w:rPr>
          <w:rFonts w:hint="cs"/>
          <w:rtl/>
        </w:rPr>
        <w:t xml:space="preserve">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w:t>
      </w:r>
      <w:r w:rsidRPr="00A52585">
        <w:rPr>
          <w:rFonts w:hint="cs"/>
          <w:rtl/>
        </w:rPr>
        <w:lastRenderedPageBreak/>
        <w:t>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02035C" w:rsidRPr="00A52585">
        <w:rPr>
          <w:rFonts w:hint="cs"/>
          <w:rtl/>
        </w:rPr>
        <w:t xml:space="preserve"> </w:t>
      </w:r>
      <w:r w:rsidRPr="00A52585">
        <w:rPr>
          <w:rFonts w:hint="cs"/>
          <w:rtl/>
        </w:rPr>
        <w:t>المعنى</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 xml:space="preserve">أي بأعين ملائكتنا الذين جعلناهم عيونا على حفظك ومعونتك فيكون الجمع على هذا التكثير على بابه وقيل </w:t>
      </w:r>
      <w:r w:rsidR="0002035C" w:rsidRPr="00A52585">
        <w:rPr>
          <w:rFonts w:hint="cs"/>
          <w:rtl/>
        </w:rPr>
        <w:t>(</w:t>
      </w:r>
      <w:r w:rsidRPr="00A52585">
        <w:rPr>
          <w:rFonts w:hint="cs"/>
          <w:rtl/>
        </w:rPr>
        <w:t>بأعيننا</w:t>
      </w:r>
      <w:r w:rsidR="0002035C" w:rsidRPr="00A52585">
        <w:rPr>
          <w:rFonts w:hint="cs"/>
          <w:rtl/>
        </w:rPr>
        <w:t xml:space="preserve">) </w:t>
      </w:r>
      <w:r w:rsidRPr="00A52585">
        <w:rPr>
          <w:rFonts w:hint="cs"/>
          <w:rtl/>
        </w:rPr>
        <w:t>أي بعلمنا قاله مقاتل</w:t>
      </w:r>
      <w:r w:rsidR="0002035C" w:rsidRPr="00A52585">
        <w:rPr>
          <w:rFonts w:hint="cs"/>
          <w:rtl/>
        </w:rPr>
        <w:t xml:space="preserve"> </w:t>
      </w:r>
      <w:r w:rsidRPr="00A52585">
        <w:rPr>
          <w:rFonts w:hint="cs"/>
          <w:bCs/>
          <w:rtl/>
        </w:rPr>
        <w:t>وقال الضحاك وسفيان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بأعيننا</w:t>
      </w:r>
      <w:r w:rsidR="0002035C" w:rsidRPr="00A52585">
        <w:rPr>
          <w:rFonts w:hint="cs"/>
          <w:rtl/>
        </w:rPr>
        <w:t xml:space="preserve">) </w:t>
      </w:r>
      <w:r w:rsidRPr="00A52585">
        <w:rPr>
          <w:rFonts w:hint="cs"/>
          <w:rtl/>
        </w:rPr>
        <w:t>بأمرنا وقيل</w:t>
      </w:r>
      <w:r w:rsidR="0002035C" w:rsidRPr="00A52585">
        <w:rPr>
          <w:rFonts w:hint="cs"/>
          <w:rtl/>
        </w:rPr>
        <w:t xml:space="preserve"> </w:t>
      </w:r>
      <w:r w:rsidRPr="00A52585">
        <w:rPr>
          <w:rFonts w:hint="cs"/>
          <w:rtl/>
        </w:rPr>
        <w:t>بوحينا وقيل</w:t>
      </w:r>
      <w:r w:rsidR="0002035C" w:rsidRPr="00A52585">
        <w:rPr>
          <w:rFonts w:hint="cs"/>
          <w:rtl/>
        </w:rPr>
        <w:t xml:space="preserve"> </w:t>
      </w:r>
      <w:r w:rsidRPr="00A52585">
        <w:rPr>
          <w:rFonts w:hint="cs"/>
          <w:rtl/>
        </w:rPr>
        <w:t>بمعونتنا لك على صنعها ووحينا أي على ما أوحينا إليك من صنعته "</w:t>
      </w:r>
      <w:r w:rsidR="0002035C" w:rsidRPr="00A52585">
        <w:rPr>
          <w:rFonts w:hint="cs"/>
          <w:rtl/>
        </w:rPr>
        <w:t>[</w:t>
      </w:r>
      <w:r w:rsidRPr="00A52585">
        <w:rPr>
          <w:rFonts w:hint="cs"/>
          <w:rtl/>
        </w:rPr>
        <w:t>تفسير القرطبي ج: 9 ص: 30]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قوله تعالى</w:t>
      </w:r>
      <w:r w:rsidR="0002035C" w:rsidRPr="00A52585">
        <w:rPr>
          <w:rFonts w:hint="cs"/>
          <w:rtl/>
        </w:rPr>
        <w:t xml:space="preserve"> (</w:t>
      </w:r>
      <w:r w:rsidRPr="00A52585">
        <w:rPr>
          <w:rFonts w:hint="cs"/>
          <w:rtl/>
        </w:rPr>
        <w:t>فإنك بأعيننا</w:t>
      </w:r>
      <w:r w:rsidR="0002035C" w:rsidRPr="00A52585">
        <w:rPr>
          <w:rFonts w:hint="cs"/>
          <w:rtl/>
        </w:rPr>
        <w:t xml:space="preserve">) </w:t>
      </w:r>
      <w:r w:rsidRPr="00A52585">
        <w:rPr>
          <w:rFonts w:hint="cs"/>
          <w:rtl/>
        </w:rPr>
        <w:t>أي بمرأى ومنظر منا نرى ونسمع ما تقول وتفعل وقيل</w:t>
      </w:r>
      <w:r w:rsidR="0002035C" w:rsidRPr="00A52585">
        <w:rPr>
          <w:rFonts w:hint="cs"/>
          <w:rtl/>
        </w:rPr>
        <w:t xml:space="preserve"> </w:t>
      </w:r>
      <w:r w:rsidRPr="00A52585">
        <w:rPr>
          <w:rFonts w:hint="cs"/>
          <w:rtl/>
        </w:rPr>
        <w:t>بحيث نراك ونحفظك ونحوطك ونحرسك ونرعاك والمعنى واحد ومنه قوله تعالى لموسى عليه السلام</w:t>
      </w:r>
      <w:r w:rsidR="0002035C" w:rsidRPr="00A52585">
        <w:rPr>
          <w:rFonts w:hint="cs"/>
          <w:rtl/>
        </w:rPr>
        <w:t xml:space="preserve"> (</w:t>
      </w:r>
      <w:r w:rsidRPr="00A52585">
        <w:rPr>
          <w:rFonts w:hint="cs"/>
          <w:rtl/>
        </w:rPr>
        <w:t>ولتصنع على عيني</w:t>
      </w:r>
      <w:r w:rsidR="0002035C" w:rsidRPr="00A52585">
        <w:rPr>
          <w:rFonts w:hint="cs"/>
          <w:rtl/>
        </w:rPr>
        <w:t>)</w:t>
      </w:r>
      <w:r w:rsidRPr="00A52585">
        <w:rPr>
          <w:rFonts w:hint="cs"/>
          <w:rtl/>
        </w:rPr>
        <w:t xml:space="preserve"> أي بحفظي وحراستي "</w:t>
      </w:r>
      <w:r w:rsidR="0002035C" w:rsidRPr="00A52585">
        <w:rPr>
          <w:rFonts w:hint="cs"/>
          <w:rtl/>
        </w:rPr>
        <w:t>[</w:t>
      </w:r>
      <w:r w:rsidRPr="00A52585">
        <w:rPr>
          <w:rFonts w:hint="cs"/>
          <w:rtl/>
        </w:rPr>
        <w:t>تفسير القرطبي ج: 17 ص: 78] أهـ</w:t>
      </w:r>
      <w:r w:rsidR="00DB731D" w:rsidRPr="00A52585">
        <w:rPr>
          <w:rFonts w:hint="cs"/>
          <w:rtl/>
        </w:rPr>
        <w:t>،</w:t>
      </w:r>
      <w:r w:rsidRPr="00A52585">
        <w:rPr>
          <w:rFonts w:hint="cs"/>
          <w:rtl/>
        </w:rPr>
        <w:t xml:space="preserve"> </w:t>
      </w:r>
      <w:r w:rsidRPr="00A52585">
        <w:rPr>
          <w:rFonts w:hint="cs"/>
          <w:bCs/>
          <w:rtl/>
        </w:rPr>
        <w:t>وقال ابن كثير</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أي بمرأى منا " [تفسير ابن كثير ج: 2 ص: 445] أهـ</w:t>
      </w:r>
      <w:r w:rsidR="00DB731D" w:rsidRPr="00A52585">
        <w:rPr>
          <w:rFonts w:hint="cs"/>
          <w:rtl/>
        </w:rPr>
        <w:t>،</w:t>
      </w:r>
      <w:r w:rsidRPr="00A52585">
        <w:rPr>
          <w:rFonts w:hint="cs"/>
          <w:rtl/>
        </w:rPr>
        <w:t xml:space="preserve"> وقال رحمه الله</w:t>
      </w:r>
      <w:r w:rsidR="0002035C" w:rsidRPr="00A52585">
        <w:rPr>
          <w:rFonts w:hint="cs"/>
          <w:rtl/>
        </w:rPr>
        <w:t>:</w:t>
      </w:r>
      <w:r w:rsidRPr="00A52585">
        <w:rPr>
          <w:rFonts w:hint="cs"/>
          <w:rtl/>
        </w:rPr>
        <w:t xml:space="preserve"> " وقوله تجري</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أي بأمرنا بمرأى منا وتحت حفظنا وكلاءتنا " [تفسير ابن كثير ج: 4 ص: 265] أهـ</w:t>
      </w:r>
      <w:r w:rsidR="00DB731D" w:rsidRPr="00A52585">
        <w:rPr>
          <w:rFonts w:hint="cs"/>
          <w:rtl/>
        </w:rPr>
        <w:t>،</w:t>
      </w:r>
      <w:r w:rsidRPr="00A52585">
        <w:rPr>
          <w:rFonts w:hint="cs"/>
          <w:rtl/>
        </w:rPr>
        <w:t xml:space="preserve"> </w:t>
      </w:r>
      <w:r w:rsidRPr="00A52585">
        <w:rPr>
          <w:rFonts w:hint="cs"/>
          <w:bCs/>
          <w:rtl/>
        </w:rPr>
        <w:t>وقال الزركشي في البرهان</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فكأنه سبحانه يقول ولتصنع على أمن لا تحت خوف وذكر العين لتضمنها معنى الرعاية والكلأ وأما قوله </w:t>
      </w:r>
      <w:r w:rsidR="0002035C" w:rsidRPr="00A52585">
        <w:rPr>
          <w:rFonts w:hint="cs"/>
          <w:rtl/>
        </w:rPr>
        <w:t>(</w:t>
      </w:r>
      <w:r w:rsidRPr="00A52585">
        <w:rPr>
          <w:rFonts w:hint="cs"/>
          <w:rtl/>
        </w:rPr>
        <w:t>تجري بأعيننا</w:t>
      </w:r>
      <w:r w:rsidR="0002035C" w:rsidRPr="00A52585">
        <w:rPr>
          <w:rFonts w:hint="cs"/>
          <w:rtl/>
        </w:rPr>
        <w:t>) (</w:t>
      </w:r>
      <w:r w:rsidRPr="00A52585">
        <w:rPr>
          <w:rFonts w:hint="cs"/>
          <w:rtl/>
        </w:rPr>
        <w:t>واصنع الفلك بأعيننا</w:t>
      </w:r>
      <w:r w:rsidR="0002035C" w:rsidRPr="00A52585">
        <w:rPr>
          <w:rFonts w:hint="cs"/>
          <w:rtl/>
        </w:rPr>
        <w:t>)</w:t>
      </w:r>
      <w:r w:rsidRPr="00A52585">
        <w:rPr>
          <w:rFonts w:hint="cs"/>
          <w:rtl/>
        </w:rPr>
        <w:t xml:space="preserve"> فإنه إنما يريد في رعاية منا وحفظ ولا يريد إبداء شيء ولا إظهاره بعد كتم " </w:t>
      </w:r>
      <w:r w:rsidR="0002035C" w:rsidRPr="00A52585">
        <w:rPr>
          <w:rFonts w:hint="cs"/>
          <w:rtl/>
        </w:rPr>
        <w:t>[</w:t>
      </w:r>
      <w:r w:rsidRPr="00A52585">
        <w:rPr>
          <w:rFonts w:hint="cs"/>
          <w:rtl/>
        </w:rPr>
        <w:t>البرهان في علوم القرآن ج: 2 ص: 87]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ومنها جعل الشيء للشيء وليس له من طريق </w:t>
      </w:r>
      <w:proofErr w:type="spellStart"/>
      <w:r w:rsidRPr="00A52585">
        <w:rPr>
          <w:rFonts w:hint="cs"/>
          <w:rtl/>
        </w:rPr>
        <w:t>الأدعاء</w:t>
      </w:r>
      <w:proofErr w:type="spellEnd"/>
      <w:r w:rsidRPr="00A52585">
        <w:rPr>
          <w:rFonts w:hint="cs"/>
          <w:rtl/>
        </w:rPr>
        <w:t xml:space="preserve"> والاحاطة به نافعة في آيات الصفات كقوله تعالى </w:t>
      </w:r>
      <w:r w:rsidR="0002035C" w:rsidRPr="00A52585">
        <w:rPr>
          <w:rFonts w:hint="cs"/>
          <w:rtl/>
        </w:rPr>
        <w:t>(</w:t>
      </w:r>
      <w:r w:rsidRPr="00A52585">
        <w:rPr>
          <w:rFonts w:hint="cs"/>
          <w:rtl/>
        </w:rPr>
        <w:t>تجري بأعيننا</w:t>
      </w:r>
      <w:r w:rsidR="0002035C" w:rsidRPr="00A52585">
        <w:rPr>
          <w:rFonts w:hint="cs"/>
          <w:rtl/>
        </w:rPr>
        <w:t>)</w:t>
      </w:r>
      <w:r w:rsidRPr="00A52585">
        <w:rPr>
          <w:rFonts w:hint="cs"/>
          <w:rtl/>
        </w:rPr>
        <w:t xml:space="preserve"> وقوله </w:t>
      </w:r>
      <w:r w:rsidR="0002035C" w:rsidRPr="00A52585">
        <w:rPr>
          <w:rFonts w:hint="cs"/>
          <w:rtl/>
        </w:rPr>
        <w:t>(</w:t>
      </w:r>
      <w:r w:rsidRPr="00A52585">
        <w:rPr>
          <w:rFonts w:hint="cs"/>
          <w:rtl/>
        </w:rPr>
        <w:t>والأرض جميعا قبضته يوم القيامة والسموات مطويات بيمينه</w:t>
      </w:r>
      <w:r w:rsidR="0002035C" w:rsidRPr="00A52585">
        <w:rPr>
          <w:rFonts w:hint="cs"/>
          <w:rtl/>
        </w:rPr>
        <w:t xml:space="preserve">) </w:t>
      </w:r>
      <w:r w:rsidRPr="00A52585">
        <w:rPr>
          <w:rFonts w:hint="cs"/>
          <w:rtl/>
        </w:rPr>
        <w:t>ويسمى التخييل قال الزمخشري ولا تجد بابا في علم البيان أدق ولا أعون في تعاطي المشبهات منه " [البرهان في علوم القرآن ج: 3 ص: 440] أهـ</w:t>
      </w:r>
      <w:r w:rsidR="00DB731D" w:rsidRPr="00A52585">
        <w:rPr>
          <w:rFonts w:hint="cs"/>
          <w:rtl/>
        </w:rPr>
        <w:t>،</w:t>
      </w:r>
      <w:r w:rsidRPr="00A52585">
        <w:rPr>
          <w:rFonts w:hint="cs"/>
          <w:rtl/>
        </w:rPr>
        <w:t xml:space="preserve"> </w:t>
      </w:r>
      <w:r w:rsidRPr="00A52585">
        <w:rPr>
          <w:rFonts w:hint="cs"/>
          <w:bCs/>
          <w:rtl/>
        </w:rPr>
        <w:t>وقال الثعالبي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وقوله</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 xml:space="preserve">أي بملائكتنا " </w:t>
      </w:r>
      <w:r w:rsidR="0002035C" w:rsidRPr="00A52585">
        <w:rPr>
          <w:rFonts w:hint="cs"/>
          <w:rtl/>
        </w:rPr>
        <w:t>[</w:t>
      </w:r>
      <w:r w:rsidRPr="00A52585">
        <w:rPr>
          <w:rFonts w:hint="cs"/>
          <w:rtl/>
        </w:rPr>
        <w:t>تفسير الثعالبي ج: 2 ص: 204] أهـ</w:t>
      </w:r>
      <w:r w:rsidR="00DB731D" w:rsidRPr="00A52585">
        <w:rPr>
          <w:rFonts w:hint="cs"/>
          <w:rtl/>
        </w:rPr>
        <w:t>،</w:t>
      </w:r>
      <w:r w:rsidRPr="00A52585">
        <w:rPr>
          <w:rFonts w:hint="cs"/>
          <w:rtl/>
        </w:rPr>
        <w:t xml:space="preserve"> </w:t>
      </w:r>
      <w:r w:rsidRPr="00A52585">
        <w:rPr>
          <w:rFonts w:hint="cs"/>
          <w:bCs/>
          <w:rtl/>
        </w:rPr>
        <w:t>وقال أبو السعود</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بأعيننا</w:t>
      </w:r>
      <w:r w:rsidR="0002035C" w:rsidRPr="00A52585">
        <w:rPr>
          <w:rFonts w:hint="cs"/>
          <w:rtl/>
        </w:rPr>
        <w:t xml:space="preserve"> </w:t>
      </w:r>
      <w:r w:rsidRPr="00A52585">
        <w:rPr>
          <w:rFonts w:hint="cs"/>
          <w:rtl/>
        </w:rPr>
        <w:t xml:space="preserve">ملتبسا بحفظنا وكلاءتنا كأن معه عليه السلام منه عز وعلا حفاظا وحراسا </w:t>
      </w:r>
      <w:proofErr w:type="spellStart"/>
      <w:r w:rsidRPr="00A52585">
        <w:rPr>
          <w:rFonts w:hint="cs"/>
          <w:rtl/>
        </w:rPr>
        <w:t>يكلئونه</w:t>
      </w:r>
      <w:proofErr w:type="spellEnd"/>
      <w:r w:rsidRPr="00A52585">
        <w:rPr>
          <w:rFonts w:hint="cs"/>
          <w:rtl/>
        </w:rPr>
        <w:t xml:space="preserve"> بأعينهم من التعدي " [تفسير أبي السعود ج: 6 ص: 131]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فإنك</w:t>
      </w:r>
      <w:r w:rsidR="0002035C" w:rsidRPr="00A52585">
        <w:rPr>
          <w:rFonts w:hint="cs"/>
          <w:rtl/>
        </w:rPr>
        <w:t xml:space="preserve"> </w:t>
      </w:r>
      <w:r w:rsidRPr="00A52585">
        <w:rPr>
          <w:rFonts w:hint="cs"/>
          <w:rtl/>
        </w:rPr>
        <w:t>بأعيننا</w:t>
      </w:r>
      <w:r w:rsidR="0002035C" w:rsidRPr="00A52585">
        <w:rPr>
          <w:rFonts w:hint="cs"/>
          <w:rtl/>
        </w:rPr>
        <w:t xml:space="preserve"> </w:t>
      </w:r>
      <w:proofErr w:type="spellStart"/>
      <w:r w:rsidRPr="00A52585">
        <w:rPr>
          <w:rFonts w:hint="cs"/>
          <w:rtl/>
        </w:rPr>
        <w:t>أى</w:t>
      </w:r>
      <w:proofErr w:type="spellEnd"/>
      <w:r w:rsidRPr="00A52585">
        <w:rPr>
          <w:rFonts w:hint="cs"/>
          <w:rtl/>
        </w:rPr>
        <w:t xml:space="preserve"> في حفظنا وحمايتنا بحيث نراقبك </w:t>
      </w:r>
      <w:proofErr w:type="spellStart"/>
      <w:r w:rsidRPr="00A52585">
        <w:rPr>
          <w:rFonts w:hint="cs"/>
          <w:rtl/>
        </w:rPr>
        <w:t>ونكلؤك</w:t>
      </w:r>
      <w:proofErr w:type="spellEnd"/>
      <w:r w:rsidRPr="00A52585">
        <w:rPr>
          <w:rFonts w:hint="cs"/>
          <w:rtl/>
        </w:rPr>
        <w:t xml:space="preserve"> وجمع العين لجمع الضمير والإيذان بغاية الاعتناء بالحفظ " </w:t>
      </w:r>
      <w:r w:rsidR="0002035C" w:rsidRPr="00A52585">
        <w:rPr>
          <w:rFonts w:hint="cs"/>
          <w:rtl/>
        </w:rPr>
        <w:t>[</w:t>
      </w:r>
      <w:r w:rsidRPr="00A52585">
        <w:rPr>
          <w:rFonts w:hint="cs"/>
          <w:rtl/>
        </w:rPr>
        <w:t>تفسير أبي السعود ج: 8 ص: 153] أهـ</w:t>
      </w:r>
      <w:r w:rsidR="00DB731D" w:rsidRPr="00A52585">
        <w:rPr>
          <w:rFonts w:hint="cs"/>
          <w:rtl/>
        </w:rPr>
        <w:t>،</w:t>
      </w:r>
      <w:r w:rsidRPr="00A52585">
        <w:rPr>
          <w:rFonts w:hint="cs"/>
          <w:rtl/>
        </w:rPr>
        <w:t xml:space="preserve"> </w:t>
      </w:r>
      <w:r w:rsidRPr="00A52585">
        <w:rPr>
          <w:rFonts w:hint="cs"/>
          <w:bCs/>
          <w:rtl/>
        </w:rPr>
        <w:t>وقال الشوكاني</w:t>
      </w:r>
      <w:r w:rsidR="0002035C" w:rsidRPr="00A52585">
        <w:rPr>
          <w:rFonts w:hint="cs"/>
          <w:rtl/>
        </w:rPr>
        <w:t>:</w:t>
      </w:r>
      <w:r w:rsidRPr="00A52585">
        <w:rPr>
          <w:rFonts w:hint="cs"/>
          <w:rtl/>
        </w:rPr>
        <w:t xml:space="preserve"> " </w:t>
      </w:r>
      <w:r w:rsidR="0002035C" w:rsidRPr="00A52585">
        <w:rPr>
          <w:rFonts w:hint="cs"/>
          <w:rtl/>
        </w:rPr>
        <w:t>(</w:t>
      </w:r>
      <w:r w:rsidRPr="00A52585">
        <w:rPr>
          <w:rFonts w:hint="cs"/>
          <w:rtl/>
        </w:rPr>
        <w:t>بأعيننا</w:t>
      </w:r>
      <w:r w:rsidR="0002035C" w:rsidRPr="00A52585">
        <w:rPr>
          <w:rFonts w:hint="cs"/>
          <w:rtl/>
        </w:rPr>
        <w:t>)</w:t>
      </w:r>
      <w:r w:rsidRPr="00A52585">
        <w:rPr>
          <w:rFonts w:hint="cs"/>
          <w:rtl/>
        </w:rPr>
        <w:t xml:space="preserve"> أي بمرأى ومنظر منا وفي حفظنا وحمايتنا فلا تبال بهم قال الزجاج إنك بحيث نراك ونحفظك ونرعاك " </w:t>
      </w:r>
      <w:r w:rsidR="0002035C" w:rsidRPr="00A52585">
        <w:rPr>
          <w:rFonts w:hint="cs"/>
          <w:rtl/>
        </w:rPr>
        <w:t>[</w:t>
      </w:r>
      <w:r w:rsidRPr="00A52585">
        <w:rPr>
          <w:rFonts w:hint="cs"/>
          <w:rtl/>
        </w:rPr>
        <w:t>فتح القدير ج: 5 ص: 102] أهـ</w:t>
      </w:r>
      <w:r w:rsidR="00DB731D" w:rsidRPr="00A52585">
        <w:rPr>
          <w:rFonts w:hint="cs"/>
          <w:rtl/>
        </w:rPr>
        <w:t>،</w:t>
      </w:r>
      <w:r w:rsidRPr="00A52585">
        <w:rPr>
          <w:rFonts w:hint="cs"/>
          <w:rtl/>
        </w:rPr>
        <w:t xml:space="preserve"> </w:t>
      </w:r>
      <w:r w:rsidRPr="00A52585">
        <w:rPr>
          <w:rFonts w:hint="cs"/>
          <w:bCs/>
          <w:rtl/>
        </w:rPr>
        <w:t xml:space="preserve">وقال </w:t>
      </w:r>
      <w:r w:rsidRPr="00A52585">
        <w:rPr>
          <w:rFonts w:hint="cs"/>
          <w:bCs/>
          <w:rtl/>
        </w:rPr>
        <w:lastRenderedPageBreak/>
        <w:t>رحمه الله</w:t>
      </w:r>
      <w:r w:rsidR="0002035C" w:rsidRPr="00A52585">
        <w:rPr>
          <w:rFonts w:hint="cs"/>
          <w:rtl/>
        </w:rPr>
        <w:t>:</w:t>
      </w:r>
      <w:r w:rsidRPr="00A52585">
        <w:rPr>
          <w:rFonts w:hint="cs"/>
          <w:rtl/>
        </w:rPr>
        <w:t xml:space="preserve"> " بأعيننا</w:t>
      </w:r>
      <w:r w:rsidR="0002035C" w:rsidRPr="00A52585">
        <w:rPr>
          <w:rFonts w:hint="cs"/>
          <w:rtl/>
        </w:rPr>
        <w:t xml:space="preserve"> </w:t>
      </w:r>
      <w:r w:rsidRPr="00A52585">
        <w:rPr>
          <w:rFonts w:hint="cs"/>
          <w:rtl/>
        </w:rPr>
        <w:t>أي بمنظر ومرأي منا وحفظ لها كما في قوله (واصنع الفلك بأعيننا</w:t>
      </w:r>
      <w:r w:rsidR="0002035C" w:rsidRPr="00A52585">
        <w:rPr>
          <w:rFonts w:hint="cs"/>
          <w:rtl/>
        </w:rPr>
        <w:t xml:space="preserve">) </w:t>
      </w:r>
      <w:r w:rsidRPr="00A52585">
        <w:rPr>
          <w:rFonts w:hint="cs"/>
          <w:rtl/>
        </w:rPr>
        <w:t>وقيل بأمرنا وقيل بوحينا</w:t>
      </w:r>
      <w:r w:rsidR="00897A24" w:rsidRPr="00A52585">
        <w:rPr>
          <w:rFonts w:hint="cs"/>
          <w:rtl/>
        </w:rPr>
        <w:t>.</w:t>
      </w:r>
      <w:r w:rsidRPr="00A52585">
        <w:rPr>
          <w:rFonts w:hint="cs"/>
          <w:rtl/>
        </w:rPr>
        <w:t>. " [فتح القدير ج: 5 ص: 123] 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فإنك بأعيننا في إفادة العناية والحفظ " [روح المعاني ج: 17 ص: 74]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فإنك بأعيننا أي في حفظنا وحراستنا </w:t>
      </w:r>
      <w:r w:rsidRPr="00A52585">
        <w:rPr>
          <w:rFonts w:hint="cs"/>
          <w:bCs/>
          <w:rtl/>
        </w:rPr>
        <w:t>فالعين مجاز عن الحفظ ويتجوز بها أيضا عن الحافظ وهو مجاز مشهور</w:t>
      </w:r>
      <w:r w:rsidR="00DB731D" w:rsidRPr="00A52585">
        <w:rPr>
          <w:rFonts w:hint="cs"/>
          <w:rtl/>
        </w:rPr>
        <w:t>،</w:t>
      </w:r>
      <w:r w:rsidRPr="00A52585">
        <w:rPr>
          <w:rFonts w:hint="cs"/>
          <w:rtl/>
        </w:rPr>
        <w:t xml:space="preserve"> وفي الكشاف هو مثل أي بحيث نراك </w:t>
      </w:r>
      <w:proofErr w:type="spellStart"/>
      <w:r w:rsidRPr="00A52585">
        <w:rPr>
          <w:rFonts w:hint="cs"/>
          <w:rtl/>
        </w:rPr>
        <w:t>ونكلؤك</w:t>
      </w:r>
      <w:proofErr w:type="spellEnd"/>
      <w:r w:rsidRPr="00A52585">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DB731D" w:rsidRPr="00A52585">
        <w:rPr>
          <w:rFonts w:hint="cs"/>
          <w:rtl/>
        </w:rPr>
        <w:t>،</w:t>
      </w:r>
      <w:r w:rsidRPr="00A52585">
        <w:rPr>
          <w:rFonts w:hint="cs"/>
          <w:rtl/>
        </w:rPr>
        <w:t xml:space="preserve"> </w:t>
      </w:r>
      <w:r w:rsidRPr="00A52585">
        <w:rPr>
          <w:rFonts w:hint="cs"/>
          <w:bCs/>
          <w:rtl/>
        </w:rPr>
        <w:t>وقال الزرقاني</w:t>
      </w:r>
      <w:r w:rsidR="0002035C" w:rsidRPr="00A52585">
        <w:rPr>
          <w:rFonts w:hint="cs"/>
          <w:rtl/>
        </w:rPr>
        <w:t>:</w:t>
      </w:r>
      <w:r w:rsidRPr="00A52585">
        <w:rPr>
          <w:rFonts w:hint="cs"/>
          <w:rtl/>
        </w:rPr>
        <w:t xml:space="preserve"> " وتارة تجيء التسلية عن طريق وعد الله لرسوله بالنصر والتأييد والحفظ كما في قوله سبحانه في سورة الطور </w:t>
      </w:r>
      <w:r w:rsidR="0002035C" w:rsidRPr="00A52585">
        <w:rPr>
          <w:rFonts w:hint="cs"/>
          <w:rtl/>
        </w:rPr>
        <w:t>(</w:t>
      </w:r>
      <w:r w:rsidRPr="00A52585">
        <w:rPr>
          <w:rFonts w:hint="cs"/>
          <w:rtl/>
        </w:rPr>
        <w:t xml:space="preserve">واصبر لحكم ربك فإنك بأعيننا) " </w:t>
      </w:r>
      <w:r w:rsidR="0002035C" w:rsidRPr="00A52585">
        <w:rPr>
          <w:rFonts w:hint="cs"/>
          <w:rtl/>
        </w:rPr>
        <w:t>[</w:t>
      </w:r>
      <w:r w:rsidRPr="00A52585">
        <w:rPr>
          <w:rFonts w:hint="cs"/>
          <w:rtl/>
        </w:rPr>
        <w:t>مناهل العرفان ج: 1 ص: 40] أهـ</w:t>
      </w:r>
    </w:p>
    <w:p w14:paraId="5919ACCB" w14:textId="63154F26" w:rsidR="00777DCB" w:rsidRPr="00A52585" w:rsidRDefault="00777DCB" w:rsidP="0002035C">
      <w:pPr>
        <w:rPr>
          <w:rtl/>
        </w:rPr>
      </w:pPr>
      <w:r w:rsidRPr="00A52585">
        <w:rPr>
          <w:rFonts w:hint="cs"/>
          <w:bCs/>
          <w:rtl/>
        </w:rPr>
        <w:t>وقوله</w:t>
      </w:r>
      <w:r w:rsidRPr="00A52585">
        <w:rPr>
          <w:rFonts w:hint="cs"/>
          <w:bCs/>
        </w:rPr>
        <w:t xml:space="preserve"> </w:t>
      </w:r>
      <w:r w:rsidRPr="00A52585">
        <w:rPr>
          <w:rFonts w:hint="cs"/>
          <w:bCs/>
          <w:rtl/>
        </w:rPr>
        <w:t xml:space="preserve">تعالى </w:t>
      </w:r>
      <w:r w:rsidR="0002035C" w:rsidRPr="00A52585">
        <w:rPr>
          <w:rFonts w:hint="cs"/>
          <w:bCs/>
          <w:rtl/>
        </w:rPr>
        <w:t>{</w:t>
      </w:r>
      <w:r w:rsidRPr="00A52585">
        <w:rPr>
          <w:rFonts w:hint="cs"/>
          <w:bCs/>
          <w:rtl/>
        </w:rPr>
        <w:t>وَأَلْقَيْتُ عَلَيْكَ مَحَبَّةً</w:t>
      </w:r>
      <w:r w:rsidRPr="00A52585">
        <w:rPr>
          <w:rFonts w:hint="cs"/>
          <w:bCs/>
        </w:rPr>
        <w:t xml:space="preserve"> </w:t>
      </w:r>
      <w:r w:rsidRPr="00A52585">
        <w:rPr>
          <w:rFonts w:hint="cs"/>
          <w:bCs/>
          <w:rtl/>
        </w:rPr>
        <w:t>مِّنِّي وَلِتُصْنَعَ عَلَى عَيْنِي</w:t>
      </w:r>
      <w:r w:rsidR="0002035C" w:rsidRPr="00A52585">
        <w:rPr>
          <w:rFonts w:hint="cs"/>
          <w:bCs/>
          <w:rtl/>
        </w:rPr>
        <w:t>}</w:t>
      </w:r>
      <w:r w:rsidRPr="00A52585">
        <w:rPr>
          <w:rFonts w:hint="cs"/>
          <w:bCs/>
          <w:rtl/>
        </w:rPr>
        <w:t xml:space="preserve"> </w:t>
      </w:r>
      <w:r w:rsidRPr="00A52585">
        <w:rPr>
          <w:rFonts w:hint="cs"/>
          <w:rtl/>
        </w:rPr>
        <w:t>[سورة طه/39]</w:t>
      </w:r>
      <w:r w:rsidR="0002035C" w:rsidRPr="00A52585">
        <w:rPr>
          <w:rFonts w:hint="cs"/>
          <w:bCs/>
          <w:rtl/>
        </w:rPr>
        <w:t xml:space="preserve">: </w:t>
      </w:r>
      <w:r w:rsidRPr="00A52585">
        <w:rPr>
          <w:rFonts w:hint="cs"/>
          <w:bCs/>
          <w:rtl/>
        </w:rPr>
        <w:t>قال الشوكاني</w:t>
      </w:r>
      <w:r w:rsidR="0002035C" w:rsidRPr="00A52585">
        <w:rPr>
          <w:rFonts w:hint="cs"/>
          <w:rtl/>
        </w:rPr>
        <w:t>:</w:t>
      </w:r>
      <w:r w:rsidRPr="00A52585">
        <w:rPr>
          <w:rFonts w:hint="cs"/>
          <w:rtl/>
        </w:rPr>
        <w:t xml:space="preserve"> " ولتصنع على عيني</w:t>
      </w:r>
      <w:r w:rsidR="0002035C" w:rsidRPr="00A52585">
        <w:rPr>
          <w:rFonts w:hint="cs"/>
          <w:rtl/>
        </w:rPr>
        <w:t xml:space="preserve"> </w:t>
      </w:r>
      <w:r w:rsidRPr="00A52585">
        <w:rPr>
          <w:rFonts w:hint="cs"/>
          <w:rtl/>
        </w:rPr>
        <w:t xml:space="preserve">أي </w:t>
      </w:r>
      <w:proofErr w:type="spellStart"/>
      <w:r w:rsidRPr="00A52585">
        <w:rPr>
          <w:rFonts w:hint="cs"/>
          <w:rtl/>
        </w:rPr>
        <w:t>ولتربى</w:t>
      </w:r>
      <w:proofErr w:type="spellEnd"/>
      <w:r w:rsidRPr="00A52585">
        <w:rPr>
          <w:rFonts w:hint="cs"/>
          <w:rtl/>
        </w:rPr>
        <w:t xml:space="preserve"> وتغذى بمرأى مني وتفسير على عيني بمرأى مني صحيح قال النحاس</w:t>
      </w:r>
      <w:r w:rsidR="0002035C" w:rsidRPr="00A52585">
        <w:rPr>
          <w:rFonts w:hint="cs"/>
          <w:rtl/>
        </w:rPr>
        <w:t>:</w:t>
      </w:r>
      <w:r w:rsidRPr="00A52585">
        <w:rPr>
          <w:rFonts w:hint="cs"/>
          <w:rtl/>
        </w:rPr>
        <w:t xml:space="preserve"> وذلك معروف في اللغة ولكن لا يكون في هذا تخصيص لموسى فإن جميع الأشياء بمرأى من الله</w:t>
      </w:r>
      <w:r w:rsidR="00DB731D" w:rsidRPr="00A52585">
        <w:rPr>
          <w:rFonts w:hint="cs"/>
          <w:rtl/>
        </w:rPr>
        <w:t>،</w:t>
      </w:r>
      <w:r w:rsidRPr="00A52585">
        <w:rPr>
          <w:rFonts w:hint="cs"/>
          <w:rtl/>
        </w:rPr>
        <w:t xml:space="preserve"> وقال أبو عبيدة وابن الأنباري</w:t>
      </w:r>
      <w:r w:rsidR="0002035C" w:rsidRPr="00A52585">
        <w:rPr>
          <w:rFonts w:hint="cs"/>
          <w:rtl/>
        </w:rPr>
        <w:t>:</w:t>
      </w:r>
      <w:r w:rsidRPr="00A52585">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فانك بأعيننا)</w:t>
      </w:r>
      <w:r w:rsidR="0002035C" w:rsidRPr="00A52585">
        <w:rPr>
          <w:rFonts w:hint="cs"/>
          <w:rtl/>
        </w:rPr>
        <w:t xml:space="preserve"> </w:t>
      </w:r>
      <w:r w:rsidRPr="00A52585">
        <w:rPr>
          <w:rFonts w:hint="cs"/>
          <w:rtl/>
        </w:rPr>
        <w:t xml:space="preserve">أي بحيث نراك </w:t>
      </w:r>
      <w:proofErr w:type="spellStart"/>
      <w:r w:rsidRPr="00A52585">
        <w:rPr>
          <w:rFonts w:hint="cs"/>
          <w:rtl/>
        </w:rPr>
        <w:t>ونكلؤك</w:t>
      </w:r>
      <w:proofErr w:type="spellEnd"/>
      <w:r w:rsidRPr="00A52585">
        <w:rPr>
          <w:rFonts w:hint="cs"/>
          <w:rtl/>
        </w:rPr>
        <w:t xml:space="preserve"> وجمع العين لان الضمير بلفظ الجماعة ألا ترى إلى قوله </w:t>
      </w:r>
      <w:r w:rsidR="0002035C" w:rsidRPr="00A52585">
        <w:rPr>
          <w:rFonts w:hint="cs"/>
          <w:rtl/>
        </w:rPr>
        <w:t>(</w:t>
      </w:r>
      <w:r w:rsidRPr="00A52585">
        <w:rPr>
          <w:rFonts w:hint="cs"/>
          <w:rtl/>
        </w:rPr>
        <w:t>ولتصنع على عيني</w:t>
      </w:r>
      <w:r w:rsidR="0002035C" w:rsidRPr="00A52585">
        <w:rPr>
          <w:rFonts w:hint="cs"/>
          <w:rtl/>
        </w:rPr>
        <w:t>)</w:t>
      </w:r>
      <w:r w:rsidRPr="00A52585">
        <w:rPr>
          <w:rFonts w:hint="cs"/>
          <w:rtl/>
        </w:rPr>
        <w:t xml:space="preserve"> " [تفسير النسفي ج: 4 ص: 187] أهـ</w:t>
      </w:r>
      <w:r w:rsidR="00DB731D" w:rsidRPr="00A52585">
        <w:rPr>
          <w:rFonts w:hint="cs"/>
          <w:rtl/>
        </w:rPr>
        <w:t>،</w:t>
      </w:r>
      <w:r w:rsidRPr="00A52585">
        <w:rPr>
          <w:rFonts w:hint="cs"/>
          <w:rtl/>
        </w:rPr>
        <w:t xml:space="preserve"> </w:t>
      </w:r>
      <w:r w:rsidRPr="00A52585">
        <w:rPr>
          <w:rFonts w:hint="cs"/>
          <w:bCs/>
          <w:rtl/>
        </w:rPr>
        <w:t>وقال السيوطي</w:t>
      </w:r>
      <w:r w:rsidR="0002035C" w:rsidRPr="00A52585">
        <w:rPr>
          <w:rFonts w:hint="cs"/>
          <w:rtl/>
        </w:rPr>
        <w:t>:</w:t>
      </w:r>
      <w:r w:rsidRPr="00A52585">
        <w:rPr>
          <w:rFonts w:hint="cs"/>
          <w:rtl/>
        </w:rPr>
        <w:t>- وهو يتحدث عن مجاز القرآن -</w:t>
      </w:r>
      <w:r w:rsidR="0002035C" w:rsidRPr="00A52585">
        <w:rPr>
          <w:rFonts w:hint="cs"/>
          <w:rtl/>
        </w:rPr>
        <w:t xml:space="preserve"> </w:t>
      </w:r>
      <w:r w:rsidRPr="00A52585">
        <w:rPr>
          <w:rFonts w:hint="cs"/>
          <w:rtl/>
        </w:rPr>
        <w:t>" ومن ذلك العين وهي مؤولة بالبصر أو الإدراك</w:t>
      </w:r>
      <w:r w:rsidR="0002035C" w:rsidRPr="00A52585">
        <w:rPr>
          <w:rFonts w:hint="cs"/>
          <w:rtl/>
        </w:rPr>
        <w:t xml:space="preserve"> </w:t>
      </w:r>
      <w:r w:rsidRPr="00A52585">
        <w:rPr>
          <w:rFonts w:hint="cs"/>
          <w:rtl/>
        </w:rPr>
        <w:t>بل قال بعضهم إنها حقيقة في ذلك خلافا لتوهم بعض الناس أنها مجاز وإنما المجاز في تسمية العضو بها</w:t>
      </w:r>
      <w:r w:rsidR="00DB731D" w:rsidRPr="00A52585">
        <w:rPr>
          <w:rFonts w:hint="cs"/>
          <w:rtl/>
        </w:rPr>
        <w:t>،</w:t>
      </w:r>
      <w:r w:rsidR="0002035C" w:rsidRPr="00A52585">
        <w:rPr>
          <w:rFonts w:hint="cs"/>
          <w:rtl/>
        </w:rPr>
        <w:t xml:space="preserve"> </w:t>
      </w:r>
      <w:r w:rsidRPr="00A52585">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02035C" w:rsidRPr="00A52585">
        <w:rPr>
          <w:rFonts w:hint="cs"/>
          <w:rtl/>
        </w:rPr>
        <w:t>(</w:t>
      </w:r>
      <w:r w:rsidRPr="00A52585">
        <w:rPr>
          <w:rFonts w:hint="cs"/>
          <w:rtl/>
        </w:rPr>
        <w:t>قد جاءكم بصائر من ربكم فمن أبصر فلنفسه ومن عمي فعليها</w:t>
      </w:r>
      <w:r w:rsidR="0002035C" w:rsidRPr="00A52585">
        <w:rPr>
          <w:rFonts w:hint="cs"/>
          <w:rtl/>
        </w:rPr>
        <w:t>)</w:t>
      </w:r>
      <w:r w:rsidRPr="00A52585">
        <w:rPr>
          <w:rFonts w:hint="cs"/>
          <w:rtl/>
        </w:rPr>
        <w:t xml:space="preserve"> قال فقوله </w:t>
      </w:r>
      <w:r w:rsidR="0002035C" w:rsidRPr="00A52585">
        <w:rPr>
          <w:rFonts w:hint="cs"/>
          <w:rtl/>
        </w:rPr>
        <w:t>(</w:t>
      </w:r>
      <w:r w:rsidRPr="00A52585">
        <w:rPr>
          <w:rFonts w:hint="cs"/>
          <w:rtl/>
        </w:rPr>
        <w:t>واصبر لحكم ربك فإنك بأعيننا</w:t>
      </w:r>
      <w:r w:rsidR="0002035C" w:rsidRPr="00A52585">
        <w:rPr>
          <w:rFonts w:hint="cs"/>
          <w:rtl/>
        </w:rPr>
        <w:t xml:space="preserve">) </w:t>
      </w:r>
      <w:r w:rsidRPr="00A52585">
        <w:rPr>
          <w:rFonts w:hint="cs"/>
          <w:rtl/>
        </w:rPr>
        <w:t>أي بآياتنا تنظر بها إلينا وننظر بها إليك "</w:t>
      </w:r>
      <w:r w:rsidR="0002035C" w:rsidRPr="00A52585">
        <w:rPr>
          <w:rFonts w:hint="cs"/>
          <w:rtl/>
        </w:rPr>
        <w:t xml:space="preserve"> </w:t>
      </w:r>
      <w:r w:rsidRPr="00A52585">
        <w:rPr>
          <w:rFonts w:hint="cs"/>
          <w:rtl/>
        </w:rPr>
        <w:t>[الإتقان ج: 2 ص: 17]أهـ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rtl/>
        </w:rPr>
        <w:t>:</w:t>
      </w:r>
      <w:r w:rsidRPr="00A52585">
        <w:rPr>
          <w:rFonts w:hint="cs"/>
          <w:rtl/>
        </w:rPr>
        <w:t xml:space="preserve"> " وعلى </w:t>
      </w:r>
      <w:proofErr w:type="spellStart"/>
      <w:r w:rsidRPr="00A52585">
        <w:rPr>
          <w:rFonts w:hint="cs"/>
          <w:rtl/>
        </w:rPr>
        <w:t>عينى</w:t>
      </w:r>
      <w:proofErr w:type="spellEnd"/>
      <w:r w:rsidRPr="00A52585">
        <w:rPr>
          <w:rFonts w:hint="cs"/>
          <w:rtl/>
        </w:rPr>
        <w:t xml:space="preserve"> أي بمرأى منى وهو استعارة تمثيلية للحفظ والصون فان المصون يجعل بمرأى والصنع الإحسان قال النحاس</w:t>
      </w:r>
      <w:r w:rsidR="0002035C" w:rsidRPr="00A52585">
        <w:rPr>
          <w:rFonts w:hint="cs"/>
          <w:rtl/>
        </w:rPr>
        <w:t xml:space="preserve"> </w:t>
      </w:r>
      <w:r w:rsidRPr="00A52585">
        <w:rPr>
          <w:rFonts w:hint="cs"/>
          <w:rtl/>
        </w:rPr>
        <w:t xml:space="preserve">يقال صنعت الفرس إذا أحسنت إليه والمعنى وليفعل بك الصنيعة والإحسان </w:t>
      </w:r>
      <w:r w:rsidRPr="00A52585">
        <w:rPr>
          <w:rFonts w:hint="cs"/>
          <w:rtl/>
        </w:rPr>
        <w:lastRenderedPageBreak/>
        <w:t>وتربى بالحنو والشفقة وأنا وراعيك ومراقبك كما يراعى الرجل الشيء بعينه إذا اعتنى به " [روح المعاني ج: 16 ص: 190] أهـ</w:t>
      </w:r>
      <w:r w:rsidR="00DB731D" w:rsidRPr="00A52585">
        <w:rPr>
          <w:rFonts w:hint="cs"/>
          <w:rtl/>
        </w:rPr>
        <w:t>،</w:t>
      </w:r>
      <w:r w:rsidRPr="00A52585">
        <w:rPr>
          <w:rFonts w:hint="cs"/>
          <w:rtl/>
        </w:rPr>
        <w:t xml:space="preserve"> وجاء في لسان العرب</w:t>
      </w:r>
      <w:r w:rsidR="0002035C" w:rsidRPr="00A52585">
        <w:rPr>
          <w:rFonts w:hint="cs"/>
          <w:rtl/>
        </w:rPr>
        <w:t>:</w:t>
      </w:r>
      <w:r w:rsidRPr="00A52585">
        <w:rPr>
          <w:rFonts w:hint="cs"/>
          <w:rtl/>
        </w:rPr>
        <w:t xml:space="preserve"> " وقوله تعالى</w:t>
      </w:r>
      <w:r w:rsidR="0002035C" w:rsidRPr="00A52585">
        <w:rPr>
          <w:rFonts w:hint="cs"/>
          <w:rtl/>
        </w:rPr>
        <w:t xml:space="preserve"> </w:t>
      </w:r>
      <w:r w:rsidRPr="00A52585">
        <w:rPr>
          <w:rFonts w:hint="cs"/>
          <w:rtl/>
        </w:rPr>
        <w:t>ولتصنع على عيني فسره ثعلب فقال</w:t>
      </w:r>
      <w:r w:rsidR="0002035C" w:rsidRPr="00A52585">
        <w:rPr>
          <w:rFonts w:hint="cs"/>
          <w:rtl/>
        </w:rPr>
        <w:t xml:space="preserve"> </w:t>
      </w:r>
      <w:r w:rsidRPr="00A52585">
        <w:rPr>
          <w:rFonts w:hint="cs"/>
          <w:rtl/>
        </w:rPr>
        <w:t>لتربى من حيث أراك</w:t>
      </w:r>
      <w:r w:rsidR="0002035C" w:rsidRPr="00A52585">
        <w:rPr>
          <w:rFonts w:hint="cs"/>
          <w:rtl/>
        </w:rPr>
        <w:t xml:space="preserve"> </w:t>
      </w:r>
      <w:r w:rsidRPr="00A52585">
        <w:rPr>
          <w:rFonts w:hint="cs"/>
          <w:rtl/>
        </w:rPr>
        <w:t>" [لسان العرب</w:t>
      </w:r>
      <w:r w:rsidRPr="00A52585">
        <w:rPr>
          <w:rFonts w:hint="cs"/>
        </w:rPr>
        <w:t xml:space="preserve"> </w:t>
      </w:r>
      <w:r w:rsidRPr="00A52585">
        <w:rPr>
          <w:rFonts w:hint="cs"/>
          <w:rtl/>
        </w:rPr>
        <w:t>ج: 13 ص: 301] أهـ</w:t>
      </w:r>
      <w:r w:rsidR="00DB731D" w:rsidRPr="00A52585">
        <w:rPr>
          <w:rFonts w:hint="cs"/>
          <w:rtl/>
        </w:rPr>
        <w:t>،</w:t>
      </w:r>
      <w:r w:rsidRPr="00A52585">
        <w:rPr>
          <w:rFonts w:hint="cs"/>
          <w:rtl/>
        </w:rPr>
        <w:t xml:space="preserve"> </w:t>
      </w:r>
      <w:r w:rsidRPr="00A52585">
        <w:rPr>
          <w:rFonts w:hint="cs"/>
          <w:bCs/>
          <w:rtl/>
        </w:rPr>
        <w:t>وقال ابن الجوزي في الباز الأشهب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ومن ذلك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ولتصنع علي عيني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واصنع الفلك بأعيننا</w:t>
      </w:r>
      <w:r w:rsidR="0002035C" w:rsidRPr="00A52585">
        <w:rPr>
          <w:rFonts w:hint="cs"/>
          <w:rtl/>
        </w:rPr>
        <w:t>)</w:t>
      </w:r>
      <w:r w:rsidR="00DB731D" w:rsidRPr="00A52585">
        <w:rPr>
          <w:rFonts w:hint="cs"/>
          <w:rtl/>
        </w:rPr>
        <w:t>،</w:t>
      </w:r>
      <w:r w:rsidRPr="00A52585">
        <w:rPr>
          <w:rFonts w:hint="cs"/>
          <w:rtl/>
        </w:rPr>
        <w:t xml:space="preserve"> قال المفسرون بأمرنا</w:t>
      </w:r>
      <w:r w:rsidR="00DB731D" w:rsidRPr="00A52585">
        <w:rPr>
          <w:rFonts w:hint="cs"/>
          <w:rtl/>
        </w:rPr>
        <w:t>،</w:t>
      </w:r>
      <w:r w:rsidRPr="00A52585">
        <w:rPr>
          <w:rFonts w:hint="cs"/>
          <w:rtl/>
        </w:rPr>
        <w:t xml:space="preserve"> أي بمرأى منا</w:t>
      </w:r>
      <w:r w:rsidR="00DB731D" w:rsidRPr="00A52585">
        <w:rPr>
          <w:rFonts w:hint="cs"/>
          <w:rtl/>
        </w:rPr>
        <w:t>،</w:t>
      </w:r>
      <w:r w:rsidRPr="00A52585">
        <w:rPr>
          <w:rFonts w:hint="cs"/>
          <w:rtl/>
        </w:rPr>
        <w:t xml:space="preserve"> قال أبو بكر بن الأنباري</w:t>
      </w:r>
      <w:r w:rsidR="0002035C" w:rsidRPr="00A52585">
        <w:rPr>
          <w:rFonts w:hint="cs"/>
          <w:rtl/>
        </w:rPr>
        <w:t>:</w:t>
      </w:r>
      <w:r w:rsidRPr="00A52585">
        <w:rPr>
          <w:rFonts w:hint="cs"/>
          <w:rtl/>
        </w:rPr>
        <w:t xml:space="preserve"> أما جمع العين</w:t>
      </w:r>
      <w:r w:rsidR="00DB731D" w:rsidRPr="00A52585">
        <w:rPr>
          <w:rFonts w:hint="cs"/>
          <w:rtl/>
        </w:rPr>
        <w:t>،</w:t>
      </w:r>
      <w:r w:rsidR="0002035C" w:rsidRPr="00A52585">
        <w:rPr>
          <w:rFonts w:hint="cs"/>
          <w:rtl/>
        </w:rPr>
        <w:t xml:space="preserve"> </w:t>
      </w:r>
      <w:r w:rsidRPr="00A52585">
        <w:rPr>
          <w:rFonts w:hint="cs"/>
          <w:rtl/>
        </w:rPr>
        <w:t>علي مذهب العرب في إيقاعها الجمع علي الواحد يقول: خرجنا في السفر إلي البصرة</w:t>
      </w:r>
      <w:r w:rsidR="00DB731D" w:rsidRPr="00A52585">
        <w:rPr>
          <w:rFonts w:hint="cs"/>
          <w:rtl/>
        </w:rPr>
        <w:t>،</w:t>
      </w:r>
      <w:r w:rsidRPr="00A52585">
        <w:rPr>
          <w:rFonts w:hint="cs"/>
          <w:rtl/>
        </w:rPr>
        <w:t xml:space="preserve"> وإنما جمع لأن عادة الملك أن يقول</w:t>
      </w:r>
      <w:r w:rsidR="0002035C" w:rsidRPr="00A52585">
        <w:rPr>
          <w:rFonts w:hint="cs"/>
          <w:rtl/>
        </w:rPr>
        <w:t>:</w:t>
      </w:r>
      <w:r w:rsidRPr="00A52585">
        <w:rPr>
          <w:rFonts w:hint="cs"/>
          <w:rtl/>
        </w:rPr>
        <w:t xml:space="preserve"> أمرنا ونهينا</w:t>
      </w:r>
      <w:r w:rsidR="00DB731D" w:rsidRPr="00A52585">
        <w:rPr>
          <w:rFonts w:hint="cs"/>
          <w:rtl/>
        </w:rPr>
        <w:t>،</w:t>
      </w:r>
      <w:r w:rsidRPr="00A52585">
        <w:rPr>
          <w:rFonts w:hint="cs"/>
          <w:rtl/>
        </w:rPr>
        <w:t xml:space="preserve"> وقد ذهب القاضي [هو القاضي أبو يعلى الحنبلي</w:t>
      </w:r>
      <w:r w:rsidR="00DB731D" w:rsidRPr="00A52585">
        <w:rPr>
          <w:rFonts w:hint="cs"/>
          <w:rtl/>
        </w:rPr>
        <w:t>،</w:t>
      </w:r>
      <w:r w:rsidRPr="00A52585">
        <w:rPr>
          <w:rFonts w:hint="cs"/>
          <w:rtl/>
        </w:rPr>
        <w:t xml:space="preserve"> وقد ألف الحافظ ابن الجوزي رسالته (الباز الأشهب) في الرد عليه وسماها دفع شبه التشبيه بأكف التنزيه وهي بحق كذلك</w:t>
      </w:r>
      <w:r w:rsidR="00DB731D" w:rsidRPr="00A52585">
        <w:rPr>
          <w:rFonts w:hint="cs"/>
          <w:rtl/>
        </w:rPr>
        <w:t>،</w:t>
      </w:r>
      <w:r w:rsidRPr="00A52585">
        <w:rPr>
          <w:rFonts w:hint="cs"/>
          <w:rtl/>
        </w:rPr>
        <w:t xml:space="preserve"> وقال في مقدمتها</w:t>
      </w:r>
      <w:r w:rsidR="0002035C" w:rsidRPr="00A52585">
        <w:rPr>
          <w:rFonts w:hint="cs"/>
          <w:rtl/>
        </w:rPr>
        <w:t>:</w:t>
      </w:r>
      <w:r w:rsidRPr="00A52585">
        <w:rPr>
          <w:rFonts w:hint="cs"/>
          <w:rtl/>
        </w:rPr>
        <w:t xml:space="preserve"> ورأيت من أصحابنا من تكلم في الأصول بما لا يصلح</w:t>
      </w:r>
      <w:r w:rsidR="00DB731D" w:rsidRPr="00A52585">
        <w:rPr>
          <w:rFonts w:hint="cs"/>
          <w:rtl/>
        </w:rPr>
        <w:t>،</w:t>
      </w:r>
      <w:r w:rsidRPr="00A52585">
        <w:rPr>
          <w:rFonts w:hint="cs"/>
          <w:rtl/>
        </w:rPr>
        <w:t xml:space="preserve"> وانتدب للتصنيف ثلاثة أبو عبد الله بن حامد</w:t>
      </w:r>
      <w:r w:rsidR="00897A24" w:rsidRPr="00A52585">
        <w:rPr>
          <w:rFonts w:hint="cs"/>
          <w:rtl/>
        </w:rPr>
        <w:t>.</w:t>
      </w:r>
      <w:r w:rsidRPr="00A52585">
        <w:rPr>
          <w:rFonts w:hint="cs"/>
          <w:rtl/>
        </w:rPr>
        <w:t xml:space="preserve"> وصاحبه القاضي</w:t>
      </w:r>
      <w:r w:rsidR="00DB731D" w:rsidRPr="00A52585">
        <w:rPr>
          <w:rFonts w:hint="cs"/>
          <w:rtl/>
        </w:rPr>
        <w:t>،</w:t>
      </w:r>
      <w:r w:rsidRPr="00A52585">
        <w:rPr>
          <w:rFonts w:hint="cs"/>
          <w:rtl/>
        </w:rPr>
        <w:t xml:space="preserve"> وابن </w:t>
      </w:r>
      <w:proofErr w:type="spellStart"/>
      <w:r w:rsidRPr="00A52585">
        <w:rPr>
          <w:rFonts w:hint="cs"/>
          <w:rtl/>
        </w:rPr>
        <w:t>الزاغوني</w:t>
      </w:r>
      <w:proofErr w:type="spellEnd"/>
      <w:r w:rsidRPr="00A52585">
        <w:rPr>
          <w:rFonts w:hint="cs"/>
          <w:rtl/>
        </w:rPr>
        <w:t xml:space="preserve"> " فصنفوا كتابا شانوا بها المذاهب</w:t>
      </w:r>
      <w:r w:rsidR="00DB731D" w:rsidRPr="00A52585">
        <w:rPr>
          <w:rFonts w:hint="cs"/>
          <w:rtl/>
        </w:rPr>
        <w:t>،</w:t>
      </w:r>
      <w:r w:rsidRPr="00A52585">
        <w:rPr>
          <w:rFonts w:hint="cs"/>
          <w:rtl/>
        </w:rPr>
        <w:t xml:space="preserve"> ورأيتهم قد نزلوا إلى مرتبة العوام</w:t>
      </w:r>
      <w:r w:rsidR="00DB731D" w:rsidRPr="00A52585">
        <w:rPr>
          <w:rFonts w:hint="cs"/>
          <w:rtl/>
        </w:rPr>
        <w:t>،</w:t>
      </w:r>
      <w:r w:rsidRPr="00A52585">
        <w:rPr>
          <w:rFonts w:hint="cs"/>
          <w:rtl/>
        </w:rPr>
        <w:t xml:space="preserve"> فحملوا الصفات </w:t>
      </w:r>
      <w:proofErr w:type="gramStart"/>
      <w:r w:rsidRPr="00A52585">
        <w:rPr>
          <w:rFonts w:hint="cs"/>
          <w:rtl/>
        </w:rPr>
        <w:t>علي</w:t>
      </w:r>
      <w:proofErr w:type="gramEnd"/>
      <w:r w:rsidRPr="00A52585">
        <w:rPr>
          <w:rFonts w:hint="cs"/>
          <w:rtl/>
        </w:rPr>
        <w:t xml:space="preserve"> مقتضى الحس</w:t>
      </w:r>
      <w:r w:rsidR="00897A24" w:rsidRPr="00A52585">
        <w:rPr>
          <w:rFonts w:hint="cs"/>
          <w:rtl/>
        </w:rPr>
        <w:t>.</w:t>
      </w:r>
      <w:r w:rsidRPr="00A52585">
        <w:rPr>
          <w:rFonts w:hint="cs"/>
          <w:rtl/>
        </w:rPr>
        <w:t xml:space="preserve"> فسمعوا أن الله تعالى خلق آدم علي صورته</w:t>
      </w:r>
      <w:r w:rsidR="00DB731D" w:rsidRPr="00A52585">
        <w:rPr>
          <w:rFonts w:hint="cs"/>
          <w:rtl/>
        </w:rPr>
        <w:t>،</w:t>
      </w:r>
      <w:r w:rsidRPr="00A52585">
        <w:rPr>
          <w:rFonts w:hint="cs"/>
          <w:rtl/>
        </w:rPr>
        <w:t xml:space="preserve"> فأثبتوا له صورة ووجها زائدا </w:t>
      </w:r>
      <w:proofErr w:type="gramStart"/>
      <w:r w:rsidRPr="00A52585">
        <w:rPr>
          <w:rFonts w:hint="cs"/>
          <w:rtl/>
        </w:rPr>
        <w:t>علي</w:t>
      </w:r>
      <w:proofErr w:type="gramEnd"/>
      <w:r w:rsidRPr="00A52585">
        <w:rPr>
          <w:rFonts w:hint="cs"/>
          <w:rtl/>
        </w:rPr>
        <w:t xml:space="preserve"> الذات</w:t>
      </w:r>
      <w:r w:rsidR="00DB731D" w:rsidRPr="00A52585">
        <w:rPr>
          <w:rFonts w:hint="cs"/>
          <w:rtl/>
        </w:rPr>
        <w:t>،</w:t>
      </w:r>
      <w:r w:rsidRPr="00A52585">
        <w:rPr>
          <w:rFonts w:hint="cs"/>
          <w:rtl/>
        </w:rPr>
        <w:t xml:space="preserve"> وعينين وفما ولهوات وأضراسا وجهة هي السبحات ويدين وأصابع وكفا وخنصرا وإبهاما وصدرا </w:t>
      </w:r>
      <w:proofErr w:type="spellStart"/>
      <w:r w:rsidRPr="00A52585">
        <w:rPr>
          <w:rFonts w:hint="cs"/>
          <w:rtl/>
        </w:rPr>
        <w:t>وفخدا</w:t>
      </w:r>
      <w:proofErr w:type="spellEnd"/>
      <w:r w:rsidRPr="00A52585">
        <w:rPr>
          <w:rFonts w:hint="cs"/>
          <w:rtl/>
        </w:rPr>
        <w:t xml:space="preserve"> وساقين ورجلين</w:t>
      </w:r>
      <w:r w:rsidR="00897A24" w:rsidRPr="00A52585">
        <w:rPr>
          <w:rFonts w:hint="cs"/>
          <w:rtl/>
        </w:rPr>
        <w:t>.</w:t>
      </w:r>
      <w:r w:rsidRPr="00A52585">
        <w:rPr>
          <w:rFonts w:hint="cs"/>
          <w:rtl/>
        </w:rPr>
        <w:t xml:space="preserve"> وقالوا ما سمعنا بذكر الرأس</w:t>
      </w:r>
      <w:r w:rsidR="00897A24" w:rsidRPr="00A52585">
        <w:rPr>
          <w:rFonts w:hint="cs"/>
          <w:rtl/>
        </w:rPr>
        <w:t>.</w:t>
      </w:r>
      <w:r w:rsidRPr="00A52585">
        <w:rPr>
          <w:rFonts w:hint="cs"/>
          <w:rtl/>
        </w:rPr>
        <w:t xml:space="preserve"> وقالوا يجوز أن يمس ويمس</w:t>
      </w:r>
      <w:r w:rsidR="00DB731D" w:rsidRPr="00A52585">
        <w:rPr>
          <w:rFonts w:hint="cs"/>
          <w:rtl/>
        </w:rPr>
        <w:t>،</w:t>
      </w:r>
      <w:r w:rsidRPr="00A52585">
        <w:rPr>
          <w:rFonts w:hint="cs"/>
          <w:rtl/>
        </w:rPr>
        <w:t xml:space="preserve"> ويدني العبد من ذاته</w:t>
      </w:r>
      <w:r w:rsidR="00897A24" w:rsidRPr="00A52585">
        <w:rPr>
          <w:rFonts w:hint="cs"/>
          <w:rtl/>
        </w:rPr>
        <w:t>.</w:t>
      </w:r>
      <w:r w:rsidRPr="00A52585">
        <w:rPr>
          <w:rFonts w:hint="cs"/>
          <w:rtl/>
        </w:rPr>
        <w:t xml:space="preserve"> وقال بعضهم </w:t>
      </w:r>
      <w:proofErr w:type="spellStart"/>
      <w:r w:rsidRPr="00A52585">
        <w:rPr>
          <w:rFonts w:hint="cs"/>
          <w:rtl/>
        </w:rPr>
        <w:t>ويتنفس</w:t>
      </w:r>
      <w:r w:rsidR="00897A24" w:rsidRPr="00A52585">
        <w:rPr>
          <w:rFonts w:hint="cs"/>
          <w:rtl/>
        </w:rPr>
        <w:t>.</w:t>
      </w:r>
      <w:r w:rsidRPr="00A52585">
        <w:rPr>
          <w:rFonts w:hint="cs"/>
          <w:rtl/>
        </w:rPr>
        <w:t>وقد</w:t>
      </w:r>
      <w:proofErr w:type="spellEnd"/>
      <w:r w:rsidRPr="00A52585">
        <w:rPr>
          <w:rFonts w:hint="cs"/>
          <w:rtl/>
        </w:rPr>
        <w:t xml:space="preserve"> أخذوا بالظاهر في الأسماء والصفات</w:t>
      </w:r>
      <w:r w:rsidR="00DB731D" w:rsidRPr="00A52585">
        <w:rPr>
          <w:rFonts w:hint="cs"/>
          <w:rtl/>
        </w:rPr>
        <w:t>،</w:t>
      </w:r>
      <w:r w:rsidRPr="00A52585">
        <w:rPr>
          <w:rFonts w:hint="cs"/>
          <w:rtl/>
        </w:rPr>
        <w:t xml:space="preserve"> فسموها بالصفات وهي تسمية مبتدعة لا دليل لهم في ذلك من النقل ولا من العقل</w:t>
      </w:r>
      <w:r w:rsidR="00DB731D" w:rsidRPr="00A52585">
        <w:rPr>
          <w:rFonts w:hint="cs"/>
          <w:rtl/>
        </w:rPr>
        <w:t>،</w:t>
      </w:r>
      <w:r w:rsidRPr="00A52585">
        <w:rPr>
          <w:rFonts w:hint="cs"/>
          <w:rtl/>
        </w:rPr>
        <w:t xml:space="preserve"> ولم </w:t>
      </w:r>
      <w:proofErr w:type="spellStart"/>
      <w:r w:rsidRPr="00A52585">
        <w:rPr>
          <w:rFonts w:hint="cs"/>
          <w:rtl/>
        </w:rPr>
        <w:t>بلتفتوا</w:t>
      </w:r>
      <w:proofErr w:type="spellEnd"/>
      <w:r w:rsidRPr="00A52585">
        <w:rPr>
          <w:rFonts w:hint="cs"/>
          <w:rtl/>
        </w:rPr>
        <w:t xml:space="preserve"> إلى النصوص الصارمة عن الظواهر إلى المعاني الواجبة لله تعالى ولا إلى إلغاء ما يوجبه الظاهر من سمات الحدوث</w:t>
      </w:r>
      <w:r w:rsidR="00DB731D" w:rsidRPr="00A52585">
        <w:rPr>
          <w:rFonts w:hint="cs"/>
          <w:rtl/>
        </w:rPr>
        <w:t>،</w:t>
      </w:r>
      <w:r w:rsidRPr="00A52585">
        <w:rPr>
          <w:rFonts w:hint="cs"/>
          <w:rtl/>
        </w:rPr>
        <w:t xml:space="preserve"> ولم يقنعوا أن يقولوا صفة فعل</w:t>
      </w:r>
      <w:r w:rsidR="00DB731D" w:rsidRPr="00A52585">
        <w:rPr>
          <w:rFonts w:hint="cs"/>
          <w:rtl/>
        </w:rPr>
        <w:t>،</w:t>
      </w:r>
      <w:r w:rsidRPr="00A52585">
        <w:rPr>
          <w:rFonts w:hint="cs"/>
          <w:rtl/>
        </w:rPr>
        <w:t xml:space="preserve"> حتى قالوا صفة ذات</w:t>
      </w:r>
      <w:r w:rsidR="00DB731D" w:rsidRPr="00A52585">
        <w:rPr>
          <w:rFonts w:hint="cs"/>
          <w:rtl/>
        </w:rPr>
        <w:t>،</w:t>
      </w:r>
      <w:r w:rsidRPr="00A52585">
        <w:rPr>
          <w:rFonts w:hint="cs"/>
          <w:rtl/>
        </w:rPr>
        <w:t xml:space="preserve"> ثم لما أثبتوا أنها صفات ذات قالوا لا نحملها علي توجيه اللغة مثل يد علي نعمة وقدرة ومجيء وإتيان علي معني بر ولطف</w:t>
      </w:r>
      <w:r w:rsidR="00DB731D" w:rsidRPr="00A52585">
        <w:rPr>
          <w:rFonts w:hint="cs"/>
          <w:rtl/>
        </w:rPr>
        <w:t>،</w:t>
      </w:r>
      <w:r w:rsidRPr="00A52585">
        <w:rPr>
          <w:rFonts w:hint="cs"/>
          <w:rtl/>
        </w:rPr>
        <w:t xml:space="preserve"> وساق علي شدة</w:t>
      </w:r>
      <w:r w:rsidR="00DB731D" w:rsidRPr="00A52585">
        <w:rPr>
          <w:rFonts w:hint="cs"/>
          <w:rtl/>
        </w:rPr>
        <w:t>،</w:t>
      </w:r>
      <w:r w:rsidRPr="00A52585">
        <w:rPr>
          <w:rFonts w:hint="cs"/>
          <w:rtl/>
        </w:rPr>
        <w:t xml:space="preserve"> بل قالوا نحملها علي ظواهرها</w:t>
      </w:r>
      <w:r w:rsidR="00DB731D" w:rsidRPr="00A52585">
        <w:rPr>
          <w:rFonts w:hint="cs"/>
          <w:rtl/>
        </w:rPr>
        <w:t>،</w:t>
      </w:r>
      <w:r w:rsidRPr="00A52585">
        <w:rPr>
          <w:rFonts w:hint="cs"/>
          <w:rtl/>
        </w:rPr>
        <w:t xml:space="preserve"> والظاهر المعهود من نعوت الآدميين</w:t>
      </w:r>
      <w:r w:rsidR="00DB731D" w:rsidRPr="00A52585">
        <w:rPr>
          <w:rFonts w:hint="cs"/>
          <w:rtl/>
        </w:rPr>
        <w:t>،</w:t>
      </w:r>
      <w:r w:rsidRPr="00A52585">
        <w:rPr>
          <w:rFonts w:hint="cs"/>
          <w:rtl/>
        </w:rPr>
        <w:t xml:space="preserve"> والشيء إنما يجعل علي حقيقته إذا أمكن</w:t>
      </w:r>
      <w:r w:rsidR="00DB731D" w:rsidRPr="00A52585">
        <w:rPr>
          <w:rFonts w:hint="cs"/>
          <w:rtl/>
        </w:rPr>
        <w:t>،</w:t>
      </w:r>
      <w:r w:rsidRPr="00A52585">
        <w:rPr>
          <w:rFonts w:hint="cs"/>
          <w:rtl/>
        </w:rPr>
        <w:t xml:space="preserve"> وهم يتحرجون من التشبيه ويأنفون من إضافته إليهم ويقولون نحن أهل السنة</w:t>
      </w:r>
      <w:r w:rsidR="00DB731D" w:rsidRPr="00A52585">
        <w:rPr>
          <w:rFonts w:hint="cs"/>
          <w:rtl/>
        </w:rPr>
        <w:t>،</w:t>
      </w:r>
      <w:r w:rsidRPr="00A52585">
        <w:rPr>
          <w:rFonts w:hint="cs"/>
          <w:rtl/>
        </w:rPr>
        <w:t xml:space="preserve"> وكلا منهم صريح في التشبيه وقد تبعهم خلق من العوام</w:t>
      </w:r>
      <w:r w:rsidR="00DB731D" w:rsidRPr="00A52585">
        <w:rPr>
          <w:rFonts w:hint="cs"/>
          <w:rtl/>
        </w:rPr>
        <w:t>،</w:t>
      </w:r>
      <w:r w:rsidRPr="00A52585">
        <w:rPr>
          <w:rFonts w:hint="cs"/>
          <w:rtl/>
        </w:rPr>
        <w:t xml:space="preserve"> فقد نصحت التابع والمتبوع فقلت لهم</w:t>
      </w:r>
      <w:r w:rsidR="0002035C" w:rsidRPr="00A52585">
        <w:rPr>
          <w:rFonts w:hint="cs"/>
          <w:rtl/>
        </w:rPr>
        <w:t>:</w:t>
      </w:r>
      <w:r w:rsidRPr="00A52585">
        <w:rPr>
          <w:rFonts w:hint="cs"/>
          <w:rtl/>
        </w:rPr>
        <w:t xml:space="preserve"> يا أصحابنا أنتم أصحاب نقل واتباع وإمامكم الاكبر أحمد بن حنبل يقول وهو تحت السياط</w:t>
      </w:r>
      <w:r w:rsidR="0002035C" w:rsidRPr="00A52585">
        <w:rPr>
          <w:rFonts w:hint="cs"/>
          <w:rtl/>
        </w:rPr>
        <w:t>:</w:t>
      </w:r>
      <w:r w:rsidRPr="00A52585">
        <w:rPr>
          <w:rFonts w:hint="cs"/>
          <w:rtl/>
        </w:rPr>
        <w:t xml:space="preserve"> " كيف أقول ما لم يقل " فإياكم أن </w:t>
      </w:r>
      <w:proofErr w:type="spellStart"/>
      <w:r w:rsidRPr="00A52585">
        <w:rPr>
          <w:rFonts w:hint="cs"/>
          <w:rtl/>
        </w:rPr>
        <w:t>تبتدعوا</w:t>
      </w:r>
      <w:proofErr w:type="spellEnd"/>
      <w:r w:rsidRPr="00A52585">
        <w:rPr>
          <w:rFonts w:hint="cs"/>
          <w:rtl/>
        </w:rPr>
        <w:t xml:space="preserve"> في مذهبه ما ليس فيه</w:t>
      </w:r>
      <w:r w:rsidR="00DB731D" w:rsidRPr="00A52585">
        <w:rPr>
          <w:rFonts w:hint="cs"/>
          <w:rtl/>
        </w:rPr>
        <w:t>،</w:t>
      </w:r>
      <w:r w:rsidR="0002035C" w:rsidRPr="00A52585">
        <w:rPr>
          <w:rFonts w:hint="cs"/>
          <w:rtl/>
        </w:rPr>
        <w:t xml:space="preserve"> </w:t>
      </w:r>
      <w:r w:rsidRPr="00A52585">
        <w:rPr>
          <w:rFonts w:hint="cs"/>
          <w:rtl/>
        </w:rPr>
        <w:t>ثم قالوا في الأحاديث</w:t>
      </w:r>
      <w:r w:rsidR="00DB731D" w:rsidRPr="00A52585">
        <w:rPr>
          <w:rFonts w:hint="cs"/>
          <w:rtl/>
        </w:rPr>
        <w:t>،</w:t>
      </w:r>
      <w:r w:rsidRPr="00A52585">
        <w:rPr>
          <w:rFonts w:hint="cs"/>
          <w:rtl/>
        </w:rPr>
        <w:t xml:space="preserve"> تحمل علي ظاهرها</w:t>
      </w:r>
      <w:r w:rsidR="00897A24" w:rsidRPr="00A52585">
        <w:rPr>
          <w:rFonts w:hint="cs"/>
          <w:rtl/>
        </w:rPr>
        <w:t>.</w:t>
      </w:r>
      <w:r w:rsidRPr="00A52585">
        <w:rPr>
          <w:rFonts w:hint="cs"/>
          <w:rtl/>
        </w:rPr>
        <w:t xml:space="preserve"> وظاهر القدم الجارحة</w:t>
      </w:r>
      <w:r w:rsidR="00DB731D" w:rsidRPr="00A52585">
        <w:rPr>
          <w:rFonts w:hint="cs"/>
          <w:rtl/>
        </w:rPr>
        <w:t>،</w:t>
      </w:r>
      <w:r w:rsidRPr="00A52585">
        <w:rPr>
          <w:rFonts w:hint="cs"/>
          <w:rtl/>
        </w:rPr>
        <w:t xml:space="preserve"> فإنه لما قيل في عيسى روح الله اعتقدت النصارى أن لله صفة هي روح ولجت في مريم ومن قال</w:t>
      </w:r>
      <w:r w:rsidR="0002035C" w:rsidRPr="00A52585">
        <w:rPr>
          <w:rFonts w:hint="cs"/>
          <w:rtl/>
        </w:rPr>
        <w:t>:</w:t>
      </w:r>
      <w:r w:rsidRPr="00A52585">
        <w:rPr>
          <w:rFonts w:hint="cs"/>
          <w:rtl/>
        </w:rPr>
        <w:t xml:space="preserve"> استوي بذاته فقد أجراه مجري </w:t>
      </w:r>
      <w:proofErr w:type="spellStart"/>
      <w:r w:rsidRPr="00A52585">
        <w:rPr>
          <w:rFonts w:hint="cs"/>
          <w:rtl/>
        </w:rPr>
        <w:t>الحسيات</w:t>
      </w:r>
      <w:proofErr w:type="spellEnd"/>
      <w:r w:rsidR="00DB731D" w:rsidRPr="00A52585">
        <w:rPr>
          <w:rFonts w:hint="cs"/>
          <w:rtl/>
        </w:rPr>
        <w:t>،</w:t>
      </w:r>
      <w:r w:rsidRPr="00A52585">
        <w:rPr>
          <w:rFonts w:hint="cs"/>
          <w:rtl/>
        </w:rPr>
        <w:t xml:space="preserve"> وينبغي </w:t>
      </w:r>
      <w:proofErr w:type="gramStart"/>
      <w:r w:rsidRPr="00A52585">
        <w:rPr>
          <w:rFonts w:hint="cs"/>
          <w:rtl/>
        </w:rPr>
        <w:t>أن لا</w:t>
      </w:r>
      <w:proofErr w:type="gramEnd"/>
      <w:r w:rsidRPr="00A52585">
        <w:rPr>
          <w:rFonts w:hint="cs"/>
          <w:rtl/>
        </w:rPr>
        <w:t xml:space="preserve"> يهمل ما يثبت به الأصل</w:t>
      </w:r>
      <w:r w:rsidR="00897A24" w:rsidRPr="00A52585">
        <w:rPr>
          <w:rFonts w:hint="cs"/>
          <w:rtl/>
        </w:rPr>
        <w:t>.</w:t>
      </w:r>
      <w:r w:rsidRPr="00A52585">
        <w:rPr>
          <w:rFonts w:hint="cs"/>
          <w:rtl/>
        </w:rPr>
        <w:t xml:space="preserve"> وهو العقل</w:t>
      </w:r>
      <w:r w:rsidR="00DB731D" w:rsidRPr="00A52585">
        <w:rPr>
          <w:rFonts w:hint="cs"/>
          <w:rtl/>
        </w:rPr>
        <w:t>،</w:t>
      </w:r>
      <w:r w:rsidRPr="00A52585">
        <w:rPr>
          <w:rFonts w:hint="cs"/>
          <w:rtl/>
        </w:rPr>
        <w:t xml:space="preserve"> فإنه به عرفنا الله تعالى</w:t>
      </w:r>
      <w:r w:rsidR="00DB731D" w:rsidRPr="00A52585">
        <w:rPr>
          <w:rFonts w:hint="cs"/>
          <w:rtl/>
        </w:rPr>
        <w:t>،</w:t>
      </w:r>
      <w:r w:rsidRPr="00A52585">
        <w:rPr>
          <w:rFonts w:hint="cs"/>
          <w:rtl/>
        </w:rPr>
        <w:t xml:space="preserve"> </w:t>
      </w:r>
      <w:r w:rsidRPr="00A52585">
        <w:rPr>
          <w:rFonts w:hint="cs"/>
          <w:rtl/>
        </w:rPr>
        <w:lastRenderedPageBreak/>
        <w:t>وحكمنا له بالقدم</w:t>
      </w:r>
      <w:r w:rsidR="00DB731D" w:rsidRPr="00A52585">
        <w:rPr>
          <w:rFonts w:hint="cs"/>
          <w:rtl/>
        </w:rPr>
        <w:t>،</w:t>
      </w:r>
      <w:r w:rsidRPr="00A52585">
        <w:rPr>
          <w:rFonts w:hint="cs"/>
          <w:rtl/>
        </w:rPr>
        <w:t xml:space="preserve"> فلو أنكم قلتم</w:t>
      </w:r>
      <w:r w:rsidR="0002035C" w:rsidRPr="00A52585">
        <w:rPr>
          <w:rFonts w:hint="cs"/>
          <w:rtl/>
        </w:rPr>
        <w:t>:</w:t>
      </w:r>
      <w:r w:rsidRPr="00A52585">
        <w:rPr>
          <w:rFonts w:hint="cs"/>
          <w:rtl/>
        </w:rPr>
        <w:t xml:space="preserve"> نقرأ </w:t>
      </w:r>
      <w:proofErr w:type="gramStart"/>
      <w:r w:rsidRPr="00A52585">
        <w:rPr>
          <w:rFonts w:hint="cs"/>
          <w:rtl/>
        </w:rPr>
        <w:t>الأحاديث]إلي</w:t>
      </w:r>
      <w:proofErr w:type="gramEnd"/>
      <w:r w:rsidRPr="00A52585">
        <w:rPr>
          <w:rFonts w:hint="cs"/>
          <w:rtl/>
        </w:rPr>
        <w:t xml:space="preserve"> أن العين صفة زائدة علي الذات وقد سبقه أبو بكر بن </w:t>
      </w:r>
      <w:proofErr w:type="spellStart"/>
      <w:r w:rsidRPr="00A52585">
        <w:rPr>
          <w:rFonts w:hint="cs"/>
          <w:rtl/>
        </w:rPr>
        <w:t>خزيمه</w:t>
      </w:r>
      <w:proofErr w:type="spellEnd"/>
      <w:r w:rsidR="00897A24" w:rsidRPr="00A52585">
        <w:rPr>
          <w:rFonts w:hint="cs"/>
          <w:rtl/>
        </w:rPr>
        <w:t>.</w:t>
      </w:r>
      <w:r w:rsidRPr="00A52585">
        <w:rPr>
          <w:rFonts w:hint="cs"/>
          <w:rtl/>
        </w:rPr>
        <w:t xml:space="preserve"> فقال لربنا عينان ينظر بهما [قال ابن حزم في </w:t>
      </w:r>
      <w:r w:rsidR="0002035C" w:rsidRPr="00A52585">
        <w:rPr>
          <w:rFonts w:hint="cs"/>
          <w:rtl/>
        </w:rPr>
        <w:t>[</w:t>
      </w:r>
      <w:r w:rsidRPr="00A52585">
        <w:rPr>
          <w:rFonts w:hint="cs"/>
          <w:rtl/>
        </w:rPr>
        <w:t>الفصل في الملل ج: 2 ص: 128]ولا يجوز لأحد أن يصف الله عز وجل بأن</w:t>
      </w:r>
      <w:r w:rsidR="0002035C" w:rsidRPr="00A52585">
        <w:rPr>
          <w:rFonts w:hint="cs"/>
          <w:rtl/>
        </w:rPr>
        <w:t xml:space="preserve"> </w:t>
      </w:r>
      <w:r w:rsidRPr="00A52585">
        <w:rPr>
          <w:rFonts w:hint="cs"/>
          <w:rtl/>
        </w:rPr>
        <w:t>له</w:t>
      </w:r>
      <w:r w:rsidR="0002035C" w:rsidRPr="00A52585">
        <w:rPr>
          <w:rFonts w:hint="cs"/>
          <w:rtl/>
        </w:rPr>
        <w:t xml:space="preserve"> </w:t>
      </w:r>
      <w:r w:rsidRPr="00A52585">
        <w:rPr>
          <w:rFonts w:hint="cs"/>
          <w:rtl/>
        </w:rPr>
        <w:t>عينين لأن النص لم يأت بذلك</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02035C" w:rsidRPr="00A52585">
        <w:rPr>
          <w:rFonts w:hint="cs"/>
          <w:rtl/>
        </w:rPr>
        <w:t>:</w:t>
      </w:r>
      <w:r w:rsidRPr="00A52585">
        <w:rPr>
          <w:rFonts w:hint="cs"/>
          <w:rtl/>
        </w:rPr>
        <w:t xml:space="preserve"> - في حديث الدجال إنه أعور وإن ربكم ليس بأعور-</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DB731D" w:rsidRPr="00A52585">
        <w:rPr>
          <w:rFonts w:hint="cs"/>
          <w:rtl/>
        </w:rPr>
        <w:t>،</w:t>
      </w:r>
      <w:r w:rsidRPr="00A52585">
        <w:rPr>
          <w:rFonts w:hint="cs"/>
          <w:rtl/>
        </w:rPr>
        <w:t xml:space="preserve"> وليس المراد إثبات الجارحة للرب تعالى</w:t>
      </w:r>
      <w:r w:rsidR="0002035C" w:rsidRPr="00A52585">
        <w:rPr>
          <w:rFonts w:hint="cs"/>
          <w:rtl/>
        </w:rPr>
        <w:t xml:space="preserve"> </w:t>
      </w:r>
      <w:r w:rsidRPr="00A52585">
        <w:rPr>
          <w:rFonts w:hint="cs"/>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proofErr w:type="spellStart"/>
      <w:r w:rsidRPr="00A52585">
        <w:rPr>
          <w:rFonts w:hint="cs"/>
          <w:rtl/>
        </w:rPr>
        <w:t>الإستدلال</w:t>
      </w:r>
      <w:proofErr w:type="spellEnd"/>
      <w:r w:rsidR="00DB731D" w:rsidRPr="00A52585">
        <w:rPr>
          <w:rFonts w:hint="cs"/>
          <w:rtl/>
        </w:rPr>
        <w:t>،</w:t>
      </w:r>
      <w:r w:rsidRPr="00A52585">
        <w:rPr>
          <w:rFonts w:hint="cs"/>
          <w:rtl/>
        </w:rPr>
        <w:t xml:space="preserve"> فإنا إذا قلنا القمر ليس بأعور لم يلزم منه أن يكون له عينان</w:t>
      </w:r>
      <w:r w:rsidR="0002035C" w:rsidRPr="00A52585">
        <w:rPr>
          <w:rFonts w:hint="cs"/>
          <w:rtl/>
        </w:rPr>
        <w:t xml:space="preserve"> </w:t>
      </w:r>
      <w:r w:rsidRPr="00A52585">
        <w:rPr>
          <w:rFonts w:hint="cs"/>
          <w:rtl/>
        </w:rPr>
        <w:t>ودليل الخطاب ليس بحجة عند أكثر علماء الأصول في الفروع فكيف يحتج به في صفات الرب تعالى</w:t>
      </w:r>
      <w:r w:rsidR="00897A24" w:rsidRPr="00A52585">
        <w:rPr>
          <w:rFonts w:hint="cs"/>
          <w:rtl/>
        </w:rPr>
        <w:t>.</w:t>
      </w:r>
      <w:r w:rsidRPr="00A52585">
        <w:rPr>
          <w:rFonts w:hint="cs"/>
          <w:rtl/>
        </w:rPr>
        <w:t xml:space="preserve"> [إيضاح الدليل في قطع حجج أهل التعطيل ج: 1 ص: 186] في قوله عليه الصلاة والسلام</w:t>
      </w:r>
      <w:r w:rsidR="0002035C" w:rsidRPr="00A52585">
        <w:rPr>
          <w:rFonts w:hint="cs"/>
          <w:rtl/>
        </w:rPr>
        <w:t>:</w:t>
      </w:r>
      <w:r w:rsidRPr="00A52585">
        <w:rPr>
          <w:rFonts w:hint="cs"/>
          <w:rtl/>
        </w:rPr>
        <w:t xml:space="preserve"> "وإن الله ليس بأعور "</w:t>
      </w:r>
      <w:r w:rsidR="00DB731D" w:rsidRPr="00A52585">
        <w:rPr>
          <w:rFonts w:hint="cs"/>
          <w:rtl/>
        </w:rPr>
        <w:t>،</w:t>
      </w:r>
      <w:r w:rsidRPr="00A52585">
        <w:rPr>
          <w:rFonts w:hint="cs"/>
          <w:rtl/>
        </w:rPr>
        <w:t xml:space="preserve"> وإنما أراد نفي النقص عنه</w:t>
      </w:r>
      <w:r w:rsidR="00DB731D" w:rsidRPr="00A52585">
        <w:rPr>
          <w:rFonts w:hint="cs"/>
          <w:rtl/>
        </w:rPr>
        <w:t>،</w:t>
      </w:r>
      <w:r w:rsidRPr="00A52585">
        <w:rPr>
          <w:rFonts w:hint="cs"/>
          <w:rtl/>
        </w:rPr>
        <w:t xml:space="preserve"> ومتي ثبت أنه لا يتجزأ</w:t>
      </w:r>
      <w:r w:rsidR="00DB731D" w:rsidRPr="00A52585">
        <w:rPr>
          <w:rFonts w:hint="cs"/>
          <w:rtl/>
        </w:rPr>
        <w:t>،</w:t>
      </w:r>
      <w:r w:rsidRPr="00A52585">
        <w:rPr>
          <w:rFonts w:hint="cs"/>
          <w:rtl/>
        </w:rPr>
        <w:t xml:space="preserve"> لم يكن لما يتخيل من الصفات وجه " [الباز الأشهب ص 42] أهـ</w:t>
      </w:r>
      <w:r w:rsidR="00DB731D" w:rsidRPr="00A52585">
        <w:rPr>
          <w:rFonts w:hint="cs"/>
          <w:rtl/>
        </w:rPr>
        <w:t>،</w:t>
      </w:r>
      <w:r w:rsidRPr="00A52585">
        <w:rPr>
          <w:rFonts w:hint="cs"/>
          <w:rtl/>
        </w:rPr>
        <w:t xml:space="preserve"> </w:t>
      </w:r>
      <w:r w:rsidRPr="00A52585">
        <w:rPr>
          <w:rFonts w:hint="cs"/>
          <w:bCs/>
          <w:rtl/>
        </w:rPr>
        <w:t>وقال القاضي ابن جماعة في إيضاح الدليل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 تعالى</w:t>
      </w:r>
      <w:r w:rsidR="0002035C" w:rsidRPr="00A52585">
        <w:rPr>
          <w:rFonts w:hint="cs"/>
          <w:rtl/>
        </w:rPr>
        <w:t xml:space="preserve"> (</w:t>
      </w:r>
      <w:r w:rsidRPr="00A52585">
        <w:rPr>
          <w:rFonts w:hint="cs"/>
          <w:rtl/>
        </w:rPr>
        <w:t xml:space="preserve">ولتصنع على عيني) </w:t>
      </w:r>
      <w:r w:rsidR="0002035C" w:rsidRPr="00A52585">
        <w:rPr>
          <w:rFonts w:hint="cs"/>
          <w:rtl/>
        </w:rPr>
        <w:t>(</w:t>
      </w:r>
      <w:r w:rsidRPr="00A52585">
        <w:rPr>
          <w:rFonts w:hint="cs"/>
          <w:rtl/>
        </w:rPr>
        <w:t>واصنع الفلك بأعيننا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تجري بأعيننا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فإنك بأعيننا</w:t>
      </w:r>
      <w:r w:rsidR="0002035C" w:rsidRPr="00A52585">
        <w:rPr>
          <w:rFonts w:hint="cs"/>
          <w:rtl/>
        </w:rPr>
        <w:t>):</w:t>
      </w:r>
      <w:r w:rsidRPr="00A52585">
        <w:rPr>
          <w:rFonts w:hint="cs"/>
          <w:rtl/>
        </w:rPr>
        <w:t xml:space="preserve"> اعلم أنه إذا ثبت تنزيه الله تعالى عن الجهة والجوارح كما تقدم وجب تأويل هذه الآيات بما يليق بجلاله تعالى</w:t>
      </w:r>
      <w:r w:rsidR="00DB731D" w:rsidRPr="00A52585">
        <w:rPr>
          <w:rFonts w:hint="cs"/>
          <w:rtl/>
        </w:rPr>
        <w:t>،</w:t>
      </w:r>
      <w:r w:rsidR="0002035C" w:rsidRPr="00A52585">
        <w:rPr>
          <w:rFonts w:hint="cs"/>
          <w:rtl/>
        </w:rPr>
        <w:t xml:space="preserve"> </w:t>
      </w:r>
      <w:r w:rsidRPr="00A52585">
        <w:rPr>
          <w:rFonts w:hint="cs"/>
          <w:rtl/>
        </w:rPr>
        <w:t>فالمراد والله أعلم مزيد الاعتناء والحراسة وأن ذلك بمرأى منا</w:t>
      </w:r>
      <w:r w:rsidR="00DB731D" w:rsidRPr="00A52585">
        <w:rPr>
          <w:rFonts w:hint="cs"/>
          <w:rtl/>
        </w:rPr>
        <w:t>،</w:t>
      </w:r>
      <w:r w:rsidRPr="00A52585">
        <w:rPr>
          <w:rFonts w:hint="cs"/>
          <w:rtl/>
        </w:rPr>
        <w:t xml:space="preserve"> قال ابن الأنباري العرب تجمع الواحد إما لتعظيمه كقوله أمرنا ونهينا ومنه </w:t>
      </w:r>
      <w:r w:rsidR="0002035C" w:rsidRPr="00A52585">
        <w:rPr>
          <w:rFonts w:hint="cs"/>
          <w:rtl/>
        </w:rPr>
        <w:t>(</w:t>
      </w:r>
      <w:r w:rsidRPr="00A52585">
        <w:rPr>
          <w:rFonts w:hint="cs"/>
          <w:rtl/>
        </w:rPr>
        <w:t>إنا نحن نحي الموتى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أم يحسبون أنا لا نسمع سرهم ونجواهم</w:t>
      </w:r>
      <w:r w:rsidR="0002035C" w:rsidRPr="00A52585">
        <w:rPr>
          <w:rFonts w:hint="cs"/>
          <w:rtl/>
        </w:rPr>
        <w:t>)</w:t>
      </w:r>
      <w:r w:rsidR="00DB731D" w:rsidRPr="00A52585">
        <w:rPr>
          <w:rFonts w:hint="cs"/>
          <w:rtl/>
        </w:rPr>
        <w:t>،</w:t>
      </w:r>
      <w:r w:rsidRPr="00A52585">
        <w:rPr>
          <w:rFonts w:hint="cs"/>
          <w:rtl/>
        </w:rPr>
        <w:t xml:space="preserve"> أو لإقامة الجمع مقام الواحد كقول القائل</w:t>
      </w:r>
      <w:r w:rsidR="0002035C" w:rsidRPr="00A52585">
        <w:rPr>
          <w:rFonts w:hint="cs"/>
          <w:rtl/>
        </w:rPr>
        <w:t>:</w:t>
      </w:r>
      <w:r w:rsidRPr="00A52585">
        <w:rPr>
          <w:rFonts w:hint="cs"/>
          <w:rtl/>
        </w:rPr>
        <w:t xml:space="preserve"> سكنت في دورنا وآذيت غلماننا وسرنا في السفن وإن كانت الدار والغلام والسفينة واحدا</w:t>
      </w:r>
      <w:r w:rsidR="00DB731D" w:rsidRPr="00A52585">
        <w:rPr>
          <w:rFonts w:hint="cs"/>
          <w:rtl/>
        </w:rPr>
        <w:t>،</w:t>
      </w:r>
      <w:r w:rsidRPr="00A52585">
        <w:rPr>
          <w:rFonts w:hint="cs"/>
          <w:rtl/>
        </w:rPr>
        <w:t xml:space="preserve"> </w:t>
      </w:r>
      <w:r w:rsidRPr="00A52585">
        <w:rPr>
          <w:rFonts w:hint="cs"/>
          <w:bCs/>
          <w:rtl/>
        </w:rPr>
        <w:t xml:space="preserve">ولو حملت الآيات الواردة على ظاهرها لاستقبحت تلك العيون تعالى الله وتقدس عن ذلك </w:t>
      </w:r>
      <w:proofErr w:type="spellStart"/>
      <w:r w:rsidRPr="00A52585">
        <w:rPr>
          <w:rFonts w:hint="cs"/>
          <w:bCs/>
          <w:rtl/>
        </w:rPr>
        <w:t>وللزم</w:t>
      </w:r>
      <w:proofErr w:type="spellEnd"/>
      <w:r w:rsidRPr="00A52585">
        <w:rPr>
          <w:rFonts w:hint="cs"/>
          <w:bCs/>
          <w:rtl/>
        </w:rPr>
        <w:t xml:space="preserve"> أن يكون موسى عليه السلام </w:t>
      </w:r>
      <w:proofErr w:type="spellStart"/>
      <w:r w:rsidRPr="00A52585">
        <w:rPr>
          <w:rFonts w:hint="cs"/>
          <w:bCs/>
          <w:rtl/>
        </w:rPr>
        <w:t>متلصقا</w:t>
      </w:r>
      <w:proofErr w:type="spellEnd"/>
      <w:r w:rsidRPr="00A52585">
        <w:rPr>
          <w:rFonts w:hint="cs"/>
          <w:bCs/>
          <w:rtl/>
        </w:rPr>
        <w:t xml:space="preserve"> بالعين وعليها ولزم أن تكون الأعين آلة لعمل الفلك وأن تكون العين ظرفا للرسول عليه السلام</w:t>
      </w:r>
      <w:r w:rsidR="00DB731D" w:rsidRPr="00A52585">
        <w:rPr>
          <w:rFonts w:hint="cs"/>
          <w:bCs/>
          <w:rtl/>
        </w:rPr>
        <w:t>،</w:t>
      </w:r>
      <w:r w:rsidRPr="00A52585">
        <w:rPr>
          <w:rFonts w:hint="cs"/>
          <w:bCs/>
          <w:rtl/>
        </w:rPr>
        <w:t xml:space="preserve"> وذلك لا يقوله عاقل فوجب المصير إلى تأويله وصرفه عن ظاهره إلى ما يليق بجلال الله تعالى</w:t>
      </w:r>
      <w:r w:rsidR="00DB731D" w:rsidRPr="00A52585">
        <w:rPr>
          <w:rFonts w:hint="cs"/>
          <w:rtl/>
        </w:rPr>
        <w:t>،</w:t>
      </w:r>
      <w:r w:rsidRPr="00A52585">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sidR="00DB731D" w:rsidRPr="00A52585">
        <w:rPr>
          <w:rFonts w:hint="cs"/>
          <w:rtl/>
        </w:rPr>
        <w:t>،</w:t>
      </w:r>
      <w:r w:rsidRPr="00A52585">
        <w:rPr>
          <w:rFonts w:hint="cs"/>
          <w:rtl/>
        </w:rPr>
        <w:t xml:space="preserve"> </w:t>
      </w:r>
      <w:r w:rsidRPr="00A52585">
        <w:rPr>
          <w:rFonts w:hint="cs"/>
          <w:bCs/>
          <w:rtl/>
        </w:rPr>
        <w:t>وقال ابن حجر في فتح الباري</w:t>
      </w:r>
      <w:r w:rsidR="0002035C" w:rsidRPr="00A52585">
        <w:rPr>
          <w:rFonts w:hint="cs"/>
          <w:bCs/>
          <w:rtl/>
        </w:rPr>
        <w:t xml:space="preserve">: </w:t>
      </w:r>
      <w:r w:rsidRPr="00A52585">
        <w:rPr>
          <w:rFonts w:hint="cs"/>
          <w:rtl/>
        </w:rPr>
        <w:t xml:space="preserve">" قوله باب قول الله تعالى </w:t>
      </w:r>
      <w:r w:rsidRPr="00A52585">
        <w:rPr>
          <w:rFonts w:hint="cs"/>
          <w:rtl/>
        </w:rPr>
        <w:lastRenderedPageBreak/>
        <w:t xml:space="preserve">ولتصنع على عيني </w:t>
      </w:r>
      <w:proofErr w:type="spellStart"/>
      <w:r w:rsidRPr="00A52585">
        <w:rPr>
          <w:rFonts w:hint="cs"/>
          <w:rtl/>
        </w:rPr>
        <w:t>تغذى</w:t>
      </w:r>
      <w:r w:rsidR="00897A24" w:rsidRPr="00A52585">
        <w:rPr>
          <w:rFonts w:hint="cs"/>
          <w:rtl/>
        </w:rPr>
        <w:t>.</w:t>
      </w:r>
      <w:r w:rsidRPr="00A52585">
        <w:rPr>
          <w:rFonts w:hint="cs"/>
          <w:rtl/>
        </w:rPr>
        <w:t>.قال</w:t>
      </w:r>
      <w:proofErr w:type="spellEnd"/>
      <w:r w:rsidRPr="00A52585">
        <w:rPr>
          <w:rFonts w:hint="cs"/>
          <w:rtl/>
        </w:rPr>
        <w:t xml:space="preserve"> بن التين هذا التفسير </w:t>
      </w:r>
      <w:proofErr w:type="spellStart"/>
      <w:r w:rsidRPr="00A52585">
        <w:rPr>
          <w:rFonts w:hint="cs"/>
          <w:rtl/>
        </w:rPr>
        <w:t>لقتادة</w:t>
      </w:r>
      <w:r w:rsidR="00897A24" w:rsidRPr="00A52585">
        <w:rPr>
          <w:rFonts w:hint="cs"/>
          <w:rtl/>
        </w:rPr>
        <w:t>.</w:t>
      </w:r>
      <w:r w:rsidRPr="00A52585">
        <w:rPr>
          <w:rFonts w:hint="cs"/>
          <w:rtl/>
        </w:rPr>
        <w:t>.وقوله</w:t>
      </w:r>
      <w:proofErr w:type="spellEnd"/>
      <w:r w:rsidRPr="00A52585">
        <w:rPr>
          <w:rFonts w:hint="cs"/>
          <w:rtl/>
        </w:rPr>
        <w:t xml:space="preserve"> تعالى تجري بأعيننا أي </w:t>
      </w:r>
      <w:proofErr w:type="spellStart"/>
      <w:r w:rsidRPr="00A52585">
        <w:rPr>
          <w:rFonts w:hint="cs"/>
          <w:rtl/>
        </w:rPr>
        <w:t>بعلمنا</w:t>
      </w:r>
      <w:r w:rsidR="00897A24" w:rsidRPr="00A52585">
        <w:rPr>
          <w:rFonts w:hint="cs"/>
          <w:rtl/>
        </w:rPr>
        <w:t>.</w:t>
      </w:r>
      <w:r w:rsidRPr="00A52585">
        <w:rPr>
          <w:rFonts w:hint="cs"/>
          <w:rtl/>
        </w:rPr>
        <w:t>.قال</w:t>
      </w:r>
      <w:proofErr w:type="spellEnd"/>
      <w:r w:rsidRPr="00A52585">
        <w:rPr>
          <w:rFonts w:hint="cs"/>
          <w:rtl/>
        </w:rPr>
        <w:t xml:space="preserve"> الراغب</w:t>
      </w:r>
      <w:r w:rsidR="0002035C" w:rsidRPr="00A52585">
        <w:rPr>
          <w:rFonts w:hint="cs"/>
          <w:rtl/>
        </w:rPr>
        <w:t>:</w:t>
      </w:r>
      <w:r w:rsidRPr="00A52585">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DB731D" w:rsidRPr="00A52585">
        <w:rPr>
          <w:rFonts w:hint="cs"/>
          <w:rtl/>
        </w:rPr>
        <w:t>،</w:t>
      </w:r>
      <w:r w:rsidRPr="00A52585">
        <w:rPr>
          <w:rFonts w:hint="cs"/>
          <w:rtl/>
        </w:rPr>
        <w:t xml:space="preserve"> وقال البيهقي</w:t>
      </w:r>
      <w:r w:rsidR="0002035C" w:rsidRPr="00A52585">
        <w:rPr>
          <w:rFonts w:hint="cs"/>
          <w:rtl/>
        </w:rPr>
        <w:t>:</w:t>
      </w:r>
      <w:r w:rsidRPr="00A52585">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w:t>
      </w:r>
      <w:proofErr w:type="spellStart"/>
      <w:r w:rsidRPr="00A52585">
        <w:rPr>
          <w:rFonts w:hint="cs"/>
          <w:rtl/>
        </w:rPr>
        <w:t>ويتأيد</w:t>
      </w:r>
      <w:proofErr w:type="spellEnd"/>
      <w:r w:rsidRPr="00A52585">
        <w:rPr>
          <w:rFonts w:hint="cs"/>
          <w:rtl/>
        </w:rPr>
        <w:t xml:space="preserve"> بما وقع في الحديث وأشار بيده فان فيه إيماء الى الرد على من يقول معناها القدرة صرح بذلك قول من قال انها صفة ذات</w:t>
      </w:r>
      <w:r w:rsidR="00DB731D" w:rsidRPr="00A52585">
        <w:rPr>
          <w:rFonts w:hint="cs"/>
          <w:rtl/>
        </w:rPr>
        <w:t>،</w:t>
      </w:r>
      <w:r w:rsidRPr="00A52585">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Pr="00A52585">
        <w:rPr>
          <w:rFonts w:hint="cs"/>
          <w:bCs/>
          <w:rtl/>
        </w:rPr>
        <w:t>وهو على سبيل التمثيل والتقريب للفهم لا على معنى اثبات الجارحة</w:t>
      </w:r>
      <w:r w:rsidR="00DB731D" w:rsidRPr="00A52585">
        <w:rPr>
          <w:rFonts w:hint="cs"/>
          <w:rtl/>
        </w:rPr>
        <w:t>،</w:t>
      </w:r>
      <w:r w:rsidRPr="00A52585">
        <w:rPr>
          <w:rFonts w:hint="cs"/>
          <w:rtl/>
        </w:rPr>
        <w:t xml:space="preserve"> </w:t>
      </w:r>
      <w:r w:rsidRPr="00A52585">
        <w:rPr>
          <w:rFonts w:hint="cs"/>
          <w:bCs/>
          <w:rtl/>
        </w:rPr>
        <w:t>قال</w:t>
      </w:r>
      <w:r w:rsidR="0002035C" w:rsidRPr="00A52585">
        <w:rPr>
          <w:rFonts w:hint="cs"/>
          <w:bCs/>
          <w:rtl/>
        </w:rPr>
        <w:t>:</w:t>
      </w:r>
      <w:r w:rsidRPr="00A52585">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Pr="00A52585">
        <w:rPr>
          <w:rFonts w:hint="cs"/>
          <w:rtl/>
        </w:rPr>
        <w:t xml:space="preserve">" </w:t>
      </w:r>
      <w:r w:rsidR="0002035C" w:rsidRPr="00A52585">
        <w:rPr>
          <w:rFonts w:hint="cs"/>
          <w:rtl/>
        </w:rPr>
        <w:t>[</w:t>
      </w:r>
      <w:r w:rsidRPr="00A52585">
        <w:rPr>
          <w:rFonts w:hint="cs"/>
          <w:rtl/>
        </w:rPr>
        <w:t>فتح الباري ج: 13 ص: 388] أهـ</w:t>
      </w:r>
    </w:p>
    <w:p w14:paraId="4906C7BB" w14:textId="75796743" w:rsidR="00777DCB" w:rsidRPr="00A52585" w:rsidRDefault="0002035C" w:rsidP="0002035C">
      <w:pPr>
        <w:rPr>
          <w:rtl/>
        </w:rPr>
      </w:pPr>
      <w:r w:rsidRPr="00A52585">
        <w:rPr>
          <w:rFonts w:hint="cs"/>
          <w:bCs/>
          <w:rtl/>
        </w:rPr>
        <w:t>(</w:t>
      </w:r>
      <w:r w:rsidR="00777DCB" w:rsidRPr="00A52585">
        <w:rPr>
          <w:rFonts w:hint="cs"/>
          <w:bCs/>
          <w:rtl/>
        </w:rPr>
        <w:t>8</w:t>
      </w:r>
      <w:r w:rsidRPr="00A52585">
        <w:rPr>
          <w:rFonts w:hint="cs"/>
          <w:bCs/>
          <w:rtl/>
        </w:rPr>
        <w:t>)</w:t>
      </w:r>
      <w:r w:rsidR="00777DCB" w:rsidRPr="00A52585">
        <w:rPr>
          <w:rFonts w:hint="cs"/>
          <w:bCs/>
          <w:rtl/>
        </w:rPr>
        <w:t xml:space="preserve"> ما جاء في اليد مضافاً إلى الله تعالى</w:t>
      </w:r>
      <w:r w:rsidRPr="00A52585">
        <w:rPr>
          <w:rFonts w:hint="cs"/>
          <w:bCs/>
          <w:rtl/>
        </w:rPr>
        <w:t>:</w:t>
      </w:r>
      <w:r w:rsidR="00777DCB" w:rsidRPr="00A52585">
        <w:rPr>
          <w:rFonts w:hint="cs"/>
          <w:bCs/>
          <w:rtl/>
        </w:rPr>
        <w:t xml:space="preserve"> </w:t>
      </w:r>
      <w:r w:rsidR="00777DCB" w:rsidRPr="00A52585">
        <w:rPr>
          <w:rFonts w:hint="cs"/>
          <w:rtl/>
        </w:rPr>
        <w:t>وذلك</w:t>
      </w:r>
      <w:r w:rsidR="00777DCB" w:rsidRPr="00A52585">
        <w:rPr>
          <w:rFonts w:hint="cs"/>
        </w:rPr>
        <w:t xml:space="preserve"> </w:t>
      </w:r>
      <w:r w:rsidR="00777DCB" w:rsidRPr="00A52585">
        <w:rPr>
          <w:rFonts w:hint="cs"/>
          <w:rtl/>
        </w:rPr>
        <w:t>في ثمان آيات بلفظ الوحدان في أربعة مواضع</w:t>
      </w:r>
      <w:r w:rsidR="00777DCB" w:rsidRPr="00A52585">
        <w:rPr>
          <w:rFonts w:hint="cs"/>
        </w:rPr>
        <w:t xml:space="preserve"> </w:t>
      </w:r>
      <w:r w:rsidR="00777DCB" w:rsidRPr="00A52585">
        <w:rPr>
          <w:rFonts w:hint="cs"/>
          <w:rtl/>
        </w:rPr>
        <w:t>والتثنية في موضعين والجمع في موضعين</w:t>
      </w:r>
      <w:r w:rsidR="00DB731D" w:rsidRPr="00A52585">
        <w:rPr>
          <w:rFonts w:hint="cs"/>
          <w:rtl/>
        </w:rPr>
        <w:t>،</w:t>
      </w:r>
      <w:r w:rsidR="00777DCB" w:rsidRPr="00A52585">
        <w:rPr>
          <w:rFonts w:hint="cs"/>
          <w:rtl/>
        </w:rPr>
        <w:t xml:space="preserve"> ففي سورة المائدة </w:t>
      </w:r>
      <w:r w:rsidRPr="00A52585">
        <w:rPr>
          <w:rFonts w:hint="cs"/>
          <w:rtl/>
        </w:rPr>
        <w:t>(</w:t>
      </w:r>
      <w:r w:rsidR="00777DCB" w:rsidRPr="00A52585">
        <w:rPr>
          <w:rFonts w:hint="cs"/>
          <w:rtl/>
        </w:rPr>
        <w:t>بل يداه</w:t>
      </w:r>
      <w:r w:rsidR="00777DCB" w:rsidRPr="00A52585">
        <w:rPr>
          <w:rFonts w:hint="cs"/>
        </w:rPr>
        <w:t xml:space="preserve"> </w:t>
      </w:r>
      <w:r w:rsidR="00777DCB" w:rsidRPr="00A52585">
        <w:rPr>
          <w:rFonts w:hint="cs"/>
          <w:rtl/>
        </w:rPr>
        <w:t>مبسوطتان</w:t>
      </w:r>
      <w:r w:rsidRPr="00A52585">
        <w:rPr>
          <w:rFonts w:hint="cs"/>
          <w:rtl/>
        </w:rPr>
        <w:t xml:space="preserve">) </w:t>
      </w:r>
      <w:r w:rsidR="00777DCB" w:rsidRPr="00A52585">
        <w:rPr>
          <w:rFonts w:hint="cs"/>
          <w:rtl/>
        </w:rPr>
        <w:t>وفي سورة</w:t>
      </w:r>
      <w:r w:rsidR="00777DCB" w:rsidRPr="00A52585">
        <w:rPr>
          <w:rFonts w:hint="cs"/>
        </w:rPr>
        <w:t xml:space="preserve"> </w:t>
      </w:r>
      <w:r w:rsidR="00777DCB" w:rsidRPr="00A52585">
        <w:rPr>
          <w:rFonts w:hint="cs"/>
          <w:rtl/>
        </w:rPr>
        <w:t xml:space="preserve">ص </w:t>
      </w:r>
      <w:r w:rsidRPr="00A52585">
        <w:rPr>
          <w:rFonts w:hint="cs"/>
          <w:rtl/>
          <w:lang w:bidi="ar-KW"/>
        </w:rPr>
        <w:t>(</w:t>
      </w:r>
      <w:r w:rsidR="00777DCB" w:rsidRPr="00A52585">
        <w:rPr>
          <w:rFonts w:hint="cs"/>
          <w:rtl/>
        </w:rPr>
        <w:t>يا إبليس ما منعك أن تسجد لما خلقت بيدي</w:t>
      </w:r>
      <w:r w:rsidRPr="00A52585">
        <w:rPr>
          <w:rFonts w:hint="cs"/>
          <w:rtl/>
        </w:rPr>
        <w:t>)</w:t>
      </w:r>
      <w:r w:rsidR="00777DCB" w:rsidRPr="00A52585">
        <w:rPr>
          <w:rFonts w:hint="cs"/>
          <w:rtl/>
        </w:rPr>
        <w:t xml:space="preserve"> وفي سورة الأعراف </w:t>
      </w:r>
      <w:r w:rsidRPr="00A52585">
        <w:rPr>
          <w:rFonts w:hint="cs"/>
          <w:rtl/>
        </w:rPr>
        <w:t>(</w:t>
      </w:r>
      <w:r w:rsidR="00777DCB" w:rsidRPr="00A52585">
        <w:rPr>
          <w:rFonts w:hint="cs"/>
          <w:rtl/>
        </w:rPr>
        <w:t>ألهم أرجل</w:t>
      </w:r>
      <w:r w:rsidR="00777DCB" w:rsidRPr="00A52585">
        <w:rPr>
          <w:rFonts w:hint="cs"/>
        </w:rPr>
        <w:t xml:space="preserve"> </w:t>
      </w:r>
      <w:r w:rsidR="00777DCB" w:rsidRPr="00A52585">
        <w:rPr>
          <w:rFonts w:hint="cs"/>
          <w:rtl/>
        </w:rPr>
        <w:t>يمشون بها أم لهم أيد يبطشون بها أم لهم أعين يبصرون بها أم لهم آذان يسمعون بها</w:t>
      </w:r>
      <w:r w:rsidRPr="00A52585">
        <w:rPr>
          <w:rtl/>
        </w:rPr>
        <w:t>)</w:t>
      </w:r>
      <w:r w:rsidR="00777DCB" w:rsidRPr="00A52585">
        <w:rPr>
          <w:rFonts w:hint="cs"/>
          <w:rtl/>
        </w:rPr>
        <w:t xml:space="preserve"> عيرهم بعدم هذه الصفات وفي سورة</w:t>
      </w:r>
      <w:r w:rsidRPr="00A52585">
        <w:rPr>
          <w:rFonts w:hint="cs"/>
          <w:rtl/>
        </w:rPr>
        <w:t xml:space="preserve"> </w:t>
      </w:r>
      <w:r w:rsidR="00777DCB" w:rsidRPr="00A52585">
        <w:rPr>
          <w:rFonts w:hint="cs"/>
          <w:rtl/>
        </w:rPr>
        <w:t xml:space="preserve">يس </w:t>
      </w:r>
      <w:r w:rsidRPr="00A52585">
        <w:rPr>
          <w:rFonts w:hint="cs"/>
          <w:rtl/>
        </w:rPr>
        <w:t>(</w:t>
      </w:r>
      <w:r w:rsidR="00777DCB" w:rsidRPr="00A52585">
        <w:rPr>
          <w:rFonts w:hint="cs"/>
          <w:rtl/>
        </w:rPr>
        <w:t>أو لم يروا أنا خلقنا لهم مما عملت أيدينا أنعاما</w:t>
      </w:r>
      <w:r w:rsidRPr="00A52585">
        <w:rPr>
          <w:rFonts w:hint="cs"/>
          <w:rtl/>
        </w:rPr>
        <w:t>)</w:t>
      </w:r>
      <w:r w:rsidR="00777DCB" w:rsidRPr="00A52585">
        <w:rPr>
          <w:rFonts w:hint="cs"/>
          <w:rtl/>
        </w:rPr>
        <w:t xml:space="preserve"> وفي سورة الفتح </w:t>
      </w:r>
      <w:r w:rsidRPr="00A52585">
        <w:rPr>
          <w:rFonts w:hint="cs"/>
          <w:rtl/>
        </w:rPr>
        <w:t>(</w:t>
      </w:r>
      <w:r w:rsidR="00777DCB" w:rsidRPr="00A52585">
        <w:rPr>
          <w:rFonts w:hint="cs"/>
          <w:rtl/>
        </w:rPr>
        <w:t>يد الله فوق أيديهم</w:t>
      </w:r>
      <w:r w:rsidRPr="00A52585">
        <w:rPr>
          <w:rFonts w:hint="cs"/>
          <w:rtl/>
        </w:rPr>
        <w:t>)</w:t>
      </w:r>
      <w:r w:rsidR="00777DCB" w:rsidRPr="00A52585">
        <w:rPr>
          <w:rFonts w:hint="cs"/>
          <w:rtl/>
        </w:rPr>
        <w:t xml:space="preserve"> وفي سورة الحديد </w:t>
      </w:r>
      <w:r w:rsidRPr="00A52585">
        <w:rPr>
          <w:rFonts w:hint="cs"/>
          <w:rtl/>
        </w:rPr>
        <w:t>(</w:t>
      </w:r>
      <w:r w:rsidR="00777DCB" w:rsidRPr="00A52585">
        <w:rPr>
          <w:rFonts w:hint="cs"/>
          <w:rtl/>
        </w:rPr>
        <w:t>وان الفضل بيد الله يؤتيه</w:t>
      </w:r>
      <w:r w:rsidR="00777DCB" w:rsidRPr="00A52585">
        <w:rPr>
          <w:rFonts w:hint="cs"/>
        </w:rPr>
        <w:t xml:space="preserve"> </w:t>
      </w:r>
      <w:r w:rsidR="00777DCB" w:rsidRPr="00A52585">
        <w:rPr>
          <w:rFonts w:hint="cs"/>
          <w:rtl/>
        </w:rPr>
        <w:t>من يشاء</w:t>
      </w:r>
      <w:r w:rsidRPr="00A52585">
        <w:rPr>
          <w:rFonts w:hint="cs"/>
          <w:rtl/>
        </w:rPr>
        <w:t>)</w:t>
      </w:r>
      <w:r w:rsidR="00777DCB" w:rsidRPr="00A52585">
        <w:rPr>
          <w:rFonts w:hint="cs"/>
          <w:rtl/>
        </w:rPr>
        <w:t xml:space="preserve"> وفي سورة الملك </w:t>
      </w:r>
      <w:r w:rsidRPr="00A52585">
        <w:rPr>
          <w:rFonts w:hint="cs"/>
          <w:rtl/>
        </w:rPr>
        <w:t>(</w:t>
      </w:r>
      <w:r w:rsidR="00777DCB" w:rsidRPr="00A52585">
        <w:rPr>
          <w:rFonts w:hint="cs"/>
          <w:rtl/>
        </w:rPr>
        <w:t>تبارك الذي بيده الملك</w:t>
      </w:r>
      <w:r w:rsidRPr="00A52585">
        <w:rPr>
          <w:rFonts w:hint="cs"/>
          <w:rtl/>
        </w:rPr>
        <w:t>)</w:t>
      </w:r>
      <w:r w:rsidR="00777DCB" w:rsidRPr="00A52585">
        <w:rPr>
          <w:rFonts w:hint="cs"/>
          <w:rtl/>
        </w:rPr>
        <w:t xml:space="preserve"> وفي سورة آل عمران </w:t>
      </w:r>
      <w:r w:rsidRPr="00A52585">
        <w:rPr>
          <w:rFonts w:hint="cs"/>
          <w:rtl/>
        </w:rPr>
        <w:t>(</w:t>
      </w:r>
      <w:r w:rsidR="00777DCB" w:rsidRPr="00A52585">
        <w:rPr>
          <w:rFonts w:hint="cs"/>
          <w:rtl/>
        </w:rPr>
        <w:t>بيدك الخير انك على كل</w:t>
      </w:r>
      <w:r w:rsidR="00777DCB" w:rsidRPr="00A52585">
        <w:rPr>
          <w:rFonts w:hint="cs"/>
        </w:rPr>
        <w:t xml:space="preserve"> </w:t>
      </w:r>
      <w:r w:rsidR="00777DCB" w:rsidRPr="00A52585">
        <w:rPr>
          <w:rFonts w:hint="cs"/>
          <w:rtl/>
        </w:rPr>
        <w:t>شيء قدير</w:t>
      </w:r>
      <w:r w:rsidRPr="00A52585">
        <w:rPr>
          <w:rFonts w:hint="cs"/>
          <w:rtl/>
        </w:rPr>
        <w:t>)</w:t>
      </w:r>
      <w:r w:rsidR="00777DCB" w:rsidRPr="00A52585">
        <w:rPr>
          <w:rFonts w:hint="cs"/>
          <w:rtl/>
        </w:rPr>
        <w:t xml:space="preserve"> </w:t>
      </w:r>
    </w:p>
    <w:p w14:paraId="24291E90" w14:textId="5AF9A0F3" w:rsidR="00777DCB" w:rsidRPr="00A52585" w:rsidRDefault="0002035C" w:rsidP="0002035C">
      <w:pPr>
        <w:rPr>
          <w:b/>
          <w:bCs/>
          <w:rtl/>
        </w:rPr>
      </w:pPr>
      <w:r w:rsidRPr="00A52585">
        <w:rPr>
          <w:rFonts w:hint="cs"/>
          <w:bCs/>
          <w:rtl/>
        </w:rPr>
        <w:lastRenderedPageBreak/>
        <w:t>(</w:t>
      </w:r>
      <w:r w:rsidR="00777DCB" w:rsidRPr="00A52585">
        <w:rPr>
          <w:rFonts w:hint="cs"/>
          <w:bCs/>
          <w:rtl/>
        </w:rPr>
        <w:t>9</w:t>
      </w:r>
      <w:r w:rsidRPr="00A52585">
        <w:rPr>
          <w:rFonts w:hint="cs"/>
          <w:bCs/>
          <w:rtl/>
        </w:rPr>
        <w:t>)</w:t>
      </w:r>
      <w:r w:rsidR="00777DCB" w:rsidRPr="00A52585">
        <w:rPr>
          <w:rFonts w:hint="cs"/>
          <w:bCs/>
          <w:rtl/>
        </w:rPr>
        <w:t xml:space="preserve"> مجاز اليد في القرآن</w:t>
      </w:r>
      <w:r w:rsidRPr="00A52585">
        <w:rPr>
          <w:rFonts w:hint="cs"/>
          <w:bCs/>
          <w:rtl/>
        </w:rPr>
        <w:t>:</w:t>
      </w:r>
      <w:r w:rsidR="00777DCB" w:rsidRPr="00A52585">
        <w:rPr>
          <w:rFonts w:hint="cs"/>
          <w:bCs/>
          <w:rtl/>
        </w:rPr>
        <w:t xml:space="preserve"> </w:t>
      </w:r>
      <w:r w:rsidR="00777DCB" w:rsidRPr="00A52585">
        <w:rPr>
          <w:rFonts w:hint="cs"/>
          <w:rtl/>
        </w:rPr>
        <w:t>المتدبر لآيات القرآن يعلم يقينا أن اليد تستعمل فيه في مجازات متعددة لا يمكن إنكارها ولا على سبيل المكابرة ومثالها</w:t>
      </w:r>
      <w:r w:rsidR="00DB731D" w:rsidRPr="00A52585">
        <w:rPr>
          <w:rFonts w:hint="cs"/>
          <w:rtl/>
        </w:rPr>
        <w:t>،</w:t>
      </w:r>
      <w:r w:rsidR="00777DCB" w:rsidRPr="00A52585">
        <w:rPr>
          <w:rFonts w:hint="cs"/>
          <w:rtl/>
        </w:rPr>
        <w:t xml:space="preserve"> </w:t>
      </w:r>
      <w:r w:rsidR="00777DCB" w:rsidRPr="00A52585">
        <w:rPr>
          <w:rFonts w:hint="cs"/>
          <w:bCs/>
          <w:rtl/>
        </w:rPr>
        <w:t>قوله تعالى</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rPr>
        <w:t>وَلَقَدْ عَلِمْتُمُ</w:t>
      </w:r>
      <w:r w:rsidR="00777DCB" w:rsidRPr="00A52585">
        <w:rPr>
          <w:rFonts w:hint="cs"/>
        </w:rPr>
        <w:t xml:space="preserve"> </w:t>
      </w:r>
      <w:r w:rsidR="00777DCB" w:rsidRPr="00A52585">
        <w:rPr>
          <w:rFonts w:hint="cs"/>
          <w:rtl/>
        </w:rPr>
        <w:t>الَّذِينَ اعْتَدَواْ مِنكُمْ فِي السَّبْتِ فَقُلْنَا لَهُمْ كُونُواْ قِرَدَةً</w:t>
      </w:r>
      <w:r w:rsidR="00777DCB" w:rsidRPr="00A52585">
        <w:rPr>
          <w:rFonts w:hint="cs"/>
        </w:rPr>
        <w:t xml:space="preserve"> </w:t>
      </w:r>
      <w:r w:rsidR="00777DCB" w:rsidRPr="00A52585">
        <w:rPr>
          <w:rFonts w:hint="cs"/>
          <w:rtl/>
        </w:rPr>
        <w:t>خَاسِئِينَ * فَجَعَلْنَاهَا نَكَالاً لِّمَا بَيْنَ يَدَيْهَا وَمَا خَلْفَهَا</w:t>
      </w:r>
      <w:r w:rsidR="00777DCB" w:rsidRPr="00A52585">
        <w:rPr>
          <w:rFonts w:hint="cs"/>
        </w:rPr>
        <w:t xml:space="preserve"> </w:t>
      </w:r>
      <w:r w:rsidR="00777DCB" w:rsidRPr="00A52585">
        <w:rPr>
          <w:rFonts w:hint="cs"/>
          <w:rtl/>
        </w:rPr>
        <w:t>وَمَوْعِظَةً لِّلْمُتَّقِينَ</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فهل للقرية يدين</w:t>
      </w:r>
      <w:r w:rsidR="00F95886" w:rsidRPr="00A52585">
        <w:rPr>
          <w:rFonts w:hint="cs"/>
          <w:rtl/>
        </w:rPr>
        <w:t>؟</w:t>
      </w:r>
      <w:r w:rsidR="00777DCB" w:rsidRPr="00A52585">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sidR="00F95886" w:rsidRPr="00A52585">
        <w:rPr>
          <w:rFonts w:hint="cs"/>
          <w:rtl/>
        </w:rPr>
        <w:t>؟</w:t>
      </w:r>
      <w:r w:rsidR="00777DCB" w:rsidRPr="00A52585">
        <w:rPr>
          <w:rFonts w:hint="cs"/>
          <w:rtl/>
        </w:rPr>
        <w:t xml:space="preserve">، </w:t>
      </w:r>
      <w:r w:rsidR="00777DCB" w:rsidRPr="00A52585">
        <w:rPr>
          <w:rFonts w:hint="cs"/>
          <w:bCs/>
          <w:rtl/>
        </w:rPr>
        <w:t>قال الحافظ بن كثير</w:t>
      </w:r>
      <w:r w:rsidRPr="00A52585">
        <w:rPr>
          <w:rFonts w:hint="cs"/>
          <w:bCs/>
          <w:rtl/>
        </w:rPr>
        <w:t>:</w:t>
      </w:r>
      <w:r w:rsidR="00777DCB" w:rsidRPr="00A52585">
        <w:rPr>
          <w:rFonts w:hint="cs"/>
          <w:rtl/>
        </w:rPr>
        <w:t xml:space="preserve"> " الضمير عائد على القرية أي فجعل الله هذه القرية والمراد أهلها بسبب اعتدائهم في سبتهم نكالا أي عاقبناهم عقوبة فجعلناها </w:t>
      </w:r>
      <w:proofErr w:type="spellStart"/>
      <w:r w:rsidR="00777DCB" w:rsidRPr="00A52585">
        <w:rPr>
          <w:rFonts w:hint="cs"/>
          <w:rtl/>
        </w:rPr>
        <w:t>عبرة</w:t>
      </w:r>
      <w:r w:rsidR="00897A24" w:rsidRPr="00A52585">
        <w:rPr>
          <w:rFonts w:hint="cs"/>
          <w:rtl/>
        </w:rPr>
        <w:t>.</w:t>
      </w:r>
      <w:r w:rsidR="00777DCB" w:rsidRPr="00A52585">
        <w:rPr>
          <w:rFonts w:hint="cs"/>
          <w:rtl/>
        </w:rPr>
        <w:t>.قال</w:t>
      </w:r>
      <w:proofErr w:type="spellEnd"/>
      <w:r w:rsidR="00777DCB" w:rsidRPr="00A52585">
        <w:rPr>
          <w:rFonts w:hint="cs"/>
          <w:rtl/>
        </w:rPr>
        <w:t xml:space="preserve"> ابن عباس يعني جعلناها بما أحللنا بها من العقوبة عبرة لما حولها من </w:t>
      </w:r>
      <w:proofErr w:type="spellStart"/>
      <w:r w:rsidR="00777DCB" w:rsidRPr="00A52585">
        <w:rPr>
          <w:rFonts w:hint="cs"/>
          <w:rtl/>
        </w:rPr>
        <w:t>القرى</w:t>
      </w:r>
      <w:r w:rsidR="00897A24" w:rsidRPr="00A52585">
        <w:rPr>
          <w:rFonts w:hint="cs"/>
          <w:rtl/>
        </w:rPr>
        <w:t>.</w:t>
      </w:r>
      <w:r w:rsidR="00777DCB" w:rsidRPr="00A52585">
        <w:rPr>
          <w:rFonts w:hint="cs"/>
          <w:rtl/>
        </w:rPr>
        <w:t>.وكذا</w:t>
      </w:r>
      <w:proofErr w:type="spellEnd"/>
      <w:r w:rsidR="00777DCB" w:rsidRPr="00A52585">
        <w:rPr>
          <w:rFonts w:hint="cs"/>
          <w:rtl/>
        </w:rPr>
        <w:t xml:space="preserve"> قال سعيد بن جبير لما بين يديها وما خلفها قال من بحضرتها من الناس يومئذ "</w:t>
      </w:r>
      <w:r w:rsidRPr="00A52585">
        <w:rPr>
          <w:rFonts w:hint="cs"/>
          <w:rtl/>
        </w:rPr>
        <w:t>[</w:t>
      </w:r>
      <w:r w:rsidR="00777DCB" w:rsidRPr="00A52585">
        <w:rPr>
          <w:rFonts w:hint="cs"/>
          <w:rtl/>
        </w:rPr>
        <w:t>تفسير ابن كثير ج: 1 ص: 108] أهـ</w:t>
      </w:r>
      <w:r w:rsidR="00DB731D" w:rsidRPr="00A52585">
        <w:rPr>
          <w:rFonts w:hint="cs"/>
          <w:rtl/>
        </w:rPr>
        <w:t>،</w:t>
      </w:r>
      <w:r w:rsidR="00777DCB" w:rsidRPr="00A52585">
        <w:rPr>
          <w:rFonts w:hint="cs"/>
          <w:bCs/>
          <w:rtl/>
        </w:rPr>
        <w:t xml:space="preserve"> وقوله تعالى</w:t>
      </w:r>
      <w:r w:rsidR="00777DCB" w:rsidRPr="00A52585">
        <w:rPr>
          <w:rFonts w:hint="cs"/>
          <w:rtl/>
        </w:rPr>
        <w:t xml:space="preserve"> </w:t>
      </w:r>
      <w:r w:rsidRPr="00A52585">
        <w:rPr>
          <w:rFonts w:hint="cs"/>
          <w:rtl/>
        </w:rPr>
        <w:t>(</w:t>
      </w:r>
      <w:r w:rsidR="00777DCB" w:rsidRPr="00A52585">
        <w:rPr>
          <w:rFonts w:hint="cs"/>
          <w:rtl/>
        </w:rPr>
        <w:t>نَزَّلَ عَلَيْكَ</w:t>
      </w:r>
      <w:r w:rsidR="00777DCB" w:rsidRPr="00A52585">
        <w:rPr>
          <w:rFonts w:hint="cs"/>
        </w:rPr>
        <w:t xml:space="preserve"> </w:t>
      </w:r>
      <w:r w:rsidR="00777DCB" w:rsidRPr="00A52585">
        <w:rPr>
          <w:rFonts w:hint="cs"/>
          <w:rtl/>
        </w:rPr>
        <w:t>الْكِتَابَ بِالْحَقِّ مُصَدِّقاً لِّمَا بَيْنَ يَدَيْهِ وَأَنزَلَ التَّوْرَاةَ</w:t>
      </w:r>
      <w:r w:rsidR="00777DCB" w:rsidRPr="00A52585">
        <w:rPr>
          <w:rFonts w:hint="cs"/>
        </w:rPr>
        <w:t xml:space="preserve"> </w:t>
      </w:r>
      <w:r w:rsidR="00777DCB" w:rsidRPr="00A52585">
        <w:rPr>
          <w:rFonts w:hint="cs"/>
          <w:rtl/>
        </w:rPr>
        <w:t>وَالإِنجِيلَ</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00777DCB" w:rsidRPr="00A52585">
        <w:rPr>
          <w:rFonts w:hint="cs"/>
          <w:rtl/>
        </w:rPr>
        <w:t xml:space="preserve"> </w:t>
      </w:r>
      <w:r w:rsidRPr="00A52585">
        <w:rPr>
          <w:rFonts w:hint="cs"/>
          <w:rtl/>
        </w:rPr>
        <w:t>(</w:t>
      </w:r>
      <w:r w:rsidR="00777DCB" w:rsidRPr="00A52585">
        <w:rPr>
          <w:rFonts w:hint="cs"/>
          <w:rtl/>
        </w:rPr>
        <w:t>وَهَـذَا كِتَابٌ</w:t>
      </w:r>
      <w:r w:rsidR="00777DCB" w:rsidRPr="00A52585">
        <w:rPr>
          <w:rFonts w:hint="cs"/>
        </w:rPr>
        <w:t xml:space="preserve"> </w:t>
      </w:r>
      <w:r w:rsidR="00777DCB" w:rsidRPr="00A52585">
        <w:rPr>
          <w:rFonts w:hint="cs"/>
          <w:rtl/>
        </w:rPr>
        <w:t>أَنزَلْنَاهُ مُبَارَكٌ مُّصَدِّقُ الَّذِي بَيْنَ يَدَيْهِ وَلِتُنذِرَ أُمَّ</w:t>
      </w:r>
      <w:r w:rsidR="00777DCB" w:rsidRPr="00A52585">
        <w:rPr>
          <w:rFonts w:hint="cs"/>
        </w:rPr>
        <w:t xml:space="preserve"> </w:t>
      </w:r>
      <w:r w:rsidR="00777DCB" w:rsidRPr="00A52585">
        <w:rPr>
          <w:rFonts w:hint="cs"/>
          <w:rtl/>
        </w:rPr>
        <w:t>الْقُرَى وَمَنْ حَوْلَهَا وَالَّذِينَ يُؤْمِنُونَ بِالآخِرَةِ يُؤْمِنُونَ بِهِ</w:t>
      </w:r>
      <w:r w:rsidR="00777DCB" w:rsidRPr="00A52585">
        <w:rPr>
          <w:rFonts w:hint="cs"/>
        </w:rPr>
        <w:t xml:space="preserve"> </w:t>
      </w:r>
      <w:r w:rsidR="00777DCB" w:rsidRPr="00A52585">
        <w:rPr>
          <w:rFonts w:hint="cs"/>
          <w:rtl/>
        </w:rPr>
        <w:t>وَهُمْ عَلَى صَلاَتِهِمْ يُحَافِظُونَ</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00777DCB" w:rsidRPr="00A52585">
        <w:rPr>
          <w:rFonts w:hint="cs"/>
          <w:rtl/>
        </w:rPr>
        <w:t xml:space="preserve"> </w:t>
      </w:r>
      <w:r w:rsidRPr="00A52585">
        <w:rPr>
          <w:rFonts w:hint="cs"/>
          <w:rtl/>
        </w:rPr>
        <w:t>{</w:t>
      </w:r>
      <w:r w:rsidR="00777DCB" w:rsidRPr="00A52585">
        <w:rPr>
          <w:rFonts w:hint="cs"/>
          <w:rtl/>
        </w:rPr>
        <w:t>وَمَا كَانَ</w:t>
      </w:r>
      <w:r w:rsidR="00777DCB" w:rsidRPr="00A52585">
        <w:rPr>
          <w:rFonts w:hint="cs"/>
        </w:rPr>
        <w:t xml:space="preserve"> </w:t>
      </w:r>
      <w:r w:rsidR="00777DCB" w:rsidRPr="00A52585">
        <w:rPr>
          <w:rFonts w:hint="cs"/>
          <w:rtl/>
        </w:rPr>
        <w:t>هَـذَا الْقُرْآنُ أَن يُفْتَرَى مِن دُونِ اللّهِ وَلَـكِن تَصْدِيقَ الَّذِي</w:t>
      </w:r>
      <w:r w:rsidR="00777DCB" w:rsidRPr="00A52585">
        <w:rPr>
          <w:rFonts w:hint="cs"/>
        </w:rPr>
        <w:t xml:space="preserve"> </w:t>
      </w:r>
      <w:r w:rsidR="00777DCB" w:rsidRPr="00A52585">
        <w:rPr>
          <w:rFonts w:hint="cs"/>
          <w:rtl/>
        </w:rPr>
        <w:t>بَيْنَ يَدَيْهِ وَتَفْصِيلَ الْكِتَابِ لاَ رَيْبَ فِيهِ مِن رَّبِّ الْعَالَمِينَ</w:t>
      </w:r>
      <w:r w:rsidRPr="00A52585">
        <w:rPr>
          <w:rFonts w:hint="cs"/>
          <w:rtl/>
        </w:rPr>
        <w:t>}</w:t>
      </w:r>
      <w:r w:rsidR="00DB731D" w:rsidRPr="00A52585">
        <w:rPr>
          <w:rFonts w:hint="cs"/>
          <w:rtl/>
        </w:rPr>
        <w:t>،</w:t>
      </w:r>
      <w:r w:rsidR="00777DCB" w:rsidRPr="00A52585">
        <w:rPr>
          <w:rFonts w:hint="cs"/>
          <w:bCs/>
          <w:rtl/>
        </w:rPr>
        <w:t xml:space="preserve"> وقوله تعالى</w:t>
      </w:r>
      <w:r w:rsidR="00777DCB" w:rsidRPr="00A52585">
        <w:rPr>
          <w:rFonts w:hint="cs"/>
          <w:rtl/>
        </w:rPr>
        <w:t xml:space="preserve"> </w:t>
      </w:r>
      <w:r w:rsidRPr="00A52585">
        <w:rPr>
          <w:rFonts w:hint="cs"/>
          <w:rtl/>
        </w:rPr>
        <w:t>{</w:t>
      </w:r>
      <w:r w:rsidR="00777DCB" w:rsidRPr="00A52585">
        <w:rPr>
          <w:rFonts w:hint="cs"/>
          <w:rtl/>
        </w:rPr>
        <w:t>مَا كَانَ</w:t>
      </w:r>
      <w:r w:rsidR="00777DCB" w:rsidRPr="00A52585">
        <w:rPr>
          <w:rFonts w:hint="cs"/>
        </w:rPr>
        <w:t xml:space="preserve"> </w:t>
      </w:r>
      <w:r w:rsidR="00777DCB" w:rsidRPr="00A52585">
        <w:rPr>
          <w:rFonts w:hint="cs"/>
          <w:rtl/>
        </w:rPr>
        <w:t>حَدِيثًا يُفْتَرَى وَلَـكِن تَصْدِيقَ الَّذِي بَيْنَ يَدَيْهِ وَتَفْصِيلَ كُلَّ</w:t>
      </w:r>
      <w:r w:rsidR="00777DCB" w:rsidRPr="00A52585">
        <w:rPr>
          <w:rFonts w:hint="cs"/>
        </w:rPr>
        <w:t xml:space="preserve"> </w:t>
      </w:r>
      <w:r w:rsidR="00777DCB" w:rsidRPr="00A52585">
        <w:rPr>
          <w:rFonts w:hint="cs"/>
          <w:rtl/>
        </w:rPr>
        <w:t>شَيْءٍ وَهُدًى وَرَحْمَةً لِّقَوْمٍ يُؤْمِنُونَ</w:t>
      </w:r>
      <w:r w:rsidRPr="00A52585">
        <w:rPr>
          <w:rFonts w:hint="cs"/>
          <w:rtl/>
        </w:rPr>
        <w:t>}</w:t>
      </w:r>
      <w:r w:rsidR="00DB731D" w:rsidRPr="00A52585">
        <w:rPr>
          <w:rFonts w:hint="cs"/>
          <w:rtl/>
        </w:rPr>
        <w:t>،</w:t>
      </w:r>
      <w:r w:rsidR="00777DCB" w:rsidRPr="00A52585">
        <w:rPr>
          <w:rFonts w:hint="cs"/>
          <w:bCs/>
          <w:rtl/>
        </w:rPr>
        <w:t xml:space="preserve"> وقوله تعالى</w:t>
      </w:r>
      <w:r w:rsidR="00777DCB" w:rsidRPr="00A52585">
        <w:rPr>
          <w:rFonts w:hint="cs"/>
          <w:rtl/>
        </w:rPr>
        <w:t xml:space="preserve"> </w:t>
      </w:r>
      <w:r w:rsidRPr="00A52585">
        <w:rPr>
          <w:rFonts w:hint="cs"/>
          <w:rtl/>
        </w:rPr>
        <w:t>{</w:t>
      </w:r>
      <w:r w:rsidR="00777DCB" w:rsidRPr="00A52585">
        <w:rPr>
          <w:rFonts w:hint="cs"/>
          <w:rtl/>
        </w:rPr>
        <w:t>وَقَالَ الَّذِينَ</w:t>
      </w:r>
      <w:r w:rsidR="00777DCB" w:rsidRPr="00A52585">
        <w:rPr>
          <w:rFonts w:hint="cs"/>
        </w:rPr>
        <w:t xml:space="preserve"> </w:t>
      </w:r>
      <w:r w:rsidR="00777DCB" w:rsidRPr="00A52585">
        <w:rPr>
          <w:rFonts w:hint="cs"/>
          <w:rtl/>
        </w:rPr>
        <w:t>كَفَرُوا لَن نُّؤْمِنَ بِهَذَا الْقُرْآنِ وَلَا بِالَّذِي بَيْنَ يَدَيْهِ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وَالَّذِي أَوْحَيْنَا</w:t>
      </w:r>
      <w:r w:rsidR="00777DCB" w:rsidRPr="00A52585">
        <w:rPr>
          <w:rFonts w:hint="cs"/>
        </w:rPr>
        <w:t xml:space="preserve"> </w:t>
      </w:r>
      <w:r w:rsidR="00777DCB" w:rsidRPr="00A52585">
        <w:rPr>
          <w:rFonts w:hint="cs"/>
          <w:rtl/>
        </w:rPr>
        <w:t>إِلَيْكَ</w:t>
      </w:r>
      <w:r w:rsidR="00777DCB" w:rsidRPr="00A52585">
        <w:rPr>
          <w:rFonts w:hint="cs"/>
        </w:rPr>
        <w:t xml:space="preserve"> </w:t>
      </w:r>
      <w:r w:rsidR="00777DCB" w:rsidRPr="00A52585">
        <w:rPr>
          <w:rFonts w:hint="cs"/>
          <w:rtl/>
        </w:rPr>
        <w:t>مِنَ الْكِتَابِ هُوَ الْحَقُّ مُصَدِّقًا لِّمَا</w:t>
      </w:r>
      <w:r w:rsidR="00777DCB" w:rsidRPr="00A52585">
        <w:rPr>
          <w:rFonts w:hint="cs"/>
        </w:rPr>
        <w:t xml:space="preserve"> </w:t>
      </w:r>
      <w:r w:rsidR="00777DCB" w:rsidRPr="00A52585">
        <w:rPr>
          <w:rFonts w:hint="cs"/>
          <w:rtl/>
        </w:rPr>
        <w:t>بَيْنَ يَدَيْهِ</w:t>
      </w:r>
      <w:r w:rsidR="00777DCB" w:rsidRPr="00A52585">
        <w:rPr>
          <w:rFonts w:hint="cs"/>
        </w:rPr>
        <w:t xml:space="preserve"> </w:t>
      </w:r>
      <w:r w:rsidR="00777DCB" w:rsidRPr="00A52585">
        <w:rPr>
          <w:rFonts w:hint="cs"/>
          <w:rtl/>
        </w:rPr>
        <w:t>إِنَّ</w:t>
      </w:r>
      <w:r w:rsidR="00777DCB" w:rsidRPr="00A52585">
        <w:rPr>
          <w:rFonts w:hint="cs"/>
        </w:rPr>
        <w:t xml:space="preserve"> </w:t>
      </w:r>
      <w:r w:rsidR="00777DCB" w:rsidRPr="00A52585">
        <w:rPr>
          <w:rFonts w:hint="cs"/>
          <w:rtl/>
        </w:rPr>
        <w:t>اللَّهَ بِعِبَادِهِ لَخَبِيرٌ بَصِيرٌ</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00777DCB" w:rsidRPr="00A52585">
        <w:rPr>
          <w:rFonts w:hint="cs"/>
          <w:rtl/>
        </w:rPr>
        <w:t xml:space="preserve"> </w:t>
      </w:r>
      <w:r w:rsidRPr="00A52585">
        <w:rPr>
          <w:rFonts w:hint="cs"/>
          <w:rtl/>
        </w:rPr>
        <w:t>{</w:t>
      </w:r>
      <w:r w:rsidR="00777DCB" w:rsidRPr="00A52585">
        <w:rPr>
          <w:rFonts w:hint="cs"/>
          <w:rtl/>
        </w:rPr>
        <w:t>قَالُوا يَا</w:t>
      </w:r>
      <w:r w:rsidR="00777DCB" w:rsidRPr="00A52585">
        <w:rPr>
          <w:rFonts w:hint="cs"/>
        </w:rPr>
        <w:t xml:space="preserve"> </w:t>
      </w:r>
      <w:r w:rsidR="00777DCB" w:rsidRPr="00A52585">
        <w:rPr>
          <w:rFonts w:hint="cs"/>
          <w:rtl/>
        </w:rPr>
        <w:t>قَوْمَنَا إِنَّا سَمِعْنَا كِتَابًا أُنزِلَ مِن بَعْدِ مُوسَى مُصَدِّقًا لِّمَا</w:t>
      </w:r>
      <w:r w:rsidR="00777DCB" w:rsidRPr="00A52585">
        <w:rPr>
          <w:rFonts w:hint="cs"/>
        </w:rPr>
        <w:t xml:space="preserve"> </w:t>
      </w:r>
      <w:r w:rsidR="00777DCB" w:rsidRPr="00A52585">
        <w:rPr>
          <w:rFonts w:hint="cs"/>
          <w:rtl/>
        </w:rPr>
        <w:t>بَيْنَ يَدَيْهِ يَهْدِي إِلَى الْحَقِّ وَإِلَى طَرِيقٍ مُّسْتَقِيمٍ</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فهل للقرآن يدين</w:t>
      </w:r>
      <w:r w:rsidR="00F95886" w:rsidRPr="00A52585">
        <w:rPr>
          <w:rFonts w:hint="cs"/>
          <w:bCs/>
          <w:rtl/>
        </w:rPr>
        <w:t>؟</w:t>
      </w:r>
      <w:r w:rsidR="00DB731D" w:rsidRPr="00A52585">
        <w:rPr>
          <w:rFonts w:hint="cs"/>
          <w:bCs/>
          <w:rtl/>
        </w:rPr>
        <w:t>،</w:t>
      </w:r>
      <w:r w:rsidR="00777DCB" w:rsidRPr="00A52585">
        <w:rPr>
          <w:rFonts w:hint="cs"/>
          <w:bCs/>
          <w:rtl/>
        </w:rPr>
        <w:t xml:space="preserve"> </w:t>
      </w:r>
      <w:r w:rsidR="00777DCB" w:rsidRPr="00A52585">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sidR="00F95886" w:rsidRPr="00A52585">
        <w:rPr>
          <w:rFonts w:hint="cs"/>
          <w:rtl/>
        </w:rPr>
        <w:t>؟</w:t>
      </w:r>
      <w:r w:rsidR="00DB731D" w:rsidRPr="00A52585">
        <w:rPr>
          <w:rFonts w:hint="cs"/>
          <w:rtl/>
        </w:rPr>
        <w:t>،</w:t>
      </w:r>
      <w:r w:rsidR="00777DCB" w:rsidRPr="00A52585">
        <w:rPr>
          <w:rFonts w:hint="cs"/>
          <w:bCs/>
          <w:rtl/>
        </w:rPr>
        <w:t xml:space="preserve"> وقوله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rtl/>
        </w:rPr>
        <w:t>وَهُوَ الَّذِي</w:t>
      </w:r>
      <w:r w:rsidR="00777DCB" w:rsidRPr="00A52585">
        <w:rPr>
          <w:rFonts w:hint="cs"/>
        </w:rPr>
        <w:t xml:space="preserve"> </w:t>
      </w:r>
      <w:r w:rsidR="00777DCB" w:rsidRPr="00A52585">
        <w:rPr>
          <w:rFonts w:hint="cs"/>
          <w:rtl/>
        </w:rPr>
        <w:t>يُرْسِلُ الرِّيَاحَ بُشْرًا بَيْنَ يَدَيْ رَحْمَتِهِ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rPr>
        <w:t>وَهُوَ الَّذِي</w:t>
      </w:r>
      <w:r w:rsidR="00777DCB" w:rsidRPr="00A52585">
        <w:rPr>
          <w:rFonts w:hint="cs"/>
        </w:rPr>
        <w:t xml:space="preserve"> </w:t>
      </w:r>
      <w:r w:rsidR="00777DCB" w:rsidRPr="00A52585">
        <w:rPr>
          <w:rFonts w:hint="cs"/>
          <w:rtl/>
        </w:rPr>
        <w:t>أَرْسَلَ الرِّيَاحَ بُشْرًا بَيْنَ يَدَيْ رَحْمَتِهِ وَأَنزَلْنَا مِنَ السَّمَاء</w:t>
      </w:r>
      <w:r w:rsidR="00777DCB" w:rsidRPr="00A52585">
        <w:rPr>
          <w:rFonts w:hint="cs"/>
        </w:rPr>
        <w:t xml:space="preserve"> </w:t>
      </w:r>
      <w:r w:rsidR="00777DCB" w:rsidRPr="00A52585">
        <w:rPr>
          <w:rFonts w:hint="cs"/>
          <w:rtl/>
        </w:rPr>
        <w:t>مَاء طَهُورًا</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rtl/>
        </w:rPr>
        <w:t>أَمَّن يَهْدِيكُمْ فِي ظُلُمَاتِ الْبَرِّ وَالْبَحْرِ وَمَن يُرْسِلُ الرِّيَاحَ بُشْرًا بَيْنَ يَدَيْ رَحْمَتِهِ أَإِلَهٌ مَّعَ اللَّهِ تَعَالَى اللَّهُ عَمَّا يُشْرِكُونَ</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هل للرحمة يدين</w:t>
      </w:r>
      <w:r w:rsidR="00F95886" w:rsidRPr="00A52585">
        <w:rPr>
          <w:rFonts w:hint="cs"/>
          <w:bCs/>
          <w:rtl/>
        </w:rPr>
        <w:t>؟</w:t>
      </w:r>
      <w:r w:rsidR="00DB731D" w:rsidRPr="00A52585">
        <w:rPr>
          <w:rFonts w:hint="cs"/>
          <w:bCs/>
          <w:rtl/>
        </w:rPr>
        <w:t>،</w:t>
      </w:r>
      <w:r w:rsidR="00777DCB" w:rsidRPr="00A52585">
        <w:rPr>
          <w:rFonts w:hint="cs"/>
          <w:bCs/>
          <w:rtl/>
        </w:rPr>
        <w:t xml:space="preserve"> </w:t>
      </w:r>
      <w:r w:rsidR="00777DCB" w:rsidRPr="00A52585">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DB731D" w:rsidRPr="00A52585">
        <w:rPr>
          <w:rFonts w:hint="cs"/>
          <w:rtl/>
        </w:rPr>
        <w:t>،</w:t>
      </w:r>
      <w:r w:rsidR="00777DCB" w:rsidRPr="00A52585">
        <w:rPr>
          <w:rFonts w:hint="cs"/>
          <w:rtl/>
        </w:rPr>
        <w:t xml:space="preserve"> </w:t>
      </w:r>
      <w:r w:rsidR="00777DCB" w:rsidRPr="00A52585">
        <w:rPr>
          <w:rFonts w:hint="cs"/>
          <w:bCs/>
          <w:rtl/>
        </w:rPr>
        <w:t>قال أبو السعود في تفسيره</w:t>
      </w:r>
      <w:r w:rsidRPr="00A52585">
        <w:rPr>
          <w:rFonts w:hint="cs"/>
          <w:bCs/>
          <w:rtl/>
        </w:rPr>
        <w:t>:</w:t>
      </w:r>
      <w:r w:rsidR="00777DCB" w:rsidRPr="00A52585">
        <w:rPr>
          <w:rFonts w:hint="cs"/>
          <w:bCs/>
          <w:rtl/>
        </w:rPr>
        <w:t xml:space="preserve"> "</w:t>
      </w:r>
      <w:r w:rsidR="00777DCB" w:rsidRPr="00A52585">
        <w:rPr>
          <w:rFonts w:hint="cs"/>
          <w:rtl/>
        </w:rPr>
        <w:t xml:space="preserve"> بين يدى رحمته</w:t>
      </w:r>
      <w:r w:rsidRPr="00A52585">
        <w:rPr>
          <w:rFonts w:hint="cs"/>
          <w:rtl/>
        </w:rPr>
        <w:t xml:space="preserve"> </w:t>
      </w:r>
      <w:r w:rsidR="00777DCB" w:rsidRPr="00A52585">
        <w:rPr>
          <w:rFonts w:hint="cs"/>
          <w:rtl/>
        </w:rPr>
        <w:t xml:space="preserve">استعارة بديعة أي قدام المطر </w:t>
      </w:r>
      <w:proofErr w:type="spellStart"/>
      <w:r w:rsidR="00777DCB" w:rsidRPr="00A52585">
        <w:rPr>
          <w:rFonts w:hint="cs"/>
          <w:rtl/>
        </w:rPr>
        <w:t>والإلتفات</w:t>
      </w:r>
      <w:proofErr w:type="spellEnd"/>
      <w:r w:rsidR="00777DCB" w:rsidRPr="00A52585">
        <w:rPr>
          <w:rFonts w:hint="cs"/>
          <w:rtl/>
        </w:rPr>
        <w:t xml:space="preserve"> إلى نون العظمة في قوله تعالى وأنزلنا من السماء ماء طهورا لإبراز كمال العناية بالإنزال " </w:t>
      </w:r>
      <w:r w:rsidRPr="00A52585">
        <w:rPr>
          <w:rFonts w:hint="cs"/>
          <w:rtl/>
        </w:rPr>
        <w:t>[</w:t>
      </w:r>
      <w:r w:rsidR="00777DCB" w:rsidRPr="00A52585">
        <w:rPr>
          <w:rFonts w:hint="cs"/>
          <w:rtl/>
        </w:rPr>
        <w:t xml:space="preserve">تفسير أبي السعود ج: 6 </w:t>
      </w:r>
      <w:r w:rsidR="00777DCB" w:rsidRPr="00A52585">
        <w:rPr>
          <w:rFonts w:hint="cs"/>
          <w:rtl/>
        </w:rPr>
        <w:lastRenderedPageBreak/>
        <w:t>ص: 224] أهـ</w:t>
      </w:r>
      <w:r w:rsidR="00DB731D" w:rsidRPr="00A52585">
        <w:rPr>
          <w:rFonts w:hint="cs"/>
          <w:rtl/>
        </w:rPr>
        <w:t>،</w:t>
      </w:r>
      <w:r w:rsidR="00777DCB" w:rsidRPr="00A52585">
        <w:rPr>
          <w:rFonts w:hint="cs"/>
          <w:rtl/>
        </w:rPr>
        <w:t xml:space="preserve"> </w:t>
      </w:r>
      <w:r w:rsidR="00777DCB" w:rsidRPr="00A52585">
        <w:rPr>
          <w:rFonts w:hint="cs"/>
          <w:bCs/>
          <w:rtl/>
        </w:rPr>
        <w:t>وقال</w:t>
      </w:r>
      <w:r w:rsidR="00777DCB" w:rsidRPr="00A52585">
        <w:rPr>
          <w:rFonts w:hint="cs"/>
          <w:bCs/>
        </w:rPr>
        <w:t xml:space="preserve"> </w:t>
      </w:r>
      <w:r w:rsidR="00777DCB" w:rsidRPr="00A52585">
        <w:rPr>
          <w:rFonts w:hint="cs"/>
          <w:bCs/>
          <w:rtl/>
        </w:rPr>
        <w:t>النسفي في تفسيره</w:t>
      </w:r>
      <w:r w:rsidRPr="00A52585">
        <w:rPr>
          <w:rFonts w:hint="cs"/>
          <w:bCs/>
          <w:rtl/>
        </w:rPr>
        <w:t>:</w:t>
      </w:r>
      <w:r w:rsidR="00777DCB" w:rsidRPr="00A52585">
        <w:rPr>
          <w:rFonts w:hint="cs"/>
          <w:bCs/>
          <w:rtl/>
        </w:rPr>
        <w:t xml:space="preserve"> " </w:t>
      </w:r>
      <w:r w:rsidR="00777DCB" w:rsidRPr="00A52585">
        <w:rPr>
          <w:rFonts w:hint="cs"/>
          <w:rtl/>
        </w:rPr>
        <w:t xml:space="preserve">بين يدى رحمته </w:t>
      </w:r>
      <w:proofErr w:type="spellStart"/>
      <w:r w:rsidR="00777DCB" w:rsidRPr="00A52585">
        <w:rPr>
          <w:rFonts w:hint="cs"/>
          <w:rtl/>
        </w:rPr>
        <w:t>أى</w:t>
      </w:r>
      <w:proofErr w:type="spellEnd"/>
      <w:r w:rsidR="00777DCB" w:rsidRPr="00A52585">
        <w:rPr>
          <w:rFonts w:hint="cs"/>
          <w:rtl/>
        </w:rPr>
        <w:t xml:space="preserve"> قدام المطر لأنه ريح ثم سحاب ثم مطر وهذه استعارة مليحة " [تفسير النسفي ج: 3 ص: 171] أهـ</w:t>
      </w:r>
      <w:r w:rsidR="00DB731D" w:rsidRPr="00A52585">
        <w:rPr>
          <w:rFonts w:hint="cs"/>
          <w:rtl/>
        </w:rPr>
        <w:t>،</w:t>
      </w:r>
      <w:r w:rsidR="00777DCB" w:rsidRPr="00A52585">
        <w:rPr>
          <w:rFonts w:hint="cs"/>
          <w:rtl/>
        </w:rPr>
        <w:t xml:space="preserve"> </w:t>
      </w:r>
      <w:r w:rsidR="00777DCB" w:rsidRPr="00A52585">
        <w:rPr>
          <w:rFonts w:hint="cs"/>
          <w:bCs/>
          <w:rtl/>
        </w:rPr>
        <w:t>وقوله تعالى</w:t>
      </w:r>
      <w:r w:rsidRPr="00A52585">
        <w:rPr>
          <w:rFonts w:hint="cs"/>
          <w:rtl/>
        </w:rPr>
        <w:t xml:space="preserve"> {</w:t>
      </w:r>
      <w:r w:rsidR="00777DCB" w:rsidRPr="00A52585">
        <w:rPr>
          <w:rFonts w:hint="cs"/>
          <w:rtl/>
        </w:rPr>
        <w:t>قُلْ إِنَّمَا</w:t>
      </w:r>
      <w:r w:rsidR="00777DCB" w:rsidRPr="00A52585">
        <w:rPr>
          <w:rFonts w:hint="cs"/>
        </w:rPr>
        <w:t xml:space="preserve"> </w:t>
      </w:r>
      <w:r w:rsidR="00777DCB" w:rsidRPr="00A52585">
        <w:rPr>
          <w:rFonts w:hint="cs"/>
          <w:rtl/>
        </w:rPr>
        <w:t>أَعِظُكُم بِوَاحِدَةٍ أَن تَقُومُوا لِلَّهِ مَثْنَى وَفُرَادَى ثُمَّ تَتَفَكَّرُوا</w:t>
      </w:r>
      <w:r w:rsidR="00777DCB" w:rsidRPr="00A52585">
        <w:rPr>
          <w:rFonts w:hint="cs"/>
        </w:rPr>
        <w:t xml:space="preserve"> </w:t>
      </w:r>
      <w:r w:rsidR="00777DCB" w:rsidRPr="00A52585">
        <w:rPr>
          <w:rFonts w:hint="cs"/>
          <w:rtl/>
        </w:rPr>
        <w:t>مَا بِصَاحِبِكُم مِّن جِنَّةٍ إِنْ هُوَ إِلَّا نَذِيرٌ لَّكُم بَيْنَ</w:t>
      </w:r>
      <w:r w:rsidR="00777DCB" w:rsidRPr="00A52585">
        <w:rPr>
          <w:rFonts w:hint="cs"/>
        </w:rPr>
        <w:t xml:space="preserve"> </w:t>
      </w:r>
      <w:r w:rsidR="00777DCB" w:rsidRPr="00A52585">
        <w:rPr>
          <w:rFonts w:hint="cs"/>
          <w:rtl/>
        </w:rPr>
        <w:t>يَدَيْ عَذَابٍ شَدِيدٍ</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هل للعذاب يدين</w:t>
      </w:r>
      <w:r w:rsidR="00F95886" w:rsidRPr="00A52585">
        <w:rPr>
          <w:rFonts w:hint="cs"/>
          <w:bCs/>
          <w:rtl/>
        </w:rPr>
        <w:t>؟</w:t>
      </w:r>
      <w:r w:rsidR="00DB731D" w:rsidRPr="00A52585">
        <w:rPr>
          <w:rFonts w:hint="cs"/>
          <w:bCs/>
          <w:rtl/>
        </w:rPr>
        <w:t>،</w:t>
      </w:r>
      <w:r w:rsidR="00777DCB" w:rsidRPr="00A52585">
        <w:rPr>
          <w:rFonts w:hint="cs"/>
          <w:bCs/>
          <w:rtl/>
        </w:rPr>
        <w:t xml:space="preserve"> </w:t>
      </w:r>
      <w:r w:rsidR="00777DCB" w:rsidRPr="00A52585">
        <w:rPr>
          <w:rFonts w:hint="cs"/>
          <w:rtl/>
        </w:rPr>
        <w:t xml:space="preserve">وهل تفيد الآيات إثبات اليدين للعذاب لأنها جاءت بتثنية اليد أم أنه المجاز البلاغي الذي يستعير للعذاب لفظ اليدين للتأكيد على قرب العذاب </w:t>
      </w:r>
    </w:p>
    <w:p w14:paraId="588634AE" w14:textId="2DD1B898" w:rsidR="00777DCB" w:rsidRPr="00A52585" w:rsidRDefault="00777DCB" w:rsidP="0002035C">
      <w:pPr>
        <w:rPr>
          <w:b/>
          <w:bCs/>
          <w:rtl/>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أَأَشْفَقْتُمْ أَن</w:t>
      </w:r>
      <w:r w:rsidRPr="00A52585">
        <w:rPr>
          <w:rFonts w:hint="cs"/>
        </w:rPr>
        <w:t xml:space="preserve"> </w:t>
      </w:r>
      <w:r w:rsidRPr="00A52585">
        <w:rPr>
          <w:rFonts w:hint="cs"/>
          <w:rtl/>
        </w:rPr>
        <w:t>تُقَدِّمُوا بَيْنَ يَدَيْ نَجْوَاكُمْ صَدَقَاتٍ فَإِذْ لَمْ تَفْعَلُوا وَتَابَ</w:t>
      </w:r>
      <w:r w:rsidRPr="00A52585">
        <w:rPr>
          <w:rFonts w:hint="cs"/>
        </w:rPr>
        <w:t xml:space="preserve"> </w:t>
      </w:r>
      <w:r w:rsidRPr="00A52585">
        <w:rPr>
          <w:rFonts w:hint="cs"/>
          <w:rtl/>
        </w:rPr>
        <w:t>اللَّهُ عَلَيْكُمْ فَأَقِيمُوا الصَّلَاةَ وَآتُوا الزَّكَاةَ وَأَطِيعُوا</w:t>
      </w:r>
      <w:r w:rsidRPr="00A52585">
        <w:rPr>
          <w:rFonts w:hint="cs"/>
        </w:rPr>
        <w:t xml:space="preserve"> </w:t>
      </w:r>
      <w:r w:rsidRPr="00A52585">
        <w:rPr>
          <w:rFonts w:hint="cs"/>
          <w:rtl/>
        </w:rPr>
        <w:t>اللَّهَ وَرَسُولَهُ وَاللَّهُ خَبِيرٌ بِمَا تَعْمَلُونَ</w:t>
      </w:r>
      <w:r w:rsidR="0002035C" w:rsidRPr="00A52585">
        <w:rPr>
          <w:rFonts w:hint="cs"/>
          <w:rtl/>
        </w:rPr>
        <w:t>}</w:t>
      </w:r>
      <w:r w:rsidRPr="00A52585">
        <w:rPr>
          <w:rFonts w:hint="cs"/>
          <w:rtl/>
        </w:rPr>
        <w:t xml:space="preserve">، </w:t>
      </w: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يَا أَيُّهَا</w:t>
      </w:r>
      <w:r w:rsidRPr="00A52585">
        <w:rPr>
          <w:rFonts w:hint="cs"/>
        </w:rPr>
        <w:t xml:space="preserve"> </w:t>
      </w:r>
      <w:r w:rsidRPr="00A52585">
        <w:rPr>
          <w:rFonts w:hint="cs"/>
          <w:rtl/>
        </w:rPr>
        <w:t>الَّذِينَ آمَنُوا إِذَا نَاجَيْتُمُ الرَّسُولَ فَقَدِّمُوا بَيْنَ يَدَيْ</w:t>
      </w:r>
      <w:r w:rsidRPr="00A52585">
        <w:rPr>
          <w:rFonts w:hint="cs"/>
        </w:rPr>
        <w:t xml:space="preserve"> </w:t>
      </w:r>
      <w:r w:rsidRPr="00A52585">
        <w:rPr>
          <w:rFonts w:hint="cs"/>
          <w:rtl/>
        </w:rPr>
        <w:t>نَجْوَاكُمْ صَدَقَةً ذَلِكَ خَيْرٌ لَّكُمْ وَأَطْهَرُ فَإِن لَّمْ تَجِدُوا</w:t>
      </w:r>
      <w:r w:rsidRPr="00A52585">
        <w:rPr>
          <w:rFonts w:hint="cs"/>
        </w:rPr>
        <w:t xml:space="preserve"> </w:t>
      </w:r>
      <w:r w:rsidRPr="00A52585">
        <w:rPr>
          <w:rFonts w:hint="cs"/>
          <w:rtl/>
        </w:rPr>
        <w:t>فَإِنَّ اللَّهَ غَفُورٌ رَّحِيمٌ</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هل للنجوى يدين</w:t>
      </w:r>
      <w:r w:rsidR="00F95886" w:rsidRPr="00A52585">
        <w:rPr>
          <w:rFonts w:hint="cs"/>
          <w:bCs/>
          <w:rtl/>
        </w:rPr>
        <w:t>؟</w:t>
      </w:r>
      <w:r w:rsidR="00DB731D" w:rsidRPr="00A52585">
        <w:rPr>
          <w:rFonts w:hint="cs"/>
          <w:bCs/>
          <w:rtl/>
        </w:rPr>
        <w:t>،</w:t>
      </w:r>
      <w:r w:rsidRPr="00A52585">
        <w:rPr>
          <w:rFonts w:hint="cs"/>
          <w:bCs/>
          <w:rtl/>
        </w:rPr>
        <w:t xml:space="preserve"> </w:t>
      </w:r>
      <w:r w:rsidRPr="00A52585">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DB731D" w:rsidRPr="00A52585">
        <w:rPr>
          <w:rFonts w:hint="cs"/>
          <w:rtl/>
        </w:rPr>
        <w:t>،</w:t>
      </w:r>
    </w:p>
    <w:p w14:paraId="2F9FE428" w14:textId="69B6F052" w:rsidR="00777DCB" w:rsidRPr="00A52585" w:rsidRDefault="00777DCB" w:rsidP="0002035C">
      <w:pPr>
        <w:rPr>
          <w:b/>
          <w:bCs/>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وَاذْكُرْ عَبْدَنَا</w:t>
      </w:r>
      <w:r w:rsidRPr="00A52585">
        <w:rPr>
          <w:rFonts w:hint="cs"/>
        </w:rPr>
        <w:t xml:space="preserve"> </w:t>
      </w:r>
      <w:r w:rsidRPr="00A52585">
        <w:rPr>
          <w:rFonts w:hint="cs"/>
          <w:rtl/>
        </w:rPr>
        <w:t>دَاوُودَ ذَا الْأَيْدِ إِنَّهُ أَوَّابٌ</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وَاذْكُرْ عِبَادَنَا إبْرَاهِيمَ وَإِسْحَقَ وَيَعْقُوبَ أُوْلِي</w:t>
      </w:r>
      <w:r w:rsidRPr="00A52585">
        <w:rPr>
          <w:rFonts w:hint="cs"/>
        </w:rPr>
        <w:t xml:space="preserve"> </w:t>
      </w:r>
      <w:r w:rsidRPr="00A52585">
        <w:rPr>
          <w:rFonts w:hint="cs"/>
          <w:rtl/>
        </w:rPr>
        <w:t>الْأَيْدِي وَالْأَبْصَارِ</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w:t>
      </w:r>
      <w:r w:rsidRPr="00A52585">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897A24" w:rsidRPr="00A52585">
        <w:rPr>
          <w:rFonts w:hint="cs"/>
          <w:rtl/>
        </w:rPr>
        <w:t>.</w:t>
      </w:r>
      <w:r w:rsidRPr="00A52585">
        <w:rPr>
          <w:rFonts w:hint="cs"/>
          <w:rtl/>
        </w:rPr>
        <w:t xml:space="preserve"> </w:t>
      </w:r>
    </w:p>
    <w:p w14:paraId="2400B06B" w14:textId="51AF321A" w:rsidR="00777DCB" w:rsidRPr="00A52585" w:rsidRDefault="00777DCB" w:rsidP="0002035C">
      <w:pPr>
        <w:rPr>
          <w:rtl/>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وَأَنفِقُواْ فِي</w:t>
      </w:r>
      <w:r w:rsidRPr="00A52585">
        <w:rPr>
          <w:rFonts w:hint="cs"/>
        </w:rPr>
        <w:t xml:space="preserve"> </w:t>
      </w:r>
      <w:r w:rsidRPr="00A52585">
        <w:rPr>
          <w:rFonts w:hint="cs"/>
          <w:rtl/>
        </w:rPr>
        <w:t>سَبِيلِ اللّهِ وَلاَ تُلْقُواْ بِأَيْدِيكُمْ إِلَى التَّهْلُكَةِ وَأَحْسِنُوَاْ</w:t>
      </w:r>
      <w:r w:rsidRPr="00A52585">
        <w:rPr>
          <w:rFonts w:hint="cs"/>
        </w:rPr>
        <w:t xml:space="preserve"> </w:t>
      </w:r>
      <w:r w:rsidRPr="00A52585">
        <w:rPr>
          <w:rFonts w:hint="cs"/>
          <w:rtl/>
        </w:rPr>
        <w:t>إِنَّ اللّهَ يُحِبُّ الْمُحْسِنِينَ</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فَكَيْفَ إِذَا</w:t>
      </w:r>
      <w:r w:rsidRPr="00A52585">
        <w:rPr>
          <w:rFonts w:hint="cs"/>
        </w:rPr>
        <w:t xml:space="preserve"> </w:t>
      </w:r>
      <w:r w:rsidRPr="00A52585">
        <w:rPr>
          <w:rFonts w:hint="cs"/>
          <w:rtl/>
        </w:rPr>
        <w:t>أَصَابَتْهُم مُّصِيبَةٌ بِمَا قَدَّمَتْ أَيْدِيهِمْ ثُمَّ جَآؤُوكَ يَحْلِفُونَ</w:t>
      </w:r>
      <w:r w:rsidRPr="00A52585">
        <w:rPr>
          <w:rFonts w:hint="cs"/>
        </w:rPr>
        <w:t xml:space="preserve"> </w:t>
      </w:r>
      <w:r w:rsidRPr="00A52585">
        <w:rPr>
          <w:rFonts w:hint="cs"/>
          <w:rtl/>
        </w:rPr>
        <w:t>بِاللّهِ إِنْ أَرَدْنَا إِلاَّ إِحْسَانًا وَتَوْفِيقًا</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وَإِذَا أَذَقْنَا النَّاسَ</w:t>
      </w:r>
      <w:r w:rsidRPr="00A52585">
        <w:rPr>
          <w:rFonts w:hint="cs"/>
        </w:rPr>
        <w:t xml:space="preserve"> </w:t>
      </w:r>
      <w:r w:rsidRPr="00A52585">
        <w:rPr>
          <w:rFonts w:hint="cs"/>
          <w:rtl/>
        </w:rPr>
        <w:t>رَحْمَةً فَرِحُوا بِهَا وَإِن تُصِبْهُمْ</w:t>
      </w:r>
      <w:r w:rsidRPr="00A52585">
        <w:rPr>
          <w:rFonts w:hint="cs"/>
        </w:rPr>
        <w:t xml:space="preserve"> </w:t>
      </w:r>
      <w:r w:rsidRPr="00A52585">
        <w:rPr>
          <w:rFonts w:hint="cs"/>
          <w:rtl/>
        </w:rPr>
        <w:t>سَيِّئَةٌ بِمَا قَدَّمَتْ أَيْدِيهِمْ إِذَا هُمْ يَقْنَطُونَ</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ظَهَرَ الْفَسَادُ</w:t>
      </w:r>
      <w:r w:rsidRPr="00A52585">
        <w:rPr>
          <w:rFonts w:hint="cs"/>
        </w:rPr>
        <w:t xml:space="preserve"> </w:t>
      </w:r>
      <w:r w:rsidRPr="00A52585">
        <w:rPr>
          <w:rFonts w:hint="cs"/>
          <w:rtl/>
        </w:rPr>
        <w:t>فِي الْبَرِّ وَالْبَحْرِ بِمَا كَسَبَتْ أَيْدِي النَّاسِ لِيُذِيقَهُم</w:t>
      </w:r>
      <w:r w:rsidRPr="00A52585">
        <w:rPr>
          <w:rFonts w:hint="cs"/>
        </w:rPr>
        <w:t xml:space="preserve"> </w:t>
      </w:r>
      <w:r w:rsidRPr="00A52585">
        <w:rPr>
          <w:rFonts w:hint="cs"/>
          <w:rtl/>
        </w:rPr>
        <w:t>بَعْضَ الَّذِي عَمِلُوا لَعَلَّهُمْ يَرْجِعُونَ</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توضح الآيات الكريمات السابقات أن ما أصابهم من السوء منوط بما كسبت أيديهم</w:t>
      </w:r>
      <w:r w:rsidR="00DB731D" w:rsidRPr="00A52585">
        <w:rPr>
          <w:rFonts w:hint="cs"/>
          <w:rtl/>
        </w:rPr>
        <w:t>،</w:t>
      </w:r>
      <w:r w:rsidRPr="00A52585">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DB731D" w:rsidRPr="00A52585">
        <w:rPr>
          <w:rFonts w:hint="cs"/>
          <w:rtl/>
        </w:rPr>
        <w:t>،</w:t>
      </w:r>
      <w:r w:rsidRPr="00A52585">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02035C" w:rsidRPr="00A52585">
        <w:rPr>
          <w:rFonts w:hint="cs"/>
          <w:rtl/>
        </w:rPr>
        <w:t>(</w:t>
      </w:r>
      <w:r w:rsidRPr="00A52585">
        <w:rPr>
          <w:rFonts w:hint="cs"/>
          <w:rtl/>
        </w:rPr>
        <w:t>بما كسبتم وكسبت أنفسكم</w:t>
      </w:r>
      <w:r w:rsidR="00DB731D" w:rsidRPr="00A52585">
        <w:rPr>
          <w:rFonts w:hint="cs"/>
          <w:rtl/>
        </w:rPr>
        <w:t>،</w:t>
      </w:r>
      <w:r w:rsidRPr="00A52585">
        <w:rPr>
          <w:rFonts w:hint="cs"/>
          <w:rtl/>
        </w:rPr>
        <w:t xml:space="preserve"> </w:t>
      </w:r>
      <w:r w:rsidRPr="00A52585">
        <w:rPr>
          <w:rFonts w:hint="cs"/>
          <w:bCs/>
          <w:rtl/>
        </w:rPr>
        <w:t>قال النسفي</w:t>
      </w:r>
      <w:r w:rsidRPr="00A52585">
        <w:rPr>
          <w:rFonts w:hint="cs"/>
          <w:rtl/>
        </w:rPr>
        <w:t xml:space="preserve"> في بيان ذلك</w:t>
      </w:r>
      <w:r w:rsidR="0002035C" w:rsidRPr="00A52585">
        <w:rPr>
          <w:rFonts w:hint="cs"/>
          <w:rtl/>
        </w:rPr>
        <w:t>:</w:t>
      </w:r>
      <w:r w:rsidRPr="00A52585">
        <w:rPr>
          <w:rFonts w:hint="cs"/>
          <w:rtl/>
        </w:rPr>
        <w:t xml:space="preserve"> " ما منعك أن تسجد ما منعك عن </w:t>
      </w:r>
      <w:r w:rsidRPr="00A52585">
        <w:rPr>
          <w:rFonts w:hint="cs"/>
          <w:rtl/>
        </w:rPr>
        <w:lastRenderedPageBreak/>
        <w:t>السجود لما</w:t>
      </w:r>
      <w:r w:rsidR="0002035C" w:rsidRPr="00A52585">
        <w:rPr>
          <w:rFonts w:hint="cs"/>
          <w:rtl/>
        </w:rPr>
        <w:t xml:space="preserve"> </w:t>
      </w:r>
      <w:r w:rsidRPr="00A52585">
        <w:rPr>
          <w:rFonts w:hint="cs"/>
          <w:rtl/>
        </w:rPr>
        <w:t>خلقت بيدي</w:t>
      </w:r>
      <w:r w:rsidR="0002035C" w:rsidRPr="00A52585">
        <w:rPr>
          <w:rFonts w:hint="cs"/>
          <w:rtl/>
        </w:rPr>
        <w:t xml:space="preserve"> </w:t>
      </w:r>
      <w:r w:rsidRPr="00A52585">
        <w:rPr>
          <w:rFonts w:hint="cs"/>
          <w:rtl/>
        </w:rPr>
        <w:t xml:space="preserve">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w:t>
      </w:r>
      <w:proofErr w:type="spellStart"/>
      <w:r w:rsidRPr="00A52585">
        <w:rPr>
          <w:rFonts w:hint="cs"/>
          <w:rtl/>
        </w:rPr>
        <w:t>يداك</w:t>
      </w:r>
      <w:r w:rsidR="00897A24" w:rsidRPr="00A52585">
        <w:rPr>
          <w:rFonts w:hint="cs"/>
          <w:rtl/>
        </w:rPr>
        <w:t>.</w:t>
      </w:r>
      <w:r w:rsidRPr="00A52585">
        <w:rPr>
          <w:rFonts w:hint="cs"/>
          <w:rtl/>
        </w:rPr>
        <w:t>.وحتى</w:t>
      </w:r>
      <w:proofErr w:type="spellEnd"/>
      <w:r w:rsidRPr="00A52585">
        <w:rPr>
          <w:rFonts w:hint="cs"/>
          <w:rtl/>
        </w:rPr>
        <w:t xml:space="preserve"> لم يبق فرق بين قولك هذا مما عملته وهذا مما عملته يداك ومنه قوله مما عملت أيدينا ولما خلقت بيدي " [تفسير النسفي ج: 4 ص: 45</w:t>
      </w:r>
      <w:r w:rsidR="0002035C" w:rsidRPr="00A52585">
        <w:rPr>
          <w:rFonts w:hint="cs"/>
          <w:rtl/>
        </w:rPr>
        <w:t>]</w:t>
      </w:r>
      <w:r w:rsidRPr="00A52585">
        <w:rPr>
          <w:rFonts w:hint="cs"/>
          <w:rtl/>
        </w:rPr>
        <w:t xml:space="preserve"> أهـ</w:t>
      </w:r>
      <w:r w:rsidR="00DB731D" w:rsidRPr="00A52585">
        <w:rPr>
          <w:rFonts w:hint="cs"/>
          <w:rtl/>
        </w:rPr>
        <w:t>،</w:t>
      </w:r>
      <w:r w:rsidRPr="00A52585">
        <w:rPr>
          <w:rFonts w:hint="cs"/>
          <w:rtl/>
        </w:rPr>
        <w:t xml:space="preserve"> </w:t>
      </w:r>
    </w:p>
    <w:p w14:paraId="497CC333" w14:textId="4BDF86A0" w:rsidR="00777DCB" w:rsidRPr="00A52585" w:rsidRDefault="00777DCB" w:rsidP="0002035C">
      <w:pPr>
        <w:rPr>
          <w:b/>
          <w:bCs/>
          <w:rtl/>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يَا</w:t>
      </w:r>
      <w:r w:rsidRPr="00A52585">
        <w:rPr>
          <w:rFonts w:hint="cs"/>
        </w:rPr>
        <w:t xml:space="preserve"> </w:t>
      </w:r>
      <w:r w:rsidRPr="00A52585">
        <w:rPr>
          <w:rFonts w:hint="cs"/>
          <w:rtl/>
        </w:rPr>
        <w:t>أَيُّهَا النَّبِيُّ قُل لِّمَن</w:t>
      </w:r>
      <w:r w:rsidRPr="00A52585">
        <w:rPr>
          <w:rFonts w:hint="cs"/>
        </w:rPr>
        <w:t xml:space="preserve"> </w:t>
      </w:r>
      <w:r w:rsidRPr="00A52585">
        <w:rPr>
          <w:rFonts w:hint="cs"/>
          <w:rtl/>
        </w:rPr>
        <w:t>فِي أَيْدِيكُم مِّنَ الأَسْرَى إِن يَعْلَمِ اللّهُ فِي قُلُوبِكُمْ خَيْرًا</w:t>
      </w:r>
      <w:r w:rsidRPr="00A52585">
        <w:rPr>
          <w:rFonts w:hint="cs"/>
        </w:rPr>
        <w:t xml:space="preserve"> </w:t>
      </w:r>
      <w:r w:rsidRPr="00A52585">
        <w:rPr>
          <w:rFonts w:hint="cs"/>
          <w:rtl/>
        </w:rPr>
        <w:t>يُؤْتِكُمْ خَيْرًا مِّمَّا أُخِذَ مِنكُمْ وَيَغْفِرْ لَكُمْ وَاللّهُ غَفُورٌ</w:t>
      </w:r>
      <w:r w:rsidRPr="00A52585">
        <w:rPr>
          <w:rFonts w:hint="cs"/>
        </w:rPr>
        <w:t xml:space="preserve"> </w:t>
      </w:r>
      <w:r w:rsidRPr="00A52585">
        <w:rPr>
          <w:rFonts w:hint="cs"/>
          <w:rtl/>
        </w:rPr>
        <w:t>رَّحِيمٌ</w:t>
      </w:r>
      <w:r w:rsidR="0002035C" w:rsidRPr="00A52585">
        <w:rPr>
          <w:rFonts w:hint="cs"/>
          <w:rtl/>
        </w:rPr>
        <w:t>}</w:t>
      </w:r>
      <w:r w:rsidR="00DB731D" w:rsidRPr="00A52585">
        <w:rPr>
          <w:rFonts w:hint="cs"/>
          <w:rtl/>
        </w:rPr>
        <w:t>،</w:t>
      </w:r>
      <w:r w:rsidRPr="00A52585">
        <w:rPr>
          <w:rFonts w:hint="cs"/>
          <w:rtl/>
        </w:rPr>
        <w:t xml:space="preserve"> ومعلوم يقيناً أن الأسرى ليسوا في يد الرسول ولا في أيدي الصحابة</w:t>
      </w:r>
      <w:r w:rsidR="00DB731D" w:rsidRPr="00A52585">
        <w:rPr>
          <w:rFonts w:hint="cs"/>
          <w:rtl/>
        </w:rPr>
        <w:t>،</w:t>
      </w:r>
      <w:r w:rsidRPr="00A52585">
        <w:rPr>
          <w:rFonts w:hint="cs"/>
          <w:rtl/>
        </w:rPr>
        <w:t xml:space="preserve"> وإنما المقصد من تحت حكمكم من الأسرى وعبر عن هذا الحكم باليد لأنها موضع الإمساك والتحكم</w:t>
      </w:r>
      <w:r w:rsidR="00DB731D" w:rsidRPr="00A52585">
        <w:rPr>
          <w:rFonts w:hint="cs"/>
          <w:rtl/>
        </w:rPr>
        <w:t>،</w:t>
      </w:r>
      <w:r w:rsidRPr="00A52585">
        <w:rPr>
          <w:rFonts w:hint="cs"/>
          <w:rtl/>
        </w:rPr>
        <w:t xml:space="preserve"> ومثاله (وما ملكت أيمانكم</w:t>
      </w:r>
      <w:r w:rsidR="0002035C" w:rsidRPr="00A52585">
        <w:rPr>
          <w:rFonts w:hint="cs"/>
          <w:rtl/>
        </w:rPr>
        <w:t>)</w:t>
      </w:r>
      <w:r w:rsidRPr="00A52585">
        <w:rPr>
          <w:rFonts w:hint="cs"/>
          <w:rtl/>
        </w:rPr>
        <w:t xml:space="preserve"> وسيأتي إن شاء الله عند ذكر اليمين</w:t>
      </w:r>
      <w:r w:rsidR="00DB731D" w:rsidRPr="00A52585">
        <w:rPr>
          <w:rFonts w:hint="cs"/>
          <w:rtl/>
        </w:rPr>
        <w:t>،</w:t>
      </w:r>
    </w:p>
    <w:p w14:paraId="52595C8F" w14:textId="53E99C08" w:rsidR="00777DCB" w:rsidRPr="00A52585" w:rsidRDefault="00777DCB" w:rsidP="0002035C">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وَإِن طَلَّقْتُمُوهُنَّ</w:t>
      </w:r>
      <w:r w:rsidRPr="00A52585">
        <w:rPr>
          <w:rFonts w:hint="cs"/>
        </w:rPr>
        <w:t xml:space="preserve"> </w:t>
      </w:r>
      <w:r w:rsidRPr="00A52585">
        <w:rPr>
          <w:rFonts w:hint="cs"/>
          <w:rtl/>
        </w:rPr>
        <w:t>مِن</w:t>
      </w:r>
      <w:r w:rsidRPr="00A52585">
        <w:rPr>
          <w:rFonts w:hint="cs"/>
        </w:rPr>
        <w:t xml:space="preserve"> </w:t>
      </w:r>
      <w:r w:rsidRPr="00A52585">
        <w:rPr>
          <w:rFonts w:hint="cs"/>
          <w:rtl/>
        </w:rPr>
        <w:t>قَبْلِ أَن تَمَسُّوهُنَّ وَقَدْ فَرَضْتُمْ لَهُنَّ فَرِيضَةً</w:t>
      </w:r>
      <w:r w:rsidRPr="00A52585">
        <w:rPr>
          <w:rFonts w:hint="cs"/>
        </w:rPr>
        <w:t xml:space="preserve"> </w:t>
      </w:r>
      <w:r w:rsidRPr="00A52585">
        <w:rPr>
          <w:rFonts w:hint="cs"/>
          <w:rtl/>
        </w:rPr>
        <w:t>فَنِصْفُ</w:t>
      </w:r>
      <w:r w:rsidRPr="00A52585">
        <w:rPr>
          <w:rFonts w:hint="cs"/>
        </w:rPr>
        <w:t xml:space="preserve"> </w:t>
      </w:r>
      <w:r w:rsidRPr="00A52585">
        <w:rPr>
          <w:rFonts w:hint="cs"/>
          <w:rtl/>
        </w:rPr>
        <w:t>مَا فَرَضْتُمْ إَلاَّ أَن يَعْفُونَ أَوْ يَعْفُوَ</w:t>
      </w:r>
      <w:r w:rsidRPr="00A52585">
        <w:rPr>
          <w:rFonts w:hint="cs"/>
        </w:rPr>
        <w:t xml:space="preserve"> </w:t>
      </w:r>
      <w:r w:rsidRPr="00A52585">
        <w:rPr>
          <w:rFonts w:hint="cs"/>
          <w:rtl/>
        </w:rPr>
        <w:t>الَّذِي بِيَدِهِ</w:t>
      </w:r>
      <w:r w:rsidRPr="00A52585">
        <w:rPr>
          <w:rFonts w:hint="cs"/>
        </w:rPr>
        <w:t xml:space="preserve"> </w:t>
      </w:r>
      <w:r w:rsidRPr="00A52585">
        <w:rPr>
          <w:rFonts w:hint="cs"/>
          <w:rtl/>
        </w:rPr>
        <w:t>عُقْدَةُ</w:t>
      </w:r>
      <w:r w:rsidRPr="00A52585">
        <w:rPr>
          <w:rFonts w:hint="cs"/>
        </w:rPr>
        <w:t xml:space="preserve"> </w:t>
      </w:r>
      <w:r w:rsidRPr="00A52585">
        <w:rPr>
          <w:rFonts w:hint="cs"/>
          <w:rtl/>
        </w:rPr>
        <w:t>النِّكَاحِ وَأَن تَعْفُواْ أَقْرَبُ لِلتَّقْوَى</w:t>
      </w:r>
      <w:r w:rsidRPr="00A52585">
        <w:rPr>
          <w:rFonts w:hint="cs"/>
        </w:rPr>
        <w:t xml:space="preserve"> </w:t>
      </w:r>
      <w:r w:rsidRPr="00A52585">
        <w:rPr>
          <w:rFonts w:hint="cs"/>
          <w:rtl/>
        </w:rPr>
        <w:t>وَلاَ تَنسَوُاْ</w:t>
      </w:r>
      <w:r w:rsidRPr="00A52585">
        <w:rPr>
          <w:rFonts w:hint="cs"/>
        </w:rPr>
        <w:t xml:space="preserve"> </w:t>
      </w:r>
      <w:r w:rsidRPr="00A52585">
        <w:rPr>
          <w:rFonts w:hint="cs"/>
          <w:rtl/>
        </w:rPr>
        <w:t>الْفَضْلَ</w:t>
      </w:r>
      <w:r w:rsidRPr="00A52585">
        <w:rPr>
          <w:rFonts w:hint="cs"/>
        </w:rPr>
        <w:t xml:space="preserve"> </w:t>
      </w:r>
      <w:r w:rsidRPr="00A52585">
        <w:rPr>
          <w:rFonts w:hint="cs"/>
          <w:rtl/>
        </w:rPr>
        <w:t>بَيْنَكُمْ إِنَّ اللّهَ بِمَا تَعْمَلُونَ</w:t>
      </w:r>
      <w:r w:rsidRPr="00A52585">
        <w:rPr>
          <w:rFonts w:hint="cs"/>
        </w:rPr>
        <w:t xml:space="preserve"> </w:t>
      </w:r>
      <w:r w:rsidRPr="00A52585">
        <w:rPr>
          <w:rFonts w:hint="cs"/>
          <w:rtl/>
        </w:rPr>
        <w:t>بَصِيرٌ</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ومعلوم أن النكاح ليست له عقدة وأن هذه العقدة بيد ولي الأمر</w:t>
      </w:r>
      <w:r w:rsidR="00DB731D" w:rsidRPr="00A52585">
        <w:rPr>
          <w:rFonts w:hint="cs"/>
          <w:rtl/>
        </w:rPr>
        <w:t>،</w:t>
      </w:r>
      <w:r w:rsidRPr="00A52585">
        <w:rPr>
          <w:rFonts w:hint="cs"/>
          <w:rtl/>
        </w:rPr>
        <w:t xml:space="preserve"> فهذا لا يقوله عاقل</w:t>
      </w:r>
      <w:r w:rsidR="00DB731D" w:rsidRPr="00A52585">
        <w:rPr>
          <w:rFonts w:hint="cs"/>
          <w:rtl/>
        </w:rPr>
        <w:t>،</w:t>
      </w:r>
      <w:r w:rsidRPr="00A52585">
        <w:rPr>
          <w:rFonts w:hint="cs"/>
          <w:rtl/>
        </w:rPr>
        <w:t xml:space="preserve"> وإنما المعنى من له الولاية على النكاح حتى وإن كان مقطوع اليدين</w:t>
      </w:r>
      <w:r w:rsidR="00DB731D" w:rsidRPr="00A52585">
        <w:rPr>
          <w:rFonts w:hint="cs"/>
          <w:rtl/>
        </w:rPr>
        <w:t>،</w:t>
      </w:r>
      <w:r w:rsidRPr="00A52585">
        <w:rPr>
          <w:rFonts w:hint="cs"/>
          <w:rtl/>
        </w:rPr>
        <w:t xml:space="preserve"> فلا علاقة للآية بإثبات عقدة ولا يد وإنما هو الأسلوب البلاغي الذي يوصل المعنى في أجزل عبارة وأدق معنى</w:t>
      </w:r>
      <w:r w:rsidR="00DB731D" w:rsidRPr="00A52585">
        <w:rPr>
          <w:rFonts w:hint="cs"/>
          <w:rtl/>
        </w:rPr>
        <w:t>،</w:t>
      </w:r>
      <w:r w:rsidRPr="00A52585">
        <w:rPr>
          <w:rFonts w:hint="cs"/>
          <w:rtl/>
        </w:rPr>
        <w:t xml:space="preserve"> </w:t>
      </w:r>
    </w:p>
    <w:p w14:paraId="4940BC68" w14:textId="0247076A" w:rsidR="00777DCB" w:rsidRPr="00A52585" w:rsidRDefault="00777DCB" w:rsidP="0002035C">
      <w:pPr>
        <w:rPr>
          <w:b/>
          <w:bCs/>
          <w:rtl/>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الْمُنَافِقُونَ وَالْمُنَافِقَاتُ</w:t>
      </w:r>
      <w:r w:rsidRPr="00A52585">
        <w:rPr>
          <w:rFonts w:hint="cs"/>
        </w:rPr>
        <w:t xml:space="preserve"> </w:t>
      </w:r>
      <w:r w:rsidRPr="00A52585">
        <w:rPr>
          <w:rFonts w:hint="cs"/>
          <w:rtl/>
        </w:rPr>
        <w:t>بَعْضُهُم مِّن بَعْضٍ يَأْمُرُونَ بِالْمُنكَرِ وَيَنْهَوْنَ عَنِ</w:t>
      </w:r>
      <w:r w:rsidRPr="00A52585">
        <w:rPr>
          <w:rFonts w:hint="cs"/>
        </w:rPr>
        <w:t xml:space="preserve"> </w:t>
      </w:r>
      <w:r w:rsidRPr="00A52585">
        <w:rPr>
          <w:rFonts w:hint="cs"/>
          <w:rtl/>
        </w:rPr>
        <w:t>الْمَعْرُوفِ وَيَقْبِضُونَ أَيْدِيَهُمْ نَسُواْ اللّهَ فَنَسِيَهُمْ إِنَّ الْمُنَافِقِينَ</w:t>
      </w:r>
      <w:r w:rsidRPr="00A52585">
        <w:rPr>
          <w:rFonts w:hint="cs"/>
        </w:rPr>
        <w:t xml:space="preserve"> </w:t>
      </w:r>
      <w:r w:rsidRPr="00A52585">
        <w:rPr>
          <w:rFonts w:hint="cs"/>
          <w:rtl/>
        </w:rPr>
        <w:t>هُمُ الْفَاسِقُونَ</w:t>
      </w:r>
      <w:r w:rsidR="0002035C" w:rsidRPr="00A52585">
        <w:rPr>
          <w:rFonts w:hint="cs"/>
          <w:rtl/>
        </w:rPr>
        <w:t>}</w:t>
      </w:r>
      <w:r w:rsidR="00DB731D" w:rsidRPr="00A52585">
        <w:rPr>
          <w:rFonts w:hint="cs"/>
          <w:rtl/>
        </w:rPr>
        <w:t>،</w:t>
      </w:r>
      <w:r w:rsidRPr="00A52585">
        <w:rPr>
          <w:rFonts w:hint="cs"/>
          <w:rtl/>
        </w:rPr>
        <w:t xml:space="preserve"> ويستحيل أن يكون المراد من الآية المعنى الظاهر للقبض وهو ضم أصابع اليد</w:t>
      </w:r>
      <w:r w:rsidR="00DB731D" w:rsidRPr="00A52585">
        <w:rPr>
          <w:rFonts w:hint="cs"/>
          <w:rtl/>
        </w:rPr>
        <w:t>،</w:t>
      </w:r>
      <w:r w:rsidRPr="00A52585">
        <w:rPr>
          <w:rFonts w:hint="cs"/>
          <w:rtl/>
        </w:rPr>
        <w:t xml:space="preserve"> ولكن المعنى المفهوم من القبض هاهنا البخل بالنفقة في الطاعة وفي سبيل الله</w:t>
      </w:r>
      <w:r w:rsidR="00DB731D" w:rsidRPr="00A52585">
        <w:rPr>
          <w:rFonts w:hint="cs"/>
          <w:rtl/>
        </w:rPr>
        <w:t>،</w:t>
      </w:r>
      <w:r w:rsidRPr="00A52585">
        <w:rPr>
          <w:rFonts w:hint="cs"/>
          <w:rtl/>
        </w:rPr>
        <w:t xml:space="preserve"> وكني عن البخل بالقبض على طريقة بلاغة العرب في التوسع في استعمال المجاز والكناية لتأكيد معنى البخل عند المنافقين</w:t>
      </w:r>
      <w:r w:rsidR="00DB731D" w:rsidRPr="00A52585">
        <w:rPr>
          <w:rFonts w:hint="cs"/>
          <w:rtl/>
        </w:rPr>
        <w:t>،</w:t>
      </w:r>
      <w:r w:rsidRPr="00A52585">
        <w:rPr>
          <w:rFonts w:hint="cs"/>
          <w:rtl/>
        </w:rPr>
        <w:t xml:space="preserve"> ثم هاهنا لطيفة أخرى وهي قوله تعالى (نسوا الله فنسيهم</w:t>
      </w:r>
      <w:r w:rsidR="0002035C" w:rsidRPr="00A52585">
        <w:rPr>
          <w:rFonts w:hint="cs"/>
          <w:rtl/>
        </w:rPr>
        <w:t>)</w:t>
      </w:r>
      <w:r w:rsidRPr="00A52585">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DB731D" w:rsidRPr="00A52585">
        <w:rPr>
          <w:rFonts w:hint="cs"/>
          <w:rtl/>
        </w:rPr>
        <w:t>،</w:t>
      </w:r>
    </w:p>
    <w:p w14:paraId="5388AF2E" w14:textId="382442FB" w:rsidR="00777DCB" w:rsidRPr="00A52585" w:rsidRDefault="00777DCB" w:rsidP="0002035C">
      <w:pPr>
        <w:rPr>
          <w:rtl/>
        </w:rPr>
      </w:pPr>
      <w:r w:rsidRPr="00A52585">
        <w:rPr>
          <w:rFonts w:hint="cs"/>
          <w:bCs/>
          <w:rtl/>
        </w:rPr>
        <w:t>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وَقَالَتِ الْيَهُودُ</w:t>
      </w:r>
      <w:r w:rsidRPr="00A52585">
        <w:rPr>
          <w:rFonts w:hint="cs"/>
        </w:rPr>
        <w:t xml:space="preserve"> </w:t>
      </w:r>
      <w:r w:rsidRPr="00A52585">
        <w:rPr>
          <w:rFonts w:hint="cs"/>
          <w:rtl/>
        </w:rPr>
        <w:t>يَدُ اللّهِ مَغْلُولَةٌ غُلَّتْ أَيْدِيهِمْ وَلُعِنُواْ بِمَا قَالُواْ</w:t>
      </w:r>
      <w:r w:rsidRPr="00A52585">
        <w:rPr>
          <w:rFonts w:hint="cs"/>
        </w:rPr>
        <w:t xml:space="preserve"> </w:t>
      </w:r>
      <w:r w:rsidRPr="00A52585">
        <w:rPr>
          <w:rFonts w:hint="cs"/>
          <w:rtl/>
        </w:rPr>
        <w:t>بَلْ يَدَاهُ مَبْسُوطَتَانِ يُنفِقُ كَيْفَ يَشَاء وَلَيَزِيدَنَّ كَثِيرًا</w:t>
      </w:r>
      <w:r w:rsidRPr="00A52585">
        <w:rPr>
          <w:rFonts w:hint="cs"/>
        </w:rPr>
        <w:t xml:space="preserve"> </w:t>
      </w:r>
      <w:r w:rsidRPr="00A52585">
        <w:rPr>
          <w:rFonts w:hint="cs"/>
          <w:rtl/>
        </w:rPr>
        <w:t>مِّنْهُم مَّا أُنزِلَ إِلَيْكَ مِن رَّبِّكَ طُغْيَانًا وَكُفْرًا وَأَلْقَيْنَا</w:t>
      </w:r>
      <w:r w:rsidRPr="00A52585">
        <w:rPr>
          <w:rFonts w:hint="cs"/>
        </w:rPr>
        <w:t xml:space="preserve"> </w:t>
      </w:r>
      <w:r w:rsidRPr="00A52585">
        <w:rPr>
          <w:rFonts w:hint="cs"/>
          <w:rtl/>
        </w:rPr>
        <w:t>بَيْنَهُمُ الْعَدَاوَةَ وَالْبَغْضَاء إِلَى يَوْمِ الْقِيَامَةِ كُلَّمَا أَوْقَدُواْ</w:t>
      </w:r>
      <w:r w:rsidRPr="00A52585">
        <w:rPr>
          <w:rFonts w:hint="cs"/>
        </w:rPr>
        <w:t xml:space="preserve"> </w:t>
      </w:r>
      <w:r w:rsidRPr="00A52585">
        <w:rPr>
          <w:rFonts w:hint="cs"/>
          <w:rtl/>
        </w:rPr>
        <w:t>نَارًا لِّلْحَرْبِ أَطْفَأَهَا اللّهُ وَيَسْعَوْنَ فِي الأَرْضِ فَسَادًا</w:t>
      </w:r>
      <w:r w:rsidRPr="00A52585">
        <w:rPr>
          <w:rFonts w:hint="cs"/>
        </w:rPr>
        <w:t xml:space="preserve"> </w:t>
      </w:r>
      <w:r w:rsidRPr="00A52585">
        <w:rPr>
          <w:rFonts w:hint="cs"/>
          <w:rtl/>
        </w:rPr>
        <w:t>وَاللّهُ لاَ يُحِبُّ الْمُفْسِدِينَ</w:t>
      </w:r>
      <w:r w:rsidR="0002035C" w:rsidRPr="00A52585">
        <w:rPr>
          <w:rFonts w:hint="cs"/>
          <w:rtl/>
        </w:rPr>
        <w:t>}</w:t>
      </w:r>
      <w:r w:rsidR="00DB731D" w:rsidRPr="00A52585">
        <w:rPr>
          <w:rFonts w:hint="cs"/>
          <w:rtl/>
        </w:rPr>
        <w:t>،</w:t>
      </w:r>
      <w:r w:rsidRPr="00A52585">
        <w:rPr>
          <w:rFonts w:hint="cs"/>
          <w:rtl/>
        </w:rPr>
        <w:t xml:space="preserve"> فإن </w:t>
      </w:r>
      <w:r w:rsidRPr="00A52585">
        <w:rPr>
          <w:rFonts w:hint="cs"/>
          <w:rtl/>
        </w:rPr>
        <w:lastRenderedPageBreak/>
        <w:t>بلغاء العرب يعلمون أن الوصف بغل</w:t>
      </w:r>
      <w:r w:rsidRPr="00A52585">
        <w:rPr>
          <w:rFonts w:hint="cs"/>
        </w:rPr>
        <w:t xml:space="preserve"> </w:t>
      </w:r>
      <w:r w:rsidRPr="00A52585">
        <w:rPr>
          <w:rFonts w:hint="cs"/>
          <w:rtl/>
        </w:rPr>
        <w:t>اليد وبسطها</w:t>
      </w:r>
      <w:r w:rsidRPr="00A52585">
        <w:rPr>
          <w:rFonts w:hint="cs"/>
        </w:rPr>
        <w:t xml:space="preserve"> </w:t>
      </w:r>
      <w:r w:rsidRPr="00A52585">
        <w:rPr>
          <w:rFonts w:hint="cs"/>
          <w:rtl/>
        </w:rPr>
        <w:t>مجاز</w:t>
      </w:r>
      <w:r w:rsidRPr="00A52585">
        <w:rPr>
          <w:rFonts w:hint="cs"/>
        </w:rPr>
        <w:t xml:space="preserve"> </w:t>
      </w:r>
      <w:r w:rsidRPr="00A52585">
        <w:rPr>
          <w:rFonts w:hint="cs"/>
          <w:rtl/>
        </w:rPr>
        <w:t xml:space="preserve">عن البخل والجود ومنه قوله تعالى آمراً نبيه صلى الله عليه وسلم </w:t>
      </w:r>
      <w:r w:rsidR="0002035C" w:rsidRPr="00A52585">
        <w:rPr>
          <w:rFonts w:hint="cs"/>
          <w:rtl/>
        </w:rPr>
        <w:t>(</w:t>
      </w:r>
      <w:r w:rsidRPr="00A52585">
        <w:rPr>
          <w:rFonts w:hint="cs"/>
          <w:rtl/>
        </w:rPr>
        <w:t>ولا تجعل يدك مغلولة</w:t>
      </w:r>
      <w:r w:rsidRPr="00A52585">
        <w:rPr>
          <w:rFonts w:hint="cs"/>
        </w:rPr>
        <w:t xml:space="preserve"> </w:t>
      </w:r>
      <w:r w:rsidRPr="00A52585">
        <w:rPr>
          <w:rFonts w:hint="cs"/>
          <w:rtl/>
        </w:rPr>
        <w:t>إلى عنقك ولا تبسطها</w:t>
      </w:r>
      <w:r w:rsidRPr="00A52585">
        <w:rPr>
          <w:rFonts w:hint="cs"/>
        </w:rPr>
        <w:t xml:space="preserve"> </w:t>
      </w:r>
      <w:r w:rsidRPr="00A52585">
        <w:rPr>
          <w:rFonts w:hint="cs"/>
          <w:rtl/>
        </w:rPr>
        <w:t>كل</w:t>
      </w:r>
      <w:r w:rsidRPr="00A52585">
        <w:rPr>
          <w:rFonts w:hint="cs"/>
        </w:rPr>
        <w:t xml:space="preserve"> </w:t>
      </w:r>
      <w:r w:rsidRPr="00A52585">
        <w:rPr>
          <w:rFonts w:hint="cs"/>
          <w:rtl/>
        </w:rPr>
        <w:t>البسط</w:t>
      </w:r>
      <w:r w:rsidR="0002035C" w:rsidRPr="00A52585">
        <w:rPr>
          <w:rFonts w:hint="cs"/>
          <w:rtl/>
        </w:rPr>
        <w:t>)</w:t>
      </w:r>
      <w:r w:rsidRPr="00A52585">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DB731D" w:rsidRPr="00A52585">
        <w:rPr>
          <w:rFonts w:hint="cs"/>
          <w:rtl/>
        </w:rPr>
        <w:t>،</w:t>
      </w:r>
      <w:r w:rsidRPr="00A52585">
        <w:rPr>
          <w:rFonts w:hint="cs"/>
          <w:rtl/>
        </w:rPr>
        <w:t xml:space="preserve"> وإنما الأمر بالقصد في الإنفاق</w:t>
      </w:r>
      <w:r w:rsidR="00DB731D" w:rsidRPr="00A52585">
        <w:rPr>
          <w:rFonts w:hint="cs"/>
          <w:rtl/>
        </w:rPr>
        <w:t>،</w:t>
      </w:r>
      <w:r w:rsidRPr="00A52585">
        <w:rPr>
          <w:rFonts w:hint="cs"/>
          <w:rtl/>
        </w:rPr>
        <w:t xml:space="preserve"> وهكذا هاهنا</w:t>
      </w:r>
      <w:r w:rsidR="00DB731D" w:rsidRPr="00A52585">
        <w:rPr>
          <w:rFonts w:hint="cs"/>
          <w:rtl/>
        </w:rPr>
        <w:t>،</w:t>
      </w:r>
      <w:r w:rsidRPr="00A52585">
        <w:rPr>
          <w:rFonts w:hint="cs"/>
          <w:rtl/>
        </w:rPr>
        <w:t xml:space="preserve"> فالمقصود من غل اليد وبسطها</w:t>
      </w:r>
      <w:r w:rsidRPr="00A52585">
        <w:rPr>
          <w:rFonts w:hint="cs"/>
        </w:rPr>
        <w:t xml:space="preserve"> </w:t>
      </w:r>
      <w:r w:rsidRPr="00A52585">
        <w:rPr>
          <w:rFonts w:hint="cs"/>
          <w:rtl/>
        </w:rPr>
        <w:t>المجاز</w:t>
      </w:r>
      <w:r w:rsidRPr="00A52585">
        <w:rPr>
          <w:rFonts w:hint="cs"/>
        </w:rPr>
        <w:t xml:space="preserve"> </w:t>
      </w:r>
      <w:r w:rsidRPr="00A52585">
        <w:rPr>
          <w:rFonts w:hint="cs"/>
          <w:rtl/>
        </w:rPr>
        <w:t>عن محض البخل والجود من غير قصد في ذلك إلى إثبات يد</w:t>
      </w:r>
      <w:r w:rsidRPr="00A52585">
        <w:rPr>
          <w:rFonts w:hint="cs"/>
        </w:rPr>
        <w:t xml:space="preserve"> </w:t>
      </w:r>
      <w:r w:rsidRPr="00A52585">
        <w:rPr>
          <w:rFonts w:hint="cs"/>
          <w:rtl/>
        </w:rPr>
        <w:t>أو غل أو بسط</w:t>
      </w:r>
      <w:r w:rsidR="00DB731D" w:rsidRPr="00A52585">
        <w:rPr>
          <w:rFonts w:hint="cs"/>
          <w:rtl/>
        </w:rPr>
        <w:t>،</w:t>
      </w:r>
      <w:r w:rsidRPr="00A52585">
        <w:rPr>
          <w:rFonts w:hint="cs"/>
          <w:rtl/>
        </w:rPr>
        <w:t xml:space="preserve"> ومعنى الآيات</w:t>
      </w:r>
      <w:r w:rsidR="0002035C" w:rsidRPr="00A52585">
        <w:rPr>
          <w:rFonts w:hint="cs"/>
          <w:rtl/>
        </w:rPr>
        <w:t>:</w:t>
      </w:r>
      <w:r w:rsidRPr="00A52585">
        <w:rPr>
          <w:rFonts w:hint="cs"/>
          <w:rtl/>
        </w:rPr>
        <w:t xml:space="preserve"> أن</w:t>
      </w:r>
      <w:r w:rsidR="0002035C" w:rsidRPr="00A52585">
        <w:rPr>
          <w:rFonts w:hint="cs"/>
          <w:rtl/>
        </w:rPr>
        <w:t xml:space="preserve"> </w:t>
      </w:r>
      <w:r w:rsidRPr="00A52585">
        <w:rPr>
          <w:rFonts w:hint="cs"/>
          <w:rtl/>
        </w:rPr>
        <w:t>اليهود</w:t>
      </w:r>
      <w:r w:rsidRPr="00A52585">
        <w:rPr>
          <w:rFonts w:hint="cs"/>
        </w:rPr>
        <w:t xml:space="preserve"> </w:t>
      </w:r>
      <w:r w:rsidRPr="00A52585">
        <w:rPr>
          <w:rFonts w:hint="cs"/>
          <w:rtl/>
        </w:rPr>
        <w:t>لعنهم الله عز وجل</w:t>
      </w:r>
      <w:r w:rsidR="0002035C" w:rsidRPr="00A52585">
        <w:rPr>
          <w:rFonts w:hint="cs"/>
          <w:rtl/>
        </w:rPr>
        <w:t xml:space="preserve"> </w:t>
      </w:r>
      <w:r w:rsidRPr="00A52585">
        <w:rPr>
          <w:rFonts w:hint="cs"/>
          <w:rtl/>
        </w:rPr>
        <w:t>قالوا على جهة الوصف بالبخل يد الله مغلولة فرد الله تعالى عليهم بقوله (بل يداه مبسوطتان</w:t>
      </w:r>
      <w:r w:rsidR="0002035C" w:rsidRPr="00A52585">
        <w:rPr>
          <w:rFonts w:hint="cs"/>
          <w:rtl/>
        </w:rPr>
        <w:t>)</w:t>
      </w:r>
      <w:r w:rsidRPr="00A52585">
        <w:rPr>
          <w:rFonts w:hint="cs"/>
          <w:rtl/>
        </w:rPr>
        <w:t xml:space="preserve"> معناه أي كلا ليس كذلك بل هو في غاية ما يكون من الجود</w:t>
      </w:r>
      <w:r w:rsidRPr="00A52585">
        <w:rPr>
          <w:rFonts w:hint="cs"/>
        </w:rPr>
        <w:t xml:space="preserve"> </w:t>
      </w:r>
      <w:r w:rsidRPr="00A52585">
        <w:rPr>
          <w:rFonts w:hint="cs"/>
          <w:rtl/>
        </w:rPr>
        <w:t>والإنعام</w:t>
      </w:r>
      <w:r w:rsidR="00DB731D" w:rsidRPr="00A52585">
        <w:rPr>
          <w:rFonts w:hint="cs"/>
          <w:rtl/>
        </w:rPr>
        <w:t>،</w:t>
      </w:r>
      <w:r w:rsidRPr="00A52585">
        <w:rPr>
          <w:rFonts w:hint="cs"/>
          <w:rtl/>
        </w:rPr>
        <w:t xml:space="preserve"> فإن قيل لم ثنيت اليد في قوله تعالى </w:t>
      </w:r>
      <w:r w:rsidR="0002035C" w:rsidRPr="00A52585">
        <w:rPr>
          <w:rFonts w:hint="cs"/>
          <w:rtl/>
        </w:rPr>
        <w:t>{</w:t>
      </w:r>
      <w:r w:rsidRPr="00A52585">
        <w:rPr>
          <w:rFonts w:hint="cs"/>
          <w:rtl/>
        </w:rPr>
        <w:t>بل يداه مبسوطتان</w:t>
      </w:r>
      <w:r w:rsidR="0002035C" w:rsidRPr="00A52585">
        <w:rPr>
          <w:rFonts w:hint="cs"/>
          <w:rtl/>
        </w:rPr>
        <w:t>}</w:t>
      </w:r>
      <w:r w:rsidR="00F95886"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ثنيت اليد ليكون أبلغ وأدل على إثبات</w:t>
      </w:r>
      <w:r w:rsidRPr="00A52585">
        <w:rPr>
          <w:rFonts w:hint="cs"/>
        </w:rPr>
        <w:t xml:space="preserve"> </w:t>
      </w:r>
      <w:r w:rsidRPr="00A52585">
        <w:rPr>
          <w:rFonts w:hint="cs"/>
          <w:rtl/>
        </w:rPr>
        <w:t>غاية السخاء</w:t>
      </w:r>
      <w:r w:rsidRPr="00A52585">
        <w:rPr>
          <w:rFonts w:hint="cs"/>
        </w:rPr>
        <w:t xml:space="preserve"> </w:t>
      </w:r>
      <w:r w:rsidRPr="00A52585">
        <w:rPr>
          <w:rFonts w:hint="cs"/>
          <w:rtl/>
        </w:rPr>
        <w:t>له ونفى البخل عنه</w:t>
      </w:r>
      <w:r w:rsidR="00DB731D" w:rsidRPr="00A52585">
        <w:rPr>
          <w:rFonts w:hint="cs"/>
          <w:rtl/>
        </w:rPr>
        <w:t>،</w:t>
      </w:r>
      <w:r w:rsidRPr="00A52585">
        <w:rPr>
          <w:rFonts w:hint="cs"/>
          <w:rtl/>
        </w:rPr>
        <w:t xml:space="preserve"> فإن أقصى ما ينتهي إليه همم الأسخياء من الوصف بالمبالغة في الجود</w:t>
      </w:r>
      <w:r w:rsidRPr="00A52585">
        <w:rPr>
          <w:rFonts w:hint="cs"/>
        </w:rPr>
        <w:t xml:space="preserve"> </w:t>
      </w:r>
      <w:r w:rsidRPr="00A52585">
        <w:rPr>
          <w:rFonts w:hint="cs"/>
          <w:rtl/>
        </w:rPr>
        <w:t>والإنعام أن يعطوا ما يعطونه</w:t>
      </w:r>
      <w:r w:rsidRPr="00A52585">
        <w:rPr>
          <w:rFonts w:hint="cs"/>
        </w:rPr>
        <w:t xml:space="preserve"> </w:t>
      </w:r>
      <w:r w:rsidRPr="00A52585">
        <w:rPr>
          <w:rFonts w:hint="cs"/>
          <w:rtl/>
        </w:rPr>
        <w:t>بكلتا يديهم</w:t>
      </w:r>
      <w:r w:rsidR="00DB731D" w:rsidRPr="00A52585">
        <w:rPr>
          <w:rFonts w:hint="cs"/>
          <w:rtl/>
        </w:rPr>
        <w:t>،</w:t>
      </w:r>
      <w:r w:rsidRPr="00A52585">
        <w:rPr>
          <w:rFonts w:hint="cs"/>
          <w:rtl/>
        </w:rPr>
        <w:t xml:space="preserve"> فالآية من باب الاستعارة التمثيلية ومن نظر في علم البيان والبلاغة لا يصعب عليه تصور ذلك أبدا</w:t>
      </w:r>
      <w:r w:rsidR="00DB731D" w:rsidRPr="00A52585">
        <w:rPr>
          <w:rFonts w:hint="cs"/>
          <w:rtl/>
        </w:rPr>
        <w:t>،</w:t>
      </w:r>
      <w:r w:rsidRPr="00A52585">
        <w:rPr>
          <w:rFonts w:hint="cs"/>
          <w:rtl/>
        </w:rPr>
        <w:t xml:space="preserve"> </w:t>
      </w:r>
      <w:r w:rsidRPr="00A52585">
        <w:rPr>
          <w:rFonts w:hint="cs"/>
          <w:bCs/>
          <w:rtl/>
        </w:rPr>
        <w:t>قال الشوكاني</w:t>
      </w:r>
      <w:r w:rsidRPr="00A52585">
        <w:rPr>
          <w:rFonts w:hint="cs"/>
          <w:rtl/>
        </w:rPr>
        <w:t xml:space="preserve"> في تفسير الآية</w:t>
      </w:r>
      <w:r w:rsidR="0002035C" w:rsidRPr="00A52585">
        <w:rPr>
          <w:rFonts w:hint="cs"/>
          <w:rtl/>
        </w:rPr>
        <w:t>:</w:t>
      </w:r>
      <w:r w:rsidRPr="00A52585">
        <w:rPr>
          <w:rFonts w:hint="cs"/>
          <w:rtl/>
        </w:rPr>
        <w:t xml:space="preserve"> " قوله</w:t>
      </w:r>
      <w:r w:rsidR="0002035C" w:rsidRPr="00A52585">
        <w:rPr>
          <w:rFonts w:hint="cs"/>
          <w:rtl/>
        </w:rPr>
        <w:t xml:space="preserve"> (</w:t>
      </w:r>
      <w:r w:rsidRPr="00A52585">
        <w:rPr>
          <w:rFonts w:hint="cs"/>
          <w:rtl/>
        </w:rPr>
        <w:t>يد الله مغلولة</w:t>
      </w:r>
      <w:r w:rsidR="0002035C" w:rsidRPr="00A52585">
        <w:rPr>
          <w:rFonts w:hint="cs"/>
          <w:rtl/>
        </w:rPr>
        <w:t>)</w:t>
      </w:r>
      <w:r w:rsidR="00897A24" w:rsidRPr="00A52585">
        <w:rPr>
          <w:rFonts w:hint="cs"/>
          <w:rtl/>
        </w:rPr>
        <w:t>.</w:t>
      </w:r>
      <w:r w:rsidRPr="00A52585">
        <w:rPr>
          <w:rFonts w:hint="cs"/>
          <w:rtl/>
        </w:rPr>
        <w:t xml:space="preserve">.وهذه الآية </w:t>
      </w:r>
      <w:proofErr w:type="spellStart"/>
      <w:r w:rsidRPr="00A52585">
        <w:rPr>
          <w:rFonts w:hint="cs"/>
          <w:rtl/>
        </w:rPr>
        <w:t>هى</w:t>
      </w:r>
      <w:proofErr w:type="spellEnd"/>
      <w:r w:rsidRPr="00A52585">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Pr="00A52585">
        <w:rPr>
          <w:rFonts w:hint="cs"/>
          <w:rtl/>
          <w:lang w:bidi="ar-KW"/>
        </w:rPr>
        <w:t>[</w:t>
      </w:r>
      <w:r w:rsidRPr="00A52585">
        <w:rPr>
          <w:rFonts w:hint="cs"/>
          <w:rtl/>
        </w:rPr>
        <w:t>فتح القدير ج: 2 ص: 57</w:t>
      </w:r>
      <w:r w:rsidRPr="00A52585">
        <w:rPr>
          <w:rFonts w:hint="cs"/>
          <w:rtl/>
          <w:lang w:bidi="ar-KW"/>
        </w:rPr>
        <w:t>]</w:t>
      </w:r>
      <w:r w:rsidRPr="00A52585">
        <w:rPr>
          <w:rFonts w:hint="cs"/>
          <w:rtl/>
        </w:rPr>
        <w:t xml:space="preserve"> أهـ</w:t>
      </w:r>
    </w:p>
    <w:p w14:paraId="3DB569E7" w14:textId="543656D0" w:rsidR="00777DCB" w:rsidRPr="00A52585" w:rsidRDefault="00777DCB" w:rsidP="0002035C">
      <w:pPr>
        <w:rPr>
          <w:rtl/>
        </w:rPr>
      </w:pPr>
      <w:r w:rsidRPr="00A52585">
        <w:rPr>
          <w:rFonts w:hint="cs"/>
          <w:bCs/>
          <w:rtl/>
        </w:rPr>
        <w:t>ومن أقوال المفسرين حول الآية</w:t>
      </w:r>
      <w:r w:rsidR="0002035C" w:rsidRPr="00A52585">
        <w:rPr>
          <w:rFonts w:hint="cs"/>
          <w:rtl/>
        </w:rPr>
        <w:t>:</w:t>
      </w:r>
      <w:r w:rsidRPr="00A52585">
        <w:rPr>
          <w:rFonts w:hint="cs"/>
          <w:rtl/>
        </w:rPr>
        <w:t xml:space="preserve"> قال الواحدي</w:t>
      </w:r>
      <w:r w:rsidR="0002035C" w:rsidRPr="00A52585">
        <w:rPr>
          <w:rFonts w:hint="cs"/>
          <w:rtl/>
        </w:rPr>
        <w:t>:</w:t>
      </w:r>
      <w:r w:rsidRPr="00A52585">
        <w:rPr>
          <w:rFonts w:hint="cs"/>
          <w:rtl/>
        </w:rPr>
        <w:t xml:space="preserve"> " وقالت اليهود يد الله مغلولة مقبوضة عن العطاء وإسباغ النعم </w:t>
      </w:r>
      <w:proofErr w:type="spellStart"/>
      <w:r w:rsidRPr="00A52585">
        <w:rPr>
          <w:rFonts w:hint="cs"/>
          <w:rtl/>
        </w:rPr>
        <w:t>علينا</w:t>
      </w:r>
      <w:r w:rsidR="00897A24" w:rsidRPr="00A52585">
        <w:rPr>
          <w:rFonts w:hint="cs"/>
          <w:rtl/>
        </w:rPr>
        <w:t>.</w:t>
      </w:r>
      <w:r w:rsidRPr="00A52585">
        <w:rPr>
          <w:rFonts w:hint="cs"/>
          <w:rtl/>
        </w:rPr>
        <w:t>.فقالوا</w:t>
      </w:r>
      <w:proofErr w:type="spellEnd"/>
      <w:r w:rsidRPr="00A52585">
        <w:rPr>
          <w:rFonts w:hint="cs"/>
          <w:rtl/>
        </w:rPr>
        <w:t xml:space="preserve"> لعنهم الله على جهة الوصف بالبخل يد الله مغلولة وقوله غلت أيديهم أي جعلوا بخلاء وألزموا البخل فهم أبخل قوم ولعنوا بما قالوا بل</w:t>
      </w:r>
      <w:r w:rsidRPr="00A52585">
        <w:rPr>
          <w:rFonts w:hint="cs"/>
        </w:rPr>
        <w:t xml:space="preserve"> </w:t>
      </w:r>
      <w:r w:rsidRPr="00A52585">
        <w:rPr>
          <w:rFonts w:hint="cs"/>
          <w:rtl/>
        </w:rPr>
        <w:t>يداه مبسوطتان قيل معناه الوصف بالمبالغة في الجود</w:t>
      </w:r>
      <w:r w:rsidRPr="00A52585">
        <w:rPr>
          <w:rFonts w:hint="cs"/>
        </w:rPr>
        <w:t xml:space="preserve"> </w:t>
      </w:r>
      <w:r w:rsidRPr="00A52585">
        <w:rPr>
          <w:rFonts w:hint="cs"/>
          <w:rtl/>
        </w:rPr>
        <w:t>والإنعام وقيل معناه نعمه مبسوطة ودلت التثنية على الكثرة كقولهم لبيك وسعديك</w:t>
      </w:r>
      <w:r w:rsidRPr="00A52585">
        <w:rPr>
          <w:rFonts w:hint="cs"/>
        </w:rPr>
        <w:t xml:space="preserve"> </w:t>
      </w:r>
      <w:r w:rsidRPr="00A52585">
        <w:rPr>
          <w:rFonts w:hint="cs"/>
          <w:rtl/>
        </w:rPr>
        <w:t>وقيل نعمتاه أي نعمة الدنيا ونعمة الاخرة مبسوطتان ينفق كيف يشاء يرزق كما يريد</w:t>
      </w:r>
      <w:r w:rsidRPr="00A52585">
        <w:rPr>
          <w:rFonts w:hint="cs"/>
        </w:rPr>
        <w:t xml:space="preserve"> </w:t>
      </w:r>
      <w:r w:rsidRPr="00A52585">
        <w:rPr>
          <w:rFonts w:hint="cs"/>
          <w:rtl/>
        </w:rPr>
        <w:t>إن شاء قتر وإن شاء وسع " [تفسير الواحدي ج: 1 ص: 327] أهـ</w:t>
      </w:r>
      <w:r w:rsidR="00DB731D" w:rsidRPr="00A52585">
        <w:rPr>
          <w:rFonts w:hint="cs"/>
          <w:rtl/>
        </w:rPr>
        <w:t>،</w:t>
      </w:r>
      <w:r w:rsidRPr="00A52585">
        <w:rPr>
          <w:rFonts w:hint="cs"/>
          <w:rtl/>
        </w:rPr>
        <w:t xml:space="preserve"> وقال أبو</w:t>
      </w:r>
      <w:r w:rsidRPr="00A52585">
        <w:rPr>
          <w:rFonts w:hint="cs"/>
        </w:rPr>
        <w:t xml:space="preserve"> </w:t>
      </w:r>
      <w:r w:rsidRPr="00A52585">
        <w:rPr>
          <w:rFonts w:hint="cs"/>
          <w:rtl/>
        </w:rPr>
        <w:t>السعود "</w:t>
      </w:r>
      <w:r w:rsidR="0002035C" w:rsidRPr="00A52585">
        <w:rPr>
          <w:rFonts w:hint="cs"/>
          <w:rtl/>
        </w:rPr>
        <w:t xml:space="preserve"> </w:t>
      </w:r>
      <w:r w:rsidRPr="00A52585">
        <w:rPr>
          <w:rFonts w:hint="cs"/>
          <w:rtl/>
        </w:rPr>
        <w:t>فإن</w:t>
      </w:r>
      <w:r w:rsidRPr="00A52585">
        <w:rPr>
          <w:rFonts w:hint="cs"/>
        </w:rPr>
        <w:t xml:space="preserve"> </w:t>
      </w:r>
      <w:r w:rsidRPr="00A52585">
        <w:rPr>
          <w:rFonts w:hint="cs"/>
          <w:rtl/>
        </w:rPr>
        <w:t>كلا من غل اليد وبسطها</w:t>
      </w:r>
      <w:r w:rsidRPr="00A52585">
        <w:rPr>
          <w:rFonts w:hint="cs"/>
        </w:rPr>
        <w:t xml:space="preserve"> </w:t>
      </w:r>
      <w:r w:rsidRPr="00A52585">
        <w:rPr>
          <w:rFonts w:hint="cs"/>
          <w:rtl/>
        </w:rPr>
        <w:t>مجاز عن محض البخل والجود من غير قصد في ذلك إلى إثبات يد وغل أو بسط</w:t>
      </w:r>
      <w:r w:rsidR="00897A24" w:rsidRPr="00A52585">
        <w:rPr>
          <w:rFonts w:hint="cs"/>
          <w:rtl/>
        </w:rPr>
        <w:t>.</w:t>
      </w:r>
      <w:r w:rsidRPr="00A52585">
        <w:rPr>
          <w:rFonts w:hint="cs"/>
          <w:rtl/>
        </w:rPr>
        <w:t>.(يداه مبسوطتان</w:t>
      </w:r>
      <w:r w:rsidR="0002035C" w:rsidRPr="00A52585">
        <w:rPr>
          <w:rFonts w:hint="cs"/>
          <w:rtl/>
        </w:rPr>
        <w:t>)</w:t>
      </w:r>
      <w:r w:rsidRPr="00A52585">
        <w:rPr>
          <w:rFonts w:hint="cs"/>
          <w:rtl/>
        </w:rPr>
        <w:t xml:space="preserve"> عطف على مقدر يقتضيه المقام أي كلا ليس كذلك بل هو في غاية ما يكون من الجود</w:t>
      </w:r>
      <w:r w:rsidRPr="00A52585">
        <w:rPr>
          <w:rFonts w:hint="cs"/>
        </w:rPr>
        <w:t xml:space="preserve"> </w:t>
      </w:r>
      <w:r w:rsidRPr="00A52585">
        <w:rPr>
          <w:rFonts w:hint="cs"/>
          <w:rtl/>
        </w:rPr>
        <w:t>وإليه أشير بتثنية اليد فإن أقصى ما ينتهي إليه همم الأسخياء أن يعطوا ما يعطونه</w:t>
      </w:r>
      <w:r w:rsidRPr="00A52585">
        <w:rPr>
          <w:rFonts w:hint="cs"/>
        </w:rPr>
        <w:t xml:space="preserve"> </w:t>
      </w:r>
      <w:r w:rsidRPr="00A52585">
        <w:rPr>
          <w:rFonts w:hint="cs"/>
          <w:rtl/>
        </w:rPr>
        <w:t>بكلتا يديهم وقيل التثنية للتنبيه على منحه تعالى لنعمتي الدنيا والآخرة " [تفسير أبي السعود ج: 3 ص: 58] أهـ</w:t>
      </w:r>
      <w:r w:rsidR="00DB731D" w:rsidRPr="00A52585">
        <w:rPr>
          <w:rFonts w:hint="cs"/>
          <w:rtl/>
        </w:rPr>
        <w:t>،</w:t>
      </w:r>
      <w:r w:rsidRPr="00A52585">
        <w:rPr>
          <w:rFonts w:hint="cs"/>
          <w:rtl/>
        </w:rPr>
        <w:t xml:space="preserve"> وقال القاضي</w:t>
      </w:r>
      <w:r w:rsidRPr="00A52585">
        <w:rPr>
          <w:rFonts w:hint="cs"/>
        </w:rPr>
        <w:t xml:space="preserve"> </w:t>
      </w:r>
      <w:r w:rsidRPr="00A52585">
        <w:rPr>
          <w:rFonts w:hint="cs"/>
          <w:rtl/>
        </w:rPr>
        <w:t xml:space="preserve">البيضاوي " </w:t>
      </w:r>
      <w:r w:rsidR="0002035C" w:rsidRPr="00A52585">
        <w:rPr>
          <w:rFonts w:hint="cs"/>
          <w:rtl/>
        </w:rPr>
        <w:t>(</w:t>
      </w:r>
      <w:r w:rsidRPr="00A52585">
        <w:rPr>
          <w:rFonts w:hint="cs"/>
          <w:rtl/>
        </w:rPr>
        <w:t>وقالت اليهود يد الله مغلولة</w:t>
      </w:r>
      <w:r w:rsidR="0002035C" w:rsidRPr="00A52585">
        <w:rPr>
          <w:rFonts w:hint="cs"/>
          <w:rtl/>
        </w:rPr>
        <w:t>)</w:t>
      </w:r>
      <w:r w:rsidRPr="00A52585">
        <w:rPr>
          <w:rFonts w:hint="cs"/>
          <w:rtl/>
        </w:rPr>
        <w:t xml:space="preserve"> أي هو ممسك يقتر بالرزق وغل</w:t>
      </w:r>
      <w:r w:rsidRPr="00A52585">
        <w:rPr>
          <w:rFonts w:hint="cs"/>
        </w:rPr>
        <w:t xml:space="preserve"> </w:t>
      </w:r>
      <w:r w:rsidRPr="00A52585">
        <w:rPr>
          <w:rFonts w:hint="cs"/>
          <w:rtl/>
        </w:rPr>
        <w:t xml:space="preserve">اليد وبسطها مجاز عن البخل والجود </w:t>
      </w:r>
      <w:r w:rsidRPr="00A52585">
        <w:rPr>
          <w:rFonts w:hint="cs"/>
          <w:rtl/>
        </w:rPr>
        <w:lastRenderedPageBreak/>
        <w:t>ولا قصد فيه إلى إثبات يد وغل وبسط ولذلك يستعمل</w:t>
      </w:r>
      <w:r w:rsidRPr="00A52585">
        <w:rPr>
          <w:rFonts w:hint="cs"/>
        </w:rPr>
        <w:t xml:space="preserve"> </w:t>
      </w:r>
      <w:r w:rsidRPr="00A52585">
        <w:rPr>
          <w:rFonts w:hint="cs"/>
          <w:rtl/>
        </w:rPr>
        <w:t>حيث لا يتصور ذلك كقوله جاد الحمى بسط اليدين بوابل شكرت نداه تلاعه ووهاده ونظيره</w:t>
      </w:r>
      <w:r w:rsidRPr="00A52585">
        <w:rPr>
          <w:rFonts w:hint="cs"/>
        </w:rPr>
        <w:t xml:space="preserve"> </w:t>
      </w:r>
      <w:r w:rsidRPr="00A52585">
        <w:rPr>
          <w:rFonts w:hint="cs"/>
          <w:rtl/>
        </w:rPr>
        <w:t>من المجازات المركبة شابت لمة الليل</w:t>
      </w:r>
      <w:r w:rsidR="00897A24" w:rsidRPr="00A52585">
        <w:rPr>
          <w:rFonts w:hint="cs"/>
          <w:rtl/>
        </w:rPr>
        <w:t>.</w:t>
      </w:r>
      <w:r w:rsidRPr="00A52585">
        <w:rPr>
          <w:rFonts w:hint="cs"/>
          <w:rtl/>
        </w:rPr>
        <w:t>.</w:t>
      </w:r>
      <w:r w:rsidR="0002035C" w:rsidRPr="00A52585">
        <w:rPr>
          <w:rFonts w:hint="cs"/>
          <w:rtl/>
        </w:rPr>
        <w:t>(</w:t>
      </w:r>
      <w:r w:rsidRPr="00A52585">
        <w:rPr>
          <w:rFonts w:hint="cs"/>
          <w:rtl/>
        </w:rPr>
        <w:t>بل يداه</w:t>
      </w:r>
      <w:r w:rsidRPr="00A52585">
        <w:rPr>
          <w:rFonts w:hint="cs"/>
        </w:rPr>
        <w:t xml:space="preserve"> </w:t>
      </w:r>
      <w:r w:rsidRPr="00A52585">
        <w:rPr>
          <w:rFonts w:hint="cs"/>
          <w:rtl/>
        </w:rPr>
        <w:t>مبسوطتان</w:t>
      </w:r>
      <w:r w:rsidR="0002035C" w:rsidRPr="00A52585">
        <w:rPr>
          <w:rFonts w:hint="cs"/>
          <w:rtl/>
        </w:rPr>
        <w:t xml:space="preserve">) </w:t>
      </w:r>
      <w:r w:rsidRPr="00A52585">
        <w:rPr>
          <w:rFonts w:hint="cs"/>
          <w:rtl/>
        </w:rPr>
        <w:t>ثنى اليد</w:t>
      </w:r>
      <w:r w:rsidRPr="00A52585">
        <w:rPr>
          <w:rFonts w:hint="cs"/>
        </w:rPr>
        <w:t xml:space="preserve"> </w:t>
      </w:r>
      <w:r w:rsidRPr="00A52585">
        <w:rPr>
          <w:rFonts w:hint="cs"/>
          <w:rtl/>
        </w:rPr>
        <w:t>مبالغة في الرد ونفي البخل " [تفسير البيضاوي ج: 2 ص: 345] أهـ</w:t>
      </w:r>
      <w:r w:rsidR="00DB731D" w:rsidRPr="00A52585">
        <w:rPr>
          <w:rFonts w:hint="cs"/>
          <w:rtl/>
        </w:rPr>
        <w:t>،</w:t>
      </w:r>
      <w:r w:rsidRPr="00A52585">
        <w:rPr>
          <w:rFonts w:hint="cs"/>
          <w:rtl/>
        </w:rPr>
        <w:t xml:space="preserve"> وقال الزركشي</w:t>
      </w:r>
      <w:r w:rsidR="0002035C" w:rsidRPr="00A52585">
        <w:rPr>
          <w:rFonts w:hint="cs"/>
          <w:rtl/>
        </w:rPr>
        <w:t>:</w:t>
      </w:r>
      <w:r w:rsidRPr="00A52585">
        <w:rPr>
          <w:rFonts w:hint="cs"/>
          <w:rtl/>
        </w:rPr>
        <w:t xml:space="preserve"> "وقوله (بل يداه مبسوطتان</w:t>
      </w:r>
      <w:r w:rsidR="0002035C" w:rsidRPr="00A52585">
        <w:rPr>
          <w:rFonts w:hint="cs"/>
          <w:rtl/>
        </w:rPr>
        <w:t xml:space="preserve">) </w:t>
      </w:r>
      <w:r w:rsidRPr="00A52585">
        <w:rPr>
          <w:rFonts w:hint="cs"/>
          <w:rtl/>
        </w:rPr>
        <w:t>كناية عن كرمه وثنى اليد وان أفردت في أول الآية ليكون ابلغ في السخاء والجود " [البرهان في علوم القرآن ج: 2 ص: 308] أهـ</w:t>
      </w:r>
      <w:r w:rsidR="00DB731D" w:rsidRPr="00A52585">
        <w:rPr>
          <w:rFonts w:hint="cs"/>
          <w:rtl/>
        </w:rPr>
        <w:t>،</w:t>
      </w:r>
      <w:r w:rsidRPr="00A52585">
        <w:rPr>
          <w:rFonts w:hint="cs"/>
          <w:rtl/>
        </w:rPr>
        <w:t xml:space="preserve"> وقال النسفي</w:t>
      </w:r>
      <w:r w:rsidR="0002035C" w:rsidRPr="00A52585">
        <w:rPr>
          <w:rFonts w:hint="cs"/>
          <w:rtl/>
        </w:rPr>
        <w:t>:</w:t>
      </w:r>
      <w:r w:rsidRPr="00A52585">
        <w:rPr>
          <w:rFonts w:hint="cs"/>
          <w:rtl/>
        </w:rPr>
        <w:t xml:space="preserve"> "</w:t>
      </w:r>
      <w:r w:rsidRPr="00A52585">
        <w:rPr>
          <w:rFonts w:hint="cs"/>
        </w:rPr>
        <w:t xml:space="preserve"> </w:t>
      </w:r>
      <w:r w:rsidRPr="00A52585">
        <w:rPr>
          <w:rFonts w:hint="cs"/>
          <w:rtl/>
        </w:rPr>
        <w:t>وغل</w:t>
      </w:r>
      <w:r w:rsidRPr="00A52585">
        <w:rPr>
          <w:rFonts w:hint="cs"/>
        </w:rPr>
        <w:t xml:space="preserve"> </w:t>
      </w:r>
      <w:r w:rsidRPr="00A52585">
        <w:rPr>
          <w:rFonts w:hint="cs"/>
          <w:rtl/>
        </w:rPr>
        <w:t>اليد وبسطها</w:t>
      </w:r>
      <w:r w:rsidRPr="00A52585">
        <w:rPr>
          <w:rFonts w:hint="cs"/>
        </w:rPr>
        <w:t xml:space="preserve"> </w:t>
      </w:r>
      <w:r w:rsidRPr="00A52585">
        <w:rPr>
          <w:rFonts w:hint="cs"/>
          <w:rtl/>
        </w:rPr>
        <w:t>مجاز عن البخل والجود ومنه قوله تعالى ولا تجعل يدك مغلولة إلى عنقك ولا تبسطها</w:t>
      </w:r>
      <w:r w:rsidRPr="00A52585">
        <w:rPr>
          <w:rFonts w:hint="cs"/>
        </w:rPr>
        <w:t xml:space="preserve"> </w:t>
      </w:r>
      <w:r w:rsidRPr="00A52585">
        <w:rPr>
          <w:rFonts w:hint="cs"/>
          <w:rtl/>
        </w:rPr>
        <w:t>كل البسط ولا يقصد المتكلم به إثبات يد ولا غل ولا بسط حتى أنه يستعمل في ملك</w:t>
      </w:r>
      <w:r w:rsidRPr="00A52585">
        <w:rPr>
          <w:rFonts w:hint="cs"/>
        </w:rPr>
        <w:t xml:space="preserve"> </w:t>
      </w:r>
      <w:r w:rsidRPr="00A52585">
        <w:rPr>
          <w:rFonts w:hint="cs"/>
          <w:rtl/>
        </w:rPr>
        <w:t>يعطى ويمنع بالإشارة من غير استعمال اليد ولو أعطى الأقطع إلى المنكب عطاء جزلا</w:t>
      </w:r>
      <w:r w:rsidRPr="00A52585">
        <w:rPr>
          <w:rFonts w:hint="cs"/>
        </w:rPr>
        <w:t xml:space="preserve"> </w:t>
      </w:r>
      <w:r w:rsidRPr="00A52585">
        <w:rPr>
          <w:rFonts w:hint="cs"/>
          <w:rtl/>
        </w:rPr>
        <w:t>لقالوا ما أبسط يده بالنوال وقد استعمل حيث لا تصح اليد يقال بسط البأس كفيه في</w:t>
      </w:r>
      <w:r w:rsidRPr="00A52585">
        <w:rPr>
          <w:rFonts w:hint="cs"/>
        </w:rPr>
        <w:t xml:space="preserve"> </w:t>
      </w:r>
      <w:r w:rsidRPr="00A52585">
        <w:rPr>
          <w:rFonts w:hint="cs"/>
          <w:rtl/>
        </w:rPr>
        <w:t>صدري فجعل للبأس الذي هو من المعاني كفان ومن لم ينظر في علم البيان يتحير في تأويل</w:t>
      </w:r>
      <w:r w:rsidRPr="00A52585">
        <w:rPr>
          <w:rFonts w:hint="cs"/>
        </w:rPr>
        <w:t xml:space="preserve"> </w:t>
      </w:r>
      <w:r w:rsidRPr="00A52585">
        <w:rPr>
          <w:rFonts w:hint="cs"/>
          <w:rtl/>
        </w:rPr>
        <w:t>أمثال هذه الآية وقوله غلت أيديهم دعاء عليهم بالبخل ومن ثم كانوا أبخل خلق الله</w:t>
      </w:r>
      <w:r w:rsidRPr="00A52585">
        <w:rPr>
          <w:rFonts w:hint="cs"/>
        </w:rPr>
        <w:t xml:space="preserve"> </w:t>
      </w:r>
      <w:r w:rsidRPr="00A52585">
        <w:rPr>
          <w:rFonts w:hint="cs"/>
          <w:rtl/>
        </w:rPr>
        <w:t>أو تغل في جهنم فهي كأنها غلت و إنما ثنيت اليد في بل يداه مبسوطتان وهى مفردة</w:t>
      </w:r>
      <w:r w:rsidRPr="00A52585">
        <w:rPr>
          <w:rFonts w:hint="cs"/>
        </w:rPr>
        <w:t xml:space="preserve"> </w:t>
      </w:r>
      <w:r w:rsidRPr="00A52585">
        <w:rPr>
          <w:rFonts w:hint="cs"/>
          <w:rtl/>
        </w:rPr>
        <w:t>في يد</w:t>
      </w:r>
      <w:r w:rsidRPr="00A52585">
        <w:rPr>
          <w:rFonts w:hint="cs"/>
        </w:rPr>
        <w:t xml:space="preserve"> </w:t>
      </w:r>
      <w:r w:rsidRPr="00A52585">
        <w:rPr>
          <w:rFonts w:hint="cs"/>
          <w:rtl/>
        </w:rPr>
        <w:t>الله مغلولة</w:t>
      </w:r>
      <w:r w:rsidRPr="00A52585">
        <w:rPr>
          <w:rFonts w:hint="cs"/>
        </w:rPr>
        <w:t xml:space="preserve"> </w:t>
      </w:r>
      <w:r w:rsidRPr="00A52585">
        <w:rPr>
          <w:rFonts w:hint="cs"/>
          <w:rtl/>
        </w:rPr>
        <w:t>ليكون رد قولهم وإنكاره أبلغ وأدل على إثبات</w:t>
      </w:r>
      <w:r w:rsidRPr="00A52585">
        <w:rPr>
          <w:rFonts w:hint="cs"/>
        </w:rPr>
        <w:t xml:space="preserve"> </w:t>
      </w:r>
      <w:r w:rsidRPr="00A52585">
        <w:rPr>
          <w:rFonts w:hint="cs"/>
          <w:rtl/>
        </w:rPr>
        <w:t>غاية السخاء له ونفى البخل عنه "</w:t>
      </w:r>
      <w:r w:rsidRPr="00A52585">
        <w:rPr>
          <w:rFonts w:hint="cs"/>
          <w:rtl/>
          <w:lang w:bidi="ar-KW"/>
        </w:rPr>
        <w:t xml:space="preserve"> [</w:t>
      </w:r>
      <w:r w:rsidRPr="00A52585">
        <w:rPr>
          <w:rFonts w:hint="cs"/>
          <w:rtl/>
        </w:rPr>
        <w:t>تفسير النسفي ج: 1 ص: 291</w:t>
      </w:r>
      <w:r w:rsidRPr="00A52585">
        <w:rPr>
          <w:rFonts w:hint="cs"/>
          <w:rtl/>
          <w:lang w:bidi="ar-KW"/>
        </w:rPr>
        <w:t>]</w:t>
      </w:r>
      <w:r w:rsidRPr="00A52585">
        <w:rPr>
          <w:rFonts w:hint="cs"/>
          <w:rtl/>
        </w:rPr>
        <w:t xml:space="preserve"> أهـ</w:t>
      </w:r>
      <w:r w:rsidR="00DB731D" w:rsidRPr="00A52585">
        <w:rPr>
          <w:rFonts w:hint="cs"/>
          <w:rtl/>
        </w:rPr>
        <w:t>،</w:t>
      </w:r>
      <w:r w:rsidRPr="00A52585">
        <w:rPr>
          <w:rFonts w:hint="cs"/>
          <w:rtl/>
        </w:rPr>
        <w:t xml:space="preserve"> وجاء تفسير</w:t>
      </w:r>
      <w:r w:rsidRPr="00A52585">
        <w:rPr>
          <w:rFonts w:hint="cs"/>
        </w:rPr>
        <w:t xml:space="preserve"> </w:t>
      </w:r>
      <w:r w:rsidRPr="00A52585">
        <w:rPr>
          <w:rFonts w:hint="cs"/>
          <w:rtl/>
        </w:rPr>
        <w:t>الجلالين</w:t>
      </w:r>
      <w:r w:rsidR="0002035C" w:rsidRPr="00A52585">
        <w:rPr>
          <w:rFonts w:hint="cs"/>
          <w:rtl/>
        </w:rPr>
        <w:t xml:space="preserve"> </w:t>
      </w:r>
      <w:r w:rsidRPr="00A52585">
        <w:rPr>
          <w:rFonts w:hint="cs"/>
          <w:rtl/>
        </w:rPr>
        <w:t>" يد</w:t>
      </w:r>
      <w:r w:rsidRPr="00A52585">
        <w:rPr>
          <w:rFonts w:hint="cs"/>
        </w:rPr>
        <w:t xml:space="preserve"> </w:t>
      </w:r>
      <w:r w:rsidRPr="00A52585">
        <w:rPr>
          <w:rFonts w:hint="cs"/>
          <w:rtl/>
        </w:rPr>
        <w:t>الله</w:t>
      </w:r>
      <w:r w:rsidR="0002035C" w:rsidRPr="00A52585">
        <w:rPr>
          <w:rFonts w:hint="cs"/>
          <w:rtl/>
        </w:rPr>
        <w:t xml:space="preserve"> </w:t>
      </w:r>
      <w:r w:rsidRPr="00A52585">
        <w:rPr>
          <w:rFonts w:hint="cs"/>
          <w:rtl/>
        </w:rPr>
        <w:t>مغلولة</w:t>
      </w:r>
      <w:r w:rsidRPr="00A52585">
        <w:rPr>
          <w:rFonts w:hint="cs"/>
        </w:rPr>
        <w:t xml:space="preserve"> </w:t>
      </w:r>
      <w:r w:rsidRPr="00A52585">
        <w:rPr>
          <w:rFonts w:hint="cs"/>
          <w:rtl/>
        </w:rPr>
        <w:t>مقبوضة عن إدرار الرزق علينا كنوا به عن</w:t>
      </w:r>
      <w:r w:rsidRPr="00A52585">
        <w:rPr>
          <w:rFonts w:hint="cs"/>
        </w:rPr>
        <w:t xml:space="preserve"> </w:t>
      </w:r>
      <w:r w:rsidRPr="00A52585">
        <w:rPr>
          <w:rFonts w:hint="cs"/>
          <w:rtl/>
        </w:rPr>
        <w:t>البخل تعالى الله عن ذلك قال تعالى غلت أمسكت أيديهم عن فعل الخيرات دعاء عليهم ولعنوا</w:t>
      </w:r>
      <w:r w:rsidRPr="00A52585">
        <w:rPr>
          <w:rFonts w:hint="cs"/>
        </w:rPr>
        <w:t xml:space="preserve"> </w:t>
      </w:r>
      <w:r w:rsidRPr="00A52585">
        <w:rPr>
          <w:rFonts w:hint="cs"/>
          <w:rtl/>
        </w:rPr>
        <w:t xml:space="preserve">بما قالوا </w:t>
      </w:r>
      <w:r w:rsidR="0002035C" w:rsidRPr="00A52585">
        <w:rPr>
          <w:rFonts w:hint="cs"/>
          <w:rtl/>
        </w:rPr>
        <w:t>(</w:t>
      </w:r>
      <w:r w:rsidRPr="00A52585">
        <w:rPr>
          <w:rFonts w:hint="cs"/>
          <w:rtl/>
        </w:rPr>
        <w:t>بل يداه مبسوطتان</w:t>
      </w:r>
      <w:r w:rsidR="0002035C" w:rsidRPr="00A52585">
        <w:rPr>
          <w:rFonts w:hint="cs"/>
          <w:rtl/>
        </w:rPr>
        <w:t>)</w:t>
      </w:r>
      <w:r w:rsidRPr="00A52585">
        <w:rPr>
          <w:rFonts w:hint="cs"/>
          <w:rtl/>
        </w:rPr>
        <w:t xml:space="preserve"> مبالغة في الوصف بالجود وثني اليد لإفادة الكثرة</w:t>
      </w:r>
      <w:r w:rsidRPr="00A52585">
        <w:rPr>
          <w:rFonts w:hint="cs"/>
        </w:rPr>
        <w:t xml:space="preserve"> </w:t>
      </w:r>
      <w:r w:rsidRPr="00A52585">
        <w:rPr>
          <w:rFonts w:hint="cs"/>
          <w:rtl/>
        </w:rPr>
        <w:t>إذ غاية ما يبذله السخي من ماله أن يعطي بيديه ينفق كيف يشاء من توسيع وتضييق</w:t>
      </w:r>
      <w:r w:rsidRPr="00A52585">
        <w:rPr>
          <w:rFonts w:hint="cs"/>
        </w:rPr>
        <w:t xml:space="preserve"> </w:t>
      </w:r>
      <w:r w:rsidRPr="00A52585">
        <w:rPr>
          <w:rFonts w:hint="cs"/>
          <w:rtl/>
        </w:rPr>
        <w:t>لا اعتراض عليه "</w:t>
      </w:r>
      <w:r w:rsidR="0002035C" w:rsidRPr="00A52585">
        <w:rPr>
          <w:rFonts w:hint="cs"/>
          <w:rtl/>
        </w:rPr>
        <w:t xml:space="preserve"> </w:t>
      </w:r>
      <w:r w:rsidRPr="00A52585">
        <w:rPr>
          <w:rFonts w:hint="cs"/>
          <w:rtl/>
        </w:rPr>
        <w:t>[تفسير الجلالين</w:t>
      </w:r>
      <w:r w:rsidR="0002035C" w:rsidRPr="00A52585">
        <w:rPr>
          <w:rFonts w:hint="cs"/>
          <w:rtl/>
        </w:rPr>
        <w:t xml:space="preserve"> </w:t>
      </w:r>
      <w:r w:rsidRPr="00A52585">
        <w:rPr>
          <w:rFonts w:hint="cs"/>
          <w:rtl/>
        </w:rPr>
        <w:t>ج: 1 ص: 149] أهـ</w:t>
      </w:r>
      <w:r w:rsidR="00DB731D" w:rsidRPr="00A52585">
        <w:rPr>
          <w:rFonts w:hint="cs"/>
          <w:rtl/>
        </w:rPr>
        <w:t>،</w:t>
      </w:r>
      <w:r w:rsidRPr="00A52585">
        <w:rPr>
          <w:rFonts w:hint="cs"/>
          <w:rtl/>
        </w:rPr>
        <w:t xml:space="preserve"> وقال الألوسي</w:t>
      </w:r>
      <w:r w:rsidR="0002035C" w:rsidRPr="00A52585">
        <w:rPr>
          <w:rFonts w:hint="cs"/>
          <w:rtl/>
        </w:rPr>
        <w:t>:</w:t>
      </w:r>
      <w:r w:rsidRPr="00A52585">
        <w:rPr>
          <w:rFonts w:hint="cs"/>
          <w:rtl/>
        </w:rPr>
        <w:t xml:space="preserve"> " فان</w:t>
      </w:r>
      <w:r w:rsidRPr="00A52585">
        <w:rPr>
          <w:rFonts w:hint="cs"/>
        </w:rPr>
        <w:t xml:space="preserve"> </w:t>
      </w:r>
      <w:r w:rsidRPr="00A52585">
        <w:rPr>
          <w:rFonts w:hint="cs"/>
          <w:rtl/>
        </w:rPr>
        <w:t>كلا من غل اليد وبسطها مجاز عن البخل والجود أو كناية</w:t>
      </w:r>
      <w:r w:rsidR="0002035C" w:rsidRPr="00A52585">
        <w:rPr>
          <w:rFonts w:hint="cs"/>
          <w:rtl/>
        </w:rPr>
        <w:t xml:space="preserve"> </w:t>
      </w:r>
      <w:r w:rsidRPr="00A52585">
        <w:rPr>
          <w:rFonts w:hint="cs"/>
          <w:rtl/>
        </w:rPr>
        <w:t>عن ذلك وقد</w:t>
      </w:r>
      <w:r w:rsidRPr="00A52585">
        <w:rPr>
          <w:rFonts w:hint="cs"/>
        </w:rPr>
        <w:t xml:space="preserve"> </w:t>
      </w:r>
      <w:r w:rsidRPr="00A52585">
        <w:rPr>
          <w:rFonts w:hint="cs"/>
          <w:rtl/>
        </w:rPr>
        <w:t xml:space="preserve">استعمل حيث لا تصح </w:t>
      </w:r>
      <w:proofErr w:type="spellStart"/>
      <w:r w:rsidRPr="00A52585">
        <w:rPr>
          <w:rFonts w:hint="cs"/>
          <w:rtl/>
        </w:rPr>
        <w:t>يد</w:t>
      </w:r>
      <w:r w:rsidR="00897A24" w:rsidRPr="00A52585">
        <w:rPr>
          <w:rFonts w:hint="cs"/>
          <w:rtl/>
        </w:rPr>
        <w:t>.</w:t>
      </w:r>
      <w:r w:rsidRPr="00A52585">
        <w:rPr>
          <w:rFonts w:hint="cs"/>
          <w:rtl/>
        </w:rPr>
        <w:t>.ومنه</w:t>
      </w:r>
      <w:proofErr w:type="spellEnd"/>
      <w:r w:rsidRPr="00A52585">
        <w:rPr>
          <w:rFonts w:hint="cs"/>
          <w:rtl/>
        </w:rPr>
        <w:t xml:space="preserve"> قوله تعالى وقالت اليهود</w:t>
      </w:r>
      <w:r w:rsidR="0002035C" w:rsidRPr="00A52585">
        <w:rPr>
          <w:rFonts w:hint="cs"/>
          <w:rtl/>
        </w:rPr>
        <w:t xml:space="preserve"> </w:t>
      </w:r>
      <w:r w:rsidRPr="00A52585">
        <w:rPr>
          <w:rFonts w:hint="cs"/>
          <w:rtl/>
        </w:rPr>
        <w:t>يد</w:t>
      </w:r>
      <w:r w:rsidRPr="00A52585">
        <w:rPr>
          <w:rFonts w:hint="cs"/>
        </w:rPr>
        <w:t xml:space="preserve"> </w:t>
      </w:r>
      <w:r w:rsidRPr="00A52585">
        <w:rPr>
          <w:rFonts w:hint="cs"/>
          <w:rtl/>
        </w:rPr>
        <w:t>الله</w:t>
      </w:r>
      <w:r w:rsidR="0002035C" w:rsidRPr="00A52585">
        <w:rPr>
          <w:rFonts w:hint="cs"/>
          <w:rtl/>
        </w:rPr>
        <w:t xml:space="preserve"> </w:t>
      </w:r>
      <w:r w:rsidRPr="00A52585">
        <w:rPr>
          <w:rFonts w:hint="cs"/>
          <w:rtl/>
        </w:rPr>
        <w:t>الآية</w:t>
      </w:r>
      <w:r w:rsidRPr="00A52585">
        <w:rPr>
          <w:rFonts w:hint="cs"/>
        </w:rPr>
        <w:t xml:space="preserve"> </w:t>
      </w:r>
      <w:r w:rsidRPr="00A52585">
        <w:rPr>
          <w:rFonts w:hint="cs"/>
          <w:rtl/>
        </w:rPr>
        <w:t>عنوا الوصف بالبخل ورد عليهم بأنه جل جلاله جواد من غير تصور يد ولا غل ولا</w:t>
      </w:r>
      <w:r w:rsidRPr="00A52585">
        <w:rPr>
          <w:rFonts w:hint="cs"/>
        </w:rPr>
        <w:t xml:space="preserve"> </w:t>
      </w:r>
      <w:r w:rsidRPr="00A52585">
        <w:rPr>
          <w:rFonts w:hint="cs"/>
          <w:rtl/>
        </w:rPr>
        <w:t>بسط " [روح المعاني ج: 6 ص: 180] أهـ</w:t>
      </w:r>
      <w:r w:rsidR="00DB731D" w:rsidRPr="00A52585">
        <w:rPr>
          <w:rFonts w:hint="cs"/>
          <w:rtl/>
        </w:rPr>
        <w:t>،</w:t>
      </w:r>
      <w:r w:rsidRPr="00A52585">
        <w:rPr>
          <w:rFonts w:hint="cs"/>
          <w:rtl/>
        </w:rPr>
        <w:t xml:space="preserve"> وقال الثعالبي "</w:t>
      </w:r>
      <w:r w:rsidR="0002035C" w:rsidRPr="00A52585">
        <w:rPr>
          <w:rFonts w:hint="cs"/>
          <w:rtl/>
        </w:rPr>
        <w:t xml:space="preserve"> </w:t>
      </w:r>
      <w:r w:rsidRPr="00A52585">
        <w:rPr>
          <w:rFonts w:hint="cs"/>
          <w:rtl/>
        </w:rPr>
        <w:t xml:space="preserve">وقوله تعالى </w:t>
      </w:r>
      <w:r w:rsidR="0002035C" w:rsidRPr="00A52585">
        <w:rPr>
          <w:rFonts w:hint="cs"/>
          <w:rtl/>
        </w:rPr>
        <w:t>(</w:t>
      </w:r>
      <w:r w:rsidRPr="00A52585">
        <w:rPr>
          <w:rFonts w:hint="cs"/>
          <w:rtl/>
        </w:rPr>
        <w:t>بل يداه مبسوطتان</w:t>
      </w:r>
      <w:r w:rsidR="0002035C" w:rsidRPr="00A52585">
        <w:rPr>
          <w:rFonts w:hint="cs"/>
          <w:rtl/>
        </w:rPr>
        <w:t xml:space="preserve">) </w:t>
      </w:r>
      <w:r w:rsidRPr="00A52585">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DB731D" w:rsidRPr="00A52585">
        <w:rPr>
          <w:rFonts w:hint="cs"/>
          <w:rtl/>
        </w:rPr>
        <w:t>،</w:t>
      </w:r>
      <w:r w:rsidRPr="00A52585">
        <w:rPr>
          <w:rFonts w:hint="cs"/>
          <w:rtl/>
        </w:rPr>
        <w:t xml:space="preserve"> وقال ابن الجوزي</w:t>
      </w:r>
      <w:r w:rsidR="0002035C" w:rsidRPr="00A52585">
        <w:rPr>
          <w:rFonts w:hint="cs"/>
          <w:rtl/>
        </w:rPr>
        <w:t>:</w:t>
      </w:r>
      <w:r w:rsidRPr="00A52585">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DB731D" w:rsidRPr="00A52585">
        <w:rPr>
          <w:rFonts w:hint="cs"/>
          <w:rtl/>
        </w:rPr>
        <w:t>،</w:t>
      </w:r>
      <w:r w:rsidRPr="00A52585">
        <w:rPr>
          <w:rFonts w:hint="cs"/>
          <w:rtl/>
        </w:rPr>
        <w:t xml:space="preserve"> وقال الطبري</w:t>
      </w:r>
      <w:r w:rsidR="0002035C" w:rsidRPr="00A52585">
        <w:rPr>
          <w:rFonts w:hint="cs"/>
          <w:rtl/>
        </w:rPr>
        <w:t>:</w:t>
      </w:r>
      <w:r w:rsidRPr="00A52585">
        <w:rPr>
          <w:rFonts w:hint="cs"/>
          <w:rtl/>
        </w:rPr>
        <w:t xml:space="preserve"> " يقول تعالى ذكره وقالت اليهود من بين إسرائيل يد الله مغلولة يعنون أن خير الله ممسك </w:t>
      </w:r>
      <w:r w:rsidRPr="00A52585">
        <w:rPr>
          <w:rFonts w:hint="cs"/>
          <w:rtl/>
        </w:rPr>
        <w:lastRenderedPageBreak/>
        <w:t>وعطاءه محبوس عن الاتساع عليهم كما قال تعالى ذكره في تأديب نبيه ولا تجعل يدك مغلولة إلى عنقك ولا تبسطها كل البسط</w:t>
      </w:r>
      <w:r w:rsidR="00DB731D" w:rsidRPr="00A52585">
        <w:rPr>
          <w:rFonts w:hint="cs"/>
          <w:rtl/>
        </w:rPr>
        <w:t>،</w:t>
      </w:r>
      <w:r w:rsidRPr="00A52585">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يداك يدا مجد فكف مفيدة * وكف إذا ما ضن بالزاد تنفق</w:t>
      </w:r>
      <w:r w:rsidR="0002035C" w:rsidRPr="00A52585">
        <w:rPr>
          <w:rFonts w:hint="cs"/>
          <w:rtl/>
        </w:rPr>
        <w:t>)</w:t>
      </w:r>
      <w:r w:rsidRPr="00A52585">
        <w:rPr>
          <w:rFonts w:hint="cs"/>
          <w:rtl/>
        </w:rPr>
        <w:t xml:space="preserve"> فأضاف</w:t>
      </w:r>
      <w:r w:rsidRPr="00A52585">
        <w:rPr>
          <w:rFonts w:hint="cs"/>
        </w:rPr>
        <w:t xml:space="preserve"> </w:t>
      </w:r>
      <w:r w:rsidRPr="00A52585">
        <w:rPr>
          <w:rFonts w:hint="cs"/>
          <w:rtl/>
        </w:rPr>
        <w:t>ما كان صفة صاحب اليد من إنفاق وإفادة إلى اليد</w:t>
      </w:r>
      <w:r w:rsidRPr="00A52585">
        <w:rPr>
          <w:rFonts w:hint="cs"/>
        </w:rPr>
        <w:t xml:space="preserve"> </w:t>
      </w:r>
      <w:r w:rsidRPr="00A52585">
        <w:rPr>
          <w:rFonts w:hint="cs"/>
          <w:rtl/>
        </w:rPr>
        <w:t>ومثل ذلك من كلام العرب في أشعارها وأمثالها أكثر من أن يحصى</w:t>
      </w:r>
      <w:r w:rsidR="0002035C" w:rsidRPr="00A52585">
        <w:rPr>
          <w:rFonts w:hint="cs"/>
          <w:rtl/>
        </w:rPr>
        <w:t xml:space="preserve"> </w:t>
      </w:r>
      <w:r w:rsidRPr="00A52585">
        <w:rPr>
          <w:rFonts w:hint="cs"/>
          <w:rtl/>
        </w:rPr>
        <w:t>فخاطبهم</w:t>
      </w:r>
      <w:r w:rsidRPr="00A52585">
        <w:rPr>
          <w:rFonts w:hint="cs"/>
        </w:rPr>
        <w:t xml:space="preserve"> </w:t>
      </w:r>
      <w:r w:rsidRPr="00A52585">
        <w:rPr>
          <w:rFonts w:hint="cs"/>
          <w:rtl/>
        </w:rPr>
        <w:t xml:space="preserve">الله بما </w:t>
      </w:r>
      <w:proofErr w:type="spellStart"/>
      <w:r w:rsidRPr="00A52585">
        <w:rPr>
          <w:rFonts w:hint="cs"/>
          <w:rtl/>
        </w:rPr>
        <w:t>يتعارفونه</w:t>
      </w:r>
      <w:proofErr w:type="spellEnd"/>
      <w:r w:rsidRPr="00A52585">
        <w:rPr>
          <w:rFonts w:hint="cs"/>
          <w:rtl/>
        </w:rPr>
        <w:t xml:space="preserve"> </w:t>
      </w:r>
      <w:proofErr w:type="spellStart"/>
      <w:r w:rsidRPr="00A52585">
        <w:rPr>
          <w:rFonts w:hint="cs"/>
          <w:rtl/>
        </w:rPr>
        <w:t>ويتحاورونه</w:t>
      </w:r>
      <w:proofErr w:type="spellEnd"/>
      <w:r w:rsidRPr="00A52585">
        <w:rPr>
          <w:rFonts w:hint="cs"/>
          <w:rtl/>
        </w:rPr>
        <w:t xml:space="preserve"> بينهم في</w:t>
      </w:r>
      <w:r w:rsidRPr="00A52585">
        <w:rPr>
          <w:rFonts w:hint="cs"/>
        </w:rPr>
        <w:t xml:space="preserve"> </w:t>
      </w:r>
      <w:r w:rsidRPr="00A52585">
        <w:rPr>
          <w:rFonts w:hint="cs"/>
          <w:rtl/>
        </w:rPr>
        <w:t>كلامهم</w:t>
      </w:r>
      <w:r w:rsidR="00897A24" w:rsidRPr="00A52585">
        <w:rPr>
          <w:rFonts w:hint="cs"/>
          <w:rtl/>
        </w:rPr>
        <w:t>.</w:t>
      </w:r>
      <w:r w:rsidRPr="00A52585">
        <w:rPr>
          <w:rFonts w:hint="cs"/>
          <w:rtl/>
        </w:rPr>
        <w:t xml:space="preserve">. يقول </w:t>
      </w:r>
      <w:r w:rsidR="0002035C" w:rsidRPr="00A52585">
        <w:rPr>
          <w:rFonts w:hint="cs"/>
          <w:rtl/>
        </w:rPr>
        <w:t>(</w:t>
      </w:r>
      <w:r w:rsidRPr="00A52585">
        <w:rPr>
          <w:rFonts w:hint="cs"/>
          <w:rtl/>
        </w:rPr>
        <w:t>بل يداه مبسوطتان</w:t>
      </w:r>
      <w:r w:rsidR="0002035C" w:rsidRPr="00A52585">
        <w:rPr>
          <w:rFonts w:hint="cs"/>
          <w:rtl/>
        </w:rPr>
        <w:t>)</w:t>
      </w:r>
      <w:r w:rsidRPr="00A52585">
        <w:rPr>
          <w:rFonts w:hint="cs"/>
          <w:rtl/>
        </w:rPr>
        <w:t xml:space="preserve"> بالبذل والإعطاء وأرزاق عباده وأقوات خلقه غير</w:t>
      </w:r>
      <w:r w:rsidRPr="00A52585">
        <w:rPr>
          <w:rFonts w:hint="cs"/>
        </w:rPr>
        <w:t xml:space="preserve"> </w:t>
      </w:r>
      <w:r w:rsidRPr="00A52585">
        <w:rPr>
          <w:rFonts w:hint="cs"/>
          <w:rtl/>
        </w:rPr>
        <w:t>مغلولتين ولا مقبوضتين "</w:t>
      </w:r>
      <w:r w:rsidR="0002035C" w:rsidRPr="00A52585">
        <w:rPr>
          <w:rFonts w:hint="cs"/>
          <w:rtl/>
        </w:rPr>
        <w:t>[</w:t>
      </w:r>
      <w:r w:rsidRPr="00A52585">
        <w:rPr>
          <w:rFonts w:hint="cs"/>
          <w:rtl/>
        </w:rPr>
        <w:t>تفسير الطبري ج: 6 ص: 299] أهـ</w:t>
      </w:r>
      <w:r w:rsidR="00DB731D" w:rsidRPr="00A52585">
        <w:rPr>
          <w:rFonts w:hint="cs"/>
          <w:rtl/>
        </w:rPr>
        <w:t>،</w:t>
      </w:r>
      <w:r w:rsidRPr="00A52585">
        <w:rPr>
          <w:rFonts w:hint="cs"/>
          <w:rtl/>
        </w:rPr>
        <w:t xml:space="preserve"> </w:t>
      </w:r>
    </w:p>
    <w:p w14:paraId="73AC95DC" w14:textId="67928883" w:rsidR="00777DCB" w:rsidRPr="00A52585" w:rsidRDefault="00777DCB" w:rsidP="0002035C">
      <w:pPr>
        <w:rPr>
          <w:rtl/>
        </w:rPr>
      </w:pPr>
      <w:r w:rsidRPr="00A52585">
        <w:rPr>
          <w:rFonts w:hint="cs"/>
          <w:rtl/>
        </w:rPr>
        <w:t xml:space="preserve"> </w:t>
      </w:r>
      <w:r w:rsidRPr="00A52585">
        <w:rPr>
          <w:rFonts w:hint="cs"/>
          <w:bCs/>
          <w:rtl/>
        </w:rPr>
        <w:t xml:space="preserve">وقال </w:t>
      </w:r>
      <w:proofErr w:type="spellStart"/>
      <w:r w:rsidRPr="00A52585">
        <w:rPr>
          <w:rFonts w:hint="cs"/>
          <w:bCs/>
          <w:rtl/>
        </w:rPr>
        <w:t>القرطبي</w:t>
      </w:r>
      <w:r w:rsidR="0002035C" w:rsidRPr="00A52585">
        <w:rPr>
          <w:rFonts w:hint="cs"/>
          <w:rtl/>
        </w:rPr>
        <w:t>:</w:t>
      </w:r>
      <w:r w:rsidRPr="00A52585">
        <w:rPr>
          <w:rFonts w:hint="cs"/>
          <w:rtl/>
        </w:rPr>
        <w:t>"قوله</w:t>
      </w:r>
      <w:proofErr w:type="spellEnd"/>
      <w:r w:rsidRPr="00A52585">
        <w:rPr>
          <w:rFonts w:hint="cs"/>
          <w:rtl/>
        </w:rPr>
        <w:t xml:space="preserve"> تعالى بل يداه مبسوطتان ابتداء وخبر أي بل نعمته مبسوطة فاليد بمعنى النعمة قال بعضهم</w:t>
      </w:r>
      <w:r w:rsidR="0002035C" w:rsidRPr="00A52585">
        <w:rPr>
          <w:rFonts w:hint="cs"/>
          <w:rtl/>
        </w:rPr>
        <w:t xml:space="preserve"> </w:t>
      </w:r>
      <w:r w:rsidRPr="00A52585">
        <w:rPr>
          <w:rFonts w:hint="cs"/>
          <w:rtl/>
        </w:rPr>
        <w:t>هذا غلط لقوله</w:t>
      </w:r>
      <w:r w:rsidR="0002035C" w:rsidRPr="00A52585">
        <w:rPr>
          <w:rFonts w:hint="cs"/>
          <w:rtl/>
        </w:rPr>
        <w:t xml:space="preserve"> </w:t>
      </w:r>
      <w:r w:rsidRPr="00A52585">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02035C" w:rsidRPr="00A52585">
        <w:rPr>
          <w:rFonts w:hint="cs"/>
          <w:rtl/>
        </w:rPr>
        <w:t xml:space="preserve"> </w:t>
      </w:r>
      <w:r w:rsidRPr="00A52585">
        <w:rPr>
          <w:rFonts w:hint="cs"/>
          <w:rtl/>
        </w:rPr>
        <w:t>مثل المنافق كالشاة العائرة بين الغنمين فأحد الجنسين نعمة الدنيا والثاني نعمة الآخرة وقيل</w:t>
      </w:r>
      <w:r w:rsidR="0002035C" w:rsidRPr="00A52585">
        <w:rPr>
          <w:rFonts w:hint="cs"/>
          <w:rtl/>
        </w:rPr>
        <w:t xml:space="preserve"> </w:t>
      </w:r>
      <w:r w:rsidRPr="00A52585">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02035C" w:rsidRPr="00A52585">
        <w:rPr>
          <w:rFonts w:hint="cs"/>
          <w:rtl/>
        </w:rPr>
        <w:t xml:space="preserve"> </w:t>
      </w:r>
      <w:r w:rsidRPr="00A52585">
        <w:rPr>
          <w:rFonts w:hint="cs"/>
          <w:rtl/>
        </w:rPr>
        <w:t>النعمة الظاهرة ما حسن من خلقك والباطنة ما ستر عليك من سيء عملك</w:t>
      </w:r>
      <w:r w:rsidR="00897A24" w:rsidRPr="00A52585">
        <w:rPr>
          <w:rFonts w:hint="cs"/>
          <w:rtl/>
        </w:rPr>
        <w:t>.</w:t>
      </w:r>
      <w:r w:rsidRPr="00A52585">
        <w:rPr>
          <w:rFonts w:hint="cs"/>
          <w:rtl/>
        </w:rPr>
        <w:t>. وقيل</w:t>
      </w:r>
      <w:r w:rsidR="0002035C" w:rsidRPr="00A52585">
        <w:rPr>
          <w:rFonts w:hint="cs"/>
          <w:rtl/>
        </w:rPr>
        <w:t xml:space="preserve"> </w:t>
      </w:r>
      <w:r w:rsidRPr="00A52585">
        <w:rPr>
          <w:rFonts w:hint="cs"/>
          <w:rtl/>
        </w:rPr>
        <w:t>إن النعمة للمبالغة كقول العرب</w:t>
      </w:r>
      <w:r w:rsidR="0002035C" w:rsidRPr="00A52585">
        <w:rPr>
          <w:rFonts w:hint="cs"/>
          <w:rtl/>
        </w:rPr>
        <w:t>:</w:t>
      </w:r>
      <w:r w:rsidRPr="00A52585">
        <w:rPr>
          <w:rFonts w:hint="cs"/>
          <w:rtl/>
        </w:rPr>
        <w:t xml:space="preserve"> لبيك وسعديك وليس يريد الاقتصار على مرتين وقد يقول </w:t>
      </w:r>
      <w:proofErr w:type="spellStart"/>
      <w:proofErr w:type="gramStart"/>
      <w:r w:rsidRPr="00A52585">
        <w:rPr>
          <w:rFonts w:hint="cs"/>
          <w:rtl/>
        </w:rPr>
        <w:t>القائل</w:t>
      </w:r>
      <w:r w:rsidR="0002035C" w:rsidRPr="00A52585">
        <w:rPr>
          <w:rFonts w:hint="cs"/>
          <w:rtl/>
        </w:rPr>
        <w:t>:</w:t>
      </w:r>
      <w:r w:rsidRPr="00A52585">
        <w:rPr>
          <w:rFonts w:hint="cs"/>
          <w:rtl/>
        </w:rPr>
        <w:t>ما</w:t>
      </w:r>
      <w:proofErr w:type="spellEnd"/>
      <w:proofErr w:type="gramEnd"/>
      <w:r w:rsidRPr="00A52585">
        <w:rPr>
          <w:rFonts w:hint="cs"/>
          <w:rtl/>
        </w:rPr>
        <w:t xml:space="preserve"> لي بهذا الأمر يد أي قوة قال السدي</w:t>
      </w:r>
      <w:r w:rsidR="0002035C" w:rsidRPr="00A52585">
        <w:rPr>
          <w:rFonts w:hint="cs"/>
          <w:rtl/>
        </w:rPr>
        <w:t>:</w:t>
      </w:r>
      <w:r w:rsidRPr="00A52585">
        <w:rPr>
          <w:rFonts w:hint="cs"/>
          <w:rtl/>
        </w:rPr>
        <w:t xml:space="preserve"> معنى قوله يداه قوتاه بالثواب " [تفسير القرطبي ج: 6 ص: 239] أهـ</w:t>
      </w:r>
    </w:p>
    <w:p w14:paraId="3EFE1C0C" w14:textId="584B7EE8" w:rsidR="00777DCB" w:rsidRPr="00A52585" w:rsidRDefault="00777DCB" w:rsidP="0002035C">
      <w:pPr>
        <w:rPr>
          <w:rtl/>
        </w:rPr>
      </w:pPr>
      <w:r w:rsidRPr="00A52585">
        <w:rPr>
          <w:rFonts w:hint="cs"/>
          <w:bCs/>
          <w:rtl/>
        </w:rPr>
        <w:t>وقال رحمه الله</w:t>
      </w:r>
      <w:r w:rsidR="0002035C" w:rsidRPr="00A52585">
        <w:rPr>
          <w:rFonts w:hint="cs"/>
          <w:rtl/>
        </w:rPr>
        <w:t>:</w:t>
      </w:r>
      <w:r w:rsidRPr="00A52585">
        <w:rPr>
          <w:rFonts w:hint="cs"/>
          <w:rtl/>
        </w:rPr>
        <w:t>" لفظ التثنية يرد والمراد به الكثرة كقوله تعالى</w:t>
      </w:r>
      <w:r w:rsidR="0002035C" w:rsidRPr="00A52585">
        <w:rPr>
          <w:rFonts w:hint="cs"/>
          <w:rtl/>
        </w:rPr>
        <w:t xml:space="preserve"> </w:t>
      </w:r>
      <w:r w:rsidRPr="00A52585">
        <w:rPr>
          <w:rFonts w:hint="cs"/>
          <w:rtl/>
        </w:rPr>
        <w:t>بل</w:t>
      </w:r>
      <w:r w:rsidR="0002035C" w:rsidRPr="00A52585">
        <w:rPr>
          <w:rFonts w:hint="cs"/>
          <w:rtl/>
        </w:rPr>
        <w:t xml:space="preserve"> </w:t>
      </w:r>
      <w:r w:rsidRPr="00A52585">
        <w:rPr>
          <w:rFonts w:hint="cs"/>
          <w:rtl/>
        </w:rPr>
        <w:t>يداه مبسوطتان "</w:t>
      </w:r>
      <w:r w:rsidR="0002035C" w:rsidRPr="00A52585">
        <w:rPr>
          <w:rFonts w:hint="cs"/>
          <w:rtl/>
        </w:rPr>
        <w:t>[</w:t>
      </w:r>
      <w:r w:rsidRPr="00A52585">
        <w:rPr>
          <w:rFonts w:hint="cs"/>
          <w:rtl/>
        </w:rPr>
        <w:t>تفسير القرطبي ج: 16 ص: 323]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w:t>
      </w:r>
      <w:proofErr w:type="spellStart"/>
      <w:r w:rsidRPr="00A52585">
        <w:rPr>
          <w:rFonts w:hint="cs"/>
          <w:rtl/>
        </w:rPr>
        <w:t>فالاخبار</w:t>
      </w:r>
      <w:proofErr w:type="spellEnd"/>
      <w:r w:rsidRPr="00A52585">
        <w:rPr>
          <w:rFonts w:hint="cs"/>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02035C" w:rsidRPr="00A52585">
        <w:rPr>
          <w:rFonts w:hint="cs"/>
          <w:rtl/>
        </w:rPr>
        <w:t xml:space="preserve"> </w:t>
      </w:r>
      <w:r w:rsidRPr="00A52585">
        <w:rPr>
          <w:rFonts w:hint="cs"/>
          <w:rtl/>
        </w:rPr>
        <w:t>من وصف شيئا من ذات الله عزوجل مثل قوله</w:t>
      </w:r>
      <w:r w:rsidR="0002035C" w:rsidRPr="00A52585">
        <w:rPr>
          <w:rFonts w:hint="cs"/>
          <w:rtl/>
        </w:rPr>
        <w:t xml:space="preserve"> </w:t>
      </w:r>
      <w:r w:rsidRPr="00A52585">
        <w:rPr>
          <w:rFonts w:hint="cs"/>
          <w:rtl/>
        </w:rPr>
        <w:t xml:space="preserve">وقالت اليهود </w:t>
      </w:r>
      <w:r w:rsidR="0002035C" w:rsidRPr="00A52585">
        <w:rPr>
          <w:rFonts w:hint="cs"/>
          <w:rtl/>
        </w:rPr>
        <w:t>(</w:t>
      </w:r>
      <w:r w:rsidRPr="00A52585">
        <w:rPr>
          <w:rFonts w:hint="cs"/>
          <w:rtl/>
        </w:rPr>
        <w:t>يد الله</w:t>
      </w:r>
      <w:r w:rsidR="0002035C" w:rsidRPr="00A52585">
        <w:rPr>
          <w:rFonts w:hint="cs"/>
          <w:rtl/>
        </w:rPr>
        <w:t xml:space="preserve"> </w:t>
      </w:r>
      <w:r w:rsidRPr="00A52585">
        <w:rPr>
          <w:rFonts w:hint="cs"/>
          <w:rtl/>
        </w:rPr>
        <w:t>مغلولة فأشار بيده إلى عنقه قطعت يده وكذلك في السمع والبصر يقطع ذلك منه لأنه شبه الله تعالى بنفسه " [تفسير القرطبي ج: 11 ص: 256] أهـ</w:t>
      </w:r>
      <w:r w:rsidR="00DB731D" w:rsidRPr="00A52585">
        <w:rPr>
          <w:rFonts w:hint="cs"/>
          <w:rtl/>
        </w:rPr>
        <w:t>،</w:t>
      </w:r>
      <w:r w:rsidRPr="00A52585">
        <w:rPr>
          <w:rFonts w:hint="cs"/>
          <w:rtl/>
        </w:rPr>
        <w:t xml:space="preserve"> </w:t>
      </w:r>
      <w:r w:rsidRPr="00A52585">
        <w:rPr>
          <w:rFonts w:hint="cs"/>
          <w:bCs/>
          <w:rtl/>
        </w:rPr>
        <w:t>وقال ابن كثير</w:t>
      </w:r>
      <w:r w:rsidR="0002035C" w:rsidRPr="00A52585">
        <w:rPr>
          <w:rFonts w:hint="cs"/>
          <w:rtl/>
        </w:rPr>
        <w:t>:</w:t>
      </w:r>
      <w:r w:rsidRPr="00A52585">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w:t>
      </w:r>
      <w:r w:rsidRPr="00A52585">
        <w:rPr>
          <w:rFonts w:hint="cs"/>
          <w:rtl/>
        </w:rPr>
        <w:lastRenderedPageBreak/>
        <w:t>أهـ</w:t>
      </w:r>
      <w:r w:rsidR="00DB731D" w:rsidRPr="00A52585">
        <w:rPr>
          <w:rFonts w:hint="cs"/>
          <w:rtl/>
        </w:rPr>
        <w:t>،</w:t>
      </w:r>
      <w:r w:rsidRPr="00A52585">
        <w:rPr>
          <w:rFonts w:hint="cs"/>
          <w:rtl/>
        </w:rPr>
        <w:t xml:space="preserve"> </w:t>
      </w:r>
      <w:r w:rsidRPr="00A52585">
        <w:rPr>
          <w:rFonts w:hint="cs"/>
          <w:bCs/>
          <w:rtl/>
        </w:rPr>
        <w:t>وقال الجصاص في أحكام القرآن</w:t>
      </w:r>
      <w:r w:rsidR="0002035C" w:rsidRPr="00A52585">
        <w:rPr>
          <w:rFonts w:hint="cs"/>
          <w:bCs/>
          <w:rtl/>
        </w:rPr>
        <w:t>:</w:t>
      </w:r>
      <w:r w:rsidRPr="00A52585">
        <w:rPr>
          <w:rFonts w:hint="cs"/>
          <w:bCs/>
          <w:rtl/>
        </w:rPr>
        <w:t xml:space="preserve"> " </w:t>
      </w:r>
      <w:r w:rsidRPr="00A52585">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p>
    <w:p w14:paraId="3586CD67" w14:textId="44413ADC" w:rsidR="00777DCB" w:rsidRPr="00A52585" w:rsidRDefault="00777DCB" w:rsidP="0002035C">
      <w:pPr>
        <w:rPr>
          <w:rtl/>
        </w:rPr>
      </w:pP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bCs/>
          <w:rtl/>
        </w:rPr>
        <w:t>{</w:t>
      </w:r>
      <w:r w:rsidRPr="00A52585">
        <w:rPr>
          <w:rFonts w:hint="cs"/>
          <w:bCs/>
          <w:rtl/>
        </w:rPr>
        <w:t>إِنَّ الَّذِينَ</w:t>
      </w:r>
      <w:r w:rsidRPr="00A52585">
        <w:rPr>
          <w:rFonts w:hint="cs"/>
          <w:bCs/>
        </w:rPr>
        <w:t xml:space="preserve"> </w:t>
      </w:r>
      <w:r w:rsidRPr="00A52585">
        <w:rPr>
          <w:rFonts w:hint="cs"/>
          <w:bCs/>
          <w:rtl/>
        </w:rPr>
        <w:t>يُبَايِعُونَكَ إِنَّمَا يُبَايِعُونَ اللَّهَ يَدُ اللَّهِ فَوْقَ أَيْدِيهِمْ</w:t>
      </w:r>
      <w:r w:rsidRPr="00A52585">
        <w:rPr>
          <w:rFonts w:hint="cs"/>
          <w:bCs/>
        </w:rPr>
        <w:t xml:space="preserve"> </w:t>
      </w:r>
      <w:r w:rsidRPr="00A52585">
        <w:rPr>
          <w:rFonts w:hint="cs"/>
          <w:bCs/>
          <w:rtl/>
        </w:rPr>
        <w:t>فَمَن نَّكَثَ فَإِنَّمَا يَنكُثُ عَلَى نَفْسِهِ وَمَنْ أَوْفَى بِمَا</w:t>
      </w:r>
      <w:r w:rsidRPr="00A52585">
        <w:rPr>
          <w:rFonts w:hint="cs"/>
          <w:bCs/>
        </w:rPr>
        <w:t xml:space="preserve"> </w:t>
      </w:r>
      <w:r w:rsidRPr="00A52585">
        <w:rPr>
          <w:rFonts w:hint="cs"/>
          <w:bCs/>
          <w:rtl/>
        </w:rPr>
        <w:t>عَاهَدَ عَلَيْهُ اللَّهَ فَسَيُؤْتِيهِ أَجْرًا عَظِيمًا</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الفتح</w:t>
      </w:r>
      <w:r w:rsidR="0002035C" w:rsidRPr="00A52585">
        <w:rPr>
          <w:rFonts w:hint="cs"/>
          <w:rtl/>
        </w:rPr>
        <w:t>:</w:t>
      </w:r>
      <w:r w:rsidRPr="00A52585">
        <w:rPr>
          <w:rFonts w:hint="cs"/>
          <w:rtl/>
        </w:rPr>
        <w:t xml:space="preserve"> 10</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قال الطبري</w:t>
      </w:r>
      <w:r w:rsidR="0002035C" w:rsidRPr="00A52585">
        <w:rPr>
          <w:rFonts w:hint="cs"/>
          <w:rtl/>
        </w:rPr>
        <w:t>:</w:t>
      </w:r>
      <w:r w:rsidRPr="00A52585">
        <w:rPr>
          <w:rFonts w:hint="cs"/>
          <w:rtl/>
        </w:rPr>
        <w:t xml:space="preserve"> " وفي</w:t>
      </w:r>
      <w:r w:rsidRPr="00A52585">
        <w:rPr>
          <w:rFonts w:hint="cs"/>
        </w:rPr>
        <w:t xml:space="preserve"> </w:t>
      </w:r>
      <w:r w:rsidRPr="00A52585">
        <w:rPr>
          <w:rFonts w:hint="cs"/>
          <w:rtl/>
        </w:rPr>
        <w:t>قوله</w:t>
      </w:r>
      <w:r w:rsidR="0002035C" w:rsidRPr="00A52585">
        <w:rPr>
          <w:rtl/>
        </w:rPr>
        <w:t xml:space="preserve"> </w:t>
      </w:r>
      <w:r w:rsidRPr="00A52585">
        <w:rPr>
          <w:rFonts w:hint="cs"/>
          <w:rtl/>
        </w:rPr>
        <w:t>يد</w:t>
      </w:r>
      <w:r w:rsidRPr="00A52585">
        <w:rPr>
          <w:rFonts w:hint="cs"/>
        </w:rPr>
        <w:t xml:space="preserve"> </w:t>
      </w:r>
      <w:r w:rsidRPr="00A52585">
        <w:rPr>
          <w:rFonts w:hint="cs"/>
          <w:rtl/>
        </w:rPr>
        <w:t>الله فوق</w:t>
      </w:r>
      <w:r w:rsidRPr="00A52585">
        <w:rPr>
          <w:rFonts w:hint="cs"/>
        </w:rPr>
        <w:t xml:space="preserve"> </w:t>
      </w:r>
      <w:r w:rsidRPr="00A52585">
        <w:rPr>
          <w:rFonts w:hint="cs"/>
          <w:rtl/>
        </w:rPr>
        <w:t>أيديهم وجهان من التأويل</w:t>
      </w:r>
      <w:r w:rsidRPr="00A52585">
        <w:rPr>
          <w:rFonts w:hint="cs"/>
        </w:rPr>
        <w:t xml:space="preserve"> </w:t>
      </w:r>
      <w:r w:rsidRPr="00A52585">
        <w:rPr>
          <w:rFonts w:hint="cs"/>
          <w:rtl/>
        </w:rPr>
        <w:t>أحدهما</w:t>
      </w:r>
      <w:r w:rsidR="0002035C" w:rsidRPr="00A52585">
        <w:rPr>
          <w:rtl/>
        </w:rPr>
        <w:t xml:space="preserve"> </w:t>
      </w:r>
      <w:r w:rsidRPr="00A52585">
        <w:rPr>
          <w:rFonts w:hint="cs"/>
          <w:rtl/>
        </w:rPr>
        <w:t>يد</w:t>
      </w:r>
      <w:r w:rsidRPr="00A52585">
        <w:rPr>
          <w:rFonts w:hint="cs"/>
        </w:rPr>
        <w:t xml:space="preserve"> </w:t>
      </w:r>
      <w:r w:rsidRPr="00A52585">
        <w:rPr>
          <w:rFonts w:hint="cs"/>
          <w:rtl/>
        </w:rPr>
        <w:t>الله</w:t>
      </w:r>
      <w:r w:rsidR="0002035C" w:rsidRPr="00A52585">
        <w:rPr>
          <w:rtl/>
        </w:rPr>
        <w:t xml:space="preserve"> </w:t>
      </w:r>
      <w:r w:rsidRPr="00A52585">
        <w:rPr>
          <w:rFonts w:hint="cs"/>
          <w:rtl/>
        </w:rPr>
        <w:t>فوق</w:t>
      </w:r>
      <w:r w:rsidRPr="00A52585">
        <w:rPr>
          <w:rFonts w:hint="cs"/>
        </w:rPr>
        <w:t xml:space="preserve"> </w:t>
      </w:r>
      <w:r w:rsidRPr="00A52585">
        <w:rPr>
          <w:rFonts w:hint="cs"/>
          <w:rtl/>
        </w:rPr>
        <w:t>أيديهم عند البيعة لأنهم كانوا يبايعون الله</w:t>
      </w:r>
      <w:r w:rsidRPr="00A52585">
        <w:rPr>
          <w:rFonts w:hint="cs"/>
        </w:rPr>
        <w:t xml:space="preserve"> </w:t>
      </w:r>
      <w:r w:rsidRPr="00A52585">
        <w:rPr>
          <w:rFonts w:hint="cs"/>
          <w:rtl/>
        </w:rPr>
        <w:t>ببيعتهم نبيه صلى الله عليه وسلم والآخر قوة الله فوق قوتهم في نصرة رسوله صلى</w:t>
      </w:r>
      <w:r w:rsidRPr="00A52585">
        <w:rPr>
          <w:rFonts w:hint="cs"/>
        </w:rPr>
        <w:t xml:space="preserve"> </w:t>
      </w:r>
      <w:r w:rsidRPr="00A52585">
        <w:rPr>
          <w:rFonts w:hint="cs"/>
          <w:rtl/>
        </w:rPr>
        <w:t>الله عليه وسلم لأنهم إنما بايعوا رسول الله صلى الله عليه وسلم على نصرته على العدو " [تفسير الطبري ج: 26 ص: 76] أهـ</w:t>
      </w:r>
      <w:r w:rsidR="00DB731D" w:rsidRPr="00A52585">
        <w:rPr>
          <w:rFonts w:hint="cs"/>
          <w:rtl/>
        </w:rPr>
        <w:t>،</w:t>
      </w:r>
      <w:r w:rsidRPr="00A52585">
        <w:rPr>
          <w:rFonts w:hint="cs"/>
          <w:rtl/>
        </w:rPr>
        <w:t xml:space="preserve"> </w:t>
      </w:r>
      <w:r w:rsidRPr="00A52585">
        <w:rPr>
          <w:rFonts w:hint="cs"/>
          <w:bCs/>
          <w:rtl/>
        </w:rPr>
        <w:t>وقال الواحدي</w:t>
      </w:r>
      <w:r w:rsidRPr="00A52585">
        <w:rPr>
          <w:rFonts w:hint="cs"/>
          <w:rtl/>
        </w:rPr>
        <w:t>:"</w:t>
      </w:r>
      <w:r w:rsidRPr="00A52585">
        <w:rPr>
          <w:rFonts w:hint="cs"/>
        </w:rPr>
        <w:t xml:space="preserve"> </w:t>
      </w:r>
      <w:r w:rsidRPr="00A52585">
        <w:rPr>
          <w:rFonts w:hint="cs"/>
          <w:rtl/>
        </w:rPr>
        <w:t>يد الله فوق</w:t>
      </w:r>
      <w:r w:rsidRPr="00A52585">
        <w:rPr>
          <w:rFonts w:hint="cs"/>
        </w:rPr>
        <w:t xml:space="preserve"> </w:t>
      </w:r>
      <w:r w:rsidRPr="00A52585">
        <w:rPr>
          <w:rFonts w:hint="cs"/>
          <w:rtl/>
        </w:rPr>
        <w:t>أيديهم نعمة الله عليهم فوق ما صنعوا</w:t>
      </w:r>
      <w:r w:rsidRPr="00A52585">
        <w:rPr>
          <w:rFonts w:hint="cs"/>
        </w:rPr>
        <w:t xml:space="preserve"> </w:t>
      </w:r>
      <w:r w:rsidRPr="00A52585">
        <w:rPr>
          <w:rFonts w:hint="cs"/>
          <w:rtl/>
        </w:rPr>
        <w:t>من البيعة " [تفسير الواحدي ج: 2 ص: 1008] أهـ</w:t>
      </w:r>
      <w:r w:rsidR="00DB731D" w:rsidRPr="00A52585">
        <w:rPr>
          <w:rFonts w:hint="cs"/>
          <w:rtl/>
        </w:rPr>
        <w:t>،</w:t>
      </w:r>
      <w:r w:rsidRPr="00A52585">
        <w:rPr>
          <w:rFonts w:hint="cs"/>
          <w:rtl/>
        </w:rPr>
        <w:t xml:space="preserve"> </w:t>
      </w:r>
      <w:r w:rsidRPr="00A52585">
        <w:rPr>
          <w:rFonts w:hint="cs"/>
          <w:bCs/>
          <w:rtl/>
        </w:rPr>
        <w:t>وقال أبو السعود</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sidRPr="00A52585">
        <w:rPr>
          <w:rFonts w:hint="cs"/>
          <w:rtl/>
        </w:rPr>
        <w:t>وقرىء</w:t>
      </w:r>
      <w:proofErr w:type="spellEnd"/>
      <w:r w:rsidRPr="00A52585">
        <w:rPr>
          <w:rFonts w:hint="cs"/>
          <w:rtl/>
        </w:rPr>
        <w:t xml:space="preserve"> إنما يبايعون الله " [تفسير أبي السعود ج: 8 ص: 106]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02035C" w:rsidRPr="00A52585">
        <w:rPr>
          <w:rFonts w:hint="cs"/>
          <w:rtl/>
        </w:rPr>
        <w:t>(</w:t>
      </w:r>
      <w:r w:rsidRPr="00A52585">
        <w:rPr>
          <w:rFonts w:hint="cs"/>
          <w:rtl/>
        </w:rPr>
        <w:t>أن الذين يبايعونك أنما يبايعون الله يد الله فوق أيديهم</w:t>
      </w:r>
      <w:r w:rsidR="0002035C" w:rsidRPr="00A52585">
        <w:rPr>
          <w:rFonts w:hint="cs"/>
          <w:rtl/>
        </w:rPr>
        <w:t>)</w:t>
      </w:r>
      <w:r w:rsidRPr="00A52585">
        <w:rPr>
          <w:rFonts w:hint="cs"/>
          <w:rtl/>
        </w:rPr>
        <w:t xml:space="preserve"> " </w:t>
      </w:r>
      <w:r w:rsidR="0002035C" w:rsidRPr="00A52585">
        <w:rPr>
          <w:rFonts w:hint="cs"/>
          <w:rtl/>
        </w:rPr>
        <w:t>[</w:t>
      </w:r>
      <w:r w:rsidRPr="00A52585">
        <w:rPr>
          <w:rFonts w:hint="cs"/>
          <w:rtl/>
        </w:rPr>
        <w:t>تفسير أبي السعود ج: 1 ص: 41] أهـ</w:t>
      </w:r>
      <w:r w:rsidR="00DB731D" w:rsidRPr="00A52585">
        <w:rPr>
          <w:rFonts w:hint="cs"/>
          <w:bCs/>
          <w:rtl/>
        </w:rPr>
        <w:t>،</w:t>
      </w:r>
      <w:r w:rsidRPr="00A52585">
        <w:rPr>
          <w:rFonts w:hint="cs"/>
          <w:bCs/>
          <w:rtl/>
        </w:rPr>
        <w:t xml:space="preserve"> وقال الثعالبي</w:t>
      </w:r>
      <w:r w:rsidR="0002035C" w:rsidRPr="00A52585">
        <w:rPr>
          <w:rFonts w:hint="cs"/>
          <w:rtl/>
        </w:rPr>
        <w:t>:</w:t>
      </w:r>
      <w:r w:rsidRPr="00A52585">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02035C" w:rsidRPr="00A52585">
        <w:rPr>
          <w:rFonts w:hint="cs"/>
          <w:rtl/>
        </w:rPr>
        <w:t xml:space="preserve"> </w:t>
      </w:r>
      <w:r w:rsidRPr="00A52585">
        <w:rPr>
          <w:rFonts w:hint="cs"/>
          <w:rtl/>
        </w:rPr>
        <w:t>يد الله</w:t>
      </w:r>
      <w:r w:rsidR="0002035C" w:rsidRPr="00A52585">
        <w:rPr>
          <w:rFonts w:hint="cs"/>
          <w:rtl/>
        </w:rPr>
        <w:t xml:space="preserve"> </w:t>
      </w:r>
      <w:r w:rsidRPr="00A52585">
        <w:rPr>
          <w:rFonts w:hint="cs"/>
          <w:rtl/>
        </w:rPr>
        <w:t>فوق أيديهم أي بالوفاء والعهد وقيل بالثواب وقيل</w:t>
      </w:r>
      <w:r w:rsidR="0002035C" w:rsidRPr="00A52585">
        <w:rPr>
          <w:rFonts w:hint="cs"/>
          <w:rtl/>
        </w:rPr>
        <w:t xml:space="preserve"> </w:t>
      </w:r>
      <w:r w:rsidRPr="00A52585">
        <w:rPr>
          <w:rFonts w:hint="cs"/>
          <w:rtl/>
        </w:rPr>
        <w:t>يد الله</w:t>
      </w:r>
      <w:r w:rsidR="0002035C" w:rsidRPr="00A52585">
        <w:rPr>
          <w:rFonts w:hint="cs"/>
          <w:rtl/>
        </w:rPr>
        <w:t xml:space="preserve"> </w:t>
      </w:r>
      <w:r w:rsidRPr="00A52585">
        <w:rPr>
          <w:rFonts w:hint="cs"/>
          <w:rtl/>
        </w:rPr>
        <w:t>في المنة عليهم فوق أيديهم في الطاعة عند المبايعة وهذا حسن قريب من الأول "</w:t>
      </w:r>
      <w:r w:rsidR="0002035C" w:rsidRPr="00A52585">
        <w:rPr>
          <w:rFonts w:hint="cs"/>
          <w:rtl/>
        </w:rPr>
        <w:t>[</w:t>
      </w:r>
      <w:r w:rsidRPr="00A52585">
        <w:rPr>
          <w:rFonts w:hint="cs"/>
          <w:rtl/>
        </w:rPr>
        <w:t>تفسير الثعالبي ج: 4 ص: 174] أهـ</w:t>
      </w:r>
      <w:r w:rsidR="00DB731D" w:rsidRPr="00A52585">
        <w:rPr>
          <w:rFonts w:hint="cs"/>
          <w:bCs/>
          <w:rtl/>
        </w:rPr>
        <w:t>،</w:t>
      </w:r>
      <w:r w:rsidRPr="00A52585">
        <w:rPr>
          <w:rFonts w:hint="cs"/>
          <w:bCs/>
          <w:rtl/>
        </w:rPr>
        <w:t xml:space="preserve"> وقال بن الجوزي</w:t>
      </w:r>
      <w:r w:rsidR="0002035C" w:rsidRPr="00A52585">
        <w:rPr>
          <w:rFonts w:hint="cs"/>
          <w:rtl/>
        </w:rPr>
        <w:t>:</w:t>
      </w:r>
      <w:r w:rsidRPr="00A52585">
        <w:rPr>
          <w:rFonts w:hint="cs"/>
          <w:rtl/>
        </w:rPr>
        <w:t xml:space="preserve"> " يد الله</w:t>
      </w:r>
      <w:r w:rsidR="0002035C" w:rsidRPr="00A52585">
        <w:rPr>
          <w:rFonts w:hint="cs"/>
          <w:rtl/>
        </w:rPr>
        <w:t xml:space="preserve"> </w:t>
      </w:r>
      <w:r w:rsidRPr="00A52585">
        <w:rPr>
          <w:rFonts w:hint="cs"/>
          <w:rtl/>
        </w:rPr>
        <w:t>فوق أيديهم فيه أربعة أقوال</w:t>
      </w:r>
      <w:r w:rsidR="0002035C" w:rsidRPr="00A52585">
        <w:rPr>
          <w:rFonts w:hint="cs"/>
          <w:rtl/>
        </w:rPr>
        <w:t xml:space="preserve"> </w:t>
      </w:r>
      <w:r w:rsidRPr="00A52585">
        <w:rPr>
          <w:rFonts w:hint="cs"/>
          <w:rtl/>
        </w:rPr>
        <w:t>أحدها</w:t>
      </w:r>
      <w:r w:rsidR="0002035C" w:rsidRPr="00A52585">
        <w:rPr>
          <w:rFonts w:hint="cs"/>
          <w:rtl/>
        </w:rPr>
        <w:t xml:space="preserve"> </w:t>
      </w:r>
      <w:r w:rsidRPr="00A52585">
        <w:rPr>
          <w:rFonts w:hint="cs"/>
          <w:rtl/>
        </w:rPr>
        <w:t>يد الله</w:t>
      </w:r>
      <w:r w:rsidR="0002035C" w:rsidRPr="00A52585">
        <w:rPr>
          <w:rFonts w:hint="cs"/>
          <w:rtl/>
        </w:rPr>
        <w:t xml:space="preserve"> </w:t>
      </w:r>
      <w:r w:rsidRPr="00A52585">
        <w:rPr>
          <w:rFonts w:hint="cs"/>
          <w:rtl/>
        </w:rPr>
        <w:t>في الوفاء فوق أيديهم والثاني</w:t>
      </w:r>
      <w:r w:rsidR="0002035C" w:rsidRPr="00A52585">
        <w:rPr>
          <w:rFonts w:hint="cs"/>
          <w:rtl/>
        </w:rPr>
        <w:t xml:space="preserve"> </w:t>
      </w:r>
      <w:r w:rsidRPr="00A52585">
        <w:rPr>
          <w:rFonts w:hint="cs"/>
          <w:rtl/>
        </w:rPr>
        <w:t>يد الله</w:t>
      </w:r>
      <w:r w:rsidR="0002035C" w:rsidRPr="00A52585">
        <w:rPr>
          <w:rFonts w:hint="cs"/>
          <w:rtl/>
        </w:rPr>
        <w:t xml:space="preserve"> </w:t>
      </w:r>
      <w:r w:rsidRPr="00A52585">
        <w:rPr>
          <w:rFonts w:hint="cs"/>
          <w:rtl/>
        </w:rPr>
        <w:t>في الثواب فوق أيديهم والثالث</w:t>
      </w:r>
      <w:r w:rsidR="0002035C" w:rsidRPr="00A52585">
        <w:rPr>
          <w:rFonts w:hint="cs"/>
          <w:rtl/>
        </w:rPr>
        <w:t xml:space="preserve"> </w:t>
      </w:r>
      <w:r w:rsidRPr="00A52585">
        <w:rPr>
          <w:rFonts w:hint="cs"/>
          <w:rtl/>
        </w:rPr>
        <w:t>يد الله</w:t>
      </w:r>
      <w:r w:rsidR="0002035C" w:rsidRPr="00A52585">
        <w:rPr>
          <w:rFonts w:hint="cs"/>
          <w:rtl/>
        </w:rPr>
        <w:t xml:space="preserve"> </w:t>
      </w:r>
      <w:r w:rsidRPr="00A52585">
        <w:rPr>
          <w:rFonts w:hint="cs"/>
          <w:rtl/>
        </w:rPr>
        <w:lastRenderedPageBreak/>
        <w:t xml:space="preserve">عليهم في المنة بالهداية فوق أيديهم </w:t>
      </w:r>
      <w:proofErr w:type="spellStart"/>
      <w:r w:rsidRPr="00A52585">
        <w:rPr>
          <w:rFonts w:hint="cs"/>
          <w:rtl/>
        </w:rPr>
        <w:t>بالطاعة</w:t>
      </w:r>
      <w:r w:rsidR="00897A24" w:rsidRPr="00A52585">
        <w:rPr>
          <w:rFonts w:hint="cs"/>
          <w:rtl/>
        </w:rPr>
        <w:t>.</w:t>
      </w:r>
      <w:r w:rsidRPr="00A52585">
        <w:rPr>
          <w:rFonts w:hint="cs"/>
          <w:rtl/>
        </w:rPr>
        <w:t>.والرابع</w:t>
      </w:r>
      <w:proofErr w:type="spellEnd"/>
      <w:r w:rsidRPr="00A52585">
        <w:rPr>
          <w:rFonts w:hint="cs"/>
          <w:rtl/>
        </w:rPr>
        <w:t xml:space="preserve"> قوة الله ونصرته فوق قوتهم ونصرتهم "</w:t>
      </w:r>
      <w:r w:rsidR="0002035C" w:rsidRPr="00A52585">
        <w:rPr>
          <w:rFonts w:hint="cs"/>
          <w:rtl/>
        </w:rPr>
        <w:t>[</w:t>
      </w:r>
      <w:r w:rsidRPr="00A52585">
        <w:rPr>
          <w:rFonts w:hint="cs"/>
          <w:rtl/>
        </w:rPr>
        <w:t>زاد المسير ج: 7 ص: 427] أهـ</w:t>
      </w:r>
      <w:r w:rsidR="00DB731D" w:rsidRPr="00A52585">
        <w:rPr>
          <w:rFonts w:hint="cs"/>
          <w:rtl/>
        </w:rPr>
        <w:t>،</w:t>
      </w:r>
      <w:r w:rsidRPr="00A52585">
        <w:rPr>
          <w:rFonts w:hint="cs"/>
          <w:rtl/>
        </w:rPr>
        <w:t xml:space="preserve"> </w:t>
      </w:r>
      <w:r w:rsidRPr="00A52585">
        <w:rPr>
          <w:rFonts w:hint="cs"/>
          <w:bCs/>
          <w:rtl/>
        </w:rPr>
        <w:t>وقال القرطبي</w:t>
      </w:r>
      <w:r w:rsidR="0002035C" w:rsidRPr="00A52585">
        <w:rPr>
          <w:rFonts w:hint="cs"/>
          <w:rtl/>
        </w:rPr>
        <w:t>:</w:t>
      </w:r>
      <w:r w:rsidRPr="00A52585">
        <w:rPr>
          <w:rFonts w:hint="cs"/>
          <w:rtl/>
        </w:rPr>
        <w:t xml:space="preserve"> " يد</w:t>
      </w:r>
      <w:r w:rsidRPr="00A52585">
        <w:rPr>
          <w:rFonts w:hint="cs"/>
        </w:rPr>
        <w:t xml:space="preserve"> </w:t>
      </w:r>
      <w:r w:rsidRPr="00A52585">
        <w:rPr>
          <w:rFonts w:hint="cs"/>
          <w:rtl/>
        </w:rPr>
        <w:t>الله فوق</w:t>
      </w:r>
      <w:r w:rsidRPr="00A52585">
        <w:rPr>
          <w:rFonts w:hint="cs"/>
        </w:rPr>
        <w:t xml:space="preserve"> </w:t>
      </w:r>
      <w:r w:rsidRPr="00A52585">
        <w:rPr>
          <w:rFonts w:hint="cs"/>
          <w:rtl/>
        </w:rPr>
        <w:t>أيديهم قيل</w:t>
      </w:r>
      <w:r w:rsidR="0002035C" w:rsidRPr="00A52585">
        <w:rPr>
          <w:rFonts w:hint="cs"/>
          <w:rtl/>
        </w:rPr>
        <w:t xml:space="preserve"> </w:t>
      </w:r>
      <w:r w:rsidRPr="00A52585">
        <w:rPr>
          <w:rFonts w:hint="cs"/>
          <w:rtl/>
        </w:rPr>
        <w:t>يده</w:t>
      </w:r>
      <w:r w:rsidRPr="00A52585">
        <w:rPr>
          <w:rFonts w:hint="cs"/>
        </w:rPr>
        <w:t xml:space="preserve"> </w:t>
      </w:r>
      <w:r w:rsidRPr="00A52585">
        <w:rPr>
          <w:rFonts w:hint="cs"/>
          <w:rtl/>
        </w:rPr>
        <w:t>في الثواب فوق أيديهم في الوفاء ويده في المنة عليهم بالهداية فوق أيديهم</w:t>
      </w:r>
      <w:r w:rsidRPr="00A52585">
        <w:rPr>
          <w:rFonts w:hint="cs"/>
        </w:rPr>
        <w:t xml:space="preserve"> </w:t>
      </w:r>
      <w:r w:rsidRPr="00A52585">
        <w:rPr>
          <w:rFonts w:hint="cs"/>
          <w:rtl/>
        </w:rPr>
        <w:t>في الطاعة وقال الكلبي</w:t>
      </w:r>
      <w:r w:rsidR="0002035C" w:rsidRPr="00A52585">
        <w:rPr>
          <w:rFonts w:hint="cs"/>
          <w:rtl/>
        </w:rPr>
        <w:t xml:space="preserve"> </w:t>
      </w:r>
      <w:r w:rsidRPr="00A52585">
        <w:rPr>
          <w:rFonts w:hint="cs"/>
          <w:rtl/>
        </w:rPr>
        <w:t>معناه</w:t>
      </w:r>
      <w:r w:rsidRPr="00A52585">
        <w:rPr>
          <w:rFonts w:hint="cs"/>
        </w:rPr>
        <w:t xml:space="preserve"> </w:t>
      </w:r>
      <w:r w:rsidRPr="00A52585">
        <w:rPr>
          <w:rFonts w:hint="cs"/>
          <w:rtl/>
        </w:rPr>
        <w:t>نعمة الله</w:t>
      </w:r>
      <w:r w:rsidRPr="00A52585">
        <w:rPr>
          <w:rFonts w:hint="cs"/>
        </w:rPr>
        <w:t xml:space="preserve"> </w:t>
      </w:r>
      <w:r w:rsidRPr="00A52585">
        <w:rPr>
          <w:rFonts w:hint="cs"/>
          <w:rtl/>
        </w:rPr>
        <w:t>عليهم " [تفسير القرطبي ج: 16 ص: 267] أهـ</w:t>
      </w:r>
      <w:r w:rsidR="00DB731D" w:rsidRPr="00A52585">
        <w:rPr>
          <w:rFonts w:hint="cs"/>
          <w:rtl/>
        </w:rPr>
        <w:t>،</w:t>
      </w:r>
      <w:r w:rsidRPr="00A52585">
        <w:rPr>
          <w:rFonts w:hint="cs"/>
          <w:rtl/>
        </w:rPr>
        <w:t xml:space="preserve"> </w:t>
      </w:r>
      <w:r w:rsidRPr="00A52585">
        <w:rPr>
          <w:rFonts w:hint="cs"/>
          <w:bCs/>
          <w:rtl/>
        </w:rPr>
        <w:t>وقال بن كثير</w:t>
      </w:r>
      <w:r w:rsidR="0002035C" w:rsidRPr="00A52585">
        <w:rPr>
          <w:rFonts w:hint="cs"/>
          <w:rtl/>
        </w:rPr>
        <w:t>:</w:t>
      </w:r>
      <w:r w:rsidRPr="00A52585">
        <w:rPr>
          <w:rFonts w:hint="cs"/>
          <w:rtl/>
        </w:rPr>
        <w:t xml:space="preserve"> " ثم</w:t>
      </w:r>
      <w:r w:rsidRPr="00A52585">
        <w:rPr>
          <w:rFonts w:hint="cs"/>
        </w:rPr>
        <w:t xml:space="preserve"> </w:t>
      </w:r>
      <w:r w:rsidRPr="00A52585">
        <w:rPr>
          <w:rFonts w:hint="cs"/>
          <w:rtl/>
        </w:rPr>
        <w:t>قال عز وجل لرسوله صلى الله عليه وسلم تشريفا له</w:t>
      </w:r>
      <w:r w:rsidRPr="00A52585">
        <w:rPr>
          <w:rFonts w:hint="cs"/>
        </w:rPr>
        <w:t xml:space="preserve"> </w:t>
      </w:r>
      <w:r w:rsidRPr="00A52585">
        <w:rPr>
          <w:rFonts w:hint="cs"/>
          <w:rtl/>
        </w:rPr>
        <w:t>وتعظيما وتكريما إن الذين يبايعونك إنما يبايعون الله كقوله جل وعلا من يطع الرسول</w:t>
      </w:r>
      <w:r w:rsidRPr="00A52585">
        <w:rPr>
          <w:rFonts w:hint="cs"/>
        </w:rPr>
        <w:t xml:space="preserve"> </w:t>
      </w:r>
      <w:r w:rsidRPr="00A52585">
        <w:rPr>
          <w:rFonts w:hint="cs"/>
          <w:rtl/>
        </w:rPr>
        <w:t>فقد أطاع الله</w:t>
      </w:r>
      <w:r w:rsidR="0002035C" w:rsidRPr="00A52585">
        <w:rPr>
          <w:rtl/>
        </w:rPr>
        <w:t xml:space="preserve"> </w:t>
      </w:r>
      <w:r w:rsidRPr="00A52585">
        <w:rPr>
          <w:rFonts w:hint="cs"/>
          <w:rtl/>
        </w:rPr>
        <w:t>يد</w:t>
      </w:r>
      <w:r w:rsidRPr="00A52585">
        <w:rPr>
          <w:rFonts w:hint="cs"/>
        </w:rPr>
        <w:t xml:space="preserve"> </w:t>
      </w:r>
      <w:r w:rsidRPr="00A52585">
        <w:rPr>
          <w:rFonts w:hint="cs"/>
          <w:rtl/>
        </w:rPr>
        <w:t>الله</w:t>
      </w:r>
      <w:r w:rsidR="0002035C" w:rsidRPr="00A52585">
        <w:rPr>
          <w:rtl/>
        </w:rPr>
        <w:t xml:space="preserve"> </w:t>
      </w:r>
      <w:r w:rsidRPr="00A52585">
        <w:rPr>
          <w:rFonts w:hint="cs"/>
          <w:rtl/>
        </w:rPr>
        <w:t>فوق</w:t>
      </w:r>
      <w:r w:rsidRPr="00A52585">
        <w:rPr>
          <w:rFonts w:hint="cs"/>
        </w:rPr>
        <w:t xml:space="preserve"> </w:t>
      </w:r>
      <w:r w:rsidRPr="00A52585">
        <w:rPr>
          <w:rFonts w:hint="cs"/>
          <w:rtl/>
        </w:rPr>
        <w:t>أيديهم أي هو حاضر معهم يسمع أقوالهم ويرى مكانهم</w:t>
      </w:r>
      <w:r w:rsidRPr="00A52585">
        <w:rPr>
          <w:rFonts w:hint="cs"/>
        </w:rPr>
        <w:t xml:space="preserve"> </w:t>
      </w:r>
      <w:r w:rsidRPr="00A52585">
        <w:rPr>
          <w:rFonts w:hint="cs"/>
          <w:rtl/>
        </w:rPr>
        <w:t>ويعلم ضمائرهم وظواهرهم فهو تعالى هو المبايع بواسطة رسول الله صلى الله عليه</w:t>
      </w:r>
      <w:r w:rsidRPr="00A52585">
        <w:rPr>
          <w:rFonts w:hint="cs"/>
        </w:rPr>
        <w:t xml:space="preserve"> </w:t>
      </w:r>
      <w:r w:rsidRPr="00A52585">
        <w:rPr>
          <w:rFonts w:hint="cs"/>
          <w:rtl/>
        </w:rPr>
        <w:t xml:space="preserve">وسلم " </w:t>
      </w:r>
      <w:r w:rsidR="0002035C" w:rsidRPr="00A52585">
        <w:rPr>
          <w:rFonts w:hint="cs"/>
          <w:rtl/>
        </w:rPr>
        <w:t>[</w:t>
      </w:r>
      <w:r w:rsidRPr="00A52585">
        <w:rPr>
          <w:rFonts w:hint="cs"/>
          <w:rtl/>
        </w:rPr>
        <w:t>تفسير ابن كثير ج: 4 ص: 186] أهـ</w:t>
      </w:r>
      <w:r w:rsidR="00DB731D" w:rsidRPr="00A52585">
        <w:rPr>
          <w:rFonts w:hint="cs"/>
          <w:rtl/>
        </w:rPr>
        <w:t>،</w:t>
      </w:r>
      <w:r w:rsidRPr="00A52585">
        <w:rPr>
          <w:rFonts w:hint="cs"/>
          <w:rtl/>
        </w:rPr>
        <w:t xml:space="preserve"> </w:t>
      </w:r>
      <w:r w:rsidRPr="00A52585">
        <w:rPr>
          <w:rFonts w:hint="cs"/>
          <w:bCs/>
          <w:rtl/>
        </w:rPr>
        <w:t>وقال الشوكاني</w:t>
      </w:r>
      <w:r w:rsidR="0002035C" w:rsidRPr="00A52585">
        <w:rPr>
          <w:rFonts w:hint="cs"/>
          <w:rtl/>
        </w:rPr>
        <w:t>:</w:t>
      </w:r>
      <w:r w:rsidRPr="00A52585">
        <w:rPr>
          <w:rFonts w:hint="cs"/>
          <w:rtl/>
        </w:rPr>
        <w:t xml:space="preserve"> " يد الله</w:t>
      </w:r>
      <w:r w:rsidR="0002035C" w:rsidRPr="00A52585">
        <w:rPr>
          <w:rFonts w:hint="cs"/>
          <w:rtl/>
        </w:rPr>
        <w:t xml:space="preserve"> </w:t>
      </w:r>
      <w:r w:rsidRPr="00A52585">
        <w:rPr>
          <w:rFonts w:hint="cs"/>
          <w:rtl/>
        </w:rPr>
        <w:t xml:space="preserve">فوق أيديهم مستأنفة لتقرير ما قبلها على طريق التخييل " </w:t>
      </w:r>
      <w:r w:rsidR="0002035C" w:rsidRPr="00A52585">
        <w:rPr>
          <w:rFonts w:hint="cs"/>
          <w:rtl/>
        </w:rPr>
        <w:t>[</w:t>
      </w:r>
      <w:r w:rsidRPr="00A52585">
        <w:rPr>
          <w:rFonts w:hint="cs"/>
          <w:rtl/>
        </w:rPr>
        <w:t>فتح القدير ج: 5 ص: 47] أهـ</w:t>
      </w:r>
      <w:r w:rsidR="00DB731D" w:rsidRPr="00A52585">
        <w:rPr>
          <w:rFonts w:hint="cs"/>
          <w:rtl/>
        </w:rPr>
        <w:t>،</w:t>
      </w:r>
      <w:r w:rsidRPr="00A52585">
        <w:rPr>
          <w:rFonts w:hint="cs"/>
          <w:rtl/>
        </w:rPr>
        <w:t xml:space="preserve"> </w:t>
      </w:r>
      <w:r w:rsidRPr="00A52585">
        <w:rPr>
          <w:rFonts w:hint="cs"/>
          <w:bCs/>
          <w:rtl/>
        </w:rPr>
        <w:t>وقال السيوطي</w:t>
      </w:r>
      <w:r w:rsidR="0002035C" w:rsidRPr="00A52585">
        <w:rPr>
          <w:rFonts w:hint="cs"/>
          <w:rtl/>
        </w:rPr>
        <w:t>:</w:t>
      </w:r>
      <w:r w:rsidRPr="00A52585">
        <w:rPr>
          <w:rFonts w:hint="cs"/>
          <w:rtl/>
        </w:rPr>
        <w:t xml:space="preserve"> " يد الله فوق أيديهم التي بايعوا بها النبي أي هو تعالى مطلع على مبايعتهم فيجازيهم عليها " [تفسير الجلالين ج: 1 ص: 680] 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rtl/>
        </w:rPr>
        <w:t>:</w:t>
      </w:r>
      <w:r w:rsidRPr="00A52585">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02035C" w:rsidRPr="00A52585">
        <w:rPr>
          <w:rFonts w:hint="cs"/>
          <w:rtl/>
        </w:rPr>
        <w:t>(</w:t>
      </w:r>
      <w:r w:rsidRPr="00A52585">
        <w:rPr>
          <w:rFonts w:hint="cs"/>
          <w:rtl/>
        </w:rPr>
        <w:t>من يطع الرسول فقد اطاع الله</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تفسير النسفي ج: 4 ص: 154] أهـ</w:t>
      </w:r>
      <w:r w:rsidR="00DB731D" w:rsidRPr="00A52585">
        <w:rPr>
          <w:rFonts w:hint="cs"/>
          <w:rtl/>
        </w:rPr>
        <w:t>،</w:t>
      </w:r>
      <w:r w:rsidRPr="00A52585">
        <w:rPr>
          <w:rFonts w:hint="cs"/>
          <w:rtl/>
        </w:rPr>
        <w:t xml:space="preserve"> </w:t>
      </w:r>
      <w:r w:rsidRPr="00A52585">
        <w:rPr>
          <w:rFonts w:hint="cs"/>
          <w:bCs/>
          <w:rtl/>
        </w:rPr>
        <w:t>وقال الألوسي</w:t>
      </w:r>
      <w:r w:rsidRPr="00A52585">
        <w:rPr>
          <w:rFonts w:hint="cs"/>
          <w:rtl/>
        </w:rPr>
        <w:t xml:space="preserve"> " يد الله</w:t>
      </w:r>
      <w:r w:rsidR="0002035C" w:rsidRPr="00A52585">
        <w:rPr>
          <w:rFonts w:hint="cs"/>
          <w:rtl/>
        </w:rPr>
        <w:t xml:space="preserve"> </w:t>
      </w:r>
      <w:r w:rsidRPr="00A52585">
        <w:rPr>
          <w:rFonts w:hint="cs"/>
          <w:rtl/>
        </w:rPr>
        <w:t>فوق أيديهم استئناف مؤكد لما قبله لأنه عبارة عن المبالغة قال في الكشاف لما قال سبحانه</w:t>
      </w:r>
      <w:r w:rsidR="0002035C" w:rsidRPr="00A52585">
        <w:rPr>
          <w:rFonts w:hint="cs"/>
          <w:rtl/>
        </w:rPr>
        <w:t xml:space="preserve"> </w:t>
      </w:r>
      <w:r w:rsidRPr="00A52585">
        <w:rPr>
          <w:rFonts w:hint="cs"/>
          <w:rtl/>
        </w:rPr>
        <w:t xml:space="preserve">إنما يبايعون الله أكده على طريقة التخييل فقال تعالى </w:t>
      </w:r>
      <w:r w:rsidR="0002035C" w:rsidRPr="00A52585">
        <w:rPr>
          <w:rFonts w:hint="cs"/>
          <w:rtl/>
        </w:rPr>
        <w:t>(</w:t>
      </w:r>
      <w:r w:rsidRPr="00A52585">
        <w:rPr>
          <w:rFonts w:hint="cs"/>
          <w:rtl/>
        </w:rPr>
        <w:t>يد الله فوق أيديهم</w:t>
      </w:r>
      <w:r w:rsidR="0002035C" w:rsidRPr="00A52585">
        <w:rPr>
          <w:rFonts w:hint="cs"/>
          <w:rtl/>
        </w:rPr>
        <w:t>)</w:t>
      </w:r>
      <w:r w:rsidRPr="00A52585">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sidRPr="00A52585">
        <w:rPr>
          <w:rFonts w:hint="cs"/>
          <w:rtl/>
        </w:rPr>
        <w:t>الأستعارة</w:t>
      </w:r>
      <w:proofErr w:type="spellEnd"/>
      <w:r w:rsidRPr="00A52585">
        <w:rPr>
          <w:rFonts w:hint="cs"/>
          <w:rtl/>
        </w:rPr>
        <w:t xml:space="preserve"> </w:t>
      </w:r>
      <w:proofErr w:type="spellStart"/>
      <w:r w:rsidRPr="00A52585">
        <w:rPr>
          <w:rFonts w:hint="cs"/>
          <w:rtl/>
        </w:rPr>
        <w:t>التخييلية</w:t>
      </w:r>
      <w:proofErr w:type="spellEnd"/>
      <w:r w:rsidRPr="00A52585">
        <w:rPr>
          <w:rFonts w:hint="cs"/>
          <w:rtl/>
        </w:rPr>
        <w:t xml:space="preserve"> فبحسب حسن </w:t>
      </w:r>
      <w:proofErr w:type="spellStart"/>
      <w:r w:rsidRPr="00A52585">
        <w:rPr>
          <w:rFonts w:hint="cs"/>
          <w:rtl/>
        </w:rPr>
        <w:t>الأستعارة</w:t>
      </w:r>
      <w:proofErr w:type="spellEnd"/>
      <w:r w:rsidRPr="00A52585">
        <w:rPr>
          <w:rFonts w:hint="cs"/>
          <w:rtl/>
        </w:rPr>
        <w:t xml:space="preserve"> بالكناية متى كانت " [روح المعاني ج: 26 ص: 96] أهـ </w:t>
      </w:r>
      <w:r w:rsidRPr="00A52585">
        <w:rPr>
          <w:rFonts w:hint="cs"/>
          <w:bCs/>
          <w:rtl/>
        </w:rPr>
        <w:t>وقال رحمه الله</w:t>
      </w:r>
      <w:r w:rsidR="0002035C" w:rsidRPr="00A52585">
        <w:rPr>
          <w:rFonts w:hint="cs"/>
          <w:rtl/>
        </w:rPr>
        <w:t>:</w:t>
      </w:r>
      <w:r w:rsidRPr="00A52585">
        <w:rPr>
          <w:rFonts w:hint="cs"/>
          <w:rtl/>
        </w:rPr>
        <w:t xml:space="preserve"> عند تفسير قوله تعالى </w:t>
      </w:r>
      <w:r w:rsidR="0002035C" w:rsidRPr="00A52585">
        <w:rPr>
          <w:rFonts w:hint="cs"/>
          <w:rtl/>
        </w:rPr>
        <w:t>{</w:t>
      </w:r>
      <w:r w:rsidRPr="00A52585">
        <w:rPr>
          <w:rFonts w:hint="cs"/>
          <w:rtl/>
        </w:rPr>
        <w:t>يد الله فوق أيديهم</w:t>
      </w:r>
      <w:r w:rsidR="0002035C" w:rsidRPr="00A52585">
        <w:rPr>
          <w:rFonts w:hint="cs"/>
          <w:rtl/>
        </w:rPr>
        <w:t>}</w:t>
      </w:r>
      <w:r w:rsidR="00DB731D" w:rsidRPr="00A52585">
        <w:rPr>
          <w:rFonts w:hint="cs"/>
          <w:rtl/>
        </w:rPr>
        <w:t>،</w:t>
      </w:r>
      <w:r w:rsidRPr="00A52585">
        <w:rPr>
          <w:rFonts w:hint="cs"/>
          <w:rtl/>
        </w:rPr>
        <w:t xml:space="preserve"> " والسلف يمرون الآية كما جاءت مع</w:t>
      </w:r>
      <w:r w:rsidR="0002035C" w:rsidRPr="00A52585">
        <w:rPr>
          <w:rFonts w:hint="cs"/>
          <w:rtl/>
        </w:rPr>
        <w:t xml:space="preserve"> </w:t>
      </w:r>
      <w:r w:rsidRPr="00A52585">
        <w:rPr>
          <w:rFonts w:hint="cs"/>
          <w:rtl/>
        </w:rPr>
        <w:t>تنزيه الله</w:t>
      </w:r>
      <w:r w:rsidR="0002035C" w:rsidRPr="00A52585">
        <w:rPr>
          <w:rFonts w:hint="cs"/>
          <w:rtl/>
        </w:rPr>
        <w:t xml:space="preserve"> </w:t>
      </w:r>
      <w:r w:rsidRPr="00A52585">
        <w:rPr>
          <w:rFonts w:hint="cs"/>
          <w:rtl/>
        </w:rPr>
        <w:t>عز وجل عن الجوارح وصفات الأجسام</w:t>
      </w:r>
      <w:r w:rsidRPr="00A52585">
        <w:rPr>
          <w:rFonts w:hint="cs"/>
          <w:bCs/>
          <w:rtl/>
        </w:rPr>
        <w:t xml:space="preserve"> </w:t>
      </w:r>
      <w:r w:rsidRPr="00A52585">
        <w:rPr>
          <w:rFonts w:hint="cs"/>
          <w:rtl/>
        </w:rPr>
        <w:t>وكذلك يفعلون في جميع المتشابهات ويقولون</w:t>
      </w:r>
      <w:r w:rsidR="0002035C" w:rsidRPr="00A52585">
        <w:rPr>
          <w:rFonts w:hint="cs"/>
          <w:rtl/>
        </w:rPr>
        <w:t xml:space="preserve"> </w:t>
      </w:r>
      <w:r w:rsidRPr="00A52585">
        <w:rPr>
          <w:rFonts w:hint="cs"/>
          <w:rtl/>
        </w:rPr>
        <w:t>إن معرفة حقيقة ذلك فرع</w:t>
      </w:r>
      <w:r w:rsidR="0002035C" w:rsidRPr="00A52585">
        <w:rPr>
          <w:rFonts w:hint="cs"/>
          <w:rtl/>
        </w:rPr>
        <w:t xml:space="preserve"> </w:t>
      </w:r>
      <w:r w:rsidRPr="00A52585">
        <w:rPr>
          <w:rFonts w:hint="cs"/>
          <w:rtl/>
        </w:rPr>
        <w:t>معرفة حقيقة الذات وأني ذلك وهيهات هيهات " [روح المعاني ج 26 ص97] أهـ</w:t>
      </w:r>
      <w:r w:rsidR="00DB731D" w:rsidRPr="00A52585">
        <w:rPr>
          <w:rFonts w:hint="cs"/>
          <w:rtl/>
        </w:rPr>
        <w:t>،</w:t>
      </w:r>
      <w:r w:rsidRPr="00A52585">
        <w:rPr>
          <w:rFonts w:hint="cs"/>
          <w:rtl/>
        </w:rPr>
        <w:t xml:space="preserve"> </w:t>
      </w:r>
    </w:p>
    <w:p w14:paraId="0F82C87B" w14:textId="4E8CAE1D" w:rsidR="00777DCB" w:rsidRPr="00A52585" w:rsidRDefault="00777DCB" w:rsidP="0002035C">
      <w:pPr>
        <w:rPr>
          <w:rtl/>
        </w:rPr>
      </w:pP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قُلِ اللَّهُمَّ</w:t>
      </w:r>
      <w:r w:rsidRPr="00A52585">
        <w:rPr>
          <w:rFonts w:hint="cs"/>
        </w:rPr>
        <w:t xml:space="preserve"> </w:t>
      </w:r>
      <w:r w:rsidRPr="00A52585">
        <w:rPr>
          <w:rFonts w:hint="cs"/>
          <w:rtl/>
        </w:rPr>
        <w:t>مَالِكَ الْمُلْكِ تُؤْتِي الْمُلْكَ مَن تَشَاء وَتَنزِعُ الْمُلْكَ مِمَّن</w:t>
      </w:r>
      <w:r w:rsidRPr="00A52585">
        <w:rPr>
          <w:rFonts w:hint="cs"/>
        </w:rPr>
        <w:t xml:space="preserve"> </w:t>
      </w:r>
      <w:r w:rsidRPr="00A52585">
        <w:rPr>
          <w:rFonts w:hint="cs"/>
          <w:rtl/>
        </w:rPr>
        <w:t>تَشَاء وَتُعِزُّ مَن تَشَاء وَتُذِلُّ مَن تَشَاء بِيَدِكَ الْخَيْرُ إِنَّكَ</w:t>
      </w:r>
      <w:r w:rsidRPr="00A52585">
        <w:rPr>
          <w:rFonts w:hint="cs"/>
        </w:rPr>
        <w:t xml:space="preserve"> </w:t>
      </w:r>
      <w:r w:rsidRPr="00A52585">
        <w:rPr>
          <w:rFonts w:hint="cs"/>
          <w:rtl/>
        </w:rPr>
        <w:t>عَلَىَ كُلِّ شَيْءٍ قَدِيرٌ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26</w:t>
      </w:r>
      <w:r w:rsidR="0002035C" w:rsidRPr="00A52585">
        <w:rPr>
          <w:rFonts w:hint="cs"/>
          <w:rtl/>
        </w:rPr>
        <w:t>]</w:t>
      </w:r>
      <w:r w:rsidR="00DB731D" w:rsidRPr="00A52585">
        <w:rPr>
          <w:rFonts w:hint="cs"/>
          <w:rtl/>
        </w:rPr>
        <w:t>،</w:t>
      </w:r>
      <w:r w:rsidRPr="00A52585">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DB731D" w:rsidRPr="00A52585">
        <w:rPr>
          <w:rFonts w:hint="cs"/>
          <w:rtl/>
        </w:rPr>
        <w:t>،</w:t>
      </w:r>
      <w:r w:rsidRPr="00A52585">
        <w:rPr>
          <w:rFonts w:hint="cs"/>
          <w:rtl/>
        </w:rPr>
        <w:t xml:space="preserve"> وحمل معنى سياق قوله تعالى </w:t>
      </w:r>
      <w:r w:rsidR="0002035C" w:rsidRPr="00A52585">
        <w:rPr>
          <w:rFonts w:hint="cs"/>
          <w:rtl/>
        </w:rPr>
        <w:t>(</w:t>
      </w:r>
      <w:r w:rsidRPr="00A52585">
        <w:rPr>
          <w:rFonts w:hint="cs"/>
          <w:rtl/>
        </w:rPr>
        <w:t>بيدك الخير</w:t>
      </w:r>
      <w:r w:rsidR="0002035C" w:rsidRPr="00A52585">
        <w:rPr>
          <w:rFonts w:hint="cs"/>
          <w:rtl/>
        </w:rPr>
        <w:t>)</w:t>
      </w:r>
      <w:r w:rsidRPr="00A52585">
        <w:rPr>
          <w:rFonts w:hint="cs"/>
          <w:rtl/>
        </w:rPr>
        <w:t xml:space="preserve"> على القدرة لا على الجارحة هو ما </w:t>
      </w:r>
      <w:proofErr w:type="spellStart"/>
      <w:r w:rsidRPr="00A52585">
        <w:rPr>
          <w:rFonts w:hint="cs"/>
          <w:rtl/>
        </w:rPr>
        <w:t>اعتادته</w:t>
      </w:r>
      <w:proofErr w:type="spellEnd"/>
      <w:r w:rsidRPr="00A52585">
        <w:rPr>
          <w:rFonts w:hint="cs"/>
          <w:rtl/>
        </w:rPr>
        <w:t xml:space="preserve"> العرب من بلاغتها وهو الصحيح المحكم بقرينة ختم الآية بقوله (إِنَّكَ</w:t>
      </w:r>
      <w:r w:rsidRPr="00A52585">
        <w:rPr>
          <w:rFonts w:hint="cs"/>
        </w:rPr>
        <w:t xml:space="preserve"> </w:t>
      </w:r>
      <w:r w:rsidRPr="00A52585">
        <w:rPr>
          <w:rFonts w:hint="cs"/>
          <w:rtl/>
        </w:rPr>
        <w:t>عَلَىَ كُلِّ شَيْءٍ قَدِيرٌ</w:t>
      </w:r>
      <w:r w:rsidR="0002035C" w:rsidRPr="00A52585">
        <w:rPr>
          <w:rFonts w:hint="cs"/>
          <w:rtl/>
        </w:rPr>
        <w:t>)</w:t>
      </w:r>
      <w:r w:rsidRPr="00A52585">
        <w:rPr>
          <w:rFonts w:hint="cs"/>
          <w:rtl/>
        </w:rPr>
        <w:t xml:space="preserve"> أي بعموم القدرة لله </w:t>
      </w:r>
      <w:r w:rsidRPr="00A52585">
        <w:rPr>
          <w:rFonts w:hint="cs"/>
          <w:rtl/>
        </w:rPr>
        <w:lastRenderedPageBreak/>
        <w:t>وحده</w:t>
      </w:r>
      <w:r w:rsidR="00DB731D" w:rsidRPr="00A52585">
        <w:rPr>
          <w:rFonts w:hint="cs"/>
          <w:rtl/>
        </w:rPr>
        <w:t>،</w:t>
      </w:r>
      <w:r w:rsidRPr="00A52585">
        <w:rPr>
          <w:rFonts w:hint="cs"/>
          <w:rtl/>
        </w:rPr>
        <w:t xml:space="preserve"> </w:t>
      </w:r>
      <w:r w:rsidRPr="00A52585">
        <w:rPr>
          <w:rFonts w:hint="cs"/>
          <w:bCs/>
          <w:rtl/>
        </w:rPr>
        <w:t>قال أبو السعود</w:t>
      </w:r>
      <w:r w:rsidRPr="00A52585">
        <w:rPr>
          <w:rFonts w:hint="cs"/>
          <w:rtl/>
        </w:rPr>
        <w:t xml:space="preserve"> في تفسير الآية " بيدك</w:t>
      </w:r>
      <w:r w:rsidRPr="00A52585">
        <w:rPr>
          <w:rFonts w:hint="cs"/>
        </w:rPr>
        <w:t xml:space="preserve"> </w:t>
      </w:r>
      <w:r w:rsidRPr="00A52585">
        <w:rPr>
          <w:rFonts w:hint="cs"/>
          <w:rtl/>
        </w:rPr>
        <w:t>الخير</w:t>
      </w:r>
      <w:r w:rsidR="0002035C" w:rsidRPr="00A52585">
        <w:rPr>
          <w:rtl/>
        </w:rPr>
        <w:t xml:space="preserve"> </w:t>
      </w:r>
      <w:r w:rsidRPr="00A52585">
        <w:rPr>
          <w:rFonts w:hint="cs"/>
          <w:rtl/>
        </w:rPr>
        <w:t>تعريف</w:t>
      </w:r>
      <w:r w:rsidRPr="00A52585">
        <w:rPr>
          <w:rFonts w:hint="cs"/>
        </w:rPr>
        <w:t xml:space="preserve"> </w:t>
      </w:r>
      <w:r w:rsidRPr="00A52585">
        <w:rPr>
          <w:rFonts w:hint="cs"/>
          <w:rtl/>
        </w:rPr>
        <w:t>الخير للتعميم وتقديم الخبر للتخصيص أي بقدرتك الخير كله لا بقدرة أحد</w:t>
      </w:r>
      <w:r w:rsidRPr="00A52585">
        <w:rPr>
          <w:rFonts w:hint="cs"/>
        </w:rPr>
        <w:t xml:space="preserve"> </w:t>
      </w:r>
      <w:r w:rsidRPr="00A52585">
        <w:rPr>
          <w:rFonts w:hint="cs"/>
          <w:rtl/>
        </w:rPr>
        <w:t>غيرك "</w:t>
      </w:r>
      <w:r w:rsidR="0002035C" w:rsidRPr="00A52585">
        <w:rPr>
          <w:rFonts w:hint="cs"/>
          <w:rtl/>
        </w:rPr>
        <w:t>[</w:t>
      </w:r>
      <w:r w:rsidRPr="00A52585">
        <w:rPr>
          <w:rFonts w:hint="cs"/>
          <w:rtl/>
        </w:rPr>
        <w:t>تفسير أبي السعود ج: 2 ص: 21] أهـ</w:t>
      </w:r>
      <w:r w:rsidR="00DB731D" w:rsidRPr="00A52585">
        <w:rPr>
          <w:rFonts w:hint="cs"/>
          <w:rtl/>
        </w:rPr>
        <w:t>،</w:t>
      </w:r>
      <w:r w:rsidRPr="00A52585">
        <w:rPr>
          <w:rFonts w:hint="cs"/>
          <w:rtl/>
        </w:rPr>
        <w:t xml:space="preserve"> </w:t>
      </w:r>
      <w:r w:rsidRPr="00A52585">
        <w:rPr>
          <w:rFonts w:hint="cs"/>
          <w:bCs/>
          <w:rtl/>
        </w:rPr>
        <w:t>وقال الطبري</w:t>
      </w:r>
      <w:r w:rsidRPr="00A52585">
        <w:rPr>
          <w:rFonts w:hint="cs"/>
          <w:rtl/>
        </w:rPr>
        <w:t xml:space="preserve"> " بيدك الخير</w:t>
      </w:r>
      <w:r w:rsidR="0002035C" w:rsidRPr="00A52585">
        <w:rPr>
          <w:rFonts w:hint="cs"/>
          <w:rtl/>
        </w:rPr>
        <w:t xml:space="preserve"> </w:t>
      </w:r>
      <w:r w:rsidRPr="00A52585">
        <w:rPr>
          <w:rFonts w:hint="cs"/>
          <w:rtl/>
        </w:rPr>
        <w:t xml:space="preserve">إنك على كل شيء </w:t>
      </w:r>
      <w:proofErr w:type="spellStart"/>
      <w:r w:rsidRPr="00A52585">
        <w:rPr>
          <w:rFonts w:hint="cs"/>
          <w:rtl/>
        </w:rPr>
        <w:t>قدير</w:t>
      </w:r>
      <w:r w:rsidR="00897A24" w:rsidRPr="00A52585">
        <w:rPr>
          <w:rFonts w:hint="cs"/>
          <w:rtl/>
        </w:rPr>
        <w:t>.</w:t>
      </w:r>
      <w:r w:rsidRPr="00A52585">
        <w:rPr>
          <w:rFonts w:hint="cs"/>
          <w:rtl/>
        </w:rPr>
        <w:t>.بيدك</w:t>
      </w:r>
      <w:proofErr w:type="spellEnd"/>
      <w:r w:rsidRPr="00A52585">
        <w:rPr>
          <w:rFonts w:hint="cs"/>
          <w:rtl/>
        </w:rPr>
        <w:t xml:space="preserve"> القدرة التي تفعل هذه الأشياء وتقدر بها على كل شيء " [تفسير الطبري ج: 3 ص: 227] أهـ</w:t>
      </w:r>
      <w:r w:rsidR="00DB731D" w:rsidRPr="00A52585">
        <w:rPr>
          <w:rFonts w:hint="cs"/>
          <w:rtl/>
        </w:rPr>
        <w:t>،</w:t>
      </w:r>
      <w:r w:rsidRPr="00A52585">
        <w:rPr>
          <w:rFonts w:hint="cs"/>
          <w:rtl/>
        </w:rPr>
        <w:t xml:space="preserve"> </w:t>
      </w:r>
      <w:r w:rsidRPr="00A52585">
        <w:rPr>
          <w:rFonts w:hint="cs"/>
          <w:bCs/>
          <w:rtl/>
        </w:rPr>
        <w:t>وقال بن كثير</w:t>
      </w:r>
      <w:r w:rsidRPr="00A52585">
        <w:rPr>
          <w:rFonts w:hint="cs"/>
          <w:rtl/>
        </w:rPr>
        <w:t xml:space="preserve"> " يقول تعالى</w:t>
      </w:r>
      <w:r w:rsidRPr="00A52585">
        <w:rPr>
          <w:rFonts w:hint="cs"/>
        </w:rPr>
        <w:t xml:space="preserve"> </w:t>
      </w:r>
      <w:r w:rsidRPr="00A52585">
        <w:rPr>
          <w:rFonts w:hint="cs"/>
          <w:rtl/>
        </w:rPr>
        <w:t>منبها على أنه الخالق المتصرف في خلقه بما يشاء كما قال قل اللهم مالك الملك تؤتي</w:t>
      </w:r>
      <w:r w:rsidRPr="00A52585">
        <w:rPr>
          <w:rFonts w:hint="cs"/>
        </w:rPr>
        <w:t xml:space="preserve"> </w:t>
      </w:r>
      <w:r w:rsidRPr="00A52585">
        <w:rPr>
          <w:rFonts w:hint="cs"/>
          <w:rtl/>
        </w:rPr>
        <w:t>الملك من تشاء وتنزع الملك من تشاء وتعز من تشاء وتذل من تشاء</w:t>
      </w:r>
      <w:r w:rsidR="0002035C" w:rsidRPr="00A52585">
        <w:rPr>
          <w:rtl/>
        </w:rPr>
        <w:t xml:space="preserve"> </w:t>
      </w:r>
      <w:r w:rsidRPr="00A52585">
        <w:rPr>
          <w:rFonts w:hint="cs"/>
          <w:rtl/>
        </w:rPr>
        <w:t>بيدك</w:t>
      </w:r>
      <w:r w:rsidRPr="00A52585">
        <w:rPr>
          <w:rFonts w:hint="cs"/>
        </w:rPr>
        <w:t xml:space="preserve"> </w:t>
      </w:r>
      <w:r w:rsidRPr="00A52585">
        <w:rPr>
          <w:rFonts w:hint="cs"/>
          <w:rtl/>
        </w:rPr>
        <w:t>الخير "</w:t>
      </w:r>
      <w:r w:rsidR="0002035C" w:rsidRPr="00A52585">
        <w:rPr>
          <w:rFonts w:hint="cs"/>
          <w:rtl/>
        </w:rPr>
        <w:t>[</w:t>
      </w:r>
      <w:r w:rsidRPr="00A52585">
        <w:rPr>
          <w:rFonts w:hint="cs"/>
          <w:rtl/>
        </w:rPr>
        <w:t>تفسير ابن كثير ج: 3 ص: 233] أهـ</w:t>
      </w:r>
      <w:r w:rsidR="00DB731D" w:rsidRPr="00A52585">
        <w:rPr>
          <w:rFonts w:hint="cs"/>
          <w:rtl/>
        </w:rPr>
        <w:t>،</w:t>
      </w:r>
      <w:r w:rsidRPr="00A52585">
        <w:rPr>
          <w:rFonts w:hint="cs"/>
          <w:rtl/>
        </w:rPr>
        <w:t xml:space="preserve"> </w:t>
      </w:r>
      <w:r w:rsidRPr="00A52585">
        <w:rPr>
          <w:rFonts w:hint="cs"/>
          <w:bCs/>
          <w:rtl/>
        </w:rPr>
        <w:t>وقال القاضي البيضاوي</w:t>
      </w:r>
      <w:r w:rsidRPr="00A52585">
        <w:rPr>
          <w:rFonts w:hint="cs"/>
          <w:rtl/>
        </w:rPr>
        <w:t xml:space="preserve"> " بيدك الخير</w:t>
      </w:r>
      <w:r w:rsidR="0002035C" w:rsidRPr="00A52585">
        <w:rPr>
          <w:rFonts w:hint="cs"/>
          <w:rtl/>
        </w:rPr>
        <w:t xml:space="preserve"> </w:t>
      </w:r>
      <w:r w:rsidRPr="00A52585">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Pr="00A52585">
        <w:rPr>
          <w:rFonts w:hint="cs"/>
          <w:bCs/>
          <w:rtl/>
        </w:rPr>
        <w:t>تفسير البيضاوي ج: 2 ص: 24</w:t>
      </w:r>
      <w:r w:rsidRPr="00A52585">
        <w:rPr>
          <w:rFonts w:hint="cs"/>
          <w:rtl/>
        </w:rPr>
        <w:t>] أهـ</w:t>
      </w:r>
    </w:p>
    <w:p w14:paraId="2751C4EB" w14:textId="32898C3E" w:rsidR="00777DCB" w:rsidRPr="00A52585" w:rsidRDefault="00777DCB" w:rsidP="0002035C">
      <w:pPr>
        <w:rPr>
          <w:rtl/>
        </w:rPr>
      </w:pP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قُلْ إِنَّ</w:t>
      </w:r>
      <w:r w:rsidRPr="00A52585">
        <w:rPr>
          <w:rFonts w:hint="cs"/>
        </w:rPr>
        <w:t xml:space="preserve"> </w:t>
      </w:r>
      <w:r w:rsidRPr="00A52585">
        <w:rPr>
          <w:rFonts w:hint="cs"/>
          <w:rtl/>
        </w:rPr>
        <w:t>الْفَضْلَ بِيَدِ اللّهِ يُؤْتِيهِ مَن يَشَاء وَاللّهُ وَاسِعٌ عَلِيمٌ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73</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 (</w:t>
      </w:r>
      <w:r w:rsidRPr="00A52585">
        <w:rPr>
          <w:rFonts w:hint="cs"/>
          <w:rtl/>
        </w:rPr>
        <w:t>تَبَارَكَ الَّذِي</w:t>
      </w:r>
      <w:r w:rsidRPr="00A52585">
        <w:rPr>
          <w:rFonts w:hint="cs"/>
        </w:rPr>
        <w:t xml:space="preserve"> </w:t>
      </w:r>
      <w:r w:rsidRPr="00A52585">
        <w:rPr>
          <w:rFonts w:hint="cs"/>
          <w:rtl/>
        </w:rPr>
        <w:t>بِيَدِهِ الْمُلْكُ وَهُوَ عَلَى كُلِّ شَيْءٍ قَدِيرٌ</w:t>
      </w:r>
      <w:r w:rsidR="0002035C" w:rsidRPr="00A52585">
        <w:rPr>
          <w:rFonts w:hint="cs"/>
          <w:rtl/>
        </w:rPr>
        <w:t>)[</w:t>
      </w:r>
      <w:r w:rsidRPr="00A52585">
        <w:rPr>
          <w:rFonts w:hint="cs"/>
          <w:rtl/>
        </w:rPr>
        <w:t>سورة الملك/1]</w:t>
      </w:r>
      <w:r w:rsidR="00DB731D" w:rsidRPr="00A52585">
        <w:rPr>
          <w:rFonts w:hint="cs"/>
          <w:rtl/>
        </w:rPr>
        <w:t>،</w:t>
      </w:r>
      <w:r w:rsidRPr="00A52585">
        <w:rPr>
          <w:rFonts w:hint="cs"/>
          <w:rtl/>
        </w:rPr>
        <w:t xml:space="preserve"> </w:t>
      </w:r>
      <w:r w:rsidRPr="00A52585">
        <w:rPr>
          <w:rFonts w:hint="cs"/>
          <w:bCs/>
          <w:rtl/>
        </w:rPr>
        <w:t>وهاهنا التعبير القرآني (بِيَدِهِ الْمُلْكُ</w:t>
      </w:r>
      <w:r w:rsidR="0002035C" w:rsidRPr="00A52585">
        <w:rPr>
          <w:rFonts w:hint="cs"/>
          <w:bCs/>
          <w:rtl/>
        </w:rPr>
        <w:t>)</w:t>
      </w:r>
      <w:r w:rsidRPr="00A52585">
        <w:rPr>
          <w:rFonts w:hint="cs"/>
          <w:bCs/>
          <w:rtl/>
        </w:rPr>
        <w:t xml:space="preserve"> كناية عن القدرة بقرينة ختم الآية بقوله تعالى </w:t>
      </w:r>
      <w:r w:rsidR="0002035C" w:rsidRPr="00A52585">
        <w:rPr>
          <w:rFonts w:hint="cs"/>
          <w:bCs/>
          <w:rtl/>
        </w:rPr>
        <w:t>{</w:t>
      </w:r>
      <w:r w:rsidRPr="00A52585">
        <w:rPr>
          <w:rFonts w:hint="cs"/>
          <w:bCs/>
          <w:rtl/>
        </w:rPr>
        <w:t>وَهُوَ عَلَى كُلِّ شَيْءٍ قَدِيرٌ</w:t>
      </w:r>
      <w:r w:rsidR="0002035C" w:rsidRPr="00A52585">
        <w:rPr>
          <w:rFonts w:hint="cs"/>
          <w:bCs/>
          <w:rtl/>
        </w:rPr>
        <w:t xml:space="preserve">} </w:t>
      </w:r>
      <w:r w:rsidRPr="00A52585">
        <w:rPr>
          <w:rFonts w:hint="cs"/>
          <w:bCs/>
          <w:rtl/>
        </w:rPr>
        <w:t>ولا يقصد بهذا الأسلوب العربي البليغ إثبات جارحة اليد وهذا لا يفهمه إلا شخص بعيد عن جمال اللغة وبديعها</w:t>
      </w:r>
      <w:r w:rsidR="00DB731D" w:rsidRPr="00A52585">
        <w:rPr>
          <w:rFonts w:hint="cs"/>
          <w:bCs/>
          <w:rtl/>
        </w:rPr>
        <w:t>،</w:t>
      </w:r>
      <w:r w:rsidRPr="00A52585">
        <w:rPr>
          <w:rFonts w:hint="cs"/>
          <w:bCs/>
          <w:rtl/>
        </w:rPr>
        <w:t xml:space="preserve"> </w:t>
      </w:r>
      <w:r w:rsidRPr="00A52585">
        <w:rPr>
          <w:rFonts w:hint="cs"/>
          <w:rtl/>
        </w:rPr>
        <w:t xml:space="preserve">ولو كان المراد إثبات اليد على حقيقتها المعروفة لنا كجارحة لجاء التعبير المحكم بقوله </w:t>
      </w:r>
      <w:proofErr w:type="spellStart"/>
      <w:r w:rsidRPr="00A52585">
        <w:rPr>
          <w:rFonts w:hint="cs"/>
          <w:rtl/>
        </w:rPr>
        <w:t>إعلموا</w:t>
      </w:r>
      <w:proofErr w:type="spellEnd"/>
      <w:r w:rsidRPr="00A52585">
        <w:rPr>
          <w:rFonts w:hint="cs"/>
          <w:rtl/>
        </w:rPr>
        <w:t xml:space="preserve"> أن لله يد</w:t>
      </w:r>
      <w:r w:rsidR="00DB731D" w:rsidRPr="00A52585">
        <w:rPr>
          <w:rFonts w:hint="cs"/>
          <w:rtl/>
        </w:rPr>
        <w:t>،</w:t>
      </w:r>
      <w:r w:rsidRPr="00A52585">
        <w:rPr>
          <w:rFonts w:hint="cs"/>
          <w:rtl/>
        </w:rPr>
        <w:t xml:space="preserve"> أو آمنوا بأن لله يد وهكذا كما جاءت الآيات المحكمات تترا بمثل قوله تعالى (فَاعْلَمُواْ أَنَّ</w:t>
      </w:r>
      <w:r w:rsidRPr="00A52585">
        <w:rPr>
          <w:rFonts w:hint="cs"/>
        </w:rPr>
        <w:t xml:space="preserve"> </w:t>
      </w:r>
      <w:r w:rsidRPr="00A52585">
        <w:rPr>
          <w:rFonts w:hint="cs"/>
          <w:rtl/>
        </w:rPr>
        <w:t>اللّهَ عَزِيزٌ حَكِيمٌ</w:t>
      </w:r>
      <w:r w:rsidR="0002035C" w:rsidRPr="00A52585">
        <w:rPr>
          <w:rFonts w:hint="cs"/>
          <w:rtl/>
        </w:rPr>
        <w:t>)</w:t>
      </w:r>
      <w:r w:rsidRPr="00A52585">
        <w:rPr>
          <w:rFonts w:hint="cs"/>
          <w:rtl/>
        </w:rPr>
        <w:t xml:space="preserve"> و (وَاعْلَمُواْ أَنَّ</w:t>
      </w:r>
      <w:r w:rsidRPr="00A52585">
        <w:rPr>
          <w:rFonts w:hint="cs"/>
        </w:rPr>
        <w:t xml:space="preserve"> </w:t>
      </w:r>
      <w:r w:rsidRPr="00A52585">
        <w:rPr>
          <w:rFonts w:hint="cs"/>
          <w:rtl/>
        </w:rPr>
        <w:t>اللّهَ بِكُلِّ شَيْءٍ عَلِيمٌ</w:t>
      </w:r>
      <w:r w:rsidR="0002035C" w:rsidRPr="00A52585">
        <w:rPr>
          <w:rFonts w:hint="cs"/>
          <w:rtl/>
        </w:rPr>
        <w:t>)</w:t>
      </w:r>
      <w:r w:rsidRPr="00A52585">
        <w:rPr>
          <w:rFonts w:hint="cs"/>
          <w:rtl/>
        </w:rPr>
        <w:t>و (وَاعْلَمُواْ أَنَّ</w:t>
      </w:r>
      <w:r w:rsidRPr="00A52585">
        <w:rPr>
          <w:rFonts w:hint="cs"/>
        </w:rPr>
        <w:t xml:space="preserve"> </w:t>
      </w:r>
      <w:r w:rsidRPr="00A52585">
        <w:rPr>
          <w:rFonts w:hint="cs"/>
          <w:rtl/>
        </w:rPr>
        <w:t>اللّهَ غَفُورٌ حَلِيمٌ</w:t>
      </w:r>
      <w:r w:rsidR="0002035C" w:rsidRPr="00A52585">
        <w:rPr>
          <w:rFonts w:hint="cs"/>
          <w:rtl/>
        </w:rPr>
        <w:t>)</w:t>
      </w:r>
      <w:r w:rsidRPr="00A52585">
        <w:rPr>
          <w:rFonts w:hint="cs"/>
          <w:rtl/>
        </w:rPr>
        <w:t>و (وَاعْلَمُواْ أَنَّ</w:t>
      </w:r>
      <w:r w:rsidRPr="00A52585">
        <w:rPr>
          <w:rFonts w:hint="cs"/>
        </w:rPr>
        <w:t xml:space="preserve"> </w:t>
      </w:r>
      <w:r w:rsidRPr="00A52585">
        <w:rPr>
          <w:rFonts w:hint="cs"/>
          <w:rtl/>
        </w:rPr>
        <w:t>اللّهَ سَمِيعٌ عَلِيمٌ</w:t>
      </w:r>
      <w:r w:rsidR="0002035C" w:rsidRPr="00A52585">
        <w:rPr>
          <w:rFonts w:hint="cs"/>
          <w:rtl/>
        </w:rPr>
        <w:t>)</w:t>
      </w:r>
      <w:r w:rsidRPr="00A52585">
        <w:rPr>
          <w:rFonts w:hint="cs"/>
          <w:rtl/>
        </w:rPr>
        <w:t>و (وَاعْلَمُواْ أَنَّ</w:t>
      </w:r>
      <w:r w:rsidRPr="00A52585">
        <w:rPr>
          <w:rFonts w:hint="cs"/>
        </w:rPr>
        <w:t xml:space="preserve"> </w:t>
      </w:r>
      <w:r w:rsidRPr="00A52585">
        <w:rPr>
          <w:rFonts w:hint="cs"/>
          <w:rtl/>
        </w:rPr>
        <w:t>اللّهَ غَنِيٌّ حَمِيد ٌ) و (فَاعْلَمُواْ أَنَّ</w:t>
      </w:r>
      <w:r w:rsidRPr="00A52585">
        <w:rPr>
          <w:rFonts w:hint="cs"/>
        </w:rPr>
        <w:t xml:space="preserve"> </w:t>
      </w:r>
      <w:r w:rsidRPr="00A52585">
        <w:rPr>
          <w:rFonts w:hint="cs"/>
          <w:rtl/>
        </w:rPr>
        <w:t>اللّهَ غَفُورٌ رَّحِيمٌ</w:t>
      </w:r>
      <w:r w:rsidR="0002035C" w:rsidRPr="00A52585">
        <w:rPr>
          <w:rFonts w:hint="cs"/>
          <w:rtl/>
        </w:rPr>
        <w:t>)</w:t>
      </w:r>
      <w:r w:rsidRPr="00A52585">
        <w:rPr>
          <w:rFonts w:hint="cs"/>
          <w:rtl/>
        </w:rPr>
        <w:t xml:space="preserve"> و (فَاعْلَمُواْ أَنَّ</w:t>
      </w:r>
      <w:r w:rsidRPr="00A52585">
        <w:rPr>
          <w:rFonts w:hint="cs"/>
        </w:rPr>
        <w:t xml:space="preserve"> </w:t>
      </w:r>
      <w:r w:rsidRPr="00A52585">
        <w:rPr>
          <w:rFonts w:hint="cs"/>
          <w:rtl/>
        </w:rPr>
        <w:t>اللّهَ عَزِيزٌ حَكِيمٌ</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قال الزركشي</w:t>
      </w:r>
      <w:r w:rsidR="0002035C" w:rsidRPr="00A52585">
        <w:rPr>
          <w:rFonts w:hint="cs"/>
          <w:bCs/>
          <w:rtl/>
        </w:rPr>
        <w:t>:</w:t>
      </w:r>
      <w:r w:rsidRPr="00A52585">
        <w:rPr>
          <w:rFonts w:hint="cs"/>
          <w:bCs/>
          <w:rtl/>
        </w:rPr>
        <w:t>- وهو يتحدث عن مجاز القرآن – "</w:t>
      </w:r>
      <w:r w:rsidR="0002035C" w:rsidRPr="00A52585">
        <w:rPr>
          <w:rFonts w:hint="cs"/>
          <w:bCs/>
          <w:rtl/>
        </w:rPr>
        <w:t xml:space="preserve"> </w:t>
      </w:r>
      <w:r w:rsidRPr="00A52585">
        <w:rPr>
          <w:rFonts w:hint="cs"/>
          <w:rtl/>
        </w:rPr>
        <w:t>السادس عشر</w:t>
      </w:r>
      <w:r w:rsidRPr="00A52585">
        <w:rPr>
          <w:rFonts w:hint="cs"/>
        </w:rPr>
        <w:t xml:space="preserve"> </w:t>
      </w:r>
      <w:r w:rsidRPr="00A52585">
        <w:rPr>
          <w:rFonts w:hint="cs"/>
          <w:rtl/>
        </w:rPr>
        <w:t>إطلاق اسم المحل على الحال</w:t>
      </w:r>
      <w:r w:rsidR="0002035C" w:rsidRPr="00A52585">
        <w:rPr>
          <w:rtl/>
        </w:rPr>
        <w:t xml:space="preserve"> </w:t>
      </w:r>
      <w:r w:rsidRPr="00A52585">
        <w:rPr>
          <w:rFonts w:hint="cs"/>
          <w:rtl/>
        </w:rPr>
        <w:t xml:space="preserve">كقوله </w:t>
      </w:r>
      <w:r w:rsidR="0002035C" w:rsidRPr="00A52585">
        <w:rPr>
          <w:rFonts w:hint="cs"/>
          <w:rtl/>
        </w:rPr>
        <w:t>(</w:t>
      </w:r>
      <w:r w:rsidRPr="00A52585">
        <w:rPr>
          <w:rFonts w:hint="cs"/>
          <w:rtl/>
        </w:rPr>
        <w:t>فليدع</w:t>
      </w:r>
      <w:r w:rsidRPr="00A52585">
        <w:rPr>
          <w:rFonts w:hint="cs"/>
        </w:rPr>
        <w:t xml:space="preserve"> </w:t>
      </w:r>
      <w:r w:rsidRPr="00A52585">
        <w:rPr>
          <w:rFonts w:hint="cs"/>
          <w:rtl/>
        </w:rPr>
        <w:t>نادية)</w:t>
      </w:r>
      <w:r w:rsidR="0002035C" w:rsidRPr="00A52585">
        <w:rPr>
          <w:rtl/>
        </w:rPr>
        <w:t xml:space="preserve"> </w:t>
      </w:r>
      <w:r w:rsidRPr="00A52585">
        <w:rPr>
          <w:rFonts w:hint="cs"/>
          <w:rtl/>
        </w:rPr>
        <w:t>وقوله</w:t>
      </w:r>
      <w:r w:rsidRPr="00A52585">
        <w:rPr>
          <w:rFonts w:hint="cs"/>
        </w:rPr>
        <w:t xml:space="preserve"> </w:t>
      </w:r>
      <w:r w:rsidRPr="00A52585">
        <w:rPr>
          <w:rFonts w:hint="cs"/>
          <w:rtl/>
        </w:rPr>
        <w:t xml:space="preserve">تعالى </w:t>
      </w:r>
      <w:r w:rsidR="0002035C" w:rsidRPr="00A52585">
        <w:rPr>
          <w:rFonts w:hint="cs"/>
          <w:rtl/>
        </w:rPr>
        <w:t>(</w:t>
      </w:r>
      <w:r w:rsidRPr="00A52585">
        <w:rPr>
          <w:rFonts w:hint="cs"/>
          <w:rtl/>
        </w:rPr>
        <w:t xml:space="preserve">وفرش </w:t>
      </w:r>
      <w:proofErr w:type="spellStart"/>
      <w:r w:rsidRPr="00A52585">
        <w:rPr>
          <w:rFonts w:hint="cs"/>
          <w:rtl/>
        </w:rPr>
        <w:t>مرفوعه</w:t>
      </w:r>
      <w:proofErr w:type="spellEnd"/>
      <w:r w:rsidR="0002035C" w:rsidRPr="00A52585">
        <w:rPr>
          <w:rFonts w:hint="cs"/>
          <w:rtl/>
        </w:rPr>
        <w:t>)</w:t>
      </w:r>
      <w:r w:rsidRPr="00A52585">
        <w:rPr>
          <w:rFonts w:hint="cs"/>
          <w:rtl/>
        </w:rPr>
        <w:t xml:space="preserve"> اي نساؤه</w:t>
      </w:r>
      <w:r w:rsidRPr="00A52585">
        <w:rPr>
          <w:rFonts w:hint="cs"/>
        </w:rPr>
        <w:t xml:space="preserve"> </w:t>
      </w:r>
      <w:r w:rsidRPr="00A52585">
        <w:rPr>
          <w:rFonts w:hint="cs"/>
          <w:rtl/>
        </w:rPr>
        <w:t xml:space="preserve">بدليل قوله </w:t>
      </w:r>
      <w:r w:rsidR="0002035C" w:rsidRPr="00A52585">
        <w:rPr>
          <w:rFonts w:hint="cs"/>
          <w:rtl/>
        </w:rPr>
        <w:t>(</w:t>
      </w:r>
      <w:r w:rsidRPr="00A52585">
        <w:rPr>
          <w:rFonts w:hint="cs"/>
          <w:rtl/>
        </w:rPr>
        <w:t>إنا انشأناهن انشاء</w:t>
      </w:r>
      <w:r w:rsidR="0002035C" w:rsidRPr="00A52585">
        <w:rPr>
          <w:rFonts w:hint="cs"/>
          <w:rtl/>
        </w:rPr>
        <w:t xml:space="preserve">) </w:t>
      </w:r>
      <w:r w:rsidRPr="00A52585">
        <w:rPr>
          <w:rFonts w:hint="cs"/>
          <w:bCs/>
          <w:rtl/>
        </w:rPr>
        <w:t>وكالتعبير باليد</w:t>
      </w:r>
      <w:r w:rsidRPr="00A52585">
        <w:rPr>
          <w:rFonts w:hint="cs"/>
          <w:bCs/>
        </w:rPr>
        <w:t xml:space="preserve"> </w:t>
      </w:r>
      <w:r w:rsidRPr="00A52585">
        <w:rPr>
          <w:rFonts w:hint="cs"/>
          <w:bCs/>
          <w:rtl/>
        </w:rPr>
        <w:t>عن القدرة كقوله</w:t>
      </w:r>
      <w:r w:rsidR="0002035C" w:rsidRPr="00A52585">
        <w:rPr>
          <w:rFonts w:hint="cs"/>
          <w:bCs/>
          <w:rtl/>
        </w:rPr>
        <w:t>(</w:t>
      </w:r>
      <w:r w:rsidRPr="00A52585">
        <w:rPr>
          <w:rFonts w:hint="cs"/>
          <w:bCs/>
          <w:rtl/>
        </w:rPr>
        <w:t>بيده الملك</w:t>
      </w:r>
      <w:r w:rsidR="0002035C" w:rsidRPr="00A52585">
        <w:rPr>
          <w:rFonts w:hint="cs"/>
          <w:bCs/>
          <w:rtl/>
        </w:rPr>
        <w:t>)</w:t>
      </w:r>
      <w:r w:rsidRPr="00A52585">
        <w:rPr>
          <w:rFonts w:hint="cs"/>
          <w:bCs/>
          <w:rtl/>
        </w:rPr>
        <w:t xml:space="preserve"> </w:t>
      </w:r>
      <w:r w:rsidRPr="00A52585">
        <w:rPr>
          <w:rFonts w:hint="cs"/>
          <w:rtl/>
        </w:rPr>
        <w:t>"</w:t>
      </w:r>
      <w:r w:rsidR="0002035C" w:rsidRPr="00A52585">
        <w:rPr>
          <w:rFonts w:hint="cs"/>
          <w:rtl/>
        </w:rPr>
        <w:t>[</w:t>
      </w:r>
      <w:r w:rsidRPr="00A52585">
        <w:rPr>
          <w:rFonts w:hint="cs"/>
          <w:rtl/>
        </w:rPr>
        <w:t>البرهان في علوم القرآن ج: 2 ص: 281]</w:t>
      </w:r>
      <w:r w:rsidRPr="00A52585">
        <w:rPr>
          <w:rFonts w:hint="cs"/>
          <w:bCs/>
          <w:rtl/>
        </w:rPr>
        <w:t xml:space="preserve"> </w:t>
      </w:r>
      <w:r w:rsidRPr="00A52585">
        <w:rPr>
          <w:rFonts w:hint="cs"/>
          <w:rtl/>
        </w:rPr>
        <w:t>أهـ</w:t>
      </w:r>
      <w:r w:rsidR="00DB731D" w:rsidRPr="00A52585">
        <w:rPr>
          <w:rFonts w:hint="cs"/>
          <w:rtl/>
        </w:rPr>
        <w:t>،</w:t>
      </w:r>
      <w:r w:rsidRPr="00A52585">
        <w:rPr>
          <w:rFonts w:hint="cs"/>
          <w:rtl/>
        </w:rPr>
        <w:t xml:space="preserve"> وقال السيوطي</w:t>
      </w:r>
      <w:r w:rsidR="0002035C" w:rsidRPr="00A52585">
        <w:rPr>
          <w:rFonts w:hint="cs"/>
          <w:rtl/>
        </w:rPr>
        <w:t>:</w:t>
      </w:r>
      <w:r w:rsidRPr="00A52585">
        <w:rPr>
          <w:rFonts w:hint="cs"/>
          <w:rtl/>
        </w:rPr>
        <w:t>- وهو يتحدث عن مجاز القرآن – " ومنه التعبير باليد عن القدرة نحو</w:t>
      </w:r>
      <w:r w:rsidR="0002035C" w:rsidRPr="00A52585">
        <w:rPr>
          <w:rFonts w:hint="cs"/>
          <w:rtl/>
        </w:rPr>
        <w:t xml:space="preserve"> </w:t>
      </w:r>
      <w:r w:rsidRPr="00A52585">
        <w:rPr>
          <w:rFonts w:hint="cs"/>
          <w:rtl/>
        </w:rPr>
        <w:t xml:space="preserve">بيده الملك " </w:t>
      </w:r>
      <w:r w:rsidR="0002035C" w:rsidRPr="00A52585">
        <w:rPr>
          <w:rFonts w:hint="cs"/>
          <w:rtl/>
        </w:rPr>
        <w:t>[</w:t>
      </w:r>
      <w:r w:rsidRPr="00A52585">
        <w:rPr>
          <w:rFonts w:hint="cs"/>
          <w:rtl/>
        </w:rPr>
        <w:t>الإتقان ج: 2 ص: 101] أهـ</w:t>
      </w:r>
      <w:r w:rsidR="00DB731D" w:rsidRPr="00A52585">
        <w:rPr>
          <w:rFonts w:hint="cs"/>
          <w:rtl/>
        </w:rPr>
        <w:t>،</w:t>
      </w:r>
      <w:r w:rsidRPr="00A52585">
        <w:rPr>
          <w:rFonts w:hint="cs"/>
          <w:rtl/>
        </w:rPr>
        <w:t xml:space="preserve"> </w:t>
      </w:r>
      <w:r w:rsidRPr="00A52585">
        <w:rPr>
          <w:rFonts w:hint="cs"/>
          <w:bCs/>
          <w:rtl/>
        </w:rPr>
        <w:t>وقال القاضي البيضاوي</w:t>
      </w:r>
      <w:r w:rsidRPr="00A52585">
        <w:rPr>
          <w:rFonts w:hint="cs"/>
          <w:rtl/>
        </w:rPr>
        <w:t xml:space="preserve"> في التفسير " </w:t>
      </w:r>
      <w:r w:rsidR="0002035C" w:rsidRPr="00A52585">
        <w:rPr>
          <w:rFonts w:hint="cs"/>
          <w:rtl/>
        </w:rPr>
        <w:t>(</w:t>
      </w:r>
      <w:r w:rsidRPr="00A52585">
        <w:rPr>
          <w:rFonts w:hint="cs"/>
          <w:rtl/>
        </w:rPr>
        <w:t>تبارك الذي بيده الملك</w:t>
      </w:r>
      <w:r w:rsidR="0002035C" w:rsidRPr="00A52585">
        <w:rPr>
          <w:rFonts w:hint="cs"/>
          <w:rtl/>
        </w:rPr>
        <w:t xml:space="preserve">) </w:t>
      </w:r>
      <w:r w:rsidRPr="00A52585">
        <w:rPr>
          <w:rFonts w:hint="cs"/>
          <w:rtl/>
        </w:rPr>
        <w:t>بقبضة قدرته التصرف في الأمور كلها " [تفسير البيضاوي ج: 5 ص: 360] أهـ</w:t>
      </w:r>
      <w:r w:rsidR="00DB731D" w:rsidRPr="00A52585">
        <w:rPr>
          <w:rFonts w:hint="cs"/>
          <w:rtl/>
        </w:rPr>
        <w:t>،</w:t>
      </w:r>
      <w:r w:rsidRPr="00A52585">
        <w:rPr>
          <w:rFonts w:hint="cs"/>
          <w:rtl/>
        </w:rPr>
        <w:t xml:space="preserve"> </w:t>
      </w:r>
      <w:r w:rsidRPr="00A52585">
        <w:rPr>
          <w:rFonts w:hint="cs"/>
          <w:bCs/>
          <w:rtl/>
        </w:rPr>
        <w:t>وقال أبو السعود في تفسيره</w:t>
      </w:r>
      <w:r w:rsidR="0002035C" w:rsidRPr="00A52585">
        <w:rPr>
          <w:rFonts w:hint="cs"/>
          <w:rtl/>
        </w:rPr>
        <w:t>:</w:t>
      </w:r>
      <w:r w:rsidRPr="00A52585">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DB731D" w:rsidRPr="00A52585">
        <w:rPr>
          <w:rFonts w:hint="cs"/>
          <w:rtl/>
        </w:rPr>
        <w:t>،</w:t>
      </w:r>
      <w:r w:rsidRPr="00A52585">
        <w:rPr>
          <w:rFonts w:hint="cs"/>
          <w:rtl/>
        </w:rPr>
        <w:t xml:space="preserve"> </w:t>
      </w:r>
      <w:r w:rsidRPr="00A52585">
        <w:rPr>
          <w:rFonts w:hint="cs"/>
          <w:bCs/>
          <w:rtl/>
        </w:rPr>
        <w:t>وقال النسفي في تفسيره</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 xml:space="preserve">تبارك تعالى وتعاظم عن </w:t>
      </w:r>
      <w:r w:rsidRPr="00A52585">
        <w:rPr>
          <w:rFonts w:hint="cs"/>
          <w:rtl/>
        </w:rPr>
        <w:lastRenderedPageBreak/>
        <w:t>صفات المخلوقين الذي</w:t>
      </w:r>
      <w:r w:rsidR="0002035C" w:rsidRPr="00A52585">
        <w:rPr>
          <w:rFonts w:hint="cs"/>
          <w:rtl/>
        </w:rPr>
        <w:t xml:space="preserve"> </w:t>
      </w:r>
      <w:r w:rsidRPr="00A52585">
        <w:rPr>
          <w:rFonts w:hint="cs"/>
          <w:rtl/>
        </w:rPr>
        <w:t>بيده الملك</w:t>
      </w:r>
      <w:r w:rsidR="0002035C" w:rsidRPr="00A52585">
        <w:rPr>
          <w:rFonts w:hint="cs"/>
          <w:rtl/>
        </w:rPr>
        <w:t xml:space="preserve"> </w:t>
      </w:r>
      <w:r w:rsidRPr="00A52585">
        <w:rPr>
          <w:rFonts w:hint="cs"/>
          <w:rtl/>
        </w:rPr>
        <w:t>أي بتصرفه الملك والاستيلاء عل كل موجود وهو مالك الملك يؤتيه من يشاء وينزعه ممن يشاء</w:t>
      </w:r>
      <w:r w:rsidR="0002035C" w:rsidRPr="00A52585">
        <w:rPr>
          <w:rFonts w:hint="cs"/>
          <w:rtl/>
        </w:rPr>
        <w:t xml:space="preserve"> </w:t>
      </w:r>
      <w:r w:rsidRPr="00A52585">
        <w:t>"</w:t>
      </w:r>
      <w:r w:rsidRPr="00A52585">
        <w:rPr>
          <w:rtl/>
        </w:rPr>
        <w:t xml:space="preserve"> </w:t>
      </w:r>
      <w:r w:rsidRPr="00A52585">
        <w:rPr>
          <w:rFonts w:hint="cs"/>
          <w:rtl/>
        </w:rPr>
        <w:t>[تفسير النسفي ج: 4 ص: 262] أهـ</w:t>
      </w:r>
      <w:r w:rsidR="00DB731D" w:rsidRPr="00A52585">
        <w:rPr>
          <w:rFonts w:hint="cs"/>
          <w:rtl/>
        </w:rPr>
        <w:t>،</w:t>
      </w:r>
      <w:r w:rsidRPr="00A52585">
        <w:rPr>
          <w:rFonts w:hint="cs"/>
          <w:rtl/>
        </w:rPr>
        <w:t xml:space="preserve"> </w:t>
      </w:r>
      <w:r w:rsidRPr="00A52585">
        <w:rPr>
          <w:rFonts w:hint="cs"/>
          <w:bCs/>
          <w:rtl/>
        </w:rPr>
        <w:t>وقال الألوسي</w:t>
      </w:r>
      <w:r w:rsidRPr="00A52585">
        <w:rPr>
          <w:rFonts w:hint="cs"/>
          <w:rtl/>
        </w:rPr>
        <w:t xml:space="preserve"> </w:t>
      </w:r>
      <w:r w:rsidRPr="00A52585">
        <w:rPr>
          <w:rFonts w:hint="cs"/>
          <w:bCs/>
          <w:rtl/>
        </w:rPr>
        <w:t>في</w:t>
      </w:r>
      <w:r w:rsidRPr="00A52585">
        <w:rPr>
          <w:rFonts w:hint="cs"/>
          <w:bCs/>
        </w:rPr>
        <w:t xml:space="preserve"> </w:t>
      </w:r>
      <w:r w:rsidRPr="00A52585">
        <w:rPr>
          <w:rFonts w:hint="cs"/>
          <w:bCs/>
          <w:rtl/>
        </w:rPr>
        <w:t>تفسيره</w:t>
      </w:r>
      <w:r w:rsidR="0002035C" w:rsidRPr="00A52585">
        <w:rPr>
          <w:rFonts w:hint="cs"/>
          <w:rtl/>
        </w:rPr>
        <w:t>:</w:t>
      </w:r>
      <w:r w:rsidRPr="00A52585">
        <w:rPr>
          <w:bCs/>
          <w:rtl/>
        </w:rPr>
        <w:t xml:space="preserve"> </w:t>
      </w:r>
      <w:r w:rsidRPr="00A52585">
        <w:t>"</w:t>
      </w:r>
      <w:r w:rsidRPr="00A52585">
        <w:rPr>
          <w:rFonts w:hint="cs"/>
          <w:rtl/>
        </w:rPr>
        <w:t xml:space="preserve"> بيده الملك</w:t>
      </w:r>
      <w:r w:rsidR="00897A24" w:rsidRPr="00A52585">
        <w:rPr>
          <w:rFonts w:hint="cs"/>
          <w:rtl/>
        </w:rPr>
        <w:t>.</w:t>
      </w:r>
      <w:r w:rsidRPr="00A52585">
        <w:rPr>
          <w:rFonts w:hint="cs"/>
          <w:rtl/>
        </w:rPr>
        <w:t>.</w:t>
      </w:r>
      <w:r w:rsidR="0002035C" w:rsidRPr="00A52585">
        <w:rPr>
          <w:rFonts w:hint="cs"/>
          <w:rtl/>
        </w:rPr>
        <w:t xml:space="preserve"> </w:t>
      </w:r>
      <w:r w:rsidRPr="00A52585">
        <w:rPr>
          <w:rFonts w:hint="cs"/>
          <w:bCs/>
          <w:rtl/>
        </w:rPr>
        <w:t xml:space="preserve">استعارة تمثيلية </w:t>
      </w:r>
      <w:proofErr w:type="spellStart"/>
      <w:r w:rsidRPr="00A52585">
        <w:rPr>
          <w:rFonts w:hint="cs"/>
          <w:bCs/>
          <w:rtl/>
        </w:rPr>
        <w:t>لذلك</w:t>
      </w:r>
      <w:proofErr w:type="gramStart"/>
      <w:r w:rsidR="00897A24" w:rsidRPr="00A52585">
        <w:rPr>
          <w:rFonts w:hint="cs"/>
          <w:rtl/>
        </w:rPr>
        <w:t>.</w:t>
      </w:r>
      <w:r w:rsidRPr="00A52585">
        <w:rPr>
          <w:rFonts w:hint="cs"/>
          <w:rtl/>
        </w:rPr>
        <w:t>.أو</w:t>
      </w:r>
      <w:proofErr w:type="spellEnd"/>
      <w:proofErr w:type="gramEnd"/>
      <w:r w:rsidRPr="00A52585">
        <w:rPr>
          <w:rFonts w:hint="cs"/>
          <w:rtl/>
        </w:rPr>
        <w:t xml:space="preserve"> إن الملك على حقيقته واليد مجاز عن الإحاطة والاستيلاء</w:t>
      </w:r>
      <w:r w:rsidR="00897A24" w:rsidRPr="00A52585">
        <w:rPr>
          <w:rFonts w:hint="cs"/>
          <w:rtl/>
        </w:rPr>
        <w:t>.</w:t>
      </w:r>
      <w:r w:rsidRPr="00A52585">
        <w:rPr>
          <w:rFonts w:hint="cs"/>
          <w:rtl/>
        </w:rPr>
        <w:t>. بيده الملك</w:t>
      </w:r>
      <w:r w:rsidR="0002035C" w:rsidRPr="00A52585">
        <w:rPr>
          <w:rFonts w:hint="cs"/>
          <w:rtl/>
        </w:rPr>
        <w:t xml:space="preserve"> </w:t>
      </w:r>
      <w:r w:rsidRPr="00A52585">
        <w:rPr>
          <w:rFonts w:hint="cs"/>
          <w:rtl/>
        </w:rPr>
        <w:t xml:space="preserve">البركة النماء </w:t>
      </w:r>
      <w:proofErr w:type="spellStart"/>
      <w:r w:rsidRPr="00A52585">
        <w:rPr>
          <w:rFonts w:hint="cs"/>
          <w:rtl/>
        </w:rPr>
        <w:t>والزيادة</w:t>
      </w:r>
      <w:r w:rsidR="00897A24" w:rsidRPr="00A52585">
        <w:rPr>
          <w:rFonts w:hint="cs"/>
          <w:rtl/>
        </w:rPr>
        <w:t>.</w:t>
      </w:r>
      <w:r w:rsidRPr="00A52585">
        <w:rPr>
          <w:rFonts w:hint="cs"/>
          <w:rtl/>
        </w:rPr>
        <w:t>.ومن</w:t>
      </w:r>
      <w:proofErr w:type="spellEnd"/>
      <w:r w:rsidRPr="00A52585">
        <w:rPr>
          <w:rFonts w:hint="cs"/>
          <w:rtl/>
        </w:rPr>
        <w:t xml:space="preserve">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02035C" w:rsidRPr="00A52585">
        <w:rPr>
          <w:rFonts w:hint="cs"/>
          <w:rtl/>
        </w:rPr>
        <w:t xml:space="preserve"> </w:t>
      </w:r>
      <w:r w:rsidRPr="00A52585">
        <w:rPr>
          <w:rFonts w:hint="cs"/>
          <w:rtl/>
        </w:rPr>
        <w:t>بيده الملك</w:t>
      </w:r>
      <w:r w:rsidR="0002035C" w:rsidRPr="00A52585">
        <w:rPr>
          <w:rFonts w:hint="cs"/>
          <w:rtl/>
        </w:rPr>
        <w:t xml:space="preserve"> </w:t>
      </w:r>
      <w:r w:rsidRPr="00A52585">
        <w:rPr>
          <w:rFonts w:hint="cs"/>
          <w:rtl/>
        </w:rPr>
        <w:t xml:space="preserve">مالك الملك </w:t>
      </w:r>
      <w:r w:rsidRPr="00A52585">
        <w:t>"</w:t>
      </w:r>
      <w:r w:rsidRPr="00A52585">
        <w:rPr>
          <w:rtl/>
        </w:rPr>
        <w:t xml:space="preserve"> </w:t>
      </w:r>
      <w:r w:rsidRPr="00A52585">
        <w:rPr>
          <w:rFonts w:hint="cs"/>
          <w:rtl/>
        </w:rPr>
        <w:t>[روح المعاني ج:29 ص: 3-4] أهـ</w:t>
      </w:r>
      <w:r w:rsidR="00DB731D" w:rsidRPr="00A52585">
        <w:rPr>
          <w:rFonts w:hint="cs"/>
          <w:rtl/>
        </w:rPr>
        <w:t>،</w:t>
      </w:r>
      <w:r w:rsidRPr="00A52585">
        <w:rPr>
          <w:rFonts w:hint="cs"/>
          <w:rtl/>
        </w:rPr>
        <w:t xml:space="preserve"> </w:t>
      </w:r>
      <w:r w:rsidRPr="00A52585">
        <w:rPr>
          <w:rFonts w:hint="cs"/>
          <w:bCs/>
          <w:rtl/>
        </w:rPr>
        <w:t>وقال الطبري في</w:t>
      </w:r>
      <w:r w:rsidRPr="00A52585">
        <w:rPr>
          <w:rFonts w:hint="cs"/>
          <w:bCs/>
        </w:rPr>
        <w:t xml:space="preserve"> </w:t>
      </w:r>
      <w:r w:rsidRPr="00A52585">
        <w:rPr>
          <w:rFonts w:hint="cs"/>
          <w:bCs/>
          <w:rtl/>
        </w:rPr>
        <w:t>تفسيره</w:t>
      </w:r>
      <w:r w:rsidR="0002035C" w:rsidRPr="00A52585">
        <w:rPr>
          <w:rFonts w:hint="cs"/>
          <w:rtl/>
        </w:rPr>
        <w:t>:</w:t>
      </w:r>
      <w:r w:rsidRPr="00A52585">
        <w:rPr>
          <w:rtl/>
        </w:rPr>
        <w:t xml:space="preserve"> </w:t>
      </w:r>
      <w:r w:rsidRPr="00A52585">
        <w:t>"</w:t>
      </w:r>
      <w:r w:rsidRPr="00A52585">
        <w:rPr>
          <w:rFonts w:hint="cs"/>
          <w:rtl/>
        </w:rPr>
        <w:t xml:space="preserve"> يعني بقوله تعالى ذكره تبارك تعاظم وتعالى الذي</w:t>
      </w:r>
      <w:r w:rsidR="0002035C" w:rsidRPr="00A52585">
        <w:rPr>
          <w:rFonts w:hint="cs"/>
          <w:rtl/>
        </w:rPr>
        <w:t xml:space="preserve"> </w:t>
      </w:r>
      <w:r w:rsidRPr="00A52585">
        <w:rPr>
          <w:rFonts w:hint="cs"/>
          <w:rtl/>
        </w:rPr>
        <w:t>بيده الملك</w:t>
      </w:r>
      <w:r w:rsidR="0002035C" w:rsidRPr="00A52585">
        <w:rPr>
          <w:rFonts w:hint="cs"/>
          <w:rtl/>
        </w:rPr>
        <w:t xml:space="preserve"> </w:t>
      </w:r>
      <w:r w:rsidRPr="00A52585">
        <w:rPr>
          <w:rFonts w:hint="cs"/>
          <w:rtl/>
        </w:rPr>
        <w:t xml:space="preserve">بيده ملك الدنيا والآخرة وسلطانهما نافذ فيهما أمره وقضاؤه </w:t>
      </w:r>
      <w:r w:rsidRPr="00A52585">
        <w:t>"</w:t>
      </w:r>
      <w:r w:rsidRPr="00A52585">
        <w:rPr>
          <w:rtl/>
        </w:rPr>
        <w:t xml:space="preserve"> </w:t>
      </w:r>
      <w:r w:rsidRPr="00A52585">
        <w:rPr>
          <w:rFonts w:hint="cs"/>
          <w:rtl/>
        </w:rPr>
        <w:t>[تفسير الطبري ج: 29 ص: 1]أهـ</w:t>
      </w:r>
      <w:r w:rsidR="00DB731D" w:rsidRPr="00A52585">
        <w:rPr>
          <w:rFonts w:hint="cs"/>
          <w:rtl/>
        </w:rPr>
        <w:t>،</w:t>
      </w:r>
      <w:r w:rsidRPr="00A52585">
        <w:rPr>
          <w:rFonts w:hint="cs"/>
          <w:rtl/>
        </w:rPr>
        <w:t xml:space="preserve"> </w:t>
      </w:r>
      <w:r w:rsidRPr="00A52585">
        <w:rPr>
          <w:rFonts w:hint="cs"/>
          <w:bCs/>
          <w:rtl/>
        </w:rPr>
        <w:t>وقال ابن كثير في</w:t>
      </w:r>
      <w:r w:rsidRPr="00A52585">
        <w:rPr>
          <w:rFonts w:hint="cs"/>
          <w:bCs/>
        </w:rPr>
        <w:t xml:space="preserve"> </w:t>
      </w:r>
      <w:r w:rsidRPr="00A52585">
        <w:rPr>
          <w:rFonts w:hint="cs"/>
          <w:bCs/>
          <w:rtl/>
        </w:rPr>
        <w:t>تفسيره</w:t>
      </w:r>
      <w:r w:rsidR="0002035C" w:rsidRPr="00A52585">
        <w:rPr>
          <w:rFonts w:hint="cs"/>
          <w:rtl/>
        </w:rPr>
        <w:t>:</w:t>
      </w:r>
      <w:r w:rsidRPr="00A52585">
        <w:rPr>
          <w:rtl/>
        </w:rPr>
        <w:t xml:space="preserve"> </w:t>
      </w:r>
      <w:r w:rsidRPr="00A52585">
        <w:t>"</w:t>
      </w:r>
      <w:r w:rsidRPr="00A52585">
        <w:rPr>
          <w:rFonts w:hint="cs"/>
          <w:rtl/>
        </w:rPr>
        <w:t xml:space="preserve"> يمجد تعالى نفسه الكريمة ويخبر أنه</w:t>
      </w:r>
      <w:r w:rsidR="0002035C" w:rsidRPr="00A52585">
        <w:rPr>
          <w:rFonts w:hint="cs"/>
          <w:rtl/>
        </w:rPr>
        <w:t xml:space="preserve"> </w:t>
      </w:r>
      <w:r w:rsidRPr="00A52585">
        <w:rPr>
          <w:rFonts w:hint="cs"/>
          <w:rtl/>
        </w:rPr>
        <w:t>بيده الملك</w:t>
      </w:r>
      <w:r w:rsidR="0002035C" w:rsidRPr="00A52585">
        <w:rPr>
          <w:rFonts w:hint="cs"/>
          <w:rtl/>
        </w:rPr>
        <w:t xml:space="preserve"> </w:t>
      </w:r>
      <w:r w:rsidRPr="00A52585">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Pr="00A52585">
        <w:t>"</w:t>
      </w:r>
      <w:r w:rsidRPr="00A52585">
        <w:rPr>
          <w:rtl/>
        </w:rPr>
        <w:t xml:space="preserve"> </w:t>
      </w:r>
      <w:r w:rsidRPr="00A52585">
        <w:rPr>
          <w:rFonts w:hint="cs"/>
          <w:rtl/>
        </w:rPr>
        <w:t>[تفسير ابن</w:t>
      </w:r>
      <w:r w:rsidRPr="00A52585">
        <w:rPr>
          <w:rFonts w:hint="cs"/>
        </w:rPr>
        <w:t xml:space="preserve"> </w:t>
      </w:r>
      <w:r w:rsidRPr="00A52585">
        <w:rPr>
          <w:rFonts w:hint="cs"/>
          <w:rtl/>
        </w:rPr>
        <w:t>كثير ج: 4 ص: 397] أهـ</w:t>
      </w:r>
    </w:p>
    <w:p w14:paraId="06FC219F" w14:textId="6AA4D846" w:rsidR="00777DCB" w:rsidRPr="00A52585" w:rsidRDefault="00777DCB" w:rsidP="0002035C">
      <w:pPr>
        <w:rPr>
          <w:rtl/>
        </w:rPr>
      </w:pP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أَوَلَمْ يَرَوْا أَنَّا خَلَقْنَا لَهُمْ مِمَّا عَمِلَتْ أَيْدِينَا أَنْعَامًا فَهُمْ لَهَا مَالِكُونَ</w:t>
      </w:r>
      <w:r w:rsidRPr="00A52585">
        <w:rPr>
          <w:rFonts w:hint="cs"/>
        </w:rPr>
        <w:t xml:space="preserve"> </w:t>
      </w:r>
      <w:r w:rsidRPr="00A52585">
        <w:rPr>
          <w:rFonts w:hint="cs"/>
          <w:rtl/>
        </w:rPr>
        <w:t>*</w:t>
      </w:r>
      <w:r w:rsidRPr="00A52585">
        <w:rPr>
          <w:rFonts w:hint="cs"/>
        </w:rPr>
        <w:t xml:space="preserve"> </w:t>
      </w:r>
      <w:r w:rsidRPr="00A52585">
        <w:rPr>
          <w:rFonts w:hint="cs"/>
          <w:rtl/>
        </w:rPr>
        <w:t>وَذَلَّلْنَاهَا لَهُمْ فَمِنْهَا رَكُوبُهُمْ</w:t>
      </w:r>
      <w:r w:rsidRPr="00A52585">
        <w:rPr>
          <w:rFonts w:hint="cs"/>
        </w:rPr>
        <w:t xml:space="preserve"> </w:t>
      </w:r>
      <w:r w:rsidRPr="00A52585">
        <w:rPr>
          <w:rFonts w:hint="cs"/>
          <w:rtl/>
        </w:rPr>
        <w:t>وَمِنْهَا يَأْكُلُونَ</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يَا أَيُّهَا</w:t>
      </w:r>
      <w:r w:rsidRPr="00A52585">
        <w:rPr>
          <w:rFonts w:hint="cs"/>
        </w:rPr>
        <w:t xml:space="preserve"> </w:t>
      </w:r>
      <w:r w:rsidRPr="00A52585">
        <w:rPr>
          <w:rFonts w:hint="cs"/>
          <w:rtl/>
        </w:rPr>
        <w:t>الَّذِينَ آمَنُوا لَا تُقَدِّمُوا بَيْنَ يَدَيِ اللَّهِ وَرَسُولِهِ وَاتَّقُوا</w:t>
      </w:r>
      <w:r w:rsidRPr="00A52585">
        <w:rPr>
          <w:rFonts w:hint="cs"/>
        </w:rPr>
        <w:t xml:space="preserve"> </w:t>
      </w:r>
      <w:r w:rsidRPr="00A52585">
        <w:rPr>
          <w:rFonts w:hint="cs"/>
          <w:rtl/>
        </w:rPr>
        <w:t>اللَّهَ إِنَّ اللَّهَ سَمِيعٌ عَلِيمٌ</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وقوله تعالى</w:t>
      </w:r>
      <w:r w:rsidRPr="00A52585">
        <w:rPr>
          <w:rFonts w:hint="cs"/>
          <w:rtl/>
        </w:rPr>
        <w:t xml:space="preserve"> </w:t>
      </w:r>
      <w:r w:rsidR="0002035C" w:rsidRPr="00A52585">
        <w:rPr>
          <w:rFonts w:hint="cs"/>
          <w:rtl/>
        </w:rPr>
        <w:t>{</w:t>
      </w:r>
      <w:r w:rsidRPr="00A52585">
        <w:rPr>
          <w:rFonts w:hint="cs"/>
          <w:rtl/>
        </w:rPr>
        <w:t>وَالسَّمَاء بَنَيْنَاهَا بِأَيْدٍ وَإِنَّا لَمُوسِعُونَ</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اليد تجمع على أيد قال تعالى </w:t>
      </w:r>
      <w:r w:rsidR="0002035C" w:rsidRPr="00A52585">
        <w:rPr>
          <w:rFonts w:hint="cs"/>
          <w:rtl/>
        </w:rPr>
        <w:t>{</w:t>
      </w:r>
      <w:r w:rsidRPr="00A52585">
        <w:rPr>
          <w:rFonts w:hint="cs"/>
          <w:rtl/>
        </w:rPr>
        <w:t>ألهم أيد يبطشون بها</w:t>
      </w:r>
      <w:r w:rsidR="0002035C" w:rsidRPr="00A52585">
        <w:rPr>
          <w:rFonts w:hint="cs"/>
          <w:rtl/>
        </w:rPr>
        <w:t>}</w:t>
      </w:r>
      <w:r w:rsidRPr="00A52585">
        <w:rPr>
          <w:rFonts w:hint="cs"/>
          <w:rtl/>
        </w:rPr>
        <w:t xml:space="preserve"> وقال تعالى </w:t>
      </w:r>
      <w:r w:rsidR="0002035C" w:rsidRPr="00A52585">
        <w:rPr>
          <w:rFonts w:hint="cs"/>
          <w:rtl/>
        </w:rPr>
        <w:t>{</w:t>
      </w:r>
      <w:r w:rsidRPr="00A52585">
        <w:rPr>
          <w:rFonts w:hint="cs"/>
          <w:rtl/>
        </w:rPr>
        <w:t>والسماء بنيناها بأيد</w:t>
      </w:r>
      <w:r w:rsidR="0002035C" w:rsidRPr="00A52585">
        <w:rPr>
          <w:rFonts w:hint="cs"/>
          <w:rtl/>
        </w:rPr>
        <w:t>}</w:t>
      </w:r>
      <w:r w:rsidRPr="00A52585">
        <w:rPr>
          <w:rFonts w:hint="cs"/>
          <w:rtl/>
        </w:rPr>
        <w:t xml:space="preserve"> و على أيدي قال تعالى </w:t>
      </w:r>
      <w:r w:rsidR="0002035C" w:rsidRPr="00A52585">
        <w:rPr>
          <w:rFonts w:hint="cs"/>
          <w:rtl/>
        </w:rPr>
        <w:t>{</w:t>
      </w:r>
      <w:r w:rsidRPr="00A52585">
        <w:rPr>
          <w:rFonts w:hint="cs"/>
          <w:rtl/>
        </w:rPr>
        <w:t>مما عملت أيدينا</w:t>
      </w:r>
      <w:r w:rsidR="0002035C" w:rsidRPr="00A52585">
        <w:rPr>
          <w:rFonts w:hint="cs"/>
          <w:rtl/>
        </w:rPr>
        <w:t>}</w:t>
      </w:r>
      <w:r w:rsidR="00DB731D" w:rsidRPr="00A52585">
        <w:rPr>
          <w:rFonts w:hint="cs"/>
          <w:rtl/>
        </w:rPr>
        <w:t>،</w:t>
      </w:r>
      <w:r w:rsidRPr="00A52585">
        <w:rPr>
          <w:rFonts w:hint="cs"/>
          <w:rtl/>
        </w:rPr>
        <w:t xml:space="preserve"> فلا التفات إلى من زعم أن اليد لا تجمع على أيد لأن ذلك مما جاء في القرآن والقرآن نزل بلسان عربي مبين</w:t>
      </w:r>
      <w:r w:rsidR="00DB731D" w:rsidRPr="00A52585">
        <w:rPr>
          <w:rFonts w:hint="cs"/>
          <w:rtl/>
        </w:rPr>
        <w:t>،</w:t>
      </w:r>
      <w:r w:rsidRPr="00A52585">
        <w:rPr>
          <w:rFonts w:hint="cs"/>
          <w:rtl/>
        </w:rPr>
        <w:t xml:space="preserve"> والمراد بالآية هاهنا</w:t>
      </w:r>
      <w:r w:rsidR="0002035C" w:rsidRPr="00A52585">
        <w:rPr>
          <w:rFonts w:hint="cs"/>
          <w:rtl/>
        </w:rPr>
        <w:t xml:space="preserve"> </w:t>
      </w:r>
      <w:r w:rsidRPr="00A52585">
        <w:rPr>
          <w:rFonts w:hint="cs"/>
          <w:rtl/>
        </w:rPr>
        <w:t>إثبات القوة والقدرة</w:t>
      </w:r>
      <w:r w:rsidR="00DB731D" w:rsidRPr="00A52585">
        <w:rPr>
          <w:rFonts w:hint="cs"/>
          <w:rtl/>
        </w:rPr>
        <w:t>،</w:t>
      </w:r>
      <w:r w:rsidRPr="00A52585">
        <w:rPr>
          <w:rFonts w:hint="cs"/>
          <w:rtl/>
        </w:rPr>
        <w:t xml:space="preserve"> مثالها في ذلك تماما قوله تعالى </w:t>
      </w:r>
      <w:r w:rsidR="0002035C" w:rsidRPr="00A52585">
        <w:rPr>
          <w:rFonts w:hint="cs"/>
          <w:rtl/>
        </w:rPr>
        <w:t>{</w:t>
      </w:r>
      <w:r w:rsidRPr="00A52585">
        <w:rPr>
          <w:rFonts w:hint="cs"/>
          <w:rtl/>
        </w:rPr>
        <w:t>وَاذْكُرْ عَبْدَنَا</w:t>
      </w:r>
      <w:r w:rsidRPr="00A52585">
        <w:rPr>
          <w:rFonts w:hint="cs"/>
        </w:rPr>
        <w:t xml:space="preserve"> </w:t>
      </w:r>
      <w:r w:rsidRPr="00A52585">
        <w:rPr>
          <w:rFonts w:hint="cs"/>
          <w:rtl/>
        </w:rPr>
        <w:t>دَاوُودَ ذَا الْأَيْدِ إِنَّهُ أَوَّابٌ</w:t>
      </w:r>
      <w:r w:rsidR="0002035C" w:rsidRPr="00A52585">
        <w:rPr>
          <w:rFonts w:hint="cs"/>
          <w:rtl/>
        </w:rPr>
        <w:t>}</w:t>
      </w:r>
      <w:r w:rsidRPr="00A52585">
        <w:rPr>
          <w:rFonts w:hint="cs"/>
          <w:rtl/>
        </w:rPr>
        <w:t xml:space="preserve"> وقوله تعالى</w:t>
      </w:r>
      <w:r w:rsidR="0002035C" w:rsidRPr="00A52585">
        <w:rPr>
          <w:rFonts w:hint="cs"/>
          <w:rtl/>
        </w:rPr>
        <w:t xml:space="preserve"> {</w:t>
      </w:r>
      <w:r w:rsidRPr="00A52585">
        <w:rPr>
          <w:rFonts w:hint="cs"/>
          <w:rtl/>
        </w:rPr>
        <w:t>وَاذْكُرْ عِبَادَنَا إبْرَاهِيمَ وَإِسْحَقَ وَيَعْقُوبَ أُوْلِي</w:t>
      </w:r>
      <w:r w:rsidRPr="00A52585">
        <w:rPr>
          <w:rFonts w:hint="cs"/>
        </w:rPr>
        <w:t xml:space="preserve"> </w:t>
      </w:r>
      <w:r w:rsidRPr="00A52585">
        <w:rPr>
          <w:rFonts w:hint="cs"/>
          <w:rtl/>
        </w:rPr>
        <w:t>الْأَيْدِي</w:t>
      </w:r>
      <w:r w:rsidRPr="00A52585">
        <w:rPr>
          <w:rFonts w:hint="cs"/>
        </w:rPr>
        <w:t xml:space="preserve"> </w:t>
      </w:r>
      <w:r w:rsidRPr="00A52585">
        <w:rPr>
          <w:rFonts w:hint="cs"/>
          <w:rtl/>
        </w:rPr>
        <w:t>وَالْأَبْصَارِ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فهل المراد من الآيات مدح الأنبياء بوجود الأيد التي هي الجوارح مع أن جميع البشر بما فيهم الكفار والفجار لهم أيدي وأبصار</w:t>
      </w:r>
      <w:r w:rsidR="00DB731D" w:rsidRPr="00A52585">
        <w:rPr>
          <w:rFonts w:hint="cs"/>
          <w:rtl/>
        </w:rPr>
        <w:t>،</w:t>
      </w:r>
      <w:r w:rsidRPr="00A52585">
        <w:rPr>
          <w:rFonts w:hint="cs"/>
          <w:rtl/>
        </w:rPr>
        <w:t xml:space="preserve"> أم أن المقصود بالأيدي في الآيات هو قوتهم في الطاعة وجدهم وتشميرهم للعبادة</w:t>
      </w:r>
      <w:r w:rsidR="00DB731D" w:rsidRPr="00A52585">
        <w:rPr>
          <w:rFonts w:hint="cs"/>
          <w:rtl/>
        </w:rPr>
        <w:t>،</w:t>
      </w:r>
      <w:r w:rsidRPr="00A52585">
        <w:rPr>
          <w:rFonts w:hint="cs"/>
          <w:rtl/>
        </w:rPr>
        <w:t xml:space="preserve"> واستعير لذلك بلفظ الأيدي لأنها عادة موضع القوة والجد والعمل</w:t>
      </w:r>
      <w:r w:rsidR="00897A24" w:rsidRPr="00A52585">
        <w:rPr>
          <w:rFonts w:hint="cs"/>
          <w:rtl/>
        </w:rPr>
        <w:t>.</w:t>
      </w:r>
      <w:r w:rsidRPr="00A52585">
        <w:rPr>
          <w:rFonts w:hint="cs"/>
          <w:rtl/>
        </w:rPr>
        <w:t xml:space="preserve"> فلا شك أن المعنى المقصود هو الثاني</w:t>
      </w:r>
      <w:r w:rsidR="00DB731D" w:rsidRPr="00A52585">
        <w:rPr>
          <w:rFonts w:hint="cs"/>
          <w:rtl/>
        </w:rPr>
        <w:t>،</w:t>
      </w:r>
      <w:r w:rsidRPr="00A52585">
        <w:rPr>
          <w:rFonts w:hint="cs"/>
          <w:rtl/>
        </w:rPr>
        <w:t xml:space="preserve"> </w:t>
      </w:r>
    </w:p>
    <w:p w14:paraId="25A34836" w14:textId="719EFD89" w:rsidR="00777DCB" w:rsidRPr="00A52585" w:rsidRDefault="00777DCB" w:rsidP="004C25E1">
      <w:pPr>
        <w:rPr>
          <w:rtl/>
        </w:rPr>
      </w:pPr>
      <w:r w:rsidRPr="00A52585">
        <w:rPr>
          <w:rFonts w:hint="cs"/>
          <w:rtl/>
        </w:rPr>
        <w:t xml:space="preserve">وهاهنا في الآية </w:t>
      </w:r>
      <w:r w:rsidR="0002035C" w:rsidRPr="00A52585">
        <w:rPr>
          <w:rFonts w:hint="cs"/>
          <w:rtl/>
        </w:rPr>
        <w:t>{</w:t>
      </w:r>
      <w:r w:rsidRPr="00A52585">
        <w:rPr>
          <w:rFonts w:hint="cs"/>
          <w:rtl/>
        </w:rPr>
        <w:t>وَالسَّمَاء بَنَيْنَاهَا بِأَيْدٍ وَإِنَّا لَمُوسِعُونَ</w:t>
      </w:r>
      <w:r w:rsidR="0002035C" w:rsidRPr="00A52585">
        <w:rPr>
          <w:rFonts w:hint="cs"/>
          <w:rtl/>
        </w:rPr>
        <w:t>}</w:t>
      </w:r>
      <w:r w:rsidRPr="00A52585">
        <w:rPr>
          <w:rFonts w:hint="cs"/>
          <w:rtl/>
        </w:rPr>
        <w:t xml:space="preserve"> نفس المقصود إذ لم تسق الآية لإثبات جارحة لله تعالى عن ذلك لأنه نقص يتنزه الأحد الصمد عنه</w:t>
      </w:r>
      <w:r w:rsidR="00DB731D" w:rsidRPr="00A52585">
        <w:rPr>
          <w:rFonts w:hint="cs"/>
          <w:rtl/>
        </w:rPr>
        <w:t>،</w:t>
      </w:r>
      <w:r w:rsidRPr="00A52585">
        <w:rPr>
          <w:rFonts w:hint="cs"/>
          <w:rtl/>
        </w:rPr>
        <w:t xml:space="preserve"> لأن الجارحة تعني الجزء والتجزؤ يضاد الأحدية </w:t>
      </w:r>
      <w:r w:rsidRPr="00A52585">
        <w:rPr>
          <w:rFonts w:hint="cs"/>
          <w:rtl/>
        </w:rPr>
        <w:lastRenderedPageBreak/>
        <w:t xml:space="preserve">التي تعني نفي </w:t>
      </w:r>
      <w:proofErr w:type="spellStart"/>
      <w:r w:rsidRPr="00A52585">
        <w:rPr>
          <w:rFonts w:hint="cs"/>
          <w:rtl/>
        </w:rPr>
        <w:t>التبغض</w:t>
      </w:r>
      <w:proofErr w:type="spellEnd"/>
      <w:r w:rsidRPr="00A52585">
        <w:rPr>
          <w:rFonts w:hint="cs"/>
          <w:rtl/>
        </w:rPr>
        <w:t xml:space="preserve"> ويضاد الصمدية التي تعني كمال الغنى لأن </w:t>
      </w:r>
      <w:proofErr w:type="spellStart"/>
      <w:r w:rsidRPr="00A52585">
        <w:rPr>
          <w:rFonts w:hint="cs"/>
          <w:rtl/>
        </w:rPr>
        <w:t>المتجزىء</w:t>
      </w:r>
      <w:proofErr w:type="spellEnd"/>
      <w:r w:rsidRPr="00A52585">
        <w:rPr>
          <w:rFonts w:hint="cs"/>
          <w:rtl/>
        </w:rPr>
        <w:t xml:space="preserve"> يحتاج إلى جزئه فصاحب اليد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xml:space="preserve"> يحتاج إلى يده لتناوله الأشياء وصاحب الرجل (الجارحة</w:t>
      </w:r>
      <w:r w:rsidR="0002035C" w:rsidRPr="00A52585">
        <w:rPr>
          <w:rFonts w:hint="cs"/>
          <w:rtl/>
        </w:rPr>
        <w:t>)</w:t>
      </w:r>
      <w:r w:rsidRPr="00A52585">
        <w:rPr>
          <w:rFonts w:hint="cs"/>
          <w:rtl/>
        </w:rPr>
        <w:t xml:space="preserve"> يحتاج إلى رجله ليتحرك بها وصاحب العين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xml:space="preserve"> يحتاج إلى عينه ليبصر بها وهكذا </w:t>
      </w:r>
      <w:proofErr w:type="spellStart"/>
      <w:r w:rsidRPr="00A52585">
        <w:rPr>
          <w:rFonts w:hint="cs"/>
          <w:rtl/>
        </w:rPr>
        <w:t>فالمتجزيء</w:t>
      </w:r>
      <w:proofErr w:type="spellEnd"/>
      <w:r w:rsidRPr="00A52585">
        <w:rPr>
          <w:rFonts w:hint="cs"/>
          <w:rtl/>
        </w:rPr>
        <w:t xml:space="preserve"> يحتاج إلى جزئه </w:t>
      </w:r>
      <w:proofErr w:type="spellStart"/>
      <w:r w:rsidRPr="00A52585">
        <w:rPr>
          <w:rFonts w:hint="cs"/>
          <w:rtl/>
        </w:rPr>
        <w:t>والمتبعض</w:t>
      </w:r>
      <w:proofErr w:type="spellEnd"/>
      <w:r w:rsidRPr="00A52585">
        <w:rPr>
          <w:rFonts w:hint="cs"/>
          <w:rtl/>
        </w:rPr>
        <w:t xml:space="preserve"> يحتاج إلى بعضه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w:t>
      </w:r>
      <w:r w:rsidRPr="00A52585">
        <w:rPr>
          <w:rtl/>
        </w:rPr>
        <w:t>كمال الغنى</w:t>
      </w:r>
      <w:r w:rsidR="00DB731D" w:rsidRPr="00A52585">
        <w:rPr>
          <w:rtl/>
        </w:rPr>
        <w:t>،</w:t>
      </w:r>
      <w:r w:rsidRPr="00A52585">
        <w:rPr>
          <w:rtl/>
        </w:rPr>
        <w:t xml:space="preserve"> وإثبات الجارحة ليس فيه أي معنى للكمال الإلهي المتصف بكمال الأحدية وكمال الصمدية وكمال </w:t>
      </w:r>
      <w:proofErr w:type="spellStart"/>
      <w:r w:rsidRPr="00A52585">
        <w:rPr>
          <w:rtl/>
        </w:rPr>
        <w:t>القيومية</w:t>
      </w:r>
      <w:proofErr w:type="spellEnd"/>
      <w:r w:rsidRPr="00A52585">
        <w:rPr>
          <w:rtl/>
        </w:rPr>
        <w:t xml:space="preserve"> وكمال الغنى</w:t>
      </w:r>
      <w:r w:rsidR="00DB731D" w:rsidRPr="00A52585">
        <w:rPr>
          <w:rtl/>
        </w:rPr>
        <w:t>،</w:t>
      </w:r>
      <w:r w:rsidRPr="00A52585">
        <w:rPr>
          <w:rtl/>
        </w:rPr>
        <w:t xml:space="preserve"> بل هو نقص يتنزه الله تعالى عنه ويضاد جميع تلك الصفات العلا</w:t>
      </w:r>
      <w:r w:rsidR="00DB731D" w:rsidRPr="00A52585">
        <w:rPr>
          <w:rtl/>
        </w:rPr>
        <w:t>،</w:t>
      </w:r>
      <w:r w:rsidRPr="00A52585">
        <w:rPr>
          <w:rtl/>
        </w:rPr>
        <w:t xml:space="preserve"> ونعود إلى الآية فنقول</w:t>
      </w:r>
      <w:r w:rsidR="0002035C" w:rsidRPr="00A52585">
        <w:rPr>
          <w:rtl/>
        </w:rPr>
        <w:t>:</w:t>
      </w:r>
      <w:r w:rsidRPr="00A52585">
        <w:rPr>
          <w:rtl/>
        </w:rPr>
        <w:t xml:space="preserve"> </w:t>
      </w:r>
      <w:r w:rsidRPr="00A52585">
        <w:rPr>
          <w:bCs/>
          <w:rtl/>
        </w:rPr>
        <w:t>تأويل الأيد في الآية بالقوة ثابت عن حبر الأمة وترجمان القرآن عبد الله ابن عباس رضي الله</w:t>
      </w:r>
      <w:r w:rsidRPr="00A52585">
        <w:rPr>
          <w:bCs/>
        </w:rPr>
        <w:t xml:space="preserve"> </w:t>
      </w:r>
      <w:r w:rsidRPr="00A52585">
        <w:rPr>
          <w:bCs/>
          <w:rtl/>
        </w:rPr>
        <w:t>عنهما</w:t>
      </w:r>
      <w:r w:rsidR="00DB731D" w:rsidRPr="00A52585">
        <w:rPr>
          <w:rtl/>
        </w:rPr>
        <w:t>،</w:t>
      </w:r>
      <w:r w:rsidRPr="00A52585">
        <w:rPr>
          <w:rtl/>
        </w:rPr>
        <w:t xml:space="preserve"> فقد أخرج ابن</w:t>
      </w:r>
      <w:r w:rsidRPr="00A52585">
        <w:t xml:space="preserve"> </w:t>
      </w:r>
      <w:r w:rsidRPr="00A52585">
        <w:rPr>
          <w:rtl/>
        </w:rPr>
        <w:t>جرير وابن المنذر وابن أبي حاتم والبيهقي في الأسماء والصفات عن ابن عباس رضي الله</w:t>
      </w:r>
      <w:r w:rsidRPr="00A52585">
        <w:t xml:space="preserve"> </w:t>
      </w:r>
      <w:r w:rsidRPr="00A52585">
        <w:rPr>
          <w:rtl/>
        </w:rPr>
        <w:t xml:space="preserve">عنهما في قوله تعالى </w:t>
      </w:r>
      <w:r w:rsidR="0002035C" w:rsidRPr="00A52585">
        <w:rPr>
          <w:rtl/>
        </w:rPr>
        <w:t>(</w:t>
      </w:r>
      <w:r w:rsidRPr="00A52585">
        <w:rPr>
          <w:rtl/>
        </w:rPr>
        <w:t>والسماء بنيناها</w:t>
      </w:r>
      <w:r w:rsidRPr="00A52585">
        <w:t xml:space="preserve"> </w:t>
      </w:r>
      <w:r w:rsidRPr="00A52585">
        <w:rPr>
          <w:rtl/>
        </w:rPr>
        <w:t>بأيد</w:t>
      </w:r>
      <w:r w:rsidR="0002035C" w:rsidRPr="00A52585">
        <w:rPr>
          <w:rtl/>
        </w:rPr>
        <w:t xml:space="preserve">) </w:t>
      </w:r>
      <w:r w:rsidRPr="00A52585">
        <w:rPr>
          <w:rtl/>
        </w:rPr>
        <w:t>قال: بقوة</w:t>
      </w:r>
      <w:r w:rsidR="00DB731D" w:rsidRPr="00A52585">
        <w:rPr>
          <w:rtl/>
        </w:rPr>
        <w:t>،</w:t>
      </w:r>
      <w:r w:rsidRPr="00A52585">
        <w:rPr>
          <w:rtl/>
        </w:rPr>
        <w:t xml:space="preserve"> </w:t>
      </w:r>
      <w:r w:rsidRPr="00A52585">
        <w:rPr>
          <w:b/>
          <w:bCs/>
          <w:rtl/>
        </w:rPr>
        <w:t>[تأويل التابعين للأيد في الآية بالقوة</w:t>
      </w:r>
      <w:r w:rsidR="0002035C" w:rsidRPr="00A52585">
        <w:rPr>
          <w:b/>
          <w:bCs/>
          <w:rtl/>
        </w:rPr>
        <w:t>]</w:t>
      </w:r>
      <w:r w:rsidR="00DB731D" w:rsidRPr="00A52585">
        <w:rPr>
          <w:rtl/>
        </w:rPr>
        <w:t>،</w:t>
      </w:r>
      <w:r w:rsidR="0002035C" w:rsidRPr="00A52585">
        <w:rPr>
          <w:rtl/>
        </w:rPr>
        <w:t xml:space="preserve"> </w:t>
      </w:r>
      <w:r w:rsidRPr="00A52585">
        <w:rPr>
          <w:rtl/>
        </w:rPr>
        <w:t>فقد أخرج ابن</w:t>
      </w:r>
      <w:r w:rsidRPr="00A52585">
        <w:t xml:space="preserve"> </w:t>
      </w:r>
      <w:r w:rsidRPr="00A52585">
        <w:rPr>
          <w:rtl/>
        </w:rPr>
        <w:t>جرير عن مجاهد و قتادة</w:t>
      </w:r>
      <w:r w:rsidR="0002035C" w:rsidRPr="00A52585">
        <w:rPr>
          <w:rtl/>
        </w:rPr>
        <w:t xml:space="preserve"> </w:t>
      </w:r>
      <w:r w:rsidRPr="00A52585">
        <w:rPr>
          <w:rtl/>
        </w:rPr>
        <w:t>والسدي وغيرهم من التابعين وأخرج</w:t>
      </w:r>
      <w:r w:rsidRPr="00A52585">
        <w:t xml:space="preserve"> </w:t>
      </w:r>
      <w:r w:rsidRPr="00A52585">
        <w:rPr>
          <w:rtl/>
        </w:rPr>
        <w:t>البيهقي</w:t>
      </w:r>
      <w:r w:rsidRPr="00A52585">
        <w:t xml:space="preserve"> </w:t>
      </w:r>
      <w:r w:rsidRPr="00A52585">
        <w:rPr>
          <w:rtl/>
        </w:rPr>
        <w:t>وغيره عن مجاهد في قولهم (والسماء</w:t>
      </w:r>
      <w:r w:rsidRPr="00A52585">
        <w:t xml:space="preserve"> </w:t>
      </w:r>
      <w:r w:rsidRPr="00A52585">
        <w:rPr>
          <w:rtl/>
        </w:rPr>
        <w:t>بنيناها</w:t>
      </w:r>
      <w:r w:rsidRPr="00A52585">
        <w:t xml:space="preserve"> </w:t>
      </w:r>
      <w:r w:rsidRPr="00A52585">
        <w:rPr>
          <w:rtl/>
        </w:rPr>
        <w:t>بأيد</w:t>
      </w:r>
      <w:r w:rsidR="0002035C" w:rsidRPr="00A52585">
        <w:rPr>
          <w:rtl/>
        </w:rPr>
        <w:t>)</w:t>
      </w:r>
      <w:r w:rsidRPr="00A52585">
        <w:rPr>
          <w:rtl/>
        </w:rPr>
        <w:t xml:space="preserve"> قالوا</w:t>
      </w:r>
      <w:r w:rsidR="0002035C" w:rsidRPr="00A52585">
        <w:rPr>
          <w:rtl/>
        </w:rPr>
        <w:t>:</w:t>
      </w:r>
      <w:r w:rsidRPr="00A52585">
        <w:rPr>
          <w:rtl/>
        </w:rPr>
        <w:t xml:space="preserve"> يعني</w:t>
      </w:r>
      <w:r w:rsidRPr="00A52585">
        <w:t xml:space="preserve"> </w:t>
      </w:r>
      <w:r w:rsidRPr="00A52585">
        <w:rPr>
          <w:rtl/>
        </w:rPr>
        <w:t>بقوة</w:t>
      </w:r>
    </w:p>
    <w:p w14:paraId="0415F558" w14:textId="0F37FA6A" w:rsidR="00777DCB" w:rsidRPr="00A52585" w:rsidRDefault="00777DCB" w:rsidP="0002035C">
      <w:r w:rsidRPr="00A52585">
        <w:rPr>
          <w:rFonts w:hint="cs"/>
          <w:bCs/>
          <w:rtl/>
        </w:rPr>
        <w:t>[وقد تواترت أقوال العلماء والمفسرين واللغويين على تأويل اليد بالقوة</w:t>
      </w:r>
      <w:r w:rsidR="0002035C" w:rsidRPr="00A52585">
        <w:rPr>
          <w:rFonts w:hint="cs"/>
          <w:bCs/>
          <w:rtl/>
        </w:rPr>
        <w:t>]</w:t>
      </w:r>
      <w:r w:rsidR="00DB731D" w:rsidRPr="00A52585">
        <w:rPr>
          <w:rFonts w:hint="cs"/>
          <w:bCs/>
          <w:rtl/>
        </w:rPr>
        <w:t>،</w:t>
      </w:r>
      <w:r w:rsidRPr="00A52585">
        <w:rPr>
          <w:rFonts w:hint="cs"/>
          <w:bCs/>
          <w:rtl/>
        </w:rPr>
        <w:t xml:space="preserve"> قال الطبري</w:t>
      </w:r>
      <w:r w:rsidRPr="00A52585">
        <w:rPr>
          <w:rFonts w:hint="cs"/>
          <w:rtl/>
        </w:rPr>
        <w:t xml:space="preserve"> " ذا</w:t>
      </w:r>
      <w:r w:rsidRPr="00A52585">
        <w:rPr>
          <w:rFonts w:hint="cs"/>
        </w:rPr>
        <w:t xml:space="preserve"> </w:t>
      </w:r>
      <w:r w:rsidRPr="00A52585">
        <w:rPr>
          <w:rFonts w:hint="cs"/>
          <w:rtl/>
        </w:rPr>
        <w:t>الأيد ويعني بقوله ذا الأيد ذا القوة والبطش الشديد</w:t>
      </w:r>
      <w:r w:rsidRPr="00A52585">
        <w:rPr>
          <w:rFonts w:hint="cs"/>
        </w:rPr>
        <w:t xml:space="preserve"> </w:t>
      </w:r>
      <w:r w:rsidRPr="00A52585">
        <w:rPr>
          <w:rFonts w:hint="cs"/>
          <w:rtl/>
        </w:rPr>
        <w:t xml:space="preserve">في ذات الله والصبر على </w:t>
      </w:r>
      <w:proofErr w:type="spellStart"/>
      <w:r w:rsidRPr="00A52585">
        <w:rPr>
          <w:rFonts w:hint="cs"/>
          <w:rtl/>
        </w:rPr>
        <w:t>طاعته</w:t>
      </w:r>
      <w:r w:rsidR="00897A24" w:rsidRPr="00A52585">
        <w:rPr>
          <w:rFonts w:hint="cs"/>
          <w:rtl/>
        </w:rPr>
        <w:t>.</w:t>
      </w:r>
      <w:r w:rsidRPr="00A52585">
        <w:rPr>
          <w:rFonts w:hint="cs"/>
          <w:rtl/>
        </w:rPr>
        <w:t>.قال</w:t>
      </w:r>
      <w:proofErr w:type="spellEnd"/>
      <w:r w:rsidRPr="00A52585">
        <w:rPr>
          <w:rFonts w:hint="cs"/>
          <w:rtl/>
        </w:rPr>
        <w:t xml:space="preserve"> ابن زيد في قوله داود ذا الأيد قال ذا القوة في عبادة الله الأيد القوة وقرأ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قال بقوة " [تفسير الطبري ج: 23 ص: 136]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rtl/>
        </w:rPr>
        <w:t xml:space="preserve"> " حدثني علي قال ثنا أبو صالح قال ثني معاوية عن علي عن ابن عباس 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يقول بقوة</w:t>
      </w:r>
      <w:r w:rsidR="0002035C" w:rsidRPr="00A52585">
        <w:rPr>
          <w:rFonts w:hint="cs"/>
          <w:rtl/>
        </w:rPr>
        <w:t xml:space="preserve"> </w:t>
      </w:r>
      <w:r w:rsidRPr="00A52585">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02035C" w:rsidRPr="00A52585">
        <w:rPr>
          <w:rFonts w:hint="cs"/>
          <w:rtl/>
        </w:rPr>
        <w:t xml:space="preserve"> </w:t>
      </w:r>
      <w:r w:rsidRPr="00A52585">
        <w:rPr>
          <w:rFonts w:hint="cs"/>
          <w:rtl/>
        </w:rPr>
        <w:t>حدثنا بشر قال ثنا يزيد قال ثنا سعيد عن قتادة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أي بقوة " [تفسير الطبري ج: 27 ص: 7]أهـ</w:t>
      </w:r>
      <w:r w:rsidR="00DB731D" w:rsidRPr="00A52585">
        <w:rPr>
          <w:rFonts w:hint="cs"/>
          <w:bCs/>
          <w:rtl/>
        </w:rPr>
        <w:t>،</w:t>
      </w:r>
      <w:r w:rsidRPr="00A52585">
        <w:rPr>
          <w:rFonts w:hint="cs"/>
          <w:bCs/>
          <w:rtl/>
        </w:rPr>
        <w:t xml:space="preserve"> وقال رحمه الله</w:t>
      </w:r>
      <w:r w:rsidRPr="00A52585">
        <w:rPr>
          <w:rFonts w:hint="cs"/>
          <w:rtl/>
        </w:rPr>
        <w:t xml:space="preserve"> "</w:t>
      </w:r>
      <w:r w:rsidR="00897A24" w:rsidRPr="00A52585">
        <w:rPr>
          <w:rFonts w:hint="cs"/>
          <w:rtl/>
        </w:rPr>
        <w:t>.</w:t>
      </w:r>
      <w:r w:rsidRPr="00A52585">
        <w:rPr>
          <w:rFonts w:hint="cs"/>
          <w:rtl/>
        </w:rPr>
        <w:t>.عن ابن عباس 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 xml:space="preserve">يقول </w:t>
      </w:r>
      <w:proofErr w:type="spellStart"/>
      <w:r w:rsidRPr="00A52585">
        <w:rPr>
          <w:rFonts w:hint="cs"/>
          <w:rtl/>
        </w:rPr>
        <w:t>بقوة</w:t>
      </w:r>
      <w:r w:rsidR="00897A24" w:rsidRPr="00A52585">
        <w:rPr>
          <w:rFonts w:hint="cs"/>
          <w:rtl/>
        </w:rPr>
        <w:t>.</w:t>
      </w:r>
      <w:r w:rsidRPr="00A52585">
        <w:rPr>
          <w:rFonts w:hint="cs"/>
          <w:rtl/>
        </w:rPr>
        <w:t>.عن</w:t>
      </w:r>
      <w:proofErr w:type="spellEnd"/>
      <w:r w:rsidRPr="00A52585">
        <w:rPr>
          <w:rFonts w:hint="cs"/>
          <w:rtl/>
        </w:rPr>
        <w:t xml:space="preserve"> مجاهد قوله بأيد قال </w:t>
      </w:r>
      <w:proofErr w:type="spellStart"/>
      <w:r w:rsidRPr="00A52585">
        <w:rPr>
          <w:rFonts w:hint="cs"/>
          <w:rtl/>
        </w:rPr>
        <w:t>بقوة</w:t>
      </w:r>
      <w:r w:rsidR="00897A24" w:rsidRPr="00A52585">
        <w:rPr>
          <w:rFonts w:hint="cs"/>
          <w:rtl/>
        </w:rPr>
        <w:t>.</w:t>
      </w:r>
      <w:r w:rsidRPr="00A52585">
        <w:rPr>
          <w:rFonts w:hint="cs"/>
          <w:rtl/>
        </w:rPr>
        <w:t>.عن</w:t>
      </w:r>
      <w:proofErr w:type="spellEnd"/>
      <w:r w:rsidRPr="00A52585">
        <w:rPr>
          <w:rFonts w:hint="cs"/>
          <w:rtl/>
        </w:rPr>
        <w:t xml:space="preserve"> قتادة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 xml:space="preserve">أي بقوة " </w:t>
      </w:r>
      <w:r w:rsidR="0002035C" w:rsidRPr="00A52585">
        <w:rPr>
          <w:rFonts w:hint="cs"/>
          <w:rtl/>
        </w:rPr>
        <w:t>[</w:t>
      </w:r>
      <w:r w:rsidRPr="00A52585">
        <w:rPr>
          <w:rFonts w:hint="cs"/>
          <w:rtl/>
        </w:rPr>
        <w:t>تفسير الطبري ج: 27 ص: 7] أهـ</w:t>
      </w:r>
      <w:r w:rsidR="00DB731D" w:rsidRPr="00A52585">
        <w:rPr>
          <w:rFonts w:hint="cs"/>
          <w:rtl/>
        </w:rPr>
        <w:t>،</w:t>
      </w:r>
      <w:r w:rsidRPr="00A52585">
        <w:rPr>
          <w:rFonts w:hint="cs"/>
          <w:rtl/>
        </w:rPr>
        <w:t xml:space="preserve"> </w:t>
      </w:r>
      <w:r w:rsidRPr="00A52585">
        <w:rPr>
          <w:rFonts w:hint="cs"/>
          <w:bCs/>
          <w:rtl/>
        </w:rPr>
        <w:t>وقال القرطبي</w:t>
      </w:r>
      <w:r w:rsidR="0002035C" w:rsidRPr="00A52585">
        <w:rPr>
          <w:rFonts w:hint="cs"/>
          <w:rtl/>
        </w:rPr>
        <w:t>:</w:t>
      </w:r>
      <w:r w:rsidRPr="00A52585">
        <w:rPr>
          <w:rFonts w:hint="cs"/>
          <w:rtl/>
        </w:rPr>
        <w:t xml:space="preserve"> " قوله تعالى </w:t>
      </w:r>
      <w:r w:rsidR="0002035C" w:rsidRPr="00A52585">
        <w:rPr>
          <w:rFonts w:hint="cs"/>
          <w:rtl/>
        </w:rPr>
        <w:t>(</w:t>
      </w:r>
      <w:r w:rsidRPr="00A52585">
        <w:rPr>
          <w:rFonts w:hint="cs"/>
          <w:rtl/>
        </w:rPr>
        <w:t>والسماء بنيناها بأيد</w:t>
      </w:r>
      <w:r w:rsidR="0002035C" w:rsidRPr="00A52585">
        <w:rPr>
          <w:rFonts w:hint="cs"/>
          <w:rtl/>
        </w:rPr>
        <w:t>)</w:t>
      </w:r>
      <w:r w:rsidR="00897A24" w:rsidRPr="00A52585">
        <w:rPr>
          <w:rFonts w:hint="cs"/>
          <w:rtl/>
        </w:rPr>
        <w:t>.</w:t>
      </w:r>
      <w:r w:rsidRPr="00A52585">
        <w:rPr>
          <w:rFonts w:hint="cs"/>
          <w:rtl/>
        </w:rPr>
        <w:t>.ومعنى بأيد أي بقوة وقدرة " [تفسير القرطبي ج: 17 ص: 52] أهـ</w:t>
      </w:r>
      <w:r w:rsidR="00DB731D" w:rsidRPr="00A52585">
        <w:rPr>
          <w:rFonts w:hint="cs"/>
          <w:rtl/>
        </w:rPr>
        <w:t>،</w:t>
      </w:r>
      <w:r w:rsidRPr="00A52585">
        <w:rPr>
          <w:rFonts w:hint="cs"/>
          <w:rtl/>
        </w:rPr>
        <w:t xml:space="preserve"> </w:t>
      </w:r>
      <w:r w:rsidRPr="00A52585">
        <w:rPr>
          <w:rFonts w:hint="cs"/>
          <w:bCs/>
          <w:rtl/>
        </w:rPr>
        <w:t>وقال البيضاوي</w:t>
      </w:r>
      <w:r w:rsidR="0002035C" w:rsidRPr="00A52585">
        <w:rPr>
          <w:rFonts w:hint="cs"/>
          <w:rtl/>
        </w:rPr>
        <w:t>:</w:t>
      </w:r>
      <w:r w:rsidRPr="00A52585">
        <w:rPr>
          <w:rFonts w:hint="cs"/>
          <w:rtl/>
        </w:rPr>
        <w:t>"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بقوة "</w:t>
      </w:r>
      <w:r w:rsidR="0002035C" w:rsidRPr="00A52585">
        <w:rPr>
          <w:rFonts w:hint="cs"/>
          <w:rtl/>
        </w:rPr>
        <w:t>[</w:t>
      </w:r>
      <w:r w:rsidRPr="00A52585">
        <w:rPr>
          <w:rFonts w:hint="cs"/>
          <w:rtl/>
        </w:rPr>
        <w:t>تفسير البيضاوي ج: 5 ص: 241] أهـ</w:t>
      </w:r>
      <w:r w:rsidR="00DB731D" w:rsidRPr="00A52585">
        <w:rPr>
          <w:rFonts w:hint="cs"/>
          <w:rtl/>
        </w:rPr>
        <w:t>،</w:t>
      </w:r>
      <w:r w:rsidRPr="00A52585">
        <w:rPr>
          <w:rFonts w:hint="cs"/>
          <w:rtl/>
        </w:rPr>
        <w:t xml:space="preserve"> </w:t>
      </w:r>
      <w:r w:rsidRPr="00A52585">
        <w:rPr>
          <w:rFonts w:hint="cs"/>
          <w:bCs/>
          <w:rtl/>
        </w:rPr>
        <w:t>وقال السيوطي</w:t>
      </w:r>
      <w:r w:rsidRPr="00A52585">
        <w:rPr>
          <w:rFonts w:hint="cs"/>
          <w:rtl/>
        </w:rPr>
        <w:t xml:space="preserve"> </w:t>
      </w:r>
      <w:r w:rsidRPr="00A52585">
        <w:rPr>
          <w:rFonts w:hint="cs"/>
          <w:bCs/>
          <w:rtl/>
        </w:rPr>
        <w:t>في الدر المنثور</w:t>
      </w:r>
      <w:r w:rsidRPr="00A52585">
        <w:rPr>
          <w:rFonts w:hint="cs"/>
          <w:rtl/>
        </w:rPr>
        <w:t xml:space="preserve"> "</w:t>
      </w:r>
      <w:r w:rsidR="0002035C" w:rsidRPr="00A52585">
        <w:rPr>
          <w:rFonts w:hint="cs"/>
          <w:rtl/>
        </w:rPr>
        <w:t xml:space="preserve"> </w:t>
      </w:r>
      <w:r w:rsidRPr="00A52585">
        <w:rPr>
          <w:rFonts w:hint="cs"/>
          <w:rtl/>
        </w:rPr>
        <w:t>وأخرج ابن جرير وابن المنذر وابن أبي حاتم والبيهقي في الأسماء والصفات عن ابن عباس رضي الله عنهما في 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بقوة</w:t>
      </w:r>
      <w:r w:rsidR="0002035C" w:rsidRPr="00A52585">
        <w:rPr>
          <w:rFonts w:hint="cs"/>
          <w:rtl/>
        </w:rPr>
        <w:t xml:space="preserve"> </w:t>
      </w:r>
      <w:r w:rsidRPr="00A52585">
        <w:rPr>
          <w:rFonts w:hint="cs"/>
          <w:rtl/>
        </w:rPr>
        <w:t>وأخرج آدم بن أبي إياس والبيهقي عن مجاهد رضي الله عنه في 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 xml:space="preserve">يعني بقوة " </w:t>
      </w:r>
      <w:r w:rsidR="0002035C" w:rsidRPr="00A52585">
        <w:rPr>
          <w:rFonts w:hint="cs"/>
          <w:rtl/>
        </w:rPr>
        <w:t>[</w:t>
      </w:r>
      <w:r w:rsidRPr="00A52585">
        <w:rPr>
          <w:rFonts w:hint="cs"/>
          <w:rtl/>
        </w:rPr>
        <w:t xml:space="preserve">الدر المنثور </w:t>
      </w:r>
      <w:r w:rsidRPr="00A52585">
        <w:rPr>
          <w:rFonts w:hint="cs"/>
          <w:rtl/>
        </w:rPr>
        <w:lastRenderedPageBreak/>
        <w:t>ج: 7 ص: 623] أهـ</w:t>
      </w:r>
      <w:r w:rsidR="00DB731D" w:rsidRPr="00A52585">
        <w:rPr>
          <w:rFonts w:hint="cs"/>
          <w:rtl/>
        </w:rPr>
        <w:t>،</w:t>
      </w:r>
      <w:r w:rsidRPr="00A52585">
        <w:rPr>
          <w:rFonts w:hint="cs"/>
          <w:rtl/>
        </w:rPr>
        <w:t xml:space="preserve"> </w:t>
      </w:r>
      <w:r w:rsidRPr="00A52585">
        <w:rPr>
          <w:rFonts w:hint="cs"/>
          <w:bCs/>
          <w:rtl/>
        </w:rPr>
        <w:t>وقال في التفسير</w:t>
      </w:r>
      <w:r w:rsidR="0002035C" w:rsidRPr="00A52585">
        <w:rPr>
          <w:rFonts w:hint="cs"/>
          <w:rtl/>
        </w:rPr>
        <w:t>:</w:t>
      </w:r>
      <w:r w:rsidRPr="00A52585">
        <w:rPr>
          <w:rFonts w:hint="cs"/>
          <w:rtl/>
        </w:rPr>
        <w:t xml:space="preserve"> "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 xml:space="preserve">بقوة " </w:t>
      </w:r>
      <w:r w:rsidR="0002035C" w:rsidRPr="00A52585">
        <w:rPr>
          <w:rFonts w:hint="cs"/>
          <w:rtl/>
        </w:rPr>
        <w:t>[</w:t>
      </w:r>
      <w:r w:rsidRPr="00A52585">
        <w:rPr>
          <w:rFonts w:hint="cs"/>
          <w:rtl/>
        </w:rPr>
        <w:t>تفسير الجلالين ج: 1 ص: 695] أهـ</w:t>
      </w:r>
      <w:r w:rsidR="00DB731D" w:rsidRPr="00A52585">
        <w:rPr>
          <w:rFonts w:hint="cs"/>
          <w:rtl/>
        </w:rPr>
        <w:t>،</w:t>
      </w:r>
      <w:r w:rsidRPr="00A52585">
        <w:rPr>
          <w:rFonts w:hint="cs"/>
          <w:rtl/>
        </w:rPr>
        <w:t xml:space="preserve"> </w:t>
      </w:r>
      <w:r w:rsidRPr="00A52585">
        <w:rPr>
          <w:rFonts w:hint="cs"/>
          <w:bCs/>
          <w:rtl/>
        </w:rPr>
        <w:t>وقال بن كثير</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كقوله تعالى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 xml:space="preserve">أي بقوة " </w:t>
      </w:r>
      <w:r w:rsidR="0002035C" w:rsidRPr="00A52585">
        <w:rPr>
          <w:rFonts w:hint="cs"/>
          <w:rtl/>
        </w:rPr>
        <w:t>[</w:t>
      </w:r>
      <w:r w:rsidRPr="00A52585">
        <w:rPr>
          <w:rFonts w:hint="cs"/>
          <w:rtl/>
        </w:rPr>
        <w:t>تفسير الجلالين ج: 1 ص: 695]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يقول تعالى</w:t>
      </w:r>
      <w:r w:rsidRPr="00A52585">
        <w:rPr>
          <w:rFonts w:hint="cs"/>
        </w:rPr>
        <w:t xml:space="preserve"> </w:t>
      </w:r>
      <w:r w:rsidRPr="00A52585">
        <w:rPr>
          <w:rFonts w:hint="cs"/>
          <w:rtl/>
        </w:rPr>
        <w:t>عن عبده ورسوله داود عليه الصلاة والسلام أنه كان ذا أيد والأيدي القوة في العلم</w:t>
      </w:r>
      <w:r w:rsidRPr="00A52585">
        <w:rPr>
          <w:rFonts w:hint="cs"/>
        </w:rPr>
        <w:t xml:space="preserve"> </w:t>
      </w:r>
      <w:r w:rsidRPr="00A52585">
        <w:rPr>
          <w:rFonts w:hint="cs"/>
          <w:rtl/>
        </w:rPr>
        <w:t>والعمل عن ابن عباس رضي الله عنهما والسدي وابن زيد الأيدي القوة وقرأ ابن زيد</w:t>
      </w:r>
      <w:r w:rsidRPr="00A52585">
        <w:rPr>
          <w:rFonts w:hint="cs"/>
        </w:rPr>
        <w:t xml:space="preserve"> </w:t>
      </w:r>
      <w:r w:rsidRPr="00A52585">
        <w:rPr>
          <w:rFonts w:hint="cs"/>
          <w:rtl/>
        </w:rPr>
        <w:t>والسماء</w:t>
      </w:r>
      <w:r w:rsidR="0002035C" w:rsidRPr="00A52585">
        <w:rPr>
          <w:rtl/>
        </w:rPr>
        <w:t xml:space="preserve"> </w:t>
      </w:r>
      <w:r w:rsidRPr="00A52585">
        <w:rPr>
          <w:rFonts w:hint="cs"/>
          <w:rtl/>
        </w:rPr>
        <w:t>بنيناها</w:t>
      </w:r>
      <w:r w:rsidRPr="00A52585">
        <w:rPr>
          <w:rFonts w:hint="cs"/>
        </w:rPr>
        <w:t xml:space="preserve"> </w:t>
      </w:r>
      <w:r w:rsidRPr="00A52585">
        <w:rPr>
          <w:rFonts w:hint="cs"/>
          <w:rtl/>
        </w:rPr>
        <w:t>بأيد</w:t>
      </w:r>
      <w:r w:rsidR="0002035C" w:rsidRPr="00A52585">
        <w:rPr>
          <w:rtl/>
        </w:rPr>
        <w:t xml:space="preserve"> </w:t>
      </w:r>
      <w:r w:rsidRPr="00A52585">
        <w:rPr>
          <w:rFonts w:hint="cs"/>
          <w:rtl/>
        </w:rPr>
        <w:t>وإنا</w:t>
      </w:r>
      <w:r w:rsidRPr="00A52585">
        <w:rPr>
          <w:rFonts w:hint="cs"/>
        </w:rPr>
        <w:t xml:space="preserve"> </w:t>
      </w:r>
      <w:r w:rsidRPr="00A52585">
        <w:rPr>
          <w:rFonts w:hint="cs"/>
          <w:rtl/>
        </w:rPr>
        <w:t>لموسعون وقال مجاهد الأيدي القوة في الطاعة "</w:t>
      </w:r>
      <w:r w:rsidR="0002035C" w:rsidRPr="00A52585">
        <w:rPr>
          <w:rFonts w:hint="cs"/>
          <w:rtl/>
        </w:rPr>
        <w:t>[</w:t>
      </w:r>
      <w:r w:rsidRPr="00A52585">
        <w:rPr>
          <w:rFonts w:hint="cs"/>
          <w:rtl/>
        </w:rPr>
        <w:t>تفسير ابن كثير ج: 4 ص: 30] أهـ</w:t>
      </w:r>
      <w:r w:rsidR="00DB731D" w:rsidRPr="00A52585">
        <w:rPr>
          <w:rFonts w:hint="cs"/>
          <w:rtl/>
          <w:lang w:bidi="ar-KW"/>
        </w:rPr>
        <w:t>،</w:t>
      </w:r>
      <w:r w:rsidRPr="00A52585">
        <w:rPr>
          <w:rFonts w:hint="cs"/>
          <w:rtl/>
          <w:lang w:bidi="ar-KW"/>
        </w:rPr>
        <w:t xml:space="preserve"> </w:t>
      </w:r>
      <w:r w:rsidRPr="00A52585">
        <w:rPr>
          <w:rFonts w:hint="cs"/>
          <w:bCs/>
          <w:rtl/>
        </w:rPr>
        <w:t>وقال أبو السعود</w:t>
      </w:r>
      <w:r w:rsidR="0002035C" w:rsidRPr="00A52585">
        <w:rPr>
          <w:rFonts w:hint="cs"/>
          <w:rtl/>
        </w:rPr>
        <w:t>:</w:t>
      </w:r>
      <w:r w:rsidRPr="00A52585">
        <w:rPr>
          <w:rFonts w:hint="cs"/>
          <w:rtl/>
        </w:rPr>
        <w:t xml:space="preserve"> "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إي بقوة " [تفسير أبي السعود ج: 8 ص: 142]أهـ</w:t>
      </w:r>
      <w:r w:rsidR="00DB731D" w:rsidRPr="00A52585">
        <w:rPr>
          <w:rFonts w:hint="cs"/>
          <w:rtl/>
        </w:rPr>
        <w:t>،</w:t>
      </w:r>
      <w:r w:rsidRPr="00A52585">
        <w:rPr>
          <w:rFonts w:hint="cs"/>
          <w:rtl/>
        </w:rPr>
        <w:t xml:space="preserve"> </w:t>
      </w:r>
      <w:r w:rsidRPr="00A52585">
        <w:rPr>
          <w:rFonts w:hint="cs"/>
          <w:bCs/>
          <w:rtl/>
        </w:rPr>
        <w:t>وقال البغوي</w:t>
      </w:r>
      <w:r w:rsidR="0002035C" w:rsidRPr="00A52585">
        <w:rPr>
          <w:rFonts w:hint="cs"/>
          <w:rtl/>
        </w:rPr>
        <w:t>:</w:t>
      </w:r>
      <w:r w:rsidRPr="00A52585">
        <w:rPr>
          <w:rFonts w:hint="cs"/>
          <w:rtl/>
        </w:rPr>
        <w:t xml:space="preserve"> "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بقوة وقدرة " [تفسير البغوي ج: 4 ص: 234]أهـ</w:t>
      </w:r>
      <w:r w:rsidR="00DB731D" w:rsidRPr="00A52585">
        <w:rPr>
          <w:rFonts w:hint="cs"/>
          <w:rtl/>
        </w:rPr>
        <w:t>،</w:t>
      </w:r>
      <w:r w:rsidRPr="00A52585">
        <w:rPr>
          <w:rFonts w:hint="cs"/>
          <w:rtl/>
        </w:rPr>
        <w:t xml:space="preserve"> </w:t>
      </w:r>
      <w:r w:rsidRPr="00A52585">
        <w:rPr>
          <w:rFonts w:hint="cs"/>
          <w:bCs/>
          <w:rtl/>
        </w:rPr>
        <w:t>وقال الشوكاني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أي بقوة وقدرة</w:t>
      </w:r>
      <w:r w:rsidR="00897A24" w:rsidRPr="00A52585">
        <w:rPr>
          <w:rFonts w:hint="cs"/>
          <w:rtl/>
        </w:rPr>
        <w:t>.</w:t>
      </w:r>
      <w:r w:rsidRPr="00A52585">
        <w:rPr>
          <w:rFonts w:hint="cs"/>
          <w:rtl/>
        </w:rPr>
        <w:t>.. وأخرج أبن جرير وأبن المنذر وأبن أبي حاتم والبيهقي في الأسماء والصفات عن أبن عباس في 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 xml:space="preserve">قال بقوة " </w:t>
      </w:r>
      <w:r w:rsidR="0002035C" w:rsidRPr="00A52585">
        <w:rPr>
          <w:rFonts w:hint="cs"/>
          <w:rtl/>
        </w:rPr>
        <w:t>[</w:t>
      </w:r>
      <w:r w:rsidRPr="00A52585">
        <w:rPr>
          <w:rFonts w:hint="cs"/>
          <w:rtl/>
        </w:rPr>
        <w:t>فتح القدير ج: 5 ص: 91] أهـ</w:t>
      </w:r>
      <w:r w:rsidR="00DB731D" w:rsidRPr="00A52585">
        <w:rPr>
          <w:rFonts w:hint="cs"/>
          <w:rtl/>
        </w:rPr>
        <w:t>،</w:t>
      </w:r>
      <w:r w:rsidRPr="00A52585">
        <w:rPr>
          <w:rFonts w:hint="cs"/>
          <w:rtl/>
        </w:rPr>
        <w:t xml:space="preserve"> </w:t>
      </w:r>
      <w:r w:rsidRPr="00A52585">
        <w:rPr>
          <w:rFonts w:hint="cs"/>
          <w:bCs/>
          <w:rtl/>
        </w:rPr>
        <w:t>وقال بن الجوزي</w:t>
      </w:r>
      <w:r w:rsidR="0002035C" w:rsidRPr="00A52585">
        <w:rPr>
          <w:rFonts w:hint="cs"/>
          <w:rtl/>
        </w:rPr>
        <w:t>:</w:t>
      </w:r>
      <w:r w:rsidRPr="00A52585">
        <w:rPr>
          <w:rFonts w:hint="cs"/>
          <w:rtl/>
        </w:rPr>
        <w:t xml:space="preserve"> "</w:t>
      </w:r>
      <w:r w:rsidR="0002035C" w:rsidRPr="00A52585">
        <w:rPr>
          <w:rFonts w:hint="cs"/>
          <w:rtl/>
        </w:rPr>
        <w:t xml:space="preserve"> </w:t>
      </w:r>
      <w:r w:rsidRPr="00A52585">
        <w:rPr>
          <w:rFonts w:hint="cs"/>
          <w:rtl/>
        </w:rPr>
        <w:t>والسماء بنيناها المعنى وبنينا 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أي بقوة وكذلك قال ابن عباس ومجاهد وقتادة وسائر المفسرين واللغويين بأيد أي بقوة " [زاد المسير ج: 8 ص: 40] أهـ</w:t>
      </w:r>
      <w:r w:rsidR="00DB731D" w:rsidRPr="00A52585">
        <w:rPr>
          <w:rFonts w:hint="cs"/>
          <w:rtl/>
        </w:rPr>
        <w:t>،</w:t>
      </w:r>
      <w:r w:rsidRPr="00A52585">
        <w:rPr>
          <w:rFonts w:hint="cs"/>
          <w:rtl/>
        </w:rPr>
        <w:t xml:space="preserve"> </w:t>
      </w:r>
      <w:r w:rsidRPr="00A52585">
        <w:rPr>
          <w:rFonts w:hint="cs"/>
          <w:bCs/>
          <w:rtl/>
        </w:rPr>
        <w:t>وقال الزركشي</w:t>
      </w:r>
      <w:r w:rsidR="0002035C" w:rsidRPr="00A52585">
        <w:rPr>
          <w:rFonts w:hint="cs"/>
          <w:rtl/>
        </w:rPr>
        <w:t>:</w:t>
      </w:r>
      <w:r w:rsidRPr="00A52585">
        <w:rPr>
          <w:rFonts w:hint="cs"/>
          <w:rtl/>
        </w:rPr>
        <w:t xml:space="preserve"> " وقوله والسماء</w:t>
      </w:r>
      <w:r w:rsidR="0002035C" w:rsidRPr="00A52585">
        <w:rPr>
          <w:rFonts w:hint="cs"/>
          <w:rtl/>
        </w:rPr>
        <w:t xml:space="preserve"> </w:t>
      </w:r>
      <w:r w:rsidRPr="00A52585">
        <w:rPr>
          <w:rFonts w:hint="cs"/>
          <w:rtl/>
        </w:rPr>
        <w:t>بنيناها بأيد</w:t>
      </w:r>
      <w:r w:rsidR="0002035C" w:rsidRPr="00A52585">
        <w:rPr>
          <w:rFonts w:hint="cs"/>
          <w:rtl/>
        </w:rPr>
        <w:t xml:space="preserve"> </w:t>
      </w:r>
      <w:r w:rsidRPr="00A52585">
        <w:rPr>
          <w:rFonts w:hint="cs"/>
          <w:rtl/>
        </w:rPr>
        <w:t>أراد بالأيد القوة " [البرهان في علوم القرآن ج: 3 ص: 445]أهـ</w:t>
      </w:r>
      <w:r w:rsidR="00DB731D" w:rsidRPr="00A52585">
        <w:rPr>
          <w:rFonts w:hint="cs"/>
          <w:rtl/>
        </w:rPr>
        <w:t>،</w:t>
      </w:r>
      <w:r w:rsidRPr="00A52585">
        <w:rPr>
          <w:rFonts w:hint="cs"/>
          <w:rtl/>
        </w:rPr>
        <w:t xml:space="preserve"> </w:t>
      </w:r>
      <w:r w:rsidRPr="00A52585">
        <w:rPr>
          <w:rFonts w:hint="cs"/>
          <w:bCs/>
          <w:rtl/>
        </w:rPr>
        <w:t>وقال النسفي</w:t>
      </w:r>
      <w:r w:rsidR="0002035C" w:rsidRPr="00A52585">
        <w:rPr>
          <w:rFonts w:hint="cs"/>
          <w:rtl/>
        </w:rPr>
        <w:t>:</w:t>
      </w:r>
      <w:r w:rsidRPr="00A52585">
        <w:rPr>
          <w:rFonts w:hint="cs"/>
          <w:rtl/>
        </w:rPr>
        <w:t xml:space="preserve"> " بنيناها بأيد</w:t>
      </w:r>
      <w:r w:rsidR="0002035C" w:rsidRPr="00A52585">
        <w:rPr>
          <w:rFonts w:hint="cs"/>
          <w:rtl/>
        </w:rPr>
        <w:t xml:space="preserve"> </w:t>
      </w:r>
      <w:r w:rsidRPr="00A52585">
        <w:rPr>
          <w:rFonts w:hint="cs"/>
          <w:rtl/>
        </w:rPr>
        <w:t>بقوة والايد القوة " [تفسير النسفي ج: 4 ص: 181] أهـ</w:t>
      </w:r>
      <w:r w:rsidR="00DB731D" w:rsidRPr="00A52585">
        <w:rPr>
          <w:rFonts w:hint="cs"/>
          <w:rtl/>
        </w:rPr>
        <w:t>،</w:t>
      </w:r>
      <w:r w:rsidRPr="00A52585">
        <w:rPr>
          <w:rFonts w:hint="cs"/>
          <w:rtl/>
        </w:rPr>
        <w:t xml:space="preserve"> </w:t>
      </w:r>
      <w:r w:rsidRPr="00A52585">
        <w:rPr>
          <w:rFonts w:hint="cs"/>
          <w:bCs/>
          <w:rtl/>
        </w:rPr>
        <w:t>وقال الألوسي</w:t>
      </w:r>
      <w:r w:rsidR="0002035C" w:rsidRPr="00A52585">
        <w:rPr>
          <w:rFonts w:hint="cs"/>
          <w:rtl/>
        </w:rPr>
        <w:t>:</w:t>
      </w:r>
      <w:r w:rsidRPr="00A52585">
        <w:rPr>
          <w:rFonts w:hint="cs"/>
          <w:rtl/>
        </w:rPr>
        <w:t xml:space="preserve"> " ويحتمل أنه جمع باعتبار كونه عظيم الشأن جليل القدر كجمع اليد بمعنى القدرة على قول في قوله تعالى</w:t>
      </w:r>
      <w:r w:rsidR="0002035C" w:rsidRPr="00A52585">
        <w:rPr>
          <w:rFonts w:hint="cs"/>
          <w:rtl/>
        </w:rPr>
        <w:t xml:space="preserve"> </w:t>
      </w:r>
      <w:r w:rsidRPr="00A52585">
        <w:rPr>
          <w:rFonts w:hint="cs"/>
          <w:rtl/>
        </w:rPr>
        <w:t>والسماء</w:t>
      </w:r>
      <w:r w:rsidR="0002035C" w:rsidRPr="00A52585">
        <w:rPr>
          <w:rFonts w:hint="cs"/>
          <w:rtl/>
        </w:rPr>
        <w:t xml:space="preserve"> </w:t>
      </w:r>
      <w:r w:rsidRPr="00A52585">
        <w:rPr>
          <w:rFonts w:hint="cs"/>
          <w:rtl/>
        </w:rPr>
        <w:t xml:space="preserve">بنيناها بأيد " </w:t>
      </w:r>
      <w:r w:rsidR="0002035C" w:rsidRPr="00A52585">
        <w:rPr>
          <w:rFonts w:hint="cs"/>
          <w:rtl/>
        </w:rPr>
        <w:t>[</w:t>
      </w:r>
      <w:r w:rsidRPr="00A52585">
        <w:rPr>
          <w:rFonts w:hint="cs"/>
          <w:rtl/>
        </w:rPr>
        <w:t>روح المعاني ج: 23 ص: 35]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 والسماء</w:t>
      </w:r>
      <w:r w:rsidRPr="00A52585">
        <w:rPr>
          <w:rFonts w:hint="cs"/>
        </w:rPr>
        <w:t xml:space="preserve"> </w:t>
      </w:r>
      <w:r w:rsidRPr="00A52585">
        <w:rPr>
          <w:rFonts w:hint="cs"/>
          <w:rtl/>
        </w:rPr>
        <w:t xml:space="preserve">أي وبنينا السماء بنيناها </w:t>
      </w:r>
      <w:proofErr w:type="spellStart"/>
      <w:r w:rsidRPr="00A52585">
        <w:rPr>
          <w:rFonts w:hint="cs"/>
          <w:rtl/>
        </w:rPr>
        <w:t>بأييد</w:t>
      </w:r>
      <w:proofErr w:type="spellEnd"/>
      <w:r w:rsidRPr="00A52585">
        <w:rPr>
          <w:rFonts w:hint="cs"/>
          <w:rtl/>
        </w:rPr>
        <w:t xml:space="preserve"> أي بقوة قاله</w:t>
      </w:r>
      <w:r w:rsidRPr="00A52585">
        <w:rPr>
          <w:rFonts w:hint="cs"/>
        </w:rPr>
        <w:t xml:space="preserve"> </w:t>
      </w:r>
      <w:r w:rsidRPr="00A52585">
        <w:rPr>
          <w:rFonts w:hint="cs"/>
          <w:rtl/>
        </w:rPr>
        <w:t>ابن عباس ومجاهد وقتادة "</w:t>
      </w:r>
      <w:r w:rsidR="0002035C" w:rsidRPr="00A52585">
        <w:rPr>
          <w:rFonts w:hint="cs"/>
          <w:rtl/>
        </w:rPr>
        <w:t>[</w:t>
      </w:r>
      <w:r w:rsidRPr="00A52585">
        <w:rPr>
          <w:rFonts w:hint="cs"/>
          <w:rtl/>
        </w:rPr>
        <w:t xml:space="preserve">روح المعاني ج: 27 ص: 17] أهـ </w:t>
      </w:r>
    </w:p>
    <w:p w14:paraId="5971ED82" w14:textId="0006F6E9" w:rsidR="00777DCB" w:rsidRPr="00A52585" w:rsidRDefault="00777DCB" w:rsidP="0002035C">
      <w:pPr>
        <w:rPr>
          <w:b/>
          <w:bCs/>
          <w:rtl/>
        </w:rPr>
      </w:pPr>
      <w:r w:rsidRPr="00A52585">
        <w:rPr>
          <w:rFonts w:hint="cs"/>
          <w:bCs/>
          <w:rtl/>
        </w:rPr>
        <w:t>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 يَا إِبْلِيسُ مَا مَنَعَكَ أَن تَسْجُدَ لِمَا خَلَقْتُ بِيَدَيَّ أَسْتَكْبَرْتَ أَمْ كُنتَ مِنَ الْعَالِينَ * قَالَ أَنَا خَيْرٌ مِّنْهُ خَلَقْتَنِي مِن نَّارٍ وَخَلَقْتَهُ مِن طِينٍ</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قلت</w:t>
      </w:r>
      <w:r w:rsidR="0002035C" w:rsidRPr="00A52585">
        <w:rPr>
          <w:rFonts w:hint="cs"/>
          <w:rtl/>
        </w:rPr>
        <w:t>):</w:t>
      </w:r>
      <w:r w:rsidRPr="00A52585">
        <w:rPr>
          <w:rFonts w:hint="cs"/>
          <w:rtl/>
        </w:rPr>
        <w:t xml:space="preserve"> فصحاء العرب وأهل البلاغة فيه يعلمون من قوله تعالى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w:t>
      </w:r>
      <w:r w:rsidRPr="00A52585">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w:t>
      </w:r>
      <w:proofErr w:type="spellStart"/>
      <w:r w:rsidRPr="00A52585">
        <w:rPr>
          <w:rFonts w:hint="cs"/>
          <w:rtl/>
        </w:rPr>
        <w:t>المخلوقين</w:t>
      </w:r>
      <w:r w:rsidR="00897A24" w:rsidRPr="00A52585">
        <w:rPr>
          <w:rFonts w:hint="cs"/>
          <w:rtl/>
        </w:rPr>
        <w:t>.</w:t>
      </w:r>
      <w:r w:rsidRPr="00A52585">
        <w:rPr>
          <w:rFonts w:hint="cs"/>
          <w:rtl/>
        </w:rPr>
        <w:t>هذا</w:t>
      </w:r>
      <w:proofErr w:type="spellEnd"/>
      <w:r w:rsidRPr="00A52585">
        <w:rPr>
          <w:rFonts w:hint="cs"/>
          <w:rtl/>
        </w:rPr>
        <w:t xml:space="preserve"> هو المفهوم من سياق الآيات فلم تسق الآية لإثبات جارحة لله تعالى عن ذلك لأنه نقص يتنزه الأحد الصمد القيوم الغني عنه</w:t>
      </w:r>
      <w:r w:rsidR="00DB731D" w:rsidRPr="00A52585">
        <w:rPr>
          <w:rFonts w:hint="cs"/>
          <w:rtl/>
        </w:rPr>
        <w:t>،</w:t>
      </w:r>
      <w:r w:rsidRPr="00A52585">
        <w:rPr>
          <w:rFonts w:hint="cs"/>
          <w:rtl/>
        </w:rPr>
        <w:t xml:space="preserve"> لأن الجارحة تعني الجزء والتجزؤ يضاد الأحدية التي تعني نفي </w:t>
      </w:r>
      <w:proofErr w:type="spellStart"/>
      <w:r w:rsidRPr="00A52585">
        <w:rPr>
          <w:rFonts w:hint="cs"/>
          <w:rtl/>
        </w:rPr>
        <w:t>التبغض</w:t>
      </w:r>
      <w:proofErr w:type="spellEnd"/>
      <w:r w:rsidRPr="00A52585">
        <w:rPr>
          <w:rFonts w:hint="cs"/>
          <w:rtl/>
        </w:rPr>
        <w:t xml:space="preserve"> ويضاد الصمدية التي تعني كمال الغنى لأن </w:t>
      </w:r>
      <w:proofErr w:type="spellStart"/>
      <w:r w:rsidRPr="00A52585">
        <w:rPr>
          <w:rFonts w:hint="cs"/>
          <w:rtl/>
        </w:rPr>
        <w:t>المتجزىء</w:t>
      </w:r>
      <w:proofErr w:type="spellEnd"/>
      <w:r w:rsidRPr="00A52585">
        <w:rPr>
          <w:rFonts w:hint="cs"/>
          <w:rtl/>
        </w:rPr>
        <w:t xml:space="preserve"> يحتاج إلى جزئه</w:t>
      </w:r>
      <w:r w:rsidR="00DB731D" w:rsidRPr="00A52585">
        <w:rPr>
          <w:rFonts w:hint="cs"/>
          <w:rtl/>
        </w:rPr>
        <w:t>،</w:t>
      </w:r>
      <w:r w:rsidRPr="00A52585">
        <w:rPr>
          <w:rFonts w:hint="cs"/>
          <w:rtl/>
        </w:rPr>
        <w:t xml:space="preserve">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كمال الغنى</w:t>
      </w:r>
      <w:r w:rsidR="00DB731D" w:rsidRPr="00A52585">
        <w:rPr>
          <w:rFonts w:hint="cs"/>
          <w:rtl/>
        </w:rPr>
        <w:t>،</w:t>
      </w:r>
      <w:r w:rsidRPr="00A52585">
        <w:rPr>
          <w:rFonts w:hint="cs"/>
          <w:rtl/>
          <w:lang w:eastAsia="ar-SA"/>
        </w:rPr>
        <w:t xml:space="preserve"> </w:t>
      </w:r>
      <w:r w:rsidRPr="00A52585">
        <w:rPr>
          <w:rFonts w:hint="cs"/>
          <w:rtl/>
        </w:rPr>
        <w:t xml:space="preserve">وإلا فما الفارق عند كل منصف لم تحرق البدعة قلبه بين هذا التعبير القرآني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w:t>
      </w:r>
      <w:r w:rsidRPr="00A52585">
        <w:rPr>
          <w:rFonts w:hint="cs"/>
          <w:rtl/>
        </w:rPr>
        <w:t xml:space="preserve"> وبين قوله تعالى </w:t>
      </w:r>
      <w:r w:rsidR="0002035C" w:rsidRPr="00A52585">
        <w:rPr>
          <w:rFonts w:hint="cs"/>
          <w:rtl/>
        </w:rPr>
        <w:t>(</w:t>
      </w:r>
      <w:r w:rsidRPr="00A52585">
        <w:rPr>
          <w:rFonts w:hint="cs"/>
          <w:rtl/>
        </w:rPr>
        <w:t xml:space="preserve">مما عملت أيدينا </w:t>
      </w:r>
      <w:r w:rsidRPr="00A52585">
        <w:rPr>
          <w:rFonts w:hint="cs"/>
          <w:rtl/>
        </w:rPr>
        <w:lastRenderedPageBreak/>
        <w:t>أنعاما</w:t>
      </w:r>
      <w:r w:rsidR="0002035C" w:rsidRPr="00A52585">
        <w:rPr>
          <w:rFonts w:hint="cs"/>
          <w:rtl/>
        </w:rPr>
        <w:t>)</w:t>
      </w:r>
      <w:r w:rsidRPr="00A52585">
        <w:rPr>
          <w:rFonts w:hint="cs"/>
          <w:rtl/>
        </w:rPr>
        <w:t xml:space="preserve"> و قوله تعالى </w:t>
      </w:r>
      <w:r w:rsidR="0002035C" w:rsidRPr="00A52585">
        <w:rPr>
          <w:rFonts w:hint="cs"/>
          <w:rtl/>
        </w:rPr>
        <w:t>(</w:t>
      </w:r>
      <w:r w:rsidRPr="00A52585">
        <w:rPr>
          <w:rFonts w:hint="cs"/>
          <w:rtl/>
        </w:rPr>
        <w:t>والسماء بنيناها بأيد</w:t>
      </w:r>
      <w:r w:rsidR="0002035C" w:rsidRPr="00A52585">
        <w:rPr>
          <w:rFonts w:hint="cs"/>
          <w:rtl/>
        </w:rPr>
        <w:t>)</w:t>
      </w:r>
      <w:r w:rsidRPr="00A52585">
        <w:rPr>
          <w:rFonts w:hint="cs"/>
          <w:rtl/>
        </w:rPr>
        <w:t xml:space="preserve"> وأيد جمع يد لقوله تعالى (ألهم أيد يبطشون بها</w:t>
      </w:r>
      <w:r w:rsidR="0002035C" w:rsidRPr="00A52585">
        <w:rPr>
          <w:rFonts w:hint="cs"/>
          <w:rtl/>
        </w:rPr>
        <w:t>)</w:t>
      </w:r>
      <w:r w:rsidRPr="00A52585">
        <w:rPr>
          <w:rFonts w:hint="cs"/>
          <w:rtl/>
        </w:rPr>
        <w:t xml:space="preserve"> فالإنسان خلق بصفة اليد والأنعام كالغنم والبقر والإبل خلقت كذلك بصفة اليد والسماء خلقت كذلك بصفة اليد</w:t>
      </w:r>
      <w:r w:rsidR="00DB731D" w:rsidRPr="00A52585">
        <w:rPr>
          <w:rFonts w:hint="cs"/>
          <w:rtl/>
        </w:rPr>
        <w:t>،</w:t>
      </w:r>
      <w:r w:rsidRPr="00A52585">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02035C" w:rsidRPr="00A52585">
        <w:rPr>
          <w:rFonts w:hint="cs"/>
          <w:rtl/>
        </w:rPr>
        <w:t>)</w:t>
      </w:r>
      <w:r w:rsidR="00DB731D" w:rsidRPr="00A52585">
        <w:rPr>
          <w:rFonts w:hint="cs"/>
          <w:rtl/>
        </w:rPr>
        <w:t>،</w:t>
      </w:r>
      <w:r w:rsidRPr="00A52585">
        <w:rPr>
          <w:rFonts w:hint="cs"/>
          <w:rtl/>
        </w:rPr>
        <w:t xml:space="preserve"> ولا عبرة لمن قال</w:t>
      </w:r>
      <w:r w:rsidR="0002035C" w:rsidRPr="00A52585">
        <w:rPr>
          <w:rFonts w:hint="cs"/>
          <w:rtl/>
        </w:rPr>
        <w:t>:</w:t>
      </w:r>
      <w:r w:rsidRPr="00A52585">
        <w:rPr>
          <w:rFonts w:hint="cs"/>
          <w:rtl/>
        </w:rPr>
        <w:t xml:space="preserve"> لو لم يكن لآدم مزية علي سائر الحيوانات باليد التي هي صفة لما عظمه بذكرها وأجله فقال </w:t>
      </w:r>
      <w:r w:rsidR="0002035C" w:rsidRPr="00A52585">
        <w:rPr>
          <w:rFonts w:hint="cs"/>
          <w:rtl/>
        </w:rPr>
        <w:t>(</w:t>
      </w:r>
      <w:r w:rsidRPr="00A52585">
        <w:rPr>
          <w:rFonts w:hint="cs"/>
          <w:rtl/>
        </w:rPr>
        <w:t>بيدي</w:t>
      </w:r>
      <w:r w:rsidR="0002035C" w:rsidRPr="00A52585">
        <w:rPr>
          <w:rFonts w:hint="cs"/>
          <w:rtl/>
        </w:rPr>
        <w:t>)</w:t>
      </w:r>
      <w:r w:rsidRPr="00A52585">
        <w:rPr>
          <w:rFonts w:hint="cs"/>
          <w:rtl/>
        </w:rPr>
        <w:t xml:space="preserve"> ولو كانت القدرة لما كانت له مزية</w:t>
      </w:r>
      <w:r w:rsidR="00DB731D" w:rsidRPr="00A52585">
        <w:rPr>
          <w:rFonts w:hint="cs"/>
          <w:rtl/>
        </w:rPr>
        <w:t>،</w:t>
      </w:r>
      <w:r w:rsidRPr="00A52585">
        <w:rPr>
          <w:rFonts w:hint="cs"/>
          <w:rtl/>
        </w:rPr>
        <w:t xml:space="preserve"> وقولهم</w:t>
      </w:r>
      <w:r w:rsidR="0002035C" w:rsidRPr="00A52585">
        <w:rPr>
          <w:rFonts w:hint="cs"/>
          <w:rtl/>
        </w:rPr>
        <w:t>:</w:t>
      </w:r>
      <w:r w:rsidRPr="00A52585">
        <w:rPr>
          <w:rFonts w:hint="cs"/>
          <w:rtl/>
        </w:rPr>
        <w:t xml:space="preserve"> ميزه بذلك عن الحيوان فقد قال عز وجل</w:t>
      </w:r>
      <w:r w:rsidR="0002035C" w:rsidRPr="00A52585">
        <w:rPr>
          <w:rFonts w:hint="cs"/>
          <w:rtl/>
        </w:rPr>
        <w:t>:</w:t>
      </w:r>
      <w:r w:rsidRPr="00A52585">
        <w:rPr>
          <w:rFonts w:hint="cs"/>
          <w:rtl/>
        </w:rPr>
        <w:t xml:space="preserve"> {خلقنا لهم مما عملت أيدينا أنعاما</w:t>
      </w:r>
      <w:r w:rsidR="0002035C" w:rsidRPr="00A52585">
        <w:rPr>
          <w:rFonts w:hint="cs"/>
          <w:rtl/>
        </w:rPr>
        <w:t>}</w:t>
      </w:r>
      <w:r w:rsidRPr="00A52585">
        <w:rPr>
          <w:rFonts w:hint="cs"/>
          <w:rtl/>
        </w:rPr>
        <w:t xml:space="preserve"> ولم يدل هذا علي تمييز الأنعام علي بقية الحيوان وقال الله تعالي</w:t>
      </w:r>
      <w:r w:rsidR="0002035C" w:rsidRPr="00A52585">
        <w:rPr>
          <w:rFonts w:hint="cs"/>
          <w:rtl/>
        </w:rPr>
        <w:t xml:space="preserve"> {</w:t>
      </w:r>
      <w:r w:rsidRPr="00A52585">
        <w:rPr>
          <w:rFonts w:hint="cs"/>
          <w:rtl/>
        </w:rPr>
        <w:t>والسماء بنيناها بأيد وإنا لموسعون</w:t>
      </w:r>
      <w:r w:rsidR="0002035C" w:rsidRPr="00A52585">
        <w:rPr>
          <w:rFonts w:hint="cs"/>
          <w:rtl/>
        </w:rPr>
        <w:t>}</w:t>
      </w:r>
      <w:r w:rsidRPr="00A52585">
        <w:rPr>
          <w:rFonts w:hint="cs"/>
          <w:rtl/>
        </w:rPr>
        <w:t xml:space="preserve"> أي بقوة ولم يدل ذلك على تميز السماء على بقية المخلوقات</w:t>
      </w:r>
      <w:r w:rsidR="00DB731D" w:rsidRPr="00A52585">
        <w:rPr>
          <w:rFonts w:hint="cs"/>
          <w:rtl/>
        </w:rPr>
        <w:t>،</w:t>
      </w:r>
      <w:r w:rsidRPr="00A52585">
        <w:rPr>
          <w:rFonts w:hint="cs"/>
          <w:rtl/>
        </w:rPr>
        <w:t xml:space="preserve"> فإن قالوا</w:t>
      </w:r>
      <w:r w:rsidR="0002035C" w:rsidRPr="00A52585">
        <w:rPr>
          <w:rFonts w:hint="cs"/>
          <w:rtl/>
        </w:rPr>
        <w:t>:</w:t>
      </w:r>
      <w:r w:rsidRPr="00A52585">
        <w:rPr>
          <w:rFonts w:hint="cs"/>
          <w:rtl/>
        </w:rPr>
        <w:t xml:space="preserve"> القدرة لا تثن</w:t>
      </w:r>
      <w:r w:rsidR="00DB731D" w:rsidRPr="00A52585">
        <w:rPr>
          <w:rFonts w:hint="cs"/>
          <w:rtl/>
        </w:rPr>
        <w:t>،</w:t>
      </w:r>
      <w:r w:rsidRPr="00A52585">
        <w:rPr>
          <w:rFonts w:hint="cs"/>
          <w:rtl/>
        </w:rPr>
        <w:t xml:space="preserve"> وقد قال </w:t>
      </w:r>
      <w:r w:rsidR="0002035C" w:rsidRPr="00A52585">
        <w:rPr>
          <w:rFonts w:hint="cs"/>
          <w:rtl/>
        </w:rPr>
        <w:t>{</w:t>
      </w:r>
      <w:r w:rsidRPr="00A52585">
        <w:rPr>
          <w:rFonts w:hint="cs"/>
          <w:rtl/>
        </w:rPr>
        <w:t>بيدي</w:t>
      </w:r>
      <w:r w:rsidR="0002035C" w:rsidRPr="00A52585">
        <w:rPr>
          <w:rFonts w:hint="cs"/>
          <w:rtl/>
        </w:rPr>
        <w:t>}</w:t>
      </w:r>
      <w:r w:rsidRPr="00A52585">
        <w:rPr>
          <w:rFonts w:hint="cs"/>
          <w:rtl/>
        </w:rPr>
        <w:t xml:space="preserve"> قلنا بلي قال العربي</w:t>
      </w:r>
      <w:r w:rsidR="0002035C" w:rsidRPr="00A52585">
        <w:rPr>
          <w:rFonts w:hint="cs"/>
          <w:rtl/>
        </w:rPr>
        <w:t>:</w:t>
      </w:r>
      <w:r w:rsidRPr="00A52585">
        <w:rPr>
          <w:rFonts w:hint="cs"/>
          <w:rtl/>
        </w:rPr>
        <w:t xml:space="preserve"> ليس لي بهذا الأمر يدان</w:t>
      </w:r>
      <w:r w:rsidR="00DB731D" w:rsidRPr="00A52585">
        <w:rPr>
          <w:rFonts w:hint="cs"/>
          <w:rtl/>
        </w:rPr>
        <w:t>،</w:t>
      </w:r>
      <w:r w:rsidRPr="00A52585">
        <w:rPr>
          <w:rFonts w:hint="cs"/>
          <w:rtl/>
        </w:rPr>
        <w:t xml:space="preserve"> أي ليس لي به قدرة ولا يقصد سوى ذلك</w:t>
      </w:r>
      <w:r w:rsidR="00DB731D" w:rsidRPr="00A52585">
        <w:rPr>
          <w:rFonts w:hint="cs"/>
          <w:rtl/>
        </w:rPr>
        <w:t>،</w:t>
      </w:r>
      <w:r w:rsidRPr="00A52585">
        <w:rPr>
          <w:rFonts w:hint="cs"/>
          <w:rtl/>
        </w:rPr>
        <w:t xml:space="preserve"> فإن قالوا إنما عبروا بذلك لأن للإنسان يد على الحقيقة</w:t>
      </w:r>
      <w:r w:rsidR="00DB731D" w:rsidRPr="00A52585">
        <w:rPr>
          <w:rFonts w:hint="cs"/>
          <w:rtl/>
        </w:rPr>
        <w:t>،</w:t>
      </w:r>
      <w:r w:rsidRPr="00A52585">
        <w:rPr>
          <w:rFonts w:hint="cs"/>
          <w:rtl/>
        </w:rPr>
        <w:t xml:space="preserve"> قلنا إذن يلزمنا إثبات اليدين للرحمة {بين يدي رحمته} وللعذاب {بين يدي عذاب شديد</w:t>
      </w:r>
      <w:r w:rsidR="0002035C" w:rsidRPr="00A52585">
        <w:rPr>
          <w:rFonts w:hint="cs"/>
          <w:rtl/>
        </w:rPr>
        <w:t>}</w:t>
      </w:r>
      <w:r w:rsidRPr="00A52585">
        <w:rPr>
          <w:rFonts w:hint="cs"/>
          <w:rtl/>
        </w:rPr>
        <w:t xml:space="preserve"> وللنجوى {بين يدي نجواكم صدقة</w:t>
      </w:r>
      <w:r w:rsidR="0002035C" w:rsidRPr="00A52585">
        <w:rPr>
          <w:rFonts w:hint="cs"/>
          <w:rtl/>
        </w:rPr>
        <w:t>}</w:t>
      </w:r>
      <w:r w:rsidRPr="00A52585">
        <w:rPr>
          <w:rFonts w:hint="cs"/>
          <w:rtl/>
        </w:rPr>
        <w:t xml:space="preserve"> وفي هذا الإثبات من الجهل باللغة والتلاعب </w:t>
      </w:r>
      <w:proofErr w:type="spellStart"/>
      <w:r w:rsidRPr="00A52585">
        <w:rPr>
          <w:rFonts w:hint="cs"/>
          <w:rtl/>
        </w:rPr>
        <w:t>بثوابتها</w:t>
      </w:r>
      <w:proofErr w:type="spellEnd"/>
      <w:r w:rsidRPr="00A52585">
        <w:rPr>
          <w:rFonts w:hint="cs"/>
          <w:rtl/>
        </w:rPr>
        <w:t xml:space="preserve"> ما فيه ومن قال بذلك فلا ينبغي أن يضيع الوقت معه</w:t>
      </w:r>
      <w:r w:rsidR="00DB731D" w:rsidRPr="00A52585">
        <w:rPr>
          <w:rFonts w:hint="cs"/>
          <w:rtl/>
        </w:rPr>
        <w:t>،</w:t>
      </w:r>
      <w:r w:rsidRPr="00A52585">
        <w:rPr>
          <w:rFonts w:hint="cs"/>
          <w:rtl/>
        </w:rPr>
        <w:t xml:space="preserve"> فإن أصروا وجادلوا قلنا</w:t>
      </w:r>
      <w:r w:rsidR="0002035C" w:rsidRPr="00A52585">
        <w:rPr>
          <w:rFonts w:hint="cs"/>
          <w:rtl/>
        </w:rPr>
        <w:t xml:space="preserve">: </w:t>
      </w:r>
      <w:r w:rsidRPr="00A52585">
        <w:rPr>
          <w:rFonts w:hint="cs"/>
          <w:rtl/>
        </w:rPr>
        <w:t xml:space="preserve">قال الله تعالي في محكم التنزيل </w:t>
      </w:r>
      <w:r w:rsidR="0002035C" w:rsidRPr="00A52585">
        <w:rPr>
          <w:rFonts w:hint="cs"/>
          <w:rtl/>
        </w:rPr>
        <w:t>{</w:t>
      </w:r>
      <w:r w:rsidRPr="00A52585">
        <w:rPr>
          <w:rFonts w:hint="cs"/>
          <w:rtl/>
        </w:rPr>
        <w:t>إن مثل عيسي عند</w:t>
      </w:r>
      <w:r w:rsidRPr="00A52585">
        <w:rPr>
          <w:rFonts w:hint="cs"/>
        </w:rPr>
        <w:t xml:space="preserve"> </w:t>
      </w:r>
      <w:r w:rsidRPr="00A52585">
        <w:rPr>
          <w:rFonts w:hint="cs"/>
          <w:rtl/>
        </w:rPr>
        <w:t>الله كمثل آدم خلقه من تراب ثم قال له كن فيكون</w:t>
      </w:r>
      <w:r w:rsidR="0002035C" w:rsidRPr="00A52585">
        <w:rPr>
          <w:rFonts w:hint="cs"/>
          <w:rtl/>
        </w:rPr>
        <w:t>}</w:t>
      </w:r>
      <w:r w:rsidR="00DB731D" w:rsidRPr="00A52585">
        <w:rPr>
          <w:rFonts w:hint="cs"/>
          <w:rtl/>
        </w:rPr>
        <w:t>،</w:t>
      </w:r>
      <w:r w:rsidRPr="00A52585">
        <w:rPr>
          <w:rFonts w:hint="cs"/>
          <w:rtl/>
        </w:rPr>
        <w:t xml:space="preserve"> فالقرآن نص على أن خلق عيسى كخلق آدم كلاهما بالقدرة المعبر عنها بقوله تعالى </w:t>
      </w:r>
      <w:r w:rsidR="0002035C" w:rsidRPr="00A52585">
        <w:rPr>
          <w:rFonts w:hint="cs"/>
          <w:rtl/>
        </w:rPr>
        <w:t>{</w:t>
      </w:r>
      <w:r w:rsidRPr="00A52585">
        <w:rPr>
          <w:rFonts w:hint="cs"/>
          <w:rtl/>
        </w:rPr>
        <w:t>ثم قال له كن فيكون</w:t>
      </w:r>
      <w:r w:rsidR="0002035C" w:rsidRPr="00A52585">
        <w:rPr>
          <w:rFonts w:hint="cs"/>
          <w:rtl/>
        </w:rPr>
        <w:t>}</w:t>
      </w:r>
      <w:r w:rsidR="00DB731D" w:rsidRPr="00A52585">
        <w:rPr>
          <w:rFonts w:hint="cs"/>
          <w:rtl/>
        </w:rPr>
        <w:t>،</w:t>
      </w:r>
      <w:r w:rsidRPr="00A52585">
        <w:rPr>
          <w:rFonts w:hint="cs"/>
          <w:rtl/>
        </w:rPr>
        <w:t xml:space="preserve"> فهذا هو صريح القرآن فهل ندعه لفهم خاطئ لحديث لم يصح أو حديث مختلف في صحته</w:t>
      </w:r>
      <w:r w:rsidR="00DB731D" w:rsidRPr="00A52585">
        <w:rPr>
          <w:rFonts w:hint="cs"/>
          <w:rtl/>
        </w:rPr>
        <w:t>،</w:t>
      </w:r>
      <w:r w:rsidRPr="00A52585">
        <w:rPr>
          <w:rFonts w:hint="cs"/>
          <w:rtl/>
        </w:rPr>
        <w:t xml:space="preserve"> </w:t>
      </w:r>
    </w:p>
    <w:p w14:paraId="02B18B71" w14:textId="1D15FEDF" w:rsidR="00777DCB" w:rsidRPr="00A52585" w:rsidRDefault="00777DCB" w:rsidP="0002035C">
      <w:pPr>
        <w:rPr>
          <w:rtl/>
        </w:rPr>
      </w:pPr>
      <w:r w:rsidRPr="00A52585">
        <w:rPr>
          <w:rFonts w:hint="cs"/>
          <w:bCs/>
          <w:rtl/>
        </w:rPr>
        <w:t xml:space="preserve">فإن تواضعوا للعلم وقالوا فما معنى الآية </w:t>
      </w:r>
      <w:r w:rsidR="0002035C" w:rsidRPr="00A52585">
        <w:rPr>
          <w:rFonts w:hint="cs"/>
          <w:bCs/>
          <w:rtl/>
        </w:rPr>
        <w:t>(</w:t>
      </w:r>
      <w:r w:rsidRPr="00A52585">
        <w:rPr>
          <w:rFonts w:hint="cs"/>
          <w:bCs/>
          <w:rtl/>
        </w:rPr>
        <w:t>لما</w:t>
      </w:r>
      <w:r w:rsidRPr="00A52585">
        <w:rPr>
          <w:rFonts w:hint="cs"/>
          <w:bCs/>
        </w:rPr>
        <w:t xml:space="preserve"> </w:t>
      </w:r>
      <w:r w:rsidRPr="00A52585">
        <w:rPr>
          <w:rFonts w:hint="cs"/>
          <w:bCs/>
          <w:rtl/>
        </w:rPr>
        <w:t>خلقت بيدي</w:t>
      </w:r>
      <w:r w:rsidR="0002035C" w:rsidRPr="00A52585">
        <w:rPr>
          <w:rFonts w:hint="cs"/>
          <w:bCs/>
          <w:rtl/>
        </w:rPr>
        <w:t>)</w:t>
      </w:r>
      <w:r w:rsidRPr="00A52585">
        <w:rPr>
          <w:rFonts w:hint="cs"/>
          <w:bCs/>
          <w:rtl/>
        </w:rPr>
        <w:t xml:space="preserve"> قلنا</w:t>
      </w:r>
      <w:r w:rsidR="0002035C" w:rsidRPr="00A52585">
        <w:rPr>
          <w:rFonts w:hint="cs"/>
          <w:bCs/>
          <w:rtl/>
        </w:rPr>
        <w:t>:</w:t>
      </w:r>
      <w:r w:rsidRPr="00A52585">
        <w:rPr>
          <w:rFonts w:hint="cs"/>
          <w:rtl/>
        </w:rPr>
        <w:t xml:space="preserve"> لا يليق بالخالق أن يحتاج إلى أن يفعل بواسطة</w:t>
      </w:r>
      <w:r w:rsidR="00DB731D" w:rsidRPr="00A52585">
        <w:rPr>
          <w:rFonts w:hint="cs"/>
          <w:rtl/>
        </w:rPr>
        <w:t>،</w:t>
      </w:r>
      <w:r w:rsidRPr="00A52585">
        <w:rPr>
          <w:rFonts w:hint="cs"/>
          <w:rtl/>
        </w:rPr>
        <w:t xml:space="preserve"> </w:t>
      </w:r>
      <w:r w:rsidRPr="00A52585">
        <w:rPr>
          <w:rFonts w:hint="cs"/>
          <w:bCs/>
          <w:rtl/>
        </w:rPr>
        <w:t>لأن له الأحدية والغني المطلق بذاته منزه عن الأعضاء والاجزاء</w:t>
      </w:r>
      <w:r w:rsidR="00DB731D" w:rsidRPr="00A52585">
        <w:rPr>
          <w:rFonts w:hint="cs"/>
          <w:bCs/>
          <w:rtl/>
        </w:rPr>
        <w:t>،</w:t>
      </w:r>
      <w:r w:rsidRPr="00A52585">
        <w:rPr>
          <w:rFonts w:hint="cs"/>
          <w:bCs/>
          <w:rtl/>
        </w:rPr>
        <w:t xml:space="preserve"> </w:t>
      </w:r>
      <w:r w:rsidRPr="00A52585">
        <w:rPr>
          <w:rFonts w:hint="cs"/>
          <w:rtl/>
        </w:rPr>
        <w:t>فلا</w:t>
      </w:r>
      <w:r w:rsidRPr="00A52585">
        <w:rPr>
          <w:rFonts w:hint="cs"/>
        </w:rPr>
        <w:t xml:space="preserve"> </w:t>
      </w:r>
      <w:r w:rsidRPr="00A52585">
        <w:rPr>
          <w:rFonts w:hint="cs"/>
          <w:rtl/>
        </w:rPr>
        <w:t>ينبغي أن نتشاغل بطلب تعظيم آدم مع الغفلة عما يستحقه</w:t>
      </w:r>
      <w:r w:rsidRPr="00A52585">
        <w:rPr>
          <w:rFonts w:hint="cs"/>
        </w:rPr>
        <w:t xml:space="preserve"> </w:t>
      </w:r>
      <w:proofErr w:type="spellStart"/>
      <w:r w:rsidRPr="00A52585">
        <w:rPr>
          <w:rFonts w:hint="cs"/>
          <w:rtl/>
        </w:rPr>
        <w:t>الباريء</w:t>
      </w:r>
      <w:proofErr w:type="spellEnd"/>
      <w:r w:rsidRPr="00A52585">
        <w:rPr>
          <w:rFonts w:hint="cs"/>
          <w:rtl/>
        </w:rPr>
        <w:t xml:space="preserve"> سبحانه من التعظيم بإثبات الأحدية </w:t>
      </w:r>
      <w:r w:rsidR="0002035C" w:rsidRPr="00A52585">
        <w:rPr>
          <w:rFonts w:hint="cs"/>
          <w:rtl/>
        </w:rPr>
        <w:t>{</w:t>
      </w:r>
      <w:r w:rsidRPr="00A52585">
        <w:rPr>
          <w:rFonts w:hint="cs"/>
          <w:rtl/>
        </w:rPr>
        <w:t>قل هو الله أحد</w:t>
      </w:r>
      <w:r w:rsidR="0002035C" w:rsidRPr="00A52585">
        <w:rPr>
          <w:rFonts w:hint="cs"/>
          <w:rtl/>
        </w:rPr>
        <w:t>}</w:t>
      </w:r>
      <w:r w:rsidRPr="00A52585">
        <w:rPr>
          <w:rFonts w:hint="cs"/>
          <w:rtl/>
        </w:rPr>
        <w:t xml:space="preserve"> ونفي المثلية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وذلك بنفي الأجزاء و الأبعاض والجوارح</w:t>
      </w:r>
      <w:r w:rsidR="00DB731D" w:rsidRPr="00A52585">
        <w:rPr>
          <w:rFonts w:hint="cs"/>
          <w:rtl/>
        </w:rPr>
        <w:t>،</w:t>
      </w:r>
      <w:r w:rsidRPr="00A52585">
        <w:rPr>
          <w:rFonts w:hint="cs"/>
          <w:rtl/>
        </w:rPr>
        <w:t xml:space="preserve"> ونفي المماثلة في الأفعال بمس الطين ومعالجته حتى ظن بعض الجهلاء بما يجوز وما لا يجوز في حق الله تعالى</w:t>
      </w:r>
      <w:r w:rsidR="0002035C" w:rsidRPr="00A52585">
        <w:rPr>
          <w:rFonts w:hint="cs"/>
          <w:rtl/>
        </w:rPr>
        <w:t xml:space="preserve"> </w:t>
      </w:r>
      <w:r w:rsidRPr="00A52585">
        <w:rPr>
          <w:rFonts w:hint="cs"/>
          <w:rtl/>
        </w:rPr>
        <w:t>أن الله _تعالى_ مس طينة آدم بيد</w:t>
      </w:r>
      <w:r w:rsidRPr="00A52585">
        <w:rPr>
          <w:rFonts w:hint="cs"/>
        </w:rPr>
        <w:t xml:space="preserve"> </w:t>
      </w:r>
      <w:r w:rsidRPr="00A52585">
        <w:rPr>
          <w:rFonts w:hint="cs"/>
          <w:rtl/>
        </w:rPr>
        <w:t>هي بعض ذاته</w:t>
      </w:r>
      <w:r w:rsidR="00DB731D" w:rsidRPr="00A52585">
        <w:rPr>
          <w:rFonts w:hint="cs"/>
          <w:rtl/>
        </w:rPr>
        <w:t>،</w:t>
      </w:r>
      <w:r w:rsidRPr="00A52585">
        <w:rPr>
          <w:rFonts w:hint="cs"/>
          <w:rtl/>
        </w:rPr>
        <w:t xml:space="preserve"> والمس قرين الاتحاد والحلول فما يقبل المس يقبلهما</w:t>
      </w:r>
      <w:r w:rsidR="00DB731D" w:rsidRPr="00A52585">
        <w:rPr>
          <w:rFonts w:hint="cs"/>
          <w:rtl/>
        </w:rPr>
        <w:t>،</w:t>
      </w:r>
      <w:r w:rsidRPr="00A52585">
        <w:rPr>
          <w:rFonts w:hint="cs"/>
          <w:rtl/>
        </w:rPr>
        <w:t xml:space="preserve"> سبحانه وتعالى عن ذلك علواً كبيرا</w:t>
      </w:r>
      <w:r w:rsidR="00DB731D" w:rsidRPr="00A52585">
        <w:rPr>
          <w:rFonts w:hint="cs"/>
          <w:rtl/>
        </w:rPr>
        <w:t>،</w:t>
      </w:r>
    </w:p>
    <w:p w14:paraId="703F2126" w14:textId="416271DD" w:rsidR="00777DCB" w:rsidRPr="00A52585" w:rsidRDefault="00777DCB" w:rsidP="0002035C">
      <w:pPr>
        <w:rPr>
          <w:rtl/>
        </w:rPr>
      </w:pPr>
      <w:r w:rsidRPr="00A52585">
        <w:rPr>
          <w:rFonts w:hint="cs"/>
          <w:rtl/>
        </w:rPr>
        <w:t xml:space="preserve">فسياق الآية يدل على أن المراد من قوله تعالى </w:t>
      </w:r>
      <w:r w:rsidR="0002035C" w:rsidRPr="00A52585">
        <w:rPr>
          <w:rFonts w:hint="cs"/>
          <w:rtl/>
        </w:rPr>
        <w:t>{</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 xml:space="preserve">} </w:t>
      </w:r>
      <w:r w:rsidRPr="00A52585">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02035C" w:rsidRPr="00A52585">
        <w:rPr>
          <w:rFonts w:hint="cs"/>
          <w:rtl/>
        </w:rPr>
        <w:lastRenderedPageBreak/>
        <w:t>{</w:t>
      </w:r>
      <w:r w:rsidRPr="00A52585">
        <w:rPr>
          <w:rFonts w:hint="cs"/>
          <w:rtl/>
        </w:rPr>
        <w:t>وعلم آدم الأسماء كلها</w:t>
      </w:r>
      <w:r w:rsidR="0002035C" w:rsidRPr="00A52585">
        <w:rPr>
          <w:rFonts w:hint="cs"/>
          <w:rtl/>
        </w:rPr>
        <w:t>}</w:t>
      </w:r>
      <w:r w:rsidR="00DB731D" w:rsidRPr="00A52585">
        <w:rPr>
          <w:rFonts w:hint="cs"/>
          <w:rtl/>
        </w:rPr>
        <w:t>،</w:t>
      </w:r>
      <w:r w:rsidRPr="00A52585">
        <w:rPr>
          <w:rFonts w:hint="cs"/>
          <w:rtl/>
        </w:rPr>
        <w:t xml:space="preserve"> وفضلته في ذلك كله على غيره من </w:t>
      </w:r>
      <w:proofErr w:type="spellStart"/>
      <w:r w:rsidRPr="00A52585">
        <w:rPr>
          <w:rFonts w:hint="cs"/>
          <w:rtl/>
        </w:rPr>
        <w:t>المخلوقين</w:t>
      </w:r>
      <w:r w:rsidR="00897A24" w:rsidRPr="00A52585">
        <w:rPr>
          <w:rFonts w:hint="cs"/>
          <w:rtl/>
        </w:rPr>
        <w:t>.</w:t>
      </w:r>
      <w:r w:rsidRPr="00A52585">
        <w:rPr>
          <w:rFonts w:hint="cs"/>
          <w:rtl/>
        </w:rPr>
        <w:t>هذا</w:t>
      </w:r>
      <w:proofErr w:type="spellEnd"/>
      <w:r w:rsidRPr="00A52585">
        <w:rPr>
          <w:rFonts w:hint="cs"/>
          <w:rtl/>
        </w:rPr>
        <w:t xml:space="preserve"> هو المفهوم من سياق الآيات فلم تسق الآية لإثبات جارحة لله تعالى عن ذلك لأنه نقص يتنزه الأحد الصمد عنه</w:t>
      </w:r>
      <w:r w:rsidR="00DB731D" w:rsidRPr="00A52585">
        <w:rPr>
          <w:rFonts w:hint="cs"/>
          <w:rtl/>
        </w:rPr>
        <w:t>،</w:t>
      </w:r>
      <w:r w:rsidRPr="00A52585">
        <w:rPr>
          <w:rFonts w:hint="cs"/>
          <w:rtl/>
        </w:rPr>
        <w:t xml:space="preserve"> لأن الجارحة تعني الجزء والتجزؤ يضاد الأحدية التي تعني نفي </w:t>
      </w:r>
      <w:proofErr w:type="spellStart"/>
      <w:r w:rsidRPr="00A52585">
        <w:rPr>
          <w:rFonts w:hint="cs"/>
          <w:rtl/>
        </w:rPr>
        <w:t>التبغض</w:t>
      </w:r>
      <w:proofErr w:type="spellEnd"/>
      <w:r w:rsidRPr="00A52585">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Pr="00A52585">
        <w:rPr>
          <w:rFonts w:hint="cs"/>
          <w:rtl/>
        </w:rPr>
        <w:t>القيومية</w:t>
      </w:r>
      <w:proofErr w:type="spellEnd"/>
      <w:r w:rsidRPr="00A52585">
        <w:rPr>
          <w:rFonts w:hint="cs"/>
          <w:rtl/>
        </w:rPr>
        <w:t xml:space="preserve"> غني له كمال الغنى</w:t>
      </w:r>
      <w:r w:rsidR="00DB731D" w:rsidRPr="00A52585">
        <w:rPr>
          <w:rFonts w:hint="cs"/>
          <w:rtl/>
        </w:rPr>
        <w:t>،</w:t>
      </w:r>
      <w:r w:rsidRPr="00A52585">
        <w:rPr>
          <w:rFonts w:hint="cs"/>
          <w:rtl/>
        </w:rPr>
        <w:t xml:space="preserve"> على أن بعض علماء أهل السنة والجماعة أثبت بالآيات صفات لله تعالى ليست على هيئة الجارحة وإنما صفات لا نعلمها</w:t>
      </w:r>
      <w:r w:rsidR="00DB731D" w:rsidRPr="00A52585">
        <w:rPr>
          <w:rFonts w:hint="cs"/>
          <w:rtl/>
        </w:rPr>
        <w:t>،</w:t>
      </w:r>
      <w:r w:rsidRPr="00A52585">
        <w:rPr>
          <w:rFonts w:hint="cs"/>
          <w:rtl/>
        </w:rPr>
        <w:t xml:space="preserve"> وهذا الوجه مقبول ضمناً</w:t>
      </w:r>
      <w:r w:rsidR="00DB731D" w:rsidRPr="00A52585">
        <w:rPr>
          <w:rFonts w:hint="cs"/>
          <w:rtl/>
        </w:rPr>
        <w:t>،</w:t>
      </w:r>
      <w:r w:rsidRPr="00A52585">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DB731D" w:rsidRPr="00A52585">
        <w:rPr>
          <w:rFonts w:hint="cs"/>
          <w:rtl/>
        </w:rPr>
        <w:t>،</w:t>
      </w:r>
      <w:r w:rsidRPr="00A52585">
        <w:rPr>
          <w:rFonts w:hint="cs"/>
          <w:rtl/>
        </w:rPr>
        <w:t xml:space="preserve"> بل قد تدخل إلى التمثيل والتجسيم</w:t>
      </w:r>
      <w:r w:rsidR="00DB731D" w:rsidRPr="00A52585">
        <w:rPr>
          <w:rFonts w:hint="cs"/>
          <w:rtl/>
        </w:rPr>
        <w:t>،</w:t>
      </w:r>
      <w:r w:rsidRPr="00A52585">
        <w:rPr>
          <w:rFonts w:hint="cs"/>
          <w:rtl/>
        </w:rPr>
        <w:t xml:space="preserve"> قال تعالى </w:t>
      </w:r>
      <w:r w:rsidR="0002035C" w:rsidRPr="00A52585">
        <w:rPr>
          <w:rFonts w:hint="cs"/>
          <w:rtl/>
        </w:rPr>
        <w:t>{</w:t>
      </w:r>
      <w:r w:rsidRPr="00A52585">
        <w:rPr>
          <w:rFonts w:hint="cs"/>
          <w:rtl/>
        </w:rPr>
        <w:t>لعلمه الذين يستنبطونه منهم</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وعدم التعرض للمعنى الحقيقي المراد من الآيات المتشابهات لأنه </w:t>
      </w:r>
      <w:r w:rsidR="0002035C" w:rsidRPr="00A52585">
        <w:rPr>
          <w:rFonts w:hint="cs"/>
          <w:rtl/>
        </w:rPr>
        <w:t>{</w:t>
      </w:r>
      <w:r w:rsidRPr="00A52585">
        <w:rPr>
          <w:rFonts w:hint="cs"/>
          <w:rtl/>
        </w:rPr>
        <w:t>وما يعلم تأويله إلا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والراسخون في العلم يقولون آمنا به كل من عند ربنا</w:t>
      </w:r>
      <w:r w:rsidR="0002035C" w:rsidRPr="00A52585">
        <w:rPr>
          <w:rFonts w:hint="cs"/>
          <w:rtl/>
        </w:rPr>
        <w:t>}</w:t>
      </w:r>
    </w:p>
    <w:p w14:paraId="40E7AA5D" w14:textId="5044D699" w:rsidR="00777DCB" w:rsidRPr="00A52585" w:rsidRDefault="00777DCB" w:rsidP="0002035C">
      <w:pPr>
        <w:rPr>
          <w:rtl/>
        </w:rPr>
      </w:pPr>
      <w:r w:rsidRPr="00A52585">
        <w:rPr>
          <w:rFonts w:hint="cs"/>
          <w:rtl/>
        </w:rPr>
        <w:t>فالمتشابه كاليد</w:t>
      </w:r>
      <w:r w:rsidRPr="00A52585">
        <w:rPr>
          <w:rFonts w:hint="cs"/>
        </w:rPr>
        <w:t xml:space="preserve"> </w:t>
      </w:r>
      <w:r w:rsidRPr="00A52585">
        <w:rPr>
          <w:rFonts w:hint="cs"/>
          <w:rtl/>
        </w:rPr>
        <w:t>والوجه ونحو ذلك فظاهره المستعمل في اللغة (</w:t>
      </w:r>
      <w:r w:rsidR="0002035C" w:rsidRPr="00A52585">
        <w:rPr>
          <w:rFonts w:hint="cs"/>
          <w:rtl/>
        </w:rPr>
        <w:t>(</w:t>
      </w:r>
      <w:r w:rsidRPr="00A52585">
        <w:rPr>
          <w:rFonts w:hint="cs"/>
          <w:rtl/>
        </w:rPr>
        <w:t>الجارحة</w:t>
      </w:r>
      <w:r w:rsidR="0002035C" w:rsidRPr="00A52585">
        <w:rPr>
          <w:rFonts w:hint="cs"/>
          <w:rtl/>
        </w:rPr>
        <w:t>)</w:t>
      </w:r>
      <w:r w:rsidRPr="00A52585">
        <w:rPr>
          <w:rFonts w:hint="cs"/>
          <w:rtl/>
        </w:rPr>
        <w:t>) مستحيل على الباري سبحانه ولا يعلم معناه على</w:t>
      </w:r>
      <w:r w:rsidRPr="00A52585">
        <w:rPr>
          <w:rFonts w:hint="cs"/>
        </w:rPr>
        <w:t xml:space="preserve"> </w:t>
      </w:r>
      <w:r w:rsidRPr="00A52585">
        <w:rPr>
          <w:rFonts w:hint="cs"/>
          <w:rtl/>
        </w:rPr>
        <w:t>القطع إلا الله سبحانه وتعالى وأما العلماء الراسخون فقد اتفقوا على</w:t>
      </w:r>
      <w:r w:rsidRPr="00A52585">
        <w:rPr>
          <w:rFonts w:hint="cs"/>
        </w:rPr>
        <w:t xml:space="preserve"> </w:t>
      </w:r>
      <w:r w:rsidRPr="00A52585">
        <w:rPr>
          <w:rFonts w:hint="cs"/>
          <w:rtl/>
        </w:rPr>
        <w:t>وجوب اعتقاد حقيقة وروده وعلى وجوب تنزيه الباري عن ظاهره المستحيل</w:t>
      </w:r>
      <w:r w:rsidR="00DB731D" w:rsidRPr="00A52585">
        <w:rPr>
          <w:rFonts w:hint="cs"/>
          <w:rtl/>
        </w:rPr>
        <w:t>،</w:t>
      </w:r>
      <w:r w:rsidRPr="00A52585">
        <w:rPr>
          <w:rFonts w:hint="cs"/>
          <w:rtl/>
        </w:rPr>
        <w:t xml:space="preserve"> </w:t>
      </w:r>
    </w:p>
    <w:p w14:paraId="127F906C" w14:textId="213DE370" w:rsidR="00777DCB" w:rsidRPr="00A52585" w:rsidRDefault="00777DCB" w:rsidP="0002035C">
      <w:pPr>
        <w:rPr>
          <w:rtl/>
        </w:rPr>
      </w:pPr>
      <w:r w:rsidRPr="00A52585">
        <w:rPr>
          <w:rFonts w:hint="cs"/>
          <w:bCs/>
          <w:rtl/>
        </w:rPr>
        <w:t>قال إمام الحرمين في العقيدة</w:t>
      </w:r>
      <w:r w:rsidRPr="00A52585">
        <w:rPr>
          <w:rFonts w:hint="cs"/>
          <w:bCs/>
        </w:rPr>
        <w:t xml:space="preserve"> </w:t>
      </w:r>
      <w:r w:rsidRPr="00A52585">
        <w:rPr>
          <w:rFonts w:hint="cs"/>
          <w:bCs/>
          <w:rtl/>
        </w:rPr>
        <w:t>النظامية</w:t>
      </w:r>
      <w:r w:rsidR="0002035C" w:rsidRPr="00A52585">
        <w:rPr>
          <w:rFonts w:hint="cs"/>
          <w:rtl/>
        </w:rPr>
        <w:t>:</w:t>
      </w:r>
      <w:r w:rsidRPr="00A52585">
        <w:rPr>
          <w:rFonts w:hint="cs"/>
          <w:rtl/>
        </w:rPr>
        <w:t xml:space="preserve"> " وقد اختلف مسالك العلماء في الظواهر التي وردت في الكتاب والسنة 0 وامتنع على أهل الحق اعتقاد فحواها</w:t>
      </w:r>
      <w:r w:rsidR="0002035C" w:rsidRPr="00A52585">
        <w:rPr>
          <w:rFonts w:hint="cs"/>
          <w:rtl/>
        </w:rPr>
        <w:t xml:space="preserve"> </w:t>
      </w:r>
      <w:r w:rsidRPr="00A52585">
        <w:rPr>
          <w:rFonts w:hint="cs"/>
          <w:rtl/>
        </w:rPr>
        <w:t xml:space="preserve">وإجراؤها على موجب ما </w:t>
      </w:r>
      <w:proofErr w:type="spellStart"/>
      <w:r w:rsidRPr="00A52585">
        <w:rPr>
          <w:rFonts w:hint="cs"/>
          <w:rtl/>
        </w:rPr>
        <w:t>تبتدره</w:t>
      </w:r>
      <w:proofErr w:type="spellEnd"/>
      <w:r w:rsidRPr="00A52585">
        <w:rPr>
          <w:rFonts w:hint="cs"/>
          <w:rtl/>
        </w:rPr>
        <w:t xml:space="preserve"> أفهام أرباب اللسان منها</w:t>
      </w:r>
      <w:r w:rsidR="00DB731D" w:rsidRPr="00A52585">
        <w:rPr>
          <w:rFonts w:hint="cs"/>
          <w:rtl/>
        </w:rPr>
        <w:t>،</w:t>
      </w:r>
      <w:r w:rsidRPr="00A52585">
        <w:rPr>
          <w:rFonts w:hint="cs"/>
          <w:rtl/>
        </w:rPr>
        <w:t xml:space="preserve"> فرأى بعضهم تأويلها والتزام هذا المنهج في </w:t>
      </w:r>
      <w:proofErr w:type="spellStart"/>
      <w:r w:rsidRPr="00A52585">
        <w:rPr>
          <w:rFonts w:hint="cs"/>
          <w:rtl/>
        </w:rPr>
        <w:t>آي</w:t>
      </w:r>
      <w:proofErr w:type="spellEnd"/>
      <w:r w:rsidRPr="00A52585">
        <w:rPr>
          <w:rFonts w:hint="cs"/>
          <w:rtl/>
        </w:rPr>
        <w:t xml:space="preserve"> الكتاب</w:t>
      </w:r>
      <w:r w:rsidR="00DB731D" w:rsidRPr="00A52585">
        <w:rPr>
          <w:rFonts w:hint="cs"/>
          <w:rtl/>
        </w:rPr>
        <w:t>،</w:t>
      </w:r>
      <w:r w:rsidRPr="00A52585">
        <w:rPr>
          <w:rFonts w:hint="cs"/>
          <w:rtl/>
        </w:rPr>
        <w:t xml:space="preserve"> وما يصح من سنن الرسول صلى الله عليه </w:t>
      </w:r>
      <w:proofErr w:type="spellStart"/>
      <w:r w:rsidRPr="00A52585">
        <w:rPr>
          <w:rFonts w:hint="cs"/>
          <w:rtl/>
        </w:rPr>
        <w:t>وآله</w:t>
      </w:r>
      <w:proofErr w:type="spellEnd"/>
      <w:r w:rsidRPr="00A52585">
        <w:rPr>
          <w:rFonts w:hint="cs"/>
          <w:rtl/>
        </w:rPr>
        <w:t xml:space="preserve"> وسلم</w:t>
      </w:r>
      <w:r w:rsidR="00DB731D" w:rsidRPr="00A52585">
        <w:rPr>
          <w:rFonts w:hint="cs"/>
          <w:rtl/>
        </w:rPr>
        <w:t>،</w:t>
      </w:r>
      <w:r w:rsidRPr="00A52585">
        <w:rPr>
          <w:rFonts w:hint="cs"/>
          <w:rtl/>
        </w:rPr>
        <w:t xml:space="preserve"> وذهب أئمة السلف إلى الانكفاف عن التأويل</w:t>
      </w:r>
      <w:r w:rsidR="00DB731D" w:rsidRPr="00A52585">
        <w:rPr>
          <w:rFonts w:hint="cs"/>
          <w:rtl/>
        </w:rPr>
        <w:t>،</w:t>
      </w:r>
      <w:r w:rsidRPr="00A52585">
        <w:rPr>
          <w:rFonts w:hint="cs"/>
          <w:rtl/>
        </w:rPr>
        <w:t xml:space="preserve"> وإجراء الظواهر على مواردها وتفويض معانيها الى الرب تعالى 0 والذي نرتضيه رأيا</w:t>
      </w:r>
      <w:r w:rsidR="0002035C" w:rsidRPr="00A52585">
        <w:rPr>
          <w:rFonts w:hint="cs"/>
          <w:rtl/>
        </w:rPr>
        <w:t>:</w:t>
      </w:r>
      <w:r w:rsidRPr="00A52585">
        <w:rPr>
          <w:rFonts w:hint="cs"/>
          <w:rtl/>
        </w:rPr>
        <w:t xml:space="preserve"> وندين الله به عقلا</w:t>
      </w:r>
      <w:r w:rsidR="0002035C" w:rsidRPr="00A52585">
        <w:rPr>
          <w:rFonts w:hint="cs"/>
          <w:rtl/>
        </w:rPr>
        <w:t>:</w:t>
      </w:r>
      <w:r w:rsidRPr="00A52585">
        <w:rPr>
          <w:rFonts w:hint="cs"/>
          <w:rtl/>
        </w:rPr>
        <w:t xml:space="preserve"> اتباع سلف الأمة 0 فالأولى الاتباع</w:t>
      </w:r>
      <w:r w:rsidR="00DB731D" w:rsidRPr="00A52585">
        <w:rPr>
          <w:rFonts w:hint="cs"/>
          <w:rtl/>
        </w:rPr>
        <w:t>،</w:t>
      </w:r>
      <w:r w:rsidRPr="00A52585">
        <w:rPr>
          <w:rFonts w:hint="cs"/>
          <w:rtl/>
        </w:rPr>
        <w:t xml:space="preserve"> وترك الابتداع والدليل السمعي القاطع في ذلك</w:t>
      </w:r>
      <w:r w:rsidR="0002035C" w:rsidRPr="00A52585">
        <w:rPr>
          <w:rFonts w:hint="cs"/>
          <w:rtl/>
        </w:rPr>
        <w:t>:</w:t>
      </w:r>
      <w:r w:rsidRPr="00A52585">
        <w:rPr>
          <w:rFonts w:hint="cs"/>
          <w:rtl/>
        </w:rPr>
        <w:t xml:space="preserve"> أن إجماع الأمة حجه متبعة</w:t>
      </w:r>
      <w:r w:rsidR="00DB731D" w:rsidRPr="00A52585">
        <w:rPr>
          <w:rFonts w:hint="cs"/>
          <w:rtl/>
        </w:rPr>
        <w:t>،</w:t>
      </w:r>
      <w:r w:rsidRPr="00A52585">
        <w:rPr>
          <w:rFonts w:hint="cs"/>
          <w:rtl/>
        </w:rPr>
        <w:t xml:space="preserve"> وهو مستند معظم الشريعة</w:t>
      </w:r>
      <w:r w:rsidR="00DB731D" w:rsidRPr="00A52585">
        <w:rPr>
          <w:rFonts w:hint="cs"/>
          <w:rtl/>
        </w:rPr>
        <w:t>،</w:t>
      </w:r>
      <w:r w:rsidRPr="00A52585">
        <w:rPr>
          <w:rFonts w:hint="cs"/>
          <w:rtl/>
        </w:rPr>
        <w:t xml:space="preserve"> وقد درج صحب رسول الله صلى الله عليه وسلم</w:t>
      </w:r>
      <w:r w:rsidR="00DB731D" w:rsidRPr="00A52585">
        <w:rPr>
          <w:rFonts w:hint="cs"/>
          <w:rtl/>
        </w:rPr>
        <w:t>،</w:t>
      </w:r>
      <w:r w:rsidRPr="00A52585">
        <w:rPr>
          <w:rFonts w:hint="cs"/>
          <w:rtl/>
        </w:rPr>
        <w:t xml:space="preserve"> ورضى عنهم على ترك التعرض لمعانيها ودرك ما فيها</w:t>
      </w:r>
      <w:r w:rsidR="00DB731D" w:rsidRPr="00A52585">
        <w:rPr>
          <w:rFonts w:hint="cs"/>
          <w:rtl/>
        </w:rPr>
        <w:t>،</w:t>
      </w:r>
      <w:r w:rsidRPr="00A52585">
        <w:rPr>
          <w:rFonts w:hint="cs"/>
          <w:rtl/>
        </w:rPr>
        <w:t xml:space="preserve"> وهم صفوة الإسلام</w:t>
      </w:r>
      <w:r w:rsidR="00DB731D" w:rsidRPr="00A52585">
        <w:rPr>
          <w:rFonts w:hint="cs"/>
          <w:rtl/>
        </w:rPr>
        <w:t>،</w:t>
      </w:r>
      <w:r w:rsidRPr="00A52585">
        <w:rPr>
          <w:rFonts w:hint="cs"/>
          <w:rtl/>
        </w:rPr>
        <w:t xml:space="preserve"> والمستقلون بأعباء الشريعة وكانوا لا يألون في ضبط قواعد الملة والتواصي بحفظها</w:t>
      </w:r>
      <w:r w:rsidR="00DB731D" w:rsidRPr="00A52585">
        <w:rPr>
          <w:rFonts w:hint="cs"/>
          <w:rtl/>
        </w:rPr>
        <w:t>،</w:t>
      </w:r>
      <w:r w:rsidRPr="00A52585">
        <w:rPr>
          <w:rFonts w:hint="cs"/>
          <w:rtl/>
        </w:rPr>
        <w:t xml:space="preserve"> وتعليم الناس ما يحتاجون إليه منها 0 فلو كان تأويل هذه </w:t>
      </w:r>
      <w:proofErr w:type="spellStart"/>
      <w:r w:rsidRPr="00A52585">
        <w:rPr>
          <w:rFonts w:hint="cs"/>
          <w:rtl/>
        </w:rPr>
        <w:t>الآي</w:t>
      </w:r>
      <w:proofErr w:type="spellEnd"/>
      <w:r w:rsidRPr="00A52585">
        <w:rPr>
          <w:rFonts w:hint="cs"/>
          <w:rtl/>
        </w:rPr>
        <w:t xml:space="preserve"> والظواهر مسوغا</w:t>
      </w:r>
      <w:r w:rsidR="00DB731D" w:rsidRPr="00A52585">
        <w:rPr>
          <w:rFonts w:hint="cs"/>
          <w:rtl/>
        </w:rPr>
        <w:t>،</w:t>
      </w:r>
      <w:r w:rsidRPr="00A52585">
        <w:rPr>
          <w:rFonts w:hint="cs"/>
          <w:rtl/>
        </w:rPr>
        <w:t xml:space="preserve"> ومحتوما</w:t>
      </w:r>
      <w:r w:rsidR="00DB731D" w:rsidRPr="00A52585">
        <w:rPr>
          <w:rFonts w:hint="cs"/>
          <w:rtl/>
        </w:rPr>
        <w:t>،</w:t>
      </w:r>
      <w:r w:rsidRPr="00A52585">
        <w:rPr>
          <w:rFonts w:hint="cs"/>
          <w:rtl/>
        </w:rPr>
        <w:t xml:space="preserve"> لأوشك أن يكون اهتمامهم بها فوق اهتمامهم بفروع الشريعة 0واذا انصرم عصرهم</w:t>
      </w:r>
      <w:r w:rsidR="00DB731D" w:rsidRPr="00A52585">
        <w:rPr>
          <w:rFonts w:hint="cs"/>
          <w:rtl/>
        </w:rPr>
        <w:t>،</w:t>
      </w:r>
      <w:r w:rsidRPr="00A52585">
        <w:rPr>
          <w:rFonts w:hint="cs"/>
          <w:rtl/>
        </w:rPr>
        <w:t xml:space="preserve"> وعصر التابعين على الإضراب عن التأويل كان ذلك قاطعا بأنه الوجه المتبع 0 </w:t>
      </w:r>
      <w:r w:rsidRPr="00A52585">
        <w:rPr>
          <w:rFonts w:hint="cs"/>
          <w:bCs/>
          <w:rtl/>
        </w:rPr>
        <w:t>فحق على ذي دين</w:t>
      </w:r>
      <w:r w:rsidR="0002035C" w:rsidRPr="00A52585">
        <w:rPr>
          <w:rFonts w:hint="cs"/>
          <w:bCs/>
          <w:rtl/>
        </w:rPr>
        <w:t>:</w:t>
      </w:r>
      <w:r w:rsidRPr="00A52585">
        <w:rPr>
          <w:rFonts w:hint="cs"/>
          <w:bCs/>
          <w:rtl/>
        </w:rPr>
        <w:t xml:space="preserve"> أن يعتقد تنزه الباري عن صفات المحدثين</w:t>
      </w:r>
      <w:r w:rsidR="00DB731D" w:rsidRPr="00A52585">
        <w:rPr>
          <w:rFonts w:hint="cs"/>
          <w:bCs/>
          <w:rtl/>
        </w:rPr>
        <w:t>،</w:t>
      </w:r>
      <w:r w:rsidRPr="00A52585">
        <w:rPr>
          <w:rFonts w:hint="cs"/>
          <w:bCs/>
          <w:rtl/>
        </w:rPr>
        <w:t xml:space="preserve"> ولا يخوض في تأويل المشكلات</w:t>
      </w:r>
      <w:r w:rsidR="00DB731D" w:rsidRPr="00A52585">
        <w:rPr>
          <w:rFonts w:hint="cs"/>
          <w:bCs/>
          <w:rtl/>
        </w:rPr>
        <w:t>،</w:t>
      </w:r>
      <w:r w:rsidRPr="00A52585">
        <w:rPr>
          <w:rFonts w:hint="cs"/>
          <w:bCs/>
          <w:rtl/>
        </w:rPr>
        <w:t xml:space="preserve"> ويكل معناها </w:t>
      </w:r>
      <w:r w:rsidRPr="00A52585">
        <w:rPr>
          <w:rFonts w:hint="cs"/>
          <w:bCs/>
          <w:rtl/>
        </w:rPr>
        <w:lastRenderedPageBreak/>
        <w:t>إلى الرب تبارك وتعالى</w:t>
      </w:r>
      <w:r w:rsidR="00DB731D" w:rsidRPr="00A52585">
        <w:rPr>
          <w:rFonts w:hint="cs"/>
          <w:bCs/>
          <w:rtl/>
        </w:rPr>
        <w:t>،</w:t>
      </w:r>
      <w:r w:rsidRPr="00A52585">
        <w:rPr>
          <w:rFonts w:hint="cs"/>
          <w:bCs/>
          <w:rtl/>
        </w:rPr>
        <w:t xml:space="preserve"> </w:t>
      </w:r>
      <w:r w:rsidRPr="00A52585">
        <w:rPr>
          <w:rFonts w:hint="cs"/>
          <w:rtl/>
        </w:rPr>
        <w:t>وعد إمام</w:t>
      </w:r>
      <w:r w:rsidRPr="00A52585">
        <w:rPr>
          <w:rFonts w:hint="cs"/>
        </w:rPr>
        <w:t xml:space="preserve"> </w:t>
      </w:r>
      <w:r w:rsidRPr="00A52585">
        <w:rPr>
          <w:rFonts w:hint="cs"/>
          <w:rtl/>
        </w:rPr>
        <w:t>القراء وسيدهم</w:t>
      </w:r>
      <w:r w:rsidR="0002035C" w:rsidRPr="00A52585">
        <w:rPr>
          <w:rFonts w:hint="cs"/>
          <w:rtl/>
        </w:rPr>
        <w:t>:</w:t>
      </w:r>
      <w:r w:rsidRPr="00A52585">
        <w:rPr>
          <w:rFonts w:hint="cs"/>
          <w:rtl/>
        </w:rPr>
        <w:t xml:space="preserve"> الوقوف على قوله تبارك وتعالى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وما</w:t>
      </w:r>
      <w:r w:rsidRPr="00A52585">
        <w:rPr>
          <w:rFonts w:hint="cs"/>
        </w:rPr>
        <w:t xml:space="preserve"> </w:t>
      </w:r>
      <w:r w:rsidRPr="00A52585">
        <w:rPr>
          <w:rFonts w:hint="cs"/>
          <w:rtl/>
        </w:rPr>
        <w:t>يعلم تأويله إلا</w:t>
      </w:r>
      <w:r w:rsidRPr="00A52585">
        <w:rPr>
          <w:rFonts w:hint="cs"/>
        </w:rPr>
        <w:t xml:space="preserve"> </w:t>
      </w:r>
      <w:r w:rsidRPr="00A52585">
        <w:rPr>
          <w:rFonts w:hint="cs"/>
          <w:rtl/>
        </w:rPr>
        <w:t>الله</w:t>
      </w:r>
      <w:r w:rsidR="0002035C" w:rsidRPr="00A52585">
        <w:rPr>
          <w:rFonts w:hint="cs"/>
          <w:rtl/>
        </w:rPr>
        <w:t>}</w:t>
      </w:r>
      <w:r w:rsidRPr="00A52585">
        <w:rPr>
          <w:rFonts w:hint="cs"/>
          <w:rtl/>
        </w:rPr>
        <w:t xml:space="preserve"> من</w:t>
      </w:r>
      <w:r w:rsidRPr="00A52585">
        <w:rPr>
          <w:rFonts w:hint="cs"/>
        </w:rPr>
        <w:t xml:space="preserve"> </w:t>
      </w:r>
      <w:r w:rsidRPr="00A52585">
        <w:rPr>
          <w:rFonts w:hint="cs"/>
          <w:rtl/>
        </w:rPr>
        <w:t>العزائم</w:t>
      </w:r>
      <w:r w:rsidR="00DB731D" w:rsidRPr="00A52585">
        <w:rPr>
          <w:rFonts w:hint="cs"/>
          <w:rtl/>
        </w:rPr>
        <w:t>،</w:t>
      </w:r>
      <w:r w:rsidRPr="00A52585">
        <w:rPr>
          <w:rFonts w:hint="cs"/>
          <w:rtl/>
        </w:rPr>
        <w:t xml:space="preserve"> ثم الابتداء </w:t>
      </w:r>
      <w:r w:rsidR="0002035C" w:rsidRPr="00A52585">
        <w:rPr>
          <w:rFonts w:hint="cs"/>
          <w:rtl/>
        </w:rPr>
        <w:t>{</w:t>
      </w:r>
      <w:r w:rsidRPr="00A52585">
        <w:rPr>
          <w:rFonts w:hint="cs"/>
          <w:rtl/>
        </w:rPr>
        <w:t>والراسخون</w:t>
      </w:r>
      <w:r w:rsidRPr="00A52585">
        <w:rPr>
          <w:rFonts w:hint="cs"/>
        </w:rPr>
        <w:t xml:space="preserve"> </w:t>
      </w:r>
      <w:r w:rsidRPr="00A52585">
        <w:rPr>
          <w:rFonts w:hint="cs"/>
          <w:rtl/>
        </w:rPr>
        <w:t>في العلم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7</w:t>
      </w:r>
      <w:r w:rsidR="0002035C" w:rsidRPr="00A52585">
        <w:rPr>
          <w:rFonts w:hint="cs"/>
          <w:rtl/>
        </w:rPr>
        <w:t xml:space="preserve">] </w:t>
      </w:r>
      <w:r w:rsidRPr="00A52585">
        <w:rPr>
          <w:rFonts w:hint="cs"/>
          <w:rtl/>
        </w:rPr>
        <w:t>ومما استحق من كلام امام دار الهجرة –رضى الله عنه – وهو مالك بن أنس رضى</w:t>
      </w:r>
      <w:r w:rsidRPr="00A52585">
        <w:rPr>
          <w:rFonts w:hint="cs"/>
        </w:rPr>
        <w:t xml:space="preserve"> </w:t>
      </w:r>
      <w:r w:rsidRPr="00A52585">
        <w:rPr>
          <w:rFonts w:hint="cs"/>
          <w:rtl/>
        </w:rPr>
        <w:t xml:space="preserve">الله عنه 0 أنه سئل عن قوله تبارك وتعالى </w:t>
      </w:r>
      <w:r w:rsidR="0002035C" w:rsidRPr="00A52585">
        <w:rPr>
          <w:rFonts w:hint="cs"/>
          <w:rtl/>
        </w:rPr>
        <w:t>{</w:t>
      </w:r>
      <w:r w:rsidRPr="00A52585">
        <w:rPr>
          <w:rFonts w:hint="cs"/>
          <w:rtl/>
        </w:rPr>
        <w:t>الرحمن على العرش استوى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طه</w:t>
      </w:r>
      <w:r w:rsidR="0002035C" w:rsidRPr="00A52585">
        <w:rPr>
          <w:rFonts w:hint="cs"/>
          <w:rtl/>
        </w:rPr>
        <w:t>:</w:t>
      </w:r>
      <w:r w:rsidRPr="00A52585">
        <w:rPr>
          <w:rFonts w:hint="cs"/>
          <w:rtl/>
        </w:rPr>
        <w:t xml:space="preserve"> 5</w:t>
      </w:r>
      <w:r w:rsidR="0002035C" w:rsidRPr="00A52585">
        <w:rPr>
          <w:rFonts w:hint="cs"/>
          <w:rtl/>
        </w:rPr>
        <w:t>]</w:t>
      </w:r>
      <w:r w:rsidRPr="00A52585">
        <w:rPr>
          <w:rFonts w:hint="cs"/>
          <w:rtl/>
        </w:rPr>
        <w:t xml:space="preserve"> فقال </w:t>
      </w:r>
      <w:r w:rsidR="0002035C" w:rsidRPr="00A52585">
        <w:rPr>
          <w:rFonts w:hint="cs"/>
          <w:rtl/>
        </w:rPr>
        <w:t>(</w:t>
      </w:r>
      <w:r w:rsidRPr="00A52585">
        <w:rPr>
          <w:rFonts w:hint="cs"/>
          <w:rtl/>
        </w:rPr>
        <w:t>الاستواء معلوم 0 والكيفية مجهولة 0 والسؤال عنه بدعه</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فلتجري آية</w:t>
      </w:r>
      <w:r w:rsidRPr="00A52585">
        <w:rPr>
          <w:rFonts w:hint="cs"/>
          <w:bCs/>
        </w:rPr>
        <w:t xml:space="preserve"> </w:t>
      </w:r>
      <w:r w:rsidRPr="00A52585">
        <w:rPr>
          <w:rFonts w:hint="cs"/>
          <w:bCs/>
          <w:rtl/>
        </w:rPr>
        <w:t xml:space="preserve">الاستواء والمجيء وقوله </w:t>
      </w:r>
      <w:r w:rsidR="0002035C" w:rsidRPr="00A52585">
        <w:rPr>
          <w:rFonts w:hint="cs"/>
          <w:bCs/>
          <w:rtl/>
        </w:rPr>
        <w:t>(</w:t>
      </w:r>
      <w:r w:rsidRPr="00A52585">
        <w:rPr>
          <w:rFonts w:hint="cs"/>
          <w:bCs/>
          <w:rtl/>
        </w:rPr>
        <w:t>لما</w:t>
      </w:r>
      <w:r w:rsidRPr="00A52585">
        <w:rPr>
          <w:rFonts w:hint="cs"/>
          <w:bCs/>
        </w:rPr>
        <w:t xml:space="preserve"> </w:t>
      </w:r>
      <w:r w:rsidRPr="00A52585">
        <w:rPr>
          <w:rFonts w:hint="cs"/>
          <w:bCs/>
          <w:rtl/>
        </w:rPr>
        <w:t>خلقت بيدي</w:t>
      </w:r>
      <w:r w:rsidR="0002035C" w:rsidRPr="00A52585">
        <w:rPr>
          <w:rFonts w:hint="cs"/>
          <w:bCs/>
          <w:rtl/>
        </w:rPr>
        <w:t>)</w:t>
      </w:r>
      <w:r w:rsidRPr="00A52585">
        <w:rPr>
          <w:rFonts w:hint="cs"/>
          <w:bCs/>
          <w:rtl/>
        </w:rPr>
        <w:t xml:space="preserve"> </w:t>
      </w:r>
      <w:r w:rsidRPr="00A52585">
        <w:rPr>
          <w:rFonts w:hint="cs"/>
          <w:rtl/>
        </w:rPr>
        <w:t>[ص/75]</w:t>
      </w:r>
      <w:r w:rsidRPr="00A52585">
        <w:rPr>
          <w:rFonts w:hint="cs"/>
          <w:bCs/>
          <w:rtl/>
        </w:rPr>
        <w:t xml:space="preserve"> وقوله </w:t>
      </w:r>
      <w:r w:rsidR="0002035C" w:rsidRPr="00A52585">
        <w:rPr>
          <w:rFonts w:hint="cs"/>
          <w:bCs/>
          <w:rtl/>
        </w:rPr>
        <w:t>(</w:t>
      </w:r>
      <w:r w:rsidRPr="00A52585">
        <w:rPr>
          <w:rFonts w:hint="cs"/>
          <w:bCs/>
          <w:rtl/>
        </w:rPr>
        <w:t>ويبقى وجه ربك</w:t>
      </w:r>
      <w:r w:rsidR="0002035C" w:rsidRPr="00A52585">
        <w:rPr>
          <w:rFonts w:hint="cs"/>
          <w:bCs/>
          <w:rtl/>
        </w:rPr>
        <w:t>)</w:t>
      </w:r>
      <w:r w:rsidRPr="00A52585">
        <w:rPr>
          <w:rFonts w:hint="cs"/>
          <w:rtl/>
        </w:rPr>
        <w:t>[الرحمن/ 27]</w:t>
      </w:r>
      <w:r w:rsidRPr="00A52585">
        <w:rPr>
          <w:rFonts w:hint="cs"/>
          <w:bCs/>
          <w:rtl/>
        </w:rPr>
        <w:t xml:space="preserve"> وقوله </w:t>
      </w:r>
      <w:r w:rsidR="0002035C" w:rsidRPr="00A52585">
        <w:rPr>
          <w:rFonts w:hint="cs"/>
          <w:bCs/>
          <w:rtl/>
        </w:rPr>
        <w:t>(</w:t>
      </w:r>
      <w:r w:rsidRPr="00A52585">
        <w:rPr>
          <w:rFonts w:hint="cs"/>
          <w:bCs/>
          <w:rtl/>
        </w:rPr>
        <w:t>تجرى بأعيننا</w:t>
      </w:r>
      <w:r w:rsidR="0002035C" w:rsidRPr="00A52585">
        <w:rPr>
          <w:rFonts w:hint="cs"/>
          <w:bCs/>
          <w:rtl/>
        </w:rPr>
        <w:t>)</w:t>
      </w:r>
      <w:r w:rsidRPr="00A52585">
        <w:rPr>
          <w:rFonts w:hint="cs"/>
          <w:bCs/>
          <w:rtl/>
        </w:rPr>
        <w:t xml:space="preserve"> </w:t>
      </w:r>
      <w:r w:rsidR="0002035C" w:rsidRPr="00A52585">
        <w:rPr>
          <w:rFonts w:hint="cs"/>
          <w:rtl/>
        </w:rPr>
        <w:t>[</w:t>
      </w:r>
      <w:r w:rsidRPr="00A52585">
        <w:rPr>
          <w:rFonts w:hint="cs"/>
          <w:rtl/>
        </w:rPr>
        <w:t>القمر /14]</w:t>
      </w:r>
      <w:r w:rsidRPr="00A52585">
        <w:rPr>
          <w:rFonts w:hint="cs"/>
          <w:bCs/>
          <w:rtl/>
        </w:rPr>
        <w:t xml:space="preserve"> وما صح من أخبار الرسول صلى الله عليه وسلم</w:t>
      </w:r>
      <w:r w:rsidRPr="00A52585">
        <w:rPr>
          <w:rFonts w:hint="cs"/>
          <w:bCs/>
        </w:rPr>
        <w:t xml:space="preserve"> </w:t>
      </w:r>
      <w:r w:rsidRPr="00A52585">
        <w:rPr>
          <w:rFonts w:hint="cs"/>
          <w:bCs/>
          <w:rtl/>
        </w:rPr>
        <w:t>كخبر النزول وغيره على ما ذكرناه فهذا ما يجب لله تبارك وتعالى</w:t>
      </w:r>
      <w:r w:rsidR="00897A24" w:rsidRPr="00A52585">
        <w:rPr>
          <w:rFonts w:hint="cs"/>
          <w:bCs/>
          <w:rtl/>
        </w:rPr>
        <w:t>.</w:t>
      </w:r>
      <w:r w:rsidRPr="00A52585">
        <w:rPr>
          <w:rFonts w:hint="cs"/>
          <w:rtl/>
        </w:rPr>
        <w:t xml:space="preserve">" </w:t>
      </w:r>
      <w:r w:rsidR="0002035C" w:rsidRPr="00A52585">
        <w:rPr>
          <w:rFonts w:hint="cs"/>
          <w:rtl/>
        </w:rPr>
        <w:t>[</w:t>
      </w:r>
      <w:r w:rsidRPr="00A52585">
        <w:rPr>
          <w:rFonts w:hint="cs"/>
          <w:rtl/>
        </w:rPr>
        <w:t>العقيدة النظامية</w:t>
      </w:r>
      <w:r w:rsidRPr="00A52585">
        <w:rPr>
          <w:rFonts w:hint="cs"/>
        </w:rPr>
        <w:t xml:space="preserve"> </w:t>
      </w:r>
      <w:r w:rsidRPr="00A52585">
        <w:rPr>
          <w:rFonts w:hint="cs"/>
          <w:rtl/>
        </w:rPr>
        <w:t>ص 32</w:t>
      </w:r>
      <w:r w:rsidR="0002035C" w:rsidRPr="00A52585">
        <w:rPr>
          <w:rFonts w:hint="cs"/>
          <w:rtl/>
        </w:rPr>
        <w:t>]</w:t>
      </w:r>
      <w:r w:rsidRPr="00A52585">
        <w:rPr>
          <w:rFonts w:hint="cs"/>
          <w:rtl/>
        </w:rPr>
        <w:t xml:space="preserve"> أهـ</w:t>
      </w:r>
    </w:p>
    <w:p w14:paraId="42D44285" w14:textId="0BC02647" w:rsidR="00777DCB" w:rsidRPr="00A52585" w:rsidRDefault="00777DCB" w:rsidP="0002035C">
      <w:pPr>
        <w:rPr>
          <w:rtl/>
        </w:rPr>
      </w:pPr>
      <w:r w:rsidRPr="00A52585">
        <w:rPr>
          <w:rFonts w:hint="cs"/>
          <w:bCs/>
          <w:rtl/>
        </w:rPr>
        <w:t>وإليك بعض أقوال العلماء في تفسير الآية</w:t>
      </w:r>
      <w:r w:rsidR="0002035C" w:rsidRPr="00A52585">
        <w:rPr>
          <w:rFonts w:hint="cs"/>
          <w:bCs/>
          <w:rtl/>
        </w:rPr>
        <w:t>:</w:t>
      </w:r>
      <w:r w:rsidRPr="00A52585">
        <w:rPr>
          <w:rFonts w:hint="cs"/>
          <w:bCs/>
          <w:rtl/>
        </w:rPr>
        <w:t xml:space="preserve"> قال</w:t>
      </w:r>
      <w:r w:rsidRPr="00A52585">
        <w:rPr>
          <w:rFonts w:hint="cs"/>
          <w:bCs/>
        </w:rPr>
        <w:t xml:space="preserve"> </w:t>
      </w:r>
      <w:r w:rsidRPr="00A52585">
        <w:rPr>
          <w:rFonts w:hint="cs"/>
          <w:bCs/>
          <w:rtl/>
        </w:rPr>
        <w:t>الشيخ جمال الدين القاسمي</w:t>
      </w:r>
      <w:r w:rsidRPr="00A52585">
        <w:rPr>
          <w:rFonts w:hint="cs"/>
          <w:rtl/>
        </w:rPr>
        <w:t xml:space="preserve"> في تفسيره محاسن التأويل</w:t>
      </w:r>
      <w:r w:rsidR="0002035C" w:rsidRPr="00A52585">
        <w:rPr>
          <w:rFonts w:hint="cs"/>
          <w:rtl/>
        </w:rPr>
        <w:t xml:space="preserve"> </w:t>
      </w:r>
      <w:r w:rsidRPr="00A52585">
        <w:rPr>
          <w:rFonts w:hint="cs"/>
          <w:rtl/>
        </w:rPr>
        <w:t xml:space="preserve">" </w:t>
      </w:r>
      <w:r w:rsidR="0002035C" w:rsidRPr="00A52585">
        <w:rPr>
          <w:rFonts w:hint="cs"/>
          <w:rtl/>
        </w:rPr>
        <w:t>(</w:t>
      </w:r>
      <w:r w:rsidRPr="00A52585">
        <w:rPr>
          <w:rFonts w:hint="cs"/>
          <w:rtl/>
        </w:rPr>
        <w:t>لما خلقت بيدي</w:t>
      </w:r>
      <w:r w:rsidR="0002035C" w:rsidRPr="00A52585">
        <w:rPr>
          <w:rFonts w:hint="cs"/>
          <w:rtl/>
        </w:rPr>
        <w:t>)</w:t>
      </w:r>
      <w:r w:rsidRPr="00A52585">
        <w:rPr>
          <w:rFonts w:hint="cs"/>
          <w:rtl/>
        </w:rPr>
        <w:t xml:space="preserve"> أي</w:t>
      </w:r>
      <w:r w:rsidRPr="00A52585">
        <w:rPr>
          <w:rFonts w:hint="cs"/>
        </w:rPr>
        <w:t xml:space="preserve"> </w:t>
      </w:r>
      <w:r w:rsidRPr="00A52585">
        <w:rPr>
          <w:rFonts w:hint="cs"/>
          <w:rtl/>
        </w:rPr>
        <w:t>بنفسي من غير توسط كأب وأم " [محاسن</w:t>
      </w:r>
      <w:r w:rsidRPr="00A52585">
        <w:rPr>
          <w:rFonts w:hint="cs"/>
        </w:rPr>
        <w:t xml:space="preserve"> </w:t>
      </w:r>
      <w:r w:rsidRPr="00A52585">
        <w:rPr>
          <w:rFonts w:hint="cs"/>
          <w:rtl/>
        </w:rPr>
        <w:t>التأويل</w:t>
      </w:r>
      <w:r w:rsidR="0002035C" w:rsidRPr="00A52585">
        <w:rPr>
          <w:rFonts w:hint="cs"/>
          <w:rtl/>
        </w:rPr>
        <w:t>:</w:t>
      </w:r>
      <w:r w:rsidRPr="00A52585">
        <w:rPr>
          <w:rFonts w:hint="cs"/>
          <w:rtl/>
        </w:rPr>
        <w:t xml:space="preserve"> ج15/ 328] أهـ</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وذلك لأن إبليس من الجن فليس الأصل أما آدم فهو أصل الإنسان</w:t>
      </w:r>
      <w:r w:rsidR="00DB731D" w:rsidRPr="00A52585">
        <w:rPr>
          <w:rFonts w:hint="cs"/>
          <w:rtl/>
        </w:rPr>
        <w:t>،</w:t>
      </w:r>
      <w:r w:rsidRPr="00A52585">
        <w:rPr>
          <w:rFonts w:hint="cs"/>
          <w:rtl/>
        </w:rPr>
        <w:t xml:space="preserve"> </w:t>
      </w:r>
      <w:r w:rsidRPr="00A52585">
        <w:rPr>
          <w:rFonts w:hint="cs"/>
          <w:bCs/>
          <w:rtl/>
        </w:rPr>
        <w:t>وقال النسفي في تفسيره</w:t>
      </w:r>
      <w:r w:rsidR="0002035C" w:rsidRPr="00A52585">
        <w:rPr>
          <w:rFonts w:hint="cs"/>
          <w:rtl/>
        </w:rPr>
        <w:t>:</w:t>
      </w:r>
      <w:r w:rsidRPr="00A52585">
        <w:rPr>
          <w:rFonts w:hint="cs"/>
          <w:rtl/>
        </w:rPr>
        <w:t xml:space="preserve"> " ما منعك أن تسجد ما منعك عن السجود لما</w:t>
      </w:r>
      <w:r w:rsidR="0002035C" w:rsidRPr="00A52585">
        <w:rPr>
          <w:rFonts w:hint="cs"/>
          <w:rtl/>
        </w:rPr>
        <w:t xml:space="preserve"> </w:t>
      </w:r>
      <w:r w:rsidRPr="00A52585">
        <w:rPr>
          <w:rFonts w:hint="cs"/>
          <w:rtl/>
        </w:rPr>
        <w:t>خلقت بيدي</w:t>
      </w:r>
      <w:r w:rsidR="0002035C" w:rsidRPr="00A52585">
        <w:rPr>
          <w:rFonts w:hint="cs"/>
          <w:rtl/>
        </w:rPr>
        <w:t xml:space="preserve"> </w:t>
      </w:r>
      <w:r w:rsidRPr="00A52585">
        <w:rPr>
          <w:rFonts w:hint="cs"/>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sidRPr="00A52585">
        <w:rPr>
          <w:rFonts w:hint="cs"/>
          <w:rtl/>
        </w:rPr>
        <w:t>وفوك</w:t>
      </w:r>
      <w:proofErr w:type="spellEnd"/>
      <w:r w:rsidRPr="00A52585">
        <w:rPr>
          <w:rFonts w:hint="cs"/>
          <w:rtl/>
        </w:rPr>
        <w:t xml:space="preserve"> نفخ وحتى لم يبق فرق بين قولك هذا مما عملته وهذا مما عملته يداك ومنه قوله مما عملت أيدينا ولما خلقت بيدي " [تفسير النسفي ج: 4 ص: 45] أهـ</w:t>
      </w:r>
      <w:r w:rsidR="00DB731D" w:rsidRPr="00A52585">
        <w:rPr>
          <w:rFonts w:hint="cs"/>
          <w:rtl/>
        </w:rPr>
        <w:t>،</w:t>
      </w:r>
      <w:r w:rsidRPr="00A52585">
        <w:rPr>
          <w:rFonts w:hint="cs"/>
          <w:rtl/>
        </w:rPr>
        <w:t xml:space="preserve"> </w:t>
      </w:r>
      <w:r w:rsidRPr="00A52585">
        <w:rPr>
          <w:rFonts w:hint="cs"/>
          <w:bCs/>
          <w:rtl/>
        </w:rPr>
        <w:t>وقال القاضي البيضاوي</w:t>
      </w:r>
      <w:r w:rsidR="0002035C" w:rsidRPr="00A52585">
        <w:rPr>
          <w:rFonts w:hint="cs"/>
          <w:rtl/>
        </w:rPr>
        <w:t>:</w:t>
      </w:r>
      <w:r w:rsidRPr="00A52585">
        <w:rPr>
          <w:rFonts w:hint="cs"/>
          <w:rtl/>
        </w:rPr>
        <w:t xml:space="preserve"> " قوله تعالى</w:t>
      </w:r>
      <w:r w:rsidR="0002035C" w:rsidRPr="00A52585">
        <w:rPr>
          <w:rFonts w:hint="cs"/>
          <w:rtl/>
        </w:rPr>
        <w:t xml:space="preserve"> (</w:t>
      </w:r>
      <w:r w:rsidRPr="00A52585">
        <w:rPr>
          <w:rFonts w:hint="cs"/>
          <w:rtl/>
        </w:rPr>
        <w:t>لما خلقت بيدي</w:t>
      </w:r>
      <w:r w:rsidR="0002035C" w:rsidRPr="00A52585">
        <w:rPr>
          <w:rFonts w:hint="cs"/>
          <w:rtl/>
        </w:rPr>
        <w:t>)</w:t>
      </w:r>
      <w:r w:rsidRPr="00A52585">
        <w:rPr>
          <w:rFonts w:hint="cs"/>
          <w:rtl/>
        </w:rPr>
        <w:t xml:space="preserve"> اعلم أن اليد لغة حقيقة في الجارحة المعروفة وتستعمل مجازا في معان </w:t>
      </w:r>
      <w:proofErr w:type="spellStart"/>
      <w:r w:rsidRPr="00A52585">
        <w:rPr>
          <w:rFonts w:hint="cs"/>
          <w:rtl/>
        </w:rPr>
        <w:t>متعددة</w:t>
      </w:r>
      <w:r w:rsidR="00897A24" w:rsidRPr="00A52585">
        <w:rPr>
          <w:rFonts w:hint="cs"/>
          <w:rtl/>
        </w:rPr>
        <w:t>.</w:t>
      </w:r>
      <w:r w:rsidRPr="00A52585">
        <w:rPr>
          <w:rFonts w:hint="cs"/>
          <w:rtl/>
        </w:rPr>
        <w:t>.وإذا</w:t>
      </w:r>
      <w:proofErr w:type="spellEnd"/>
      <w:r w:rsidRPr="00A52585">
        <w:rPr>
          <w:rFonts w:hint="cs"/>
          <w:rtl/>
        </w:rPr>
        <w:t xml:space="preserve">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02035C" w:rsidRPr="00A52585">
        <w:rPr>
          <w:rFonts w:hint="cs"/>
          <w:rtl/>
        </w:rPr>
        <w:t xml:space="preserve"> </w:t>
      </w:r>
      <w:r w:rsidRPr="00A52585">
        <w:rPr>
          <w:rFonts w:hint="cs"/>
          <w:rtl/>
        </w:rPr>
        <w:t xml:space="preserve">" </w:t>
      </w:r>
      <w:r w:rsidR="0002035C" w:rsidRPr="00A52585">
        <w:rPr>
          <w:rFonts w:hint="cs"/>
          <w:rtl/>
        </w:rPr>
        <w:t>[</w:t>
      </w:r>
      <w:r w:rsidRPr="00A52585">
        <w:rPr>
          <w:rFonts w:hint="cs"/>
          <w:rtl/>
        </w:rPr>
        <w:t>إيضاح الدليل في قطع حجج أهل التعطيل ج: 1 ص: 122] أهـ</w:t>
      </w:r>
      <w:r w:rsidR="00DB731D" w:rsidRPr="00A52585">
        <w:rPr>
          <w:rFonts w:hint="cs"/>
          <w:rtl/>
        </w:rPr>
        <w:t>،</w:t>
      </w:r>
      <w:r w:rsidRPr="00A52585">
        <w:rPr>
          <w:rFonts w:hint="cs"/>
          <w:rtl/>
        </w:rPr>
        <w:t xml:space="preserve"> </w:t>
      </w:r>
      <w:r w:rsidRPr="00A52585">
        <w:rPr>
          <w:rFonts w:hint="cs"/>
          <w:bCs/>
          <w:rtl/>
        </w:rPr>
        <w:t>وجاء في تفسير البحر المحيط</w:t>
      </w:r>
      <w:r w:rsidR="0002035C" w:rsidRPr="00A52585">
        <w:rPr>
          <w:rFonts w:hint="cs"/>
          <w:bCs/>
          <w:rtl/>
        </w:rPr>
        <w:t>:</w:t>
      </w:r>
      <w:r w:rsidRPr="00A52585">
        <w:rPr>
          <w:rFonts w:hint="cs"/>
          <w:bCs/>
          <w:rtl/>
        </w:rPr>
        <w:t xml:space="preserve"> </w:t>
      </w:r>
      <w:r w:rsidRPr="00A52585">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02035C" w:rsidRPr="00A52585">
        <w:rPr>
          <w:rFonts w:hint="cs"/>
          <w:rtl/>
        </w:rPr>
        <w:t xml:space="preserve"> (</w:t>
      </w:r>
      <w:r w:rsidRPr="00A52585">
        <w:rPr>
          <w:rFonts w:hint="cs"/>
          <w:rtl/>
        </w:rPr>
        <w:t>يداك يدا مجد فكف مفيدة * وكفّ إذا ما ضنّ بالمال تنفق</w:t>
      </w:r>
      <w:r w:rsidR="0002035C" w:rsidRPr="00A52585">
        <w:rPr>
          <w:rFonts w:hint="cs"/>
          <w:rtl/>
        </w:rPr>
        <w:t>)</w:t>
      </w:r>
      <w:r w:rsidRPr="00A52585">
        <w:rPr>
          <w:rFonts w:hint="cs"/>
          <w:rtl/>
        </w:rPr>
        <w:t xml:space="preserve"> ويؤيد أنّ اليدين هنا بمعنى الإنعام قرينة الإنفاق." </w:t>
      </w:r>
      <w:r w:rsidR="0002035C" w:rsidRPr="00A52585">
        <w:rPr>
          <w:rFonts w:hint="cs"/>
          <w:rtl/>
        </w:rPr>
        <w:t>[</w:t>
      </w:r>
      <w:r w:rsidRPr="00A52585">
        <w:rPr>
          <w:rFonts w:hint="cs"/>
          <w:rtl/>
        </w:rPr>
        <w:t xml:space="preserve">البحر المحيط تفسير قوله تعالى (بل </w:t>
      </w:r>
      <w:r w:rsidRPr="00A52585">
        <w:rPr>
          <w:rFonts w:hint="cs"/>
          <w:rtl/>
        </w:rPr>
        <w:lastRenderedPageBreak/>
        <w:t>يداه مبسوطتان ينفق كيف يشاء)] أهــ</w:t>
      </w:r>
      <w:r w:rsidR="00DB731D" w:rsidRPr="00A52585">
        <w:rPr>
          <w:rFonts w:hint="cs"/>
          <w:rtl/>
        </w:rPr>
        <w:t>،</w:t>
      </w:r>
      <w:r w:rsidRPr="00A52585">
        <w:rPr>
          <w:rFonts w:hint="cs"/>
          <w:rtl/>
        </w:rPr>
        <w:t xml:space="preserve"> </w:t>
      </w:r>
      <w:r w:rsidRPr="00A52585">
        <w:rPr>
          <w:rFonts w:hint="cs"/>
          <w:bCs/>
          <w:rtl/>
        </w:rPr>
        <w:t>وقال الكرماني في الكواكب</w:t>
      </w:r>
      <w:r w:rsidRPr="00A52585">
        <w:rPr>
          <w:rFonts w:hint="cs"/>
          <w:bCs/>
        </w:rPr>
        <w:t xml:space="preserve"> </w:t>
      </w:r>
      <w:proofErr w:type="spellStart"/>
      <w:r w:rsidRPr="00A52585">
        <w:rPr>
          <w:rFonts w:hint="cs"/>
          <w:bCs/>
          <w:rtl/>
        </w:rPr>
        <w:t>الدراري</w:t>
      </w:r>
      <w:proofErr w:type="spellEnd"/>
      <w:r w:rsidRPr="00A52585">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02035C" w:rsidRPr="00A52585">
        <w:rPr>
          <w:rFonts w:hint="cs"/>
          <w:rtl/>
        </w:rPr>
        <w:t>:</w:t>
      </w:r>
      <w:r w:rsidRPr="00A52585">
        <w:rPr>
          <w:rFonts w:hint="cs"/>
          <w:rtl/>
        </w:rPr>
        <w:t xml:space="preserve"> " إلا الله "</w:t>
      </w:r>
      <w:r w:rsidR="00DB731D" w:rsidRPr="00A52585">
        <w:rPr>
          <w:rFonts w:hint="cs"/>
          <w:rtl/>
        </w:rPr>
        <w:t>،</w:t>
      </w:r>
      <w:r w:rsidRPr="00A52585">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sidR="00F95886" w:rsidRPr="00A52585">
        <w:rPr>
          <w:rFonts w:hint="cs"/>
          <w:rtl/>
        </w:rPr>
        <w:t>؟</w:t>
      </w:r>
      <w:r w:rsidRPr="00A52585">
        <w:rPr>
          <w:rFonts w:hint="cs"/>
          <w:rtl/>
        </w:rPr>
        <w:t xml:space="preserve"> </w:t>
      </w:r>
      <w:r w:rsidRPr="00A52585">
        <w:rPr>
          <w:rFonts w:hint="cs"/>
          <w:bCs/>
          <w:rtl/>
        </w:rPr>
        <w:t>قلت</w:t>
      </w:r>
      <w:r w:rsidR="0002035C" w:rsidRPr="00A52585">
        <w:rPr>
          <w:rFonts w:hint="cs"/>
          <w:bCs/>
          <w:rtl/>
        </w:rPr>
        <w:t>:</w:t>
      </w:r>
      <w:r w:rsidRPr="00A52585">
        <w:rPr>
          <w:rFonts w:hint="cs"/>
          <w:bCs/>
          <w:rtl/>
        </w:rPr>
        <w:t xml:space="preserve"> هذا تمثيل إذ من اعتنى بشيء واهتم بإكماله باشره بيده</w:t>
      </w:r>
      <w:r w:rsidR="00897A24" w:rsidRPr="00A52585">
        <w:rPr>
          <w:rFonts w:hint="cs"/>
          <w:rtl/>
        </w:rPr>
        <w:t>.</w:t>
      </w:r>
      <w:r w:rsidRPr="00A52585">
        <w:rPr>
          <w:rFonts w:hint="cs"/>
          <w:rtl/>
        </w:rPr>
        <w:t>" [الكواكب</w:t>
      </w:r>
      <w:r w:rsidRPr="00A52585">
        <w:rPr>
          <w:rFonts w:hint="cs"/>
        </w:rPr>
        <w:t xml:space="preserve"> </w:t>
      </w:r>
      <w:proofErr w:type="spellStart"/>
      <w:r w:rsidRPr="00A52585">
        <w:rPr>
          <w:rFonts w:hint="cs"/>
          <w:rtl/>
        </w:rPr>
        <w:t>الدراري</w:t>
      </w:r>
      <w:proofErr w:type="spellEnd"/>
      <w:r w:rsidRPr="00A52585">
        <w:rPr>
          <w:rFonts w:hint="cs"/>
          <w:rtl/>
        </w:rPr>
        <w:t xml:space="preserve"> ج12ص126] أهـ</w:t>
      </w:r>
      <w:r w:rsidR="00DB731D"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أي والمراد فيستفاد من ذلك ان العناية بخلق آدم كانت أتم من العناية بخلق</w:t>
      </w:r>
      <w:r w:rsidRPr="00A52585">
        <w:rPr>
          <w:rFonts w:hint="cs"/>
        </w:rPr>
        <w:t xml:space="preserve"> </w:t>
      </w:r>
      <w:r w:rsidRPr="00A52585">
        <w:rPr>
          <w:rFonts w:hint="cs"/>
          <w:rtl/>
        </w:rPr>
        <w:t>غيره ولا شك</w:t>
      </w:r>
      <w:r w:rsidR="00DB731D" w:rsidRPr="00A52585">
        <w:rPr>
          <w:rFonts w:hint="cs"/>
          <w:rtl/>
        </w:rPr>
        <w:t>،</w:t>
      </w:r>
      <w:r w:rsidRPr="00A52585">
        <w:rPr>
          <w:rFonts w:hint="cs"/>
          <w:rtl/>
        </w:rPr>
        <w:t xml:space="preserve"> </w:t>
      </w:r>
      <w:r w:rsidRPr="00A52585">
        <w:rPr>
          <w:rFonts w:hint="cs"/>
          <w:bCs/>
          <w:rtl/>
        </w:rPr>
        <w:t>وقال القرطبي في تفسيره</w:t>
      </w:r>
      <w:r w:rsidR="0002035C" w:rsidRPr="00A52585">
        <w:rPr>
          <w:rFonts w:hint="cs"/>
          <w:rtl/>
        </w:rPr>
        <w:t>:</w:t>
      </w:r>
      <w:r w:rsidRPr="00A52585">
        <w:rPr>
          <w:rFonts w:hint="cs"/>
          <w:rtl/>
        </w:rPr>
        <w:t xml:space="preserve"> " واليد في كلام العرب تكون للجارحة كقوله تعالى</w:t>
      </w:r>
      <w:r w:rsidR="0002035C" w:rsidRPr="00A52585">
        <w:rPr>
          <w:rFonts w:hint="cs"/>
          <w:rtl/>
        </w:rPr>
        <w:t xml:space="preserve"> </w:t>
      </w:r>
      <w:r w:rsidRPr="00A52585">
        <w:rPr>
          <w:rFonts w:hint="cs"/>
          <w:rtl/>
        </w:rPr>
        <w:t>وخذ بيدك ضغثا وهذا محال على الله تعالى وتكون للنعمة تقول العرب</w:t>
      </w:r>
      <w:r w:rsidR="0002035C" w:rsidRPr="00A52585">
        <w:rPr>
          <w:rFonts w:hint="cs"/>
          <w:rtl/>
        </w:rPr>
        <w:t xml:space="preserve"> </w:t>
      </w:r>
      <w:r w:rsidRPr="00A52585">
        <w:rPr>
          <w:rFonts w:hint="cs"/>
          <w:rtl/>
        </w:rPr>
        <w:t>كم يد لي عند فلان أي كم من نعمة لي قد أسديتها له وتكون للقوة قال الله عز وجل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واذكر عبدنا داود ذا الأيد</w:t>
      </w:r>
      <w:r w:rsidR="0002035C" w:rsidRPr="00A52585">
        <w:rPr>
          <w:rFonts w:hint="cs"/>
          <w:rtl/>
        </w:rPr>
        <w:t>}</w:t>
      </w:r>
      <w:r w:rsidRPr="00A52585">
        <w:rPr>
          <w:rFonts w:hint="cs"/>
          <w:rtl/>
        </w:rPr>
        <w:t xml:space="preserve"> أي ذا القوة وتكون للملك والقدرة 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 إن الفضل بيد الله يؤتيه من يشاء</w:t>
      </w:r>
      <w:r w:rsidR="0002035C" w:rsidRPr="00A52585">
        <w:rPr>
          <w:rFonts w:hint="cs"/>
          <w:rtl/>
        </w:rPr>
        <w:t>}</w:t>
      </w:r>
      <w:r w:rsidRPr="00A52585">
        <w:rPr>
          <w:rFonts w:hint="cs"/>
          <w:rtl/>
        </w:rPr>
        <w:t xml:space="preserve"> وتكون بمعنى الصلة 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مما عملت أيدينا أنعاما</w:t>
      </w:r>
      <w:r w:rsidR="0002035C" w:rsidRPr="00A52585">
        <w:rPr>
          <w:rFonts w:hint="cs"/>
          <w:rtl/>
        </w:rPr>
        <w:t>}</w:t>
      </w:r>
      <w:r w:rsidRPr="00A52585">
        <w:rPr>
          <w:rFonts w:hint="cs"/>
          <w:rtl/>
        </w:rPr>
        <w:t xml:space="preserve"> أي مما عملنا نحن وقال</w:t>
      </w:r>
      <w:r w:rsidR="0002035C" w:rsidRPr="00A52585">
        <w:rPr>
          <w:rFonts w:hint="cs"/>
          <w:rtl/>
        </w:rPr>
        <w:t xml:space="preserve"> </w:t>
      </w:r>
      <w:r w:rsidRPr="00A52585">
        <w:rPr>
          <w:rFonts w:hint="cs"/>
          <w:rtl/>
        </w:rPr>
        <w:t>أو يعفو الذي بيده عقدة النكاح أي الذي له عقدة النكاح وتكون بمعنى التأييد والنصرة ومنه قوله عليه السلام (</w:t>
      </w:r>
      <w:r w:rsidR="0002035C" w:rsidRPr="00A52585">
        <w:rPr>
          <w:rFonts w:hint="cs"/>
          <w:rtl/>
        </w:rPr>
        <w:t>(</w:t>
      </w:r>
      <w:r w:rsidRPr="00A52585">
        <w:rPr>
          <w:rFonts w:hint="cs"/>
          <w:rtl/>
        </w:rPr>
        <w:t>يد الله مع القاضي حتى يقضي والقاسم حتى يقسم</w:t>
      </w:r>
      <w:r w:rsidR="0002035C" w:rsidRPr="00A52585">
        <w:rPr>
          <w:rFonts w:hint="cs"/>
          <w:rtl/>
        </w:rPr>
        <w:t>)</w:t>
      </w:r>
      <w:r w:rsidRPr="00A52585">
        <w:rPr>
          <w:rFonts w:hint="cs"/>
          <w:rtl/>
        </w:rPr>
        <w:t>) وتكون لإضافة الفعل إلى المخبر عنه تشريفا له وتكريما</w:t>
      </w:r>
      <w:r w:rsidR="00DB731D" w:rsidRPr="00A52585">
        <w:rPr>
          <w:rFonts w:hint="cs"/>
          <w:rtl/>
        </w:rPr>
        <w:t>،</w:t>
      </w:r>
      <w:r w:rsidRPr="00A52585">
        <w:rPr>
          <w:rFonts w:hint="cs"/>
          <w:rtl/>
        </w:rPr>
        <w:t xml:space="preserve"> قال الله تعالى </w:t>
      </w:r>
      <w:r w:rsidR="0002035C" w:rsidRPr="00A52585">
        <w:rPr>
          <w:rFonts w:hint="cs"/>
          <w:rtl/>
        </w:rPr>
        <w:t>{</w:t>
      </w:r>
      <w:r w:rsidRPr="00A52585">
        <w:rPr>
          <w:rFonts w:hint="cs"/>
          <w:rtl/>
        </w:rPr>
        <w:t>يا إبليس ما منعك أن تسجد لما خلقت بيدي</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فلا يجوز أن يحمل على الجارحة لأن الباري جل وتعالى واحد لا يجوز عليه التبعيض " </w:t>
      </w:r>
      <w:r w:rsidR="0002035C" w:rsidRPr="00A52585">
        <w:rPr>
          <w:rFonts w:hint="cs"/>
          <w:rtl/>
        </w:rPr>
        <w:t>[</w:t>
      </w:r>
      <w:r w:rsidRPr="00A52585">
        <w:rPr>
          <w:rFonts w:hint="cs"/>
          <w:rtl/>
        </w:rPr>
        <w:t>تفسير القرطبي ج: 6 ص: 238] أهـ</w:t>
      </w:r>
      <w:r w:rsidR="00DB731D" w:rsidRPr="00A52585">
        <w:rPr>
          <w:rFonts w:hint="cs"/>
          <w:rtl/>
          <w:lang w:bidi="ar-KW"/>
        </w:rPr>
        <w:t>،</w:t>
      </w:r>
      <w:r w:rsidRPr="00A52585">
        <w:rPr>
          <w:rFonts w:hint="cs"/>
          <w:rtl/>
        </w:rPr>
        <w:t xml:space="preserve"> </w:t>
      </w:r>
      <w:r w:rsidRPr="00A52585">
        <w:rPr>
          <w:rFonts w:hint="cs"/>
          <w:bCs/>
          <w:rtl/>
        </w:rPr>
        <w:t>وقال الإمام ابن جماعة في كتابه إيضاح الدليل</w:t>
      </w:r>
      <w:r w:rsidR="0002035C" w:rsidRPr="00A52585">
        <w:rPr>
          <w:rFonts w:hint="cs"/>
          <w:bCs/>
          <w:rtl/>
        </w:rPr>
        <w:t>:</w:t>
      </w:r>
      <w:r w:rsidRPr="00A52585">
        <w:rPr>
          <w:rFonts w:hint="cs"/>
          <w:bCs/>
          <w:rtl/>
        </w:rPr>
        <w:t xml:space="preserve"> " الآية العاشرة</w:t>
      </w:r>
      <w:r w:rsidRPr="00A52585">
        <w:rPr>
          <w:rFonts w:hint="cs"/>
          <w:rtl/>
        </w:rPr>
        <w:t xml:space="preserve"> قوله تعالى </w:t>
      </w:r>
      <w:r w:rsidR="0002035C" w:rsidRPr="00A52585">
        <w:rPr>
          <w:rFonts w:hint="cs"/>
          <w:rtl/>
        </w:rPr>
        <w:t>(</w:t>
      </w:r>
      <w:r w:rsidRPr="00A52585">
        <w:rPr>
          <w:rFonts w:hint="cs"/>
          <w:rtl/>
        </w:rPr>
        <w:t>لما خلقت بيدي</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يد الله فوق أيديهم</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بل يداه مبسوطتان</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 xml:space="preserve">بيده ملكوت كل شيء) و </w:t>
      </w:r>
      <w:r w:rsidR="0002035C" w:rsidRPr="00A52585">
        <w:rPr>
          <w:rFonts w:hint="cs"/>
          <w:rtl/>
        </w:rPr>
        <w:t>(</w:t>
      </w:r>
      <w:r w:rsidRPr="00A52585">
        <w:rPr>
          <w:rFonts w:hint="cs"/>
          <w:rtl/>
        </w:rPr>
        <w:t>بيدك الخير</w:t>
      </w:r>
      <w:r w:rsidR="0002035C" w:rsidRPr="00A52585">
        <w:rPr>
          <w:rFonts w:hint="cs"/>
          <w:rtl/>
        </w:rPr>
        <w:t>):</w:t>
      </w:r>
      <w:r w:rsidRPr="00A52585">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DB731D" w:rsidRPr="00A52585">
        <w:rPr>
          <w:rFonts w:hint="cs"/>
          <w:rtl/>
        </w:rPr>
        <w:t>،</w:t>
      </w:r>
      <w:r w:rsidRPr="00A52585">
        <w:rPr>
          <w:rFonts w:hint="cs"/>
          <w:rtl/>
        </w:rPr>
        <w:t xml:space="preserve"> أما النعمة فكقولهم لفلان عندي يد لا أطيق شكرها ولفلان علي أياد يعجز عن شكرها والمراد نعم وإحسان</w:t>
      </w:r>
      <w:r w:rsidRPr="00A52585">
        <w:rPr>
          <w:rFonts w:hint="cs"/>
          <w:bCs/>
          <w:rtl/>
        </w:rPr>
        <w:t xml:space="preserve"> </w:t>
      </w:r>
      <w:r w:rsidRPr="00A52585">
        <w:rPr>
          <w:rFonts w:hint="cs"/>
          <w:rtl/>
        </w:rPr>
        <w:t>يريدون التجوز واستعماله أن اليد آلة الإعطاء غالبا فأطلقت على النعمة بإطلاق السبب على المسبب</w:t>
      </w:r>
      <w:r w:rsidR="00DB731D" w:rsidRPr="00A52585">
        <w:rPr>
          <w:rFonts w:hint="cs"/>
          <w:rtl/>
        </w:rPr>
        <w:t>،</w:t>
      </w:r>
      <w:r w:rsidRPr="00A52585">
        <w:rPr>
          <w:rFonts w:hint="cs"/>
          <w:rtl/>
        </w:rPr>
        <w:t xml:space="preserve"> وأما القدرة فكقولهم هذه البلدة في يد السلطان ويقال امري بيدك وفلان بيده الأمر والنهي ومنه قوله تعالى </w:t>
      </w:r>
      <w:r w:rsidR="0002035C" w:rsidRPr="00A52585">
        <w:rPr>
          <w:rFonts w:hint="cs"/>
          <w:rtl/>
        </w:rPr>
        <w:t>(</w:t>
      </w:r>
      <w:r w:rsidRPr="00A52585">
        <w:rPr>
          <w:rFonts w:hint="cs"/>
          <w:rtl/>
        </w:rPr>
        <w:t xml:space="preserve">أو </w:t>
      </w:r>
      <w:r w:rsidRPr="00A52585">
        <w:rPr>
          <w:rFonts w:hint="cs"/>
          <w:rtl/>
        </w:rPr>
        <w:lastRenderedPageBreak/>
        <w:t>يعفو الذي بيده عقدة النكاح</w:t>
      </w:r>
      <w:r w:rsidR="0002035C" w:rsidRPr="00A52585">
        <w:rPr>
          <w:rFonts w:hint="cs"/>
          <w:rtl/>
        </w:rPr>
        <w:t>)</w:t>
      </w:r>
      <w:r w:rsidRPr="00A52585">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DB731D" w:rsidRPr="00A52585">
        <w:rPr>
          <w:rFonts w:hint="cs"/>
          <w:rtl/>
        </w:rPr>
        <w:t>،</w:t>
      </w:r>
      <w:r w:rsidRPr="00A52585">
        <w:rPr>
          <w:rFonts w:hint="cs"/>
          <w:rtl/>
        </w:rPr>
        <w:t xml:space="preserve"> وقد تستعمل اليد مثله للتأكيد في التقدم كقوله تعالى </w:t>
      </w:r>
      <w:r w:rsidR="0002035C" w:rsidRPr="00A52585">
        <w:rPr>
          <w:rFonts w:hint="cs"/>
          <w:rtl/>
        </w:rPr>
        <w:t>(</w:t>
      </w:r>
      <w:r w:rsidRPr="00A52585">
        <w:rPr>
          <w:rFonts w:hint="cs"/>
          <w:rtl/>
        </w:rPr>
        <w:t>بين يدي رحمته</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قدموا بين يدي نجواكم صدقة</w:t>
      </w:r>
      <w:r w:rsidR="0002035C" w:rsidRPr="00A52585">
        <w:rPr>
          <w:rFonts w:hint="cs"/>
          <w:rtl/>
        </w:rPr>
        <w:t>)</w:t>
      </w:r>
      <w:r w:rsidRPr="00A52585">
        <w:rPr>
          <w:rFonts w:hint="cs"/>
          <w:rtl/>
        </w:rPr>
        <w:t xml:space="preserve"> ولا يد للرحمة والنجوى</w:t>
      </w:r>
      <w:r w:rsidR="00DB731D" w:rsidRPr="00A52585">
        <w:rPr>
          <w:rFonts w:hint="cs"/>
          <w:rtl/>
        </w:rPr>
        <w:t>،</w:t>
      </w:r>
      <w:r w:rsidRPr="00A52585">
        <w:rPr>
          <w:rFonts w:hint="cs"/>
          <w:rtl/>
        </w:rPr>
        <w:t xml:space="preserve"> </w:t>
      </w:r>
      <w:r w:rsidRPr="00A52585">
        <w:rPr>
          <w:rFonts w:hint="cs"/>
          <w:bCs/>
          <w:rtl/>
        </w:rPr>
        <w:t xml:space="preserve">إذا ثبت هذا فنقول قوله تعالى </w:t>
      </w:r>
      <w:r w:rsidR="0002035C" w:rsidRPr="00A52585">
        <w:rPr>
          <w:rFonts w:hint="cs"/>
          <w:bCs/>
          <w:rtl/>
        </w:rPr>
        <w:t>(</w:t>
      </w:r>
      <w:r w:rsidRPr="00A52585">
        <w:rPr>
          <w:rFonts w:hint="cs"/>
          <w:bCs/>
          <w:rtl/>
        </w:rPr>
        <w:t>لما خلقت بيدي</w:t>
      </w:r>
      <w:r w:rsidR="0002035C" w:rsidRPr="00A52585">
        <w:rPr>
          <w:rFonts w:hint="cs"/>
          <w:bCs/>
          <w:rtl/>
        </w:rPr>
        <w:t>)</w:t>
      </w:r>
      <w:r w:rsidRPr="00A52585">
        <w:rPr>
          <w:rFonts w:hint="cs"/>
          <w:bCs/>
          <w:rtl/>
        </w:rPr>
        <w:t xml:space="preserve"> فله ثلاثة أجوبة</w:t>
      </w:r>
      <w:r w:rsidR="0002035C" w:rsidRPr="00A52585">
        <w:rPr>
          <w:rFonts w:hint="cs"/>
          <w:bCs/>
          <w:rtl/>
        </w:rPr>
        <w:t>:</w:t>
      </w:r>
      <w:r w:rsidRPr="00A52585">
        <w:rPr>
          <w:rFonts w:hint="cs"/>
          <w:rtl/>
        </w:rPr>
        <w:t xml:space="preserve"> </w:t>
      </w:r>
      <w:r w:rsidR="0002035C" w:rsidRPr="00A52585">
        <w:rPr>
          <w:rFonts w:hint="cs"/>
          <w:rtl/>
        </w:rPr>
        <w:t>(</w:t>
      </w:r>
      <w:r w:rsidRPr="00A52585">
        <w:rPr>
          <w:rFonts w:hint="cs"/>
          <w:bCs/>
          <w:rtl/>
        </w:rPr>
        <w:t>أحدها</w:t>
      </w:r>
      <w:r w:rsidR="0002035C" w:rsidRPr="00A52585">
        <w:rPr>
          <w:rFonts w:hint="cs"/>
          <w:rtl/>
        </w:rPr>
        <w:t>):</w:t>
      </w:r>
      <w:r w:rsidRPr="00A52585">
        <w:rPr>
          <w:rFonts w:hint="cs"/>
          <w:rtl/>
        </w:rPr>
        <w:t xml:space="preserve"> أن المراد مزيد العناية بنعمة عليه في خلقه وإيجاده وتكريمه كما يقال خذ هذا الأمر بكلتا يديك وأخذت وصيتك بكلتا يدي</w:t>
      </w:r>
      <w:r w:rsidR="0002035C" w:rsidRPr="00A52585">
        <w:rPr>
          <w:rFonts w:hint="cs"/>
          <w:rtl/>
        </w:rPr>
        <w:t xml:space="preserve"> </w:t>
      </w:r>
      <w:r w:rsidRPr="00A52585">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الجواب الثاني</w:t>
      </w:r>
      <w:r w:rsidR="0002035C" w:rsidRPr="00A52585">
        <w:rPr>
          <w:rFonts w:hint="cs"/>
          <w:bCs/>
          <w:rtl/>
        </w:rPr>
        <w:t>)</w:t>
      </w:r>
      <w:r w:rsidR="0002035C" w:rsidRPr="00A52585">
        <w:rPr>
          <w:rFonts w:hint="cs"/>
          <w:rtl/>
        </w:rPr>
        <w:t>:</w:t>
      </w:r>
      <w:r w:rsidRPr="00A52585">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الثالث</w:t>
      </w:r>
      <w:r w:rsidR="0002035C" w:rsidRPr="00A52585">
        <w:rPr>
          <w:rFonts w:hint="cs"/>
          <w:bCs/>
          <w:rtl/>
        </w:rPr>
        <w:t>)</w:t>
      </w:r>
      <w:r w:rsidR="0002035C" w:rsidRPr="00A52585">
        <w:rPr>
          <w:rFonts w:hint="cs"/>
          <w:rtl/>
        </w:rPr>
        <w:t>:</w:t>
      </w:r>
      <w:r w:rsidRPr="00A52585">
        <w:rPr>
          <w:rFonts w:hint="cs"/>
          <w:rtl/>
        </w:rPr>
        <w:t xml:space="preserve"> أن يكون ذكر اليدين صلة لقصد التخصيص به تعالى ومعناه لما خلقت أنا دون غيري ومنه قوله تعالى </w:t>
      </w:r>
      <w:r w:rsidR="0002035C" w:rsidRPr="00A52585">
        <w:rPr>
          <w:rFonts w:hint="cs"/>
          <w:rtl/>
        </w:rPr>
        <w:t>(</w:t>
      </w:r>
      <w:r w:rsidRPr="00A52585">
        <w:rPr>
          <w:rFonts w:hint="cs"/>
          <w:rtl/>
        </w:rPr>
        <w:t>ذلك بما قدمت يداك</w:t>
      </w:r>
      <w:r w:rsidR="0002035C" w:rsidRPr="00A52585">
        <w:rPr>
          <w:rFonts w:hint="cs"/>
          <w:rtl/>
        </w:rPr>
        <w:t>)</w:t>
      </w:r>
      <w:r w:rsidRPr="00A52585">
        <w:rPr>
          <w:rFonts w:hint="cs"/>
          <w:rtl/>
        </w:rPr>
        <w:t xml:space="preserve"> أي بما قدمت أنت ومنه قولهم يداك أوكتا أي أنت فعلت</w:t>
      </w:r>
      <w:r w:rsidR="00DB731D" w:rsidRPr="00A52585">
        <w:rPr>
          <w:rFonts w:hint="cs"/>
          <w:rtl/>
        </w:rPr>
        <w:t>،</w:t>
      </w:r>
      <w:r w:rsidRPr="00A52585">
        <w:rPr>
          <w:rFonts w:hint="cs"/>
          <w:rtl/>
        </w:rPr>
        <w:t xml:space="preserve"> وأما قوله تعالى</w:t>
      </w:r>
      <w:r w:rsidR="0002035C" w:rsidRPr="00A52585">
        <w:rPr>
          <w:rFonts w:hint="cs"/>
          <w:rtl/>
        </w:rPr>
        <w:t xml:space="preserve"> (</w:t>
      </w:r>
      <w:r w:rsidRPr="00A52585">
        <w:rPr>
          <w:rFonts w:hint="cs"/>
          <w:rtl/>
        </w:rPr>
        <w:t>يد الله فوق أيديهم</w:t>
      </w:r>
      <w:r w:rsidR="0002035C" w:rsidRPr="00A52585">
        <w:rPr>
          <w:rFonts w:hint="cs"/>
          <w:rtl/>
        </w:rPr>
        <w:t>)</w:t>
      </w:r>
      <w:r w:rsidRPr="00A52585">
        <w:rPr>
          <w:rFonts w:hint="cs"/>
          <w:rtl/>
        </w:rPr>
        <w:t xml:space="preserve"> فقد قال الحسن وغيره أي منته وإحسانه</w:t>
      </w:r>
      <w:r w:rsidR="00DB731D" w:rsidRPr="00A52585">
        <w:rPr>
          <w:rFonts w:hint="cs"/>
          <w:rtl/>
        </w:rPr>
        <w:t>،</w:t>
      </w:r>
      <w:r w:rsidRPr="00A52585">
        <w:rPr>
          <w:rFonts w:hint="cs"/>
          <w:rtl/>
        </w:rPr>
        <w:t xml:space="preserve"> وأما قوله تعالى </w:t>
      </w:r>
      <w:r w:rsidR="0002035C" w:rsidRPr="00A52585">
        <w:rPr>
          <w:rFonts w:hint="cs"/>
          <w:rtl/>
        </w:rPr>
        <w:t>(</w:t>
      </w:r>
      <w:r w:rsidRPr="00A52585">
        <w:rPr>
          <w:rFonts w:hint="cs"/>
          <w:rtl/>
        </w:rPr>
        <w:t>بل يداه مبسوطتان</w:t>
      </w:r>
      <w:r w:rsidR="0002035C" w:rsidRPr="00A52585">
        <w:rPr>
          <w:rFonts w:hint="cs"/>
          <w:rtl/>
        </w:rPr>
        <w:t>)</w:t>
      </w:r>
      <w:r w:rsidRPr="00A52585">
        <w:rPr>
          <w:rFonts w:hint="cs"/>
          <w:rtl/>
        </w:rPr>
        <w:t xml:space="preserve"> فلا يشك عاقل أن المراد بذلك الجود والإنعام لأنه ورد ردا على اليهود في قولهم </w:t>
      </w:r>
      <w:r w:rsidR="0002035C" w:rsidRPr="00A52585">
        <w:rPr>
          <w:rFonts w:hint="cs"/>
          <w:rtl/>
        </w:rPr>
        <w:t>(</w:t>
      </w:r>
      <w:r w:rsidRPr="00A52585">
        <w:rPr>
          <w:rFonts w:hint="cs"/>
          <w:rtl/>
        </w:rPr>
        <w:t>يد الله مغلولة</w:t>
      </w:r>
      <w:r w:rsidR="0002035C" w:rsidRPr="00A52585">
        <w:rPr>
          <w:rFonts w:hint="cs"/>
          <w:rtl/>
        </w:rPr>
        <w:t>)</w:t>
      </w:r>
      <w:r w:rsidRPr="00A52585">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02035C" w:rsidRPr="00A52585">
        <w:rPr>
          <w:rFonts w:hint="cs"/>
          <w:rtl/>
        </w:rPr>
        <w:t>(</w:t>
      </w:r>
      <w:r w:rsidRPr="00A52585">
        <w:rPr>
          <w:rFonts w:hint="cs"/>
          <w:rtl/>
        </w:rPr>
        <w:t>بل يداه مبسوطتان</w:t>
      </w:r>
      <w:r w:rsidR="0002035C" w:rsidRPr="00A52585">
        <w:rPr>
          <w:rFonts w:hint="cs"/>
          <w:rtl/>
        </w:rPr>
        <w:t>)</w:t>
      </w:r>
      <w:r w:rsidRPr="00A52585">
        <w:rPr>
          <w:rFonts w:hint="cs"/>
          <w:rtl/>
        </w:rPr>
        <w:t xml:space="preserve"> أي بالخير وإفاضة النعم لمن شاء ولذلك قال </w:t>
      </w:r>
      <w:r w:rsidR="0002035C" w:rsidRPr="00A52585">
        <w:rPr>
          <w:rFonts w:hint="cs"/>
          <w:rtl/>
        </w:rPr>
        <w:t>(</w:t>
      </w:r>
      <w:r w:rsidRPr="00A52585">
        <w:rPr>
          <w:rFonts w:hint="cs"/>
          <w:rtl/>
        </w:rPr>
        <w:t>ينفق كيف يشاء</w:t>
      </w:r>
      <w:r w:rsidR="0002035C" w:rsidRPr="00A52585">
        <w:rPr>
          <w:rFonts w:hint="cs"/>
          <w:rtl/>
        </w:rPr>
        <w:t>)</w:t>
      </w:r>
      <w:r w:rsidRPr="00A52585">
        <w:rPr>
          <w:rFonts w:hint="cs"/>
          <w:rtl/>
        </w:rPr>
        <w:t xml:space="preserve"> فبين المراد به</w:t>
      </w:r>
      <w:r w:rsidR="00DB731D" w:rsidRPr="00A52585">
        <w:rPr>
          <w:rFonts w:hint="cs"/>
          <w:rtl/>
        </w:rPr>
        <w:t>،</w:t>
      </w:r>
      <w:r w:rsidRPr="00A52585">
        <w:rPr>
          <w:rFonts w:hint="cs"/>
          <w:rtl/>
        </w:rPr>
        <w:t xml:space="preserve"> وأما إرادة بسط الجوارح المعروف حقيقة فلا </w:t>
      </w:r>
      <w:proofErr w:type="spellStart"/>
      <w:r w:rsidRPr="00A52585">
        <w:rPr>
          <w:rFonts w:hint="cs"/>
          <w:rtl/>
        </w:rPr>
        <w:t>يتوهمه</w:t>
      </w:r>
      <w:proofErr w:type="spellEnd"/>
      <w:r w:rsidRPr="00A52585">
        <w:rPr>
          <w:rFonts w:hint="cs"/>
          <w:rtl/>
        </w:rPr>
        <w:t xml:space="preserve"> عاقل فضلا عن اعتقاده</w:t>
      </w:r>
      <w:r w:rsidR="00DB731D" w:rsidRPr="00A52585">
        <w:rPr>
          <w:rFonts w:hint="cs"/>
          <w:rtl/>
        </w:rPr>
        <w:t>،</w:t>
      </w:r>
      <w:r w:rsidR="0002035C" w:rsidRPr="00A52585">
        <w:rPr>
          <w:rFonts w:hint="cs"/>
          <w:rtl/>
        </w:rPr>
        <w:t xml:space="preserve"> </w:t>
      </w:r>
      <w:r w:rsidRPr="00A52585">
        <w:rPr>
          <w:rFonts w:hint="cs"/>
          <w:bCs/>
          <w:rtl/>
        </w:rPr>
        <w:t>فإن قيل</w:t>
      </w:r>
      <w:r w:rsidR="0002035C" w:rsidRPr="00A52585">
        <w:rPr>
          <w:rFonts w:hint="cs"/>
          <w:bCs/>
          <w:rtl/>
        </w:rPr>
        <w:t>:</w:t>
      </w:r>
      <w:r w:rsidRPr="00A52585">
        <w:rPr>
          <w:rFonts w:hint="cs"/>
          <w:bCs/>
          <w:rtl/>
        </w:rPr>
        <w:t xml:space="preserve"> </w:t>
      </w:r>
      <w:r w:rsidRPr="00A52585">
        <w:rPr>
          <w:rFonts w:hint="cs"/>
          <w:rtl/>
        </w:rPr>
        <w:t xml:space="preserve">إن كان المراد </w:t>
      </w:r>
      <w:proofErr w:type="spellStart"/>
      <w:r w:rsidRPr="00A52585">
        <w:rPr>
          <w:rFonts w:hint="cs"/>
          <w:rtl/>
        </w:rPr>
        <w:t>بخلقت</w:t>
      </w:r>
      <w:proofErr w:type="spellEnd"/>
      <w:r w:rsidRPr="00A52585">
        <w:rPr>
          <w:rFonts w:hint="cs"/>
          <w:rtl/>
        </w:rPr>
        <w:t xml:space="preserve"> بيدي القدرية لم يكن لآدم مزية لأن الخلق كلهم بقدرته</w:t>
      </w:r>
      <w:r w:rsidR="00DB731D" w:rsidRPr="00A52585">
        <w:rPr>
          <w:rFonts w:hint="cs"/>
          <w:rtl/>
        </w:rPr>
        <w:t>،</w:t>
      </w:r>
      <w:r w:rsidRPr="00A52585">
        <w:rPr>
          <w:rFonts w:hint="cs"/>
          <w:rtl/>
        </w:rPr>
        <w:t xml:space="preserve"> قلنا المراد مزيته بالخلق في الإكرام بالأنواع التي ذكرناها</w:t>
      </w:r>
      <w:r w:rsidR="00DB731D" w:rsidRPr="00A52585">
        <w:rPr>
          <w:rFonts w:hint="cs"/>
          <w:rtl/>
        </w:rPr>
        <w:t>،</w:t>
      </w:r>
      <w:r w:rsidRPr="00A52585">
        <w:rPr>
          <w:rFonts w:hint="cs"/>
          <w:rtl/>
        </w:rPr>
        <w:t xml:space="preserve"> وكذلك قوله تعالى </w:t>
      </w:r>
      <w:r w:rsidR="0002035C" w:rsidRPr="00A52585">
        <w:rPr>
          <w:rFonts w:hint="cs"/>
          <w:rtl/>
        </w:rPr>
        <w:t>(</w:t>
      </w:r>
      <w:r w:rsidRPr="00A52585">
        <w:rPr>
          <w:rFonts w:hint="cs"/>
          <w:rtl/>
        </w:rPr>
        <w:t>مما عملت أيدينا</w:t>
      </w:r>
      <w:r w:rsidR="0002035C" w:rsidRPr="00A52585">
        <w:rPr>
          <w:rFonts w:hint="cs"/>
          <w:rtl/>
        </w:rPr>
        <w:t>)</w:t>
      </w:r>
      <w:r w:rsidRPr="00A52585">
        <w:rPr>
          <w:rFonts w:hint="cs"/>
          <w:rtl/>
        </w:rPr>
        <w:t xml:space="preserve"> فليس لها مزية على غيرها باعتبار الخلق وحده بل </w:t>
      </w:r>
      <w:proofErr w:type="spellStart"/>
      <w:r w:rsidRPr="00A52585">
        <w:rPr>
          <w:rFonts w:hint="cs"/>
          <w:rtl/>
        </w:rPr>
        <w:t>بإعتبار</w:t>
      </w:r>
      <w:proofErr w:type="spellEnd"/>
      <w:r w:rsidRPr="00A52585">
        <w:rPr>
          <w:rFonts w:hint="cs"/>
          <w:rtl/>
        </w:rPr>
        <w:t xml:space="preserve"> ما جعل في خلقها من المنافع المعدومة في غيرها</w:t>
      </w:r>
      <w:r w:rsidR="00DB731D" w:rsidRPr="00A52585">
        <w:rPr>
          <w:rFonts w:hint="cs"/>
          <w:rtl/>
        </w:rPr>
        <w:t>،</w:t>
      </w:r>
      <w:r w:rsidRPr="00A52585">
        <w:rPr>
          <w:rFonts w:hint="cs"/>
          <w:rtl/>
        </w:rPr>
        <w:t xml:space="preserve"> فإن قيل فالقدرة شيء واحد لا يثنى ولا يجمع وقد ثنيت وجمعت</w:t>
      </w:r>
      <w:r w:rsidR="00DB731D" w:rsidRPr="00A52585">
        <w:rPr>
          <w:rFonts w:hint="cs"/>
          <w:rtl/>
        </w:rPr>
        <w:t>،</w:t>
      </w:r>
      <w:r w:rsidRPr="00A52585">
        <w:rPr>
          <w:rFonts w:hint="cs"/>
          <w:rtl/>
        </w:rPr>
        <w:t xml:space="preserve"> قلنا هذا غير ممنوع فقد نطقت العرب بذلك بقولهم مالك بذلك يدان</w:t>
      </w:r>
      <w:r w:rsidR="00DB731D" w:rsidRPr="00A52585">
        <w:rPr>
          <w:rFonts w:hint="cs"/>
          <w:rtl/>
        </w:rPr>
        <w:t>،</w:t>
      </w:r>
      <w:r w:rsidR="0002035C" w:rsidRPr="00A52585">
        <w:rPr>
          <w:rFonts w:hint="cs"/>
          <w:bCs/>
          <w:rtl/>
        </w:rPr>
        <w:t xml:space="preserve"> </w:t>
      </w:r>
      <w:r w:rsidRPr="00A52585">
        <w:rPr>
          <w:rFonts w:hint="cs"/>
          <w:rtl/>
        </w:rPr>
        <w:t>وفي الحديث عن يأجوج ومأجوج ما لأحد يدان بقتالهم</w:t>
      </w:r>
      <w:r w:rsidR="00DB731D" w:rsidRPr="00A52585">
        <w:rPr>
          <w:rFonts w:hint="cs"/>
          <w:rtl/>
        </w:rPr>
        <w:t>،</w:t>
      </w:r>
      <w:r w:rsidR="0002035C" w:rsidRPr="00A52585">
        <w:rPr>
          <w:rFonts w:hint="cs"/>
          <w:rtl/>
        </w:rPr>
        <w:t xml:space="preserve"> </w:t>
      </w:r>
      <w:r w:rsidRPr="00A52585">
        <w:rPr>
          <w:rFonts w:hint="cs"/>
          <w:rtl/>
        </w:rPr>
        <w:t>فثنوا عند قصد المبالغة ومنه</w:t>
      </w:r>
      <w:r w:rsidR="00DB731D" w:rsidRPr="00A52585">
        <w:rPr>
          <w:rFonts w:hint="cs"/>
          <w:rtl/>
        </w:rPr>
        <w:t>،</w:t>
      </w:r>
      <w:r w:rsidR="0002035C" w:rsidRPr="00A52585">
        <w:rPr>
          <w:rFonts w:hint="cs"/>
          <w:rtl/>
        </w:rPr>
        <w:t>(</w:t>
      </w:r>
      <w:r w:rsidRPr="00A52585">
        <w:rPr>
          <w:rFonts w:hint="cs"/>
          <w:rtl/>
        </w:rPr>
        <w:t>بين يدي نجواكم صدقة</w:t>
      </w:r>
      <w:r w:rsidR="0002035C" w:rsidRPr="00A52585">
        <w:rPr>
          <w:rFonts w:hint="cs"/>
          <w:rtl/>
        </w:rPr>
        <w:t>)</w:t>
      </w:r>
      <w:r w:rsidRPr="00A52585">
        <w:rPr>
          <w:rFonts w:hint="cs"/>
          <w:rtl/>
        </w:rPr>
        <w:t xml:space="preserve"> و </w:t>
      </w:r>
      <w:r w:rsidR="0002035C" w:rsidRPr="00A52585">
        <w:rPr>
          <w:rFonts w:hint="cs"/>
          <w:rtl/>
        </w:rPr>
        <w:t>(</w:t>
      </w:r>
      <w:r w:rsidRPr="00A52585">
        <w:rPr>
          <w:rFonts w:hint="cs"/>
          <w:rtl/>
        </w:rPr>
        <w:t>بين يدي رحمته</w:t>
      </w:r>
      <w:r w:rsidR="0002035C" w:rsidRPr="00A52585">
        <w:rPr>
          <w:rFonts w:hint="cs"/>
          <w:rtl/>
        </w:rPr>
        <w:t>)</w:t>
      </w:r>
      <w:r w:rsidRPr="00A52585">
        <w:rPr>
          <w:rFonts w:hint="cs"/>
          <w:rtl/>
        </w:rPr>
        <w:t xml:space="preserve"> وأيضا فقد جاء </w:t>
      </w:r>
      <w:r w:rsidR="0002035C" w:rsidRPr="00A52585">
        <w:rPr>
          <w:rFonts w:hint="cs"/>
          <w:rtl/>
        </w:rPr>
        <w:t>(</w:t>
      </w:r>
      <w:r w:rsidRPr="00A52585">
        <w:rPr>
          <w:rFonts w:hint="cs"/>
          <w:rtl/>
        </w:rPr>
        <w:t>يد الله)</w:t>
      </w:r>
      <w:r w:rsidR="0002035C" w:rsidRPr="00A52585">
        <w:rPr>
          <w:rFonts w:hint="cs"/>
          <w:rtl/>
        </w:rPr>
        <w:t xml:space="preserve"> </w:t>
      </w:r>
      <w:r w:rsidRPr="00A52585">
        <w:rPr>
          <w:rFonts w:hint="cs"/>
          <w:rtl/>
        </w:rPr>
        <w:t xml:space="preserve">وجاء </w:t>
      </w:r>
      <w:r w:rsidR="0002035C" w:rsidRPr="00A52585">
        <w:rPr>
          <w:rFonts w:hint="cs"/>
          <w:rtl/>
        </w:rPr>
        <w:t>(</w:t>
      </w:r>
      <w:r w:rsidRPr="00A52585">
        <w:rPr>
          <w:rFonts w:hint="cs"/>
          <w:rtl/>
        </w:rPr>
        <w:t>يداه مبسوطتان</w:t>
      </w:r>
      <w:r w:rsidR="0002035C" w:rsidRPr="00A52585">
        <w:rPr>
          <w:rFonts w:hint="cs"/>
          <w:rtl/>
        </w:rPr>
        <w:t>)</w:t>
      </w:r>
      <w:r w:rsidRPr="00A52585">
        <w:rPr>
          <w:rFonts w:hint="cs"/>
          <w:rtl/>
        </w:rPr>
        <w:t xml:space="preserve"> وجاء </w:t>
      </w:r>
      <w:r w:rsidR="0002035C" w:rsidRPr="00A52585">
        <w:rPr>
          <w:rFonts w:hint="cs"/>
          <w:rtl/>
        </w:rPr>
        <w:t>(</w:t>
      </w:r>
      <w:r w:rsidRPr="00A52585">
        <w:rPr>
          <w:rFonts w:hint="cs"/>
          <w:rtl/>
        </w:rPr>
        <w:t>بأيدينا</w:t>
      </w:r>
      <w:r w:rsidR="0002035C" w:rsidRPr="00A52585">
        <w:rPr>
          <w:rFonts w:hint="cs"/>
          <w:rtl/>
        </w:rPr>
        <w:t xml:space="preserve">) </w:t>
      </w:r>
      <w:r w:rsidRPr="00A52585">
        <w:rPr>
          <w:rFonts w:hint="cs"/>
          <w:bCs/>
          <w:rtl/>
        </w:rPr>
        <w:t>فلو لم يحمل على القدرة وحمل على الظاهر لزم من تصوير ذلك ما يتعالى الله عنه</w:t>
      </w:r>
      <w:r w:rsidR="0002035C" w:rsidRPr="00A52585">
        <w:rPr>
          <w:rFonts w:hint="cs"/>
          <w:rtl/>
        </w:rPr>
        <w:t xml:space="preserve"> </w:t>
      </w:r>
      <w:r w:rsidRPr="00A52585">
        <w:rPr>
          <w:rFonts w:hint="cs"/>
          <w:rtl/>
        </w:rPr>
        <w:t>وقول بعضهم إن اليدين في قوله تعالى (خلقت بيدي)</w:t>
      </w:r>
      <w:r w:rsidR="0002035C" w:rsidRPr="00A52585">
        <w:rPr>
          <w:rFonts w:hint="cs"/>
          <w:rtl/>
        </w:rPr>
        <w:t xml:space="preserve"> </w:t>
      </w:r>
      <w:r w:rsidRPr="00A52585">
        <w:rPr>
          <w:rFonts w:hint="cs"/>
          <w:rtl/>
        </w:rPr>
        <w:t>صفتان قائمتان بذات الرب تعالى والمسلم يعقل معناها فقد تقدم الجواب عنه والرد عليه "</w:t>
      </w:r>
      <w:r w:rsidR="0002035C" w:rsidRPr="00A52585">
        <w:rPr>
          <w:rFonts w:hint="cs"/>
          <w:rtl/>
        </w:rPr>
        <w:t>[</w:t>
      </w:r>
      <w:r w:rsidRPr="00A52585">
        <w:rPr>
          <w:rFonts w:hint="cs"/>
          <w:rtl/>
        </w:rPr>
        <w:t>ايضاح الدليل لابن جماعة] أهـــ</w:t>
      </w:r>
      <w:r w:rsidR="00DB731D" w:rsidRPr="00A52585">
        <w:rPr>
          <w:rFonts w:hint="cs"/>
          <w:rtl/>
        </w:rPr>
        <w:t>،</w:t>
      </w:r>
      <w:r w:rsidRPr="00A52585">
        <w:rPr>
          <w:rFonts w:hint="cs"/>
          <w:rtl/>
        </w:rPr>
        <w:t xml:space="preserve"> </w:t>
      </w:r>
      <w:r w:rsidRPr="00A52585">
        <w:rPr>
          <w:rFonts w:hint="cs"/>
          <w:bCs/>
          <w:rtl/>
        </w:rPr>
        <w:t>وقال الإمام الحنبلي مرعي بن يوسف في كتابه أقاويل الثقات</w:t>
      </w:r>
      <w:r w:rsidR="0002035C" w:rsidRPr="00A52585">
        <w:rPr>
          <w:rFonts w:hint="cs"/>
          <w:bCs/>
          <w:rtl/>
        </w:rPr>
        <w:t>:</w:t>
      </w:r>
      <w:r w:rsidRPr="00A52585">
        <w:rPr>
          <w:rFonts w:hint="cs"/>
          <w:bCs/>
          <w:rtl/>
          <w:lang w:eastAsia="ar-SA"/>
        </w:rPr>
        <w:t xml:space="preserve"> </w:t>
      </w:r>
      <w:r w:rsidRPr="00A52585">
        <w:rPr>
          <w:rFonts w:hint="cs"/>
          <w:rtl/>
        </w:rPr>
        <w:t xml:space="preserve">" </w:t>
      </w:r>
      <w:r w:rsidRPr="00A52585">
        <w:rPr>
          <w:rFonts w:hint="cs"/>
          <w:bCs/>
          <w:rtl/>
        </w:rPr>
        <w:lastRenderedPageBreak/>
        <w:t>ومن المتشابه</w:t>
      </w:r>
      <w:r w:rsidRPr="00A52585">
        <w:rPr>
          <w:rFonts w:hint="cs"/>
          <w:bCs/>
        </w:rPr>
        <w:t xml:space="preserve"> </w:t>
      </w:r>
      <w:r w:rsidRPr="00A52585">
        <w:rPr>
          <w:rFonts w:hint="cs"/>
          <w:bCs/>
          <w:rtl/>
        </w:rPr>
        <w:t>اليد</w:t>
      </w:r>
      <w:r w:rsidRPr="00A52585">
        <w:rPr>
          <w:rFonts w:hint="cs"/>
          <w:rtl/>
        </w:rPr>
        <w:t xml:space="preserve"> في قوله تعالى </w:t>
      </w:r>
      <w:r w:rsidR="0002035C" w:rsidRPr="00A52585">
        <w:rPr>
          <w:rFonts w:hint="cs"/>
          <w:rtl/>
        </w:rPr>
        <w:t>(</w:t>
      </w:r>
      <w:r w:rsidRPr="00A52585">
        <w:rPr>
          <w:rFonts w:hint="cs"/>
          <w:rtl/>
        </w:rPr>
        <w:t>يد</w:t>
      </w:r>
      <w:r w:rsidRPr="00A52585">
        <w:rPr>
          <w:rFonts w:hint="cs"/>
        </w:rPr>
        <w:t xml:space="preserve"> </w:t>
      </w:r>
      <w:r w:rsidRPr="00A52585">
        <w:rPr>
          <w:rFonts w:hint="cs"/>
          <w:rtl/>
        </w:rPr>
        <w:t>الله فوق</w:t>
      </w:r>
      <w:r w:rsidRPr="00A52585">
        <w:rPr>
          <w:rFonts w:hint="cs"/>
        </w:rPr>
        <w:t xml:space="preserve"> </w:t>
      </w:r>
      <w:r w:rsidRPr="00A52585">
        <w:rPr>
          <w:rFonts w:hint="cs"/>
          <w:rtl/>
        </w:rPr>
        <w:t>أيديهم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الفتح</w:t>
      </w:r>
      <w:r w:rsidRPr="00A52585">
        <w:rPr>
          <w:rFonts w:hint="cs"/>
        </w:rPr>
        <w:t xml:space="preserve"> </w:t>
      </w:r>
      <w:r w:rsidRPr="00A52585">
        <w:rPr>
          <w:rFonts w:hint="cs"/>
          <w:rtl/>
        </w:rPr>
        <w:t>10]</w:t>
      </w:r>
      <w:r w:rsidR="0002035C" w:rsidRPr="00A52585">
        <w:rPr>
          <w:rFonts w:hint="cs"/>
          <w:rtl/>
        </w:rPr>
        <w:t xml:space="preserve"> (</w:t>
      </w:r>
      <w:r w:rsidRPr="00A52585">
        <w:rPr>
          <w:rFonts w:hint="cs"/>
          <w:rtl/>
        </w:rPr>
        <w:t>لما</w:t>
      </w:r>
      <w:r w:rsidRPr="00A52585">
        <w:rPr>
          <w:rFonts w:hint="cs"/>
        </w:rPr>
        <w:t xml:space="preserve"> </w:t>
      </w:r>
      <w:r w:rsidRPr="00A52585">
        <w:rPr>
          <w:rFonts w:hint="cs"/>
          <w:rtl/>
        </w:rPr>
        <w:t>خلقت بيدي</w:t>
      </w:r>
      <w:r w:rsidR="0002035C" w:rsidRPr="00A52585">
        <w:rPr>
          <w:rFonts w:hint="cs"/>
          <w:rtl/>
        </w:rPr>
        <w:t>)</w:t>
      </w:r>
      <w:r w:rsidRPr="00A52585">
        <w:rPr>
          <w:rFonts w:hint="cs"/>
          <w:rtl/>
        </w:rPr>
        <w:t xml:space="preserve"> [ص</w:t>
      </w:r>
      <w:r w:rsidRPr="00A52585">
        <w:rPr>
          <w:rFonts w:hint="cs"/>
        </w:rPr>
        <w:t xml:space="preserve"> </w:t>
      </w:r>
      <w:r w:rsidRPr="00A52585">
        <w:rPr>
          <w:rFonts w:hint="cs"/>
          <w:rtl/>
        </w:rPr>
        <w:t>75]</w:t>
      </w:r>
      <w:r w:rsidR="0002035C" w:rsidRPr="00A52585">
        <w:rPr>
          <w:rFonts w:hint="cs"/>
          <w:rtl/>
        </w:rPr>
        <w:t xml:space="preserve"> (</w:t>
      </w:r>
      <w:r w:rsidRPr="00A52585">
        <w:rPr>
          <w:rFonts w:hint="cs"/>
          <w:rtl/>
        </w:rPr>
        <w:t>بل</w:t>
      </w:r>
      <w:r w:rsidRPr="00A52585">
        <w:rPr>
          <w:rFonts w:hint="cs"/>
        </w:rPr>
        <w:t xml:space="preserve"> </w:t>
      </w:r>
      <w:r w:rsidRPr="00A52585">
        <w:rPr>
          <w:rFonts w:hint="cs"/>
          <w:rtl/>
        </w:rPr>
        <w:t>يداه مبسوطتان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المائدة</w:t>
      </w:r>
      <w:r w:rsidRPr="00A52585">
        <w:rPr>
          <w:rFonts w:hint="cs"/>
        </w:rPr>
        <w:t xml:space="preserve"> </w:t>
      </w:r>
      <w:r w:rsidRPr="00A52585">
        <w:rPr>
          <w:rFonts w:hint="cs"/>
          <w:rtl/>
        </w:rPr>
        <w:t>64]</w:t>
      </w:r>
      <w:r w:rsidR="0002035C" w:rsidRPr="00A52585">
        <w:rPr>
          <w:rFonts w:hint="cs"/>
          <w:rtl/>
        </w:rPr>
        <w:t>)</w:t>
      </w:r>
      <w:r w:rsidRPr="00A52585">
        <w:t xml:space="preserve"> </w:t>
      </w:r>
      <w:r w:rsidRPr="00A52585">
        <w:rPr>
          <w:rFonts w:hint="cs"/>
          <w:rtl/>
        </w:rPr>
        <w:t>مما</w:t>
      </w:r>
      <w:r w:rsidRPr="00A52585">
        <w:rPr>
          <w:rFonts w:hint="cs"/>
        </w:rPr>
        <w:t xml:space="preserve"> </w:t>
      </w:r>
      <w:r w:rsidRPr="00A52585">
        <w:rPr>
          <w:rFonts w:hint="cs"/>
          <w:rtl/>
        </w:rPr>
        <w:t>عملت أيدينا</w:t>
      </w:r>
      <w:r w:rsidR="0002035C" w:rsidRPr="00A52585">
        <w:rPr>
          <w:rtl/>
        </w:rPr>
        <w:t>(</w:t>
      </w:r>
      <w:r w:rsidR="0002035C" w:rsidRPr="00A52585">
        <w:rPr>
          <w:rFonts w:hint="cs"/>
          <w:rtl/>
        </w:rPr>
        <w:t>[</w:t>
      </w:r>
      <w:r w:rsidRPr="00A52585">
        <w:rPr>
          <w:rFonts w:hint="cs"/>
          <w:rtl/>
        </w:rPr>
        <w:t>يس</w:t>
      </w:r>
      <w:r w:rsidRPr="00A52585">
        <w:rPr>
          <w:rFonts w:hint="cs"/>
        </w:rPr>
        <w:t xml:space="preserve"> </w:t>
      </w:r>
      <w:r w:rsidRPr="00A52585">
        <w:rPr>
          <w:rFonts w:hint="cs"/>
          <w:rtl/>
        </w:rPr>
        <w:t>71</w:t>
      </w:r>
      <w:r w:rsidR="0002035C" w:rsidRPr="00A52585">
        <w:rPr>
          <w:rFonts w:hint="cs"/>
          <w:rtl/>
        </w:rPr>
        <w:t>] (</w:t>
      </w:r>
      <w:r w:rsidRPr="00A52585">
        <w:rPr>
          <w:rFonts w:hint="cs"/>
          <w:rtl/>
        </w:rPr>
        <w:t>قل</w:t>
      </w:r>
      <w:r w:rsidRPr="00A52585">
        <w:rPr>
          <w:rFonts w:hint="cs"/>
        </w:rPr>
        <w:t xml:space="preserve"> </w:t>
      </w:r>
      <w:r w:rsidRPr="00A52585">
        <w:rPr>
          <w:rFonts w:hint="cs"/>
          <w:rtl/>
        </w:rPr>
        <w:t>إن الفضل بيد</w:t>
      </w:r>
      <w:r w:rsidRPr="00A52585">
        <w:rPr>
          <w:rFonts w:hint="cs"/>
        </w:rPr>
        <w:t xml:space="preserve"> </w:t>
      </w:r>
      <w:r w:rsidRPr="00A52585">
        <w:rPr>
          <w:rFonts w:hint="cs"/>
          <w:rtl/>
        </w:rPr>
        <w:t>الله</w:t>
      </w:r>
      <w:r w:rsidR="0002035C" w:rsidRPr="00A52585">
        <w:rPr>
          <w:rFonts w:hint="cs"/>
          <w:rtl/>
        </w:rPr>
        <w:t>)</w:t>
      </w:r>
      <w:r w:rsidRPr="00A52585">
        <w:rPr>
          <w:rFonts w:hint="cs"/>
        </w:rPr>
        <w:t xml:space="preserve"> </w:t>
      </w:r>
      <w:r w:rsidR="0002035C" w:rsidRPr="00A52585">
        <w:rPr>
          <w:rFonts w:hint="cs"/>
          <w:rtl/>
        </w:rPr>
        <w:t>[</w:t>
      </w:r>
      <w:r w:rsidRPr="00A52585">
        <w:rPr>
          <w:rFonts w:hint="cs"/>
          <w:rtl/>
        </w:rPr>
        <w:t>آل</w:t>
      </w:r>
      <w:r w:rsidRPr="00A52585">
        <w:rPr>
          <w:rFonts w:hint="cs"/>
        </w:rPr>
        <w:t xml:space="preserve"> </w:t>
      </w:r>
      <w:r w:rsidRPr="00A52585">
        <w:rPr>
          <w:rFonts w:hint="cs"/>
          <w:rtl/>
        </w:rPr>
        <w:t>عمران 73</w:t>
      </w:r>
      <w:r w:rsidR="0002035C" w:rsidRPr="00A52585">
        <w:rPr>
          <w:rFonts w:hint="cs"/>
          <w:rtl/>
        </w:rPr>
        <w:t xml:space="preserve">] </w:t>
      </w:r>
      <w:r w:rsidRPr="00A52585">
        <w:rPr>
          <w:rFonts w:hint="cs"/>
          <w:rtl/>
        </w:rPr>
        <w:t>وتأويله</w:t>
      </w:r>
      <w:r w:rsidRPr="00A52585">
        <w:rPr>
          <w:rFonts w:hint="cs"/>
        </w:rPr>
        <w:t xml:space="preserve"> </w:t>
      </w:r>
      <w:r w:rsidRPr="00A52585">
        <w:rPr>
          <w:rFonts w:hint="cs"/>
          <w:rtl/>
        </w:rPr>
        <w:t>أن المراد باليد القدرة</w:t>
      </w:r>
      <w:r w:rsidR="0002035C" w:rsidRPr="00A52585">
        <w:rPr>
          <w:rFonts w:hint="cs"/>
          <w:rtl/>
        </w:rPr>
        <w:t xml:space="preserve"> </w:t>
      </w:r>
      <w:r w:rsidRPr="00A52585">
        <w:rPr>
          <w:rFonts w:hint="cs"/>
          <w:rtl/>
        </w:rPr>
        <w:t>وقال</w:t>
      </w:r>
      <w:r w:rsidRPr="00A52585">
        <w:rPr>
          <w:rFonts w:hint="cs"/>
        </w:rPr>
        <w:t xml:space="preserve"> </w:t>
      </w:r>
      <w:r w:rsidRPr="00A52585">
        <w:rPr>
          <w:rFonts w:hint="cs"/>
          <w:rtl/>
        </w:rPr>
        <w:t>الأشعري اليد صفة ورد بها الشرع والذي</w:t>
      </w:r>
      <w:r w:rsidRPr="00A52585">
        <w:rPr>
          <w:rFonts w:hint="cs"/>
        </w:rPr>
        <w:t xml:space="preserve"> </w:t>
      </w:r>
      <w:r w:rsidRPr="00A52585">
        <w:rPr>
          <w:rFonts w:hint="cs"/>
          <w:rtl/>
        </w:rPr>
        <w:t>يلوح من معنى هذه الصفة أنها قريبة من معنى القدرة إلا أنها أخص والقدرة أعم كالمحبة</w:t>
      </w:r>
      <w:r w:rsidRPr="00A52585">
        <w:rPr>
          <w:rFonts w:hint="cs"/>
        </w:rPr>
        <w:t xml:space="preserve"> </w:t>
      </w:r>
      <w:r w:rsidRPr="00A52585">
        <w:rPr>
          <w:rFonts w:hint="cs"/>
          <w:rtl/>
        </w:rPr>
        <w:t>مع الإرادة والمشيئة فإن في اليد تشريفا لازما</w:t>
      </w:r>
      <w:r w:rsidR="00DB731D" w:rsidRPr="00A52585">
        <w:rPr>
          <w:rFonts w:hint="cs"/>
          <w:rtl/>
        </w:rPr>
        <w:t>،</w:t>
      </w:r>
      <w:r w:rsidR="0002035C" w:rsidRPr="00A52585">
        <w:rPr>
          <w:rFonts w:hint="cs"/>
          <w:rtl/>
        </w:rPr>
        <w:t xml:space="preserve"> </w:t>
      </w:r>
      <w:r w:rsidRPr="00A52585">
        <w:rPr>
          <w:rFonts w:hint="cs"/>
          <w:bCs/>
          <w:rtl/>
        </w:rPr>
        <w:t>وقال البيهقي</w:t>
      </w:r>
      <w:r w:rsidRPr="00A52585">
        <w:rPr>
          <w:rFonts w:hint="cs"/>
          <w:rtl/>
        </w:rPr>
        <w:t xml:space="preserve"> في كتاب الأسماء والصفات باب ما جاء في إثبات اليدين صفتين لا من حيث الجارحة قال الله </w:t>
      </w:r>
      <w:r w:rsidR="0002035C" w:rsidRPr="00A52585">
        <w:rPr>
          <w:rFonts w:hint="cs"/>
          <w:rtl/>
        </w:rPr>
        <w:t>(</w:t>
      </w:r>
      <w:r w:rsidRPr="00A52585">
        <w:rPr>
          <w:rFonts w:hint="cs"/>
          <w:rtl/>
        </w:rPr>
        <w:t>يا إبليس ما منعك أن تسجد لما خلقت بيدي</w:t>
      </w:r>
      <w:r w:rsidR="0002035C" w:rsidRPr="00A52585">
        <w:rPr>
          <w:rFonts w:hint="cs"/>
          <w:rtl/>
        </w:rPr>
        <w:t xml:space="preserve">) </w:t>
      </w:r>
      <w:r w:rsidRPr="00A52585">
        <w:rPr>
          <w:rFonts w:hint="cs"/>
          <w:rtl/>
        </w:rPr>
        <w:t>[ص</w:t>
      </w:r>
      <w:r w:rsidR="0002035C" w:rsidRPr="00A52585">
        <w:rPr>
          <w:rFonts w:hint="cs"/>
          <w:rtl/>
        </w:rPr>
        <w:t>:</w:t>
      </w:r>
      <w:r w:rsidRPr="00A52585">
        <w:rPr>
          <w:rFonts w:hint="cs"/>
          <w:rtl/>
        </w:rPr>
        <w:t xml:space="preserve"> 75</w:t>
      </w:r>
      <w:r w:rsidR="0002035C" w:rsidRPr="00A52585">
        <w:rPr>
          <w:rFonts w:hint="cs"/>
          <w:rtl/>
        </w:rPr>
        <w:t xml:space="preserve">] </w:t>
      </w:r>
      <w:r w:rsidRPr="00A52585">
        <w:rPr>
          <w:rFonts w:hint="cs"/>
          <w:rtl/>
        </w:rPr>
        <w:t>وقال</w:t>
      </w:r>
      <w:r w:rsidR="0002035C" w:rsidRPr="00A52585">
        <w:rPr>
          <w:rFonts w:hint="cs"/>
          <w:rtl/>
        </w:rPr>
        <w:t xml:space="preserve"> {</w:t>
      </w:r>
      <w:r w:rsidRPr="00A52585">
        <w:rPr>
          <w:rFonts w:hint="cs"/>
          <w:rtl/>
        </w:rPr>
        <w:t>بل يداه مبسوطتان</w:t>
      </w:r>
      <w:r w:rsidR="0002035C" w:rsidRPr="00A52585">
        <w:rPr>
          <w:rFonts w:hint="cs"/>
          <w:rtl/>
        </w:rPr>
        <w:t>} [</w:t>
      </w:r>
      <w:r w:rsidRPr="00A52585">
        <w:rPr>
          <w:rFonts w:hint="cs"/>
          <w:rtl/>
        </w:rPr>
        <w:t>المائدة</w:t>
      </w:r>
      <w:r w:rsidR="0002035C" w:rsidRPr="00A52585">
        <w:rPr>
          <w:rFonts w:hint="cs"/>
          <w:rtl/>
        </w:rPr>
        <w:t>:</w:t>
      </w:r>
      <w:r w:rsidRPr="00A52585">
        <w:rPr>
          <w:rFonts w:hint="cs"/>
          <w:rtl/>
          <w:lang w:bidi="ar-KW"/>
        </w:rPr>
        <w:t xml:space="preserve"> </w:t>
      </w:r>
      <w:r w:rsidRPr="00A52585">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DB731D" w:rsidRPr="00A52585">
        <w:rPr>
          <w:rFonts w:hint="cs"/>
          <w:rtl/>
        </w:rPr>
        <w:t>،</w:t>
      </w:r>
      <w:r w:rsidRPr="00A52585">
        <w:rPr>
          <w:rFonts w:hint="cs"/>
          <w:rtl/>
        </w:rPr>
        <w:t xml:space="preserve"> </w:t>
      </w:r>
      <w:r w:rsidRPr="00A52585">
        <w:rPr>
          <w:rFonts w:hint="cs"/>
          <w:bCs/>
          <w:rtl/>
        </w:rPr>
        <w:t>وقال البيهقي</w:t>
      </w:r>
      <w:r w:rsidRPr="00A52585">
        <w:rPr>
          <w:rFonts w:hint="cs"/>
          <w:rtl/>
        </w:rPr>
        <w:t xml:space="preserve"> قال بعض أهل النظر قد تكون اليد بمعنى القوة كقوله </w:t>
      </w:r>
      <w:r w:rsidR="0002035C" w:rsidRPr="00A52585">
        <w:rPr>
          <w:rFonts w:hint="cs"/>
          <w:rtl/>
        </w:rPr>
        <w:t>{</w:t>
      </w:r>
      <w:r w:rsidRPr="00A52585">
        <w:rPr>
          <w:rFonts w:hint="cs"/>
          <w:rtl/>
        </w:rPr>
        <w:t>داود ذا الأيد</w:t>
      </w:r>
      <w:r w:rsidR="0002035C" w:rsidRPr="00A52585">
        <w:rPr>
          <w:rFonts w:hint="cs"/>
          <w:rtl/>
        </w:rPr>
        <w:t>} [</w:t>
      </w:r>
      <w:r w:rsidRPr="00A52585">
        <w:rPr>
          <w:rFonts w:hint="cs"/>
          <w:rtl/>
        </w:rPr>
        <w:t>ص</w:t>
      </w:r>
      <w:r w:rsidR="0002035C" w:rsidRPr="00A52585">
        <w:rPr>
          <w:rFonts w:hint="cs"/>
          <w:rtl/>
        </w:rPr>
        <w:t>:</w:t>
      </w:r>
      <w:r w:rsidRPr="00A52585">
        <w:rPr>
          <w:rFonts w:hint="cs"/>
          <w:rtl/>
        </w:rPr>
        <w:t xml:space="preserve"> 17</w:t>
      </w:r>
      <w:r w:rsidR="0002035C" w:rsidRPr="00A52585">
        <w:rPr>
          <w:rFonts w:hint="cs"/>
          <w:rtl/>
        </w:rPr>
        <w:t>]</w:t>
      </w:r>
      <w:r w:rsidRPr="00A52585">
        <w:rPr>
          <w:rFonts w:hint="cs"/>
          <w:rtl/>
        </w:rPr>
        <w:t xml:space="preserve"> ذا القوة وبمعنى الملك والقدرة كقوله</w:t>
      </w:r>
      <w:r w:rsidR="0002035C" w:rsidRPr="00A52585">
        <w:rPr>
          <w:rFonts w:hint="cs"/>
          <w:rtl/>
        </w:rPr>
        <w:t xml:space="preserve"> {</w:t>
      </w:r>
      <w:r w:rsidRPr="00A52585">
        <w:rPr>
          <w:rFonts w:hint="cs"/>
          <w:rtl/>
        </w:rPr>
        <w:t>إن الفضل بيد الله</w:t>
      </w:r>
      <w:r w:rsidR="0002035C" w:rsidRPr="00A52585">
        <w:rPr>
          <w:rFonts w:hint="cs"/>
          <w:rtl/>
        </w:rPr>
        <w:t>} [</w:t>
      </w:r>
      <w:r w:rsidRPr="00A52585">
        <w:rPr>
          <w:rFonts w:hint="cs"/>
          <w:rtl/>
        </w:rPr>
        <w:t>آل عمران</w:t>
      </w:r>
      <w:r w:rsidR="0002035C" w:rsidRPr="00A52585">
        <w:rPr>
          <w:rFonts w:hint="cs"/>
          <w:rtl/>
        </w:rPr>
        <w:t xml:space="preserve">: </w:t>
      </w:r>
      <w:r w:rsidRPr="00A52585">
        <w:rPr>
          <w:rFonts w:hint="cs"/>
          <w:rtl/>
        </w:rPr>
        <w:t>73</w:t>
      </w:r>
      <w:r w:rsidR="0002035C" w:rsidRPr="00A52585">
        <w:rPr>
          <w:rFonts w:hint="cs"/>
          <w:rtl/>
        </w:rPr>
        <w:t xml:space="preserve">] </w:t>
      </w:r>
      <w:r w:rsidRPr="00A52585">
        <w:rPr>
          <w:rFonts w:hint="cs"/>
          <w:rtl/>
        </w:rPr>
        <w:t>وبمعنى النعمة كقولهم لي عند فلان يد وتكون صلة أي زائدة كقوله</w:t>
      </w:r>
      <w:r w:rsidR="0002035C" w:rsidRPr="00A52585">
        <w:rPr>
          <w:rFonts w:hint="cs"/>
          <w:rtl/>
        </w:rPr>
        <w:t xml:space="preserve"> {</w:t>
      </w:r>
      <w:r w:rsidRPr="00A52585">
        <w:rPr>
          <w:rFonts w:hint="cs"/>
          <w:rtl/>
        </w:rPr>
        <w:t>مما عملت أيدينا أنعاما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يس</w:t>
      </w:r>
      <w:r w:rsidR="0002035C" w:rsidRPr="00A52585">
        <w:rPr>
          <w:rFonts w:hint="cs"/>
          <w:rtl/>
        </w:rPr>
        <w:t>:</w:t>
      </w:r>
      <w:r w:rsidRPr="00A52585">
        <w:rPr>
          <w:rFonts w:hint="cs"/>
          <w:rtl/>
        </w:rPr>
        <w:t xml:space="preserve"> 71</w:t>
      </w:r>
      <w:r w:rsidR="0002035C" w:rsidRPr="00A52585">
        <w:rPr>
          <w:rFonts w:hint="cs"/>
          <w:rtl/>
        </w:rPr>
        <w:t>]</w:t>
      </w:r>
      <w:r w:rsidRPr="00A52585">
        <w:rPr>
          <w:rFonts w:hint="cs"/>
          <w:rtl/>
        </w:rPr>
        <w:t xml:space="preserve"> أي مما عملناه نحن وبمعنى الجارحة كقوله </w:t>
      </w:r>
      <w:r w:rsidR="0002035C" w:rsidRPr="00A52585">
        <w:rPr>
          <w:rFonts w:hint="cs"/>
          <w:rtl/>
        </w:rPr>
        <w:t>{</w:t>
      </w:r>
      <w:r w:rsidRPr="00A52585">
        <w:rPr>
          <w:rFonts w:hint="cs"/>
          <w:rtl/>
        </w:rPr>
        <w:t>وخذ بيدك ضغثا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ص</w:t>
      </w:r>
      <w:r w:rsidR="0002035C" w:rsidRPr="00A52585">
        <w:rPr>
          <w:rFonts w:hint="cs"/>
          <w:rtl/>
        </w:rPr>
        <w:t>:</w:t>
      </w:r>
      <w:r w:rsidRPr="00A52585">
        <w:rPr>
          <w:rFonts w:hint="cs"/>
          <w:rtl/>
        </w:rPr>
        <w:t xml:space="preserve"> 44</w:t>
      </w:r>
      <w:r w:rsidR="0002035C" w:rsidRPr="00A52585">
        <w:rPr>
          <w:rFonts w:hint="cs"/>
          <w:rtl/>
        </w:rPr>
        <w:t xml:space="preserve">] </w:t>
      </w:r>
      <w:r w:rsidRPr="00A52585">
        <w:rPr>
          <w:rFonts w:hint="cs"/>
          <w:rtl/>
        </w:rPr>
        <w:t xml:space="preserve">قال فأما قوله </w:t>
      </w:r>
      <w:r w:rsidR="0002035C" w:rsidRPr="00A52585">
        <w:rPr>
          <w:rFonts w:hint="cs"/>
          <w:rtl/>
        </w:rPr>
        <w:t>{</w:t>
      </w:r>
      <w:r w:rsidRPr="00A52585">
        <w:rPr>
          <w:rFonts w:hint="cs"/>
          <w:rtl/>
        </w:rPr>
        <w:t>لما خلقت بيدي</w:t>
      </w:r>
      <w:r w:rsidR="0002035C" w:rsidRPr="00A52585">
        <w:rPr>
          <w:rFonts w:hint="cs"/>
          <w:rtl/>
        </w:rPr>
        <w:t>}</w:t>
      </w:r>
      <w:r w:rsidRPr="00A52585">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02035C" w:rsidRPr="00A52585">
        <w:rPr>
          <w:rFonts w:hint="cs"/>
          <w:rtl/>
        </w:rPr>
        <w:t xml:space="preserve"> </w:t>
      </w:r>
      <w:r w:rsidRPr="00A52585">
        <w:rPr>
          <w:rFonts w:hint="cs"/>
          <w:rtl/>
        </w:rPr>
        <w:t>لما خلقت بيدي</w:t>
      </w:r>
      <w:r w:rsidR="0002035C" w:rsidRPr="00A52585">
        <w:rPr>
          <w:rFonts w:hint="cs"/>
          <w:rtl/>
        </w:rPr>
        <w:t xml:space="preserve"> </w:t>
      </w:r>
      <w:r w:rsidRPr="00A52585">
        <w:rPr>
          <w:rFonts w:hint="cs"/>
          <w:rtl/>
        </w:rPr>
        <w:t xml:space="preserve">انتهى </w:t>
      </w:r>
      <w:r w:rsidR="0002035C" w:rsidRPr="00A52585">
        <w:rPr>
          <w:rFonts w:hint="cs"/>
          <w:rtl/>
        </w:rPr>
        <w:t>(</w:t>
      </w:r>
      <w:r w:rsidRPr="00A52585">
        <w:rPr>
          <w:rFonts w:hint="cs"/>
          <w:rtl/>
        </w:rPr>
        <w:t>أي كلام البيهقي</w:t>
      </w:r>
      <w:r w:rsidR="0002035C" w:rsidRPr="00A52585">
        <w:rPr>
          <w:rFonts w:hint="cs"/>
          <w:rtl/>
        </w:rPr>
        <w:t xml:space="preserve">) </w:t>
      </w:r>
      <w:r w:rsidRPr="00A52585">
        <w:rPr>
          <w:rFonts w:hint="cs"/>
          <w:rtl/>
        </w:rPr>
        <w:t>تنبيه</w:t>
      </w:r>
      <w:r w:rsidR="0002035C" w:rsidRPr="00A52585">
        <w:rPr>
          <w:rFonts w:hint="cs"/>
          <w:rtl/>
        </w:rPr>
        <w:t xml:space="preserve"> </w:t>
      </w:r>
      <w:r w:rsidRPr="00A52585">
        <w:rPr>
          <w:rFonts w:hint="cs"/>
          <w:rtl/>
        </w:rPr>
        <w:t xml:space="preserve">من هذا النمط حديث الترمذي وابن ماجه </w:t>
      </w:r>
      <w:r w:rsidR="0002035C" w:rsidRPr="00A52585">
        <w:rPr>
          <w:rFonts w:hint="cs"/>
          <w:rtl/>
        </w:rPr>
        <w:t>(</w:t>
      </w:r>
      <w:r w:rsidRPr="00A52585">
        <w:rPr>
          <w:rFonts w:hint="cs"/>
          <w:rtl/>
        </w:rPr>
        <w:t>إن الله تعالى لما خلق الخلق كتب بيده على نفسه إن رحمتي تغلب غضبي</w:t>
      </w:r>
      <w:r w:rsidR="0002035C" w:rsidRPr="00A52585">
        <w:rPr>
          <w:rFonts w:hint="cs"/>
          <w:rtl/>
        </w:rPr>
        <w:t>)</w:t>
      </w:r>
      <w:r w:rsidRPr="00A52585">
        <w:rPr>
          <w:rFonts w:hint="cs"/>
          <w:rtl/>
        </w:rPr>
        <w:t xml:space="preserve"> وفي حديث آخر </w:t>
      </w:r>
      <w:r w:rsidR="0002035C" w:rsidRPr="00A52585">
        <w:rPr>
          <w:rFonts w:hint="cs"/>
          <w:rtl/>
        </w:rPr>
        <w:t>(</w:t>
      </w:r>
      <w:r w:rsidRPr="00A52585">
        <w:rPr>
          <w:rFonts w:hint="cs"/>
          <w:rtl/>
        </w:rPr>
        <w:t>إن الله تعالى خلق ثلاثة أشياء بيده خلق آدم بيده وكتب التوراة بيده وغرس الفردوس بيده</w:t>
      </w:r>
      <w:r w:rsidR="0002035C" w:rsidRPr="00A52585">
        <w:rPr>
          <w:rFonts w:hint="cs"/>
          <w:rtl/>
        </w:rPr>
        <w:t xml:space="preserve">) </w:t>
      </w:r>
      <w:r w:rsidRPr="00A52585">
        <w:rPr>
          <w:rFonts w:hint="cs"/>
          <w:rtl/>
        </w:rPr>
        <w:t xml:space="preserve">وحديث أحمد ومسلم </w:t>
      </w:r>
      <w:r w:rsidR="0002035C" w:rsidRPr="00A52585">
        <w:rPr>
          <w:rFonts w:hint="cs"/>
          <w:rtl/>
        </w:rPr>
        <w:t>(</w:t>
      </w:r>
      <w:r w:rsidRPr="00A52585">
        <w:rPr>
          <w:rFonts w:hint="cs"/>
          <w:rtl/>
        </w:rPr>
        <w:t xml:space="preserve">إن الله تعالى يبسط يده بالليل ليتوب </w:t>
      </w:r>
      <w:proofErr w:type="spellStart"/>
      <w:r w:rsidRPr="00A52585">
        <w:rPr>
          <w:rFonts w:hint="cs"/>
          <w:rtl/>
        </w:rPr>
        <w:t>مسييء</w:t>
      </w:r>
      <w:proofErr w:type="spellEnd"/>
      <w:r w:rsidRPr="00A52585">
        <w:rPr>
          <w:rFonts w:hint="cs"/>
          <w:rtl/>
        </w:rPr>
        <w:t xml:space="preserve"> النهار ويبسط يده بالنهار ليتوب مسيئ الليل</w:t>
      </w:r>
      <w:r w:rsidR="0002035C" w:rsidRPr="00A52585">
        <w:rPr>
          <w:rFonts w:hint="cs"/>
          <w:rtl/>
        </w:rPr>
        <w:t xml:space="preserve">) </w:t>
      </w:r>
      <w:r w:rsidRPr="00A52585">
        <w:rPr>
          <w:rFonts w:hint="cs"/>
          <w:bCs/>
          <w:rtl/>
        </w:rPr>
        <w:t>قيل</w:t>
      </w:r>
      <w:r w:rsidRPr="00A52585">
        <w:rPr>
          <w:rFonts w:hint="cs"/>
          <w:bCs/>
        </w:rPr>
        <w:t xml:space="preserve"> </w:t>
      </w:r>
      <w:r w:rsidRPr="00A52585">
        <w:rPr>
          <w:rFonts w:hint="cs"/>
          <w:bCs/>
          <w:rtl/>
        </w:rPr>
        <w:t>بسط اليد</w:t>
      </w:r>
      <w:r w:rsidRPr="00A52585">
        <w:rPr>
          <w:rFonts w:hint="cs"/>
          <w:bCs/>
        </w:rPr>
        <w:t xml:space="preserve"> </w:t>
      </w:r>
      <w:r w:rsidRPr="00A52585">
        <w:rPr>
          <w:rFonts w:hint="cs"/>
          <w:bCs/>
          <w:rtl/>
        </w:rPr>
        <w:t>استعارة في قبول التوبة وإنما ورد لفظ اليد لأن العرب إذا رضي أحدهم الشيء بسط</w:t>
      </w:r>
      <w:r w:rsidRPr="00A52585">
        <w:rPr>
          <w:rFonts w:hint="cs"/>
          <w:bCs/>
        </w:rPr>
        <w:t xml:space="preserve"> </w:t>
      </w:r>
      <w:r w:rsidRPr="00A52585">
        <w:rPr>
          <w:rFonts w:hint="cs"/>
          <w:bCs/>
          <w:rtl/>
        </w:rPr>
        <w:t>يده لقبوله وإذا كرهه قبضها عنه فخوطبوا بما يفهمونه وهو مجاز فإن يد الجارحة مستحيلة</w:t>
      </w:r>
      <w:r w:rsidRPr="00A52585">
        <w:rPr>
          <w:rFonts w:hint="cs"/>
          <w:bCs/>
        </w:rPr>
        <w:t xml:space="preserve"> </w:t>
      </w:r>
      <w:r w:rsidRPr="00A52585">
        <w:rPr>
          <w:rFonts w:hint="cs"/>
          <w:bCs/>
          <w:rtl/>
        </w:rPr>
        <w:t>في حقه تعالى</w:t>
      </w:r>
      <w:r w:rsidR="00DB731D" w:rsidRPr="00A52585">
        <w:rPr>
          <w:rFonts w:hint="cs"/>
          <w:bCs/>
          <w:rtl/>
        </w:rPr>
        <w:t>،</w:t>
      </w:r>
      <w:r w:rsidRPr="00A52585">
        <w:rPr>
          <w:rFonts w:hint="cs"/>
          <w:rtl/>
        </w:rPr>
        <w:t xml:space="preserve"> </w:t>
      </w:r>
      <w:r w:rsidRPr="00A52585">
        <w:rPr>
          <w:rFonts w:hint="cs"/>
          <w:bCs/>
          <w:rtl/>
        </w:rPr>
        <w:t>ومن المتشابه القبضة واليمين</w:t>
      </w:r>
      <w:r w:rsidRPr="00A52585">
        <w:rPr>
          <w:rFonts w:hint="cs"/>
          <w:rtl/>
        </w:rPr>
        <w:t xml:space="preserve"> في وقوله تعالى </w:t>
      </w:r>
      <w:r w:rsidR="0002035C" w:rsidRPr="00A52585">
        <w:rPr>
          <w:rFonts w:hint="cs"/>
          <w:rtl/>
        </w:rPr>
        <w:t>(</w:t>
      </w:r>
      <w:r w:rsidRPr="00A52585">
        <w:rPr>
          <w:rFonts w:hint="cs"/>
          <w:rtl/>
        </w:rPr>
        <w:t>والأرض جميعا قبضته يوم القيامة والسماوات مطويات بيمينه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الزمر 67</w:t>
      </w:r>
      <w:r w:rsidR="0002035C" w:rsidRPr="00A52585">
        <w:rPr>
          <w:rFonts w:hint="cs"/>
          <w:rtl/>
        </w:rPr>
        <w:t xml:space="preserve">] </w:t>
      </w:r>
      <w:r w:rsidRPr="00A52585">
        <w:rPr>
          <w:rFonts w:hint="cs"/>
          <w:rtl/>
        </w:rPr>
        <w:t xml:space="preserve">وحديث البخاري ومسلم </w:t>
      </w:r>
      <w:r w:rsidR="0002035C" w:rsidRPr="00A52585">
        <w:rPr>
          <w:rFonts w:hint="cs"/>
          <w:rtl/>
        </w:rPr>
        <w:t>(</w:t>
      </w:r>
      <w:r w:rsidRPr="00A52585">
        <w:rPr>
          <w:rFonts w:hint="cs"/>
          <w:rtl/>
        </w:rPr>
        <w:t xml:space="preserve">يقبض الله الأرض يوم القيامة ويطوي السماء بيمينه ثم </w:t>
      </w:r>
      <w:r w:rsidRPr="00A52585">
        <w:rPr>
          <w:rFonts w:hint="cs"/>
          <w:rtl/>
        </w:rPr>
        <w:lastRenderedPageBreak/>
        <w:t>يقول أنا الملك أين ملوك الأرض</w:t>
      </w:r>
      <w:r w:rsidR="0002035C" w:rsidRPr="00A52585">
        <w:rPr>
          <w:rFonts w:hint="cs"/>
          <w:rtl/>
        </w:rPr>
        <w:t xml:space="preserve">) </w:t>
      </w:r>
      <w:r w:rsidRPr="00A52585">
        <w:rPr>
          <w:rFonts w:hint="cs"/>
          <w:rtl/>
        </w:rPr>
        <w:t xml:space="preserve">وحديث مسلم </w:t>
      </w:r>
      <w:r w:rsidR="0002035C" w:rsidRPr="00A52585">
        <w:rPr>
          <w:rFonts w:hint="cs"/>
          <w:rtl/>
        </w:rPr>
        <w:t>(</w:t>
      </w:r>
      <w:r w:rsidRPr="00A52585">
        <w:rPr>
          <w:rFonts w:hint="cs"/>
          <w:rtl/>
        </w:rPr>
        <w:t>يطوي الله السماوات يوم القيامة ثم يأخذهن بيده اليمنى</w:t>
      </w:r>
      <w:r w:rsidR="0002035C" w:rsidRPr="00A52585">
        <w:rPr>
          <w:rFonts w:hint="cs"/>
          <w:rtl/>
        </w:rPr>
        <w:t>)</w:t>
      </w:r>
      <w:r w:rsidRPr="00A52585">
        <w:rPr>
          <w:rFonts w:hint="cs"/>
          <w:rtl/>
        </w:rPr>
        <w:t xml:space="preserve"> الحديث</w:t>
      </w:r>
      <w:r w:rsidR="0002035C" w:rsidRPr="00A52585">
        <w:rPr>
          <w:rFonts w:hint="cs"/>
          <w:rtl/>
        </w:rPr>
        <w:t xml:space="preserve"> </w:t>
      </w:r>
      <w:r w:rsidRPr="00A52585">
        <w:rPr>
          <w:rFonts w:hint="cs"/>
          <w:rtl/>
        </w:rPr>
        <w:t xml:space="preserve">وحديث مسلم أيضا </w:t>
      </w:r>
      <w:r w:rsidR="0002035C" w:rsidRPr="00A52585">
        <w:rPr>
          <w:rFonts w:hint="cs"/>
          <w:rtl/>
        </w:rPr>
        <w:t>(</w:t>
      </w:r>
      <w:r w:rsidRPr="00A52585">
        <w:rPr>
          <w:rFonts w:hint="cs"/>
          <w:rtl/>
        </w:rPr>
        <w:t xml:space="preserve">يأخذ الله </w:t>
      </w:r>
      <w:proofErr w:type="spellStart"/>
      <w:r w:rsidRPr="00A52585">
        <w:rPr>
          <w:rFonts w:hint="cs"/>
          <w:rtl/>
        </w:rPr>
        <w:t>سماواته</w:t>
      </w:r>
      <w:proofErr w:type="spellEnd"/>
      <w:r w:rsidRPr="00A52585">
        <w:rPr>
          <w:rFonts w:hint="cs"/>
          <w:rtl/>
        </w:rPr>
        <w:t xml:space="preserve"> وأرضيه بيديه فيقول أنا الله ويبسطها أنا الملك</w:t>
      </w:r>
      <w:r w:rsidR="0002035C" w:rsidRPr="00A52585">
        <w:rPr>
          <w:rFonts w:hint="cs"/>
          <w:rtl/>
        </w:rPr>
        <w:t xml:space="preserve">) </w:t>
      </w:r>
      <w:r w:rsidRPr="00A52585">
        <w:rPr>
          <w:rFonts w:hint="cs"/>
          <w:bCs/>
          <w:rtl/>
        </w:rPr>
        <w:t xml:space="preserve">قال البيهقي المتقدمون من هذه الأمة لم يفسروا ما ورد من </w:t>
      </w:r>
      <w:proofErr w:type="spellStart"/>
      <w:r w:rsidRPr="00A52585">
        <w:rPr>
          <w:rFonts w:hint="cs"/>
          <w:bCs/>
          <w:rtl/>
        </w:rPr>
        <w:t>الآي</w:t>
      </w:r>
      <w:proofErr w:type="spellEnd"/>
      <w:r w:rsidRPr="00A52585">
        <w:rPr>
          <w:rFonts w:hint="cs"/>
          <w:bCs/>
          <w:rtl/>
        </w:rPr>
        <w:t xml:space="preserve"> والأخبار في هذا الباب مع اعتقادهم بأجمعهم أن الله واحد لا يجوز عليه التبعيض</w:t>
      </w:r>
      <w:r w:rsidR="00DB731D" w:rsidRPr="00A52585">
        <w:rPr>
          <w:rFonts w:hint="cs"/>
          <w:bCs/>
          <w:rtl/>
        </w:rPr>
        <w:t>،</w:t>
      </w:r>
      <w:r w:rsidRPr="00A52585">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DB731D" w:rsidRPr="00A52585">
        <w:rPr>
          <w:rFonts w:hint="cs"/>
          <w:rtl/>
        </w:rPr>
        <w:t>،</w:t>
      </w:r>
      <w:r w:rsidRPr="00A52585">
        <w:rPr>
          <w:rFonts w:hint="cs"/>
          <w:rtl/>
        </w:rPr>
        <w:t xml:space="preserve"> </w:t>
      </w:r>
      <w:r w:rsidRPr="00A52585">
        <w:rPr>
          <w:rFonts w:hint="cs"/>
          <w:bCs/>
          <w:rtl/>
        </w:rPr>
        <w:t>وهذا مذهب الحنابلة</w:t>
      </w:r>
      <w:r w:rsidR="00DB731D" w:rsidRPr="00A52585">
        <w:rPr>
          <w:rFonts w:hint="cs"/>
          <w:bCs/>
          <w:rtl/>
        </w:rPr>
        <w:t>،</w:t>
      </w:r>
      <w:r w:rsidRPr="00A52585">
        <w:rPr>
          <w:rFonts w:hint="cs"/>
          <w:rtl/>
        </w:rPr>
        <w:t xml:space="preserve"> </w:t>
      </w:r>
      <w:r w:rsidRPr="00A52585">
        <w:rPr>
          <w:rFonts w:hint="cs"/>
          <w:bCs/>
          <w:rtl/>
        </w:rPr>
        <w:t>قال الخطابي</w:t>
      </w:r>
      <w:r w:rsidRPr="00A52585">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02035C" w:rsidRPr="00A52585">
        <w:rPr>
          <w:rFonts w:hint="cs"/>
          <w:rtl/>
        </w:rPr>
        <w:t xml:space="preserve"> </w:t>
      </w:r>
      <w:r w:rsidRPr="00A52585">
        <w:rPr>
          <w:rFonts w:hint="cs"/>
          <w:bCs/>
          <w:rtl/>
        </w:rPr>
        <w:t>وقال بعض أهل التأويل</w:t>
      </w:r>
      <w:r w:rsidRPr="00A52585">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DB731D" w:rsidRPr="00A52585">
        <w:rPr>
          <w:rFonts w:hint="cs"/>
          <w:rtl/>
        </w:rPr>
        <w:t>،</w:t>
      </w:r>
      <w:r w:rsidR="0002035C" w:rsidRPr="00A52585">
        <w:rPr>
          <w:rFonts w:hint="cs"/>
          <w:rtl/>
        </w:rPr>
        <w:t xml:space="preserve"> </w:t>
      </w:r>
      <w:r w:rsidRPr="00A52585">
        <w:rPr>
          <w:rFonts w:hint="cs"/>
          <w:bCs/>
          <w:rtl/>
        </w:rPr>
        <w:t>وقال بعضهم هو لبيان عظمة الله وجلاله وقدرته وأن المكونات كلها منقادة لإرادته ومسخرات بأمره</w:t>
      </w:r>
      <w:r w:rsidR="00DB731D" w:rsidRPr="00A52585">
        <w:rPr>
          <w:rFonts w:hint="cs"/>
          <w:bCs/>
          <w:rtl/>
        </w:rPr>
        <w:t>،</w:t>
      </w:r>
      <w:r w:rsidRPr="00A52585">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تنبيه</w:t>
      </w:r>
      <w:r w:rsidR="0002035C" w:rsidRPr="00A52585">
        <w:rPr>
          <w:rFonts w:hint="cs"/>
          <w:rtl/>
        </w:rPr>
        <w:t xml:space="preserve">): </w:t>
      </w:r>
      <w:r w:rsidRPr="00A52585">
        <w:rPr>
          <w:rFonts w:hint="cs"/>
          <w:rtl/>
        </w:rPr>
        <w:t>في حديث مسلم وغيره (</w:t>
      </w:r>
      <w:r w:rsidR="0002035C" w:rsidRPr="00A52585">
        <w:rPr>
          <w:rFonts w:hint="cs"/>
          <w:rtl/>
        </w:rPr>
        <w:t>(</w:t>
      </w:r>
      <w:r w:rsidRPr="00A52585">
        <w:rPr>
          <w:rFonts w:hint="cs"/>
          <w:rtl/>
        </w:rPr>
        <w:t>إن المقسطين عند الله يوم القيامة على منابر من نور عن يمين الرحمن وكلتا يديه يمين الذين يعدلون في حكمهم وأهليهم وما ولوا</w:t>
      </w:r>
      <w:r w:rsidR="0002035C" w:rsidRPr="00A52585">
        <w:rPr>
          <w:rFonts w:hint="cs"/>
          <w:rtl/>
        </w:rPr>
        <w:t>)</w:t>
      </w:r>
      <w:r w:rsidRPr="00A52585">
        <w:rPr>
          <w:rFonts w:hint="cs"/>
          <w:rtl/>
        </w:rPr>
        <w:t>)</w:t>
      </w:r>
      <w:r w:rsidR="0002035C" w:rsidRPr="00A52585">
        <w:rPr>
          <w:rFonts w:hint="cs"/>
          <w:rtl/>
        </w:rPr>
        <w:t xml:space="preserve"> </w:t>
      </w:r>
      <w:r w:rsidRPr="00A52585">
        <w:rPr>
          <w:rFonts w:hint="cs"/>
          <w:bCs/>
          <w:rtl/>
        </w:rPr>
        <w:t>قال النووي</w:t>
      </w:r>
      <w:r w:rsidRPr="00A52585">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02035C" w:rsidRPr="00A52585">
        <w:rPr>
          <w:rFonts w:hint="cs"/>
          <w:rtl/>
        </w:rPr>
        <w:t xml:space="preserve"> </w:t>
      </w:r>
      <w:r w:rsidRPr="00A52585">
        <w:rPr>
          <w:rFonts w:hint="cs"/>
          <w:rtl/>
        </w:rPr>
        <w:t>وقوله (</w:t>
      </w:r>
      <w:r w:rsidR="0002035C" w:rsidRPr="00A52585">
        <w:rPr>
          <w:rFonts w:hint="cs"/>
          <w:rtl/>
        </w:rPr>
        <w:t>(</w:t>
      </w:r>
      <w:r w:rsidRPr="00A52585">
        <w:rPr>
          <w:rFonts w:hint="cs"/>
          <w:rtl/>
        </w:rPr>
        <w:t>وكلتا يديه يمين</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فيه تنبيه على أنه ليس المراد باليمين الجارحة وأن يديه تعالى بصفة الكمال لا نقص في واحدة منهما لأن الشمال تنقص عن اليمين</w:t>
      </w:r>
      <w:r w:rsidR="00DB731D" w:rsidRPr="00A52585">
        <w:rPr>
          <w:rFonts w:hint="cs"/>
          <w:rtl/>
        </w:rPr>
        <w:t>،</w:t>
      </w:r>
      <w:r w:rsidR="00897A24" w:rsidRPr="00A52585">
        <w:rPr>
          <w:rFonts w:hint="cs"/>
          <w:rtl/>
        </w:rPr>
        <w:t>.</w:t>
      </w:r>
      <w:r w:rsidRPr="00A52585">
        <w:rPr>
          <w:rFonts w:hint="cs"/>
          <w:rtl/>
        </w:rPr>
        <w:t xml:space="preserve">. وقال الخطابي ليس فيما يضاف إلى الله سبحانه من صفة اليدين شمال لأن الشمال محل النقص والضعف والله أعلم " </w:t>
      </w:r>
      <w:r w:rsidR="0002035C" w:rsidRPr="00A52585">
        <w:rPr>
          <w:rFonts w:hint="cs"/>
          <w:rtl/>
        </w:rPr>
        <w:t>[</w:t>
      </w:r>
      <w:r w:rsidRPr="00A52585">
        <w:rPr>
          <w:rFonts w:hint="cs"/>
          <w:rtl/>
        </w:rPr>
        <w:t xml:space="preserve">أقاويل الثقات ج: 1 ص: 149إلى 158] أهـــ </w:t>
      </w:r>
    </w:p>
    <w:p w14:paraId="6408C680" w14:textId="2969A61E" w:rsidR="00777DCB" w:rsidRPr="00A52585" w:rsidRDefault="0002035C" w:rsidP="0002035C">
      <w:pPr>
        <w:spacing w:after="240"/>
        <w:rPr>
          <w:b/>
          <w:rtl/>
        </w:rPr>
      </w:pPr>
      <w:r w:rsidRPr="00A52585">
        <w:rPr>
          <w:rFonts w:hint="cs"/>
          <w:bCs/>
          <w:rtl/>
        </w:rPr>
        <w:t>(</w:t>
      </w:r>
      <w:r w:rsidR="00777DCB" w:rsidRPr="00A52585">
        <w:rPr>
          <w:rFonts w:hint="cs"/>
          <w:bCs/>
          <w:rtl/>
        </w:rPr>
        <w:t>10</w:t>
      </w:r>
      <w:r w:rsidRPr="00A52585">
        <w:rPr>
          <w:rFonts w:hint="cs"/>
          <w:bCs/>
          <w:rtl/>
        </w:rPr>
        <w:t>)</w:t>
      </w:r>
      <w:r w:rsidR="00777DCB" w:rsidRPr="00A52585">
        <w:rPr>
          <w:rFonts w:hint="cs"/>
          <w:bCs/>
          <w:rtl/>
        </w:rPr>
        <w:t xml:space="preserve"> فصل ما جاء في الساق مضافاً إلى الله تعالى</w:t>
      </w:r>
      <w:r w:rsidRPr="00A52585">
        <w:rPr>
          <w:rFonts w:hint="cs"/>
          <w:rtl/>
        </w:rPr>
        <w:t xml:space="preserve">: </w:t>
      </w:r>
      <w:r w:rsidRPr="00A52585">
        <w:rPr>
          <w:rFonts w:hint="cs"/>
          <w:bCs/>
          <w:rtl/>
        </w:rPr>
        <w:t>(</w:t>
      </w:r>
      <w:r w:rsidR="00777DCB" w:rsidRPr="00A52585">
        <w:rPr>
          <w:rFonts w:hint="cs"/>
          <w:bCs/>
          <w:rtl/>
        </w:rPr>
        <w:t>أ</w:t>
      </w:r>
      <w:r w:rsidRPr="00A52585">
        <w:rPr>
          <w:rFonts w:hint="cs"/>
          <w:bCs/>
          <w:rtl/>
        </w:rPr>
        <w:t>)</w:t>
      </w:r>
      <w:r w:rsidR="00777DCB" w:rsidRPr="00A52585">
        <w:rPr>
          <w:rFonts w:hint="cs"/>
          <w:bCs/>
          <w:rtl/>
        </w:rPr>
        <w:t xml:space="preserve"> الساق في مجاز اللغة يحمل على الشدة و الكرب</w:t>
      </w:r>
      <w:r w:rsidRPr="00A52585">
        <w:rPr>
          <w:rFonts w:hint="cs"/>
          <w:bCs/>
          <w:rtl/>
        </w:rPr>
        <w:t>:</w:t>
      </w:r>
      <w:r w:rsidR="00777DCB" w:rsidRPr="00A52585">
        <w:rPr>
          <w:rFonts w:hint="cs"/>
          <w:rtl/>
        </w:rPr>
        <w:t xml:space="preserve"> تقول العرب</w:t>
      </w:r>
      <w:r w:rsidRPr="00A52585">
        <w:rPr>
          <w:rFonts w:hint="cs"/>
          <w:rtl/>
        </w:rPr>
        <w:t>:</w:t>
      </w:r>
      <w:r w:rsidR="00777DCB" w:rsidRPr="00A52585">
        <w:rPr>
          <w:rFonts w:hint="cs"/>
          <w:rtl/>
        </w:rPr>
        <w:t xml:space="preserve"> قامت الحرب على قدم وساق إذا اشتد كربها وحمي وطيسها</w:t>
      </w:r>
      <w:r w:rsidR="00DB731D" w:rsidRPr="00A52585">
        <w:rPr>
          <w:rFonts w:hint="cs"/>
          <w:rtl/>
        </w:rPr>
        <w:t>،</w:t>
      </w:r>
      <w:r w:rsidR="00777DCB" w:rsidRPr="00A52585">
        <w:rPr>
          <w:rFonts w:hint="cs"/>
          <w:rtl/>
        </w:rPr>
        <w:t xml:space="preserve"> جاء في مختار الصحاح ج: 1 ص: 135</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قوله تعالى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أي عن شدة</w:t>
      </w:r>
      <w:r w:rsidRPr="00A52585">
        <w:rPr>
          <w:rFonts w:hint="cs"/>
          <w:rtl/>
        </w:rPr>
        <w:t>)</w:t>
      </w:r>
      <w:r w:rsidR="00DB731D" w:rsidRPr="00A52585">
        <w:rPr>
          <w:rFonts w:hint="cs"/>
          <w:rtl/>
        </w:rPr>
        <w:t>،</w:t>
      </w:r>
      <w:r w:rsidR="00777DCB" w:rsidRPr="00A52585">
        <w:rPr>
          <w:rFonts w:hint="cs"/>
          <w:rtl/>
        </w:rPr>
        <w:t xml:space="preserve"> وجاء في لسان العرب </w:t>
      </w:r>
      <w:r w:rsidR="00777DCB" w:rsidRPr="00A52585">
        <w:rPr>
          <w:rFonts w:hint="cs"/>
          <w:rtl/>
        </w:rPr>
        <w:lastRenderedPageBreak/>
        <w:t>ج: 10 ص: 168</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 إنما يريد به شدة الأمر كقولهم قامت الحرب على ساق</w:t>
      </w:r>
      <w:r w:rsidRPr="00A52585">
        <w:rPr>
          <w:rFonts w:hint="cs"/>
          <w:rtl/>
        </w:rPr>
        <w:t>)</w:t>
      </w:r>
      <w:r w:rsidR="00DB731D" w:rsidRPr="00A52585">
        <w:rPr>
          <w:rFonts w:hint="cs"/>
          <w:rtl/>
        </w:rPr>
        <w:t>،</w:t>
      </w:r>
      <w:r w:rsidR="00777DCB" w:rsidRPr="00A52585">
        <w:rPr>
          <w:rFonts w:hint="cs"/>
          <w:rtl/>
        </w:rPr>
        <w:t xml:space="preserve"> وجاء في التبيان في تفسير غريب القرآن ج: 1 ص: 422</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إذا اشتد الأمر والحرب قيل كشف الأمر عن ساقه</w:t>
      </w:r>
      <w:r w:rsidRPr="00A52585">
        <w:rPr>
          <w:rFonts w:hint="cs"/>
          <w:rtl/>
        </w:rPr>
        <w:t>)</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ب</w:t>
      </w:r>
      <w:r w:rsidRPr="00A52585">
        <w:rPr>
          <w:rFonts w:hint="cs"/>
          <w:bCs/>
          <w:rtl/>
        </w:rPr>
        <w:t>)</w:t>
      </w:r>
      <w:r w:rsidR="00777DCB" w:rsidRPr="00A52585">
        <w:rPr>
          <w:rFonts w:hint="cs"/>
          <w:bCs/>
          <w:rtl/>
        </w:rPr>
        <w:t xml:space="preserve"> الآية التي ذكرت فيها الساق</w:t>
      </w:r>
      <w:r w:rsidR="00DB731D" w:rsidRPr="00A52585">
        <w:rPr>
          <w:rFonts w:hint="cs"/>
          <w:rtl/>
        </w:rPr>
        <w:t>،</w:t>
      </w:r>
      <w:r w:rsidR="00777DCB" w:rsidRPr="00A52585">
        <w:rPr>
          <w:rFonts w:hint="cs"/>
          <w:bCs/>
          <w:rtl/>
        </w:rPr>
        <w:t xml:space="preserve"> والحديث الذي ذكر فيه الساق مضاف إلى الله تعالى وبيان المعنى المراد من الساق</w:t>
      </w:r>
      <w:r w:rsidRPr="00A52585">
        <w:rPr>
          <w:rFonts w:hint="cs"/>
          <w:bCs/>
          <w:rtl/>
        </w:rPr>
        <w:t>:</w:t>
      </w:r>
      <w:r w:rsidR="00777DCB" w:rsidRPr="00A52585">
        <w:rPr>
          <w:rFonts w:hint="cs"/>
          <w:rtl/>
        </w:rPr>
        <w:t xml:space="preserve">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 وَيُدْعَوْنَ إِلَى السُّجُودِ فَلَا يَسْتَطِيعُونَ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القلم</w:t>
      </w:r>
      <w:r w:rsidRPr="00A52585">
        <w:rPr>
          <w:rFonts w:hint="cs"/>
          <w:rtl/>
        </w:rPr>
        <w:t>:</w:t>
      </w:r>
      <w:r w:rsidR="00777DCB" w:rsidRPr="00A52585">
        <w:rPr>
          <w:rFonts w:hint="cs"/>
          <w:rtl/>
        </w:rPr>
        <w:t xml:space="preserve"> 42</w:t>
      </w:r>
      <w:r w:rsidRPr="00A52585">
        <w:rPr>
          <w:rFonts w:hint="cs"/>
          <w:rtl/>
        </w:rPr>
        <w:t>]</w:t>
      </w:r>
      <w:r w:rsidR="00DB731D" w:rsidRPr="00A52585">
        <w:rPr>
          <w:rFonts w:hint="cs"/>
          <w:rtl/>
        </w:rPr>
        <w:t>،</w:t>
      </w:r>
      <w:r w:rsidR="00777DCB" w:rsidRPr="00A52585">
        <w:rPr>
          <w:rFonts w:hint="cs"/>
          <w:rtl/>
        </w:rPr>
        <w:t xml:space="preserve"> وأخرج مسلم عن أبي سعيد الخدري الحديث</w:t>
      </w:r>
      <w:r w:rsidR="00DB731D" w:rsidRPr="00A52585">
        <w:rPr>
          <w:rFonts w:hint="cs"/>
          <w:rtl/>
        </w:rPr>
        <w:t>،</w:t>
      </w:r>
      <w:r w:rsidR="00777DCB" w:rsidRPr="00A52585">
        <w:rPr>
          <w:rFonts w:hint="cs"/>
          <w:rtl/>
        </w:rPr>
        <w:t xml:space="preserve"> وفيه</w:t>
      </w:r>
      <w:r w:rsidRPr="00A52585">
        <w:rPr>
          <w:rFonts w:hint="cs"/>
          <w:rtl/>
        </w:rPr>
        <w:t>:</w:t>
      </w:r>
      <w:r w:rsidR="00777DCB" w:rsidRPr="00A52585">
        <w:rPr>
          <w:rFonts w:hint="cs"/>
          <w:rtl/>
        </w:rPr>
        <w:t xml:space="preserve"> (</w:t>
      </w:r>
      <w:r w:rsidRPr="00A52585">
        <w:rPr>
          <w:rFonts w:hint="cs"/>
          <w:rtl/>
        </w:rPr>
        <w:t>(</w:t>
      </w:r>
      <w:r w:rsidR="00777DCB" w:rsidRPr="00A52585">
        <w:rPr>
          <w:rStyle w:val="edit-title"/>
          <w:rFonts w:eastAsiaTheme="majorEastAsia" w:hint="cs"/>
          <w:rtl/>
        </w:rPr>
        <w:t>فيقولُ</w:t>
      </w:r>
      <w:r w:rsidRPr="00A52585">
        <w:rPr>
          <w:rStyle w:val="edit-title"/>
          <w:rFonts w:eastAsiaTheme="majorEastAsia" w:hint="cs"/>
          <w:rtl/>
        </w:rPr>
        <w:t>:</w:t>
      </w:r>
      <w:r w:rsidR="00777DCB" w:rsidRPr="00A52585">
        <w:rPr>
          <w:rStyle w:val="edit-title"/>
          <w:rFonts w:eastAsiaTheme="majorEastAsia" w:hint="cs"/>
          <w:rtl/>
        </w:rPr>
        <w:t xml:space="preserve"> هل بينَكم وبينَه آيةٌ فتَعْرِفونَه بها</w:t>
      </w:r>
      <w:r w:rsidR="00F95886" w:rsidRPr="00A52585">
        <w:rPr>
          <w:rStyle w:val="edit-title"/>
          <w:rFonts w:eastAsiaTheme="majorEastAsia" w:hint="cs"/>
          <w:rtl/>
        </w:rPr>
        <w:t>؟</w:t>
      </w:r>
      <w:r w:rsidR="00777DCB" w:rsidRPr="00A52585">
        <w:rPr>
          <w:rStyle w:val="edit-title"/>
          <w:rFonts w:eastAsiaTheme="majorEastAsia" w:hint="cs"/>
          <w:rtl/>
        </w:rPr>
        <w:t xml:space="preserve"> فيقولون</w:t>
      </w:r>
      <w:r w:rsidRPr="00A52585">
        <w:rPr>
          <w:rStyle w:val="edit-title"/>
          <w:rFonts w:eastAsiaTheme="majorEastAsia" w:hint="cs"/>
          <w:rtl/>
        </w:rPr>
        <w:t>:</w:t>
      </w:r>
      <w:r w:rsidR="00777DCB" w:rsidRPr="00A52585">
        <w:rPr>
          <w:rStyle w:val="edit-title"/>
          <w:rFonts w:eastAsiaTheme="majorEastAsia" w:hint="cs"/>
          <w:rtl/>
        </w:rPr>
        <w:t xml:space="preserve"> نعم</w:t>
      </w:r>
      <w:r w:rsidR="00DB731D" w:rsidRPr="00A52585">
        <w:rPr>
          <w:rStyle w:val="edit-title"/>
          <w:rFonts w:eastAsiaTheme="majorEastAsia" w:hint="cs"/>
          <w:rtl/>
        </w:rPr>
        <w:t>،</w:t>
      </w:r>
      <w:r w:rsidR="00777DCB" w:rsidRPr="00A52585">
        <w:rPr>
          <w:rStyle w:val="edit-title"/>
          <w:rFonts w:eastAsiaTheme="majorEastAsia" w:hint="cs"/>
          <w:rtl/>
        </w:rPr>
        <w:t xml:space="preserve"> </w:t>
      </w:r>
      <w:r w:rsidR="00777DCB" w:rsidRPr="00A52585">
        <w:rPr>
          <w:rStyle w:val="search-keys1"/>
          <w:rFonts w:hint="cs"/>
          <w:color w:val="auto"/>
          <w:rtl/>
        </w:rPr>
        <w:t>فيُكْشَفُ</w:t>
      </w:r>
      <w:r w:rsidR="00777DCB" w:rsidRPr="00A52585">
        <w:rPr>
          <w:rStyle w:val="edit-title"/>
          <w:rFonts w:eastAsiaTheme="majorEastAsia" w:hint="cs"/>
          <w:rtl/>
        </w:rPr>
        <w:t xml:space="preserve"> </w:t>
      </w:r>
      <w:r w:rsidR="00777DCB" w:rsidRPr="00A52585">
        <w:rPr>
          <w:rStyle w:val="search-keys1"/>
          <w:rFonts w:hint="cs"/>
          <w:color w:val="auto"/>
          <w:rtl/>
        </w:rPr>
        <w:t>عن</w:t>
      </w:r>
      <w:r w:rsidR="00777DCB" w:rsidRPr="00A52585">
        <w:rPr>
          <w:rStyle w:val="edit-title"/>
          <w:rFonts w:eastAsiaTheme="majorEastAsia" w:hint="cs"/>
          <w:rtl/>
        </w:rPr>
        <w:t xml:space="preserve"> </w:t>
      </w:r>
      <w:r w:rsidR="00777DCB" w:rsidRPr="00A52585">
        <w:rPr>
          <w:rStyle w:val="search-keys1"/>
          <w:rFonts w:hint="cs"/>
          <w:color w:val="auto"/>
          <w:rtl/>
        </w:rPr>
        <w:t>ساقٍ</w:t>
      </w:r>
      <w:r w:rsidR="00DB731D" w:rsidRPr="00A52585">
        <w:rPr>
          <w:rStyle w:val="edit-title"/>
          <w:rFonts w:eastAsiaTheme="majorEastAsia" w:hint="cs"/>
          <w:rtl/>
        </w:rPr>
        <w:t>،</w:t>
      </w:r>
      <w:r w:rsidR="00777DCB" w:rsidRPr="00A52585">
        <w:rPr>
          <w:rStyle w:val="edit-title"/>
          <w:rFonts w:eastAsiaTheme="majorEastAsia" w:hint="cs"/>
          <w:rtl/>
        </w:rPr>
        <w:t xml:space="preserve"> فلا يَبْقَى من كان يسجدُ للهِ مِن تِلقاءِ نفسِه إلا أَذِنَ اللهُ له بالسجودِ</w:t>
      </w:r>
      <w:r w:rsidR="00897A24" w:rsidRPr="00A52585">
        <w:rPr>
          <w:rStyle w:val="edit-title"/>
          <w:rFonts w:eastAsiaTheme="majorEastAsia" w:hint="cs"/>
          <w:rtl/>
        </w:rPr>
        <w:t>.</w:t>
      </w:r>
      <w:r w:rsidR="00777DCB" w:rsidRPr="00A52585">
        <w:rPr>
          <w:rStyle w:val="edit-title"/>
          <w:rFonts w:eastAsiaTheme="majorEastAsia" w:hint="cs"/>
          <w:rtl/>
        </w:rPr>
        <w:t xml:space="preserve"> ولا يَبْقَى من كان يسجدُ اتقاءً ورياءً إلا جعل اللهُ ظَهرَه طبقةً واحدةً</w:t>
      </w:r>
      <w:r w:rsidR="00897A24" w:rsidRPr="00A52585">
        <w:rPr>
          <w:rStyle w:val="edit-title"/>
          <w:rFonts w:eastAsiaTheme="majorEastAsia" w:hint="cs"/>
          <w:rtl/>
        </w:rPr>
        <w:t>.</w:t>
      </w:r>
      <w:r w:rsidR="00777DCB" w:rsidRPr="00A52585">
        <w:rPr>
          <w:rStyle w:val="edit-title"/>
          <w:rFonts w:eastAsiaTheme="majorEastAsia" w:hint="cs"/>
          <w:rtl/>
        </w:rPr>
        <w:t xml:space="preserve"> كُلَّما أراد أن يَسجدَ خَرَّ على قفاهُ</w:t>
      </w:r>
      <w:r w:rsidR="00897A24" w:rsidRPr="00A52585">
        <w:rPr>
          <w:rStyle w:val="edit-title"/>
          <w:rFonts w:eastAsiaTheme="majorEastAsia" w:hint="cs"/>
          <w:rtl/>
        </w:rPr>
        <w:t>.</w:t>
      </w:r>
      <w:r w:rsidR="00777DCB" w:rsidRPr="00A52585">
        <w:rPr>
          <w:rStyle w:val="edit-title"/>
          <w:rFonts w:eastAsiaTheme="majorEastAsia" w:hint="cs"/>
          <w:rtl/>
        </w:rPr>
        <w:t xml:space="preserve"> ثم يَرفعونَ رؤوسَهم</w:t>
      </w:r>
      <w:r w:rsidRPr="00A52585">
        <w:rPr>
          <w:rStyle w:val="edit-title"/>
          <w:rFonts w:eastAsiaTheme="majorEastAsia" w:hint="cs"/>
          <w:rtl/>
        </w:rPr>
        <w:t>)</w:t>
      </w:r>
      <w:r w:rsidR="00777DCB" w:rsidRPr="00A52585">
        <w:rPr>
          <w:rStyle w:val="edit-title"/>
          <w:rFonts w:eastAsiaTheme="majorEastAsia" w:hint="cs"/>
          <w:rtl/>
        </w:rPr>
        <w:t>)</w:t>
      </w:r>
      <w:r w:rsidR="00777DCB" w:rsidRPr="00A52585">
        <w:rPr>
          <w:rFonts w:hint="cs"/>
          <w:rtl/>
        </w:rPr>
        <w:t xml:space="preserve"> </w:t>
      </w:r>
      <w:r w:rsidRPr="00A52585">
        <w:rPr>
          <w:rFonts w:hint="cs"/>
          <w:rtl/>
        </w:rPr>
        <w:t>[</w:t>
      </w:r>
      <w:r w:rsidR="00777DCB" w:rsidRPr="00A52585">
        <w:rPr>
          <w:rFonts w:hint="cs"/>
          <w:rtl/>
        </w:rPr>
        <w:t>أخرجه مسلم ح</w:t>
      </w:r>
      <w:r w:rsidRPr="00A52585">
        <w:rPr>
          <w:rFonts w:hint="cs"/>
          <w:rtl/>
        </w:rPr>
        <w:t>:</w:t>
      </w:r>
      <w:r w:rsidR="00777DCB" w:rsidRPr="00A52585">
        <w:rPr>
          <w:rFonts w:hint="cs"/>
          <w:rtl/>
        </w:rPr>
        <w:t xml:space="preserve"> 183</w:t>
      </w:r>
      <w:r w:rsidRPr="00A52585">
        <w:rPr>
          <w:rFonts w:hint="cs"/>
          <w:rtl/>
        </w:rPr>
        <w:t>]</w:t>
      </w:r>
      <w:r w:rsidR="00DB731D" w:rsidRPr="00A52585">
        <w:rPr>
          <w:rFonts w:hint="cs"/>
          <w:rtl/>
        </w:rPr>
        <w:t>،</w:t>
      </w:r>
      <w:r w:rsidR="00777DCB" w:rsidRPr="00A52585">
        <w:rPr>
          <w:rFonts w:hint="cs"/>
          <w:rtl/>
        </w:rPr>
        <w:t xml:space="preserve"> وأخرج البخاري عن أبي سعيد الخدري الحديث نفسه</w:t>
      </w:r>
      <w:r w:rsidR="00DB731D" w:rsidRPr="00A52585">
        <w:rPr>
          <w:rFonts w:hint="cs"/>
          <w:rtl/>
        </w:rPr>
        <w:t>،</w:t>
      </w:r>
      <w:r w:rsidR="00777DCB" w:rsidRPr="00A52585">
        <w:rPr>
          <w:rFonts w:hint="cs"/>
          <w:rtl/>
        </w:rPr>
        <w:t xml:space="preserve"> وفيه</w:t>
      </w:r>
      <w:r w:rsidRPr="00A52585">
        <w:rPr>
          <w:rFonts w:hint="cs"/>
          <w:rtl/>
        </w:rPr>
        <w:t>:</w:t>
      </w:r>
      <w:r w:rsidR="00777DCB" w:rsidRPr="00A52585">
        <w:rPr>
          <w:rFonts w:hint="cs"/>
          <w:rtl/>
        </w:rPr>
        <w:t xml:space="preserve"> (</w:t>
      </w:r>
      <w:r w:rsidRPr="00A52585">
        <w:rPr>
          <w:rFonts w:hint="cs"/>
          <w:rtl/>
        </w:rPr>
        <w:t>(</w:t>
      </w:r>
      <w:r w:rsidR="00777DCB" w:rsidRPr="00A52585">
        <w:rPr>
          <w:rStyle w:val="edit-title"/>
          <w:rFonts w:eastAsiaTheme="majorEastAsia" w:hint="cs"/>
          <w:rtl/>
        </w:rPr>
        <w:t>فيقول</w:t>
      </w:r>
      <w:r w:rsidRPr="00A52585">
        <w:rPr>
          <w:rStyle w:val="edit-title"/>
          <w:rFonts w:eastAsiaTheme="majorEastAsia" w:hint="cs"/>
          <w:rtl/>
        </w:rPr>
        <w:t>:</w:t>
      </w:r>
      <w:r w:rsidR="00777DCB" w:rsidRPr="00A52585">
        <w:rPr>
          <w:rStyle w:val="edit-title"/>
          <w:rFonts w:eastAsiaTheme="majorEastAsia" w:hint="cs"/>
          <w:rtl/>
        </w:rPr>
        <w:t xml:space="preserve"> هل بينكم وبينه آية تعرفونه</w:t>
      </w:r>
      <w:r w:rsidR="00DB731D" w:rsidRPr="00A52585">
        <w:rPr>
          <w:rStyle w:val="edit-title"/>
          <w:rFonts w:eastAsiaTheme="majorEastAsia" w:hint="cs"/>
          <w:rtl/>
        </w:rPr>
        <w:t>،</w:t>
      </w:r>
      <w:r w:rsidR="00777DCB" w:rsidRPr="00A52585">
        <w:rPr>
          <w:rStyle w:val="edit-title"/>
          <w:rFonts w:eastAsiaTheme="majorEastAsia" w:hint="cs"/>
          <w:rtl/>
        </w:rPr>
        <w:t xml:space="preserve"> فيقولون</w:t>
      </w:r>
      <w:r w:rsidRPr="00A52585">
        <w:rPr>
          <w:rStyle w:val="edit-title"/>
          <w:rFonts w:eastAsiaTheme="majorEastAsia" w:hint="cs"/>
          <w:rtl/>
        </w:rPr>
        <w:t>:</w:t>
      </w:r>
      <w:r w:rsidR="00777DCB" w:rsidRPr="00A52585">
        <w:rPr>
          <w:rStyle w:val="edit-title"/>
          <w:rFonts w:eastAsiaTheme="majorEastAsia" w:hint="cs"/>
          <w:rtl/>
        </w:rPr>
        <w:t xml:space="preserve"> الساق</w:t>
      </w:r>
      <w:r w:rsidR="00DB731D" w:rsidRPr="00A52585">
        <w:rPr>
          <w:rStyle w:val="edit-title"/>
          <w:rFonts w:eastAsiaTheme="majorEastAsia" w:hint="cs"/>
          <w:rtl/>
        </w:rPr>
        <w:t>،</w:t>
      </w:r>
      <w:r w:rsidR="00777DCB" w:rsidRPr="00A52585">
        <w:rPr>
          <w:rStyle w:val="edit-title"/>
          <w:rFonts w:eastAsiaTheme="majorEastAsia" w:hint="cs"/>
          <w:rtl/>
        </w:rPr>
        <w:t xml:space="preserve"> </w:t>
      </w:r>
      <w:r w:rsidR="00777DCB" w:rsidRPr="00A52585">
        <w:rPr>
          <w:rStyle w:val="search-keys1"/>
          <w:rFonts w:hint="cs"/>
          <w:color w:val="auto"/>
          <w:rtl/>
        </w:rPr>
        <w:t>فيكشف</w:t>
      </w:r>
      <w:r w:rsidR="00777DCB" w:rsidRPr="00A52585">
        <w:rPr>
          <w:rStyle w:val="edit-title"/>
          <w:rFonts w:eastAsiaTheme="majorEastAsia" w:hint="cs"/>
          <w:rtl/>
        </w:rPr>
        <w:t xml:space="preserve"> </w:t>
      </w:r>
      <w:r w:rsidR="00777DCB" w:rsidRPr="00A52585">
        <w:rPr>
          <w:rStyle w:val="search-keys1"/>
          <w:rFonts w:hint="cs"/>
          <w:color w:val="auto"/>
          <w:rtl/>
        </w:rPr>
        <w:t>عن</w:t>
      </w:r>
      <w:r w:rsidR="00777DCB" w:rsidRPr="00A52585">
        <w:rPr>
          <w:rStyle w:val="edit-title"/>
          <w:rFonts w:eastAsiaTheme="majorEastAsia" w:hint="cs"/>
          <w:rtl/>
        </w:rPr>
        <w:t xml:space="preserve"> </w:t>
      </w:r>
      <w:r w:rsidR="00777DCB" w:rsidRPr="00A52585">
        <w:rPr>
          <w:rStyle w:val="search-keys1"/>
          <w:rFonts w:hint="cs"/>
          <w:color w:val="auto"/>
          <w:rtl/>
        </w:rPr>
        <w:t>ساقه</w:t>
      </w:r>
      <w:r w:rsidR="00DB731D" w:rsidRPr="00A52585">
        <w:rPr>
          <w:rStyle w:val="edit-title"/>
          <w:rFonts w:eastAsiaTheme="majorEastAsia" w:hint="cs"/>
          <w:rtl/>
        </w:rPr>
        <w:t>،</w:t>
      </w:r>
      <w:r w:rsidR="00777DCB" w:rsidRPr="00A52585">
        <w:rPr>
          <w:rStyle w:val="edit-title"/>
          <w:rFonts w:eastAsiaTheme="majorEastAsia" w:hint="cs"/>
          <w:rtl/>
        </w:rPr>
        <w:t xml:space="preserve"> فيسجد له كل مؤمن</w:t>
      </w:r>
      <w:r w:rsidR="00DB731D" w:rsidRPr="00A52585">
        <w:rPr>
          <w:rStyle w:val="edit-title"/>
          <w:rFonts w:eastAsiaTheme="majorEastAsia" w:hint="cs"/>
          <w:rtl/>
        </w:rPr>
        <w:t>،</w:t>
      </w:r>
      <w:r w:rsidR="00777DCB" w:rsidRPr="00A52585">
        <w:rPr>
          <w:rStyle w:val="edit-title"/>
          <w:rFonts w:eastAsiaTheme="majorEastAsia" w:hint="cs"/>
          <w:rtl/>
        </w:rPr>
        <w:t xml:space="preserve"> ويبقى من كان يسجد لله رياء وسمعة</w:t>
      </w:r>
      <w:r w:rsidR="00DB731D" w:rsidRPr="00A52585">
        <w:rPr>
          <w:rStyle w:val="edit-title"/>
          <w:rFonts w:eastAsiaTheme="majorEastAsia" w:hint="cs"/>
          <w:rtl/>
        </w:rPr>
        <w:t>،</w:t>
      </w:r>
      <w:r w:rsidR="00777DCB" w:rsidRPr="00A52585">
        <w:rPr>
          <w:rStyle w:val="edit-title"/>
          <w:rFonts w:eastAsiaTheme="majorEastAsia" w:hint="cs"/>
          <w:rtl/>
        </w:rPr>
        <w:t xml:space="preserve"> فيذهب كيما يسجد فيعود ظهره طبقا واحدا</w:t>
      </w:r>
      <w:r w:rsidRPr="00A52585">
        <w:rPr>
          <w:rStyle w:val="edit-title"/>
          <w:rFonts w:eastAsiaTheme="majorEastAsia" w:hint="cs"/>
          <w:rtl/>
        </w:rPr>
        <w:t>)</w:t>
      </w:r>
      <w:r w:rsidR="00777DCB" w:rsidRPr="00A52585">
        <w:rPr>
          <w:rStyle w:val="edit-title"/>
          <w:rFonts w:eastAsiaTheme="majorEastAsia" w:hint="cs"/>
          <w:rtl/>
        </w:rPr>
        <w:t xml:space="preserve">) </w:t>
      </w:r>
      <w:r w:rsidRPr="00A52585">
        <w:rPr>
          <w:rStyle w:val="edit-title"/>
          <w:rFonts w:eastAsiaTheme="majorEastAsia" w:hint="cs"/>
          <w:rtl/>
        </w:rPr>
        <w:t>[</w:t>
      </w:r>
      <w:r w:rsidR="00777DCB" w:rsidRPr="00A52585">
        <w:rPr>
          <w:rStyle w:val="edit-title"/>
          <w:rFonts w:eastAsiaTheme="majorEastAsia" w:hint="cs"/>
          <w:rtl/>
        </w:rPr>
        <w:t>أخرجه البخاري</w:t>
      </w:r>
      <w:r w:rsidRPr="00A52585">
        <w:rPr>
          <w:rStyle w:val="edit-title"/>
          <w:rFonts w:eastAsiaTheme="majorEastAsia" w:hint="cs"/>
          <w:rtl/>
        </w:rPr>
        <w:t>:</w:t>
      </w:r>
      <w:r w:rsidR="00777DCB" w:rsidRPr="00A52585">
        <w:rPr>
          <w:rStyle w:val="edit-title"/>
          <w:rFonts w:eastAsiaTheme="majorEastAsia" w:hint="cs"/>
          <w:rtl/>
        </w:rPr>
        <w:t xml:space="preserve"> ح 7439</w:t>
      </w:r>
      <w:r w:rsidRPr="00A52585">
        <w:rPr>
          <w:rFonts w:hint="cs"/>
          <w:rtl/>
        </w:rPr>
        <w:t>]</w:t>
      </w:r>
      <w:r w:rsidR="00DB731D" w:rsidRPr="00A52585">
        <w:rPr>
          <w:rFonts w:hint="cs"/>
          <w:rtl/>
        </w:rPr>
        <w:t>،</w:t>
      </w:r>
      <w:r w:rsidR="00777DCB" w:rsidRPr="00A52585">
        <w:rPr>
          <w:rFonts w:hint="cs"/>
          <w:rtl/>
        </w:rPr>
        <w:t xml:space="preserve"> والملاحظ أنّ الآية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w:t>
      </w:r>
      <w:r w:rsidRPr="00A52585">
        <w:rPr>
          <w:rFonts w:hint="cs"/>
          <w:rtl/>
        </w:rPr>
        <w:t>}</w:t>
      </w:r>
      <w:r w:rsidR="00777DCB" w:rsidRPr="00A52585">
        <w:rPr>
          <w:rFonts w:hint="cs"/>
          <w:rtl/>
        </w:rPr>
        <w:t xml:space="preserve"> بصيغة المبني للمجهول</w:t>
      </w:r>
      <w:r w:rsidR="00DB731D" w:rsidRPr="00A52585">
        <w:rPr>
          <w:rFonts w:hint="cs"/>
          <w:rtl/>
        </w:rPr>
        <w:t>،</w:t>
      </w:r>
      <w:r w:rsidR="00777DCB" w:rsidRPr="00A52585">
        <w:rPr>
          <w:rFonts w:hint="cs"/>
          <w:rtl/>
        </w:rPr>
        <w:t xml:space="preserve"> وحديث مسلم</w:t>
      </w:r>
      <w:r w:rsidRPr="00A52585">
        <w:rPr>
          <w:rFonts w:hint="cs"/>
          <w:rtl/>
        </w:rPr>
        <w:t>:</w:t>
      </w:r>
      <w:r w:rsidR="00777DCB" w:rsidRPr="00A52585">
        <w:rPr>
          <w:rFonts w:hint="cs"/>
          <w:rtl/>
        </w:rPr>
        <w:t xml:space="preserve"> ((</w:t>
      </w:r>
      <w:r w:rsidR="00777DCB" w:rsidRPr="00A52585">
        <w:rPr>
          <w:rStyle w:val="search-keys1"/>
          <w:rFonts w:hint="cs"/>
          <w:color w:val="auto"/>
          <w:rtl/>
        </w:rPr>
        <w:t>فيُكْشَفُ</w:t>
      </w:r>
      <w:r w:rsidR="00777DCB" w:rsidRPr="00A52585">
        <w:rPr>
          <w:rStyle w:val="edit-title"/>
          <w:rFonts w:eastAsiaTheme="majorEastAsia" w:hint="cs"/>
          <w:rtl/>
        </w:rPr>
        <w:t xml:space="preserve"> </w:t>
      </w:r>
      <w:r w:rsidR="00777DCB" w:rsidRPr="00A52585">
        <w:rPr>
          <w:rStyle w:val="search-keys1"/>
          <w:rFonts w:hint="cs"/>
          <w:color w:val="auto"/>
          <w:rtl/>
        </w:rPr>
        <w:t>عن</w:t>
      </w:r>
      <w:r w:rsidR="00777DCB" w:rsidRPr="00A52585">
        <w:rPr>
          <w:rStyle w:val="edit-title"/>
          <w:rFonts w:eastAsiaTheme="majorEastAsia" w:hint="cs"/>
          <w:rtl/>
        </w:rPr>
        <w:t xml:space="preserve"> </w:t>
      </w:r>
      <w:r w:rsidR="00777DCB" w:rsidRPr="00A52585">
        <w:rPr>
          <w:rStyle w:val="search-keys1"/>
          <w:rFonts w:hint="cs"/>
          <w:color w:val="auto"/>
          <w:rtl/>
        </w:rPr>
        <w:t>ساقٍ</w:t>
      </w:r>
      <w:r w:rsidRPr="00A52585">
        <w:rPr>
          <w:rFonts w:hint="cs"/>
          <w:rtl/>
        </w:rPr>
        <w:t>)</w:t>
      </w:r>
      <w:r w:rsidR="00777DCB" w:rsidRPr="00A52585">
        <w:rPr>
          <w:rFonts w:hint="cs"/>
          <w:rtl/>
        </w:rPr>
        <w:t>) بنفس صيغة المبني للمجهول</w:t>
      </w:r>
      <w:r w:rsidR="00DB731D" w:rsidRPr="00A52585">
        <w:rPr>
          <w:rFonts w:hint="cs"/>
          <w:rtl/>
        </w:rPr>
        <w:t>،</w:t>
      </w:r>
      <w:r w:rsidR="00777DCB" w:rsidRPr="00A52585">
        <w:rPr>
          <w:rFonts w:hint="cs"/>
          <w:rtl/>
        </w:rPr>
        <w:t xml:space="preserve"> وحديث البخاري</w:t>
      </w:r>
      <w:r w:rsidRPr="00A52585">
        <w:rPr>
          <w:rFonts w:hint="cs"/>
          <w:rtl/>
        </w:rPr>
        <w:t>:</w:t>
      </w:r>
      <w:r w:rsidR="00777DCB" w:rsidRPr="00A52585">
        <w:rPr>
          <w:rFonts w:hint="cs"/>
          <w:rtl/>
        </w:rPr>
        <w:t xml:space="preserve"> ((</w:t>
      </w:r>
      <w:r w:rsidR="00777DCB" w:rsidRPr="00A52585">
        <w:rPr>
          <w:rStyle w:val="search-keys1"/>
          <w:rFonts w:hint="cs"/>
          <w:color w:val="auto"/>
          <w:rtl/>
        </w:rPr>
        <w:t>فيكشف</w:t>
      </w:r>
      <w:r w:rsidR="00777DCB" w:rsidRPr="00A52585">
        <w:rPr>
          <w:rStyle w:val="edit-title"/>
          <w:rFonts w:eastAsiaTheme="majorEastAsia" w:hint="cs"/>
          <w:rtl/>
        </w:rPr>
        <w:t xml:space="preserve"> </w:t>
      </w:r>
      <w:r w:rsidR="00777DCB" w:rsidRPr="00A52585">
        <w:rPr>
          <w:rStyle w:val="search-keys1"/>
          <w:rFonts w:hint="cs"/>
          <w:color w:val="auto"/>
          <w:rtl/>
        </w:rPr>
        <w:t>عن</w:t>
      </w:r>
      <w:r w:rsidR="00777DCB" w:rsidRPr="00A52585">
        <w:rPr>
          <w:rStyle w:val="edit-title"/>
          <w:rFonts w:eastAsiaTheme="majorEastAsia" w:hint="cs"/>
          <w:rtl/>
        </w:rPr>
        <w:t xml:space="preserve"> </w:t>
      </w:r>
      <w:r w:rsidR="00777DCB" w:rsidRPr="00A52585">
        <w:rPr>
          <w:rStyle w:val="search-keys1"/>
          <w:rFonts w:hint="cs"/>
          <w:color w:val="auto"/>
          <w:rtl/>
        </w:rPr>
        <w:t>ساقه</w:t>
      </w:r>
      <w:r w:rsidRPr="00A52585">
        <w:rPr>
          <w:rFonts w:hint="cs"/>
          <w:rtl/>
        </w:rPr>
        <w:t>)</w:t>
      </w:r>
      <w:r w:rsidR="00777DCB" w:rsidRPr="00A52585">
        <w:rPr>
          <w:rFonts w:hint="cs"/>
          <w:rtl/>
        </w:rPr>
        <w:t>) بصيغة المعلوم</w:t>
      </w:r>
      <w:r w:rsidR="00DB731D" w:rsidRPr="00A52585">
        <w:rPr>
          <w:rFonts w:hint="cs"/>
          <w:rtl/>
        </w:rPr>
        <w:t>،</w:t>
      </w:r>
      <w:r w:rsidR="00777DCB" w:rsidRPr="00A52585">
        <w:rPr>
          <w:rFonts w:hint="cs"/>
          <w:rtl/>
        </w:rPr>
        <w:t xml:space="preserve"> وقد نص الحافظ ابن حجر في الفتح </w:t>
      </w:r>
      <w:r w:rsidRPr="00A52585">
        <w:rPr>
          <w:rFonts w:hint="cs"/>
          <w:rtl/>
        </w:rPr>
        <w:t>(</w:t>
      </w:r>
      <w:r w:rsidR="00777DCB" w:rsidRPr="00A52585">
        <w:rPr>
          <w:rFonts w:hint="cs"/>
          <w:rtl/>
        </w:rPr>
        <w:t>8 / 664</w:t>
      </w:r>
      <w:r w:rsidRPr="00A52585">
        <w:rPr>
          <w:rFonts w:hint="cs"/>
          <w:rtl/>
        </w:rPr>
        <w:t>)</w:t>
      </w:r>
      <w:r w:rsidR="00777DCB" w:rsidRPr="00A52585">
        <w:rPr>
          <w:rFonts w:hint="cs"/>
          <w:rtl/>
        </w:rPr>
        <w:t xml:space="preserve"> نقلا عن الحافظ الاسماعيلي وأقره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وأما لفظة " ساقه " بإثبات الهاء فهي لفظة غير محفوظة</w:t>
      </w:r>
      <w:r w:rsidRPr="00A52585">
        <w:rPr>
          <w:rFonts w:hint="cs"/>
          <w:rtl/>
        </w:rPr>
        <w:t>)</w:t>
      </w:r>
      <w:r w:rsidR="00777DCB" w:rsidRPr="00A52585">
        <w:rPr>
          <w:rFonts w:hint="cs"/>
          <w:rtl/>
        </w:rPr>
        <w:t xml:space="preserve"> ثم قال الحافظ ابن حجر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من رواية سعيد بن أبي هلال عن زيد بن أسلم فأخرجها الإسماعيلي كذلك ثم قال في قوله " عن ساقه " نكرة</w:t>
      </w:r>
      <w:r w:rsidR="00897A24" w:rsidRPr="00A52585">
        <w:rPr>
          <w:rFonts w:hint="cs"/>
          <w:rtl/>
        </w:rPr>
        <w:t>.</w:t>
      </w:r>
      <w:r w:rsidR="00777DCB" w:rsidRPr="00A52585">
        <w:rPr>
          <w:rFonts w:hint="cs"/>
          <w:rtl/>
        </w:rPr>
        <w:t xml:space="preserve"> ثم أخرجه من طريق حفص بن ميسرة عن زيد بن أسلم بلفظ " يكشف عن ساق " قال الإسماعيلي</w:t>
      </w:r>
      <w:r w:rsidRPr="00A52585">
        <w:rPr>
          <w:rFonts w:hint="cs"/>
          <w:rtl/>
        </w:rPr>
        <w:t>:</w:t>
      </w:r>
      <w:r w:rsidR="00777DCB" w:rsidRPr="00A52585">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فتح الباري</w:t>
      </w:r>
      <w:r w:rsidRPr="00A52585">
        <w:rPr>
          <w:rFonts w:hint="cs"/>
          <w:rtl/>
        </w:rPr>
        <w:t>:</w:t>
      </w:r>
      <w:r w:rsidR="00777DCB" w:rsidRPr="00A52585">
        <w:rPr>
          <w:rFonts w:hint="cs"/>
          <w:rtl/>
        </w:rPr>
        <w:t xml:space="preserve"> ج 8</w:t>
      </w:r>
      <w:r w:rsidR="00DB731D" w:rsidRPr="00A52585">
        <w:rPr>
          <w:rFonts w:hint="cs"/>
          <w:rtl/>
        </w:rPr>
        <w:t>،</w:t>
      </w:r>
      <w:r w:rsidR="00777DCB" w:rsidRPr="00A52585">
        <w:rPr>
          <w:rFonts w:hint="cs"/>
          <w:rtl/>
        </w:rPr>
        <w:t xml:space="preserve"> صـ 664</w:t>
      </w:r>
      <w:r w:rsidRPr="00A52585">
        <w:rPr>
          <w:rFonts w:hint="cs"/>
          <w:rtl/>
        </w:rPr>
        <w:t>]</w:t>
      </w:r>
      <w:r w:rsidR="00DB731D" w:rsidRPr="00A52585">
        <w:rPr>
          <w:rFonts w:hint="cs"/>
          <w:rtl/>
        </w:rPr>
        <w:t>،</w:t>
      </w:r>
      <w:r w:rsidR="00777DCB" w:rsidRPr="00A52585">
        <w:rPr>
          <w:rFonts w:hint="cs"/>
          <w:rtl/>
        </w:rPr>
        <w:t xml:space="preserve"> وقال الألباني</w:t>
      </w:r>
      <w:r w:rsidRPr="00A52585">
        <w:rPr>
          <w:rFonts w:hint="cs"/>
          <w:rtl/>
        </w:rPr>
        <w:t>:</w:t>
      </w:r>
      <w:r w:rsidR="00897A24"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ومع ذلك فلا ضير من صيغة المعلوم لأنا نري قول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وَإِذْ قَالَ رَبُّكَ لِلْمَلَائِكَةِ إِنِّي خَالِقٌ بَشَرًا مِنْ صَلْصَالٍ مِنْ حَمَأٍ مَسْنُونٍ * فَإِذَا سَوَّيْتُهُ وَنَفَخْتُ فِيهِ مِنْ رُوحِي فَقَعُوا لَهُ سَاجِدِينَ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الحجر</w:t>
      </w:r>
      <w:r w:rsidRPr="00A52585">
        <w:rPr>
          <w:rFonts w:hint="cs"/>
          <w:rtl/>
        </w:rPr>
        <w:t>:</w:t>
      </w:r>
      <w:r w:rsidR="00777DCB" w:rsidRPr="00A52585">
        <w:rPr>
          <w:rFonts w:hint="cs"/>
          <w:rtl/>
        </w:rPr>
        <w:t xml:space="preserve"> 28</w:t>
      </w:r>
      <w:r w:rsidR="00DB731D" w:rsidRPr="00A52585">
        <w:rPr>
          <w:rFonts w:hint="cs"/>
          <w:rtl/>
        </w:rPr>
        <w:t>،</w:t>
      </w:r>
      <w:r w:rsidR="00777DCB" w:rsidRPr="00A52585">
        <w:rPr>
          <w:rFonts w:hint="cs"/>
          <w:rtl/>
        </w:rPr>
        <w:t xml:space="preserve"> 29</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إِذْ قَالَ رَبُّكَ لِلْمَلَائِكَةِ إِنِّي خَالِقٌ بَشَرًا مِنْ طِينٍ * فَإِذَا سَوَّيْتُهُ وَنَفَخْتُ فِيهِ مِنْ رُوحِي فَقَعُوا لَهُ سَاجِدِينَ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71</w:t>
      </w:r>
      <w:r w:rsidR="00DB731D" w:rsidRPr="00A52585">
        <w:rPr>
          <w:rFonts w:hint="cs"/>
          <w:rtl/>
        </w:rPr>
        <w:t>،</w:t>
      </w:r>
      <w:r w:rsidR="00777DCB" w:rsidRPr="00A52585">
        <w:rPr>
          <w:rFonts w:hint="cs"/>
          <w:rtl/>
        </w:rPr>
        <w:t xml:space="preserve"> 72</w:t>
      </w:r>
      <w:r w:rsidRPr="00A52585">
        <w:rPr>
          <w:rFonts w:hint="cs"/>
          <w:rtl/>
        </w:rPr>
        <w:t>]</w:t>
      </w:r>
      <w:r w:rsidR="00DB731D" w:rsidRPr="00A52585">
        <w:rPr>
          <w:rFonts w:hint="cs"/>
          <w:rtl/>
        </w:rPr>
        <w:t>،</w:t>
      </w:r>
      <w:r w:rsidR="00777DCB" w:rsidRPr="00A52585">
        <w:rPr>
          <w:rFonts w:hint="cs"/>
          <w:rtl/>
        </w:rPr>
        <w:t xml:space="preserve"> فقد أضاف الله تعالى الروح إلى نفسه</w:t>
      </w:r>
      <w:r w:rsidR="00DB731D" w:rsidRPr="00A52585">
        <w:rPr>
          <w:rFonts w:hint="cs"/>
          <w:rtl/>
        </w:rPr>
        <w:t>،</w:t>
      </w:r>
      <w:r w:rsidR="00777DCB" w:rsidRPr="00A52585">
        <w:rPr>
          <w:rFonts w:hint="cs"/>
          <w:rtl/>
        </w:rPr>
        <w:t xml:space="preserve"> وأجمع أهل الإسلام على أنها روح مخلوقة خلقها الله تعالى وأضافها إليه إضافة تشريف</w:t>
      </w:r>
      <w:r w:rsidR="00DB731D" w:rsidRPr="00A52585">
        <w:rPr>
          <w:rFonts w:hint="cs"/>
          <w:rtl/>
        </w:rPr>
        <w:t>،</w:t>
      </w:r>
      <w:r w:rsidR="00777DCB" w:rsidRPr="00A52585">
        <w:rPr>
          <w:rFonts w:hint="cs"/>
          <w:rtl/>
        </w:rPr>
        <w:t xml:space="preserve"> وكذلك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وَمَرْيَمَ ابْنَةَ عِمْرَانَ الَّتِي أَحْصَنَتْ فَرْجَهَا فَنَفَخْنَا فِيهِ مِنْ رُوحِنَا وَصَدَّقَتْ بِكَلِمَاتِ رَبِّهَا وَكُتُبِهِ وَكَانَتْ مِنَ الْقَانِتِينَ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التحريم</w:t>
      </w:r>
      <w:r w:rsidRPr="00A52585">
        <w:rPr>
          <w:rFonts w:hint="cs"/>
          <w:rtl/>
        </w:rPr>
        <w:t>:</w:t>
      </w:r>
      <w:r w:rsidR="00777DCB" w:rsidRPr="00A52585">
        <w:rPr>
          <w:rFonts w:hint="cs"/>
          <w:rtl/>
        </w:rPr>
        <w:t xml:space="preserve"> 12</w:t>
      </w:r>
      <w:r w:rsidRPr="00A52585">
        <w:rPr>
          <w:rFonts w:hint="cs"/>
          <w:rtl/>
        </w:rPr>
        <w:t>]</w:t>
      </w:r>
      <w:r w:rsidR="00DB731D" w:rsidRPr="00A52585">
        <w:rPr>
          <w:rFonts w:hint="cs"/>
          <w:rtl/>
        </w:rPr>
        <w:t>،</w:t>
      </w:r>
      <w:r w:rsidR="00777DCB" w:rsidRPr="00A52585">
        <w:rPr>
          <w:rFonts w:hint="cs"/>
          <w:rtl/>
        </w:rPr>
        <w:t xml:space="preserve"> وقد أجمع المسلمون على أنّها روح مخلوقة </w:t>
      </w:r>
      <w:r w:rsidR="00777DCB" w:rsidRPr="00A52585">
        <w:rPr>
          <w:rFonts w:hint="cs"/>
          <w:rtl/>
        </w:rPr>
        <w:lastRenderedPageBreak/>
        <w:t>وأضافها الله تعالى إليه إضافة تشريف</w:t>
      </w:r>
      <w:r w:rsidR="00DB731D" w:rsidRPr="00A52585">
        <w:rPr>
          <w:rFonts w:hint="cs"/>
          <w:rtl/>
        </w:rPr>
        <w:t>،</w:t>
      </w:r>
      <w:r w:rsidR="00777DCB" w:rsidRPr="00A52585">
        <w:rPr>
          <w:rFonts w:hint="cs"/>
          <w:rtl/>
        </w:rPr>
        <w:t xml:space="preserve"> ونعود إلى قضية الساق</w:t>
      </w:r>
      <w:r w:rsidR="00DB731D" w:rsidRPr="00A52585">
        <w:rPr>
          <w:rFonts w:hint="cs"/>
          <w:rtl/>
        </w:rPr>
        <w:t>،</w:t>
      </w:r>
      <w:r w:rsidR="00777DCB" w:rsidRPr="00A52585">
        <w:rPr>
          <w:rFonts w:hint="cs"/>
          <w:rtl/>
        </w:rPr>
        <w:t xml:space="preserve"> فأقول</w:t>
      </w:r>
      <w:r w:rsidRPr="00A52585">
        <w:rPr>
          <w:rFonts w:hint="cs"/>
          <w:rtl/>
        </w:rPr>
        <w:t>:</w:t>
      </w:r>
      <w:r w:rsidR="00777DCB" w:rsidRPr="00A52585">
        <w:rPr>
          <w:rFonts w:hint="cs"/>
          <w:rtl/>
        </w:rPr>
        <w:t xml:space="preserve"> إنّ المعنى المراد من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w:t>
      </w:r>
      <w:r w:rsidRPr="00A52585">
        <w:rPr>
          <w:rFonts w:hint="cs"/>
          <w:rtl/>
        </w:rPr>
        <w:t>}</w:t>
      </w:r>
      <w:r w:rsidR="00DB731D" w:rsidRPr="00A52585">
        <w:rPr>
          <w:rFonts w:hint="cs"/>
          <w:rtl/>
        </w:rPr>
        <w:t>،</w:t>
      </w:r>
      <w:r w:rsidR="00777DCB" w:rsidRPr="00A52585">
        <w:rPr>
          <w:rFonts w:hint="cs"/>
          <w:rtl/>
        </w:rPr>
        <w:t xml:space="preserve"> أي يُكشف عن شدة يوم القيامة وكربها ويدعى المنافقون إلى السجود لله فلا يستطيعون</w:t>
      </w:r>
      <w:r w:rsidR="00DB731D" w:rsidRPr="00A52585">
        <w:rPr>
          <w:rFonts w:hint="cs"/>
          <w:rtl/>
        </w:rPr>
        <w:t>،</w:t>
      </w:r>
      <w:r w:rsidR="00777DCB" w:rsidRPr="00A52585">
        <w:rPr>
          <w:rFonts w:hint="cs"/>
          <w:rtl/>
        </w:rPr>
        <w:t xml:space="preserve"> وبهذا قال حبر الأمة وترجمان القرآن عبد الله بن عباس رضي الله عنهما</w:t>
      </w:r>
      <w:r w:rsidR="00DB731D" w:rsidRPr="00A52585">
        <w:rPr>
          <w:rFonts w:hint="cs"/>
          <w:rtl/>
        </w:rPr>
        <w:t>،</w:t>
      </w:r>
      <w:r w:rsidR="00777DCB" w:rsidRPr="00A52585">
        <w:rPr>
          <w:rFonts w:hint="cs"/>
          <w:rtl/>
        </w:rPr>
        <w:t xml:space="preserve"> وجمع غفير من التابعين</w:t>
      </w:r>
      <w:r w:rsidR="00DB731D" w:rsidRPr="00A52585">
        <w:rPr>
          <w:rFonts w:hint="cs"/>
          <w:rtl/>
        </w:rPr>
        <w:t>،</w:t>
      </w:r>
      <w:r w:rsidR="00777DCB" w:rsidRPr="00A52585">
        <w:rPr>
          <w:rFonts w:hint="cs"/>
          <w:rtl/>
        </w:rPr>
        <w:t xml:space="preserve"> وسار على ذلك العلماء والفقهاء والمتخصصون في العقيدة</w:t>
      </w:r>
      <w:r w:rsidR="00DB731D" w:rsidRPr="00A52585">
        <w:rPr>
          <w:rFonts w:hint="cs"/>
          <w:rtl/>
        </w:rPr>
        <w:t>،</w:t>
      </w:r>
      <w:r w:rsidR="00777DCB" w:rsidRPr="00A52585">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00DB731D" w:rsidRPr="00A52585">
        <w:rPr>
          <w:rFonts w:hint="cs"/>
          <w:rtl/>
        </w:rPr>
        <w:t>،</w:t>
      </w:r>
      <w:r w:rsidRPr="00A52585">
        <w:rPr>
          <w:rFonts w:hint="cs"/>
          <w:rtl/>
        </w:rPr>
        <w:t xml:space="preserve"> </w:t>
      </w:r>
      <w:r w:rsidRPr="00A52585">
        <w:rPr>
          <w:rFonts w:hint="cs"/>
          <w:bCs/>
          <w:rtl/>
        </w:rPr>
        <w:t>(</w:t>
      </w:r>
      <w:r w:rsidR="00777DCB" w:rsidRPr="00A52585">
        <w:rPr>
          <w:rFonts w:hint="cs"/>
          <w:bCs/>
          <w:rtl/>
        </w:rPr>
        <w:t>ت</w:t>
      </w:r>
      <w:r w:rsidRPr="00A52585">
        <w:rPr>
          <w:rFonts w:hint="cs"/>
          <w:bCs/>
          <w:rtl/>
        </w:rPr>
        <w:t>)</w:t>
      </w:r>
      <w:r w:rsidR="00777DCB" w:rsidRPr="00A52585">
        <w:rPr>
          <w:rFonts w:hint="cs"/>
          <w:bCs/>
          <w:rtl/>
        </w:rPr>
        <w:t xml:space="preserve"> تأويل الصحابة والتابعين للساق</w:t>
      </w:r>
      <w:r w:rsidRPr="00A52585">
        <w:rPr>
          <w:rFonts w:hint="cs"/>
          <w:bCs/>
          <w:rtl/>
        </w:rPr>
        <w:t>:</w:t>
      </w:r>
      <w:r w:rsidR="00777DCB" w:rsidRPr="00A52585">
        <w:rPr>
          <w:rFonts w:hint="cs"/>
          <w:rtl/>
        </w:rPr>
        <w:t xml:space="preserve"> </w:t>
      </w:r>
      <w:r w:rsidR="00777DCB" w:rsidRPr="00A52585">
        <w:rPr>
          <w:rFonts w:hint="cs"/>
          <w:bCs/>
          <w:rtl/>
        </w:rPr>
        <w:t>قال شيخ المفسرين الطبري في تفسيره</w:t>
      </w:r>
      <w:r w:rsidRPr="00A52585">
        <w:rPr>
          <w:rFonts w:hint="cs"/>
          <w:rtl/>
        </w:rPr>
        <w:t>:</w:t>
      </w:r>
      <w:r w:rsidR="00777DCB" w:rsidRPr="00A52585">
        <w:rPr>
          <w:rFonts w:hint="cs"/>
          <w:rtl/>
        </w:rPr>
        <w:t xml:space="preserve"> " القول في تأويل قوله تعالى </w:t>
      </w:r>
      <w:r w:rsidRPr="00A52585">
        <w:rPr>
          <w:rFonts w:hint="cs"/>
          <w:rtl/>
        </w:rPr>
        <w:t>(</w:t>
      </w:r>
      <w:r w:rsidR="00777DCB" w:rsidRPr="00A52585">
        <w:rPr>
          <w:rFonts w:hint="cs"/>
          <w:rtl/>
        </w:rPr>
        <w:t>يوم يكشف عن ساق ويدعون إلى لسجود فلا يستطيعون</w:t>
      </w:r>
      <w:r w:rsidRPr="00A52585">
        <w:rPr>
          <w:rFonts w:hint="cs"/>
          <w:rtl/>
        </w:rPr>
        <w:t>)</w:t>
      </w:r>
      <w:r w:rsidR="00777DCB" w:rsidRPr="00A52585">
        <w:rPr>
          <w:rFonts w:hint="cs"/>
          <w:rtl/>
        </w:rPr>
        <w:t xml:space="preserve"> يقول تعالى ذكره </w:t>
      </w:r>
      <w:r w:rsidRPr="00A52585">
        <w:rPr>
          <w:rFonts w:hint="cs"/>
          <w:rtl/>
        </w:rPr>
        <w:t>(</w:t>
      </w:r>
      <w:r w:rsidR="00777DCB" w:rsidRPr="00A52585">
        <w:rPr>
          <w:rFonts w:hint="cs"/>
          <w:rtl/>
        </w:rPr>
        <w:t>يوم يكشف عن ساق</w:t>
      </w:r>
      <w:r w:rsidRPr="00A52585">
        <w:rPr>
          <w:rFonts w:hint="cs"/>
          <w:rtl/>
        </w:rPr>
        <w:t>)</w:t>
      </w:r>
      <w:r w:rsidR="00777DCB" w:rsidRPr="00A52585">
        <w:rPr>
          <w:rFonts w:hint="cs"/>
          <w:rtl/>
        </w:rPr>
        <w:t xml:space="preserve"> قال جماعة من الصحابة والتابعين من أهل التأويل يبدو عن أمر شديد</w:t>
      </w:r>
      <w:r w:rsidR="00DB731D" w:rsidRPr="00A52585">
        <w:rPr>
          <w:rFonts w:hint="cs"/>
          <w:rtl/>
        </w:rPr>
        <w:t>،</w:t>
      </w:r>
      <w:r w:rsidR="00777DCB" w:rsidRPr="00A52585">
        <w:rPr>
          <w:rFonts w:hint="cs"/>
          <w:rtl/>
        </w:rPr>
        <w:t xml:space="preserve"> ذكر من قال ذلك 1) حدثني محمد بن عبيد المحاربي قال ثنا عبد الله بن المبارك عن أسامة بن زيد عن عكرمة عن </w:t>
      </w:r>
      <w:r w:rsidR="00777DCB" w:rsidRPr="00A52585">
        <w:rPr>
          <w:rFonts w:hint="cs"/>
          <w:bCs/>
          <w:rtl/>
        </w:rPr>
        <w:t>ابن عباس</w:t>
      </w:r>
      <w:r w:rsidRPr="00A52585">
        <w:rPr>
          <w:rFonts w:hint="cs"/>
          <w:rtl/>
        </w:rPr>
        <w:t>:</w:t>
      </w:r>
      <w:r w:rsidR="00777DCB" w:rsidRPr="00A52585">
        <w:rPr>
          <w:rFonts w:hint="cs"/>
          <w:rtl/>
        </w:rPr>
        <w:t xml:space="preserve">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هو يوم حرب وشدة</w:t>
      </w:r>
      <w:r w:rsidR="00DB731D" w:rsidRPr="00A52585">
        <w:rPr>
          <w:rFonts w:hint="cs"/>
          <w:rtl/>
        </w:rPr>
        <w:t>،</w:t>
      </w:r>
      <w:r w:rsidR="00777DCB" w:rsidRPr="00A52585">
        <w:rPr>
          <w:rFonts w:hint="cs"/>
          <w:rtl/>
        </w:rPr>
        <w:t xml:space="preserve"> 2) حدثنا ابن حميد قال ثنا مهران عن سفيان عن المغيرة عن إبراهيم عن </w:t>
      </w:r>
      <w:r w:rsidR="00777DCB" w:rsidRPr="00A52585">
        <w:rPr>
          <w:rFonts w:hint="cs"/>
          <w:bCs/>
          <w:rtl/>
        </w:rPr>
        <w:t>ابن عباس</w:t>
      </w:r>
      <w:r w:rsidR="00777DCB" w:rsidRPr="00A52585">
        <w:rPr>
          <w:rFonts w:hint="cs"/>
          <w:rtl/>
        </w:rPr>
        <w:t xml:space="preserve">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عن أمر عظيم كقول الشاعر وقامت الحرب بنا على ساق</w:t>
      </w:r>
      <w:r w:rsidR="00DB731D" w:rsidRPr="00A52585">
        <w:rPr>
          <w:rFonts w:hint="cs"/>
          <w:rtl/>
        </w:rPr>
        <w:t>،</w:t>
      </w:r>
      <w:r w:rsidR="00777DCB" w:rsidRPr="00A52585">
        <w:rPr>
          <w:rFonts w:hint="cs"/>
          <w:rtl/>
        </w:rPr>
        <w:t xml:space="preserve"> 3) حدثنا ابن حميد قال ثنا جرير عن مغيرة عن </w:t>
      </w:r>
      <w:r w:rsidR="00777DCB" w:rsidRPr="00A52585">
        <w:rPr>
          <w:rFonts w:hint="cs"/>
          <w:bCs/>
          <w:rtl/>
        </w:rPr>
        <w:t>إبراهيم</w:t>
      </w:r>
      <w:r w:rsidR="00777DCB" w:rsidRPr="00A52585">
        <w:rPr>
          <w:rFonts w:hint="cs"/>
          <w:rtl/>
        </w:rPr>
        <w:t xml:space="preserve"> </w:t>
      </w:r>
      <w:r w:rsidRPr="00A52585">
        <w:rPr>
          <w:rFonts w:hint="cs"/>
          <w:rtl/>
        </w:rPr>
        <w:t>(</w:t>
      </w:r>
      <w:r w:rsidR="00777DCB" w:rsidRPr="00A52585">
        <w:rPr>
          <w:rFonts w:hint="cs"/>
          <w:rtl/>
        </w:rPr>
        <w:t>يوم يكشف عن ساق)</w:t>
      </w:r>
      <w:r w:rsidRPr="00A52585">
        <w:rPr>
          <w:rFonts w:hint="cs"/>
          <w:rtl/>
        </w:rPr>
        <w:t xml:space="preserve"> </w:t>
      </w:r>
      <w:r w:rsidR="00777DCB" w:rsidRPr="00A52585">
        <w:rPr>
          <w:rFonts w:hint="cs"/>
          <w:rtl/>
        </w:rPr>
        <w:t>ولا يبقى مؤمن إلا سجد ويقسو ظهر الكافر فيكون عظما واحدا</w:t>
      </w:r>
      <w:r w:rsidRPr="00A52585">
        <w:rPr>
          <w:rFonts w:hint="cs"/>
          <w:rtl/>
        </w:rPr>
        <w:t xml:space="preserve"> </w:t>
      </w:r>
      <w:r w:rsidR="00777DCB" w:rsidRPr="00A52585">
        <w:rPr>
          <w:rFonts w:hint="cs"/>
          <w:rtl/>
        </w:rPr>
        <w:t xml:space="preserve">وكان </w:t>
      </w:r>
      <w:r w:rsidR="00777DCB" w:rsidRPr="00A52585">
        <w:rPr>
          <w:rFonts w:hint="cs"/>
          <w:bCs/>
          <w:rtl/>
        </w:rPr>
        <w:t>ابن عباس</w:t>
      </w:r>
      <w:r w:rsidR="00777DCB" w:rsidRPr="00A52585">
        <w:rPr>
          <w:rFonts w:hint="cs"/>
          <w:rtl/>
        </w:rPr>
        <w:t xml:space="preserve"> يقول يكشف عن أمر عظيم إلا تسمع العرب تقول وقامت الحرب بنا على ساق</w:t>
      </w:r>
      <w:r w:rsidR="00DB731D" w:rsidRPr="00A52585">
        <w:rPr>
          <w:rFonts w:hint="cs"/>
          <w:rtl/>
        </w:rPr>
        <w:t>،</w:t>
      </w:r>
      <w:r w:rsidR="00777DCB" w:rsidRPr="00A52585">
        <w:rPr>
          <w:rFonts w:hint="cs"/>
          <w:rtl/>
        </w:rPr>
        <w:t xml:space="preserve"> 4) حدثني محمد بن سعد قال ثني أبي قال ثني عمي قال ثنا أبي عن أبيه </w:t>
      </w:r>
      <w:r w:rsidR="00777DCB" w:rsidRPr="00A52585">
        <w:rPr>
          <w:rFonts w:hint="cs"/>
          <w:bCs/>
          <w:rtl/>
        </w:rPr>
        <w:t xml:space="preserve">عن ابن عباس </w:t>
      </w:r>
      <w:r w:rsidR="00777DCB" w:rsidRPr="00A52585">
        <w:rPr>
          <w:rFonts w:hint="cs"/>
          <w:rtl/>
        </w:rPr>
        <w:t>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يقول حين يكشف الأمر وتبدو الأعمال وكشفه دخول الآخرة وكشف الأمر عنه</w:t>
      </w:r>
      <w:r w:rsidR="00DB731D" w:rsidRPr="00A52585">
        <w:rPr>
          <w:rFonts w:hint="cs"/>
          <w:rtl/>
        </w:rPr>
        <w:t>،</w:t>
      </w:r>
      <w:r w:rsidR="00777DCB" w:rsidRPr="00A52585">
        <w:rPr>
          <w:rFonts w:hint="cs"/>
          <w:rtl/>
        </w:rPr>
        <w:t xml:space="preserve"> 5) حدثني علي قال ثنا أبو صالح قال ثنا معاوية عن </w:t>
      </w:r>
      <w:r w:rsidR="00777DCB" w:rsidRPr="00A52585">
        <w:rPr>
          <w:rFonts w:hint="cs"/>
          <w:bCs/>
          <w:rtl/>
        </w:rPr>
        <w:t>ابن عباس</w:t>
      </w:r>
      <w:r w:rsidR="00777DCB" w:rsidRPr="00A52585">
        <w:rPr>
          <w:rFonts w:hint="cs"/>
          <w:rtl/>
        </w:rPr>
        <w:t xml:space="preserve">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 xml:space="preserve">هو الأمر الشديد </w:t>
      </w:r>
      <w:proofErr w:type="spellStart"/>
      <w:r w:rsidR="00777DCB" w:rsidRPr="00A52585">
        <w:rPr>
          <w:rFonts w:hint="cs"/>
          <w:rtl/>
        </w:rPr>
        <w:t>المفظع</w:t>
      </w:r>
      <w:proofErr w:type="spellEnd"/>
      <w:r w:rsidR="00777DCB" w:rsidRPr="00A52585">
        <w:rPr>
          <w:rFonts w:hint="cs"/>
          <w:rtl/>
        </w:rPr>
        <w:t xml:space="preserve"> من الهول يوم القيامة</w:t>
      </w:r>
      <w:r w:rsidR="00DB731D" w:rsidRPr="00A52585">
        <w:rPr>
          <w:rFonts w:hint="cs"/>
          <w:rtl/>
        </w:rPr>
        <w:t>،</w:t>
      </w:r>
      <w:r w:rsidR="00777DCB" w:rsidRPr="00A52585">
        <w:rPr>
          <w:rFonts w:hint="cs"/>
          <w:rtl/>
        </w:rPr>
        <w:t xml:space="preserve"> 6) حدثني محمد بن عبيد المحاربي وابن حميد قالا ثنا ابن المبارك عن ابن جريج عن </w:t>
      </w:r>
      <w:r w:rsidR="00777DCB" w:rsidRPr="00A52585">
        <w:rPr>
          <w:rFonts w:hint="cs"/>
          <w:bCs/>
          <w:rtl/>
        </w:rPr>
        <w:t>مجاهد</w:t>
      </w:r>
      <w:r w:rsidR="00777DCB" w:rsidRPr="00A52585">
        <w:rPr>
          <w:rFonts w:hint="cs"/>
          <w:rtl/>
        </w:rPr>
        <w:t xml:space="preserve">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 xml:space="preserve">قال شدة الأمر وجده قال </w:t>
      </w:r>
      <w:r w:rsidR="00777DCB" w:rsidRPr="00A52585">
        <w:rPr>
          <w:rFonts w:hint="cs"/>
          <w:bCs/>
          <w:rtl/>
        </w:rPr>
        <w:t>ابن عباس</w:t>
      </w:r>
      <w:r w:rsidR="00777DCB" w:rsidRPr="00A52585">
        <w:rPr>
          <w:rFonts w:hint="cs"/>
          <w:rtl/>
        </w:rPr>
        <w:t xml:space="preserve"> هي أشد ساعة في يوم القيامة</w:t>
      </w:r>
      <w:r w:rsidR="00DB731D" w:rsidRPr="00A52585">
        <w:rPr>
          <w:rFonts w:hint="cs"/>
          <w:rtl/>
        </w:rPr>
        <w:t>،</w:t>
      </w:r>
      <w:r w:rsidR="00777DCB" w:rsidRPr="00A52585">
        <w:rPr>
          <w:rFonts w:hint="cs"/>
          <w:rtl/>
        </w:rPr>
        <w:t xml:space="preserve"> 7) حدثني محمد بن عمرو قال ثنا أبو عاصم قال ثنا عيسى وحدثني الحارث قال ثنا الحسن قال ثنا ورقاء جميعا عن ابن أبي نجيح عن </w:t>
      </w:r>
      <w:r w:rsidR="00777DCB" w:rsidRPr="00A52585">
        <w:rPr>
          <w:rFonts w:hint="cs"/>
          <w:bCs/>
          <w:rtl/>
        </w:rPr>
        <w:t>مجاهد</w:t>
      </w:r>
      <w:r w:rsidR="00777DCB" w:rsidRPr="00A52585">
        <w:rPr>
          <w:rFonts w:hint="cs"/>
          <w:rtl/>
        </w:rPr>
        <w:t xml:space="preserve">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 xml:space="preserve">قال شدة الأمر قال </w:t>
      </w:r>
      <w:r w:rsidR="00777DCB" w:rsidRPr="00A52585">
        <w:rPr>
          <w:rFonts w:hint="cs"/>
          <w:bCs/>
          <w:rtl/>
        </w:rPr>
        <w:t>ابن عباس</w:t>
      </w:r>
      <w:r w:rsidR="00777DCB" w:rsidRPr="00A52585">
        <w:rPr>
          <w:rFonts w:hint="cs"/>
          <w:rtl/>
        </w:rPr>
        <w:t xml:space="preserve"> هي أول ساعة تكون في يوم القيامة غير أن في حديث الحارث قال وقال ابن عباس هي أشد ساعة تكون في يوم القيامة</w:t>
      </w:r>
      <w:r w:rsidR="00DB731D" w:rsidRPr="00A52585">
        <w:rPr>
          <w:rFonts w:hint="cs"/>
          <w:rtl/>
        </w:rPr>
        <w:t>،</w:t>
      </w:r>
      <w:r w:rsidR="00777DCB" w:rsidRPr="00A52585">
        <w:rPr>
          <w:rFonts w:hint="cs"/>
          <w:rtl/>
        </w:rPr>
        <w:t xml:space="preserve"> 8) حدثنا ابن حميد قال ثنا مهران عن سفيان عن عاصم بن كليب عن </w:t>
      </w:r>
      <w:r w:rsidR="00777DCB" w:rsidRPr="00A52585">
        <w:rPr>
          <w:rFonts w:hint="cs"/>
          <w:bCs/>
          <w:rtl/>
        </w:rPr>
        <w:t xml:space="preserve">سعيد بن جبير </w:t>
      </w:r>
      <w:r w:rsidR="00777DCB" w:rsidRPr="00A52585">
        <w:rPr>
          <w:rFonts w:hint="cs"/>
          <w:rtl/>
        </w:rPr>
        <w:t>قال عن شدة الأمر</w:t>
      </w:r>
      <w:r w:rsidR="00DB731D" w:rsidRPr="00A52585">
        <w:rPr>
          <w:rFonts w:hint="cs"/>
          <w:rtl/>
        </w:rPr>
        <w:t>،</w:t>
      </w:r>
      <w:r w:rsidR="00777DCB" w:rsidRPr="00A52585">
        <w:rPr>
          <w:rFonts w:hint="cs"/>
          <w:rtl/>
        </w:rPr>
        <w:t xml:space="preserve"> 9) حدثنا بشر قال ثنا يزيد قال ثنا سعيد عن </w:t>
      </w:r>
      <w:r w:rsidR="00777DCB" w:rsidRPr="00A52585">
        <w:rPr>
          <w:rFonts w:hint="cs"/>
          <w:bCs/>
          <w:rtl/>
        </w:rPr>
        <w:t>قتادة</w:t>
      </w:r>
      <w:r w:rsidR="00777DCB" w:rsidRPr="00A52585">
        <w:rPr>
          <w:rFonts w:hint="cs"/>
          <w:rtl/>
        </w:rPr>
        <w:t xml:space="preserve"> في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عن أمر فظيع جليل</w:t>
      </w:r>
      <w:r w:rsidR="00DB731D" w:rsidRPr="00A52585">
        <w:rPr>
          <w:rFonts w:hint="cs"/>
          <w:rtl/>
        </w:rPr>
        <w:t>،</w:t>
      </w:r>
      <w:r w:rsidR="00777DCB" w:rsidRPr="00A52585">
        <w:rPr>
          <w:rFonts w:hint="cs"/>
          <w:rtl/>
        </w:rPr>
        <w:t xml:space="preserve"> 10) حدثنا ابن عبد الأعلى </w:t>
      </w:r>
      <w:r w:rsidR="00777DCB" w:rsidRPr="00A52585">
        <w:rPr>
          <w:rFonts w:hint="cs"/>
          <w:rtl/>
        </w:rPr>
        <w:lastRenderedPageBreak/>
        <w:t xml:space="preserve">قال ثنا ابن ثور عن معمر عن </w:t>
      </w:r>
      <w:r w:rsidR="00777DCB" w:rsidRPr="00A52585">
        <w:rPr>
          <w:rFonts w:hint="cs"/>
          <w:bCs/>
          <w:rtl/>
        </w:rPr>
        <w:t>قتادة</w:t>
      </w:r>
      <w:r w:rsidR="00777DCB" w:rsidRPr="00A52585">
        <w:rPr>
          <w:rFonts w:hint="cs"/>
          <w:rtl/>
        </w:rPr>
        <w:t xml:space="preserve"> في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يوم يكشف عن شدة الأمر</w:t>
      </w:r>
      <w:r w:rsidR="00DB731D" w:rsidRPr="00A52585">
        <w:rPr>
          <w:rFonts w:hint="cs"/>
          <w:rtl/>
        </w:rPr>
        <w:t>،</w:t>
      </w:r>
      <w:r w:rsidR="00777DCB" w:rsidRPr="00A52585">
        <w:rPr>
          <w:rFonts w:hint="cs"/>
          <w:rtl/>
        </w:rPr>
        <w:t xml:space="preserve"> 11) حدثت عن الحسين قال سمعت أبا معاذ يقول ثنا عبيد قال سمعت </w:t>
      </w:r>
      <w:r w:rsidR="00777DCB" w:rsidRPr="00A52585">
        <w:rPr>
          <w:rFonts w:hint="cs"/>
          <w:bCs/>
          <w:rtl/>
        </w:rPr>
        <w:t xml:space="preserve">الضحاك </w:t>
      </w:r>
      <w:r w:rsidR="00777DCB" w:rsidRPr="00A52585">
        <w:rPr>
          <w:rFonts w:hint="cs"/>
          <w:rtl/>
        </w:rPr>
        <w:t>يقول في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 xml:space="preserve">وكان </w:t>
      </w:r>
      <w:r w:rsidR="00777DCB" w:rsidRPr="00A52585">
        <w:rPr>
          <w:rFonts w:hint="cs"/>
          <w:bCs/>
          <w:rtl/>
        </w:rPr>
        <w:t>ابن عباس</w:t>
      </w:r>
      <w:r w:rsidR="00777DCB" w:rsidRPr="00A52585">
        <w:rPr>
          <w:rFonts w:hint="cs"/>
          <w:rtl/>
        </w:rPr>
        <w:t xml:space="preserve"> يقول كان أهل الجاهلية يقولون شمرت الحرب عن ساق يعني إقبال الآخرة وذهاب الدنيا</w:t>
      </w:r>
      <w:r w:rsidR="00897A24"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12)حدثنا ابن حميد قال ثنا ابن المبارك عن أسامة بن زيد عن </w:t>
      </w:r>
      <w:r w:rsidR="00777DCB" w:rsidRPr="00A52585">
        <w:rPr>
          <w:rFonts w:hint="cs"/>
          <w:bCs/>
          <w:rtl/>
        </w:rPr>
        <w:t>عكرمة</w:t>
      </w:r>
      <w:r w:rsidR="00777DCB" w:rsidRPr="00A52585">
        <w:rPr>
          <w:rFonts w:hint="cs"/>
          <w:rtl/>
        </w:rPr>
        <w:t xml:space="preserve"> في قوله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هو يوم كرب وشدة</w:t>
      </w:r>
      <w:r w:rsidRPr="00A52585">
        <w:rPr>
          <w:rFonts w:hint="cs"/>
          <w:rtl/>
        </w:rPr>
        <w:t xml:space="preserve"> </w:t>
      </w:r>
      <w:r w:rsidR="00777DCB" w:rsidRPr="00A52585">
        <w:rPr>
          <w:rFonts w:hint="cs"/>
          <w:rtl/>
        </w:rPr>
        <w:t xml:space="preserve">وذكر عن </w:t>
      </w:r>
      <w:r w:rsidR="00777DCB" w:rsidRPr="00A52585">
        <w:rPr>
          <w:rFonts w:hint="cs"/>
          <w:bCs/>
          <w:rtl/>
        </w:rPr>
        <w:t>ابن عباس</w:t>
      </w:r>
      <w:r w:rsidR="00777DCB" w:rsidRPr="00A52585">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كشفت لهم عن ساقها</w:t>
      </w:r>
      <w:r w:rsidRPr="00A52585">
        <w:rPr>
          <w:rFonts w:hint="cs"/>
          <w:rtl/>
        </w:rPr>
        <w:t xml:space="preserve"> </w:t>
      </w:r>
      <w:r w:rsidR="00777DCB" w:rsidRPr="00A52585">
        <w:rPr>
          <w:rFonts w:hint="cs"/>
          <w:rtl/>
        </w:rPr>
        <w:t>وبدا من الشر الصراح</w:t>
      </w:r>
      <w:r w:rsidRPr="00A52585">
        <w:rPr>
          <w:rFonts w:hint="cs"/>
          <w:rtl/>
        </w:rPr>
        <w:t xml:space="preserve">) </w:t>
      </w:r>
      <w:r w:rsidR="00777DCB" w:rsidRPr="00A52585">
        <w:rPr>
          <w:rFonts w:hint="cs"/>
          <w:rtl/>
        </w:rPr>
        <w:t>" [تفسير الطبري ج: 29 ص: 38] أهـ</w:t>
      </w:r>
      <w:r w:rsidR="00DB731D" w:rsidRPr="00A52585">
        <w:rPr>
          <w:rFonts w:hint="cs"/>
          <w:rtl/>
        </w:rPr>
        <w:t>،</w:t>
      </w:r>
      <w:r w:rsidR="00777DCB" w:rsidRPr="00A52585">
        <w:rPr>
          <w:rFonts w:hint="cs"/>
          <w:rtl/>
        </w:rPr>
        <w:t xml:space="preserve"> </w:t>
      </w:r>
      <w:r w:rsidR="00777DCB" w:rsidRPr="00A52585">
        <w:rPr>
          <w:rFonts w:hint="cs"/>
          <w:bCs/>
          <w:rtl/>
        </w:rPr>
        <w:t>وقال السيوطي في الدر المنثور</w:t>
      </w:r>
      <w:r w:rsidRPr="00A52585">
        <w:rPr>
          <w:rFonts w:hint="cs"/>
          <w:rtl/>
        </w:rPr>
        <w:t>:</w:t>
      </w:r>
      <w:r w:rsidR="00777DCB" w:rsidRPr="00A52585">
        <w:rPr>
          <w:rFonts w:hint="cs"/>
          <w:rtl/>
        </w:rPr>
        <w:t xml:space="preserve"> " 1) أخرج </w:t>
      </w:r>
      <w:proofErr w:type="spellStart"/>
      <w:r w:rsidR="00777DCB" w:rsidRPr="00A52585">
        <w:rPr>
          <w:rFonts w:hint="cs"/>
          <w:rtl/>
        </w:rPr>
        <w:t>الفريابي</w:t>
      </w:r>
      <w:proofErr w:type="spellEnd"/>
      <w:r w:rsidR="00777DCB" w:rsidRPr="00A52585">
        <w:rPr>
          <w:rFonts w:hint="cs"/>
          <w:rtl/>
        </w:rPr>
        <w:t xml:space="preserve"> وسعيد بن مصور وابن منده والبيهقي في الأسماء والصفات من طريق إبراهيم النخعي في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proofErr w:type="spellStart"/>
      <w:r w:rsidR="00777DCB" w:rsidRPr="00A52585">
        <w:rPr>
          <w:rFonts w:hint="cs"/>
          <w:rtl/>
        </w:rPr>
        <w:t>قال</w:t>
      </w:r>
      <w:proofErr w:type="spellEnd"/>
      <w:r w:rsidR="00777DCB" w:rsidRPr="00A52585">
        <w:rPr>
          <w:rFonts w:hint="cs"/>
          <w:rtl/>
        </w:rPr>
        <w:t xml:space="preserve"> ابن عباس يكشف عن أمر عظيم ثم قال</w:t>
      </w:r>
      <w:r w:rsidRPr="00A52585">
        <w:rPr>
          <w:rFonts w:hint="cs"/>
          <w:rtl/>
        </w:rPr>
        <w:t xml:space="preserve"> </w:t>
      </w:r>
      <w:r w:rsidR="00777DCB" w:rsidRPr="00A52585">
        <w:rPr>
          <w:rFonts w:hint="cs"/>
          <w:rtl/>
        </w:rPr>
        <w:t>قد قامت الحرب على ساق</w:t>
      </w:r>
      <w:r w:rsidR="00897A24" w:rsidRPr="00A52585">
        <w:rPr>
          <w:rFonts w:hint="cs"/>
          <w:rtl/>
        </w:rPr>
        <w:t>.</w:t>
      </w:r>
      <w:r w:rsidR="00777DCB" w:rsidRPr="00A52585">
        <w:rPr>
          <w:rFonts w:hint="cs"/>
          <w:rtl/>
        </w:rPr>
        <w:t>.، 2) وأخرج عبد بن حميد وابن المنذر وابن أبي حاتم والحاكم وصححه والبيهقي في الأسماء والصفات من طريق عكرمة عن ابن عباس أنه سئل عن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إذا خفي عليكم شيء من القرآن فابتغوه في الشعر فإنه ديوان العرب أما سمعتم قول الشاعر</w:t>
      </w:r>
      <w:r w:rsidRPr="00A52585">
        <w:rPr>
          <w:rFonts w:hint="cs"/>
          <w:rtl/>
        </w:rPr>
        <w:t>: (</w:t>
      </w:r>
      <w:r w:rsidR="00777DCB" w:rsidRPr="00A52585">
        <w:rPr>
          <w:rFonts w:hint="cs"/>
          <w:rtl/>
        </w:rPr>
        <w:t>أصبر عناق أنه شر باق * قد سن لي قومك ضرب الأعناق * وقامت الحرب بنا على ساق</w:t>
      </w:r>
      <w:r w:rsidRPr="00A52585">
        <w:rPr>
          <w:rFonts w:hint="cs"/>
          <w:rtl/>
        </w:rPr>
        <w:t>)</w:t>
      </w:r>
      <w:r w:rsidR="00777DCB" w:rsidRPr="00A52585">
        <w:rPr>
          <w:rFonts w:hint="cs"/>
          <w:rtl/>
        </w:rPr>
        <w:t xml:space="preserve"> قال ابن عباس</w:t>
      </w:r>
      <w:r w:rsidRPr="00A52585">
        <w:rPr>
          <w:rFonts w:hint="cs"/>
          <w:rtl/>
        </w:rPr>
        <w:t xml:space="preserve"> </w:t>
      </w:r>
      <w:r w:rsidR="00777DCB" w:rsidRPr="00A52585">
        <w:rPr>
          <w:rFonts w:hint="cs"/>
          <w:rtl/>
        </w:rPr>
        <w:t>هذا يوم كرب وشدة</w:t>
      </w:r>
      <w:r w:rsidR="00DB731D" w:rsidRPr="00A52585">
        <w:rPr>
          <w:rFonts w:hint="cs"/>
          <w:rtl/>
        </w:rPr>
        <w:t>،</w:t>
      </w:r>
      <w:r w:rsidR="00777DCB" w:rsidRPr="00A52585">
        <w:rPr>
          <w:rFonts w:hint="cs"/>
          <w:rtl/>
        </w:rPr>
        <w:t xml:space="preserve"> 3) وأخرج </w:t>
      </w:r>
      <w:proofErr w:type="spellStart"/>
      <w:r w:rsidR="00777DCB" w:rsidRPr="00A52585">
        <w:rPr>
          <w:rFonts w:hint="cs"/>
          <w:rtl/>
        </w:rPr>
        <w:t>الطستي</w:t>
      </w:r>
      <w:proofErr w:type="spellEnd"/>
      <w:r w:rsidR="00777DCB" w:rsidRPr="00A52585">
        <w:rPr>
          <w:rFonts w:hint="cs"/>
          <w:rtl/>
        </w:rPr>
        <w:t xml:space="preserve"> في مسائلة عن ابن عباس أن نافع بن الأزرق سأله عن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عن شدة الآخرة قال</w:t>
      </w:r>
      <w:r w:rsidRPr="00A52585">
        <w:rPr>
          <w:rFonts w:hint="cs"/>
          <w:rtl/>
        </w:rPr>
        <w:t xml:space="preserve"> </w:t>
      </w:r>
      <w:r w:rsidR="00777DCB" w:rsidRPr="00A52585">
        <w:rPr>
          <w:rFonts w:hint="cs"/>
          <w:rtl/>
        </w:rPr>
        <w:t>وهل تعرف العرب ذلك</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نعم أما سمعت قول الشاعر</w:t>
      </w:r>
      <w:r w:rsidRPr="00A52585">
        <w:rPr>
          <w:rFonts w:hint="cs"/>
          <w:rtl/>
        </w:rPr>
        <w:t xml:space="preserve"> </w:t>
      </w:r>
      <w:r w:rsidR="00777DCB" w:rsidRPr="00A52585">
        <w:rPr>
          <w:rFonts w:hint="cs"/>
          <w:rtl/>
        </w:rPr>
        <w:t>قد قامت الحرب بنا على ساق</w:t>
      </w:r>
      <w:r w:rsidR="00DB731D" w:rsidRPr="00A52585">
        <w:rPr>
          <w:rFonts w:hint="cs"/>
          <w:rtl/>
        </w:rPr>
        <w:t>،</w:t>
      </w:r>
      <w:r w:rsidR="00777DCB" w:rsidRPr="00A52585">
        <w:rPr>
          <w:rFonts w:hint="cs"/>
          <w:rtl/>
        </w:rPr>
        <w:t xml:space="preserve"> 4) وأخرج ابن أبي حاتم والبيهقي في الأسماء والصفات عن ابن عباس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 xml:space="preserve">هو الأمر الشديد </w:t>
      </w:r>
      <w:proofErr w:type="spellStart"/>
      <w:r w:rsidR="00777DCB" w:rsidRPr="00A52585">
        <w:rPr>
          <w:rFonts w:hint="cs"/>
          <w:rtl/>
        </w:rPr>
        <w:t>المفظع</w:t>
      </w:r>
      <w:proofErr w:type="spellEnd"/>
      <w:r w:rsidR="00777DCB" w:rsidRPr="00A52585">
        <w:rPr>
          <w:rFonts w:hint="cs"/>
          <w:rtl/>
        </w:rPr>
        <w:t xml:space="preserve"> من الهول يوم القيامة</w:t>
      </w:r>
      <w:r w:rsidR="00DB731D" w:rsidRPr="00A52585">
        <w:rPr>
          <w:rFonts w:hint="cs"/>
          <w:rtl/>
        </w:rPr>
        <w:t>،</w:t>
      </w:r>
      <w:r w:rsidR="00777DCB" w:rsidRPr="00A52585">
        <w:rPr>
          <w:rFonts w:hint="cs"/>
          <w:rtl/>
        </w:rPr>
        <w:t xml:space="preserve"> 5) وأخرج ابن </w:t>
      </w:r>
      <w:proofErr w:type="spellStart"/>
      <w:r w:rsidR="00777DCB" w:rsidRPr="00A52585">
        <w:rPr>
          <w:rFonts w:hint="cs"/>
          <w:rtl/>
        </w:rPr>
        <w:t>مندة</w:t>
      </w:r>
      <w:proofErr w:type="spellEnd"/>
      <w:r w:rsidR="00777DCB" w:rsidRPr="00A52585">
        <w:rPr>
          <w:rFonts w:hint="cs"/>
          <w:rtl/>
        </w:rPr>
        <w:t xml:space="preserve"> عن ابن عباس في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عن شدة الآخرة</w:t>
      </w:r>
      <w:r w:rsidR="00DB731D" w:rsidRPr="00A52585">
        <w:rPr>
          <w:rFonts w:hint="cs"/>
          <w:rtl/>
        </w:rPr>
        <w:t>،</w:t>
      </w:r>
      <w:r w:rsidR="00777DCB" w:rsidRPr="00A52585">
        <w:rPr>
          <w:rFonts w:hint="cs"/>
          <w:rtl/>
        </w:rPr>
        <w:t xml:space="preserve"> 6) وأخرج </w:t>
      </w:r>
      <w:proofErr w:type="spellStart"/>
      <w:r w:rsidR="00777DCB" w:rsidRPr="00A52585">
        <w:rPr>
          <w:rFonts w:hint="cs"/>
          <w:rtl/>
        </w:rPr>
        <w:t>الفريابي</w:t>
      </w:r>
      <w:proofErr w:type="spellEnd"/>
      <w:r w:rsidR="00777DCB" w:rsidRPr="00A52585">
        <w:rPr>
          <w:rFonts w:hint="cs"/>
          <w:rtl/>
        </w:rPr>
        <w:t xml:space="preserve"> وعبد بن حميد وابن المنذر وابن </w:t>
      </w:r>
      <w:proofErr w:type="spellStart"/>
      <w:r w:rsidR="00777DCB" w:rsidRPr="00A52585">
        <w:rPr>
          <w:rFonts w:hint="cs"/>
          <w:rtl/>
        </w:rPr>
        <w:t>مندة</w:t>
      </w:r>
      <w:proofErr w:type="spellEnd"/>
      <w:r w:rsidR="00777DCB" w:rsidRPr="00A52585">
        <w:rPr>
          <w:rFonts w:hint="cs"/>
          <w:rtl/>
        </w:rPr>
        <w:t xml:space="preserve"> عن مجاهد في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عن شدة الأمر وجده قال</w:t>
      </w:r>
      <w:r w:rsidRPr="00A52585">
        <w:rPr>
          <w:rFonts w:hint="cs"/>
          <w:rtl/>
        </w:rPr>
        <w:t xml:space="preserve"> </w:t>
      </w:r>
      <w:r w:rsidR="00777DCB" w:rsidRPr="00A52585">
        <w:rPr>
          <w:rFonts w:hint="cs"/>
          <w:rtl/>
        </w:rPr>
        <w:t>وكان ابن عباس يقول</w:t>
      </w:r>
      <w:r w:rsidRPr="00A52585">
        <w:rPr>
          <w:rFonts w:hint="cs"/>
          <w:rtl/>
        </w:rPr>
        <w:t xml:space="preserve"> </w:t>
      </w:r>
      <w:r w:rsidR="00777DCB" w:rsidRPr="00A52585">
        <w:rPr>
          <w:rFonts w:hint="cs"/>
          <w:rtl/>
        </w:rPr>
        <w:t>هي أشد ساعة تكون يوم القيامة</w:t>
      </w:r>
      <w:r w:rsidR="00DB731D" w:rsidRPr="00A52585">
        <w:rPr>
          <w:rFonts w:hint="cs"/>
          <w:rtl/>
        </w:rPr>
        <w:t>،</w:t>
      </w:r>
      <w:r w:rsidR="00777DCB" w:rsidRPr="00A52585">
        <w:rPr>
          <w:rFonts w:hint="cs"/>
          <w:rtl/>
        </w:rPr>
        <w:t xml:space="preserve"> 7) وأخرج البيهقي في الأسماء والصفات عن ابن عباس أنه قرأ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يريد القيامة والساعة لشدتها</w:t>
      </w:r>
      <w:r w:rsidR="00DB731D" w:rsidRPr="00A52585">
        <w:rPr>
          <w:rFonts w:hint="cs"/>
          <w:rtl/>
        </w:rPr>
        <w:t>،</w:t>
      </w:r>
      <w:r w:rsidR="00777DCB" w:rsidRPr="00A52585">
        <w:rPr>
          <w:rFonts w:hint="cs"/>
          <w:rtl/>
        </w:rPr>
        <w:t xml:space="preserve"> 8) وأخرج البيهقي عن ابن عباس في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حين يكشف الأمر وتبدو الأعمال وكشفه دخول الآخرة وكشف الأمر عنه</w:t>
      </w:r>
      <w:r w:rsidR="00DB731D" w:rsidRPr="00A52585">
        <w:rPr>
          <w:rFonts w:hint="cs"/>
          <w:rtl/>
        </w:rPr>
        <w:t>،</w:t>
      </w:r>
      <w:r w:rsidR="00777DCB" w:rsidRPr="00A52585">
        <w:rPr>
          <w:rFonts w:hint="cs"/>
          <w:rtl/>
        </w:rPr>
        <w:t xml:space="preserve"> 9) وأخرج سعيد بن منصور وعبد بن حميد وابن </w:t>
      </w:r>
      <w:proofErr w:type="spellStart"/>
      <w:r w:rsidR="00777DCB" w:rsidRPr="00A52585">
        <w:rPr>
          <w:rFonts w:hint="cs"/>
          <w:rtl/>
        </w:rPr>
        <w:t>مندة</w:t>
      </w:r>
      <w:proofErr w:type="spellEnd"/>
      <w:r w:rsidR="00777DCB" w:rsidRPr="00A52585">
        <w:rPr>
          <w:rFonts w:hint="cs"/>
          <w:rtl/>
        </w:rPr>
        <w:t xml:space="preserve"> من طريق عمرو بن دينار قال</w:t>
      </w:r>
      <w:r w:rsidRPr="00A52585">
        <w:rPr>
          <w:rFonts w:hint="cs"/>
          <w:rtl/>
        </w:rPr>
        <w:t xml:space="preserve"> </w:t>
      </w:r>
      <w:r w:rsidR="00777DCB" w:rsidRPr="00A52585">
        <w:rPr>
          <w:rFonts w:hint="cs"/>
          <w:rtl/>
        </w:rPr>
        <w:t xml:space="preserve">كان </w:t>
      </w:r>
      <w:r w:rsidR="00777DCB" w:rsidRPr="00A52585">
        <w:rPr>
          <w:rFonts w:hint="cs"/>
          <w:bCs/>
          <w:rtl/>
        </w:rPr>
        <w:t>ابن عباس</w:t>
      </w:r>
      <w:r w:rsidR="00777DCB" w:rsidRPr="00A52585">
        <w:rPr>
          <w:rFonts w:hint="cs"/>
          <w:rtl/>
        </w:rPr>
        <w:t xml:space="preserve"> يقرأ</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بفتح التاء قال أبو حاتم السجستاني</w:t>
      </w:r>
      <w:r w:rsidRPr="00A52585">
        <w:rPr>
          <w:rFonts w:hint="cs"/>
          <w:rtl/>
        </w:rPr>
        <w:t xml:space="preserve"> </w:t>
      </w:r>
      <w:r w:rsidR="00777DCB" w:rsidRPr="00A52585">
        <w:rPr>
          <w:rFonts w:hint="cs"/>
          <w:rtl/>
        </w:rPr>
        <w:t>أي تكشف الآخرة عن ساقها يستبين منها ما كان غائبا</w:t>
      </w:r>
      <w:r w:rsidR="00897A24"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10) وأخرج عبد بن حميد وابن </w:t>
      </w:r>
      <w:r w:rsidR="00777DCB" w:rsidRPr="00A52585">
        <w:rPr>
          <w:rFonts w:hint="cs"/>
          <w:rtl/>
        </w:rPr>
        <w:lastRenderedPageBreak/>
        <w:t>المنذر والبيهقي في الأسماء والصفات عن عكرمة أنه سئل عن قوله</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إن العرب كانوا إذا اشتد القتال فيهم والحرب وعظم الأمر فيهم قالوا لشدة ذلك</w:t>
      </w:r>
      <w:r w:rsidRPr="00A52585">
        <w:rPr>
          <w:rFonts w:hint="cs"/>
          <w:rtl/>
        </w:rPr>
        <w:t xml:space="preserve"> </w:t>
      </w:r>
      <w:r w:rsidR="00777DCB" w:rsidRPr="00A52585">
        <w:rPr>
          <w:rFonts w:hint="cs"/>
          <w:rtl/>
        </w:rPr>
        <w:t>قد كشفت الحرب عن ساق فذكر الله شدة ذلك اليوم بما يعرفون</w:t>
      </w:r>
      <w:r w:rsidR="00DB731D" w:rsidRPr="00A52585">
        <w:rPr>
          <w:rFonts w:hint="cs"/>
          <w:rtl/>
        </w:rPr>
        <w:t>،</w:t>
      </w:r>
      <w:r w:rsidR="00777DCB" w:rsidRPr="00A52585">
        <w:rPr>
          <w:rFonts w:hint="cs"/>
          <w:rtl/>
        </w:rPr>
        <w:t xml:space="preserve"> 11)</w:t>
      </w:r>
      <w:r w:rsidR="00777DCB" w:rsidRPr="00A52585">
        <w:rPr>
          <w:rFonts w:hint="cs"/>
          <w:bCs/>
          <w:rtl/>
        </w:rPr>
        <w:t xml:space="preserve"> وأخرج عبد بن حميد وابن المنذر عن سعيد بن جبير أنه سئل عن قوله</w:t>
      </w:r>
      <w:r w:rsidRPr="00A52585">
        <w:rPr>
          <w:rFonts w:hint="cs"/>
          <w:bCs/>
          <w:rtl/>
        </w:rPr>
        <w:t xml:space="preserve"> </w:t>
      </w:r>
      <w:r w:rsidR="00777DCB" w:rsidRPr="00A52585">
        <w:rPr>
          <w:rFonts w:hint="cs"/>
          <w:bCs/>
          <w:rtl/>
        </w:rPr>
        <w:t>يوم</w:t>
      </w:r>
      <w:r w:rsidRPr="00A52585">
        <w:rPr>
          <w:rFonts w:hint="cs"/>
          <w:bCs/>
          <w:rtl/>
        </w:rPr>
        <w:t xml:space="preserve"> </w:t>
      </w:r>
      <w:r w:rsidR="00777DCB" w:rsidRPr="00A52585">
        <w:rPr>
          <w:rFonts w:hint="cs"/>
          <w:bCs/>
          <w:rtl/>
        </w:rPr>
        <w:t>يكشف عن ساق</w:t>
      </w:r>
      <w:r w:rsidRPr="00A52585">
        <w:rPr>
          <w:rFonts w:hint="cs"/>
          <w:bCs/>
          <w:rtl/>
        </w:rPr>
        <w:t xml:space="preserve"> </w:t>
      </w:r>
      <w:r w:rsidR="00777DCB" w:rsidRPr="00A52585">
        <w:rPr>
          <w:rFonts w:hint="cs"/>
          <w:bCs/>
          <w:rtl/>
        </w:rPr>
        <w:t>فغضب غضبا شديدا وقال</w:t>
      </w:r>
      <w:r w:rsidRPr="00A52585">
        <w:rPr>
          <w:rFonts w:hint="cs"/>
          <w:bCs/>
          <w:rtl/>
        </w:rPr>
        <w:t xml:space="preserve"> </w:t>
      </w:r>
      <w:r w:rsidR="00777DCB" w:rsidRPr="00A52585">
        <w:rPr>
          <w:rFonts w:hint="cs"/>
          <w:bCs/>
          <w:rtl/>
        </w:rPr>
        <w:t>إن أقواما يزعمون أن الله يكشف عن ساقه وإنما يكشف عن الأمر الشديد</w:t>
      </w:r>
      <w:r w:rsidRPr="00A52585">
        <w:rPr>
          <w:rFonts w:hint="cs"/>
          <w:bCs/>
          <w:rtl/>
        </w:rPr>
        <w:t xml:space="preserve"> </w:t>
      </w:r>
      <w:r w:rsidR="00777DCB" w:rsidRPr="00A52585">
        <w:rPr>
          <w:rFonts w:hint="cs"/>
          <w:rtl/>
        </w:rPr>
        <w:t>"</w:t>
      </w:r>
      <w:r w:rsidRPr="00A52585">
        <w:rPr>
          <w:rFonts w:hint="cs"/>
          <w:rtl/>
        </w:rPr>
        <w:t>[</w:t>
      </w:r>
      <w:r w:rsidR="00777DCB" w:rsidRPr="00A52585">
        <w:rPr>
          <w:rFonts w:hint="cs"/>
          <w:rtl/>
        </w:rPr>
        <w:t>الدر المنثور ج: 8 ص: 254-255] أهـ</w:t>
      </w:r>
      <w:r w:rsidR="00DB731D" w:rsidRPr="00A52585">
        <w:rPr>
          <w:rFonts w:hint="cs"/>
          <w:rtl/>
        </w:rPr>
        <w:t>،</w:t>
      </w:r>
      <w:r w:rsidR="00777DCB" w:rsidRPr="00A52585">
        <w:rPr>
          <w:rFonts w:hint="cs"/>
          <w:rtl/>
        </w:rPr>
        <w:t xml:space="preserve"> </w:t>
      </w:r>
      <w:r w:rsidR="00777DCB" w:rsidRPr="00A52585">
        <w:rPr>
          <w:rFonts w:hint="cs"/>
          <w:bCs/>
          <w:rtl/>
        </w:rPr>
        <w:t>وقال البغوي في تفسيره</w:t>
      </w:r>
      <w:r w:rsidRPr="00A52585">
        <w:rPr>
          <w:rFonts w:hint="cs"/>
          <w:rtl/>
        </w:rPr>
        <w:t>:</w:t>
      </w:r>
      <w:r w:rsidR="00777DCB" w:rsidRPr="00A52585">
        <w:rPr>
          <w:rFonts w:hint="cs"/>
          <w:rtl/>
        </w:rPr>
        <w:t xml:space="preserve">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قيل عن ساق قيل عن أمر فظيع شديد قال ابن عباس هو أشد ساعة في القيامة قال سعيد بن جبير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عن شدة الأمر</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البغوي ج: 4 ص: 381</w:t>
      </w:r>
      <w:r w:rsidRPr="00A52585">
        <w:rPr>
          <w:rFonts w:hint="cs"/>
          <w:rtl/>
        </w:rPr>
        <w:t>]</w:t>
      </w:r>
      <w:r w:rsidR="00DB731D" w:rsidRPr="00A52585">
        <w:rPr>
          <w:rFonts w:hint="cs"/>
          <w:rtl/>
        </w:rPr>
        <w:t>،</w:t>
      </w:r>
      <w:r w:rsidR="00777DCB" w:rsidRPr="00A52585">
        <w:rPr>
          <w:rFonts w:hint="cs"/>
          <w:rtl/>
        </w:rPr>
        <w:t xml:space="preserve"> وقال ابن كثير في تفسيره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bCs/>
          <w:u w:val="single"/>
          <w:rtl/>
        </w:rPr>
        <w:t>قال عن أمر عظيم</w:t>
      </w:r>
      <w:r w:rsidR="00DB731D" w:rsidRPr="00A52585">
        <w:rPr>
          <w:rFonts w:hint="cs"/>
          <w:rtl/>
        </w:rPr>
        <w:t>،</w:t>
      </w:r>
      <w:r w:rsidR="00777DCB" w:rsidRPr="00A52585">
        <w:rPr>
          <w:rFonts w:hint="cs"/>
          <w:rtl/>
        </w:rPr>
        <w:t xml:space="preserve"> وقال ابن أبي نجيح عن مجاهد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 شدة الأمر</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ابن كثير ج: 4 ص: 409</w:t>
      </w:r>
      <w:r w:rsidRPr="00A52585">
        <w:rPr>
          <w:rFonts w:hint="cs"/>
          <w:rtl/>
        </w:rPr>
        <w:t>]</w:t>
      </w:r>
      <w:r w:rsidR="00DB731D" w:rsidRPr="00A52585">
        <w:rPr>
          <w:rFonts w:hint="cs"/>
          <w:rtl/>
        </w:rPr>
        <w:t>،</w:t>
      </w:r>
      <w:r w:rsidR="00777DCB" w:rsidRPr="00A52585">
        <w:rPr>
          <w:rFonts w:hint="cs"/>
          <w:rtl/>
        </w:rPr>
        <w:t xml:space="preserve"> وقال القرطبي في تفسيره</w:t>
      </w:r>
      <w:r w:rsidRPr="00A52585">
        <w:rPr>
          <w:rFonts w:hint="cs"/>
          <w:rtl/>
        </w:rPr>
        <w:t>:</w:t>
      </w:r>
      <w:r w:rsidR="00777DCB" w:rsidRPr="00A52585">
        <w:rPr>
          <w:rFonts w:hint="cs"/>
          <w:rtl/>
        </w:rPr>
        <w:t xml:space="preserve"> </w:t>
      </w:r>
      <w:r w:rsidRPr="00A52585">
        <w:rPr>
          <w:rFonts w:hint="cs"/>
          <w:rtl/>
        </w:rPr>
        <w:t>(</w:t>
      </w:r>
      <w:proofErr w:type="spellStart"/>
      <w:r w:rsidR="00777DCB" w:rsidRPr="00A52585">
        <w:rPr>
          <w:rFonts w:hint="cs"/>
          <w:rtl/>
        </w:rPr>
        <w:t>وقريء</w:t>
      </w:r>
      <w:proofErr w:type="spellEnd"/>
      <w:r w:rsidR="00777DCB" w:rsidRPr="00A52585">
        <w:rPr>
          <w:rFonts w:hint="cs"/>
          <w:rtl/>
        </w:rPr>
        <w:t xml:space="preserve"> يوم نكشف بالنون وقرأ ابن عباس 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 xml:space="preserve">بتاء مسمى الفاعل </w:t>
      </w:r>
      <w:r w:rsidR="00777DCB" w:rsidRPr="00A52585">
        <w:rPr>
          <w:rFonts w:hint="cs"/>
          <w:bCs/>
          <w:rtl/>
        </w:rPr>
        <w:t>أي تكشف الشدة أو القيامة</w:t>
      </w:r>
      <w:r w:rsidR="00777DCB" w:rsidRPr="00A52585">
        <w:rPr>
          <w:rFonts w:hint="cs"/>
          <w:rtl/>
        </w:rPr>
        <w:t xml:space="preserve"> عن ساقها كقولهم</w:t>
      </w:r>
      <w:r w:rsidRPr="00A52585">
        <w:rPr>
          <w:rFonts w:hint="cs"/>
          <w:rtl/>
        </w:rPr>
        <w:t xml:space="preserve"> </w:t>
      </w:r>
      <w:r w:rsidR="00777DCB" w:rsidRPr="00A52585">
        <w:rPr>
          <w:rFonts w:hint="cs"/>
          <w:rtl/>
        </w:rPr>
        <w:t>شمرت الحرب عن ساقها قال الشاعر</w:t>
      </w:r>
      <w:r w:rsidRPr="00A52585">
        <w:rPr>
          <w:rFonts w:hint="cs"/>
          <w:rtl/>
        </w:rPr>
        <w:t xml:space="preserve"> </w:t>
      </w:r>
      <w:r w:rsidR="00777DCB" w:rsidRPr="00A52585">
        <w:rPr>
          <w:rFonts w:hint="cs"/>
          <w:rtl/>
        </w:rPr>
        <w:t>فتى الحرب إن عضت به الحرب عضها وإن شمرت عن ساقها الحرب شمر</w:t>
      </w:r>
      <w:r w:rsidR="00DB731D" w:rsidRPr="00A52585">
        <w:rPr>
          <w:rFonts w:hint="cs"/>
          <w:rtl/>
        </w:rPr>
        <w:t>،</w:t>
      </w:r>
      <w:r w:rsidR="00777DCB" w:rsidRPr="00A52585">
        <w:rPr>
          <w:rFonts w:hint="cs"/>
          <w:rtl/>
        </w:rPr>
        <w:t xml:space="preserve"> وذكر ابن المبارك قال</w:t>
      </w:r>
      <w:r w:rsidRPr="00A52585">
        <w:rPr>
          <w:rFonts w:hint="cs"/>
          <w:rtl/>
        </w:rPr>
        <w:t xml:space="preserve"> </w:t>
      </w:r>
      <w:r w:rsidR="00777DCB" w:rsidRPr="00A52585">
        <w:rPr>
          <w:rFonts w:hint="cs"/>
          <w:rtl/>
        </w:rPr>
        <w:t>أخبرنا أسامة بن زيد عن عكرمة عن ابن عباس في قوله تعالى</w:t>
      </w:r>
      <w:r w:rsidRPr="00A52585">
        <w:rPr>
          <w:rFonts w:hint="cs"/>
          <w:rtl/>
        </w:rPr>
        <w:t xml:space="preserve"> </w:t>
      </w:r>
      <w:r w:rsidR="00777DCB" w:rsidRPr="00A52585">
        <w:rPr>
          <w:rFonts w:hint="cs"/>
          <w:rtl/>
        </w:rPr>
        <w:t>يوم</w:t>
      </w:r>
      <w:r w:rsidRPr="00A52585">
        <w:rPr>
          <w:rFonts w:hint="cs"/>
          <w:rtl/>
        </w:rPr>
        <w:t xml:space="preserve"> </w:t>
      </w:r>
      <w:r w:rsidR="00777DCB" w:rsidRPr="00A52585">
        <w:rPr>
          <w:rFonts w:hint="cs"/>
          <w:rtl/>
        </w:rPr>
        <w:t>يكشف عن ساق</w:t>
      </w:r>
      <w:r w:rsidRPr="00A52585">
        <w:rPr>
          <w:rFonts w:hint="cs"/>
          <w:rtl/>
        </w:rPr>
        <w:t xml:space="preserve"> </w:t>
      </w:r>
      <w:r w:rsidR="00777DCB" w:rsidRPr="00A52585">
        <w:rPr>
          <w:rFonts w:hint="cs"/>
          <w:rtl/>
        </w:rPr>
        <w:t>قال</w:t>
      </w:r>
      <w:r w:rsidRPr="00A52585">
        <w:rPr>
          <w:rFonts w:hint="cs"/>
          <w:rtl/>
        </w:rPr>
        <w:t xml:space="preserve"> </w:t>
      </w:r>
      <w:r w:rsidR="00777DCB" w:rsidRPr="00A52585">
        <w:rPr>
          <w:rFonts w:hint="cs"/>
          <w:rtl/>
        </w:rPr>
        <w:t>عن كرب وشدة</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 18 ص: 249</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فقيه الحنابلة ابن الجوزي في كتابه القيم الباز الأشهب</w:t>
      </w:r>
      <w:r w:rsidR="00777DCB" w:rsidRPr="00A52585">
        <w:rPr>
          <w:rFonts w:hint="cs"/>
          <w:rtl/>
        </w:rPr>
        <w:t xml:space="preserve"> - وهو يرد على </w:t>
      </w:r>
      <w:proofErr w:type="spellStart"/>
      <w:r w:rsidR="00777DCB" w:rsidRPr="00A52585">
        <w:rPr>
          <w:rFonts w:hint="cs"/>
          <w:rtl/>
        </w:rPr>
        <w:t>حشوية</w:t>
      </w:r>
      <w:proofErr w:type="spellEnd"/>
      <w:r w:rsidR="00777DCB" w:rsidRPr="00A52585">
        <w:rPr>
          <w:rFonts w:hint="cs"/>
          <w:rtl/>
        </w:rPr>
        <w:t xml:space="preserve"> الحنابلة والمحدثين -</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ومنها قوله تعالي " يوم يكشف عن ساق " قال </w:t>
      </w:r>
      <w:r w:rsidRPr="00A52585">
        <w:rPr>
          <w:rFonts w:hint="cs"/>
          <w:rtl/>
        </w:rPr>
        <w:t>(</w:t>
      </w:r>
      <w:r w:rsidR="00777DCB" w:rsidRPr="00A52585">
        <w:rPr>
          <w:rFonts w:hint="cs"/>
          <w:rtl/>
        </w:rPr>
        <w:t>ابن عباس ومجاهد وابراهيم النخعي وقتادة</w:t>
      </w:r>
      <w:r w:rsidRPr="00A52585">
        <w:rPr>
          <w:rFonts w:hint="cs"/>
          <w:rtl/>
        </w:rPr>
        <w:t>)</w:t>
      </w:r>
      <w:r w:rsidR="00777DCB" w:rsidRPr="00A52585">
        <w:rPr>
          <w:rFonts w:hint="cs"/>
          <w:rtl/>
        </w:rPr>
        <w:t xml:space="preserve"> وجمهور العلماء يكشف عن شدة</w:t>
      </w:r>
      <w:r w:rsidR="00DB731D" w:rsidRPr="00A52585">
        <w:rPr>
          <w:rFonts w:hint="cs"/>
          <w:rtl/>
        </w:rPr>
        <w:t>،</w:t>
      </w:r>
      <w:r w:rsidR="00777DCB" w:rsidRPr="00A52585">
        <w:rPr>
          <w:rFonts w:hint="cs"/>
          <w:rtl/>
        </w:rPr>
        <w:t xml:space="preserve"> وأنشدوا</w:t>
      </w:r>
      <w:r w:rsidRPr="00A52585">
        <w:rPr>
          <w:rFonts w:hint="cs"/>
          <w:rtl/>
        </w:rPr>
        <w:t>:</w:t>
      </w:r>
      <w:r w:rsidR="00777DCB" w:rsidRPr="00A52585">
        <w:rPr>
          <w:rFonts w:hint="cs"/>
          <w:rtl/>
        </w:rPr>
        <w:t xml:space="preserve"> " وقامت الحرب بنا علي ساق "</w:t>
      </w:r>
      <w:r w:rsidR="00DB731D" w:rsidRPr="00A52585">
        <w:rPr>
          <w:rFonts w:hint="cs"/>
          <w:rtl/>
        </w:rPr>
        <w:t>،</w:t>
      </w:r>
      <w:r w:rsidR="00777DCB" w:rsidRPr="00A52585">
        <w:rPr>
          <w:rFonts w:hint="cs"/>
          <w:rtl/>
        </w:rPr>
        <w:t xml:space="preserve"> وقال آخرون</w:t>
      </w:r>
      <w:r w:rsidRPr="00A52585">
        <w:rPr>
          <w:rFonts w:hint="cs"/>
          <w:rtl/>
        </w:rPr>
        <w:t>:</w:t>
      </w:r>
      <w:r w:rsidR="00777DCB" w:rsidRPr="00A52585">
        <w:rPr>
          <w:rFonts w:hint="cs"/>
          <w:rtl/>
        </w:rPr>
        <w:t xml:space="preserve"> إذا شمرت عن ساقها الحرب شمر ا</w:t>
      </w:r>
      <w:r w:rsidR="00DB731D" w:rsidRPr="00A52585">
        <w:rPr>
          <w:rFonts w:hint="cs"/>
          <w:rtl/>
        </w:rPr>
        <w:t>،</w:t>
      </w:r>
      <w:r w:rsidR="00777DCB" w:rsidRPr="00A52585">
        <w:rPr>
          <w:rFonts w:hint="cs"/>
          <w:rtl/>
        </w:rPr>
        <w:t xml:space="preserve"> قال ابن قتيبة</w:t>
      </w:r>
      <w:r w:rsidRPr="00A52585">
        <w:rPr>
          <w:rFonts w:hint="cs"/>
          <w:rtl/>
        </w:rPr>
        <w:t>:</w:t>
      </w:r>
      <w:r w:rsidR="00777DCB" w:rsidRPr="00A52585">
        <w:rPr>
          <w:rFonts w:hint="cs"/>
          <w:rtl/>
        </w:rPr>
        <w:t xml:space="preserve"> وأصل هذا أن الرجل إذا</w:t>
      </w:r>
      <w:r w:rsidRPr="00A52585">
        <w:rPr>
          <w:rFonts w:hint="cs"/>
          <w:rtl/>
        </w:rPr>
        <w:t xml:space="preserve"> </w:t>
      </w:r>
      <w:r w:rsidR="00777DCB" w:rsidRPr="00A52585">
        <w:rPr>
          <w:rFonts w:hint="cs"/>
          <w:rtl/>
        </w:rPr>
        <w:t>وقع في أمر عظيم يحتاج إلي معاناه الجد فيه</w:t>
      </w:r>
      <w:r w:rsidR="00DB731D" w:rsidRPr="00A52585">
        <w:rPr>
          <w:rFonts w:hint="cs"/>
          <w:rtl/>
        </w:rPr>
        <w:t>،</w:t>
      </w:r>
      <w:r w:rsidR="00777DCB" w:rsidRPr="00A52585">
        <w:rPr>
          <w:rFonts w:hint="cs"/>
          <w:rtl/>
        </w:rPr>
        <w:t xml:space="preserve"> شمر عن ساقه</w:t>
      </w:r>
      <w:r w:rsidR="00DB731D" w:rsidRPr="00A52585">
        <w:rPr>
          <w:rFonts w:hint="cs"/>
          <w:rtl/>
        </w:rPr>
        <w:t>،</w:t>
      </w:r>
      <w:r w:rsidR="00777DCB" w:rsidRPr="00A52585">
        <w:rPr>
          <w:rFonts w:hint="cs"/>
          <w:rtl/>
        </w:rPr>
        <w:t xml:space="preserve"> فاستعيرت الساق في موضع الشدة</w:t>
      </w:r>
      <w:r w:rsidR="00897A24" w:rsidRPr="00A52585">
        <w:rPr>
          <w:rFonts w:hint="cs"/>
          <w:rtl/>
        </w:rPr>
        <w:t>.</w:t>
      </w:r>
      <w:r w:rsidR="00777DCB" w:rsidRPr="00A52585">
        <w:rPr>
          <w:rFonts w:hint="cs"/>
          <w:rtl/>
        </w:rPr>
        <w:t xml:space="preserve"> وبهذا قال الفراء وأبو عبيدة</w:t>
      </w:r>
      <w:r w:rsidR="00DB731D" w:rsidRPr="00A52585">
        <w:rPr>
          <w:rFonts w:hint="cs"/>
          <w:rtl/>
        </w:rPr>
        <w:t>،</w:t>
      </w:r>
      <w:r w:rsidR="00777DCB" w:rsidRPr="00A52585">
        <w:rPr>
          <w:rFonts w:hint="cs"/>
          <w:rtl/>
        </w:rPr>
        <w:t xml:space="preserve"> وثعلب واللغويون</w:t>
      </w:r>
      <w:r w:rsidR="00DB731D" w:rsidRPr="00A52585">
        <w:rPr>
          <w:rFonts w:hint="cs"/>
          <w:rtl/>
        </w:rPr>
        <w:t>،</w:t>
      </w:r>
      <w:r w:rsidR="00777DCB" w:rsidRPr="00A52585">
        <w:rPr>
          <w:rFonts w:hint="cs"/>
          <w:rtl/>
        </w:rPr>
        <w:t xml:space="preserve"> وروي البخاري ومسلم في الصحيحين عن النبي –صلي الله عليه وسلم -</w:t>
      </w:r>
      <w:r w:rsidRPr="00A52585">
        <w:rPr>
          <w:rFonts w:hint="cs"/>
          <w:rtl/>
        </w:rPr>
        <w:t>:</w:t>
      </w:r>
      <w:r w:rsidR="00777DCB" w:rsidRPr="00A52585">
        <w:rPr>
          <w:rFonts w:hint="cs"/>
          <w:rtl/>
        </w:rPr>
        <w:t xml:space="preserve"> " إن الله عز وجل يكشف عن ساقه "</w:t>
      </w:r>
      <w:r w:rsidR="00DB731D" w:rsidRPr="00A52585">
        <w:rPr>
          <w:rFonts w:hint="cs"/>
          <w:rtl/>
        </w:rPr>
        <w:t>،</w:t>
      </w:r>
      <w:r w:rsidR="00777DCB" w:rsidRPr="00A52585">
        <w:rPr>
          <w:rFonts w:hint="cs"/>
          <w:rtl/>
        </w:rPr>
        <w:t xml:space="preserve"> هذه </w:t>
      </w:r>
      <w:proofErr w:type="spellStart"/>
      <w:r w:rsidR="00777DCB" w:rsidRPr="00A52585">
        <w:rPr>
          <w:rFonts w:hint="cs"/>
          <w:rtl/>
        </w:rPr>
        <w:t>إضافه</w:t>
      </w:r>
      <w:proofErr w:type="spellEnd"/>
      <w:r w:rsidR="00777DCB" w:rsidRPr="00A52585">
        <w:rPr>
          <w:rFonts w:hint="cs"/>
          <w:rtl/>
        </w:rPr>
        <w:t xml:space="preserve"> إليه معناها</w:t>
      </w:r>
      <w:r w:rsidRPr="00A52585">
        <w:rPr>
          <w:rFonts w:hint="cs"/>
          <w:rtl/>
        </w:rPr>
        <w:t>:</w:t>
      </w:r>
      <w:r w:rsidR="00777DCB" w:rsidRPr="00A52585">
        <w:rPr>
          <w:rFonts w:hint="cs"/>
          <w:rtl/>
        </w:rPr>
        <w:t xml:space="preserve"> يكشف عن شدته وأفعاله المضافة إليه ومعني يكشف عنها يزيلها</w:t>
      </w:r>
      <w:r w:rsidR="00DB731D" w:rsidRPr="00A52585">
        <w:rPr>
          <w:rFonts w:hint="cs"/>
          <w:rtl/>
        </w:rPr>
        <w:t>،</w:t>
      </w:r>
      <w:r w:rsidR="00777DCB" w:rsidRPr="00A52585">
        <w:rPr>
          <w:rFonts w:hint="cs"/>
          <w:rtl/>
        </w:rPr>
        <w:t xml:space="preserve"> وقال عاصم بن كليب</w:t>
      </w:r>
      <w:r w:rsidRPr="00A52585">
        <w:rPr>
          <w:rFonts w:hint="cs"/>
          <w:rtl/>
        </w:rPr>
        <w:t>:</w:t>
      </w:r>
      <w:r w:rsidR="00777DCB" w:rsidRPr="00A52585">
        <w:rPr>
          <w:rFonts w:hint="cs"/>
          <w:rtl/>
        </w:rPr>
        <w:t xml:space="preserve"> رأيت سعيد بن جبير</w:t>
      </w:r>
      <w:r w:rsidR="00897A24" w:rsidRPr="00A52585">
        <w:rPr>
          <w:rFonts w:hint="cs"/>
          <w:rtl/>
        </w:rPr>
        <w:t>.</w:t>
      </w:r>
      <w:r w:rsidR="00777DCB" w:rsidRPr="00A52585">
        <w:rPr>
          <w:rFonts w:hint="cs"/>
          <w:rtl/>
        </w:rPr>
        <w:t xml:space="preserve"> غضب وقال</w:t>
      </w:r>
      <w:r w:rsidRPr="00A52585">
        <w:rPr>
          <w:rFonts w:hint="cs"/>
          <w:rtl/>
        </w:rPr>
        <w:t>:</w:t>
      </w:r>
      <w:r w:rsidR="00777DCB" w:rsidRPr="00A52585">
        <w:rPr>
          <w:rFonts w:hint="cs"/>
          <w:rtl/>
        </w:rPr>
        <w:t xml:space="preserve"> يقولون يكشف عن ساقه</w:t>
      </w:r>
      <w:r w:rsidR="00DB731D" w:rsidRPr="00A52585">
        <w:rPr>
          <w:rFonts w:hint="cs"/>
          <w:rtl/>
        </w:rPr>
        <w:t>،</w:t>
      </w:r>
      <w:r w:rsidR="00777DCB" w:rsidRPr="00A52585">
        <w:rPr>
          <w:rFonts w:hint="cs"/>
          <w:rtl/>
        </w:rPr>
        <w:t xml:space="preserve"> وإنما ذلك عن أمر شديد وقد ذكر أبو عمر الزاهد ان الساق بمعني" النفس " وقال ومنه قول </w:t>
      </w:r>
      <w:proofErr w:type="gramStart"/>
      <w:r w:rsidR="00777DCB" w:rsidRPr="00A52585">
        <w:rPr>
          <w:rFonts w:hint="cs"/>
          <w:rtl/>
        </w:rPr>
        <w:t>علي</w:t>
      </w:r>
      <w:proofErr w:type="gramEnd"/>
      <w:r w:rsidR="00777DCB" w:rsidRPr="00A52585">
        <w:rPr>
          <w:rFonts w:hint="cs"/>
          <w:rtl/>
        </w:rPr>
        <w:t xml:space="preserve"> رضي الله عنه لما قالت البغاة</w:t>
      </w:r>
      <w:r w:rsidRPr="00A52585">
        <w:rPr>
          <w:rFonts w:hint="cs"/>
          <w:rtl/>
        </w:rPr>
        <w:t>:</w:t>
      </w:r>
      <w:r w:rsidR="00777DCB" w:rsidRPr="00A52585">
        <w:rPr>
          <w:rFonts w:hint="cs"/>
          <w:rtl/>
        </w:rPr>
        <w:t xml:space="preserve"> </w:t>
      </w:r>
      <w:proofErr w:type="spellStart"/>
      <w:r w:rsidR="00777DCB" w:rsidRPr="00A52585">
        <w:rPr>
          <w:rFonts w:hint="cs"/>
          <w:rtl/>
        </w:rPr>
        <w:t>لاحكم</w:t>
      </w:r>
      <w:proofErr w:type="spellEnd"/>
      <w:r w:rsidR="00777DCB" w:rsidRPr="00A52585">
        <w:rPr>
          <w:rFonts w:hint="cs"/>
          <w:rtl/>
        </w:rPr>
        <w:t xml:space="preserve"> إلا الله فقال</w:t>
      </w:r>
      <w:r w:rsidRPr="00A52585">
        <w:rPr>
          <w:rFonts w:hint="cs"/>
          <w:rtl/>
        </w:rPr>
        <w:t>:</w:t>
      </w:r>
      <w:r w:rsidR="00777DCB" w:rsidRPr="00A52585">
        <w:rPr>
          <w:rFonts w:hint="cs"/>
          <w:rtl/>
        </w:rPr>
        <w:t xml:space="preserve"> لابد من محاربتهم ولو بلغت </w:t>
      </w:r>
      <w:r w:rsidR="00777DCB" w:rsidRPr="00A52585">
        <w:rPr>
          <w:rFonts w:hint="cs"/>
          <w:rtl/>
        </w:rPr>
        <w:lastRenderedPageBreak/>
        <w:t>ساقي</w:t>
      </w:r>
      <w:r w:rsidR="00897A24" w:rsidRPr="00A52585">
        <w:rPr>
          <w:rFonts w:hint="cs"/>
          <w:rtl/>
        </w:rPr>
        <w:t>.</w:t>
      </w:r>
      <w:r w:rsidR="00777DCB" w:rsidRPr="00A52585">
        <w:rPr>
          <w:rFonts w:hint="cs"/>
          <w:rtl/>
        </w:rPr>
        <w:t xml:space="preserve">... فعلي هذا يكون المعني </w:t>
      </w:r>
      <w:proofErr w:type="spellStart"/>
      <w:r w:rsidR="00777DCB" w:rsidRPr="00A52585">
        <w:rPr>
          <w:rFonts w:hint="cs"/>
          <w:rtl/>
        </w:rPr>
        <w:t>يتجلي</w:t>
      </w:r>
      <w:proofErr w:type="spellEnd"/>
      <w:r w:rsidR="00777DCB" w:rsidRPr="00A52585">
        <w:rPr>
          <w:rFonts w:hint="cs"/>
          <w:rtl/>
        </w:rPr>
        <w:t xml:space="preserve"> لهم</w:t>
      </w:r>
      <w:r w:rsidR="00DB731D" w:rsidRPr="00A52585">
        <w:rPr>
          <w:rFonts w:hint="cs"/>
          <w:rtl/>
        </w:rPr>
        <w:t>،</w:t>
      </w:r>
      <w:r w:rsidR="00777DCB" w:rsidRPr="00A52585">
        <w:rPr>
          <w:rFonts w:hint="cs"/>
          <w:rtl/>
        </w:rPr>
        <w:t xml:space="preserve"> وفي </w:t>
      </w:r>
      <w:proofErr w:type="spellStart"/>
      <w:r w:rsidR="00777DCB" w:rsidRPr="00A52585">
        <w:rPr>
          <w:rFonts w:hint="cs"/>
          <w:rtl/>
        </w:rPr>
        <w:t>حدبث</w:t>
      </w:r>
      <w:proofErr w:type="spellEnd"/>
      <w:r w:rsidR="00777DCB" w:rsidRPr="00A52585">
        <w:rPr>
          <w:rFonts w:hint="cs"/>
          <w:rtl/>
        </w:rPr>
        <w:t xml:space="preserve"> أبي موسي أن النبي صلى الله عليه وسلم قال</w:t>
      </w:r>
      <w:r w:rsidRPr="00A52585">
        <w:rPr>
          <w:rFonts w:hint="cs"/>
          <w:rtl/>
        </w:rPr>
        <w:t>:</w:t>
      </w:r>
      <w:r w:rsidR="00777DCB" w:rsidRPr="00A52585">
        <w:rPr>
          <w:rFonts w:hint="cs"/>
          <w:rtl/>
        </w:rPr>
        <w:t xml:space="preserve"> " يكشف لهم الحجاب فينظرون إلي الله تعالي فيخرون سجدا</w:t>
      </w:r>
      <w:r w:rsidR="00DB731D" w:rsidRPr="00A52585">
        <w:rPr>
          <w:rFonts w:hint="cs"/>
          <w:rtl/>
        </w:rPr>
        <w:t>،</w:t>
      </w:r>
      <w:r w:rsidR="00777DCB" w:rsidRPr="00A52585">
        <w:rPr>
          <w:rFonts w:hint="cs"/>
          <w:rtl/>
        </w:rPr>
        <w:t xml:space="preserve"> ويبقي أقوام في ظهورهم كصياصي البقر</w:t>
      </w:r>
      <w:r w:rsidR="00DB731D" w:rsidRPr="00A52585">
        <w:rPr>
          <w:rFonts w:hint="cs"/>
          <w:rtl/>
        </w:rPr>
        <w:t>،</w:t>
      </w:r>
      <w:r w:rsidR="00777DCB" w:rsidRPr="00A52585">
        <w:rPr>
          <w:rFonts w:hint="cs"/>
          <w:rtl/>
        </w:rPr>
        <w:t xml:space="preserve"> يريدون السجود فلا يستطيعون " فذلك قوله تعالي " يوم يكشف عن ساق ويدعون </w:t>
      </w:r>
      <w:proofErr w:type="gramStart"/>
      <w:r w:rsidR="00777DCB" w:rsidRPr="00A52585">
        <w:rPr>
          <w:rFonts w:hint="cs"/>
          <w:rtl/>
        </w:rPr>
        <w:t>إلي</w:t>
      </w:r>
      <w:proofErr w:type="gramEnd"/>
      <w:r w:rsidR="00777DCB" w:rsidRPr="00A52585">
        <w:rPr>
          <w:rFonts w:hint="cs"/>
          <w:rtl/>
        </w:rPr>
        <w:t xml:space="preserve"> السجود فلا يستطيعون "</w:t>
      </w:r>
      <w:r w:rsidR="00DB731D" w:rsidRPr="00A52585">
        <w:rPr>
          <w:rFonts w:hint="cs"/>
          <w:rtl/>
        </w:rPr>
        <w:t>،</w:t>
      </w:r>
      <w:r w:rsidR="00777DCB" w:rsidRPr="00A52585">
        <w:rPr>
          <w:rFonts w:hint="cs"/>
          <w:rtl/>
        </w:rPr>
        <w:t xml:space="preserve"> وقد ذهب القاضي إلي أن الذات صفة ذاتية</w:t>
      </w:r>
      <w:r w:rsidR="00897A24" w:rsidRPr="00A52585">
        <w:rPr>
          <w:rFonts w:hint="cs"/>
          <w:rtl/>
        </w:rPr>
        <w:t>.</w:t>
      </w:r>
      <w:r w:rsidR="00777DCB" w:rsidRPr="00A52585">
        <w:rPr>
          <w:rFonts w:hint="cs"/>
          <w:rtl/>
        </w:rPr>
        <w:t xml:space="preserve"> وقال في مثله في يضع قدمه في النار</w:t>
      </w:r>
      <w:r w:rsidRPr="00A52585">
        <w:rPr>
          <w:rFonts w:hint="cs"/>
          <w:rtl/>
        </w:rPr>
        <w:t>:</w:t>
      </w:r>
      <w:r w:rsidR="00777DCB" w:rsidRPr="00A52585">
        <w:rPr>
          <w:rFonts w:hint="cs"/>
          <w:rtl/>
        </w:rPr>
        <w:t xml:space="preserve"> وحكي بن مسعود</w:t>
      </w:r>
      <w:r w:rsidRPr="00A52585">
        <w:rPr>
          <w:rFonts w:hint="cs"/>
          <w:rtl/>
        </w:rPr>
        <w:t>:</w:t>
      </w:r>
      <w:r w:rsidR="00777DCB" w:rsidRPr="00A52585">
        <w:rPr>
          <w:rFonts w:hint="cs"/>
          <w:rtl/>
        </w:rPr>
        <w:t xml:space="preserve"> ويكشف عن ساقه اليمني فتضيء من نور ساقه الأرض</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وذكر الساق مع القدم تشبيه محض وما ذكر عن بن مسعود محال ولا تثبت لله صفة بمثل هذه الخرافات</w:t>
      </w:r>
      <w:r w:rsidR="00DB731D" w:rsidRPr="00A52585">
        <w:rPr>
          <w:rFonts w:hint="cs"/>
          <w:rtl/>
        </w:rPr>
        <w:t>،</w:t>
      </w:r>
      <w:r w:rsidR="00777DCB" w:rsidRPr="00A52585">
        <w:rPr>
          <w:rFonts w:hint="cs"/>
          <w:rtl/>
        </w:rPr>
        <w:t xml:space="preserve"> ولا يوصف ذاته بنور شعاع تضيء به الأمكنة</w:t>
      </w:r>
      <w:r w:rsidR="00DB731D" w:rsidRPr="00A52585">
        <w:rPr>
          <w:rFonts w:hint="cs"/>
          <w:rtl/>
        </w:rPr>
        <w:t>،</w:t>
      </w:r>
      <w:r w:rsidR="00777DCB" w:rsidRPr="00A52585">
        <w:rPr>
          <w:rFonts w:hint="cs"/>
          <w:rtl/>
        </w:rPr>
        <w:t xml:space="preserve"> واحتجاجه بالإضافة ليس بشيء لأنه إذا كشف عن شدته</w:t>
      </w:r>
      <w:r w:rsidR="00DB731D" w:rsidRPr="00A52585">
        <w:rPr>
          <w:rFonts w:hint="cs"/>
          <w:rtl/>
        </w:rPr>
        <w:t>،</w:t>
      </w:r>
      <w:r w:rsidR="00777DCB" w:rsidRPr="00A52585">
        <w:rPr>
          <w:rFonts w:hint="cs"/>
          <w:rtl/>
        </w:rPr>
        <w:t xml:space="preserve"> فقد كشف عن ساقه</w:t>
      </w:r>
      <w:r w:rsidR="00DB731D" w:rsidRPr="00A52585">
        <w:rPr>
          <w:rFonts w:hint="cs"/>
          <w:rtl/>
        </w:rPr>
        <w:t>،</w:t>
      </w:r>
      <w:r w:rsidR="00777DCB" w:rsidRPr="00A52585">
        <w:rPr>
          <w:rFonts w:hint="cs"/>
          <w:rtl/>
        </w:rPr>
        <w:t xml:space="preserve"> وهؤلاء وقع لهم أن معني يكشف " يظهر " وإنما المعني يزيل ويرفع "</w:t>
      </w:r>
      <w:r w:rsidR="00897A24" w:rsidRPr="00A52585">
        <w:rPr>
          <w:rFonts w:hint="cs"/>
          <w:rtl/>
        </w:rPr>
        <w:t>.</w:t>
      </w:r>
      <w:r w:rsidR="00777DCB" w:rsidRPr="00A52585">
        <w:rPr>
          <w:rFonts w:hint="cs"/>
          <w:rtl/>
        </w:rPr>
        <w:t xml:space="preserve"> قال بن حامد</w:t>
      </w:r>
      <w:r w:rsidRPr="00A52585">
        <w:rPr>
          <w:rFonts w:hint="cs"/>
          <w:rtl/>
        </w:rPr>
        <w:t>:</w:t>
      </w:r>
      <w:r w:rsidR="00777DCB" w:rsidRPr="00A52585">
        <w:rPr>
          <w:rFonts w:hint="cs"/>
          <w:rtl/>
        </w:rPr>
        <w:t xml:space="preserve"> يجب الإيمان بأن لله تعالي ساقا صفة لذاته</w:t>
      </w:r>
      <w:r w:rsidR="00DB731D" w:rsidRPr="00A52585">
        <w:rPr>
          <w:rFonts w:hint="cs"/>
          <w:rtl/>
        </w:rPr>
        <w:t>،</w:t>
      </w:r>
      <w:r w:rsidR="00777DCB" w:rsidRPr="00A52585">
        <w:rPr>
          <w:rFonts w:hint="cs"/>
          <w:rtl/>
        </w:rPr>
        <w:t xml:space="preserve"> فمن جحد ذلك فقد كفر</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لو تكلم بهذا عامي جلف كان قبيحا</w:t>
      </w:r>
      <w:r w:rsidR="00DB731D" w:rsidRPr="00A52585">
        <w:rPr>
          <w:rFonts w:hint="cs"/>
          <w:rtl/>
        </w:rPr>
        <w:t>،</w:t>
      </w:r>
      <w:r w:rsidR="00777DCB" w:rsidRPr="00A52585">
        <w:rPr>
          <w:rFonts w:hint="cs"/>
          <w:rtl/>
        </w:rPr>
        <w:t xml:space="preserve"> فكيف بمن ينسب إلي العلم</w:t>
      </w:r>
      <w:r w:rsidR="00F95886" w:rsidRPr="00A52585">
        <w:rPr>
          <w:rFonts w:hint="cs"/>
          <w:rtl/>
        </w:rPr>
        <w:t>؟</w:t>
      </w:r>
      <w:r w:rsidR="00777DCB" w:rsidRPr="00A52585">
        <w:rPr>
          <w:rFonts w:hint="cs"/>
          <w:rtl/>
        </w:rPr>
        <w:t xml:space="preserve"> فإن المتأولين أعذر منهم لأنهم ردوا الأمر </w:t>
      </w:r>
      <w:proofErr w:type="gramStart"/>
      <w:r w:rsidR="00777DCB" w:rsidRPr="00A52585">
        <w:rPr>
          <w:rFonts w:hint="cs"/>
          <w:rtl/>
        </w:rPr>
        <w:t>إلي</w:t>
      </w:r>
      <w:proofErr w:type="gramEnd"/>
      <w:r w:rsidR="00777DCB" w:rsidRPr="00A52585">
        <w:rPr>
          <w:rFonts w:hint="cs"/>
          <w:rtl/>
        </w:rPr>
        <w:t xml:space="preserve"> اللغة</w:t>
      </w:r>
      <w:r w:rsidR="00DB731D" w:rsidRPr="00A52585">
        <w:rPr>
          <w:rFonts w:hint="cs"/>
          <w:rtl/>
        </w:rPr>
        <w:t>،</w:t>
      </w:r>
      <w:r w:rsidR="00777DCB" w:rsidRPr="00A52585">
        <w:rPr>
          <w:rFonts w:hint="cs"/>
          <w:rtl/>
        </w:rPr>
        <w:t xml:space="preserve"> وهؤلاء أثبتوا ساقا للذات</w:t>
      </w:r>
      <w:r w:rsidR="00DB731D" w:rsidRPr="00A52585">
        <w:rPr>
          <w:rFonts w:hint="cs"/>
          <w:rtl/>
        </w:rPr>
        <w:t>،</w:t>
      </w:r>
      <w:r w:rsidR="00777DCB" w:rsidRPr="00A52585">
        <w:rPr>
          <w:rFonts w:hint="cs"/>
          <w:rtl/>
        </w:rPr>
        <w:t xml:space="preserve"> وقدما حتي يتحقق التجسيم والصورة</w:t>
      </w:r>
      <w:r w:rsidRPr="00A52585">
        <w:rPr>
          <w:rFonts w:hint="cs"/>
          <w:rtl/>
        </w:rPr>
        <w:t>)</w:t>
      </w:r>
      <w:r w:rsidR="00777DCB" w:rsidRPr="00A52585">
        <w:rPr>
          <w:rFonts w:hint="cs"/>
          <w:rtl/>
        </w:rPr>
        <w:t xml:space="preserve"> أهـ [الباز الأشهب ص 48-51] </w:t>
      </w:r>
    </w:p>
    <w:p w14:paraId="3FB402B4" w14:textId="09059EC5" w:rsidR="00777DCB" w:rsidRPr="00A52585" w:rsidRDefault="0002035C" w:rsidP="0002035C">
      <w:pPr>
        <w:rPr>
          <w:b/>
          <w:rtl/>
        </w:rPr>
      </w:pPr>
      <w:r w:rsidRPr="00A52585">
        <w:rPr>
          <w:rFonts w:hint="cs"/>
          <w:bCs/>
          <w:rtl/>
        </w:rPr>
        <w:t>(</w:t>
      </w:r>
      <w:r w:rsidR="00777DCB" w:rsidRPr="00A52585">
        <w:rPr>
          <w:rFonts w:hint="cs"/>
          <w:bCs/>
          <w:rtl/>
        </w:rPr>
        <w:t>قلت</w:t>
      </w:r>
      <w:r w:rsidRPr="00A52585">
        <w:rPr>
          <w:rFonts w:hint="cs"/>
          <w:bCs/>
          <w:rtl/>
        </w:rPr>
        <w:t>):</w:t>
      </w:r>
      <w:r w:rsidR="00777DCB" w:rsidRPr="00A52585">
        <w:rPr>
          <w:rFonts w:hint="cs"/>
          <w:bCs/>
          <w:rtl/>
        </w:rPr>
        <w:t xml:space="preserve"> وهكذا سواد المفسرين الأعظم على ذلك</w:t>
      </w:r>
      <w:r w:rsidR="00777DCB" w:rsidRPr="00A52585">
        <w:rPr>
          <w:rFonts w:hint="cs"/>
          <w:rtl/>
        </w:rPr>
        <w:t xml:space="preserve"> وانتظر - خشية الإطالة - البرهان للزركشي في علوم القرآن ج: 2 ص: 84</w:t>
      </w:r>
      <w:r w:rsidR="00DB731D" w:rsidRPr="00A52585">
        <w:rPr>
          <w:rFonts w:hint="cs"/>
          <w:rtl/>
        </w:rPr>
        <w:t>،</w:t>
      </w:r>
      <w:r w:rsidR="00777DCB" w:rsidRPr="00A52585">
        <w:rPr>
          <w:rFonts w:hint="cs"/>
          <w:rtl/>
        </w:rPr>
        <w:t xml:space="preserve"> والإتقان في علوم القرآن للسيوطي ج: 1 ص: 346</w:t>
      </w:r>
      <w:r w:rsidR="00DB731D" w:rsidRPr="00A52585">
        <w:rPr>
          <w:rFonts w:hint="cs"/>
          <w:rtl/>
        </w:rPr>
        <w:t>،</w:t>
      </w:r>
      <w:r w:rsidR="00777DCB" w:rsidRPr="00A52585">
        <w:rPr>
          <w:rFonts w:hint="cs"/>
          <w:rtl/>
        </w:rPr>
        <w:t xml:space="preserve"> وتفسير الثعالبي ج: 4 ص: 330</w:t>
      </w:r>
      <w:r w:rsidR="00DB731D" w:rsidRPr="00A52585">
        <w:rPr>
          <w:rFonts w:hint="cs"/>
          <w:rtl/>
        </w:rPr>
        <w:t>،</w:t>
      </w:r>
      <w:r w:rsidR="00777DCB" w:rsidRPr="00A52585">
        <w:rPr>
          <w:rFonts w:hint="cs"/>
          <w:rtl/>
        </w:rPr>
        <w:t xml:space="preserve"> وتفسير الواحدي ج: 2 ص: 1124</w:t>
      </w:r>
      <w:r w:rsidR="00DB731D" w:rsidRPr="00A52585">
        <w:rPr>
          <w:rFonts w:hint="cs"/>
          <w:rtl/>
        </w:rPr>
        <w:t>،</w:t>
      </w:r>
      <w:r w:rsidR="00777DCB" w:rsidRPr="00A52585">
        <w:rPr>
          <w:rFonts w:hint="cs"/>
          <w:rtl/>
        </w:rPr>
        <w:t xml:space="preserve"> وتفسير أبي السعود ج: 9 ص: 18</w:t>
      </w:r>
      <w:r w:rsidR="00DB731D" w:rsidRPr="00A52585">
        <w:rPr>
          <w:rFonts w:hint="cs"/>
          <w:rtl/>
        </w:rPr>
        <w:t>،</w:t>
      </w:r>
      <w:r w:rsidR="00777DCB" w:rsidRPr="00A52585">
        <w:rPr>
          <w:rFonts w:hint="cs"/>
          <w:rtl/>
        </w:rPr>
        <w:t xml:space="preserve"> وزاد المسير ج: 8 ص: 341</w:t>
      </w:r>
      <w:r w:rsidR="00DB731D" w:rsidRPr="00A52585">
        <w:rPr>
          <w:rFonts w:hint="cs"/>
          <w:rtl/>
        </w:rPr>
        <w:t>،</w:t>
      </w:r>
      <w:r w:rsidR="00777DCB" w:rsidRPr="00A52585">
        <w:rPr>
          <w:rFonts w:hint="cs"/>
          <w:rtl/>
        </w:rPr>
        <w:t xml:space="preserve"> وتفسير النسفي ج: 4 ص: 271</w:t>
      </w:r>
      <w:r w:rsidR="00DB731D" w:rsidRPr="00A52585">
        <w:rPr>
          <w:rFonts w:hint="cs"/>
          <w:rtl/>
        </w:rPr>
        <w:t>،</w:t>
      </w:r>
      <w:r w:rsidR="00777DCB" w:rsidRPr="00A52585">
        <w:rPr>
          <w:rFonts w:hint="cs"/>
          <w:rtl/>
        </w:rPr>
        <w:t xml:space="preserve"> وروح المعاني للألوسي ج: 29 ص: 35</w:t>
      </w:r>
      <w:r w:rsidR="00DB731D" w:rsidRPr="00A52585">
        <w:rPr>
          <w:rFonts w:hint="cs"/>
          <w:rtl/>
        </w:rPr>
        <w:t>،</w:t>
      </w:r>
      <w:r w:rsidR="00777DCB" w:rsidRPr="00A52585">
        <w:rPr>
          <w:rFonts w:hint="cs"/>
          <w:rtl/>
        </w:rPr>
        <w:t xml:space="preserve"> وقال فيه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والمراد يوم يكشف عن أصل الأمر فتظهر حقائق الأمور وأصولها بحيث تصير عيانا</w:t>
      </w:r>
      <w:r w:rsidR="00897A24" w:rsidRPr="00A52585">
        <w:rPr>
          <w:rFonts w:hint="cs"/>
          <w:rtl/>
        </w:rPr>
        <w:t>.</w:t>
      </w:r>
      <w:r w:rsidR="00777DCB" w:rsidRPr="00A52585">
        <w:rPr>
          <w:rFonts w:hint="cs"/>
          <w:rtl/>
        </w:rPr>
        <w:t xml:space="preserve">.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777DCB" w:rsidRPr="00A52585">
        <w:rPr>
          <w:rFonts w:hint="cs"/>
          <w:rtl/>
        </w:rPr>
        <w:t>مردويه</w:t>
      </w:r>
      <w:proofErr w:type="spellEnd"/>
      <w:r w:rsidR="00777DCB" w:rsidRPr="00A52585">
        <w:rPr>
          <w:rFonts w:hint="cs"/>
          <w:rtl/>
        </w:rPr>
        <w:t xml:space="preserve">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777DCB" w:rsidRPr="00A52585">
        <w:rPr>
          <w:rFonts w:hint="cs"/>
          <w:bCs/>
          <w:rtl/>
        </w:rPr>
        <w:t>وأنكر ذلك سعيد بن جبير</w:t>
      </w:r>
      <w:r w:rsidR="00777DCB" w:rsidRPr="00A52585">
        <w:rPr>
          <w:rFonts w:hint="cs"/>
          <w:rtl/>
        </w:rPr>
        <w:t xml:space="preserve"> أخرج عبد بن حميد وابن المنذر </w:t>
      </w:r>
      <w:r w:rsidR="00777DCB" w:rsidRPr="00A52585">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777DCB" w:rsidRPr="00A52585">
        <w:rPr>
          <w:rFonts w:hint="cs"/>
          <w:rtl/>
        </w:rPr>
        <w:t>" أهـ</w:t>
      </w:r>
      <w:r w:rsidR="00DB731D" w:rsidRPr="00A52585">
        <w:rPr>
          <w:rFonts w:hint="cs"/>
          <w:rtl/>
        </w:rPr>
        <w:t>،</w:t>
      </w:r>
      <w:r w:rsidRPr="00A52585">
        <w:rPr>
          <w:rFonts w:hint="cs"/>
          <w:rtl/>
        </w:rPr>
        <w:t xml:space="preserve"> </w:t>
      </w:r>
      <w:r w:rsidR="00777DCB" w:rsidRPr="00A52585">
        <w:rPr>
          <w:rFonts w:hint="cs"/>
          <w:bCs/>
          <w:rtl/>
        </w:rPr>
        <w:t xml:space="preserve">وقال الرازي في </w:t>
      </w:r>
      <w:r w:rsidR="00777DCB" w:rsidRPr="00A52585">
        <w:rPr>
          <w:rFonts w:hint="cs"/>
          <w:bCs/>
          <w:rtl/>
        </w:rPr>
        <w:lastRenderedPageBreak/>
        <w:t>تفسيره للآية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 وَيُدْعَوْنَ إِلَى السُّجُودِ فَلاَ يَسْتَطِيعُونَ</w:t>
      </w:r>
      <w:r w:rsidRPr="00A52585">
        <w:rPr>
          <w:rFonts w:hint="cs"/>
          <w:rtl/>
        </w:rPr>
        <w:t>}</w:t>
      </w:r>
      <w:r w:rsidR="00DB731D" w:rsidRPr="00A52585">
        <w:rPr>
          <w:rFonts w:hint="cs"/>
          <w:rtl/>
        </w:rPr>
        <w:t>،</w:t>
      </w:r>
      <w:r w:rsidR="00777DCB" w:rsidRPr="00A52585">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sidRPr="00A52585">
        <w:rPr>
          <w:rFonts w:hint="cs"/>
          <w:rtl/>
        </w:rPr>
        <w:t>(</w:t>
      </w:r>
      <w:r w:rsidR="00777DCB" w:rsidRPr="00A52585">
        <w:rPr>
          <w:rFonts w:hint="cs"/>
          <w:rtl/>
        </w:rPr>
        <w:t>سن لنا قومك ضرب الأعناق * وقامت الحرب بنا على ساق</w:t>
      </w:r>
      <w:r w:rsidRPr="00A52585">
        <w:rPr>
          <w:rFonts w:hint="cs"/>
          <w:rtl/>
        </w:rPr>
        <w:t xml:space="preserve">) </w:t>
      </w:r>
      <w:r w:rsidR="00777DCB" w:rsidRPr="00A52585">
        <w:rPr>
          <w:rFonts w:hint="cs"/>
          <w:rtl/>
        </w:rPr>
        <w:t>ثم قال: وهو كرب وشدة</w:t>
      </w:r>
      <w:r w:rsidR="00DB731D" w:rsidRPr="00A52585">
        <w:rPr>
          <w:rFonts w:hint="cs"/>
          <w:rtl/>
        </w:rPr>
        <w:t>،</w:t>
      </w:r>
      <w:r w:rsidR="00777DCB" w:rsidRPr="00A52585">
        <w:rPr>
          <w:rFonts w:hint="cs"/>
          <w:rtl/>
        </w:rPr>
        <w:t xml:space="preserve"> وروى مجاهد عنه قال: هو أشد ساعة في القيامة، وأنشد أهل اللغة أبياتاً كثيرة منها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فإن شمرت لك عن ساقها</w:t>
      </w:r>
      <w:r w:rsidR="00777DCB" w:rsidRPr="00A52585">
        <w:rPr>
          <w:rFonts w:hint="cs"/>
          <w:rtl/>
        </w:rPr>
        <w:tab/>
        <w:t>* فدنها ربيع ولا تسأم</w:t>
      </w:r>
      <w:r w:rsidRPr="00A52585">
        <w:rPr>
          <w:rFonts w:hint="cs"/>
          <w:rtl/>
        </w:rPr>
        <w:t>)</w:t>
      </w:r>
      <w:r w:rsidR="00DB731D" w:rsidRPr="00A52585">
        <w:rPr>
          <w:rFonts w:hint="cs"/>
          <w:rtl/>
        </w:rPr>
        <w:t>،</w:t>
      </w:r>
      <w:r w:rsidR="00777DCB" w:rsidRPr="00A52585">
        <w:rPr>
          <w:rFonts w:hint="cs"/>
          <w:rtl/>
        </w:rPr>
        <w:t xml:space="preserve"> ومنها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كشفت لكم عن ساقها وبدا من الشر الصراح</w:t>
      </w:r>
      <w:r w:rsidRPr="00A52585">
        <w:rPr>
          <w:rFonts w:hint="cs"/>
          <w:rtl/>
        </w:rPr>
        <w:t>)</w:t>
      </w:r>
      <w:r w:rsidR="00DB731D" w:rsidRPr="00A52585">
        <w:rPr>
          <w:rFonts w:hint="cs"/>
          <w:rtl/>
        </w:rPr>
        <w:t>،</w:t>
      </w:r>
      <w:r w:rsidR="00777DCB" w:rsidRPr="00A52585">
        <w:rPr>
          <w:rFonts w:hint="cs"/>
          <w:rtl/>
        </w:rPr>
        <w:t xml:space="preserve"> وقال جرير: </w:t>
      </w:r>
      <w:r w:rsidRPr="00A52585">
        <w:rPr>
          <w:rFonts w:hint="cs"/>
          <w:rtl/>
        </w:rPr>
        <w:t>(</w:t>
      </w:r>
      <w:r w:rsidR="00777DCB" w:rsidRPr="00A52585">
        <w:rPr>
          <w:rFonts w:hint="cs"/>
          <w:rtl/>
        </w:rPr>
        <w:t>ألا رب سام الطرف من آل مازن * إذا شمرت عن ساقها الحرب شمرا</w:t>
      </w:r>
      <w:r w:rsidRPr="00A52585">
        <w:rPr>
          <w:rFonts w:hint="cs"/>
          <w:rtl/>
        </w:rPr>
        <w:t>)</w:t>
      </w:r>
      <w:r w:rsidR="00DB731D" w:rsidRPr="00A52585">
        <w:rPr>
          <w:rFonts w:hint="cs"/>
          <w:rtl/>
        </w:rPr>
        <w:t>،</w:t>
      </w:r>
      <w:r w:rsidR="00777DCB" w:rsidRPr="00A52585">
        <w:rPr>
          <w:rFonts w:hint="cs"/>
          <w:rtl/>
        </w:rPr>
        <w:t xml:space="preserve"> وقال آخر: </w:t>
      </w:r>
      <w:r w:rsidRPr="00A52585">
        <w:rPr>
          <w:rFonts w:hint="cs"/>
          <w:rtl/>
        </w:rPr>
        <w:t>(</w:t>
      </w:r>
      <w:r w:rsidR="00777DCB" w:rsidRPr="00A52585">
        <w:rPr>
          <w:rFonts w:hint="cs"/>
          <w:rtl/>
        </w:rPr>
        <w:t>في سنة قد شمرت عن ساقها حمراء تبرى اللحم عن عراقها</w:t>
      </w:r>
      <w:r w:rsidRPr="00A52585">
        <w:rPr>
          <w:rFonts w:hint="cs"/>
          <w:rtl/>
        </w:rPr>
        <w:t>)</w:t>
      </w:r>
      <w:r w:rsidR="00DB731D" w:rsidRPr="00A52585">
        <w:rPr>
          <w:rFonts w:hint="cs"/>
          <w:rtl/>
        </w:rPr>
        <w:t>،</w:t>
      </w:r>
      <w:r w:rsidR="00777DCB" w:rsidRPr="00A52585">
        <w:rPr>
          <w:rFonts w:hint="cs"/>
          <w:rtl/>
        </w:rPr>
        <w:t xml:space="preserve"> وقال آخر: </w:t>
      </w:r>
      <w:r w:rsidRPr="00A52585">
        <w:rPr>
          <w:rFonts w:hint="cs"/>
          <w:rtl/>
        </w:rPr>
        <w:t>(</w:t>
      </w:r>
      <w:r w:rsidR="00777DCB" w:rsidRPr="00A52585">
        <w:rPr>
          <w:rFonts w:hint="cs"/>
          <w:rtl/>
        </w:rPr>
        <w:t>قد شمرت عن ساقها فشدوا * وجدت الحرب بكم فجدوا</w:t>
      </w:r>
      <w:r w:rsidRPr="00A52585">
        <w:rPr>
          <w:rFonts w:hint="cs"/>
          <w:rtl/>
        </w:rPr>
        <w:t>)</w:t>
      </w:r>
      <w:r w:rsidR="00DB731D" w:rsidRPr="00A52585">
        <w:rPr>
          <w:rFonts w:hint="cs"/>
          <w:rtl/>
        </w:rPr>
        <w:t>،</w:t>
      </w:r>
      <w:r w:rsidR="00777DCB" w:rsidRPr="00A52585">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sidR="00DB731D" w:rsidRPr="00A52585">
        <w:rPr>
          <w:rFonts w:hint="cs"/>
          <w:rtl/>
        </w:rPr>
        <w:t>،</w:t>
      </w:r>
      <w:r w:rsidR="00777DCB" w:rsidRPr="00A52585">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DB731D" w:rsidRPr="00A52585">
        <w:rPr>
          <w:rFonts w:hint="cs"/>
          <w:rtl/>
        </w:rPr>
        <w:t>،</w:t>
      </w:r>
      <w:r w:rsidR="00897A24" w:rsidRPr="00A52585">
        <w:rPr>
          <w:rFonts w:hint="cs"/>
          <w:rtl/>
        </w:rPr>
        <w:t>.</w:t>
      </w:r>
      <w:r w:rsidR="00777DCB" w:rsidRPr="00A52585">
        <w:rPr>
          <w:rFonts w:hint="cs"/>
          <w:rtl/>
        </w:rPr>
        <w:t>.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sidR="00DB731D" w:rsidRPr="00A52585">
        <w:rPr>
          <w:rFonts w:hint="cs"/>
          <w:rtl/>
        </w:rPr>
        <w:t>،</w:t>
      </w:r>
      <w:r w:rsidR="00777DCB" w:rsidRPr="00A52585">
        <w:rPr>
          <w:rFonts w:hint="cs"/>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sidR="00DB731D" w:rsidRPr="00A52585">
        <w:rPr>
          <w:rFonts w:hint="cs"/>
          <w:rtl/>
        </w:rPr>
        <w:t>،</w:t>
      </w:r>
      <w:r w:rsidR="00777DCB" w:rsidRPr="00A52585">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sidRPr="00A52585">
        <w:rPr>
          <w:rFonts w:hint="cs"/>
          <w:rtl/>
        </w:rPr>
        <w:t xml:space="preserve"> </w:t>
      </w:r>
      <w:r w:rsidR="00777DCB" w:rsidRPr="00A52585">
        <w:rPr>
          <w:rFonts w:hint="cs"/>
          <w:rtl/>
        </w:rPr>
        <w:t>كأنما فيها السفافيد</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w:t>
      </w:r>
      <w:r w:rsidR="00777DCB" w:rsidRPr="00A52585">
        <w:rPr>
          <w:rFonts w:hint="cs"/>
          <w:rtl/>
        </w:rPr>
        <w:lastRenderedPageBreak/>
        <w:t>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sidRPr="00A52585">
        <w:rPr>
          <w:rFonts w:hint="cs"/>
          <w:rtl/>
        </w:rPr>
        <w:t>)</w:t>
      </w:r>
      <w:r w:rsidR="00777DCB" w:rsidRPr="00A52585">
        <w:rPr>
          <w:rFonts w:hint="cs"/>
          <w:rtl/>
        </w:rPr>
        <w:t xml:space="preserve"> أهـ </w:t>
      </w:r>
    </w:p>
    <w:p w14:paraId="77D883EF" w14:textId="42FDEE96" w:rsidR="00777DCB" w:rsidRPr="00A52585" w:rsidRDefault="00777DCB" w:rsidP="0002035C">
      <w:pPr>
        <w:rPr>
          <w:b/>
          <w:rtl/>
          <w:lang w:bidi="ar-KW"/>
        </w:rPr>
      </w:pPr>
      <w:r w:rsidRPr="00A52585">
        <w:rPr>
          <w:rFonts w:hint="cs"/>
          <w:rtl/>
        </w:rPr>
        <w:t xml:space="preserve">وقال في موضع آخر - وهو يذكر </w:t>
      </w:r>
      <w:proofErr w:type="spellStart"/>
      <w:r w:rsidRPr="00A52585">
        <w:rPr>
          <w:rFonts w:hint="cs"/>
          <w:rtl/>
        </w:rPr>
        <w:t>الإلزامات</w:t>
      </w:r>
      <w:proofErr w:type="spellEnd"/>
      <w:r w:rsidRPr="00A52585">
        <w:rPr>
          <w:rFonts w:hint="cs"/>
          <w:rtl/>
        </w:rPr>
        <w:t xml:space="preserve"> على مذهب المجسمة من اثبات الساق كجارحة -</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إن من قال إنه مركب من الأعضاء والأجزاء فإما أن يثبت الأعضاء التي ورد ذكرها في القرآن ولا يزيد عليها وإما أن يزيد </w:t>
      </w:r>
      <w:proofErr w:type="spellStart"/>
      <w:r w:rsidRPr="00A52585">
        <w:rPr>
          <w:rFonts w:hint="cs"/>
          <w:rtl/>
        </w:rPr>
        <w:t>عليها</w:t>
      </w:r>
      <w:r w:rsidR="0002035C" w:rsidRPr="00A52585">
        <w:rPr>
          <w:rFonts w:hint="cs"/>
          <w:rtl/>
        </w:rPr>
        <w:t>:</w:t>
      </w:r>
      <w:r w:rsidRPr="00A52585">
        <w:rPr>
          <w:rFonts w:hint="cs"/>
          <w:rtl/>
        </w:rPr>
        <w:t>فإن</w:t>
      </w:r>
      <w:proofErr w:type="spellEnd"/>
      <w:r w:rsidRPr="00A52585">
        <w:rPr>
          <w:rFonts w:hint="cs"/>
          <w:rtl/>
        </w:rPr>
        <w:t xml:space="preserve"> كان الأول لزمه إثبات صورة لا يمكن أن يزاد عليها في القبح لأنه يلزمه إثبات وجه بحيث لا يوجد منه إلا مجرد رقعة الوجه لقوله تعالى </w:t>
      </w:r>
      <w:r w:rsidR="0002035C" w:rsidRPr="00A52585">
        <w:rPr>
          <w:rFonts w:hint="cs"/>
          <w:rtl/>
        </w:rPr>
        <w:t>{</w:t>
      </w:r>
      <w:r w:rsidRPr="00A52585">
        <w:rPr>
          <w:rFonts w:hint="cs"/>
          <w:rtl/>
        </w:rPr>
        <w:t>كل شيء هالك إلا وجهه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القصص</w:t>
      </w:r>
      <w:r w:rsidR="0002035C" w:rsidRPr="00A52585">
        <w:rPr>
          <w:rFonts w:hint="cs"/>
          <w:rtl/>
        </w:rPr>
        <w:t>:</w:t>
      </w:r>
      <w:r w:rsidRPr="00A52585">
        <w:rPr>
          <w:rFonts w:hint="cs"/>
          <w:rtl/>
        </w:rPr>
        <w:t>88</w:t>
      </w:r>
      <w:r w:rsidR="0002035C" w:rsidRPr="00A52585">
        <w:rPr>
          <w:rFonts w:hint="cs"/>
          <w:rtl/>
        </w:rPr>
        <w:t>]</w:t>
      </w:r>
      <w:r w:rsidRPr="00A52585">
        <w:rPr>
          <w:rFonts w:hint="cs"/>
          <w:rtl/>
        </w:rPr>
        <w:t xml:space="preserve"> ويلزمه أن يثبت في تلك الرقعة عيونا كثيرة لقوله تعالى: </w:t>
      </w:r>
      <w:r w:rsidR="0002035C" w:rsidRPr="00A52585">
        <w:rPr>
          <w:rFonts w:hint="cs"/>
          <w:rtl/>
        </w:rPr>
        <w:t>{</w:t>
      </w:r>
      <w:r w:rsidRPr="00A52585">
        <w:rPr>
          <w:rFonts w:hint="cs"/>
          <w:rtl/>
        </w:rPr>
        <w:t>تجرى بأعيننا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القمر:14</w:t>
      </w:r>
      <w:r w:rsidR="0002035C" w:rsidRPr="00A52585">
        <w:rPr>
          <w:rFonts w:hint="cs"/>
          <w:rtl/>
        </w:rPr>
        <w:t>]</w:t>
      </w:r>
      <w:r w:rsidR="00DB731D" w:rsidRPr="00A52585">
        <w:rPr>
          <w:rFonts w:hint="cs"/>
          <w:rtl/>
        </w:rPr>
        <w:t>،</w:t>
      </w:r>
      <w:r w:rsidRPr="00A52585">
        <w:rPr>
          <w:rFonts w:hint="cs"/>
          <w:rtl/>
        </w:rPr>
        <w:t xml:space="preserve"> وأن يثبت له جنبا واحداً لقوله تعالى </w:t>
      </w:r>
      <w:r w:rsidR="0002035C" w:rsidRPr="00A52585">
        <w:rPr>
          <w:rFonts w:hint="cs"/>
          <w:rtl/>
        </w:rPr>
        <w:t>{</w:t>
      </w:r>
      <w:r w:rsidRPr="00A52585">
        <w:rPr>
          <w:rFonts w:hint="cs"/>
          <w:rtl/>
        </w:rPr>
        <w:t>يا حسرتا على ما فرطت في جنب الله} [الزمر: 56] وإن يثبت على ذلك الجنب أيدي كثيرة لقوله تعالى</w:t>
      </w:r>
      <w:r w:rsidR="0002035C" w:rsidRPr="00A52585">
        <w:rPr>
          <w:rFonts w:hint="cs"/>
          <w:rtl/>
        </w:rPr>
        <w:t>{</w:t>
      </w:r>
      <w:r w:rsidRPr="00A52585">
        <w:rPr>
          <w:rFonts w:hint="cs"/>
          <w:rtl/>
        </w:rPr>
        <w:t>مما عملت أيدينا</w:t>
      </w:r>
      <w:r w:rsidR="0002035C" w:rsidRPr="00A52585">
        <w:rPr>
          <w:rFonts w:hint="cs"/>
          <w:rtl/>
        </w:rPr>
        <w:t>}</w:t>
      </w:r>
      <w:r w:rsidRPr="00A52585">
        <w:rPr>
          <w:rFonts w:hint="cs"/>
          <w:rtl/>
        </w:rPr>
        <w:t xml:space="preserve"> [يس:71]</w:t>
      </w:r>
      <w:r w:rsidR="00DB731D" w:rsidRPr="00A52585">
        <w:rPr>
          <w:rFonts w:hint="cs"/>
          <w:rtl/>
        </w:rPr>
        <w:t>،</w:t>
      </w:r>
      <w:r w:rsidRPr="00A52585">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02035C" w:rsidRPr="00A52585">
        <w:rPr>
          <w:rFonts w:hint="cs"/>
          <w:rtl/>
        </w:rPr>
        <w:t>{</w:t>
      </w:r>
      <w:r w:rsidRPr="00A52585">
        <w:rPr>
          <w:rFonts w:hint="cs"/>
          <w:rtl/>
        </w:rPr>
        <w:t>يوم يكشف عن ساق</w:t>
      </w:r>
      <w:r w:rsidR="0002035C" w:rsidRPr="00A52585">
        <w:rPr>
          <w:rFonts w:hint="cs"/>
          <w:rtl/>
        </w:rPr>
        <w:t>}</w:t>
      </w:r>
      <w:r w:rsidRPr="00A52585">
        <w:rPr>
          <w:rFonts w:hint="cs"/>
          <w:rtl/>
        </w:rPr>
        <w:t xml:space="preserve"> [القلم: 42]</w:t>
      </w:r>
      <w:r w:rsidR="00DB731D" w:rsidRPr="00A52585">
        <w:rPr>
          <w:rFonts w:hint="cs"/>
          <w:rtl/>
        </w:rPr>
        <w:t>،</w:t>
      </w:r>
      <w:r w:rsidRPr="00A52585">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DB731D" w:rsidRPr="00A52585">
        <w:rPr>
          <w:rFonts w:hint="cs"/>
          <w:rtl/>
        </w:rPr>
        <w:t>،</w:t>
      </w:r>
      <w:r w:rsidRPr="00A52585">
        <w:rPr>
          <w:rFonts w:hint="cs"/>
          <w:rtl/>
        </w:rPr>
        <w:t xml:space="preserve"> فكيف يقول العاقل إن رب العالمين موصوف بهذه الصورة</w:t>
      </w:r>
      <w:r w:rsidR="00F95886" w:rsidRPr="00A52585">
        <w:rPr>
          <w:rFonts w:hint="cs"/>
          <w:rtl/>
        </w:rPr>
        <w:t>؟</w:t>
      </w:r>
      <w:r w:rsidRPr="00A52585">
        <w:t>!</w:t>
      </w:r>
      <w:r w:rsidR="0002035C" w:rsidRPr="00A52585">
        <w:rPr>
          <w:rtl/>
        </w:rPr>
        <w:t xml:space="preserve"> </w:t>
      </w:r>
      <w:r w:rsidRPr="00A52585">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مفاتيح الغيب</w:t>
      </w:r>
      <w:r w:rsidR="0002035C" w:rsidRPr="00A52585">
        <w:rPr>
          <w:rFonts w:hint="cs"/>
          <w:rtl/>
        </w:rPr>
        <w:t>:</w:t>
      </w:r>
      <w:r w:rsidRPr="00A52585">
        <w:rPr>
          <w:rFonts w:hint="cs"/>
          <w:rtl/>
        </w:rPr>
        <w:t xml:space="preserve"> ج 7</w:t>
      </w:r>
      <w:r w:rsidR="00DB731D" w:rsidRPr="00A52585">
        <w:rPr>
          <w:rFonts w:hint="cs"/>
          <w:rtl/>
        </w:rPr>
        <w:t>،</w:t>
      </w:r>
      <w:r w:rsidRPr="00A52585">
        <w:rPr>
          <w:rFonts w:hint="cs"/>
          <w:rtl/>
        </w:rPr>
        <w:t xml:space="preserve"> صـ 148</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bCs/>
          <w:rtl/>
        </w:rPr>
        <w:t>وقال مرعي بن يوسف في أقاويل الثقات</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ومن المتشابه الساق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يوم يكشف عن ساق ويدعون إلى السجود</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القلم</w:t>
      </w:r>
      <w:r w:rsidR="0002035C" w:rsidRPr="00A52585">
        <w:rPr>
          <w:rFonts w:hint="cs"/>
          <w:rtl/>
        </w:rPr>
        <w:t>:</w:t>
      </w:r>
      <w:r w:rsidRPr="00A52585">
        <w:rPr>
          <w:rFonts w:hint="cs"/>
          <w:rtl/>
        </w:rPr>
        <w:t xml:space="preserve"> 42</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وقوله عليه السلام في حديث البخاري ومسلم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DB731D" w:rsidRPr="00A52585">
        <w:rPr>
          <w:rFonts w:hint="cs"/>
          <w:rtl/>
        </w:rPr>
        <w:t>،</w:t>
      </w:r>
      <w:r w:rsidRPr="00A52585">
        <w:rPr>
          <w:rFonts w:hint="cs"/>
          <w:rtl/>
        </w:rPr>
        <w:t xml:space="preserve"> وفي بعض طرق مسلم يكشف ربنا عن ساقه</w:t>
      </w:r>
      <w:r w:rsidR="00DB731D" w:rsidRPr="00A52585">
        <w:rPr>
          <w:rFonts w:hint="cs"/>
          <w:rtl/>
        </w:rPr>
        <w:t>،</w:t>
      </w:r>
      <w:r w:rsidRPr="00A52585">
        <w:rPr>
          <w:rFonts w:hint="cs"/>
          <w:rtl/>
        </w:rPr>
        <w:t xml:space="preserve"> قال الخطابي</w:t>
      </w:r>
      <w:r w:rsidR="0002035C" w:rsidRPr="00A52585">
        <w:rPr>
          <w:rFonts w:hint="cs"/>
          <w:rtl/>
        </w:rPr>
        <w:t>:</w:t>
      </w:r>
      <w:r w:rsidRPr="00A52585">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DB731D" w:rsidRPr="00A52585">
        <w:rPr>
          <w:rFonts w:hint="cs"/>
          <w:rtl/>
        </w:rPr>
        <w:t>،</w:t>
      </w:r>
      <w:r w:rsidRPr="00A52585">
        <w:rPr>
          <w:rFonts w:hint="cs"/>
          <w:rtl/>
        </w:rPr>
        <w:t xml:space="preserve"> وقال أهل التأويل هذا يؤول على معنى شدة الأمر وهوله</w:t>
      </w:r>
      <w:r w:rsidR="00DB731D" w:rsidRPr="00A52585">
        <w:rPr>
          <w:rFonts w:hint="cs"/>
          <w:rtl/>
        </w:rPr>
        <w:t>،</w:t>
      </w:r>
      <w:r w:rsidRPr="00A52585">
        <w:rPr>
          <w:rFonts w:hint="cs"/>
          <w:rtl/>
        </w:rPr>
        <w:t xml:space="preserve"> قال الجوهري وغيره في قوله تعالى: {يوم يكشف عن ساق</w:t>
      </w:r>
      <w:r w:rsidR="0002035C" w:rsidRPr="00A52585">
        <w:rPr>
          <w:rFonts w:hint="cs"/>
          <w:rtl/>
        </w:rPr>
        <w:t>}</w:t>
      </w:r>
      <w:r w:rsidR="00DB731D" w:rsidRPr="00A52585">
        <w:rPr>
          <w:rFonts w:hint="cs"/>
          <w:rtl/>
        </w:rPr>
        <w:t>،</w:t>
      </w:r>
      <w:r w:rsidRPr="00A52585">
        <w:rPr>
          <w:rFonts w:hint="cs"/>
          <w:rtl/>
        </w:rPr>
        <w:t xml:space="preserve"> أي عن شدة كما يقال قامت الحرب على ساق</w:t>
      </w:r>
      <w:r w:rsidR="00DB731D" w:rsidRPr="00A52585">
        <w:rPr>
          <w:rFonts w:hint="cs"/>
          <w:rtl/>
        </w:rPr>
        <w:t>،</w:t>
      </w:r>
      <w:r w:rsidRPr="00A52585">
        <w:rPr>
          <w:rFonts w:hint="cs"/>
          <w:rtl/>
        </w:rPr>
        <w:t xml:space="preserve"> وروى الحاكم في المستدرك من طريق عكرمة عن ابن عباس أنه سئل عن قوله تعالى</w:t>
      </w:r>
      <w:r w:rsidR="0002035C" w:rsidRPr="00A52585">
        <w:rPr>
          <w:rFonts w:hint="cs"/>
          <w:rtl/>
        </w:rPr>
        <w:t>:</w:t>
      </w:r>
      <w:r w:rsidRPr="00A52585">
        <w:rPr>
          <w:rFonts w:hint="cs"/>
          <w:rtl/>
        </w:rPr>
        <w:t xml:space="preserve"> {يوم يكشف عن </w:t>
      </w:r>
      <w:r w:rsidRPr="00A52585">
        <w:rPr>
          <w:rFonts w:hint="cs"/>
          <w:rtl/>
        </w:rPr>
        <w:lastRenderedPageBreak/>
        <w:t>ساق</w:t>
      </w:r>
      <w:r w:rsidR="0002035C" w:rsidRPr="00A52585">
        <w:rPr>
          <w:rFonts w:hint="cs"/>
          <w:rtl/>
        </w:rPr>
        <w:t>}</w:t>
      </w:r>
      <w:r w:rsidR="00DB731D" w:rsidRPr="00A52585">
        <w:rPr>
          <w:rFonts w:hint="cs"/>
          <w:rtl/>
        </w:rPr>
        <w:t>،</w:t>
      </w:r>
      <w:r w:rsidRPr="00A52585">
        <w:rPr>
          <w:rFonts w:hint="cs"/>
          <w:rtl/>
        </w:rPr>
        <w:t xml:space="preserve"> فقال إذا خفي عليكم شيء من القرآن فابتغوه من الشعر فإنه ديوان العرب أما سمعتم قول الشاعر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قد سن لي قومك ضرب الأعناق * وقامت الحرب بنا على ساق</w:t>
      </w:r>
      <w:r w:rsidR="0002035C" w:rsidRPr="00A52585">
        <w:rPr>
          <w:rFonts w:hint="cs"/>
          <w:rtl/>
        </w:rPr>
        <w:t xml:space="preserve">) </w:t>
      </w:r>
      <w:r w:rsidRPr="00A52585">
        <w:rPr>
          <w:rFonts w:hint="cs"/>
          <w:rtl/>
        </w:rPr>
        <w:t>قال ابن عباس هذا يوم كرب وشدة</w:t>
      </w:r>
      <w:r w:rsidR="00DB731D" w:rsidRPr="00A52585">
        <w:rPr>
          <w:rFonts w:hint="cs"/>
          <w:rtl/>
        </w:rPr>
        <w:t>،</w:t>
      </w:r>
      <w:r w:rsidRPr="00A52585">
        <w:rPr>
          <w:rFonts w:hint="cs"/>
          <w:rtl/>
        </w:rPr>
        <w:t xml:space="preserve"> وعن علي بن أبي طلحة عن ابن عباس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يوم يكشف عن ساق</w:t>
      </w:r>
      <w:r w:rsidR="0002035C" w:rsidRPr="00A52585">
        <w:rPr>
          <w:rFonts w:hint="cs"/>
          <w:rtl/>
        </w:rPr>
        <w:t>}</w:t>
      </w:r>
      <w:r w:rsidRPr="00A52585">
        <w:rPr>
          <w:rFonts w:hint="cs"/>
          <w:rtl/>
        </w:rPr>
        <w:t xml:space="preserve"> قال هو الأمر الشديد </w:t>
      </w:r>
      <w:proofErr w:type="spellStart"/>
      <w:r w:rsidRPr="00A52585">
        <w:rPr>
          <w:rFonts w:hint="cs"/>
          <w:rtl/>
        </w:rPr>
        <w:t>المفظع</w:t>
      </w:r>
      <w:proofErr w:type="spellEnd"/>
      <w:r w:rsidRPr="00A52585">
        <w:rPr>
          <w:rFonts w:hint="cs"/>
          <w:rtl/>
        </w:rPr>
        <w:t xml:space="preserve"> من الهول يوم القيامة</w:t>
      </w:r>
      <w:r w:rsidR="00DB731D" w:rsidRPr="00A52585">
        <w:rPr>
          <w:rFonts w:hint="cs"/>
          <w:rtl/>
        </w:rPr>
        <w:t>،</w:t>
      </w:r>
      <w:r w:rsidRPr="00A52585">
        <w:rPr>
          <w:rFonts w:hint="cs"/>
          <w:rtl/>
        </w:rPr>
        <w:t xml:space="preserve"> وقال بعض الأعراب وكان يطرد الطير عن الزرع في سنة جدبة</w:t>
      </w:r>
      <w:r w:rsidR="0002035C" w:rsidRPr="00A52585">
        <w:rPr>
          <w:rFonts w:hint="cs"/>
          <w:rtl/>
        </w:rPr>
        <w:t>:</w:t>
      </w:r>
      <w:r w:rsidRPr="00A52585">
        <w:rPr>
          <w:rFonts w:hint="cs"/>
          <w:rtl/>
        </w:rPr>
        <w:t xml:space="preserve"> " عجبت من نفسي ومن إشفاقها</w:t>
      </w:r>
      <w:r w:rsidR="0002035C" w:rsidRPr="00A52585">
        <w:rPr>
          <w:rFonts w:hint="cs"/>
          <w:rtl/>
        </w:rPr>
        <w:t xml:space="preserve"> </w:t>
      </w:r>
      <w:r w:rsidRPr="00A52585">
        <w:rPr>
          <w:rFonts w:hint="cs"/>
          <w:rtl/>
        </w:rPr>
        <w:t>* ومن طرادي الطير عن أرزاقها * في سنة قد كشفت عن ساقها "</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أقاويل الثقات ج: 1 ص: 173</w:t>
      </w:r>
      <w:r w:rsidR="0002035C" w:rsidRPr="00A52585">
        <w:rPr>
          <w:rFonts w:hint="cs"/>
          <w:rtl/>
        </w:rPr>
        <w:t>]</w:t>
      </w:r>
      <w:r w:rsidR="00DB731D" w:rsidRPr="00A52585">
        <w:rPr>
          <w:rFonts w:hint="cs"/>
          <w:rtl/>
        </w:rPr>
        <w:t>،</w:t>
      </w:r>
      <w:r w:rsidRPr="00A52585">
        <w:rPr>
          <w:rFonts w:hint="cs"/>
          <w:rtl/>
        </w:rPr>
        <w:t xml:space="preserve"> </w:t>
      </w:r>
    </w:p>
    <w:p w14:paraId="484A7224" w14:textId="77777777" w:rsidR="00777DCB" w:rsidRPr="00A52585" w:rsidRDefault="00777DCB" w:rsidP="0002035C">
      <w:pPr>
        <w:jc w:val="center"/>
        <w:rPr>
          <w:rtl/>
          <w:lang w:bidi="ar-KW"/>
        </w:rPr>
      </w:pPr>
      <w:r w:rsidRPr="00A52585">
        <w:rPr>
          <w:rFonts w:hint="cs"/>
          <w:rtl/>
          <w:lang w:bidi="ar-KW"/>
        </w:rPr>
        <w:t xml:space="preserve">*** </w:t>
      </w:r>
    </w:p>
    <w:p w14:paraId="6B09B4E7" w14:textId="77777777" w:rsidR="00777DCB" w:rsidRPr="00A52585" w:rsidRDefault="00777DCB" w:rsidP="0002035C">
      <w:pPr>
        <w:jc w:val="center"/>
        <w:rPr>
          <w:rtl/>
          <w:lang w:bidi="ar-KW"/>
        </w:rPr>
      </w:pPr>
    </w:p>
    <w:p w14:paraId="46BE0073" w14:textId="2674A654" w:rsidR="00777DCB" w:rsidRPr="00A52585" w:rsidRDefault="00777DCB" w:rsidP="00A52585">
      <w:pPr>
        <w:pStyle w:val="1"/>
        <w:rPr>
          <w:u w:val="none"/>
          <w:rtl/>
        </w:rPr>
      </w:pPr>
      <w:r w:rsidRPr="00A52585">
        <w:rPr>
          <w:u w:val="none"/>
          <w:rtl/>
          <w:lang w:bidi="ar-KW"/>
        </w:rPr>
        <w:t>الفصل السابع</w:t>
      </w:r>
      <w:r w:rsidR="00A52585" w:rsidRPr="00A52585">
        <w:rPr>
          <w:rFonts w:hint="cs"/>
          <w:u w:val="none"/>
          <w:rtl/>
          <w:lang w:bidi="ar-KW"/>
        </w:rPr>
        <w:t xml:space="preserve"> </w:t>
      </w:r>
      <w:r w:rsidRPr="00A52585">
        <w:rPr>
          <w:u w:val="none"/>
          <w:rtl/>
          <w:lang w:bidi="ar-KW"/>
        </w:rPr>
        <w:t>فقه العلم بالقرب مع الاستواء مع الإحاطة في حق ذات الله تعالى</w:t>
      </w:r>
    </w:p>
    <w:p w14:paraId="3CDCC5E4" w14:textId="77777777" w:rsidR="00777DCB" w:rsidRPr="00A52585" w:rsidRDefault="00777DCB" w:rsidP="0002035C">
      <w:pPr>
        <w:rPr>
          <w:rtl/>
        </w:rPr>
      </w:pPr>
    </w:p>
    <w:p w14:paraId="7CA08ED9" w14:textId="2D42E017" w:rsidR="00777DCB" w:rsidRPr="00A52585" w:rsidRDefault="00777DCB" w:rsidP="0002035C">
      <w:pPr>
        <w:rPr>
          <w:lang w:bidi="ar-KW"/>
        </w:rPr>
      </w:pPr>
      <w:r w:rsidRPr="00A52585">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DB731D" w:rsidRPr="00A52585">
        <w:rPr>
          <w:rFonts w:hint="cs"/>
          <w:rtl/>
          <w:lang w:bidi="ar-KW"/>
        </w:rPr>
        <w:t>،</w:t>
      </w:r>
      <w:r w:rsidR="0002035C" w:rsidRPr="00A52585">
        <w:rPr>
          <w:rFonts w:hint="cs"/>
          <w:rtl/>
          <w:lang w:bidi="ar-KW"/>
        </w:rPr>
        <w:t xml:space="preserve"> </w:t>
      </w:r>
    </w:p>
    <w:p w14:paraId="36951591" w14:textId="63A2B1EA" w:rsidR="00777DCB" w:rsidRPr="00A52585" w:rsidRDefault="0002035C" w:rsidP="0002035C">
      <w:pPr>
        <w:rPr>
          <w:rtl/>
        </w:rPr>
      </w:pPr>
      <w:r w:rsidRPr="00A52585">
        <w:rPr>
          <w:rFonts w:hint="cs"/>
          <w:bCs/>
          <w:rtl/>
          <w:lang w:bidi="ar-KW"/>
        </w:rPr>
        <w:t>(</w:t>
      </w:r>
      <w:r w:rsidR="00777DCB" w:rsidRPr="00A52585">
        <w:rPr>
          <w:rFonts w:hint="cs"/>
          <w:bCs/>
          <w:rtl/>
          <w:lang w:bidi="ar-KW"/>
        </w:rPr>
        <w:t>1</w:t>
      </w:r>
      <w:r w:rsidRPr="00A52585">
        <w:rPr>
          <w:rFonts w:hint="cs"/>
          <w:bCs/>
          <w:rtl/>
          <w:lang w:bidi="ar-KW"/>
        </w:rPr>
        <w:t>)</w:t>
      </w:r>
      <w:r w:rsidR="00777DCB" w:rsidRPr="00A52585">
        <w:rPr>
          <w:rFonts w:hint="cs"/>
          <w:bCs/>
          <w:rtl/>
          <w:lang w:bidi="ar-KW"/>
        </w:rPr>
        <w:t xml:space="preserve"> آيات القرب والمعنى المراد منها</w:t>
      </w:r>
      <w:r w:rsidRPr="00A52585">
        <w:rPr>
          <w:rFonts w:hint="cs"/>
          <w:rtl/>
          <w:lang w:bidi="ar-KW"/>
        </w:rPr>
        <w:t>:</w:t>
      </w:r>
      <w:r w:rsidR="00777DCB" w:rsidRPr="00A52585">
        <w:rPr>
          <w:rFonts w:hint="cs"/>
          <w:rtl/>
          <w:lang w:bidi="ar-KW"/>
        </w:rPr>
        <w:t xml:space="preserve"> جاء في القرب آيات عديدة منها قول الله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وَإِذَا سَأَلَكَ عِبَادِي عَنِّي فَإِنِّي قَرِيبٌ أُجِيبُ دَعْوَةَ الدَّاعِ إِذَا دَعَانِ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فَاسْتَغْفِرُوهُ ثُمَّ تُوبُوا إِلَيْهِ إِنَّ رَبِّي قَرِيبٌ مُجِيبٌ (61)</w:t>
      </w:r>
      <w:r w:rsidRPr="00A52585">
        <w:rPr>
          <w:rFonts w:hint="cs"/>
          <w:rtl/>
        </w:rPr>
        <w:t>}</w:t>
      </w:r>
      <w:r w:rsidR="00777DCB" w:rsidRPr="00A52585">
        <w:rPr>
          <w:rFonts w:hint="cs"/>
          <w:rtl/>
        </w:rPr>
        <w:t xml:space="preserve"> [هود</w:t>
      </w:r>
      <w:r w:rsidRPr="00A52585">
        <w:rPr>
          <w:rFonts w:hint="cs"/>
          <w:rtl/>
        </w:rPr>
        <w:t>:</w:t>
      </w:r>
      <w:r w:rsidR="00777DCB" w:rsidRPr="00A52585">
        <w:rPr>
          <w:rFonts w:hint="cs"/>
          <w:rtl/>
        </w:rPr>
        <w:t xml:space="preserve"> 61</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إِنْ ضَلَلْتُ فَإِنَّمَا أَضِلُّ عَلَى نَفْسِي وَإِنِ اهْتَدَيْتُ فَبِمَا يُوحِي إِلَيَّ رَبِّي إِنَّهُ سَمِيعٌ قَرِيبٌ (50)</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سبأ</w:t>
      </w:r>
      <w:r w:rsidRPr="00A52585">
        <w:rPr>
          <w:rFonts w:hint="cs"/>
          <w:rtl/>
        </w:rPr>
        <w:t>:</w:t>
      </w:r>
      <w:r w:rsidR="00777DCB" w:rsidRPr="00A52585">
        <w:rPr>
          <w:rFonts w:hint="cs"/>
          <w:rtl/>
        </w:rPr>
        <w:t xml:space="preserve"> 50</w:t>
      </w:r>
      <w:r w:rsidRPr="00A52585">
        <w:rPr>
          <w:rFonts w:hint="cs"/>
          <w:rtl/>
        </w:rPr>
        <w:t>]</w:t>
      </w:r>
      <w:r w:rsidR="00DB731D" w:rsidRPr="00A52585">
        <w:rPr>
          <w:rFonts w:hint="cs"/>
          <w:rtl/>
        </w:rPr>
        <w:t>،</w:t>
      </w:r>
      <w:r w:rsidR="00777DCB" w:rsidRPr="00A52585">
        <w:rPr>
          <w:rFonts w:hint="cs"/>
          <w:rtl/>
        </w:rPr>
        <w:t>،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وَلَقَدْ خَلَقْنَا الْإِنْسَانَ وَنَعْلَمُ مَا تُوَسْوِسُ بِهِ نَفْسُهُ وَنَحْنُ أَقْرَبُ إِلَيْهِ مِنْ حَبْلِ الْوَرِيدِ (16)</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وَنَحْنُ أَقْرَبُ إِلَيْهِ مِنْكُمْ وَلَكِنْ لَا تُبْصِرُونَ (85)</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الواقعة</w:t>
      </w:r>
      <w:r w:rsidRPr="00A52585">
        <w:rPr>
          <w:rFonts w:hint="cs"/>
          <w:rtl/>
        </w:rPr>
        <w:t>:</w:t>
      </w:r>
      <w:r w:rsidR="00777DCB" w:rsidRPr="00A52585">
        <w:rPr>
          <w:rFonts w:hint="cs"/>
          <w:rtl/>
        </w:rPr>
        <w:t xml:space="preserve"> 85</w:t>
      </w:r>
      <w:r w:rsidRPr="00A52585">
        <w:rPr>
          <w:rFonts w:hint="cs"/>
          <w:rtl/>
        </w:rPr>
        <w:t>]</w:t>
      </w:r>
      <w:r w:rsidR="00777DCB" w:rsidRPr="00A52585">
        <w:rPr>
          <w:rFonts w:hint="cs"/>
          <w:rtl/>
        </w:rPr>
        <w:t xml:space="preserve"> وما أخرجه الشيخان عن أبي موسى الأشعري قال</w:t>
      </w:r>
      <w:r w:rsidRPr="00A52585">
        <w:rPr>
          <w:rFonts w:hint="cs"/>
          <w:rtl/>
        </w:rPr>
        <w:t xml:space="preserve">: </w:t>
      </w:r>
      <w:r w:rsidR="00777DCB" w:rsidRPr="00A52585">
        <w:rPr>
          <w:rFonts w:hint="cs"/>
          <w:rtl/>
        </w:rPr>
        <w:t xml:space="preserve">كنا مع رسول الله صلى الله عليه وسلم في غزاة فجعلنا لا نصعد شرفا ولا نهبط واديا إلا رفعنا </w:t>
      </w:r>
      <w:r w:rsidR="00777DCB" w:rsidRPr="00A52585">
        <w:rPr>
          <w:rFonts w:hint="cs"/>
          <w:rtl/>
        </w:rPr>
        <w:lastRenderedPageBreak/>
        <w:t>أصواتنا بالتكبير فدنا منا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أيها الناس أربعوا على أنفسكم فإنكم لا تدعون أصم ولا غائبا إنما تدعون سميعا بصيرا إن الذي تدعون أقرب إلى أحدكم من عنق راحلته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متفق عليه</w:t>
      </w:r>
      <w:r w:rsidRPr="00A52585">
        <w:rPr>
          <w:rFonts w:hint="cs"/>
          <w:rtl/>
        </w:rPr>
        <w:t>]</w:t>
      </w:r>
      <w:r w:rsidR="00DB731D" w:rsidRPr="00A52585">
        <w:rPr>
          <w:rFonts w:hint="cs"/>
          <w:rtl/>
        </w:rPr>
        <w:t>،</w:t>
      </w:r>
      <w:r w:rsidR="00777DCB" w:rsidRPr="00A52585">
        <w:rPr>
          <w:rFonts w:hint="cs"/>
          <w:rtl/>
        </w:rPr>
        <w:t xml:space="preserve"> وهذه الادلة تدل على قرب الله تعالى من عباده</w:t>
      </w:r>
      <w:r w:rsidR="00DB731D" w:rsidRPr="00A52585">
        <w:rPr>
          <w:rFonts w:hint="cs"/>
          <w:rtl/>
        </w:rPr>
        <w:t>،</w:t>
      </w:r>
      <w:r w:rsidR="00777DCB" w:rsidRPr="00A52585">
        <w:rPr>
          <w:rFonts w:hint="cs"/>
          <w:rtl/>
        </w:rPr>
        <w:t xml:space="preserve"> قرب منزه عن الاتحاد والحلول والاتصال والانفصال مع خلقه ليس كمثله شيء</w:t>
      </w:r>
      <w:r w:rsidR="00DB731D" w:rsidRPr="00A52585">
        <w:rPr>
          <w:rFonts w:hint="cs"/>
          <w:rtl/>
        </w:rPr>
        <w:t>،</w:t>
      </w:r>
      <w:r w:rsidR="00777DCB" w:rsidRPr="00A52585">
        <w:rPr>
          <w:rFonts w:hint="cs"/>
          <w:rtl/>
        </w:rPr>
        <w:t xml:space="preserve"> وقد حمل العلماء المتخصصون في العقيدة القرب على قرب العلم والسمع والبصر والقدرة</w:t>
      </w:r>
      <w:r w:rsidR="00DB731D" w:rsidRPr="00A52585">
        <w:rPr>
          <w:rFonts w:hint="cs"/>
          <w:rtl/>
        </w:rPr>
        <w:t>،</w:t>
      </w:r>
      <w:r w:rsidR="00777DCB" w:rsidRPr="00A52585">
        <w:rPr>
          <w:rFonts w:hint="cs"/>
          <w:rtl/>
        </w:rPr>
        <w:t xml:space="preserve"> وقرب الملائكة</w:t>
      </w:r>
      <w:r w:rsidR="00DB731D" w:rsidRPr="00A52585">
        <w:rPr>
          <w:rFonts w:hint="cs"/>
          <w:rtl/>
        </w:rPr>
        <w:t>،</w:t>
      </w:r>
      <w:r w:rsidR="00777DCB" w:rsidRPr="00A52585">
        <w:rPr>
          <w:rFonts w:hint="cs"/>
          <w:rtl/>
        </w:rPr>
        <w:t xml:space="preserve"> وذلك للتنزيه وابعاد شبهة الحلول والاتحاد مع المخلوقات</w:t>
      </w:r>
      <w:r w:rsidR="00DB731D" w:rsidRPr="00A52585">
        <w:rPr>
          <w:rFonts w:hint="cs"/>
          <w:rtl/>
        </w:rPr>
        <w:t>،</w:t>
      </w:r>
    </w:p>
    <w:p w14:paraId="10692389" w14:textId="7EF4CEEA" w:rsidR="00777DCB" w:rsidRPr="00A52585" w:rsidRDefault="0002035C" w:rsidP="0002035C">
      <w:pPr>
        <w:rPr>
          <w:rtl/>
        </w:rPr>
      </w:pPr>
      <w:r w:rsidRPr="00A52585">
        <w:rPr>
          <w:rFonts w:hint="cs"/>
          <w:bCs/>
          <w:rtl/>
          <w:lang w:bidi="ar-KW"/>
        </w:rPr>
        <w:t>(</w:t>
      </w:r>
      <w:r w:rsidR="00777DCB" w:rsidRPr="00A52585">
        <w:rPr>
          <w:rFonts w:hint="cs"/>
          <w:bCs/>
          <w:rtl/>
          <w:lang w:bidi="ar-KW"/>
        </w:rPr>
        <w:t>2</w:t>
      </w:r>
      <w:r w:rsidRPr="00A52585">
        <w:rPr>
          <w:rFonts w:hint="cs"/>
          <w:bCs/>
          <w:rtl/>
          <w:lang w:bidi="ar-KW"/>
        </w:rPr>
        <w:t>)</w:t>
      </w:r>
      <w:r w:rsidR="00777DCB" w:rsidRPr="00A52585">
        <w:rPr>
          <w:rFonts w:hint="cs"/>
          <w:bCs/>
          <w:rtl/>
          <w:lang w:bidi="ar-KW"/>
        </w:rPr>
        <w:t xml:space="preserve"> آيات الإحاطة والمعنى المراد منها</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وَلِلَّهِ مَا فِي السَّمَوَاتِ وَمَا فِي الْأَرْضِ وَكَانَ اللَّهُ بِكُلِّ شَيْءٍ مُحِيطًا (126)</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126</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أَلَا إِنَّهُمْ فِي مِرْيَةٍ مِنْ لِقَاءِ رَبِّهِمْ أَلَا إِنَّهُ بِكُلِّ شَيْءٍ مُحِيطٌ (54)</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فصلت</w:t>
      </w:r>
      <w:r w:rsidRPr="00A52585">
        <w:rPr>
          <w:rFonts w:hint="cs"/>
          <w:rtl/>
        </w:rPr>
        <w:t>:</w:t>
      </w:r>
      <w:r w:rsidR="00777DCB" w:rsidRPr="00A52585">
        <w:rPr>
          <w:rFonts w:hint="cs"/>
          <w:rtl/>
        </w:rPr>
        <w:t xml:space="preserve"> 54</w:t>
      </w:r>
      <w:r w:rsidRPr="00A52585">
        <w:rPr>
          <w:rFonts w:hint="cs"/>
          <w:rtl/>
        </w:rPr>
        <w:t>]</w:t>
      </w:r>
      <w:r w:rsidR="00DB731D" w:rsidRPr="00A52585">
        <w:rPr>
          <w:rFonts w:hint="cs"/>
          <w:rtl/>
        </w:rPr>
        <w:t>،</w:t>
      </w:r>
      <w:r w:rsidR="00777DCB" w:rsidRPr="00A52585">
        <w:rPr>
          <w:rFonts w:hint="cs"/>
          <w:rtl/>
        </w:rPr>
        <w:t xml:space="preserve"> وهذه الادلة تفيد إحاطة الله تعالى بكل شيء</w:t>
      </w:r>
      <w:r w:rsidR="00DB731D" w:rsidRPr="00A52585">
        <w:rPr>
          <w:rFonts w:hint="cs"/>
          <w:rtl/>
        </w:rPr>
        <w:t>،</w:t>
      </w:r>
      <w:r w:rsidR="00777DCB" w:rsidRPr="00A52585">
        <w:rPr>
          <w:rFonts w:hint="cs"/>
          <w:rtl/>
        </w:rPr>
        <w:t xml:space="preserve"> والإحاطة ليس معناها أن الكون كله داخل في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إذ تنزه الخالق عن معاني الحلول والاتحاد ومعاني المماسة والاتصال ليس كذاته ذات</w:t>
      </w:r>
      <w:r w:rsidRPr="00A52585">
        <w:rPr>
          <w:rFonts w:hint="cs"/>
          <w:rtl/>
        </w:rPr>
        <w:t xml:space="preserve"> </w:t>
      </w:r>
      <w:r w:rsidR="00777DCB" w:rsidRPr="00A52585">
        <w:rPr>
          <w:rFonts w:hint="cs"/>
          <w:rtl/>
        </w:rPr>
        <w:t>تنزه عن كل ما خطر بقلوب البشر له الكمال والتنزيه المطلقين في ذاته وصفاته وافعاله ليس كمثله شيء ولا نحيط به علما</w:t>
      </w:r>
      <w:r w:rsidR="00DB731D" w:rsidRPr="00A52585">
        <w:rPr>
          <w:rFonts w:hint="cs"/>
          <w:rtl/>
        </w:rPr>
        <w:t>،</w:t>
      </w:r>
      <w:r w:rsidR="00777DCB" w:rsidRPr="00A52585">
        <w:rPr>
          <w:rFonts w:hint="cs"/>
          <w:rtl/>
        </w:rPr>
        <w:t xml:space="preserve"> نعجز عن ادراك ذاته</w:t>
      </w:r>
      <w:r w:rsidR="00DB731D" w:rsidRPr="00A52585">
        <w:rPr>
          <w:rFonts w:hint="cs"/>
          <w:rtl/>
        </w:rPr>
        <w:t>،</w:t>
      </w:r>
      <w:r w:rsidR="00777DCB" w:rsidRPr="00A52585">
        <w:rPr>
          <w:rFonts w:hint="cs"/>
          <w:rtl/>
        </w:rPr>
        <w:t xml:space="preserve"> وما نستطيع ان نقدره قدره</w:t>
      </w:r>
      <w:r w:rsidR="00DB731D" w:rsidRPr="00A52585">
        <w:rPr>
          <w:rFonts w:hint="cs"/>
          <w:rtl/>
        </w:rPr>
        <w:t>،</w:t>
      </w:r>
      <w:r w:rsidR="00777DCB" w:rsidRPr="00A52585">
        <w:rPr>
          <w:rFonts w:hint="cs"/>
          <w:rtl/>
        </w:rPr>
        <w:t xml:space="preserve"> لا نحصي ثناءً عليه</w:t>
      </w:r>
      <w:r w:rsidR="00DB731D" w:rsidRPr="00A52585">
        <w:rPr>
          <w:rFonts w:hint="cs"/>
          <w:rtl/>
        </w:rPr>
        <w:t>،</w:t>
      </w:r>
      <w:r w:rsidR="00777DCB" w:rsidRPr="00A52585">
        <w:rPr>
          <w:rFonts w:hint="cs"/>
          <w:rtl/>
        </w:rPr>
        <w:t xml:space="preserve"> هو كما أثنى على نفسه</w:t>
      </w:r>
      <w:r w:rsidR="00DB731D" w:rsidRPr="00A52585">
        <w:rPr>
          <w:rFonts w:hint="cs"/>
          <w:rtl/>
        </w:rPr>
        <w:t>،</w:t>
      </w:r>
      <w:r w:rsidR="00777DCB" w:rsidRPr="00A52585">
        <w:rPr>
          <w:rFonts w:hint="cs"/>
          <w:rtl/>
        </w:rPr>
        <w:t xml:space="preserve"> وقد حمل العلماء المتخصصون في العقيدة الإحاطة على إحاطة العلم والسمع والبصر والقدرة</w:t>
      </w:r>
      <w:r w:rsidR="00DB731D" w:rsidRPr="00A52585">
        <w:rPr>
          <w:rFonts w:hint="cs"/>
          <w:rtl/>
        </w:rPr>
        <w:t>،</w:t>
      </w:r>
      <w:r w:rsidR="00777DCB" w:rsidRPr="00A52585">
        <w:rPr>
          <w:rFonts w:hint="cs"/>
          <w:rtl/>
        </w:rPr>
        <w:t xml:space="preserve"> وذلك للتنزيه وابعاد شبهة الحلول والاتحاد مع المخلوقات</w:t>
      </w:r>
      <w:r w:rsidR="00DB731D" w:rsidRPr="00A52585">
        <w:rPr>
          <w:rFonts w:hint="cs"/>
          <w:rtl/>
        </w:rPr>
        <w:t>،</w:t>
      </w:r>
      <w:r w:rsidR="00777DCB" w:rsidRPr="00A52585">
        <w:rPr>
          <w:rFonts w:hint="cs"/>
          <w:rtl/>
        </w:rPr>
        <w:t xml:space="preserve"> </w:t>
      </w:r>
    </w:p>
    <w:p w14:paraId="2C84F9AA" w14:textId="3976DEB6" w:rsidR="00777DCB" w:rsidRPr="00A52585" w:rsidRDefault="0002035C" w:rsidP="0002035C">
      <w:pPr>
        <w:rPr>
          <w:rtl/>
          <w:lang w:bidi="ar-KW"/>
        </w:rPr>
      </w:pPr>
      <w:r w:rsidRPr="00A52585">
        <w:rPr>
          <w:rFonts w:hint="cs"/>
          <w:bCs/>
          <w:rtl/>
          <w:lang w:bidi="ar-KW"/>
        </w:rPr>
        <w:t>(</w:t>
      </w:r>
      <w:r w:rsidR="00777DCB" w:rsidRPr="00A52585">
        <w:rPr>
          <w:rFonts w:hint="cs"/>
          <w:bCs/>
          <w:rtl/>
          <w:lang w:bidi="ar-KW"/>
        </w:rPr>
        <w:t>3</w:t>
      </w:r>
      <w:r w:rsidRPr="00A52585">
        <w:rPr>
          <w:rFonts w:hint="cs"/>
          <w:bCs/>
          <w:rtl/>
          <w:lang w:bidi="ar-KW"/>
        </w:rPr>
        <w:t>)</w:t>
      </w:r>
      <w:r w:rsidR="00777DCB" w:rsidRPr="00A52585">
        <w:rPr>
          <w:rFonts w:hint="cs"/>
          <w:bCs/>
          <w:rtl/>
          <w:lang w:bidi="ar-KW"/>
        </w:rPr>
        <w:t xml:space="preserve"> آيات الاستواء والمعنى المراد منها</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الجميع متفق على حمل القرب على قرب العلم والسمع والبصر</w:t>
      </w:r>
      <w:r w:rsidR="00DB731D" w:rsidRPr="00A52585">
        <w:rPr>
          <w:rFonts w:hint="cs"/>
          <w:rtl/>
          <w:lang w:bidi="ar-KW"/>
        </w:rPr>
        <w:t>،</w:t>
      </w:r>
      <w:r w:rsidR="00777DCB" w:rsidRPr="00A52585">
        <w:rPr>
          <w:rFonts w:hint="cs"/>
          <w:rtl/>
          <w:lang w:bidi="ar-KW"/>
        </w:rPr>
        <w:t xml:space="preserve"> والجميع متفق على حمل الإحاطة على العلم والسمع والبصر</w:t>
      </w:r>
      <w:r w:rsidR="00DB731D" w:rsidRPr="00A52585">
        <w:rPr>
          <w:rFonts w:hint="cs"/>
          <w:rtl/>
          <w:lang w:bidi="ar-KW"/>
        </w:rPr>
        <w:t>،</w:t>
      </w:r>
      <w:r w:rsidR="00777DCB" w:rsidRPr="00A52585">
        <w:rPr>
          <w:rFonts w:hint="cs"/>
          <w:rtl/>
          <w:lang w:bidi="ar-KW"/>
        </w:rPr>
        <w:t xml:space="preserve"> ولكن عند الاستواء اختلفوا</w:t>
      </w:r>
      <w:r w:rsidR="00DB731D" w:rsidRPr="00A52585">
        <w:rPr>
          <w:rFonts w:hint="cs"/>
          <w:rtl/>
          <w:lang w:bidi="ar-KW"/>
        </w:rPr>
        <w:t>،</w:t>
      </w:r>
      <w:r w:rsidR="00777DCB" w:rsidRPr="00A52585">
        <w:rPr>
          <w:rFonts w:hint="cs"/>
          <w:rtl/>
          <w:lang w:bidi="ar-KW"/>
        </w:rPr>
        <w:t xml:space="preserve"> فحمل علماء الأصول المتخصصون في العقيدة الاستواء على معاني </w:t>
      </w:r>
      <w:r w:rsidR="00777DCB" w:rsidRPr="00A52585">
        <w:rPr>
          <w:rFonts w:hint="cs"/>
          <w:rtl/>
        </w:rPr>
        <w:t xml:space="preserve">استواء الملك والقهر والتسخير والهيمنة والربوبية </w:t>
      </w:r>
      <w:proofErr w:type="spellStart"/>
      <w:r w:rsidR="00777DCB" w:rsidRPr="00A52585">
        <w:rPr>
          <w:rFonts w:hint="cs"/>
          <w:rtl/>
        </w:rPr>
        <w:t>للعالم</w:t>
      </w:r>
      <w:r w:rsidR="00DB731D" w:rsidRPr="00A52585">
        <w:rPr>
          <w:rFonts w:hint="cs"/>
          <w:rtl/>
        </w:rPr>
        <w:t>،</w:t>
      </w:r>
      <w:r w:rsidR="00777DCB" w:rsidRPr="00A52585">
        <w:rPr>
          <w:rFonts w:hint="cs"/>
          <w:rtl/>
        </w:rPr>
        <w:t>وبيان</w:t>
      </w:r>
      <w:proofErr w:type="spellEnd"/>
      <w:r w:rsidR="00777DCB" w:rsidRPr="00A52585">
        <w:rPr>
          <w:rFonts w:hint="cs"/>
        </w:rPr>
        <w:t xml:space="preserve"> </w:t>
      </w:r>
      <w:r w:rsidR="00777DCB" w:rsidRPr="00A52585">
        <w:rPr>
          <w:rFonts w:hint="cs"/>
          <w:rtl/>
        </w:rPr>
        <w:t>كمال قدرته التامة سبحانه في تدابير الملك والملكوت</w:t>
      </w:r>
      <w:r w:rsidR="00DB731D" w:rsidRPr="00A52585">
        <w:rPr>
          <w:rFonts w:hint="cs"/>
          <w:rtl/>
        </w:rPr>
        <w:t>،</w:t>
      </w:r>
      <w:r w:rsidR="00777DCB" w:rsidRPr="00A52585">
        <w:rPr>
          <w:rFonts w:hint="cs"/>
          <w:rtl/>
        </w:rPr>
        <w:t xml:space="preserve"> </w:t>
      </w:r>
      <w:r w:rsidR="00777DCB" w:rsidRPr="00A52585">
        <w:rPr>
          <w:rFonts w:hint="cs"/>
          <w:rtl/>
          <w:lang w:bidi="ar-KW"/>
        </w:rPr>
        <w:t>وحملها غير المتخصصين على معاني الجلوس والاستقرار</w:t>
      </w:r>
      <w:r w:rsidR="00DB731D" w:rsidRPr="00A52585">
        <w:rPr>
          <w:rFonts w:hint="cs"/>
          <w:rtl/>
          <w:lang w:bidi="ar-KW"/>
        </w:rPr>
        <w:t>،</w:t>
      </w:r>
      <w:r w:rsidR="00777DCB" w:rsidRPr="00A52585">
        <w:rPr>
          <w:rFonts w:hint="cs"/>
          <w:rtl/>
          <w:lang w:bidi="ar-KW"/>
        </w:rPr>
        <w:t xml:space="preserve"> وقالوا</w:t>
      </w:r>
      <w:r w:rsidRPr="00A52585">
        <w:rPr>
          <w:rFonts w:hint="cs"/>
          <w:rtl/>
          <w:lang w:bidi="ar-KW"/>
        </w:rPr>
        <w:t>:</w:t>
      </w:r>
      <w:r w:rsidR="00777DCB" w:rsidRPr="00A52585">
        <w:rPr>
          <w:rFonts w:hint="cs"/>
          <w:rtl/>
          <w:lang w:bidi="ar-KW"/>
        </w:rPr>
        <w:t xml:space="preserve"> مستو على العرش بذاته </w:t>
      </w:r>
      <w:r w:rsidRPr="00A52585">
        <w:rPr>
          <w:rFonts w:hint="cs"/>
          <w:rtl/>
          <w:lang w:bidi="ar-KW"/>
        </w:rPr>
        <w:t>(</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فمن أين جاءوا من كتاب أو سنة أنه </w:t>
      </w:r>
      <w:r w:rsidRPr="00A52585">
        <w:rPr>
          <w:rFonts w:hint="cs"/>
          <w:rtl/>
          <w:lang w:bidi="ar-KW"/>
        </w:rPr>
        <w:t>(</w:t>
      </w:r>
      <w:r w:rsidR="00777DCB" w:rsidRPr="00A52585">
        <w:rPr>
          <w:rFonts w:hint="cs"/>
          <w:rtl/>
          <w:lang w:bidi="ar-KW"/>
        </w:rPr>
        <w:t>بذاته</w:t>
      </w:r>
      <w:r w:rsidRPr="00A52585">
        <w:rPr>
          <w:rFonts w:hint="cs"/>
          <w:rtl/>
          <w:lang w:bidi="ar-KW"/>
        </w:rPr>
        <w:t>)</w:t>
      </w:r>
      <w:r w:rsidR="00DB731D" w:rsidRPr="00A52585">
        <w:rPr>
          <w:rFonts w:hint="cs"/>
          <w:rtl/>
          <w:lang w:bidi="ar-KW"/>
        </w:rPr>
        <w:t>،</w:t>
      </w:r>
      <w:r w:rsidR="00777DCB" w:rsidRPr="00A52585">
        <w:rPr>
          <w:rFonts w:hint="cs"/>
          <w:rtl/>
          <w:lang w:bidi="ar-KW"/>
        </w:rPr>
        <w:t xml:space="preserve"> ولم لا يكون استواء ربوبية وقهر كما أن القرب قرب علم وقدرة</w:t>
      </w:r>
      <w:r w:rsidR="00DB731D" w:rsidRPr="00A52585">
        <w:rPr>
          <w:rFonts w:hint="cs"/>
          <w:rtl/>
          <w:lang w:bidi="ar-KW"/>
        </w:rPr>
        <w:t>،</w:t>
      </w:r>
      <w:r w:rsidRPr="00A52585">
        <w:rPr>
          <w:rFonts w:hint="cs"/>
          <w:rtl/>
          <w:lang w:bidi="ar-KW"/>
        </w:rPr>
        <w:t xml:space="preserve"> </w:t>
      </w:r>
      <w:r w:rsidR="00777DCB" w:rsidRPr="00A52585">
        <w:rPr>
          <w:rFonts w:hint="cs"/>
          <w:rtl/>
          <w:lang w:bidi="ar-KW"/>
        </w:rPr>
        <w:t>وقد قال الله تعالى _ مرشدا إياهم أن الأماكن كلها ملك لله _ {ولله المشرق والمغرب فأينما تولوا فثم وجه الله إن الله واسع عليم</w:t>
      </w:r>
      <w:r w:rsidRPr="00A52585">
        <w:rPr>
          <w:rFonts w:hint="cs"/>
          <w:rtl/>
          <w:lang w:bidi="ar-KW"/>
        </w:rPr>
        <w:t>}</w:t>
      </w:r>
      <w:r w:rsidR="00777DCB" w:rsidRPr="00A52585">
        <w:rPr>
          <w:rFonts w:hint="cs"/>
          <w:rtl/>
          <w:lang w:bidi="ar-KW"/>
        </w:rPr>
        <w:t xml:space="preserve"> </w:t>
      </w:r>
    </w:p>
    <w:p w14:paraId="046ABFC2" w14:textId="5B5775C1" w:rsidR="00777DCB" w:rsidRPr="00A52585" w:rsidRDefault="00777DCB" w:rsidP="0002035C">
      <w:r w:rsidRPr="00A52585">
        <w:rPr>
          <w:rFonts w:hint="cs"/>
          <w:bCs/>
          <w:rtl/>
        </w:rPr>
        <w:t>آيات الاستواء ومفاتيح الفهم لها</w:t>
      </w:r>
      <w:r w:rsidR="0002035C" w:rsidRPr="00A52585">
        <w:rPr>
          <w:rFonts w:hint="cs"/>
          <w:bCs/>
          <w:rtl/>
        </w:rPr>
        <w:t>:</w:t>
      </w:r>
      <w:r w:rsidRPr="00A52585">
        <w:rPr>
          <w:rFonts w:hint="cs"/>
          <w:bCs/>
          <w:rtl/>
        </w:rPr>
        <w:t xml:space="preserve"> </w:t>
      </w:r>
      <w:r w:rsidRPr="00A52585">
        <w:rPr>
          <w:rFonts w:hint="cs"/>
          <w:rtl/>
        </w:rPr>
        <w:t xml:space="preserve">ورد الاستواء في سبعة مواضع من القرآن الكريم كلها تدل لمن تدبرها </w:t>
      </w:r>
      <w:proofErr w:type="spellStart"/>
      <w:r w:rsidRPr="00A52585">
        <w:rPr>
          <w:rFonts w:hint="cs"/>
          <w:rtl/>
        </w:rPr>
        <w:t>بقرآئنها</w:t>
      </w:r>
      <w:proofErr w:type="spellEnd"/>
      <w:r w:rsidRPr="00A52585">
        <w:rPr>
          <w:rFonts w:hint="cs"/>
          <w:rtl/>
        </w:rPr>
        <w:t xml:space="preserve"> التي سنذكرها بأن الاستواء المقصود هو استواء ملك وقهر وتسخير وهيمنة وربوبية </w:t>
      </w:r>
      <w:proofErr w:type="spellStart"/>
      <w:r w:rsidRPr="00A52585">
        <w:rPr>
          <w:rFonts w:hint="cs"/>
          <w:rtl/>
        </w:rPr>
        <w:lastRenderedPageBreak/>
        <w:t>للعالم</w:t>
      </w:r>
      <w:r w:rsidR="00DB731D" w:rsidRPr="00A52585">
        <w:rPr>
          <w:rFonts w:hint="cs"/>
          <w:rtl/>
        </w:rPr>
        <w:t>،</w:t>
      </w:r>
      <w:r w:rsidRPr="00A52585">
        <w:rPr>
          <w:rFonts w:hint="cs"/>
          <w:rtl/>
        </w:rPr>
        <w:t>وبيان</w:t>
      </w:r>
      <w:proofErr w:type="spellEnd"/>
      <w:r w:rsidRPr="00A52585">
        <w:rPr>
          <w:rFonts w:hint="cs"/>
        </w:rPr>
        <w:t xml:space="preserve"> </w:t>
      </w:r>
      <w:r w:rsidRPr="00A52585">
        <w:rPr>
          <w:rFonts w:hint="cs"/>
          <w:rtl/>
        </w:rPr>
        <w:t>كمال قدرته التامة سبحانه في تدابير الملك والملكوت</w:t>
      </w:r>
      <w:r w:rsidR="00DB731D" w:rsidRPr="00A52585">
        <w:rPr>
          <w:rFonts w:hint="cs"/>
          <w:rtl/>
        </w:rPr>
        <w:t>،</w:t>
      </w:r>
      <w:r w:rsidRPr="00A52585">
        <w:rPr>
          <w:rFonts w:hint="cs"/>
          <w:rtl/>
        </w:rPr>
        <w:t xml:space="preserve"> فهذا هو التمدح المقصود بالاستواء</w:t>
      </w:r>
      <w:r w:rsidR="00DB731D" w:rsidRPr="00A52585">
        <w:rPr>
          <w:rFonts w:hint="cs"/>
          <w:rtl/>
        </w:rPr>
        <w:t>،</w:t>
      </w:r>
      <w:r w:rsidRPr="00A52585">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DB731D" w:rsidRPr="00A52585">
        <w:rPr>
          <w:rFonts w:hint="cs"/>
          <w:rtl/>
        </w:rPr>
        <w:t>،</w:t>
      </w:r>
      <w:r w:rsidRPr="00A52585">
        <w:rPr>
          <w:rFonts w:hint="cs"/>
          <w:rtl/>
        </w:rPr>
        <w:t xml:space="preserve"> أما</w:t>
      </w:r>
      <w:r w:rsidRPr="00A52585">
        <w:rPr>
          <w:rFonts w:hint="cs"/>
        </w:rPr>
        <w:t xml:space="preserve"> </w:t>
      </w:r>
      <w:r w:rsidRPr="00A52585">
        <w:rPr>
          <w:rFonts w:hint="cs"/>
          <w:rtl/>
        </w:rPr>
        <w:t>ما يزعمون من أنه استواء مكان فالله خالق المكان ومالكه</w:t>
      </w:r>
      <w:r w:rsidRPr="00A52585">
        <w:rPr>
          <w:rFonts w:hint="cs"/>
        </w:rPr>
        <w:t xml:space="preserve"> </w:t>
      </w:r>
      <w:r w:rsidRPr="00A52585">
        <w:rPr>
          <w:rFonts w:hint="cs"/>
          <w:rtl/>
        </w:rPr>
        <w:t>وهو منزه عن المكان والمكان محدود مهما كبر والله تعالى كما أنه لا حد لصفاته</w:t>
      </w:r>
      <w:r w:rsidRPr="00A52585">
        <w:rPr>
          <w:rFonts w:hint="cs"/>
        </w:rPr>
        <w:t xml:space="preserve"> </w:t>
      </w:r>
      <w:r w:rsidRPr="00A52585">
        <w:rPr>
          <w:rFonts w:hint="cs"/>
          <w:rtl/>
        </w:rPr>
        <w:t>من العلم والقدرة وغيرها فلا حد لذاته</w:t>
      </w:r>
      <w:r w:rsidR="00DB731D" w:rsidRPr="00A52585">
        <w:rPr>
          <w:rFonts w:hint="cs"/>
          <w:rtl/>
        </w:rPr>
        <w:t>،</w:t>
      </w:r>
      <w:r w:rsidRPr="00A52585">
        <w:rPr>
          <w:rFonts w:hint="cs"/>
          <w:rtl/>
        </w:rPr>
        <w:t xml:space="preserve"> وأما ما يزعمون من أنه استواء استقرار</w:t>
      </w:r>
      <w:r w:rsidRPr="00A52585">
        <w:rPr>
          <w:rFonts w:hint="cs"/>
        </w:rPr>
        <w:t xml:space="preserve"> </w:t>
      </w:r>
      <w:r w:rsidRPr="00A52585">
        <w:rPr>
          <w:rFonts w:hint="cs"/>
          <w:rtl/>
        </w:rPr>
        <w:t>فهو باطل لأن الله عز وجل منزه عن التغير والحدوث</w:t>
      </w:r>
      <w:r w:rsidR="00DB731D" w:rsidRPr="00A52585">
        <w:rPr>
          <w:rFonts w:hint="cs"/>
          <w:rtl/>
        </w:rPr>
        <w:t>،</w:t>
      </w:r>
      <w:r w:rsidRPr="00A52585">
        <w:rPr>
          <w:rFonts w:hint="cs"/>
          <w:rtl/>
        </w:rPr>
        <w:t xml:space="preserve"> والاستقرار يوحي بمعنى الحاجة وهل</w:t>
      </w:r>
      <w:r w:rsidRPr="00A52585">
        <w:rPr>
          <w:rFonts w:hint="cs"/>
        </w:rPr>
        <w:t xml:space="preserve"> </w:t>
      </w:r>
      <w:r w:rsidRPr="00A52585">
        <w:rPr>
          <w:rFonts w:hint="cs"/>
          <w:rtl/>
        </w:rPr>
        <w:t>يحتاج الله لمخلوق حتى يستقر عليه وقبل الاستقرار أخبرونا ماذا كان حاله تعالى الله عما</w:t>
      </w:r>
      <w:r w:rsidRPr="00A52585">
        <w:rPr>
          <w:rFonts w:hint="cs"/>
        </w:rPr>
        <w:t xml:space="preserve"> </w:t>
      </w:r>
      <w:r w:rsidRPr="00A52585">
        <w:rPr>
          <w:rFonts w:hint="cs"/>
          <w:rtl/>
        </w:rPr>
        <w:t>يقولون علوا كبيراً</w:t>
      </w:r>
      <w:r w:rsidR="00DB731D" w:rsidRPr="00A52585">
        <w:rPr>
          <w:rFonts w:hint="cs"/>
          <w:rtl/>
        </w:rPr>
        <w:t>،</w:t>
      </w:r>
      <w:r w:rsidRPr="00A52585">
        <w:rPr>
          <w:rFonts w:hint="cs"/>
          <w:rtl/>
        </w:rPr>
        <w:t xml:space="preserve"> والتمدح لا يكون بالكون في المكان ولا بالاستقرار ولكن ببيان</w:t>
      </w:r>
      <w:r w:rsidRPr="00A52585">
        <w:rPr>
          <w:rFonts w:hint="cs"/>
        </w:rPr>
        <w:t xml:space="preserve"> </w:t>
      </w:r>
      <w:r w:rsidRPr="00A52585">
        <w:rPr>
          <w:rFonts w:hint="cs"/>
          <w:rtl/>
        </w:rPr>
        <w:t>صفات القدرة والعظمة وهذا هو مقصود آيات القرآن كما سيتبين</w:t>
      </w:r>
      <w:r w:rsidR="00897A24" w:rsidRPr="00A52585">
        <w:rPr>
          <w:rFonts w:hint="cs"/>
          <w:rtl/>
        </w:rPr>
        <w:t>.</w:t>
      </w:r>
    </w:p>
    <w:p w14:paraId="0E4B3685" w14:textId="69398A3D" w:rsidR="00777DCB" w:rsidRPr="00A52585" w:rsidRDefault="00777DCB" w:rsidP="0002035C">
      <w:pPr>
        <w:rPr>
          <w:rtl/>
        </w:rPr>
      </w:pPr>
      <w:r w:rsidRPr="00A52585">
        <w:rPr>
          <w:rFonts w:hint="cs"/>
          <w:bCs/>
          <w:rtl/>
        </w:rPr>
        <w:t>الآية الاولى</w:t>
      </w:r>
      <w:r w:rsidR="0002035C" w:rsidRPr="00A52585">
        <w:rPr>
          <w:rFonts w:hint="cs"/>
          <w:bCs/>
          <w:rtl/>
        </w:rPr>
        <w:t>:</w:t>
      </w:r>
      <w:r w:rsidRPr="00A52585">
        <w:rPr>
          <w:rFonts w:hint="cs"/>
          <w:bCs/>
          <w:rtl/>
        </w:rPr>
        <w:t xml:space="preserve"> 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الأعراف 54-55]</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w:t>
      </w:r>
    </w:p>
    <w:p w14:paraId="767732E7" w14:textId="34FB9BE2" w:rsidR="00777DCB" w:rsidRPr="00A52585" w:rsidRDefault="00777DCB" w:rsidP="0002035C">
      <w:pPr>
        <w:rPr>
          <w:rtl/>
        </w:rPr>
      </w:pPr>
      <w:r w:rsidRPr="00A52585">
        <w:rPr>
          <w:rFonts w:hint="cs"/>
          <w:bCs/>
          <w:rtl/>
        </w:rPr>
        <w:t>الآية الثانية</w:t>
      </w:r>
      <w:r w:rsidR="0002035C" w:rsidRPr="00A52585">
        <w:rPr>
          <w:rFonts w:hint="cs"/>
          <w:bCs/>
          <w:rtl/>
        </w:rPr>
        <w:t>:</w:t>
      </w:r>
      <w:r w:rsidRPr="00A52585">
        <w:rPr>
          <w:rFonts w:hint="cs"/>
          <w:bCs/>
          <w:rtl/>
        </w:rPr>
        <w:t xml:space="preserve"> 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يونس 3</w:t>
      </w:r>
      <w:r w:rsidR="0002035C" w:rsidRPr="00A52585">
        <w:rPr>
          <w:rFonts w:hint="cs"/>
          <w:rtl/>
        </w:rPr>
        <w:t>]</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في الآية استواء ربوبية وتدبير وقهر لقرينته افتتاح الآية بالتذكير بالربوبية في قوله إن ربكم</w:t>
      </w:r>
      <w:r w:rsidR="00DB731D" w:rsidRPr="00A52585">
        <w:rPr>
          <w:rFonts w:hint="cs"/>
          <w:rtl/>
        </w:rPr>
        <w:t>،</w:t>
      </w:r>
      <w:r w:rsidRPr="00A52585">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Pr="00A52585">
        <w:rPr>
          <w:rFonts w:hint="cs"/>
          <w:rtl/>
        </w:rPr>
        <w:t>الحشوية</w:t>
      </w:r>
      <w:proofErr w:type="spellEnd"/>
      <w:r w:rsidR="00DB731D" w:rsidRPr="00A52585">
        <w:rPr>
          <w:rFonts w:hint="cs"/>
          <w:rtl/>
        </w:rPr>
        <w:t>،</w:t>
      </w:r>
      <w:r w:rsidRPr="00A52585">
        <w:rPr>
          <w:rFonts w:hint="cs"/>
          <w:rtl/>
        </w:rPr>
        <w:t xml:space="preserve"> فقوله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يدبر الأمر</w:t>
      </w:r>
      <w:r w:rsidR="0002035C" w:rsidRPr="00A52585">
        <w:rPr>
          <w:rFonts w:hint="cs"/>
          <w:rtl/>
        </w:rPr>
        <w:t>)</w:t>
      </w:r>
      <w:r w:rsidRPr="00A52585">
        <w:rPr>
          <w:rFonts w:hint="cs"/>
          <w:rtl/>
        </w:rPr>
        <w:t xml:space="preserve"> جرى مجرى التفسير لقوله: </w:t>
      </w:r>
      <w:r w:rsidR="0002035C" w:rsidRPr="00A52585">
        <w:rPr>
          <w:rFonts w:hint="cs"/>
          <w:rtl/>
        </w:rPr>
        <w:t>(</w:t>
      </w:r>
      <w:r w:rsidRPr="00A52585">
        <w:rPr>
          <w:rFonts w:hint="cs"/>
          <w:rtl/>
        </w:rPr>
        <w:t>استوى على العرش) على أنه استواء تدبير وربوبية</w:t>
      </w:r>
      <w:r w:rsidR="00DB731D" w:rsidRPr="00A52585">
        <w:rPr>
          <w:rFonts w:hint="cs"/>
          <w:rtl/>
        </w:rPr>
        <w:t>،</w:t>
      </w:r>
      <w:r w:rsidRPr="00A52585">
        <w:rPr>
          <w:rFonts w:hint="cs"/>
          <w:rtl/>
        </w:rPr>
        <w:t xml:space="preserve"> على أن المدح لا يكون بمجرد الجلوس إذ المخلوق موصوف بالجلوس </w:t>
      </w:r>
      <w:proofErr w:type="spellStart"/>
      <w:r w:rsidRPr="00A52585">
        <w:rPr>
          <w:rFonts w:hint="cs"/>
          <w:rtl/>
        </w:rPr>
        <w:t>والإتكاء</w:t>
      </w:r>
      <w:proofErr w:type="spellEnd"/>
      <w:r w:rsidRPr="00A52585">
        <w:rPr>
          <w:rFonts w:hint="cs"/>
          <w:rtl/>
        </w:rPr>
        <w:t xml:space="preserve"> ولكن المدح والثناء يكون بذكر الربوبية والقهر والهيمنة والتدبير </w:t>
      </w:r>
    </w:p>
    <w:p w14:paraId="55E8B6A9" w14:textId="68695314" w:rsidR="00777DCB" w:rsidRPr="00A52585" w:rsidRDefault="00777DCB" w:rsidP="0002035C">
      <w:pPr>
        <w:rPr>
          <w:b/>
          <w:bCs/>
          <w:rtl/>
        </w:rPr>
      </w:pPr>
      <w:r w:rsidRPr="00A52585">
        <w:rPr>
          <w:rFonts w:hint="cs"/>
          <w:bCs/>
          <w:rtl/>
        </w:rPr>
        <w:lastRenderedPageBreak/>
        <w:t>الآية الثالثة</w:t>
      </w:r>
      <w:r w:rsidR="0002035C" w:rsidRPr="00A52585">
        <w:rPr>
          <w:rFonts w:hint="cs"/>
          <w:bCs/>
          <w:rtl/>
        </w:rPr>
        <w:t>:</w:t>
      </w:r>
      <w:r w:rsidRPr="00A52585">
        <w:rPr>
          <w:rFonts w:hint="cs"/>
          <w:bCs/>
          <w:rtl/>
        </w:rPr>
        <w:t xml:space="preserve"> 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sidRPr="00A52585">
        <w:rPr>
          <w:rFonts w:hint="cs"/>
          <w:bCs/>
          <w:rtl/>
        </w:rPr>
        <w:t>الايات</w:t>
      </w:r>
      <w:proofErr w:type="spellEnd"/>
      <w:r w:rsidRPr="00A52585">
        <w:rPr>
          <w:rFonts w:hint="cs"/>
          <w:bCs/>
          <w:rtl/>
        </w:rPr>
        <w:t xml:space="preserve"> لعلكم بلقاء ربكم توقنون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الرعد 2</w:t>
      </w:r>
      <w:r w:rsidR="0002035C" w:rsidRPr="00A52585">
        <w:rPr>
          <w:rFonts w:hint="cs"/>
          <w:rtl/>
        </w:rPr>
        <w:t>]</w:t>
      </w:r>
      <w:r w:rsidR="00DB731D" w:rsidRPr="00A52585">
        <w:rPr>
          <w:rFonts w:hint="cs"/>
          <w:rtl/>
        </w:rPr>
        <w:t>،</w:t>
      </w:r>
      <w:r w:rsidRPr="00A52585">
        <w:rPr>
          <w:rFonts w:hint="cs"/>
          <w:rtl/>
        </w:rPr>
        <w:t xml:space="preserve"> المفتاح</w:t>
      </w:r>
      <w:r w:rsidR="0002035C" w:rsidRPr="00A52585">
        <w:rPr>
          <w:rFonts w:hint="cs"/>
          <w:rtl/>
        </w:rPr>
        <w:t>:</w:t>
      </w:r>
      <w:r w:rsidRPr="00A52585">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DB731D" w:rsidRPr="00A52585">
        <w:rPr>
          <w:rFonts w:hint="cs"/>
          <w:rtl/>
        </w:rPr>
        <w:t>،</w:t>
      </w:r>
      <w:r w:rsidRPr="00A52585">
        <w:rPr>
          <w:rFonts w:hint="cs"/>
          <w:rtl/>
        </w:rPr>
        <w:t xml:space="preserve"> </w:t>
      </w:r>
    </w:p>
    <w:p w14:paraId="5BB45D37" w14:textId="401DD685" w:rsidR="00777DCB" w:rsidRPr="00A52585" w:rsidRDefault="00777DCB" w:rsidP="0002035C">
      <w:pPr>
        <w:rPr>
          <w:rtl/>
        </w:rPr>
      </w:pPr>
      <w:r w:rsidRPr="00A52585">
        <w:rPr>
          <w:rFonts w:hint="cs"/>
          <w:bCs/>
          <w:rtl/>
        </w:rPr>
        <w:t>الآية الرابعة</w:t>
      </w:r>
      <w:r w:rsidR="0002035C" w:rsidRPr="00A52585">
        <w:rPr>
          <w:rFonts w:hint="cs"/>
          <w:bCs/>
          <w:rtl/>
        </w:rPr>
        <w:t>:</w:t>
      </w:r>
      <w:r w:rsidRPr="00A52585">
        <w:rPr>
          <w:rFonts w:hint="cs"/>
          <w:b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تنزيلاً ممن خلق الأرض والسموات العلى الرحمن على العرش استوى له ما في السموات وما في الأرض وما بينهما وما تحت الثرى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طه 4،5، 6]</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في الآية استواء ملك وتدبير وربوبية بقرائن ذكر الخلق في قوله ممن خلق الأرض والسموات</w:t>
      </w:r>
      <w:r w:rsidR="00DB731D" w:rsidRPr="00A52585">
        <w:rPr>
          <w:rFonts w:hint="cs"/>
          <w:rtl/>
        </w:rPr>
        <w:t>،</w:t>
      </w:r>
      <w:r w:rsidRPr="00A52585">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DB731D" w:rsidRPr="00A52585">
        <w:rPr>
          <w:rFonts w:hint="cs"/>
          <w:rtl/>
        </w:rPr>
        <w:t>،</w:t>
      </w:r>
      <w:r w:rsidRPr="00A52585">
        <w:rPr>
          <w:rFonts w:hint="cs"/>
          <w:rtl/>
        </w:rPr>
        <w:t xml:space="preserve"> أما ما يزعمونه من أنه استواء استقرار فهو باطل لأن الله عز وجل منزه عن التغير</w:t>
      </w:r>
      <w:r w:rsidR="00DB731D" w:rsidRPr="00A52585">
        <w:rPr>
          <w:rFonts w:hint="cs"/>
          <w:rtl/>
        </w:rPr>
        <w:t>،</w:t>
      </w:r>
      <w:r w:rsidRPr="00A52585">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DB731D" w:rsidRPr="00A52585">
        <w:rPr>
          <w:rFonts w:hint="cs"/>
          <w:rtl/>
        </w:rPr>
        <w:t>،</w:t>
      </w:r>
      <w:r w:rsidRPr="00A52585">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0002035C" w:rsidRPr="00A52585">
        <w:rPr>
          <w:rFonts w:hint="cs"/>
          <w:rtl/>
        </w:rPr>
        <w:t>(</w:t>
      </w:r>
      <w:r w:rsidRPr="00A52585">
        <w:rPr>
          <w:rFonts w:hint="cs"/>
          <w:rtl/>
        </w:rPr>
        <w:t>ثم استوى على العرش</w:t>
      </w:r>
      <w:r w:rsidR="0002035C" w:rsidRPr="00A52585">
        <w:rPr>
          <w:rFonts w:hint="cs"/>
          <w:rtl/>
        </w:rPr>
        <w:t>)</w:t>
      </w:r>
      <w:r w:rsidRPr="00A52585">
        <w:rPr>
          <w:rFonts w:hint="cs"/>
          <w:rtl/>
        </w:rPr>
        <w:t xml:space="preserve"> أي بعد أن خلقها استوى على عرش الملك والجلال</w:t>
      </w:r>
      <w:r w:rsidR="00DB731D" w:rsidRPr="00A52585">
        <w:rPr>
          <w:rFonts w:hint="cs"/>
          <w:rtl/>
        </w:rPr>
        <w:t>،</w:t>
      </w:r>
      <w:r w:rsidRPr="00A52585">
        <w:rPr>
          <w:rFonts w:hint="cs"/>
          <w:rtl/>
        </w:rPr>
        <w:t xml:space="preserve"> فإن قيل: فإذا حمل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ثم استوى على العرش</w:t>
      </w:r>
      <w:r w:rsidR="0002035C" w:rsidRPr="00A52585">
        <w:rPr>
          <w:rFonts w:hint="cs"/>
          <w:rtl/>
        </w:rPr>
        <w:t>)</w:t>
      </w:r>
      <w:r w:rsidRPr="00A52585">
        <w:rPr>
          <w:rFonts w:hint="cs"/>
          <w:rtl/>
        </w:rPr>
        <w:t xml:space="preserve"> على أن المراد: استوى على الملك بالقهر والتدبير</w:t>
      </w:r>
      <w:r w:rsidR="0002035C" w:rsidRPr="00A52585">
        <w:rPr>
          <w:rFonts w:hint="cs"/>
          <w:rtl/>
        </w:rPr>
        <w:t xml:space="preserve"> </w:t>
      </w:r>
      <w:r w:rsidRPr="00A52585">
        <w:rPr>
          <w:rFonts w:hint="cs"/>
          <w:rtl/>
        </w:rPr>
        <w:t xml:space="preserve">وجب أن يقال: الله لم يكن مستوياً </w:t>
      </w:r>
      <w:proofErr w:type="spellStart"/>
      <w:r w:rsidRPr="00A52585">
        <w:rPr>
          <w:rFonts w:hint="cs"/>
          <w:rtl/>
        </w:rPr>
        <w:t>إستواء</w:t>
      </w:r>
      <w:proofErr w:type="spellEnd"/>
      <w:r w:rsidRPr="00A52585">
        <w:rPr>
          <w:rFonts w:hint="cs"/>
          <w:rtl/>
        </w:rPr>
        <w:t xml:space="preserve"> ملك وربوبية وتدبير قبل خلق السموات والأرض.</w:t>
      </w:r>
      <w:r w:rsidR="0002035C" w:rsidRPr="00A52585">
        <w:rPr>
          <w:rFonts w:hint="cs"/>
          <w:rtl/>
        </w:rPr>
        <w:t xml:space="preserve"> </w:t>
      </w:r>
      <w:r w:rsidRPr="00A52585">
        <w:rPr>
          <w:rFonts w:hint="cs"/>
          <w:rtl/>
        </w:rPr>
        <w:t xml:space="preserve">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w:t>
      </w:r>
      <w:r w:rsidRPr="00A52585">
        <w:rPr>
          <w:rFonts w:hint="cs"/>
          <w:rtl/>
        </w:rPr>
        <w:lastRenderedPageBreak/>
        <w:t>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DB731D" w:rsidRPr="00A52585">
        <w:rPr>
          <w:rFonts w:hint="cs"/>
          <w:rtl/>
        </w:rPr>
        <w:t>،</w:t>
      </w:r>
      <w:r w:rsidRPr="00A52585">
        <w:rPr>
          <w:rFonts w:hint="cs"/>
          <w:rtl/>
        </w:rPr>
        <w:t xml:space="preserve"> ثم لا ننسى قوله تعالى:</w:t>
      </w:r>
      <w:r w:rsidR="0002035C" w:rsidRPr="00A52585">
        <w:rPr>
          <w:rFonts w:hint="cs"/>
          <w:rtl/>
        </w:rPr>
        <w:t xml:space="preserve"> </w:t>
      </w:r>
      <w:r w:rsidRPr="00A52585">
        <w:rPr>
          <w:rFonts w:hint="cs"/>
          <w:rtl/>
        </w:rPr>
        <w:t>(ويحمل عرش ربك فوقهم يومئذ ثمانية</w:t>
      </w:r>
      <w:r w:rsidR="0002035C" w:rsidRPr="00A52585">
        <w:rPr>
          <w:rFonts w:hint="cs"/>
          <w:rtl/>
        </w:rPr>
        <w:t>)</w:t>
      </w:r>
      <w:r w:rsidRPr="00A52585">
        <w:rPr>
          <w:rFonts w:hint="cs"/>
          <w:rtl/>
        </w:rPr>
        <w:t xml:space="preserve"> [الحاقة:</w:t>
      </w:r>
      <w:r w:rsidR="0002035C" w:rsidRPr="00A52585">
        <w:rPr>
          <w:rFonts w:hint="cs"/>
          <w:rtl/>
        </w:rPr>
        <w:t xml:space="preserve"> </w:t>
      </w:r>
      <w:r w:rsidRPr="00A52585">
        <w:rPr>
          <w:rFonts w:hint="cs"/>
          <w:rtl/>
        </w:rPr>
        <w:t>17</w:t>
      </w:r>
      <w:r w:rsidR="0002035C" w:rsidRPr="00A52585">
        <w:rPr>
          <w:rFonts w:hint="cs"/>
          <w:rtl/>
        </w:rPr>
        <w:t>]</w:t>
      </w:r>
      <w:r w:rsidRPr="00A52585">
        <w:rPr>
          <w:rFonts w:hint="cs"/>
          <w:rtl/>
        </w:rPr>
        <w:t xml:space="preserve"> فإذا كانوا حاملين للعرش والعرش مكان المعبود كما يتوهم المخطئون</w:t>
      </w:r>
      <w:r w:rsidR="00DB731D" w:rsidRPr="00A52585">
        <w:rPr>
          <w:rFonts w:hint="cs"/>
          <w:rtl/>
        </w:rPr>
        <w:t>،</w:t>
      </w:r>
      <w:r w:rsidRPr="00A52585">
        <w:rPr>
          <w:rFonts w:hint="cs"/>
          <w:rtl/>
        </w:rPr>
        <w:t xml:space="preserve"> فيلزم أن تكون الملائكة حاملين لخالقهم ومعبودهم وذلك غير معقول لأن الخالق هو الذي يحفظ المخلوق</w:t>
      </w:r>
      <w:r w:rsidR="0002035C" w:rsidRPr="00A52585">
        <w:rPr>
          <w:rFonts w:hint="cs"/>
          <w:rtl/>
        </w:rPr>
        <w:t xml:space="preserve"> </w:t>
      </w:r>
      <w:r w:rsidRPr="00A52585">
        <w:rPr>
          <w:rFonts w:hint="cs"/>
          <w:rtl/>
        </w:rPr>
        <w:t>أما المخلوق فلا يحفظ الخالق ولا يحمله. والحاصل أن الاستواء المقصود هو استواء على الملك بالقهر والتدبير</w:t>
      </w:r>
      <w:r w:rsidR="00897A24" w:rsidRPr="00A52585">
        <w:rPr>
          <w:rFonts w:hint="cs"/>
          <w:rtl/>
        </w:rPr>
        <w:t>.</w:t>
      </w:r>
    </w:p>
    <w:p w14:paraId="3168EF6F" w14:textId="637F3314" w:rsidR="00777DCB" w:rsidRPr="00A52585" w:rsidRDefault="00777DCB" w:rsidP="0002035C">
      <w:pPr>
        <w:rPr>
          <w:rtl/>
        </w:rPr>
      </w:pPr>
      <w:r w:rsidRPr="00A52585">
        <w:rPr>
          <w:rFonts w:hint="cs"/>
          <w:bCs/>
          <w:rtl/>
        </w:rPr>
        <w:t>الآية الخامسة</w:t>
      </w:r>
      <w:r w:rsidR="0002035C" w:rsidRPr="00A52585">
        <w:rPr>
          <w:rFonts w:hint="cs"/>
          <w:bCs/>
          <w:rtl/>
        </w:rPr>
        <w:t>:</w:t>
      </w:r>
      <w:r w:rsidRPr="00A52585">
        <w:rPr>
          <w:rFonts w:hint="cs"/>
          <w:rtl/>
        </w:rPr>
        <w:t xml:space="preserve"> </w:t>
      </w:r>
      <w:r w:rsidRPr="00A52585">
        <w:rPr>
          <w:rFonts w:hint="cs"/>
          <w:bCs/>
          <w:rtl/>
        </w:rPr>
        <w:t>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الذي خلق السموات والارض وما بينهما في ستة أيام ثم استوى على العرش الرحمن فاسأل به خبيرا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الفرقان 59</w:t>
      </w:r>
      <w:r w:rsidR="0002035C" w:rsidRPr="00A52585">
        <w:rPr>
          <w:rFonts w:hint="cs"/>
          <w:rtl/>
        </w:rPr>
        <w:t>]</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DB731D" w:rsidRPr="00A52585">
        <w:rPr>
          <w:rFonts w:hint="cs"/>
          <w:rtl/>
        </w:rPr>
        <w:t>،</w:t>
      </w:r>
      <w:r w:rsidRPr="00A52585">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p>
    <w:p w14:paraId="21B630BF" w14:textId="3FCCE339" w:rsidR="00777DCB" w:rsidRPr="00A52585" w:rsidRDefault="00777DCB" w:rsidP="0002035C">
      <w:pPr>
        <w:rPr>
          <w:rtl/>
        </w:rPr>
      </w:pPr>
      <w:r w:rsidRPr="00A52585">
        <w:rPr>
          <w:rFonts w:hint="cs"/>
          <w:bCs/>
          <w:rtl/>
        </w:rPr>
        <w:t>الآية السادسة</w:t>
      </w:r>
      <w:r w:rsidR="0002035C" w:rsidRPr="00A52585">
        <w:rPr>
          <w:rFonts w:hint="cs"/>
          <w:bCs/>
          <w:rtl/>
        </w:rPr>
        <w:t>:</w:t>
      </w:r>
      <w:r w:rsidRPr="00A52585">
        <w:rPr>
          <w:rFonts w:hint="cs"/>
          <w:b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السجدة 4 إلى 7]</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02035C" w:rsidRPr="00A52585">
        <w:rPr>
          <w:rFonts w:hint="cs"/>
          <w:rtl/>
        </w:rPr>
        <w:t>(</w:t>
      </w:r>
      <w:r w:rsidRPr="00A52585">
        <w:rPr>
          <w:rFonts w:hint="cs"/>
          <w:rtl/>
        </w:rPr>
        <w:t>ما لكم من دونه من ولي ولا شفيع</w:t>
      </w:r>
      <w:r w:rsidR="0002035C" w:rsidRPr="00A52585">
        <w:rPr>
          <w:rFonts w:hint="cs"/>
          <w:rtl/>
        </w:rPr>
        <w:t>)</w:t>
      </w:r>
      <w:r w:rsidRPr="00A52585">
        <w:rPr>
          <w:rFonts w:hint="cs"/>
          <w:rtl/>
        </w:rPr>
        <w:t xml:space="preserve"> </w:t>
      </w:r>
    </w:p>
    <w:p w14:paraId="6578C46F" w14:textId="6043A9D2" w:rsidR="00777DCB" w:rsidRPr="00A52585" w:rsidRDefault="00777DCB" w:rsidP="0002035C">
      <w:pPr>
        <w:rPr>
          <w:rtl/>
        </w:rPr>
      </w:pPr>
      <w:r w:rsidRPr="00A52585">
        <w:rPr>
          <w:rFonts w:hint="cs"/>
          <w:bCs/>
          <w:rtl/>
        </w:rPr>
        <w:t>الآية السابعة</w:t>
      </w:r>
      <w:r w:rsidR="0002035C" w:rsidRPr="00A52585">
        <w:rPr>
          <w:rFonts w:hint="cs"/>
          <w:bCs/>
          <w:rtl/>
        </w:rPr>
        <w:t>:</w:t>
      </w:r>
      <w:r w:rsidRPr="00A52585">
        <w:rPr>
          <w:rFonts w:hint="cs"/>
          <w:bCs/>
          <w:rtl/>
        </w:rPr>
        <w:t xml:space="preserve">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02035C" w:rsidRPr="00A52585">
        <w:rPr>
          <w:rFonts w:hint="cs"/>
          <w:rtl/>
        </w:rPr>
        <w:t>}</w:t>
      </w:r>
      <w:r w:rsidRPr="00A52585">
        <w:rPr>
          <w:rFonts w:hint="cs"/>
          <w:rtl/>
        </w:rPr>
        <w:t xml:space="preserve"> [الحديد: 2 إلى 5</w:t>
      </w:r>
      <w:r w:rsidR="0002035C" w:rsidRPr="00A52585">
        <w:rPr>
          <w:rFonts w:hint="cs"/>
          <w:rtl/>
        </w:rPr>
        <w:t>]</w:t>
      </w:r>
      <w:r w:rsidR="00DB731D" w:rsidRPr="00A52585">
        <w:rPr>
          <w:rFonts w:hint="cs"/>
          <w:rtl/>
        </w:rPr>
        <w:t>،</w:t>
      </w:r>
      <w:r w:rsidRPr="00A52585">
        <w:rPr>
          <w:rFonts w:hint="cs"/>
          <w:rtl/>
        </w:rPr>
        <w:t xml:space="preserve"> والمفتاح</w:t>
      </w:r>
      <w:r w:rsidR="0002035C" w:rsidRPr="00A52585">
        <w:rPr>
          <w:rFonts w:hint="cs"/>
          <w:rtl/>
        </w:rPr>
        <w:t>:</w:t>
      </w:r>
      <w:r w:rsidRPr="00A52585">
        <w:rPr>
          <w:rFonts w:hint="cs"/>
          <w:rtl/>
        </w:rPr>
        <w:t xml:space="preserve"> الاستواء هاهنا استواء ملك وربوبية وتدبير بقرائن عديدة لمن تدبرها منه </w:t>
      </w:r>
      <w:r w:rsidRPr="00A52585">
        <w:rPr>
          <w:rFonts w:hint="cs"/>
          <w:rtl/>
        </w:rPr>
        <w:lastRenderedPageBreak/>
        <w:t>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DB731D" w:rsidRPr="00A52585">
        <w:rPr>
          <w:rFonts w:hint="cs"/>
          <w:rtl/>
        </w:rPr>
        <w:t>،</w:t>
      </w:r>
    </w:p>
    <w:p w14:paraId="6514C73D" w14:textId="5CEB34A2" w:rsidR="00777DCB" w:rsidRPr="00A52585" w:rsidRDefault="00777DCB" w:rsidP="0002035C">
      <w:pPr>
        <w:rPr>
          <w:rtl/>
        </w:rPr>
      </w:pPr>
      <w:r w:rsidRPr="00A52585">
        <w:rPr>
          <w:rFonts w:hint="cs"/>
          <w:bCs/>
          <w:rtl/>
        </w:rPr>
        <w:t>أولا:</w:t>
      </w:r>
      <w:r w:rsidRPr="00A52585">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02035C" w:rsidRPr="00A52585">
        <w:rPr>
          <w:rFonts w:hint="cs"/>
          <w:rtl/>
        </w:rPr>
        <w:t>(</w:t>
      </w:r>
      <w:r w:rsidRPr="00A52585">
        <w:rPr>
          <w:rFonts w:hint="cs"/>
          <w:rtl/>
        </w:rPr>
        <w:t>أي له بداية</w:t>
      </w:r>
      <w:r w:rsidR="0002035C" w:rsidRPr="00A52585">
        <w:rPr>
          <w:rFonts w:hint="cs"/>
          <w:rtl/>
        </w:rPr>
        <w:t>)</w:t>
      </w:r>
      <w:r w:rsidRPr="00A52585">
        <w:rPr>
          <w:rFonts w:hint="cs"/>
          <w:rtl/>
        </w:rPr>
        <w:t xml:space="preserve"> فهو أبدي </w:t>
      </w:r>
      <w:r w:rsidR="0002035C" w:rsidRPr="00A52585">
        <w:rPr>
          <w:rFonts w:hint="cs"/>
          <w:rtl/>
        </w:rPr>
        <w:t>(</w:t>
      </w:r>
      <w:r w:rsidRPr="00A52585">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897A24" w:rsidRPr="00A52585">
        <w:rPr>
          <w:rFonts w:hint="cs"/>
          <w:rtl/>
        </w:rPr>
        <w:t>.</w:t>
      </w:r>
      <w:r w:rsidRPr="00A52585">
        <w:rPr>
          <w:rFonts w:hint="cs"/>
          <w:rtl/>
        </w:rPr>
        <w:t xml:space="preserve"> </w:t>
      </w:r>
    </w:p>
    <w:p w14:paraId="692C6518" w14:textId="5D3BDF1C" w:rsidR="00777DCB" w:rsidRPr="00A52585" w:rsidRDefault="00777DCB" w:rsidP="0002035C">
      <w:pPr>
        <w:rPr>
          <w:rtl/>
        </w:rPr>
      </w:pPr>
      <w:r w:rsidRPr="00A52585">
        <w:rPr>
          <w:rFonts w:hint="cs"/>
          <w:bCs/>
          <w:rtl/>
        </w:rPr>
        <w:t>ثانيا</w:t>
      </w:r>
      <w:r w:rsidR="0002035C" w:rsidRPr="00A52585">
        <w:rPr>
          <w:rFonts w:hint="cs"/>
          <w:bCs/>
          <w:rtl/>
        </w:rPr>
        <w:t>:</w:t>
      </w:r>
      <w:r w:rsidRPr="00A52585">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897A24" w:rsidRPr="00A52585">
        <w:rPr>
          <w:rFonts w:hint="cs"/>
          <w:rtl/>
        </w:rPr>
        <w:t>.</w:t>
      </w:r>
      <w:r w:rsidRPr="00A52585">
        <w:rPr>
          <w:rFonts w:hint="cs"/>
          <w:rtl/>
        </w:rPr>
        <w:t xml:space="preserve"> وهذا يدل على بطلان قول </w:t>
      </w:r>
      <w:proofErr w:type="spellStart"/>
      <w:r w:rsidRPr="00A52585">
        <w:rPr>
          <w:rFonts w:hint="cs"/>
          <w:rtl/>
        </w:rPr>
        <w:t>الحشوية</w:t>
      </w:r>
      <w:proofErr w:type="spellEnd"/>
      <w:r w:rsidRPr="00A52585">
        <w:rPr>
          <w:rFonts w:hint="cs"/>
          <w:rtl/>
        </w:rPr>
        <w:t xml:space="preserve"> أنه في العلو على سبيل الحس دون السفل ونحن نقول </w:t>
      </w:r>
      <w:proofErr w:type="gramStart"/>
      <w:r w:rsidRPr="00A52585">
        <w:rPr>
          <w:rFonts w:hint="cs"/>
          <w:rtl/>
        </w:rPr>
        <w:t>أنه</w:t>
      </w:r>
      <w:proofErr w:type="gramEnd"/>
      <w:r w:rsidRPr="00A52585">
        <w:rPr>
          <w:rFonts w:hint="cs"/>
          <w:rtl/>
        </w:rPr>
        <w:t xml:space="preserve"> منزه عن العلو المحسوس والسفل المحسوس الذي يقاس بالمسافة ومع ذلك فهو أقرب إلى أحدنا من حبل وريده سبحانه ليس كوجوده وجود وليس كقربه قرب</w:t>
      </w:r>
      <w:r w:rsidR="0002035C" w:rsidRPr="00A52585">
        <w:rPr>
          <w:rFonts w:hint="cs"/>
          <w:rtl/>
        </w:rPr>
        <w:t xml:space="preserve"> </w:t>
      </w:r>
      <w:r w:rsidRPr="00A52585">
        <w:rPr>
          <w:rFonts w:hint="cs"/>
          <w:rtl/>
        </w:rPr>
        <w:t>ليس كمثله شيء ولم يكن له كفوا أحد</w:t>
      </w:r>
      <w:r w:rsidR="00897A24" w:rsidRPr="00A52585">
        <w:rPr>
          <w:rFonts w:hint="cs"/>
          <w:rtl/>
        </w:rPr>
        <w:t>.</w:t>
      </w:r>
    </w:p>
    <w:p w14:paraId="672F462C" w14:textId="454082FF" w:rsidR="00777DCB" w:rsidRPr="00A52585" w:rsidRDefault="00777DCB" w:rsidP="0002035C">
      <w:pPr>
        <w:rPr>
          <w:rtl/>
        </w:rPr>
      </w:pPr>
      <w:r w:rsidRPr="00A52585">
        <w:rPr>
          <w:rFonts w:hint="cs"/>
          <w:bCs/>
          <w:rtl/>
        </w:rPr>
        <w:t>ثالثا</w:t>
      </w:r>
      <w:r w:rsidR="0002035C" w:rsidRPr="00A52585">
        <w:rPr>
          <w:rFonts w:hint="cs"/>
          <w:bCs/>
          <w:rtl/>
        </w:rPr>
        <w:t>:</w:t>
      </w:r>
      <w:r w:rsidRPr="00A52585">
        <w:rPr>
          <w:rFonts w:hint="cs"/>
          <w:rtl/>
        </w:rPr>
        <w:t xml:space="preserve"> قوله تعالى وهو معكم أينما كنتم دليل على قربه وهو ينافي مذهب </w:t>
      </w:r>
      <w:proofErr w:type="spellStart"/>
      <w:r w:rsidRPr="00A52585">
        <w:rPr>
          <w:rFonts w:hint="cs"/>
          <w:rtl/>
        </w:rPr>
        <w:t>الحشوية</w:t>
      </w:r>
      <w:proofErr w:type="spellEnd"/>
      <w:r w:rsidRPr="00A52585">
        <w:rPr>
          <w:rFonts w:hint="cs"/>
          <w:rtl/>
        </w:rPr>
        <w:t xml:space="preserve"> إلا أننا نقول </w:t>
      </w:r>
      <w:proofErr w:type="gramStart"/>
      <w:r w:rsidRPr="00A52585">
        <w:rPr>
          <w:rFonts w:hint="cs"/>
          <w:rtl/>
        </w:rPr>
        <w:t>أنه</w:t>
      </w:r>
      <w:proofErr w:type="gramEnd"/>
      <w:r w:rsidRPr="00A52585">
        <w:rPr>
          <w:rFonts w:hint="cs"/>
          <w:rtl/>
        </w:rPr>
        <w:t xml:space="preserve"> قرب منزه عن المسافة وعن التحيز وعن الحلول في الأمكنة والمخلوقات ليس كمثله شي ء</w:t>
      </w:r>
      <w:r w:rsidR="00DB731D" w:rsidRPr="00A52585">
        <w:rPr>
          <w:rFonts w:hint="cs"/>
          <w:rtl/>
        </w:rPr>
        <w:t>،</w:t>
      </w:r>
      <w:r w:rsidRPr="00A52585">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897A24" w:rsidRPr="00A52585">
        <w:rPr>
          <w:rFonts w:hint="cs"/>
          <w:rtl/>
        </w:rPr>
        <w:t>.</w:t>
      </w:r>
    </w:p>
    <w:p w14:paraId="1BA3FAE0" w14:textId="49AA8017" w:rsidR="00777DCB" w:rsidRPr="00A52585" w:rsidRDefault="00777DCB" w:rsidP="0002035C">
      <w:pPr>
        <w:rPr>
          <w:rtl/>
        </w:rPr>
      </w:pPr>
      <w:r w:rsidRPr="00A52585">
        <w:rPr>
          <w:rFonts w:hint="cs"/>
          <w:bCs/>
          <w:rtl/>
        </w:rPr>
        <w:t>رابعاً</w:t>
      </w:r>
      <w:r w:rsidR="0002035C" w:rsidRPr="00A52585">
        <w:rPr>
          <w:rFonts w:hint="cs"/>
          <w:bCs/>
          <w:rtl/>
        </w:rPr>
        <w:t>:</w:t>
      </w:r>
      <w:r w:rsidRPr="00A52585">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02035C" w:rsidRPr="00A52585">
        <w:rPr>
          <w:rFonts w:hint="cs"/>
          <w:rtl/>
        </w:rPr>
        <w:t>(</w:t>
      </w:r>
      <w:r w:rsidRPr="00A52585">
        <w:rPr>
          <w:rFonts w:hint="cs"/>
          <w:rtl/>
        </w:rPr>
        <w:t>المعية</w:t>
      </w:r>
      <w:r w:rsidR="0002035C" w:rsidRPr="00A52585">
        <w:rPr>
          <w:rFonts w:hint="cs"/>
          <w:rtl/>
        </w:rPr>
        <w:t>)</w:t>
      </w:r>
      <w:r w:rsidR="00DB731D" w:rsidRPr="00A52585">
        <w:rPr>
          <w:rFonts w:hint="cs"/>
          <w:rtl/>
        </w:rPr>
        <w:t>،</w:t>
      </w:r>
      <w:r w:rsidRPr="00A52585">
        <w:rPr>
          <w:rFonts w:hint="cs"/>
          <w:rtl/>
        </w:rPr>
        <w:t xml:space="preserve"> وليست المعية بأجدر بالتأويل من الاستواء</w:t>
      </w:r>
      <w:r w:rsidR="00DB731D" w:rsidRPr="00A52585">
        <w:rPr>
          <w:rFonts w:hint="cs"/>
          <w:rtl/>
        </w:rPr>
        <w:t>،</w:t>
      </w:r>
      <w:r w:rsidRPr="00A52585">
        <w:rPr>
          <w:rFonts w:hint="cs"/>
          <w:rtl/>
        </w:rPr>
        <w:t xml:space="preserve"> فإنّ تأويل المعية بمعية العلم والسمع والبصر</w:t>
      </w:r>
      <w:r w:rsidR="00DB731D" w:rsidRPr="00A52585">
        <w:rPr>
          <w:rFonts w:hint="cs"/>
          <w:rtl/>
        </w:rPr>
        <w:t>،</w:t>
      </w:r>
      <w:r w:rsidRPr="00A52585">
        <w:rPr>
          <w:rFonts w:hint="cs"/>
          <w:rtl/>
        </w:rPr>
        <w:t xml:space="preserve"> ليس بأولى من تأويل الاستواء بالربوبية والهيمنة والتدبير والتصريف</w:t>
      </w:r>
      <w:r w:rsidR="00DB731D" w:rsidRPr="00A52585">
        <w:rPr>
          <w:rFonts w:hint="cs"/>
          <w:rtl/>
        </w:rPr>
        <w:t>،</w:t>
      </w:r>
      <w:r w:rsidRPr="00A52585">
        <w:rPr>
          <w:rFonts w:hint="cs"/>
          <w:rtl/>
        </w:rPr>
        <w:t xml:space="preserve"> والمنهج الصحيح السوي يقتضي تأويل الجميع</w:t>
      </w:r>
      <w:r w:rsidR="00DB731D" w:rsidRPr="00A52585">
        <w:rPr>
          <w:rFonts w:hint="cs"/>
          <w:rtl/>
        </w:rPr>
        <w:t>،</w:t>
      </w:r>
      <w:r w:rsidRPr="00A52585">
        <w:rPr>
          <w:rFonts w:hint="cs"/>
          <w:rtl/>
        </w:rPr>
        <w:t xml:space="preserve"> بمعنى حمل الجميع على المجاز اللغوي</w:t>
      </w:r>
      <w:r w:rsidR="00DB731D" w:rsidRPr="00A52585">
        <w:rPr>
          <w:rFonts w:hint="cs"/>
          <w:rtl/>
        </w:rPr>
        <w:t>،</w:t>
      </w:r>
      <w:r w:rsidRPr="00A52585">
        <w:rPr>
          <w:rFonts w:hint="cs"/>
          <w:rtl/>
        </w:rPr>
        <w:t xml:space="preserve"> فلا القرب قرب الذات</w:t>
      </w:r>
      <w:r w:rsidR="00DB731D" w:rsidRPr="00A52585">
        <w:rPr>
          <w:rFonts w:hint="cs"/>
          <w:rtl/>
        </w:rPr>
        <w:t>،</w:t>
      </w:r>
      <w:r w:rsidRPr="00A52585">
        <w:rPr>
          <w:rFonts w:hint="cs"/>
          <w:rtl/>
        </w:rPr>
        <w:t xml:space="preserve"> ولا الاستواء استواء الذات بالمعنى الحسي الذي يلائم المخلوق ولا يلائم الخالق</w:t>
      </w:r>
      <w:r w:rsidR="00DB731D" w:rsidRPr="00A52585">
        <w:rPr>
          <w:rFonts w:hint="cs"/>
          <w:rtl/>
        </w:rPr>
        <w:t>،</w:t>
      </w:r>
      <w:r w:rsidRPr="00A52585">
        <w:rPr>
          <w:rFonts w:hint="cs"/>
          <w:rtl/>
        </w:rPr>
        <w:t xml:space="preserve"> أو التفويض في الجميع</w:t>
      </w:r>
      <w:r w:rsidR="00DB731D" w:rsidRPr="00A52585">
        <w:rPr>
          <w:rFonts w:hint="cs"/>
          <w:rtl/>
        </w:rPr>
        <w:t>،</w:t>
      </w:r>
      <w:r w:rsidRPr="00A52585">
        <w:rPr>
          <w:rFonts w:hint="cs"/>
          <w:rtl/>
        </w:rPr>
        <w:t xml:space="preserve"> قرب ليس كمثله شيء</w:t>
      </w:r>
      <w:r w:rsidR="00DB731D" w:rsidRPr="00A52585">
        <w:rPr>
          <w:rFonts w:hint="cs"/>
          <w:rtl/>
        </w:rPr>
        <w:t>،</w:t>
      </w:r>
      <w:r w:rsidRPr="00A52585">
        <w:rPr>
          <w:rFonts w:hint="cs"/>
          <w:rtl/>
        </w:rPr>
        <w:t xml:space="preserve"> واستواء ليس كمثله شيء</w:t>
      </w:r>
      <w:r w:rsidR="00DB731D" w:rsidRPr="00A52585">
        <w:rPr>
          <w:rFonts w:hint="cs"/>
          <w:rtl/>
        </w:rPr>
        <w:t>،</w:t>
      </w:r>
      <w:r w:rsidRPr="00A52585">
        <w:rPr>
          <w:rFonts w:hint="cs"/>
          <w:rtl/>
        </w:rPr>
        <w:t xml:space="preserve"> </w:t>
      </w:r>
    </w:p>
    <w:p w14:paraId="7CDC24A2" w14:textId="5D33373B" w:rsidR="00777DCB" w:rsidRPr="00A52585" w:rsidRDefault="00777DCB" w:rsidP="0002035C">
      <w:pPr>
        <w:rPr>
          <w:rtl/>
        </w:rPr>
      </w:pPr>
      <w:r w:rsidRPr="00A52585">
        <w:rPr>
          <w:rFonts w:hint="cs"/>
          <w:rtl/>
        </w:rPr>
        <w:lastRenderedPageBreak/>
        <w:t>والحاصل أن القول الفصل في الاستواء</w:t>
      </w:r>
      <w:r w:rsidR="0002035C" w:rsidRPr="00A52585">
        <w:rPr>
          <w:rFonts w:hint="cs"/>
          <w:rtl/>
        </w:rPr>
        <w:t xml:space="preserve"> </w:t>
      </w:r>
      <w:r w:rsidRPr="00A52585">
        <w:rPr>
          <w:rFonts w:hint="cs"/>
          <w:rtl/>
        </w:rPr>
        <w:t>أنه على منهاج أهل السنة والجماعة</w:t>
      </w:r>
      <w:r w:rsidR="00DB731D" w:rsidRPr="00A52585">
        <w:rPr>
          <w:rFonts w:hint="cs"/>
          <w:rtl/>
        </w:rPr>
        <w:t>،</w:t>
      </w:r>
      <w:r w:rsidRPr="00A52585">
        <w:rPr>
          <w:rFonts w:hint="cs"/>
          <w:rtl/>
        </w:rPr>
        <w:t xml:space="preserve"> لا يخرج عن ثلاثة أقوال جميعها عند أهل السنة صحيحة</w:t>
      </w:r>
      <w:r w:rsidR="00DB731D" w:rsidRPr="00A52585">
        <w:rPr>
          <w:rFonts w:hint="cs"/>
          <w:rtl/>
        </w:rPr>
        <w:t>،</w:t>
      </w:r>
      <w:r w:rsidRPr="00A52585">
        <w:rPr>
          <w:rFonts w:hint="cs"/>
          <w:rtl/>
        </w:rPr>
        <w:t xml:space="preserve"> هي</w:t>
      </w:r>
      <w:r w:rsidR="0002035C" w:rsidRPr="00A52585">
        <w:rPr>
          <w:rFonts w:hint="cs"/>
          <w:rtl/>
        </w:rPr>
        <w:t>:</w:t>
      </w:r>
      <w:r w:rsidRPr="00A52585">
        <w:rPr>
          <w:rFonts w:hint="cs"/>
          <w:rtl/>
        </w:rPr>
        <w:t xml:space="preserve"> </w:t>
      </w:r>
      <w:r w:rsidRPr="00A52585">
        <w:rPr>
          <w:rFonts w:hint="cs"/>
          <w:bCs/>
          <w:rtl/>
        </w:rPr>
        <w:t>أولا</w:t>
      </w:r>
      <w:r w:rsidR="0002035C" w:rsidRPr="00A52585">
        <w:rPr>
          <w:rFonts w:hint="cs"/>
          <w:rtl/>
        </w:rPr>
        <w:t>:</w:t>
      </w:r>
      <w:r w:rsidRPr="00A52585">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DB731D" w:rsidRPr="00A52585">
        <w:rPr>
          <w:rFonts w:hint="cs"/>
          <w:rtl/>
        </w:rPr>
        <w:t>،</w:t>
      </w:r>
      <w:r w:rsidRPr="00A52585">
        <w:rPr>
          <w:rFonts w:hint="cs"/>
          <w:rtl/>
        </w:rPr>
        <w:t xml:space="preserve"> وعلى ذلك فالمقصود من الاستواء الدلالة على الاستعلاء والقهر وعلو الربوبية والتدبير بقرينة (يدبر الأمر</w:t>
      </w:r>
      <w:r w:rsidR="0002035C" w:rsidRPr="00A52585">
        <w:rPr>
          <w:rFonts w:hint="cs"/>
          <w:rtl/>
        </w:rPr>
        <w:t>)</w:t>
      </w:r>
      <w:r w:rsidRPr="00A52585">
        <w:rPr>
          <w:rFonts w:hint="cs"/>
          <w:rtl/>
        </w:rPr>
        <w:t>والتي تعقب ذكر الاستواء عادة والله تعالى أعلم</w:t>
      </w:r>
      <w:r w:rsidR="00DB731D" w:rsidRPr="00A52585">
        <w:rPr>
          <w:rFonts w:hint="cs"/>
          <w:rtl/>
        </w:rPr>
        <w:t>،</w:t>
      </w:r>
      <w:r w:rsidRPr="00A52585">
        <w:rPr>
          <w:rFonts w:hint="cs"/>
          <w:rtl/>
        </w:rPr>
        <w:t xml:space="preserve"> وفي بيان الاستعارة التمثيلية جاء في فتح الباري</w:t>
      </w:r>
      <w:r w:rsidR="0002035C" w:rsidRPr="00A52585">
        <w:rPr>
          <w:rFonts w:hint="cs"/>
          <w:rtl/>
        </w:rPr>
        <w:t>:</w:t>
      </w:r>
      <w:r w:rsidRPr="00A52585">
        <w:rPr>
          <w:rFonts w:hint="cs"/>
          <w:rtl/>
        </w:rPr>
        <w:t xml:space="preserve"> " قال الحافظ</w:t>
      </w:r>
      <w:r w:rsidRPr="00A52585">
        <w:rPr>
          <w:rFonts w:hint="cs"/>
        </w:rPr>
        <w:t xml:space="preserve"> </w:t>
      </w:r>
      <w:r w:rsidRPr="00A52585">
        <w:rPr>
          <w:rFonts w:hint="cs"/>
          <w:rtl/>
        </w:rPr>
        <w:t>صلاح الدين العلائي</w:t>
      </w:r>
      <w:r w:rsidR="0002035C" w:rsidRPr="00A52585">
        <w:rPr>
          <w:rFonts w:hint="cs"/>
          <w:rtl/>
        </w:rPr>
        <w:t>:</w:t>
      </w:r>
      <w:r w:rsidRPr="00A52585">
        <w:rPr>
          <w:rFonts w:hint="cs"/>
          <w:rtl/>
        </w:rPr>
        <w:t xml:space="preserve"> </w:t>
      </w:r>
      <w:r w:rsidRPr="00A52585">
        <w:rPr>
          <w:rFonts w:hint="cs"/>
          <w:bCs/>
          <w:rtl/>
        </w:rPr>
        <w:t>ويتخرج</w:t>
      </w:r>
      <w:r w:rsidRPr="00A52585">
        <w:rPr>
          <w:rFonts w:hint="cs"/>
          <w:bCs/>
        </w:rPr>
        <w:t xml:space="preserve"> </w:t>
      </w:r>
      <w:r w:rsidRPr="00A52585">
        <w:rPr>
          <w:rFonts w:hint="cs"/>
          <w:bCs/>
          <w:rtl/>
        </w:rPr>
        <w:t>كثير من أحاديث الصفات</w:t>
      </w:r>
      <w:r w:rsidRPr="00A52585">
        <w:rPr>
          <w:rFonts w:hint="cs"/>
          <w:bCs/>
        </w:rPr>
        <w:t xml:space="preserve"> </w:t>
      </w:r>
      <w:r w:rsidRPr="00A52585">
        <w:rPr>
          <w:rFonts w:hint="cs"/>
          <w:bCs/>
          <w:rtl/>
        </w:rPr>
        <w:t>على الاستعارة</w:t>
      </w:r>
      <w:r w:rsidRPr="00A52585">
        <w:rPr>
          <w:rFonts w:hint="cs"/>
          <w:bCs/>
        </w:rPr>
        <w:t xml:space="preserve"> </w:t>
      </w:r>
      <w:proofErr w:type="spellStart"/>
      <w:r w:rsidRPr="00A52585">
        <w:rPr>
          <w:rFonts w:hint="cs"/>
          <w:bCs/>
          <w:rtl/>
        </w:rPr>
        <w:t>التخييلية</w:t>
      </w:r>
      <w:proofErr w:type="spellEnd"/>
      <w:r w:rsidRPr="00A52585">
        <w:rPr>
          <w:rFonts w:hint="cs"/>
          <w:rtl/>
        </w:rPr>
        <w:t xml:space="preserve"> وهي ان يشترك شيئان في وصف ثم يعتمد لوازم أحدهما حيث</w:t>
      </w:r>
      <w:r w:rsidRPr="00A52585">
        <w:rPr>
          <w:rFonts w:hint="cs"/>
        </w:rPr>
        <w:t xml:space="preserve"> </w:t>
      </w:r>
      <w:r w:rsidRPr="00A52585">
        <w:rPr>
          <w:rFonts w:hint="cs"/>
          <w:rtl/>
        </w:rPr>
        <w:t>تكون جهة</w:t>
      </w:r>
      <w:r w:rsidRPr="00A52585">
        <w:rPr>
          <w:rFonts w:hint="cs"/>
        </w:rPr>
        <w:t xml:space="preserve"> </w:t>
      </w:r>
      <w:r w:rsidRPr="00A52585">
        <w:rPr>
          <w:rFonts w:hint="cs"/>
          <w:rtl/>
        </w:rPr>
        <w:t>الاشتراك وصفا فيثبت كماله في المستعار بواسطة شيء آخر فيثبت ذلك للمستعار</w:t>
      </w:r>
      <w:r w:rsidRPr="00A52585">
        <w:rPr>
          <w:rFonts w:hint="cs"/>
        </w:rPr>
        <w:t xml:space="preserve"> </w:t>
      </w:r>
      <w:r w:rsidRPr="00A52585">
        <w:rPr>
          <w:rFonts w:hint="cs"/>
          <w:rtl/>
        </w:rPr>
        <w:t>مبالغة في</w:t>
      </w:r>
      <w:r w:rsidRPr="00A52585">
        <w:rPr>
          <w:rFonts w:hint="cs"/>
        </w:rPr>
        <w:t xml:space="preserve"> </w:t>
      </w:r>
      <w:r w:rsidRPr="00A52585">
        <w:rPr>
          <w:rFonts w:hint="cs"/>
          <w:rtl/>
        </w:rPr>
        <w:t xml:space="preserve">اثبات المشترك قال </w:t>
      </w:r>
      <w:r w:rsidRPr="00A52585">
        <w:rPr>
          <w:rFonts w:hint="cs"/>
          <w:bCs/>
          <w:rtl/>
        </w:rPr>
        <w:t xml:space="preserve">وبالحمل على هذه الاستعارة </w:t>
      </w:r>
      <w:proofErr w:type="spellStart"/>
      <w:r w:rsidRPr="00A52585">
        <w:rPr>
          <w:rFonts w:hint="cs"/>
          <w:bCs/>
          <w:rtl/>
        </w:rPr>
        <w:t>التخييلية</w:t>
      </w:r>
      <w:proofErr w:type="spellEnd"/>
      <w:r w:rsidRPr="00A52585">
        <w:rPr>
          <w:rFonts w:hint="cs"/>
          <w:bCs/>
          <w:rtl/>
        </w:rPr>
        <w:t xml:space="preserve"> يحصل التخلص</w:t>
      </w:r>
      <w:r w:rsidRPr="00A52585">
        <w:rPr>
          <w:rFonts w:hint="cs"/>
          <w:bCs/>
        </w:rPr>
        <w:t xml:space="preserve"> </w:t>
      </w:r>
      <w:r w:rsidRPr="00A52585">
        <w:rPr>
          <w:rFonts w:hint="cs"/>
          <w:bCs/>
          <w:rtl/>
        </w:rPr>
        <w:t>من مهاوي</w:t>
      </w:r>
      <w:r w:rsidRPr="00A52585">
        <w:rPr>
          <w:rFonts w:hint="cs"/>
          <w:bCs/>
        </w:rPr>
        <w:t xml:space="preserve"> </w:t>
      </w:r>
      <w:r w:rsidRPr="00A52585">
        <w:rPr>
          <w:rFonts w:hint="cs"/>
          <w:bCs/>
          <w:rtl/>
        </w:rPr>
        <w:t>التجسيم</w:t>
      </w:r>
      <w:r w:rsidRPr="00A52585">
        <w:rPr>
          <w:rFonts w:hint="cs"/>
          <w:rtl/>
        </w:rPr>
        <w:t xml:space="preserve"> " أ هـ [فتح</w:t>
      </w:r>
      <w:r w:rsidRPr="00A52585">
        <w:rPr>
          <w:rFonts w:hint="cs"/>
        </w:rPr>
        <w:t xml:space="preserve"> </w:t>
      </w:r>
      <w:r w:rsidRPr="00A52585">
        <w:rPr>
          <w:rFonts w:hint="cs"/>
          <w:rtl/>
        </w:rPr>
        <w:t>الباري ج: 13 ص: 431]</w:t>
      </w:r>
      <w:r w:rsidR="00DB731D" w:rsidRPr="00A52585">
        <w:rPr>
          <w:rFonts w:hint="cs"/>
          <w:rtl/>
        </w:rPr>
        <w:t>،</w:t>
      </w:r>
      <w:r w:rsidRPr="00A52585">
        <w:rPr>
          <w:rFonts w:hint="cs"/>
          <w:rtl/>
        </w:rPr>
        <w:t xml:space="preserve"> والثاني</w:t>
      </w:r>
      <w:r w:rsidR="0002035C" w:rsidRPr="00A52585">
        <w:rPr>
          <w:rFonts w:hint="cs"/>
          <w:rtl/>
        </w:rPr>
        <w:t>:</w:t>
      </w:r>
      <w:r w:rsidRPr="00A52585">
        <w:rPr>
          <w:rFonts w:hint="cs"/>
          <w:rtl/>
        </w:rPr>
        <w:t xml:space="preserve"> أنه </w:t>
      </w:r>
      <w:r w:rsidR="0002035C" w:rsidRPr="00A52585">
        <w:rPr>
          <w:rFonts w:hint="cs"/>
          <w:rtl/>
        </w:rPr>
        <w:t>(</w:t>
      </w:r>
      <w:r w:rsidRPr="00A52585">
        <w:rPr>
          <w:rFonts w:hint="cs"/>
          <w:rtl/>
        </w:rPr>
        <w:t>استواء</w:t>
      </w:r>
      <w:r w:rsidR="0002035C" w:rsidRPr="00A52585">
        <w:rPr>
          <w:rFonts w:hint="cs"/>
          <w:rtl/>
        </w:rPr>
        <w:t>)</w:t>
      </w:r>
      <w:r w:rsidRPr="00A52585">
        <w:rPr>
          <w:rFonts w:hint="cs"/>
          <w:rtl/>
        </w:rPr>
        <w:t xml:space="preserve"> على مراد الله تعالى ومراد رسوله</w:t>
      </w:r>
      <w:r w:rsidR="00DB731D" w:rsidRPr="00A52585">
        <w:rPr>
          <w:rFonts w:hint="cs"/>
          <w:rtl/>
        </w:rPr>
        <w:t>،</w:t>
      </w:r>
      <w:r w:rsidRPr="00A52585">
        <w:rPr>
          <w:rFonts w:hint="cs"/>
          <w:rtl/>
        </w:rPr>
        <w:t xml:space="preserve"> ليس كمثل استوائه استواء</w:t>
      </w:r>
      <w:r w:rsidR="00DB731D" w:rsidRPr="00A52585">
        <w:rPr>
          <w:rFonts w:hint="cs"/>
          <w:rtl/>
        </w:rPr>
        <w:t>،</w:t>
      </w:r>
      <w:r w:rsidRPr="00A52585">
        <w:rPr>
          <w:rFonts w:hint="cs"/>
          <w:rtl/>
        </w:rPr>
        <w:t xml:space="preserve"> كما أنه ليس كمثل ذاته ذات</w:t>
      </w:r>
      <w:r w:rsidR="00DB731D" w:rsidRPr="00A52585">
        <w:rPr>
          <w:rFonts w:hint="cs"/>
          <w:rtl/>
        </w:rPr>
        <w:t>،</w:t>
      </w:r>
      <w:r w:rsidRPr="00A52585">
        <w:rPr>
          <w:rFonts w:hint="cs"/>
          <w:rtl/>
        </w:rPr>
        <w:t xml:space="preserve"> وليس كمثل صفاته صفات</w:t>
      </w:r>
      <w:r w:rsidR="00DB731D" w:rsidRPr="00A52585">
        <w:rPr>
          <w:rFonts w:hint="cs"/>
          <w:rtl/>
        </w:rPr>
        <w:t>،</w:t>
      </w:r>
      <w:r w:rsidRPr="00A52585">
        <w:rPr>
          <w:rFonts w:hint="cs"/>
          <w:rtl/>
        </w:rPr>
        <w:t xml:space="preserve"> والثالث</w:t>
      </w:r>
      <w:r w:rsidR="0002035C" w:rsidRPr="00A52585">
        <w:rPr>
          <w:rFonts w:hint="cs"/>
          <w:rtl/>
        </w:rPr>
        <w:t>:</w:t>
      </w:r>
      <w:r w:rsidRPr="00A52585">
        <w:rPr>
          <w:rFonts w:hint="cs"/>
          <w:rtl/>
        </w:rPr>
        <w:t xml:space="preserve"> معاملة صفات القرب والإحاطة والاستواء معاملة واحدة</w:t>
      </w:r>
      <w:r w:rsidR="00DB731D" w:rsidRPr="00A52585">
        <w:rPr>
          <w:rFonts w:hint="cs"/>
          <w:rtl/>
        </w:rPr>
        <w:t>،</w:t>
      </w:r>
      <w:r w:rsidRPr="00A52585">
        <w:rPr>
          <w:rFonts w:hint="cs"/>
          <w:rtl/>
        </w:rPr>
        <w:t xml:space="preserve"> فإذا أثبتنا الاستواء أثبتنا القرب</w:t>
      </w:r>
      <w:r w:rsidR="00DB731D" w:rsidRPr="00A52585">
        <w:rPr>
          <w:rFonts w:hint="cs"/>
          <w:rtl/>
        </w:rPr>
        <w:t>،</w:t>
      </w:r>
      <w:r w:rsidRPr="00A52585">
        <w:rPr>
          <w:rFonts w:hint="cs"/>
          <w:rtl/>
        </w:rPr>
        <w:t xml:space="preserve"> وأثبتنا الإحاطة</w:t>
      </w:r>
      <w:r w:rsidR="00DB731D" w:rsidRPr="00A52585">
        <w:rPr>
          <w:rFonts w:hint="cs"/>
          <w:rtl/>
        </w:rPr>
        <w:t>،</w:t>
      </w:r>
      <w:r w:rsidRPr="00A52585">
        <w:rPr>
          <w:rFonts w:hint="cs"/>
          <w:rtl/>
        </w:rPr>
        <w:t xml:space="preserve"> وآنذاك</w:t>
      </w:r>
      <w:r w:rsidR="00DB731D" w:rsidRPr="00A52585">
        <w:rPr>
          <w:rFonts w:hint="cs"/>
          <w:rtl/>
        </w:rPr>
        <w:t>،</w:t>
      </w:r>
      <w:r w:rsidRPr="00A52585">
        <w:rPr>
          <w:rFonts w:hint="cs"/>
          <w:rtl/>
        </w:rPr>
        <w:t xml:space="preserve"> يمتنع التكييف لأنه جمع بين الأضداد</w:t>
      </w:r>
      <w:r w:rsidR="00DB731D" w:rsidRPr="00A52585">
        <w:rPr>
          <w:rFonts w:hint="cs"/>
          <w:rtl/>
        </w:rPr>
        <w:t>،</w:t>
      </w:r>
      <w:r w:rsidRPr="00A52585">
        <w:rPr>
          <w:rFonts w:hint="cs"/>
          <w:rtl/>
        </w:rPr>
        <w:t xml:space="preserve"> ويبقي ملاحظتان مهمتان</w:t>
      </w:r>
      <w:r w:rsidR="0002035C" w:rsidRPr="00A52585">
        <w:rPr>
          <w:rFonts w:hint="cs"/>
          <w:rtl/>
        </w:rPr>
        <w:t>:</w:t>
      </w:r>
    </w:p>
    <w:p w14:paraId="24766313" w14:textId="249CD9DD" w:rsidR="00777DCB" w:rsidRPr="00A52585" w:rsidRDefault="00777DCB" w:rsidP="0002035C">
      <w:pPr>
        <w:rPr>
          <w:b/>
          <w:bCs/>
          <w:rtl/>
        </w:rPr>
      </w:pPr>
      <w:r w:rsidRPr="00A52585">
        <w:rPr>
          <w:rFonts w:hint="cs"/>
          <w:bCs/>
          <w:rtl/>
        </w:rPr>
        <w:t>الملاحظة الاولى</w:t>
      </w:r>
      <w:r w:rsidR="0002035C" w:rsidRPr="00A52585">
        <w:rPr>
          <w:rFonts w:hint="cs"/>
          <w:bCs/>
          <w:rtl/>
        </w:rPr>
        <w:t>:</w:t>
      </w:r>
      <w:r w:rsidRPr="00A52585">
        <w:rPr>
          <w:rFonts w:hint="cs"/>
          <w:bCs/>
          <w:rtl/>
        </w:rPr>
        <w:t xml:space="preserve"> </w:t>
      </w:r>
      <w:r w:rsidRPr="00A52585">
        <w:rPr>
          <w:rFonts w:hint="cs"/>
          <w:rtl/>
        </w:rPr>
        <w:t>استدلت المشبهة على أنّ الاستواء استواء جلوس على العرش</w:t>
      </w:r>
      <w:r w:rsidR="00DB731D" w:rsidRPr="00A52585">
        <w:rPr>
          <w:rFonts w:hint="cs"/>
          <w:rtl/>
        </w:rPr>
        <w:t>،</w:t>
      </w:r>
      <w:r w:rsidRPr="00A52585">
        <w:rPr>
          <w:rFonts w:hint="cs"/>
          <w:rtl/>
        </w:rPr>
        <w:t xml:space="preserve"> واختلفوا هل بمماسة أو من غير مماسة</w:t>
      </w:r>
      <w:r w:rsidR="00DB731D" w:rsidRPr="00A52585">
        <w:rPr>
          <w:rFonts w:hint="cs"/>
          <w:rtl/>
        </w:rPr>
        <w:t>،</w:t>
      </w:r>
      <w:r w:rsidRPr="00A52585">
        <w:rPr>
          <w:rFonts w:hint="cs"/>
          <w:rtl/>
        </w:rPr>
        <w:t xml:space="preserve"> وهل بحد ونهاية أم من غير حد ونهاية</w:t>
      </w:r>
      <w:r w:rsidR="00DB731D" w:rsidRPr="00A52585">
        <w:rPr>
          <w:rFonts w:hint="cs"/>
          <w:rtl/>
        </w:rPr>
        <w:t>،</w:t>
      </w:r>
      <w:r w:rsidRPr="00A52585">
        <w:rPr>
          <w:rFonts w:hint="cs"/>
          <w:rtl/>
        </w:rPr>
        <w:t xml:space="preserve"> وهل إذا نزل إلى السماء الدنيا يخلو منه العرش أم لا</w:t>
      </w:r>
      <w:r w:rsidR="00DB731D" w:rsidRPr="00A52585">
        <w:rPr>
          <w:rFonts w:hint="cs"/>
          <w:rtl/>
        </w:rPr>
        <w:t>،</w:t>
      </w:r>
      <w:r w:rsidRPr="00A52585">
        <w:rPr>
          <w:rFonts w:hint="cs"/>
          <w:rtl/>
        </w:rPr>
        <w:t xml:space="preserve"> وكل هذه المصائب العقائدية أتت عليهم من تكييف الاستواء</w:t>
      </w:r>
      <w:r w:rsidR="00DB731D" w:rsidRPr="00A52585">
        <w:rPr>
          <w:rFonts w:hint="cs"/>
          <w:rtl/>
        </w:rPr>
        <w:t>،</w:t>
      </w:r>
      <w:r w:rsidRPr="00A52585">
        <w:rPr>
          <w:rFonts w:hint="cs"/>
          <w:rtl/>
        </w:rPr>
        <w:t xml:space="preserve"> وأنه يشبه جلوس الملك على كرسيه</w:t>
      </w:r>
      <w:r w:rsidR="00DB731D" w:rsidRPr="00A52585">
        <w:rPr>
          <w:rFonts w:hint="cs"/>
          <w:rtl/>
        </w:rPr>
        <w:t>،</w:t>
      </w:r>
      <w:r w:rsidRPr="00A52585">
        <w:rPr>
          <w:rFonts w:hint="cs"/>
          <w:rtl/>
        </w:rPr>
        <w:t xml:space="preserve"> وتناسوا أن ليس كمثله شيء</w:t>
      </w:r>
      <w:r w:rsidR="00DB731D" w:rsidRPr="00A52585">
        <w:rPr>
          <w:rFonts w:hint="cs"/>
          <w:rtl/>
        </w:rPr>
        <w:t>،</w:t>
      </w:r>
      <w:r w:rsidRPr="00A52585">
        <w:rPr>
          <w:rFonts w:hint="cs"/>
          <w:rtl/>
        </w:rPr>
        <w:t xml:space="preserve"> تعالى عن الحد والتشبيه والتمثيل والتكييف</w:t>
      </w:r>
      <w:r w:rsidR="00DB731D" w:rsidRPr="00A52585">
        <w:rPr>
          <w:rFonts w:hint="cs"/>
          <w:rtl/>
        </w:rPr>
        <w:t>،</w:t>
      </w:r>
      <w:r w:rsidRPr="00A52585">
        <w:rPr>
          <w:rFonts w:hint="cs"/>
          <w:rtl/>
        </w:rPr>
        <w:t xml:space="preserve"> وهل عقول البشر المحدودة تستطيع أن تحيط علماً باستواء الرحمن على العرش</w:t>
      </w:r>
      <w:r w:rsidR="00DB731D" w:rsidRPr="00A52585">
        <w:rPr>
          <w:rFonts w:hint="cs"/>
          <w:rtl/>
        </w:rPr>
        <w:t>،</w:t>
      </w:r>
      <w:r w:rsidRPr="00A52585">
        <w:rPr>
          <w:rFonts w:hint="cs"/>
          <w:bCs/>
          <w:rtl/>
        </w:rPr>
        <w:t xml:space="preserve"> </w:t>
      </w:r>
    </w:p>
    <w:p w14:paraId="6CC38C11" w14:textId="0F97B164" w:rsidR="00777DCB" w:rsidRPr="00A52585" w:rsidRDefault="00777DCB" w:rsidP="0002035C">
      <w:pPr>
        <w:rPr>
          <w:rtl/>
        </w:rPr>
      </w:pPr>
      <w:r w:rsidRPr="00A52585">
        <w:rPr>
          <w:rFonts w:hint="cs"/>
          <w:bCs/>
          <w:rtl/>
        </w:rPr>
        <w:t>الملاحظة الثانية</w:t>
      </w:r>
      <w:r w:rsidR="0002035C" w:rsidRPr="00A52585">
        <w:rPr>
          <w:rFonts w:hint="cs"/>
          <w:bCs/>
          <w:rtl/>
        </w:rPr>
        <w:t>:</w:t>
      </w:r>
      <w:r w:rsidRPr="00A52585">
        <w:rPr>
          <w:rFonts w:hint="cs"/>
          <w:rtl/>
        </w:rPr>
        <w:t xml:space="preserve"> استدلت الجهمية من هذه الآيات على أن الله موجود بذاته في كل مكان</w:t>
      </w:r>
      <w:r w:rsidR="0002035C" w:rsidRPr="00A52585">
        <w:rPr>
          <w:rFonts w:hint="cs"/>
          <w:rtl/>
        </w:rPr>
        <w:t xml:space="preserve"> </w:t>
      </w:r>
      <w:r w:rsidRPr="00A52585">
        <w:rPr>
          <w:rFonts w:hint="cs"/>
          <w:rtl/>
        </w:rPr>
        <w:t>لأنه الظاهر والباطن وأنه معنا حيث كنا فأنتصب السلف للرد على هذه البدعة وأوضحوا أن كلمة</w:t>
      </w:r>
      <w:r w:rsidR="0002035C" w:rsidRPr="00A52585">
        <w:rPr>
          <w:rFonts w:hint="cs"/>
          <w:rtl/>
        </w:rPr>
        <w:t xml:space="preserve"> </w:t>
      </w:r>
      <w:r w:rsidRPr="00A52585">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DB731D" w:rsidRPr="00A52585">
        <w:rPr>
          <w:rFonts w:hint="cs"/>
          <w:rtl/>
        </w:rPr>
        <w:t>،</w:t>
      </w:r>
      <w:r w:rsidRPr="00A52585">
        <w:rPr>
          <w:rFonts w:hint="cs"/>
          <w:rtl/>
        </w:rPr>
        <w:t xml:space="preserve"> ثم ظهرت </w:t>
      </w:r>
      <w:proofErr w:type="spellStart"/>
      <w:r w:rsidRPr="00A52585">
        <w:rPr>
          <w:rFonts w:hint="cs"/>
          <w:rtl/>
        </w:rPr>
        <w:t>الحشوية</w:t>
      </w:r>
      <w:proofErr w:type="spellEnd"/>
      <w:r w:rsidRPr="00A52585">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w:t>
      </w:r>
      <w:r w:rsidRPr="00A52585">
        <w:rPr>
          <w:rFonts w:hint="cs"/>
          <w:rtl/>
        </w:rPr>
        <w:lastRenderedPageBreak/>
        <w:t>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897A24" w:rsidRPr="00A52585">
        <w:rPr>
          <w:rFonts w:hint="cs"/>
          <w:rtl/>
        </w:rPr>
        <w:t>.</w:t>
      </w:r>
    </w:p>
    <w:p w14:paraId="24E162E9" w14:textId="756BB44C" w:rsidR="00777DCB" w:rsidRPr="00A52585" w:rsidRDefault="00777DCB" w:rsidP="0002035C">
      <w:pPr>
        <w:pStyle w:val="ab"/>
        <w:spacing w:line="276" w:lineRule="auto"/>
        <w:jc w:val="both"/>
        <w:rPr>
          <w:rFonts w:ascii="Traditional Arabic" w:hAnsi="Traditional Arabic"/>
          <w:sz w:val="32"/>
          <w:rtl/>
        </w:rPr>
      </w:pPr>
      <w:r w:rsidRPr="00A52585">
        <w:rPr>
          <w:rFonts w:ascii="Traditional Arabic" w:hAnsi="Traditional Arabic"/>
          <w:b/>
          <w:bCs/>
          <w:sz w:val="32"/>
          <w:u w:val="single"/>
          <w:rtl/>
        </w:rPr>
        <w:t>ملاحظة أخرى جديرة بالتسجيل</w:t>
      </w:r>
      <w:r w:rsidR="0002035C" w:rsidRPr="00A52585">
        <w:rPr>
          <w:rFonts w:ascii="Traditional Arabic" w:hAnsi="Traditional Arabic"/>
          <w:sz w:val="32"/>
          <w:rtl/>
        </w:rPr>
        <w:t>:</w:t>
      </w:r>
      <w:r w:rsidRPr="00A52585">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A52585">
        <w:rPr>
          <w:rFonts w:ascii="Traditional Arabic" w:hAnsi="Traditional Arabic"/>
          <w:b/>
          <w:bCs/>
          <w:sz w:val="32"/>
          <w:u w:val="single"/>
          <w:rtl/>
        </w:rPr>
        <w:t>فمتى يستوي على عرشه حقيقة كما يقولون</w:t>
      </w:r>
      <w:r w:rsidRPr="00A52585">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Pr="00A52585">
        <w:rPr>
          <w:rFonts w:ascii="Traditional Arabic" w:hAnsi="Traditional Arabic"/>
          <w:sz w:val="32"/>
          <w:rtl/>
        </w:rPr>
        <w:t>يمارى</w:t>
      </w:r>
      <w:proofErr w:type="spellEnd"/>
      <w:r w:rsidRPr="00A52585">
        <w:rPr>
          <w:rFonts w:ascii="Traditional Arabic" w:hAnsi="Traditional Arabic"/>
          <w:sz w:val="32"/>
          <w:rtl/>
        </w:rPr>
        <w:t xml:space="preserve"> فيه إلا جهول مأفون </w:t>
      </w:r>
    </w:p>
    <w:p w14:paraId="759C4C7F" w14:textId="4268C09E" w:rsidR="00777DCB" w:rsidRPr="00A52585" w:rsidRDefault="00777DCB" w:rsidP="0002035C">
      <w:pPr>
        <w:pStyle w:val="ab"/>
        <w:spacing w:line="276" w:lineRule="auto"/>
        <w:jc w:val="both"/>
        <w:rPr>
          <w:rFonts w:ascii="Traditional Arabic" w:hAnsi="Traditional Arabic"/>
          <w:sz w:val="32"/>
          <w:rtl/>
        </w:rPr>
      </w:pPr>
      <w:r w:rsidRPr="00A52585">
        <w:rPr>
          <w:rFonts w:ascii="Traditional Arabic" w:hAnsi="Traditional Arabic"/>
          <w:b/>
          <w:bCs/>
          <w:sz w:val="32"/>
          <w:rtl/>
        </w:rPr>
        <w:t>وملاحظة أخرى</w:t>
      </w:r>
      <w:r w:rsidR="0002035C" w:rsidRPr="00A52585">
        <w:rPr>
          <w:rFonts w:ascii="Traditional Arabic" w:hAnsi="Traditional Arabic"/>
          <w:b/>
          <w:bCs/>
          <w:sz w:val="32"/>
          <w:rtl/>
        </w:rPr>
        <w:t>:</w:t>
      </w:r>
      <w:r w:rsidRPr="00A52585">
        <w:rPr>
          <w:rFonts w:ascii="Traditional Arabic" w:hAnsi="Traditional Arabic"/>
          <w:sz w:val="32"/>
          <w:rtl/>
        </w:rPr>
        <w:t xml:space="preserve"> و نقول لهؤلاء الذين يفهمون من الاستواء إلى السماء أنه </w:t>
      </w:r>
      <w:proofErr w:type="spellStart"/>
      <w:r w:rsidRPr="00A52585">
        <w:rPr>
          <w:rFonts w:ascii="Traditional Arabic" w:hAnsi="Traditional Arabic"/>
          <w:sz w:val="32"/>
          <w:rtl/>
        </w:rPr>
        <w:t>الإنتقال</w:t>
      </w:r>
      <w:proofErr w:type="spellEnd"/>
      <w:r w:rsidRPr="00A52585">
        <w:rPr>
          <w:rFonts w:ascii="Traditional Arabic" w:hAnsi="Traditional Arabic"/>
          <w:sz w:val="32"/>
          <w:rtl/>
        </w:rPr>
        <w:t xml:space="preserve"> من الأرض إلى السماء وذلك في قوله تعالى ((</w:t>
      </w:r>
      <w:r w:rsidRPr="00A52585">
        <w:rPr>
          <w:rFonts w:ascii="Traditional Arabic" w:hAnsi="Traditional Arabic"/>
          <w:b/>
          <w:bCs/>
          <w:sz w:val="32"/>
          <w:rtl/>
        </w:rPr>
        <w:t>هو الذي خلق لكم ما في الأرض جميعا ثم استوى إلى السماء فسواهن سبع سموات وهو بكل شيء عليم</w:t>
      </w:r>
      <w:r w:rsidR="0002035C" w:rsidRPr="00A52585">
        <w:rPr>
          <w:rFonts w:ascii="Traditional Arabic" w:hAnsi="Traditional Arabic"/>
          <w:sz w:val="32"/>
          <w:rtl/>
        </w:rPr>
        <w:t>)[</w:t>
      </w:r>
      <w:r w:rsidRPr="00A52585">
        <w:rPr>
          <w:rFonts w:ascii="Traditional Arabic" w:hAnsi="Traditional Arabic"/>
          <w:sz w:val="32"/>
          <w:rtl/>
        </w:rPr>
        <w:t>البقرة 29] أن</w:t>
      </w:r>
      <w:r w:rsidR="0002035C" w:rsidRPr="00A52585">
        <w:rPr>
          <w:rFonts w:ascii="Traditional Arabic" w:hAnsi="Traditional Arabic"/>
          <w:sz w:val="32"/>
          <w:rtl/>
        </w:rPr>
        <w:t xml:space="preserve"> </w:t>
      </w:r>
      <w:r w:rsidRPr="00A52585">
        <w:rPr>
          <w:rFonts w:ascii="Traditional Arabic" w:hAnsi="Traditional Arabic"/>
          <w:sz w:val="32"/>
          <w:rtl/>
        </w:rPr>
        <w:t xml:space="preserve">تصورهم الاستواء بهذه الصورة محض باطل وجهل عظيم ووقاحة في </w:t>
      </w:r>
      <w:proofErr w:type="spellStart"/>
      <w:r w:rsidRPr="00A52585">
        <w:rPr>
          <w:rFonts w:ascii="Traditional Arabic" w:hAnsi="Traditional Arabic"/>
          <w:sz w:val="32"/>
          <w:rtl/>
        </w:rPr>
        <w:t>الإعتقاد</w:t>
      </w:r>
      <w:proofErr w:type="spellEnd"/>
      <w:r w:rsidRPr="00A52585">
        <w:rPr>
          <w:rFonts w:ascii="Traditional Arabic" w:hAnsi="Traditional Arabic"/>
          <w:sz w:val="32"/>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02035C" w:rsidRPr="00A52585">
        <w:rPr>
          <w:rFonts w:ascii="Traditional Arabic" w:hAnsi="Traditional Arabic"/>
          <w:sz w:val="32"/>
          <w:rtl/>
        </w:rPr>
        <w:t xml:space="preserve"> </w:t>
      </w:r>
      <w:r w:rsidRPr="00A52585">
        <w:rPr>
          <w:rFonts w:ascii="Traditional Arabic" w:hAnsi="Traditional Arabic"/>
          <w:sz w:val="32"/>
          <w:rtl/>
        </w:rPr>
        <w:t>وليس صعد من الأرض إلى السماء تعالى الله عن ذلك علوا كبيرا</w:t>
      </w:r>
      <w:r w:rsidR="00DB731D" w:rsidRPr="00A52585">
        <w:rPr>
          <w:rFonts w:ascii="Traditional Arabic" w:hAnsi="Traditional Arabic"/>
          <w:sz w:val="32"/>
          <w:rtl/>
        </w:rPr>
        <w:t>،</w:t>
      </w:r>
      <w:r w:rsidRPr="00A52585">
        <w:rPr>
          <w:rFonts w:ascii="Traditional Arabic" w:hAnsi="Traditional Arabic"/>
          <w:sz w:val="32"/>
          <w:rtl/>
        </w:rPr>
        <w:t xml:space="preserve"> وأختم هذا المدخل بنقلين جليلين في هذا الباب</w:t>
      </w:r>
      <w:r w:rsidR="00DB731D" w:rsidRPr="00A52585">
        <w:rPr>
          <w:rFonts w:ascii="Traditional Arabic" w:hAnsi="Traditional Arabic"/>
          <w:sz w:val="32"/>
          <w:rtl/>
        </w:rPr>
        <w:t>،</w:t>
      </w:r>
      <w:r w:rsidRPr="00A52585">
        <w:rPr>
          <w:rFonts w:ascii="Traditional Arabic" w:hAnsi="Traditional Arabic"/>
          <w:sz w:val="32"/>
          <w:rtl/>
        </w:rPr>
        <w:t xml:space="preserve"> الأول للزرقاني رحمه الله والثاني للمكي الهاشمي رحمه الله </w:t>
      </w:r>
    </w:p>
    <w:p w14:paraId="082FABC3" w14:textId="5C03B09C" w:rsidR="00777DCB" w:rsidRPr="00A52585" w:rsidRDefault="00777DCB" w:rsidP="0002035C">
      <w:pPr>
        <w:rPr>
          <w:rtl/>
        </w:rPr>
      </w:pPr>
      <w:r w:rsidRPr="00A52585">
        <w:rPr>
          <w:rFonts w:hint="cs"/>
          <w:rtl/>
        </w:rPr>
        <w:t>الأول</w:t>
      </w:r>
      <w:r w:rsidR="0002035C" w:rsidRPr="00A52585">
        <w:rPr>
          <w:rFonts w:hint="cs"/>
          <w:rtl/>
        </w:rPr>
        <w:t>:</w:t>
      </w:r>
      <w:r w:rsidRPr="00A52585">
        <w:rPr>
          <w:rFonts w:hint="cs"/>
          <w:rtl/>
        </w:rPr>
        <w:t xml:space="preserve"> قول الزرقاني رحمه الله</w:t>
      </w:r>
      <w:r w:rsidR="0002035C" w:rsidRPr="00A52585">
        <w:rPr>
          <w:rFonts w:hint="cs"/>
          <w:rtl/>
        </w:rPr>
        <w:t>:</w:t>
      </w:r>
      <w:r w:rsidRPr="00A52585">
        <w:rPr>
          <w:rFonts w:hint="cs"/>
          <w:rtl/>
        </w:rPr>
        <w:t xml:space="preserve"> قال في </w:t>
      </w:r>
      <w:r w:rsidR="0002035C" w:rsidRPr="00A52585">
        <w:rPr>
          <w:rFonts w:hint="cs"/>
          <w:rtl/>
        </w:rPr>
        <w:t>[</w:t>
      </w:r>
      <w:r w:rsidRPr="00A52585">
        <w:rPr>
          <w:rFonts w:hint="cs"/>
          <w:rtl/>
        </w:rPr>
        <w:t xml:space="preserve">مناهل العرفان ج: 2 ص: 208/211] </w:t>
      </w:r>
      <w:r w:rsidR="0002035C" w:rsidRPr="00A52585">
        <w:rPr>
          <w:rFonts w:hint="cs"/>
          <w:rtl/>
        </w:rPr>
        <w:t>(</w:t>
      </w:r>
      <w:r w:rsidRPr="00A52585">
        <w:rPr>
          <w:rFonts w:hint="cs"/>
          <w:rtl/>
        </w:rPr>
        <w:t>{الرحمن على</w:t>
      </w:r>
      <w:r w:rsidR="0002035C" w:rsidRPr="00A52585">
        <w:rPr>
          <w:rFonts w:hint="cs"/>
          <w:rtl/>
        </w:rPr>
        <w:t xml:space="preserve"> </w:t>
      </w:r>
      <w:r w:rsidRPr="00A52585">
        <w:rPr>
          <w:rFonts w:hint="cs"/>
          <w:rtl/>
        </w:rPr>
        <w:t>العرش استوى</w:t>
      </w:r>
      <w:r w:rsidR="0002035C" w:rsidRPr="00A52585">
        <w:rPr>
          <w:rFonts w:hint="cs"/>
          <w:rtl/>
        </w:rPr>
        <w:t>}:</w:t>
      </w:r>
      <w:r w:rsidRPr="00A52585">
        <w:rPr>
          <w:rFonts w:hint="cs"/>
          <w:rtl/>
        </w:rPr>
        <w:t xml:space="preserve"> فنقول يتفق الجميع من سلف وخلف على أن ظاهر الاستواء على</w:t>
      </w:r>
      <w:r w:rsidR="0002035C" w:rsidRPr="00A52585">
        <w:rPr>
          <w:rFonts w:hint="cs"/>
          <w:rtl/>
        </w:rPr>
        <w:t xml:space="preserve"> </w:t>
      </w:r>
      <w:r w:rsidRPr="00A52585">
        <w:rPr>
          <w:rFonts w:hint="cs"/>
          <w:rtl/>
        </w:rPr>
        <w:t>العرش</w:t>
      </w:r>
      <w:r w:rsidR="0002035C" w:rsidRPr="00A52585">
        <w:rPr>
          <w:rFonts w:hint="cs"/>
          <w:rtl/>
        </w:rPr>
        <w:t xml:space="preserve"> </w:t>
      </w:r>
      <w:r w:rsidRPr="00A52585">
        <w:rPr>
          <w:rFonts w:hint="cs"/>
          <w:rtl/>
        </w:rPr>
        <w:t xml:space="preserve">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w:t>
      </w:r>
      <w:r w:rsidRPr="00A52585">
        <w:rPr>
          <w:rFonts w:hint="cs"/>
          <w:rtl/>
        </w:rPr>
        <w:lastRenderedPageBreak/>
        <w:t>هو الغني الحميد فلو أراد هذا الظاهر لكان متناقضا</w:t>
      </w:r>
      <w:r w:rsidR="0002035C" w:rsidRPr="00A52585">
        <w:rPr>
          <w:rFonts w:hint="cs"/>
          <w:rtl/>
        </w:rPr>
        <w:t xml:space="preserve"> </w:t>
      </w:r>
      <w:r w:rsidRPr="00A52585">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97A24" w:rsidRPr="00A52585">
        <w:rPr>
          <w:rFonts w:hint="cs"/>
          <w:rtl/>
        </w:rPr>
        <w:t>.</w:t>
      </w:r>
      <w:r w:rsidRPr="00A52585">
        <w:rPr>
          <w:rFonts w:hint="cs"/>
          <w:rtl/>
        </w:rPr>
        <w:t>.. إلى أن قال</w:t>
      </w:r>
      <w:r w:rsidR="0002035C" w:rsidRPr="00A52585">
        <w:rPr>
          <w:rFonts w:hint="cs"/>
          <w:rtl/>
        </w:rPr>
        <w:t>:</w:t>
      </w:r>
      <w:r w:rsidRPr="00A52585">
        <w:rPr>
          <w:rFonts w:hint="cs"/>
          <w:rtl/>
        </w:rPr>
        <w:t xml:space="preserve"> </w:t>
      </w:r>
      <w:r w:rsidRPr="00A52585">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A52585">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Pr="00A52585">
        <w:rPr>
          <w:rFonts w:hint="cs"/>
          <w:rtl/>
        </w:rPr>
        <w:t>متركبا</w:t>
      </w:r>
      <w:proofErr w:type="spellEnd"/>
      <w:r w:rsidRPr="00A52585">
        <w:rPr>
          <w:rFonts w:hint="cs"/>
          <w:rtl/>
        </w:rPr>
        <w:t xml:space="preserve"> ولا محتاجا لأحد ولا إلى مكان ولا إلى زمان ولا نحو ذلك ولقد جاء القرآن بهذا في </w:t>
      </w:r>
      <w:proofErr w:type="spellStart"/>
      <w:r w:rsidRPr="00A52585">
        <w:rPr>
          <w:rFonts w:hint="cs"/>
          <w:rtl/>
        </w:rPr>
        <w:t>محكماته</w:t>
      </w:r>
      <w:proofErr w:type="spellEnd"/>
      <w:r w:rsidRPr="00A52585">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02035C" w:rsidRPr="00A52585">
        <w:rPr>
          <w:rFonts w:hint="cs"/>
          <w:rtl/>
        </w:rPr>
        <w:t xml:space="preserve"> </w:t>
      </w:r>
      <w:r w:rsidRPr="00A52585">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Pr="00A52585">
        <w:rPr>
          <w:rFonts w:hint="cs"/>
          <w:rtl/>
        </w:rPr>
        <w:t>يرضاه</w:t>
      </w:r>
      <w:proofErr w:type="spellEnd"/>
      <w:r w:rsidRPr="00A52585">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w:t>
      </w:r>
      <w:r w:rsidRPr="00A52585">
        <w:rPr>
          <w:rFonts w:hint="cs"/>
          <w:rtl/>
        </w:rPr>
        <w:lastRenderedPageBreak/>
        <w:t>ما نعرف يفيد أنه ليس الجلوس المعروف المستلزم للجسمية والتحيز فكأنهم يقولون إنه مستو غير مستو ومستقر فوق</w:t>
      </w:r>
      <w:r w:rsidR="0002035C" w:rsidRPr="00A52585">
        <w:rPr>
          <w:rFonts w:hint="cs"/>
          <w:rtl/>
        </w:rPr>
        <w:t xml:space="preserve"> </w:t>
      </w:r>
      <w:r w:rsidRPr="00A52585">
        <w:rPr>
          <w:rFonts w:hint="cs"/>
          <w:rtl/>
        </w:rPr>
        <w:t>العرش</w:t>
      </w:r>
      <w:r w:rsidR="0002035C" w:rsidRPr="00A52585">
        <w:rPr>
          <w:rFonts w:hint="cs"/>
          <w:rtl/>
        </w:rPr>
        <w:t xml:space="preserve"> </w:t>
      </w:r>
      <w:r w:rsidRPr="00A52585">
        <w:rPr>
          <w:rFonts w:hint="cs"/>
          <w:rtl/>
        </w:rPr>
        <w:t>غير مستقر أو متحيز غير متحيز وجسم غير جسم أو أن الاستواء على</w:t>
      </w:r>
      <w:r w:rsidR="0002035C" w:rsidRPr="00A52585">
        <w:rPr>
          <w:rFonts w:hint="cs"/>
          <w:rtl/>
        </w:rPr>
        <w:t xml:space="preserve"> </w:t>
      </w:r>
      <w:r w:rsidRPr="00A52585">
        <w:rPr>
          <w:rFonts w:hint="cs"/>
          <w:rtl/>
        </w:rPr>
        <w:t>العرش</w:t>
      </w:r>
      <w:r w:rsidR="0002035C" w:rsidRPr="00A52585">
        <w:rPr>
          <w:rFonts w:hint="cs"/>
          <w:rtl/>
        </w:rPr>
        <w:t xml:space="preserve"> </w:t>
      </w:r>
      <w:r w:rsidRPr="00A52585">
        <w:rPr>
          <w:rFonts w:hint="cs"/>
          <w:rtl/>
        </w:rPr>
        <w:t>ليس هو الاستواء على</w:t>
      </w:r>
      <w:r w:rsidR="0002035C" w:rsidRPr="00A52585">
        <w:rPr>
          <w:rFonts w:hint="cs"/>
          <w:rtl/>
        </w:rPr>
        <w:t xml:space="preserve"> </w:t>
      </w:r>
      <w:r w:rsidRPr="00A52585">
        <w:rPr>
          <w:rFonts w:hint="cs"/>
          <w:rtl/>
        </w:rPr>
        <w:t>العرش</w:t>
      </w:r>
      <w:r w:rsidR="0002035C" w:rsidRPr="00A52585">
        <w:rPr>
          <w:rFonts w:hint="cs"/>
          <w:rtl/>
        </w:rPr>
        <w:t xml:space="preserve"> </w:t>
      </w:r>
      <w:r w:rsidRPr="00A52585">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Pr="00A52585">
        <w:rPr>
          <w:rFonts w:hint="cs"/>
          <w:rtl/>
        </w:rPr>
        <w:t>يواجهونهم</w:t>
      </w:r>
      <w:proofErr w:type="spellEnd"/>
      <w:r w:rsidRPr="00A52585">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Pr="00A52585">
        <w:rPr>
          <w:rFonts w:hint="cs"/>
          <w:rtl/>
        </w:rPr>
        <w:t>صبيغ</w:t>
      </w:r>
      <w:proofErr w:type="spellEnd"/>
      <w:r w:rsidRPr="00A52585">
        <w:rPr>
          <w:rFonts w:hint="cs"/>
          <w:rtl/>
        </w:rPr>
        <w:t xml:space="preserve"> وجعل مالكا يقول ما يقول ويفعل ما يفعل بالذي سأله عن الاستواء وقد مر بك هذا وذاك</w:t>
      </w:r>
      <w:r w:rsidR="00DB731D" w:rsidRPr="00A52585">
        <w:rPr>
          <w:rFonts w:hint="cs"/>
          <w:rtl/>
        </w:rPr>
        <w:t>،</w:t>
      </w:r>
      <w:r w:rsidRPr="00A52585">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Pr="00A52585">
        <w:rPr>
          <w:rFonts w:hint="cs"/>
          <w:rtl/>
        </w:rPr>
        <w:t>ويرضاه</w:t>
      </w:r>
      <w:proofErr w:type="spellEnd"/>
      <w:r w:rsidRPr="00A52585">
        <w:rPr>
          <w:rFonts w:hint="cs"/>
          <w:rtl/>
        </w:rPr>
        <w:t xml:space="preserve"> " أ هـ</w:t>
      </w:r>
    </w:p>
    <w:p w14:paraId="27DD02A0" w14:textId="567D531B" w:rsidR="00777DCB" w:rsidRPr="00A52585" w:rsidRDefault="00777DCB" w:rsidP="0002035C">
      <w:pPr>
        <w:rPr>
          <w:rtl/>
        </w:rPr>
      </w:pPr>
      <w:r w:rsidRPr="00A52585">
        <w:rPr>
          <w:rFonts w:hint="cs"/>
          <w:bCs/>
          <w:rtl/>
        </w:rPr>
        <w:t>ثانياً</w:t>
      </w:r>
      <w:r w:rsidR="0002035C" w:rsidRPr="00A52585">
        <w:rPr>
          <w:rFonts w:hint="cs"/>
          <w:bCs/>
          <w:rtl/>
        </w:rPr>
        <w:t>:</w:t>
      </w:r>
      <w:r w:rsidRPr="00A52585">
        <w:rPr>
          <w:rFonts w:hint="cs"/>
          <w:bCs/>
          <w:rtl/>
        </w:rPr>
        <w:t xml:space="preserve"> قول الشيخ عبد الله بن عبد الرحمن المكي الهاشمي </w:t>
      </w:r>
      <w:r w:rsidRPr="00A52585">
        <w:rPr>
          <w:rFonts w:hint="cs"/>
          <w:rtl/>
        </w:rPr>
        <w:t>رحمه الله</w:t>
      </w:r>
      <w:r w:rsidR="0002035C" w:rsidRPr="00A52585">
        <w:rPr>
          <w:rFonts w:hint="cs"/>
          <w:rtl/>
        </w:rPr>
        <w:t>:</w:t>
      </w:r>
      <w:r w:rsidRPr="00A52585">
        <w:rPr>
          <w:rFonts w:hint="cs"/>
          <w:rtl/>
        </w:rPr>
        <w:t xml:space="preserve"> في كتابه السلفية المعاصرة مناقشات </w:t>
      </w:r>
      <w:proofErr w:type="gramStart"/>
      <w:r w:rsidRPr="00A52585">
        <w:rPr>
          <w:rFonts w:hint="cs"/>
          <w:rtl/>
        </w:rPr>
        <w:t>وردود</w:t>
      </w:r>
      <w:r w:rsidR="0002035C" w:rsidRPr="00A52585">
        <w:rPr>
          <w:rFonts w:hint="cs"/>
          <w:rtl/>
        </w:rPr>
        <w:t>:[</w:t>
      </w:r>
      <w:proofErr w:type="gramEnd"/>
      <w:r w:rsidRPr="00A52585">
        <w:rPr>
          <w:rFonts w:hint="cs"/>
          <w:rtl/>
        </w:rPr>
        <w:t>ص</w:t>
      </w:r>
      <w:r w:rsidR="0002035C" w:rsidRPr="00A52585">
        <w:rPr>
          <w:rFonts w:hint="cs"/>
          <w:rtl/>
        </w:rPr>
        <w:t>:</w:t>
      </w:r>
      <w:r w:rsidRPr="00A52585">
        <w:rPr>
          <w:rFonts w:hint="cs"/>
          <w:rtl/>
        </w:rPr>
        <w:t xml:space="preserve"> 203</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ونورد هنا بعض ما ورد من المتشابهة ورده إلى المحكم مأخوذا من أقوال العلماء</w:t>
      </w:r>
      <w:r w:rsidR="0002035C" w:rsidRPr="00A52585">
        <w:rPr>
          <w:rFonts w:hint="cs"/>
          <w:rtl/>
        </w:rPr>
        <w:t>:</w:t>
      </w:r>
      <w:r w:rsidRPr="00A52585">
        <w:rPr>
          <w:rFonts w:hint="cs"/>
          <w:rtl/>
        </w:rPr>
        <w:t xml:space="preserve"> </w:t>
      </w:r>
      <w:r w:rsidR="0002035C" w:rsidRPr="00A52585">
        <w:rPr>
          <w:rFonts w:hint="cs"/>
          <w:bCs/>
          <w:rtl/>
        </w:rPr>
        <w:t>(</w:t>
      </w:r>
      <w:r w:rsidRPr="00A52585">
        <w:rPr>
          <w:rFonts w:hint="cs"/>
          <w:bCs/>
          <w:rtl/>
        </w:rPr>
        <w:t>1</w:t>
      </w:r>
      <w:r w:rsidR="0002035C" w:rsidRPr="00A52585">
        <w:rPr>
          <w:rFonts w:hint="cs"/>
          <w:bCs/>
          <w:rtl/>
        </w:rPr>
        <w:t>)</w:t>
      </w:r>
      <w:r w:rsidRPr="00A52585">
        <w:rPr>
          <w:rFonts w:hint="cs"/>
          <w:bCs/>
          <w:rtl/>
        </w:rPr>
        <w:t xml:space="preserve"> الرحمن على العرش استوى</w:t>
      </w:r>
      <w:r w:rsidR="0002035C" w:rsidRPr="00A52585">
        <w:rPr>
          <w:rFonts w:hint="cs"/>
          <w:bCs/>
          <w:rtl/>
        </w:rPr>
        <w:t>:</w:t>
      </w:r>
      <w:r w:rsidRPr="00A52585">
        <w:rPr>
          <w:rFonts w:hint="cs"/>
          <w:bCs/>
          <w:rtl/>
        </w:rPr>
        <w:t xml:space="preserve"> </w:t>
      </w:r>
      <w:r w:rsidRPr="00A52585">
        <w:rPr>
          <w:rFonts w:hint="cs"/>
          <w:rtl/>
        </w:rPr>
        <w:t xml:space="preserve">قال العلامة الشيخ سلامة </w:t>
      </w:r>
      <w:proofErr w:type="spellStart"/>
      <w:r w:rsidRPr="00A52585">
        <w:rPr>
          <w:rFonts w:hint="cs"/>
          <w:rtl/>
        </w:rPr>
        <w:t>العزامي</w:t>
      </w:r>
      <w:proofErr w:type="spellEnd"/>
      <w:r w:rsidRPr="00A52585">
        <w:rPr>
          <w:rFonts w:hint="cs"/>
          <w:rtl/>
        </w:rPr>
        <w:t xml:space="preserve"> المتوفي سنة 1376في كتابه "البراهين الساطعة " ما مضمونه</w:t>
      </w:r>
      <w:r w:rsidR="0002035C" w:rsidRPr="00A52585">
        <w:rPr>
          <w:rFonts w:hint="cs"/>
          <w:rtl/>
        </w:rPr>
        <w:t>:</w:t>
      </w:r>
      <w:r w:rsidRPr="00A52585">
        <w:rPr>
          <w:rFonts w:hint="cs"/>
          <w:rtl/>
        </w:rPr>
        <w:t xml:space="preserve"> أجاب مالك لما سئل عن الاستواء بقوله</w:t>
      </w:r>
      <w:r w:rsidR="0002035C" w:rsidRPr="00A52585">
        <w:rPr>
          <w:rFonts w:hint="cs"/>
          <w:rtl/>
        </w:rPr>
        <w:t>:</w:t>
      </w:r>
      <w:r w:rsidRPr="00A52585">
        <w:rPr>
          <w:rFonts w:hint="cs"/>
          <w:rtl/>
        </w:rPr>
        <w:t xml:space="preserve">" الاستواء معلوم والكيف غير معقول ". فأنت ترى أنه لو يفسر الاستواء بجلوس </w:t>
      </w:r>
      <w:proofErr w:type="spellStart"/>
      <w:proofErr w:type="gramStart"/>
      <w:r w:rsidRPr="00A52585">
        <w:rPr>
          <w:rFonts w:hint="cs"/>
          <w:rtl/>
        </w:rPr>
        <w:t>أواستقرار</w:t>
      </w:r>
      <w:proofErr w:type="spellEnd"/>
      <w:r w:rsidRPr="00A52585">
        <w:rPr>
          <w:rFonts w:hint="cs"/>
          <w:rtl/>
        </w:rPr>
        <w:t xml:space="preserve"> ,</w:t>
      </w:r>
      <w:proofErr w:type="gramEnd"/>
      <w:r w:rsidRPr="00A52585">
        <w:rPr>
          <w:rFonts w:hint="cs"/>
          <w:rtl/>
        </w:rPr>
        <w:t xml:space="preserve">بل أحاط السائل علما بأن الاستواء معلومة معانيه في لغة العرب , فنهج بذلك منهج السلف في عدم تعيين المراد من تلك المعاني ,واعتبار أن تفسيره هو قراءته كما </w:t>
      </w:r>
      <w:proofErr w:type="spellStart"/>
      <w:r w:rsidRPr="00A52585">
        <w:rPr>
          <w:rFonts w:hint="cs"/>
          <w:rtl/>
        </w:rPr>
        <w:t>ورد</w:t>
      </w:r>
      <w:r w:rsidR="00897A24" w:rsidRPr="00A52585">
        <w:rPr>
          <w:rFonts w:hint="cs"/>
          <w:rtl/>
        </w:rPr>
        <w:t>.</w:t>
      </w:r>
      <w:r w:rsidRPr="00A52585">
        <w:rPr>
          <w:rFonts w:hint="cs"/>
          <w:rtl/>
        </w:rPr>
        <w:t>وفي</w:t>
      </w:r>
      <w:proofErr w:type="spellEnd"/>
      <w:r w:rsidRPr="00A52585">
        <w:rPr>
          <w:rFonts w:hint="cs"/>
          <w:rtl/>
        </w:rPr>
        <w:t xml:space="preserve"> قوله</w:t>
      </w:r>
      <w:r w:rsidR="0002035C" w:rsidRPr="00A52585">
        <w:rPr>
          <w:rFonts w:hint="cs"/>
          <w:rtl/>
        </w:rPr>
        <w:t>:</w:t>
      </w:r>
      <w:r w:rsidRPr="00A52585">
        <w:rPr>
          <w:rFonts w:hint="cs"/>
          <w:rtl/>
        </w:rPr>
        <w:t xml:space="preserve">" والكيف غير معقول " إشارة إلى التنزيه عن </w:t>
      </w:r>
      <w:r w:rsidRPr="00A52585">
        <w:rPr>
          <w:rFonts w:hint="cs"/>
          <w:rtl/>
        </w:rPr>
        <w:lastRenderedPageBreak/>
        <w:t xml:space="preserve">توهم أن المراد معنى ينطبق على صفات المخلوقين ,وأن من عرف ما يراد بالاستواء في حق الله </w:t>
      </w:r>
      <w:proofErr w:type="spellStart"/>
      <w:r w:rsidRPr="00A52585">
        <w:rPr>
          <w:rFonts w:hint="cs"/>
          <w:rtl/>
        </w:rPr>
        <w:t>لايجد</w:t>
      </w:r>
      <w:proofErr w:type="spellEnd"/>
      <w:r w:rsidRPr="00A52585">
        <w:rPr>
          <w:rFonts w:hint="cs"/>
          <w:rtl/>
        </w:rPr>
        <w:t xml:space="preserve"> محلا للكيف أو السؤال لا أن المراد أنه استقرار أو جلوس لا نعلم كيفيته</w:t>
      </w:r>
      <w:r w:rsidR="00897A24" w:rsidRPr="00A52585">
        <w:rPr>
          <w:rFonts w:hint="cs"/>
          <w:rtl/>
        </w:rPr>
        <w:t>.</w:t>
      </w:r>
    </w:p>
    <w:p w14:paraId="64BA8319" w14:textId="11809250" w:rsidR="00777DCB" w:rsidRPr="00A52585" w:rsidRDefault="00777DCB" w:rsidP="0002035C">
      <w:pPr>
        <w:rPr>
          <w:rtl/>
        </w:rPr>
      </w:pPr>
      <w:r w:rsidRPr="00A52585">
        <w:rPr>
          <w:rFonts w:hint="cs"/>
          <w:rtl/>
        </w:rPr>
        <w:t xml:space="preserve">ثم إنه لو </w:t>
      </w:r>
      <w:proofErr w:type="spellStart"/>
      <w:r w:rsidRPr="00A52585">
        <w:rPr>
          <w:rFonts w:hint="cs"/>
          <w:rtl/>
        </w:rPr>
        <w:t>قيل</w:t>
      </w:r>
      <w:r w:rsidR="0002035C" w:rsidRPr="00A52585">
        <w:rPr>
          <w:rFonts w:hint="cs"/>
          <w:rtl/>
        </w:rPr>
        <w:t>:</w:t>
      </w:r>
      <w:r w:rsidRPr="00A52585">
        <w:rPr>
          <w:rFonts w:hint="cs"/>
          <w:rtl/>
        </w:rPr>
        <w:t>استوى</w:t>
      </w:r>
      <w:proofErr w:type="spellEnd"/>
      <w:r w:rsidRPr="00A52585">
        <w:rPr>
          <w:rFonts w:hint="cs"/>
          <w:rtl/>
        </w:rPr>
        <w:t xml:space="preserve"> على العرش المملكة ,فمعناه تولى ملكها </w:t>
      </w:r>
      <w:proofErr w:type="spellStart"/>
      <w:r w:rsidRPr="00A52585">
        <w:rPr>
          <w:rFonts w:hint="cs"/>
          <w:rtl/>
        </w:rPr>
        <w:t>أوقيل</w:t>
      </w:r>
      <w:r w:rsidR="0002035C" w:rsidRPr="00A52585">
        <w:rPr>
          <w:rFonts w:hint="cs"/>
          <w:rtl/>
        </w:rPr>
        <w:t>:</w:t>
      </w:r>
      <w:r w:rsidRPr="00A52585">
        <w:rPr>
          <w:rFonts w:hint="cs"/>
          <w:rtl/>
        </w:rPr>
        <w:t>ثل</w:t>
      </w:r>
      <w:proofErr w:type="spellEnd"/>
      <w:r w:rsidRPr="00A52585">
        <w:rPr>
          <w:rFonts w:hint="cs"/>
          <w:rtl/>
        </w:rPr>
        <w:t xml:space="preserve"> عرشه فمعناه زال عنه الملك ,وفي الحالتين </w:t>
      </w:r>
      <w:proofErr w:type="spellStart"/>
      <w:r w:rsidRPr="00A52585">
        <w:rPr>
          <w:rFonts w:hint="cs"/>
          <w:rtl/>
        </w:rPr>
        <w:t>لايخطر</w:t>
      </w:r>
      <w:proofErr w:type="spellEnd"/>
      <w:r w:rsidRPr="00A52585">
        <w:rPr>
          <w:rFonts w:hint="cs"/>
          <w:rtl/>
        </w:rPr>
        <w:t xml:space="preserve"> بالبال قعود على العرش </w:t>
      </w:r>
      <w:proofErr w:type="spellStart"/>
      <w:r w:rsidRPr="00A52585">
        <w:rPr>
          <w:rFonts w:hint="cs"/>
          <w:rtl/>
        </w:rPr>
        <w:t>أوقيام</w:t>
      </w:r>
      <w:proofErr w:type="spellEnd"/>
      <w:r w:rsidRPr="00A52585">
        <w:rPr>
          <w:rFonts w:hint="cs"/>
          <w:rtl/>
        </w:rPr>
        <w:t xml:space="preserve"> عنه ,بل يسبق إلى الفهم المعنى المراد بهذا التركيب وهو أنه تولى الملك ولو لم يكن له عرش</w:t>
      </w:r>
      <w:r w:rsidR="00DB731D" w:rsidRPr="00A52585">
        <w:rPr>
          <w:rFonts w:hint="cs"/>
          <w:rtl/>
        </w:rPr>
        <w:t>،</w:t>
      </w:r>
      <w:r w:rsidRPr="00A52585">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w:t>
      </w:r>
      <w:proofErr w:type="spellStart"/>
      <w:r w:rsidRPr="00A52585">
        <w:rPr>
          <w:rFonts w:hint="cs"/>
          <w:rtl/>
        </w:rPr>
        <w:t>الملك</w:t>
      </w:r>
      <w:r w:rsidR="00897A24" w:rsidRPr="00A52585">
        <w:rPr>
          <w:rFonts w:hint="cs"/>
          <w:rtl/>
        </w:rPr>
        <w:t>.</w:t>
      </w:r>
      <w:r w:rsidRPr="00A52585">
        <w:rPr>
          <w:rFonts w:hint="cs"/>
          <w:rtl/>
        </w:rPr>
        <w:t>فهدم</w:t>
      </w:r>
      <w:proofErr w:type="spellEnd"/>
      <w:r w:rsidRPr="00A52585">
        <w:rPr>
          <w:rFonts w:hint="cs"/>
          <w:rtl/>
        </w:rPr>
        <w:t xml:space="preserve"> الله تعالى ذلك الاعتقاد بقوله</w:t>
      </w:r>
      <w:r w:rsidR="0002035C" w:rsidRPr="00A52585">
        <w:rPr>
          <w:rFonts w:hint="cs"/>
          <w:rtl/>
        </w:rPr>
        <w:t>:</w:t>
      </w:r>
      <w:r w:rsidRPr="00A52585">
        <w:rPr>
          <w:rFonts w:hint="cs"/>
          <w:rtl/>
        </w:rPr>
        <w:t xml:space="preserve">" إن ربكم الله الذي خلق السموات والأرض </w:t>
      </w:r>
      <w:proofErr w:type="spellStart"/>
      <w:r w:rsidRPr="00A52585">
        <w:rPr>
          <w:rFonts w:hint="cs"/>
          <w:rtl/>
        </w:rPr>
        <w:t>فى</w:t>
      </w:r>
      <w:proofErr w:type="spellEnd"/>
      <w:r w:rsidRPr="00A52585">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sidR="0002035C" w:rsidRPr="00A52585">
        <w:rPr>
          <w:rFonts w:hint="cs"/>
          <w:rtl/>
        </w:rPr>
        <w:t>:</w:t>
      </w:r>
      <w:r w:rsidRPr="00A52585">
        <w:rPr>
          <w:rFonts w:hint="cs"/>
          <w:rtl/>
        </w:rPr>
        <w:t xml:space="preserve">" ألا له الخلق والأمر " والمعنى أن الخلق له لا لسواه وأن الأمر له لا </w:t>
      </w:r>
      <w:proofErr w:type="spellStart"/>
      <w:r w:rsidRPr="00A52585">
        <w:rPr>
          <w:rFonts w:hint="cs"/>
          <w:rtl/>
        </w:rPr>
        <w:t>لغيره</w:t>
      </w:r>
      <w:r w:rsidR="00897A24" w:rsidRPr="00A52585">
        <w:rPr>
          <w:rFonts w:hint="cs"/>
          <w:rtl/>
        </w:rPr>
        <w:t>.</w:t>
      </w:r>
      <w:r w:rsidRPr="00A52585">
        <w:rPr>
          <w:rFonts w:hint="cs"/>
          <w:rtl/>
        </w:rPr>
        <w:t>والأمر</w:t>
      </w:r>
      <w:proofErr w:type="spellEnd"/>
      <w:r w:rsidRPr="00A52585">
        <w:rPr>
          <w:rFonts w:hint="cs"/>
          <w:rtl/>
        </w:rPr>
        <w:t xml:space="preserve"> من لوازم الملك فحاصل الكلام أن ربكم هو الخالق لا خالق سواه ,وهو الملك المنفرد بالملك لا ملك سواه</w:t>
      </w:r>
      <w:r w:rsidR="00DB731D" w:rsidRPr="00A52585">
        <w:rPr>
          <w:rFonts w:hint="cs"/>
          <w:rtl/>
        </w:rPr>
        <w:t>،</w:t>
      </w:r>
      <w:r w:rsidRPr="00A52585">
        <w:rPr>
          <w:rFonts w:hint="cs"/>
          <w:rtl/>
        </w:rPr>
        <w:t xml:space="preserve"> ومن الواضح ان الملك الذي هو التصرف من الملك في الأشياء إنما هو بعد إيجادها على ما شاء لها من أقدار وأشكال وصفات</w:t>
      </w:r>
      <w:r w:rsidR="00DB731D" w:rsidRPr="00A52585">
        <w:rPr>
          <w:rFonts w:hint="cs"/>
          <w:rtl/>
        </w:rPr>
        <w:t>،</w:t>
      </w:r>
      <w:r w:rsidRPr="00A52585">
        <w:rPr>
          <w:rFonts w:hint="cs"/>
          <w:rtl/>
        </w:rPr>
        <w:t xml:space="preserve"> وترى القرآن في كل المواضع التي ذكر فيها الاستواء على العرض ما ذكره إلا بعد ذكر خلقه للعوالم أو رفعه السموات بغير </w:t>
      </w:r>
      <w:proofErr w:type="spellStart"/>
      <w:r w:rsidRPr="00A52585">
        <w:rPr>
          <w:rFonts w:hint="cs"/>
          <w:rtl/>
        </w:rPr>
        <w:t>عمد</w:t>
      </w:r>
      <w:r w:rsidR="00897A24" w:rsidRPr="00A52585">
        <w:rPr>
          <w:rFonts w:hint="cs"/>
          <w:rtl/>
        </w:rPr>
        <w:t>.</w:t>
      </w:r>
      <w:r w:rsidRPr="00A52585">
        <w:rPr>
          <w:rFonts w:hint="cs"/>
          <w:rtl/>
        </w:rPr>
        <w:t>والقرآن</w:t>
      </w:r>
      <w:proofErr w:type="spellEnd"/>
      <w:r w:rsidRPr="00A52585">
        <w:rPr>
          <w:rFonts w:hint="cs"/>
          <w:rtl/>
        </w:rPr>
        <w:t xml:space="preserve">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DB731D" w:rsidRPr="00A52585">
        <w:rPr>
          <w:rFonts w:hint="cs"/>
          <w:rtl/>
        </w:rPr>
        <w:t>،</w:t>
      </w:r>
      <w:r w:rsidRPr="00A52585">
        <w:rPr>
          <w:rFonts w:hint="cs"/>
          <w:rtl/>
        </w:rPr>
        <w:t xml:space="preserve"> </w:t>
      </w:r>
      <w:r w:rsidRPr="00A52585">
        <w:rPr>
          <w:rFonts w:hint="cs"/>
          <w:bCs/>
          <w:rtl/>
        </w:rPr>
        <w:t>فمن أين لهم</w:t>
      </w:r>
      <w:r w:rsidR="0002035C" w:rsidRPr="00A52585">
        <w:rPr>
          <w:rFonts w:hint="cs"/>
          <w:rtl/>
        </w:rPr>
        <w:t>:</w:t>
      </w:r>
      <w:r w:rsidRPr="00A52585">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02035C" w:rsidRPr="00A52585">
        <w:rPr>
          <w:rFonts w:hint="cs"/>
          <w:rtl/>
        </w:rPr>
        <w:t>:</w:t>
      </w:r>
      <w:r w:rsidRPr="00A52585">
        <w:rPr>
          <w:rFonts w:hint="cs"/>
          <w:rtl/>
        </w:rPr>
        <w:t xml:space="preserve"> أن من هو على ظهر الجبل أقرب إلى الله ممن هو في أسفله ,وكيف يمكن أن ينسب ذلك إلى كتاب الله الذي يقول</w:t>
      </w:r>
      <w:r w:rsidR="0002035C" w:rsidRPr="00A52585">
        <w:rPr>
          <w:rFonts w:hint="cs"/>
          <w:rtl/>
        </w:rPr>
        <w:t>:</w:t>
      </w:r>
      <w:r w:rsidRPr="00A52585">
        <w:rPr>
          <w:rFonts w:hint="cs"/>
          <w:rtl/>
        </w:rPr>
        <w:t>" واسجد واقترب " والذي يقول رسول الله صلى الله عليه وسلم</w:t>
      </w:r>
      <w:r w:rsidR="0002035C" w:rsidRPr="00A52585">
        <w:rPr>
          <w:rFonts w:hint="cs"/>
          <w:rtl/>
        </w:rPr>
        <w:t>:</w:t>
      </w:r>
      <w:r w:rsidRPr="00A52585">
        <w:rPr>
          <w:rFonts w:hint="cs"/>
          <w:rtl/>
        </w:rPr>
        <w:t xml:space="preserve">" أقرب ما يكون العبد من ربه </w:t>
      </w:r>
      <w:proofErr w:type="spellStart"/>
      <w:r w:rsidRPr="00A52585">
        <w:rPr>
          <w:rFonts w:hint="cs"/>
          <w:rtl/>
        </w:rPr>
        <w:t>وهوساجد</w:t>
      </w:r>
      <w:proofErr w:type="spellEnd"/>
      <w:r w:rsidRPr="00A52585">
        <w:rPr>
          <w:rFonts w:hint="cs"/>
          <w:rtl/>
        </w:rPr>
        <w:t xml:space="preserve"> "</w:t>
      </w:r>
      <w:r w:rsidR="00897A24" w:rsidRPr="00A52585">
        <w:rPr>
          <w:rFonts w:hint="cs"/>
          <w:rtl/>
        </w:rPr>
        <w:t>.</w:t>
      </w:r>
      <w:r w:rsidRPr="00A52585">
        <w:rPr>
          <w:rFonts w:hint="cs"/>
          <w:rtl/>
        </w:rPr>
        <w:t>والله تعالى يقول</w:t>
      </w:r>
      <w:r w:rsidR="0002035C" w:rsidRPr="00A52585">
        <w:rPr>
          <w:rFonts w:hint="cs"/>
          <w:rtl/>
        </w:rPr>
        <w:t>:</w:t>
      </w:r>
      <w:r w:rsidRPr="00A52585">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02035C" w:rsidRPr="00A52585">
        <w:rPr>
          <w:rFonts w:hint="cs"/>
          <w:rtl/>
        </w:rPr>
        <w:t>:</w:t>
      </w:r>
      <w:r w:rsidRPr="00A52585">
        <w:rPr>
          <w:rFonts w:hint="cs"/>
          <w:rtl/>
        </w:rPr>
        <w:t>" ثم استوى على العرش " فقد أتى من قبل قلبه الأعمى وفهمه البليد</w:t>
      </w:r>
      <w:r w:rsidR="00DB731D" w:rsidRPr="00A52585">
        <w:rPr>
          <w:rFonts w:hint="cs"/>
          <w:rtl/>
        </w:rPr>
        <w:t>،</w:t>
      </w:r>
      <w:r w:rsidRPr="00A52585">
        <w:rPr>
          <w:rFonts w:hint="cs"/>
          <w:rtl/>
        </w:rPr>
        <w:t xml:space="preserve"> وفي المصباح في مادة سوى:" واستوى على سرير الملك كناية عن الملك وإن لم يجلس عليه ". </w:t>
      </w:r>
      <w:proofErr w:type="spellStart"/>
      <w:r w:rsidRPr="00A52585">
        <w:rPr>
          <w:rFonts w:hint="cs"/>
          <w:rtl/>
        </w:rPr>
        <w:t>قال</w:t>
      </w:r>
      <w:r w:rsidR="0002035C" w:rsidRPr="00A52585">
        <w:rPr>
          <w:rFonts w:hint="cs"/>
          <w:rtl/>
        </w:rPr>
        <w:t>:</w:t>
      </w:r>
      <w:r w:rsidRPr="00A52585">
        <w:rPr>
          <w:rFonts w:hint="cs"/>
          <w:rtl/>
        </w:rPr>
        <w:t>وآية</w:t>
      </w:r>
      <w:proofErr w:type="spellEnd"/>
      <w:r w:rsidRPr="00A52585">
        <w:rPr>
          <w:rFonts w:hint="cs"/>
          <w:rtl/>
        </w:rPr>
        <w:t xml:space="preserve"> الاستواء هي عمدة ما أثبتوا به الجهة لله </w:t>
      </w:r>
      <w:r w:rsidRPr="00A52585">
        <w:rPr>
          <w:rFonts w:hint="cs"/>
          <w:rtl/>
        </w:rPr>
        <w:lastRenderedPageBreak/>
        <w:t xml:space="preserve">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 </w:t>
      </w:r>
    </w:p>
    <w:p w14:paraId="62444127" w14:textId="6761C09D" w:rsidR="00777DCB" w:rsidRPr="00A52585" w:rsidRDefault="00777DCB" w:rsidP="0002035C">
      <w:pPr>
        <w:rPr>
          <w:b/>
          <w:bCs/>
          <w:rtl/>
        </w:rPr>
      </w:pPr>
      <w:r w:rsidRPr="00A52585">
        <w:rPr>
          <w:rFonts w:hint="cs"/>
          <w:bCs/>
          <w:rtl/>
        </w:rPr>
        <w:t>أقوال الأئمة العلماء في الاستواء</w:t>
      </w:r>
      <w:r w:rsidR="0002035C" w:rsidRPr="00A52585">
        <w:rPr>
          <w:rFonts w:hint="cs"/>
          <w:bCs/>
          <w:rtl/>
        </w:rPr>
        <w:t>:</w:t>
      </w:r>
      <w:r w:rsidRPr="00A52585">
        <w:rPr>
          <w:rFonts w:hint="cs"/>
          <w:bCs/>
          <w:rtl/>
        </w:rPr>
        <w:t xml:space="preserve"> </w:t>
      </w:r>
    </w:p>
    <w:p w14:paraId="6F8464A9" w14:textId="10821240" w:rsidR="00777DCB" w:rsidRPr="00A52585" w:rsidRDefault="00777DCB" w:rsidP="0002035C">
      <w:pPr>
        <w:pStyle w:val="ab"/>
        <w:spacing w:after="240" w:line="276" w:lineRule="auto"/>
        <w:jc w:val="both"/>
        <w:rPr>
          <w:rFonts w:ascii="Traditional Arabic" w:hAnsi="Traditional Arabic"/>
          <w:b/>
          <w:bCs/>
          <w:sz w:val="32"/>
          <w:rtl/>
        </w:rPr>
      </w:pPr>
      <w:r w:rsidRPr="00A52585">
        <w:rPr>
          <w:rFonts w:ascii="Traditional Arabic" w:hAnsi="Traditional Arabic"/>
          <w:b/>
          <w:bCs/>
          <w:sz w:val="32"/>
          <w:rtl/>
        </w:rPr>
        <w:t>قال بن كثير في تفسيره</w:t>
      </w:r>
      <w:r w:rsidR="0002035C" w:rsidRPr="00A52585">
        <w:rPr>
          <w:rFonts w:ascii="Traditional Arabic" w:hAnsi="Traditional Arabic"/>
          <w:b/>
          <w:bCs/>
          <w:sz w:val="32"/>
          <w:rtl/>
        </w:rPr>
        <w:t>:</w:t>
      </w:r>
      <w:r w:rsidRPr="00A52585">
        <w:rPr>
          <w:rFonts w:ascii="Traditional Arabic" w:hAnsi="Traditional Arabic"/>
          <w:b/>
          <w:bCs/>
          <w:sz w:val="32"/>
          <w:rtl/>
        </w:rPr>
        <w:t xml:space="preserve"> </w:t>
      </w:r>
      <w:r w:rsidR="0002035C" w:rsidRPr="00A52585">
        <w:rPr>
          <w:rFonts w:ascii="Traditional Arabic" w:hAnsi="Traditional Arabic"/>
          <w:b/>
          <w:bCs/>
          <w:sz w:val="32"/>
          <w:rtl/>
        </w:rPr>
        <w:t>(</w:t>
      </w:r>
      <w:r w:rsidRPr="00A52585">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Pr="00A52585">
        <w:rPr>
          <w:rFonts w:ascii="Traditional Arabic" w:hAnsi="Traditional Arabic"/>
          <w:b/>
          <w:bCs/>
          <w:sz w:val="32"/>
          <w:u w:val="single"/>
          <w:rtl/>
        </w:rPr>
        <w:t xml:space="preserve">والظاهر المتبادر إلى أذهان المشبهين منفي عن الله فإن الله لا يشبهه شيء من خلقه و"ليس كمثله شيء وهو السميع البصير </w:t>
      </w:r>
      <w:r w:rsidRPr="00A52585">
        <w:rPr>
          <w:rFonts w:ascii="Traditional Arabic" w:hAnsi="Traditional Arabic"/>
          <w:sz w:val="32"/>
          <w:rtl/>
        </w:rPr>
        <w:t>"</w:t>
      </w:r>
      <w:r w:rsidR="0002035C" w:rsidRPr="00A52585">
        <w:rPr>
          <w:rFonts w:ascii="Traditional Arabic" w:hAnsi="Traditional Arabic"/>
          <w:sz w:val="32"/>
          <w:rtl/>
        </w:rPr>
        <w:t>[</w:t>
      </w:r>
      <w:r w:rsidRPr="00A52585">
        <w:rPr>
          <w:rFonts w:ascii="Traditional Arabic" w:hAnsi="Traditional Arabic"/>
          <w:sz w:val="32"/>
          <w:rtl/>
        </w:rPr>
        <w:t xml:space="preserve">تفسير بن كثير </w:t>
      </w:r>
      <w:r w:rsidR="0002035C" w:rsidRPr="00A52585">
        <w:rPr>
          <w:rFonts w:ascii="Traditional Arabic" w:hAnsi="Traditional Arabic"/>
          <w:sz w:val="32"/>
          <w:rtl/>
        </w:rPr>
        <w:t>[</w:t>
      </w:r>
      <w:r w:rsidRPr="00A52585">
        <w:rPr>
          <w:rFonts w:ascii="Traditional Arabic" w:hAnsi="Traditional Arabic"/>
          <w:sz w:val="32"/>
          <w:rtl/>
        </w:rPr>
        <w:t>الاعراف:54</w:t>
      </w:r>
      <w:r w:rsidR="0002035C" w:rsidRPr="00A52585">
        <w:rPr>
          <w:rFonts w:ascii="Traditional Arabic" w:hAnsi="Traditional Arabic"/>
          <w:sz w:val="32"/>
          <w:rtl/>
        </w:rPr>
        <w:t>]</w:t>
      </w:r>
      <w:r w:rsidRPr="00A52585">
        <w:rPr>
          <w:rFonts w:ascii="Traditional Arabic" w:hAnsi="Traditional Arabic"/>
          <w:sz w:val="32"/>
          <w:rtl/>
        </w:rPr>
        <w:t>] أهـ</w:t>
      </w:r>
      <w:r w:rsidR="00DB731D" w:rsidRPr="00A52585">
        <w:rPr>
          <w:rFonts w:ascii="Traditional Arabic" w:hAnsi="Traditional Arabic"/>
          <w:sz w:val="32"/>
          <w:rtl/>
        </w:rPr>
        <w:t>،</w:t>
      </w:r>
      <w:r w:rsidRPr="00A52585">
        <w:rPr>
          <w:rFonts w:ascii="Traditional Arabic" w:hAnsi="Traditional Arabic"/>
          <w:sz w:val="32"/>
          <w:rtl/>
        </w:rPr>
        <w:t xml:space="preserve"> </w:t>
      </w:r>
      <w:r w:rsidRPr="00A52585">
        <w:rPr>
          <w:rFonts w:ascii="Traditional Arabic" w:hAnsi="Traditional Arabic"/>
          <w:b/>
          <w:bCs/>
          <w:sz w:val="32"/>
          <w:rtl/>
        </w:rPr>
        <w:t>وقال رحمه الله</w:t>
      </w:r>
      <w:r w:rsidR="0002035C" w:rsidRPr="00A52585">
        <w:rPr>
          <w:rFonts w:ascii="Traditional Arabic" w:hAnsi="Traditional Arabic"/>
          <w:b/>
          <w:bCs/>
          <w:sz w:val="32"/>
          <w:rtl/>
        </w:rPr>
        <w:t>:</w:t>
      </w:r>
      <w:r w:rsidRPr="00A52585">
        <w:rPr>
          <w:rFonts w:ascii="Traditional Arabic" w:hAnsi="Traditional Arabic"/>
          <w:b/>
          <w:bCs/>
          <w:sz w:val="32"/>
          <w:rtl/>
        </w:rPr>
        <w:t xml:space="preserve"> </w:t>
      </w:r>
      <w:r w:rsidRPr="00A52585">
        <w:rPr>
          <w:rFonts w:ascii="Traditional Arabic" w:hAnsi="Traditional Arabic"/>
          <w:sz w:val="32"/>
          <w:rtl/>
        </w:rPr>
        <w:t xml:space="preserve">" وقوله </w:t>
      </w:r>
      <w:r w:rsidR="0002035C" w:rsidRPr="00A52585">
        <w:rPr>
          <w:rFonts w:ascii="Traditional Arabic" w:hAnsi="Traditional Arabic"/>
          <w:sz w:val="32"/>
          <w:rtl/>
        </w:rPr>
        <w:t>(</w:t>
      </w:r>
      <w:r w:rsidRPr="00A52585">
        <w:rPr>
          <w:rFonts w:ascii="Traditional Arabic" w:hAnsi="Traditional Arabic"/>
          <w:sz w:val="32"/>
          <w:rtl/>
        </w:rPr>
        <w:t>الرحمن على العرش استوى</w:t>
      </w:r>
      <w:r w:rsidR="0002035C" w:rsidRPr="00A52585">
        <w:rPr>
          <w:rFonts w:ascii="Traditional Arabic" w:hAnsi="Traditional Arabic"/>
          <w:sz w:val="32"/>
          <w:rtl/>
        </w:rPr>
        <w:t>)</w:t>
      </w:r>
      <w:r w:rsidRPr="00A52585">
        <w:rPr>
          <w:rFonts w:ascii="Traditional Arabic" w:hAnsi="Traditional Arabic"/>
          <w:sz w:val="32"/>
          <w:rtl/>
        </w:rPr>
        <w:t xml:space="preserve"> تقدم الكلام على ذلك في سورة الأعراف بما أغنى عن إعادته أيضا </w:t>
      </w:r>
      <w:r w:rsidRPr="00A52585">
        <w:rPr>
          <w:rFonts w:ascii="Traditional Arabic" w:hAnsi="Traditional Arabic"/>
          <w:b/>
          <w:bCs/>
          <w:sz w:val="32"/>
          <w:rtl/>
        </w:rPr>
        <w:t>وأن المسلك الأسلم في ذلك طريقة السلف إمرار ما جاء في ذلك من الكتاب والسنة من غير تكييف ولا تحريف ولا تشبيه ولا تعطيل ولا تمثيل." [</w:t>
      </w:r>
      <w:r w:rsidRPr="00A52585">
        <w:rPr>
          <w:rFonts w:ascii="Traditional Arabic" w:hAnsi="Traditional Arabic"/>
          <w:sz w:val="32"/>
          <w:rtl/>
        </w:rPr>
        <w:t>تفسير بن كثير</w:t>
      </w:r>
      <w:r w:rsidR="0002035C" w:rsidRPr="00A52585">
        <w:rPr>
          <w:rFonts w:ascii="Traditional Arabic" w:hAnsi="Traditional Arabic"/>
          <w:sz w:val="32"/>
          <w:rtl/>
        </w:rPr>
        <w:t xml:space="preserve"> </w:t>
      </w:r>
      <w:r w:rsidRPr="00A52585">
        <w:rPr>
          <w:rFonts w:ascii="Traditional Arabic" w:hAnsi="Traditional Arabic"/>
          <w:sz w:val="32"/>
          <w:rtl/>
        </w:rPr>
        <w:t>[طه / 5</w:t>
      </w:r>
      <w:r w:rsidR="0002035C" w:rsidRPr="00A52585">
        <w:rPr>
          <w:rFonts w:ascii="Traditional Arabic" w:hAnsi="Traditional Arabic"/>
          <w:sz w:val="32"/>
          <w:rtl/>
        </w:rPr>
        <w:t>]</w:t>
      </w:r>
      <w:r w:rsidRPr="00A52585">
        <w:rPr>
          <w:rFonts w:ascii="Traditional Arabic" w:hAnsi="Traditional Arabic"/>
          <w:b/>
          <w:bCs/>
          <w:sz w:val="32"/>
          <w:rtl/>
        </w:rPr>
        <w:t xml:space="preserve">] </w:t>
      </w:r>
      <w:r w:rsidRPr="00A52585">
        <w:rPr>
          <w:rFonts w:ascii="Traditional Arabic" w:hAnsi="Traditional Arabic"/>
          <w:sz w:val="32"/>
          <w:rtl/>
        </w:rPr>
        <w:t xml:space="preserve">أهـ </w:t>
      </w:r>
    </w:p>
    <w:p w14:paraId="45168C06" w14:textId="333E4598" w:rsidR="00777DCB" w:rsidRPr="00A52585" w:rsidRDefault="00777DCB" w:rsidP="0002035C">
      <w:pPr>
        <w:spacing w:after="240"/>
        <w:rPr>
          <w:b/>
          <w:bCs/>
          <w:rtl/>
        </w:rPr>
      </w:pPr>
      <w:r w:rsidRPr="00A52585">
        <w:rPr>
          <w:rFonts w:hint="cs"/>
          <w:bCs/>
          <w:rtl/>
        </w:rPr>
        <w:t>وقال مرعي بن يوسف</w:t>
      </w:r>
      <w:r w:rsidRPr="00A52585">
        <w:rPr>
          <w:rFonts w:hint="cs"/>
          <w:rtl/>
        </w:rPr>
        <w:t xml:space="preserve"> الكرمي المقدسي الحنبلي في كتابه أقاويل</w:t>
      </w:r>
      <w:r w:rsidRPr="00A52585">
        <w:rPr>
          <w:rFonts w:hint="cs"/>
        </w:rPr>
        <w:t xml:space="preserve"> </w:t>
      </w:r>
      <w:r w:rsidRPr="00A52585">
        <w:rPr>
          <w:rFonts w:hint="cs"/>
          <w:rtl/>
        </w:rPr>
        <w:t>الثقات في تأويل الأسماء والصفات والآيات المحكمات</w:t>
      </w:r>
      <w:r w:rsidRPr="00A52585">
        <w:rPr>
          <w:rFonts w:hint="cs"/>
        </w:rPr>
        <w:t xml:space="preserve"> </w:t>
      </w:r>
      <w:r w:rsidRPr="00A52585">
        <w:rPr>
          <w:rFonts w:hint="cs"/>
          <w:rtl/>
        </w:rPr>
        <w:t>والمشتبهات</w:t>
      </w:r>
      <w:r w:rsidR="0002035C" w:rsidRPr="00A52585">
        <w:rPr>
          <w:rFonts w:hint="cs"/>
          <w:rtl/>
        </w:rPr>
        <w:t xml:space="preserve">: </w:t>
      </w:r>
      <w:r w:rsidRPr="00A52585">
        <w:rPr>
          <w:rFonts w:hint="cs"/>
          <w:rtl/>
        </w:rPr>
        <w:t>" ومن المتشابه الاستواء في قوله تعالى</w:t>
      </w:r>
      <w:r w:rsidR="0002035C" w:rsidRPr="00A52585">
        <w:rPr>
          <w:rFonts w:hint="cs"/>
          <w:rtl/>
        </w:rPr>
        <w:t xml:space="preserve"> </w:t>
      </w:r>
      <w:r w:rsidRPr="00A52585">
        <w:rPr>
          <w:rFonts w:hint="cs"/>
          <w:rtl/>
        </w:rPr>
        <w:t>الرحمن على العرش استوى</w:t>
      </w:r>
      <w:r w:rsidR="0002035C" w:rsidRPr="00A52585">
        <w:rPr>
          <w:rFonts w:hint="cs"/>
          <w:rtl/>
        </w:rPr>
        <w:t xml:space="preserve"> </w:t>
      </w:r>
      <w:r w:rsidRPr="00A52585">
        <w:rPr>
          <w:rFonts w:hint="cs"/>
          <w:rtl/>
        </w:rPr>
        <w:t>وقوله</w:t>
      </w:r>
      <w:r w:rsidR="0002035C" w:rsidRPr="00A52585">
        <w:rPr>
          <w:rFonts w:hint="cs"/>
          <w:rtl/>
        </w:rPr>
        <w:t xml:space="preserve"> </w:t>
      </w:r>
      <w:r w:rsidRPr="00A52585">
        <w:rPr>
          <w:rFonts w:hint="cs"/>
          <w:rtl/>
        </w:rPr>
        <w:t>ثم استوى على العرش</w:t>
      </w:r>
      <w:r w:rsidR="0002035C" w:rsidRPr="00A52585">
        <w:rPr>
          <w:rFonts w:hint="cs"/>
          <w:rtl/>
        </w:rPr>
        <w:t xml:space="preserve"> </w:t>
      </w:r>
      <w:r w:rsidRPr="00A52585">
        <w:rPr>
          <w:rFonts w:hint="cs"/>
          <w:rtl/>
        </w:rPr>
        <w:t xml:space="preserve">الأعراف 54 وهو مذكور في سبع آيات من القرآن </w:t>
      </w:r>
      <w:r w:rsidRPr="00A52585">
        <w:rPr>
          <w:rFonts w:hint="cs"/>
          <w:bCs/>
          <w:u w:val="single"/>
          <w:rtl/>
        </w:rPr>
        <w:t xml:space="preserve">فأما السلف فإنهم لم يتكلموا في ذلك بشيء جريا على عادتهم في المتشابه من عدم الخوض فيه مع تفويض علمه إلى الله تعالى والإيمان </w:t>
      </w:r>
      <w:proofErr w:type="spellStart"/>
      <w:r w:rsidRPr="00A52585">
        <w:rPr>
          <w:rFonts w:hint="cs"/>
          <w:bCs/>
          <w:u w:val="single"/>
          <w:rtl/>
        </w:rPr>
        <w:t>به</w:t>
      </w:r>
      <w:r w:rsidR="00897A24" w:rsidRPr="00A52585">
        <w:rPr>
          <w:rFonts w:hint="cs"/>
          <w:rtl/>
        </w:rPr>
        <w:t>.</w:t>
      </w:r>
      <w:r w:rsidRPr="00A52585">
        <w:rPr>
          <w:rFonts w:hint="cs"/>
          <w:rtl/>
        </w:rPr>
        <w:t>.ويروى</w:t>
      </w:r>
      <w:proofErr w:type="spellEnd"/>
      <w:r w:rsidRPr="00A52585">
        <w:rPr>
          <w:rFonts w:hint="cs"/>
        </w:rPr>
        <w:t xml:space="preserve"> </w:t>
      </w:r>
      <w:r w:rsidRPr="00A52585">
        <w:rPr>
          <w:rFonts w:hint="cs"/>
          <w:rtl/>
        </w:rPr>
        <w:t>عن الشعبي أنه</w:t>
      </w:r>
      <w:r w:rsidRPr="00A52585">
        <w:rPr>
          <w:rFonts w:hint="cs"/>
        </w:rPr>
        <w:t xml:space="preserve"> </w:t>
      </w:r>
      <w:r w:rsidRPr="00A52585">
        <w:rPr>
          <w:rFonts w:hint="cs"/>
          <w:rtl/>
        </w:rPr>
        <w:t xml:space="preserve">سئل عن </w:t>
      </w:r>
      <w:proofErr w:type="spellStart"/>
      <w:r w:rsidRPr="00A52585">
        <w:rPr>
          <w:rFonts w:hint="cs"/>
          <w:rtl/>
        </w:rPr>
        <w:t>الإستواء</w:t>
      </w:r>
      <w:proofErr w:type="spellEnd"/>
      <w:r w:rsidRPr="00A52585">
        <w:rPr>
          <w:rFonts w:hint="cs"/>
          <w:rtl/>
        </w:rPr>
        <w:t xml:space="preserve"> فقال</w:t>
      </w:r>
      <w:r w:rsidR="0002035C" w:rsidRPr="00A52585">
        <w:rPr>
          <w:rFonts w:hint="cs"/>
          <w:rtl/>
        </w:rPr>
        <w:t>:</w:t>
      </w:r>
      <w:r w:rsidRPr="00A52585">
        <w:rPr>
          <w:rFonts w:hint="cs"/>
          <w:rtl/>
        </w:rPr>
        <w:t xml:space="preserve"> هذا من </w:t>
      </w:r>
      <w:r w:rsidRPr="00A52585">
        <w:rPr>
          <w:rFonts w:hint="cs"/>
          <w:bCs/>
          <w:u w:val="single"/>
          <w:rtl/>
        </w:rPr>
        <w:t>متشابه القرآن نؤمن به ولا نتعرض لمعناه</w:t>
      </w:r>
      <w:r w:rsidRPr="00A52585">
        <w:rPr>
          <w:rFonts w:hint="cs"/>
          <w:rtl/>
        </w:rPr>
        <w:t xml:space="preserve"> وعن</w:t>
      </w:r>
      <w:r w:rsidRPr="00A52585">
        <w:rPr>
          <w:rFonts w:hint="cs"/>
        </w:rPr>
        <w:t xml:space="preserve"> </w:t>
      </w:r>
      <w:r w:rsidRPr="00A52585">
        <w:rPr>
          <w:rFonts w:hint="cs"/>
          <w:rtl/>
        </w:rPr>
        <w:t xml:space="preserve">الشافعي أنه قال لما سئل عن </w:t>
      </w:r>
      <w:proofErr w:type="spellStart"/>
      <w:r w:rsidRPr="00A52585">
        <w:rPr>
          <w:rFonts w:hint="cs"/>
          <w:rtl/>
        </w:rPr>
        <w:t>الإستواء</w:t>
      </w:r>
      <w:proofErr w:type="spellEnd"/>
      <w:r w:rsidRPr="00A52585">
        <w:rPr>
          <w:rFonts w:hint="cs"/>
          <w:rtl/>
        </w:rPr>
        <w:t xml:space="preserve"> آمنت</w:t>
      </w:r>
      <w:r w:rsidRPr="00A52585">
        <w:rPr>
          <w:rFonts w:hint="cs"/>
        </w:rPr>
        <w:t xml:space="preserve"> </w:t>
      </w:r>
      <w:r w:rsidRPr="00A52585">
        <w:rPr>
          <w:rFonts w:hint="cs"/>
          <w:rtl/>
        </w:rPr>
        <w:t>بلا تشبيه وصدقت بلا تمثيل واتهمت نفسي في الإدراك وأمسكت عن الخوض غاية الإمساك</w:t>
      </w:r>
      <w:r w:rsidRPr="00A52585">
        <w:rPr>
          <w:rFonts w:hint="cs"/>
        </w:rPr>
        <w:t xml:space="preserve"> </w:t>
      </w:r>
      <w:r w:rsidRPr="00A52585">
        <w:rPr>
          <w:rFonts w:hint="cs"/>
          <w:rtl/>
        </w:rPr>
        <w:t>وعن</w:t>
      </w:r>
      <w:r w:rsidRPr="00A52585">
        <w:rPr>
          <w:rFonts w:hint="cs"/>
        </w:rPr>
        <w:t xml:space="preserve"> </w:t>
      </w:r>
      <w:r w:rsidRPr="00A52585">
        <w:rPr>
          <w:rFonts w:hint="cs"/>
          <w:rtl/>
        </w:rPr>
        <w:t>أحمد بن حنبل أنه قال استوى</w:t>
      </w:r>
      <w:r w:rsidRPr="00A52585">
        <w:rPr>
          <w:rFonts w:hint="cs"/>
        </w:rPr>
        <w:t xml:space="preserve"> </w:t>
      </w:r>
      <w:r w:rsidRPr="00A52585">
        <w:rPr>
          <w:rFonts w:hint="cs"/>
          <w:rtl/>
        </w:rPr>
        <w:t>كما ذكر لا كما يخطر للبشر</w:t>
      </w:r>
      <w:r w:rsidR="0002035C" w:rsidRPr="00A52585">
        <w:rPr>
          <w:rtl/>
        </w:rPr>
        <w:t xml:space="preserve"> </w:t>
      </w:r>
      <w:r w:rsidRPr="00A52585">
        <w:rPr>
          <w:rFonts w:hint="cs"/>
          <w:rtl/>
        </w:rPr>
        <w:t>وكلام</w:t>
      </w:r>
      <w:r w:rsidRPr="00A52585">
        <w:rPr>
          <w:rFonts w:hint="cs"/>
        </w:rPr>
        <w:t xml:space="preserve"> </w:t>
      </w:r>
      <w:r w:rsidRPr="00A52585">
        <w:rPr>
          <w:rFonts w:hint="cs"/>
          <w:rtl/>
        </w:rPr>
        <w:t>السلف مستفيض بمثل هذا "</w:t>
      </w:r>
      <w:r w:rsidR="0002035C" w:rsidRPr="00A52585">
        <w:rPr>
          <w:rFonts w:hint="cs"/>
          <w:rtl/>
        </w:rPr>
        <w:t>[</w:t>
      </w:r>
      <w:r w:rsidRPr="00A52585">
        <w:rPr>
          <w:rFonts w:hint="cs"/>
          <w:rtl/>
        </w:rPr>
        <w:t xml:space="preserve">أقاويل الثقات ج: 1 ص: 120/121] أ هـ </w:t>
      </w:r>
    </w:p>
    <w:p w14:paraId="0D0699ED" w14:textId="60B2CED9" w:rsidR="00777DCB" w:rsidRPr="00A52585" w:rsidRDefault="00777DCB" w:rsidP="0002035C">
      <w:pPr>
        <w:rPr>
          <w:b/>
        </w:rPr>
      </w:pPr>
      <w:r w:rsidRPr="00A52585">
        <w:rPr>
          <w:rFonts w:hint="cs"/>
          <w:bCs/>
          <w:rtl/>
        </w:rPr>
        <w:lastRenderedPageBreak/>
        <w:t>وقال عبد الباقي بن إبراهيم الحنبلي</w:t>
      </w:r>
      <w:r w:rsidRPr="00A52585">
        <w:rPr>
          <w:rFonts w:hint="cs"/>
          <w:rtl/>
        </w:rPr>
        <w:t xml:space="preserve"> في كتابه العين والأثر في عقائد أهل الأثر</w:t>
      </w:r>
      <w:r w:rsidR="0002035C" w:rsidRPr="00A52585">
        <w:rPr>
          <w:rFonts w:hint="cs"/>
          <w:rtl/>
        </w:rPr>
        <w:t>:</w:t>
      </w:r>
      <w:r w:rsidRPr="00A52585">
        <w:rPr>
          <w:rFonts w:hint="cs"/>
          <w:rtl/>
        </w:rPr>
        <w:t xml:space="preserve"> " فصل</w:t>
      </w:r>
      <w:r w:rsidR="0002035C" w:rsidRPr="00A52585">
        <w:rPr>
          <w:rFonts w:hint="cs"/>
          <w:rtl/>
        </w:rPr>
        <w:t>:</w:t>
      </w:r>
      <w:r w:rsidRPr="00A52585">
        <w:rPr>
          <w:rFonts w:hint="cs"/>
          <w:rtl/>
        </w:rPr>
        <w:t xml:space="preserve"> ويجب الجزم بأن الله تعالى ليس بجوهر ولا جسم ولا عرض ولا تحله الحوادث ولا يحل في حادث ولا ينحصر فيه </w:t>
      </w:r>
      <w:r w:rsidRPr="00A52585">
        <w:rPr>
          <w:rFonts w:hint="cs"/>
          <w:bCs/>
          <w:rtl/>
        </w:rPr>
        <w:t>فمن اعتقد</w:t>
      </w:r>
      <w:r w:rsidR="0002035C" w:rsidRPr="00A52585">
        <w:rPr>
          <w:rFonts w:hint="cs"/>
          <w:bCs/>
          <w:rtl/>
        </w:rPr>
        <w:t xml:space="preserve"> </w:t>
      </w:r>
      <w:r w:rsidRPr="00A52585">
        <w:rPr>
          <w:rFonts w:hint="cs"/>
          <w:bCs/>
          <w:rtl/>
        </w:rPr>
        <w:t xml:space="preserve">أو قال إن الله بذاته في مكان فكافر </w:t>
      </w:r>
      <w:r w:rsidRPr="00A52585">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Pr="00A52585">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02035C" w:rsidRPr="00A52585">
        <w:rPr>
          <w:rFonts w:hint="cs"/>
          <w:bCs/>
          <w:rtl/>
        </w:rPr>
        <w:t xml:space="preserve"> </w:t>
      </w:r>
      <w:r w:rsidRPr="00A52585">
        <w:rPr>
          <w:rFonts w:hint="cs"/>
          <w:bCs/>
          <w:rtl/>
        </w:rPr>
        <w:t>وحديث النزول</w:t>
      </w:r>
      <w:r w:rsidRPr="00A52585">
        <w:rPr>
          <w:rFonts w:hint="cs"/>
          <w:bCs/>
        </w:rPr>
        <w:t xml:space="preserve"> </w:t>
      </w:r>
      <w:r w:rsidRPr="00A52585">
        <w:rPr>
          <w:rFonts w:hint="cs"/>
          <w:bCs/>
          <w:rtl/>
        </w:rPr>
        <w:t>وغير ذلك من آيات الصفات إلا بصادر عن النبي أو بعض الصحابة وهذا مذهب السلف</w:t>
      </w:r>
      <w:r w:rsidRPr="00A52585">
        <w:rPr>
          <w:rFonts w:hint="cs"/>
          <w:bCs/>
        </w:rPr>
        <w:t xml:space="preserve"> </w:t>
      </w:r>
      <w:r w:rsidRPr="00A52585">
        <w:rPr>
          <w:rFonts w:hint="cs"/>
          <w:bCs/>
          <w:rtl/>
        </w:rPr>
        <w:t>قاطبة</w:t>
      </w:r>
      <w:r w:rsidRPr="00A52585">
        <w:rPr>
          <w:rFonts w:hint="cs"/>
          <w:rtl/>
        </w:rPr>
        <w:t xml:space="preserve"> " </w:t>
      </w:r>
      <w:r w:rsidR="0002035C" w:rsidRPr="00A52585">
        <w:rPr>
          <w:rFonts w:hint="cs"/>
          <w:rtl/>
          <w:lang w:bidi="ar-KW"/>
        </w:rPr>
        <w:t>[</w:t>
      </w:r>
      <w:r w:rsidRPr="00A52585">
        <w:rPr>
          <w:rFonts w:hint="cs"/>
          <w:rtl/>
        </w:rPr>
        <w:t>تفسير بن كثير</w:t>
      </w:r>
      <w:r w:rsidR="0002035C" w:rsidRPr="00A52585">
        <w:rPr>
          <w:rFonts w:hint="cs"/>
          <w:rtl/>
        </w:rPr>
        <w:t xml:space="preserve"> </w:t>
      </w:r>
      <w:r w:rsidRPr="00A52585">
        <w:rPr>
          <w:rFonts w:hint="cs"/>
          <w:rtl/>
        </w:rPr>
        <w:t>[طه / 5</w:t>
      </w:r>
      <w:r w:rsidR="0002035C" w:rsidRPr="00A52585">
        <w:rPr>
          <w:rFonts w:hint="cs"/>
          <w:rtl/>
        </w:rPr>
        <w:t>]</w:t>
      </w:r>
      <w:r w:rsidRPr="00A52585">
        <w:rPr>
          <w:rFonts w:hint="cs"/>
          <w:rtl/>
          <w:lang w:bidi="ar-KW"/>
        </w:rPr>
        <w:t>]</w:t>
      </w:r>
      <w:r w:rsidRPr="00A52585">
        <w:rPr>
          <w:rFonts w:hint="cs"/>
          <w:rtl/>
        </w:rPr>
        <w:t xml:space="preserve">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bCs/>
          <w:rtl/>
        </w:rPr>
        <w:t>:</w:t>
      </w:r>
      <w:r w:rsidRPr="00A52585">
        <w:rPr>
          <w:rFonts w:hint="cs"/>
          <w:bCs/>
          <w:rtl/>
        </w:rPr>
        <w:t xml:space="preserve"> " </w:t>
      </w:r>
      <w:r w:rsidRPr="00A52585">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w:t>
      </w:r>
      <w:r w:rsidR="0002035C" w:rsidRPr="00A52585">
        <w:rPr>
          <w:rFonts w:hint="cs"/>
          <w:rtl/>
        </w:rPr>
        <w:t>]</w:t>
      </w:r>
      <w:r w:rsidRPr="00A52585">
        <w:rPr>
          <w:rFonts w:hint="cs"/>
          <w:rtl/>
        </w:rPr>
        <w:t xml:space="preserve"> أ هـ</w:t>
      </w:r>
      <w:r w:rsidR="0002035C" w:rsidRPr="00A52585">
        <w:rPr>
          <w:rFonts w:hint="cs"/>
          <w:rtl/>
        </w:rPr>
        <w:t xml:space="preserve"> </w:t>
      </w:r>
    </w:p>
    <w:p w14:paraId="514BC11C" w14:textId="59096565" w:rsidR="00777DCB" w:rsidRPr="00A52585" w:rsidRDefault="00777DCB" w:rsidP="0002035C">
      <w:pPr>
        <w:rPr>
          <w:rtl/>
        </w:rPr>
      </w:pPr>
      <w:r w:rsidRPr="00A52585">
        <w:rPr>
          <w:rFonts w:hint="cs"/>
          <w:bCs/>
          <w:rtl/>
        </w:rPr>
        <w:t>وقال شيخ محدثي زمانه الإمام</w:t>
      </w:r>
      <w:r w:rsidR="0002035C" w:rsidRPr="00A52585">
        <w:rPr>
          <w:rFonts w:hint="cs"/>
          <w:bCs/>
          <w:rtl/>
        </w:rPr>
        <w:t xml:space="preserve"> </w:t>
      </w:r>
      <w:r w:rsidRPr="00A52585">
        <w:rPr>
          <w:rFonts w:hint="cs"/>
          <w:bCs/>
          <w:rtl/>
        </w:rPr>
        <w:t>البيهقي</w:t>
      </w:r>
      <w:r w:rsidR="0002035C" w:rsidRPr="00A52585">
        <w:rPr>
          <w:rFonts w:hint="cs"/>
          <w:rtl/>
        </w:rPr>
        <w:t>:</w:t>
      </w:r>
      <w:r w:rsidRPr="00A52585">
        <w:rPr>
          <w:rFonts w:hint="cs"/>
          <w:rtl/>
        </w:rPr>
        <w:t xml:space="preserve"> _وهو يوضح مذهب السلف وأهل الحديث في </w:t>
      </w:r>
      <w:proofErr w:type="spellStart"/>
      <w:r w:rsidRPr="00A52585">
        <w:rPr>
          <w:rFonts w:hint="cs"/>
          <w:rtl/>
        </w:rPr>
        <w:t>الإستواء</w:t>
      </w:r>
      <w:proofErr w:type="spellEnd"/>
      <w:r w:rsidRPr="00A52585">
        <w:rPr>
          <w:rFonts w:hint="cs"/>
          <w:rtl/>
        </w:rPr>
        <w:t xml:space="preserve"> _</w:t>
      </w:r>
      <w:r w:rsidR="0002035C" w:rsidRPr="00A52585">
        <w:rPr>
          <w:rFonts w:hint="cs"/>
          <w:rtl/>
        </w:rPr>
        <w:t>:</w:t>
      </w:r>
      <w:r w:rsidRPr="00A52585">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A52585">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DB731D" w:rsidRPr="00A52585">
        <w:rPr>
          <w:rFonts w:hint="cs"/>
          <w:rtl/>
        </w:rPr>
        <w:t>،</w:t>
      </w:r>
      <w:r w:rsidRPr="00A52585">
        <w:rPr>
          <w:rFonts w:hint="cs"/>
          <w:rtl/>
        </w:rPr>
        <w:t xml:space="preserve"> أخبرنا أبو بكر أحمد بن محمد بن الحارث الفقيه أنا أبو محمد بن حيان ثنا أبو جعفر أحمد بن زيرك </w:t>
      </w:r>
      <w:proofErr w:type="spellStart"/>
      <w:r w:rsidRPr="00A52585">
        <w:rPr>
          <w:rFonts w:hint="cs"/>
          <w:rtl/>
        </w:rPr>
        <w:t>اليزدي</w:t>
      </w:r>
      <w:proofErr w:type="spellEnd"/>
      <w:r w:rsidRPr="00A52585">
        <w:rPr>
          <w:rFonts w:hint="cs"/>
          <w:rtl/>
        </w:rPr>
        <w:t xml:space="preserve"> قال سمعت محمد بن عمرو بن النضر النيسابوري يقول سمعت يحيى بن يحيى يقول كنا عند </w:t>
      </w:r>
      <w:r w:rsidRPr="00A52585">
        <w:rPr>
          <w:rFonts w:hint="cs"/>
          <w:bCs/>
          <w:rtl/>
        </w:rPr>
        <w:t>مالك بن أنس</w:t>
      </w:r>
      <w:r w:rsidRPr="00A52585">
        <w:rPr>
          <w:rFonts w:hint="cs"/>
          <w:rtl/>
        </w:rPr>
        <w:t xml:space="preserve"> فجاء رجل فقال يا أبا عبد الله الرحمن على العرش استوى كيف استوى فأطرق مالك رأسه ثم علاه الرحضاء ثم قال</w:t>
      </w:r>
      <w:r w:rsidR="0002035C" w:rsidRPr="00A52585">
        <w:rPr>
          <w:rFonts w:hint="cs"/>
          <w:rtl/>
        </w:rPr>
        <w:t>:</w:t>
      </w:r>
      <w:r w:rsidRPr="00A52585">
        <w:rPr>
          <w:rFonts w:hint="cs"/>
          <w:rtl/>
        </w:rPr>
        <w:t xml:space="preserve"> الاستواء غير مجهول والكيف غير معقول والإيمان به واجب والسؤال عنه بدعة وما أراك إلا مبتدعا فأمر به أن يخرج</w:t>
      </w:r>
      <w:r w:rsidR="00DB731D" w:rsidRPr="00A52585">
        <w:rPr>
          <w:rFonts w:hint="cs"/>
          <w:rtl/>
        </w:rPr>
        <w:t>،</w:t>
      </w:r>
      <w:r w:rsidRPr="00A52585">
        <w:rPr>
          <w:rFonts w:hint="cs"/>
          <w:rtl/>
        </w:rPr>
        <w:t xml:space="preserve"> </w:t>
      </w:r>
      <w:r w:rsidRPr="00A52585">
        <w:rPr>
          <w:rFonts w:hint="cs"/>
          <w:bCs/>
          <w:rtl/>
        </w:rPr>
        <w:t>وعلى مثل هذا درج أكثر علمائنا في مسألة الاستواء وفي مسألة المجيء والإتيان والنزول</w:t>
      </w:r>
      <w:r w:rsidRPr="00A52585">
        <w:rPr>
          <w:rFonts w:hint="cs"/>
          <w:rtl/>
        </w:rPr>
        <w:t xml:space="preserve"> قال الله عز وجل </w:t>
      </w:r>
      <w:r w:rsidR="0002035C" w:rsidRPr="00A52585">
        <w:rPr>
          <w:rFonts w:hint="cs"/>
          <w:rtl/>
        </w:rPr>
        <w:t>(</w:t>
      </w:r>
      <w:r w:rsidRPr="00A52585">
        <w:rPr>
          <w:rFonts w:hint="cs"/>
          <w:rtl/>
        </w:rPr>
        <w:t>وجاء ربك والملك صفا صفا</w:t>
      </w:r>
      <w:r w:rsidR="0002035C" w:rsidRPr="00A52585">
        <w:rPr>
          <w:rFonts w:hint="cs"/>
          <w:rtl/>
        </w:rPr>
        <w:t>)</w:t>
      </w:r>
      <w:r w:rsidRPr="00A52585">
        <w:rPr>
          <w:rFonts w:hint="cs"/>
          <w:rtl/>
        </w:rPr>
        <w:t xml:space="preserve"> وقال</w:t>
      </w:r>
      <w:r w:rsidR="0002035C" w:rsidRPr="00A52585">
        <w:rPr>
          <w:rFonts w:hint="cs"/>
          <w:rtl/>
        </w:rPr>
        <w:t xml:space="preserve"> (</w:t>
      </w:r>
      <w:r w:rsidRPr="00A52585">
        <w:rPr>
          <w:rFonts w:hint="cs"/>
          <w:rtl/>
        </w:rPr>
        <w:t>هل ينظرون</w:t>
      </w:r>
      <w:r w:rsidR="0002035C" w:rsidRPr="00A52585">
        <w:rPr>
          <w:rFonts w:hint="cs"/>
          <w:rtl/>
        </w:rPr>
        <w:t xml:space="preserve"> </w:t>
      </w:r>
      <w:r w:rsidRPr="00A52585">
        <w:rPr>
          <w:rFonts w:hint="cs"/>
          <w:rtl/>
        </w:rPr>
        <w:t>إلا أن يأتيهم الله في ظلل من الغمام</w:t>
      </w:r>
      <w:r w:rsidR="0002035C" w:rsidRPr="00A52585">
        <w:rPr>
          <w:rFonts w:hint="cs"/>
          <w:rtl/>
        </w:rPr>
        <w:t xml:space="preserve">) </w:t>
      </w:r>
      <w:proofErr w:type="spellStart"/>
      <w:r w:rsidRPr="00A52585">
        <w:rPr>
          <w:rFonts w:hint="cs"/>
          <w:rtl/>
        </w:rPr>
        <w:t>و..عن</w:t>
      </w:r>
      <w:proofErr w:type="spellEnd"/>
      <w:r w:rsidRPr="00A52585">
        <w:rPr>
          <w:rFonts w:hint="cs"/>
          <w:rtl/>
        </w:rPr>
        <w:t xml:space="preserve"> أبي هريرة رضي الله عنه أن رسول الله صلى الله عليه وسلم قال </w:t>
      </w:r>
      <w:r w:rsidR="0002035C" w:rsidRPr="00A52585">
        <w:rPr>
          <w:rFonts w:hint="cs"/>
          <w:rtl/>
        </w:rPr>
        <w:t>(</w:t>
      </w:r>
      <w:r w:rsidRPr="00A52585">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02035C" w:rsidRPr="00A52585">
        <w:rPr>
          <w:rFonts w:hint="cs"/>
          <w:rtl/>
        </w:rPr>
        <w:t xml:space="preserve">) </w:t>
      </w:r>
      <w:r w:rsidRPr="00A52585">
        <w:rPr>
          <w:rFonts w:hint="cs"/>
          <w:rtl/>
        </w:rPr>
        <w:t xml:space="preserve">وهذا حديث صحيح رواه جماعة </w:t>
      </w:r>
      <w:r w:rsidRPr="00A52585">
        <w:rPr>
          <w:rFonts w:hint="cs"/>
          <w:rtl/>
        </w:rPr>
        <w:lastRenderedPageBreak/>
        <w:t>من الصحابة عن النبي صلى الله عليه وسلم</w:t>
      </w:r>
      <w:r w:rsidR="00DB731D" w:rsidRPr="00A52585">
        <w:rPr>
          <w:rFonts w:hint="cs"/>
          <w:rtl/>
        </w:rPr>
        <w:t>،</w:t>
      </w:r>
      <w:r w:rsidRPr="00A52585">
        <w:rPr>
          <w:rFonts w:hint="cs"/>
          <w:rtl/>
        </w:rPr>
        <w:t xml:space="preserve"> </w:t>
      </w:r>
      <w:r w:rsidRPr="00A52585">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Pr="00A52585">
        <w:rPr>
          <w:rFonts w:hint="cs"/>
          <w:bCs/>
          <w:u w:val="single"/>
          <w:rtl/>
        </w:rPr>
        <w:t>ووكل علمه إلى الله</w:t>
      </w:r>
      <w:r w:rsidRPr="00A52585">
        <w:rPr>
          <w:rFonts w:hint="cs"/>
          <w:bCs/>
          <w:rtl/>
        </w:rPr>
        <w:t xml:space="preserve"> ونفى الكيفية والتشبيه عنه ومنهم من قبله وآمن به وحمله على وجه يصح استعماله في اللغة ولا يناقض التوحيد</w:t>
      </w:r>
      <w:r w:rsidR="00DB731D" w:rsidRPr="00A52585">
        <w:rPr>
          <w:rFonts w:hint="cs"/>
          <w:rtl/>
        </w:rPr>
        <w:t>،</w:t>
      </w:r>
      <w:r w:rsidRPr="00A52585">
        <w:rPr>
          <w:rFonts w:hint="cs"/>
          <w:rtl/>
        </w:rPr>
        <w:t xml:space="preserve"> </w:t>
      </w:r>
      <w:r w:rsidRPr="00A52585">
        <w:rPr>
          <w:rFonts w:hint="cs"/>
          <w:bCs/>
          <w:rtl/>
        </w:rPr>
        <w:t>وقد ذكرنا هاتين الطريقتين في كتاب الأسماء والصفات في المسائل التي تكلموا فيها من هذا الباب</w:t>
      </w:r>
      <w:r w:rsidR="00DB731D" w:rsidRPr="00A52585">
        <w:rPr>
          <w:rFonts w:hint="cs"/>
          <w:bCs/>
          <w:rtl/>
        </w:rPr>
        <w:t>،</w:t>
      </w:r>
      <w:r w:rsidRPr="00A52585">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DB731D" w:rsidRPr="00A52585">
        <w:rPr>
          <w:rFonts w:hint="cs"/>
          <w:bCs/>
          <w:rtl/>
        </w:rPr>
        <w:t>،</w:t>
      </w:r>
      <w:r w:rsidRPr="00A52585">
        <w:rPr>
          <w:rFonts w:hint="cs"/>
          <w:bCs/>
          <w:rtl/>
        </w:rPr>
        <w:t xml:space="preserve"> </w:t>
      </w:r>
      <w:r w:rsidRPr="00A52585">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02035C" w:rsidRPr="00A52585">
        <w:rPr>
          <w:rFonts w:hint="cs"/>
          <w:rtl/>
        </w:rPr>
        <w:t>:</w:t>
      </w:r>
      <w:r w:rsidRPr="00A52585">
        <w:rPr>
          <w:rFonts w:hint="cs"/>
          <w:rtl/>
        </w:rPr>
        <w:t xml:space="preserve"> سئل الأوزاعي ومالك وسفيان الثوري والليث بن سعد عن هذه الأحاديث </w:t>
      </w:r>
      <w:r w:rsidRPr="00A52585">
        <w:rPr>
          <w:rFonts w:hint="cs"/>
          <w:bCs/>
          <w:u w:val="single"/>
          <w:rtl/>
        </w:rPr>
        <w:t>فقالوا أمروها كما جاءت بلا كيفية</w:t>
      </w:r>
      <w:r w:rsidR="00DB731D" w:rsidRPr="00A52585">
        <w:rPr>
          <w:rFonts w:hint="cs"/>
          <w:u w:val="single"/>
          <w:rtl/>
        </w:rPr>
        <w:t>،</w:t>
      </w:r>
      <w:r w:rsidR="0002035C" w:rsidRPr="00A52585">
        <w:rPr>
          <w:rFonts w:hint="cs"/>
          <w:rtl/>
        </w:rPr>
        <w:t xml:space="preserve"> </w:t>
      </w:r>
      <w:r w:rsidRPr="00A52585">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A52585">
        <w:rPr>
          <w:rFonts w:hint="cs"/>
          <w:bCs/>
          <w:u w:val="single"/>
          <w:rtl/>
        </w:rPr>
        <w:t>فتفسيره تلاوته</w:t>
      </w:r>
      <w:r w:rsidRPr="00A52585">
        <w:rPr>
          <w:rFonts w:hint="cs"/>
          <w:u w:val="single"/>
          <w:rtl/>
        </w:rPr>
        <w:t xml:space="preserve"> </w:t>
      </w:r>
      <w:r w:rsidRPr="00A52585">
        <w:rPr>
          <w:rFonts w:hint="cs"/>
          <w:bCs/>
          <w:u w:val="single"/>
          <w:rtl/>
        </w:rPr>
        <w:t>والسكوت عليه</w:t>
      </w:r>
      <w:r w:rsidRPr="00A52585">
        <w:rPr>
          <w:rFonts w:hint="cs"/>
          <w:rtl/>
        </w:rPr>
        <w:t xml:space="preserve"> وإنما أراد به والله أعلم فيما تفسيره يؤدي إلى تكييف وتكييفه يقتضي تشبيهه له بخلقه في أوصاف الحدوث</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الاعتقاد للبيهقي ج: 1 ص: 114- 118] أ هـ</w:t>
      </w:r>
      <w:r w:rsidR="0002035C" w:rsidRPr="00A52585">
        <w:rPr>
          <w:rFonts w:hint="cs"/>
          <w:rtl/>
        </w:rPr>
        <w:t xml:space="preserve"> </w:t>
      </w:r>
    </w:p>
    <w:p w14:paraId="623C28DC" w14:textId="7D70D8A7" w:rsidR="00777DCB" w:rsidRPr="00A52585" w:rsidRDefault="00777DCB" w:rsidP="0002035C">
      <w:pPr>
        <w:rPr>
          <w:rtl/>
        </w:rPr>
      </w:pPr>
      <w:r w:rsidRPr="00A52585">
        <w:rPr>
          <w:rFonts w:hint="cs"/>
          <w:bCs/>
          <w:rtl/>
        </w:rPr>
        <w:t>قال الزركشي في البرهان</w:t>
      </w:r>
      <w:r w:rsidR="0002035C" w:rsidRPr="00A52585">
        <w:rPr>
          <w:rFonts w:hint="cs"/>
          <w:bCs/>
          <w:rtl/>
        </w:rPr>
        <w:t>:</w:t>
      </w:r>
      <w:r w:rsidRPr="00A52585">
        <w:rPr>
          <w:rFonts w:hint="cs"/>
          <w:rtl/>
        </w:rPr>
        <w:t xml:space="preserve"> " فصل في حكم الآيات المتشابهات الواردة في الصفات</w:t>
      </w:r>
      <w:r w:rsidR="0002035C" w:rsidRPr="00A52585">
        <w:rPr>
          <w:rFonts w:hint="cs"/>
          <w:rtl/>
        </w:rPr>
        <w:t xml:space="preserve"> </w:t>
      </w:r>
      <w:r w:rsidRPr="00A52585">
        <w:rPr>
          <w:rFonts w:hint="cs"/>
          <w:rtl/>
        </w:rPr>
        <w:t>وقد اختلف الناس في الوارد منها في الآيات والأحاديث على ثلاث فرق</w:t>
      </w:r>
      <w:r w:rsidR="0002035C" w:rsidRPr="00A52585">
        <w:rPr>
          <w:rFonts w:hint="cs"/>
          <w:rtl/>
        </w:rPr>
        <w:t xml:space="preserve"> </w:t>
      </w:r>
      <w:r w:rsidRPr="00A52585">
        <w:rPr>
          <w:rFonts w:hint="cs"/>
          <w:rtl/>
        </w:rPr>
        <w:t>أحدها أنه لا مدخل للتأويل فيها بل تجري على ظاهرها ولا تؤول شيئا منها وهم المشبهة</w:t>
      </w:r>
      <w:r w:rsidR="0002035C" w:rsidRPr="00A52585">
        <w:rPr>
          <w:rFonts w:hint="cs"/>
          <w:rtl/>
        </w:rPr>
        <w:t xml:space="preserve"> </w:t>
      </w:r>
      <w:r w:rsidRPr="00A52585">
        <w:rPr>
          <w:rFonts w:hint="cs"/>
          <w:bCs/>
          <w:rtl/>
        </w:rPr>
        <w:t>والثاني أن لها تأويلا ولكنا نمسك عنه مع تنزيه اعتقادنا عن الشبه والتعطيل ونقول لا يعلمه إلا الله وهو قول السلف</w:t>
      </w:r>
      <w:r w:rsidR="0002035C" w:rsidRPr="00A52585">
        <w:rPr>
          <w:rFonts w:hint="cs"/>
          <w:rtl/>
        </w:rPr>
        <w:t xml:space="preserve"> </w:t>
      </w:r>
      <w:r w:rsidRPr="00A52585">
        <w:rPr>
          <w:rFonts w:hint="cs"/>
          <w:rtl/>
        </w:rPr>
        <w:t>والثالث أنها مؤولة وأولوها على ما يليق به</w:t>
      </w:r>
      <w:r w:rsidR="0002035C" w:rsidRPr="00A52585">
        <w:rPr>
          <w:rFonts w:hint="cs"/>
          <w:rtl/>
        </w:rPr>
        <w:t xml:space="preserve"> </w:t>
      </w:r>
      <w:r w:rsidRPr="00A52585">
        <w:rPr>
          <w:rFonts w:hint="cs"/>
          <w:rtl/>
        </w:rPr>
        <w:t xml:space="preserve">والأول باطل والأخيران منقولان عن الصحابة </w:t>
      </w:r>
      <w:r w:rsidRPr="00A52585">
        <w:rPr>
          <w:rFonts w:hint="cs"/>
          <w:bCs/>
          <w:rtl/>
        </w:rPr>
        <w:t xml:space="preserve">فنقل الإمساك عن أم سلمة </w:t>
      </w:r>
      <w:r w:rsidRPr="00A52585">
        <w:rPr>
          <w:rFonts w:hint="cs"/>
          <w:rtl/>
        </w:rPr>
        <w:t xml:space="preserve">أنها سئلت عن الاستواء فقالت الاستواء معلوم والكيف مجهول والإيمان به واجب والسؤال عنه بدعة وكذلك </w:t>
      </w:r>
      <w:r w:rsidRPr="00A52585">
        <w:rPr>
          <w:rFonts w:hint="cs"/>
          <w:bCs/>
          <w:rtl/>
        </w:rPr>
        <w:t>سئل عنه مالك</w:t>
      </w:r>
      <w:r w:rsidRPr="00A52585">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02035C" w:rsidRPr="00A52585">
        <w:rPr>
          <w:rFonts w:hint="cs"/>
          <w:rtl/>
        </w:rPr>
        <w:t xml:space="preserve"> </w:t>
      </w:r>
      <w:r w:rsidRPr="00A52585">
        <w:rPr>
          <w:rFonts w:hint="cs"/>
          <w:rtl/>
        </w:rPr>
        <w:t xml:space="preserve">على العرش استوى ما أفهم من قوله ثم استوى إلى السماء </w:t>
      </w:r>
      <w:r w:rsidRPr="00A52585">
        <w:rPr>
          <w:rFonts w:hint="cs"/>
          <w:bCs/>
          <w:rtl/>
        </w:rPr>
        <w:lastRenderedPageBreak/>
        <w:t>وسئل الأوزاعي</w:t>
      </w:r>
      <w:r w:rsidRPr="00A52585">
        <w:rPr>
          <w:rFonts w:hint="cs"/>
          <w:rtl/>
        </w:rPr>
        <w:t xml:space="preserve"> عن تفسير هذه الآية فقال الرحمن</w:t>
      </w:r>
      <w:r w:rsidR="0002035C" w:rsidRPr="00A52585">
        <w:rPr>
          <w:rFonts w:hint="cs"/>
          <w:rtl/>
        </w:rPr>
        <w:t xml:space="preserve"> </w:t>
      </w:r>
      <w:r w:rsidRPr="00A52585">
        <w:rPr>
          <w:rFonts w:hint="cs"/>
          <w:rtl/>
        </w:rPr>
        <w:t xml:space="preserve">على العرش استوى كما قال وإني لأراك ضالا </w:t>
      </w:r>
      <w:r w:rsidRPr="00A52585">
        <w:rPr>
          <w:rFonts w:hint="cs"/>
          <w:bCs/>
          <w:rtl/>
        </w:rPr>
        <w:t>وسئل ابن راهويه</w:t>
      </w:r>
      <w:r w:rsidRPr="00A52585">
        <w:rPr>
          <w:rFonts w:hint="cs"/>
          <w:rtl/>
        </w:rPr>
        <w:t xml:space="preserve"> عن الاستواء أقائم هو أم قاعد فقال لا يمل القيام حتى يقعد ولا يمل القعود حتى يقوم وأنت إلى هذا السؤال أحوج</w:t>
      </w:r>
      <w:r w:rsidR="0002035C" w:rsidRPr="00A52585">
        <w:rPr>
          <w:rFonts w:hint="cs"/>
          <w:rtl/>
        </w:rPr>
        <w:t xml:space="preserve"> </w:t>
      </w:r>
      <w:r w:rsidRPr="00A52585">
        <w:rPr>
          <w:rFonts w:hint="cs"/>
          <w:bCs/>
          <w:rtl/>
        </w:rPr>
        <w:t>قال الشيخ أبو عمرو بن الصلاح</w:t>
      </w:r>
      <w:r w:rsidR="0002035C" w:rsidRPr="00A52585">
        <w:rPr>
          <w:rFonts w:hint="cs"/>
          <w:bCs/>
          <w:rtl/>
        </w:rPr>
        <w:t>:</w:t>
      </w:r>
      <w:r w:rsidRPr="00A52585">
        <w:rPr>
          <w:rFonts w:hint="cs"/>
          <w:bCs/>
          <w:rtl/>
        </w:rPr>
        <w:t xml:space="preserve"> وعلى هذه الطريقة مضى صدر الأمة وسادتها</w:t>
      </w:r>
      <w:r w:rsidRPr="00A52585">
        <w:rPr>
          <w:rFonts w:hint="cs"/>
          <w:rtl/>
        </w:rPr>
        <w:t xml:space="preserve"> " [البرهان في علوم القرآن ج: 2 ص: 78] أهـ</w:t>
      </w:r>
    </w:p>
    <w:p w14:paraId="38F86A05" w14:textId="7A5ADB1A" w:rsidR="00777DCB" w:rsidRPr="00A52585" w:rsidRDefault="00777DCB" w:rsidP="0002035C">
      <w:pPr>
        <w:pStyle w:val="ab"/>
        <w:spacing w:line="276" w:lineRule="auto"/>
        <w:jc w:val="both"/>
        <w:rPr>
          <w:rFonts w:ascii="Traditional Arabic" w:hAnsi="Traditional Arabic"/>
          <w:sz w:val="32"/>
          <w:rtl/>
        </w:rPr>
      </w:pPr>
      <w:r w:rsidRPr="00A52585">
        <w:rPr>
          <w:rFonts w:ascii="Traditional Arabic" w:hAnsi="Traditional Arabic"/>
          <w:b/>
          <w:bCs/>
          <w:sz w:val="32"/>
          <w:rtl/>
        </w:rPr>
        <w:t>وقال السيوطي في الإتقان</w:t>
      </w:r>
      <w:r w:rsidR="0002035C" w:rsidRPr="00A52585">
        <w:rPr>
          <w:rFonts w:ascii="Traditional Arabic" w:hAnsi="Traditional Arabic"/>
          <w:b/>
          <w:bCs/>
          <w:sz w:val="32"/>
          <w:rtl/>
        </w:rPr>
        <w:t>:</w:t>
      </w:r>
      <w:r w:rsidRPr="00A52585">
        <w:rPr>
          <w:rFonts w:ascii="Traditional Arabic" w:hAnsi="Traditional Arabic"/>
          <w:b/>
          <w:bCs/>
          <w:sz w:val="32"/>
          <w:rtl/>
        </w:rPr>
        <w:t xml:space="preserve"> </w:t>
      </w:r>
      <w:r w:rsidRPr="00A52585">
        <w:rPr>
          <w:rFonts w:ascii="Traditional Arabic" w:hAnsi="Traditional Arabic"/>
          <w:sz w:val="32"/>
          <w:rtl/>
        </w:rPr>
        <w:t>"</w:t>
      </w:r>
      <w:r w:rsidR="0002035C" w:rsidRPr="00A52585">
        <w:rPr>
          <w:rFonts w:ascii="Traditional Arabic" w:hAnsi="Traditional Arabic"/>
          <w:sz w:val="32"/>
          <w:rtl/>
        </w:rPr>
        <w:t xml:space="preserve"> </w:t>
      </w:r>
      <w:r w:rsidRPr="00A52585">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02035C" w:rsidRPr="00A52585">
        <w:rPr>
          <w:rFonts w:ascii="Traditional Arabic" w:hAnsi="Traditional Arabic"/>
          <w:sz w:val="32"/>
          <w:u w:val="single"/>
          <w:rtl/>
        </w:rPr>
        <w:t xml:space="preserve"> </w:t>
      </w:r>
      <w:r w:rsidRPr="00A52585">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02035C" w:rsidRPr="00A52585">
        <w:rPr>
          <w:rFonts w:ascii="Traditional Arabic" w:hAnsi="Traditional Arabic"/>
          <w:sz w:val="32"/>
          <w:rtl/>
        </w:rPr>
        <w:t xml:space="preserve"> </w:t>
      </w:r>
      <w:r w:rsidRPr="00A52585">
        <w:rPr>
          <w:rFonts w:ascii="Traditional Arabic" w:hAnsi="Traditional Arabic"/>
          <w:sz w:val="32"/>
          <w:rtl/>
        </w:rPr>
        <w:t>العرش</w:t>
      </w:r>
      <w:r w:rsidR="0002035C" w:rsidRPr="00A52585">
        <w:rPr>
          <w:rFonts w:ascii="Traditional Arabic" w:hAnsi="Traditional Arabic"/>
          <w:sz w:val="32"/>
          <w:rtl/>
        </w:rPr>
        <w:t xml:space="preserve"> </w:t>
      </w:r>
      <w:r w:rsidRPr="00A52585">
        <w:rPr>
          <w:rFonts w:ascii="Traditional Arabic" w:hAnsi="Traditional Arabic"/>
          <w:sz w:val="32"/>
          <w:rtl/>
        </w:rPr>
        <w:t>استوى قالت الكيف غير معقول والاستواء غير مجهول والإقرار به من الإيمان والجحود به كفر..</w:t>
      </w:r>
    </w:p>
    <w:p w14:paraId="2D082373" w14:textId="5DBBE205" w:rsidR="00777DCB" w:rsidRPr="00A52585" w:rsidRDefault="00777DCB" w:rsidP="0002035C">
      <w:pPr>
        <w:pStyle w:val="ab"/>
        <w:spacing w:line="276" w:lineRule="auto"/>
        <w:jc w:val="both"/>
        <w:rPr>
          <w:rFonts w:ascii="Traditional Arabic" w:hAnsi="Traditional Arabic"/>
          <w:sz w:val="32"/>
          <w:rtl/>
        </w:rPr>
      </w:pPr>
      <w:r w:rsidRPr="00A52585">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w:t>
      </w:r>
      <w:r w:rsidR="00897A24" w:rsidRPr="00A52585">
        <w:rPr>
          <w:rFonts w:ascii="Traditional Arabic" w:hAnsi="Traditional Arabic"/>
          <w:sz w:val="32"/>
          <w:rtl/>
        </w:rPr>
        <w:t>.</w:t>
      </w:r>
      <w:r w:rsidRPr="00A52585">
        <w:rPr>
          <w:rFonts w:ascii="Traditional Arabic" w:hAnsi="Traditional Arabic"/>
          <w:sz w:val="32"/>
          <w:rtl/>
        </w:rPr>
        <w:t xml:space="preserve">. وقال </w:t>
      </w:r>
      <w:proofErr w:type="gramStart"/>
      <w:r w:rsidRPr="00A52585">
        <w:rPr>
          <w:rFonts w:ascii="Traditional Arabic" w:hAnsi="Traditional Arabic"/>
          <w:sz w:val="32"/>
          <w:rtl/>
        </w:rPr>
        <w:t>الترمذي:</w:t>
      </w:r>
      <w:r w:rsidR="00897A24" w:rsidRPr="00A52585">
        <w:rPr>
          <w:rFonts w:ascii="Traditional Arabic" w:hAnsi="Traditional Arabic"/>
          <w:sz w:val="32"/>
          <w:rtl/>
        </w:rPr>
        <w:t>.</w:t>
      </w:r>
      <w:r w:rsidRPr="00A52585">
        <w:rPr>
          <w:rFonts w:ascii="Traditional Arabic" w:hAnsi="Traditional Arabic"/>
          <w:sz w:val="32"/>
          <w:rtl/>
        </w:rPr>
        <w:t>.</w:t>
      </w:r>
      <w:proofErr w:type="gramEnd"/>
      <w:r w:rsidRPr="00A52585">
        <w:rPr>
          <w:rFonts w:ascii="Traditional Arabic" w:hAnsi="Traditional Arabic"/>
          <w:sz w:val="32"/>
          <w:rtl/>
        </w:rPr>
        <w:t xml:space="preserve">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 أهـ</w:t>
      </w:r>
    </w:p>
    <w:p w14:paraId="2C44C041" w14:textId="11275FF4" w:rsidR="00777DCB" w:rsidRPr="00A52585" w:rsidRDefault="00777DCB" w:rsidP="0002035C">
      <w:pPr>
        <w:rPr>
          <w:rtl/>
        </w:rPr>
      </w:pPr>
      <w:r w:rsidRPr="00A52585">
        <w:rPr>
          <w:rFonts w:hint="cs"/>
          <w:bCs/>
          <w:rtl/>
        </w:rPr>
        <w:t>وقال رحمه الله</w:t>
      </w:r>
      <w:r w:rsidR="0002035C" w:rsidRPr="00A52585">
        <w:rPr>
          <w:rFonts w:hint="cs"/>
          <w:bCs/>
          <w:rtl/>
        </w:rPr>
        <w:t>:</w:t>
      </w:r>
      <w:r w:rsidRPr="00A52585">
        <w:rPr>
          <w:rFonts w:hint="cs"/>
          <w:bCs/>
          <w:rtl/>
        </w:rPr>
        <w:t xml:space="preserve"> </w:t>
      </w:r>
      <w:r w:rsidRPr="00A52585">
        <w:rPr>
          <w:rFonts w:hint="cs"/>
          <w:rtl/>
        </w:rPr>
        <w:t>" سأل رجل فقال</w:t>
      </w:r>
      <w:r w:rsidR="0002035C" w:rsidRPr="00A52585">
        <w:rPr>
          <w:rFonts w:hint="cs"/>
          <w:rtl/>
        </w:rPr>
        <w:t xml:space="preserve"> </w:t>
      </w:r>
      <w:r w:rsidRPr="00A52585">
        <w:rPr>
          <w:rFonts w:hint="cs"/>
          <w:rtl/>
        </w:rPr>
        <w:t>يا أبا عبد الله الرحمن</w:t>
      </w:r>
      <w:r w:rsidR="0002035C" w:rsidRPr="00A52585">
        <w:rPr>
          <w:rFonts w:hint="cs"/>
          <w:rtl/>
        </w:rPr>
        <w:t xml:space="preserve"> </w:t>
      </w:r>
      <w:r w:rsidRPr="00A52585">
        <w:rPr>
          <w:rFonts w:hint="cs"/>
          <w:rtl/>
        </w:rPr>
        <w:t>على العرش استوى</w:t>
      </w:r>
      <w:r w:rsidR="0002035C" w:rsidRPr="00A52585">
        <w:rPr>
          <w:rFonts w:hint="cs"/>
          <w:rtl/>
        </w:rPr>
        <w:t xml:space="preserve"> </w:t>
      </w:r>
      <w:r w:rsidRPr="00A52585">
        <w:rPr>
          <w:rFonts w:hint="cs"/>
          <w:rtl/>
        </w:rPr>
        <w:t>كيف استواؤه</w:t>
      </w:r>
      <w:r w:rsidR="0002035C" w:rsidRPr="00A52585">
        <w:rPr>
          <w:rFonts w:hint="cs"/>
          <w:rtl/>
        </w:rPr>
        <w:t xml:space="preserve"> </w:t>
      </w:r>
      <w:r w:rsidRPr="00A52585">
        <w:rPr>
          <w:rFonts w:hint="cs"/>
          <w:rtl/>
        </w:rPr>
        <w:t>فأطرق مالك وأخذته الرحضاء ثم رفع رأسه فقال الرحمن</w:t>
      </w:r>
      <w:r w:rsidR="0002035C" w:rsidRPr="00A52585">
        <w:rPr>
          <w:rFonts w:hint="cs"/>
          <w:rtl/>
        </w:rPr>
        <w:t xml:space="preserve"> </w:t>
      </w:r>
      <w:r w:rsidRPr="00A52585">
        <w:rPr>
          <w:rFonts w:hint="cs"/>
          <w:rtl/>
        </w:rPr>
        <w:t>على العرش استوى</w:t>
      </w:r>
      <w:r w:rsidR="0002035C" w:rsidRPr="00A52585">
        <w:rPr>
          <w:rFonts w:hint="cs"/>
          <w:rtl/>
        </w:rPr>
        <w:t xml:space="preserve"> </w:t>
      </w:r>
      <w:r w:rsidRPr="00A52585">
        <w:rPr>
          <w:rFonts w:hint="cs"/>
          <w:rtl/>
        </w:rPr>
        <w:t>كما وصف نفسه ولا يقال له كيف وكيف عنه مرفوع وأنت رجل سوء صاحب بدعة أخرجوه</w:t>
      </w:r>
      <w:r w:rsidR="0002035C" w:rsidRPr="00A52585">
        <w:rPr>
          <w:rFonts w:hint="cs"/>
          <w:rtl/>
        </w:rPr>
        <w:t xml:space="preserve"> </w:t>
      </w:r>
      <w:r w:rsidRPr="00A52585">
        <w:rPr>
          <w:rFonts w:hint="cs"/>
          <w:rtl/>
        </w:rPr>
        <w:t>قال</w:t>
      </w:r>
      <w:r w:rsidR="0002035C" w:rsidRPr="00A52585">
        <w:rPr>
          <w:rFonts w:hint="cs"/>
          <w:rtl/>
        </w:rPr>
        <w:t xml:space="preserve"> </w:t>
      </w:r>
      <w:r w:rsidRPr="00A52585">
        <w:rPr>
          <w:rFonts w:hint="cs"/>
          <w:rtl/>
        </w:rPr>
        <w:t>فأخرج الرجل</w:t>
      </w:r>
      <w:r w:rsidR="0002035C" w:rsidRPr="00A52585">
        <w:rPr>
          <w:rFonts w:hint="cs"/>
          <w:rtl/>
        </w:rPr>
        <w:t xml:space="preserve"> </w:t>
      </w:r>
      <w:r w:rsidRPr="00A52585">
        <w:rPr>
          <w:rFonts w:hint="cs"/>
          <w:rtl/>
        </w:rPr>
        <w:t>وأخرج البيهقي عن أحمد بن أبي الحواري قال</w:t>
      </w:r>
      <w:r w:rsidR="0002035C" w:rsidRPr="00A52585">
        <w:rPr>
          <w:rFonts w:hint="cs"/>
          <w:rtl/>
        </w:rPr>
        <w:t xml:space="preserve"> </w:t>
      </w:r>
      <w:r w:rsidRPr="00A52585">
        <w:rPr>
          <w:rFonts w:hint="cs"/>
          <w:rtl/>
        </w:rPr>
        <w:t>سمعت سفيان بن عيينة يقول</w:t>
      </w:r>
      <w:r w:rsidR="0002035C" w:rsidRPr="00A52585">
        <w:rPr>
          <w:rFonts w:hint="cs"/>
          <w:rtl/>
        </w:rPr>
        <w:t xml:space="preserve"> </w:t>
      </w:r>
      <w:r w:rsidRPr="00A52585">
        <w:rPr>
          <w:rFonts w:hint="cs"/>
          <w:rtl/>
        </w:rPr>
        <w:t>كلما وصف الله من نفسه في كتابه فتفسيره تلاوته والسكوت عليه</w:t>
      </w:r>
      <w:r w:rsidR="0002035C" w:rsidRPr="00A52585">
        <w:rPr>
          <w:rFonts w:hint="cs"/>
          <w:rtl/>
        </w:rPr>
        <w:t xml:space="preserve"> </w:t>
      </w:r>
      <w:r w:rsidRPr="00A52585">
        <w:rPr>
          <w:rFonts w:hint="cs"/>
          <w:rtl/>
        </w:rPr>
        <w:t>وأخرج البيهقي عن اسحق بن موسى قال</w:t>
      </w:r>
      <w:r w:rsidR="0002035C" w:rsidRPr="00A52585">
        <w:rPr>
          <w:rFonts w:hint="cs"/>
          <w:rtl/>
        </w:rPr>
        <w:t xml:space="preserve"> </w:t>
      </w:r>
      <w:r w:rsidRPr="00A52585">
        <w:rPr>
          <w:rFonts w:hint="cs"/>
          <w:rtl/>
        </w:rPr>
        <w:t>سمعت ابن عيينة يقول</w:t>
      </w:r>
      <w:r w:rsidR="0002035C" w:rsidRPr="00A52585">
        <w:rPr>
          <w:rFonts w:hint="cs"/>
          <w:rtl/>
        </w:rPr>
        <w:t xml:space="preserve"> </w:t>
      </w:r>
      <w:r w:rsidRPr="00A52585">
        <w:rPr>
          <w:rFonts w:hint="cs"/>
          <w:rtl/>
        </w:rPr>
        <w:t>ما وصف الله به نفسه فتفسيره قراءته ليس لأحد أن يفسره إلا الله تعالى ورسله صلوات الله عليهم "</w:t>
      </w:r>
      <w:r w:rsidR="0002035C" w:rsidRPr="00A52585">
        <w:rPr>
          <w:rFonts w:hint="cs"/>
          <w:rtl/>
        </w:rPr>
        <w:t>[</w:t>
      </w:r>
      <w:r w:rsidRPr="00A52585">
        <w:rPr>
          <w:rFonts w:hint="cs"/>
          <w:rtl/>
        </w:rPr>
        <w:t>الدر المنثور ج: 3 ص: 474] أهـ</w:t>
      </w:r>
      <w:r w:rsidR="00DB731D" w:rsidRPr="00A52585">
        <w:rPr>
          <w:rFonts w:hint="cs"/>
          <w:rtl/>
        </w:rPr>
        <w:t>،</w:t>
      </w:r>
      <w:r w:rsidRPr="00A52585">
        <w:rPr>
          <w:rFonts w:hint="cs"/>
          <w:rtl/>
        </w:rPr>
        <w:t xml:space="preserve"> </w:t>
      </w:r>
      <w:r w:rsidRPr="00A52585">
        <w:rPr>
          <w:rFonts w:hint="cs"/>
          <w:bCs/>
          <w:rtl/>
        </w:rPr>
        <w:t>وقال في تفسير الجلالين</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(ثم استوى على العرش</w:t>
      </w:r>
      <w:r w:rsidR="0002035C" w:rsidRPr="00A52585">
        <w:rPr>
          <w:rFonts w:hint="cs"/>
          <w:rtl/>
        </w:rPr>
        <w:t>)</w:t>
      </w:r>
      <w:r w:rsidRPr="00A52585">
        <w:rPr>
          <w:rFonts w:hint="cs"/>
          <w:rtl/>
        </w:rPr>
        <w:t xml:space="preserve"> هو في اللغة: سرير الملك </w:t>
      </w:r>
      <w:proofErr w:type="spellStart"/>
      <w:r w:rsidRPr="00A52585">
        <w:rPr>
          <w:rFonts w:hint="cs"/>
          <w:rtl/>
        </w:rPr>
        <w:t>إستواء</w:t>
      </w:r>
      <w:proofErr w:type="spellEnd"/>
      <w:r w:rsidRPr="00A52585">
        <w:rPr>
          <w:rFonts w:hint="cs"/>
          <w:rtl/>
        </w:rPr>
        <w:t xml:space="preserve"> يليق به " [الجلالين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الاعراف:54</w:t>
      </w:r>
      <w:r w:rsidR="0002035C" w:rsidRPr="00A52585">
        <w:rPr>
          <w:rFonts w:hint="cs"/>
          <w:rtl/>
        </w:rPr>
        <w:t>]</w:t>
      </w:r>
      <w:r w:rsidRPr="00A52585">
        <w:rPr>
          <w:rFonts w:hint="cs"/>
          <w:rtl/>
        </w:rPr>
        <w:t>] أهـ</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Pr="00A52585">
        <w:rPr>
          <w:rFonts w:hint="cs"/>
          <w:bCs/>
          <w:u w:val="single"/>
          <w:rtl/>
        </w:rPr>
        <w:t xml:space="preserve">فيأتيهم الله إلى آخره هذا من أحاديث الصفات فإما أن يوقف عن الخوض </w:t>
      </w:r>
      <w:r w:rsidRPr="00A52585">
        <w:rPr>
          <w:rFonts w:hint="cs"/>
          <w:bCs/>
          <w:u w:val="single"/>
          <w:rtl/>
        </w:rPr>
        <w:lastRenderedPageBreak/>
        <w:t>في معناه ويعتقد له معنى يليق بجلال الله تعالى مع الجزم بأن الله تعالى ليس كمثله شيء وأنه منزه عن</w:t>
      </w:r>
      <w:r w:rsidR="0002035C" w:rsidRPr="00A52585">
        <w:rPr>
          <w:rFonts w:hint="cs"/>
          <w:bCs/>
          <w:u w:val="single"/>
          <w:rtl/>
        </w:rPr>
        <w:t xml:space="preserve"> </w:t>
      </w:r>
      <w:r w:rsidRPr="00A52585">
        <w:rPr>
          <w:rFonts w:hint="cs"/>
          <w:bCs/>
          <w:u w:val="single"/>
          <w:rtl/>
        </w:rPr>
        <w:t>التجسيم</w:t>
      </w:r>
      <w:r w:rsidR="0002035C" w:rsidRPr="00A52585">
        <w:rPr>
          <w:rFonts w:hint="cs"/>
          <w:bCs/>
          <w:u w:val="single"/>
          <w:rtl/>
        </w:rPr>
        <w:t xml:space="preserve"> </w:t>
      </w:r>
      <w:r w:rsidRPr="00A52585">
        <w:rPr>
          <w:rFonts w:hint="cs"/>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Pr="00A52585">
        <w:rPr>
          <w:rFonts w:hint="cs"/>
          <w:rtl/>
        </w:rPr>
        <w:t>"</w:t>
      </w:r>
      <w:r w:rsidR="0002035C" w:rsidRPr="00A52585">
        <w:rPr>
          <w:rFonts w:hint="cs"/>
          <w:rtl/>
        </w:rPr>
        <w:t>[</w:t>
      </w:r>
      <w:r w:rsidRPr="00A52585">
        <w:rPr>
          <w:rFonts w:hint="cs"/>
          <w:rtl/>
        </w:rPr>
        <w:t>الديباج ج: 1 ص: 232] أهـ</w:t>
      </w:r>
    </w:p>
    <w:p w14:paraId="64905068" w14:textId="263D30CD" w:rsidR="00777DCB" w:rsidRPr="00A52585" w:rsidRDefault="00777DCB" w:rsidP="0002035C">
      <w:pPr>
        <w:rPr>
          <w:rtl/>
        </w:rPr>
      </w:pPr>
      <w:r w:rsidRPr="00A52585">
        <w:rPr>
          <w:rFonts w:hint="cs"/>
          <w:bCs/>
          <w:rtl/>
        </w:rPr>
        <w:t>وقال</w:t>
      </w:r>
      <w:r w:rsidRPr="00A52585">
        <w:rPr>
          <w:rFonts w:hint="cs"/>
          <w:bCs/>
        </w:rPr>
        <w:t xml:space="preserve"> </w:t>
      </w:r>
      <w:r w:rsidRPr="00A52585">
        <w:rPr>
          <w:rFonts w:hint="cs"/>
          <w:bCs/>
          <w:rtl/>
        </w:rPr>
        <w:t>الزرقاني</w:t>
      </w:r>
      <w:r w:rsidRPr="00A52585">
        <w:rPr>
          <w:rFonts w:hint="cs"/>
          <w:rtl/>
        </w:rPr>
        <w:t xml:space="preserve"> في</w:t>
      </w:r>
      <w:r w:rsidR="0002035C" w:rsidRPr="00A52585">
        <w:rPr>
          <w:rFonts w:hint="cs"/>
          <w:rtl/>
        </w:rPr>
        <w:t xml:space="preserve"> </w:t>
      </w:r>
      <w:r w:rsidRPr="00A52585">
        <w:rPr>
          <w:rFonts w:hint="cs"/>
          <w:rtl/>
        </w:rPr>
        <w:t>مناهل</w:t>
      </w:r>
      <w:r w:rsidRPr="00A52585">
        <w:rPr>
          <w:rFonts w:hint="cs"/>
        </w:rPr>
        <w:t xml:space="preserve"> </w:t>
      </w:r>
      <w:r w:rsidRPr="00A52585">
        <w:rPr>
          <w:rFonts w:hint="cs"/>
          <w:rtl/>
        </w:rPr>
        <w:t>العرفان:</w:t>
      </w:r>
      <w:r w:rsidR="0002035C" w:rsidRPr="00A52585">
        <w:rPr>
          <w:rFonts w:hint="cs"/>
          <w:rtl/>
        </w:rPr>
        <w:t xml:space="preserve"> </w:t>
      </w:r>
      <w:r w:rsidRPr="00A52585">
        <w:t>"</w:t>
      </w:r>
      <w:r w:rsidRPr="00A52585">
        <w:rPr>
          <w:rFonts w:hint="cs"/>
          <w:rtl/>
        </w:rPr>
        <w:t xml:space="preserve"> ومنها</w:t>
      </w:r>
      <w:r w:rsidRPr="00A52585">
        <w:rPr>
          <w:rFonts w:hint="cs"/>
        </w:rPr>
        <w:t xml:space="preserve"> </w:t>
      </w:r>
      <w:r w:rsidRPr="00A52585">
        <w:rPr>
          <w:rFonts w:hint="cs"/>
          <w:rtl/>
        </w:rPr>
        <w:t>ما ورد من أن الإمام مالكا رضي الله عنه سأل</w:t>
      </w:r>
      <w:r w:rsidRPr="00A52585">
        <w:rPr>
          <w:rFonts w:hint="cs"/>
        </w:rPr>
        <w:t xml:space="preserve"> </w:t>
      </w:r>
      <w:r w:rsidRPr="00A52585">
        <w:rPr>
          <w:rFonts w:hint="cs"/>
          <w:rtl/>
        </w:rPr>
        <w:t>عن الاستواء في قوله سبحانه الرحمن على</w:t>
      </w:r>
      <w:r w:rsidR="0002035C" w:rsidRPr="00A52585">
        <w:rPr>
          <w:rtl/>
        </w:rPr>
        <w:t xml:space="preserve"> </w:t>
      </w:r>
      <w:r w:rsidRPr="00A52585">
        <w:rPr>
          <w:rFonts w:hint="cs"/>
          <w:rtl/>
        </w:rPr>
        <w:t>العرش</w:t>
      </w:r>
      <w:r w:rsidR="0002035C" w:rsidRPr="00A52585">
        <w:rPr>
          <w:rtl/>
        </w:rPr>
        <w:t xml:space="preserve"> </w:t>
      </w:r>
      <w:r w:rsidRPr="00A52585">
        <w:rPr>
          <w:rFonts w:hint="cs"/>
          <w:rtl/>
        </w:rPr>
        <w:t>استوى</w:t>
      </w:r>
      <w:r w:rsidRPr="00A52585">
        <w:rPr>
          <w:rFonts w:hint="cs"/>
        </w:rPr>
        <w:t xml:space="preserve"> </w:t>
      </w:r>
      <w:r w:rsidRPr="00A52585">
        <w:rPr>
          <w:rFonts w:hint="cs"/>
          <w:rtl/>
        </w:rPr>
        <w:t>فقال الاستواء معلوم والكيف</w:t>
      </w:r>
      <w:r w:rsidRPr="00A52585">
        <w:rPr>
          <w:rFonts w:hint="cs"/>
        </w:rPr>
        <w:t xml:space="preserve"> </w:t>
      </w:r>
      <w:r w:rsidRPr="00A52585">
        <w:rPr>
          <w:rFonts w:hint="cs"/>
          <w:rtl/>
        </w:rPr>
        <w:t>مجهول والسؤال عن هذا بدعة وأظنك رجل سوء أخرجوه عني يريد رحمة الله عليه أن الاستواء</w:t>
      </w:r>
      <w:r w:rsidRPr="00A52585">
        <w:rPr>
          <w:rFonts w:hint="cs"/>
        </w:rPr>
        <w:t xml:space="preserve"> </w:t>
      </w:r>
      <w:r w:rsidRPr="00A52585">
        <w:rPr>
          <w:rFonts w:hint="cs"/>
          <w:rtl/>
        </w:rPr>
        <w:t xml:space="preserve">معلوم الظاهر بحسب ما تدل عليه الأوضاع اللغوية </w:t>
      </w:r>
      <w:r w:rsidRPr="00A52585">
        <w:rPr>
          <w:rFonts w:hint="cs"/>
          <w:bCs/>
          <w:u w:val="single"/>
          <w:rtl/>
        </w:rPr>
        <w:t>ولكن</w:t>
      </w:r>
      <w:r w:rsidRPr="00A52585">
        <w:rPr>
          <w:rFonts w:hint="cs"/>
          <w:bCs/>
          <w:u w:val="single"/>
        </w:rPr>
        <w:t xml:space="preserve"> </w:t>
      </w:r>
      <w:r w:rsidRPr="00A52585">
        <w:rPr>
          <w:rFonts w:hint="cs"/>
          <w:bCs/>
          <w:u w:val="single"/>
          <w:rtl/>
        </w:rPr>
        <w:t>هذا الظاهر غير مراد</w:t>
      </w:r>
      <w:r w:rsidRPr="00A52585">
        <w:rPr>
          <w:rFonts w:hint="cs"/>
          <w:bCs/>
          <w:u w:val="single"/>
        </w:rPr>
        <w:t xml:space="preserve"> </w:t>
      </w:r>
      <w:r w:rsidRPr="00A52585">
        <w:rPr>
          <w:rFonts w:hint="cs"/>
          <w:bCs/>
          <w:u w:val="single"/>
          <w:rtl/>
        </w:rPr>
        <w:t>قطعا لأنه يستلزم التشبيه المحال على الله بالدليل القاطع والكيف مجهول أي تعيين</w:t>
      </w:r>
      <w:r w:rsidRPr="00A52585">
        <w:rPr>
          <w:rFonts w:hint="cs"/>
          <w:bCs/>
          <w:u w:val="single"/>
        </w:rPr>
        <w:t xml:space="preserve"> </w:t>
      </w:r>
      <w:r w:rsidRPr="00A52585">
        <w:rPr>
          <w:rFonts w:hint="cs"/>
          <w:bCs/>
          <w:u w:val="single"/>
          <w:rtl/>
        </w:rPr>
        <w:t>مراد الشارع مجهول لنا لا دليل عندنا عليه ولا سلطان لنا به والسؤال عنه بدعة أي</w:t>
      </w:r>
      <w:r w:rsidRPr="00A52585">
        <w:rPr>
          <w:rFonts w:hint="cs"/>
          <w:bCs/>
          <w:u w:val="single"/>
        </w:rPr>
        <w:t xml:space="preserve"> </w:t>
      </w:r>
      <w:r w:rsidRPr="00A52585">
        <w:rPr>
          <w:rFonts w:hint="cs"/>
          <w:bCs/>
          <w:u w:val="single"/>
          <w:rtl/>
        </w:rPr>
        <w:t>الاستفسار عن تعيين هذا المراد اعتقاد أنه مما شرعه الله بدعة لأنه طريقة في الدين</w:t>
      </w:r>
      <w:r w:rsidRPr="00A52585">
        <w:rPr>
          <w:rFonts w:hint="cs"/>
          <w:bCs/>
          <w:u w:val="single"/>
        </w:rPr>
        <w:t xml:space="preserve"> </w:t>
      </w:r>
      <w:r w:rsidRPr="00A52585">
        <w:rPr>
          <w:rFonts w:hint="cs"/>
          <w:bCs/>
          <w:u w:val="single"/>
          <w:rtl/>
        </w:rPr>
        <w:t>مخترعة مخالفة لما أرشدنا إليه الشارع من وجوب تقديم المحكمات وعدم اتباع المتشابهات وما</w:t>
      </w:r>
      <w:r w:rsidRPr="00A52585">
        <w:rPr>
          <w:rFonts w:hint="cs"/>
          <w:bCs/>
          <w:u w:val="single"/>
        </w:rPr>
        <w:t xml:space="preserve"> </w:t>
      </w:r>
      <w:r w:rsidRPr="00A52585">
        <w:rPr>
          <w:rFonts w:hint="cs"/>
          <w:bCs/>
          <w:u w:val="single"/>
          <w:rtl/>
        </w:rPr>
        <w:t>جزاء المبتدع إلا أن يطرد ويبعد عن الناس خوف أن يفتنهم لأنه رجل سوء وذلك سر قوله</w:t>
      </w:r>
      <w:r w:rsidRPr="00A52585">
        <w:rPr>
          <w:rFonts w:hint="cs"/>
          <w:bCs/>
          <w:u w:val="single"/>
        </w:rPr>
        <w:t xml:space="preserve"> </w:t>
      </w:r>
      <w:r w:rsidRPr="00A52585">
        <w:rPr>
          <w:rFonts w:hint="cs"/>
          <w:bCs/>
          <w:u w:val="single"/>
          <w:rtl/>
        </w:rPr>
        <w:t>وأظنك رجل سوء</w:t>
      </w:r>
      <w:r w:rsidRPr="00A52585">
        <w:rPr>
          <w:rFonts w:hint="cs"/>
          <w:rtl/>
        </w:rPr>
        <w:t xml:space="preserve"> أخرجوه</w:t>
      </w:r>
      <w:r w:rsidRPr="00A52585">
        <w:rPr>
          <w:rFonts w:hint="cs"/>
        </w:rPr>
        <w:t xml:space="preserve"> </w:t>
      </w:r>
      <w:r w:rsidRPr="00A52585">
        <w:rPr>
          <w:rFonts w:hint="cs"/>
          <w:rtl/>
        </w:rPr>
        <w:t>عني</w:t>
      </w:r>
      <w:r w:rsidR="0002035C" w:rsidRPr="00A52585">
        <w:rPr>
          <w:rtl/>
        </w:rPr>
        <w:t xml:space="preserve"> </w:t>
      </w:r>
      <w:r w:rsidRPr="00A52585">
        <w:rPr>
          <w:rFonts w:hint="cs"/>
          <w:rtl/>
        </w:rPr>
        <w:t>قال</w:t>
      </w:r>
      <w:r w:rsidRPr="00A52585">
        <w:rPr>
          <w:rFonts w:hint="cs"/>
        </w:rPr>
        <w:t xml:space="preserve"> </w:t>
      </w:r>
      <w:r w:rsidRPr="00A52585">
        <w:rPr>
          <w:rFonts w:hint="cs"/>
          <w:rtl/>
        </w:rPr>
        <w:t>ابن الصلاح على هذه الطريقة مضى صدر الأمة وساداتها وإياها اختار أئمة الفقهاء</w:t>
      </w:r>
      <w:r w:rsidRPr="00A52585">
        <w:rPr>
          <w:rFonts w:hint="cs"/>
        </w:rPr>
        <w:t xml:space="preserve"> </w:t>
      </w:r>
      <w:r w:rsidRPr="00A52585">
        <w:rPr>
          <w:rFonts w:hint="cs"/>
          <w:rtl/>
        </w:rPr>
        <w:t>وقادتها وإليها دعا أئمة الحديث وأعلامه ولا أحد من المتكلمين من أصحابنا يصدف</w:t>
      </w:r>
      <w:r w:rsidRPr="00A52585">
        <w:rPr>
          <w:rFonts w:hint="cs"/>
        </w:rPr>
        <w:t xml:space="preserve"> </w:t>
      </w:r>
      <w:r w:rsidRPr="00A52585">
        <w:rPr>
          <w:rFonts w:hint="cs"/>
          <w:rtl/>
        </w:rPr>
        <w:t xml:space="preserve">عنها </w:t>
      </w:r>
      <w:proofErr w:type="spellStart"/>
      <w:r w:rsidRPr="00A52585">
        <w:rPr>
          <w:rFonts w:hint="cs"/>
          <w:rtl/>
        </w:rPr>
        <w:t>ويأباها</w:t>
      </w:r>
      <w:proofErr w:type="spellEnd"/>
      <w:r w:rsidRPr="00A52585">
        <w:rPr>
          <w:rFonts w:hint="cs"/>
          <w:rtl/>
        </w:rPr>
        <w:t xml:space="preserve"> </w:t>
      </w:r>
      <w:r w:rsidRPr="00A52585">
        <w:t>"</w:t>
      </w:r>
      <w:r w:rsidRPr="00A52585">
        <w:rPr>
          <w:rtl/>
        </w:rPr>
        <w:t xml:space="preserve"> </w:t>
      </w:r>
      <w:r w:rsidRPr="00A52585">
        <w:rPr>
          <w:rFonts w:hint="cs"/>
          <w:rtl/>
        </w:rPr>
        <w:t>[الديباج ج: 1 ص: 232] أهـ</w:t>
      </w:r>
    </w:p>
    <w:p w14:paraId="0F699AF9" w14:textId="038F495F" w:rsidR="00777DCB" w:rsidRPr="00A52585" w:rsidRDefault="00777DCB" w:rsidP="0002035C">
      <w:pPr>
        <w:rPr>
          <w:rtl/>
        </w:rPr>
      </w:pPr>
      <w:r w:rsidRPr="00A52585">
        <w:rPr>
          <w:rFonts w:hint="cs"/>
          <w:bCs/>
          <w:rtl/>
        </w:rPr>
        <w:t>ابن الجوزي يبين مذهب السلف في الاستواء</w:t>
      </w:r>
      <w:r w:rsidR="0002035C" w:rsidRPr="00A52585">
        <w:rPr>
          <w:rFonts w:hint="cs"/>
          <w:rtl/>
        </w:rPr>
        <w:t>:</w:t>
      </w:r>
      <w:r w:rsidRPr="00A52585">
        <w:rPr>
          <w:rFonts w:hint="cs"/>
          <w:rtl/>
        </w:rPr>
        <w:t xml:space="preserve"> </w:t>
      </w:r>
      <w:r w:rsidRPr="00A52585">
        <w:rPr>
          <w:rFonts w:hint="cs"/>
          <w:bCs/>
          <w:rtl/>
        </w:rPr>
        <w:t>قال رحمه الله</w:t>
      </w:r>
      <w:r w:rsidRPr="00A52585">
        <w:rPr>
          <w:rFonts w:hint="cs"/>
          <w:rtl/>
        </w:rPr>
        <w:t xml:space="preserve"> " ومنها قوله تعالي</w:t>
      </w:r>
      <w:r w:rsidR="0002035C" w:rsidRPr="00A52585">
        <w:rPr>
          <w:rFonts w:hint="cs"/>
          <w:rtl/>
        </w:rPr>
        <w:t>:</w:t>
      </w:r>
      <w:r w:rsidRPr="00A52585">
        <w:rPr>
          <w:rFonts w:hint="cs"/>
          <w:rtl/>
        </w:rPr>
        <w:t xml:space="preserve"> " ثم استوي علي العرش "</w:t>
      </w:r>
      <w:proofErr w:type="gramStart"/>
      <w:r w:rsidR="00897A24" w:rsidRPr="00A52585">
        <w:rPr>
          <w:rFonts w:hint="cs"/>
          <w:rtl/>
        </w:rPr>
        <w:t>.</w:t>
      </w:r>
      <w:r w:rsidRPr="00A52585">
        <w:rPr>
          <w:rFonts w:hint="cs"/>
          <w:rtl/>
        </w:rPr>
        <w:t>.قلت</w:t>
      </w:r>
      <w:proofErr w:type="gramEnd"/>
      <w:r w:rsidR="0002035C" w:rsidRPr="00A52585">
        <w:rPr>
          <w:rFonts w:hint="cs"/>
          <w:rtl/>
        </w:rPr>
        <w:t>:</w:t>
      </w:r>
      <w:r w:rsidRPr="00A52585">
        <w:rPr>
          <w:rFonts w:hint="cs"/>
          <w:rtl/>
        </w:rPr>
        <w:t xml:space="preserve"> وجميع السلف علي امرار هذه الآية كما جاءت من غير تفسير ولا تأويل</w:t>
      </w:r>
      <w:r w:rsidR="00897A24" w:rsidRPr="00A52585">
        <w:rPr>
          <w:rFonts w:hint="cs"/>
          <w:rtl/>
        </w:rPr>
        <w:t>.</w:t>
      </w:r>
      <w:r w:rsidRPr="00A52585">
        <w:rPr>
          <w:rFonts w:hint="cs"/>
          <w:rtl/>
        </w:rPr>
        <w:t xml:space="preserve"> قال عبد الله بن وهب</w:t>
      </w:r>
      <w:r w:rsidR="0002035C" w:rsidRPr="00A52585">
        <w:rPr>
          <w:rFonts w:hint="cs"/>
          <w:rtl/>
        </w:rPr>
        <w:t>:</w:t>
      </w:r>
      <w:r w:rsidRPr="00A52585">
        <w:rPr>
          <w:rFonts w:hint="cs"/>
          <w:rtl/>
        </w:rPr>
        <w:t xml:space="preserve"> كنا عند مالك بن أنس فدخل رجل فقال</w:t>
      </w:r>
      <w:r w:rsidR="0002035C" w:rsidRPr="00A52585">
        <w:rPr>
          <w:rFonts w:hint="cs"/>
          <w:rtl/>
        </w:rPr>
        <w:t>:</w:t>
      </w:r>
      <w:r w:rsidRPr="00A52585">
        <w:rPr>
          <w:rFonts w:hint="cs"/>
          <w:rtl/>
        </w:rPr>
        <w:t xml:space="preserve"> يا أبا عبد الله " الرحمن علي العرش استوي " كيف استوي</w:t>
      </w:r>
      <w:r w:rsidR="00F95886" w:rsidRPr="00A52585">
        <w:rPr>
          <w:rFonts w:hint="cs"/>
          <w:rtl/>
        </w:rPr>
        <w:t>؟</w:t>
      </w:r>
      <w:r w:rsidRPr="00A52585">
        <w:rPr>
          <w:rFonts w:hint="cs"/>
          <w:rtl/>
        </w:rPr>
        <w:t xml:space="preserve"> فأطرق مالك وأخذته الرحضاء ثم رفع رأسه فقال</w:t>
      </w:r>
      <w:r w:rsidR="0002035C" w:rsidRPr="00A52585">
        <w:rPr>
          <w:rFonts w:hint="cs"/>
          <w:rtl/>
        </w:rPr>
        <w:t>:</w:t>
      </w:r>
      <w:r w:rsidRPr="00A52585">
        <w:rPr>
          <w:rFonts w:hint="cs"/>
          <w:rtl/>
        </w:rPr>
        <w:t xml:space="preserve"> الرحمن علي العرش استوي كما وصف نفسه ولا يقال له كيف وكيف عنه مرفوع وأنت رجل سوء صاحب بدعة فأخرجوه فأخرج</w:t>
      </w:r>
      <w:r w:rsidR="00DB731D" w:rsidRPr="00A52585">
        <w:rPr>
          <w:rFonts w:hint="cs"/>
          <w:rtl/>
        </w:rPr>
        <w:t>،</w:t>
      </w:r>
      <w:r w:rsidRPr="00A52585">
        <w:rPr>
          <w:rFonts w:hint="cs"/>
          <w:rtl/>
        </w:rPr>
        <w:t xml:space="preserve"> </w:t>
      </w:r>
      <w:r w:rsidRPr="00A52585">
        <w:rPr>
          <w:rFonts w:hint="cs"/>
          <w:bCs/>
          <w:rtl/>
        </w:rPr>
        <w:t xml:space="preserve">ثم تكلم عن </w:t>
      </w:r>
      <w:proofErr w:type="spellStart"/>
      <w:r w:rsidRPr="00A52585">
        <w:rPr>
          <w:rFonts w:hint="cs"/>
          <w:bCs/>
          <w:rtl/>
        </w:rPr>
        <w:t>حشوية</w:t>
      </w:r>
      <w:proofErr w:type="spellEnd"/>
      <w:r w:rsidRPr="00A52585">
        <w:rPr>
          <w:rFonts w:hint="cs"/>
          <w:bCs/>
          <w:rtl/>
        </w:rPr>
        <w:t xml:space="preserve"> الحنابلة أبي حامد وابن </w:t>
      </w:r>
      <w:proofErr w:type="spellStart"/>
      <w:r w:rsidRPr="00A52585">
        <w:rPr>
          <w:rFonts w:hint="cs"/>
          <w:bCs/>
          <w:rtl/>
        </w:rPr>
        <w:t>الزاغوني</w:t>
      </w:r>
      <w:proofErr w:type="spellEnd"/>
      <w:r w:rsidRPr="00A52585">
        <w:rPr>
          <w:rFonts w:hint="cs"/>
          <w:bCs/>
          <w:rtl/>
        </w:rPr>
        <w:t xml:space="preserve"> والقاضي أبي يعلى الذين يظنون أنهم على مذهب السلف والسلف </w:t>
      </w:r>
      <w:proofErr w:type="spellStart"/>
      <w:r w:rsidRPr="00A52585">
        <w:rPr>
          <w:rFonts w:hint="cs"/>
          <w:bCs/>
          <w:rtl/>
        </w:rPr>
        <w:t>بريئون</w:t>
      </w:r>
      <w:proofErr w:type="spellEnd"/>
      <w:r w:rsidRPr="00A52585">
        <w:rPr>
          <w:rFonts w:hint="cs"/>
          <w:bCs/>
          <w:rtl/>
        </w:rPr>
        <w:t xml:space="preserve"> منهم فقال</w:t>
      </w:r>
      <w:r w:rsidR="0002035C" w:rsidRPr="00A52585">
        <w:rPr>
          <w:rFonts w:hint="cs"/>
          <w:rtl/>
        </w:rPr>
        <w:t>:</w:t>
      </w:r>
      <w:r w:rsidRPr="00A52585">
        <w:rPr>
          <w:rFonts w:hint="cs"/>
          <w:rtl/>
        </w:rPr>
        <w:t xml:space="preserve"> وقد حمل قوم من المتأخرين هذه الصفة علي مقتضي الحس فقالوا</w:t>
      </w:r>
      <w:r w:rsidR="0002035C" w:rsidRPr="00A52585">
        <w:rPr>
          <w:rFonts w:hint="cs"/>
          <w:rtl/>
        </w:rPr>
        <w:t>:</w:t>
      </w:r>
      <w:r w:rsidRPr="00A52585">
        <w:rPr>
          <w:rFonts w:hint="cs"/>
          <w:rtl/>
        </w:rPr>
        <w:t xml:space="preserve"> " استوي علي العرش بذاته "</w:t>
      </w:r>
      <w:r w:rsidR="00DB731D" w:rsidRPr="00A52585">
        <w:rPr>
          <w:rFonts w:hint="cs"/>
          <w:rtl/>
        </w:rPr>
        <w:t>،</w:t>
      </w:r>
      <w:r w:rsidRPr="00A52585">
        <w:rPr>
          <w:rFonts w:hint="cs"/>
          <w:rtl/>
        </w:rPr>
        <w:t xml:space="preserve"> وهي زيادة لم تنقل</w:t>
      </w:r>
      <w:r w:rsidR="00DB731D" w:rsidRPr="00A52585">
        <w:rPr>
          <w:rFonts w:hint="cs"/>
          <w:rtl/>
        </w:rPr>
        <w:t>،</w:t>
      </w:r>
      <w:r w:rsidRPr="00A52585">
        <w:rPr>
          <w:rFonts w:hint="cs"/>
          <w:rtl/>
        </w:rPr>
        <w:t xml:space="preserve"> إنما فهموها من احساسهم</w:t>
      </w:r>
      <w:r w:rsidR="00DB731D" w:rsidRPr="00A52585">
        <w:rPr>
          <w:rFonts w:hint="cs"/>
          <w:rtl/>
        </w:rPr>
        <w:t>،</w:t>
      </w:r>
      <w:r w:rsidRPr="00A52585">
        <w:rPr>
          <w:rFonts w:hint="cs"/>
          <w:rtl/>
        </w:rPr>
        <w:t xml:space="preserve"> وهو أن المستوي علي الشيء إنما تستوي عليه ذاته</w:t>
      </w:r>
      <w:r w:rsidR="00DB731D" w:rsidRPr="00A52585">
        <w:rPr>
          <w:rFonts w:hint="cs"/>
          <w:rtl/>
        </w:rPr>
        <w:t>،</w:t>
      </w:r>
      <w:r w:rsidRPr="00A52585">
        <w:rPr>
          <w:rFonts w:hint="cs"/>
          <w:rtl/>
        </w:rPr>
        <w:t xml:space="preserve"> </w:t>
      </w:r>
      <w:r w:rsidRPr="00A52585">
        <w:rPr>
          <w:rFonts w:hint="cs"/>
          <w:u w:val="single"/>
          <w:rtl/>
        </w:rPr>
        <w:t>قال أبو حامد</w:t>
      </w:r>
      <w:r w:rsidR="0002035C" w:rsidRPr="00A52585">
        <w:rPr>
          <w:rFonts w:hint="cs"/>
          <w:rtl/>
        </w:rPr>
        <w:t>:</w:t>
      </w:r>
      <w:r w:rsidRPr="00A52585">
        <w:rPr>
          <w:rFonts w:hint="cs"/>
          <w:rtl/>
        </w:rPr>
        <w:t xml:space="preserve"> الاستواء مماسته وصف لذاته</w:t>
      </w:r>
      <w:r w:rsidR="00DB731D" w:rsidRPr="00A52585">
        <w:rPr>
          <w:rFonts w:hint="cs"/>
          <w:rtl/>
        </w:rPr>
        <w:t>،</w:t>
      </w:r>
      <w:r w:rsidRPr="00A52585">
        <w:rPr>
          <w:rFonts w:hint="cs"/>
          <w:rtl/>
        </w:rPr>
        <w:t xml:space="preserve"> والمراد به القعود</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وقد ذهبت طائفة من أصحابنا إلي أن الله سبحانه وتعالي علي عرشه ما ملأ</w:t>
      </w:r>
      <w:r w:rsidR="00DB731D" w:rsidRPr="00A52585">
        <w:rPr>
          <w:rFonts w:hint="cs"/>
          <w:rtl/>
        </w:rPr>
        <w:t>،</w:t>
      </w:r>
      <w:r w:rsidRPr="00A52585">
        <w:rPr>
          <w:rFonts w:hint="cs"/>
          <w:rtl/>
        </w:rPr>
        <w:t xml:space="preserve"> وانه يقعد فيه</w:t>
      </w:r>
      <w:r w:rsidR="00DB731D" w:rsidRPr="00A52585">
        <w:rPr>
          <w:rFonts w:hint="cs"/>
          <w:rtl/>
        </w:rPr>
        <w:t>،</w:t>
      </w:r>
      <w:r w:rsidRPr="00A52585">
        <w:rPr>
          <w:rFonts w:hint="cs"/>
          <w:rtl/>
        </w:rPr>
        <w:t xml:space="preserve"> ويقعد </w:t>
      </w:r>
      <w:r w:rsidRPr="00A52585">
        <w:rPr>
          <w:rFonts w:hint="cs"/>
          <w:rtl/>
        </w:rPr>
        <w:lastRenderedPageBreak/>
        <w:t xml:space="preserve">نبيه الله صلى الله عليه وسلم معه علي </w:t>
      </w:r>
      <w:proofErr w:type="spellStart"/>
      <w:r w:rsidRPr="00A52585">
        <w:rPr>
          <w:rFonts w:hint="cs"/>
          <w:rtl/>
        </w:rPr>
        <w:t>العرش</w:t>
      </w:r>
      <w:r w:rsidR="00897A24" w:rsidRPr="00A52585">
        <w:rPr>
          <w:rFonts w:hint="cs"/>
          <w:rtl/>
        </w:rPr>
        <w:t>.</w:t>
      </w:r>
      <w:r w:rsidRPr="00A52585">
        <w:rPr>
          <w:rFonts w:hint="cs"/>
          <w:u w:val="single"/>
          <w:rtl/>
        </w:rPr>
        <w:t>قال</w:t>
      </w:r>
      <w:proofErr w:type="spellEnd"/>
      <w:r w:rsidRPr="00A52585">
        <w:rPr>
          <w:rFonts w:hint="cs"/>
          <w:u w:val="single"/>
          <w:rtl/>
        </w:rPr>
        <w:t xml:space="preserve"> أبو حامد</w:t>
      </w:r>
      <w:r w:rsidR="0002035C" w:rsidRPr="00A52585">
        <w:rPr>
          <w:rFonts w:hint="cs"/>
          <w:rtl/>
        </w:rPr>
        <w:t>:</w:t>
      </w:r>
      <w:r w:rsidRPr="00A52585">
        <w:rPr>
          <w:rFonts w:hint="cs"/>
          <w:rtl/>
        </w:rPr>
        <w:t xml:space="preserve"> والنزول انتقال</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قلت</w:t>
      </w:r>
      <w:r w:rsidR="0002035C" w:rsidRPr="00A52585">
        <w:rPr>
          <w:rFonts w:hint="cs"/>
          <w:bCs/>
          <w:rtl/>
        </w:rPr>
        <w:t>):</w:t>
      </w:r>
      <w:r w:rsidRPr="00A52585">
        <w:rPr>
          <w:rFonts w:hint="cs"/>
          <w:bCs/>
          <w:rtl/>
        </w:rPr>
        <w:t xml:space="preserve"> وعلي ما حكي تكون ذاته أصغر من العرش فالعجب من قول هذا</w:t>
      </w:r>
      <w:r w:rsidR="00DB731D" w:rsidRPr="00A52585">
        <w:rPr>
          <w:rFonts w:hint="cs"/>
          <w:bCs/>
          <w:rtl/>
        </w:rPr>
        <w:t>،</w:t>
      </w:r>
      <w:r w:rsidRPr="00A52585">
        <w:rPr>
          <w:rFonts w:hint="cs"/>
          <w:bCs/>
          <w:rtl/>
        </w:rPr>
        <w:t xml:space="preserve"> ما نحن مجسمة</w:t>
      </w:r>
      <w:r w:rsidR="00897A24" w:rsidRPr="00A52585">
        <w:rPr>
          <w:rFonts w:hint="cs"/>
          <w:rtl/>
        </w:rPr>
        <w:t>.</w:t>
      </w:r>
      <w:r w:rsidRPr="00A52585">
        <w:rPr>
          <w:rFonts w:hint="cs"/>
          <w:rtl/>
        </w:rPr>
        <w:t xml:space="preserve">.؟ </w:t>
      </w:r>
      <w:r w:rsidRPr="00A52585">
        <w:rPr>
          <w:rFonts w:hint="cs"/>
          <w:u w:val="single"/>
          <w:rtl/>
        </w:rPr>
        <w:t xml:space="preserve">وقيل لابن </w:t>
      </w:r>
      <w:proofErr w:type="spellStart"/>
      <w:r w:rsidRPr="00A52585">
        <w:rPr>
          <w:rFonts w:hint="cs"/>
          <w:u w:val="single"/>
          <w:rtl/>
        </w:rPr>
        <w:t>الزاغوني</w:t>
      </w:r>
      <w:proofErr w:type="spellEnd"/>
      <w:r w:rsidR="0002035C" w:rsidRPr="00A52585">
        <w:rPr>
          <w:rFonts w:hint="cs"/>
          <w:rtl/>
        </w:rPr>
        <w:t>:</w:t>
      </w:r>
      <w:r w:rsidRPr="00A52585">
        <w:rPr>
          <w:rFonts w:hint="cs"/>
          <w:rtl/>
        </w:rPr>
        <w:t xml:space="preserve"> هل تجدون له صفة لم تكن له بعد خلق العرش</w:t>
      </w:r>
      <w:r w:rsidR="00897A24" w:rsidRPr="00A52585">
        <w:rPr>
          <w:rFonts w:hint="cs"/>
          <w:rtl/>
        </w:rPr>
        <w:t>.</w:t>
      </w:r>
      <w:r w:rsidRPr="00A52585">
        <w:rPr>
          <w:rFonts w:hint="cs"/>
          <w:rtl/>
        </w:rPr>
        <w:t>.؟ قال: لا إنما خلق العالم بصفة التحت</w:t>
      </w:r>
      <w:r w:rsidR="00DB731D" w:rsidRPr="00A52585">
        <w:rPr>
          <w:rFonts w:hint="cs"/>
          <w:rtl/>
        </w:rPr>
        <w:t>،</w:t>
      </w:r>
      <w:r w:rsidRPr="00A52585">
        <w:rPr>
          <w:rFonts w:hint="cs"/>
          <w:rtl/>
        </w:rPr>
        <w:t xml:space="preserve"> فصار العالم بالإضافة إليه أسفل فإذا ثبت </w:t>
      </w:r>
      <w:proofErr w:type="spellStart"/>
      <w:r w:rsidRPr="00A52585">
        <w:rPr>
          <w:rFonts w:hint="cs"/>
          <w:rtl/>
        </w:rPr>
        <w:t>لإحدي</w:t>
      </w:r>
      <w:proofErr w:type="spellEnd"/>
      <w:r w:rsidRPr="00A52585">
        <w:rPr>
          <w:rFonts w:hint="cs"/>
          <w:rtl/>
        </w:rPr>
        <w:t xml:space="preserve"> الذاتين صفة التحت تثبت لأخري صفة استحقاق الفوق قال</w:t>
      </w:r>
      <w:r w:rsidR="0002035C" w:rsidRPr="00A52585">
        <w:rPr>
          <w:rFonts w:hint="cs"/>
          <w:rtl/>
        </w:rPr>
        <w:t>:</w:t>
      </w:r>
      <w:r w:rsidRPr="00A52585">
        <w:rPr>
          <w:rFonts w:hint="cs"/>
          <w:rtl/>
        </w:rPr>
        <w:t xml:space="preserve"> وقد ثبت أن الأماكن ليست في ذاته</w:t>
      </w:r>
      <w:r w:rsidR="00DB731D" w:rsidRPr="00A52585">
        <w:rPr>
          <w:rFonts w:hint="cs"/>
          <w:rtl/>
        </w:rPr>
        <w:t>،</w:t>
      </w:r>
      <w:r w:rsidRPr="00A52585">
        <w:rPr>
          <w:rFonts w:hint="cs"/>
          <w:rtl/>
        </w:rPr>
        <w:t xml:space="preserve"> ولا ذاته فيها</w:t>
      </w:r>
      <w:r w:rsidR="00DB731D" w:rsidRPr="00A52585">
        <w:rPr>
          <w:rFonts w:hint="cs"/>
          <w:rtl/>
        </w:rPr>
        <w:t>،</w:t>
      </w:r>
      <w:r w:rsidRPr="00A52585">
        <w:rPr>
          <w:rFonts w:hint="cs"/>
          <w:rtl/>
        </w:rPr>
        <w:t xml:space="preserve"> فثبت انفصاله عنها</w:t>
      </w:r>
      <w:r w:rsidR="00DB731D" w:rsidRPr="00A52585">
        <w:rPr>
          <w:rFonts w:hint="cs"/>
          <w:rtl/>
        </w:rPr>
        <w:t>،</w:t>
      </w:r>
      <w:r w:rsidRPr="00A52585">
        <w:rPr>
          <w:rFonts w:hint="cs"/>
          <w:rtl/>
        </w:rPr>
        <w:t xml:space="preserve"> ولا بد من شيء يحصل به الفصل</w:t>
      </w:r>
      <w:r w:rsidR="00DB731D" w:rsidRPr="00A52585">
        <w:rPr>
          <w:rFonts w:hint="cs"/>
          <w:rtl/>
        </w:rPr>
        <w:t>،</w:t>
      </w:r>
      <w:r w:rsidRPr="00A52585">
        <w:rPr>
          <w:rFonts w:hint="cs"/>
          <w:rtl/>
        </w:rPr>
        <w:t xml:space="preserve"> فلما قال</w:t>
      </w:r>
      <w:r w:rsidR="0002035C" w:rsidRPr="00A52585">
        <w:rPr>
          <w:rFonts w:hint="cs"/>
          <w:rtl/>
        </w:rPr>
        <w:t>:</w:t>
      </w:r>
      <w:r w:rsidRPr="00A52585">
        <w:rPr>
          <w:rFonts w:hint="cs"/>
          <w:rtl/>
        </w:rPr>
        <w:t xml:space="preserve"> " ثم استوي " علمنا اختصاصه بتلك الجهة</w:t>
      </w:r>
      <w:r w:rsidR="00DB731D" w:rsidRPr="00A52585">
        <w:rPr>
          <w:rFonts w:hint="cs"/>
          <w:rtl/>
        </w:rPr>
        <w:t>،</w:t>
      </w:r>
      <w:r w:rsidRPr="00A52585">
        <w:rPr>
          <w:rFonts w:hint="cs"/>
          <w:rtl/>
        </w:rPr>
        <w:t xml:space="preserve"> </w:t>
      </w:r>
      <w:r w:rsidRPr="00A52585">
        <w:rPr>
          <w:rFonts w:hint="cs"/>
          <w:u w:val="single"/>
          <w:rtl/>
        </w:rPr>
        <w:t xml:space="preserve">قال بن </w:t>
      </w:r>
      <w:proofErr w:type="spellStart"/>
      <w:r w:rsidRPr="00A52585">
        <w:rPr>
          <w:rFonts w:hint="cs"/>
          <w:u w:val="single"/>
          <w:rtl/>
        </w:rPr>
        <w:t>الزاغوني</w:t>
      </w:r>
      <w:proofErr w:type="spellEnd"/>
      <w:r w:rsidR="0002035C" w:rsidRPr="00A52585">
        <w:rPr>
          <w:rFonts w:hint="cs"/>
          <w:rtl/>
        </w:rPr>
        <w:t>:</w:t>
      </w:r>
      <w:r w:rsidRPr="00A52585">
        <w:rPr>
          <w:rFonts w:hint="cs"/>
          <w:rtl/>
        </w:rPr>
        <w:t xml:space="preserve"> ولابد أن تكون لذاته نهاية وغاية نعلمها</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قلت</w:t>
      </w:r>
      <w:r w:rsidR="0002035C" w:rsidRPr="00A52585">
        <w:rPr>
          <w:rFonts w:hint="cs"/>
          <w:bCs/>
          <w:rtl/>
        </w:rPr>
        <w:t>):</w:t>
      </w:r>
      <w:r w:rsidRPr="00A52585">
        <w:rPr>
          <w:rFonts w:hint="cs"/>
          <w:bCs/>
          <w:rtl/>
        </w:rPr>
        <w:t xml:space="preserve"> وهذا رجل لا يدري ما يقول لأنه إذا قدر غاية وفصلا بين الخالق والمخلوق فقد حدده</w:t>
      </w:r>
      <w:r w:rsidR="00DB731D" w:rsidRPr="00A52585">
        <w:rPr>
          <w:rFonts w:hint="cs"/>
          <w:bCs/>
          <w:rtl/>
        </w:rPr>
        <w:t>،</w:t>
      </w:r>
      <w:r w:rsidRPr="00A52585">
        <w:rPr>
          <w:rFonts w:hint="cs"/>
          <w:bCs/>
          <w:rtl/>
        </w:rPr>
        <w:t xml:space="preserve"> وأقر بأنه جسم</w:t>
      </w:r>
      <w:r w:rsidR="00DB731D" w:rsidRPr="00A52585">
        <w:rPr>
          <w:rFonts w:hint="cs"/>
          <w:rtl/>
        </w:rPr>
        <w:t>،</w:t>
      </w:r>
      <w:r w:rsidRPr="00A52585">
        <w:rPr>
          <w:rFonts w:hint="cs"/>
          <w:rtl/>
        </w:rPr>
        <w:t xml:space="preserve"> وهو يقول في كتابه أنه ليس بجوهر</w:t>
      </w:r>
      <w:r w:rsidR="00DB731D" w:rsidRPr="00A52585">
        <w:rPr>
          <w:rFonts w:hint="cs"/>
          <w:rtl/>
        </w:rPr>
        <w:t>،</w:t>
      </w:r>
      <w:r w:rsidRPr="00A52585">
        <w:rPr>
          <w:rFonts w:hint="cs"/>
          <w:rtl/>
        </w:rPr>
        <w:t xml:space="preserve"> لأن الجوهر ما تحيز ثم يثبت له مكانا يتحيز فيه</w:t>
      </w:r>
      <w:r w:rsidR="00897A24" w:rsidRPr="00A52585">
        <w:rPr>
          <w:rFonts w:hint="cs"/>
          <w:rtl/>
        </w:rPr>
        <w:t>.</w:t>
      </w:r>
      <w:r w:rsidRPr="00A52585">
        <w:rPr>
          <w:rFonts w:hint="cs"/>
          <w:rtl/>
        </w:rPr>
        <w:t xml:space="preserve"> قلت </w:t>
      </w:r>
      <w:r w:rsidR="0002035C" w:rsidRPr="00A52585">
        <w:rPr>
          <w:rFonts w:hint="cs"/>
          <w:rtl/>
        </w:rPr>
        <w:t>(</w:t>
      </w:r>
      <w:r w:rsidRPr="00A52585">
        <w:rPr>
          <w:rFonts w:hint="cs"/>
          <w:rtl/>
        </w:rPr>
        <w:t>القائل ابن الجوزي</w:t>
      </w:r>
      <w:r w:rsidR="0002035C" w:rsidRPr="00A52585">
        <w:rPr>
          <w:rFonts w:hint="cs"/>
          <w:rtl/>
        </w:rPr>
        <w:t>):</w:t>
      </w:r>
      <w:r w:rsidRPr="00A52585">
        <w:rPr>
          <w:rFonts w:hint="cs"/>
          <w:rtl/>
        </w:rPr>
        <w:t xml:space="preserve"> وهنا كلام جهل من قائله</w:t>
      </w:r>
      <w:r w:rsidR="00DB731D" w:rsidRPr="00A52585">
        <w:rPr>
          <w:rFonts w:hint="cs"/>
          <w:rtl/>
        </w:rPr>
        <w:t>،</w:t>
      </w:r>
      <w:r w:rsidRPr="00A52585">
        <w:rPr>
          <w:rFonts w:hint="cs"/>
          <w:rtl/>
        </w:rPr>
        <w:t xml:space="preserve"> وتشبيه محض</w:t>
      </w:r>
      <w:r w:rsidR="00DB731D" w:rsidRPr="00A52585">
        <w:rPr>
          <w:rFonts w:hint="cs"/>
          <w:rtl/>
        </w:rPr>
        <w:t>،</w:t>
      </w:r>
      <w:r w:rsidRPr="00A52585">
        <w:rPr>
          <w:rFonts w:hint="cs"/>
          <w:rtl/>
        </w:rPr>
        <w:t xml:space="preserve"> فما عرف هذا الشيخ ما يجب للخالق</w:t>
      </w:r>
      <w:r w:rsidR="00DB731D" w:rsidRPr="00A52585">
        <w:rPr>
          <w:rFonts w:hint="cs"/>
          <w:rtl/>
        </w:rPr>
        <w:t>،</w:t>
      </w:r>
      <w:r w:rsidRPr="00A52585">
        <w:rPr>
          <w:rFonts w:hint="cs"/>
          <w:rtl/>
        </w:rPr>
        <w:t xml:space="preserve"> وما يستحيل عليه</w:t>
      </w:r>
      <w:r w:rsidR="00897A24" w:rsidRPr="00A52585">
        <w:rPr>
          <w:rFonts w:hint="cs"/>
          <w:rtl/>
        </w:rPr>
        <w:t>.</w:t>
      </w:r>
      <w:r w:rsidRPr="00A52585">
        <w:rPr>
          <w:rFonts w:hint="cs"/>
          <w:rtl/>
        </w:rPr>
        <w:t xml:space="preserve"> فإن وجوده تعالي ليس كوجود الجواهر والأجسام التي لابد لها من حيز</w:t>
      </w:r>
      <w:r w:rsidR="00DB731D" w:rsidRPr="00A52585">
        <w:rPr>
          <w:rFonts w:hint="cs"/>
          <w:rtl/>
        </w:rPr>
        <w:t>،</w:t>
      </w:r>
      <w:r w:rsidRPr="00A52585">
        <w:rPr>
          <w:rFonts w:hint="cs"/>
          <w:rtl/>
        </w:rPr>
        <w:t xml:space="preserve"> والتحت والفوق إنما يكون فيما يقابل </w:t>
      </w:r>
      <w:proofErr w:type="spellStart"/>
      <w:r w:rsidRPr="00A52585">
        <w:rPr>
          <w:rFonts w:hint="cs"/>
          <w:rtl/>
        </w:rPr>
        <w:t>ويحازي</w:t>
      </w:r>
      <w:proofErr w:type="spellEnd"/>
      <w:r w:rsidR="00DB731D" w:rsidRPr="00A52585">
        <w:rPr>
          <w:rFonts w:hint="cs"/>
          <w:rtl/>
        </w:rPr>
        <w:t>،</w:t>
      </w:r>
      <w:r w:rsidRPr="00A52585">
        <w:rPr>
          <w:rFonts w:hint="cs"/>
          <w:rtl/>
        </w:rPr>
        <w:t xml:space="preserve"> ومن ضرورة </w:t>
      </w:r>
      <w:proofErr w:type="spellStart"/>
      <w:r w:rsidRPr="00A52585">
        <w:rPr>
          <w:rFonts w:hint="cs"/>
          <w:rtl/>
        </w:rPr>
        <w:t>المحازي</w:t>
      </w:r>
      <w:proofErr w:type="spellEnd"/>
      <w:r w:rsidRPr="00A52585">
        <w:rPr>
          <w:rFonts w:hint="cs"/>
          <w:rtl/>
        </w:rPr>
        <w:t xml:space="preserve"> أن يكون أكبر من </w:t>
      </w:r>
      <w:proofErr w:type="spellStart"/>
      <w:r w:rsidRPr="00A52585">
        <w:rPr>
          <w:rFonts w:hint="cs"/>
          <w:rtl/>
        </w:rPr>
        <w:t>المحازي</w:t>
      </w:r>
      <w:proofErr w:type="spellEnd"/>
      <w:r w:rsidRPr="00A52585">
        <w:rPr>
          <w:rFonts w:hint="cs"/>
          <w:rtl/>
        </w:rPr>
        <w:t xml:space="preserve"> أو أصغر أو مثله</w:t>
      </w:r>
      <w:r w:rsidR="00DB731D" w:rsidRPr="00A52585">
        <w:rPr>
          <w:rFonts w:hint="cs"/>
          <w:rtl/>
        </w:rPr>
        <w:t>،</w:t>
      </w:r>
      <w:r w:rsidRPr="00A52585">
        <w:rPr>
          <w:rFonts w:hint="cs"/>
          <w:rtl/>
        </w:rPr>
        <w:t xml:space="preserve"> وإن هذا ومثله إنما يكون في الأجسام</w:t>
      </w:r>
      <w:r w:rsidR="00DB731D" w:rsidRPr="00A52585">
        <w:rPr>
          <w:rFonts w:hint="cs"/>
          <w:rtl/>
        </w:rPr>
        <w:t>،</w:t>
      </w:r>
      <w:r w:rsidRPr="00A52585">
        <w:rPr>
          <w:rFonts w:hint="cs"/>
          <w:rtl/>
        </w:rPr>
        <w:t xml:space="preserve"> وكل ما </w:t>
      </w:r>
      <w:proofErr w:type="spellStart"/>
      <w:r w:rsidRPr="00A52585">
        <w:rPr>
          <w:rFonts w:hint="cs"/>
          <w:rtl/>
        </w:rPr>
        <w:t>يحازي</w:t>
      </w:r>
      <w:proofErr w:type="spellEnd"/>
      <w:r w:rsidRPr="00A52585">
        <w:rPr>
          <w:rFonts w:hint="cs"/>
          <w:rtl/>
        </w:rPr>
        <w:t xml:space="preserve"> الأجسام يجوز أن يمسها</w:t>
      </w:r>
      <w:r w:rsidR="00DB731D" w:rsidRPr="00A52585">
        <w:rPr>
          <w:rFonts w:hint="cs"/>
          <w:rtl/>
        </w:rPr>
        <w:t>،</w:t>
      </w:r>
      <w:r w:rsidRPr="00A52585">
        <w:rPr>
          <w:rFonts w:hint="cs"/>
          <w:rtl/>
        </w:rPr>
        <w:t xml:space="preserve"> وما جاز عليه مماسة الأجسام ومباينتها فهو حادث</w:t>
      </w:r>
      <w:r w:rsidR="00DB731D" w:rsidRPr="00A52585">
        <w:rPr>
          <w:rFonts w:hint="cs"/>
          <w:rtl/>
        </w:rPr>
        <w:t>،</w:t>
      </w:r>
      <w:r w:rsidRPr="00A52585">
        <w:rPr>
          <w:rFonts w:hint="cs"/>
          <w:rtl/>
        </w:rPr>
        <w:t xml:space="preserve"> إذا ثبت أن الدليل علي حدوث الجواهر قبولها للمباينة والمماسة</w:t>
      </w:r>
      <w:r w:rsidR="00897A24" w:rsidRPr="00A52585">
        <w:rPr>
          <w:rFonts w:hint="cs"/>
          <w:rtl/>
        </w:rPr>
        <w:t>.</w:t>
      </w:r>
      <w:r w:rsidRPr="00A52585">
        <w:rPr>
          <w:rFonts w:hint="cs"/>
          <w:rtl/>
        </w:rPr>
        <w:t xml:space="preserve"> فإذا أجازوا هذا عليه</w:t>
      </w:r>
      <w:r w:rsidR="00DB731D" w:rsidRPr="00A52585">
        <w:rPr>
          <w:rFonts w:hint="cs"/>
          <w:rtl/>
        </w:rPr>
        <w:t>،</w:t>
      </w:r>
      <w:r w:rsidRPr="00A52585">
        <w:rPr>
          <w:rFonts w:hint="cs"/>
          <w:rtl/>
        </w:rPr>
        <w:t xml:space="preserve"> قالوا بجواز حدوثه</w:t>
      </w:r>
      <w:r w:rsidR="00DB731D" w:rsidRPr="00A52585">
        <w:rPr>
          <w:rFonts w:hint="cs"/>
          <w:rtl/>
        </w:rPr>
        <w:t>،</w:t>
      </w:r>
      <w:r w:rsidRPr="00A52585">
        <w:rPr>
          <w:rFonts w:hint="cs"/>
          <w:rtl/>
        </w:rPr>
        <w:t xml:space="preserve"> وإن منعوا جواز هذا عليه</w:t>
      </w:r>
      <w:r w:rsidR="00DB731D" w:rsidRPr="00A52585">
        <w:rPr>
          <w:rFonts w:hint="cs"/>
          <w:rtl/>
        </w:rPr>
        <w:t>،</w:t>
      </w:r>
      <w:r w:rsidRPr="00A52585">
        <w:rPr>
          <w:rFonts w:hint="cs"/>
          <w:rtl/>
        </w:rPr>
        <w:t xml:space="preserve"> لم يبق لنا طريق لإثبات حدوث الجواهر، ومتي قدرنا مستغنيا عن المحل والحيز محتاجا </w:t>
      </w:r>
      <w:proofErr w:type="gramStart"/>
      <w:r w:rsidRPr="00A52585">
        <w:rPr>
          <w:rFonts w:hint="cs"/>
          <w:rtl/>
        </w:rPr>
        <w:t>إلي</w:t>
      </w:r>
      <w:proofErr w:type="gramEnd"/>
      <w:r w:rsidRPr="00A52585">
        <w:rPr>
          <w:rFonts w:hint="cs"/>
          <w:rtl/>
        </w:rPr>
        <w:t xml:space="preserve"> الحيز</w:t>
      </w:r>
      <w:r w:rsidR="00DB731D" w:rsidRPr="00A52585">
        <w:rPr>
          <w:rFonts w:hint="cs"/>
          <w:rtl/>
        </w:rPr>
        <w:t>،</w:t>
      </w:r>
      <w:r w:rsidRPr="00A52585">
        <w:rPr>
          <w:rFonts w:hint="cs"/>
          <w:rtl/>
        </w:rPr>
        <w:t xml:space="preserve"> ثم قلنا</w:t>
      </w:r>
      <w:r w:rsidR="00DB731D" w:rsidRPr="00A52585">
        <w:rPr>
          <w:rFonts w:hint="cs"/>
          <w:rtl/>
        </w:rPr>
        <w:t>،</w:t>
      </w:r>
      <w:r w:rsidRPr="00A52585">
        <w:rPr>
          <w:rFonts w:hint="cs"/>
          <w:rtl/>
        </w:rPr>
        <w:t xml:space="preserve"> إما أن يكون </w:t>
      </w:r>
      <w:proofErr w:type="spellStart"/>
      <w:r w:rsidRPr="00A52585">
        <w:rPr>
          <w:rFonts w:hint="cs"/>
          <w:rtl/>
        </w:rPr>
        <w:t>متج</w:t>
      </w:r>
      <w:proofErr w:type="spellEnd"/>
      <w:r w:rsidR="0002035C" w:rsidRPr="00A52585">
        <w:rPr>
          <w:rFonts w:hint="cs"/>
          <w:rtl/>
        </w:rPr>
        <w:t xml:space="preserve"> </w:t>
      </w:r>
      <w:r w:rsidRPr="00A52585">
        <w:rPr>
          <w:rFonts w:hint="cs"/>
          <w:rtl/>
        </w:rPr>
        <w:t>اورين ومتباين</w:t>
      </w:r>
      <w:r w:rsidR="00DB731D" w:rsidRPr="00A52585">
        <w:rPr>
          <w:rFonts w:hint="cs"/>
          <w:rtl/>
        </w:rPr>
        <w:t>،</w:t>
      </w:r>
      <w:r w:rsidRPr="00A52585">
        <w:rPr>
          <w:rFonts w:hint="cs"/>
          <w:rtl/>
        </w:rPr>
        <w:t xml:space="preserve"> كان ذلك محالا</w:t>
      </w:r>
      <w:r w:rsidR="00897A24" w:rsidRPr="00A52585">
        <w:rPr>
          <w:rFonts w:hint="cs"/>
          <w:rtl/>
        </w:rPr>
        <w:t>.</w:t>
      </w:r>
      <w:r w:rsidRPr="00A52585">
        <w:rPr>
          <w:rFonts w:hint="cs"/>
          <w:rtl/>
        </w:rPr>
        <w:t xml:space="preserve"> فإن المتجاور والمتباين من لوازم المتحيز في المتحيزات</w:t>
      </w:r>
      <w:r w:rsidR="00DB731D" w:rsidRPr="00A52585">
        <w:rPr>
          <w:rFonts w:hint="cs"/>
          <w:rtl/>
        </w:rPr>
        <w:t>،</w:t>
      </w:r>
      <w:r w:rsidRPr="00A52585">
        <w:rPr>
          <w:rFonts w:hint="cs"/>
          <w:rtl/>
        </w:rPr>
        <w:t xml:space="preserve"> وقد ثبت أن الاجتماع والافتراق من لوازم المتحيز</w:t>
      </w:r>
      <w:r w:rsidR="00DB731D" w:rsidRPr="00A52585">
        <w:rPr>
          <w:rFonts w:hint="cs"/>
          <w:rtl/>
        </w:rPr>
        <w:t>،</w:t>
      </w:r>
      <w:r w:rsidRPr="00A52585">
        <w:rPr>
          <w:rFonts w:hint="cs"/>
          <w:rtl/>
        </w:rPr>
        <w:t xml:space="preserve"> والحق سبحانه وتعالي لا يوصف بالتحيز</w:t>
      </w:r>
      <w:r w:rsidR="00DB731D" w:rsidRPr="00A52585">
        <w:rPr>
          <w:rFonts w:hint="cs"/>
          <w:rtl/>
        </w:rPr>
        <w:t>،</w:t>
      </w:r>
      <w:r w:rsidRPr="00A52585">
        <w:rPr>
          <w:rFonts w:hint="cs"/>
          <w:rtl/>
        </w:rPr>
        <w:t xml:space="preserve"> لأنه لو كان متحيزا لم يخل إما أن يكون ساكنا في حيزه</w:t>
      </w:r>
      <w:r w:rsidR="00DB731D" w:rsidRPr="00A52585">
        <w:rPr>
          <w:rFonts w:hint="cs"/>
          <w:rtl/>
        </w:rPr>
        <w:t>،</w:t>
      </w:r>
      <w:r w:rsidRPr="00A52585">
        <w:rPr>
          <w:rFonts w:hint="cs"/>
          <w:rtl/>
        </w:rPr>
        <w:t xml:space="preserve"> </w:t>
      </w:r>
      <w:proofErr w:type="spellStart"/>
      <w:r w:rsidRPr="00A52585">
        <w:rPr>
          <w:rFonts w:hint="cs"/>
          <w:rtl/>
        </w:rPr>
        <w:t>أومتحركا</w:t>
      </w:r>
      <w:proofErr w:type="spellEnd"/>
      <w:r w:rsidRPr="00A52585">
        <w:rPr>
          <w:rFonts w:hint="cs"/>
          <w:rtl/>
        </w:rPr>
        <w:t xml:space="preserve"> عنه</w:t>
      </w:r>
      <w:r w:rsidR="00DB731D" w:rsidRPr="00A52585">
        <w:rPr>
          <w:rFonts w:hint="cs"/>
          <w:rtl/>
        </w:rPr>
        <w:t>،</w:t>
      </w:r>
      <w:r w:rsidRPr="00A52585">
        <w:rPr>
          <w:rFonts w:hint="cs"/>
          <w:rtl/>
        </w:rPr>
        <w:t xml:space="preserve"> ولا يجوز أن يوصف بحركة أو سكون</w:t>
      </w:r>
      <w:r w:rsidR="00DB731D" w:rsidRPr="00A52585">
        <w:rPr>
          <w:rFonts w:hint="cs"/>
          <w:rtl/>
        </w:rPr>
        <w:t>،</w:t>
      </w:r>
      <w:r w:rsidRPr="00A52585">
        <w:rPr>
          <w:rFonts w:hint="cs"/>
          <w:rtl/>
        </w:rPr>
        <w:t xml:space="preserve"> ولا اجتماع ولا افتراق</w:t>
      </w:r>
      <w:r w:rsidR="00DB731D" w:rsidRPr="00A52585">
        <w:rPr>
          <w:rFonts w:hint="cs"/>
          <w:rtl/>
        </w:rPr>
        <w:t>،</w:t>
      </w:r>
      <w:r w:rsidRPr="00A52585">
        <w:rPr>
          <w:rFonts w:hint="cs"/>
          <w:rtl/>
        </w:rPr>
        <w:t xml:space="preserve"> وما جاور أو باين</w:t>
      </w:r>
      <w:r w:rsidR="00DB731D" w:rsidRPr="00A52585">
        <w:rPr>
          <w:rFonts w:hint="cs"/>
          <w:rtl/>
        </w:rPr>
        <w:t>،</w:t>
      </w:r>
      <w:r w:rsidRPr="00A52585">
        <w:rPr>
          <w:rFonts w:hint="cs"/>
          <w:rtl/>
        </w:rPr>
        <w:t xml:space="preserve"> فقد تناهي ذاتيا</w:t>
      </w:r>
      <w:r w:rsidR="00DB731D" w:rsidRPr="00A52585">
        <w:rPr>
          <w:rFonts w:hint="cs"/>
          <w:rtl/>
        </w:rPr>
        <w:t>،</w:t>
      </w:r>
      <w:r w:rsidRPr="00A52585">
        <w:rPr>
          <w:rFonts w:hint="cs"/>
          <w:rtl/>
        </w:rPr>
        <w:t xml:space="preserve"> والمتناهي إذا خص بمقدار</w:t>
      </w:r>
      <w:r w:rsidR="00DB731D" w:rsidRPr="00A52585">
        <w:rPr>
          <w:rFonts w:hint="cs"/>
          <w:rtl/>
        </w:rPr>
        <w:t>،</w:t>
      </w:r>
      <w:r w:rsidRPr="00A52585">
        <w:rPr>
          <w:rFonts w:hint="cs"/>
          <w:rtl/>
        </w:rPr>
        <w:t xml:space="preserve"> استدعي مخصصا</w:t>
      </w:r>
      <w:r w:rsidR="00DB731D" w:rsidRPr="00A52585">
        <w:rPr>
          <w:rFonts w:hint="cs"/>
          <w:rtl/>
        </w:rPr>
        <w:t>،</w:t>
      </w:r>
      <w:r w:rsidRPr="00A52585">
        <w:rPr>
          <w:rFonts w:hint="cs"/>
          <w:rtl/>
        </w:rPr>
        <w:t xml:space="preserve"> وكذا ينبغي </w:t>
      </w:r>
      <w:proofErr w:type="gramStart"/>
      <w:r w:rsidRPr="00A52585">
        <w:rPr>
          <w:rFonts w:hint="cs"/>
          <w:rtl/>
        </w:rPr>
        <w:t>أن لا</w:t>
      </w:r>
      <w:proofErr w:type="gramEnd"/>
      <w:r w:rsidRPr="00A52585">
        <w:rPr>
          <w:rFonts w:hint="cs"/>
          <w:rtl/>
        </w:rPr>
        <w:t xml:space="preserve"> يقال</w:t>
      </w:r>
      <w:r w:rsidR="00DB731D" w:rsidRPr="00A52585">
        <w:rPr>
          <w:rFonts w:hint="cs"/>
          <w:rtl/>
        </w:rPr>
        <w:t>،</w:t>
      </w:r>
      <w:r w:rsidRPr="00A52585">
        <w:rPr>
          <w:rFonts w:hint="cs"/>
          <w:rtl/>
        </w:rPr>
        <w:t xml:space="preserve"> ليس بداخل العالم</w:t>
      </w:r>
      <w:r w:rsidR="00DB731D" w:rsidRPr="00A52585">
        <w:rPr>
          <w:rFonts w:hint="cs"/>
          <w:rtl/>
        </w:rPr>
        <w:t>،</w:t>
      </w:r>
      <w:r w:rsidR="0002035C" w:rsidRPr="00A52585">
        <w:rPr>
          <w:rFonts w:hint="cs"/>
          <w:rtl/>
        </w:rPr>
        <w:t xml:space="preserve"> </w:t>
      </w:r>
      <w:r w:rsidRPr="00A52585">
        <w:rPr>
          <w:rFonts w:hint="cs"/>
          <w:rtl/>
        </w:rPr>
        <w:t>وليس بخارج منه لأن الدخول والخروج من لوازم المتحيزات وهما كالحركة والسكون كسائر الأعراض التي تختص بالأجرام</w:t>
      </w:r>
      <w:r w:rsidR="00897A24" w:rsidRPr="00A52585">
        <w:rPr>
          <w:rFonts w:hint="cs"/>
          <w:rtl/>
        </w:rPr>
        <w:t>.</w:t>
      </w:r>
      <w:r w:rsidRPr="00A52585">
        <w:rPr>
          <w:rFonts w:hint="cs"/>
          <w:rtl/>
        </w:rPr>
        <w:t xml:space="preserve"> وأما قولهم خلق الأماكن لا في ذاته</w:t>
      </w:r>
      <w:r w:rsidR="00DB731D" w:rsidRPr="00A52585">
        <w:rPr>
          <w:rFonts w:hint="cs"/>
          <w:rtl/>
        </w:rPr>
        <w:t>،</w:t>
      </w:r>
      <w:r w:rsidRPr="00A52585">
        <w:rPr>
          <w:rFonts w:hint="cs"/>
          <w:rtl/>
        </w:rPr>
        <w:t xml:space="preserve"> فثبت انفصاله عنها</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قلنا</w:t>
      </w:r>
      <w:r w:rsidR="0002035C" w:rsidRPr="00A52585">
        <w:rPr>
          <w:rFonts w:hint="cs"/>
          <w:rtl/>
        </w:rPr>
        <w:t>):</w:t>
      </w:r>
      <w:r w:rsidRPr="00A52585">
        <w:rPr>
          <w:rFonts w:hint="cs"/>
          <w:rtl/>
        </w:rPr>
        <w:t xml:space="preserve"> ذاته تعالي لا يقبل أن يخلق منها شيء</w:t>
      </w:r>
      <w:r w:rsidR="00DB731D" w:rsidRPr="00A52585">
        <w:rPr>
          <w:rFonts w:hint="cs"/>
          <w:rtl/>
        </w:rPr>
        <w:t>،</w:t>
      </w:r>
      <w:r w:rsidRPr="00A52585">
        <w:rPr>
          <w:rFonts w:hint="cs"/>
          <w:rtl/>
        </w:rPr>
        <w:t xml:space="preserve"> ولا أن يحل فيها شيء</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 xml:space="preserve">والفصل من حيث الحس يوجب عليه ما يوجب </w:t>
      </w:r>
      <w:proofErr w:type="gramStart"/>
      <w:r w:rsidRPr="00A52585">
        <w:rPr>
          <w:rFonts w:hint="cs"/>
          <w:rtl/>
        </w:rPr>
        <w:t>علي</w:t>
      </w:r>
      <w:proofErr w:type="gramEnd"/>
      <w:r w:rsidRPr="00A52585">
        <w:rPr>
          <w:rFonts w:hint="cs"/>
          <w:rtl/>
        </w:rPr>
        <w:t xml:space="preserve"> الجواهر</w:t>
      </w:r>
      <w:r w:rsidR="00DB731D" w:rsidRPr="00A52585">
        <w:rPr>
          <w:rFonts w:hint="cs"/>
          <w:rtl/>
        </w:rPr>
        <w:t>،</w:t>
      </w:r>
      <w:r w:rsidRPr="00A52585">
        <w:rPr>
          <w:rFonts w:hint="cs"/>
          <w:rtl/>
        </w:rPr>
        <w:t xml:space="preserve"> ومعني الحيز أن الذي يختص به يمنع مثله أن يوجد</w:t>
      </w:r>
      <w:r w:rsidR="00DB731D" w:rsidRPr="00A52585">
        <w:rPr>
          <w:rFonts w:hint="cs"/>
          <w:rtl/>
        </w:rPr>
        <w:t>،</w:t>
      </w:r>
      <w:r w:rsidRPr="00A52585">
        <w:rPr>
          <w:rFonts w:hint="cs"/>
          <w:rtl/>
        </w:rPr>
        <w:t xml:space="preserve"> وكلام هؤلاء كله مبني علي الحس</w:t>
      </w:r>
      <w:r w:rsidR="00DB731D" w:rsidRPr="00A52585">
        <w:rPr>
          <w:rFonts w:hint="cs"/>
          <w:rtl/>
        </w:rPr>
        <w:t>،</w:t>
      </w:r>
      <w:r w:rsidRPr="00A52585">
        <w:rPr>
          <w:rFonts w:hint="cs"/>
          <w:rtl/>
        </w:rPr>
        <w:t xml:space="preserve"> وقد حملهم الحس علي التشبيه والتخليط حتي قال بعضهم</w:t>
      </w:r>
      <w:r w:rsidR="0002035C" w:rsidRPr="00A52585">
        <w:rPr>
          <w:rFonts w:hint="cs"/>
          <w:rtl/>
        </w:rPr>
        <w:t>:</w:t>
      </w:r>
      <w:r w:rsidRPr="00A52585">
        <w:rPr>
          <w:rFonts w:hint="cs"/>
          <w:rtl/>
        </w:rPr>
        <w:t xml:space="preserve"> إنما ذكر الاستواء علي العرش لأنه أقرب الموجودات إليه</w:t>
      </w:r>
      <w:r w:rsidR="00897A24" w:rsidRPr="00A52585">
        <w:rPr>
          <w:rFonts w:hint="cs"/>
          <w:rtl/>
        </w:rPr>
        <w:t>.</w:t>
      </w:r>
      <w:r w:rsidRPr="00A52585">
        <w:rPr>
          <w:rFonts w:hint="cs"/>
          <w:rtl/>
        </w:rPr>
        <w:t xml:space="preserve"> وهذا </w:t>
      </w:r>
      <w:r w:rsidRPr="00A52585">
        <w:rPr>
          <w:rFonts w:hint="cs"/>
          <w:rtl/>
        </w:rPr>
        <w:lastRenderedPageBreak/>
        <w:t>جهل أيضا</w:t>
      </w:r>
      <w:r w:rsidR="00897A24" w:rsidRPr="00A52585">
        <w:rPr>
          <w:rFonts w:hint="cs"/>
          <w:rtl/>
        </w:rPr>
        <w:t>.</w:t>
      </w:r>
      <w:r w:rsidRPr="00A52585">
        <w:rPr>
          <w:rFonts w:hint="cs"/>
          <w:rtl/>
        </w:rPr>
        <w:t xml:space="preserve"> لأن قرب المساحة لا يتصور إلا في حق الجسم</w:t>
      </w:r>
      <w:r w:rsidR="00DB731D" w:rsidRPr="00A52585">
        <w:rPr>
          <w:rFonts w:hint="cs"/>
          <w:rtl/>
        </w:rPr>
        <w:t>،</w:t>
      </w:r>
      <w:r w:rsidR="0002035C" w:rsidRPr="00A52585">
        <w:rPr>
          <w:rFonts w:hint="cs"/>
          <w:rtl/>
        </w:rPr>
        <w:t xml:space="preserve"> </w:t>
      </w:r>
      <w:r w:rsidRPr="00A52585">
        <w:rPr>
          <w:rFonts w:hint="cs"/>
          <w:rtl/>
        </w:rPr>
        <w:t>وقال بعضهم</w:t>
      </w:r>
      <w:r w:rsidR="0002035C" w:rsidRPr="00A52585">
        <w:rPr>
          <w:rFonts w:hint="cs"/>
          <w:rtl/>
        </w:rPr>
        <w:t>:</w:t>
      </w:r>
      <w:r w:rsidRPr="00A52585">
        <w:rPr>
          <w:rFonts w:hint="cs"/>
          <w:rtl/>
        </w:rPr>
        <w:t xml:space="preserve"> جهة العرش تحازي ما يقابله من الذات ولا تحازي جميع الذات وهذا صريح في التجسيم والتبعيض</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 xml:space="preserve">ويعز علينا كيف هذا القائل ينسب </w:t>
      </w:r>
      <w:proofErr w:type="gramStart"/>
      <w:r w:rsidRPr="00A52585">
        <w:rPr>
          <w:rFonts w:hint="cs"/>
          <w:bCs/>
          <w:rtl/>
        </w:rPr>
        <w:t>إلي</w:t>
      </w:r>
      <w:proofErr w:type="gramEnd"/>
      <w:r w:rsidRPr="00A52585">
        <w:rPr>
          <w:rFonts w:hint="cs"/>
          <w:bCs/>
          <w:rtl/>
        </w:rPr>
        <w:t xml:space="preserve"> مذهبنا</w:t>
      </w:r>
      <w:r w:rsidR="00F95886" w:rsidRPr="00A52585">
        <w:rPr>
          <w:rFonts w:hint="cs"/>
          <w:bCs/>
          <w:rtl/>
        </w:rPr>
        <w:t>؟</w:t>
      </w:r>
      <w:r w:rsidRPr="00A52585">
        <w:rPr>
          <w:rFonts w:hint="cs"/>
          <w:rtl/>
        </w:rPr>
        <w:t xml:space="preserve"> واحتج بعضهم بأنه </w:t>
      </w:r>
      <w:proofErr w:type="gramStart"/>
      <w:r w:rsidRPr="00A52585">
        <w:rPr>
          <w:rFonts w:hint="cs"/>
          <w:rtl/>
        </w:rPr>
        <w:t>علي</w:t>
      </w:r>
      <w:proofErr w:type="gramEnd"/>
      <w:r w:rsidRPr="00A52585">
        <w:rPr>
          <w:rFonts w:hint="cs"/>
          <w:rtl/>
        </w:rPr>
        <w:t xml:space="preserve"> العرش بقوله تعالي</w:t>
      </w:r>
      <w:r w:rsidR="0002035C" w:rsidRPr="00A52585">
        <w:rPr>
          <w:rFonts w:hint="cs"/>
          <w:rtl/>
        </w:rPr>
        <w:t>:</w:t>
      </w:r>
      <w:r w:rsidRPr="00A52585">
        <w:rPr>
          <w:rFonts w:hint="cs"/>
          <w:rtl/>
        </w:rPr>
        <w:t xml:space="preserve"> " إليه يصعد الكلم الطيب والعمل الصالح يرفعه " وبقوله تعالي " وهو القاهر فوق عباده " وجعلوا ذلك فوقيه حسية</w:t>
      </w:r>
      <w:r w:rsidR="00DB731D" w:rsidRPr="00A52585">
        <w:rPr>
          <w:rFonts w:hint="cs"/>
          <w:rtl/>
        </w:rPr>
        <w:t>،</w:t>
      </w:r>
      <w:r w:rsidRPr="00A52585">
        <w:rPr>
          <w:rFonts w:hint="cs"/>
          <w:rtl/>
        </w:rPr>
        <w:t xml:space="preserve"> ونسوا أن الفوقية الحسية إنما تكون لجسم أو جوهر وأن الفوقية قد تطلق لعلو المرتبة فيقال</w:t>
      </w:r>
      <w:r w:rsidR="0002035C" w:rsidRPr="00A52585">
        <w:rPr>
          <w:rFonts w:hint="cs"/>
          <w:rtl/>
        </w:rPr>
        <w:t>:</w:t>
      </w:r>
      <w:r w:rsidRPr="00A52585">
        <w:rPr>
          <w:rFonts w:hint="cs"/>
          <w:rtl/>
        </w:rPr>
        <w:t xml:space="preserve"> فلان فوق فلان</w:t>
      </w:r>
      <w:r w:rsidR="00DB731D" w:rsidRPr="00A52585">
        <w:rPr>
          <w:rFonts w:hint="cs"/>
          <w:rtl/>
        </w:rPr>
        <w:t>،</w:t>
      </w:r>
      <w:r w:rsidRPr="00A52585">
        <w:rPr>
          <w:rFonts w:hint="cs"/>
          <w:rtl/>
        </w:rPr>
        <w:t xml:space="preserve"> ثم أنه كما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فوق عباده</w:t>
      </w:r>
      <w:r w:rsidR="0002035C"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وهو معكم</w:t>
      </w:r>
      <w:r w:rsidR="0002035C" w:rsidRPr="00A52585">
        <w:rPr>
          <w:rFonts w:hint="cs"/>
          <w:rtl/>
        </w:rPr>
        <w:t>}</w:t>
      </w:r>
      <w:r w:rsidR="00DB731D" w:rsidRPr="00A52585">
        <w:rPr>
          <w:rFonts w:hint="cs"/>
          <w:rtl/>
        </w:rPr>
        <w:t>،</w:t>
      </w:r>
      <w:r w:rsidRPr="00A52585">
        <w:rPr>
          <w:rFonts w:hint="cs"/>
          <w:rtl/>
        </w:rPr>
        <w:t xml:space="preserve"> فمن حملها علي العلم</w:t>
      </w:r>
      <w:r w:rsidR="00DB731D" w:rsidRPr="00A52585">
        <w:rPr>
          <w:rFonts w:hint="cs"/>
          <w:rtl/>
        </w:rPr>
        <w:t>،</w:t>
      </w:r>
      <w:r w:rsidRPr="00A52585">
        <w:rPr>
          <w:rFonts w:hint="cs"/>
          <w:rtl/>
        </w:rPr>
        <w:t xml:space="preserve"> حمل خصمه الاستواء علي القهر</w:t>
      </w:r>
      <w:r w:rsidR="00897A24" w:rsidRPr="00A52585">
        <w:rPr>
          <w:rFonts w:hint="cs"/>
          <w:rtl/>
        </w:rPr>
        <w:t>.</w:t>
      </w:r>
      <w:r w:rsidRPr="00A52585">
        <w:rPr>
          <w:rFonts w:hint="cs"/>
          <w:rtl/>
        </w:rPr>
        <w:t xml:space="preserve"> أخبرنا علي بن محمد بن عمر الدباس</w:t>
      </w:r>
      <w:r w:rsidR="00DB731D" w:rsidRPr="00A52585">
        <w:rPr>
          <w:rFonts w:hint="cs"/>
          <w:rtl/>
        </w:rPr>
        <w:t>،</w:t>
      </w:r>
      <w:r w:rsidRPr="00A52585">
        <w:rPr>
          <w:rFonts w:hint="cs"/>
          <w:rtl/>
        </w:rPr>
        <w:t xml:space="preserve"> قال أنبأنا رزق الله بن عبد الوهاب التميمي قال</w:t>
      </w:r>
      <w:r w:rsidR="0002035C" w:rsidRPr="00A52585">
        <w:rPr>
          <w:rFonts w:hint="cs"/>
          <w:rtl/>
        </w:rPr>
        <w:t>:</w:t>
      </w:r>
      <w:r w:rsidRPr="00A52585">
        <w:rPr>
          <w:rFonts w:hint="cs"/>
          <w:rtl/>
        </w:rPr>
        <w:t xml:space="preserve"> كان أحمد بن حنبل يقول</w:t>
      </w:r>
      <w:r w:rsidR="0002035C" w:rsidRPr="00A52585">
        <w:rPr>
          <w:rFonts w:hint="cs"/>
          <w:rtl/>
        </w:rPr>
        <w:t>:</w:t>
      </w:r>
      <w:r w:rsidRPr="00A52585">
        <w:rPr>
          <w:rFonts w:hint="cs"/>
          <w:rtl/>
        </w:rPr>
        <w:t xml:space="preserve"> الاستواء صفة مسلمة وليست بمعني القصد ولا الاستعلاء</w:t>
      </w:r>
      <w:r w:rsidR="00897A24" w:rsidRPr="00A52585">
        <w:rPr>
          <w:rFonts w:hint="cs"/>
          <w:rtl/>
        </w:rPr>
        <w:t>.</w:t>
      </w:r>
      <w:r w:rsidRPr="00A52585">
        <w:rPr>
          <w:rFonts w:hint="cs"/>
          <w:rtl/>
        </w:rPr>
        <w:t xml:space="preserve"> قال ابن حامد</w:t>
      </w:r>
      <w:r w:rsidR="0002035C" w:rsidRPr="00A52585">
        <w:rPr>
          <w:rFonts w:hint="cs"/>
          <w:rtl/>
        </w:rPr>
        <w:t>:</w:t>
      </w:r>
      <w:r w:rsidRPr="00A52585">
        <w:rPr>
          <w:rFonts w:hint="cs"/>
          <w:rtl/>
        </w:rPr>
        <w:t xml:space="preserve"> الحق يختص بمكان دون مكان ومكانه الذي هو فيه وجود ذاته </w:t>
      </w:r>
      <w:proofErr w:type="gramStart"/>
      <w:r w:rsidRPr="00A52585">
        <w:rPr>
          <w:rFonts w:hint="cs"/>
          <w:rtl/>
        </w:rPr>
        <w:t>علي</w:t>
      </w:r>
      <w:proofErr w:type="gramEnd"/>
      <w:r w:rsidRPr="00A52585">
        <w:rPr>
          <w:rFonts w:hint="cs"/>
          <w:rtl/>
        </w:rPr>
        <w:t xml:space="preserve"> عرشه وقال</w:t>
      </w:r>
      <w:r w:rsidR="0002035C" w:rsidRPr="00A52585">
        <w:rPr>
          <w:rFonts w:hint="cs"/>
          <w:rtl/>
        </w:rPr>
        <w:t>:</w:t>
      </w:r>
      <w:r w:rsidRPr="00A52585">
        <w:rPr>
          <w:rFonts w:hint="cs"/>
          <w:rtl/>
        </w:rPr>
        <w:t xml:space="preserve"> وذهبت طائفة أن الاستواء علي عرشه قد ملأ</w:t>
      </w:r>
      <w:r w:rsidR="00DB731D" w:rsidRPr="00A52585">
        <w:rPr>
          <w:rFonts w:hint="cs"/>
          <w:rtl/>
        </w:rPr>
        <w:t>،</w:t>
      </w:r>
      <w:r w:rsidRPr="00A52585">
        <w:rPr>
          <w:rFonts w:hint="cs"/>
          <w:rtl/>
        </w:rPr>
        <w:t xml:space="preserve"> والأشبه أنه مماس للعرش الكرسي بوضع قدميه</w:t>
      </w:r>
      <w:r w:rsidR="00897A24" w:rsidRPr="00A52585">
        <w:rPr>
          <w:rFonts w:hint="cs"/>
          <w:rtl/>
        </w:rPr>
        <w:t>.</w:t>
      </w:r>
      <w:r w:rsidRPr="00A52585">
        <w:rPr>
          <w:rFonts w:hint="cs"/>
          <w:rtl/>
        </w:rPr>
        <w:t xml:space="preserve"> قلت المماسة إنما تقع بين جسمين</w:t>
      </w:r>
      <w:r w:rsidR="00DB731D" w:rsidRPr="00A52585">
        <w:rPr>
          <w:rFonts w:hint="cs"/>
          <w:rtl/>
        </w:rPr>
        <w:t>،</w:t>
      </w:r>
      <w:r w:rsidRPr="00A52585">
        <w:rPr>
          <w:rFonts w:hint="cs"/>
          <w:rtl/>
        </w:rPr>
        <w:t xml:space="preserve"> وما أبقي هذا في التجسيم </w:t>
      </w:r>
      <w:proofErr w:type="gramStart"/>
      <w:r w:rsidRPr="00A52585">
        <w:rPr>
          <w:rFonts w:hint="cs"/>
          <w:rtl/>
        </w:rPr>
        <w:t>بقية</w:t>
      </w:r>
      <w:r w:rsidR="00897A24" w:rsidRPr="00A52585">
        <w:rPr>
          <w:rFonts w:hint="cs"/>
          <w:rtl/>
        </w:rPr>
        <w:t>.</w:t>
      </w:r>
      <w:r w:rsidRPr="00A52585">
        <w:rPr>
          <w:rFonts w:hint="cs"/>
          <w:rtl/>
        </w:rPr>
        <w:t>.؟</w:t>
      </w:r>
      <w:proofErr w:type="gramEnd"/>
    </w:p>
    <w:p w14:paraId="616AF93A" w14:textId="030870AD" w:rsidR="00777DCB" w:rsidRPr="00A52585" w:rsidRDefault="00777DCB" w:rsidP="0002035C">
      <w:pPr>
        <w:rPr>
          <w:rtl/>
        </w:rPr>
      </w:pPr>
      <w:r w:rsidRPr="00A52585">
        <w:rPr>
          <w:rFonts w:hint="cs"/>
          <w:bCs/>
          <w:rtl/>
        </w:rPr>
        <w:t>فصل</w:t>
      </w:r>
      <w:r w:rsidR="0002035C" w:rsidRPr="00A52585">
        <w:rPr>
          <w:rFonts w:hint="cs"/>
          <w:rtl/>
        </w:rPr>
        <w:t xml:space="preserve">: </w:t>
      </w:r>
      <w:r w:rsidRPr="00A52585">
        <w:rPr>
          <w:rFonts w:hint="cs"/>
          <w:rtl/>
        </w:rPr>
        <w:t xml:space="preserve">واعلم أن من يتصور وجود الحق سبحانه وجودا مكانيا طلب له جهة كما أن من تخيل أن وجوده وجودا زمانيا طلب له مده في تقدمه </w:t>
      </w:r>
      <w:proofErr w:type="gramStart"/>
      <w:r w:rsidRPr="00A52585">
        <w:rPr>
          <w:rFonts w:hint="cs"/>
          <w:rtl/>
        </w:rPr>
        <w:t>علي</w:t>
      </w:r>
      <w:proofErr w:type="gramEnd"/>
      <w:r w:rsidRPr="00A52585">
        <w:rPr>
          <w:rFonts w:hint="cs"/>
          <w:rtl/>
        </w:rPr>
        <w:t xml:space="preserve"> العالم بأزمنة وكلا التخيلين باطل. وقد ثبت أن جميع الجهات تتساوي بالإضافة </w:t>
      </w:r>
      <w:proofErr w:type="gramStart"/>
      <w:r w:rsidRPr="00A52585">
        <w:rPr>
          <w:rFonts w:hint="cs"/>
          <w:rtl/>
        </w:rPr>
        <w:t>إلي</w:t>
      </w:r>
      <w:proofErr w:type="gramEnd"/>
      <w:r w:rsidRPr="00A52585">
        <w:rPr>
          <w:rFonts w:hint="cs"/>
          <w:rtl/>
        </w:rPr>
        <w:t xml:space="preserve">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897A24" w:rsidRPr="00A52585">
        <w:rPr>
          <w:rFonts w:hint="cs"/>
          <w:rtl/>
        </w:rPr>
        <w:t>.</w:t>
      </w:r>
      <w:r w:rsidRPr="00A52585">
        <w:rPr>
          <w:rFonts w:hint="cs"/>
          <w:rtl/>
        </w:rPr>
        <w:t xml:space="preserve"> ثم إن كل من هو في جهة يكون مقدرا محدودا وهو </w:t>
      </w:r>
      <w:proofErr w:type="spellStart"/>
      <w:r w:rsidRPr="00A52585">
        <w:rPr>
          <w:rFonts w:hint="cs"/>
          <w:rtl/>
        </w:rPr>
        <w:t>يتعالي</w:t>
      </w:r>
      <w:proofErr w:type="spellEnd"/>
      <w:r w:rsidRPr="00A52585">
        <w:rPr>
          <w:rFonts w:hint="cs"/>
          <w:rtl/>
        </w:rPr>
        <w:t xml:space="preserve">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w:t>
      </w:r>
      <w:proofErr w:type="spellStart"/>
      <w:r w:rsidRPr="00A52585">
        <w:rPr>
          <w:rFonts w:hint="cs"/>
          <w:rtl/>
        </w:rPr>
        <w:t>يحويه</w:t>
      </w:r>
      <w:proofErr w:type="spellEnd"/>
      <w:r w:rsidRPr="00A52585">
        <w:rPr>
          <w:rFonts w:hint="cs"/>
          <w:rtl/>
        </w:rPr>
        <w:t xml:space="preserve"> شيء ولا تحدث له صفة</w:t>
      </w:r>
      <w:r w:rsidR="00DB731D" w:rsidRPr="00A52585">
        <w:rPr>
          <w:rFonts w:hint="cs"/>
          <w:rtl/>
        </w:rPr>
        <w:t>،</w:t>
      </w:r>
      <w:r w:rsidRPr="00A52585">
        <w:rPr>
          <w:rFonts w:hint="cs"/>
          <w:rtl/>
        </w:rPr>
        <w:t xml:space="preserve"> فإن قيل</w:t>
      </w:r>
      <w:r w:rsidR="0002035C" w:rsidRPr="00A52585">
        <w:rPr>
          <w:rFonts w:hint="cs"/>
          <w:rtl/>
        </w:rPr>
        <w:t>:</w:t>
      </w:r>
      <w:r w:rsidRPr="00A52585">
        <w:rPr>
          <w:rFonts w:hint="cs"/>
          <w:rtl/>
        </w:rPr>
        <w:t xml:space="preserve"> " فقد أخرج في الصحيحين عن شريك عن أبي نمر عن أنس بن مالك</w:t>
      </w:r>
      <w:r w:rsidRPr="00A52585">
        <w:rPr>
          <w:rFonts w:hint="cs"/>
          <w:rtl/>
          <w:lang w:bidi="ar-KW"/>
        </w:rPr>
        <w:t xml:space="preserve"> رضي الله عنه</w:t>
      </w:r>
      <w:r w:rsidRPr="00A52585">
        <w:rPr>
          <w:rFonts w:hint="cs"/>
          <w:rtl/>
        </w:rPr>
        <w:t>: أنه ذكر المعراج فقال فيه</w:t>
      </w:r>
      <w:r w:rsidR="0002035C" w:rsidRPr="00A52585">
        <w:rPr>
          <w:rFonts w:hint="cs"/>
          <w:rtl/>
        </w:rPr>
        <w:t>:</w:t>
      </w:r>
      <w:r w:rsidRPr="00A52585">
        <w:rPr>
          <w:rFonts w:hint="cs"/>
          <w:rtl/>
        </w:rPr>
        <w:t xml:space="preserve"> "فعلا به الجبار تعالي " فقال</w:t>
      </w:r>
      <w:r w:rsidR="0002035C" w:rsidRPr="00A52585">
        <w:rPr>
          <w:rFonts w:hint="cs"/>
          <w:rtl/>
        </w:rPr>
        <w:t>:</w:t>
      </w:r>
      <w:r w:rsidRPr="00A52585">
        <w:rPr>
          <w:rFonts w:hint="cs"/>
          <w:rtl/>
        </w:rPr>
        <w:t xml:space="preserve"> " وهو في مكانه يا رب خفف عنا "</w:t>
      </w:r>
      <w:r w:rsidR="00DB731D" w:rsidRPr="00A52585">
        <w:rPr>
          <w:rFonts w:hint="cs"/>
          <w:rtl/>
        </w:rPr>
        <w:t>،</w:t>
      </w:r>
      <w:r w:rsidRPr="00A52585">
        <w:rPr>
          <w:rFonts w:hint="cs"/>
          <w:rtl/>
        </w:rPr>
        <w:t xml:space="preserve"> فالجواب</w:t>
      </w:r>
      <w:r w:rsidR="0002035C" w:rsidRPr="00A52585">
        <w:rPr>
          <w:rFonts w:hint="cs"/>
          <w:rtl/>
        </w:rPr>
        <w:t>:</w:t>
      </w:r>
      <w:r w:rsidRPr="00A52585">
        <w:rPr>
          <w:rFonts w:hint="cs"/>
          <w:rtl/>
        </w:rPr>
        <w:t xml:space="preserve"> إن أبا سليمان الخطابي قال: هذه لفظة تفرد بها شريك</w:t>
      </w:r>
      <w:r w:rsidR="00DB731D" w:rsidRPr="00A52585">
        <w:rPr>
          <w:rFonts w:hint="cs"/>
          <w:rtl/>
        </w:rPr>
        <w:t>،</w:t>
      </w:r>
      <w:r w:rsidRPr="00A52585">
        <w:rPr>
          <w:rFonts w:hint="cs"/>
          <w:rtl/>
        </w:rPr>
        <w:t xml:space="preserve"> ولم يذكرها غيره وهو كثير التفرد بمناكير الألفاظ</w:t>
      </w:r>
      <w:r w:rsidR="00DB731D" w:rsidRPr="00A52585">
        <w:rPr>
          <w:rFonts w:hint="cs"/>
          <w:rtl/>
        </w:rPr>
        <w:t>،</w:t>
      </w:r>
      <w:r w:rsidRPr="00A52585">
        <w:rPr>
          <w:rFonts w:hint="cs"/>
          <w:rtl/>
        </w:rPr>
        <w:t xml:space="preserve"> والمكان لا يضاف إلي الله عز وجل</w:t>
      </w:r>
      <w:r w:rsidR="00DB731D" w:rsidRPr="00A52585">
        <w:rPr>
          <w:rFonts w:hint="cs"/>
          <w:rtl/>
        </w:rPr>
        <w:t>،</w:t>
      </w:r>
      <w:r w:rsidRPr="00A52585">
        <w:rPr>
          <w:rFonts w:hint="cs"/>
          <w:rtl/>
        </w:rPr>
        <w:t xml:space="preserve"> إنما هو مكان النبي صلى الله عليه وسلم – ومعناه</w:t>
      </w:r>
      <w:r w:rsidR="0002035C" w:rsidRPr="00A52585">
        <w:rPr>
          <w:rFonts w:hint="cs"/>
          <w:rtl/>
        </w:rPr>
        <w:t>:</w:t>
      </w:r>
      <w:r w:rsidRPr="00A52585">
        <w:rPr>
          <w:rFonts w:hint="cs"/>
          <w:rtl/>
        </w:rPr>
        <w:t xml:space="preserve"> مقامه الأول الذي أقيم فيه</w:t>
      </w:r>
      <w:r w:rsidR="00897A24" w:rsidRPr="00A52585">
        <w:rPr>
          <w:rFonts w:hint="cs"/>
          <w:rtl/>
        </w:rPr>
        <w:t>.</w:t>
      </w:r>
    </w:p>
    <w:p w14:paraId="5FE81DCE" w14:textId="6011B33F" w:rsidR="00777DCB" w:rsidRPr="00A52585" w:rsidRDefault="00777DCB" w:rsidP="0002035C">
      <w:pPr>
        <w:rPr>
          <w:rtl/>
        </w:rPr>
      </w:pPr>
      <w:r w:rsidRPr="00A52585">
        <w:rPr>
          <w:rFonts w:hint="cs"/>
          <w:rtl/>
        </w:rPr>
        <w:t>قال الخطابي</w:t>
      </w:r>
      <w:r w:rsidR="0002035C" w:rsidRPr="00A52585">
        <w:rPr>
          <w:rFonts w:hint="cs"/>
          <w:rtl/>
        </w:rPr>
        <w:t>:</w:t>
      </w:r>
      <w:r w:rsidRPr="00A52585">
        <w:rPr>
          <w:rFonts w:hint="cs"/>
          <w:rtl/>
        </w:rPr>
        <w:t xml:space="preserve"> وفي هذا الحديث " فاستأذنت </w:t>
      </w:r>
      <w:proofErr w:type="gramStart"/>
      <w:r w:rsidRPr="00A52585">
        <w:rPr>
          <w:rFonts w:hint="cs"/>
          <w:rtl/>
        </w:rPr>
        <w:t>علي</w:t>
      </w:r>
      <w:proofErr w:type="gramEnd"/>
      <w:r w:rsidRPr="00A52585">
        <w:rPr>
          <w:rFonts w:hint="cs"/>
          <w:rtl/>
        </w:rPr>
        <w:t xml:space="preserve"> ربي وهو في داره ". توهم مكانا</w:t>
      </w:r>
      <w:r w:rsidR="00DB731D" w:rsidRPr="00A52585">
        <w:rPr>
          <w:rFonts w:hint="cs"/>
          <w:rtl/>
        </w:rPr>
        <w:t>،</w:t>
      </w:r>
      <w:r w:rsidRPr="00A52585">
        <w:rPr>
          <w:rFonts w:hint="cs"/>
          <w:rtl/>
        </w:rPr>
        <w:t xml:space="preserve"> وإنما المعني</w:t>
      </w:r>
      <w:r w:rsidR="00DB731D" w:rsidRPr="00A52585">
        <w:rPr>
          <w:rFonts w:hint="cs"/>
          <w:rtl/>
        </w:rPr>
        <w:t>،</w:t>
      </w:r>
      <w:r w:rsidRPr="00A52585">
        <w:rPr>
          <w:rFonts w:hint="cs"/>
          <w:rtl/>
        </w:rPr>
        <w:t xml:space="preserve"> في داره التي دورها لأوليائه</w:t>
      </w:r>
      <w:r w:rsidR="00DB731D" w:rsidRPr="00A52585">
        <w:rPr>
          <w:rFonts w:hint="cs"/>
          <w:rtl/>
        </w:rPr>
        <w:t>،</w:t>
      </w:r>
      <w:r w:rsidRPr="00A52585">
        <w:rPr>
          <w:rFonts w:hint="cs"/>
          <w:rtl/>
        </w:rPr>
        <w:t xml:space="preserve"> وقد قال القاضي</w:t>
      </w:r>
      <w:r w:rsidR="0002035C" w:rsidRPr="00A52585">
        <w:rPr>
          <w:rFonts w:hint="cs"/>
          <w:rtl/>
        </w:rPr>
        <w:t>:</w:t>
      </w:r>
      <w:r w:rsidRPr="00A52585">
        <w:rPr>
          <w:rFonts w:hint="cs"/>
          <w:rtl/>
        </w:rPr>
        <w:t xml:space="preserve"> أبو يعلي في كتابه المعتمد إن الله عز وجل لا يوصف </w:t>
      </w:r>
      <w:r w:rsidRPr="00A52585">
        <w:rPr>
          <w:rFonts w:hint="cs"/>
          <w:rtl/>
        </w:rPr>
        <w:lastRenderedPageBreak/>
        <w:t>بالمكان</w:t>
      </w:r>
      <w:r w:rsidR="00897A24" w:rsidRPr="00A52585">
        <w:rPr>
          <w:rFonts w:hint="cs"/>
          <w:rtl/>
        </w:rPr>
        <w:t>.</w:t>
      </w:r>
      <w:r w:rsidRPr="00A52585">
        <w:rPr>
          <w:rFonts w:hint="cs"/>
          <w:rtl/>
        </w:rPr>
        <w:t xml:space="preserve"> فإن قيل نفي الجهات يحيل وجوده</w:t>
      </w:r>
      <w:r w:rsidR="00DB731D" w:rsidRPr="00A52585">
        <w:rPr>
          <w:rFonts w:hint="cs"/>
          <w:rtl/>
        </w:rPr>
        <w:t>،</w:t>
      </w:r>
      <w:r w:rsidRPr="00A52585">
        <w:rPr>
          <w:rFonts w:hint="cs"/>
          <w:rtl/>
        </w:rPr>
        <w:t xml:space="preserve"> قلنا إن كان الوجود يقبل الاتصال والانفصال فقد صدقت</w:t>
      </w:r>
      <w:r w:rsidR="00DB731D" w:rsidRPr="00A52585">
        <w:rPr>
          <w:rFonts w:hint="cs"/>
          <w:rtl/>
        </w:rPr>
        <w:t>،</w:t>
      </w:r>
      <w:r w:rsidRPr="00A52585">
        <w:rPr>
          <w:rFonts w:hint="cs"/>
          <w:rtl/>
        </w:rPr>
        <w:t xml:space="preserve"> </w:t>
      </w:r>
      <w:proofErr w:type="spellStart"/>
      <w:r w:rsidRPr="00A52585">
        <w:rPr>
          <w:rFonts w:hint="cs"/>
          <w:rtl/>
        </w:rPr>
        <w:t>فاما</w:t>
      </w:r>
      <w:proofErr w:type="spellEnd"/>
      <w:r w:rsidRPr="00A52585">
        <w:rPr>
          <w:rFonts w:hint="cs"/>
          <w:rtl/>
        </w:rPr>
        <w:t xml:space="preserve"> إذا لم يقبلها فليس خلوه من طرق النقيض بمحال</w:t>
      </w:r>
      <w:r w:rsidR="00DB731D" w:rsidRPr="00A52585">
        <w:rPr>
          <w:rFonts w:hint="cs"/>
          <w:rtl/>
        </w:rPr>
        <w:t>،</w:t>
      </w:r>
      <w:r w:rsidR="0002035C" w:rsidRPr="00A52585">
        <w:rPr>
          <w:rFonts w:hint="cs"/>
          <w:rtl/>
        </w:rPr>
        <w:t xml:space="preserve"> </w:t>
      </w:r>
      <w:r w:rsidRPr="00A52585">
        <w:rPr>
          <w:rFonts w:hint="cs"/>
          <w:bCs/>
          <w:rtl/>
        </w:rPr>
        <w:t>فإن قيل</w:t>
      </w:r>
      <w:r w:rsidRPr="00A52585">
        <w:rPr>
          <w:rFonts w:hint="cs"/>
          <w:rtl/>
        </w:rPr>
        <w:t xml:space="preserve"> أنتم تلزموننا أن نقر بما لا يدخل تحت الفهم</w:t>
      </w:r>
      <w:r w:rsidR="00DB731D" w:rsidRPr="00A52585">
        <w:rPr>
          <w:rFonts w:hint="cs"/>
          <w:rtl/>
        </w:rPr>
        <w:t>،</w:t>
      </w:r>
      <w:r w:rsidRPr="00A52585">
        <w:rPr>
          <w:rFonts w:hint="cs"/>
          <w:rtl/>
        </w:rPr>
        <w:t xml:space="preserve"> </w:t>
      </w:r>
      <w:r w:rsidRPr="00A52585">
        <w:rPr>
          <w:rFonts w:hint="cs"/>
          <w:bCs/>
          <w:rtl/>
        </w:rPr>
        <w:t>قلنا</w:t>
      </w:r>
      <w:r w:rsidR="0002035C" w:rsidRPr="00A52585">
        <w:rPr>
          <w:rFonts w:hint="cs"/>
          <w:bCs/>
          <w:rtl/>
        </w:rPr>
        <w:t>:</w:t>
      </w:r>
      <w:r w:rsidRPr="00A52585">
        <w:rPr>
          <w:rFonts w:hint="cs"/>
          <w:rtl/>
        </w:rPr>
        <w:t xml:space="preserve"> أن أردت بالفهم التخيل والتصور فإن الخالق لا يدخل تحت ذلك إذ ليس </w:t>
      </w:r>
      <w:proofErr w:type="spellStart"/>
      <w:r w:rsidRPr="00A52585">
        <w:rPr>
          <w:rFonts w:hint="cs"/>
          <w:rtl/>
        </w:rPr>
        <w:t>بمحس</w:t>
      </w:r>
      <w:proofErr w:type="spellEnd"/>
      <w:r w:rsidRPr="00A52585">
        <w:rPr>
          <w:rFonts w:hint="cs"/>
          <w:rtl/>
        </w:rPr>
        <w:t xml:space="preserve"> ولا يدخل تحت ذلك إلا جسم له لون وقدر فإن الخيال قد أنس بالمبصرات فهو لا يتوهم شيء إلا علي وفق ما رآه لأن الوهم من نتائج الحس</w:t>
      </w:r>
      <w:r w:rsidR="00DB731D" w:rsidRPr="00A52585">
        <w:rPr>
          <w:rFonts w:hint="cs"/>
          <w:rtl/>
        </w:rPr>
        <w:t>،</w:t>
      </w:r>
      <w:r w:rsidRPr="00A52585">
        <w:rPr>
          <w:rFonts w:hint="cs"/>
          <w:rtl/>
        </w:rPr>
        <w:t xml:space="preserve"> وإن أردت أنه لا يعلم بالعقل فقد دللنا أنه ثابت بالعقل لأن العقل مضطر إلي التصديق بموجب الدليل</w:t>
      </w:r>
      <w:r w:rsidR="00DB731D" w:rsidRPr="00A52585">
        <w:rPr>
          <w:rFonts w:hint="cs"/>
          <w:rtl/>
        </w:rPr>
        <w:t>،</w:t>
      </w:r>
      <w:r w:rsidRPr="00A52585">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DB731D" w:rsidRPr="00A52585">
        <w:rPr>
          <w:rFonts w:hint="cs"/>
          <w:rtl/>
        </w:rPr>
        <w:t>،</w:t>
      </w:r>
      <w:r w:rsidRPr="00A52585">
        <w:rPr>
          <w:rFonts w:hint="cs"/>
          <w:rtl/>
        </w:rPr>
        <w:t xml:space="preserve"> ولما كان مثل هذا الكلام لا يفهمه العامي قلنا</w:t>
      </w:r>
      <w:r w:rsidR="0002035C" w:rsidRPr="00A52585">
        <w:rPr>
          <w:rFonts w:hint="cs"/>
          <w:rtl/>
        </w:rPr>
        <w:t>:</w:t>
      </w:r>
      <w:r w:rsidRPr="00A52585">
        <w:rPr>
          <w:rFonts w:hint="cs"/>
          <w:rtl/>
        </w:rPr>
        <w:t xml:space="preserve"> لا تسمعوه ما لا يفهمه ودعوا اعتقاده لا تحركوه بل يسروه أن لا يساكن الجبال</w:t>
      </w:r>
      <w:r w:rsidR="00DB731D" w:rsidRPr="00A52585">
        <w:rPr>
          <w:rFonts w:hint="cs"/>
          <w:rtl/>
        </w:rPr>
        <w:t>،</w:t>
      </w:r>
      <w:r w:rsidRPr="00A52585">
        <w:rPr>
          <w:rFonts w:hint="cs"/>
          <w:rtl/>
        </w:rPr>
        <w:t xml:space="preserve"> ويقال إن الله تعالي استوي علي عرشه كما يليق به " [الباز الأشهب ص51-59]</w:t>
      </w:r>
      <w:r w:rsidR="0002035C" w:rsidRPr="00A52585">
        <w:rPr>
          <w:rFonts w:hint="cs"/>
          <w:rtl/>
        </w:rPr>
        <w:t xml:space="preserve"> </w:t>
      </w:r>
      <w:r w:rsidRPr="00A52585">
        <w:rPr>
          <w:rFonts w:hint="cs"/>
          <w:rtl/>
        </w:rPr>
        <w:t xml:space="preserve">أهـ </w:t>
      </w:r>
    </w:p>
    <w:p w14:paraId="66CC4BB7" w14:textId="4EF429D1" w:rsidR="00777DCB" w:rsidRPr="00A52585" w:rsidRDefault="00777DCB" w:rsidP="0002035C">
      <w:pPr>
        <w:rPr>
          <w:rtl/>
        </w:rPr>
      </w:pPr>
      <w:r w:rsidRPr="00A52585">
        <w:rPr>
          <w:rFonts w:hint="cs"/>
          <w:bCs/>
          <w:rtl/>
        </w:rPr>
        <w:t>وقال رحمه الله</w:t>
      </w:r>
      <w:r w:rsidRPr="00A52585">
        <w:rPr>
          <w:rFonts w:hint="cs"/>
          <w:rtl/>
        </w:rPr>
        <w:t xml:space="preserve"> _ في شرحه لحديث ينزل ربنا</w:t>
      </w:r>
      <w:r w:rsidRPr="00A52585">
        <w:rPr>
          <w:rFonts w:hint="cs"/>
        </w:rPr>
        <w:t xml:space="preserve"> </w:t>
      </w:r>
      <w:r w:rsidRPr="00A52585">
        <w:rPr>
          <w:rFonts w:hint="cs"/>
          <w:rtl/>
        </w:rPr>
        <w:t>كل ليلة إلى السماء الدنيا حتى يبقى ثلث الليل الأخير يقول</w:t>
      </w:r>
      <w:r w:rsidR="0002035C" w:rsidRPr="00A52585">
        <w:rPr>
          <w:rFonts w:hint="cs"/>
          <w:rtl/>
        </w:rPr>
        <w:t>:</w:t>
      </w:r>
      <w:r w:rsidRPr="00A52585">
        <w:rPr>
          <w:rFonts w:hint="cs"/>
          <w:rtl/>
        </w:rPr>
        <w:t xml:space="preserve"> من يدعوني</w:t>
      </w:r>
      <w:r w:rsidRPr="00A52585">
        <w:rPr>
          <w:rFonts w:hint="cs"/>
        </w:rPr>
        <w:t xml:space="preserve"> </w:t>
      </w:r>
      <w:r w:rsidRPr="00A52585">
        <w:rPr>
          <w:rFonts w:hint="cs"/>
          <w:rtl/>
        </w:rPr>
        <w:t>فأستجيب له_</w:t>
      </w:r>
      <w:r w:rsidR="0002035C" w:rsidRPr="00A52585">
        <w:rPr>
          <w:rFonts w:hint="cs"/>
          <w:rtl/>
        </w:rPr>
        <w:t xml:space="preserve"> </w:t>
      </w:r>
      <w:r w:rsidRPr="00A52585">
        <w:rPr>
          <w:rFonts w:hint="cs"/>
          <w:rtl/>
        </w:rPr>
        <w:t>"</w:t>
      </w:r>
      <w:r w:rsidR="0002035C" w:rsidRPr="00A52585">
        <w:rPr>
          <w:rFonts w:hint="cs"/>
          <w:rtl/>
        </w:rPr>
        <w:t xml:space="preserve"> </w:t>
      </w:r>
      <w:r w:rsidRPr="00A52585">
        <w:rPr>
          <w:rFonts w:hint="cs"/>
          <w:rtl/>
        </w:rPr>
        <w:t>قلت</w:t>
      </w:r>
      <w:r w:rsidR="0002035C" w:rsidRPr="00A52585">
        <w:rPr>
          <w:rFonts w:hint="cs"/>
          <w:rtl/>
        </w:rPr>
        <w:t>:</w:t>
      </w:r>
      <w:r w:rsidRPr="00A52585">
        <w:rPr>
          <w:rFonts w:hint="cs"/>
          <w:rtl/>
        </w:rPr>
        <w:t xml:space="preserve"> وقد روى حديث النزول عشرون صحابيا</w:t>
      </w:r>
      <w:r w:rsidR="00DB731D" w:rsidRPr="00A52585">
        <w:rPr>
          <w:rFonts w:hint="cs"/>
          <w:rtl/>
        </w:rPr>
        <w:t>،</w:t>
      </w:r>
      <w:r w:rsidRPr="00A52585">
        <w:rPr>
          <w:rFonts w:hint="cs"/>
          <w:rtl/>
        </w:rPr>
        <w:t xml:space="preserve"> وقد سبق القول </w:t>
      </w:r>
      <w:proofErr w:type="gramStart"/>
      <w:r w:rsidRPr="00A52585">
        <w:rPr>
          <w:rFonts w:hint="cs"/>
          <w:rtl/>
        </w:rPr>
        <w:t>أنه</w:t>
      </w:r>
      <w:proofErr w:type="gramEnd"/>
      <w:r w:rsidRPr="00A52585">
        <w:rPr>
          <w:rFonts w:hint="cs"/>
          <w:rtl/>
        </w:rPr>
        <w:t xml:space="preserve"> يستحيل على الله عز وجل الحركة والنقلة والتغيير</w:t>
      </w:r>
      <w:r w:rsidR="00DB731D" w:rsidRPr="00A52585">
        <w:rPr>
          <w:rFonts w:hint="cs"/>
          <w:rtl/>
        </w:rPr>
        <w:t>،</w:t>
      </w:r>
      <w:r w:rsidRPr="00A52585">
        <w:rPr>
          <w:rFonts w:hint="cs"/>
          <w:rtl/>
        </w:rPr>
        <w:t xml:space="preserve"> فيبقى الناس رجلين</w:t>
      </w:r>
      <w:r w:rsidR="0002035C" w:rsidRPr="00A52585">
        <w:rPr>
          <w:rFonts w:hint="cs"/>
          <w:rtl/>
        </w:rPr>
        <w:t xml:space="preserve">: </w:t>
      </w:r>
      <w:r w:rsidRPr="00A52585">
        <w:rPr>
          <w:rFonts w:hint="cs"/>
          <w:bCs/>
          <w:rtl/>
        </w:rPr>
        <w:t>أحدهما</w:t>
      </w:r>
      <w:r w:rsidRPr="00A52585">
        <w:rPr>
          <w:rFonts w:hint="cs"/>
          <w:rtl/>
        </w:rPr>
        <w:t xml:space="preserve"> المتأول له بمعنى</w:t>
      </w:r>
      <w:r w:rsidR="0002035C" w:rsidRPr="00A52585">
        <w:rPr>
          <w:rFonts w:hint="cs"/>
          <w:rtl/>
        </w:rPr>
        <w:t>:</w:t>
      </w:r>
      <w:r w:rsidRPr="00A52585">
        <w:rPr>
          <w:rFonts w:hint="cs"/>
          <w:rtl/>
        </w:rPr>
        <w:t xml:space="preserve"> أنه يقرب رحمته</w:t>
      </w:r>
      <w:r w:rsidR="00897A24" w:rsidRPr="00A52585">
        <w:rPr>
          <w:rFonts w:hint="cs"/>
          <w:rtl/>
        </w:rPr>
        <w:t>.</w:t>
      </w:r>
      <w:r w:rsidRPr="00A52585">
        <w:rPr>
          <w:rFonts w:hint="cs"/>
          <w:rtl/>
        </w:rPr>
        <w:t xml:space="preserve"> وقد ذكر أشباء بالنزول فقال تعالى</w:t>
      </w:r>
      <w:r w:rsidR="0002035C" w:rsidRPr="00A52585">
        <w:rPr>
          <w:rFonts w:hint="cs"/>
          <w:rtl/>
        </w:rPr>
        <w:t>:</w:t>
      </w:r>
      <w:r w:rsidRPr="00A52585">
        <w:rPr>
          <w:rFonts w:hint="cs"/>
          <w:rtl/>
        </w:rPr>
        <w:t>" وأنزلنا الحديد فيه بأس شديد "</w:t>
      </w:r>
      <w:r w:rsidR="00897A24" w:rsidRPr="00A52585">
        <w:rPr>
          <w:rFonts w:hint="cs"/>
          <w:rtl/>
        </w:rPr>
        <w:t>.</w:t>
      </w:r>
      <w:r w:rsidRPr="00A52585">
        <w:rPr>
          <w:rFonts w:hint="cs"/>
          <w:rtl/>
        </w:rPr>
        <w:t xml:space="preserve"> وإن كان معدنه</w:t>
      </w:r>
      <w:r w:rsidR="0002035C" w:rsidRPr="00A52585">
        <w:rPr>
          <w:rFonts w:hint="cs"/>
          <w:rtl/>
        </w:rPr>
        <w:t xml:space="preserve"> </w:t>
      </w:r>
      <w:r w:rsidRPr="00A52585">
        <w:rPr>
          <w:rFonts w:hint="cs"/>
          <w:rtl/>
        </w:rPr>
        <w:t xml:space="preserve">بالأرض وقال " وأنزلنا لكم من الأنعام ثمانية أزواج " ومن لم يعرف كيف نزول الجمل كيف يتكلم في تفصيل هذه </w:t>
      </w:r>
      <w:proofErr w:type="gramStart"/>
      <w:r w:rsidRPr="00A52585">
        <w:rPr>
          <w:rFonts w:hint="cs"/>
          <w:rtl/>
        </w:rPr>
        <w:t>الجمل</w:t>
      </w:r>
      <w:r w:rsidR="00897A24" w:rsidRPr="00A52585">
        <w:rPr>
          <w:rFonts w:hint="cs"/>
          <w:rtl/>
        </w:rPr>
        <w:t>.</w:t>
      </w:r>
      <w:r w:rsidRPr="00A52585">
        <w:rPr>
          <w:rFonts w:hint="cs"/>
          <w:rtl/>
        </w:rPr>
        <w:t>.؟</w:t>
      </w:r>
      <w:proofErr w:type="gramEnd"/>
      <w:r w:rsidR="00DB731D" w:rsidRPr="00A52585">
        <w:rPr>
          <w:rFonts w:hint="cs"/>
          <w:rtl/>
        </w:rPr>
        <w:t>،</w:t>
      </w:r>
      <w:r w:rsidRPr="00A52585">
        <w:rPr>
          <w:rFonts w:hint="cs"/>
          <w:rtl/>
        </w:rPr>
        <w:t xml:space="preserve"> </w:t>
      </w:r>
      <w:r w:rsidRPr="00A52585">
        <w:rPr>
          <w:rFonts w:hint="cs"/>
          <w:bCs/>
          <w:rtl/>
        </w:rPr>
        <w:t>والثاني</w:t>
      </w:r>
      <w:r w:rsidR="0002035C" w:rsidRPr="00A52585">
        <w:rPr>
          <w:rFonts w:hint="cs"/>
          <w:rtl/>
        </w:rPr>
        <w:t>:</w:t>
      </w:r>
      <w:r w:rsidRPr="00A52585">
        <w:rPr>
          <w:rFonts w:hint="cs"/>
          <w:rtl/>
        </w:rPr>
        <w:t xml:space="preserve"> الساكت عن الكلام في ذلك</w:t>
      </w:r>
      <w:r w:rsidR="00897A24" w:rsidRPr="00A52585">
        <w:rPr>
          <w:rFonts w:hint="cs"/>
          <w:rtl/>
        </w:rPr>
        <w:t>.</w:t>
      </w:r>
      <w:r w:rsidRPr="00A52585">
        <w:rPr>
          <w:rFonts w:hint="cs"/>
          <w:rtl/>
        </w:rPr>
        <w:t xml:space="preserve"> روي أبو </w:t>
      </w:r>
      <w:proofErr w:type="gramStart"/>
      <w:r w:rsidRPr="00A52585">
        <w:rPr>
          <w:rFonts w:hint="cs"/>
          <w:rtl/>
        </w:rPr>
        <w:t>عيسي</w:t>
      </w:r>
      <w:proofErr w:type="gramEnd"/>
      <w:r w:rsidRPr="00A52585">
        <w:rPr>
          <w:rFonts w:hint="cs"/>
          <w:rtl/>
        </w:rPr>
        <w:t xml:space="preserve"> الترمذي عن مالك بن أنس وسفيان بن عيينة وابن المبارك انهم قالوا</w:t>
      </w:r>
      <w:r w:rsidR="0002035C" w:rsidRPr="00A52585">
        <w:rPr>
          <w:rFonts w:hint="cs"/>
          <w:rtl/>
        </w:rPr>
        <w:t>:</w:t>
      </w:r>
      <w:r w:rsidRPr="00A52585">
        <w:rPr>
          <w:rFonts w:hint="cs"/>
          <w:rtl/>
        </w:rPr>
        <w:t xml:space="preserve"> </w:t>
      </w:r>
      <w:r w:rsidRPr="00A52585">
        <w:rPr>
          <w:rFonts w:hint="cs"/>
          <w:bCs/>
          <w:u w:val="single"/>
          <w:rtl/>
        </w:rPr>
        <w:t>أمروا هذه الأحاديث بلا كيف</w:t>
      </w:r>
      <w:r w:rsidRPr="00A52585">
        <w:rPr>
          <w:rFonts w:hint="cs"/>
          <w:rtl/>
        </w:rPr>
        <w:t xml:space="preserve"> </w:t>
      </w:r>
      <w:r w:rsidRPr="00A52585">
        <w:rPr>
          <w:rFonts w:hint="cs"/>
          <w:bCs/>
          <w:rtl/>
        </w:rPr>
        <w:t>قلت</w:t>
      </w:r>
      <w:r w:rsidR="0002035C" w:rsidRPr="00A52585">
        <w:rPr>
          <w:rFonts w:hint="cs"/>
          <w:bCs/>
          <w:rtl/>
        </w:rPr>
        <w:t>:</w:t>
      </w:r>
      <w:r w:rsidRPr="00A52585">
        <w:rPr>
          <w:rFonts w:hint="cs"/>
          <w:bCs/>
          <w:rtl/>
        </w:rPr>
        <w:t xml:space="preserve"> وواجب علي الخلق اعتقاد التنزيه وامتناع تجويز النقلة</w:t>
      </w:r>
      <w:r w:rsidR="00DB731D" w:rsidRPr="00A52585">
        <w:rPr>
          <w:rFonts w:hint="cs"/>
          <w:rtl/>
        </w:rPr>
        <w:t>،</w:t>
      </w:r>
      <w:r w:rsidRPr="00A52585">
        <w:rPr>
          <w:rFonts w:hint="cs"/>
          <w:rtl/>
        </w:rPr>
        <w:t xml:space="preserve"> وأن النزول الذي هو انتقال من مكان إلي مكان </w:t>
      </w:r>
      <w:proofErr w:type="spellStart"/>
      <w:r w:rsidRPr="00A52585">
        <w:rPr>
          <w:rFonts w:hint="cs"/>
          <w:rtl/>
        </w:rPr>
        <w:t>يقتقر</w:t>
      </w:r>
      <w:proofErr w:type="spellEnd"/>
      <w:r w:rsidRPr="00A52585">
        <w:rPr>
          <w:rFonts w:hint="cs"/>
          <w:rtl/>
        </w:rPr>
        <w:t xml:space="preserve"> إلي ثلاثة أجسام</w:t>
      </w:r>
      <w:r w:rsidR="0002035C" w:rsidRPr="00A52585">
        <w:rPr>
          <w:rFonts w:hint="cs"/>
          <w:rtl/>
        </w:rPr>
        <w:t>:</w:t>
      </w:r>
      <w:r w:rsidRPr="00A52585">
        <w:rPr>
          <w:rFonts w:hint="cs"/>
          <w:rtl/>
        </w:rPr>
        <w:t xml:space="preserve"> جسم عالي</w:t>
      </w:r>
      <w:r w:rsidR="00DB731D" w:rsidRPr="00A52585">
        <w:rPr>
          <w:rFonts w:hint="cs"/>
          <w:rtl/>
        </w:rPr>
        <w:t>،</w:t>
      </w:r>
      <w:r w:rsidRPr="00A52585">
        <w:rPr>
          <w:rFonts w:hint="cs"/>
          <w:rtl/>
        </w:rPr>
        <w:t xml:space="preserve"> وهو مكان الساكن</w:t>
      </w:r>
      <w:r w:rsidR="00DB731D" w:rsidRPr="00A52585">
        <w:rPr>
          <w:rFonts w:hint="cs"/>
          <w:rtl/>
        </w:rPr>
        <w:t>،</w:t>
      </w:r>
      <w:r w:rsidRPr="00A52585">
        <w:rPr>
          <w:rFonts w:hint="cs"/>
          <w:rtl/>
        </w:rPr>
        <w:t xml:space="preserve"> وجسم سافل</w:t>
      </w:r>
      <w:r w:rsidR="00DB731D" w:rsidRPr="00A52585">
        <w:rPr>
          <w:rFonts w:hint="cs"/>
          <w:rtl/>
        </w:rPr>
        <w:t>،</w:t>
      </w:r>
      <w:r w:rsidRPr="00A52585">
        <w:rPr>
          <w:rFonts w:hint="cs"/>
          <w:rtl/>
        </w:rPr>
        <w:t xml:space="preserve"> وجسم ينتقل من علو إلي أسفل</w:t>
      </w:r>
      <w:r w:rsidR="00DB731D" w:rsidRPr="00A52585">
        <w:rPr>
          <w:rFonts w:hint="cs"/>
          <w:rtl/>
        </w:rPr>
        <w:t>،</w:t>
      </w:r>
      <w:r w:rsidRPr="00A52585">
        <w:rPr>
          <w:rFonts w:hint="cs"/>
          <w:rtl/>
        </w:rPr>
        <w:t xml:space="preserve"> وهذا لا يجوز علي الله تعالي قطعا</w:t>
      </w:r>
      <w:r w:rsidR="00897A24" w:rsidRPr="00A52585">
        <w:rPr>
          <w:rFonts w:hint="cs"/>
          <w:rtl/>
        </w:rPr>
        <w:t>.</w:t>
      </w:r>
      <w:r w:rsidR="0002035C" w:rsidRPr="00A52585">
        <w:rPr>
          <w:rFonts w:hint="cs"/>
          <w:rtl/>
        </w:rPr>
        <w:t xml:space="preserve"> </w:t>
      </w:r>
      <w:r w:rsidRPr="00A52585">
        <w:rPr>
          <w:rFonts w:hint="cs"/>
          <w:rtl/>
        </w:rPr>
        <w:t>فإن قال العامي</w:t>
      </w:r>
      <w:r w:rsidR="0002035C" w:rsidRPr="00A52585">
        <w:rPr>
          <w:rFonts w:hint="cs"/>
          <w:rtl/>
        </w:rPr>
        <w:t>:</w:t>
      </w:r>
      <w:r w:rsidRPr="00A52585">
        <w:rPr>
          <w:rFonts w:hint="cs"/>
          <w:rtl/>
        </w:rPr>
        <w:t xml:space="preserve"> فما الذي أراد بالنزول</w:t>
      </w:r>
      <w:r w:rsidR="00F95886" w:rsidRPr="00A52585">
        <w:rPr>
          <w:rFonts w:hint="cs"/>
          <w:rtl/>
        </w:rPr>
        <w:t>؟</w:t>
      </w:r>
      <w:r w:rsidRPr="00A52585">
        <w:rPr>
          <w:rFonts w:hint="cs"/>
          <w:rtl/>
        </w:rPr>
        <w:t xml:space="preserve"> قيل</w:t>
      </w:r>
      <w:r w:rsidR="0002035C" w:rsidRPr="00A52585">
        <w:rPr>
          <w:rFonts w:hint="cs"/>
          <w:rtl/>
        </w:rPr>
        <w:t>:</w:t>
      </w:r>
      <w:r w:rsidRPr="00A52585">
        <w:rPr>
          <w:rFonts w:hint="cs"/>
          <w:rtl/>
        </w:rPr>
        <w:t xml:space="preserve"> أراد به معني يليق بجلاله لا يلزمك التفتيش عنه</w:t>
      </w:r>
      <w:r w:rsidR="00DB731D" w:rsidRPr="00A52585">
        <w:rPr>
          <w:rFonts w:hint="cs"/>
          <w:rtl/>
        </w:rPr>
        <w:t>،</w:t>
      </w:r>
      <w:r w:rsidRPr="00A52585">
        <w:rPr>
          <w:rFonts w:hint="cs"/>
          <w:rtl/>
        </w:rPr>
        <w:t xml:space="preserve"> فإن قال</w:t>
      </w:r>
      <w:r w:rsidR="0002035C" w:rsidRPr="00A52585">
        <w:rPr>
          <w:rFonts w:hint="cs"/>
          <w:rtl/>
        </w:rPr>
        <w:t>:</w:t>
      </w:r>
      <w:r w:rsidRPr="00A52585">
        <w:rPr>
          <w:rFonts w:hint="cs"/>
          <w:rtl/>
        </w:rPr>
        <w:t xml:space="preserve"> كيف حدث بما لا أفهمه؟ قلنا</w:t>
      </w:r>
      <w:r w:rsidR="0002035C" w:rsidRPr="00A52585">
        <w:rPr>
          <w:rFonts w:hint="cs"/>
          <w:rtl/>
        </w:rPr>
        <w:t>:</w:t>
      </w:r>
      <w:r w:rsidRPr="00A52585">
        <w:rPr>
          <w:rFonts w:hint="cs"/>
          <w:rtl/>
        </w:rPr>
        <w:t xml:space="preserve"> قد علمت أن النازل إليك قريب منك</w:t>
      </w:r>
      <w:r w:rsidR="00DB731D" w:rsidRPr="00A52585">
        <w:rPr>
          <w:rFonts w:hint="cs"/>
          <w:rtl/>
        </w:rPr>
        <w:t>،</w:t>
      </w:r>
      <w:r w:rsidRPr="00A52585">
        <w:rPr>
          <w:rFonts w:hint="cs"/>
          <w:rtl/>
        </w:rPr>
        <w:t xml:space="preserve"> فاقنع بالقرب ولا تظنه كقرب الأجسام</w:t>
      </w:r>
      <w:r w:rsidR="00DB731D" w:rsidRPr="00A52585">
        <w:rPr>
          <w:rFonts w:hint="cs"/>
          <w:rtl/>
        </w:rPr>
        <w:t>،</w:t>
      </w:r>
      <w:r w:rsidRPr="00A52585">
        <w:rPr>
          <w:rFonts w:hint="cs"/>
          <w:rtl/>
        </w:rPr>
        <w:t xml:space="preserve"> </w:t>
      </w:r>
      <w:r w:rsidRPr="00A52585">
        <w:rPr>
          <w:rFonts w:hint="cs"/>
          <w:u w:val="single"/>
          <w:rtl/>
        </w:rPr>
        <w:t>قال ابن حامد</w:t>
      </w:r>
      <w:r w:rsidR="0002035C" w:rsidRPr="00A52585">
        <w:rPr>
          <w:rFonts w:hint="cs"/>
          <w:u w:val="single"/>
          <w:rtl/>
        </w:rPr>
        <w:t>:</w:t>
      </w:r>
      <w:r w:rsidRPr="00A52585">
        <w:rPr>
          <w:rFonts w:hint="cs"/>
          <w:u w:val="single"/>
          <w:rtl/>
        </w:rPr>
        <w:t xml:space="preserve"> </w:t>
      </w:r>
      <w:proofErr w:type="spellStart"/>
      <w:r w:rsidRPr="00A52585">
        <w:rPr>
          <w:rFonts w:hint="cs"/>
          <w:u w:val="single"/>
          <w:rtl/>
        </w:rPr>
        <w:t>هوعلي</w:t>
      </w:r>
      <w:proofErr w:type="spellEnd"/>
      <w:r w:rsidRPr="00A52585">
        <w:rPr>
          <w:rFonts w:hint="cs"/>
          <w:u w:val="single"/>
          <w:rtl/>
        </w:rPr>
        <w:t xml:space="preserve"> العرش بذاته</w:t>
      </w:r>
      <w:r w:rsidR="00DB731D" w:rsidRPr="00A52585">
        <w:rPr>
          <w:rFonts w:hint="cs"/>
          <w:u w:val="single"/>
          <w:rtl/>
        </w:rPr>
        <w:t>،</w:t>
      </w:r>
      <w:r w:rsidRPr="00A52585">
        <w:rPr>
          <w:rFonts w:hint="cs"/>
          <w:u w:val="single"/>
          <w:rtl/>
        </w:rPr>
        <w:t xml:space="preserve"> مماس له</w:t>
      </w:r>
      <w:r w:rsidR="00DB731D" w:rsidRPr="00A52585">
        <w:rPr>
          <w:rFonts w:hint="cs"/>
          <w:u w:val="single"/>
          <w:rtl/>
        </w:rPr>
        <w:t>،</w:t>
      </w:r>
      <w:r w:rsidRPr="00A52585">
        <w:rPr>
          <w:rFonts w:hint="cs"/>
          <w:u w:val="single"/>
          <w:rtl/>
        </w:rPr>
        <w:t xml:space="preserve"> وينزل من مكانه الذي هو فيه فيزول وينتقل</w:t>
      </w:r>
      <w:r w:rsidR="00897A24" w:rsidRPr="00A52585">
        <w:rPr>
          <w:rFonts w:hint="cs"/>
          <w:u w:val="single"/>
          <w:rtl/>
        </w:rPr>
        <w:t>.</w:t>
      </w:r>
      <w:r w:rsidRPr="00A52585">
        <w:rPr>
          <w:rFonts w:hint="cs"/>
          <w:bCs/>
          <w:u w:val="single"/>
          <w:rtl/>
        </w:rPr>
        <w:t xml:space="preserve"> قلت</w:t>
      </w:r>
      <w:r w:rsidR="0002035C" w:rsidRPr="00A52585">
        <w:rPr>
          <w:rFonts w:hint="cs"/>
          <w:bCs/>
          <w:u w:val="single"/>
          <w:rtl/>
        </w:rPr>
        <w:t>:</w:t>
      </w:r>
      <w:r w:rsidRPr="00A52585">
        <w:rPr>
          <w:rFonts w:hint="cs"/>
          <w:bCs/>
          <w:u w:val="single"/>
          <w:rtl/>
        </w:rPr>
        <w:t xml:space="preserve"> وهذا رجل لا يعرف ما يجوز علي الله تعالي</w:t>
      </w:r>
      <w:r w:rsidR="00DB731D" w:rsidRPr="00A52585">
        <w:rPr>
          <w:rFonts w:hint="cs"/>
          <w:rtl/>
        </w:rPr>
        <w:t>،</w:t>
      </w:r>
      <w:r w:rsidRPr="00A52585">
        <w:rPr>
          <w:rFonts w:hint="cs"/>
          <w:rtl/>
        </w:rPr>
        <w:t xml:space="preserve"> </w:t>
      </w:r>
      <w:r w:rsidRPr="00A52585">
        <w:rPr>
          <w:rFonts w:hint="cs"/>
          <w:u w:val="single"/>
          <w:rtl/>
        </w:rPr>
        <w:t>وقال القاضي</w:t>
      </w:r>
      <w:r w:rsidR="0002035C" w:rsidRPr="00A52585">
        <w:rPr>
          <w:rFonts w:hint="cs"/>
          <w:u w:val="single"/>
          <w:rtl/>
        </w:rPr>
        <w:t>:</w:t>
      </w:r>
      <w:r w:rsidRPr="00A52585">
        <w:rPr>
          <w:rFonts w:hint="cs"/>
          <w:u w:val="single"/>
          <w:rtl/>
        </w:rPr>
        <w:t xml:space="preserve"> النزول صفة ذاتية</w:t>
      </w:r>
      <w:r w:rsidR="00DB731D" w:rsidRPr="00A52585">
        <w:rPr>
          <w:rFonts w:hint="cs"/>
          <w:u w:val="single"/>
          <w:rtl/>
        </w:rPr>
        <w:t>،</w:t>
      </w:r>
      <w:r w:rsidRPr="00A52585">
        <w:rPr>
          <w:rFonts w:hint="cs"/>
          <w:u w:val="single"/>
          <w:rtl/>
        </w:rPr>
        <w:t xml:space="preserve"> ولا نقول نزوله انتقال</w:t>
      </w:r>
      <w:r w:rsidR="00897A24" w:rsidRPr="00A52585">
        <w:rPr>
          <w:rFonts w:hint="cs"/>
          <w:u w:val="single"/>
          <w:rtl/>
        </w:rPr>
        <w:t>.</w:t>
      </w:r>
      <w:r w:rsidRPr="00A52585">
        <w:rPr>
          <w:rFonts w:hint="cs"/>
          <w:u w:val="single"/>
          <w:rtl/>
        </w:rPr>
        <w:t xml:space="preserve"> </w:t>
      </w:r>
      <w:r w:rsidRPr="00A52585">
        <w:rPr>
          <w:rFonts w:hint="cs"/>
          <w:bCs/>
          <w:u w:val="single"/>
          <w:rtl/>
        </w:rPr>
        <w:t>قلت وهذا مغالطة</w:t>
      </w:r>
      <w:r w:rsidR="00DB731D" w:rsidRPr="00A52585">
        <w:rPr>
          <w:rFonts w:hint="cs"/>
          <w:u w:val="single"/>
          <w:rtl/>
        </w:rPr>
        <w:t>،</w:t>
      </w:r>
      <w:r w:rsidRPr="00A52585">
        <w:rPr>
          <w:rFonts w:hint="cs"/>
          <w:rtl/>
        </w:rPr>
        <w:t xml:space="preserve"> ومنهم من قال</w:t>
      </w:r>
      <w:r w:rsidR="0002035C" w:rsidRPr="00A52585">
        <w:rPr>
          <w:rFonts w:hint="cs"/>
          <w:rtl/>
        </w:rPr>
        <w:t>:</w:t>
      </w:r>
      <w:r w:rsidRPr="00A52585">
        <w:rPr>
          <w:rFonts w:hint="cs"/>
          <w:rtl/>
        </w:rPr>
        <w:t xml:space="preserve"> يتحرك إذا نزل</w:t>
      </w:r>
      <w:r w:rsidR="00DB731D" w:rsidRPr="00A52585">
        <w:rPr>
          <w:rFonts w:hint="cs"/>
          <w:rtl/>
        </w:rPr>
        <w:t>،</w:t>
      </w:r>
      <w:r w:rsidRPr="00A52585">
        <w:rPr>
          <w:rFonts w:hint="cs"/>
          <w:rtl/>
        </w:rPr>
        <w:t xml:space="preserve"> ولا يدري أن </w:t>
      </w:r>
      <w:r w:rsidRPr="00A52585">
        <w:rPr>
          <w:rFonts w:hint="cs"/>
          <w:rtl/>
        </w:rPr>
        <w:lastRenderedPageBreak/>
        <w:t xml:space="preserve">الحركة لا تجوز </w:t>
      </w:r>
      <w:proofErr w:type="gramStart"/>
      <w:r w:rsidRPr="00A52585">
        <w:rPr>
          <w:rFonts w:hint="cs"/>
          <w:rtl/>
        </w:rPr>
        <w:t>علي</w:t>
      </w:r>
      <w:proofErr w:type="gramEnd"/>
      <w:r w:rsidRPr="00A52585">
        <w:rPr>
          <w:rFonts w:hint="cs"/>
          <w:rtl/>
        </w:rPr>
        <w:t xml:space="preserve"> الخالق</w:t>
      </w:r>
      <w:r w:rsidR="00897A24" w:rsidRPr="00A52585">
        <w:rPr>
          <w:rFonts w:hint="cs"/>
          <w:rtl/>
        </w:rPr>
        <w:t>.</w:t>
      </w:r>
      <w:r w:rsidRPr="00A52585">
        <w:rPr>
          <w:rFonts w:hint="cs"/>
          <w:rtl/>
        </w:rPr>
        <w:t xml:space="preserve"> وقد حكوا عن أحمد ذلك وهو كذب عليه</w:t>
      </w:r>
      <w:r w:rsidR="00897A24" w:rsidRPr="00A52585">
        <w:rPr>
          <w:rFonts w:hint="cs"/>
          <w:rtl/>
        </w:rPr>
        <w:t>.</w:t>
      </w:r>
      <w:r w:rsidRPr="00A52585">
        <w:rPr>
          <w:rFonts w:hint="cs"/>
          <w:rtl/>
        </w:rPr>
        <w:t xml:space="preserve"> ولو كان النزول صفة لذاته</w:t>
      </w:r>
      <w:r w:rsidR="00DB731D" w:rsidRPr="00A52585">
        <w:rPr>
          <w:rFonts w:hint="cs"/>
          <w:rtl/>
        </w:rPr>
        <w:t>،</w:t>
      </w:r>
      <w:r w:rsidRPr="00A52585">
        <w:rPr>
          <w:rFonts w:hint="cs"/>
          <w:rtl/>
        </w:rPr>
        <w:t xml:space="preserve"> لكانت صفاته كل ليلة تتجدد وصفاته قديمة</w:t>
      </w:r>
      <w:r w:rsidR="00897A24" w:rsidRPr="00A52585">
        <w:rPr>
          <w:rFonts w:hint="cs"/>
          <w:rtl/>
        </w:rPr>
        <w:t>.</w:t>
      </w:r>
      <w:r w:rsidRPr="00A52585">
        <w:rPr>
          <w:rFonts w:hint="cs"/>
          <w:rtl/>
        </w:rPr>
        <w:t xml:space="preserve"> " [الباز الأشهب ص95-96] أ هـ</w:t>
      </w:r>
    </w:p>
    <w:p w14:paraId="46818A31" w14:textId="58CDAF2F" w:rsidR="00777DCB" w:rsidRPr="00A52585" w:rsidRDefault="00777DCB" w:rsidP="0002035C">
      <w:pPr>
        <w:rPr>
          <w:rtl/>
        </w:rPr>
      </w:pPr>
      <w:r w:rsidRPr="00A52585">
        <w:rPr>
          <w:rFonts w:hint="cs"/>
          <w:bCs/>
          <w:rtl/>
        </w:rPr>
        <w:t>وجاء في حاشية جواهر القرآن للغزالي</w:t>
      </w:r>
      <w:r w:rsidR="0002035C" w:rsidRPr="00A52585">
        <w:rPr>
          <w:rFonts w:hint="cs"/>
          <w:bCs/>
          <w:rtl/>
        </w:rPr>
        <w:t>:</w:t>
      </w:r>
      <w:r w:rsidRPr="00A52585">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02035C" w:rsidRPr="00A52585">
        <w:rPr>
          <w:rFonts w:hint="cs"/>
          <w:rtl/>
        </w:rPr>
        <w:t xml:space="preserve"> </w:t>
      </w:r>
      <w:r w:rsidRPr="00A52585">
        <w:rPr>
          <w:rFonts w:hint="cs"/>
          <w:rtl/>
        </w:rPr>
        <w:t xml:space="preserve">ثم اختلف السلف والخلف بعد ما تقدم فرأى السلفيون أن </w:t>
      </w:r>
      <w:r w:rsidRPr="00A52585">
        <w:rPr>
          <w:rFonts w:hint="cs"/>
          <w:bCs/>
          <w:u w:val="single"/>
          <w:rtl/>
        </w:rPr>
        <w:t xml:space="preserve">يفوضوا تعيين معنى الاستواء إلى الله </w:t>
      </w:r>
      <w:r w:rsidRPr="00A52585">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02035C" w:rsidRPr="00A52585">
        <w:rPr>
          <w:rFonts w:hint="cs"/>
          <w:rtl/>
        </w:rPr>
        <w:t xml:space="preserve"> </w:t>
      </w:r>
      <w:r w:rsidRPr="00A52585">
        <w:rPr>
          <w:rFonts w:hint="cs"/>
          <w:rtl/>
        </w:rPr>
        <w:t>قد استوى بشر على العراق من غير سيف ودم مهراق</w:t>
      </w:r>
      <w:r w:rsidR="0002035C" w:rsidRPr="00A52585">
        <w:rPr>
          <w:rFonts w:hint="cs"/>
          <w:rtl/>
        </w:rPr>
        <w:t xml:space="preserve"> </w:t>
      </w:r>
      <w:r w:rsidRPr="00A52585">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02035C" w:rsidRPr="00A52585">
        <w:rPr>
          <w:rFonts w:hint="cs"/>
          <w:rtl/>
        </w:rPr>
        <w:t xml:space="preserve"> </w:t>
      </w:r>
      <w:r w:rsidRPr="00A52585">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sidRPr="00A52585">
        <w:rPr>
          <w:rFonts w:hint="cs"/>
          <w:bCs/>
          <w:u w:val="single"/>
          <w:rtl/>
        </w:rPr>
        <w:t xml:space="preserve">فالسلف يفوضون في معانيها تفويضا مطلقا بعد تنزيه الله عن ظواهرها المستحيلة </w:t>
      </w:r>
      <w:r w:rsidRPr="00A52585">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sidRPr="00A52585">
        <w:rPr>
          <w:rFonts w:hint="cs"/>
          <w:rtl/>
        </w:rPr>
        <w:t>مؤولون</w:t>
      </w:r>
      <w:proofErr w:type="spellEnd"/>
      <w:r w:rsidRPr="00A52585">
        <w:rPr>
          <w:rFonts w:hint="cs"/>
          <w:rtl/>
        </w:rPr>
        <w:t xml:space="preserve"> من وجه مفوضون من وجه</w:t>
      </w:r>
      <w:r w:rsidRPr="00A52585">
        <w:rPr>
          <w:rFonts w:hint="cs"/>
          <w:u w:val="single"/>
          <w:rtl/>
        </w:rPr>
        <w:t xml:space="preserve"> </w:t>
      </w:r>
      <w:r w:rsidRPr="00A52585">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sidRPr="00A52585">
        <w:rPr>
          <w:rFonts w:hint="cs"/>
          <w:rtl/>
        </w:rPr>
        <w:t>والعندية</w:t>
      </w:r>
      <w:proofErr w:type="spellEnd"/>
      <w:r w:rsidRPr="00A52585">
        <w:rPr>
          <w:rFonts w:hint="cs"/>
          <w:rtl/>
        </w:rPr>
        <w:t xml:space="preserve"> في قوله وعنده مفاتح الغيب بالإحاطة والتمكن أو بمثل ذلك في الجميع</w:t>
      </w:r>
      <w:r w:rsidR="0002035C" w:rsidRPr="00A52585">
        <w:rPr>
          <w:rFonts w:hint="cs"/>
          <w:rtl/>
        </w:rPr>
        <w:t xml:space="preserve"> </w:t>
      </w:r>
      <w:r w:rsidRPr="00A52585">
        <w:rPr>
          <w:rFonts w:hint="cs"/>
          <w:rtl/>
        </w:rPr>
        <w:t>" [حاشية جواهر القرآن ج: 2 ص: 208/209] أهـ</w:t>
      </w:r>
    </w:p>
    <w:p w14:paraId="729F440D" w14:textId="0C5C255B" w:rsidR="00777DCB" w:rsidRPr="00A52585" w:rsidRDefault="00777DCB" w:rsidP="0002035C">
      <w:pPr>
        <w:rPr>
          <w:rtl/>
        </w:rPr>
      </w:pPr>
      <w:r w:rsidRPr="00A52585">
        <w:rPr>
          <w:rFonts w:hint="cs"/>
          <w:bCs/>
          <w:rtl/>
        </w:rPr>
        <w:lastRenderedPageBreak/>
        <w:t>وقال القاضي بدر الدين بن جماعة</w:t>
      </w:r>
      <w:r w:rsidR="0002035C" w:rsidRPr="00A52585">
        <w:rPr>
          <w:rFonts w:hint="cs"/>
          <w:bCs/>
          <w:rtl/>
        </w:rPr>
        <w:t>:</w:t>
      </w:r>
      <w:r w:rsidRPr="00A52585">
        <w:rPr>
          <w:rFonts w:hint="cs"/>
          <w:bCs/>
          <w:rtl/>
          <w:lang w:bidi="ar-KW"/>
        </w:rPr>
        <w:t xml:space="preserve"> </w:t>
      </w:r>
      <w:r w:rsidRPr="00A52585">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Pr="00A52585">
        <w:rPr>
          <w:rFonts w:hint="cs"/>
          <w:rtl/>
        </w:rPr>
        <w:t xml:space="preserve"> وأوله </w:t>
      </w:r>
      <w:proofErr w:type="spellStart"/>
      <w:r w:rsidRPr="00A52585">
        <w:rPr>
          <w:rFonts w:hint="cs"/>
          <w:rtl/>
        </w:rPr>
        <w:t>المؤولون</w:t>
      </w:r>
      <w:proofErr w:type="spellEnd"/>
      <w:r w:rsidRPr="00A52585">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 هـ </w:t>
      </w:r>
    </w:p>
    <w:p w14:paraId="6302A726" w14:textId="77777777" w:rsidR="00777DCB" w:rsidRPr="00A52585" w:rsidRDefault="00777DCB" w:rsidP="0002035C">
      <w:pPr>
        <w:jc w:val="center"/>
        <w:rPr>
          <w:b/>
          <w:bCs/>
          <w:rtl/>
        </w:rPr>
      </w:pPr>
      <w:r w:rsidRPr="00A52585">
        <w:rPr>
          <w:rFonts w:hint="cs"/>
          <w:bCs/>
          <w:rtl/>
        </w:rPr>
        <w:t xml:space="preserve">***** </w:t>
      </w:r>
    </w:p>
    <w:p w14:paraId="77D34387" w14:textId="77777777" w:rsidR="00777DCB" w:rsidRPr="00A52585" w:rsidRDefault="00777DCB" w:rsidP="0002035C">
      <w:pPr>
        <w:jc w:val="center"/>
        <w:rPr>
          <w:b/>
          <w:bCs/>
          <w:rtl/>
        </w:rPr>
      </w:pPr>
    </w:p>
    <w:p w14:paraId="5E80B599" w14:textId="0F564286" w:rsidR="00777DCB" w:rsidRPr="00A52585" w:rsidRDefault="00777DCB" w:rsidP="00A52585">
      <w:pPr>
        <w:pStyle w:val="1"/>
        <w:rPr>
          <w:u w:val="none"/>
          <w:rtl/>
          <w:lang w:bidi="ar-KW"/>
        </w:rPr>
      </w:pPr>
      <w:r w:rsidRPr="00A52585">
        <w:rPr>
          <w:u w:val="none"/>
          <w:rtl/>
          <w:lang w:bidi="ar-KW"/>
        </w:rPr>
        <w:t>الفصل الثامن</w:t>
      </w:r>
      <w:r w:rsidR="00A52585" w:rsidRPr="00A52585">
        <w:rPr>
          <w:rFonts w:hint="cs"/>
          <w:u w:val="none"/>
          <w:rtl/>
          <w:lang w:bidi="ar-KW"/>
        </w:rPr>
        <w:t xml:space="preserve"> </w:t>
      </w:r>
      <w:r w:rsidRPr="00A52585">
        <w:rPr>
          <w:u w:val="none"/>
          <w:rtl/>
          <w:lang w:bidi="ar-KW"/>
        </w:rPr>
        <w:t>تحقيق القول في</w:t>
      </w:r>
      <w:r w:rsidRPr="00A52585">
        <w:rPr>
          <w:rFonts w:hint="cs"/>
          <w:u w:val="none"/>
          <w:rtl/>
          <w:lang w:bidi="ar-KW"/>
        </w:rPr>
        <w:t xml:space="preserve"> بعض </w:t>
      </w:r>
      <w:r w:rsidRPr="00A52585">
        <w:rPr>
          <w:u w:val="none"/>
          <w:rtl/>
          <w:lang w:bidi="ar-KW"/>
        </w:rPr>
        <w:t>الأخبار المتشابهات وردها إلى أمهاتها من المحكمات</w:t>
      </w:r>
      <w:r w:rsidRPr="00A52585">
        <w:rPr>
          <w:rFonts w:hint="cs"/>
          <w:u w:val="none"/>
          <w:rtl/>
          <w:lang w:bidi="ar-KW"/>
        </w:rPr>
        <w:t xml:space="preserve"> مع جعلها مثالا يُحتذى به في بقية المتشابهات</w:t>
      </w:r>
    </w:p>
    <w:p w14:paraId="0C57F1C3" w14:textId="77777777" w:rsidR="00777DCB" w:rsidRPr="00A52585" w:rsidRDefault="00777DCB" w:rsidP="0002035C">
      <w:pPr>
        <w:jc w:val="center"/>
        <w:rPr>
          <w:rtl/>
        </w:rPr>
      </w:pPr>
    </w:p>
    <w:p w14:paraId="24E2701A" w14:textId="23F7BEF2" w:rsidR="00777DCB" w:rsidRPr="00A52585" w:rsidRDefault="00777DCB" w:rsidP="0002035C">
      <w:pPr>
        <w:rPr>
          <w:rtl/>
        </w:rPr>
      </w:pPr>
      <w:r w:rsidRPr="00A52585">
        <w:rPr>
          <w:rFonts w:hint="cs"/>
          <w:rtl/>
        </w:rPr>
        <w:t>وتشمل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1</w:t>
      </w:r>
      <w:r w:rsidR="0002035C" w:rsidRPr="00A52585">
        <w:rPr>
          <w:rFonts w:hint="cs"/>
          <w:rtl/>
        </w:rPr>
        <w:t>)</w:t>
      </w:r>
      <w:r w:rsidRPr="00A52585">
        <w:rPr>
          <w:rFonts w:hint="cs"/>
          <w:rtl/>
        </w:rPr>
        <w:t xml:space="preserve"> تحقيق القول في </w:t>
      </w:r>
      <w:r w:rsidRPr="00A52585">
        <w:rPr>
          <w:rFonts w:hint="cs"/>
          <w:rtl/>
          <w:lang w:bidi="ar-KW"/>
        </w:rPr>
        <w:t>فهم حديث</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rPr>
        <w:t>خلق الله آدم على صورته</w:t>
      </w:r>
      <w:r w:rsidR="0002035C" w:rsidRPr="00A52585">
        <w:rPr>
          <w:rFonts w:hint="cs"/>
          <w:rtl/>
        </w:rPr>
        <w:t>)</w:t>
      </w:r>
      <w:r w:rsidRPr="00A52585">
        <w:rPr>
          <w:rFonts w:hint="cs"/>
          <w:rtl/>
        </w:rPr>
        <w:t>) والقضاء على شبه المجسمة المتعلقة به</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2</w:t>
      </w:r>
      <w:r w:rsidR="0002035C" w:rsidRPr="00A52585">
        <w:rPr>
          <w:rFonts w:hint="cs"/>
          <w:rtl/>
        </w:rPr>
        <w:t>)</w:t>
      </w:r>
      <w:r w:rsidRPr="00A52585">
        <w:rPr>
          <w:rFonts w:hint="cs"/>
          <w:rtl/>
        </w:rPr>
        <w:t xml:space="preserve"> تحقيق القول في فهم حديث</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أين الله</w:t>
      </w:r>
      <w:r w:rsidR="0002035C" w:rsidRPr="00A52585">
        <w:rPr>
          <w:rFonts w:hint="cs"/>
          <w:rtl/>
        </w:rPr>
        <w:t>)</w:t>
      </w:r>
      <w:r w:rsidRPr="00A52585">
        <w:rPr>
          <w:rFonts w:hint="cs"/>
          <w:rtl/>
        </w:rPr>
        <w:t>) والقضاء على شبه المجسمة المتعلقة به</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3</w:t>
      </w:r>
      <w:r w:rsidR="0002035C" w:rsidRPr="00A52585">
        <w:rPr>
          <w:rFonts w:hint="cs"/>
          <w:rtl/>
        </w:rPr>
        <w:t>)</w:t>
      </w:r>
      <w:r w:rsidRPr="00A52585">
        <w:rPr>
          <w:rFonts w:hint="cs"/>
          <w:rtl/>
        </w:rPr>
        <w:t xml:space="preserve"> تحقيق القول في فهم حديث النزول والقضاء على شبه المجسمة المتعلقة به</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4</w:t>
      </w:r>
      <w:r w:rsidR="0002035C" w:rsidRPr="00A52585">
        <w:rPr>
          <w:rFonts w:hint="cs"/>
          <w:rtl/>
        </w:rPr>
        <w:t>)</w:t>
      </w:r>
      <w:r w:rsidRPr="00A52585">
        <w:rPr>
          <w:rFonts w:hint="cs"/>
          <w:rtl/>
        </w:rPr>
        <w:t xml:space="preserve"> </w:t>
      </w:r>
      <w:r w:rsidRPr="00A52585">
        <w:rPr>
          <w:rFonts w:hint="cs"/>
          <w:rtl/>
          <w:lang w:bidi="ar-KW"/>
        </w:rPr>
        <w:t>حل اشكالية الظواهر الموهمة للتشبيه والتجسيم والجارحة والأعضاء كالوجه واليد والعين</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5</w:t>
      </w:r>
      <w:r w:rsidR="0002035C" w:rsidRPr="00A52585">
        <w:rPr>
          <w:rFonts w:hint="cs"/>
          <w:rtl/>
          <w:lang w:bidi="ar-KW"/>
        </w:rPr>
        <w:t>)</w:t>
      </w:r>
      <w:r w:rsidRPr="00A52585">
        <w:rPr>
          <w:rFonts w:hint="cs"/>
          <w:rtl/>
          <w:lang w:bidi="ar-KW"/>
        </w:rPr>
        <w:t xml:space="preserve"> </w:t>
      </w:r>
      <w:r w:rsidRPr="00A52585">
        <w:rPr>
          <w:rFonts w:hint="cs"/>
          <w:rtl/>
        </w:rPr>
        <w:t>تحقيق القول في فهم الأخبار الموهمة بالفوقية الحسية</w:t>
      </w:r>
      <w:r w:rsidR="00DB731D" w:rsidRPr="00A52585">
        <w:rPr>
          <w:rFonts w:hint="cs"/>
          <w:rtl/>
        </w:rPr>
        <w:t>،</w:t>
      </w:r>
      <w:r w:rsidRPr="00A52585">
        <w:rPr>
          <w:rFonts w:hint="cs"/>
          <w:rtl/>
        </w:rPr>
        <w:t xml:space="preserve"> </w:t>
      </w:r>
      <w:r w:rsidR="0002035C" w:rsidRPr="00A52585">
        <w:rPr>
          <w:rtl/>
        </w:rPr>
        <w:t>(</w:t>
      </w:r>
      <w:r w:rsidRPr="00A52585">
        <w:rPr>
          <w:rFonts w:hint="cs"/>
          <w:rtl/>
        </w:rPr>
        <w:t>6</w:t>
      </w:r>
      <w:r w:rsidR="0002035C" w:rsidRPr="00A52585">
        <w:rPr>
          <w:rtl/>
        </w:rPr>
        <w:t>)</w:t>
      </w:r>
      <w:r w:rsidRPr="00A52585">
        <w:rPr>
          <w:rtl/>
        </w:rPr>
        <w:t xml:space="preserve"> تحقيق القول في الأخبار الموهمة بالتغير والحدوث وقبول الحوادث</w:t>
      </w:r>
    </w:p>
    <w:p w14:paraId="1DF35A02" w14:textId="77777777" w:rsidR="00777DCB" w:rsidRPr="00A52585" w:rsidRDefault="00777DCB" w:rsidP="0002035C">
      <w:pPr>
        <w:jc w:val="center"/>
        <w:rPr>
          <w:rtl/>
        </w:rPr>
      </w:pPr>
      <w:r w:rsidRPr="00A52585">
        <w:rPr>
          <w:rFonts w:hint="cs"/>
          <w:rtl/>
        </w:rPr>
        <w:t xml:space="preserve">*** </w:t>
      </w:r>
    </w:p>
    <w:p w14:paraId="54EC0A82" w14:textId="5456E8A3" w:rsidR="00777DCB" w:rsidRPr="00A52585" w:rsidRDefault="00777DCB" w:rsidP="00A52585">
      <w:pPr>
        <w:pStyle w:val="2"/>
        <w:numPr>
          <w:ilvl w:val="0"/>
          <w:numId w:val="4"/>
        </w:numPr>
        <w:bidi/>
        <w:jc w:val="center"/>
        <w:rPr>
          <w:u w:val="none"/>
          <w:rtl/>
        </w:rPr>
      </w:pPr>
      <w:bookmarkStart w:id="3" w:name="ص1"/>
      <w:r w:rsidRPr="00A52585">
        <w:rPr>
          <w:rFonts w:hint="cs"/>
          <w:u w:val="none"/>
          <w:rtl/>
        </w:rPr>
        <w:lastRenderedPageBreak/>
        <w:t>حل إشكالية الصورة</w:t>
      </w:r>
      <w:r w:rsidR="00DB731D" w:rsidRPr="00A52585">
        <w:rPr>
          <w:rFonts w:hint="cs"/>
          <w:u w:val="none"/>
          <w:rtl/>
        </w:rPr>
        <w:t>،</w:t>
      </w:r>
      <w:r w:rsidRPr="00A52585">
        <w:rPr>
          <w:rFonts w:hint="cs"/>
          <w:u w:val="none"/>
          <w:rtl/>
        </w:rPr>
        <w:t xml:space="preserve"> وتحقيق القول في حديث</w:t>
      </w:r>
      <w:r w:rsidR="0002035C" w:rsidRPr="00A52585">
        <w:rPr>
          <w:rFonts w:hint="cs"/>
          <w:u w:val="none"/>
          <w:rtl/>
        </w:rPr>
        <w:t>:</w:t>
      </w:r>
      <w:r w:rsidRPr="00A52585">
        <w:rPr>
          <w:rFonts w:hint="cs"/>
          <w:u w:val="none"/>
          <w:rtl/>
        </w:rPr>
        <w:t xml:space="preserve"> (</w:t>
      </w:r>
      <w:r w:rsidR="0002035C" w:rsidRPr="00A52585">
        <w:rPr>
          <w:rFonts w:hint="cs"/>
          <w:u w:val="none"/>
          <w:rtl/>
        </w:rPr>
        <w:t>(</w:t>
      </w:r>
      <w:r w:rsidRPr="00A52585">
        <w:rPr>
          <w:rFonts w:hint="cs"/>
          <w:u w:val="none"/>
          <w:rtl/>
        </w:rPr>
        <w:t>خلق الله آدم على صورته</w:t>
      </w:r>
      <w:r w:rsidR="0002035C" w:rsidRPr="00A52585">
        <w:rPr>
          <w:rFonts w:hint="cs"/>
          <w:u w:val="none"/>
          <w:rtl/>
        </w:rPr>
        <w:t>)</w:t>
      </w:r>
      <w:r w:rsidRPr="00A52585">
        <w:rPr>
          <w:rFonts w:hint="cs"/>
          <w:u w:val="none"/>
          <w:rtl/>
        </w:rPr>
        <w:t>) والقضاء على شبه المجسمة المتعلقة به من اثبات الجارحة والصورة والشكل</w:t>
      </w:r>
    </w:p>
    <w:bookmarkEnd w:id="3"/>
    <w:p w14:paraId="2A5B6AC1" w14:textId="77777777" w:rsidR="00777DCB" w:rsidRPr="00A52585" w:rsidRDefault="00777DCB" w:rsidP="0002035C">
      <w:pPr>
        <w:rPr>
          <w:b/>
          <w:rtl/>
        </w:rPr>
      </w:pPr>
    </w:p>
    <w:p w14:paraId="101B2C62" w14:textId="0351BA9C" w:rsidR="00777DCB" w:rsidRPr="00A52585" w:rsidRDefault="0002035C" w:rsidP="0002035C">
      <w:pPr>
        <w:rPr>
          <w:b/>
          <w:rtl/>
        </w:rPr>
      </w:pPr>
      <w:r w:rsidRPr="00A52585">
        <w:rPr>
          <w:rFonts w:hint="cs"/>
          <w:bCs/>
          <w:rtl/>
        </w:rPr>
        <w:t>(</w:t>
      </w:r>
      <w:r w:rsidR="00777DCB" w:rsidRPr="00A52585">
        <w:rPr>
          <w:rFonts w:hint="cs"/>
          <w:bCs/>
          <w:rtl/>
        </w:rPr>
        <w:t>أ</w:t>
      </w:r>
      <w:r w:rsidRPr="00A52585">
        <w:rPr>
          <w:rFonts w:hint="cs"/>
          <w:bCs/>
          <w:rtl/>
        </w:rPr>
        <w:t>)</w:t>
      </w:r>
      <w:r w:rsidR="00777DCB" w:rsidRPr="00A52585">
        <w:rPr>
          <w:rFonts w:hint="cs"/>
          <w:bCs/>
          <w:rtl/>
        </w:rPr>
        <w:t xml:space="preserve"> روايات الحديث</w:t>
      </w:r>
      <w:r w:rsidRPr="00A52585">
        <w:rPr>
          <w:rFonts w:hint="cs"/>
          <w:bCs/>
          <w:rtl/>
        </w:rPr>
        <w:t>:</w:t>
      </w:r>
      <w:r w:rsidR="00777DCB" w:rsidRPr="00A52585">
        <w:rPr>
          <w:rFonts w:hint="cs"/>
          <w:bCs/>
          <w:rtl/>
        </w:rPr>
        <w:t xml:space="preserve"> الرواية الأولى للحديث</w:t>
      </w:r>
      <w:r w:rsidRPr="00A52585">
        <w:rPr>
          <w:rFonts w:hint="cs"/>
          <w:rtl/>
        </w:rPr>
        <w:t>:</w:t>
      </w:r>
      <w:r w:rsidR="00777DCB" w:rsidRPr="00A52585">
        <w:rPr>
          <w:rFonts w:hint="cs"/>
          <w:rtl/>
        </w:rPr>
        <w:t xml:space="preserve"> رواية صحيحة</w:t>
      </w:r>
      <w:r w:rsidR="00DB731D" w:rsidRPr="00A52585">
        <w:rPr>
          <w:rFonts w:hint="cs"/>
          <w:rtl/>
        </w:rPr>
        <w:t>،</w:t>
      </w:r>
      <w:r w:rsidR="00777DCB" w:rsidRPr="00A52585">
        <w:rPr>
          <w:rFonts w:hint="cs"/>
          <w:rtl/>
        </w:rPr>
        <w:t xml:space="preserve"> أخرج البخاري ومسلم عن أبي هريرة رضي الله عنه قال</w:t>
      </w:r>
      <w:r w:rsidRPr="00A52585">
        <w:rPr>
          <w:rFonts w:hint="cs"/>
          <w:rtl/>
        </w:rPr>
        <w:t>:</w:t>
      </w:r>
      <w:r w:rsidR="00777DCB" w:rsidRPr="00A52585">
        <w:rPr>
          <w:rFonts w:hint="cs"/>
          <w:rtl/>
        </w:rPr>
        <w:t xml:space="preserve"> قال رسول الله صلى الله عليه وسلم</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sidRPr="00A52585">
        <w:rPr>
          <w:rFonts w:hint="cs"/>
          <w:rtl/>
        </w:rPr>
        <w:t>)</w:t>
      </w:r>
      <w:r w:rsidR="00777DCB" w:rsidRPr="00A52585">
        <w:rPr>
          <w:rFonts w:hint="cs"/>
          <w:rtl/>
        </w:rPr>
        <w:t>)</w:t>
      </w:r>
      <w:r w:rsidRPr="00A52585">
        <w:rPr>
          <w:rFonts w:hint="cs"/>
          <w:rtl/>
          <w:lang w:bidi="ar-KW"/>
        </w:rPr>
        <w:t xml:space="preserve"> </w:t>
      </w:r>
      <w:r w:rsidRPr="00A52585">
        <w:rPr>
          <w:rFonts w:hint="cs"/>
          <w:rtl/>
        </w:rPr>
        <w:t>[</w:t>
      </w:r>
      <w:r w:rsidR="00777DCB" w:rsidRPr="00A52585">
        <w:rPr>
          <w:rFonts w:hint="cs"/>
          <w:rtl/>
        </w:rPr>
        <w:t>أخرجه البخاري (6227)، ومسلم</w:t>
      </w:r>
      <w:r w:rsidRPr="00A52585">
        <w:rPr>
          <w:rFonts w:hint="cs"/>
          <w:rtl/>
        </w:rPr>
        <w:t xml:space="preserve"> (</w:t>
      </w:r>
      <w:r w:rsidR="00777DCB" w:rsidRPr="00A52585">
        <w:rPr>
          <w:rFonts w:hint="cs"/>
          <w:rtl/>
        </w:rPr>
        <w:t>2841</w:t>
      </w:r>
      <w:r w:rsidRPr="00A52585">
        <w:rPr>
          <w:rFonts w:hint="cs"/>
          <w:rtl/>
        </w:rPr>
        <w:t>)]</w:t>
      </w:r>
      <w:r w:rsidR="00DB731D" w:rsidRPr="00A52585">
        <w:rPr>
          <w:rFonts w:hint="cs"/>
          <w:rtl/>
        </w:rPr>
        <w:t>،</w:t>
      </w:r>
      <w:r w:rsidR="00777DCB" w:rsidRPr="00A52585">
        <w:rPr>
          <w:rFonts w:hint="cs"/>
          <w:rtl/>
        </w:rPr>
        <w:t xml:space="preserve"> و</w:t>
      </w:r>
      <w:r w:rsidR="00777DCB" w:rsidRPr="00A52585">
        <w:rPr>
          <w:rFonts w:hint="cs"/>
          <w:bCs/>
          <w:rtl/>
        </w:rPr>
        <w:t>الرواية الثانية للحديث</w:t>
      </w:r>
      <w:r w:rsidRPr="00A52585">
        <w:rPr>
          <w:rFonts w:hint="cs"/>
          <w:rtl/>
        </w:rPr>
        <w:t>:</w:t>
      </w:r>
      <w:r w:rsidR="00777DCB" w:rsidRPr="00A52585">
        <w:rPr>
          <w:rFonts w:hint="cs"/>
          <w:rtl/>
        </w:rPr>
        <w:t xml:space="preserve"> رواية صحيحة</w:t>
      </w:r>
      <w:r w:rsidR="00DB731D" w:rsidRPr="00A52585">
        <w:rPr>
          <w:rFonts w:hint="cs"/>
          <w:rtl/>
        </w:rPr>
        <w:t>،</w:t>
      </w:r>
      <w:r w:rsidR="00777DCB" w:rsidRPr="00A52585">
        <w:rPr>
          <w:rFonts w:hint="cs"/>
          <w:rtl/>
        </w:rPr>
        <w:t xml:space="preserve"> أخرج الإمام مسلم عن أبي هريرة رضي الله عنه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إذا قاتل أحدكم أخاه فليجتنب الوجه فإن الله خلق آدم على صورته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أخرجه مسلم (2612)</w:t>
      </w:r>
      <w:r w:rsidRPr="00A52585">
        <w:rPr>
          <w:rFonts w:hint="cs"/>
          <w:rtl/>
        </w:rPr>
        <w:t>]</w:t>
      </w:r>
      <w:r w:rsidR="00DB731D" w:rsidRPr="00A52585">
        <w:rPr>
          <w:rFonts w:hint="cs"/>
          <w:rtl/>
        </w:rPr>
        <w:t>،</w:t>
      </w:r>
      <w:r w:rsidR="00777DCB" w:rsidRPr="00A52585">
        <w:rPr>
          <w:rFonts w:hint="cs"/>
          <w:rtl/>
        </w:rPr>
        <w:t xml:space="preserve"> و</w:t>
      </w:r>
      <w:r w:rsidR="00777DCB" w:rsidRPr="00A52585">
        <w:rPr>
          <w:rFonts w:hint="cs"/>
          <w:bCs/>
          <w:rtl/>
        </w:rPr>
        <w:t>الرواية الثالثة للحديث</w:t>
      </w:r>
      <w:r w:rsidRPr="00A52585">
        <w:rPr>
          <w:rFonts w:hint="cs"/>
          <w:rtl/>
        </w:rPr>
        <w:t>:</w:t>
      </w:r>
      <w:r w:rsidR="00777DCB" w:rsidRPr="00A52585">
        <w:rPr>
          <w:rFonts w:hint="cs"/>
          <w:rtl/>
        </w:rPr>
        <w:t xml:space="preserve"> رواية ضعيفة لا يصح الاستدلال بها بأي حال</w:t>
      </w:r>
      <w:r w:rsidRPr="00A52585">
        <w:rPr>
          <w:rFonts w:hint="cs"/>
          <w:rtl/>
        </w:rPr>
        <w:t>:</w:t>
      </w:r>
      <w:r w:rsidR="00777DCB" w:rsidRPr="00A52585">
        <w:rPr>
          <w:rFonts w:hint="cs"/>
          <w:rtl/>
        </w:rPr>
        <w:t xml:space="preserve"> أخرج عبدالله بن أحمد في السنة،(1/ 268) رقم</w:t>
      </w:r>
      <w:r w:rsidRPr="00A52585">
        <w:rPr>
          <w:rFonts w:hint="cs"/>
          <w:rtl/>
        </w:rPr>
        <w:t>(</w:t>
      </w:r>
      <w:r w:rsidR="00777DCB" w:rsidRPr="00A52585">
        <w:rPr>
          <w:rFonts w:hint="cs"/>
          <w:rtl/>
        </w:rPr>
        <w:t>498</w:t>
      </w:r>
      <w:r w:rsidRPr="00A52585">
        <w:rPr>
          <w:rFonts w:hint="cs"/>
          <w:rtl/>
        </w:rPr>
        <w:t>)</w:t>
      </w:r>
      <w:r w:rsidR="00777DCB" w:rsidRPr="00A52585">
        <w:rPr>
          <w:rFonts w:hint="cs"/>
          <w:rtl/>
        </w:rPr>
        <w:t xml:space="preserve"> , وابن أبي عاصم في السنة </w:t>
      </w:r>
      <w:r w:rsidRPr="00A52585">
        <w:rPr>
          <w:rFonts w:hint="cs"/>
          <w:rtl/>
        </w:rPr>
        <w:t>(</w:t>
      </w:r>
      <w:r w:rsidR="00777DCB" w:rsidRPr="00A52585">
        <w:rPr>
          <w:rFonts w:hint="cs"/>
          <w:rtl/>
        </w:rPr>
        <w:t>417</w:t>
      </w:r>
      <w:r w:rsidRPr="00A52585">
        <w:rPr>
          <w:rFonts w:hint="cs"/>
          <w:rtl/>
        </w:rPr>
        <w:t>)</w:t>
      </w:r>
      <w:r w:rsidR="00777DCB" w:rsidRPr="00A52585">
        <w:rPr>
          <w:rFonts w:hint="cs"/>
          <w:rtl/>
        </w:rPr>
        <w:t xml:space="preserve"> , وأخرجه ابن خزيمة في التوحيد وإثبات صفات الرب جل وعلا </w:t>
      </w:r>
      <w:r w:rsidRPr="00A52585">
        <w:rPr>
          <w:rFonts w:hint="cs"/>
          <w:rtl/>
        </w:rPr>
        <w:t>(</w:t>
      </w:r>
      <w:r w:rsidR="00777DCB" w:rsidRPr="00A52585">
        <w:rPr>
          <w:rFonts w:hint="cs"/>
          <w:rtl/>
        </w:rPr>
        <w:t>1 / 85</w:t>
      </w:r>
      <w:r w:rsidRPr="00A52585">
        <w:rPr>
          <w:rFonts w:hint="cs"/>
          <w:rtl/>
        </w:rPr>
        <w:t>)</w:t>
      </w:r>
      <w:r w:rsidR="00777DCB" w:rsidRPr="00A52585">
        <w:rPr>
          <w:rFonts w:hint="cs"/>
          <w:rtl/>
        </w:rPr>
        <w:t xml:space="preserve"> , وأخرجه الآجري في كتاب الشريعة </w:t>
      </w:r>
      <w:r w:rsidRPr="00A52585">
        <w:rPr>
          <w:rFonts w:hint="cs"/>
          <w:rtl/>
        </w:rPr>
        <w:t>(</w:t>
      </w:r>
      <w:r w:rsidR="00777DCB" w:rsidRPr="00A52585">
        <w:rPr>
          <w:rFonts w:hint="cs"/>
          <w:rtl/>
        </w:rPr>
        <w:t>2/ 107</w:t>
      </w:r>
      <w:r w:rsidRPr="00A52585">
        <w:rPr>
          <w:rFonts w:hint="cs"/>
          <w:rtl/>
        </w:rPr>
        <w:t>)</w:t>
      </w:r>
      <w:r w:rsidR="00777DCB" w:rsidRPr="00A52585">
        <w:rPr>
          <w:rFonts w:hint="cs"/>
          <w:rtl/>
        </w:rPr>
        <w:t xml:space="preserve"> و الدارقطني في الصفات(1/ 37)، رقم </w:t>
      </w:r>
      <w:r w:rsidRPr="00A52585">
        <w:rPr>
          <w:rFonts w:hint="cs"/>
          <w:rtl/>
        </w:rPr>
        <w:t>(</w:t>
      </w:r>
      <w:r w:rsidR="00777DCB" w:rsidRPr="00A52585">
        <w:rPr>
          <w:rFonts w:hint="cs"/>
          <w:rtl/>
        </w:rPr>
        <w:t>45 , 48</w:t>
      </w:r>
      <w:r w:rsidRPr="00A52585">
        <w:rPr>
          <w:rFonts w:hint="cs"/>
          <w:rtl/>
        </w:rPr>
        <w:t>)</w:t>
      </w:r>
      <w:r w:rsidR="00777DCB" w:rsidRPr="00A52585">
        <w:rPr>
          <w:rFonts w:hint="cs"/>
          <w:rtl/>
        </w:rPr>
        <w:t xml:space="preserve"> , و البيهقي في الأسماء والصفات، (2/ 64)، رقم </w:t>
      </w:r>
      <w:r w:rsidRPr="00A52585">
        <w:rPr>
          <w:rFonts w:hint="cs"/>
          <w:rtl/>
        </w:rPr>
        <w:t>(</w:t>
      </w:r>
      <w:r w:rsidR="00777DCB" w:rsidRPr="00A52585">
        <w:rPr>
          <w:rFonts w:hint="cs"/>
          <w:rtl/>
        </w:rPr>
        <w:t>640</w:t>
      </w:r>
      <w:r w:rsidRPr="00A52585">
        <w:rPr>
          <w:rFonts w:hint="cs"/>
          <w:rtl/>
        </w:rPr>
        <w:t>)</w:t>
      </w:r>
      <w:r w:rsidR="00777DCB" w:rsidRPr="00A52585">
        <w:rPr>
          <w:rFonts w:hint="cs"/>
          <w:rtl/>
        </w:rPr>
        <w:t xml:space="preserve"> كلهم من طريق جرير عن الأعمش عن حبيب بن أبي ثابت , عن عطاء , عن ابن عمر بلفظ</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تقبحوا الوجه , فإن الله خلق آدم على صورة الرحمن</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لا يصح ولذلك ذكره الألباني في سلسلة الأحاديث الضعيفة والموضوعة</w:t>
      </w:r>
      <w:r w:rsidRPr="00A52585">
        <w:rPr>
          <w:rFonts w:hint="cs"/>
          <w:rtl/>
        </w:rPr>
        <w:t>:</w:t>
      </w:r>
      <w:r w:rsidR="00777DCB" w:rsidRPr="00A52585">
        <w:rPr>
          <w:rFonts w:hint="cs"/>
          <w:rtl/>
        </w:rPr>
        <w:t xml:space="preserve"> ح </w:t>
      </w:r>
      <w:r w:rsidRPr="00A52585">
        <w:rPr>
          <w:rFonts w:hint="cs"/>
          <w:rtl/>
        </w:rPr>
        <w:t>(</w:t>
      </w:r>
      <w:r w:rsidR="00777DCB" w:rsidRPr="00A52585">
        <w:rPr>
          <w:rFonts w:hint="cs"/>
          <w:rtl/>
        </w:rPr>
        <w:t>1176</w:t>
      </w:r>
      <w:r w:rsidRPr="00A52585">
        <w:rPr>
          <w:rFonts w:hint="cs"/>
          <w:rtl/>
        </w:rPr>
        <w:t>)</w:t>
      </w:r>
      <w:r w:rsidR="00DB731D" w:rsidRPr="00A52585">
        <w:rPr>
          <w:rFonts w:hint="cs"/>
          <w:rtl/>
        </w:rPr>
        <w:t>،</w:t>
      </w:r>
      <w:r w:rsidR="00777DCB" w:rsidRPr="00A52585">
        <w:rPr>
          <w:rFonts w:hint="cs"/>
          <w:rtl/>
        </w:rPr>
        <w:t xml:space="preserve"> وأعله بأربعة علل</w:t>
      </w:r>
      <w:r w:rsidR="00DB731D" w:rsidRPr="00A52585">
        <w:rPr>
          <w:rFonts w:hint="cs"/>
          <w:rtl/>
        </w:rPr>
        <w:t>،</w:t>
      </w:r>
      <w:r w:rsidR="00777DCB" w:rsidRPr="00A52585">
        <w:rPr>
          <w:rFonts w:hint="cs"/>
          <w:rtl/>
        </w:rPr>
        <w:t xml:space="preserve"> منها ثلاث علل ذكرها ابن خزيمة في كتابه التوحيد </w:t>
      </w:r>
      <w:r w:rsidRPr="00A52585">
        <w:rPr>
          <w:rFonts w:hint="cs"/>
          <w:rtl/>
        </w:rPr>
        <w:t>(</w:t>
      </w:r>
      <w:r w:rsidR="00777DCB" w:rsidRPr="00A52585">
        <w:rPr>
          <w:rFonts w:hint="cs"/>
          <w:rtl/>
        </w:rPr>
        <w:t>1/86</w:t>
      </w:r>
      <w:r w:rsidRPr="00A52585">
        <w:rPr>
          <w:rFonts w:hint="cs"/>
          <w:rtl/>
        </w:rPr>
        <w:t>)</w:t>
      </w:r>
      <w:r w:rsidR="00777DCB" w:rsidRPr="00A52585">
        <w:rPr>
          <w:rFonts w:hint="cs"/>
          <w:rtl/>
        </w:rPr>
        <w:t xml:space="preserve"> - وهو ممن تأول الحديث -</w:t>
      </w:r>
      <w:r w:rsidRPr="00A52585">
        <w:rPr>
          <w:rFonts w:hint="cs"/>
          <w:rtl/>
        </w:rPr>
        <w:t xml:space="preserve"> </w:t>
      </w:r>
      <w:r w:rsidR="00777DCB" w:rsidRPr="00A52585">
        <w:rPr>
          <w:rFonts w:hint="cs"/>
          <w:rtl/>
        </w:rPr>
        <w:t>الأولى</w:t>
      </w:r>
      <w:r w:rsidRPr="00A52585">
        <w:rPr>
          <w:rFonts w:hint="cs"/>
          <w:rtl/>
        </w:rPr>
        <w:t>:</w:t>
      </w:r>
      <w:r w:rsidR="00777DCB" w:rsidRPr="00A52585">
        <w:t> </w:t>
      </w:r>
      <w:r w:rsidR="00777DCB" w:rsidRPr="00A52585">
        <w:rPr>
          <w:rFonts w:hint="cs"/>
          <w:rtl/>
        </w:rPr>
        <w:t>أن الثوري قد خالف الأعمش في إسناده , فأرسله الثوري ولم يقل عن ابن عمر</w:t>
      </w:r>
      <w:r w:rsidR="00DB731D" w:rsidRPr="00A52585">
        <w:rPr>
          <w:rFonts w:hint="cs"/>
          <w:rtl/>
        </w:rPr>
        <w:t>،</w:t>
      </w:r>
      <w:r w:rsidR="00777DCB" w:rsidRPr="00A52585">
        <w:rPr>
          <w:rFonts w:hint="cs"/>
          <w:rtl/>
        </w:rPr>
        <w:t xml:space="preserve"> والثانية</w:t>
      </w:r>
      <w:r w:rsidRPr="00A52585">
        <w:rPr>
          <w:rFonts w:hint="cs"/>
          <w:rtl/>
        </w:rPr>
        <w:t>:</w:t>
      </w:r>
      <w:r w:rsidR="00777DCB" w:rsidRPr="00A52585">
        <w:rPr>
          <w:rFonts w:hint="cs"/>
          <w:rtl/>
        </w:rPr>
        <w:t xml:space="preserve"> أن الأعمش مدلس لم يذكر أنه سمعه من حبيب بن أبي ثابت</w:t>
      </w:r>
      <w:r w:rsidR="00DB731D" w:rsidRPr="00A52585">
        <w:rPr>
          <w:rFonts w:hint="cs"/>
          <w:rtl/>
        </w:rPr>
        <w:t>،</w:t>
      </w:r>
      <w:r w:rsidR="00777DCB" w:rsidRPr="00A52585">
        <w:rPr>
          <w:rFonts w:hint="cs"/>
          <w:rtl/>
        </w:rPr>
        <w:t xml:space="preserve"> والثالثة</w:t>
      </w:r>
      <w:r w:rsidRPr="00A52585">
        <w:rPr>
          <w:rtl/>
        </w:rPr>
        <w:t>:</w:t>
      </w:r>
      <w:r w:rsidR="00777DCB" w:rsidRPr="00A52585">
        <w:t> </w:t>
      </w:r>
      <w:r w:rsidR="00777DCB" w:rsidRPr="00A52585">
        <w:rPr>
          <w:rFonts w:hint="cs"/>
          <w:rtl/>
        </w:rPr>
        <w:t xml:space="preserve">أن حبيب بن أبي ثابت أيضاً مدلس لم </w:t>
      </w:r>
      <w:r w:rsidR="00777DCB" w:rsidRPr="00A52585">
        <w:rPr>
          <w:rFonts w:hint="cs"/>
          <w:rtl/>
        </w:rPr>
        <w:lastRenderedPageBreak/>
        <w:t>يعلم أنه سمعه من عطاء</w:t>
      </w:r>
      <w:r w:rsidR="00DB731D" w:rsidRPr="00A52585">
        <w:rPr>
          <w:rFonts w:hint="cs"/>
          <w:rtl/>
        </w:rPr>
        <w:t>،</w:t>
      </w:r>
      <w:r w:rsidR="00777DCB" w:rsidRPr="00A52585">
        <w:rPr>
          <w:rFonts w:hint="cs"/>
          <w:rtl/>
        </w:rPr>
        <w:t xml:space="preserve"> والرابعة ذكرها</w:t>
      </w:r>
      <w:r w:rsidRPr="00A52585">
        <w:rPr>
          <w:rFonts w:hint="cs"/>
          <w:rtl/>
        </w:rPr>
        <w:t xml:space="preserve"> </w:t>
      </w:r>
      <w:r w:rsidR="00777DCB" w:rsidRPr="00A52585">
        <w:rPr>
          <w:rFonts w:hint="cs"/>
          <w:rtl/>
        </w:rPr>
        <w:t>الألباني</w:t>
      </w:r>
      <w:r w:rsidR="00DB731D" w:rsidRPr="00A52585">
        <w:rPr>
          <w:rFonts w:hint="cs"/>
          <w:rtl/>
          <w:lang w:bidi="ar-KW"/>
        </w:rPr>
        <w:t>،</w:t>
      </w:r>
      <w:r w:rsidRPr="00A52585">
        <w:rPr>
          <w:rFonts w:hint="cs"/>
          <w:rtl/>
        </w:rPr>
        <w:t xml:space="preserve"> </w:t>
      </w:r>
      <w:r w:rsidR="00777DCB" w:rsidRPr="00A52585">
        <w:rPr>
          <w:rFonts w:hint="cs"/>
          <w:rtl/>
        </w:rPr>
        <w:t>وهي</w:t>
      </w:r>
      <w:r w:rsidRPr="00A52585">
        <w:rPr>
          <w:rFonts w:hint="cs"/>
          <w:rtl/>
        </w:rPr>
        <w:t>:</w:t>
      </w:r>
      <w:r w:rsidR="00777DCB" w:rsidRPr="00A52585">
        <w:rPr>
          <w:rFonts w:hint="cs"/>
          <w:rtl/>
        </w:rPr>
        <w:t xml:space="preserve"> جرير بن عبدالحميد فإنه وإن كان ثقة , فقد ذكر الذهبي في ترجمته من الميزان أنّه قد نسب في آخر عمره إلى سوء الحفظ</w:t>
      </w:r>
      <w:r w:rsidR="00DB731D" w:rsidRPr="00A52585">
        <w:rPr>
          <w:rtl/>
        </w:rPr>
        <w:t>،</w:t>
      </w:r>
      <w:r w:rsidR="00777DCB" w:rsidRPr="00A52585">
        <w:rPr>
          <w:rFonts w:hint="cs"/>
          <w:rtl/>
        </w:rPr>
        <w:t xml:space="preserve"> ومما يؤيد ذلك أنه رواه مرة عند ابن أبي عاصم </w:t>
      </w:r>
      <w:r w:rsidRPr="00A52585">
        <w:rPr>
          <w:rFonts w:hint="cs"/>
          <w:rtl/>
        </w:rPr>
        <w:t>(</w:t>
      </w:r>
      <w:r w:rsidR="00777DCB" w:rsidRPr="00A52585">
        <w:rPr>
          <w:rFonts w:hint="cs"/>
          <w:rtl/>
        </w:rPr>
        <w:t>530</w:t>
      </w:r>
      <w:r w:rsidRPr="00A52585">
        <w:rPr>
          <w:rtl/>
        </w:rPr>
        <w:t>)</w:t>
      </w:r>
      <w:r w:rsidR="00777DCB" w:rsidRPr="00A52585">
        <w:t xml:space="preserve"> -</w:t>
      </w:r>
      <w:r w:rsidRPr="00A52585">
        <w:rPr>
          <w:rtl/>
        </w:rPr>
        <w:t xml:space="preserve"> </w:t>
      </w:r>
      <w:r w:rsidR="00777DCB" w:rsidRPr="00A52585">
        <w:rPr>
          <w:rFonts w:hint="cs"/>
          <w:rtl/>
        </w:rPr>
        <w:t xml:space="preserve">وكذا اللالكائي برقم </w:t>
      </w:r>
      <w:r w:rsidRPr="00A52585">
        <w:rPr>
          <w:rFonts w:hint="cs"/>
          <w:rtl/>
        </w:rPr>
        <w:t>(</w:t>
      </w:r>
      <w:r w:rsidR="00777DCB" w:rsidRPr="00A52585">
        <w:rPr>
          <w:rFonts w:hint="cs"/>
          <w:rtl/>
        </w:rPr>
        <w:t>716</w:t>
      </w:r>
      <w:r w:rsidRPr="00A52585">
        <w:rPr>
          <w:rFonts w:hint="cs"/>
          <w:rtl/>
        </w:rPr>
        <w:t>)</w:t>
      </w:r>
      <w:r w:rsidR="00777DCB" w:rsidRPr="00A52585">
        <w:rPr>
          <w:rFonts w:hint="cs"/>
          <w:rtl/>
        </w:rPr>
        <w:t xml:space="preserve"> – بلفظ</w:t>
      </w:r>
      <w:r w:rsidR="00777DCB" w:rsidRPr="00A52585">
        <w:t xml:space="preserve"> (</w:t>
      </w:r>
      <w:r w:rsidRPr="00A52585">
        <w:rPr>
          <w:rtl/>
        </w:rPr>
        <w:t>(</w:t>
      </w:r>
      <w:r w:rsidR="00777DCB" w:rsidRPr="00A52585">
        <w:rPr>
          <w:rFonts w:hint="cs"/>
          <w:rtl/>
        </w:rPr>
        <w:t>على صورته</w:t>
      </w:r>
      <w:r w:rsidRPr="00A52585">
        <w:rPr>
          <w:rtl/>
        </w:rPr>
        <w:t>)</w:t>
      </w:r>
      <w:r w:rsidR="00777DCB" w:rsidRPr="00A52585">
        <w:t>)</w:t>
      </w:r>
      <w:r w:rsidR="00DB731D" w:rsidRPr="00A52585">
        <w:rPr>
          <w:rtl/>
        </w:rPr>
        <w:t>،</w:t>
      </w:r>
      <w:r w:rsidR="00777DCB" w:rsidRPr="00A52585">
        <w:rPr>
          <w:rFonts w:hint="cs"/>
        </w:rPr>
        <w:t xml:space="preserve"> </w:t>
      </w:r>
      <w:r w:rsidR="00777DCB" w:rsidRPr="00A52585">
        <w:rPr>
          <w:rFonts w:hint="cs"/>
          <w:rtl/>
        </w:rPr>
        <w:t>ولم يذكر</w:t>
      </w:r>
      <w:r w:rsidR="00777DCB" w:rsidRPr="00A52585">
        <w:t xml:space="preserve"> (</w:t>
      </w:r>
      <w:r w:rsidRPr="00A52585">
        <w:rPr>
          <w:rtl/>
        </w:rPr>
        <w:t>(</w:t>
      </w:r>
      <w:r w:rsidR="00777DCB" w:rsidRPr="00A52585">
        <w:rPr>
          <w:rFonts w:hint="cs"/>
          <w:rtl/>
        </w:rPr>
        <w:t>على صورة</w:t>
      </w:r>
      <w:r w:rsidR="00777DCB" w:rsidRPr="00A52585">
        <w:t> </w:t>
      </w:r>
      <w:r w:rsidR="00777DCB" w:rsidRPr="00A52585">
        <w:rPr>
          <w:rFonts w:hint="cs"/>
          <w:rtl/>
        </w:rPr>
        <w:t>الرحمن</w:t>
      </w:r>
      <w:r w:rsidRPr="00A52585">
        <w:rPr>
          <w:rtl/>
        </w:rPr>
        <w:t>)</w:t>
      </w:r>
      <w:r w:rsidR="00777DCB" w:rsidRPr="00A52585">
        <w:t>)</w:t>
      </w:r>
      <w:r w:rsidR="00DB731D" w:rsidRPr="00A52585">
        <w:rPr>
          <w:rtl/>
        </w:rPr>
        <w:t>،</w:t>
      </w:r>
      <w:r w:rsidR="00777DCB" w:rsidRPr="00A52585">
        <w:rPr>
          <w:rFonts w:hint="cs"/>
          <w:rtl/>
        </w:rPr>
        <w:t xml:space="preserve"> ولفظ</w:t>
      </w:r>
      <w:r w:rsidR="00777DCB" w:rsidRPr="00A52585">
        <w:t xml:space="preserve"> (</w:t>
      </w:r>
      <w:r w:rsidRPr="00A52585">
        <w:rPr>
          <w:rtl/>
        </w:rPr>
        <w:t>(</w:t>
      </w:r>
      <w:r w:rsidR="00777DCB" w:rsidRPr="00A52585">
        <w:rPr>
          <w:rFonts w:hint="cs"/>
          <w:rtl/>
        </w:rPr>
        <w:t>على صورته</w:t>
      </w:r>
      <w:r w:rsidRPr="00A52585">
        <w:rPr>
          <w:rtl/>
        </w:rPr>
        <w:t>)</w:t>
      </w:r>
      <w:r w:rsidR="00777DCB" w:rsidRPr="00A52585">
        <w:t xml:space="preserve">) </w:t>
      </w:r>
      <w:r w:rsidR="00777DCB" w:rsidRPr="00A52585">
        <w:rPr>
          <w:rFonts w:hint="cs"/>
          <w:rtl/>
        </w:rPr>
        <w:t>هو الصحيح المحفوظ عن النبي صلى الله عليه</w:t>
      </w:r>
      <w:r w:rsidR="00777DCB" w:rsidRPr="00A52585">
        <w:rPr>
          <w:rFonts w:hint="cs"/>
        </w:rPr>
        <w:t xml:space="preserve"> </w:t>
      </w:r>
      <w:r w:rsidR="00777DCB" w:rsidRPr="00A52585">
        <w:rPr>
          <w:rFonts w:hint="cs"/>
          <w:rtl/>
        </w:rPr>
        <w:t xml:space="preserve">وسلم من الطرق الصحيحة عن أبي هريرة </w:t>
      </w:r>
      <w:r w:rsidRPr="00A52585">
        <w:rPr>
          <w:rFonts w:hint="cs"/>
          <w:rtl/>
        </w:rPr>
        <w:t>[</w:t>
      </w:r>
      <w:r w:rsidR="00777DCB" w:rsidRPr="00A52585">
        <w:rPr>
          <w:rFonts w:hint="cs"/>
          <w:rtl/>
        </w:rPr>
        <w:t>أنظر سلسلة الأحاديث الضعيفة والموضوعة</w:t>
      </w:r>
      <w:r w:rsidRPr="00A52585">
        <w:rPr>
          <w:rFonts w:hint="cs"/>
          <w:rtl/>
        </w:rPr>
        <w:t>:</w:t>
      </w:r>
      <w:r w:rsidR="00777DCB" w:rsidRPr="00A52585">
        <w:rPr>
          <w:rFonts w:hint="cs"/>
          <w:rtl/>
        </w:rPr>
        <w:t xml:space="preserve"> ح</w:t>
      </w:r>
      <w:r w:rsidR="00777DCB" w:rsidRPr="00A52585">
        <w:t xml:space="preserve"> </w:t>
      </w:r>
      <w:r w:rsidRPr="00A52585">
        <w:t>(</w:t>
      </w:r>
      <w:r w:rsidR="00777DCB" w:rsidRPr="00A52585">
        <w:t>1176</w:t>
      </w:r>
      <w:r w:rsidRPr="00A52585">
        <w:t>)</w:t>
      </w:r>
      <w:r w:rsidRPr="00A52585">
        <w:rPr>
          <w:rtl/>
        </w:rPr>
        <w:t>]</w:t>
      </w:r>
      <w:r w:rsidR="00DB731D" w:rsidRPr="00A52585">
        <w:rPr>
          <w:rtl/>
        </w:rPr>
        <w:t>،</w:t>
      </w:r>
      <w:r w:rsidR="00777DCB" w:rsidRPr="00A52585">
        <w:rPr>
          <w:rFonts w:hint="cs"/>
          <w:rtl/>
        </w:rPr>
        <w:t xml:space="preserve"> قلت</w:t>
      </w:r>
      <w:r w:rsidRPr="00A52585">
        <w:rPr>
          <w:rFonts w:hint="cs"/>
          <w:rtl/>
        </w:rPr>
        <w:t>:</w:t>
      </w:r>
      <w:r w:rsidR="00777DCB" w:rsidRPr="00A52585">
        <w:rPr>
          <w:rFonts w:hint="cs"/>
          <w:rtl/>
        </w:rPr>
        <w:t xml:space="preserve"> ومنه يتبين أنّ الحديث بلفظ (</w:t>
      </w:r>
      <w:r w:rsidRPr="00A52585">
        <w:rPr>
          <w:rFonts w:hint="cs"/>
          <w:rtl/>
        </w:rPr>
        <w:t>(</w:t>
      </w:r>
      <w:r w:rsidR="00777DCB" w:rsidRPr="00A52585">
        <w:rPr>
          <w:rFonts w:hint="cs"/>
          <w:rtl/>
        </w:rPr>
        <w:t>على صورة</w:t>
      </w:r>
      <w:r w:rsidR="00777DCB" w:rsidRPr="00A52585">
        <w:t> </w:t>
      </w:r>
      <w:r w:rsidR="00777DCB" w:rsidRPr="00A52585">
        <w:rPr>
          <w:rFonts w:hint="cs"/>
          <w:rtl/>
        </w:rPr>
        <w:t>الرحمن</w:t>
      </w:r>
      <w:r w:rsidRPr="00A52585">
        <w:rPr>
          <w:rtl/>
        </w:rPr>
        <w:t>)</w:t>
      </w:r>
      <w:r w:rsidR="00777DCB" w:rsidRPr="00A52585">
        <w:t xml:space="preserve">) </w:t>
      </w:r>
      <w:r w:rsidR="00777DCB" w:rsidRPr="00A52585">
        <w:rPr>
          <w:rFonts w:hint="cs"/>
          <w:rtl/>
        </w:rPr>
        <w:t>لا يصح البتة</w:t>
      </w:r>
      <w:r w:rsidR="00DB731D" w:rsidRPr="00A52585">
        <w:rPr>
          <w:rFonts w:hint="cs"/>
          <w:rtl/>
        </w:rPr>
        <w:t>،</w:t>
      </w:r>
      <w:r w:rsidR="00777DCB" w:rsidRPr="00A52585">
        <w:rPr>
          <w:rFonts w:hint="cs"/>
          <w:rtl/>
        </w:rPr>
        <w:t xml:space="preserve"> وأنّه مما رواه بعض الرواة</w:t>
      </w:r>
      <w:r w:rsidR="00777DCB" w:rsidRPr="00A52585">
        <w:rPr>
          <w:rFonts w:hint="cs"/>
        </w:rPr>
        <w:t xml:space="preserve"> </w:t>
      </w:r>
      <w:r w:rsidR="00777DCB" w:rsidRPr="00A52585">
        <w:rPr>
          <w:rFonts w:hint="cs"/>
          <w:rtl/>
        </w:rPr>
        <w:t>بالمعنى لا باللفظ الصحيح</w:t>
      </w:r>
      <w:r w:rsidR="00DB731D" w:rsidRPr="00A52585">
        <w:rPr>
          <w:rFonts w:hint="cs"/>
          <w:rtl/>
        </w:rPr>
        <w:t>،</w:t>
      </w:r>
      <w:r w:rsidR="00777DCB" w:rsidRPr="00A52585">
        <w:rPr>
          <w:rFonts w:hint="cs"/>
          <w:rtl/>
        </w:rPr>
        <w:t xml:space="preserve"> ولا يبقى لنا إلا الحديث الصحيح الذي رواه أبو هريرة</w:t>
      </w:r>
      <w:r w:rsidR="00777DCB" w:rsidRPr="00A52585">
        <w:rPr>
          <w:rFonts w:hint="cs"/>
        </w:rPr>
        <w:t xml:space="preserve"> </w:t>
      </w:r>
      <w:r w:rsidR="00777DCB" w:rsidRPr="00A52585">
        <w:rPr>
          <w:rFonts w:hint="cs"/>
          <w:rtl/>
        </w:rPr>
        <w:t>رضي الله عنه بلفظه الصحيح</w:t>
      </w:r>
      <w:r w:rsidR="00777DCB" w:rsidRPr="00A52585">
        <w:t xml:space="preserve"> (</w:t>
      </w:r>
      <w:r w:rsidRPr="00A52585">
        <w:rPr>
          <w:rtl/>
        </w:rPr>
        <w:t>(</w:t>
      </w:r>
      <w:r w:rsidR="00777DCB" w:rsidRPr="00A52585">
        <w:rPr>
          <w:rFonts w:hint="cs"/>
          <w:rtl/>
        </w:rPr>
        <w:t>على صورته</w:t>
      </w:r>
      <w:r w:rsidRPr="00A52585">
        <w:rPr>
          <w:rtl/>
        </w:rPr>
        <w:t>)</w:t>
      </w:r>
      <w:r w:rsidR="00777DCB" w:rsidRPr="00A52585">
        <w:t xml:space="preserve">) </w:t>
      </w:r>
      <w:r w:rsidR="00777DCB" w:rsidRPr="00A52585">
        <w:rPr>
          <w:rFonts w:hint="cs"/>
          <w:rtl/>
        </w:rPr>
        <w:t>ومنه يتبين أنّ ما فعله حمود التويجري من المجازفة والخطأ من</w:t>
      </w:r>
      <w:r w:rsidR="00777DCB" w:rsidRPr="00A52585">
        <w:rPr>
          <w:rFonts w:hint="cs"/>
        </w:rPr>
        <w:t xml:space="preserve"> </w:t>
      </w:r>
      <w:r w:rsidR="00777DCB" w:rsidRPr="00A52585">
        <w:rPr>
          <w:rFonts w:hint="cs"/>
          <w:rtl/>
        </w:rPr>
        <w:t>تصحيح الحديث في كتابه الذي سماه باسم الحديث</w:t>
      </w:r>
      <w:r w:rsidR="00777DCB" w:rsidRPr="00A52585">
        <w:t xml:space="preserve"> " </w:t>
      </w:r>
      <w:r w:rsidR="00777DCB" w:rsidRPr="00A52585">
        <w:rPr>
          <w:rFonts w:hint="cs"/>
          <w:rtl/>
        </w:rPr>
        <w:t>عقيده أهل الإيمان في خلق آدم</w:t>
      </w:r>
      <w:r w:rsidR="00777DCB" w:rsidRPr="00A52585">
        <w:rPr>
          <w:rFonts w:hint="cs"/>
        </w:rPr>
        <w:t xml:space="preserve"> </w:t>
      </w:r>
      <w:r w:rsidR="00777DCB" w:rsidRPr="00A52585">
        <w:rPr>
          <w:rFonts w:hint="cs"/>
          <w:rtl/>
        </w:rPr>
        <w:t>على صوره الرحمن</w:t>
      </w:r>
      <w:r w:rsidR="00777DCB" w:rsidRPr="00A52585">
        <w:t xml:space="preserve"> "</w:t>
      </w:r>
      <w:r w:rsidR="00DB731D" w:rsidRPr="00A52585">
        <w:rPr>
          <w:rtl/>
        </w:rPr>
        <w:t>،</w:t>
      </w:r>
      <w:r w:rsidR="00777DCB" w:rsidRPr="00A52585">
        <w:rPr>
          <w:rFonts w:hint="cs"/>
          <w:rtl/>
        </w:rPr>
        <w:t xml:space="preserve"> وقد حاول أن يجيب عن علل الحديث</w:t>
      </w:r>
      <w:r w:rsidR="00DB731D" w:rsidRPr="00A52585">
        <w:rPr>
          <w:rFonts w:hint="cs"/>
          <w:rtl/>
        </w:rPr>
        <w:t>،</w:t>
      </w:r>
      <w:r w:rsidR="00777DCB" w:rsidRPr="00A52585">
        <w:rPr>
          <w:rFonts w:hint="cs"/>
          <w:rtl/>
        </w:rPr>
        <w:t xml:space="preserve"> وفي جميع أجوبته نظر</w:t>
      </w:r>
      <w:r w:rsidR="00DB731D" w:rsidRPr="00A52585">
        <w:rPr>
          <w:rFonts w:hint="cs"/>
          <w:rtl/>
        </w:rPr>
        <w:t>،</w:t>
      </w:r>
      <w:r w:rsidR="00777DCB" w:rsidRPr="00A52585">
        <w:rPr>
          <w:rFonts w:hint="cs"/>
        </w:rPr>
        <w:t xml:space="preserve"> </w:t>
      </w:r>
      <w:r w:rsidR="00777DCB" w:rsidRPr="00A52585">
        <w:rPr>
          <w:rFonts w:hint="cs"/>
          <w:rtl/>
        </w:rPr>
        <w:t>ثم ما الطائل وراء ذلك</w:t>
      </w:r>
      <w:r w:rsidR="00F95886" w:rsidRPr="00A52585">
        <w:rPr>
          <w:rFonts w:hint="cs"/>
          <w:rtl/>
        </w:rPr>
        <w:t>؟</w:t>
      </w:r>
      <w:r w:rsidR="00DB731D" w:rsidRPr="00A52585">
        <w:rPr>
          <w:rFonts w:hint="cs"/>
          <w:rtl/>
        </w:rPr>
        <w:t>،</w:t>
      </w:r>
      <w:r w:rsidR="00777DCB" w:rsidRPr="00A52585">
        <w:rPr>
          <w:rFonts w:hint="cs"/>
          <w:rtl/>
        </w:rPr>
        <w:t xml:space="preserve"> أهو ارغام المسلمين على اعتقاد التجسيم ثم ارداف اتلك</w:t>
      </w:r>
      <w:r w:rsidR="00777DCB" w:rsidRPr="00A52585">
        <w:rPr>
          <w:rFonts w:hint="cs"/>
        </w:rPr>
        <w:t xml:space="preserve"> </w:t>
      </w:r>
      <w:r w:rsidR="00777DCB" w:rsidRPr="00A52585">
        <w:rPr>
          <w:rFonts w:hint="cs"/>
          <w:rtl/>
        </w:rPr>
        <w:t>العقيدة بقول ليس كمثله شيء</w:t>
      </w:r>
      <w:r w:rsidR="00DB731D" w:rsidRPr="00A52585">
        <w:rPr>
          <w:rFonts w:hint="cs"/>
          <w:rtl/>
        </w:rPr>
        <w:t>،</w:t>
      </w:r>
      <w:r w:rsidR="00777DCB" w:rsidRPr="00A52585">
        <w:rPr>
          <w:rFonts w:hint="cs"/>
          <w:rtl/>
        </w:rPr>
        <w:t xml:space="preserve"> وقد زعم أن الإمام أحمد بن حنبل وإسحاق بن راهويه قد</w:t>
      </w:r>
      <w:r w:rsidR="00777DCB" w:rsidRPr="00A52585">
        <w:rPr>
          <w:rFonts w:hint="cs"/>
        </w:rPr>
        <w:t xml:space="preserve"> </w:t>
      </w:r>
      <w:r w:rsidR="00777DCB" w:rsidRPr="00A52585">
        <w:rPr>
          <w:rFonts w:hint="cs"/>
          <w:rtl/>
        </w:rPr>
        <w:t>صححا حديث ابن عمر رضي الله عنه الذي جاء فيه</w:t>
      </w:r>
      <w:r w:rsidRPr="00A52585">
        <w:rPr>
          <w:rFonts w:hint="cs"/>
          <w:rtl/>
        </w:rPr>
        <w:t>:</w:t>
      </w:r>
      <w:r w:rsidR="00777DCB" w:rsidRPr="00A52585">
        <w:rPr>
          <w:rFonts w:hint="cs"/>
          <w:rtl/>
          <w:lang w:bidi="ar-KW"/>
        </w:rPr>
        <w:t xml:space="preserve"> (</w:t>
      </w:r>
      <w:r w:rsidRPr="00A52585">
        <w:rPr>
          <w:rFonts w:hint="cs"/>
          <w:rtl/>
          <w:lang w:bidi="ar-KW"/>
        </w:rPr>
        <w:t>(</w:t>
      </w:r>
      <w:r w:rsidR="00777DCB" w:rsidRPr="00A52585">
        <w:rPr>
          <w:rFonts w:hint="cs"/>
          <w:rtl/>
        </w:rPr>
        <w:t>إن الله خلق آدم على صورة الرحمن</w:t>
      </w:r>
      <w:r w:rsidRPr="00A52585">
        <w:rPr>
          <w:rFonts w:hint="cs"/>
          <w:rtl/>
          <w:lang w:bidi="ar-KW"/>
        </w:rPr>
        <w:t>)</w:t>
      </w:r>
      <w:r w:rsidR="00777DCB" w:rsidRPr="00A52585">
        <w:rPr>
          <w:rFonts w:hint="cs"/>
          <w:rtl/>
          <w:lang w:bidi="ar-KW"/>
        </w:rPr>
        <w:t>)</w:t>
      </w:r>
      <w:r w:rsidRPr="00A52585">
        <w:rPr>
          <w:rFonts w:hint="cs"/>
          <w:rtl/>
          <w:lang w:bidi="ar-KW"/>
        </w:rPr>
        <w:t xml:space="preserve"> </w:t>
      </w:r>
      <w:r w:rsidR="00777DCB" w:rsidRPr="00A52585">
        <w:rPr>
          <w:rFonts w:hint="cs"/>
          <w:rtl/>
        </w:rPr>
        <w:t>قائلاً</w:t>
      </w:r>
      <w:r w:rsidRPr="00A52585">
        <w:rPr>
          <w:rtl/>
        </w:rPr>
        <w:t>:</w:t>
      </w:r>
      <w:r w:rsidR="00777DCB" w:rsidRPr="00A52585">
        <w:t xml:space="preserve"> </w:t>
      </w:r>
      <w:r w:rsidR="00777DCB" w:rsidRPr="00A52585">
        <w:rPr>
          <w:rFonts w:hint="cs"/>
          <w:rtl/>
        </w:rPr>
        <w:t>فلا ينبغي أن يلتفت إلى تضعيف ابن خزيمة له فصلاً عن تضعيف الألباني له</w:t>
      </w:r>
      <w:r w:rsidR="00777DCB" w:rsidRPr="00A52585">
        <w:rPr>
          <w:rFonts w:hint="cs"/>
        </w:rPr>
        <w:t xml:space="preserve"> </w:t>
      </w:r>
      <w:r w:rsidR="00777DCB" w:rsidRPr="00A52585">
        <w:rPr>
          <w:rFonts w:hint="cs"/>
          <w:rtl/>
        </w:rPr>
        <w:t>تقليداً لابن خزيمة , وذلك لأن أحمد وإسحاق أعلم بالأسانيد والعلل ممن أقدم على</w:t>
      </w:r>
      <w:r w:rsidR="00777DCB" w:rsidRPr="00A52585">
        <w:rPr>
          <w:rFonts w:hint="cs"/>
        </w:rPr>
        <w:t xml:space="preserve"> </w:t>
      </w:r>
      <w:r w:rsidR="00777DCB" w:rsidRPr="00A52585">
        <w:rPr>
          <w:rFonts w:hint="cs"/>
          <w:rtl/>
        </w:rPr>
        <w:t>تضعيف الحديث بغير مستند صحيح</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عقيده أهل الإيمان في خلق آدم على صوره الرحمن</w:t>
      </w:r>
      <w:r w:rsidRPr="00A52585">
        <w:rPr>
          <w:rtl/>
        </w:rPr>
        <w:t xml:space="preserve"> </w:t>
      </w:r>
      <w:r w:rsidR="00777DCB" w:rsidRPr="00A52585">
        <w:rPr>
          <w:rFonts w:hint="cs"/>
          <w:rtl/>
        </w:rPr>
        <w:t>صـ 37</w:t>
      </w:r>
      <w:r w:rsidRPr="00A52585">
        <w:rPr>
          <w:rFonts w:hint="cs"/>
          <w:rtl/>
        </w:rPr>
        <w:t>]</w:t>
      </w:r>
      <w:r w:rsidR="00777DCB" w:rsidRPr="00A52585">
        <w:rPr>
          <w:rFonts w:hint="cs"/>
          <w:rtl/>
        </w:rPr>
        <w:t xml:space="preserve"> فإن تصحيح الإمام أحمد ليس لهذا الحديث</w:t>
      </w:r>
      <w:r w:rsidR="00DB731D" w:rsidRPr="00A52585">
        <w:rPr>
          <w:rFonts w:hint="cs"/>
          <w:rtl/>
        </w:rPr>
        <w:t>،</w:t>
      </w:r>
      <w:r w:rsidR="00777DCB" w:rsidRPr="00A52585">
        <w:rPr>
          <w:rFonts w:hint="cs"/>
          <w:rtl/>
        </w:rPr>
        <w:t xml:space="preserve"> وإنما لحديث</w:t>
      </w:r>
      <w:r w:rsidR="00777DCB" w:rsidRPr="00A52585">
        <w:t xml:space="preserve"> (</w:t>
      </w:r>
      <w:r w:rsidRPr="00A52585">
        <w:rPr>
          <w:rtl/>
        </w:rPr>
        <w:t>(</w:t>
      </w:r>
      <w:r w:rsidR="00777DCB" w:rsidRPr="00A52585">
        <w:rPr>
          <w:rFonts w:hint="cs"/>
          <w:rtl/>
        </w:rPr>
        <w:t>على صورته</w:t>
      </w:r>
      <w:r w:rsidRPr="00A52585">
        <w:rPr>
          <w:rtl/>
        </w:rPr>
        <w:t>)</w:t>
      </w:r>
      <w:r w:rsidR="00777DCB" w:rsidRPr="00A52585">
        <w:t xml:space="preserve">) </w:t>
      </w:r>
      <w:r w:rsidR="00777DCB" w:rsidRPr="00A52585">
        <w:rPr>
          <w:rFonts w:hint="cs"/>
          <w:rtl/>
        </w:rPr>
        <w:t>الذي أخرجه البخاري ومسلم</w:t>
      </w:r>
      <w:r w:rsidR="00DB731D" w:rsidRPr="00A52585">
        <w:rPr>
          <w:rFonts w:hint="cs"/>
          <w:rtl/>
        </w:rPr>
        <w:t>،</w:t>
      </w:r>
      <w:r w:rsidR="00777DCB" w:rsidRPr="00A52585">
        <w:rPr>
          <w:rFonts w:hint="cs"/>
          <w:rtl/>
        </w:rPr>
        <w:t xml:space="preserve"> ثم هب أنّ اسحاق أو غيره توهم صحته</w:t>
      </w:r>
      <w:r w:rsidR="00DB731D" w:rsidRPr="00A52585">
        <w:rPr>
          <w:rFonts w:hint="cs"/>
          <w:rtl/>
        </w:rPr>
        <w:t>،</w:t>
      </w:r>
      <w:r w:rsidR="00777DCB" w:rsidRPr="00A52585">
        <w:rPr>
          <w:rFonts w:hint="cs"/>
        </w:rPr>
        <w:t xml:space="preserve"> </w:t>
      </w:r>
      <w:r w:rsidR="00777DCB" w:rsidRPr="00A52585">
        <w:rPr>
          <w:rFonts w:hint="cs"/>
          <w:rtl/>
        </w:rPr>
        <w:t>فماذا نفعل بتلك العلل التي يستحيل معها تصحيح الحديث</w:t>
      </w:r>
      <w:r w:rsidR="00DB731D" w:rsidRPr="00A52585">
        <w:rPr>
          <w:rFonts w:hint="cs"/>
          <w:rtl/>
        </w:rPr>
        <w:t>،</w:t>
      </w:r>
      <w:r w:rsidR="00777DCB" w:rsidRPr="00A52585">
        <w:rPr>
          <w:rFonts w:hint="cs"/>
        </w:rPr>
        <w:t xml:space="preserve"> </w:t>
      </w:r>
      <w:r w:rsidRPr="00A52585">
        <w:rPr>
          <w:rFonts w:hint="cs"/>
          <w:bCs/>
          <w:rtl/>
          <w:lang w:bidi="ar-KW"/>
        </w:rPr>
        <w:t>(</w:t>
      </w:r>
      <w:r w:rsidR="00777DCB" w:rsidRPr="00A52585">
        <w:rPr>
          <w:rFonts w:hint="cs"/>
          <w:bCs/>
          <w:rtl/>
          <w:lang w:bidi="ar-KW"/>
        </w:rPr>
        <w:t>قلت</w:t>
      </w:r>
      <w:r w:rsidRPr="00A52585">
        <w:rPr>
          <w:rFonts w:hint="cs"/>
          <w:bCs/>
          <w:rtl/>
          <w:lang w:bidi="ar-KW"/>
        </w:rPr>
        <w:t>)</w:t>
      </w:r>
      <w:r w:rsidRPr="00A52585">
        <w:rPr>
          <w:rFonts w:hint="cs"/>
          <w:rtl/>
          <w:lang w:bidi="ar-KW"/>
        </w:rPr>
        <w:t>:</w:t>
      </w:r>
      <w:r w:rsidR="00777DCB" w:rsidRPr="00A52585">
        <w:rPr>
          <w:rFonts w:hint="cs"/>
          <w:rtl/>
          <w:lang w:bidi="ar-KW"/>
        </w:rPr>
        <w:t xml:space="preserve"> </w:t>
      </w:r>
      <w:r w:rsidR="00777DCB" w:rsidRPr="00A52585">
        <w:rPr>
          <w:rFonts w:hint="cs"/>
          <w:rtl/>
        </w:rPr>
        <w:t>هذا الحديث برواياته الثلاث هو أقوى ما استدل به المجسمة على التجسيم</w:t>
      </w:r>
      <w:r w:rsidR="00DB731D" w:rsidRPr="00A52585">
        <w:rPr>
          <w:rFonts w:hint="cs"/>
          <w:rtl/>
        </w:rPr>
        <w:t>،</w:t>
      </w:r>
      <w:r w:rsidR="00777DCB" w:rsidRPr="00A52585">
        <w:rPr>
          <w:rFonts w:hint="cs"/>
          <w:rtl/>
        </w:rPr>
        <w:t xml:space="preserve"> ولهذا سأتوسع في بيان مخارجه الصحيحة وبيان معانيه</w:t>
      </w:r>
      <w:r w:rsidR="00DB731D" w:rsidRPr="00A52585">
        <w:rPr>
          <w:rFonts w:hint="cs"/>
          <w:rtl/>
        </w:rPr>
        <w:t>،</w:t>
      </w:r>
      <w:r w:rsidR="00777DCB" w:rsidRPr="00A52585">
        <w:rPr>
          <w:rFonts w:hint="cs"/>
          <w:rtl/>
        </w:rPr>
        <w:t xml:space="preserve"> فإن سلم من شبهات المجسمة فما بعده أيسر</w:t>
      </w:r>
      <w:r w:rsidR="00DB731D" w:rsidRPr="00A52585">
        <w:rPr>
          <w:rFonts w:hint="cs"/>
          <w:rtl/>
        </w:rPr>
        <w:t>،</w:t>
      </w:r>
      <w:r w:rsidR="00777DCB" w:rsidRPr="00A52585">
        <w:rPr>
          <w:rFonts w:hint="cs"/>
          <w:rtl/>
        </w:rPr>
        <w:t xml:space="preserve"> ولما كان للحديث روايات ثلاث فلكل رواية مخرج صحيح ومعنى محكم لابد وأن يرد إليه المتشابه</w:t>
      </w:r>
      <w:r w:rsidR="00DB731D" w:rsidRPr="00A52585">
        <w:rPr>
          <w:rFonts w:hint="cs"/>
          <w:rtl/>
        </w:rPr>
        <w:t>،</w:t>
      </w:r>
      <w:r w:rsidR="00777DCB" w:rsidRPr="00A52585">
        <w:rPr>
          <w:rFonts w:hint="cs"/>
          <w:rtl/>
        </w:rPr>
        <w:t xml:space="preserve"> </w:t>
      </w:r>
    </w:p>
    <w:p w14:paraId="7D825CE7" w14:textId="08D96A5B" w:rsidR="00777DCB" w:rsidRPr="00A52585" w:rsidRDefault="0002035C" w:rsidP="0002035C">
      <w:pPr>
        <w:rPr>
          <w:rtl/>
        </w:rPr>
      </w:pPr>
      <w:r w:rsidRPr="00A52585">
        <w:rPr>
          <w:rFonts w:hint="cs"/>
          <w:bCs/>
          <w:rtl/>
        </w:rPr>
        <w:t>(</w:t>
      </w:r>
      <w:r w:rsidR="00777DCB" w:rsidRPr="00A52585">
        <w:rPr>
          <w:rFonts w:hint="cs"/>
          <w:bCs/>
          <w:rtl/>
        </w:rPr>
        <w:t>ب</w:t>
      </w:r>
      <w:r w:rsidRPr="00A52585">
        <w:rPr>
          <w:rFonts w:hint="cs"/>
          <w:bCs/>
          <w:rtl/>
        </w:rPr>
        <w:t>)</w:t>
      </w:r>
      <w:r w:rsidR="00777DCB" w:rsidRPr="00A52585">
        <w:rPr>
          <w:rFonts w:hint="cs"/>
          <w:bCs/>
          <w:rtl/>
        </w:rPr>
        <w:t xml:space="preserve"> مفاتيح الفهم الصحيح للحديث</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المفتاح الأول</w:t>
      </w:r>
      <w:r w:rsidRPr="00A52585">
        <w:rPr>
          <w:rFonts w:hint="cs"/>
          <w:bCs/>
          <w:rtl/>
        </w:rPr>
        <w:t>)</w:t>
      </w:r>
      <w:r w:rsidRPr="00A52585">
        <w:rPr>
          <w:rFonts w:hint="cs"/>
          <w:rtl/>
        </w:rPr>
        <w:t>:</w:t>
      </w:r>
      <w:r w:rsidR="00777DCB" w:rsidRPr="00A52585">
        <w:rPr>
          <w:rFonts w:hint="cs"/>
          <w:rtl/>
        </w:rPr>
        <w:t xml:space="preserve"> قوله صلى الله عليه وسلم</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خلق الله آدم على صورته طوله ستون ذراعا</w:t>
      </w:r>
      <w:r w:rsidRPr="00A52585">
        <w:rPr>
          <w:rFonts w:hint="cs"/>
          <w:rtl/>
        </w:rPr>
        <w:t>)</w:t>
      </w:r>
      <w:r w:rsidR="00777DCB" w:rsidRPr="00A52585">
        <w:rPr>
          <w:rFonts w:hint="cs"/>
          <w:rtl/>
        </w:rPr>
        <w:t>) معناه أنّ الله تعالى لم يخلق آدم على مراحل كما هو خلق بني آدم</w:t>
      </w:r>
      <w:r w:rsidR="00DB731D" w:rsidRPr="00A52585">
        <w:rPr>
          <w:rFonts w:hint="cs"/>
          <w:rtl/>
        </w:rPr>
        <w:t>،</w:t>
      </w:r>
      <w:r w:rsidR="00777DCB" w:rsidRPr="00A52585">
        <w:rPr>
          <w:rFonts w:hint="cs"/>
          <w:rtl/>
        </w:rPr>
        <w:t xml:space="preserve"> نطفة فعلقة فمضغة فجنين فمولود فطفل فصبي وهكذا حتى البلوغ واكتمال النمو</w:t>
      </w:r>
      <w:r w:rsidR="00DB731D" w:rsidRPr="00A52585">
        <w:rPr>
          <w:rFonts w:hint="cs"/>
          <w:rtl/>
        </w:rPr>
        <w:t>،</w:t>
      </w:r>
      <w:r w:rsidR="00777DCB" w:rsidRPr="00A52585">
        <w:rPr>
          <w:rFonts w:hint="cs"/>
          <w:rtl/>
        </w:rPr>
        <w:t xml:space="preserve"> وإنما خلقه على هيئته الكاملة التامة بالغاً طوله ستون ذراعا</w:t>
      </w:r>
      <w:r w:rsidR="00DB731D" w:rsidRPr="00A52585">
        <w:rPr>
          <w:rFonts w:hint="cs"/>
          <w:rtl/>
        </w:rPr>
        <w:t>،</w:t>
      </w:r>
      <w:r w:rsidR="00777DCB" w:rsidRPr="00A52585">
        <w:rPr>
          <w:rFonts w:hint="cs"/>
          <w:rtl/>
        </w:rPr>
        <w:t xml:space="preserve"> وهذا يدل يقيناً على أنّ الضمير في قوله صلى الله عليه وسلم</w:t>
      </w:r>
      <w:r w:rsidRPr="00A52585">
        <w:rPr>
          <w:rFonts w:hint="cs"/>
          <w:rtl/>
        </w:rPr>
        <w:t xml:space="preserve"> </w:t>
      </w:r>
      <w:r w:rsidR="00777DCB" w:rsidRPr="00A52585">
        <w:rPr>
          <w:rFonts w:hint="cs"/>
          <w:rtl/>
        </w:rPr>
        <w:t>((على صورته</w:t>
      </w:r>
      <w:r w:rsidRPr="00A52585">
        <w:rPr>
          <w:rFonts w:hint="cs"/>
          <w:rtl/>
        </w:rPr>
        <w:t>)</w:t>
      </w:r>
      <w:r w:rsidR="00777DCB" w:rsidRPr="00A52585">
        <w:rPr>
          <w:rFonts w:hint="cs"/>
          <w:rtl/>
        </w:rPr>
        <w:t xml:space="preserve">) يعود على آدم عليه السلام وأنّه خلق مكتمل البنية ولم يمر بمراحل النمو </w:t>
      </w:r>
      <w:r w:rsidR="00777DCB" w:rsidRPr="00A52585">
        <w:rPr>
          <w:rFonts w:hint="cs"/>
          <w:rtl/>
        </w:rPr>
        <w:lastRenderedPageBreak/>
        <w:t>المسبقة كما يحدث لبني آدم</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 xml:space="preserve">المفتاح </w:t>
      </w:r>
      <w:proofErr w:type="spellStart"/>
      <w:r w:rsidR="00777DCB" w:rsidRPr="00A52585">
        <w:rPr>
          <w:rFonts w:hint="cs"/>
          <w:bCs/>
          <w:rtl/>
        </w:rPr>
        <w:t>اثاني</w:t>
      </w:r>
      <w:proofErr w:type="spellEnd"/>
      <w:r w:rsidRPr="00A52585">
        <w:rPr>
          <w:rFonts w:hint="cs"/>
          <w:rtl/>
        </w:rPr>
        <w:t>):</w:t>
      </w:r>
      <w:r w:rsidR="00777DCB" w:rsidRPr="00A52585">
        <w:rPr>
          <w:rFonts w:hint="cs"/>
          <w:rtl/>
        </w:rPr>
        <w:t xml:space="preserve"> قوله صلى الله عليه وسلم</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إذا قاتل أحدكم أخاه فليجتنب الوجه فإن الله خلق آدم على صورته</w:t>
      </w:r>
      <w:r w:rsidRPr="00A52585">
        <w:rPr>
          <w:rFonts w:hint="cs"/>
          <w:rtl/>
        </w:rPr>
        <w:t>)</w:t>
      </w:r>
      <w:r w:rsidR="00777DCB" w:rsidRPr="00A52585">
        <w:rPr>
          <w:rFonts w:hint="cs"/>
          <w:rtl/>
        </w:rPr>
        <w:t>) معناه عدم اهانة الوجه</w:t>
      </w:r>
      <w:r w:rsidR="00DB731D" w:rsidRPr="00A52585">
        <w:rPr>
          <w:rFonts w:hint="cs"/>
          <w:rtl/>
        </w:rPr>
        <w:t>،</w:t>
      </w:r>
      <w:r w:rsidR="00777DCB" w:rsidRPr="00A52585">
        <w:rPr>
          <w:rFonts w:hint="cs"/>
          <w:rtl/>
        </w:rPr>
        <w:t xml:space="preserve"> لأنّ الله تعالى كرّم وجه ابن آدم</w:t>
      </w:r>
      <w:r w:rsidR="00DB731D" w:rsidRPr="00A52585">
        <w:rPr>
          <w:rFonts w:hint="cs"/>
          <w:rtl/>
        </w:rPr>
        <w:t>،</w:t>
      </w:r>
      <w:r w:rsidR="00777DCB" w:rsidRPr="00A52585">
        <w:rPr>
          <w:rFonts w:hint="cs"/>
          <w:rtl/>
        </w:rPr>
        <w:t xml:space="preserve"> فمن أهان الوجه أو ضرب الوجه أو قاتل الوجه أو قبحه</w:t>
      </w:r>
      <w:r w:rsidR="00DB731D" w:rsidRPr="00A52585">
        <w:rPr>
          <w:rFonts w:hint="cs"/>
          <w:rtl/>
        </w:rPr>
        <w:t>،</w:t>
      </w:r>
      <w:r w:rsidR="00777DCB" w:rsidRPr="00A52585">
        <w:rPr>
          <w:rFonts w:hint="cs"/>
          <w:rtl/>
        </w:rPr>
        <w:t xml:space="preserve"> فكأنما قبّح وجه أباه آدم عليه السلام</w:t>
      </w:r>
      <w:r w:rsidR="00DB731D" w:rsidRPr="00A52585">
        <w:rPr>
          <w:rFonts w:hint="cs"/>
          <w:rtl/>
        </w:rPr>
        <w:t>،</w:t>
      </w:r>
      <w:r w:rsidR="00777DCB" w:rsidRPr="00A52585">
        <w:rPr>
          <w:rFonts w:hint="cs"/>
          <w:rtl/>
        </w:rPr>
        <w:t xml:space="preserve"> وهو نبي مكرم لا يجوز اهانته</w:t>
      </w:r>
      <w:r w:rsidR="00DB731D" w:rsidRPr="00A52585">
        <w:rPr>
          <w:rFonts w:hint="cs"/>
          <w:rtl/>
        </w:rPr>
        <w:t>،</w:t>
      </w:r>
      <w:r w:rsidR="00777DCB" w:rsidRPr="00A52585">
        <w:rPr>
          <w:rFonts w:hint="cs"/>
          <w:rtl/>
        </w:rPr>
        <w:t xml:space="preserve"> ومنه يتبين أنّ الضمير في قوله صلى الله عليه وسلم</w:t>
      </w:r>
      <w:r w:rsidRPr="00A52585">
        <w:rPr>
          <w:rFonts w:hint="cs"/>
          <w:rtl/>
        </w:rPr>
        <w:t xml:space="preserve"> </w:t>
      </w:r>
      <w:r w:rsidR="00777DCB" w:rsidRPr="00A52585">
        <w:rPr>
          <w:rFonts w:hint="cs"/>
          <w:rtl/>
        </w:rPr>
        <w:t>((على صورته</w:t>
      </w:r>
      <w:r w:rsidRPr="00A52585">
        <w:rPr>
          <w:rFonts w:hint="cs"/>
          <w:rtl/>
        </w:rPr>
        <w:t>)</w:t>
      </w:r>
      <w:r w:rsidR="00777DCB" w:rsidRPr="00A52585">
        <w:rPr>
          <w:rFonts w:hint="cs"/>
          <w:rtl/>
        </w:rPr>
        <w:t>) يعود على المضروب وأنّ وجهه يشبه وجه آدم عليه السلام</w:t>
      </w:r>
      <w:r w:rsidR="00DB731D" w:rsidRPr="00A52585">
        <w:rPr>
          <w:rFonts w:hint="cs"/>
          <w:rtl/>
        </w:rPr>
        <w:t>،</w:t>
      </w:r>
      <w:r w:rsidR="00777DCB" w:rsidRPr="00A52585">
        <w:rPr>
          <w:rFonts w:hint="cs"/>
          <w:rtl/>
        </w:rPr>
        <w:t xml:space="preserve"> وهذا قول ابن حجر وقول ابن خزيمة كما سيأتي</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المفتاح الثالث</w:t>
      </w:r>
      <w:r w:rsidRPr="00A52585">
        <w:rPr>
          <w:rFonts w:hint="cs"/>
          <w:rtl/>
        </w:rPr>
        <w:t>):</w:t>
      </w:r>
      <w:r w:rsidR="00777DCB" w:rsidRPr="00A52585">
        <w:rPr>
          <w:rFonts w:hint="cs"/>
          <w:rtl/>
        </w:rPr>
        <w:t xml:space="preserve"> لفظ (</w:t>
      </w:r>
      <w:r w:rsidRPr="00A52585">
        <w:rPr>
          <w:rFonts w:hint="cs"/>
          <w:rtl/>
        </w:rPr>
        <w:t>(</w:t>
      </w:r>
      <w:r w:rsidR="00777DCB" w:rsidRPr="00A52585">
        <w:rPr>
          <w:rFonts w:hint="cs"/>
          <w:rtl/>
        </w:rPr>
        <w:t>لا تقبحوا الوجه , فإن الله خلق آدم على صورة الرحمن</w:t>
      </w:r>
      <w:r w:rsidRPr="00A52585">
        <w:rPr>
          <w:rFonts w:hint="cs"/>
          <w:rtl/>
        </w:rPr>
        <w:t>)</w:t>
      </w:r>
      <w:r w:rsidR="00777DCB" w:rsidRPr="00A52585">
        <w:rPr>
          <w:rFonts w:hint="cs"/>
          <w:rtl/>
        </w:rPr>
        <w:t>) مع ضعفه البين</w:t>
      </w:r>
      <w:r w:rsidR="00DB731D" w:rsidRPr="00A52585">
        <w:rPr>
          <w:rFonts w:hint="cs"/>
          <w:rtl/>
        </w:rPr>
        <w:t>،</w:t>
      </w:r>
      <w:r w:rsidR="00777DCB" w:rsidRPr="00A52585">
        <w:rPr>
          <w:rFonts w:hint="cs"/>
          <w:rtl/>
        </w:rPr>
        <w:t xml:space="preserve"> فإن له - إن ثبت وهو محال لشدة ضعفه - مخرجاً صحيحا يُحمل عليه</w:t>
      </w:r>
      <w:r w:rsidR="00DB731D" w:rsidRPr="00A52585">
        <w:rPr>
          <w:rFonts w:hint="cs"/>
          <w:rtl/>
        </w:rPr>
        <w:t>،</w:t>
      </w:r>
      <w:r w:rsidR="00777DCB" w:rsidRPr="00A52585">
        <w:rPr>
          <w:rFonts w:hint="cs"/>
          <w:rtl/>
        </w:rPr>
        <w:t xml:space="preserve"> وهو إضافة الصورة إلى الله تعالى إضافة تشريف كما في قول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وَإِذْ قَالَ رَبُّكَ لِلْمَلَائِكَةِ إِنِّي خَالِقٌ بَشَرًا مِنْ صَلْصَالٍ مِنْ حَمَأٍ مَسْنُونٍ * فَإِذَا سَوَّيْتُهُ وَنَفَخْتُ فِيهِ مِنْ رُوحِي فَقَعُوا لَهُ سَاجِدِينَ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الحجر</w:t>
      </w:r>
      <w:r w:rsidRPr="00A52585">
        <w:rPr>
          <w:rFonts w:hint="cs"/>
          <w:rtl/>
        </w:rPr>
        <w:t>:</w:t>
      </w:r>
      <w:r w:rsidR="00777DCB" w:rsidRPr="00A52585">
        <w:rPr>
          <w:rFonts w:hint="cs"/>
          <w:rtl/>
        </w:rPr>
        <w:t xml:space="preserve"> 28</w:t>
      </w:r>
      <w:r w:rsidR="00DB731D" w:rsidRPr="00A52585">
        <w:rPr>
          <w:rFonts w:hint="cs"/>
          <w:rtl/>
        </w:rPr>
        <w:t>،</w:t>
      </w:r>
      <w:r w:rsidR="00777DCB" w:rsidRPr="00A52585">
        <w:rPr>
          <w:rFonts w:hint="cs"/>
          <w:rtl/>
        </w:rPr>
        <w:t xml:space="preserve"> 29</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إِذْ قَالَ رَبُّكَ لِلْمَلَائِكَةِ إِنِّي خَالِقٌ بَشَرًا مِنْ طِينٍ * فَإِذَا سَوَّيْتُهُ وَنَفَخْتُ فِيهِ مِنْ رُوحِي فَقَعُوا لَهُ سَاجِدِينَ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ص</w:t>
      </w:r>
      <w:r w:rsidRPr="00A52585">
        <w:rPr>
          <w:rFonts w:hint="cs"/>
          <w:rtl/>
        </w:rPr>
        <w:t>:</w:t>
      </w:r>
      <w:r w:rsidR="00777DCB" w:rsidRPr="00A52585">
        <w:rPr>
          <w:rFonts w:hint="cs"/>
          <w:rtl/>
        </w:rPr>
        <w:t xml:space="preserve"> 71</w:t>
      </w:r>
      <w:r w:rsidR="00DB731D" w:rsidRPr="00A52585">
        <w:rPr>
          <w:rFonts w:hint="cs"/>
          <w:rtl/>
        </w:rPr>
        <w:t>،</w:t>
      </w:r>
      <w:r w:rsidR="00777DCB" w:rsidRPr="00A52585">
        <w:rPr>
          <w:rFonts w:hint="cs"/>
          <w:rtl/>
        </w:rPr>
        <w:t xml:space="preserve"> 72</w:t>
      </w:r>
      <w:r w:rsidRPr="00A52585">
        <w:rPr>
          <w:rFonts w:hint="cs"/>
          <w:rtl/>
        </w:rPr>
        <w:t>]</w:t>
      </w:r>
      <w:r w:rsidR="00DB731D" w:rsidRPr="00A52585">
        <w:rPr>
          <w:rFonts w:hint="cs"/>
          <w:rtl/>
        </w:rPr>
        <w:t>،</w:t>
      </w:r>
      <w:r w:rsidR="00777DCB" w:rsidRPr="00A52585">
        <w:rPr>
          <w:rFonts w:hint="cs"/>
          <w:rtl/>
        </w:rPr>
        <w:t xml:space="preserve"> فقد أضاف الله تعالى الروح إلى نفسه</w:t>
      </w:r>
      <w:r w:rsidR="00DB731D" w:rsidRPr="00A52585">
        <w:rPr>
          <w:rFonts w:hint="cs"/>
          <w:rtl/>
        </w:rPr>
        <w:t>،</w:t>
      </w:r>
      <w:r w:rsidR="00777DCB" w:rsidRPr="00A52585">
        <w:rPr>
          <w:rFonts w:hint="cs"/>
          <w:rtl/>
        </w:rPr>
        <w:t xml:space="preserve"> وأجمع أهل الإسلام على أنها روح مخلوقة خلقها الله تعالى وأضافها إليه إضافة تشريف</w:t>
      </w:r>
      <w:r w:rsidR="00DB731D" w:rsidRPr="00A52585">
        <w:rPr>
          <w:rFonts w:hint="cs"/>
          <w:rtl/>
        </w:rPr>
        <w:t>،</w:t>
      </w:r>
      <w:r w:rsidR="00777DCB" w:rsidRPr="00A52585">
        <w:rPr>
          <w:rFonts w:hint="cs"/>
          <w:rtl/>
        </w:rPr>
        <w:t xml:space="preserve"> وهكذا هاهنا فإن إضافة الصورة إلى الله تعالى إضافة تشريف</w:t>
      </w:r>
      <w:r w:rsidR="00DB731D" w:rsidRPr="00A52585">
        <w:rPr>
          <w:rFonts w:hint="cs"/>
          <w:rtl/>
        </w:rPr>
        <w:t>،</w:t>
      </w:r>
      <w:r w:rsidR="00777DCB" w:rsidRPr="00A52585">
        <w:rPr>
          <w:rFonts w:hint="cs"/>
          <w:rtl/>
        </w:rPr>
        <w:t xml:space="preserve"> لأنّ الله تعالى خلقه في أحسن صوره مخلوقة ونفخ فيه من روحه المخلوقة</w:t>
      </w:r>
      <w:r w:rsidR="00DB731D" w:rsidRPr="00A52585">
        <w:rPr>
          <w:rFonts w:hint="cs"/>
          <w:rtl/>
        </w:rPr>
        <w:t>،</w:t>
      </w:r>
      <w:r w:rsidR="00777DCB" w:rsidRPr="00A52585">
        <w:rPr>
          <w:rFonts w:hint="cs"/>
          <w:rtl/>
        </w:rPr>
        <w:t xml:space="preserve"> فليست الصورة صورة الرحمن</w:t>
      </w:r>
      <w:r w:rsidR="00DB731D" w:rsidRPr="00A52585">
        <w:rPr>
          <w:rFonts w:hint="cs"/>
          <w:rtl/>
        </w:rPr>
        <w:t>،</w:t>
      </w:r>
      <w:r w:rsidR="00777DCB" w:rsidRPr="00A52585">
        <w:rPr>
          <w:rFonts w:hint="cs"/>
          <w:rtl/>
        </w:rPr>
        <w:t xml:space="preserve"> ولا الروح روح الرب الديان</w:t>
      </w:r>
      <w:r w:rsidR="00DB731D" w:rsidRPr="00A52585">
        <w:rPr>
          <w:rFonts w:hint="cs"/>
          <w:rtl/>
        </w:rPr>
        <w:t>،</w:t>
      </w:r>
      <w:r w:rsidR="00777DCB" w:rsidRPr="00A52585">
        <w:rPr>
          <w:rFonts w:hint="cs"/>
          <w:rtl/>
        </w:rPr>
        <w:t xml:space="preserve"> فقوله صلى الله عليه وسلم</w:t>
      </w:r>
      <w:r w:rsidRPr="00A52585">
        <w:rPr>
          <w:rFonts w:hint="cs"/>
          <w:rtl/>
        </w:rPr>
        <w:t>:</w:t>
      </w:r>
      <w:r w:rsidR="00777DCB" w:rsidRPr="00A52585">
        <w:rPr>
          <w:rFonts w:hint="cs"/>
          <w:rtl/>
        </w:rPr>
        <w:t xml:space="preserve"> </w:t>
      </w:r>
      <w:r w:rsidR="00777DCB" w:rsidRPr="00A52585">
        <w:rPr>
          <w:rFonts w:hint="cs"/>
          <w:bCs/>
          <w:rtl/>
        </w:rPr>
        <w:t>((خلق آدم على صورته))</w:t>
      </w:r>
      <w:r w:rsidR="00777DCB" w:rsidRPr="00A52585">
        <w:rPr>
          <w:rFonts w:hint="cs"/>
          <w:rtl/>
        </w:rPr>
        <w:t xml:space="preserve"> يعني</w:t>
      </w:r>
      <w:r w:rsidRPr="00A52585">
        <w:rPr>
          <w:rFonts w:hint="cs"/>
          <w:rtl/>
        </w:rPr>
        <w:t xml:space="preserve">: </w:t>
      </w:r>
      <w:r w:rsidR="00777DCB" w:rsidRPr="00A52585">
        <w:rPr>
          <w:rFonts w:hint="cs"/>
          <w:rtl/>
        </w:rPr>
        <w:t>صورة من الصور التي خلقها الله وصورها</w:t>
      </w:r>
      <w:r w:rsidR="00DB731D" w:rsidRPr="00A52585">
        <w:rPr>
          <w:rFonts w:hint="cs"/>
          <w:rtl/>
        </w:rPr>
        <w:t>،</w:t>
      </w:r>
      <w:r w:rsidRPr="00A52585">
        <w:rPr>
          <w:rFonts w:hint="cs"/>
          <w:rtl/>
        </w:rPr>
        <w:t xml:space="preserve"> </w:t>
      </w:r>
      <w:r w:rsidR="00777DCB" w:rsidRPr="00A52585">
        <w:rPr>
          <w:rFonts w:hint="cs"/>
          <w:rtl/>
        </w:rPr>
        <w:t xml:space="preserve">كما قال تعالى: </w:t>
      </w:r>
      <w:r w:rsidRPr="00A52585">
        <w:rPr>
          <w:rFonts w:hint="cs"/>
          <w:rtl/>
        </w:rPr>
        <w:t>{</w:t>
      </w:r>
      <w:r w:rsidR="00777DCB" w:rsidRPr="00A52585">
        <w:rPr>
          <w:rFonts w:hint="cs"/>
          <w:rtl/>
        </w:rPr>
        <w:t>وَلَقَدْ خَلَقْنَاكُمْ ثُمَّ صَوَّرْنَاكُمْ ثُمَّ قُلْنَا لِلْمَلآئِكَةِ اسْجُدُواْ لآدَمَ</w:t>
      </w:r>
      <w:r w:rsidRPr="00A52585">
        <w:rPr>
          <w:rFonts w:hint="cs"/>
          <w:rtl/>
        </w:rPr>
        <w:t>}</w:t>
      </w:r>
      <w:r w:rsidR="00777DCB" w:rsidRPr="00A52585">
        <w:rPr>
          <w:rFonts w:hint="cs"/>
          <w:rtl/>
        </w:rPr>
        <w:t xml:space="preserve"> [الأعراف:</w:t>
      </w:r>
      <w:r w:rsidRPr="00A52585">
        <w:rPr>
          <w:rFonts w:hint="cs"/>
          <w:rtl/>
        </w:rPr>
        <w:t xml:space="preserve"> </w:t>
      </w:r>
      <w:r w:rsidR="00777DCB" w:rsidRPr="00A52585">
        <w:rPr>
          <w:rFonts w:hint="cs"/>
          <w:rtl/>
        </w:rPr>
        <w:t>11</w:t>
      </w:r>
      <w:r w:rsidRPr="00A52585">
        <w:rPr>
          <w:rFonts w:hint="cs"/>
          <w:rtl/>
        </w:rPr>
        <w:t xml:space="preserve">] </w:t>
      </w:r>
      <w:r w:rsidR="00777DCB" w:rsidRPr="00A52585">
        <w:rPr>
          <w:rFonts w:hint="cs"/>
          <w:rtl/>
        </w:rPr>
        <w:t>فآدم عل صورة الله</w:t>
      </w:r>
      <w:r w:rsidR="00DB731D" w:rsidRPr="00A52585">
        <w:rPr>
          <w:rFonts w:hint="cs"/>
          <w:rtl/>
        </w:rPr>
        <w:t>،</w:t>
      </w:r>
      <w:r w:rsidR="00777DCB" w:rsidRPr="00A52585">
        <w:rPr>
          <w:rFonts w:hint="cs"/>
          <w:rtl/>
        </w:rPr>
        <w:t xml:space="preserve"> يعني: أن الله هو الذي صوره على هذه الصورة التي تعد أحسن صورة في المخلوقات</w:t>
      </w:r>
      <w:r w:rsidR="00DB731D" w:rsidRPr="00A52585">
        <w:rPr>
          <w:rFonts w:hint="cs"/>
          <w:rtl/>
        </w:rPr>
        <w:t>،</w:t>
      </w:r>
      <w:r w:rsidR="00777DCB" w:rsidRPr="00A52585">
        <w:rPr>
          <w:rFonts w:hint="cs"/>
          <w:rtl/>
        </w:rPr>
        <w:t xml:space="preserve">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لَقَدْ خَلَقْنَا الإِنسَانَ فِي أَحْسَنِ تَقْوِيمٍ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التين</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فإضافة الله الصورة إليه من باب التشريف وهذا المخرج الصحيح هو قول ابن خزيمة كذلك كما سيأتي</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المفتاح الرابع والأكيد بعد المفاتيح السابقة</w:t>
      </w:r>
      <w:r w:rsidRPr="00A52585">
        <w:rPr>
          <w:rFonts w:hint="cs"/>
          <w:bCs/>
          <w:rtl/>
        </w:rPr>
        <w:t>)</w:t>
      </w:r>
      <w:r w:rsidRPr="00A52585">
        <w:rPr>
          <w:rFonts w:hint="cs"/>
          <w:rtl/>
        </w:rPr>
        <w:t>:</w:t>
      </w:r>
      <w:r w:rsidR="00777DCB" w:rsidRPr="00A52585">
        <w:rPr>
          <w:rFonts w:hint="cs"/>
          <w:rtl/>
        </w:rPr>
        <w:t xml:space="preserve"> وهو حمل المتشابه على المحكم</w:t>
      </w:r>
      <w:r w:rsidR="00DB731D" w:rsidRPr="00A52585">
        <w:rPr>
          <w:rFonts w:hint="cs"/>
          <w:rtl/>
        </w:rPr>
        <w:t>،</w:t>
      </w:r>
      <w:r w:rsidR="00777DCB" w:rsidRPr="00A52585">
        <w:rPr>
          <w:rFonts w:hint="cs"/>
          <w:rtl/>
        </w:rPr>
        <w:t xml:space="preserve"> وهذا ما أمرنا الله تعالى به في قوله تعالى</w:t>
      </w:r>
      <w:r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00DB731D" w:rsidRPr="00A52585">
        <w:rPr>
          <w:rFonts w:hint="cs"/>
          <w:rtl/>
        </w:rPr>
        <w:t>،</w:t>
      </w:r>
      <w:r w:rsidR="00777DCB" w:rsidRPr="00A52585">
        <w:rPr>
          <w:rFonts w:hint="cs"/>
          <w:rtl/>
        </w:rPr>
        <w:t xml:space="preserve"> 8</w:t>
      </w:r>
      <w:r w:rsidRPr="00A52585">
        <w:rPr>
          <w:rFonts w:hint="cs"/>
          <w:rtl/>
        </w:rPr>
        <w:t>]</w:t>
      </w:r>
      <w:r w:rsidR="00DB731D" w:rsidRPr="00A52585">
        <w:rPr>
          <w:rFonts w:hint="cs"/>
          <w:rtl/>
        </w:rPr>
        <w:t>،</w:t>
      </w:r>
      <w:r w:rsidR="00777DCB" w:rsidRPr="00A52585">
        <w:rPr>
          <w:rFonts w:hint="cs"/>
          <w:rtl/>
        </w:rPr>
        <w:t xml:space="preserve"> و</w:t>
      </w:r>
      <w:r w:rsidR="00777DCB" w:rsidRPr="00A52585">
        <w:rPr>
          <w:rFonts w:eastAsia="Times New Roman" w:hint="cs"/>
          <w:rtl/>
        </w:rPr>
        <w:t>أخرج البخاري ومسلم عن أم المؤمنين عائشة رضي الله عنها قالت</w:t>
      </w:r>
      <w:r w:rsidRPr="00A52585">
        <w:rPr>
          <w:rFonts w:eastAsia="Times New Roman" w:hint="cs"/>
          <w:rtl/>
        </w:rPr>
        <w:t>:</w:t>
      </w:r>
      <w:r w:rsidR="00777DCB" w:rsidRPr="00A52585">
        <w:rPr>
          <w:rFonts w:eastAsia="Times New Roman" w:hint="cs"/>
          <w:rtl/>
        </w:rPr>
        <w:t xml:space="preserve"> تَلا رسولُ اللهِ صلَّى اللهُ عليه وسلَّم هذه الآيةَ</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 xml:space="preserve">هُوَ الَّذِي أَنْزَلَ عَلَيْكَ الْكِتَابَ مِنْهُ آيَاتٌ مُحْكَمَاتٌ هُنَّ أُمُّ الْكِتَابِ وَأُخَرُ مُتَشَابِهَاتٌ فَأَمَّا </w:t>
      </w:r>
      <w:r w:rsidR="00777DCB" w:rsidRPr="00A52585">
        <w:rPr>
          <w:rFonts w:eastAsia="Times New Roman" w:hint="cs"/>
          <w:rtl/>
        </w:rPr>
        <w:lastRenderedPageBreak/>
        <w:t>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قالَتْ</w:t>
      </w:r>
      <w:r w:rsidRPr="00A52585">
        <w:rPr>
          <w:rFonts w:eastAsia="Times New Roman" w:hint="cs"/>
          <w:rtl/>
        </w:rPr>
        <w:t>:</w:t>
      </w:r>
      <w:r w:rsidR="00777DCB" w:rsidRPr="00A52585">
        <w:rPr>
          <w:rFonts w:eastAsia="Times New Roman" w:hint="cs"/>
          <w:rtl/>
        </w:rPr>
        <w:t xml:space="preserve"> قال رسولُ اللهِ صلَّى اللهُ عليه وسلَّم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فإذا رأيتَ الذين يتَّبِعون ما تَشابَه منه، فأولئك الذين سَمَّى اللهُ، فاحذَروهم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البخاري</w:t>
      </w:r>
      <w:r w:rsidRPr="00A52585">
        <w:rPr>
          <w:rFonts w:eastAsia="Times New Roman" w:hint="cs"/>
          <w:rtl/>
        </w:rPr>
        <w:t>:</w:t>
      </w:r>
      <w:r w:rsidR="00777DCB" w:rsidRPr="00A52585">
        <w:rPr>
          <w:rFonts w:eastAsia="Times New Roman" w:hint="cs"/>
          <w:rtl/>
        </w:rPr>
        <w:t xml:space="preserve"> ح </w:t>
      </w:r>
      <w:r w:rsidRPr="00A52585">
        <w:rPr>
          <w:rFonts w:eastAsia="Times New Roman" w:hint="cs"/>
          <w:rtl/>
        </w:rPr>
        <w:t>(</w:t>
      </w:r>
      <w:r w:rsidR="00777DCB" w:rsidRPr="00A52585">
        <w:rPr>
          <w:rFonts w:eastAsia="Times New Roman" w:hint="cs"/>
          <w:rtl/>
        </w:rPr>
        <w:t>4547</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مسلم</w:t>
      </w:r>
      <w:r w:rsidRPr="00A52585">
        <w:rPr>
          <w:rFonts w:eastAsia="Times New Roman" w:hint="cs"/>
          <w:rtl/>
        </w:rPr>
        <w:t>:</w:t>
      </w:r>
      <w:r w:rsidR="00777DCB" w:rsidRPr="00A52585">
        <w:rPr>
          <w:rFonts w:eastAsia="Times New Roman" w:hint="cs"/>
          <w:rtl/>
        </w:rPr>
        <w:t xml:space="preserve"> ح </w:t>
      </w:r>
      <w:r w:rsidRPr="00A52585">
        <w:rPr>
          <w:rFonts w:eastAsia="Times New Roman" w:hint="cs"/>
          <w:rtl/>
        </w:rPr>
        <w:t>(</w:t>
      </w:r>
      <w:r w:rsidR="00777DCB" w:rsidRPr="00A52585">
        <w:rPr>
          <w:rFonts w:eastAsia="Times New Roman" w:hint="cs"/>
          <w:rtl/>
        </w:rPr>
        <w:t>2665</w:t>
      </w:r>
      <w:r w:rsidRPr="00A52585">
        <w:rPr>
          <w:rFonts w:eastAsia="Times New Roman" w:hint="cs"/>
          <w:rtl/>
        </w:rPr>
        <w:t>)]</w:t>
      </w:r>
      <w:r w:rsidR="00DB731D" w:rsidRPr="00A52585">
        <w:rPr>
          <w:rFonts w:eastAsia="Times New Roman" w:hint="cs"/>
          <w:rtl/>
        </w:rPr>
        <w:t>،</w:t>
      </w:r>
      <w:r w:rsidR="00777DCB" w:rsidRPr="00A52585">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DB731D" w:rsidRPr="00A52585">
        <w:rPr>
          <w:rFonts w:hint="cs"/>
          <w:rtl/>
        </w:rPr>
        <w:t>،</w:t>
      </w:r>
      <w:r w:rsidR="00777DCB" w:rsidRPr="00A52585">
        <w:rPr>
          <w:rFonts w:hint="cs"/>
          <w:rtl/>
        </w:rPr>
        <w:t xml:space="preserve"> وفي الحديث السابق والمتفق علي صحته حذّر النبي صلى الله عليه وسلم من أولئك الذين يتتبعون المتشابه ويتركون المحكم</w:t>
      </w:r>
      <w:r w:rsidR="00DB731D" w:rsidRPr="00A52585">
        <w:rPr>
          <w:rFonts w:hint="cs"/>
          <w:rtl/>
        </w:rPr>
        <w:t>،</w:t>
      </w:r>
      <w:r w:rsidR="00777DCB" w:rsidRPr="00A52585">
        <w:rPr>
          <w:rFonts w:hint="cs"/>
          <w:rtl/>
        </w:rPr>
        <w:t xml:space="preserve"> لأنّ تتبع المتشابهات يؤدي إلى الزيغ والخلاف الفرقة والفتنة والضلال</w:t>
      </w:r>
      <w:r w:rsidR="00DB731D" w:rsidRPr="00A52585">
        <w:rPr>
          <w:rFonts w:hint="cs"/>
          <w:rtl/>
        </w:rPr>
        <w:t>،</w:t>
      </w:r>
      <w:r w:rsidR="00777DCB" w:rsidRPr="00A52585">
        <w:rPr>
          <w:rFonts w:hint="cs"/>
          <w:rtl/>
        </w:rPr>
        <w:t xml:space="preserve"> وطريقة أهل السنة في ذلك</w:t>
      </w:r>
      <w:r w:rsidRPr="00A52585">
        <w:rPr>
          <w:rFonts w:hint="cs"/>
          <w:rtl/>
          <w:lang w:bidi="ar-KW"/>
        </w:rPr>
        <w:t xml:space="preserve"> </w:t>
      </w:r>
      <w:r w:rsidR="00777DCB" w:rsidRPr="00A52585">
        <w:rPr>
          <w:rFonts w:hint="cs"/>
          <w:rtl/>
          <w:lang w:bidi="ar-KW"/>
        </w:rPr>
        <w:t>رد المتشابه إلى أمه وأصله</w:t>
      </w:r>
      <w:r w:rsidR="00DB731D" w:rsidRPr="00A52585">
        <w:rPr>
          <w:rFonts w:hint="cs"/>
          <w:rtl/>
          <w:lang w:bidi="ar-KW"/>
        </w:rPr>
        <w:t>،</w:t>
      </w:r>
      <w:r w:rsidR="00777DCB" w:rsidRPr="00A52585">
        <w:rPr>
          <w:rFonts w:hint="cs"/>
          <w:rtl/>
          <w:lang w:bidi="ar-KW"/>
        </w:rPr>
        <w:t xml:space="preserve"> وهو المحكم </w:t>
      </w:r>
      <w:r w:rsidR="00777DCB" w:rsidRPr="00A52585">
        <w:rPr>
          <w:rFonts w:hint="cs"/>
          <w:rtl/>
        </w:rPr>
        <w:t>فتبدو وكأنها نسيج واحد لا ترى فيه من فطور بل تتفق وتتآلف ولا يكون بينها تعارض ولا اختلاف وهذا الفقه هو ما تميز به علماء</w:t>
      </w:r>
      <w:r w:rsidRPr="00A52585">
        <w:rPr>
          <w:rFonts w:hint="cs"/>
          <w:rtl/>
        </w:rPr>
        <w:t xml:space="preserve"> </w:t>
      </w:r>
      <w:r w:rsidR="00777DCB" w:rsidRPr="00A52585">
        <w:rPr>
          <w:rFonts w:hint="cs"/>
          <w:rtl/>
        </w:rPr>
        <w:t>أهل السنّه والجماعة الأئمة الأعلام فجمعوا بين الأدلة ووفقوا بينها</w:t>
      </w:r>
      <w:r w:rsidR="00DB731D" w:rsidRPr="00A52585">
        <w:rPr>
          <w:rFonts w:hint="cs"/>
          <w:rtl/>
        </w:rPr>
        <w:t>،</w:t>
      </w:r>
      <w:r w:rsidR="00777DCB" w:rsidRPr="00A52585">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أَفَلَا يَتَدَبَّرُونَ الْقُرْآنَ وَلَوْ كَانَ مِنْ عِنْدِ غَيْرِ اللَّهِ لَوَجَدُوا فِيهِ اخْتِلَافًا كَثِيرًا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82</w:t>
      </w:r>
      <w:r w:rsidRPr="00A52585">
        <w:rPr>
          <w:rFonts w:hint="cs"/>
          <w:rtl/>
        </w:rPr>
        <w:t>]</w:t>
      </w:r>
      <w:r w:rsidR="00DB731D" w:rsidRPr="00A52585">
        <w:rPr>
          <w:rFonts w:hint="cs"/>
          <w:rtl/>
        </w:rPr>
        <w:t>،</w:t>
      </w:r>
      <w:r w:rsidR="00777DCB" w:rsidRPr="00A52585">
        <w:rPr>
          <w:rFonts w:hint="cs"/>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sidRPr="00A52585">
        <w:rPr>
          <w:rFonts w:hint="cs"/>
          <w:rtl/>
        </w:rPr>
        <w:t xml:space="preserve"> </w:t>
      </w:r>
      <w:r w:rsidR="00777DCB" w:rsidRPr="00A52585">
        <w:rPr>
          <w:rFonts w:hint="cs"/>
          <w:rtl/>
        </w:rPr>
        <w:t>وتعالى عن ذلك علوا كبيرا</w:t>
      </w:r>
      <w:r w:rsidR="00DB731D" w:rsidRPr="00A52585">
        <w:rPr>
          <w:rFonts w:hint="cs"/>
          <w:rtl/>
        </w:rPr>
        <w:t>،</w:t>
      </w:r>
      <w:r w:rsidR="00777DCB" w:rsidRPr="00A52585">
        <w:rPr>
          <w:rFonts w:hint="cs"/>
          <w:rtl/>
        </w:rPr>
        <w:t xml:space="preserve"> لأن الهيئة والصورة والتركيب والتأليف كل ذلك إنما يصح على الأجسام المحدودة والجواهر المخلوقة</w:t>
      </w:r>
      <w:r w:rsidR="00DB731D" w:rsidRPr="00A52585">
        <w:rPr>
          <w:rFonts w:hint="cs"/>
          <w:rtl/>
        </w:rPr>
        <w:t>،</w:t>
      </w:r>
      <w:r w:rsidR="00777DCB" w:rsidRPr="00A52585">
        <w:rPr>
          <w:rFonts w:hint="cs"/>
          <w:rtl/>
        </w:rPr>
        <w:t xml:space="preserve"> ولأنّ الصور لا تنتج إلا عن تأليف وتركيب والتركيب يستحيل على الله تعالى , وصاحب الصورة لا يختص بصورة إلا بمخصص</w:t>
      </w:r>
      <w:r w:rsidR="00DB731D" w:rsidRPr="00A52585">
        <w:rPr>
          <w:rFonts w:hint="cs"/>
          <w:rtl/>
        </w:rPr>
        <w:t>،</w:t>
      </w:r>
      <w:r w:rsidR="00777DCB" w:rsidRPr="00A52585">
        <w:rPr>
          <w:rFonts w:hint="cs"/>
          <w:rtl/>
        </w:rPr>
        <w:t xml:space="preserve"> والمخصص هو الله تعالى المصور</w:t>
      </w:r>
      <w:r w:rsidR="00DB731D" w:rsidRPr="00A52585">
        <w:rPr>
          <w:rFonts w:hint="cs"/>
          <w:rtl/>
        </w:rPr>
        <w:t>،</w:t>
      </w:r>
      <w:r w:rsidR="00777DCB" w:rsidRPr="00A52585">
        <w:rPr>
          <w:rFonts w:hint="cs"/>
          <w:rtl/>
        </w:rPr>
        <w:t xml:space="preserve"> وهو تعالى يصور مخلوقاته كيف شاء</w:t>
      </w:r>
      <w:r w:rsidR="00DB731D" w:rsidRPr="00A52585">
        <w:rPr>
          <w:rFonts w:hint="cs"/>
          <w:rtl/>
        </w:rPr>
        <w:t>،</w:t>
      </w:r>
      <w:r w:rsidR="00777DCB" w:rsidRPr="00A52585">
        <w:rPr>
          <w:rFonts w:hint="cs"/>
          <w:rtl/>
        </w:rPr>
        <w:t xml:space="preserve"> وكل ما له صورة فهي علامة على كونه مخلوق مصور صوره خالقه , والله تعالى هو </w:t>
      </w:r>
      <w:r w:rsidRPr="00A52585">
        <w:rPr>
          <w:rFonts w:hint="cs"/>
          <w:rtl/>
        </w:rPr>
        <w:t>(</w:t>
      </w:r>
      <w:r w:rsidR="00777DCB" w:rsidRPr="00A52585">
        <w:rPr>
          <w:rFonts w:hint="cs"/>
          <w:rtl/>
        </w:rPr>
        <w:t>المصور</w:t>
      </w:r>
      <w:r w:rsidRPr="00A52585">
        <w:rPr>
          <w:rFonts w:hint="cs"/>
          <w:rtl/>
        </w:rPr>
        <w:t>)</w:t>
      </w:r>
      <w:r w:rsidR="00777DCB" w:rsidRPr="00A52585">
        <w:rPr>
          <w:rFonts w:hint="cs"/>
          <w:rtl/>
        </w:rPr>
        <w:t xml:space="preserve"> خالق الصور </w:t>
      </w:r>
      <w:r w:rsidRPr="00A52585">
        <w:rPr>
          <w:rFonts w:hint="cs"/>
          <w:rtl/>
        </w:rPr>
        <w:t>(</w:t>
      </w:r>
      <w:r w:rsidR="00777DCB" w:rsidRPr="00A52585">
        <w:rPr>
          <w:rFonts w:hint="cs"/>
          <w:rtl/>
        </w:rPr>
        <w:t>ليس كمثله شيء</w:t>
      </w:r>
      <w:r w:rsidRPr="00A52585">
        <w:rPr>
          <w:rFonts w:hint="cs"/>
          <w:rtl/>
        </w:rPr>
        <w:t>)</w:t>
      </w:r>
      <w:r w:rsidR="00DB731D" w:rsidRPr="00A52585">
        <w:rPr>
          <w:rFonts w:hint="cs"/>
          <w:rtl/>
        </w:rPr>
        <w:t>،</w:t>
      </w:r>
      <w:r w:rsidR="00777DCB" w:rsidRPr="00A52585">
        <w:rPr>
          <w:rFonts w:hint="cs"/>
          <w:rtl/>
        </w:rPr>
        <w:t xml:space="preserve"> كما أنّ </w:t>
      </w:r>
      <w:r w:rsidR="00777DCB" w:rsidRPr="00A52585">
        <w:rPr>
          <w:rFonts w:hint="cs"/>
          <w:bCs/>
          <w:rtl/>
          <w:lang w:bidi="ar-KW"/>
        </w:rPr>
        <w:t>ذات الله تعالى لا تسري عليها قوانين والمادة والأجسام</w:t>
      </w:r>
      <w:r w:rsidR="00DB731D" w:rsidRPr="00A52585">
        <w:rPr>
          <w:rFonts w:hint="cs"/>
          <w:rtl/>
          <w:lang w:bidi="ar-KW"/>
        </w:rPr>
        <w:t>،</w:t>
      </w:r>
      <w:r w:rsidR="00777DCB" w:rsidRPr="00A52585">
        <w:rPr>
          <w:rFonts w:hint="cs"/>
          <w:rtl/>
          <w:lang w:bidi="ar-KW"/>
        </w:rPr>
        <w:t xml:space="preserve"> لأنّ الذي خلق المادة والجسم هو الله تعالى وهو الذي قهرها بالصور والأشكال</w:t>
      </w:r>
      <w:r w:rsidR="00DB731D" w:rsidRPr="00A52585">
        <w:rPr>
          <w:rFonts w:hint="cs"/>
          <w:rtl/>
          <w:lang w:bidi="ar-KW"/>
        </w:rPr>
        <w:t>،</w:t>
      </w:r>
      <w:r w:rsidR="00777DCB" w:rsidRPr="00A52585">
        <w:rPr>
          <w:rFonts w:hint="cs"/>
          <w:rtl/>
          <w:lang w:bidi="ar-KW"/>
        </w:rPr>
        <w:t xml:space="preserve"> والله تعالى ليس كمثل خلقه وليس كمثله شيء</w:t>
      </w:r>
      <w:r w:rsidR="00DB731D" w:rsidRPr="00A52585">
        <w:rPr>
          <w:rFonts w:hint="cs"/>
          <w:rtl/>
          <w:lang w:bidi="ar-KW"/>
        </w:rPr>
        <w:t>،</w:t>
      </w:r>
      <w:r w:rsidR="00777DCB" w:rsidRPr="00A52585">
        <w:rPr>
          <w:rFonts w:hint="cs"/>
          <w:rtl/>
          <w:lang w:bidi="ar-KW"/>
        </w:rPr>
        <w:t xml:space="preserve"> ولا تسري عليه مفاهيم المواد والأجسام</w:t>
      </w:r>
      <w:r w:rsidR="00DB731D" w:rsidRPr="00A52585">
        <w:rPr>
          <w:rFonts w:hint="cs"/>
          <w:rtl/>
          <w:lang w:bidi="ar-KW"/>
        </w:rPr>
        <w:t>،</w:t>
      </w:r>
      <w:r w:rsidR="00777DCB" w:rsidRPr="00A52585">
        <w:rPr>
          <w:rFonts w:hint="cs"/>
          <w:rtl/>
          <w:lang w:bidi="ar-KW"/>
        </w:rPr>
        <w:t xml:space="preserve"> ولا الصور والأشكال</w:t>
      </w:r>
      <w:r w:rsidR="00DB731D" w:rsidRPr="00A52585">
        <w:rPr>
          <w:rFonts w:hint="cs"/>
          <w:rtl/>
          <w:lang w:bidi="ar-KW"/>
        </w:rPr>
        <w:t>،</w:t>
      </w:r>
      <w:r w:rsidR="00777DCB" w:rsidRPr="00A52585">
        <w:rPr>
          <w:rFonts w:hint="cs"/>
          <w:rtl/>
          <w:lang w:bidi="ar-KW"/>
        </w:rPr>
        <w:t xml:space="preserve"> لأنّه ليس كمثله شيء</w:t>
      </w:r>
      <w:r w:rsidR="00DB731D" w:rsidRPr="00A52585">
        <w:rPr>
          <w:rFonts w:hint="cs"/>
          <w:rtl/>
          <w:lang w:bidi="ar-KW"/>
        </w:rPr>
        <w:t>،</w:t>
      </w:r>
      <w:r w:rsidR="00777DCB" w:rsidRPr="00A52585">
        <w:rPr>
          <w:rFonts w:hint="cs"/>
          <w:rtl/>
          <w:lang w:bidi="ar-KW"/>
        </w:rPr>
        <w:t xml:space="preserve"> وكل ما خطر بالبال فالله خلافه</w:t>
      </w:r>
      <w:r w:rsidR="00DB731D" w:rsidRPr="00A52585">
        <w:rPr>
          <w:rFonts w:hint="cs"/>
          <w:rtl/>
          <w:lang w:bidi="ar-KW"/>
        </w:rPr>
        <w:t>،</w:t>
      </w:r>
      <w:r w:rsidR="00777DCB" w:rsidRPr="00A52585">
        <w:rPr>
          <w:rFonts w:hint="cs"/>
          <w:rtl/>
        </w:rPr>
        <w:t xml:space="preserve"> ولأنّ الصورة تقتضي الكيفية</w:t>
      </w:r>
      <w:r w:rsidR="00DB731D" w:rsidRPr="00A52585">
        <w:rPr>
          <w:rFonts w:hint="cs"/>
          <w:rtl/>
        </w:rPr>
        <w:t>،</w:t>
      </w:r>
      <w:r w:rsidR="00777DCB" w:rsidRPr="00A52585">
        <w:rPr>
          <w:rFonts w:hint="cs"/>
          <w:rtl/>
        </w:rPr>
        <w:t xml:space="preserve"> وهي عن الله تعالى وعن صفاته منفية</w:t>
      </w:r>
      <w:r w:rsidR="00DB731D" w:rsidRPr="00A52585">
        <w:rPr>
          <w:rFonts w:hint="cs"/>
          <w:rtl/>
        </w:rPr>
        <w:t>،</w:t>
      </w:r>
      <w:r w:rsidR="00777DCB" w:rsidRPr="00A52585">
        <w:rPr>
          <w:rFonts w:hint="cs"/>
          <w:rtl/>
        </w:rPr>
        <w:t xml:space="preserve"> لذلك فإن الذي يجب علينا وعلى كل مسلم أن يعلمه أن ربنا ليس بذي صورة ولا هيئة</w:t>
      </w:r>
      <w:r w:rsidR="00DB731D" w:rsidRPr="00A52585">
        <w:rPr>
          <w:rFonts w:hint="cs"/>
          <w:rtl/>
        </w:rPr>
        <w:t>،</w:t>
      </w:r>
      <w:r w:rsidR="00777DCB" w:rsidRPr="00A52585">
        <w:rPr>
          <w:rFonts w:hint="cs"/>
          <w:rtl/>
        </w:rPr>
        <w:t xml:space="preserve"> ومن الآيات المحكمة التي هي أم الكتاب وأصله</w:t>
      </w:r>
      <w:r w:rsidR="00DB731D" w:rsidRPr="00A52585">
        <w:rPr>
          <w:rFonts w:hint="cs"/>
          <w:rtl/>
        </w:rPr>
        <w:t>،</w:t>
      </w:r>
      <w:r w:rsidR="00777DCB" w:rsidRPr="00A52585">
        <w:rPr>
          <w:rFonts w:hint="cs"/>
          <w:rtl/>
        </w:rPr>
        <w:t xml:space="preserve"> والتي يُرد إليها المتشابه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ليس كمثلِه شيء</w:t>
      </w:r>
      <w:r w:rsidRPr="00A52585">
        <w:rPr>
          <w:rFonts w:hint="cs"/>
          <w:bCs/>
          <w:rtl/>
        </w:rPr>
        <w:t>}</w:t>
      </w:r>
      <w:r w:rsidR="00777DCB" w:rsidRPr="00A52585">
        <w:rPr>
          <w:rFonts w:hint="cs"/>
          <w:rtl/>
        </w:rPr>
        <w:t xml:space="preserve"> [سورة الشورى/11]، في هذه الآية نفي المشابهة والمماثلة بين الله تعالى وخلقه ومعناه أن الله تعالى لا </w:t>
      </w:r>
      <w:r w:rsidR="00777DCB" w:rsidRPr="00A52585">
        <w:rPr>
          <w:rFonts w:hint="cs"/>
          <w:rtl/>
        </w:rPr>
        <w:lastRenderedPageBreak/>
        <w:t>يشبه شيئًا من خلقه بوجه من الوجوه، فإذا كانت المخلوقات جميعا لها صور وأشكال وهي علامة خلقها علمنا من ذلك أن خالقها منزه عنها لأنّه ليس كمثله شيء</w:t>
      </w:r>
      <w:r w:rsidR="00DB731D" w:rsidRPr="00A52585">
        <w:rPr>
          <w:rFonts w:hint="cs"/>
          <w:rtl/>
        </w:rPr>
        <w:t>،</w:t>
      </w:r>
      <w:r w:rsidR="00777DCB" w:rsidRPr="00A52585">
        <w:rPr>
          <w:rFonts w:hint="cs"/>
          <w:rtl/>
        </w:rPr>
        <w:t xml:space="preserve"> قوله تعالى:</w:t>
      </w:r>
      <w:r w:rsidR="00777DCB" w:rsidRPr="00A52585">
        <w:rPr>
          <w:rFonts w:hint="cs"/>
          <w:bCs/>
          <w:rtl/>
        </w:rPr>
        <w:t xml:space="preserve"> </w:t>
      </w:r>
      <w:r w:rsidRPr="00A52585">
        <w:rPr>
          <w:rFonts w:hint="cs"/>
          <w:rtl/>
        </w:rPr>
        <w:t>{</w:t>
      </w:r>
      <w:r w:rsidR="00777DCB" w:rsidRPr="00A52585">
        <w:rPr>
          <w:rFonts w:hint="cs"/>
          <w:rtl/>
        </w:rPr>
        <w:t>وللهِ المثَلُ الأعلى</w:t>
      </w:r>
      <w:r w:rsidRPr="00A52585">
        <w:rPr>
          <w:rFonts w:hint="cs"/>
          <w:rtl/>
        </w:rPr>
        <w:t>}</w:t>
      </w:r>
      <w:r w:rsidR="00777DCB" w:rsidRPr="00A52585">
        <w:rPr>
          <w:rFonts w:hint="cs"/>
          <w:rtl/>
        </w:rPr>
        <w:t xml:space="preserve"> [سورة النحل/60] أي الوصف الذي لا يشبه وصف غيره، فلا يوصف ربنا عزَّ وجلَّ بصفات المخلوقين من الصور والأشكال، وقوله تعالى: </w:t>
      </w:r>
      <w:r w:rsidRPr="00A52585">
        <w:rPr>
          <w:rFonts w:hint="cs"/>
          <w:rtl/>
        </w:rPr>
        <w:t>{</w:t>
      </w:r>
      <w:r w:rsidR="00777DCB" w:rsidRPr="00A52585">
        <w:rPr>
          <w:rFonts w:hint="cs"/>
          <w:rtl/>
        </w:rPr>
        <w:t>فلا تضربوا للهِ الأمثال}</w:t>
      </w:r>
      <w:r w:rsidRPr="00A52585">
        <w:rPr>
          <w:rFonts w:hint="cs"/>
          <w:rtl/>
        </w:rPr>
        <w:t xml:space="preserve"> </w:t>
      </w:r>
      <w:r w:rsidR="00777DCB" w:rsidRPr="00A52585">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sidR="00DB731D" w:rsidRPr="00A52585">
        <w:rPr>
          <w:rFonts w:hint="cs"/>
          <w:rtl/>
        </w:rPr>
        <w:t>،</w:t>
      </w:r>
      <w:r w:rsidR="00777DCB" w:rsidRPr="00A52585">
        <w:rPr>
          <w:rFonts w:hint="cs"/>
          <w:rtl/>
        </w:rPr>
        <w:t xml:space="preserve"> تنزه عن الشكل والصورة والجارحة</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هل تعلمُ لهُ سميًّا</w:t>
      </w:r>
      <w:r w:rsidRPr="00A52585">
        <w:rPr>
          <w:rFonts w:hint="cs"/>
          <w:rtl/>
        </w:rPr>
        <w:t>}</w:t>
      </w:r>
      <w:r w:rsidR="00777DCB" w:rsidRPr="00A52585">
        <w:rPr>
          <w:rFonts w:hint="cs"/>
          <w:rtl/>
        </w:rPr>
        <w:t xml:space="preserve"> [سورة مريم/65] أي مِثلاً، فالله تعالى لا مِثْلَ له ولا شبيه ولا نظير، فذاتُه سبحانه لا يشبه الذواتِ ولا صفاتُه تشبه الصفاتِ</w:t>
      </w:r>
      <w:r w:rsidR="00DB731D" w:rsidRPr="00A52585">
        <w:rPr>
          <w:rFonts w:hint="cs"/>
          <w:rtl/>
        </w:rPr>
        <w:t>،</w:t>
      </w:r>
      <w:r w:rsidR="00777DCB" w:rsidRPr="00A52585">
        <w:rPr>
          <w:rFonts w:hint="cs"/>
          <w:rtl/>
        </w:rPr>
        <w:t xml:space="preserve"> تنزه عن الصور والأشكال</w:t>
      </w:r>
      <w:r w:rsidR="00DB731D" w:rsidRPr="00A52585">
        <w:rPr>
          <w:rFonts w:hint="cs"/>
          <w:rtl/>
        </w:rPr>
        <w:t>،</w:t>
      </w:r>
      <w:r w:rsidR="00777DCB" w:rsidRPr="00A52585">
        <w:rPr>
          <w:rFonts w:hint="cs"/>
          <w:rtl/>
        </w:rPr>
        <w:t xml:space="preserve"> وقوله تعالى: </w:t>
      </w:r>
      <w:r w:rsidRPr="00A52585">
        <w:rPr>
          <w:rFonts w:hint="cs"/>
          <w:rtl/>
        </w:rPr>
        <w:t>{</w:t>
      </w:r>
      <w:r w:rsidR="00777DCB" w:rsidRPr="00A52585">
        <w:rPr>
          <w:rFonts w:hint="cs"/>
          <w:rtl/>
        </w:rPr>
        <w:t>وَلَمْ يَكُن لَّهُ كُفُوًا أَحَدٌ</w:t>
      </w:r>
      <w:r w:rsidRPr="00A52585">
        <w:rPr>
          <w:rFonts w:hint="cs"/>
          <w:rtl/>
        </w:rPr>
        <w:t>}</w:t>
      </w:r>
      <w:r w:rsidR="00777DCB" w:rsidRPr="00A52585">
        <w:rPr>
          <w:rFonts w:hint="cs"/>
          <w:rtl/>
        </w:rPr>
        <w:t xml:space="preserve"> [سورة الإخلاص/4] أي لا نظير له بوجه من الوجوه فلا يشبه ابن آدم</w:t>
      </w:r>
      <w:r w:rsidR="00DB731D" w:rsidRPr="00A52585">
        <w:rPr>
          <w:rFonts w:hint="cs"/>
          <w:rtl/>
        </w:rPr>
        <w:t>،</w:t>
      </w:r>
      <w:r w:rsidR="00777DCB" w:rsidRPr="00A52585">
        <w:rPr>
          <w:rFonts w:hint="cs"/>
          <w:rtl/>
        </w:rPr>
        <w:t xml:space="preserve"> فكيف نتوهم أنّه على صورة آدم</w:t>
      </w:r>
      <w:r w:rsidR="00DB731D" w:rsidRPr="00A52585">
        <w:rPr>
          <w:rFonts w:hint="cs"/>
          <w:rtl/>
        </w:rPr>
        <w:t>،</w:t>
      </w:r>
      <w:r w:rsidR="00777DCB" w:rsidRPr="00A52585">
        <w:rPr>
          <w:rFonts w:hint="cs"/>
          <w:rtl/>
        </w:rPr>
        <w:t xml:space="preserve"> تنزه الخالق عن مشابهة المخلوق</w:t>
      </w:r>
      <w:r w:rsidR="00DB731D" w:rsidRPr="00A52585">
        <w:rPr>
          <w:rFonts w:hint="cs"/>
          <w:rtl/>
        </w:rPr>
        <w:t>،</w:t>
      </w:r>
    </w:p>
    <w:p w14:paraId="0D32F7B1" w14:textId="681232B6" w:rsidR="00777DCB" w:rsidRPr="00A52585" w:rsidRDefault="0002035C" w:rsidP="0002035C">
      <w:pPr>
        <w:spacing w:before="240" w:after="240"/>
        <w:rPr>
          <w:b/>
          <w:rtl/>
          <w:lang w:bidi="ar-KW"/>
        </w:rPr>
      </w:pPr>
      <w:r w:rsidRPr="00A52585">
        <w:rPr>
          <w:rFonts w:hint="cs"/>
          <w:bCs/>
          <w:rtl/>
        </w:rPr>
        <w:t>(</w:t>
      </w:r>
      <w:r w:rsidR="00777DCB" w:rsidRPr="00A52585">
        <w:rPr>
          <w:rFonts w:hint="cs"/>
          <w:bCs/>
          <w:rtl/>
        </w:rPr>
        <w:t>ت</w:t>
      </w:r>
      <w:r w:rsidRPr="00A52585">
        <w:rPr>
          <w:rFonts w:hint="cs"/>
          <w:bCs/>
          <w:rtl/>
        </w:rPr>
        <w:t>)</w:t>
      </w:r>
      <w:r w:rsidR="00777DCB" w:rsidRPr="00A52585">
        <w:rPr>
          <w:rFonts w:hint="cs"/>
          <w:bCs/>
          <w:rtl/>
        </w:rPr>
        <w:t xml:space="preserve"> </w:t>
      </w:r>
      <w:r w:rsidR="00777DCB" w:rsidRPr="00A52585">
        <w:rPr>
          <w:rFonts w:hint="cs"/>
          <w:bCs/>
          <w:rtl/>
          <w:lang w:bidi="ar-KW"/>
        </w:rPr>
        <w:t>من أقوال العلماء على تنزيه الله تعالى عن الصورة أكثر من أن تحصر منها على سبيل المثال</w:t>
      </w:r>
      <w:r w:rsidRPr="00A52585">
        <w:rPr>
          <w:rFonts w:hint="cs"/>
          <w:bCs/>
          <w:rtl/>
          <w:lang w:bidi="ar-KW"/>
        </w:rPr>
        <w:t>:</w:t>
      </w:r>
      <w:r w:rsidR="00777DCB" w:rsidRPr="00A52585">
        <w:rPr>
          <w:rFonts w:hint="cs"/>
          <w:rtl/>
          <w:lang w:bidi="ar-KW"/>
        </w:rPr>
        <w:t xml:space="preserve"> </w:t>
      </w:r>
      <w:r w:rsidR="00777DCB" w:rsidRPr="00A52585">
        <w:rPr>
          <w:rFonts w:hint="cs"/>
          <w:bCs/>
          <w:rtl/>
        </w:rPr>
        <w:t>جاء في كتاب عقيدة الإمام أحمد رحمه الله</w:t>
      </w:r>
      <w:r w:rsidRPr="00A52585">
        <w:rPr>
          <w:rFonts w:hint="cs"/>
          <w:bCs/>
          <w:rtl/>
        </w:rPr>
        <w:t>:</w:t>
      </w:r>
      <w:r w:rsidR="00777DCB" w:rsidRPr="00A52585">
        <w:rPr>
          <w:rFonts w:hint="cs"/>
          <w:rtl/>
        </w:rPr>
        <w:t xml:space="preserve">" </w:t>
      </w:r>
      <w:r w:rsidR="00777DCB" w:rsidRPr="00A52585">
        <w:rPr>
          <w:rFonts w:hint="cs"/>
          <w:bCs/>
          <w:rtl/>
        </w:rPr>
        <w:t>نص</w:t>
      </w:r>
      <w:r w:rsidR="00777DCB" w:rsidRPr="00A52585">
        <w:rPr>
          <w:rFonts w:hint="cs"/>
          <w:bCs/>
        </w:rPr>
        <w:t xml:space="preserve"> </w:t>
      </w:r>
      <w:r w:rsidR="00777DCB" w:rsidRPr="00A52585">
        <w:rPr>
          <w:rFonts w:hint="cs"/>
          <w:bCs/>
          <w:rtl/>
        </w:rPr>
        <w:t>اعتقاد الإمام أحمد</w:t>
      </w:r>
      <w:r w:rsidR="00777DCB" w:rsidRPr="00A52585">
        <w:rPr>
          <w:rFonts w:hint="cs"/>
          <w:bCs/>
        </w:rPr>
        <w:t xml:space="preserve"> </w:t>
      </w:r>
      <w:r w:rsidR="00777DCB" w:rsidRPr="00A52585">
        <w:rPr>
          <w:rFonts w:hint="cs"/>
          <w:bCs/>
          <w:rtl/>
        </w:rPr>
        <w:t>بن حنبل</w:t>
      </w:r>
      <w:r w:rsidR="00897A24" w:rsidRPr="00A52585">
        <w:rPr>
          <w:rFonts w:hint="cs"/>
          <w:rtl/>
        </w:rPr>
        <w:t>.</w:t>
      </w:r>
      <w:r w:rsidR="00777DCB" w:rsidRPr="00A52585">
        <w:rPr>
          <w:rFonts w:hint="cs"/>
          <w:rtl/>
        </w:rPr>
        <w:t>.</w:t>
      </w:r>
      <w:r w:rsidR="00777DCB" w:rsidRPr="00A52585">
        <w:rPr>
          <w:rFonts w:hint="cs"/>
        </w:rPr>
        <w:t xml:space="preserve"> </w:t>
      </w:r>
      <w:r w:rsidR="00777DCB" w:rsidRPr="00A52585">
        <w:rPr>
          <w:rFonts w:hint="cs"/>
          <w:rtl/>
        </w:rPr>
        <w:t>ومذهب</w:t>
      </w:r>
      <w:r w:rsidR="00777DCB" w:rsidRPr="00A52585">
        <w:rPr>
          <w:rFonts w:hint="cs"/>
        </w:rPr>
        <w:t xml:space="preserve"> </w:t>
      </w:r>
      <w:r w:rsidR="00777DCB" w:rsidRPr="00A52585">
        <w:rPr>
          <w:rFonts w:hint="cs"/>
          <w:rtl/>
        </w:rPr>
        <w:t>أبي عبد الله أحمد بن حنبل رضي الله عنه أن لله عز وجل</w:t>
      </w:r>
      <w:r w:rsidR="00777DCB" w:rsidRPr="00A52585">
        <w:rPr>
          <w:rFonts w:hint="cs"/>
        </w:rPr>
        <w:t xml:space="preserve"> </w:t>
      </w:r>
      <w:r w:rsidR="00777DCB" w:rsidRPr="00A52585">
        <w:rPr>
          <w:rFonts w:hint="cs"/>
          <w:rtl/>
        </w:rPr>
        <w:t xml:space="preserve">وجها لا كالصور المصورة والأعيان المخططة بل وجهة </w:t>
      </w:r>
      <w:proofErr w:type="spellStart"/>
      <w:r w:rsidR="00777DCB" w:rsidRPr="00A52585">
        <w:rPr>
          <w:rFonts w:hint="cs"/>
          <w:rtl/>
        </w:rPr>
        <w:t>وصفه</w:t>
      </w:r>
      <w:r w:rsidR="00897A24" w:rsidRPr="00A52585">
        <w:rPr>
          <w:rFonts w:hint="cs"/>
          <w:rtl/>
        </w:rPr>
        <w:t>.</w:t>
      </w:r>
      <w:r w:rsidR="00777DCB" w:rsidRPr="00A52585">
        <w:rPr>
          <w:rFonts w:hint="cs"/>
          <w:rtl/>
        </w:rPr>
        <w:t>.ومن</w:t>
      </w:r>
      <w:proofErr w:type="spellEnd"/>
      <w:r w:rsidR="00777DCB" w:rsidRPr="00A52585">
        <w:rPr>
          <w:rFonts w:hint="cs"/>
          <w:rtl/>
        </w:rPr>
        <w:t xml:space="preserve"> غير</w:t>
      </w:r>
      <w:r w:rsidR="00777DCB" w:rsidRPr="00A52585">
        <w:rPr>
          <w:rFonts w:hint="cs"/>
        </w:rPr>
        <w:t xml:space="preserve"> </w:t>
      </w:r>
      <w:r w:rsidR="00777DCB" w:rsidRPr="00A52585">
        <w:rPr>
          <w:rFonts w:hint="cs"/>
          <w:rtl/>
        </w:rPr>
        <w:t>معناه فقد ألحد عنه وليس</w:t>
      </w:r>
      <w:r w:rsidR="00777DCB" w:rsidRPr="00A52585">
        <w:rPr>
          <w:rFonts w:hint="cs"/>
        </w:rPr>
        <w:t xml:space="preserve"> </w:t>
      </w:r>
      <w:r w:rsidR="00777DCB" w:rsidRPr="00A52585">
        <w:rPr>
          <w:rFonts w:hint="cs"/>
          <w:rtl/>
        </w:rPr>
        <w:t>معنى وجه معنى جسد عنده ولا صورة ولا تخطيط ومن قال ذلك</w:t>
      </w:r>
      <w:r w:rsidR="00777DCB" w:rsidRPr="00A52585">
        <w:rPr>
          <w:rFonts w:hint="cs"/>
        </w:rPr>
        <w:t xml:space="preserve"> </w:t>
      </w:r>
      <w:r w:rsidR="00777DCB" w:rsidRPr="00A52585">
        <w:rPr>
          <w:rFonts w:hint="cs"/>
          <w:rtl/>
        </w:rPr>
        <w:t xml:space="preserve">فقد ابتدع </w:t>
      </w:r>
      <w:r w:rsidR="00777DCB" w:rsidRPr="00A52585">
        <w:t>(</w:t>
      </w:r>
      <w:r w:rsidRPr="00A52585">
        <w:rPr>
          <w:rtl/>
        </w:rPr>
        <w:t>(</w:t>
      </w:r>
      <w:r w:rsidR="00777DCB" w:rsidRPr="00A52585">
        <w:rPr>
          <w:rFonts w:hint="cs"/>
          <w:rtl/>
        </w:rPr>
        <w:t xml:space="preserve">أهـ </w:t>
      </w:r>
      <w:r w:rsidRPr="00A52585">
        <w:rPr>
          <w:rFonts w:hint="cs"/>
          <w:rtl/>
        </w:rPr>
        <w:t>[</w:t>
      </w:r>
      <w:r w:rsidR="00777DCB" w:rsidRPr="00A52585">
        <w:rPr>
          <w:rFonts w:hint="cs"/>
          <w:rtl/>
        </w:rPr>
        <w:t>العقيدة ج 1 /ص 110</w:t>
      </w:r>
      <w:r w:rsidRPr="00A52585">
        <w:rPr>
          <w:rFonts w:hint="cs"/>
          <w:rtl/>
        </w:rPr>
        <w:t>]</w:t>
      </w:r>
      <w:r w:rsidR="00DB731D" w:rsidRPr="00A52585">
        <w:rPr>
          <w:rFonts w:hint="cs"/>
          <w:rtl/>
        </w:rPr>
        <w:t>،</w:t>
      </w:r>
      <w:r w:rsidR="00777DCB" w:rsidRPr="00A52585">
        <w:rPr>
          <w:rFonts w:hint="cs"/>
          <w:bCs/>
          <w:rtl/>
        </w:rPr>
        <w:t xml:space="preserve"> وجاء فيه أيضا</w:t>
      </w:r>
      <w:r w:rsidRPr="00A52585">
        <w:rPr>
          <w:rFonts w:hint="cs"/>
          <w:rtl/>
        </w:rPr>
        <w:t xml:space="preserve">: </w:t>
      </w:r>
      <w:r w:rsidR="00777DCB" w:rsidRPr="00A52585">
        <w:rPr>
          <w:rFonts w:hint="cs"/>
          <w:rtl/>
        </w:rPr>
        <w:t>" لا</w:t>
      </w:r>
      <w:r w:rsidR="00777DCB" w:rsidRPr="00A52585">
        <w:rPr>
          <w:rFonts w:hint="cs"/>
        </w:rPr>
        <w:t xml:space="preserve"> </w:t>
      </w:r>
      <w:r w:rsidR="00777DCB" w:rsidRPr="00A52585">
        <w:rPr>
          <w:rFonts w:hint="cs"/>
          <w:rtl/>
        </w:rPr>
        <w:t>يجوز أن يسمى جسما</w:t>
      </w:r>
      <w:r w:rsidRPr="00A52585">
        <w:rPr>
          <w:rFonts w:hint="cs"/>
          <w:rtl/>
        </w:rPr>
        <w:t xml:space="preserve"> </w:t>
      </w:r>
      <w:r w:rsidR="00777DCB" w:rsidRPr="00A52585">
        <w:rPr>
          <w:rFonts w:hint="cs"/>
          <w:rtl/>
        </w:rPr>
        <w:t>وأنكر</w:t>
      </w:r>
      <w:r w:rsidR="00777DCB" w:rsidRPr="00A52585">
        <w:rPr>
          <w:rFonts w:hint="cs"/>
        </w:rPr>
        <w:t xml:space="preserve"> </w:t>
      </w:r>
      <w:r w:rsidRPr="00A52585">
        <w:rPr>
          <w:rFonts w:hint="cs"/>
          <w:rtl/>
        </w:rPr>
        <w:t>(</w:t>
      </w:r>
      <w:r w:rsidR="00777DCB" w:rsidRPr="00A52585">
        <w:rPr>
          <w:rFonts w:hint="cs"/>
          <w:rtl/>
        </w:rPr>
        <w:t>أي الإمام أحمد</w:t>
      </w:r>
      <w:r w:rsidRPr="00A52585">
        <w:rPr>
          <w:rFonts w:hint="cs"/>
          <w:rtl/>
        </w:rPr>
        <w:t>)</w:t>
      </w:r>
      <w:r w:rsidR="00777DCB" w:rsidRPr="00A52585">
        <w:rPr>
          <w:rFonts w:hint="cs"/>
          <w:rtl/>
        </w:rPr>
        <w:t xml:space="preserve"> على من يقول بالجسم وقال إن</w:t>
      </w:r>
      <w:r w:rsidR="00777DCB" w:rsidRPr="00A52585">
        <w:rPr>
          <w:rFonts w:hint="cs"/>
        </w:rPr>
        <w:t xml:space="preserve"> </w:t>
      </w:r>
      <w:r w:rsidR="00777DCB" w:rsidRPr="00A52585">
        <w:rPr>
          <w:rFonts w:hint="cs"/>
          <w:rtl/>
        </w:rPr>
        <w:t>الأسماء مأخوذة بالشريعة واللغة وأهل اللغة وضعوا هذا الاسم على كل ذي طول وعرض وسمك</w:t>
      </w:r>
      <w:r w:rsidR="00777DCB" w:rsidRPr="00A52585">
        <w:rPr>
          <w:rFonts w:hint="cs"/>
        </w:rPr>
        <w:t xml:space="preserve"> </w:t>
      </w:r>
      <w:r w:rsidR="00777DCB" w:rsidRPr="00A52585">
        <w:rPr>
          <w:rFonts w:hint="cs"/>
          <w:rtl/>
        </w:rPr>
        <w:t xml:space="preserve">وتركيب </w:t>
      </w:r>
      <w:r w:rsidR="00777DCB" w:rsidRPr="00A52585">
        <w:rPr>
          <w:rFonts w:hint="cs"/>
          <w:u w:val="single"/>
          <w:rtl/>
        </w:rPr>
        <w:t>وصورة</w:t>
      </w:r>
      <w:r w:rsidR="00777DCB" w:rsidRPr="00A52585">
        <w:rPr>
          <w:rFonts w:hint="cs"/>
          <w:rtl/>
        </w:rPr>
        <w:t xml:space="preserve"> وتأليف والله تعالى خارج عن ذلك كله فلم يجز أن يسمى جسما لخروجه عن</w:t>
      </w:r>
      <w:r w:rsidR="00777DCB" w:rsidRPr="00A52585">
        <w:rPr>
          <w:rFonts w:hint="cs"/>
        </w:rPr>
        <w:t xml:space="preserve"> </w:t>
      </w:r>
      <w:r w:rsidR="00777DCB" w:rsidRPr="00A52585">
        <w:rPr>
          <w:rFonts w:hint="cs"/>
          <w:rtl/>
        </w:rPr>
        <w:t>معنى الجسمية ولم يجيء في الشريعة ذلك فبطل</w:t>
      </w:r>
      <w:r w:rsidRPr="00A52585">
        <w:rPr>
          <w:rFonts w:hint="cs"/>
          <w:rtl/>
        </w:rPr>
        <w:t xml:space="preserve"> </w:t>
      </w:r>
      <w:r w:rsidR="00777DCB" w:rsidRPr="00A52585">
        <w:rPr>
          <w:rFonts w:hint="cs"/>
          <w:rtl/>
        </w:rPr>
        <w:t xml:space="preserve">" أهـ </w:t>
      </w:r>
      <w:r w:rsidRPr="00A52585">
        <w:rPr>
          <w:rFonts w:hint="cs"/>
          <w:rtl/>
        </w:rPr>
        <w:t>[</w:t>
      </w:r>
      <w:r w:rsidR="00777DCB" w:rsidRPr="00A52585">
        <w:rPr>
          <w:rFonts w:hint="cs"/>
          <w:rtl/>
        </w:rPr>
        <w:t>العقيدة ج 1 /ص 111</w:t>
      </w:r>
      <w:r w:rsidRPr="00A52585">
        <w:rPr>
          <w:rFonts w:hint="cs"/>
          <w:rtl/>
        </w:rPr>
        <w:t>]</w:t>
      </w:r>
      <w:r w:rsidR="00DB731D" w:rsidRPr="00A52585">
        <w:rPr>
          <w:rFonts w:hint="cs"/>
          <w:rtl/>
        </w:rPr>
        <w:t>،</w:t>
      </w:r>
      <w:r w:rsidR="00777DCB" w:rsidRPr="00A52585">
        <w:rPr>
          <w:rFonts w:hint="cs"/>
          <w:bCs/>
          <w:rtl/>
        </w:rPr>
        <w:t xml:space="preserve"> وقال شيخ المحدثين الحافظ البيهقي</w:t>
      </w:r>
      <w:r w:rsidRPr="00A52585">
        <w:rPr>
          <w:rFonts w:hint="cs"/>
          <w:rtl/>
        </w:rPr>
        <w:t xml:space="preserve">: </w:t>
      </w:r>
      <w:r w:rsidR="00777DCB" w:rsidRPr="00A52585">
        <w:rPr>
          <w:rFonts w:hint="cs"/>
          <w:rtl/>
        </w:rPr>
        <w:t xml:space="preserve">"قال أبو سليمان </w:t>
      </w:r>
      <w:proofErr w:type="spellStart"/>
      <w:r w:rsidR="00777DCB" w:rsidRPr="00A52585">
        <w:rPr>
          <w:rFonts w:hint="cs"/>
          <w:rtl/>
        </w:rPr>
        <w:t>الخطابي</w:t>
      </w:r>
      <w:r w:rsidRPr="00A52585">
        <w:rPr>
          <w:rFonts w:hint="cs"/>
          <w:rtl/>
        </w:rPr>
        <w:t>:</w:t>
      </w:r>
      <w:r w:rsidR="00777DCB" w:rsidRPr="00A52585">
        <w:rPr>
          <w:rFonts w:hint="cs"/>
          <w:rtl/>
        </w:rPr>
        <w:t>وأما</w:t>
      </w:r>
      <w:proofErr w:type="spellEnd"/>
      <w:r w:rsidR="00777DCB" w:rsidRPr="00A52585">
        <w:rPr>
          <w:rFonts w:hint="cs"/>
          <w:rtl/>
        </w:rPr>
        <w:t xml:space="preserve"> ذكر الصورة في هذه القصة ؛فإن الذي يجب علينا وعلى كل مسلم أن يعلمه أن ربنا ليس بذي صورة ولا هيئة</w:t>
      </w:r>
      <w:r w:rsidR="00DB731D" w:rsidRPr="00A52585">
        <w:rPr>
          <w:rFonts w:hint="cs"/>
          <w:rtl/>
        </w:rPr>
        <w:t>،</w:t>
      </w:r>
      <w:r w:rsidR="00777DCB" w:rsidRPr="00A52585">
        <w:rPr>
          <w:rFonts w:hint="cs"/>
          <w:rtl/>
        </w:rPr>
        <w:t xml:space="preserve"> فإن الصورة تقتضي الكيفية</w:t>
      </w:r>
      <w:r w:rsidR="00DB731D" w:rsidRPr="00A52585">
        <w:rPr>
          <w:rFonts w:hint="cs"/>
          <w:rtl/>
        </w:rPr>
        <w:t>،</w:t>
      </w:r>
      <w:r w:rsidR="00777DCB" w:rsidRPr="00A52585">
        <w:rPr>
          <w:rFonts w:hint="cs"/>
          <w:rtl/>
        </w:rPr>
        <w:t xml:space="preserve"> وهي عن الله تعالى وعن صفاته منفية " أهـ </w:t>
      </w:r>
      <w:r w:rsidRPr="00A52585">
        <w:rPr>
          <w:rFonts w:hint="cs"/>
          <w:rtl/>
        </w:rPr>
        <w:t>[</w:t>
      </w:r>
      <w:r w:rsidR="00777DCB" w:rsidRPr="00A52585">
        <w:rPr>
          <w:rFonts w:hint="cs"/>
          <w:rtl/>
        </w:rPr>
        <w:t>الأسماء والصفات</w:t>
      </w:r>
      <w:r w:rsidRPr="00A52585">
        <w:rPr>
          <w:rFonts w:hint="cs"/>
          <w:rtl/>
        </w:rPr>
        <w:t>:</w:t>
      </w:r>
      <w:r w:rsidR="00777DCB" w:rsidRPr="00A52585">
        <w:rPr>
          <w:rFonts w:hint="cs"/>
          <w:rtl/>
        </w:rPr>
        <w:t>297</w:t>
      </w:r>
      <w:r w:rsidRPr="00A52585">
        <w:rPr>
          <w:rFonts w:hint="cs"/>
          <w:rtl/>
        </w:rPr>
        <w:t>]</w:t>
      </w:r>
      <w:r w:rsidR="00DB731D" w:rsidRPr="00A52585">
        <w:rPr>
          <w:rFonts w:hint="cs"/>
          <w:bCs/>
          <w:rtl/>
        </w:rPr>
        <w:t>،</w:t>
      </w:r>
      <w:r w:rsidR="00777DCB" w:rsidRPr="00A52585">
        <w:rPr>
          <w:rFonts w:hint="cs"/>
          <w:bCs/>
          <w:rtl/>
        </w:rPr>
        <w:t xml:space="preserve"> وقال رحمه الله</w:t>
      </w:r>
      <w:r w:rsidRPr="00A52585">
        <w:rPr>
          <w:rFonts w:hint="cs"/>
          <w:bCs/>
          <w:rtl/>
        </w:rPr>
        <w:t xml:space="preserve">: </w:t>
      </w:r>
      <w:r w:rsidR="00777DCB" w:rsidRPr="00A52585">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777DCB" w:rsidRPr="00A52585">
        <w:rPr>
          <w:rFonts w:hint="cs"/>
          <w:bCs/>
          <w:rtl/>
        </w:rPr>
        <w:t>فالوجه له صفة</w:t>
      </w:r>
      <w:r w:rsidR="00777DCB" w:rsidRPr="00A52585">
        <w:rPr>
          <w:rFonts w:hint="cs"/>
          <w:rtl/>
        </w:rPr>
        <w:t xml:space="preserve"> </w:t>
      </w:r>
      <w:r w:rsidR="00777DCB" w:rsidRPr="00A52585">
        <w:rPr>
          <w:rFonts w:hint="cs"/>
          <w:bCs/>
          <w:rtl/>
        </w:rPr>
        <w:t>وليست بصورة</w:t>
      </w:r>
      <w:r w:rsidR="00777DCB" w:rsidRPr="00A52585">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DB731D" w:rsidRPr="00A52585">
        <w:rPr>
          <w:rFonts w:hint="cs"/>
          <w:bCs/>
          <w:rtl/>
        </w:rPr>
        <w:t>،</w:t>
      </w:r>
      <w:r w:rsidR="00777DCB" w:rsidRPr="00A52585">
        <w:rPr>
          <w:rFonts w:hint="cs"/>
          <w:bCs/>
          <w:rtl/>
        </w:rPr>
        <w:t xml:space="preserve"> وجاء في كتاب الفقه الأكبر المنسوب للإمام الشافعي</w:t>
      </w:r>
      <w:r w:rsidRPr="00A52585">
        <w:rPr>
          <w:rFonts w:hint="cs"/>
          <w:rtl/>
        </w:rPr>
        <w:t>[</w:t>
      </w:r>
      <w:r w:rsidR="00777DCB" w:rsidRPr="00A52585">
        <w:rPr>
          <w:rFonts w:hint="cs"/>
          <w:rtl/>
        </w:rPr>
        <w:t>صـ10] "فصل</w:t>
      </w:r>
      <w:r w:rsidRPr="00A52585">
        <w:rPr>
          <w:rFonts w:hint="cs"/>
          <w:rtl/>
        </w:rPr>
        <w:t>:</w:t>
      </w:r>
      <w:r w:rsidR="00777DCB" w:rsidRPr="00A52585">
        <w:rPr>
          <w:rFonts w:hint="cs"/>
          <w:rtl/>
        </w:rPr>
        <w:t xml:space="preserve"> </w:t>
      </w:r>
      <w:r w:rsidR="00777DCB" w:rsidRPr="00A52585">
        <w:rPr>
          <w:rFonts w:hint="cs"/>
          <w:bCs/>
          <w:rtl/>
        </w:rPr>
        <w:t xml:space="preserve">واعلموا أن الصور والتركيب تستحيل </w:t>
      </w:r>
      <w:r w:rsidR="00777DCB" w:rsidRPr="00A52585">
        <w:rPr>
          <w:rFonts w:hint="cs"/>
          <w:bCs/>
          <w:rtl/>
        </w:rPr>
        <w:lastRenderedPageBreak/>
        <w:t>على الله تعالى</w:t>
      </w:r>
      <w:r w:rsidR="00777DCB" w:rsidRPr="00A52585">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Pr="00A52585">
        <w:rPr>
          <w:rFonts w:hint="cs"/>
          <w:rtl/>
        </w:rPr>
        <w:t>)</w:t>
      </w:r>
      <w:r w:rsidR="00777DCB" w:rsidRPr="00A52585">
        <w:rPr>
          <w:rFonts w:hint="cs"/>
          <w:rtl/>
        </w:rPr>
        <w:t xml:space="preserve"> وقال الله تعالى </w:t>
      </w:r>
      <w:r w:rsidR="00777DCB" w:rsidRPr="00A52585">
        <w:sym w:font="AGA Arabesque" w:char="F029"/>
      </w:r>
      <w:r w:rsidR="00777DCB" w:rsidRPr="00A52585">
        <w:rPr>
          <w:rFonts w:hint="cs"/>
          <w:rtl/>
        </w:rPr>
        <w:t xml:space="preserve">هو الله الخالق البارئ المصور </w:t>
      </w:r>
      <w:r w:rsidR="00777DCB" w:rsidRPr="00A52585">
        <w:sym w:font="AGA Arabesque" w:char="F028"/>
      </w:r>
      <w:r w:rsidR="00777DCB" w:rsidRPr="00A52585">
        <w:rPr>
          <w:rFonts w:hint="cs"/>
          <w:rtl/>
        </w:rPr>
        <w:t xml:space="preserve"> " أهـ [الفقه الأكبر المنسوب للإمام الشافعي صـ10]</w:t>
      </w:r>
      <w:r w:rsidR="00DB731D" w:rsidRPr="00A52585">
        <w:rPr>
          <w:rFonts w:hint="cs"/>
          <w:rtl/>
        </w:rPr>
        <w:t>،</w:t>
      </w:r>
      <w:r w:rsidR="00777DCB" w:rsidRPr="00A52585">
        <w:rPr>
          <w:rFonts w:hint="cs"/>
          <w:bCs/>
          <w:rtl/>
        </w:rPr>
        <w:t xml:space="preserve"> وقال الإمام الحافظ أبى بكر بن فورك</w:t>
      </w:r>
      <w:r w:rsidRPr="00A52585">
        <w:rPr>
          <w:rFonts w:hint="cs"/>
          <w:rtl/>
        </w:rPr>
        <w:t xml:space="preserve"> </w:t>
      </w:r>
      <w:r w:rsidR="00777DCB" w:rsidRPr="00A52585">
        <w:rPr>
          <w:rFonts w:hint="cs"/>
          <w:rtl/>
        </w:rPr>
        <w:t>" فصل</w:t>
      </w:r>
      <w:r w:rsidRPr="00A52585">
        <w:rPr>
          <w:rFonts w:hint="cs"/>
          <w:rtl/>
        </w:rPr>
        <w:t xml:space="preserve">: </w:t>
      </w:r>
      <w:r w:rsidR="00777DCB" w:rsidRPr="00A52585">
        <w:rPr>
          <w:rFonts w:hint="cs"/>
          <w:rtl/>
        </w:rPr>
        <w:t>واعلم أن بعض أصحابنا المتكلمين في تأويل هذا الخبر حاد على وجه الصواب</w:t>
      </w:r>
      <w:r w:rsidR="00DB731D" w:rsidRPr="00A52585">
        <w:rPr>
          <w:rFonts w:hint="cs"/>
          <w:rtl/>
        </w:rPr>
        <w:t>،</w:t>
      </w:r>
      <w:r w:rsidR="00777DCB" w:rsidRPr="00A52585">
        <w:rPr>
          <w:rFonts w:hint="cs"/>
          <w:rtl/>
        </w:rPr>
        <w:t xml:space="preserve"> وسلك طريق الخطأ والمحال فيه</w:t>
      </w:r>
      <w:r w:rsidR="00DB731D" w:rsidRPr="00A52585">
        <w:rPr>
          <w:rFonts w:hint="cs"/>
          <w:rtl/>
        </w:rPr>
        <w:t>،</w:t>
      </w:r>
      <w:r w:rsidR="00777DCB" w:rsidRPr="00A52585">
        <w:rPr>
          <w:rFonts w:hint="cs"/>
          <w:rtl/>
        </w:rPr>
        <w:t xml:space="preserve"> وهو ابن </w:t>
      </w:r>
      <w:proofErr w:type="spellStart"/>
      <w:r w:rsidR="00777DCB" w:rsidRPr="00A52585">
        <w:rPr>
          <w:rFonts w:hint="cs"/>
          <w:rtl/>
        </w:rPr>
        <w:t>قتيبه</w:t>
      </w:r>
      <w:proofErr w:type="spellEnd"/>
      <w:r w:rsidR="00777DCB" w:rsidRPr="00A52585">
        <w:rPr>
          <w:rFonts w:hint="cs"/>
          <w:rtl/>
        </w:rPr>
        <w:t xml:space="preserve"> توهما أنه مستمسك بظاهره غير تارك له</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إن لله عز وجل صوره لا كالصور كما أنه </w:t>
      </w:r>
      <w:proofErr w:type="spellStart"/>
      <w:r w:rsidR="00777DCB" w:rsidRPr="00A52585">
        <w:rPr>
          <w:rFonts w:hint="cs"/>
          <w:rtl/>
        </w:rPr>
        <w:t>شئ</w:t>
      </w:r>
      <w:proofErr w:type="spellEnd"/>
      <w:r w:rsidR="00777DCB" w:rsidRPr="00A52585">
        <w:rPr>
          <w:rFonts w:hint="cs"/>
          <w:rtl/>
        </w:rPr>
        <w:t xml:space="preserve"> لا كالأشياء</w:t>
      </w:r>
      <w:r w:rsidRPr="00A52585">
        <w:rPr>
          <w:rFonts w:hint="cs"/>
          <w:rtl/>
        </w:rPr>
        <w:t>)</w:t>
      </w:r>
      <w:r w:rsidR="00777DCB" w:rsidRPr="00A52585">
        <w:rPr>
          <w:rFonts w:hint="cs"/>
          <w:rtl/>
        </w:rPr>
        <w:t xml:space="preserve"> فأثبت لله تعالى صوره </w:t>
      </w:r>
      <w:proofErr w:type="spellStart"/>
      <w:r w:rsidR="00777DCB" w:rsidRPr="00A52585">
        <w:rPr>
          <w:rFonts w:hint="cs"/>
          <w:rtl/>
        </w:rPr>
        <w:t>قديمه</w:t>
      </w:r>
      <w:proofErr w:type="spellEnd"/>
      <w:r w:rsidR="00777DCB" w:rsidRPr="00A52585">
        <w:rPr>
          <w:rFonts w:hint="cs"/>
          <w:rtl/>
        </w:rPr>
        <w:t xml:space="preserve"> </w:t>
      </w:r>
      <w:proofErr w:type="spellStart"/>
      <w:r w:rsidR="00777DCB" w:rsidRPr="00A52585">
        <w:rPr>
          <w:rFonts w:hint="cs"/>
          <w:rtl/>
        </w:rPr>
        <w:t>قديمه</w:t>
      </w:r>
      <w:proofErr w:type="spellEnd"/>
      <w:r w:rsidR="00DB731D" w:rsidRPr="00A52585">
        <w:rPr>
          <w:rFonts w:hint="cs"/>
          <w:rtl/>
        </w:rPr>
        <w:t>،</w:t>
      </w:r>
      <w:r w:rsidR="00777DCB" w:rsidRPr="00A52585">
        <w:rPr>
          <w:rFonts w:hint="cs"/>
          <w:rtl/>
        </w:rPr>
        <w:t xml:space="preserve"> زعم أنها لا كالصور</w:t>
      </w:r>
      <w:r w:rsidR="00DB731D" w:rsidRPr="00A52585">
        <w:rPr>
          <w:rFonts w:hint="cs"/>
          <w:rtl/>
        </w:rPr>
        <w:t>،</w:t>
      </w:r>
      <w:r w:rsidR="00777DCB" w:rsidRPr="00A52585">
        <w:rPr>
          <w:rFonts w:hint="cs"/>
          <w:rtl/>
        </w:rPr>
        <w:t xml:space="preserve"> وأن الله خلق آدم على تلك </w:t>
      </w:r>
      <w:proofErr w:type="spellStart"/>
      <w:r w:rsidR="00777DCB" w:rsidRPr="00A52585">
        <w:rPr>
          <w:rFonts w:hint="cs"/>
          <w:rtl/>
        </w:rPr>
        <w:t>الصوره</w:t>
      </w:r>
      <w:proofErr w:type="spellEnd"/>
      <w:r w:rsidR="00DB731D" w:rsidRPr="00A52585">
        <w:rPr>
          <w:rFonts w:hint="cs"/>
          <w:rtl/>
        </w:rPr>
        <w:t>،</w:t>
      </w:r>
      <w:r w:rsidR="00777DCB" w:rsidRPr="00A52585">
        <w:rPr>
          <w:rFonts w:hint="cs"/>
          <w:rtl/>
        </w:rPr>
        <w:t xml:space="preserve"> وهذا جهل من قائله 0 وتوغل في تشبيه الله تعالى بخلقه "</w:t>
      </w:r>
      <w:r w:rsidRPr="00A52585">
        <w:rPr>
          <w:rFonts w:hint="cs"/>
          <w:rtl/>
        </w:rPr>
        <w:t xml:space="preserve"> </w:t>
      </w:r>
      <w:r w:rsidR="00777DCB" w:rsidRPr="00A52585">
        <w:rPr>
          <w:rFonts w:hint="cs"/>
          <w:rtl/>
        </w:rPr>
        <w:t>أهـ [مشكل الحديث وبيانه ص 67 إلى 69]</w:t>
      </w:r>
      <w:r w:rsidR="00DB731D" w:rsidRPr="00A52585">
        <w:rPr>
          <w:rFonts w:hint="cs"/>
          <w:rtl/>
        </w:rPr>
        <w:t>،</w:t>
      </w:r>
      <w:r w:rsidR="00777DCB" w:rsidRPr="00A52585">
        <w:rPr>
          <w:rFonts w:hint="cs"/>
          <w:bCs/>
          <w:rtl/>
        </w:rPr>
        <w:t xml:space="preserve"> وقال النووي في شرحه على صحيح مسلم</w:t>
      </w:r>
      <w:r w:rsidRPr="00A52585">
        <w:rPr>
          <w:rFonts w:hint="cs"/>
          <w:bCs/>
          <w:rtl/>
        </w:rPr>
        <w:t>:</w:t>
      </w:r>
      <w:r w:rsidR="00777DCB" w:rsidRPr="00A52585">
        <w:rPr>
          <w:rFonts w:hint="cs"/>
          <w:bCs/>
          <w:rtl/>
        </w:rPr>
        <w:t xml:space="preserve"> </w:t>
      </w:r>
      <w:r w:rsidR="00777DCB" w:rsidRPr="00A52585">
        <w:rPr>
          <w:rFonts w:hint="cs"/>
          <w:rtl/>
        </w:rPr>
        <w:t>" قال</w:t>
      </w:r>
      <w:r w:rsidR="00777DCB" w:rsidRPr="00A52585">
        <w:rPr>
          <w:rFonts w:hint="cs"/>
        </w:rPr>
        <w:t xml:space="preserve"> </w:t>
      </w:r>
      <w:r w:rsidR="00777DCB" w:rsidRPr="00A52585">
        <w:rPr>
          <w:rFonts w:hint="cs"/>
          <w:rtl/>
        </w:rPr>
        <w:t>المازري هذا الحديث بهذا اللفظ ثابت ورواه بعضهم ان الله خلق آدم</w:t>
      </w:r>
      <w:r w:rsidR="00777DCB" w:rsidRPr="00A52585">
        <w:rPr>
          <w:rFonts w:hint="cs"/>
        </w:rPr>
        <w:t xml:space="preserve"> </w:t>
      </w:r>
      <w:r w:rsidR="00777DCB" w:rsidRPr="00A52585">
        <w:rPr>
          <w:rFonts w:hint="cs"/>
          <w:rtl/>
        </w:rPr>
        <w:t>على صورة الرحمن وليس بثابت عند اهل الحديث وكأن من نقله رواه بالمعنى الذي وقع</w:t>
      </w:r>
      <w:r w:rsidR="00777DCB" w:rsidRPr="00A52585">
        <w:rPr>
          <w:rFonts w:hint="cs"/>
        </w:rPr>
        <w:t xml:space="preserve"> </w:t>
      </w:r>
      <w:r w:rsidR="00777DCB" w:rsidRPr="00A52585">
        <w:rPr>
          <w:rFonts w:hint="cs"/>
          <w:rtl/>
        </w:rPr>
        <w:t>له وغلط في ذلك قال المازري وقد</w:t>
      </w:r>
      <w:r w:rsidR="00777DCB" w:rsidRPr="00A52585">
        <w:rPr>
          <w:rFonts w:hint="cs"/>
        </w:rPr>
        <w:t xml:space="preserve"> </w:t>
      </w:r>
      <w:r w:rsidR="00777DCB" w:rsidRPr="00A52585">
        <w:rPr>
          <w:rFonts w:hint="cs"/>
          <w:rtl/>
        </w:rPr>
        <w:t>غلط ابن قتيبة في هذا الحديث فأجراه على ظاهره</w:t>
      </w:r>
      <w:r w:rsidR="00777DCB" w:rsidRPr="00A52585">
        <w:rPr>
          <w:rFonts w:hint="cs"/>
        </w:rPr>
        <w:t xml:space="preserve"> </w:t>
      </w:r>
      <w:r w:rsidR="00777DCB" w:rsidRPr="00A52585">
        <w:rPr>
          <w:rFonts w:hint="cs"/>
          <w:rtl/>
        </w:rPr>
        <w:t>وقال لله تعالى صورة لا كالصور وهذا الذي قاله ظاهر الفساد لأن الصورة تفيد التركيب</w:t>
      </w:r>
      <w:r w:rsidR="00777DCB" w:rsidRPr="00A52585">
        <w:rPr>
          <w:rFonts w:hint="cs"/>
        </w:rPr>
        <w:t xml:space="preserve"> </w:t>
      </w:r>
      <w:r w:rsidR="00777DCB" w:rsidRPr="00A52585">
        <w:rPr>
          <w:rFonts w:hint="cs"/>
          <w:rtl/>
        </w:rPr>
        <w:t>وكل مركب محدث والله تعالى ليس بمحدث فليس هو مركبا فليس مصورا</w:t>
      </w:r>
      <w:r w:rsidR="00897A24" w:rsidRPr="00A52585">
        <w:rPr>
          <w:rFonts w:hint="cs"/>
          <w:rtl/>
        </w:rPr>
        <w:t>.</w:t>
      </w:r>
      <w:r w:rsidR="00777DCB" w:rsidRPr="00A52585">
        <w:rPr>
          <w:rFonts w:hint="cs"/>
          <w:rtl/>
        </w:rPr>
        <w:t>. قال له ايضا إن أردت بقولك صورة لا كالصور أنه ليس بمؤلف ولا مركب</w:t>
      </w:r>
      <w:r w:rsidR="00777DCB" w:rsidRPr="00A52585">
        <w:rPr>
          <w:rFonts w:hint="cs"/>
        </w:rPr>
        <w:t xml:space="preserve"> </w:t>
      </w:r>
      <w:r w:rsidR="00777DCB" w:rsidRPr="00A52585">
        <w:rPr>
          <w:rFonts w:hint="cs"/>
          <w:rtl/>
        </w:rPr>
        <w:t>فليس بصورة حقيقة وليست اللفظة على ظاهرها " أهـ</w:t>
      </w:r>
      <w:r w:rsidR="00777DCB" w:rsidRPr="00A52585">
        <w:rPr>
          <w:rFonts w:hint="cs"/>
        </w:rPr>
        <w:t xml:space="preserve"> </w:t>
      </w:r>
      <w:r w:rsidRPr="00A52585">
        <w:rPr>
          <w:rFonts w:hint="cs"/>
          <w:rtl/>
        </w:rPr>
        <w:t>[</w:t>
      </w:r>
      <w:r w:rsidR="00777DCB" w:rsidRPr="00A52585">
        <w:rPr>
          <w:rFonts w:hint="cs"/>
          <w:rtl/>
        </w:rPr>
        <w:t>شرح النووي على صحيح مسلم ج: 16 ص: 166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وجاء في إكمال المعلم</w:t>
      </w:r>
      <w:r w:rsidRPr="00A52585">
        <w:rPr>
          <w:rFonts w:hint="cs"/>
          <w:rtl/>
        </w:rPr>
        <w:t>:</w:t>
      </w:r>
      <w:r w:rsidR="00777DCB" w:rsidRPr="00A52585">
        <w:rPr>
          <w:rFonts w:hint="cs"/>
          <w:rtl/>
        </w:rPr>
        <w:t xml:space="preserve"> " قال القاضي عياض</w:t>
      </w:r>
      <w:r w:rsidRPr="00A52585">
        <w:rPr>
          <w:rFonts w:hint="cs"/>
          <w:rtl/>
        </w:rPr>
        <w:t>:</w:t>
      </w:r>
      <w:r w:rsidR="00777DCB" w:rsidRPr="00A52585">
        <w:rPr>
          <w:rFonts w:hint="cs"/>
          <w:rtl/>
        </w:rPr>
        <w:t xml:space="preserve"> هذا حديث ثابت عند أهل النقل</w:t>
      </w:r>
      <w:r w:rsidR="00DB731D" w:rsidRPr="00A52585">
        <w:rPr>
          <w:rFonts w:hint="cs"/>
          <w:rtl/>
        </w:rPr>
        <w:t>،</w:t>
      </w:r>
      <w:r w:rsidR="00777DCB" w:rsidRPr="00A52585">
        <w:rPr>
          <w:rFonts w:hint="cs"/>
          <w:rtl/>
        </w:rPr>
        <w:t xml:space="preserve"> وقد رواه بعضهم أن الله خلق آدم على صورة الرحمن ولا يليق هذا عند أهل النقل </w:t>
      </w:r>
      <w:r w:rsidR="00777DCB" w:rsidRPr="00A52585">
        <w:rPr>
          <w:rFonts w:hint="cs"/>
          <w:bCs/>
          <w:rtl/>
        </w:rPr>
        <w:t>واعلم أن هذا الحديث غلط فيه ابن قتيبة وأجراه على ظاهره</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فإن الله سبحانه له صور لا كالصور وأجرى الحديث على ظاهره</w:t>
      </w:r>
      <w:r w:rsidR="00DB731D" w:rsidRPr="00A52585">
        <w:rPr>
          <w:rFonts w:hint="cs"/>
          <w:rtl/>
        </w:rPr>
        <w:t>،</w:t>
      </w:r>
      <w:r w:rsidR="00777DCB" w:rsidRPr="00A52585">
        <w:rPr>
          <w:rFonts w:hint="cs"/>
          <w:rtl/>
        </w:rPr>
        <w:t xml:space="preserve"> </w:t>
      </w:r>
      <w:r w:rsidR="00777DCB" w:rsidRPr="00A52585">
        <w:rPr>
          <w:rFonts w:hint="cs"/>
          <w:bCs/>
          <w:rtl/>
        </w:rPr>
        <w:t>والذي قاله لا يخفي فساده لأن الصورة تفيد التركيب وكل مركب محدث</w:t>
      </w:r>
      <w:r w:rsidR="00DB731D" w:rsidRPr="00A52585">
        <w:rPr>
          <w:rFonts w:hint="cs"/>
          <w:bCs/>
          <w:rtl/>
        </w:rPr>
        <w:t>،</w:t>
      </w:r>
      <w:r w:rsidR="00777DCB" w:rsidRPr="00A52585">
        <w:rPr>
          <w:rFonts w:hint="cs"/>
          <w:bCs/>
          <w:rtl/>
        </w:rPr>
        <w:t xml:space="preserve"> والباري سبحانه وتعالى ليس بمحدث</w:t>
      </w:r>
      <w:r w:rsidR="00DB731D" w:rsidRPr="00A52585">
        <w:rPr>
          <w:rFonts w:hint="cs"/>
          <w:bCs/>
          <w:rtl/>
        </w:rPr>
        <w:t>،</w:t>
      </w:r>
      <w:r w:rsidR="00777DCB" w:rsidRPr="00A52585">
        <w:rPr>
          <w:rFonts w:hint="cs"/>
          <w:bCs/>
          <w:rtl/>
        </w:rPr>
        <w:t xml:space="preserve"> فليس بمركب وما ليس بمركب فليس بمصور</w:t>
      </w:r>
      <w:r w:rsidR="00777DCB" w:rsidRPr="00A52585">
        <w:rPr>
          <w:rFonts w:hint="cs"/>
          <w:rtl/>
        </w:rPr>
        <w:t xml:space="preserve"> وهذا من جنس قول المبتدعة أن الله الباري جل وعز جسم لا كالأجسام "</w:t>
      </w:r>
      <w:r w:rsidRPr="00A52585">
        <w:rPr>
          <w:rFonts w:hint="cs"/>
          <w:rtl/>
        </w:rPr>
        <w:t xml:space="preserve"> </w:t>
      </w:r>
      <w:r w:rsidR="00777DCB" w:rsidRPr="00A52585">
        <w:rPr>
          <w:rFonts w:hint="cs"/>
          <w:rtl/>
        </w:rPr>
        <w:t>أهـ [إكمال المعلم ج8 من ص90:87]</w:t>
      </w:r>
      <w:r w:rsidR="00DB731D" w:rsidRPr="00A52585">
        <w:rPr>
          <w:rFonts w:hint="cs"/>
          <w:rtl/>
        </w:rPr>
        <w:t>،</w:t>
      </w:r>
      <w:r w:rsidR="00777DCB" w:rsidRPr="00A52585">
        <w:rPr>
          <w:rFonts w:hint="cs"/>
          <w:rtl/>
        </w:rPr>
        <w:t xml:space="preserve"> </w:t>
      </w:r>
      <w:r w:rsidR="00777DCB" w:rsidRPr="00A52585">
        <w:rPr>
          <w:rFonts w:hint="cs"/>
          <w:bCs/>
          <w:rtl/>
        </w:rPr>
        <w:t>وقال مرعي بن يوسف المقدسي الحنبلي</w:t>
      </w:r>
      <w:r w:rsidR="00777DCB" w:rsidRPr="00A52585">
        <w:rPr>
          <w:rFonts w:hint="cs"/>
          <w:rtl/>
        </w:rPr>
        <w:t xml:space="preserve"> في كتابه أقاويل الثقات</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bCs/>
          <w:rtl/>
        </w:rPr>
        <w:t>وغلت طائفة أخرى في الإثبات فشبهته فأثبتت له الصورة والجوارح</w:t>
      </w:r>
      <w:r w:rsidR="00897A24" w:rsidRPr="00A52585">
        <w:rPr>
          <w:rFonts w:hint="cs"/>
          <w:rtl/>
        </w:rPr>
        <w:t>.</w:t>
      </w:r>
      <w:r w:rsidR="00777DCB" w:rsidRPr="00A52585">
        <w:rPr>
          <w:rFonts w:hint="cs"/>
          <w:rtl/>
        </w:rPr>
        <w:t xml:space="preserve">. </w:t>
      </w:r>
      <w:r w:rsidR="00777DCB" w:rsidRPr="00A52585">
        <w:rPr>
          <w:rFonts w:hint="cs"/>
          <w:bCs/>
          <w:rtl/>
        </w:rPr>
        <w:t xml:space="preserve">وقد بالغ بعض أهل الإغواء فقال إنه على صورة الإنسان </w:t>
      </w:r>
      <w:r w:rsidR="00777DCB" w:rsidRPr="00A52585">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777DCB" w:rsidRPr="00A52585">
        <w:rPr>
          <w:rFonts w:hint="cs"/>
          <w:bCs/>
          <w:rtl/>
        </w:rPr>
        <w:t>ومنهم من قال إنه على قدر مسافة العرش لا يفضل من أحدهما عن الأخر شيء</w:t>
      </w:r>
      <w:r w:rsidRPr="00A52585">
        <w:rPr>
          <w:rFonts w:hint="cs"/>
          <w:bCs/>
          <w:rtl/>
        </w:rPr>
        <w:t xml:space="preserve"> </w:t>
      </w:r>
      <w:r w:rsidR="00777DCB" w:rsidRPr="00A52585">
        <w:rPr>
          <w:rFonts w:hint="cs"/>
          <w:bCs/>
          <w:rtl/>
        </w:rPr>
        <w:t>تعالى الله عن أقوالهم علو كبيرا</w:t>
      </w:r>
      <w:r w:rsidR="00777DCB" w:rsidRPr="00A52585">
        <w:rPr>
          <w:rFonts w:hint="cs"/>
          <w:rtl/>
        </w:rPr>
        <w:t xml:space="preserve"> وعن مثله </w:t>
      </w:r>
      <w:r w:rsidR="00777DCB" w:rsidRPr="00A52585">
        <w:rPr>
          <w:rFonts w:hint="cs"/>
          <w:rtl/>
        </w:rPr>
        <w:lastRenderedPageBreak/>
        <w:t>نهى الله تعالى بقوله تعالى</w:t>
      </w:r>
      <w:r w:rsidRPr="00A52585">
        <w:rPr>
          <w:rFonts w:hint="cs"/>
          <w:rtl/>
        </w:rPr>
        <w:t>:</w:t>
      </w:r>
      <w:r w:rsidR="00777DCB" w:rsidRPr="00A52585">
        <w:rPr>
          <w:rFonts w:hint="cs"/>
          <w:rtl/>
        </w:rPr>
        <w:t xml:space="preserve"> (</w:t>
      </w:r>
      <w:r w:rsidR="00777DCB" w:rsidRPr="00A52585">
        <w:rPr>
          <w:rFonts w:hint="cs"/>
          <w:bCs/>
          <w:rtl/>
        </w:rPr>
        <w:t>يا أهل الكتاب لا تغلو في دينكم ولا تقولوا على الله إلا الحق</w:t>
      </w:r>
      <w:r w:rsidRPr="00A52585">
        <w:rPr>
          <w:rFonts w:hint="cs"/>
          <w:rtl/>
        </w:rPr>
        <w:t>)</w:t>
      </w:r>
      <w:r w:rsidR="00777DCB" w:rsidRPr="00A52585">
        <w:rPr>
          <w:rFonts w:hint="cs"/>
          <w:rtl/>
        </w:rPr>
        <w:t xml:space="preserve"> [النساء /171</w:t>
      </w:r>
      <w:r w:rsidRPr="00A52585">
        <w:rPr>
          <w:rFonts w:hint="cs"/>
          <w:rtl/>
        </w:rPr>
        <w:t>]</w:t>
      </w:r>
      <w:r w:rsidR="00777DCB" w:rsidRPr="00A52585">
        <w:rPr>
          <w:rFonts w:hint="cs"/>
          <w:rtl/>
        </w:rPr>
        <w:t xml:space="preserve"> "</w:t>
      </w:r>
      <w:r w:rsidRPr="00A52585">
        <w:rPr>
          <w:rFonts w:hint="cs"/>
          <w:rtl/>
        </w:rPr>
        <w:t xml:space="preserve"> </w:t>
      </w:r>
      <w:r w:rsidR="00777DCB" w:rsidRPr="00A52585">
        <w:rPr>
          <w:rFonts w:hint="cs"/>
          <w:rtl/>
        </w:rPr>
        <w:t>أهـ [أقاويل الثقات ج: 1 ص: 135]</w:t>
      </w:r>
      <w:r w:rsidR="00DB731D" w:rsidRPr="00A52585">
        <w:rPr>
          <w:rFonts w:hint="cs"/>
          <w:rtl/>
        </w:rPr>
        <w:t>،</w:t>
      </w:r>
      <w:r w:rsidR="00777DCB" w:rsidRPr="00A52585">
        <w:rPr>
          <w:rFonts w:hint="cs"/>
          <w:rtl/>
        </w:rPr>
        <w:t xml:space="preserve"> </w:t>
      </w:r>
      <w:r w:rsidR="00777DCB" w:rsidRPr="00A52585">
        <w:rPr>
          <w:rFonts w:hint="cs"/>
          <w:bCs/>
          <w:rtl/>
        </w:rPr>
        <w:t>وجاء في مرقاة المفاتيح (باب الحوض والشفاعة)</w:t>
      </w:r>
      <w:r w:rsidRPr="00A52585">
        <w:rPr>
          <w:rFonts w:hint="cs"/>
          <w:bCs/>
          <w:rtl/>
        </w:rPr>
        <w:t>:</w:t>
      </w:r>
      <w:r w:rsidR="00777DCB" w:rsidRPr="00A52585">
        <w:rPr>
          <w:rFonts w:hint="cs"/>
          <w:bCs/>
          <w:rtl/>
        </w:rPr>
        <w:t xml:space="preserve"> </w:t>
      </w:r>
      <w:r w:rsidR="00777DCB" w:rsidRPr="00A52585">
        <w:rPr>
          <w:rFonts w:hint="cs"/>
          <w:rtl/>
        </w:rPr>
        <w:t>" وفي رواية أبي هريرة فيقولون</w:t>
      </w:r>
      <w:r w:rsidRPr="00A52585">
        <w:rPr>
          <w:rFonts w:hint="cs"/>
          <w:rtl/>
        </w:rPr>
        <w:t>:</w:t>
      </w:r>
      <w:r w:rsidR="00777DCB" w:rsidRPr="00A52585">
        <w:rPr>
          <w:rFonts w:hint="cs"/>
          <w:rtl/>
        </w:rPr>
        <w:t xml:space="preserve"> هذا مكاننا حتى يأتينا ربنا</w:t>
      </w:r>
      <w:r w:rsidRPr="00A52585">
        <w:rPr>
          <w:rFonts w:hint="cs"/>
          <w:rtl/>
        </w:rPr>
        <w:t>)</w:t>
      </w:r>
      <w:r w:rsidR="00777DCB" w:rsidRPr="00A52585">
        <w:rPr>
          <w:rFonts w:hint="cs"/>
          <w:rtl/>
        </w:rPr>
        <w:t xml:space="preserve"> أي يتجلى علينا بوجه نعرفه </w:t>
      </w:r>
      <w:r w:rsidRPr="00A52585">
        <w:rPr>
          <w:rFonts w:hint="cs"/>
          <w:rtl/>
        </w:rPr>
        <w:t>(</w:t>
      </w:r>
      <w:r w:rsidR="00777DCB" w:rsidRPr="00A52585">
        <w:rPr>
          <w:rFonts w:hint="cs"/>
          <w:rtl/>
        </w:rPr>
        <w:t>فإذا جاء ربنا</w:t>
      </w:r>
      <w:r w:rsidRPr="00A52585">
        <w:rPr>
          <w:rFonts w:hint="cs"/>
          <w:rtl/>
        </w:rPr>
        <w:t>)</w:t>
      </w:r>
      <w:r w:rsidR="00777DCB" w:rsidRPr="00A52585">
        <w:rPr>
          <w:rFonts w:hint="cs"/>
          <w:rtl/>
        </w:rPr>
        <w:t xml:space="preserve"> أي على ما عرفناه من أنه منزه عن الصورة والكمية والكيفية والجهة وأمثالها</w:t>
      </w:r>
      <w:r w:rsidRPr="00A52585">
        <w:rPr>
          <w:rFonts w:hint="cs"/>
          <w:rtl/>
        </w:rPr>
        <w:t>)</w:t>
      </w:r>
      <w:r w:rsidR="00777DCB" w:rsidRPr="00A52585">
        <w:rPr>
          <w:rFonts w:hint="cs"/>
          <w:rtl/>
        </w:rPr>
        <w:t xml:space="preserve"> أهـ [مرقاة المفاتيح(باب الحوض والشفاعة)]</w:t>
      </w:r>
      <w:r w:rsidR="00DB731D" w:rsidRPr="00A52585">
        <w:rPr>
          <w:rFonts w:hint="cs"/>
          <w:rtl/>
        </w:rPr>
        <w:t>،</w:t>
      </w:r>
      <w:r w:rsidR="00777DCB" w:rsidRPr="00A52585">
        <w:rPr>
          <w:rFonts w:hint="cs"/>
          <w:rtl/>
        </w:rPr>
        <w:t xml:space="preserve"> </w:t>
      </w:r>
      <w:r w:rsidR="00777DCB" w:rsidRPr="00A52585">
        <w:rPr>
          <w:rFonts w:hint="cs"/>
          <w:bCs/>
          <w:rtl/>
        </w:rPr>
        <w:t>وقال القاضي بدر الدين بن جماعة في كتابه إيضاح الدليل</w:t>
      </w:r>
      <w:r w:rsidRPr="00A52585">
        <w:rPr>
          <w:rFonts w:hint="cs"/>
          <w:rtl/>
        </w:rPr>
        <w:t xml:space="preserve">: </w:t>
      </w:r>
      <w:r w:rsidR="00777DCB" w:rsidRPr="00A52585">
        <w:rPr>
          <w:rFonts w:hint="cs"/>
          <w:rtl/>
        </w:rPr>
        <w:t>ومن قال بأن لله تعالى صورة وخلق آدم عليها فمردود عليه لما فيه من التجسيم</w:t>
      </w:r>
      <w:r w:rsidRPr="00A52585">
        <w:rPr>
          <w:rFonts w:hint="cs"/>
          <w:rtl/>
        </w:rPr>
        <w:t xml:space="preserve"> </w:t>
      </w:r>
      <w:r w:rsidR="00777DCB" w:rsidRPr="00A52585">
        <w:rPr>
          <w:rFonts w:hint="cs"/>
          <w:rtl/>
        </w:rPr>
        <w:t>وكذلك من قال صورة لا كالصور "</w:t>
      </w:r>
      <w:r w:rsidRPr="00A52585">
        <w:rPr>
          <w:rFonts w:hint="cs"/>
          <w:rtl/>
        </w:rPr>
        <w:t xml:space="preserve"> </w:t>
      </w:r>
      <w:r w:rsidR="00777DCB" w:rsidRPr="00A52585">
        <w:rPr>
          <w:rFonts w:hint="cs"/>
          <w:rtl/>
        </w:rPr>
        <w:t>أهـ [إيضاح الدليل في قطع حجج أهل التعطيل ج: 1 ص: 155]</w:t>
      </w:r>
      <w:r w:rsidR="00DB731D" w:rsidRPr="00A52585">
        <w:rPr>
          <w:rFonts w:hint="cs"/>
          <w:rtl/>
        </w:rPr>
        <w:t>،</w:t>
      </w:r>
      <w:r w:rsidR="00777DCB" w:rsidRPr="00A52585">
        <w:rPr>
          <w:rFonts w:hint="cs"/>
          <w:rtl/>
        </w:rPr>
        <w:t xml:space="preserve"> </w:t>
      </w:r>
      <w:r w:rsidR="00777DCB" w:rsidRPr="00A52585">
        <w:rPr>
          <w:rFonts w:hint="cs"/>
          <w:bCs/>
          <w:rtl/>
        </w:rPr>
        <w:t>وقال رحمه الله</w:t>
      </w:r>
      <w:r w:rsidRPr="00A52585">
        <w:rPr>
          <w:rFonts w:hint="cs"/>
          <w:bCs/>
          <w:rtl/>
        </w:rPr>
        <w:t>:</w:t>
      </w:r>
      <w:r w:rsidR="00777DCB" w:rsidRPr="00A52585">
        <w:rPr>
          <w:rFonts w:hint="cs"/>
          <w:bCs/>
          <w:rtl/>
        </w:rPr>
        <w:t xml:space="preserve"> </w:t>
      </w:r>
      <w:r w:rsidR="00777DCB" w:rsidRPr="00A52585">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Pr="00A52585">
        <w:rPr>
          <w:rFonts w:hint="cs"/>
          <w:rtl/>
        </w:rPr>
        <w:t>)</w:t>
      </w:r>
      <w:r w:rsidR="00777DCB" w:rsidRPr="00A52585">
        <w:rPr>
          <w:rFonts w:hint="cs"/>
          <w:rtl/>
        </w:rPr>
        <w:t xml:space="preserve"> الحديث</w:t>
      </w:r>
      <w:r w:rsidRPr="00A52585">
        <w:rPr>
          <w:rFonts w:hint="cs"/>
          <w:rtl/>
        </w:rPr>
        <w:t xml:space="preserve">: </w:t>
      </w:r>
      <w:r w:rsidR="00777DCB" w:rsidRPr="00A52585">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A52585">
        <w:rPr>
          <w:rFonts w:hint="cs"/>
          <w:rtl/>
        </w:rPr>
        <w:t xml:space="preserve">) </w:t>
      </w:r>
      <w:r w:rsidR="00777DCB" w:rsidRPr="00A52585">
        <w:rPr>
          <w:rFonts w:hint="cs"/>
          <w:rtl/>
        </w:rPr>
        <w:t>أهـ</w:t>
      </w:r>
      <w:r w:rsidRPr="00A52585">
        <w:rPr>
          <w:rFonts w:hint="cs"/>
          <w:rtl/>
        </w:rPr>
        <w:t xml:space="preserve"> </w:t>
      </w:r>
      <w:r w:rsidR="00777DCB" w:rsidRPr="00A52585">
        <w:rPr>
          <w:rFonts w:hint="cs"/>
          <w:rtl/>
        </w:rPr>
        <w:t>[إيضاح الدليل في قطع حجج أهل التعطيل ج: 1 ص: 159]</w:t>
      </w:r>
      <w:r w:rsidR="00DB731D" w:rsidRPr="00A52585">
        <w:rPr>
          <w:rFonts w:hint="cs"/>
          <w:rtl/>
          <w:lang w:bidi="ar-KW"/>
        </w:rPr>
        <w:t>،</w:t>
      </w:r>
      <w:r w:rsidR="00777DCB" w:rsidRPr="00A52585">
        <w:rPr>
          <w:rFonts w:hint="cs"/>
          <w:rtl/>
          <w:lang w:bidi="ar-KW"/>
        </w:rPr>
        <w:t xml:space="preserve"> </w:t>
      </w:r>
    </w:p>
    <w:p w14:paraId="7754F8D2" w14:textId="06440C7C" w:rsidR="00777DCB" w:rsidRPr="00A52585" w:rsidRDefault="0002035C" w:rsidP="0002035C">
      <w:pPr>
        <w:spacing w:before="100" w:beforeAutospacing="1" w:after="240"/>
        <w:rPr>
          <w:rFonts w:eastAsia="Times New Roman"/>
          <w:bCs/>
          <w:rtl/>
        </w:rPr>
      </w:pPr>
      <w:r w:rsidRPr="00A52585">
        <w:rPr>
          <w:rFonts w:eastAsia="Times New Roman"/>
          <w:bCs/>
          <w:rtl/>
          <w:lang w:bidi="ar-KW"/>
        </w:rPr>
        <w:t>(</w:t>
      </w:r>
      <w:r w:rsidR="00777DCB" w:rsidRPr="00A52585">
        <w:rPr>
          <w:rFonts w:eastAsia="Times New Roman"/>
          <w:bCs/>
          <w:rtl/>
          <w:lang w:bidi="ar-KW"/>
        </w:rPr>
        <w:t>ث</w:t>
      </w:r>
      <w:r w:rsidRPr="00A52585">
        <w:rPr>
          <w:rFonts w:eastAsia="Times New Roman"/>
          <w:bCs/>
          <w:rtl/>
          <w:lang w:bidi="ar-KW"/>
        </w:rPr>
        <w:t>)</w:t>
      </w:r>
      <w:r w:rsidR="00777DCB" w:rsidRPr="00A52585">
        <w:rPr>
          <w:rFonts w:eastAsia="Times New Roman"/>
          <w:bCs/>
          <w:rtl/>
          <w:lang w:bidi="ar-KW"/>
        </w:rPr>
        <w:t xml:space="preserve"> ما قاله ابن خزيمة فيما يتعلق بالحديث برواياته جميعا</w:t>
      </w:r>
      <w:r w:rsidRPr="00A52585">
        <w:rPr>
          <w:rFonts w:eastAsia="Times New Roman"/>
          <w:rtl/>
          <w:lang w:bidi="ar-KW"/>
        </w:rPr>
        <w:t>:</w:t>
      </w:r>
      <w:r w:rsidR="00777DCB" w:rsidRPr="00A52585">
        <w:rPr>
          <w:rFonts w:eastAsia="Times New Roman"/>
          <w:rtl/>
          <w:lang w:bidi="ar-KW"/>
        </w:rPr>
        <w:t xml:space="preserve"> </w:t>
      </w:r>
      <w:r w:rsidR="00777DCB" w:rsidRPr="00A52585">
        <w:rPr>
          <w:rFonts w:eastAsia="Times New Roman"/>
          <w:rtl/>
        </w:rPr>
        <w:t>قال أبو بكر محمد بن</w:t>
      </w:r>
      <w:r w:rsidR="00777DCB" w:rsidRPr="00A52585">
        <w:rPr>
          <w:rFonts w:eastAsia="Times New Roman"/>
        </w:rPr>
        <w:t xml:space="preserve"> </w:t>
      </w:r>
      <w:r w:rsidR="00777DCB" w:rsidRPr="00A52585">
        <w:rPr>
          <w:rFonts w:eastAsia="Times New Roman"/>
          <w:rtl/>
        </w:rPr>
        <w:t>إسحاق بن خزيمة في كتابه التوحيد</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باب ذكر أخبارٍ رويت عن</w:t>
      </w:r>
      <w:r w:rsidR="00777DCB" w:rsidRPr="00A52585">
        <w:rPr>
          <w:rFonts w:eastAsia="Times New Roman"/>
        </w:rPr>
        <w:t xml:space="preserve"> </w:t>
      </w:r>
      <w:r w:rsidR="00777DCB" w:rsidRPr="00A52585">
        <w:rPr>
          <w:rFonts w:eastAsia="Times New Roman"/>
          <w:rtl/>
        </w:rPr>
        <w:t>النّبيّ صلّى الله عليه وسلّم: تأوّلها بعض من لم يتحرّ العلم على غير تأويلها ففتن</w:t>
      </w:r>
      <w:r w:rsidR="00777DCB" w:rsidRPr="00A52585">
        <w:rPr>
          <w:rFonts w:eastAsia="Times New Roman"/>
        </w:rPr>
        <w:t xml:space="preserve"> </w:t>
      </w:r>
      <w:r w:rsidR="00777DCB" w:rsidRPr="00A52585">
        <w:rPr>
          <w:rFonts w:eastAsia="Times New Roman"/>
          <w:rtl/>
        </w:rPr>
        <w:t>عالمًا من أهل الجهل والغباوة</w:t>
      </w:r>
      <w:r w:rsidR="00DB731D" w:rsidRPr="00A52585">
        <w:rPr>
          <w:rFonts w:eastAsia="Times New Roman"/>
          <w:rtl/>
        </w:rPr>
        <w:t>،</w:t>
      </w:r>
      <w:r w:rsidR="00777DCB" w:rsidRPr="00A52585">
        <w:rPr>
          <w:rFonts w:eastAsia="Times New Roman"/>
          <w:rtl/>
        </w:rPr>
        <w:t xml:space="preserve"> حملهم الجهل - بمعنى الخبر - على القول بالتّشبيه،</w:t>
      </w:r>
      <w:r w:rsidR="00777DCB" w:rsidRPr="00A52585">
        <w:rPr>
          <w:rFonts w:eastAsia="Times New Roman"/>
        </w:rPr>
        <w:t xml:space="preserve"> </w:t>
      </w:r>
      <w:r w:rsidR="00777DCB" w:rsidRPr="00A52585">
        <w:rPr>
          <w:rFonts w:eastAsia="Times New Roman"/>
          <w:rtl/>
        </w:rPr>
        <w:t>جلّ وعلا عن أن يكون وجه خلقٍ من خلقه مثل وجهه، الّذي وصفه اللّه بالجلال</w:t>
      </w:r>
      <w:r w:rsidR="00777DCB" w:rsidRPr="00A52585">
        <w:rPr>
          <w:rFonts w:eastAsia="Times New Roman"/>
        </w:rPr>
        <w:t xml:space="preserve"> </w:t>
      </w:r>
      <w:r w:rsidR="00777DCB" w:rsidRPr="00A52585">
        <w:rPr>
          <w:rFonts w:eastAsia="Times New Roman"/>
          <w:rtl/>
        </w:rPr>
        <w:t>والإكرام، ونفى الهلاك عنه</w:t>
      </w:r>
      <w:r w:rsidR="00DB731D" w:rsidRPr="00A52585">
        <w:rPr>
          <w:rFonts w:eastAsia="Times New Roman"/>
          <w:rtl/>
        </w:rPr>
        <w:t>،</w:t>
      </w:r>
      <w:r w:rsidR="00777DCB" w:rsidRPr="00A52585">
        <w:rPr>
          <w:rFonts w:eastAsia="Times New Roman"/>
          <w:rtl/>
          <w:lang w:bidi="ar-KW"/>
        </w:rPr>
        <w:t xml:space="preserve"> </w:t>
      </w:r>
      <w:r w:rsidR="00777DCB" w:rsidRPr="00A52585">
        <w:rPr>
          <w:rFonts w:eastAsia="Times New Roman"/>
          <w:rtl/>
        </w:rPr>
        <w:t>حدّثنا الرّبيع بن سليمان المراديّ، قال: ثنا شعيبٌ يعني ابن اللّيث، قال</w:t>
      </w:r>
      <w:r w:rsidR="00777DCB" w:rsidRPr="00A52585">
        <w:rPr>
          <w:rFonts w:eastAsia="Times New Roman"/>
        </w:rPr>
        <w:t xml:space="preserve">: </w:t>
      </w:r>
      <w:r w:rsidR="00777DCB" w:rsidRPr="00A52585">
        <w:rPr>
          <w:rFonts w:eastAsia="Times New Roman"/>
          <w:rtl/>
        </w:rPr>
        <w:t>ثنا اللّيث، عن محمّد بن عجلان، عن سعيد بن أبي سعيدٍ المقبريّ، عن أبي هريرة</w:t>
      </w:r>
      <w:r w:rsidR="00777DCB" w:rsidRPr="00A52585">
        <w:rPr>
          <w:rFonts w:eastAsia="Times New Roman"/>
          <w:rtl/>
          <w:lang w:bidi="ar-KW"/>
        </w:rPr>
        <w:t xml:space="preserve"> </w:t>
      </w:r>
      <w:r w:rsidR="00777DCB" w:rsidRPr="00A52585">
        <w:rPr>
          <w:rFonts w:eastAsia="Times New Roman"/>
          <w:rtl/>
        </w:rPr>
        <w:t>رضي اللّه</w:t>
      </w:r>
      <w:r w:rsidR="00777DCB" w:rsidRPr="00A52585">
        <w:rPr>
          <w:rFonts w:eastAsia="Times New Roman"/>
        </w:rPr>
        <w:t xml:space="preserve"> </w:t>
      </w:r>
      <w:r w:rsidR="00777DCB" w:rsidRPr="00A52585">
        <w:rPr>
          <w:rFonts w:eastAsia="Times New Roman"/>
          <w:rtl/>
        </w:rPr>
        <w:t>عنه عن رسول اللّه صلّى الله عليه وسلّم أنّه قال: (</w:t>
      </w:r>
      <w:r w:rsidRPr="00A52585">
        <w:rPr>
          <w:rFonts w:eastAsia="Times New Roman"/>
          <w:rtl/>
        </w:rPr>
        <w:t>(</w:t>
      </w:r>
      <w:r w:rsidR="00777DCB" w:rsidRPr="00A52585">
        <w:rPr>
          <w:rFonts w:eastAsia="Times New Roman"/>
          <w:rtl/>
        </w:rPr>
        <w:t>لا يقولنّ أحدكم لأحدٍ: قبّح</w:t>
      </w:r>
      <w:r w:rsidR="00777DCB" w:rsidRPr="00A52585">
        <w:rPr>
          <w:rFonts w:eastAsia="Times New Roman"/>
        </w:rPr>
        <w:t xml:space="preserve"> </w:t>
      </w:r>
      <w:r w:rsidR="00777DCB" w:rsidRPr="00A52585">
        <w:rPr>
          <w:rFonts w:eastAsia="Times New Roman"/>
          <w:rtl/>
        </w:rPr>
        <w:t>اللّه وجهك، ووجهًا أشبه وجهك، فإنّ اللّه خلق آدم على صورته</w:t>
      </w:r>
      <w:r w:rsidRPr="00A52585">
        <w:rPr>
          <w:rFonts w:eastAsia="Times New Roman"/>
          <w:rtl/>
        </w:rPr>
        <w:t>)</w:t>
      </w:r>
      <w:r w:rsidR="00777DCB" w:rsidRPr="00A52585">
        <w:rPr>
          <w:rFonts w:eastAsia="Times New Roman"/>
          <w:rtl/>
          <w:lang w:bidi="ar-KW"/>
        </w:rPr>
        <w:t>)</w:t>
      </w:r>
      <w:r w:rsidR="00DB731D" w:rsidRPr="00A52585">
        <w:rPr>
          <w:rFonts w:eastAsia="Times New Roman"/>
          <w:rtl/>
          <w:lang w:bidi="ar-KW"/>
        </w:rPr>
        <w:t>،</w:t>
      </w:r>
      <w:r w:rsidR="00777DCB" w:rsidRPr="00A52585">
        <w:rPr>
          <w:rFonts w:eastAsia="Times New Roman"/>
          <w:rtl/>
          <w:lang w:bidi="ar-KW"/>
        </w:rPr>
        <w:t xml:space="preserve"> </w:t>
      </w:r>
      <w:r w:rsidR="00777DCB" w:rsidRPr="00A52585">
        <w:rPr>
          <w:rFonts w:eastAsia="Times New Roman"/>
          <w:rtl/>
        </w:rPr>
        <w:t>وحدّثنا</w:t>
      </w:r>
      <w:r w:rsidR="00777DCB" w:rsidRPr="00A52585">
        <w:rPr>
          <w:rFonts w:eastAsia="Times New Roman"/>
        </w:rPr>
        <w:t xml:space="preserve"> </w:t>
      </w:r>
      <w:r w:rsidR="00777DCB" w:rsidRPr="00A52585">
        <w:rPr>
          <w:rFonts w:eastAsia="Times New Roman"/>
          <w:rtl/>
        </w:rPr>
        <w:t>الرّبيع، بهذا الإسناد سواءً قال: (</w:t>
      </w:r>
      <w:r w:rsidRPr="00A52585">
        <w:rPr>
          <w:rFonts w:eastAsia="Times New Roman"/>
          <w:rtl/>
        </w:rPr>
        <w:t>(</w:t>
      </w:r>
      <w:r w:rsidR="00777DCB" w:rsidRPr="00A52585">
        <w:rPr>
          <w:rFonts w:eastAsia="Times New Roman"/>
          <w:rtl/>
        </w:rPr>
        <w:t>إذا ضرب أحدكم فليجتنب الوجه، فإنّ اللّه خلق</w:t>
      </w:r>
      <w:r w:rsidR="00777DCB" w:rsidRPr="00A52585">
        <w:rPr>
          <w:rFonts w:eastAsia="Times New Roman"/>
        </w:rPr>
        <w:t xml:space="preserve"> </w:t>
      </w:r>
      <w:r w:rsidR="00777DCB" w:rsidRPr="00A52585">
        <w:rPr>
          <w:rFonts w:eastAsia="Times New Roman"/>
          <w:rtl/>
        </w:rPr>
        <w:t>آدم على صورته</w:t>
      </w:r>
      <w:r w:rsidRPr="00A52585">
        <w:rPr>
          <w:rFonts w:eastAsia="Times New Roman"/>
          <w:rtl/>
        </w:rPr>
        <w:t>)</w:t>
      </w:r>
      <w:r w:rsidR="00777DCB" w:rsidRPr="00A52585">
        <w:rPr>
          <w:rFonts w:eastAsia="Times New Roman"/>
          <w:rtl/>
        </w:rPr>
        <w:t>)</w:t>
      </w:r>
      <w:r w:rsidR="00DB731D" w:rsidRPr="00A52585">
        <w:rPr>
          <w:rFonts w:eastAsia="Times New Roman"/>
          <w:rtl/>
        </w:rPr>
        <w:t>،</w:t>
      </w:r>
      <w:r w:rsidR="00777DCB" w:rsidRPr="00A52585">
        <w:rPr>
          <w:rFonts w:eastAsia="Times New Roman"/>
          <w:rtl/>
        </w:rPr>
        <w:t xml:space="preserve"> حدّثنا أبو موسى، محمّد بن المثنّى قال: ثنا يحيى بن سعيدٍ، عن ابن</w:t>
      </w:r>
      <w:r w:rsidR="00777DCB" w:rsidRPr="00A52585">
        <w:rPr>
          <w:rFonts w:eastAsia="Times New Roman"/>
        </w:rPr>
        <w:t xml:space="preserve"> </w:t>
      </w:r>
      <w:r w:rsidR="00777DCB" w:rsidRPr="00A52585">
        <w:rPr>
          <w:rFonts w:eastAsia="Times New Roman"/>
          <w:rtl/>
        </w:rPr>
        <w:t>عجلان، عن</w:t>
      </w:r>
      <w:r w:rsidR="00777DCB" w:rsidRPr="00A52585">
        <w:rPr>
          <w:rFonts w:eastAsia="Times New Roman"/>
        </w:rPr>
        <w:t xml:space="preserve"> </w:t>
      </w:r>
      <w:r w:rsidR="00777DCB" w:rsidRPr="00A52585">
        <w:rPr>
          <w:rFonts w:eastAsia="Times New Roman"/>
          <w:rtl/>
        </w:rPr>
        <w:t>سعيدٍ، عن أبي هريرة، رضي اللّه عنه عن النّبيّ صلّى الله عليه وسلّم قال</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إذا ضرب</w:t>
      </w:r>
      <w:r w:rsidR="00777DCB" w:rsidRPr="00A52585">
        <w:rPr>
          <w:rFonts w:eastAsia="Times New Roman"/>
        </w:rPr>
        <w:t xml:space="preserve"> </w:t>
      </w:r>
      <w:r w:rsidR="00777DCB" w:rsidRPr="00A52585">
        <w:rPr>
          <w:rFonts w:eastAsia="Times New Roman"/>
          <w:rtl/>
        </w:rPr>
        <w:t>أحدكم فليجتنب الوجه، ولا يقل: قبّح اللّه وجهك ووجه من أشبه وجهك، فإنّ اللّه خلق</w:t>
      </w:r>
      <w:r w:rsidR="00777DCB" w:rsidRPr="00A52585">
        <w:rPr>
          <w:rFonts w:eastAsia="Times New Roman"/>
        </w:rPr>
        <w:t xml:space="preserve"> </w:t>
      </w:r>
      <w:r w:rsidR="00777DCB" w:rsidRPr="00A52585">
        <w:rPr>
          <w:rFonts w:eastAsia="Times New Roman"/>
          <w:rtl/>
        </w:rPr>
        <w:t>آدم على صورته</w:t>
      </w:r>
      <w:r w:rsidRPr="00A52585">
        <w:rPr>
          <w:rFonts w:eastAsia="Times New Roman"/>
          <w:rtl/>
        </w:rPr>
        <w:t>)</w:t>
      </w:r>
      <w:r w:rsidR="00777DCB" w:rsidRPr="00A52585">
        <w:rPr>
          <w:rFonts w:eastAsia="Times New Roman"/>
          <w:rtl/>
        </w:rPr>
        <w:t>)</w:t>
      </w:r>
      <w:r w:rsidR="00DB731D" w:rsidRPr="00A52585">
        <w:rPr>
          <w:rFonts w:eastAsia="Times New Roman"/>
          <w:rtl/>
        </w:rPr>
        <w:t>،</w:t>
      </w:r>
      <w:r w:rsidR="00897A24" w:rsidRPr="00A52585">
        <w:rPr>
          <w:rFonts w:eastAsia="Times New Roman"/>
          <w:rtl/>
        </w:rPr>
        <w:t>.</w:t>
      </w:r>
      <w:r w:rsidR="00777DCB" w:rsidRPr="00A52585">
        <w:rPr>
          <w:rFonts w:eastAsia="Times New Roman"/>
          <w:rtl/>
        </w:rPr>
        <w:t>. حدّثنا</w:t>
      </w:r>
      <w:r w:rsidR="00777DCB" w:rsidRPr="00A52585">
        <w:rPr>
          <w:rFonts w:eastAsia="Times New Roman"/>
        </w:rPr>
        <w:t xml:space="preserve"> </w:t>
      </w:r>
      <w:r w:rsidR="00777DCB" w:rsidRPr="00A52585">
        <w:rPr>
          <w:rFonts w:eastAsia="Times New Roman"/>
          <w:rtl/>
        </w:rPr>
        <w:t xml:space="preserve">نصر بن عليٍّ الجهضميّ، قال: أخبرني أبي قال: ثنا المثنّى بن سعيدٍ، عن قتادة، </w:t>
      </w:r>
      <w:r w:rsidR="00777DCB" w:rsidRPr="00A52585">
        <w:rPr>
          <w:rFonts w:eastAsia="Times New Roman"/>
          <w:rtl/>
        </w:rPr>
        <w:lastRenderedPageBreak/>
        <w:t>عن</w:t>
      </w:r>
      <w:r w:rsidR="00777DCB" w:rsidRPr="00A52585">
        <w:rPr>
          <w:rFonts w:eastAsia="Times New Roman"/>
        </w:rPr>
        <w:t xml:space="preserve"> </w:t>
      </w:r>
      <w:r w:rsidR="00777DCB" w:rsidRPr="00A52585">
        <w:rPr>
          <w:rFonts w:eastAsia="Times New Roman"/>
          <w:rtl/>
        </w:rPr>
        <w:t>أبي أيّوب، وهو الأزديّ عبد الملك بن مالكٍ المراغيّ، عن أبي هريرة رضي اللّه عنه،</w:t>
      </w:r>
      <w:r w:rsidR="00777DCB" w:rsidRPr="00A52585">
        <w:rPr>
          <w:rFonts w:eastAsia="Times New Roman"/>
        </w:rPr>
        <w:t xml:space="preserve"> </w:t>
      </w:r>
      <w:r w:rsidR="00777DCB" w:rsidRPr="00A52585">
        <w:rPr>
          <w:rFonts w:eastAsia="Times New Roman"/>
          <w:rtl/>
        </w:rPr>
        <w:t>عن رسول اللّه صلّى الله عليه وسلّم قال: (</w:t>
      </w:r>
      <w:r w:rsidRPr="00A52585">
        <w:rPr>
          <w:rFonts w:eastAsia="Times New Roman"/>
          <w:rtl/>
        </w:rPr>
        <w:t>(</w:t>
      </w:r>
      <w:r w:rsidR="00777DCB" w:rsidRPr="00A52585">
        <w:rPr>
          <w:rFonts w:eastAsia="Times New Roman"/>
          <w:rtl/>
        </w:rPr>
        <w:t>إذا قاتل أحدكم فيجتنب الوجه، فإنّ اللّه</w:t>
      </w:r>
      <w:r w:rsidR="00777DCB" w:rsidRPr="00A52585">
        <w:rPr>
          <w:rFonts w:eastAsia="Times New Roman"/>
        </w:rPr>
        <w:t xml:space="preserve"> </w:t>
      </w:r>
      <w:r w:rsidR="00777DCB" w:rsidRPr="00A52585">
        <w:rPr>
          <w:rFonts w:eastAsia="Times New Roman"/>
          <w:rtl/>
        </w:rPr>
        <w:t>خلق آدم على صورته</w:t>
      </w:r>
      <w:r w:rsidRPr="00A52585">
        <w:rPr>
          <w:rFonts w:eastAsia="Times New Roman"/>
          <w:rtl/>
        </w:rPr>
        <w:t>)</w:t>
      </w:r>
      <w:r w:rsidR="00777DCB" w:rsidRPr="00A52585">
        <w:rPr>
          <w:rFonts w:eastAsia="Times New Roman"/>
          <w:rtl/>
        </w:rPr>
        <w:t>)</w:t>
      </w:r>
      <w:r w:rsidR="00DB731D" w:rsidRPr="00A52585">
        <w:rPr>
          <w:rFonts w:eastAsia="Times New Roman"/>
          <w:rtl/>
        </w:rPr>
        <w:t>،</w:t>
      </w:r>
      <w:r w:rsidR="00777DCB" w:rsidRPr="00A52585">
        <w:rPr>
          <w:rFonts w:eastAsia="Times New Roman"/>
          <w:rtl/>
        </w:rPr>
        <w:t xml:space="preserve"> قال أبو بكرٍ: توهّم بعض من لم يتحرّ العلم أنّ قوله: (</w:t>
      </w:r>
      <w:r w:rsidRPr="00A52585">
        <w:rPr>
          <w:rFonts w:eastAsia="Times New Roman"/>
          <w:rtl/>
        </w:rPr>
        <w:t>(</w:t>
      </w:r>
      <w:r w:rsidR="00777DCB" w:rsidRPr="00A52585">
        <w:rPr>
          <w:rFonts w:eastAsia="Times New Roman"/>
          <w:rtl/>
        </w:rPr>
        <w:t>على</w:t>
      </w:r>
      <w:r w:rsidR="00777DCB" w:rsidRPr="00A52585">
        <w:rPr>
          <w:rFonts w:eastAsia="Times New Roman"/>
        </w:rPr>
        <w:t xml:space="preserve"> </w:t>
      </w:r>
      <w:r w:rsidR="00777DCB" w:rsidRPr="00A52585">
        <w:rPr>
          <w:rFonts w:eastAsia="Times New Roman"/>
          <w:rtl/>
        </w:rPr>
        <w:t>صورته</w:t>
      </w:r>
      <w:r w:rsidRPr="00A52585">
        <w:rPr>
          <w:rFonts w:eastAsia="Times New Roman"/>
          <w:rtl/>
        </w:rPr>
        <w:t>)</w:t>
      </w:r>
      <w:r w:rsidR="00777DCB" w:rsidRPr="00A52585">
        <w:rPr>
          <w:rFonts w:eastAsia="Times New Roman"/>
          <w:rtl/>
        </w:rPr>
        <w:t>) يريد صورة الرّحمن عزّ ربّنا وجلّ عن أن يكون هذا معنى الخبر، بل معنى قوله</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خلق آدم على صورته</w:t>
      </w:r>
      <w:r w:rsidRPr="00A52585">
        <w:rPr>
          <w:rFonts w:eastAsia="Times New Roman"/>
          <w:rtl/>
        </w:rPr>
        <w:t>)</w:t>
      </w:r>
      <w:r w:rsidR="00777DCB" w:rsidRPr="00A52585">
        <w:rPr>
          <w:rFonts w:eastAsia="Times New Roman"/>
          <w:rtl/>
        </w:rPr>
        <w:t>) الهاء في هذا الموضع كنايةٌ عن اسم المضروب، والمشتوم، أراد</w:t>
      </w:r>
      <w:r w:rsidR="00777DCB" w:rsidRPr="00A52585">
        <w:rPr>
          <w:rFonts w:eastAsia="Times New Roman"/>
        </w:rPr>
        <w:t xml:space="preserve"> </w:t>
      </w:r>
      <w:r w:rsidR="00777DCB" w:rsidRPr="00A52585">
        <w:rPr>
          <w:rFonts w:eastAsia="Times New Roman"/>
          <w:rtl/>
        </w:rPr>
        <w:t>صلّى الله عليه وسلّم أنّ اللّه خلق آدم على صورة هذا المضروب، الّذي أمر الضّارب</w:t>
      </w:r>
      <w:r w:rsidR="00777DCB" w:rsidRPr="00A52585">
        <w:rPr>
          <w:rFonts w:eastAsia="Times New Roman"/>
        </w:rPr>
        <w:t xml:space="preserve"> </w:t>
      </w:r>
      <w:r w:rsidR="00777DCB" w:rsidRPr="00A52585">
        <w:rPr>
          <w:rFonts w:eastAsia="Times New Roman"/>
          <w:rtl/>
        </w:rPr>
        <w:t>باجتناب وجهه بالضّرب، والّذي قبّح وجهه، فزجر صلّى الله عليه وسلّم أن يقول: (</w:t>
      </w:r>
      <w:r w:rsidRPr="00A52585">
        <w:rPr>
          <w:rFonts w:eastAsia="Times New Roman"/>
          <w:rtl/>
        </w:rPr>
        <w:t>(</w:t>
      </w:r>
      <w:r w:rsidR="00777DCB" w:rsidRPr="00A52585">
        <w:rPr>
          <w:rFonts w:eastAsia="Times New Roman"/>
          <w:rtl/>
        </w:rPr>
        <w:t>ووجه</w:t>
      </w:r>
      <w:r w:rsidR="00777DCB" w:rsidRPr="00A52585">
        <w:rPr>
          <w:rFonts w:eastAsia="Times New Roman"/>
        </w:rPr>
        <w:t xml:space="preserve"> </w:t>
      </w:r>
      <w:r w:rsidR="00777DCB" w:rsidRPr="00A52585">
        <w:rPr>
          <w:rFonts w:eastAsia="Times New Roman"/>
          <w:rtl/>
        </w:rPr>
        <w:t>من أشبه وجهك</w:t>
      </w:r>
      <w:r w:rsidRPr="00A52585">
        <w:rPr>
          <w:rFonts w:eastAsia="Times New Roman"/>
          <w:rtl/>
        </w:rPr>
        <w:t>)</w:t>
      </w:r>
      <w:r w:rsidR="00777DCB" w:rsidRPr="00A52585">
        <w:rPr>
          <w:rFonts w:eastAsia="Times New Roman"/>
          <w:rtl/>
        </w:rPr>
        <w:t>)</w:t>
      </w:r>
      <w:r w:rsidR="00DB731D" w:rsidRPr="00A52585">
        <w:rPr>
          <w:rFonts w:eastAsia="Times New Roman"/>
          <w:rtl/>
        </w:rPr>
        <w:t>،</w:t>
      </w:r>
      <w:r w:rsidR="00777DCB" w:rsidRPr="00A52585">
        <w:rPr>
          <w:rFonts w:eastAsia="Times New Roman"/>
          <w:rtl/>
        </w:rPr>
        <w:t xml:space="preserve"> لأنّ وجه آدم شبيه وجوه بنيه، فإذا قال الشّاتم لبعض بني آدم: قبّح</w:t>
      </w:r>
      <w:r w:rsidR="00777DCB" w:rsidRPr="00A52585">
        <w:rPr>
          <w:rFonts w:eastAsia="Times New Roman"/>
        </w:rPr>
        <w:t xml:space="preserve"> </w:t>
      </w:r>
      <w:r w:rsidR="00777DCB" w:rsidRPr="00A52585">
        <w:rPr>
          <w:rFonts w:eastAsia="Times New Roman"/>
          <w:rtl/>
        </w:rPr>
        <w:t>اللّه وجهك ووجه من أشبه وجهك، كان مقبّحًا وجه آدم صلوات اللّه</w:t>
      </w:r>
      <w:r w:rsidR="00777DCB" w:rsidRPr="00A52585">
        <w:rPr>
          <w:rFonts w:eastAsia="Times New Roman"/>
        </w:rPr>
        <w:t xml:space="preserve"> </w:t>
      </w:r>
      <w:r w:rsidR="00777DCB" w:rsidRPr="00A52585">
        <w:rPr>
          <w:rFonts w:eastAsia="Times New Roman"/>
          <w:rtl/>
        </w:rPr>
        <w:t>عليه وسلامه،</w:t>
      </w:r>
      <w:r w:rsidR="00777DCB" w:rsidRPr="00A52585">
        <w:rPr>
          <w:rFonts w:eastAsia="Times New Roman"/>
        </w:rPr>
        <w:t xml:space="preserve"> </w:t>
      </w:r>
      <w:r w:rsidR="00777DCB" w:rsidRPr="00A52585">
        <w:rPr>
          <w:rFonts w:eastAsia="Times New Roman"/>
          <w:rtl/>
        </w:rPr>
        <w:t>الّذي وجوه بنيه شبيهةٌ بوجه أبيهم، فتفهّموا رحمكم اللّه معنى الخبر، لا تغلطوا</w:t>
      </w:r>
      <w:r w:rsidR="00777DCB" w:rsidRPr="00A52585">
        <w:rPr>
          <w:rFonts w:eastAsia="Times New Roman"/>
        </w:rPr>
        <w:t xml:space="preserve"> </w:t>
      </w:r>
      <w:r w:rsidR="00777DCB" w:rsidRPr="00A52585">
        <w:rPr>
          <w:rFonts w:eastAsia="Times New Roman"/>
          <w:rtl/>
        </w:rPr>
        <w:t>ولا تغالطوا فتضلّوا عن سواء السّبيل، وتحملوا على القول بالتّشبيه الّذي هو</w:t>
      </w:r>
      <w:r w:rsidR="00777DCB" w:rsidRPr="00A52585">
        <w:rPr>
          <w:rFonts w:eastAsia="Times New Roman"/>
        </w:rPr>
        <w:t xml:space="preserve"> </w:t>
      </w:r>
      <w:r w:rsidR="00777DCB" w:rsidRPr="00A52585">
        <w:rPr>
          <w:rFonts w:eastAsia="Times New Roman"/>
          <w:rtl/>
        </w:rPr>
        <w:t>ضلالٌ</w:t>
      </w:r>
      <w:r w:rsidR="00897A24" w:rsidRPr="00A52585">
        <w:rPr>
          <w:rFonts w:eastAsia="Times New Roman"/>
          <w:rtl/>
          <w:lang w:bidi="ar-KW"/>
        </w:rPr>
        <w:t>.</w:t>
      </w:r>
      <w:r w:rsidR="00777DCB" w:rsidRPr="00A52585">
        <w:rPr>
          <w:rFonts w:eastAsia="Times New Roman"/>
          <w:rtl/>
          <w:lang w:bidi="ar-KW"/>
        </w:rPr>
        <w:t>.</w:t>
      </w:r>
      <w:r w:rsidRPr="00A52585">
        <w:rPr>
          <w:rFonts w:eastAsia="Times New Roman"/>
          <w:rtl/>
          <w:lang w:bidi="ar-KW"/>
        </w:rPr>
        <w:t xml:space="preserve"> </w:t>
      </w:r>
      <w:r w:rsidR="00777DCB" w:rsidRPr="00A52585">
        <w:rPr>
          <w:rFonts w:eastAsia="Times New Roman"/>
          <w:rtl/>
          <w:lang w:bidi="ar-KW"/>
        </w:rPr>
        <w:t>ثم ذكر رحمه الله رواية (</w:t>
      </w:r>
      <w:r w:rsidRPr="00A52585">
        <w:rPr>
          <w:rFonts w:eastAsia="Times New Roman"/>
          <w:rtl/>
          <w:lang w:bidi="ar-KW"/>
        </w:rPr>
        <w:t>(</w:t>
      </w:r>
      <w:r w:rsidR="00777DCB" w:rsidRPr="00A52585">
        <w:rPr>
          <w:rFonts w:eastAsia="Times New Roman"/>
          <w:rtl/>
        </w:rPr>
        <w:t>على صورة الرحمن</w:t>
      </w:r>
      <w:r w:rsidRPr="00A52585">
        <w:rPr>
          <w:rFonts w:eastAsia="Times New Roman"/>
          <w:rtl/>
        </w:rPr>
        <w:t>)</w:t>
      </w:r>
      <w:r w:rsidR="00777DCB" w:rsidRPr="00A52585">
        <w:rPr>
          <w:rFonts w:eastAsia="Times New Roman"/>
          <w:rtl/>
        </w:rPr>
        <w:t xml:space="preserve">) </w:t>
      </w:r>
      <w:r w:rsidR="00777DCB" w:rsidRPr="00A52585">
        <w:rPr>
          <w:rFonts w:eastAsia="Times New Roman"/>
          <w:rtl/>
          <w:lang w:bidi="ar-KW"/>
        </w:rPr>
        <w:t>ثم قال</w:t>
      </w:r>
      <w:r w:rsidRPr="00A52585">
        <w:rPr>
          <w:rFonts w:eastAsia="Times New Roman"/>
          <w:rtl/>
          <w:lang w:bidi="ar-KW"/>
        </w:rPr>
        <w:t>:</w:t>
      </w:r>
      <w:r w:rsidR="00777DCB" w:rsidRPr="00A52585">
        <w:rPr>
          <w:rFonts w:eastAsia="Times New Roman"/>
          <w:rtl/>
          <w:lang w:bidi="ar-KW"/>
        </w:rPr>
        <w:t xml:space="preserve"> </w:t>
      </w:r>
      <w:r w:rsidR="00777DCB" w:rsidRPr="00A52585">
        <w:rPr>
          <w:rFonts w:eastAsia="Times New Roman"/>
          <w:rtl/>
        </w:rPr>
        <w:t>قال أبو</w:t>
      </w:r>
      <w:r w:rsidR="00777DCB" w:rsidRPr="00A52585">
        <w:rPr>
          <w:rFonts w:eastAsia="Times New Roman"/>
        </w:rPr>
        <w:t xml:space="preserve"> </w:t>
      </w:r>
      <w:r w:rsidR="00777DCB" w:rsidRPr="00A52585">
        <w:rPr>
          <w:rFonts w:eastAsia="Times New Roman"/>
          <w:rtl/>
        </w:rPr>
        <w:t>بكرٍ: وقد افتتن بهذه اللّفظة الّتي في خبر عطاءٍ عالمٌ ممّن لم يتحرّ العلم،</w:t>
      </w:r>
      <w:r w:rsidR="00777DCB" w:rsidRPr="00A52585">
        <w:rPr>
          <w:rFonts w:eastAsia="Times New Roman"/>
        </w:rPr>
        <w:t xml:space="preserve"> </w:t>
      </w:r>
      <w:r w:rsidR="00777DCB" w:rsidRPr="00A52585">
        <w:rPr>
          <w:rFonts w:eastAsia="Times New Roman"/>
          <w:rtl/>
        </w:rPr>
        <w:t>وتوهّموا أنّ إضافة الصّورة إلى الرّحمن في هذا الخبر من إضافة صفات الذّات، فغلطوا</w:t>
      </w:r>
      <w:r w:rsidR="00777DCB" w:rsidRPr="00A52585">
        <w:rPr>
          <w:rFonts w:eastAsia="Times New Roman"/>
        </w:rPr>
        <w:t xml:space="preserve"> </w:t>
      </w:r>
      <w:r w:rsidR="00777DCB" w:rsidRPr="00A52585">
        <w:rPr>
          <w:rFonts w:eastAsia="Times New Roman"/>
          <w:rtl/>
        </w:rPr>
        <w:t>في هذا غلطًا بيّنًا، وقالوا مقالةً شنيعةً مضاهيةً لقول المشبّهة</w:t>
      </w:r>
      <w:r w:rsidR="00DB731D" w:rsidRPr="00A52585">
        <w:rPr>
          <w:rFonts w:eastAsia="Times New Roman"/>
          <w:rtl/>
        </w:rPr>
        <w:t>،</w:t>
      </w:r>
      <w:r w:rsidR="00777DCB" w:rsidRPr="00A52585">
        <w:rPr>
          <w:rFonts w:eastAsia="Times New Roman"/>
          <w:rtl/>
        </w:rPr>
        <w:t xml:space="preserve"> </w:t>
      </w:r>
      <w:proofErr w:type="spellStart"/>
      <w:r w:rsidR="00777DCB" w:rsidRPr="00A52585">
        <w:rPr>
          <w:rFonts w:eastAsia="Times New Roman"/>
          <w:rtl/>
        </w:rPr>
        <w:t>أعاذنا</w:t>
      </w:r>
      <w:proofErr w:type="spellEnd"/>
      <w:r w:rsidR="00777DCB" w:rsidRPr="00A52585">
        <w:rPr>
          <w:rFonts w:eastAsia="Times New Roman"/>
          <w:rtl/>
        </w:rPr>
        <w:t xml:space="preserve"> اللّه</w:t>
      </w:r>
      <w:r w:rsidR="00777DCB" w:rsidRPr="00A52585">
        <w:rPr>
          <w:rFonts w:eastAsia="Times New Roman"/>
        </w:rPr>
        <w:t xml:space="preserve"> </w:t>
      </w:r>
      <w:r w:rsidR="00777DCB" w:rsidRPr="00A52585">
        <w:rPr>
          <w:rFonts w:eastAsia="Times New Roman"/>
          <w:rtl/>
        </w:rPr>
        <w:t>وكلّ المسلمين من قولهم والّذي عندي في تأويل هذا الخبر إن صحّ من جهة النّقل</w:t>
      </w:r>
      <w:r w:rsidR="00777DCB" w:rsidRPr="00A52585">
        <w:rPr>
          <w:rFonts w:eastAsia="Times New Roman"/>
        </w:rPr>
        <w:t xml:space="preserve"> </w:t>
      </w:r>
      <w:r w:rsidR="00777DCB" w:rsidRPr="00A52585">
        <w:rPr>
          <w:rFonts w:eastAsia="Times New Roman"/>
          <w:rtl/>
        </w:rPr>
        <w:t>موصولًا: فإنّ في الخبر عللًا ثلاثًا</w:t>
      </w:r>
      <w:r w:rsidRPr="00A52585">
        <w:rPr>
          <w:rFonts w:eastAsia="Times New Roman"/>
          <w:rtl/>
        </w:rPr>
        <w:t>:</w:t>
      </w:r>
      <w:r w:rsidR="00777DCB" w:rsidRPr="00A52585">
        <w:rPr>
          <w:rFonts w:eastAsia="Times New Roman"/>
          <w:rtl/>
        </w:rPr>
        <w:t xml:space="preserve"> إحداهنّ</w:t>
      </w:r>
      <w:r w:rsidRPr="00A52585">
        <w:rPr>
          <w:rFonts w:eastAsia="Times New Roman"/>
          <w:rtl/>
        </w:rPr>
        <w:t>:</w:t>
      </w:r>
      <w:r w:rsidR="00777DCB" w:rsidRPr="00A52585">
        <w:rPr>
          <w:rFonts w:eastAsia="Times New Roman"/>
          <w:rtl/>
        </w:rPr>
        <w:t xml:space="preserve"> أنّ الثّوريّ قد خالف الأعمش في</w:t>
      </w:r>
      <w:r w:rsidR="00777DCB" w:rsidRPr="00A52585">
        <w:rPr>
          <w:rFonts w:eastAsia="Times New Roman"/>
        </w:rPr>
        <w:t xml:space="preserve"> </w:t>
      </w:r>
      <w:r w:rsidR="00777DCB" w:rsidRPr="00A52585">
        <w:rPr>
          <w:rFonts w:eastAsia="Times New Roman"/>
          <w:rtl/>
        </w:rPr>
        <w:t>إسناده، فأرسل الثّوريّ ولم يقل: عن ابن عمر والثّانية: أنّ الأعمش مدلّسٌ، لم يذكر</w:t>
      </w:r>
      <w:r w:rsidR="00777DCB" w:rsidRPr="00A52585">
        <w:rPr>
          <w:rFonts w:eastAsia="Times New Roman"/>
        </w:rPr>
        <w:t xml:space="preserve"> </w:t>
      </w:r>
      <w:r w:rsidR="00777DCB" w:rsidRPr="00A52585">
        <w:rPr>
          <w:rFonts w:eastAsia="Times New Roman"/>
          <w:rtl/>
        </w:rPr>
        <w:t>أنّه سمعه من حبيب بن أبي ثابتٍ والثّالثة: أنّ حبيب بن أبي ثابتٍ: أيضًا مدلّسٌ،</w:t>
      </w:r>
      <w:r w:rsidR="00777DCB" w:rsidRPr="00A52585">
        <w:rPr>
          <w:rFonts w:eastAsia="Times New Roman"/>
        </w:rPr>
        <w:t xml:space="preserve"> </w:t>
      </w:r>
      <w:r w:rsidR="00777DCB" w:rsidRPr="00A52585">
        <w:rPr>
          <w:rFonts w:eastAsia="Times New Roman"/>
          <w:rtl/>
        </w:rPr>
        <w:t>لم يعلم أنّه سمعه من عطاءٍ، سمعت إسحاق بن إبراهيم بن حبيب بن الشّهيد يقول: ثنا</w:t>
      </w:r>
      <w:r w:rsidR="00777DCB" w:rsidRPr="00A52585">
        <w:rPr>
          <w:rFonts w:eastAsia="Times New Roman"/>
        </w:rPr>
        <w:t xml:space="preserve"> </w:t>
      </w:r>
      <w:r w:rsidR="00777DCB" w:rsidRPr="00A52585">
        <w:rPr>
          <w:rFonts w:eastAsia="Times New Roman"/>
          <w:rtl/>
        </w:rPr>
        <w:t>أبو بكر بن عيّاشٍ، عن الأعمش قال: قال حبيب بن أبي ثابتٍ: لو حدّثني رجلٌ عنك</w:t>
      </w:r>
      <w:r w:rsidR="00777DCB" w:rsidRPr="00A52585">
        <w:rPr>
          <w:rFonts w:eastAsia="Times New Roman"/>
        </w:rPr>
        <w:t xml:space="preserve"> </w:t>
      </w:r>
      <w:r w:rsidR="00777DCB" w:rsidRPr="00A52585">
        <w:rPr>
          <w:rFonts w:eastAsia="Times New Roman"/>
          <w:rtl/>
        </w:rPr>
        <w:t xml:space="preserve">بحديثٍ لم أبال أن أرويه عنك، يريد لم أبال أن </w:t>
      </w:r>
      <w:proofErr w:type="spellStart"/>
      <w:r w:rsidR="00777DCB" w:rsidRPr="00A52585">
        <w:rPr>
          <w:rFonts w:eastAsia="Times New Roman"/>
          <w:rtl/>
        </w:rPr>
        <w:t>أدلّسه</w:t>
      </w:r>
      <w:proofErr w:type="spellEnd"/>
      <w:r w:rsidR="00777DCB" w:rsidRPr="00A52585">
        <w:rPr>
          <w:rFonts w:eastAsia="Times New Roman"/>
          <w:rtl/>
        </w:rPr>
        <w:t xml:space="preserve"> قال أبو بكرٍ: ومثل هذا</w:t>
      </w:r>
      <w:r w:rsidR="00777DCB" w:rsidRPr="00A52585">
        <w:rPr>
          <w:rFonts w:eastAsia="Times New Roman"/>
        </w:rPr>
        <w:t xml:space="preserve"> </w:t>
      </w:r>
      <w:r w:rsidR="00777DCB" w:rsidRPr="00A52585">
        <w:rPr>
          <w:rFonts w:eastAsia="Times New Roman"/>
          <w:rtl/>
        </w:rPr>
        <w:t>الخبر، لا يكاد يحتجّ به علماؤنا من أهل الأثر، لا سيّما إذا كان الخبر في مثل هذا</w:t>
      </w:r>
      <w:r w:rsidR="00777DCB" w:rsidRPr="00A52585">
        <w:rPr>
          <w:rFonts w:eastAsia="Times New Roman"/>
        </w:rPr>
        <w:t xml:space="preserve"> </w:t>
      </w:r>
      <w:r w:rsidR="00777DCB" w:rsidRPr="00A52585">
        <w:rPr>
          <w:rFonts w:eastAsia="Times New Roman"/>
          <w:rtl/>
        </w:rPr>
        <w:t>الجنس، فيما يوجب العلم لو ثبت، ولا فيما يوجب العمل بما قد يستدلّ على صحّته</w:t>
      </w:r>
      <w:r w:rsidR="00777DCB" w:rsidRPr="00A52585">
        <w:rPr>
          <w:rFonts w:eastAsia="Times New Roman"/>
        </w:rPr>
        <w:t xml:space="preserve"> </w:t>
      </w:r>
      <w:r w:rsidR="00777DCB" w:rsidRPr="00A52585">
        <w:rPr>
          <w:rFonts w:eastAsia="Times New Roman"/>
          <w:rtl/>
        </w:rPr>
        <w:t>وثبوته بدلائل من نظرٍ، وتشبيهٍ، وتمثيلٍ بغيره من سنن النّبيّ صلّى الله عليه</w:t>
      </w:r>
      <w:r w:rsidR="00777DCB" w:rsidRPr="00A52585">
        <w:rPr>
          <w:rFonts w:eastAsia="Times New Roman"/>
        </w:rPr>
        <w:t xml:space="preserve"> </w:t>
      </w:r>
      <w:r w:rsidR="00777DCB" w:rsidRPr="00A52585">
        <w:rPr>
          <w:rFonts w:eastAsia="Times New Roman"/>
          <w:rtl/>
        </w:rPr>
        <w:t>وسلّم من طريق الأحكام والفقه</w:t>
      </w:r>
      <w:r w:rsidR="00DB731D" w:rsidRPr="00A52585">
        <w:rPr>
          <w:rFonts w:eastAsia="Times New Roman"/>
          <w:rtl/>
        </w:rPr>
        <w:t>،</w:t>
      </w:r>
      <w:r w:rsidRPr="00A52585">
        <w:rPr>
          <w:rFonts w:eastAsia="Times New Roman"/>
          <w:rtl/>
        </w:rPr>
        <w:t xml:space="preserve"> </w:t>
      </w:r>
      <w:r w:rsidR="00777DCB" w:rsidRPr="00A52585">
        <w:rPr>
          <w:rFonts w:eastAsia="Times New Roman"/>
          <w:rtl/>
        </w:rPr>
        <w:t>فإن صحّ هذا الخبر مسندًا بأن يكون الأعمش قد سمعه من</w:t>
      </w:r>
      <w:r w:rsidR="00777DCB" w:rsidRPr="00A52585">
        <w:rPr>
          <w:rFonts w:eastAsia="Times New Roman"/>
        </w:rPr>
        <w:t xml:space="preserve"> </w:t>
      </w:r>
      <w:r w:rsidR="00777DCB" w:rsidRPr="00A52585">
        <w:rPr>
          <w:rFonts w:eastAsia="Times New Roman"/>
          <w:rtl/>
        </w:rPr>
        <w:t>حبيب بن</w:t>
      </w:r>
      <w:r w:rsidR="00777DCB" w:rsidRPr="00A52585">
        <w:rPr>
          <w:rFonts w:eastAsia="Times New Roman"/>
        </w:rPr>
        <w:t xml:space="preserve"> </w:t>
      </w:r>
      <w:r w:rsidR="00777DCB" w:rsidRPr="00A52585">
        <w:rPr>
          <w:rFonts w:eastAsia="Times New Roman"/>
          <w:rtl/>
        </w:rPr>
        <w:t>أبي ثابتٍ،</w:t>
      </w:r>
      <w:r w:rsidR="00777DCB" w:rsidRPr="00A52585">
        <w:rPr>
          <w:rFonts w:eastAsia="Times New Roman"/>
        </w:rPr>
        <w:t xml:space="preserve"> </w:t>
      </w:r>
      <w:r w:rsidR="00777DCB" w:rsidRPr="00A52585">
        <w:rPr>
          <w:rFonts w:eastAsia="Times New Roman"/>
          <w:rtl/>
        </w:rPr>
        <w:t>وحبيبٌ قد سمعه من عطاء بن أبي رباحٍ، وصحّ أنّه عن ابن عمر على ما رواه الأعمش</w:t>
      </w:r>
      <w:r w:rsidR="00777DCB" w:rsidRPr="00A52585">
        <w:rPr>
          <w:rFonts w:eastAsia="Times New Roman"/>
        </w:rPr>
        <w:t xml:space="preserve"> </w:t>
      </w:r>
      <w:r w:rsidR="00777DCB" w:rsidRPr="00A52585">
        <w:rPr>
          <w:rFonts w:eastAsia="Times New Roman"/>
          <w:rtl/>
        </w:rPr>
        <w:t>فمعنى هذا الخبر عندنا</w:t>
      </w:r>
      <w:r w:rsidRPr="00A52585">
        <w:rPr>
          <w:rFonts w:eastAsia="Times New Roman"/>
          <w:rtl/>
        </w:rPr>
        <w:t>:</w:t>
      </w:r>
      <w:r w:rsidR="00777DCB" w:rsidRPr="00A52585">
        <w:rPr>
          <w:rFonts w:eastAsia="Times New Roman"/>
          <w:rtl/>
        </w:rPr>
        <w:t xml:space="preserve"> أنّ إضافة الصّورة إلى الرّحمن في هذا الخبر إنّما هو من</w:t>
      </w:r>
      <w:r w:rsidR="00777DCB" w:rsidRPr="00A52585">
        <w:rPr>
          <w:rFonts w:eastAsia="Times New Roman"/>
        </w:rPr>
        <w:t xml:space="preserve"> </w:t>
      </w:r>
      <w:r w:rsidR="00777DCB" w:rsidRPr="00A52585">
        <w:rPr>
          <w:rFonts w:eastAsia="Times New Roman"/>
          <w:rtl/>
        </w:rPr>
        <w:t>إضافة الخلق إليه</w:t>
      </w:r>
      <w:r w:rsidR="00DB731D" w:rsidRPr="00A52585">
        <w:rPr>
          <w:rFonts w:eastAsia="Times New Roman"/>
          <w:rtl/>
        </w:rPr>
        <w:t>،</w:t>
      </w:r>
      <w:r w:rsidR="00777DCB" w:rsidRPr="00A52585">
        <w:rPr>
          <w:rFonts w:eastAsia="Times New Roman"/>
          <w:rtl/>
          <w:lang w:bidi="ar-KW"/>
        </w:rPr>
        <w:t xml:space="preserve"> </w:t>
      </w:r>
      <w:r w:rsidR="00777DCB" w:rsidRPr="00A52585">
        <w:rPr>
          <w:rFonts w:eastAsia="Times New Roman"/>
          <w:rtl/>
        </w:rPr>
        <w:t>لأنّ الخلق يضاف إلى الرّحمن، إذ اللّه خلقه، وكذلك الصّورة تضاف إلى</w:t>
      </w:r>
      <w:r w:rsidR="00777DCB" w:rsidRPr="00A52585">
        <w:rPr>
          <w:rFonts w:eastAsia="Times New Roman"/>
        </w:rPr>
        <w:t xml:space="preserve"> </w:t>
      </w:r>
      <w:r w:rsidR="00777DCB" w:rsidRPr="00A52585">
        <w:rPr>
          <w:rFonts w:eastAsia="Times New Roman"/>
          <w:rtl/>
        </w:rPr>
        <w:t xml:space="preserve">الرّحمن، لأنّ اللّه صوّرها، ألم تسمع قوله عزّ وجلّ: {هذا خلق </w:t>
      </w:r>
      <w:r w:rsidR="00777DCB" w:rsidRPr="00A52585">
        <w:rPr>
          <w:rFonts w:eastAsia="Times New Roman"/>
          <w:rtl/>
        </w:rPr>
        <w:lastRenderedPageBreak/>
        <w:t>اللّه فأروني ماذا</w:t>
      </w:r>
      <w:r w:rsidR="00777DCB" w:rsidRPr="00A52585">
        <w:rPr>
          <w:rFonts w:eastAsia="Times New Roman"/>
        </w:rPr>
        <w:t xml:space="preserve"> </w:t>
      </w:r>
      <w:r w:rsidR="00777DCB" w:rsidRPr="00A52585">
        <w:rPr>
          <w:rFonts w:eastAsia="Times New Roman"/>
          <w:rtl/>
        </w:rPr>
        <w:t>خلق الّذين من دونه} [لقمان: 11]، فأضاف اللّه الخلق إلى نفسه، إذ اللّه تولّى</w:t>
      </w:r>
      <w:r w:rsidR="00777DCB" w:rsidRPr="00A52585">
        <w:rPr>
          <w:rFonts w:eastAsia="Times New Roman"/>
        </w:rPr>
        <w:t xml:space="preserve"> </w:t>
      </w:r>
      <w:r w:rsidR="00777DCB" w:rsidRPr="00A52585">
        <w:rPr>
          <w:rFonts w:eastAsia="Times New Roman"/>
          <w:rtl/>
        </w:rPr>
        <w:t>خلقه، وكذلك قول اللّه عزّ وجلّ: {هذه ناقة اللّه لكم آيةٌ} [الأعراف: 73]، فأضاف</w:t>
      </w:r>
      <w:r w:rsidR="00777DCB" w:rsidRPr="00A52585">
        <w:rPr>
          <w:rFonts w:eastAsia="Times New Roman"/>
        </w:rPr>
        <w:t xml:space="preserve"> </w:t>
      </w:r>
      <w:r w:rsidR="00777DCB" w:rsidRPr="00A52585">
        <w:rPr>
          <w:rFonts w:eastAsia="Times New Roman"/>
          <w:rtl/>
        </w:rPr>
        <w:t>اللّه النّاقة إلى نفسه، وقال: {تأكل في أرض اللّه} [الأعراف: 73] وقال: {ألم تكن</w:t>
      </w:r>
      <w:r w:rsidR="00777DCB" w:rsidRPr="00A52585">
        <w:rPr>
          <w:rFonts w:eastAsia="Times New Roman"/>
        </w:rPr>
        <w:t xml:space="preserve"> </w:t>
      </w:r>
      <w:r w:rsidR="00777DCB" w:rsidRPr="00A52585">
        <w:rPr>
          <w:rFonts w:eastAsia="Times New Roman"/>
          <w:rtl/>
        </w:rPr>
        <w:t>أرض اللّه واسعةً فتهاجروا فيها} [النساء: 97]</w:t>
      </w:r>
      <w:r w:rsidR="00F95886" w:rsidRPr="00A52585">
        <w:rPr>
          <w:rFonts w:eastAsia="Times New Roman"/>
          <w:rtl/>
        </w:rPr>
        <w:t>؟</w:t>
      </w:r>
      <w:r w:rsidR="00777DCB" w:rsidRPr="00A52585">
        <w:rPr>
          <w:rFonts w:eastAsia="Times New Roman"/>
          <w:rtl/>
        </w:rPr>
        <w:t xml:space="preserve"> قال: {إنّ الأرض للّه يورثها من</w:t>
      </w:r>
      <w:r w:rsidR="00777DCB" w:rsidRPr="00A52585">
        <w:rPr>
          <w:rFonts w:eastAsia="Times New Roman"/>
        </w:rPr>
        <w:t xml:space="preserve"> </w:t>
      </w:r>
      <w:r w:rsidR="00777DCB" w:rsidRPr="00A52585">
        <w:rPr>
          <w:rFonts w:eastAsia="Times New Roman"/>
          <w:rtl/>
        </w:rPr>
        <w:t>يشاء من عباده} [الأعراف: 128</w:t>
      </w:r>
      <w:r w:rsidR="00777DCB" w:rsidRPr="00A52585">
        <w:rPr>
          <w:rFonts w:eastAsia="Times New Roman"/>
        </w:rPr>
        <w:t>]</w:t>
      </w:r>
      <w:r w:rsidR="00777DCB" w:rsidRPr="00A52585">
        <w:rPr>
          <w:rFonts w:eastAsia="Times New Roman"/>
          <w:rtl/>
        </w:rPr>
        <w:t>، فأضاف اللّه الأرض إلى نفسه، إذ اللّه</w:t>
      </w:r>
      <w:r w:rsidR="00777DCB" w:rsidRPr="00A52585">
        <w:rPr>
          <w:rFonts w:eastAsia="Times New Roman"/>
        </w:rPr>
        <w:t xml:space="preserve"> </w:t>
      </w:r>
      <w:r w:rsidR="00777DCB" w:rsidRPr="00A52585">
        <w:rPr>
          <w:rFonts w:eastAsia="Times New Roman"/>
          <w:rtl/>
        </w:rPr>
        <w:t>تولّى خلقها فبسطها، وقال: {فطرة اللّه الّتي فطر النّاس عليها} [الروم: 30]، فأضاف</w:t>
      </w:r>
      <w:r w:rsidR="00777DCB" w:rsidRPr="00A52585">
        <w:rPr>
          <w:rFonts w:eastAsia="Times New Roman"/>
        </w:rPr>
        <w:t xml:space="preserve"> </w:t>
      </w:r>
      <w:r w:rsidR="00777DCB" w:rsidRPr="00A52585">
        <w:rPr>
          <w:rFonts w:eastAsia="Times New Roman"/>
          <w:rtl/>
        </w:rPr>
        <w:t>اللّه الفطرة إلى نفسه إذ اللّه فطر النّاس عليها، فما أضاف اللّه إلى نفسه على</w:t>
      </w:r>
      <w:r w:rsidR="00777DCB" w:rsidRPr="00A52585">
        <w:rPr>
          <w:rFonts w:eastAsia="Times New Roman"/>
        </w:rPr>
        <w:t xml:space="preserve"> </w:t>
      </w:r>
      <w:r w:rsidR="00777DCB" w:rsidRPr="00A52585">
        <w:rPr>
          <w:rFonts w:eastAsia="Times New Roman"/>
          <w:rtl/>
        </w:rPr>
        <w:t>معنيين: أحدهما: إضافة الذّات، والآخر: إضافة الخلق</w:t>
      </w:r>
      <w:r w:rsidR="00DB731D" w:rsidRPr="00A52585">
        <w:rPr>
          <w:rFonts w:eastAsia="Times New Roman"/>
          <w:rtl/>
        </w:rPr>
        <w:t>،</w:t>
      </w:r>
      <w:r w:rsidR="00777DCB" w:rsidRPr="00A52585">
        <w:rPr>
          <w:rFonts w:eastAsia="Times New Roman"/>
          <w:rtl/>
          <w:lang w:bidi="ar-KW"/>
        </w:rPr>
        <w:t xml:space="preserve"> </w:t>
      </w:r>
      <w:r w:rsidR="00777DCB" w:rsidRPr="00A52585">
        <w:rPr>
          <w:rFonts w:eastAsia="Times New Roman"/>
          <w:rtl/>
        </w:rPr>
        <w:t>فتفهّموا هذين المعنيين، لا</w:t>
      </w:r>
      <w:r w:rsidR="00777DCB" w:rsidRPr="00A52585">
        <w:rPr>
          <w:rFonts w:eastAsia="Times New Roman"/>
        </w:rPr>
        <w:t xml:space="preserve"> </w:t>
      </w:r>
      <w:r w:rsidR="00777DCB" w:rsidRPr="00A52585">
        <w:rPr>
          <w:rFonts w:eastAsia="Times New Roman"/>
          <w:rtl/>
        </w:rPr>
        <w:t>تغالطوا فمعنى الخبر إن صحّ من طريق النّقل مسندًا، فإنّ ابن آدم خلق على الصّورة</w:t>
      </w:r>
      <w:r w:rsidR="00777DCB" w:rsidRPr="00A52585">
        <w:rPr>
          <w:rFonts w:eastAsia="Times New Roman"/>
        </w:rPr>
        <w:t xml:space="preserve"> </w:t>
      </w:r>
      <w:r w:rsidR="00777DCB" w:rsidRPr="00A52585">
        <w:rPr>
          <w:rFonts w:eastAsia="Times New Roman"/>
          <w:rtl/>
        </w:rPr>
        <w:t>الّتي خلقها الرّحمن، حين صوّر آدم، ثمّ نفخ فيه الرّوح، قال اللّه جلّ وعلا: {ولقد</w:t>
      </w:r>
      <w:r w:rsidR="00777DCB" w:rsidRPr="00A52585">
        <w:rPr>
          <w:rFonts w:eastAsia="Times New Roman"/>
        </w:rPr>
        <w:t xml:space="preserve"> </w:t>
      </w:r>
      <w:r w:rsidR="00777DCB" w:rsidRPr="00A52585">
        <w:rPr>
          <w:rFonts w:eastAsia="Times New Roman"/>
          <w:rtl/>
        </w:rPr>
        <w:t>خلقناكم ثمّ صوّرناكم} [الأعراف: 11] والدّليل على صحّة هذا</w:t>
      </w:r>
      <w:r w:rsidR="00777DCB" w:rsidRPr="00A52585">
        <w:rPr>
          <w:rFonts w:eastAsia="Times New Roman"/>
        </w:rPr>
        <w:t xml:space="preserve"> </w:t>
      </w:r>
      <w:r w:rsidR="00777DCB" w:rsidRPr="00A52585">
        <w:rPr>
          <w:rFonts w:eastAsia="Times New Roman"/>
          <w:rtl/>
        </w:rPr>
        <w:t>التّأويل</w:t>
      </w:r>
      <w:r w:rsidRPr="00A52585">
        <w:rPr>
          <w:rFonts w:eastAsia="Times New Roman"/>
          <w:rtl/>
        </w:rPr>
        <w:t xml:space="preserve"> </w:t>
      </w:r>
      <w:r w:rsidR="00777DCB" w:rsidRPr="00A52585">
        <w:rPr>
          <w:rFonts w:eastAsia="Times New Roman"/>
          <w:rtl/>
        </w:rPr>
        <w:t>أنّ أبا</w:t>
      </w:r>
      <w:r w:rsidR="00777DCB" w:rsidRPr="00A52585">
        <w:rPr>
          <w:rFonts w:eastAsia="Times New Roman"/>
        </w:rPr>
        <w:t xml:space="preserve"> </w:t>
      </w:r>
      <w:r w:rsidR="00777DCB" w:rsidRPr="00A52585">
        <w:rPr>
          <w:rFonts w:eastAsia="Times New Roman"/>
          <w:rtl/>
        </w:rPr>
        <w:t>موسى محمّد بن المثنّى قال: ثنا أبو عامرٍ عبد الملك بن عمرٍو، قال</w:t>
      </w:r>
      <w:r w:rsidR="00777DCB" w:rsidRPr="00A52585">
        <w:rPr>
          <w:rFonts w:eastAsia="Times New Roman"/>
        </w:rPr>
        <w:t xml:space="preserve">: </w:t>
      </w:r>
      <w:r w:rsidR="00777DCB" w:rsidRPr="00A52585">
        <w:rPr>
          <w:rFonts w:eastAsia="Times New Roman"/>
          <w:rtl/>
        </w:rPr>
        <w:t>ثنا المغيرة</w:t>
      </w:r>
      <w:r w:rsidR="00777DCB" w:rsidRPr="00A52585">
        <w:rPr>
          <w:rFonts w:eastAsia="Times New Roman"/>
        </w:rPr>
        <w:t xml:space="preserve"> </w:t>
      </w:r>
      <w:r w:rsidR="00777DCB" w:rsidRPr="00A52585">
        <w:rPr>
          <w:rFonts w:eastAsia="Times New Roman"/>
          <w:rtl/>
        </w:rPr>
        <w:t>وهو ابن عبد الرّحمن، عن أبي الزّناد، عن موسى بن أبي عثمان، عن أبيه، عن أبي</w:t>
      </w:r>
      <w:r w:rsidR="00777DCB" w:rsidRPr="00A52585">
        <w:rPr>
          <w:rFonts w:eastAsia="Times New Roman"/>
        </w:rPr>
        <w:t xml:space="preserve"> </w:t>
      </w:r>
      <w:r w:rsidR="00777DCB" w:rsidRPr="00A52585">
        <w:rPr>
          <w:rFonts w:eastAsia="Times New Roman"/>
          <w:rtl/>
        </w:rPr>
        <w:t>هريرة، عن النّبيّ صلّى الله عليه وسلّم قال: (</w:t>
      </w:r>
      <w:r w:rsidRPr="00A52585">
        <w:rPr>
          <w:rFonts w:eastAsia="Times New Roman"/>
          <w:rtl/>
        </w:rPr>
        <w:t>(</w:t>
      </w:r>
      <w:r w:rsidR="00777DCB" w:rsidRPr="00A52585">
        <w:rPr>
          <w:rFonts w:eastAsia="Times New Roman"/>
          <w:rtl/>
        </w:rPr>
        <w:t>خلق اللّه آدم على صورته، وطوله</w:t>
      </w:r>
      <w:r w:rsidR="00777DCB" w:rsidRPr="00A52585">
        <w:rPr>
          <w:rFonts w:eastAsia="Times New Roman"/>
        </w:rPr>
        <w:t xml:space="preserve"> </w:t>
      </w:r>
      <w:r w:rsidR="00777DCB" w:rsidRPr="00A52585">
        <w:rPr>
          <w:rFonts w:eastAsia="Times New Roman"/>
          <w:rtl/>
        </w:rPr>
        <w:t>ستّون ذراعًا</w:t>
      </w:r>
      <w:r w:rsidRPr="00A52585">
        <w:rPr>
          <w:rFonts w:eastAsia="Times New Roman"/>
          <w:rtl/>
        </w:rPr>
        <w:t>)</w:t>
      </w:r>
      <w:r w:rsidR="00777DCB" w:rsidRPr="00A52585">
        <w:rPr>
          <w:rFonts w:eastAsia="Times New Roman"/>
          <w:rtl/>
        </w:rPr>
        <w:t>)</w:t>
      </w:r>
      <w:r w:rsidR="00DB731D" w:rsidRPr="00A52585">
        <w:rPr>
          <w:rFonts w:eastAsia="Times New Roman"/>
          <w:rtl/>
        </w:rPr>
        <w:t>،</w:t>
      </w:r>
      <w:r w:rsidRPr="00A52585">
        <w:rPr>
          <w:rFonts w:eastAsia="Times New Roman"/>
          <w:rtl/>
        </w:rPr>
        <w:t xml:space="preserve"> </w:t>
      </w:r>
      <w:r w:rsidR="00777DCB" w:rsidRPr="00A52585">
        <w:rPr>
          <w:rFonts w:eastAsia="Times New Roman"/>
          <w:rtl/>
        </w:rPr>
        <w:t>حدّثنا عبد الرّحمن بن بشر بن الحكم، قال: ثنا عبد الرّزّاق، قال: ثنا</w:t>
      </w:r>
      <w:r w:rsidR="00777DCB" w:rsidRPr="00A52585">
        <w:rPr>
          <w:rFonts w:eastAsia="Times New Roman"/>
        </w:rPr>
        <w:t xml:space="preserve"> </w:t>
      </w:r>
      <w:r w:rsidR="00777DCB" w:rsidRPr="00A52585">
        <w:rPr>
          <w:rFonts w:eastAsia="Times New Roman"/>
          <w:rtl/>
        </w:rPr>
        <w:t>معمرٌ، عن همّام بن منبّهٍ، قال: هذا ما حدّثنا به أبو هريرة عن محمّدٍ رسول اللّه</w:t>
      </w:r>
      <w:r w:rsidR="00777DCB" w:rsidRPr="00A52585">
        <w:rPr>
          <w:rFonts w:eastAsia="Times New Roman"/>
        </w:rPr>
        <w:t xml:space="preserve"> </w:t>
      </w:r>
      <w:r w:rsidR="00777DCB" w:rsidRPr="00A52585">
        <w:rPr>
          <w:rFonts w:eastAsia="Times New Roman"/>
          <w:rtl/>
        </w:rPr>
        <w:t>صلّى الله عليه وسلّم، فذكر أحاديث، وقال: قال رسول اللّه صلّى الله عليه وسلّم</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خلق</w:t>
      </w:r>
      <w:r w:rsidR="00777DCB" w:rsidRPr="00A52585">
        <w:rPr>
          <w:rFonts w:eastAsia="Times New Roman"/>
          <w:rtl/>
          <w:lang w:bidi="ar-KW"/>
        </w:rPr>
        <w:t xml:space="preserve"> </w:t>
      </w:r>
      <w:r w:rsidR="00777DCB" w:rsidRPr="00A52585">
        <w:rPr>
          <w:rFonts w:eastAsia="Times New Roman"/>
          <w:rtl/>
        </w:rPr>
        <w:t>اللّه آدم</w:t>
      </w:r>
      <w:r w:rsidR="00777DCB" w:rsidRPr="00A52585">
        <w:rPr>
          <w:rFonts w:eastAsia="Times New Roman"/>
        </w:rPr>
        <w:t xml:space="preserve"> </w:t>
      </w:r>
      <w:r w:rsidR="00777DCB" w:rsidRPr="00A52585">
        <w:rPr>
          <w:rFonts w:eastAsia="Times New Roman"/>
          <w:rtl/>
        </w:rPr>
        <w:t>على صورته، طوله ستّون ذراعًا</w:t>
      </w:r>
      <w:r w:rsidR="00DB731D" w:rsidRPr="00A52585">
        <w:rPr>
          <w:rFonts w:eastAsia="Times New Roman"/>
          <w:rtl/>
        </w:rPr>
        <w:t>،</w:t>
      </w:r>
      <w:r w:rsidR="00777DCB" w:rsidRPr="00A52585">
        <w:rPr>
          <w:rFonts w:eastAsia="Times New Roman"/>
          <w:rtl/>
        </w:rPr>
        <w:t xml:space="preserve"> فلمّا خلقه، قال: اذهب فسلّم على أولئك النّفر، وهم</w:t>
      </w:r>
      <w:r w:rsidR="00777DCB" w:rsidRPr="00A52585">
        <w:rPr>
          <w:rFonts w:eastAsia="Times New Roman"/>
        </w:rPr>
        <w:t xml:space="preserve"> </w:t>
      </w:r>
      <w:r w:rsidR="00777DCB" w:rsidRPr="00A52585">
        <w:rPr>
          <w:rFonts w:eastAsia="Times New Roman"/>
          <w:rtl/>
        </w:rPr>
        <w:t>نفرٌ من الملائكة جلوسٌ، فاسمع ما يجيبونك، وإنّها تحيّتك وتحيّة ذرّيّتك، قال</w:t>
      </w:r>
      <w:r w:rsidR="00777DCB" w:rsidRPr="00A52585">
        <w:rPr>
          <w:rFonts w:eastAsia="Times New Roman"/>
        </w:rPr>
        <w:t xml:space="preserve">: </w:t>
      </w:r>
      <w:r w:rsidR="00777DCB" w:rsidRPr="00A52585">
        <w:rPr>
          <w:rFonts w:eastAsia="Times New Roman"/>
          <w:rtl/>
        </w:rPr>
        <w:t>فذهب، فقال: السّلام عليكم، فقالوا: السّلام عليك ورحمة اللّه، فزادوه ورحمة اللّه</w:t>
      </w:r>
      <w:r w:rsidR="00777DCB" w:rsidRPr="00A52585">
        <w:rPr>
          <w:rFonts w:eastAsia="Times New Roman"/>
        </w:rPr>
        <w:t xml:space="preserve"> </w:t>
      </w:r>
      <w:r w:rsidR="00777DCB" w:rsidRPr="00A52585">
        <w:rPr>
          <w:rFonts w:eastAsia="Times New Roman"/>
          <w:rtl/>
        </w:rPr>
        <w:t>قال: فكلّ من يدخل الجنّة على صورة آدم، طوله ستّون ذراعًا، فلم يزل الخلق ينقص</w:t>
      </w:r>
      <w:r w:rsidR="00777DCB" w:rsidRPr="00A52585">
        <w:rPr>
          <w:rFonts w:eastAsia="Times New Roman"/>
        </w:rPr>
        <w:t xml:space="preserve"> </w:t>
      </w:r>
      <w:r w:rsidR="00777DCB" w:rsidRPr="00A52585">
        <w:rPr>
          <w:rFonts w:eastAsia="Times New Roman"/>
          <w:rtl/>
        </w:rPr>
        <w:t>حتّى الآن</w:t>
      </w:r>
      <w:r w:rsidRPr="00A52585">
        <w:rPr>
          <w:rFonts w:eastAsia="Times New Roman"/>
          <w:rtl/>
        </w:rPr>
        <w:t>)</w:t>
      </w:r>
      <w:r w:rsidR="00777DCB" w:rsidRPr="00A52585">
        <w:rPr>
          <w:rFonts w:eastAsia="Times New Roman"/>
          <w:rtl/>
        </w:rPr>
        <w:t>) قال أبو بكرٍ</w:t>
      </w:r>
      <w:r w:rsidRPr="00A52585">
        <w:rPr>
          <w:rFonts w:eastAsia="Times New Roman"/>
          <w:rtl/>
        </w:rPr>
        <w:t>:</w:t>
      </w:r>
      <w:r w:rsidR="00777DCB" w:rsidRPr="00A52585">
        <w:rPr>
          <w:rFonts w:eastAsia="Times New Roman"/>
          <w:rtl/>
        </w:rPr>
        <w:t xml:space="preserve"> فصورة آدم ستّون ذراعًا، الّتي أخبر النّبيّ صلّى الله</w:t>
      </w:r>
      <w:r w:rsidR="00777DCB" w:rsidRPr="00A52585">
        <w:rPr>
          <w:rFonts w:eastAsia="Times New Roman"/>
        </w:rPr>
        <w:t xml:space="preserve"> </w:t>
      </w:r>
      <w:r w:rsidR="00777DCB" w:rsidRPr="00A52585">
        <w:rPr>
          <w:rFonts w:eastAsia="Times New Roman"/>
          <w:rtl/>
        </w:rPr>
        <w:t>عليه وسلّم أنّ آدم عليه السّلام خلق عليها، لا على ما توهّم بعض من لم يتحرّ</w:t>
      </w:r>
      <w:r w:rsidR="00777DCB" w:rsidRPr="00A52585">
        <w:rPr>
          <w:rFonts w:eastAsia="Times New Roman"/>
        </w:rPr>
        <w:t xml:space="preserve"> </w:t>
      </w:r>
      <w:r w:rsidR="00777DCB" w:rsidRPr="00A52585">
        <w:rPr>
          <w:rFonts w:eastAsia="Times New Roman"/>
          <w:rtl/>
        </w:rPr>
        <w:t>العلم، فظنّ أنّ قوله: (</w:t>
      </w:r>
      <w:r w:rsidRPr="00A52585">
        <w:rPr>
          <w:rFonts w:eastAsia="Times New Roman"/>
          <w:rtl/>
        </w:rPr>
        <w:t>(</w:t>
      </w:r>
      <w:r w:rsidR="00777DCB" w:rsidRPr="00A52585">
        <w:rPr>
          <w:rFonts w:eastAsia="Times New Roman"/>
          <w:rtl/>
        </w:rPr>
        <w:t>على صورته</w:t>
      </w:r>
      <w:r w:rsidRPr="00A52585">
        <w:rPr>
          <w:rFonts w:eastAsia="Times New Roman"/>
          <w:rtl/>
        </w:rPr>
        <w:t>)</w:t>
      </w:r>
      <w:r w:rsidR="00777DCB" w:rsidRPr="00A52585">
        <w:rPr>
          <w:rFonts w:eastAsia="Times New Roman"/>
          <w:rtl/>
        </w:rPr>
        <w:t>) صورة الرّحمن، صفةً من صفات ذاته جلّ وعلا عن أن</w:t>
      </w:r>
      <w:r w:rsidR="00777DCB" w:rsidRPr="00A52585">
        <w:rPr>
          <w:rFonts w:eastAsia="Times New Roman"/>
        </w:rPr>
        <w:t xml:space="preserve"> </w:t>
      </w:r>
      <w:r w:rsidR="00777DCB" w:rsidRPr="00A52585">
        <w:rPr>
          <w:rFonts w:eastAsia="Times New Roman"/>
          <w:rtl/>
        </w:rPr>
        <w:t xml:space="preserve">يوصف </w:t>
      </w:r>
      <w:proofErr w:type="spellStart"/>
      <w:r w:rsidR="00777DCB" w:rsidRPr="00A52585">
        <w:rPr>
          <w:rFonts w:eastAsia="Times New Roman"/>
          <w:rtl/>
        </w:rPr>
        <w:t>بالموتان</w:t>
      </w:r>
      <w:proofErr w:type="spellEnd"/>
      <w:r w:rsidR="00777DCB" w:rsidRPr="00A52585">
        <w:rPr>
          <w:rFonts w:eastAsia="Times New Roman"/>
          <w:rtl/>
        </w:rPr>
        <w:t xml:space="preserve"> والأبشار، قد نزّه اللّه نفسه وقدّس عن صفات المخلوقين، فقال: {ليس</w:t>
      </w:r>
      <w:r w:rsidR="00777DCB" w:rsidRPr="00A52585">
        <w:rPr>
          <w:rFonts w:eastAsia="Times New Roman"/>
        </w:rPr>
        <w:t xml:space="preserve"> </w:t>
      </w:r>
      <w:r w:rsidR="00777DCB" w:rsidRPr="00A52585">
        <w:rPr>
          <w:rFonts w:eastAsia="Times New Roman"/>
          <w:rtl/>
        </w:rPr>
        <w:t>كمثله شيءٌ وهو السّميع البصير}</w:t>
      </w:r>
      <w:r w:rsidRPr="00A52585">
        <w:rPr>
          <w:rFonts w:eastAsia="Times New Roman"/>
          <w:rtl/>
        </w:rPr>
        <w:t>)</w:t>
      </w:r>
      <w:r w:rsidR="00777DCB" w:rsidRPr="00A52585">
        <w:rPr>
          <w:rFonts w:eastAsia="Times New Roman"/>
          <w:rtl/>
        </w:rPr>
        <w:t xml:space="preserve"> أهـ</w:t>
      </w:r>
      <w:r w:rsidRPr="00A52585">
        <w:rPr>
          <w:rFonts w:eastAsia="Times New Roman"/>
          <w:rtl/>
        </w:rPr>
        <w:t xml:space="preserve"> [</w:t>
      </w:r>
      <w:r w:rsidR="00777DCB" w:rsidRPr="00A52585">
        <w:rPr>
          <w:rFonts w:eastAsia="Times New Roman"/>
          <w:rtl/>
        </w:rPr>
        <w:t>التوحيد: 1/81 إلى 93</w:t>
      </w:r>
      <w:r w:rsidRPr="00A52585">
        <w:rPr>
          <w:rFonts w:eastAsia="Times New Roman"/>
          <w:rtl/>
        </w:rPr>
        <w:t>]</w:t>
      </w:r>
      <w:r w:rsidR="00DB731D" w:rsidRPr="00A52585">
        <w:rPr>
          <w:rFonts w:eastAsia="Times New Roman"/>
          <w:rtl/>
        </w:rPr>
        <w:t>،</w:t>
      </w:r>
    </w:p>
    <w:p w14:paraId="11DA80FC" w14:textId="77777777" w:rsidR="00777DCB" w:rsidRPr="00A52585" w:rsidRDefault="00777DCB" w:rsidP="0002035C">
      <w:pPr>
        <w:spacing w:after="240"/>
        <w:jc w:val="center"/>
        <w:rPr>
          <w:lang w:bidi="ar-KW"/>
        </w:rPr>
      </w:pPr>
      <w:r w:rsidRPr="00A52585">
        <w:rPr>
          <w:rFonts w:hint="cs"/>
          <w:rtl/>
          <w:lang w:bidi="ar-KW"/>
        </w:rPr>
        <w:t xml:space="preserve">****** </w:t>
      </w:r>
    </w:p>
    <w:p w14:paraId="0692FE38" w14:textId="77777777" w:rsidR="00777DCB" w:rsidRPr="00A52585" w:rsidRDefault="00777DCB" w:rsidP="0002035C">
      <w:pPr>
        <w:spacing w:after="240"/>
        <w:jc w:val="center"/>
        <w:rPr>
          <w:rtl/>
          <w:lang w:bidi="ar-KW"/>
        </w:rPr>
      </w:pPr>
    </w:p>
    <w:p w14:paraId="2ECD3F40" w14:textId="73593231" w:rsidR="00777DCB" w:rsidRPr="00A52585" w:rsidRDefault="0002035C" w:rsidP="00A52585">
      <w:pPr>
        <w:pStyle w:val="2"/>
        <w:bidi/>
        <w:jc w:val="center"/>
        <w:rPr>
          <w:u w:val="none"/>
          <w:rtl/>
        </w:rPr>
      </w:pPr>
      <w:r w:rsidRPr="00A52585">
        <w:rPr>
          <w:rFonts w:hint="cs"/>
          <w:u w:val="none"/>
          <w:rtl/>
        </w:rPr>
        <w:lastRenderedPageBreak/>
        <w:t>(</w:t>
      </w:r>
      <w:r w:rsidR="00777DCB" w:rsidRPr="00A52585">
        <w:rPr>
          <w:rFonts w:hint="cs"/>
          <w:u w:val="none"/>
          <w:rtl/>
        </w:rPr>
        <w:t>2</w:t>
      </w:r>
      <w:r w:rsidRPr="00A52585">
        <w:rPr>
          <w:rFonts w:hint="cs"/>
          <w:u w:val="none"/>
          <w:rtl/>
        </w:rPr>
        <w:t>)</w:t>
      </w:r>
      <w:bookmarkStart w:id="4" w:name="ص2"/>
      <w:r w:rsidR="00A52585" w:rsidRPr="00A52585">
        <w:rPr>
          <w:rFonts w:hint="cs"/>
          <w:u w:val="none"/>
          <w:rtl/>
        </w:rPr>
        <w:t xml:space="preserve"> </w:t>
      </w:r>
      <w:r w:rsidR="00777DCB" w:rsidRPr="00A52585">
        <w:rPr>
          <w:rFonts w:hint="cs"/>
          <w:u w:val="none"/>
          <w:rtl/>
        </w:rPr>
        <w:t>حل إشكالية المكان</w:t>
      </w:r>
      <w:r w:rsidR="00DB731D" w:rsidRPr="00A52585">
        <w:rPr>
          <w:rFonts w:hint="cs"/>
          <w:u w:val="none"/>
          <w:rtl/>
        </w:rPr>
        <w:t>،</w:t>
      </w:r>
      <w:r w:rsidR="00777DCB" w:rsidRPr="00A52585">
        <w:rPr>
          <w:rFonts w:hint="cs"/>
          <w:u w:val="none"/>
          <w:rtl/>
        </w:rPr>
        <w:t xml:space="preserve"> وتحقيق القول في حديث</w:t>
      </w:r>
      <w:r w:rsidRPr="00A52585">
        <w:rPr>
          <w:rFonts w:hint="cs"/>
          <w:u w:val="none"/>
          <w:rtl/>
        </w:rPr>
        <w:t>:</w:t>
      </w:r>
      <w:r w:rsidR="00777DCB" w:rsidRPr="00A52585">
        <w:rPr>
          <w:rFonts w:hint="cs"/>
          <w:u w:val="none"/>
          <w:rtl/>
        </w:rPr>
        <w:t xml:space="preserve"> (</w:t>
      </w:r>
      <w:r w:rsidRPr="00A52585">
        <w:rPr>
          <w:rFonts w:hint="cs"/>
          <w:u w:val="none"/>
          <w:rtl/>
        </w:rPr>
        <w:t>(</w:t>
      </w:r>
      <w:r w:rsidR="00777DCB" w:rsidRPr="00A52585">
        <w:rPr>
          <w:rFonts w:hint="cs"/>
          <w:u w:val="none"/>
          <w:rtl/>
        </w:rPr>
        <w:t>أين الله</w:t>
      </w:r>
      <w:r w:rsidRPr="00A52585">
        <w:rPr>
          <w:rFonts w:hint="cs"/>
          <w:u w:val="none"/>
          <w:rtl/>
        </w:rPr>
        <w:t>)</w:t>
      </w:r>
      <w:r w:rsidR="00777DCB" w:rsidRPr="00A52585">
        <w:rPr>
          <w:rFonts w:hint="cs"/>
          <w:u w:val="none"/>
          <w:rtl/>
        </w:rPr>
        <w:t>) والقضاء على شبه المجسمة المتعلقة به من اثبات المكان والحد والجهة والمقدار</w:t>
      </w:r>
    </w:p>
    <w:bookmarkEnd w:id="4"/>
    <w:p w14:paraId="0ACFB443" w14:textId="77777777" w:rsidR="00777DCB" w:rsidRPr="00A52585" w:rsidRDefault="00777DCB" w:rsidP="0002035C">
      <w:pPr>
        <w:rPr>
          <w:bCs/>
          <w:rtl/>
          <w:lang w:bidi="ar-KW"/>
        </w:rPr>
      </w:pPr>
    </w:p>
    <w:p w14:paraId="5D431753" w14:textId="6B84FC0E" w:rsidR="00777DCB" w:rsidRPr="00A52585" w:rsidRDefault="0002035C" w:rsidP="0002035C">
      <w:pPr>
        <w:rPr>
          <w:b/>
          <w:rtl/>
          <w:lang w:bidi="ar-KW"/>
        </w:rPr>
      </w:pPr>
      <w:r w:rsidRPr="00A52585">
        <w:rPr>
          <w:rFonts w:hint="cs"/>
          <w:bCs/>
          <w:rtl/>
          <w:lang w:bidi="ar-KW"/>
        </w:rPr>
        <w:t>(</w:t>
      </w:r>
      <w:r w:rsidR="00777DCB" w:rsidRPr="00A52585">
        <w:rPr>
          <w:rFonts w:hint="cs"/>
          <w:bCs/>
          <w:rtl/>
          <w:lang w:bidi="ar-KW"/>
        </w:rPr>
        <w:t>1</w:t>
      </w:r>
      <w:r w:rsidRPr="00A52585">
        <w:rPr>
          <w:rFonts w:hint="cs"/>
          <w:bCs/>
          <w:rtl/>
          <w:lang w:bidi="ar-KW"/>
        </w:rPr>
        <w:t>)</w:t>
      </w:r>
      <w:r w:rsidR="00777DCB" w:rsidRPr="00A52585">
        <w:rPr>
          <w:rFonts w:hint="cs"/>
          <w:bCs/>
          <w:rtl/>
          <w:lang w:bidi="ar-KW"/>
        </w:rPr>
        <w:t xml:space="preserve"> حديث الجارية له روايات عديدة مضطربة</w:t>
      </w:r>
      <w:r w:rsidR="00DB731D" w:rsidRPr="00A52585">
        <w:rPr>
          <w:rFonts w:hint="cs"/>
          <w:rtl/>
          <w:lang w:bidi="ar-KW"/>
        </w:rPr>
        <w:t>،</w:t>
      </w:r>
      <w:r w:rsidR="00777DCB" w:rsidRPr="00A52585">
        <w:rPr>
          <w:rFonts w:hint="cs"/>
          <w:rtl/>
          <w:lang w:bidi="ar-KW"/>
        </w:rPr>
        <w:t xml:space="preserve"> فيها من الاختلاف الكثير</w:t>
      </w:r>
      <w:r w:rsidR="00DB731D" w:rsidRPr="00A52585">
        <w:rPr>
          <w:rFonts w:hint="cs"/>
          <w:rtl/>
          <w:lang w:bidi="ar-KW"/>
        </w:rPr>
        <w:t>،</w:t>
      </w:r>
      <w:r w:rsidR="00777DCB" w:rsidRPr="00A52585">
        <w:rPr>
          <w:rFonts w:hint="cs"/>
          <w:rtl/>
          <w:lang w:bidi="ar-KW"/>
        </w:rPr>
        <w:t xml:space="preserve"> فقد جاءت روايات الحديث بثلاثة ألفاظ مختلفة</w:t>
      </w:r>
      <w:r w:rsidR="00DB731D" w:rsidRPr="00A52585">
        <w:rPr>
          <w:rFonts w:hint="cs"/>
          <w:rtl/>
          <w:lang w:bidi="ar-KW"/>
        </w:rPr>
        <w:t>،</w:t>
      </w:r>
      <w:r w:rsidR="00777DCB" w:rsidRPr="00A52585">
        <w:rPr>
          <w:rFonts w:hint="cs"/>
          <w:rtl/>
          <w:lang w:bidi="ar-KW"/>
        </w:rPr>
        <w:t xml:space="preserve"> الأولى بلفظ </w:t>
      </w:r>
      <w:r w:rsidRPr="00A52585">
        <w:rPr>
          <w:rFonts w:hint="cs"/>
          <w:rtl/>
          <w:lang w:bidi="ar-KW"/>
        </w:rPr>
        <w:t>(</w:t>
      </w:r>
      <w:r w:rsidR="00777DCB" w:rsidRPr="00A52585">
        <w:rPr>
          <w:rFonts w:hint="cs"/>
          <w:rtl/>
          <w:lang w:bidi="ar-KW"/>
        </w:rPr>
        <w:t>أتشهدين ان لا إله إلا الله</w:t>
      </w:r>
      <w:r w:rsidRPr="00A52585">
        <w:rPr>
          <w:rFonts w:hint="cs"/>
          <w:rtl/>
          <w:lang w:bidi="ar-KW"/>
        </w:rPr>
        <w:t>)</w:t>
      </w:r>
      <w:r w:rsidR="00777DCB" w:rsidRPr="00A52585">
        <w:rPr>
          <w:rFonts w:hint="cs"/>
          <w:rtl/>
          <w:lang w:bidi="ar-KW"/>
        </w:rPr>
        <w:t xml:space="preserve"> والثانية بلفظ </w:t>
      </w:r>
      <w:r w:rsidRPr="00A52585">
        <w:rPr>
          <w:rFonts w:hint="cs"/>
          <w:rtl/>
          <w:lang w:bidi="ar-KW"/>
        </w:rPr>
        <w:t>(</w:t>
      </w:r>
      <w:r w:rsidR="00777DCB" w:rsidRPr="00A52585">
        <w:rPr>
          <w:rFonts w:hint="cs"/>
          <w:rtl/>
          <w:lang w:bidi="ar-KW"/>
        </w:rPr>
        <w:t>من ربك</w:t>
      </w:r>
      <w:r w:rsidRPr="00A52585">
        <w:rPr>
          <w:rFonts w:hint="cs"/>
          <w:rtl/>
          <w:lang w:bidi="ar-KW"/>
        </w:rPr>
        <w:t>)</w:t>
      </w:r>
      <w:r w:rsidR="00777DCB" w:rsidRPr="00A52585">
        <w:rPr>
          <w:rFonts w:hint="cs"/>
          <w:rtl/>
          <w:lang w:bidi="ar-KW"/>
        </w:rPr>
        <w:t xml:space="preserve"> واللفظ الثالث مختلف عنهما يسأل عن المكان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لإثبات الإيمان</w:t>
      </w:r>
      <w:r w:rsidR="00DB731D" w:rsidRPr="00A52585">
        <w:rPr>
          <w:rFonts w:hint="cs"/>
          <w:rtl/>
          <w:lang w:bidi="ar-KW"/>
        </w:rPr>
        <w:t>،</w:t>
      </w:r>
      <w:r w:rsidR="00777DCB" w:rsidRPr="00A52585">
        <w:rPr>
          <w:rFonts w:hint="cs"/>
          <w:rtl/>
          <w:lang w:bidi="ar-KW"/>
        </w:rPr>
        <w:t xml:space="preserve"> وكذلك فإن هناك روايات تدل على أنّ الجارية فصيحة متكلمة ترد عندما كان الحديث بلفظ </w:t>
      </w:r>
      <w:r w:rsidRPr="00A52585">
        <w:rPr>
          <w:rFonts w:hint="cs"/>
          <w:rtl/>
          <w:lang w:bidi="ar-KW"/>
        </w:rPr>
        <w:t>(</w:t>
      </w:r>
      <w:r w:rsidR="00777DCB" w:rsidRPr="00A52585">
        <w:rPr>
          <w:rFonts w:hint="cs"/>
          <w:rtl/>
          <w:lang w:bidi="ar-KW"/>
        </w:rPr>
        <w:t>أتشهدين ان لا إله إلا الله</w:t>
      </w:r>
      <w:r w:rsidRPr="00A52585">
        <w:rPr>
          <w:rFonts w:hint="cs"/>
          <w:rtl/>
          <w:lang w:bidi="ar-KW"/>
        </w:rPr>
        <w:t>)</w:t>
      </w:r>
      <w:r w:rsidR="00777DCB" w:rsidRPr="00A52585">
        <w:rPr>
          <w:rFonts w:hint="cs"/>
          <w:rtl/>
          <w:lang w:bidi="ar-KW"/>
        </w:rPr>
        <w:t xml:space="preserve"> بقولها </w:t>
      </w:r>
      <w:r w:rsidRPr="00A52585">
        <w:rPr>
          <w:rFonts w:hint="cs"/>
          <w:rtl/>
          <w:lang w:bidi="ar-KW"/>
        </w:rPr>
        <w:t>(</w:t>
      </w:r>
      <w:r w:rsidR="00777DCB" w:rsidRPr="00A52585">
        <w:rPr>
          <w:rFonts w:hint="cs"/>
          <w:rtl/>
          <w:lang w:bidi="ar-KW"/>
        </w:rPr>
        <w:t>نعم</w:t>
      </w:r>
      <w:r w:rsidRPr="00A52585">
        <w:rPr>
          <w:rFonts w:hint="cs"/>
          <w:rtl/>
          <w:lang w:bidi="ar-KW"/>
        </w:rPr>
        <w:t>)</w:t>
      </w:r>
      <w:r w:rsidR="00777DCB" w:rsidRPr="00A52585">
        <w:rPr>
          <w:rFonts w:hint="cs"/>
          <w:rtl/>
          <w:lang w:bidi="ar-KW"/>
        </w:rPr>
        <w:t xml:space="preserve"> و عندما كان الحديث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بقولها </w:t>
      </w:r>
      <w:r w:rsidRPr="00A52585">
        <w:rPr>
          <w:rFonts w:hint="cs"/>
          <w:rtl/>
          <w:lang w:bidi="ar-KW"/>
        </w:rPr>
        <w:t>(</w:t>
      </w:r>
      <w:r w:rsidR="00777DCB" w:rsidRPr="00A52585">
        <w:rPr>
          <w:rFonts w:hint="cs"/>
          <w:rtl/>
          <w:lang w:bidi="ar-KW"/>
        </w:rPr>
        <w:t>في السماء</w:t>
      </w:r>
      <w:r w:rsidRPr="00A52585">
        <w:rPr>
          <w:rFonts w:hint="cs"/>
          <w:rtl/>
          <w:lang w:bidi="ar-KW"/>
        </w:rPr>
        <w:t>)</w:t>
      </w:r>
      <w:r w:rsidR="00777DCB" w:rsidRPr="00A52585">
        <w:rPr>
          <w:rFonts w:hint="cs"/>
          <w:rtl/>
          <w:lang w:bidi="ar-KW"/>
        </w:rPr>
        <w:t xml:space="preserve"> وروايات أخرى تدل على أنها خرساء أعجمية تشير بيدها فقط فعندما كان الحديث بلفظ </w:t>
      </w:r>
      <w:r w:rsidRPr="00A52585">
        <w:rPr>
          <w:rFonts w:hint="cs"/>
          <w:rtl/>
          <w:lang w:bidi="ar-KW"/>
        </w:rPr>
        <w:t>(</w:t>
      </w:r>
      <w:r w:rsidR="00777DCB" w:rsidRPr="00A52585">
        <w:rPr>
          <w:rFonts w:hint="cs"/>
          <w:rtl/>
          <w:lang w:bidi="ar-KW"/>
        </w:rPr>
        <w:t>أتشهدين ان لا إله إلا الله</w:t>
      </w:r>
      <w:r w:rsidRPr="00A52585">
        <w:rPr>
          <w:rFonts w:hint="cs"/>
          <w:rtl/>
          <w:lang w:bidi="ar-KW"/>
        </w:rPr>
        <w:t>)</w:t>
      </w:r>
      <w:r w:rsidR="00777DCB" w:rsidRPr="00A52585">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00DB731D" w:rsidRPr="00A52585">
        <w:rPr>
          <w:rFonts w:hint="cs"/>
          <w:rtl/>
          <w:lang w:bidi="ar-KW"/>
        </w:rPr>
        <w:t>،</w:t>
      </w:r>
      <w:r w:rsidR="00777DCB" w:rsidRPr="00A52585">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DB731D" w:rsidRPr="00A52585">
        <w:rPr>
          <w:rFonts w:hint="cs"/>
          <w:rtl/>
          <w:lang w:bidi="ar-KW"/>
        </w:rPr>
        <w:t>،</w:t>
      </w:r>
      <w:r w:rsidR="00777DCB" w:rsidRPr="00A52585">
        <w:rPr>
          <w:rFonts w:hint="cs"/>
          <w:rtl/>
          <w:lang w:bidi="ar-KW"/>
        </w:rPr>
        <w:t xml:space="preserve"> وقد أشار إلى اختلاف ألفاظ الحديث الكثير من الحفاظ منهم</w:t>
      </w:r>
      <w:r w:rsidRPr="00A52585">
        <w:rPr>
          <w:rFonts w:hint="cs"/>
          <w:rtl/>
          <w:lang w:bidi="ar-KW"/>
        </w:rPr>
        <w:t>:</w:t>
      </w:r>
      <w:r w:rsidR="00777DCB" w:rsidRPr="00A52585">
        <w:rPr>
          <w:rFonts w:hint="cs"/>
          <w:rtl/>
          <w:lang w:bidi="ar-KW"/>
        </w:rPr>
        <w:t xml:space="preserve"> </w:t>
      </w:r>
      <w:r w:rsidR="00777DCB" w:rsidRPr="00A52585">
        <w:rPr>
          <w:rFonts w:hint="cs"/>
          <w:rtl/>
        </w:rPr>
        <w:t>الامام الحافظ البيهقي</w:t>
      </w:r>
      <w:r w:rsidRPr="00A52585">
        <w:rPr>
          <w:rFonts w:hint="cs"/>
          <w:rtl/>
        </w:rPr>
        <w:t>:</w:t>
      </w:r>
      <w:r w:rsidR="00777DCB" w:rsidRPr="00A52585">
        <w:rPr>
          <w:rFonts w:hint="cs"/>
          <w:rtl/>
        </w:rPr>
        <w:t xml:space="preserve"> قال في كتابه الأسماء والصفات " وهذا صحيح قد أخرجه مسلم مقطعا من حديث الاوزاعي وحجاج الصواف عن يحيى بن أبي كثير دون قصة الجارية</w:t>
      </w:r>
      <w:r w:rsidR="00F95886" w:rsidRPr="00A52585">
        <w:rPr>
          <w:rFonts w:hint="cs"/>
          <w:rtl/>
        </w:rPr>
        <w:t>؟</w:t>
      </w:r>
      <w:r w:rsidR="00777DCB" w:rsidRPr="00A52585">
        <w:rPr>
          <w:rFonts w:hint="cs"/>
          <w:rtl/>
        </w:rPr>
        <w:t xml:space="preserve"> وأظنه إنما تركها من الحديث لاختلاف الرواة في لفظه</w:t>
      </w:r>
      <w:r w:rsidR="00DB731D" w:rsidRPr="00A52585">
        <w:rPr>
          <w:rFonts w:hint="cs"/>
          <w:rtl/>
        </w:rPr>
        <w:t>،</w:t>
      </w:r>
      <w:r w:rsidR="00777DCB" w:rsidRPr="00A52585">
        <w:rPr>
          <w:rFonts w:hint="cs"/>
          <w:rtl/>
        </w:rPr>
        <w:t xml:space="preserve"> وقد ذكرت في كتاب الظهار من السنن مخالفة من خالف معاوية بن الحكم في لفظ الحديث " </w:t>
      </w:r>
      <w:r w:rsidRPr="00A52585">
        <w:rPr>
          <w:rFonts w:hint="cs"/>
          <w:rtl/>
        </w:rPr>
        <w:t>[</w:t>
      </w:r>
      <w:r w:rsidR="00777DCB" w:rsidRPr="00A52585">
        <w:rPr>
          <w:rFonts w:hint="cs"/>
          <w:rtl/>
        </w:rPr>
        <w:t xml:space="preserve">الأسماء والصفات للبيهقي ص </w:t>
      </w:r>
      <w:r w:rsidRPr="00A52585">
        <w:rPr>
          <w:rFonts w:hint="cs"/>
          <w:rtl/>
        </w:rPr>
        <w:t>(</w:t>
      </w:r>
      <w:r w:rsidR="00777DCB" w:rsidRPr="00A52585">
        <w:rPr>
          <w:rFonts w:hint="cs"/>
          <w:rtl/>
        </w:rPr>
        <w:t>422</w:t>
      </w:r>
      <w:r w:rsidRPr="00A52585">
        <w:rPr>
          <w:rFonts w:hint="cs"/>
          <w:rtl/>
        </w:rPr>
        <w:t>)</w:t>
      </w:r>
      <w:r w:rsidR="00777DCB" w:rsidRPr="00A52585">
        <w:rPr>
          <w:rFonts w:hint="cs"/>
          <w:rtl/>
        </w:rPr>
        <w:t xml:space="preserve"> و انظر السنن الكبرى للبيهقي</w:t>
      </w:r>
      <w:r w:rsidRPr="00A52585">
        <w:rPr>
          <w:rFonts w:hint="cs"/>
          <w:rtl/>
        </w:rPr>
        <w:t xml:space="preserve"> </w:t>
      </w:r>
      <w:r w:rsidR="00777DCB" w:rsidRPr="00A52585">
        <w:rPr>
          <w:rFonts w:hint="cs"/>
          <w:rtl/>
        </w:rPr>
        <w:t>7 / 388</w:t>
      </w:r>
      <w:r w:rsidRPr="00A52585">
        <w:rPr>
          <w:rFonts w:hint="cs"/>
          <w:rtl/>
        </w:rPr>
        <w:t>)]</w:t>
      </w:r>
      <w:r w:rsidR="00777DCB" w:rsidRPr="00A52585">
        <w:rPr>
          <w:rFonts w:hint="cs"/>
          <w:rtl/>
        </w:rPr>
        <w:t xml:space="preserve"> والامام الحافظ البزار</w:t>
      </w:r>
      <w:r w:rsidRPr="00A52585">
        <w:rPr>
          <w:rFonts w:hint="cs"/>
          <w:rtl/>
        </w:rPr>
        <w:t>:</w:t>
      </w:r>
      <w:r w:rsidR="00777DCB" w:rsidRPr="00A52585">
        <w:rPr>
          <w:rFonts w:hint="cs"/>
          <w:rtl/>
        </w:rPr>
        <w:t xml:space="preserve"> قال " وهذا قد روي نحوه بألفاظ مختلفة " أهــ </w:t>
      </w:r>
      <w:r w:rsidRPr="00A52585">
        <w:rPr>
          <w:rFonts w:hint="cs"/>
          <w:rtl/>
        </w:rPr>
        <w:t>[</w:t>
      </w:r>
      <w:r w:rsidR="00777DCB" w:rsidRPr="00A52585">
        <w:rPr>
          <w:rFonts w:hint="cs"/>
          <w:rtl/>
        </w:rPr>
        <w:t>كشف الاستار 1 / 14] والحافظ ابن حجر العسقلاني</w:t>
      </w:r>
      <w:r w:rsidRPr="00A52585">
        <w:rPr>
          <w:rFonts w:hint="cs"/>
          <w:rtl/>
        </w:rPr>
        <w:t>:</w:t>
      </w:r>
      <w:r w:rsidR="00777DCB" w:rsidRPr="00A52585">
        <w:rPr>
          <w:rFonts w:hint="cs"/>
          <w:rtl/>
        </w:rPr>
        <w:t xml:space="preserve"> قال " وفي اللفظ مخالفة كثيرة " اه‍ </w:t>
      </w:r>
      <w:r w:rsidRPr="00A52585">
        <w:rPr>
          <w:rFonts w:hint="cs"/>
          <w:rtl/>
        </w:rPr>
        <w:t>[</w:t>
      </w:r>
      <w:r w:rsidR="00777DCB" w:rsidRPr="00A52585">
        <w:rPr>
          <w:rFonts w:hint="cs"/>
          <w:rtl/>
        </w:rPr>
        <w:t>التلخيص الحبير</w:t>
      </w:r>
      <w:r w:rsidRPr="00A52585">
        <w:rPr>
          <w:rFonts w:hint="cs"/>
          <w:rtl/>
        </w:rPr>
        <w:t xml:space="preserve"> </w:t>
      </w:r>
      <w:r w:rsidR="00777DCB" w:rsidRPr="00A52585">
        <w:rPr>
          <w:rFonts w:hint="cs"/>
          <w:rtl/>
        </w:rPr>
        <w:t>3 / 223</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rtl/>
          <w:lang w:bidi="ar-KW"/>
        </w:rPr>
        <w:lastRenderedPageBreak/>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آل عمران</w:t>
      </w:r>
      <w:r w:rsidRPr="00A52585">
        <w:rPr>
          <w:rFonts w:hint="cs"/>
          <w:rtl/>
          <w:lang w:bidi="ar-KW"/>
        </w:rPr>
        <w:t>:</w:t>
      </w:r>
      <w:r w:rsidR="00777DCB" w:rsidRPr="00A52585">
        <w:rPr>
          <w:rFonts w:hint="cs"/>
          <w:rtl/>
          <w:lang w:bidi="ar-KW"/>
        </w:rPr>
        <w:t xml:space="preserve"> 8</w:t>
      </w:r>
      <w:r w:rsidRPr="00A52585">
        <w:rPr>
          <w:rFonts w:hint="cs"/>
          <w:rtl/>
          <w:lang w:bidi="ar-KW"/>
        </w:rPr>
        <w:t>]</w:t>
      </w:r>
      <w:r w:rsidR="00777DCB" w:rsidRPr="00A52585">
        <w:rPr>
          <w:rFonts w:hint="cs"/>
          <w:rtl/>
          <w:lang w:bidi="ar-KW"/>
        </w:rPr>
        <w:t xml:space="preserve"> وحذرنا منهم الرسول الكريم صلى الله عليه وسلم</w:t>
      </w:r>
      <w:r w:rsidR="00DB731D" w:rsidRPr="00A52585">
        <w:rPr>
          <w:rFonts w:hint="cs"/>
          <w:rtl/>
          <w:lang w:bidi="ar-KW"/>
        </w:rPr>
        <w:t>،</w:t>
      </w:r>
      <w:r w:rsidR="00777DCB" w:rsidRPr="00A52585">
        <w:rPr>
          <w:rFonts w:hint="cs"/>
          <w:rtl/>
          <w:lang w:bidi="ar-KW"/>
        </w:rPr>
        <w:t xml:space="preserve"> فقد </w:t>
      </w:r>
      <w:r w:rsidR="00777DCB" w:rsidRPr="00A52585">
        <w:rPr>
          <w:rFonts w:eastAsia="Times New Roman" w:hint="cs"/>
          <w:rtl/>
        </w:rPr>
        <w:t>أخرج البخاري ومسلم عن أم المؤمنين عائشة رضي الله عنها قالت</w:t>
      </w:r>
      <w:r w:rsidRPr="00A52585">
        <w:rPr>
          <w:rFonts w:eastAsia="Times New Roman" w:hint="cs"/>
          <w:rtl/>
        </w:rPr>
        <w:t>:</w:t>
      </w:r>
      <w:r w:rsidR="00777DCB" w:rsidRPr="00A52585">
        <w:rPr>
          <w:rFonts w:eastAsia="Times New Roman" w:hint="cs"/>
          <w:rtl/>
        </w:rPr>
        <w:t xml:space="preserve"> تَلا رسولُ اللهِ صلَّى اللهُ عليه وسلَّم هذه الآيةَ</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قالَتْ</w:t>
      </w:r>
      <w:r w:rsidRPr="00A52585">
        <w:rPr>
          <w:rFonts w:eastAsia="Times New Roman" w:hint="cs"/>
          <w:rtl/>
        </w:rPr>
        <w:t>:</w:t>
      </w:r>
      <w:r w:rsidR="00777DCB" w:rsidRPr="00A52585">
        <w:rPr>
          <w:rFonts w:eastAsia="Times New Roman" w:hint="cs"/>
          <w:rtl/>
        </w:rPr>
        <w:t xml:space="preserve"> قال رسولُ اللهِ صلَّى اللهُ عليه وسلَّم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فإذا رأيتَ الذين يتَّبِعون ما تَشابَه منه، فأولئك الذين سَمَّى اللهُ، فاحذَروهم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البخاري</w:t>
      </w:r>
      <w:r w:rsidRPr="00A52585">
        <w:rPr>
          <w:rFonts w:eastAsia="Times New Roman" w:hint="cs"/>
          <w:rtl/>
        </w:rPr>
        <w:t>:</w:t>
      </w:r>
      <w:r w:rsidR="00777DCB" w:rsidRPr="00A52585">
        <w:rPr>
          <w:rFonts w:eastAsia="Times New Roman" w:hint="cs"/>
          <w:rtl/>
        </w:rPr>
        <w:t xml:space="preserve"> ح </w:t>
      </w:r>
      <w:r w:rsidRPr="00A52585">
        <w:rPr>
          <w:rFonts w:eastAsia="Times New Roman" w:hint="cs"/>
          <w:rtl/>
        </w:rPr>
        <w:t>(</w:t>
      </w:r>
      <w:r w:rsidR="00777DCB" w:rsidRPr="00A52585">
        <w:rPr>
          <w:rFonts w:eastAsia="Times New Roman" w:hint="cs"/>
          <w:rtl/>
        </w:rPr>
        <w:t>4547</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مسلم</w:t>
      </w:r>
      <w:r w:rsidRPr="00A52585">
        <w:rPr>
          <w:rFonts w:eastAsia="Times New Roman" w:hint="cs"/>
          <w:rtl/>
        </w:rPr>
        <w:t>:</w:t>
      </w:r>
      <w:r w:rsidR="00777DCB" w:rsidRPr="00A52585">
        <w:rPr>
          <w:rFonts w:eastAsia="Times New Roman" w:hint="cs"/>
          <w:rtl/>
        </w:rPr>
        <w:t xml:space="preserve"> ح </w:t>
      </w:r>
      <w:r w:rsidRPr="00A52585">
        <w:rPr>
          <w:rFonts w:eastAsia="Times New Roman" w:hint="cs"/>
          <w:rtl/>
        </w:rPr>
        <w:t>(</w:t>
      </w:r>
      <w:r w:rsidR="00777DCB" w:rsidRPr="00A52585">
        <w:rPr>
          <w:rFonts w:eastAsia="Times New Roman" w:hint="cs"/>
          <w:rtl/>
        </w:rPr>
        <w:t>2665</w:t>
      </w:r>
      <w:r w:rsidRPr="00A52585">
        <w:rPr>
          <w:rFonts w:eastAsia="Times New Roman" w:hint="cs"/>
          <w:rtl/>
        </w:rPr>
        <w:t>)</w:t>
      </w:r>
      <w:r w:rsidRPr="00A52585">
        <w:rPr>
          <w:rFonts w:hint="cs"/>
          <w:rtl/>
          <w:lang w:bidi="ar-KW"/>
        </w:rPr>
        <w:t>]</w:t>
      </w:r>
      <w:r w:rsidR="00DB731D" w:rsidRPr="00A52585">
        <w:rPr>
          <w:rFonts w:hint="cs"/>
          <w:rtl/>
          <w:lang w:bidi="ar-KW"/>
        </w:rPr>
        <w:t>،</w:t>
      </w:r>
      <w:r w:rsidR="00777DCB" w:rsidRPr="00A52585">
        <w:rPr>
          <w:rFonts w:hint="cs"/>
          <w:rtl/>
          <w:lang w:bidi="ar-KW"/>
        </w:rPr>
        <w:t xml:space="preserve"> وخلاصة </w:t>
      </w:r>
      <w:proofErr w:type="spellStart"/>
      <w:r w:rsidR="00777DCB" w:rsidRPr="00A52585">
        <w:rPr>
          <w:rFonts w:hint="cs"/>
          <w:rtl/>
          <w:lang w:bidi="ar-KW"/>
        </w:rPr>
        <w:t>الأمر</w:t>
      </w:r>
      <w:r w:rsidRPr="00A52585">
        <w:rPr>
          <w:rFonts w:hint="cs"/>
          <w:rtl/>
          <w:lang w:bidi="ar-KW"/>
        </w:rPr>
        <w:t>:</w:t>
      </w:r>
      <w:r w:rsidR="00777DCB" w:rsidRPr="00A52585">
        <w:rPr>
          <w:rFonts w:hint="cs"/>
          <w:rtl/>
          <w:lang w:bidi="ar-KW"/>
        </w:rPr>
        <w:t>أن</w:t>
      </w:r>
      <w:proofErr w:type="spellEnd"/>
      <w:r w:rsidR="00777DCB" w:rsidRPr="00A52585">
        <w:rPr>
          <w:rFonts w:hint="cs"/>
          <w:rtl/>
          <w:lang w:bidi="ar-KW"/>
        </w:rPr>
        <w:t xml:space="preserve"> الحديث جاء صحيحا بلفظ </w:t>
      </w:r>
      <w:r w:rsidRPr="00A52585">
        <w:rPr>
          <w:rFonts w:hint="cs"/>
          <w:rtl/>
          <w:lang w:bidi="ar-KW"/>
        </w:rPr>
        <w:t>(</w:t>
      </w:r>
      <w:r w:rsidR="00777DCB" w:rsidRPr="00A52585">
        <w:rPr>
          <w:rFonts w:hint="cs"/>
          <w:rtl/>
          <w:lang w:bidi="ar-KW"/>
        </w:rPr>
        <w:t>أتشهدين ان لا إله إلا الله</w:t>
      </w:r>
      <w:r w:rsidRPr="00A52585">
        <w:rPr>
          <w:rFonts w:hint="cs"/>
          <w:rtl/>
          <w:lang w:bidi="ar-KW"/>
        </w:rPr>
        <w:t>)</w:t>
      </w:r>
      <w:r w:rsidR="00777DCB" w:rsidRPr="00A52585">
        <w:rPr>
          <w:rFonts w:hint="cs"/>
          <w:rtl/>
          <w:lang w:bidi="ar-KW"/>
        </w:rPr>
        <w:t xml:space="preserve"> رواه الإمام مالك وغيره بسند صحيح وهو أكثر الروايات موافقة لأصول الشريعة في إثبات الإيمان بالشهادتين</w:t>
      </w:r>
      <w:r w:rsidR="00DB731D" w:rsidRPr="00A52585">
        <w:rPr>
          <w:rFonts w:hint="cs"/>
          <w:rtl/>
          <w:lang w:bidi="ar-KW"/>
        </w:rPr>
        <w:t>،</w:t>
      </w:r>
      <w:r w:rsidR="00777DCB" w:rsidRPr="00A52585">
        <w:rPr>
          <w:rFonts w:hint="cs"/>
          <w:rtl/>
          <w:lang w:bidi="ar-KW"/>
        </w:rPr>
        <w:t xml:space="preserve"> وجاء بلفظ </w:t>
      </w:r>
      <w:r w:rsidRPr="00A52585">
        <w:rPr>
          <w:rFonts w:hint="cs"/>
          <w:rtl/>
          <w:lang w:bidi="ar-KW"/>
        </w:rPr>
        <w:t>(</w:t>
      </w:r>
      <w:r w:rsidR="00777DCB" w:rsidRPr="00A52585">
        <w:rPr>
          <w:rFonts w:hint="cs"/>
          <w:rtl/>
          <w:lang w:bidi="ar-KW"/>
        </w:rPr>
        <w:t>من ربك</w:t>
      </w:r>
      <w:r w:rsidRPr="00A52585">
        <w:rPr>
          <w:rFonts w:hint="cs"/>
          <w:rtl/>
          <w:lang w:bidi="ar-KW"/>
        </w:rPr>
        <w:t>)</w:t>
      </w:r>
      <w:r w:rsidR="00777DCB" w:rsidRPr="00A52585">
        <w:rPr>
          <w:rFonts w:hint="cs"/>
          <w:rtl/>
          <w:lang w:bidi="ar-KW"/>
        </w:rPr>
        <w:t xml:space="preserve"> وهو كذلك موافق لأصول الشريعة في إثبات الإيمان</w:t>
      </w:r>
      <w:r w:rsidR="00DB731D" w:rsidRPr="00A52585">
        <w:rPr>
          <w:rFonts w:hint="cs"/>
          <w:rtl/>
          <w:lang w:bidi="ar-KW"/>
        </w:rPr>
        <w:t>،</w:t>
      </w:r>
      <w:r w:rsidR="00777DCB" w:rsidRPr="00A52585">
        <w:rPr>
          <w:rFonts w:hint="cs"/>
          <w:rtl/>
          <w:lang w:bidi="ar-KW"/>
        </w:rPr>
        <w:t xml:space="preserve"> وجاء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وقد تكفل علماء أهل السنة شرح تلك الرواية أيضا بما يوافق قواعد التنزيه العامة وأصول الشريعة الغراء</w:t>
      </w:r>
      <w:r w:rsidR="00DB731D" w:rsidRPr="00A52585">
        <w:rPr>
          <w:rFonts w:hint="cs"/>
          <w:rtl/>
          <w:lang w:bidi="ar-KW"/>
        </w:rPr>
        <w:t>،</w:t>
      </w:r>
      <w:r w:rsidR="00777DCB" w:rsidRPr="00A52585">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DB731D" w:rsidRPr="00A52585">
        <w:rPr>
          <w:rFonts w:hint="cs"/>
          <w:rtl/>
          <w:lang w:bidi="ar-KW"/>
        </w:rPr>
        <w:t>،</w:t>
      </w:r>
      <w:r w:rsidR="00777DCB" w:rsidRPr="00A52585">
        <w:rPr>
          <w:rFonts w:hint="cs"/>
          <w:rtl/>
          <w:lang w:bidi="ar-KW"/>
        </w:rPr>
        <w:t xml:space="preserve"> </w:t>
      </w:r>
    </w:p>
    <w:p w14:paraId="71E2B2B3" w14:textId="5D482017" w:rsidR="00777DCB" w:rsidRPr="00A52585" w:rsidRDefault="0002035C" w:rsidP="0002035C">
      <w:pPr>
        <w:rPr>
          <w:b/>
          <w:lang w:bidi="ar-KW"/>
        </w:rPr>
      </w:pPr>
      <w:r w:rsidRPr="00A52585">
        <w:rPr>
          <w:rFonts w:hint="cs"/>
          <w:bCs/>
          <w:rtl/>
          <w:lang w:bidi="ar-KW"/>
        </w:rPr>
        <w:t>(</w:t>
      </w:r>
      <w:r w:rsidR="00777DCB" w:rsidRPr="00A52585">
        <w:rPr>
          <w:rFonts w:hint="cs"/>
          <w:bCs/>
          <w:rtl/>
          <w:lang w:bidi="ar-KW"/>
        </w:rPr>
        <w:t>2</w:t>
      </w:r>
      <w:r w:rsidRPr="00A52585">
        <w:rPr>
          <w:rFonts w:hint="cs"/>
          <w:bCs/>
          <w:rtl/>
          <w:lang w:bidi="ar-KW"/>
        </w:rPr>
        <w:t>)</w:t>
      </w:r>
      <w:r w:rsidR="00777DCB" w:rsidRPr="00A52585">
        <w:rPr>
          <w:rFonts w:hint="cs"/>
          <w:bCs/>
          <w:rtl/>
          <w:lang w:bidi="ar-KW"/>
        </w:rPr>
        <w:t xml:space="preserve"> الروايات المختلفة للحديث والتي تدل على اضطراب الحديث</w:t>
      </w:r>
      <w:r w:rsidRPr="00A52585">
        <w:rPr>
          <w:rFonts w:hint="cs"/>
          <w:bCs/>
          <w:rtl/>
          <w:lang w:bidi="ar-KW"/>
        </w:rPr>
        <w:t>:</w:t>
      </w:r>
      <w:r w:rsidR="00777DCB" w:rsidRPr="00A52585">
        <w:rPr>
          <w:rFonts w:hint="cs"/>
          <w:bCs/>
          <w:rtl/>
          <w:lang w:bidi="ar-KW"/>
        </w:rPr>
        <w:t xml:space="preserve"> </w:t>
      </w:r>
      <w:r w:rsidR="00777DCB" w:rsidRPr="00A52585">
        <w:rPr>
          <w:rFonts w:hint="cs"/>
          <w:rtl/>
          <w:lang w:bidi="ar-KW"/>
        </w:rPr>
        <w:t>للحديث عدة روايات عكفت - بحمد الله تعالى - على جمعها من كتب الحديث</w:t>
      </w:r>
      <w:r w:rsidR="00DB731D" w:rsidRPr="00A52585">
        <w:rPr>
          <w:rFonts w:hint="cs"/>
          <w:rtl/>
          <w:lang w:bidi="ar-KW"/>
        </w:rPr>
        <w:t>،</w:t>
      </w:r>
      <w:r w:rsidR="00777DCB" w:rsidRPr="00A52585">
        <w:rPr>
          <w:rFonts w:hint="cs"/>
          <w:rtl/>
          <w:lang w:bidi="ar-KW"/>
        </w:rPr>
        <w:t xml:space="preserve"> وجمع أقوال علماء الحديث حولها وفق قواعد علم مصطلح الحديث وعلم الجرح والتعديل</w:t>
      </w:r>
      <w:r w:rsidR="00DB731D" w:rsidRPr="00A52585">
        <w:rPr>
          <w:rFonts w:hint="cs"/>
          <w:rtl/>
          <w:lang w:bidi="ar-KW"/>
        </w:rPr>
        <w:t>،</w:t>
      </w:r>
      <w:r w:rsidR="00777DCB" w:rsidRPr="00A52585">
        <w:rPr>
          <w:rFonts w:hint="cs"/>
          <w:rtl/>
          <w:lang w:bidi="ar-KW"/>
        </w:rPr>
        <w:t xml:space="preserve"> ورأيت أنها تؤول إلى ثلاث روايات لواقعة واحدة اختلف الرواة في ألفاظها</w:t>
      </w:r>
      <w:r w:rsidR="00DB731D" w:rsidRPr="00A52585">
        <w:rPr>
          <w:rFonts w:hint="cs"/>
          <w:rtl/>
          <w:lang w:bidi="ar-KW"/>
        </w:rPr>
        <w:t>،</w:t>
      </w:r>
    </w:p>
    <w:p w14:paraId="20EE7E48" w14:textId="26966CB1" w:rsidR="00777DCB" w:rsidRPr="00A52585" w:rsidRDefault="0002035C" w:rsidP="0002035C">
      <w:pPr>
        <w:rPr>
          <w:rFonts w:eastAsia="Times New Roman"/>
          <w:b/>
          <w:rtl/>
        </w:rPr>
      </w:pPr>
      <w:r w:rsidRPr="00A52585">
        <w:rPr>
          <w:rFonts w:hint="cs"/>
          <w:bCs/>
          <w:rtl/>
          <w:lang w:bidi="ar-KW"/>
        </w:rPr>
        <w:t>(</w:t>
      </w:r>
      <w:r w:rsidR="00777DCB" w:rsidRPr="00A52585">
        <w:rPr>
          <w:rFonts w:hint="cs"/>
          <w:bCs/>
          <w:rtl/>
          <w:lang w:bidi="ar-KW"/>
        </w:rPr>
        <w:t>3</w:t>
      </w:r>
      <w:r w:rsidRPr="00A52585">
        <w:rPr>
          <w:rFonts w:hint="cs"/>
          <w:bCs/>
          <w:rtl/>
          <w:lang w:bidi="ar-KW"/>
        </w:rPr>
        <w:t>)</w:t>
      </w:r>
      <w:r w:rsidR="00777DCB" w:rsidRPr="00A52585">
        <w:rPr>
          <w:rFonts w:hint="cs"/>
          <w:bCs/>
          <w:rtl/>
          <w:lang w:bidi="ar-KW"/>
        </w:rPr>
        <w:t xml:space="preserve"> الرواية الأولى بلفظ </w:t>
      </w:r>
      <w:r w:rsidRPr="00A52585">
        <w:rPr>
          <w:rFonts w:hint="cs"/>
          <w:bCs/>
          <w:rtl/>
          <w:lang w:bidi="ar-KW"/>
        </w:rPr>
        <w:t>(</w:t>
      </w:r>
      <w:r w:rsidR="00777DCB" w:rsidRPr="00A52585">
        <w:rPr>
          <w:rFonts w:hint="cs"/>
          <w:bCs/>
          <w:rtl/>
          <w:lang w:bidi="ar-KW"/>
        </w:rPr>
        <w:t>أتشهدين ان لا إله إلا الله</w:t>
      </w:r>
      <w:r w:rsidRPr="00A52585">
        <w:rPr>
          <w:rFonts w:hint="cs"/>
          <w:bCs/>
          <w:rtl/>
          <w:lang w:bidi="ar-KW"/>
        </w:rPr>
        <w:t>)</w:t>
      </w:r>
      <w:r w:rsidR="00DB731D" w:rsidRPr="00A52585">
        <w:rPr>
          <w:rFonts w:hint="cs"/>
          <w:rtl/>
          <w:lang w:bidi="ar-KW"/>
        </w:rPr>
        <w:t>،</w:t>
      </w:r>
      <w:r w:rsidR="00777DCB" w:rsidRPr="00A52585">
        <w:rPr>
          <w:rFonts w:hint="cs"/>
          <w:rtl/>
          <w:lang w:bidi="ar-KW"/>
        </w:rPr>
        <w:t xml:space="preserve"> </w:t>
      </w:r>
      <w:r w:rsidR="00777DCB" w:rsidRPr="00A52585">
        <w:rPr>
          <w:rFonts w:eastAsia="Times New Roman" w:hint="cs"/>
          <w:rtl/>
        </w:rPr>
        <w:t>أخرج الإمام مالك</w:t>
      </w:r>
      <w:r w:rsidR="00777DCB" w:rsidRPr="00A52585">
        <w:rPr>
          <w:rFonts w:eastAsia="Times New Roman" w:hint="cs"/>
        </w:rPr>
        <w:t xml:space="preserve"> </w:t>
      </w:r>
      <w:r w:rsidR="00777DCB" w:rsidRPr="00A52585">
        <w:rPr>
          <w:rFonts w:eastAsia="Times New Roman" w:hint="cs"/>
          <w:rtl/>
        </w:rPr>
        <w:t>عن ابن شهاب الزهري عن عبيد الله بن عبد الله بن عتبة بن مسعود</w:t>
      </w:r>
      <w:r w:rsidRPr="00A52585">
        <w:rPr>
          <w:rFonts w:eastAsia="Times New Roman" w:hint="cs"/>
          <w:rtl/>
        </w:rPr>
        <w:t>:</w:t>
      </w:r>
      <w:r w:rsidR="00777DCB" w:rsidRPr="00A52585">
        <w:rPr>
          <w:rFonts w:eastAsia="Times New Roman" w:hint="cs"/>
          <w:rtl/>
        </w:rPr>
        <w:t xml:space="preserve"> أن</w:t>
      </w:r>
      <w:r w:rsidR="00777DCB" w:rsidRPr="00A52585">
        <w:rPr>
          <w:rFonts w:eastAsia="Times New Roman" w:hint="cs"/>
        </w:rPr>
        <w:t xml:space="preserve"> </w:t>
      </w:r>
      <w:r w:rsidR="00777DCB" w:rsidRPr="00A52585">
        <w:rPr>
          <w:rFonts w:eastAsia="Times New Roman" w:hint="cs"/>
          <w:rtl/>
        </w:rPr>
        <w:t>رجلاً من الأنصار جاء إلى رسول الله صلى الله عليه وسلم بجارية له سوداء فقال: يا</w:t>
      </w:r>
      <w:r w:rsidR="00777DCB" w:rsidRPr="00A52585">
        <w:rPr>
          <w:rFonts w:eastAsia="Times New Roman" w:hint="cs"/>
        </w:rPr>
        <w:t xml:space="preserve"> </w:t>
      </w:r>
      <w:r w:rsidR="00777DCB" w:rsidRPr="00A52585">
        <w:rPr>
          <w:rFonts w:eastAsia="Times New Roman" w:hint="cs"/>
          <w:rtl/>
        </w:rPr>
        <w:t xml:space="preserve">رسول الله إن </w:t>
      </w:r>
      <w:proofErr w:type="gramStart"/>
      <w:r w:rsidR="00777DCB" w:rsidRPr="00A52585">
        <w:rPr>
          <w:rFonts w:eastAsia="Times New Roman" w:hint="cs"/>
          <w:rtl/>
        </w:rPr>
        <w:t>علي</w:t>
      </w:r>
      <w:proofErr w:type="gramEnd"/>
      <w:r w:rsidR="00777DCB" w:rsidRPr="00A52585">
        <w:rPr>
          <w:rFonts w:eastAsia="Times New Roman" w:hint="cs"/>
          <w:rtl/>
        </w:rPr>
        <w:t xml:space="preserve"> رقبة مؤمنة، فإن كنت تراها مؤمنة أعتقها. فقال لها رسول الله صلى</w:t>
      </w:r>
      <w:r w:rsidR="00777DCB" w:rsidRPr="00A52585">
        <w:rPr>
          <w:rFonts w:eastAsia="Times New Roman" w:hint="cs"/>
        </w:rPr>
        <w:t xml:space="preserve"> </w:t>
      </w:r>
      <w:r w:rsidR="00777DCB" w:rsidRPr="00A52585">
        <w:rPr>
          <w:rFonts w:eastAsia="Times New Roman" w:hint="cs"/>
          <w:rtl/>
        </w:rPr>
        <w:t>الله عليه وسلم</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w:t>
      </w:r>
      <w:r w:rsidRPr="00A52585">
        <w:rPr>
          <w:rFonts w:eastAsia="Times New Roman" w:hint="cs"/>
          <w:bCs/>
          <w:rtl/>
        </w:rPr>
        <w:t>(</w:t>
      </w:r>
      <w:r w:rsidR="00777DCB" w:rsidRPr="00A52585">
        <w:rPr>
          <w:rFonts w:eastAsia="Times New Roman" w:hint="cs"/>
          <w:bCs/>
          <w:rtl/>
        </w:rPr>
        <w:t>أتشهدين أن لا إله إلا الله</w:t>
      </w:r>
      <w:r w:rsidR="00F95886" w:rsidRPr="00A52585">
        <w:rPr>
          <w:rFonts w:eastAsia="Times New Roman" w:hint="cs"/>
          <w:bCs/>
          <w:rtl/>
        </w:rPr>
        <w:t>؟</w:t>
      </w:r>
      <w:r w:rsidR="00777DCB" w:rsidRPr="00A52585">
        <w:rPr>
          <w:rFonts w:eastAsia="Times New Roman" w:hint="cs"/>
          <w:bCs/>
          <w:rtl/>
        </w:rPr>
        <w:t xml:space="preserve"> قالت نعم</w:t>
      </w:r>
      <w:r w:rsidR="00DB731D" w:rsidRPr="00A52585">
        <w:rPr>
          <w:rFonts w:eastAsia="Times New Roman" w:hint="cs"/>
          <w:bCs/>
          <w:rtl/>
        </w:rPr>
        <w:t>،</w:t>
      </w:r>
      <w:r w:rsidR="00777DCB" w:rsidRPr="00A52585">
        <w:rPr>
          <w:rFonts w:eastAsia="Times New Roman" w:hint="cs"/>
          <w:bCs/>
          <w:rtl/>
        </w:rPr>
        <w:t xml:space="preserve"> قال أتشهدين أن محمدا رسول</w:t>
      </w:r>
      <w:r w:rsidR="00777DCB" w:rsidRPr="00A52585">
        <w:rPr>
          <w:rFonts w:eastAsia="Times New Roman" w:hint="cs"/>
          <w:bCs/>
        </w:rPr>
        <w:t xml:space="preserve"> </w:t>
      </w:r>
      <w:r w:rsidR="00777DCB" w:rsidRPr="00A52585">
        <w:rPr>
          <w:rFonts w:eastAsia="Times New Roman" w:hint="cs"/>
          <w:bCs/>
          <w:rtl/>
        </w:rPr>
        <w:t>الله</w:t>
      </w:r>
      <w:r w:rsidR="00F95886" w:rsidRPr="00A52585">
        <w:rPr>
          <w:rFonts w:eastAsia="Times New Roman" w:hint="cs"/>
          <w:bCs/>
          <w:rtl/>
        </w:rPr>
        <w:t>؟</w:t>
      </w:r>
      <w:r w:rsidR="00777DCB" w:rsidRPr="00A52585">
        <w:rPr>
          <w:rFonts w:eastAsia="Times New Roman" w:hint="cs"/>
          <w:bCs/>
          <w:rtl/>
        </w:rPr>
        <w:t xml:space="preserve"> قالت نعم</w:t>
      </w:r>
      <w:r w:rsidR="00DB731D" w:rsidRPr="00A52585">
        <w:rPr>
          <w:rFonts w:eastAsia="Times New Roman" w:hint="cs"/>
          <w:bCs/>
          <w:rtl/>
        </w:rPr>
        <w:t>،</w:t>
      </w:r>
      <w:r w:rsidR="00777DCB" w:rsidRPr="00A52585">
        <w:rPr>
          <w:rFonts w:eastAsia="Times New Roman" w:hint="cs"/>
          <w:bCs/>
          <w:rtl/>
        </w:rPr>
        <w:t xml:space="preserve"> قال أتوقنين بالبعث بعد الموت</w:t>
      </w:r>
      <w:r w:rsidR="00F95886" w:rsidRPr="00A52585">
        <w:rPr>
          <w:rFonts w:eastAsia="Times New Roman" w:hint="cs"/>
          <w:bCs/>
          <w:rtl/>
        </w:rPr>
        <w:t>؟</w:t>
      </w:r>
      <w:r w:rsidR="00777DCB" w:rsidRPr="00A52585">
        <w:rPr>
          <w:rFonts w:eastAsia="Times New Roman" w:hint="cs"/>
          <w:bCs/>
          <w:rtl/>
        </w:rPr>
        <w:t xml:space="preserve"> قالت نعم</w:t>
      </w:r>
      <w:r w:rsidR="00DB731D" w:rsidRPr="00A52585">
        <w:rPr>
          <w:rFonts w:eastAsia="Times New Roman" w:hint="cs"/>
          <w:bCs/>
          <w:rtl/>
        </w:rPr>
        <w:t>،</w:t>
      </w:r>
      <w:r w:rsidR="00777DCB" w:rsidRPr="00A52585">
        <w:rPr>
          <w:rFonts w:eastAsia="Times New Roman" w:hint="cs"/>
          <w:bCs/>
          <w:rtl/>
        </w:rPr>
        <w:t xml:space="preserve"> فقال رسول الله صلى الله</w:t>
      </w:r>
      <w:r w:rsidR="00777DCB" w:rsidRPr="00A52585">
        <w:rPr>
          <w:rFonts w:eastAsia="Times New Roman" w:hint="cs"/>
          <w:bCs/>
        </w:rPr>
        <w:t xml:space="preserve"> </w:t>
      </w:r>
      <w:r w:rsidR="00777DCB" w:rsidRPr="00A52585">
        <w:rPr>
          <w:rFonts w:eastAsia="Times New Roman" w:hint="cs"/>
          <w:bCs/>
          <w:rtl/>
        </w:rPr>
        <w:t xml:space="preserve">عليه </w:t>
      </w:r>
      <w:r w:rsidR="00777DCB" w:rsidRPr="00A52585">
        <w:rPr>
          <w:rFonts w:eastAsia="Times New Roman" w:hint="cs"/>
          <w:bCs/>
          <w:rtl/>
        </w:rPr>
        <w:lastRenderedPageBreak/>
        <w:t>وسلم أعتقها</w:t>
      </w:r>
      <w:r w:rsidRPr="00A52585">
        <w:rPr>
          <w:rFonts w:eastAsia="Times New Roman" w:hint="cs"/>
          <w:bCs/>
          <w:rtl/>
        </w:rPr>
        <w:t>)</w:t>
      </w:r>
      <w:r w:rsidR="00777DCB" w:rsidRPr="00A52585">
        <w:rPr>
          <w:rFonts w:eastAsia="Times New Roman" w:hint="cs"/>
          <w:bCs/>
          <w:rtl/>
        </w:rPr>
        <w:t>)</w:t>
      </w:r>
      <w:r w:rsidRPr="00A52585">
        <w:rPr>
          <w:rFonts w:eastAsia="Times New Roman" w:hint="cs"/>
          <w:rtl/>
        </w:rPr>
        <w:t xml:space="preserve"> [</w:t>
      </w:r>
      <w:r w:rsidR="00777DCB" w:rsidRPr="00A52585">
        <w:rPr>
          <w:rFonts w:eastAsia="Times New Roman" w:hint="cs"/>
          <w:rtl/>
        </w:rPr>
        <w:t xml:space="preserve">أخرجه الإمام في الموطأ </w:t>
      </w:r>
      <w:r w:rsidRPr="00A52585">
        <w:rPr>
          <w:rFonts w:eastAsia="Times New Roman" w:hint="cs"/>
          <w:rtl/>
        </w:rPr>
        <w:t>[</w:t>
      </w:r>
      <w:r w:rsidR="00777DCB" w:rsidRPr="00A52585">
        <w:rPr>
          <w:rFonts w:eastAsia="Times New Roman" w:hint="cs"/>
          <w:rtl/>
        </w:rPr>
        <w:t>2/777(1469)</w:t>
      </w:r>
      <w:r w:rsidRPr="00A52585">
        <w:rPr>
          <w:rFonts w:eastAsia="Times New Roman" w:hint="cs"/>
          <w:rtl/>
        </w:rPr>
        <w:t>]</w:t>
      </w:r>
      <w:r w:rsidR="00777DCB" w:rsidRPr="00A52585">
        <w:rPr>
          <w:rFonts w:eastAsia="Times New Roman" w:hint="cs"/>
          <w:rtl/>
        </w:rPr>
        <w:t xml:space="preserve"> وأخرجه الإمام أحمد في مسنده [مسند أحمد 3/451</w:t>
      </w:r>
      <w:r w:rsidRPr="00A52585">
        <w:rPr>
          <w:rFonts w:eastAsia="Times New Roman" w:hint="cs"/>
          <w:rtl/>
        </w:rPr>
        <w:t>]</w:t>
      </w:r>
      <w:r w:rsidR="00777DCB" w:rsidRPr="00A52585">
        <w:rPr>
          <w:rFonts w:eastAsia="Times New Roman" w:hint="cs"/>
          <w:rtl/>
        </w:rPr>
        <w:t xml:space="preserve"> وهو في مصنف عبد الرزاق </w:t>
      </w:r>
      <w:r w:rsidRPr="00A52585">
        <w:rPr>
          <w:rFonts w:eastAsia="Times New Roman" w:hint="cs"/>
          <w:rtl/>
        </w:rPr>
        <w:t>[</w:t>
      </w:r>
      <w:r w:rsidR="00777DCB" w:rsidRPr="00A52585">
        <w:rPr>
          <w:rFonts w:eastAsia="Times New Roman" w:hint="cs"/>
          <w:rtl/>
        </w:rPr>
        <w:t>9/175</w:t>
      </w:r>
      <w:r w:rsidRPr="00A52585">
        <w:rPr>
          <w:rFonts w:eastAsia="Times New Roman" w:hint="cs"/>
          <w:rtl/>
        </w:rPr>
        <w:t>]</w:t>
      </w:r>
      <w:r w:rsidR="00777DCB" w:rsidRPr="00A52585">
        <w:rPr>
          <w:rFonts w:eastAsia="Times New Roman" w:hint="cs"/>
          <w:rtl/>
        </w:rPr>
        <w:t xml:space="preserve"> والمنتقى لابن</w:t>
      </w:r>
      <w:r w:rsidR="00777DCB" w:rsidRPr="00A52585">
        <w:rPr>
          <w:rFonts w:eastAsia="Times New Roman" w:hint="cs"/>
        </w:rPr>
        <w:t xml:space="preserve"> </w:t>
      </w:r>
      <w:r w:rsidR="00777DCB" w:rsidRPr="00A52585">
        <w:rPr>
          <w:rFonts w:eastAsia="Times New Roman" w:hint="cs"/>
          <w:rtl/>
        </w:rPr>
        <w:t>الجارود [1/234(931)</w:t>
      </w:r>
      <w:r w:rsidRPr="00A52585">
        <w:rPr>
          <w:rFonts w:eastAsia="Times New Roman" w:hint="cs"/>
          <w:rtl/>
        </w:rPr>
        <w:t>]</w:t>
      </w:r>
      <w:r w:rsidR="00777DCB" w:rsidRPr="00A52585">
        <w:rPr>
          <w:rFonts w:eastAsia="Times New Roman" w:hint="cs"/>
          <w:rtl/>
        </w:rPr>
        <w:t xml:space="preserve"> والتوحيد لابن خزيمة </w:t>
      </w:r>
      <w:r w:rsidRPr="00A52585">
        <w:rPr>
          <w:rFonts w:eastAsia="Times New Roman" w:hint="cs"/>
          <w:rtl/>
        </w:rPr>
        <w:t>[</w:t>
      </w:r>
      <w:r w:rsidR="00777DCB" w:rsidRPr="00A52585">
        <w:rPr>
          <w:rFonts w:eastAsia="Times New Roman" w:hint="cs"/>
          <w:rtl/>
        </w:rPr>
        <w:t xml:space="preserve">122] وسنن البيهقي الكبرى </w:t>
      </w:r>
      <w:r w:rsidRPr="00A52585">
        <w:rPr>
          <w:rFonts w:eastAsia="Times New Roman" w:hint="cs"/>
          <w:rtl/>
        </w:rPr>
        <w:t>[</w:t>
      </w:r>
      <w:r w:rsidR="00777DCB" w:rsidRPr="00A52585">
        <w:rPr>
          <w:rFonts w:eastAsia="Times New Roman" w:hint="cs"/>
          <w:rtl/>
        </w:rPr>
        <w:t>7/388(15046)</w:t>
      </w:r>
      <w:r w:rsidRPr="00A52585">
        <w:rPr>
          <w:rFonts w:eastAsia="Times New Roman" w:hint="cs"/>
          <w:rtl/>
        </w:rPr>
        <w:t>]</w:t>
      </w:r>
      <w:r w:rsidR="00777DCB" w:rsidRPr="00A52585">
        <w:rPr>
          <w:rFonts w:eastAsia="Times New Roman" w:hint="cs"/>
          <w:rtl/>
        </w:rPr>
        <w:t xml:space="preserve"> وقال</w:t>
      </w:r>
      <w:r w:rsidR="00777DCB" w:rsidRPr="00A52585">
        <w:rPr>
          <w:rFonts w:eastAsia="Times New Roman" w:hint="cs"/>
        </w:rPr>
        <w:t xml:space="preserve"> </w:t>
      </w:r>
      <w:r w:rsidR="00777DCB" w:rsidRPr="00A52585">
        <w:rPr>
          <w:rFonts w:eastAsia="Times New Roman" w:hint="cs"/>
          <w:rtl/>
        </w:rPr>
        <w:t xml:space="preserve">الذهبي في العلو </w:t>
      </w:r>
      <w:r w:rsidRPr="00A52585">
        <w:rPr>
          <w:rFonts w:eastAsia="Times New Roman" w:hint="cs"/>
          <w:rtl/>
        </w:rPr>
        <w:t>[</w:t>
      </w:r>
      <w:r w:rsidR="00777DCB" w:rsidRPr="00A52585">
        <w:rPr>
          <w:rFonts w:eastAsia="Times New Roman" w:hint="cs"/>
          <w:rtl/>
        </w:rPr>
        <w:t>15] هذا حديث صحيح أخرجه ابن خزيمة في التوحيد وقال ابن كثير</w:t>
      </w:r>
      <w:r w:rsidR="00777DCB" w:rsidRPr="00A52585">
        <w:rPr>
          <w:rFonts w:eastAsia="Times New Roman" w:hint="cs"/>
        </w:rPr>
        <w:t xml:space="preserve"> </w:t>
      </w:r>
      <w:r w:rsidR="00777DCB" w:rsidRPr="00A52585">
        <w:rPr>
          <w:rFonts w:eastAsia="Times New Roman" w:hint="cs"/>
          <w:rtl/>
        </w:rPr>
        <w:t>في تفسيره</w:t>
      </w:r>
      <w:r w:rsidRPr="00A52585">
        <w:rPr>
          <w:rFonts w:eastAsia="Times New Roman" w:hint="cs"/>
          <w:rtl/>
        </w:rPr>
        <w:t>[</w:t>
      </w:r>
      <w:r w:rsidR="00777DCB" w:rsidRPr="00A52585">
        <w:rPr>
          <w:rFonts w:eastAsia="Times New Roman" w:hint="cs"/>
          <w:rtl/>
        </w:rPr>
        <w:t>1/535</w:t>
      </w:r>
      <w:r w:rsidRPr="00A52585">
        <w:rPr>
          <w:rFonts w:eastAsia="Times New Roman" w:hint="cs"/>
          <w:rtl/>
        </w:rPr>
        <w:t>]</w:t>
      </w:r>
      <w:r w:rsidR="00777DCB" w:rsidRPr="00A52585">
        <w:rPr>
          <w:rFonts w:eastAsia="Times New Roman" w:hint="cs"/>
          <w:rtl/>
        </w:rPr>
        <w:t xml:space="preserve"> " وهذا إسناد صحيح وجهالة الصحابي لا تضره</w:t>
      </w:r>
      <w:r w:rsidR="00777DCB" w:rsidRPr="00A52585">
        <w:rPr>
          <w:rFonts w:hint="cs"/>
          <w:rtl/>
          <w:lang w:bidi="ar-KW"/>
        </w:rPr>
        <w:t xml:space="preserve"> " أهــ</w:t>
      </w:r>
      <w:r w:rsidRPr="00A52585">
        <w:rPr>
          <w:rFonts w:hint="cs"/>
          <w:rtl/>
          <w:lang w:bidi="ar-KW"/>
        </w:rPr>
        <w:t xml:space="preserve"> </w:t>
      </w:r>
      <w:r w:rsidR="00777DCB" w:rsidRPr="00A52585">
        <w:rPr>
          <w:rFonts w:eastAsia="Times New Roman" w:hint="cs"/>
          <w:rtl/>
        </w:rPr>
        <w:t>وصححه أيضاً ابن عبـد</w:t>
      </w:r>
      <w:r w:rsidR="00777DCB" w:rsidRPr="00A52585">
        <w:rPr>
          <w:rFonts w:eastAsia="Times New Roman" w:hint="cs"/>
        </w:rPr>
        <w:t xml:space="preserve"> </w:t>
      </w:r>
      <w:r w:rsidR="00777DCB" w:rsidRPr="00A52585">
        <w:rPr>
          <w:rFonts w:eastAsia="Times New Roman" w:hint="cs"/>
          <w:rtl/>
        </w:rPr>
        <w:t xml:space="preserve">الـبر في التمهيد </w:t>
      </w:r>
      <w:r w:rsidRPr="00A52585">
        <w:rPr>
          <w:rFonts w:eastAsia="Times New Roman" w:hint="cs"/>
          <w:rtl/>
        </w:rPr>
        <w:t>[</w:t>
      </w:r>
      <w:r w:rsidR="00777DCB" w:rsidRPr="00A52585">
        <w:rPr>
          <w:rFonts w:eastAsia="Times New Roman" w:hint="cs"/>
          <w:rtl/>
        </w:rPr>
        <w:t xml:space="preserve">9/114]] </w:t>
      </w:r>
    </w:p>
    <w:p w14:paraId="786F505E" w14:textId="521C25C2" w:rsidR="00777DCB" w:rsidRPr="00A52585" w:rsidRDefault="0002035C" w:rsidP="0002035C">
      <w:pPr>
        <w:rPr>
          <w:rFonts w:eastAsia="Times New Roman"/>
          <w:b/>
        </w:rPr>
      </w:pPr>
      <w:r w:rsidRPr="00A52585">
        <w:rPr>
          <w:rFonts w:hint="cs"/>
          <w:bCs/>
          <w:rtl/>
          <w:lang w:bidi="ar-KW"/>
        </w:rPr>
        <w:t>(</w:t>
      </w:r>
      <w:r w:rsidR="00777DCB" w:rsidRPr="00A52585">
        <w:rPr>
          <w:rFonts w:hint="cs"/>
          <w:bCs/>
          <w:rtl/>
          <w:lang w:bidi="ar-KW"/>
        </w:rPr>
        <w:t>4</w:t>
      </w:r>
      <w:r w:rsidRPr="00A52585">
        <w:rPr>
          <w:rFonts w:hint="cs"/>
          <w:bCs/>
          <w:rtl/>
          <w:lang w:bidi="ar-KW"/>
        </w:rPr>
        <w:t>)</w:t>
      </w:r>
      <w:r w:rsidR="00777DCB" w:rsidRPr="00A52585">
        <w:rPr>
          <w:rFonts w:hint="cs"/>
          <w:bCs/>
          <w:rtl/>
          <w:lang w:bidi="ar-KW"/>
        </w:rPr>
        <w:t xml:space="preserve"> الرواية الثانية بلفظ </w:t>
      </w:r>
      <w:r w:rsidRPr="00A52585">
        <w:rPr>
          <w:rFonts w:hint="cs"/>
          <w:bCs/>
          <w:rtl/>
          <w:lang w:bidi="ar-KW"/>
        </w:rPr>
        <w:t>(</w:t>
      </w:r>
      <w:r w:rsidR="00777DCB" w:rsidRPr="00A52585">
        <w:rPr>
          <w:rFonts w:hint="cs"/>
          <w:bCs/>
          <w:rtl/>
          <w:lang w:bidi="ar-KW"/>
        </w:rPr>
        <w:t>من ربك</w:t>
      </w:r>
      <w:r w:rsidRPr="00A52585">
        <w:rPr>
          <w:rFonts w:hint="cs"/>
          <w:bCs/>
          <w:rtl/>
          <w:lang w:bidi="ar-KW"/>
        </w:rPr>
        <w:t>)</w:t>
      </w:r>
      <w:r w:rsidR="00DB731D" w:rsidRPr="00A52585">
        <w:rPr>
          <w:rFonts w:hint="cs"/>
          <w:bCs/>
          <w:rtl/>
          <w:lang w:bidi="ar-KW"/>
        </w:rPr>
        <w:t>،</w:t>
      </w:r>
      <w:r w:rsidR="00777DCB" w:rsidRPr="00A52585">
        <w:rPr>
          <w:rFonts w:hint="cs"/>
          <w:rtl/>
          <w:lang w:bidi="ar-KW"/>
        </w:rPr>
        <w:t xml:space="preserve"> أخرج أبو داود والنسائي والدارمي والإمام أحمد وابن حبان </w:t>
      </w:r>
      <w:r w:rsidR="00777DCB" w:rsidRPr="00A52585">
        <w:rPr>
          <w:rFonts w:eastAsia="Times New Roman" w:hint="cs"/>
          <w:rtl/>
        </w:rPr>
        <w:t>عن حماد بن سلمة</w:t>
      </w:r>
      <w:r w:rsidR="00777DCB" w:rsidRPr="00A52585">
        <w:rPr>
          <w:rFonts w:eastAsia="Times New Roman" w:hint="cs"/>
        </w:rPr>
        <w:t xml:space="preserve"> </w:t>
      </w:r>
      <w:r w:rsidR="00777DCB" w:rsidRPr="00A52585">
        <w:rPr>
          <w:rFonts w:eastAsia="Times New Roman" w:hint="cs"/>
          <w:rtl/>
        </w:rPr>
        <w:t>عن محمد بن عمرو عن أبي سلمة عن الشريد بن سويد الثقفي قال: قلت: (يا رسول الله إن</w:t>
      </w:r>
      <w:r w:rsidR="00777DCB" w:rsidRPr="00A52585">
        <w:rPr>
          <w:rFonts w:eastAsia="Times New Roman" w:hint="cs"/>
        </w:rPr>
        <w:t xml:space="preserve"> </w:t>
      </w:r>
      <w:r w:rsidR="00777DCB" w:rsidRPr="00A52585">
        <w:rPr>
          <w:rFonts w:eastAsia="Times New Roman" w:hint="cs"/>
          <w:rtl/>
        </w:rPr>
        <w:t>أمي أوصت أن نعتق عنها رقبة وعندي جارية سوداء قال ادع بها فجاءت، فقال</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w:t>
      </w:r>
      <w:r w:rsidRPr="00A52585">
        <w:rPr>
          <w:rFonts w:eastAsia="Times New Roman" w:hint="cs"/>
          <w:bCs/>
          <w:rtl/>
        </w:rPr>
        <w:t>(</w:t>
      </w:r>
      <w:r w:rsidR="00777DCB" w:rsidRPr="00A52585">
        <w:rPr>
          <w:rFonts w:eastAsia="Times New Roman" w:hint="cs"/>
          <w:bCs/>
          <w:rtl/>
        </w:rPr>
        <w:t>من ربك</w:t>
      </w:r>
      <w:r w:rsidR="00F95886" w:rsidRPr="00A52585">
        <w:rPr>
          <w:rFonts w:eastAsia="Times New Roman" w:hint="cs"/>
          <w:bCs/>
          <w:rtl/>
        </w:rPr>
        <w:t>؟</w:t>
      </w:r>
      <w:r w:rsidR="00777DCB" w:rsidRPr="00A52585">
        <w:rPr>
          <w:rFonts w:eastAsia="Times New Roman" w:hint="cs"/>
          <w:bCs/>
        </w:rPr>
        <w:t xml:space="preserve"> </w:t>
      </w:r>
      <w:r w:rsidR="00777DCB" w:rsidRPr="00A52585">
        <w:rPr>
          <w:rFonts w:eastAsia="Times New Roman" w:hint="cs"/>
          <w:bCs/>
          <w:rtl/>
        </w:rPr>
        <w:t>قالت الله</w:t>
      </w:r>
      <w:r w:rsidR="00DB731D" w:rsidRPr="00A52585">
        <w:rPr>
          <w:rFonts w:eastAsia="Times New Roman" w:hint="cs"/>
          <w:bCs/>
          <w:rtl/>
        </w:rPr>
        <w:t>،</w:t>
      </w:r>
      <w:r w:rsidR="00777DCB" w:rsidRPr="00A52585">
        <w:rPr>
          <w:rFonts w:eastAsia="Times New Roman" w:hint="cs"/>
          <w:bCs/>
          <w:rtl/>
        </w:rPr>
        <w:t xml:space="preserve"> قال: من أنا</w:t>
      </w:r>
      <w:r w:rsidR="00F95886" w:rsidRPr="00A52585">
        <w:rPr>
          <w:rFonts w:eastAsia="Times New Roman" w:hint="cs"/>
          <w:bCs/>
          <w:rtl/>
        </w:rPr>
        <w:t>؟</w:t>
      </w:r>
      <w:r w:rsidR="00777DCB" w:rsidRPr="00A52585">
        <w:rPr>
          <w:rFonts w:eastAsia="Times New Roman" w:hint="cs"/>
          <w:bCs/>
          <w:rtl/>
        </w:rPr>
        <w:t xml:space="preserve"> قالت</w:t>
      </w:r>
      <w:r w:rsidRPr="00A52585">
        <w:rPr>
          <w:rFonts w:eastAsia="Times New Roman" w:hint="cs"/>
          <w:bCs/>
          <w:rtl/>
        </w:rPr>
        <w:t>:</w:t>
      </w:r>
      <w:r w:rsidR="00777DCB" w:rsidRPr="00A52585">
        <w:rPr>
          <w:rFonts w:eastAsia="Times New Roman" w:hint="cs"/>
          <w:bCs/>
          <w:rtl/>
        </w:rPr>
        <w:t xml:space="preserve"> رسول الله</w:t>
      </w:r>
      <w:r w:rsidR="00DB731D" w:rsidRPr="00A52585">
        <w:rPr>
          <w:rFonts w:eastAsia="Times New Roman" w:hint="cs"/>
          <w:bCs/>
          <w:rtl/>
        </w:rPr>
        <w:t>،</w:t>
      </w:r>
      <w:r w:rsidR="00777DCB" w:rsidRPr="00A52585">
        <w:rPr>
          <w:rFonts w:eastAsia="Times New Roman" w:hint="cs"/>
          <w:bCs/>
          <w:rtl/>
        </w:rPr>
        <w:t xml:space="preserve"> قال</w:t>
      </w:r>
      <w:r w:rsidRPr="00A52585">
        <w:rPr>
          <w:rFonts w:eastAsia="Times New Roman" w:hint="cs"/>
          <w:bCs/>
          <w:rtl/>
        </w:rPr>
        <w:t>:</w:t>
      </w:r>
      <w:r w:rsidR="00777DCB" w:rsidRPr="00A52585">
        <w:rPr>
          <w:rFonts w:eastAsia="Times New Roman" w:hint="cs"/>
          <w:bCs/>
          <w:rtl/>
        </w:rPr>
        <w:t xml:space="preserve"> أعتقها فإنها مؤمنة</w:t>
      </w:r>
      <w:r w:rsidRPr="00A52585">
        <w:rPr>
          <w:rFonts w:eastAsia="Times New Roman" w:hint="cs"/>
          <w:b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أخرجه ابن حبان في صحيحه</w:t>
      </w:r>
      <w:r w:rsidRPr="00A52585">
        <w:rPr>
          <w:rFonts w:eastAsia="Times New Roman" w:hint="cs"/>
          <w:rtl/>
        </w:rPr>
        <w:t>:</w:t>
      </w:r>
      <w:r w:rsidR="00777DCB" w:rsidRPr="00A52585">
        <w:rPr>
          <w:rFonts w:eastAsia="Times New Roman" w:hint="cs"/>
          <w:rtl/>
        </w:rPr>
        <w:t xml:space="preserve"> 1/418(189)</w:t>
      </w:r>
      <w:r w:rsidR="00DB731D" w:rsidRPr="00A52585">
        <w:rPr>
          <w:rFonts w:eastAsia="Times New Roman" w:hint="cs"/>
          <w:rtl/>
        </w:rPr>
        <w:t>،</w:t>
      </w:r>
      <w:r w:rsidR="00777DCB" w:rsidRPr="00A52585">
        <w:rPr>
          <w:rFonts w:eastAsia="Times New Roman" w:hint="cs"/>
          <w:rtl/>
        </w:rPr>
        <w:t xml:space="preserve"> والإمام أحمد في مسنده</w:t>
      </w:r>
      <w:r w:rsidRPr="00A52585">
        <w:rPr>
          <w:rFonts w:eastAsia="Times New Roman" w:hint="cs"/>
          <w:rtl/>
        </w:rPr>
        <w:t>:</w:t>
      </w:r>
      <w:r w:rsidR="00777DCB" w:rsidRPr="00A52585">
        <w:rPr>
          <w:rFonts w:eastAsia="Times New Roman" w:hint="cs"/>
          <w:rtl/>
        </w:rPr>
        <w:t xml:space="preserve"> 4/222 و388 و389</w:t>
      </w:r>
      <w:r w:rsidR="00DB731D" w:rsidRPr="00A52585">
        <w:rPr>
          <w:rFonts w:eastAsia="Times New Roman" w:hint="cs"/>
          <w:rtl/>
        </w:rPr>
        <w:t>،</w:t>
      </w:r>
      <w:r w:rsidR="00777DCB" w:rsidRPr="00A52585">
        <w:rPr>
          <w:rFonts w:eastAsia="Times New Roman" w:hint="cs"/>
          <w:rtl/>
        </w:rPr>
        <w:t xml:space="preserve"> وأبو داود في سننه</w:t>
      </w:r>
      <w:r w:rsidRPr="00A52585">
        <w:rPr>
          <w:rFonts w:eastAsia="Times New Roman" w:hint="cs"/>
          <w:rtl/>
        </w:rPr>
        <w:t>:</w:t>
      </w:r>
      <w:r w:rsidR="00777DCB" w:rsidRPr="00A52585">
        <w:rPr>
          <w:rFonts w:eastAsia="Times New Roman" w:hint="cs"/>
          <w:rtl/>
        </w:rPr>
        <w:t xml:space="preserve"> ص 477 (3283)</w:t>
      </w:r>
      <w:r w:rsidR="00DB731D" w:rsidRPr="00A52585">
        <w:rPr>
          <w:rFonts w:eastAsia="Times New Roman" w:hint="cs"/>
          <w:rtl/>
        </w:rPr>
        <w:t>،</w:t>
      </w:r>
      <w:r w:rsidRPr="00A52585">
        <w:rPr>
          <w:rFonts w:eastAsia="Times New Roman" w:hint="cs"/>
          <w:rtl/>
        </w:rPr>
        <w:t xml:space="preserve"> </w:t>
      </w:r>
      <w:r w:rsidR="00777DCB" w:rsidRPr="00A52585">
        <w:rPr>
          <w:rFonts w:eastAsia="Times New Roman" w:hint="cs"/>
          <w:rtl/>
        </w:rPr>
        <w:t>وصححه الألباني في صحيح أبي داود</w:t>
      </w:r>
      <w:r w:rsidRPr="00A52585">
        <w:rPr>
          <w:rFonts w:eastAsia="Times New Roman" w:hint="cs"/>
          <w:rtl/>
        </w:rPr>
        <w:t>:</w:t>
      </w:r>
      <w:r w:rsidR="00777DCB" w:rsidRPr="00A52585">
        <w:rPr>
          <w:rFonts w:eastAsia="Times New Roman" w:hint="cs"/>
          <w:rtl/>
        </w:rPr>
        <w:t xml:space="preserve"> 2\322 </w:t>
      </w:r>
      <w:r w:rsidRPr="00A52585">
        <w:rPr>
          <w:rFonts w:eastAsia="Times New Roman" w:hint="cs"/>
          <w:rtl/>
        </w:rPr>
        <w:t>(</w:t>
      </w:r>
      <w:r w:rsidR="00777DCB" w:rsidRPr="00A52585">
        <w:rPr>
          <w:rFonts w:eastAsia="Times New Roman" w:hint="cs"/>
          <w:rtl/>
        </w:rPr>
        <w:t>3283</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والنسـائي في السنن الصغرى</w:t>
      </w:r>
      <w:r w:rsidRPr="00A52585">
        <w:rPr>
          <w:rFonts w:eastAsia="Times New Roman" w:hint="cs"/>
          <w:rtl/>
        </w:rPr>
        <w:t>:</w:t>
      </w:r>
      <w:r w:rsidR="00777DCB" w:rsidRPr="00A52585">
        <w:rPr>
          <w:rFonts w:eastAsia="Times New Roman" w:hint="cs"/>
          <w:rtl/>
        </w:rPr>
        <w:t xml:space="preserve"> 6/252</w:t>
      </w:r>
      <w:r w:rsidR="00DB731D" w:rsidRPr="00A52585">
        <w:rPr>
          <w:rFonts w:eastAsia="Times New Roman" w:hint="cs"/>
          <w:rtl/>
        </w:rPr>
        <w:t>،</w:t>
      </w:r>
      <w:r w:rsidRPr="00A52585">
        <w:rPr>
          <w:rFonts w:eastAsia="Times New Roman" w:hint="cs"/>
          <w:rtl/>
        </w:rPr>
        <w:t xml:space="preserve"> </w:t>
      </w:r>
      <w:r w:rsidR="00777DCB" w:rsidRPr="00A52585">
        <w:rPr>
          <w:rFonts w:eastAsia="Times New Roman" w:hint="cs"/>
          <w:rtl/>
        </w:rPr>
        <w:t>وفي السنن الكبرى</w:t>
      </w:r>
      <w:r w:rsidRPr="00A52585">
        <w:rPr>
          <w:rFonts w:eastAsia="Times New Roman" w:hint="cs"/>
          <w:rtl/>
        </w:rPr>
        <w:t xml:space="preserve">: </w:t>
      </w:r>
      <w:r w:rsidR="00777DCB" w:rsidRPr="00A52585">
        <w:rPr>
          <w:rFonts w:eastAsia="Times New Roman" w:hint="cs"/>
          <w:rtl/>
        </w:rPr>
        <w:t>4/110</w:t>
      </w:r>
      <w:r w:rsidR="00DB731D" w:rsidRPr="00A52585">
        <w:rPr>
          <w:rFonts w:eastAsia="Times New Roman" w:hint="cs"/>
          <w:rtl/>
        </w:rPr>
        <w:t>،</w:t>
      </w:r>
      <w:r w:rsidR="00777DCB" w:rsidRPr="00A52585">
        <w:rPr>
          <w:rFonts w:eastAsia="Times New Roman" w:hint="cs"/>
          <w:rtl/>
        </w:rPr>
        <w:t xml:space="preserve"> والدارمي في سننه</w:t>
      </w:r>
      <w:r w:rsidRPr="00A52585">
        <w:rPr>
          <w:rFonts w:eastAsia="Times New Roman" w:hint="cs"/>
          <w:rtl/>
        </w:rPr>
        <w:t>:</w:t>
      </w:r>
      <w:r w:rsidR="00777DCB" w:rsidRPr="00A52585">
        <w:rPr>
          <w:rFonts w:eastAsia="Times New Roman" w:hint="cs"/>
          <w:rtl/>
        </w:rPr>
        <w:t xml:space="preserve"> 2/244(2348)</w:t>
      </w:r>
      <w:r w:rsidR="00DB731D" w:rsidRPr="00A52585">
        <w:rPr>
          <w:rFonts w:eastAsia="Times New Roman" w:hint="cs"/>
          <w:rtl/>
        </w:rPr>
        <w:t>،</w:t>
      </w:r>
      <w:r w:rsidR="00777DCB" w:rsidRPr="00A52585">
        <w:rPr>
          <w:rFonts w:eastAsia="Times New Roman" w:hint="cs"/>
          <w:rtl/>
        </w:rPr>
        <w:t xml:space="preserve"> وابن خزيمة في كتابه التوحيد صـ 122</w:t>
      </w:r>
      <w:r w:rsidR="00DB731D" w:rsidRPr="00A52585">
        <w:rPr>
          <w:rFonts w:eastAsia="Times New Roman" w:hint="cs"/>
          <w:rtl/>
        </w:rPr>
        <w:t>،</w:t>
      </w:r>
      <w:r w:rsidR="00777DCB" w:rsidRPr="00A52585">
        <w:rPr>
          <w:rFonts w:eastAsia="Times New Roman" w:hint="cs"/>
          <w:rtl/>
        </w:rPr>
        <w:t xml:space="preserve"> والطبراني في المعجم الكبير</w:t>
      </w:r>
      <w:r w:rsidRPr="00A52585">
        <w:rPr>
          <w:rFonts w:eastAsia="Times New Roman" w:hint="cs"/>
          <w:rtl/>
        </w:rPr>
        <w:t>:</w:t>
      </w:r>
      <w:r w:rsidR="00777DCB" w:rsidRPr="00A52585">
        <w:rPr>
          <w:rFonts w:eastAsia="Times New Roman" w:hint="cs"/>
          <w:rtl/>
        </w:rPr>
        <w:t xml:space="preserve"> 7/320(7257)</w:t>
      </w:r>
      <w:r w:rsidR="00DB731D" w:rsidRPr="00A52585">
        <w:rPr>
          <w:rFonts w:eastAsia="Times New Roman" w:hint="cs"/>
          <w:rtl/>
        </w:rPr>
        <w:t>،</w:t>
      </w:r>
      <w:r w:rsidRPr="00A52585">
        <w:rPr>
          <w:rFonts w:eastAsia="Times New Roman" w:hint="cs"/>
          <w:rtl/>
        </w:rPr>
        <w:t xml:space="preserve"> </w:t>
      </w:r>
      <w:r w:rsidR="00777DCB" w:rsidRPr="00A52585">
        <w:rPr>
          <w:rFonts w:eastAsia="Times New Roman" w:hint="cs"/>
          <w:rtl/>
        </w:rPr>
        <w:t>والبيهقي في سننه الكبرى:</w:t>
      </w:r>
      <w:r w:rsidRPr="00A52585">
        <w:rPr>
          <w:rFonts w:eastAsia="Times New Roman" w:hint="cs"/>
          <w:rtl/>
        </w:rPr>
        <w:t xml:space="preserve"> </w:t>
      </w:r>
      <w:r w:rsidR="00777DCB" w:rsidRPr="00A52585">
        <w:rPr>
          <w:rFonts w:eastAsia="Times New Roman" w:hint="cs"/>
          <w:rtl/>
        </w:rPr>
        <w:t>7/388(15049)</w:t>
      </w:r>
      <w:r w:rsidRPr="00A52585">
        <w:rPr>
          <w:rFonts w:eastAsia="Times New Roman" w:hint="cs"/>
          <w:rtl/>
        </w:rPr>
        <w:t>]</w:t>
      </w:r>
    </w:p>
    <w:p w14:paraId="616B1989" w14:textId="0E2FEDCE" w:rsidR="00777DCB" w:rsidRPr="00A52585" w:rsidRDefault="0002035C" w:rsidP="0002035C">
      <w:pPr>
        <w:rPr>
          <w:b/>
          <w:rtl/>
          <w:lang w:bidi="ar-KW"/>
        </w:rPr>
      </w:pPr>
      <w:r w:rsidRPr="00A52585">
        <w:rPr>
          <w:rFonts w:hint="cs"/>
          <w:bCs/>
          <w:rtl/>
        </w:rPr>
        <w:t>(</w:t>
      </w:r>
      <w:r w:rsidR="00777DCB" w:rsidRPr="00A52585">
        <w:rPr>
          <w:rFonts w:hint="cs"/>
          <w:bCs/>
          <w:rtl/>
        </w:rPr>
        <w:t>5</w:t>
      </w:r>
      <w:r w:rsidRPr="00A52585">
        <w:rPr>
          <w:rFonts w:hint="cs"/>
          <w:bCs/>
          <w:rtl/>
        </w:rPr>
        <w:t>)</w:t>
      </w:r>
      <w:r w:rsidR="00777DCB" w:rsidRPr="00A52585">
        <w:rPr>
          <w:rFonts w:hint="cs"/>
          <w:bCs/>
          <w:rtl/>
        </w:rPr>
        <w:t xml:space="preserve"> </w:t>
      </w:r>
      <w:r w:rsidR="00777DCB" w:rsidRPr="00A52585">
        <w:rPr>
          <w:rFonts w:hint="cs"/>
          <w:bCs/>
          <w:rtl/>
          <w:lang w:bidi="ar-KW"/>
        </w:rPr>
        <w:t xml:space="preserve">الرواية الثالثة بلفظ </w:t>
      </w:r>
      <w:r w:rsidRPr="00A52585">
        <w:rPr>
          <w:rFonts w:hint="cs"/>
          <w:bCs/>
          <w:rtl/>
          <w:lang w:bidi="ar-KW"/>
        </w:rPr>
        <w:t>(</w:t>
      </w:r>
      <w:r w:rsidR="00777DCB" w:rsidRPr="00A52585">
        <w:rPr>
          <w:rFonts w:hint="cs"/>
          <w:bCs/>
          <w:rtl/>
          <w:lang w:bidi="ar-KW"/>
        </w:rPr>
        <w:t>أين الله</w:t>
      </w:r>
      <w:r w:rsidRPr="00A52585">
        <w:rPr>
          <w:rFonts w:hint="cs"/>
          <w:bCs/>
          <w:rtl/>
          <w:lang w:bidi="ar-KW"/>
        </w:rPr>
        <w:t>)</w:t>
      </w:r>
      <w:r w:rsidR="00DB731D" w:rsidRPr="00A52585">
        <w:rPr>
          <w:rFonts w:hint="cs"/>
          <w:rtl/>
          <w:lang w:bidi="ar-KW"/>
        </w:rPr>
        <w:t>،</w:t>
      </w:r>
      <w:r w:rsidR="00777DCB" w:rsidRPr="00A52585">
        <w:rPr>
          <w:rFonts w:hint="cs"/>
          <w:rtl/>
          <w:lang w:bidi="ar-KW"/>
        </w:rPr>
        <w:t xml:space="preserve"> </w:t>
      </w:r>
      <w:r w:rsidR="00777DCB" w:rsidRPr="00A52585">
        <w:rPr>
          <w:rFonts w:eastAsia="Times New Roman" w:hint="cs"/>
          <w:rtl/>
        </w:rPr>
        <w:t>أخرج الإمام</w:t>
      </w:r>
      <w:r w:rsidR="00777DCB" w:rsidRPr="00A52585">
        <w:rPr>
          <w:rFonts w:eastAsia="Times New Roman" w:hint="cs"/>
        </w:rPr>
        <w:t xml:space="preserve"> </w:t>
      </w:r>
      <w:r w:rsidR="00777DCB" w:rsidRPr="00A52585">
        <w:rPr>
          <w:rFonts w:eastAsia="Times New Roman" w:hint="cs"/>
          <w:rtl/>
        </w:rPr>
        <w:t>مسلم بسنده عن هلال بن أبي ميمونة عن عطاء بن يسار عن معاوية بن الحكم السلمي رضي</w:t>
      </w:r>
      <w:r w:rsidR="00777DCB" w:rsidRPr="00A52585">
        <w:rPr>
          <w:rFonts w:eastAsia="Times New Roman" w:hint="cs"/>
        </w:rPr>
        <w:t xml:space="preserve"> </w:t>
      </w:r>
      <w:r w:rsidR="00777DCB" w:rsidRPr="00A52585">
        <w:rPr>
          <w:rFonts w:eastAsia="Times New Roman" w:hint="cs"/>
          <w:rtl/>
        </w:rPr>
        <w:t>الله عنه قال</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بينا أنا أصلي مع رسول الله صلى الله عليه وسلم إذ عطس رجل من القوم</w:t>
      </w:r>
      <w:r w:rsidR="00777DCB" w:rsidRPr="00A52585">
        <w:rPr>
          <w:rFonts w:eastAsia="Times New Roman" w:hint="cs"/>
        </w:rPr>
        <w:t xml:space="preserve"> </w:t>
      </w:r>
      <w:r w:rsidR="00777DCB" w:rsidRPr="00A52585">
        <w:rPr>
          <w:rFonts w:eastAsia="Times New Roman" w:hint="cs"/>
          <w:rtl/>
        </w:rPr>
        <w:t xml:space="preserve">فقلت يرحمك الله فرماني القوم بأبصارهم فقلت واثكل </w:t>
      </w:r>
      <w:proofErr w:type="spellStart"/>
      <w:r w:rsidR="00777DCB" w:rsidRPr="00A52585">
        <w:rPr>
          <w:rFonts w:eastAsia="Times New Roman" w:hint="cs"/>
          <w:rtl/>
        </w:rPr>
        <w:t>أمياه</w:t>
      </w:r>
      <w:proofErr w:type="spellEnd"/>
      <w:r w:rsidR="00777DCB" w:rsidRPr="00A52585">
        <w:rPr>
          <w:rFonts w:eastAsia="Times New Roman" w:hint="cs"/>
          <w:rtl/>
        </w:rPr>
        <w:t xml:space="preserve"> ما شأنكم تنظرون إلي؟</w:t>
      </w:r>
      <w:r w:rsidR="00777DCB" w:rsidRPr="00A52585">
        <w:rPr>
          <w:rFonts w:eastAsia="Times New Roman" w:hint="cs"/>
        </w:rPr>
        <w:t xml:space="preserve"> </w:t>
      </w:r>
      <w:r w:rsidR="00777DCB" w:rsidRPr="00A52585">
        <w:rPr>
          <w:rFonts w:eastAsia="Times New Roman" w:hint="cs"/>
          <w:rtl/>
        </w:rPr>
        <w:t>فجعلوا يضربون بأيديهم على أفخاذهم، فلما رأيتهم يصمِّتونني لكني سكت فلما صلى رسول</w:t>
      </w:r>
      <w:r w:rsidR="00777DCB" w:rsidRPr="00A52585">
        <w:rPr>
          <w:rFonts w:eastAsia="Times New Roman" w:hint="cs"/>
        </w:rPr>
        <w:t xml:space="preserve"> </w:t>
      </w:r>
      <w:r w:rsidR="00777DCB" w:rsidRPr="00A52585">
        <w:rPr>
          <w:rFonts w:eastAsia="Times New Roman" w:hint="cs"/>
          <w:rtl/>
        </w:rPr>
        <w:t>الله صلى الله عليه وسلم فبأبي هو وأمي ما رأيت معلماً قبله ولا بعده أحسن تعليماً</w:t>
      </w:r>
      <w:r w:rsidR="00777DCB" w:rsidRPr="00A52585">
        <w:rPr>
          <w:rFonts w:eastAsia="Times New Roman" w:hint="cs"/>
        </w:rPr>
        <w:t xml:space="preserve"> </w:t>
      </w:r>
      <w:r w:rsidR="00777DCB" w:rsidRPr="00A52585">
        <w:rPr>
          <w:rFonts w:eastAsia="Times New Roman" w:hint="cs"/>
          <w:rtl/>
        </w:rPr>
        <w:t xml:space="preserve">منه فو الله ما </w:t>
      </w:r>
      <w:proofErr w:type="spellStart"/>
      <w:r w:rsidR="00777DCB" w:rsidRPr="00A52585">
        <w:rPr>
          <w:rFonts w:eastAsia="Times New Roman" w:hint="cs"/>
          <w:rtl/>
        </w:rPr>
        <w:t>كهرني</w:t>
      </w:r>
      <w:proofErr w:type="spellEnd"/>
      <w:r w:rsidR="00777DCB" w:rsidRPr="00A52585">
        <w:rPr>
          <w:rFonts w:eastAsia="Times New Roman" w:hint="cs"/>
          <w:rtl/>
        </w:rPr>
        <w:t xml:space="preserve"> ولا ضربني ولا شتمني قال إن هذه الصلاة لا يصلح فيها شيء من</w:t>
      </w:r>
      <w:r w:rsidR="00777DCB" w:rsidRPr="00A52585">
        <w:rPr>
          <w:rFonts w:eastAsia="Times New Roman" w:hint="cs"/>
        </w:rPr>
        <w:t xml:space="preserve"> </w:t>
      </w:r>
      <w:r w:rsidR="00777DCB" w:rsidRPr="00A52585">
        <w:rPr>
          <w:rFonts w:eastAsia="Times New Roman" w:hint="cs"/>
          <w:rtl/>
        </w:rPr>
        <w:t>كلام الناس إنما هو التسبيح والتكبير وقراءة القرآن أو كما قال رسول الله صلى الله</w:t>
      </w:r>
      <w:r w:rsidR="00777DCB" w:rsidRPr="00A52585">
        <w:rPr>
          <w:rFonts w:eastAsia="Times New Roman" w:hint="cs"/>
        </w:rPr>
        <w:t xml:space="preserve"> </w:t>
      </w:r>
      <w:r w:rsidR="00777DCB" w:rsidRPr="00A52585">
        <w:rPr>
          <w:rFonts w:eastAsia="Times New Roman" w:hint="cs"/>
          <w:rtl/>
        </w:rPr>
        <w:t>عليه وسلم، قلت يا رسول الله إني حديث عهد بجاهلية وقد جاء الله بالإسلام وإن منا</w:t>
      </w:r>
      <w:r w:rsidR="00777DCB" w:rsidRPr="00A52585">
        <w:rPr>
          <w:rFonts w:eastAsia="Times New Roman" w:hint="cs"/>
        </w:rPr>
        <w:t xml:space="preserve"> </w:t>
      </w:r>
      <w:r w:rsidR="00777DCB" w:rsidRPr="00A52585">
        <w:rPr>
          <w:rFonts w:eastAsia="Times New Roman" w:hint="cs"/>
          <w:rtl/>
        </w:rPr>
        <w:t>رجالاً يأتون الكهان قال فلا تأتهم قال ومنا رجال يتطيرون قال ذاك شيء يجدونه في</w:t>
      </w:r>
      <w:r w:rsidR="00777DCB" w:rsidRPr="00A52585">
        <w:rPr>
          <w:rFonts w:eastAsia="Times New Roman" w:hint="cs"/>
        </w:rPr>
        <w:t xml:space="preserve"> </w:t>
      </w:r>
      <w:r w:rsidR="00777DCB" w:rsidRPr="00A52585">
        <w:rPr>
          <w:rFonts w:eastAsia="Times New Roman" w:hint="cs"/>
          <w:rtl/>
        </w:rPr>
        <w:t>صدورهم فلا يصدنهم قال فلا يصدنكم قال قلت ومنا رجال يخطون قال كان نبي من الأنبياء</w:t>
      </w:r>
      <w:r w:rsidR="00777DCB" w:rsidRPr="00A52585">
        <w:rPr>
          <w:rFonts w:eastAsia="Times New Roman" w:hint="cs"/>
        </w:rPr>
        <w:t xml:space="preserve"> </w:t>
      </w:r>
      <w:r w:rsidR="00777DCB" w:rsidRPr="00A52585">
        <w:rPr>
          <w:rFonts w:eastAsia="Times New Roman" w:hint="cs"/>
          <w:rtl/>
        </w:rPr>
        <w:t>يخط فمن وافق خطه فذاك</w:t>
      </w:r>
      <w:r w:rsidR="00DB731D" w:rsidRPr="00A52585">
        <w:rPr>
          <w:rFonts w:eastAsia="Times New Roman" w:hint="cs"/>
          <w:rtl/>
          <w:lang w:bidi="ar-KW"/>
        </w:rPr>
        <w:t>،</w:t>
      </w:r>
      <w:r w:rsidR="00777DCB" w:rsidRPr="00A52585">
        <w:rPr>
          <w:rFonts w:eastAsia="Times New Roman" w:hint="cs"/>
          <w:rtl/>
          <w:lang w:bidi="ar-KW"/>
        </w:rPr>
        <w:t xml:space="preserve"> </w:t>
      </w:r>
      <w:r w:rsidR="00777DCB" w:rsidRPr="00A52585">
        <w:rPr>
          <w:rFonts w:eastAsia="Times New Roman" w:hint="cs"/>
          <w:rtl/>
        </w:rPr>
        <w:t>قال</w:t>
      </w:r>
      <w:r w:rsidRPr="00A52585">
        <w:rPr>
          <w:rFonts w:eastAsia="Times New Roman" w:hint="cs"/>
          <w:rtl/>
        </w:rPr>
        <w:t>:</w:t>
      </w:r>
      <w:r w:rsidR="00777DCB" w:rsidRPr="00A52585">
        <w:rPr>
          <w:rFonts w:eastAsia="Times New Roman" w:hint="cs"/>
          <w:rtl/>
        </w:rPr>
        <w:t xml:space="preserve"> وكانت لي جارية ترعى غنماً لي قِبل أحد والجوانية</w:t>
      </w:r>
      <w:r w:rsidR="00777DCB" w:rsidRPr="00A52585">
        <w:rPr>
          <w:rFonts w:eastAsia="Times New Roman" w:hint="cs"/>
        </w:rPr>
        <w:t xml:space="preserve"> </w:t>
      </w:r>
      <w:r w:rsidR="00777DCB" w:rsidRPr="00A52585">
        <w:rPr>
          <w:rFonts w:eastAsia="Times New Roman" w:hint="cs"/>
          <w:rtl/>
        </w:rPr>
        <w:t>فاطلعت ذات يوم فإذا الذيب قد ذهب بشاة من غنمها وأنا رجل من بنى آدم آسف كما</w:t>
      </w:r>
      <w:r w:rsidR="00777DCB" w:rsidRPr="00A52585">
        <w:rPr>
          <w:rFonts w:eastAsia="Times New Roman" w:hint="cs"/>
        </w:rPr>
        <w:t xml:space="preserve"> </w:t>
      </w:r>
      <w:proofErr w:type="spellStart"/>
      <w:r w:rsidR="00777DCB" w:rsidRPr="00A52585">
        <w:rPr>
          <w:rFonts w:eastAsia="Times New Roman" w:hint="cs"/>
          <w:rtl/>
        </w:rPr>
        <w:lastRenderedPageBreak/>
        <w:t>يأسفون</w:t>
      </w:r>
      <w:proofErr w:type="spellEnd"/>
      <w:r w:rsidR="00777DCB" w:rsidRPr="00A52585">
        <w:rPr>
          <w:rFonts w:eastAsia="Times New Roman" w:hint="cs"/>
          <w:rtl/>
        </w:rPr>
        <w:t xml:space="preserve"> لكني </w:t>
      </w:r>
      <w:proofErr w:type="spellStart"/>
      <w:r w:rsidR="00777DCB" w:rsidRPr="00A52585">
        <w:rPr>
          <w:rFonts w:eastAsia="Times New Roman" w:hint="cs"/>
          <w:rtl/>
        </w:rPr>
        <w:t>صككتها</w:t>
      </w:r>
      <w:proofErr w:type="spellEnd"/>
      <w:r w:rsidR="00777DCB" w:rsidRPr="00A52585">
        <w:rPr>
          <w:rFonts w:eastAsia="Times New Roman" w:hint="cs"/>
          <w:rtl/>
        </w:rPr>
        <w:t xml:space="preserve"> </w:t>
      </w:r>
      <w:proofErr w:type="spellStart"/>
      <w:r w:rsidR="00777DCB" w:rsidRPr="00A52585">
        <w:rPr>
          <w:rFonts w:eastAsia="Times New Roman" w:hint="cs"/>
          <w:rtl/>
        </w:rPr>
        <w:t>صكة</w:t>
      </w:r>
      <w:proofErr w:type="spellEnd"/>
      <w:r w:rsidR="00777DCB" w:rsidRPr="00A52585">
        <w:rPr>
          <w:rFonts w:eastAsia="Times New Roman" w:hint="cs"/>
          <w:rtl/>
        </w:rPr>
        <w:t xml:space="preserve"> فأتيت رسول الله صلى الله عليه وسلم فعظم ذلك علي قلت يا</w:t>
      </w:r>
      <w:r w:rsidR="00777DCB" w:rsidRPr="00A52585">
        <w:rPr>
          <w:rFonts w:eastAsia="Times New Roman" w:hint="cs"/>
        </w:rPr>
        <w:t xml:space="preserve"> </w:t>
      </w:r>
      <w:r w:rsidR="00777DCB" w:rsidRPr="00A52585">
        <w:rPr>
          <w:rFonts w:eastAsia="Times New Roman" w:hint="cs"/>
          <w:rtl/>
        </w:rPr>
        <w:t xml:space="preserve">رسول الله أفلا أعتقها قال </w:t>
      </w:r>
      <w:proofErr w:type="spellStart"/>
      <w:r w:rsidR="00777DCB" w:rsidRPr="00A52585">
        <w:rPr>
          <w:rFonts w:eastAsia="Times New Roman" w:hint="cs"/>
          <w:rtl/>
        </w:rPr>
        <w:t>ائتني</w:t>
      </w:r>
      <w:proofErr w:type="spellEnd"/>
      <w:r w:rsidR="00777DCB" w:rsidRPr="00A52585">
        <w:rPr>
          <w:rFonts w:eastAsia="Times New Roman" w:hint="cs"/>
          <w:rtl/>
        </w:rPr>
        <w:t xml:space="preserve"> بها فأتيته بها فقال لها</w:t>
      </w:r>
      <w:r w:rsidRPr="00A52585">
        <w:rPr>
          <w:rFonts w:eastAsia="Times New Roman" w:hint="cs"/>
          <w:rtl/>
        </w:rPr>
        <w:t xml:space="preserve">: </w:t>
      </w:r>
      <w:r w:rsidR="00777DCB" w:rsidRPr="00A52585">
        <w:rPr>
          <w:rFonts w:eastAsia="Times New Roman" w:hint="cs"/>
          <w:bCs/>
          <w:rtl/>
        </w:rPr>
        <w:t>أين الله؟ قالت: في</w:t>
      </w:r>
      <w:r w:rsidR="00777DCB" w:rsidRPr="00A52585">
        <w:rPr>
          <w:rFonts w:eastAsia="Times New Roman" w:hint="cs"/>
          <w:bCs/>
        </w:rPr>
        <w:t xml:space="preserve"> </w:t>
      </w:r>
      <w:r w:rsidR="00777DCB" w:rsidRPr="00A52585">
        <w:rPr>
          <w:rFonts w:eastAsia="Times New Roman" w:hint="cs"/>
          <w:bCs/>
          <w:rtl/>
        </w:rPr>
        <w:t>السماء. قال: من أنا</w:t>
      </w:r>
      <w:r w:rsidR="00F95886" w:rsidRPr="00A52585">
        <w:rPr>
          <w:rFonts w:eastAsia="Times New Roman" w:hint="cs"/>
          <w:bCs/>
          <w:rtl/>
        </w:rPr>
        <w:t>؟</w:t>
      </w:r>
      <w:r w:rsidR="00777DCB" w:rsidRPr="00A52585">
        <w:rPr>
          <w:rFonts w:eastAsia="Times New Roman" w:hint="cs"/>
          <w:bCs/>
          <w:rtl/>
        </w:rPr>
        <w:t xml:space="preserve"> قالت: أنت رسول الله قال أعتقها فإنها مؤمنة)</w:t>
      </w:r>
      <w:r w:rsidR="00777DCB" w:rsidRPr="00A52585">
        <w:rPr>
          <w:rFonts w:eastAsia="Times New Roman" w:hint="cs"/>
          <w:rtl/>
        </w:rPr>
        <w:t>)</w:t>
      </w:r>
      <w:r w:rsidRPr="00A52585">
        <w:rPr>
          <w:rFonts w:eastAsia="Times New Roman" w:hint="cs"/>
          <w:rtl/>
        </w:rPr>
        <w:t xml:space="preserve"> [</w:t>
      </w:r>
      <w:r w:rsidR="00777DCB" w:rsidRPr="00A52585">
        <w:rPr>
          <w:rFonts w:eastAsia="Times New Roman" w:hint="cs"/>
          <w:rtl/>
        </w:rPr>
        <w:t>أخرجه الإمام مسلم</w:t>
      </w:r>
      <w:r w:rsidRPr="00A52585">
        <w:rPr>
          <w:rFonts w:eastAsia="Times New Roman" w:hint="cs"/>
          <w:rtl/>
        </w:rPr>
        <w:t>:</w:t>
      </w:r>
      <w:r w:rsidR="00777DCB" w:rsidRPr="00A52585">
        <w:rPr>
          <w:rFonts w:eastAsia="Times New Roman" w:hint="cs"/>
          <w:rtl/>
        </w:rPr>
        <w:t xml:space="preserve"> 1/381 (537) (باب تحريم الكلام في</w:t>
      </w:r>
      <w:r w:rsidR="00777DCB" w:rsidRPr="00A52585">
        <w:rPr>
          <w:rFonts w:eastAsia="Times New Roman" w:hint="cs"/>
        </w:rPr>
        <w:t xml:space="preserve"> </w:t>
      </w:r>
      <w:r w:rsidR="00777DCB" w:rsidRPr="00A52585">
        <w:rPr>
          <w:rFonts w:eastAsia="Times New Roman" w:hint="cs"/>
          <w:rtl/>
        </w:rPr>
        <w:t>الصلاة ونسخ ما كان من إباحته</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والإمام أحمد في مسنده</w:t>
      </w:r>
      <w:r w:rsidRPr="00A52585">
        <w:rPr>
          <w:rFonts w:eastAsia="Times New Roman" w:hint="cs"/>
          <w:rtl/>
        </w:rPr>
        <w:t>:</w:t>
      </w:r>
      <w:r w:rsidR="00777DCB" w:rsidRPr="00A52585">
        <w:rPr>
          <w:rFonts w:eastAsia="Times New Roman" w:hint="cs"/>
          <w:rtl/>
        </w:rPr>
        <w:t xml:space="preserve"> 5\447</w:t>
      </w:r>
      <w:r w:rsidRPr="00A52585">
        <w:rPr>
          <w:rFonts w:eastAsia="Times New Roman" w:hint="cs"/>
          <w:rtl/>
        </w:rPr>
        <w:t>(</w:t>
      </w:r>
      <w:r w:rsidR="00777DCB" w:rsidRPr="00A52585">
        <w:rPr>
          <w:rFonts w:eastAsia="Times New Roman" w:hint="cs"/>
          <w:rtl/>
        </w:rPr>
        <w:t>23813) و5/448(23816)</w:t>
      </w:r>
      <w:r w:rsidR="00DB731D" w:rsidRPr="00A52585">
        <w:rPr>
          <w:rFonts w:eastAsia="Times New Roman" w:hint="cs"/>
          <w:rtl/>
        </w:rPr>
        <w:t>،</w:t>
      </w:r>
      <w:r w:rsidR="00777DCB" w:rsidRPr="00A52585">
        <w:rPr>
          <w:rFonts w:eastAsia="Times New Roman" w:hint="cs"/>
          <w:rtl/>
        </w:rPr>
        <w:t xml:space="preserve"> وأبو داود في سننه</w:t>
      </w:r>
      <w:r w:rsidRPr="00A52585">
        <w:rPr>
          <w:rFonts w:eastAsia="Times New Roman" w:hint="cs"/>
          <w:rtl/>
        </w:rPr>
        <w:t>:</w:t>
      </w:r>
      <w:r w:rsidR="00777DCB" w:rsidRPr="00A52585">
        <w:rPr>
          <w:rFonts w:eastAsia="Times New Roman" w:hint="cs"/>
          <w:rtl/>
        </w:rPr>
        <w:t xml:space="preserve"> 1/244(930) (931)</w:t>
      </w:r>
      <w:r w:rsidR="00DB731D" w:rsidRPr="00A52585">
        <w:rPr>
          <w:rFonts w:eastAsia="Times New Roman" w:hint="cs"/>
          <w:rtl/>
        </w:rPr>
        <w:t>،</w:t>
      </w:r>
      <w:r w:rsidR="00777DCB" w:rsidRPr="00A52585">
        <w:rPr>
          <w:rFonts w:eastAsia="Times New Roman" w:hint="cs"/>
          <w:rtl/>
        </w:rPr>
        <w:t xml:space="preserve"> والنسائي في السنن الكبرى</w:t>
      </w:r>
      <w:r w:rsidRPr="00A52585">
        <w:rPr>
          <w:rFonts w:eastAsia="Times New Roman" w:hint="cs"/>
          <w:rtl/>
        </w:rPr>
        <w:t>:</w:t>
      </w:r>
      <w:r w:rsidR="00777DCB" w:rsidRPr="00A52585">
        <w:rPr>
          <w:rFonts w:eastAsia="Times New Roman" w:hint="cs"/>
          <w:rtl/>
        </w:rPr>
        <w:t xml:space="preserve"> 1/362(1141)</w:t>
      </w:r>
      <w:r w:rsidR="00DB731D" w:rsidRPr="00A52585">
        <w:rPr>
          <w:rFonts w:eastAsia="Times New Roman" w:hint="cs"/>
          <w:rtl/>
        </w:rPr>
        <w:t>،</w:t>
      </w:r>
      <w:r w:rsidR="00777DCB" w:rsidRPr="00A52585">
        <w:rPr>
          <w:rFonts w:eastAsia="Times New Roman" w:hint="cs"/>
          <w:rtl/>
        </w:rPr>
        <w:t xml:space="preserve"> والبيهقي في السنن الكبرى</w:t>
      </w:r>
      <w:r w:rsidRPr="00A52585">
        <w:rPr>
          <w:rFonts w:eastAsia="Times New Roman" w:hint="cs"/>
          <w:rtl/>
        </w:rPr>
        <w:t>:</w:t>
      </w:r>
      <w:r w:rsidR="00777DCB" w:rsidRPr="00A52585">
        <w:rPr>
          <w:rFonts w:eastAsia="Times New Roman" w:hint="cs"/>
          <w:rtl/>
        </w:rPr>
        <w:t xml:space="preserve"> 7/387(15043)</w:t>
      </w:r>
      <w:r w:rsidR="00DB731D" w:rsidRPr="00A52585">
        <w:rPr>
          <w:rFonts w:eastAsia="Times New Roman" w:hint="cs"/>
          <w:rtl/>
        </w:rPr>
        <w:t>،</w:t>
      </w:r>
      <w:r w:rsidR="00777DCB" w:rsidRPr="00A52585">
        <w:rPr>
          <w:rFonts w:eastAsia="Times New Roman" w:hint="cs"/>
          <w:rtl/>
        </w:rPr>
        <w:t xml:space="preserve"> وفي الأسماء والصفات صـ</w:t>
      </w:r>
      <w:r w:rsidRPr="00A52585">
        <w:rPr>
          <w:rFonts w:eastAsia="Times New Roman" w:hint="cs"/>
          <w:rtl/>
        </w:rPr>
        <w:t xml:space="preserve"> </w:t>
      </w:r>
      <w:r w:rsidR="00777DCB" w:rsidRPr="00A52585">
        <w:rPr>
          <w:rFonts w:eastAsia="Times New Roman" w:hint="cs"/>
          <w:rtl/>
        </w:rPr>
        <w:t>422</w:t>
      </w:r>
      <w:r w:rsidR="00DB731D" w:rsidRPr="00A52585">
        <w:rPr>
          <w:rFonts w:eastAsia="Times New Roman" w:hint="cs"/>
          <w:rtl/>
        </w:rPr>
        <w:t>،</w:t>
      </w:r>
      <w:r w:rsidR="00777DCB" w:rsidRPr="00A52585">
        <w:rPr>
          <w:rFonts w:eastAsia="Times New Roman" w:hint="cs"/>
          <w:rtl/>
        </w:rPr>
        <w:t xml:space="preserve"> والتوحيد</w:t>
      </w:r>
      <w:r w:rsidR="00777DCB" w:rsidRPr="00A52585">
        <w:rPr>
          <w:rFonts w:eastAsia="Times New Roman" w:hint="cs"/>
        </w:rPr>
        <w:t xml:space="preserve"> </w:t>
      </w:r>
      <w:r w:rsidR="00777DCB" w:rsidRPr="00A52585">
        <w:rPr>
          <w:rFonts w:eastAsia="Times New Roman" w:hint="cs"/>
          <w:rtl/>
        </w:rPr>
        <w:t>لابن خزيمة صـ 81</w:t>
      </w:r>
      <w:r w:rsidR="00DB731D" w:rsidRPr="00A52585">
        <w:rPr>
          <w:rFonts w:eastAsia="Times New Roman" w:hint="cs"/>
          <w:rtl/>
        </w:rPr>
        <w:t>،</w:t>
      </w:r>
      <w:r w:rsidR="00777DCB" w:rsidRPr="00A52585">
        <w:rPr>
          <w:rFonts w:eastAsia="Times New Roman" w:hint="cs"/>
          <w:rtl/>
        </w:rPr>
        <w:t xml:space="preserve"> وصحيح ابن حبان</w:t>
      </w:r>
      <w:r w:rsidRPr="00A52585">
        <w:rPr>
          <w:rFonts w:eastAsia="Times New Roman" w:hint="cs"/>
          <w:rtl/>
        </w:rPr>
        <w:t>:</w:t>
      </w:r>
      <w:r w:rsidR="00777DCB" w:rsidRPr="00A52585">
        <w:rPr>
          <w:rFonts w:eastAsia="Times New Roman" w:hint="cs"/>
          <w:rtl/>
        </w:rPr>
        <w:t xml:space="preserve"> 1/383(165)</w:t>
      </w:r>
      <w:r w:rsidR="00DB731D" w:rsidRPr="00A52585">
        <w:rPr>
          <w:rFonts w:eastAsia="Times New Roman" w:hint="cs"/>
          <w:rtl/>
        </w:rPr>
        <w:t>،</w:t>
      </w:r>
      <w:r w:rsidR="00777DCB" w:rsidRPr="00A52585">
        <w:rPr>
          <w:rFonts w:eastAsia="Times New Roman" w:hint="cs"/>
          <w:rtl/>
        </w:rPr>
        <w:t xml:space="preserve"> والمعجم الكبير للطبراني</w:t>
      </w:r>
      <w:r w:rsidRPr="00A52585">
        <w:rPr>
          <w:rFonts w:eastAsia="Times New Roman" w:hint="cs"/>
          <w:rtl/>
        </w:rPr>
        <w:t>:</w:t>
      </w:r>
      <w:r w:rsidR="00777DCB" w:rsidRPr="00A52585">
        <w:rPr>
          <w:rFonts w:eastAsia="Times New Roman" w:hint="cs"/>
          <w:rtl/>
        </w:rPr>
        <w:t xml:space="preserve"> 19/398 (937</w:t>
      </w:r>
      <w:r w:rsidR="00777DCB" w:rsidRPr="00A52585">
        <w:rPr>
          <w:rFonts w:eastAsia="Times New Roman" w:hint="cs"/>
          <w:rtl/>
          <w:lang w:bidi="ar-KW"/>
        </w:rPr>
        <w:t>)</w:t>
      </w:r>
      <w:r w:rsidRPr="00A52585">
        <w:rPr>
          <w:rFonts w:eastAsia="Times New Roman" w:hint="cs"/>
          <w:rtl/>
          <w:lang w:bidi="ar-KW"/>
        </w:rPr>
        <w:t>]</w:t>
      </w:r>
      <w:r w:rsidR="00777DCB" w:rsidRPr="00A52585">
        <w:rPr>
          <w:rFonts w:eastAsia="Times New Roman" w:hint="cs"/>
          <w:rtl/>
          <w:lang w:bidi="ar-KW"/>
        </w:rPr>
        <w:t xml:space="preserve"> </w:t>
      </w:r>
    </w:p>
    <w:p w14:paraId="64BF927B" w14:textId="23AF8DC2" w:rsidR="00777DCB" w:rsidRPr="00A52585" w:rsidRDefault="0002035C" w:rsidP="0002035C">
      <w:pPr>
        <w:rPr>
          <w:rFonts w:eastAsia="Times New Roman"/>
          <w:b/>
          <w:rtl/>
          <w:lang w:bidi="ar-KW"/>
        </w:rPr>
      </w:pPr>
      <w:r w:rsidRPr="00A52585">
        <w:rPr>
          <w:rFonts w:hint="cs"/>
          <w:bCs/>
          <w:rtl/>
          <w:lang w:bidi="ar-KW"/>
        </w:rPr>
        <w:t>(</w:t>
      </w:r>
      <w:r w:rsidR="00777DCB" w:rsidRPr="00A52585">
        <w:rPr>
          <w:rFonts w:hint="cs"/>
          <w:bCs/>
          <w:rtl/>
          <w:lang w:bidi="ar-KW"/>
        </w:rPr>
        <w:t>6</w:t>
      </w:r>
      <w:r w:rsidRPr="00A52585">
        <w:rPr>
          <w:rFonts w:hint="cs"/>
          <w:bCs/>
          <w:rtl/>
          <w:lang w:bidi="ar-KW"/>
        </w:rPr>
        <w:t>)</w:t>
      </w:r>
      <w:r w:rsidR="00777DCB" w:rsidRPr="00A52585">
        <w:rPr>
          <w:rFonts w:hint="cs"/>
          <w:bCs/>
          <w:rtl/>
          <w:lang w:bidi="ar-KW"/>
        </w:rPr>
        <w:t xml:space="preserve"> روايات أخرى للحديث</w:t>
      </w:r>
      <w:r w:rsidR="00DB731D" w:rsidRPr="00A52585">
        <w:rPr>
          <w:rFonts w:hint="cs"/>
          <w:rtl/>
          <w:lang w:bidi="ar-KW"/>
        </w:rPr>
        <w:t>،</w:t>
      </w:r>
      <w:r w:rsidR="00777DCB" w:rsidRPr="00A52585">
        <w:rPr>
          <w:rFonts w:hint="cs"/>
          <w:rtl/>
          <w:lang w:bidi="ar-KW"/>
        </w:rPr>
        <w:t xml:space="preserve"> منها رواية تدل على أنها كانت خرساء وفيها</w:t>
      </w:r>
      <w:r w:rsidRPr="00A52585">
        <w:rPr>
          <w:rFonts w:hint="cs"/>
          <w:rtl/>
          <w:lang w:bidi="ar-KW"/>
        </w:rPr>
        <w:t>:</w:t>
      </w:r>
      <w:r w:rsidR="00777DCB" w:rsidRPr="00A52585">
        <w:rPr>
          <w:rFonts w:hint="cs"/>
          <w:rtl/>
          <w:lang w:bidi="ar-KW"/>
        </w:rPr>
        <w:t xml:space="preserve"> </w:t>
      </w:r>
      <w:r w:rsidR="00777DCB" w:rsidRPr="00A52585">
        <w:rPr>
          <w:rFonts w:hint="cs"/>
          <w:bCs/>
          <w:rtl/>
          <w:lang w:bidi="ar-KW"/>
        </w:rPr>
        <w:t>(</w:t>
      </w:r>
      <w:r w:rsidRPr="00A52585">
        <w:rPr>
          <w:rFonts w:hint="cs"/>
          <w:bCs/>
          <w:rtl/>
          <w:lang w:bidi="ar-KW"/>
        </w:rPr>
        <w:t>(</w:t>
      </w:r>
      <w:r w:rsidR="00777DCB" w:rsidRPr="00A52585">
        <w:rPr>
          <w:rFonts w:eastAsia="Times New Roman" w:hint="cs"/>
          <w:bCs/>
          <w:rtl/>
        </w:rPr>
        <w:t>فمد النبي يده إليها وأشار إليها مستفهماً</w:t>
      </w:r>
      <w:r w:rsidRPr="00A52585">
        <w:rPr>
          <w:rFonts w:eastAsia="Times New Roman" w:hint="cs"/>
          <w:bCs/>
          <w:rtl/>
        </w:rPr>
        <w:t>)</w:t>
      </w:r>
      <w:r w:rsidR="00777DCB" w:rsidRPr="00A52585">
        <w:rPr>
          <w:rFonts w:eastAsia="Times New Roman" w:hint="cs"/>
          <w:bCs/>
          <w:rtl/>
        </w:rPr>
        <w:t>)</w:t>
      </w:r>
      <w:r w:rsidR="00DB731D" w:rsidRPr="00A52585">
        <w:rPr>
          <w:rFonts w:eastAsia="Times New Roman" w:hint="cs"/>
          <w:rtl/>
        </w:rPr>
        <w:t>،</w:t>
      </w:r>
      <w:r w:rsidR="00777DCB" w:rsidRPr="00A52585">
        <w:rPr>
          <w:rFonts w:eastAsia="Times New Roman" w:hint="cs"/>
          <w:rtl/>
        </w:rPr>
        <w:t xml:space="preserve"> و</w:t>
      </w:r>
      <w:r w:rsidR="00777DCB" w:rsidRPr="00A52585">
        <w:rPr>
          <w:rFonts w:hint="cs"/>
          <w:rtl/>
        </w:rPr>
        <w:t>هذه الرواية أوردها الذهبي في كتابه (العلو) ص3 وذكر سندها الحافظ المزي في</w:t>
      </w:r>
      <w:r w:rsidR="00777DCB" w:rsidRPr="00A52585">
        <w:rPr>
          <w:rFonts w:hint="cs"/>
        </w:rPr>
        <w:t xml:space="preserve"> </w:t>
      </w:r>
      <w:r w:rsidRPr="00A52585">
        <w:rPr>
          <w:rFonts w:hint="cs"/>
          <w:rtl/>
        </w:rPr>
        <w:t>(</w:t>
      </w:r>
      <w:r w:rsidR="00777DCB" w:rsidRPr="00A52585">
        <w:rPr>
          <w:rFonts w:hint="cs"/>
          <w:rtl/>
        </w:rPr>
        <w:t>تحفة الأشراف)</w:t>
      </w:r>
      <w:r w:rsidRPr="00A52585">
        <w:rPr>
          <w:rFonts w:hint="cs"/>
          <w:rtl/>
        </w:rPr>
        <w:t>:</w:t>
      </w:r>
      <w:r w:rsidR="00777DCB" w:rsidRPr="00A52585">
        <w:rPr>
          <w:rFonts w:hint="cs"/>
          <w:rtl/>
        </w:rPr>
        <w:t xml:space="preserve"> 8/427</w:t>
      </w:r>
      <w:r w:rsidR="00DB731D" w:rsidRPr="00A52585">
        <w:rPr>
          <w:rFonts w:hint="cs"/>
          <w:rtl/>
        </w:rPr>
        <w:t>،</w:t>
      </w:r>
      <w:r w:rsidR="00777DCB" w:rsidRPr="00A52585">
        <w:rPr>
          <w:rFonts w:hint="cs"/>
          <w:rtl/>
        </w:rPr>
        <w:t xml:space="preserve"> من طريق سعيد بن زيد عن </w:t>
      </w:r>
      <w:proofErr w:type="spellStart"/>
      <w:r w:rsidR="00777DCB" w:rsidRPr="00A52585">
        <w:rPr>
          <w:rFonts w:hint="cs"/>
          <w:rtl/>
        </w:rPr>
        <w:t>توية</w:t>
      </w:r>
      <w:proofErr w:type="spellEnd"/>
      <w:r w:rsidR="00777DCB" w:rsidRPr="00A52585">
        <w:rPr>
          <w:rFonts w:hint="cs"/>
          <w:rtl/>
        </w:rPr>
        <w:t xml:space="preserve"> العنبري عن عطاء بن يسار قال</w:t>
      </w:r>
      <w:r w:rsidR="00777DCB" w:rsidRPr="00A52585">
        <w:t>:</w:t>
      </w:r>
      <w:r w:rsidR="00777DCB" w:rsidRPr="00A52585">
        <w:rPr>
          <w:rFonts w:eastAsia="Times New Roman" w:hint="cs"/>
          <w:rtl/>
        </w:rPr>
        <w:t xml:space="preserve"> حدثني صاحب الجارية نفسه قال كانت لي جارية ترعى</w:t>
      </w:r>
      <w:r w:rsidR="00897A24" w:rsidRPr="00A52585">
        <w:rPr>
          <w:rFonts w:eastAsia="Times New Roman" w:hint="cs"/>
          <w:rtl/>
        </w:rPr>
        <w:t>.</w:t>
      </w:r>
      <w:r w:rsidR="00777DCB" w:rsidRPr="00A52585">
        <w:rPr>
          <w:rFonts w:eastAsia="Times New Roman" w:hint="cs"/>
          <w:rtl/>
        </w:rPr>
        <w:t>. الحديث</w:t>
      </w:r>
      <w:r w:rsidR="00DB731D" w:rsidRPr="00A52585">
        <w:rPr>
          <w:rFonts w:eastAsia="Times New Roman" w:hint="cs"/>
          <w:rtl/>
        </w:rPr>
        <w:t>،</w:t>
      </w:r>
      <w:r w:rsidR="00777DCB" w:rsidRPr="00A52585">
        <w:rPr>
          <w:rFonts w:eastAsia="Times New Roman" w:hint="cs"/>
        </w:rPr>
        <w:t xml:space="preserve"> </w:t>
      </w:r>
      <w:r w:rsidR="00777DCB" w:rsidRPr="00A52585">
        <w:rPr>
          <w:rFonts w:eastAsia="Times New Roman" w:hint="cs"/>
          <w:bCs/>
          <w:rtl/>
        </w:rPr>
        <w:t>وفيه</w:t>
      </w:r>
      <w:r w:rsidRPr="00A52585">
        <w:rPr>
          <w:rFonts w:eastAsia="Times New Roman" w:hint="cs"/>
          <w:bCs/>
          <w:rtl/>
        </w:rPr>
        <w:t>:</w:t>
      </w:r>
      <w:r w:rsidR="00777DCB" w:rsidRPr="00A52585">
        <w:rPr>
          <w:rFonts w:eastAsia="Times New Roman" w:hint="cs"/>
          <w:bCs/>
          <w:rtl/>
        </w:rPr>
        <w:t xml:space="preserve"> (</w:t>
      </w:r>
      <w:r w:rsidRPr="00A52585">
        <w:rPr>
          <w:rFonts w:eastAsia="Times New Roman" w:hint="cs"/>
          <w:bCs/>
          <w:rtl/>
        </w:rPr>
        <w:t>(</w:t>
      </w:r>
      <w:r w:rsidR="00777DCB" w:rsidRPr="00A52585">
        <w:rPr>
          <w:rFonts w:eastAsia="Times New Roman" w:hint="cs"/>
          <w:bCs/>
          <w:rtl/>
        </w:rPr>
        <w:t>فمد النبي يده إليها وأشار إليها مستفهماً من في السماء</w:t>
      </w:r>
      <w:r w:rsidR="00F95886" w:rsidRPr="00A52585">
        <w:rPr>
          <w:rFonts w:eastAsia="Times New Roman" w:hint="cs"/>
          <w:bCs/>
          <w:rtl/>
        </w:rPr>
        <w:t>؟</w:t>
      </w:r>
      <w:r w:rsidR="00777DCB" w:rsidRPr="00A52585">
        <w:rPr>
          <w:rFonts w:eastAsia="Times New Roman" w:hint="cs"/>
          <w:bCs/>
          <w:rtl/>
        </w:rPr>
        <w:t xml:space="preserve"> قالت الله. قال فمن</w:t>
      </w:r>
      <w:r w:rsidR="00777DCB" w:rsidRPr="00A52585">
        <w:rPr>
          <w:rFonts w:eastAsia="Times New Roman" w:hint="cs"/>
          <w:bCs/>
        </w:rPr>
        <w:t xml:space="preserve"> </w:t>
      </w:r>
      <w:r w:rsidR="00777DCB" w:rsidRPr="00A52585">
        <w:rPr>
          <w:rFonts w:eastAsia="Times New Roman" w:hint="cs"/>
          <w:bCs/>
          <w:rtl/>
        </w:rPr>
        <w:t>أنا</w:t>
      </w:r>
      <w:r w:rsidR="00F95886" w:rsidRPr="00A52585">
        <w:rPr>
          <w:rFonts w:eastAsia="Times New Roman" w:hint="cs"/>
          <w:bCs/>
          <w:rtl/>
        </w:rPr>
        <w:t>؟</w:t>
      </w:r>
      <w:r w:rsidR="00777DCB" w:rsidRPr="00A52585">
        <w:rPr>
          <w:rFonts w:eastAsia="Times New Roman" w:hint="cs"/>
          <w:bCs/>
          <w:rtl/>
        </w:rPr>
        <w:t xml:space="preserve"> قالت: أنت رسول الله قال أعتقها فإنها مسلمة</w:t>
      </w:r>
      <w:r w:rsidRPr="00A52585">
        <w:rPr>
          <w:rFonts w:eastAsia="Times New Roman" w:hint="cs"/>
          <w:bCs/>
          <w:rtl/>
        </w:rPr>
        <w:t>)</w:t>
      </w:r>
      <w:r w:rsidR="00777DCB" w:rsidRPr="00A52585">
        <w:rPr>
          <w:rFonts w:hint="cs"/>
          <w:bCs/>
          <w:rtl/>
          <w:lang w:bidi="ar-KW"/>
        </w:rPr>
        <w:t>)</w:t>
      </w:r>
      <w:r w:rsidR="00DB731D" w:rsidRPr="00A52585">
        <w:rPr>
          <w:rFonts w:hint="cs"/>
          <w:bCs/>
          <w:rtl/>
          <w:lang w:bidi="ar-KW"/>
        </w:rPr>
        <w:t>،</w:t>
      </w:r>
      <w:r w:rsidR="00777DCB" w:rsidRPr="00A52585">
        <w:rPr>
          <w:rFonts w:hint="cs"/>
          <w:rtl/>
          <w:lang w:bidi="ar-KW"/>
        </w:rPr>
        <w:t xml:space="preserve"> </w:t>
      </w:r>
      <w:r w:rsidR="00777DCB" w:rsidRPr="00A52585">
        <w:rPr>
          <w:rFonts w:hint="cs"/>
          <w:rtl/>
        </w:rPr>
        <w:t>وفي هذه الرواية أشار النبي صلى الله عليه وسلم فقط</w:t>
      </w:r>
      <w:r w:rsidR="00897A24"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وانظر العلو للعلي الغفار ص 120</w:t>
      </w:r>
      <w:r w:rsidR="00DB731D" w:rsidRPr="00A52585">
        <w:rPr>
          <w:rFonts w:hint="cs"/>
          <w:rtl/>
        </w:rPr>
        <w:t>،</w:t>
      </w:r>
      <w:r w:rsidR="00777DCB" w:rsidRPr="00A52585">
        <w:rPr>
          <w:rFonts w:hint="cs"/>
          <w:rtl/>
        </w:rPr>
        <w:t xml:space="preserve"> وتحفة الأشراف</w:t>
      </w:r>
      <w:r w:rsidRPr="00A52585">
        <w:rPr>
          <w:rFonts w:hint="cs"/>
          <w:rtl/>
        </w:rPr>
        <w:t>:</w:t>
      </w:r>
      <w:r w:rsidR="00777DCB" w:rsidRPr="00A52585">
        <w:rPr>
          <w:rFonts w:hint="cs"/>
          <w:rtl/>
        </w:rPr>
        <w:t>10\216 (11378)</w:t>
      </w:r>
      <w:r w:rsidRPr="00A52585">
        <w:rPr>
          <w:rFonts w:hint="cs"/>
          <w:rtl/>
        </w:rPr>
        <w:t>]</w:t>
      </w:r>
      <w:r w:rsidR="00DB731D" w:rsidRPr="00A52585">
        <w:rPr>
          <w:rFonts w:hint="cs"/>
          <w:rtl/>
        </w:rPr>
        <w:t>،</w:t>
      </w:r>
      <w:r w:rsidR="00777DCB" w:rsidRPr="00A52585">
        <w:rPr>
          <w:rFonts w:hint="cs"/>
          <w:rtl/>
        </w:rPr>
        <w:t xml:space="preserve"> وإسناد هذه الرواية يرقى إلى مرتبة الحديث الحسن</w:t>
      </w:r>
      <w:r w:rsidR="00DB731D" w:rsidRPr="00A52585">
        <w:rPr>
          <w:rFonts w:hint="cs"/>
          <w:rtl/>
        </w:rPr>
        <w:t>،</w:t>
      </w:r>
      <w:r w:rsidR="00777DCB" w:rsidRPr="00A52585">
        <w:rPr>
          <w:rFonts w:hint="cs"/>
          <w:rtl/>
        </w:rPr>
        <w:t xml:space="preserve"> لأنّ سعيد بن</w:t>
      </w:r>
      <w:r w:rsidR="00777DCB" w:rsidRPr="00A52585">
        <w:rPr>
          <w:rFonts w:hint="cs"/>
        </w:rPr>
        <w:t xml:space="preserve"> </w:t>
      </w:r>
      <w:r w:rsidR="00777DCB" w:rsidRPr="00A52585">
        <w:rPr>
          <w:rFonts w:hint="cs"/>
          <w:rtl/>
        </w:rPr>
        <w:t>زيد ثقة من رجال مسلم وثقه ابن معين وابن سعد والعجلي وسليمان بن حرب وقال عنه</w:t>
      </w:r>
      <w:r w:rsidR="00777DCB" w:rsidRPr="00A52585">
        <w:rPr>
          <w:rFonts w:hint="cs"/>
        </w:rPr>
        <w:t xml:space="preserve"> </w:t>
      </w:r>
      <w:r w:rsidR="00777DCB" w:rsidRPr="00A52585">
        <w:rPr>
          <w:rFonts w:hint="cs"/>
          <w:rtl/>
        </w:rPr>
        <w:t>البخاري والدرامي</w:t>
      </w:r>
      <w:r w:rsidRPr="00A52585">
        <w:rPr>
          <w:rFonts w:hint="cs"/>
          <w:rtl/>
        </w:rPr>
        <w:t>:</w:t>
      </w:r>
      <w:r w:rsidR="00777DCB" w:rsidRPr="00A52585">
        <w:rPr>
          <w:rFonts w:hint="cs"/>
          <w:rtl/>
        </w:rPr>
        <w:t xml:space="preserve"> صدوق حافظ، وإن كان يحيى بن سعيد وآخرون قد ضعفوه لذا</w:t>
      </w:r>
      <w:r w:rsidR="00DB731D" w:rsidRPr="00A52585">
        <w:rPr>
          <w:rFonts w:hint="cs"/>
          <w:rtl/>
        </w:rPr>
        <w:t>،</w:t>
      </w:r>
      <w:r w:rsidR="00777DCB" w:rsidRPr="00A52585">
        <w:rPr>
          <w:rFonts w:hint="cs"/>
          <w:rtl/>
        </w:rPr>
        <w:t xml:space="preserve"> فحديثه لا</w:t>
      </w:r>
      <w:r w:rsidR="00777DCB" w:rsidRPr="00A52585">
        <w:rPr>
          <w:rFonts w:hint="cs"/>
        </w:rPr>
        <w:t xml:space="preserve"> </w:t>
      </w:r>
      <w:r w:rsidR="00777DCB" w:rsidRPr="00A52585">
        <w:rPr>
          <w:rFonts w:hint="cs"/>
          <w:rtl/>
        </w:rPr>
        <w:t>ينزل عن درجة الحسن</w:t>
      </w:r>
      <w:r w:rsidR="00DB731D" w:rsidRPr="00A52585">
        <w:rPr>
          <w:rFonts w:hint="cs"/>
          <w:rtl/>
        </w:rPr>
        <w:t>،</w:t>
      </w:r>
      <w:r w:rsidR="00777DCB" w:rsidRPr="00A52585">
        <w:rPr>
          <w:rFonts w:hint="cs"/>
          <w:rtl/>
        </w:rPr>
        <w:t xml:space="preserve"> وهناك رواية أخرجها البيهقي في السنن الكبرى في كتاب الظهار باب إعتاق الخرساء إذا أشارت بالإيمان</w:t>
      </w:r>
      <w:r w:rsidR="00DB731D" w:rsidRPr="00A52585">
        <w:rPr>
          <w:rFonts w:hint="cs"/>
          <w:rtl/>
        </w:rPr>
        <w:t>،</w:t>
      </w:r>
      <w:r w:rsidR="00777DCB" w:rsidRPr="00A52585">
        <w:rPr>
          <w:rFonts w:hint="cs"/>
          <w:rtl/>
        </w:rPr>
        <w:t xml:space="preserve"> وصلت من طريق عوف بن عبد الله بن عتبة عن عبد الله بن عتبة عن أبي هريرة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أن رجلا أتى النبي بجارية سوداء فقال</w:t>
      </w:r>
      <w:r w:rsidRPr="00A52585">
        <w:rPr>
          <w:rFonts w:hint="cs"/>
          <w:rtl/>
        </w:rPr>
        <w:t>:</w:t>
      </w:r>
      <w:r w:rsidR="00777DCB" w:rsidRPr="00A52585">
        <w:rPr>
          <w:rFonts w:hint="cs"/>
          <w:rtl/>
        </w:rPr>
        <w:t xml:space="preserve"> يا رسول الله إن علي عتق رقبة مؤمنة </w:t>
      </w:r>
      <w:r w:rsidR="00777DCB" w:rsidRPr="00A52585">
        <w:rPr>
          <w:rFonts w:hint="cs"/>
          <w:bCs/>
          <w:rtl/>
        </w:rPr>
        <w:t>فقال لها</w:t>
      </w:r>
      <w:r w:rsidRPr="00A52585">
        <w:rPr>
          <w:rFonts w:hint="cs"/>
          <w:bCs/>
          <w:rtl/>
        </w:rPr>
        <w:t>:</w:t>
      </w:r>
      <w:r w:rsidR="00777DCB" w:rsidRPr="00A52585">
        <w:rPr>
          <w:rFonts w:hint="cs"/>
          <w:bCs/>
          <w:rtl/>
        </w:rPr>
        <w:t xml:space="preserve"> أين الله ? فأشارت إلى السماء بأصبعها فقال لها</w:t>
      </w:r>
      <w:r w:rsidRPr="00A52585">
        <w:rPr>
          <w:rFonts w:hint="cs"/>
          <w:bCs/>
          <w:rtl/>
        </w:rPr>
        <w:t>:</w:t>
      </w:r>
      <w:r w:rsidR="00777DCB" w:rsidRPr="00A52585">
        <w:rPr>
          <w:rFonts w:hint="cs"/>
          <w:bCs/>
          <w:rtl/>
        </w:rPr>
        <w:t xml:space="preserve"> فمن أنا فأشارت إلى النبي صلى الله عليه وسلم وإلى السماء تعنى أنت رسول الله. فقال رسول الله أعتقها فإنها مؤمنة</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فإذا كان الغالب أنها نفس القصة السابقة والتي فيها فمد النبي يده إليها مستفهما فتكون المحادثة بالإشارة من الطرفين</w:t>
      </w:r>
      <w:r w:rsidR="00777DCB" w:rsidRPr="00A52585">
        <w:rPr>
          <w:rFonts w:eastAsia="Times New Roman" w:hint="cs"/>
          <w:rtl/>
        </w:rPr>
        <w:t xml:space="preserve"> والله تعالى أعلم</w:t>
      </w:r>
      <w:r w:rsidR="00DB731D" w:rsidRPr="00A52585">
        <w:rPr>
          <w:rFonts w:eastAsia="Times New Roman" w:hint="cs"/>
          <w:rtl/>
        </w:rPr>
        <w:t>،</w:t>
      </w:r>
      <w:r w:rsidR="00777DCB" w:rsidRPr="00A52585">
        <w:rPr>
          <w:rFonts w:eastAsia="Times New Roman" w:hint="cs"/>
          <w:rtl/>
        </w:rPr>
        <w:t xml:space="preserve"> ورواية أخرى </w:t>
      </w:r>
      <w:r w:rsidR="00777DCB" w:rsidRPr="00A52585">
        <w:rPr>
          <w:rFonts w:hint="cs"/>
          <w:rtl/>
        </w:rPr>
        <w:t>أخرجها عبد الرزاق في مصنفه عن معمر عن يحيى بن أبي كثير وفيها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فأشارت إلى السماء</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مصنف عبد الرزاق 9\176</w:t>
      </w:r>
      <w:r w:rsidRPr="00A52585">
        <w:rPr>
          <w:rFonts w:hint="cs"/>
          <w:rtl/>
        </w:rPr>
        <w:t>(</w:t>
      </w:r>
      <w:r w:rsidR="00777DCB" w:rsidRPr="00A52585">
        <w:rPr>
          <w:rFonts w:hint="cs"/>
          <w:rtl/>
        </w:rPr>
        <w:t>16816)</w:t>
      </w:r>
      <w:r w:rsidRPr="00A52585">
        <w:rPr>
          <w:rFonts w:hint="cs"/>
          <w:rtl/>
        </w:rPr>
        <w:t>]</w:t>
      </w:r>
      <w:r w:rsidR="00DB731D" w:rsidRPr="00A52585">
        <w:rPr>
          <w:rFonts w:hint="cs"/>
          <w:rtl/>
        </w:rPr>
        <w:t>،</w:t>
      </w:r>
      <w:r w:rsidR="00777DCB" w:rsidRPr="00A52585">
        <w:rPr>
          <w:rFonts w:hint="cs"/>
          <w:rtl/>
        </w:rPr>
        <w:t xml:space="preserve"> </w:t>
      </w:r>
    </w:p>
    <w:p w14:paraId="2463603D" w14:textId="450B3785" w:rsidR="00777DCB" w:rsidRPr="00A52585" w:rsidRDefault="0002035C" w:rsidP="0002035C">
      <w:pPr>
        <w:rPr>
          <w:rFonts w:eastAsia="Times New Roman"/>
          <w:b/>
          <w:rtl/>
          <w:lang w:bidi="ar-KW"/>
        </w:rPr>
      </w:pPr>
      <w:r w:rsidRPr="00A52585">
        <w:rPr>
          <w:rFonts w:eastAsia="Times New Roman" w:hint="cs"/>
          <w:bCs/>
          <w:rtl/>
          <w:lang w:bidi="ar-KW"/>
        </w:rPr>
        <w:lastRenderedPageBreak/>
        <w:t>(</w:t>
      </w:r>
      <w:r w:rsidR="00777DCB" w:rsidRPr="00A52585">
        <w:rPr>
          <w:rFonts w:eastAsia="Times New Roman" w:hint="cs"/>
          <w:bCs/>
          <w:rtl/>
          <w:lang w:bidi="ar-KW"/>
        </w:rPr>
        <w:t>7</w:t>
      </w:r>
      <w:r w:rsidRPr="00A52585">
        <w:rPr>
          <w:rFonts w:eastAsia="Times New Roman" w:hint="cs"/>
          <w:bCs/>
          <w:rtl/>
          <w:lang w:bidi="ar-KW"/>
        </w:rPr>
        <w:t>)</w:t>
      </w:r>
      <w:r w:rsidR="00777DCB" w:rsidRPr="00A52585">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DB731D" w:rsidRPr="00A52585">
        <w:rPr>
          <w:rFonts w:eastAsia="Times New Roman" w:hint="cs"/>
          <w:rtl/>
          <w:lang w:bidi="ar-KW"/>
        </w:rPr>
        <w:t>،</w:t>
      </w:r>
      <w:r w:rsidR="00777DCB" w:rsidRPr="00A52585">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sidR="00DB731D" w:rsidRPr="00A52585">
        <w:rPr>
          <w:rFonts w:eastAsia="Times New Roman" w:hint="cs"/>
          <w:rtl/>
          <w:lang w:bidi="ar-KW"/>
        </w:rPr>
        <w:t>،</w:t>
      </w:r>
      <w:r w:rsidR="00777DCB" w:rsidRPr="00A52585">
        <w:rPr>
          <w:rFonts w:eastAsia="Times New Roman" w:hint="cs"/>
          <w:rtl/>
          <w:lang w:bidi="ar-KW"/>
        </w:rPr>
        <w:t xml:space="preserve"> ومن الملاحظ على تلك الروايات ما يلي</w:t>
      </w:r>
      <w:r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أ</w:t>
      </w:r>
      <w:r w:rsidRPr="00A52585">
        <w:rPr>
          <w:rFonts w:eastAsia="Times New Roman" w:hint="cs"/>
          <w:rtl/>
          <w:lang w:bidi="ar-KW"/>
        </w:rPr>
        <w:t>)</w:t>
      </w:r>
      <w:r w:rsidR="00777DCB" w:rsidRPr="00A52585">
        <w:rPr>
          <w:rFonts w:eastAsia="Times New Roman" w:hint="cs"/>
          <w:rtl/>
          <w:lang w:bidi="ar-KW"/>
        </w:rPr>
        <w:t xml:space="preserve"> رواية </w:t>
      </w:r>
      <w:r w:rsidRPr="00A52585">
        <w:rPr>
          <w:rFonts w:eastAsia="Times New Roman" w:hint="cs"/>
          <w:rtl/>
          <w:lang w:bidi="ar-KW"/>
        </w:rPr>
        <w:t>(</w:t>
      </w:r>
      <w:r w:rsidR="00777DCB" w:rsidRPr="00A52585">
        <w:rPr>
          <w:rFonts w:eastAsia="Times New Roman" w:hint="cs"/>
          <w:rtl/>
          <w:lang w:bidi="ar-KW"/>
        </w:rPr>
        <w:t>أتشهدين أن لا إله إلا الله</w:t>
      </w:r>
      <w:r w:rsidRPr="00A52585">
        <w:rPr>
          <w:rFonts w:eastAsia="Times New Roman" w:hint="cs"/>
          <w:rtl/>
          <w:lang w:bidi="ar-KW"/>
        </w:rPr>
        <w:t>)</w:t>
      </w:r>
      <w:r w:rsidR="00777DCB" w:rsidRPr="00A52585">
        <w:rPr>
          <w:rFonts w:eastAsia="Times New Roman" w:hint="cs"/>
          <w:rtl/>
          <w:lang w:bidi="ar-KW"/>
        </w:rPr>
        <w:t xml:space="preserve"> ورواية </w:t>
      </w:r>
      <w:r w:rsidRPr="00A52585">
        <w:rPr>
          <w:rFonts w:eastAsia="Times New Roman" w:hint="cs"/>
          <w:rtl/>
          <w:lang w:bidi="ar-KW"/>
        </w:rPr>
        <w:t>(</w:t>
      </w:r>
      <w:r w:rsidR="00777DCB" w:rsidRPr="00A52585">
        <w:rPr>
          <w:rFonts w:eastAsia="Times New Roman" w:hint="cs"/>
          <w:rtl/>
          <w:lang w:bidi="ar-KW"/>
        </w:rPr>
        <w:t>من ربك</w:t>
      </w:r>
      <w:r w:rsidRPr="00A52585">
        <w:rPr>
          <w:rFonts w:eastAsia="Times New Roman" w:hint="cs"/>
          <w:rtl/>
          <w:lang w:bidi="ar-KW"/>
        </w:rPr>
        <w:t>)</w:t>
      </w:r>
      <w:r w:rsidR="00777DCB" w:rsidRPr="00A52585">
        <w:rPr>
          <w:rFonts w:eastAsia="Times New Roman" w:hint="cs"/>
          <w:rtl/>
          <w:lang w:bidi="ar-KW"/>
        </w:rPr>
        <w:t xml:space="preserve"> في بعض الروايات سندهما واحد من حماد بن سلمة إلى الشريد بن سويد رضي الله عنه واللفظ مختلف</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ب</w:t>
      </w:r>
      <w:r w:rsidRPr="00A52585">
        <w:rPr>
          <w:rFonts w:eastAsia="Times New Roman" w:hint="cs"/>
          <w:rtl/>
          <w:lang w:bidi="ar-KW"/>
        </w:rPr>
        <w:t>)</w:t>
      </w:r>
      <w:r w:rsidR="00777DCB" w:rsidRPr="00A52585">
        <w:rPr>
          <w:rFonts w:eastAsia="Times New Roman" w:hint="cs"/>
          <w:rtl/>
          <w:lang w:bidi="ar-KW"/>
        </w:rPr>
        <w:t xml:space="preserve"> رواية </w:t>
      </w:r>
      <w:r w:rsidRPr="00A52585">
        <w:rPr>
          <w:rFonts w:eastAsia="Times New Roman" w:hint="cs"/>
          <w:rtl/>
          <w:lang w:bidi="ar-KW"/>
        </w:rPr>
        <w:t>(</w:t>
      </w:r>
      <w:r w:rsidR="00777DCB" w:rsidRPr="00A52585">
        <w:rPr>
          <w:rFonts w:eastAsia="Times New Roman" w:hint="cs"/>
          <w:rtl/>
          <w:lang w:bidi="ar-KW"/>
        </w:rPr>
        <w:t>من ربك</w:t>
      </w:r>
      <w:r w:rsidRPr="00A52585">
        <w:rPr>
          <w:rFonts w:eastAsia="Times New Roman" w:hint="cs"/>
          <w:rtl/>
          <w:lang w:bidi="ar-KW"/>
        </w:rPr>
        <w:t>)</w:t>
      </w:r>
      <w:r w:rsidR="00777DCB" w:rsidRPr="00A52585">
        <w:rPr>
          <w:rFonts w:eastAsia="Times New Roman" w:hint="cs"/>
          <w:rtl/>
          <w:lang w:bidi="ar-KW"/>
        </w:rPr>
        <w:t xml:space="preserve"> ورواية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ت</w:t>
      </w:r>
      <w:r w:rsidRPr="00A52585">
        <w:rPr>
          <w:rFonts w:eastAsia="Times New Roman" w:hint="cs"/>
          <w:rtl/>
          <w:lang w:bidi="ar-KW"/>
        </w:rPr>
        <w:t>)</w:t>
      </w:r>
      <w:r w:rsidR="00777DCB" w:rsidRPr="00A52585">
        <w:rPr>
          <w:rFonts w:eastAsia="Times New Roman" w:hint="cs"/>
          <w:rtl/>
          <w:lang w:bidi="ar-KW"/>
        </w:rPr>
        <w:t xml:space="preserve"> رواية </w:t>
      </w:r>
      <w:r w:rsidRPr="00A52585">
        <w:rPr>
          <w:rFonts w:eastAsia="Times New Roman" w:hint="cs"/>
          <w:rtl/>
          <w:lang w:bidi="ar-KW"/>
        </w:rPr>
        <w:t>(</w:t>
      </w:r>
      <w:r w:rsidR="00777DCB" w:rsidRPr="00A52585">
        <w:rPr>
          <w:rFonts w:eastAsia="Times New Roman" w:hint="cs"/>
          <w:rtl/>
          <w:lang w:bidi="ar-KW"/>
        </w:rPr>
        <w:t>أتشهدين أن لا إله إلا الله</w:t>
      </w:r>
      <w:r w:rsidRPr="00A52585">
        <w:rPr>
          <w:rFonts w:eastAsia="Times New Roman" w:hint="cs"/>
          <w:rtl/>
          <w:lang w:bidi="ar-KW"/>
        </w:rPr>
        <w:t>)</w:t>
      </w:r>
      <w:r w:rsidR="00777DCB" w:rsidRPr="00A52585">
        <w:rPr>
          <w:rFonts w:eastAsia="Times New Roman" w:hint="cs"/>
          <w:rtl/>
          <w:lang w:bidi="ar-KW"/>
        </w:rPr>
        <w:t xml:space="preserve"> ورواية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في بعض الروايات سندهما واحد من عطاء بن الحكم عن معاوية بن الحكم رضي الله عنه واللفظ مختلف</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ث</w:t>
      </w:r>
      <w:r w:rsidRPr="00A52585">
        <w:rPr>
          <w:rFonts w:eastAsia="Times New Roman" w:hint="cs"/>
          <w:rtl/>
          <w:lang w:bidi="ar-KW"/>
        </w:rPr>
        <w:t>)</w:t>
      </w:r>
      <w:r w:rsidR="00777DCB" w:rsidRPr="00A52585">
        <w:rPr>
          <w:rFonts w:eastAsia="Times New Roman" w:hint="cs"/>
          <w:rtl/>
          <w:lang w:bidi="ar-KW"/>
        </w:rPr>
        <w:t xml:space="preserve"> رواية </w:t>
      </w:r>
      <w:r w:rsidRPr="00A52585">
        <w:rPr>
          <w:rFonts w:eastAsia="Times New Roman" w:hint="cs"/>
          <w:rtl/>
          <w:lang w:bidi="ar-KW"/>
        </w:rPr>
        <w:t>(</w:t>
      </w:r>
      <w:r w:rsidR="00777DCB" w:rsidRPr="00A52585">
        <w:rPr>
          <w:rFonts w:eastAsia="Times New Roman" w:hint="cs"/>
          <w:rtl/>
          <w:lang w:bidi="ar-KW"/>
        </w:rPr>
        <w:t>أين الله</w:t>
      </w:r>
      <w:r w:rsidR="00F95886" w:rsidRPr="00A52585">
        <w:rPr>
          <w:rFonts w:eastAsia="Times New Roman" w:hint="cs"/>
          <w:rtl/>
          <w:lang w:bidi="ar-KW"/>
        </w:rPr>
        <w:t>؟</w:t>
      </w:r>
      <w:r w:rsidR="00777DCB" w:rsidRPr="00A52585">
        <w:rPr>
          <w:rFonts w:eastAsia="Times New Roman" w:hint="cs"/>
          <w:rtl/>
          <w:lang w:bidi="ar-KW"/>
        </w:rPr>
        <w:t xml:space="preserve"> قالت في السماء</w:t>
      </w:r>
      <w:r w:rsidRPr="00A52585">
        <w:rPr>
          <w:rFonts w:eastAsia="Times New Roman" w:hint="cs"/>
          <w:rtl/>
          <w:lang w:bidi="ar-KW"/>
        </w:rPr>
        <w:t>)</w:t>
      </w:r>
      <w:r w:rsidR="00777DCB" w:rsidRPr="00A52585">
        <w:rPr>
          <w:rFonts w:eastAsia="Times New Roman" w:hint="cs"/>
          <w:rtl/>
          <w:lang w:bidi="ar-KW"/>
        </w:rPr>
        <w:t xml:space="preserve"> ورواية </w:t>
      </w:r>
      <w:r w:rsidRPr="00A52585">
        <w:rPr>
          <w:rFonts w:eastAsia="Times New Roman" w:hint="cs"/>
          <w:rtl/>
          <w:lang w:bidi="ar-KW"/>
        </w:rPr>
        <w:t>(</w:t>
      </w:r>
      <w:r w:rsidR="00777DCB" w:rsidRPr="00A52585">
        <w:rPr>
          <w:rFonts w:eastAsia="Times New Roman" w:hint="cs"/>
          <w:rtl/>
          <w:lang w:bidi="ar-KW"/>
        </w:rPr>
        <w:t>أين الله</w:t>
      </w:r>
      <w:r w:rsidR="00F95886" w:rsidRPr="00A52585">
        <w:rPr>
          <w:rFonts w:eastAsia="Times New Roman" w:hint="cs"/>
          <w:rtl/>
          <w:lang w:bidi="ar-KW"/>
        </w:rPr>
        <w:t>؟</w:t>
      </w:r>
      <w:r w:rsidR="00777DCB" w:rsidRPr="00A52585">
        <w:rPr>
          <w:rFonts w:eastAsia="Times New Roman" w:hint="cs"/>
          <w:rtl/>
          <w:lang w:bidi="ar-KW"/>
        </w:rPr>
        <w:t xml:space="preserve"> فأشارت إلى السماء</w:t>
      </w:r>
      <w:r w:rsidRPr="00A52585">
        <w:rPr>
          <w:rFonts w:eastAsia="Times New Roman" w:hint="cs"/>
          <w:rtl/>
          <w:lang w:bidi="ar-KW"/>
        </w:rPr>
        <w:t>)</w:t>
      </w:r>
      <w:r w:rsidR="00777DCB" w:rsidRPr="00A52585">
        <w:rPr>
          <w:rFonts w:eastAsia="Times New Roman" w:hint="cs"/>
          <w:rtl/>
          <w:lang w:bidi="ar-KW"/>
        </w:rPr>
        <w:t xml:space="preserve"> في بعض الروايات سندهما واحد من رواية يحيى بن كثير القصة واحدة واللفظ مختلف</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ج</w:t>
      </w:r>
      <w:r w:rsidRPr="00A52585">
        <w:rPr>
          <w:rFonts w:eastAsia="Times New Roman" w:hint="cs"/>
          <w:rtl/>
          <w:lang w:bidi="ar-KW"/>
        </w:rPr>
        <w:t>)</w:t>
      </w:r>
      <w:r w:rsidR="00777DCB" w:rsidRPr="00A52585">
        <w:rPr>
          <w:rFonts w:eastAsia="Times New Roman" w:hint="cs"/>
          <w:rtl/>
          <w:lang w:bidi="ar-KW"/>
        </w:rPr>
        <w:t xml:space="preserve"> 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عند مسلم تختلف عن 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عند مالك</w:t>
      </w:r>
      <w:r w:rsidR="00DB731D" w:rsidRPr="00A52585">
        <w:rPr>
          <w:rFonts w:eastAsia="Times New Roman" w:hint="cs"/>
          <w:rtl/>
          <w:lang w:bidi="ar-KW"/>
        </w:rPr>
        <w:t>،</w:t>
      </w:r>
      <w:r w:rsidR="00777DCB" w:rsidRPr="00A52585">
        <w:rPr>
          <w:rFonts w:eastAsia="Times New Roman" w:hint="cs"/>
          <w:rtl/>
          <w:lang w:bidi="ar-KW"/>
        </w:rPr>
        <w:t xml:space="preserve"> فعند مسلم</w:t>
      </w:r>
      <w:r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 xml:space="preserve">يقول وعلي رقبة </w:t>
      </w:r>
      <w:proofErr w:type="spellStart"/>
      <w:r w:rsidR="00777DCB" w:rsidRPr="00A52585">
        <w:rPr>
          <w:rFonts w:eastAsia="Times New Roman" w:hint="cs"/>
          <w:rtl/>
          <w:lang w:bidi="ar-KW"/>
        </w:rPr>
        <w:t>أفأعتقها</w:t>
      </w:r>
      <w:proofErr w:type="spellEnd"/>
      <w:r w:rsidRPr="00A52585">
        <w:rPr>
          <w:rFonts w:eastAsia="Times New Roman" w:hint="cs"/>
          <w:rtl/>
          <w:lang w:bidi="ar-KW"/>
        </w:rPr>
        <w:t xml:space="preserve"> </w:t>
      </w:r>
      <w:r w:rsidR="00777DCB" w:rsidRPr="00A52585">
        <w:rPr>
          <w:rFonts w:eastAsia="Times New Roman" w:hint="cs"/>
          <w:rtl/>
          <w:lang w:bidi="ar-KW"/>
        </w:rPr>
        <w:t>وكان الجواب اعتقها فإنها مؤمنة</w:t>
      </w:r>
      <w:r w:rsidRPr="00A52585">
        <w:rPr>
          <w:rFonts w:eastAsia="Times New Roman" w:hint="cs"/>
          <w:rtl/>
          <w:lang w:bidi="ar-KW"/>
        </w:rPr>
        <w:t>)</w:t>
      </w:r>
      <w:r w:rsidR="00777DCB" w:rsidRPr="00A52585">
        <w:rPr>
          <w:rFonts w:eastAsia="Times New Roman" w:hint="cs"/>
          <w:rtl/>
          <w:lang w:bidi="ar-KW"/>
        </w:rPr>
        <w:t xml:space="preserve"> وعند مالك</w:t>
      </w:r>
      <w:r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يقول فعظم ذلك على فقلت يا رسول الله أفلا</w:t>
      </w:r>
      <w:r w:rsidRPr="00A52585">
        <w:rPr>
          <w:rFonts w:eastAsia="Times New Roman" w:hint="cs"/>
          <w:rtl/>
          <w:lang w:bidi="ar-KW"/>
        </w:rPr>
        <w:t xml:space="preserve"> </w:t>
      </w:r>
      <w:r w:rsidR="00777DCB" w:rsidRPr="00A52585">
        <w:rPr>
          <w:rFonts w:eastAsia="Times New Roman" w:hint="cs"/>
          <w:rtl/>
          <w:lang w:bidi="ar-KW"/>
        </w:rPr>
        <w:t>أعتقها وكان الجواب أعتقها بدون ذكر فإنها مؤمنة</w:t>
      </w:r>
      <w:r w:rsidRPr="00A52585">
        <w:rPr>
          <w:rFonts w:eastAsia="Times New Roman" w:hint="cs"/>
          <w:rtl/>
          <w:lang w:bidi="ar-KW"/>
        </w:rPr>
        <w:t>)</w:t>
      </w:r>
      <w:r w:rsidR="00777DCB" w:rsidRPr="00A52585">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ح</w:t>
      </w:r>
      <w:r w:rsidRPr="00A52585">
        <w:rPr>
          <w:rFonts w:eastAsia="Times New Roman" w:hint="cs"/>
          <w:rtl/>
          <w:lang w:bidi="ar-KW"/>
        </w:rPr>
        <w:t>)</w:t>
      </w:r>
      <w:r w:rsidR="00777DCB" w:rsidRPr="00A52585">
        <w:rPr>
          <w:rFonts w:eastAsia="Times New Roman" w:hint="cs"/>
          <w:rtl/>
          <w:lang w:bidi="ar-KW"/>
        </w:rPr>
        <w:t xml:space="preserve"> بعض روايات الحديث تنص على أن الجارية كانت متكلمة فصيحة وبعضها تنص على أنها كانت خرساء لا</w:t>
      </w:r>
      <w:r w:rsidR="00777DCB" w:rsidRPr="00A52585">
        <w:rPr>
          <w:rFonts w:eastAsia="Times New Roman" w:hint="cs"/>
          <w:lang w:bidi="ar-KW"/>
        </w:rPr>
        <w:t xml:space="preserve"> </w:t>
      </w:r>
      <w:r w:rsidR="00777DCB" w:rsidRPr="00A52585">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777DCB" w:rsidRPr="00A52585">
        <w:rPr>
          <w:rFonts w:eastAsia="Times New Roman" w:hint="cs"/>
          <w:lang w:bidi="ar-KW"/>
        </w:rPr>
        <w:t xml:space="preserve"> </w:t>
      </w:r>
      <w:r w:rsidR="00777DCB" w:rsidRPr="00A52585">
        <w:rPr>
          <w:rFonts w:eastAsia="Times New Roman" w:hint="cs"/>
          <w:rtl/>
          <w:lang w:bidi="ar-KW"/>
        </w:rPr>
        <w:t>وأشار إليها مستفهماً من في السماء</w:t>
      </w:r>
      <w:r w:rsidRPr="00A52585">
        <w:rPr>
          <w:rFonts w:eastAsia="Times New Roman" w:hint="cs"/>
          <w:rtl/>
          <w:lang w:bidi="ar-KW"/>
        </w:rPr>
        <w:t>)</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خ</w:t>
      </w:r>
      <w:r w:rsidRPr="00A52585">
        <w:rPr>
          <w:rFonts w:eastAsia="Times New Roman" w:hint="cs"/>
          <w:rtl/>
          <w:lang w:bidi="ar-KW"/>
        </w:rPr>
        <w:t>)</w:t>
      </w:r>
      <w:r w:rsidR="00777DCB" w:rsidRPr="00A52585">
        <w:rPr>
          <w:rFonts w:eastAsia="Times New Roman" w:hint="cs"/>
          <w:rtl/>
          <w:lang w:bidi="ar-KW"/>
        </w:rPr>
        <w:t xml:space="preserve"> على اعتبار أن الجارية خرساء عجماء لا تفصح يستقيم السؤال بالإشارة أو بلفظ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لمعرفة معبودها - وهاهنا يحل إشكال ألفاظ الحديث - لأن المشركين كانوا يعبدون آلهة في الأرض</w:t>
      </w:r>
      <w:r w:rsidRPr="00A52585">
        <w:rPr>
          <w:rFonts w:eastAsia="Times New Roman" w:hint="cs"/>
          <w:rtl/>
          <w:lang w:bidi="ar-KW"/>
        </w:rPr>
        <w:t xml:space="preserve"> </w:t>
      </w:r>
      <w:r w:rsidR="00777DCB" w:rsidRPr="00A52585">
        <w:rPr>
          <w:rFonts w:eastAsia="Times New Roman" w:hint="cs"/>
          <w:rtl/>
          <w:lang w:bidi="ar-KW"/>
        </w:rPr>
        <w:t>ويدل على ذلك حديث عمران بن الحصين</w:t>
      </w:r>
      <w:r w:rsidR="00777DCB" w:rsidRPr="00A52585">
        <w:rPr>
          <w:rFonts w:eastAsia="Times New Roman" w:hint="cs"/>
          <w:lang w:bidi="ar-KW"/>
        </w:rPr>
        <w:t xml:space="preserve"> </w:t>
      </w:r>
      <w:r w:rsidR="00777DCB" w:rsidRPr="00A52585">
        <w:rPr>
          <w:rFonts w:eastAsia="Times New Roman" w:hint="cs"/>
          <w:rtl/>
          <w:lang w:bidi="ar-KW"/>
        </w:rPr>
        <w:t>الذي أخرجه الترمذي بسنده عن (عمران بن</w:t>
      </w:r>
      <w:r w:rsidR="00777DCB" w:rsidRPr="00A52585">
        <w:rPr>
          <w:rFonts w:eastAsia="Times New Roman" w:hint="cs"/>
          <w:lang w:bidi="ar-KW"/>
        </w:rPr>
        <w:t xml:space="preserve"> </w:t>
      </w:r>
      <w:r w:rsidR="00777DCB" w:rsidRPr="00A52585">
        <w:rPr>
          <w:rFonts w:eastAsia="Times New Roman" w:hint="cs"/>
          <w:rtl/>
          <w:lang w:bidi="ar-KW"/>
        </w:rPr>
        <w:t xml:space="preserve">حصين قال </w:t>
      </w:r>
      <w:proofErr w:type="spellStart"/>
      <w:r w:rsidR="00777DCB" w:rsidRPr="00A52585">
        <w:rPr>
          <w:rFonts w:eastAsia="Times New Roman" w:hint="cs"/>
          <w:rtl/>
          <w:lang w:bidi="ar-KW"/>
        </w:rPr>
        <w:t>قال</w:t>
      </w:r>
      <w:proofErr w:type="spellEnd"/>
      <w:r w:rsidR="00777DCB" w:rsidRPr="00A52585">
        <w:rPr>
          <w:rFonts w:eastAsia="Times New Roman" w:hint="cs"/>
          <w:rtl/>
          <w:lang w:bidi="ar-KW"/>
        </w:rPr>
        <w:t xml:space="preserve"> النبي صلى الله عليه وسلم لأبي يا حصين كم تعبد اليوم إلاهاً</w:t>
      </w:r>
      <w:r w:rsidR="00F95886" w:rsidRPr="00A52585">
        <w:rPr>
          <w:rFonts w:eastAsia="Times New Roman" w:hint="cs"/>
          <w:rtl/>
          <w:lang w:bidi="ar-KW"/>
        </w:rPr>
        <w:t>؟</w:t>
      </w:r>
      <w:r w:rsidR="00777DCB" w:rsidRPr="00A52585">
        <w:rPr>
          <w:rFonts w:eastAsia="Times New Roman" w:hint="cs"/>
          <w:rtl/>
          <w:lang w:bidi="ar-KW"/>
        </w:rPr>
        <w:t xml:space="preserve"> قال</w:t>
      </w:r>
      <w:r w:rsidR="00777DCB" w:rsidRPr="00A52585">
        <w:rPr>
          <w:rFonts w:eastAsia="Times New Roman" w:hint="cs"/>
          <w:lang w:bidi="ar-KW"/>
        </w:rPr>
        <w:t xml:space="preserve"> </w:t>
      </w:r>
      <w:r w:rsidR="00777DCB" w:rsidRPr="00A52585">
        <w:rPr>
          <w:rFonts w:eastAsia="Times New Roman" w:hint="cs"/>
          <w:rtl/>
          <w:lang w:bidi="ar-KW"/>
        </w:rPr>
        <w:t>أبي: سبعة، ستةً في الأرض وواحداً في السماء. قال: فأيهم تعد لرغبتك ورهبتك؟ قال</w:t>
      </w:r>
      <w:r w:rsidR="00777DCB" w:rsidRPr="00A52585">
        <w:rPr>
          <w:rFonts w:eastAsia="Times New Roman" w:hint="cs"/>
          <w:lang w:bidi="ar-KW"/>
        </w:rPr>
        <w:t xml:space="preserve"> </w:t>
      </w:r>
      <w:r w:rsidR="00777DCB" w:rsidRPr="00A52585">
        <w:rPr>
          <w:rFonts w:eastAsia="Times New Roman" w:hint="cs"/>
          <w:rtl/>
          <w:lang w:bidi="ar-KW"/>
        </w:rPr>
        <w:t xml:space="preserve">الذي في السماء) </w:t>
      </w:r>
      <w:r w:rsidRPr="00A52585">
        <w:rPr>
          <w:rFonts w:eastAsia="Times New Roman" w:hint="cs"/>
          <w:rtl/>
          <w:lang w:bidi="ar-KW"/>
        </w:rPr>
        <w:t>[</w:t>
      </w:r>
      <w:r w:rsidR="00777DCB" w:rsidRPr="00A52585">
        <w:rPr>
          <w:rFonts w:eastAsia="Times New Roman" w:hint="cs"/>
          <w:rtl/>
          <w:lang w:bidi="ar-KW"/>
        </w:rPr>
        <w:t>سنن الترمذي5/519(3483)</w:t>
      </w:r>
      <w:r w:rsidRPr="00A52585">
        <w:rPr>
          <w:rFonts w:eastAsia="Times New Roman" w:hint="cs"/>
          <w:rtl/>
          <w:lang w:bidi="ar-KW"/>
        </w:rPr>
        <w:t>]</w:t>
      </w:r>
      <w:r w:rsidR="00777DCB" w:rsidRPr="00A52585">
        <w:rPr>
          <w:rFonts w:eastAsia="Times New Roman" w:hint="cs"/>
          <w:rtl/>
          <w:lang w:bidi="ar-KW"/>
        </w:rPr>
        <w:t xml:space="preserve"> يقول الإمام الغزالي: (وأما حكمه صلى الله عليه</w:t>
      </w:r>
      <w:r w:rsidR="00777DCB" w:rsidRPr="00A52585">
        <w:rPr>
          <w:rFonts w:eastAsia="Times New Roman" w:hint="cs"/>
          <w:lang w:bidi="ar-KW"/>
        </w:rPr>
        <w:t xml:space="preserve"> </w:t>
      </w:r>
      <w:r w:rsidR="00777DCB" w:rsidRPr="00A52585">
        <w:rPr>
          <w:rFonts w:eastAsia="Times New Roman" w:hint="cs"/>
          <w:rtl/>
          <w:lang w:bidi="ar-KW"/>
        </w:rPr>
        <w:t>وسلم على بالإيمان للجارية لما أشارت إلى السماء فقد انكشف به أيضاً- يعني السر في</w:t>
      </w:r>
      <w:r w:rsidR="00777DCB" w:rsidRPr="00A52585">
        <w:rPr>
          <w:rFonts w:eastAsia="Times New Roman" w:hint="cs"/>
          <w:lang w:bidi="ar-KW"/>
        </w:rPr>
        <w:t xml:space="preserve"> </w:t>
      </w:r>
      <w:r w:rsidR="00777DCB" w:rsidRPr="00A52585">
        <w:rPr>
          <w:rFonts w:eastAsia="Times New Roman" w:hint="cs"/>
          <w:rtl/>
          <w:lang w:bidi="ar-KW"/>
        </w:rPr>
        <w:t>رفع الأيدي إلى السماء- إذ ظهر أن لا سبيل للأخرس إلى تفهيم علو المرتبة إلا</w:t>
      </w:r>
      <w:r w:rsidR="00777DCB" w:rsidRPr="00A52585">
        <w:rPr>
          <w:rFonts w:eastAsia="Times New Roman" w:hint="cs"/>
          <w:lang w:bidi="ar-KW"/>
        </w:rPr>
        <w:t xml:space="preserve"> </w:t>
      </w:r>
      <w:r w:rsidR="00777DCB" w:rsidRPr="00A52585">
        <w:rPr>
          <w:rFonts w:eastAsia="Times New Roman" w:hint="cs"/>
          <w:rtl/>
          <w:lang w:bidi="ar-KW"/>
        </w:rPr>
        <w:t>بالإشارة إلى جهة العلو وقد كان يُظن بها أنها من عبدة الأوثان ومَن يعتقد اللهَ في</w:t>
      </w:r>
      <w:r w:rsidR="00777DCB" w:rsidRPr="00A52585">
        <w:rPr>
          <w:rFonts w:eastAsia="Times New Roman" w:hint="cs"/>
          <w:lang w:bidi="ar-KW"/>
        </w:rPr>
        <w:t xml:space="preserve"> </w:t>
      </w:r>
      <w:r w:rsidR="00777DCB" w:rsidRPr="00A52585">
        <w:rPr>
          <w:rFonts w:eastAsia="Times New Roman" w:hint="cs"/>
          <w:rtl/>
          <w:lang w:bidi="ar-KW"/>
        </w:rPr>
        <w:t xml:space="preserve">بيت الأصنام، </w:t>
      </w:r>
      <w:r w:rsidR="00777DCB" w:rsidRPr="00A52585">
        <w:rPr>
          <w:rFonts w:eastAsia="Times New Roman" w:hint="cs"/>
          <w:rtl/>
          <w:lang w:bidi="ar-KW"/>
        </w:rPr>
        <w:lastRenderedPageBreak/>
        <w:t>فاستُنطقت عن معتقدها فعرَّفت بالإشارة إلى السماء أن معبودها ليس في</w:t>
      </w:r>
      <w:r w:rsidR="00777DCB" w:rsidRPr="00A52585">
        <w:rPr>
          <w:rFonts w:eastAsia="Times New Roman" w:hint="cs"/>
          <w:lang w:bidi="ar-KW"/>
        </w:rPr>
        <w:t xml:space="preserve"> </w:t>
      </w:r>
      <w:r w:rsidR="00777DCB" w:rsidRPr="00A52585">
        <w:rPr>
          <w:rFonts w:eastAsia="Times New Roman" w:hint="cs"/>
          <w:rtl/>
          <w:lang w:bidi="ar-KW"/>
        </w:rPr>
        <w:t>بيوت الأصنام كما يعتقد هؤلاء) [الاقتصاد</w:t>
      </w:r>
      <w:r w:rsidR="00777DCB" w:rsidRPr="00A52585">
        <w:rPr>
          <w:rFonts w:eastAsia="Times New Roman" w:hint="cs"/>
          <w:lang w:bidi="ar-KW"/>
        </w:rPr>
        <w:t xml:space="preserve"> </w:t>
      </w:r>
      <w:r w:rsidR="00777DCB" w:rsidRPr="00A52585">
        <w:rPr>
          <w:rFonts w:eastAsia="Times New Roman" w:hint="cs"/>
          <w:rtl/>
          <w:lang w:bidi="ar-KW"/>
        </w:rPr>
        <w:t>في الاعتقاد صـ 33]</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د</w:t>
      </w:r>
      <w:r w:rsidRPr="00A52585">
        <w:rPr>
          <w:rFonts w:eastAsia="Times New Roman" w:hint="cs"/>
          <w:rtl/>
          <w:lang w:bidi="ar-KW"/>
        </w:rPr>
        <w:t>)</w:t>
      </w:r>
      <w:r w:rsidR="00777DCB" w:rsidRPr="00A52585">
        <w:rPr>
          <w:rFonts w:eastAsia="Times New Roman" w:hint="cs"/>
          <w:rtl/>
          <w:lang w:bidi="ar-KW"/>
        </w:rPr>
        <w:t xml:space="preserve"> قد يكون اللفظ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هو من تصرف أحد الرواة على حسب فهمه للواقعة</w:t>
      </w:r>
      <w:r w:rsidR="00DB731D" w:rsidRPr="00A52585">
        <w:rPr>
          <w:rFonts w:eastAsia="Times New Roman" w:hint="cs"/>
          <w:rtl/>
          <w:lang w:bidi="ar-KW"/>
        </w:rPr>
        <w:t>،</w:t>
      </w:r>
      <w:r w:rsidR="00777DCB" w:rsidRPr="00A52585">
        <w:rPr>
          <w:rFonts w:eastAsia="Times New Roman" w:hint="cs"/>
          <w:rtl/>
          <w:lang w:bidi="ar-KW"/>
        </w:rPr>
        <w:t xml:space="preserve"> وبالتالي يوجد هناك احتمال قائم بأنه ليس لفظ الرسول صلى الله عليه وسلم. ومثل هذا الحديث يصح الأخذ</w:t>
      </w:r>
      <w:r w:rsidR="00777DCB" w:rsidRPr="00A52585">
        <w:rPr>
          <w:rFonts w:eastAsia="Times New Roman" w:hint="cs"/>
          <w:lang w:bidi="ar-KW"/>
        </w:rPr>
        <w:t xml:space="preserve"> </w:t>
      </w:r>
      <w:r w:rsidR="00777DCB" w:rsidRPr="00A52585">
        <w:rPr>
          <w:rFonts w:eastAsia="Times New Roman" w:hint="cs"/>
          <w:rtl/>
          <w:lang w:bidi="ar-KW"/>
        </w:rPr>
        <w:t xml:space="preserve">به فيما يتعلق بالعمل </w:t>
      </w:r>
      <w:r w:rsidRPr="00A52585">
        <w:rPr>
          <w:rFonts w:eastAsia="Times New Roman" w:hint="cs"/>
          <w:rtl/>
          <w:lang w:bidi="ar-KW"/>
        </w:rPr>
        <w:t>(</w:t>
      </w:r>
      <w:r w:rsidR="00777DCB" w:rsidRPr="00A52585">
        <w:rPr>
          <w:rFonts w:eastAsia="Times New Roman" w:hint="cs"/>
          <w:rtl/>
          <w:lang w:bidi="ar-KW"/>
        </w:rPr>
        <w:t>لأن الخلاف فيه بين خطأ وصواب</w:t>
      </w:r>
      <w:r w:rsidRPr="00A52585">
        <w:rPr>
          <w:rFonts w:eastAsia="Times New Roman" w:hint="cs"/>
          <w:rtl/>
          <w:lang w:bidi="ar-KW"/>
        </w:rPr>
        <w:t>)</w:t>
      </w:r>
      <w:r w:rsidR="00777DCB" w:rsidRPr="00A52585">
        <w:rPr>
          <w:rFonts w:eastAsia="Times New Roman" w:hint="cs"/>
          <w:rtl/>
          <w:lang w:bidi="ar-KW"/>
        </w:rPr>
        <w:t xml:space="preserve"> دون الاعتقاد لأن الخلاف فيه بين حق وباطل وبين هدى وضلال وبين سنة وبدعة</w:t>
      </w:r>
      <w:r w:rsidRPr="00A52585">
        <w:rPr>
          <w:rFonts w:eastAsia="Times New Roman" w:hint="cs"/>
          <w:rtl/>
          <w:lang w:bidi="ar-KW"/>
        </w:rPr>
        <w:t>)</w:t>
      </w:r>
      <w:r w:rsidR="00DB731D" w:rsidRPr="00A52585">
        <w:rPr>
          <w:rFonts w:eastAsia="Times New Roman" w:hint="cs"/>
          <w:rtl/>
          <w:lang w:bidi="ar-KW"/>
        </w:rPr>
        <w:t>،</w:t>
      </w:r>
      <w:r w:rsidR="00777DCB" w:rsidRPr="00A52585">
        <w:rPr>
          <w:rFonts w:eastAsia="Times New Roman" w:hint="cs"/>
          <w:rtl/>
          <w:lang w:bidi="ar-KW"/>
        </w:rPr>
        <w:t xml:space="preserve"> ولذا أخرجه مسلم في باب تحريم الكلام في الصلاة</w:t>
      </w:r>
      <w:r w:rsidR="00777DCB" w:rsidRPr="00A52585">
        <w:rPr>
          <w:rFonts w:eastAsia="Times New Roman" w:hint="cs"/>
          <w:lang w:bidi="ar-KW"/>
        </w:rPr>
        <w:t xml:space="preserve"> </w:t>
      </w:r>
      <w:r w:rsidR="00777DCB" w:rsidRPr="00A52585">
        <w:rPr>
          <w:rFonts w:eastAsia="Times New Roman" w:hint="cs"/>
          <w:rtl/>
          <w:lang w:bidi="ar-KW"/>
        </w:rPr>
        <w:t>دون كتاب الإيمان حيث اشتمل على تسميت العاطس في الصلاة ومنعِ النبي صلى الله عليه</w:t>
      </w:r>
      <w:r w:rsidR="00777DCB" w:rsidRPr="00A52585">
        <w:rPr>
          <w:rFonts w:eastAsia="Times New Roman" w:hint="cs"/>
          <w:lang w:bidi="ar-KW"/>
        </w:rPr>
        <w:t xml:space="preserve"> </w:t>
      </w:r>
      <w:r w:rsidR="00777DCB" w:rsidRPr="00A52585">
        <w:rPr>
          <w:rFonts w:eastAsia="Times New Roman" w:hint="cs"/>
          <w:rtl/>
          <w:lang w:bidi="ar-KW"/>
        </w:rPr>
        <w:t>وسلم عن ذلك، ولم يخرجه البخاري في صحيحه وأخرج في جزء خلق الافعال ما يتعلق بتسميت</w:t>
      </w:r>
      <w:r w:rsidR="00777DCB" w:rsidRPr="00A52585">
        <w:rPr>
          <w:rFonts w:eastAsia="Times New Roman" w:hint="cs"/>
          <w:lang w:bidi="ar-KW"/>
        </w:rPr>
        <w:t xml:space="preserve"> </w:t>
      </w:r>
      <w:r w:rsidR="00777DCB" w:rsidRPr="00A52585">
        <w:rPr>
          <w:rFonts w:eastAsia="Times New Roman" w:hint="cs"/>
          <w:rtl/>
          <w:lang w:bidi="ar-KW"/>
        </w:rPr>
        <w:t>العاطس من هذا الحديث مقتصراً عليه دون ما يتعلق بكون الله في السماء بدون أي إشارة</w:t>
      </w:r>
      <w:r w:rsidR="00777DCB" w:rsidRPr="00A52585">
        <w:rPr>
          <w:rFonts w:eastAsia="Times New Roman" w:hint="cs"/>
          <w:lang w:bidi="ar-KW"/>
        </w:rPr>
        <w:t xml:space="preserve"> </w:t>
      </w:r>
      <w:r w:rsidR="00777DCB" w:rsidRPr="00A52585">
        <w:rPr>
          <w:rFonts w:eastAsia="Times New Roman" w:hint="cs"/>
          <w:rtl/>
          <w:lang w:bidi="ar-KW"/>
        </w:rPr>
        <w:t>إلى أنه اختصر الحديث</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ذ</w:t>
      </w:r>
      <w:r w:rsidRPr="00A52585">
        <w:rPr>
          <w:rFonts w:eastAsia="Times New Roman" w:hint="cs"/>
          <w:rtl/>
          <w:lang w:bidi="ar-KW"/>
        </w:rPr>
        <w:t>)</w:t>
      </w:r>
      <w:r w:rsidR="00777DCB" w:rsidRPr="00A52585">
        <w:rPr>
          <w:rFonts w:eastAsia="Times New Roman" w:hint="cs"/>
          <w:rtl/>
          <w:lang w:bidi="ar-KW"/>
        </w:rPr>
        <w:t xml:space="preserve"> </w:t>
      </w:r>
      <w:r w:rsidR="00777DCB" w:rsidRPr="00A52585">
        <w:rPr>
          <w:rFonts w:hint="cs"/>
          <w:rtl/>
        </w:rPr>
        <w:t xml:space="preserve">لفظ </w:t>
      </w:r>
      <w:r w:rsidRPr="00A52585">
        <w:rPr>
          <w:rFonts w:hint="cs"/>
          <w:rtl/>
        </w:rPr>
        <w:t>(</w:t>
      </w:r>
      <w:r w:rsidR="00777DCB" w:rsidRPr="00A52585">
        <w:rPr>
          <w:rFonts w:hint="cs"/>
          <w:rtl/>
        </w:rPr>
        <w:t>أين الله</w:t>
      </w:r>
      <w:r w:rsidRPr="00A52585">
        <w:rPr>
          <w:rFonts w:hint="cs"/>
          <w:rtl/>
        </w:rPr>
        <w:t>)</w:t>
      </w:r>
      <w:r w:rsidR="00777DCB" w:rsidRPr="00A52585">
        <w:rPr>
          <w:rFonts w:hint="cs"/>
          <w:rtl/>
        </w:rPr>
        <w:t xml:space="preserve"> مخـالف لما تواتر عن النبي صلى</w:t>
      </w:r>
      <w:r w:rsidR="00777DCB" w:rsidRPr="00A52585">
        <w:rPr>
          <w:rFonts w:hint="cs"/>
        </w:rPr>
        <w:t xml:space="preserve"> </w:t>
      </w:r>
      <w:r w:rsidR="00777DCB" w:rsidRPr="00A52585">
        <w:rPr>
          <w:rFonts w:hint="cs"/>
          <w:rtl/>
        </w:rPr>
        <w:t>الله عليه وسلم أنه كان إذا أتـاه شخص يريـد الإسلام أمره أن ينطـق بالشهادتيـن من</w:t>
      </w:r>
      <w:r w:rsidR="00777DCB" w:rsidRPr="00A52585">
        <w:rPr>
          <w:rFonts w:hint="cs"/>
        </w:rPr>
        <w:t xml:space="preserve"> </w:t>
      </w:r>
      <w:r w:rsidR="00777DCB" w:rsidRPr="00A52585">
        <w:rPr>
          <w:rFonts w:hint="cs"/>
          <w:rtl/>
        </w:rPr>
        <w:t>غير أن يسأله هذا السؤال أو نحوه</w:t>
      </w:r>
      <w:r w:rsidR="00DB731D" w:rsidRPr="00A52585">
        <w:rPr>
          <w:rFonts w:hint="cs"/>
          <w:rtl/>
        </w:rPr>
        <w:t>،</w:t>
      </w:r>
      <w:r w:rsidR="00777DCB" w:rsidRPr="00A52585">
        <w:rPr>
          <w:rFonts w:hint="cs"/>
          <w:rtl/>
          <w:lang w:bidi="ar-KW"/>
        </w:rPr>
        <w:t xml:space="preserve"> وكذلك فهو مخالف </w:t>
      </w:r>
      <w:r w:rsidR="00777DCB" w:rsidRPr="00A52585">
        <w:rPr>
          <w:rFonts w:hint="cs"/>
          <w:rtl/>
        </w:rPr>
        <w:t>لما ثبـت عن النبي صلى</w:t>
      </w:r>
      <w:r w:rsidR="00777DCB" w:rsidRPr="00A52585">
        <w:rPr>
          <w:rFonts w:hint="cs"/>
        </w:rPr>
        <w:t xml:space="preserve"> </w:t>
      </w:r>
      <w:r w:rsidR="00777DCB" w:rsidRPr="00A52585">
        <w:rPr>
          <w:rFonts w:hint="cs"/>
          <w:rtl/>
        </w:rPr>
        <w:t>الله عليه وأله وسلم أنه كان إذا بعث بعض أصحابه للدعـوة إلى الإسلام أمرهم أن</w:t>
      </w:r>
      <w:r w:rsidR="00777DCB" w:rsidRPr="00A52585">
        <w:rPr>
          <w:rFonts w:hint="cs"/>
        </w:rPr>
        <w:t xml:space="preserve"> </w:t>
      </w:r>
      <w:r w:rsidR="00777DCB" w:rsidRPr="00A52585">
        <w:rPr>
          <w:rFonts w:hint="cs"/>
          <w:rtl/>
        </w:rPr>
        <w:t>يأمروا الناس أن يشهدوا أن لا إله إلا الله وأن محمدا رسول الله صلى الله عليه</w:t>
      </w:r>
      <w:r w:rsidR="00777DCB" w:rsidRPr="00A52585">
        <w:rPr>
          <w:rFonts w:hint="cs"/>
        </w:rPr>
        <w:t xml:space="preserve"> </w:t>
      </w:r>
      <w:r w:rsidR="00777DCB" w:rsidRPr="00A52585">
        <w:rPr>
          <w:rFonts w:hint="cs"/>
          <w:rtl/>
        </w:rPr>
        <w:t>واَله وسلم من غير أن يأمرهم أن يبينوا لهم أو يسألوهم عن المكان ومصداق ذلك ما أخرجه الإمام البخاري بسنده عن</w:t>
      </w:r>
      <w:r w:rsidR="00777DCB" w:rsidRPr="00A52585">
        <w:rPr>
          <w:rFonts w:hint="cs"/>
        </w:rPr>
        <w:t xml:space="preserve"> </w:t>
      </w:r>
      <w:r w:rsidR="00777DCB" w:rsidRPr="00A52585">
        <w:rPr>
          <w:rFonts w:hint="cs"/>
          <w:rtl/>
        </w:rPr>
        <w:t>ابن عمر رضي الله عنهما</w:t>
      </w:r>
      <w:r w:rsidRPr="00A52585">
        <w:rPr>
          <w:rFonts w:hint="cs"/>
          <w:rtl/>
        </w:rPr>
        <w:t>:</w:t>
      </w:r>
      <w:r w:rsidR="00777DCB" w:rsidRPr="00A52585">
        <w:rPr>
          <w:rFonts w:hint="cs"/>
          <w:rtl/>
        </w:rPr>
        <w:t xml:space="preserve"> (أن رسول الله صلى الله عليه وسلم قال أمرت أن أقاتل</w:t>
      </w:r>
      <w:r w:rsidR="00777DCB" w:rsidRPr="00A52585">
        <w:rPr>
          <w:rFonts w:hint="cs"/>
        </w:rPr>
        <w:t xml:space="preserve"> </w:t>
      </w:r>
      <w:r w:rsidR="00777DCB" w:rsidRPr="00A52585">
        <w:rPr>
          <w:rFonts w:hint="cs"/>
          <w:rtl/>
        </w:rPr>
        <w:t>الناس حتى يشهدوا أن لا إله إلا الله وأن محمدا رسول الله ويقيموا الصلاة ويؤتوا</w:t>
      </w:r>
      <w:r w:rsidR="00777DCB" w:rsidRPr="00A52585">
        <w:rPr>
          <w:rFonts w:hint="cs"/>
        </w:rPr>
        <w:t xml:space="preserve"> </w:t>
      </w:r>
      <w:r w:rsidR="00777DCB" w:rsidRPr="00A52585">
        <w:rPr>
          <w:rFonts w:hint="cs"/>
          <w:rtl/>
        </w:rPr>
        <w:t>الزكاة فإذا فعلوا ذلك عصموا مني دماءهم وأموالهم إلا بحق الإسلام وحسابهم على</w:t>
      </w:r>
      <w:r w:rsidR="00777DCB" w:rsidRPr="00A52585">
        <w:rPr>
          <w:rFonts w:hint="cs"/>
        </w:rPr>
        <w:t xml:space="preserve"> </w:t>
      </w:r>
      <w:r w:rsidR="00777DCB" w:rsidRPr="00A52585">
        <w:rPr>
          <w:rFonts w:hint="cs"/>
          <w:rtl/>
        </w:rPr>
        <w:t>الله)</w:t>
      </w:r>
      <w:r w:rsidR="00777DCB" w:rsidRPr="00A52585">
        <w:rPr>
          <w:rFonts w:hint="cs"/>
        </w:rPr>
        <w:t xml:space="preserve"> </w:t>
      </w:r>
      <w:r w:rsidR="00777DCB" w:rsidRPr="00A52585">
        <w:rPr>
          <w:rFonts w:hint="cs"/>
          <w:rtl/>
        </w:rPr>
        <w:t>[صحيح البخاري1/17(25)</w:t>
      </w:r>
      <w:r w:rsidRPr="00A52585">
        <w:rPr>
          <w:rFonts w:hint="cs"/>
          <w:rtl/>
        </w:rPr>
        <w:t>]</w:t>
      </w:r>
      <w:r w:rsidR="00777DCB" w:rsidRPr="00A52585">
        <w:rPr>
          <w:rFonts w:hint="cs"/>
          <w:rtl/>
        </w:rPr>
        <w:t xml:space="preserve"> وما أخرجه بسنده عن ابن عباس رضي الله عنهما: (أن النبي صلى</w:t>
      </w:r>
      <w:r w:rsidR="00777DCB" w:rsidRPr="00A52585">
        <w:rPr>
          <w:rFonts w:hint="cs"/>
        </w:rPr>
        <w:t xml:space="preserve"> </w:t>
      </w:r>
      <w:r w:rsidR="00777DCB" w:rsidRPr="00A52585">
        <w:rPr>
          <w:rFonts w:hint="cs"/>
          <w:rtl/>
        </w:rPr>
        <w:t>الله عليه وسلم بعث معاذاً رضي الله عنه إلى اليمن فقال ادعهم إلى شهادة أن لا إله</w:t>
      </w:r>
      <w:r w:rsidR="00777DCB" w:rsidRPr="00A52585">
        <w:rPr>
          <w:rFonts w:hint="cs"/>
        </w:rPr>
        <w:t xml:space="preserve"> </w:t>
      </w:r>
      <w:r w:rsidR="00777DCB" w:rsidRPr="00A52585">
        <w:rPr>
          <w:rFonts w:hint="cs"/>
          <w:rtl/>
        </w:rPr>
        <w:t>إلا الله وأني رسول الله فإن هم أطاعوا لذلك فأعلمهم أن الله قد افترض عليهم خمسَ</w:t>
      </w:r>
      <w:r w:rsidR="00777DCB" w:rsidRPr="00A52585">
        <w:rPr>
          <w:rFonts w:hint="cs"/>
        </w:rPr>
        <w:t xml:space="preserve"> </w:t>
      </w:r>
      <w:r w:rsidR="00777DCB" w:rsidRPr="00A52585">
        <w:rPr>
          <w:rFonts w:hint="cs"/>
          <w:rtl/>
        </w:rPr>
        <w:t>صلوات في كل يوم وليلة فإنْ هم أطاعوا لذلك فأعلمهم أن الله افترض عليهم صدقة في</w:t>
      </w:r>
      <w:r w:rsidR="00777DCB" w:rsidRPr="00A52585">
        <w:rPr>
          <w:rFonts w:hint="cs"/>
        </w:rPr>
        <w:t xml:space="preserve"> </w:t>
      </w:r>
      <w:r w:rsidR="00777DCB" w:rsidRPr="00A52585">
        <w:rPr>
          <w:rFonts w:hint="cs"/>
          <w:rtl/>
        </w:rPr>
        <w:t xml:space="preserve">أموالهم تؤخذ من أغنيائهم وترد على فقرائهم) </w:t>
      </w:r>
      <w:r w:rsidRPr="00A52585">
        <w:rPr>
          <w:rFonts w:hint="cs"/>
          <w:rtl/>
        </w:rPr>
        <w:t>[</w:t>
      </w:r>
      <w:r w:rsidR="00777DCB" w:rsidRPr="00A52585">
        <w:rPr>
          <w:rFonts w:hint="cs"/>
          <w:rtl/>
        </w:rPr>
        <w:t>صحيح البخاري 2/505(1331)]</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ر</w:t>
      </w:r>
      <w:r w:rsidRPr="00A52585">
        <w:rPr>
          <w:rFonts w:hint="cs"/>
          <w:rtl/>
        </w:rPr>
        <w:t>)</w:t>
      </w:r>
      <w:r w:rsidR="00777DCB" w:rsidRPr="00A52585">
        <w:rPr>
          <w:rFonts w:hint="cs"/>
          <w:rtl/>
        </w:rPr>
        <w:t xml:space="preserve"> </w:t>
      </w:r>
      <w:r w:rsidR="00777DCB" w:rsidRPr="00A52585">
        <w:rPr>
          <w:rFonts w:hint="cs"/>
          <w:rtl/>
          <w:lang w:bidi="ar-KW"/>
        </w:rPr>
        <w:t xml:space="preserve">لفظ </w:t>
      </w:r>
      <w:r w:rsidRPr="00A52585">
        <w:rPr>
          <w:rFonts w:hint="cs"/>
          <w:rtl/>
          <w:lang w:bidi="ar-KW"/>
        </w:rPr>
        <w:t>(</w:t>
      </w:r>
      <w:r w:rsidR="00777DCB" w:rsidRPr="00A52585">
        <w:rPr>
          <w:rFonts w:hint="cs"/>
          <w:rtl/>
          <w:lang w:bidi="ar-KW"/>
        </w:rPr>
        <w:t>أين الله والجواب بأنه في السماء</w:t>
      </w:r>
      <w:r w:rsidRPr="00A52585">
        <w:rPr>
          <w:rFonts w:hint="cs"/>
          <w:rtl/>
          <w:lang w:bidi="ar-KW"/>
        </w:rPr>
        <w:t>)</w:t>
      </w:r>
      <w:r w:rsidR="00777DCB" w:rsidRPr="00A52585">
        <w:rPr>
          <w:rFonts w:hint="cs"/>
          <w:rtl/>
          <w:lang w:bidi="ar-KW"/>
        </w:rPr>
        <w:t xml:space="preserve"> </w:t>
      </w:r>
      <w:r w:rsidR="00777DCB" w:rsidRPr="00A52585">
        <w:rPr>
          <w:rFonts w:hint="cs"/>
          <w:rtl/>
        </w:rPr>
        <w:t>لا يثبت توحيـداً ولا ينفي شركـاً وذلك لأن بعض</w:t>
      </w:r>
      <w:r w:rsidR="00777DCB" w:rsidRPr="00A52585">
        <w:rPr>
          <w:rFonts w:hint="cs"/>
        </w:rPr>
        <w:t xml:space="preserve"> </w:t>
      </w:r>
      <w:r w:rsidR="00777DCB" w:rsidRPr="00A52585">
        <w:rPr>
          <w:rFonts w:hint="cs"/>
          <w:rtl/>
        </w:rPr>
        <w:t>المشركين يعترفون بوجود الله وكذا النصارى واليهود ومع ذلك يشركون معه في الألوهية غيره</w:t>
      </w:r>
      <w:r w:rsidR="00777DCB" w:rsidRPr="00A52585">
        <w:rPr>
          <w:rFonts w:hint="cs"/>
        </w:rPr>
        <w:t xml:space="preserve"> </w:t>
      </w:r>
      <w:r w:rsidR="00777DCB" w:rsidRPr="00A52585">
        <w:rPr>
          <w:rFonts w:hint="cs"/>
          <w:rtl/>
        </w:rPr>
        <w:t xml:space="preserve">ويؤيده </w:t>
      </w:r>
      <w:r w:rsidR="00777DCB" w:rsidRPr="00A52585">
        <w:rPr>
          <w:rFonts w:eastAsia="Times New Roman" w:hint="cs"/>
          <w:rtl/>
          <w:lang w:bidi="ar-KW"/>
        </w:rPr>
        <w:t>ويدل عليه حديث عمران بن الحصين</w:t>
      </w:r>
      <w:r w:rsidR="00777DCB" w:rsidRPr="00A52585">
        <w:rPr>
          <w:rFonts w:eastAsia="Times New Roman" w:hint="cs"/>
          <w:lang w:bidi="ar-KW"/>
        </w:rPr>
        <w:t xml:space="preserve"> </w:t>
      </w:r>
      <w:r w:rsidR="00777DCB" w:rsidRPr="00A52585">
        <w:rPr>
          <w:rFonts w:eastAsia="Times New Roman" w:hint="cs"/>
          <w:rtl/>
          <w:lang w:bidi="ar-KW"/>
        </w:rPr>
        <w:t>الذي أخرجه الترمذي بسنده عن (عمران بن</w:t>
      </w:r>
      <w:r w:rsidR="00777DCB" w:rsidRPr="00A52585">
        <w:rPr>
          <w:rFonts w:eastAsia="Times New Roman" w:hint="cs"/>
          <w:lang w:bidi="ar-KW"/>
        </w:rPr>
        <w:t xml:space="preserve"> </w:t>
      </w:r>
      <w:r w:rsidR="00777DCB" w:rsidRPr="00A52585">
        <w:rPr>
          <w:rFonts w:eastAsia="Times New Roman" w:hint="cs"/>
          <w:rtl/>
          <w:lang w:bidi="ar-KW"/>
        </w:rPr>
        <w:t>حصين قال</w:t>
      </w:r>
      <w:r w:rsidRPr="00A52585">
        <w:rPr>
          <w:rFonts w:eastAsia="Times New Roman" w:hint="cs"/>
          <w:rtl/>
          <w:lang w:bidi="ar-KW"/>
        </w:rPr>
        <w:t>:</w:t>
      </w:r>
      <w:r w:rsidR="00777DCB" w:rsidRPr="00A52585">
        <w:rPr>
          <w:rFonts w:eastAsia="Times New Roman" w:hint="cs"/>
          <w:rtl/>
          <w:lang w:bidi="ar-KW"/>
        </w:rPr>
        <w:t xml:space="preserve"> قال النبي صلى الله عليه وسلم لأبي يا حصين</w:t>
      </w:r>
      <w:r w:rsidRPr="00A52585">
        <w:rPr>
          <w:rFonts w:eastAsia="Times New Roman" w:hint="cs"/>
          <w:rtl/>
          <w:lang w:bidi="ar-KW"/>
        </w:rPr>
        <w:t>:</w:t>
      </w:r>
      <w:r w:rsidR="00777DCB" w:rsidRPr="00A52585">
        <w:rPr>
          <w:rFonts w:eastAsia="Times New Roman" w:hint="cs"/>
          <w:rtl/>
          <w:lang w:bidi="ar-KW"/>
        </w:rPr>
        <w:t xml:space="preserve"> كم تعبد اليوم إلاهاً</w:t>
      </w:r>
      <w:r w:rsidR="00F95886" w:rsidRPr="00A52585">
        <w:rPr>
          <w:rFonts w:eastAsia="Times New Roman" w:hint="cs"/>
          <w:rtl/>
          <w:lang w:bidi="ar-KW"/>
        </w:rPr>
        <w:t>؟</w:t>
      </w:r>
      <w:r w:rsidR="00777DCB" w:rsidRPr="00A52585">
        <w:rPr>
          <w:rFonts w:eastAsia="Times New Roman" w:hint="cs"/>
          <w:rtl/>
          <w:lang w:bidi="ar-KW"/>
        </w:rPr>
        <w:t xml:space="preserve"> قال</w:t>
      </w:r>
      <w:r w:rsidR="00777DCB" w:rsidRPr="00A52585">
        <w:rPr>
          <w:rFonts w:eastAsia="Times New Roman" w:hint="cs"/>
          <w:lang w:bidi="ar-KW"/>
        </w:rPr>
        <w:t xml:space="preserve"> </w:t>
      </w:r>
      <w:r w:rsidR="00777DCB" w:rsidRPr="00A52585">
        <w:rPr>
          <w:rFonts w:eastAsia="Times New Roman" w:hint="cs"/>
          <w:rtl/>
          <w:lang w:bidi="ar-KW"/>
        </w:rPr>
        <w:t>أبي: سبعة، ستةً في الأرض وواحداً في السماء. قال: فأيهم تعد لرغبتك ورهبتك؟ قال</w:t>
      </w:r>
      <w:r w:rsidR="00777DCB" w:rsidRPr="00A52585">
        <w:rPr>
          <w:rFonts w:eastAsia="Times New Roman" w:hint="cs"/>
          <w:lang w:bidi="ar-KW"/>
        </w:rPr>
        <w:t xml:space="preserve"> </w:t>
      </w:r>
      <w:r w:rsidR="00777DCB" w:rsidRPr="00A52585">
        <w:rPr>
          <w:rFonts w:eastAsia="Times New Roman" w:hint="cs"/>
          <w:rtl/>
          <w:lang w:bidi="ar-KW"/>
        </w:rPr>
        <w:t xml:space="preserve">الذي في السماء) </w:t>
      </w:r>
      <w:r w:rsidRPr="00A52585">
        <w:rPr>
          <w:rFonts w:eastAsia="Times New Roman" w:hint="cs"/>
          <w:rtl/>
          <w:lang w:bidi="ar-KW"/>
        </w:rPr>
        <w:t>[</w:t>
      </w:r>
      <w:r w:rsidR="00777DCB" w:rsidRPr="00A52585">
        <w:rPr>
          <w:rFonts w:eastAsia="Times New Roman" w:hint="cs"/>
          <w:rtl/>
          <w:lang w:bidi="ar-KW"/>
        </w:rPr>
        <w:t>سنن الترمذي5/519(3483)</w:t>
      </w:r>
      <w:r w:rsidRPr="00A52585">
        <w:rPr>
          <w:rFonts w:eastAsia="Times New Roman"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ز</w:t>
      </w:r>
      <w:r w:rsidRPr="00A52585">
        <w:rPr>
          <w:rFonts w:hint="cs"/>
          <w:rtl/>
          <w:lang w:bidi="ar-KW"/>
        </w:rPr>
        <w:t>)</w:t>
      </w:r>
      <w:r w:rsidR="00777DCB" w:rsidRPr="00A52585">
        <w:rPr>
          <w:rFonts w:hint="cs"/>
          <w:rtl/>
          <w:lang w:bidi="ar-KW"/>
        </w:rPr>
        <w:t xml:space="preserve"> </w:t>
      </w:r>
      <w:r w:rsidR="00777DCB" w:rsidRPr="00A52585">
        <w:rPr>
          <w:rFonts w:hint="cs"/>
          <w:rtl/>
        </w:rPr>
        <w:t xml:space="preserve">لفظ </w:t>
      </w:r>
      <w:r w:rsidRPr="00A52585">
        <w:rPr>
          <w:rFonts w:hint="cs"/>
          <w:rtl/>
        </w:rPr>
        <w:t>(</w:t>
      </w:r>
      <w:r w:rsidR="00777DCB" w:rsidRPr="00A52585">
        <w:rPr>
          <w:rFonts w:hint="cs"/>
          <w:rtl/>
        </w:rPr>
        <w:t xml:space="preserve">أتشهدين </w:t>
      </w:r>
      <w:r w:rsidR="00777DCB" w:rsidRPr="00A52585">
        <w:rPr>
          <w:rFonts w:hint="cs"/>
          <w:rtl/>
        </w:rPr>
        <w:lastRenderedPageBreak/>
        <w:t>أن لا إله إلا الله</w:t>
      </w:r>
      <w:r w:rsidRPr="00A52585">
        <w:rPr>
          <w:rFonts w:hint="cs"/>
          <w:rtl/>
        </w:rPr>
        <w:t>)</w:t>
      </w:r>
      <w:r w:rsidR="00777DCB" w:rsidRPr="00A52585">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777DCB" w:rsidRPr="00A52585">
        <w:rPr>
          <w:rFonts w:hint="cs"/>
        </w:rPr>
        <w:t xml:space="preserve"> </w:t>
      </w:r>
      <w:r w:rsidR="00777DCB" w:rsidRPr="00A52585">
        <w:rPr>
          <w:rFonts w:hint="cs"/>
          <w:rtl/>
        </w:rPr>
        <w:t xml:space="preserve">في حديث جبريل عليه السلام ولم يذكر فيه عقيدة أن الله في السماء وإنما ذكر شهادة التوحيد </w:t>
      </w:r>
      <w:r w:rsidRPr="00A52585">
        <w:rPr>
          <w:rFonts w:hint="cs"/>
          <w:rtl/>
        </w:rPr>
        <w:t>(</w:t>
      </w:r>
      <w:r w:rsidR="00777DCB" w:rsidRPr="00A52585">
        <w:rPr>
          <w:rFonts w:hint="cs"/>
          <w:rtl/>
        </w:rPr>
        <w:t xml:space="preserve">لا لا له </w:t>
      </w:r>
      <w:proofErr w:type="spellStart"/>
      <w:r w:rsidR="00777DCB" w:rsidRPr="00A52585">
        <w:rPr>
          <w:rFonts w:hint="cs"/>
          <w:rtl/>
        </w:rPr>
        <w:t>له</w:t>
      </w:r>
      <w:proofErr w:type="spellEnd"/>
      <w:r w:rsidR="00777DCB" w:rsidRPr="00A52585">
        <w:rPr>
          <w:rFonts w:hint="cs"/>
          <w:rtl/>
        </w:rPr>
        <w:t xml:space="preserve"> لا الله = محمد رسول الله</w:t>
      </w:r>
      <w:r w:rsidRPr="00A52585">
        <w:rPr>
          <w:rFonts w:hint="cs"/>
          <w:rtl/>
        </w:rPr>
        <w:t>)</w:t>
      </w:r>
      <w:r w:rsidR="00777DCB" w:rsidRPr="00A52585">
        <w:rPr>
          <w:rFonts w:hint="cs"/>
          <w:rtl/>
        </w:rPr>
        <w:t xml:space="preserve"> ويؤيدها كذلك حديث </w:t>
      </w:r>
      <w:r w:rsidRPr="00A52585">
        <w:rPr>
          <w:rFonts w:hint="cs"/>
          <w:rtl/>
        </w:rPr>
        <w:t>(</w:t>
      </w:r>
      <w:r w:rsidR="00777DCB" w:rsidRPr="00A52585">
        <w:rPr>
          <w:rFonts w:hint="cs"/>
          <w:rtl/>
        </w:rPr>
        <w:t>أمرت</w:t>
      </w:r>
      <w:r w:rsidR="00777DCB" w:rsidRPr="00A52585">
        <w:rPr>
          <w:rFonts w:hint="cs"/>
        </w:rPr>
        <w:t xml:space="preserve"> </w:t>
      </w:r>
      <w:r w:rsidR="00777DCB" w:rsidRPr="00A52585">
        <w:rPr>
          <w:rFonts w:hint="cs"/>
          <w:rtl/>
        </w:rPr>
        <w:t>أن أقاتل الناس حتى يشهدوا أن لا إله إلا الله وأن محمدا رسول الله فإن هم فعلوا</w:t>
      </w:r>
      <w:r w:rsidR="00777DCB" w:rsidRPr="00A52585">
        <w:rPr>
          <w:rFonts w:hint="cs"/>
        </w:rPr>
        <w:t xml:space="preserve"> </w:t>
      </w:r>
      <w:r w:rsidR="00777DCB" w:rsidRPr="00A52585">
        <w:rPr>
          <w:rFonts w:hint="cs"/>
          <w:rtl/>
        </w:rPr>
        <w:t>ذلك فقد عصموا مني دماءهم وأموالهم إلا بحق الإسلام وحسابهم على الله</w:t>
      </w:r>
      <w:r w:rsidRPr="00A52585">
        <w:rPr>
          <w:rFonts w:hint="cs"/>
          <w:rtl/>
        </w:rPr>
        <w:t xml:space="preserve">) </w:t>
      </w:r>
      <w:r w:rsidR="00777DCB" w:rsidRPr="00A52585">
        <w:rPr>
          <w:rFonts w:hint="cs"/>
          <w:rtl/>
        </w:rPr>
        <w:t>وقد نص غير</w:t>
      </w:r>
      <w:r w:rsidR="00777DCB" w:rsidRPr="00A52585">
        <w:rPr>
          <w:rFonts w:hint="cs"/>
        </w:rPr>
        <w:t xml:space="preserve"> </w:t>
      </w:r>
      <w:r w:rsidR="00777DCB" w:rsidRPr="00A52585">
        <w:rPr>
          <w:rFonts w:hint="cs"/>
          <w:rtl/>
        </w:rPr>
        <w:t>واحد من العلمـاء على أنه حديـث متـواتر</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س</w:t>
      </w:r>
      <w:r w:rsidRPr="00A52585">
        <w:rPr>
          <w:rFonts w:hint="cs"/>
          <w:rtl/>
        </w:rPr>
        <w:t>)</w:t>
      </w:r>
      <w:r w:rsidR="00777DCB" w:rsidRPr="00A52585">
        <w:rPr>
          <w:rFonts w:hint="cs"/>
          <w:rtl/>
        </w:rPr>
        <w:t xml:space="preserve"> لفظ </w:t>
      </w:r>
      <w:r w:rsidRPr="00A52585">
        <w:rPr>
          <w:rFonts w:hint="cs"/>
          <w:rtl/>
        </w:rPr>
        <w:t>(</w:t>
      </w:r>
      <w:r w:rsidR="00777DCB" w:rsidRPr="00A52585">
        <w:rPr>
          <w:rFonts w:hint="cs"/>
          <w:rtl/>
        </w:rPr>
        <w:t>أتشهدين أن لا إله إلا الله</w:t>
      </w:r>
      <w:r w:rsidRPr="00A52585">
        <w:rPr>
          <w:rFonts w:hint="cs"/>
          <w:rtl/>
        </w:rPr>
        <w:t xml:space="preserve">) </w:t>
      </w:r>
      <w:r w:rsidR="00777DCB" w:rsidRPr="00A52585">
        <w:rPr>
          <w:rFonts w:hint="cs"/>
          <w:rtl/>
        </w:rPr>
        <w:t>هو الموافق لإجماع المسلمين بأن من نطق بالشهادتيـن وصدق بما جاء به الرسول صلى الله عليه وأله وسلم فقد دخل</w:t>
      </w:r>
      <w:r w:rsidR="00777DCB" w:rsidRPr="00A52585">
        <w:rPr>
          <w:rFonts w:hint="cs"/>
        </w:rPr>
        <w:t xml:space="preserve"> </w:t>
      </w:r>
      <w:r w:rsidR="00777DCB" w:rsidRPr="00A52585">
        <w:rPr>
          <w:rFonts w:hint="cs"/>
          <w:rtl/>
        </w:rPr>
        <w:t xml:space="preserve">الإسلام </w:t>
      </w:r>
      <w:r w:rsidR="00777DCB" w:rsidRPr="00A52585">
        <w:rPr>
          <w:rFonts w:eastAsia="Times New Roman" w:hint="cs"/>
          <w:rtl/>
          <w:lang w:bidi="ar-KW"/>
        </w:rPr>
        <w:t xml:space="preserve">فإذا صحت رواية </w:t>
      </w:r>
      <w:r w:rsidRPr="00A52585">
        <w:rPr>
          <w:rFonts w:eastAsia="Times New Roman" w:hint="cs"/>
          <w:rtl/>
          <w:lang w:bidi="ar-KW"/>
        </w:rPr>
        <w:t>(</w:t>
      </w:r>
      <w:r w:rsidR="00777DCB" w:rsidRPr="00A52585">
        <w:rPr>
          <w:rFonts w:eastAsia="Times New Roman" w:hint="cs"/>
          <w:rtl/>
          <w:lang w:bidi="ar-KW"/>
        </w:rPr>
        <w:t>أتشهدين أن لا إله إلا الله</w:t>
      </w:r>
      <w:r w:rsidRPr="00A52585">
        <w:rPr>
          <w:rFonts w:eastAsia="Times New Roman" w:hint="cs"/>
          <w:rtl/>
          <w:lang w:bidi="ar-KW"/>
        </w:rPr>
        <w:t>)</w:t>
      </w:r>
      <w:r w:rsidR="00777DCB" w:rsidRPr="00A52585">
        <w:rPr>
          <w:rFonts w:eastAsia="Times New Roman" w:hint="cs"/>
          <w:rtl/>
          <w:lang w:bidi="ar-KW"/>
        </w:rPr>
        <w:t xml:space="preserve"> وهي صحيحة لا غبار عليها وجب ترجيحها على سائر الروايات والله أعلم</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ش</w:t>
      </w:r>
      <w:r w:rsidRPr="00A52585">
        <w:rPr>
          <w:rFonts w:eastAsia="Times New Roman" w:hint="cs"/>
          <w:rtl/>
          <w:lang w:bidi="ar-KW"/>
        </w:rPr>
        <w:t>)</w:t>
      </w:r>
      <w:r w:rsidR="00777DCB" w:rsidRPr="00A52585">
        <w:rPr>
          <w:rFonts w:eastAsia="Times New Roman" w:hint="cs"/>
          <w:rtl/>
          <w:lang w:bidi="ar-KW"/>
        </w:rPr>
        <w:t xml:space="preserve"> ثبت بحسب قواعد مصطلح الحديث وتصريحات بعض أهل الحديث اضطراب متن حديث الجارية الذي في مسلم وغيره بلفظ: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وأن الرواية الصحيحة التي ينبغي التعويل عليها هي رواية </w:t>
      </w:r>
      <w:r w:rsidRPr="00A52585">
        <w:rPr>
          <w:rFonts w:eastAsia="Times New Roman" w:hint="cs"/>
          <w:rtl/>
          <w:lang w:bidi="ar-KW"/>
        </w:rPr>
        <w:t>(</w:t>
      </w:r>
      <w:r w:rsidR="00777DCB" w:rsidRPr="00A52585">
        <w:rPr>
          <w:rFonts w:eastAsia="Times New Roman" w:hint="cs"/>
          <w:rtl/>
          <w:lang w:bidi="ar-KW"/>
        </w:rPr>
        <w:t>أتشهدين أن لا إله إلا الله قالت: نعم، قال: أتشـهدين أني رسول الله قالت: نعم، قال: أتؤمنين بالبعث بعد الموت قالت: نعم، قال: أعتقها.</w:t>
      </w:r>
      <w:r w:rsidRPr="00A52585">
        <w:rPr>
          <w:rFonts w:eastAsia="Times New Roman" w:hint="cs"/>
          <w:rtl/>
          <w:lang w:bidi="ar-KW"/>
        </w:rPr>
        <w:t>)</w:t>
      </w:r>
      <w:r w:rsidR="00777DCB" w:rsidRPr="00A52585">
        <w:rPr>
          <w:rFonts w:eastAsia="Times New Roman" w:hint="cs"/>
          <w:rtl/>
          <w:lang w:bidi="ar-KW"/>
        </w:rPr>
        <w:t xml:space="preserve"> ويؤيده</w:t>
      </w:r>
      <w:r w:rsidRPr="00A52585">
        <w:rPr>
          <w:rFonts w:eastAsia="Times New Roman" w:hint="cs"/>
          <w:rtl/>
          <w:lang w:bidi="ar-KW"/>
        </w:rPr>
        <w:t xml:space="preserve"> </w:t>
      </w:r>
      <w:r w:rsidR="00777DCB" w:rsidRPr="00A52585">
        <w:rPr>
          <w:rFonts w:eastAsia="Times New Roman" w:hint="cs"/>
          <w:rtl/>
          <w:lang w:bidi="ar-KW"/>
        </w:rPr>
        <w:t xml:space="preserve">الإجماع على أنه لا يحكم لمن قال </w:t>
      </w:r>
      <w:r w:rsidRPr="00A52585">
        <w:rPr>
          <w:rFonts w:eastAsia="Times New Roman" w:hint="cs"/>
          <w:rtl/>
          <w:lang w:bidi="ar-KW"/>
        </w:rPr>
        <w:t>(</w:t>
      </w:r>
      <w:r w:rsidR="00777DCB" w:rsidRPr="00A52585">
        <w:rPr>
          <w:rFonts w:eastAsia="Times New Roman" w:hint="cs"/>
          <w:rtl/>
          <w:lang w:bidi="ar-KW"/>
        </w:rPr>
        <w:t>الله في السماء</w:t>
      </w:r>
      <w:r w:rsidRPr="00A52585">
        <w:rPr>
          <w:rFonts w:eastAsia="Times New Roman" w:hint="cs"/>
          <w:rtl/>
          <w:lang w:bidi="ar-KW"/>
        </w:rPr>
        <w:t>)</w:t>
      </w:r>
      <w:r w:rsidR="00777DCB" w:rsidRPr="00A52585">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أمرت أن أقاتل الناس حتى يشهدوا أن لا إله إلا الله وأني رسول الله</w:t>
      </w:r>
      <w:r w:rsidRPr="00A52585">
        <w:rPr>
          <w:rFonts w:eastAsia="Times New Roman" w:hint="cs"/>
          <w:rtl/>
          <w:lang w:bidi="ar-KW"/>
        </w:rPr>
        <w:t>)</w:t>
      </w:r>
      <w:r w:rsidR="00777DCB" w:rsidRPr="00A52585">
        <w:rPr>
          <w:rFonts w:eastAsia="Times New Roman" w:hint="cs"/>
          <w:rtl/>
          <w:lang w:bidi="ar-KW"/>
        </w:rPr>
        <w:t>)</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ص</w:t>
      </w:r>
      <w:r w:rsidRPr="00A52585">
        <w:rPr>
          <w:rFonts w:eastAsia="Times New Roman" w:hint="cs"/>
          <w:rtl/>
          <w:lang w:bidi="ar-KW"/>
        </w:rPr>
        <w:t>)</w:t>
      </w:r>
      <w:r w:rsidR="00777DCB" w:rsidRPr="00A52585">
        <w:rPr>
          <w:rFonts w:eastAsia="Times New Roman" w:hint="cs"/>
          <w:rtl/>
          <w:lang w:bidi="ar-KW"/>
        </w:rPr>
        <w:t xml:space="preserve"> </w:t>
      </w:r>
      <w:r w:rsidR="00777DCB" w:rsidRPr="00A52585">
        <w:rPr>
          <w:rFonts w:hint="cs"/>
          <w:rtl/>
          <w:lang w:bidi="ar-KW"/>
        </w:rPr>
        <w:t xml:space="preserve">وأما من قال بصحة حديث الجارية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وكان على مذهب أهل السنة والجماعة في التقديس والتنزيه فإنّه حمل 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sidRPr="00A52585">
        <w:rPr>
          <w:rFonts w:hint="cs"/>
          <w:rtl/>
          <w:lang w:bidi="ar-KW"/>
        </w:rPr>
        <w:t>(</w:t>
      </w:r>
      <w:r w:rsidR="00777DCB" w:rsidRPr="00A52585">
        <w:rPr>
          <w:rFonts w:hint="cs"/>
          <w:rtl/>
          <w:lang w:bidi="ar-KW"/>
        </w:rPr>
        <w:t>أين الله</w:t>
      </w:r>
      <w:r w:rsidRPr="00A52585">
        <w:rPr>
          <w:rFonts w:hint="cs"/>
          <w:rtl/>
          <w:lang w:bidi="ar-KW"/>
        </w:rPr>
        <w:t>)</w:t>
      </w:r>
      <w:r w:rsidR="00777DCB" w:rsidRPr="00A52585">
        <w:rPr>
          <w:rFonts w:hint="cs"/>
          <w:rtl/>
          <w:lang w:bidi="ar-KW"/>
        </w:rPr>
        <w:t xml:space="preserve"> عند أهل السنة من المتشابه الذي مخرجه طريقان لا ثالث لهما</w:t>
      </w:r>
      <w:r w:rsidRPr="00A52585">
        <w:rPr>
          <w:rFonts w:hint="cs"/>
          <w:rtl/>
          <w:lang w:bidi="ar-KW"/>
        </w:rPr>
        <w:t>:</w:t>
      </w:r>
      <w:r w:rsidR="00777DCB" w:rsidRPr="00A52585">
        <w:rPr>
          <w:rFonts w:hint="cs"/>
          <w:rtl/>
          <w:lang w:bidi="ar-KW"/>
        </w:rPr>
        <w:t xml:space="preserve"> أحدهما: الإيمان به من غير خوض في معناه مع اعتقاد أن الله تعالى ليس كمثله شيء وتنـزيهه عن سمات المخلوقات</w:t>
      </w:r>
      <w:r w:rsidR="00DB731D" w:rsidRPr="00A52585">
        <w:rPr>
          <w:rFonts w:hint="cs"/>
          <w:rtl/>
          <w:lang w:bidi="ar-KW"/>
        </w:rPr>
        <w:t>،</w:t>
      </w:r>
      <w:r w:rsidR="00777DCB" w:rsidRPr="00A52585">
        <w:rPr>
          <w:rFonts w:hint="cs"/>
          <w:rtl/>
          <w:lang w:bidi="ar-KW"/>
        </w:rPr>
        <w:t xml:space="preserve"> والثاني: تأويله بما يليق به وهذا هو ما ذكره الإمام النووي عند شرحه للحديث في صحيح مسلم فقال ما نصه</w:t>
      </w:r>
      <w:r w:rsidRPr="00A52585">
        <w:rPr>
          <w:rFonts w:hint="cs"/>
          <w:rtl/>
          <w:lang w:bidi="ar-KW"/>
        </w:rPr>
        <w:t>:</w:t>
      </w:r>
      <w:r w:rsidR="00777DCB" w:rsidRPr="00A52585">
        <w:rPr>
          <w:rFonts w:hint="cs"/>
          <w:rtl/>
          <w:lang w:bidi="ar-KW"/>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Pr="00A52585">
        <w:rPr>
          <w:rFonts w:hint="cs"/>
          <w:rtl/>
          <w:lang w:bidi="ar-KW"/>
        </w:rPr>
        <w:t>:</w:t>
      </w:r>
      <w:r w:rsidR="00777DCB" w:rsidRPr="00A52585">
        <w:rPr>
          <w:rFonts w:hint="cs"/>
          <w:rtl/>
          <w:lang w:bidi="ar-KW"/>
        </w:rPr>
        <w:t xml:space="preserve">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w:t>
      </w:r>
      <w:r w:rsidRPr="00A52585">
        <w:rPr>
          <w:rFonts w:hint="cs"/>
          <w:rtl/>
          <w:lang w:bidi="ar-KW"/>
        </w:rPr>
        <w:t xml:space="preserve">: </w:t>
      </w:r>
      <w:r w:rsidR="00777DCB" w:rsidRPr="00A52585">
        <w:rPr>
          <w:rFonts w:hint="cs"/>
          <w:rtl/>
          <w:lang w:bidi="ar-KW"/>
        </w:rPr>
        <w:t xml:space="preserve">هل هي موحدة تـقر بأن الخالق المدبر الفعال هو الله وحده وهو الذي إذا دعاه الداعي استقبل السماء كما إذا صلى المصلي استقبل الكعبة، </w:t>
      </w:r>
      <w:r w:rsidR="00777DCB" w:rsidRPr="00A52585">
        <w:rPr>
          <w:rFonts w:hint="cs"/>
          <w:rtl/>
          <w:lang w:bidi="ar-KW"/>
        </w:rPr>
        <w:lastRenderedPageBreak/>
        <w:t>وليس ذلك لأنه منحصر في السماء كما أنه ليس منحصرا في جهة الكعبة بل ذلك لأن السماء قبلة الداعين كما أن الكعبة قبلة المصلين.</w:t>
      </w:r>
      <w:r w:rsidRPr="00A52585">
        <w:rPr>
          <w:rFonts w:hint="cs"/>
          <w:rtl/>
          <w:lang w:bidi="ar-KW"/>
        </w:rPr>
        <w:t xml:space="preserve"> </w:t>
      </w:r>
      <w:r w:rsidR="00777DCB" w:rsidRPr="00A52585">
        <w:rPr>
          <w:rFonts w:hint="cs"/>
          <w:rtl/>
          <w:lang w:bidi="ar-KW"/>
        </w:rPr>
        <w:t>أو هي من عبدة الأوثان العابدين للأوثان التي بين أيديهم فلما قالت: في</w:t>
      </w:r>
      <w:r w:rsidR="00777DCB" w:rsidRPr="00A52585">
        <w:rPr>
          <w:rFonts w:hint="cs"/>
          <w:lang w:bidi="ar-KW"/>
        </w:rPr>
        <w:t xml:space="preserve"> </w:t>
      </w:r>
      <w:r w:rsidR="00777DCB" w:rsidRPr="00A52585">
        <w:rPr>
          <w:rFonts w:hint="cs"/>
          <w:rtl/>
          <w:lang w:bidi="ar-KW"/>
        </w:rPr>
        <w:t xml:space="preserve">السماء علم أنها موحدة وليست عابدة للأوثان اهـ </w:t>
      </w:r>
      <w:r w:rsidRPr="00A52585">
        <w:rPr>
          <w:rFonts w:hint="cs"/>
          <w:rtl/>
          <w:lang w:bidi="ar-KW"/>
        </w:rPr>
        <w:t>[</w:t>
      </w:r>
      <w:r w:rsidR="00777DCB" w:rsidRPr="00A52585">
        <w:rPr>
          <w:rFonts w:hint="cs"/>
          <w:rtl/>
          <w:lang w:bidi="ar-KW"/>
        </w:rPr>
        <w:t>النووي في شرحه على صحيح مسلم (ج5 /ص22)</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ض</w:t>
      </w:r>
      <w:r w:rsidRPr="00A52585">
        <w:rPr>
          <w:rFonts w:hint="cs"/>
          <w:rtl/>
          <w:lang w:bidi="ar-KW"/>
        </w:rPr>
        <w:t>)</w:t>
      </w:r>
      <w:r w:rsidR="00777DCB" w:rsidRPr="00A52585">
        <w:rPr>
          <w:rFonts w:hint="cs"/>
          <w:rtl/>
          <w:lang w:bidi="ar-KW"/>
        </w:rPr>
        <w:t xml:space="preserve"> </w:t>
      </w:r>
      <w:r w:rsidR="00777DCB" w:rsidRPr="00A52585">
        <w:rPr>
          <w:rFonts w:eastAsia="Times New Roman" w:hint="cs"/>
          <w:rtl/>
          <w:lang w:bidi="ar-KW"/>
        </w:rPr>
        <w:t xml:space="preserve">الحديث بلفظ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xml:space="preserve"> فيه التشابه من وجهين</w:t>
      </w:r>
      <w:r w:rsidRPr="00A52585">
        <w:rPr>
          <w:rFonts w:eastAsia="Times New Roman" w:hint="cs"/>
          <w:rtl/>
          <w:lang w:bidi="ar-KW"/>
        </w:rPr>
        <w:t>:</w:t>
      </w:r>
      <w:r w:rsidR="00777DCB" w:rsidRPr="00A52585">
        <w:rPr>
          <w:rFonts w:eastAsia="Times New Roman" w:hint="cs"/>
          <w:rtl/>
          <w:lang w:bidi="ar-KW"/>
        </w:rPr>
        <w:t xml:space="preserve"> أحدهما</w:t>
      </w:r>
      <w:r w:rsidRPr="00A52585">
        <w:rPr>
          <w:rFonts w:eastAsia="Times New Roman" w:hint="cs"/>
          <w:rtl/>
          <w:lang w:bidi="ar-KW"/>
        </w:rPr>
        <w:t>:</w:t>
      </w:r>
      <w:r w:rsidR="00777DCB" w:rsidRPr="00A52585">
        <w:rPr>
          <w:rFonts w:eastAsia="Times New Roman" w:hint="cs"/>
          <w:rtl/>
          <w:lang w:bidi="ar-KW"/>
        </w:rPr>
        <w:t xml:space="preserve"> قولـه صلى الله عليه وسلم لها:</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 xml:space="preserve">) </w:t>
      </w:r>
      <w:r w:rsidR="00777DCB" w:rsidRPr="00A52585">
        <w:rPr>
          <w:rFonts w:eastAsia="Times New Roman" w:hint="cs"/>
          <w:rtl/>
          <w:lang w:bidi="ar-KW"/>
        </w:rPr>
        <w:t xml:space="preserve">فإن الله سبحانه وتعالى لا يُسأل عنه ب </w:t>
      </w:r>
      <w:r w:rsidRPr="00A52585">
        <w:rPr>
          <w:rFonts w:eastAsia="Times New Roman" w:hint="cs"/>
          <w:rtl/>
          <w:lang w:bidi="ar-KW"/>
        </w:rPr>
        <w:t>(</w:t>
      </w:r>
      <w:r w:rsidR="00777DCB" w:rsidRPr="00A52585">
        <w:rPr>
          <w:rFonts w:eastAsia="Times New Roman" w:hint="cs"/>
          <w:rtl/>
          <w:lang w:bidi="ar-KW"/>
        </w:rPr>
        <w:t>أين</w:t>
      </w:r>
      <w:r w:rsidRPr="00A52585">
        <w:rPr>
          <w:rFonts w:eastAsia="Times New Roman" w:hint="cs"/>
          <w:rtl/>
          <w:lang w:bidi="ar-KW"/>
        </w:rPr>
        <w:t>)</w:t>
      </w:r>
      <w:r w:rsidR="00777DCB" w:rsidRPr="00A52585">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DB731D" w:rsidRPr="00A52585">
        <w:rPr>
          <w:rFonts w:eastAsia="Times New Roman" w:hint="cs"/>
          <w:rtl/>
          <w:lang w:bidi="ar-KW"/>
        </w:rPr>
        <w:t>،</w:t>
      </w:r>
      <w:r w:rsidR="00777DCB" w:rsidRPr="00A52585">
        <w:rPr>
          <w:rFonts w:eastAsia="Times New Roman" w:hint="cs"/>
          <w:rtl/>
          <w:lang w:bidi="ar-KW"/>
        </w:rPr>
        <w:t xml:space="preserve"> أو أن السؤال محمول على المكانة العالية لا المكان الحسي الذي لا مدح فيه</w:t>
      </w:r>
      <w:r w:rsidR="00DB731D" w:rsidRPr="00A52585">
        <w:rPr>
          <w:rFonts w:eastAsia="Times New Roman" w:hint="cs"/>
          <w:rtl/>
          <w:lang w:bidi="ar-KW"/>
        </w:rPr>
        <w:t>،</w:t>
      </w:r>
      <w:r w:rsidR="00777DCB" w:rsidRPr="00A52585">
        <w:rPr>
          <w:rFonts w:eastAsia="Times New Roman" w:hint="cs"/>
          <w:rtl/>
          <w:lang w:bidi="ar-KW"/>
        </w:rPr>
        <w:t xml:space="preserve"> والوجه الثاني: قولها في السماء وهذا معناه علو المكانة وعظمة الصفات وأنه تعالى منـزه عن صفات الحوادث، ليس كمثله شيء ولله در</w:t>
      </w:r>
      <w:r w:rsidRPr="00A52585">
        <w:rPr>
          <w:rFonts w:eastAsia="Times New Roman" w:hint="cs"/>
          <w:rtl/>
          <w:lang w:bidi="ar-KW"/>
        </w:rPr>
        <w:t xml:space="preserve"> </w:t>
      </w:r>
      <w:r w:rsidR="00777DCB" w:rsidRPr="00A52585">
        <w:rPr>
          <w:rFonts w:eastAsia="Times New Roman" w:hint="cs"/>
          <w:rtl/>
          <w:lang w:bidi="ar-KW"/>
        </w:rPr>
        <w:t>الحافظ ابن حجر العسقلاني حيث يقول في الفتح: "</w:t>
      </w:r>
      <w:r w:rsidRPr="00A52585">
        <w:rPr>
          <w:rFonts w:eastAsia="Times New Roman" w:hint="cs"/>
          <w:rtl/>
          <w:lang w:bidi="ar-KW"/>
        </w:rPr>
        <w:t xml:space="preserve"> </w:t>
      </w:r>
      <w:r w:rsidR="00777DCB" w:rsidRPr="00A52585">
        <w:rPr>
          <w:rFonts w:eastAsia="Times New Roman" w:hint="cs"/>
          <w:rtl/>
          <w:lang w:bidi="ar-KW"/>
        </w:rPr>
        <w:t>فإن إدراك العقول لأسرار الربوبية قاصر</w:t>
      </w:r>
      <w:r w:rsidR="00DB731D" w:rsidRPr="00A52585">
        <w:rPr>
          <w:rFonts w:eastAsia="Times New Roman" w:hint="cs"/>
          <w:rtl/>
          <w:lang w:bidi="ar-KW"/>
        </w:rPr>
        <w:t>،</w:t>
      </w:r>
      <w:r w:rsidR="00777DCB" w:rsidRPr="00A52585">
        <w:rPr>
          <w:rFonts w:eastAsia="Times New Roman" w:hint="cs"/>
          <w:rtl/>
          <w:lang w:bidi="ar-KW"/>
        </w:rPr>
        <w:t xml:space="preserve"> فلا يتوجه على حكمه لِمَ ولا كيف كما لا يتوجه عليه في وجوده أين وحيث. " أهــ</w:t>
      </w:r>
      <w:r w:rsidR="00DB731D" w:rsidRPr="00A52585">
        <w:rPr>
          <w:rFonts w:eastAsia="Times New Roman" w:hint="cs"/>
          <w:rtl/>
          <w:lang w:bidi="ar-KW"/>
        </w:rPr>
        <w:t>،</w:t>
      </w:r>
      <w:r w:rsidR="00777DCB" w:rsidRPr="00A52585">
        <w:rPr>
          <w:rFonts w:eastAsia="Times New Roman" w:hint="cs"/>
          <w:rtl/>
          <w:lang w:bidi="ar-KW"/>
        </w:rPr>
        <w:t xml:space="preserve"> </w:t>
      </w:r>
      <w:r w:rsidRPr="00A52585">
        <w:rPr>
          <w:rFonts w:eastAsia="Times New Roman" w:hint="cs"/>
          <w:rtl/>
          <w:lang w:bidi="ar-KW"/>
        </w:rPr>
        <w:t>(</w:t>
      </w:r>
      <w:r w:rsidR="00777DCB" w:rsidRPr="00A52585">
        <w:rPr>
          <w:rFonts w:eastAsia="Times New Roman" w:hint="cs"/>
          <w:rtl/>
          <w:lang w:bidi="ar-KW"/>
        </w:rPr>
        <w:t>ط</w:t>
      </w:r>
      <w:r w:rsidRPr="00A52585">
        <w:rPr>
          <w:rFonts w:eastAsia="Times New Roman" w:hint="cs"/>
          <w:rtl/>
          <w:lang w:bidi="ar-KW"/>
        </w:rPr>
        <w:t>)</w:t>
      </w:r>
      <w:r w:rsidR="00777DCB" w:rsidRPr="00A52585">
        <w:rPr>
          <w:rFonts w:eastAsia="Times New Roman" w:hint="cs"/>
          <w:rtl/>
          <w:lang w:bidi="ar-KW"/>
        </w:rPr>
        <w:t xml:space="preserve"> تقدم مما سبق أن تمسك البعض</w:t>
      </w:r>
      <w:r w:rsidRPr="00A52585">
        <w:rPr>
          <w:rFonts w:eastAsia="Times New Roman" w:hint="cs"/>
          <w:rtl/>
          <w:lang w:bidi="ar-KW"/>
        </w:rPr>
        <w:t xml:space="preserve"> </w:t>
      </w:r>
      <w:r w:rsidR="00777DCB" w:rsidRPr="00A52585">
        <w:rPr>
          <w:rFonts w:eastAsia="Times New Roman" w:hint="cs"/>
          <w:rtl/>
          <w:lang w:bidi="ar-KW"/>
        </w:rPr>
        <w:t>برواية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w:t>
      </w:r>
      <w:r w:rsidR="00777DCB" w:rsidRPr="00A52585">
        <w:rPr>
          <w:rFonts w:eastAsia="Times New Roman" w:hint="cs"/>
          <w:rtl/>
          <w:lang w:bidi="ar-KW"/>
        </w:rPr>
        <w:t>) لإثبات المكان الحسي وإثبات الجهة الحسية لله هو أوهى من بيوت العنكبوت</w:t>
      </w:r>
      <w:r w:rsidRPr="00A52585">
        <w:rPr>
          <w:rFonts w:eastAsia="Times New Roman" w:hint="cs"/>
          <w:rtl/>
          <w:lang w:bidi="ar-KW"/>
        </w:rPr>
        <w:t xml:space="preserve"> </w:t>
      </w:r>
      <w:r w:rsidR="00777DCB" w:rsidRPr="00A52585">
        <w:rPr>
          <w:rFonts w:eastAsia="Times New Roman" w:hint="cs"/>
          <w:rtl/>
          <w:lang w:bidi="ar-KW"/>
        </w:rPr>
        <w:t xml:space="preserve">وأن تمسكهم بهذه الرواية تمسك باطل لا وجه له , لأن الحديث الأولى حمله على رواية </w:t>
      </w:r>
      <w:r w:rsidRPr="00A52585">
        <w:rPr>
          <w:rFonts w:eastAsia="Times New Roman" w:hint="cs"/>
          <w:rtl/>
          <w:lang w:bidi="ar-KW"/>
        </w:rPr>
        <w:t>(</w:t>
      </w:r>
      <w:r w:rsidR="00777DCB" w:rsidRPr="00A52585">
        <w:rPr>
          <w:rFonts w:eastAsia="Times New Roman" w:hint="cs"/>
          <w:rtl/>
          <w:lang w:bidi="ar-KW"/>
        </w:rPr>
        <w:t>أتشهدين أن لا إله إلا الله</w:t>
      </w:r>
      <w:r w:rsidRPr="00A52585">
        <w:rPr>
          <w:rFonts w:eastAsia="Times New Roman" w:hint="cs"/>
          <w:rtl/>
          <w:lang w:bidi="ar-KW"/>
        </w:rPr>
        <w:t xml:space="preserve">) </w:t>
      </w:r>
      <w:r w:rsidR="00777DCB" w:rsidRPr="00A52585">
        <w:rPr>
          <w:rFonts w:eastAsia="Times New Roman" w:hint="cs"/>
          <w:rtl/>
          <w:lang w:bidi="ar-KW"/>
        </w:rPr>
        <w:t xml:space="preserve">الموافقة للأصول وأنه إذا حكم بصحة رواية </w:t>
      </w:r>
      <w:r w:rsidRPr="00A52585">
        <w:rPr>
          <w:rFonts w:eastAsia="Times New Roman" w:hint="cs"/>
          <w:rtl/>
          <w:lang w:bidi="ar-KW"/>
        </w:rPr>
        <w:t>(</w:t>
      </w:r>
      <w:r w:rsidR="00777DCB" w:rsidRPr="00A52585">
        <w:rPr>
          <w:rFonts w:eastAsia="Times New Roman" w:hint="cs"/>
          <w:rtl/>
          <w:lang w:bidi="ar-KW"/>
        </w:rPr>
        <w:t>أين الله</w:t>
      </w:r>
      <w:r w:rsidRPr="00A52585">
        <w:rPr>
          <w:rFonts w:eastAsia="Times New Roman" w:hint="cs"/>
          <w:rtl/>
          <w:lang w:bidi="ar-KW"/>
        </w:rPr>
        <w:t xml:space="preserve">) </w:t>
      </w:r>
      <w:r w:rsidR="00777DCB" w:rsidRPr="00A52585">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sidRPr="00A52585">
        <w:rPr>
          <w:rFonts w:eastAsia="Times New Roman" w:hint="cs"/>
          <w:rtl/>
          <w:lang w:bidi="ar-KW"/>
        </w:rPr>
        <w:t>{</w:t>
      </w:r>
      <w:r w:rsidR="00777DCB" w:rsidRPr="00A52585">
        <w:rPr>
          <w:rFonts w:eastAsia="Times New Roman" w:hint="cs"/>
          <w:rtl/>
          <w:lang w:bidi="ar-KW"/>
        </w:rPr>
        <w:t>ليس كمثله شيء</w:t>
      </w:r>
      <w:r w:rsidRPr="00A52585">
        <w:rPr>
          <w:rFonts w:eastAsia="Times New Roman" w:hint="cs"/>
          <w:rtl/>
          <w:lang w:bidi="ar-KW"/>
        </w:rPr>
        <w:t>}</w:t>
      </w:r>
      <w:r w:rsidR="00DB731D" w:rsidRPr="00A52585">
        <w:rPr>
          <w:rFonts w:eastAsia="Times New Roman" w:hint="cs"/>
          <w:rtl/>
          <w:lang w:bidi="ar-KW"/>
        </w:rPr>
        <w:t>،</w:t>
      </w:r>
      <w:r w:rsidR="00777DCB" w:rsidRPr="00A52585">
        <w:rPr>
          <w:rFonts w:eastAsia="Times New Roman" w:hint="cs"/>
          <w:rtl/>
          <w:lang w:bidi="ar-KW"/>
        </w:rPr>
        <w:t xml:space="preserve"> </w:t>
      </w:r>
    </w:p>
    <w:p w14:paraId="136FB8B0" w14:textId="60D4739A" w:rsidR="00777DCB" w:rsidRPr="00A52585" w:rsidRDefault="0002035C" w:rsidP="0002035C">
      <w:pPr>
        <w:rPr>
          <w:b/>
          <w:rtl/>
          <w:lang w:bidi="ar-KW"/>
        </w:rPr>
      </w:pPr>
      <w:r w:rsidRPr="00A52585">
        <w:rPr>
          <w:rFonts w:hint="cs"/>
          <w:bCs/>
          <w:rtl/>
          <w:lang w:bidi="ar-KW"/>
        </w:rPr>
        <w:t>(</w:t>
      </w:r>
      <w:r w:rsidR="00777DCB" w:rsidRPr="00A52585">
        <w:rPr>
          <w:rFonts w:hint="cs"/>
          <w:bCs/>
          <w:rtl/>
          <w:lang w:bidi="ar-KW"/>
        </w:rPr>
        <w:t>8</w:t>
      </w:r>
      <w:r w:rsidRPr="00A52585">
        <w:rPr>
          <w:rFonts w:hint="cs"/>
          <w:bCs/>
          <w:rtl/>
          <w:lang w:bidi="ar-KW"/>
        </w:rPr>
        <w:t>)</w:t>
      </w:r>
      <w:r w:rsidR="00777DCB" w:rsidRPr="00A52585">
        <w:rPr>
          <w:rFonts w:hint="cs"/>
          <w:bCs/>
          <w:rtl/>
          <w:lang w:bidi="ar-KW"/>
        </w:rPr>
        <w:t xml:space="preserve"> أقوال علماء أهل السنة في الفهم الصحيح لرواية </w:t>
      </w:r>
      <w:r w:rsidRPr="00A52585">
        <w:rPr>
          <w:rFonts w:hint="cs"/>
          <w:bCs/>
          <w:rtl/>
          <w:lang w:bidi="ar-KW"/>
        </w:rPr>
        <w:t>(</w:t>
      </w:r>
      <w:r w:rsidR="00777DCB" w:rsidRPr="00A52585">
        <w:rPr>
          <w:rFonts w:hint="cs"/>
          <w:bCs/>
          <w:rtl/>
          <w:lang w:bidi="ar-KW"/>
        </w:rPr>
        <w:t>أين الله</w:t>
      </w:r>
      <w:r w:rsidRPr="00A52585">
        <w:rPr>
          <w:rFonts w:hint="cs"/>
          <w:bCs/>
          <w:rtl/>
          <w:lang w:bidi="ar-KW"/>
        </w:rPr>
        <w:t>)</w:t>
      </w:r>
      <w:r w:rsidR="00777DCB" w:rsidRPr="00A52585">
        <w:rPr>
          <w:rFonts w:hint="cs"/>
          <w:bCs/>
          <w:rtl/>
          <w:lang w:bidi="ar-KW"/>
        </w:rPr>
        <w:t xml:space="preserve"> على أساس ثبوتها</w:t>
      </w:r>
      <w:r w:rsidRPr="00A52585">
        <w:rPr>
          <w:rFonts w:hint="cs"/>
          <w:bCs/>
          <w:rtl/>
          <w:lang w:bidi="ar-KW"/>
        </w:rPr>
        <w:t>:</w:t>
      </w:r>
      <w:r w:rsidR="00777DCB" w:rsidRPr="00A52585">
        <w:rPr>
          <w:rFonts w:hint="cs"/>
          <w:bCs/>
          <w:rtl/>
          <w:lang w:bidi="ar-KW"/>
        </w:rPr>
        <w:t xml:space="preserve"> </w:t>
      </w:r>
      <w:r w:rsidRPr="00A52585">
        <w:rPr>
          <w:rFonts w:hint="cs"/>
          <w:bCs/>
          <w:rtl/>
          <w:lang w:bidi="ar-KW"/>
        </w:rPr>
        <w:t>(</w:t>
      </w:r>
      <w:r w:rsidR="00777DCB" w:rsidRPr="00A52585">
        <w:rPr>
          <w:rFonts w:hint="cs"/>
          <w:bCs/>
          <w:rtl/>
          <w:lang w:bidi="ar-KW"/>
        </w:rPr>
        <w:t>أ</w:t>
      </w:r>
      <w:r w:rsidRPr="00A52585">
        <w:rPr>
          <w:rFonts w:hint="cs"/>
          <w:bCs/>
          <w:rtl/>
          <w:lang w:bidi="ar-KW"/>
        </w:rPr>
        <w:t>)</w:t>
      </w:r>
      <w:r w:rsidR="00777DCB" w:rsidRPr="00A52585">
        <w:rPr>
          <w:rFonts w:hint="cs"/>
          <w:bCs/>
          <w:rtl/>
          <w:lang w:bidi="ar-KW"/>
        </w:rPr>
        <w:t xml:space="preserve"> </w:t>
      </w:r>
      <w:r w:rsidR="00777DCB" w:rsidRPr="00A52585">
        <w:rPr>
          <w:rFonts w:hint="cs"/>
          <w:bCs/>
          <w:rtl/>
        </w:rPr>
        <w:t>قال الإمام النووي في شرحه على صحيح مسلم ما نصه</w:t>
      </w:r>
      <w:r w:rsidRPr="00A52585">
        <w:rPr>
          <w:rFonts w:hint="cs"/>
          <w:bCs/>
          <w:rtl/>
        </w:rPr>
        <w:t>:</w:t>
      </w:r>
      <w:r w:rsidR="00777DCB" w:rsidRPr="00A52585">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الإيمان به من غير خوض في معناه مع اعتقاد أن الله تعالى ليس كمثله شيء وتنـزيهه عن سمات المخلوقات</w:t>
      </w:r>
      <w:r w:rsidR="00DB731D" w:rsidRPr="00A52585">
        <w:rPr>
          <w:rFonts w:hint="cs"/>
          <w:rtl/>
        </w:rPr>
        <w:t>،</w:t>
      </w:r>
      <w:r w:rsidR="00777DCB" w:rsidRPr="00A52585">
        <w:rPr>
          <w:rFonts w:hint="cs"/>
          <w:rtl/>
        </w:rPr>
        <w:t xml:space="preserve"> والثاني: تأويله بما يليق به، فمن قال بهذا قال: كان المراد امتحانها</w:t>
      </w:r>
      <w:r w:rsidRPr="00A52585">
        <w:rPr>
          <w:rFonts w:hint="cs"/>
          <w:rtl/>
        </w:rPr>
        <w:t>:</w:t>
      </w:r>
      <w:r w:rsidR="00777DCB" w:rsidRPr="00A52585">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00DB731D" w:rsidRPr="00A52585">
        <w:rPr>
          <w:rFonts w:hint="cs"/>
          <w:rtl/>
        </w:rPr>
        <w:t>،</w:t>
      </w:r>
      <w:r w:rsidR="00777DCB" w:rsidRPr="00A52585">
        <w:rPr>
          <w:rFonts w:hint="cs"/>
          <w:rtl/>
        </w:rPr>
        <w:t xml:space="preserve"> أو هي من عبدة الأوثان </w:t>
      </w:r>
      <w:r w:rsidR="00777DCB" w:rsidRPr="00A52585">
        <w:rPr>
          <w:rFonts w:hint="cs"/>
          <w:rtl/>
        </w:rPr>
        <w:lastRenderedPageBreak/>
        <w:t>العابدين للأوثان التي بين أيديهم فلما قالت: في</w:t>
      </w:r>
      <w:r w:rsidR="00777DCB" w:rsidRPr="00A52585">
        <w:rPr>
          <w:rFonts w:hint="cs"/>
        </w:rPr>
        <w:t xml:space="preserve"> </w:t>
      </w:r>
      <w:r w:rsidR="00777DCB" w:rsidRPr="00A52585">
        <w:rPr>
          <w:rFonts w:hint="cs"/>
          <w:rtl/>
        </w:rPr>
        <w:t>السماء علم أنها موحدة وليست عابدة للأوثان</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النووي في شرحه على صحيح مسلم (ج5 /ص22)</w:t>
      </w:r>
      <w:r w:rsidRPr="00A52585">
        <w:rPr>
          <w:rFonts w:hint="cs"/>
          <w:rtl/>
        </w:rPr>
        <w:t>]</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ب</w:t>
      </w:r>
      <w:r w:rsidRPr="00A52585">
        <w:rPr>
          <w:rFonts w:hint="cs"/>
          <w:bCs/>
          <w:rtl/>
        </w:rPr>
        <w:t>)</w:t>
      </w:r>
      <w:r w:rsidR="00777DCB" w:rsidRPr="00A52585">
        <w:rPr>
          <w:rFonts w:hint="cs"/>
          <w:bCs/>
          <w:rtl/>
        </w:rPr>
        <w:t xml:space="preserve"> </w:t>
      </w:r>
      <w:r w:rsidR="00777DCB" w:rsidRPr="00A52585">
        <w:rPr>
          <w:rFonts w:eastAsia="Times New Roman" w:hint="cs"/>
          <w:bCs/>
          <w:rtl/>
          <w:lang w:bidi="ar-KW"/>
        </w:rPr>
        <w:t>وقال الحافظ ابن حجر في شرحه على صحيح البخاري</w:t>
      </w:r>
      <w:r w:rsidRPr="00A52585">
        <w:rPr>
          <w:rFonts w:eastAsia="Times New Roman" w:hint="cs"/>
          <w:bCs/>
          <w:rtl/>
          <w:lang w:bidi="ar-KW"/>
        </w:rPr>
        <w:t>:</w:t>
      </w:r>
      <w:r w:rsidR="00777DCB" w:rsidRPr="00A52585">
        <w:rPr>
          <w:rFonts w:eastAsia="Times New Roman" w:hint="cs"/>
          <w:bCs/>
          <w:rtl/>
        </w:rPr>
        <w:t xml:space="preserve"> </w:t>
      </w:r>
      <w:r w:rsidRPr="00A52585">
        <w:rPr>
          <w:rFonts w:eastAsia="Times New Roman" w:hint="cs"/>
          <w:rtl/>
        </w:rPr>
        <w:t>(</w:t>
      </w:r>
      <w:r w:rsidR="00777DCB" w:rsidRPr="00A52585">
        <w:rPr>
          <w:rFonts w:eastAsia="Times New Roman" w:hint="cs"/>
          <w:rtl/>
        </w:rPr>
        <w:t>قوله صلى الله عليه وسلم للجارية أين الله</w:t>
      </w:r>
      <w:r w:rsidR="00777DCB" w:rsidRPr="00A52585">
        <w:rPr>
          <w:rFonts w:eastAsia="Times New Roman" w:hint="cs"/>
        </w:rPr>
        <w:t xml:space="preserve"> </w:t>
      </w:r>
      <w:r w:rsidR="00777DCB" w:rsidRPr="00A52585">
        <w:rPr>
          <w:rFonts w:eastAsia="Times New Roman" w:hint="cs"/>
          <w:rtl/>
        </w:rPr>
        <w:t>قالت في السماء فحكم بإيمانها مخافة أن تقع في التعطيل لقصور فهمها عما ينبغي له من</w:t>
      </w:r>
      <w:r w:rsidR="00777DCB" w:rsidRPr="00A52585">
        <w:rPr>
          <w:rFonts w:eastAsia="Times New Roman" w:hint="cs"/>
        </w:rPr>
        <w:t xml:space="preserve"> </w:t>
      </w:r>
      <w:r w:rsidR="00777DCB" w:rsidRPr="00A52585">
        <w:rPr>
          <w:rFonts w:eastAsia="Times New Roman" w:hint="cs"/>
          <w:rtl/>
        </w:rPr>
        <w:t>تنـزيهه مما يقتضى التشبيه تعالى الله عن ذلك علوا كبيرا</w:t>
      </w:r>
      <w:r w:rsidRPr="00A52585">
        <w:rPr>
          <w:rFonts w:eastAsia="Times New Roman" w:hint="cs"/>
          <w:rtl/>
        </w:rPr>
        <w:t>)</w:t>
      </w:r>
      <w:r w:rsidR="00777DCB" w:rsidRPr="00A52585">
        <w:rPr>
          <w:rFonts w:eastAsia="Times New Roman" w:hint="cs"/>
          <w:rtl/>
        </w:rPr>
        <w:t xml:space="preserve"> أهـ </w:t>
      </w:r>
      <w:r w:rsidRPr="00A52585">
        <w:rPr>
          <w:rFonts w:eastAsia="Times New Roman" w:hint="cs"/>
          <w:rtl/>
        </w:rPr>
        <w:t>[</w:t>
      </w:r>
      <w:r w:rsidR="00777DCB" w:rsidRPr="00A52585">
        <w:rPr>
          <w:rFonts w:eastAsia="Times New Roman" w:hint="cs"/>
          <w:rtl/>
        </w:rPr>
        <w:t>فتح الباري</w:t>
      </w:r>
      <w:r w:rsidR="00777DCB" w:rsidRPr="00A52585">
        <w:rPr>
          <w:rFonts w:eastAsia="Times New Roman" w:hint="cs"/>
        </w:rPr>
        <w:t xml:space="preserve"> </w:t>
      </w:r>
      <w:r w:rsidR="00777DCB" w:rsidRPr="00A52585">
        <w:rPr>
          <w:rFonts w:eastAsia="Times New Roman" w:hint="cs"/>
          <w:rtl/>
        </w:rPr>
        <w:t>ج13/ص402]</w:t>
      </w:r>
      <w:r w:rsidR="00DB731D" w:rsidRPr="00A52585">
        <w:rPr>
          <w:rFonts w:eastAsia="Times New Roman" w:hint="cs"/>
          <w:rtl/>
        </w:rPr>
        <w:t>،</w:t>
      </w:r>
      <w:r w:rsidRPr="00A52585">
        <w:rPr>
          <w:rFonts w:eastAsia="Times New Roman" w:hint="cs"/>
          <w:rtl/>
        </w:rPr>
        <w:t xml:space="preserve"> (</w:t>
      </w:r>
      <w:r w:rsidR="00777DCB" w:rsidRPr="00A52585">
        <w:rPr>
          <w:rFonts w:eastAsia="Times New Roman" w:hint="cs"/>
          <w:rtl/>
        </w:rPr>
        <w:t>ت</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 xml:space="preserve">قال </w:t>
      </w:r>
      <w:r w:rsidR="00777DCB" w:rsidRPr="00A52585">
        <w:rPr>
          <w:rFonts w:hint="cs"/>
          <w:bCs/>
          <w:rtl/>
        </w:rPr>
        <w:t>ابن فورك في كتابه مشكل الحديث وبيانه</w:t>
      </w:r>
      <w:r w:rsidR="00777DCB" w:rsidRPr="00A52585">
        <w:rPr>
          <w:rFonts w:hint="cs"/>
          <w:rtl/>
        </w:rPr>
        <w:t xml:space="preserve"> - بعد أن ذكر استعمالات (أين)في الرتبة والمنزلة والدرجة في التقريب والتبعيد والإكرام والإهانة -</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فإذا كان ذلك مشهوراً في اللغة احتمل أن يقال إن معنى قوله صلى الله عليه وسلم (أين الله) استعلام لمنزلته وقدره عندها</w:t>
      </w:r>
      <w:r w:rsidR="00DB731D" w:rsidRPr="00A52585">
        <w:rPr>
          <w:rFonts w:hint="cs"/>
          <w:rtl/>
        </w:rPr>
        <w:t>،</w:t>
      </w:r>
      <w:r w:rsidR="00777DCB" w:rsidRPr="00A52585">
        <w:rPr>
          <w:rFonts w:hint="cs"/>
          <w:rtl/>
        </w:rPr>
        <w:t xml:space="preserve"> وفي قلبها</w:t>
      </w:r>
      <w:r w:rsidR="00DB731D" w:rsidRPr="00A52585">
        <w:rPr>
          <w:rFonts w:hint="cs"/>
          <w:rtl/>
        </w:rPr>
        <w:t>،</w:t>
      </w:r>
      <w:r w:rsidR="00777DCB" w:rsidRPr="00A52585">
        <w:rPr>
          <w:rFonts w:hint="cs"/>
          <w:rtl/>
        </w:rPr>
        <w:t xml:space="preserve"> وأشارت إلى السماء ودلت بإشارتها إلى السماء على أنه في السماء عندها على قول القائل إذا أراد أن يخبر عن رفعة وعلو </w:t>
      </w:r>
      <w:proofErr w:type="spellStart"/>
      <w:r w:rsidR="00777DCB" w:rsidRPr="00A52585">
        <w:rPr>
          <w:rFonts w:hint="cs"/>
          <w:rtl/>
        </w:rPr>
        <w:t>منزلة</w:t>
      </w:r>
      <w:r w:rsidRPr="00A52585">
        <w:rPr>
          <w:rFonts w:hint="cs"/>
          <w:rtl/>
        </w:rPr>
        <w:t>:</w:t>
      </w:r>
      <w:r w:rsidR="00777DCB" w:rsidRPr="00A52585">
        <w:rPr>
          <w:rFonts w:hint="cs"/>
          <w:rtl/>
        </w:rPr>
        <w:t>فلان</w:t>
      </w:r>
      <w:proofErr w:type="spellEnd"/>
      <w:r w:rsidR="00777DCB" w:rsidRPr="00A52585">
        <w:rPr>
          <w:rFonts w:hint="cs"/>
          <w:rtl/>
        </w:rPr>
        <w:t xml:space="preserve"> في السماء</w:t>
      </w:r>
      <w:r w:rsidR="00DB731D" w:rsidRPr="00A52585">
        <w:rPr>
          <w:rFonts w:hint="cs"/>
          <w:rtl/>
        </w:rPr>
        <w:t>،</w:t>
      </w:r>
      <w:r w:rsidR="00777DCB" w:rsidRPr="00A52585">
        <w:rPr>
          <w:rFonts w:hint="cs"/>
          <w:rtl/>
        </w:rPr>
        <w:t xml:space="preserve"> أي هو رفيع الشأن عظيم المقدار</w:t>
      </w:r>
      <w:r w:rsidR="00DB731D" w:rsidRPr="00A52585">
        <w:rPr>
          <w:rFonts w:hint="cs"/>
          <w:rtl/>
        </w:rPr>
        <w:t>،</w:t>
      </w:r>
      <w:r w:rsidR="00777DCB" w:rsidRPr="00A52585">
        <w:rPr>
          <w:rFonts w:hint="cs"/>
          <w:rtl/>
        </w:rPr>
        <w:t xml:space="preserve"> كذلك قولها في السماء على طريق الإشارة إليها على محله في قلبها ومعرفتها به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مشكل الحديث وبيانه صـ 61</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w:t>
      </w:r>
      <w:r w:rsidR="00777DCB" w:rsidRPr="00A52585">
        <w:rPr>
          <w:rFonts w:hint="cs"/>
          <w:bCs/>
          <w:rtl/>
        </w:rPr>
        <w:t>قال ابن الجوزي</w:t>
      </w:r>
      <w:r w:rsidR="00777DCB" w:rsidRPr="00A52585">
        <w:rPr>
          <w:rFonts w:hint="cs"/>
          <w:rtl/>
        </w:rPr>
        <w:t xml:space="preserve"> في كتابه الباز الأشهب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الحديث السابع عشر</w:t>
      </w:r>
      <w:r w:rsidRPr="00A52585">
        <w:rPr>
          <w:rFonts w:hint="cs"/>
          <w:rtl/>
        </w:rPr>
        <w:t>:</w:t>
      </w:r>
      <w:r w:rsidR="00777DCB" w:rsidRPr="00A52585">
        <w:rPr>
          <w:rFonts w:hint="cs"/>
          <w:rtl/>
        </w:rPr>
        <w:t xml:space="preserve"> روي مسلم في افراده من حديث معاوية بن الحكم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كانت لي جارية كانت ترعي غنما لي</w:t>
      </w:r>
      <w:r w:rsidR="00DB731D" w:rsidRPr="00A52585">
        <w:rPr>
          <w:rFonts w:hint="cs"/>
          <w:rtl/>
        </w:rPr>
        <w:t>،</w:t>
      </w:r>
      <w:r w:rsidR="00777DCB" w:rsidRPr="00A52585">
        <w:rPr>
          <w:rFonts w:hint="cs"/>
          <w:rtl/>
        </w:rPr>
        <w:t xml:space="preserve"> فانطلقت ذات يوم</w:t>
      </w:r>
      <w:r w:rsidR="00DB731D" w:rsidRPr="00A52585">
        <w:rPr>
          <w:rFonts w:hint="cs"/>
          <w:rtl/>
        </w:rPr>
        <w:t>،</w:t>
      </w:r>
      <w:r w:rsidR="00777DCB" w:rsidRPr="00A52585">
        <w:rPr>
          <w:rFonts w:hint="cs"/>
          <w:rtl/>
        </w:rPr>
        <w:t xml:space="preserve"> فإذا الذئب قد ذهب شاه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وأنا من بني آدم آسف كما </w:t>
      </w:r>
      <w:proofErr w:type="spellStart"/>
      <w:r w:rsidR="00777DCB" w:rsidRPr="00A52585">
        <w:rPr>
          <w:rFonts w:hint="cs"/>
          <w:rtl/>
        </w:rPr>
        <w:t>يأسفون</w:t>
      </w:r>
      <w:proofErr w:type="spellEnd"/>
      <w:r w:rsidRPr="00A52585">
        <w:rPr>
          <w:rFonts w:hint="cs"/>
          <w:rtl/>
        </w:rPr>
        <w:t>)</w:t>
      </w:r>
      <w:r w:rsidR="00777DCB" w:rsidRPr="00A52585">
        <w:rPr>
          <w:rFonts w:hint="cs"/>
          <w:rtl/>
        </w:rPr>
        <w:t xml:space="preserve"> </w:t>
      </w:r>
      <w:proofErr w:type="spellStart"/>
      <w:r w:rsidR="00777DCB" w:rsidRPr="00A52585">
        <w:rPr>
          <w:rFonts w:hint="cs"/>
          <w:rtl/>
        </w:rPr>
        <w:t>فصككتها</w:t>
      </w:r>
      <w:proofErr w:type="spellEnd"/>
      <w:r w:rsidR="00777DCB" w:rsidRPr="00A52585">
        <w:rPr>
          <w:rFonts w:hint="cs"/>
          <w:rtl/>
        </w:rPr>
        <w:t xml:space="preserve"> </w:t>
      </w:r>
      <w:proofErr w:type="spellStart"/>
      <w:r w:rsidR="00777DCB" w:rsidRPr="00A52585">
        <w:rPr>
          <w:rFonts w:hint="cs"/>
          <w:rtl/>
        </w:rPr>
        <w:t>صكة</w:t>
      </w:r>
      <w:proofErr w:type="spellEnd"/>
      <w:r w:rsidR="00DB731D" w:rsidRPr="00A52585">
        <w:rPr>
          <w:rFonts w:hint="cs"/>
          <w:rtl/>
        </w:rPr>
        <w:t>،</w:t>
      </w:r>
      <w:r w:rsidR="00777DCB" w:rsidRPr="00A52585">
        <w:rPr>
          <w:rFonts w:hint="cs"/>
          <w:rtl/>
        </w:rPr>
        <w:t xml:space="preserve"> فأتيت رسول الله صلى الله عليه وسلم فعظم ذلك علي</w:t>
      </w:r>
      <w:r w:rsidR="00DB731D" w:rsidRPr="00A52585">
        <w:rPr>
          <w:rFonts w:hint="cs"/>
          <w:rtl/>
        </w:rPr>
        <w:t>،</w:t>
      </w:r>
      <w:r w:rsidR="00777DCB" w:rsidRPr="00A52585">
        <w:rPr>
          <w:rFonts w:hint="cs"/>
          <w:rtl/>
        </w:rPr>
        <w:t xml:space="preserve"> فقلت ألا أعتقها</w:t>
      </w:r>
      <w:r w:rsidR="00897A24" w:rsidRPr="00A52585">
        <w:rPr>
          <w:rFonts w:hint="cs"/>
          <w:rtl/>
        </w:rPr>
        <w:t>.</w:t>
      </w:r>
      <w:r w:rsidR="00777DCB" w:rsidRPr="00A52585">
        <w:rPr>
          <w:rFonts w:hint="cs"/>
          <w:rtl/>
        </w:rPr>
        <w:t xml:space="preserve">.؟ قال </w:t>
      </w:r>
      <w:proofErr w:type="spellStart"/>
      <w:r w:rsidR="00777DCB" w:rsidRPr="00A52585">
        <w:rPr>
          <w:rFonts w:hint="cs"/>
          <w:rtl/>
        </w:rPr>
        <w:t>أئتني</w:t>
      </w:r>
      <w:proofErr w:type="spellEnd"/>
      <w:r w:rsidR="00777DCB" w:rsidRPr="00A52585">
        <w:rPr>
          <w:rFonts w:hint="cs"/>
          <w:rtl/>
        </w:rPr>
        <w:t xml:space="preserve"> بها</w:t>
      </w:r>
      <w:r w:rsidR="00DB731D" w:rsidRPr="00A52585">
        <w:rPr>
          <w:rFonts w:hint="cs"/>
          <w:rtl/>
        </w:rPr>
        <w:t>،</w:t>
      </w:r>
      <w:r w:rsidR="00777DCB" w:rsidRPr="00A52585">
        <w:rPr>
          <w:rFonts w:hint="cs"/>
          <w:rtl/>
        </w:rPr>
        <w:t xml:space="preserve"> فأتيته بها</w:t>
      </w:r>
      <w:r w:rsidR="00DB731D" w:rsidRPr="00A52585">
        <w:rPr>
          <w:rFonts w:hint="cs"/>
          <w:rtl/>
        </w:rPr>
        <w:t>،</w:t>
      </w:r>
      <w:r w:rsidR="00777DCB" w:rsidRPr="00A52585">
        <w:rPr>
          <w:rFonts w:hint="cs"/>
          <w:rtl/>
        </w:rPr>
        <w:t xml:space="preserve"> فقال لها</w:t>
      </w:r>
      <w:r w:rsidRPr="00A52585">
        <w:rPr>
          <w:rFonts w:hint="cs"/>
          <w:rtl/>
        </w:rPr>
        <w:t>:</w:t>
      </w:r>
      <w:r w:rsidR="00777DCB" w:rsidRPr="00A52585">
        <w:rPr>
          <w:rFonts w:hint="cs"/>
          <w:rtl/>
        </w:rPr>
        <w:t xml:space="preserve"> أين الله</w:t>
      </w:r>
      <w:r w:rsidR="00F95886" w:rsidRPr="00A52585">
        <w:rPr>
          <w:rFonts w:hint="cs"/>
          <w:rtl/>
        </w:rPr>
        <w:t>؟</w:t>
      </w:r>
      <w:r w:rsidR="00777DCB" w:rsidRPr="00A52585">
        <w:rPr>
          <w:rFonts w:hint="cs"/>
          <w:rtl/>
        </w:rPr>
        <w:t xml:space="preserve"> قالت في السماء</w:t>
      </w:r>
      <w:r w:rsidR="00DB731D" w:rsidRPr="00A52585">
        <w:rPr>
          <w:rFonts w:hint="cs"/>
          <w:rtl/>
        </w:rPr>
        <w:t>،</w:t>
      </w:r>
      <w:r w:rsidR="00777DCB" w:rsidRPr="00A52585">
        <w:rPr>
          <w:rFonts w:hint="cs"/>
          <w:rtl/>
        </w:rPr>
        <w:t xml:space="preserve"> قال من أنا</w:t>
      </w:r>
      <w:r w:rsidRPr="00A52585">
        <w:rPr>
          <w:rFonts w:hint="cs"/>
          <w:rtl/>
        </w:rPr>
        <w:t>:</w:t>
      </w:r>
      <w:r w:rsidR="00777DCB" w:rsidRPr="00A52585">
        <w:rPr>
          <w:rFonts w:hint="cs"/>
          <w:rtl/>
        </w:rPr>
        <w:t xml:space="preserve"> قالت</w:t>
      </w:r>
      <w:r w:rsidRPr="00A52585">
        <w:rPr>
          <w:rFonts w:hint="cs"/>
          <w:rtl/>
        </w:rPr>
        <w:t>:</w:t>
      </w:r>
      <w:r w:rsidR="00777DCB" w:rsidRPr="00A52585">
        <w:rPr>
          <w:rFonts w:hint="cs"/>
          <w:rtl/>
        </w:rPr>
        <w:t xml:space="preserve"> أنت رسول الله</w:t>
      </w:r>
      <w:r w:rsidR="00DB731D" w:rsidRPr="00A52585">
        <w:rPr>
          <w:rFonts w:hint="cs"/>
          <w:rtl/>
        </w:rPr>
        <w:t>،</w:t>
      </w:r>
      <w:r w:rsidR="00777DCB" w:rsidRPr="00A52585">
        <w:rPr>
          <w:rFonts w:hint="cs"/>
          <w:rtl/>
        </w:rPr>
        <w:t xml:space="preserve"> قال أعتقها فإنها مؤمنة</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قلت</w:t>
      </w:r>
      <w:r w:rsidRPr="00A52585">
        <w:rPr>
          <w:rFonts w:hint="cs"/>
          <w:rtl/>
        </w:rPr>
        <w:t>:</w:t>
      </w:r>
      <w:r w:rsidR="00777DCB" w:rsidRPr="00A52585">
        <w:rPr>
          <w:rFonts w:hint="cs"/>
          <w:rtl/>
        </w:rPr>
        <w:t xml:space="preserve"> قد ثبت عند العلماء ان الله تعالي لا </w:t>
      </w:r>
      <w:proofErr w:type="spellStart"/>
      <w:r w:rsidR="00777DCB" w:rsidRPr="00A52585">
        <w:rPr>
          <w:rFonts w:hint="cs"/>
          <w:rtl/>
        </w:rPr>
        <w:t>يحويه</w:t>
      </w:r>
      <w:proofErr w:type="spellEnd"/>
      <w:r w:rsidR="00777DCB" w:rsidRPr="00A52585">
        <w:rPr>
          <w:rFonts w:hint="cs"/>
          <w:rtl/>
        </w:rPr>
        <w:t xml:space="preserve"> السماء والأرض ولا تضمه الأقطار</w:t>
      </w:r>
      <w:r w:rsidR="00DB731D" w:rsidRPr="00A52585">
        <w:rPr>
          <w:rFonts w:hint="cs"/>
          <w:rtl/>
        </w:rPr>
        <w:t>،</w:t>
      </w:r>
      <w:r w:rsidR="00777DCB" w:rsidRPr="00A52585">
        <w:rPr>
          <w:rFonts w:hint="cs"/>
          <w:rtl/>
        </w:rPr>
        <w:t xml:space="preserve"> وإنما عرف بإشارتها تعظيم الخالق عندها</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الباز الأشهب ص93-94</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ج</w:t>
      </w:r>
      <w:r w:rsidRPr="00A52585">
        <w:rPr>
          <w:rFonts w:hint="cs"/>
          <w:rtl/>
        </w:rPr>
        <w:t>)</w:t>
      </w:r>
      <w:r w:rsidR="00777DCB" w:rsidRPr="00A52585">
        <w:rPr>
          <w:rFonts w:hint="cs"/>
          <w:rtl/>
        </w:rPr>
        <w:t xml:space="preserve"> </w:t>
      </w:r>
      <w:r w:rsidR="00777DCB" w:rsidRPr="00A52585">
        <w:rPr>
          <w:rFonts w:hint="cs"/>
          <w:bCs/>
          <w:rtl/>
        </w:rPr>
        <w:t>وقال محقق الكتاب محمد منير الإمام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حديث الجارية مؤول بأنه سؤال عن المكانة لا المكان</w:t>
      </w:r>
      <w:r w:rsidR="00DB731D" w:rsidRPr="00A52585">
        <w:rPr>
          <w:rFonts w:hint="cs"/>
          <w:rtl/>
        </w:rPr>
        <w:t>،</w:t>
      </w:r>
      <w:r w:rsidR="00777DCB" w:rsidRPr="00A52585">
        <w:rPr>
          <w:rFonts w:hint="cs"/>
          <w:rtl/>
        </w:rPr>
        <w:t xml:space="preserve"> وقولها</w:t>
      </w:r>
      <w:r w:rsidRPr="00A52585">
        <w:rPr>
          <w:rFonts w:hint="cs"/>
          <w:rtl/>
        </w:rPr>
        <w:t>:</w:t>
      </w:r>
      <w:r w:rsidR="00777DCB" w:rsidRPr="00A52585">
        <w:rPr>
          <w:rFonts w:hint="cs"/>
          <w:rtl/>
        </w:rPr>
        <w:t xml:space="preserve"> في السماء معناه علو المنزلة والقدر، أي أنه أعلي من كل شيء قدرا</w:t>
      </w:r>
      <w:r w:rsidR="00DB731D" w:rsidRPr="00A52585">
        <w:rPr>
          <w:rFonts w:hint="cs"/>
          <w:rtl/>
        </w:rPr>
        <w:t>،</w:t>
      </w:r>
      <w:r w:rsidR="00777DCB" w:rsidRPr="00A52585">
        <w:rPr>
          <w:rFonts w:hint="cs"/>
          <w:rtl/>
        </w:rPr>
        <w:t xml:space="preserve"> ومن لم يرض بذلك</w:t>
      </w:r>
      <w:r w:rsidR="00DB731D" w:rsidRPr="00A52585">
        <w:rPr>
          <w:rFonts w:hint="cs"/>
          <w:rtl/>
        </w:rPr>
        <w:t>،</w:t>
      </w:r>
      <w:r w:rsidR="00777DCB" w:rsidRPr="00A52585">
        <w:rPr>
          <w:rFonts w:hint="cs"/>
          <w:rtl/>
        </w:rPr>
        <w:t xml:space="preserve"> وأراد أن يحمله علي ظاهره</w:t>
      </w:r>
      <w:r w:rsidRPr="00A52585">
        <w:rPr>
          <w:rFonts w:hint="cs"/>
          <w:rtl/>
        </w:rPr>
        <w:t xml:space="preserve"> </w:t>
      </w:r>
      <w:r w:rsidR="00777DCB" w:rsidRPr="00A52585">
        <w:rPr>
          <w:rFonts w:hint="cs"/>
          <w:rtl/>
        </w:rPr>
        <w:t>فأثبت المكان والحيز لله تعالى محتجاً بأنه لا يخرج عن الظاهر قيل له</w:t>
      </w:r>
      <w:r w:rsidRPr="00A52585">
        <w:rPr>
          <w:rFonts w:hint="cs"/>
          <w:rtl/>
        </w:rPr>
        <w:t>:</w:t>
      </w:r>
      <w:r w:rsidR="00777DCB" w:rsidRPr="00A52585">
        <w:rPr>
          <w:rFonts w:hint="cs"/>
          <w:rtl/>
        </w:rPr>
        <w:t xml:space="preserve"> لقد خرجت عن الظاهر في حديث أصح من هذا وهو حديث </w:t>
      </w:r>
      <w:r w:rsidR="00777DCB" w:rsidRPr="00A52585">
        <w:rPr>
          <w:rFonts w:hint="cs"/>
          <w:bCs/>
          <w:rtl/>
        </w:rPr>
        <w:t>(</w:t>
      </w:r>
      <w:r w:rsidRPr="00A52585">
        <w:rPr>
          <w:rFonts w:hint="cs"/>
          <w:bCs/>
          <w:rtl/>
        </w:rPr>
        <w:t>(</w:t>
      </w:r>
      <w:r w:rsidR="00777DCB" w:rsidRPr="00A52585">
        <w:rPr>
          <w:rFonts w:hint="cs"/>
          <w:bCs/>
          <w:rtl/>
        </w:rPr>
        <w:t>أربعوا علي أنفسكم فإنكم لا تدعون أصم ولا غائبا</w:t>
      </w:r>
      <w:r w:rsidR="00DB731D" w:rsidRPr="00A52585">
        <w:rPr>
          <w:rFonts w:hint="cs"/>
          <w:bCs/>
          <w:rtl/>
        </w:rPr>
        <w:t>،</w:t>
      </w:r>
      <w:r w:rsidR="00777DCB" w:rsidRPr="00A52585">
        <w:rPr>
          <w:rFonts w:hint="cs"/>
          <w:bCs/>
          <w:rtl/>
        </w:rPr>
        <w:t xml:space="preserve"> إنما تدعون سميعاً قريباً وهو أقرب إلي احدكم من عنق راحلته</w:t>
      </w:r>
      <w:r w:rsidRPr="00A52585">
        <w:rPr>
          <w:rFonts w:hint="cs"/>
          <w:bCs/>
          <w:rtl/>
        </w:rPr>
        <w:t>)</w:t>
      </w:r>
      <w:r w:rsidR="00777DCB" w:rsidRPr="00A52585">
        <w:rPr>
          <w:rFonts w:hint="cs"/>
          <w:bCs/>
          <w:rtl/>
        </w:rPr>
        <w:t>)</w:t>
      </w:r>
      <w:r w:rsidR="00777DCB" w:rsidRPr="00A52585">
        <w:rPr>
          <w:rFonts w:hint="cs"/>
          <w:rtl/>
        </w:rPr>
        <w:t xml:space="preserve"> رواه البخاري</w:t>
      </w:r>
      <w:r w:rsidR="00DB731D" w:rsidRPr="00A52585">
        <w:rPr>
          <w:rFonts w:hint="cs"/>
          <w:rtl/>
        </w:rPr>
        <w:t>،</w:t>
      </w:r>
      <w:r w:rsidR="00777DCB" w:rsidRPr="00A52585">
        <w:rPr>
          <w:rFonts w:hint="cs"/>
          <w:rtl/>
        </w:rPr>
        <w:t xml:space="preserve"> فهذا لو حمل علي ظاهره لكان إثبات تحيزٍ لله بين الرجل وبين عنق راحلته</w:t>
      </w:r>
      <w:r w:rsidR="00DB731D" w:rsidRPr="00A52585">
        <w:rPr>
          <w:rFonts w:hint="cs"/>
          <w:rtl/>
        </w:rPr>
        <w:t>،</w:t>
      </w:r>
      <w:r w:rsidR="00777DCB" w:rsidRPr="00A52585">
        <w:rPr>
          <w:rFonts w:hint="cs"/>
          <w:rtl/>
        </w:rPr>
        <w:t xml:space="preserve"> وهذا ينقض معتقدكم أنه مستقر فوق العرش بمماسة أو بدون مماسة فماذا تفعلون</w:t>
      </w:r>
      <w:r w:rsidR="00DB731D" w:rsidRPr="00A52585">
        <w:rPr>
          <w:rFonts w:hint="cs"/>
          <w:rtl/>
        </w:rPr>
        <w:t>،</w:t>
      </w:r>
      <w:r w:rsidR="00777DCB" w:rsidRPr="00A52585">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sidRPr="00A52585">
        <w:rPr>
          <w:rFonts w:hint="cs"/>
          <w:rtl/>
        </w:rPr>
        <w:t>)</w:t>
      </w:r>
      <w:r w:rsidR="00777DCB" w:rsidRPr="00A52585">
        <w:rPr>
          <w:rFonts w:hint="cs"/>
          <w:rtl/>
        </w:rPr>
        <w:t xml:space="preserve"> أهـ</w:t>
      </w:r>
      <w:r w:rsidRPr="00A52585">
        <w:rPr>
          <w:rFonts w:hint="cs"/>
          <w:rtl/>
        </w:rPr>
        <w:t xml:space="preserve"> [</w:t>
      </w:r>
      <w:r w:rsidR="00777DCB" w:rsidRPr="00A52585">
        <w:rPr>
          <w:rFonts w:hint="cs"/>
          <w:rtl/>
        </w:rPr>
        <w:t xml:space="preserve">الباز </w:t>
      </w:r>
      <w:r w:rsidR="00777DCB" w:rsidRPr="00A52585">
        <w:rPr>
          <w:rFonts w:hint="cs"/>
          <w:rtl/>
        </w:rPr>
        <w:lastRenderedPageBreak/>
        <w:t>الأشهب ص93-94</w:t>
      </w:r>
      <w:r w:rsidRPr="00A52585">
        <w:rPr>
          <w:rFonts w:hint="cs"/>
          <w:rtl/>
        </w:rPr>
        <w:t>]</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ح</w:t>
      </w:r>
      <w:r w:rsidRPr="00A52585">
        <w:rPr>
          <w:rFonts w:hint="cs"/>
          <w:bCs/>
          <w:rtl/>
        </w:rPr>
        <w:t>)</w:t>
      </w:r>
      <w:r w:rsidR="00777DCB" w:rsidRPr="00A52585">
        <w:rPr>
          <w:rFonts w:hint="cs"/>
          <w:bCs/>
          <w:rtl/>
        </w:rPr>
        <w:t xml:space="preserve"> وقال القرطبي في تفسيره</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rPr>
        <w:t>أين ظرف يسأل به عن المكان وهو لا يصح إطلاقه على الله تعالى بالحقيقة إذ الله تعالى منزه عن المكان كما هو منزه عن الزمان</w:t>
      </w:r>
      <w:r w:rsidR="00897A24" w:rsidRPr="00A52585">
        <w:rPr>
          <w:rFonts w:hint="cs"/>
          <w:rtl/>
        </w:rPr>
        <w:t>.</w:t>
      </w:r>
      <w:r w:rsidR="00777DCB" w:rsidRPr="00A52585">
        <w:rPr>
          <w:rFonts w:hint="cs"/>
          <w:rtl/>
        </w:rPr>
        <w:t>.. وإذا ثبت ذلك ثبت أن النبي صلى الله عليه وسلم إنما أطلقه على الله بالتوسع والمجاز لضرورة إفهام المخاطبة القاصرة الفهم</w:t>
      </w:r>
      <w:r w:rsidR="00DB731D" w:rsidRPr="00A52585">
        <w:rPr>
          <w:rFonts w:hint="cs"/>
          <w:rtl/>
        </w:rPr>
        <w:t>،</w:t>
      </w:r>
      <w:r w:rsidR="00777DCB" w:rsidRPr="00A52585">
        <w:rPr>
          <w:rFonts w:hint="cs"/>
          <w:rtl/>
        </w:rPr>
        <w:t xml:space="preserve"> الناشئة مع قوم معبوداتهم في بيوتهم</w:t>
      </w:r>
      <w:r w:rsidR="00DB731D" w:rsidRPr="00A52585">
        <w:rPr>
          <w:rFonts w:hint="cs"/>
          <w:rtl/>
        </w:rPr>
        <w:t>،</w:t>
      </w:r>
      <w:r w:rsidR="00777DCB" w:rsidRPr="00A52585">
        <w:rPr>
          <w:rFonts w:hint="cs"/>
          <w:rtl/>
        </w:rPr>
        <w:t xml:space="preserve"> فأراد النبي صلى الله عليه وسلم هل هي ممن يعتقد أن معبودهم في بيت الأصنام أم لا فقال لها أين الله</w:t>
      </w:r>
      <w:r w:rsidR="00F95886" w:rsidRPr="00A52585">
        <w:rPr>
          <w:rFonts w:hint="cs"/>
          <w:rtl/>
        </w:rPr>
        <w:t>؟</w:t>
      </w:r>
      <w:r w:rsidR="00777DCB" w:rsidRPr="00A52585">
        <w:rPr>
          <w:rFonts w:hint="cs"/>
          <w:rtl/>
        </w:rPr>
        <w:t xml:space="preserve"> فقالت في السماء فقنع منها بذلك وحكم بإيمانها</w:t>
      </w:r>
      <w:r w:rsidR="00DB731D" w:rsidRPr="00A52585">
        <w:rPr>
          <w:rFonts w:hint="cs"/>
          <w:rtl/>
        </w:rPr>
        <w:t>،</w:t>
      </w:r>
      <w:r w:rsidR="00777DCB" w:rsidRPr="00A52585">
        <w:rPr>
          <w:rFonts w:hint="cs"/>
          <w:rtl/>
        </w:rPr>
        <w:t xml:space="preserve"> إذ لم تتمكن من فهم غير ذلك</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ج18 ص 315</w:t>
      </w:r>
      <w:r w:rsidRPr="00A52585">
        <w:rPr>
          <w:rFonts w:hint="cs"/>
          <w:rtl/>
        </w:rPr>
        <w:t>]</w:t>
      </w:r>
      <w:r w:rsidR="00DB731D" w:rsidRPr="00A52585">
        <w:rPr>
          <w:rFonts w:hint="cs"/>
          <w:rtl/>
        </w:rPr>
        <w:t>،</w:t>
      </w:r>
      <w:r w:rsidR="00777DCB" w:rsidRPr="00A52585">
        <w:rPr>
          <w:rFonts w:hint="cs"/>
          <w:rtl/>
        </w:rPr>
        <w:t xml:space="preserve"> </w:t>
      </w:r>
    </w:p>
    <w:p w14:paraId="400CF814" w14:textId="49DFDE3C" w:rsidR="00777DCB" w:rsidRPr="00A52585" w:rsidRDefault="0002035C" w:rsidP="0002035C">
      <w:pPr>
        <w:rPr>
          <w:rFonts w:eastAsia="Times New Roman"/>
          <w:bCs/>
          <w:rtl/>
        </w:rPr>
      </w:pPr>
      <w:r w:rsidRPr="00A52585">
        <w:rPr>
          <w:rFonts w:hint="cs"/>
          <w:bCs/>
          <w:rtl/>
          <w:lang w:bidi="ar-KW"/>
        </w:rPr>
        <w:t>(</w:t>
      </w:r>
      <w:r w:rsidR="00777DCB" w:rsidRPr="00A52585">
        <w:rPr>
          <w:rFonts w:hint="cs"/>
          <w:bCs/>
          <w:rtl/>
          <w:lang w:bidi="ar-KW"/>
        </w:rPr>
        <w:t>9</w:t>
      </w:r>
      <w:r w:rsidRPr="00A52585">
        <w:rPr>
          <w:rFonts w:hint="cs"/>
          <w:bCs/>
          <w:rtl/>
          <w:lang w:bidi="ar-KW"/>
        </w:rPr>
        <w:t>)</w:t>
      </w:r>
      <w:r w:rsidR="00777DCB" w:rsidRPr="00A52585">
        <w:rPr>
          <w:rFonts w:hint="cs"/>
          <w:bCs/>
          <w:rtl/>
          <w:lang w:bidi="ar-KW"/>
        </w:rPr>
        <w:t xml:space="preserve"> مخالفات رواية </w:t>
      </w:r>
      <w:r w:rsidRPr="00A52585">
        <w:rPr>
          <w:rFonts w:hint="cs"/>
          <w:bCs/>
          <w:rtl/>
          <w:lang w:bidi="ar-KW"/>
        </w:rPr>
        <w:t>(</w:t>
      </w:r>
      <w:r w:rsidR="00777DCB" w:rsidRPr="00A52585">
        <w:rPr>
          <w:rFonts w:hint="cs"/>
          <w:bCs/>
          <w:rtl/>
          <w:lang w:bidi="ar-KW"/>
        </w:rPr>
        <w:t>أين الله</w:t>
      </w:r>
      <w:r w:rsidRPr="00A52585">
        <w:rPr>
          <w:rFonts w:hint="cs"/>
          <w:bCs/>
          <w:rtl/>
          <w:lang w:bidi="ar-KW"/>
        </w:rPr>
        <w:t>)</w:t>
      </w:r>
      <w:r w:rsidR="00777DCB" w:rsidRPr="00A52585">
        <w:rPr>
          <w:rFonts w:hint="cs"/>
          <w:bCs/>
          <w:rtl/>
          <w:lang w:bidi="ar-KW"/>
        </w:rPr>
        <w:t xml:space="preserve"> لأصول العقيدة من جوانب عديدة</w:t>
      </w:r>
      <w:r w:rsidR="00DB731D" w:rsidRPr="00A52585">
        <w:rPr>
          <w:rFonts w:hint="cs"/>
          <w:bCs/>
          <w:rtl/>
          <w:lang w:bidi="ar-KW"/>
        </w:rPr>
        <w:t>،</w:t>
      </w:r>
      <w:r w:rsidR="00777DCB" w:rsidRPr="00A52585">
        <w:rPr>
          <w:rFonts w:hint="cs"/>
          <w:bCs/>
          <w:rtl/>
          <w:lang w:bidi="ar-KW"/>
        </w:rPr>
        <w:t xml:space="preserve"> منها </w:t>
      </w:r>
      <w:r w:rsidR="00777DCB" w:rsidRPr="00A52585">
        <w:rPr>
          <w:rFonts w:hint="cs"/>
          <w:rtl/>
        </w:rPr>
        <w:t>مخالفة من جهة اثبات الإيمان بالسؤال عن المكان</w:t>
      </w:r>
      <w:r w:rsidR="00DB731D" w:rsidRPr="00A52585">
        <w:rPr>
          <w:rFonts w:hint="cs"/>
          <w:rtl/>
        </w:rPr>
        <w:t>،</w:t>
      </w:r>
      <w:r w:rsidR="00777DCB" w:rsidRPr="00A52585">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sidR="00DB731D" w:rsidRPr="00A52585">
        <w:rPr>
          <w:rFonts w:hint="cs"/>
          <w:rtl/>
        </w:rPr>
        <w:t>،</w:t>
      </w:r>
      <w:r w:rsidR="00777DCB" w:rsidRPr="00A52585">
        <w:rPr>
          <w:rFonts w:hint="cs"/>
          <w:rtl/>
        </w:rPr>
        <w:t xml:space="preserve"> ومخالفة من جهة أنّ الحديث مضطرب في ألفاظه لا يصح اثبات عقيدة به</w:t>
      </w:r>
      <w:r w:rsidR="00DB731D" w:rsidRPr="00A52585">
        <w:rPr>
          <w:rFonts w:hint="cs"/>
          <w:rtl/>
        </w:rPr>
        <w:t>،</w:t>
      </w:r>
      <w:r w:rsidR="00777DCB" w:rsidRPr="00A52585">
        <w:rPr>
          <w:rFonts w:hint="cs"/>
          <w:rtl/>
        </w:rPr>
        <w:t xml:space="preserve"> ومخالفة </w:t>
      </w:r>
      <w:r w:rsidR="00777DCB" w:rsidRPr="00A52585">
        <w:rPr>
          <w:rFonts w:eastAsia="Times New Roman" w:hint="cs"/>
          <w:rtl/>
        </w:rPr>
        <w:t>من جهة هدي النبي صلى الله عليه وسلم</w:t>
      </w:r>
      <w:r w:rsidR="00DB731D" w:rsidRPr="00A52585">
        <w:rPr>
          <w:rFonts w:eastAsia="Times New Roman" w:hint="cs"/>
          <w:rtl/>
        </w:rPr>
        <w:t>،</w:t>
      </w:r>
      <w:r w:rsidR="00777DCB" w:rsidRPr="00A52585">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00DB731D" w:rsidRPr="00A52585">
        <w:rPr>
          <w:rFonts w:eastAsia="Times New Roman" w:hint="cs"/>
          <w:rtl/>
        </w:rPr>
        <w:t>،</w:t>
      </w:r>
      <w:r w:rsidR="00777DCB" w:rsidRPr="00A52585">
        <w:rPr>
          <w:rFonts w:hint="cs"/>
          <w:rtl/>
        </w:rPr>
        <w:t>، ومخالفة من</w:t>
      </w:r>
      <w:r w:rsidR="00777DCB" w:rsidRPr="00A52585">
        <w:rPr>
          <w:rFonts w:eastAsia="Times New Roman" w:hint="cs"/>
          <w:rtl/>
        </w:rPr>
        <w:t xml:space="preserve"> جهة اقرار المشركين بأنّ الله تعالى في السماء وهذا لا يكفي لإثبات الإيمان والتوحيد للمسلم</w:t>
      </w:r>
      <w:r w:rsidR="00DB731D" w:rsidRPr="00A52585">
        <w:rPr>
          <w:rFonts w:eastAsia="Times New Roman" w:hint="cs"/>
          <w:rtl/>
        </w:rPr>
        <w:t>،</w:t>
      </w:r>
      <w:r w:rsidR="00777DCB" w:rsidRPr="00A52585">
        <w:rPr>
          <w:rFonts w:hint="cs"/>
          <w:rtl/>
        </w:rPr>
        <w:t>، ومخالفة من</w:t>
      </w:r>
      <w:r w:rsidR="00777DCB" w:rsidRPr="00A52585">
        <w:rPr>
          <w:rFonts w:eastAsia="Times New Roman" w:hint="cs"/>
          <w:rtl/>
        </w:rPr>
        <w:t xml:space="preserve"> جهة الأدلة القطعية على تنزيه الله تعالى عن المكان</w:t>
      </w:r>
      <w:r w:rsidR="00DB731D" w:rsidRPr="00A52585">
        <w:rPr>
          <w:rFonts w:eastAsia="Times New Roman" w:hint="cs"/>
          <w:rtl/>
        </w:rPr>
        <w:t>،</w:t>
      </w:r>
      <w:r w:rsidR="00777DCB" w:rsidRPr="00A52585">
        <w:rPr>
          <w:rFonts w:eastAsia="Times New Roman" w:hint="cs"/>
          <w:rtl/>
        </w:rPr>
        <w:t xml:space="preserve"> </w:t>
      </w:r>
      <w:r w:rsidR="00777DCB" w:rsidRPr="00A52585">
        <w:rPr>
          <w:rFonts w:hint="cs"/>
          <w:rtl/>
        </w:rPr>
        <w:t xml:space="preserve">ومن جهة مخالفة </w:t>
      </w:r>
      <w:r w:rsidR="00777DCB" w:rsidRPr="00A52585">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777DCB" w:rsidRPr="00A52585">
        <w:rPr>
          <w:rFonts w:hint="cs"/>
          <w:rtl/>
          <w:lang w:bidi="ar-KW"/>
        </w:rPr>
        <w:t>والمتفقين على تنزيه الله تعالى عن المكان والزمان</w:t>
      </w:r>
      <w:r w:rsidR="00DB731D" w:rsidRPr="00A52585">
        <w:rPr>
          <w:rFonts w:hint="cs"/>
          <w:rtl/>
          <w:lang w:bidi="ar-KW"/>
        </w:rPr>
        <w:t>،</w:t>
      </w:r>
      <w:r w:rsidR="00777DCB" w:rsidRPr="00A52585">
        <w:rPr>
          <w:rFonts w:hint="cs"/>
          <w:rtl/>
          <w:lang w:bidi="ar-KW"/>
        </w:rPr>
        <w:t xml:space="preserve"> فلا يحيط به مكان ولا يجري عليه زمان</w:t>
      </w:r>
      <w:r w:rsidR="00DB731D" w:rsidRPr="00A52585">
        <w:rPr>
          <w:rFonts w:hint="cs"/>
          <w:rtl/>
          <w:lang w:bidi="ar-KW"/>
        </w:rPr>
        <w:t>،</w:t>
      </w:r>
      <w:r w:rsidR="00777DCB" w:rsidRPr="00A52585">
        <w:rPr>
          <w:rFonts w:hint="cs"/>
          <w:bCs/>
          <w:rtl/>
          <w:lang w:bidi="ar-KW"/>
        </w:rPr>
        <w:t xml:space="preserve"> </w:t>
      </w:r>
      <w:r w:rsidRPr="00A52585">
        <w:rPr>
          <w:rFonts w:hint="cs"/>
          <w:bCs/>
          <w:rtl/>
          <w:lang w:bidi="ar-KW"/>
        </w:rPr>
        <w:t>(</w:t>
      </w:r>
      <w:r w:rsidR="00777DCB" w:rsidRPr="00A52585">
        <w:rPr>
          <w:rFonts w:hint="cs"/>
          <w:bCs/>
          <w:rtl/>
          <w:lang w:bidi="ar-KW"/>
        </w:rPr>
        <w:t>أ</w:t>
      </w:r>
      <w:r w:rsidRPr="00A52585">
        <w:rPr>
          <w:rFonts w:hint="cs"/>
          <w:bCs/>
          <w:rtl/>
          <w:lang w:bidi="ar-KW"/>
        </w:rPr>
        <w:t>)</w:t>
      </w:r>
      <w:r w:rsidR="00777DCB" w:rsidRPr="00A52585">
        <w:rPr>
          <w:rFonts w:hint="cs"/>
          <w:bCs/>
          <w:rtl/>
          <w:lang w:bidi="ar-KW"/>
        </w:rPr>
        <w:t xml:space="preserve"> المخالفة الأولى </w:t>
      </w:r>
      <w:r w:rsidR="00777DCB" w:rsidRPr="00A52585">
        <w:rPr>
          <w:rFonts w:hint="cs"/>
          <w:bCs/>
          <w:rtl/>
        </w:rPr>
        <w:t>من جهة اثبات الإيمان بالسؤال عن المكان</w:t>
      </w:r>
      <w:r w:rsidR="00DB731D" w:rsidRPr="00A52585">
        <w:rPr>
          <w:rFonts w:hint="cs"/>
          <w:bCs/>
          <w:rtl/>
        </w:rPr>
        <w:t>،</w:t>
      </w:r>
      <w:r w:rsidR="00777DCB" w:rsidRPr="00A52585">
        <w:rPr>
          <w:rFonts w:hint="cs"/>
          <w:bCs/>
          <w:rtl/>
        </w:rPr>
        <w:t xml:space="preserve"> </w:t>
      </w:r>
      <w:r w:rsidR="00777DCB" w:rsidRPr="00A52585">
        <w:rPr>
          <w:rFonts w:hint="cs"/>
          <w:rtl/>
        </w:rPr>
        <w:t>وذلك لأنّ اعتقاد وجود الله تعالى في السماء لا يثبت توحيـداً ولا تنفي شركـاً وذلك لأن بعض</w:t>
      </w:r>
      <w:r w:rsidR="00777DCB" w:rsidRPr="00A52585">
        <w:rPr>
          <w:rFonts w:hint="cs"/>
        </w:rPr>
        <w:t xml:space="preserve"> </w:t>
      </w:r>
      <w:r w:rsidR="00777DCB" w:rsidRPr="00A52585">
        <w:rPr>
          <w:rFonts w:hint="cs"/>
          <w:rtl/>
        </w:rPr>
        <w:t>المشركين يعترفون بوجود الله وكذا النصارى ومع ذلك يشركون معه في الألوهية غيره</w:t>
      </w:r>
      <w:r w:rsidR="00777DCB" w:rsidRPr="00A52585">
        <w:rPr>
          <w:rFonts w:hint="cs"/>
        </w:rPr>
        <w:t xml:space="preserve"> </w:t>
      </w:r>
      <w:r w:rsidR="00777DCB" w:rsidRPr="00A52585">
        <w:rPr>
          <w:rFonts w:hint="cs"/>
          <w:rtl/>
        </w:rPr>
        <w:t>وإذا كان الأمر كذلك فكيف يكتفي رسول الله صلى الله عليه وسلم من هذه الجارية بما لا يكفـي للحكـم بإسلامها</w:t>
      </w:r>
      <w:r w:rsidR="00DB731D" w:rsidRPr="00A52585">
        <w:rPr>
          <w:rFonts w:hint="cs"/>
          <w:rtl/>
          <w:lang w:bidi="ar-KW"/>
        </w:rPr>
        <w:t>،</w:t>
      </w:r>
      <w:r w:rsidR="00777DCB" w:rsidRPr="00A52585">
        <w:rPr>
          <w:rFonts w:hint="cs"/>
          <w:rtl/>
          <w:lang w:bidi="ar-KW"/>
        </w:rPr>
        <w:t xml:space="preserve"> وهذا مما يعزز أنّ الرواية الحقيقية جاءت بلفظ (</w:t>
      </w:r>
      <w:r w:rsidRPr="00A52585">
        <w:rPr>
          <w:rFonts w:hint="cs"/>
          <w:rtl/>
          <w:lang w:bidi="ar-KW"/>
        </w:rPr>
        <w:t>(</w:t>
      </w:r>
      <w:r w:rsidR="00777DCB" w:rsidRPr="00A52585">
        <w:rPr>
          <w:rFonts w:hint="cs"/>
          <w:rtl/>
          <w:lang w:bidi="ar-KW"/>
        </w:rPr>
        <w:t>أتشهدين أن لا إله إلا الله</w:t>
      </w:r>
      <w:r w:rsidRPr="00A52585">
        <w:rPr>
          <w:rFonts w:hint="cs"/>
          <w:rtl/>
          <w:lang w:bidi="ar-KW"/>
        </w:rPr>
        <w:t>)</w:t>
      </w:r>
      <w:r w:rsidR="00777DCB" w:rsidRPr="00A52585">
        <w:rPr>
          <w:rFonts w:hint="cs"/>
          <w:rtl/>
          <w:lang w:bidi="ar-KW"/>
        </w:rPr>
        <w:t>) أو أنّها</w:t>
      </w:r>
      <w:r w:rsidRPr="00A52585">
        <w:rPr>
          <w:rFonts w:hint="cs"/>
          <w:rtl/>
          <w:lang w:bidi="ar-KW"/>
        </w:rPr>
        <w:t xml:space="preserve"> </w:t>
      </w:r>
      <w:r w:rsidR="00777DCB" w:rsidRPr="00A52585">
        <w:rPr>
          <w:rFonts w:hint="cs"/>
          <w:rtl/>
          <w:lang w:bidi="ar-KW"/>
        </w:rPr>
        <w:t>كانت خرساء</w:t>
      </w:r>
      <w:r w:rsidR="00DB731D" w:rsidRPr="00A52585">
        <w:rPr>
          <w:rFonts w:hint="cs"/>
          <w:rtl/>
          <w:lang w:bidi="ar-KW"/>
        </w:rPr>
        <w:t>،</w:t>
      </w:r>
      <w:r w:rsidR="00777DCB" w:rsidRPr="00A52585">
        <w:rPr>
          <w:rFonts w:hint="cs"/>
          <w:rtl/>
          <w:lang w:bidi="ar-KW"/>
        </w:rPr>
        <w:t xml:space="preserve"> وكان الاستفهام بالإشارة لمعرفة من تعبد</w:t>
      </w:r>
      <w:r w:rsidR="00DB731D" w:rsidRPr="00A52585">
        <w:rPr>
          <w:rFonts w:hint="cs"/>
          <w:rtl/>
          <w:lang w:bidi="ar-KW"/>
        </w:rPr>
        <w:t>،</w:t>
      </w:r>
      <w:r w:rsidR="00777DCB" w:rsidRPr="00A52585">
        <w:rPr>
          <w:rFonts w:hint="cs"/>
          <w:rtl/>
          <w:lang w:bidi="ar-KW"/>
        </w:rPr>
        <w:t xml:space="preserve"> وليس إثبات المكان لله</w:t>
      </w:r>
      <w:r w:rsidR="00DB731D" w:rsidRPr="00A52585">
        <w:rPr>
          <w:rFonts w:hint="cs"/>
          <w:rtl/>
          <w:lang w:bidi="ar-KW"/>
        </w:rPr>
        <w:t>،</w:t>
      </w:r>
      <w:r w:rsidR="00777DCB" w:rsidRPr="00A52585">
        <w:rPr>
          <w:rFonts w:hint="cs"/>
          <w:rtl/>
          <w:lang w:bidi="ar-KW"/>
        </w:rPr>
        <w:t xml:space="preserve"> </w:t>
      </w:r>
      <w:r w:rsidRPr="00A52585">
        <w:rPr>
          <w:rFonts w:hint="cs"/>
          <w:bCs/>
          <w:rtl/>
          <w:lang w:bidi="ar-KW"/>
        </w:rPr>
        <w:t>(</w:t>
      </w:r>
      <w:r w:rsidR="00777DCB" w:rsidRPr="00A52585">
        <w:rPr>
          <w:rFonts w:hint="cs"/>
          <w:bCs/>
          <w:rtl/>
          <w:lang w:bidi="ar-KW"/>
        </w:rPr>
        <w:t>ب</w:t>
      </w:r>
      <w:r w:rsidRPr="00A52585">
        <w:rPr>
          <w:rFonts w:hint="cs"/>
          <w:bCs/>
          <w:rtl/>
          <w:lang w:bidi="ar-KW"/>
        </w:rPr>
        <w:t>)</w:t>
      </w:r>
      <w:r w:rsidR="00777DCB" w:rsidRPr="00A52585">
        <w:rPr>
          <w:rFonts w:hint="cs"/>
          <w:bCs/>
          <w:rtl/>
          <w:lang w:bidi="ar-KW"/>
        </w:rPr>
        <w:t xml:space="preserve"> المخالفة الثانية</w:t>
      </w:r>
      <w:r w:rsidRPr="00A52585">
        <w:rPr>
          <w:rFonts w:hint="cs"/>
          <w:bCs/>
          <w:rtl/>
          <w:lang w:bidi="ar-KW"/>
        </w:rPr>
        <w:t>:</w:t>
      </w:r>
      <w:r w:rsidR="00777DCB" w:rsidRPr="00A52585">
        <w:rPr>
          <w:rFonts w:hint="cs"/>
          <w:bCs/>
          <w:rtl/>
          <w:lang w:bidi="ar-KW"/>
        </w:rPr>
        <w:t xml:space="preserve"> </w:t>
      </w:r>
      <w:r w:rsidR="00777DCB" w:rsidRPr="00A52585">
        <w:rPr>
          <w:rFonts w:hint="cs"/>
          <w:bCs/>
          <w:rtl/>
        </w:rPr>
        <w:t>أن هذا الحديـث معارض للقـواطع العقليـة والنقليـة الـدالة على</w:t>
      </w:r>
      <w:r w:rsidR="00777DCB" w:rsidRPr="00A52585">
        <w:rPr>
          <w:rFonts w:hint="cs"/>
          <w:bCs/>
        </w:rPr>
        <w:t xml:space="preserve"> </w:t>
      </w:r>
      <w:r w:rsidR="00777DCB" w:rsidRPr="00A52585">
        <w:rPr>
          <w:rFonts w:hint="cs"/>
          <w:bCs/>
          <w:rtl/>
        </w:rPr>
        <w:t>تنزيه الله تعالى عن المكان لأنّه خالق المكان</w:t>
      </w:r>
      <w:r w:rsidR="00DB731D" w:rsidRPr="00A52585">
        <w:rPr>
          <w:rFonts w:hint="cs"/>
          <w:rtl/>
        </w:rPr>
        <w:t>،</w:t>
      </w:r>
      <w:r w:rsidR="00777DCB" w:rsidRPr="00A52585">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sidRPr="00A52585">
        <w:rPr>
          <w:rFonts w:hint="cs"/>
          <w:rtl/>
        </w:rPr>
        <w:t xml:space="preserve"> </w:t>
      </w:r>
      <w:r w:rsidR="00777DCB" w:rsidRPr="00A52585">
        <w:rPr>
          <w:rFonts w:hint="cs"/>
          <w:rtl/>
        </w:rPr>
        <w:t>وقد أجمع المتخصصون في العقيدة على منهاج أهل السنّة والجماعة على تنزيه الله تعالى عن المكان</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ت</w:t>
      </w:r>
      <w:r w:rsidRPr="00A52585">
        <w:rPr>
          <w:rFonts w:hint="cs"/>
          <w:bCs/>
          <w:rtl/>
        </w:rPr>
        <w:t>)</w:t>
      </w:r>
      <w:r w:rsidR="00777DCB" w:rsidRPr="00A52585">
        <w:rPr>
          <w:rFonts w:hint="cs"/>
          <w:bCs/>
          <w:rtl/>
        </w:rPr>
        <w:t xml:space="preserve"> المخالفة الثالثة من </w:t>
      </w:r>
      <w:r w:rsidR="00777DCB" w:rsidRPr="00A52585">
        <w:rPr>
          <w:rFonts w:hint="cs"/>
          <w:bCs/>
          <w:rtl/>
        </w:rPr>
        <w:lastRenderedPageBreak/>
        <w:t>جهة أنّ الحديث مضطرب لا يصح اثبات عقيدة به</w:t>
      </w:r>
      <w:r w:rsidR="00DB731D" w:rsidRPr="00A52585">
        <w:rPr>
          <w:rFonts w:hint="cs"/>
          <w:bCs/>
          <w:rtl/>
        </w:rPr>
        <w:t>،</w:t>
      </w:r>
      <w:r w:rsidR="00777DCB" w:rsidRPr="00A52585">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00DB731D" w:rsidRPr="00A52585">
        <w:rPr>
          <w:rFonts w:hint="cs"/>
          <w:rtl/>
        </w:rPr>
        <w:t>،</w:t>
      </w:r>
      <w:r w:rsidR="00777DCB" w:rsidRPr="00A52585">
        <w:rPr>
          <w:rFonts w:hint="cs"/>
          <w:rtl/>
        </w:rPr>
        <w:t xml:space="preserve"> والمحكم فيها بلفظ </w:t>
      </w:r>
      <w:r w:rsidR="00777DCB" w:rsidRPr="00A52585">
        <w:rPr>
          <w:rFonts w:hint="cs"/>
          <w:rtl/>
          <w:lang w:bidi="ar-KW"/>
        </w:rPr>
        <w:t>(</w:t>
      </w:r>
      <w:r w:rsidRPr="00A52585">
        <w:rPr>
          <w:rFonts w:hint="cs"/>
          <w:rtl/>
          <w:lang w:bidi="ar-KW"/>
        </w:rPr>
        <w:t>(</w:t>
      </w:r>
      <w:r w:rsidR="00777DCB" w:rsidRPr="00A52585">
        <w:rPr>
          <w:rFonts w:hint="cs"/>
          <w:rtl/>
          <w:lang w:bidi="ar-KW"/>
        </w:rPr>
        <w:t>أتشهدين أن لا إله إلا الله</w:t>
      </w:r>
      <w:r w:rsidRPr="00A52585">
        <w:rPr>
          <w:rFonts w:hint="cs"/>
          <w:rtl/>
          <w:lang w:bidi="ar-KW"/>
        </w:rPr>
        <w:t>)</w:t>
      </w:r>
      <w:r w:rsidR="00777DCB" w:rsidRPr="00A52585">
        <w:rPr>
          <w:rFonts w:hint="cs"/>
          <w:rtl/>
          <w:lang w:bidi="ar-KW"/>
        </w:rPr>
        <w:t>) أو بلفظ (</w:t>
      </w:r>
      <w:r w:rsidRPr="00A52585">
        <w:rPr>
          <w:rFonts w:hint="cs"/>
          <w:rtl/>
          <w:lang w:bidi="ar-KW"/>
        </w:rPr>
        <w:t>(</w:t>
      </w:r>
      <w:r w:rsidR="00777DCB" w:rsidRPr="00A52585">
        <w:rPr>
          <w:rFonts w:hint="cs"/>
          <w:rtl/>
          <w:lang w:bidi="ar-KW"/>
        </w:rPr>
        <w:t>من ربك</w:t>
      </w:r>
      <w:r w:rsidRPr="00A52585">
        <w:rPr>
          <w:rFonts w:hint="cs"/>
          <w:rtl/>
          <w:lang w:bidi="ar-KW"/>
        </w:rPr>
        <w:t>)</w:t>
      </w:r>
      <w:r w:rsidR="00777DCB" w:rsidRPr="00A52585">
        <w:rPr>
          <w:rFonts w:hint="cs"/>
          <w:rtl/>
          <w:lang w:bidi="ar-KW"/>
        </w:rPr>
        <w:t>) لأنّ هذا هو ما يوافق الأصول عند الحكم على الإيمان والكفر</w:t>
      </w:r>
      <w:r w:rsidR="00DB731D" w:rsidRPr="00A52585">
        <w:rPr>
          <w:rFonts w:hint="cs"/>
          <w:rtl/>
          <w:lang w:bidi="ar-KW"/>
        </w:rPr>
        <w:t>،</w:t>
      </w:r>
      <w:r w:rsidR="00777DCB" w:rsidRPr="00A52585">
        <w:rPr>
          <w:rFonts w:hint="cs"/>
          <w:rtl/>
          <w:lang w:bidi="ar-KW"/>
        </w:rPr>
        <w:t xml:space="preserve"> </w:t>
      </w:r>
      <w:r w:rsidR="00777DCB" w:rsidRPr="00A52585">
        <w:rPr>
          <w:rFonts w:hint="cs"/>
          <w:rtl/>
        </w:rPr>
        <w:t>واللفظ الثالث (</w:t>
      </w:r>
      <w:r w:rsidRPr="00A52585">
        <w:rPr>
          <w:rFonts w:hint="cs"/>
          <w:rtl/>
        </w:rPr>
        <w:t>(</w:t>
      </w:r>
      <w:r w:rsidR="00777DCB" w:rsidRPr="00A52585">
        <w:rPr>
          <w:rFonts w:hint="cs"/>
          <w:rtl/>
        </w:rPr>
        <w:t>أين الله</w:t>
      </w:r>
      <w:r w:rsidRPr="00A52585">
        <w:rPr>
          <w:rFonts w:hint="cs"/>
          <w:rtl/>
        </w:rPr>
        <w:t>)</w:t>
      </w:r>
      <w:r w:rsidR="00777DCB" w:rsidRPr="00A52585">
        <w:rPr>
          <w:rFonts w:hint="cs"/>
          <w:rtl/>
        </w:rPr>
        <w:t>) متشابه ينبغي رده إلى محكمه</w:t>
      </w:r>
      <w:r w:rsidR="00777DCB" w:rsidRPr="00A52585">
        <w:rPr>
          <w:rFonts w:hint="cs"/>
          <w:rtl/>
          <w:lang w:bidi="ar-KW"/>
        </w:rPr>
        <w:t xml:space="preserve"> الذي يثبت به الإيمان وإلا فما علاقة المكان بالإيمان</w:t>
      </w:r>
      <w:r w:rsidR="00DB731D" w:rsidRPr="00A52585">
        <w:rPr>
          <w:rFonts w:hint="cs"/>
          <w:rtl/>
          <w:lang w:bidi="ar-KW"/>
        </w:rPr>
        <w:t>،</w:t>
      </w:r>
      <w:r w:rsidR="00777DCB" w:rsidRPr="00A52585">
        <w:rPr>
          <w:rFonts w:hint="cs"/>
          <w:rtl/>
          <w:lang w:bidi="ar-KW"/>
        </w:rPr>
        <w:t xml:space="preserve"> </w:t>
      </w:r>
      <w:r w:rsidR="00777DCB" w:rsidRPr="00A52585">
        <w:rPr>
          <w:rFonts w:hint="cs"/>
          <w:rtl/>
        </w:rPr>
        <w:t>وهذا اللفظ معارض بالأدلة القطعية من الكتاب والسنة المتواترة ودلالة</w:t>
      </w:r>
      <w:r w:rsidR="00777DCB" w:rsidRPr="00A52585">
        <w:rPr>
          <w:rFonts w:hint="cs"/>
        </w:rPr>
        <w:t xml:space="preserve"> </w:t>
      </w:r>
      <w:r w:rsidR="00777DCB" w:rsidRPr="00A52585">
        <w:rPr>
          <w:rFonts w:hint="cs"/>
          <w:rtl/>
        </w:rPr>
        <w:t>العقـل السليم واجماع أهل التخصص في مجال العقيدة ممن درسوا ما يجوز نسبته</w:t>
      </w:r>
      <w:r w:rsidR="00DB731D" w:rsidRPr="00A52585">
        <w:rPr>
          <w:rFonts w:hint="cs"/>
          <w:rtl/>
        </w:rPr>
        <w:t>،</w:t>
      </w:r>
      <w:r w:rsidR="00777DCB" w:rsidRPr="00A52585">
        <w:rPr>
          <w:rFonts w:hint="cs"/>
          <w:rtl/>
        </w:rPr>
        <w:t xml:space="preserve"> وما لا يجوز نسبته في حق الله تعالى</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w:t>
      </w:r>
      <w:r w:rsidR="00777DCB" w:rsidRPr="00A52585">
        <w:rPr>
          <w:rFonts w:eastAsia="Times New Roman" w:hint="cs"/>
          <w:bCs/>
          <w:rtl/>
        </w:rPr>
        <w:t>المخالفة الرابعة من جهة هدي النبي صلى الله عليه وسلم</w:t>
      </w:r>
      <w:r w:rsidR="00DB731D" w:rsidRPr="00A52585">
        <w:rPr>
          <w:rFonts w:eastAsia="Times New Roman" w:hint="cs"/>
          <w:bCs/>
          <w:rtl/>
        </w:rPr>
        <w:t>،</w:t>
      </w:r>
      <w:r w:rsidR="00777DCB" w:rsidRPr="00A52585">
        <w:rPr>
          <w:rFonts w:eastAsia="Times New Roman" w:hint="cs"/>
          <w:bCs/>
          <w:rtl/>
        </w:rPr>
        <w:t xml:space="preserve"> </w:t>
      </w:r>
      <w:r w:rsidR="00777DCB" w:rsidRPr="00A52585">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00DB731D" w:rsidRPr="00A52585">
        <w:rPr>
          <w:rFonts w:eastAsia="Times New Roman" w:hint="cs"/>
          <w:rtl/>
        </w:rPr>
        <w:t>،</w:t>
      </w:r>
      <w:r w:rsidR="00777DCB" w:rsidRPr="00A52585">
        <w:rPr>
          <w:rFonts w:eastAsia="Times New Roman" w:hint="cs"/>
          <w:rtl/>
        </w:rPr>
        <w:t xml:space="preserve"> ولو ثبت ذلك لتواتر عنه لأهميته في اثبات الإيمان</w:t>
      </w:r>
      <w:r w:rsidR="00DB731D" w:rsidRPr="00A52585">
        <w:rPr>
          <w:rFonts w:eastAsia="Times New Roman" w:hint="cs"/>
          <w:rtl/>
        </w:rPr>
        <w:t>،</w:t>
      </w:r>
      <w:r w:rsidRPr="00A52585">
        <w:rPr>
          <w:rFonts w:eastAsia="Times New Roman" w:hint="cs"/>
          <w:rtl/>
        </w:rPr>
        <w:t xml:space="preserve"> </w:t>
      </w:r>
      <w:r w:rsidR="00777DCB" w:rsidRPr="00A52585">
        <w:rPr>
          <w:rFonts w:eastAsia="Times New Roman" w:hint="cs"/>
          <w:rtl/>
        </w:rPr>
        <w:t>بل الثابت عنه تلقين كلمة الشهادة وبعثِ رسله بالدعوة</w:t>
      </w:r>
      <w:r w:rsidR="00777DCB" w:rsidRPr="00A52585">
        <w:rPr>
          <w:rFonts w:eastAsia="Times New Roman" w:hint="cs"/>
        </w:rPr>
        <w:t xml:space="preserve"> </w:t>
      </w:r>
      <w:r w:rsidR="00777DCB" w:rsidRPr="00A52585">
        <w:rPr>
          <w:rFonts w:eastAsia="Times New Roman" w:hint="cs"/>
          <w:rtl/>
        </w:rPr>
        <w:t>إليها</w:t>
      </w:r>
      <w:r w:rsidR="00DB731D" w:rsidRPr="00A52585">
        <w:rPr>
          <w:rFonts w:eastAsia="Times New Roman" w:hint="cs"/>
          <w:rtl/>
        </w:rPr>
        <w:t>،</w:t>
      </w:r>
      <w:r w:rsidR="00777DCB" w:rsidRPr="00A52585">
        <w:rPr>
          <w:rFonts w:eastAsia="Times New Roman" w:hint="cs"/>
          <w:rtl/>
        </w:rPr>
        <w:t xml:space="preserve"> ولم يُذكر أن أحداً من رسله دعا الناس إلى الإيمان بوجود الله في السماء ولا</w:t>
      </w:r>
      <w:r w:rsidR="00777DCB" w:rsidRPr="00A52585">
        <w:rPr>
          <w:rFonts w:eastAsia="Times New Roman" w:hint="cs"/>
        </w:rPr>
        <w:t xml:space="preserve"> </w:t>
      </w:r>
      <w:r w:rsidR="00777DCB" w:rsidRPr="00A52585">
        <w:rPr>
          <w:rFonts w:eastAsia="Times New Roman" w:hint="cs"/>
          <w:rtl/>
        </w:rPr>
        <w:t>استكشف عن إيمان أحد بسؤاله</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أين الله</w:t>
      </w:r>
      <w:r w:rsidRPr="00A52585">
        <w:rPr>
          <w:rFonts w:eastAsia="Times New Roman" w:hint="cs"/>
          <w:rtl/>
        </w:rPr>
        <w:t>)</w:t>
      </w:r>
      <w:r w:rsidR="00777DCB" w:rsidRPr="00A52585">
        <w:rPr>
          <w:rFonts w:eastAsia="Times New Roman" w:hint="cs"/>
          <w:rtl/>
        </w:rPr>
        <w:t>) سوى تلك الرواية المضطربة التي تعددت ألفاظها بحيث لا تستقر على لفظ واحد</w:t>
      </w:r>
      <w:r w:rsidR="00DB731D" w:rsidRPr="00A52585">
        <w:rPr>
          <w:rFonts w:eastAsia="Times New Roman" w:hint="cs"/>
          <w:rtl/>
        </w:rPr>
        <w:t>،</w:t>
      </w:r>
      <w:r w:rsidR="00777DCB" w:rsidRPr="00A52585">
        <w:rPr>
          <w:rFonts w:eastAsia="Times New Roman" w:hint="cs"/>
          <w:rtl/>
        </w:rPr>
        <w:t xml:space="preserve"> </w:t>
      </w:r>
      <w:r w:rsidR="00777DCB" w:rsidRPr="00A52585">
        <w:rPr>
          <w:rFonts w:hint="cs"/>
          <w:rtl/>
        </w:rPr>
        <w:t xml:space="preserve">وقد تواتر عنه </w:t>
      </w:r>
      <w:r w:rsidR="00777DCB" w:rsidRPr="00A52585">
        <w:rPr>
          <w:rFonts w:eastAsia="Times New Roman" w:hint="cs"/>
          <w:rtl/>
        </w:rPr>
        <w:t xml:space="preserve">صلى الله عليه وسلم </w:t>
      </w:r>
      <w:r w:rsidR="00777DCB" w:rsidRPr="00A52585">
        <w:rPr>
          <w:rFonts w:hint="cs"/>
          <w:rtl/>
        </w:rPr>
        <w:t>أنه كان إذا أتـاه شخص يريـد الإسلام أمره أن ينطـق بالشهادتيـن من غير أن يسأله هذا السؤال أو نحوه</w:t>
      </w:r>
      <w:r w:rsidR="00DB731D" w:rsidRPr="00A52585">
        <w:rPr>
          <w:rFonts w:hint="cs"/>
          <w:rtl/>
        </w:rPr>
        <w:t>،</w:t>
      </w:r>
      <w:r w:rsidR="00777DCB" w:rsidRPr="00A52585">
        <w:rPr>
          <w:rFonts w:hint="cs"/>
          <w:rtl/>
          <w:lang w:bidi="ar-KW"/>
        </w:rPr>
        <w:t xml:space="preserve"> وتواتر عنه </w:t>
      </w:r>
      <w:r w:rsidR="00777DCB" w:rsidRPr="00A52585">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DB731D" w:rsidRPr="00A52585">
        <w:rPr>
          <w:rFonts w:hint="cs"/>
          <w:rtl/>
          <w:lang w:bidi="ar-KW"/>
        </w:rPr>
        <w:t>،</w:t>
      </w:r>
      <w:r w:rsidR="00777DCB" w:rsidRPr="00A52585">
        <w:rPr>
          <w:rFonts w:hint="cs"/>
          <w:rtl/>
          <w:lang w:bidi="ar-KW"/>
        </w:rPr>
        <w:t xml:space="preserve"> كما تواتر عنه</w:t>
      </w:r>
      <w:r w:rsidRPr="00A52585">
        <w:rPr>
          <w:rFonts w:hint="cs"/>
          <w:rtl/>
          <w:lang w:bidi="ar-KW"/>
        </w:rPr>
        <w:t xml:space="preserve"> </w:t>
      </w:r>
      <w:r w:rsidR="00777DCB" w:rsidRPr="00A52585">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00DB731D" w:rsidRPr="00A52585">
        <w:rPr>
          <w:rFonts w:hint="cs"/>
          <w:rtl/>
        </w:rPr>
        <w:t>،</w:t>
      </w:r>
      <w:r w:rsidR="00777DCB" w:rsidRPr="00A52585">
        <w:rPr>
          <w:rFonts w:hint="cs"/>
          <w:rtl/>
        </w:rPr>
        <w:t xml:space="preserve"> </w:t>
      </w:r>
      <w:r w:rsidR="00777DCB" w:rsidRPr="00A52585">
        <w:rPr>
          <w:rFonts w:eastAsia="Times New Roman" w:hint="cs"/>
          <w:rtl/>
        </w:rPr>
        <w:t>ومن ذلك ما أخرجه البخاري عن</w:t>
      </w:r>
      <w:r w:rsidR="00777DCB" w:rsidRPr="00A52585">
        <w:rPr>
          <w:rFonts w:eastAsia="Times New Roman" w:hint="cs"/>
        </w:rPr>
        <w:t xml:space="preserve"> </w:t>
      </w:r>
      <w:r w:rsidR="00777DCB" w:rsidRPr="00A52585">
        <w:rPr>
          <w:rFonts w:eastAsia="Times New Roman" w:hint="cs"/>
          <w:rtl/>
        </w:rPr>
        <w:t>ابن عمر رضي الله عنهما</w:t>
      </w:r>
      <w:r w:rsidRPr="00A52585">
        <w:rPr>
          <w:rFonts w:eastAsia="Times New Roman" w:hint="cs"/>
          <w:rtl/>
        </w:rPr>
        <w:t>:</w:t>
      </w:r>
      <w:r w:rsidR="00777DCB" w:rsidRPr="00A52585">
        <w:rPr>
          <w:rFonts w:eastAsia="Times New Roman" w:hint="cs"/>
          <w:rtl/>
        </w:rPr>
        <w:t xml:space="preserve"> أن رسول الله صلى الله عليه وسلم قال</w:t>
      </w:r>
      <w:r w:rsidRPr="00A52585">
        <w:rPr>
          <w:rFonts w:eastAsia="Times New Roman" w:hint="cs"/>
          <w:rtl/>
        </w:rPr>
        <w:t xml:space="preserve">: </w:t>
      </w:r>
      <w:r w:rsidR="00777DCB" w:rsidRPr="00A52585">
        <w:rPr>
          <w:rFonts w:eastAsia="Times New Roman" w:hint="cs"/>
          <w:rtl/>
        </w:rPr>
        <w:t>(</w:t>
      </w:r>
      <w:r w:rsidRPr="00A52585">
        <w:rPr>
          <w:rFonts w:eastAsia="Times New Roman" w:hint="cs"/>
          <w:rtl/>
        </w:rPr>
        <w:t>(</w:t>
      </w:r>
      <w:r w:rsidR="00777DCB" w:rsidRPr="00A52585">
        <w:rPr>
          <w:rFonts w:eastAsia="Times New Roman" w:hint="cs"/>
          <w:rtl/>
        </w:rPr>
        <w:t>أمرت أن أقاتل</w:t>
      </w:r>
      <w:r w:rsidR="00777DCB" w:rsidRPr="00A52585">
        <w:rPr>
          <w:rFonts w:eastAsia="Times New Roman" w:hint="cs"/>
        </w:rPr>
        <w:t xml:space="preserve"> </w:t>
      </w:r>
      <w:r w:rsidR="00777DCB" w:rsidRPr="00A52585">
        <w:rPr>
          <w:rFonts w:eastAsia="Times New Roman" w:hint="cs"/>
          <w:rtl/>
        </w:rPr>
        <w:t>الناس حتى يشهدوا أن لا إله إلا الله وأن محمدا رسول الله ويقيموا الصلاة ويؤتوا</w:t>
      </w:r>
      <w:r w:rsidR="00777DCB" w:rsidRPr="00A52585">
        <w:rPr>
          <w:rFonts w:eastAsia="Times New Roman" w:hint="cs"/>
        </w:rPr>
        <w:t xml:space="preserve"> </w:t>
      </w:r>
      <w:r w:rsidR="00777DCB" w:rsidRPr="00A52585">
        <w:rPr>
          <w:rFonts w:eastAsia="Times New Roman" w:hint="cs"/>
          <w:rtl/>
        </w:rPr>
        <w:t>الزكاة فإذا فعلوا ذلك عصموا مني دماءهم وأموالهم إلا بحق الإسلام وحسابهم على</w:t>
      </w:r>
      <w:r w:rsidR="00777DCB" w:rsidRPr="00A52585">
        <w:rPr>
          <w:rFonts w:eastAsia="Times New Roman" w:hint="cs"/>
        </w:rPr>
        <w:t xml:space="preserve"> </w:t>
      </w:r>
      <w:r w:rsidR="00777DCB" w:rsidRPr="00A52585">
        <w:rPr>
          <w:rFonts w:eastAsia="Times New Roman" w:hint="cs"/>
          <w:rtl/>
        </w:rPr>
        <w:t>الله</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صحيح البخاري</w:t>
      </w:r>
      <w:r w:rsidRPr="00A52585">
        <w:rPr>
          <w:rFonts w:eastAsia="Times New Roman" w:hint="cs"/>
          <w:rtl/>
        </w:rPr>
        <w:t>:</w:t>
      </w:r>
      <w:r w:rsidR="00777DCB" w:rsidRPr="00A52585">
        <w:rPr>
          <w:rFonts w:eastAsia="Times New Roman" w:hint="cs"/>
          <w:rtl/>
        </w:rPr>
        <w:t xml:space="preserve"> ح 25</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وما أخرجه عن ابن عباس رضي الله عنهما</w:t>
      </w:r>
      <w:r w:rsidRPr="00A52585">
        <w:rPr>
          <w:rFonts w:eastAsia="Times New Roman" w:hint="cs"/>
          <w:rtl/>
        </w:rPr>
        <w:t>:</w:t>
      </w:r>
      <w:r w:rsidR="00777DCB" w:rsidRPr="00A52585">
        <w:rPr>
          <w:rFonts w:eastAsia="Times New Roman" w:hint="cs"/>
          <w:rtl/>
        </w:rPr>
        <w:t xml:space="preserve"> أن النبي صلى</w:t>
      </w:r>
      <w:r w:rsidR="00777DCB" w:rsidRPr="00A52585">
        <w:rPr>
          <w:rFonts w:eastAsia="Times New Roman" w:hint="cs"/>
        </w:rPr>
        <w:t xml:space="preserve"> </w:t>
      </w:r>
      <w:r w:rsidR="00777DCB" w:rsidRPr="00A52585">
        <w:rPr>
          <w:rFonts w:eastAsia="Times New Roman" w:hint="cs"/>
          <w:rtl/>
        </w:rPr>
        <w:t>الله عليه وسلم بعث معاذاً رضي الله عنه إلى اليمن فقال</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ادعهم إلى شهادة أن لا إله</w:t>
      </w:r>
      <w:r w:rsidR="00777DCB" w:rsidRPr="00A52585">
        <w:rPr>
          <w:rFonts w:eastAsia="Times New Roman" w:hint="cs"/>
        </w:rPr>
        <w:t xml:space="preserve"> </w:t>
      </w:r>
      <w:r w:rsidR="00777DCB" w:rsidRPr="00A52585">
        <w:rPr>
          <w:rFonts w:eastAsia="Times New Roman" w:hint="cs"/>
          <w:rtl/>
        </w:rPr>
        <w:t>إلا الله وأني رسول الله فإن هم أطاعوا لذلك فأعلمهم أن الله قد افترض عليهم خمسَ</w:t>
      </w:r>
      <w:r w:rsidR="00777DCB" w:rsidRPr="00A52585">
        <w:rPr>
          <w:rFonts w:eastAsia="Times New Roman" w:hint="cs"/>
        </w:rPr>
        <w:t xml:space="preserve"> </w:t>
      </w:r>
      <w:r w:rsidR="00777DCB" w:rsidRPr="00A52585">
        <w:rPr>
          <w:rFonts w:eastAsia="Times New Roman" w:hint="cs"/>
          <w:rtl/>
        </w:rPr>
        <w:t>صلوات في كل يوم وليلة فإنْ هم أطاعوا لذلك فأعلمهم أن الله افترض عليهم صدقة في</w:t>
      </w:r>
      <w:r w:rsidR="00777DCB" w:rsidRPr="00A52585">
        <w:rPr>
          <w:rFonts w:eastAsia="Times New Roman" w:hint="cs"/>
        </w:rPr>
        <w:t xml:space="preserve"> </w:t>
      </w:r>
      <w:r w:rsidR="00777DCB" w:rsidRPr="00A52585">
        <w:rPr>
          <w:rFonts w:eastAsia="Times New Roman" w:hint="cs"/>
          <w:rtl/>
        </w:rPr>
        <w:t>أموالهم تؤخذ من أغنيائهم وترد على فقرائهم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صحيح البخاري</w:t>
      </w:r>
      <w:r w:rsidRPr="00A52585">
        <w:rPr>
          <w:rFonts w:eastAsia="Times New Roman" w:hint="cs"/>
          <w:rtl/>
        </w:rPr>
        <w:t>:</w:t>
      </w:r>
      <w:r w:rsidR="00777DCB" w:rsidRPr="00A52585">
        <w:rPr>
          <w:rFonts w:eastAsia="Times New Roman" w:hint="cs"/>
          <w:rtl/>
        </w:rPr>
        <w:t xml:space="preserve"> ح 1331</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فهذا </w:t>
      </w:r>
      <w:r w:rsidR="00777DCB" w:rsidRPr="00A52585">
        <w:rPr>
          <w:rFonts w:eastAsia="Times New Roman" w:hint="cs"/>
          <w:rtl/>
        </w:rPr>
        <w:lastRenderedPageBreak/>
        <w:t>هو الذي تواتر عنه صلى الله عليه وسلم</w:t>
      </w:r>
      <w:r w:rsidR="00DB731D" w:rsidRPr="00A52585">
        <w:rPr>
          <w:rFonts w:eastAsia="Times New Roman" w:hint="cs"/>
          <w:rtl/>
        </w:rPr>
        <w:t>،</w:t>
      </w:r>
      <w:r w:rsidR="00777DCB" w:rsidRPr="00A52585">
        <w:rPr>
          <w:rFonts w:eastAsia="Times New Roman" w:hint="cs"/>
          <w:rtl/>
        </w:rPr>
        <w:t xml:space="preserve"> </w:t>
      </w:r>
      <w:r w:rsidRPr="00A52585">
        <w:rPr>
          <w:rFonts w:eastAsia="Times New Roman" w:hint="cs"/>
          <w:bCs/>
          <w:rtl/>
        </w:rPr>
        <w:t>(</w:t>
      </w:r>
      <w:r w:rsidR="00777DCB" w:rsidRPr="00A52585">
        <w:rPr>
          <w:rFonts w:eastAsia="Times New Roman" w:hint="cs"/>
          <w:bCs/>
          <w:rtl/>
        </w:rPr>
        <w:t>ج</w:t>
      </w:r>
      <w:r w:rsidRPr="00A52585">
        <w:rPr>
          <w:rFonts w:eastAsia="Times New Roman" w:hint="cs"/>
          <w:bCs/>
          <w:rtl/>
        </w:rPr>
        <w:t>)</w:t>
      </w:r>
      <w:r w:rsidR="00777DCB" w:rsidRPr="00A52585">
        <w:rPr>
          <w:rFonts w:eastAsia="Times New Roman" w:hint="cs"/>
          <w:bCs/>
          <w:rtl/>
        </w:rPr>
        <w:t xml:space="preserve"> المخالفة الخامسة اقرار المشركين بأنّ الله تعالى في السماء وهذا لا يكفي لإثبات الإيمان والتوحيد للمسلم</w:t>
      </w:r>
      <w:r w:rsidR="00DB731D" w:rsidRPr="00A52585">
        <w:rPr>
          <w:rFonts w:eastAsia="Times New Roman" w:hint="cs"/>
          <w:rtl/>
        </w:rPr>
        <w:t>،</w:t>
      </w:r>
      <w:r w:rsidR="00777DCB" w:rsidRPr="00A52585">
        <w:rPr>
          <w:rFonts w:eastAsia="Times New Roman" w:hint="cs"/>
          <w:rtl/>
        </w:rPr>
        <w:t xml:space="preserve"> فالمشركون كانوا</w:t>
      </w:r>
      <w:r w:rsidR="00777DCB" w:rsidRPr="00A52585">
        <w:rPr>
          <w:rFonts w:eastAsia="Times New Roman" w:hint="cs"/>
        </w:rPr>
        <w:t xml:space="preserve"> </w:t>
      </w:r>
      <w:r w:rsidR="00777DCB" w:rsidRPr="00A52585">
        <w:rPr>
          <w:rFonts w:eastAsia="Times New Roman" w:hint="cs"/>
          <w:rtl/>
        </w:rPr>
        <w:t>يقرون بأن الله تعالى في السماء فلا يكون جواب الجارية كافياً في الدلالة على</w:t>
      </w:r>
      <w:r w:rsidR="00777DCB" w:rsidRPr="00A52585">
        <w:rPr>
          <w:rFonts w:eastAsia="Times New Roman" w:hint="cs"/>
        </w:rPr>
        <w:t xml:space="preserve"> </w:t>
      </w:r>
      <w:r w:rsidR="00777DCB" w:rsidRPr="00A52585">
        <w:rPr>
          <w:rFonts w:eastAsia="Times New Roman" w:hint="cs"/>
          <w:rtl/>
        </w:rPr>
        <w:t>التوحيد، ويدل على ذلك ما أخرجه الترمذي بسنده عن عمران بن</w:t>
      </w:r>
      <w:r w:rsidR="00777DCB" w:rsidRPr="00A52585">
        <w:rPr>
          <w:rFonts w:eastAsia="Times New Roman" w:hint="cs"/>
        </w:rPr>
        <w:t xml:space="preserve"> </w:t>
      </w:r>
      <w:r w:rsidR="00777DCB" w:rsidRPr="00A52585">
        <w:rPr>
          <w:rFonts w:eastAsia="Times New Roman" w:hint="cs"/>
          <w:rtl/>
        </w:rPr>
        <w:t>حصين قال</w:t>
      </w:r>
      <w:r w:rsidRPr="00A52585">
        <w:rPr>
          <w:rFonts w:eastAsia="Times New Roman" w:hint="cs"/>
          <w:rtl/>
        </w:rPr>
        <w:t>:</w:t>
      </w:r>
      <w:r w:rsidR="00777DCB" w:rsidRPr="00A52585">
        <w:rPr>
          <w:rFonts w:eastAsia="Times New Roman" w:hint="cs"/>
          <w:rtl/>
        </w:rPr>
        <w:t xml:space="preserve"> قال النبي صلى الله عليه وسلم لأبي</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يا حصين كم تعبد اليوم إلاهاً</w:t>
      </w:r>
      <w:r w:rsidR="00F95886" w:rsidRPr="00A52585">
        <w:rPr>
          <w:rFonts w:eastAsia="Times New Roman" w:hint="cs"/>
          <w:rtl/>
        </w:rPr>
        <w:t>؟</w:t>
      </w:r>
      <w:r w:rsidR="00777DCB" w:rsidRPr="00A52585">
        <w:rPr>
          <w:rFonts w:eastAsia="Times New Roman" w:hint="cs"/>
          <w:rtl/>
        </w:rPr>
        <w:t xml:space="preserve"> قال</w:t>
      </w:r>
      <w:r w:rsidR="00777DCB" w:rsidRPr="00A52585">
        <w:rPr>
          <w:rFonts w:eastAsia="Times New Roman" w:hint="cs"/>
        </w:rPr>
        <w:t xml:space="preserve"> </w:t>
      </w:r>
      <w:r w:rsidR="00777DCB" w:rsidRPr="00A52585">
        <w:rPr>
          <w:rFonts w:eastAsia="Times New Roman" w:hint="cs"/>
          <w:rtl/>
        </w:rPr>
        <w:t>أبي</w:t>
      </w:r>
      <w:r w:rsidRPr="00A52585">
        <w:rPr>
          <w:rFonts w:eastAsia="Times New Roman" w:hint="cs"/>
          <w:rtl/>
        </w:rPr>
        <w:t>:</w:t>
      </w:r>
      <w:r w:rsidR="00777DCB" w:rsidRPr="00A52585">
        <w:rPr>
          <w:rFonts w:eastAsia="Times New Roman" w:hint="cs"/>
          <w:rtl/>
        </w:rPr>
        <w:t xml:space="preserve"> سبعة</w:t>
      </w:r>
      <w:r w:rsidR="00DB731D" w:rsidRPr="00A52585">
        <w:rPr>
          <w:rFonts w:eastAsia="Times New Roman" w:hint="cs"/>
          <w:rtl/>
        </w:rPr>
        <w:t>،</w:t>
      </w:r>
      <w:r w:rsidR="00777DCB" w:rsidRPr="00A52585">
        <w:rPr>
          <w:rFonts w:eastAsia="Times New Roman" w:hint="cs"/>
          <w:rtl/>
        </w:rPr>
        <w:t xml:space="preserve"> ستةً في الأرض وواحداً في السماء. قال: فأيهم تعد لرغبتك ورهبتك؟ قال</w:t>
      </w:r>
      <w:r w:rsidR="00777DCB" w:rsidRPr="00A52585">
        <w:rPr>
          <w:rFonts w:eastAsia="Times New Roman" w:hint="cs"/>
        </w:rPr>
        <w:t xml:space="preserve"> </w:t>
      </w:r>
      <w:r w:rsidR="00777DCB" w:rsidRPr="00A52585">
        <w:rPr>
          <w:rFonts w:eastAsia="Times New Roman" w:hint="cs"/>
          <w:rtl/>
        </w:rPr>
        <w:t>الذي في السماء</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سنن الترمذي</w:t>
      </w:r>
      <w:r w:rsidRPr="00A52585">
        <w:rPr>
          <w:rFonts w:eastAsia="Times New Roman" w:hint="cs"/>
          <w:rtl/>
        </w:rPr>
        <w:t>:</w:t>
      </w:r>
      <w:r w:rsidR="00777DCB" w:rsidRPr="00A52585">
        <w:rPr>
          <w:rFonts w:eastAsia="Times New Roman" w:hint="cs"/>
          <w:rtl/>
        </w:rPr>
        <w:t xml:space="preserve"> ح 3483</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w:t>
      </w:r>
    </w:p>
    <w:p w14:paraId="4C95DD53" w14:textId="2EC5361B" w:rsidR="00777DCB" w:rsidRPr="00A52585" w:rsidRDefault="0002035C" w:rsidP="0002035C">
      <w:pPr>
        <w:rPr>
          <w:rFonts w:eastAsia="Times New Roman"/>
          <w:b/>
          <w:rtl/>
        </w:rPr>
      </w:pPr>
      <w:r w:rsidRPr="00A52585">
        <w:rPr>
          <w:rFonts w:eastAsia="Times New Roman" w:hint="cs"/>
          <w:bCs/>
          <w:rtl/>
        </w:rPr>
        <w:t>(</w:t>
      </w:r>
      <w:r w:rsidR="00777DCB" w:rsidRPr="00A52585">
        <w:rPr>
          <w:rFonts w:eastAsia="Times New Roman" w:hint="cs"/>
          <w:bCs/>
          <w:rtl/>
        </w:rPr>
        <w:t>10</w:t>
      </w:r>
      <w:r w:rsidRPr="00A52585">
        <w:rPr>
          <w:rFonts w:eastAsia="Times New Roman" w:hint="cs"/>
          <w:bCs/>
          <w:rtl/>
        </w:rPr>
        <w:t>)</w:t>
      </w:r>
      <w:r w:rsidR="00777DCB" w:rsidRPr="00A52585">
        <w:rPr>
          <w:rFonts w:eastAsia="Times New Roman" w:hint="cs"/>
          <w:bCs/>
          <w:rtl/>
        </w:rPr>
        <w:t xml:space="preserve"> المخالفة السادسة الأدلة القطعية على تنزيه الله تعالى عن المكان</w:t>
      </w:r>
      <w:r w:rsidR="00DB731D" w:rsidRPr="00A52585">
        <w:rPr>
          <w:rFonts w:eastAsia="Times New Roman" w:hint="cs"/>
          <w:bCs/>
          <w:rtl/>
        </w:rPr>
        <w:t>،</w:t>
      </w:r>
      <w:r w:rsidRPr="00A52585">
        <w:rPr>
          <w:rFonts w:eastAsia="Times New Roman" w:hint="cs"/>
          <w:bCs/>
          <w:rtl/>
        </w:rPr>
        <w:t xml:space="preserve"> </w:t>
      </w:r>
      <w:r w:rsidR="00777DCB" w:rsidRPr="00A52585">
        <w:rPr>
          <w:rFonts w:eastAsia="Times New Roman" w:hint="cs"/>
          <w:rtl/>
        </w:rPr>
        <w:t xml:space="preserve">ومن تلك الأدلة </w:t>
      </w:r>
      <w:r w:rsidR="00777DCB" w:rsidRPr="00A52585">
        <w:rPr>
          <w:rFonts w:hint="cs"/>
          <w:rtl/>
          <w:lang w:bidi="ar-KW"/>
        </w:rPr>
        <w:t>قول الله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هُوَ الْأَوَّلُ وَالْآخِرُ وَالظَّاهِرُ وَالْبَاطِنُ وَهُوَ بِكُلِّ شَيْءٍ عَلِيمٌ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3</w:t>
      </w:r>
      <w:r w:rsidRPr="00A52585">
        <w:rPr>
          <w:rFonts w:hint="cs"/>
          <w:rtl/>
        </w:rPr>
        <w:t>}</w:t>
      </w:r>
      <w:r w:rsidR="00DB731D" w:rsidRPr="00A52585">
        <w:rPr>
          <w:rFonts w:hint="cs"/>
          <w:rtl/>
        </w:rPr>
        <w:t>،</w:t>
      </w:r>
      <w:r w:rsidR="00777DCB" w:rsidRPr="00A52585">
        <w:rPr>
          <w:rFonts w:hint="cs"/>
          <w:rtl/>
          <w:lang w:bidi="ar-KW"/>
        </w:rPr>
        <w:t xml:space="preserve"> مع قوله </w:t>
      </w:r>
      <w:r w:rsidR="00777DCB" w:rsidRPr="00A52585">
        <w:rPr>
          <w:rFonts w:hint="cs"/>
          <w:rtl/>
        </w:rPr>
        <w:t xml:space="preserve">صلى </w:t>
      </w:r>
      <w:r w:rsidR="00777DCB" w:rsidRPr="00A52585">
        <w:rPr>
          <w:rFonts w:hint="cs"/>
          <w:rtl/>
          <w:lang w:bidi="ar-KW"/>
        </w:rPr>
        <w:t>الله عليه وسلم: (</w:t>
      </w:r>
      <w:r w:rsidRPr="00A52585">
        <w:rPr>
          <w:rFonts w:hint="cs"/>
          <w:rtl/>
          <w:lang w:bidi="ar-KW"/>
        </w:rPr>
        <w:t>(</w:t>
      </w:r>
      <w:r w:rsidR="00777DCB" w:rsidRPr="00A52585">
        <w:rPr>
          <w:rFonts w:hint="cs"/>
          <w:rtl/>
          <w:lang w:bidi="ar-KW"/>
        </w:rPr>
        <w:t xml:space="preserve">اللهم أنت الأوَّلُ فليس قبلَك </w:t>
      </w:r>
      <w:proofErr w:type="spellStart"/>
      <w:r w:rsidR="00777DCB" w:rsidRPr="00A52585">
        <w:rPr>
          <w:rFonts w:hint="cs"/>
          <w:rtl/>
          <w:lang w:bidi="ar-KW"/>
        </w:rPr>
        <w:t>شىءٌ</w:t>
      </w:r>
      <w:proofErr w:type="spellEnd"/>
      <w:r w:rsidR="00777DCB" w:rsidRPr="00A52585">
        <w:rPr>
          <w:rFonts w:hint="cs"/>
          <w:rtl/>
          <w:lang w:bidi="ar-KW"/>
        </w:rPr>
        <w:t xml:space="preserve">، وأنت الآخِر فليس بعدَك </w:t>
      </w:r>
      <w:proofErr w:type="spellStart"/>
      <w:r w:rsidR="00777DCB" w:rsidRPr="00A52585">
        <w:rPr>
          <w:rFonts w:hint="cs"/>
          <w:rtl/>
          <w:lang w:bidi="ar-KW"/>
        </w:rPr>
        <w:t>شىءٌ</w:t>
      </w:r>
      <w:proofErr w:type="spellEnd"/>
      <w:r w:rsidR="00777DCB" w:rsidRPr="00A52585">
        <w:rPr>
          <w:rFonts w:hint="cs"/>
          <w:rtl/>
          <w:lang w:bidi="ar-KW"/>
        </w:rPr>
        <w:t>، وأنت الظاهرُ فليس فوقَكَ شيء، وأنت الباطن فليس دونَك شيء))</w:t>
      </w:r>
      <w:r w:rsidRPr="00A52585">
        <w:rPr>
          <w:rFonts w:hint="cs"/>
          <w:rtl/>
          <w:lang w:bidi="ar-KW"/>
        </w:rPr>
        <w:t xml:space="preserve"> [</w:t>
      </w:r>
      <w:r w:rsidR="00777DCB" w:rsidRPr="00A52585">
        <w:rPr>
          <w:rFonts w:hint="cs"/>
          <w:rtl/>
          <w:lang w:bidi="ar-KW"/>
        </w:rPr>
        <w:t>أخرجه مسلم]</w:t>
      </w:r>
      <w:r w:rsidR="00DB731D" w:rsidRPr="00A52585">
        <w:rPr>
          <w:rFonts w:hint="cs"/>
          <w:rtl/>
          <w:lang w:bidi="ar-KW"/>
        </w:rPr>
        <w:t>،</w:t>
      </w:r>
      <w:r w:rsidR="00777DCB" w:rsidRPr="00A52585">
        <w:rPr>
          <w:rFonts w:hint="cs"/>
          <w:rtl/>
          <w:lang w:bidi="ar-KW"/>
        </w:rPr>
        <w:t xml:space="preserve"> وقوله صلى الله عليه وسلم</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كان الله ولم يكن شيء غيره</w:t>
      </w:r>
      <w:r w:rsidRPr="00A52585">
        <w:rPr>
          <w:rFonts w:hint="cs"/>
          <w:rtl/>
          <w:lang w:bidi="ar-KW"/>
        </w:rPr>
        <w:t>)</w:t>
      </w:r>
      <w:r w:rsidR="00777DCB" w:rsidRPr="00A52585">
        <w:rPr>
          <w:rFonts w:hint="cs"/>
          <w:rtl/>
          <w:lang w:bidi="ar-KW"/>
        </w:rPr>
        <w:t>)</w:t>
      </w:r>
      <w:r w:rsidRPr="00A52585">
        <w:rPr>
          <w:rFonts w:hint="cs"/>
          <w:rtl/>
          <w:lang w:bidi="ar-KW"/>
        </w:rPr>
        <w:t xml:space="preserve"> [</w:t>
      </w:r>
      <w:r w:rsidR="00777DCB" w:rsidRPr="00A52585">
        <w:rPr>
          <w:rFonts w:hint="cs"/>
          <w:rtl/>
          <w:lang w:bidi="ar-KW"/>
        </w:rPr>
        <w:t xml:space="preserve">البخاري </w:t>
      </w:r>
      <w:r w:rsidRPr="00A52585">
        <w:rPr>
          <w:rFonts w:hint="cs"/>
          <w:rtl/>
          <w:lang w:bidi="ar-KW"/>
        </w:rPr>
        <w:t>(</w:t>
      </w:r>
      <w:r w:rsidR="00777DCB" w:rsidRPr="00A52585">
        <w:rPr>
          <w:rFonts w:hint="cs"/>
          <w:rtl/>
          <w:lang w:bidi="ar-KW"/>
        </w:rPr>
        <w:t>3020</w:t>
      </w:r>
      <w:r w:rsidRPr="00A52585">
        <w:rPr>
          <w:rFonts w:hint="cs"/>
          <w:rtl/>
          <w:lang w:bidi="ar-KW"/>
        </w:rPr>
        <w:t>)]</w:t>
      </w:r>
      <w:r w:rsidR="00DB731D" w:rsidRPr="00A52585">
        <w:rPr>
          <w:rFonts w:hint="cs"/>
          <w:rtl/>
          <w:lang w:bidi="ar-KW"/>
        </w:rPr>
        <w:t>،</w:t>
      </w:r>
      <w:r w:rsidR="00777DCB" w:rsidRPr="00A52585">
        <w:rPr>
          <w:rFonts w:hint="cs"/>
          <w:rtl/>
          <w:lang w:bidi="ar-KW"/>
        </w:rPr>
        <w:t xml:space="preserve"> نعلم يقيناً أن الله تعالى له الكمال المطلق في وجود ذاته سبحانه</w:t>
      </w:r>
      <w:r w:rsidR="00DB731D" w:rsidRPr="00A52585">
        <w:rPr>
          <w:rFonts w:hint="cs"/>
          <w:rtl/>
          <w:lang w:bidi="ar-KW"/>
        </w:rPr>
        <w:t>،</w:t>
      </w:r>
      <w:r w:rsidR="00777DCB" w:rsidRPr="00A52585">
        <w:rPr>
          <w:rFonts w:hint="cs"/>
          <w:rtl/>
          <w:lang w:bidi="ar-KW"/>
        </w:rPr>
        <w:t xml:space="preserve"> كمال فوق الوجود الزماني</w:t>
      </w:r>
      <w:r w:rsidR="00DB731D" w:rsidRPr="00A52585">
        <w:rPr>
          <w:rFonts w:hint="cs"/>
          <w:rtl/>
          <w:lang w:bidi="ar-KW"/>
        </w:rPr>
        <w:t>،</w:t>
      </w:r>
      <w:r w:rsidR="00777DCB" w:rsidRPr="00A52585">
        <w:rPr>
          <w:rFonts w:hint="cs"/>
          <w:rtl/>
          <w:lang w:bidi="ar-KW"/>
        </w:rPr>
        <w:t xml:space="preserve"> وكمال فوق الوجود المكاني</w:t>
      </w:r>
      <w:r w:rsidR="00DB731D" w:rsidRPr="00A52585">
        <w:rPr>
          <w:rFonts w:hint="cs"/>
          <w:rtl/>
          <w:lang w:bidi="ar-KW"/>
        </w:rPr>
        <w:t>،</w:t>
      </w:r>
      <w:r w:rsidR="00777DCB" w:rsidRPr="00A52585">
        <w:rPr>
          <w:rFonts w:hint="cs"/>
          <w:rtl/>
          <w:lang w:bidi="ar-KW"/>
        </w:rPr>
        <w:t xml:space="preserve"> ليس كمثله شيء وليس كمثل وجوده وجود</w:t>
      </w:r>
      <w:r w:rsidR="00DB731D" w:rsidRPr="00A52585">
        <w:rPr>
          <w:rFonts w:hint="cs"/>
          <w:rtl/>
          <w:lang w:bidi="ar-KW"/>
        </w:rPr>
        <w:t>،</w:t>
      </w:r>
      <w:r w:rsidR="00777DCB" w:rsidRPr="00A52585">
        <w:rPr>
          <w:rFonts w:hint="cs"/>
          <w:rtl/>
          <w:lang w:bidi="ar-KW"/>
        </w:rPr>
        <w:t xml:space="preserve"> له كمال الوجود الأعلى من الزمان</w:t>
      </w:r>
      <w:r w:rsidR="00DB731D" w:rsidRPr="00A52585">
        <w:rPr>
          <w:rFonts w:hint="cs"/>
          <w:rtl/>
          <w:lang w:bidi="ar-KW"/>
        </w:rPr>
        <w:t>،</w:t>
      </w:r>
      <w:r w:rsidR="00777DCB" w:rsidRPr="00A52585">
        <w:rPr>
          <w:rFonts w:hint="cs"/>
          <w:rtl/>
          <w:lang w:bidi="ar-KW"/>
        </w:rPr>
        <w:t xml:space="preserve"> إذ هو الأول بلا ابتداء</w:t>
      </w:r>
      <w:r w:rsidR="00DB731D" w:rsidRPr="00A52585">
        <w:rPr>
          <w:rFonts w:hint="cs"/>
          <w:rtl/>
          <w:lang w:bidi="ar-KW"/>
        </w:rPr>
        <w:t>،</w:t>
      </w:r>
      <w:r w:rsidR="00777DCB" w:rsidRPr="00A52585">
        <w:rPr>
          <w:rFonts w:hint="cs"/>
          <w:rtl/>
          <w:lang w:bidi="ar-KW"/>
        </w:rPr>
        <w:t xml:space="preserve"> وهو الآخر بلا انتهاء</w:t>
      </w:r>
      <w:r w:rsidR="00DB731D" w:rsidRPr="00A52585">
        <w:rPr>
          <w:rFonts w:hint="cs"/>
          <w:rtl/>
          <w:lang w:bidi="ar-KW"/>
        </w:rPr>
        <w:t>،</w:t>
      </w:r>
      <w:r w:rsidR="00777DCB" w:rsidRPr="00A52585">
        <w:rPr>
          <w:rFonts w:hint="cs"/>
          <w:rtl/>
          <w:lang w:bidi="ar-KW"/>
        </w:rPr>
        <w:t xml:space="preserve"> فوجوده قبل الزمان</w:t>
      </w:r>
      <w:r w:rsidR="00DB731D" w:rsidRPr="00A52585">
        <w:rPr>
          <w:rFonts w:hint="cs"/>
          <w:rtl/>
          <w:lang w:bidi="ar-KW"/>
        </w:rPr>
        <w:t>،</w:t>
      </w:r>
      <w:r w:rsidR="00777DCB" w:rsidRPr="00A52585">
        <w:rPr>
          <w:rFonts w:hint="cs"/>
          <w:rtl/>
          <w:lang w:bidi="ar-KW"/>
        </w:rPr>
        <w:t xml:space="preserve"> إذ هو خالق الزمان</w:t>
      </w:r>
      <w:r w:rsidR="00DB731D" w:rsidRPr="00A52585">
        <w:rPr>
          <w:rFonts w:hint="cs"/>
          <w:rtl/>
          <w:lang w:bidi="ar-KW"/>
        </w:rPr>
        <w:t>،</w:t>
      </w:r>
      <w:r w:rsidR="00777DCB" w:rsidRPr="00A52585">
        <w:rPr>
          <w:rFonts w:hint="cs"/>
          <w:rtl/>
          <w:lang w:bidi="ar-KW"/>
        </w:rPr>
        <w:t xml:space="preserve"> فلا يجري عليه زمان</w:t>
      </w:r>
      <w:r w:rsidR="00DB731D" w:rsidRPr="00A52585">
        <w:rPr>
          <w:rFonts w:hint="cs"/>
          <w:rtl/>
          <w:lang w:bidi="ar-KW"/>
        </w:rPr>
        <w:t>،</w:t>
      </w:r>
      <w:r w:rsidR="00777DCB" w:rsidRPr="00A52585">
        <w:rPr>
          <w:rFonts w:hint="cs"/>
          <w:rtl/>
          <w:lang w:bidi="ar-KW"/>
        </w:rPr>
        <w:t xml:space="preserve"> وله كمال الوجود الاعلى من المكان</w:t>
      </w:r>
      <w:r w:rsidR="00DB731D" w:rsidRPr="00A52585">
        <w:rPr>
          <w:rFonts w:hint="cs"/>
          <w:rtl/>
          <w:lang w:bidi="ar-KW"/>
        </w:rPr>
        <w:t>،</w:t>
      </w:r>
      <w:r w:rsidR="00777DCB" w:rsidRPr="00A52585">
        <w:rPr>
          <w:rFonts w:hint="cs"/>
          <w:rtl/>
          <w:lang w:bidi="ar-KW"/>
        </w:rPr>
        <w:t xml:space="preserve"> إذ هو الظاهر فليس فوقه شيء</w:t>
      </w:r>
      <w:r w:rsidR="00DB731D" w:rsidRPr="00A52585">
        <w:rPr>
          <w:rFonts w:hint="cs"/>
          <w:rtl/>
          <w:lang w:bidi="ar-KW"/>
        </w:rPr>
        <w:t>،</w:t>
      </w:r>
      <w:r w:rsidR="00777DCB" w:rsidRPr="00A52585">
        <w:rPr>
          <w:rFonts w:hint="cs"/>
          <w:rtl/>
          <w:lang w:bidi="ar-KW"/>
        </w:rPr>
        <w:t xml:space="preserve"> وهو الباطن فليس دونه شيء</w:t>
      </w:r>
      <w:r w:rsidR="00DB731D" w:rsidRPr="00A52585">
        <w:rPr>
          <w:rFonts w:hint="cs"/>
          <w:rtl/>
          <w:lang w:bidi="ar-KW"/>
        </w:rPr>
        <w:t>،</w:t>
      </w:r>
      <w:r w:rsidR="00777DCB" w:rsidRPr="00A52585">
        <w:rPr>
          <w:rFonts w:hint="cs"/>
          <w:rtl/>
          <w:lang w:bidi="ar-KW"/>
        </w:rPr>
        <w:t xml:space="preserve"> فوجوده قبل المكان</w:t>
      </w:r>
      <w:r w:rsidR="00DB731D" w:rsidRPr="00A52585">
        <w:rPr>
          <w:rFonts w:hint="cs"/>
          <w:rtl/>
          <w:lang w:bidi="ar-KW"/>
        </w:rPr>
        <w:t>،</w:t>
      </w:r>
      <w:r w:rsidR="00777DCB" w:rsidRPr="00A52585">
        <w:rPr>
          <w:rFonts w:hint="cs"/>
          <w:rtl/>
          <w:lang w:bidi="ar-KW"/>
        </w:rPr>
        <w:t xml:space="preserve"> إذ هو خالق المكان</w:t>
      </w:r>
      <w:r w:rsidR="00DB731D" w:rsidRPr="00A52585">
        <w:rPr>
          <w:rFonts w:hint="cs"/>
          <w:rtl/>
          <w:lang w:bidi="ar-KW"/>
        </w:rPr>
        <w:t>،</w:t>
      </w:r>
      <w:r w:rsidR="00777DCB" w:rsidRPr="00A52585">
        <w:rPr>
          <w:rFonts w:hint="cs"/>
          <w:rtl/>
          <w:lang w:bidi="ar-KW"/>
        </w:rPr>
        <w:t xml:space="preserve"> فكيف </w:t>
      </w:r>
      <w:proofErr w:type="spellStart"/>
      <w:r w:rsidR="00777DCB" w:rsidRPr="00A52585">
        <w:rPr>
          <w:rFonts w:hint="cs"/>
          <w:rtl/>
          <w:lang w:bidi="ar-KW"/>
        </w:rPr>
        <w:t>يحويه</w:t>
      </w:r>
      <w:proofErr w:type="spellEnd"/>
      <w:r w:rsidR="00777DCB" w:rsidRPr="00A52585">
        <w:rPr>
          <w:rFonts w:hint="cs"/>
          <w:rtl/>
          <w:lang w:bidi="ar-KW"/>
        </w:rPr>
        <w:t xml:space="preserve"> المكان وهو بكل شيء محيط</w:t>
      </w:r>
      <w:r w:rsidR="00DB731D" w:rsidRPr="00A52585">
        <w:rPr>
          <w:rFonts w:hint="cs"/>
          <w:rtl/>
          <w:lang w:bidi="ar-KW"/>
        </w:rPr>
        <w:t>،</w:t>
      </w:r>
      <w:r w:rsidR="00777DCB" w:rsidRPr="00A52585">
        <w:rPr>
          <w:rFonts w:hint="cs"/>
          <w:rtl/>
          <w:lang w:bidi="ar-KW"/>
        </w:rPr>
        <w:t xml:space="preserve"> </w:t>
      </w:r>
      <w:r w:rsidR="00777DCB" w:rsidRPr="00A52585">
        <w:rPr>
          <w:rFonts w:hint="cs"/>
          <w:rtl/>
        </w:rPr>
        <w:t xml:space="preserve">وإذا لم يكن قبل </w:t>
      </w:r>
      <w:r w:rsidRPr="00A52585">
        <w:rPr>
          <w:rFonts w:hint="cs"/>
          <w:rtl/>
        </w:rPr>
        <w:t>[</w:t>
      </w:r>
      <w:r w:rsidR="00777DCB" w:rsidRPr="00A52585">
        <w:rPr>
          <w:rFonts w:hint="cs"/>
          <w:rtl/>
        </w:rPr>
        <w:t>الله</w:t>
      </w:r>
      <w:r w:rsidRPr="00A52585">
        <w:rPr>
          <w:rFonts w:hint="cs"/>
          <w:rtl/>
        </w:rPr>
        <w:t>]</w:t>
      </w:r>
      <w:r w:rsidR="00777DCB" w:rsidRPr="00A52585">
        <w:rPr>
          <w:rFonts w:hint="cs"/>
          <w:rtl/>
        </w:rPr>
        <w:t xml:space="preserve"> شيء ولا بعده شيء ولا فوقه شيء ولا دونه شيء</w:t>
      </w:r>
      <w:r w:rsidR="00DB731D" w:rsidRPr="00A52585">
        <w:rPr>
          <w:rFonts w:hint="cs"/>
          <w:rtl/>
        </w:rPr>
        <w:t>،</w:t>
      </w:r>
      <w:r w:rsidR="00777DCB" w:rsidRPr="00A52585">
        <w:rPr>
          <w:rFonts w:hint="cs"/>
          <w:rtl/>
        </w:rPr>
        <w:t xml:space="preserve"> وهو بكل شيء محيط</w:t>
      </w:r>
      <w:r w:rsidR="00DB731D" w:rsidRPr="00A52585">
        <w:rPr>
          <w:rFonts w:hint="cs"/>
          <w:rtl/>
        </w:rPr>
        <w:t>،</w:t>
      </w:r>
      <w:r w:rsidR="00777DCB" w:rsidRPr="00A52585">
        <w:rPr>
          <w:rFonts w:hint="cs"/>
          <w:rtl/>
        </w:rPr>
        <w:t xml:space="preserve"> لم يكن له شبيه ولا مثيل في وجود ذاته</w:t>
      </w:r>
      <w:r w:rsidR="00DB731D" w:rsidRPr="00A52585">
        <w:rPr>
          <w:rFonts w:hint="cs"/>
          <w:rtl/>
        </w:rPr>
        <w:t>،</w:t>
      </w:r>
      <w:r w:rsidRPr="00A52585">
        <w:rPr>
          <w:rFonts w:hint="cs"/>
          <w:rtl/>
        </w:rPr>
        <w:t xml:space="preserve"> </w:t>
      </w:r>
      <w:r w:rsidR="00777DCB" w:rsidRPr="00A52585">
        <w:rPr>
          <w:rFonts w:hint="cs"/>
          <w:rtl/>
        </w:rPr>
        <w:t>وعلى ذلك</w:t>
      </w:r>
      <w:r w:rsidRPr="00A52585">
        <w:rPr>
          <w:rFonts w:hint="cs"/>
          <w:rtl/>
        </w:rPr>
        <w:t>:</w:t>
      </w:r>
      <w:r w:rsidR="00777DCB" w:rsidRPr="00A52585">
        <w:rPr>
          <w:rFonts w:hint="cs"/>
          <w:rtl/>
        </w:rPr>
        <w:t xml:space="preserve"> فالله موجود ولكن وجوده تعالى ليس كمثله شيء ولا له كفء ولا شبيه وليس له مثال يقاس عليه</w:t>
      </w:r>
      <w:r w:rsidR="00DB731D" w:rsidRPr="00A52585">
        <w:rPr>
          <w:rFonts w:hint="cs"/>
          <w:rtl/>
        </w:rPr>
        <w:t>،</w:t>
      </w:r>
      <w:r w:rsidR="00777DCB" w:rsidRPr="00A52585">
        <w:rPr>
          <w:rFonts w:hint="cs"/>
          <w:rtl/>
        </w:rPr>
        <w:t xml:space="preserve"> </w:t>
      </w:r>
      <w:r w:rsidR="00777DCB" w:rsidRPr="00A52585">
        <w:rPr>
          <w:rFonts w:hint="cs"/>
          <w:rtl/>
          <w:lang w:bidi="ar-KW"/>
        </w:rPr>
        <w:t xml:space="preserve">وعلى ذلك فإن لله تعالى كمال الوجود المطلق المنزه عن المكان فلا </w:t>
      </w:r>
      <w:proofErr w:type="spellStart"/>
      <w:r w:rsidR="00777DCB" w:rsidRPr="00A52585">
        <w:rPr>
          <w:rFonts w:hint="cs"/>
          <w:rtl/>
          <w:lang w:bidi="ar-KW"/>
        </w:rPr>
        <w:t>يحويه</w:t>
      </w:r>
      <w:proofErr w:type="spellEnd"/>
      <w:r w:rsidR="00777DCB" w:rsidRPr="00A52585">
        <w:rPr>
          <w:rFonts w:hint="cs"/>
          <w:rtl/>
          <w:lang w:bidi="ar-KW"/>
        </w:rPr>
        <w:t xml:space="preserve"> مكان</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ب</w:t>
      </w:r>
      <w:r w:rsidRPr="00A52585">
        <w:rPr>
          <w:rFonts w:hint="cs"/>
          <w:rtl/>
          <w:lang w:bidi="ar-KW"/>
        </w:rPr>
        <w:t>)</w:t>
      </w:r>
      <w:r w:rsidR="00777DCB" w:rsidRPr="00A52585">
        <w:rPr>
          <w:rFonts w:hint="cs"/>
          <w:rtl/>
          <w:lang w:bidi="ar-KW"/>
        </w:rPr>
        <w:t xml:space="preserve"> كل موجود سوى الله تعالى مخلوق حادث</w:t>
      </w:r>
      <w:r w:rsidR="00DB731D" w:rsidRPr="00A52585">
        <w:rPr>
          <w:rFonts w:hint="cs"/>
          <w:rtl/>
          <w:lang w:bidi="ar-KW"/>
        </w:rPr>
        <w:t>،</w:t>
      </w:r>
      <w:r w:rsidR="00777DCB" w:rsidRPr="00A52585">
        <w:rPr>
          <w:rFonts w:hint="cs"/>
          <w:rtl/>
          <w:lang w:bidi="ar-KW"/>
        </w:rPr>
        <w:t xml:space="preserve"> كان قبل خلقه عدما</w:t>
      </w:r>
      <w:r w:rsidRPr="00A52585">
        <w:rPr>
          <w:rFonts w:hint="cs"/>
          <w:rtl/>
          <w:lang w:bidi="ar-KW"/>
        </w:rPr>
        <w:t xml:space="preserve"> </w:t>
      </w:r>
      <w:r w:rsidR="00777DCB" w:rsidRPr="00A52585">
        <w:rPr>
          <w:rFonts w:hint="cs"/>
          <w:rtl/>
          <w:lang w:bidi="ar-KW"/>
        </w:rPr>
        <w:t>ثم خلقه الله بقدرته ومشيئته</w:t>
      </w:r>
      <w:r w:rsidR="00DB731D" w:rsidRPr="00A52585">
        <w:rPr>
          <w:rFonts w:hint="cs"/>
          <w:rtl/>
          <w:lang w:bidi="ar-KW"/>
        </w:rPr>
        <w:t>،</w:t>
      </w:r>
      <w:r w:rsidR="00777DCB" w:rsidRPr="00A52585">
        <w:rPr>
          <w:rFonts w:hint="cs"/>
          <w:rtl/>
          <w:lang w:bidi="ar-KW"/>
        </w:rPr>
        <w:t xml:space="preserve"> وكل مخلوق حادث تحكمه قوانين الوجود من الكون في مكان وأنه لابد وان يجري عليه زمان</w:t>
      </w:r>
      <w:r w:rsidR="00DB731D" w:rsidRPr="00A52585">
        <w:rPr>
          <w:rFonts w:hint="cs"/>
          <w:rtl/>
          <w:lang w:bidi="ar-KW"/>
        </w:rPr>
        <w:t>،</w:t>
      </w:r>
      <w:r w:rsidR="00777DCB" w:rsidRPr="00A52585">
        <w:rPr>
          <w:rFonts w:hint="cs"/>
          <w:rtl/>
          <w:lang w:bidi="ar-KW"/>
        </w:rPr>
        <w:t xml:space="preserve"> فليس مخلوق إلا محتاج إلى مكان </w:t>
      </w:r>
      <w:proofErr w:type="spellStart"/>
      <w:r w:rsidR="00777DCB" w:rsidRPr="00A52585">
        <w:rPr>
          <w:rFonts w:hint="cs"/>
          <w:rtl/>
          <w:lang w:bidi="ar-KW"/>
        </w:rPr>
        <w:t>يحيزه</w:t>
      </w:r>
      <w:proofErr w:type="spellEnd"/>
      <w:r w:rsidR="00777DCB" w:rsidRPr="00A52585">
        <w:rPr>
          <w:rFonts w:hint="cs"/>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ت</w:t>
      </w:r>
      <w:r w:rsidRPr="00A52585">
        <w:rPr>
          <w:rFonts w:hint="cs"/>
          <w:rtl/>
          <w:lang w:bidi="ar-KW"/>
        </w:rPr>
        <w:t>)</w:t>
      </w:r>
      <w:r w:rsidR="00777DCB" w:rsidRPr="00A52585">
        <w:rPr>
          <w:rFonts w:hint="cs"/>
          <w:rtl/>
          <w:lang w:bidi="ar-KW"/>
        </w:rPr>
        <w:t xml:space="preserve"> أما الله عز وجل فهو الخالق لكل شيء في الوجود 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الله خالق كل شيء}</w:t>
      </w:r>
      <w:r w:rsidR="00DB731D" w:rsidRPr="00A52585">
        <w:rPr>
          <w:rFonts w:hint="cs"/>
          <w:rtl/>
          <w:lang w:bidi="ar-KW"/>
        </w:rPr>
        <w:t>،</w:t>
      </w:r>
      <w:r w:rsidR="00777DCB" w:rsidRPr="00A52585">
        <w:rPr>
          <w:rFonts w:hint="cs"/>
          <w:rtl/>
          <w:lang w:bidi="ar-KW"/>
        </w:rPr>
        <w:t xml:space="preserve"> وقال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هذا خلق الله فأروني ماذا خلق الذين من دونه</w:t>
      </w:r>
      <w:r w:rsidRPr="00A52585">
        <w:rPr>
          <w:rFonts w:hint="cs"/>
          <w:rtl/>
          <w:lang w:bidi="ar-KW"/>
        </w:rPr>
        <w:t>}</w:t>
      </w:r>
      <w:r w:rsidR="00DB731D" w:rsidRPr="00A52585">
        <w:rPr>
          <w:rFonts w:hint="cs"/>
          <w:rtl/>
          <w:lang w:bidi="ar-KW"/>
        </w:rPr>
        <w:t>،</w:t>
      </w:r>
      <w:r w:rsidRPr="00A52585">
        <w:rPr>
          <w:rFonts w:hint="cs"/>
          <w:rtl/>
          <w:lang w:bidi="ar-KW"/>
        </w:rPr>
        <w:t xml:space="preserve"> </w:t>
      </w:r>
      <w:r w:rsidR="00777DCB" w:rsidRPr="00A52585">
        <w:rPr>
          <w:rFonts w:hint="cs"/>
          <w:rtl/>
          <w:lang w:bidi="ar-KW"/>
        </w:rPr>
        <w:t xml:space="preserve">ومن </w:t>
      </w:r>
      <w:r w:rsidR="00777DCB" w:rsidRPr="00A52585">
        <w:rPr>
          <w:rFonts w:hint="cs"/>
          <w:rtl/>
          <w:lang w:bidi="ar-KW"/>
        </w:rPr>
        <w:lastRenderedPageBreak/>
        <w:t>جملة خلقه المكان والزمان</w:t>
      </w:r>
      <w:r w:rsidR="00DB731D" w:rsidRPr="00A52585">
        <w:rPr>
          <w:rFonts w:hint="cs"/>
          <w:rtl/>
          <w:lang w:bidi="ar-KW"/>
        </w:rPr>
        <w:t>،</w:t>
      </w:r>
      <w:r w:rsidR="00777DCB" w:rsidRPr="00A52585">
        <w:rPr>
          <w:rFonts w:hint="cs"/>
          <w:rtl/>
          <w:lang w:bidi="ar-KW"/>
        </w:rPr>
        <w:t xml:space="preserve"> فهل يحل الخالق في المخلوق</w:t>
      </w:r>
      <w:r w:rsidRPr="00A52585">
        <w:rPr>
          <w:rFonts w:hint="cs"/>
          <w:rtl/>
          <w:lang w:bidi="ar-KW"/>
        </w:rPr>
        <w:t xml:space="preserve"> </w:t>
      </w:r>
      <w:r w:rsidR="00777DCB" w:rsidRPr="00A52585">
        <w:rPr>
          <w:rFonts w:hint="cs"/>
          <w:rtl/>
          <w:lang w:bidi="ar-KW"/>
        </w:rPr>
        <w:t>أم هل تجري على الخالق قوانين المخلوق</w:t>
      </w:r>
      <w:r w:rsidR="00DB731D" w:rsidRPr="00A52585">
        <w:rPr>
          <w:rFonts w:hint="cs"/>
          <w:rtl/>
          <w:lang w:bidi="ar-KW"/>
        </w:rPr>
        <w:t>،</w:t>
      </w:r>
      <w:r w:rsidR="00777DCB" w:rsidRPr="00A52585">
        <w:rPr>
          <w:rFonts w:hint="cs"/>
          <w:rtl/>
          <w:lang w:bidi="ar-KW"/>
        </w:rPr>
        <w:t xml:space="preserve"> سبحانه كان قبل خلق المكان والزمان وهو على ما عليه كان</w:t>
      </w:r>
      <w:r w:rsidR="00DB731D" w:rsidRPr="00A52585">
        <w:rPr>
          <w:rFonts w:hint="cs"/>
          <w:rtl/>
          <w:lang w:bidi="ar-KW"/>
        </w:rPr>
        <w:t>،</w:t>
      </w:r>
      <w:r w:rsidR="00777DCB" w:rsidRPr="00A52585">
        <w:rPr>
          <w:rFonts w:hint="cs"/>
          <w:rtl/>
          <w:lang w:bidi="ar-KW"/>
        </w:rPr>
        <w:t xml:space="preserve"> منزه عن المكان تنزيه الخالق عن المخلوق</w:t>
      </w:r>
      <w:r w:rsidR="00DB731D" w:rsidRPr="00A52585">
        <w:rPr>
          <w:rFonts w:hint="cs"/>
          <w:rtl/>
          <w:lang w:bidi="ar-KW"/>
        </w:rPr>
        <w:t>،</w:t>
      </w:r>
      <w:r w:rsidR="00777DCB" w:rsidRPr="00A52585">
        <w:rPr>
          <w:rFonts w:hint="cs"/>
          <w:rtl/>
          <w:lang w:bidi="ar-KW"/>
        </w:rPr>
        <w:t xml:space="preserve"> ولا يجري عليه زمان تنزه سبحانه تنزيه الخالق أن تحكمه نواميس المخلوق</w:t>
      </w:r>
      <w:r w:rsidRPr="00A52585">
        <w:rPr>
          <w:rFonts w:hint="cs"/>
          <w:rtl/>
          <w:lang w:bidi="ar-KW"/>
        </w:rPr>
        <w:t xml:space="preserve"> </w:t>
      </w:r>
      <w:r w:rsidR="00777DCB" w:rsidRPr="00A52585">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ث</w:t>
      </w:r>
      <w:r w:rsidRPr="00A52585">
        <w:rPr>
          <w:rFonts w:hint="cs"/>
          <w:rtl/>
          <w:lang w:bidi="ar-KW"/>
        </w:rPr>
        <w:t>)</w:t>
      </w:r>
      <w:r w:rsidR="00777DCB" w:rsidRPr="00A52585">
        <w:rPr>
          <w:rFonts w:hint="cs"/>
          <w:rtl/>
          <w:lang w:bidi="ar-KW"/>
        </w:rPr>
        <w:t xml:space="preserve"> قوله تعالى </w:t>
      </w:r>
      <w:r w:rsidRPr="00A52585">
        <w:rPr>
          <w:rFonts w:hint="cs"/>
          <w:rtl/>
          <w:lang w:bidi="ar-KW"/>
        </w:rPr>
        <w:t>{</w:t>
      </w:r>
      <w:r w:rsidR="00777DCB" w:rsidRPr="00A52585">
        <w:rPr>
          <w:rFonts w:hint="cs"/>
          <w:rtl/>
          <w:lang w:bidi="ar-KW"/>
        </w:rPr>
        <w:t>قل لمن ما في السماوات والأرض * قل لله</w:t>
      </w:r>
      <w:r w:rsidRPr="00A52585">
        <w:rPr>
          <w:rFonts w:hint="cs"/>
          <w:rtl/>
          <w:lang w:bidi="ar-KW"/>
        </w:rPr>
        <w:t>}</w:t>
      </w:r>
      <w:r w:rsidR="00777DCB" w:rsidRPr="00A52585">
        <w:rPr>
          <w:rFonts w:hint="cs"/>
          <w:rtl/>
          <w:lang w:bidi="ar-KW"/>
        </w:rPr>
        <w:t xml:space="preserve"> مشعر بأن المكان وكل ما فيه ملكاً لله تعالى وقوله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وله ما سكن في الليل والنهار</w:t>
      </w:r>
      <w:r w:rsidRPr="00A52585">
        <w:rPr>
          <w:rFonts w:hint="cs"/>
          <w:rtl/>
          <w:lang w:bidi="ar-KW"/>
        </w:rPr>
        <w:t>}</w:t>
      </w:r>
      <w:r w:rsidR="00777DCB" w:rsidRPr="00A52585">
        <w:rPr>
          <w:rFonts w:hint="cs"/>
          <w:rtl/>
          <w:lang w:bidi="ar-KW"/>
        </w:rPr>
        <w:t xml:space="preserve"> يدل على أن الزمان وكل ما فيه ملك لله تعالى ومجموع الآيتين يدلان على أن المكان والمكانيات والزمان والزمانيات</w:t>
      </w:r>
      <w:r w:rsidRPr="00A52585">
        <w:rPr>
          <w:rFonts w:hint="cs"/>
          <w:rtl/>
          <w:lang w:bidi="ar-KW"/>
        </w:rPr>
        <w:t xml:space="preserve"> </w:t>
      </w:r>
      <w:r w:rsidR="00777DCB" w:rsidRPr="00A52585">
        <w:rPr>
          <w:rFonts w:hint="cs"/>
          <w:rtl/>
          <w:lang w:bidi="ar-KW"/>
        </w:rPr>
        <w:t>كلها ملك لله تعالى وذلك يدل على تنزيهه عن المكان والمكان</w:t>
      </w:r>
      <w:r w:rsidR="00DB731D" w:rsidRPr="00A52585">
        <w:rPr>
          <w:rFonts w:hint="cs"/>
          <w:rtl/>
          <w:lang w:bidi="ar-KW"/>
        </w:rPr>
        <w:t>،</w:t>
      </w:r>
      <w:r w:rsidRPr="00A52585">
        <w:rPr>
          <w:rFonts w:hint="cs"/>
          <w:rtl/>
          <w:lang w:bidi="ar-KW"/>
        </w:rPr>
        <w:t xml:space="preserve"> (</w:t>
      </w:r>
      <w:r w:rsidR="00777DCB" w:rsidRPr="00A52585">
        <w:rPr>
          <w:rFonts w:hint="cs"/>
          <w:rtl/>
          <w:lang w:bidi="ar-KW"/>
        </w:rPr>
        <w:t>ج</w:t>
      </w:r>
      <w:r w:rsidRPr="00A52585">
        <w:rPr>
          <w:rFonts w:hint="cs"/>
          <w:rtl/>
          <w:lang w:bidi="ar-KW"/>
        </w:rPr>
        <w:t>)</w:t>
      </w:r>
      <w:r w:rsidR="00777DCB" w:rsidRPr="00A52585">
        <w:rPr>
          <w:rFonts w:hint="cs"/>
          <w:rtl/>
          <w:lang w:bidi="ar-KW"/>
        </w:rPr>
        <w:t xml:space="preserve"> وجود الله تعالى قبل خلق المكان ووجوده سبحانه بعد فناء المكان فلا </w:t>
      </w:r>
      <w:proofErr w:type="spellStart"/>
      <w:r w:rsidR="00777DCB" w:rsidRPr="00A52585">
        <w:rPr>
          <w:rFonts w:hint="cs"/>
          <w:rtl/>
          <w:lang w:bidi="ar-KW"/>
        </w:rPr>
        <w:t>يحويه</w:t>
      </w:r>
      <w:proofErr w:type="spellEnd"/>
      <w:r w:rsidR="00777DCB" w:rsidRPr="00A52585">
        <w:rPr>
          <w:rFonts w:hint="cs"/>
          <w:rtl/>
          <w:lang w:bidi="ar-KW"/>
        </w:rPr>
        <w:t xml:space="preserve"> مكان</w:t>
      </w:r>
      <w:r w:rsidR="00DB731D" w:rsidRPr="00A52585">
        <w:rPr>
          <w:rFonts w:hint="cs"/>
          <w:rtl/>
          <w:lang w:bidi="ar-KW"/>
        </w:rPr>
        <w:t>،</w:t>
      </w:r>
      <w:r w:rsidR="00777DCB" w:rsidRPr="00A52585">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ح</w:t>
      </w:r>
      <w:r w:rsidRPr="00A52585">
        <w:rPr>
          <w:rFonts w:hint="cs"/>
          <w:rtl/>
          <w:lang w:bidi="ar-KW"/>
        </w:rPr>
        <w:t>)</w:t>
      </w:r>
      <w:r w:rsidR="00777DCB" w:rsidRPr="00A52585">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sidRPr="00A52585">
        <w:rPr>
          <w:rFonts w:hint="cs"/>
          <w:rtl/>
          <w:lang w:bidi="ar-KW"/>
        </w:rPr>
        <w:t>(</w:t>
      </w:r>
      <w:r w:rsidR="00777DCB" w:rsidRPr="00A52585">
        <w:rPr>
          <w:rFonts w:hint="cs"/>
          <w:rtl/>
          <w:lang w:bidi="ar-KW"/>
        </w:rPr>
        <w:t>وهو القاهر فوق عباده</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خ</w:t>
      </w:r>
      <w:r w:rsidRPr="00A52585">
        <w:rPr>
          <w:rFonts w:hint="cs"/>
          <w:rtl/>
          <w:lang w:bidi="ar-KW"/>
        </w:rPr>
        <w:t>)</w:t>
      </w:r>
      <w:r w:rsidR="00777DCB" w:rsidRPr="00A52585">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DB731D" w:rsidRPr="00A52585">
        <w:rPr>
          <w:rFonts w:hint="cs"/>
          <w:rtl/>
          <w:lang w:bidi="ar-KW"/>
        </w:rPr>
        <w:t>،</w:t>
      </w:r>
      <w:r w:rsidRPr="00A52585">
        <w:rPr>
          <w:rFonts w:hint="cs"/>
          <w:rtl/>
          <w:lang w:bidi="ar-KW"/>
        </w:rPr>
        <w:t xml:space="preserve"> (</w:t>
      </w:r>
      <w:r w:rsidR="00777DCB" w:rsidRPr="00A52585">
        <w:rPr>
          <w:rFonts w:hint="cs"/>
          <w:rtl/>
          <w:lang w:bidi="ar-KW"/>
        </w:rPr>
        <w:t>د</w:t>
      </w:r>
      <w:r w:rsidRPr="00A52585">
        <w:rPr>
          <w:rFonts w:hint="cs"/>
          <w:rtl/>
          <w:lang w:bidi="ar-KW"/>
        </w:rPr>
        <w:t>)</w:t>
      </w:r>
      <w:r w:rsidR="00777DCB" w:rsidRPr="00A52585">
        <w:rPr>
          <w:rFonts w:hint="cs"/>
          <w:rtl/>
          <w:lang w:bidi="ar-KW"/>
        </w:rPr>
        <w:t xml:space="preserve"> من الدلائل الواضحة على تنزه الله تعالى عن الوجود في جهة معينة من جهات الكون</w:t>
      </w:r>
      <w:r w:rsidRPr="00A52585">
        <w:rPr>
          <w:rFonts w:hint="cs"/>
          <w:rtl/>
          <w:lang w:bidi="ar-KW"/>
        </w:rPr>
        <w:t>:</w:t>
      </w:r>
      <w:r w:rsidR="00777DCB" w:rsidRPr="00A52585">
        <w:rPr>
          <w:rFonts w:hint="cs"/>
          <w:rtl/>
          <w:lang w:bidi="ar-KW"/>
        </w:rPr>
        <w:t xml:space="preserve"> أن جهات الكون محدودة لأنها مخلوقة مقدَرة </w:t>
      </w:r>
      <w:r w:rsidRPr="00A52585">
        <w:rPr>
          <w:rFonts w:hint="cs"/>
          <w:rtl/>
          <w:lang w:bidi="ar-KW"/>
        </w:rPr>
        <w:t>(</w:t>
      </w:r>
      <w:r w:rsidR="00777DCB" w:rsidRPr="00A52585">
        <w:rPr>
          <w:rFonts w:hint="cs"/>
          <w:rtl/>
          <w:lang w:bidi="ar-KW"/>
        </w:rPr>
        <w:t>بضم الميم وفتح الراء مع تشديدها</w:t>
      </w:r>
      <w:r w:rsidRPr="00A52585">
        <w:rPr>
          <w:rFonts w:hint="cs"/>
          <w:rtl/>
          <w:lang w:bidi="ar-KW"/>
        </w:rPr>
        <w:t>)</w:t>
      </w:r>
      <w:r w:rsidR="00777DCB" w:rsidRPr="00A52585">
        <w:rPr>
          <w:rFonts w:hint="cs"/>
          <w:rtl/>
          <w:lang w:bidi="ar-KW"/>
        </w:rPr>
        <w:t xml:space="preserve"> والله تعالى خالق مقدِر </w:t>
      </w:r>
      <w:r w:rsidRPr="00A52585">
        <w:rPr>
          <w:rFonts w:hint="cs"/>
          <w:rtl/>
          <w:lang w:bidi="ar-KW"/>
        </w:rPr>
        <w:t>(</w:t>
      </w:r>
      <w:r w:rsidR="00777DCB" w:rsidRPr="00A52585">
        <w:rPr>
          <w:rFonts w:hint="cs"/>
          <w:rtl/>
          <w:lang w:bidi="ar-KW"/>
        </w:rPr>
        <w:t>بضم الميم وكسر الراء مع تشديدها</w:t>
      </w:r>
      <w:r w:rsidRPr="00A52585">
        <w:rPr>
          <w:rFonts w:hint="cs"/>
          <w:rtl/>
          <w:lang w:bidi="ar-KW"/>
        </w:rPr>
        <w:t>)</w:t>
      </w:r>
      <w:r w:rsidR="00777DCB" w:rsidRPr="00A52585">
        <w:rPr>
          <w:rFonts w:hint="cs"/>
          <w:rtl/>
          <w:lang w:bidi="ar-KW"/>
        </w:rPr>
        <w:t xml:space="preserve"> تنزه سبحانه عن الحيز والحد والمقدار لأنها علامات المخلوق الناقص</w:t>
      </w:r>
      <w:r w:rsidR="00DB731D" w:rsidRPr="00A52585">
        <w:rPr>
          <w:rFonts w:hint="cs"/>
          <w:rtl/>
          <w:lang w:bidi="ar-KW"/>
        </w:rPr>
        <w:t>،</w:t>
      </w:r>
      <w:r w:rsidR="00777DCB" w:rsidRPr="00A52585">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DB731D" w:rsidRPr="00A52585">
        <w:rPr>
          <w:rFonts w:hint="cs"/>
          <w:rtl/>
          <w:lang w:bidi="ar-KW"/>
        </w:rPr>
        <w:t>،</w:t>
      </w:r>
      <w:r w:rsidR="00777DCB" w:rsidRPr="00A52585">
        <w:rPr>
          <w:rFonts w:hint="cs"/>
          <w:rtl/>
          <w:lang w:bidi="ar-KW"/>
        </w:rPr>
        <w:t xml:space="preserve"> فيستحيل وجود المنزه عن الحد والمقدار في الحيز المحدود </w:t>
      </w:r>
      <w:r w:rsidRPr="00A52585">
        <w:rPr>
          <w:rFonts w:hint="cs"/>
          <w:rtl/>
          <w:lang w:bidi="ar-KW"/>
        </w:rPr>
        <w:t>[</w:t>
      </w:r>
      <w:r w:rsidR="00777DCB" w:rsidRPr="00A52585">
        <w:rPr>
          <w:rFonts w:hint="cs"/>
          <w:rtl/>
          <w:lang w:bidi="ar-KW"/>
        </w:rPr>
        <w:t xml:space="preserve">سياتي الحديث عن تنزيه الله تعالى عن الحيز والحد والمقدار في الباب التالي </w:t>
      </w:r>
      <w:r w:rsidRPr="00A52585">
        <w:rPr>
          <w:rFonts w:hint="cs"/>
          <w:rtl/>
          <w:lang w:bidi="ar-KW"/>
        </w:rPr>
        <w:t>(</w:t>
      </w:r>
      <w:r w:rsidR="00777DCB" w:rsidRPr="00A52585">
        <w:rPr>
          <w:rFonts w:hint="cs"/>
          <w:rtl/>
          <w:lang w:bidi="ar-KW"/>
        </w:rPr>
        <w:t>تنزيه الله تعالى في ذاته ليس كمثله شيء</w:t>
      </w:r>
      <w:r w:rsidRPr="00A52585">
        <w:rPr>
          <w:rFonts w:hint="cs"/>
          <w:rtl/>
          <w:lang w:bidi="ar-KW"/>
        </w:rPr>
        <w:t>)]</w:t>
      </w:r>
      <w:r w:rsidR="00777DCB" w:rsidRPr="00A52585">
        <w:rPr>
          <w:rFonts w:hint="cs"/>
          <w:rtl/>
          <w:lang w:bidi="ar-KW"/>
        </w:rPr>
        <w:t xml:space="preserve"> </w:t>
      </w:r>
      <w:r w:rsidR="00777DCB" w:rsidRPr="00A52585">
        <w:rPr>
          <w:rFonts w:hint="cs"/>
          <w:rtl/>
          <w:lang w:bidi="ar-KW"/>
        </w:rPr>
        <w:lastRenderedPageBreak/>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ذ</w:t>
      </w:r>
      <w:r w:rsidRPr="00A52585">
        <w:rPr>
          <w:rFonts w:hint="cs"/>
          <w:rtl/>
          <w:lang w:bidi="ar-KW"/>
        </w:rPr>
        <w:t>)</w:t>
      </w:r>
      <w:r w:rsidR="00777DCB" w:rsidRPr="00A52585">
        <w:rPr>
          <w:rFonts w:hint="cs"/>
          <w:rtl/>
          <w:lang w:bidi="ar-KW"/>
        </w:rPr>
        <w:t xml:space="preserve"> ومن الادلة على تنزيه الله تعالى عن المكان</w:t>
      </w:r>
      <w:r w:rsidRPr="00A52585">
        <w:rPr>
          <w:rFonts w:hint="cs"/>
          <w:rtl/>
          <w:lang w:bidi="ar-KW"/>
        </w:rPr>
        <w:t>:</w:t>
      </w:r>
      <w:r w:rsidR="00777DCB" w:rsidRPr="00A52585">
        <w:rPr>
          <w:rFonts w:hint="cs"/>
          <w:rtl/>
          <w:lang w:bidi="ar-KW"/>
        </w:rPr>
        <w:t xml:space="preserve"> أنّ ا</w:t>
      </w:r>
      <w:r w:rsidR="00777DCB" w:rsidRPr="00A52585">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DB731D" w:rsidRPr="00A52585">
        <w:rPr>
          <w:rFonts w:hint="cs"/>
          <w:rtl/>
        </w:rPr>
        <w:t>،</w:t>
      </w:r>
      <w:r w:rsidR="00777DCB" w:rsidRPr="00A52585">
        <w:rPr>
          <w:rFonts w:hint="cs"/>
          <w:rtl/>
        </w:rPr>
        <w:t xml:space="preserve"> وإذا كانت القاعدة تقول أن كل متحيز فهو محدود يحتاج إلى مكان </w:t>
      </w:r>
      <w:proofErr w:type="spellStart"/>
      <w:r w:rsidR="00777DCB" w:rsidRPr="00A52585">
        <w:rPr>
          <w:rFonts w:hint="cs"/>
          <w:rtl/>
        </w:rPr>
        <w:t>يحيزه</w:t>
      </w:r>
      <w:proofErr w:type="spellEnd"/>
      <w:r w:rsidR="00777DCB" w:rsidRPr="00A52585">
        <w:rPr>
          <w:rFonts w:hint="cs"/>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sidR="00DB731D" w:rsidRPr="00A52585">
        <w:rPr>
          <w:rFonts w:hint="cs"/>
          <w:rtl/>
        </w:rPr>
        <w:t>،</w:t>
      </w:r>
      <w:r w:rsidR="00777DCB" w:rsidRPr="00A52585">
        <w:rPr>
          <w:rFonts w:hint="cs"/>
          <w:rtl/>
        </w:rPr>
        <w:t xml:space="preserve"> فتحتم من ذلك تنزيهه عن أن </w:t>
      </w:r>
      <w:proofErr w:type="spellStart"/>
      <w:r w:rsidR="00777DCB" w:rsidRPr="00A52585">
        <w:rPr>
          <w:rFonts w:hint="cs"/>
          <w:rtl/>
        </w:rPr>
        <w:t>يحيزه</w:t>
      </w:r>
      <w:proofErr w:type="spellEnd"/>
      <w:r w:rsidR="00777DCB" w:rsidRPr="00A52585">
        <w:rPr>
          <w:rFonts w:hint="cs"/>
          <w:rtl/>
        </w:rPr>
        <w:t xml:space="preserve"> شيء من خلقه وكل ما في الوجود سواه فهو خلقه الفقير إليه وهو الغني عنهم</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ر</w:t>
      </w:r>
      <w:r w:rsidRPr="00A52585">
        <w:rPr>
          <w:rFonts w:hint="cs"/>
          <w:rtl/>
        </w:rPr>
        <w:t>)</w:t>
      </w:r>
      <w:r w:rsidR="00777DCB" w:rsidRPr="00A52585">
        <w:rPr>
          <w:rFonts w:hint="cs"/>
          <w:rtl/>
        </w:rPr>
        <w:t xml:space="preserve"> عدم تنزيه الله تعالى عن المكان يعني أن هناك مكان ما يحيز الله</w:t>
      </w:r>
      <w:r w:rsidR="00DB731D" w:rsidRPr="00A52585">
        <w:rPr>
          <w:rFonts w:hint="cs"/>
          <w:rtl/>
        </w:rPr>
        <w:t>،</w:t>
      </w:r>
      <w:r w:rsidR="00777DCB" w:rsidRPr="00A52585">
        <w:rPr>
          <w:rFonts w:hint="cs"/>
          <w:rtl/>
        </w:rPr>
        <w:t xml:space="preserve"> والمكان الذي يحيز أي شيء</w:t>
      </w:r>
      <w:r w:rsidRPr="00A52585">
        <w:rPr>
          <w:rFonts w:hint="cs"/>
          <w:rtl/>
        </w:rPr>
        <w:t xml:space="preserve"> </w:t>
      </w:r>
      <w:r w:rsidR="00777DCB" w:rsidRPr="00A52585">
        <w:rPr>
          <w:rFonts w:hint="cs"/>
          <w:rtl/>
        </w:rPr>
        <w:t>لاشك أنه أكبر منه</w:t>
      </w:r>
      <w:r w:rsidR="00DB731D" w:rsidRPr="00A52585">
        <w:rPr>
          <w:rFonts w:hint="cs"/>
          <w:rtl/>
        </w:rPr>
        <w:t>،</w:t>
      </w:r>
      <w:r w:rsidR="00777DCB" w:rsidRPr="00A52585">
        <w:rPr>
          <w:rFonts w:hint="cs"/>
          <w:rtl/>
        </w:rPr>
        <w:t xml:space="preserve"> وهذا يخالف القطعي والضروري من الدين من كون الله تعالى أكبر من كل شيء</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ز</w:t>
      </w:r>
      <w:r w:rsidRPr="00A52585">
        <w:rPr>
          <w:rFonts w:hint="cs"/>
          <w:rtl/>
        </w:rPr>
        <w:t>)</w:t>
      </w:r>
      <w:r w:rsidR="00777DCB" w:rsidRPr="00A52585">
        <w:rPr>
          <w:rFonts w:hint="cs"/>
          <w:rtl/>
        </w:rPr>
        <w:t xml:space="preserve"> عدم تنزيه الله تعالى عن المكان يستلزم ذلك احتياج الله إلى المكان، لأنّ الكائن في مكان محتاج إلى المكان</w:t>
      </w:r>
      <w:r w:rsidR="00DB731D" w:rsidRPr="00A52585">
        <w:rPr>
          <w:rFonts w:hint="cs"/>
          <w:rtl/>
        </w:rPr>
        <w:t>،</w:t>
      </w:r>
      <w:r w:rsidR="00777DCB" w:rsidRPr="00A52585">
        <w:rPr>
          <w:rFonts w:hint="cs"/>
          <w:rtl/>
        </w:rPr>
        <w:t xml:space="preserve"> ولكنّه تعالى هو الغني الذي لا يحتاج إلى شيء</w:t>
      </w:r>
      <w:r w:rsidR="00DB731D" w:rsidRPr="00A52585">
        <w:rPr>
          <w:rFonts w:hint="cs"/>
          <w:rtl/>
        </w:rPr>
        <w:t>،</w:t>
      </w:r>
      <w:r w:rsidR="00777DCB" w:rsidRPr="00A52585">
        <w:rPr>
          <w:rFonts w:hint="cs"/>
          <w:rtl/>
        </w:rPr>
        <w:t xml:space="preserve"> والاحتياج من صفات المُحدَث المخلوق الفقير لا من صفات الخالق الغني الحميد</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س</w:t>
      </w:r>
      <w:r w:rsidRPr="00A52585">
        <w:rPr>
          <w:rFonts w:hint="cs"/>
          <w:rtl/>
        </w:rPr>
        <w:t>)</w:t>
      </w:r>
      <w:r w:rsidR="00777DCB" w:rsidRPr="00A52585">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DB731D" w:rsidRPr="00A52585">
        <w:rPr>
          <w:rFonts w:hint="cs"/>
          <w:rtl/>
        </w:rPr>
        <w:t>،</w:t>
      </w:r>
      <w:r w:rsidR="00777DCB" w:rsidRPr="00A52585">
        <w:rPr>
          <w:rFonts w:hint="cs"/>
          <w:rtl/>
        </w:rPr>
        <w:t xml:space="preserve"> الثاني: حادث، والحادث محدود، ولكنّه تعالى غير محدود، والشيء المحدود لا يسعه إحاطة الشيء غير المحدود</w:t>
      </w:r>
      <w:r w:rsidR="00DB731D" w:rsidRPr="00A52585">
        <w:rPr>
          <w:rFonts w:hint="cs"/>
          <w:rtl/>
        </w:rPr>
        <w:t>،</w:t>
      </w:r>
      <w:r w:rsidR="00777DCB" w:rsidRPr="00A52585">
        <w:rPr>
          <w:rFonts w:hint="cs"/>
          <w:rtl/>
        </w:rPr>
        <w:t xml:space="preserve"> فيثبت بطلان وجوده تعالى في مكان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ش</w:t>
      </w:r>
      <w:r w:rsidRPr="00A52585">
        <w:rPr>
          <w:rFonts w:hint="cs"/>
          <w:rtl/>
        </w:rPr>
        <w:t>)</w:t>
      </w:r>
      <w:r w:rsidR="00777DCB" w:rsidRPr="00A52585">
        <w:rPr>
          <w:rFonts w:hint="cs"/>
          <w:rtl/>
        </w:rPr>
        <w:t xml:space="preserve"> قوله تعالى </w:t>
      </w:r>
      <w:r w:rsidRPr="00A52585">
        <w:rPr>
          <w:rFonts w:hint="cs"/>
          <w:rtl/>
        </w:rPr>
        <w:t>(</w:t>
      </w:r>
      <w:r w:rsidR="00777DCB" w:rsidRPr="00A52585">
        <w:rPr>
          <w:rFonts w:hint="cs"/>
          <w:bCs/>
          <w:rtl/>
        </w:rPr>
        <w:t>الله الصمد</w:t>
      </w:r>
      <w:r w:rsidRPr="00A52585">
        <w:rPr>
          <w:rFonts w:hint="cs"/>
          <w:rtl/>
        </w:rPr>
        <w:t>)</w:t>
      </w:r>
      <w:r w:rsidR="00777DCB" w:rsidRPr="00A52585">
        <w:rPr>
          <w:rFonts w:hint="cs"/>
          <w:rtl/>
        </w:rPr>
        <w:t xml:space="preserve"> فالصمد هو السيد </w:t>
      </w:r>
      <w:proofErr w:type="spellStart"/>
      <w:r w:rsidR="00777DCB" w:rsidRPr="00A52585">
        <w:rPr>
          <w:rFonts w:hint="cs"/>
          <w:rtl/>
        </w:rPr>
        <w:t>المصمود</w:t>
      </w:r>
      <w:proofErr w:type="spellEnd"/>
      <w:r w:rsidR="00777DCB" w:rsidRPr="00A52585">
        <w:rPr>
          <w:rFonts w:hint="cs"/>
          <w:rtl/>
        </w:rPr>
        <w:t xml:space="preserve"> إليه في الحوائج وذلك يدل على أنه ليس في مكان</w:t>
      </w:r>
      <w:r w:rsidR="00DB731D" w:rsidRPr="00A52585">
        <w:rPr>
          <w:rFonts w:hint="cs"/>
          <w:rtl/>
        </w:rPr>
        <w:t>،</w:t>
      </w:r>
      <w:r w:rsidR="00777DCB" w:rsidRPr="00A52585">
        <w:rPr>
          <w:rFonts w:hint="cs"/>
          <w:rtl/>
        </w:rPr>
        <w:t xml:space="preserve"> </w:t>
      </w:r>
      <w:r w:rsidR="00777DCB" w:rsidRPr="00A52585">
        <w:rPr>
          <w:rFonts w:hint="cs"/>
          <w:bCs/>
          <w:rtl/>
        </w:rPr>
        <w:t>وأما بيان دلالته على أنه تعالى منزه عن المكان</w:t>
      </w:r>
      <w:r w:rsidR="00DB731D" w:rsidRPr="00A52585">
        <w:rPr>
          <w:rFonts w:hint="cs"/>
          <w:bCs/>
          <w:rtl/>
        </w:rPr>
        <w:t>،</w:t>
      </w:r>
      <w:r w:rsidR="00777DCB" w:rsidRPr="00A52585">
        <w:rPr>
          <w:rFonts w:hint="cs"/>
          <w:bCs/>
          <w:rtl/>
        </w:rPr>
        <w:t xml:space="preserve"> </w:t>
      </w:r>
      <w:r w:rsidR="00777DCB" w:rsidRPr="00A52585">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ص</w:t>
      </w:r>
      <w:r w:rsidRPr="00A52585">
        <w:rPr>
          <w:rFonts w:hint="cs"/>
          <w:bCs/>
          <w:rtl/>
        </w:rPr>
        <w:t>)</w:t>
      </w:r>
      <w:r w:rsidR="00777DCB" w:rsidRPr="00A52585">
        <w:rPr>
          <w:rFonts w:hint="cs"/>
          <w:bCs/>
          <w:rtl/>
        </w:rPr>
        <w:t xml:space="preserve"> قوله تعالى</w:t>
      </w:r>
      <w:r w:rsidR="00777DCB" w:rsidRPr="00A52585">
        <w:rPr>
          <w:rFonts w:hint="cs"/>
          <w:rtl/>
        </w:rPr>
        <w:t xml:space="preserve"> </w:t>
      </w:r>
      <w:r w:rsidRPr="00A52585">
        <w:rPr>
          <w:rFonts w:hint="cs"/>
          <w:rtl/>
        </w:rPr>
        <w:t>(</w:t>
      </w:r>
      <w:r w:rsidR="00777DCB" w:rsidRPr="00A52585">
        <w:rPr>
          <w:rFonts w:hint="cs"/>
          <w:bCs/>
          <w:rtl/>
        </w:rPr>
        <w:t>والله الغنى وأنتم الفقراء</w:t>
      </w:r>
      <w:r w:rsidRPr="00A52585">
        <w:rPr>
          <w:rFonts w:hint="cs"/>
          <w:rtl/>
        </w:rPr>
        <w:t>)</w:t>
      </w:r>
      <w:r w:rsidR="00777DCB" w:rsidRPr="00A52585">
        <w:rPr>
          <w:rFonts w:hint="cs"/>
          <w:rtl/>
        </w:rPr>
        <w:t xml:space="preserve"> دلت هذه الآية على كونه تعالى غنى ولو كان في مكان لكان محتاجا إلى ذلك المكان وذلك يقدح في كونه غنياً على الإطلاق</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ض</w:t>
      </w:r>
      <w:r w:rsidRPr="00A52585">
        <w:rPr>
          <w:rFonts w:hint="cs"/>
          <w:bCs/>
          <w:rtl/>
        </w:rPr>
        <w:t>)</w:t>
      </w:r>
      <w:r w:rsidR="00777DCB" w:rsidRPr="00A52585">
        <w:rPr>
          <w:rFonts w:hint="cs"/>
          <w:bCs/>
          <w:rtl/>
        </w:rPr>
        <w:t xml:space="preserve"> قوله تعالى</w:t>
      </w:r>
      <w:r w:rsidR="00777DCB" w:rsidRPr="00A52585">
        <w:rPr>
          <w:rFonts w:hint="cs"/>
          <w:rtl/>
        </w:rPr>
        <w:t xml:space="preserve"> </w:t>
      </w:r>
      <w:r w:rsidRPr="00A52585">
        <w:rPr>
          <w:rFonts w:hint="cs"/>
          <w:rtl/>
        </w:rPr>
        <w:t>(</w:t>
      </w:r>
      <w:r w:rsidR="00777DCB" w:rsidRPr="00A52585">
        <w:rPr>
          <w:rFonts w:hint="cs"/>
          <w:bCs/>
          <w:rtl/>
        </w:rPr>
        <w:t>لا إله إلا هو الحى القيوم</w:t>
      </w:r>
      <w:r w:rsidRPr="00A52585">
        <w:rPr>
          <w:rFonts w:hint="cs"/>
          <w:rtl/>
        </w:rPr>
        <w:t>)</w:t>
      </w:r>
      <w:r w:rsidR="00777DCB" w:rsidRPr="00A52585">
        <w:rPr>
          <w:rFonts w:hint="cs"/>
          <w:rtl/>
        </w:rPr>
        <w:t xml:space="preserve"> والقيوم مبالغة </w:t>
      </w:r>
      <w:proofErr w:type="spellStart"/>
      <w:r w:rsidR="00777DCB" w:rsidRPr="00A52585">
        <w:rPr>
          <w:rFonts w:hint="cs"/>
          <w:rtl/>
        </w:rPr>
        <w:t>فى</w:t>
      </w:r>
      <w:proofErr w:type="spellEnd"/>
      <w:r w:rsidR="00777DCB" w:rsidRPr="00A52585">
        <w:rPr>
          <w:rFonts w:hint="cs"/>
          <w:rtl/>
        </w:rPr>
        <w:t xml:space="preserve"> كونه غنياً عن كل ما سواه</w:t>
      </w:r>
      <w:r w:rsidR="00DB731D" w:rsidRPr="00A52585">
        <w:rPr>
          <w:rFonts w:hint="cs"/>
          <w:rtl/>
        </w:rPr>
        <w:t>،</w:t>
      </w:r>
      <w:r w:rsidR="00777DCB" w:rsidRPr="00A52585">
        <w:rPr>
          <w:rFonts w:hint="cs"/>
          <w:rtl/>
        </w:rPr>
        <w:t xml:space="preserve"> وكونه مقوماً لغيره</w:t>
      </w:r>
      <w:r w:rsidRPr="00A52585">
        <w:rPr>
          <w:rFonts w:hint="cs"/>
          <w:rtl/>
        </w:rPr>
        <w:t>:</w:t>
      </w:r>
      <w:r w:rsidR="00777DCB" w:rsidRPr="00A52585">
        <w:rPr>
          <w:rFonts w:hint="cs"/>
          <w:rtl/>
        </w:rPr>
        <w:t xml:space="preserve"> عبارة عن احتياج كل ما سواه إليه</w:t>
      </w:r>
      <w:r w:rsidR="00DB731D" w:rsidRPr="00A52585">
        <w:rPr>
          <w:rFonts w:hint="cs"/>
          <w:rtl/>
        </w:rPr>
        <w:t>،</w:t>
      </w:r>
      <w:r w:rsidR="00777DCB" w:rsidRPr="00A52585">
        <w:rPr>
          <w:rFonts w:hint="cs"/>
          <w:rtl/>
        </w:rPr>
        <w:t xml:space="preserve"> فلو كان في مكان لكان هو مفتقراً الى ذلك المكان فلن يكن قيوماً على الإطلاق</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ط</w:t>
      </w:r>
      <w:r w:rsidRPr="00A52585">
        <w:rPr>
          <w:rFonts w:hint="cs"/>
          <w:bCs/>
          <w:rtl/>
        </w:rPr>
        <w:t>)</w:t>
      </w:r>
      <w:r w:rsidR="00777DCB" w:rsidRPr="00A52585">
        <w:rPr>
          <w:rFonts w:hint="cs"/>
          <w:bCs/>
          <w:rtl/>
        </w:rPr>
        <w:t xml:space="preserve"> قوله تعالى</w:t>
      </w:r>
      <w:r w:rsidR="00777DCB" w:rsidRPr="00A52585">
        <w:rPr>
          <w:rFonts w:hint="cs"/>
          <w:rtl/>
        </w:rPr>
        <w:t xml:space="preserve"> </w:t>
      </w:r>
      <w:r w:rsidRPr="00A52585">
        <w:rPr>
          <w:rFonts w:hint="cs"/>
          <w:rtl/>
        </w:rPr>
        <w:t>(</w:t>
      </w:r>
      <w:r w:rsidR="00777DCB" w:rsidRPr="00A52585">
        <w:rPr>
          <w:rFonts w:hint="cs"/>
          <w:bCs/>
          <w:rtl/>
        </w:rPr>
        <w:t>هل تعلم له سمياً</w:t>
      </w:r>
      <w:r w:rsidRPr="00A52585">
        <w:rPr>
          <w:rFonts w:hint="cs"/>
          <w:rtl/>
        </w:rPr>
        <w:t>)</w:t>
      </w:r>
      <w:r w:rsidR="00777DCB" w:rsidRPr="00A52585">
        <w:rPr>
          <w:rFonts w:hint="cs"/>
          <w:rtl/>
        </w:rPr>
        <w:t xml:space="preserve"> قال ابن عباس رضى </w:t>
      </w:r>
      <w:r w:rsidR="00777DCB" w:rsidRPr="00A52585">
        <w:rPr>
          <w:rFonts w:hint="cs"/>
          <w:rtl/>
        </w:rPr>
        <w:lastRenderedPageBreak/>
        <w:t>الله عنه هل تعلم له مثلاً ولو كان متحيزاً في مكان لكان كل واحد من الأجسام مثلاً له في احتياجه إلى المكان وغيره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ظ</w:t>
      </w:r>
      <w:r w:rsidRPr="00A52585">
        <w:rPr>
          <w:rFonts w:hint="cs"/>
          <w:rtl/>
        </w:rPr>
        <w:t>)</w:t>
      </w:r>
      <w:r w:rsidR="00777DCB" w:rsidRPr="00A52585">
        <w:rPr>
          <w:rFonts w:hint="cs"/>
          <w:rtl/>
        </w:rPr>
        <w:t xml:space="preserve"> </w:t>
      </w:r>
      <w:r w:rsidR="00777DCB" w:rsidRPr="00A52585">
        <w:rPr>
          <w:rFonts w:hint="cs"/>
          <w:rtl/>
          <w:lang w:bidi="ar-KW"/>
        </w:rPr>
        <w:t xml:space="preserve">ومن الادلة على تنزيه الله تعالى عن الزمان أنّ الزمان هو عبارة عن أثر </w:t>
      </w:r>
      <w:r w:rsidR="00777DCB" w:rsidRPr="00A52585">
        <w:rPr>
          <w:rFonts w:hint="cs"/>
          <w:rtl/>
        </w:rPr>
        <w:t>الحركة الحادثة في المكان</w:t>
      </w:r>
      <w:r w:rsidR="00DB731D" w:rsidRPr="00A52585">
        <w:rPr>
          <w:rFonts w:hint="cs"/>
          <w:rtl/>
        </w:rPr>
        <w:t>،</w:t>
      </w:r>
      <w:r w:rsidR="00777DCB" w:rsidRPr="00A52585">
        <w:rPr>
          <w:rFonts w:hint="cs"/>
          <w:rtl/>
        </w:rPr>
        <w:t xml:space="preserve"> ولولا الحركة في المكان لما كان هناك زمان</w:t>
      </w:r>
      <w:r w:rsidR="00DB731D" w:rsidRPr="00A52585">
        <w:rPr>
          <w:rFonts w:hint="cs"/>
          <w:rtl/>
        </w:rPr>
        <w:t>،</w:t>
      </w:r>
      <w:r w:rsidR="00777DCB" w:rsidRPr="00A52585">
        <w:rPr>
          <w:rFonts w:hint="cs"/>
          <w:rtl/>
        </w:rPr>
        <w:t xml:space="preserve"> وإجماع أهل الأصول على أن المكان متقدم على الزمان</w:t>
      </w:r>
      <w:r w:rsidR="00DB731D" w:rsidRPr="00A52585">
        <w:rPr>
          <w:rFonts w:hint="cs"/>
          <w:rtl/>
        </w:rPr>
        <w:t>،</w:t>
      </w:r>
      <w:r w:rsidR="00777DCB" w:rsidRPr="00A52585">
        <w:rPr>
          <w:rFonts w:hint="cs"/>
          <w:rtl/>
        </w:rPr>
        <w:t xml:space="preserve"> وإذا كان الله تعالى كان قبل المكان ثم خلق المكان فمن الضرورة أنه كان قبل الزمان ثم خلق الزمان</w:t>
      </w:r>
      <w:r w:rsidR="00DB731D" w:rsidRPr="00A52585">
        <w:rPr>
          <w:rFonts w:hint="cs"/>
          <w:rtl/>
        </w:rPr>
        <w:t>،</w:t>
      </w:r>
      <w:r w:rsidR="00777DCB" w:rsidRPr="00A52585">
        <w:rPr>
          <w:rFonts w:hint="cs"/>
          <w:rtl/>
        </w:rPr>
        <w:t xml:space="preserve"> وإذا كان الله تعالى غني عن المكان غنى الخالق عن مخلوقه فإن الله تعالى غني عن الزمان فلا </w:t>
      </w:r>
      <w:proofErr w:type="spellStart"/>
      <w:r w:rsidR="00777DCB" w:rsidRPr="00A52585">
        <w:rPr>
          <w:rFonts w:hint="cs"/>
          <w:rtl/>
        </w:rPr>
        <w:t>يحويه</w:t>
      </w:r>
      <w:proofErr w:type="spellEnd"/>
      <w:r w:rsidR="00777DCB" w:rsidRPr="00A52585">
        <w:rPr>
          <w:rFonts w:hint="cs"/>
          <w:rtl/>
        </w:rPr>
        <w:t xml:space="preserve"> مكان ولا يجري عليه زمان</w:t>
      </w:r>
      <w:r w:rsidR="00DB731D" w:rsidRPr="00A52585">
        <w:rPr>
          <w:rFonts w:hint="cs"/>
          <w:rtl/>
        </w:rPr>
        <w:t>،</w:t>
      </w:r>
      <w:r w:rsidR="00777DCB" w:rsidRPr="00A52585">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ع</w:t>
      </w:r>
      <w:r w:rsidRPr="00A52585">
        <w:rPr>
          <w:rFonts w:hint="cs"/>
          <w:rtl/>
        </w:rPr>
        <w:t>)</w:t>
      </w:r>
      <w:r w:rsidR="00777DCB" w:rsidRPr="00A52585">
        <w:rPr>
          <w:rFonts w:hint="cs"/>
          <w:rtl/>
        </w:rPr>
        <w:t xml:space="preserve"> قد يقول غير الدارس لعلم الأصول لا يعقل إلا الحركة أو السكون والحي ينبغي أن يتصف بالحركة كما أن الجماد متصف بالسكون</w:t>
      </w:r>
      <w:r w:rsidR="00DB731D" w:rsidRPr="00A52585">
        <w:rPr>
          <w:rFonts w:hint="cs"/>
          <w:rtl/>
        </w:rPr>
        <w:t>،</w:t>
      </w:r>
      <w:r w:rsidR="00777DCB" w:rsidRPr="00A52585">
        <w:rPr>
          <w:rFonts w:hint="cs"/>
          <w:rtl/>
        </w:rPr>
        <w:t xml:space="preserve"> فهذا نقول له رويدك فهذا الذي تقوله على وفق المحسوس الذي تشاهده والمخلوق الذي لا ترى </w:t>
      </w:r>
      <w:proofErr w:type="spellStart"/>
      <w:r w:rsidR="00777DCB" w:rsidRPr="00A52585">
        <w:rPr>
          <w:rFonts w:hint="cs"/>
          <w:rtl/>
        </w:rPr>
        <w:t>غيره</w:t>
      </w:r>
      <w:r w:rsidR="00DB731D" w:rsidRPr="00A52585">
        <w:rPr>
          <w:rFonts w:hint="cs"/>
          <w:rtl/>
        </w:rPr>
        <w:t>،</w:t>
      </w:r>
      <w:r w:rsidR="00777DCB" w:rsidRPr="00A52585">
        <w:rPr>
          <w:rFonts w:hint="cs"/>
          <w:rtl/>
        </w:rPr>
        <w:t>ثم</w:t>
      </w:r>
      <w:proofErr w:type="spellEnd"/>
      <w:r w:rsidR="00777DCB" w:rsidRPr="00A52585">
        <w:rPr>
          <w:rFonts w:hint="cs"/>
          <w:rtl/>
        </w:rPr>
        <w:t xml:space="preserve"> قست الغائب عنك على الشاهد الذي تراه ونسيت أن الخالق سبحانه ليس كمثله شيء في وجوده فكل موجود إما ساكن في مكان أو متحرك في غيره</w:t>
      </w:r>
      <w:r w:rsidR="00DB731D" w:rsidRPr="00A52585">
        <w:rPr>
          <w:rFonts w:hint="cs"/>
          <w:rtl/>
        </w:rPr>
        <w:t>،</w:t>
      </w:r>
      <w:r w:rsidR="00777DCB" w:rsidRPr="00A52585">
        <w:rPr>
          <w:rFonts w:hint="cs"/>
          <w:rtl/>
        </w:rPr>
        <w:t xml:space="preserve"> أما المنزه عن المكان والذي لا </w:t>
      </w:r>
      <w:proofErr w:type="spellStart"/>
      <w:r w:rsidR="00777DCB" w:rsidRPr="00A52585">
        <w:rPr>
          <w:rFonts w:hint="cs"/>
          <w:rtl/>
        </w:rPr>
        <w:t>يحويه</w:t>
      </w:r>
      <w:proofErr w:type="spellEnd"/>
      <w:r w:rsidR="00777DCB" w:rsidRPr="00A52585">
        <w:rPr>
          <w:rFonts w:hint="cs"/>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777DCB" w:rsidRPr="00A52585">
        <w:rPr>
          <w:rFonts w:hint="cs"/>
          <w:rtl/>
        </w:rPr>
        <w:t>والتغير</w:t>
      </w:r>
      <w:r w:rsidR="00DB731D" w:rsidRPr="00A52585">
        <w:rPr>
          <w:rFonts w:hint="cs"/>
          <w:rtl/>
        </w:rPr>
        <w:t>،</w:t>
      </w:r>
      <w:r w:rsidR="00777DCB" w:rsidRPr="00A52585">
        <w:rPr>
          <w:rFonts w:hint="cs"/>
          <w:rtl/>
        </w:rPr>
        <w:t>والحاصل</w:t>
      </w:r>
      <w:proofErr w:type="spellEnd"/>
      <w:r w:rsidR="00777DCB" w:rsidRPr="00A52585">
        <w:rPr>
          <w:rFonts w:hint="cs"/>
          <w:rtl/>
        </w:rPr>
        <w:t xml:space="preserve"> أن القسمة ثلاثية ساكن ومتحرك لهما أمثال كثيرة ومنزه عن السكون والحركة ليس كمثله شيء</w:t>
      </w:r>
      <w:r w:rsidR="00DB731D" w:rsidRPr="00A52585">
        <w:rPr>
          <w:rFonts w:hint="cs"/>
          <w:rtl/>
        </w:rPr>
        <w:t>،</w:t>
      </w:r>
      <w:r w:rsidRPr="00A52585">
        <w:rPr>
          <w:rFonts w:hint="cs"/>
          <w:rtl/>
        </w:rPr>
        <w:t xml:space="preserve"> (</w:t>
      </w:r>
      <w:r w:rsidR="00777DCB" w:rsidRPr="00A52585">
        <w:rPr>
          <w:rFonts w:hint="cs"/>
          <w:rtl/>
        </w:rPr>
        <w:t>غ</w:t>
      </w:r>
      <w:r w:rsidRPr="00A52585">
        <w:rPr>
          <w:rFonts w:hint="cs"/>
          <w:rtl/>
        </w:rPr>
        <w:t>)</w:t>
      </w:r>
      <w:r w:rsidR="00777DCB" w:rsidRPr="00A52585">
        <w:rPr>
          <w:rFonts w:hint="cs"/>
          <w:rtl/>
        </w:rPr>
        <w:t xml:space="preserve"> </w:t>
      </w:r>
      <w:r w:rsidR="00777DCB" w:rsidRPr="00A52585">
        <w:rPr>
          <w:rFonts w:hint="cs"/>
          <w:snapToGrid w:val="0"/>
          <w:rtl/>
        </w:rPr>
        <w:t>الله تعالى كان ولا مكان ولا زمان ثم خلق المكان والزمان</w:t>
      </w:r>
      <w:r w:rsidR="00DB731D" w:rsidRPr="00A52585">
        <w:rPr>
          <w:rFonts w:hint="cs"/>
          <w:snapToGrid w:val="0"/>
          <w:rtl/>
        </w:rPr>
        <w:t>،</w:t>
      </w:r>
      <w:r w:rsidR="00777DCB" w:rsidRPr="00A52585">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DB731D" w:rsidRPr="00A52585">
        <w:rPr>
          <w:rFonts w:hint="cs"/>
          <w:snapToGrid w:val="0"/>
          <w:rtl/>
        </w:rPr>
        <w:t>،</w:t>
      </w:r>
      <w:r w:rsidR="00777DCB" w:rsidRPr="00A52585">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sidRPr="00A52585">
        <w:rPr>
          <w:rFonts w:hint="cs"/>
          <w:snapToGrid w:val="0"/>
          <w:rtl/>
        </w:rPr>
        <w:t>(</w:t>
      </w:r>
      <w:r w:rsidR="00777DCB" w:rsidRPr="00A52585">
        <w:rPr>
          <w:rFonts w:hint="cs"/>
          <w:snapToGrid w:val="0"/>
          <w:rtl/>
        </w:rPr>
        <w:t>كان الله ولم يكن معه غيره</w:t>
      </w:r>
      <w:r w:rsidRPr="00A52585">
        <w:rPr>
          <w:rFonts w:hint="cs"/>
          <w:snapToGrid w:val="0"/>
          <w:rtl/>
        </w:rPr>
        <w:t>)</w:t>
      </w:r>
      <w:r w:rsidR="00777DCB" w:rsidRPr="00A52585">
        <w:rPr>
          <w:rFonts w:hint="cs"/>
          <w:snapToGrid w:val="0"/>
          <w:rtl/>
        </w:rPr>
        <w:t xml:space="preserve"> أخرجه البخاري</w:t>
      </w:r>
      <w:r w:rsidR="00DB731D" w:rsidRPr="00A52585">
        <w:rPr>
          <w:rFonts w:hint="cs"/>
          <w:snapToGrid w:val="0"/>
          <w:rtl/>
        </w:rPr>
        <w:t>،</w:t>
      </w:r>
      <w:r w:rsidR="00777DCB" w:rsidRPr="00A52585">
        <w:rPr>
          <w:rFonts w:hint="cs"/>
          <w:rtl/>
        </w:rPr>
        <w:t xml:space="preserve"> </w:t>
      </w:r>
      <w:r w:rsidRPr="00A52585">
        <w:rPr>
          <w:rFonts w:hint="cs"/>
          <w:rtl/>
        </w:rPr>
        <w:t>(</w:t>
      </w:r>
      <w:r w:rsidR="00777DCB" w:rsidRPr="00A52585">
        <w:rPr>
          <w:rFonts w:hint="cs"/>
          <w:rtl/>
        </w:rPr>
        <w:t>ف</w:t>
      </w:r>
      <w:r w:rsidRPr="00A52585">
        <w:rPr>
          <w:rFonts w:hint="cs"/>
          <w:rtl/>
        </w:rPr>
        <w:t>)</w:t>
      </w:r>
      <w:r w:rsidR="00777DCB" w:rsidRPr="00A52585">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DB731D"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lang w:bidi="ar-KW"/>
        </w:rPr>
        <w:t>ق</w:t>
      </w:r>
      <w:r w:rsidRPr="00A52585">
        <w:rPr>
          <w:rFonts w:hint="cs"/>
          <w:rtl/>
          <w:lang w:bidi="ar-KW"/>
        </w:rPr>
        <w:t>)</w:t>
      </w:r>
      <w:r w:rsidR="00777DCB" w:rsidRPr="00A52585">
        <w:rPr>
          <w:rFonts w:hint="cs"/>
          <w:rtl/>
          <w:lang w:bidi="ar-KW"/>
        </w:rPr>
        <w:t xml:space="preserve"> أخطأت الطائفة السلفية المعاصرة خطأ جسيما عندما كيفوا وجود الله وقاسوا وجود الله تعالى على </w:t>
      </w:r>
      <w:r w:rsidR="00777DCB" w:rsidRPr="00A52585">
        <w:rPr>
          <w:rFonts w:hint="cs"/>
          <w:rtl/>
          <w:lang w:bidi="ar-KW"/>
        </w:rPr>
        <w:lastRenderedPageBreak/>
        <w:t>وجود المخلوق</w:t>
      </w:r>
      <w:r w:rsidR="00DB731D" w:rsidRPr="00A52585">
        <w:rPr>
          <w:rFonts w:hint="cs"/>
          <w:rtl/>
          <w:lang w:bidi="ar-KW"/>
        </w:rPr>
        <w:t>،</w:t>
      </w:r>
      <w:r w:rsidR="00777DCB" w:rsidRPr="00A52585">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DB731D" w:rsidRPr="00A52585">
        <w:rPr>
          <w:rFonts w:hint="cs"/>
          <w:rtl/>
          <w:lang w:bidi="ar-KW"/>
        </w:rPr>
        <w:t>،</w:t>
      </w:r>
      <w:r w:rsidR="00777DCB" w:rsidRPr="00A52585">
        <w:rPr>
          <w:rFonts w:hint="cs"/>
          <w:rtl/>
          <w:lang w:bidi="ar-KW"/>
        </w:rPr>
        <w:t xml:space="preserve"> ونسوا إن الله ليس كمثله شيء وليس له مثيل وليس كوجوده وجود</w:t>
      </w:r>
      <w:r w:rsidR="00DB731D" w:rsidRPr="00A52585">
        <w:rPr>
          <w:rFonts w:hint="cs"/>
          <w:rtl/>
          <w:lang w:bidi="ar-KW"/>
        </w:rPr>
        <w:t>،</w:t>
      </w:r>
      <w:r w:rsidR="00777DCB" w:rsidRPr="00A52585">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ك</w:t>
      </w:r>
      <w:r w:rsidRPr="00A52585">
        <w:rPr>
          <w:rFonts w:hint="cs"/>
          <w:rtl/>
          <w:lang w:bidi="ar-KW"/>
        </w:rPr>
        <w:t>)</w:t>
      </w:r>
      <w:r w:rsidR="00777DCB" w:rsidRPr="00A52585">
        <w:rPr>
          <w:rFonts w:hint="cs"/>
          <w:rtl/>
          <w:lang w:bidi="ar-KW"/>
        </w:rPr>
        <w:t xml:space="preserve"> وأخطأت الطائفة السلفية المعاصرة خطأ جسيما أيضاً</w:t>
      </w:r>
      <w:r w:rsidRPr="00A52585">
        <w:rPr>
          <w:rFonts w:hint="cs"/>
          <w:rtl/>
          <w:lang w:bidi="ar-KW"/>
        </w:rPr>
        <w:t>:</w:t>
      </w:r>
      <w:r w:rsidR="00777DCB" w:rsidRPr="00A52585">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sidRPr="00A52585">
        <w:rPr>
          <w:rFonts w:hint="cs"/>
          <w:rtl/>
          <w:lang w:bidi="ar-KW"/>
        </w:rPr>
        <w:t xml:space="preserve"> </w:t>
      </w:r>
      <w:r w:rsidR="00777DCB" w:rsidRPr="00A52585">
        <w:rPr>
          <w:rFonts w:hint="cs"/>
          <w:rtl/>
          <w:lang w:bidi="ar-KW"/>
        </w:rPr>
        <w:t>- هل هو</w:t>
      </w:r>
      <w:r w:rsidRPr="00A52585">
        <w:rPr>
          <w:rFonts w:hint="cs"/>
          <w:rtl/>
          <w:lang w:bidi="ar-KW"/>
        </w:rPr>
        <w:t xml:space="preserve"> (</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بقدر العرش أم أكبر أم أصغر بمقدار أربعة أصابع وهل إذا نزل في الثلث الأخير من الليل يخلوا منه العرش أم لا</w:t>
      </w:r>
      <w:r w:rsidR="00DB731D" w:rsidRPr="00A52585">
        <w:rPr>
          <w:rFonts w:hint="cs"/>
          <w:rtl/>
          <w:lang w:bidi="ar-KW"/>
        </w:rPr>
        <w:t>،</w:t>
      </w:r>
      <w:r w:rsidR="00777DCB" w:rsidRPr="00A52585">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ل</w:t>
      </w:r>
      <w:r w:rsidRPr="00A52585">
        <w:rPr>
          <w:rFonts w:hint="cs"/>
          <w:rtl/>
          <w:lang w:bidi="ar-KW"/>
        </w:rPr>
        <w:t>)</w:t>
      </w:r>
      <w:r w:rsidR="00777DCB" w:rsidRPr="00A52585">
        <w:rPr>
          <w:rFonts w:hint="cs"/>
          <w:rtl/>
          <w:lang w:bidi="ar-KW"/>
        </w:rPr>
        <w:t xml:space="preserve"> وهم يدعون التمسك بكتاب الله وسنة رسوله الكريم صلى الله عليه وسلم وهدي السلف الكرام وأكرم بذلك من طريق</w:t>
      </w:r>
      <w:r w:rsidR="00DB731D" w:rsidRPr="00A52585">
        <w:rPr>
          <w:rFonts w:hint="cs"/>
          <w:rtl/>
          <w:lang w:bidi="ar-KW"/>
        </w:rPr>
        <w:t>،</w:t>
      </w:r>
      <w:r w:rsidR="00777DCB" w:rsidRPr="00A52585">
        <w:rPr>
          <w:rFonts w:hint="cs"/>
          <w:rtl/>
          <w:lang w:bidi="ar-KW"/>
        </w:rPr>
        <w:t xml:space="preserve"> وأعظم به من منهاج</w:t>
      </w:r>
      <w:r w:rsidR="00DB731D" w:rsidRPr="00A52585">
        <w:rPr>
          <w:rFonts w:hint="cs"/>
          <w:rtl/>
          <w:lang w:bidi="ar-KW"/>
        </w:rPr>
        <w:t>،</w:t>
      </w:r>
      <w:r w:rsidR="00777DCB" w:rsidRPr="00A52585">
        <w:rPr>
          <w:rFonts w:hint="cs"/>
          <w:rtl/>
          <w:lang w:bidi="ar-KW"/>
        </w:rPr>
        <w:t xml:space="preserve"> ولكن لم يكن لهم توسع في دراسة أدلة تنزيه الذات من الكتاب والسنة</w:t>
      </w:r>
      <w:r w:rsidR="00DB731D" w:rsidRPr="00A52585">
        <w:rPr>
          <w:rFonts w:hint="cs"/>
          <w:rtl/>
          <w:lang w:bidi="ar-KW"/>
        </w:rPr>
        <w:t>،</w:t>
      </w:r>
      <w:r w:rsidR="00777DCB" w:rsidRPr="00A52585">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DB731D" w:rsidRPr="00A52585">
        <w:rPr>
          <w:rFonts w:hint="cs"/>
          <w:rtl/>
          <w:lang w:bidi="ar-KW"/>
        </w:rPr>
        <w:t>،</w:t>
      </w:r>
      <w:r w:rsidR="00777DCB" w:rsidRPr="00A52585">
        <w:rPr>
          <w:rFonts w:hint="cs"/>
          <w:rtl/>
          <w:lang w:bidi="ar-KW"/>
        </w:rPr>
        <w:t xml:space="preserve"> ولو تواضعوا للعلم ودرسوا</w:t>
      </w:r>
      <w:r w:rsidRPr="00A52585">
        <w:rPr>
          <w:rFonts w:hint="cs"/>
          <w:rtl/>
          <w:lang w:bidi="ar-KW"/>
        </w:rPr>
        <w:t xml:space="preserve"> (</w:t>
      </w:r>
      <w:r w:rsidR="00777DCB" w:rsidRPr="00A52585">
        <w:rPr>
          <w:rFonts w:hint="cs"/>
          <w:rtl/>
          <w:lang w:bidi="ar-KW"/>
        </w:rPr>
        <w:t>علم توحيد الذات</w:t>
      </w:r>
      <w:r w:rsidRPr="00A52585">
        <w:rPr>
          <w:rFonts w:hint="cs"/>
          <w:rtl/>
          <w:lang w:bidi="ar-KW"/>
        </w:rPr>
        <w:t>)</w:t>
      </w:r>
      <w:r w:rsidR="00777DCB" w:rsidRPr="00A52585">
        <w:rPr>
          <w:rFonts w:hint="cs"/>
          <w:rtl/>
          <w:lang w:bidi="ar-KW"/>
        </w:rPr>
        <w:t xml:space="preserve"> وقواعد التسبيح والتقديس والتنزيه على يد المتخصصين لما كانوا على هذه الحالة التي بها صاروا</w:t>
      </w:r>
      <w:r w:rsidRPr="00A52585">
        <w:rPr>
          <w:rFonts w:hint="cs"/>
          <w:rtl/>
          <w:lang w:bidi="ar-KW"/>
        </w:rPr>
        <w:t xml:space="preserve"> </w:t>
      </w:r>
      <w:r w:rsidR="00777DCB" w:rsidRPr="00A52585">
        <w:rPr>
          <w:rFonts w:hint="cs"/>
          <w:rtl/>
          <w:lang w:bidi="ar-KW"/>
        </w:rPr>
        <w:t>أدنى مرتبة من العوام</w:t>
      </w:r>
      <w:r w:rsidR="00DB731D" w:rsidRPr="00A52585">
        <w:rPr>
          <w:rFonts w:hint="cs"/>
          <w:rtl/>
          <w:lang w:bidi="ar-KW"/>
        </w:rPr>
        <w:t>،</w:t>
      </w:r>
      <w:r w:rsidR="00777DCB" w:rsidRPr="00A52585">
        <w:rPr>
          <w:rFonts w:hint="cs"/>
          <w:rtl/>
          <w:lang w:bidi="ar-KW"/>
        </w:rPr>
        <w:t xml:space="preserve"> لا يحترمون تخصصات أهل العلم بخاصة أهل الأصول</w:t>
      </w:r>
      <w:r w:rsidR="00DB731D" w:rsidRPr="00A52585">
        <w:rPr>
          <w:rFonts w:hint="cs"/>
          <w:rtl/>
          <w:lang w:bidi="ar-KW"/>
        </w:rPr>
        <w:t>،</w:t>
      </w:r>
      <w:r w:rsidR="00777DCB" w:rsidRPr="00A52585">
        <w:rPr>
          <w:rFonts w:hint="cs"/>
          <w:rtl/>
          <w:lang w:bidi="ar-KW"/>
        </w:rPr>
        <w:t xml:space="preserve"> بل صاروا قطاعا للطريق إلى الله وقفوا على طريق المسلمين يكفرون ويبدعون ويفسقون من حيث لا يعلمون</w:t>
      </w:r>
      <w:r w:rsidR="00DB731D" w:rsidRPr="00A52585">
        <w:rPr>
          <w:rFonts w:hint="cs"/>
          <w:rtl/>
          <w:lang w:bidi="ar-KW"/>
        </w:rPr>
        <w:t>،</w:t>
      </w:r>
      <w:r w:rsidR="00777DCB" w:rsidRPr="00A52585">
        <w:rPr>
          <w:rFonts w:hint="cs"/>
          <w:rtl/>
          <w:lang w:bidi="ar-KW"/>
        </w:rPr>
        <w:t xml:space="preserve"> نسأل الله تعالى لنا ولهم الهداية</w:t>
      </w:r>
      <w:r w:rsidR="00DB731D" w:rsidRPr="00A52585">
        <w:rPr>
          <w:rFonts w:hint="cs"/>
          <w:rtl/>
          <w:lang w:bidi="ar-KW"/>
        </w:rPr>
        <w:t>،</w:t>
      </w:r>
      <w:r w:rsidR="00777DCB" w:rsidRPr="00A52585">
        <w:rPr>
          <w:rFonts w:hint="cs"/>
          <w:rtl/>
          <w:lang w:bidi="ar-KW"/>
        </w:rPr>
        <w:t xml:space="preserve"> ومن يرد الله به خيرا يفقه في الدين</w:t>
      </w:r>
      <w:r w:rsidR="00DB731D" w:rsidRPr="00A52585">
        <w:rPr>
          <w:rFonts w:hint="cs"/>
          <w:rtl/>
          <w:lang w:bidi="ar-KW"/>
        </w:rPr>
        <w:t>،</w:t>
      </w:r>
      <w:r w:rsidRPr="00A52585">
        <w:rPr>
          <w:rFonts w:hint="cs"/>
          <w:rtl/>
          <w:lang w:bidi="ar-KW"/>
        </w:rPr>
        <w:t xml:space="preserve"> (</w:t>
      </w:r>
      <w:r w:rsidR="00777DCB" w:rsidRPr="00A52585">
        <w:rPr>
          <w:rFonts w:hint="cs"/>
          <w:rtl/>
          <w:lang w:bidi="ar-KW"/>
        </w:rPr>
        <w:t>م</w:t>
      </w:r>
      <w:r w:rsidRPr="00A52585">
        <w:rPr>
          <w:rFonts w:hint="cs"/>
          <w:rtl/>
          <w:lang w:bidi="ar-KW"/>
        </w:rPr>
        <w:t>)</w:t>
      </w:r>
      <w:r w:rsidR="00777DCB" w:rsidRPr="00A52585">
        <w:rPr>
          <w:rFonts w:hint="cs"/>
          <w:rtl/>
          <w:lang w:bidi="ar-KW"/>
        </w:rPr>
        <w:t xml:space="preserve"> وهم مع ذلك متناقضون يفسرون الآيات وفق ما رسخ في أذهانهم من الحشو والتمثيل</w:t>
      </w:r>
      <w:r w:rsidR="00DB731D" w:rsidRPr="00A52585">
        <w:rPr>
          <w:rFonts w:hint="cs"/>
          <w:rtl/>
          <w:lang w:bidi="ar-KW"/>
        </w:rPr>
        <w:t>،</w:t>
      </w:r>
      <w:r w:rsidR="00777DCB" w:rsidRPr="00A52585">
        <w:rPr>
          <w:rFonts w:hint="cs"/>
          <w:rtl/>
          <w:lang w:bidi="ar-KW"/>
        </w:rPr>
        <w:t xml:space="preserve"> يؤولون آيات الإحاطة في مثل قوله تعالى </w:t>
      </w:r>
      <w:r w:rsidRPr="00A52585">
        <w:rPr>
          <w:rFonts w:hint="cs"/>
          <w:rtl/>
          <w:lang w:bidi="ar-KW"/>
        </w:rPr>
        <w:t>(</w:t>
      </w:r>
      <w:r w:rsidR="00777DCB" w:rsidRPr="00A52585">
        <w:rPr>
          <w:rFonts w:hint="cs"/>
          <w:rtl/>
          <w:lang w:bidi="ar-KW"/>
        </w:rPr>
        <w:t>والله بكل شيء محيط</w:t>
      </w:r>
      <w:r w:rsidRPr="00A52585">
        <w:rPr>
          <w:rFonts w:hint="cs"/>
          <w:rtl/>
          <w:lang w:bidi="ar-KW"/>
        </w:rPr>
        <w:t>)[</w:t>
      </w:r>
      <w:r w:rsidR="00777DCB" w:rsidRPr="00A52585">
        <w:rPr>
          <w:rFonts w:hint="cs"/>
          <w:rtl/>
        </w:rPr>
        <w:t>تنزيه الخالق سبحانه عن المكان ليس معناه أن الله في كل مكان إذ المكان مهما كبر فهو محدود والله تنزه عن الحدود</w:t>
      </w:r>
      <w:r w:rsidR="00DB731D" w:rsidRPr="00A52585">
        <w:rPr>
          <w:rFonts w:hint="cs"/>
          <w:rtl/>
        </w:rPr>
        <w:t>،</w:t>
      </w:r>
      <w:r w:rsidR="00777DCB" w:rsidRPr="00A52585">
        <w:rPr>
          <w:rFonts w:hint="cs"/>
          <w:rtl/>
        </w:rPr>
        <w:t xml:space="preserve"> والإحاطة في قوله تعالى </w:t>
      </w:r>
      <w:r w:rsidRPr="00A52585">
        <w:rPr>
          <w:rFonts w:hint="cs"/>
          <w:rtl/>
        </w:rPr>
        <w:t>{</w:t>
      </w:r>
      <w:r w:rsidR="00777DCB" w:rsidRPr="00A52585">
        <w:rPr>
          <w:rFonts w:hint="cs"/>
          <w:rtl/>
        </w:rPr>
        <w:t>والله بكل شيء محيط</w:t>
      </w:r>
      <w:r w:rsidRPr="00A52585">
        <w:rPr>
          <w:rFonts w:hint="cs"/>
          <w:rtl/>
        </w:rPr>
        <w:t>}</w:t>
      </w:r>
      <w:r w:rsidR="00777DCB" w:rsidRPr="00A52585">
        <w:rPr>
          <w:rFonts w:hint="cs"/>
          <w:rtl/>
        </w:rPr>
        <w:t xml:space="preserve"> ليس معناها أن الكون كله داخل في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إذ تنزه الخالق عن معاني الحلول والاتحاد ومعاني المماسة والاتصال ليس كذاته ذات</w:t>
      </w:r>
      <w:r w:rsidRPr="00A52585">
        <w:rPr>
          <w:rFonts w:hint="cs"/>
          <w:rtl/>
        </w:rPr>
        <w:t xml:space="preserve"> </w:t>
      </w:r>
      <w:r w:rsidR="00777DCB" w:rsidRPr="00A52585">
        <w:rPr>
          <w:rFonts w:hint="cs"/>
          <w:rtl/>
        </w:rPr>
        <w:t>تنزه عن كل ما خطر بقلوب البشر له الكمال والتنزيه المطلقين في ذاته وصفاته وافعاله ليس كمثله شيء ولا نحيط به علما</w:t>
      </w:r>
      <w:r w:rsidR="00DB731D" w:rsidRPr="00A52585">
        <w:rPr>
          <w:rFonts w:hint="cs"/>
          <w:rtl/>
        </w:rPr>
        <w:t>،</w:t>
      </w:r>
      <w:r w:rsidR="00777DCB" w:rsidRPr="00A52585">
        <w:rPr>
          <w:rFonts w:hint="cs"/>
          <w:rtl/>
        </w:rPr>
        <w:t xml:space="preserve"> نعجز عن ادراك ذاته</w:t>
      </w:r>
      <w:r w:rsidR="00DB731D" w:rsidRPr="00A52585">
        <w:rPr>
          <w:rFonts w:hint="cs"/>
          <w:rtl/>
        </w:rPr>
        <w:t>،</w:t>
      </w:r>
      <w:r w:rsidR="00777DCB" w:rsidRPr="00A52585">
        <w:rPr>
          <w:rFonts w:hint="cs"/>
          <w:rtl/>
        </w:rPr>
        <w:t xml:space="preserve"> ولا نستطيع ان نقدره قدره</w:t>
      </w:r>
      <w:r w:rsidR="00DB731D" w:rsidRPr="00A52585">
        <w:rPr>
          <w:rFonts w:hint="cs"/>
          <w:rtl/>
        </w:rPr>
        <w:t>،</w:t>
      </w:r>
      <w:r w:rsidR="00777DCB" w:rsidRPr="00A52585">
        <w:rPr>
          <w:rFonts w:hint="cs"/>
          <w:rtl/>
        </w:rPr>
        <w:t xml:space="preserve"> لا </w:t>
      </w:r>
      <w:r w:rsidR="00777DCB" w:rsidRPr="00A52585">
        <w:rPr>
          <w:rFonts w:hint="cs"/>
          <w:rtl/>
        </w:rPr>
        <w:lastRenderedPageBreak/>
        <w:t>نحصي ثناءً عليه</w:t>
      </w:r>
      <w:r w:rsidR="00DB731D" w:rsidRPr="00A52585">
        <w:rPr>
          <w:rFonts w:hint="cs"/>
          <w:rtl/>
        </w:rPr>
        <w:t>،</w:t>
      </w:r>
      <w:r w:rsidR="00777DCB" w:rsidRPr="00A52585">
        <w:rPr>
          <w:rFonts w:hint="cs"/>
          <w:rtl/>
        </w:rPr>
        <w:t xml:space="preserve"> هو كما أثنى على نفسه</w:t>
      </w:r>
      <w:r w:rsidR="00DB731D" w:rsidRPr="00A52585">
        <w:rPr>
          <w:rFonts w:hint="cs"/>
          <w:rtl/>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وكان الله بكل شيء محيطا</w:t>
      </w:r>
      <w:r w:rsidRPr="00A52585">
        <w:rPr>
          <w:rFonts w:hint="cs"/>
          <w:rtl/>
          <w:lang w:bidi="ar-KW"/>
        </w:rPr>
        <w:t>)</w:t>
      </w:r>
      <w:r w:rsidR="00777DCB" w:rsidRPr="00A52585">
        <w:rPr>
          <w:rFonts w:hint="cs"/>
          <w:rtl/>
          <w:lang w:bidi="ar-KW"/>
        </w:rPr>
        <w:t xml:space="preserve"> بالعلم والقدرة يؤولون آيات القرب في مثل قوله تعالى </w:t>
      </w:r>
      <w:r w:rsidRPr="00A52585">
        <w:rPr>
          <w:rFonts w:hint="cs"/>
          <w:rtl/>
          <w:lang w:bidi="ar-KW"/>
        </w:rPr>
        <w:t>(</w:t>
      </w:r>
      <w:r w:rsidR="00777DCB" w:rsidRPr="00A52585">
        <w:rPr>
          <w:rFonts w:hint="cs"/>
          <w:rtl/>
          <w:lang w:bidi="ar-KW"/>
        </w:rPr>
        <w:t>فإني قريب</w:t>
      </w:r>
      <w:r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ونحن أقرب إليه منكم ولكن لا تبصرون</w:t>
      </w:r>
      <w:r w:rsidRPr="00A52585">
        <w:rPr>
          <w:rFonts w:hint="cs"/>
          <w:rtl/>
          <w:lang w:bidi="ar-KW"/>
        </w:rPr>
        <w:t>)</w:t>
      </w:r>
      <w:r w:rsidR="00777DCB" w:rsidRPr="00A52585">
        <w:rPr>
          <w:rFonts w:hint="cs"/>
          <w:rtl/>
          <w:lang w:bidi="ar-KW"/>
        </w:rPr>
        <w:t xml:space="preserve"> وقوله تعالى </w:t>
      </w:r>
      <w:r w:rsidRPr="00A52585">
        <w:rPr>
          <w:rFonts w:hint="cs"/>
          <w:rtl/>
          <w:lang w:bidi="ar-KW"/>
        </w:rPr>
        <w:t>(</w:t>
      </w:r>
      <w:r w:rsidR="00777DCB" w:rsidRPr="00A52585">
        <w:rPr>
          <w:rFonts w:hint="cs"/>
          <w:rtl/>
          <w:lang w:bidi="ar-KW"/>
        </w:rPr>
        <w:t>ونحن أقرب إليه من حبل الوريد</w:t>
      </w:r>
      <w:r w:rsidRPr="00A52585">
        <w:rPr>
          <w:rFonts w:hint="cs"/>
          <w:rtl/>
          <w:lang w:bidi="ar-KW"/>
        </w:rPr>
        <w:t>)</w:t>
      </w:r>
      <w:r w:rsidR="00777DCB" w:rsidRPr="00A52585">
        <w:rPr>
          <w:rFonts w:hint="cs"/>
          <w:rtl/>
          <w:lang w:bidi="ar-KW"/>
        </w:rPr>
        <w:t xml:space="preserve"> بالعلم والقدرة تارة وبالملائكة تارة وذلك صحيح ولكن إذا أتوا إلى آيات الاستواء قالوا مستو على العرش بذاته </w:t>
      </w:r>
      <w:r w:rsidRPr="00A52585">
        <w:rPr>
          <w:rFonts w:hint="cs"/>
          <w:rtl/>
          <w:lang w:bidi="ar-KW"/>
        </w:rPr>
        <w:t>(</w:t>
      </w:r>
      <w:r w:rsidR="00777DCB" w:rsidRPr="00A52585">
        <w:rPr>
          <w:rFonts w:hint="cs"/>
          <w:rtl/>
          <w:lang w:bidi="ar-KW"/>
        </w:rPr>
        <w:t>سبحانه</w:t>
      </w:r>
      <w:r w:rsidRPr="00A52585">
        <w:rPr>
          <w:rFonts w:hint="cs"/>
          <w:rtl/>
          <w:lang w:bidi="ar-KW"/>
        </w:rPr>
        <w:t>)</w:t>
      </w:r>
      <w:r w:rsidR="00777DCB" w:rsidRPr="00A52585">
        <w:rPr>
          <w:rFonts w:hint="cs"/>
          <w:rtl/>
          <w:lang w:bidi="ar-KW"/>
        </w:rPr>
        <w:t xml:space="preserve"> فمن أين جاءوا من كتاب أو سنة أنه </w:t>
      </w:r>
      <w:r w:rsidRPr="00A52585">
        <w:rPr>
          <w:rFonts w:hint="cs"/>
          <w:rtl/>
          <w:lang w:bidi="ar-KW"/>
        </w:rPr>
        <w:t>(</w:t>
      </w:r>
      <w:r w:rsidR="00777DCB" w:rsidRPr="00A52585">
        <w:rPr>
          <w:rFonts w:hint="cs"/>
          <w:rtl/>
          <w:lang w:bidi="ar-KW"/>
        </w:rPr>
        <w:t>بذاته</w:t>
      </w:r>
      <w:r w:rsidRPr="00A52585">
        <w:rPr>
          <w:rFonts w:hint="cs"/>
          <w:rtl/>
          <w:lang w:bidi="ar-KW"/>
        </w:rPr>
        <w:t>)</w:t>
      </w:r>
      <w:r w:rsidR="00DB731D" w:rsidRPr="00A52585">
        <w:rPr>
          <w:rFonts w:hint="cs"/>
          <w:rtl/>
          <w:lang w:bidi="ar-KW"/>
        </w:rPr>
        <w:t>،</w:t>
      </w:r>
      <w:r w:rsidR="00777DCB" w:rsidRPr="00A52585">
        <w:rPr>
          <w:rFonts w:hint="cs"/>
          <w:rtl/>
          <w:lang w:bidi="ar-KW"/>
        </w:rPr>
        <w:t xml:space="preserve"> ولم لا يكون استواء ربوبية وقهر كما أن القرب قرب علم وقدرة</w:t>
      </w:r>
      <w:r w:rsidR="00DB731D" w:rsidRPr="00A52585">
        <w:rPr>
          <w:rFonts w:hint="cs"/>
          <w:rtl/>
          <w:lang w:bidi="ar-KW"/>
        </w:rPr>
        <w:t>،</w:t>
      </w:r>
      <w:r w:rsidRPr="00A52585">
        <w:rPr>
          <w:rFonts w:hint="cs"/>
          <w:rtl/>
          <w:lang w:bidi="ar-KW"/>
        </w:rPr>
        <w:t xml:space="preserve"> </w:t>
      </w:r>
      <w:r w:rsidR="00777DCB" w:rsidRPr="00A52585">
        <w:rPr>
          <w:rFonts w:hint="cs"/>
          <w:rtl/>
          <w:lang w:bidi="ar-KW"/>
        </w:rPr>
        <w:t xml:space="preserve">وقد قال الله تعالى _ مرشدا إياهم أن الأماكن كلها ملك لله _ </w:t>
      </w:r>
      <w:r w:rsidRPr="00A52585">
        <w:rPr>
          <w:rFonts w:hint="cs"/>
          <w:rtl/>
          <w:lang w:bidi="ar-KW"/>
        </w:rPr>
        <w:t>(</w:t>
      </w:r>
      <w:r w:rsidR="00777DCB" w:rsidRPr="00A52585">
        <w:rPr>
          <w:rFonts w:hint="cs"/>
          <w:rtl/>
          <w:lang w:bidi="ar-KW"/>
        </w:rPr>
        <w:t>ولله المشرق والمغرب فأينما تولوا فثم وجه الله إن الله واسع عليم</w:t>
      </w:r>
      <w:r w:rsidRPr="00A52585">
        <w:rPr>
          <w:rFonts w:hint="cs"/>
          <w:rtl/>
          <w:lang w:bidi="ar-KW"/>
        </w:rPr>
        <w:t>)</w:t>
      </w:r>
      <w:r w:rsidR="00777DCB" w:rsidRPr="00A52585">
        <w:rPr>
          <w:rFonts w:hint="cs"/>
          <w:rtl/>
          <w:lang w:bidi="ar-KW"/>
        </w:rPr>
        <w:t xml:space="preserve"> </w:t>
      </w:r>
    </w:p>
    <w:p w14:paraId="2C588CA0" w14:textId="7C0992EF" w:rsidR="00777DCB" w:rsidRPr="00A52585" w:rsidRDefault="0002035C" w:rsidP="0002035C">
      <w:pPr>
        <w:rPr>
          <w:rtl/>
          <w:lang w:bidi="ar-KW"/>
        </w:rPr>
      </w:pPr>
      <w:r w:rsidRPr="00A52585">
        <w:rPr>
          <w:rFonts w:eastAsia="Times New Roman" w:hint="cs"/>
          <w:bCs/>
          <w:rtl/>
        </w:rPr>
        <w:t>(</w:t>
      </w:r>
      <w:r w:rsidR="00777DCB" w:rsidRPr="00A52585">
        <w:rPr>
          <w:rFonts w:eastAsia="Times New Roman" w:hint="cs"/>
          <w:bCs/>
          <w:rtl/>
        </w:rPr>
        <w:t>11</w:t>
      </w:r>
      <w:r w:rsidRPr="00A52585">
        <w:rPr>
          <w:rFonts w:eastAsia="Times New Roman" w:hint="cs"/>
          <w:bCs/>
          <w:rtl/>
        </w:rPr>
        <w:t>)</w:t>
      </w:r>
      <w:r w:rsidR="00777DCB" w:rsidRPr="00A52585">
        <w:rPr>
          <w:rFonts w:eastAsia="Times New Roman" w:hint="cs"/>
          <w:bCs/>
          <w:rtl/>
        </w:rPr>
        <w:t xml:space="preserve"> المخالفة السابعة</w:t>
      </w:r>
      <w:r w:rsidRPr="00A52585">
        <w:rPr>
          <w:rFonts w:eastAsia="Times New Roman" w:hint="cs"/>
          <w:bCs/>
          <w:rtl/>
        </w:rPr>
        <w:t>:</w:t>
      </w:r>
      <w:r w:rsidR="00777DCB" w:rsidRPr="00A52585">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777DCB" w:rsidRPr="00A52585">
        <w:rPr>
          <w:rFonts w:hint="cs"/>
          <w:bCs/>
          <w:rtl/>
          <w:lang w:bidi="ar-KW"/>
        </w:rPr>
        <w:t>والمتفقين على تنزيه الله تعالى عن المكان والزمان</w:t>
      </w:r>
      <w:r w:rsidR="00DB731D" w:rsidRPr="00A52585">
        <w:rPr>
          <w:rFonts w:hint="cs"/>
          <w:bCs/>
          <w:rtl/>
          <w:lang w:bidi="ar-KW"/>
        </w:rPr>
        <w:t>،</w:t>
      </w:r>
      <w:r w:rsidR="00777DCB" w:rsidRPr="00A52585">
        <w:rPr>
          <w:rFonts w:hint="cs"/>
          <w:bCs/>
          <w:rtl/>
          <w:lang w:bidi="ar-KW"/>
        </w:rPr>
        <w:t xml:space="preserve"> فلا يحيط به مكان ولا يجري عليه زمان</w:t>
      </w:r>
      <w:r w:rsidR="00DB731D" w:rsidRPr="00A52585">
        <w:rPr>
          <w:rFonts w:hint="cs"/>
          <w:bCs/>
          <w:rtl/>
          <w:lang w:bidi="ar-KW"/>
        </w:rPr>
        <w:t>،</w:t>
      </w:r>
      <w:r w:rsidR="00777DCB" w:rsidRPr="00A52585">
        <w:rPr>
          <w:rFonts w:hint="cs"/>
          <w:bCs/>
          <w:rtl/>
          <w:lang w:bidi="ar-KW"/>
        </w:rPr>
        <w:t xml:space="preserve"> ومن أقوالهم في ذلك</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1</w:t>
      </w:r>
      <w:r w:rsidRPr="00A52585">
        <w:rPr>
          <w:rFonts w:hint="cs"/>
          <w:rtl/>
          <w:lang w:bidi="ar-KW"/>
        </w:rPr>
        <w:t>)</w:t>
      </w:r>
      <w:r w:rsidR="00777DCB" w:rsidRPr="00A52585">
        <w:rPr>
          <w:rFonts w:hint="cs"/>
          <w:rtl/>
          <w:lang w:bidi="ar-KW"/>
        </w:rPr>
        <w:t xml:space="preserve"> </w:t>
      </w:r>
      <w:r w:rsidR="00777DCB" w:rsidRPr="00A52585">
        <w:rPr>
          <w:rFonts w:hint="cs"/>
          <w:bCs/>
          <w:rtl/>
        </w:rPr>
        <w:t>قول الإمام الطحاوي</w:t>
      </w:r>
      <w:r w:rsidR="00777DCB" w:rsidRPr="00A52585">
        <w:rPr>
          <w:rFonts w:hint="cs"/>
          <w:rtl/>
        </w:rPr>
        <w:t xml:space="preserve"> - وهو من</w:t>
      </w:r>
      <w:r w:rsidR="00777DCB" w:rsidRPr="00A52585">
        <w:rPr>
          <w:rFonts w:hint="cs"/>
        </w:rPr>
        <w:t xml:space="preserve"> </w:t>
      </w:r>
      <w:r w:rsidR="00777DCB" w:rsidRPr="00A52585">
        <w:rPr>
          <w:rFonts w:hint="cs"/>
          <w:rtl/>
        </w:rPr>
        <w:t>كبار أئمة السلف وهو أعلم بأقوالهم ومذاهبهم - قال</w:t>
      </w:r>
      <w:r w:rsidRPr="00A52585">
        <w:rPr>
          <w:rFonts w:hint="cs"/>
          <w:rtl/>
        </w:rPr>
        <w:t>:</w:t>
      </w:r>
      <w:r w:rsidR="00777DCB" w:rsidRPr="00A52585">
        <w:rPr>
          <w:rFonts w:hint="cs"/>
          <w:rtl/>
          <w:lang w:bidi="ar-KW"/>
        </w:rPr>
        <w:t xml:space="preserve"> </w:t>
      </w:r>
      <w:r w:rsidRPr="00A52585">
        <w:rPr>
          <w:rFonts w:hint="cs"/>
          <w:rtl/>
        </w:rPr>
        <w:t>(</w:t>
      </w:r>
      <w:r w:rsidR="00777DCB" w:rsidRPr="00A52585">
        <w:rPr>
          <w:rFonts w:hint="cs"/>
          <w:rtl/>
        </w:rPr>
        <w:t>هذا ذكر بيان عقيدة أهل السنة</w:t>
      </w:r>
      <w:r w:rsidR="00777DCB" w:rsidRPr="00A52585">
        <w:rPr>
          <w:rFonts w:hint="cs"/>
        </w:rPr>
        <w:t xml:space="preserve"> </w:t>
      </w:r>
      <w:r w:rsidR="00777DCB" w:rsidRPr="00A52585">
        <w:rPr>
          <w:rFonts w:hint="cs"/>
          <w:rtl/>
        </w:rPr>
        <w:t>والجماعة على مذهب فقهاء الملة والدين أبي حنيفة النعمان وصاحبيه أبي يوسف</w:t>
      </w:r>
      <w:r w:rsidR="00777DCB" w:rsidRPr="00A52585">
        <w:rPr>
          <w:rFonts w:hint="cs"/>
        </w:rPr>
        <w:t xml:space="preserve"> </w:t>
      </w:r>
      <w:r w:rsidR="00777DCB" w:rsidRPr="00A52585">
        <w:rPr>
          <w:rFonts w:hint="cs"/>
          <w:rtl/>
        </w:rPr>
        <w:t>القاضي ومحمد بن الحسن الشيباني</w:t>
      </w:r>
      <w:r w:rsidR="00897A24" w:rsidRPr="00A52585">
        <w:rPr>
          <w:rFonts w:hint="cs"/>
          <w:rtl/>
        </w:rPr>
        <w:t>.</w:t>
      </w:r>
      <w:r w:rsidR="00777DCB" w:rsidRPr="00A52585">
        <w:rPr>
          <w:rFonts w:hint="cs"/>
          <w:rtl/>
        </w:rPr>
        <w:t>.. وتعالى عن الحدود والغايات والأركان والأعضاء</w:t>
      </w:r>
      <w:r w:rsidR="00777DCB" w:rsidRPr="00A52585">
        <w:rPr>
          <w:rFonts w:hint="cs"/>
        </w:rPr>
        <w:t xml:space="preserve"> </w:t>
      </w:r>
      <w:r w:rsidR="00777DCB" w:rsidRPr="00A52585">
        <w:rPr>
          <w:rFonts w:hint="cs"/>
          <w:rtl/>
        </w:rPr>
        <w:t>والأدوات، لا تحويه الجهات الست كسائر المبتدعات)</w:t>
      </w:r>
      <w:r w:rsidRPr="00A52585">
        <w:rPr>
          <w:rFonts w:hint="cs"/>
          <w:rtl/>
        </w:rPr>
        <w:t xml:space="preserve"> </w:t>
      </w:r>
      <w:r w:rsidR="00777DCB" w:rsidRPr="00A52585">
        <w:rPr>
          <w:rFonts w:hint="cs"/>
          <w:rtl/>
        </w:rPr>
        <w:t>أهــ</w:t>
      </w:r>
      <w:r w:rsidRPr="00A52585">
        <w:rPr>
          <w:rtl/>
        </w:rPr>
        <w:t xml:space="preserve"> </w:t>
      </w:r>
      <w:r w:rsidRPr="00A52585">
        <w:rPr>
          <w:rFonts w:hint="cs"/>
          <w:rtl/>
          <w:lang w:bidi="ar-KW"/>
        </w:rPr>
        <w:t>[</w:t>
      </w:r>
      <w:r w:rsidR="00777DCB" w:rsidRPr="00A52585">
        <w:rPr>
          <w:rFonts w:hint="cs"/>
          <w:rtl/>
          <w:lang w:bidi="ar-KW"/>
        </w:rPr>
        <w:t>متن العقيدة الطحاوية</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w:t>
      </w:r>
      <w:r w:rsidR="00777DCB" w:rsidRPr="00A52585">
        <w:rPr>
          <w:rFonts w:hint="cs"/>
          <w:bCs/>
          <w:rtl/>
        </w:rPr>
        <w:t>وقال الإمام</w:t>
      </w:r>
      <w:r w:rsidR="00777DCB" w:rsidRPr="00A52585">
        <w:rPr>
          <w:rFonts w:hint="cs"/>
          <w:bCs/>
        </w:rPr>
        <w:t xml:space="preserve"> </w:t>
      </w:r>
      <w:r w:rsidR="00777DCB" w:rsidRPr="00A52585">
        <w:rPr>
          <w:rFonts w:hint="cs"/>
          <w:bCs/>
          <w:rtl/>
        </w:rPr>
        <w:t>أبو منصور عبد القاهر بن طاهر التميمي البغدادي الإسفراييني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وأجمعوا- أي أهل السنة- على أنه -</w:t>
      </w:r>
      <w:r w:rsidRPr="00A52585">
        <w:rPr>
          <w:rFonts w:hint="cs"/>
          <w:rtl/>
        </w:rPr>
        <w:t xml:space="preserve"> </w:t>
      </w:r>
      <w:r w:rsidR="00777DCB" w:rsidRPr="00A52585">
        <w:rPr>
          <w:rFonts w:hint="cs"/>
          <w:rtl/>
        </w:rPr>
        <w:t xml:space="preserve">أي الله تعالى - لا </w:t>
      </w:r>
      <w:proofErr w:type="spellStart"/>
      <w:r w:rsidR="00777DCB" w:rsidRPr="00A52585">
        <w:rPr>
          <w:rFonts w:hint="cs"/>
          <w:rtl/>
        </w:rPr>
        <w:t>يحويه</w:t>
      </w:r>
      <w:proofErr w:type="spellEnd"/>
      <w:r w:rsidR="00777DCB" w:rsidRPr="00A52585">
        <w:rPr>
          <w:rFonts w:hint="cs"/>
          <w:rtl/>
        </w:rPr>
        <w:t xml:space="preserve"> مكان ولا يجري عليه زمان</w:t>
      </w:r>
      <w:r w:rsidRPr="00A52585">
        <w:rPr>
          <w:rtl/>
        </w:rPr>
        <w:t>)</w:t>
      </w:r>
      <w:r w:rsidR="00777DCB" w:rsidRPr="00A52585">
        <w:rPr>
          <w:rFonts w:hint="cs"/>
          <w:rtl/>
          <w:lang w:bidi="ar-KW"/>
        </w:rPr>
        <w:t xml:space="preserve"> </w:t>
      </w:r>
      <w:r w:rsidR="00777DCB" w:rsidRPr="00A52585">
        <w:rPr>
          <w:rFonts w:hint="cs"/>
          <w:rtl/>
        </w:rPr>
        <w:t>أهـ</w:t>
      </w:r>
      <w:r w:rsidRPr="00A52585">
        <w:rPr>
          <w:rFonts w:hint="cs"/>
          <w:rtl/>
        </w:rPr>
        <w:t xml:space="preserve"> </w:t>
      </w:r>
      <w:r w:rsidRPr="00A52585">
        <w:rPr>
          <w:rFonts w:hint="cs"/>
          <w:rtl/>
          <w:lang w:bidi="ar-KW"/>
        </w:rPr>
        <w:t>[</w:t>
      </w:r>
      <w:r w:rsidR="00777DCB" w:rsidRPr="00A52585">
        <w:rPr>
          <w:rFonts w:hint="cs"/>
          <w:rtl/>
          <w:lang w:bidi="ar-KW"/>
        </w:rPr>
        <w:t>الفرق بين الفرق صـ 333</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rPr>
        <w:t>(</w:t>
      </w:r>
      <w:r w:rsidR="00777DCB" w:rsidRPr="00A52585">
        <w:rPr>
          <w:rFonts w:hint="cs"/>
          <w:rtl/>
        </w:rPr>
        <w:t>3</w:t>
      </w:r>
      <w:r w:rsidRPr="00A52585">
        <w:rPr>
          <w:rFonts w:hint="cs"/>
          <w:rtl/>
        </w:rPr>
        <w:t>)</w:t>
      </w:r>
      <w:r w:rsidR="00777DCB" w:rsidRPr="00A52585">
        <w:rPr>
          <w:rFonts w:hint="cs"/>
          <w:rtl/>
        </w:rPr>
        <w:t xml:space="preserve"> </w:t>
      </w:r>
      <w:r w:rsidR="00777DCB" w:rsidRPr="00A52585">
        <w:rPr>
          <w:rFonts w:hint="cs"/>
          <w:bCs/>
          <w:rtl/>
        </w:rPr>
        <w:t>وقال الإمام أبو المظفر الإسفراييني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الباب</w:t>
      </w:r>
      <w:r w:rsidR="00777DCB" w:rsidRPr="00A52585">
        <w:rPr>
          <w:rFonts w:hint="cs"/>
        </w:rPr>
        <w:t xml:space="preserve"> </w:t>
      </w:r>
      <w:r w:rsidR="00777DCB" w:rsidRPr="00A52585">
        <w:rPr>
          <w:rFonts w:hint="cs"/>
          <w:rtl/>
        </w:rPr>
        <w:t xml:space="preserve">الخامس عشر في بيان اعتقاد أهل السنة والجماعة: وأن تعلم أن كل ما دل على حدوث </w:t>
      </w:r>
      <w:proofErr w:type="spellStart"/>
      <w:r w:rsidR="00777DCB" w:rsidRPr="00A52585">
        <w:rPr>
          <w:rFonts w:hint="cs"/>
          <w:rtl/>
        </w:rPr>
        <w:t>شىء</w:t>
      </w:r>
      <w:proofErr w:type="spellEnd"/>
      <w:r w:rsidR="00777DCB" w:rsidRPr="00A52585">
        <w:rPr>
          <w:rFonts w:hint="cs"/>
        </w:rPr>
        <w:t xml:space="preserve"> </w:t>
      </w:r>
      <w:r w:rsidR="00777DCB" w:rsidRPr="00A52585">
        <w:rPr>
          <w:rFonts w:hint="cs"/>
          <w:rtl/>
        </w:rPr>
        <w:t>من الحد، والنهاية، والمكان، والجهة، والسكون، والحركة، فهو مستحيل عليه سبحانه</w:t>
      </w:r>
      <w:r w:rsidR="00777DCB" w:rsidRPr="00A52585">
        <w:rPr>
          <w:rFonts w:hint="cs"/>
        </w:rPr>
        <w:t xml:space="preserve"> </w:t>
      </w:r>
      <w:r w:rsidR="00777DCB" w:rsidRPr="00A52585">
        <w:rPr>
          <w:rFonts w:hint="cs"/>
          <w:rtl/>
        </w:rPr>
        <w:t xml:space="preserve">وتعالى، لأن ما لا يكون محدثا لا يجوز عليه ما هو دليل على الحدوث " أهـ </w:t>
      </w:r>
      <w:r w:rsidRPr="00A52585">
        <w:rPr>
          <w:rFonts w:hint="cs"/>
          <w:rtl/>
        </w:rPr>
        <w:t>[</w:t>
      </w:r>
      <w:r w:rsidR="00777DCB" w:rsidRPr="00A52585">
        <w:rPr>
          <w:rFonts w:hint="cs"/>
          <w:rtl/>
        </w:rPr>
        <w:t>التبصير</w:t>
      </w:r>
      <w:r w:rsidR="00777DCB" w:rsidRPr="00A52585">
        <w:rPr>
          <w:rFonts w:hint="cs"/>
        </w:rPr>
        <w:t xml:space="preserve"> </w:t>
      </w:r>
      <w:r w:rsidR="00777DCB" w:rsidRPr="00A52585">
        <w:rPr>
          <w:rFonts w:hint="cs"/>
          <w:rtl/>
        </w:rPr>
        <w:t>في الدين ص161</w:t>
      </w:r>
      <w:r w:rsidRPr="00A52585">
        <w:rPr>
          <w:rFonts w:hint="cs"/>
          <w:rtl/>
        </w:rPr>
        <w:t>]</w:t>
      </w:r>
      <w:r w:rsidR="00DB731D" w:rsidRPr="00A52585">
        <w:rPr>
          <w:rFonts w:hint="cs"/>
          <w:rtl/>
          <w:lang w:bidi="ar-KW"/>
        </w:rPr>
        <w:t>،</w:t>
      </w:r>
      <w:r w:rsidRPr="00A52585">
        <w:rPr>
          <w:rFonts w:hint="cs"/>
          <w:rtl/>
          <w:lang w:bidi="ar-KW"/>
        </w:rPr>
        <w:t xml:space="preserve"> (</w:t>
      </w:r>
      <w:r w:rsidR="00777DCB" w:rsidRPr="00A52585">
        <w:rPr>
          <w:rFonts w:hint="cs"/>
          <w:rtl/>
          <w:lang w:bidi="ar-KW"/>
        </w:rPr>
        <w:t>4</w:t>
      </w:r>
      <w:r w:rsidRPr="00A52585">
        <w:rPr>
          <w:rFonts w:hint="cs"/>
          <w:rtl/>
          <w:lang w:bidi="ar-KW"/>
        </w:rPr>
        <w:t>)</w:t>
      </w:r>
      <w:r w:rsidR="00777DCB" w:rsidRPr="00A52585">
        <w:rPr>
          <w:rFonts w:hint="cs"/>
          <w:rtl/>
          <w:lang w:bidi="ar-KW"/>
        </w:rPr>
        <w:t xml:space="preserve"> </w:t>
      </w:r>
      <w:r w:rsidR="00777DCB" w:rsidRPr="00A52585">
        <w:rPr>
          <w:rFonts w:hint="cs"/>
          <w:bCs/>
          <w:rtl/>
        </w:rPr>
        <w:t>وقال الإمام</w:t>
      </w:r>
      <w:r w:rsidR="00777DCB" w:rsidRPr="00A52585">
        <w:rPr>
          <w:rFonts w:hint="cs"/>
          <w:bCs/>
        </w:rPr>
        <w:t xml:space="preserve"> </w:t>
      </w:r>
      <w:proofErr w:type="spellStart"/>
      <w:r w:rsidR="00777DCB" w:rsidRPr="00A52585">
        <w:rPr>
          <w:rFonts w:hint="cs"/>
          <w:bCs/>
          <w:rtl/>
        </w:rPr>
        <w:t>الشهرستاني</w:t>
      </w:r>
      <w:proofErr w:type="spellEnd"/>
      <w:r w:rsidR="00777DCB" w:rsidRPr="00A52585">
        <w:rPr>
          <w:rFonts w:hint="cs"/>
          <w:bCs/>
          <w:rtl/>
        </w:rPr>
        <w:t xml:space="preserve"> الشافعي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فمذهب أهل الحق أن الله سبحانه</w:t>
      </w:r>
      <w:r w:rsidR="00777DCB" w:rsidRPr="00A52585">
        <w:rPr>
          <w:rFonts w:hint="cs"/>
        </w:rPr>
        <w:t xml:space="preserve"> </w:t>
      </w:r>
      <w:r w:rsidR="00777DCB" w:rsidRPr="00A52585">
        <w:rPr>
          <w:rFonts w:hint="cs"/>
          <w:rtl/>
        </w:rPr>
        <w:t xml:space="preserve">لا يشبه شيئا من المخلوقات ولا يشبهه </w:t>
      </w:r>
      <w:proofErr w:type="spellStart"/>
      <w:r w:rsidR="00777DCB" w:rsidRPr="00A52585">
        <w:rPr>
          <w:rFonts w:hint="cs"/>
          <w:rtl/>
        </w:rPr>
        <w:t>شىء</w:t>
      </w:r>
      <w:proofErr w:type="spellEnd"/>
      <w:r w:rsidR="00777DCB" w:rsidRPr="00A52585">
        <w:rPr>
          <w:rFonts w:hint="cs"/>
          <w:rtl/>
        </w:rPr>
        <w:t xml:space="preserve"> منها بوجه من وجوه المشابهة</w:t>
      </w:r>
      <w:r w:rsidR="00777DCB" w:rsidRPr="00A52585">
        <w:rPr>
          <w:rFonts w:hint="cs"/>
        </w:rPr>
        <w:t xml:space="preserve"> </w:t>
      </w:r>
      <w:r w:rsidR="00777DCB" w:rsidRPr="00A52585">
        <w:rPr>
          <w:rFonts w:hint="cs"/>
          <w:rtl/>
        </w:rPr>
        <w:t xml:space="preserve">والمماثلة </w:t>
      </w:r>
      <w:r w:rsidRPr="00A52585">
        <w:rPr>
          <w:rFonts w:hint="cs"/>
          <w:rtl/>
        </w:rPr>
        <w:t>{</w:t>
      </w:r>
      <w:r w:rsidR="00777DCB" w:rsidRPr="00A52585">
        <w:rPr>
          <w:rFonts w:hint="cs"/>
          <w:rtl/>
        </w:rPr>
        <w:t>لَيْسَ كَمِثْلِهِ شَيْءٌ وَهُوَ السَّمِيعُ البَصِيرُ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سورة</w:t>
      </w:r>
      <w:r w:rsidR="00777DCB" w:rsidRPr="00A52585">
        <w:rPr>
          <w:rFonts w:hint="cs"/>
        </w:rPr>
        <w:t xml:space="preserve"> </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فليس البارئ سبحانه بجوهر ولا جسم ولا عرض ولا في مكان ولا في زمان</w:t>
      </w:r>
      <w:r w:rsidRPr="00A52585">
        <w:rPr>
          <w:rFonts w:hint="cs"/>
          <w:rtl/>
        </w:rPr>
        <w:t>)</w:t>
      </w:r>
      <w:r w:rsidR="00777DCB" w:rsidRPr="00A52585">
        <w:rPr>
          <w:rFonts w:hint="cs"/>
        </w:rPr>
        <w:t xml:space="preserve"> </w:t>
      </w:r>
      <w:r w:rsidR="00777DCB" w:rsidRPr="00A52585">
        <w:rPr>
          <w:rFonts w:hint="cs"/>
          <w:rtl/>
        </w:rPr>
        <w:t xml:space="preserve">أهــ </w:t>
      </w:r>
      <w:r w:rsidRPr="00A52585">
        <w:rPr>
          <w:rFonts w:hint="cs"/>
          <w:rtl/>
        </w:rPr>
        <w:t>[</w:t>
      </w:r>
      <w:r w:rsidR="00777DCB" w:rsidRPr="00A52585">
        <w:rPr>
          <w:rFonts w:hint="cs"/>
          <w:rtl/>
        </w:rPr>
        <w:t xml:space="preserve">الملل والنحل </w:t>
      </w:r>
      <w:proofErr w:type="spellStart"/>
      <w:r w:rsidR="00777DCB" w:rsidRPr="00A52585">
        <w:rPr>
          <w:rFonts w:hint="cs"/>
          <w:rtl/>
        </w:rPr>
        <w:t>للشهرستاني</w:t>
      </w:r>
      <w:proofErr w:type="spellEnd"/>
      <w:r w:rsidRPr="00A52585">
        <w:rPr>
          <w:rFonts w:hint="cs"/>
          <w:rtl/>
        </w:rPr>
        <w:t>]</w:t>
      </w:r>
      <w:r w:rsidR="00DB731D"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lang w:bidi="ar-KW"/>
        </w:rPr>
        <w:t>5</w:t>
      </w:r>
      <w:r w:rsidRPr="00A52585">
        <w:rPr>
          <w:rFonts w:hint="cs"/>
          <w:rtl/>
          <w:lang w:bidi="ar-KW"/>
        </w:rPr>
        <w:t>)</w:t>
      </w:r>
      <w:r w:rsidR="00777DCB" w:rsidRPr="00A52585">
        <w:rPr>
          <w:rFonts w:hint="cs"/>
          <w:rtl/>
          <w:lang w:bidi="ar-KW"/>
        </w:rPr>
        <w:t xml:space="preserve"> </w:t>
      </w:r>
      <w:r w:rsidR="00777DCB" w:rsidRPr="00A52585">
        <w:rPr>
          <w:rFonts w:hint="cs"/>
          <w:bCs/>
          <w:rtl/>
          <w:lang w:bidi="ar-KW"/>
        </w:rPr>
        <w:t xml:space="preserve">وقال </w:t>
      </w:r>
      <w:r w:rsidR="00777DCB" w:rsidRPr="00A52585">
        <w:rPr>
          <w:rFonts w:hint="cs"/>
          <w:bCs/>
          <w:rtl/>
        </w:rPr>
        <w:t>الإمام فخر الدين الرازي</w:t>
      </w:r>
      <w:r w:rsidR="00777DCB" w:rsidRPr="00A52585">
        <w:rPr>
          <w:rFonts w:hint="cs"/>
          <w:rtl/>
        </w:rPr>
        <w:t xml:space="preserve"> في تفسيره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انعقد</w:t>
      </w:r>
      <w:r w:rsidR="00777DCB" w:rsidRPr="00A52585">
        <w:rPr>
          <w:rFonts w:hint="cs"/>
        </w:rPr>
        <w:t xml:space="preserve"> </w:t>
      </w:r>
      <w:r w:rsidR="00777DCB" w:rsidRPr="00A52585">
        <w:rPr>
          <w:rFonts w:hint="cs"/>
          <w:rtl/>
        </w:rPr>
        <w:t>الإجماع على أنه سبحانه ليس معنا بالمكان والجهة والحيز</w:t>
      </w:r>
      <w:r w:rsidRPr="00A52585">
        <w:rPr>
          <w:rFonts w:hint="cs"/>
          <w:rtl/>
        </w:rPr>
        <w:t>)</w:t>
      </w:r>
      <w:r w:rsidR="00777DCB" w:rsidRPr="00A52585">
        <w:rPr>
          <w:rFonts w:hint="cs"/>
          <w:rtl/>
        </w:rPr>
        <w:t xml:space="preserve"> أهــ </w:t>
      </w:r>
      <w:r w:rsidRPr="00A52585">
        <w:rPr>
          <w:rFonts w:hint="cs"/>
          <w:rtl/>
        </w:rPr>
        <w:t>[</w:t>
      </w:r>
      <w:r w:rsidR="00777DCB" w:rsidRPr="00A52585">
        <w:rPr>
          <w:rFonts w:hint="cs"/>
          <w:rtl/>
        </w:rPr>
        <w:t>تفسير الرازي 29:216</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6</w:t>
      </w:r>
      <w:r w:rsidRPr="00A52585">
        <w:rPr>
          <w:rFonts w:hint="cs"/>
          <w:rtl/>
        </w:rPr>
        <w:t>)</w:t>
      </w:r>
      <w:r w:rsidR="00777DCB" w:rsidRPr="00A52585">
        <w:rPr>
          <w:rFonts w:hint="cs"/>
          <w:rtl/>
        </w:rPr>
        <w:t xml:space="preserve"> </w:t>
      </w:r>
      <w:r w:rsidR="00777DCB" w:rsidRPr="00A52585">
        <w:rPr>
          <w:rFonts w:hint="cs"/>
          <w:bCs/>
          <w:rtl/>
        </w:rPr>
        <w:t>وقال إمام أهل السنة أبو منصور الماتريدي</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333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إن الله سبحانه </w:t>
      </w:r>
      <w:r w:rsidR="00777DCB" w:rsidRPr="00A52585">
        <w:rPr>
          <w:rFonts w:hint="cs"/>
          <w:rtl/>
        </w:rPr>
        <w:lastRenderedPageBreak/>
        <w:t>كان ولا مكان، وجائز ارتفاع الأمكنة وبقاؤه على ما كان، فهو على ما كان، وكان على ما عليه الان، جل عن التغير والزوال والاستحالة</w:t>
      </w:r>
      <w:r w:rsidRPr="00A52585">
        <w:rPr>
          <w:rFonts w:hint="cs"/>
          <w:rtl/>
        </w:rPr>
        <w:t xml:space="preserve">) </w:t>
      </w:r>
      <w:r w:rsidR="00777DCB" w:rsidRPr="00A52585">
        <w:rPr>
          <w:rFonts w:hint="cs"/>
          <w:rtl/>
        </w:rPr>
        <w:t>اهـ.</w:t>
      </w:r>
      <w:r w:rsidR="00777DCB" w:rsidRPr="00A52585">
        <w:rPr>
          <w:rFonts w:eastAsia="Times New Roman" w:hint="cs"/>
          <w:rtl/>
        </w:rPr>
        <w:t xml:space="preserve"> [</w:t>
      </w:r>
      <w:r w:rsidR="00777DCB" w:rsidRPr="00A52585">
        <w:rPr>
          <w:rFonts w:hint="cs"/>
          <w:rtl/>
        </w:rPr>
        <w:t>كتاب التوحيد (ص/ 69).]</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7</w:t>
      </w:r>
      <w:r w:rsidRPr="00A52585">
        <w:rPr>
          <w:rFonts w:hint="cs"/>
          <w:rtl/>
        </w:rPr>
        <w:t>)</w:t>
      </w:r>
      <w:r w:rsidR="00777DCB" w:rsidRPr="00A52585">
        <w:rPr>
          <w:rFonts w:hint="cs"/>
          <w:rtl/>
        </w:rPr>
        <w:t xml:space="preserve"> </w:t>
      </w:r>
      <w:r w:rsidR="00777DCB" w:rsidRPr="00A52585">
        <w:rPr>
          <w:rFonts w:hint="cs"/>
          <w:bCs/>
          <w:rtl/>
        </w:rPr>
        <w:t>وقال القاضي أبو بكر محمد الباقلاني المالكي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نقول إن العرش له- أي الله- قرار ولا مكان، لأن الله تعالى كان ولا مكان، فلما خلق المكان لم يتغير عما كان</w:t>
      </w:r>
      <w:r w:rsidRPr="00A52585">
        <w:rPr>
          <w:rFonts w:hint="cs"/>
          <w:rtl/>
        </w:rPr>
        <w:t xml:space="preserve">) </w:t>
      </w:r>
      <w:r w:rsidR="00777DCB" w:rsidRPr="00A52585">
        <w:rPr>
          <w:rFonts w:hint="cs"/>
          <w:rtl/>
        </w:rPr>
        <w:t>اهـ.</w:t>
      </w:r>
      <w:r w:rsidRPr="00A52585">
        <w:rPr>
          <w:rFonts w:hint="cs"/>
          <w:rtl/>
        </w:rPr>
        <w:t>[</w:t>
      </w:r>
      <w:r w:rsidR="00777DCB" w:rsidRPr="00A52585">
        <w:rPr>
          <w:rFonts w:hint="cs"/>
          <w:rtl/>
        </w:rPr>
        <w:t>الانصاف فيما يجب اعتقاده ولا يجوز الجهل به (ص/65).]</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8</w:t>
      </w:r>
      <w:r w:rsidRPr="00A52585">
        <w:rPr>
          <w:rFonts w:hint="cs"/>
          <w:rtl/>
        </w:rPr>
        <w:t>)</w:t>
      </w:r>
      <w:r w:rsidR="00777DCB" w:rsidRPr="00A52585">
        <w:rPr>
          <w:rFonts w:hint="cs"/>
          <w:rtl/>
        </w:rPr>
        <w:t xml:space="preserve"> </w:t>
      </w:r>
      <w:r w:rsidR="00777DCB" w:rsidRPr="00A52585">
        <w:rPr>
          <w:rFonts w:hint="cs"/>
          <w:bCs/>
          <w:rtl/>
        </w:rPr>
        <w:t>وقال الإمام أبو بكر ابن فورك</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يجوز على الله تعالى الحلول في الأماكن لاستحالة كونه محدودا ومتناهيا وذلك لاستحالة كونه محدثا</w:t>
      </w:r>
      <w:r w:rsidRPr="00A52585">
        <w:rPr>
          <w:rFonts w:hint="cs"/>
          <w:rtl/>
        </w:rPr>
        <w:t>)</w:t>
      </w:r>
      <w:r w:rsidR="00777DCB" w:rsidRPr="00A52585">
        <w:rPr>
          <w:rFonts w:hint="cs"/>
          <w:rtl/>
        </w:rPr>
        <w:t xml:space="preserve"> أهـ.</w:t>
      </w:r>
      <w:r w:rsidRPr="00A52585">
        <w:rPr>
          <w:rFonts w:hint="cs"/>
          <w:rtl/>
        </w:rPr>
        <w:t>[</w:t>
      </w:r>
      <w:r w:rsidR="00777DCB" w:rsidRPr="00A52585">
        <w:rPr>
          <w:rFonts w:hint="cs"/>
          <w:rtl/>
        </w:rPr>
        <w:t>مشكل الحديث (ص/ 57)</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9</w:t>
      </w:r>
      <w:r w:rsidRPr="00A52585">
        <w:rPr>
          <w:rFonts w:hint="cs"/>
          <w:rtl/>
        </w:rPr>
        <w:t>)</w:t>
      </w:r>
      <w:r w:rsidR="00777DCB" w:rsidRPr="00A52585">
        <w:rPr>
          <w:rFonts w:hint="cs"/>
          <w:rtl/>
        </w:rPr>
        <w:t xml:space="preserve"> </w:t>
      </w:r>
      <w:r w:rsidR="00777DCB" w:rsidRPr="00A52585">
        <w:rPr>
          <w:rFonts w:hint="cs"/>
          <w:bCs/>
          <w:rtl/>
        </w:rPr>
        <w:t>وقال الإمام ابن بطال المالكي</w:t>
      </w:r>
      <w:r w:rsidR="00777DCB" w:rsidRPr="00A52585">
        <w:rPr>
          <w:rFonts w:hint="cs"/>
          <w:rtl/>
        </w:rPr>
        <w:t xml:space="preserve"> (449 هـ) أحد شراح صحيح البخاري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فتح الباري (13/ 416)</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لا تعلق للمجسمة في إثبات المكان، لما ثبت من استحالة أن يكون سبحانه جسما أو حالا في مكان " اهـ </w:t>
      </w:r>
      <w:r w:rsidRPr="00A52585">
        <w:rPr>
          <w:rFonts w:hint="cs"/>
          <w:rtl/>
        </w:rPr>
        <w:t>[</w:t>
      </w:r>
      <w:r w:rsidR="00777DCB" w:rsidRPr="00A52585">
        <w:rPr>
          <w:rFonts w:hint="cs"/>
          <w:rtl/>
        </w:rPr>
        <w:t>فتح الباري (13/ 433)</w:t>
      </w:r>
      <w:r w:rsidRPr="00A52585">
        <w:rPr>
          <w:rFonts w:hint="cs"/>
          <w:rtl/>
        </w:rPr>
        <w:t>]</w:t>
      </w:r>
      <w:r w:rsidR="00DB731D" w:rsidRPr="00A52585">
        <w:rPr>
          <w:rFonts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10</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الحافظ محمد بن حبان</w:t>
      </w:r>
      <w:r w:rsidR="00777DCB" w:rsidRPr="00A52585">
        <w:rPr>
          <w:rFonts w:eastAsia="Times New Roman" w:hint="cs"/>
          <w:rtl/>
        </w:rPr>
        <w:t xml:space="preserve"> (453هـ) صاحب الصحيح المشهور بصحيح ابن حبان</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الحمد لله الذي ليس له حد محدود فيحتوى، ولا له أجل معدود فيفنى، ولا يحيط به جوامع المكان، ولا يشتمل عليه تواتر الزمان)</w:t>
      </w:r>
      <w:r w:rsidRPr="00A52585">
        <w:rPr>
          <w:rFonts w:eastAsia="Times New Roman" w:hint="cs"/>
          <w:rtl/>
        </w:rPr>
        <w:t xml:space="preserve"> </w:t>
      </w:r>
      <w:r w:rsidR="00777DCB" w:rsidRPr="00A52585">
        <w:rPr>
          <w:rFonts w:eastAsia="Times New Roman" w:hint="cs"/>
          <w:rtl/>
        </w:rPr>
        <w:t xml:space="preserve">اهـ. </w:t>
      </w:r>
      <w:r w:rsidRPr="00A52585">
        <w:rPr>
          <w:rFonts w:eastAsia="Times New Roman" w:hint="cs"/>
          <w:rtl/>
        </w:rPr>
        <w:t>[</w:t>
      </w:r>
      <w:r w:rsidR="00777DCB" w:rsidRPr="00A52585">
        <w:rPr>
          <w:rFonts w:hint="cs"/>
          <w:rtl/>
        </w:rPr>
        <w:t>الثقات (1/ 1)</w:t>
      </w:r>
      <w:r w:rsidRPr="00A52585">
        <w:rPr>
          <w:rFonts w:eastAsia="Times New Roman" w:hint="cs"/>
          <w:rtl/>
        </w:rPr>
        <w:t>]</w:t>
      </w:r>
      <w:r w:rsidR="00DB731D" w:rsidRPr="00A52585">
        <w:rPr>
          <w:rFonts w:eastAsia="Times New Roman" w:hint="cs"/>
          <w:rtl/>
        </w:rPr>
        <w:t>،</w:t>
      </w:r>
      <w:r w:rsidR="00777DCB" w:rsidRPr="00A52585">
        <w:rPr>
          <w:rFonts w:hint="cs"/>
          <w:rtl/>
        </w:rPr>
        <w:t xml:space="preserve"> </w:t>
      </w:r>
      <w:r w:rsidRPr="00A52585">
        <w:rPr>
          <w:rFonts w:hint="cs"/>
          <w:rtl/>
        </w:rPr>
        <w:t>(</w:t>
      </w:r>
      <w:r w:rsidR="00777DCB" w:rsidRPr="00A52585">
        <w:rPr>
          <w:rFonts w:hint="cs"/>
          <w:rtl/>
        </w:rPr>
        <w:t>11</w:t>
      </w:r>
      <w:r w:rsidRPr="00A52585">
        <w:rPr>
          <w:rFonts w:hint="cs"/>
          <w:rtl/>
        </w:rPr>
        <w:t>)</w:t>
      </w:r>
      <w:r w:rsidR="00777DCB" w:rsidRPr="00A52585">
        <w:rPr>
          <w:rFonts w:hint="cs"/>
          <w:rtl/>
        </w:rPr>
        <w:t xml:space="preserve"> </w:t>
      </w:r>
      <w:r w:rsidR="00777DCB" w:rsidRPr="00A52585">
        <w:rPr>
          <w:rFonts w:hint="cs"/>
          <w:bCs/>
          <w:rtl/>
        </w:rPr>
        <w:t>وقال الإمام ابن حزم الأندلسي</w:t>
      </w:r>
      <w:r w:rsidR="00777DCB" w:rsidRPr="00A52585">
        <w:rPr>
          <w:rFonts w:hint="cs"/>
          <w:rtl/>
        </w:rPr>
        <w:t xml:space="preserve"> (456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وأنه تعالى لا في مكان ولا في زمان، بل هو تعالى خالق الأزمنة والأمكنة، قال تعالى: {وَخَلَقَ كُلَّ شَيْءٍ فَقَدَّرَهُ تَقْدِيراً</w:t>
      </w:r>
      <w:r w:rsidRPr="00A52585">
        <w:rPr>
          <w:rFonts w:hint="cs"/>
          <w:rtl/>
        </w:rPr>
        <w:t>}</w:t>
      </w:r>
      <w:r w:rsidR="00DB731D" w:rsidRPr="00A52585">
        <w:rPr>
          <w:rFonts w:hint="cs"/>
          <w:rtl/>
        </w:rPr>
        <w:t>،</w:t>
      </w:r>
      <w:r w:rsidR="00777DCB" w:rsidRPr="00A52585">
        <w:rPr>
          <w:rFonts w:hint="cs"/>
          <w:rtl/>
        </w:rPr>
        <w:t xml:space="preserve"> وقال </w:t>
      </w:r>
      <w:r w:rsidRPr="00A52585">
        <w:rPr>
          <w:rFonts w:hint="cs"/>
          <w:rtl/>
        </w:rPr>
        <w:t>{</w:t>
      </w:r>
      <w:r w:rsidR="00777DCB" w:rsidRPr="00A52585">
        <w:rPr>
          <w:rFonts w:hint="cs"/>
          <w:rtl/>
        </w:rPr>
        <w:t>الَّذِي خَلَقَ السَّمَوَاتِ وَالْأَرْضَ وَمَا بَيْنَهُمَا</w:t>
      </w:r>
      <w:r w:rsidRPr="00A52585">
        <w:rPr>
          <w:rFonts w:hint="cs"/>
          <w:rtl/>
        </w:rPr>
        <w:t>}</w:t>
      </w:r>
      <w:r w:rsidR="00DB731D" w:rsidRPr="00A52585">
        <w:rPr>
          <w:rFonts w:hint="cs"/>
          <w:rtl/>
        </w:rPr>
        <w:t>،</w:t>
      </w:r>
      <w:r w:rsidR="00777DCB" w:rsidRPr="00A52585">
        <w:rPr>
          <w:rFonts w:hint="cs"/>
          <w:rtl/>
        </w:rPr>
        <w:t xml:space="preserve"> والزمان والمكان هما مخلوقان، قد كان تعالى دونهما، والمكان إنما هو للأجسام اهـ. </w:t>
      </w:r>
      <w:r w:rsidRPr="00A52585">
        <w:rPr>
          <w:rFonts w:hint="cs"/>
          <w:rtl/>
        </w:rPr>
        <w:t>[</w:t>
      </w:r>
      <w:r w:rsidR="00777DCB" w:rsidRPr="00A52585">
        <w:rPr>
          <w:rFonts w:hint="cs"/>
          <w:rtl/>
        </w:rPr>
        <w:t>أنظر كتابه علم الكلام: مسألة في نفي المكان عن الله تعالى (ص/ 65)</w:t>
      </w:r>
      <w:r w:rsidRPr="00A52585">
        <w:rPr>
          <w:rFonts w:hint="cs"/>
          <w:rtl/>
        </w:rPr>
        <w:t>]</w:t>
      </w:r>
      <w:r w:rsidR="00DB731D" w:rsidRPr="00A52585">
        <w:rPr>
          <w:rFonts w:hint="cs"/>
          <w:rtl/>
        </w:rPr>
        <w:t>،</w:t>
      </w:r>
      <w:r w:rsidR="00777DCB" w:rsidRPr="00A52585">
        <w:rPr>
          <w:rFonts w:hint="cs"/>
          <w:rtl/>
        </w:rPr>
        <w:t xml:space="preserve"> </w:t>
      </w:r>
      <w:r w:rsidRPr="00A52585">
        <w:rPr>
          <w:rFonts w:eastAsia="Times New Roman" w:hint="cs"/>
          <w:rtl/>
        </w:rPr>
        <w:t>(</w:t>
      </w:r>
      <w:r w:rsidR="00777DCB" w:rsidRPr="00A52585">
        <w:rPr>
          <w:rFonts w:eastAsia="Times New Roman" w:hint="cs"/>
          <w:rtl/>
        </w:rPr>
        <w:t>12</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الإمام الحافظ البيهقي</w:t>
      </w:r>
      <w:r w:rsidR="00777DCB" w:rsidRPr="00A52585">
        <w:rPr>
          <w:rFonts w:eastAsia="Times New Roman" w:hint="cs"/>
          <w:rtl/>
        </w:rPr>
        <w:t xml:space="preserve"> (458هـ)</w:t>
      </w:r>
      <w:r w:rsidRPr="00A52585">
        <w:rPr>
          <w:rFonts w:eastAsia="Times New Roman" w:hint="cs"/>
          <w:rtl/>
        </w:rPr>
        <w:t>: (</w:t>
      </w:r>
      <w:r w:rsidR="00777DCB" w:rsidRPr="00A52585">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sidRPr="00A52585">
        <w:rPr>
          <w:rFonts w:eastAsia="Times New Roman" w:hint="cs"/>
          <w:rtl/>
        </w:rPr>
        <w:t>(</w:t>
      </w:r>
      <w:r w:rsidR="00777DCB" w:rsidRPr="00A52585">
        <w:rPr>
          <w:rFonts w:eastAsia="Times New Roman" w:hint="cs"/>
          <w:rtl/>
        </w:rPr>
        <w:t>أنت الظاهر فليس فوقك شيء، وأنت الباطن فليس دونك شيء))، وإذا لم يكن فوقه شيء ولا دونه شيء لم يكن في مكان)</w:t>
      </w:r>
      <w:r w:rsidRPr="00A52585">
        <w:rPr>
          <w:rFonts w:eastAsia="Times New Roman" w:hint="cs"/>
          <w:rtl/>
        </w:rPr>
        <w:t xml:space="preserve"> </w:t>
      </w:r>
      <w:r w:rsidR="00777DCB" w:rsidRPr="00A52585">
        <w:rPr>
          <w:rFonts w:eastAsia="Times New Roman" w:hint="cs"/>
          <w:rtl/>
        </w:rPr>
        <w:t>اهـ.</w:t>
      </w:r>
      <w:r w:rsidR="00777DCB" w:rsidRPr="00A52585">
        <w:rPr>
          <w:rFonts w:hint="cs"/>
          <w:rtl/>
        </w:rPr>
        <w:t xml:space="preserve"> </w:t>
      </w:r>
      <w:r w:rsidRPr="00A52585">
        <w:rPr>
          <w:rFonts w:hint="cs"/>
          <w:rtl/>
        </w:rPr>
        <w:t>[</w:t>
      </w:r>
      <w:r w:rsidR="00777DCB" w:rsidRPr="00A52585">
        <w:rPr>
          <w:rFonts w:hint="cs"/>
          <w:rtl/>
        </w:rPr>
        <w:t>الأسماء والصفات (ص/ 400)</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13</w:t>
      </w:r>
      <w:r w:rsidRPr="00A52585">
        <w:rPr>
          <w:rFonts w:hint="cs"/>
          <w:rtl/>
        </w:rPr>
        <w:t>)</w:t>
      </w:r>
      <w:r w:rsidR="00777DCB" w:rsidRPr="00A52585">
        <w:rPr>
          <w:rFonts w:hint="cs"/>
          <w:rtl/>
        </w:rPr>
        <w:t xml:space="preserve"> </w:t>
      </w:r>
      <w:r w:rsidR="00777DCB" w:rsidRPr="00A52585">
        <w:rPr>
          <w:rFonts w:hint="cs"/>
          <w:bCs/>
          <w:rtl/>
        </w:rPr>
        <w:t>وقال الإمام أبو إسحاق الشيرازي</w:t>
      </w:r>
      <w:r w:rsidR="00777DCB" w:rsidRPr="00A52585">
        <w:rPr>
          <w:rFonts w:hint="cs"/>
          <w:rtl/>
        </w:rPr>
        <w:t xml:space="preserve"> (476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w:t>
      </w:r>
      <w:proofErr w:type="gramStart"/>
      <w:r w:rsidR="00777DCB" w:rsidRPr="00A52585">
        <w:rPr>
          <w:rFonts w:hint="cs"/>
          <w:rtl/>
        </w:rPr>
        <w:t>اهـ.</w:t>
      </w:r>
      <w:r w:rsidRPr="00A52585">
        <w:rPr>
          <w:rFonts w:hint="cs"/>
          <w:rtl/>
        </w:rPr>
        <w:t>[</w:t>
      </w:r>
      <w:proofErr w:type="gramEnd"/>
      <w:r w:rsidR="00777DCB" w:rsidRPr="00A52585">
        <w:rPr>
          <w:rFonts w:hint="cs"/>
          <w:rtl/>
        </w:rPr>
        <w:t>شرح اللمع</w:t>
      </w:r>
      <w:r w:rsidRPr="00A52585">
        <w:rPr>
          <w:rFonts w:hint="cs"/>
          <w:rtl/>
        </w:rPr>
        <w:t>:</w:t>
      </w:r>
      <w:r w:rsidR="00777DCB" w:rsidRPr="00A52585">
        <w:rPr>
          <w:rFonts w:hint="cs"/>
          <w:rtl/>
        </w:rPr>
        <w:t xml:space="preserve"> ج 1</w:t>
      </w:r>
      <w:r w:rsidRPr="00A52585">
        <w:rPr>
          <w:rFonts w:hint="cs"/>
          <w:rtl/>
        </w:rPr>
        <w:t>:</w:t>
      </w:r>
      <w:r w:rsidR="00777DCB" w:rsidRPr="00A52585">
        <w:rPr>
          <w:rFonts w:hint="cs"/>
          <w:rtl/>
        </w:rPr>
        <w:t xml:space="preserve"> </w:t>
      </w:r>
      <w:r w:rsidR="00777DCB" w:rsidRPr="00A52585">
        <w:rPr>
          <w:rFonts w:hint="cs"/>
          <w:rtl/>
        </w:rPr>
        <w:lastRenderedPageBreak/>
        <w:t>101</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14</w:t>
      </w:r>
      <w:r w:rsidRPr="00A52585">
        <w:rPr>
          <w:rFonts w:hint="cs"/>
          <w:rtl/>
        </w:rPr>
        <w:t>)</w:t>
      </w:r>
      <w:r w:rsidR="00777DCB" w:rsidRPr="00A52585">
        <w:rPr>
          <w:rFonts w:hint="cs"/>
          <w:rtl/>
        </w:rPr>
        <w:t xml:space="preserve"> وقال إمام الحرمين أبو المعالي الجويني (478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البارئ سبحانه وتعالى قائم بنفسه</w:t>
      </w:r>
      <w:r w:rsidR="00DB731D" w:rsidRPr="00A52585">
        <w:rPr>
          <w:rFonts w:hint="cs"/>
          <w:rtl/>
        </w:rPr>
        <w:t>،</w:t>
      </w:r>
      <w:r w:rsidR="00777DCB" w:rsidRPr="00A52585">
        <w:rPr>
          <w:rFonts w:hint="cs"/>
          <w:rtl/>
        </w:rPr>
        <w:t xml:space="preserve"> متعال عن الافتقار إلى محل يحله أو مكان يقله</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الإرشاد إلى قواطع الأدلة (ص/ 53)</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مذهب أهل الحق قاطبة أن الله سبحانه وتعالى يتعالى عن التحيز والتخصص بالجهات</w:t>
      </w:r>
      <w:r w:rsidRPr="00A52585">
        <w:rPr>
          <w:rFonts w:hint="cs"/>
          <w:rtl/>
        </w:rPr>
        <w:t>)</w:t>
      </w:r>
      <w:r w:rsidR="00777DCB" w:rsidRPr="00A52585">
        <w:rPr>
          <w:rFonts w:hint="cs"/>
          <w:rtl/>
        </w:rPr>
        <w:t xml:space="preserve"> أهـ [الإرشاد (ص/ 58)</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واعلموا أن مذهب أهل الحق: أن الرب سبحانه وتعالى يتقدس عن شغل حيز، وبتنزه عن الاختصاص بجهة</w:t>
      </w:r>
      <w:r w:rsidR="00DB731D" w:rsidRPr="00A52585">
        <w:rPr>
          <w:rFonts w:hint="cs"/>
          <w:rtl/>
        </w:rPr>
        <w:t>،</w:t>
      </w:r>
      <w:r w:rsidR="00777DCB" w:rsidRPr="00A52585">
        <w:rPr>
          <w:rFonts w:hint="cs"/>
          <w:rtl/>
        </w:rPr>
        <w:t xml:space="preserve"> وذهبت المشبهة إلى أنه مختص بجهة فوق، ثم افترقت </w:t>
      </w:r>
      <w:proofErr w:type="spellStart"/>
      <w:r w:rsidR="00777DCB" w:rsidRPr="00A52585">
        <w:rPr>
          <w:rFonts w:hint="cs"/>
          <w:rtl/>
        </w:rPr>
        <w:t>ءاراؤهم</w:t>
      </w:r>
      <w:proofErr w:type="spellEnd"/>
      <w:r w:rsidR="00777DCB" w:rsidRPr="00A52585">
        <w:rPr>
          <w:rFonts w:hint="cs"/>
          <w:rtl/>
        </w:rPr>
        <w:t xml:space="preserve"> بعد الاتفاق منهم على إثبات الجهة، فصار غلاة المشبهة إلى أن الرب تعالى مماس للصفحة العليا من العرش وهو مماسه</w:t>
      </w:r>
      <w:r w:rsidR="00DB731D" w:rsidRPr="00A52585">
        <w:rPr>
          <w:rFonts w:hint="cs"/>
          <w:rtl/>
        </w:rPr>
        <w:t>،</w:t>
      </w:r>
      <w:r w:rsidR="00777DCB" w:rsidRPr="00A52585">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Pr="00A52585">
        <w:rPr>
          <w:rFonts w:hint="cs"/>
          <w:rtl/>
        </w:rPr>
        <w:t>:</w:t>
      </w:r>
      <w:r w:rsidR="00777DCB" w:rsidRPr="00A52585">
        <w:rPr>
          <w:rFonts w:hint="cs"/>
          <w:rtl/>
        </w:rPr>
        <w:t xml:space="preserve"> ص</w:t>
      </w:r>
      <w:r w:rsidRPr="00A52585">
        <w:rPr>
          <w:rFonts w:hint="cs"/>
          <w:rtl/>
        </w:rPr>
        <w:t xml:space="preserve">: </w:t>
      </w:r>
      <w:r w:rsidR="00777DCB" w:rsidRPr="00A52585">
        <w:rPr>
          <w:rFonts w:hint="cs"/>
          <w:rtl/>
        </w:rPr>
        <w:t>511</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15</w:t>
      </w:r>
      <w:r w:rsidRPr="00A52585">
        <w:rPr>
          <w:rFonts w:hint="cs"/>
          <w:rtl/>
        </w:rPr>
        <w:t>)</w:t>
      </w:r>
      <w:r w:rsidR="00777DCB" w:rsidRPr="00A52585">
        <w:rPr>
          <w:rFonts w:hint="cs"/>
          <w:rtl/>
        </w:rPr>
        <w:t xml:space="preserve"> </w:t>
      </w:r>
      <w:r w:rsidR="00777DCB" w:rsidRPr="00A52585">
        <w:rPr>
          <w:rFonts w:hint="cs"/>
          <w:bCs/>
          <w:rtl/>
        </w:rPr>
        <w:t>وقال الإمام أبو حامد الغزالي</w:t>
      </w:r>
      <w:r w:rsidR="00777DCB" w:rsidRPr="00A52585">
        <w:rPr>
          <w:rFonts w:hint="cs"/>
          <w:rtl/>
        </w:rPr>
        <w:t xml:space="preserve"> (505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تعالى </w:t>
      </w:r>
      <w:r w:rsidRPr="00A52585">
        <w:rPr>
          <w:rFonts w:hint="cs"/>
          <w:rtl/>
        </w:rPr>
        <w:t>[</w:t>
      </w:r>
      <w:r w:rsidR="00777DCB" w:rsidRPr="00A52585">
        <w:rPr>
          <w:rFonts w:hint="cs"/>
          <w:rtl/>
        </w:rPr>
        <w:t>الله</w:t>
      </w:r>
      <w:r w:rsidRPr="00A52585">
        <w:rPr>
          <w:rFonts w:hint="cs"/>
          <w:rtl/>
        </w:rPr>
        <w:t>]</w:t>
      </w:r>
      <w:r w:rsidR="00777DCB" w:rsidRPr="00A52585">
        <w:rPr>
          <w:rFonts w:hint="cs"/>
          <w:rtl/>
        </w:rPr>
        <w:t xml:space="preserve"> عن أن </w:t>
      </w:r>
      <w:proofErr w:type="spellStart"/>
      <w:r w:rsidR="00777DCB" w:rsidRPr="00A52585">
        <w:rPr>
          <w:rFonts w:hint="cs"/>
          <w:rtl/>
        </w:rPr>
        <w:t>يحويه</w:t>
      </w:r>
      <w:proofErr w:type="spellEnd"/>
      <w:r w:rsidR="00777DCB" w:rsidRPr="00A52585">
        <w:rPr>
          <w:rFonts w:hint="cs"/>
          <w:rtl/>
        </w:rPr>
        <w:t xml:space="preserve"> مكان، كما تقدس عن أن يحده زمان، بل كان قبل أن خلق الزمان والمكان وهو الان على ما عليه كان</w:t>
      </w:r>
      <w:r w:rsidRPr="00A52585">
        <w:rPr>
          <w:rFonts w:hint="cs"/>
          <w:rtl/>
        </w:rPr>
        <w:t xml:space="preserve">) </w:t>
      </w:r>
      <w:r w:rsidR="00777DCB" w:rsidRPr="00A52585">
        <w:rPr>
          <w:rFonts w:hint="cs"/>
          <w:rtl/>
        </w:rPr>
        <w:t>اهـ.</w:t>
      </w:r>
      <w:r w:rsidRPr="00A52585">
        <w:rPr>
          <w:rFonts w:hint="cs"/>
          <w:rtl/>
        </w:rPr>
        <w:t>[</w:t>
      </w:r>
      <w:r w:rsidR="00777DCB" w:rsidRPr="00A52585">
        <w:rPr>
          <w:rFonts w:hint="cs"/>
          <w:rtl/>
        </w:rPr>
        <w:t>إحياء علوم الدين: كتاب قواعد العقائد، (1/ 108)</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w:t>
      </w:r>
      <w:r w:rsidR="00777DCB" w:rsidRPr="00A52585">
        <w:rPr>
          <w:rFonts w:hint="cs"/>
          <w:rtl/>
        </w:rPr>
        <w:lastRenderedPageBreak/>
        <w:t>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16</w:t>
      </w:r>
      <w:r w:rsidRPr="00A52585">
        <w:rPr>
          <w:rFonts w:hint="cs"/>
          <w:rtl/>
        </w:rPr>
        <w:t>)</w:t>
      </w:r>
      <w:r w:rsidR="00777DCB" w:rsidRPr="00A52585">
        <w:rPr>
          <w:rFonts w:hint="cs"/>
          <w:rtl/>
        </w:rPr>
        <w:t xml:space="preserve"> </w:t>
      </w:r>
      <w:r w:rsidR="00777DCB" w:rsidRPr="00A52585">
        <w:rPr>
          <w:rFonts w:hint="cs"/>
          <w:bCs/>
          <w:rtl/>
        </w:rPr>
        <w:t>وقال القاضي أبو بكر بن العربي المالكي الأندلسي</w:t>
      </w:r>
      <w:r w:rsidR="00777DCB" w:rsidRPr="00A52585">
        <w:rPr>
          <w:rFonts w:hint="cs"/>
          <w:rtl/>
        </w:rPr>
        <w:t xml:space="preserve"> (543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البارئ تعالى يتقدس عن أن يُحَدّ بالجهات أو تكتنفه الأقطار</w:t>
      </w:r>
      <w:r w:rsidRPr="00A52585">
        <w:rPr>
          <w:rFonts w:hint="cs"/>
          <w:rtl/>
        </w:rPr>
        <w:t xml:space="preserve">) </w:t>
      </w:r>
      <w:r w:rsidR="00777DCB" w:rsidRPr="00A52585">
        <w:rPr>
          <w:rFonts w:hint="cs"/>
          <w:rtl/>
        </w:rPr>
        <w:t xml:space="preserve">اهـ. </w:t>
      </w:r>
      <w:r w:rsidRPr="00A52585">
        <w:rPr>
          <w:rFonts w:hint="cs"/>
          <w:rtl/>
        </w:rPr>
        <w:t>[</w:t>
      </w:r>
      <w:r w:rsidR="00777DCB" w:rsidRPr="00A52585">
        <w:rPr>
          <w:rFonts w:hint="cs"/>
          <w:rtl/>
        </w:rPr>
        <w:t>القبس في شرح الموطأ</w:t>
      </w:r>
      <w:r w:rsidRPr="00A52585">
        <w:rPr>
          <w:rFonts w:hint="cs"/>
          <w:rtl/>
        </w:rPr>
        <w:t>:</w:t>
      </w:r>
      <w:r w:rsidR="00777DCB" w:rsidRPr="00A52585">
        <w:rPr>
          <w:rFonts w:hint="cs"/>
          <w:rtl/>
        </w:rPr>
        <w:t xml:space="preserve"> ج 1</w:t>
      </w:r>
      <w:r w:rsidRPr="00A52585">
        <w:rPr>
          <w:rFonts w:hint="cs"/>
          <w:rtl/>
        </w:rPr>
        <w:t>:</w:t>
      </w:r>
      <w:r w:rsidR="00777DCB" w:rsidRPr="00A52585">
        <w:rPr>
          <w:rFonts w:hint="cs"/>
          <w:rtl/>
        </w:rPr>
        <w:t xml:space="preserve"> 395</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إن الله سبحانه منزه عن الحركـة والانتقال لأنه لا </w:t>
      </w:r>
      <w:proofErr w:type="spellStart"/>
      <w:r w:rsidR="00777DCB" w:rsidRPr="00A52585">
        <w:rPr>
          <w:rFonts w:hint="cs"/>
          <w:rtl/>
        </w:rPr>
        <w:t>يحويه</w:t>
      </w:r>
      <w:proofErr w:type="spellEnd"/>
      <w:r w:rsidR="00777DCB" w:rsidRPr="00A52585">
        <w:rPr>
          <w:rFonts w:hint="cs"/>
          <w:rtl/>
        </w:rPr>
        <w:t xml:space="preserve">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القبس في شرح الموطأ</w:t>
      </w:r>
      <w:r w:rsidRPr="00A52585">
        <w:rPr>
          <w:rFonts w:hint="cs"/>
          <w:rtl/>
        </w:rPr>
        <w:t>:</w:t>
      </w:r>
      <w:r w:rsidR="00777DCB" w:rsidRPr="00A52585">
        <w:rPr>
          <w:rFonts w:hint="cs"/>
          <w:rtl/>
        </w:rPr>
        <w:t xml:space="preserve"> ج 1</w:t>
      </w:r>
      <w:r w:rsidRPr="00A52585">
        <w:rPr>
          <w:rFonts w:hint="cs"/>
          <w:rtl/>
        </w:rPr>
        <w:t>:</w:t>
      </w:r>
      <w:r w:rsidR="00777DCB" w:rsidRPr="00A52585">
        <w:rPr>
          <w:rFonts w:hint="cs"/>
          <w:rtl/>
        </w:rPr>
        <w:t xml:space="preserve"> 289</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تعالى يتقدس عن أن يحد بالجهات</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القبس في شرح الموطأ</w:t>
      </w:r>
      <w:r w:rsidRPr="00A52585">
        <w:rPr>
          <w:rFonts w:hint="cs"/>
          <w:rtl/>
        </w:rPr>
        <w:t>:</w:t>
      </w:r>
      <w:r w:rsidR="00777DCB" w:rsidRPr="00A52585">
        <w:rPr>
          <w:rFonts w:hint="cs"/>
          <w:rtl/>
        </w:rPr>
        <w:t xml:space="preserve"> ج 1</w:t>
      </w:r>
      <w:r w:rsidRPr="00A52585">
        <w:rPr>
          <w:rFonts w:hint="cs"/>
          <w:rtl/>
        </w:rPr>
        <w:t>:</w:t>
      </w:r>
      <w:r w:rsidR="00777DCB" w:rsidRPr="00A52585">
        <w:rPr>
          <w:rFonts w:hint="cs"/>
          <w:rtl/>
        </w:rPr>
        <w:t xml:space="preserve"> 395</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وان علم الله لا يحل في مكان ولا ينتسب إلى جهة، كما أنه سبحانه كذلك، لكنه يعلم كل شيء في كل موضع وعلى</w:t>
      </w:r>
      <w:r w:rsidRPr="00A52585">
        <w:rPr>
          <w:rFonts w:hint="cs"/>
          <w:rtl/>
        </w:rPr>
        <w:t xml:space="preserve"> </w:t>
      </w:r>
      <w:r w:rsidR="00777DCB" w:rsidRPr="00A52585">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Pr="00A52585">
        <w:rPr>
          <w:rFonts w:hint="cs"/>
          <w:rtl/>
        </w:rPr>
        <w:t>[</w:t>
      </w:r>
      <w:r w:rsidR="00777DCB" w:rsidRPr="00A52585">
        <w:rPr>
          <w:rFonts w:hint="cs"/>
          <w:rtl/>
        </w:rPr>
        <w:t>عارضة الأحوذي بشرح سنن الترمذي</w:t>
      </w:r>
      <w:r w:rsidRPr="00A52585">
        <w:rPr>
          <w:rFonts w:hint="cs"/>
          <w:rtl/>
        </w:rPr>
        <w:t>:</w:t>
      </w:r>
      <w:r w:rsidR="00777DCB" w:rsidRPr="00A52585">
        <w:rPr>
          <w:rFonts w:hint="cs"/>
          <w:rtl/>
        </w:rPr>
        <w:t xml:space="preserve"> ج 12</w:t>
      </w:r>
      <w:r w:rsidRPr="00A52585">
        <w:rPr>
          <w:rFonts w:hint="cs"/>
          <w:rtl/>
        </w:rPr>
        <w:t>:</w:t>
      </w:r>
      <w:r w:rsidR="00777DCB" w:rsidRPr="00A52585">
        <w:rPr>
          <w:rFonts w:hint="cs"/>
          <w:rtl/>
        </w:rPr>
        <w:t xml:space="preserve"> 184</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17</w:t>
      </w:r>
      <w:r w:rsidRPr="00A52585">
        <w:rPr>
          <w:rFonts w:hint="cs"/>
          <w:rtl/>
        </w:rPr>
        <w:t>)</w:t>
      </w:r>
      <w:r w:rsidR="00777DCB" w:rsidRPr="00A52585">
        <w:rPr>
          <w:rFonts w:hint="cs"/>
          <w:rtl/>
        </w:rPr>
        <w:t xml:space="preserve"> </w:t>
      </w:r>
      <w:r w:rsidR="00777DCB" w:rsidRPr="00A52585">
        <w:rPr>
          <w:rFonts w:hint="cs"/>
          <w:bCs/>
          <w:rtl/>
        </w:rPr>
        <w:t>وقال القاضي عياض المالكي</w:t>
      </w:r>
      <w:r w:rsidR="00777DCB" w:rsidRPr="00A52585">
        <w:rPr>
          <w:rFonts w:hint="cs"/>
          <w:rtl/>
        </w:rPr>
        <w:t xml:space="preserve"> </w:t>
      </w:r>
      <w:r w:rsidRPr="00A52585">
        <w:rPr>
          <w:rFonts w:hint="cs"/>
          <w:rtl/>
        </w:rPr>
        <w:t>(</w:t>
      </w:r>
      <w:r w:rsidR="00777DCB" w:rsidRPr="00A52585">
        <w:rPr>
          <w:rFonts w:hint="cs"/>
          <w:rtl/>
        </w:rPr>
        <w:t>544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الشفا</w:t>
      </w:r>
      <w:r w:rsidRPr="00A52585">
        <w:rPr>
          <w:rFonts w:hint="cs"/>
          <w:rtl/>
        </w:rPr>
        <w:t>:</w:t>
      </w:r>
      <w:r w:rsidR="00777DCB" w:rsidRPr="00A52585">
        <w:rPr>
          <w:rFonts w:hint="cs"/>
          <w:rtl/>
        </w:rPr>
        <w:t xml:space="preserve"> ج1</w:t>
      </w:r>
      <w:r w:rsidRPr="00A52585">
        <w:rPr>
          <w:rFonts w:hint="cs"/>
          <w:rtl/>
        </w:rPr>
        <w:t>:</w:t>
      </w:r>
      <w:r w:rsidR="00777DCB" w:rsidRPr="00A52585">
        <w:rPr>
          <w:rFonts w:hint="cs"/>
          <w:rtl/>
        </w:rPr>
        <w:t xml:space="preserve"> 205</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18</w:t>
      </w:r>
      <w:r w:rsidRPr="00A52585">
        <w:rPr>
          <w:rFonts w:hint="cs"/>
          <w:rtl/>
        </w:rPr>
        <w:t>)</w:t>
      </w:r>
      <w:r w:rsidR="00777DCB" w:rsidRPr="00A52585">
        <w:rPr>
          <w:rFonts w:hint="cs"/>
          <w:rtl/>
        </w:rPr>
        <w:t xml:space="preserve"> </w:t>
      </w:r>
      <w:r w:rsidR="00777DCB" w:rsidRPr="00A52585">
        <w:rPr>
          <w:rFonts w:hint="cs"/>
          <w:bCs/>
          <w:rtl/>
        </w:rPr>
        <w:t xml:space="preserve">وقال الإمام </w:t>
      </w:r>
      <w:proofErr w:type="spellStart"/>
      <w:r w:rsidR="00777DCB" w:rsidRPr="00A52585">
        <w:rPr>
          <w:rFonts w:hint="cs"/>
          <w:bCs/>
          <w:rtl/>
        </w:rPr>
        <w:t>الشهرستاني</w:t>
      </w:r>
      <w:proofErr w:type="spellEnd"/>
      <w:r w:rsidR="00777DCB" w:rsidRPr="00A52585">
        <w:rPr>
          <w:rFonts w:hint="cs"/>
          <w:rtl/>
        </w:rPr>
        <w:t xml:space="preserve"> </w:t>
      </w:r>
      <w:r w:rsidRPr="00A52585">
        <w:rPr>
          <w:rFonts w:hint="cs"/>
          <w:rtl/>
        </w:rPr>
        <w:t>(</w:t>
      </w:r>
      <w:r w:rsidR="00777DCB" w:rsidRPr="00A52585">
        <w:rPr>
          <w:rFonts w:hint="cs"/>
          <w:rtl/>
        </w:rPr>
        <w:t>ت 548هـ)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فمذهب أهل الحق أن الله سبحانه لا يشبه شيئا من المخلوقات ولا يشبهه شيء منها بوجه من وجوه المشابهة والمماثلة </w:t>
      </w:r>
      <w:r w:rsidRPr="00A52585">
        <w:rPr>
          <w:rFonts w:hint="cs"/>
          <w:rtl/>
        </w:rPr>
        <w:t>{</w:t>
      </w:r>
      <w:r w:rsidR="00777DCB" w:rsidRPr="00A52585">
        <w:rPr>
          <w:rFonts w:hint="cs"/>
          <w:rtl/>
        </w:rPr>
        <w:t>لَيْسَ كَمِثْلِهِ شَيْءٌ وَهُوَ السَّمِيعُ البَصِيرُ</w:t>
      </w:r>
      <w:r w:rsidRPr="00A52585">
        <w:rPr>
          <w:rFonts w:hint="cs"/>
          <w:rtl/>
        </w:rPr>
        <w:t>}</w:t>
      </w:r>
      <w:r w:rsidR="00DB731D" w:rsidRPr="00A52585">
        <w:rPr>
          <w:rFonts w:hint="cs"/>
          <w:rtl/>
        </w:rPr>
        <w:t>،</w:t>
      </w:r>
      <w:r w:rsidR="00777DCB" w:rsidRPr="00A52585">
        <w:rPr>
          <w:rFonts w:hint="cs"/>
          <w:rtl/>
        </w:rPr>
        <w:t xml:space="preserve"> فليس البارئ سبحانه بجوهر ولا جسم ولا عرض ولا في مكان ولا في زمان</w:t>
      </w:r>
      <w:r w:rsidRPr="00A52585">
        <w:rPr>
          <w:rFonts w:hint="cs"/>
          <w:rtl/>
        </w:rPr>
        <w:t xml:space="preserve">) </w:t>
      </w:r>
      <w:r w:rsidR="00777DCB" w:rsidRPr="00A52585">
        <w:rPr>
          <w:rFonts w:hint="cs"/>
          <w:rtl/>
        </w:rPr>
        <w:t>اهـ.</w:t>
      </w:r>
      <w:r w:rsidRPr="00A52585">
        <w:rPr>
          <w:rFonts w:hint="cs"/>
          <w:rtl/>
        </w:rPr>
        <w:t>[</w:t>
      </w:r>
      <w:r w:rsidR="00777DCB" w:rsidRPr="00A52585">
        <w:rPr>
          <w:rFonts w:hint="cs"/>
          <w:rtl/>
        </w:rPr>
        <w:t>نهاية الأقدام ص/ 103]</w:t>
      </w:r>
      <w:r w:rsidR="00DB731D" w:rsidRPr="00A52585">
        <w:rPr>
          <w:rFonts w:hint="cs"/>
          <w:rtl/>
        </w:rPr>
        <w:t>،</w:t>
      </w:r>
      <w:r w:rsidR="00777DCB" w:rsidRPr="00A52585">
        <w:rPr>
          <w:rFonts w:hint="cs"/>
          <w:rtl/>
        </w:rPr>
        <w:t xml:space="preserve"> </w:t>
      </w:r>
      <w:r w:rsidR="00777DCB" w:rsidRPr="00A52585">
        <w:rPr>
          <w:rFonts w:eastAsia="Times New Roman" w:hint="cs"/>
          <w:bCs/>
          <w:rtl/>
        </w:rPr>
        <w:t>وقال الإمام الحافظ ابن الجوزي الحنبلي</w:t>
      </w:r>
      <w:r w:rsidR="00777DCB" w:rsidRPr="00A52585">
        <w:rPr>
          <w:rFonts w:eastAsia="Times New Roman" w:hint="cs"/>
          <w:rtl/>
        </w:rPr>
        <w:t xml:space="preserve"> (597هـ)</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 xml:space="preserve">الواجب علينا أن نعتقد أن ذات الله تعالى لا </w:t>
      </w:r>
      <w:proofErr w:type="spellStart"/>
      <w:r w:rsidR="00777DCB" w:rsidRPr="00A52585">
        <w:rPr>
          <w:rFonts w:eastAsia="Times New Roman" w:hint="cs"/>
          <w:rtl/>
        </w:rPr>
        <w:t>يحويه</w:t>
      </w:r>
      <w:proofErr w:type="spellEnd"/>
      <w:r w:rsidR="00777DCB" w:rsidRPr="00A52585">
        <w:rPr>
          <w:rFonts w:eastAsia="Times New Roman" w:hint="cs"/>
          <w:rtl/>
        </w:rPr>
        <w:t xml:space="preserve"> مكان ولا يوصف بالتغيّر والانتقال)</w:t>
      </w:r>
      <w:r w:rsidRPr="00A52585">
        <w:rPr>
          <w:rFonts w:eastAsia="Times New Roman" w:hint="cs"/>
          <w:rtl/>
        </w:rPr>
        <w:t xml:space="preserve"> </w:t>
      </w:r>
      <w:r w:rsidR="00777DCB" w:rsidRPr="00A52585">
        <w:rPr>
          <w:rFonts w:eastAsia="Times New Roman" w:hint="cs"/>
          <w:rtl/>
        </w:rPr>
        <w:t xml:space="preserve">اهـ. </w:t>
      </w:r>
      <w:r w:rsidRPr="00A52585">
        <w:rPr>
          <w:rFonts w:hint="cs"/>
          <w:rtl/>
        </w:rPr>
        <w:t>[</w:t>
      </w:r>
      <w:r w:rsidR="00777DCB" w:rsidRPr="00A52585">
        <w:rPr>
          <w:rFonts w:hint="cs"/>
          <w:rtl/>
        </w:rPr>
        <w:t>دفع شبه التشبيه (ص/58)</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eastAsia="Times New Roman" w:hint="cs"/>
          <w:rtl/>
        </w:rPr>
        <w:t>وقال في صيد الخاطر</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Pr="00A52585">
        <w:rPr>
          <w:rFonts w:eastAsia="Times New Roman" w:hint="cs"/>
          <w:rtl/>
        </w:rPr>
        <w:t>[</w:t>
      </w:r>
      <w:r w:rsidR="00777DCB" w:rsidRPr="00A52585">
        <w:rPr>
          <w:rFonts w:hint="cs"/>
          <w:rtl/>
        </w:rPr>
        <w:t>صيد الخاطر</w:t>
      </w:r>
      <w:r w:rsidRPr="00A52585">
        <w:rPr>
          <w:rFonts w:hint="cs"/>
          <w:rtl/>
        </w:rPr>
        <w:t>:</w:t>
      </w:r>
      <w:r w:rsidR="00777DCB" w:rsidRPr="00A52585">
        <w:rPr>
          <w:rFonts w:hint="cs"/>
          <w:rtl/>
        </w:rPr>
        <w:t xml:space="preserve"> ص/ 476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eastAsia="Times New Roman" w:hint="cs"/>
          <w:rtl/>
        </w:rPr>
        <w:t xml:space="preserve">وقال </w:t>
      </w:r>
      <w:r w:rsidR="00777DCB" w:rsidRPr="00A52585">
        <w:rPr>
          <w:rFonts w:eastAsia="Times New Roman" w:hint="cs"/>
          <w:rtl/>
        </w:rPr>
        <w:lastRenderedPageBreak/>
        <w:t>في الباز الأشهب</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Pr="00A52585">
        <w:rPr>
          <w:rFonts w:eastAsia="Times New Roman" w:hint="cs"/>
          <w:rtl/>
        </w:rPr>
        <w:t>[</w:t>
      </w:r>
      <w:r w:rsidR="00777DCB" w:rsidRPr="00A52585">
        <w:rPr>
          <w:rFonts w:eastAsia="Times New Roman" w:hint="cs"/>
          <w:rtl/>
        </w:rPr>
        <w:t>الباز الأشهب ص 57]</w:t>
      </w:r>
      <w:r w:rsidR="00DB731D" w:rsidRPr="00A52585">
        <w:rPr>
          <w:rFonts w:eastAsia="Times New Roman" w:hint="cs"/>
          <w:rtl/>
        </w:rPr>
        <w:t>،</w:t>
      </w:r>
      <w:r w:rsidR="00777DCB" w:rsidRPr="00A52585">
        <w:rPr>
          <w:rFonts w:eastAsia="Times New Roman" w:hint="cs"/>
          <w:rtl/>
        </w:rPr>
        <w:t xml:space="preserve"> </w:t>
      </w:r>
      <w:r w:rsidRPr="00A52585">
        <w:rPr>
          <w:rFonts w:hint="cs"/>
          <w:rtl/>
        </w:rPr>
        <w:t>(</w:t>
      </w:r>
      <w:r w:rsidR="00777DCB" w:rsidRPr="00A52585">
        <w:rPr>
          <w:rFonts w:hint="cs"/>
          <w:rtl/>
        </w:rPr>
        <w:t>19</w:t>
      </w:r>
      <w:r w:rsidRPr="00A52585">
        <w:rPr>
          <w:rFonts w:hint="cs"/>
          <w:rtl/>
        </w:rPr>
        <w:t>)</w:t>
      </w:r>
      <w:r w:rsidR="00777DCB" w:rsidRPr="00A52585">
        <w:rPr>
          <w:rFonts w:hint="cs"/>
          <w:rtl/>
        </w:rPr>
        <w:t xml:space="preserve"> </w:t>
      </w:r>
      <w:r w:rsidR="00777DCB" w:rsidRPr="00A52585">
        <w:rPr>
          <w:rFonts w:hint="cs"/>
          <w:bCs/>
          <w:rtl/>
        </w:rPr>
        <w:t>وقال الحافظ ابن عساكر</w:t>
      </w:r>
      <w:r w:rsidR="00777DCB" w:rsidRPr="00A52585">
        <w:rPr>
          <w:rFonts w:hint="cs"/>
          <w:rtl/>
        </w:rPr>
        <w:t xml:space="preserve"> (620 هـ) – في درة من </w:t>
      </w:r>
      <w:proofErr w:type="spellStart"/>
      <w:r w:rsidR="00777DCB" w:rsidRPr="00A52585">
        <w:rPr>
          <w:rFonts w:hint="cs"/>
          <w:rtl/>
        </w:rPr>
        <w:t>تنزيهات</w:t>
      </w:r>
      <w:proofErr w:type="spellEnd"/>
      <w:r w:rsidR="00777DCB" w:rsidRPr="00A52585">
        <w:rPr>
          <w:rFonts w:hint="cs"/>
          <w:rtl/>
        </w:rPr>
        <w:t xml:space="preserve"> العلماء – </w:t>
      </w:r>
      <w:r w:rsidRPr="00A52585">
        <w:rPr>
          <w:rFonts w:hint="cs"/>
          <w:rtl/>
        </w:rPr>
        <w:t>(</w:t>
      </w:r>
      <w:r w:rsidR="00777DCB" w:rsidRPr="00A52585">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طبقات الشافعية (8/ 186)</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20</w:t>
      </w:r>
      <w:r w:rsidRPr="00A52585">
        <w:rPr>
          <w:rFonts w:hint="cs"/>
          <w:rtl/>
        </w:rPr>
        <w:t>)</w:t>
      </w:r>
      <w:r w:rsidR="00777DCB" w:rsidRPr="00A52585">
        <w:rPr>
          <w:rFonts w:hint="cs"/>
          <w:rtl/>
        </w:rPr>
        <w:t xml:space="preserve"> </w:t>
      </w:r>
      <w:r w:rsidR="00777DCB" w:rsidRPr="00A52585">
        <w:rPr>
          <w:rFonts w:hint="cs"/>
          <w:bCs/>
          <w:rtl/>
        </w:rPr>
        <w:t>وقال سلطان العلماء</w:t>
      </w:r>
      <w:r w:rsidRPr="00A52585">
        <w:rPr>
          <w:rFonts w:hint="cs"/>
          <w:bCs/>
          <w:rtl/>
        </w:rPr>
        <w:t xml:space="preserve"> </w:t>
      </w:r>
      <w:r w:rsidR="00777DCB" w:rsidRPr="00A52585">
        <w:rPr>
          <w:rFonts w:hint="cs"/>
          <w:bCs/>
          <w:rtl/>
        </w:rPr>
        <w:t>عبد العزيز بن عبد السلام</w:t>
      </w:r>
      <w:r w:rsidR="00777DCB" w:rsidRPr="00A52585">
        <w:rPr>
          <w:rFonts w:hint="cs"/>
          <w:rtl/>
        </w:rPr>
        <w:t xml:space="preserve"> (660 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ليس </w:t>
      </w:r>
      <w:r w:rsidRPr="00A52585">
        <w:rPr>
          <w:rFonts w:hint="cs"/>
          <w:rtl/>
        </w:rPr>
        <w:t>[</w:t>
      </w:r>
      <w:r w:rsidR="00777DCB" w:rsidRPr="00A52585">
        <w:rPr>
          <w:rFonts w:hint="cs"/>
          <w:rtl/>
        </w:rPr>
        <w:t>الله تعالى</w:t>
      </w:r>
      <w:r w:rsidRPr="00A52585">
        <w:rPr>
          <w:rFonts w:hint="cs"/>
          <w:rtl/>
        </w:rPr>
        <w:t>]</w:t>
      </w:r>
      <w:r w:rsidR="00777DCB" w:rsidRPr="00A52585">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Pr="00A52585">
        <w:rPr>
          <w:rFonts w:hint="cs"/>
          <w:rtl/>
        </w:rPr>
        <w:t>:</w:t>
      </w:r>
      <w:r w:rsidR="00777DCB" w:rsidRPr="00A52585">
        <w:rPr>
          <w:rFonts w:hint="cs"/>
          <w:rtl/>
        </w:rPr>
        <w:t xml:space="preserve"> (8/ 219)</w:t>
      </w:r>
      <w:r w:rsidRPr="00A52585">
        <w:rPr>
          <w:rFonts w:hint="cs"/>
          <w:rtl/>
        </w:rPr>
        <w:t>]</w:t>
      </w:r>
      <w:r w:rsidR="00DB731D" w:rsidRPr="00A52585">
        <w:rPr>
          <w:rFonts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21</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الإمام المفسّر محمد بن أحمد الأنصاري القرطبي المالكي</w:t>
      </w:r>
      <w:r w:rsidR="00777DCB" w:rsidRPr="00A52585">
        <w:rPr>
          <w:rFonts w:eastAsia="Times New Roman" w:hint="cs"/>
          <w:rtl/>
        </w:rPr>
        <w:t xml:space="preserve"> (671هـ)</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proofErr w:type="spellStart"/>
      <w:r w:rsidR="00777DCB" w:rsidRPr="00A52585">
        <w:rPr>
          <w:rFonts w:eastAsia="Times New Roman" w:hint="cs"/>
          <w:rtl/>
        </w:rPr>
        <w:t>و"العليّ</w:t>
      </w:r>
      <w:proofErr w:type="spellEnd"/>
      <w:r w:rsidR="00777DCB" w:rsidRPr="00A52585">
        <w:rPr>
          <w:rFonts w:eastAsia="Times New Roman" w:hint="cs"/>
          <w:rtl/>
        </w:rPr>
        <w:t>" يراد به علو القدر والمنزلة لا علو المكان، لأنَّ الله منزه عن التحيز)</w:t>
      </w:r>
      <w:r w:rsidRPr="00A52585">
        <w:rPr>
          <w:rFonts w:eastAsia="Times New Roman" w:hint="cs"/>
          <w:rtl/>
        </w:rPr>
        <w:t xml:space="preserve"> </w:t>
      </w:r>
      <w:r w:rsidR="00777DCB" w:rsidRPr="00A52585">
        <w:rPr>
          <w:rFonts w:eastAsia="Times New Roman" w:hint="cs"/>
          <w:rtl/>
        </w:rPr>
        <w:t xml:space="preserve">أهـ </w:t>
      </w:r>
      <w:r w:rsidRPr="00A52585">
        <w:rPr>
          <w:rFonts w:eastAsia="Times New Roman" w:hint="cs"/>
          <w:rtl/>
        </w:rPr>
        <w:t>[</w:t>
      </w:r>
      <w:r w:rsidR="00777DCB" w:rsidRPr="00A52585">
        <w:rPr>
          <w:rFonts w:hint="cs"/>
          <w:rtl/>
        </w:rPr>
        <w:t>الجامع لأحكام القرءان</w:t>
      </w:r>
      <w:r w:rsidRPr="00A52585">
        <w:rPr>
          <w:rFonts w:hint="cs"/>
          <w:rtl/>
        </w:rPr>
        <w:t>:</w:t>
      </w:r>
      <w:r w:rsidR="00777DCB" w:rsidRPr="00A52585">
        <w:rPr>
          <w:rFonts w:hint="cs"/>
          <w:rtl/>
        </w:rPr>
        <w:t xml:space="preserve"> (3/ 278)]</w:t>
      </w:r>
      <w:r w:rsidR="00DB731D" w:rsidRPr="00A52585">
        <w:rPr>
          <w:rFonts w:hint="cs"/>
          <w:rtl/>
        </w:rPr>
        <w:t>،</w:t>
      </w:r>
      <w:r w:rsidR="00777DCB" w:rsidRPr="00A52585">
        <w:rPr>
          <w:rFonts w:hint="cs"/>
          <w:rtl/>
        </w:rPr>
        <w:t xml:space="preserve"> </w:t>
      </w:r>
      <w:r w:rsidR="00777DCB" w:rsidRPr="00A52585">
        <w:rPr>
          <w:rFonts w:eastAsia="Times New Roman" w:hint="cs"/>
          <w:rtl/>
        </w:rPr>
        <w:t xml:space="preserve">وقال أيضًا </w:t>
      </w:r>
      <w:r w:rsidRPr="00A52585">
        <w:rPr>
          <w:rFonts w:eastAsia="Times New Roman" w:hint="cs"/>
          <w:rtl/>
        </w:rPr>
        <w:t>(</w:t>
      </w:r>
      <w:r w:rsidR="00777DCB" w:rsidRPr="00A52585">
        <w:rPr>
          <w:rFonts w:eastAsia="Times New Roman" w:hint="cs"/>
          <w:rtl/>
        </w:rPr>
        <w:t>والقاعدة تنزيهه سبحانه وتعالى عن الحركة والانتقال وشغل الأمكنة</w:t>
      </w:r>
      <w:r w:rsidRPr="00A52585">
        <w:rPr>
          <w:rFonts w:eastAsia="Times New Roman" w:hint="cs"/>
          <w:rtl/>
        </w:rPr>
        <w:t xml:space="preserve">) </w:t>
      </w:r>
      <w:r w:rsidR="00777DCB" w:rsidRPr="00A52585">
        <w:rPr>
          <w:rFonts w:eastAsia="Times New Roman" w:hint="cs"/>
          <w:rtl/>
        </w:rPr>
        <w:t>اهـ.</w:t>
      </w:r>
      <w:r w:rsidR="00777DCB" w:rsidRPr="00A52585">
        <w:rPr>
          <w:rFonts w:hint="cs"/>
          <w:rtl/>
        </w:rPr>
        <w:t xml:space="preserve"> </w:t>
      </w:r>
      <w:r w:rsidRPr="00A52585">
        <w:rPr>
          <w:rFonts w:hint="cs"/>
          <w:rtl/>
        </w:rPr>
        <w:t>[</w:t>
      </w:r>
      <w:r w:rsidR="00777DCB" w:rsidRPr="00A52585">
        <w:rPr>
          <w:rFonts w:hint="cs"/>
          <w:rtl/>
        </w:rPr>
        <w:t>المصدر السابق</w:t>
      </w:r>
      <w:r w:rsidRPr="00A52585">
        <w:rPr>
          <w:rFonts w:hint="cs"/>
          <w:rtl/>
        </w:rPr>
        <w:t>:</w:t>
      </w:r>
      <w:r w:rsidR="00777DCB" w:rsidRPr="00A52585">
        <w:rPr>
          <w:rFonts w:hint="cs"/>
          <w:rtl/>
        </w:rPr>
        <w:t xml:space="preserve"> (6/ 390)</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eastAsia="Times New Roman" w:hint="cs"/>
          <w:rtl/>
        </w:rPr>
        <w:t>وقال أيضًا</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proofErr w:type="gramStart"/>
      <w:r w:rsidR="00777DCB" w:rsidRPr="00A52585">
        <w:rPr>
          <w:rFonts w:eastAsia="Times New Roman" w:hint="cs"/>
          <w:rtl/>
        </w:rPr>
        <w:t>ومعنى:{</w:t>
      </w:r>
      <w:proofErr w:type="gramEnd"/>
      <w:r w:rsidR="00777DCB" w:rsidRPr="00A52585">
        <w:rPr>
          <w:rFonts w:eastAsia="Times New Roman" w:hint="cs"/>
          <w:rtl/>
        </w:rPr>
        <w:t xml:space="preserve">فوق عباده} [سورة الأنعام/18] فوقية الاستعلاء بالقهر والغلبة عليهم، أي هم تحت تسخيره لا فوقية مكان" اهـ. </w:t>
      </w:r>
      <w:r w:rsidRPr="00A52585">
        <w:rPr>
          <w:rFonts w:hint="cs"/>
          <w:rtl/>
        </w:rPr>
        <w:t>[</w:t>
      </w:r>
      <w:r w:rsidR="00777DCB" w:rsidRPr="00A52585">
        <w:rPr>
          <w:rFonts w:hint="cs"/>
          <w:rtl/>
        </w:rPr>
        <w:t>المصدر السابق</w:t>
      </w:r>
      <w:r w:rsidRPr="00A52585">
        <w:rPr>
          <w:rFonts w:hint="cs"/>
          <w:rtl/>
        </w:rPr>
        <w:t>:</w:t>
      </w:r>
      <w:r w:rsidR="00777DCB" w:rsidRPr="00A52585">
        <w:rPr>
          <w:rFonts w:hint="cs"/>
          <w:rtl/>
        </w:rPr>
        <w:t xml:space="preserve"> (6/ 399)</w:t>
      </w:r>
      <w:r w:rsidRPr="00A52585">
        <w:rPr>
          <w:rFonts w:hint="cs"/>
          <w:rtl/>
        </w:rPr>
        <w:t>]</w:t>
      </w:r>
      <w:r w:rsidR="00DB731D" w:rsidRPr="00A52585">
        <w:rPr>
          <w:rFonts w:hint="cs"/>
          <w:rtl/>
        </w:rPr>
        <w:t>،</w:t>
      </w:r>
      <w:r w:rsidR="00777DCB" w:rsidRPr="00A52585">
        <w:rPr>
          <w:rFonts w:eastAsia="Times New Roman" w:hint="cs"/>
          <w:rtl/>
        </w:rPr>
        <w:t xml:space="preserve"> وقال أيضًا عند تفسير </w:t>
      </w:r>
      <w:proofErr w:type="gramStart"/>
      <w:r w:rsidR="00777DCB" w:rsidRPr="00A52585">
        <w:rPr>
          <w:rFonts w:eastAsia="Times New Roman" w:hint="cs"/>
          <w:rtl/>
        </w:rPr>
        <w:t>ءاية</w:t>
      </w:r>
      <w:r w:rsidRPr="00A52585">
        <w:rPr>
          <w:rFonts w:eastAsia="Times New Roman" w:hint="cs"/>
          <w:rtl/>
        </w:rPr>
        <w:t>:</w:t>
      </w:r>
      <w:r w:rsidR="00777DCB" w:rsidRPr="00A52585">
        <w:rPr>
          <w:rFonts w:eastAsia="Times New Roman" w:hint="cs"/>
          <w:rtl/>
        </w:rPr>
        <w:t>{</w:t>
      </w:r>
      <w:proofErr w:type="gramEnd"/>
      <w:r w:rsidR="00777DCB" w:rsidRPr="00A52585">
        <w:rPr>
          <w:rFonts w:eastAsia="Times New Roman" w:hint="cs"/>
          <w:rtl/>
        </w:rPr>
        <w:t>أَوْ يَأْتِيَ رَبُّكَ أَوْ يَأْتِيَ بَعْضُ ءايَاتِ رَبِّكَ} [سورة الأنعام/158]</w:t>
      </w:r>
      <w:r w:rsidRPr="00A52585">
        <w:rPr>
          <w:rFonts w:eastAsia="Times New Roman" w:hint="cs"/>
          <w:rtl/>
        </w:rPr>
        <w:t>: (</w:t>
      </w:r>
      <w:r w:rsidR="00777DCB" w:rsidRPr="00A52585">
        <w:rPr>
          <w:rFonts w:eastAsia="Times New Roman" w:hint="cs"/>
          <w:rtl/>
        </w:rPr>
        <w:t xml:space="preserve">وليس مجيئه تعالى حركةً ولا انتقالاً ولا زوالاً لأن ذلك إنما يكون إذا كان </w:t>
      </w:r>
      <w:proofErr w:type="spellStart"/>
      <w:r w:rsidR="00777DCB" w:rsidRPr="00A52585">
        <w:rPr>
          <w:rFonts w:eastAsia="Times New Roman" w:hint="cs"/>
          <w:rtl/>
        </w:rPr>
        <w:t>الجائي</w:t>
      </w:r>
      <w:proofErr w:type="spellEnd"/>
      <w:r w:rsidR="00777DCB" w:rsidRPr="00A52585">
        <w:rPr>
          <w:rFonts w:eastAsia="Times New Roman" w:hint="cs"/>
          <w:rtl/>
        </w:rPr>
        <w:t xml:space="preserve"> جسمًا أو جوهرًا</w:t>
      </w:r>
      <w:r w:rsidRPr="00A52585">
        <w:rPr>
          <w:rFonts w:eastAsia="Times New Roman" w:hint="cs"/>
          <w:rtl/>
        </w:rPr>
        <w:t>)</w:t>
      </w:r>
      <w:r w:rsidR="00777DCB" w:rsidRPr="00A52585">
        <w:rPr>
          <w:rFonts w:eastAsia="Times New Roman" w:hint="cs"/>
          <w:rtl/>
        </w:rPr>
        <w:t xml:space="preserve"> اهـ.</w:t>
      </w:r>
      <w:r w:rsidR="00777DCB" w:rsidRPr="00A52585">
        <w:rPr>
          <w:rFonts w:hint="cs"/>
          <w:rtl/>
        </w:rPr>
        <w:t xml:space="preserve"> </w:t>
      </w:r>
      <w:r w:rsidRPr="00A52585">
        <w:rPr>
          <w:rFonts w:hint="cs"/>
          <w:rtl/>
        </w:rPr>
        <w:t>[</w:t>
      </w:r>
      <w:r w:rsidR="00777DCB" w:rsidRPr="00A52585">
        <w:rPr>
          <w:rFonts w:hint="cs"/>
          <w:rtl/>
        </w:rPr>
        <w:t>المصدر السابق</w:t>
      </w:r>
      <w:r w:rsidRPr="00A52585">
        <w:rPr>
          <w:rFonts w:hint="cs"/>
          <w:rtl/>
        </w:rPr>
        <w:t>:</w:t>
      </w:r>
      <w:r w:rsidR="00777DCB" w:rsidRPr="00A52585">
        <w:rPr>
          <w:rFonts w:hint="cs"/>
          <w:rtl/>
        </w:rPr>
        <w:t xml:space="preserve"> (7/ 145)</w:t>
      </w:r>
      <w:r w:rsidRPr="00A52585">
        <w:rPr>
          <w:rFonts w:hint="cs"/>
          <w:rtl/>
        </w:rPr>
        <w:t>]</w:t>
      </w:r>
      <w:r w:rsidR="00DB731D" w:rsidRPr="00A52585">
        <w:rPr>
          <w:rFonts w:hint="cs"/>
          <w:rtl/>
        </w:rPr>
        <w:t>،</w:t>
      </w:r>
      <w:r w:rsidR="00777DCB" w:rsidRPr="00A52585">
        <w:rPr>
          <w:rFonts w:eastAsia="Times New Roman" w:hint="cs"/>
          <w:rtl/>
        </w:rPr>
        <w:t xml:space="preserve"> وقال أيضًا</w:t>
      </w:r>
      <w:r w:rsidRPr="00A52585">
        <w:rPr>
          <w:rFonts w:eastAsia="Times New Roman" w:hint="cs"/>
          <w:rtl/>
        </w:rPr>
        <w:t>:</w:t>
      </w:r>
      <w:r w:rsidR="00777DCB" w:rsidRPr="00A52585">
        <w:rPr>
          <w:rFonts w:eastAsia="Times New Roman" w:hint="cs"/>
          <w:rtl/>
        </w:rPr>
        <w:t xml:space="preserve"> في تفسير آية {وجاء ربّك والملك صفًّا صفًّا}</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777DCB" w:rsidRPr="00A52585">
        <w:rPr>
          <w:rFonts w:hint="cs"/>
          <w:rtl/>
        </w:rPr>
        <w:t xml:space="preserve"> </w:t>
      </w:r>
      <w:r w:rsidRPr="00A52585">
        <w:rPr>
          <w:rFonts w:hint="cs"/>
          <w:rtl/>
        </w:rPr>
        <w:t>[</w:t>
      </w:r>
      <w:r w:rsidR="00777DCB" w:rsidRPr="00A52585">
        <w:rPr>
          <w:rFonts w:hint="cs"/>
          <w:rtl/>
        </w:rPr>
        <w:t>المصدر السابق</w:t>
      </w:r>
      <w:r w:rsidRPr="00A52585">
        <w:rPr>
          <w:rFonts w:hint="cs"/>
          <w:rtl/>
        </w:rPr>
        <w:t>:</w:t>
      </w:r>
      <w:r w:rsidR="00777DCB" w:rsidRPr="00A52585">
        <w:rPr>
          <w:rFonts w:hint="cs"/>
          <w:rtl/>
        </w:rPr>
        <w:t xml:space="preserve"> </w:t>
      </w:r>
      <w:r w:rsidR="00777DCB" w:rsidRPr="00A52585">
        <w:rPr>
          <w:rFonts w:eastAsia="Times New Roman" w:hint="cs"/>
          <w:rtl/>
        </w:rPr>
        <w:t>(20/55)</w:t>
      </w:r>
      <w:r w:rsidR="00777DCB" w:rsidRPr="00A52585">
        <w:rPr>
          <w:rFonts w:hint="cs"/>
          <w:rtl/>
        </w:rPr>
        <w:t>]</w:t>
      </w:r>
      <w:r w:rsidR="00DB731D" w:rsidRPr="00A52585">
        <w:rPr>
          <w:rFonts w:eastAsia="Times New Roman" w:hint="cs"/>
          <w:rtl/>
          <w:lang w:bidi="ar-KW"/>
        </w:rPr>
        <w:t>،</w:t>
      </w:r>
      <w:r w:rsidR="00777DCB" w:rsidRPr="00A52585">
        <w:rPr>
          <w:rFonts w:eastAsia="Times New Roman" w:hint="cs"/>
          <w:rtl/>
        </w:rPr>
        <w:t xml:space="preserve"> وقال أيضًا عند تفسير قوله </w:t>
      </w:r>
      <w:proofErr w:type="gramStart"/>
      <w:r w:rsidR="00777DCB" w:rsidRPr="00A52585">
        <w:rPr>
          <w:rFonts w:eastAsia="Times New Roman" w:hint="cs"/>
          <w:rtl/>
        </w:rPr>
        <w:t>تعالى:{</w:t>
      </w:r>
      <w:proofErr w:type="gramEnd"/>
      <w:r w:rsidR="00777DCB" w:rsidRPr="00A52585">
        <w:rPr>
          <w:rFonts w:eastAsia="Times New Roman" w:hint="cs"/>
          <w:rtl/>
        </w:rPr>
        <w:t>ءأمنتم من في السماء أن يخسف بكم الأرض} [سورة المُلك/16]</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Pr="00A52585">
        <w:rPr>
          <w:rFonts w:eastAsia="Times New Roman" w:hint="cs"/>
          <w:rtl/>
        </w:rPr>
        <w:t>)</w:t>
      </w:r>
      <w:r w:rsidR="00777DCB" w:rsidRPr="00A52585">
        <w:rPr>
          <w:rFonts w:eastAsia="Times New Roman" w:hint="cs"/>
          <w:rtl/>
        </w:rPr>
        <w:t xml:space="preserve"> اهـ </w:t>
      </w:r>
      <w:r w:rsidRPr="00A52585">
        <w:rPr>
          <w:rFonts w:eastAsia="Times New Roman" w:hint="cs"/>
          <w:rtl/>
        </w:rPr>
        <w:t>[</w:t>
      </w:r>
      <w:r w:rsidR="00777DCB" w:rsidRPr="00A52585">
        <w:rPr>
          <w:rFonts w:eastAsia="Times New Roman" w:hint="cs"/>
          <w:rtl/>
        </w:rPr>
        <w:t xml:space="preserve">المصدر السابق: </w:t>
      </w:r>
      <w:r w:rsidRPr="00A52585">
        <w:rPr>
          <w:rFonts w:eastAsia="Times New Roman" w:hint="cs"/>
          <w:rtl/>
        </w:rPr>
        <w:lastRenderedPageBreak/>
        <w:t>(</w:t>
      </w:r>
      <w:r w:rsidR="00777DCB" w:rsidRPr="00A52585">
        <w:rPr>
          <w:rFonts w:eastAsia="Times New Roman" w:hint="cs"/>
          <w:rtl/>
        </w:rPr>
        <w:t>18/216)</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22</w:t>
      </w:r>
      <w:r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الإمام الحافظ أبو زكريا محيي الدين النووي</w:t>
      </w:r>
      <w:r w:rsidR="00777DCB" w:rsidRPr="00A52585">
        <w:rPr>
          <w:rFonts w:eastAsia="Times New Roman" w:hint="cs"/>
          <w:rtl/>
        </w:rPr>
        <w:t xml:space="preserve"> (676هـ)</w:t>
      </w:r>
      <w:r w:rsidRPr="00A52585">
        <w:rPr>
          <w:rFonts w:eastAsia="Times New Roman" w:hint="cs"/>
          <w:rtl/>
        </w:rPr>
        <w:t>: (</w:t>
      </w:r>
      <w:r w:rsidR="00777DCB" w:rsidRPr="00A52585">
        <w:rPr>
          <w:rFonts w:eastAsia="Times New Roman" w:hint="cs"/>
          <w:rtl/>
        </w:rPr>
        <w:t xml:space="preserve">إن الله تعالى ليس كمثله </w:t>
      </w:r>
      <w:proofErr w:type="spellStart"/>
      <w:r w:rsidR="00777DCB" w:rsidRPr="00A52585">
        <w:rPr>
          <w:rFonts w:eastAsia="Times New Roman" w:hint="cs"/>
          <w:rtl/>
        </w:rPr>
        <w:t>شىء</w:t>
      </w:r>
      <w:proofErr w:type="spellEnd"/>
      <w:r w:rsidR="00777DCB" w:rsidRPr="00A52585">
        <w:rPr>
          <w:rFonts w:eastAsia="Times New Roman" w:hint="cs"/>
          <w:rtl/>
        </w:rPr>
        <w:t>، وإنه منزه عن التجسيم والانتقال والتحيز في جهة وعن سائر صفات المخلوق</w:t>
      </w:r>
      <w:r w:rsidRPr="00A52585">
        <w:rPr>
          <w:rFonts w:eastAsia="Times New Roman" w:hint="cs"/>
          <w:rtl/>
        </w:rPr>
        <w:t>)</w:t>
      </w:r>
      <w:r w:rsidR="00777DCB" w:rsidRPr="00A52585">
        <w:rPr>
          <w:rFonts w:eastAsia="Times New Roman" w:hint="cs"/>
          <w:rtl/>
        </w:rPr>
        <w:t xml:space="preserve"> اهـ. </w:t>
      </w:r>
      <w:r w:rsidRPr="00A52585">
        <w:rPr>
          <w:rFonts w:eastAsia="Times New Roman" w:hint="cs"/>
          <w:rtl/>
        </w:rPr>
        <w:t>[</w:t>
      </w:r>
      <w:r w:rsidR="00777DCB" w:rsidRPr="00A52585">
        <w:rPr>
          <w:rFonts w:eastAsia="Times New Roman" w:hint="cs"/>
          <w:rtl/>
        </w:rPr>
        <w:t>شرح صحيح مسلم 3/19]</w:t>
      </w:r>
      <w:r w:rsidR="00DB731D" w:rsidRPr="00A52585">
        <w:rPr>
          <w:rFonts w:eastAsia="Times New Roman" w:hint="cs"/>
          <w:rtl/>
        </w:rPr>
        <w:t>،</w:t>
      </w:r>
      <w:r w:rsidR="00777DCB" w:rsidRPr="00A52585">
        <w:rPr>
          <w:rFonts w:eastAsia="Times New Roman" w:hint="cs"/>
          <w:rtl/>
        </w:rPr>
        <w:t xml:space="preserve"> </w:t>
      </w:r>
      <w:r w:rsidRPr="00A52585">
        <w:rPr>
          <w:rFonts w:hint="cs"/>
          <w:rtl/>
        </w:rPr>
        <w:t>(</w:t>
      </w:r>
      <w:r w:rsidR="00777DCB" w:rsidRPr="00A52585">
        <w:rPr>
          <w:rFonts w:hint="cs"/>
          <w:rtl/>
        </w:rPr>
        <w:t>23</w:t>
      </w:r>
      <w:r w:rsidRPr="00A52585">
        <w:rPr>
          <w:rFonts w:hint="cs"/>
          <w:rtl/>
        </w:rPr>
        <w:t>)</w:t>
      </w:r>
      <w:r w:rsidR="00777DCB" w:rsidRPr="00A52585">
        <w:rPr>
          <w:rFonts w:hint="cs"/>
          <w:rtl/>
        </w:rPr>
        <w:t xml:space="preserve"> </w:t>
      </w:r>
      <w:r w:rsidR="00777DCB" w:rsidRPr="00A52585">
        <w:rPr>
          <w:rFonts w:hint="cs"/>
          <w:bCs/>
          <w:rtl/>
        </w:rPr>
        <w:t>وقال الإمام البيضاوي</w:t>
      </w:r>
      <w:r w:rsidR="00777DCB" w:rsidRPr="00A52585">
        <w:rPr>
          <w:rFonts w:hint="cs"/>
          <w:rtl/>
        </w:rPr>
        <w:t xml:space="preserve"> (685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ولما ثبت بالقواطع أنه سبحانه منزه عن الجسمية والتحيز امتنع عليه النزول على معنى الانتقال من موضع إلى موضع أخفض منه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فتح الباري (3/ 31)]</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24</w:t>
      </w:r>
      <w:r w:rsidRPr="00A52585">
        <w:rPr>
          <w:rFonts w:hint="cs"/>
          <w:rtl/>
        </w:rPr>
        <w:t>)</w:t>
      </w:r>
      <w:r w:rsidR="00777DCB" w:rsidRPr="00A52585">
        <w:rPr>
          <w:rFonts w:hint="cs"/>
          <w:rtl/>
        </w:rPr>
        <w:t xml:space="preserve"> </w:t>
      </w:r>
      <w:r w:rsidR="00777DCB" w:rsidRPr="00A52585">
        <w:rPr>
          <w:rFonts w:hint="cs"/>
          <w:bCs/>
          <w:rtl/>
        </w:rPr>
        <w:t>وقال الإمام المفسر النسفي</w:t>
      </w:r>
      <w:r w:rsidR="00777DCB" w:rsidRPr="00A52585">
        <w:rPr>
          <w:rFonts w:hint="cs"/>
          <w:rtl/>
        </w:rPr>
        <w:t xml:space="preserve"> (710 هـ</w:t>
      </w:r>
      <w:r w:rsidRPr="00A52585">
        <w:rPr>
          <w:rFonts w:hint="cs"/>
          <w:rtl/>
        </w:rPr>
        <w:t xml:space="preserve">): </w:t>
      </w:r>
      <w:r w:rsidR="00777DCB" w:rsidRPr="00A52585">
        <w:rPr>
          <w:rFonts w:hint="cs"/>
          <w:rtl/>
        </w:rPr>
        <w:t>(إنه تعالى كان ولا مكان فهو على ما كان قبل خلق المكان، لم يتغير عما كان</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تفسير النسفي</w:t>
      </w:r>
      <w:r w:rsidRPr="00A52585">
        <w:rPr>
          <w:rFonts w:hint="cs"/>
          <w:rtl/>
        </w:rPr>
        <w:t>:</w:t>
      </w:r>
      <w:r w:rsidR="00777DCB" w:rsidRPr="00A52585">
        <w:rPr>
          <w:rFonts w:hint="cs"/>
          <w:rtl/>
        </w:rPr>
        <w:t xml:space="preserve"> (ج2/2،48)</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25</w:t>
      </w:r>
      <w:r w:rsidRPr="00A52585">
        <w:rPr>
          <w:rFonts w:hint="cs"/>
          <w:rtl/>
        </w:rPr>
        <w:t>)</w:t>
      </w:r>
      <w:r w:rsidR="00777DCB" w:rsidRPr="00A52585">
        <w:rPr>
          <w:rFonts w:hint="cs"/>
          <w:rtl/>
        </w:rPr>
        <w:t xml:space="preserve"> </w:t>
      </w:r>
      <w:r w:rsidR="00777DCB" w:rsidRPr="00A52585">
        <w:rPr>
          <w:rFonts w:hint="cs"/>
          <w:bCs/>
          <w:rtl/>
        </w:rPr>
        <w:t>وقال العلامة ابن منظور</w:t>
      </w:r>
      <w:r w:rsidR="00777DCB" w:rsidRPr="00A52585">
        <w:rPr>
          <w:rFonts w:hint="cs"/>
          <w:rtl/>
        </w:rPr>
        <w:t xml:space="preserve"> (711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وفي الحديث: (</w:t>
      </w:r>
      <w:r w:rsidRPr="00A52585">
        <w:rPr>
          <w:rFonts w:hint="cs"/>
          <w:rtl/>
        </w:rPr>
        <w:t>(</w:t>
      </w:r>
      <w:r w:rsidR="00777DCB" w:rsidRPr="00A52585">
        <w:rPr>
          <w:rFonts w:hint="cs"/>
          <w:rtl/>
        </w:rPr>
        <w:t>من تقرب إليّ شبرا تقربت إليه ذراعًا</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Pr="00A52585">
        <w:rPr>
          <w:rFonts w:hint="cs"/>
          <w:rtl/>
        </w:rPr>
        <w:t>[</w:t>
      </w:r>
      <w:r w:rsidR="00777DCB" w:rsidRPr="00A52585">
        <w:rPr>
          <w:rFonts w:hint="cs"/>
          <w:rtl/>
        </w:rPr>
        <w:t>لسان العرب</w:t>
      </w:r>
      <w:r w:rsidR="00DB731D" w:rsidRPr="00A52585">
        <w:rPr>
          <w:rFonts w:hint="cs"/>
          <w:rtl/>
        </w:rPr>
        <w:t>،</w:t>
      </w:r>
      <w:r w:rsidR="00777DCB" w:rsidRPr="00A52585">
        <w:rPr>
          <w:rFonts w:hint="cs"/>
          <w:rtl/>
        </w:rPr>
        <w:t xml:space="preserve"> مادة: ق رب (1/ 663- 664)</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26</w:t>
      </w:r>
      <w:r w:rsidRPr="00A52585">
        <w:rPr>
          <w:rFonts w:hint="cs"/>
          <w:rtl/>
        </w:rPr>
        <w:t>)</w:t>
      </w:r>
      <w:r w:rsidR="00777DCB" w:rsidRPr="00A52585">
        <w:rPr>
          <w:rFonts w:hint="cs"/>
          <w:rtl/>
        </w:rPr>
        <w:t xml:space="preserve"> </w:t>
      </w:r>
      <w:r w:rsidR="00777DCB" w:rsidRPr="00A52585">
        <w:rPr>
          <w:rFonts w:hint="cs"/>
          <w:bCs/>
          <w:rtl/>
        </w:rPr>
        <w:t>وقال الإمام القاضي بدر الدين ابن جماعة</w:t>
      </w:r>
      <w:r w:rsidR="00777DCB" w:rsidRPr="00A52585">
        <w:rPr>
          <w:rFonts w:hint="cs"/>
          <w:rtl/>
        </w:rPr>
        <w:t xml:space="preserve"> (733 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كان الله ولا زمان ولا مكان، وهو الان على ما عليه كان)</w:t>
      </w:r>
      <w:r w:rsidRPr="00A52585">
        <w:rPr>
          <w:rFonts w:hint="cs"/>
          <w:rtl/>
        </w:rPr>
        <w:t xml:space="preserve"> </w:t>
      </w:r>
      <w:r w:rsidR="00777DCB" w:rsidRPr="00A52585">
        <w:rPr>
          <w:rFonts w:hint="cs"/>
          <w:rtl/>
        </w:rPr>
        <w:t xml:space="preserve">اهـ. </w:t>
      </w:r>
      <w:r w:rsidRPr="00A52585">
        <w:rPr>
          <w:rFonts w:hint="cs"/>
          <w:rtl/>
        </w:rPr>
        <w:t>[</w:t>
      </w:r>
      <w:r w:rsidR="00777DCB" w:rsidRPr="00A52585">
        <w:rPr>
          <w:rFonts w:hint="cs"/>
          <w:rtl/>
        </w:rPr>
        <w:t>إيضاح الدليل (ص/ 103- 4. 1)]</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777DCB" w:rsidRPr="00A52585">
        <w:rPr>
          <w:rFonts w:hint="cs"/>
        </w:rPr>
        <w:t xml:space="preserve"> </w:t>
      </w:r>
      <w:r w:rsidR="00777DCB" w:rsidRPr="00A52585">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إيضاح الدليل (ص/ 104- 105)</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27</w:t>
      </w:r>
      <w:r w:rsidRPr="00A52585">
        <w:rPr>
          <w:rFonts w:hint="cs"/>
          <w:rtl/>
        </w:rPr>
        <w:t>)</w:t>
      </w:r>
      <w:r w:rsidR="00777DCB" w:rsidRPr="00A52585">
        <w:rPr>
          <w:rFonts w:hint="cs"/>
          <w:rtl/>
        </w:rPr>
        <w:t xml:space="preserve"> </w:t>
      </w:r>
      <w:r w:rsidR="00777DCB" w:rsidRPr="00A52585">
        <w:rPr>
          <w:rFonts w:hint="cs"/>
          <w:bCs/>
          <w:rtl/>
        </w:rPr>
        <w:t>وقال المفسِّر النحوي محمد بن يوسف المعروف بأبي حيان الأندلسي</w:t>
      </w:r>
      <w:r w:rsidR="00777DCB" w:rsidRPr="00A52585">
        <w:rPr>
          <w:rFonts w:hint="cs"/>
          <w:rtl/>
        </w:rPr>
        <w:t xml:space="preserve"> (745 هـ) عند تفسير قوله تعالى</w:t>
      </w:r>
      <w:r w:rsidRPr="00A52585">
        <w:rPr>
          <w:rFonts w:hint="cs"/>
          <w:rtl/>
        </w:rPr>
        <w:t>:{</w:t>
      </w:r>
      <w:r w:rsidR="00777DCB" w:rsidRPr="00A52585">
        <w:rPr>
          <w:rFonts w:hint="cs"/>
          <w:rtl/>
        </w:rPr>
        <w:t>وَلَهُ مَن فِي السَّمَاوَاتِ وَالْأَرْضِ وَمَنْ عِندَهُ لَا يَسْتَكْبِرُونَ عَنْ عِبَادَتِه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وعند هنا لا يراد بها ظرف المكان لأنه تعالى منزه عن المكان، بل المعنى شرف المكانة وعلو المنزلة</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البحر المحيط (6/ 302)]</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قام البرهان العقلي على أنه تعالى ليس بمتحيز في جهة</w:t>
      </w:r>
      <w:r w:rsidRPr="00A52585">
        <w:rPr>
          <w:rFonts w:hint="cs"/>
          <w:rtl/>
        </w:rPr>
        <w:t>)</w:t>
      </w:r>
      <w:r w:rsidR="00777DCB" w:rsidRPr="00A52585">
        <w:rPr>
          <w:rFonts w:hint="cs"/>
          <w:rtl/>
        </w:rPr>
        <w:t xml:space="preserve"> اهـ. [البحر المحيط: 16- 8/ 302)</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28</w:t>
      </w:r>
      <w:r w:rsidRPr="00A52585">
        <w:rPr>
          <w:rFonts w:hint="cs"/>
          <w:rtl/>
        </w:rPr>
        <w:t>)</w:t>
      </w:r>
      <w:r w:rsidR="00777DCB" w:rsidRPr="00A52585">
        <w:rPr>
          <w:rFonts w:hint="cs"/>
          <w:rtl/>
        </w:rPr>
        <w:t xml:space="preserve"> </w:t>
      </w:r>
      <w:r w:rsidR="00777DCB" w:rsidRPr="00A52585">
        <w:rPr>
          <w:rFonts w:hint="cs"/>
          <w:bCs/>
          <w:rtl/>
        </w:rPr>
        <w:t>وقال الإمام الحافظ المحدث ولي الدين أبو زرعة أحمد بن عبد الرحيم العراقي</w:t>
      </w:r>
      <w:r w:rsidR="00777DCB" w:rsidRPr="00A52585">
        <w:rPr>
          <w:rFonts w:hint="cs"/>
          <w:rtl/>
        </w:rPr>
        <w:t xml:space="preserve"> (826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"وقوله أي النبي- "فهو عنده فوق العرش "لا بد من تأويل ظاهر لفظة "عنده " لأن معناها حضرة الشيء والله تعالى منزه عن الاستقرار والتحيز والجهة، </w:t>
      </w:r>
      <w:proofErr w:type="spellStart"/>
      <w:r w:rsidR="00777DCB" w:rsidRPr="00A52585">
        <w:rPr>
          <w:rFonts w:hint="cs"/>
          <w:rtl/>
        </w:rPr>
        <w:t>فالعندية</w:t>
      </w:r>
      <w:proofErr w:type="spellEnd"/>
      <w:r w:rsidR="00777DCB" w:rsidRPr="00A52585">
        <w:rPr>
          <w:rFonts w:hint="cs"/>
          <w:rtl/>
        </w:rPr>
        <w:t xml:space="preserve"> ليست من حضرة المكان بل من حضرة الشرف، أي وضع ذلك الكتاب في محل مُعظّم عنده</w:t>
      </w:r>
      <w:r w:rsidRPr="00A52585">
        <w:rPr>
          <w:rFonts w:hint="cs"/>
          <w:rtl/>
        </w:rPr>
        <w:t>)</w:t>
      </w:r>
      <w:r w:rsidR="00777DCB" w:rsidRPr="00A52585">
        <w:rPr>
          <w:rFonts w:hint="cs"/>
          <w:rtl/>
        </w:rPr>
        <w:t xml:space="preserve"> اهـ </w:t>
      </w:r>
      <w:r w:rsidRPr="00A52585">
        <w:rPr>
          <w:rFonts w:hint="cs"/>
          <w:rtl/>
        </w:rPr>
        <w:t>[</w:t>
      </w:r>
      <w:r w:rsidR="00777DCB" w:rsidRPr="00A52585">
        <w:rPr>
          <w:rFonts w:hint="cs"/>
          <w:rtl/>
        </w:rPr>
        <w:t>طرح التثريب (8/،84)</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29</w:t>
      </w:r>
      <w:r w:rsidRPr="00A52585">
        <w:rPr>
          <w:rFonts w:hint="cs"/>
          <w:rtl/>
        </w:rPr>
        <w:t>)</w:t>
      </w:r>
      <w:r w:rsidR="00777DCB" w:rsidRPr="00A52585">
        <w:rPr>
          <w:rFonts w:hint="cs"/>
          <w:rtl/>
        </w:rPr>
        <w:t xml:space="preserve"> </w:t>
      </w:r>
      <w:r w:rsidR="00777DCB" w:rsidRPr="00A52585">
        <w:rPr>
          <w:rFonts w:hint="cs"/>
          <w:bCs/>
          <w:rtl/>
        </w:rPr>
        <w:t xml:space="preserve">وقال إمام الدنيا في الحديث الحافظ ابن حجر </w:t>
      </w:r>
      <w:r w:rsidR="00777DCB" w:rsidRPr="00A52585">
        <w:rPr>
          <w:rFonts w:hint="cs"/>
          <w:bCs/>
          <w:rtl/>
        </w:rPr>
        <w:lastRenderedPageBreak/>
        <w:t>العسقلاني</w:t>
      </w:r>
      <w:r w:rsidR="00777DCB" w:rsidRPr="00A52585">
        <w:rPr>
          <w:rFonts w:hint="cs"/>
          <w:rtl/>
        </w:rPr>
        <w:t xml:space="preserve"> (852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w:t>
      </w:r>
      <w:proofErr w:type="spellStart"/>
      <w:r w:rsidR="00777DCB" w:rsidRPr="00A52585">
        <w:rPr>
          <w:rFonts w:hint="cs"/>
          <w:rtl/>
        </w:rPr>
        <w:t>شىء</w:t>
      </w:r>
      <w:proofErr w:type="spellEnd"/>
      <w:r w:rsidR="00777DCB" w:rsidRPr="00A52585">
        <w:rPr>
          <w:rFonts w:hint="cs"/>
          <w:rtl/>
        </w:rPr>
        <w:t xml:space="preserve"> علما جلّ وعز</w:t>
      </w:r>
      <w:r w:rsidRPr="00A52585">
        <w:rPr>
          <w:rFonts w:hint="cs"/>
          <w:rtl/>
        </w:rPr>
        <w:t>)</w:t>
      </w:r>
      <w:r w:rsidR="00777DCB" w:rsidRPr="00A52585">
        <w:rPr>
          <w:rFonts w:hint="cs"/>
          <w:rtl/>
        </w:rPr>
        <w:t xml:space="preserve"> أهـ</w:t>
      </w:r>
      <w:r w:rsidRPr="00A52585">
        <w:rPr>
          <w:rFonts w:hint="cs"/>
          <w:rtl/>
        </w:rPr>
        <w:t xml:space="preserve"> [</w:t>
      </w:r>
      <w:r w:rsidR="00777DCB" w:rsidRPr="00A52585">
        <w:rPr>
          <w:rFonts w:hint="cs"/>
          <w:rtl/>
        </w:rPr>
        <w:t>فتح الباري(6/ 136)</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30</w:t>
      </w:r>
      <w:r w:rsidRPr="00A52585">
        <w:rPr>
          <w:rFonts w:hint="cs"/>
          <w:rtl/>
        </w:rPr>
        <w:t>)</w:t>
      </w:r>
      <w:r w:rsidR="00777DCB" w:rsidRPr="00A52585">
        <w:rPr>
          <w:rFonts w:hint="cs"/>
          <w:rtl/>
        </w:rPr>
        <w:t xml:space="preserve"> </w:t>
      </w:r>
      <w:r w:rsidR="00777DCB" w:rsidRPr="00A52585">
        <w:rPr>
          <w:rFonts w:hint="cs"/>
          <w:bCs/>
          <w:rtl/>
        </w:rPr>
        <w:t>وقال الإمام العَيْني أحد أكبر شراح صحيح البخاري</w:t>
      </w:r>
      <w:r w:rsidR="00777DCB" w:rsidRPr="00A52585">
        <w:rPr>
          <w:rFonts w:hint="cs"/>
          <w:rtl/>
        </w:rPr>
        <w:t xml:space="preserve"> (855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يدل قوله تعالى</w:t>
      </w:r>
      <w:r w:rsidRPr="00A52585">
        <w:rPr>
          <w:rFonts w:hint="cs"/>
          <w:rtl/>
        </w:rPr>
        <w:t>:{</w:t>
      </w:r>
      <w:r w:rsidR="00777DCB" w:rsidRPr="00A52585">
        <w:rPr>
          <w:rFonts w:hint="cs"/>
          <w:rtl/>
        </w:rPr>
        <w:t>وكان عرشه على الماء</w:t>
      </w:r>
      <w:r w:rsidRPr="00A52585">
        <w:rPr>
          <w:rFonts w:hint="cs"/>
          <w:rtl/>
        </w:rPr>
        <w:t xml:space="preserve">} </w:t>
      </w:r>
      <w:r w:rsidR="00777DCB" w:rsidRPr="00A52585">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Pr="00A52585">
        <w:rPr>
          <w:rFonts w:hint="cs"/>
          <w:rtl/>
        </w:rPr>
        <w:t>[</w:t>
      </w:r>
      <w:r w:rsidR="00777DCB" w:rsidRPr="00A52585">
        <w:rPr>
          <w:rFonts w:hint="cs"/>
          <w:rtl/>
        </w:rPr>
        <w:t>عمدة القاري (مجلد 12/ 25/ 111)</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تقرر أن الله ليس بجسم، فلا يحتاج إلى مكان يستقر فيه، فقد كان ولا مكان</w:t>
      </w:r>
      <w:r w:rsidRPr="00A52585">
        <w:rPr>
          <w:rFonts w:hint="cs"/>
          <w:rtl/>
        </w:rPr>
        <w:t>)</w:t>
      </w:r>
      <w:r w:rsidR="00777DCB" w:rsidRPr="00A52585">
        <w:rPr>
          <w:rFonts w:hint="cs"/>
          <w:rtl/>
        </w:rPr>
        <w:t xml:space="preserve"> أ ه </w:t>
      </w:r>
      <w:r w:rsidRPr="00A52585">
        <w:rPr>
          <w:rFonts w:hint="cs"/>
          <w:rtl/>
        </w:rPr>
        <w:t>[</w:t>
      </w:r>
      <w:r w:rsidR="00777DCB" w:rsidRPr="00A52585">
        <w:rPr>
          <w:rFonts w:hint="cs"/>
          <w:rtl/>
        </w:rPr>
        <w:t>عمدة القاري (مجلد 12/ 25/ 117)</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31</w:t>
      </w:r>
      <w:r w:rsidRPr="00A52585">
        <w:rPr>
          <w:rFonts w:hint="cs"/>
          <w:rtl/>
        </w:rPr>
        <w:t>)</w:t>
      </w:r>
      <w:r w:rsidR="00777DCB" w:rsidRPr="00A52585">
        <w:rPr>
          <w:rFonts w:hint="cs"/>
          <w:rtl/>
        </w:rPr>
        <w:t xml:space="preserve"> </w:t>
      </w:r>
      <w:r w:rsidR="00777DCB" w:rsidRPr="00A52585">
        <w:rPr>
          <w:rFonts w:hint="cs"/>
          <w:bCs/>
          <w:rtl/>
        </w:rPr>
        <w:t>وقال الحافظ السخاوي</w:t>
      </w:r>
      <w:r w:rsidR="00777DCB" w:rsidRPr="00A52585">
        <w:rPr>
          <w:rFonts w:hint="cs"/>
          <w:rtl/>
        </w:rPr>
        <w:t xml:space="preserve"> (902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المقاصد الحسنة (رقم 886، ص/ 342)</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32</w:t>
      </w:r>
      <w:r w:rsidRPr="00A52585">
        <w:rPr>
          <w:rFonts w:hint="cs"/>
          <w:rtl/>
        </w:rPr>
        <w:t>)</w:t>
      </w:r>
      <w:r w:rsidR="00777DCB" w:rsidRPr="00A52585">
        <w:rPr>
          <w:rFonts w:hint="cs"/>
          <w:rtl/>
        </w:rPr>
        <w:t xml:space="preserve"> </w:t>
      </w:r>
      <w:r w:rsidR="00777DCB" w:rsidRPr="00A52585">
        <w:rPr>
          <w:rFonts w:hint="cs"/>
          <w:bCs/>
          <w:rtl/>
        </w:rPr>
        <w:t>وقال الحافظ جلال الدين السيوطي</w:t>
      </w:r>
      <w:r w:rsidR="00777DCB" w:rsidRPr="00A52585">
        <w:rPr>
          <w:rFonts w:hint="cs"/>
          <w:rtl/>
        </w:rPr>
        <w:t xml:space="preserve"> (911 هـ) عند شرح حديث: (أقرب ما يكون العبد من ربه وهو ساجد)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sidRPr="00A52585">
        <w:rPr>
          <w:rFonts w:hint="cs"/>
          <w:rtl/>
        </w:rPr>
        <w:t>)</w:t>
      </w:r>
      <w:r w:rsidR="00777DCB" w:rsidRPr="00A52585">
        <w:rPr>
          <w:rFonts w:hint="cs"/>
          <w:rtl/>
        </w:rPr>
        <w:t xml:space="preserve"> أهـ. [شرح السيوطي لسنن </w:t>
      </w:r>
      <w:proofErr w:type="spellStart"/>
      <w:r w:rsidR="00777DCB" w:rsidRPr="00A52585">
        <w:rPr>
          <w:rFonts w:hint="cs"/>
          <w:rtl/>
        </w:rPr>
        <w:t>النساني</w:t>
      </w:r>
      <w:proofErr w:type="spellEnd"/>
      <w:r w:rsidR="00777DCB" w:rsidRPr="00A52585">
        <w:rPr>
          <w:rFonts w:hint="cs"/>
          <w:rtl/>
        </w:rPr>
        <w:t xml:space="preserve"> (1/ 576)</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33</w:t>
      </w:r>
      <w:r w:rsidRPr="00A52585">
        <w:rPr>
          <w:rFonts w:hint="cs"/>
          <w:rtl/>
        </w:rPr>
        <w:t>)</w:t>
      </w:r>
      <w:r w:rsidR="00777DCB" w:rsidRPr="00A52585">
        <w:rPr>
          <w:rFonts w:hint="cs"/>
          <w:rtl/>
        </w:rPr>
        <w:t xml:space="preserve"> </w:t>
      </w:r>
      <w:r w:rsidR="00777DCB" w:rsidRPr="00A52585">
        <w:rPr>
          <w:rFonts w:hint="cs"/>
          <w:bCs/>
          <w:rtl/>
        </w:rPr>
        <w:t xml:space="preserve">وقال الإمام </w:t>
      </w:r>
      <w:proofErr w:type="spellStart"/>
      <w:r w:rsidR="00777DCB" w:rsidRPr="00A52585">
        <w:rPr>
          <w:rFonts w:hint="cs"/>
          <w:bCs/>
          <w:rtl/>
        </w:rPr>
        <w:t>القسطلاني</w:t>
      </w:r>
      <w:proofErr w:type="spellEnd"/>
      <w:r w:rsidRPr="00A52585">
        <w:rPr>
          <w:rFonts w:hint="cs"/>
          <w:rtl/>
        </w:rPr>
        <w:t xml:space="preserve"> </w:t>
      </w:r>
      <w:r w:rsidR="00777DCB" w:rsidRPr="00A52585">
        <w:rPr>
          <w:rFonts w:hint="cs"/>
          <w:rtl/>
        </w:rPr>
        <w:t>(933هـ) في شرحه على صحيح البخاري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ذات الله منزه عن المكان والجهة</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إرشاد الساري (15/ 451)</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34</w:t>
      </w:r>
      <w:r w:rsidRPr="00A52585">
        <w:rPr>
          <w:rFonts w:hint="cs"/>
          <w:rtl/>
        </w:rPr>
        <w:t>)</w:t>
      </w:r>
      <w:r w:rsidR="00777DCB" w:rsidRPr="00A52585">
        <w:rPr>
          <w:rFonts w:hint="cs"/>
          <w:rtl/>
        </w:rPr>
        <w:t xml:space="preserve"> </w:t>
      </w:r>
      <w:r w:rsidR="00777DCB" w:rsidRPr="00A52585">
        <w:rPr>
          <w:rFonts w:hint="cs"/>
          <w:bCs/>
          <w:rtl/>
        </w:rPr>
        <w:t>وقال الإمام القاضي أبو زكريا الأنصاري</w:t>
      </w:r>
      <w:r w:rsidR="00777DCB" w:rsidRPr="00A52585">
        <w:rPr>
          <w:rFonts w:hint="cs"/>
          <w:rtl/>
        </w:rPr>
        <w:t xml:space="preserve"> (926 هـ)</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إن الله ليس بجسم ولا عَرَض ولا في مكان ولا زمان) أهـ </w:t>
      </w:r>
      <w:r w:rsidRPr="00A52585">
        <w:rPr>
          <w:rFonts w:hint="cs"/>
          <w:rtl/>
        </w:rPr>
        <w:t>[</w:t>
      </w:r>
      <w:r w:rsidR="00777DCB" w:rsidRPr="00A52585">
        <w:rPr>
          <w:rFonts w:hint="cs"/>
          <w:rtl/>
        </w:rPr>
        <w:t>حاشية الرسالة القشيرية (ص/ 2)</w:t>
      </w:r>
      <w:r w:rsidRPr="00A52585">
        <w:rPr>
          <w:rFonts w:hint="cs"/>
          <w:rtl/>
        </w:rPr>
        <w:t>]</w:t>
      </w:r>
      <w:r w:rsidR="00DB731D" w:rsidRPr="00A52585">
        <w:rPr>
          <w:rFonts w:hint="cs"/>
          <w:rtl/>
        </w:rPr>
        <w:t>،</w:t>
      </w:r>
      <w:r w:rsidR="00777DCB" w:rsidRPr="00A52585">
        <w:rPr>
          <w:rFonts w:hint="cs"/>
          <w:rtl/>
        </w:rPr>
        <w:t xml:space="preserve"> وقال أيضا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مكان له</w:t>
      </w:r>
      <w:r w:rsidRPr="00A52585">
        <w:rPr>
          <w:rFonts w:hint="cs"/>
          <w:rtl/>
        </w:rPr>
        <w:t xml:space="preserve"> </w:t>
      </w:r>
      <w:r w:rsidR="00777DCB" w:rsidRPr="00A52585">
        <w:rPr>
          <w:rFonts w:hint="cs"/>
          <w:rtl/>
        </w:rPr>
        <w:t xml:space="preserve">- سبحانه - كما لا زمان له لأنه الخالق لكل مكان وزمان) أهـ </w:t>
      </w:r>
      <w:r w:rsidRPr="00A52585">
        <w:rPr>
          <w:rFonts w:hint="cs"/>
          <w:rtl/>
        </w:rPr>
        <w:t>[</w:t>
      </w:r>
      <w:r w:rsidR="00777DCB" w:rsidRPr="00A52585">
        <w:rPr>
          <w:rFonts w:hint="cs"/>
          <w:rtl/>
        </w:rPr>
        <w:t>المصدر السابق</w:t>
      </w:r>
      <w:r w:rsidRPr="00A52585">
        <w:rPr>
          <w:rFonts w:hint="cs"/>
          <w:rtl/>
        </w:rPr>
        <w:t>:</w:t>
      </w:r>
      <w:r w:rsidR="00777DCB" w:rsidRPr="00A52585">
        <w:rPr>
          <w:rFonts w:hint="cs"/>
          <w:rtl/>
        </w:rPr>
        <w:t xml:space="preserve"> (ص/ 5)</w:t>
      </w:r>
      <w:r w:rsidRPr="00A52585">
        <w:rPr>
          <w:rFonts w:hint="cs"/>
          <w:rtl/>
        </w:rPr>
        <w:t>]</w:t>
      </w:r>
      <w:r w:rsidR="00DB731D" w:rsidRPr="00A52585">
        <w:rPr>
          <w:rFonts w:hint="cs"/>
          <w:rtl/>
        </w:rPr>
        <w:t>،</w:t>
      </w:r>
      <w:r w:rsidR="00777DCB" w:rsidRPr="00A52585">
        <w:rPr>
          <w:rFonts w:hint="cs"/>
          <w:rtl/>
        </w:rPr>
        <w:t xml:space="preserve"> </w:t>
      </w:r>
    </w:p>
    <w:p w14:paraId="5C1796F0" w14:textId="77777777" w:rsidR="00777DCB" w:rsidRPr="00A52585" w:rsidRDefault="00777DCB" w:rsidP="0002035C">
      <w:pPr>
        <w:spacing w:after="240"/>
        <w:jc w:val="center"/>
        <w:rPr>
          <w:rtl/>
          <w:lang w:bidi="ar-KW"/>
        </w:rPr>
      </w:pPr>
      <w:r w:rsidRPr="00A52585">
        <w:rPr>
          <w:rFonts w:hint="cs"/>
          <w:rtl/>
          <w:lang w:bidi="ar-KW"/>
        </w:rPr>
        <w:t>******</w:t>
      </w:r>
    </w:p>
    <w:p w14:paraId="1006539A" w14:textId="77777777" w:rsidR="00777DCB" w:rsidRPr="00A52585" w:rsidRDefault="00777DCB" w:rsidP="0002035C">
      <w:pPr>
        <w:spacing w:after="240"/>
        <w:rPr>
          <w:rtl/>
          <w:lang w:bidi="ar-KW"/>
        </w:rPr>
      </w:pPr>
    </w:p>
    <w:p w14:paraId="5DC1E953" w14:textId="77777777" w:rsidR="00777DCB" w:rsidRPr="00A52585" w:rsidRDefault="00777DCB" w:rsidP="0002035C">
      <w:pPr>
        <w:spacing w:after="240"/>
        <w:rPr>
          <w:rtl/>
          <w:lang w:bidi="ar-KW"/>
        </w:rPr>
      </w:pPr>
    </w:p>
    <w:p w14:paraId="7320FFB3" w14:textId="77777777" w:rsidR="00777DCB" w:rsidRPr="00A52585" w:rsidRDefault="00777DCB" w:rsidP="0002035C">
      <w:pPr>
        <w:spacing w:after="240"/>
        <w:rPr>
          <w:rtl/>
          <w:lang w:bidi="ar-KW"/>
        </w:rPr>
      </w:pPr>
    </w:p>
    <w:p w14:paraId="53FE5B1B" w14:textId="77777777" w:rsidR="00777DCB" w:rsidRPr="00A52585" w:rsidRDefault="00777DCB" w:rsidP="0002035C">
      <w:pPr>
        <w:spacing w:after="240"/>
        <w:rPr>
          <w:rtl/>
          <w:lang w:bidi="ar-KW"/>
        </w:rPr>
      </w:pPr>
    </w:p>
    <w:p w14:paraId="13795922" w14:textId="03B44AD8" w:rsidR="00777DCB" w:rsidRPr="00A52585" w:rsidRDefault="0002035C" w:rsidP="00A52585">
      <w:pPr>
        <w:pStyle w:val="2"/>
        <w:bidi/>
        <w:jc w:val="center"/>
        <w:rPr>
          <w:u w:val="none"/>
          <w:rtl/>
        </w:rPr>
      </w:pPr>
      <w:r w:rsidRPr="00A52585">
        <w:rPr>
          <w:rFonts w:hint="cs"/>
          <w:u w:val="none"/>
          <w:rtl/>
          <w:lang w:bidi="ar-KW"/>
        </w:rPr>
        <w:lastRenderedPageBreak/>
        <w:t>(</w:t>
      </w:r>
      <w:r w:rsidR="00777DCB" w:rsidRPr="00A52585">
        <w:rPr>
          <w:rFonts w:hint="cs"/>
          <w:u w:val="none"/>
          <w:rtl/>
          <w:lang w:bidi="ar-KW"/>
        </w:rPr>
        <w:t>3</w:t>
      </w:r>
      <w:r w:rsidRPr="00A52585">
        <w:rPr>
          <w:rFonts w:hint="cs"/>
          <w:u w:val="none"/>
          <w:rtl/>
          <w:lang w:bidi="ar-KW"/>
        </w:rPr>
        <w:t>)</w:t>
      </w:r>
      <w:bookmarkStart w:id="5" w:name="ص3"/>
      <w:r w:rsidR="00A52585" w:rsidRPr="00A52585">
        <w:rPr>
          <w:rFonts w:hint="cs"/>
          <w:u w:val="none"/>
          <w:rtl/>
          <w:lang w:bidi="ar-KW"/>
        </w:rPr>
        <w:t xml:space="preserve"> </w:t>
      </w:r>
      <w:r w:rsidR="00777DCB" w:rsidRPr="00A52585">
        <w:rPr>
          <w:rFonts w:hint="cs"/>
          <w:u w:val="none"/>
          <w:rtl/>
        </w:rPr>
        <w:t>تحقيق القول في حديث</w:t>
      </w:r>
      <w:r w:rsidRPr="00A52585">
        <w:rPr>
          <w:rFonts w:hint="cs"/>
          <w:u w:val="none"/>
          <w:rtl/>
        </w:rPr>
        <w:t>:</w:t>
      </w:r>
      <w:r w:rsidR="00777DCB" w:rsidRPr="00A52585">
        <w:rPr>
          <w:rFonts w:hint="cs"/>
          <w:u w:val="none"/>
          <w:rtl/>
        </w:rPr>
        <w:t xml:space="preserve"> (</w:t>
      </w:r>
      <w:r w:rsidRPr="00A52585">
        <w:rPr>
          <w:rFonts w:hint="cs"/>
          <w:u w:val="none"/>
          <w:rtl/>
        </w:rPr>
        <w:t>(</w:t>
      </w:r>
      <w:r w:rsidR="00777DCB" w:rsidRPr="00A52585">
        <w:rPr>
          <w:rFonts w:hint="cs"/>
          <w:u w:val="none"/>
          <w:rtl/>
        </w:rPr>
        <w:t>ينزل ربنا كل ليلة</w:t>
      </w:r>
      <w:r w:rsidRPr="00A52585">
        <w:rPr>
          <w:rFonts w:hint="cs"/>
          <w:u w:val="none"/>
          <w:rtl/>
        </w:rPr>
        <w:t>)</w:t>
      </w:r>
      <w:r w:rsidR="00777DCB" w:rsidRPr="00A52585">
        <w:rPr>
          <w:rFonts w:hint="cs"/>
          <w:u w:val="none"/>
          <w:rtl/>
        </w:rPr>
        <w:t>)</w:t>
      </w:r>
      <w:r w:rsidR="00A52585" w:rsidRPr="00A52585">
        <w:rPr>
          <w:rFonts w:hint="cs"/>
          <w:u w:val="none"/>
          <w:rtl/>
        </w:rPr>
        <w:t xml:space="preserve"> </w:t>
      </w:r>
      <w:r w:rsidR="00777DCB" w:rsidRPr="00A52585">
        <w:rPr>
          <w:rFonts w:hint="cs"/>
          <w:u w:val="none"/>
          <w:rtl/>
        </w:rPr>
        <w:t>والقضاء على شبه المجسمة المتعلقة به من اثبات المكان والحركة والسكون</w:t>
      </w:r>
    </w:p>
    <w:bookmarkEnd w:id="5"/>
    <w:p w14:paraId="5C56DB79" w14:textId="77777777" w:rsidR="00777DCB" w:rsidRPr="00A52585" w:rsidRDefault="00777DCB" w:rsidP="0002035C">
      <w:pPr>
        <w:spacing w:after="240"/>
        <w:rPr>
          <w:bCs/>
          <w:rtl/>
        </w:rPr>
      </w:pPr>
    </w:p>
    <w:p w14:paraId="0B2E8960" w14:textId="06DE4C76" w:rsidR="00777DCB" w:rsidRPr="00A52585" w:rsidRDefault="0002035C" w:rsidP="0002035C">
      <w:pPr>
        <w:spacing w:after="240"/>
        <w:rPr>
          <w:rtl/>
        </w:rPr>
      </w:pPr>
      <w:r w:rsidRPr="00A52585">
        <w:rPr>
          <w:rFonts w:hint="cs"/>
          <w:bCs/>
          <w:rtl/>
        </w:rPr>
        <w:t>(</w:t>
      </w:r>
      <w:r w:rsidR="00777DCB" w:rsidRPr="00A52585">
        <w:rPr>
          <w:rFonts w:hint="cs"/>
          <w:bCs/>
          <w:rtl/>
        </w:rPr>
        <w:t>1</w:t>
      </w:r>
      <w:r w:rsidRPr="00A52585">
        <w:rPr>
          <w:rFonts w:hint="cs"/>
          <w:bCs/>
          <w:rtl/>
        </w:rPr>
        <w:t>)</w:t>
      </w:r>
      <w:r w:rsidR="00777DCB" w:rsidRPr="00A52585">
        <w:rPr>
          <w:rFonts w:hint="cs"/>
          <w:bCs/>
          <w:rtl/>
        </w:rPr>
        <w:t xml:space="preserve"> أخرج البخاري</w:t>
      </w:r>
      <w:r w:rsidR="00777DCB" w:rsidRPr="00A52585">
        <w:rPr>
          <w:rFonts w:hint="cs"/>
          <w:rtl/>
        </w:rPr>
        <w:t xml:space="preserve"> عن أبي هريرة رضي الله عنه أَنَّ رَسُولَ اللَّهِ صَلَّى اللَّهُ عَلَيْهِ وَسَلَّمَ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البخاري ح 1077</w:t>
      </w:r>
      <w:r w:rsidRPr="00A52585">
        <w:rPr>
          <w:rFonts w:hint="cs"/>
          <w:rtl/>
        </w:rPr>
        <w:t>]</w:t>
      </w:r>
      <w:r w:rsidR="00777DCB" w:rsidRPr="00A52585">
        <w:rPr>
          <w:rFonts w:hint="cs"/>
          <w:rtl/>
        </w:rPr>
        <w:t xml:space="preserve"> </w:t>
      </w:r>
    </w:p>
    <w:p w14:paraId="1358E83E" w14:textId="53AA5D43" w:rsidR="00777DCB" w:rsidRPr="00A52585" w:rsidRDefault="00777DCB" w:rsidP="0002035C">
      <w:pPr>
        <w:spacing w:after="240"/>
        <w:rPr>
          <w:rtl/>
        </w:rPr>
      </w:pPr>
      <w:r w:rsidRPr="00A52585">
        <w:rPr>
          <w:rFonts w:hint="cs"/>
          <w:bCs/>
          <w:rtl/>
        </w:rPr>
        <w:t>وقال ابن حجر</w:t>
      </w:r>
      <w:r w:rsidRPr="00A52585">
        <w:rPr>
          <w:rFonts w:hint="cs"/>
          <w:rtl/>
        </w:rPr>
        <w:t xml:space="preserve"> - في درة </w:t>
      </w:r>
      <w:proofErr w:type="spellStart"/>
      <w:r w:rsidRPr="00A52585">
        <w:rPr>
          <w:rFonts w:hint="cs"/>
          <w:rtl/>
        </w:rPr>
        <w:t>تنزيهية</w:t>
      </w:r>
      <w:proofErr w:type="spellEnd"/>
      <w:r w:rsidRPr="00A52585">
        <w:rPr>
          <w:rFonts w:hint="cs"/>
          <w:rtl/>
        </w:rPr>
        <w:t xml:space="preserve"> من كلامه - في شرح الحديث</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إلى السماء الدنيا</w:t>
      </w:r>
      <w:r w:rsidR="0002035C" w:rsidRPr="00A52585">
        <w:rPr>
          <w:rFonts w:hint="cs"/>
          <w:rtl/>
        </w:rPr>
        <w:t>)</w:t>
      </w:r>
      <w:r w:rsidRPr="00A52585">
        <w:rPr>
          <w:rFonts w:hint="cs"/>
          <w:rtl/>
        </w:rPr>
        <w:t xml:space="preserve"> استدل به من أثبت الجهة وقال</w:t>
      </w:r>
      <w:r w:rsidR="0002035C" w:rsidRPr="00A52585">
        <w:rPr>
          <w:rFonts w:hint="cs"/>
          <w:rtl/>
        </w:rPr>
        <w:t>:</w:t>
      </w:r>
      <w:r w:rsidRPr="00A52585">
        <w:rPr>
          <w:rFonts w:hint="cs"/>
          <w:rtl/>
        </w:rPr>
        <w:t xml:space="preserve"> هي جهة العلو , وأنكر ذلك الجمهور لأن القول بذلك يفضي إلى التحيز تعالى الله عن ذلك</w:t>
      </w:r>
      <w:r w:rsidR="00DB731D" w:rsidRPr="00A52585">
        <w:rPr>
          <w:rFonts w:hint="cs"/>
          <w:rtl/>
        </w:rPr>
        <w:t>،</w:t>
      </w:r>
      <w:r w:rsidR="0002035C" w:rsidRPr="00A52585">
        <w:rPr>
          <w:rFonts w:hint="cs"/>
          <w:rtl/>
        </w:rPr>
        <w:t xml:space="preserve"> </w:t>
      </w:r>
      <w:r w:rsidRPr="00A52585">
        <w:rPr>
          <w:rFonts w:hint="cs"/>
          <w:rtl/>
        </w:rPr>
        <w:t>وقد اختلف في معنى النزول على أقوال</w:t>
      </w:r>
      <w:r w:rsidR="0002035C" w:rsidRPr="00A52585">
        <w:rPr>
          <w:rFonts w:hint="cs"/>
          <w:rtl/>
        </w:rPr>
        <w:t>:</w:t>
      </w:r>
      <w:r w:rsidRPr="00A52585">
        <w:rPr>
          <w:rFonts w:hint="cs"/>
          <w:rtl/>
        </w:rPr>
        <w:t xml:space="preserve"> فمنهم من حمله على ظاهره وحقيقته وهم المشبهة تعالى الله عن قولهم</w:t>
      </w:r>
      <w:r w:rsidR="00DB731D" w:rsidRPr="00A52585">
        <w:rPr>
          <w:rFonts w:hint="cs"/>
          <w:rtl/>
        </w:rPr>
        <w:t>،</w:t>
      </w:r>
      <w:r w:rsidRPr="00A52585">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Pr="00A52585">
        <w:rPr>
          <w:rFonts w:hint="cs"/>
          <w:rtl/>
        </w:rPr>
        <w:t>والسفيانين</w:t>
      </w:r>
      <w:proofErr w:type="spellEnd"/>
      <w:r w:rsidRPr="00A52585">
        <w:rPr>
          <w:rFonts w:hint="cs"/>
          <w:rtl/>
        </w:rPr>
        <w:t xml:space="preserve"> </w:t>
      </w:r>
      <w:proofErr w:type="spellStart"/>
      <w:r w:rsidRPr="00A52585">
        <w:rPr>
          <w:rFonts w:hint="cs"/>
          <w:rtl/>
        </w:rPr>
        <w:t>والحمادين</w:t>
      </w:r>
      <w:proofErr w:type="spellEnd"/>
      <w:r w:rsidRPr="00A52585">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02035C" w:rsidRPr="00A52585">
        <w:rPr>
          <w:rFonts w:hint="cs"/>
          <w:rtl/>
        </w:rPr>
        <w:t>:</w:t>
      </w:r>
      <w:r w:rsidRPr="00A52585">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w:t>
      </w:r>
      <w:r w:rsidR="00897A24" w:rsidRPr="00A52585">
        <w:rPr>
          <w:rFonts w:hint="cs"/>
          <w:rtl/>
        </w:rPr>
        <w:t>.</w:t>
      </w:r>
      <w:r w:rsidRPr="00A52585">
        <w:rPr>
          <w:rFonts w:hint="cs"/>
          <w:rtl/>
        </w:rPr>
        <w:t xml:space="preserve"> وسيأتي مزيد بسط في ذلك في كتاب التوحيد إن شاء الله تعالى</w:t>
      </w:r>
      <w:r w:rsidR="00897A24" w:rsidRPr="00A52585">
        <w:rPr>
          <w:rFonts w:hint="cs"/>
          <w:rtl/>
        </w:rPr>
        <w:t>.</w:t>
      </w:r>
      <w:r w:rsidRPr="00A52585">
        <w:rPr>
          <w:rFonts w:hint="cs"/>
          <w:rtl/>
        </w:rPr>
        <w:t xml:space="preserve"> وقال ابن العربي</w:t>
      </w:r>
      <w:r w:rsidR="0002035C" w:rsidRPr="00A52585">
        <w:rPr>
          <w:rFonts w:hint="cs"/>
          <w:rtl/>
        </w:rPr>
        <w:t>:</w:t>
      </w:r>
      <w:r w:rsidRPr="00A52585">
        <w:rPr>
          <w:rFonts w:hint="cs"/>
          <w:rtl/>
        </w:rPr>
        <w:t xml:space="preserve"> حكي عن المبتدعة رد هذه </w:t>
      </w:r>
      <w:proofErr w:type="gramStart"/>
      <w:r w:rsidRPr="00A52585">
        <w:rPr>
          <w:rFonts w:hint="cs"/>
          <w:rtl/>
        </w:rPr>
        <w:t>الأحاديث ,</w:t>
      </w:r>
      <w:proofErr w:type="gramEnd"/>
      <w:r w:rsidRPr="00A52585">
        <w:rPr>
          <w:rFonts w:hint="cs"/>
          <w:rtl/>
        </w:rPr>
        <w:t xml:space="preserve"> وعن السلف إمرارها , وعن قوم تأويلها وبه أقول</w:t>
      </w:r>
      <w:r w:rsidR="00897A24" w:rsidRPr="00A52585">
        <w:rPr>
          <w:rFonts w:hint="cs"/>
          <w:rtl/>
        </w:rPr>
        <w:t>.</w:t>
      </w:r>
      <w:r w:rsidRPr="00A52585">
        <w:rPr>
          <w:rFonts w:hint="cs"/>
          <w:rtl/>
        </w:rPr>
        <w:t xml:space="preserve"> فأما قوله ينزل فهو راجع إلى أفعاله لا إلى </w:t>
      </w:r>
      <w:proofErr w:type="gramStart"/>
      <w:r w:rsidRPr="00A52585">
        <w:rPr>
          <w:rFonts w:hint="cs"/>
          <w:rtl/>
        </w:rPr>
        <w:t>ذاته ,</w:t>
      </w:r>
      <w:proofErr w:type="gramEnd"/>
      <w:r w:rsidRPr="00A52585">
        <w:rPr>
          <w:rFonts w:hint="cs"/>
          <w:rtl/>
        </w:rPr>
        <w:t xml:space="preserve"> بل ذلك عبارة عن ملكه الذي ينزل بأمره </w:t>
      </w:r>
      <w:r w:rsidRPr="00A52585">
        <w:rPr>
          <w:rFonts w:hint="cs"/>
          <w:rtl/>
        </w:rPr>
        <w:lastRenderedPageBreak/>
        <w:t>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w:t>
      </w:r>
      <w:r w:rsidR="00897A24" w:rsidRPr="00A52585">
        <w:rPr>
          <w:rFonts w:hint="cs"/>
          <w:rtl/>
        </w:rPr>
        <w:t>.</w:t>
      </w:r>
      <w:r w:rsidRPr="00A52585">
        <w:rPr>
          <w:rFonts w:hint="cs"/>
          <w:rtl/>
        </w:rPr>
        <w:t xml:space="preserve"> والحاصل أنه تأوله بوجهين</w:t>
      </w:r>
      <w:r w:rsidR="0002035C" w:rsidRPr="00A52585">
        <w:rPr>
          <w:rFonts w:hint="cs"/>
          <w:rtl/>
        </w:rPr>
        <w:t>:</w:t>
      </w:r>
      <w:r w:rsidRPr="00A52585">
        <w:rPr>
          <w:rFonts w:hint="cs"/>
          <w:rtl/>
        </w:rPr>
        <w:t xml:space="preserve"> إما بأن المعنى ينزل أمره أو الملك </w:t>
      </w:r>
      <w:proofErr w:type="gramStart"/>
      <w:r w:rsidRPr="00A52585">
        <w:rPr>
          <w:rFonts w:hint="cs"/>
          <w:rtl/>
        </w:rPr>
        <w:t>بأمره ,</w:t>
      </w:r>
      <w:proofErr w:type="gramEnd"/>
      <w:r w:rsidRPr="00A52585">
        <w:rPr>
          <w:rFonts w:hint="cs"/>
          <w:rtl/>
        </w:rPr>
        <w:t xml:space="preserve"> وإما بأنه استعارة بمعنى التلطف بالداعين والإجابة لهم ونحوه</w:t>
      </w:r>
      <w:r w:rsidR="00897A24" w:rsidRPr="00A52585">
        <w:rPr>
          <w:rFonts w:hint="cs"/>
          <w:rtl/>
        </w:rPr>
        <w:t>.</w:t>
      </w:r>
      <w:r w:rsidRPr="00A52585">
        <w:rPr>
          <w:rFonts w:hint="cs"/>
          <w:rtl/>
        </w:rPr>
        <w:t xml:space="preserve"> وقد حكى أبو بكر بن فورك أن بعض المشايخ ضبطه بضم أوله على حذف المفعول أي ينزل </w:t>
      </w:r>
      <w:proofErr w:type="gramStart"/>
      <w:r w:rsidRPr="00A52585">
        <w:rPr>
          <w:rFonts w:hint="cs"/>
          <w:rtl/>
        </w:rPr>
        <w:t>ملكا ,</w:t>
      </w:r>
      <w:proofErr w:type="gramEnd"/>
      <w:r w:rsidRPr="00A52585">
        <w:rPr>
          <w:rFonts w:hint="cs"/>
          <w:rtl/>
        </w:rPr>
        <w:t xml:space="preserve"> ويقويه ما رواه النسائي من طريق الأغر عن أبي هريرة وأبي سعيد بلفظ</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يمهل حتى يمضي شطر الليل , ثم يأمر مناديا يقول</w:t>
      </w:r>
      <w:r w:rsidR="0002035C" w:rsidRPr="00A52585">
        <w:rPr>
          <w:rFonts w:hint="cs"/>
          <w:rtl/>
        </w:rPr>
        <w:t>:</w:t>
      </w:r>
      <w:r w:rsidRPr="00A52585">
        <w:rPr>
          <w:rFonts w:hint="cs"/>
          <w:rtl/>
        </w:rPr>
        <w:t xml:space="preserve"> هل من داع فيستجاب له</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الحديث</w:t>
      </w:r>
      <w:r w:rsidR="00DB731D" w:rsidRPr="00A52585">
        <w:rPr>
          <w:rFonts w:hint="cs"/>
          <w:rtl/>
        </w:rPr>
        <w:t>،</w:t>
      </w:r>
      <w:r w:rsidRPr="00A52585">
        <w:rPr>
          <w:rFonts w:hint="cs"/>
          <w:rtl/>
        </w:rPr>
        <w:t xml:space="preserve"> وفي حديث عثمان بن أبي العاص</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ينادي مناد هل من داع يستجاب له</w:t>
      </w:r>
      <w:r w:rsidR="0002035C" w:rsidRPr="00A52585">
        <w:rPr>
          <w:rFonts w:hint="cs"/>
          <w:rtl/>
        </w:rPr>
        <w:t>)</w:t>
      </w:r>
      <w:r w:rsidRPr="00A52585">
        <w:rPr>
          <w:rFonts w:hint="cs"/>
          <w:rtl/>
        </w:rPr>
        <w:t>) الحديث</w:t>
      </w:r>
      <w:r w:rsidR="00897A24" w:rsidRPr="00A52585">
        <w:rPr>
          <w:rFonts w:hint="cs"/>
          <w:rtl/>
        </w:rPr>
        <w:t>.</w:t>
      </w:r>
      <w:r w:rsidRPr="00A52585">
        <w:rPr>
          <w:rFonts w:hint="cs"/>
          <w:rtl/>
        </w:rPr>
        <w:t xml:space="preserve"> قال القرطبي</w:t>
      </w:r>
      <w:r w:rsidR="0002035C" w:rsidRPr="00A52585">
        <w:rPr>
          <w:rFonts w:hint="cs"/>
          <w:rtl/>
        </w:rPr>
        <w:t>:</w:t>
      </w:r>
      <w:r w:rsidRPr="00A52585">
        <w:rPr>
          <w:rFonts w:hint="cs"/>
          <w:rtl/>
        </w:rPr>
        <w:t xml:space="preserve"> وبهذا يرتفع الإشكال , ولا يعكر عليه ما في رواية رفاعة الجهني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الله إلى السماء الدنيا فيقول</w:t>
      </w:r>
      <w:r w:rsidR="0002035C" w:rsidRPr="00A52585">
        <w:rPr>
          <w:rFonts w:hint="cs"/>
          <w:rtl/>
        </w:rPr>
        <w:t>:</w:t>
      </w:r>
      <w:r w:rsidRPr="00A52585">
        <w:rPr>
          <w:rFonts w:hint="cs"/>
          <w:rtl/>
        </w:rPr>
        <w:t xml:space="preserve"> لا أسأل عن عبادي غيري</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لأنه ليس في ذلك ما يدفع التأويل المذكور</w:t>
      </w:r>
      <w:r w:rsidR="00897A24" w:rsidRPr="00A52585">
        <w:rPr>
          <w:rFonts w:hint="cs"/>
          <w:rtl/>
        </w:rPr>
        <w:t>.</w:t>
      </w:r>
      <w:r w:rsidRPr="00A52585">
        <w:rPr>
          <w:rFonts w:hint="cs"/>
          <w:rtl/>
        </w:rPr>
        <w:t xml:space="preserve"> وقال البيضاوي</w:t>
      </w:r>
      <w:r w:rsidR="0002035C" w:rsidRPr="00A52585">
        <w:rPr>
          <w:rFonts w:hint="cs"/>
          <w:rtl/>
        </w:rPr>
        <w:t>:</w:t>
      </w:r>
      <w:r w:rsidRPr="00A52585">
        <w:rPr>
          <w:rFonts w:hint="cs"/>
          <w:rtl/>
        </w:rPr>
        <w:t xml:space="preserve"> ولما ثبت بالقواطع أنه سبحانه منزه عن الجسمية والتحيز امتنع عليه النزول على معنى الانتقال من موضع إلى موضع أخفض </w:t>
      </w:r>
      <w:proofErr w:type="gramStart"/>
      <w:r w:rsidRPr="00A52585">
        <w:rPr>
          <w:rFonts w:hint="cs"/>
          <w:rtl/>
        </w:rPr>
        <w:t>منه ,</w:t>
      </w:r>
      <w:proofErr w:type="gramEnd"/>
      <w:r w:rsidRPr="00A52585">
        <w:rPr>
          <w:rFonts w:hint="cs"/>
          <w:rtl/>
        </w:rPr>
        <w:t xml:space="preserve"> فالمراد نور رحمته , أي ينتقل من مقتضى صفة الجلال التي تقتضي الغضب والانتقام إلى مقتضى صفة الإكرام التي تقتضي الرأفة والرحمة</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فتح الباري</w:t>
      </w:r>
      <w:r w:rsidR="0002035C" w:rsidRPr="00A52585">
        <w:rPr>
          <w:rFonts w:hint="cs"/>
          <w:rtl/>
        </w:rPr>
        <w:t>:</w:t>
      </w:r>
      <w:r w:rsidRPr="00A52585">
        <w:rPr>
          <w:rFonts w:hint="cs"/>
          <w:rtl/>
        </w:rPr>
        <w:t xml:space="preserve"> ج: 3 ص: 30</w:t>
      </w:r>
      <w:r w:rsidR="0002035C" w:rsidRPr="00A52585">
        <w:rPr>
          <w:rFonts w:hint="cs"/>
          <w:rtl/>
        </w:rPr>
        <w:t>]</w:t>
      </w:r>
      <w:r w:rsidR="00DB731D" w:rsidRPr="00A52585">
        <w:rPr>
          <w:rFonts w:hint="cs"/>
          <w:rtl/>
        </w:rPr>
        <w:t>،</w:t>
      </w:r>
      <w:r w:rsidRPr="00A52585">
        <w:rPr>
          <w:rFonts w:hint="cs"/>
          <w:rtl/>
        </w:rPr>
        <w:t xml:space="preserve"> </w:t>
      </w:r>
    </w:p>
    <w:p w14:paraId="54D2471F" w14:textId="57085D20" w:rsidR="00777DCB" w:rsidRPr="00A52585" w:rsidRDefault="0002035C" w:rsidP="0002035C">
      <w:pPr>
        <w:spacing w:after="240"/>
        <w:rPr>
          <w:rtl/>
        </w:rPr>
      </w:pPr>
      <w:r w:rsidRPr="00A52585">
        <w:rPr>
          <w:rFonts w:hint="cs"/>
          <w:bCs/>
          <w:rtl/>
        </w:rPr>
        <w:t>(</w:t>
      </w:r>
      <w:r w:rsidR="00777DCB" w:rsidRPr="00A52585">
        <w:rPr>
          <w:rFonts w:hint="cs"/>
          <w:bCs/>
          <w:rtl/>
        </w:rPr>
        <w:t>2</w:t>
      </w:r>
      <w:r w:rsidRPr="00A52585">
        <w:rPr>
          <w:rFonts w:hint="cs"/>
          <w:bCs/>
          <w:rtl/>
        </w:rPr>
        <w:t>)</w:t>
      </w:r>
      <w:r w:rsidR="00777DCB" w:rsidRPr="00A52585">
        <w:rPr>
          <w:rFonts w:hint="cs"/>
          <w:bCs/>
          <w:rtl/>
        </w:rPr>
        <w:t xml:space="preserve"> وأخرج البخاري </w:t>
      </w:r>
      <w:r w:rsidR="00777DCB" w:rsidRPr="00A52585">
        <w:rPr>
          <w:rFonts w:hint="cs"/>
          <w:rtl/>
        </w:rPr>
        <w:t>أيضاً عن أَبِي هُرَيْرَةَ رضي الله عنه أَنَّ رَسُولَ اللَّهِ صَلَّى اللَّهُ عَلَيْهِ وَسَلَّمَ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البخاري</w:t>
      </w:r>
      <w:r w:rsidRPr="00A52585">
        <w:rPr>
          <w:rFonts w:hint="cs"/>
          <w:rtl/>
        </w:rPr>
        <w:t xml:space="preserve"> </w:t>
      </w:r>
      <w:r w:rsidR="00777DCB" w:rsidRPr="00A52585">
        <w:rPr>
          <w:rFonts w:hint="cs"/>
          <w:rtl/>
        </w:rPr>
        <w:t>ح 6940</w:t>
      </w:r>
      <w:r w:rsidRPr="00A52585">
        <w:rPr>
          <w:rFonts w:hint="cs"/>
          <w:rtl/>
        </w:rPr>
        <w:t>]</w:t>
      </w:r>
      <w:r w:rsidR="00DB731D" w:rsidRPr="00A52585">
        <w:rPr>
          <w:rFonts w:hint="cs"/>
          <w:rtl/>
        </w:rPr>
        <w:t>،</w:t>
      </w:r>
      <w:r w:rsidR="00777DCB" w:rsidRPr="00A52585">
        <w:rPr>
          <w:rFonts w:hint="cs"/>
          <w:rtl/>
        </w:rPr>
        <w:t xml:space="preserve"> </w:t>
      </w:r>
    </w:p>
    <w:p w14:paraId="21FF5DBC" w14:textId="31D998B2" w:rsidR="00777DCB" w:rsidRPr="00A52585" w:rsidRDefault="00777DCB" w:rsidP="0002035C">
      <w:pPr>
        <w:spacing w:after="240"/>
        <w:rPr>
          <w:rtl/>
        </w:rPr>
      </w:pPr>
      <w:r w:rsidRPr="00A52585">
        <w:rPr>
          <w:rFonts w:hint="cs"/>
          <w:bCs/>
          <w:rtl/>
        </w:rPr>
        <w:t>وقال ابن حجر</w:t>
      </w:r>
      <w:r w:rsidRPr="00A52585">
        <w:rPr>
          <w:rFonts w:hint="cs"/>
          <w:rtl/>
        </w:rPr>
        <w:t xml:space="preserve"> - في درة </w:t>
      </w:r>
      <w:proofErr w:type="spellStart"/>
      <w:r w:rsidRPr="00A52585">
        <w:rPr>
          <w:rFonts w:hint="cs"/>
          <w:rtl/>
        </w:rPr>
        <w:t>تنزيهية</w:t>
      </w:r>
      <w:proofErr w:type="spellEnd"/>
      <w:r w:rsidRPr="00A52585">
        <w:rPr>
          <w:rFonts w:hint="cs"/>
          <w:rtl/>
        </w:rPr>
        <w:t xml:space="preserve"> من كلامه - في شرح الحديث</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قد تقدم شرحه في</w:t>
      </w:r>
      <w:r w:rsidR="0002035C" w:rsidRPr="00A52585">
        <w:rPr>
          <w:rFonts w:hint="cs"/>
          <w:rtl/>
        </w:rPr>
        <w:t xml:space="preserve"> </w:t>
      </w:r>
      <w:r w:rsidRPr="00A52585">
        <w:rPr>
          <w:rFonts w:hint="cs"/>
          <w:rtl/>
        </w:rPr>
        <w:t>كتاب التهجد</w:t>
      </w:r>
      <w:r w:rsidR="0002035C" w:rsidRPr="00A52585">
        <w:rPr>
          <w:rFonts w:hint="cs"/>
          <w:rtl/>
        </w:rPr>
        <w:t xml:space="preserve"> </w:t>
      </w:r>
      <w:r w:rsidRPr="00A52585">
        <w:rPr>
          <w:rFonts w:hint="cs"/>
          <w:rtl/>
        </w:rPr>
        <w:t xml:space="preserve">في باب الدعاء في الصلاة في آخر الليل , وتقدم هناك مناسبة الترجمة لحديث الباب مع أن لفظه </w:t>
      </w:r>
      <w:r w:rsidR="0002035C" w:rsidRPr="00A52585">
        <w:rPr>
          <w:rFonts w:hint="cs"/>
          <w:rtl/>
        </w:rPr>
        <w:t>(</w:t>
      </w:r>
      <w:r w:rsidRPr="00A52585">
        <w:rPr>
          <w:rFonts w:hint="cs"/>
          <w:rtl/>
        </w:rPr>
        <w:t>حين يبقى ثلث الليل</w:t>
      </w:r>
      <w:r w:rsidR="0002035C" w:rsidRPr="00A52585">
        <w:rPr>
          <w:rFonts w:hint="cs"/>
          <w:rtl/>
        </w:rPr>
        <w:t>)</w:t>
      </w:r>
      <w:r w:rsidRPr="00A52585">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02035C" w:rsidRPr="00A52585">
        <w:rPr>
          <w:rFonts w:hint="cs"/>
          <w:rtl/>
        </w:rPr>
        <w:t>:</w:t>
      </w:r>
      <w:r w:rsidRPr="00A52585">
        <w:rPr>
          <w:rFonts w:hint="cs"/>
          <w:rtl/>
        </w:rPr>
        <w:t xml:space="preserve"> فلان نزل لي عن حقه بمعنى وهبه , قال</w:t>
      </w:r>
      <w:r w:rsidR="0002035C" w:rsidRPr="00A52585">
        <w:rPr>
          <w:rFonts w:hint="cs"/>
          <w:rtl/>
        </w:rPr>
        <w:t>:</w:t>
      </w:r>
      <w:r w:rsidRPr="00A52585">
        <w:rPr>
          <w:rFonts w:hint="cs"/>
          <w:rtl/>
        </w:rPr>
        <w:t xml:space="preserve"> والدليل على </w:t>
      </w:r>
      <w:r w:rsidRPr="00A52585">
        <w:rPr>
          <w:rFonts w:hint="cs"/>
          <w:rtl/>
        </w:rPr>
        <w:lastRenderedPageBreak/>
        <w:t>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02035C" w:rsidRPr="00A52585">
        <w:rPr>
          <w:rFonts w:hint="cs"/>
          <w:rtl/>
        </w:rPr>
        <w:t>:</w:t>
      </w:r>
      <w:r w:rsidRPr="00A52585">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sidR="00897A24" w:rsidRPr="00A52585">
        <w:rPr>
          <w:rFonts w:hint="cs"/>
          <w:rtl/>
        </w:rPr>
        <w:t>.</w:t>
      </w:r>
      <w:r w:rsidRPr="00A52585">
        <w:rPr>
          <w:rFonts w:hint="cs"/>
          <w:rtl/>
        </w:rPr>
        <w:t xml:space="preserve">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الأشياء شبها بالصخر , والله يقول </w:t>
      </w:r>
      <w:r w:rsidR="0002035C" w:rsidRPr="00A52585">
        <w:rPr>
          <w:rFonts w:hint="cs"/>
          <w:rtl/>
        </w:rPr>
        <w:t>(</w:t>
      </w:r>
      <w:r w:rsidRPr="00A52585">
        <w:rPr>
          <w:rFonts w:hint="cs"/>
          <w:rtl/>
        </w:rPr>
        <w:t>في موج كالجبال</w:t>
      </w:r>
      <w:r w:rsidR="0002035C" w:rsidRPr="00A52585">
        <w:rPr>
          <w:rFonts w:hint="cs"/>
          <w:rtl/>
        </w:rPr>
        <w:t>)</w:t>
      </w:r>
      <w:r w:rsidRPr="00A52585">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فتح الباري ج: 13 ص: 468</w:t>
      </w:r>
      <w:r w:rsidR="0002035C" w:rsidRPr="00A52585">
        <w:rPr>
          <w:rFonts w:hint="cs"/>
          <w:rtl/>
        </w:rPr>
        <w:t>]</w:t>
      </w:r>
      <w:r w:rsidR="00DB731D" w:rsidRPr="00A52585">
        <w:rPr>
          <w:rFonts w:hint="cs"/>
          <w:rtl/>
        </w:rPr>
        <w:t>،</w:t>
      </w:r>
    </w:p>
    <w:p w14:paraId="5CBBB73B" w14:textId="74432123" w:rsidR="00777DCB" w:rsidRPr="00A52585" w:rsidRDefault="0002035C" w:rsidP="0002035C">
      <w:pPr>
        <w:spacing w:after="240"/>
        <w:rPr>
          <w:rtl/>
        </w:rPr>
      </w:pPr>
      <w:r w:rsidRPr="00A52585">
        <w:rPr>
          <w:rFonts w:hint="cs"/>
          <w:bCs/>
          <w:rtl/>
        </w:rPr>
        <w:t>(</w:t>
      </w:r>
      <w:r w:rsidR="00777DCB" w:rsidRPr="00A52585">
        <w:rPr>
          <w:rFonts w:hint="cs"/>
          <w:bCs/>
          <w:rtl/>
        </w:rPr>
        <w:t>3</w:t>
      </w:r>
      <w:r w:rsidRPr="00A52585">
        <w:rPr>
          <w:rFonts w:hint="cs"/>
          <w:bCs/>
          <w:rtl/>
        </w:rPr>
        <w:t>)</w:t>
      </w:r>
      <w:r w:rsidR="00777DCB" w:rsidRPr="00A52585">
        <w:rPr>
          <w:rFonts w:hint="cs"/>
          <w:bCs/>
          <w:rtl/>
        </w:rPr>
        <w:t xml:space="preserve"> وأخرج مسلم في صحيحه</w:t>
      </w:r>
      <w:r w:rsidR="00777DCB" w:rsidRPr="00A52585">
        <w:rPr>
          <w:rFonts w:hint="cs"/>
          <w:rtl/>
        </w:rPr>
        <w:t xml:space="preserve"> عن أَبِي هُرَيْرَةَ رضي الله عنه أَنَّ رَسُولَ اللَّهِ صَلَّى اللَّهُ عَلَيْهِ وَسَلَّمَ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مسلم</w:t>
      </w:r>
      <w:r w:rsidRPr="00A52585">
        <w:rPr>
          <w:rFonts w:hint="cs"/>
          <w:rtl/>
        </w:rPr>
        <w:t>:</w:t>
      </w:r>
      <w:r w:rsidR="00777DCB" w:rsidRPr="00A52585">
        <w:rPr>
          <w:rFonts w:hint="cs"/>
          <w:rtl/>
        </w:rPr>
        <w:t xml:space="preserve"> ح</w:t>
      </w:r>
      <w:r w:rsidRPr="00A52585">
        <w:rPr>
          <w:rFonts w:hint="cs"/>
          <w:rtl/>
        </w:rPr>
        <w:t>:</w:t>
      </w:r>
      <w:r w:rsidR="00777DCB" w:rsidRPr="00A52585">
        <w:rPr>
          <w:rFonts w:hint="cs"/>
          <w:rtl/>
        </w:rPr>
        <w:t>1261</w:t>
      </w:r>
      <w:r w:rsidRPr="00A52585">
        <w:rPr>
          <w:rFonts w:hint="cs"/>
          <w:rtl/>
        </w:rPr>
        <w:t>]</w:t>
      </w:r>
      <w:r w:rsidR="00DB731D" w:rsidRPr="00A52585">
        <w:rPr>
          <w:rFonts w:hint="cs"/>
          <w:rtl/>
        </w:rPr>
        <w:t>،</w:t>
      </w:r>
      <w:r w:rsidR="00777DCB" w:rsidRPr="00A52585">
        <w:rPr>
          <w:rFonts w:hint="cs"/>
          <w:rtl/>
        </w:rPr>
        <w:t xml:space="preserve"> </w:t>
      </w:r>
    </w:p>
    <w:p w14:paraId="28714CA5" w14:textId="2D6EF1B8" w:rsidR="00777DCB" w:rsidRPr="00A52585" w:rsidRDefault="00777DCB" w:rsidP="0002035C">
      <w:pPr>
        <w:spacing w:after="240"/>
        <w:rPr>
          <w:rtl/>
        </w:rPr>
      </w:pPr>
      <w:r w:rsidRPr="00A52585">
        <w:rPr>
          <w:rFonts w:hint="cs"/>
          <w:bCs/>
          <w:rtl/>
        </w:rPr>
        <w:t>وقال النووي</w:t>
      </w:r>
      <w:r w:rsidRPr="00A52585">
        <w:rPr>
          <w:rFonts w:hint="cs"/>
          <w:rtl/>
        </w:rPr>
        <w:t xml:space="preserve"> - في درة من </w:t>
      </w:r>
      <w:proofErr w:type="spellStart"/>
      <w:r w:rsidRPr="00A52585">
        <w:rPr>
          <w:rFonts w:hint="cs"/>
          <w:rtl/>
        </w:rPr>
        <w:t>تنزيهاته</w:t>
      </w:r>
      <w:proofErr w:type="spellEnd"/>
      <w:r w:rsidRPr="00A52585">
        <w:rPr>
          <w:rFonts w:hint="cs"/>
          <w:rtl/>
        </w:rPr>
        <w:t xml:space="preserve"> - في شرح الحديث</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 صلى الله عليه وسلم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كل ليلة إلى السماء الدنيا فيقول</w:t>
      </w:r>
      <w:r w:rsidR="0002035C" w:rsidRPr="00A52585">
        <w:rPr>
          <w:rFonts w:hint="cs"/>
          <w:rtl/>
        </w:rPr>
        <w:t>:</w:t>
      </w:r>
      <w:r w:rsidRPr="00A52585">
        <w:rPr>
          <w:rFonts w:hint="cs"/>
          <w:rtl/>
        </w:rPr>
        <w:t xml:space="preserve"> من يدعوني فأستجيب له</w:t>
      </w:r>
      <w:r w:rsidR="0002035C" w:rsidRPr="00A52585">
        <w:rPr>
          <w:rFonts w:hint="cs"/>
          <w:rtl/>
        </w:rPr>
        <w:t>)</w:t>
      </w:r>
      <w:r w:rsidRPr="00A52585">
        <w:rPr>
          <w:rFonts w:hint="cs"/>
          <w:rtl/>
        </w:rPr>
        <w:t xml:space="preserve">) هذا الحديث من أحاديث </w:t>
      </w:r>
      <w:proofErr w:type="gramStart"/>
      <w:r w:rsidRPr="00A52585">
        <w:rPr>
          <w:rFonts w:hint="cs"/>
          <w:rtl/>
        </w:rPr>
        <w:t>الصفات ,</w:t>
      </w:r>
      <w:proofErr w:type="gramEnd"/>
      <w:r w:rsidRPr="00A52585">
        <w:rPr>
          <w:rFonts w:hint="cs"/>
          <w:rtl/>
        </w:rPr>
        <w:t xml:space="preserve"> وفيه مذهبان مشهوران للعلماء سبق إيضاحهما في كتاب الإيمان ومختصرهما أن أحدهما وهو مذهب جمهور السلف وبعض المتكلمين</w:t>
      </w:r>
      <w:r w:rsidR="0002035C" w:rsidRPr="00A52585">
        <w:rPr>
          <w:rFonts w:hint="cs"/>
          <w:rtl/>
        </w:rPr>
        <w:t>:</w:t>
      </w:r>
      <w:r w:rsidRPr="00A52585">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w:t>
      </w:r>
      <w:r w:rsidR="00897A24" w:rsidRPr="00A52585">
        <w:rPr>
          <w:rFonts w:hint="cs"/>
          <w:rtl/>
        </w:rPr>
        <w:t>.</w:t>
      </w:r>
      <w:r w:rsidRPr="00A52585">
        <w:rPr>
          <w:rFonts w:hint="cs"/>
          <w:rtl/>
        </w:rPr>
        <w:t xml:space="preserve"> والثاني</w:t>
      </w:r>
      <w:r w:rsidR="0002035C" w:rsidRPr="00A52585">
        <w:rPr>
          <w:rFonts w:hint="cs"/>
          <w:rtl/>
        </w:rPr>
        <w:t>:</w:t>
      </w:r>
      <w:r w:rsidRPr="00A52585">
        <w:rPr>
          <w:rFonts w:hint="cs"/>
          <w:rtl/>
        </w:rPr>
        <w:t xml:space="preserve"> مذهب أكثر المتكلمين وجماعات من السلف وهو محكي هنا عن مالك والأوزاعي</w:t>
      </w:r>
      <w:r w:rsidR="0002035C" w:rsidRPr="00A52585">
        <w:rPr>
          <w:rFonts w:hint="cs"/>
          <w:rtl/>
        </w:rPr>
        <w:t>:</w:t>
      </w:r>
      <w:r w:rsidRPr="00A52585">
        <w:rPr>
          <w:rFonts w:hint="cs"/>
          <w:rtl/>
        </w:rPr>
        <w:t xml:space="preserve"> أنها تتأول على ما يليق بها بحسب مواطنها</w:t>
      </w:r>
      <w:r w:rsidR="00897A24" w:rsidRPr="00A52585">
        <w:rPr>
          <w:rFonts w:hint="cs"/>
          <w:rtl/>
        </w:rPr>
        <w:t>.</w:t>
      </w:r>
      <w:r w:rsidRPr="00A52585">
        <w:rPr>
          <w:rFonts w:hint="cs"/>
          <w:rtl/>
        </w:rPr>
        <w:t xml:space="preserve"> فعلى هذا تأولوا هذا الحديث تأويلين أحدهما</w:t>
      </w:r>
      <w:r w:rsidR="0002035C" w:rsidRPr="00A52585">
        <w:rPr>
          <w:rFonts w:hint="cs"/>
          <w:rtl/>
        </w:rPr>
        <w:t>:</w:t>
      </w:r>
      <w:r w:rsidRPr="00A52585">
        <w:rPr>
          <w:rFonts w:hint="cs"/>
          <w:rtl/>
        </w:rPr>
        <w:t xml:space="preserve"> تأويل مالك بن أنس وغيره معناه</w:t>
      </w:r>
      <w:r w:rsidR="0002035C" w:rsidRPr="00A52585">
        <w:rPr>
          <w:rFonts w:hint="cs"/>
          <w:rtl/>
        </w:rPr>
        <w:t>:</w:t>
      </w:r>
      <w:r w:rsidRPr="00A52585">
        <w:rPr>
          <w:rFonts w:hint="cs"/>
          <w:rtl/>
        </w:rPr>
        <w:t xml:space="preserve"> تنزل رحمته وأمره وملائكته كما يقال</w:t>
      </w:r>
      <w:r w:rsidR="0002035C" w:rsidRPr="00A52585">
        <w:rPr>
          <w:rFonts w:hint="cs"/>
          <w:rtl/>
        </w:rPr>
        <w:t>:</w:t>
      </w:r>
      <w:r w:rsidRPr="00A52585">
        <w:rPr>
          <w:rFonts w:hint="cs"/>
          <w:rtl/>
        </w:rPr>
        <w:t xml:space="preserve"> فعل السلطان كذا إذا فعله أتباعه بأمره</w:t>
      </w:r>
      <w:r w:rsidR="00897A24" w:rsidRPr="00A52585">
        <w:rPr>
          <w:rFonts w:hint="cs"/>
          <w:rtl/>
        </w:rPr>
        <w:t>.</w:t>
      </w:r>
      <w:r w:rsidRPr="00A52585">
        <w:rPr>
          <w:rFonts w:hint="cs"/>
          <w:rtl/>
        </w:rPr>
        <w:t xml:space="preserve"> والثاني</w:t>
      </w:r>
      <w:r w:rsidR="0002035C" w:rsidRPr="00A52585">
        <w:rPr>
          <w:rFonts w:hint="cs"/>
          <w:rtl/>
        </w:rPr>
        <w:t>:</w:t>
      </w:r>
      <w:r w:rsidRPr="00A52585">
        <w:rPr>
          <w:rFonts w:hint="cs"/>
          <w:rtl/>
        </w:rPr>
        <w:t xml:space="preserve"> أنه على </w:t>
      </w:r>
      <w:proofErr w:type="gramStart"/>
      <w:r w:rsidRPr="00A52585">
        <w:rPr>
          <w:rFonts w:hint="cs"/>
          <w:rtl/>
        </w:rPr>
        <w:t>الاستعارة ,</w:t>
      </w:r>
      <w:proofErr w:type="gramEnd"/>
      <w:r w:rsidRPr="00A52585">
        <w:rPr>
          <w:rFonts w:hint="cs"/>
          <w:rtl/>
        </w:rPr>
        <w:t xml:space="preserve"> ومعناه</w:t>
      </w:r>
      <w:r w:rsidR="0002035C" w:rsidRPr="00A52585">
        <w:rPr>
          <w:rFonts w:hint="cs"/>
          <w:rtl/>
        </w:rPr>
        <w:t>:</w:t>
      </w:r>
      <w:r w:rsidRPr="00A52585">
        <w:rPr>
          <w:rFonts w:hint="cs"/>
          <w:rtl/>
        </w:rPr>
        <w:t xml:space="preserve"> الإقبال على الداعين بالإجابة واللطف</w:t>
      </w:r>
      <w:r w:rsidR="00DB731D" w:rsidRPr="00A52585">
        <w:rPr>
          <w:rFonts w:hint="cs"/>
          <w:rtl/>
        </w:rPr>
        <w:t>،</w:t>
      </w:r>
      <w:r w:rsidRPr="00A52585">
        <w:rPr>
          <w:rFonts w:hint="cs"/>
          <w:rtl/>
        </w:rPr>
        <w:t xml:space="preserve"> والله أعلم</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شرح النووي على صحيح مسلم</w:t>
      </w:r>
      <w:r w:rsidR="0002035C" w:rsidRPr="00A52585">
        <w:rPr>
          <w:rFonts w:hint="cs"/>
          <w:rtl/>
        </w:rPr>
        <w:t>]</w:t>
      </w:r>
      <w:r w:rsidR="00DB731D" w:rsidRPr="00A52585">
        <w:rPr>
          <w:rFonts w:hint="cs"/>
          <w:rtl/>
        </w:rPr>
        <w:t>،</w:t>
      </w:r>
      <w:r w:rsidRPr="00A52585">
        <w:rPr>
          <w:rFonts w:hint="cs"/>
          <w:rtl/>
        </w:rPr>
        <w:t xml:space="preserve"> </w:t>
      </w:r>
    </w:p>
    <w:p w14:paraId="1D96133C" w14:textId="3BDE93EB" w:rsidR="00777DCB" w:rsidRPr="00A52585" w:rsidRDefault="00777DCB" w:rsidP="0002035C">
      <w:pPr>
        <w:spacing w:after="240"/>
        <w:rPr>
          <w:bCs/>
          <w:rtl/>
        </w:rPr>
      </w:pPr>
      <w:r w:rsidRPr="00A52585">
        <w:rPr>
          <w:rFonts w:hint="cs"/>
          <w:bCs/>
          <w:rtl/>
        </w:rPr>
        <w:lastRenderedPageBreak/>
        <w:t>وقال رحمه الله في المجموع</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وعن جابر رضي الله عنه قال سمعت رسول الله</w:t>
      </w:r>
      <w:r w:rsidR="0002035C" w:rsidRPr="00A52585">
        <w:rPr>
          <w:rFonts w:hint="cs"/>
          <w:rtl/>
        </w:rPr>
        <w:t xml:space="preserve"> </w:t>
      </w:r>
      <w:r w:rsidRPr="00A52585">
        <w:rPr>
          <w:rFonts w:hint="cs"/>
          <w:rtl/>
        </w:rPr>
        <w:t>صلى الله عليه وسلم</w:t>
      </w:r>
      <w:r w:rsidR="0002035C" w:rsidRPr="00A52585">
        <w:rPr>
          <w:rFonts w:hint="cs"/>
          <w:rtl/>
        </w:rPr>
        <w:t xml:space="preserve"> </w:t>
      </w:r>
      <w:r w:rsidRPr="00A52585">
        <w:rPr>
          <w:rFonts w:hint="cs"/>
          <w:rtl/>
        </w:rPr>
        <w:t xml:space="preserve">يقول «إن في الليل لساعة لا </w:t>
      </w:r>
      <w:proofErr w:type="spellStart"/>
      <w:r w:rsidRPr="00A52585">
        <w:rPr>
          <w:rFonts w:hint="cs"/>
          <w:rtl/>
        </w:rPr>
        <w:t>يوافقها</w:t>
      </w:r>
      <w:proofErr w:type="spellEnd"/>
      <w:r w:rsidRPr="00A52585">
        <w:rPr>
          <w:rFonts w:hint="cs"/>
          <w:rtl/>
        </w:rPr>
        <w:t xml:space="preserve"> رجل مسلم يسأل الله خيراً من أمر الدنيا والآخرة إلا أعطاه إياه وذلك كل ليلة» رواه مسلم وعن أبي هريرة رضي الله عنه رسول الله</w:t>
      </w:r>
      <w:r w:rsidR="0002035C" w:rsidRPr="00A52585">
        <w:rPr>
          <w:rFonts w:hint="cs"/>
          <w:rtl/>
        </w:rPr>
        <w:t xml:space="preserve"> </w:t>
      </w:r>
      <w:r w:rsidRPr="00A52585">
        <w:rPr>
          <w:rFonts w:hint="cs"/>
          <w:rtl/>
        </w:rPr>
        <w:t>صلى الله عليه وسلم</w:t>
      </w:r>
      <w:r w:rsidR="0002035C" w:rsidRPr="00A52585">
        <w:rPr>
          <w:rFonts w:hint="cs"/>
          <w:rtl/>
        </w:rPr>
        <w:t xml:space="preserve"> </w:t>
      </w:r>
      <w:r w:rsidRPr="00A52585">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Pr="00A52585">
        <w:rPr>
          <w:rFonts w:hint="cs"/>
          <w:bCs/>
          <w:rtl/>
        </w:rPr>
        <w:t>وفي هذا الحديث وشبهه من أحاديث الصفات وآياتها مذهبان مشهوران</w:t>
      </w:r>
      <w:r w:rsidR="0002035C" w:rsidRPr="00A52585">
        <w:rPr>
          <w:rFonts w:hint="cs"/>
          <w:bCs/>
          <w:rtl/>
        </w:rPr>
        <w:t>:</w:t>
      </w:r>
      <w:r w:rsidRPr="00A52585">
        <w:rPr>
          <w:rFonts w:hint="cs"/>
          <w:bCs/>
          <w:rtl/>
        </w:rPr>
        <w:t xml:space="preserve"> </w:t>
      </w:r>
      <w:r w:rsidR="0002035C" w:rsidRPr="00A52585">
        <w:rPr>
          <w:rFonts w:hint="cs"/>
          <w:bCs/>
          <w:rtl/>
        </w:rPr>
        <w:t>(</w:t>
      </w:r>
      <w:r w:rsidRPr="00A52585">
        <w:rPr>
          <w:rFonts w:hint="cs"/>
          <w:bCs/>
          <w:rtl/>
        </w:rPr>
        <w:t>أحدهما</w:t>
      </w:r>
      <w:r w:rsidR="0002035C" w:rsidRPr="00A52585">
        <w:rPr>
          <w:rFonts w:hint="cs"/>
          <w:bCs/>
          <w:rtl/>
        </w:rPr>
        <w:t>)</w:t>
      </w:r>
      <w:r w:rsidRPr="00A52585">
        <w:rPr>
          <w:rFonts w:hint="cs"/>
          <w:bCs/>
          <w:rtl/>
        </w:rPr>
        <w:t xml:space="preserve"> تأويله على ما يليق بصفات الله سبحانه وتعالى وتنزيهه عن الانتقال وسائر صفات المحدث، وهذا هو الأشهر عن المتكلمين و </w:t>
      </w:r>
      <w:r w:rsidR="0002035C" w:rsidRPr="00A52585">
        <w:rPr>
          <w:rFonts w:hint="cs"/>
          <w:bCs/>
          <w:rtl/>
        </w:rPr>
        <w:t>(</w:t>
      </w:r>
      <w:r w:rsidRPr="00A52585">
        <w:rPr>
          <w:rFonts w:hint="cs"/>
          <w:bCs/>
          <w:rtl/>
        </w:rPr>
        <w:t>الثاني</w:t>
      </w:r>
      <w:r w:rsidR="0002035C" w:rsidRPr="00A52585">
        <w:rPr>
          <w:rFonts w:hint="cs"/>
          <w:bCs/>
          <w:rtl/>
        </w:rPr>
        <w:t>):</w:t>
      </w:r>
      <w:r w:rsidRPr="00A52585">
        <w:rPr>
          <w:rFonts w:hint="cs"/>
          <w:bCs/>
          <w:rtl/>
        </w:rPr>
        <w:t xml:space="preserve"> الإمساك عن تأويلها مع اعتقاد</w:t>
      </w:r>
      <w:r w:rsidR="0002035C" w:rsidRPr="00A52585">
        <w:rPr>
          <w:rFonts w:hint="cs"/>
          <w:bCs/>
          <w:rtl/>
        </w:rPr>
        <w:t xml:space="preserve"> </w:t>
      </w:r>
      <w:r w:rsidRPr="00A52585">
        <w:rPr>
          <w:rFonts w:hint="cs"/>
          <w:bCs/>
          <w:rtl/>
        </w:rPr>
        <w:t xml:space="preserve">تنزيه الله سبحانه عن صفات المحدث لقوله تعالى </w:t>
      </w:r>
      <w:r w:rsidR="0002035C" w:rsidRPr="00A52585">
        <w:rPr>
          <w:rFonts w:hint="cs"/>
          <w:bCs/>
          <w:rtl/>
        </w:rPr>
        <w:t>{</w:t>
      </w:r>
      <w:r w:rsidRPr="00A52585">
        <w:rPr>
          <w:rFonts w:hint="cs"/>
          <w:bCs/>
          <w:rtl/>
        </w:rPr>
        <w:t>ليس كمثله شيء</w:t>
      </w:r>
      <w:r w:rsidR="0002035C" w:rsidRPr="00A52585">
        <w:rPr>
          <w:rFonts w:hint="cs"/>
          <w:bCs/>
          <w:rtl/>
        </w:rPr>
        <w:t>}</w:t>
      </w:r>
      <w:r w:rsidRPr="00A52585">
        <w:rPr>
          <w:rFonts w:hint="cs"/>
          <w:b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sidR="0002035C" w:rsidRPr="00A52585">
        <w:rPr>
          <w:rFonts w:hint="cs"/>
          <w:bCs/>
          <w:rtl/>
        </w:rPr>
        <w:t>)</w:t>
      </w:r>
      <w:r w:rsidRPr="00A52585">
        <w:rPr>
          <w:rFonts w:hint="cs"/>
          <w:bCs/>
          <w:rtl/>
        </w:rPr>
        <w:t xml:space="preserve"> أهـ </w:t>
      </w:r>
      <w:r w:rsidR="0002035C" w:rsidRPr="00A52585">
        <w:rPr>
          <w:rFonts w:hint="cs"/>
          <w:bCs/>
          <w:rtl/>
        </w:rPr>
        <w:t>[</w:t>
      </w:r>
      <w:r w:rsidRPr="00A52585">
        <w:rPr>
          <w:rFonts w:hint="cs"/>
          <w:rtl/>
        </w:rPr>
        <w:t>المجموع ج: 4 ص: 51</w:t>
      </w:r>
      <w:r w:rsidR="0002035C" w:rsidRPr="00A52585">
        <w:rPr>
          <w:rFonts w:hint="cs"/>
          <w:rtl/>
        </w:rPr>
        <w:t>]</w:t>
      </w:r>
      <w:r w:rsidR="00DB731D" w:rsidRPr="00A52585">
        <w:rPr>
          <w:rFonts w:hint="cs"/>
          <w:rtl/>
        </w:rPr>
        <w:t>،</w:t>
      </w:r>
      <w:r w:rsidRPr="00A52585">
        <w:rPr>
          <w:rFonts w:hint="cs"/>
          <w:rtl/>
        </w:rPr>
        <w:t xml:space="preserve"> </w:t>
      </w:r>
    </w:p>
    <w:p w14:paraId="216CAE9A" w14:textId="45741CE0" w:rsidR="00777DCB" w:rsidRPr="00A52585" w:rsidRDefault="0002035C" w:rsidP="0002035C">
      <w:pPr>
        <w:spacing w:after="240"/>
        <w:rPr>
          <w:bCs/>
          <w:rtl/>
        </w:rPr>
      </w:pPr>
      <w:r w:rsidRPr="00A52585">
        <w:rPr>
          <w:rFonts w:hint="cs"/>
          <w:bCs/>
          <w:rtl/>
        </w:rPr>
        <w:t>(</w:t>
      </w:r>
      <w:r w:rsidR="00777DCB" w:rsidRPr="00A52585">
        <w:rPr>
          <w:rFonts w:hint="cs"/>
          <w:bCs/>
          <w:rtl/>
        </w:rPr>
        <w:t>4</w:t>
      </w:r>
      <w:r w:rsidRPr="00A52585">
        <w:rPr>
          <w:rFonts w:hint="cs"/>
          <w:bCs/>
          <w:rtl/>
        </w:rPr>
        <w:t>)</w:t>
      </w:r>
      <w:r w:rsidR="00777DCB" w:rsidRPr="00A52585">
        <w:rPr>
          <w:rFonts w:hint="cs"/>
          <w:bCs/>
          <w:rtl/>
        </w:rPr>
        <w:t xml:space="preserve"> ومن أقوال شرّاح الحديث في بيان معانيه</w:t>
      </w:r>
      <w:r w:rsidR="00DB731D" w:rsidRPr="00A52585">
        <w:rPr>
          <w:rFonts w:hint="cs"/>
          <w:bCs/>
          <w:rtl/>
        </w:rPr>
        <w:t>،</w:t>
      </w:r>
      <w:r w:rsidR="00777DCB" w:rsidRPr="00A52585">
        <w:rPr>
          <w:rFonts w:hint="cs"/>
          <w:bCs/>
          <w:rtl/>
        </w:rPr>
        <w:t xml:space="preserve"> دون الغوص في الحشو والتشبيه</w:t>
      </w:r>
      <w:r w:rsidR="00DB731D" w:rsidRPr="00A52585">
        <w:rPr>
          <w:rFonts w:hint="cs"/>
          <w:bCs/>
          <w:rtl/>
        </w:rPr>
        <w:t>،</w:t>
      </w:r>
      <w:r w:rsidR="00777DCB" w:rsidRPr="00A52585">
        <w:rPr>
          <w:rFonts w:hint="cs"/>
          <w:bCs/>
          <w:rtl/>
        </w:rPr>
        <w:t xml:space="preserve"> </w:t>
      </w:r>
    </w:p>
    <w:p w14:paraId="61732090" w14:textId="2ECC43F2" w:rsidR="00777DCB" w:rsidRPr="00A52585" w:rsidRDefault="00777DCB" w:rsidP="0002035C">
      <w:pPr>
        <w:spacing w:after="240"/>
        <w:rPr>
          <w:rtl/>
        </w:rPr>
      </w:pPr>
      <w:r w:rsidRPr="00A52585">
        <w:rPr>
          <w:rFonts w:hint="cs"/>
          <w:bCs/>
          <w:rtl/>
        </w:rPr>
        <w:t>قال الإمام البيهقي</w:t>
      </w:r>
      <w:r w:rsidRPr="00A52585">
        <w:rPr>
          <w:rFonts w:hint="cs"/>
          <w:rtl/>
        </w:rPr>
        <w:t xml:space="preserve"> في كتابه القيم (الاسماء والصفات</w:t>
      </w:r>
      <w:r w:rsidR="0002035C" w:rsidRPr="00A52585">
        <w:rPr>
          <w:rFonts w:hint="cs"/>
          <w:rtl/>
        </w:rPr>
        <w:t>)</w:t>
      </w:r>
      <w:r w:rsidRPr="00A52585">
        <w:rPr>
          <w:rFonts w:hint="cs"/>
          <w:rtl/>
        </w:rPr>
        <w:t xml:space="preserve"> - بعد أن نقل قول </w:t>
      </w:r>
      <w:proofErr w:type="spellStart"/>
      <w:r w:rsidRPr="00A52585">
        <w:rPr>
          <w:rFonts w:hint="cs"/>
          <w:rtl/>
        </w:rPr>
        <w:t>القتيبي</w:t>
      </w:r>
      <w:proofErr w:type="spellEnd"/>
      <w:r w:rsidR="0002035C" w:rsidRPr="00A52585">
        <w:rPr>
          <w:rFonts w:hint="cs"/>
          <w:rtl/>
        </w:rPr>
        <w:t>:</w:t>
      </w:r>
      <w:r w:rsidRPr="00A52585">
        <w:rPr>
          <w:rFonts w:hint="cs"/>
          <w:rtl/>
        </w:rPr>
        <w:t xml:space="preserve"> قد يكون</w:t>
      </w:r>
      <w:r w:rsidR="0002035C" w:rsidRPr="00A52585">
        <w:rPr>
          <w:rFonts w:hint="cs"/>
          <w:rtl/>
        </w:rPr>
        <w:t xml:space="preserve"> </w:t>
      </w:r>
      <w:r w:rsidRPr="00A52585">
        <w:rPr>
          <w:rFonts w:hint="cs"/>
          <w:rtl/>
        </w:rPr>
        <w:t xml:space="preserve">النزول بمعنى إقبالك على الشيء </w:t>
      </w:r>
      <w:proofErr w:type="spellStart"/>
      <w:r w:rsidRPr="00A52585">
        <w:rPr>
          <w:rFonts w:hint="cs"/>
          <w:rtl/>
        </w:rPr>
        <w:t>بالارادة</w:t>
      </w:r>
      <w:proofErr w:type="spellEnd"/>
      <w:r w:rsidRPr="00A52585">
        <w:rPr>
          <w:rFonts w:hint="cs"/>
          <w:rtl/>
        </w:rPr>
        <w:t xml:space="preserve"> والنية</w:t>
      </w:r>
      <w:r w:rsidR="00DB731D" w:rsidRPr="00A52585">
        <w:rPr>
          <w:rFonts w:hint="cs"/>
          <w:rtl/>
        </w:rPr>
        <w:t>،</w:t>
      </w:r>
      <w:r w:rsidRPr="00A52585">
        <w:rPr>
          <w:rFonts w:hint="cs"/>
          <w:rtl/>
        </w:rPr>
        <w:t xml:space="preserve"> وقل الإمام أبي حنيفة عنه</w:t>
      </w:r>
      <w:r w:rsidR="0002035C" w:rsidRPr="00A52585">
        <w:rPr>
          <w:rFonts w:hint="cs"/>
          <w:rtl/>
        </w:rPr>
        <w:t>:</w:t>
      </w:r>
      <w:r w:rsidRPr="00A52585">
        <w:rPr>
          <w:rFonts w:hint="cs"/>
          <w:rtl/>
        </w:rPr>
        <w:t xml:space="preserve"> ينزل بلا كيف</w:t>
      </w:r>
      <w:r w:rsidR="00DB731D" w:rsidRPr="00A52585">
        <w:rPr>
          <w:rFonts w:hint="cs"/>
          <w:rtl/>
        </w:rPr>
        <w:t>،</w:t>
      </w:r>
      <w:r w:rsidRPr="00A52585">
        <w:rPr>
          <w:rFonts w:hint="cs"/>
          <w:rtl/>
        </w:rPr>
        <w:t xml:space="preserve"> وقول حماد بن زيد</w:t>
      </w:r>
      <w:r w:rsidR="0002035C" w:rsidRPr="00A52585">
        <w:rPr>
          <w:rFonts w:hint="cs"/>
          <w:rtl/>
        </w:rPr>
        <w:t>:</w:t>
      </w:r>
      <w:r w:rsidRPr="00A52585">
        <w:rPr>
          <w:rFonts w:hint="cs"/>
          <w:rtl/>
        </w:rPr>
        <w:t xml:space="preserve"> نزوله إقباله</w:t>
      </w:r>
      <w:r w:rsidR="00DB731D" w:rsidRPr="00A52585">
        <w:rPr>
          <w:rFonts w:hint="cs"/>
          <w:rtl/>
        </w:rPr>
        <w:t>،</w:t>
      </w:r>
      <w:r w:rsidRPr="00A52585">
        <w:rPr>
          <w:rFonts w:hint="cs"/>
          <w:rtl/>
        </w:rPr>
        <w:t xml:space="preserve"> قال البيهقي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وأخبرنا عبدالله الحافظ , قال</w:t>
      </w:r>
      <w:r w:rsidR="0002035C" w:rsidRPr="00A52585">
        <w:rPr>
          <w:rFonts w:hint="cs"/>
          <w:rtl/>
        </w:rPr>
        <w:t>:</w:t>
      </w:r>
      <w:r w:rsidRPr="00A52585">
        <w:rPr>
          <w:rFonts w:hint="cs"/>
          <w:rtl/>
        </w:rPr>
        <w:t xml:space="preserve"> سمعت أبا محمد أحمد بن عبد الله المزني , يقول</w:t>
      </w:r>
      <w:r w:rsidR="0002035C" w:rsidRPr="00A52585">
        <w:rPr>
          <w:rFonts w:hint="cs"/>
          <w:rtl/>
        </w:rPr>
        <w:t>:</w:t>
      </w:r>
      <w:r w:rsidRPr="00A52585">
        <w:rPr>
          <w:rFonts w:hint="cs"/>
          <w:rtl/>
        </w:rPr>
        <w:t xml:space="preserve"> حديث النزول قد ثبت عن رسول الله صلى الله عليه وسلم من وجوه صحيحة , وورد في التنزيل ما يصدقه , وهو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وجاء ربك والملك صفا صفا</w:t>
      </w:r>
      <w:r w:rsidR="0002035C" w:rsidRPr="00A52585">
        <w:rPr>
          <w:rFonts w:hint="cs"/>
          <w:rtl/>
        </w:rPr>
        <w:t>}</w:t>
      </w:r>
      <w:r w:rsidR="00DB731D" w:rsidRPr="00A52585">
        <w:rPr>
          <w:rFonts w:hint="cs"/>
          <w:rtl/>
        </w:rPr>
        <w:t>،</w:t>
      </w:r>
      <w:r w:rsidRPr="00A52585">
        <w:rPr>
          <w:rFonts w:hint="cs"/>
          <w:rtl/>
        </w:rPr>
        <w:t xml:space="preserve"> </w:t>
      </w:r>
      <w:proofErr w:type="spellStart"/>
      <w:r w:rsidRPr="00A52585">
        <w:rPr>
          <w:rFonts w:hint="cs"/>
          <w:rtl/>
        </w:rPr>
        <w:t>والمجىء</w:t>
      </w:r>
      <w:proofErr w:type="spellEnd"/>
      <w:r w:rsidRPr="00A52585">
        <w:rPr>
          <w:rFonts w:hint="cs"/>
          <w:rtl/>
        </w:rPr>
        <w:t xml:space="preserve">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الاسماء والصفات صـ317</w:t>
      </w:r>
      <w:r w:rsidR="0002035C" w:rsidRPr="00A52585">
        <w:rPr>
          <w:rFonts w:hint="cs"/>
          <w:rtl/>
        </w:rPr>
        <w:t>]</w:t>
      </w:r>
      <w:r w:rsidR="00DB731D" w:rsidRPr="00A52585">
        <w:rPr>
          <w:rFonts w:hint="cs"/>
          <w:rtl/>
        </w:rPr>
        <w:t>،</w:t>
      </w:r>
      <w:r w:rsidRPr="00A52585">
        <w:rPr>
          <w:rFonts w:hint="cs"/>
          <w:rtl/>
        </w:rPr>
        <w:t xml:space="preserve"> وقال أيضاً</w:t>
      </w:r>
      <w:r w:rsidR="0002035C" w:rsidRPr="00A52585">
        <w:rPr>
          <w:rFonts w:hint="cs"/>
          <w:rtl/>
        </w:rPr>
        <w:t>: (</w:t>
      </w:r>
      <w:r w:rsidRPr="00A52585">
        <w:rPr>
          <w:rFonts w:hint="cs"/>
          <w:rtl/>
        </w:rPr>
        <w:t>قال أبو سليمان الخطابي في حديث النزول</w:t>
      </w:r>
      <w:r w:rsidR="0002035C" w:rsidRPr="00A52585">
        <w:rPr>
          <w:rFonts w:hint="cs"/>
          <w:rtl/>
        </w:rPr>
        <w:t>:</w:t>
      </w:r>
      <w:r w:rsidRPr="00A52585">
        <w:rPr>
          <w:rFonts w:hint="cs"/>
          <w:rtl/>
        </w:rPr>
        <w:t xml:space="preserve"> وقد زل بعض شيوخ أهل الحديث ممن يرجع إلى معرفته بالحديث والرجال , فحاد عن هذه الطريقة _ طريقة السلف _ حين روى حديث النزول</w:t>
      </w:r>
      <w:r w:rsidR="0002035C" w:rsidRPr="00A52585">
        <w:rPr>
          <w:rFonts w:hint="cs"/>
          <w:rtl/>
        </w:rPr>
        <w:t>:</w:t>
      </w:r>
      <w:r w:rsidRPr="00A52585">
        <w:rPr>
          <w:rFonts w:hint="cs"/>
          <w:rtl/>
        </w:rPr>
        <w:t xml:space="preserve"> أقبل على نفسه فقال</w:t>
      </w:r>
      <w:r w:rsidR="0002035C" w:rsidRPr="00A52585">
        <w:rPr>
          <w:rFonts w:hint="cs"/>
          <w:rtl/>
        </w:rPr>
        <w:t>:</w:t>
      </w:r>
      <w:r w:rsidRPr="00A52585">
        <w:rPr>
          <w:rFonts w:hint="cs"/>
          <w:rtl/>
        </w:rPr>
        <w:t xml:space="preserve"> إن قال </w:t>
      </w:r>
      <w:proofErr w:type="spellStart"/>
      <w:r w:rsidRPr="00A52585">
        <w:rPr>
          <w:rFonts w:hint="cs"/>
          <w:rtl/>
        </w:rPr>
        <w:t>قائل</w:t>
      </w:r>
      <w:r w:rsidR="0002035C" w:rsidRPr="00A52585">
        <w:rPr>
          <w:rFonts w:hint="cs"/>
          <w:rtl/>
        </w:rPr>
        <w:t>:</w:t>
      </w:r>
      <w:r w:rsidRPr="00A52585">
        <w:rPr>
          <w:rFonts w:hint="cs"/>
          <w:rtl/>
        </w:rPr>
        <w:t>كيف</w:t>
      </w:r>
      <w:proofErr w:type="spellEnd"/>
      <w:r w:rsidRPr="00A52585">
        <w:rPr>
          <w:rFonts w:hint="cs"/>
          <w:rtl/>
        </w:rPr>
        <w:t xml:space="preserve"> نزل ربنا إلى السماء</w:t>
      </w:r>
      <w:r w:rsidR="00F95886" w:rsidRPr="00A52585">
        <w:rPr>
          <w:rFonts w:hint="cs"/>
          <w:rtl/>
        </w:rPr>
        <w:t>؟</w:t>
      </w:r>
      <w:r w:rsidRPr="00A52585">
        <w:rPr>
          <w:rFonts w:hint="cs"/>
          <w:rtl/>
        </w:rPr>
        <w:t xml:space="preserve"> قيل </w:t>
      </w:r>
      <w:proofErr w:type="spellStart"/>
      <w:proofErr w:type="gramStart"/>
      <w:r w:rsidRPr="00A52585">
        <w:rPr>
          <w:rFonts w:hint="cs"/>
          <w:rtl/>
        </w:rPr>
        <w:t>له</w:t>
      </w:r>
      <w:r w:rsidR="0002035C" w:rsidRPr="00A52585">
        <w:rPr>
          <w:rFonts w:hint="cs"/>
          <w:rtl/>
        </w:rPr>
        <w:t>:</w:t>
      </w:r>
      <w:r w:rsidRPr="00A52585">
        <w:rPr>
          <w:rFonts w:hint="cs"/>
          <w:rtl/>
        </w:rPr>
        <w:t>ينزل</w:t>
      </w:r>
      <w:proofErr w:type="spellEnd"/>
      <w:proofErr w:type="gramEnd"/>
      <w:r w:rsidRPr="00A52585">
        <w:rPr>
          <w:rFonts w:hint="cs"/>
          <w:rtl/>
        </w:rPr>
        <w:t xml:space="preserve"> كيف </w:t>
      </w:r>
      <w:proofErr w:type="spellStart"/>
      <w:r w:rsidRPr="00A52585">
        <w:rPr>
          <w:rFonts w:hint="cs"/>
          <w:rtl/>
        </w:rPr>
        <w:t>يشاء</w:t>
      </w:r>
      <w:r w:rsidR="00897A24" w:rsidRPr="00A52585">
        <w:rPr>
          <w:rFonts w:hint="cs"/>
          <w:rtl/>
        </w:rPr>
        <w:t>.</w:t>
      </w:r>
      <w:r w:rsidRPr="00A52585">
        <w:rPr>
          <w:rFonts w:hint="cs"/>
          <w:rtl/>
        </w:rPr>
        <w:t>فإن</w:t>
      </w:r>
      <w:proofErr w:type="spellEnd"/>
      <w:r w:rsidRPr="00A52585">
        <w:rPr>
          <w:rFonts w:hint="cs"/>
          <w:rtl/>
        </w:rPr>
        <w:t xml:space="preserve"> </w:t>
      </w:r>
      <w:proofErr w:type="spellStart"/>
      <w:r w:rsidRPr="00A52585">
        <w:rPr>
          <w:rFonts w:hint="cs"/>
          <w:rtl/>
        </w:rPr>
        <w:t>قال</w:t>
      </w:r>
      <w:r w:rsidR="0002035C" w:rsidRPr="00A52585">
        <w:rPr>
          <w:rFonts w:hint="cs"/>
          <w:rtl/>
        </w:rPr>
        <w:t>:</w:t>
      </w:r>
      <w:r w:rsidRPr="00A52585">
        <w:rPr>
          <w:rFonts w:hint="cs"/>
          <w:rtl/>
        </w:rPr>
        <w:t>هل</w:t>
      </w:r>
      <w:proofErr w:type="spellEnd"/>
      <w:r w:rsidRPr="00A52585">
        <w:rPr>
          <w:rFonts w:hint="cs"/>
          <w:rtl/>
        </w:rPr>
        <w:t xml:space="preserve"> يتحرك إذا نزل</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إن شاء يتحرك ,وإن لم </w:t>
      </w:r>
      <w:proofErr w:type="spellStart"/>
      <w:r w:rsidRPr="00A52585">
        <w:rPr>
          <w:rFonts w:hint="cs"/>
          <w:rtl/>
        </w:rPr>
        <w:t>يشألم</w:t>
      </w:r>
      <w:proofErr w:type="spellEnd"/>
      <w:r w:rsidRPr="00A52585">
        <w:rPr>
          <w:rFonts w:hint="cs"/>
          <w:rtl/>
        </w:rPr>
        <w:t xml:space="preserve"> يتحرك</w:t>
      </w:r>
      <w:r w:rsidR="00DB731D" w:rsidRPr="00A52585">
        <w:rPr>
          <w:rFonts w:hint="cs"/>
          <w:rtl/>
        </w:rPr>
        <w:t>،</w:t>
      </w:r>
      <w:r w:rsidRPr="00A52585">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w:t>
      </w:r>
      <w:r w:rsidRPr="00A52585">
        <w:rPr>
          <w:rFonts w:hint="cs"/>
          <w:rtl/>
        </w:rPr>
        <w:lastRenderedPageBreak/>
        <w:t xml:space="preserve">تبارك وتعالى متعال عنهما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 فلو جرى هذا الشيخ على طريقة السلف الصالح ولم يدخل فيما </w:t>
      </w:r>
      <w:proofErr w:type="spellStart"/>
      <w:r w:rsidRPr="00A52585">
        <w:rPr>
          <w:rFonts w:hint="cs"/>
          <w:rtl/>
        </w:rPr>
        <w:t>لايعنيه</w:t>
      </w:r>
      <w:proofErr w:type="spellEnd"/>
      <w:r w:rsidRPr="00A52585">
        <w:rPr>
          <w:rFonts w:hint="cs"/>
          <w:rtl/>
        </w:rPr>
        <w:t xml:space="preserve"> لم يكن يخرج به القول إلى مثل هذا الخطأ </w:t>
      </w:r>
      <w:proofErr w:type="spellStart"/>
      <w:r w:rsidRPr="00A52585">
        <w:rPr>
          <w:rFonts w:hint="cs"/>
          <w:rtl/>
        </w:rPr>
        <w:t>الفاحش</w:t>
      </w:r>
      <w:r w:rsidR="00897A24" w:rsidRPr="00A52585">
        <w:rPr>
          <w:rFonts w:hint="cs"/>
          <w:rtl/>
        </w:rPr>
        <w:t>.</w:t>
      </w:r>
      <w:r w:rsidRPr="00A52585">
        <w:rPr>
          <w:rFonts w:hint="cs"/>
          <w:rtl/>
        </w:rPr>
        <w:t>قال</w:t>
      </w:r>
      <w:proofErr w:type="spellEnd"/>
      <w:r w:rsidR="0002035C" w:rsidRPr="00A52585">
        <w:rPr>
          <w:rFonts w:hint="cs"/>
          <w:rtl/>
        </w:rPr>
        <w:t>:</w:t>
      </w:r>
      <w:r w:rsidRPr="00A52585">
        <w:rPr>
          <w:rFonts w:hint="cs"/>
          <w:rtl/>
        </w:rPr>
        <w:t xml:space="preserve"> وإنما ذكرت هذا لكي يتوقى الكلام فيما كان من هذا النوع فإنه </w:t>
      </w:r>
      <w:proofErr w:type="spellStart"/>
      <w:r w:rsidRPr="00A52585">
        <w:rPr>
          <w:rFonts w:hint="cs"/>
          <w:rtl/>
        </w:rPr>
        <w:t>لايثمر</w:t>
      </w:r>
      <w:proofErr w:type="spellEnd"/>
      <w:r w:rsidRPr="00A52585">
        <w:rPr>
          <w:rFonts w:hint="cs"/>
          <w:rtl/>
        </w:rPr>
        <w:t xml:space="preserve"> خيرا ولا يفيد </w:t>
      </w:r>
      <w:proofErr w:type="spellStart"/>
      <w:r w:rsidRPr="00A52585">
        <w:rPr>
          <w:rFonts w:hint="cs"/>
          <w:rtl/>
        </w:rPr>
        <w:t>رشدا</w:t>
      </w:r>
      <w:r w:rsidR="00897A24" w:rsidRPr="00A52585">
        <w:rPr>
          <w:rFonts w:hint="cs"/>
          <w:rtl/>
        </w:rPr>
        <w:t>.</w:t>
      </w:r>
      <w:r w:rsidRPr="00A52585">
        <w:rPr>
          <w:rFonts w:hint="cs"/>
          <w:rtl/>
        </w:rPr>
        <w:t>ونسأل</w:t>
      </w:r>
      <w:proofErr w:type="spellEnd"/>
      <w:r w:rsidRPr="00A52585">
        <w:rPr>
          <w:rFonts w:hint="cs"/>
          <w:rtl/>
        </w:rPr>
        <w:t xml:space="preserve"> الله العصمة من الضلال , والقول بما لا يجوز من الفاسد والمحال</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الأسماء والصفات</w:t>
      </w:r>
      <w:r w:rsidR="0002035C" w:rsidRPr="00A52585">
        <w:rPr>
          <w:rFonts w:hint="cs"/>
          <w:rtl/>
        </w:rPr>
        <w:t>:</w:t>
      </w:r>
      <w:r w:rsidRPr="00A52585">
        <w:rPr>
          <w:rFonts w:hint="cs"/>
          <w:rtl/>
        </w:rPr>
        <w:t xml:space="preserve"> 454</w:t>
      </w:r>
      <w:r w:rsidR="0002035C" w:rsidRPr="00A52585">
        <w:rPr>
          <w:rFonts w:hint="cs"/>
          <w:rtl/>
        </w:rPr>
        <w:t>]</w:t>
      </w:r>
      <w:r w:rsidRPr="00A52585">
        <w:rPr>
          <w:rFonts w:hint="cs"/>
          <w:rtl/>
        </w:rPr>
        <w:t xml:space="preserve"> </w:t>
      </w:r>
    </w:p>
    <w:p w14:paraId="18B50D41" w14:textId="4BE5474A" w:rsidR="00777DCB" w:rsidRPr="00A52585" w:rsidRDefault="00777DCB" w:rsidP="0002035C">
      <w:pPr>
        <w:spacing w:after="240"/>
        <w:rPr>
          <w:u w:val="single"/>
          <w:rtl/>
          <w:lang w:bidi="ar-KW"/>
        </w:rPr>
      </w:pPr>
      <w:r w:rsidRPr="00A52585">
        <w:rPr>
          <w:rFonts w:hint="cs"/>
          <w:rtl/>
        </w:rPr>
        <w:t xml:space="preserve"> </w:t>
      </w:r>
      <w:r w:rsidRPr="00A52585">
        <w:rPr>
          <w:rFonts w:hint="cs"/>
          <w:bCs/>
          <w:rtl/>
        </w:rPr>
        <w:t>وقال الإمام</w:t>
      </w:r>
      <w:r w:rsidRPr="00A52585">
        <w:rPr>
          <w:rFonts w:hint="cs"/>
          <w:bCs/>
        </w:rPr>
        <w:t xml:space="preserve"> </w:t>
      </w:r>
      <w:r w:rsidRPr="00A52585">
        <w:rPr>
          <w:rFonts w:hint="cs"/>
          <w:bCs/>
          <w:rtl/>
        </w:rPr>
        <w:t>العيني</w:t>
      </w:r>
      <w:r w:rsidRPr="00A52585">
        <w:rPr>
          <w:rFonts w:hint="cs"/>
          <w:rtl/>
        </w:rPr>
        <w:t xml:space="preserve"> - في درة من </w:t>
      </w:r>
      <w:proofErr w:type="spellStart"/>
      <w:r w:rsidRPr="00A52585">
        <w:rPr>
          <w:rFonts w:hint="cs"/>
          <w:rtl/>
        </w:rPr>
        <w:t>تنزيهاته</w:t>
      </w:r>
      <w:proofErr w:type="spellEnd"/>
      <w:r w:rsidRPr="00A52585">
        <w:rPr>
          <w:rFonts w:hint="cs"/>
          <w:rtl/>
        </w:rPr>
        <w:t xml:space="preserve"> - في شرح حديث النزول من صحيح البخاري</w:t>
      </w:r>
      <w:r w:rsidR="0002035C" w:rsidRPr="00A52585">
        <w:rPr>
          <w:rFonts w:hint="cs"/>
          <w:rtl/>
        </w:rPr>
        <w:t xml:space="preserve">: </w:t>
      </w:r>
      <w:r w:rsidRPr="00A52585">
        <w:rPr>
          <w:rFonts w:hint="cs"/>
          <w:rtl/>
          <w:lang w:bidi="ar-KW"/>
        </w:rPr>
        <w:t>(</w:t>
      </w:r>
      <w:r w:rsidRPr="00A52585">
        <w:rPr>
          <w:rFonts w:hint="cs"/>
          <w:rtl/>
        </w:rPr>
        <w:t>حمل صاحب (</w:t>
      </w:r>
      <w:proofErr w:type="spellStart"/>
      <w:r w:rsidRPr="00A52585">
        <w:rPr>
          <w:rFonts w:hint="cs"/>
          <w:rtl/>
        </w:rPr>
        <w:t>المفهم</w:t>
      </w:r>
      <w:proofErr w:type="spellEnd"/>
      <w:r w:rsidRPr="00A52585">
        <w:rPr>
          <w:rFonts w:hint="cs"/>
          <w:rtl/>
        </w:rPr>
        <w:t>) الحديث على النزول المعنوي على رواية مالك عنه عند مسلم، فإنه قال فيها:</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يتنزل ربنا</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بزيادة: تاء، بعد: ياء المضارعة، فقال: كذا صحت الرواية هنا، وهي ظاهرة في النزول المعنوي وإليها يرد (</w:t>
      </w:r>
      <w:r w:rsidR="0002035C" w:rsidRPr="00A52585">
        <w:rPr>
          <w:rFonts w:hint="cs"/>
          <w:rtl/>
        </w:rPr>
        <w:t>(</w:t>
      </w:r>
      <w:r w:rsidRPr="00A52585">
        <w:rPr>
          <w:rFonts w:hint="cs"/>
          <w:rtl/>
        </w:rPr>
        <w:t>ينزل</w:t>
      </w:r>
      <w:r w:rsidR="0002035C" w:rsidRPr="00A52585">
        <w:rPr>
          <w:rFonts w:hint="cs"/>
          <w:rtl/>
        </w:rPr>
        <w:t>)</w:t>
      </w:r>
      <w:r w:rsidRPr="00A52585">
        <w:rPr>
          <w:rFonts w:hint="cs"/>
          <w:rtl/>
        </w:rPr>
        <w:t xml:space="preserve">) على أحد التأويلات، ومعنى ذلك أن مقتضى عظمة الله وجلاله واستغنائه أن لا يعبأ بحقير ذليل فقير، لكن ينزل بمقتضى كرمه ولطفه لأن يقول: من يقرض غير </w:t>
      </w:r>
      <w:proofErr w:type="spellStart"/>
      <w:r w:rsidRPr="00A52585">
        <w:rPr>
          <w:rFonts w:hint="cs"/>
          <w:rtl/>
        </w:rPr>
        <w:t>عدوم</w:t>
      </w:r>
      <w:proofErr w:type="spellEnd"/>
      <w:r w:rsidRPr="00A52585">
        <w:rPr>
          <w:rFonts w:hint="cs"/>
          <w:rtl/>
        </w:rPr>
        <w:t xml:space="preserve"> ولا ظلوم، ويكون قوله: «إلى السماء الدنيا»، عبارة عن الحالة القريبة إلينا، والدنيا بمعنى: القربى، والله أعلم</w:t>
      </w:r>
      <w:r w:rsidR="00DB731D" w:rsidRPr="00A52585">
        <w:rPr>
          <w:rFonts w:hint="cs"/>
          <w:rtl/>
        </w:rPr>
        <w:t>،</w:t>
      </w:r>
      <w:r w:rsidR="0002035C" w:rsidRPr="00A52585">
        <w:rPr>
          <w:rFonts w:hint="cs"/>
          <w:rtl/>
        </w:rPr>
        <w:t xml:space="preserve"> </w:t>
      </w:r>
      <w:r w:rsidRPr="00A52585">
        <w:rPr>
          <w:rFonts w:hint="cs"/>
          <w:rtl/>
        </w:rPr>
        <w:t xml:space="preserve">ثم الكلام هنا على أنواع. الأول: </w:t>
      </w:r>
      <w:r w:rsidRPr="00A52585">
        <w:rPr>
          <w:rFonts w:hint="cs"/>
          <w:bCs/>
          <w:u w:val="single"/>
          <w:rtl/>
        </w:rPr>
        <w:t>احتج به قوم على إثبات الجهة لله تعالى، وقالوا: هي جهة العلو، وممن قال بذلك: 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sidR="00DB731D" w:rsidRPr="00A52585">
        <w:rPr>
          <w:rFonts w:hint="cs"/>
          <w:bCs/>
          <w:u w:val="single"/>
          <w:rtl/>
        </w:rPr>
        <w:t>،</w:t>
      </w:r>
      <w:r w:rsidR="0002035C" w:rsidRPr="00A52585">
        <w:rPr>
          <w:rFonts w:hint="cs"/>
          <w:bCs/>
          <w:u w:val="single"/>
          <w:rtl/>
        </w:rPr>
        <w:t xml:space="preserve"> </w:t>
      </w:r>
      <w:r w:rsidRPr="00A52585">
        <w:rPr>
          <w:rFonts w:hint="cs"/>
          <w:rtl/>
        </w:rPr>
        <w:t>الثاني: أن المعتزلة أو أكثرهم: 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Pr="00A52585">
        <w:rPr>
          <w:rFonts w:hint="cs"/>
          <w:bCs/>
          <w:rtl/>
        </w:rPr>
        <w:t>الجمهور سلكوا في هذا</w:t>
      </w:r>
      <w:r w:rsidR="0002035C" w:rsidRPr="00A52585">
        <w:rPr>
          <w:rFonts w:hint="cs"/>
          <w:bCs/>
          <w:rtl/>
        </w:rPr>
        <w:t xml:space="preserve"> </w:t>
      </w:r>
      <w:r w:rsidRPr="00A52585">
        <w:rPr>
          <w:rFonts w:hint="cs"/>
          <w:bCs/>
          <w:rtl/>
        </w:rPr>
        <w:t>الباب الطريق الواضحة السالمة، وأجروا على ما ورد مؤمنين به منزهين لله تعالى عن التشبيه والكيفية، 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02035C" w:rsidRPr="00A52585">
        <w:rPr>
          <w:rFonts w:hint="cs"/>
          <w:bCs/>
          <w:rtl/>
        </w:rPr>
        <w:t>:</w:t>
      </w:r>
      <w:r w:rsidRPr="00A52585">
        <w:rPr>
          <w:rFonts w:hint="cs"/>
          <w:bCs/>
          <w:rtl/>
        </w:rPr>
        <w:t xml:space="preserve"> مالك وأبو حنيفة والشافعي وأحمد</w:t>
      </w:r>
      <w:r w:rsidRPr="00A52585">
        <w:rPr>
          <w:rFonts w:hint="cs"/>
          <w:rtl/>
        </w:rPr>
        <w:t>. قال البيهقي في (كتاب الأسماء والصفات): قرأت بخط الإمام أبي عثمان الصابوني، عقيب حديث النزول: قال الاستاذ أبو منصور (يعني</w:t>
      </w:r>
      <w:r w:rsidR="0002035C" w:rsidRPr="00A52585">
        <w:rPr>
          <w:rFonts w:hint="cs"/>
          <w:rtl/>
        </w:rPr>
        <w:t>)</w:t>
      </w:r>
      <w:proofErr w:type="spellStart"/>
      <w:r w:rsidRPr="00A52585">
        <w:rPr>
          <w:rFonts w:hint="cs"/>
          <w:rtl/>
        </w:rPr>
        <w:t>الجمشاذي</w:t>
      </w:r>
      <w:proofErr w:type="spellEnd"/>
      <w:r w:rsidRPr="00A52585">
        <w:rPr>
          <w:rFonts w:hint="cs"/>
          <w:rtl/>
        </w:rPr>
        <w:t>: وقد اختلف العلماء في قوله: «ينزل الله»، فسئل أبو حنيفة فقال: بلا كيف، وقال حماد بن زيد: نزوله إقباله. وروى البيهقي في (كتاب الاعتقاد) بإسناده إلى يونس بن عبد الأعلى، قال: قال لي محمد بن إدريس الشافعي: لا يقال للأصل: لِمَ ولا كيف، وروى بإسناده إلى الربيع بن سليمان، قال: قال الشافعي: الأصل كتاب أو سنة أو قول بعض أصحاب رسول الله</w:t>
      </w:r>
      <w:r w:rsidR="0002035C" w:rsidRPr="00A52585">
        <w:rPr>
          <w:rFonts w:hint="cs"/>
          <w:rtl/>
        </w:rPr>
        <w:t xml:space="preserve"> </w:t>
      </w:r>
      <w:r w:rsidRPr="00A52585">
        <w:rPr>
          <w:rFonts w:hint="cs"/>
          <w:rtl/>
        </w:rPr>
        <w:t>أو إجماع الناس</w:t>
      </w:r>
      <w:r w:rsidR="00DB731D" w:rsidRPr="00A52585">
        <w:rPr>
          <w:rFonts w:hint="cs"/>
          <w:rtl/>
        </w:rPr>
        <w:t>،</w:t>
      </w:r>
      <w:r w:rsidRPr="00A52585">
        <w:rPr>
          <w:rFonts w:hint="cs"/>
          <w:rtl/>
        </w:rPr>
        <w:t xml:space="preserve"> </w:t>
      </w:r>
      <w:r w:rsidR="0002035C" w:rsidRPr="00A52585">
        <w:rPr>
          <w:rFonts w:hint="cs"/>
          <w:rtl/>
        </w:rPr>
        <w:t>(</w:t>
      </w:r>
      <w:r w:rsidRPr="00A52585">
        <w:rPr>
          <w:rFonts w:hint="cs"/>
          <w:bCs/>
          <w:rtl/>
        </w:rPr>
        <w:t>قلت</w:t>
      </w:r>
      <w:r w:rsidR="0002035C" w:rsidRPr="00A52585">
        <w:rPr>
          <w:rFonts w:hint="cs"/>
          <w:bCs/>
          <w:rtl/>
        </w:rPr>
        <w:t>):</w:t>
      </w:r>
      <w:r w:rsidRPr="00A52585">
        <w:rPr>
          <w:rFonts w:hint="cs"/>
          <w:bCs/>
          <w:u w:val="single"/>
          <w:rtl/>
        </w:rPr>
        <w:t xml:space="preserve"> لا شك أن النزول انتقال الجسم من فوق إلى تحت، والله منزه عن ذلك، فما </w:t>
      </w:r>
      <w:r w:rsidRPr="00A52585">
        <w:rPr>
          <w:rFonts w:hint="cs"/>
          <w:bCs/>
          <w:u w:val="single"/>
          <w:rtl/>
        </w:rPr>
        <w:lastRenderedPageBreak/>
        <w:t>ورد من ذلك فهو</w:t>
      </w:r>
      <w:r w:rsidR="0002035C" w:rsidRPr="00A52585">
        <w:rPr>
          <w:rFonts w:hint="cs"/>
          <w:bCs/>
          <w:u w:val="single"/>
          <w:rtl/>
        </w:rPr>
        <w:t xml:space="preserve"> </w:t>
      </w:r>
      <w:r w:rsidRPr="00A52585">
        <w:rPr>
          <w:rFonts w:hint="cs"/>
          <w:bCs/>
          <w:u w:val="single"/>
          <w:rtl/>
        </w:rPr>
        <w:t xml:space="preserve">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w:t>
      </w:r>
      <w:proofErr w:type="gramStart"/>
      <w:r w:rsidRPr="00A52585">
        <w:rPr>
          <w:rFonts w:hint="cs"/>
          <w:bCs/>
          <w:u w:val="single"/>
          <w:rtl/>
        </w:rPr>
        <w:t>ذلك</w:t>
      </w:r>
      <w:r w:rsidRPr="00A52585">
        <w:rPr>
          <w:rFonts w:hint="cs"/>
          <w:rtl/>
        </w:rPr>
        <w:t>،</w:t>
      </w:r>
      <w:r w:rsidR="00897A24" w:rsidRPr="00A52585">
        <w:rPr>
          <w:rFonts w:hint="cs"/>
          <w:rtl/>
        </w:rPr>
        <w:t>.</w:t>
      </w:r>
      <w:r w:rsidRPr="00A52585">
        <w:rPr>
          <w:rFonts w:hint="cs"/>
          <w:rtl/>
        </w:rPr>
        <w:t>.</w:t>
      </w:r>
      <w:proofErr w:type="gramEnd"/>
      <w:r w:rsidRPr="00A52585">
        <w:rPr>
          <w:rFonts w:hint="cs"/>
          <w:rtl/>
        </w:rPr>
        <w:t xml:space="preserve">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 يهبط الله من السماء العليا إلى السماء الدنيا، أي: ينتقل من مقتضى صفات الجلال التي تقتضي</w:t>
      </w:r>
      <w:r w:rsidR="0002035C" w:rsidRPr="00A52585">
        <w:rPr>
          <w:rFonts w:hint="cs"/>
          <w:rtl/>
        </w:rPr>
        <w:t xml:space="preserve"> </w:t>
      </w:r>
      <w:r w:rsidRPr="00A52585">
        <w:rPr>
          <w:rFonts w:hint="cs"/>
          <w:rtl/>
        </w:rPr>
        <w:t>الأنفة من الأراذل وقهر الأعداء والانتقام من العصاة إلى مقتضى صفات الإكرام للرأفة والرحمة والعفو، ويقال: لا فرق بين 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 لغة، يستعمل لمعان خمسة مختلفة: بمعنى الانتقال: {وأنزلنا من السماء ماء طهورا} [الفرقان: 84</w:t>
      </w:r>
      <w:r w:rsidR="0002035C" w:rsidRPr="00A52585">
        <w:rPr>
          <w:rFonts w:hint="cs"/>
          <w:rtl/>
        </w:rPr>
        <w:t>]</w:t>
      </w:r>
      <w:r w:rsidR="00DB731D" w:rsidRPr="00A52585">
        <w:rPr>
          <w:rFonts w:hint="cs"/>
          <w:rtl/>
        </w:rPr>
        <w:t>،</w:t>
      </w:r>
      <w:r w:rsidRPr="00A52585">
        <w:rPr>
          <w:rFonts w:hint="cs"/>
          <w:rtl/>
        </w:rPr>
        <w:t xml:space="preserve"> و: الإعلام {نزل به الروح الأمين} </w:t>
      </w:r>
      <w:r w:rsidR="0002035C" w:rsidRPr="00A52585">
        <w:rPr>
          <w:rFonts w:hint="cs"/>
          <w:rtl/>
        </w:rPr>
        <w:t>[</w:t>
      </w:r>
      <w:r w:rsidRPr="00A52585">
        <w:rPr>
          <w:rFonts w:hint="cs"/>
          <w:rtl/>
        </w:rPr>
        <w:t>الشعراء: 391</w:t>
      </w:r>
      <w:r w:rsidR="0002035C" w:rsidRPr="00A52585">
        <w:rPr>
          <w:rFonts w:hint="cs"/>
          <w:rtl/>
        </w:rPr>
        <w:t>]</w:t>
      </w:r>
      <w:r w:rsidRPr="00A52585">
        <w:rPr>
          <w:rFonts w:hint="cs"/>
          <w:rtl/>
        </w:rPr>
        <w:t xml:space="preserve"> أي: أعلم به الروح الأمين محمدا</w:t>
      </w:r>
      <w:r w:rsidR="00DB731D" w:rsidRPr="00A52585">
        <w:rPr>
          <w:rFonts w:hint="cs"/>
          <w:rtl/>
        </w:rPr>
        <w:t>،</w:t>
      </w:r>
      <w:r w:rsidRPr="00A52585">
        <w:rPr>
          <w:rFonts w:hint="cs"/>
          <w:rtl/>
        </w:rPr>
        <w:t xml:space="preserve"> وبمعنى: القول {سأنزل مثل ما أنزل الله} </w:t>
      </w:r>
      <w:r w:rsidR="0002035C" w:rsidRPr="00A52585">
        <w:rPr>
          <w:rFonts w:hint="cs"/>
          <w:rtl/>
        </w:rPr>
        <w:t>[</w:t>
      </w:r>
      <w:r w:rsidRPr="00A52585">
        <w:rPr>
          <w:rFonts w:hint="cs"/>
          <w:rtl/>
        </w:rPr>
        <w:t>الأنعام: 39</w:t>
      </w:r>
      <w:r w:rsidR="0002035C" w:rsidRPr="00A52585">
        <w:rPr>
          <w:rFonts w:hint="cs"/>
          <w:rtl/>
        </w:rPr>
        <w:t>]</w:t>
      </w:r>
      <w:r w:rsidR="00DB731D" w:rsidRPr="00A52585">
        <w:rPr>
          <w:rFonts w:hint="cs"/>
          <w:rtl/>
        </w:rPr>
        <w:t>،</w:t>
      </w:r>
      <w:r w:rsidRPr="00A52585">
        <w:rPr>
          <w:rFonts w:hint="cs"/>
          <w:rtl/>
        </w:rPr>
        <w:t xml:space="preserve"> أي سأقول مثل ما قال، والإقبال على الشيء، وذلك مستعمل في كلامهم</w:t>
      </w:r>
      <w:r w:rsidR="00DB731D" w:rsidRPr="00A52585">
        <w:rPr>
          <w:rFonts w:hint="cs"/>
          <w:rtl/>
        </w:rPr>
        <w:t>،</w:t>
      </w:r>
      <w:r w:rsidRPr="00A52585">
        <w:rPr>
          <w:rFonts w:hint="cs"/>
          <w:rtl/>
        </w:rPr>
        <w:t xml:space="preserve"> 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w:t>
      </w:r>
      <w:r w:rsidR="0002035C" w:rsidRPr="00A52585">
        <w:rPr>
          <w:rFonts w:hint="cs"/>
          <w:rtl/>
        </w:rPr>
        <w:t>)</w:t>
      </w:r>
      <w:r w:rsidRPr="00A52585">
        <w:rPr>
          <w:rFonts w:hint="cs"/>
          <w:rtl/>
        </w:rPr>
        <w:t xml:space="preserve"> أهـ</w:t>
      </w:r>
      <w:r w:rsidR="0002035C" w:rsidRPr="00A52585">
        <w:rPr>
          <w:rFonts w:hint="cs"/>
          <w:rtl/>
        </w:rPr>
        <w:t xml:space="preserve"> </w:t>
      </w:r>
      <w:r w:rsidR="0002035C" w:rsidRPr="00A52585">
        <w:rPr>
          <w:rFonts w:hint="cs"/>
          <w:rtl/>
          <w:lang w:bidi="ar-KW"/>
        </w:rPr>
        <w:t>[</w:t>
      </w:r>
      <w:r w:rsidRPr="00A52585">
        <w:rPr>
          <w:rFonts w:hint="cs"/>
          <w:rtl/>
          <w:lang w:bidi="ar-KW"/>
        </w:rPr>
        <w:t>شرح العيني على صحيح البخاري</w:t>
      </w:r>
      <w:r w:rsidR="0002035C" w:rsidRPr="00A52585">
        <w:rPr>
          <w:rFonts w:hint="cs"/>
          <w:rtl/>
          <w:lang w:bidi="ar-KW"/>
        </w:rPr>
        <w:t>:</w:t>
      </w:r>
      <w:r w:rsidRPr="00A52585">
        <w:rPr>
          <w:rFonts w:hint="cs"/>
          <w:rtl/>
          <w:lang w:bidi="ar-KW"/>
        </w:rPr>
        <w:t xml:space="preserve"> ج 3</w:t>
      </w:r>
      <w:r w:rsidR="0002035C" w:rsidRPr="00A52585">
        <w:rPr>
          <w:rFonts w:hint="cs"/>
          <w:rtl/>
          <w:lang w:bidi="ar-KW"/>
        </w:rPr>
        <w:t>:</w:t>
      </w:r>
      <w:r w:rsidRPr="00A52585">
        <w:rPr>
          <w:rFonts w:hint="cs"/>
          <w:rtl/>
          <w:lang w:bidi="ar-KW"/>
        </w:rPr>
        <w:t xml:space="preserve"> ص</w:t>
      </w:r>
      <w:r w:rsidR="0002035C" w:rsidRPr="00A52585">
        <w:rPr>
          <w:rFonts w:hint="cs"/>
          <w:rtl/>
          <w:lang w:bidi="ar-KW"/>
        </w:rPr>
        <w:t>:</w:t>
      </w:r>
      <w:r w:rsidRPr="00A52585">
        <w:rPr>
          <w:rFonts w:hint="cs"/>
          <w:rtl/>
          <w:lang w:bidi="ar-KW"/>
        </w:rPr>
        <w:t xml:space="preserve"> 622</w:t>
      </w:r>
      <w:r w:rsidR="00DB731D" w:rsidRPr="00A52585">
        <w:rPr>
          <w:rFonts w:hint="cs"/>
          <w:rtl/>
          <w:lang w:bidi="ar-KW"/>
        </w:rPr>
        <w:t>،</w:t>
      </w:r>
      <w:r w:rsidRPr="00A52585">
        <w:rPr>
          <w:rFonts w:hint="cs"/>
          <w:rtl/>
          <w:lang w:bidi="ar-KW"/>
        </w:rPr>
        <w:t xml:space="preserve"> 623</w:t>
      </w:r>
      <w:r w:rsidR="0002035C" w:rsidRPr="00A52585">
        <w:rPr>
          <w:rFonts w:hint="cs"/>
          <w:rtl/>
          <w:lang w:bidi="ar-KW"/>
        </w:rPr>
        <w:t>]</w:t>
      </w:r>
      <w:r w:rsidR="00DB731D" w:rsidRPr="00A52585">
        <w:rPr>
          <w:rFonts w:hint="cs"/>
          <w:rtl/>
          <w:lang w:bidi="ar-KW"/>
        </w:rPr>
        <w:t>،</w:t>
      </w:r>
      <w:r w:rsidRPr="00A52585">
        <w:rPr>
          <w:rFonts w:hint="cs"/>
          <w:rtl/>
          <w:lang w:bidi="ar-KW"/>
        </w:rPr>
        <w:t xml:space="preserve"> </w:t>
      </w:r>
    </w:p>
    <w:p w14:paraId="74CA4164" w14:textId="643E03F5" w:rsidR="00777DCB" w:rsidRPr="00A52585" w:rsidRDefault="00777DCB" w:rsidP="0002035C">
      <w:pPr>
        <w:spacing w:after="240"/>
        <w:rPr>
          <w:rtl/>
        </w:rPr>
      </w:pPr>
      <w:r w:rsidRPr="00A52585">
        <w:rPr>
          <w:rFonts w:hint="cs"/>
          <w:bCs/>
          <w:rtl/>
        </w:rPr>
        <w:t xml:space="preserve">وقال السندي في شرحه للحديث </w:t>
      </w:r>
      <w:proofErr w:type="gramStart"/>
      <w:r w:rsidRPr="00A52585">
        <w:rPr>
          <w:rFonts w:hint="cs"/>
          <w:bCs/>
          <w:rtl/>
        </w:rPr>
        <w:t>علي</w:t>
      </w:r>
      <w:proofErr w:type="gramEnd"/>
      <w:r w:rsidRPr="00A52585">
        <w:rPr>
          <w:rFonts w:hint="cs"/>
          <w:bCs/>
          <w:rtl/>
        </w:rPr>
        <w:t xml:space="preserve"> سنن بن ماجة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02035C" w:rsidRPr="00A52585">
        <w:rPr>
          <w:rFonts w:hint="cs"/>
          <w:rtl/>
        </w:rPr>
        <w:t>)</w:t>
      </w:r>
      <w:r w:rsidRPr="00A52585">
        <w:rPr>
          <w:rFonts w:hint="cs"/>
          <w:rtl/>
        </w:rPr>
        <w:t xml:space="preserve"> أهـ</w:t>
      </w:r>
      <w:r w:rsidR="00DB731D" w:rsidRPr="00A52585">
        <w:rPr>
          <w:rFonts w:hint="cs"/>
          <w:rtl/>
        </w:rPr>
        <w:t>،</w:t>
      </w:r>
      <w:r w:rsidRPr="00A52585">
        <w:rPr>
          <w:rFonts w:hint="cs"/>
          <w:rtl/>
        </w:rPr>
        <w:t xml:space="preserve"> </w:t>
      </w:r>
    </w:p>
    <w:p w14:paraId="0E3B7DCF" w14:textId="38ED2859" w:rsidR="00777DCB" w:rsidRPr="00A52585" w:rsidRDefault="00777DCB" w:rsidP="0002035C">
      <w:pPr>
        <w:spacing w:after="240"/>
        <w:rPr>
          <w:rtl/>
        </w:rPr>
      </w:pPr>
      <w:r w:rsidRPr="00A52585">
        <w:rPr>
          <w:rFonts w:hint="cs"/>
          <w:bCs/>
          <w:rtl/>
        </w:rPr>
        <w:t>وجاء في المنتقي شرح الموطأ</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 صلى الله عليه وسلم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عز وجل كل ليلة إلى السماء الدنيا</w:t>
      </w:r>
      <w:r w:rsidR="0002035C" w:rsidRPr="00A52585">
        <w:rPr>
          <w:rFonts w:hint="cs"/>
          <w:rtl/>
        </w:rPr>
        <w:t>)</w:t>
      </w:r>
      <w:r w:rsidRPr="00A52585">
        <w:rPr>
          <w:rFonts w:hint="cs"/>
          <w:rtl/>
        </w:rPr>
        <w:t xml:space="preserve">)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w:t>
      </w:r>
      <w:r w:rsidRPr="00A52585">
        <w:rPr>
          <w:rFonts w:hint="cs"/>
          <w:rtl/>
        </w:rPr>
        <w:lastRenderedPageBreak/>
        <w:t xml:space="preserve">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w:t>
      </w:r>
      <w:proofErr w:type="spellStart"/>
      <w:r w:rsidRPr="00A52585">
        <w:rPr>
          <w:rFonts w:hint="cs"/>
          <w:rtl/>
        </w:rPr>
        <w:t>العتبية</w:t>
      </w:r>
      <w:proofErr w:type="spellEnd"/>
      <w:r w:rsidRPr="00A52585">
        <w:rPr>
          <w:rFonts w:hint="cs"/>
          <w:rtl/>
        </w:rPr>
        <w:t xml:space="preserve">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sidR="0002035C" w:rsidRPr="00A52585">
        <w:rPr>
          <w:rFonts w:hint="cs"/>
          <w:rtl/>
        </w:rPr>
        <w:t>)</w:t>
      </w:r>
      <w:r w:rsidRPr="00A52585">
        <w:rPr>
          <w:rFonts w:hint="cs"/>
          <w:rtl/>
        </w:rPr>
        <w:t xml:space="preserve"> أهـ </w:t>
      </w:r>
    </w:p>
    <w:p w14:paraId="1B563802" w14:textId="13EB5ED2" w:rsidR="00777DCB" w:rsidRPr="00A52585" w:rsidRDefault="00777DCB" w:rsidP="0002035C">
      <w:pPr>
        <w:spacing w:after="240"/>
        <w:rPr>
          <w:rtl/>
        </w:rPr>
      </w:pPr>
      <w:r w:rsidRPr="00A52585">
        <w:rPr>
          <w:rFonts w:hint="cs"/>
          <w:bCs/>
          <w:rtl/>
        </w:rPr>
        <w:t xml:space="preserve">وقال الشيخ شهاب الدين </w:t>
      </w:r>
      <w:proofErr w:type="spellStart"/>
      <w:r w:rsidRPr="00A52585">
        <w:rPr>
          <w:rFonts w:hint="cs"/>
          <w:bCs/>
          <w:rtl/>
        </w:rPr>
        <w:t>القسطلاني</w:t>
      </w:r>
      <w:proofErr w:type="spellEnd"/>
      <w:r w:rsidRPr="00A52585">
        <w:rPr>
          <w:rFonts w:hint="cs"/>
          <w:rtl/>
        </w:rPr>
        <w:t xml:space="preserve"> في إرشاد الساري شرح صحيح البخاري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قولـه</w:t>
      </w:r>
      <w:r w:rsidR="0002035C" w:rsidRPr="00A52585">
        <w:rPr>
          <w:rtl/>
        </w:rPr>
        <w:t>:</w:t>
      </w:r>
      <w:r w:rsidRPr="00A52585">
        <w:t xml:space="preserve"> </w:t>
      </w:r>
      <w:r w:rsidRPr="00A52585">
        <w:rPr>
          <w:rFonts w:hint="cs"/>
          <w:rtl/>
        </w:rPr>
        <w:t>(</w:t>
      </w:r>
      <w:r w:rsidR="0002035C" w:rsidRPr="00A52585">
        <w:rPr>
          <w:rFonts w:hint="cs"/>
          <w:rtl/>
        </w:rPr>
        <w:t>(</w:t>
      </w:r>
      <w:r w:rsidRPr="00A52585">
        <w:rPr>
          <w:rFonts w:hint="cs"/>
          <w:rtl/>
        </w:rPr>
        <w:t>ينـزل ربنا</w:t>
      </w:r>
      <w:r w:rsidR="0002035C" w:rsidRPr="00A52585">
        <w:rPr>
          <w:rFonts w:hint="cs"/>
          <w:rtl/>
        </w:rPr>
        <w:t>)</w:t>
      </w:r>
      <w:r w:rsidRPr="00A52585">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DB731D" w:rsidRPr="00A52585">
        <w:rPr>
          <w:rFonts w:hint="cs"/>
          <w:rtl/>
        </w:rPr>
        <w:t>،</w:t>
      </w:r>
      <w:r w:rsidRPr="00A52585">
        <w:rPr>
          <w:rFonts w:hint="cs"/>
        </w:rPr>
        <w:t xml:space="preserve"> </w:t>
      </w:r>
      <w:r w:rsidRPr="00A52585">
        <w:rPr>
          <w:rFonts w:hint="cs"/>
          <w:rtl/>
        </w:rPr>
        <w:t>نعم يجوز حمله على الحسي ويكون راجعا إلى أفعاله لا إلى ذاته بل هو عبارة عن ملكه الـذي يـنـزل بأمره ونهيه</w:t>
      </w:r>
      <w:r w:rsidR="00DB731D" w:rsidRPr="00A52585">
        <w:rPr>
          <w:rFonts w:hint="cs"/>
          <w:rtl/>
        </w:rPr>
        <w:t>،</w:t>
      </w:r>
      <w:r w:rsidRPr="00A52585">
        <w:rPr>
          <w:rFonts w:hint="cs"/>
          <w:rtl/>
        </w:rPr>
        <w:t xml:space="preserve"> قال الزركشي لكن روى ابن حبان في صحيحه</w:t>
      </w:r>
      <w:r w:rsidRPr="00A52585">
        <w:t xml:space="preserve">: </w:t>
      </w:r>
      <w:r w:rsidRPr="00A52585">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DB731D" w:rsidRPr="00A52585">
        <w:rPr>
          <w:rFonts w:hint="cs"/>
          <w:rtl/>
        </w:rPr>
        <w:t>،</w:t>
      </w:r>
      <w:r w:rsidRPr="00A52585">
        <w:rPr>
          <w:rFonts w:hint="cs"/>
          <w:rtl/>
        </w:rPr>
        <w:t xml:space="preserve"> وقوله جملتان معترضتان بين الفعل وظرفه وهو قوله</w:t>
      </w:r>
      <w:r w:rsidRPr="00A52585">
        <w:t>:</w:t>
      </w:r>
      <w:r w:rsidR="0002035C" w:rsidRPr="00A52585">
        <w:rPr>
          <w:rtl/>
        </w:rPr>
        <w:t xml:space="preserve"> </w:t>
      </w:r>
      <w:r w:rsidRPr="00A52585">
        <w:rPr>
          <w:rFonts w:hint="cs"/>
          <w:rtl/>
        </w:rPr>
        <w:t>((كل ليلة إلى سماء الدنيا</w:t>
      </w:r>
      <w:r w:rsidR="0002035C" w:rsidRPr="00A52585">
        <w:rPr>
          <w:rFonts w:hint="cs"/>
          <w:rtl/>
        </w:rPr>
        <w:t>)</w:t>
      </w:r>
      <w:r w:rsidRPr="00A52585">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02035C" w:rsidRPr="00A52585">
        <w:rPr>
          <w:rFonts w:hint="cs"/>
          <w:rtl/>
        </w:rPr>
        <w:t>)</w:t>
      </w:r>
      <w:r w:rsidRPr="00A52585">
        <w:rPr>
          <w:rFonts w:hint="cs"/>
          <w:rtl/>
        </w:rPr>
        <w:t xml:space="preserve"> أهـ </w:t>
      </w:r>
    </w:p>
    <w:p w14:paraId="55AF54FB" w14:textId="561A5B47" w:rsidR="00777DCB" w:rsidRPr="00A52585" w:rsidRDefault="00777DCB" w:rsidP="0002035C">
      <w:pPr>
        <w:spacing w:after="240"/>
        <w:rPr>
          <w:rtl/>
          <w:lang w:bidi="ar-KW"/>
        </w:rPr>
      </w:pPr>
      <w:r w:rsidRPr="00A52585">
        <w:rPr>
          <w:rFonts w:hint="cs"/>
          <w:bCs/>
          <w:rtl/>
        </w:rPr>
        <w:t>وقال الشيخ ملا علي القاري</w:t>
      </w:r>
      <w:r w:rsidRPr="00A52585">
        <w:rPr>
          <w:rFonts w:hint="cs"/>
          <w:rtl/>
        </w:rPr>
        <w:t xml:space="preserve"> في شرح الشفا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فإن نـزوله </w:t>
      </w:r>
      <w:r w:rsidRPr="00A52585">
        <w:rPr>
          <w:rFonts w:hint="cs"/>
          <w:rtl/>
        </w:rPr>
        <w:lastRenderedPageBreak/>
        <w:t xml:space="preserve">سبحانه وتعالى كناية عن </w:t>
      </w:r>
      <w:proofErr w:type="spellStart"/>
      <w:r w:rsidRPr="00A52585">
        <w:rPr>
          <w:rFonts w:hint="cs"/>
          <w:rtl/>
        </w:rPr>
        <w:t>تنـزلات</w:t>
      </w:r>
      <w:proofErr w:type="spellEnd"/>
      <w:r w:rsidRPr="00A52585">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02035C" w:rsidRPr="00A52585">
        <w:rPr>
          <w:rFonts w:hint="cs"/>
          <w:rtl/>
        </w:rPr>
        <w:t>)</w:t>
      </w:r>
      <w:r w:rsidRPr="00A52585">
        <w:rPr>
          <w:rFonts w:hint="cs"/>
          <w:rtl/>
        </w:rPr>
        <w:t xml:space="preserve"> أهـ </w:t>
      </w:r>
    </w:p>
    <w:p w14:paraId="425BFA20" w14:textId="56B97091" w:rsidR="00777DCB" w:rsidRPr="00A52585" w:rsidRDefault="00777DCB" w:rsidP="0002035C">
      <w:pPr>
        <w:spacing w:after="240"/>
        <w:rPr>
          <w:rtl/>
        </w:rPr>
      </w:pPr>
      <w:r w:rsidRPr="00A52585">
        <w:rPr>
          <w:rFonts w:hint="cs"/>
          <w:bCs/>
          <w:rtl/>
        </w:rPr>
        <w:t>وقال الإمام ابن فورك في كتابه مشكل الحديث</w:t>
      </w:r>
      <w:r w:rsidRPr="00A52585">
        <w:rPr>
          <w:rFonts w:hint="cs"/>
          <w:bCs/>
        </w:rPr>
        <w:t xml:space="preserve"> </w:t>
      </w:r>
      <w:r w:rsidRPr="00A52585">
        <w:rPr>
          <w:rFonts w:hint="cs"/>
          <w:bCs/>
          <w:rtl/>
        </w:rPr>
        <w:t>وبيانه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قوله تعالى</w:t>
      </w:r>
      <w:r w:rsidR="0002035C" w:rsidRPr="00A52585">
        <w:rPr>
          <w:rFonts w:hint="cs"/>
          <w:rtl/>
        </w:rPr>
        <w:t>:</w:t>
      </w:r>
      <w:r w:rsidRPr="00A52585">
        <w:rPr>
          <w:rFonts w:hint="cs"/>
          <w:rtl/>
        </w:rPr>
        <w:t xml:space="preserve"> {فأتى الله بنيانهم من القواعد فخر عليهم السقف من فوقهم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النحل 26</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 xml:space="preserve">وقوله تعالى </w:t>
      </w:r>
      <w:r w:rsidR="0002035C" w:rsidRPr="00A52585">
        <w:rPr>
          <w:rFonts w:hint="cs"/>
          <w:rtl/>
        </w:rPr>
        <w:t>{</w:t>
      </w:r>
      <w:r w:rsidRPr="00A52585">
        <w:rPr>
          <w:rFonts w:hint="cs"/>
          <w:rtl/>
        </w:rPr>
        <w:t>هل ينظرون إلا أن يأتهم الله في ظلل من الغمام والملائكة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210</w:t>
      </w:r>
      <w:r w:rsidR="0002035C" w:rsidRPr="00A52585">
        <w:rPr>
          <w:rFonts w:hint="cs"/>
          <w:rtl/>
        </w:rPr>
        <w:t>]</w:t>
      </w:r>
      <w:r w:rsidR="00DB731D" w:rsidRPr="00A52585">
        <w:rPr>
          <w:rFonts w:hint="cs"/>
          <w:rtl/>
        </w:rPr>
        <w:t>،</w:t>
      </w:r>
      <w:r w:rsidRPr="00A52585">
        <w:rPr>
          <w:rFonts w:hint="cs"/>
          <w:rtl/>
        </w:rPr>
        <w:t xml:space="preserve"> وقوله تعالى: </w:t>
      </w:r>
      <w:r w:rsidR="0002035C" w:rsidRPr="00A52585">
        <w:rPr>
          <w:rFonts w:hint="cs"/>
          <w:rtl/>
        </w:rPr>
        <w:t>{</w:t>
      </w:r>
      <w:r w:rsidRPr="00A52585">
        <w:rPr>
          <w:rFonts w:hint="cs"/>
          <w:rtl/>
        </w:rPr>
        <w:t>وجاء ربك والملك صفا صفا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الفجر</w:t>
      </w:r>
      <w:r w:rsidR="0002035C" w:rsidRPr="00A52585">
        <w:rPr>
          <w:rFonts w:hint="cs"/>
          <w:rtl/>
        </w:rPr>
        <w:t>]:</w:t>
      </w:r>
      <w:r w:rsidRPr="00A52585">
        <w:rPr>
          <w:rFonts w:hint="cs"/>
          <w:rtl/>
        </w:rPr>
        <w:t xml:space="preserve"> اعلم أنه لا فرق بين الاتيان والمجيء والنزول إذا أضيف جميع ذلك إلى الأجسام التي تتحرك وتنتقل وتحازي مكانا</w:t>
      </w:r>
      <w:r w:rsidR="00DB731D" w:rsidRPr="00A52585">
        <w:rPr>
          <w:rFonts w:hint="cs"/>
          <w:rtl/>
        </w:rPr>
        <w:t>،</w:t>
      </w:r>
      <w:r w:rsidRPr="00A52585">
        <w:rPr>
          <w:rFonts w:hint="cs"/>
          <w:rtl/>
        </w:rPr>
        <w:t xml:space="preserve"> إن جميع ذلك يعقل من </w:t>
      </w:r>
      <w:proofErr w:type="spellStart"/>
      <w:r w:rsidRPr="00A52585">
        <w:rPr>
          <w:rFonts w:hint="cs"/>
          <w:rtl/>
        </w:rPr>
        <w:t>ظاهرها</w:t>
      </w:r>
      <w:r w:rsidR="00DB731D" w:rsidRPr="00A52585">
        <w:rPr>
          <w:rFonts w:hint="cs"/>
          <w:rtl/>
        </w:rPr>
        <w:t>،</w:t>
      </w:r>
      <w:r w:rsidRPr="00A52585">
        <w:rPr>
          <w:rFonts w:hint="cs"/>
          <w:rtl/>
        </w:rPr>
        <w:t>والمعنى</w:t>
      </w:r>
      <w:proofErr w:type="spellEnd"/>
      <w:r w:rsidRPr="00A52585">
        <w:rPr>
          <w:rFonts w:hint="cs"/>
          <w:rtl/>
        </w:rPr>
        <w:t xml:space="preserve"> الذي هو الحركة والنقل</w:t>
      </w:r>
      <w:r w:rsidR="00DB731D" w:rsidRPr="00A52585">
        <w:rPr>
          <w:rFonts w:hint="cs"/>
          <w:rtl/>
        </w:rPr>
        <w:t>،</w:t>
      </w:r>
      <w:r w:rsidRPr="00A52585">
        <w:rPr>
          <w:rFonts w:hint="cs"/>
          <w:rtl/>
        </w:rPr>
        <w:t xml:space="preserve"> التي هي تفريغ مكان وشغل </w:t>
      </w:r>
      <w:proofErr w:type="spellStart"/>
      <w:r w:rsidRPr="00A52585">
        <w:rPr>
          <w:rFonts w:hint="cs"/>
          <w:rtl/>
        </w:rPr>
        <w:t>مكان</w:t>
      </w:r>
      <w:r w:rsidR="00897A24" w:rsidRPr="00A52585">
        <w:rPr>
          <w:rFonts w:hint="cs"/>
          <w:rtl/>
        </w:rPr>
        <w:t>.</w:t>
      </w:r>
      <w:r w:rsidRPr="00A52585">
        <w:rPr>
          <w:rFonts w:hint="cs"/>
          <w:rtl/>
        </w:rPr>
        <w:t>وإذا</w:t>
      </w:r>
      <w:proofErr w:type="spellEnd"/>
      <w:r w:rsidRPr="00A52585">
        <w:rPr>
          <w:rFonts w:hint="cs"/>
          <w:rtl/>
        </w:rPr>
        <w:t xml:space="preserve"> أضيف إلى ما </w:t>
      </w:r>
      <w:proofErr w:type="spellStart"/>
      <w:r w:rsidRPr="00A52585">
        <w:rPr>
          <w:rFonts w:hint="cs"/>
          <w:rtl/>
        </w:rPr>
        <w:t>لايليق</w:t>
      </w:r>
      <w:proofErr w:type="spellEnd"/>
      <w:r w:rsidRPr="00A52585">
        <w:rPr>
          <w:rFonts w:hint="cs"/>
          <w:rtl/>
        </w:rPr>
        <w:t xml:space="preserve"> به الانتقال من مكان إلى مكان لاستحالة وصفه كان معنى ما يضاف إليه من الإتيان والمجيء على حسب ما يليق بنعته وصفته</w:t>
      </w:r>
      <w:r w:rsidR="00DB731D" w:rsidRPr="00A52585">
        <w:rPr>
          <w:rFonts w:hint="cs"/>
          <w:rtl/>
        </w:rPr>
        <w:t>،</w:t>
      </w:r>
      <w:r w:rsidRPr="00A52585">
        <w:rPr>
          <w:rFonts w:hint="cs"/>
          <w:rtl/>
        </w:rPr>
        <w:t xml:space="preserve"> إذا ورد به الكتاب</w:t>
      </w:r>
      <w:r w:rsidR="00DB731D" w:rsidRPr="00A52585">
        <w:rPr>
          <w:rFonts w:hint="cs"/>
          <w:rtl/>
        </w:rPr>
        <w:t>،</w:t>
      </w:r>
      <w:r w:rsidRPr="00A52585">
        <w:rPr>
          <w:rFonts w:hint="cs"/>
          <w:rtl/>
        </w:rPr>
        <w:t xml:space="preserve"> وكذلك إذا أضيف النزول إليه</w:t>
      </w:r>
      <w:r w:rsidR="00DB731D" w:rsidRPr="00A52585">
        <w:rPr>
          <w:rFonts w:hint="cs"/>
          <w:rtl/>
        </w:rPr>
        <w:t>،</w:t>
      </w:r>
      <w:r w:rsidRPr="00A52585">
        <w:rPr>
          <w:rFonts w:hint="cs"/>
          <w:rtl/>
        </w:rPr>
        <w:t xml:space="preserve"> وورد الخبر الصحيح الموثوق بروايته ونقله وصحته</w:t>
      </w:r>
      <w:r w:rsidR="00DB731D" w:rsidRPr="00A52585">
        <w:rPr>
          <w:rFonts w:hint="cs"/>
          <w:rtl/>
        </w:rPr>
        <w:t>،</w:t>
      </w:r>
      <w:r w:rsidRPr="00A52585">
        <w:rPr>
          <w:rFonts w:hint="cs"/>
          <w:rtl/>
        </w:rPr>
        <w:t xml:space="preserve"> في باب أنه يحمل على نحو ما حمل عليه معنى المجيء</w:t>
      </w:r>
      <w:r w:rsidR="00DB731D" w:rsidRPr="00A52585">
        <w:rPr>
          <w:rFonts w:hint="cs"/>
          <w:rtl/>
        </w:rPr>
        <w:t>،</w:t>
      </w:r>
      <w:r w:rsidRPr="00A52585">
        <w:rPr>
          <w:rFonts w:hint="cs"/>
          <w:rtl/>
        </w:rPr>
        <w:t xml:space="preserve"> والإتيان إذا ذكرا في أوصافه في الكتاب</w:t>
      </w:r>
      <w:r w:rsidR="00DB731D" w:rsidRPr="00A52585">
        <w:rPr>
          <w:rFonts w:hint="cs"/>
          <w:rtl/>
        </w:rPr>
        <w:t>،</w:t>
      </w:r>
      <w:r w:rsidRPr="00A52585">
        <w:rPr>
          <w:rFonts w:hint="cs"/>
          <w:rtl/>
        </w:rPr>
        <w:t xml:space="preserve"> وإذا كان كذلك تأملنا معنى ما ورد في الخبر من لفظ النزول</w:t>
      </w:r>
      <w:r w:rsidR="00DB731D" w:rsidRPr="00A52585">
        <w:rPr>
          <w:rFonts w:hint="cs"/>
          <w:rtl/>
        </w:rPr>
        <w:t>،</w:t>
      </w:r>
      <w:r w:rsidRPr="00A52585">
        <w:rPr>
          <w:rFonts w:hint="cs"/>
          <w:rtl/>
        </w:rPr>
        <w:t xml:space="preserve"> ونزلناه على الوجه الذي يليق بوصفه</w:t>
      </w:r>
      <w:r w:rsidR="00DB731D" w:rsidRPr="00A52585">
        <w:rPr>
          <w:rFonts w:hint="cs"/>
          <w:rtl/>
        </w:rPr>
        <w:t>،</w:t>
      </w:r>
      <w:r w:rsidRPr="00A52585">
        <w:rPr>
          <w:rFonts w:hint="cs"/>
          <w:rtl/>
        </w:rPr>
        <w:t xml:space="preserve"> وعلى المعنى الذي لا ينكر استعمال مثله في اللسان في مثل معناه ولا أن يرد الخبر بمثله</w:t>
      </w:r>
      <w:r w:rsidR="00DB731D" w:rsidRPr="00A52585">
        <w:rPr>
          <w:rFonts w:hint="cs"/>
          <w:rtl/>
        </w:rPr>
        <w:t>،</w:t>
      </w:r>
      <w:r w:rsidRPr="00A52585">
        <w:rPr>
          <w:rFonts w:hint="cs"/>
          <w:rtl/>
        </w:rPr>
        <w:t xml:space="preserve"> فمن ذلك أنا وجدنا لفظة النزول في اللغة مستعملة على معان مختلفة</w:t>
      </w:r>
      <w:r w:rsidR="00DB731D" w:rsidRPr="00A52585">
        <w:rPr>
          <w:rFonts w:hint="cs"/>
          <w:rtl/>
        </w:rPr>
        <w:t>،</w:t>
      </w:r>
      <w:r w:rsidRPr="00A52585">
        <w:rPr>
          <w:rFonts w:hint="cs"/>
          <w:rtl/>
        </w:rPr>
        <w:t xml:space="preserve"> ولم تكن هذه اللفظة مما يخص أمرا واحداً</w:t>
      </w:r>
      <w:r w:rsidR="00DB731D" w:rsidRPr="00A52585">
        <w:rPr>
          <w:rFonts w:hint="cs"/>
          <w:rtl/>
        </w:rPr>
        <w:t>،</w:t>
      </w:r>
      <w:r w:rsidRPr="00A52585">
        <w:rPr>
          <w:rFonts w:hint="cs"/>
          <w:rtl/>
        </w:rPr>
        <w:t xml:space="preserve"> حتى لا يمكن العدول عنه إلى غيره بل وجدناه مشترك المعنى واحتمل التأويل والتخريج </w:t>
      </w:r>
      <w:proofErr w:type="spellStart"/>
      <w:r w:rsidRPr="00A52585">
        <w:rPr>
          <w:rFonts w:hint="cs"/>
          <w:rtl/>
        </w:rPr>
        <w:t>والترتيب</w:t>
      </w:r>
      <w:r w:rsidR="00DB731D" w:rsidRPr="00A52585">
        <w:rPr>
          <w:rFonts w:hint="cs"/>
          <w:rtl/>
        </w:rPr>
        <w:t>،</w:t>
      </w:r>
      <w:r w:rsidRPr="00A52585">
        <w:rPr>
          <w:rFonts w:hint="cs"/>
          <w:rtl/>
        </w:rPr>
        <w:t>فمن</w:t>
      </w:r>
      <w:proofErr w:type="spellEnd"/>
      <w:r w:rsidRPr="00A52585">
        <w:rPr>
          <w:rFonts w:hint="cs"/>
          <w:rtl/>
        </w:rPr>
        <w:t xml:space="preserve"> ذلك</w:t>
      </w:r>
      <w:r w:rsidR="0002035C" w:rsidRPr="00A52585">
        <w:rPr>
          <w:rFonts w:hint="cs"/>
          <w:rtl/>
        </w:rPr>
        <w:t>:</w:t>
      </w:r>
      <w:r w:rsidRPr="00A52585">
        <w:rPr>
          <w:rFonts w:hint="cs"/>
          <w:rtl/>
        </w:rPr>
        <w:t xml:space="preserve"> النزول بمعنى الانتقال</w:t>
      </w:r>
      <w:r w:rsidR="00DB731D" w:rsidRPr="00A52585">
        <w:rPr>
          <w:rFonts w:hint="cs"/>
          <w:rtl/>
        </w:rPr>
        <w:t>،</w:t>
      </w:r>
      <w:r w:rsidRPr="00A52585">
        <w:rPr>
          <w:rFonts w:hint="cs"/>
          <w:rtl/>
        </w:rPr>
        <w:t xml:space="preserve"> وذلك في قوله سبحانه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وأنزلنا من السماء ماء طهورا</w:t>
      </w:r>
      <w:r w:rsidR="0002035C" w:rsidRPr="00A52585">
        <w:rPr>
          <w:rFonts w:hint="cs"/>
          <w:rtl/>
        </w:rPr>
        <w:t>)</w:t>
      </w:r>
      <w:r w:rsidRPr="00A52585">
        <w:rPr>
          <w:rFonts w:hint="cs"/>
          <w:rtl/>
        </w:rPr>
        <w:t xml:space="preserve"> الفرقان على معنى النقلة </w:t>
      </w:r>
      <w:proofErr w:type="spellStart"/>
      <w:r w:rsidRPr="00A52585">
        <w:rPr>
          <w:rFonts w:hint="cs"/>
          <w:rtl/>
        </w:rPr>
        <w:t>والتحويل</w:t>
      </w:r>
      <w:r w:rsidR="00DB731D" w:rsidRPr="00A52585">
        <w:rPr>
          <w:rFonts w:hint="cs"/>
          <w:rtl/>
        </w:rPr>
        <w:t>،</w:t>
      </w:r>
      <w:r w:rsidRPr="00A52585">
        <w:rPr>
          <w:rFonts w:hint="cs"/>
          <w:rtl/>
        </w:rPr>
        <w:t>ومن</w:t>
      </w:r>
      <w:proofErr w:type="spellEnd"/>
      <w:r w:rsidRPr="00A52585">
        <w:rPr>
          <w:rFonts w:hint="cs"/>
          <w:rtl/>
        </w:rPr>
        <w:t xml:space="preserve"> ذلك النزول بمعنى الاعلام كقوله عز وجل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نزل به الروح الأمين</w:t>
      </w:r>
      <w:r w:rsidR="0002035C" w:rsidRPr="00A52585">
        <w:rPr>
          <w:rFonts w:hint="cs"/>
          <w:rtl/>
        </w:rPr>
        <w:t xml:space="preserve"> </w:t>
      </w:r>
      <w:r w:rsidRPr="00A52585">
        <w:rPr>
          <w:rFonts w:hint="cs"/>
          <w:rtl/>
        </w:rPr>
        <w:t>على قلبك</w:t>
      </w:r>
      <w:r w:rsidR="0002035C" w:rsidRPr="00A52585">
        <w:rPr>
          <w:rFonts w:hint="cs"/>
          <w:rtl/>
        </w:rPr>
        <w:t>)</w:t>
      </w:r>
      <w:r w:rsidRPr="00A52585">
        <w:rPr>
          <w:rFonts w:hint="cs"/>
          <w:rtl/>
        </w:rPr>
        <w:t xml:space="preserve"> </w:t>
      </w:r>
      <w:proofErr w:type="spellStart"/>
      <w:r w:rsidRPr="00A52585">
        <w:rPr>
          <w:rFonts w:hint="cs"/>
          <w:rtl/>
        </w:rPr>
        <w:t>الشعراء.أي</w:t>
      </w:r>
      <w:proofErr w:type="spellEnd"/>
      <w:r w:rsidRPr="00A52585">
        <w:rPr>
          <w:rFonts w:hint="cs"/>
          <w:rtl/>
        </w:rPr>
        <w:t xml:space="preserve"> اعلم به الروح الأمين محمداً صلى الله عليه وسلم</w:t>
      </w:r>
      <w:r w:rsidR="00DB731D" w:rsidRPr="00A52585">
        <w:rPr>
          <w:rFonts w:hint="cs"/>
          <w:rtl/>
        </w:rPr>
        <w:t>،</w:t>
      </w:r>
      <w:r w:rsidRPr="00A52585">
        <w:rPr>
          <w:rFonts w:hint="cs"/>
          <w:rtl/>
        </w:rPr>
        <w:t xml:space="preserve"> والنزول مثل ما أنزل الله</w:t>
      </w:r>
      <w:r w:rsidR="0002035C" w:rsidRPr="00A52585">
        <w:rPr>
          <w:rFonts w:hint="cs"/>
          <w:rtl/>
        </w:rPr>
        <w:t>)</w:t>
      </w:r>
      <w:r w:rsidRPr="00A52585">
        <w:rPr>
          <w:rFonts w:hint="cs"/>
          <w:rtl/>
        </w:rPr>
        <w:t xml:space="preserve"> الأنعام</w:t>
      </w:r>
      <w:r w:rsidR="00DB731D" w:rsidRPr="00A52585">
        <w:rPr>
          <w:rFonts w:hint="cs"/>
          <w:rtl/>
        </w:rPr>
        <w:t>،</w:t>
      </w:r>
      <w:r w:rsidRPr="00A52585">
        <w:rPr>
          <w:rFonts w:hint="cs"/>
          <w:rtl/>
        </w:rPr>
        <w:t xml:space="preserve"> والنزول أيضا بمعنى الإقبال على الشيء وذلك هو المستعمل في قولهم والجاري في عرفهم</w:t>
      </w:r>
      <w:r w:rsidR="00DB731D" w:rsidRPr="00A52585">
        <w:rPr>
          <w:rFonts w:hint="cs"/>
          <w:rtl/>
        </w:rPr>
        <w:t>،</w:t>
      </w:r>
      <w:r w:rsidRPr="00A52585">
        <w:rPr>
          <w:rFonts w:hint="cs"/>
          <w:rtl/>
        </w:rPr>
        <w:t xml:space="preserve"> وهو أنهم يقولون</w:t>
      </w:r>
      <w:r w:rsidR="0002035C" w:rsidRPr="00A52585">
        <w:rPr>
          <w:rFonts w:hint="cs"/>
          <w:rtl/>
        </w:rPr>
        <w:t>:</w:t>
      </w:r>
      <w:r w:rsidRPr="00A52585">
        <w:rPr>
          <w:rFonts w:hint="cs"/>
          <w:rtl/>
        </w:rPr>
        <w:t xml:space="preserve"> إن فلانا أخذ بمكارم الأخلاق ثم نزل منها إلى سفاسفها أي أقبل منها إلى </w:t>
      </w:r>
      <w:proofErr w:type="spellStart"/>
      <w:r w:rsidRPr="00A52585">
        <w:rPr>
          <w:rFonts w:hint="cs"/>
          <w:rtl/>
        </w:rPr>
        <w:t>رديئها</w:t>
      </w:r>
      <w:r w:rsidR="00DB731D" w:rsidRPr="00A52585">
        <w:rPr>
          <w:rFonts w:hint="cs"/>
          <w:rtl/>
        </w:rPr>
        <w:t>،</w:t>
      </w:r>
      <w:r w:rsidRPr="00A52585">
        <w:rPr>
          <w:rFonts w:hint="cs"/>
          <w:rtl/>
        </w:rPr>
        <w:t>ومثله</w:t>
      </w:r>
      <w:proofErr w:type="spellEnd"/>
      <w:r w:rsidRPr="00A52585">
        <w:rPr>
          <w:rFonts w:hint="cs"/>
          <w:rtl/>
        </w:rPr>
        <w:t xml:space="preserve"> في نقصان الدرجة والمرتبة لأنهم يقولون</w:t>
      </w:r>
      <w:r w:rsidR="0002035C" w:rsidRPr="00A52585">
        <w:rPr>
          <w:rFonts w:hint="cs"/>
          <w:rtl/>
        </w:rPr>
        <w:t>:</w:t>
      </w:r>
      <w:r w:rsidRPr="00A52585">
        <w:rPr>
          <w:rFonts w:hint="cs"/>
          <w:rtl/>
        </w:rPr>
        <w:t xml:space="preserve"> نزلت منزله فلان عن فلان عما كانت عليه إلى ما دونها إذا انحط قدره </w:t>
      </w:r>
      <w:proofErr w:type="spellStart"/>
      <w:r w:rsidRPr="00A52585">
        <w:rPr>
          <w:rFonts w:hint="cs"/>
          <w:rtl/>
        </w:rPr>
        <w:t>عنده</w:t>
      </w:r>
      <w:r w:rsidR="00DB731D" w:rsidRPr="00A52585">
        <w:rPr>
          <w:rFonts w:hint="cs"/>
          <w:rtl/>
        </w:rPr>
        <w:t>،</w:t>
      </w:r>
      <w:r w:rsidRPr="00A52585">
        <w:rPr>
          <w:rFonts w:hint="cs"/>
          <w:rtl/>
        </w:rPr>
        <w:t>ومن</w:t>
      </w:r>
      <w:proofErr w:type="spellEnd"/>
      <w:r w:rsidRPr="00A52585">
        <w:rPr>
          <w:rFonts w:hint="cs"/>
          <w:rtl/>
        </w:rPr>
        <w:t xml:space="preserve"> ذلك أيضا النزول بمعنى نزول الحكم</w:t>
      </w:r>
      <w:r w:rsidR="0002035C" w:rsidRPr="00A52585">
        <w:rPr>
          <w:rFonts w:hint="cs"/>
          <w:rtl/>
        </w:rPr>
        <w:t xml:space="preserve"> </w:t>
      </w:r>
      <w:r w:rsidRPr="00A52585">
        <w:rPr>
          <w:rFonts w:hint="cs"/>
          <w:rtl/>
        </w:rPr>
        <w:t>من ذلك قول الناس قد كنا في عدل وخير</w:t>
      </w:r>
      <w:r w:rsidR="00DB731D" w:rsidRPr="00A52585">
        <w:rPr>
          <w:rFonts w:hint="cs"/>
          <w:rtl/>
        </w:rPr>
        <w:t>،</w:t>
      </w:r>
      <w:r w:rsidRPr="00A52585">
        <w:rPr>
          <w:rFonts w:hint="cs"/>
          <w:rtl/>
        </w:rPr>
        <w:t xml:space="preserve"> حتى نزل بنا بنو فلان إلى </w:t>
      </w:r>
      <w:r w:rsidRPr="00A52585">
        <w:rPr>
          <w:rFonts w:hint="cs"/>
          <w:rtl/>
        </w:rPr>
        <w:lastRenderedPageBreak/>
        <w:t>حكمهم</w:t>
      </w:r>
      <w:r w:rsidR="00DB731D" w:rsidRPr="00A52585">
        <w:rPr>
          <w:rFonts w:hint="cs"/>
          <w:rtl/>
        </w:rPr>
        <w:t>،</w:t>
      </w:r>
      <w:r w:rsidRPr="00A52585">
        <w:rPr>
          <w:rFonts w:hint="cs"/>
          <w:rtl/>
        </w:rPr>
        <w:t xml:space="preserve"> وكل ذلك في ذلك في معنى النزول متعارف بين أهل اللغة غير مرفوع عنهم اشتراك معناه</w:t>
      </w:r>
      <w:r w:rsidR="0002035C" w:rsidRPr="00A52585">
        <w:rPr>
          <w:rFonts w:hint="cs"/>
          <w:rtl/>
        </w:rPr>
        <w:t>)</w:t>
      </w:r>
      <w:r w:rsidRPr="00A52585">
        <w:rPr>
          <w:rFonts w:hint="cs"/>
          <w:rtl/>
        </w:rPr>
        <w:t xml:space="preserve"> أهـ [مشكل الحديث</w:t>
      </w:r>
      <w:r w:rsidRPr="00A52585">
        <w:rPr>
          <w:rFonts w:hint="cs"/>
        </w:rPr>
        <w:t xml:space="preserve"> </w:t>
      </w:r>
      <w:r w:rsidRPr="00A52585">
        <w:rPr>
          <w:rFonts w:hint="cs"/>
          <w:rtl/>
        </w:rPr>
        <w:t>وبيانه</w:t>
      </w:r>
      <w:r w:rsidR="00DB731D" w:rsidRPr="00A52585">
        <w:rPr>
          <w:rFonts w:hint="cs"/>
          <w:rtl/>
        </w:rPr>
        <w:t>،</w:t>
      </w:r>
      <w:r w:rsidRPr="00A52585">
        <w:rPr>
          <w:rFonts w:hint="cs"/>
          <w:rtl/>
        </w:rPr>
        <w:t xml:space="preserve"> ص200:202</w:t>
      </w:r>
      <w:r w:rsidR="0002035C" w:rsidRPr="00A52585">
        <w:rPr>
          <w:rFonts w:hint="cs"/>
          <w:rtl/>
        </w:rPr>
        <w:t>]</w:t>
      </w:r>
      <w:r w:rsidR="00DB731D" w:rsidRPr="00A52585">
        <w:rPr>
          <w:rFonts w:hint="cs"/>
          <w:rtl/>
        </w:rPr>
        <w:t>،</w:t>
      </w:r>
      <w:r w:rsidR="0002035C" w:rsidRPr="00A52585">
        <w:rPr>
          <w:rFonts w:hint="cs"/>
          <w:rtl/>
        </w:rPr>
        <w:t xml:space="preserve"> </w:t>
      </w:r>
    </w:p>
    <w:p w14:paraId="5D976867" w14:textId="69F1250E" w:rsidR="00777DCB" w:rsidRPr="00A52585" w:rsidRDefault="00777DCB" w:rsidP="0002035C">
      <w:pPr>
        <w:spacing w:after="240"/>
        <w:rPr>
          <w:rtl/>
        </w:rPr>
      </w:pPr>
      <w:r w:rsidRPr="00A52585">
        <w:rPr>
          <w:rFonts w:hint="cs"/>
          <w:bCs/>
          <w:rtl/>
        </w:rPr>
        <w:t>وقال ابن حزم في الفصل في الملل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وصح عن رسول الله صلى الله عليه وسلم أنه أخبر أن الله تعالى ينزل كل ليلة إذا بقي ثلث الليل إلى سماء الدنيا</w:t>
      </w:r>
      <w:r w:rsidR="0002035C" w:rsidRPr="00A52585">
        <w:rPr>
          <w:rFonts w:hint="cs"/>
          <w:rtl/>
        </w:rPr>
        <w:t xml:space="preserve"> </w:t>
      </w:r>
      <w:r w:rsidRPr="00A52585">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w:t>
      </w:r>
      <w:proofErr w:type="spellStart"/>
      <w:r w:rsidRPr="00A52585">
        <w:rPr>
          <w:rFonts w:hint="cs"/>
          <w:rtl/>
        </w:rPr>
        <w:t>التنزل</w:t>
      </w:r>
      <w:proofErr w:type="spellEnd"/>
      <w:r w:rsidRPr="00A52585">
        <w:rPr>
          <w:rFonts w:hint="cs"/>
          <w:rtl/>
        </w:rPr>
        <w:t xml:space="preserve">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DB731D" w:rsidRPr="00A52585">
        <w:rPr>
          <w:rFonts w:hint="cs"/>
          <w:rtl/>
        </w:rPr>
        <w:t>،</w:t>
      </w:r>
      <w:r w:rsidRPr="00A52585">
        <w:rPr>
          <w:rFonts w:hint="cs"/>
          <w:rtl/>
        </w:rPr>
        <w:t xml:space="preserve"> </w:t>
      </w:r>
      <w:r w:rsidRPr="00A52585">
        <w:rPr>
          <w:rFonts w:hint="cs"/>
          <w:u w:val="single"/>
          <w:rtl/>
        </w:rPr>
        <w:t>فقد قدمنا بطلان قوله في أبطال القول</w:t>
      </w:r>
      <w:r w:rsidR="0002035C" w:rsidRPr="00A52585">
        <w:rPr>
          <w:rFonts w:hint="cs"/>
          <w:u w:val="single"/>
          <w:rtl/>
        </w:rPr>
        <w:t xml:space="preserve"> </w:t>
      </w:r>
      <w:r w:rsidRPr="00A52585">
        <w:rPr>
          <w:rFonts w:hint="cs"/>
          <w:u w:val="single"/>
          <w:rtl/>
        </w:rPr>
        <w:t xml:space="preserve">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w:t>
      </w:r>
      <w:proofErr w:type="spellStart"/>
      <w:r w:rsidRPr="00A52585">
        <w:rPr>
          <w:rFonts w:hint="cs"/>
          <w:u w:val="single"/>
          <w:rtl/>
        </w:rPr>
        <w:t>صفا</w:t>
      </w:r>
      <w:proofErr w:type="spellEnd"/>
      <w:r w:rsidRPr="00A52585">
        <w:rPr>
          <w:rFonts w:hint="cs"/>
          <w:u w:val="single"/>
          <w:rtl/>
        </w:rPr>
        <w:t xml:space="preserve">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02035C" w:rsidRPr="00A52585">
        <w:rPr>
          <w:rFonts w:hint="cs"/>
          <w:u w:val="single"/>
          <w:rtl/>
        </w:rPr>
        <w:t xml:space="preserve"> </w:t>
      </w:r>
      <w:r w:rsidRPr="00A52585">
        <w:rPr>
          <w:rFonts w:hint="cs"/>
          <w:rtl/>
        </w:rPr>
        <w:t xml:space="preserve">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w:t>
      </w:r>
      <w:r w:rsidRPr="00A52585">
        <w:rPr>
          <w:rFonts w:hint="cs"/>
          <w:rtl/>
        </w:rPr>
        <w:lastRenderedPageBreak/>
        <w:t>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الفصل في الملل ج: 2 ص: 132</w:t>
      </w:r>
      <w:r w:rsidR="0002035C" w:rsidRPr="00A52585">
        <w:rPr>
          <w:rFonts w:hint="cs"/>
          <w:rtl/>
        </w:rPr>
        <w:t>]</w:t>
      </w:r>
      <w:r w:rsidR="00DB731D" w:rsidRPr="00A52585">
        <w:rPr>
          <w:rFonts w:hint="cs"/>
          <w:rtl/>
        </w:rPr>
        <w:t>،</w:t>
      </w:r>
      <w:r w:rsidRPr="00A52585">
        <w:rPr>
          <w:rFonts w:hint="cs"/>
          <w:rtl/>
        </w:rPr>
        <w:t xml:space="preserve"> </w:t>
      </w:r>
    </w:p>
    <w:p w14:paraId="148D1BE6" w14:textId="6517B42B" w:rsidR="00777DCB" w:rsidRPr="00A52585" w:rsidRDefault="00777DCB" w:rsidP="0002035C">
      <w:pPr>
        <w:spacing w:after="240"/>
        <w:rPr>
          <w:rtl/>
        </w:rPr>
      </w:pPr>
      <w:r w:rsidRPr="00A52585">
        <w:rPr>
          <w:rFonts w:hint="cs"/>
          <w:bCs/>
          <w:rtl/>
        </w:rPr>
        <w:t xml:space="preserve">وقال الإمام بن </w:t>
      </w:r>
      <w:proofErr w:type="spellStart"/>
      <w:r w:rsidRPr="00A52585">
        <w:rPr>
          <w:rFonts w:hint="cs"/>
          <w:bCs/>
          <w:rtl/>
        </w:rPr>
        <w:t>جهبل</w:t>
      </w:r>
      <w:proofErr w:type="spellEnd"/>
      <w:r w:rsidRPr="00A52585">
        <w:rPr>
          <w:rFonts w:hint="cs"/>
          <w:bCs/>
          <w:rtl/>
        </w:rPr>
        <w:t xml:space="preserve"> وهو يرد على من زعم حقيقة النزول</w:t>
      </w:r>
      <w:r w:rsidR="0002035C" w:rsidRPr="00A52585">
        <w:rPr>
          <w:rFonts w:hint="cs"/>
          <w:rtl/>
        </w:rPr>
        <w:t>: (</w:t>
      </w:r>
      <w:r w:rsidRPr="00A52585">
        <w:rPr>
          <w:rFonts w:hint="cs"/>
          <w:rtl/>
        </w:rPr>
        <w:t>وكما تطلق العرب النزول على الانتقال تطلقه على غيره كما جاء في كتابه العزيز</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وأنزلنا الحديد فيه بأس شديد</w:t>
      </w:r>
      <w:r w:rsidR="0002035C" w:rsidRPr="00A52585">
        <w:rPr>
          <w:rFonts w:hint="cs"/>
          <w:rtl/>
        </w:rPr>
        <w:t>}</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وأنزل لكم من الأنعام ثمانية أزواج</w:t>
      </w:r>
      <w:r w:rsidR="0002035C" w:rsidRPr="00A52585">
        <w:rPr>
          <w:rFonts w:hint="cs"/>
          <w:rtl/>
        </w:rPr>
        <w:t>}</w:t>
      </w:r>
      <w:r w:rsidR="00DB731D" w:rsidRPr="00A52585">
        <w:rPr>
          <w:rFonts w:hint="cs"/>
          <w:rtl/>
        </w:rPr>
        <w:t>،</w:t>
      </w:r>
      <w:r w:rsidRPr="00A52585">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02035C" w:rsidRPr="00A52585">
        <w:rPr>
          <w:rFonts w:hint="cs"/>
          <w:rtl/>
        </w:rPr>
        <w:t>)</w:t>
      </w:r>
      <w:r w:rsidRPr="00A52585">
        <w:rPr>
          <w:rFonts w:hint="cs"/>
          <w:rtl/>
        </w:rPr>
        <w:t xml:space="preserve"> أهـ [طبقات الشافعية الكبرى ج: 9 ص: 51</w:t>
      </w:r>
      <w:r w:rsidR="0002035C" w:rsidRPr="00A52585">
        <w:rPr>
          <w:rFonts w:hint="cs"/>
          <w:rtl/>
        </w:rPr>
        <w:t>]</w:t>
      </w:r>
      <w:r w:rsidR="00DB731D" w:rsidRPr="00A52585">
        <w:rPr>
          <w:rFonts w:hint="cs"/>
          <w:rtl/>
        </w:rPr>
        <w:t>،</w:t>
      </w:r>
      <w:r w:rsidRPr="00A52585">
        <w:rPr>
          <w:rFonts w:hint="cs"/>
          <w:rtl/>
        </w:rPr>
        <w:t xml:space="preserve"> </w:t>
      </w:r>
    </w:p>
    <w:p w14:paraId="0474104A" w14:textId="76B4292D" w:rsidR="00777DCB" w:rsidRPr="00A52585" w:rsidRDefault="00777DCB" w:rsidP="0002035C">
      <w:pPr>
        <w:spacing w:after="240"/>
        <w:rPr>
          <w:rtl/>
        </w:rPr>
      </w:pPr>
      <w:r w:rsidRPr="00A52585">
        <w:rPr>
          <w:rFonts w:hint="cs"/>
          <w:bCs/>
          <w:rtl/>
        </w:rPr>
        <w:t>وقال الزرقاني في شرح حديث النزول في الموطأ</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وعن أبي سلمة بن عبد الرحمن بن عوف القرشي الزهري عن أبي هريرة أن رسول الله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w:t>
      </w:r>
      <w:r w:rsidR="0002035C" w:rsidRPr="00A52585">
        <w:rPr>
          <w:rFonts w:hint="cs"/>
          <w:rtl/>
        </w:rPr>
        <w:t>)</w:t>
      </w:r>
      <w:r w:rsidRPr="00A52585">
        <w:rPr>
          <w:rFonts w:hint="cs"/>
          <w:rtl/>
        </w:rPr>
        <w:t xml:space="preserve">) اختلف فيه فالراسخون في العلم يقولون آمنا به كل من عند ربنا على طريق الإجمال منزهين لله تعالى عن الكيفية </w:t>
      </w:r>
      <w:proofErr w:type="spellStart"/>
      <w:r w:rsidRPr="00A52585">
        <w:rPr>
          <w:rFonts w:hint="cs"/>
          <w:rtl/>
        </w:rPr>
        <w:t>والتشبيه</w:t>
      </w:r>
      <w:r w:rsidR="00DB731D" w:rsidRPr="00A52585">
        <w:rPr>
          <w:rFonts w:hint="cs"/>
          <w:rtl/>
        </w:rPr>
        <w:t>،</w:t>
      </w:r>
      <w:r w:rsidRPr="00A52585">
        <w:rPr>
          <w:rFonts w:hint="cs"/>
          <w:rtl/>
        </w:rPr>
        <w:t>ونقله</w:t>
      </w:r>
      <w:proofErr w:type="spellEnd"/>
      <w:r w:rsidRPr="00A52585">
        <w:rPr>
          <w:rFonts w:hint="cs"/>
          <w:rtl/>
        </w:rPr>
        <w:t xml:space="preserve"> البيهقي وغيره عن الأئمة الأربعة </w:t>
      </w:r>
      <w:proofErr w:type="spellStart"/>
      <w:r w:rsidRPr="00A52585">
        <w:rPr>
          <w:rFonts w:hint="cs"/>
          <w:rtl/>
        </w:rPr>
        <w:t>والسفيانين</w:t>
      </w:r>
      <w:proofErr w:type="spellEnd"/>
      <w:r w:rsidRPr="00A52585">
        <w:rPr>
          <w:rFonts w:hint="cs"/>
          <w:rtl/>
        </w:rPr>
        <w:t xml:space="preserve"> </w:t>
      </w:r>
      <w:proofErr w:type="spellStart"/>
      <w:r w:rsidRPr="00A52585">
        <w:rPr>
          <w:rFonts w:hint="cs"/>
          <w:rtl/>
        </w:rPr>
        <w:t>والحمادين</w:t>
      </w:r>
      <w:proofErr w:type="spellEnd"/>
      <w:r w:rsidRPr="00A52585">
        <w:rPr>
          <w:rFonts w:hint="cs"/>
          <w:rtl/>
        </w:rPr>
        <w:t xml:space="preserve"> والليث والأوزاعي وغيرهم قال البيهقي وهو أسلم ويدل عليه اتفاقهم على أن التأويل المعين لا يجب فحينئذ التفويض أسلم</w:t>
      </w:r>
      <w:r w:rsidR="00DB731D" w:rsidRPr="00A52585">
        <w:rPr>
          <w:rFonts w:hint="cs"/>
          <w:rtl/>
        </w:rPr>
        <w:t>،</w:t>
      </w:r>
      <w:r w:rsidRPr="00A52585">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DB731D" w:rsidRPr="00A52585">
        <w:rPr>
          <w:rFonts w:hint="cs"/>
          <w:rtl/>
        </w:rPr>
        <w:t>،</w:t>
      </w:r>
      <w:r w:rsidRPr="00A52585">
        <w:rPr>
          <w:rFonts w:hint="cs"/>
          <w:rtl/>
        </w:rPr>
        <w:t xml:space="preserve"> وحديث عثمان بن أبي العاص عند أحمد ينادي مناد هل من داع يستجاب له الحديث</w:t>
      </w:r>
      <w:r w:rsidR="0002035C" w:rsidRPr="00A52585">
        <w:rPr>
          <w:rFonts w:hint="cs"/>
          <w:rtl/>
        </w:rPr>
        <w:t xml:space="preserve"> </w:t>
      </w:r>
      <w:r w:rsidRPr="00A52585">
        <w:rPr>
          <w:rFonts w:hint="cs"/>
          <w:rtl/>
        </w:rPr>
        <w:t>قال القرطبي</w:t>
      </w:r>
      <w:r w:rsidR="0002035C" w:rsidRPr="00A52585">
        <w:rPr>
          <w:rFonts w:hint="cs"/>
          <w:rtl/>
        </w:rPr>
        <w:t>:</w:t>
      </w:r>
      <w:r w:rsidRPr="00A52585">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DB731D" w:rsidRPr="00A52585">
        <w:rPr>
          <w:rFonts w:hint="cs"/>
          <w:rtl/>
        </w:rPr>
        <w:t>،</w:t>
      </w:r>
      <w:r w:rsidRPr="00A52585">
        <w:rPr>
          <w:rFonts w:hint="cs"/>
          <w:rtl/>
        </w:rPr>
        <w:t xml:space="preserve"> </w:t>
      </w:r>
      <w:r w:rsidRPr="00A52585">
        <w:rPr>
          <w:rFonts w:hint="cs"/>
          <w:bCs/>
          <w:rtl/>
        </w:rPr>
        <w:t>هذا وقد حمل المشبهة الحديث وأحاديث التشبيه كلها على ظاهرها تعالى الله عن قولهم</w:t>
      </w:r>
      <w:r w:rsidR="00DB731D" w:rsidRPr="00A52585">
        <w:rPr>
          <w:rFonts w:hint="cs"/>
          <w:bCs/>
          <w:rtl/>
        </w:rPr>
        <w:t>،</w:t>
      </w:r>
      <w:r w:rsidRPr="00A52585">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sidR="0002035C" w:rsidRPr="00A52585">
        <w:rPr>
          <w:rFonts w:hint="cs"/>
          <w:bCs/>
          <w:rtl/>
        </w:rPr>
        <w:t>)</w:t>
      </w:r>
      <w:r w:rsidRPr="00A52585">
        <w:rPr>
          <w:rFonts w:hint="cs"/>
          <w:bCs/>
          <w:rtl/>
        </w:rPr>
        <w:t xml:space="preserve"> أهـ [</w:t>
      </w:r>
      <w:r w:rsidRPr="00A52585">
        <w:rPr>
          <w:rFonts w:hint="cs"/>
          <w:rtl/>
        </w:rPr>
        <w:t>شرح الزرقاني ج: 2 ص: 49</w:t>
      </w:r>
      <w:r w:rsidR="00DB731D" w:rsidRPr="00A52585">
        <w:rPr>
          <w:rFonts w:hint="cs"/>
          <w:rtl/>
        </w:rPr>
        <w:t>،</w:t>
      </w:r>
      <w:r w:rsidRPr="00A52585">
        <w:rPr>
          <w:rFonts w:hint="cs"/>
          <w:rtl/>
        </w:rPr>
        <w:t xml:space="preserve"> 50</w:t>
      </w:r>
      <w:r w:rsidR="0002035C" w:rsidRPr="00A52585">
        <w:rPr>
          <w:rFonts w:hint="cs"/>
          <w:rtl/>
        </w:rPr>
        <w:t>]</w:t>
      </w:r>
      <w:r w:rsidR="00DB731D" w:rsidRPr="00A52585">
        <w:rPr>
          <w:rFonts w:hint="cs"/>
          <w:rtl/>
        </w:rPr>
        <w:t>،</w:t>
      </w:r>
      <w:r w:rsidRPr="00A52585">
        <w:rPr>
          <w:rFonts w:hint="cs"/>
          <w:rtl/>
        </w:rPr>
        <w:t xml:space="preserve"> </w:t>
      </w:r>
    </w:p>
    <w:p w14:paraId="73A1902A" w14:textId="10E26C8B" w:rsidR="00777DCB" w:rsidRPr="00A52585" w:rsidRDefault="00777DCB" w:rsidP="0002035C">
      <w:pPr>
        <w:spacing w:after="240"/>
        <w:rPr>
          <w:rtl/>
        </w:rPr>
      </w:pPr>
      <w:r w:rsidRPr="00A52585">
        <w:rPr>
          <w:rFonts w:hint="cs"/>
          <w:bCs/>
          <w:rtl/>
        </w:rPr>
        <w:t>وقال العلامة ابن الجوزي</w:t>
      </w:r>
      <w:r w:rsidR="00DB731D" w:rsidRPr="00A52585">
        <w:rPr>
          <w:rFonts w:hint="cs"/>
          <w:rtl/>
        </w:rPr>
        <w:t>،</w:t>
      </w:r>
      <w:r w:rsidRPr="00A52585">
        <w:rPr>
          <w:rFonts w:hint="cs"/>
          <w:rtl/>
        </w:rPr>
        <w:t xml:space="preserve"> وهو من خير الحنابلة وأعلمهم بعد الإمام أحمد</w:t>
      </w:r>
      <w:r w:rsidR="0002035C" w:rsidRPr="00A52585">
        <w:rPr>
          <w:rFonts w:hint="cs"/>
          <w:rtl/>
        </w:rPr>
        <w:t>:</w:t>
      </w:r>
      <w:r w:rsidRPr="00A52585">
        <w:rPr>
          <w:rFonts w:hint="cs"/>
          <w:rtl/>
        </w:rPr>
        <w:t xml:space="preserve"> وهو يرد على </w:t>
      </w:r>
      <w:proofErr w:type="spellStart"/>
      <w:r w:rsidRPr="00A52585">
        <w:rPr>
          <w:rFonts w:hint="cs"/>
          <w:rtl/>
        </w:rPr>
        <w:t>حشوية</w:t>
      </w:r>
      <w:proofErr w:type="spellEnd"/>
      <w:r w:rsidRPr="00A52585">
        <w:rPr>
          <w:rFonts w:hint="cs"/>
          <w:rtl/>
        </w:rPr>
        <w:t xml:space="preserve"> الحنابلة ويصحح عقائدهم وذلك في كتابه القيم - الذي أنصح كل مسلم بقراءته - الباز الأشهب</w:t>
      </w:r>
      <w:r w:rsidR="0002035C" w:rsidRPr="00A52585">
        <w:rPr>
          <w:rFonts w:hint="cs"/>
          <w:rtl/>
        </w:rPr>
        <w:t>:</w:t>
      </w:r>
      <w:r w:rsidRPr="00A52585">
        <w:rPr>
          <w:rFonts w:hint="cs"/>
          <w:rtl/>
        </w:rPr>
        <w:t xml:space="preserve"> </w:t>
      </w:r>
      <w:r w:rsidR="0002035C" w:rsidRPr="00A52585">
        <w:rPr>
          <w:rFonts w:hint="cs"/>
          <w:rtl/>
        </w:rPr>
        <w:lastRenderedPageBreak/>
        <w:t>(</w:t>
      </w:r>
      <w:r w:rsidRPr="00A52585">
        <w:rPr>
          <w:rFonts w:hint="cs"/>
          <w:rtl/>
        </w:rPr>
        <w:t>ومنها قوله تعالي</w:t>
      </w:r>
      <w:r w:rsidR="0002035C" w:rsidRPr="00A52585">
        <w:rPr>
          <w:rFonts w:hint="cs"/>
          <w:rtl/>
        </w:rPr>
        <w:t>:</w:t>
      </w:r>
      <w:r w:rsidRPr="00A52585">
        <w:rPr>
          <w:rFonts w:hint="cs"/>
          <w:rtl/>
        </w:rPr>
        <w:t xml:space="preserve"> {هل ينظرون إلا أن يأتيهم الله في ظلل من الغمام</w:t>
      </w:r>
      <w:r w:rsidR="0002035C" w:rsidRPr="00A52585">
        <w:rPr>
          <w:rFonts w:hint="cs"/>
          <w:rtl/>
        </w:rPr>
        <w:t>}</w:t>
      </w:r>
      <w:r w:rsidRPr="00A52585">
        <w:rPr>
          <w:rFonts w:hint="cs"/>
          <w:rtl/>
        </w:rPr>
        <w:t xml:space="preserve"> أي بظل</w:t>
      </w:r>
      <w:r w:rsidR="00DB731D" w:rsidRPr="00A52585">
        <w:rPr>
          <w:rFonts w:hint="cs"/>
          <w:rtl/>
        </w:rPr>
        <w:t>،</w:t>
      </w:r>
      <w:r w:rsidRPr="00A52585">
        <w:rPr>
          <w:rFonts w:hint="cs"/>
          <w:rtl/>
        </w:rPr>
        <w:t xml:space="preserve"> وكذلك قوله تعالي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وجاء ربك</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قال القاضي أبو يعلي عن أحمد بن حنبل</w:t>
      </w:r>
      <w:r w:rsidRPr="00A52585">
        <w:rPr>
          <w:rFonts w:hint="cs"/>
          <w:rtl/>
          <w:lang w:bidi="ar-KW"/>
        </w:rPr>
        <w:t xml:space="preserve"> [</w:t>
      </w:r>
      <w:r w:rsidRPr="00A52585">
        <w:rPr>
          <w:rFonts w:hint="cs"/>
          <w:rtl/>
        </w:rPr>
        <w:t>روى البيهقي عن الإمام أحمد أنه قال في قوله تعالي (وجاء ربك)جاءت قدرته بسند لا غبار عليه</w:t>
      </w:r>
      <w:r w:rsidRPr="00A52585">
        <w:rPr>
          <w:rFonts w:hint="cs"/>
          <w:rtl/>
          <w:lang w:bidi="ar-KW"/>
        </w:rPr>
        <w:t>]</w:t>
      </w:r>
      <w:r w:rsidRPr="00A52585">
        <w:rPr>
          <w:rFonts w:hint="cs"/>
          <w:rtl/>
        </w:rPr>
        <w:t xml:space="preserve"> أنه قال</w:t>
      </w:r>
      <w:r w:rsidR="0002035C" w:rsidRPr="00A52585">
        <w:rPr>
          <w:rFonts w:hint="cs"/>
          <w:rtl/>
        </w:rPr>
        <w:t>:</w:t>
      </w:r>
      <w:r w:rsidRPr="00A52585">
        <w:rPr>
          <w:rFonts w:hint="cs"/>
          <w:rtl/>
        </w:rPr>
        <w:t xml:space="preserve"> في قوله تعالي " يأتيهم " قال المراد به</w:t>
      </w:r>
      <w:r w:rsidR="0002035C" w:rsidRPr="00A52585">
        <w:rPr>
          <w:rFonts w:hint="cs"/>
          <w:rtl/>
        </w:rPr>
        <w:t>:</w:t>
      </w:r>
      <w:r w:rsidRPr="00A52585">
        <w:rPr>
          <w:rFonts w:hint="cs"/>
          <w:rtl/>
        </w:rPr>
        <w:t xml:space="preserve"> قدرته وأمره</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وقد بينه في قوله تعالي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أو يأتي أمر ربك</w:t>
      </w:r>
      <w:r w:rsidR="0002035C" w:rsidRPr="00A52585">
        <w:rPr>
          <w:rFonts w:hint="cs"/>
          <w:rtl/>
        </w:rPr>
        <w:t>}</w:t>
      </w:r>
      <w:r w:rsidR="00DB731D" w:rsidRPr="00A52585">
        <w:rPr>
          <w:rFonts w:hint="cs"/>
          <w:rtl/>
        </w:rPr>
        <w:t>،</w:t>
      </w:r>
      <w:r w:rsidRPr="00A52585">
        <w:rPr>
          <w:rFonts w:hint="cs"/>
          <w:rtl/>
        </w:rPr>
        <w:t xml:space="preserve"> ومثل هذا في التوراة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وجاء ربك</w:t>
      </w:r>
      <w:r w:rsidR="0002035C" w:rsidRPr="00A52585">
        <w:rPr>
          <w:rFonts w:hint="cs"/>
          <w:rtl/>
        </w:rPr>
        <w:t>}</w:t>
      </w:r>
      <w:r w:rsidRPr="00A52585">
        <w:rPr>
          <w:rFonts w:hint="cs"/>
          <w:rtl/>
        </w:rPr>
        <w:t xml:space="preserve"> قال إنما هو قدرته</w:t>
      </w:r>
      <w:r w:rsidR="00897A24" w:rsidRPr="00A52585">
        <w:rPr>
          <w:rFonts w:hint="cs"/>
          <w:rtl/>
        </w:rPr>
        <w:t>.</w:t>
      </w:r>
      <w:r w:rsidRPr="00A52585">
        <w:rPr>
          <w:rFonts w:hint="cs"/>
          <w:rtl/>
        </w:rPr>
        <w:t xml:space="preserve"> قال بن حامد</w:t>
      </w:r>
      <w:r w:rsidR="0002035C" w:rsidRPr="00A52585">
        <w:rPr>
          <w:rFonts w:hint="cs"/>
          <w:rtl/>
        </w:rPr>
        <w:t>:</w:t>
      </w:r>
      <w:r w:rsidRPr="00A52585">
        <w:rPr>
          <w:rFonts w:hint="cs"/>
          <w:rtl/>
        </w:rPr>
        <w:t xml:space="preserve"> هذا خطأ</w:t>
      </w:r>
      <w:r w:rsidR="00DB731D" w:rsidRPr="00A52585">
        <w:rPr>
          <w:rFonts w:hint="cs"/>
          <w:rtl/>
        </w:rPr>
        <w:t>،</w:t>
      </w:r>
      <w:r w:rsidRPr="00A52585">
        <w:rPr>
          <w:rFonts w:hint="cs"/>
          <w:bCs/>
          <w:rtl/>
        </w:rPr>
        <w:t xml:space="preserve"> إنما ينزل بذاته بانتقال</w:t>
      </w:r>
      <w:r w:rsidR="00897A24" w:rsidRPr="00A52585">
        <w:rPr>
          <w:rFonts w:hint="cs"/>
          <w:bCs/>
          <w:rtl/>
        </w:rPr>
        <w:t>.</w:t>
      </w:r>
      <w:r w:rsidR="00DB731D" w:rsidRPr="00A52585">
        <w:rPr>
          <w:rFonts w:hint="cs"/>
          <w:bCs/>
          <w:rtl/>
        </w:rPr>
        <w:t>،</w:t>
      </w:r>
      <w:r w:rsidRPr="00A52585">
        <w:rPr>
          <w:rFonts w:hint="cs"/>
          <w:bCs/>
          <w:rtl/>
        </w:rPr>
        <w:t xml:space="preserve"> </w:t>
      </w:r>
      <w:r w:rsidR="0002035C" w:rsidRPr="00A52585">
        <w:rPr>
          <w:rFonts w:hint="cs"/>
          <w:bCs/>
          <w:rtl/>
        </w:rPr>
        <w:t>(</w:t>
      </w:r>
      <w:r w:rsidRPr="00A52585">
        <w:rPr>
          <w:rFonts w:hint="cs"/>
          <w:rtl/>
        </w:rPr>
        <w:t>قلت</w:t>
      </w:r>
      <w:r w:rsidR="0002035C" w:rsidRPr="00A52585">
        <w:rPr>
          <w:rFonts w:hint="cs"/>
          <w:rtl/>
        </w:rPr>
        <w:t>):</w:t>
      </w:r>
      <w:r w:rsidRPr="00A52585">
        <w:rPr>
          <w:rFonts w:hint="cs"/>
          <w:rtl/>
        </w:rPr>
        <w:t xml:space="preserve"> وهذا الكلام في ذاته تعالي بمقتضي الحس</w:t>
      </w:r>
      <w:r w:rsidR="00DB731D" w:rsidRPr="00A52585">
        <w:rPr>
          <w:rFonts w:hint="cs"/>
          <w:rtl/>
        </w:rPr>
        <w:t>،</w:t>
      </w:r>
      <w:r w:rsidRPr="00A52585">
        <w:rPr>
          <w:rFonts w:hint="cs"/>
          <w:rtl/>
        </w:rPr>
        <w:t xml:space="preserve"> كما يتكلم في الأجسام</w:t>
      </w:r>
      <w:r w:rsidR="00DB731D" w:rsidRPr="00A52585">
        <w:rPr>
          <w:rFonts w:hint="cs"/>
          <w:rtl/>
        </w:rPr>
        <w:t>،</w:t>
      </w:r>
      <w:r w:rsidRPr="00A52585">
        <w:rPr>
          <w:rFonts w:hint="cs"/>
          <w:rtl/>
        </w:rPr>
        <w:t xml:space="preserve"> قال ابن عقيل في قوله تعالي </w:t>
      </w:r>
      <w:r w:rsidR="0002035C" w:rsidRPr="00A52585">
        <w:rPr>
          <w:rFonts w:hint="cs"/>
          <w:rtl/>
        </w:rPr>
        <w:t>{</w:t>
      </w:r>
      <w:r w:rsidRPr="00A52585">
        <w:rPr>
          <w:rFonts w:hint="cs"/>
          <w:rtl/>
        </w:rPr>
        <w:t>قل الروح من أمر ربي</w:t>
      </w:r>
      <w:r w:rsidR="0002035C" w:rsidRPr="00A52585">
        <w:rPr>
          <w:rFonts w:hint="cs"/>
          <w:rtl/>
        </w:rPr>
        <w:t>}</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من كف خلقه عن السؤال عن مخلوق</w:t>
      </w:r>
      <w:r w:rsidR="00DB731D" w:rsidRPr="00A52585">
        <w:rPr>
          <w:rFonts w:hint="cs"/>
          <w:rtl/>
        </w:rPr>
        <w:t>،</w:t>
      </w:r>
      <w:r w:rsidRPr="00A52585">
        <w:rPr>
          <w:rFonts w:hint="cs"/>
          <w:rtl/>
        </w:rPr>
        <w:t xml:space="preserve"> فكفهم عن الخالق وصفاته أولي</w:t>
      </w:r>
      <w:r w:rsidR="00DB731D" w:rsidRPr="00A52585">
        <w:rPr>
          <w:rFonts w:hint="cs"/>
          <w:rtl/>
        </w:rPr>
        <w:t>،</w:t>
      </w:r>
      <w:r w:rsidRPr="00A52585">
        <w:rPr>
          <w:rFonts w:hint="cs"/>
          <w:rtl/>
        </w:rPr>
        <w:t xml:space="preserve"> و أنشده</w:t>
      </w:r>
      <w:r w:rsidR="0002035C" w:rsidRPr="00A52585">
        <w:rPr>
          <w:rFonts w:hint="cs"/>
          <w:rtl/>
        </w:rPr>
        <w:t>:</w:t>
      </w:r>
      <w:r w:rsidRPr="00A52585">
        <w:rPr>
          <w:rFonts w:hint="cs"/>
          <w:rtl/>
        </w:rPr>
        <w:t xml:space="preserve"> " كيفية النفس ليس المرء يدركها</w:t>
      </w:r>
      <w:r w:rsidR="0002035C" w:rsidRPr="00A52585">
        <w:rPr>
          <w:rFonts w:hint="cs"/>
          <w:rtl/>
        </w:rPr>
        <w:t xml:space="preserve"> </w:t>
      </w:r>
      <w:r w:rsidRPr="00A52585">
        <w:rPr>
          <w:rFonts w:hint="cs"/>
          <w:rtl/>
        </w:rPr>
        <w:t xml:space="preserve">* فكيف كيفية الجبار في القدم " </w:t>
      </w:r>
      <w:r w:rsidR="0002035C" w:rsidRPr="00A52585">
        <w:rPr>
          <w:rFonts w:hint="cs"/>
          <w:rtl/>
        </w:rPr>
        <w:t>[</w:t>
      </w:r>
      <w:r w:rsidRPr="00A52585">
        <w:rPr>
          <w:rFonts w:hint="cs"/>
          <w:rtl/>
        </w:rPr>
        <w:t>الباز الأشهب ص61</w:t>
      </w:r>
      <w:r w:rsidR="0002035C" w:rsidRPr="00A52585">
        <w:rPr>
          <w:rFonts w:hint="cs"/>
          <w:rtl/>
        </w:rPr>
        <w:t>]</w:t>
      </w:r>
      <w:r w:rsidR="00DB731D" w:rsidRPr="00A52585">
        <w:rPr>
          <w:rFonts w:hint="cs"/>
          <w:rtl/>
        </w:rPr>
        <w:t>،</w:t>
      </w:r>
      <w:r w:rsidRPr="00A52585">
        <w:rPr>
          <w:rFonts w:hint="cs"/>
          <w:rtl/>
        </w:rPr>
        <w:t xml:space="preserve"> </w:t>
      </w:r>
    </w:p>
    <w:p w14:paraId="18249EAF" w14:textId="48630723" w:rsidR="00777DCB" w:rsidRPr="00A52585" w:rsidRDefault="00777DCB" w:rsidP="0002035C">
      <w:pPr>
        <w:spacing w:after="240"/>
        <w:rPr>
          <w:rtl/>
        </w:rPr>
      </w:pPr>
      <w:r w:rsidRPr="00A52585">
        <w:rPr>
          <w:rFonts w:hint="cs"/>
          <w:bCs/>
          <w:rtl/>
        </w:rPr>
        <w:t>وقال في نفس الكتاب</w:t>
      </w:r>
      <w:r w:rsidRPr="00A52585">
        <w:rPr>
          <w:rFonts w:hint="cs"/>
          <w:rtl/>
        </w:rPr>
        <w:t xml:space="preserve"> </w:t>
      </w:r>
      <w:r w:rsidR="0002035C" w:rsidRPr="00A52585">
        <w:rPr>
          <w:rFonts w:hint="cs"/>
          <w:rtl/>
        </w:rPr>
        <w:t>[</w:t>
      </w:r>
      <w:r w:rsidRPr="00A52585">
        <w:rPr>
          <w:rFonts w:hint="cs"/>
          <w:rtl/>
        </w:rPr>
        <w:t>ص95-96</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الحديث التاسع عشر</w:t>
      </w:r>
      <w:r w:rsidR="0002035C" w:rsidRPr="00A52585">
        <w:rPr>
          <w:rFonts w:hint="cs"/>
          <w:rtl/>
        </w:rPr>
        <w:t>:</w:t>
      </w:r>
      <w:r w:rsidRPr="00A52585">
        <w:rPr>
          <w:rFonts w:hint="cs"/>
          <w:rtl/>
        </w:rPr>
        <w:t xml:space="preserve"> روى البخاري ومسلم في الصحيحين من حديث أبي هريرة رضي الله عنه عن النبي صلى الله عليه وسلم أنه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كل ليلة إلى السماء الدنيا حتى يبقى ثلث الليل الأخير يقول</w:t>
      </w:r>
      <w:r w:rsidR="0002035C" w:rsidRPr="00A52585">
        <w:rPr>
          <w:rFonts w:hint="cs"/>
          <w:rtl/>
        </w:rPr>
        <w:t xml:space="preserve">: </w:t>
      </w:r>
      <w:r w:rsidRPr="00A52585">
        <w:rPr>
          <w:rFonts w:hint="cs"/>
          <w:rtl/>
        </w:rPr>
        <w:t>من يدعوني فأستجيب 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وقد روى حديث النزول عشرون صحابيا</w:t>
      </w:r>
      <w:r w:rsidR="00DB731D" w:rsidRPr="00A52585">
        <w:rPr>
          <w:rFonts w:hint="cs"/>
          <w:rtl/>
        </w:rPr>
        <w:t>،</w:t>
      </w:r>
      <w:r w:rsidRPr="00A52585">
        <w:rPr>
          <w:rFonts w:hint="cs"/>
          <w:rtl/>
        </w:rPr>
        <w:t xml:space="preserve"> وقد سبق القول </w:t>
      </w:r>
      <w:proofErr w:type="gramStart"/>
      <w:r w:rsidRPr="00A52585">
        <w:rPr>
          <w:rFonts w:hint="cs"/>
          <w:rtl/>
        </w:rPr>
        <w:t>أنه</w:t>
      </w:r>
      <w:proofErr w:type="gramEnd"/>
      <w:r w:rsidRPr="00A52585">
        <w:rPr>
          <w:rFonts w:hint="cs"/>
          <w:rtl/>
        </w:rPr>
        <w:t xml:space="preserve"> يستحيل على الله عز وجل الحركة والنقلة والتغيير</w:t>
      </w:r>
      <w:r w:rsidR="00DB731D" w:rsidRPr="00A52585">
        <w:rPr>
          <w:rFonts w:hint="cs"/>
          <w:rtl/>
        </w:rPr>
        <w:t>،</w:t>
      </w:r>
      <w:r w:rsidRPr="00A52585">
        <w:rPr>
          <w:rFonts w:hint="cs"/>
          <w:rtl/>
        </w:rPr>
        <w:t xml:space="preserve"> فيبقى الناس رجلين أحدهما المتأول له بمعنى</w:t>
      </w:r>
      <w:r w:rsidR="0002035C" w:rsidRPr="00A52585">
        <w:rPr>
          <w:rFonts w:hint="cs"/>
          <w:rtl/>
        </w:rPr>
        <w:t>:</w:t>
      </w:r>
      <w:r w:rsidRPr="00A52585">
        <w:rPr>
          <w:rFonts w:hint="cs"/>
          <w:rtl/>
        </w:rPr>
        <w:t xml:space="preserve"> أنه يقرب رحمته</w:t>
      </w:r>
      <w:r w:rsidR="00897A24" w:rsidRPr="00A52585">
        <w:rPr>
          <w:rFonts w:hint="cs"/>
          <w:rtl/>
        </w:rPr>
        <w:t>.</w:t>
      </w:r>
      <w:r w:rsidRPr="00A52585">
        <w:rPr>
          <w:rFonts w:hint="cs"/>
          <w:rtl/>
        </w:rPr>
        <w:t xml:space="preserve"> وقد ذكر أشباء بالنزول فقال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وأنزلنا الحديد فيه بأس شديد</w:t>
      </w:r>
      <w:r w:rsidR="0002035C" w:rsidRPr="00A52585">
        <w:rPr>
          <w:rFonts w:hint="cs"/>
          <w:rtl/>
        </w:rPr>
        <w:t>}</w:t>
      </w:r>
      <w:r w:rsidR="00DB731D" w:rsidRPr="00A52585">
        <w:rPr>
          <w:rFonts w:hint="cs"/>
          <w:rtl/>
        </w:rPr>
        <w:t>،</w:t>
      </w:r>
      <w:r w:rsidRPr="00A52585">
        <w:rPr>
          <w:rFonts w:hint="cs"/>
          <w:rtl/>
        </w:rPr>
        <w:t xml:space="preserve"> وإن كان معدنه</w:t>
      </w:r>
      <w:r w:rsidR="0002035C" w:rsidRPr="00A52585">
        <w:rPr>
          <w:rFonts w:hint="cs"/>
          <w:rtl/>
        </w:rPr>
        <w:t xml:space="preserve"> </w:t>
      </w:r>
      <w:r w:rsidRPr="00A52585">
        <w:rPr>
          <w:rFonts w:hint="cs"/>
          <w:rtl/>
        </w:rPr>
        <w:t xml:space="preserve">بالأرض وقال </w:t>
      </w:r>
      <w:r w:rsidR="0002035C" w:rsidRPr="00A52585">
        <w:rPr>
          <w:rFonts w:hint="cs"/>
          <w:rtl/>
        </w:rPr>
        <w:t>{</w:t>
      </w:r>
      <w:r w:rsidRPr="00A52585">
        <w:rPr>
          <w:rFonts w:hint="cs"/>
          <w:rtl/>
        </w:rPr>
        <w:t>وأنزلنا لكم من الأنعام ثمانية أزواج</w:t>
      </w:r>
      <w:r w:rsidR="0002035C" w:rsidRPr="00A52585">
        <w:rPr>
          <w:rFonts w:hint="cs"/>
          <w:rtl/>
        </w:rPr>
        <w:t>}</w:t>
      </w:r>
      <w:r w:rsidR="00DB731D" w:rsidRPr="00A52585">
        <w:rPr>
          <w:rFonts w:hint="cs"/>
          <w:rtl/>
        </w:rPr>
        <w:t>،</w:t>
      </w:r>
      <w:r w:rsidRPr="00A52585">
        <w:rPr>
          <w:rFonts w:hint="cs"/>
          <w:rtl/>
        </w:rPr>
        <w:t xml:space="preserve"> ومن لم يعرف كيف نزول الجمل كيف يتكلم في تفصيل هذه </w:t>
      </w:r>
      <w:proofErr w:type="gramStart"/>
      <w:r w:rsidRPr="00A52585">
        <w:rPr>
          <w:rFonts w:hint="cs"/>
          <w:rtl/>
        </w:rPr>
        <w:t>الجمل</w:t>
      </w:r>
      <w:r w:rsidR="00897A24" w:rsidRPr="00A52585">
        <w:rPr>
          <w:rFonts w:hint="cs"/>
          <w:rtl/>
        </w:rPr>
        <w:t>.</w:t>
      </w:r>
      <w:r w:rsidRPr="00A52585">
        <w:rPr>
          <w:rFonts w:hint="cs"/>
          <w:rtl/>
        </w:rPr>
        <w:t>.؟</w:t>
      </w:r>
      <w:proofErr w:type="gramEnd"/>
      <w:r w:rsidR="0002035C" w:rsidRPr="00A52585">
        <w:rPr>
          <w:rFonts w:hint="cs"/>
          <w:rtl/>
        </w:rPr>
        <w:t xml:space="preserve"> </w:t>
      </w:r>
      <w:proofErr w:type="gramStart"/>
      <w:r w:rsidRPr="00A52585">
        <w:rPr>
          <w:rFonts w:hint="cs"/>
          <w:rtl/>
        </w:rPr>
        <w:t>و الثاني</w:t>
      </w:r>
      <w:proofErr w:type="gramEnd"/>
      <w:r w:rsidR="0002035C" w:rsidRPr="00A52585">
        <w:rPr>
          <w:rFonts w:hint="cs"/>
          <w:rtl/>
        </w:rPr>
        <w:t>:</w:t>
      </w:r>
      <w:r w:rsidRPr="00A52585">
        <w:rPr>
          <w:rFonts w:hint="cs"/>
          <w:rtl/>
        </w:rPr>
        <w:t xml:space="preserve"> الساكت عن الكلام في ذلك</w:t>
      </w:r>
      <w:r w:rsidR="00897A24" w:rsidRPr="00A52585">
        <w:rPr>
          <w:rFonts w:hint="cs"/>
          <w:rtl/>
        </w:rPr>
        <w:t>.</w:t>
      </w:r>
      <w:r w:rsidRPr="00A52585">
        <w:rPr>
          <w:rFonts w:hint="cs"/>
          <w:rtl/>
        </w:rPr>
        <w:t xml:space="preserve"> </w:t>
      </w:r>
      <w:r w:rsidR="0002035C" w:rsidRPr="00A52585">
        <w:rPr>
          <w:rFonts w:hint="cs"/>
          <w:rtl/>
        </w:rPr>
        <w:t>(</w:t>
      </w:r>
      <w:r w:rsidRPr="00A52585">
        <w:rPr>
          <w:rFonts w:hint="cs"/>
          <w:rtl/>
        </w:rPr>
        <w:t xml:space="preserve">روي أبو </w:t>
      </w:r>
      <w:proofErr w:type="gramStart"/>
      <w:r w:rsidRPr="00A52585">
        <w:rPr>
          <w:rFonts w:hint="cs"/>
          <w:rtl/>
        </w:rPr>
        <w:t>عيسي</w:t>
      </w:r>
      <w:proofErr w:type="gramEnd"/>
      <w:r w:rsidRPr="00A52585">
        <w:rPr>
          <w:rFonts w:hint="cs"/>
          <w:rtl/>
        </w:rPr>
        <w:t xml:space="preserve"> الترمذي عن مالك بن أنس وسفيان بن عيينة وابن المبارك انهم قالوا</w:t>
      </w:r>
      <w:r w:rsidR="0002035C" w:rsidRPr="00A52585">
        <w:rPr>
          <w:rFonts w:hint="cs"/>
          <w:rtl/>
        </w:rPr>
        <w:t>:</w:t>
      </w:r>
      <w:r w:rsidRPr="00A52585">
        <w:rPr>
          <w:rFonts w:hint="cs"/>
          <w:rtl/>
        </w:rPr>
        <w:t xml:space="preserve"> أمروا هذه الأحاديث بلا كيف قلت</w:t>
      </w:r>
      <w:r w:rsidR="0002035C" w:rsidRPr="00A52585">
        <w:rPr>
          <w:rFonts w:hint="cs"/>
          <w:rtl/>
        </w:rPr>
        <w:t>:</w:t>
      </w:r>
      <w:r w:rsidRPr="00A52585">
        <w:rPr>
          <w:rFonts w:hint="cs"/>
          <w:rtl/>
        </w:rPr>
        <w:t xml:space="preserve"> وواجب علي الخلق اعتقاد التنزيه وامتناع تجويز النقلة</w:t>
      </w:r>
      <w:r w:rsidR="00DB731D" w:rsidRPr="00A52585">
        <w:rPr>
          <w:rFonts w:hint="cs"/>
          <w:rtl/>
        </w:rPr>
        <w:t>،</w:t>
      </w:r>
      <w:r w:rsidRPr="00A52585">
        <w:rPr>
          <w:rFonts w:hint="cs"/>
          <w:rtl/>
        </w:rPr>
        <w:t xml:space="preserve"> وأن النزول الذي هو انتقال من مكان إلي مكان </w:t>
      </w:r>
      <w:proofErr w:type="spellStart"/>
      <w:r w:rsidRPr="00A52585">
        <w:rPr>
          <w:rFonts w:hint="cs"/>
          <w:rtl/>
        </w:rPr>
        <w:t>يقتقر</w:t>
      </w:r>
      <w:proofErr w:type="spellEnd"/>
      <w:r w:rsidRPr="00A52585">
        <w:rPr>
          <w:rFonts w:hint="cs"/>
          <w:rtl/>
        </w:rPr>
        <w:t xml:space="preserve"> إلي ثلاثة أجسام</w:t>
      </w:r>
      <w:r w:rsidR="0002035C" w:rsidRPr="00A52585">
        <w:rPr>
          <w:rFonts w:hint="cs"/>
          <w:rtl/>
        </w:rPr>
        <w:t>:</w:t>
      </w:r>
      <w:r w:rsidRPr="00A52585">
        <w:rPr>
          <w:rFonts w:hint="cs"/>
          <w:rtl/>
        </w:rPr>
        <w:t xml:space="preserve"> جسم عالي</w:t>
      </w:r>
      <w:r w:rsidR="00DB731D" w:rsidRPr="00A52585">
        <w:rPr>
          <w:rFonts w:hint="cs"/>
          <w:rtl/>
        </w:rPr>
        <w:t>،</w:t>
      </w:r>
      <w:r w:rsidRPr="00A52585">
        <w:rPr>
          <w:rFonts w:hint="cs"/>
          <w:rtl/>
        </w:rPr>
        <w:t xml:space="preserve"> وهو مكان الساكن</w:t>
      </w:r>
      <w:r w:rsidR="00DB731D" w:rsidRPr="00A52585">
        <w:rPr>
          <w:rFonts w:hint="cs"/>
          <w:rtl/>
        </w:rPr>
        <w:t>،</w:t>
      </w:r>
      <w:r w:rsidRPr="00A52585">
        <w:rPr>
          <w:rFonts w:hint="cs"/>
          <w:rtl/>
        </w:rPr>
        <w:t xml:space="preserve"> وجسم سافل</w:t>
      </w:r>
      <w:r w:rsidR="00DB731D" w:rsidRPr="00A52585">
        <w:rPr>
          <w:rFonts w:hint="cs"/>
          <w:rtl/>
        </w:rPr>
        <w:t>،</w:t>
      </w:r>
      <w:r w:rsidRPr="00A52585">
        <w:rPr>
          <w:rFonts w:hint="cs"/>
          <w:rtl/>
        </w:rPr>
        <w:t xml:space="preserve"> وجسم ينتقل من علو إلي أسفل</w:t>
      </w:r>
      <w:r w:rsidR="00DB731D" w:rsidRPr="00A52585">
        <w:rPr>
          <w:rFonts w:hint="cs"/>
          <w:rtl/>
        </w:rPr>
        <w:t>،</w:t>
      </w:r>
      <w:r w:rsidRPr="00A52585">
        <w:rPr>
          <w:rFonts w:hint="cs"/>
          <w:rtl/>
        </w:rPr>
        <w:t xml:space="preserve"> وهذا لا يجوز علي الله تعالي قطعا</w:t>
      </w:r>
      <w:r w:rsidR="00897A24" w:rsidRPr="00A52585">
        <w:rPr>
          <w:rFonts w:hint="cs"/>
          <w:rtl/>
        </w:rPr>
        <w:t>.</w:t>
      </w:r>
      <w:r w:rsidRPr="00A52585">
        <w:rPr>
          <w:rFonts w:hint="cs"/>
          <w:rtl/>
        </w:rPr>
        <w:t xml:space="preserve"> </w:t>
      </w:r>
      <w:r w:rsidR="0002035C" w:rsidRPr="00A52585">
        <w:rPr>
          <w:rFonts w:hint="cs"/>
          <w:rtl/>
        </w:rPr>
        <w:t>(</w:t>
      </w:r>
      <w:r w:rsidRPr="00A52585">
        <w:rPr>
          <w:rFonts w:hint="cs"/>
          <w:rtl/>
        </w:rPr>
        <w:t>فإن قال العامي</w:t>
      </w:r>
      <w:r w:rsidR="0002035C" w:rsidRPr="00A52585">
        <w:rPr>
          <w:rFonts w:hint="cs"/>
          <w:rtl/>
        </w:rPr>
        <w:t>:</w:t>
      </w:r>
      <w:r w:rsidRPr="00A52585">
        <w:rPr>
          <w:rFonts w:hint="cs"/>
          <w:rtl/>
        </w:rPr>
        <w:t xml:space="preserve"> فما الذي أراد بالنزول</w:t>
      </w:r>
      <w:r w:rsidR="00F95886" w:rsidRPr="00A52585">
        <w:rPr>
          <w:rFonts w:hint="cs"/>
          <w:rtl/>
        </w:rPr>
        <w:t>؟</w:t>
      </w:r>
      <w:r w:rsidRPr="00A52585">
        <w:rPr>
          <w:rFonts w:hint="cs"/>
          <w:rtl/>
        </w:rPr>
        <w:t xml:space="preserve"> قيل</w:t>
      </w:r>
      <w:r w:rsidR="0002035C" w:rsidRPr="00A52585">
        <w:rPr>
          <w:rFonts w:hint="cs"/>
          <w:rtl/>
        </w:rPr>
        <w:t>:</w:t>
      </w:r>
      <w:r w:rsidRPr="00A52585">
        <w:rPr>
          <w:rFonts w:hint="cs"/>
          <w:rtl/>
        </w:rPr>
        <w:t xml:space="preserve"> أراد به معني يليق بجلاله لا يلزمك التفتيش عنه</w:t>
      </w:r>
      <w:r w:rsidR="00DB731D" w:rsidRPr="00A52585">
        <w:rPr>
          <w:rFonts w:hint="cs"/>
          <w:rtl/>
        </w:rPr>
        <w:t>،</w:t>
      </w:r>
      <w:r w:rsidRPr="00A52585">
        <w:rPr>
          <w:rFonts w:hint="cs"/>
          <w:rtl/>
        </w:rPr>
        <w:t xml:space="preserve"> فإن قال</w:t>
      </w:r>
      <w:r w:rsidR="0002035C" w:rsidRPr="00A52585">
        <w:rPr>
          <w:rFonts w:hint="cs"/>
          <w:rtl/>
        </w:rPr>
        <w:t>:</w:t>
      </w:r>
      <w:r w:rsidRPr="00A52585">
        <w:rPr>
          <w:rFonts w:hint="cs"/>
          <w:rtl/>
        </w:rPr>
        <w:t xml:space="preserve"> كيف حدث بما لا أفهمه؟ قلنا</w:t>
      </w:r>
      <w:r w:rsidR="0002035C" w:rsidRPr="00A52585">
        <w:rPr>
          <w:rFonts w:hint="cs"/>
          <w:rtl/>
        </w:rPr>
        <w:t>:</w:t>
      </w:r>
      <w:r w:rsidRPr="00A52585">
        <w:rPr>
          <w:rFonts w:hint="cs"/>
          <w:rtl/>
        </w:rPr>
        <w:t xml:space="preserve"> قد علمت أن النازل إليك قريب منك</w:t>
      </w:r>
      <w:r w:rsidR="00DB731D" w:rsidRPr="00A52585">
        <w:rPr>
          <w:rFonts w:hint="cs"/>
          <w:rtl/>
        </w:rPr>
        <w:t>،</w:t>
      </w:r>
      <w:r w:rsidRPr="00A52585">
        <w:rPr>
          <w:rFonts w:hint="cs"/>
          <w:rtl/>
        </w:rPr>
        <w:t xml:space="preserve"> فاقنع بالقرب ولا تظنه كقرب الأجسام</w:t>
      </w:r>
      <w:r w:rsidR="00DB731D" w:rsidRPr="00A52585">
        <w:rPr>
          <w:rFonts w:hint="cs"/>
          <w:rtl/>
        </w:rPr>
        <w:t>،</w:t>
      </w:r>
      <w:r w:rsidRPr="00A52585">
        <w:rPr>
          <w:rFonts w:hint="cs"/>
          <w:rtl/>
        </w:rPr>
        <w:t xml:space="preserve"> قال ابن حامد</w:t>
      </w:r>
      <w:r w:rsidR="0002035C" w:rsidRPr="00A52585">
        <w:rPr>
          <w:rFonts w:hint="cs"/>
          <w:rtl/>
        </w:rPr>
        <w:t>:</w:t>
      </w:r>
      <w:r w:rsidRPr="00A52585">
        <w:rPr>
          <w:rFonts w:hint="cs"/>
          <w:rtl/>
        </w:rPr>
        <w:t xml:space="preserve"> هو </w:t>
      </w:r>
      <w:proofErr w:type="gramStart"/>
      <w:r w:rsidRPr="00A52585">
        <w:rPr>
          <w:rFonts w:hint="cs"/>
          <w:rtl/>
        </w:rPr>
        <w:t>علي</w:t>
      </w:r>
      <w:proofErr w:type="gramEnd"/>
      <w:r w:rsidRPr="00A52585">
        <w:rPr>
          <w:rFonts w:hint="cs"/>
          <w:rtl/>
        </w:rPr>
        <w:t xml:space="preserve"> العرش بذاته</w:t>
      </w:r>
      <w:r w:rsidR="00DB731D" w:rsidRPr="00A52585">
        <w:rPr>
          <w:rFonts w:hint="cs"/>
          <w:rtl/>
        </w:rPr>
        <w:t>،</w:t>
      </w:r>
      <w:r w:rsidRPr="00A52585">
        <w:rPr>
          <w:rFonts w:hint="cs"/>
          <w:rtl/>
        </w:rPr>
        <w:t xml:space="preserve"> مماس له</w:t>
      </w:r>
      <w:r w:rsidR="00DB731D" w:rsidRPr="00A52585">
        <w:rPr>
          <w:rFonts w:hint="cs"/>
          <w:rtl/>
        </w:rPr>
        <w:t>،</w:t>
      </w:r>
      <w:r w:rsidRPr="00A52585">
        <w:rPr>
          <w:rFonts w:hint="cs"/>
          <w:rtl/>
        </w:rPr>
        <w:t xml:space="preserve"> وينزل من مكانه الذي هو فيه فيزول وينتقل</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وهذا رجل لا يعرف ما يجوز علي الله تعالي</w:t>
      </w:r>
      <w:r w:rsidR="00DB731D" w:rsidRPr="00A52585">
        <w:rPr>
          <w:rFonts w:hint="cs"/>
          <w:rtl/>
        </w:rPr>
        <w:t>،</w:t>
      </w:r>
      <w:r w:rsidRPr="00A52585">
        <w:rPr>
          <w:rFonts w:hint="cs"/>
          <w:rtl/>
        </w:rPr>
        <w:t xml:space="preserve"> وقال القاضي</w:t>
      </w:r>
      <w:r w:rsidR="0002035C" w:rsidRPr="00A52585">
        <w:rPr>
          <w:rFonts w:hint="cs"/>
          <w:rtl/>
        </w:rPr>
        <w:t>:</w:t>
      </w:r>
      <w:r w:rsidRPr="00A52585">
        <w:rPr>
          <w:rFonts w:hint="cs"/>
          <w:rtl/>
        </w:rPr>
        <w:t xml:space="preserve"> النزول صفة ذاتية</w:t>
      </w:r>
      <w:r w:rsidR="00DB731D" w:rsidRPr="00A52585">
        <w:rPr>
          <w:rFonts w:hint="cs"/>
          <w:rtl/>
        </w:rPr>
        <w:t>،</w:t>
      </w:r>
      <w:r w:rsidRPr="00A52585">
        <w:rPr>
          <w:rFonts w:hint="cs"/>
          <w:rtl/>
        </w:rPr>
        <w:t xml:space="preserve"> ولا نقول نزوله انتقال</w:t>
      </w:r>
      <w:r w:rsidR="00897A24"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وهذا مغالطة</w:t>
      </w:r>
      <w:r w:rsidR="00DB731D" w:rsidRPr="00A52585">
        <w:rPr>
          <w:rFonts w:hint="cs"/>
          <w:rtl/>
        </w:rPr>
        <w:t>،</w:t>
      </w:r>
      <w:r w:rsidRPr="00A52585">
        <w:rPr>
          <w:rFonts w:hint="cs"/>
          <w:rtl/>
        </w:rPr>
        <w:t xml:space="preserve"> ومنهم من قال</w:t>
      </w:r>
      <w:r w:rsidR="0002035C" w:rsidRPr="00A52585">
        <w:rPr>
          <w:rFonts w:hint="cs"/>
          <w:rtl/>
        </w:rPr>
        <w:t>:</w:t>
      </w:r>
      <w:r w:rsidRPr="00A52585">
        <w:rPr>
          <w:rFonts w:hint="cs"/>
          <w:rtl/>
        </w:rPr>
        <w:t xml:space="preserve"> يتحرك إذا نزل</w:t>
      </w:r>
      <w:r w:rsidR="00DB731D" w:rsidRPr="00A52585">
        <w:rPr>
          <w:rFonts w:hint="cs"/>
          <w:rtl/>
        </w:rPr>
        <w:t>،</w:t>
      </w:r>
      <w:r w:rsidRPr="00A52585">
        <w:rPr>
          <w:rFonts w:hint="cs"/>
          <w:rtl/>
        </w:rPr>
        <w:t xml:space="preserve"> ولا يدري أن الحركة لا تجوز </w:t>
      </w:r>
      <w:proofErr w:type="gramStart"/>
      <w:r w:rsidRPr="00A52585">
        <w:rPr>
          <w:rFonts w:hint="cs"/>
          <w:rtl/>
        </w:rPr>
        <w:t>علي</w:t>
      </w:r>
      <w:proofErr w:type="gramEnd"/>
      <w:r w:rsidRPr="00A52585">
        <w:rPr>
          <w:rFonts w:hint="cs"/>
          <w:rtl/>
        </w:rPr>
        <w:t xml:space="preserve"> الخالق</w:t>
      </w:r>
      <w:r w:rsidR="00DB731D" w:rsidRPr="00A52585">
        <w:rPr>
          <w:rFonts w:hint="cs"/>
          <w:rtl/>
        </w:rPr>
        <w:t>،</w:t>
      </w:r>
      <w:r w:rsidRPr="00A52585">
        <w:rPr>
          <w:rFonts w:hint="cs"/>
          <w:rtl/>
        </w:rPr>
        <w:t xml:space="preserve"> وقد حكوا عن </w:t>
      </w:r>
      <w:r w:rsidRPr="00A52585">
        <w:rPr>
          <w:rFonts w:hint="cs"/>
          <w:rtl/>
        </w:rPr>
        <w:lastRenderedPageBreak/>
        <w:t>أحمد ذلك وهو كذب عليه</w:t>
      </w:r>
      <w:r w:rsidR="00897A24" w:rsidRPr="00A52585">
        <w:rPr>
          <w:rFonts w:hint="cs"/>
          <w:rtl/>
        </w:rPr>
        <w:t>.</w:t>
      </w:r>
      <w:r w:rsidRPr="00A52585">
        <w:rPr>
          <w:rFonts w:hint="cs"/>
          <w:rtl/>
        </w:rPr>
        <w:t xml:space="preserve"> ولو كان النزول صفة لذاته</w:t>
      </w:r>
      <w:r w:rsidR="00DB731D" w:rsidRPr="00A52585">
        <w:rPr>
          <w:rFonts w:hint="cs"/>
          <w:rtl/>
        </w:rPr>
        <w:t>،</w:t>
      </w:r>
      <w:r w:rsidRPr="00A52585">
        <w:rPr>
          <w:rFonts w:hint="cs"/>
          <w:rtl/>
        </w:rPr>
        <w:t xml:space="preserve"> لكانت صفاته كل ليلة تتجدد وصفاته قديمة</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الباز الأشهب ص95-96</w:t>
      </w:r>
      <w:r w:rsidR="0002035C" w:rsidRPr="00A52585">
        <w:rPr>
          <w:rFonts w:hint="cs"/>
          <w:rtl/>
        </w:rPr>
        <w:t>]</w:t>
      </w:r>
      <w:r w:rsidR="00DB731D" w:rsidRPr="00A52585">
        <w:rPr>
          <w:rFonts w:hint="cs"/>
          <w:rtl/>
        </w:rPr>
        <w:t>،</w:t>
      </w:r>
      <w:r w:rsidRPr="00A52585">
        <w:rPr>
          <w:rFonts w:hint="cs"/>
          <w:rtl/>
        </w:rPr>
        <w:t xml:space="preserve"> </w:t>
      </w:r>
    </w:p>
    <w:p w14:paraId="4FE86A21" w14:textId="5732265D" w:rsidR="00777DCB" w:rsidRPr="00A52585" w:rsidRDefault="00777DCB" w:rsidP="0002035C">
      <w:pPr>
        <w:spacing w:after="240"/>
        <w:rPr>
          <w:rtl/>
        </w:rPr>
      </w:pPr>
      <w:r w:rsidRPr="00A52585">
        <w:rPr>
          <w:rFonts w:hint="cs"/>
          <w:snapToGrid w:val="0"/>
          <w:rtl/>
        </w:rPr>
        <w:t>‏</w:t>
      </w:r>
      <w:r w:rsidRPr="00A52585">
        <w:rPr>
          <w:rFonts w:hint="cs"/>
          <w:bCs/>
          <w:snapToGrid w:val="0"/>
          <w:rtl/>
        </w:rPr>
        <w:t>وقال الإمام القرطبي في كتابه الجامع لأحكام القرآن</w:t>
      </w:r>
      <w:r w:rsidR="0002035C" w:rsidRPr="00A52585">
        <w:rPr>
          <w:rFonts w:hint="cs"/>
          <w:snapToGrid w:val="0"/>
          <w:rtl/>
        </w:rPr>
        <w:t>:</w:t>
      </w:r>
      <w:r w:rsidRPr="00A52585">
        <w:rPr>
          <w:rFonts w:hint="cs"/>
          <w:snapToGrid w:val="0"/>
          <w:rtl/>
        </w:rPr>
        <w:t xml:space="preserve"> </w:t>
      </w:r>
      <w:r w:rsidR="0002035C" w:rsidRPr="00A52585">
        <w:rPr>
          <w:rFonts w:hint="cs"/>
          <w:snapToGrid w:val="0"/>
          <w:rtl/>
        </w:rPr>
        <w:t>(</w:t>
      </w:r>
      <w:r w:rsidRPr="00A52585">
        <w:rPr>
          <w:rFonts w:hint="cs"/>
          <w:rtl/>
        </w:rPr>
        <w:t>قال القاضي</w:t>
      </w:r>
      <w:r w:rsidRPr="00A52585">
        <w:rPr>
          <w:rFonts w:hint="cs"/>
        </w:rPr>
        <w:t xml:space="preserve"> </w:t>
      </w:r>
      <w:r w:rsidRPr="00A52585">
        <w:rPr>
          <w:rFonts w:hint="cs"/>
          <w:rtl/>
        </w:rPr>
        <w:t>عياض</w:t>
      </w:r>
      <w:r w:rsidR="0002035C" w:rsidRPr="00A52585">
        <w:rPr>
          <w:rFonts w:hint="cs"/>
          <w:rtl/>
        </w:rPr>
        <w:t xml:space="preserve"> </w:t>
      </w:r>
      <w:proofErr w:type="spellStart"/>
      <w:r w:rsidRPr="00A52585">
        <w:rPr>
          <w:rFonts w:hint="cs"/>
          <w:rtl/>
        </w:rPr>
        <w:t>إعلم</w:t>
      </w:r>
      <w:proofErr w:type="spellEnd"/>
      <w:r w:rsidRPr="00A52585">
        <w:rPr>
          <w:rFonts w:hint="cs"/>
        </w:rPr>
        <w:t xml:space="preserve"> </w:t>
      </w:r>
      <w:r w:rsidRPr="00A52585">
        <w:rPr>
          <w:rFonts w:hint="cs"/>
          <w:rtl/>
        </w:rPr>
        <w:t>أن الله ما وقع من إضافة</w:t>
      </w:r>
      <w:r w:rsidRPr="00A52585">
        <w:rPr>
          <w:rFonts w:hint="cs"/>
        </w:rPr>
        <w:t xml:space="preserve"> </w:t>
      </w:r>
      <w:r w:rsidRPr="00A52585">
        <w:rPr>
          <w:rFonts w:hint="cs"/>
          <w:rtl/>
        </w:rPr>
        <w:t>الدنو والقرب من الله أو إلى الله فليس بدنو مكان ولا قرب مدى وإنما دنو النبي</w:t>
      </w:r>
      <w:r w:rsidRPr="00A52585">
        <w:rPr>
          <w:rFonts w:hint="cs"/>
        </w:rPr>
        <w:t xml:space="preserve"> </w:t>
      </w:r>
      <w:r w:rsidRPr="00A52585">
        <w:rPr>
          <w:rFonts w:hint="cs"/>
          <w:rtl/>
        </w:rPr>
        <w:t>ص من ربه لقربه منه</w:t>
      </w:r>
      <w:r w:rsidR="0002035C" w:rsidRPr="00A52585">
        <w:rPr>
          <w:rFonts w:hint="cs"/>
          <w:rtl/>
        </w:rPr>
        <w:t xml:space="preserve"> </w:t>
      </w:r>
      <w:proofErr w:type="spellStart"/>
      <w:r w:rsidRPr="00A52585">
        <w:rPr>
          <w:rFonts w:hint="cs"/>
          <w:rtl/>
        </w:rPr>
        <w:t>إبناه</w:t>
      </w:r>
      <w:proofErr w:type="spellEnd"/>
      <w:r w:rsidRPr="00A52585">
        <w:rPr>
          <w:rFonts w:hint="cs"/>
        </w:rPr>
        <w:t xml:space="preserve"> </w:t>
      </w:r>
      <w:r w:rsidRPr="00A52585">
        <w:rPr>
          <w:rFonts w:hint="cs"/>
          <w:rtl/>
        </w:rPr>
        <w:t>عظيم منزلته</w:t>
      </w:r>
      <w:r w:rsidRPr="00A52585">
        <w:rPr>
          <w:rFonts w:hint="cs"/>
        </w:rPr>
        <w:t xml:space="preserve"> </w:t>
      </w:r>
      <w:r w:rsidRPr="00A52585">
        <w:rPr>
          <w:rFonts w:hint="cs"/>
          <w:rtl/>
        </w:rPr>
        <w:t>وتشريف رتبته وإشراق أنوار معرفته ومشاهدة أسرار غيبته وقدرته من الله تعالى له</w:t>
      </w:r>
      <w:r w:rsidR="0002035C" w:rsidRPr="00A52585">
        <w:rPr>
          <w:rFonts w:hint="cs"/>
          <w:rtl/>
        </w:rPr>
        <w:t xml:space="preserve"> </w:t>
      </w:r>
      <w:r w:rsidRPr="00A52585">
        <w:rPr>
          <w:rFonts w:hint="cs"/>
          <w:rtl/>
        </w:rPr>
        <w:t>مبرة</w:t>
      </w:r>
      <w:r w:rsidRPr="00A52585">
        <w:rPr>
          <w:rFonts w:hint="cs"/>
        </w:rPr>
        <w:t xml:space="preserve"> </w:t>
      </w:r>
      <w:r w:rsidRPr="00A52585">
        <w:rPr>
          <w:rFonts w:hint="cs"/>
          <w:rtl/>
        </w:rPr>
        <w:t xml:space="preserve">وتأنيس وبسط وإكرام </w:t>
      </w:r>
      <w:r w:rsidRPr="00A52585">
        <w:rPr>
          <w:rFonts w:hint="cs"/>
          <w:bCs/>
          <w:rtl/>
        </w:rPr>
        <w:t>ويتأول في قوله</w:t>
      </w:r>
      <w:r w:rsidRPr="00A52585">
        <w:rPr>
          <w:rFonts w:hint="cs"/>
          <w:bCs/>
        </w:rPr>
        <w:t xml:space="preserve"> </w:t>
      </w:r>
      <w:r w:rsidRPr="00A52585">
        <w:rPr>
          <w:rFonts w:hint="cs"/>
          <w:bCs/>
          <w:rtl/>
        </w:rPr>
        <w:t>عليه السلام</w:t>
      </w:r>
      <w:r w:rsidR="0002035C" w:rsidRPr="00A52585">
        <w:rPr>
          <w:rFonts w:hint="cs"/>
          <w:bCs/>
          <w:rtl/>
        </w:rPr>
        <w:t xml:space="preserve"> </w:t>
      </w:r>
      <w:r w:rsidRPr="00A52585">
        <w:rPr>
          <w:rFonts w:hint="cs"/>
          <w:bCs/>
          <w:rtl/>
        </w:rPr>
        <w:t>ينزل</w:t>
      </w:r>
      <w:r w:rsidRPr="00A52585">
        <w:rPr>
          <w:rFonts w:hint="cs"/>
          <w:bCs/>
        </w:rPr>
        <w:t xml:space="preserve"> </w:t>
      </w:r>
      <w:r w:rsidRPr="00A52585">
        <w:rPr>
          <w:rFonts w:hint="cs"/>
          <w:bCs/>
          <w:rtl/>
        </w:rPr>
        <w:t>ربنا إلى السماء الدنيا</w:t>
      </w:r>
      <w:r w:rsidRPr="00A52585">
        <w:rPr>
          <w:rFonts w:hint="cs"/>
          <w:bCs/>
        </w:rPr>
        <w:t xml:space="preserve"> </w:t>
      </w:r>
      <w:r w:rsidRPr="00A52585">
        <w:rPr>
          <w:rFonts w:hint="cs"/>
          <w:bCs/>
          <w:rtl/>
        </w:rPr>
        <w:t>على أحد الوجوه</w:t>
      </w:r>
      <w:r w:rsidR="0002035C" w:rsidRPr="00A52585">
        <w:rPr>
          <w:rFonts w:hint="cs"/>
          <w:bCs/>
          <w:rtl/>
        </w:rPr>
        <w:t xml:space="preserve"> </w:t>
      </w:r>
      <w:r w:rsidRPr="00A52585">
        <w:rPr>
          <w:rFonts w:hint="cs"/>
          <w:bCs/>
          <w:rtl/>
        </w:rPr>
        <w:t>نزول</w:t>
      </w:r>
      <w:r w:rsidRPr="00A52585">
        <w:rPr>
          <w:rFonts w:hint="cs"/>
          <w:bCs/>
        </w:rPr>
        <w:t xml:space="preserve"> </w:t>
      </w:r>
      <w:r w:rsidRPr="00A52585">
        <w:rPr>
          <w:rFonts w:hint="cs"/>
          <w:bCs/>
          <w:rtl/>
        </w:rPr>
        <w:t>إجمال وقبول وإحسان</w:t>
      </w:r>
      <w:r w:rsidR="0002035C" w:rsidRPr="00A52585">
        <w:rPr>
          <w:rFonts w:hint="cs"/>
          <w:rtl/>
        </w:rPr>
        <w:t>)</w:t>
      </w:r>
      <w:r w:rsidRPr="00A52585">
        <w:rPr>
          <w:rFonts w:hint="cs"/>
          <w:rtl/>
        </w:rPr>
        <w:t xml:space="preserve"> أهـ [تفسير القرطبي ج: 17 ص: 90</w:t>
      </w:r>
      <w:r w:rsidR="0002035C" w:rsidRPr="00A52585">
        <w:rPr>
          <w:rFonts w:hint="cs"/>
          <w:rtl/>
        </w:rPr>
        <w:t>]</w:t>
      </w:r>
      <w:r w:rsidR="00DB731D" w:rsidRPr="00A52585">
        <w:rPr>
          <w:rFonts w:hint="cs"/>
          <w:rtl/>
        </w:rPr>
        <w:t>،</w:t>
      </w:r>
      <w:r w:rsidRPr="00A52585">
        <w:rPr>
          <w:rFonts w:hint="cs"/>
          <w:rtl/>
        </w:rPr>
        <w:t xml:space="preserve"> </w:t>
      </w:r>
    </w:p>
    <w:p w14:paraId="223C4390" w14:textId="0B17E5A5" w:rsidR="00777DCB" w:rsidRPr="00A52585" w:rsidRDefault="00777DCB" w:rsidP="0002035C">
      <w:pPr>
        <w:spacing w:after="240"/>
        <w:rPr>
          <w:rtl/>
        </w:rPr>
      </w:pPr>
      <w:r w:rsidRPr="00A52585">
        <w:rPr>
          <w:rFonts w:hint="cs"/>
          <w:bCs/>
          <w:snapToGrid w:val="0"/>
          <w:rtl/>
        </w:rPr>
        <w:t xml:space="preserve">وجاء في </w:t>
      </w:r>
      <w:r w:rsidRPr="00A52585">
        <w:rPr>
          <w:rFonts w:hint="cs"/>
          <w:bCs/>
          <w:rtl/>
        </w:rPr>
        <w:t>الفواكه الدواني</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من الصفات ما يصح أن يوصف به الخالق والمخلوق</w:t>
      </w:r>
      <w:r w:rsidRPr="00A52585">
        <w:rPr>
          <w:rFonts w:hint="cs"/>
        </w:rPr>
        <w:t xml:space="preserve"> </w:t>
      </w:r>
      <w:r w:rsidRPr="00A52585">
        <w:rPr>
          <w:rFonts w:hint="cs"/>
          <w:rtl/>
        </w:rPr>
        <w:t>على وجه الحقيقة كالعلم بوحدانية الله تعالى فالله نعلم أنه واحد والعبد الموحد</w:t>
      </w:r>
      <w:r w:rsidRPr="00A52585">
        <w:rPr>
          <w:rFonts w:hint="cs"/>
        </w:rPr>
        <w:t xml:space="preserve"> </w:t>
      </w:r>
      <w:r w:rsidRPr="00A52585">
        <w:rPr>
          <w:rFonts w:hint="cs"/>
          <w:rtl/>
        </w:rPr>
        <w:t>أيضا يعلم ذلك بطريق الحقيقة فيهما وكالعلم بحرارة النار وإن كان علم الله قديما</w:t>
      </w:r>
      <w:r w:rsidRPr="00A52585">
        <w:rPr>
          <w:rFonts w:hint="cs"/>
        </w:rPr>
        <w:t xml:space="preserve"> </w:t>
      </w:r>
      <w:r w:rsidRPr="00A52585">
        <w:rPr>
          <w:rFonts w:hint="cs"/>
          <w:rtl/>
        </w:rPr>
        <w:t>وعلم العبد حادثا ومنها ما يوصف به تعالى حقيقة والعبد مجازا كالمعطي والرازق</w:t>
      </w:r>
      <w:r w:rsidRPr="00A52585">
        <w:rPr>
          <w:rFonts w:hint="cs"/>
        </w:rPr>
        <w:t xml:space="preserve"> </w:t>
      </w:r>
      <w:r w:rsidRPr="00A52585">
        <w:rPr>
          <w:rFonts w:hint="cs"/>
          <w:rtl/>
        </w:rPr>
        <w:t>فإن العبد إذا أعطى غيره شيئا يقال له معط مجازا لحصول صورة العطاء منه كما</w:t>
      </w:r>
      <w:r w:rsidRPr="00A52585">
        <w:rPr>
          <w:rFonts w:hint="cs"/>
        </w:rPr>
        <w:t xml:space="preserve"> </w:t>
      </w:r>
      <w:r w:rsidRPr="00A52585">
        <w:rPr>
          <w:rFonts w:hint="cs"/>
          <w:rtl/>
        </w:rPr>
        <w:t>يقال لصورة الفرس فرس ومن ثم أجات بعض المفسرين عن خير الرازقين وأحسن الخالقين</w:t>
      </w:r>
      <w:r w:rsidRPr="00A52585">
        <w:rPr>
          <w:rFonts w:hint="cs"/>
        </w:rPr>
        <w:t xml:space="preserve"> </w:t>
      </w:r>
      <w:r w:rsidRPr="00A52585">
        <w:rPr>
          <w:rFonts w:hint="cs"/>
          <w:rtl/>
        </w:rPr>
        <w:t>مع أنه لا رازق ولا خلق إلا هو سبحانه وتعالى بأن الرازق يطلق على الله حقيقة</w:t>
      </w:r>
      <w:r w:rsidRPr="00A52585">
        <w:rPr>
          <w:rFonts w:hint="cs"/>
        </w:rPr>
        <w:t xml:space="preserve"> </w:t>
      </w:r>
      <w:r w:rsidRPr="00A52585">
        <w:rPr>
          <w:rFonts w:hint="cs"/>
          <w:rtl/>
        </w:rPr>
        <w:t>وعلى المخلوق مجازا أو أن المراد خير من تزعمونهم رازقين ويجري نحو هذين الجوابيين</w:t>
      </w:r>
      <w:r w:rsidRPr="00A52585">
        <w:rPr>
          <w:rFonts w:hint="cs"/>
        </w:rPr>
        <w:t xml:space="preserve"> </w:t>
      </w:r>
      <w:r w:rsidRPr="00A52585">
        <w:rPr>
          <w:rFonts w:hint="cs"/>
          <w:rtl/>
        </w:rPr>
        <w:t>في أحسن الخالقين ومنها ما يوصف به الباري بطريق الحقيقة ولا يوصف به المخلوق</w:t>
      </w:r>
      <w:r w:rsidRPr="00A52585">
        <w:rPr>
          <w:rFonts w:hint="cs"/>
        </w:rPr>
        <w:t xml:space="preserve"> </w:t>
      </w:r>
      <w:r w:rsidRPr="00A52585">
        <w:rPr>
          <w:rFonts w:hint="cs"/>
          <w:rtl/>
        </w:rPr>
        <w:t>لا حقيقة ولا مجازا كالأزلي ومنها ما يوصف به العبد حقيقة ويوصف به الباري مجازا</w:t>
      </w:r>
      <w:r w:rsidRPr="00A52585">
        <w:rPr>
          <w:rFonts w:hint="cs"/>
        </w:rPr>
        <w:t xml:space="preserve"> </w:t>
      </w:r>
      <w:r w:rsidRPr="00A52585">
        <w:rPr>
          <w:rFonts w:hint="cs"/>
          <w:rtl/>
        </w:rPr>
        <w:t>كالاستواء والنزول والمعية والفوقية</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الفواكه الدواني ج: 1 ص: 48</w:t>
      </w:r>
      <w:r w:rsidR="0002035C" w:rsidRPr="00A52585">
        <w:rPr>
          <w:rFonts w:hint="cs"/>
          <w:rtl/>
        </w:rPr>
        <w:t>]</w:t>
      </w:r>
      <w:r w:rsidR="00DB731D" w:rsidRPr="00A52585">
        <w:rPr>
          <w:rFonts w:hint="cs"/>
          <w:rtl/>
        </w:rPr>
        <w:t>،</w:t>
      </w:r>
      <w:r w:rsidRPr="00A52585">
        <w:rPr>
          <w:rFonts w:hint="cs"/>
          <w:rtl/>
        </w:rPr>
        <w:t xml:space="preserve"> </w:t>
      </w:r>
    </w:p>
    <w:p w14:paraId="7CF8C167" w14:textId="4449051E" w:rsidR="00777DCB" w:rsidRPr="00A52585" w:rsidRDefault="00777DCB" w:rsidP="0002035C">
      <w:pPr>
        <w:spacing w:after="240"/>
        <w:rPr>
          <w:bCs/>
          <w:rtl/>
        </w:rPr>
      </w:pPr>
      <w:r w:rsidRPr="00A52585">
        <w:rPr>
          <w:rFonts w:hint="cs"/>
          <w:bCs/>
          <w:rtl/>
        </w:rPr>
        <w:t>وقال القاضي ابن جماعة في كتابه القيم إيضاح الدليل في قطع حجج أهل التعطيل</w:t>
      </w:r>
      <w:r w:rsidRPr="00A52585">
        <w:rPr>
          <w:rFonts w:hint="cs"/>
          <w:rtl/>
        </w:rPr>
        <w:t xml:space="preserve"> - وهو يرد على اشكالات </w:t>
      </w:r>
      <w:proofErr w:type="spellStart"/>
      <w:r w:rsidRPr="00A52585">
        <w:rPr>
          <w:rFonts w:hint="cs"/>
          <w:rtl/>
        </w:rPr>
        <w:t>الحشوية</w:t>
      </w:r>
      <w:proofErr w:type="spellEnd"/>
      <w:r w:rsidR="0002035C" w:rsidRPr="00A52585">
        <w:rPr>
          <w:rFonts w:hint="cs"/>
          <w:rtl/>
        </w:rPr>
        <w:t>:</w:t>
      </w:r>
      <w:r w:rsidRPr="00A52585">
        <w:rPr>
          <w:rFonts w:hint="cs"/>
          <w:rtl/>
        </w:rPr>
        <w:t xml:space="preserve"> </w:t>
      </w:r>
      <w:r w:rsidR="0002035C" w:rsidRPr="00A52585">
        <w:rPr>
          <w:rFonts w:hint="cs"/>
          <w:rtl/>
        </w:rPr>
        <w:t>(</w:t>
      </w:r>
      <w:r w:rsidRPr="00A52585">
        <w:rPr>
          <w:rFonts w:hint="cs"/>
          <w:bCs/>
          <w:rtl/>
        </w:rPr>
        <w:t>الحديث الرابع</w:t>
      </w:r>
      <w:r w:rsidR="0002035C" w:rsidRPr="00A52585">
        <w:rPr>
          <w:rFonts w:hint="cs"/>
          <w:bCs/>
          <w:rtl/>
        </w:rPr>
        <w:t>:</w:t>
      </w:r>
      <w:r w:rsidRPr="00A52585">
        <w:rPr>
          <w:rFonts w:hint="cs"/>
          <w:bCs/>
          <w:rtl/>
        </w:rPr>
        <w:t xml:space="preserve"> </w:t>
      </w:r>
      <w:r w:rsidRPr="00A52585">
        <w:rPr>
          <w:rFonts w:hint="cs"/>
          <w:rtl/>
        </w:rPr>
        <w:t>عن ابي هريرة عن النبي صلى الله عليه وسلم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02035C" w:rsidRPr="00A52585">
        <w:rPr>
          <w:rFonts w:hint="cs"/>
          <w:rtl/>
        </w:rPr>
        <w:t>)</w:t>
      </w:r>
      <w:r w:rsidRPr="00A52585">
        <w:rPr>
          <w:rFonts w:hint="cs"/>
          <w:rtl/>
        </w:rPr>
        <w:t xml:space="preserve">) </w:t>
      </w:r>
      <w:r w:rsidRPr="00A52585">
        <w:rPr>
          <w:rFonts w:hint="cs"/>
          <w:bCs/>
          <w:rtl/>
        </w:rPr>
        <w:t>اعلم أن النزول الذي هو الانتقال من علو إلى سفل لا يجوز حمل الحديث عليه لوجوه</w:t>
      </w:r>
      <w:r w:rsidR="0002035C" w:rsidRPr="00A52585">
        <w:rPr>
          <w:rFonts w:hint="cs"/>
          <w:rtl/>
        </w:rPr>
        <w:t>:</w:t>
      </w:r>
      <w:r w:rsidRPr="00A52585">
        <w:rPr>
          <w:rFonts w:hint="cs"/>
          <w:rtl/>
        </w:rPr>
        <w:t xml:space="preserve"> </w:t>
      </w:r>
      <w:r w:rsidR="0002035C" w:rsidRPr="00A52585">
        <w:rPr>
          <w:rFonts w:hint="cs"/>
          <w:bCs/>
          <w:rtl/>
        </w:rPr>
        <w:t>(</w:t>
      </w:r>
      <w:r w:rsidRPr="00A52585">
        <w:rPr>
          <w:rFonts w:hint="cs"/>
          <w:bCs/>
          <w:rtl/>
        </w:rPr>
        <w:t>الأول</w:t>
      </w:r>
      <w:r w:rsidR="0002035C" w:rsidRPr="00A52585">
        <w:rPr>
          <w:rFonts w:hint="cs"/>
          <w:bCs/>
          <w:rtl/>
        </w:rPr>
        <w:t>)</w:t>
      </w:r>
      <w:r w:rsidR="0002035C" w:rsidRPr="00A52585">
        <w:rPr>
          <w:rFonts w:hint="cs"/>
          <w:rtl/>
        </w:rPr>
        <w:t>:</w:t>
      </w:r>
      <w:r w:rsidRPr="00A52585">
        <w:rPr>
          <w:rFonts w:hint="cs"/>
          <w:rtl/>
        </w:rPr>
        <w:t xml:space="preserve"> النزول من صفات الأجسام والمحدثات ويحتاج إلى ثلاثة أجسام منتقل ومنتقل عنه ومنتقل إليه وذلك على الله تعالى محال</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الثاني</w:t>
      </w:r>
      <w:r w:rsidR="0002035C" w:rsidRPr="00A52585">
        <w:rPr>
          <w:rFonts w:hint="cs"/>
          <w:bCs/>
          <w:rtl/>
        </w:rPr>
        <w:t>)</w:t>
      </w:r>
      <w:r w:rsidR="0002035C" w:rsidRPr="00A52585">
        <w:rPr>
          <w:rFonts w:hint="cs"/>
          <w:rtl/>
        </w:rPr>
        <w:t>:</w:t>
      </w:r>
      <w:r w:rsidRPr="00A52585">
        <w:rPr>
          <w:rFonts w:hint="cs"/>
          <w:rtl/>
        </w:rPr>
        <w:t xml:space="preserve"> لو كان النزول لذاته حقيقة لتجددت له في كل يوم وليلة حركات عديدة تستوعب الليل كله وتنقلات كثيرة لأن </w:t>
      </w:r>
      <w:r w:rsidRPr="00A52585">
        <w:rPr>
          <w:rFonts w:hint="cs"/>
          <w:rtl/>
        </w:rPr>
        <w:lastRenderedPageBreak/>
        <w:t xml:space="preserve">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Pr="00A52585">
        <w:rPr>
          <w:rFonts w:hint="cs"/>
          <w:rtl/>
        </w:rPr>
        <w:t>ذولب</w:t>
      </w:r>
      <w:proofErr w:type="spellEnd"/>
      <w:r w:rsidRPr="00A52585">
        <w:rPr>
          <w:rFonts w:hint="cs"/>
          <w:rtl/>
        </w:rPr>
        <w:t xml:space="preserve"> وتحصيل</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ا</w:t>
      </w:r>
      <w:r w:rsidRPr="00A52585">
        <w:rPr>
          <w:rFonts w:hint="cs"/>
          <w:bCs/>
          <w:rtl/>
        </w:rPr>
        <w:t>لثالث</w:t>
      </w:r>
      <w:r w:rsidR="0002035C" w:rsidRPr="00A52585">
        <w:rPr>
          <w:rFonts w:hint="cs"/>
          <w:rtl/>
        </w:rPr>
        <w:t xml:space="preserve">): </w:t>
      </w:r>
      <w:r w:rsidRPr="00A52585">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الرابع</w:t>
      </w:r>
      <w:r w:rsidR="0002035C" w:rsidRPr="00A52585">
        <w:rPr>
          <w:rFonts w:hint="cs"/>
          <w:bCs/>
          <w:rtl/>
        </w:rPr>
        <w:t>)</w:t>
      </w:r>
      <w:r w:rsidRPr="00A52585">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DB731D" w:rsidRPr="00A52585">
        <w:rPr>
          <w:rFonts w:hint="cs"/>
          <w:rtl/>
        </w:rPr>
        <w:t>،</w:t>
      </w:r>
      <w:r w:rsidRPr="00A52585">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DB731D" w:rsidRPr="00A52585">
        <w:rPr>
          <w:rFonts w:hint="cs"/>
          <w:rtl/>
        </w:rPr>
        <w:t>،</w:t>
      </w:r>
      <w:r w:rsidRPr="00A52585">
        <w:rPr>
          <w:rFonts w:hint="cs"/>
          <w:rtl/>
        </w:rPr>
        <w:t xml:space="preserve"> </w:t>
      </w:r>
      <w:r w:rsidRPr="00A52585">
        <w:rPr>
          <w:rFonts w:hint="cs"/>
          <w:bCs/>
          <w:rtl/>
        </w:rPr>
        <w:t>قال الأوزاعي وقد سئل عن ذلك فقال يفعل الله ما يشاء</w:t>
      </w:r>
      <w:r w:rsidR="0002035C" w:rsidRPr="00A52585">
        <w:rPr>
          <w:rFonts w:hint="cs"/>
          <w:bCs/>
          <w:rtl/>
        </w:rPr>
        <w:t>)</w:t>
      </w:r>
      <w:r w:rsidRPr="00A52585">
        <w:rPr>
          <w:rFonts w:hint="cs"/>
          <w:bCs/>
          <w:rtl/>
        </w:rPr>
        <w:t xml:space="preserve"> أهـ </w:t>
      </w:r>
      <w:r w:rsidR="0002035C" w:rsidRPr="00A52585">
        <w:rPr>
          <w:rFonts w:hint="cs"/>
          <w:bCs/>
          <w:rtl/>
        </w:rPr>
        <w:t>[</w:t>
      </w:r>
      <w:r w:rsidRPr="00A52585">
        <w:rPr>
          <w:rFonts w:hint="cs"/>
          <w:rtl/>
        </w:rPr>
        <w:t>إيضاح الدليل في قطع حجج أهل التعطيل ج: 1 ص: 163</w:t>
      </w:r>
      <w:r w:rsidR="0002035C" w:rsidRPr="00A52585">
        <w:rPr>
          <w:rFonts w:hint="cs"/>
          <w:rtl/>
        </w:rPr>
        <w:t>]</w:t>
      </w:r>
      <w:r w:rsidR="00DB731D" w:rsidRPr="00A52585">
        <w:rPr>
          <w:rFonts w:hint="cs"/>
          <w:rtl/>
        </w:rPr>
        <w:t>،</w:t>
      </w:r>
      <w:r w:rsidRPr="00A52585">
        <w:rPr>
          <w:rFonts w:hint="cs"/>
          <w:rtl/>
        </w:rPr>
        <w:t xml:space="preserve"> </w:t>
      </w:r>
    </w:p>
    <w:p w14:paraId="6E20814E" w14:textId="55F96DB7" w:rsidR="00777DCB" w:rsidRPr="00A52585" w:rsidRDefault="00777DCB" w:rsidP="0002035C">
      <w:pPr>
        <w:spacing w:after="240"/>
      </w:pPr>
      <w:r w:rsidRPr="00A52585">
        <w:rPr>
          <w:rFonts w:hint="cs"/>
          <w:bCs/>
          <w:rtl/>
        </w:rPr>
        <w:t>وقال العلامة عبد الباقي بن عبد القادر</w:t>
      </w:r>
      <w:r w:rsidRPr="00A52585">
        <w:rPr>
          <w:rFonts w:hint="cs"/>
          <w:rtl/>
        </w:rPr>
        <w:t xml:space="preserve"> - في درة من كلامه - في كتابه العين والأثر في عقائد أهل الأثر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فصل</w:t>
      </w:r>
      <w:r w:rsidR="0002035C" w:rsidRPr="00A52585">
        <w:rPr>
          <w:rFonts w:hint="cs"/>
          <w:rtl/>
        </w:rPr>
        <w:t>:</w:t>
      </w:r>
      <w:r w:rsidRPr="00A52585">
        <w:rPr>
          <w:rFonts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DB731D" w:rsidRPr="00A52585">
        <w:rPr>
          <w:rFonts w:hint="cs"/>
          <w:rtl/>
        </w:rPr>
        <w:t>،</w:t>
      </w:r>
      <w:r w:rsidRPr="00A52585">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02035C" w:rsidRPr="00A52585">
        <w:rPr>
          <w:rFonts w:hint="cs"/>
          <w:rtl/>
        </w:rPr>
        <w:t xml:space="preserve"> </w:t>
      </w:r>
      <w:r w:rsidRPr="00A52585">
        <w:rPr>
          <w:rFonts w:hint="cs"/>
          <w:rtl/>
        </w:rPr>
        <w:t>وعلى كل حال مهما خطر بالبال أو توهمه الخيال فهو بخلاف ذي الإكرام والجلال</w:t>
      </w:r>
      <w:r w:rsidR="00DB731D" w:rsidRPr="00A52585">
        <w:rPr>
          <w:rFonts w:hint="cs"/>
          <w:rtl/>
        </w:rPr>
        <w:t>،</w:t>
      </w:r>
      <w:r w:rsidRPr="00A52585">
        <w:rPr>
          <w:rFonts w:hint="cs"/>
          <w:rtl/>
        </w:rPr>
        <w:t xml:space="preserve"> فيحرم تأويل ما يتعلق به تعالى وتفسيره كآية الاستواء</w:t>
      </w:r>
      <w:r w:rsidR="00DB731D" w:rsidRPr="00A52585">
        <w:rPr>
          <w:rFonts w:hint="cs"/>
          <w:rtl/>
        </w:rPr>
        <w:t>،</w:t>
      </w:r>
      <w:r w:rsidRPr="00A52585">
        <w:rPr>
          <w:rFonts w:hint="cs"/>
          <w:rtl/>
        </w:rPr>
        <w:t xml:space="preserve"> وحديث النزول</w:t>
      </w:r>
      <w:r w:rsidRPr="00A52585">
        <w:rPr>
          <w:rFonts w:hint="cs"/>
        </w:rPr>
        <w:t xml:space="preserve"> </w:t>
      </w:r>
      <w:r w:rsidRPr="00A52585">
        <w:rPr>
          <w:rFonts w:hint="cs"/>
          <w:rtl/>
        </w:rPr>
        <w:t>وغير ذلك من آيات الصفات إلا بصادر عن النبي أو بعض الصحابة وهذا مذهب السلف</w:t>
      </w:r>
      <w:r w:rsidRPr="00A52585">
        <w:rPr>
          <w:rFonts w:hint="cs"/>
        </w:rPr>
        <w:t xml:space="preserve"> </w:t>
      </w:r>
      <w:r w:rsidRPr="00A52585">
        <w:rPr>
          <w:rFonts w:hint="cs"/>
          <w:rtl/>
        </w:rPr>
        <w:t>قاطبة</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عقائد أهل الأثر ج: 1 ص: 34</w:t>
      </w:r>
      <w:r w:rsidR="00DB731D" w:rsidRPr="00A52585">
        <w:rPr>
          <w:rFonts w:hint="cs"/>
          <w:rtl/>
        </w:rPr>
        <w:t>،</w:t>
      </w:r>
      <w:r w:rsidRPr="00A52585">
        <w:rPr>
          <w:rFonts w:hint="cs"/>
          <w:rtl/>
        </w:rPr>
        <w:t xml:space="preserve"> 36</w:t>
      </w:r>
      <w:r w:rsidR="0002035C" w:rsidRPr="00A52585">
        <w:rPr>
          <w:rFonts w:hint="cs"/>
          <w:rtl/>
        </w:rPr>
        <w:t>]</w:t>
      </w:r>
      <w:r w:rsidR="00DB731D" w:rsidRPr="00A52585">
        <w:rPr>
          <w:rFonts w:hint="cs"/>
          <w:rtl/>
        </w:rPr>
        <w:t>،</w:t>
      </w:r>
      <w:r w:rsidRPr="00A52585">
        <w:rPr>
          <w:rFonts w:hint="cs"/>
          <w:rtl/>
        </w:rPr>
        <w:t xml:space="preserve"> </w:t>
      </w:r>
      <w:r w:rsidRPr="00A52585">
        <w:rPr>
          <w:rFonts w:hint="cs"/>
          <w:bCs/>
          <w:rtl/>
        </w:rPr>
        <w:t>وقال رحمه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DB731D" w:rsidRPr="00A52585">
        <w:rPr>
          <w:rFonts w:hint="cs"/>
          <w:rtl/>
        </w:rPr>
        <w:t>،</w:t>
      </w:r>
      <w:r w:rsidRPr="00A52585">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DB731D" w:rsidRPr="00A52585">
        <w:rPr>
          <w:rFonts w:hint="cs"/>
          <w:rtl/>
        </w:rPr>
        <w:t>،</w:t>
      </w:r>
      <w:r w:rsidRPr="00A52585">
        <w:rPr>
          <w:rFonts w:hint="cs"/>
          <w:rtl/>
        </w:rPr>
        <w:t xml:space="preserve"> ويكلون علمه</w:t>
      </w:r>
      <w:r w:rsidRPr="00A52585">
        <w:rPr>
          <w:rFonts w:hint="cs"/>
        </w:rPr>
        <w:t xml:space="preserve"> </w:t>
      </w:r>
      <w:r w:rsidRPr="00A52585">
        <w:rPr>
          <w:rFonts w:hint="cs"/>
          <w:rtl/>
        </w:rPr>
        <w:t>إلى الله تعالى</w:t>
      </w:r>
      <w:r w:rsidR="0002035C" w:rsidRPr="00A52585">
        <w:rPr>
          <w:rFonts w:hint="cs"/>
          <w:rtl/>
        </w:rPr>
        <w:t xml:space="preserve"> </w:t>
      </w:r>
      <w:r w:rsidRPr="00A52585">
        <w:rPr>
          <w:rFonts w:hint="cs"/>
          <w:rtl/>
        </w:rPr>
        <w:t>وكذلك</w:t>
      </w:r>
      <w:r w:rsidRPr="00A52585">
        <w:rPr>
          <w:rFonts w:hint="cs"/>
        </w:rPr>
        <w:t xml:space="preserve"> </w:t>
      </w:r>
      <w:r w:rsidRPr="00A52585">
        <w:rPr>
          <w:rFonts w:hint="cs"/>
          <w:rtl/>
        </w:rPr>
        <w:t>ما أنزل الله</w:t>
      </w:r>
      <w:r w:rsidRPr="00A52585">
        <w:rPr>
          <w:rFonts w:hint="cs"/>
        </w:rPr>
        <w:t xml:space="preserve"> </w:t>
      </w:r>
      <w:r w:rsidRPr="00A52585">
        <w:rPr>
          <w:rFonts w:hint="cs"/>
          <w:rtl/>
        </w:rPr>
        <w:t>عز اسمه في كتابه من ذكر المجيء والإتيان المذكورين في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وجاء</w:t>
      </w:r>
      <w:r w:rsidRPr="00A52585">
        <w:rPr>
          <w:rFonts w:hint="cs"/>
        </w:rPr>
        <w:t xml:space="preserve"> </w:t>
      </w:r>
      <w:r w:rsidRPr="00A52585">
        <w:rPr>
          <w:rFonts w:hint="cs"/>
          <w:rtl/>
        </w:rPr>
        <w:t>ربك والملك</w:t>
      </w:r>
      <w:r w:rsidR="0002035C" w:rsidRPr="00A52585">
        <w:rPr>
          <w:rFonts w:hint="cs"/>
          <w:rtl/>
        </w:rPr>
        <w:t>}</w:t>
      </w:r>
      <w:r w:rsidRPr="00A52585">
        <w:rPr>
          <w:rFonts w:hint="cs"/>
          <w:rtl/>
        </w:rPr>
        <w:t xml:space="preserve"> الآية</w:t>
      </w:r>
      <w:r w:rsidR="00DB731D" w:rsidRPr="00A52585">
        <w:rPr>
          <w:rFonts w:hint="cs"/>
          <w:rtl/>
        </w:rPr>
        <w:t>،</w:t>
      </w:r>
      <w:r w:rsidRPr="00A52585">
        <w:rPr>
          <w:rFonts w:hint="cs"/>
        </w:rPr>
        <w:t xml:space="preserve"> </w:t>
      </w:r>
      <w:r w:rsidRPr="00A52585">
        <w:rPr>
          <w:rFonts w:hint="cs"/>
          <w:rtl/>
        </w:rPr>
        <w:t>وفي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ينظرون</w:t>
      </w:r>
      <w:r w:rsidRPr="00A52585">
        <w:rPr>
          <w:rFonts w:hint="cs"/>
        </w:rPr>
        <w:t xml:space="preserve"> </w:t>
      </w:r>
      <w:r w:rsidRPr="00A52585">
        <w:rPr>
          <w:rFonts w:hint="cs"/>
          <w:rtl/>
        </w:rPr>
        <w:t>إلا أن يأتيهم الله في ظلل من الغمام</w:t>
      </w:r>
      <w:r w:rsidR="0002035C" w:rsidRPr="00A52585">
        <w:rPr>
          <w:rFonts w:hint="cs"/>
          <w:rtl/>
        </w:rPr>
        <w:t xml:space="preserve">} </w:t>
      </w:r>
      <w:r w:rsidRPr="00A52585">
        <w:rPr>
          <w:rFonts w:hint="cs"/>
          <w:rtl/>
        </w:rPr>
        <w:t>الآية</w:t>
      </w:r>
      <w:r w:rsidR="00DB731D" w:rsidRPr="00A52585">
        <w:rPr>
          <w:rFonts w:hint="cs"/>
          <w:rtl/>
        </w:rPr>
        <w:t>،</w:t>
      </w:r>
      <w:r w:rsidRPr="00A52585">
        <w:rPr>
          <w:rFonts w:hint="cs"/>
          <w:rtl/>
        </w:rPr>
        <w:t xml:space="preserve"> ونؤمن</w:t>
      </w:r>
      <w:r w:rsidRPr="00A52585">
        <w:rPr>
          <w:rFonts w:hint="cs"/>
        </w:rPr>
        <w:t xml:space="preserve"> </w:t>
      </w:r>
      <w:r w:rsidRPr="00A52585">
        <w:rPr>
          <w:rFonts w:hint="cs"/>
          <w:rtl/>
        </w:rPr>
        <w:t xml:space="preserve">بذلك بلا كيف فلو شاء </w:t>
      </w:r>
      <w:r w:rsidRPr="00A52585">
        <w:rPr>
          <w:rFonts w:hint="cs"/>
          <w:rtl/>
        </w:rPr>
        <w:lastRenderedPageBreak/>
        <w:t>سبحانه أن يبين لنا كيفية ذلك فعل فانتهينا إلى ما</w:t>
      </w:r>
      <w:r w:rsidRPr="00A52585">
        <w:rPr>
          <w:rFonts w:hint="cs"/>
        </w:rPr>
        <w:t xml:space="preserve"> </w:t>
      </w:r>
      <w:r w:rsidRPr="00A52585">
        <w:rPr>
          <w:rFonts w:hint="cs"/>
          <w:rtl/>
        </w:rPr>
        <w:t>أحكمه وكففنا عن الذي يتشابه</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العين والأثر في عقائد أهل الأثر ج: 1 ص: 60</w:t>
      </w:r>
      <w:r w:rsidR="0002035C" w:rsidRPr="00A52585">
        <w:rPr>
          <w:rFonts w:hint="cs"/>
          <w:rtl/>
        </w:rPr>
        <w:t>]</w:t>
      </w:r>
      <w:r w:rsidR="00DB731D" w:rsidRPr="00A52585">
        <w:rPr>
          <w:rFonts w:hint="cs"/>
          <w:rtl/>
        </w:rPr>
        <w:t>،</w:t>
      </w:r>
      <w:r w:rsidR="0002035C" w:rsidRPr="00A52585">
        <w:rPr>
          <w:rFonts w:hint="cs"/>
          <w:rtl/>
        </w:rPr>
        <w:t xml:space="preserve"> </w:t>
      </w:r>
    </w:p>
    <w:p w14:paraId="700D74F6" w14:textId="43D89091" w:rsidR="00777DCB" w:rsidRPr="00A52585" w:rsidRDefault="00777DCB" w:rsidP="0002035C">
      <w:pPr>
        <w:spacing w:after="240"/>
        <w:rPr>
          <w:rtl/>
        </w:rPr>
      </w:pPr>
      <w:r w:rsidRPr="00A52585">
        <w:rPr>
          <w:rFonts w:hint="cs"/>
          <w:bCs/>
          <w:rtl/>
        </w:rPr>
        <w:t>وقال العلامة الكوثري</w:t>
      </w:r>
      <w:r w:rsidRPr="00A52585">
        <w:rPr>
          <w:rFonts w:hint="cs"/>
          <w:rtl/>
        </w:rPr>
        <w:t xml:space="preserve"> - وهو يرد علي </w:t>
      </w:r>
      <w:proofErr w:type="spellStart"/>
      <w:r w:rsidRPr="00A52585">
        <w:rPr>
          <w:rFonts w:hint="cs"/>
          <w:rtl/>
        </w:rPr>
        <w:t>إستدلال</w:t>
      </w:r>
      <w:proofErr w:type="spellEnd"/>
      <w:r w:rsidRPr="00A52585">
        <w:rPr>
          <w:rFonts w:hint="cs"/>
          <w:rtl/>
        </w:rPr>
        <w:t xml:space="preserve"> البعض على العلو الحسي بحديث النزول -</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قاتل الله الجهل</w:t>
      </w:r>
      <w:r w:rsidR="00DB731D" w:rsidRPr="00A52585">
        <w:rPr>
          <w:rFonts w:hint="cs"/>
          <w:rtl/>
        </w:rPr>
        <w:t>،</w:t>
      </w:r>
      <w:r w:rsidRPr="00A52585">
        <w:rPr>
          <w:rFonts w:hint="cs"/>
          <w:rtl/>
        </w:rPr>
        <w:t xml:space="preserve"> ما أفتكه</w:t>
      </w:r>
      <w:r w:rsidR="00DB731D" w:rsidRPr="00A52585">
        <w:rPr>
          <w:rFonts w:hint="cs"/>
          <w:rtl/>
        </w:rPr>
        <w:t>،</w:t>
      </w:r>
      <w:r w:rsidRPr="00A52585">
        <w:rPr>
          <w:rFonts w:hint="cs"/>
        </w:rPr>
        <w:t xml:space="preserve"> </w:t>
      </w:r>
      <w:r w:rsidRPr="00A52585">
        <w:rPr>
          <w:rFonts w:hint="cs"/>
          <w:rtl/>
        </w:rPr>
        <w:t>فمن الذي يجهل استمرار الثلث الأخير من الليل في البلاد باختلاف المطالع حتى يحمل</w:t>
      </w:r>
      <w:r w:rsidRPr="00A52585">
        <w:rPr>
          <w:rFonts w:hint="cs"/>
        </w:rPr>
        <w:t xml:space="preserve"> </w:t>
      </w:r>
      <w:r w:rsidRPr="00A52585">
        <w:rPr>
          <w:rFonts w:hint="cs"/>
          <w:rtl/>
        </w:rPr>
        <w:t>النـزول إلى السماء الدنيا على النـزول الحسي</w:t>
      </w:r>
      <w:r w:rsidR="00DB731D" w:rsidRPr="00A52585">
        <w:rPr>
          <w:rFonts w:hint="cs"/>
          <w:rtl/>
        </w:rPr>
        <w:t>،</w:t>
      </w:r>
      <w:r w:rsidRPr="00A52585">
        <w:rPr>
          <w:rFonts w:hint="cs"/>
          <w:rtl/>
        </w:rPr>
        <w:t xml:space="preserve"> وقد حمل حماد بن زيد النـزول في</w:t>
      </w:r>
      <w:r w:rsidRPr="00A52585">
        <w:rPr>
          <w:rFonts w:hint="cs"/>
        </w:rPr>
        <w:t xml:space="preserve"> </w:t>
      </w:r>
      <w:r w:rsidRPr="00A52585">
        <w:rPr>
          <w:rFonts w:hint="cs"/>
          <w:rtl/>
        </w:rPr>
        <w:t>الحديث على معنى الإقبال ومن أهل العلم من حمل الحديث على أن الإسناد فيه مجازي من</w:t>
      </w:r>
      <w:r w:rsidRPr="00A52585">
        <w:rPr>
          <w:rFonts w:hint="cs"/>
        </w:rPr>
        <w:t xml:space="preserve"> </w:t>
      </w:r>
      <w:r w:rsidRPr="00A52585">
        <w:rPr>
          <w:rFonts w:hint="cs"/>
          <w:rtl/>
        </w:rPr>
        <w:t xml:space="preserve">قبيل الإسناد إلى السبب الآمر ويؤيده حديث أبي هريرة في سنن النسائي وفيه </w:t>
      </w:r>
      <w:r w:rsidR="0002035C" w:rsidRPr="00A52585">
        <w:rPr>
          <w:rFonts w:hint="cs"/>
          <w:rtl/>
        </w:rPr>
        <w:t>(</w:t>
      </w:r>
      <w:r w:rsidRPr="00A52585">
        <w:rPr>
          <w:rFonts w:hint="cs"/>
          <w:rtl/>
        </w:rPr>
        <w:t>ثم يأمر</w:t>
      </w:r>
      <w:r w:rsidRPr="00A52585">
        <w:rPr>
          <w:rFonts w:hint="cs"/>
        </w:rPr>
        <w:t xml:space="preserve"> </w:t>
      </w:r>
      <w:r w:rsidRPr="00A52585">
        <w:rPr>
          <w:rFonts w:hint="cs"/>
          <w:rtl/>
        </w:rPr>
        <w:t>منادياً يقول هل من داع فيستجاب له</w:t>
      </w:r>
      <w:r w:rsidR="0002035C" w:rsidRPr="00A52585">
        <w:rPr>
          <w:rFonts w:hint="cs"/>
          <w:rtl/>
        </w:rPr>
        <w:t>)</w:t>
      </w:r>
      <w:r w:rsidRPr="00A52585">
        <w:rPr>
          <w:rFonts w:hint="cs"/>
          <w:rtl/>
        </w:rPr>
        <w:t xml:space="preserve"> وليس في استطاعة من يخاف الله غير أن يفوض</w:t>
      </w:r>
      <w:r w:rsidRPr="00A52585">
        <w:rPr>
          <w:rFonts w:hint="cs"/>
        </w:rPr>
        <w:t xml:space="preserve"> </w:t>
      </w:r>
      <w:r w:rsidRPr="00A52585">
        <w:rPr>
          <w:rFonts w:hint="cs"/>
          <w:rtl/>
        </w:rPr>
        <w:t>معنى النـزول إلى الله مع التنـزيه أو أن يحمل الحديث على المجاز في الطرف أو في</w:t>
      </w:r>
      <w:r w:rsidRPr="00A52585">
        <w:rPr>
          <w:rFonts w:hint="cs"/>
        </w:rPr>
        <w:t xml:space="preserve"> </w:t>
      </w:r>
      <w:r w:rsidRPr="00A52585">
        <w:rPr>
          <w:rFonts w:hint="cs"/>
          <w:rtl/>
        </w:rPr>
        <w:t>الإسناد</w:t>
      </w:r>
      <w:r w:rsidR="00DB731D" w:rsidRPr="00A52585">
        <w:rPr>
          <w:rFonts w:hint="cs"/>
          <w:rtl/>
        </w:rPr>
        <w:t>،</w:t>
      </w:r>
      <w:r w:rsidRPr="00A52585">
        <w:rPr>
          <w:rFonts w:hint="cs"/>
          <w:rtl/>
        </w:rPr>
        <w:t xml:space="preserve"> بل الأخير هو المتعين لحديث النسائي المذكور فيخرج حديث النـزول من عداد</w:t>
      </w:r>
      <w:r w:rsidRPr="00A52585">
        <w:rPr>
          <w:rFonts w:hint="cs"/>
        </w:rPr>
        <w:t xml:space="preserve"> </w:t>
      </w:r>
      <w:r w:rsidRPr="00A52585">
        <w:rPr>
          <w:rFonts w:hint="cs"/>
          <w:rtl/>
        </w:rPr>
        <w:t>أحاديث الصفات بالمرة عند من فكر وتدبر تعالى الله عن النقلة التي يقول بها المجسمــة</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السيف الصقيل ص 102</w:t>
      </w:r>
      <w:r w:rsidR="0002035C" w:rsidRPr="00A52585">
        <w:rPr>
          <w:rFonts w:hint="cs"/>
          <w:rtl/>
        </w:rPr>
        <w:t>]</w:t>
      </w:r>
      <w:r w:rsidRPr="00A52585">
        <w:rPr>
          <w:rFonts w:hint="cs"/>
          <w:rtl/>
        </w:rPr>
        <w:t xml:space="preserve"> </w:t>
      </w:r>
    </w:p>
    <w:p w14:paraId="4F4CE34C" w14:textId="491108B3" w:rsidR="00777DCB" w:rsidRPr="00A52585" w:rsidRDefault="00777DCB" w:rsidP="0002035C">
      <w:pPr>
        <w:spacing w:after="240"/>
        <w:rPr>
          <w:rtl/>
          <w:lang w:bidi="ar-KW"/>
        </w:rPr>
      </w:pPr>
      <w:r w:rsidRPr="00A52585">
        <w:rPr>
          <w:rFonts w:hint="cs"/>
          <w:rtl/>
        </w:rPr>
        <w:t>و</w:t>
      </w:r>
      <w:r w:rsidRPr="00A52585">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02035C" w:rsidRPr="00A52585">
        <w:rPr>
          <w:rFonts w:hint="cs"/>
          <w:b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المسألة الرابعة</w:t>
      </w:r>
      <w:r w:rsidR="0002035C" w:rsidRPr="00A52585">
        <w:rPr>
          <w:rFonts w:hint="cs"/>
          <w:rtl/>
          <w:lang w:bidi="ar-KW"/>
        </w:rPr>
        <w:t>:</w:t>
      </w:r>
      <w:r w:rsidRPr="00A52585">
        <w:rPr>
          <w:rFonts w:hint="cs"/>
          <w:rtl/>
          <w:lang w:bidi="ar-KW"/>
        </w:rPr>
        <w:t xml:space="preserve"> احتج من أثبت الأعضاء والجوارح لله تعالى بقوله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 xml:space="preserve">ما منعك أن تسجد لما خلقت </w:t>
      </w:r>
      <w:proofErr w:type="spellStart"/>
      <w:r w:rsidRPr="00A52585">
        <w:rPr>
          <w:rFonts w:hint="cs"/>
          <w:rtl/>
          <w:lang w:bidi="ar-KW"/>
        </w:rPr>
        <w:t>بيدى</w:t>
      </w:r>
      <w:proofErr w:type="spellEnd"/>
      <w:r w:rsidR="0002035C" w:rsidRPr="00A52585">
        <w:rPr>
          <w:rFonts w:hint="cs"/>
          <w:rtl/>
          <w:lang w:bidi="ar-KW"/>
        </w:rPr>
        <w:t>}</w:t>
      </w:r>
      <w:r w:rsidRPr="00A52585">
        <w:rPr>
          <w:rFonts w:hint="cs"/>
          <w:rtl/>
          <w:lang w:bidi="ar-KW"/>
        </w:rPr>
        <w:t xml:space="preserve"> في إثبات يدين لله تعالى</w:t>
      </w:r>
      <w:r w:rsidR="00DB731D" w:rsidRPr="00A52585">
        <w:rPr>
          <w:rFonts w:hint="cs"/>
          <w:rtl/>
          <w:lang w:bidi="ar-KW"/>
        </w:rPr>
        <w:t>،</w:t>
      </w:r>
      <w:r w:rsidRPr="00A52585">
        <w:rPr>
          <w:rFonts w:hint="cs"/>
          <w:rtl/>
          <w:lang w:bidi="ar-KW"/>
        </w:rPr>
        <w:t xml:space="preserve"> بأن قالوا ظاهر الآية يدل عليه</w:t>
      </w:r>
      <w:r w:rsidR="00DB731D" w:rsidRPr="00A52585">
        <w:rPr>
          <w:rFonts w:hint="cs"/>
          <w:rtl/>
          <w:lang w:bidi="ar-KW"/>
        </w:rPr>
        <w:t>،</w:t>
      </w:r>
      <w:r w:rsidRPr="00A52585">
        <w:rPr>
          <w:rFonts w:hint="cs"/>
          <w:rtl/>
          <w:lang w:bidi="ar-KW"/>
        </w:rPr>
        <w:t xml:space="preserve"> فوجب المصير إليه</w:t>
      </w:r>
      <w:r w:rsidR="00DB731D" w:rsidRPr="00A52585">
        <w:rPr>
          <w:rFonts w:hint="cs"/>
          <w:rtl/>
          <w:lang w:bidi="ar-KW"/>
        </w:rPr>
        <w:t>،</w:t>
      </w:r>
      <w:r w:rsidRPr="00A52585">
        <w:rPr>
          <w:rFonts w:hint="cs"/>
          <w:rtl/>
          <w:lang w:bidi="ar-KW"/>
        </w:rPr>
        <w:t xml:space="preserve"> والآيات الكثيرة واردة على وفق هذه الآية</w:t>
      </w:r>
      <w:r w:rsidR="00DB731D" w:rsidRPr="00A52585">
        <w:rPr>
          <w:rFonts w:hint="cs"/>
          <w:rtl/>
          <w:lang w:bidi="ar-KW"/>
        </w:rPr>
        <w:t>،</w:t>
      </w:r>
      <w:r w:rsidRPr="00A52585">
        <w:rPr>
          <w:rFonts w:hint="cs"/>
          <w:rtl/>
          <w:lang w:bidi="ar-KW"/>
        </w:rPr>
        <w:t xml:space="preserve"> فوجب القطع به</w:t>
      </w:r>
      <w:r w:rsidR="00DB731D" w:rsidRPr="00A52585">
        <w:rPr>
          <w:rFonts w:hint="cs"/>
          <w:rtl/>
          <w:lang w:bidi="ar-KW"/>
        </w:rPr>
        <w:t>،</w:t>
      </w:r>
      <w:r w:rsidRPr="00A52585">
        <w:rPr>
          <w:rFonts w:hint="cs"/>
          <w:bCs/>
          <w:rtl/>
          <w:lang w:bidi="ar-KW"/>
        </w:rPr>
        <w:t xml:space="preserve"> واعلم أن الدلائل الدالة على نفي كونه تعالى جسما مركبا من الأجزاء والأعضاء</w:t>
      </w:r>
      <w:r w:rsidR="00DB731D" w:rsidRPr="00A52585">
        <w:rPr>
          <w:rFonts w:hint="cs"/>
          <w:bCs/>
          <w:rtl/>
          <w:lang w:bidi="ar-KW"/>
        </w:rPr>
        <w:t>،</w:t>
      </w:r>
      <w:r w:rsidRPr="00A52585">
        <w:rPr>
          <w:rFonts w:hint="cs"/>
          <w:bCs/>
          <w:rtl/>
          <w:lang w:bidi="ar-KW"/>
        </w:rPr>
        <w:t xml:space="preserve"> قد سبقت إلا أنا نذكر ههنا نكتا جارية مجرى </w:t>
      </w:r>
      <w:proofErr w:type="spellStart"/>
      <w:r w:rsidRPr="00A52585">
        <w:rPr>
          <w:rFonts w:hint="cs"/>
          <w:bCs/>
          <w:rtl/>
          <w:lang w:bidi="ar-KW"/>
        </w:rPr>
        <w:t>الإلزامات</w:t>
      </w:r>
      <w:proofErr w:type="spellEnd"/>
      <w:r w:rsidRPr="00A52585">
        <w:rPr>
          <w:rFonts w:hint="cs"/>
          <w:bCs/>
          <w:rtl/>
          <w:lang w:bidi="ar-KW"/>
        </w:rPr>
        <w:t xml:space="preserve"> الظاهرة</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فالأول</w:t>
      </w:r>
      <w:r w:rsidR="0002035C" w:rsidRPr="00A52585">
        <w:rPr>
          <w:rFonts w:hint="cs"/>
          <w:rtl/>
          <w:lang w:bidi="ar-KW"/>
        </w:rPr>
        <w:t>):</w:t>
      </w:r>
      <w:r w:rsidRPr="00A52585">
        <w:rPr>
          <w:rFonts w:hint="cs"/>
          <w:rtl/>
          <w:lang w:bidi="ar-KW"/>
        </w:rPr>
        <w:t xml:space="preserve"> أن من قال إنه مركب من الأعضاء والأجزاء</w:t>
      </w:r>
      <w:r w:rsidR="00DB731D" w:rsidRPr="00A52585">
        <w:rPr>
          <w:rFonts w:hint="cs"/>
          <w:rtl/>
          <w:lang w:bidi="ar-KW"/>
        </w:rPr>
        <w:t>،</w:t>
      </w:r>
      <w:r w:rsidRPr="00A52585">
        <w:rPr>
          <w:rFonts w:hint="cs"/>
          <w:rtl/>
          <w:lang w:bidi="ar-KW"/>
        </w:rPr>
        <w:t xml:space="preserve"> فإما أن يثبت الأعضاء التي ورد ذكرها في القرآن ولا يزيد عليها</w:t>
      </w:r>
      <w:r w:rsidR="00DB731D" w:rsidRPr="00A52585">
        <w:rPr>
          <w:rFonts w:hint="cs"/>
          <w:rtl/>
          <w:lang w:bidi="ar-KW"/>
        </w:rPr>
        <w:t>،</w:t>
      </w:r>
      <w:r w:rsidRPr="00A52585">
        <w:rPr>
          <w:rFonts w:hint="cs"/>
          <w:rtl/>
          <w:lang w:bidi="ar-KW"/>
        </w:rPr>
        <w:t xml:space="preserve"> وإما أن يزيد عليها</w:t>
      </w:r>
      <w:r w:rsidR="00DB731D" w:rsidRPr="00A52585">
        <w:rPr>
          <w:rFonts w:hint="cs"/>
          <w:rtl/>
          <w:lang w:bidi="ar-KW"/>
        </w:rPr>
        <w:t>،</w:t>
      </w:r>
      <w:r w:rsidRPr="00A52585">
        <w:rPr>
          <w:rFonts w:hint="cs"/>
          <w:rtl/>
          <w:lang w:bidi="ar-KW"/>
        </w:rPr>
        <w:t xml:space="preserve"> فإن كان الأول لزمه إثبات صورة لا يمكن أن يزاد عليها في القبح</w:t>
      </w:r>
      <w:r w:rsidR="00DB731D" w:rsidRPr="00A52585">
        <w:rPr>
          <w:rFonts w:hint="cs"/>
          <w:rtl/>
          <w:lang w:bidi="ar-KW"/>
        </w:rPr>
        <w:t>،</w:t>
      </w:r>
      <w:r w:rsidRPr="00A52585">
        <w:rPr>
          <w:rFonts w:hint="cs"/>
          <w:rtl/>
          <w:lang w:bidi="ar-KW"/>
        </w:rPr>
        <w:t xml:space="preserve"> لأنه يلزمه إثبات وجه بحيث لا يوجد منه إلا مجرد رقعة الوجه لقوله</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كل شيء هالك إلا وجهه</w:t>
      </w:r>
      <w:r w:rsidR="0002035C" w:rsidRPr="00A52585">
        <w:rPr>
          <w:rFonts w:hint="cs"/>
          <w:rtl/>
          <w:lang w:bidi="ar-KW"/>
        </w:rPr>
        <w:t>}</w:t>
      </w:r>
      <w:r w:rsidR="00DB731D" w:rsidRPr="00A52585">
        <w:rPr>
          <w:rFonts w:hint="cs"/>
          <w:rtl/>
          <w:lang w:bidi="ar-KW"/>
        </w:rPr>
        <w:t>،</w:t>
      </w:r>
      <w:r w:rsidR="0002035C" w:rsidRPr="00A52585">
        <w:rPr>
          <w:rFonts w:hint="cs"/>
          <w:rtl/>
          <w:lang w:bidi="ar-KW"/>
        </w:rPr>
        <w:t xml:space="preserve"> [</w:t>
      </w:r>
      <w:r w:rsidRPr="00A52585">
        <w:rPr>
          <w:rFonts w:hint="cs"/>
          <w:rtl/>
          <w:lang w:bidi="ar-KW"/>
        </w:rPr>
        <w:t>القصص</w:t>
      </w:r>
      <w:r w:rsidR="0002035C" w:rsidRPr="00A52585">
        <w:rPr>
          <w:rFonts w:hint="cs"/>
          <w:rtl/>
          <w:lang w:bidi="ar-KW"/>
        </w:rPr>
        <w:t>:</w:t>
      </w:r>
      <w:r w:rsidRPr="00A52585">
        <w:rPr>
          <w:rFonts w:hint="cs"/>
          <w:rtl/>
          <w:lang w:bidi="ar-KW"/>
        </w:rPr>
        <w:t xml:space="preserve"> 88</w:t>
      </w:r>
      <w:r w:rsidR="0002035C" w:rsidRPr="00A52585">
        <w:rPr>
          <w:rFonts w:hint="cs"/>
          <w:rtl/>
          <w:lang w:bidi="ar-KW"/>
        </w:rPr>
        <w:t>]</w:t>
      </w:r>
      <w:r w:rsidRPr="00A52585">
        <w:rPr>
          <w:rFonts w:hint="cs"/>
          <w:rtl/>
          <w:lang w:bidi="ar-KW"/>
        </w:rPr>
        <w:t xml:space="preserve"> ويلزمه أن يثبت في تلك الرقعة عيونا كثيرة لقوله</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تجرى بأعيننا</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القمر</w:t>
      </w:r>
      <w:r w:rsidR="0002035C" w:rsidRPr="00A52585">
        <w:rPr>
          <w:rFonts w:hint="cs"/>
          <w:rtl/>
          <w:lang w:bidi="ar-KW"/>
        </w:rPr>
        <w:t>:</w:t>
      </w:r>
      <w:r w:rsidRPr="00A52585">
        <w:rPr>
          <w:rFonts w:hint="cs"/>
          <w:rtl/>
          <w:lang w:bidi="ar-KW"/>
        </w:rPr>
        <w:t xml:space="preserve"> 14</w:t>
      </w:r>
      <w:r w:rsidR="0002035C" w:rsidRPr="00A52585">
        <w:rPr>
          <w:rFonts w:hint="cs"/>
          <w:rtl/>
          <w:lang w:bidi="ar-KW"/>
        </w:rPr>
        <w:t>]</w:t>
      </w:r>
      <w:r w:rsidRPr="00A52585">
        <w:rPr>
          <w:rFonts w:hint="cs"/>
          <w:rtl/>
          <w:lang w:bidi="ar-KW"/>
        </w:rPr>
        <w:t xml:space="preserve"> وأن يثبت جنبا واحدا لقوله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proofErr w:type="spellStart"/>
      <w:r w:rsidRPr="00A52585">
        <w:rPr>
          <w:rFonts w:hint="cs"/>
          <w:rtl/>
          <w:lang w:bidi="ar-KW"/>
        </w:rPr>
        <w:t>ياحسرتى</w:t>
      </w:r>
      <w:proofErr w:type="spellEnd"/>
      <w:r w:rsidRPr="00A52585">
        <w:rPr>
          <w:rFonts w:hint="cs"/>
          <w:rtl/>
          <w:lang w:bidi="ar-KW"/>
        </w:rPr>
        <w:t xml:space="preserve"> على ما فرطت في جنب الله</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الزمر</w:t>
      </w:r>
      <w:r w:rsidR="0002035C" w:rsidRPr="00A52585">
        <w:rPr>
          <w:rFonts w:hint="cs"/>
          <w:rtl/>
          <w:lang w:bidi="ar-KW"/>
        </w:rPr>
        <w:t>:</w:t>
      </w:r>
      <w:r w:rsidRPr="00A52585">
        <w:rPr>
          <w:rFonts w:hint="cs"/>
          <w:rtl/>
          <w:lang w:bidi="ar-KW"/>
        </w:rPr>
        <w:t xml:space="preserve"> 56</w:t>
      </w:r>
      <w:r w:rsidR="0002035C" w:rsidRPr="00A52585">
        <w:rPr>
          <w:rFonts w:hint="cs"/>
          <w:rtl/>
          <w:lang w:bidi="ar-KW"/>
        </w:rPr>
        <w:t>]</w:t>
      </w:r>
      <w:r w:rsidRPr="00A52585">
        <w:rPr>
          <w:rFonts w:hint="cs"/>
          <w:rtl/>
          <w:lang w:bidi="ar-KW"/>
        </w:rPr>
        <w:t xml:space="preserve"> وأن يثبت على ذلك الجنب أيدي كثيرة لقوله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مما عملت أيدينا</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يس</w:t>
      </w:r>
      <w:r w:rsidR="0002035C" w:rsidRPr="00A52585">
        <w:rPr>
          <w:rFonts w:hint="cs"/>
          <w:rtl/>
          <w:lang w:bidi="ar-KW"/>
        </w:rPr>
        <w:t>:</w:t>
      </w:r>
      <w:r w:rsidRPr="00A52585">
        <w:rPr>
          <w:rFonts w:hint="cs"/>
          <w:rtl/>
          <w:lang w:bidi="ar-KW"/>
        </w:rPr>
        <w:t xml:space="preserve"> 71</w:t>
      </w:r>
      <w:r w:rsidR="0002035C" w:rsidRPr="00A52585">
        <w:rPr>
          <w:rFonts w:hint="cs"/>
          <w:rtl/>
          <w:lang w:bidi="ar-KW"/>
        </w:rPr>
        <w:t>]</w:t>
      </w:r>
      <w:r w:rsidRPr="00A52585">
        <w:rPr>
          <w:rFonts w:hint="cs"/>
          <w:rtl/>
          <w:lang w:bidi="ar-KW"/>
        </w:rPr>
        <w:t xml:space="preserve"> وبتقدير أن يكون له يدان فإنه يجب أن يكون كلاهما على جانب واحد لقوله صلى الله عليه وسلم</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وكلتا يديه يمين</w:t>
      </w:r>
      <w:r w:rsidR="0002035C" w:rsidRPr="00A52585">
        <w:rPr>
          <w:rFonts w:hint="cs"/>
          <w:rtl/>
          <w:lang w:bidi="ar-KW"/>
        </w:rPr>
        <w:t>)</w:t>
      </w:r>
      <w:r w:rsidRPr="00A52585">
        <w:rPr>
          <w:rFonts w:hint="cs"/>
          <w:rtl/>
          <w:lang w:bidi="ar-KW"/>
        </w:rPr>
        <w:t>)</w:t>
      </w:r>
      <w:r w:rsidR="00DB731D" w:rsidRPr="00A52585">
        <w:rPr>
          <w:rFonts w:hint="cs"/>
          <w:rtl/>
          <w:lang w:bidi="ar-KW"/>
        </w:rPr>
        <w:t>،</w:t>
      </w:r>
      <w:r w:rsidRPr="00A52585">
        <w:rPr>
          <w:rFonts w:hint="cs"/>
          <w:rtl/>
          <w:lang w:bidi="ar-KW"/>
        </w:rPr>
        <w:t xml:space="preserve"> وقوله صلى الله عليه وسلم</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 xml:space="preserve">الحجر </w:t>
      </w:r>
      <w:r w:rsidRPr="00A52585">
        <w:rPr>
          <w:rFonts w:hint="cs"/>
          <w:rtl/>
          <w:lang w:bidi="ar-KW"/>
        </w:rPr>
        <w:lastRenderedPageBreak/>
        <w:t>الأسود يمين الله في الأرض</w:t>
      </w:r>
      <w:r w:rsidR="0002035C" w:rsidRPr="00A52585">
        <w:rPr>
          <w:rFonts w:hint="cs"/>
          <w:rtl/>
          <w:lang w:bidi="ar-KW"/>
        </w:rPr>
        <w:t>)</w:t>
      </w:r>
      <w:r w:rsidRPr="00A52585">
        <w:rPr>
          <w:rFonts w:hint="cs"/>
          <w:rtl/>
          <w:lang w:bidi="ar-KW"/>
        </w:rPr>
        <w:t>) وأن يثبت له ساقا واحدا لقوله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يوم يكشف عن ساق</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القلم</w:t>
      </w:r>
      <w:r w:rsidR="0002035C" w:rsidRPr="00A52585">
        <w:rPr>
          <w:rFonts w:hint="cs"/>
          <w:rtl/>
          <w:lang w:bidi="ar-KW"/>
        </w:rPr>
        <w:t>:</w:t>
      </w:r>
      <w:r w:rsidRPr="00A52585">
        <w:rPr>
          <w:rFonts w:hint="cs"/>
          <w:rtl/>
          <w:lang w:bidi="ar-KW"/>
        </w:rPr>
        <w:t xml:space="preserve"> 42</w:t>
      </w:r>
      <w:r w:rsidR="0002035C" w:rsidRPr="00A52585">
        <w:rPr>
          <w:rFonts w:hint="cs"/>
          <w:rtl/>
          <w:lang w:bidi="ar-KW"/>
        </w:rPr>
        <w:t>]</w:t>
      </w:r>
      <w:r w:rsidRPr="00A52585">
        <w:rPr>
          <w:rFonts w:hint="cs"/>
          <w:rtl/>
          <w:lang w:bidi="ar-KW"/>
        </w:rPr>
        <w:t xml:space="preserve"> فيكون الحاصل من هذه الصورة</w:t>
      </w:r>
      <w:r w:rsidR="00DB731D" w:rsidRPr="00A52585">
        <w:rPr>
          <w:rFonts w:hint="cs"/>
          <w:rtl/>
          <w:lang w:bidi="ar-KW"/>
        </w:rPr>
        <w:t>،</w:t>
      </w:r>
      <w:r w:rsidRPr="00A52585">
        <w:rPr>
          <w:rFonts w:hint="cs"/>
          <w:rtl/>
          <w:lang w:bidi="ar-KW"/>
        </w:rPr>
        <w:t xml:space="preserve"> مجرد رقعة الوجه ويكون عليها عيون كثيرة</w:t>
      </w:r>
      <w:r w:rsidR="00DB731D" w:rsidRPr="00A52585">
        <w:rPr>
          <w:rFonts w:hint="cs"/>
          <w:rtl/>
          <w:lang w:bidi="ar-KW"/>
        </w:rPr>
        <w:t>،</w:t>
      </w:r>
      <w:r w:rsidRPr="00A52585">
        <w:rPr>
          <w:rFonts w:hint="cs"/>
          <w:rtl/>
          <w:lang w:bidi="ar-KW"/>
        </w:rPr>
        <w:t xml:space="preserve"> وجنب واحد ويكون عليه أيد كثيرة وساق واحد</w:t>
      </w:r>
      <w:r w:rsidR="00DB731D" w:rsidRPr="00A52585">
        <w:rPr>
          <w:rFonts w:hint="cs"/>
          <w:rtl/>
          <w:lang w:bidi="ar-KW"/>
        </w:rPr>
        <w:t>،</w:t>
      </w:r>
      <w:r w:rsidRPr="00A52585">
        <w:rPr>
          <w:rFonts w:hint="cs"/>
          <w:rtl/>
          <w:lang w:bidi="ar-KW"/>
        </w:rPr>
        <w:t xml:space="preserve"> ومعلوم أن هذه الصورة أقبح الصور</w:t>
      </w:r>
      <w:r w:rsidR="00DB731D" w:rsidRPr="00A52585">
        <w:rPr>
          <w:rFonts w:hint="cs"/>
          <w:rtl/>
          <w:lang w:bidi="ar-KW"/>
        </w:rPr>
        <w:t>،</w:t>
      </w:r>
      <w:r w:rsidRPr="00A52585">
        <w:rPr>
          <w:rFonts w:hint="cs"/>
          <w:rtl/>
          <w:lang w:bidi="ar-KW"/>
        </w:rPr>
        <w:t xml:space="preserve"> ولو كان هذا عبدا لم يرغب أحد في شرائه</w:t>
      </w:r>
      <w:r w:rsidR="00DB731D" w:rsidRPr="00A52585">
        <w:rPr>
          <w:rFonts w:hint="cs"/>
          <w:rtl/>
          <w:lang w:bidi="ar-KW"/>
        </w:rPr>
        <w:t>،</w:t>
      </w:r>
      <w:r w:rsidRPr="00A52585">
        <w:rPr>
          <w:rFonts w:hint="cs"/>
          <w:rtl/>
          <w:lang w:bidi="ar-KW"/>
        </w:rPr>
        <w:t xml:space="preserve"> فكيف يقول العاقل إن رب العالمين موصوف بهذه الصورة</w:t>
      </w:r>
      <w:r w:rsidR="00DB731D" w:rsidRPr="00A52585">
        <w:rPr>
          <w:rFonts w:hint="cs"/>
          <w:rtl/>
          <w:lang w:bidi="ar-KW"/>
        </w:rPr>
        <w:t>،</w:t>
      </w:r>
      <w:r w:rsidRPr="00A52585">
        <w:rPr>
          <w:rFonts w:hint="cs"/>
          <w:rtl/>
          <w:lang w:bidi="ar-KW"/>
        </w:rPr>
        <w:t xml:space="preserve"> وأما القسم الثاني</w:t>
      </w:r>
      <w:r w:rsidR="0002035C" w:rsidRPr="00A52585">
        <w:rPr>
          <w:rFonts w:hint="cs"/>
          <w:rtl/>
          <w:lang w:bidi="ar-KW"/>
        </w:rPr>
        <w:t>:</w:t>
      </w:r>
      <w:r w:rsidRPr="00A52585">
        <w:rPr>
          <w:rFonts w:hint="cs"/>
          <w:rtl/>
          <w:lang w:bidi="ar-KW"/>
        </w:rPr>
        <w:t xml:space="preserve"> وهو أن لا يقتصر على الأعضاء المذكورة في القرآن</w:t>
      </w:r>
      <w:r w:rsidR="00DB731D" w:rsidRPr="00A52585">
        <w:rPr>
          <w:rFonts w:hint="cs"/>
          <w:rtl/>
          <w:lang w:bidi="ar-KW"/>
        </w:rPr>
        <w:t>،</w:t>
      </w:r>
      <w:r w:rsidRPr="00A52585">
        <w:rPr>
          <w:rFonts w:hint="cs"/>
          <w:rtl/>
          <w:lang w:bidi="ar-KW"/>
        </w:rPr>
        <w:t xml:space="preserve"> بل يزيد وينقص على وفق التأويلات</w:t>
      </w:r>
      <w:r w:rsidR="00DB731D" w:rsidRPr="00A52585">
        <w:rPr>
          <w:rFonts w:hint="cs"/>
          <w:rtl/>
          <w:lang w:bidi="ar-KW"/>
        </w:rPr>
        <w:t>،</w:t>
      </w:r>
      <w:r w:rsidRPr="00A52585">
        <w:rPr>
          <w:rFonts w:hint="cs"/>
          <w:rtl/>
          <w:lang w:bidi="ar-KW"/>
        </w:rPr>
        <w:t xml:space="preserve"> فحينئذ يبطل مذهبه في الحمل على مجرد الظواهر</w:t>
      </w:r>
      <w:r w:rsidR="00DB731D" w:rsidRPr="00A52585">
        <w:rPr>
          <w:rFonts w:hint="cs"/>
          <w:rtl/>
          <w:lang w:bidi="ar-KW"/>
        </w:rPr>
        <w:t>،</w:t>
      </w:r>
      <w:r w:rsidRPr="00A52585">
        <w:rPr>
          <w:rFonts w:hint="cs"/>
          <w:rtl/>
          <w:lang w:bidi="ar-KW"/>
        </w:rPr>
        <w:t xml:space="preserve"> ولا بد له من قبول دلائل العقل</w:t>
      </w:r>
      <w:r w:rsidR="00DB731D" w:rsidRPr="00A52585">
        <w:rPr>
          <w:rFonts w:hint="cs"/>
          <w:rtl/>
          <w:lang w:bidi="ar-KW"/>
        </w:rPr>
        <w:t>،</w:t>
      </w:r>
      <w:r w:rsidRPr="00A52585">
        <w:rPr>
          <w:rFonts w:hint="cs"/>
          <w:bCs/>
          <w:rtl/>
          <w:lang w:bidi="ar-KW"/>
        </w:rPr>
        <w:t xml:space="preserve"> </w:t>
      </w:r>
      <w:r w:rsidR="0002035C" w:rsidRPr="00A52585">
        <w:rPr>
          <w:rFonts w:hint="cs"/>
          <w:bCs/>
          <w:rtl/>
          <w:lang w:bidi="ar-KW"/>
        </w:rPr>
        <w:t>(</w:t>
      </w:r>
      <w:r w:rsidRPr="00A52585">
        <w:rPr>
          <w:rFonts w:hint="cs"/>
          <w:bCs/>
          <w:rtl/>
          <w:lang w:bidi="ar-KW"/>
        </w:rPr>
        <w:t>الحجة الثانية</w:t>
      </w:r>
      <w:r w:rsidR="0002035C" w:rsidRPr="00A52585">
        <w:rPr>
          <w:rFonts w:hint="cs"/>
          <w:rtl/>
          <w:lang w:bidi="ar-KW"/>
        </w:rPr>
        <w:t>):</w:t>
      </w:r>
      <w:r w:rsidRPr="00A52585">
        <w:rPr>
          <w:rFonts w:hint="cs"/>
          <w:rtl/>
          <w:lang w:bidi="ar-KW"/>
        </w:rPr>
        <w:t xml:space="preserve"> في إبطال قولهم إنهم إذا أثبتوا الأعضاء لله تعالى</w:t>
      </w:r>
      <w:r w:rsidR="00DB731D" w:rsidRPr="00A52585">
        <w:rPr>
          <w:rFonts w:hint="cs"/>
          <w:rtl/>
          <w:lang w:bidi="ar-KW"/>
        </w:rPr>
        <w:t>،</w:t>
      </w:r>
      <w:r w:rsidRPr="00A52585">
        <w:rPr>
          <w:rFonts w:hint="cs"/>
          <w:rtl/>
          <w:lang w:bidi="ar-KW"/>
        </w:rPr>
        <w:t xml:space="preserve"> فإن أثبتوا له عضو الرجل فهو رجل وأن أثبتوا له عضو النساء فهو أنثى</w:t>
      </w:r>
      <w:r w:rsidR="00DB731D" w:rsidRPr="00A52585">
        <w:rPr>
          <w:rFonts w:hint="cs"/>
          <w:rtl/>
          <w:lang w:bidi="ar-KW"/>
        </w:rPr>
        <w:t>،</w:t>
      </w:r>
      <w:r w:rsidRPr="00A52585">
        <w:rPr>
          <w:rFonts w:hint="cs"/>
          <w:rtl/>
          <w:lang w:bidi="ar-KW"/>
        </w:rPr>
        <w:t xml:space="preserve"> وإن نفوهما فهو خصي أو عنين</w:t>
      </w:r>
      <w:r w:rsidR="00DB731D" w:rsidRPr="00A52585">
        <w:rPr>
          <w:rFonts w:hint="cs"/>
          <w:rtl/>
          <w:lang w:bidi="ar-KW"/>
        </w:rPr>
        <w:t>،</w:t>
      </w:r>
      <w:r w:rsidRPr="00A52585">
        <w:rPr>
          <w:rFonts w:hint="cs"/>
          <w:rtl/>
          <w:lang w:bidi="ar-KW"/>
        </w:rPr>
        <w:t xml:space="preserve"> وتعالى الله عما يقول الظالمون علوا كبيرا</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bCs/>
          <w:rtl/>
          <w:lang w:bidi="ar-KW"/>
        </w:rPr>
        <w:t>الحجة الثالثة</w:t>
      </w:r>
      <w:r w:rsidR="0002035C" w:rsidRPr="00A52585">
        <w:rPr>
          <w:rFonts w:hint="cs"/>
          <w:rtl/>
          <w:lang w:bidi="ar-KW"/>
        </w:rPr>
        <w:t>):</w:t>
      </w:r>
      <w:r w:rsidRPr="00A52585">
        <w:rPr>
          <w:rFonts w:hint="cs"/>
          <w:rtl/>
          <w:lang w:bidi="ar-KW"/>
        </w:rPr>
        <w:t xml:space="preserve"> أنه في ذاته سبحانه وتعالى</w:t>
      </w:r>
      <w:r w:rsidR="00DB731D" w:rsidRPr="00A52585">
        <w:rPr>
          <w:rFonts w:hint="cs"/>
          <w:rtl/>
          <w:lang w:bidi="ar-KW"/>
        </w:rPr>
        <w:t>،</w:t>
      </w:r>
      <w:r w:rsidRPr="00A52585">
        <w:rPr>
          <w:rFonts w:hint="cs"/>
          <w:rtl/>
          <w:lang w:bidi="ar-KW"/>
        </w:rPr>
        <w:t xml:space="preserve"> إما أن يكون جسما صلبا لا </w:t>
      </w:r>
      <w:proofErr w:type="spellStart"/>
      <w:r w:rsidRPr="00A52585">
        <w:rPr>
          <w:rFonts w:hint="cs"/>
          <w:rtl/>
          <w:lang w:bidi="ar-KW"/>
        </w:rPr>
        <w:t>ينغمز</w:t>
      </w:r>
      <w:proofErr w:type="spellEnd"/>
      <w:r w:rsidRPr="00A52585">
        <w:rPr>
          <w:rFonts w:hint="cs"/>
          <w:rtl/>
          <w:lang w:bidi="ar-KW"/>
        </w:rPr>
        <w:t xml:space="preserve"> البتة</w:t>
      </w:r>
      <w:r w:rsidR="00DB731D" w:rsidRPr="00A52585">
        <w:rPr>
          <w:rFonts w:hint="cs"/>
          <w:rtl/>
          <w:lang w:bidi="ar-KW"/>
        </w:rPr>
        <w:t>،</w:t>
      </w:r>
      <w:r w:rsidRPr="00A52585">
        <w:rPr>
          <w:rFonts w:hint="cs"/>
          <w:rtl/>
          <w:lang w:bidi="ar-KW"/>
        </w:rPr>
        <w:t xml:space="preserve"> فيكون حجرا صلبا</w:t>
      </w:r>
      <w:r w:rsidR="00DB731D" w:rsidRPr="00A52585">
        <w:rPr>
          <w:rFonts w:hint="cs"/>
          <w:rtl/>
          <w:lang w:bidi="ar-KW"/>
        </w:rPr>
        <w:t>،</w:t>
      </w:r>
      <w:r w:rsidRPr="00A52585">
        <w:rPr>
          <w:rFonts w:hint="cs"/>
          <w:rtl/>
          <w:lang w:bidi="ar-KW"/>
        </w:rPr>
        <w:t xml:space="preserve"> وإما أن يكون قابلا </w:t>
      </w:r>
      <w:proofErr w:type="spellStart"/>
      <w:r w:rsidRPr="00A52585">
        <w:rPr>
          <w:rFonts w:hint="cs"/>
          <w:rtl/>
          <w:lang w:bidi="ar-KW"/>
        </w:rPr>
        <w:t>للانغماز</w:t>
      </w:r>
      <w:proofErr w:type="spellEnd"/>
      <w:r w:rsidR="00DB731D" w:rsidRPr="00A52585">
        <w:rPr>
          <w:rFonts w:hint="cs"/>
          <w:rtl/>
          <w:lang w:bidi="ar-KW"/>
        </w:rPr>
        <w:t>،</w:t>
      </w:r>
      <w:r w:rsidRPr="00A52585">
        <w:rPr>
          <w:rFonts w:hint="cs"/>
          <w:rtl/>
          <w:lang w:bidi="ar-KW"/>
        </w:rPr>
        <w:t xml:space="preserve"> فيكون لينا قابلا للتفرق والتمزق</w:t>
      </w:r>
      <w:r w:rsidR="00897A24" w:rsidRPr="00A52585">
        <w:rPr>
          <w:rFonts w:hint="cs"/>
          <w:rtl/>
          <w:lang w:bidi="ar-KW"/>
        </w:rPr>
        <w:t>.</w:t>
      </w:r>
      <w:r w:rsidRPr="00A52585">
        <w:rPr>
          <w:rFonts w:hint="cs"/>
          <w:rtl/>
          <w:lang w:bidi="ar-KW"/>
        </w:rPr>
        <w:t xml:space="preserve"> وتعالى الله عن ذلك</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bCs/>
          <w:rtl/>
          <w:lang w:bidi="ar-KW"/>
        </w:rPr>
        <w:t>الحجة الرابعة</w:t>
      </w:r>
      <w:r w:rsidR="0002035C" w:rsidRPr="00A52585">
        <w:rPr>
          <w:rFonts w:hint="cs"/>
          <w:rtl/>
          <w:lang w:bidi="ar-KW"/>
        </w:rPr>
        <w:t>):</w:t>
      </w:r>
      <w:r w:rsidRPr="00A52585">
        <w:rPr>
          <w:rFonts w:hint="cs"/>
          <w:rtl/>
          <w:lang w:bidi="ar-KW"/>
        </w:rPr>
        <w:t xml:space="preserve"> أنه إن كان بحيث لا يمكنه أن يتحرك عن مكانه</w:t>
      </w:r>
      <w:r w:rsidR="00DB731D" w:rsidRPr="00A52585">
        <w:rPr>
          <w:rFonts w:hint="cs"/>
          <w:rtl/>
          <w:lang w:bidi="ar-KW"/>
        </w:rPr>
        <w:t>،</w:t>
      </w:r>
      <w:r w:rsidRPr="00A52585">
        <w:rPr>
          <w:rFonts w:hint="cs"/>
          <w:rtl/>
          <w:lang w:bidi="ar-KW"/>
        </w:rPr>
        <w:t xml:space="preserve"> كان كالزمن المعقد العاجز</w:t>
      </w:r>
      <w:r w:rsidR="00DB731D" w:rsidRPr="00A52585">
        <w:rPr>
          <w:rFonts w:hint="cs"/>
          <w:rtl/>
          <w:lang w:bidi="ar-KW"/>
        </w:rPr>
        <w:t>،</w:t>
      </w:r>
      <w:r w:rsidRPr="00A52585">
        <w:rPr>
          <w:rFonts w:hint="cs"/>
          <w:rtl/>
          <w:lang w:bidi="ar-KW"/>
        </w:rPr>
        <w:t xml:space="preserve"> وإن كان بحيث يمكنه أن يتحرك عن مكانه</w:t>
      </w:r>
      <w:r w:rsidR="00DB731D" w:rsidRPr="00A52585">
        <w:rPr>
          <w:rFonts w:hint="cs"/>
          <w:rtl/>
          <w:lang w:bidi="ar-KW"/>
        </w:rPr>
        <w:t>،</w:t>
      </w:r>
      <w:r w:rsidRPr="00A52585">
        <w:rPr>
          <w:rFonts w:hint="cs"/>
          <w:rtl/>
          <w:lang w:bidi="ar-KW"/>
        </w:rPr>
        <w:t xml:space="preserve"> كان محلا للتغيرات</w:t>
      </w:r>
      <w:r w:rsidR="00DB731D" w:rsidRPr="00A52585">
        <w:rPr>
          <w:rFonts w:hint="cs"/>
          <w:rtl/>
          <w:lang w:bidi="ar-KW"/>
        </w:rPr>
        <w:t>،</w:t>
      </w:r>
      <w:r w:rsidRPr="00A52585">
        <w:rPr>
          <w:rFonts w:hint="cs"/>
          <w:rtl/>
          <w:lang w:bidi="ar-KW"/>
        </w:rPr>
        <w:t xml:space="preserve"> فدخل تحت قوله</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لا أحب الآفلين</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الأنعام</w:t>
      </w:r>
      <w:r w:rsidR="0002035C" w:rsidRPr="00A52585">
        <w:rPr>
          <w:rFonts w:hint="cs"/>
          <w:rtl/>
          <w:lang w:bidi="ar-KW"/>
        </w:rPr>
        <w:t>:</w:t>
      </w:r>
      <w:r w:rsidRPr="00A52585">
        <w:rPr>
          <w:rFonts w:hint="cs"/>
          <w:rtl/>
          <w:lang w:bidi="ar-KW"/>
        </w:rPr>
        <w:t xml:space="preserve"> 76</w:t>
      </w:r>
      <w:r w:rsidR="0002035C" w:rsidRPr="00A52585">
        <w:rPr>
          <w:rFonts w:hint="cs"/>
          <w:rtl/>
          <w:lang w:bidi="ar-KW"/>
        </w:rPr>
        <w:t>]</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bCs/>
          <w:rtl/>
          <w:lang w:bidi="ar-KW"/>
        </w:rPr>
        <w:t>الحجة الخامسة</w:t>
      </w:r>
      <w:r w:rsidR="0002035C" w:rsidRPr="00A52585">
        <w:rPr>
          <w:rFonts w:hint="cs"/>
          <w:rtl/>
          <w:lang w:bidi="ar-KW"/>
        </w:rPr>
        <w:t>):</w:t>
      </w:r>
      <w:r w:rsidRPr="00A52585">
        <w:rPr>
          <w:rFonts w:hint="cs"/>
          <w:rtl/>
          <w:lang w:bidi="ar-KW"/>
        </w:rPr>
        <w:t xml:space="preserve"> إن كان لا يأكل ولا يشرب ولا ينام ولا يتحرك كان كالميت</w:t>
      </w:r>
      <w:r w:rsidR="00DB731D" w:rsidRPr="00A52585">
        <w:rPr>
          <w:rFonts w:hint="cs"/>
          <w:rtl/>
          <w:lang w:bidi="ar-KW"/>
        </w:rPr>
        <w:t>،</w:t>
      </w:r>
      <w:r w:rsidRPr="00A52585">
        <w:rPr>
          <w:rFonts w:hint="cs"/>
          <w:rtl/>
          <w:lang w:bidi="ar-KW"/>
        </w:rPr>
        <w:t xml:space="preserve"> وإن كان يفعل هذه الأشياء</w:t>
      </w:r>
      <w:r w:rsidR="00DB731D" w:rsidRPr="00A52585">
        <w:rPr>
          <w:rFonts w:hint="cs"/>
          <w:rtl/>
          <w:lang w:bidi="ar-KW"/>
        </w:rPr>
        <w:t>،</w:t>
      </w:r>
      <w:r w:rsidRPr="00A52585">
        <w:rPr>
          <w:rFonts w:hint="cs"/>
          <w:rtl/>
          <w:lang w:bidi="ar-KW"/>
        </w:rPr>
        <w:t xml:space="preserve"> كان إنسانا كثير التهمة محتاجا إلى الأكل والشرب والوقاع وذلك باطل</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bCs/>
          <w:rtl/>
          <w:lang w:bidi="ar-KW"/>
        </w:rPr>
        <w:t>الحجة السادسة</w:t>
      </w:r>
      <w:r w:rsidR="0002035C" w:rsidRPr="00A52585">
        <w:rPr>
          <w:rFonts w:hint="cs"/>
          <w:rtl/>
          <w:lang w:bidi="ar-KW"/>
        </w:rPr>
        <w:t>):</w:t>
      </w:r>
      <w:r w:rsidRPr="00A52585">
        <w:rPr>
          <w:rFonts w:hint="cs"/>
          <w:rtl/>
          <w:lang w:bidi="ar-KW"/>
        </w:rPr>
        <w:t xml:space="preserve"> أنهم يقولون إنه ينزل كل ليلة من العرش إلى السماء الدنيا</w:t>
      </w:r>
      <w:r w:rsidR="00DB731D" w:rsidRPr="00A52585">
        <w:rPr>
          <w:rFonts w:hint="cs"/>
          <w:rtl/>
          <w:lang w:bidi="ar-KW"/>
        </w:rPr>
        <w:t>،</w:t>
      </w:r>
      <w:r w:rsidRPr="00A52585">
        <w:rPr>
          <w:rFonts w:hint="cs"/>
          <w:rtl/>
          <w:lang w:bidi="ar-KW"/>
        </w:rPr>
        <w:t xml:space="preserve"> فنقول لهم حين نزوله</w:t>
      </w:r>
      <w:r w:rsidR="0002035C" w:rsidRPr="00A52585">
        <w:rPr>
          <w:rFonts w:hint="cs"/>
          <w:rtl/>
          <w:lang w:bidi="ar-KW"/>
        </w:rPr>
        <w:t>:</w:t>
      </w:r>
      <w:r w:rsidRPr="00A52585">
        <w:rPr>
          <w:rFonts w:hint="cs"/>
          <w:rtl/>
          <w:lang w:bidi="ar-KW"/>
        </w:rPr>
        <w:t xml:space="preserve"> هل يبقى مدبرا للعرش ويبقى مدبرا للسماء الدنيا حين كان على العرش</w:t>
      </w:r>
      <w:r w:rsidR="00DB731D" w:rsidRPr="00A52585">
        <w:rPr>
          <w:rFonts w:hint="cs"/>
          <w:rtl/>
          <w:lang w:bidi="ar-KW"/>
        </w:rPr>
        <w:t>،</w:t>
      </w:r>
      <w:r w:rsidRPr="00A52585">
        <w:rPr>
          <w:rFonts w:hint="cs"/>
          <w:rtl/>
          <w:lang w:bidi="ar-KW"/>
        </w:rPr>
        <w:t xml:space="preserve"> وحينئذ لا يبقى في النزول فائدة</w:t>
      </w:r>
      <w:r w:rsidR="00DB731D" w:rsidRPr="00A52585">
        <w:rPr>
          <w:rFonts w:hint="cs"/>
          <w:rtl/>
          <w:lang w:bidi="ar-KW"/>
        </w:rPr>
        <w:t>،</w:t>
      </w:r>
      <w:r w:rsidRPr="00A52585">
        <w:rPr>
          <w:rFonts w:hint="cs"/>
          <w:rtl/>
          <w:lang w:bidi="ar-KW"/>
        </w:rPr>
        <w:t xml:space="preserve"> وإن لم يبق مدبرا للعرش فعند نزوله يصير معزولا عن إلهية العرش والسموات</w:t>
      </w:r>
      <w:r w:rsidR="00DB731D" w:rsidRPr="00A52585">
        <w:rPr>
          <w:rFonts w:hint="cs"/>
          <w:rtl/>
          <w:lang w:bidi="ar-KW"/>
        </w:rPr>
        <w:t>،</w:t>
      </w:r>
      <w:r w:rsidRPr="00A52585">
        <w:rPr>
          <w:rFonts w:hint="cs"/>
          <w:rtl/>
          <w:lang w:bidi="ar-KW"/>
        </w:rPr>
        <w:t xml:space="preserve"> </w:t>
      </w:r>
      <w:r w:rsidR="0002035C" w:rsidRPr="00A52585">
        <w:rPr>
          <w:rFonts w:hint="cs"/>
          <w:bCs/>
          <w:u w:val="single"/>
          <w:rtl/>
          <w:lang w:bidi="ar-KW"/>
        </w:rPr>
        <w:t>(</w:t>
      </w:r>
      <w:r w:rsidRPr="00A52585">
        <w:rPr>
          <w:rFonts w:hint="cs"/>
          <w:bCs/>
          <w:u w:val="single"/>
          <w:rtl/>
          <w:lang w:bidi="ar-KW"/>
        </w:rPr>
        <w:t>الحجة السابعة</w:t>
      </w:r>
      <w:r w:rsidR="0002035C" w:rsidRPr="00A52585">
        <w:rPr>
          <w:rFonts w:hint="cs"/>
          <w:u w:val="single"/>
          <w:rtl/>
          <w:lang w:bidi="ar-KW"/>
        </w:rPr>
        <w:t>):</w:t>
      </w:r>
      <w:r w:rsidRPr="00A52585">
        <w:rPr>
          <w:rFonts w:hint="cs"/>
          <w:u w:val="single"/>
          <w:rtl/>
          <w:lang w:bidi="ar-KW"/>
        </w:rPr>
        <w:t xml:space="preserve"> أنهم يقولون إنه تعالى أعظم من العرش</w:t>
      </w:r>
      <w:r w:rsidR="00DB731D" w:rsidRPr="00A52585">
        <w:rPr>
          <w:rFonts w:hint="cs"/>
          <w:u w:val="single"/>
          <w:rtl/>
          <w:lang w:bidi="ar-KW"/>
        </w:rPr>
        <w:t>،</w:t>
      </w:r>
      <w:r w:rsidRPr="00A52585">
        <w:rPr>
          <w:rFonts w:hint="cs"/>
          <w:u w:val="single"/>
          <w:rtl/>
          <w:lang w:bidi="ar-KW"/>
        </w:rPr>
        <w:t xml:space="preserve"> وإن العرش لا نسبة لعظمته إلى عظمة الكرسي</w:t>
      </w:r>
      <w:r w:rsidR="00DB731D" w:rsidRPr="00A52585">
        <w:rPr>
          <w:rFonts w:hint="cs"/>
          <w:u w:val="single"/>
          <w:rtl/>
          <w:lang w:bidi="ar-KW"/>
        </w:rPr>
        <w:t>،</w:t>
      </w:r>
      <w:r w:rsidRPr="00A52585">
        <w:rPr>
          <w:rFonts w:hint="cs"/>
          <w:u w:val="single"/>
          <w:rtl/>
          <w:lang w:bidi="ar-KW"/>
        </w:rPr>
        <w:t xml:space="preserve"> وعلى هذا الترتيب حتى ينتهي إلى السماء الدنيا</w:t>
      </w:r>
      <w:r w:rsidR="00DB731D" w:rsidRPr="00A52585">
        <w:rPr>
          <w:rFonts w:hint="cs"/>
          <w:u w:val="single"/>
          <w:rtl/>
          <w:lang w:bidi="ar-KW"/>
        </w:rPr>
        <w:t>،</w:t>
      </w:r>
      <w:r w:rsidRPr="00A52585">
        <w:rPr>
          <w:rFonts w:hint="cs"/>
          <w:u w:val="single"/>
          <w:rtl/>
          <w:lang w:bidi="ar-KW"/>
        </w:rPr>
        <w:t xml:space="preserve"> فإذا كان كذلك كانت السماء الدنيا بالنسبة إلى عظمة الله كالذرة بالنسبة إلى البحر</w:t>
      </w:r>
      <w:r w:rsidR="00DB731D" w:rsidRPr="00A52585">
        <w:rPr>
          <w:rFonts w:hint="cs"/>
          <w:u w:val="single"/>
          <w:rtl/>
          <w:lang w:bidi="ar-KW"/>
        </w:rPr>
        <w:t>،</w:t>
      </w:r>
      <w:r w:rsidRPr="00A52585">
        <w:rPr>
          <w:rFonts w:hint="cs"/>
          <w:u w:val="single"/>
          <w:rtl/>
          <w:lang w:bidi="ar-KW"/>
        </w:rPr>
        <w:t xml:space="preserve"> فإذا نزل فإما أن يقال إن الإله يصير صغيرا بحيث تسعه السماء الدنيا</w:t>
      </w:r>
      <w:r w:rsidR="00DB731D" w:rsidRPr="00A52585">
        <w:rPr>
          <w:rFonts w:hint="cs"/>
          <w:u w:val="single"/>
          <w:rtl/>
          <w:lang w:bidi="ar-KW"/>
        </w:rPr>
        <w:t>،</w:t>
      </w:r>
      <w:r w:rsidRPr="00A52585">
        <w:rPr>
          <w:rFonts w:hint="cs"/>
          <w:u w:val="single"/>
          <w:rtl/>
          <w:lang w:bidi="ar-KW"/>
        </w:rPr>
        <w:t xml:space="preserve"> وإما أن يقال إن السماء الدنيا تصير أعظم من العرش</w:t>
      </w:r>
      <w:r w:rsidR="00DB731D" w:rsidRPr="00A52585">
        <w:rPr>
          <w:rFonts w:hint="cs"/>
          <w:u w:val="single"/>
          <w:rtl/>
          <w:lang w:bidi="ar-KW"/>
        </w:rPr>
        <w:t>،</w:t>
      </w:r>
      <w:r w:rsidRPr="00A52585">
        <w:rPr>
          <w:rFonts w:hint="cs"/>
          <w:u w:val="single"/>
          <w:rtl/>
          <w:lang w:bidi="ar-KW"/>
        </w:rPr>
        <w:t xml:space="preserve"> وكل ذلك باطل</w:t>
      </w:r>
      <w:r w:rsidR="00DB731D" w:rsidRPr="00A52585">
        <w:rPr>
          <w:rFonts w:hint="cs"/>
          <w:u w:val="single"/>
          <w:rtl/>
          <w:lang w:bidi="ar-KW"/>
        </w:rPr>
        <w:t>،</w:t>
      </w:r>
      <w:r w:rsidRPr="00A52585">
        <w:rPr>
          <w:rFonts w:hint="cs"/>
          <w:u w:val="single"/>
          <w:rtl/>
          <w:lang w:bidi="ar-KW"/>
        </w:rPr>
        <w:t xml:space="preserve"> </w:t>
      </w:r>
      <w:r w:rsidR="0002035C" w:rsidRPr="00A52585">
        <w:rPr>
          <w:rFonts w:hint="cs"/>
          <w:u w:val="single"/>
          <w:rtl/>
          <w:lang w:bidi="ar-KW"/>
        </w:rPr>
        <w:t>(</w:t>
      </w:r>
      <w:r w:rsidRPr="00A52585">
        <w:rPr>
          <w:rFonts w:hint="cs"/>
          <w:bCs/>
          <w:u w:val="single"/>
          <w:rtl/>
          <w:lang w:bidi="ar-KW"/>
        </w:rPr>
        <w:t>الحجة الثامنة</w:t>
      </w:r>
      <w:r w:rsidR="0002035C" w:rsidRPr="00A52585">
        <w:rPr>
          <w:rFonts w:hint="cs"/>
          <w:u w:val="single"/>
          <w:rtl/>
          <w:lang w:bidi="ar-KW"/>
        </w:rPr>
        <w:t>):</w:t>
      </w:r>
      <w:r w:rsidRPr="00A52585">
        <w:rPr>
          <w:rFonts w:hint="cs"/>
          <w:u w:val="single"/>
          <w:rtl/>
          <w:lang w:bidi="ar-KW"/>
        </w:rPr>
        <w:t xml:space="preserve"> ثبت أن العالم كرة</w:t>
      </w:r>
      <w:r w:rsidR="00DB731D" w:rsidRPr="00A52585">
        <w:rPr>
          <w:rFonts w:hint="cs"/>
          <w:u w:val="single"/>
          <w:rtl/>
          <w:lang w:bidi="ar-KW"/>
        </w:rPr>
        <w:t>،</w:t>
      </w:r>
      <w:r w:rsidRPr="00A52585">
        <w:rPr>
          <w:rFonts w:hint="cs"/>
          <w:u w:val="single"/>
          <w:rtl/>
          <w:lang w:bidi="ar-KW"/>
        </w:rPr>
        <w:t xml:space="preserve"> فإن كان فوق بالنسبة إلى قوم كانت تحت بالنسبة إلى قوم آخرين وذلك باطل</w:t>
      </w:r>
      <w:r w:rsidR="00DB731D" w:rsidRPr="00A52585">
        <w:rPr>
          <w:rFonts w:hint="cs"/>
          <w:u w:val="single"/>
          <w:rtl/>
          <w:lang w:bidi="ar-KW"/>
        </w:rPr>
        <w:t>،</w:t>
      </w:r>
      <w:r w:rsidRPr="00A52585">
        <w:rPr>
          <w:rFonts w:hint="cs"/>
          <w:u w:val="single"/>
          <w:rtl/>
          <w:lang w:bidi="ar-KW"/>
        </w:rPr>
        <w:t xml:space="preserve"> وإن كان فوق بالنسبة إلى الكل</w:t>
      </w:r>
      <w:r w:rsidR="00DB731D" w:rsidRPr="00A52585">
        <w:rPr>
          <w:rFonts w:hint="cs"/>
          <w:u w:val="single"/>
          <w:rtl/>
          <w:lang w:bidi="ar-KW"/>
        </w:rPr>
        <w:t>،</w:t>
      </w:r>
      <w:r w:rsidRPr="00A52585">
        <w:rPr>
          <w:rFonts w:hint="cs"/>
          <w:u w:val="single"/>
          <w:rtl/>
          <w:lang w:bidi="ar-KW"/>
        </w:rPr>
        <w:t xml:space="preserve"> فحينئذ يكون جسما محيطا بهذا العالم من كل الجوانب</w:t>
      </w:r>
      <w:r w:rsidR="00DB731D" w:rsidRPr="00A52585">
        <w:rPr>
          <w:rFonts w:hint="cs"/>
          <w:u w:val="single"/>
          <w:rtl/>
          <w:lang w:bidi="ar-KW"/>
        </w:rPr>
        <w:t>،</w:t>
      </w:r>
      <w:r w:rsidRPr="00A52585">
        <w:rPr>
          <w:rFonts w:hint="cs"/>
          <w:u w:val="single"/>
          <w:rtl/>
          <w:lang w:bidi="ar-KW"/>
        </w:rPr>
        <w:t xml:space="preserve"> فيكون إله العالم على هذا القول فلكا من الأفلاك، </w:t>
      </w:r>
      <w:r w:rsidRPr="00A52585">
        <w:rPr>
          <w:u w:val="single"/>
          <w:lang w:bidi="ar-KW"/>
        </w:rPr>
        <w:br/>
      </w:r>
      <w:r w:rsidR="0002035C" w:rsidRPr="00A52585">
        <w:rPr>
          <w:rFonts w:hint="cs"/>
          <w:u w:val="single"/>
          <w:rtl/>
          <w:lang w:bidi="ar-KW"/>
        </w:rPr>
        <w:t>(</w:t>
      </w:r>
      <w:r w:rsidRPr="00A52585">
        <w:rPr>
          <w:rFonts w:hint="cs"/>
          <w:bCs/>
          <w:u w:val="single"/>
          <w:rtl/>
          <w:lang w:bidi="ar-KW"/>
        </w:rPr>
        <w:t>الحجة التاسعة</w:t>
      </w:r>
      <w:r w:rsidR="0002035C" w:rsidRPr="00A52585">
        <w:rPr>
          <w:rFonts w:hint="cs"/>
          <w:u w:val="single"/>
          <w:rtl/>
          <w:lang w:bidi="ar-KW"/>
        </w:rPr>
        <w:t>):</w:t>
      </w:r>
      <w:r w:rsidRPr="00A52585">
        <w:rPr>
          <w:rFonts w:hint="cs"/>
          <w:u w:val="single"/>
          <w:rtl/>
          <w:lang w:bidi="ar-KW"/>
        </w:rPr>
        <w:t xml:space="preserve"> لما كانت الأرض كرة</w:t>
      </w:r>
      <w:r w:rsidR="00DB731D" w:rsidRPr="00A52585">
        <w:rPr>
          <w:rFonts w:hint="cs"/>
          <w:u w:val="single"/>
          <w:rtl/>
          <w:lang w:bidi="ar-KW"/>
        </w:rPr>
        <w:t>،</w:t>
      </w:r>
      <w:r w:rsidRPr="00A52585">
        <w:rPr>
          <w:rFonts w:hint="cs"/>
          <w:u w:val="single"/>
          <w:rtl/>
          <w:lang w:bidi="ar-KW"/>
        </w:rPr>
        <w:t xml:space="preserve"> وكانت السموات كرات</w:t>
      </w:r>
      <w:r w:rsidR="00DB731D" w:rsidRPr="00A52585">
        <w:rPr>
          <w:rFonts w:hint="cs"/>
          <w:u w:val="single"/>
          <w:rtl/>
          <w:lang w:bidi="ar-KW"/>
        </w:rPr>
        <w:t>،</w:t>
      </w:r>
      <w:r w:rsidRPr="00A52585">
        <w:rPr>
          <w:rFonts w:hint="cs"/>
          <w:u w:val="single"/>
          <w:rtl/>
          <w:lang w:bidi="ar-KW"/>
        </w:rPr>
        <w:t xml:space="preserve"> فكل ساعة تفرض الساعات فإنها تكون ثلث الليل في حق أقوام معينين من سكان كرة العوارض</w:t>
      </w:r>
      <w:r w:rsidR="00DB731D" w:rsidRPr="00A52585">
        <w:rPr>
          <w:rFonts w:hint="cs"/>
          <w:u w:val="single"/>
          <w:rtl/>
          <w:lang w:bidi="ar-KW"/>
        </w:rPr>
        <w:t>،</w:t>
      </w:r>
      <w:r w:rsidRPr="00A52585">
        <w:rPr>
          <w:rFonts w:hint="cs"/>
          <w:u w:val="single"/>
          <w:rtl/>
          <w:lang w:bidi="ar-KW"/>
        </w:rPr>
        <w:t xml:space="preserve"> فلو نزل من العرش في ثلث الليل وجب </w:t>
      </w:r>
      <w:r w:rsidRPr="00A52585">
        <w:rPr>
          <w:rFonts w:hint="cs"/>
          <w:u w:val="single"/>
          <w:rtl/>
          <w:lang w:bidi="ar-KW"/>
        </w:rPr>
        <w:lastRenderedPageBreak/>
        <w:t>أن يبقى أبدا نازلا عن العرش</w:t>
      </w:r>
      <w:r w:rsidR="00DB731D" w:rsidRPr="00A52585">
        <w:rPr>
          <w:rFonts w:hint="cs"/>
          <w:u w:val="single"/>
          <w:rtl/>
          <w:lang w:bidi="ar-KW"/>
        </w:rPr>
        <w:t>،</w:t>
      </w:r>
      <w:r w:rsidRPr="00A52585">
        <w:rPr>
          <w:rFonts w:hint="cs"/>
          <w:u w:val="single"/>
          <w:rtl/>
          <w:lang w:bidi="ar-KW"/>
        </w:rPr>
        <w:t xml:space="preserve"> وأن لا يرجع إلى العرش البتة</w:t>
      </w:r>
      <w:r w:rsidR="00DB731D" w:rsidRPr="00A52585">
        <w:rPr>
          <w:rFonts w:hint="cs"/>
          <w:u w:val="single"/>
          <w:rtl/>
          <w:lang w:bidi="ar-KW"/>
        </w:rPr>
        <w:t>،</w:t>
      </w:r>
      <w:r w:rsidRPr="00A52585">
        <w:rPr>
          <w:rFonts w:hint="cs"/>
          <w:u w:val="single"/>
          <w:rtl/>
          <w:lang w:bidi="ar-KW"/>
        </w:rPr>
        <w:t xml:space="preserve"> </w:t>
      </w:r>
      <w:r w:rsidR="0002035C" w:rsidRPr="00A52585">
        <w:rPr>
          <w:rFonts w:hint="cs"/>
          <w:rtl/>
          <w:lang w:bidi="ar-KW"/>
        </w:rPr>
        <w:t>(</w:t>
      </w:r>
      <w:r w:rsidRPr="00A52585">
        <w:rPr>
          <w:rFonts w:hint="cs"/>
          <w:bCs/>
          <w:rtl/>
          <w:lang w:bidi="ar-KW"/>
        </w:rPr>
        <w:t>الحجة العاشرة</w:t>
      </w:r>
      <w:r w:rsidR="0002035C" w:rsidRPr="00A52585">
        <w:rPr>
          <w:rFonts w:hint="cs"/>
          <w:rtl/>
          <w:lang w:bidi="ar-KW"/>
        </w:rPr>
        <w:t>):</w:t>
      </w:r>
      <w:r w:rsidRPr="00A52585">
        <w:rPr>
          <w:rFonts w:hint="cs"/>
          <w:rtl/>
          <w:lang w:bidi="ar-KW"/>
        </w:rPr>
        <w:t xml:space="preserve"> أنا إنما زيفنا إلهية الشمس والقمر لثلاثة أنواع من العيوب أولها</w:t>
      </w:r>
      <w:r w:rsidR="0002035C" w:rsidRPr="00A52585">
        <w:rPr>
          <w:rFonts w:hint="cs"/>
          <w:rtl/>
          <w:lang w:bidi="ar-KW"/>
        </w:rPr>
        <w:t>:</w:t>
      </w:r>
      <w:r w:rsidRPr="00A52585">
        <w:rPr>
          <w:rFonts w:hint="cs"/>
          <w:rtl/>
          <w:lang w:bidi="ar-KW"/>
        </w:rPr>
        <w:t xml:space="preserve"> كونه مؤلفا من الأجزاء والأبعاض وثانيها</w:t>
      </w:r>
      <w:r w:rsidR="0002035C" w:rsidRPr="00A52585">
        <w:rPr>
          <w:rFonts w:hint="cs"/>
          <w:rtl/>
          <w:lang w:bidi="ar-KW"/>
        </w:rPr>
        <w:t>:</w:t>
      </w:r>
      <w:r w:rsidRPr="00A52585">
        <w:rPr>
          <w:rFonts w:hint="cs"/>
          <w:rtl/>
          <w:lang w:bidi="ar-KW"/>
        </w:rPr>
        <w:t xml:space="preserve"> كونه محدودا متناهيا وثالثها</w:t>
      </w:r>
      <w:r w:rsidR="0002035C" w:rsidRPr="00A52585">
        <w:rPr>
          <w:rFonts w:hint="cs"/>
          <w:rtl/>
          <w:lang w:bidi="ar-KW"/>
        </w:rPr>
        <w:t>:</w:t>
      </w:r>
      <w:r w:rsidRPr="00A52585">
        <w:rPr>
          <w:rFonts w:hint="cs"/>
          <w:rtl/>
          <w:lang w:bidi="ar-KW"/>
        </w:rPr>
        <w:t xml:space="preserve"> كونه موصوفا بالحركة والسكون والطلوع والغروب</w:t>
      </w:r>
      <w:r w:rsidR="00DB731D" w:rsidRPr="00A52585">
        <w:rPr>
          <w:rFonts w:hint="cs"/>
          <w:rtl/>
          <w:lang w:bidi="ar-KW"/>
        </w:rPr>
        <w:t>،</w:t>
      </w:r>
      <w:r w:rsidRPr="00A52585">
        <w:rPr>
          <w:rFonts w:hint="cs"/>
          <w:rtl/>
          <w:lang w:bidi="ar-KW"/>
        </w:rPr>
        <w:t xml:space="preserve"> فإذا كان إله المشبهة مؤلفا من الأعضاء والأجزاء كان مركبا</w:t>
      </w:r>
      <w:r w:rsidR="00DB731D" w:rsidRPr="00A52585">
        <w:rPr>
          <w:rFonts w:hint="cs"/>
          <w:rtl/>
          <w:lang w:bidi="ar-KW"/>
        </w:rPr>
        <w:t>،</w:t>
      </w:r>
      <w:r w:rsidRPr="00A52585">
        <w:rPr>
          <w:rFonts w:hint="cs"/>
          <w:rtl/>
          <w:lang w:bidi="ar-KW"/>
        </w:rPr>
        <w:t xml:space="preserve"> فإذا كان العرش كان محدودا متناهيا</w:t>
      </w:r>
      <w:r w:rsidR="00DB731D" w:rsidRPr="00A52585">
        <w:rPr>
          <w:rFonts w:hint="cs"/>
          <w:rtl/>
          <w:lang w:bidi="ar-KW"/>
        </w:rPr>
        <w:t>،</w:t>
      </w:r>
      <w:r w:rsidRPr="00A52585">
        <w:rPr>
          <w:rFonts w:hint="cs"/>
          <w:rtl/>
          <w:lang w:bidi="ar-KW"/>
        </w:rPr>
        <w:t xml:space="preserve"> وإن كان ينزل من العرش ويرجع إليه كان موصوفا بالحركة والسكون</w:t>
      </w:r>
      <w:r w:rsidR="00DB731D" w:rsidRPr="00A52585">
        <w:rPr>
          <w:rFonts w:hint="cs"/>
          <w:rtl/>
          <w:lang w:bidi="ar-KW"/>
        </w:rPr>
        <w:t>،</w:t>
      </w:r>
      <w:r w:rsidRPr="00A52585">
        <w:rPr>
          <w:rFonts w:hint="cs"/>
          <w:rtl/>
          <w:lang w:bidi="ar-KW"/>
        </w:rPr>
        <w:t xml:space="preserve"> فهذه الصفات الثلاثة إن كانت منافية للإلهية وجب تنزيه الإله عنها بأسرها</w:t>
      </w:r>
      <w:r w:rsidR="00DB731D" w:rsidRPr="00A52585">
        <w:rPr>
          <w:rFonts w:hint="cs"/>
          <w:rtl/>
          <w:lang w:bidi="ar-KW"/>
        </w:rPr>
        <w:t>،</w:t>
      </w:r>
      <w:r w:rsidRPr="00A52585">
        <w:rPr>
          <w:rFonts w:hint="cs"/>
          <w:rtl/>
          <w:lang w:bidi="ar-KW"/>
        </w:rPr>
        <w:t xml:space="preserve"> وذلك يبطل قول المشبهة</w:t>
      </w:r>
      <w:r w:rsidR="00DB731D" w:rsidRPr="00A52585">
        <w:rPr>
          <w:rFonts w:hint="cs"/>
          <w:rtl/>
          <w:lang w:bidi="ar-KW"/>
        </w:rPr>
        <w:t>،</w:t>
      </w:r>
      <w:r w:rsidRPr="00A52585">
        <w:rPr>
          <w:rFonts w:hint="cs"/>
          <w:rtl/>
          <w:lang w:bidi="ar-KW"/>
        </w:rPr>
        <w:t xml:space="preserve"> وإن لم تكن منافية للإلهية فحينئذ لا يقدر أحد على الطعن في إلهية الشمس والقمر</w:t>
      </w:r>
      <w:r w:rsidR="00DB731D"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bCs/>
          <w:rtl/>
          <w:lang w:bidi="ar-KW"/>
        </w:rPr>
        <w:t>الحجة الحادية عشرة</w:t>
      </w:r>
      <w:r w:rsidR="0002035C" w:rsidRPr="00A52585">
        <w:rPr>
          <w:rFonts w:hint="cs"/>
          <w:rtl/>
          <w:lang w:bidi="ar-KW"/>
        </w:rPr>
        <w:t>):</w:t>
      </w:r>
      <w:r w:rsidRPr="00A52585">
        <w:rPr>
          <w:rFonts w:hint="cs"/>
          <w:rtl/>
          <w:lang w:bidi="ar-KW"/>
        </w:rPr>
        <w:t xml:space="preserve">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قل هو الله أحد</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الإخلاص</w:t>
      </w:r>
      <w:r w:rsidR="0002035C" w:rsidRPr="00A52585">
        <w:rPr>
          <w:rFonts w:hint="cs"/>
          <w:rtl/>
          <w:lang w:bidi="ar-KW"/>
        </w:rPr>
        <w:t>:</w:t>
      </w:r>
      <w:r w:rsidRPr="00A52585">
        <w:rPr>
          <w:rFonts w:hint="cs"/>
          <w:rtl/>
          <w:lang w:bidi="ar-KW"/>
        </w:rPr>
        <w:t xml:space="preserve"> 1</w:t>
      </w:r>
      <w:r w:rsidR="0002035C" w:rsidRPr="00A52585">
        <w:rPr>
          <w:rFonts w:hint="cs"/>
          <w:rtl/>
          <w:lang w:bidi="ar-KW"/>
        </w:rPr>
        <w:t>]</w:t>
      </w:r>
      <w:r w:rsidRPr="00A52585">
        <w:rPr>
          <w:rFonts w:hint="cs"/>
          <w:rtl/>
          <w:lang w:bidi="ar-KW"/>
        </w:rPr>
        <w:t xml:space="preserve"> ولفظ الأحد مبالغة في الوحدة</w:t>
      </w:r>
      <w:r w:rsidR="00DB731D" w:rsidRPr="00A52585">
        <w:rPr>
          <w:rFonts w:hint="cs"/>
          <w:rtl/>
          <w:lang w:bidi="ar-KW"/>
        </w:rPr>
        <w:t>،</w:t>
      </w:r>
      <w:r w:rsidRPr="00A52585">
        <w:rPr>
          <w:rFonts w:hint="cs"/>
          <w:rtl/>
          <w:lang w:bidi="ar-KW"/>
        </w:rPr>
        <w:t xml:space="preserve"> وذلك ينافي كونه مركبا من الأجزاء والأبعاض</w:t>
      </w:r>
      <w:r w:rsidR="00DB731D" w:rsidRPr="00A52585">
        <w:rPr>
          <w:rFonts w:hint="cs"/>
          <w:rtl/>
          <w:lang w:bidi="ar-KW"/>
        </w:rPr>
        <w:t>،</w:t>
      </w:r>
      <w:r w:rsidRPr="00A52585">
        <w:rPr>
          <w:rFonts w:hint="cs"/>
          <w:rtl/>
          <w:lang w:bidi="ar-KW"/>
        </w:rPr>
        <w:t xml:space="preserve"> </w:t>
      </w:r>
      <w:r w:rsidR="0002035C" w:rsidRPr="00A52585">
        <w:rPr>
          <w:rFonts w:hint="cs"/>
          <w:bCs/>
          <w:rtl/>
          <w:lang w:bidi="ar-KW"/>
        </w:rPr>
        <w:t>(</w:t>
      </w:r>
      <w:r w:rsidRPr="00A52585">
        <w:rPr>
          <w:rFonts w:hint="cs"/>
          <w:bCs/>
          <w:rtl/>
          <w:lang w:bidi="ar-KW"/>
        </w:rPr>
        <w:t>الحجة الثانية عشرة</w:t>
      </w:r>
      <w:r w:rsidR="0002035C" w:rsidRPr="00A52585">
        <w:rPr>
          <w:rFonts w:hint="cs"/>
          <w:bCs/>
          <w:rtl/>
          <w:lang w:bidi="ar-KW"/>
        </w:rPr>
        <w:t>)</w:t>
      </w:r>
      <w:r w:rsidR="0002035C" w:rsidRPr="00A52585">
        <w:rPr>
          <w:rFonts w:hint="cs"/>
          <w:rtl/>
          <w:lang w:bidi="ar-KW"/>
        </w:rPr>
        <w:t>:</w:t>
      </w:r>
      <w:r w:rsidRPr="00A52585">
        <w:rPr>
          <w:rFonts w:hint="cs"/>
          <w:rtl/>
          <w:lang w:bidi="ar-KW"/>
        </w:rPr>
        <w:t xml:space="preserve"> قوله تعالى</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والله الغني وأنتم الفقراء</w:t>
      </w:r>
      <w:r w:rsidR="0002035C" w:rsidRPr="00A52585">
        <w:rPr>
          <w:rFonts w:hint="cs"/>
          <w:rtl/>
          <w:lang w:bidi="ar-KW"/>
        </w:rPr>
        <w:t>}</w:t>
      </w:r>
      <w:r w:rsidRPr="00A52585">
        <w:rPr>
          <w:rFonts w:hint="cs"/>
          <w:rtl/>
          <w:lang w:bidi="ar-KW"/>
        </w:rPr>
        <w:t xml:space="preserve"> </w:t>
      </w:r>
      <w:r w:rsidR="0002035C" w:rsidRPr="00A52585">
        <w:rPr>
          <w:rFonts w:hint="cs"/>
          <w:rtl/>
          <w:lang w:bidi="ar-KW"/>
        </w:rPr>
        <w:t>[</w:t>
      </w:r>
      <w:r w:rsidRPr="00A52585">
        <w:rPr>
          <w:rFonts w:hint="cs"/>
          <w:rtl/>
          <w:lang w:bidi="ar-KW"/>
        </w:rPr>
        <w:t>محمد</w:t>
      </w:r>
      <w:r w:rsidR="0002035C" w:rsidRPr="00A52585">
        <w:rPr>
          <w:rFonts w:hint="cs"/>
          <w:rtl/>
          <w:lang w:bidi="ar-KW"/>
        </w:rPr>
        <w:t>:</w:t>
      </w:r>
      <w:r w:rsidRPr="00A52585">
        <w:rPr>
          <w:rFonts w:hint="cs"/>
          <w:rtl/>
          <w:lang w:bidi="ar-KW"/>
        </w:rPr>
        <w:t xml:space="preserve"> 38</w:t>
      </w:r>
      <w:r w:rsidR="0002035C" w:rsidRPr="00A52585">
        <w:rPr>
          <w:rFonts w:hint="cs"/>
          <w:rtl/>
          <w:lang w:bidi="ar-KW"/>
        </w:rPr>
        <w:t>]</w:t>
      </w:r>
      <w:r w:rsidRPr="00A52585">
        <w:rPr>
          <w:rFonts w:hint="cs"/>
          <w:rtl/>
          <w:lang w:bidi="ar-KW"/>
        </w:rPr>
        <w:t xml:space="preserve"> ولو كان مركبا من الأجزاء والأبعاض لكان محتاجا إليها وذلك يمنع من كونه غنيا على الإطلاق</w:t>
      </w:r>
      <w:r w:rsidR="00DB731D" w:rsidRPr="00A52585">
        <w:rPr>
          <w:rFonts w:hint="cs"/>
          <w:rtl/>
          <w:lang w:bidi="ar-KW"/>
        </w:rPr>
        <w:t>،</w:t>
      </w:r>
      <w:r w:rsidRPr="00A52585">
        <w:rPr>
          <w:rFonts w:hint="cs"/>
          <w:rtl/>
          <w:lang w:bidi="ar-KW"/>
        </w:rPr>
        <w:t xml:space="preserve"> فثبت بهذه الوجوه أن القول بإثبات الأعضاء والأجزاء لله محال</w:t>
      </w:r>
      <w:r w:rsidR="0002035C" w:rsidRPr="00A52585">
        <w:rPr>
          <w:rFonts w:hint="cs"/>
          <w:rtl/>
          <w:lang w:bidi="ar-KW"/>
        </w:rPr>
        <w:t>)</w:t>
      </w:r>
      <w:r w:rsidRPr="00A52585">
        <w:rPr>
          <w:rFonts w:hint="cs"/>
          <w:rtl/>
          <w:lang w:bidi="ar-KW"/>
        </w:rPr>
        <w:t xml:space="preserve"> أهـ </w:t>
      </w:r>
      <w:r w:rsidR="0002035C" w:rsidRPr="00A52585">
        <w:rPr>
          <w:rFonts w:hint="cs"/>
          <w:rtl/>
          <w:lang w:bidi="ar-KW"/>
        </w:rPr>
        <w:t>[</w:t>
      </w:r>
      <w:r w:rsidRPr="00A52585">
        <w:rPr>
          <w:rFonts w:hint="cs"/>
          <w:rtl/>
          <w:lang w:bidi="ar-KW"/>
        </w:rPr>
        <w:t>تفسير مفاتح الغيب</w:t>
      </w:r>
      <w:r w:rsidR="0002035C" w:rsidRPr="00A52585">
        <w:rPr>
          <w:rFonts w:hint="cs"/>
          <w:rtl/>
          <w:lang w:bidi="ar-KW"/>
        </w:rPr>
        <w:t>:</w:t>
      </w:r>
      <w:r w:rsidRPr="00A52585">
        <w:rPr>
          <w:rFonts w:hint="cs"/>
          <w:rtl/>
          <w:lang w:bidi="ar-KW"/>
        </w:rPr>
        <w:t xml:space="preserve"> ج 13</w:t>
      </w:r>
      <w:r w:rsidR="0002035C" w:rsidRPr="00A52585">
        <w:rPr>
          <w:rFonts w:hint="cs"/>
          <w:rtl/>
          <w:lang w:bidi="ar-KW"/>
        </w:rPr>
        <w:t>:</w:t>
      </w:r>
      <w:r w:rsidRPr="00A52585">
        <w:rPr>
          <w:rFonts w:hint="cs"/>
          <w:rtl/>
          <w:lang w:bidi="ar-KW"/>
        </w:rPr>
        <w:t xml:space="preserve"> ص 212 إلى 214</w:t>
      </w:r>
      <w:r w:rsidR="0002035C" w:rsidRPr="00A52585">
        <w:rPr>
          <w:rFonts w:hint="cs"/>
          <w:rtl/>
          <w:lang w:bidi="ar-KW"/>
        </w:rPr>
        <w:t>]</w:t>
      </w:r>
      <w:r w:rsidR="00DB731D" w:rsidRPr="00A52585">
        <w:rPr>
          <w:rFonts w:hint="cs"/>
          <w:rtl/>
          <w:lang w:bidi="ar-KW"/>
        </w:rPr>
        <w:t>،</w:t>
      </w:r>
      <w:r w:rsidRPr="00A52585">
        <w:rPr>
          <w:rFonts w:hint="cs"/>
          <w:rtl/>
          <w:lang w:bidi="ar-KW"/>
        </w:rPr>
        <w:t xml:space="preserve"> </w:t>
      </w:r>
    </w:p>
    <w:p w14:paraId="53B8C408" w14:textId="4713270D" w:rsidR="00777DCB" w:rsidRPr="00A52585" w:rsidRDefault="00777DCB" w:rsidP="0002035C">
      <w:pPr>
        <w:spacing w:after="240"/>
        <w:rPr>
          <w:rtl/>
          <w:lang w:bidi="ar-KW"/>
        </w:rPr>
      </w:pPr>
      <w:r w:rsidRPr="00A52585">
        <w:rPr>
          <w:rFonts w:hint="cs"/>
          <w:bCs/>
          <w:rtl/>
        </w:rPr>
        <w:t xml:space="preserve">وقال رحمه الله - في درة من كلامه - في كتابه الذي لم أر في التقديس كتاباً مثله </w:t>
      </w:r>
      <w:r w:rsidR="0002035C" w:rsidRPr="00A52585">
        <w:rPr>
          <w:rFonts w:hint="cs"/>
          <w:bCs/>
          <w:rtl/>
        </w:rPr>
        <w:t>(</w:t>
      </w:r>
      <w:r w:rsidRPr="00A52585">
        <w:rPr>
          <w:rFonts w:hint="cs"/>
          <w:bCs/>
          <w:rtl/>
        </w:rPr>
        <w:t>كتاب أساس التقديس</w:t>
      </w:r>
      <w:r w:rsidR="0002035C" w:rsidRPr="00A52585">
        <w:rPr>
          <w:rFonts w:hint="cs"/>
          <w:bCs/>
          <w:rtl/>
        </w:rPr>
        <w:t>):</w:t>
      </w:r>
      <w:r w:rsidRPr="00A52585">
        <w:rPr>
          <w:rFonts w:hint="cs"/>
          <w:rtl/>
        </w:rPr>
        <w:t xml:space="preserve"> </w:t>
      </w:r>
      <w:r w:rsidR="0002035C" w:rsidRPr="00A52585">
        <w:rPr>
          <w:rFonts w:hint="cs"/>
          <w:rtl/>
        </w:rPr>
        <w:t>(</w:t>
      </w:r>
      <w:r w:rsidRPr="00A52585">
        <w:rPr>
          <w:rFonts w:hint="cs"/>
          <w:rtl/>
        </w:rPr>
        <w:t>الفصل التاسع في المجيء والنـزول</w:t>
      </w:r>
      <w:r w:rsidR="0002035C" w:rsidRPr="00A52585">
        <w:rPr>
          <w:rtl/>
        </w:rPr>
        <w:t xml:space="preserve"> </w:t>
      </w:r>
      <w:r w:rsidRPr="00A52585">
        <w:rPr>
          <w:rFonts w:hint="cs"/>
          <w:rtl/>
        </w:rPr>
        <w:t xml:space="preserve">احتجوا بقوله تعالى: </w:t>
      </w:r>
      <w:r w:rsidR="0002035C" w:rsidRPr="00A52585">
        <w:rPr>
          <w:rFonts w:hint="cs"/>
          <w:rtl/>
        </w:rPr>
        <w:t>{</w:t>
      </w:r>
      <w:r w:rsidRPr="00A52585">
        <w:rPr>
          <w:rFonts w:hint="cs"/>
          <w:rtl/>
        </w:rPr>
        <w:t>هل ينظرون إلا أن يأتيهم الله في ظلل من الغمام}</w:t>
      </w:r>
      <w:r w:rsidR="00DB731D" w:rsidRPr="00A52585">
        <w:rPr>
          <w:rFonts w:hint="cs"/>
          <w:rtl/>
        </w:rPr>
        <w:t>،</w:t>
      </w:r>
      <w:r w:rsidRPr="00A52585">
        <w:rPr>
          <w:rFonts w:hint="cs"/>
        </w:rPr>
        <w:t xml:space="preserve"> </w:t>
      </w:r>
      <w:r w:rsidRPr="00A52585">
        <w:rPr>
          <w:rFonts w:hint="cs"/>
          <w:rtl/>
        </w:rPr>
        <w:t>وبقوله تعالى</w:t>
      </w:r>
      <w:r w:rsidR="0002035C" w:rsidRPr="00A52585">
        <w:rPr>
          <w:rFonts w:hint="cs"/>
          <w:rtl/>
        </w:rPr>
        <w:t>: {</w:t>
      </w:r>
      <w:r w:rsidRPr="00A52585">
        <w:rPr>
          <w:rFonts w:hint="cs"/>
          <w:rtl/>
        </w:rPr>
        <w:t>وجاء ربك</w:t>
      </w:r>
      <w:r w:rsidR="0002035C" w:rsidRPr="00A52585">
        <w:rPr>
          <w:rFonts w:hint="cs"/>
          <w:rtl/>
        </w:rPr>
        <w:t>}</w:t>
      </w:r>
      <w:r w:rsidR="00DB731D" w:rsidRPr="00A52585">
        <w:rPr>
          <w:rFonts w:hint="cs"/>
          <w:rtl/>
        </w:rPr>
        <w:t>،</w:t>
      </w:r>
      <w:r w:rsidRPr="00A52585">
        <w:rPr>
          <w:rFonts w:hint="cs"/>
        </w:rPr>
        <w:t xml:space="preserve"> </w:t>
      </w:r>
      <w:r w:rsidRPr="00A52585">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Pr="00A52585">
        <w:rPr>
          <w:rFonts w:hint="cs"/>
        </w:rPr>
        <w:t xml:space="preserve"> </w:t>
      </w:r>
      <w:r w:rsidRPr="00A52585">
        <w:rPr>
          <w:rFonts w:hint="cs"/>
          <w:rtl/>
        </w:rPr>
        <w:t>(</w:t>
      </w:r>
      <w:r w:rsidR="0002035C" w:rsidRPr="00A52585">
        <w:rPr>
          <w:rFonts w:hint="cs"/>
          <w:rtl/>
        </w:rPr>
        <w:t>(</w:t>
      </w:r>
      <w:r w:rsidRPr="00A52585">
        <w:rPr>
          <w:rFonts w:hint="cs"/>
          <w:rtl/>
        </w:rPr>
        <w:t>ما اجتمع قوم يذكرون الله إلا حفتهم الملائكة وغشيتهم الرحمة وتنـزلت عليهم السكينة وذكرهم الله فيمن عنده</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w:t>
      </w:r>
      <w:r w:rsidRPr="00A52585">
        <w:rPr>
          <w:rFonts w:hint="cs"/>
          <w:rtl/>
          <w:lang w:bidi="ar-KW"/>
        </w:rPr>
        <w:t>(</w:t>
      </w:r>
      <w:r w:rsidR="0002035C" w:rsidRPr="00A52585">
        <w:rPr>
          <w:rFonts w:hint="cs"/>
          <w:rtl/>
          <w:lang w:bidi="ar-KW"/>
        </w:rPr>
        <w:t>(</w:t>
      </w:r>
      <w:r w:rsidRPr="00A52585">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02035C" w:rsidRPr="00A52585">
        <w:rPr>
          <w:rFonts w:hint="cs"/>
          <w:rtl/>
        </w:rPr>
        <w:t>)</w:t>
      </w:r>
      <w:r w:rsidRPr="00A52585">
        <w:rPr>
          <w:rFonts w:hint="cs"/>
          <w:rtl/>
        </w:rPr>
        <w:t>) قال صاحب هذا الكتاب هذا حديث متفق على صحته، وفي هذا الباب أيضا عن أبي هريرة أن النبي صلى الله عليه وسلم قال:</w:t>
      </w:r>
      <w:r w:rsidRPr="00A52585">
        <w:rPr>
          <w:rFonts w:hint="cs"/>
        </w:rPr>
        <w:t xml:space="preserve"> </w:t>
      </w:r>
      <w:r w:rsidRPr="00A52585">
        <w:rPr>
          <w:rFonts w:hint="cs"/>
          <w:rtl/>
        </w:rPr>
        <w:t>ينـزل ربنا كل ليلة إلى سماء الدنيا</w:t>
      </w:r>
      <w:r w:rsidR="00897A24" w:rsidRPr="00A52585">
        <w:rPr>
          <w:rFonts w:hint="cs"/>
          <w:rtl/>
        </w:rPr>
        <w:t>.</w:t>
      </w:r>
      <w:r w:rsidRPr="00A52585">
        <w:rPr>
          <w:rFonts w:hint="cs"/>
          <w:rtl/>
        </w:rPr>
        <w:t>.</w:t>
      </w:r>
      <w:r w:rsidR="0002035C" w:rsidRPr="00A52585">
        <w:rPr>
          <w:rFonts w:hint="cs"/>
          <w:rtl/>
        </w:rPr>
        <w:t xml:space="preserve"> </w:t>
      </w:r>
      <w:r w:rsidRPr="00A52585">
        <w:rPr>
          <w:rFonts w:hint="cs"/>
          <w:rtl/>
        </w:rPr>
        <w:t>الحديث</w:t>
      </w:r>
      <w:r w:rsidR="00DB731D" w:rsidRPr="00A52585">
        <w:rPr>
          <w:rFonts w:hint="cs"/>
          <w:rtl/>
        </w:rPr>
        <w:t>،</w:t>
      </w:r>
      <w:r w:rsidRPr="00A52585">
        <w:rPr>
          <w:rFonts w:hint="cs"/>
          <w:rtl/>
          <w:lang w:bidi="ar-KW"/>
        </w:rPr>
        <w:t xml:space="preserve"> </w:t>
      </w:r>
      <w:r w:rsidRPr="00A52585">
        <w:rPr>
          <w:rFonts w:hint="cs"/>
          <w:rtl/>
        </w:rPr>
        <w:t>واعلم أن الكلام في قوله:</w:t>
      </w:r>
      <w:r w:rsidR="0002035C" w:rsidRPr="00A52585">
        <w:rPr>
          <w:rFonts w:hint="cs"/>
          <w:rtl/>
        </w:rPr>
        <w:t xml:space="preserve"> {</w:t>
      </w:r>
      <w:r w:rsidRPr="00A52585">
        <w:rPr>
          <w:rFonts w:hint="cs"/>
          <w:rtl/>
        </w:rPr>
        <w:t>هل ينظرون إلا أن يأتيهم الله في ظلل من الغمام}</w:t>
      </w:r>
      <w:r w:rsidR="0002035C" w:rsidRPr="00A52585">
        <w:rPr>
          <w:rFonts w:hint="cs"/>
          <w:rtl/>
        </w:rPr>
        <w:t xml:space="preserve"> </w:t>
      </w:r>
      <w:r w:rsidRPr="00A52585">
        <w:rPr>
          <w:rFonts w:hint="cs"/>
          <w:rtl/>
        </w:rPr>
        <w:t>من وجهين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w:t>
      </w:r>
      <w:r w:rsidR="0002035C" w:rsidRPr="00A52585">
        <w:rPr>
          <w:rFonts w:hint="cs"/>
          <w:rtl/>
        </w:rPr>
        <w:t>):</w:t>
      </w:r>
      <w:r w:rsidRPr="00A52585">
        <w:rPr>
          <w:rFonts w:hint="cs"/>
        </w:rPr>
        <w:t xml:space="preserve"> </w:t>
      </w:r>
      <w:r w:rsidRPr="00A52585">
        <w:rPr>
          <w:rFonts w:hint="cs"/>
          <w:rtl/>
        </w:rPr>
        <w:t>أن نبين بالدلائل القاهرة أنه سبحانه وتعالى منـزه عن المجيء والذهاب</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Pr>
        <w:t xml:space="preserve"> </w:t>
      </w:r>
      <w:r w:rsidRPr="00A52585">
        <w:rPr>
          <w:rFonts w:hint="cs"/>
          <w:rtl/>
        </w:rPr>
        <w:t>أن نذكر التأويلات في هذه الآيات،</w:t>
      </w:r>
      <w:r w:rsidR="0002035C" w:rsidRPr="00A52585">
        <w:rPr>
          <w:rFonts w:hint="cs"/>
          <w:rtl/>
        </w:rPr>
        <w:t xml:space="preserve"> </w:t>
      </w:r>
      <w:r w:rsidRPr="00A52585">
        <w:rPr>
          <w:rFonts w:hint="cs"/>
          <w:rtl/>
        </w:rPr>
        <w:t>أما النوع الأول فنقول:</w:t>
      </w:r>
      <w:r w:rsidRPr="00A52585">
        <w:rPr>
          <w:rFonts w:hint="cs"/>
        </w:rPr>
        <w:t xml:space="preserve"> </w:t>
      </w:r>
      <w:r w:rsidRPr="00A52585">
        <w:rPr>
          <w:rFonts w:hint="cs"/>
          <w:rtl/>
        </w:rPr>
        <w:t>الذي يدل على امتناع المجيء والذهاب على الله تعالى وجوه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w:t>
      </w:r>
      <w:r w:rsidR="0002035C" w:rsidRPr="00A52585">
        <w:rPr>
          <w:rFonts w:hint="cs"/>
          <w:rtl/>
        </w:rPr>
        <w:t>):</w:t>
      </w:r>
      <w:r w:rsidRPr="00A52585">
        <w:rPr>
          <w:rFonts w:hint="cs"/>
        </w:rPr>
        <w:t xml:space="preserve"> </w:t>
      </w:r>
      <w:r w:rsidRPr="00A52585">
        <w:rPr>
          <w:rFonts w:hint="cs"/>
          <w:rtl/>
        </w:rPr>
        <w:t xml:space="preserve">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w:t>
      </w:r>
      <w:r w:rsidRPr="00A52585">
        <w:rPr>
          <w:rFonts w:hint="cs"/>
          <w:rtl/>
        </w:rPr>
        <w:lastRenderedPageBreak/>
        <w:t>محدثا خلوقا فالإله القديم يستحيل أن يكون كذلك</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Pr>
        <w:t xml:space="preserve"> </w:t>
      </w:r>
      <w:r w:rsidRPr="00A52585">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الثالث</w:t>
      </w:r>
      <w:r w:rsidR="0002035C" w:rsidRPr="00A52585">
        <w:rPr>
          <w:rFonts w:hint="cs"/>
          <w:rtl/>
        </w:rPr>
        <w:t>):</w:t>
      </w:r>
      <w:r w:rsidRPr="00A52585">
        <w:rPr>
          <w:rFonts w:hint="cs"/>
        </w:rPr>
        <w:t xml:space="preserve"> </w:t>
      </w:r>
      <w:r w:rsidRPr="00A52585">
        <w:rPr>
          <w:rFonts w:hint="cs"/>
          <w:rtl/>
        </w:rPr>
        <w:t>وهـو أنا لو جوزنا فيما يصح عليه المجيء والذهاب أن يكون إلها قديما أزليا فحينئذ لا يمكننا أن نحكم بنفي إلهية الشمس والقمر</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الرابع</w:t>
      </w:r>
      <w:r w:rsidR="0002035C" w:rsidRPr="00A52585">
        <w:rPr>
          <w:rFonts w:hint="cs"/>
          <w:rtl/>
        </w:rPr>
        <w:t>):</w:t>
      </w:r>
      <w:r w:rsidRPr="00A52585">
        <w:rPr>
          <w:rFonts w:hint="cs"/>
        </w:rPr>
        <w:t xml:space="preserve"> </w:t>
      </w:r>
      <w:r w:rsidRPr="00A52585">
        <w:rPr>
          <w:rFonts w:hint="cs"/>
          <w:rtl/>
        </w:rPr>
        <w:t>أنه تعالى حكى عن الخليل عليه السلام أنه طعن في إلهية الكواكب والقمر والشمس بقوله</w:t>
      </w:r>
      <w:r w:rsidR="0002035C" w:rsidRPr="00A52585">
        <w:rPr>
          <w:rFonts w:hint="cs"/>
          <w:rtl/>
          <w:lang w:bidi="ar-KW"/>
        </w:rPr>
        <w:t>:</w:t>
      </w:r>
      <w:r w:rsidRPr="00A52585">
        <w:rPr>
          <w:rFonts w:hint="cs"/>
          <w:rtl/>
          <w:lang w:bidi="ar-KW"/>
        </w:rPr>
        <w:t xml:space="preserve"> </w:t>
      </w:r>
      <w:r w:rsidR="0002035C" w:rsidRPr="00A52585">
        <w:rPr>
          <w:rFonts w:hint="cs"/>
          <w:rtl/>
        </w:rPr>
        <w:t>{</w:t>
      </w:r>
      <w:r w:rsidRPr="00A52585">
        <w:rPr>
          <w:rFonts w:hint="cs"/>
          <w:rtl/>
        </w:rPr>
        <w:t>لا أحب الآفلين}</w:t>
      </w:r>
      <w:r w:rsidR="00DB731D" w:rsidRPr="00A52585">
        <w:rPr>
          <w:rFonts w:hint="cs"/>
          <w:rtl/>
        </w:rPr>
        <w:t>،</w:t>
      </w:r>
      <w:r w:rsidRPr="00A52585">
        <w:rPr>
          <w:rFonts w:hint="cs"/>
        </w:rPr>
        <w:t xml:space="preserve"> </w:t>
      </w:r>
      <w:r w:rsidRPr="00A52585">
        <w:rPr>
          <w:rFonts w:hint="cs"/>
          <w:rtl/>
        </w:rPr>
        <w:t>ولا معنى للأفول إلا الغيبة والحضور</w:t>
      </w:r>
      <w:r w:rsidR="00DB731D" w:rsidRPr="00A52585">
        <w:rPr>
          <w:rFonts w:hint="cs"/>
          <w:rtl/>
        </w:rPr>
        <w:t>،</w:t>
      </w:r>
      <w:r w:rsidRPr="00A52585">
        <w:rPr>
          <w:rFonts w:hint="cs"/>
          <w:rtl/>
        </w:rPr>
        <w:t xml:space="preserve"> فمن جوز الغيبة والحضور على الإله تعالى فقد طعن في دليل الخليل وكذب الله تعالى في تصديق الخليل في ذلك حيث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وتلك حجتنا آتيناها إبراهيم على قومه</w:t>
      </w:r>
      <w:r w:rsidR="0002035C" w:rsidRPr="00A52585">
        <w:rPr>
          <w:rFonts w:hint="cs"/>
          <w:rtl/>
        </w:rPr>
        <w:t>}</w:t>
      </w:r>
      <w:r w:rsidR="00DB731D" w:rsidRPr="00A52585">
        <w:rPr>
          <w:rFonts w:hint="cs"/>
          <w:rtl/>
        </w:rPr>
        <w:t>،</w:t>
      </w:r>
      <w:r w:rsidRPr="00A52585">
        <w:rPr>
          <w:rFonts w:hint="cs"/>
          <w:rtl/>
        </w:rPr>
        <w:t xml:space="preserve"> وأما النوع الثاني في بيان التأويلات المذكورة في هذه الآية فنقول فيه وجهان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w:t>
      </w:r>
      <w:r w:rsidR="0002035C" w:rsidRPr="00A52585">
        <w:rPr>
          <w:rFonts w:hint="cs"/>
          <w:rtl/>
        </w:rPr>
        <w:t>):</w:t>
      </w:r>
      <w:r w:rsidRPr="00A52585">
        <w:rPr>
          <w:rFonts w:hint="cs"/>
        </w:rPr>
        <w:t xml:space="preserve"> </w:t>
      </w:r>
      <w:r w:rsidRPr="00A52585">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DB731D" w:rsidRPr="00A52585">
        <w:rPr>
          <w:rFonts w:hint="cs"/>
          <w:rtl/>
        </w:rPr>
        <w:t>،</w:t>
      </w:r>
      <w:r w:rsidRPr="00A52585">
        <w:rPr>
          <w:rFonts w:hint="cs"/>
          <w:rtl/>
        </w:rPr>
        <w:t xml:space="preserve"> و </w:t>
      </w:r>
      <w:r w:rsidR="0002035C" w:rsidRPr="00A52585">
        <w:rPr>
          <w:rFonts w:hint="cs"/>
          <w:rtl/>
        </w:rPr>
        <w:t>(</w:t>
      </w:r>
      <w:r w:rsidRPr="00A52585">
        <w:rPr>
          <w:rFonts w:hint="cs"/>
          <w:bCs/>
          <w:rtl/>
        </w:rPr>
        <w:t>الوجه الثاني</w:t>
      </w:r>
      <w:r w:rsidR="0002035C" w:rsidRPr="00A52585">
        <w:rPr>
          <w:rFonts w:hint="cs"/>
          <w:rtl/>
        </w:rPr>
        <w:t>):</w:t>
      </w:r>
      <w:r w:rsidRPr="00A52585">
        <w:rPr>
          <w:rFonts w:hint="cs"/>
        </w:rPr>
        <w:t xml:space="preserve"> </w:t>
      </w:r>
      <w:r w:rsidRPr="00A52585">
        <w:rPr>
          <w:rFonts w:hint="cs"/>
          <w:rtl/>
        </w:rPr>
        <w:t>أن يكون المراد هل ينظرون 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Pr="00A52585">
        <w:t xml:space="preserve"> {</w:t>
      </w:r>
      <w:r w:rsidRPr="00A52585">
        <w:rPr>
          <w:rFonts w:hint="cs"/>
          <w:rtl/>
        </w:rPr>
        <w:t>إن الذين يحادون الله</w:t>
      </w:r>
      <w:r w:rsidRPr="00A52585">
        <w:t xml:space="preserve">} </w:t>
      </w:r>
      <w:r w:rsidRPr="00A52585">
        <w:rPr>
          <w:rFonts w:hint="cs"/>
          <w:rtl/>
        </w:rPr>
        <w:t>المراد يحادون أولياءه وقد قال تعالى:</w:t>
      </w:r>
      <w:r w:rsidR="0002035C" w:rsidRPr="00A52585">
        <w:rPr>
          <w:rFonts w:hint="cs"/>
          <w:rtl/>
        </w:rPr>
        <w:t xml:space="preserve"> {</w:t>
      </w:r>
      <w:r w:rsidRPr="00A52585">
        <w:rPr>
          <w:rFonts w:hint="cs"/>
          <w:rtl/>
        </w:rPr>
        <w:t>وَاسْأَلِ الْقَرْيَةَ</w:t>
      </w:r>
      <w:r w:rsidR="0002035C" w:rsidRPr="00A52585">
        <w:rPr>
          <w:rFonts w:hint="cs"/>
          <w:rtl/>
        </w:rPr>
        <w:t xml:space="preserve">} </w:t>
      </w:r>
      <w:r w:rsidRPr="00A52585">
        <w:rPr>
          <w:rFonts w:hint="cs"/>
          <w:rtl/>
        </w:rPr>
        <w:t>والمراد أهل القرية فكذا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يأتيهم الله}</w:t>
      </w:r>
      <w:r w:rsidR="00DB731D" w:rsidRPr="00A52585">
        <w:rPr>
          <w:rFonts w:hint="cs"/>
          <w:rtl/>
        </w:rPr>
        <w:t>،</w:t>
      </w:r>
      <w:r w:rsidRPr="00A52585">
        <w:rPr>
          <w:rFonts w:hint="cs"/>
        </w:rPr>
        <w:t xml:space="preserve"> </w:t>
      </w:r>
      <w:r w:rsidRPr="00A52585">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w:t>
      </w:r>
      <w:r w:rsidR="0002035C" w:rsidRPr="00A52585">
        <w:rPr>
          <w:rFonts w:hint="cs"/>
          <w:rtl/>
        </w:rPr>
        <w:t>):</w:t>
      </w:r>
      <w:r w:rsidRPr="00A52585">
        <w:rPr>
          <w:rFonts w:hint="cs"/>
        </w:rPr>
        <w:t xml:space="preserve"> </w:t>
      </w:r>
      <w:r w:rsidRPr="00A52585">
        <w:rPr>
          <w:rFonts w:hint="cs"/>
          <w:rtl/>
        </w:rPr>
        <w:t>أن قوله تعالى:</w:t>
      </w:r>
      <w:r w:rsidR="0002035C" w:rsidRPr="00A52585">
        <w:rPr>
          <w:rFonts w:hint="cs"/>
          <w:rtl/>
        </w:rPr>
        <w:t xml:space="preserve"> {</w:t>
      </w:r>
      <w:r w:rsidRPr="00A52585">
        <w:rPr>
          <w:rFonts w:hint="cs"/>
          <w:rtl/>
        </w:rPr>
        <w:t>يأتيهم الله}</w:t>
      </w:r>
      <w:r w:rsidR="00DB731D" w:rsidRPr="00A52585">
        <w:rPr>
          <w:rFonts w:hint="cs"/>
          <w:rtl/>
        </w:rPr>
        <w:t>،</w:t>
      </w:r>
      <w:r w:rsidRPr="00A52585">
        <w:rPr>
          <w:rFonts w:hint="cs"/>
        </w:rPr>
        <w:t xml:space="preserve"> </w:t>
      </w:r>
      <w:r w:rsidRPr="00A52585">
        <w:rPr>
          <w:rFonts w:hint="cs"/>
          <w:rtl/>
        </w:rPr>
        <w:t>وقوله:</w:t>
      </w:r>
      <w:r w:rsidR="0002035C" w:rsidRPr="00A52585">
        <w:rPr>
          <w:rFonts w:hint="cs"/>
          <w:rtl/>
        </w:rPr>
        <w:t xml:space="preserve"> {</w:t>
      </w:r>
      <w:r w:rsidRPr="00A52585">
        <w:rPr>
          <w:rFonts w:hint="cs"/>
          <w:rtl/>
        </w:rPr>
        <w:t>وجاء ربك‏</w:t>
      </w:r>
      <w:r w:rsidR="0002035C" w:rsidRPr="00A52585">
        <w:rPr>
          <w:rFonts w:hint="cs"/>
          <w:rtl/>
        </w:rPr>
        <w:t>}</w:t>
      </w:r>
      <w:r w:rsidR="00DB731D" w:rsidRPr="00A52585">
        <w:rPr>
          <w:rFonts w:hint="cs"/>
          <w:rtl/>
        </w:rPr>
        <w:t>،</w:t>
      </w:r>
      <w:r w:rsidRPr="00A52585">
        <w:rPr>
          <w:rFonts w:hint="cs"/>
        </w:rPr>
        <w:t xml:space="preserve"> </w:t>
      </w:r>
      <w:r w:rsidRPr="00A52585">
        <w:rPr>
          <w:rFonts w:hint="cs"/>
          <w:rtl/>
        </w:rPr>
        <w:t>إخبار عن حال القيامة ثم إن الله تعالى ذكر هذه الواقعة بعينها في سورة النحل فقال:</w:t>
      </w:r>
      <w:r w:rsidR="0002035C" w:rsidRPr="00A52585">
        <w:rPr>
          <w:rFonts w:hint="cs"/>
          <w:rtl/>
        </w:rPr>
        <w:t xml:space="preserve"> {</w:t>
      </w:r>
      <w:r w:rsidRPr="00A52585">
        <w:rPr>
          <w:rFonts w:hint="cs"/>
          <w:rtl/>
        </w:rPr>
        <w:t>هل ينظرون إلا أن تأتيهم الملائكة أو يأتي أمر ربك}</w:t>
      </w:r>
      <w:r w:rsidR="00DB731D" w:rsidRPr="00A52585">
        <w:rPr>
          <w:rFonts w:hint="cs"/>
          <w:rtl/>
        </w:rPr>
        <w:t>،</w:t>
      </w:r>
      <w:r w:rsidRPr="00A52585">
        <w:rPr>
          <w:rFonts w:hint="cs"/>
          <w:rtl/>
        </w:rPr>
        <w:t xml:space="preserve"> فصار هذا مفسرا لذلك المتشابه لأن كل هذه الآيات لما وردت في واقعة واحدة لم يبعد حمل بعضها على البعض</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Pr>
        <w:t xml:space="preserve"> </w:t>
      </w:r>
      <w:r w:rsidRPr="00A52585">
        <w:rPr>
          <w:rFonts w:hint="cs"/>
          <w:rtl/>
        </w:rPr>
        <w:t>أنه تعالى قال بعد هذه الآية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وقضى الأمر</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يأتيهم الله}</w:t>
      </w:r>
      <w:r w:rsidR="0002035C" w:rsidRPr="00A52585">
        <w:rPr>
          <w:rFonts w:hint="cs"/>
          <w:rtl/>
        </w:rPr>
        <w:t xml:space="preserve"> </w:t>
      </w:r>
      <w:r w:rsidRPr="00A52585">
        <w:rPr>
          <w:rFonts w:hint="cs"/>
          <w:rtl/>
        </w:rPr>
        <w:t>أي يأتي أمر الله</w:t>
      </w:r>
      <w:r w:rsidR="00DB731D" w:rsidRPr="00A52585">
        <w:rPr>
          <w:rFonts w:hint="cs"/>
          <w:rtl/>
        </w:rPr>
        <w:t>،</w:t>
      </w:r>
      <w:r w:rsidRPr="00A52585">
        <w:rPr>
          <w:rFonts w:hint="cs"/>
          <w:bCs/>
          <w:rtl/>
        </w:rPr>
        <w:t xml:space="preserve"> فأما الحديث المشتمل على النـزول إلى السماء الدنيا فالكلام عليه من وجهين</w:t>
      </w:r>
      <w:r w:rsidR="0002035C" w:rsidRPr="00A52585">
        <w:rPr>
          <w:rFonts w:hint="cs"/>
          <w:bCs/>
          <w:rtl/>
        </w:rPr>
        <w:t>:</w:t>
      </w:r>
      <w:r w:rsidRPr="00A52585">
        <w:rPr>
          <w:rFonts w:hint="cs"/>
          <w:rtl/>
        </w:rPr>
        <w:t xml:space="preserve"> </w:t>
      </w:r>
      <w:r w:rsidR="0002035C" w:rsidRPr="00A52585">
        <w:rPr>
          <w:rFonts w:hint="cs"/>
          <w:bCs/>
          <w:rtl/>
        </w:rPr>
        <w:t>(</w:t>
      </w:r>
      <w:r w:rsidRPr="00A52585">
        <w:rPr>
          <w:rFonts w:hint="cs"/>
          <w:bCs/>
          <w:rtl/>
        </w:rPr>
        <w:t>الوجه الأول</w:t>
      </w:r>
      <w:r w:rsidR="0002035C" w:rsidRPr="00A52585">
        <w:rPr>
          <w:rFonts w:hint="cs"/>
          <w:bCs/>
          <w:rtl/>
        </w:rPr>
        <w:t>)</w:t>
      </w:r>
      <w:r w:rsidR="0002035C" w:rsidRPr="00A52585">
        <w:rPr>
          <w:rFonts w:hint="cs"/>
          <w:rtl/>
        </w:rPr>
        <w:t>:</w:t>
      </w:r>
      <w:r w:rsidRPr="00A52585">
        <w:rPr>
          <w:rFonts w:hint="cs"/>
        </w:rPr>
        <w:t xml:space="preserve"> </w:t>
      </w:r>
      <w:r w:rsidRPr="00A52585">
        <w:rPr>
          <w:rFonts w:hint="cs"/>
          <w:rtl/>
        </w:rPr>
        <w:t>بيان أن النـزول قد يستعمل في غير الانتقال وتقريره من وجوه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أحدها</w:t>
      </w:r>
      <w:r w:rsidR="0002035C" w:rsidRPr="00A52585">
        <w:rPr>
          <w:rFonts w:hint="cs"/>
          <w:rtl/>
        </w:rPr>
        <w:t>):</w:t>
      </w:r>
      <w:r w:rsidRPr="00A52585">
        <w:rPr>
          <w:rFonts w:hint="cs"/>
        </w:rPr>
        <w:t xml:space="preserve"> </w:t>
      </w:r>
      <w:r w:rsidRPr="00A52585">
        <w:rPr>
          <w:rFonts w:hint="cs"/>
          <w:rtl/>
        </w:rPr>
        <w:t>قوله تعالى:</w:t>
      </w:r>
      <w:r w:rsidR="0002035C" w:rsidRPr="00A52585">
        <w:rPr>
          <w:rFonts w:hint="cs"/>
          <w:rtl/>
        </w:rPr>
        <w:t xml:space="preserve"> {</w:t>
      </w:r>
      <w:r w:rsidRPr="00A52585">
        <w:rPr>
          <w:rFonts w:hint="cs"/>
          <w:rtl/>
        </w:rPr>
        <w:t>وأنزل لكم من الأنعام ثمانية أزواج</w:t>
      </w:r>
      <w:r w:rsidR="0002035C" w:rsidRPr="00A52585">
        <w:rPr>
          <w:rFonts w:hint="cs"/>
          <w:rtl/>
        </w:rPr>
        <w:t>}</w:t>
      </w:r>
      <w:r w:rsidR="00DB731D" w:rsidRPr="00A52585">
        <w:rPr>
          <w:rFonts w:hint="cs"/>
          <w:rtl/>
        </w:rPr>
        <w:t>،</w:t>
      </w:r>
      <w:r w:rsidRPr="00A52585">
        <w:rPr>
          <w:rFonts w:hint="cs"/>
        </w:rPr>
        <w:t xml:space="preserve"> </w:t>
      </w:r>
      <w:r w:rsidRPr="00A52585">
        <w:rPr>
          <w:rFonts w:hint="cs"/>
          <w:rtl/>
        </w:rPr>
        <w:t>ونحن نعلم بالضرورة أن الجمل والبقر ما نزل من السماء إلى الأرض على سبيل الانتقال</w:t>
      </w:r>
      <w:r w:rsidR="00DB731D" w:rsidRPr="00A52585">
        <w:rPr>
          <w:rFonts w:hint="cs"/>
          <w:rtl/>
        </w:rPr>
        <w:t>،</w:t>
      </w:r>
      <w:r w:rsidRPr="00A52585">
        <w:rPr>
          <w:rFonts w:hint="cs"/>
          <w:rtl/>
        </w:rPr>
        <w:t xml:space="preserve"> وقال الله تعالى</w:t>
      </w:r>
      <w:r w:rsidR="0002035C" w:rsidRPr="00A52585">
        <w:rPr>
          <w:rFonts w:hint="cs"/>
          <w:rtl/>
        </w:rPr>
        <w:t>:</w:t>
      </w:r>
      <w:r w:rsidRPr="00A52585">
        <w:rPr>
          <w:rFonts w:hint="cs"/>
          <w:rtl/>
        </w:rPr>
        <w:t xml:space="preserve"> </w:t>
      </w:r>
      <w:r w:rsidR="0002035C" w:rsidRPr="00A52585">
        <w:rPr>
          <w:rFonts w:hint="cs"/>
          <w:rtl/>
        </w:rPr>
        <w:lastRenderedPageBreak/>
        <w:t>{</w:t>
      </w:r>
      <w:r w:rsidRPr="00A52585">
        <w:rPr>
          <w:rFonts w:hint="cs"/>
          <w:rtl/>
        </w:rPr>
        <w:t>فأنزل الله سكينته على رسوله</w:t>
      </w:r>
      <w:r w:rsidR="0002035C" w:rsidRPr="00A52585">
        <w:rPr>
          <w:rFonts w:hint="cs"/>
          <w:rtl/>
        </w:rPr>
        <w:t>}</w:t>
      </w:r>
      <w:r w:rsidR="00DB731D" w:rsidRPr="00A52585">
        <w:rPr>
          <w:rFonts w:hint="cs"/>
          <w:rtl/>
        </w:rPr>
        <w:t>،</w:t>
      </w:r>
      <w:r w:rsidRPr="00A52585">
        <w:rPr>
          <w:rFonts w:hint="cs"/>
          <w:rtl/>
        </w:rPr>
        <w:t xml:space="preserve"> والانتقال على السكينة محال</w:t>
      </w:r>
      <w:r w:rsidR="00DB731D" w:rsidRPr="00A52585">
        <w:rPr>
          <w:rFonts w:hint="cs"/>
          <w:rtl/>
        </w:rPr>
        <w:t>،</w:t>
      </w:r>
      <w:r w:rsidRPr="00A52585">
        <w:rPr>
          <w:rFonts w:hint="cs"/>
          <w:rtl/>
        </w:rPr>
        <w:t xml:space="preserve"> وقال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نزل به الروح الأمين على قلبك}</w:t>
      </w:r>
      <w:r w:rsidR="00DB731D" w:rsidRPr="00A52585">
        <w:rPr>
          <w:rFonts w:hint="cs"/>
          <w:rtl/>
        </w:rPr>
        <w:t>،</w:t>
      </w:r>
      <w:r w:rsidRPr="00A52585">
        <w:rPr>
          <w:rFonts w:hint="cs"/>
        </w:rPr>
        <w:t xml:space="preserve"> </w:t>
      </w:r>
      <w:r w:rsidRPr="00A52585">
        <w:rPr>
          <w:rFonts w:hint="cs"/>
          <w:rtl/>
        </w:rPr>
        <w:t>والقرآن سواء قلنا إنه عبارة عن صفة قديمة أو قلنا إنه عبارة عن الحروف والصوت والانتقال عليه محال،</w:t>
      </w:r>
      <w:r w:rsidR="0002035C" w:rsidRPr="00A52585">
        <w:rPr>
          <w:rFonts w:hint="cs"/>
          <w:rtl/>
        </w:rPr>
        <w:t xml:space="preserve"> </w:t>
      </w:r>
      <w:r w:rsidRPr="00A52585">
        <w:rPr>
          <w:rFonts w:hint="cs"/>
          <w:rtl/>
        </w:rPr>
        <w:t>وقال الشافعي المطلبي رضي الله عنه</w:t>
      </w:r>
      <w:r w:rsidR="0002035C" w:rsidRPr="00A52585">
        <w:rPr>
          <w:rFonts w:hint="cs"/>
          <w:rtl/>
        </w:rPr>
        <w:t>:</w:t>
      </w:r>
      <w:r w:rsidRPr="00A52585">
        <w:rPr>
          <w:rFonts w:hint="cs"/>
        </w:rPr>
        <w:t xml:space="preserve"> </w:t>
      </w:r>
      <w:r w:rsidRPr="00A52585">
        <w:rPr>
          <w:rFonts w:hint="cs"/>
          <w:rtl/>
        </w:rPr>
        <w:t>دخلت مصر فلم يفهموا كلامي فنـزلت ثم نزلت ولم يكن المراد من هذا النزول الانتقال</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Pr>
        <w:t xml:space="preserve"> </w:t>
      </w:r>
      <w:r w:rsidRPr="00A52585">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الثالث</w:t>
      </w:r>
      <w:r w:rsidR="0002035C" w:rsidRPr="00A52585">
        <w:rPr>
          <w:rFonts w:hint="cs"/>
          <w:rtl/>
        </w:rPr>
        <w:t>):</w:t>
      </w:r>
      <w:r w:rsidRPr="00A52585">
        <w:rPr>
          <w:rFonts w:hint="cs"/>
        </w:rPr>
        <w:t xml:space="preserve"> </w:t>
      </w:r>
      <w:r w:rsidRPr="00A52585">
        <w:rPr>
          <w:rFonts w:hint="cs"/>
          <w:rtl/>
        </w:rPr>
        <w:t>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الرابع</w:t>
      </w:r>
      <w:r w:rsidR="0002035C" w:rsidRPr="00A52585">
        <w:rPr>
          <w:rFonts w:hint="cs"/>
          <w:rtl/>
        </w:rPr>
        <w:t>):</w:t>
      </w:r>
      <w:r w:rsidRPr="00A52585">
        <w:rPr>
          <w:rFonts w:hint="cs"/>
        </w:rPr>
        <w:t xml:space="preserve"> </w:t>
      </w:r>
      <w:r w:rsidRPr="00A52585">
        <w:rPr>
          <w:rFonts w:hint="cs"/>
          <w:rtl/>
        </w:rPr>
        <w:t>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النوع الثاني</w:t>
      </w:r>
      <w:r w:rsidR="0002035C" w:rsidRPr="00A52585">
        <w:rPr>
          <w:rFonts w:hint="cs"/>
          <w:rtl/>
        </w:rPr>
        <w:t>):</w:t>
      </w:r>
      <w:r w:rsidRPr="00A52585">
        <w:rPr>
          <w:rFonts w:hint="cs"/>
        </w:rPr>
        <w:t xml:space="preserve"> </w:t>
      </w:r>
      <w:r w:rsidRPr="00A52585">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الأول</w:t>
      </w:r>
      <w:r w:rsidR="0002035C" w:rsidRPr="00A52585">
        <w:rPr>
          <w:rFonts w:hint="cs"/>
          <w:rtl/>
        </w:rPr>
        <w:t>):</w:t>
      </w:r>
      <w:r w:rsidRPr="00A52585">
        <w:rPr>
          <w:rFonts w:hint="cs"/>
        </w:rPr>
        <w:t xml:space="preserve"> </w:t>
      </w:r>
      <w:r w:rsidRPr="00A52585">
        <w:rPr>
          <w:rFonts w:hint="cs"/>
          <w:rtl/>
        </w:rPr>
        <w:t xml:space="preserve">أن التوبة التي يؤتى بها في قلب الليل الظاهر أنها تكون خالية عن شوائب الدنيا لأن الأغيار لا </w:t>
      </w:r>
      <w:r w:rsidRPr="00A52585">
        <w:rPr>
          <w:rFonts w:hint="cs"/>
          <w:rtl/>
        </w:rPr>
        <w:lastRenderedPageBreak/>
        <w:t>يطلعون عليها فتكون أقرب إلى القبول</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الثاني</w:t>
      </w:r>
      <w:r w:rsidR="0002035C" w:rsidRPr="00A52585">
        <w:rPr>
          <w:rFonts w:hint="cs"/>
          <w:rtl/>
        </w:rPr>
        <w:t>):</w:t>
      </w:r>
      <w:r w:rsidRPr="00A52585">
        <w:rPr>
          <w:rFonts w:hint="cs"/>
        </w:rPr>
        <w:t xml:space="preserve"> </w:t>
      </w:r>
      <w:r w:rsidRPr="00A52585">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الثالث</w:t>
      </w:r>
      <w:r w:rsidR="0002035C" w:rsidRPr="00A52585">
        <w:rPr>
          <w:rFonts w:hint="cs"/>
          <w:rtl/>
        </w:rPr>
        <w:t>):</w:t>
      </w:r>
      <w:r w:rsidRPr="00A52585">
        <w:rPr>
          <w:rFonts w:hint="cs"/>
        </w:rPr>
        <w:t xml:space="preserve"> </w:t>
      </w:r>
      <w:r w:rsidRPr="00A52585">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وبالأسحار هم يستغفرون}</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والمستغفرين بالأسحار</w:t>
      </w:r>
      <w:r w:rsidR="0002035C" w:rsidRPr="00A52585">
        <w:rPr>
          <w:rFonts w:hint="cs"/>
          <w:rtl/>
        </w:rPr>
        <w:t>}</w:t>
      </w:r>
      <w:r w:rsidR="00DB731D" w:rsidRPr="00A52585">
        <w:rPr>
          <w:rFonts w:hint="cs"/>
          <w:rtl/>
        </w:rPr>
        <w:t>،</w:t>
      </w:r>
      <w:r w:rsidRPr="00A52585">
        <w:rPr>
          <w:rFonts w:hint="cs"/>
          <w:rtl/>
        </w:rPr>
        <w:t xml:space="preserve"> و </w:t>
      </w:r>
      <w:r w:rsidR="0002035C" w:rsidRPr="00A52585">
        <w:rPr>
          <w:rFonts w:hint="cs"/>
          <w:rtl/>
        </w:rPr>
        <w:t>(</w:t>
      </w:r>
      <w:r w:rsidRPr="00A52585">
        <w:rPr>
          <w:rFonts w:hint="cs"/>
          <w:rtl/>
        </w:rPr>
        <w:t>الوجه الرابع</w:t>
      </w:r>
      <w:r w:rsidR="0002035C" w:rsidRPr="00A52585">
        <w:rPr>
          <w:rFonts w:hint="cs"/>
          <w:rtl/>
        </w:rPr>
        <w:t>):</w:t>
      </w:r>
      <w:r w:rsidRPr="00A52585">
        <w:rPr>
          <w:rFonts w:hint="cs"/>
        </w:rPr>
        <w:t xml:space="preserve"> </w:t>
      </w:r>
      <w:r w:rsidRPr="00A52585">
        <w:rPr>
          <w:rFonts w:hint="cs"/>
          <w:rtl/>
        </w:rPr>
        <w:t>إن جمعا من أشراف الملائكة ينـزلون في ذلك الوقت بأمر الله تعالى فأضيف ذلـك إلى الله تعالى لأنه حصل بسبب أمر الله تعالى كما يقال:</w:t>
      </w:r>
      <w:r w:rsidRPr="00A52585">
        <w:rPr>
          <w:rFonts w:hint="cs"/>
        </w:rPr>
        <w:t xml:space="preserve"> </w:t>
      </w:r>
      <w:r w:rsidRPr="00A52585">
        <w:rPr>
          <w:rFonts w:hint="cs"/>
          <w:rtl/>
        </w:rPr>
        <w:t>بنى الأمير داراً وضرب ديناراً</w:t>
      </w:r>
      <w:r w:rsidRPr="00A52585">
        <w:t xml:space="preserve">. </w:t>
      </w:r>
      <w:r w:rsidRPr="00A52585">
        <w:rPr>
          <w:rFonts w:hint="cs"/>
          <w:rtl/>
        </w:rPr>
        <w:t>وممن ذهب إلى هذا التأويل من يروي الخبر بضم الياء تحقيقاً لهذا المعنى</w:t>
      </w:r>
      <w:r w:rsidR="00DB731D" w:rsidRPr="00A52585">
        <w:rPr>
          <w:rFonts w:hint="cs"/>
          <w:rtl/>
        </w:rPr>
        <w:t>،</w:t>
      </w:r>
      <w:r w:rsidRPr="00A52585">
        <w:rPr>
          <w:rFonts w:hint="cs"/>
          <w:rtl/>
        </w:rPr>
        <w:t xml:space="preserve"> واعلم أن تمام التقرير في تأويل هذا الخبر أن من نزل من الملوك عند إنسان لإصلاح شأنه والاهتمام بأمره فإنه يكرمه جداً بل يكون نزوله عنده مبالغة في إكرامه فلما كان النـزول موجباً للإكرام أطلق اسم النـزول على الإكرام، وهذا أيضاً هو المراد بقوله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وجاء ربــك والملك صفاً صفا</w:t>
      </w:r>
      <w:r w:rsidR="0002035C" w:rsidRPr="00A52585">
        <w:rPr>
          <w:rFonts w:hint="cs"/>
          <w:rtl/>
        </w:rPr>
        <w:t>}</w:t>
      </w:r>
      <w:r w:rsidR="00DB731D" w:rsidRPr="00A52585">
        <w:rPr>
          <w:rFonts w:hint="cs"/>
          <w:rtl/>
        </w:rPr>
        <w:t>،</w:t>
      </w:r>
      <w:r w:rsidRPr="00A52585">
        <w:rPr>
          <w:rFonts w:hint="cs"/>
          <w:rtl/>
        </w:rPr>
        <w:t xml:space="preserve"> وذلك أن الملك إذا جاء وحضر لفصل الخصومات عظم وقعه واشتدت هيبته والله أعلم</w:t>
      </w:r>
      <w:r w:rsidR="0002035C" w:rsidRPr="00A52585">
        <w:rPr>
          <w:rFonts w:hint="cs"/>
          <w:rtl/>
        </w:rPr>
        <w:t>)</w:t>
      </w:r>
      <w:r w:rsidRPr="00A52585">
        <w:rPr>
          <w:rFonts w:hint="cs"/>
          <w:rtl/>
          <w:lang w:bidi="ar-KW"/>
        </w:rPr>
        <w:t xml:space="preserve"> أهـ </w:t>
      </w:r>
    </w:p>
    <w:p w14:paraId="7245568C" w14:textId="65C3DD97" w:rsidR="00777DCB" w:rsidRPr="00A52585" w:rsidRDefault="0002035C" w:rsidP="0002035C">
      <w:pPr>
        <w:spacing w:after="240"/>
        <w:rPr>
          <w:rtl/>
        </w:rPr>
      </w:pPr>
      <w:r w:rsidRPr="00A52585">
        <w:rPr>
          <w:rFonts w:hint="cs"/>
          <w:bCs/>
          <w:rtl/>
        </w:rPr>
        <w:t>(</w:t>
      </w:r>
      <w:r w:rsidR="00777DCB" w:rsidRPr="00A52585">
        <w:rPr>
          <w:rFonts w:hint="cs"/>
          <w:bCs/>
          <w:rtl/>
        </w:rPr>
        <w:t>5</w:t>
      </w:r>
      <w:r w:rsidRPr="00A52585">
        <w:rPr>
          <w:rFonts w:hint="cs"/>
          <w:bCs/>
          <w:rtl/>
        </w:rPr>
        <w:t>)</w:t>
      </w:r>
      <w:r w:rsidR="00777DCB" w:rsidRPr="00A52585">
        <w:rPr>
          <w:rFonts w:hint="cs"/>
          <w:bCs/>
          <w:rtl/>
        </w:rPr>
        <w:t xml:space="preserve"> اللوازم الفاسدة للقول بالنزول الحقيقي</w:t>
      </w:r>
      <w:r w:rsidRPr="00A52585">
        <w:rPr>
          <w:rFonts w:hint="cs"/>
          <w:rtl/>
        </w:rPr>
        <w:t>:</w:t>
      </w:r>
      <w:r w:rsidR="00777DCB" w:rsidRPr="00A52585">
        <w:rPr>
          <w:rFonts w:hint="cs"/>
          <w:rtl/>
        </w:rPr>
        <w:t xml:space="preserve"> من تلك اللوازم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الحلول في السماء</w:t>
      </w:r>
      <w:r w:rsidR="00DB731D" w:rsidRPr="00A52585">
        <w:rPr>
          <w:rFonts w:hint="cs"/>
          <w:rtl/>
        </w:rPr>
        <w:t>،</w:t>
      </w:r>
      <w:r w:rsidR="00777DCB" w:rsidRPr="00A52585">
        <w:rPr>
          <w:rFonts w:hint="cs"/>
          <w:rtl/>
        </w:rPr>
        <w:t xml:space="preserve"> وقد أجمع علماء أهل السنّة والجماعة على تنزيه الله تعالى عن الاتحاد والحلول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الصعود بعد النزول بمعنى أن يكون أسفل العرش ثم يصعد</w:t>
      </w:r>
      <w:r w:rsidR="00DB731D" w:rsidRPr="00A52585">
        <w:rPr>
          <w:rFonts w:hint="cs"/>
          <w:rtl/>
        </w:rPr>
        <w:t>،</w:t>
      </w:r>
      <w:r w:rsidR="00777DCB" w:rsidRPr="00A52585">
        <w:rPr>
          <w:rFonts w:hint="cs"/>
          <w:rtl/>
        </w:rPr>
        <w:t xml:space="preserve"> وهو محال على العلي العظيم</w:t>
      </w:r>
      <w:r w:rsidR="00DB731D" w:rsidRPr="00A52585">
        <w:rPr>
          <w:rFonts w:hint="cs"/>
          <w:rtl/>
        </w:rPr>
        <w:t>،</w:t>
      </w:r>
      <w:r w:rsidR="00777DCB" w:rsidRPr="00A52585">
        <w:rPr>
          <w:rFonts w:hint="cs"/>
          <w:rtl/>
        </w:rPr>
        <w:t xml:space="preserve"> ووصف الله تعالى بالسفل كفر وضلال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w:t>
      </w:r>
      <w:r w:rsidRPr="00A52585">
        <w:rPr>
          <w:rFonts w:hint="cs"/>
          <w:rtl/>
        </w:rPr>
        <w:t>)</w:t>
      </w:r>
      <w:r w:rsidR="00777DCB" w:rsidRPr="00A52585">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DB731D" w:rsidRPr="00A52585">
        <w:rPr>
          <w:rFonts w:hint="cs"/>
          <w:rtl/>
        </w:rPr>
        <w:t>،</w:t>
      </w:r>
      <w:r w:rsidR="00777DCB" w:rsidRPr="00A52585">
        <w:rPr>
          <w:rFonts w:hint="cs"/>
          <w:rtl/>
        </w:rPr>
        <w:t xml:space="preserve"> فلو كان النزول حقيقيا فيلزم انتقاله إلى السماء الدنيا في كل لحظة وحين</w:t>
      </w:r>
      <w:r w:rsidR="00DB731D" w:rsidRPr="00A52585">
        <w:rPr>
          <w:rFonts w:hint="cs"/>
          <w:rtl/>
        </w:rPr>
        <w:t>،</w:t>
      </w:r>
      <w:r w:rsidR="00777DCB" w:rsidRPr="00A52585">
        <w:rPr>
          <w:rFonts w:hint="cs"/>
          <w:rtl/>
        </w:rPr>
        <w:t xml:space="preserve"> والنتيجة الحتمية هي النزول والصعود على مدار اليوم </w:t>
      </w:r>
      <w:r w:rsidRPr="00A52585">
        <w:rPr>
          <w:rFonts w:hint="cs"/>
          <w:rtl/>
        </w:rPr>
        <w:t>(</w:t>
      </w:r>
      <w:r w:rsidR="00777DCB" w:rsidRPr="00A52585">
        <w:rPr>
          <w:rFonts w:hint="cs"/>
          <w:rtl/>
        </w:rPr>
        <w:t>أربعة وعشرون ساعة نازل صاعد</w:t>
      </w:r>
      <w:r w:rsidRPr="00A52585">
        <w:rPr>
          <w:rFonts w:hint="cs"/>
          <w:rtl/>
        </w:rPr>
        <w:t>)</w:t>
      </w:r>
      <w:r w:rsidR="00777DCB" w:rsidRPr="00A52585">
        <w:rPr>
          <w:rFonts w:hint="cs"/>
          <w:rtl/>
        </w:rPr>
        <w:t xml:space="preserve"> وهل يقول بهذا إلا أحمق مجنون</w:t>
      </w:r>
      <w:r w:rsidR="00DB731D" w:rsidRPr="00A52585">
        <w:rPr>
          <w:rFonts w:hint="cs"/>
          <w:rtl/>
        </w:rPr>
        <w:t>،</w:t>
      </w:r>
      <w:r w:rsidR="00777DCB" w:rsidRPr="00A52585">
        <w:rPr>
          <w:rFonts w:hint="cs"/>
          <w:rtl/>
        </w:rPr>
        <w:t xml:space="preserve"> إذن الفهم الصحيح للحديث لابد وأن يكون غير ذلك</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كما يقول الرازي</w:t>
      </w:r>
      <w:r w:rsidRPr="00A52585">
        <w:rPr>
          <w:rFonts w:hint="cs"/>
          <w:rtl/>
        </w:rPr>
        <w:t>:</w:t>
      </w:r>
      <w:r w:rsidR="00777DCB" w:rsidRPr="00A52585">
        <w:rPr>
          <w:rFonts w:hint="cs"/>
          <w:rtl/>
        </w:rPr>
        <w:t xml:space="preserve"> أنه إن كان المقصود من النـزول من العرش إلى السماء الدنيا أن يُسْمَعَ نداؤه فهذا المقصود ما حصل</w:t>
      </w:r>
      <w:r w:rsidR="00DB731D" w:rsidRPr="00A52585">
        <w:rPr>
          <w:rFonts w:hint="cs"/>
          <w:rtl/>
        </w:rPr>
        <w:t>،</w:t>
      </w:r>
      <w:r w:rsidRPr="00A52585">
        <w:rPr>
          <w:rFonts w:hint="cs"/>
          <w:rtl/>
        </w:rPr>
        <w:t xml:space="preserve"> </w:t>
      </w:r>
      <w:r w:rsidR="00777DCB" w:rsidRPr="00A52585">
        <w:rPr>
          <w:rFonts w:hint="cs"/>
          <w:rtl/>
        </w:rPr>
        <w:t xml:space="preserve">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w:t>
      </w:r>
      <w:r w:rsidR="00777DCB" w:rsidRPr="00A52585">
        <w:rPr>
          <w:rFonts w:hint="cs"/>
          <w:rtl/>
        </w:rPr>
        <w:lastRenderedPageBreak/>
        <w:t>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DB731D"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lang w:bidi="ar-KW"/>
        </w:rPr>
        <w:t>ج</w:t>
      </w:r>
      <w:r w:rsidRPr="00A52585">
        <w:rPr>
          <w:rFonts w:hint="cs"/>
          <w:rtl/>
          <w:lang w:bidi="ar-KW"/>
        </w:rPr>
        <w:t>)</w:t>
      </w:r>
      <w:r w:rsidR="00777DCB" w:rsidRPr="00A52585">
        <w:rPr>
          <w:rFonts w:hint="cs"/>
          <w:rtl/>
          <w:lang w:bidi="ar-KW"/>
        </w:rPr>
        <w:t xml:space="preserve"> </w:t>
      </w:r>
      <w:r w:rsidR="00777DCB" w:rsidRPr="00A52585">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DB731D" w:rsidRPr="00A52585">
        <w:rPr>
          <w:rFonts w:hint="cs"/>
          <w:rtl/>
        </w:rPr>
        <w:t>،</w:t>
      </w:r>
      <w:r w:rsidR="00777DCB" w:rsidRPr="00A52585">
        <w:rPr>
          <w:rFonts w:hint="cs"/>
          <w:lang w:bidi="ar-KW"/>
        </w:rPr>
        <w:t xml:space="preserve"> </w:t>
      </w:r>
      <w:r w:rsidR="00777DCB" w:rsidRPr="00A52585">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ح</w:t>
      </w:r>
      <w:r w:rsidRPr="00A52585">
        <w:rPr>
          <w:rFonts w:hint="cs"/>
          <w:rtl/>
        </w:rPr>
        <w:t>)</w:t>
      </w:r>
      <w:r w:rsidR="00777DCB" w:rsidRPr="00A52585">
        <w:rPr>
          <w:rFonts w:hint="cs"/>
          <w:rtl/>
        </w:rPr>
        <w:t xml:space="preserve"> النزول الحقيقي يستلزم التغير والحدوث والحركة والسكون والقيام والجلوس</w:t>
      </w:r>
      <w:r w:rsidR="00DB731D" w:rsidRPr="00A52585">
        <w:rPr>
          <w:rFonts w:hint="cs"/>
          <w:rtl/>
        </w:rPr>
        <w:t>،</w:t>
      </w:r>
      <w:r w:rsidR="00777DCB" w:rsidRPr="00A52585">
        <w:rPr>
          <w:rFonts w:hint="cs"/>
          <w:rtl/>
        </w:rPr>
        <w:t xml:space="preserve"> وهذه كلها محال نسبتها إلى الله المنزه عن الجسمية ولوازمها عند اهل الأصول المتخصصين في العقيدة</w:t>
      </w:r>
      <w:r w:rsidR="00DB731D" w:rsidRPr="00A52585">
        <w:rPr>
          <w:rFonts w:hint="cs"/>
          <w:rtl/>
        </w:rPr>
        <w:t>،</w:t>
      </w:r>
      <w:r w:rsidR="00777DCB" w:rsidRPr="00A52585">
        <w:rPr>
          <w:rFonts w:hint="cs"/>
          <w:rtl/>
        </w:rPr>
        <w:t xml:space="preserve"> وإن كان </w:t>
      </w:r>
      <w:proofErr w:type="spellStart"/>
      <w:r w:rsidR="00777DCB" w:rsidRPr="00A52585">
        <w:rPr>
          <w:rFonts w:hint="cs"/>
          <w:rtl/>
        </w:rPr>
        <w:t>الحشوية</w:t>
      </w:r>
      <w:proofErr w:type="spellEnd"/>
      <w:r w:rsidR="00777DCB" w:rsidRPr="00A52585">
        <w:rPr>
          <w:rFonts w:hint="cs"/>
          <w:rtl/>
        </w:rPr>
        <w:t xml:space="preserve"> الجهال لا يرون باساً من نسبة تلك العظائم إلى الله</w:t>
      </w:r>
      <w:r w:rsidR="00DB731D" w:rsidRPr="00A52585">
        <w:rPr>
          <w:rFonts w:hint="cs"/>
          <w:rtl/>
        </w:rPr>
        <w:t>،</w:t>
      </w:r>
      <w:r w:rsidR="00777DCB" w:rsidRPr="00A52585">
        <w:rPr>
          <w:rFonts w:hint="cs"/>
          <w:rtl/>
        </w:rPr>
        <w:t xml:space="preserve"> وهم يقولون على الله تعالى بغير علم</w:t>
      </w:r>
      <w:r w:rsidR="00DB731D" w:rsidRPr="00A52585">
        <w:rPr>
          <w:rFonts w:hint="cs"/>
          <w:rtl/>
        </w:rPr>
        <w:t>،</w:t>
      </w:r>
      <w:r w:rsidR="00777DCB" w:rsidRPr="00A52585">
        <w:rPr>
          <w:rFonts w:hint="cs"/>
          <w:rtl/>
        </w:rPr>
        <w:t xml:space="preserve"> وحقاً إذا لم تستح فاصنع ما شئت</w:t>
      </w:r>
      <w:r w:rsidR="00DB731D" w:rsidRPr="00A52585">
        <w:rPr>
          <w:rFonts w:hint="cs"/>
          <w:rtl/>
        </w:rPr>
        <w:t>،</w:t>
      </w:r>
      <w:r w:rsidR="00777DCB" w:rsidRPr="00A52585">
        <w:rPr>
          <w:rFonts w:hint="cs"/>
          <w:rtl/>
        </w:rPr>
        <w:t xml:space="preserve"> </w:t>
      </w:r>
    </w:p>
    <w:p w14:paraId="69162B6C" w14:textId="2145FC40" w:rsidR="00777DCB" w:rsidRPr="00A52585" w:rsidRDefault="0002035C" w:rsidP="0002035C">
      <w:pPr>
        <w:spacing w:after="240"/>
        <w:rPr>
          <w:rtl/>
          <w:lang w:bidi="ar-KW"/>
        </w:rPr>
      </w:pPr>
      <w:r w:rsidRPr="00A52585">
        <w:rPr>
          <w:rFonts w:hint="cs"/>
          <w:bCs/>
          <w:rtl/>
        </w:rPr>
        <w:t>(</w:t>
      </w:r>
      <w:r w:rsidR="00777DCB" w:rsidRPr="00A52585">
        <w:rPr>
          <w:rFonts w:hint="cs"/>
          <w:bCs/>
          <w:rtl/>
        </w:rPr>
        <w:t>6</w:t>
      </w:r>
      <w:r w:rsidRPr="00A52585">
        <w:rPr>
          <w:rFonts w:hint="cs"/>
          <w:bCs/>
          <w:rtl/>
        </w:rPr>
        <w:t>)</w:t>
      </w:r>
      <w:r w:rsidR="00777DCB" w:rsidRPr="00A52585">
        <w:rPr>
          <w:rFonts w:hint="cs"/>
          <w:bCs/>
          <w:rtl/>
        </w:rPr>
        <w:t xml:space="preserve"> حل إشكالية حديث النزول</w:t>
      </w:r>
      <w:r w:rsidRPr="00A52585">
        <w:rPr>
          <w:rFonts w:hint="cs"/>
          <w:bCs/>
          <w:rtl/>
        </w:rPr>
        <w:t>:</w:t>
      </w:r>
      <w:r w:rsidR="00777DCB" w:rsidRPr="00A52585">
        <w:rPr>
          <w:rFonts w:hint="cs"/>
          <w:bCs/>
          <w:rtl/>
        </w:rPr>
        <w:t xml:space="preserve"> </w:t>
      </w:r>
      <w:r w:rsidR="00777DCB" w:rsidRPr="00A52585">
        <w:rPr>
          <w:rFonts w:hint="cs"/>
          <w:rtl/>
        </w:rPr>
        <w:t>أخرج النسائي</w:t>
      </w:r>
      <w:r w:rsidR="00777DCB" w:rsidRPr="00A52585">
        <w:rPr>
          <w:rFonts w:hint="cs"/>
          <w:rtl/>
          <w:lang w:bidi="ar-KW"/>
        </w:rPr>
        <w:t xml:space="preserve"> حديث النزول بلفظ</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إن الله عز وجل يمهل حتى يمضي شطر الليل الأول ثم يأمر مناديا فيقول هل من داع يستجاب له هل من مستغفر يغفر له هل من سائل يعطى</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وهذا اللفظ هو المحكم</w:t>
      </w:r>
      <w:r w:rsidR="00DB731D" w:rsidRPr="00A52585">
        <w:rPr>
          <w:rFonts w:hint="cs"/>
          <w:rtl/>
        </w:rPr>
        <w:t>،</w:t>
      </w:r>
      <w:r w:rsidR="00777DCB" w:rsidRPr="00A52585">
        <w:rPr>
          <w:rFonts w:hint="cs"/>
          <w:rtl/>
        </w:rPr>
        <w:t xml:space="preserve"> ولفظ حديث البخاري ومسلم متشابه</w:t>
      </w:r>
      <w:r w:rsidR="00DB731D" w:rsidRPr="00A52585">
        <w:rPr>
          <w:rFonts w:hint="cs"/>
          <w:rtl/>
        </w:rPr>
        <w:t>،</w:t>
      </w:r>
      <w:r w:rsidR="00777DCB" w:rsidRPr="00A52585">
        <w:rPr>
          <w:rFonts w:hint="cs"/>
          <w:rtl/>
        </w:rPr>
        <w:t xml:space="preserve"> وعند علماء الأصول يلزم حمل المتشابه على المحكم</w:t>
      </w:r>
      <w:r w:rsidR="00DB731D" w:rsidRPr="00A52585">
        <w:rPr>
          <w:rFonts w:hint="cs"/>
          <w:rtl/>
        </w:rPr>
        <w:t>،</w:t>
      </w:r>
      <w:r w:rsidR="00777DCB" w:rsidRPr="00A52585">
        <w:rPr>
          <w:rFonts w:hint="cs"/>
          <w:rtl/>
        </w:rPr>
        <w:t xml:space="preserve"> وعلى ذلك فإنّ النازل ملك من الملائكة يُنادي باسم الله تعالى</w:t>
      </w:r>
      <w:r w:rsidR="00DB731D" w:rsidRPr="00A52585">
        <w:rPr>
          <w:rFonts w:hint="cs"/>
          <w:rtl/>
        </w:rPr>
        <w:t>،</w:t>
      </w:r>
      <w:r w:rsidR="00777DCB" w:rsidRPr="00A52585">
        <w:rPr>
          <w:rFonts w:hint="cs"/>
          <w:rtl/>
        </w:rPr>
        <w:t xml:space="preserve"> وقد فسر الكثير من العلماء حديث البخاري بحديث النسائي</w:t>
      </w:r>
      <w:r w:rsidR="00DB731D" w:rsidRPr="00A52585">
        <w:rPr>
          <w:rFonts w:hint="cs"/>
          <w:rtl/>
        </w:rPr>
        <w:t>،</w:t>
      </w:r>
      <w:r w:rsidR="00777DCB" w:rsidRPr="00A52585">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sidR="00DB731D" w:rsidRPr="00A52585">
        <w:rPr>
          <w:rFonts w:hint="cs"/>
          <w:rtl/>
        </w:rPr>
        <w:t>،</w:t>
      </w:r>
      <w:r w:rsidR="00777DCB" w:rsidRPr="00A52585">
        <w:rPr>
          <w:rFonts w:hint="cs"/>
          <w:rtl/>
          <w:lang w:bidi="ar-KW"/>
        </w:rPr>
        <w:t xml:space="preserve"> ومعلوم أن الإمام في الصلاة إذا قرأ القرآن وقال</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إِنَّنِي أَنَا اللَّهُ لَا إِلَهَ إِلَّا أَنَا فَاعْبُدْنِي وَأَقِمِ الصَّلَاةَ لِذِكْرِي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14</w:t>
      </w:r>
      <w:r w:rsidRPr="00A52585">
        <w:rPr>
          <w:rFonts w:hint="cs"/>
          <w:rtl/>
        </w:rPr>
        <w:t>]</w:t>
      </w:r>
      <w:r w:rsidR="00DB731D" w:rsidRPr="00A52585">
        <w:rPr>
          <w:rFonts w:hint="cs"/>
          <w:rtl/>
        </w:rPr>
        <w:t>،</w:t>
      </w:r>
      <w:r w:rsidR="00777DCB" w:rsidRPr="00A52585">
        <w:rPr>
          <w:rFonts w:hint="cs"/>
          <w:rtl/>
        </w:rPr>
        <w:t xml:space="preserve"> فإنّه لا يأمر المأمومين بعباده</w:t>
      </w:r>
      <w:r w:rsidR="00DB731D" w:rsidRPr="00A52585">
        <w:rPr>
          <w:rFonts w:hint="cs"/>
          <w:rtl/>
        </w:rPr>
        <w:t>،</w:t>
      </w:r>
      <w:r w:rsidR="00777DCB" w:rsidRPr="00A52585">
        <w:rPr>
          <w:rFonts w:hint="cs"/>
          <w:rtl/>
        </w:rPr>
        <w:t xml:space="preserve"> ولا أحد يعرف العربية يفهم ذلك</w:t>
      </w:r>
      <w:r w:rsidR="00DB731D" w:rsidRPr="00A52585">
        <w:rPr>
          <w:rFonts w:hint="cs"/>
          <w:rtl/>
        </w:rPr>
        <w:t>،</w:t>
      </w:r>
      <w:r w:rsidR="00777DCB" w:rsidRPr="00A52585">
        <w:rPr>
          <w:rFonts w:hint="cs"/>
          <w:rtl/>
        </w:rPr>
        <w:t xml:space="preserve"> وإنما هو كلام الله تعالى على لسان الإمام</w:t>
      </w:r>
      <w:r w:rsidR="00DB731D" w:rsidRPr="00A52585">
        <w:rPr>
          <w:rFonts w:hint="cs"/>
          <w:rtl/>
        </w:rPr>
        <w:t>،</w:t>
      </w:r>
      <w:r w:rsidR="00777DCB" w:rsidRPr="00A52585">
        <w:rPr>
          <w:rFonts w:hint="cs"/>
          <w:rtl/>
        </w:rPr>
        <w:t xml:space="preserve"> وهكذا الملك ينقل قول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يَدْعُونِي فَأَسْتَجِيبَ لَهُ مَنْ يَسْأَلُنِي فَأُعْطِيَهُ مَنْ يَسْتَغْفِرُنِي فَأَغْفِرَ لَهُ</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قال الشيخ محمد السفاريني الحنبلي في كتاب لوامع الأنوار البهية شرح الدرة المضية في عقيدة الفرقة المرضية ما نصه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ينـزل</w:t>
      </w:r>
      <w:r w:rsidRPr="00A52585">
        <w:rPr>
          <w:rFonts w:hint="cs"/>
          <w:rtl/>
        </w:rPr>
        <w:t>)</w:t>
      </w:r>
      <w:r w:rsidR="00777DCB" w:rsidRPr="00A52585">
        <w:rPr>
          <w:rFonts w:hint="cs"/>
          <w:rtl/>
        </w:rPr>
        <w:t xml:space="preserve">) راجع إلى أفعاله لا إلى ذاته المقدس فإن النـزول كما يكون في الأجساد </w:t>
      </w:r>
      <w:r w:rsidR="00777DCB" w:rsidRPr="00A52585">
        <w:rPr>
          <w:rFonts w:hint="cs"/>
          <w:rtl/>
        </w:rPr>
        <w:lastRenderedPageBreak/>
        <w:t>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DB731D" w:rsidRPr="00A52585">
        <w:rPr>
          <w:rFonts w:hint="cs"/>
          <w:rtl/>
        </w:rPr>
        <w:t>،</w:t>
      </w:r>
      <w:r w:rsidR="00777DCB" w:rsidRPr="00A52585">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الله عز وجل يُمهل حتى يمضي شطر الليل الأول ثم يأمر مناديا يقول هل من داع يستجاب له هل من مستغفر يغفر له هل من سائل يعطى</w:t>
      </w:r>
      <w:r w:rsidRPr="00A52585">
        <w:rPr>
          <w:rFonts w:hint="cs"/>
          <w:rtl/>
        </w:rPr>
        <w:t>)</w:t>
      </w:r>
      <w:r w:rsidR="00777DCB" w:rsidRPr="00A52585">
        <w:rPr>
          <w:rFonts w:hint="cs"/>
          <w:rtl/>
        </w:rPr>
        <w:t xml:space="preserve">) </w:t>
      </w:r>
      <w:r w:rsidR="00777DCB" w:rsidRPr="00A52585">
        <w:rPr>
          <w:rFonts w:hint="cs"/>
          <w:bCs/>
          <w:rtl/>
        </w:rPr>
        <w:t>قال القرطبي</w:t>
      </w:r>
      <w:r w:rsidRPr="00A52585">
        <w:rPr>
          <w:rFonts w:hint="cs"/>
          <w:bCs/>
          <w:rtl/>
        </w:rPr>
        <w:t>:</w:t>
      </w:r>
      <w:r w:rsidR="00777DCB" w:rsidRPr="00A52585">
        <w:rPr>
          <w:rFonts w:hint="cs"/>
          <w:bCs/>
          <w:rtl/>
        </w:rPr>
        <w:t xml:space="preserve"> صححه عبد الحق</w:t>
      </w:r>
      <w:r w:rsidR="00DB731D" w:rsidRPr="00A52585">
        <w:rPr>
          <w:rFonts w:hint="cs"/>
          <w:rtl/>
        </w:rPr>
        <w:t>،</w:t>
      </w:r>
      <w:r w:rsidR="00777DCB" w:rsidRPr="00A52585">
        <w:rPr>
          <w:rFonts w:hint="cs"/>
          <w:rtl/>
        </w:rPr>
        <w:t xml:space="preserve"> </w:t>
      </w:r>
      <w:r w:rsidR="00777DCB" w:rsidRPr="00A52585">
        <w:rPr>
          <w:rFonts w:hint="cs"/>
          <w:bCs/>
          <w:rtl/>
        </w:rPr>
        <w:t>قالوا</w:t>
      </w:r>
      <w:r w:rsidRPr="00A52585">
        <w:rPr>
          <w:rFonts w:hint="cs"/>
          <w:bCs/>
          <w:rtl/>
        </w:rPr>
        <w:t>:</w:t>
      </w:r>
      <w:r w:rsidR="00777DCB" w:rsidRPr="00A52585">
        <w:rPr>
          <w:rFonts w:hint="cs"/>
          <w:bCs/>
        </w:rPr>
        <w:t xml:space="preserve"> </w:t>
      </w:r>
      <w:r w:rsidR="00777DCB" w:rsidRPr="00A52585">
        <w:rPr>
          <w:rFonts w:hint="cs"/>
          <w:bCs/>
          <w:rtl/>
        </w:rPr>
        <w:t>وهذا يرفع الإشكال ويُـزيل كل احتمال والسنة يُفسر بعضها بعضا وكذا الآيات،</w:t>
      </w:r>
      <w:r w:rsidR="00777DCB" w:rsidRPr="00A52585">
        <w:rPr>
          <w:rFonts w:hint="cs"/>
          <w:rtl/>
        </w:rPr>
        <w:t xml:space="preserve"> قالوا</w:t>
      </w:r>
      <w:r w:rsidRPr="00A52585">
        <w:rPr>
          <w:rFonts w:hint="cs"/>
          <w:rtl/>
        </w:rPr>
        <w:t>:</w:t>
      </w:r>
      <w:r w:rsidR="00777DCB" w:rsidRPr="00A52585">
        <w:rPr>
          <w:rFonts w:hint="cs"/>
        </w:rPr>
        <w:t xml:space="preserve"> </w:t>
      </w:r>
      <w:r w:rsidR="00777DCB" w:rsidRPr="00A52585">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sidRPr="00A52585">
        <w:rPr>
          <w:rFonts w:hint="cs"/>
          <w:rtl/>
        </w:rPr>
        <w:t>:</w:t>
      </w:r>
      <w:r w:rsidR="00777DCB" w:rsidRPr="00A52585">
        <w:rPr>
          <w:rFonts w:hint="cs"/>
        </w:rPr>
        <w:t xml:space="preserve"> </w:t>
      </w:r>
      <w:r w:rsidR="00777DCB" w:rsidRPr="00A52585">
        <w:rPr>
          <w:rFonts w:hint="cs"/>
          <w:rtl/>
        </w:rPr>
        <w:t>وكل ما لم يكن فكان أو لم يثبت فثبت من أوصافه تعالى فهو من قبيل صفة الأفعال، قالوا</w:t>
      </w:r>
      <w:r w:rsidRPr="00A52585">
        <w:rPr>
          <w:rFonts w:hint="cs"/>
          <w:rtl/>
        </w:rPr>
        <w:t>:</w:t>
      </w:r>
      <w:r w:rsidR="00777DCB" w:rsidRPr="00A52585">
        <w:rPr>
          <w:rFonts w:hint="cs"/>
        </w:rPr>
        <w:t xml:space="preserve"> </w:t>
      </w:r>
      <w:r w:rsidR="00777DCB" w:rsidRPr="00A52585">
        <w:rPr>
          <w:rFonts w:hint="cs"/>
          <w:rtl/>
        </w:rPr>
        <w:t>فالنـزول والاستواء من صفات الأفعال " أهـ</w:t>
      </w:r>
      <w:r w:rsidR="00DB731D" w:rsidRPr="00A52585">
        <w:rPr>
          <w:rFonts w:hint="cs"/>
          <w:rtl/>
        </w:rPr>
        <w:t>،</w:t>
      </w:r>
      <w:r w:rsidR="00777DCB" w:rsidRPr="00A52585">
        <w:rPr>
          <w:rFonts w:hint="cs"/>
          <w:rtl/>
        </w:rPr>
        <w:t xml:space="preserve"> </w:t>
      </w:r>
    </w:p>
    <w:p w14:paraId="128CC41A" w14:textId="7DA95D80" w:rsidR="00777DCB" w:rsidRPr="00A52585" w:rsidRDefault="0002035C" w:rsidP="0002035C">
      <w:pPr>
        <w:spacing w:after="240"/>
      </w:pPr>
      <w:r w:rsidRPr="00A52585">
        <w:rPr>
          <w:rFonts w:hint="cs"/>
          <w:rtl/>
          <w:lang w:bidi="ar-KW"/>
        </w:rPr>
        <w:t>(</w:t>
      </w:r>
      <w:r w:rsidR="00777DCB" w:rsidRPr="00A52585">
        <w:rPr>
          <w:rFonts w:hint="cs"/>
          <w:rtl/>
          <w:lang w:bidi="ar-KW"/>
        </w:rPr>
        <w:t>7</w:t>
      </w:r>
      <w:r w:rsidRPr="00A52585">
        <w:rPr>
          <w:rFonts w:hint="cs"/>
          <w:rtl/>
          <w:lang w:bidi="ar-KW"/>
        </w:rPr>
        <w:t>)</w:t>
      </w:r>
      <w:r w:rsidR="00777DCB" w:rsidRPr="00A52585">
        <w:rPr>
          <w:rFonts w:hint="cs"/>
          <w:rtl/>
          <w:lang w:bidi="ar-KW"/>
        </w:rPr>
        <w:t xml:space="preserve"> </w:t>
      </w:r>
      <w:r w:rsidR="00777DCB" w:rsidRPr="00A52585">
        <w:rPr>
          <w:rFonts w:hint="cs"/>
          <w:rtl/>
        </w:rPr>
        <w:t>للمزيد حول تحقيق القول في حديث</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كل ليلة</w:t>
      </w:r>
      <w:r w:rsidRPr="00A52585">
        <w:rPr>
          <w:rFonts w:hint="cs"/>
          <w:rtl/>
        </w:rPr>
        <w:t>)</w:t>
      </w:r>
      <w:r w:rsidR="00777DCB" w:rsidRPr="00A52585">
        <w:rPr>
          <w:rFonts w:hint="cs"/>
          <w:rtl/>
        </w:rPr>
        <w:t>) والقضاء على شبه المجسمة المتعلقة به من اثبات المكان والحركة والسكون</w:t>
      </w:r>
      <w:r w:rsidR="00DB731D" w:rsidRPr="00A52585">
        <w:rPr>
          <w:rFonts w:hint="cs"/>
          <w:rtl/>
        </w:rPr>
        <w:t>،</w:t>
      </w:r>
      <w:r w:rsidR="00777DCB" w:rsidRPr="00A52585">
        <w:rPr>
          <w:rFonts w:hint="cs"/>
          <w:rtl/>
        </w:rPr>
        <w:t xml:space="preserve"> وبيان أقوال علماء أهل السنّة والجماعة حول الحديث</w:t>
      </w:r>
      <w:r w:rsidRPr="00A52585">
        <w:rPr>
          <w:rFonts w:hint="cs"/>
          <w:rtl/>
        </w:rPr>
        <w:t>:</w:t>
      </w:r>
      <w:r w:rsidR="00777DCB" w:rsidRPr="00A52585">
        <w:rPr>
          <w:rFonts w:hint="cs"/>
          <w:rtl/>
        </w:rPr>
        <w:t xml:space="preserve"> انظر كتابي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كتاب شرح حديث النزول في ضوء قواعد التنزيه</w:t>
      </w:r>
      <w:r w:rsidRPr="00A52585">
        <w:rPr>
          <w:rFonts w:hint="cs"/>
          <w:rtl/>
        </w:rPr>
        <w:t>)</w:t>
      </w:r>
      <w:r w:rsidR="00DB731D" w:rsidRPr="00A52585">
        <w:rPr>
          <w:rFonts w:hint="cs"/>
          <w:rtl/>
        </w:rPr>
        <w:t>،</w:t>
      </w:r>
      <w:r w:rsidR="00777DCB" w:rsidRPr="00A52585">
        <w:rPr>
          <w:rFonts w:hint="cs"/>
          <w:rtl/>
        </w:rPr>
        <w:t xml:space="preserve"> وهو الكتاب الثامن ضمن </w:t>
      </w:r>
      <w:r w:rsidRPr="00A52585">
        <w:rPr>
          <w:rFonts w:hint="cs"/>
          <w:rtl/>
        </w:rPr>
        <w:t>(</w:t>
      </w:r>
      <w:r w:rsidR="00777DCB" w:rsidRPr="00A52585">
        <w:rPr>
          <w:rFonts w:hint="cs"/>
          <w:rtl/>
        </w:rPr>
        <w:t>مجموعة الرسائل المتعلقة بالتقديس والتنزيه وفهم العقيدة الصحيحة</w:t>
      </w:r>
      <w:r w:rsidRPr="00A52585">
        <w:rPr>
          <w:rFonts w:hint="cs"/>
          <w:rtl/>
        </w:rPr>
        <w:t>)</w:t>
      </w:r>
    </w:p>
    <w:p w14:paraId="3D4BC235" w14:textId="77777777" w:rsidR="00777DCB" w:rsidRPr="00A52585" w:rsidRDefault="00777DCB" w:rsidP="0002035C">
      <w:pPr>
        <w:spacing w:after="240"/>
        <w:jc w:val="center"/>
        <w:rPr>
          <w:rtl/>
          <w:lang w:bidi="ar-KW"/>
        </w:rPr>
      </w:pPr>
      <w:r w:rsidRPr="00A52585">
        <w:rPr>
          <w:rFonts w:hint="cs"/>
          <w:rtl/>
          <w:lang w:bidi="ar-KW"/>
        </w:rPr>
        <w:t>********</w:t>
      </w:r>
    </w:p>
    <w:p w14:paraId="1E663DE7" w14:textId="77777777" w:rsidR="00777DCB" w:rsidRPr="00A52585" w:rsidRDefault="00777DCB" w:rsidP="0002035C">
      <w:pPr>
        <w:spacing w:after="240"/>
        <w:jc w:val="center"/>
        <w:rPr>
          <w:rtl/>
          <w:lang w:bidi="ar-KW"/>
        </w:rPr>
      </w:pPr>
    </w:p>
    <w:p w14:paraId="536187CE" w14:textId="77777777" w:rsidR="00777DCB" w:rsidRPr="00A52585" w:rsidRDefault="00777DCB" w:rsidP="0002035C">
      <w:pPr>
        <w:spacing w:after="240"/>
        <w:jc w:val="center"/>
        <w:rPr>
          <w:rtl/>
          <w:lang w:bidi="ar-KW"/>
        </w:rPr>
      </w:pPr>
    </w:p>
    <w:p w14:paraId="5FA3CF36" w14:textId="77777777" w:rsidR="00777DCB" w:rsidRPr="00A52585" w:rsidRDefault="00777DCB" w:rsidP="0002035C">
      <w:pPr>
        <w:spacing w:after="240"/>
        <w:jc w:val="center"/>
        <w:rPr>
          <w:rtl/>
          <w:lang w:bidi="ar-KW"/>
        </w:rPr>
      </w:pPr>
    </w:p>
    <w:p w14:paraId="2A51419B" w14:textId="77777777" w:rsidR="00777DCB" w:rsidRPr="00A52585" w:rsidRDefault="00777DCB" w:rsidP="0002035C">
      <w:pPr>
        <w:spacing w:after="240"/>
        <w:jc w:val="center"/>
        <w:rPr>
          <w:rtl/>
          <w:lang w:bidi="ar-KW"/>
        </w:rPr>
      </w:pPr>
    </w:p>
    <w:p w14:paraId="19A338C4" w14:textId="2A9C6117" w:rsidR="00777DCB" w:rsidRPr="00A52585" w:rsidRDefault="0002035C" w:rsidP="00A52585">
      <w:pPr>
        <w:pStyle w:val="2"/>
        <w:bidi/>
        <w:jc w:val="center"/>
        <w:rPr>
          <w:u w:val="none"/>
          <w:rtl/>
        </w:rPr>
      </w:pPr>
      <w:r w:rsidRPr="00A52585">
        <w:rPr>
          <w:rFonts w:hint="cs"/>
          <w:u w:val="none"/>
          <w:rtl/>
          <w:lang w:bidi="ar-KW"/>
        </w:rPr>
        <w:t>(</w:t>
      </w:r>
      <w:r w:rsidR="00777DCB" w:rsidRPr="00A52585">
        <w:rPr>
          <w:rFonts w:hint="cs"/>
          <w:u w:val="none"/>
          <w:rtl/>
          <w:lang w:bidi="ar-KW"/>
        </w:rPr>
        <w:t>4</w:t>
      </w:r>
      <w:r w:rsidRPr="00A52585">
        <w:rPr>
          <w:rFonts w:hint="cs"/>
          <w:u w:val="none"/>
          <w:rtl/>
          <w:lang w:bidi="ar-KW"/>
        </w:rPr>
        <w:t>)</w:t>
      </w:r>
      <w:bookmarkStart w:id="6" w:name="ض1"/>
      <w:r w:rsidR="00A52585" w:rsidRPr="00A52585">
        <w:rPr>
          <w:rFonts w:hint="cs"/>
          <w:u w:val="none"/>
          <w:rtl/>
          <w:lang w:bidi="ar-KW"/>
        </w:rPr>
        <w:t xml:space="preserve"> </w:t>
      </w:r>
      <w:r w:rsidR="00777DCB" w:rsidRPr="00A52585">
        <w:rPr>
          <w:rFonts w:hint="cs"/>
          <w:u w:val="none"/>
          <w:rtl/>
          <w:lang w:bidi="ar-KW"/>
        </w:rPr>
        <w:t>حل اشكالية الظواهر الموهمة للتشبيه والتجسيم والجارحة والأعضاء كالوجه واليد والعين</w:t>
      </w:r>
    </w:p>
    <w:bookmarkEnd w:id="6"/>
    <w:p w14:paraId="212A4BEE" w14:textId="77777777" w:rsidR="00777DCB" w:rsidRPr="00A52585" w:rsidRDefault="00777DCB" w:rsidP="0002035C">
      <w:pPr>
        <w:rPr>
          <w:rtl/>
        </w:rPr>
      </w:pPr>
    </w:p>
    <w:p w14:paraId="6EAFA3C1" w14:textId="68628B45" w:rsidR="00777DCB" w:rsidRPr="00A52585" w:rsidRDefault="00777DCB" w:rsidP="0002035C">
      <w:pPr>
        <w:rPr>
          <w:rtl/>
        </w:rPr>
      </w:pPr>
      <w:r w:rsidRPr="00A52585">
        <w:rPr>
          <w:rFonts w:hint="cs"/>
          <w:rtl/>
        </w:rPr>
        <w:t>الله تبارك وتعالى ليس كمثله شيء في وجوده أو في ذاته أو في أسمائه أو في صفاته أو في أفعاله</w:t>
      </w:r>
      <w:r w:rsidR="00DB731D" w:rsidRPr="00A52585">
        <w:rPr>
          <w:rFonts w:hint="cs"/>
          <w:rtl/>
        </w:rPr>
        <w:t>،</w:t>
      </w:r>
      <w:r w:rsidRPr="00A52585">
        <w:rPr>
          <w:rFonts w:hint="cs"/>
          <w:rtl/>
        </w:rPr>
        <w:t xml:space="preserve"> ليس كوجوده وجود فليس وجوده كوجود الأجسام التي تحتاج إلى مكان أو تتحيز في مكان كيف وهو الذي كان قبل خلق المكان ثم خلق المكان</w:t>
      </w:r>
      <w:r w:rsidR="00DB731D" w:rsidRPr="00A52585">
        <w:rPr>
          <w:rFonts w:hint="cs"/>
          <w:rtl/>
        </w:rPr>
        <w:t>،</w:t>
      </w:r>
      <w:r w:rsidRPr="00A52585">
        <w:rPr>
          <w:rFonts w:hint="cs"/>
          <w:rtl/>
        </w:rPr>
        <w:t xml:space="preserve"> وإذا كانت القاعدة تقول أن كل موجود في مكان فهو محدود بهذا المكان </w:t>
      </w:r>
      <w:proofErr w:type="spellStart"/>
      <w:r w:rsidRPr="00A52585">
        <w:rPr>
          <w:rFonts w:hint="cs"/>
          <w:rtl/>
        </w:rPr>
        <w:t>يحيزه</w:t>
      </w:r>
      <w:proofErr w:type="spellEnd"/>
      <w:r w:rsidRPr="00A52585">
        <w:rPr>
          <w:rFonts w:hint="cs"/>
          <w:rtl/>
        </w:rPr>
        <w:t xml:space="preserve"> ويحيط به والله تعالى بكل شيء محيط</w:t>
      </w:r>
      <w:r w:rsidR="00DB731D" w:rsidRPr="00A52585">
        <w:rPr>
          <w:rFonts w:hint="cs"/>
          <w:rtl/>
        </w:rPr>
        <w:t>،</w:t>
      </w:r>
      <w:r w:rsidRPr="00A52585">
        <w:rPr>
          <w:rFonts w:hint="cs"/>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DB731D" w:rsidRPr="00A52585">
        <w:rPr>
          <w:rFonts w:hint="cs"/>
          <w:rtl/>
        </w:rPr>
        <w:t>،</w:t>
      </w:r>
      <w:r w:rsidRPr="00A52585">
        <w:rPr>
          <w:rFonts w:hint="cs"/>
          <w:rtl/>
        </w:rPr>
        <w:t xml:space="preserve"> </w:t>
      </w:r>
      <w:r w:rsidRPr="00A52585">
        <w:rPr>
          <w:rFonts w:hint="cs"/>
          <w:bCs/>
          <w:rtl/>
        </w:rPr>
        <w:t>وذاته سبحانه منزهة عن الصور والتخطيط والتركيب لأن الله تعالى هو المصور وجلّ المصوِرُ أن يكون مصَورا</w:t>
      </w:r>
      <w:r w:rsidR="0002035C" w:rsidRPr="00A52585">
        <w:rPr>
          <w:rFonts w:hint="cs"/>
          <w:bCs/>
          <w:rtl/>
        </w:rPr>
        <w:t xml:space="preserve"> </w:t>
      </w:r>
      <w:r w:rsidRPr="00A52585">
        <w:rPr>
          <w:rFonts w:hint="cs"/>
          <w:bCs/>
          <w:rtl/>
        </w:rPr>
        <w:t>وتعالى عن ذلك علوا كبيرا لأن الهيئة والصورة والتركيب والتأليف كل ذلك إنما يصح على الأجسام المحدودة والجواهر المخلوقة</w:t>
      </w:r>
      <w:r w:rsidR="00DB731D" w:rsidRPr="00A52585">
        <w:rPr>
          <w:rFonts w:hint="cs"/>
          <w:rtl/>
        </w:rPr>
        <w:t>،</w:t>
      </w:r>
      <w:r w:rsidRPr="00A52585">
        <w:rPr>
          <w:rFonts w:hint="cs"/>
          <w:rtl/>
        </w:rPr>
        <w:t xml:space="preserve"> </w:t>
      </w:r>
      <w:r w:rsidRPr="00A52585">
        <w:rPr>
          <w:rFonts w:hint="cs"/>
          <w:rtl/>
        </w:rPr>
        <w:tab/>
        <w:t>التنزيه عن الصورة يعني بالضرورة التنزيه عن الأجزاء والأعضاء إذ الصورة تفيد</w:t>
      </w:r>
      <w:r w:rsidRPr="00A52585">
        <w:rPr>
          <w:rFonts w:hint="cs"/>
        </w:rPr>
        <w:t xml:space="preserve"> </w:t>
      </w:r>
      <w:r w:rsidRPr="00A52585">
        <w:rPr>
          <w:rFonts w:hint="cs"/>
          <w:rtl/>
        </w:rPr>
        <w:t>التركيب وكل مركب محدث</w:t>
      </w:r>
      <w:r w:rsidR="00DB731D" w:rsidRPr="00A52585">
        <w:rPr>
          <w:rFonts w:hint="cs"/>
          <w:rtl/>
        </w:rPr>
        <w:t>،</w:t>
      </w:r>
      <w:r w:rsidRPr="00A52585">
        <w:rPr>
          <w:rFonts w:hint="cs"/>
          <w:rtl/>
        </w:rPr>
        <w:t xml:space="preserve"> والباري سبحانه وتعالى ليس بمحدث</w:t>
      </w:r>
      <w:r w:rsidR="00DB731D" w:rsidRPr="00A52585">
        <w:rPr>
          <w:rFonts w:hint="cs"/>
          <w:rtl/>
        </w:rPr>
        <w:t>،</w:t>
      </w:r>
      <w:r w:rsidRPr="00A52585">
        <w:rPr>
          <w:rFonts w:hint="cs"/>
          <w:rtl/>
        </w:rPr>
        <w:t xml:space="preserve"> فليس بمركب وقد أجمع أهل القبلة عدا </w:t>
      </w:r>
      <w:proofErr w:type="spellStart"/>
      <w:r w:rsidRPr="00A52585">
        <w:rPr>
          <w:rFonts w:hint="cs"/>
          <w:rtl/>
        </w:rPr>
        <w:t>الحشوية</w:t>
      </w:r>
      <w:proofErr w:type="spellEnd"/>
      <w:r w:rsidRPr="00A52585">
        <w:rPr>
          <w:rFonts w:hint="cs"/>
          <w:rtl/>
        </w:rPr>
        <w:t xml:space="preserve"> والمجسمة والمشبهة على تنزيه الله تعالى عن الأجزاء والأعضاء والجوارح تعالى الله عن ذلك علوا كبيرا</w:t>
      </w:r>
      <w:r w:rsidR="00DB731D" w:rsidRPr="00A52585">
        <w:rPr>
          <w:rFonts w:hint="cs"/>
          <w:rtl/>
        </w:rPr>
        <w:t>،</w:t>
      </w:r>
      <w:r w:rsidRPr="00A52585">
        <w:rPr>
          <w:rFonts w:hint="cs"/>
        </w:rPr>
        <w:t xml:space="preserve"> </w:t>
      </w:r>
      <w:r w:rsidRPr="00A52585">
        <w:rPr>
          <w:rFonts w:hint="cs"/>
          <w:rtl/>
        </w:rPr>
        <w:t xml:space="preserve">قال تعالى: </w:t>
      </w:r>
      <w:r w:rsidR="0002035C" w:rsidRPr="00A52585">
        <w:rPr>
          <w:rFonts w:hint="cs"/>
          <w:rtl/>
        </w:rPr>
        <w:t>{</w:t>
      </w:r>
      <w:r w:rsidRPr="00A52585">
        <w:rPr>
          <w:rFonts w:hint="cs"/>
          <w:rtl/>
        </w:rPr>
        <w:t>قُلْ هُوَ اللَّهُ أَحَدٌ * اللَّهُ الصَّمَدُ * لَمْ يَلِدْ وَلَمْ يُولَدْ * وَلَمْ يَكُنْ لَهُ كُفُوًا أَحَدٌ</w:t>
      </w:r>
      <w:r w:rsidR="0002035C" w:rsidRPr="00A52585">
        <w:rPr>
          <w:rFonts w:hint="cs"/>
          <w:rtl/>
        </w:rPr>
        <w:t>}</w:t>
      </w:r>
      <w:r w:rsidR="00DB731D" w:rsidRPr="00A52585">
        <w:rPr>
          <w:rFonts w:hint="cs"/>
          <w:rtl/>
        </w:rPr>
        <w:t>،</w:t>
      </w:r>
      <w:r w:rsidRPr="00A52585">
        <w:rPr>
          <w:rFonts w:hint="cs"/>
          <w:rtl/>
        </w:rPr>
        <w:t xml:space="preserve"> وهذه السورة يجب أن تكون من المحكمات</w:t>
      </w:r>
      <w:r w:rsidR="00DB731D" w:rsidRPr="00A52585">
        <w:rPr>
          <w:rFonts w:hint="cs"/>
          <w:rtl/>
        </w:rPr>
        <w:t>،</w:t>
      </w:r>
      <w:r w:rsidRPr="00A52585">
        <w:rPr>
          <w:rFonts w:hint="cs"/>
          <w:rtl/>
        </w:rPr>
        <w:t xml:space="preserve"> لا من المتشابهات لأن النبي صلى الله عليه وسلم جعلها ثلث القرآن</w:t>
      </w:r>
      <w:r w:rsidR="00DB731D" w:rsidRPr="00A52585">
        <w:rPr>
          <w:rFonts w:hint="cs"/>
          <w:rtl/>
        </w:rPr>
        <w:t>،</w:t>
      </w:r>
      <w:r w:rsidRPr="00A52585">
        <w:rPr>
          <w:rFonts w:hint="cs"/>
          <w:rtl/>
        </w:rPr>
        <w:t xml:space="preserve"> ولفظ الأحد مبالغة في الوحدة، وذلك ينافي كونه مركباً من الأجزاء والأبعاض</w:t>
      </w:r>
      <w:r w:rsidR="00DB731D" w:rsidRPr="00A52585">
        <w:rPr>
          <w:rFonts w:hint="cs"/>
          <w:rtl/>
        </w:rPr>
        <w:t>،</w:t>
      </w:r>
      <w:r w:rsidRPr="00A52585">
        <w:rPr>
          <w:rFonts w:hint="cs"/>
          <w:rtl/>
        </w:rPr>
        <w:t xml:space="preserve"> فقوله تعالى </w:t>
      </w:r>
      <w:r w:rsidR="0002035C" w:rsidRPr="00A52585">
        <w:rPr>
          <w:rFonts w:hint="cs"/>
          <w:rtl/>
        </w:rPr>
        <w:t>(</w:t>
      </w:r>
      <w:r w:rsidRPr="00A52585">
        <w:rPr>
          <w:rFonts w:hint="cs"/>
          <w:bCs/>
          <w:rtl/>
        </w:rPr>
        <w:t>أحد</w:t>
      </w:r>
      <w:r w:rsidRPr="00A52585">
        <w:rPr>
          <w:rFonts w:hint="cs"/>
          <w:rtl/>
        </w:rPr>
        <w:t xml:space="preserve">) يدل على الأحدية ونفى الأجزاء المتمثل في نفي التركيب والتأليف في الذات فلو كان تعالى </w:t>
      </w:r>
      <w:r w:rsidRPr="00A52585">
        <w:rPr>
          <w:rFonts w:hint="cs"/>
          <w:rtl/>
        </w:rPr>
        <w:lastRenderedPageBreak/>
        <w:t>مركبا من جوارح وأجزاء</w:t>
      </w:r>
      <w:r w:rsidR="0002035C" w:rsidRPr="00A52585">
        <w:rPr>
          <w:rFonts w:hint="cs"/>
          <w:rtl/>
        </w:rPr>
        <w:t xml:space="preserve"> </w:t>
      </w:r>
      <w:r w:rsidRPr="00A52585">
        <w:rPr>
          <w:rFonts w:hint="cs"/>
          <w:rtl/>
        </w:rPr>
        <w:t>لم يكن أحدا</w:t>
      </w:r>
      <w:r w:rsidR="00DB731D" w:rsidRPr="00A52585">
        <w:rPr>
          <w:rFonts w:hint="cs"/>
          <w:rtl/>
        </w:rPr>
        <w:t>،</w:t>
      </w:r>
      <w:r w:rsidRPr="00A52585">
        <w:rPr>
          <w:rFonts w:hint="cs"/>
          <w:rtl/>
        </w:rPr>
        <w:t xml:space="preserve"> لأن أجزاؤه توجب وقوع الكثرة </w:t>
      </w:r>
      <w:proofErr w:type="spellStart"/>
      <w:r w:rsidRPr="00A52585">
        <w:rPr>
          <w:rFonts w:hint="cs"/>
          <w:rtl/>
        </w:rPr>
        <w:t>فى</w:t>
      </w:r>
      <w:proofErr w:type="spellEnd"/>
      <w:r w:rsidRPr="00A52585">
        <w:rPr>
          <w:rFonts w:hint="cs"/>
          <w:rtl/>
        </w:rPr>
        <w:t xml:space="preserve"> ذات الله تعالى والكثرة تنافي الأحدية في ذات الله</w:t>
      </w:r>
      <w:r w:rsidR="00DB731D" w:rsidRPr="00A52585">
        <w:rPr>
          <w:rFonts w:hint="cs"/>
          <w:rtl/>
        </w:rPr>
        <w:t>،</w:t>
      </w:r>
      <w:r w:rsidRPr="00A52585">
        <w:rPr>
          <w:rFonts w:hint="cs"/>
          <w:rtl/>
        </w:rPr>
        <w:t xml:space="preserve"> وقوله تعالى: </w:t>
      </w:r>
      <w:r w:rsidR="0002035C" w:rsidRPr="00A52585">
        <w:rPr>
          <w:rFonts w:hint="cs"/>
          <w:rtl/>
        </w:rPr>
        <w:t>{</w:t>
      </w:r>
      <w:r w:rsidRPr="00A52585">
        <w:rPr>
          <w:rFonts w:hint="cs"/>
          <w:rtl/>
        </w:rPr>
        <w:t>الله الصمد</w:t>
      </w:r>
      <w:r w:rsidR="0002035C" w:rsidRPr="00A52585">
        <w:rPr>
          <w:rFonts w:hint="cs"/>
          <w:rtl/>
        </w:rPr>
        <w:t>}</w:t>
      </w:r>
      <w:r w:rsidRPr="00A52585">
        <w:rPr>
          <w:rFonts w:hint="cs"/>
          <w:rtl/>
        </w:rPr>
        <w:t xml:space="preserve"> والصمدية كذلك تدل نفي الجارحة والأجزاء على الله بدليل</w:t>
      </w:r>
      <w:r w:rsidR="0002035C" w:rsidRPr="00A52585">
        <w:rPr>
          <w:rFonts w:hint="cs"/>
          <w:rtl/>
        </w:rPr>
        <w:t>:</w:t>
      </w:r>
      <w:r w:rsidRPr="00A52585">
        <w:rPr>
          <w:rFonts w:hint="cs"/>
          <w:rtl/>
        </w:rPr>
        <w:t xml:space="preserve"> أن كل جسم فهو مركب</w:t>
      </w:r>
      <w:r w:rsidR="00DB731D" w:rsidRPr="00A52585">
        <w:rPr>
          <w:rFonts w:hint="cs"/>
          <w:rtl/>
        </w:rPr>
        <w:t>،</w:t>
      </w:r>
      <w:r w:rsidRPr="00A52585">
        <w:rPr>
          <w:rFonts w:hint="cs"/>
          <w:rtl/>
        </w:rPr>
        <w:t xml:space="preserve"> وكل مركب فهو محتاج إلى كل واحد من أجزائه وكل واحد من أجزائه غيره</w:t>
      </w:r>
      <w:r w:rsidR="00DB731D" w:rsidRPr="00A52585">
        <w:rPr>
          <w:rFonts w:hint="cs"/>
          <w:rtl/>
        </w:rPr>
        <w:t>،</w:t>
      </w:r>
      <w:r w:rsidRPr="00A52585">
        <w:rPr>
          <w:rFonts w:hint="cs"/>
          <w:rtl/>
        </w:rPr>
        <w:t xml:space="preserve"> فكل مركب فهو محتاج إلى غيره والمحتاج إلى الغير لا يكون غنياً مُحتاجا إليه</w:t>
      </w:r>
      <w:r w:rsidR="00DB731D" w:rsidRPr="00A52585">
        <w:rPr>
          <w:rFonts w:hint="cs"/>
          <w:rtl/>
        </w:rPr>
        <w:t>،</w:t>
      </w:r>
      <w:r w:rsidRPr="00A52585">
        <w:rPr>
          <w:rFonts w:hint="cs"/>
          <w:rtl/>
        </w:rPr>
        <w:t xml:space="preserve"> فلم يكن صمداً مطلقاً </w:t>
      </w:r>
      <w:r w:rsidRPr="00A52585">
        <w:rPr>
          <w:rFonts w:hint="cs"/>
          <w:rtl/>
          <w:lang w:bidi="ar-KW"/>
        </w:rPr>
        <w:t>وكذلك</w:t>
      </w:r>
      <w:r w:rsidR="0002035C" w:rsidRPr="00A52585">
        <w:rPr>
          <w:rFonts w:hint="cs"/>
          <w:rtl/>
          <w:lang w:bidi="ar-KW"/>
        </w:rPr>
        <w:t xml:space="preserve"> </w:t>
      </w:r>
      <w:r w:rsidRPr="00A52585">
        <w:rPr>
          <w:rFonts w:hint="cs"/>
          <w:rtl/>
        </w:rPr>
        <w:t>لو كان سبحانه مركباً من الجوارح والأعضاء لأحتاج في الإبصار إلى العين وفى الفعل إلي اليد</w:t>
      </w:r>
      <w:r w:rsidRPr="00A52585">
        <w:rPr>
          <w:rFonts w:hint="cs"/>
        </w:rPr>
        <w:t xml:space="preserve"> </w:t>
      </w:r>
      <w:r w:rsidRPr="00A52585">
        <w:rPr>
          <w:rFonts w:hint="cs"/>
          <w:rtl/>
        </w:rPr>
        <w:t>وفى المشي إلي الرجل وذلك</w:t>
      </w:r>
      <w:r w:rsidRPr="00A52585">
        <w:rPr>
          <w:rFonts w:hint="cs"/>
        </w:rPr>
        <w:t xml:space="preserve"> </w:t>
      </w:r>
      <w:r w:rsidRPr="00A52585">
        <w:rPr>
          <w:rFonts w:hint="cs"/>
          <w:rtl/>
        </w:rPr>
        <w:t>ينافى كونه صمداً مطلقاً له كمال الغني ونفي الاحتياج</w:t>
      </w:r>
      <w:r w:rsidR="00DB731D" w:rsidRPr="00A52585">
        <w:rPr>
          <w:rFonts w:hint="cs"/>
          <w:rtl/>
        </w:rPr>
        <w:t>،</w:t>
      </w:r>
      <w:r w:rsidRPr="00A52585">
        <w:rPr>
          <w:rFonts w:hint="cs"/>
          <w:rtl/>
        </w:rPr>
        <w:t xml:space="preserve"> وقوله تعالى </w:t>
      </w:r>
      <w:r w:rsidR="0002035C" w:rsidRPr="00A52585">
        <w:rPr>
          <w:rFonts w:hint="cs"/>
          <w:rtl/>
        </w:rPr>
        <w:t>{</w:t>
      </w:r>
      <w:r w:rsidRPr="00A52585">
        <w:rPr>
          <w:rFonts w:hint="cs"/>
          <w:rtl/>
        </w:rPr>
        <w:t>ولم يكن له كفوا أحد</w:t>
      </w:r>
      <w:r w:rsidR="0002035C" w:rsidRPr="00A52585">
        <w:rPr>
          <w:rFonts w:hint="cs"/>
          <w:rtl/>
        </w:rPr>
        <w:t>}</w:t>
      </w:r>
      <w:r w:rsidRPr="00A52585">
        <w:rPr>
          <w:rFonts w:hint="cs"/>
          <w:rtl/>
        </w:rPr>
        <w:t xml:space="preserve"> نفي للمثلية كقوله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ولو كان مركبا من أجزاء وجوارح</w:t>
      </w:r>
      <w:r w:rsidR="0002035C" w:rsidRPr="00A52585">
        <w:rPr>
          <w:rFonts w:hint="cs"/>
          <w:rtl/>
        </w:rPr>
        <w:t xml:space="preserve"> </w:t>
      </w:r>
      <w:r w:rsidRPr="00A52585">
        <w:rPr>
          <w:rFonts w:hint="cs"/>
          <w:rtl/>
        </w:rPr>
        <w:t>لكان مثلاً لسائر المخلوقات المركبة من أجزاء وجوارح</w:t>
      </w:r>
      <w:r w:rsidR="00DB731D" w:rsidRPr="00A52585">
        <w:rPr>
          <w:rFonts w:hint="cs"/>
          <w:rtl/>
        </w:rPr>
        <w:t>،</w:t>
      </w:r>
      <w:r w:rsidRPr="00A52585">
        <w:rPr>
          <w:rFonts w:hint="cs"/>
          <w:rtl/>
        </w:rPr>
        <w:t xml:space="preserve"> وكذلك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والله الغنى وأنتم الفقراء</w:t>
      </w:r>
      <w:r w:rsidR="0002035C" w:rsidRPr="00A52585">
        <w:rPr>
          <w:rFonts w:hint="cs"/>
          <w:rtl/>
        </w:rPr>
        <w:t>}</w:t>
      </w:r>
      <w:r w:rsidRPr="00A52585">
        <w:rPr>
          <w:rFonts w:hint="cs"/>
          <w:rtl/>
        </w:rPr>
        <w:t xml:space="preserve"> دلت هذه الآية على كونه تعالى غنى ولو كان مركبا من أجزاء وجوارح</w:t>
      </w:r>
      <w:r w:rsidR="0002035C" w:rsidRPr="00A52585">
        <w:rPr>
          <w:rFonts w:hint="cs"/>
          <w:rtl/>
        </w:rPr>
        <w:t xml:space="preserve"> </w:t>
      </w:r>
      <w:r w:rsidRPr="00A52585">
        <w:rPr>
          <w:rFonts w:hint="cs"/>
          <w:rtl/>
        </w:rPr>
        <w:t>لما كان غنياً لأن كل جسم مركب وكل مركب محتاج إلى كل واحد من أجزائه</w:t>
      </w:r>
      <w:r w:rsidR="00DB731D" w:rsidRPr="00A52585">
        <w:rPr>
          <w:rFonts w:hint="cs"/>
          <w:rtl/>
        </w:rPr>
        <w:t>،</w:t>
      </w:r>
      <w:r w:rsidRPr="00A52585">
        <w:rPr>
          <w:rFonts w:hint="cs"/>
          <w:bCs/>
          <w:rtl/>
        </w:rPr>
        <w:t xml:space="preserve"> </w:t>
      </w:r>
      <w:r w:rsidRPr="00A52585">
        <w:rPr>
          <w:rFonts w:hint="cs"/>
          <w:rtl/>
        </w:rPr>
        <w:t xml:space="preserve">وقوله تعالى </w:t>
      </w:r>
      <w:r w:rsidR="0002035C" w:rsidRPr="00A52585">
        <w:rPr>
          <w:rFonts w:hint="cs"/>
          <w:rtl/>
        </w:rPr>
        <w:t>(</w:t>
      </w:r>
      <w:r w:rsidRPr="00A52585">
        <w:rPr>
          <w:rFonts w:hint="cs"/>
          <w:rtl/>
        </w:rPr>
        <w:t>لا إله إلا هو الحي القيوم</w:t>
      </w:r>
      <w:r w:rsidR="0002035C" w:rsidRPr="00A52585">
        <w:rPr>
          <w:rFonts w:hint="cs"/>
          <w:rtl/>
        </w:rPr>
        <w:t>)</w:t>
      </w:r>
      <w:r w:rsidRPr="00A52585">
        <w:rPr>
          <w:rFonts w:hint="cs"/>
          <w:rtl/>
        </w:rPr>
        <w:t xml:space="preserve"> والقيوم مبالغة في كونه غنياً عن كل ما سواه</w:t>
      </w:r>
      <w:r w:rsidR="00DB731D" w:rsidRPr="00A52585">
        <w:rPr>
          <w:rFonts w:hint="cs"/>
          <w:rtl/>
        </w:rPr>
        <w:t>،</w:t>
      </w:r>
      <w:r w:rsidRPr="00A52585">
        <w:rPr>
          <w:rFonts w:hint="cs"/>
          <w:rtl/>
        </w:rPr>
        <w:t xml:space="preserve"> وكونه مقوماً لغيره</w:t>
      </w:r>
      <w:r w:rsidR="0002035C" w:rsidRPr="00A52585">
        <w:rPr>
          <w:rFonts w:hint="cs"/>
          <w:rtl/>
        </w:rPr>
        <w:t>:</w:t>
      </w:r>
      <w:r w:rsidRPr="00A52585">
        <w:rPr>
          <w:rFonts w:hint="cs"/>
          <w:rtl/>
        </w:rPr>
        <w:t xml:space="preserve"> عبارة عن احتياج كل ما سواه إليه</w:t>
      </w:r>
      <w:r w:rsidR="00DB731D" w:rsidRPr="00A52585">
        <w:rPr>
          <w:rFonts w:hint="cs"/>
          <w:rtl/>
        </w:rPr>
        <w:t>،</w:t>
      </w:r>
      <w:r w:rsidRPr="00A52585">
        <w:rPr>
          <w:rFonts w:hint="cs"/>
          <w:rtl/>
        </w:rPr>
        <w:t xml:space="preserve"> فلو كان مركبا من جوارح وأجزاء</w:t>
      </w:r>
      <w:r w:rsidR="0002035C" w:rsidRPr="00A52585">
        <w:rPr>
          <w:rFonts w:hint="cs"/>
          <w:rtl/>
        </w:rPr>
        <w:t xml:space="preserve"> </w:t>
      </w:r>
      <w:r w:rsidRPr="00A52585">
        <w:rPr>
          <w:rFonts w:hint="cs"/>
          <w:rtl/>
        </w:rPr>
        <w:t>لكان هو مفتقراً إلى غيره وهو جزؤه الذي منه يتألف</w:t>
      </w:r>
      <w:r w:rsidR="00DB731D" w:rsidRPr="00A52585">
        <w:rPr>
          <w:rFonts w:hint="cs"/>
          <w:rtl/>
        </w:rPr>
        <w:t>،</w:t>
      </w:r>
      <w:r w:rsidR="0002035C" w:rsidRPr="00A52585">
        <w:rPr>
          <w:rFonts w:hint="cs"/>
          <w:rtl/>
        </w:rPr>
        <w:t xml:space="preserve"> </w:t>
      </w:r>
      <w:r w:rsidRPr="00A52585">
        <w:rPr>
          <w:rFonts w:hint="cs"/>
          <w:rtl/>
        </w:rPr>
        <w:t>ولكان غيره غنياً عنه وهو جزئه وحينئذ لا يكون قيوماً</w:t>
      </w:r>
      <w:r w:rsidR="00DB731D" w:rsidRPr="00A52585">
        <w:rPr>
          <w:rFonts w:hint="cs"/>
          <w:rtl/>
        </w:rPr>
        <w:t>،</w:t>
      </w:r>
      <w:r w:rsidRPr="00A52585">
        <w:rPr>
          <w:rFonts w:hint="cs"/>
          <w:rtl/>
        </w:rPr>
        <w:t xml:space="preserve"> وقوله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 xml:space="preserve">} </w:t>
      </w:r>
      <w:r w:rsidRPr="00A52585">
        <w:rPr>
          <w:rFonts w:hint="cs"/>
          <w:rtl/>
        </w:rPr>
        <w:t>ولو كان مركبا من أجزاء وجوارح</w:t>
      </w:r>
      <w:r w:rsidR="0002035C" w:rsidRPr="00A52585">
        <w:rPr>
          <w:rFonts w:hint="cs"/>
          <w:rtl/>
        </w:rPr>
        <w:t xml:space="preserve"> </w:t>
      </w:r>
      <w:r w:rsidRPr="00A52585">
        <w:rPr>
          <w:rFonts w:hint="cs"/>
          <w:rtl/>
        </w:rPr>
        <w:t>لكان مثلاً لسائر المخلوقات المركبة من أجزاء وجوارح</w:t>
      </w:r>
      <w:r w:rsidR="00DB731D" w:rsidRPr="00A52585">
        <w:rPr>
          <w:rFonts w:hint="cs"/>
          <w:rtl/>
        </w:rPr>
        <w:t>،</w:t>
      </w:r>
      <w:r w:rsidRPr="00A52585">
        <w:rPr>
          <w:rFonts w:hint="cs"/>
          <w:rtl/>
        </w:rPr>
        <w:t xml:space="preserve"> وقد تواترت أقوال علماء أهل السنّة والجماعة على تنزيه الله تعالى عن الجارحة والأعضاء والأجزاء</w:t>
      </w:r>
      <w:r w:rsidR="00DB731D" w:rsidRPr="00A52585">
        <w:rPr>
          <w:rFonts w:hint="cs"/>
          <w:rtl/>
        </w:rPr>
        <w:t>،</w:t>
      </w:r>
      <w:r w:rsidRPr="00A52585">
        <w:rPr>
          <w:rFonts w:hint="cs"/>
          <w:rtl/>
        </w:rPr>
        <w:t xml:space="preserve"> ولم يخالف في ذلك سوى المشبهة والمجسمة</w:t>
      </w:r>
      <w:r w:rsidR="00DB731D" w:rsidRPr="00A52585">
        <w:rPr>
          <w:rFonts w:hint="cs"/>
          <w:rtl/>
        </w:rPr>
        <w:t>،</w:t>
      </w:r>
      <w:r w:rsidRPr="00A52585">
        <w:rPr>
          <w:rFonts w:hint="cs"/>
          <w:rtl/>
        </w:rPr>
        <w:t xml:space="preserve"> حتى </w:t>
      </w:r>
      <w:proofErr w:type="spellStart"/>
      <w:r w:rsidRPr="00A52585">
        <w:rPr>
          <w:rFonts w:hint="cs"/>
          <w:rtl/>
        </w:rPr>
        <w:t>الحشوية</w:t>
      </w:r>
      <w:proofErr w:type="spellEnd"/>
      <w:r w:rsidRPr="00A52585">
        <w:rPr>
          <w:rFonts w:hint="cs"/>
          <w:rtl/>
        </w:rPr>
        <w:t xml:space="preserve"> الجهلاء بما يجب لله وما يستحيل في حقه نزهوا الله تعالى عن الجارحة</w:t>
      </w:r>
      <w:r w:rsidR="00DB731D" w:rsidRPr="00A52585">
        <w:rPr>
          <w:rFonts w:hint="cs"/>
          <w:rtl/>
        </w:rPr>
        <w:t>،</w:t>
      </w:r>
      <w:r w:rsidRPr="00A52585">
        <w:rPr>
          <w:rFonts w:hint="cs"/>
          <w:rtl/>
        </w:rPr>
        <w:t xml:space="preserve"> وقد مر بنا في الباب الأول مذهب أهل السنّة والجماعة في يوهم الجارحة كصفة الوجه واليد واليمين والعين والساق وغيرها</w:t>
      </w:r>
      <w:r w:rsidR="00DB731D" w:rsidRPr="00A52585">
        <w:rPr>
          <w:rFonts w:hint="cs"/>
          <w:rtl/>
        </w:rPr>
        <w:t>،</w:t>
      </w:r>
      <w:r w:rsidRPr="00A52585">
        <w:rPr>
          <w:rFonts w:hint="cs"/>
          <w:rtl/>
        </w:rPr>
        <w:t xml:space="preserve"> وأنّهم سموها صفاتاً احترازاً من توهم الجارحة لأنّ الله تعالى منزه عم كل ما يوهم الجارحة والتركيب والأجزاء والأعضاء</w:t>
      </w:r>
      <w:r w:rsidR="00DB731D" w:rsidRPr="00A52585">
        <w:rPr>
          <w:rFonts w:hint="cs"/>
          <w:rtl/>
        </w:rPr>
        <w:t>،</w:t>
      </w:r>
      <w:r w:rsidRPr="00A52585">
        <w:rPr>
          <w:rFonts w:hint="cs"/>
          <w:rtl/>
        </w:rPr>
        <w:t xml:space="preserve"> </w:t>
      </w:r>
      <w:r w:rsidRPr="00A52585">
        <w:rPr>
          <w:rFonts w:hint="cs"/>
          <w:bCs/>
          <w:rtl/>
        </w:rPr>
        <w:t>قال مرعي بن يوسف المقدسي الحنبلي في كتابه أقاويل الثقات</w:t>
      </w:r>
      <w:r w:rsidR="0002035C" w:rsidRPr="00A52585">
        <w:rPr>
          <w:rFonts w:hint="cs"/>
          <w:bCs/>
          <w:rtl/>
        </w:rPr>
        <w:t>:</w:t>
      </w:r>
      <w:r w:rsidRPr="00A52585">
        <w:rPr>
          <w:rFonts w:hint="cs"/>
          <w:rtl/>
        </w:rPr>
        <w:t xml:space="preserve"> </w:t>
      </w:r>
      <w:r w:rsidR="0002035C" w:rsidRPr="00A52585">
        <w:rPr>
          <w:rFonts w:hint="cs"/>
          <w:rtl/>
        </w:rPr>
        <w:t>(</w:t>
      </w:r>
      <w:r w:rsidRPr="00A52585">
        <w:rPr>
          <w:rFonts w:hint="cs"/>
          <w:bCs/>
          <w:rtl/>
        </w:rPr>
        <w:t>باب</w:t>
      </w:r>
      <w:r w:rsidR="0002035C" w:rsidRPr="00A52585">
        <w:rPr>
          <w:rFonts w:hint="cs"/>
          <w:bCs/>
          <w:rtl/>
        </w:rPr>
        <w:t xml:space="preserve"> </w:t>
      </w:r>
      <w:r w:rsidRPr="00A52585">
        <w:rPr>
          <w:rFonts w:hint="cs"/>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DB731D" w:rsidRPr="00A52585">
        <w:rPr>
          <w:rFonts w:hint="cs"/>
          <w:rtl/>
        </w:rPr>
        <w:t>،</w:t>
      </w:r>
      <w:r w:rsidRPr="00A52585">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w:t>
      </w:r>
      <w:r w:rsidRPr="00A52585">
        <w:rPr>
          <w:rFonts w:hint="cs"/>
          <w:rtl/>
        </w:rPr>
        <w:lastRenderedPageBreak/>
        <w:t xml:space="preserve">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إلى أن قال</w:t>
      </w:r>
      <w:r w:rsidR="0002035C" w:rsidRPr="00A52585">
        <w:rPr>
          <w:rFonts w:hint="cs"/>
          <w:rtl/>
        </w:rPr>
        <w:t>:</w:t>
      </w:r>
      <w:r w:rsidRPr="00A52585">
        <w:rPr>
          <w:rFonts w:hint="cs"/>
          <w:rtl/>
        </w:rPr>
        <w:t xml:space="preserve"> </w:t>
      </w:r>
      <w:r w:rsidRPr="00A52585">
        <w:rPr>
          <w:rFonts w:hint="cs"/>
          <w:bCs/>
          <w:rtl/>
        </w:rPr>
        <w:t>وغلت طائفة أخرى في الإثبات فشبهته فأثبتت له الصورة والجوارح</w:t>
      </w:r>
      <w:r w:rsidRPr="00A52585">
        <w:rPr>
          <w:rFonts w:hint="cs"/>
          <w:rtl/>
        </w:rPr>
        <w:t xml:space="preserve"> حتى إن الهشامية من غلاة الرافضة زعموا كما قال القرطبي أن معبودهم سبعة أشبار بشبر نفسه </w:t>
      </w:r>
      <w:r w:rsidRPr="00A52585">
        <w:rPr>
          <w:rFonts w:hint="cs"/>
          <w:bCs/>
          <w:rtl/>
        </w:rPr>
        <w:t>وقالت الكرامية إنه</w:t>
      </w:r>
      <w:r w:rsidR="0002035C" w:rsidRPr="00A52585">
        <w:rPr>
          <w:rFonts w:hint="cs"/>
          <w:bCs/>
          <w:rtl/>
        </w:rPr>
        <w:t xml:space="preserve"> </w:t>
      </w:r>
      <w:r w:rsidRPr="00A52585">
        <w:rPr>
          <w:rFonts w:hint="cs"/>
          <w:bCs/>
          <w:rtl/>
        </w:rPr>
        <w:t>جسم</w:t>
      </w:r>
      <w:r w:rsidR="0002035C" w:rsidRPr="00A52585">
        <w:rPr>
          <w:rFonts w:hint="cs"/>
          <w:rtl/>
        </w:rPr>
        <w:t xml:space="preserve"> </w:t>
      </w:r>
      <w:r w:rsidRPr="00A52585">
        <w:rPr>
          <w:rFonts w:hint="cs"/>
          <w:rtl/>
        </w:rPr>
        <w:t>قال</w:t>
      </w:r>
      <w:r w:rsidR="0002035C" w:rsidRPr="00A52585">
        <w:rPr>
          <w:rFonts w:hint="cs"/>
          <w:rtl/>
        </w:rPr>
        <w:t>:</w:t>
      </w:r>
      <w:r w:rsidRPr="00A52585">
        <w:rPr>
          <w:rFonts w:hint="cs"/>
          <w:rtl/>
        </w:rPr>
        <w:t xml:space="preserve"> </w:t>
      </w:r>
      <w:r w:rsidRPr="00A52585">
        <w:rPr>
          <w:rFonts w:hint="cs"/>
          <w:bCs/>
          <w:rtl/>
        </w:rPr>
        <w:t xml:space="preserve">وقد بالغ بعض أهل الإغواء فقال إنه على صورة الإنسان </w:t>
      </w:r>
      <w:r w:rsidRPr="00A52585">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A52585">
        <w:rPr>
          <w:rFonts w:hint="cs"/>
          <w:bCs/>
          <w:rtl/>
        </w:rPr>
        <w:t>تعالى الله عن أقوالهم علو كبيرا</w:t>
      </w:r>
      <w:r w:rsidRPr="00A52585">
        <w:rPr>
          <w:rFonts w:hint="cs"/>
          <w:rtl/>
        </w:rPr>
        <w:t xml:space="preserve"> وعن مثله نهى الله تعالى بقوله تعالى</w:t>
      </w:r>
      <w:r w:rsidR="0002035C" w:rsidRPr="00A52585">
        <w:rPr>
          <w:rFonts w:hint="cs"/>
          <w:rtl/>
        </w:rPr>
        <w:t>:</w:t>
      </w:r>
      <w:r w:rsidRPr="00A52585">
        <w:rPr>
          <w:rFonts w:hint="cs"/>
          <w:rtl/>
        </w:rPr>
        <w:t xml:space="preserve"> (</w:t>
      </w:r>
      <w:r w:rsidRPr="00A52585">
        <w:rPr>
          <w:rFonts w:hint="cs"/>
          <w:bCs/>
          <w:rtl/>
        </w:rPr>
        <w:t>يا أهل الكتاب لا تغلو في دينكم ولا تقولوا على الله إلا الحق</w:t>
      </w:r>
      <w:r w:rsidR="0002035C" w:rsidRPr="00A52585">
        <w:rPr>
          <w:rFonts w:hint="cs"/>
          <w:rtl/>
        </w:rPr>
        <w:t>)</w:t>
      </w:r>
      <w:r w:rsidRPr="00A52585">
        <w:rPr>
          <w:rFonts w:hint="cs"/>
          <w:rtl/>
        </w:rPr>
        <w:t xml:space="preserve"> [النساء /171</w:t>
      </w:r>
      <w:r w:rsidR="0002035C" w:rsidRPr="00A52585">
        <w:rPr>
          <w:rFonts w:hint="cs"/>
          <w:rtl/>
        </w:rPr>
        <w:t>])</w:t>
      </w:r>
      <w:r w:rsidRPr="00A52585">
        <w:rPr>
          <w:rFonts w:hint="cs"/>
          <w:rtl/>
        </w:rPr>
        <w:t xml:space="preserve"> أهـ </w:t>
      </w:r>
      <w:r w:rsidR="0002035C" w:rsidRPr="00A52585">
        <w:rPr>
          <w:rFonts w:hint="cs"/>
          <w:rtl/>
        </w:rPr>
        <w:t>[</w:t>
      </w:r>
      <w:r w:rsidRPr="00A52585">
        <w:rPr>
          <w:rFonts w:hint="cs"/>
          <w:rtl/>
        </w:rPr>
        <w:t>أقاويل الثقات ج</w:t>
      </w:r>
      <w:r w:rsidR="0002035C" w:rsidRPr="00A52585">
        <w:rPr>
          <w:rFonts w:hint="cs"/>
          <w:rtl/>
        </w:rPr>
        <w:t>:</w:t>
      </w:r>
      <w:r w:rsidRPr="00A52585">
        <w:rPr>
          <w:rFonts w:hint="cs"/>
          <w:rtl/>
        </w:rPr>
        <w:t xml:space="preserve"> 1 ص</w:t>
      </w:r>
      <w:r w:rsidR="0002035C" w:rsidRPr="00A52585">
        <w:rPr>
          <w:rFonts w:hint="cs"/>
          <w:rtl/>
        </w:rPr>
        <w:t>:</w:t>
      </w:r>
      <w:r w:rsidRPr="00A52585">
        <w:rPr>
          <w:rFonts w:hint="cs"/>
          <w:rtl/>
        </w:rPr>
        <w:t xml:space="preserve"> 134، 135</w:t>
      </w:r>
      <w:r w:rsidR="0002035C" w:rsidRPr="00A52585">
        <w:rPr>
          <w:rFonts w:hint="cs"/>
          <w:rtl/>
        </w:rPr>
        <w:t>]</w:t>
      </w:r>
      <w:r w:rsidR="00DB731D" w:rsidRPr="00A52585">
        <w:rPr>
          <w:rFonts w:hint="cs"/>
          <w:rtl/>
        </w:rPr>
        <w:t>،</w:t>
      </w:r>
      <w:r w:rsidRPr="00A52585">
        <w:rPr>
          <w:rFonts w:hint="cs"/>
          <w:rtl/>
        </w:rPr>
        <w:t xml:space="preserve"> </w:t>
      </w:r>
    </w:p>
    <w:p w14:paraId="632A0917" w14:textId="77777777" w:rsidR="00777DCB" w:rsidRPr="00A52585" w:rsidRDefault="00777DCB" w:rsidP="0002035C">
      <w:pPr>
        <w:jc w:val="center"/>
        <w:rPr>
          <w:b/>
          <w:rtl/>
        </w:rPr>
      </w:pPr>
      <w:r w:rsidRPr="00A52585">
        <w:rPr>
          <w:rFonts w:hint="cs"/>
          <w:rtl/>
          <w:lang w:bidi="ar-KW"/>
        </w:rPr>
        <w:t>******</w:t>
      </w:r>
    </w:p>
    <w:p w14:paraId="5EAB996F" w14:textId="77777777" w:rsidR="00777DCB" w:rsidRPr="00A52585" w:rsidRDefault="00777DCB" w:rsidP="0002035C">
      <w:pPr>
        <w:rPr>
          <w:b/>
        </w:rPr>
      </w:pPr>
    </w:p>
    <w:p w14:paraId="27F697F5" w14:textId="2F581772" w:rsidR="00777DCB" w:rsidRPr="00A52585" w:rsidRDefault="0002035C" w:rsidP="00A52585">
      <w:pPr>
        <w:pStyle w:val="2"/>
        <w:bidi/>
        <w:jc w:val="center"/>
        <w:rPr>
          <w:u w:val="none"/>
          <w:rtl/>
        </w:rPr>
      </w:pPr>
      <w:r w:rsidRPr="00A52585">
        <w:rPr>
          <w:rFonts w:hint="cs"/>
          <w:u w:val="none"/>
          <w:rtl/>
        </w:rPr>
        <w:t>(</w:t>
      </w:r>
      <w:r w:rsidR="00777DCB" w:rsidRPr="00A52585">
        <w:rPr>
          <w:rFonts w:hint="cs"/>
          <w:u w:val="none"/>
          <w:rtl/>
        </w:rPr>
        <w:t>5</w:t>
      </w:r>
      <w:r w:rsidRPr="00A52585">
        <w:rPr>
          <w:rFonts w:hint="cs"/>
          <w:u w:val="none"/>
          <w:rtl/>
        </w:rPr>
        <w:t>)</w:t>
      </w:r>
      <w:bookmarkStart w:id="7" w:name="ض2"/>
      <w:r w:rsidR="00A52585" w:rsidRPr="00A52585">
        <w:rPr>
          <w:rFonts w:hint="cs"/>
          <w:u w:val="none"/>
          <w:rtl/>
        </w:rPr>
        <w:t xml:space="preserve"> </w:t>
      </w:r>
      <w:r w:rsidR="00777DCB" w:rsidRPr="00A52585">
        <w:rPr>
          <w:rFonts w:hint="cs"/>
          <w:u w:val="none"/>
          <w:rtl/>
        </w:rPr>
        <w:t>حل اشكالية الفوقية والعلو والاستواء والجهة والمكان</w:t>
      </w:r>
    </w:p>
    <w:bookmarkEnd w:id="7"/>
    <w:p w14:paraId="7DBDB751" w14:textId="1D2D219A" w:rsidR="00777DCB" w:rsidRPr="00A52585" w:rsidRDefault="0002035C" w:rsidP="0002035C">
      <w:pPr>
        <w:rPr>
          <w:rtl/>
        </w:rPr>
      </w:pPr>
      <w:r w:rsidRPr="00A52585">
        <w:rPr>
          <w:rFonts w:hint="cs"/>
          <w:rtl/>
        </w:rPr>
        <w:t>(</w:t>
      </w:r>
      <w:r w:rsidR="00777DCB" w:rsidRPr="00A52585">
        <w:rPr>
          <w:rFonts w:hint="cs"/>
          <w:rtl/>
        </w:rPr>
        <w:t>1</w:t>
      </w:r>
      <w:r w:rsidRPr="00A52585">
        <w:rPr>
          <w:rFonts w:hint="cs"/>
          <w:rtl/>
        </w:rPr>
        <w:t>)</w:t>
      </w:r>
      <w:r w:rsidR="00777DCB" w:rsidRPr="00A52585">
        <w:rPr>
          <w:rFonts w:hint="cs"/>
          <w:rtl/>
        </w:rPr>
        <w:t xml:space="preserve"> يستند </w:t>
      </w:r>
      <w:proofErr w:type="spellStart"/>
      <w:r w:rsidR="00777DCB" w:rsidRPr="00A52585">
        <w:rPr>
          <w:rFonts w:hint="cs"/>
          <w:rtl/>
        </w:rPr>
        <w:t>الحشوية</w:t>
      </w:r>
      <w:proofErr w:type="spellEnd"/>
      <w:r w:rsidR="00777DCB" w:rsidRPr="00A52585">
        <w:rPr>
          <w:rFonts w:hint="cs"/>
          <w:rtl/>
        </w:rPr>
        <w:t xml:space="preserve"> لإثبات الفوقية الحسية والاستواء الحسي والجهة والمكان بنصوص من الكتاب والسنّة تؤول إلى ثلاثة عشر دليلاً رئيسياً</w:t>
      </w:r>
      <w:r w:rsidR="00DB731D" w:rsidRPr="00A52585">
        <w:rPr>
          <w:rFonts w:hint="cs"/>
          <w:rtl/>
        </w:rPr>
        <w:t>،</w:t>
      </w:r>
      <w:r w:rsidR="00777DCB" w:rsidRPr="00A52585">
        <w:rPr>
          <w:rFonts w:hint="cs"/>
          <w:rtl/>
        </w:rPr>
        <w:t xml:space="preserve"> </w:t>
      </w:r>
      <w:r w:rsidR="00777DCB" w:rsidRPr="00A52585">
        <w:rPr>
          <w:rFonts w:hint="cs"/>
          <w:bCs/>
          <w:rtl/>
        </w:rPr>
        <w:t>الدليل الأول</w:t>
      </w:r>
      <w:r w:rsidRPr="00A52585">
        <w:rPr>
          <w:rFonts w:hint="cs"/>
          <w:bCs/>
          <w:rtl/>
        </w:rPr>
        <w:t>:</w:t>
      </w:r>
      <w:r w:rsidR="00777DCB" w:rsidRPr="00A52585">
        <w:rPr>
          <w:rFonts w:hint="cs"/>
          <w:rtl/>
        </w:rPr>
        <w:t xml:space="preserve"> التصريح بالفوقية مقروناً بأداة </w:t>
      </w:r>
      <w:r w:rsidRPr="00A52585">
        <w:rPr>
          <w:rFonts w:hint="cs"/>
          <w:rtl/>
        </w:rPr>
        <w:t>(</w:t>
      </w:r>
      <w:r w:rsidR="00777DCB" w:rsidRPr="00A52585">
        <w:rPr>
          <w:rFonts w:hint="cs"/>
          <w:rtl/>
        </w:rPr>
        <w:t>من</w:t>
      </w:r>
      <w:r w:rsidRPr="00A52585">
        <w:rPr>
          <w:rFonts w:hint="cs"/>
          <w:rtl/>
        </w:rPr>
        <w:t>)</w:t>
      </w:r>
      <w:r w:rsidR="00777DCB" w:rsidRPr="00A52585">
        <w:rPr>
          <w:rFonts w:hint="cs"/>
          <w:rtl/>
        </w:rPr>
        <w:t xml:space="preserve"> المعينة للفوقية بالذات, قال الله تعالى:</w:t>
      </w:r>
      <w:r w:rsidRPr="00A52585">
        <w:rPr>
          <w:rFonts w:hint="cs"/>
          <w:rtl/>
        </w:rPr>
        <w:t>{</w:t>
      </w:r>
      <w:r w:rsidR="00777DCB" w:rsidRPr="00A52585">
        <w:rPr>
          <w:rFonts w:hint="cs"/>
          <w:rtl/>
        </w:rPr>
        <w:t>يَخَافُونَ رَبَّهُمْ مِنْ فَوْقِهِمْ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النحل</w:t>
      </w:r>
      <w:r w:rsidRPr="00A52585">
        <w:rPr>
          <w:rFonts w:hint="cs"/>
          <w:rtl/>
        </w:rPr>
        <w:t>:</w:t>
      </w:r>
      <w:r w:rsidR="00777DCB" w:rsidRPr="00A52585">
        <w:rPr>
          <w:rFonts w:hint="cs"/>
          <w:rtl/>
        </w:rPr>
        <w:t xml:space="preserve"> 50</w:t>
      </w:r>
      <w:r w:rsidRPr="00A52585">
        <w:rPr>
          <w:rFonts w:hint="cs"/>
          <w:rtl/>
        </w:rPr>
        <w:t>]</w:t>
      </w:r>
      <w:r w:rsidR="00DB731D" w:rsidRPr="00A52585">
        <w:rPr>
          <w:rFonts w:hint="cs"/>
          <w:rtl/>
        </w:rPr>
        <w:t>،</w:t>
      </w:r>
      <w:r w:rsidR="00777DCB" w:rsidRPr="00A52585">
        <w:rPr>
          <w:rFonts w:hint="cs"/>
          <w:bCs/>
          <w:rtl/>
        </w:rPr>
        <w:t xml:space="preserve"> الدليل الثاني</w:t>
      </w:r>
      <w:r w:rsidRPr="00A52585">
        <w:rPr>
          <w:rFonts w:hint="cs"/>
          <w:bCs/>
          <w:rtl/>
        </w:rPr>
        <w:t>:</w:t>
      </w:r>
      <w:r w:rsidR="00777DCB" w:rsidRPr="00A52585">
        <w:rPr>
          <w:rFonts w:hint="cs"/>
          <w:rtl/>
        </w:rPr>
        <w:t xml:space="preserve"> ذكر الفوقية مجردةً عن الأداة , قال تعالى:</w:t>
      </w:r>
      <w:r w:rsidRPr="00A52585">
        <w:rPr>
          <w:rFonts w:hint="cs"/>
          <w:rtl/>
        </w:rPr>
        <w:t>{</w:t>
      </w:r>
      <w:r w:rsidR="00777DCB" w:rsidRPr="00A52585">
        <w:rPr>
          <w:rFonts w:hint="cs"/>
          <w:rtl/>
        </w:rPr>
        <w:t xml:space="preserve">وَهُوَ الْقَاهِرُ فَوْقَ عِبَادِهِ}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18</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الثالث</w:t>
      </w:r>
      <w:r w:rsidRPr="00A52585">
        <w:rPr>
          <w:rFonts w:hint="cs"/>
          <w:bCs/>
          <w:rtl/>
        </w:rPr>
        <w:t>:</w:t>
      </w:r>
      <w:r w:rsidRPr="00A52585">
        <w:rPr>
          <w:rFonts w:hint="cs"/>
          <w:rtl/>
        </w:rPr>
        <w:t xml:space="preserve"> </w:t>
      </w:r>
      <w:r w:rsidR="00777DCB" w:rsidRPr="00A52585">
        <w:rPr>
          <w:rFonts w:hint="cs"/>
          <w:rtl/>
        </w:rPr>
        <w:t>التصريح بالعروج</w:t>
      </w:r>
      <w:r w:rsidRPr="00A52585">
        <w:rPr>
          <w:rFonts w:hint="cs"/>
          <w:rtl/>
        </w:rPr>
        <w:t xml:space="preserve"> </w:t>
      </w:r>
      <w:r w:rsidR="00777DCB" w:rsidRPr="00A52585">
        <w:rPr>
          <w:rFonts w:hint="cs"/>
          <w:rtl/>
        </w:rPr>
        <w:t>إلى الله تعالى</w:t>
      </w:r>
      <w:r w:rsidR="00DB731D" w:rsidRPr="00A52585">
        <w:rPr>
          <w:rFonts w:hint="cs"/>
          <w:rtl/>
        </w:rPr>
        <w:t>،</w:t>
      </w:r>
      <w:r w:rsidR="00777DCB" w:rsidRPr="00A52585">
        <w:rPr>
          <w:rFonts w:hint="cs"/>
          <w:rtl/>
        </w:rPr>
        <w:t xml:space="preserve">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تَعْرُجُ الْمَلائِكَةُ وَالرُّوحُ إِلَيْهِ} </w:t>
      </w:r>
      <w:r w:rsidRPr="00A52585">
        <w:rPr>
          <w:rFonts w:hint="cs"/>
          <w:rtl/>
        </w:rPr>
        <w:t>[</w:t>
      </w:r>
      <w:r w:rsidR="00777DCB" w:rsidRPr="00A52585">
        <w:rPr>
          <w:rFonts w:hint="cs"/>
          <w:rtl/>
        </w:rPr>
        <w:t>المعارج</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الرابع</w:t>
      </w:r>
      <w:r w:rsidRPr="00A52585">
        <w:rPr>
          <w:rFonts w:hint="cs"/>
          <w:bCs/>
          <w:rtl/>
        </w:rPr>
        <w:t>:</w:t>
      </w:r>
      <w:r w:rsidRPr="00A52585">
        <w:rPr>
          <w:rFonts w:hint="cs"/>
          <w:rtl/>
        </w:rPr>
        <w:t xml:space="preserve"> </w:t>
      </w:r>
      <w:r w:rsidR="00777DCB" w:rsidRPr="00A52585">
        <w:rPr>
          <w:rFonts w:hint="cs"/>
          <w:rtl/>
        </w:rPr>
        <w:t>التصريح بالصعود إليه</w:t>
      </w:r>
      <w:r w:rsidR="00DB731D" w:rsidRPr="00A52585">
        <w:rPr>
          <w:rFonts w:hint="cs"/>
          <w:rtl/>
        </w:rPr>
        <w:t>،</w:t>
      </w:r>
      <w:r w:rsidR="00777DCB" w:rsidRPr="00A52585">
        <w:rPr>
          <w:rFonts w:hint="cs"/>
          <w:rtl/>
        </w:rPr>
        <w:t xml:space="preserve">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إِلَيْهِ يَصْعَدُ الْكَلِمُ الطَّيِّبُ}</w:t>
      </w:r>
      <w:r w:rsidR="00777DCB" w:rsidRPr="00A52585">
        <w:rPr>
          <w:rFonts w:hint="cs"/>
          <w:bCs/>
          <w:rtl/>
        </w:rPr>
        <w:t xml:space="preserve"> </w:t>
      </w:r>
      <w:r w:rsidRPr="00A52585">
        <w:rPr>
          <w:rFonts w:hint="cs"/>
          <w:rtl/>
        </w:rPr>
        <w:t>[</w:t>
      </w:r>
      <w:r w:rsidR="00777DCB" w:rsidRPr="00A52585">
        <w:rPr>
          <w:rFonts w:hint="cs"/>
          <w:rtl/>
        </w:rPr>
        <w:t>فاطر</w:t>
      </w:r>
      <w:r w:rsidRPr="00A52585">
        <w:rPr>
          <w:rFonts w:hint="cs"/>
          <w:rtl/>
        </w:rPr>
        <w:t>:</w:t>
      </w:r>
      <w:r w:rsidR="00777DCB" w:rsidRPr="00A52585">
        <w:rPr>
          <w:rFonts w:hint="cs"/>
          <w:rtl/>
        </w:rPr>
        <w:t xml:space="preserve"> 10</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الخامس</w:t>
      </w:r>
      <w:r w:rsidRPr="00A52585">
        <w:rPr>
          <w:rFonts w:hint="cs"/>
          <w:bCs/>
          <w:rtl/>
        </w:rPr>
        <w:t xml:space="preserve">: </w:t>
      </w:r>
      <w:r w:rsidR="00777DCB" w:rsidRPr="00A52585">
        <w:rPr>
          <w:rFonts w:hint="cs"/>
          <w:rtl/>
        </w:rPr>
        <w:t>التصريح برفعه بعض المخلوقات إليه , كما في قوله تعالى</w:t>
      </w:r>
      <w:r w:rsidRPr="00A52585">
        <w:rPr>
          <w:rFonts w:hint="cs"/>
          <w:rtl/>
        </w:rPr>
        <w:t>:</w:t>
      </w:r>
      <w:r w:rsidR="00777DCB" w:rsidRPr="00A52585">
        <w:rPr>
          <w:rFonts w:hint="cs"/>
          <w:rtl/>
        </w:rPr>
        <w:t xml:space="preserve"> {بَلْ رَفَعَهُ اللَّهُ إِلَيْهِ}</w:t>
      </w:r>
      <w:r w:rsidR="00777DCB" w:rsidRPr="00A52585">
        <w:rPr>
          <w:rFonts w:hint="cs"/>
          <w:b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158</w:t>
      </w:r>
      <w:r w:rsidRPr="00A52585">
        <w:rPr>
          <w:rFonts w:hint="cs"/>
          <w:rtl/>
        </w:rPr>
        <w:t xml:space="preserve">] </w:t>
      </w:r>
      <w:r w:rsidR="00777DCB" w:rsidRPr="00A52585">
        <w:rPr>
          <w:rFonts w:hint="cs"/>
          <w:rtl/>
        </w:rPr>
        <w:t>, وقوله تعالى</w:t>
      </w:r>
      <w:r w:rsidRPr="00A52585">
        <w:rPr>
          <w:rFonts w:hint="cs"/>
          <w:rtl/>
        </w:rPr>
        <w:t>:</w:t>
      </w:r>
      <w:r w:rsidR="00777DCB" w:rsidRPr="00A52585">
        <w:rPr>
          <w:rFonts w:hint="cs"/>
          <w:rtl/>
        </w:rPr>
        <w:t xml:space="preserve"> {إِذْ قَالَ اللَّهُ يَا عِيسَى إِنِّي مُتَوَفِّيكَ وَرَافِعُكَ إِلَيَّ}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55</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السادس</w:t>
      </w:r>
      <w:r w:rsidRPr="00A52585">
        <w:rPr>
          <w:rFonts w:hint="cs"/>
          <w:bCs/>
          <w:rtl/>
        </w:rPr>
        <w:t>:</w:t>
      </w:r>
      <w:r w:rsidRPr="00A52585">
        <w:rPr>
          <w:rFonts w:hint="cs"/>
          <w:rtl/>
        </w:rPr>
        <w:t xml:space="preserve"> </w:t>
      </w:r>
      <w:r w:rsidR="00777DCB" w:rsidRPr="00A52585">
        <w:rPr>
          <w:rFonts w:hint="cs"/>
          <w:rtl/>
        </w:rPr>
        <w:t>التصريح بالعلو المطلق الدال على جميع مراتب العلو ذاتاً وقدراً وشرفاً، قال تعالى:</w:t>
      </w:r>
      <w:r w:rsidRPr="00A52585">
        <w:rPr>
          <w:rFonts w:hint="cs"/>
          <w:rtl/>
        </w:rPr>
        <w:t>{</w:t>
      </w:r>
      <w:r w:rsidR="00777DCB" w:rsidRPr="00A52585">
        <w:rPr>
          <w:rFonts w:hint="cs"/>
          <w:rtl/>
        </w:rPr>
        <w:t>وَهُوَ الْعَلِيُّ الْعَظِيمُ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lang w:bidi="ar-SY"/>
        </w:rPr>
        <w:t>:</w:t>
      </w:r>
      <w:r w:rsidR="00777DCB" w:rsidRPr="00A52585">
        <w:rPr>
          <w:rFonts w:hint="cs"/>
          <w:rtl/>
          <w:lang w:bidi="ar-SY"/>
        </w:rPr>
        <w:t xml:space="preserve"> </w:t>
      </w:r>
      <w:r w:rsidR="00777DCB" w:rsidRPr="00A52585">
        <w:rPr>
          <w:rFonts w:hint="cs"/>
          <w:rtl/>
        </w:rPr>
        <w:t>255</w:t>
      </w:r>
      <w:r w:rsidRPr="00A52585">
        <w:rPr>
          <w:rFonts w:hint="cs"/>
          <w:rtl/>
        </w:rPr>
        <w:t>]</w:t>
      </w:r>
      <w:r w:rsidR="00777DCB" w:rsidRPr="00A52585">
        <w:rPr>
          <w:rFonts w:hint="cs"/>
          <w:rtl/>
        </w:rPr>
        <w:t xml:space="preserve"> </w:t>
      </w:r>
      <w:r w:rsidR="00777DCB" w:rsidRPr="00A52585">
        <w:rPr>
          <w:rFonts w:hint="cs"/>
          <w:rtl/>
        </w:rPr>
        <w:lastRenderedPageBreak/>
        <w:t>,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الْعَلِيُّ الْكَبِيرُ}</w:t>
      </w:r>
      <w:r w:rsidR="00777DCB" w:rsidRPr="00A52585">
        <w:rPr>
          <w:rFonts w:hint="cs"/>
          <w:rtl/>
          <w:lang w:bidi="ar-SY"/>
        </w:rPr>
        <w:t xml:space="preserve"> </w:t>
      </w:r>
      <w:r w:rsidRPr="00A52585">
        <w:rPr>
          <w:rFonts w:hint="cs"/>
          <w:rtl/>
          <w:lang w:bidi="ar-SY"/>
        </w:rPr>
        <w:t>[</w:t>
      </w:r>
      <w:r w:rsidR="00777DCB" w:rsidRPr="00A52585">
        <w:rPr>
          <w:rFonts w:hint="cs"/>
          <w:rtl/>
        </w:rPr>
        <w:t>سـبأ</w:t>
      </w:r>
      <w:r w:rsidRPr="00A52585">
        <w:rPr>
          <w:rFonts w:hint="cs"/>
          <w:rtl/>
        </w:rPr>
        <w:t>:</w:t>
      </w:r>
      <w:r w:rsidR="00777DCB" w:rsidRPr="00A52585">
        <w:rPr>
          <w:rFonts w:hint="cs"/>
          <w:rtl/>
        </w:rPr>
        <w:t xml:space="preserve"> 23</w:t>
      </w:r>
      <w:r w:rsidRPr="00A52585">
        <w:rPr>
          <w:rFonts w:hint="cs"/>
          <w:rtl/>
        </w:rPr>
        <w:t xml:space="preserve">] </w:t>
      </w:r>
      <w:r w:rsidR="00777DCB" w:rsidRPr="00A52585">
        <w:rPr>
          <w:rFonts w:hint="cs"/>
          <w:rtl/>
        </w:rPr>
        <w:t>, وقوله تعالى</w:t>
      </w:r>
      <w:r w:rsidRPr="00A52585">
        <w:rPr>
          <w:rFonts w:hint="cs"/>
          <w:rtl/>
        </w:rPr>
        <w:t>:</w:t>
      </w:r>
      <w:r w:rsidR="00777DCB" w:rsidRPr="00A52585">
        <w:rPr>
          <w:rFonts w:hint="cs"/>
          <w:rtl/>
        </w:rPr>
        <w:t xml:space="preserve"> {إِنَّهُ عَلِيٌّ حَكِيمٌ}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51</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السابع</w:t>
      </w:r>
      <w:r w:rsidRPr="00A52585">
        <w:rPr>
          <w:rFonts w:hint="cs"/>
          <w:bCs/>
          <w:rtl/>
        </w:rPr>
        <w:t>:</w:t>
      </w:r>
      <w:r w:rsidRPr="00A52585">
        <w:rPr>
          <w:rFonts w:hint="cs"/>
          <w:rtl/>
        </w:rPr>
        <w:t xml:space="preserve"> </w:t>
      </w:r>
      <w:r w:rsidR="00777DCB" w:rsidRPr="00A52585">
        <w:rPr>
          <w:rFonts w:hint="cs"/>
          <w:rtl/>
        </w:rPr>
        <w:t>التصريح بتنزيل الكتاب</w:t>
      </w:r>
      <w:r w:rsidR="00777DCB" w:rsidRPr="00A52585">
        <w:rPr>
          <w:rFonts w:hint="cs"/>
          <w:rtl/>
          <w:lang w:bidi="ar-SY"/>
        </w:rPr>
        <w:t xml:space="preserve"> </w:t>
      </w:r>
      <w:r w:rsidR="00777DCB" w:rsidRPr="00A52585">
        <w:rPr>
          <w:rFonts w:hint="cs"/>
          <w:rtl/>
        </w:rPr>
        <w:t>منه، كما في قوله تعالى</w:t>
      </w:r>
      <w:r w:rsidRPr="00A52585">
        <w:rPr>
          <w:rFonts w:hint="cs"/>
          <w:rtl/>
        </w:rPr>
        <w:t>:</w:t>
      </w:r>
      <w:r w:rsidR="00777DCB" w:rsidRPr="00A52585">
        <w:rPr>
          <w:rFonts w:hint="cs"/>
          <w:rtl/>
        </w:rPr>
        <w:t xml:space="preserve"> {هُوَ الَّذِي أَنْزَلَ عَلَيْكَ الْكِتَابَ...}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Pr="00A52585">
        <w:rPr>
          <w:rFonts w:hint="cs"/>
          <w:rtl/>
        </w:rPr>
        <w:t>]</w:t>
      </w:r>
      <w:r w:rsidR="00777DCB" w:rsidRPr="00A52585">
        <w:rPr>
          <w:rFonts w:hint="cs"/>
          <w:rtl/>
        </w:rPr>
        <w:t xml:space="preserve"> , وقوله تعالى</w:t>
      </w:r>
      <w:r w:rsidRPr="00A52585">
        <w:rPr>
          <w:rFonts w:hint="cs"/>
          <w:rtl/>
        </w:rPr>
        <w:t xml:space="preserve">: </w:t>
      </w:r>
      <w:r w:rsidR="00777DCB" w:rsidRPr="00A52585">
        <w:rPr>
          <w:rFonts w:hint="cs"/>
          <w:rtl/>
        </w:rPr>
        <w:t xml:space="preserve">{تَنْزِيلُ الْكِتَابِ مِنَ اللَّهِ الْعَزِيزِ الْعَلِيمِ}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2</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الدليل الثامن</w:t>
      </w:r>
      <w:r w:rsidRPr="00A52585">
        <w:rPr>
          <w:rFonts w:hint="cs"/>
          <w:bCs/>
          <w:rtl/>
        </w:rPr>
        <w:t>:</w:t>
      </w:r>
      <w:r w:rsidRPr="00A52585">
        <w:rPr>
          <w:rFonts w:hint="cs"/>
          <w:rtl/>
        </w:rPr>
        <w:t xml:space="preserve"> </w:t>
      </w:r>
      <w:r w:rsidR="00777DCB" w:rsidRPr="00A52585">
        <w:rPr>
          <w:rFonts w:hint="cs"/>
          <w:rtl/>
        </w:rPr>
        <w:t>التصريح باختصاص بعض المخلوقات بأنها عنده وأن بعضها أقرب إليه من بعض</w:t>
      </w:r>
      <w:r w:rsidR="00DB731D" w:rsidRPr="00A52585">
        <w:rPr>
          <w:rFonts w:hint="cs"/>
          <w:rtl/>
        </w:rPr>
        <w:t>،</w:t>
      </w:r>
      <w:r w:rsidR="00777DCB" w:rsidRPr="00A52585">
        <w:rPr>
          <w:rFonts w:hint="cs"/>
          <w:rtl/>
        </w:rPr>
        <w:t xml:space="preserve">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الَّذِينَ عِنْدَ رَبِّكَ</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الأعراف</w:t>
      </w:r>
      <w:r w:rsidRPr="00A52585">
        <w:rPr>
          <w:rFonts w:hint="cs"/>
          <w:rtl/>
        </w:rPr>
        <w:t>:</w:t>
      </w:r>
      <w:r w:rsidR="00777DCB" w:rsidRPr="00A52585">
        <w:rPr>
          <w:rFonts w:hint="cs"/>
          <w:rtl/>
        </w:rPr>
        <w:t xml:space="preserve"> 206</w:t>
      </w:r>
      <w:r w:rsidRPr="00A52585">
        <w:rPr>
          <w:rFonts w:hint="cs"/>
          <w:rtl/>
        </w:rPr>
        <w:t>]</w:t>
      </w:r>
      <w:r w:rsidR="00777DCB" w:rsidRPr="00A52585">
        <w:rPr>
          <w:rFonts w:hint="cs"/>
          <w:rtl/>
        </w:rPr>
        <w:t xml:space="preserve"> , وقوله تعالى</w:t>
      </w:r>
      <w:r w:rsidRPr="00A52585">
        <w:rPr>
          <w:rFonts w:hint="cs"/>
          <w:rtl/>
        </w:rPr>
        <w:t>:</w:t>
      </w:r>
      <w:r w:rsidR="00777DCB" w:rsidRPr="00A52585">
        <w:rPr>
          <w:rFonts w:hint="cs"/>
          <w:rtl/>
        </w:rPr>
        <w:t xml:space="preserve"> {وَلَهُ مَنْ فِي السَّمَاوَاتِ وَالْأَرْضِ وَمَنْ عِنْدَهُ لا يَسْتَكْبِرُونَ عَنْ عِبَادَتِهِ وَلا يَسْتَحْسِرُونَ</w:t>
      </w:r>
      <w:r w:rsidRPr="00A52585">
        <w:rPr>
          <w:rFonts w:hint="cs"/>
          <w:rtl/>
        </w:rPr>
        <w:t>} [</w:t>
      </w:r>
      <w:r w:rsidR="00777DCB" w:rsidRPr="00A52585">
        <w:rPr>
          <w:rFonts w:hint="cs"/>
          <w:rtl/>
        </w:rPr>
        <w:t>الأنبياء</w:t>
      </w:r>
      <w:r w:rsidRPr="00A52585">
        <w:rPr>
          <w:rFonts w:hint="cs"/>
          <w:rtl/>
        </w:rPr>
        <w:t>:</w:t>
      </w:r>
      <w:r w:rsidR="00777DCB" w:rsidRPr="00A52585">
        <w:rPr>
          <w:rFonts w:hint="cs"/>
          <w:rtl/>
        </w:rPr>
        <w:t xml:space="preserve"> 19</w:t>
      </w:r>
      <w:r w:rsidRPr="00A52585">
        <w:rPr>
          <w:rFonts w:hint="cs"/>
          <w:rtl/>
        </w:rPr>
        <w:t>]</w:t>
      </w:r>
      <w:r w:rsidR="00DB731D" w:rsidRPr="00A52585">
        <w:rPr>
          <w:rFonts w:hint="cs"/>
          <w:rtl/>
        </w:rPr>
        <w:t>،</w:t>
      </w:r>
      <w:r w:rsidRPr="00A52585">
        <w:rPr>
          <w:rFonts w:hint="cs"/>
          <w:rtl/>
        </w:rPr>
        <w:t xml:space="preserve"> </w:t>
      </w:r>
      <w:r w:rsidR="00777DCB" w:rsidRPr="00A52585">
        <w:rPr>
          <w:rFonts w:hint="cs"/>
          <w:bCs/>
          <w:rtl/>
        </w:rPr>
        <w:t>الدليل التاسع</w:t>
      </w:r>
      <w:r w:rsidRPr="00A52585">
        <w:rPr>
          <w:rFonts w:hint="cs"/>
          <w:bCs/>
          <w:rtl/>
        </w:rPr>
        <w:t>:</w:t>
      </w:r>
      <w:r w:rsidRPr="00A52585">
        <w:rPr>
          <w:rFonts w:hint="cs"/>
          <w:rtl/>
        </w:rPr>
        <w:t xml:space="preserve"> </w:t>
      </w:r>
      <w:r w:rsidR="00777DCB" w:rsidRPr="00A52585">
        <w:rPr>
          <w:rFonts w:hint="cs"/>
          <w:rtl/>
          <w:lang w:bidi="ar-SY"/>
        </w:rPr>
        <w:t>التصريح بأنه تعالى في السماء والمراد بها العلو، قال تعالى</w:t>
      </w:r>
      <w:r w:rsidR="00777DCB" w:rsidRPr="00A52585">
        <w:rPr>
          <w:rFonts w:hint="cs"/>
          <w:rtl/>
        </w:rPr>
        <w:t>:</w:t>
      </w:r>
      <w:r w:rsidRPr="00A52585">
        <w:rPr>
          <w:rFonts w:hint="cs"/>
          <w:rtl/>
        </w:rPr>
        <w:t>{</w:t>
      </w:r>
      <w:r w:rsidR="00777DCB" w:rsidRPr="00A52585">
        <w:rPr>
          <w:rFonts w:hint="cs"/>
          <w:rtl/>
        </w:rPr>
        <w:t>أَأَمِنْتُمْ مَنْ فِي السَّمَاءِ</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SY"/>
        </w:rPr>
        <w:t>الملك</w:t>
      </w:r>
      <w:r w:rsidRPr="00A52585">
        <w:rPr>
          <w:rFonts w:hint="cs"/>
          <w:rtl/>
          <w:lang w:bidi="ar-SY"/>
        </w:rPr>
        <w:t>:</w:t>
      </w:r>
      <w:r w:rsidR="00777DCB" w:rsidRPr="00A52585">
        <w:rPr>
          <w:rFonts w:hint="cs"/>
          <w:rtl/>
          <w:lang w:bidi="ar-SY"/>
        </w:rPr>
        <w:t xml:space="preserve"> </w:t>
      </w:r>
      <w:r w:rsidR="00777DCB" w:rsidRPr="00A52585">
        <w:rPr>
          <w:rFonts w:hint="cs"/>
          <w:rtl/>
        </w:rPr>
        <w:t>16</w:t>
      </w:r>
      <w:r w:rsidRPr="00A52585">
        <w:rPr>
          <w:rFonts w:hint="cs"/>
          <w:rtl/>
        </w:rPr>
        <w:t>]</w:t>
      </w:r>
      <w:r w:rsidR="00DB731D" w:rsidRPr="00A52585">
        <w:rPr>
          <w:rFonts w:hint="cs"/>
          <w:rtl/>
        </w:rPr>
        <w:t>،</w:t>
      </w:r>
      <w:r w:rsidR="00777DCB" w:rsidRPr="00A52585">
        <w:rPr>
          <w:rFonts w:hint="cs"/>
          <w:bCs/>
          <w:rtl/>
          <w:lang w:bidi="ar-SY"/>
        </w:rPr>
        <w:t xml:space="preserve"> </w:t>
      </w:r>
      <w:r w:rsidR="00777DCB" w:rsidRPr="00A52585">
        <w:rPr>
          <w:rFonts w:hint="cs"/>
          <w:bCs/>
          <w:rtl/>
        </w:rPr>
        <w:t>الدليل العاشر</w:t>
      </w:r>
      <w:r w:rsidRPr="00A52585">
        <w:rPr>
          <w:rFonts w:hint="cs"/>
          <w:bCs/>
          <w:rtl/>
        </w:rPr>
        <w:t>:</w:t>
      </w:r>
      <w:r w:rsidRPr="00A52585">
        <w:rPr>
          <w:rFonts w:hint="cs"/>
          <w:rtl/>
        </w:rPr>
        <w:t xml:space="preserve"> </w:t>
      </w:r>
      <w:r w:rsidR="00777DCB" w:rsidRPr="00A52585">
        <w:rPr>
          <w:rFonts w:hint="cs"/>
          <w:rtl/>
          <w:lang w:bidi="ar-SY"/>
        </w:rPr>
        <w:t xml:space="preserve">التصريح بالاستواء مقروناً بأداة (على) مختصاً بالعرش الذي هو أعلى المخلوقات </w:t>
      </w:r>
      <w:r w:rsidR="00777DCB" w:rsidRPr="00A52585">
        <w:rPr>
          <w:rFonts w:hint="cs"/>
          <w:rtl/>
        </w:rPr>
        <w:t>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SY"/>
        </w:rPr>
        <w:t>ث</w:t>
      </w:r>
      <w:r w:rsidR="00777DCB" w:rsidRPr="00A52585">
        <w:rPr>
          <w:rFonts w:hint="cs"/>
          <w:rtl/>
        </w:rPr>
        <w:t>ُمَّ اسْتَوَى عَلَى الْعَرْشِ</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SY"/>
        </w:rPr>
        <w:t>الأعراف</w:t>
      </w:r>
      <w:r w:rsidRPr="00A52585">
        <w:rPr>
          <w:rFonts w:hint="cs"/>
          <w:rtl/>
          <w:lang w:bidi="ar-SY"/>
        </w:rPr>
        <w:t>:</w:t>
      </w:r>
      <w:r w:rsidR="00777DCB" w:rsidRPr="00A52585">
        <w:rPr>
          <w:rFonts w:hint="cs"/>
          <w:rtl/>
          <w:lang w:bidi="ar-SY"/>
        </w:rPr>
        <w:t xml:space="preserve"> 54</w:t>
      </w:r>
      <w:r w:rsidRPr="00A52585">
        <w:rPr>
          <w:rFonts w:hint="cs"/>
          <w:rtl/>
          <w:lang w:bidi="ar-SY"/>
        </w:rPr>
        <w:t>]</w:t>
      </w:r>
      <w:r w:rsidR="00DB731D" w:rsidRPr="00A52585">
        <w:rPr>
          <w:rFonts w:hint="cs"/>
          <w:rtl/>
          <w:lang w:bidi="ar-SY"/>
        </w:rPr>
        <w:t>،</w:t>
      </w:r>
      <w:r w:rsidR="00777DCB" w:rsidRPr="00A52585">
        <w:rPr>
          <w:rFonts w:hint="cs"/>
          <w:rtl/>
          <w:lang w:bidi="ar-SY"/>
        </w:rPr>
        <w:t xml:space="preserve"> </w:t>
      </w:r>
      <w:r w:rsidR="00777DCB" w:rsidRPr="00A52585">
        <w:rPr>
          <w:rFonts w:hint="cs"/>
          <w:bCs/>
          <w:rtl/>
        </w:rPr>
        <w:t>الدليل الحادي عشر</w:t>
      </w:r>
      <w:r w:rsidRPr="00A52585">
        <w:rPr>
          <w:rFonts w:hint="cs"/>
          <w:rtl/>
        </w:rPr>
        <w:t>:</w:t>
      </w:r>
      <w:r w:rsidR="00777DCB" w:rsidRPr="00A52585">
        <w:rPr>
          <w:rFonts w:hint="cs"/>
          <w:rtl/>
        </w:rPr>
        <w:t xml:space="preserve"> </w:t>
      </w:r>
      <w:r w:rsidR="00777DCB" w:rsidRPr="00A52585">
        <w:rPr>
          <w:rFonts w:hint="cs"/>
          <w:rtl/>
          <w:lang w:bidi="ar-SY"/>
        </w:rPr>
        <w:t>التصريح بالنزول كل ليلة إلى سماء الدنيا</w:t>
      </w:r>
      <w:r w:rsidR="00DB731D" w:rsidRPr="00A52585">
        <w:rPr>
          <w:rFonts w:hint="cs"/>
          <w:rtl/>
          <w:lang w:bidi="ar-SY"/>
        </w:rPr>
        <w:t>،</w:t>
      </w:r>
      <w:r w:rsidR="00777DCB" w:rsidRPr="00A52585">
        <w:rPr>
          <w:rFonts w:hint="cs"/>
          <w:rtl/>
          <w:lang w:bidi="ar-SY"/>
        </w:rPr>
        <w:t xml:space="preserve"> لحديث البخاري ومسلم</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sidRPr="00A52585">
        <w:rPr>
          <w:rFonts w:hint="cs"/>
          <w:rtl/>
          <w:lang w:bidi="ar-SY"/>
        </w:rPr>
        <w:t>)</w:t>
      </w:r>
      <w:r w:rsidR="00777DCB" w:rsidRPr="00A52585">
        <w:rPr>
          <w:rFonts w:hint="cs"/>
          <w:rtl/>
          <w:lang w:bidi="ar-SY"/>
        </w:rPr>
        <w:t>)</w:t>
      </w:r>
      <w:r w:rsidR="00DB731D" w:rsidRPr="00A52585">
        <w:rPr>
          <w:rFonts w:hint="cs"/>
          <w:rtl/>
          <w:lang w:bidi="ar-SY"/>
        </w:rPr>
        <w:t>،</w:t>
      </w:r>
      <w:r w:rsidR="00777DCB" w:rsidRPr="00A52585">
        <w:rPr>
          <w:rFonts w:hint="cs"/>
          <w:rtl/>
          <w:lang w:bidi="ar-SY"/>
        </w:rPr>
        <w:t xml:space="preserve"> </w:t>
      </w:r>
      <w:r w:rsidR="00777DCB" w:rsidRPr="00A52585">
        <w:rPr>
          <w:rFonts w:hint="cs"/>
          <w:bCs/>
          <w:rtl/>
          <w:lang w:bidi="ar-SY"/>
        </w:rPr>
        <w:t>الدليل الثاني عشر</w:t>
      </w:r>
      <w:r w:rsidRPr="00A52585">
        <w:rPr>
          <w:rFonts w:hint="cs"/>
          <w:bCs/>
          <w:rtl/>
          <w:lang w:bidi="ar-SY"/>
        </w:rPr>
        <w:t>:</w:t>
      </w:r>
      <w:r w:rsidR="00777DCB" w:rsidRPr="00A52585">
        <w:rPr>
          <w:rFonts w:hint="cs"/>
          <w:rtl/>
          <w:lang w:bidi="ar-SY"/>
        </w:rPr>
        <w:t xml:space="preserve"> التصريح برفع الأيدي إلى الله تعالى</w:t>
      </w:r>
      <w:r w:rsidR="00DB731D" w:rsidRPr="00A52585">
        <w:rPr>
          <w:rFonts w:hint="cs"/>
          <w:rtl/>
          <w:lang w:bidi="ar-SY"/>
        </w:rPr>
        <w:t>،</w:t>
      </w:r>
      <w:r w:rsidR="00777DCB" w:rsidRPr="00A52585">
        <w:rPr>
          <w:rFonts w:hint="cs"/>
          <w:rtl/>
          <w:lang w:bidi="ar-SY"/>
        </w:rPr>
        <w:t xml:space="preserve"> لحديث الترمذي</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إن الله تعالى حيي كريم يستحي إذا رفع الرجل إليه يديه أن يردهما صفراً خائبتين</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صحيح الترمذي للألباني</w:t>
      </w:r>
      <w:r w:rsidRPr="00A52585">
        <w:rPr>
          <w:rFonts w:hint="cs"/>
          <w:rtl/>
          <w:lang w:bidi="ar-SY"/>
        </w:rPr>
        <w:t>:</w:t>
      </w:r>
      <w:r w:rsidR="00777DCB" w:rsidRPr="00A52585">
        <w:rPr>
          <w:rFonts w:hint="cs"/>
          <w:rtl/>
          <w:lang w:bidi="ar-SY"/>
        </w:rPr>
        <w:t xml:space="preserve"> ح </w:t>
      </w:r>
      <w:r w:rsidRPr="00A52585">
        <w:rPr>
          <w:rFonts w:hint="cs"/>
          <w:rtl/>
          <w:lang w:bidi="ar-SY"/>
        </w:rPr>
        <w:t>(</w:t>
      </w:r>
      <w:r w:rsidR="00777DCB" w:rsidRPr="00A52585">
        <w:rPr>
          <w:rFonts w:hint="cs"/>
          <w:rtl/>
          <w:lang w:bidi="ar-SY"/>
        </w:rPr>
        <w:t>3556</w:t>
      </w:r>
      <w:r w:rsidRPr="00A52585">
        <w:rPr>
          <w:rFonts w:hint="cs"/>
          <w:rtl/>
          <w:lang w:bidi="ar-SY"/>
        </w:rPr>
        <w:t>)]</w:t>
      </w:r>
      <w:r w:rsidR="00DB731D" w:rsidRPr="00A52585">
        <w:rPr>
          <w:rFonts w:hint="cs"/>
          <w:rtl/>
          <w:lang w:bidi="ar-SY"/>
        </w:rPr>
        <w:t>،</w:t>
      </w:r>
      <w:r w:rsidR="00777DCB" w:rsidRPr="00A52585">
        <w:rPr>
          <w:rFonts w:hint="cs"/>
          <w:rtl/>
          <w:lang w:bidi="ar-SY"/>
        </w:rPr>
        <w:t xml:space="preserve"> </w:t>
      </w:r>
      <w:r w:rsidR="00777DCB" w:rsidRPr="00A52585">
        <w:rPr>
          <w:rFonts w:hint="cs"/>
          <w:bCs/>
          <w:rtl/>
          <w:lang w:bidi="ar-SY"/>
        </w:rPr>
        <w:t>الدليل الثالث عشر</w:t>
      </w:r>
      <w:r w:rsidRPr="00A52585">
        <w:rPr>
          <w:rFonts w:hint="cs"/>
          <w:bCs/>
          <w:rtl/>
          <w:lang w:bidi="ar-SY"/>
        </w:rPr>
        <w:t>:</w:t>
      </w:r>
      <w:r w:rsidR="00777DCB" w:rsidRPr="00A52585">
        <w:rPr>
          <w:rFonts w:hint="cs"/>
          <w:rtl/>
          <w:lang w:bidi="ar-SY"/>
        </w:rPr>
        <w:t xml:space="preserve"> التصريح بلفظ (</w:t>
      </w:r>
      <w:r w:rsidRPr="00A52585">
        <w:rPr>
          <w:rFonts w:hint="cs"/>
          <w:rtl/>
          <w:lang w:bidi="ar-SY"/>
        </w:rPr>
        <w:t>(</w:t>
      </w:r>
      <w:r w:rsidR="00777DCB" w:rsidRPr="00A52585">
        <w:rPr>
          <w:rFonts w:hint="cs"/>
          <w:rtl/>
          <w:lang w:bidi="ar-SY"/>
        </w:rPr>
        <w:t>أين الله</w:t>
      </w:r>
      <w:r w:rsidRPr="00A52585">
        <w:rPr>
          <w:rFonts w:hint="cs"/>
          <w:rtl/>
          <w:lang w:bidi="ar-SY"/>
        </w:rPr>
        <w:t>)</w:t>
      </w:r>
      <w:r w:rsidR="00777DCB" w:rsidRPr="00A52585">
        <w:rPr>
          <w:rFonts w:hint="cs"/>
          <w:rtl/>
          <w:lang w:bidi="ar-SY"/>
        </w:rPr>
        <w:t>) في حديث مسلم</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 xml:space="preserve">قلت يا رسول الله أفلا أعتقها قال </w:t>
      </w:r>
      <w:proofErr w:type="spellStart"/>
      <w:r w:rsidR="00777DCB" w:rsidRPr="00A52585">
        <w:rPr>
          <w:rFonts w:hint="cs"/>
          <w:rtl/>
          <w:lang w:bidi="ar-SY"/>
        </w:rPr>
        <w:t>ائتني</w:t>
      </w:r>
      <w:proofErr w:type="spellEnd"/>
      <w:r w:rsidR="00777DCB" w:rsidRPr="00A52585">
        <w:rPr>
          <w:rFonts w:hint="cs"/>
          <w:rtl/>
          <w:lang w:bidi="ar-SY"/>
        </w:rPr>
        <w:t xml:space="preserve"> بها فأتيته بها فقال لها</w:t>
      </w:r>
      <w:r w:rsidRPr="00A52585">
        <w:rPr>
          <w:rFonts w:hint="cs"/>
          <w:rtl/>
          <w:lang w:bidi="ar-SY"/>
        </w:rPr>
        <w:t xml:space="preserve">: </w:t>
      </w:r>
      <w:r w:rsidR="00777DCB" w:rsidRPr="00A52585">
        <w:rPr>
          <w:rFonts w:hint="cs"/>
          <w:rtl/>
          <w:lang w:bidi="ar-SY"/>
        </w:rPr>
        <w:t>أين الله</w:t>
      </w:r>
      <w:r w:rsidR="00F95886" w:rsidRPr="00A52585">
        <w:rPr>
          <w:rFonts w:hint="cs"/>
          <w:rtl/>
          <w:lang w:bidi="ar-SY"/>
        </w:rPr>
        <w:t>؟</w:t>
      </w:r>
      <w:r w:rsidR="00777DCB" w:rsidRPr="00A52585">
        <w:rPr>
          <w:rFonts w:hint="cs"/>
          <w:rtl/>
          <w:lang w:bidi="ar-SY"/>
        </w:rPr>
        <w:t xml:space="preserve"> قالت: في السماء. قال: من أنا</w:t>
      </w:r>
      <w:r w:rsidR="00F95886" w:rsidRPr="00A52585">
        <w:rPr>
          <w:rFonts w:hint="cs"/>
          <w:rtl/>
          <w:lang w:bidi="ar-SY"/>
        </w:rPr>
        <w:t>؟</w:t>
      </w:r>
      <w:r w:rsidR="00777DCB" w:rsidRPr="00A52585">
        <w:rPr>
          <w:rFonts w:hint="cs"/>
          <w:rtl/>
          <w:lang w:bidi="ar-SY"/>
        </w:rPr>
        <w:t xml:space="preserve"> قالت: أنت رسول الله قال أعتقها فإنها مؤمنة))</w:t>
      </w:r>
      <w:r w:rsidRPr="00A52585">
        <w:rPr>
          <w:rFonts w:hint="cs"/>
          <w:rtl/>
          <w:lang w:bidi="ar-SY"/>
        </w:rPr>
        <w:t xml:space="preserve"> [</w:t>
      </w:r>
      <w:r w:rsidR="00777DCB" w:rsidRPr="00A52585">
        <w:rPr>
          <w:rFonts w:hint="cs"/>
          <w:rtl/>
          <w:lang w:bidi="ar-SY"/>
        </w:rPr>
        <w:t>أخرجه الإمام مسلم</w:t>
      </w:r>
      <w:r w:rsidRPr="00A52585">
        <w:rPr>
          <w:rFonts w:hint="cs"/>
          <w:rtl/>
          <w:lang w:bidi="ar-SY"/>
        </w:rPr>
        <w:t>:</w:t>
      </w:r>
      <w:r w:rsidR="00777DCB" w:rsidRPr="00A52585">
        <w:rPr>
          <w:rFonts w:hint="cs"/>
          <w:rtl/>
          <w:lang w:bidi="ar-SY"/>
        </w:rPr>
        <w:t xml:space="preserve"> ح</w:t>
      </w:r>
      <w:r w:rsidRPr="00A52585">
        <w:rPr>
          <w:rFonts w:hint="cs"/>
          <w:rtl/>
          <w:lang w:bidi="ar-SY"/>
        </w:rPr>
        <w:t xml:space="preserve"> </w:t>
      </w:r>
      <w:r w:rsidR="00777DCB" w:rsidRPr="00A52585">
        <w:rPr>
          <w:rFonts w:hint="cs"/>
          <w:rtl/>
          <w:lang w:bidi="ar-SY"/>
        </w:rPr>
        <w:t>(537)</w:t>
      </w:r>
      <w:r w:rsidRPr="00A52585">
        <w:rPr>
          <w:rFonts w:hint="cs"/>
          <w:rtl/>
          <w:lang w:bidi="ar-SY"/>
        </w:rPr>
        <w:t>]</w:t>
      </w:r>
      <w:r w:rsidR="00DB731D" w:rsidRPr="00A52585">
        <w:rPr>
          <w:rFonts w:hint="cs"/>
          <w:rtl/>
          <w:lang w:bidi="ar-SY"/>
        </w:rPr>
        <w:t>،</w:t>
      </w:r>
      <w:r w:rsidR="00777DCB" w:rsidRPr="00A52585">
        <w:rPr>
          <w:rFonts w:hint="cs"/>
          <w:rtl/>
          <w:lang w:bidi="ar-SY"/>
        </w:rPr>
        <w:t xml:space="preserve"> وبعد فهذه هي الأدلة الرئيسة التي يستند إليها </w:t>
      </w:r>
      <w:proofErr w:type="spellStart"/>
      <w:r w:rsidR="00777DCB" w:rsidRPr="00A52585">
        <w:rPr>
          <w:rFonts w:hint="cs"/>
          <w:rtl/>
          <w:lang w:bidi="ar-SY"/>
        </w:rPr>
        <w:t>الحشوية</w:t>
      </w:r>
      <w:proofErr w:type="spellEnd"/>
      <w:r w:rsidR="00777DCB" w:rsidRPr="00A52585">
        <w:rPr>
          <w:rFonts w:hint="cs"/>
          <w:rtl/>
          <w:lang w:bidi="ar-SY"/>
        </w:rPr>
        <w:t xml:space="preserve"> لإثبات </w:t>
      </w:r>
      <w:r w:rsidR="00777DCB" w:rsidRPr="00A52585">
        <w:rPr>
          <w:rFonts w:hint="cs"/>
          <w:rtl/>
        </w:rPr>
        <w:t>الفوقية الحسية والاستواء الحسي والجهة والمكان بنصوص من الكتاب والسنّة</w:t>
      </w:r>
      <w:r w:rsidR="00DB731D" w:rsidRPr="00A52585">
        <w:rPr>
          <w:rFonts w:hint="cs"/>
          <w:rtl/>
        </w:rPr>
        <w:t>،</w:t>
      </w:r>
      <w:r w:rsidR="00777DCB" w:rsidRPr="00A52585">
        <w:rPr>
          <w:rFonts w:hint="cs"/>
          <w:rtl/>
        </w:rPr>
        <w:t xml:space="preserve"> </w:t>
      </w:r>
    </w:p>
    <w:p w14:paraId="722EA96A" w14:textId="3619C49B" w:rsidR="00777DCB" w:rsidRPr="00A52585" w:rsidRDefault="0002035C" w:rsidP="0002035C">
      <w:pPr>
        <w:spacing w:after="240"/>
        <w:rPr>
          <w:rtl/>
          <w:lang w:bidi="ar-KW"/>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هذه النصوص صحيحة ولكن تكمن المشكلة في الفهم الخاطئ لها من قبل هؤلاء الغير متخصصين في علم العقيدة</w:t>
      </w:r>
      <w:r w:rsidR="00DB731D" w:rsidRPr="00A52585">
        <w:rPr>
          <w:rFonts w:hint="cs"/>
          <w:rtl/>
        </w:rPr>
        <w:t>،</w:t>
      </w:r>
      <w:r w:rsidR="00777DCB" w:rsidRPr="00A52585">
        <w:rPr>
          <w:rFonts w:hint="cs"/>
          <w:rtl/>
        </w:rPr>
        <w:t xml:space="preserve"> وسوف اتناول كل دليل من تلك الادلة برد </w:t>
      </w:r>
      <w:proofErr w:type="spellStart"/>
      <w:r w:rsidR="00777DCB" w:rsidRPr="00A52585">
        <w:rPr>
          <w:rFonts w:hint="cs"/>
          <w:rtl/>
        </w:rPr>
        <w:t>متشابهها</w:t>
      </w:r>
      <w:proofErr w:type="spellEnd"/>
      <w:r w:rsidR="00777DCB" w:rsidRPr="00A52585">
        <w:rPr>
          <w:rFonts w:hint="cs"/>
          <w:rtl/>
        </w:rPr>
        <w:t xml:space="preserve"> إلى محكمها الذي يضبط الفهم الصحيح اللازم لها</w:t>
      </w:r>
      <w:r w:rsidR="00DB731D" w:rsidRPr="00A52585">
        <w:rPr>
          <w:rFonts w:hint="cs"/>
          <w:rtl/>
        </w:rPr>
        <w:t>،</w:t>
      </w:r>
      <w:r w:rsidR="00777DCB" w:rsidRPr="00A52585">
        <w:rPr>
          <w:rFonts w:hint="cs"/>
          <w:rtl/>
        </w:rPr>
        <w:t xml:space="preserve"> </w:t>
      </w:r>
    </w:p>
    <w:p w14:paraId="0326459E" w14:textId="576CBBB2" w:rsidR="00777DCB" w:rsidRPr="00A52585" w:rsidRDefault="0002035C" w:rsidP="0002035C">
      <w:pPr>
        <w:spacing w:after="240"/>
        <w:rPr>
          <w:rtl/>
        </w:rPr>
      </w:pPr>
      <w:r w:rsidRPr="00A52585">
        <w:rPr>
          <w:rFonts w:hint="cs"/>
          <w:bCs/>
          <w:rtl/>
        </w:rPr>
        <w:t>(</w:t>
      </w:r>
      <w:r w:rsidR="00777DCB" w:rsidRPr="00A52585">
        <w:rPr>
          <w:rFonts w:hint="cs"/>
          <w:bCs/>
          <w:rtl/>
        </w:rPr>
        <w:t>3</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الأول</w:t>
      </w:r>
      <w:r w:rsidRPr="00A52585">
        <w:rPr>
          <w:rFonts w:hint="cs"/>
          <w:rtl/>
        </w:rPr>
        <w:t>:</w:t>
      </w:r>
      <w:r w:rsidR="00777DCB" w:rsidRPr="00A52585">
        <w:rPr>
          <w:rFonts w:hint="cs"/>
          <w:rtl/>
        </w:rPr>
        <w:t xml:space="preserve"> التصريح بالفوقية مقروناً بأداة </w:t>
      </w:r>
      <w:r w:rsidRPr="00A52585">
        <w:rPr>
          <w:rFonts w:hint="cs"/>
          <w:rtl/>
        </w:rPr>
        <w:t>(</w:t>
      </w:r>
      <w:r w:rsidR="00777DCB" w:rsidRPr="00A52585">
        <w:rPr>
          <w:rFonts w:hint="cs"/>
          <w:rtl/>
        </w:rPr>
        <w:t>من</w:t>
      </w:r>
      <w:r w:rsidRPr="00A52585">
        <w:rPr>
          <w:rFonts w:hint="cs"/>
          <w:rtl/>
        </w:rPr>
        <w:t>)</w:t>
      </w:r>
      <w:r w:rsidR="00777DCB" w:rsidRPr="00A52585">
        <w:rPr>
          <w:rFonts w:hint="cs"/>
          <w:rtl/>
        </w:rPr>
        <w:t xml:space="preserve"> المعينة للفوقية بالذات, قال الله تعالى:</w:t>
      </w:r>
      <w:r w:rsidRPr="00A52585">
        <w:rPr>
          <w:rFonts w:hint="cs"/>
          <w:rtl/>
        </w:rPr>
        <w:t>{</w:t>
      </w:r>
      <w:r w:rsidR="00777DCB" w:rsidRPr="00A52585">
        <w:rPr>
          <w:rFonts w:hint="cs"/>
          <w:rtl/>
        </w:rPr>
        <w:t>يَخَافُونَ رَبَّهُمْ مِنْ فَوْقِهِمْ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النحل</w:t>
      </w:r>
      <w:r w:rsidRPr="00A52585">
        <w:rPr>
          <w:rFonts w:hint="cs"/>
          <w:rtl/>
        </w:rPr>
        <w:t>:</w:t>
      </w:r>
      <w:r w:rsidR="00777DCB" w:rsidRPr="00A52585">
        <w:rPr>
          <w:rFonts w:hint="cs"/>
          <w:rtl/>
        </w:rPr>
        <w:t xml:space="preserve"> 50</w:t>
      </w:r>
      <w:r w:rsidRPr="00A52585">
        <w:rPr>
          <w:rFonts w:hint="cs"/>
          <w:rtl/>
        </w:rPr>
        <w:t>]</w:t>
      </w:r>
      <w:r w:rsidR="00DB731D" w:rsidRPr="00A52585">
        <w:rPr>
          <w:rFonts w:hint="cs"/>
          <w:rtl/>
        </w:rPr>
        <w:t>،</w:t>
      </w:r>
      <w:r w:rsidR="00777DCB" w:rsidRPr="00A52585">
        <w:rPr>
          <w:rFonts w:hint="cs"/>
          <w:rtl/>
          <w:lang w:bidi="ar-KW"/>
        </w:rPr>
        <w:t xml:space="preserve"> </w:t>
      </w:r>
      <w:r w:rsidR="00777DCB" w:rsidRPr="00A52585">
        <w:rPr>
          <w:rFonts w:hint="cs"/>
          <w:rtl/>
        </w:rPr>
        <w:t>وفي الآية</w:t>
      </w:r>
      <w:r w:rsidRPr="00A52585">
        <w:rPr>
          <w:rFonts w:hint="cs"/>
          <w:rtl/>
        </w:rPr>
        <w:t xml:space="preserve"> </w:t>
      </w:r>
      <w:r w:rsidR="00777DCB" w:rsidRPr="00A52585">
        <w:rPr>
          <w:rFonts w:hint="cs"/>
          <w:rtl/>
        </w:rPr>
        <w:t>مجاز حذف والمراد يخافون عذاب ربهم من فوقهم</w:t>
      </w:r>
      <w:r w:rsidR="00DB731D" w:rsidRPr="00A52585">
        <w:rPr>
          <w:rFonts w:hint="cs"/>
          <w:rtl/>
        </w:rPr>
        <w:t>،</w:t>
      </w:r>
      <w:r w:rsidR="00777DCB" w:rsidRPr="00A52585">
        <w:rPr>
          <w:rFonts w:hint="cs"/>
          <w:rtl/>
        </w:rPr>
        <w:t xml:space="preserve"> وذلك لأنّ العذاب إنما ينزل من فوقهم</w:t>
      </w:r>
      <w:r w:rsidR="00DB731D" w:rsidRPr="00A52585">
        <w:rPr>
          <w:rFonts w:hint="cs"/>
          <w:rtl/>
        </w:rPr>
        <w:t>،</w:t>
      </w:r>
      <w:r w:rsidR="00777DCB" w:rsidRPr="00A52585">
        <w:rPr>
          <w:rFonts w:hint="cs"/>
          <w:rtl/>
        </w:rPr>
        <w:t xml:space="preserve"> والدليل على ذلك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سَنُقَتِّلُ أَبْنَاءَهُمْ وَنَسْتَحْيِي نِسَاءَهُمْ وَإِنَّا فَوْقَهُمْ قَاهِرُونَ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الأعراف</w:t>
      </w:r>
      <w:r w:rsidRPr="00A52585">
        <w:rPr>
          <w:rFonts w:hint="cs"/>
          <w:rtl/>
        </w:rPr>
        <w:t>:</w:t>
      </w:r>
      <w:r w:rsidR="00777DCB" w:rsidRPr="00A52585">
        <w:rPr>
          <w:rFonts w:hint="cs"/>
          <w:rtl/>
        </w:rPr>
        <w:t xml:space="preserve"> 127</w:t>
      </w:r>
      <w:r w:rsidRPr="00A52585">
        <w:rPr>
          <w:rFonts w:hint="cs"/>
          <w:rtl/>
        </w:rPr>
        <w:t>]</w:t>
      </w:r>
      <w:r w:rsidR="00DB731D" w:rsidRPr="00A52585">
        <w:rPr>
          <w:rFonts w:hint="cs"/>
          <w:rtl/>
        </w:rPr>
        <w:t>،</w:t>
      </w:r>
      <w:r w:rsidR="00777DCB" w:rsidRPr="00A52585">
        <w:rPr>
          <w:rFonts w:hint="cs"/>
          <w:rtl/>
        </w:rPr>
        <w:t xml:space="preserve"> وليست الفوقية هاهنا هي ارتفاع المكان</w:t>
      </w:r>
      <w:r w:rsidR="00DB731D" w:rsidRPr="00A52585">
        <w:rPr>
          <w:rFonts w:hint="cs"/>
          <w:rtl/>
        </w:rPr>
        <w:t>،</w:t>
      </w:r>
      <w:r w:rsidR="00777DCB" w:rsidRPr="00A52585">
        <w:rPr>
          <w:rFonts w:hint="cs"/>
          <w:rtl/>
        </w:rPr>
        <w:t xml:space="preserve"> فلم يكن فرعون على أكتاف بني اسرائيل</w:t>
      </w:r>
      <w:r w:rsidR="00DB731D" w:rsidRPr="00A52585">
        <w:rPr>
          <w:rFonts w:hint="cs"/>
          <w:rtl/>
        </w:rPr>
        <w:t>،</w:t>
      </w:r>
      <w:r w:rsidR="00777DCB" w:rsidRPr="00A52585">
        <w:rPr>
          <w:rFonts w:hint="cs"/>
          <w:rtl/>
        </w:rPr>
        <w:t xml:space="preserve"> قال القرطبي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ومعنى يخافون ربهم</w:t>
      </w:r>
      <w:r w:rsidRPr="00A52585">
        <w:rPr>
          <w:rFonts w:hint="cs"/>
          <w:rtl/>
        </w:rPr>
        <w:t xml:space="preserve"> </w:t>
      </w:r>
      <w:r w:rsidR="00777DCB" w:rsidRPr="00A52585">
        <w:rPr>
          <w:rFonts w:hint="cs"/>
          <w:rtl/>
        </w:rPr>
        <w:t>من فوقهم</w:t>
      </w:r>
      <w:r w:rsidRPr="00A52585">
        <w:rPr>
          <w:rFonts w:hint="cs"/>
          <w:rtl/>
        </w:rPr>
        <w:t xml:space="preserve"> </w:t>
      </w:r>
      <w:r w:rsidR="00777DCB" w:rsidRPr="00A52585">
        <w:rPr>
          <w:rFonts w:hint="cs"/>
          <w:rtl/>
        </w:rPr>
        <w:t xml:space="preserve">أي من عقاب </w:t>
      </w:r>
      <w:r w:rsidR="00777DCB" w:rsidRPr="00A52585">
        <w:rPr>
          <w:rFonts w:hint="cs"/>
          <w:rtl/>
        </w:rPr>
        <w:lastRenderedPageBreak/>
        <w:t>ربهم وعذابه لأن العذاب المهلك إنما ينزل من السماء وقيل</w:t>
      </w:r>
      <w:r w:rsidRPr="00A52585">
        <w:rPr>
          <w:rFonts w:hint="cs"/>
          <w:rtl/>
        </w:rPr>
        <w:t xml:space="preserve"> </w:t>
      </w:r>
      <w:r w:rsidR="00777DCB" w:rsidRPr="00A52585">
        <w:rPr>
          <w:rFonts w:hint="cs"/>
          <w:rtl/>
        </w:rPr>
        <w:t>المعنى يخافون قدرة ربهم التي هي فوق قدرتهم ففي الكلام حذف</w:t>
      </w:r>
      <w:r w:rsidRPr="00A52585">
        <w:rPr>
          <w:rFonts w:hint="cs"/>
          <w:rtl/>
        </w:rPr>
        <w:t>)</w:t>
      </w:r>
      <w:r w:rsidR="00777DCB" w:rsidRPr="00A52585">
        <w:rPr>
          <w:rFonts w:hint="cs"/>
          <w:rtl/>
        </w:rPr>
        <w:t xml:space="preserve"> أهـ [تفسير القرطبي ج: 10 ص: 113</w:t>
      </w:r>
      <w:r w:rsidRPr="00A52585">
        <w:rPr>
          <w:rFonts w:hint="cs"/>
          <w:rtl/>
        </w:rPr>
        <w:t>]</w:t>
      </w:r>
      <w:r w:rsidR="00DB731D" w:rsidRPr="00A52585">
        <w:rPr>
          <w:rFonts w:hint="cs"/>
          <w:rtl/>
        </w:rPr>
        <w:t>،</w:t>
      </w:r>
      <w:r w:rsidR="00777DCB" w:rsidRPr="00A52585">
        <w:rPr>
          <w:rFonts w:hint="cs"/>
          <w:rtl/>
        </w:rPr>
        <w:t xml:space="preserve"> وقال بن </w:t>
      </w:r>
      <w:proofErr w:type="spellStart"/>
      <w:r w:rsidR="00777DCB" w:rsidRPr="00A52585">
        <w:rPr>
          <w:rFonts w:hint="cs"/>
          <w:rtl/>
        </w:rPr>
        <w:t>جهبل</w:t>
      </w:r>
      <w:proofErr w:type="spellEnd"/>
      <w:r w:rsidR="00777DCB" w:rsidRPr="00A52585">
        <w:rPr>
          <w:rFonts w:hint="cs"/>
          <w:rtl/>
        </w:rPr>
        <w:t xml:space="preserve"> - وهو يرد على مثبت الجهة -</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وأردفه</w:t>
      </w:r>
      <w:r w:rsidR="00777DCB" w:rsidRPr="00A52585">
        <w:rPr>
          <w:rFonts w:hint="cs"/>
        </w:rPr>
        <w:t xml:space="preserve"> </w:t>
      </w:r>
      <w:r w:rsidR="00777DCB" w:rsidRPr="00A52585">
        <w:rPr>
          <w:rFonts w:hint="cs"/>
          <w:rtl/>
        </w:rPr>
        <w:t>بقوله تعالى يخافون ربهم من فوقهم وتلك أيضا لا دلالة</w:t>
      </w:r>
      <w:r w:rsidR="00777DCB" w:rsidRPr="00A52585">
        <w:rPr>
          <w:rFonts w:hint="cs"/>
        </w:rPr>
        <w:t xml:space="preserve"> </w:t>
      </w:r>
      <w:r w:rsidR="00777DCB" w:rsidRPr="00A52585">
        <w:rPr>
          <w:rFonts w:hint="cs"/>
          <w:rtl/>
        </w:rPr>
        <w:t>له فيها عن سماء ولا عرش ولا أنه في شيء من ذلك حقيقة</w:t>
      </w:r>
      <w:r w:rsidR="00DB731D" w:rsidRPr="00A52585">
        <w:rPr>
          <w:rtl/>
        </w:rPr>
        <w:t>،</w:t>
      </w:r>
      <w:r w:rsidR="00777DCB" w:rsidRPr="00A52585">
        <w:rPr>
          <w:rFonts w:hint="cs"/>
          <w:rtl/>
        </w:rPr>
        <w:t xml:space="preserve"> ثم</w:t>
      </w:r>
      <w:r w:rsidR="00777DCB" w:rsidRPr="00A52585">
        <w:rPr>
          <w:rFonts w:hint="cs"/>
        </w:rPr>
        <w:t xml:space="preserve"> </w:t>
      </w:r>
      <w:r w:rsidR="00777DCB" w:rsidRPr="00A52585">
        <w:rPr>
          <w:rFonts w:hint="cs"/>
          <w:rtl/>
        </w:rPr>
        <w:t>الفوقية ترد لمعنيين</w:t>
      </w:r>
      <w:r w:rsidRPr="00A52585">
        <w:rPr>
          <w:rtl/>
        </w:rPr>
        <w:t>:</w:t>
      </w:r>
      <w:r w:rsidR="00777DCB" w:rsidRPr="00A52585">
        <w:rPr>
          <w:rFonts w:hint="cs"/>
          <w:rtl/>
        </w:rPr>
        <w:t xml:space="preserve"> أحدهما</w:t>
      </w:r>
      <w:r w:rsidR="00777DCB" w:rsidRPr="00A52585">
        <w:rPr>
          <w:rFonts w:hint="cs"/>
        </w:rPr>
        <w:t xml:space="preserve"> </w:t>
      </w:r>
      <w:r w:rsidR="00777DCB" w:rsidRPr="00A52585">
        <w:rPr>
          <w:rFonts w:hint="cs"/>
          <w:rtl/>
        </w:rPr>
        <w:t>نسبة جسم إلى جسم بأن يكون أحدهما أعلى</w:t>
      </w:r>
      <w:r w:rsidR="00777DCB" w:rsidRPr="00A52585">
        <w:rPr>
          <w:rFonts w:hint="cs"/>
        </w:rPr>
        <w:t xml:space="preserve"> </w:t>
      </w:r>
      <w:r w:rsidR="00777DCB" w:rsidRPr="00A52585">
        <w:rPr>
          <w:rFonts w:hint="cs"/>
          <w:rtl/>
        </w:rPr>
        <w:t>والآخر أسفل بمعنى أن أسفل الأعلى من جانب رأس الأسفل وهذا لا يقول به من لا يجسم</w:t>
      </w:r>
      <w:r w:rsidR="00777DCB" w:rsidRPr="00A52585">
        <w:rPr>
          <w:rFonts w:hint="cs"/>
        </w:rPr>
        <w:t xml:space="preserve"> </w:t>
      </w:r>
      <w:r w:rsidR="00777DCB" w:rsidRPr="00A52585">
        <w:rPr>
          <w:rFonts w:hint="cs"/>
          <w:rtl/>
        </w:rPr>
        <w:t>وبتقدير أن يكون هو المراد وأنه تعالى ليس لجسم فلم لا يجوز أن يكون من فوقهم صلة</w:t>
      </w:r>
      <w:r w:rsidR="00777DCB" w:rsidRPr="00A52585">
        <w:rPr>
          <w:rFonts w:hint="cs"/>
        </w:rPr>
        <w:t xml:space="preserve"> </w:t>
      </w:r>
      <w:r w:rsidR="00777DCB" w:rsidRPr="00A52585">
        <w:rPr>
          <w:rFonts w:hint="cs"/>
          <w:rtl/>
        </w:rPr>
        <w:t>ل يخافون ويكون تقدير الكلام يخافون من فوقهم ربهم</w:t>
      </w:r>
      <w:r w:rsidRPr="00A52585">
        <w:rPr>
          <w:rtl/>
        </w:rPr>
        <w:t xml:space="preserve"> </w:t>
      </w:r>
      <w:r w:rsidR="00777DCB" w:rsidRPr="00A52585">
        <w:rPr>
          <w:rFonts w:hint="cs"/>
          <w:rtl/>
        </w:rPr>
        <w:t>أي</w:t>
      </w:r>
      <w:r w:rsidR="00777DCB" w:rsidRPr="00A52585">
        <w:rPr>
          <w:rFonts w:hint="cs"/>
        </w:rPr>
        <w:t xml:space="preserve"> </w:t>
      </w:r>
      <w:r w:rsidR="00777DCB" w:rsidRPr="00A52585">
        <w:rPr>
          <w:rFonts w:hint="cs"/>
          <w:rtl/>
        </w:rPr>
        <w:t>أن الخوف من جهة العلو وأن العذاب يأتي من تلك الجهة</w:t>
      </w:r>
      <w:r w:rsidR="00DB731D" w:rsidRPr="00A52585">
        <w:rPr>
          <w:rFonts w:hint="cs"/>
          <w:rtl/>
        </w:rPr>
        <w:t>،</w:t>
      </w:r>
      <w:r w:rsidRPr="00A52585">
        <w:rPr>
          <w:rFonts w:hint="cs"/>
          <w:rtl/>
        </w:rPr>
        <w:t xml:space="preserve"> </w:t>
      </w:r>
      <w:r w:rsidR="00777DCB" w:rsidRPr="00A52585">
        <w:rPr>
          <w:rFonts w:hint="cs"/>
          <w:rtl/>
        </w:rPr>
        <w:t>وثانيهما</w:t>
      </w:r>
      <w:r w:rsidRPr="00A52585">
        <w:rPr>
          <w:rFonts w:hint="cs"/>
          <w:rtl/>
        </w:rPr>
        <w:t>:</w:t>
      </w:r>
      <w:r w:rsidR="00777DCB" w:rsidRPr="00A52585">
        <w:rPr>
          <w:rFonts w:hint="cs"/>
          <w:rtl/>
        </w:rPr>
        <w:t xml:space="preserve"> بمعنى المرتبة كما يقال الخليفة فوق السلطان</w:t>
      </w:r>
      <w:r w:rsidR="00777DCB" w:rsidRPr="00A52585">
        <w:rPr>
          <w:rFonts w:hint="cs"/>
        </w:rPr>
        <w:t xml:space="preserve"> </w:t>
      </w:r>
      <w:r w:rsidR="00777DCB" w:rsidRPr="00A52585">
        <w:rPr>
          <w:rFonts w:hint="cs"/>
          <w:rtl/>
        </w:rPr>
        <w:t>والسلطان فوق الأمير</w:t>
      </w:r>
      <w:r w:rsidRPr="00A52585">
        <w:rPr>
          <w:rtl/>
        </w:rPr>
        <w:t xml:space="preserve"> </w:t>
      </w:r>
      <w:r w:rsidR="00777DCB" w:rsidRPr="00A52585">
        <w:rPr>
          <w:rFonts w:hint="cs"/>
          <w:rtl/>
        </w:rPr>
        <w:t>وكما</w:t>
      </w:r>
      <w:r w:rsidR="00777DCB" w:rsidRPr="00A52585">
        <w:rPr>
          <w:rFonts w:hint="cs"/>
        </w:rPr>
        <w:t xml:space="preserve"> </w:t>
      </w:r>
      <w:r w:rsidR="00777DCB" w:rsidRPr="00A52585">
        <w:rPr>
          <w:rFonts w:hint="cs"/>
          <w:rtl/>
        </w:rPr>
        <w:t>يقال جلس</w:t>
      </w:r>
      <w:r w:rsidR="00777DCB" w:rsidRPr="00A52585">
        <w:rPr>
          <w:rFonts w:hint="cs"/>
        </w:rPr>
        <w:t xml:space="preserve"> </w:t>
      </w:r>
      <w:r w:rsidR="00777DCB" w:rsidRPr="00A52585">
        <w:rPr>
          <w:rFonts w:hint="cs"/>
          <w:rtl/>
        </w:rPr>
        <w:t>فلان فوق فلان والعلم فوق العمل والصباغة فوق الدباغة</w:t>
      </w:r>
      <w:r w:rsidRPr="00A52585">
        <w:rPr>
          <w:rtl/>
        </w:rPr>
        <w:t xml:space="preserve"> </w:t>
      </w:r>
      <w:r w:rsidR="00777DCB" w:rsidRPr="00A52585">
        <w:rPr>
          <w:rFonts w:hint="cs"/>
          <w:rtl/>
        </w:rPr>
        <w:t>وقد</w:t>
      </w:r>
      <w:r w:rsidR="00777DCB" w:rsidRPr="00A52585">
        <w:rPr>
          <w:rFonts w:hint="cs"/>
        </w:rPr>
        <w:t xml:space="preserve"> </w:t>
      </w:r>
      <w:r w:rsidR="00777DCB" w:rsidRPr="00A52585">
        <w:rPr>
          <w:rFonts w:hint="cs"/>
          <w:rtl/>
        </w:rPr>
        <w:t>وقع ذلك في قوله تعالى حيث قال ورفعنا بعضهم</w:t>
      </w:r>
      <w:r w:rsidR="00777DCB" w:rsidRPr="00A52585">
        <w:rPr>
          <w:rFonts w:hint="cs"/>
        </w:rPr>
        <w:t xml:space="preserve"> </w:t>
      </w:r>
      <w:r w:rsidR="00777DCB" w:rsidRPr="00A52585">
        <w:rPr>
          <w:rFonts w:hint="cs"/>
          <w:rtl/>
        </w:rPr>
        <w:t>فوق بعض درجات ولم يطلع أحدهم على أكتاف الآخر ومن ذلك قوله تعالى وإنا فوقهم</w:t>
      </w:r>
      <w:r w:rsidR="00777DCB" w:rsidRPr="00A52585">
        <w:rPr>
          <w:rFonts w:hint="cs"/>
        </w:rPr>
        <w:t xml:space="preserve"> </w:t>
      </w:r>
      <w:r w:rsidR="00777DCB" w:rsidRPr="00A52585">
        <w:rPr>
          <w:rFonts w:hint="cs"/>
          <w:rtl/>
        </w:rPr>
        <w:t>قاهرون وما ركبت القبط أكتاف بني إسرائيل ولا ظهورهم</w:t>
      </w:r>
      <w:r w:rsidRPr="00A52585">
        <w:rPr>
          <w:rtl/>
        </w:rPr>
        <w:t>)</w:t>
      </w:r>
      <w:r w:rsidR="00777DCB" w:rsidRPr="00A52585">
        <w:rPr>
          <w:rFonts w:hint="cs"/>
          <w:rtl/>
        </w:rPr>
        <w:t xml:space="preserve"> أهـ </w:t>
      </w:r>
      <w:r w:rsidRPr="00A52585">
        <w:rPr>
          <w:rFonts w:hint="cs"/>
          <w:rtl/>
        </w:rPr>
        <w:t>[</w:t>
      </w:r>
      <w:r w:rsidR="00777DCB" w:rsidRPr="00A52585">
        <w:rPr>
          <w:rFonts w:hint="cs"/>
          <w:rtl/>
        </w:rPr>
        <w:t>طبقات الشافعية الكبرى ج: 9 ص: 47</w:t>
      </w:r>
      <w:r w:rsidRPr="00A52585">
        <w:rPr>
          <w:rFonts w:hint="cs"/>
          <w:rtl/>
        </w:rPr>
        <w:t>]</w:t>
      </w:r>
      <w:r w:rsidR="00DB731D" w:rsidRPr="00A52585">
        <w:rPr>
          <w:rFonts w:hint="cs"/>
          <w:rtl/>
        </w:rPr>
        <w:t>،</w:t>
      </w:r>
      <w:r w:rsidRPr="00A52585">
        <w:rPr>
          <w:rFonts w:hint="cs"/>
          <w:rtl/>
        </w:rPr>
        <w:t xml:space="preserve"> </w:t>
      </w:r>
    </w:p>
    <w:p w14:paraId="6E49667C" w14:textId="657D7559" w:rsidR="00777DCB" w:rsidRPr="00A52585" w:rsidRDefault="0002035C" w:rsidP="0002035C">
      <w:pPr>
        <w:spacing w:after="240"/>
        <w:rPr>
          <w:rtl/>
        </w:rPr>
      </w:pPr>
      <w:r w:rsidRPr="00A52585">
        <w:rPr>
          <w:rFonts w:hint="cs"/>
          <w:bCs/>
          <w:rtl/>
        </w:rPr>
        <w:t>(</w:t>
      </w:r>
      <w:r w:rsidR="00777DCB" w:rsidRPr="00A52585">
        <w:rPr>
          <w:rFonts w:hint="cs"/>
          <w:bCs/>
          <w:rtl/>
        </w:rPr>
        <w:t>4</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الثاني</w:t>
      </w:r>
      <w:r w:rsidRPr="00A52585">
        <w:rPr>
          <w:rFonts w:hint="cs"/>
          <w:bCs/>
          <w:rtl/>
        </w:rPr>
        <w:t>:</w:t>
      </w:r>
      <w:r w:rsidR="00777DCB" w:rsidRPr="00A52585">
        <w:rPr>
          <w:rFonts w:hint="cs"/>
          <w:bCs/>
          <w:rtl/>
        </w:rPr>
        <w:t xml:space="preserve"> ذكر الفوقية مجردةً عن الأداة , قال تعالى:</w:t>
      </w:r>
      <w:r w:rsidRPr="00A52585">
        <w:rPr>
          <w:rFonts w:hint="cs"/>
          <w:bCs/>
          <w:rtl/>
        </w:rPr>
        <w:t>{</w:t>
      </w:r>
      <w:r w:rsidR="00777DCB" w:rsidRPr="00A52585">
        <w:rPr>
          <w:rFonts w:hint="cs"/>
          <w:bCs/>
          <w:rtl/>
        </w:rPr>
        <w:t xml:space="preserve">وَهُوَ الْقَاهِرُ فَوْقَ عِبَادِهِ} </w:t>
      </w:r>
      <w:r w:rsidRPr="00A52585">
        <w:rPr>
          <w:rFonts w:hint="cs"/>
          <w:bCs/>
          <w:rtl/>
        </w:rPr>
        <w:t>[</w:t>
      </w:r>
      <w:r w:rsidR="00777DCB" w:rsidRPr="00A52585">
        <w:rPr>
          <w:rFonts w:hint="cs"/>
          <w:bCs/>
          <w:rtl/>
        </w:rPr>
        <w:t>الأنعام</w:t>
      </w:r>
      <w:r w:rsidRPr="00A52585">
        <w:rPr>
          <w:rFonts w:hint="cs"/>
          <w:bCs/>
          <w:rtl/>
        </w:rPr>
        <w:t>:</w:t>
      </w:r>
      <w:r w:rsidR="00777DCB" w:rsidRPr="00A52585">
        <w:rPr>
          <w:rFonts w:hint="cs"/>
          <w:bCs/>
          <w:rtl/>
        </w:rPr>
        <w:t xml:space="preserve"> 18</w:t>
      </w:r>
      <w:r w:rsidRPr="00A52585">
        <w:rPr>
          <w:rFonts w:hint="cs"/>
          <w:bCs/>
          <w:rtl/>
        </w:rPr>
        <w:t>]</w:t>
      </w:r>
      <w:r w:rsidR="00DB731D" w:rsidRPr="00A52585">
        <w:rPr>
          <w:rFonts w:hint="cs"/>
          <w:bCs/>
          <w:rtl/>
          <w:lang w:bidi="ar-KW"/>
        </w:rPr>
        <w:t>،</w:t>
      </w:r>
      <w:r w:rsidR="00777DCB" w:rsidRPr="00A52585">
        <w:rPr>
          <w:rFonts w:hint="cs"/>
          <w:rtl/>
          <w:lang w:bidi="ar-KW"/>
        </w:rPr>
        <w:t xml:space="preserve"> </w:t>
      </w:r>
      <w:r w:rsidR="00777DCB" w:rsidRPr="00A52585">
        <w:rPr>
          <w:rFonts w:hint="cs"/>
          <w:rtl/>
        </w:rPr>
        <w:t>فوقهم بالقهر والغلبة والقدرة والتدبير</w:t>
      </w:r>
      <w:r w:rsidR="00DB731D" w:rsidRPr="00A52585">
        <w:rPr>
          <w:rFonts w:hint="cs"/>
          <w:rtl/>
        </w:rPr>
        <w:t>،</w:t>
      </w:r>
      <w:r w:rsidR="00777DCB" w:rsidRPr="00A52585">
        <w:rPr>
          <w:rFonts w:hint="cs"/>
          <w:rtl/>
        </w:rPr>
        <w:t xml:space="preserve"> قال القرطبي</w:t>
      </w:r>
      <w:r w:rsidRPr="00A52585">
        <w:rPr>
          <w:rFonts w:hint="cs"/>
          <w:rtl/>
        </w:rPr>
        <w:t>:</w:t>
      </w:r>
      <w:r w:rsidR="00777DCB" w:rsidRPr="00A52585">
        <w:rPr>
          <w:rFonts w:hint="cs"/>
          <w:rtl/>
        </w:rPr>
        <w:t xml:space="preserve"> (وهو القاهر</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 xml:space="preserve">القهر الغلبة </w:t>
      </w:r>
      <w:proofErr w:type="spellStart"/>
      <w:r w:rsidR="00777DCB" w:rsidRPr="00A52585">
        <w:rPr>
          <w:rFonts w:hint="cs"/>
          <w:rtl/>
        </w:rPr>
        <w:t>والقاهرالغالب</w:t>
      </w:r>
      <w:proofErr w:type="spellEnd"/>
      <w:r w:rsidR="00777DCB" w:rsidRPr="00A52585">
        <w:rPr>
          <w:rFonts w:hint="cs"/>
          <w:rtl/>
        </w:rPr>
        <w:t xml:space="preserve"> وأقهر الرجل إذا صير بحال المقهور الذليل قال الشاعر</w:t>
      </w:r>
      <w:r w:rsidRPr="00A52585">
        <w:rPr>
          <w:rFonts w:hint="cs"/>
          <w:rtl/>
        </w:rPr>
        <w:t xml:space="preserve"> </w:t>
      </w:r>
      <w:r w:rsidR="00777DCB" w:rsidRPr="00A52585">
        <w:rPr>
          <w:rFonts w:hint="cs"/>
          <w:rtl/>
        </w:rPr>
        <w:t>تمنى حصين أن يسود جذاعه فأمسى حصين قد أذل وأقهرا وقهر غلب ومعنى</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فوقية الاستعلاء بالقهر والغلبة عليهم أي هم تحت تسخيره لا فوقية مكان كما تقول</w:t>
      </w:r>
      <w:r w:rsidRPr="00A52585">
        <w:rPr>
          <w:rFonts w:hint="cs"/>
          <w:rtl/>
        </w:rPr>
        <w:t xml:space="preserve"> </w:t>
      </w:r>
      <w:r w:rsidR="00777DCB" w:rsidRPr="00A52585">
        <w:rPr>
          <w:rFonts w:hint="cs"/>
          <w:rtl/>
        </w:rPr>
        <w:t>السلطان فوق رعيته أي بالمنزلة والرفعة وفي القهر معنى زائد ليس في القدرة وهو منع غيره عن بلوغ المراد</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 6 ص: 399</w:t>
      </w:r>
      <w:r w:rsidRPr="00A52585">
        <w:rPr>
          <w:rFonts w:hint="cs"/>
          <w:rtl/>
        </w:rPr>
        <w:t>]</w:t>
      </w:r>
      <w:r w:rsidR="00DB731D" w:rsidRPr="00A52585">
        <w:rPr>
          <w:rFonts w:hint="cs"/>
          <w:rtl/>
        </w:rPr>
        <w:t>،</w:t>
      </w:r>
      <w:r w:rsidR="00777DCB" w:rsidRPr="00A52585">
        <w:rPr>
          <w:rFonts w:hint="cs"/>
          <w:rtl/>
        </w:rPr>
        <w:t xml:space="preserve"> وقال أبو السعود</w:t>
      </w:r>
      <w:r w:rsidRPr="00A52585">
        <w:rPr>
          <w:rFonts w:hint="cs"/>
          <w:rtl/>
        </w:rPr>
        <w:t>:</w:t>
      </w:r>
      <w:r w:rsidR="00777DCB" w:rsidRPr="00A52585">
        <w:rPr>
          <w:rFonts w:hint="cs"/>
          <w:rtl/>
        </w:rPr>
        <w:t xml:space="preserve"> (وهو القاهر</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أي هو المتصرف في أمورهم لا غيره يفعل بهم ما يشاء إيجادا وإعداما وإحياء وإماتة وتعذيبا وإثابة إلى غير ذلك</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أبي السعود ج: 3 ص: 144</w:t>
      </w:r>
      <w:r w:rsidRPr="00A52585">
        <w:rPr>
          <w:rFonts w:hint="cs"/>
          <w:rtl/>
        </w:rPr>
        <w:t>]</w:t>
      </w:r>
      <w:r w:rsidR="00DB731D" w:rsidRPr="00A52585">
        <w:rPr>
          <w:rFonts w:hint="cs"/>
          <w:rtl/>
        </w:rPr>
        <w:t>،</w:t>
      </w:r>
      <w:r w:rsidR="00777DCB" w:rsidRPr="00A52585">
        <w:rPr>
          <w:rFonts w:hint="cs"/>
          <w:rtl/>
        </w:rPr>
        <w:t xml:space="preserve"> وقال البغوي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القاهر فوق عباده</w:t>
      </w:r>
      <w:r w:rsidRPr="00A52585">
        <w:rPr>
          <w:rFonts w:hint="cs"/>
          <w:rtl/>
        </w:rPr>
        <w:t>}:</w:t>
      </w:r>
      <w:r w:rsidR="00777DCB" w:rsidRPr="00A52585">
        <w:rPr>
          <w:rFonts w:hint="cs"/>
          <w:rtl/>
        </w:rPr>
        <w:t xml:space="preserve"> القاهر الغالب وفى القهر زيادة معنى على القدرة وهو منع غيره عن بلوغ المراد وقيل هو المنفرد بالتدبير يجبر الخلق على ماده</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 xml:space="preserve">هو صفة الاستعلاء الذي تفرد به الله عز وجل وهو الحكيم </w:t>
      </w:r>
      <w:proofErr w:type="spellStart"/>
      <w:r w:rsidR="00777DCB" w:rsidRPr="00A52585">
        <w:rPr>
          <w:rFonts w:hint="cs"/>
          <w:rtl/>
        </w:rPr>
        <w:t>فى</w:t>
      </w:r>
      <w:proofErr w:type="spellEnd"/>
      <w:r w:rsidR="00777DCB" w:rsidRPr="00A52585">
        <w:rPr>
          <w:rFonts w:hint="cs"/>
          <w:rtl/>
        </w:rPr>
        <w:t xml:space="preserve"> أمره الخبير بأعمال عباده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البغوي ج: 2 ص: 89</w:t>
      </w:r>
      <w:r w:rsidRPr="00A52585">
        <w:rPr>
          <w:rFonts w:hint="cs"/>
          <w:rtl/>
        </w:rPr>
        <w:t>]</w:t>
      </w:r>
      <w:r w:rsidR="00DB731D" w:rsidRPr="00A52585">
        <w:rPr>
          <w:rFonts w:hint="cs"/>
          <w:rtl/>
        </w:rPr>
        <w:t>،</w:t>
      </w:r>
      <w:r w:rsidR="00777DCB" w:rsidRPr="00A52585">
        <w:rPr>
          <w:rFonts w:hint="cs"/>
          <w:rtl/>
        </w:rPr>
        <w:t xml:space="preserve"> وقال الشوكاني</w:t>
      </w:r>
      <w:r w:rsidRPr="00A52585">
        <w:rPr>
          <w:rFonts w:hint="cs"/>
          <w:rtl/>
        </w:rPr>
        <w:t>:</w:t>
      </w:r>
      <w:r w:rsidR="00777DCB" w:rsidRPr="00A52585">
        <w:rPr>
          <w:rFonts w:hint="cs"/>
          <w:rtl/>
        </w:rPr>
        <w:t xml:space="preserve"> (قوله وهو القاهر</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المراد فوقية القدرة والرتبة كما يقال السلطان فوق الرعية</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فتح القدير ج: 2 ص: 124</w:t>
      </w:r>
      <w:r w:rsidRPr="00A52585">
        <w:rPr>
          <w:rFonts w:hint="cs"/>
          <w:rtl/>
        </w:rPr>
        <w:t>]</w:t>
      </w:r>
      <w:r w:rsidR="00DB731D" w:rsidRPr="00A52585">
        <w:rPr>
          <w:rFonts w:hint="cs"/>
          <w:rtl/>
        </w:rPr>
        <w:t>،</w:t>
      </w:r>
      <w:r w:rsidR="00777DCB" w:rsidRPr="00A52585">
        <w:rPr>
          <w:rFonts w:hint="cs"/>
          <w:bCs/>
          <w:rtl/>
        </w:rPr>
        <w:t xml:space="preserve"> وقال الألوسي</w:t>
      </w:r>
      <w:r w:rsidRPr="00A52585">
        <w:rPr>
          <w:rFonts w:hint="cs"/>
          <w:rtl/>
        </w:rPr>
        <w:t>:</w:t>
      </w:r>
      <w:r w:rsidR="00777DCB" w:rsidRPr="00A52585">
        <w:rPr>
          <w:rFonts w:hint="cs"/>
          <w:rtl/>
        </w:rPr>
        <w:t xml:space="preserve"> (وهو القاهر</w:t>
      </w:r>
      <w:r w:rsidRPr="00A52585">
        <w:rPr>
          <w:rFonts w:hint="cs"/>
          <w:rtl/>
        </w:rPr>
        <w:t xml:space="preserve"> </w:t>
      </w:r>
      <w:r w:rsidR="00777DCB" w:rsidRPr="00A52585">
        <w:rPr>
          <w:rFonts w:hint="cs"/>
          <w:rtl/>
        </w:rPr>
        <w:t>فوق عباده</w:t>
      </w:r>
      <w:r w:rsidRPr="00A52585">
        <w:rPr>
          <w:rFonts w:hint="cs"/>
          <w:rtl/>
        </w:rPr>
        <w:t xml:space="preserve"> </w:t>
      </w:r>
      <w:r w:rsidR="00777DCB" w:rsidRPr="00A52585">
        <w:rPr>
          <w:rFonts w:hint="cs"/>
          <w:rtl/>
        </w:rPr>
        <w:t xml:space="preserve">قيل هو استعارة </w:t>
      </w:r>
      <w:r w:rsidR="00777DCB" w:rsidRPr="00A52585">
        <w:rPr>
          <w:rFonts w:hint="cs"/>
          <w:rtl/>
        </w:rPr>
        <w:lastRenderedPageBreak/>
        <w:t>تمثيلية وتصوير لقره سبحانه وتعالى وعلوه عز شأنه بالغلبة والقدرة وجوز أن تكون الاستعارة بالظرف بأن شبه الغلبة بمكان محسوس وقيل</w:t>
      </w:r>
      <w:r w:rsidRPr="00A52585">
        <w:rPr>
          <w:rFonts w:hint="cs"/>
          <w:rtl/>
        </w:rPr>
        <w:t xml:space="preserve"> </w:t>
      </w:r>
      <w:r w:rsidR="00777DCB" w:rsidRPr="00A52585">
        <w:rPr>
          <w:rFonts w:hint="cs"/>
          <w:rtl/>
        </w:rPr>
        <w:t>إنه كناية عن القهر والعلو بالغلبة والقدرة</w:t>
      </w:r>
      <w:r w:rsidRPr="00A52585">
        <w:rPr>
          <w:rFonts w:hint="cs"/>
          <w:rtl/>
        </w:rPr>
        <w:t xml:space="preserve"> </w:t>
      </w:r>
      <w:r w:rsidR="00777DCB" w:rsidRPr="00A52585">
        <w:rPr>
          <w:rFonts w:hint="cs"/>
          <w:rtl/>
        </w:rPr>
        <w:t xml:space="preserve">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proofErr w:type="spellStart"/>
      <w:r w:rsidR="00777DCB" w:rsidRPr="00A52585">
        <w:rPr>
          <w:rFonts w:hint="cs"/>
          <w:rtl/>
        </w:rPr>
        <w:t>باحداث</w:t>
      </w:r>
      <w:proofErr w:type="spellEnd"/>
      <w:r w:rsidR="00777DCB" w:rsidRPr="00A52585">
        <w:rPr>
          <w:rFonts w:hint="cs"/>
          <w:rtl/>
        </w:rPr>
        <w:t xml:space="preserve"> العالم واخرجه من العدم إلى الوجود ويلزم أيضا من كونه سبحانه وتعالى في جهة مفاسد لا تخفي</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روح المعاني ج: 7 ص: 114</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الرازي</w:t>
      </w:r>
      <w:r w:rsidRPr="00A52585">
        <w:rPr>
          <w:rFonts w:hint="cs"/>
          <w:rtl/>
        </w:rPr>
        <w:t>:</w:t>
      </w:r>
      <w:r w:rsidR="00777DCB" w:rsidRPr="00A52585">
        <w:rPr>
          <w:rFonts w:hint="cs"/>
          <w:rtl/>
        </w:rPr>
        <w:t xml:space="preserve"> ((هُوَ الْقَاهِرُ فَوْقَ عِبَادِهِ وَيُرْسِلُ عَلَيْكُم حَفَظَةً)</w:t>
      </w:r>
      <w:r w:rsidRPr="00A52585">
        <w:rPr>
          <w:rFonts w:hint="cs"/>
          <w:rtl/>
        </w:rPr>
        <w:t xml:space="preserve"> </w:t>
      </w:r>
      <w:r w:rsidR="00777DCB" w:rsidRPr="00A52585">
        <w:rPr>
          <w:rFonts w:hint="cs"/>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 {يد الله فوق أيديهم} (الفتح: 10) ومما يؤكد أن المراد ذلك أن قوله: {وهو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 الأول: إنه قهار للعدم بالتكوين والإيجاد، 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 والنهار بالليل والليل بالنهار. وتمام تقريره في قوله: {قل اللهم مالك الملك تؤتي الملك من تشاء وتنزع الملك ممن تشاء وتعز من تشاء وتذل من تشاء} (آل عمران: 26)</w:t>
      </w:r>
      <w:r w:rsidR="00DB731D" w:rsidRPr="00A52585">
        <w:rPr>
          <w:rFonts w:hint="cs"/>
          <w:rtl/>
        </w:rPr>
        <w:t>،</w:t>
      </w:r>
      <w:r w:rsidR="00777DCB" w:rsidRPr="00A52585">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w:t>
      </w:r>
      <w:proofErr w:type="spellStart"/>
      <w:r w:rsidR="00777DCB" w:rsidRPr="00A52585">
        <w:rPr>
          <w:rFonts w:hint="cs"/>
          <w:rtl/>
        </w:rPr>
        <w:t>بالمقهورية</w:t>
      </w:r>
      <w:proofErr w:type="spellEnd"/>
      <w:r w:rsidR="00777DCB" w:rsidRPr="00A52585">
        <w:rPr>
          <w:rFonts w:hint="cs"/>
          <w:rtl/>
        </w:rPr>
        <w:t xml:space="preserve"> والعجز والنقصان، وحصول هذه الصفات في الممكنات يدل على أن لها مدبرا ًقادراً قاهراً منزهاً عن الضد والند، مقدساً عن الشبيه والشكل. كما قال: {وهو القاهر فوق عباده} والرابع: أن هذا</w:t>
      </w:r>
      <w:r w:rsidRPr="00A52585">
        <w:rPr>
          <w:rFonts w:hint="cs"/>
          <w:rtl/>
        </w:rPr>
        <w:t xml:space="preserve"> </w:t>
      </w:r>
      <w:r w:rsidR="00777DCB" w:rsidRPr="00A52585">
        <w:rPr>
          <w:rFonts w:hint="cs"/>
          <w:rtl/>
        </w:rPr>
        <w:t xml:space="preserve">البدن مؤلف من الطبائع الأربع. وهي متنافرة متباغضة متباعدة بالطبع والخاصة فاجتماعها لا بد وأن يكون بقسر قاسر وأخطأ من قال إن ذلك </w:t>
      </w:r>
      <w:proofErr w:type="spellStart"/>
      <w:r w:rsidR="00777DCB" w:rsidRPr="00A52585">
        <w:rPr>
          <w:rFonts w:hint="cs"/>
          <w:rtl/>
        </w:rPr>
        <w:t>القاسر</w:t>
      </w:r>
      <w:proofErr w:type="spellEnd"/>
      <w:r w:rsidR="00777DCB" w:rsidRPr="00A52585">
        <w:rPr>
          <w:rFonts w:hint="cs"/>
          <w:rtl/>
        </w:rPr>
        <w:t xml:space="preserve">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sidRPr="00A52585">
        <w:rPr>
          <w:rFonts w:hint="cs"/>
          <w:rtl/>
        </w:rPr>
        <w:t xml:space="preserve"> </w:t>
      </w:r>
      <w:r w:rsidR="00777DCB" w:rsidRPr="00A52585">
        <w:rPr>
          <w:rFonts w:hint="cs"/>
          <w:rtl/>
        </w:rPr>
        <w:lastRenderedPageBreak/>
        <w:t>الاجتماع. فثبت أن القاهر لهذه الطبائع على الاجتماع ليس إلا الله تعالى، كما قال: {وهو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sidRPr="00A52585">
        <w:rPr>
          <w:rFonts w:hint="cs"/>
          <w:rtl/>
        </w:rPr>
        <w:t xml:space="preserve"> </w:t>
      </w:r>
      <w:r w:rsidR="00777DCB" w:rsidRPr="00A52585">
        <w:rPr>
          <w:rFonts w:hint="cs"/>
          <w:rtl/>
        </w:rPr>
        <w:t xml:space="preserve">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والعلويات والسفليات والذوات والصفات كلها مقهورة تحت قهر الله مسخرة تحت تسخير الله تعالى، كما قال: {وهو القاهر </w:t>
      </w:r>
      <w:proofErr w:type="spellStart"/>
      <w:r w:rsidR="00777DCB" w:rsidRPr="00A52585">
        <w:rPr>
          <w:rFonts w:hint="cs"/>
          <w:rtl/>
        </w:rPr>
        <w:t>القاهر</w:t>
      </w:r>
      <w:proofErr w:type="spellEnd"/>
      <w:r w:rsidR="00777DCB" w:rsidRPr="00A52585">
        <w:rPr>
          <w:rFonts w:hint="cs"/>
          <w:rtl/>
        </w:rPr>
        <w:t xml:space="preserve"> فوق عباده}.</w:t>
      </w:r>
    </w:p>
    <w:p w14:paraId="10ED83B6" w14:textId="4F49E58B" w:rsidR="00777DCB" w:rsidRPr="00A52585" w:rsidRDefault="0002035C" w:rsidP="0002035C">
      <w:pPr>
        <w:rPr>
          <w:rtl/>
        </w:rPr>
      </w:pPr>
      <w:r w:rsidRPr="00A52585">
        <w:rPr>
          <w:rFonts w:hint="cs"/>
          <w:bCs/>
          <w:rtl/>
        </w:rPr>
        <w:t>(</w:t>
      </w:r>
      <w:r w:rsidR="00777DCB" w:rsidRPr="00A52585">
        <w:rPr>
          <w:rFonts w:hint="cs"/>
          <w:bCs/>
          <w:rtl/>
        </w:rPr>
        <w:t>5</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الثالث</w:t>
      </w:r>
      <w:r w:rsidRPr="00A52585">
        <w:rPr>
          <w:rFonts w:hint="cs"/>
          <w:bCs/>
          <w:rtl/>
        </w:rPr>
        <w:t xml:space="preserve">: </w:t>
      </w:r>
      <w:r w:rsidR="00777DCB" w:rsidRPr="00A52585">
        <w:rPr>
          <w:rFonts w:hint="cs"/>
          <w:bCs/>
          <w:rtl/>
        </w:rPr>
        <w:t>التصريح بالعروج</w:t>
      </w:r>
      <w:r w:rsidRPr="00A52585">
        <w:rPr>
          <w:rFonts w:hint="cs"/>
          <w:bCs/>
          <w:rtl/>
        </w:rPr>
        <w:t xml:space="preserve"> </w:t>
      </w:r>
      <w:r w:rsidR="00777DCB" w:rsidRPr="00A52585">
        <w:rPr>
          <w:rFonts w:hint="cs"/>
          <w:bCs/>
          <w:rtl/>
        </w:rPr>
        <w:t>إلى الله تعالى</w:t>
      </w:r>
      <w:r w:rsidR="00DB731D" w:rsidRPr="00A52585">
        <w:rPr>
          <w:rFonts w:hint="cs"/>
          <w:bCs/>
          <w:rtl/>
        </w:rPr>
        <w:t>،</w:t>
      </w:r>
      <w:r w:rsidR="00777DCB" w:rsidRPr="00A52585">
        <w:rPr>
          <w:rFonts w:hint="cs"/>
          <w:bCs/>
          <w:rtl/>
        </w:rPr>
        <w:t xml:space="preserve"> كما في 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rPr>
        <w:t xml:space="preserve">تَعْرُجُ الْمَلائِكَةُ وَالرُّوحُ إِلَيْهِ} </w:t>
      </w:r>
      <w:r w:rsidRPr="00A52585">
        <w:rPr>
          <w:rFonts w:hint="cs"/>
          <w:bCs/>
          <w:rtl/>
        </w:rPr>
        <w:t>[</w:t>
      </w:r>
      <w:r w:rsidR="00777DCB" w:rsidRPr="00A52585">
        <w:rPr>
          <w:rFonts w:hint="cs"/>
          <w:bCs/>
          <w:rtl/>
        </w:rPr>
        <w:t>المعارج</w:t>
      </w:r>
      <w:r w:rsidRPr="00A52585">
        <w:rPr>
          <w:rFonts w:hint="cs"/>
          <w:bCs/>
          <w:rtl/>
        </w:rPr>
        <w:t>:</w:t>
      </w:r>
      <w:r w:rsidR="00777DCB" w:rsidRPr="00A52585">
        <w:rPr>
          <w:rFonts w:hint="cs"/>
          <w:bCs/>
          <w:rtl/>
        </w:rPr>
        <w:t xml:space="preserve"> 4</w:t>
      </w:r>
      <w:r w:rsidRPr="00A52585">
        <w:rPr>
          <w:rFonts w:hint="cs"/>
          <w:bCs/>
          <w:rtl/>
        </w:rPr>
        <w:t>]</w:t>
      </w:r>
      <w:r w:rsidR="00DB731D" w:rsidRPr="00A52585">
        <w:rPr>
          <w:rFonts w:hint="cs"/>
          <w:bCs/>
          <w:rtl/>
          <w:lang w:bidi="ar-KW"/>
        </w:rPr>
        <w:t>،</w:t>
      </w:r>
      <w:r w:rsidR="00777DCB" w:rsidRPr="00A52585">
        <w:rPr>
          <w:rFonts w:hint="cs"/>
          <w:rtl/>
          <w:lang w:bidi="ar-KW"/>
        </w:rPr>
        <w:t xml:space="preserve"> قوله تعالى</w:t>
      </w:r>
      <w:r w:rsidRPr="00A52585">
        <w:rPr>
          <w:rFonts w:hint="cs"/>
          <w:rtl/>
          <w:lang w:bidi="ar-KW"/>
        </w:rPr>
        <w:t>:{</w:t>
      </w:r>
      <w:r w:rsidR="00777DCB" w:rsidRPr="00A52585">
        <w:rPr>
          <w:rFonts w:hint="cs"/>
          <w:rtl/>
        </w:rPr>
        <w:t>مِنَ اللَّهِ ذِي الْمَعَارِجِ * تَعْرُجُ الْمَلَائِكَةُ وَالرُّوحُ إِلَيْهِ فِي يَوْمٍ كَانَ مِقْدَارُهُ خَمْسِينَ أَلْفَ سَنَةٍ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المعارج</w:t>
      </w:r>
      <w:r w:rsidRPr="00A52585">
        <w:rPr>
          <w:rFonts w:hint="cs"/>
          <w:rtl/>
        </w:rPr>
        <w:t>:</w:t>
      </w:r>
      <w:r w:rsidR="00777DCB" w:rsidRPr="00A52585">
        <w:rPr>
          <w:rFonts w:hint="cs"/>
          <w:rtl/>
        </w:rPr>
        <w:t xml:space="preserve"> 3</w:t>
      </w:r>
      <w:r w:rsidR="00DB731D"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فعند حمل متشابه المعاني على محكمها نجد أنّ معنى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اللَّهِ ذِي الْمَعَارِجِ</w:t>
      </w:r>
      <w:r w:rsidRPr="00A52585">
        <w:rPr>
          <w:rFonts w:hint="cs"/>
          <w:rtl/>
        </w:rPr>
        <w:t>}</w:t>
      </w:r>
      <w:r w:rsidR="00777DCB" w:rsidRPr="00A52585">
        <w:rPr>
          <w:rFonts w:hint="cs"/>
          <w:rtl/>
        </w:rPr>
        <w:t xml:space="preserve"> أي من الله تعالى ذي الفواضل والنعم والدرجات التي يمنحها للطائعين من عباده</w:t>
      </w:r>
      <w:r w:rsidR="00DB731D" w:rsidRPr="00A52585">
        <w:rPr>
          <w:rFonts w:hint="cs"/>
          <w:rtl/>
        </w:rPr>
        <w:t>،</w:t>
      </w:r>
      <w:r w:rsidR="00777DCB" w:rsidRPr="00A52585">
        <w:rPr>
          <w:rFonts w:hint="cs"/>
          <w:rtl/>
        </w:rPr>
        <w:t xml:space="preserve"> وقد يكون معناه من الله تعالى ذي العظمة والعلاء</w:t>
      </w:r>
      <w:r w:rsidR="00DB731D" w:rsidRPr="00A52585">
        <w:rPr>
          <w:rFonts w:hint="cs"/>
          <w:rtl/>
        </w:rPr>
        <w:t>،</w:t>
      </w:r>
      <w:r w:rsidRPr="00A52585">
        <w:rPr>
          <w:rFonts w:hint="cs"/>
          <w:rtl/>
        </w:rPr>
        <w:t xml:space="preserve"> </w:t>
      </w:r>
      <w:r w:rsidR="00777DCB" w:rsidRPr="00A52585">
        <w:rPr>
          <w:rFonts w:hint="cs"/>
          <w:rtl/>
        </w:rPr>
        <w:t>قال الطبري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وقوله </w:t>
      </w:r>
      <w:r w:rsidRPr="00A52585">
        <w:rPr>
          <w:rFonts w:hint="cs"/>
          <w:rtl/>
        </w:rPr>
        <w:t>{</w:t>
      </w:r>
      <w:r w:rsidR="00777DCB" w:rsidRPr="00A52585">
        <w:rPr>
          <w:rFonts w:hint="cs"/>
          <w:rtl/>
        </w:rPr>
        <w:t>ذي المعارج</w:t>
      </w:r>
      <w:r w:rsidRPr="00A52585">
        <w:rPr>
          <w:rFonts w:hint="cs"/>
          <w:rtl/>
        </w:rPr>
        <w:t>}</w:t>
      </w:r>
      <w:r w:rsidR="00777DCB" w:rsidRPr="00A52585">
        <w:rPr>
          <w:rFonts w:hint="cs"/>
          <w:rtl/>
        </w:rPr>
        <w:t xml:space="preserve"> يعني ذا العلو والدرجات والفواضل والنعم</w:t>
      </w:r>
      <w:r w:rsidRPr="00A52585">
        <w:rPr>
          <w:rFonts w:hint="cs"/>
          <w:rtl/>
        </w:rPr>
        <w:t xml:space="preserve"> </w:t>
      </w:r>
      <w:r w:rsidR="00777DCB" w:rsidRPr="00A52585">
        <w:rPr>
          <w:rFonts w:hint="cs"/>
          <w:rtl/>
        </w:rPr>
        <w:t>وبنحو الذي قلنا في ذلك قال أهل التأويل</w:t>
      </w:r>
      <w:r w:rsidRPr="00A52585">
        <w:rPr>
          <w:rFonts w:hint="cs"/>
          <w:rtl/>
        </w:rPr>
        <w:t xml:space="preserve"> </w:t>
      </w:r>
      <w:r w:rsidR="00777DCB" w:rsidRPr="00A52585">
        <w:rPr>
          <w:rFonts w:hint="cs"/>
          <w:rtl/>
        </w:rPr>
        <w:t>ذكر من قال ذلك حدثني علي قال ثنا أبو صالح قال ثني معاوية عن علي عن ابن عباس في قوله</w:t>
      </w:r>
      <w:r w:rsidRPr="00A52585">
        <w:rPr>
          <w:rFonts w:hint="cs"/>
          <w:rtl/>
        </w:rPr>
        <w:t xml:space="preserve"> </w:t>
      </w:r>
      <w:r w:rsidR="00777DCB" w:rsidRPr="00A52585">
        <w:rPr>
          <w:rFonts w:hint="cs"/>
          <w:rtl/>
        </w:rPr>
        <w:t>ذي المعارج</w:t>
      </w:r>
      <w:r w:rsidRPr="00A52585">
        <w:rPr>
          <w:rFonts w:hint="cs"/>
          <w:rtl/>
        </w:rPr>
        <w:t xml:space="preserve"> </w:t>
      </w:r>
      <w:r w:rsidR="00777DCB" w:rsidRPr="00A52585">
        <w:rPr>
          <w:rFonts w:hint="cs"/>
          <w:rtl/>
        </w:rPr>
        <w:t>يقول العلو والفواضل</w:t>
      </w:r>
      <w:r w:rsidRPr="00A52585">
        <w:rPr>
          <w:rFonts w:hint="cs"/>
          <w:rtl/>
        </w:rPr>
        <w:t xml:space="preserve"> </w:t>
      </w:r>
      <w:r w:rsidR="00777DCB" w:rsidRPr="00A52585">
        <w:rPr>
          <w:rFonts w:hint="cs"/>
          <w:rtl/>
        </w:rPr>
        <w:t>حدثنا بشر قال ثنا يزيد قال ثنا سعيد عن قتادة من الله</w:t>
      </w:r>
      <w:r w:rsidRPr="00A52585">
        <w:rPr>
          <w:rFonts w:hint="cs"/>
          <w:rtl/>
        </w:rPr>
        <w:t xml:space="preserve"> </w:t>
      </w:r>
      <w:r w:rsidR="00777DCB" w:rsidRPr="00A52585">
        <w:rPr>
          <w:rFonts w:hint="cs"/>
          <w:rtl/>
        </w:rPr>
        <w:t>ذي المعارج</w:t>
      </w:r>
      <w:r w:rsidRPr="00A52585">
        <w:rPr>
          <w:rFonts w:hint="cs"/>
          <w:rtl/>
        </w:rPr>
        <w:t xml:space="preserve"> </w:t>
      </w:r>
      <w:r w:rsidR="00777DCB" w:rsidRPr="00A52585">
        <w:rPr>
          <w:rFonts w:hint="cs"/>
          <w:rtl/>
        </w:rPr>
        <w:t>ذي الفواضل والنعم</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الطبري ج: 29 ص: 70</w:t>
      </w:r>
      <w:r w:rsidRPr="00A52585">
        <w:rPr>
          <w:rFonts w:hint="cs"/>
          <w:rtl/>
        </w:rPr>
        <w:t>]</w:t>
      </w:r>
      <w:r w:rsidR="00DB731D" w:rsidRPr="00A52585">
        <w:rPr>
          <w:rFonts w:hint="cs"/>
          <w:rtl/>
        </w:rPr>
        <w:t>،</w:t>
      </w:r>
      <w:r w:rsidR="00777DCB" w:rsidRPr="00A52585">
        <w:rPr>
          <w:rFonts w:hint="cs"/>
          <w:rtl/>
        </w:rPr>
        <w:t xml:space="preserve"> وقال القرطبي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الله ذي المعارج</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أي ذي العلو والدرجات الفواضل والنعم قاله ابن عباس وقتادة فالمعارج مراتب إنعامه على الخلق وقيل ذي العظمة والعلاء وقال مجاهد</w:t>
      </w:r>
      <w:r w:rsidRPr="00A52585">
        <w:rPr>
          <w:rFonts w:hint="cs"/>
          <w:rtl/>
        </w:rPr>
        <w:t xml:space="preserve"> </w:t>
      </w:r>
      <w:r w:rsidR="00777DCB" w:rsidRPr="00A52585">
        <w:rPr>
          <w:rFonts w:hint="cs"/>
          <w:rtl/>
        </w:rPr>
        <w:t>هي معارج السماء وقيل</w:t>
      </w:r>
      <w:r w:rsidRPr="00A52585">
        <w:rPr>
          <w:rFonts w:hint="cs"/>
          <w:rtl/>
        </w:rPr>
        <w:t xml:space="preserve"> </w:t>
      </w:r>
      <w:r w:rsidR="00777DCB" w:rsidRPr="00A52585">
        <w:rPr>
          <w:rFonts w:hint="cs"/>
          <w:rtl/>
        </w:rPr>
        <w:t>هي معارج الملائكة لأن الملائكة تعرج إلى السماء فوصف نفسه بذلك وقيل</w:t>
      </w:r>
      <w:r w:rsidRPr="00A52585">
        <w:rPr>
          <w:rFonts w:hint="cs"/>
          <w:rtl/>
        </w:rPr>
        <w:t xml:space="preserve"> </w:t>
      </w:r>
      <w:r w:rsidR="00777DCB" w:rsidRPr="00A52585">
        <w:rPr>
          <w:rFonts w:hint="cs"/>
          <w:rtl/>
        </w:rPr>
        <w:t>المعارج الغرف أي إنه ذو الغرف أي جعل لأوليائه في الجنة غرفا</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 18 ص: 281</w:t>
      </w:r>
      <w:r w:rsidRPr="00A52585">
        <w:rPr>
          <w:rFonts w:hint="cs"/>
          <w:rtl/>
        </w:rPr>
        <w:t>]</w:t>
      </w:r>
      <w:r w:rsidR="00DB731D" w:rsidRPr="00A52585">
        <w:rPr>
          <w:rFonts w:hint="cs"/>
          <w:rtl/>
        </w:rPr>
        <w:t>،</w:t>
      </w:r>
      <w:r w:rsidR="00777DCB" w:rsidRPr="00A52585">
        <w:rPr>
          <w:rFonts w:hint="cs"/>
          <w:rtl/>
        </w:rPr>
        <w:t xml:space="preserve"> وقال ابن كثير</w:t>
      </w:r>
      <w:r w:rsidRPr="00A52585">
        <w:rPr>
          <w:rFonts w:hint="cs"/>
          <w:rtl/>
        </w:rPr>
        <w:t>:</w:t>
      </w:r>
      <w:r w:rsidR="00777DCB" w:rsidRPr="00A52585">
        <w:rPr>
          <w:rFonts w:hint="cs"/>
          <w:rtl/>
        </w:rPr>
        <w:t xml:space="preserve"> (من الله</w:t>
      </w:r>
      <w:r w:rsidRPr="00A52585">
        <w:rPr>
          <w:rFonts w:hint="cs"/>
          <w:rtl/>
        </w:rPr>
        <w:t xml:space="preserve"> </w:t>
      </w:r>
      <w:r w:rsidR="00777DCB" w:rsidRPr="00A52585">
        <w:rPr>
          <w:rFonts w:hint="cs"/>
          <w:rtl/>
        </w:rPr>
        <w:t>ذي المعارج</w:t>
      </w:r>
      <w:r w:rsidRPr="00A52585">
        <w:rPr>
          <w:rFonts w:hint="cs"/>
          <w:rtl/>
        </w:rPr>
        <w:t xml:space="preserve"> </w:t>
      </w:r>
      <w:r w:rsidR="00777DCB" w:rsidRPr="00A52585">
        <w:rPr>
          <w:rFonts w:hint="cs"/>
          <w:rtl/>
        </w:rPr>
        <w:t>قال الثوري عن الأعمش عن رجل عن سعيد بن جبير عن ابن عباس في قوله تعالى</w:t>
      </w:r>
      <w:r w:rsidRPr="00A52585">
        <w:rPr>
          <w:rFonts w:hint="cs"/>
          <w:rtl/>
        </w:rPr>
        <w:t xml:space="preserve"> </w:t>
      </w:r>
      <w:r w:rsidR="00777DCB" w:rsidRPr="00A52585">
        <w:rPr>
          <w:rFonts w:hint="cs"/>
          <w:rtl/>
        </w:rPr>
        <w:t>ذي المعارج</w:t>
      </w:r>
      <w:r w:rsidRPr="00A52585">
        <w:rPr>
          <w:rFonts w:hint="cs"/>
          <w:rtl/>
        </w:rPr>
        <w:t xml:space="preserve"> </w:t>
      </w:r>
      <w:r w:rsidR="00777DCB" w:rsidRPr="00A52585">
        <w:rPr>
          <w:rFonts w:hint="cs"/>
          <w:rtl/>
        </w:rPr>
        <w:t xml:space="preserve">قال ذو الدرجات وقال علي بن أبي </w:t>
      </w:r>
      <w:r w:rsidR="00777DCB" w:rsidRPr="00A52585">
        <w:rPr>
          <w:rFonts w:hint="cs"/>
          <w:rtl/>
        </w:rPr>
        <w:lastRenderedPageBreak/>
        <w:t>طلحة عن ابن عباس</w:t>
      </w:r>
      <w:r w:rsidRPr="00A52585">
        <w:rPr>
          <w:rFonts w:hint="cs"/>
          <w:rtl/>
        </w:rPr>
        <w:t xml:space="preserve"> </w:t>
      </w:r>
      <w:r w:rsidR="00777DCB" w:rsidRPr="00A52585">
        <w:rPr>
          <w:rFonts w:hint="cs"/>
          <w:rtl/>
        </w:rPr>
        <w:t>ذي المعارج</w:t>
      </w:r>
      <w:r w:rsidRPr="00A52585">
        <w:rPr>
          <w:rFonts w:hint="cs"/>
          <w:rtl/>
        </w:rPr>
        <w:t xml:space="preserve"> </w:t>
      </w:r>
      <w:r w:rsidR="00777DCB" w:rsidRPr="00A52585">
        <w:rPr>
          <w:rFonts w:hint="cs"/>
          <w:rtl/>
        </w:rPr>
        <w:t>يعني العلو والفواضل</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ابن كثير ج: 4 ص: 419</w:t>
      </w:r>
      <w:r w:rsidRPr="00A52585">
        <w:rPr>
          <w:rFonts w:hint="cs"/>
          <w:rtl/>
        </w:rPr>
        <w:t>]</w:t>
      </w:r>
      <w:r w:rsidR="00DB731D" w:rsidRPr="00A52585">
        <w:rPr>
          <w:rFonts w:hint="cs"/>
          <w:rtl/>
        </w:rPr>
        <w:t>،</w:t>
      </w:r>
      <w:r w:rsidR="00777DCB" w:rsidRPr="00A52585">
        <w:rPr>
          <w:rFonts w:hint="cs"/>
          <w:rtl/>
        </w:rPr>
        <w:t xml:space="preserve"> أما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تَعْرُجُ الْمَلَائِكَةُ وَالرُّوحُ إِلَيْهِ فِي يَوْمٍ كَانَ مِقْدَارُهُ خَمْسِينَ أَلْفَ سَنَةٍ</w:t>
      </w:r>
      <w:r w:rsidRPr="00A52585">
        <w:rPr>
          <w:rFonts w:hint="cs"/>
          <w:rtl/>
        </w:rPr>
        <w:t>}</w:t>
      </w:r>
      <w:r w:rsidR="00DB731D" w:rsidRPr="00A52585">
        <w:rPr>
          <w:rFonts w:hint="cs"/>
          <w:rtl/>
        </w:rPr>
        <w:t>،</w:t>
      </w:r>
      <w:r w:rsidR="00777DCB" w:rsidRPr="00A52585">
        <w:rPr>
          <w:rFonts w:hint="cs"/>
          <w:rtl/>
        </w:rPr>
        <w:t xml:space="preserve"> فعروج الملائكة هو صعودها من سما إلى سماء إلى محل قربته لا مكان وجوده تعالى أن </w:t>
      </w:r>
      <w:proofErr w:type="spellStart"/>
      <w:r w:rsidR="00777DCB" w:rsidRPr="00A52585">
        <w:rPr>
          <w:rFonts w:hint="cs"/>
          <w:rtl/>
        </w:rPr>
        <w:t>يحويه</w:t>
      </w:r>
      <w:proofErr w:type="spellEnd"/>
      <w:r w:rsidR="00777DCB" w:rsidRPr="00A52585">
        <w:rPr>
          <w:rFonts w:hint="cs"/>
          <w:rtl/>
        </w:rPr>
        <w:t xml:space="preserve"> مكان</w:t>
      </w:r>
      <w:r w:rsidR="00DB731D" w:rsidRPr="00A52585">
        <w:rPr>
          <w:rFonts w:hint="cs"/>
          <w:rtl/>
        </w:rPr>
        <w:t>،</w:t>
      </w:r>
      <w:r w:rsidR="00777DCB" w:rsidRPr="00A52585">
        <w:rPr>
          <w:rFonts w:hint="cs"/>
          <w:rtl/>
        </w:rPr>
        <w:t xml:space="preserve"> وقد تقدم أنّ وجوده أزلي قبل خلق المكان</w:t>
      </w:r>
      <w:r w:rsidR="00DB731D" w:rsidRPr="00A52585">
        <w:rPr>
          <w:rFonts w:hint="cs"/>
          <w:rtl/>
        </w:rPr>
        <w:t>،</w:t>
      </w:r>
      <w:r w:rsidR="00777DCB" w:rsidRPr="00A52585">
        <w:rPr>
          <w:rFonts w:hint="cs"/>
          <w:rtl/>
        </w:rPr>
        <w:t xml:space="preserve"> وأنّ المكان مخلوق محدود مهما اتسع</w:t>
      </w:r>
      <w:r w:rsidR="00DB731D" w:rsidRPr="00A52585">
        <w:rPr>
          <w:rFonts w:hint="cs"/>
          <w:rtl/>
        </w:rPr>
        <w:t>،</w:t>
      </w:r>
      <w:r w:rsidR="00777DCB" w:rsidRPr="00A52585">
        <w:rPr>
          <w:rFonts w:hint="cs"/>
          <w:rtl/>
        </w:rPr>
        <w:t xml:space="preserve"> وأنّ الله تعالى لا </w:t>
      </w:r>
      <w:proofErr w:type="spellStart"/>
      <w:r w:rsidR="00777DCB" w:rsidRPr="00A52585">
        <w:rPr>
          <w:rFonts w:hint="cs"/>
          <w:rtl/>
        </w:rPr>
        <w:t>يحويه</w:t>
      </w:r>
      <w:proofErr w:type="spellEnd"/>
      <w:r w:rsidR="00777DCB" w:rsidRPr="00A52585">
        <w:rPr>
          <w:rFonts w:hint="cs"/>
          <w:rtl/>
        </w:rPr>
        <w:t xml:space="preserve"> مكان لأنّه خالقه وخالق العرش فمن دونه</w:t>
      </w:r>
      <w:r w:rsidR="00DB731D" w:rsidRPr="00A52585">
        <w:rPr>
          <w:rFonts w:hint="cs"/>
          <w:rtl/>
        </w:rPr>
        <w:t>،</w:t>
      </w:r>
      <w:r w:rsidR="00777DCB" w:rsidRPr="00A52585">
        <w:rPr>
          <w:rFonts w:hint="cs"/>
          <w:rtl/>
        </w:rPr>
        <w:t xml:space="preserve"> قال الواحدي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تعرج الملائكة والروح يعني جبريل عليه السلام إليه إلى محل قربته وكرامته وهو السماء</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الواحدي ج: 2 ص: 1132</w:t>
      </w:r>
      <w:r w:rsidRPr="00A52585">
        <w:rPr>
          <w:rFonts w:hint="cs"/>
          <w:rtl/>
        </w:rPr>
        <w:t>]</w:t>
      </w:r>
      <w:r w:rsidR="00DB731D" w:rsidRPr="00A52585">
        <w:rPr>
          <w:rFonts w:hint="cs"/>
          <w:rtl/>
        </w:rPr>
        <w:t>،</w:t>
      </w:r>
    </w:p>
    <w:p w14:paraId="02E28D73" w14:textId="3BC6E821" w:rsidR="00777DCB" w:rsidRPr="00A52585" w:rsidRDefault="0002035C" w:rsidP="0002035C">
      <w:pPr>
        <w:spacing w:after="240"/>
        <w:rPr>
          <w:rtl/>
          <w:lang w:bidi="ar-KW"/>
        </w:rPr>
      </w:pPr>
      <w:r w:rsidRPr="00A52585">
        <w:rPr>
          <w:rFonts w:hint="cs"/>
          <w:bCs/>
          <w:rtl/>
        </w:rPr>
        <w:t>(</w:t>
      </w:r>
      <w:r w:rsidR="00777DCB" w:rsidRPr="00A52585">
        <w:rPr>
          <w:rFonts w:hint="cs"/>
          <w:bCs/>
          <w:rtl/>
        </w:rPr>
        <w:t>6</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الرابع</w:t>
      </w:r>
      <w:r w:rsidRPr="00A52585">
        <w:rPr>
          <w:rFonts w:hint="cs"/>
          <w:bCs/>
          <w:rtl/>
        </w:rPr>
        <w:t xml:space="preserve">: </w:t>
      </w:r>
      <w:r w:rsidR="00777DCB" w:rsidRPr="00A52585">
        <w:rPr>
          <w:rFonts w:hint="cs"/>
          <w:bCs/>
          <w:rtl/>
        </w:rPr>
        <w:t>التصريح بالصعود إليه</w:t>
      </w:r>
      <w:r w:rsidR="00DB731D" w:rsidRPr="00A52585">
        <w:rPr>
          <w:rFonts w:hint="cs"/>
          <w:bCs/>
          <w:rtl/>
        </w:rPr>
        <w:t>،</w:t>
      </w:r>
      <w:r w:rsidR="00777DCB" w:rsidRPr="00A52585">
        <w:rPr>
          <w:rFonts w:hint="cs"/>
          <w:bCs/>
          <w:rtl/>
        </w:rPr>
        <w:t xml:space="preserve"> كما في 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rPr>
        <w:t xml:space="preserve">إِلَيْهِ يَصْعَدُ الْكَلِمُ الطَّيِّبُ} </w:t>
      </w:r>
      <w:r w:rsidRPr="00A52585">
        <w:rPr>
          <w:rFonts w:hint="cs"/>
          <w:bCs/>
          <w:rtl/>
        </w:rPr>
        <w:t>[</w:t>
      </w:r>
      <w:r w:rsidR="00777DCB" w:rsidRPr="00A52585">
        <w:rPr>
          <w:rFonts w:hint="cs"/>
          <w:bCs/>
          <w:rtl/>
        </w:rPr>
        <w:t>فاطر</w:t>
      </w:r>
      <w:r w:rsidRPr="00A52585">
        <w:rPr>
          <w:rFonts w:hint="cs"/>
          <w:bCs/>
          <w:rtl/>
        </w:rPr>
        <w:t>:</w:t>
      </w:r>
      <w:r w:rsidR="00777DCB" w:rsidRPr="00A52585">
        <w:rPr>
          <w:rFonts w:hint="cs"/>
          <w:bCs/>
          <w:rtl/>
        </w:rPr>
        <w:t xml:space="preserve"> 10</w:t>
      </w:r>
      <w:r w:rsidRPr="00A52585">
        <w:rPr>
          <w:rFonts w:hint="cs"/>
          <w:bCs/>
          <w:rtl/>
        </w:rPr>
        <w:t>]</w:t>
      </w:r>
      <w:r w:rsidR="00DB731D" w:rsidRPr="00A52585">
        <w:rPr>
          <w:rFonts w:hint="cs"/>
          <w:rtl/>
        </w:rPr>
        <w:t>،</w:t>
      </w:r>
      <w:r w:rsidR="00777DCB" w:rsidRPr="00A52585">
        <w:rPr>
          <w:rFonts w:hint="cs"/>
          <w:rtl/>
          <w:lang w:bidi="ar-KW"/>
        </w:rPr>
        <w:t xml:space="preserve"> 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إِلَيْهِ يَصْعَدُ الْكَلِمُ الطَّيِّبُ وَالْعَمَلُ الصَّالِحُ يَرْفَعُهُ وَالَّذِينَ يَمْكُرُونَ السَّيِّئَاتِ لَهُمْ عَذَابٌ شَدِيدٌ وَمَكْرُ أُولَئِكَ هُوَ يَبُورُ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فاطر</w:t>
      </w:r>
      <w:r w:rsidRPr="00A52585">
        <w:rPr>
          <w:rFonts w:hint="cs"/>
          <w:rtl/>
        </w:rPr>
        <w:t>:</w:t>
      </w:r>
      <w:r w:rsidR="00777DCB" w:rsidRPr="00A52585">
        <w:rPr>
          <w:rFonts w:hint="cs"/>
          <w:rtl/>
        </w:rPr>
        <w:t xml:space="preserve"> 10</w:t>
      </w:r>
      <w:r w:rsidRPr="00A52585">
        <w:rPr>
          <w:rFonts w:hint="cs"/>
          <w:rtl/>
        </w:rPr>
        <w:t>]</w:t>
      </w:r>
      <w:r w:rsidR="00DB731D"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rPr>
        <w:t>إِلَيْهِ يَصْعَدُ الْكَلِمُ الطَّيِّبُ</w:t>
      </w:r>
      <w:r w:rsidRPr="00A52585">
        <w:rPr>
          <w:rFonts w:hint="cs"/>
          <w:rtl/>
        </w:rPr>
        <w:t>}</w:t>
      </w:r>
      <w:r w:rsidR="00777DCB" w:rsidRPr="00A52585">
        <w:rPr>
          <w:rFonts w:hint="cs"/>
          <w:rtl/>
        </w:rPr>
        <w:t xml:space="preserve"> مجاز عن قبول الأعمال الصالحة لأنّ الله تعالى طيب لا يقبل إلا طيبا</w:t>
      </w:r>
      <w:r w:rsidR="00DB731D" w:rsidRPr="00A52585">
        <w:rPr>
          <w:rFonts w:hint="cs"/>
          <w:rtl/>
        </w:rPr>
        <w:t>،</w:t>
      </w:r>
      <w:r w:rsidR="00777DCB" w:rsidRPr="00A52585">
        <w:rPr>
          <w:rFonts w:hint="cs"/>
          <w:rtl/>
        </w:rPr>
        <w:t xml:space="preserve"> فهو يقبل الكلم الطيب</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وَالْعَمَلُ الصَّالِحُ يَرْفَعُهُ</w:t>
      </w:r>
      <w:r w:rsidRPr="00A52585">
        <w:rPr>
          <w:rFonts w:hint="cs"/>
          <w:rtl/>
        </w:rPr>
        <w:t>}</w:t>
      </w:r>
      <w:r w:rsidR="00777DCB" w:rsidRPr="00A52585">
        <w:rPr>
          <w:rFonts w:hint="cs"/>
          <w:rtl/>
        </w:rPr>
        <w:t xml:space="preserve"> أي ويرفع صاحب العمل الصالح والكلم الطيب إلى عليين في جنات النعيم</w:t>
      </w:r>
      <w:r w:rsidR="00DB731D" w:rsidRPr="00A52585">
        <w:rPr>
          <w:rFonts w:hint="cs"/>
          <w:rtl/>
        </w:rPr>
        <w:t>،</w:t>
      </w:r>
      <w:r w:rsidR="00777DCB" w:rsidRPr="00A52585">
        <w:rPr>
          <w:rFonts w:hint="cs"/>
          <w:rtl/>
          <w:lang w:bidi="ar-KW"/>
        </w:rPr>
        <w:t xml:space="preserve"> </w:t>
      </w:r>
      <w:r w:rsidR="00777DCB" w:rsidRPr="00A52585">
        <w:rPr>
          <w:rFonts w:hint="cs"/>
          <w:rtl/>
        </w:rPr>
        <w:t>قال الطبري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إليه يصعد الكلم الطيب والعمل الصالح يرفعه</w:t>
      </w:r>
      <w:r w:rsidRPr="00A52585">
        <w:rPr>
          <w:rFonts w:hint="cs"/>
          <w:rtl/>
        </w:rPr>
        <w:t>}</w:t>
      </w:r>
      <w:r w:rsidR="00777DCB" w:rsidRPr="00A52585">
        <w:rPr>
          <w:rFonts w:hint="cs"/>
          <w:rtl/>
        </w:rPr>
        <w:t xml:space="preserve"> قال الحسن وقتادة لا يقبل الله قولا إلا بعمل من قال وأحسن العمل قبل الله منه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الطبري ج: 22 ص: 120</w:t>
      </w:r>
      <w:r w:rsidRPr="00A52585">
        <w:rPr>
          <w:rFonts w:hint="cs"/>
          <w:rtl/>
        </w:rPr>
        <w:t>]</w:t>
      </w:r>
      <w:r w:rsidR="00DB731D" w:rsidRPr="00A52585">
        <w:rPr>
          <w:rFonts w:hint="cs"/>
          <w:rtl/>
        </w:rPr>
        <w:t>،</w:t>
      </w:r>
      <w:r w:rsidR="00777DCB" w:rsidRPr="00A52585">
        <w:rPr>
          <w:rFonts w:hint="cs"/>
          <w:rtl/>
        </w:rPr>
        <w:t xml:space="preserve"> وقال البغوي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وعن قتادة</w:t>
      </w:r>
      <w:r w:rsidRPr="00A52585">
        <w:rPr>
          <w:rFonts w:hint="cs"/>
          <w:rtl/>
        </w:rPr>
        <w:t>:</w:t>
      </w:r>
      <w:r w:rsidR="00777DCB" w:rsidRPr="00A52585">
        <w:rPr>
          <w:rFonts w:hint="cs"/>
          <w:rtl/>
        </w:rPr>
        <w:t xml:space="preserve"> {إليه يصعد الكلم الطيب</w:t>
      </w:r>
      <w:r w:rsidRPr="00A52585">
        <w:rPr>
          <w:rFonts w:hint="cs"/>
          <w:rtl/>
        </w:rPr>
        <w:t>}</w:t>
      </w:r>
      <w:r w:rsidR="00777DCB" w:rsidRPr="00A52585">
        <w:rPr>
          <w:rFonts w:hint="cs"/>
          <w:rtl/>
        </w:rPr>
        <w:t xml:space="preserve"> أي يقبل الله الكلم الطيب</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البغوي ج: 3 ص: 566</w:t>
      </w:r>
      <w:r w:rsidRPr="00A52585">
        <w:rPr>
          <w:rFonts w:hint="cs"/>
          <w:rtl/>
        </w:rPr>
        <w:t>]</w:t>
      </w:r>
      <w:r w:rsidR="00DB731D" w:rsidRPr="00A52585">
        <w:rPr>
          <w:rFonts w:hint="cs"/>
          <w:rtl/>
        </w:rPr>
        <w:t>،</w:t>
      </w:r>
      <w:r w:rsidR="00777DCB" w:rsidRPr="00A52585">
        <w:rPr>
          <w:rFonts w:hint="cs"/>
          <w:rtl/>
        </w:rPr>
        <w:t xml:space="preserve"> وقال البيضاوي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وصعودهما إليه مجاز عن قبوله اياهما</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البيضاوي ج: 4 ص: 413</w:t>
      </w:r>
      <w:r w:rsidRPr="00A52585">
        <w:rPr>
          <w:rFonts w:hint="cs"/>
          <w:rtl/>
        </w:rPr>
        <w:t>]</w:t>
      </w:r>
      <w:r w:rsidR="00DB731D" w:rsidRPr="00A52585">
        <w:rPr>
          <w:rFonts w:hint="cs"/>
          <w:rtl/>
        </w:rPr>
        <w:t>،</w:t>
      </w:r>
      <w:r w:rsidR="00777DCB" w:rsidRPr="00A52585">
        <w:rPr>
          <w:rFonts w:hint="cs"/>
          <w:rtl/>
        </w:rPr>
        <w:t xml:space="preserve"> وقال النسفي</w:t>
      </w:r>
      <w:r w:rsidRPr="00A52585">
        <w:rPr>
          <w:rFonts w:hint="cs"/>
          <w:rtl/>
        </w:rPr>
        <w:t>:</w:t>
      </w:r>
      <w:r w:rsidR="00777DCB" w:rsidRPr="00A52585">
        <w:rPr>
          <w:rFonts w:hint="cs"/>
          <w:rtl/>
        </w:rPr>
        <w:t xml:space="preserve"> (ومعنى قوله إليه إلى محل القبول والرضا وكل ما اتصف بالقبول وصف بالرفعة والصعود أو إلى حيث لا ينفذ فيه الا حكمه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النسفي ج: 3 ص: 337</w:t>
      </w:r>
      <w:r w:rsidRPr="00A52585">
        <w:rPr>
          <w:rFonts w:hint="cs"/>
          <w:rtl/>
        </w:rPr>
        <w:t>]</w:t>
      </w:r>
      <w:r w:rsidR="00DB731D" w:rsidRPr="00A52585">
        <w:rPr>
          <w:rFonts w:hint="cs"/>
          <w:rtl/>
        </w:rPr>
        <w:t>،</w:t>
      </w:r>
      <w:r w:rsidR="00777DCB" w:rsidRPr="00A52585">
        <w:rPr>
          <w:rFonts w:hint="cs"/>
          <w:rtl/>
        </w:rPr>
        <w:t xml:space="preserve"> وقال أبو السعود</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إليه يصعد الكلم الطيب والعمل الصالح يرفعه</w:t>
      </w:r>
      <w:r w:rsidRPr="00A52585">
        <w:rPr>
          <w:rFonts w:hint="cs"/>
          <w:rtl/>
        </w:rPr>
        <w:t>}</w:t>
      </w:r>
      <w:r w:rsidR="00777DCB" w:rsidRPr="00A52585">
        <w:rPr>
          <w:rFonts w:hint="cs"/>
          <w:rtl/>
        </w:rPr>
        <w:t xml:space="preserve"> بيان لما يطلب به العزة وهو التوحيد والعمل الصالح وصعودهما إليه مجاز عن قبوله تعالى إياهما أو صعود الكتبة بصحيفتهما</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أبي السعود ج: 7 ص: 145]</w:t>
      </w:r>
      <w:r w:rsidR="00DB731D" w:rsidRPr="00A52585">
        <w:rPr>
          <w:rFonts w:hint="cs"/>
          <w:rtl/>
        </w:rPr>
        <w:t>،</w:t>
      </w:r>
      <w:r w:rsidR="00777DCB" w:rsidRPr="00A52585">
        <w:rPr>
          <w:rFonts w:hint="cs"/>
          <w:rtl/>
        </w:rPr>
        <w:t xml:space="preserve"> وقال الشوكاني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ومعنى صعوده إليه قبوله له أو صعود الكتبة من الملائكة بما يكتبونه من الصحف</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فتح القدير ج: 4 ص: 341</w:t>
      </w:r>
      <w:r w:rsidRPr="00A52585">
        <w:rPr>
          <w:rFonts w:hint="cs"/>
          <w:rtl/>
        </w:rPr>
        <w:t>]</w:t>
      </w:r>
      <w:r w:rsidR="00DB731D" w:rsidRPr="00A52585">
        <w:rPr>
          <w:rFonts w:hint="cs"/>
          <w:rtl/>
        </w:rPr>
        <w:t>،</w:t>
      </w:r>
      <w:r w:rsidR="00777DCB" w:rsidRPr="00A52585">
        <w:rPr>
          <w:rFonts w:hint="cs"/>
          <w:rtl/>
        </w:rPr>
        <w:t xml:space="preserve"> وقال ابن الجوزي</w:t>
      </w:r>
      <w:r w:rsidRPr="00A52585">
        <w:rPr>
          <w:rFonts w:hint="cs"/>
          <w:rtl/>
        </w:rPr>
        <w:t>:</w:t>
      </w:r>
      <w:r w:rsidR="00777DCB" w:rsidRPr="00A52585">
        <w:rPr>
          <w:rFonts w:hint="cs"/>
          <w:rtl/>
        </w:rPr>
        <w:t xml:space="preserve"> (فالمعنى والعمل الصالح يرفعه الله إليه أي يقبله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زاد المسير ج: 6 ص: 478</w:t>
      </w:r>
      <w:r w:rsidRPr="00A52585">
        <w:rPr>
          <w:rFonts w:hint="cs"/>
          <w:rtl/>
        </w:rPr>
        <w:t>]</w:t>
      </w:r>
      <w:r w:rsidR="00DB731D" w:rsidRPr="00A52585">
        <w:rPr>
          <w:rFonts w:hint="cs"/>
          <w:rtl/>
        </w:rPr>
        <w:t>،</w:t>
      </w:r>
      <w:r w:rsidR="00777DCB" w:rsidRPr="00A52585">
        <w:rPr>
          <w:rFonts w:hint="cs"/>
          <w:rtl/>
        </w:rPr>
        <w:t xml:space="preserve"> وفي الجلالين</w:t>
      </w:r>
      <w:r w:rsidRPr="00A52585">
        <w:rPr>
          <w:rFonts w:hint="cs"/>
          <w:rtl/>
        </w:rPr>
        <w:t>:</w:t>
      </w:r>
      <w:r w:rsidR="00777DCB" w:rsidRPr="00A52585">
        <w:rPr>
          <w:rFonts w:hint="cs"/>
          <w:rtl/>
        </w:rPr>
        <w:t xml:space="preserve"> (والعمل الصالح يرفعه</w:t>
      </w:r>
      <w:r w:rsidRPr="00A52585">
        <w:rPr>
          <w:rFonts w:hint="cs"/>
          <w:rtl/>
        </w:rPr>
        <w:t>:</w:t>
      </w:r>
      <w:r w:rsidR="00777DCB" w:rsidRPr="00A52585">
        <w:rPr>
          <w:rFonts w:hint="cs"/>
          <w:rtl/>
        </w:rPr>
        <w:t xml:space="preserve"> يقبله</w:t>
      </w:r>
      <w:r w:rsidRPr="00A52585">
        <w:rPr>
          <w:rFonts w:hint="cs"/>
          <w:rtl/>
        </w:rPr>
        <w:t>)</w:t>
      </w:r>
      <w:r w:rsidR="00777DCB" w:rsidRPr="00A52585">
        <w:rPr>
          <w:rFonts w:hint="cs"/>
          <w:rtl/>
        </w:rPr>
        <w:t xml:space="preserve"> [تفسير الجلالين ج: 1 ص: 572</w:t>
      </w:r>
      <w:r w:rsidRPr="00A52585">
        <w:rPr>
          <w:rFonts w:hint="cs"/>
          <w:rtl/>
        </w:rPr>
        <w:t>]</w:t>
      </w:r>
      <w:r w:rsidR="00DB731D" w:rsidRPr="00A52585">
        <w:rPr>
          <w:rFonts w:hint="cs"/>
          <w:rtl/>
        </w:rPr>
        <w:t>،</w:t>
      </w:r>
      <w:r w:rsidR="00777DCB" w:rsidRPr="00A52585">
        <w:rPr>
          <w:rFonts w:hint="cs"/>
          <w:rtl/>
        </w:rPr>
        <w:t xml:space="preserve"> وقال الألوسي</w:t>
      </w:r>
      <w:r w:rsidRPr="00A52585">
        <w:rPr>
          <w:rFonts w:hint="cs"/>
          <w:rtl/>
        </w:rPr>
        <w:t>:</w:t>
      </w:r>
      <w:r w:rsidR="00777DCB" w:rsidRPr="00A52585">
        <w:rPr>
          <w:rFonts w:hint="cs"/>
          <w:rtl/>
        </w:rPr>
        <w:t xml:space="preserve"> (وصعود</w:t>
      </w:r>
      <w:r w:rsidR="00777DCB" w:rsidRPr="00A52585">
        <w:rPr>
          <w:rFonts w:hint="cs"/>
        </w:rPr>
        <w:t xml:space="preserve"> </w:t>
      </w:r>
      <w:r w:rsidR="00777DCB" w:rsidRPr="00A52585">
        <w:rPr>
          <w:rFonts w:hint="cs"/>
          <w:rtl/>
        </w:rPr>
        <w:t>الكلم إليه تعالى مجاز مرسل عن قبوله بعلاقة اللزوم أو</w:t>
      </w:r>
      <w:r w:rsidR="00777DCB" w:rsidRPr="00A52585">
        <w:rPr>
          <w:rFonts w:hint="cs"/>
        </w:rPr>
        <w:t xml:space="preserve"> </w:t>
      </w:r>
      <w:proofErr w:type="spellStart"/>
      <w:r w:rsidR="00777DCB" w:rsidRPr="00A52585">
        <w:rPr>
          <w:rFonts w:hint="cs"/>
          <w:rtl/>
        </w:rPr>
        <w:t>إستعارة</w:t>
      </w:r>
      <w:proofErr w:type="spellEnd"/>
      <w:r w:rsidR="00777DCB" w:rsidRPr="00A52585">
        <w:rPr>
          <w:rFonts w:hint="cs"/>
          <w:rtl/>
        </w:rPr>
        <w:t xml:space="preserve"> بتشبيه القبول بالصعود</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روح المعاني ج: 22 ص: 174</w:t>
      </w:r>
      <w:r w:rsidRPr="00A52585">
        <w:rPr>
          <w:rFonts w:hint="cs"/>
          <w:rtl/>
        </w:rPr>
        <w:t>]</w:t>
      </w:r>
      <w:r w:rsidR="00DB731D" w:rsidRPr="00A52585">
        <w:rPr>
          <w:rFonts w:hint="cs"/>
          <w:rtl/>
        </w:rPr>
        <w:t>،</w:t>
      </w:r>
      <w:r w:rsidR="00777DCB" w:rsidRPr="00A52585">
        <w:rPr>
          <w:rFonts w:hint="cs"/>
          <w:rtl/>
        </w:rPr>
        <w:t xml:space="preserve"> </w:t>
      </w:r>
    </w:p>
    <w:p w14:paraId="48592E52" w14:textId="7AE78E60" w:rsidR="00777DCB" w:rsidRPr="00A52585" w:rsidRDefault="0002035C" w:rsidP="0002035C">
      <w:pPr>
        <w:spacing w:after="240"/>
      </w:pPr>
      <w:r w:rsidRPr="00A52585">
        <w:rPr>
          <w:rFonts w:hint="cs"/>
          <w:bCs/>
          <w:rtl/>
        </w:rPr>
        <w:lastRenderedPageBreak/>
        <w:t>(</w:t>
      </w:r>
      <w:r w:rsidR="00777DCB" w:rsidRPr="00A52585">
        <w:rPr>
          <w:rFonts w:hint="cs"/>
          <w:bCs/>
          <w:rtl/>
        </w:rPr>
        <w:t>7</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الخامس</w:t>
      </w:r>
      <w:r w:rsidRPr="00A52585">
        <w:rPr>
          <w:rFonts w:hint="cs"/>
          <w:bCs/>
          <w:rtl/>
        </w:rPr>
        <w:t xml:space="preserve">: </w:t>
      </w:r>
      <w:r w:rsidR="00777DCB" w:rsidRPr="00A52585">
        <w:rPr>
          <w:rFonts w:hint="cs"/>
          <w:bCs/>
          <w:rtl/>
        </w:rPr>
        <w:t>التصريح برفعه بعض المخلوقات إليه , كما في قوله تعالى</w:t>
      </w:r>
      <w:r w:rsidRPr="00A52585">
        <w:rPr>
          <w:rFonts w:hint="cs"/>
          <w:bCs/>
          <w:rtl/>
        </w:rPr>
        <w:t>:</w:t>
      </w:r>
      <w:r w:rsidR="00777DCB" w:rsidRPr="00A52585">
        <w:rPr>
          <w:rFonts w:hint="cs"/>
          <w:bCs/>
          <w:rtl/>
        </w:rPr>
        <w:t xml:space="preserve"> {بَلْ رَفَعَهُ اللَّهُ إِلَيْهِ} </w:t>
      </w:r>
      <w:r w:rsidRPr="00A52585">
        <w:rPr>
          <w:rFonts w:hint="cs"/>
          <w:bCs/>
          <w:rtl/>
        </w:rPr>
        <w:t>[</w:t>
      </w:r>
      <w:r w:rsidR="00777DCB" w:rsidRPr="00A52585">
        <w:rPr>
          <w:rFonts w:hint="cs"/>
          <w:bCs/>
          <w:rtl/>
        </w:rPr>
        <w:t>النساء</w:t>
      </w:r>
      <w:r w:rsidRPr="00A52585">
        <w:rPr>
          <w:rFonts w:hint="cs"/>
          <w:bCs/>
          <w:rtl/>
        </w:rPr>
        <w:t>:</w:t>
      </w:r>
      <w:r w:rsidR="00777DCB" w:rsidRPr="00A52585">
        <w:rPr>
          <w:rFonts w:hint="cs"/>
          <w:bCs/>
          <w:rtl/>
        </w:rPr>
        <w:t xml:space="preserve"> 158</w:t>
      </w:r>
      <w:r w:rsidRPr="00A52585">
        <w:rPr>
          <w:rFonts w:hint="cs"/>
          <w:bCs/>
          <w:rtl/>
        </w:rPr>
        <w:t xml:space="preserve">] </w:t>
      </w:r>
      <w:r w:rsidR="00777DCB" w:rsidRPr="00A52585">
        <w:rPr>
          <w:rFonts w:hint="cs"/>
          <w:bCs/>
          <w:rtl/>
        </w:rPr>
        <w:t>, وقوله تعالى</w:t>
      </w:r>
      <w:r w:rsidRPr="00A52585">
        <w:rPr>
          <w:rFonts w:hint="cs"/>
          <w:bCs/>
          <w:rtl/>
        </w:rPr>
        <w:t>:</w:t>
      </w:r>
      <w:r w:rsidR="00777DCB" w:rsidRPr="00A52585">
        <w:rPr>
          <w:rFonts w:hint="cs"/>
          <w:bCs/>
          <w:rtl/>
        </w:rPr>
        <w:t xml:space="preserve"> {إِذْ قَالَ اللَّهُ يَا عِيسَى إِنِّي مُتَوَفِّيكَ وَرَافِعُكَ إِلَيَّ} </w:t>
      </w:r>
      <w:r w:rsidRPr="00A52585">
        <w:rPr>
          <w:rFonts w:hint="cs"/>
          <w:bCs/>
          <w:rtl/>
        </w:rPr>
        <w:t>[</w:t>
      </w:r>
      <w:r w:rsidR="00777DCB" w:rsidRPr="00A52585">
        <w:rPr>
          <w:rFonts w:hint="cs"/>
          <w:bCs/>
          <w:rtl/>
        </w:rPr>
        <w:t>آل عمران</w:t>
      </w:r>
      <w:r w:rsidRPr="00A52585">
        <w:rPr>
          <w:rFonts w:hint="cs"/>
          <w:bCs/>
          <w:rtl/>
        </w:rPr>
        <w:t>:</w:t>
      </w:r>
      <w:r w:rsidR="00777DCB" w:rsidRPr="00A52585">
        <w:rPr>
          <w:rFonts w:hint="cs"/>
          <w:bCs/>
          <w:rtl/>
        </w:rPr>
        <w:t xml:space="preserve"> 55</w:t>
      </w:r>
      <w:r w:rsidRPr="00A52585">
        <w:rPr>
          <w:rFonts w:hint="cs"/>
          <w:bCs/>
          <w:rtl/>
        </w:rPr>
        <w:t>]</w:t>
      </w:r>
      <w:r w:rsidR="00DB731D" w:rsidRPr="00A52585">
        <w:rPr>
          <w:rFonts w:hint="cs"/>
          <w:bCs/>
          <w:rtl/>
        </w:rPr>
        <w:t>،</w:t>
      </w:r>
      <w:r w:rsidR="00777DCB" w:rsidRPr="00A52585">
        <w:rPr>
          <w:rFonts w:hint="cs"/>
          <w:bCs/>
          <w:rtl/>
          <w:lang w:bidi="ar-KW"/>
        </w:rPr>
        <w:t xml:space="preserve"> </w:t>
      </w:r>
      <w:r w:rsidR="00777DCB" w:rsidRPr="00A52585">
        <w:rPr>
          <w:rFonts w:hint="cs"/>
          <w:rtl/>
        </w:rPr>
        <w:t>والمعنى في الآيتين</w:t>
      </w:r>
      <w:r w:rsidRPr="00A52585">
        <w:rPr>
          <w:rFonts w:hint="cs"/>
          <w:rtl/>
        </w:rPr>
        <w:t>:</w:t>
      </w:r>
      <w:r w:rsidR="00777DCB" w:rsidRPr="00A52585">
        <w:rPr>
          <w:rFonts w:hint="cs"/>
          <w:rtl/>
        </w:rPr>
        <w:t xml:space="preserve"> أي إلى مكان كرامته في السماء</w:t>
      </w:r>
      <w:r w:rsidR="00DB731D" w:rsidRPr="00A52585">
        <w:rPr>
          <w:rFonts w:hint="cs"/>
          <w:rtl/>
        </w:rPr>
        <w:t>،</w:t>
      </w:r>
      <w:r w:rsidR="00777DCB" w:rsidRPr="00A52585">
        <w:rPr>
          <w:rFonts w:hint="cs"/>
          <w:rtl/>
        </w:rPr>
        <w:t xml:space="preserve"> لأنّ السماء مكان كرامة الله ورضاه لأنها مكان عبادة الملائكة الذين لا يستكبرون عن عبادة الله</w:t>
      </w:r>
      <w:r w:rsidR="00DB731D" w:rsidRPr="00A52585">
        <w:rPr>
          <w:rFonts w:hint="cs"/>
          <w:rtl/>
        </w:rPr>
        <w:t>،</w:t>
      </w:r>
      <w:r w:rsidR="00777DCB" w:rsidRPr="00A52585">
        <w:rPr>
          <w:rFonts w:hint="cs"/>
          <w:rtl/>
        </w:rPr>
        <w:t xml:space="preserve"> ولأنها منزهة عن معاصي العباد</w:t>
      </w:r>
      <w:r w:rsidR="00DB731D" w:rsidRPr="00A52585">
        <w:rPr>
          <w:rFonts w:hint="cs"/>
          <w:rtl/>
        </w:rPr>
        <w:t>،</w:t>
      </w:r>
      <w:r w:rsidR="00777DCB" w:rsidRPr="00A52585">
        <w:rPr>
          <w:rFonts w:hint="cs"/>
          <w:rtl/>
        </w:rPr>
        <w:t xml:space="preserve"> كما أنّ الله تعالى منزه عن المكان كل الأماكن إليه سواء</w:t>
      </w:r>
      <w:r w:rsidR="00DB731D" w:rsidRPr="00A52585">
        <w:rPr>
          <w:rFonts w:hint="cs"/>
          <w:rtl/>
        </w:rPr>
        <w:t>،</w:t>
      </w:r>
      <w:r w:rsidR="00777DCB" w:rsidRPr="00A52585">
        <w:rPr>
          <w:rFonts w:hint="cs"/>
          <w:rtl/>
        </w:rPr>
        <w:t xml:space="preserve"> ليس مكان منها بعيد عن الله</w:t>
      </w:r>
      <w:r w:rsidR="00DB731D" w:rsidRPr="00A52585">
        <w:rPr>
          <w:rFonts w:hint="cs"/>
          <w:rtl/>
        </w:rPr>
        <w:t>،</w:t>
      </w:r>
      <w:r w:rsidR="00777DCB" w:rsidRPr="00A52585">
        <w:rPr>
          <w:rFonts w:hint="cs"/>
          <w:rtl/>
        </w:rPr>
        <w:t xml:space="preserve"> وهو من جميع عباده قريب</w:t>
      </w:r>
      <w:r w:rsidR="00DB731D" w:rsidRPr="00A52585">
        <w:rPr>
          <w:rFonts w:hint="cs"/>
          <w:rtl/>
        </w:rPr>
        <w:t>،</w:t>
      </w:r>
      <w:r w:rsidR="00777DCB" w:rsidRPr="00A52585">
        <w:rPr>
          <w:rFonts w:hint="cs"/>
          <w:rtl/>
        </w:rPr>
        <w:t xml:space="preserve"> قال القرطبي - ولله دره -</w:t>
      </w:r>
      <w:r w:rsidRPr="00A52585">
        <w:rPr>
          <w:rFonts w:hint="cs"/>
          <w:rtl/>
        </w:rPr>
        <w:t>:</w:t>
      </w:r>
      <w:r w:rsidR="00777DCB" w:rsidRPr="00A52585">
        <w:rPr>
          <w:rFonts w:hint="cs"/>
          <w:rtl/>
        </w:rPr>
        <w:t xml:space="preserve"> (بل رفعه الله إليه</w:t>
      </w:r>
      <w:r w:rsidRPr="00A52585">
        <w:rPr>
          <w:rFonts w:hint="cs"/>
          <w:rtl/>
        </w:rPr>
        <w:t xml:space="preserve"> </w:t>
      </w:r>
      <w:r w:rsidR="00777DCB" w:rsidRPr="00A52585">
        <w:rPr>
          <w:rFonts w:hint="cs"/>
          <w:rtl/>
        </w:rPr>
        <w:t>ابتداء كلام مستأنف أي إلى السماء والله تعالى متعال عن المكان</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 6 ص: 10</w:t>
      </w:r>
      <w:r w:rsidRPr="00A52585">
        <w:rPr>
          <w:rFonts w:hint="cs"/>
          <w:rtl/>
        </w:rPr>
        <w:t>]</w:t>
      </w:r>
      <w:r w:rsidR="00DB731D" w:rsidRPr="00A52585">
        <w:rPr>
          <w:rFonts w:hint="cs"/>
          <w:rtl/>
        </w:rPr>
        <w:t>،</w:t>
      </w:r>
      <w:r w:rsidR="00777DCB" w:rsidRPr="00A52585">
        <w:rPr>
          <w:rFonts w:hint="cs"/>
          <w:rtl/>
        </w:rPr>
        <w:t xml:space="preserve"> وقال الواحدي</w:t>
      </w:r>
      <w:r w:rsidRPr="00A52585">
        <w:rPr>
          <w:rFonts w:hint="cs"/>
          <w:rtl/>
        </w:rPr>
        <w:t>:</w:t>
      </w:r>
      <w:r w:rsidR="00777DCB" w:rsidRPr="00A52585">
        <w:rPr>
          <w:rFonts w:hint="cs"/>
          <w:rtl/>
        </w:rPr>
        <w:t xml:space="preserve"> (بل رفعه الله إليه</w:t>
      </w:r>
      <w:r w:rsidRPr="00A52585">
        <w:rPr>
          <w:rFonts w:hint="cs"/>
          <w:rtl/>
        </w:rPr>
        <w:t xml:space="preserve"> </w:t>
      </w:r>
      <w:r w:rsidR="00777DCB" w:rsidRPr="00A52585">
        <w:rPr>
          <w:rFonts w:hint="cs"/>
          <w:rtl/>
        </w:rPr>
        <w:t>أي إلى الموضع الذي لا يجري لأحد سوى الله فيه حكم وكان رفعه إلى ذلك الموضع رفعا إليه لأنه رفع عن أن يجري عليه حكم أحد من العباد</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الواحدي ج: 1 ص: 301</w:t>
      </w:r>
      <w:r w:rsidRPr="00A52585">
        <w:rPr>
          <w:rFonts w:hint="cs"/>
          <w:rtl/>
        </w:rPr>
        <w:t>]</w:t>
      </w:r>
      <w:r w:rsidR="00DB731D" w:rsidRPr="00A52585">
        <w:rPr>
          <w:rFonts w:hint="cs"/>
          <w:rtl/>
        </w:rPr>
        <w:t>،</w:t>
      </w:r>
      <w:r w:rsidR="00777DCB" w:rsidRPr="00A52585">
        <w:rPr>
          <w:rFonts w:hint="cs"/>
          <w:rtl/>
        </w:rPr>
        <w:t xml:space="preserve"> وفي تفسير الثعالبي</w:t>
      </w:r>
      <w:r w:rsidRPr="00A52585">
        <w:rPr>
          <w:rFonts w:hint="cs"/>
          <w:rtl/>
        </w:rPr>
        <w:t>:</w:t>
      </w:r>
      <w:r w:rsidR="00777DCB" w:rsidRPr="00A52585">
        <w:rPr>
          <w:rFonts w:hint="cs"/>
          <w:rtl/>
        </w:rPr>
        <w:t xml:space="preserve"> (وقوله تعالى</w:t>
      </w:r>
      <w:r w:rsidRPr="00A52585">
        <w:rPr>
          <w:rFonts w:hint="cs"/>
          <w:rtl/>
        </w:rPr>
        <w:t xml:space="preserve"> </w:t>
      </w:r>
      <w:r w:rsidR="00777DCB" w:rsidRPr="00A52585">
        <w:rPr>
          <w:rFonts w:hint="cs"/>
          <w:rtl/>
        </w:rPr>
        <w:t>بل رفعه الله إليه</w:t>
      </w:r>
      <w:r w:rsidRPr="00A52585">
        <w:rPr>
          <w:rFonts w:hint="cs"/>
          <w:rtl/>
        </w:rPr>
        <w:t xml:space="preserve"> </w:t>
      </w:r>
      <w:r w:rsidR="00777DCB" w:rsidRPr="00A52585">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الثعالبي ج: 1 ص: 431</w:t>
      </w:r>
      <w:r w:rsidRPr="00A52585">
        <w:rPr>
          <w:rFonts w:hint="cs"/>
          <w:rtl/>
        </w:rPr>
        <w:t>]</w:t>
      </w:r>
      <w:r w:rsidR="00DB731D" w:rsidRPr="00A52585">
        <w:rPr>
          <w:rFonts w:hint="cs"/>
          <w:rtl/>
        </w:rPr>
        <w:t>،</w:t>
      </w:r>
      <w:r w:rsidR="00777DCB" w:rsidRPr="00A52585">
        <w:rPr>
          <w:rFonts w:hint="cs"/>
          <w:rtl/>
        </w:rPr>
        <w:t xml:space="preserve"> وقال ابن </w:t>
      </w:r>
      <w:proofErr w:type="spellStart"/>
      <w:r w:rsidR="00777DCB" w:rsidRPr="00A52585">
        <w:rPr>
          <w:rFonts w:hint="cs"/>
          <w:rtl/>
        </w:rPr>
        <w:t>جهبل</w:t>
      </w:r>
      <w:proofErr w:type="spellEnd"/>
      <w:r w:rsidR="00777DCB" w:rsidRPr="00A52585">
        <w:rPr>
          <w:rFonts w:hint="cs"/>
          <w:rtl/>
        </w:rPr>
        <w:t xml:space="preserve"> وهو يرد على المستدل بالآية على اثبات المكان لله</w:t>
      </w:r>
      <w:r w:rsidRPr="00A52585">
        <w:rPr>
          <w:rFonts w:hint="cs"/>
          <w:rtl/>
        </w:rPr>
        <w:t>:</w:t>
      </w:r>
      <w:r w:rsidR="00777DCB" w:rsidRPr="00A52585">
        <w:rPr>
          <w:rFonts w:hint="cs"/>
          <w:rtl/>
        </w:rPr>
        <w:t xml:space="preserve"> (وأتبعها</w:t>
      </w:r>
      <w:r w:rsidR="00777DCB" w:rsidRPr="00A52585">
        <w:rPr>
          <w:rFonts w:hint="cs"/>
        </w:rPr>
        <w:t xml:space="preserve"> </w:t>
      </w:r>
      <w:r w:rsidR="00777DCB" w:rsidRPr="00A52585">
        <w:rPr>
          <w:rFonts w:hint="cs"/>
          <w:rtl/>
        </w:rPr>
        <w:t>بقوله</w:t>
      </w:r>
      <w:r w:rsidR="00777DCB" w:rsidRPr="00A52585">
        <w:rPr>
          <w:rFonts w:hint="cs"/>
        </w:rPr>
        <w:t xml:space="preserve"> </w:t>
      </w:r>
      <w:r w:rsidR="00777DCB" w:rsidRPr="00A52585">
        <w:rPr>
          <w:rFonts w:hint="cs"/>
          <w:rtl/>
        </w:rPr>
        <w:t>تعالى إني متوفيك ورافعك إلي وما أدري من أين</w:t>
      </w:r>
      <w:r w:rsidR="00777DCB" w:rsidRPr="00A52585">
        <w:rPr>
          <w:rFonts w:hint="cs"/>
        </w:rPr>
        <w:t xml:space="preserve"> </w:t>
      </w:r>
      <w:r w:rsidR="00777DCB" w:rsidRPr="00A52585">
        <w:rPr>
          <w:rFonts w:hint="cs"/>
          <w:rtl/>
        </w:rPr>
        <w:t>استنبط</w:t>
      </w:r>
      <w:r w:rsidR="00777DCB" w:rsidRPr="00A52585">
        <w:rPr>
          <w:rFonts w:hint="cs"/>
        </w:rPr>
        <w:t xml:space="preserve"> </w:t>
      </w:r>
      <w:r w:rsidR="00777DCB" w:rsidRPr="00A52585">
        <w:rPr>
          <w:rFonts w:hint="cs"/>
          <w:rtl/>
        </w:rPr>
        <w:t>من هذا الخبر أن الله تعالى فوق العرش من هذه</w:t>
      </w:r>
      <w:r w:rsidR="00777DCB" w:rsidRPr="00A52585">
        <w:rPr>
          <w:rFonts w:hint="cs"/>
        </w:rPr>
        <w:t xml:space="preserve"> </w:t>
      </w:r>
      <w:r w:rsidR="00777DCB" w:rsidRPr="00A52585">
        <w:rPr>
          <w:rFonts w:hint="cs"/>
          <w:rtl/>
        </w:rPr>
        <w:t>الآية هل ذلك بدلالة المطابقة</w:t>
      </w:r>
      <w:r w:rsidR="00777DCB" w:rsidRPr="00A52585">
        <w:rPr>
          <w:rFonts w:hint="cs"/>
        </w:rPr>
        <w:t xml:space="preserve"> </w:t>
      </w:r>
      <w:r w:rsidR="00777DCB" w:rsidRPr="00A52585">
        <w:rPr>
          <w:rFonts w:hint="cs"/>
          <w:rtl/>
        </w:rPr>
        <w:t>أو</w:t>
      </w:r>
      <w:r w:rsidR="00777DCB" w:rsidRPr="00A52585">
        <w:rPr>
          <w:rFonts w:hint="cs"/>
        </w:rPr>
        <w:t xml:space="preserve"> </w:t>
      </w:r>
      <w:r w:rsidR="00777DCB" w:rsidRPr="00A52585">
        <w:rPr>
          <w:rFonts w:hint="cs"/>
          <w:rtl/>
        </w:rPr>
        <w:t>التضمن أو الالتزام أو هو شيء أخذه بطريق الكشف والنفث</w:t>
      </w:r>
      <w:r w:rsidR="00777DCB" w:rsidRPr="00A52585">
        <w:rPr>
          <w:rFonts w:hint="cs"/>
        </w:rPr>
        <w:t xml:space="preserve"> </w:t>
      </w:r>
      <w:r w:rsidR="00777DCB" w:rsidRPr="00A52585">
        <w:rPr>
          <w:rFonts w:hint="cs"/>
          <w:rtl/>
        </w:rPr>
        <w:t>في الروع ولعله اعتقد</w:t>
      </w:r>
      <w:r w:rsidR="00777DCB" w:rsidRPr="00A52585">
        <w:rPr>
          <w:rFonts w:hint="cs"/>
        </w:rPr>
        <w:t xml:space="preserve"> </w:t>
      </w:r>
      <w:r w:rsidR="00777DCB" w:rsidRPr="00A52585">
        <w:rPr>
          <w:rFonts w:hint="cs"/>
          <w:rtl/>
        </w:rPr>
        <w:t>أن</w:t>
      </w:r>
      <w:r w:rsidR="00777DCB" w:rsidRPr="00A52585">
        <w:rPr>
          <w:rFonts w:hint="cs"/>
        </w:rPr>
        <w:t xml:space="preserve"> </w:t>
      </w:r>
      <w:r w:rsidR="00777DCB" w:rsidRPr="00A52585">
        <w:rPr>
          <w:rFonts w:hint="cs"/>
          <w:rtl/>
        </w:rPr>
        <w:t>الرفع إنما يكون في العلو في الجهة فإن كان كما خطر له</w:t>
      </w:r>
      <w:r w:rsidR="00777DCB" w:rsidRPr="00A52585">
        <w:rPr>
          <w:rFonts w:hint="cs"/>
        </w:rPr>
        <w:t xml:space="preserve"> </w:t>
      </w:r>
      <w:r w:rsidR="00777DCB" w:rsidRPr="00A52585">
        <w:rPr>
          <w:rFonts w:hint="cs"/>
          <w:rtl/>
        </w:rPr>
        <w:t>فذاك أيضا لا يعقل إلا</w:t>
      </w:r>
      <w:r w:rsidR="00777DCB" w:rsidRPr="00A52585">
        <w:rPr>
          <w:rFonts w:hint="cs"/>
        </w:rPr>
        <w:t xml:space="preserve"> </w:t>
      </w:r>
      <w:r w:rsidR="00777DCB" w:rsidRPr="00A52585">
        <w:rPr>
          <w:rFonts w:hint="cs"/>
          <w:rtl/>
        </w:rPr>
        <w:t>في</w:t>
      </w:r>
      <w:r w:rsidR="00777DCB" w:rsidRPr="00A52585">
        <w:rPr>
          <w:rFonts w:hint="cs"/>
        </w:rPr>
        <w:t xml:space="preserve"> </w:t>
      </w:r>
      <w:r w:rsidR="00777DCB" w:rsidRPr="00A52585">
        <w:rPr>
          <w:rFonts w:hint="cs"/>
          <w:rtl/>
        </w:rPr>
        <w:t>الجسمية والحدية وإن لم يقل بهما فلا حقيقة فيما استدل</w:t>
      </w:r>
      <w:r w:rsidR="00777DCB" w:rsidRPr="00A52585">
        <w:rPr>
          <w:rFonts w:hint="cs"/>
        </w:rPr>
        <w:t xml:space="preserve"> </w:t>
      </w:r>
      <w:r w:rsidR="00777DCB" w:rsidRPr="00A52585">
        <w:rPr>
          <w:rFonts w:hint="cs"/>
          <w:rtl/>
        </w:rPr>
        <w:t>به وإن قال بهما فلا حاجة</w:t>
      </w:r>
      <w:r w:rsidR="00777DCB" w:rsidRPr="00A52585">
        <w:rPr>
          <w:rFonts w:hint="cs"/>
        </w:rPr>
        <w:t xml:space="preserve"> </w:t>
      </w:r>
      <w:r w:rsidR="00777DCB" w:rsidRPr="00A52585">
        <w:rPr>
          <w:rFonts w:hint="cs"/>
          <w:rtl/>
        </w:rPr>
        <w:t>إلى</w:t>
      </w:r>
      <w:r w:rsidR="00777DCB" w:rsidRPr="00A52585">
        <w:rPr>
          <w:rFonts w:hint="cs"/>
        </w:rPr>
        <w:t xml:space="preserve"> </w:t>
      </w:r>
      <w:r w:rsidR="00777DCB" w:rsidRPr="00A52585">
        <w:rPr>
          <w:rFonts w:hint="cs"/>
          <w:rtl/>
        </w:rPr>
        <w:t>المغالطة ولعله لم يسمع الرفع في المرتبة والتقريب في</w:t>
      </w:r>
      <w:r w:rsidR="00777DCB" w:rsidRPr="00A52585">
        <w:rPr>
          <w:rFonts w:hint="cs"/>
        </w:rPr>
        <w:t xml:space="preserve"> </w:t>
      </w:r>
      <w:r w:rsidR="00777DCB" w:rsidRPr="00A52585">
        <w:rPr>
          <w:rFonts w:hint="cs"/>
          <w:rtl/>
        </w:rPr>
        <w:t>المكانة من استعمال العرب</w:t>
      </w:r>
      <w:r w:rsidR="00777DCB" w:rsidRPr="00A52585">
        <w:rPr>
          <w:rFonts w:hint="cs"/>
        </w:rPr>
        <w:t xml:space="preserve"> </w:t>
      </w:r>
      <w:r w:rsidR="00777DCB" w:rsidRPr="00A52585">
        <w:rPr>
          <w:rFonts w:hint="cs"/>
          <w:rtl/>
        </w:rPr>
        <w:t>والعرف</w:t>
      </w:r>
      <w:r w:rsidR="00777DCB" w:rsidRPr="00A52585">
        <w:rPr>
          <w:rFonts w:hint="cs"/>
        </w:rPr>
        <w:t xml:space="preserve"> </w:t>
      </w:r>
      <w:r w:rsidR="00777DCB" w:rsidRPr="00A52585">
        <w:rPr>
          <w:rFonts w:hint="cs"/>
          <w:rtl/>
        </w:rPr>
        <w:t>ولا فلان رفع الله شأنه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طبقات الشافعية الكبرى ج: 9 ص: 46</w:t>
      </w:r>
      <w:r w:rsidRPr="00A52585">
        <w:rPr>
          <w:rFonts w:hint="cs"/>
          <w:rtl/>
        </w:rPr>
        <w:t>]</w:t>
      </w:r>
      <w:r w:rsidR="00DB731D" w:rsidRPr="00A52585">
        <w:rPr>
          <w:rFonts w:hint="cs"/>
          <w:rtl/>
        </w:rPr>
        <w:t>،</w:t>
      </w:r>
      <w:r w:rsidR="00777DCB" w:rsidRPr="00A52585">
        <w:rPr>
          <w:rFonts w:hint="cs"/>
          <w:rtl/>
        </w:rPr>
        <w:t xml:space="preserve"> </w:t>
      </w:r>
    </w:p>
    <w:p w14:paraId="2052ECD0" w14:textId="2C854226" w:rsidR="00777DCB" w:rsidRPr="00A52585" w:rsidRDefault="0002035C" w:rsidP="0002035C">
      <w:pPr>
        <w:shd w:val="clear" w:color="auto" w:fill="FFFFFF"/>
        <w:spacing w:before="100" w:beforeAutospacing="1" w:after="100" w:afterAutospacing="1"/>
        <w:rPr>
          <w:rFonts w:eastAsia="Times New Roman"/>
          <w:bCs/>
          <w:rtl/>
        </w:rPr>
      </w:pPr>
      <w:r w:rsidRPr="00A52585">
        <w:rPr>
          <w:rFonts w:eastAsia="Times New Roman"/>
          <w:bCs/>
          <w:rtl/>
        </w:rPr>
        <w:t>(</w:t>
      </w:r>
      <w:r w:rsidR="00777DCB" w:rsidRPr="00A52585">
        <w:rPr>
          <w:rFonts w:eastAsia="Times New Roman"/>
          <w:bCs/>
          <w:rtl/>
        </w:rPr>
        <w:t>8</w:t>
      </w:r>
      <w:r w:rsidRPr="00A52585">
        <w:rPr>
          <w:rFonts w:eastAsia="Times New Roman"/>
          <w:bCs/>
          <w:rtl/>
        </w:rPr>
        <w:t>)</w:t>
      </w:r>
      <w:r w:rsidR="00777DCB" w:rsidRPr="00A52585">
        <w:rPr>
          <w:rFonts w:eastAsia="Times New Roman"/>
          <w:bCs/>
          <w:rtl/>
        </w:rPr>
        <w:t xml:space="preserve"> حل اشكالية الدليل السادس</w:t>
      </w:r>
      <w:r w:rsidRPr="00A52585">
        <w:rPr>
          <w:rFonts w:eastAsia="Times New Roman"/>
          <w:bCs/>
          <w:rtl/>
        </w:rPr>
        <w:t xml:space="preserve">: </w:t>
      </w:r>
      <w:r w:rsidR="00777DCB" w:rsidRPr="00A52585">
        <w:rPr>
          <w:rFonts w:eastAsia="Times New Roman"/>
          <w:bCs/>
          <w:rtl/>
        </w:rPr>
        <w:t>التصريح بالعلو</w:t>
      </w:r>
      <w:r w:rsidR="00DB731D" w:rsidRPr="00A52585">
        <w:rPr>
          <w:rFonts w:eastAsia="Times New Roman"/>
          <w:rtl/>
        </w:rPr>
        <w:t>،</w:t>
      </w:r>
      <w:r w:rsidR="00777DCB" w:rsidRPr="00A52585">
        <w:rPr>
          <w:rFonts w:eastAsia="Times New Roman"/>
          <w:rtl/>
        </w:rPr>
        <w:t xml:space="preserve"> كما في قوله</w:t>
      </w:r>
      <w:r w:rsidRPr="00A52585">
        <w:rPr>
          <w:rFonts w:eastAsia="Times New Roman"/>
          <w:rtl/>
        </w:rPr>
        <w:t xml:space="preserve"> </w:t>
      </w:r>
      <w:r w:rsidR="00777DCB" w:rsidRPr="00A52585">
        <w:rPr>
          <w:rFonts w:eastAsia="Times New Roman"/>
          <w:rtl/>
        </w:rPr>
        <w:t>تعالى:</w:t>
      </w:r>
      <w:r w:rsidRPr="00A52585">
        <w:rPr>
          <w:rFonts w:eastAsia="Times New Roman"/>
          <w:rtl/>
        </w:rPr>
        <w:t>{</w:t>
      </w:r>
      <w:r w:rsidR="00777DCB" w:rsidRPr="00A52585">
        <w:rPr>
          <w:rFonts w:eastAsia="Times New Roman"/>
          <w:rtl/>
        </w:rPr>
        <w:t>وَهُوَ الْعَلِيُّ الْعَظِيمُ</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البقرة</w:t>
      </w:r>
      <w:r w:rsidRPr="00A52585">
        <w:rPr>
          <w:rFonts w:eastAsia="Times New Roman"/>
          <w:rtl/>
        </w:rPr>
        <w:t>:</w:t>
      </w:r>
      <w:r w:rsidR="00777DCB" w:rsidRPr="00A52585">
        <w:rPr>
          <w:rFonts w:eastAsia="Times New Roman"/>
          <w:rtl/>
        </w:rPr>
        <w:t xml:space="preserve"> 255</w:t>
      </w:r>
      <w:r w:rsidRPr="00A52585">
        <w:rPr>
          <w:rFonts w:eastAsia="Times New Roman"/>
          <w:rtl/>
        </w:rPr>
        <w:t>]</w:t>
      </w:r>
      <w:r w:rsidR="00777DCB" w:rsidRPr="00A52585">
        <w:rPr>
          <w:rFonts w:eastAsia="Times New Roman"/>
          <w:rtl/>
        </w:rPr>
        <w:t xml:space="preserve"> , وقوله تعالى</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 xml:space="preserve">وَهُوَ الْعَلِيُّ الْكَبِيرُ} </w:t>
      </w:r>
      <w:r w:rsidRPr="00A52585">
        <w:rPr>
          <w:rFonts w:eastAsia="Times New Roman"/>
          <w:rtl/>
        </w:rPr>
        <w:t>[</w:t>
      </w:r>
      <w:r w:rsidR="00777DCB" w:rsidRPr="00A52585">
        <w:rPr>
          <w:rFonts w:eastAsia="Times New Roman"/>
          <w:rtl/>
        </w:rPr>
        <w:t>سـبأ</w:t>
      </w:r>
      <w:r w:rsidRPr="00A52585">
        <w:rPr>
          <w:rFonts w:eastAsia="Times New Roman"/>
          <w:rtl/>
        </w:rPr>
        <w:t>:</w:t>
      </w:r>
      <w:r w:rsidR="00777DCB" w:rsidRPr="00A52585">
        <w:rPr>
          <w:rFonts w:eastAsia="Times New Roman"/>
          <w:rtl/>
        </w:rPr>
        <w:t xml:space="preserve"> 23</w:t>
      </w:r>
      <w:r w:rsidRPr="00A52585">
        <w:rPr>
          <w:rFonts w:eastAsia="Times New Roman"/>
          <w:rtl/>
        </w:rPr>
        <w:t xml:space="preserve">] </w:t>
      </w:r>
      <w:r w:rsidR="00777DCB" w:rsidRPr="00A52585">
        <w:rPr>
          <w:rFonts w:eastAsia="Times New Roman"/>
          <w:rtl/>
        </w:rPr>
        <w:t>, وقوله تعالى</w:t>
      </w:r>
      <w:r w:rsidRPr="00A52585">
        <w:rPr>
          <w:rFonts w:eastAsia="Times New Roman"/>
          <w:rtl/>
        </w:rPr>
        <w:t>:</w:t>
      </w:r>
      <w:r w:rsidR="00777DCB" w:rsidRPr="00A52585">
        <w:rPr>
          <w:rFonts w:eastAsia="Times New Roman"/>
          <w:rtl/>
        </w:rPr>
        <w:t xml:space="preserve"> {إِنَّهُ عَلِيٌّ حَكِيمٌ} </w:t>
      </w:r>
      <w:r w:rsidRPr="00A52585">
        <w:rPr>
          <w:rFonts w:eastAsia="Times New Roman"/>
          <w:rtl/>
        </w:rPr>
        <w:t>[</w:t>
      </w:r>
      <w:r w:rsidR="00777DCB" w:rsidRPr="00A52585">
        <w:rPr>
          <w:rFonts w:eastAsia="Times New Roman"/>
          <w:rtl/>
        </w:rPr>
        <w:t>الشورى</w:t>
      </w:r>
      <w:r w:rsidRPr="00A52585">
        <w:rPr>
          <w:rFonts w:eastAsia="Times New Roman"/>
          <w:rtl/>
        </w:rPr>
        <w:t>:</w:t>
      </w:r>
      <w:r w:rsidR="00777DCB" w:rsidRPr="00A52585">
        <w:rPr>
          <w:rFonts w:eastAsia="Times New Roman"/>
          <w:rtl/>
        </w:rPr>
        <w:t xml:space="preserve"> 51</w:t>
      </w:r>
      <w:r w:rsidRPr="00A52585">
        <w:rPr>
          <w:rFonts w:eastAsia="Times New Roman"/>
          <w:rtl/>
        </w:rPr>
        <w:t>]</w:t>
      </w:r>
      <w:r w:rsidR="00DB731D" w:rsidRPr="00A52585">
        <w:rPr>
          <w:rFonts w:eastAsia="Times New Roman"/>
          <w:rtl/>
        </w:rPr>
        <w:t>،</w:t>
      </w:r>
      <w:r w:rsidR="00777DCB" w:rsidRPr="00A52585">
        <w:rPr>
          <w:rFonts w:eastAsia="Times New Roman"/>
          <w:rtl/>
        </w:rPr>
        <w:t xml:space="preserve"> وقوله تعالى</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سَـبِّحِ اسْمَ رَبِّكَ الأَعْلَى</w:t>
      </w:r>
      <w:r w:rsidRPr="00A52585">
        <w:rPr>
          <w:rFonts w:eastAsia="Times New Roman"/>
          <w:rtl/>
        </w:rPr>
        <w:t>}</w:t>
      </w:r>
      <w:r w:rsidR="00DB731D" w:rsidRPr="00A52585">
        <w:rPr>
          <w:rFonts w:eastAsia="Times New Roman"/>
          <w:rtl/>
        </w:rPr>
        <w:t>،</w:t>
      </w:r>
      <w:r w:rsidRPr="00A52585">
        <w:rPr>
          <w:rFonts w:eastAsia="Times New Roman"/>
          <w:rtl/>
        </w:rPr>
        <w:t xml:space="preserve"> </w:t>
      </w:r>
      <w:r w:rsidR="00777DCB" w:rsidRPr="00A52585">
        <w:rPr>
          <w:rFonts w:eastAsia="Times New Roman"/>
          <w:rtl/>
        </w:rPr>
        <w:t>ونقول المراد بالعلو هاهنا هو علو الرتبة والمقام</w:t>
      </w:r>
      <w:r w:rsidR="00DB731D" w:rsidRPr="00A52585">
        <w:rPr>
          <w:rFonts w:eastAsia="Times New Roman"/>
          <w:rtl/>
        </w:rPr>
        <w:t>،</w:t>
      </w:r>
      <w:r w:rsidR="00777DCB" w:rsidRPr="00A52585">
        <w:rPr>
          <w:rFonts w:eastAsia="Times New Roman"/>
          <w:rtl/>
        </w:rPr>
        <w:t xml:space="preserve"> كما في قوله تعالى حكاية عن حالِ سيدنا موسى عليه الصلاة والسلام</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قُلْنا لا تَخَفْ إِنَّكَ أَنْتَ الأَعْلى</w:t>
      </w:r>
      <w:r w:rsidRPr="00A52585">
        <w:rPr>
          <w:rFonts w:eastAsia="Times New Roman"/>
          <w:rtl/>
        </w:rPr>
        <w:t>}</w:t>
      </w:r>
      <w:r w:rsidR="00DB731D" w:rsidRPr="00A52585">
        <w:rPr>
          <w:rFonts w:eastAsia="Times New Roman"/>
          <w:rtl/>
        </w:rPr>
        <w:t>،</w:t>
      </w:r>
      <w:r w:rsidR="00777DCB" w:rsidRPr="00A52585">
        <w:rPr>
          <w:rFonts w:eastAsia="Times New Roman"/>
          <w:rtl/>
        </w:rPr>
        <w:t xml:space="preserve"> ومعلوم أنّ المراد به علو الرتبة والمقام والمكانة والغلبة والنصر</w:t>
      </w:r>
      <w:r w:rsidR="00DB731D" w:rsidRPr="00A52585">
        <w:rPr>
          <w:rFonts w:eastAsia="Times New Roman"/>
          <w:rtl/>
        </w:rPr>
        <w:t>،</w:t>
      </w:r>
      <w:r w:rsidR="00777DCB" w:rsidRPr="00A52585">
        <w:rPr>
          <w:rFonts w:eastAsia="Times New Roman"/>
          <w:rtl/>
        </w:rPr>
        <w:t xml:space="preserve"> ولم يكن موسى عليه السلام آنذاك على قمة جبل وفرعون أسفله حتى يخاطب بالعلو الحسي</w:t>
      </w:r>
      <w:r w:rsidR="00DB731D" w:rsidRPr="00A52585">
        <w:rPr>
          <w:rFonts w:eastAsia="Times New Roman"/>
          <w:rtl/>
        </w:rPr>
        <w:t>،</w:t>
      </w:r>
      <w:r w:rsidR="00777DCB" w:rsidRPr="00A52585">
        <w:rPr>
          <w:rFonts w:eastAsia="Times New Roman"/>
          <w:rtl/>
        </w:rPr>
        <w:t xml:space="preserve"> وأنّه أعلى مسافة منه</w:t>
      </w:r>
      <w:r w:rsidR="00DB731D" w:rsidRPr="00A52585">
        <w:rPr>
          <w:rFonts w:eastAsia="Times New Roman"/>
          <w:rtl/>
        </w:rPr>
        <w:t>،</w:t>
      </w:r>
      <w:r w:rsidRPr="00A52585">
        <w:rPr>
          <w:rFonts w:eastAsia="Times New Roman"/>
          <w:rtl/>
        </w:rPr>
        <w:t xml:space="preserve"> </w:t>
      </w:r>
      <w:r w:rsidR="00777DCB" w:rsidRPr="00A52585">
        <w:rPr>
          <w:rFonts w:eastAsia="Times New Roman"/>
          <w:rtl/>
        </w:rPr>
        <w:t>وكذلك قوله تعالى</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وَلَا تَهِنُوا وَلَا تَحْزَنُوا وَأَنْتُمُ الْأَعْلَوْنَ إِنْ كُنْتُمْ مُؤْمِنِينَ</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آل عمران</w:t>
      </w:r>
      <w:r w:rsidRPr="00A52585">
        <w:rPr>
          <w:rFonts w:eastAsia="Times New Roman"/>
          <w:rtl/>
        </w:rPr>
        <w:t>:</w:t>
      </w:r>
      <w:r w:rsidR="00777DCB" w:rsidRPr="00A52585">
        <w:rPr>
          <w:rFonts w:eastAsia="Times New Roman"/>
          <w:rtl/>
        </w:rPr>
        <w:t xml:space="preserve"> 139</w:t>
      </w:r>
      <w:r w:rsidRPr="00A52585">
        <w:rPr>
          <w:rFonts w:eastAsia="Times New Roman"/>
          <w:rtl/>
        </w:rPr>
        <w:t>]</w:t>
      </w:r>
      <w:r w:rsidR="00DB731D" w:rsidRPr="00A52585">
        <w:rPr>
          <w:rFonts w:eastAsia="Times New Roman"/>
          <w:rtl/>
        </w:rPr>
        <w:t>،</w:t>
      </w:r>
      <w:r w:rsidR="00777DCB" w:rsidRPr="00A52585">
        <w:rPr>
          <w:rFonts w:eastAsia="Times New Roman"/>
          <w:rtl/>
        </w:rPr>
        <w:t xml:space="preserve"> والمقصود هو التمدح بعلو الرتبة والمقام </w:t>
      </w:r>
      <w:r w:rsidR="00777DCB" w:rsidRPr="00A52585">
        <w:rPr>
          <w:rFonts w:eastAsia="Times New Roman"/>
          <w:rtl/>
        </w:rPr>
        <w:lastRenderedPageBreak/>
        <w:t>والمكانة لا علو المسافة والارتفاع</w:t>
      </w:r>
      <w:r w:rsidR="00DB731D" w:rsidRPr="00A52585">
        <w:rPr>
          <w:rFonts w:eastAsia="Times New Roman"/>
          <w:rtl/>
        </w:rPr>
        <w:t>،</w:t>
      </w:r>
      <w:r w:rsidR="00777DCB" w:rsidRPr="00A52585">
        <w:rPr>
          <w:rFonts w:eastAsia="Times New Roman"/>
          <w:rtl/>
        </w:rPr>
        <w:t xml:space="preserve"> وقد أخرج البخاري قصة أحد وفيها</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 xml:space="preserve">ونادَى أبو سفيان فقال </w:t>
      </w:r>
      <w:r w:rsidRPr="00A52585">
        <w:rPr>
          <w:rFonts w:eastAsia="Times New Roman"/>
          <w:rtl/>
        </w:rPr>
        <w:t>(</w:t>
      </w:r>
      <w:r w:rsidR="00777DCB" w:rsidRPr="00A52585">
        <w:rPr>
          <w:rFonts w:eastAsia="Times New Roman"/>
          <w:rtl/>
        </w:rPr>
        <w:t>اعْلُ هُبَل</w:t>
      </w:r>
      <w:r w:rsidRPr="00A52585">
        <w:rPr>
          <w:rFonts w:eastAsia="Times New Roman"/>
          <w:rtl/>
        </w:rPr>
        <w:t>)</w:t>
      </w:r>
      <w:r w:rsidR="00777DCB" w:rsidRPr="00A52585">
        <w:rPr>
          <w:rFonts w:eastAsia="Times New Roman"/>
          <w:rtl/>
        </w:rPr>
        <w:t xml:space="preserve"> فرَدَّ الصحابة رضي الله عليهم </w:t>
      </w:r>
      <w:r w:rsidRPr="00A52585">
        <w:rPr>
          <w:rFonts w:eastAsia="Times New Roman"/>
          <w:rtl/>
        </w:rPr>
        <w:t>(</w:t>
      </w:r>
      <w:r w:rsidR="00777DCB" w:rsidRPr="00A52585">
        <w:rPr>
          <w:rFonts w:eastAsia="Times New Roman"/>
          <w:rtl/>
        </w:rPr>
        <w:t>الله أعلَى وأَجَلُّ</w:t>
      </w:r>
      <w:r w:rsidRPr="00A52585">
        <w:rPr>
          <w:rFonts w:eastAsia="Times New Roman"/>
          <w:rtl/>
        </w:rPr>
        <w:t>))</w:t>
      </w:r>
      <w:r w:rsidR="00777DCB" w:rsidRPr="00A52585">
        <w:rPr>
          <w:rFonts w:eastAsia="Times New Roman"/>
          <w:rtl/>
        </w:rPr>
        <w:t>)</w:t>
      </w:r>
      <w:r w:rsidR="00DB731D" w:rsidRPr="00A52585">
        <w:rPr>
          <w:rFonts w:eastAsia="Times New Roman"/>
          <w:rtl/>
        </w:rPr>
        <w:t>،</w:t>
      </w:r>
      <w:r w:rsidR="00777DCB" w:rsidRPr="00A52585">
        <w:rPr>
          <w:rFonts w:eastAsia="Times New Roman"/>
          <w:rtl/>
        </w:rPr>
        <w:t xml:space="preserve"> فهل العلو إلا علو الرتبة والمكانة</w:t>
      </w:r>
      <w:r w:rsidR="00DB731D" w:rsidRPr="00A52585">
        <w:rPr>
          <w:rFonts w:eastAsia="Times New Roman"/>
          <w:rtl/>
        </w:rPr>
        <w:t>،</w:t>
      </w:r>
      <w:r w:rsidR="00777DCB" w:rsidRPr="00A52585">
        <w:rPr>
          <w:rFonts w:eastAsia="Times New Roman"/>
          <w:rtl/>
        </w:rPr>
        <w:t xml:space="preserve"> وإلا فما التمدح المرجو من ارتفاع المسافة</w:t>
      </w:r>
      <w:r w:rsidR="00DB731D" w:rsidRPr="00A52585">
        <w:rPr>
          <w:rFonts w:eastAsia="Times New Roman"/>
          <w:rtl/>
        </w:rPr>
        <w:t>،</w:t>
      </w:r>
      <w:r w:rsidR="00777DCB" w:rsidRPr="00A52585">
        <w:rPr>
          <w:rFonts w:eastAsia="Times New Roman"/>
          <w:rtl/>
        </w:rPr>
        <w:t xml:space="preserve"> وهل إذا كان حراس الملك يحرسونه وهم في شرفة عالية</w:t>
      </w:r>
      <w:r w:rsidR="00DB731D" w:rsidRPr="00A52585">
        <w:rPr>
          <w:rFonts w:eastAsia="Times New Roman"/>
          <w:rtl/>
        </w:rPr>
        <w:t>،</w:t>
      </w:r>
      <w:r w:rsidR="00777DCB" w:rsidRPr="00A52585">
        <w:rPr>
          <w:rFonts w:eastAsia="Times New Roman"/>
          <w:rtl/>
        </w:rPr>
        <w:t xml:space="preserve"> هل هم الأعلون أم أنّ الملك وإن كان في السفل أعلى منهم</w:t>
      </w:r>
      <w:r w:rsidR="00DB731D" w:rsidRPr="00A52585">
        <w:rPr>
          <w:rFonts w:eastAsia="Times New Roman"/>
          <w:rtl/>
        </w:rPr>
        <w:t>،</w:t>
      </w:r>
      <w:r w:rsidR="00777DCB" w:rsidRPr="00A52585">
        <w:rPr>
          <w:rFonts w:eastAsia="Times New Roman"/>
          <w:rtl/>
        </w:rPr>
        <w:t xml:space="preserve"> لأنّه الملك الآمر الناهي</w:t>
      </w:r>
      <w:r w:rsidR="00DB731D" w:rsidRPr="00A52585">
        <w:rPr>
          <w:rFonts w:eastAsia="Times New Roman"/>
          <w:rtl/>
        </w:rPr>
        <w:t>،</w:t>
      </w:r>
      <w:r w:rsidR="00777DCB" w:rsidRPr="00A52585">
        <w:rPr>
          <w:rFonts w:eastAsia="Times New Roman"/>
          <w:rtl/>
        </w:rPr>
        <w:t xml:space="preserve"> هذا على سبيل تفهيم الأمر وأنّه لا علاقة لعلو المكان في بيان الربوبية والإلهية</w:t>
      </w:r>
      <w:r w:rsidR="00DB731D" w:rsidRPr="00A52585">
        <w:rPr>
          <w:rFonts w:eastAsia="Times New Roman"/>
          <w:rtl/>
        </w:rPr>
        <w:t>،</w:t>
      </w:r>
      <w:r w:rsidR="00777DCB" w:rsidRPr="00A52585">
        <w:rPr>
          <w:rFonts w:eastAsia="Times New Roman"/>
          <w:rtl/>
        </w:rPr>
        <w:t xml:space="preserve"> فالله تعالى هو العلي بربوبيته وألهيته وهيمنته وقدرته</w:t>
      </w:r>
      <w:r w:rsidR="00DB731D" w:rsidRPr="00A52585">
        <w:rPr>
          <w:rFonts w:eastAsia="Times New Roman"/>
          <w:rtl/>
        </w:rPr>
        <w:t>،</w:t>
      </w:r>
      <w:r w:rsidR="00777DCB" w:rsidRPr="00A52585">
        <w:rPr>
          <w:rFonts w:eastAsia="Times New Roman"/>
          <w:rtl/>
        </w:rPr>
        <w:t xml:space="preserve"> أما محاذير اثبات العلو المكاني فهي عظيمة أولها الكون في المكان</w:t>
      </w:r>
      <w:r w:rsidR="00DB731D" w:rsidRPr="00A52585">
        <w:rPr>
          <w:rFonts w:eastAsia="Times New Roman"/>
          <w:rtl/>
        </w:rPr>
        <w:t>،</w:t>
      </w:r>
      <w:r w:rsidR="00777DCB" w:rsidRPr="00A52585">
        <w:rPr>
          <w:rFonts w:eastAsia="Times New Roman"/>
          <w:rtl/>
        </w:rPr>
        <w:t xml:space="preserve"> وإحاطة المكان بالرحمن وهو محال لأنّ الله تعالى بكل شيء محيط</w:t>
      </w:r>
      <w:r w:rsidR="00DB731D" w:rsidRPr="00A52585">
        <w:rPr>
          <w:rFonts w:eastAsia="Times New Roman"/>
          <w:rtl/>
        </w:rPr>
        <w:t>،</w:t>
      </w:r>
      <w:r w:rsidR="00777DCB" w:rsidRPr="00A52585">
        <w:rPr>
          <w:rFonts w:eastAsia="Times New Roman"/>
          <w:rtl/>
        </w:rPr>
        <w:t xml:space="preserve"> كما أنّ العلو المكاني غايته منتهى البعد عن الأرض</w:t>
      </w:r>
      <w:r w:rsidR="00DB731D" w:rsidRPr="00A52585">
        <w:rPr>
          <w:rFonts w:eastAsia="Times New Roman"/>
          <w:rtl/>
        </w:rPr>
        <w:t>،</w:t>
      </w:r>
      <w:r w:rsidRPr="00A52585">
        <w:rPr>
          <w:rFonts w:eastAsia="Times New Roman"/>
          <w:rtl/>
        </w:rPr>
        <w:t xml:space="preserve"> </w:t>
      </w:r>
      <w:r w:rsidR="00777DCB" w:rsidRPr="00A52585">
        <w:rPr>
          <w:rFonts w:eastAsia="Times New Roman"/>
          <w:rtl/>
        </w:rPr>
        <w:t>والله تعالى قريب</w:t>
      </w:r>
      <w:r w:rsidR="00DB731D" w:rsidRPr="00A52585">
        <w:rPr>
          <w:rFonts w:eastAsia="Times New Roman"/>
          <w:rtl/>
        </w:rPr>
        <w:t>،</w:t>
      </w:r>
      <w:r w:rsidR="00777DCB" w:rsidRPr="00A52585">
        <w:rPr>
          <w:rFonts w:eastAsia="Times New Roman"/>
          <w:rtl/>
        </w:rPr>
        <w:t xml:space="preserve"> أقرب إلى أحدنا من عنق راحلته</w:t>
      </w:r>
      <w:r w:rsidR="00DB731D" w:rsidRPr="00A52585">
        <w:rPr>
          <w:rFonts w:eastAsia="Times New Roman"/>
          <w:rtl/>
        </w:rPr>
        <w:t>،</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مَا يَكُونُ مِنْ نَجْوَى ثَلَاثَةٍ إِلَّا هُوَ رَابِعُهُمْ وَلَا خَمْسَةٍ إِلَّا هُوَ سَادِسُهُمْ وَلَا أَدْنَى مِنْ ذَلِكَ وَلَا أَكْثَرَ إِلَّا هُوَ مَعَهُمْ أَيْنَمَا كَانُوا</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المجادلة</w:t>
      </w:r>
      <w:r w:rsidRPr="00A52585">
        <w:rPr>
          <w:rFonts w:eastAsia="Times New Roman"/>
          <w:rtl/>
        </w:rPr>
        <w:t>:</w:t>
      </w:r>
      <w:r w:rsidR="00777DCB" w:rsidRPr="00A52585">
        <w:rPr>
          <w:rFonts w:eastAsia="Times New Roman"/>
          <w:rtl/>
        </w:rPr>
        <w:t xml:space="preserve"> 7</w:t>
      </w:r>
      <w:r w:rsidRPr="00A52585">
        <w:rPr>
          <w:rFonts w:eastAsia="Times New Roman"/>
          <w:rtl/>
        </w:rPr>
        <w:t>]</w:t>
      </w:r>
      <w:r w:rsidR="00DB731D" w:rsidRPr="00A52585">
        <w:rPr>
          <w:rFonts w:eastAsia="Times New Roman"/>
          <w:rtl/>
        </w:rPr>
        <w:t>،</w:t>
      </w:r>
      <w:r w:rsidR="00777DCB" w:rsidRPr="00A52585">
        <w:rPr>
          <w:rFonts w:eastAsia="Times New Roman"/>
          <w:rtl/>
        </w:rPr>
        <w:t xml:space="preserve"> والمعنى المحكم هو علو المكانة والرتبة</w:t>
      </w:r>
      <w:r w:rsidR="00DB731D" w:rsidRPr="00A52585">
        <w:rPr>
          <w:rFonts w:eastAsia="Times New Roman"/>
          <w:rtl/>
        </w:rPr>
        <w:t>،</w:t>
      </w:r>
      <w:r w:rsidR="00777DCB" w:rsidRPr="00A52585">
        <w:rPr>
          <w:rFonts w:eastAsia="Times New Roman"/>
          <w:rtl/>
        </w:rPr>
        <w:t xml:space="preserve"> والمسلم حين يقول وهو ساجد</w:t>
      </w:r>
      <w:r w:rsidR="00897A24"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سبحان رَبِّيَ الأعلَى</w:t>
      </w:r>
      <w:r w:rsidRPr="00A52585">
        <w:rPr>
          <w:rFonts w:eastAsia="Times New Roman"/>
          <w:rtl/>
        </w:rPr>
        <w:t>}</w:t>
      </w:r>
      <w:r w:rsidR="00DB731D" w:rsidRPr="00A52585">
        <w:rPr>
          <w:rFonts w:eastAsia="Times New Roman"/>
          <w:rtl/>
        </w:rPr>
        <w:t>،</w:t>
      </w:r>
      <w:r w:rsidR="00777DCB" w:rsidRPr="00A52585">
        <w:rPr>
          <w:rFonts w:eastAsia="Times New Roman"/>
          <w:rtl/>
        </w:rPr>
        <w:t xml:space="preserve"> معناه</w:t>
      </w:r>
      <w:r w:rsidRPr="00A52585">
        <w:rPr>
          <w:rFonts w:eastAsia="Times New Roman"/>
          <w:rtl/>
        </w:rPr>
        <w:t>:</w:t>
      </w:r>
      <w:r w:rsidR="00777DCB" w:rsidRPr="00A52585">
        <w:rPr>
          <w:rFonts w:eastAsia="Times New Roman"/>
          <w:rtl/>
        </w:rPr>
        <w:t xml:space="preserve"> سبحان ربي الذي هو أعلى مِن كلِ شيء قَدْرًا ومَكانةً</w:t>
      </w:r>
      <w:r w:rsidR="00DB731D" w:rsidRPr="00A52585">
        <w:rPr>
          <w:rFonts w:eastAsia="Times New Roman"/>
          <w:rtl/>
        </w:rPr>
        <w:t>،</w:t>
      </w:r>
      <w:r w:rsidR="00777DCB" w:rsidRPr="00A52585">
        <w:rPr>
          <w:rFonts w:eastAsia="Times New Roman"/>
          <w:rtl/>
        </w:rPr>
        <w:t xml:space="preserve"> سبحانه وتعالى، وليس المعنى أن الله تبارك وتعالى عالٍ بالمكان والحَيّز والجهة</w:t>
      </w:r>
      <w:r w:rsidR="00DB731D" w:rsidRPr="00A52585">
        <w:rPr>
          <w:rFonts w:eastAsia="Times New Roman"/>
          <w:rtl/>
        </w:rPr>
        <w:t>،</w:t>
      </w:r>
      <w:r w:rsidRPr="00A52585">
        <w:rPr>
          <w:rFonts w:eastAsia="Times New Roman"/>
          <w:rtl/>
        </w:rPr>
        <w:t xml:space="preserve"> </w:t>
      </w:r>
      <w:r w:rsidR="00777DCB" w:rsidRPr="00A52585">
        <w:rPr>
          <w:rFonts w:eastAsia="Times New Roman"/>
          <w:rtl/>
        </w:rPr>
        <w:t>وعلى هذ</w:t>
      </w:r>
      <w:r w:rsidR="00777DCB" w:rsidRPr="00A52585">
        <w:rPr>
          <w:rFonts w:eastAsia="Times New Roman"/>
          <w:rtl/>
        </w:rPr>
        <w:tab/>
        <w:t>ا الحمل للمتشابه على المحكم أطبق المتخصصون في العقيدة والعلماء الراسخون في العلم</w:t>
      </w:r>
      <w:r w:rsidR="00DB731D" w:rsidRPr="00A52585">
        <w:rPr>
          <w:rFonts w:eastAsia="Times New Roman"/>
          <w:rtl/>
        </w:rPr>
        <w:t>،</w:t>
      </w:r>
      <w:r w:rsidR="00777DCB" w:rsidRPr="00A52585">
        <w:rPr>
          <w:rFonts w:eastAsia="Times New Roman"/>
          <w:rtl/>
        </w:rPr>
        <w:t xml:space="preserve"> قال القرطبي في تفسيره</w:t>
      </w:r>
      <w:r w:rsidRPr="00A52585">
        <w:rPr>
          <w:rFonts w:eastAsia="Times New Roman"/>
          <w:rtl/>
        </w:rPr>
        <w:t>:</w:t>
      </w:r>
      <w:r w:rsidR="00777DCB" w:rsidRPr="00A52585">
        <w:rPr>
          <w:rFonts w:eastAsia="Times New Roman"/>
          <w:rtl/>
        </w:rPr>
        <w:t xml:space="preserve"> </w:t>
      </w:r>
      <w:r w:rsidRPr="00A52585">
        <w:rPr>
          <w:rFonts w:eastAsia="Times New Roman"/>
          <w:rtl/>
        </w:rPr>
        <w:t>(</w:t>
      </w:r>
      <w:r w:rsidR="00777DCB" w:rsidRPr="00A52585">
        <w:rPr>
          <w:rFonts w:eastAsia="Times New Roman"/>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sidRPr="00A52585">
        <w:rPr>
          <w:rFonts w:eastAsia="Times New Roman"/>
          <w:rtl/>
        </w:rPr>
        <w:t>)</w:t>
      </w:r>
      <w:r w:rsidR="00777DCB" w:rsidRPr="00A52585">
        <w:rPr>
          <w:rFonts w:eastAsia="Times New Roman"/>
          <w:rtl/>
        </w:rPr>
        <w:t xml:space="preserve"> أهـ </w:t>
      </w:r>
    </w:p>
    <w:p w14:paraId="2853BD0F" w14:textId="41A4481E" w:rsidR="00777DCB" w:rsidRPr="00A52585" w:rsidRDefault="0002035C" w:rsidP="0002035C">
      <w:pPr>
        <w:rPr>
          <w:b/>
          <w:bCs/>
        </w:rPr>
      </w:pPr>
      <w:r w:rsidRPr="00A52585">
        <w:rPr>
          <w:rFonts w:hint="cs"/>
          <w:bCs/>
          <w:rtl/>
        </w:rPr>
        <w:t>(</w:t>
      </w:r>
      <w:r w:rsidR="00777DCB" w:rsidRPr="00A52585">
        <w:rPr>
          <w:rFonts w:hint="cs"/>
          <w:bCs/>
          <w:rtl/>
        </w:rPr>
        <w:t>9</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السابع</w:t>
      </w:r>
      <w:r w:rsidRPr="00A52585">
        <w:rPr>
          <w:rFonts w:hint="cs"/>
          <w:bCs/>
          <w:rtl/>
        </w:rPr>
        <w:t xml:space="preserve">: </w:t>
      </w:r>
      <w:r w:rsidR="00777DCB" w:rsidRPr="00A52585">
        <w:rPr>
          <w:rFonts w:hint="cs"/>
          <w:bCs/>
          <w:rtl/>
        </w:rPr>
        <w:t>التصريح بتنزيل الكتاب</w:t>
      </w:r>
      <w:r w:rsidR="00777DCB" w:rsidRPr="00A52585">
        <w:rPr>
          <w:rFonts w:hint="cs"/>
          <w:bCs/>
          <w:rtl/>
          <w:lang w:bidi="ar-SY"/>
        </w:rPr>
        <w:t xml:space="preserve"> </w:t>
      </w:r>
      <w:r w:rsidR="00777DCB" w:rsidRPr="00A52585">
        <w:rPr>
          <w:rFonts w:hint="cs"/>
          <w:bCs/>
          <w:rtl/>
        </w:rPr>
        <w:t>منه، كما في قوله تعالى</w:t>
      </w:r>
      <w:r w:rsidRPr="00A52585">
        <w:rPr>
          <w:rFonts w:hint="cs"/>
          <w:bCs/>
          <w:rtl/>
        </w:rPr>
        <w:t>:</w:t>
      </w:r>
      <w:r w:rsidR="00777DCB" w:rsidRPr="00A52585">
        <w:rPr>
          <w:rFonts w:hint="cs"/>
          <w:bCs/>
          <w:rtl/>
        </w:rPr>
        <w:t xml:space="preserve"> {هُوَ الَّذِي أَنْزَلَ عَلَيْكَ الْكِتَابَ...} </w:t>
      </w:r>
      <w:r w:rsidRPr="00A52585">
        <w:rPr>
          <w:rFonts w:hint="cs"/>
          <w:bCs/>
          <w:rtl/>
        </w:rPr>
        <w:t>[</w:t>
      </w:r>
      <w:r w:rsidR="00777DCB" w:rsidRPr="00A52585">
        <w:rPr>
          <w:rFonts w:hint="cs"/>
          <w:bCs/>
          <w:rtl/>
        </w:rPr>
        <w:t>آل عمران</w:t>
      </w:r>
      <w:r w:rsidRPr="00A52585">
        <w:rPr>
          <w:rFonts w:hint="cs"/>
          <w:bCs/>
          <w:rtl/>
        </w:rPr>
        <w:t>:</w:t>
      </w:r>
      <w:r w:rsidR="00777DCB" w:rsidRPr="00A52585">
        <w:rPr>
          <w:rFonts w:hint="cs"/>
          <w:bCs/>
          <w:rtl/>
        </w:rPr>
        <w:t xml:space="preserve"> 7</w:t>
      </w:r>
      <w:r w:rsidRPr="00A52585">
        <w:rPr>
          <w:rFonts w:hint="cs"/>
          <w:bCs/>
          <w:rtl/>
        </w:rPr>
        <w:t>]</w:t>
      </w:r>
      <w:r w:rsidR="00777DCB" w:rsidRPr="00A52585">
        <w:rPr>
          <w:rFonts w:hint="cs"/>
          <w:bCs/>
          <w:rtl/>
        </w:rPr>
        <w:t xml:space="preserve"> , وقوله تعالى</w:t>
      </w:r>
      <w:r w:rsidRPr="00A52585">
        <w:rPr>
          <w:rFonts w:hint="cs"/>
          <w:bCs/>
          <w:rtl/>
        </w:rPr>
        <w:t xml:space="preserve">: </w:t>
      </w:r>
      <w:r w:rsidR="00777DCB" w:rsidRPr="00A52585">
        <w:rPr>
          <w:rFonts w:hint="cs"/>
          <w:bCs/>
          <w:rtl/>
        </w:rPr>
        <w:t xml:space="preserve">{تَنْزِيلُ الْكِتَابِ مِنَ اللَّهِ الْعَزِيزِ الْعَلِيمِ} </w:t>
      </w:r>
      <w:r w:rsidRPr="00A52585">
        <w:rPr>
          <w:rFonts w:hint="cs"/>
          <w:bCs/>
          <w:rtl/>
        </w:rPr>
        <w:t>[</w:t>
      </w:r>
      <w:r w:rsidR="00777DCB" w:rsidRPr="00A52585">
        <w:rPr>
          <w:rFonts w:hint="cs"/>
          <w:bCs/>
          <w:rtl/>
        </w:rPr>
        <w:t>غافر</w:t>
      </w:r>
      <w:r w:rsidRPr="00A52585">
        <w:rPr>
          <w:rFonts w:hint="cs"/>
          <w:bCs/>
          <w:rtl/>
        </w:rPr>
        <w:t>:</w:t>
      </w:r>
      <w:r w:rsidR="00777DCB" w:rsidRPr="00A52585">
        <w:rPr>
          <w:rFonts w:hint="cs"/>
          <w:bCs/>
          <w:rtl/>
        </w:rPr>
        <w:t xml:space="preserve"> 2</w:t>
      </w:r>
      <w:r w:rsidRPr="00A52585">
        <w:rPr>
          <w:rFonts w:hint="cs"/>
          <w:bCs/>
          <w:rtl/>
        </w:rPr>
        <w:t>]</w:t>
      </w:r>
      <w:r w:rsidR="00777DCB" w:rsidRPr="00A52585">
        <w:rPr>
          <w:rFonts w:hint="cs"/>
          <w:bCs/>
          <w:rtl/>
        </w:rPr>
        <w:t xml:space="preserve"> </w:t>
      </w:r>
      <w:r w:rsidR="00777DCB" w:rsidRPr="00A52585">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DB731D" w:rsidRPr="00A52585">
        <w:rPr>
          <w:rFonts w:hint="cs"/>
          <w:rtl/>
        </w:rPr>
        <w:t>،</w:t>
      </w:r>
      <w:r w:rsidR="00777DCB" w:rsidRPr="00A52585">
        <w:rPr>
          <w:rFonts w:hint="cs"/>
          <w:rtl/>
        </w:rPr>
        <w:t xml:space="preserve"> ودليل وجوده في اللوح المحفوظ </w:t>
      </w:r>
      <w:r w:rsidR="00777DCB" w:rsidRPr="00A52585">
        <w:rPr>
          <w:rFonts w:hint="cs"/>
          <w:shd w:val="clear" w:color="auto" w:fill="FFFFFF"/>
          <w:rtl/>
        </w:rPr>
        <w:t>قوله تعالى</w:t>
      </w:r>
      <w:r w:rsidR="00777DCB" w:rsidRPr="00A52585">
        <w:rPr>
          <w:shd w:val="clear" w:color="auto" w:fill="FFFFFF"/>
        </w:rPr>
        <w:t>:</w:t>
      </w:r>
      <w:r w:rsidRPr="00A52585">
        <w:rPr>
          <w:shd w:val="clear" w:color="auto" w:fill="FFFFFF"/>
          <w:rtl/>
        </w:rPr>
        <w:t xml:space="preserve"> </w:t>
      </w:r>
      <w:r w:rsidRPr="00A52585">
        <w:rPr>
          <w:rFonts w:hint="cs"/>
          <w:shd w:val="clear" w:color="auto" w:fill="FFFFFF"/>
          <w:rtl/>
        </w:rPr>
        <w:t>{</w:t>
      </w:r>
      <w:r w:rsidR="00777DCB" w:rsidRPr="00A52585">
        <w:rPr>
          <w:rFonts w:hint="cs"/>
          <w:shd w:val="clear" w:color="auto" w:fill="FFFFFF"/>
          <w:rtl/>
        </w:rPr>
        <w:t>بَلْ هُوَ قُرْآنٌ مَجِيدٌ * فِي لَوْحٍ مَحْفُوظٍ</w:t>
      </w:r>
      <w:r w:rsidRPr="00A52585">
        <w:rPr>
          <w:rFonts w:hint="cs"/>
          <w:shd w:val="clear" w:color="auto" w:fill="FFFFFF"/>
          <w:rtl/>
          <w:lang w:bidi="ar-KW"/>
        </w:rPr>
        <w:t>}</w:t>
      </w:r>
      <w:r w:rsidR="00777DCB" w:rsidRPr="00A52585">
        <w:rPr>
          <w:rFonts w:hint="cs"/>
          <w:shd w:val="clear" w:color="auto" w:fill="FFFFFF"/>
          <w:rtl/>
          <w:lang w:bidi="ar-KW"/>
        </w:rPr>
        <w:t xml:space="preserve"> </w:t>
      </w:r>
      <w:r w:rsidRPr="00A52585">
        <w:rPr>
          <w:rFonts w:hint="cs"/>
          <w:shd w:val="clear" w:color="auto" w:fill="FFFFFF"/>
          <w:rtl/>
        </w:rPr>
        <w:t>[</w:t>
      </w:r>
      <w:r w:rsidR="00777DCB" w:rsidRPr="00A52585">
        <w:rPr>
          <w:rFonts w:hint="cs"/>
          <w:shd w:val="clear" w:color="auto" w:fill="FFFFFF"/>
          <w:rtl/>
        </w:rPr>
        <w:t>البروج</w:t>
      </w:r>
      <w:r w:rsidRPr="00A52585">
        <w:rPr>
          <w:rFonts w:hint="cs"/>
          <w:shd w:val="clear" w:color="auto" w:fill="FFFFFF"/>
          <w:rtl/>
        </w:rPr>
        <w:t>:</w:t>
      </w:r>
      <w:r w:rsidR="00777DCB" w:rsidRPr="00A52585">
        <w:rPr>
          <w:rFonts w:hint="cs"/>
          <w:shd w:val="clear" w:color="auto" w:fill="FFFFFF"/>
          <w:rtl/>
        </w:rPr>
        <w:t xml:space="preserve"> 21، 22</w:t>
      </w:r>
      <w:r w:rsidRPr="00A52585">
        <w:rPr>
          <w:rFonts w:hint="cs"/>
          <w:shd w:val="clear" w:color="auto" w:fill="FFFFFF"/>
          <w:rtl/>
        </w:rPr>
        <w:t>]</w:t>
      </w:r>
      <w:r w:rsidR="00DB731D" w:rsidRPr="00A52585">
        <w:rPr>
          <w:rFonts w:hint="cs"/>
          <w:shd w:val="clear" w:color="auto" w:fill="FFFFFF"/>
          <w:rtl/>
        </w:rPr>
        <w:t>،</w:t>
      </w:r>
      <w:r w:rsidR="00777DCB" w:rsidRPr="00A52585">
        <w:rPr>
          <w:rFonts w:hint="cs"/>
          <w:rtl/>
        </w:rPr>
        <w:t xml:space="preserve"> </w:t>
      </w:r>
      <w:r w:rsidR="00777DCB" w:rsidRPr="00A52585">
        <w:rPr>
          <w:rFonts w:hint="cs"/>
          <w:shd w:val="clear" w:color="auto" w:fill="FFFFFF"/>
          <w:rtl/>
        </w:rPr>
        <w:t>ودليل نزوله من اللوح المحفوظ إلى بيت العزة</w:t>
      </w:r>
      <w:r w:rsidR="00DB731D" w:rsidRPr="00A52585">
        <w:rPr>
          <w:rFonts w:hint="cs"/>
          <w:shd w:val="clear" w:color="auto" w:fill="FFFFFF"/>
          <w:rtl/>
        </w:rPr>
        <w:t>،</w:t>
      </w:r>
      <w:r w:rsidR="00777DCB" w:rsidRPr="00A52585">
        <w:rPr>
          <w:rFonts w:hint="cs"/>
          <w:shd w:val="clear" w:color="auto" w:fill="FFFFFF"/>
          <w:rtl/>
        </w:rPr>
        <w:t xml:space="preserve"> قوله تعالى</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إِنَّا أَنْزَلْناهُ فِي لَيْلَةٍ مُبارَكَةٍ</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الدخان</w:t>
      </w:r>
      <w:r w:rsidRPr="00A52585">
        <w:rPr>
          <w:rFonts w:hint="cs"/>
          <w:shd w:val="clear" w:color="auto" w:fill="FFFFFF"/>
          <w:rtl/>
        </w:rPr>
        <w:t>:</w:t>
      </w:r>
      <w:r w:rsidR="00777DCB" w:rsidRPr="00A52585">
        <w:rPr>
          <w:rFonts w:hint="cs"/>
          <w:shd w:val="clear" w:color="auto" w:fill="FFFFFF"/>
          <w:rtl/>
        </w:rPr>
        <w:t xml:space="preserve"> 3</w:t>
      </w:r>
      <w:r w:rsidRPr="00A52585">
        <w:rPr>
          <w:rFonts w:hint="cs"/>
          <w:shd w:val="clear" w:color="auto" w:fill="FFFFFF"/>
          <w:rtl/>
        </w:rPr>
        <w:t>]</w:t>
      </w:r>
      <w:r w:rsidR="00DB731D" w:rsidRPr="00A52585">
        <w:rPr>
          <w:rFonts w:hint="cs"/>
          <w:shd w:val="clear" w:color="auto" w:fill="FFFFFF"/>
          <w:rtl/>
        </w:rPr>
        <w:t>،</w:t>
      </w:r>
      <w:r w:rsidR="00777DCB" w:rsidRPr="00A52585">
        <w:rPr>
          <w:rFonts w:hint="cs"/>
          <w:shd w:val="clear" w:color="auto" w:fill="FFFFFF"/>
          <w:rtl/>
        </w:rPr>
        <w:t xml:space="preserve"> وقوله تعالى</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إِنَّا أَنْزَلْناهُ فِي لَيْلَةِ الْقَدْرِ</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القدر</w:t>
      </w:r>
      <w:r w:rsidRPr="00A52585">
        <w:rPr>
          <w:rFonts w:hint="cs"/>
          <w:shd w:val="clear" w:color="auto" w:fill="FFFFFF"/>
          <w:rtl/>
        </w:rPr>
        <w:t>:</w:t>
      </w:r>
      <w:r w:rsidR="00777DCB" w:rsidRPr="00A52585">
        <w:rPr>
          <w:rFonts w:hint="cs"/>
          <w:shd w:val="clear" w:color="auto" w:fill="FFFFFF"/>
          <w:rtl/>
        </w:rPr>
        <w:t xml:space="preserve"> 1</w:t>
      </w:r>
      <w:r w:rsidRPr="00A52585">
        <w:rPr>
          <w:rFonts w:hint="cs"/>
          <w:shd w:val="clear" w:color="auto" w:fill="FFFFFF"/>
          <w:rtl/>
        </w:rPr>
        <w:t>]</w:t>
      </w:r>
      <w:r w:rsidR="00DB731D" w:rsidRPr="00A52585">
        <w:rPr>
          <w:rFonts w:hint="cs"/>
          <w:shd w:val="clear" w:color="auto" w:fill="FFFFFF"/>
          <w:rtl/>
        </w:rPr>
        <w:t>،</w:t>
      </w:r>
      <w:r w:rsidR="00777DCB" w:rsidRPr="00A52585">
        <w:rPr>
          <w:rFonts w:hint="cs"/>
          <w:shd w:val="clear" w:color="auto" w:fill="FFFFFF"/>
          <w:rtl/>
        </w:rPr>
        <w:t xml:space="preserve"> وقوله تعالى</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شَهْرُ رَمَضانَ الَّذِي أُنْزِلَ فِيهِ الْقُرْآنُ</w:t>
      </w:r>
      <w:bookmarkStart w:id="8" w:name=""/>
      <w:bookmarkEnd w:id="8"/>
      <w:r w:rsidRPr="00A52585">
        <w:rPr>
          <w:rFonts w:hint="cs"/>
          <w:shd w:val="clear" w:color="auto" w:fill="FFFFFF"/>
          <w:rtl/>
        </w:rPr>
        <w:t>}</w:t>
      </w:r>
      <w:r w:rsidR="00777DCB" w:rsidRPr="00A52585">
        <w:rPr>
          <w:rFonts w:hint="cs"/>
          <w:shd w:val="clear" w:color="auto" w:fill="FFFFFF"/>
          <w:rtl/>
          <w:lang w:bidi="ar-KW"/>
        </w:rPr>
        <w:t xml:space="preserve"> </w:t>
      </w:r>
      <w:r w:rsidRPr="00A52585">
        <w:rPr>
          <w:rFonts w:hint="cs"/>
          <w:shd w:val="clear" w:color="auto" w:fill="FFFFFF"/>
          <w:rtl/>
          <w:lang w:bidi="ar-KW"/>
        </w:rPr>
        <w:t>[</w:t>
      </w:r>
      <w:r w:rsidR="00777DCB" w:rsidRPr="00A52585">
        <w:rPr>
          <w:rFonts w:hint="cs"/>
          <w:shd w:val="clear" w:color="auto" w:fill="FFFFFF"/>
          <w:rtl/>
        </w:rPr>
        <w:t>البقرة</w:t>
      </w:r>
      <w:r w:rsidRPr="00A52585">
        <w:rPr>
          <w:rFonts w:hint="cs"/>
          <w:shd w:val="clear" w:color="auto" w:fill="FFFFFF"/>
          <w:rtl/>
        </w:rPr>
        <w:t>:</w:t>
      </w:r>
      <w:r w:rsidR="00777DCB" w:rsidRPr="00A52585">
        <w:rPr>
          <w:rFonts w:hint="cs"/>
          <w:shd w:val="clear" w:color="auto" w:fill="FFFFFF"/>
          <w:rtl/>
        </w:rPr>
        <w:t xml:space="preserve"> 185</w:t>
      </w:r>
      <w:r w:rsidRPr="00A52585">
        <w:rPr>
          <w:rFonts w:hint="cs"/>
          <w:shd w:val="clear" w:color="auto" w:fill="FFFFFF"/>
          <w:rtl/>
        </w:rPr>
        <w:t>]</w:t>
      </w:r>
      <w:r w:rsidR="00DB731D" w:rsidRPr="00A52585">
        <w:rPr>
          <w:rFonts w:hint="cs"/>
          <w:shd w:val="clear" w:color="auto" w:fill="FFFFFF"/>
          <w:rtl/>
        </w:rPr>
        <w:t>،</w:t>
      </w:r>
      <w:r w:rsidR="00777DCB" w:rsidRPr="00A52585">
        <w:rPr>
          <w:rFonts w:hint="cs"/>
          <w:shd w:val="clear" w:color="auto" w:fill="FFFFFF"/>
          <w:rtl/>
        </w:rPr>
        <w:t xml:space="preserve"> ولما أخرجه النسائي والحاكم عن سعيد بن جبير، عن ابن عباس </w:t>
      </w:r>
      <w:r w:rsidR="00777DCB" w:rsidRPr="00A52585">
        <w:rPr>
          <w:rFonts w:hint="cs"/>
          <w:shd w:val="clear" w:color="auto" w:fill="FFFFFF"/>
          <w:rtl/>
        </w:rPr>
        <w:lastRenderedPageBreak/>
        <w:t>رضي الله عنهما قال: (</w:t>
      </w:r>
      <w:r w:rsidRPr="00A52585">
        <w:rPr>
          <w:rFonts w:hint="cs"/>
          <w:shd w:val="clear" w:color="auto" w:fill="FFFFFF"/>
          <w:rtl/>
        </w:rPr>
        <w:t>(</w:t>
      </w:r>
      <w:r w:rsidR="00777DCB" w:rsidRPr="00A52585">
        <w:rPr>
          <w:rFonts w:hint="cs"/>
          <w:shd w:val="clear" w:color="auto" w:fill="FFFFFF"/>
          <w:rtl/>
        </w:rPr>
        <w:t>فصل القرآن من الذكر فوضع في بيت العزة من السماء الدنيا، فجعل جبريل ينزل به على النبيّ صلّى الله عليه وسلّم</w:t>
      </w:r>
      <w:r w:rsidRPr="00A52585">
        <w:rPr>
          <w:rFonts w:hint="cs"/>
          <w:shd w:val="clear" w:color="auto" w:fill="FFFFFF"/>
          <w:rtl/>
        </w:rPr>
        <w:t>)</w:t>
      </w:r>
      <w:r w:rsidR="00777DCB" w:rsidRPr="00A52585">
        <w:rPr>
          <w:rFonts w:hint="cs"/>
          <w:shd w:val="clear" w:color="auto" w:fill="FFFFFF"/>
          <w:rtl/>
        </w:rPr>
        <w:t>)</w:t>
      </w:r>
      <w:r w:rsidR="00DB731D" w:rsidRPr="00A52585">
        <w:rPr>
          <w:rFonts w:hint="cs"/>
          <w:shd w:val="clear" w:color="auto" w:fill="FFFFFF"/>
          <w:rtl/>
        </w:rPr>
        <w:t>،</w:t>
      </w:r>
      <w:r w:rsidR="00777DCB" w:rsidRPr="00A52585">
        <w:rPr>
          <w:rFonts w:hint="cs"/>
          <w:shd w:val="clear" w:color="auto" w:fill="FFFFFF"/>
          <w:rtl/>
        </w:rPr>
        <w:t xml:space="preserve"> ولما أخرجه النسائي والحاكم من طريق داود بن أبي هند، عن عكرمة، عن ابن عباس أنه قال: (</w:t>
      </w:r>
      <w:r w:rsidRPr="00A52585">
        <w:rPr>
          <w:rFonts w:hint="cs"/>
          <w:shd w:val="clear" w:color="auto" w:fill="FFFFFF"/>
          <w:rtl/>
        </w:rPr>
        <w:t>(</w:t>
      </w:r>
      <w:r w:rsidR="00777DCB" w:rsidRPr="00A52585">
        <w:rPr>
          <w:rFonts w:hint="cs"/>
          <w:shd w:val="clear" w:color="auto" w:fill="FFFFFF"/>
          <w:rtl/>
        </w:rPr>
        <w:t>أنزل القرآن جملة واحدة إلى السماء الدنيا ليلة القدر</w:t>
      </w:r>
      <w:r w:rsidR="00DB731D" w:rsidRPr="00A52585">
        <w:rPr>
          <w:rFonts w:hint="cs"/>
          <w:shd w:val="clear" w:color="auto" w:fill="FFFFFF"/>
          <w:rtl/>
        </w:rPr>
        <w:t>،</w:t>
      </w:r>
      <w:r w:rsidR="00777DCB" w:rsidRPr="00A52585">
        <w:rPr>
          <w:rFonts w:hint="cs"/>
          <w:shd w:val="clear" w:color="auto" w:fill="FFFFFF"/>
          <w:rtl/>
        </w:rPr>
        <w:t xml:space="preserve"> ثم أنزل بعد ذلك في عشرين سنة</w:t>
      </w:r>
      <w:r w:rsidRPr="00A52585">
        <w:rPr>
          <w:rFonts w:hint="cs"/>
          <w:shd w:val="clear" w:color="auto" w:fill="FFFFFF"/>
          <w:rtl/>
        </w:rPr>
        <w:t xml:space="preserve"> </w:t>
      </w:r>
      <w:r w:rsidR="00777DCB" w:rsidRPr="00A52585">
        <w:rPr>
          <w:rFonts w:hint="cs"/>
          <w:shd w:val="clear" w:color="auto" w:fill="FFFFFF"/>
          <w:rtl/>
        </w:rPr>
        <w:t>ثم</w:t>
      </w:r>
      <w:r w:rsidRPr="00A52585">
        <w:rPr>
          <w:rFonts w:hint="cs"/>
          <w:shd w:val="clear" w:color="auto" w:fill="FFFFFF"/>
          <w:rtl/>
        </w:rPr>
        <w:t xml:space="preserve"> </w:t>
      </w:r>
      <w:r w:rsidR="00777DCB" w:rsidRPr="00A52585">
        <w:rPr>
          <w:rFonts w:hint="cs"/>
          <w:shd w:val="clear" w:color="auto" w:fill="FFFFFF"/>
          <w:rtl/>
        </w:rPr>
        <w:t>قرأ</w:t>
      </w:r>
      <w:r w:rsidRPr="00A52585">
        <w:rPr>
          <w:rFonts w:hint="cs"/>
          <w:shd w:val="clear" w:color="auto" w:fill="FFFFFF"/>
          <w:rtl/>
        </w:rPr>
        <w:t>:</w:t>
      </w:r>
      <w:r w:rsidR="00777DCB" w:rsidRPr="00A52585">
        <w:rPr>
          <w:rFonts w:hint="cs"/>
          <w:shd w:val="clear" w:color="auto" w:fill="FFFFFF"/>
          <w:rtl/>
        </w:rPr>
        <w:t xml:space="preserve"> </w:t>
      </w:r>
      <w:r w:rsidRPr="00A52585">
        <w:rPr>
          <w:rFonts w:hint="cs"/>
          <w:shd w:val="clear" w:color="auto" w:fill="FFFFFF"/>
          <w:rtl/>
        </w:rPr>
        <w:t>{</w:t>
      </w:r>
      <w:r w:rsidR="00777DCB" w:rsidRPr="00A52585">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الإسراء</w:t>
      </w:r>
      <w:r w:rsidRPr="00A52585">
        <w:rPr>
          <w:rFonts w:hint="cs"/>
          <w:rtl/>
          <w:lang w:bidi="ar-KW"/>
        </w:rPr>
        <w:t xml:space="preserve">: </w:t>
      </w:r>
      <w:r w:rsidR="00777DCB" w:rsidRPr="00A52585">
        <w:rPr>
          <w:rFonts w:hint="cs"/>
          <w:shd w:val="clear" w:color="auto" w:fill="FFFFFF"/>
          <w:rtl/>
        </w:rPr>
        <w:t>105،</w:t>
      </w:r>
      <w:r w:rsidRPr="00A52585">
        <w:rPr>
          <w:rFonts w:hint="cs"/>
          <w:shd w:val="clear" w:color="auto" w:fill="FFFFFF"/>
          <w:rtl/>
        </w:rPr>
        <w:t xml:space="preserve"> </w:t>
      </w:r>
      <w:r w:rsidR="00777DCB" w:rsidRPr="00A52585">
        <w:rPr>
          <w:rFonts w:hint="cs"/>
          <w:shd w:val="clear" w:color="auto" w:fill="FFFFFF"/>
          <w:rtl/>
        </w:rPr>
        <w:t>106</w:t>
      </w:r>
      <w:r w:rsidR="00777DCB" w:rsidRPr="00A52585">
        <w:rPr>
          <w:rFonts w:hint="cs"/>
          <w:shd w:val="clear" w:color="auto" w:fill="FFFFFF"/>
          <w:rtl/>
          <w:lang w:bidi="ar-KW"/>
        </w:rPr>
        <w:t>]</w:t>
      </w:r>
      <w:r w:rsidR="00DB731D" w:rsidRPr="00A52585">
        <w:rPr>
          <w:rFonts w:hint="cs"/>
          <w:shd w:val="clear" w:color="auto" w:fill="FFFFFF"/>
          <w:rtl/>
          <w:lang w:bidi="ar-KW"/>
        </w:rPr>
        <w:t>،</w:t>
      </w:r>
      <w:r w:rsidR="00777DCB" w:rsidRPr="00A52585">
        <w:rPr>
          <w:rFonts w:hint="cs"/>
          <w:shd w:val="clear" w:color="auto" w:fill="FFFFFF"/>
          <w:rtl/>
          <w:lang w:bidi="ar-KW"/>
        </w:rPr>
        <w:t xml:space="preserve"> </w:t>
      </w:r>
      <w:r w:rsidR="00777DCB" w:rsidRPr="00A52585">
        <w:rPr>
          <w:rFonts w:hint="cs"/>
          <w:rtl/>
        </w:rPr>
        <w:t>ثم تتابع نزول جبريل عليه السلام به من بيت العزة في السماء الأولى إلى الأرض منجماً في ثلاث وعشرين سنة</w:t>
      </w:r>
      <w:r w:rsidR="00777DCB" w:rsidRPr="00A52585">
        <w:t> </w:t>
      </w:r>
      <w:r w:rsidR="00777DCB" w:rsidRPr="00A52585">
        <w:rPr>
          <w:rFonts w:hint="cs"/>
          <w:rtl/>
        </w:rPr>
        <w:t>على حسب الوقائع والحوادث، وحاجات الناس</w:t>
      </w:r>
      <w:r w:rsidR="00DB731D" w:rsidRPr="00A52585">
        <w:rPr>
          <w:rFonts w:hint="cs"/>
          <w:rtl/>
        </w:rPr>
        <w:t>،</w:t>
      </w:r>
      <w:r w:rsidR="00777DCB" w:rsidRPr="00A52585">
        <w:rPr>
          <w:rFonts w:hint="cs"/>
          <w:rtl/>
        </w:rPr>
        <w:t xml:space="preserve"> لقوله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shd w:val="clear" w:color="auto" w:fill="FFFFFF"/>
          <w:rtl/>
        </w:rPr>
        <w:t>نَزَلَ بِهِ الرُّوحُ الْأَمِينُ (193) عَلى قَلْبِكَ لِتَكُونَ مِنَ الْمُنْذِرِينَ (194) بِلِسانٍ عَرَبِيٍّ مُبِينٍ</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الشعراء</w:t>
      </w:r>
      <w:r w:rsidRPr="00A52585">
        <w:rPr>
          <w:rFonts w:hint="cs"/>
          <w:rtl/>
          <w:lang w:bidi="ar-KW"/>
        </w:rPr>
        <w:t>:</w:t>
      </w:r>
      <w:r w:rsidR="00777DCB" w:rsidRPr="00A52585">
        <w:rPr>
          <w:rFonts w:hint="cs"/>
          <w:rtl/>
          <w:lang w:bidi="ar-KW"/>
        </w:rPr>
        <w:t xml:space="preserve"> 193 إلى 195</w:t>
      </w:r>
      <w:r w:rsidRPr="00A52585">
        <w:rPr>
          <w:rFonts w:hint="cs"/>
          <w:rtl/>
          <w:lang w:bidi="ar-KW"/>
        </w:rPr>
        <w:t>]</w:t>
      </w:r>
      <w:r w:rsidR="00DB731D" w:rsidRPr="00A52585">
        <w:rPr>
          <w:rFonts w:hint="cs"/>
          <w:rtl/>
          <w:lang w:bidi="ar-KW"/>
        </w:rPr>
        <w:t>،</w:t>
      </w:r>
      <w:r w:rsidR="00777DCB" w:rsidRPr="00A52585">
        <w:rPr>
          <w:rFonts w:hint="cs"/>
          <w:rtl/>
          <w:lang w:bidi="ar-KW"/>
        </w:rPr>
        <w:t xml:space="preserve"> وقوله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shd w:val="clear" w:color="auto" w:fill="FFFFFF"/>
          <w:rtl/>
        </w:rPr>
        <w:t>وَقُرْآناً فَرَقْناهُ لِتَقْرَأَهُ عَلَى النَّاسِ عَلى مُكْثٍ وَنَزَّلْناهُ تَنْزِيلًا</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الإسراء</w:t>
      </w:r>
      <w:r w:rsidRPr="00A52585">
        <w:rPr>
          <w:rFonts w:hint="cs"/>
          <w:rtl/>
          <w:lang w:bidi="ar-KW"/>
        </w:rPr>
        <w:t>:</w:t>
      </w:r>
      <w:r w:rsidR="00777DCB" w:rsidRPr="00A52585">
        <w:rPr>
          <w:rFonts w:hint="cs"/>
          <w:rtl/>
          <w:lang w:bidi="ar-KW"/>
        </w:rPr>
        <w:t xml:space="preserve"> 106</w:t>
      </w:r>
      <w:r w:rsidRPr="00A52585">
        <w:rPr>
          <w:rFonts w:hint="cs"/>
          <w:rtl/>
          <w:lang w:bidi="ar-KW"/>
        </w:rPr>
        <w:t>]</w:t>
      </w:r>
      <w:r w:rsidR="00DB731D" w:rsidRPr="00A52585">
        <w:rPr>
          <w:rFonts w:hint="cs"/>
          <w:rtl/>
          <w:lang w:bidi="ar-KW"/>
        </w:rPr>
        <w:t>،</w:t>
      </w:r>
      <w:r w:rsidR="00777DCB" w:rsidRPr="00A52585">
        <w:rPr>
          <w:rFonts w:hint="cs"/>
          <w:rtl/>
          <w:lang w:bidi="ar-KW"/>
        </w:rPr>
        <w:t xml:space="preserve"> فلا علاقة لنزول القرآن من اللوح المحفوظ إلى بيت العزة إلى الأرض</w:t>
      </w:r>
      <w:r w:rsidR="00DB731D" w:rsidRPr="00A52585">
        <w:rPr>
          <w:rFonts w:hint="cs"/>
          <w:rtl/>
          <w:lang w:bidi="ar-KW"/>
        </w:rPr>
        <w:t>،</w:t>
      </w:r>
      <w:r w:rsidR="00777DCB" w:rsidRPr="00A52585">
        <w:rPr>
          <w:rFonts w:hint="cs"/>
          <w:rtl/>
          <w:lang w:bidi="ar-KW"/>
        </w:rPr>
        <w:t xml:space="preserve"> باستدلالهم بنسبة المكان إلى الله تعالى الله عن نسبة النقص والعجز ومماثلة الخلق إليه</w:t>
      </w:r>
      <w:r w:rsidR="00DB731D" w:rsidRPr="00A52585">
        <w:rPr>
          <w:rFonts w:hint="cs"/>
          <w:rtl/>
          <w:lang w:bidi="ar-KW"/>
        </w:rPr>
        <w:t>،</w:t>
      </w:r>
      <w:r w:rsidR="00777DCB" w:rsidRPr="00A52585">
        <w:rPr>
          <w:rFonts w:hint="cs"/>
          <w:rtl/>
          <w:lang w:bidi="ar-KW"/>
        </w:rPr>
        <w:t xml:space="preserve"> أما نسبة النقص لأنّ المكان محدود والله تعالى منزه عن الحدود</w:t>
      </w:r>
      <w:r w:rsidR="00DB731D" w:rsidRPr="00A52585">
        <w:rPr>
          <w:rFonts w:hint="cs"/>
          <w:rtl/>
          <w:lang w:bidi="ar-KW"/>
        </w:rPr>
        <w:t>،</w:t>
      </w:r>
      <w:r w:rsidR="00777DCB" w:rsidRPr="00A52585">
        <w:rPr>
          <w:rFonts w:hint="cs"/>
          <w:rtl/>
          <w:lang w:bidi="ar-KW"/>
        </w:rPr>
        <w:t xml:space="preserve"> ونسبة العجز لأنّ المكان يحيط بمن فيه ويقهره فلا يستطيع منه فكاكا إلا إلى مكان آخر</w:t>
      </w:r>
      <w:r w:rsidR="00DB731D" w:rsidRPr="00A52585">
        <w:rPr>
          <w:rFonts w:hint="cs"/>
          <w:rtl/>
          <w:lang w:bidi="ar-KW"/>
        </w:rPr>
        <w:t>،</w:t>
      </w:r>
      <w:r w:rsidR="00777DCB" w:rsidRPr="00A52585">
        <w:rPr>
          <w:rFonts w:hint="cs"/>
          <w:rtl/>
          <w:lang w:bidi="ar-KW"/>
        </w:rPr>
        <w:t xml:space="preserve"> والله بكل شيء محيط وهو القاهر لكل شيء</w:t>
      </w:r>
      <w:r w:rsidR="00DB731D" w:rsidRPr="00A52585">
        <w:rPr>
          <w:rFonts w:hint="cs"/>
          <w:rtl/>
          <w:lang w:bidi="ar-KW"/>
        </w:rPr>
        <w:t>،</w:t>
      </w:r>
      <w:r w:rsidR="00777DCB" w:rsidRPr="00A52585">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00DB731D" w:rsidRPr="00A52585">
        <w:rPr>
          <w:rFonts w:hint="cs"/>
          <w:rtl/>
          <w:lang w:bidi="ar-KW"/>
        </w:rPr>
        <w:t>،</w:t>
      </w:r>
      <w:r w:rsidR="00777DCB" w:rsidRPr="00A52585">
        <w:rPr>
          <w:rFonts w:hint="cs"/>
          <w:rtl/>
          <w:lang w:bidi="ar-KW"/>
        </w:rPr>
        <w:t xml:space="preserve"> </w:t>
      </w:r>
    </w:p>
    <w:p w14:paraId="2F88A598" w14:textId="459CBF96" w:rsidR="00777DCB" w:rsidRPr="00A52585" w:rsidRDefault="0002035C" w:rsidP="0002035C">
      <w:pPr>
        <w:spacing w:after="240"/>
        <w:rPr>
          <w:rFonts w:eastAsia="Times New Roman"/>
          <w:bCs/>
          <w:i/>
          <w:iCs/>
          <w:rtl/>
          <w:lang w:eastAsia="ar-SA"/>
        </w:rPr>
      </w:pPr>
      <w:r w:rsidRPr="00A52585">
        <w:rPr>
          <w:rFonts w:eastAsia="Times New Roman"/>
          <w:bCs/>
          <w:rtl/>
          <w:lang w:eastAsia="ar-SA"/>
        </w:rPr>
        <w:t>(</w:t>
      </w:r>
      <w:r w:rsidR="00777DCB" w:rsidRPr="00A52585">
        <w:rPr>
          <w:rFonts w:eastAsia="Times New Roman"/>
          <w:bCs/>
          <w:rtl/>
          <w:lang w:eastAsia="ar-SA"/>
        </w:rPr>
        <w:t>10</w:t>
      </w:r>
      <w:r w:rsidRPr="00A52585">
        <w:rPr>
          <w:rFonts w:eastAsia="Times New Roman"/>
          <w:bCs/>
          <w:rtl/>
          <w:lang w:eastAsia="ar-SA"/>
        </w:rPr>
        <w:t>)</w:t>
      </w:r>
      <w:r w:rsidR="00777DCB" w:rsidRPr="00A52585">
        <w:rPr>
          <w:rFonts w:eastAsia="Times New Roman"/>
          <w:bCs/>
          <w:rtl/>
          <w:lang w:eastAsia="ar-SA"/>
        </w:rPr>
        <w:t xml:space="preserve"> حل اشكالية</w:t>
      </w:r>
      <w:r w:rsidR="00777DCB" w:rsidRPr="00A52585">
        <w:rPr>
          <w:rFonts w:eastAsia="Times New Roman"/>
          <w:bCs/>
          <w:rtl/>
          <w:lang w:eastAsia="ar-SA" w:bidi="ar-KW"/>
        </w:rPr>
        <w:t xml:space="preserve"> </w:t>
      </w:r>
      <w:r w:rsidR="00777DCB" w:rsidRPr="00A52585">
        <w:rPr>
          <w:rFonts w:eastAsia="Times New Roman"/>
          <w:bCs/>
          <w:rtl/>
          <w:lang w:eastAsia="ar-SA"/>
        </w:rPr>
        <w:t>الدليل الثامن</w:t>
      </w:r>
      <w:r w:rsidRPr="00A52585">
        <w:rPr>
          <w:rFonts w:eastAsia="Times New Roman"/>
          <w:rtl/>
          <w:lang w:eastAsia="ar-SA"/>
        </w:rPr>
        <w:t xml:space="preserve">: </w:t>
      </w:r>
      <w:r w:rsidR="00777DCB" w:rsidRPr="00A52585">
        <w:rPr>
          <w:rFonts w:eastAsia="Times New Roman"/>
          <w:rtl/>
          <w:lang w:eastAsia="ar-SA"/>
        </w:rPr>
        <w:t>التصريح باختصاص بعض المخلوقات بأنها عنده وأن بعضها أقرب إليه من بعض</w:t>
      </w:r>
      <w:r w:rsidR="00DB731D" w:rsidRPr="00A52585">
        <w:rPr>
          <w:rFonts w:eastAsia="Times New Roman"/>
          <w:rtl/>
          <w:lang w:eastAsia="ar-SA"/>
        </w:rPr>
        <w:t>،</w:t>
      </w:r>
      <w:r w:rsidR="00777DCB" w:rsidRPr="00A52585">
        <w:rPr>
          <w:rFonts w:eastAsia="Times New Roman"/>
          <w:rtl/>
          <w:lang w:eastAsia="ar-SA"/>
        </w:rPr>
        <w:t xml:space="preserve"> كما في قوله تعالى</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إِنَّ الَّذِينَ عِنْدَ رَبِّكَ</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الأعراف</w:t>
      </w:r>
      <w:r w:rsidRPr="00A52585">
        <w:rPr>
          <w:rFonts w:eastAsia="Times New Roman"/>
          <w:rtl/>
          <w:lang w:eastAsia="ar-SA"/>
        </w:rPr>
        <w:t>:</w:t>
      </w:r>
      <w:r w:rsidR="00777DCB" w:rsidRPr="00A52585">
        <w:rPr>
          <w:rFonts w:eastAsia="Times New Roman"/>
          <w:rtl/>
          <w:lang w:eastAsia="ar-SA"/>
        </w:rPr>
        <w:t xml:space="preserve"> 206</w:t>
      </w:r>
      <w:r w:rsidRPr="00A52585">
        <w:rPr>
          <w:rFonts w:eastAsia="Times New Roman"/>
          <w:rtl/>
          <w:lang w:eastAsia="ar-SA"/>
        </w:rPr>
        <w:t>]</w:t>
      </w:r>
      <w:r w:rsidR="00777DCB" w:rsidRPr="00A52585">
        <w:rPr>
          <w:rFonts w:eastAsia="Times New Roman"/>
          <w:rtl/>
          <w:lang w:eastAsia="ar-SA"/>
        </w:rPr>
        <w:t xml:space="preserve"> , وقوله تعالى</w:t>
      </w:r>
      <w:r w:rsidRPr="00A52585">
        <w:rPr>
          <w:rFonts w:eastAsia="Times New Roman"/>
          <w:rtl/>
          <w:lang w:eastAsia="ar-SA"/>
        </w:rPr>
        <w:t>:</w:t>
      </w:r>
      <w:r w:rsidR="00777DCB" w:rsidRPr="00A52585">
        <w:rPr>
          <w:rFonts w:eastAsia="Times New Roman"/>
          <w:rtl/>
          <w:lang w:eastAsia="ar-SA"/>
        </w:rPr>
        <w:t xml:space="preserve"> {وَلَهُ مَنْ فِي السَّمَاوَاتِ وَالْأَرْضِ وَمَنْ عِنْدَهُ لا يَسْتَكْبِرُونَ عَنْ عِبَادَتِهِ وَلا يَسْتَحْسِرُونَ</w:t>
      </w:r>
      <w:r w:rsidRPr="00A52585">
        <w:rPr>
          <w:rFonts w:eastAsia="Times New Roman"/>
          <w:rtl/>
          <w:lang w:eastAsia="ar-SA"/>
        </w:rPr>
        <w:t>} [</w:t>
      </w:r>
      <w:r w:rsidR="00777DCB" w:rsidRPr="00A52585">
        <w:rPr>
          <w:rFonts w:eastAsia="Times New Roman"/>
          <w:rtl/>
          <w:lang w:eastAsia="ar-SA"/>
        </w:rPr>
        <w:t>الأنبياء</w:t>
      </w:r>
      <w:r w:rsidRPr="00A52585">
        <w:rPr>
          <w:rFonts w:eastAsia="Times New Roman"/>
          <w:rtl/>
          <w:lang w:eastAsia="ar-SA"/>
        </w:rPr>
        <w:t>:</w:t>
      </w:r>
      <w:r w:rsidR="00777DCB" w:rsidRPr="00A52585">
        <w:rPr>
          <w:rFonts w:eastAsia="Times New Roman"/>
          <w:rtl/>
          <w:lang w:eastAsia="ar-SA"/>
        </w:rPr>
        <w:t xml:space="preserve"> 19</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bidi="ar-KW"/>
        </w:rPr>
        <w:t xml:space="preserve"> </w:t>
      </w:r>
      <w:r w:rsidR="00777DCB" w:rsidRPr="00A52585">
        <w:rPr>
          <w:rFonts w:eastAsia="Times New Roman"/>
          <w:rtl/>
          <w:lang w:eastAsia="ar-SA"/>
        </w:rPr>
        <w:t xml:space="preserve">المراد من </w:t>
      </w:r>
      <w:proofErr w:type="spellStart"/>
      <w:r w:rsidR="00777DCB" w:rsidRPr="00A52585">
        <w:rPr>
          <w:rFonts w:eastAsia="Times New Roman"/>
          <w:rtl/>
          <w:lang w:eastAsia="ar-SA"/>
        </w:rPr>
        <w:t>العندية</w:t>
      </w:r>
      <w:proofErr w:type="spellEnd"/>
      <w:r w:rsidR="00777DCB" w:rsidRPr="00A52585">
        <w:rPr>
          <w:rFonts w:eastAsia="Times New Roman"/>
          <w:rtl/>
          <w:lang w:eastAsia="ar-SA"/>
        </w:rPr>
        <w:t xml:space="preserve"> في قوله تعالى</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إِنَّ الَّذِينَ عِنْدَ رَبِّكَ</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وقوله تعالى</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وَمَنْ عِنْدَهُ</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هو </w:t>
      </w:r>
      <w:proofErr w:type="spellStart"/>
      <w:r w:rsidR="00777DCB" w:rsidRPr="00A52585">
        <w:rPr>
          <w:rFonts w:eastAsia="Times New Roman"/>
          <w:rtl/>
          <w:lang w:eastAsia="ar-SA"/>
        </w:rPr>
        <w:t>عندية</w:t>
      </w:r>
      <w:proofErr w:type="spellEnd"/>
      <w:r w:rsidR="00777DCB" w:rsidRPr="00A52585">
        <w:rPr>
          <w:rFonts w:eastAsia="Times New Roman"/>
          <w:rtl/>
          <w:lang w:eastAsia="ar-SA"/>
        </w:rPr>
        <w:t xml:space="preserve"> القرب من الله تعالى بالزلفى والرضا والمكانة لا </w:t>
      </w:r>
      <w:proofErr w:type="spellStart"/>
      <w:r w:rsidR="00777DCB" w:rsidRPr="00A52585">
        <w:rPr>
          <w:rFonts w:eastAsia="Times New Roman"/>
          <w:rtl/>
          <w:lang w:eastAsia="ar-SA"/>
        </w:rPr>
        <w:t>عندية</w:t>
      </w:r>
      <w:proofErr w:type="spellEnd"/>
      <w:r w:rsidR="00777DCB" w:rsidRPr="00A52585">
        <w:rPr>
          <w:rFonts w:eastAsia="Times New Roman"/>
          <w:rtl/>
          <w:lang w:eastAsia="ar-SA"/>
        </w:rPr>
        <w:t xml:space="preserve"> المكان لتنزه الله تعالى عن الكون في الأماكن</w:t>
      </w:r>
      <w:r w:rsidR="00DB731D" w:rsidRPr="00A52585">
        <w:rPr>
          <w:rFonts w:eastAsia="Times New Roman"/>
          <w:rtl/>
          <w:lang w:eastAsia="ar-SA"/>
        </w:rPr>
        <w:t>،</w:t>
      </w:r>
      <w:r w:rsidR="00777DCB" w:rsidRPr="00A52585">
        <w:rPr>
          <w:rFonts w:eastAsia="Times New Roman"/>
          <w:rtl/>
          <w:lang w:eastAsia="ar-SA"/>
        </w:rPr>
        <w:t xml:space="preserve"> القرب في الآيات عائد إلى الرتبة والمنزلة والحظوة والدرجة الرفيعة والمكانة لا إلى المكان</w:t>
      </w:r>
      <w:r w:rsidR="00DB731D" w:rsidRPr="00A52585">
        <w:rPr>
          <w:rFonts w:eastAsia="Times New Roman"/>
          <w:rtl/>
          <w:lang w:eastAsia="ar-SA"/>
        </w:rPr>
        <w:t>،</w:t>
      </w:r>
      <w:r w:rsidR="00777DCB" w:rsidRPr="00A52585">
        <w:rPr>
          <w:rFonts w:eastAsia="Times New Roman"/>
          <w:rtl/>
          <w:lang w:eastAsia="ar-SA"/>
        </w:rPr>
        <w:t xml:space="preserve"> قال القرطبي</w:t>
      </w:r>
      <w:r w:rsidRPr="00A52585">
        <w:rPr>
          <w:rFonts w:eastAsia="Times New Roman"/>
          <w:rtl/>
          <w:lang w:eastAsia="ar-SA"/>
        </w:rPr>
        <w:t>:</w:t>
      </w:r>
      <w:r w:rsidR="00777DCB" w:rsidRPr="00A52585">
        <w:rPr>
          <w:rFonts w:eastAsia="Times New Roman"/>
          <w:rtl/>
          <w:lang w:eastAsia="ar-SA"/>
        </w:rPr>
        <w:t xml:space="preserve"> (لأنهم قريبون من رحمته وكل قريب من رحمة الله عز وجل فهو عنده عن الزجاج وقال غيره</w:t>
      </w:r>
      <w:r w:rsidRPr="00A52585">
        <w:rPr>
          <w:rFonts w:eastAsia="Times New Roman"/>
          <w:rtl/>
          <w:lang w:eastAsia="ar-SA"/>
        </w:rPr>
        <w:t xml:space="preserve"> </w:t>
      </w:r>
      <w:r w:rsidR="00777DCB" w:rsidRPr="00A52585">
        <w:rPr>
          <w:rFonts w:eastAsia="Times New Roman"/>
          <w:rtl/>
          <w:lang w:eastAsia="ar-SA"/>
        </w:rPr>
        <w:t>لأنهم في موضع لا ينفذ فيه إلا حكم الله وقيل</w:t>
      </w:r>
      <w:r w:rsidRPr="00A52585">
        <w:rPr>
          <w:rFonts w:eastAsia="Times New Roman"/>
          <w:rtl/>
          <w:lang w:eastAsia="ar-SA"/>
        </w:rPr>
        <w:t xml:space="preserve"> </w:t>
      </w:r>
      <w:r w:rsidR="00777DCB" w:rsidRPr="00A52585">
        <w:rPr>
          <w:rFonts w:eastAsia="Times New Roman"/>
          <w:rtl/>
          <w:lang w:eastAsia="ar-SA"/>
        </w:rPr>
        <w:t>لأنهم رسل الله كما يقال</w:t>
      </w:r>
      <w:r w:rsidRPr="00A52585">
        <w:rPr>
          <w:rFonts w:eastAsia="Times New Roman"/>
          <w:rtl/>
          <w:lang w:eastAsia="ar-SA"/>
        </w:rPr>
        <w:t xml:space="preserve"> </w:t>
      </w:r>
      <w:r w:rsidR="00777DCB" w:rsidRPr="00A52585">
        <w:rPr>
          <w:rFonts w:eastAsia="Times New Roman"/>
          <w:rtl/>
          <w:lang w:eastAsia="ar-SA"/>
        </w:rPr>
        <w:t>عند الخليفة جيش كثير وقيل</w:t>
      </w:r>
      <w:r w:rsidRPr="00A52585">
        <w:rPr>
          <w:rFonts w:eastAsia="Times New Roman"/>
          <w:rtl/>
          <w:lang w:eastAsia="ar-SA"/>
        </w:rPr>
        <w:t xml:space="preserve"> </w:t>
      </w:r>
      <w:r w:rsidR="00777DCB" w:rsidRPr="00A52585">
        <w:rPr>
          <w:rFonts w:eastAsia="Times New Roman"/>
          <w:rtl/>
          <w:lang w:eastAsia="ar-SA"/>
        </w:rPr>
        <w:t>هذا على جهة التشريف لهم وأنهم بالمكان المكرم فهو عبارة عن قربهم في الكرامة لا في المسافة</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تفسير القرطبي ج: 7 ص: 356</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رحمه الله</w:t>
      </w:r>
      <w:r w:rsidRPr="00A52585">
        <w:rPr>
          <w:rFonts w:eastAsia="Times New Roman"/>
          <w:rtl/>
          <w:lang w:eastAsia="ar-SA"/>
        </w:rPr>
        <w:t>:</w:t>
      </w:r>
      <w:r w:rsidR="00777DCB" w:rsidRPr="00A52585">
        <w:rPr>
          <w:rFonts w:eastAsia="Times New Roman"/>
          <w:rtl/>
          <w:lang w:eastAsia="ar-SA"/>
        </w:rPr>
        <w:t xml:space="preserve"> (قوله</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إن الذين</w:t>
      </w:r>
      <w:r w:rsidRPr="00A52585">
        <w:rPr>
          <w:rFonts w:eastAsia="Times New Roman"/>
          <w:rtl/>
          <w:lang w:eastAsia="ar-SA"/>
        </w:rPr>
        <w:t xml:space="preserve"> </w:t>
      </w:r>
      <w:r w:rsidR="00777DCB" w:rsidRPr="00A52585">
        <w:rPr>
          <w:rFonts w:eastAsia="Times New Roman"/>
          <w:rtl/>
          <w:lang w:eastAsia="ar-SA"/>
        </w:rPr>
        <w:t>عند ربك</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 </w:t>
      </w:r>
      <w:r w:rsidRPr="00A52585">
        <w:rPr>
          <w:rFonts w:eastAsia="Times New Roman"/>
          <w:rtl/>
          <w:lang w:eastAsia="ar-SA"/>
        </w:rPr>
        <w:t>{</w:t>
      </w:r>
      <w:r w:rsidR="00777DCB" w:rsidRPr="00A52585">
        <w:rPr>
          <w:rFonts w:eastAsia="Times New Roman"/>
          <w:rtl/>
          <w:lang w:eastAsia="ar-SA"/>
        </w:rPr>
        <w:t>رب ابن لي عندك بيتا في الجنة</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 </w:t>
      </w:r>
      <w:r w:rsidRPr="00A52585">
        <w:rPr>
          <w:rFonts w:eastAsia="Times New Roman"/>
          <w:rtl/>
          <w:lang w:eastAsia="ar-SA"/>
        </w:rPr>
        <w:t>{</w:t>
      </w:r>
      <w:r w:rsidR="00777DCB" w:rsidRPr="00A52585">
        <w:rPr>
          <w:rFonts w:eastAsia="Times New Roman"/>
          <w:rtl/>
          <w:lang w:eastAsia="ar-SA"/>
        </w:rPr>
        <w:t>إن الله لمع المحسنين</w:t>
      </w:r>
      <w:r w:rsidRPr="00A52585">
        <w:rPr>
          <w:rFonts w:eastAsia="Times New Roman"/>
          <w:rtl/>
          <w:lang w:eastAsia="ar-SA"/>
        </w:rPr>
        <w:t>}</w:t>
      </w:r>
      <w:r w:rsidR="00777DCB" w:rsidRPr="00A52585">
        <w:rPr>
          <w:rFonts w:eastAsia="Times New Roman"/>
          <w:rtl/>
          <w:lang w:eastAsia="ar-SA"/>
        </w:rPr>
        <w:t xml:space="preserve"> ونحو ذلك كل ذلك عائد إلى الرتبة والمنزلة والحظوة والدرجة الرفيعة لا إلى </w:t>
      </w:r>
      <w:r w:rsidR="00777DCB" w:rsidRPr="00A52585">
        <w:rPr>
          <w:rFonts w:eastAsia="Times New Roman"/>
          <w:rtl/>
          <w:lang w:eastAsia="ar-SA"/>
        </w:rPr>
        <w:lastRenderedPageBreak/>
        <w:t>المكان</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تفسير القرطبي ج: 10 ص: 312</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أبو السعود</w:t>
      </w:r>
      <w:r w:rsidRPr="00A52585">
        <w:rPr>
          <w:rFonts w:eastAsia="Times New Roman"/>
          <w:rtl/>
          <w:lang w:eastAsia="ar-SA"/>
        </w:rPr>
        <w:t>:</w:t>
      </w:r>
      <w:r w:rsidR="00777DCB" w:rsidRPr="00A52585">
        <w:rPr>
          <w:rFonts w:eastAsia="Times New Roman"/>
          <w:rtl/>
          <w:lang w:eastAsia="ar-SA"/>
        </w:rPr>
        <w:t xml:space="preserve"> (إن الذين</w:t>
      </w:r>
      <w:r w:rsidRPr="00A52585">
        <w:rPr>
          <w:rFonts w:eastAsia="Times New Roman"/>
          <w:rtl/>
          <w:lang w:eastAsia="ar-SA"/>
        </w:rPr>
        <w:t xml:space="preserve"> </w:t>
      </w:r>
      <w:r w:rsidR="00777DCB" w:rsidRPr="00A52585">
        <w:rPr>
          <w:rFonts w:eastAsia="Times New Roman"/>
          <w:rtl/>
          <w:lang w:eastAsia="ar-SA"/>
        </w:rPr>
        <w:t>عند ربك</w:t>
      </w:r>
      <w:r w:rsidRPr="00A52585">
        <w:rPr>
          <w:rFonts w:eastAsia="Times New Roman"/>
          <w:rtl/>
          <w:lang w:eastAsia="ar-SA"/>
        </w:rPr>
        <w:t xml:space="preserve"> </w:t>
      </w:r>
      <w:r w:rsidR="00777DCB" w:rsidRPr="00A52585">
        <w:rPr>
          <w:rFonts w:eastAsia="Times New Roman"/>
          <w:rtl/>
          <w:lang w:eastAsia="ar-SA"/>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تفسير أبي السعود ج: 3 ص: 310</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الشوكاني</w:t>
      </w:r>
      <w:r w:rsidRPr="00A52585">
        <w:rPr>
          <w:rFonts w:eastAsia="Times New Roman"/>
          <w:rtl/>
          <w:lang w:eastAsia="ar-SA"/>
        </w:rPr>
        <w:t>:</w:t>
      </w:r>
      <w:r w:rsidR="00777DCB" w:rsidRPr="00A52585">
        <w:rPr>
          <w:rFonts w:eastAsia="Times New Roman"/>
          <w:rtl/>
          <w:lang w:eastAsia="ar-SA"/>
        </w:rPr>
        <w:t xml:space="preserve"> (إن الذين</w:t>
      </w:r>
      <w:r w:rsidRPr="00A52585">
        <w:rPr>
          <w:rFonts w:eastAsia="Times New Roman"/>
          <w:rtl/>
          <w:lang w:eastAsia="ar-SA"/>
        </w:rPr>
        <w:t xml:space="preserve"> </w:t>
      </w:r>
      <w:r w:rsidR="00777DCB" w:rsidRPr="00A52585">
        <w:rPr>
          <w:rFonts w:eastAsia="Times New Roman"/>
          <w:rtl/>
          <w:lang w:eastAsia="ar-SA"/>
        </w:rPr>
        <w:t>عند ربك</w:t>
      </w:r>
      <w:r w:rsidRPr="00A52585">
        <w:rPr>
          <w:rFonts w:eastAsia="Times New Roman"/>
          <w:rtl/>
          <w:lang w:eastAsia="ar-SA"/>
        </w:rPr>
        <w:t xml:space="preserve"> </w:t>
      </w:r>
      <w:r w:rsidR="00777DCB" w:rsidRPr="00A52585">
        <w:rPr>
          <w:rFonts w:eastAsia="Times New Roman"/>
          <w:rtl/>
          <w:lang w:eastAsia="ar-SA"/>
        </w:rPr>
        <w:t>لا يستكبرون عن عبادته المراد بهم الملائكة قال القرطبي بالإجماع قال الزجاج وقال</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عند ربك</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والله عز وجل بكل مكان </w:t>
      </w:r>
      <w:r w:rsidRPr="00A52585">
        <w:rPr>
          <w:rFonts w:eastAsia="Times New Roman"/>
          <w:rtl/>
          <w:lang w:eastAsia="ar-SA"/>
        </w:rPr>
        <w:t>[</w:t>
      </w:r>
      <w:r w:rsidR="00777DCB" w:rsidRPr="00A52585">
        <w:rPr>
          <w:rFonts w:eastAsia="Times New Roman"/>
          <w:rtl/>
          <w:lang w:eastAsia="ar-SA" w:bidi="ar-KW"/>
        </w:rPr>
        <w:t>القصد أنّه قريب ليس كمثله في قربه شيء</w:t>
      </w:r>
      <w:r w:rsidR="00DB731D" w:rsidRPr="00A52585">
        <w:rPr>
          <w:rFonts w:eastAsia="Times New Roman"/>
          <w:rtl/>
          <w:lang w:eastAsia="ar-SA" w:bidi="ar-KW"/>
        </w:rPr>
        <w:t>،</w:t>
      </w:r>
      <w:r w:rsidR="00777DCB" w:rsidRPr="00A52585">
        <w:rPr>
          <w:rFonts w:eastAsia="Times New Roman"/>
          <w:rtl/>
          <w:lang w:eastAsia="ar-SA" w:bidi="ar-KW"/>
        </w:rPr>
        <w:t xml:space="preserve"> وإلا فاللفظ المناسب هو أنّ الله تعالى منزه عن المكان لأنّ الأماكن كلها محدودة والله تعالى منزه عن الحدود</w:t>
      </w:r>
      <w:r w:rsidR="00DB731D" w:rsidRPr="00A52585">
        <w:rPr>
          <w:rFonts w:eastAsia="Times New Roman"/>
          <w:rtl/>
          <w:lang w:eastAsia="ar-SA" w:bidi="ar-KW"/>
        </w:rPr>
        <w:t>،</w:t>
      </w:r>
      <w:r w:rsidR="00777DCB" w:rsidRPr="00A52585">
        <w:rPr>
          <w:rFonts w:eastAsia="Times New Roman"/>
          <w:rtl/>
          <w:lang w:eastAsia="ar-SA"/>
        </w:rPr>
        <w:t>] لأنهم قريبون من رحمته وكل قريب من رحمة الله عز وجل فهو عنده</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فتح القدير ج: 2 ص: 281</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النسفي</w:t>
      </w:r>
      <w:r w:rsidRPr="00A52585">
        <w:rPr>
          <w:rFonts w:eastAsia="Times New Roman"/>
          <w:rtl/>
          <w:lang w:eastAsia="ar-SA"/>
        </w:rPr>
        <w:t>:</w:t>
      </w:r>
      <w:r w:rsidR="00777DCB" w:rsidRPr="00A52585">
        <w:rPr>
          <w:rFonts w:eastAsia="Times New Roman"/>
          <w:rtl/>
          <w:lang w:eastAsia="ar-SA"/>
        </w:rPr>
        <w:t xml:space="preserve"> (أن الذين</w:t>
      </w:r>
      <w:r w:rsidRPr="00A52585">
        <w:rPr>
          <w:rFonts w:eastAsia="Times New Roman"/>
          <w:rtl/>
          <w:lang w:eastAsia="ar-SA"/>
        </w:rPr>
        <w:t xml:space="preserve"> </w:t>
      </w:r>
      <w:r w:rsidR="00777DCB" w:rsidRPr="00A52585">
        <w:rPr>
          <w:rFonts w:eastAsia="Times New Roman"/>
          <w:rtl/>
          <w:lang w:eastAsia="ar-SA"/>
        </w:rPr>
        <w:t>عند ربك</w:t>
      </w:r>
      <w:r w:rsidRPr="00A52585">
        <w:rPr>
          <w:rFonts w:eastAsia="Times New Roman"/>
          <w:rtl/>
          <w:lang w:eastAsia="ar-SA"/>
        </w:rPr>
        <w:t xml:space="preserve"> </w:t>
      </w:r>
      <w:r w:rsidR="00777DCB" w:rsidRPr="00A52585">
        <w:rPr>
          <w:rFonts w:eastAsia="Times New Roman"/>
          <w:rtl/>
          <w:lang w:eastAsia="ar-SA"/>
        </w:rPr>
        <w:t>مكانة ومنزلة لا مكانا ونزلا يعنى الملائكة لا يستكبرون عن عبادته</w:t>
      </w:r>
      <w:r w:rsidRPr="00A52585">
        <w:rPr>
          <w:rFonts w:eastAsia="Times New Roman"/>
          <w:rtl/>
          <w:lang w:eastAsia="ar-SA"/>
        </w:rPr>
        <w:t>)</w:t>
      </w:r>
      <w:r w:rsidR="00777DCB" w:rsidRPr="00A52585">
        <w:rPr>
          <w:rFonts w:eastAsia="Times New Roman"/>
          <w:rtl/>
          <w:lang w:eastAsia="ar-SA"/>
        </w:rPr>
        <w:t xml:space="preserve"> أهـ [تفسير النسفي ج: 2 ص: 53</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فان استكبروا فالذين عند ربك</w:t>
      </w:r>
      <w:r w:rsidRPr="00A52585">
        <w:rPr>
          <w:rFonts w:eastAsia="Times New Roman"/>
          <w:rtl/>
          <w:lang w:eastAsia="ar-SA"/>
        </w:rPr>
        <w:t>}</w:t>
      </w:r>
      <w:r w:rsidR="00777DCB" w:rsidRPr="00A52585">
        <w:rPr>
          <w:rFonts w:eastAsia="Times New Roman"/>
          <w:rtl/>
          <w:lang w:eastAsia="ar-SA"/>
        </w:rPr>
        <w:t xml:space="preserve"> أي الملائكة</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يسبحون له بالليل والنهار وهم لا يسئمون</w:t>
      </w:r>
      <w:r w:rsidRPr="00A52585">
        <w:rPr>
          <w:rFonts w:eastAsia="Times New Roman"/>
          <w:rtl/>
          <w:lang w:eastAsia="ar-SA"/>
        </w:rPr>
        <w:t>}</w:t>
      </w:r>
      <w:r w:rsidR="00777DCB" w:rsidRPr="00A52585">
        <w:rPr>
          <w:rFonts w:eastAsia="Times New Roman"/>
          <w:rtl/>
          <w:lang w:eastAsia="ar-SA"/>
        </w:rPr>
        <w:t xml:space="preserve"> لا يملون</w:t>
      </w:r>
      <w:r w:rsidR="00897A24" w:rsidRPr="00A52585">
        <w:rPr>
          <w:rFonts w:eastAsia="Times New Roman"/>
          <w:rtl/>
          <w:lang w:eastAsia="ar-SA"/>
        </w:rPr>
        <w:t>.</w:t>
      </w:r>
      <w:r w:rsidR="00777DCB" w:rsidRPr="00A52585">
        <w:rPr>
          <w:rFonts w:eastAsia="Times New Roman"/>
          <w:rtl/>
          <w:lang w:eastAsia="ar-SA"/>
        </w:rPr>
        <w:t>. وعند ربك عبارة عن الزلفى والمكانة والكرامة</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تفسير النسفي ج: 4 ص: 91</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الألوسي</w:t>
      </w:r>
      <w:r w:rsidRPr="00A52585">
        <w:rPr>
          <w:rFonts w:eastAsia="Times New Roman"/>
          <w:rtl/>
          <w:lang w:eastAsia="ar-SA"/>
        </w:rPr>
        <w:t>:</w:t>
      </w:r>
      <w:r w:rsidR="00777DCB" w:rsidRPr="00A52585">
        <w:rPr>
          <w:rFonts w:eastAsia="Times New Roman"/>
          <w:rtl/>
          <w:lang w:eastAsia="ar-SA"/>
        </w:rPr>
        <w:t xml:space="preserve"> (قوله تعالى</w:t>
      </w:r>
      <w:r w:rsidRPr="00A52585">
        <w:rPr>
          <w:rFonts w:eastAsia="Times New Roman"/>
          <w:rtl/>
          <w:lang w:eastAsia="ar-SA"/>
        </w:rPr>
        <w:t xml:space="preserve"> </w:t>
      </w:r>
      <w:r w:rsidR="00777DCB" w:rsidRPr="00A52585">
        <w:rPr>
          <w:rFonts w:eastAsia="Times New Roman"/>
          <w:rtl/>
          <w:lang w:eastAsia="ar-SA"/>
        </w:rPr>
        <w:t>إن الذين</w:t>
      </w:r>
      <w:r w:rsidRPr="00A52585">
        <w:rPr>
          <w:rFonts w:eastAsia="Times New Roman"/>
          <w:rtl/>
          <w:lang w:eastAsia="ar-SA"/>
        </w:rPr>
        <w:t xml:space="preserve"> </w:t>
      </w:r>
      <w:r w:rsidR="00777DCB" w:rsidRPr="00A52585">
        <w:rPr>
          <w:rFonts w:eastAsia="Times New Roman"/>
          <w:rtl/>
          <w:lang w:eastAsia="ar-SA"/>
        </w:rPr>
        <w:t>عند ربك</w:t>
      </w:r>
      <w:r w:rsidRPr="00A52585">
        <w:rPr>
          <w:rFonts w:eastAsia="Times New Roman"/>
          <w:rtl/>
          <w:lang w:eastAsia="ar-SA"/>
        </w:rPr>
        <w:t xml:space="preserve"> </w:t>
      </w:r>
      <w:r w:rsidR="00777DCB" w:rsidRPr="00A52585">
        <w:rPr>
          <w:rFonts w:eastAsia="Times New Roman"/>
          <w:rtl/>
          <w:lang w:eastAsia="ar-SA"/>
        </w:rPr>
        <w:t>وقوله سبحانه</w:t>
      </w:r>
      <w:r w:rsidRPr="00A52585">
        <w:rPr>
          <w:rFonts w:eastAsia="Times New Roman"/>
          <w:rtl/>
          <w:lang w:eastAsia="ar-SA"/>
        </w:rPr>
        <w:t xml:space="preserve"> </w:t>
      </w:r>
      <w:r w:rsidR="00777DCB" w:rsidRPr="00A52585">
        <w:rPr>
          <w:rFonts w:eastAsia="Times New Roman"/>
          <w:rtl/>
          <w:lang w:eastAsia="ar-SA"/>
        </w:rPr>
        <w:t>حكاية ابن لي عندك بيتا وقوله تعالى</w:t>
      </w:r>
      <w:r w:rsidRPr="00A52585">
        <w:rPr>
          <w:rFonts w:eastAsia="Times New Roman"/>
          <w:rtl/>
          <w:lang w:eastAsia="ar-SA"/>
        </w:rPr>
        <w:t xml:space="preserve"> </w:t>
      </w:r>
      <w:r w:rsidR="00777DCB" w:rsidRPr="00A52585">
        <w:rPr>
          <w:rFonts w:eastAsia="Times New Roman"/>
          <w:rtl/>
          <w:lang w:eastAsia="ar-SA"/>
        </w:rPr>
        <w:t>وإن الله لمع المحسنين إلى غير ذلك مما هو كناية عن المكانة لا عن المكان</w:t>
      </w:r>
      <w:r w:rsidRPr="00A52585">
        <w:rPr>
          <w:rFonts w:eastAsia="Times New Roman"/>
          <w:rtl/>
          <w:lang w:eastAsia="ar-SA"/>
        </w:rPr>
        <w:t>)</w:t>
      </w:r>
      <w:r w:rsidR="00777DCB" w:rsidRPr="00A52585">
        <w:rPr>
          <w:rFonts w:eastAsia="Times New Roman"/>
          <w:rtl/>
          <w:lang w:eastAsia="ar-SA"/>
        </w:rPr>
        <w:t xml:space="preserve"> أهـ [روح المعاني ج: 15 ص: 142</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ابن الجوزي فقيه الحنابلة</w:t>
      </w:r>
      <w:r w:rsidR="00DB731D" w:rsidRPr="00A52585">
        <w:rPr>
          <w:rFonts w:eastAsia="Times New Roman"/>
          <w:rtl/>
          <w:lang w:eastAsia="ar-SA"/>
        </w:rPr>
        <w:t>،</w:t>
      </w:r>
      <w:r w:rsidR="00777DCB" w:rsidRPr="00A52585">
        <w:rPr>
          <w:rFonts w:eastAsia="Times New Roman"/>
          <w:rtl/>
          <w:lang w:eastAsia="ar-SA"/>
        </w:rPr>
        <w:t xml:space="preserve"> وهو يرد على </w:t>
      </w:r>
      <w:proofErr w:type="spellStart"/>
      <w:r w:rsidR="00777DCB" w:rsidRPr="00A52585">
        <w:rPr>
          <w:rFonts w:eastAsia="Times New Roman"/>
          <w:rtl/>
          <w:lang w:eastAsia="ar-SA"/>
        </w:rPr>
        <w:t>حشوية</w:t>
      </w:r>
      <w:proofErr w:type="spellEnd"/>
      <w:r w:rsidR="00777DCB" w:rsidRPr="00A52585">
        <w:rPr>
          <w:rFonts w:eastAsia="Times New Roman"/>
          <w:rtl/>
          <w:lang w:eastAsia="ar-SA"/>
        </w:rPr>
        <w:t xml:space="preserve"> الحنابلة في كتابه الباز الأشهب المنقض على مخالفي المذهب</w:t>
      </w:r>
      <w:r w:rsidRPr="00A52585">
        <w:rPr>
          <w:rFonts w:eastAsia="Times New Roman"/>
          <w:rtl/>
          <w:lang w:eastAsia="ar-SA"/>
        </w:rPr>
        <w:t>:</w:t>
      </w:r>
      <w:r w:rsidR="00777DCB" w:rsidRPr="00A52585">
        <w:rPr>
          <w:rFonts w:eastAsia="Times New Roman"/>
          <w:rtl/>
          <w:lang w:eastAsia="ar-SA"/>
        </w:rPr>
        <w:t xml:space="preserve"> (الحديث الخامس والأربعون</w:t>
      </w:r>
      <w:r w:rsidRPr="00A52585">
        <w:rPr>
          <w:rFonts w:eastAsia="Times New Roman"/>
          <w:rtl/>
          <w:lang w:eastAsia="ar-SA"/>
        </w:rPr>
        <w:t>:</w:t>
      </w:r>
      <w:r w:rsidR="00777DCB" w:rsidRPr="00A52585">
        <w:rPr>
          <w:rFonts w:eastAsia="Times New Roman"/>
          <w:rtl/>
          <w:lang w:eastAsia="ar-SA"/>
        </w:rPr>
        <w:t xml:space="preserve"> روي البخاري ومسلم في الصحيحين من حديث أبي هريرة رضي الله عنه قال رسول الله صلى الله عليه وسلم</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لما قضي الله الخلق كتب في كتابه – فهو عنده فوق العرش – إن رحمتي غلبت غضبي</w:t>
      </w:r>
      <w:r w:rsidR="00DB731D" w:rsidRPr="00A52585">
        <w:rPr>
          <w:rFonts w:eastAsia="Times New Roman"/>
          <w:rtl/>
          <w:lang w:eastAsia="ar-SA"/>
        </w:rPr>
        <w:t>،</w:t>
      </w:r>
      <w:r w:rsidR="00777DCB" w:rsidRPr="00A52585">
        <w:rPr>
          <w:rFonts w:eastAsia="Times New Roman"/>
          <w:rtl/>
          <w:lang w:eastAsia="ar-SA"/>
        </w:rPr>
        <w:t xml:space="preserve"> وفي لفظ سبقت</w:t>
      </w:r>
      <w:r w:rsidRPr="00A52585">
        <w:rPr>
          <w:rFonts w:eastAsia="Times New Roman"/>
          <w:rtl/>
          <w:lang w:eastAsia="ar-SA"/>
        </w:rPr>
        <w:t>)</w:t>
      </w:r>
      <w:r w:rsidR="00777DCB"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قال القاضي - يقصد به أبو يعلى -</w:t>
      </w:r>
      <w:r w:rsidRPr="00A52585">
        <w:rPr>
          <w:rFonts w:eastAsia="Times New Roman"/>
          <w:rtl/>
          <w:lang w:eastAsia="ar-SA"/>
        </w:rPr>
        <w:t>:</w:t>
      </w:r>
      <w:r w:rsidR="00777DCB" w:rsidRPr="00A52585">
        <w:rPr>
          <w:rFonts w:eastAsia="Times New Roman"/>
          <w:rtl/>
          <w:lang w:eastAsia="ar-SA"/>
        </w:rPr>
        <w:t xml:space="preserve"> ظاهر قوله عنده القرب من الذات</w:t>
      </w:r>
      <w:r w:rsidR="00DB731D" w:rsidRPr="00A52585">
        <w:rPr>
          <w:rFonts w:eastAsia="Times New Roman"/>
          <w:rtl/>
          <w:lang w:eastAsia="ar-SA"/>
        </w:rPr>
        <w:t>،</w:t>
      </w:r>
      <w:r w:rsidR="00777DCB" w:rsidRPr="00A52585">
        <w:rPr>
          <w:rFonts w:eastAsia="Times New Roman"/>
          <w:rtl/>
          <w:lang w:eastAsia="ar-SA"/>
        </w:rPr>
        <w:t xml:space="preserve"> واعلم أن القرب من الحق لا يكون بمساحة وإنما ذلك من صفة الأجسام</w:t>
      </w:r>
      <w:r w:rsidR="00DB731D" w:rsidRPr="00A52585">
        <w:rPr>
          <w:rFonts w:eastAsia="Times New Roman"/>
          <w:rtl/>
          <w:lang w:eastAsia="ar-SA"/>
        </w:rPr>
        <w:t>،</w:t>
      </w:r>
      <w:r w:rsidR="00777DCB" w:rsidRPr="00A52585">
        <w:rPr>
          <w:rFonts w:eastAsia="Times New Roman"/>
          <w:rtl/>
          <w:lang w:eastAsia="ar-SA"/>
        </w:rPr>
        <w:t xml:space="preserve"> وقد قال سبحانه وتعالي " مسومة عند ربك "</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الباز الأشهب ص130-131</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وقال القاضي ابن جماعة - وهو يرد على مثبت المكان </w:t>
      </w:r>
      <w:proofErr w:type="spellStart"/>
      <w:r w:rsidR="00777DCB" w:rsidRPr="00A52585">
        <w:rPr>
          <w:rFonts w:eastAsia="Times New Roman"/>
          <w:rtl/>
          <w:lang w:eastAsia="ar-SA"/>
        </w:rPr>
        <w:t>بالعندية</w:t>
      </w:r>
      <w:proofErr w:type="spellEnd"/>
      <w:r w:rsidR="00777DCB" w:rsidRPr="00A52585">
        <w:rPr>
          <w:rFonts w:eastAsia="Times New Roman"/>
          <w:rtl/>
          <w:lang w:eastAsia="ar-SA"/>
        </w:rPr>
        <w:t xml:space="preserve"> بكلام رصين محكم يكتب بماء الذهب -</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الآية الخامسة قوله تعالى</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إن الذين عند ربك</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من ذا الذي يشفع عنده إلا بإذنه</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عند مليك مقتدر</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ابن لي عندك بيتا في الجنة}</w:t>
      </w:r>
      <w:r w:rsidR="00DB731D" w:rsidRPr="00A52585">
        <w:rPr>
          <w:rFonts w:eastAsia="Times New Roman"/>
          <w:rtl/>
          <w:lang w:eastAsia="ar-SA"/>
        </w:rPr>
        <w:t>،</w:t>
      </w:r>
      <w:r w:rsidR="00777DCB" w:rsidRPr="00A52585">
        <w:rPr>
          <w:rFonts w:eastAsia="Times New Roman"/>
          <w:rtl/>
          <w:lang w:eastAsia="ar-SA"/>
        </w:rPr>
        <w:t xml:space="preserve"> {وإن له عندنا لزلفى وحسن مآب</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ومن عنده لا يستكبرون عن عبادته</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ورد ذلك في الحديث كثيرا كقوله</w:t>
      </w:r>
      <w:r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أنا عند ظن عبدي بي</w:t>
      </w:r>
      <w:r w:rsidRPr="00A52585">
        <w:rPr>
          <w:rFonts w:eastAsia="Times New Roman"/>
          <w:rtl/>
          <w:lang w:eastAsia="ar-SA"/>
        </w:rPr>
        <w:t>)</w:t>
      </w:r>
      <w:r w:rsidR="00777DCB"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r w:rsidRPr="00A52585">
        <w:rPr>
          <w:rFonts w:eastAsia="Times New Roman"/>
          <w:rtl/>
          <w:lang w:eastAsia="ar-SA"/>
        </w:rPr>
        <w:t>(</w:t>
      </w:r>
      <w:r w:rsidR="00777DCB" w:rsidRPr="00A52585">
        <w:rPr>
          <w:rFonts w:eastAsia="Times New Roman"/>
          <w:rtl/>
          <w:lang w:eastAsia="ar-SA"/>
        </w:rPr>
        <w:t>أنا عند المنكسرة قلوبهم من أجلي</w:t>
      </w:r>
      <w:r w:rsidRPr="00A52585">
        <w:rPr>
          <w:rFonts w:eastAsia="Times New Roman"/>
          <w:rtl/>
          <w:lang w:eastAsia="ar-SA"/>
        </w:rPr>
        <w:t>)</w:t>
      </w:r>
      <w:r w:rsidR="00777DCB"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كل ذلك ليس المراد به </w:t>
      </w:r>
      <w:proofErr w:type="spellStart"/>
      <w:r w:rsidR="00777DCB" w:rsidRPr="00A52585">
        <w:rPr>
          <w:rFonts w:eastAsia="Times New Roman"/>
          <w:rtl/>
          <w:lang w:eastAsia="ar-SA"/>
        </w:rPr>
        <w:t>عندية</w:t>
      </w:r>
      <w:proofErr w:type="spellEnd"/>
      <w:r w:rsidR="00777DCB" w:rsidRPr="00A52585">
        <w:rPr>
          <w:rFonts w:eastAsia="Times New Roman"/>
          <w:rtl/>
          <w:lang w:eastAsia="ar-SA"/>
        </w:rPr>
        <w:t xml:space="preserve"> الجهة بل </w:t>
      </w:r>
      <w:proofErr w:type="spellStart"/>
      <w:r w:rsidR="00777DCB" w:rsidRPr="00A52585">
        <w:rPr>
          <w:rFonts w:eastAsia="Times New Roman"/>
          <w:rtl/>
          <w:lang w:eastAsia="ar-SA"/>
        </w:rPr>
        <w:t>عندية</w:t>
      </w:r>
      <w:proofErr w:type="spellEnd"/>
      <w:r w:rsidR="00777DCB" w:rsidRPr="00A52585">
        <w:rPr>
          <w:rFonts w:eastAsia="Times New Roman"/>
          <w:rtl/>
          <w:lang w:eastAsia="ar-SA"/>
        </w:rPr>
        <w:t xml:space="preserve"> الشرف والكرامة والإعانة والجبر واللطف</w:t>
      </w:r>
      <w:r w:rsidR="00DB731D" w:rsidRPr="00A52585">
        <w:rPr>
          <w:rFonts w:eastAsia="Times New Roman"/>
          <w:rtl/>
          <w:lang w:eastAsia="ar-SA"/>
        </w:rPr>
        <w:t>،</w:t>
      </w:r>
      <w:r w:rsidR="00777DCB" w:rsidRPr="00A52585">
        <w:rPr>
          <w:rFonts w:eastAsia="Times New Roman"/>
          <w:rtl/>
          <w:lang w:eastAsia="ar-SA"/>
        </w:rPr>
        <w:t xml:space="preserve"> لا </w:t>
      </w:r>
      <w:proofErr w:type="spellStart"/>
      <w:r w:rsidR="00777DCB" w:rsidRPr="00A52585">
        <w:rPr>
          <w:rFonts w:eastAsia="Times New Roman"/>
          <w:rtl/>
          <w:lang w:eastAsia="ar-SA"/>
        </w:rPr>
        <w:t>عندية</w:t>
      </w:r>
      <w:proofErr w:type="spellEnd"/>
      <w:r w:rsidR="00777DCB" w:rsidRPr="00A52585">
        <w:rPr>
          <w:rFonts w:eastAsia="Times New Roman"/>
          <w:rtl/>
          <w:lang w:eastAsia="ar-SA"/>
        </w:rPr>
        <w:t xml:space="preserve"> الحيز والمكان </w:t>
      </w:r>
      <w:r w:rsidR="00777DCB" w:rsidRPr="00A52585">
        <w:rPr>
          <w:rFonts w:eastAsia="Times New Roman"/>
          <w:rtl/>
          <w:lang w:eastAsia="ar-SA"/>
        </w:rPr>
        <w:lastRenderedPageBreak/>
        <w:t>فإن كون الرب تعالى عند الإنسان باعتبار الجهة والمكان محال بالإجماع</w:t>
      </w:r>
      <w:r w:rsidRPr="00A52585">
        <w:rPr>
          <w:rFonts w:eastAsia="Times New Roman"/>
          <w:rtl/>
          <w:lang w:eastAsia="ar-SA"/>
        </w:rPr>
        <w:t>)</w:t>
      </w:r>
      <w:r w:rsidR="00777DCB" w:rsidRPr="00A52585">
        <w:rPr>
          <w:rFonts w:eastAsia="Times New Roman"/>
          <w:rtl/>
          <w:lang w:eastAsia="ar-SA"/>
        </w:rPr>
        <w:t xml:space="preserve"> أهـ </w:t>
      </w:r>
      <w:r w:rsidRPr="00A52585">
        <w:rPr>
          <w:rFonts w:eastAsia="Times New Roman"/>
          <w:rtl/>
          <w:lang w:eastAsia="ar-SA"/>
        </w:rPr>
        <w:t>[</w:t>
      </w:r>
      <w:r w:rsidR="00777DCB" w:rsidRPr="00A52585">
        <w:rPr>
          <w:rFonts w:eastAsia="Times New Roman"/>
          <w:rtl/>
          <w:lang w:eastAsia="ar-SA"/>
        </w:rPr>
        <w:t>إيضاح الدليل في قطع حجج أهل التعطيل ج: 1 ص: 112</w:t>
      </w:r>
      <w:r w:rsidRPr="00A52585">
        <w:rPr>
          <w:rFonts w:eastAsia="Times New Roman"/>
          <w:rtl/>
          <w:lang w:eastAsia="ar-SA"/>
        </w:rPr>
        <w:t>]</w:t>
      </w:r>
      <w:r w:rsidR="00DB731D" w:rsidRPr="00A52585">
        <w:rPr>
          <w:rFonts w:eastAsia="Times New Roman"/>
          <w:rtl/>
          <w:lang w:eastAsia="ar-SA"/>
        </w:rPr>
        <w:t>،</w:t>
      </w:r>
      <w:r w:rsidR="00777DCB" w:rsidRPr="00A52585">
        <w:rPr>
          <w:rFonts w:eastAsia="Times New Roman"/>
          <w:rtl/>
          <w:lang w:eastAsia="ar-SA"/>
        </w:rPr>
        <w:t xml:space="preserve"> </w:t>
      </w:r>
    </w:p>
    <w:p w14:paraId="28457417" w14:textId="1A1F8B29" w:rsidR="00777DCB" w:rsidRPr="00A52585" w:rsidRDefault="0002035C" w:rsidP="0002035C">
      <w:pPr>
        <w:spacing w:after="240"/>
        <w:rPr>
          <w:bCs/>
          <w:rtl/>
        </w:rPr>
      </w:pPr>
      <w:r w:rsidRPr="00A52585">
        <w:rPr>
          <w:rFonts w:hint="cs"/>
          <w:bCs/>
          <w:rtl/>
        </w:rPr>
        <w:t>(</w:t>
      </w:r>
      <w:r w:rsidR="00777DCB" w:rsidRPr="00A52585">
        <w:rPr>
          <w:rFonts w:hint="cs"/>
          <w:bCs/>
          <w:rtl/>
        </w:rPr>
        <w:t>11</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التاسع</w:t>
      </w:r>
      <w:r w:rsidRPr="00A52585">
        <w:rPr>
          <w:rFonts w:hint="cs"/>
          <w:bCs/>
          <w:rtl/>
        </w:rPr>
        <w:t xml:space="preserve">: </w:t>
      </w:r>
      <w:r w:rsidR="00777DCB" w:rsidRPr="00A52585">
        <w:rPr>
          <w:rFonts w:hint="cs"/>
          <w:bCs/>
          <w:rtl/>
          <w:lang w:bidi="ar-SY"/>
        </w:rPr>
        <w:t>التصريح بأنه تعالى في السماء والمراد بها العلو، قال تعالى</w:t>
      </w:r>
      <w:r w:rsidR="00777DCB" w:rsidRPr="00A52585">
        <w:rPr>
          <w:rFonts w:hint="cs"/>
          <w:bCs/>
          <w:rtl/>
        </w:rPr>
        <w:t>:</w:t>
      </w:r>
      <w:r w:rsidRPr="00A52585">
        <w:rPr>
          <w:rFonts w:hint="cs"/>
          <w:bCs/>
          <w:rtl/>
        </w:rPr>
        <w:t>{</w:t>
      </w:r>
      <w:r w:rsidR="00777DCB" w:rsidRPr="00A52585">
        <w:rPr>
          <w:rFonts w:hint="cs"/>
          <w:bCs/>
          <w:rtl/>
        </w:rPr>
        <w:t>أَأَمِنْتُمْ مَنْ فِي السَّمَاءِ</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lang w:bidi="ar-SY"/>
        </w:rPr>
        <w:t>الملك</w:t>
      </w:r>
      <w:r w:rsidRPr="00A52585">
        <w:rPr>
          <w:rFonts w:hint="cs"/>
          <w:bCs/>
          <w:rtl/>
          <w:lang w:bidi="ar-SY"/>
        </w:rPr>
        <w:t>:</w:t>
      </w:r>
      <w:r w:rsidR="00777DCB" w:rsidRPr="00A52585">
        <w:rPr>
          <w:rFonts w:hint="cs"/>
          <w:bCs/>
          <w:rtl/>
          <w:lang w:bidi="ar-SY"/>
        </w:rPr>
        <w:t xml:space="preserve"> </w:t>
      </w:r>
      <w:r w:rsidR="00777DCB" w:rsidRPr="00A52585">
        <w:rPr>
          <w:rFonts w:hint="cs"/>
          <w:bCs/>
          <w:rtl/>
        </w:rPr>
        <w:t>16</w:t>
      </w:r>
      <w:r w:rsidRPr="00A52585">
        <w:rPr>
          <w:rFonts w:hint="cs"/>
          <w:bCs/>
          <w:rtl/>
        </w:rPr>
        <w:t>]</w:t>
      </w:r>
      <w:r w:rsidR="00DB731D" w:rsidRPr="00A52585">
        <w:rPr>
          <w:rFonts w:hint="cs"/>
          <w:bCs/>
          <w:rtl/>
        </w:rPr>
        <w:t>،</w:t>
      </w:r>
      <w:r w:rsidR="00777DCB" w:rsidRPr="00A52585">
        <w:rPr>
          <w:rFonts w:hint="cs"/>
          <w:bCs/>
          <w:rtl/>
          <w:lang w:bidi="ar-KW"/>
        </w:rPr>
        <w:t xml:space="preserve"> </w:t>
      </w:r>
      <w:r w:rsidR="00777DCB" w:rsidRPr="00A52585">
        <w:rPr>
          <w:rFonts w:hint="cs"/>
          <w:rtl/>
        </w:rPr>
        <w:t>الآية لها معني عديدة ولا يجوز اعتقاد متشابه تلك المعاني ولابد من ردها إلى محكمها وفهمها في اطار المحكم</w:t>
      </w:r>
      <w:r w:rsidR="00DB731D" w:rsidRPr="00A52585">
        <w:rPr>
          <w:rFonts w:hint="cs"/>
          <w:rtl/>
        </w:rPr>
        <w:t>،</w:t>
      </w:r>
      <w:r w:rsidR="00777DCB" w:rsidRPr="00A52585">
        <w:rPr>
          <w:rFonts w:hint="cs"/>
          <w:rtl/>
        </w:rPr>
        <w:t xml:space="preserve"> فقد يكون المعنى</w:t>
      </w:r>
      <w:r w:rsidRPr="00A52585">
        <w:rPr>
          <w:rFonts w:hint="cs"/>
          <w:rtl/>
        </w:rPr>
        <w:t>:</w:t>
      </w:r>
      <w:r w:rsidR="00777DCB" w:rsidRPr="00A52585">
        <w:rPr>
          <w:rFonts w:hint="cs"/>
          <w:rtl/>
        </w:rPr>
        <w:t xml:space="preserve"> أأمنتم من في السماء</w:t>
      </w:r>
      <w:r w:rsidR="00DB731D" w:rsidRPr="00A52585">
        <w:rPr>
          <w:rFonts w:hint="cs"/>
          <w:rtl/>
        </w:rPr>
        <w:t>،</w:t>
      </w:r>
      <w:r w:rsidR="00777DCB" w:rsidRPr="00A52585">
        <w:rPr>
          <w:rFonts w:hint="cs"/>
          <w:rtl/>
        </w:rPr>
        <w:t xml:space="preserve"> أي في العلو إشارة إلى علو الذات والصفات , لأنّ السماء تأتي في اللغة العربية لغة القرآن على نعنى العلو</w:t>
      </w:r>
      <w:r w:rsidR="00DB731D" w:rsidRPr="00A52585">
        <w:rPr>
          <w:rFonts w:hint="cs"/>
          <w:rtl/>
        </w:rPr>
        <w:t>،</w:t>
      </w:r>
      <w:r w:rsidR="00777DCB" w:rsidRPr="00A52585">
        <w:rPr>
          <w:rFonts w:hint="cs"/>
          <w:rtl/>
        </w:rPr>
        <w:t xml:space="preserve"> والعرب تقول</w:t>
      </w:r>
      <w:r w:rsidRPr="00A52585">
        <w:rPr>
          <w:rFonts w:hint="cs"/>
          <w:rtl/>
        </w:rPr>
        <w:t>:</w:t>
      </w:r>
      <w:r w:rsidR="00777DCB" w:rsidRPr="00A52585">
        <w:rPr>
          <w:rFonts w:hint="cs"/>
          <w:rtl/>
        </w:rPr>
        <w:t xml:space="preserve"> فلان في السماء</w:t>
      </w:r>
      <w:r w:rsidR="00DB731D" w:rsidRPr="00A52585">
        <w:rPr>
          <w:rFonts w:hint="cs"/>
          <w:rtl/>
        </w:rPr>
        <w:t>،</w:t>
      </w:r>
      <w:r w:rsidR="00777DCB" w:rsidRPr="00A52585">
        <w:rPr>
          <w:rFonts w:hint="cs"/>
          <w:rtl/>
        </w:rPr>
        <w:t xml:space="preserve"> أي في أعلى المراتب</w:t>
      </w:r>
      <w:r w:rsidR="00DB731D" w:rsidRPr="00A52585">
        <w:rPr>
          <w:rFonts w:hint="cs"/>
          <w:rtl/>
        </w:rPr>
        <w:t>،</w:t>
      </w:r>
      <w:r w:rsidR="00777DCB" w:rsidRPr="00A52585">
        <w:rPr>
          <w:rFonts w:hint="cs"/>
          <w:rtl/>
        </w:rPr>
        <w:t xml:space="preserve"> وليس معنى أأمنتم من في السماء</w:t>
      </w:r>
      <w:r w:rsidRPr="00A52585">
        <w:rPr>
          <w:rFonts w:hint="cs"/>
          <w:rtl/>
        </w:rPr>
        <w:t xml:space="preserve"> </w:t>
      </w:r>
      <w:r w:rsidR="00777DCB" w:rsidRPr="00A52585">
        <w:rPr>
          <w:rFonts w:hint="cs"/>
          <w:rtl/>
        </w:rPr>
        <w:t>أي في السماء مكانه</w:t>
      </w:r>
      <w:r w:rsidR="00DB731D" w:rsidRPr="00A52585">
        <w:rPr>
          <w:rFonts w:hint="cs"/>
          <w:rtl/>
        </w:rPr>
        <w:t>،</w:t>
      </w:r>
      <w:r w:rsidR="00777DCB" w:rsidRPr="00A52585">
        <w:rPr>
          <w:rFonts w:hint="cs"/>
          <w:rtl/>
        </w:rPr>
        <w:t xml:space="preserve"> لما تقدم من محدودية السماء</w:t>
      </w:r>
      <w:r w:rsidR="00DB731D" w:rsidRPr="00A52585">
        <w:rPr>
          <w:rFonts w:hint="cs"/>
          <w:rtl/>
        </w:rPr>
        <w:t>،</w:t>
      </w:r>
      <w:r w:rsidR="00777DCB" w:rsidRPr="00A52585">
        <w:rPr>
          <w:rFonts w:hint="cs"/>
          <w:rtl/>
        </w:rPr>
        <w:t xml:space="preserve"> والله تعالى لا حد له</w:t>
      </w:r>
      <w:r w:rsidR="00DB731D" w:rsidRPr="00A52585">
        <w:rPr>
          <w:rFonts w:hint="cs"/>
          <w:rtl/>
        </w:rPr>
        <w:t>،</w:t>
      </w:r>
      <w:r w:rsidR="00777DCB" w:rsidRPr="00A52585">
        <w:rPr>
          <w:rFonts w:hint="cs"/>
          <w:rtl/>
        </w:rPr>
        <w:t xml:space="preserve"> والسماء خلق من خلق الله تعالى</w:t>
      </w:r>
      <w:r w:rsidR="00DB731D" w:rsidRPr="00A52585">
        <w:rPr>
          <w:rFonts w:hint="cs"/>
          <w:rtl/>
        </w:rPr>
        <w:t>،</w:t>
      </w:r>
      <w:r w:rsidR="00777DCB" w:rsidRPr="00A52585">
        <w:rPr>
          <w:rFonts w:hint="cs"/>
          <w:rtl/>
        </w:rPr>
        <w:t xml:space="preserve"> والله منزه عن الحلول في شيء من خلقه</w:t>
      </w:r>
      <w:r w:rsidR="00DB731D" w:rsidRPr="00A52585">
        <w:rPr>
          <w:rFonts w:hint="cs"/>
          <w:rtl/>
        </w:rPr>
        <w:t>،</w:t>
      </w:r>
      <w:r w:rsidR="00777DCB" w:rsidRPr="00A52585">
        <w:rPr>
          <w:rFonts w:hint="cs"/>
          <w:rtl/>
        </w:rPr>
        <w:t xml:space="preserve"> إذ يستحيل على القديم أن يقبل المحدث</w:t>
      </w:r>
      <w:r w:rsidR="00DB731D" w:rsidRPr="00A52585">
        <w:rPr>
          <w:rFonts w:hint="cs"/>
          <w:rtl/>
        </w:rPr>
        <w:t>،</w:t>
      </w:r>
      <w:r w:rsidR="00777DCB" w:rsidRPr="00A52585">
        <w:rPr>
          <w:rFonts w:hint="cs"/>
          <w:rtl/>
        </w:rPr>
        <w:t xml:space="preserve"> أو أن يكون فيه أو أن يكون عليه على سبيل المكان الحسي</w:t>
      </w:r>
      <w:r w:rsidR="00DB731D" w:rsidRPr="00A52585">
        <w:rPr>
          <w:rFonts w:hint="cs"/>
          <w:rtl/>
        </w:rPr>
        <w:t>،</w:t>
      </w:r>
      <w:r w:rsidR="00777DCB" w:rsidRPr="00A52585">
        <w:rPr>
          <w:rFonts w:hint="cs"/>
          <w:rtl/>
        </w:rPr>
        <w:t xml:space="preserve"> وليس ذلك باعتبار أن مكانه تعالى في السماء , تعالى الله عن ذلك علواّ كبيراّ</w:t>
      </w:r>
      <w:r w:rsidR="00DB731D" w:rsidRPr="00A52585">
        <w:rPr>
          <w:rFonts w:hint="cs"/>
          <w:rtl/>
        </w:rPr>
        <w:t>،</w:t>
      </w:r>
      <w:r w:rsidR="00777DCB" w:rsidRPr="00A52585">
        <w:rPr>
          <w:rFonts w:hint="cs"/>
          <w:rtl/>
        </w:rPr>
        <w:t xml:space="preserve"> ولما تقدم من اجماع أهل الأصول المتخصصين في العقيدة على تنزيه الله تعالى من المكان</w:t>
      </w:r>
      <w:r w:rsidR="00DB731D" w:rsidRPr="00A52585">
        <w:rPr>
          <w:rFonts w:hint="cs"/>
          <w:rtl/>
        </w:rPr>
        <w:t>،</w:t>
      </w:r>
      <w:r w:rsidR="00777DCB" w:rsidRPr="00A52585">
        <w:rPr>
          <w:rFonts w:hint="cs"/>
          <w:rtl/>
        </w:rPr>
        <w:t xml:space="preserve"> وقد يكون المعنى</w:t>
      </w:r>
      <w:r w:rsidRPr="00A52585">
        <w:rPr>
          <w:rFonts w:hint="cs"/>
          <w:rtl/>
        </w:rPr>
        <w:t>:</w:t>
      </w:r>
      <w:r w:rsidR="00777DCB" w:rsidRPr="00A52585">
        <w:rPr>
          <w:rFonts w:hint="cs"/>
          <w:rtl/>
        </w:rPr>
        <w:t xml:space="preserve"> أأمنتم من في السماء يعني الملائكة الموكلين على تدبير هذا العالم وقد قيل هو جبريل عليه السلام لأنّه الموكل بالخسف</w:t>
      </w:r>
      <w:r w:rsidR="00DB731D" w:rsidRPr="00A52585">
        <w:rPr>
          <w:rFonts w:hint="cs"/>
          <w:rtl/>
        </w:rPr>
        <w:t>،</w:t>
      </w:r>
      <w:r w:rsidR="00777DCB" w:rsidRPr="00A52585">
        <w:rPr>
          <w:rFonts w:hint="cs"/>
          <w:rtl/>
        </w:rPr>
        <w:t xml:space="preserve"> أو يكون المعنى أأمنتم من في السماء</w:t>
      </w:r>
      <w:r w:rsidRPr="00A52585">
        <w:rPr>
          <w:rFonts w:hint="cs"/>
          <w:rtl/>
        </w:rPr>
        <w:t>:</w:t>
      </w:r>
      <w:r w:rsidR="00777DCB" w:rsidRPr="00A52585">
        <w:rPr>
          <w:rFonts w:hint="cs"/>
          <w:rtl/>
        </w:rPr>
        <w:t xml:space="preserve"> أي من في السماء أمره أو قضاؤه أو من في السماء </w:t>
      </w:r>
      <w:r w:rsidRPr="00A52585">
        <w:rPr>
          <w:rFonts w:hint="cs"/>
          <w:rtl/>
        </w:rPr>
        <w:t>(</w:t>
      </w:r>
      <w:r w:rsidR="00777DCB" w:rsidRPr="00A52585">
        <w:rPr>
          <w:rFonts w:hint="cs"/>
          <w:rtl/>
        </w:rPr>
        <w:t>أي العلو</w:t>
      </w:r>
      <w:r w:rsidRPr="00A52585">
        <w:rPr>
          <w:rFonts w:hint="cs"/>
          <w:rtl/>
        </w:rPr>
        <w:t>)</w:t>
      </w:r>
      <w:r w:rsidR="00777DCB" w:rsidRPr="00A52585">
        <w:rPr>
          <w:rFonts w:hint="cs"/>
          <w:rtl/>
        </w:rPr>
        <w:t xml:space="preserve"> مكانته وقدرته وسلطانه</w:t>
      </w:r>
      <w:r w:rsidR="00DB731D" w:rsidRPr="00A52585">
        <w:rPr>
          <w:rFonts w:hint="cs"/>
          <w:rtl/>
        </w:rPr>
        <w:t>،</w:t>
      </w:r>
      <w:r w:rsidR="00777DCB" w:rsidRPr="00A52585">
        <w:rPr>
          <w:rFonts w:hint="cs"/>
          <w:rtl/>
        </w:rPr>
        <w:t xml:space="preserve"> أما فهم الجهلاء بأن الله تعالى في السماء على سبيل </w:t>
      </w:r>
      <w:proofErr w:type="spellStart"/>
      <w:r w:rsidR="00777DCB" w:rsidRPr="00A52585">
        <w:rPr>
          <w:rFonts w:hint="cs"/>
          <w:rtl/>
        </w:rPr>
        <w:t>المظروفية</w:t>
      </w:r>
      <w:proofErr w:type="spellEnd"/>
      <w:r w:rsidR="00777DCB" w:rsidRPr="00A52585">
        <w:rPr>
          <w:rFonts w:hint="cs"/>
          <w:rtl/>
        </w:rPr>
        <w:t xml:space="preserve"> والكون في المكان مما لا يكون إلا للأجسام</w:t>
      </w:r>
      <w:r w:rsidR="00DB731D" w:rsidRPr="00A52585">
        <w:rPr>
          <w:rFonts w:hint="cs"/>
          <w:rtl/>
        </w:rPr>
        <w:t>،</w:t>
      </w:r>
      <w:r w:rsidR="00777DCB" w:rsidRPr="00A52585">
        <w:rPr>
          <w:rFonts w:hint="cs"/>
          <w:rtl/>
        </w:rPr>
        <w:t xml:space="preserve"> فهذا لا يجوز في حق الله تعالى</w:t>
      </w:r>
      <w:r w:rsidR="00DB731D" w:rsidRPr="00A52585">
        <w:rPr>
          <w:rFonts w:hint="cs"/>
          <w:rtl/>
        </w:rPr>
        <w:t>،</w:t>
      </w:r>
      <w:r w:rsidRPr="00A52585">
        <w:rPr>
          <w:rFonts w:hint="cs"/>
          <w:rtl/>
        </w:rPr>
        <w:t xml:space="preserve"> </w:t>
      </w:r>
      <w:r w:rsidR="00777DCB" w:rsidRPr="00A52585">
        <w:rPr>
          <w:rFonts w:hint="cs"/>
          <w:rtl/>
        </w:rPr>
        <w:t>وأئمة السلف الآية عندهم من المتشابه الذي قراءته تفسيره</w:t>
      </w:r>
      <w:r w:rsidR="00DB731D" w:rsidRPr="00A52585">
        <w:rPr>
          <w:rFonts w:hint="cs"/>
          <w:rtl/>
        </w:rPr>
        <w:t>،</w:t>
      </w:r>
      <w:r w:rsidR="00777DCB" w:rsidRPr="00A52585">
        <w:rPr>
          <w:rFonts w:hint="cs"/>
          <w:rtl/>
        </w:rPr>
        <w:t xml:space="preserve"> والرسوخ في العلم عندهم تفويض معناه المراد إلى الله ورسوله</w:t>
      </w:r>
      <w:r w:rsidR="00DB731D" w:rsidRPr="00A52585">
        <w:rPr>
          <w:rFonts w:hint="cs"/>
          <w:rtl/>
        </w:rPr>
        <w:t>،</w:t>
      </w:r>
      <w:r w:rsidR="00777DCB" w:rsidRPr="00A52585">
        <w:rPr>
          <w:rFonts w:hint="cs"/>
          <w:rtl/>
        </w:rPr>
        <w:t xml:space="preserve"> مع تنزيه الله تعالى عمّا لا يليق به من صفات الأجسام والحد والحدوث وغيرها نمن صفات العجز والنقص</w:t>
      </w:r>
      <w:r w:rsidR="00DB731D" w:rsidRPr="00A52585">
        <w:rPr>
          <w:rFonts w:hint="cs"/>
          <w:rtl/>
        </w:rPr>
        <w:t>،</w:t>
      </w:r>
      <w:r w:rsidR="00777DCB" w:rsidRPr="00A52585">
        <w:rPr>
          <w:rFonts w:hint="cs"/>
          <w:rtl/>
        </w:rPr>
        <w:t xml:space="preserve"> وإليك طائفة من أقوال الراسخين في علم العقيدة والمتخصصين فيها في فهم الآية ورد </w:t>
      </w:r>
      <w:proofErr w:type="spellStart"/>
      <w:r w:rsidR="00777DCB" w:rsidRPr="00A52585">
        <w:rPr>
          <w:rFonts w:hint="cs"/>
          <w:rtl/>
        </w:rPr>
        <w:t>متشابهها</w:t>
      </w:r>
      <w:proofErr w:type="spellEnd"/>
      <w:r w:rsidR="00777DCB" w:rsidRPr="00A52585">
        <w:rPr>
          <w:rFonts w:hint="cs"/>
          <w:rtl/>
        </w:rPr>
        <w:t xml:space="preserve"> إلى محكمه</w:t>
      </w:r>
      <w:r w:rsidR="00DB731D" w:rsidRPr="00A52585">
        <w:rPr>
          <w:rFonts w:hint="cs"/>
          <w:rtl/>
        </w:rPr>
        <w:t>،</w:t>
      </w:r>
      <w:r w:rsidR="00777DCB" w:rsidRPr="00A52585">
        <w:rPr>
          <w:rFonts w:hint="cs"/>
          <w:rtl/>
        </w:rPr>
        <w:t xml:space="preserve"> </w:t>
      </w:r>
      <w:r w:rsidR="00777DCB" w:rsidRPr="00A52585">
        <w:rPr>
          <w:rFonts w:hint="cs"/>
          <w:bCs/>
          <w:rtl/>
        </w:rPr>
        <w:t>قال القاضي عياض</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لا خلاف بين المسلمين قاطبة محدثهم </w:t>
      </w:r>
      <w:proofErr w:type="spellStart"/>
      <w:r w:rsidR="00777DCB" w:rsidRPr="00A52585">
        <w:rPr>
          <w:rFonts w:hint="cs"/>
          <w:rtl/>
        </w:rPr>
        <w:t>وفقيههم</w:t>
      </w:r>
      <w:proofErr w:type="spellEnd"/>
      <w:r w:rsidR="00777DCB" w:rsidRPr="00A52585">
        <w:rPr>
          <w:rFonts w:hint="cs"/>
          <w:rtl/>
        </w:rPr>
        <w:t xml:space="preserve"> </w:t>
      </w:r>
      <w:proofErr w:type="spellStart"/>
      <w:r w:rsidR="00777DCB" w:rsidRPr="00A52585">
        <w:rPr>
          <w:rFonts w:hint="cs"/>
          <w:rtl/>
        </w:rPr>
        <w:t>ومتكلمهم</w:t>
      </w:r>
      <w:proofErr w:type="spellEnd"/>
      <w:r w:rsidR="00777DCB" w:rsidRPr="00A52585">
        <w:rPr>
          <w:rFonts w:hint="cs"/>
          <w:rtl/>
        </w:rPr>
        <w:t xml:space="preserve"> ومقلدهم ونظارهم أن الظواهر الواردة بذكر الله في السماء كقوله </w:t>
      </w:r>
      <w:r w:rsidRPr="00A52585">
        <w:rPr>
          <w:rFonts w:hint="cs"/>
          <w:rtl/>
        </w:rPr>
        <w:t>(</w:t>
      </w:r>
      <w:r w:rsidR="00777DCB" w:rsidRPr="00A52585">
        <w:rPr>
          <w:rFonts w:hint="cs"/>
          <w:rtl/>
        </w:rPr>
        <w:t>ءأمنتم في السماء</w:t>
      </w:r>
      <w:r w:rsidRPr="00A52585">
        <w:rPr>
          <w:rFonts w:hint="cs"/>
          <w:rtl/>
        </w:rPr>
        <w:t>)</w:t>
      </w:r>
      <w:r w:rsidR="00777DCB" w:rsidRPr="00A52585">
        <w:rPr>
          <w:rFonts w:hint="cs"/>
          <w:rtl/>
        </w:rPr>
        <w:t xml:space="preserve"> أنها ليست على ظاهرها وأنها متأوله عند جميهم</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إكمال المعلم</w:t>
      </w:r>
      <w:r w:rsidRPr="00A52585">
        <w:rPr>
          <w:rFonts w:hint="cs"/>
          <w:rtl/>
        </w:rPr>
        <w:t>:</w:t>
      </w:r>
      <w:r w:rsidR="00777DCB" w:rsidRPr="00A52585">
        <w:rPr>
          <w:rFonts w:hint="cs"/>
          <w:rtl/>
        </w:rPr>
        <w:t xml:space="preserve"> ج2ص465]</w:t>
      </w:r>
      <w:r w:rsidR="00DB731D" w:rsidRPr="00A52585">
        <w:rPr>
          <w:rFonts w:hint="cs"/>
          <w:rtl/>
        </w:rPr>
        <w:t>،</w:t>
      </w:r>
      <w:r w:rsidR="00777DCB" w:rsidRPr="00A52585">
        <w:rPr>
          <w:rFonts w:hint="cs"/>
          <w:rtl/>
        </w:rPr>
        <w:t xml:space="preserve"> </w:t>
      </w:r>
      <w:r w:rsidR="00777DCB" w:rsidRPr="00A52585">
        <w:rPr>
          <w:rFonts w:hint="cs"/>
          <w:bCs/>
          <w:rtl/>
        </w:rPr>
        <w:t xml:space="preserve">وقال القرطبي - في درة من </w:t>
      </w:r>
      <w:proofErr w:type="spellStart"/>
      <w:r w:rsidR="00777DCB" w:rsidRPr="00A52585">
        <w:rPr>
          <w:rFonts w:hint="cs"/>
          <w:bCs/>
          <w:rtl/>
        </w:rPr>
        <w:t>تنزيهاته</w:t>
      </w:r>
      <w:proofErr w:type="spellEnd"/>
      <w:r w:rsidR="00777DCB" w:rsidRPr="00A52585">
        <w:rPr>
          <w:rFonts w:hint="cs"/>
          <w:bCs/>
          <w:rtl/>
        </w:rPr>
        <w:t xml:space="preserve"> -</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تقديره</w:t>
      </w:r>
      <w:r w:rsidRPr="00A52585">
        <w:rPr>
          <w:rFonts w:hint="cs"/>
          <w:rtl/>
        </w:rPr>
        <w:t xml:space="preserve">: </w:t>
      </w:r>
      <w:r w:rsidR="00777DCB" w:rsidRPr="00A52585">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00DB731D" w:rsidRPr="00A52585">
        <w:rPr>
          <w:rFonts w:hint="cs"/>
          <w:rtl/>
        </w:rPr>
        <w:t>،</w:t>
      </w:r>
      <w:r w:rsidR="00777DCB" w:rsidRPr="00A52585">
        <w:rPr>
          <w:rFonts w:hint="cs"/>
          <w:rtl/>
        </w:rPr>
        <w:t xml:space="preserve"> وقيل</w:t>
      </w:r>
      <w:r w:rsidRPr="00A52585">
        <w:rPr>
          <w:rFonts w:hint="cs"/>
          <w:rtl/>
        </w:rPr>
        <w:t xml:space="preserve"> </w:t>
      </w:r>
      <w:r w:rsidR="00777DCB" w:rsidRPr="00A52585">
        <w:rPr>
          <w:rFonts w:hint="cs"/>
          <w:rtl/>
        </w:rPr>
        <w:t>هو إشارة إلى الملائكة وقيل</w:t>
      </w:r>
      <w:r w:rsidRPr="00A52585">
        <w:rPr>
          <w:rFonts w:hint="cs"/>
          <w:rtl/>
        </w:rPr>
        <w:t xml:space="preserve"> </w:t>
      </w:r>
      <w:r w:rsidR="00777DCB" w:rsidRPr="00A52585">
        <w:rPr>
          <w:rFonts w:hint="cs"/>
          <w:rtl/>
        </w:rPr>
        <w:t>إلى جبريل وهو الملك الموكل بالعذاب</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ويحتمل أن يكون المعنى</w:t>
      </w:r>
      <w:r w:rsidRPr="00A52585">
        <w:rPr>
          <w:rFonts w:hint="cs"/>
          <w:rtl/>
        </w:rPr>
        <w:t xml:space="preserve"> </w:t>
      </w:r>
      <w:r w:rsidR="00777DCB" w:rsidRPr="00A52585">
        <w:rPr>
          <w:rFonts w:hint="cs"/>
          <w:bCs/>
          <w:rtl/>
        </w:rPr>
        <w:t>أأمنتم خالق من في السماء</w:t>
      </w:r>
      <w:r w:rsidR="00777DCB" w:rsidRPr="00A52585">
        <w:rPr>
          <w:rFonts w:hint="cs"/>
          <w:rtl/>
        </w:rPr>
        <w:t xml:space="preserve"> أن يخسف بكم الأرض كما خسفها بقارون فإذا </w:t>
      </w:r>
      <w:r w:rsidR="00777DCB" w:rsidRPr="00A52585">
        <w:rPr>
          <w:rFonts w:hint="cs"/>
          <w:rtl/>
        </w:rPr>
        <w:lastRenderedPageBreak/>
        <w:t>هي تمور أي تذهب وتجيء والمور</w:t>
      </w:r>
      <w:r w:rsidRPr="00A52585">
        <w:rPr>
          <w:rFonts w:hint="cs"/>
          <w:rtl/>
        </w:rPr>
        <w:t xml:space="preserve"> </w:t>
      </w:r>
      <w:r w:rsidR="00777DCB" w:rsidRPr="00A52585">
        <w:rPr>
          <w:rFonts w:hint="cs"/>
          <w:rtl/>
        </w:rPr>
        <w:t>الاضطراب بالذهاب والمجيء</w:t>
      </w:r>
      <w:r w:rsidR="00897A24" w:rsidRPr="00A52585">
        <w:rPr>
          <w:rFonts w:hint="cs"/>
          <w:rtl/>
        </w:rPr>
        <w:t>.</w:t>
      </w:r>
      <w:r w:rsidR="00777DCB" w:rsidRPr="00A52585">
        <w:rPr>
          <w:rFonts w:hint="cs"/>
          <w:rtl/>
        </w:rPr>
        <w:t>. وقال المحققون</w:t>
      </w:r>
      <w:r w:rsidRPr="00A52585">
        <w:rPr>
          <w:rFonts w:hint="cs"/>
          <w:rtl/>
        </w:rPr>
        <w:t xml:space="preserve"> </w:t>
      </w:r>
      <w:r w:rsidR="00777DCB" w:rsidRPr="00A52585">
        <w:rPr>
          <w:rFonts w:hint="cs"/>
          <w:rtl/>
        </w:rPr>
        <w:t>أمنتم من فوق السماء كقوله</w:t>
      </w:r>
      <w:r w:rsidRPr="00A52585">
        <w:rPr>
          <w:rFonts w:hint="cs"/>
          <w:rtl/>
        </w:rPr>
        <w:t xml:space="preserve"> </w:t>
      </w:r>
      <w:r w:rsidR="00777DCB" w:rsidRPr="00A52585">
        <w:rPr>
          <w:rFonts w:hint="cs"/>
          <w:rtl/>
        </w:rPr>
        <w:t xml:space="preserve">فسيحوا في الأرض </w:t>
      </w:r>
      <w:r w:rsidR="00777DCB" w:rsidRPr="00A52585">
        <w:rPr>
          <w:rFonts w:hint="cs"/>
          <w:bCs/>
          <w:rtl/>
        </w:rPr>
        <w:t>أي فوقها لا بالممارسة والتحيز لكن بالقهر والتدبير</w:t>
      </w:r>
      <w:r w:rsidR="00777DCB" w:rsidRPr="00A52585">
        <w:rPr>
          <w:rFonts w:hint="cs"/>
          <w:rtl/>
        </w:rPr>
        <w:t xml:space="preserve"> وقيل</w:t>
      </w:r>
      <w:r w:rsidRPr="00A52585">
        <w:rPr>
          <w:rFonts w:hint="cs"/>
          <w:rtl/>
        </w:rPr>
        <w:t xml:space="preserve"> </w:t>
      </w:r>
      <w:r w:rsidR="00777DCB" w:rsidRPr="00A52585">
        <w:rPr>
          <w:rFonts w:hint="cs"/>
          <w:rtl/>
        </w:rPr>
        <w:t>معناه أمنتم من على السماء كقوله تعالى</w:t>
      </w:r>
      <w:r w:rsidRPr="00A52585">
        <w:rPr>
          <w:rFonts w:hint="cs"/>
          <w:rtl/>
        </w:rPr>
        <w:t xml:space="preserve"> </w:t>
      </w:r>
      <w:r w:rsidR="00777DCB" w:rsidRPr="00A52585">
        <w:rPr>
          <w:rFonts w:hint="cs"/>
          <w:rtl/>
        </w:rPr>
        <w:t xml:space="preserve">ولأصلبنكم في جذوع النخل أي عليها </w:t>
      </w:r>
      <w:r w:rsidR="00777DCB" w:rsidRPr="00A52585">
        <w:rPr>
          <w:rFonts w:hint="cs"/>
          <w:bCs/>
          <w:rtl/>
        </w:rPr>
        <w:t>ومعناه أنه مديرها ومالكها كما يقال</w:t>
      </w:r>
      <w:r w:rsidRPr="00A52585">
        <w:rPr>
          <w:rFonts w:hint="cs"/>
          <w:bCs/>
          <w:rtl/>
        </w:rPr>
        <w:t xml:space="preserve"> </w:t>
      </w:r>
      <w:r w:rsidR="00777DCB" w:rsidRPr="00A52585">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777DCB" w:rsidRPr="00A52585">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القرطبي ج: 18 ص: 215</w:t>
      </w:r>
      <w:r w:rsidR="00DB731D" w:rsidRPr="00A52585">
        <w:rPr>
          <w:rFonts w:hint="cs"/>
          <w:rtl/>
        </w:rPr>
        <w:t>،</w:t>
      </w:r>
      <w:r w:rsidR="00777DCB" w:rsidRPr="00A52585">
        <w:rPr>
          <w:rFonts w:hint="cs"/>
          <w:rtl/>
        </w:rPr>
        <w:t xml:space="preserve"> 216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 xml:space="preserve">وقال العلامة ابن الجوزي - وهو يرد على </w:t>
      </w:r>
      <w:proofErr w:type="spellStart"/>
      <w:r w:rsidR="00777DCB" w:rsidRPr="00A52585">
        <w:rPr>
          <w:rFonts w:hint="cs"/>
          <w:bCs/>
          <w:rtl/>
        </w:rPr>
        <w:t>حشوية</w:t>
      </w:r>
      <w:proofErr w:type="spellEnd"/>
      <w:r w:rsidR="00777DCB" w:rsidRPr="00A52585">
        <w:rPr>
          <w:rFonts w:hint="cs"/>
          <w:bCs/>
          <w:rtl/>
        </w:rPr>
        <w:t xml:space="preserve"> الحنابلة</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rPr>
        <w:t>ومن الآيات قوله تعالي</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أَأَمِنْتُمْ مَنْ فِي السَّمَاءِ</w:t>
      </w:r>
      <w:r w:rsidRPr="00A52585">
        <w:rPr>
          <w:rFonts w:hint="cs"/>
          <w:bCs/>
          <w:rtl/>
        </w:rPr>
        <w:t>}</w:t>
      </w:r>
      <w:r w:rsidR="00777DCB" w:rsidRPr="00A52585">
        <w:rPr>
          <w:rFonts w:hint="cs"/>
          <w:bCs/>
          <w:rtl/>
        </w:rPr>
        <w:t xml:space="preserve"> </w:t>
      </w:r>
      <w:r w:rsidR="00777DCB" w:rsidRPr="00A52585">
        <w:rPr>
          <w:rFonts w:hint="cs"/>
          <w:rtl/>
        </w:rPr>
        <w:t>قلت</w:t>
      </w:r>
      <w:r w:rsidRPr="00A52585">
        <w:rPr>
          <w:rFonts w:hint="cs"/>
          <w:rtl/>
        </w:rPr>
        <w:t>:</w:t>
      </w:r>
      <w:r w:rsidR="00777DCB" w:rsidRPr="00A52585">
        <w:rPr>
          <w:rFonts w:hint="cs"/>
          <w:rtl/>
        </w:rPr>
        <w:t xml:space="preserve"> وقد ثبت قطعيا أنها ليست علي ظاهرها</w:t>
      </w:r>
      <w:r w:rsidR="00DB731D" w:rsidRPr="00A52585">
        <w:rPr>
          <w:rFonts w:hint="cs"/>
          <w:rtl/>
        </w:rPr>
        <w:t>،</w:t>
      </w:r>
      <w:r w:rsidR="00777DCB" w:rsidRPr="00A52585">
        <w:rPr>
          <w:rFonts w:hint="cs"/>
          <w:rtl/>
        </w:rPr>
        <w:t xml:space="preserve"> لأن لفظة في للظرفية والحق غير مظروف</w:t>
      </w:r>
      <w:r w:rsidR="00DB731D" w:rsidRPr="00A52585">
        <w:rPr>
          <w:rFonts w:hint="cs"/>
          <w:rtl/>
        </w:rPr>
        <w:t>،</w:t>
      </w:r>
      <w:r w:rsidR="00777DCB" w:rsidRPr="00A52585">
        <w:rPr>
          <w:rFonts w:hint="cs"/>
          <w:rtl/>
        </w:rPr>
        <w:t xml:space="preserve"> وإذا امتنع الحس أن يتصرف في مثل هذا</w:t>
      </w:r>
      <w:r w:rsidR="00DB731D" w:rsidRPr="00A52585">
        <w:rPr>
          <w:rFonts w:hint="cs"/>
          <w:rtl/>
        </w:rPr>
        <w:t>،</w:t>
      </w:r>
      <w:r w:rsidR="00777DCB" w:rsidRPr="00A52585">
        <w:rPr>
          <w:rFonts w:hint="cs"/>
          <w:rtl/>
        </w:rPr>
        <w:t xml:space="preserve"> بقي وصف التعظيم بما هو عظيم عند الخلق</w:t>
      </w:r>
      <w:r w:rsidRPr="00A52585">
        <w:rPr>
          <w:rFonts w:hint="cs"/>
          <w:rtl/>
        </w:rPr>
        <w:t>)</w:t>
      </w:r>
      <w:r w:rsidR="00777DCB" w:rsidRPr="00A52585">
        <w:rPr>
          <w:rFonts w:hint="cs"/>
          <w:rtl/>
        </w:rPr>
        <w:t xml:space="preserve"> أهـ [الباز الأشهب المنتفض على ص59</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أبو السعود في تفسيره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sidRPr="00A52585">
        <w:rPr>
          <w:rFonts w:hint="cs"/>
          <w:rtl/>
        </w:rPr>
        <w:t xml:space="preserve"> </w:t>
      </w:r>
      <w:r w:rsidR="00777DCB" w:rsidRPr="00A52585">
        <w:rPr>
          <w:rFonts w:hint="cs"/>
          <w:rtl/>
        </w:rPr>
        <w:t>أأمنتم من</w:t>
      </w:r>
      <w:r w:rsidRPr="00A52585">
        <w:rPr>
          <w:rFonts w:hint="cs"/>
          <w:rtl/>
        </w:rPr>
        <w:t xml:space="preserve"> </w:t>
      </w:r>
      <w:r w:rsidR="00777DCB" w:rsidRPr="00A52585">
        <w:rPr>
          <w:rFonts w:hint="cs"/>
          <w:rtl/>
        </w:rPr>
        <w:t xml:space="preserve">تزعمون انه في السماء </w:t>
      </w:r>
      <w:r w:rsidR="00777DCB" w:rsidRPr="00A52585">
        <w:rPr>
          <w:rFonts w:hint="cs"/>
          <w:bCs/>
          <w:rtl/>
        </w:rPr>
        <w:t>وهو متعال عن المكان</w:t>
      </w:r>
      <w:r w:rsidR="00777DCB" w:rsidRPr="00A52585">
        <w:rPr>
          <w:rFonts w:hint="cs"/>
          <w:rtl/>
        </w:rPr>
        <w:t xml:space="preserve"> أن يخسف بكم الأرض بعدما جعلها لكم ذلولا تشمون في مناكبها وتأكلون من رزقه</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أبي السعود ج: 9 ص: 7</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الواحدي في تفسيره</w:t>
      </w:r>
      <w:r w:rsidRPr="00A52585">
        <w:rPr>
          <w:rFonts w:hint="cs"/>
          <w:rtl/>
        </w:rPr>
        <w:t>:</w:t>
      </w:r>
      <w:r w:rsidR="00777DCB" w:rsidRPr="00A52585">
        <w:rPr>
          <w:rFonts w:hint="cs"/>
          <w:rtl/>
        </w:rPr>
        <w:t xml:space="preserve"> (أأمنتم من</w:t>
      </w:r>
      <w:r w:rsidRPr="00A52585">
        <w:rPr>
          <w:rFonts w:hint="cs"/>
          <w:rtl/>
        </w:rPr>
        <w:t xml:space="preserve"> </w:t>
      </w:r>
      <w:r w:rsidR="00777DCB" w:rsidRPr="00A52585">
        <w:rPr>
          <w:rFonts w:hint="cs"/>
          <w:rtl/>
        </w:rPr>
        <w:t>في السماء قدرته وسلطانه وعرشه أن يخسف بكم الأرض</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الواحدي ج: 2 ص: 1118</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النسفي في تفسيره</w:t>
      </w:r>
      <w:r w:rsidRPr="00A52585">
        <w:rPr>
          <w:rFonts w:hint="cs"/>
          <w:bCs/>
          <w:rtl/>
        </w:rPr>
        <w:t>:</w:t>
      </w:r>
      <w:r w:rsidR="00777DCB" w:rsidRPr="00A52585">
        <w:rPr>
          <w:rFonts w:hint="cs"/>
          <w:rtl/>
        </w:rPr>
        <w:t xml:space="preserve"> (أأمنتم من</w:t>
      </w:r>
      <w:r w:rsidRPr="00A52585">
        <w:rPr>
          <w:rFonts w:hint="cs"/>
          <w:rtl/>
        </w:rPr>
        <w:t xml:space="preserve"> </w:t>
      </w:r>
      <w:r w:rsidR="00777DCB" w:rsidRPr="00A52585">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النسفي ج: 4 ص: 265</w:t>
      </w:r>
      <w:r w:rsidRPr="00A52585">
        <w:rPr>
          <w:rFonts w:hint="cs"/>
          <w:rtl/>
        </w:rPr>
        <w:t>]</w:t>
      </w:r>
      <w:r w:rsidR="00DB731D" w:rsidRPr="00A52585">
        <w:rPr>
          <w:rFonts w:hint="cs"/>
          <w:rtl/>
        </w:rPr>
        <w:t>،</w:t>
      </w:r>
      <w:r w:rsidR="00777DCB" w:rsidRPr="00A52585">
        <w:rPr>
          <w:rFonts w:hint="cs"/>
          <w:rtl/>
        </w:rPr>
        <w:t xml:space="preserve"> وجاء في تفسير الجلالين</w:t>
      </w:r>
      <w:r w:rsidRPr="00A52585">
        <w:rPr>
          <w:rFonts w:hint="cs"/>
          <w:rtl/>
        </w:rPr>
        <w:t>:</w:t>
      </w:r>
      <w:r w:rsidR="00777DCB" w:rsidRPr="00A52585">
        <w:rPr>
          <w:rFonts w:hint="cs"/>
          <w:rtl/>
        </w:rPr>
        <w:t xml:space="preserve"> (من في السماء</w:t>
      </w:r>
      <w:r w:rsidRPr="00A52585">
        <w:rPr>
          <w:rFonts w:hint="cs"/>
          <w:rtl/>
        </w:rPr>
        <w:t xml:space="preserve"> </w:t>
      </w:r>
      <w:r w:rsidR="00777DCB" w:rsidRPr="00A52585">
        <w:rPr>
          <w:rFonts w:hint="cs"/>
          <w:rtl/>
        </w:rPr>
        <w:t xml:space="preserve">سلطانه وقدرته أن يخسف بدل من </w:t>
      </w:r>
      <w:proofErr w:type="spellStart"/>
      <w:r w:rsidR="00777DCB" w:rsidRPr="00A52585">
        <w:rPr>
          <w:rFonts w:hint="cs"/>
          <w:rtl/>
        </w:rPr>
        <w:t>من</w:t>
      </w:r>
      <w:proofErr w:type="spellEnd"/>
      <w:r w:rsidR="00777DCB" w:rsidRPr="00A52585">
        <w:rPr>
          <w:rFonts w:hint="cs"/>
          <w:rtl/>
        </w:rPr>
        <w:t xml:space="preserve"> بكم الأرض فإذا هي تمور تتحرك بكم وترتفع فوقكم</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تفسير الجلالين ج: 1 ص: 756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 xml:space="preserve">وقال القاضي ابن جماعة في كتابه </w:t>
      </w:r>
      <w:r w:rsidR="00777DCB" w:rsidRPr="00A52585">
        <w:rPr>
          <w:rFonts w:hint="cs"/>
          <w:bCs/>
          <w:rtl/>
        </w:rPr>
        <w:lastRenderedPageBreak/>
        <w:t>الفذ إيضاح الدليل في قطع حجج أهل التعطيل - وهو يحاول تصفية الأذهان عن الحشو والتجسيم</w:t>
      </w:r>
      <w:r w:rsidR="00777DCB" w:rsidRPr="00A52585">
        <w:rPr>
          <w:rFonts w:hint="cs"/>
          <w:rtl/>
        </w:rPr>
        <w:t xml:space="preserve"> -</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777DCB" w:rsidRPr="00A52585">
        <w:rPr>
          <w:rFonts w:hint="cs"/>
          <w:rtl/>
        </w:rPr>
        <w:t>أضعاف</w:t>
      </w:r>
      <w:proofErr w:type="spellEnd"/>
      <w:r w:rsidR="00777DCB" w:rsidRPr="00A52585">
        <w:rPr>
          <w:rFonts w:hint="cs"/>
          <w:rtl/>
        </w:rPr>
        <w:t xml:space="preserve"> ذلك السطح بالنسبة إلى ذلك البيت</w:t>
      </w:r>
      <w:r w:rsidR="00DB731D" w:rsidRPr="00A52585">
        <w:rPr>
          <w:rFonts w:hint="cs"/>
          <w:rtl/>
        </w:rPr>
        <w:t>،</w:t>
      </w:r>
      <w:r w:rsidR="00777DCB" w:rsidRPr="00A52585">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DB731D" w:rsidRPr="00A52585">
        <w:rPr>
          <w:rFonts w:hint="cs"/>
          <w:rtl/>
        </w:rPr>
        <w:t>،</w:t>
      </w:r>
      <w:r w:rsidR="00777DCB" w:rsidRPr="00A52585">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00DB731D" w:rsidRPr="00A52585">
        <w:rPr>
          <w:rFonts w:hint="cs"/>
          <w:rtl/>
        </w:rPr>
        <w:t>،</w:t>
      </w:r>
      <w:r w:rsidR="00777DCB" w:rsidRPr="00A52585">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777DCB" w:rsidRPr="00A52585">
        <w:rPr>
          <w:rFonts w:hint="cs"/>
          <w:rtl/>
        </w:rPr>
        <w:t>التجزئ</w:t>
      </w:r>
      <w:proofErr w:type="spellEnd"/>
      <w:r w:rsidR="00777DCB" w:rsidRPr="00A52585">
        <w:rPr>
          <w:rFonts w:hint="cs"/>
          <w:rtl/>
        </w:rPr>
        <w:t xml:space="preserve"> أو كونه متحيز داخلا في حيزين كما سيأتي في قوله تعالى: {وهو الله في السموات</w:t>
      </w:r>
      <w:r w:rsidRPr="00A52585">
        <w:rPr>
          <w:rFonts w:hint="cs"/>
          <w:rtl/>
        </w:rPr>
        <w:t>}</w:t>
      </w:r>
      <w:r w:rsidR="00DB731D" w:rsidRPr="00A52585">
        <w:rPr>
          <w:rFonts w:hint="cs"/>
          <w:rtl/>
        </w:rPr>
        <w:t>،</w:t>
      </w:r>
      <w:r w:rsidR="00777DCB" w:rsidRPr="00A52585">
        <w:rPr>
          <w:rFonts w:hint="cs"/>
          <w:rtl/>
        </w:rPr>
        <w:t xml:space="preserve"> والكل محال تعالى الله عن ذلك</w:t>
      </w:r>
      <w:r w:rsidR="00DB731D" w:rsidRPr="00A52585">
        <w:rPr>
          <w:rFonts w:hint="cs"/>
          <w:rtl/>
        </w:rPr>
        <w:t>،</w:t>
      </w:r>
      <w:r w:rsidR="00777DCB" w:rsidRPr="00A52585">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DB731D" w:rsidRPr="00A52585">
        <w:rPr>
          <w:rFonts w:hint="cs"/>
          <w:rtl/>
        </w:rPr>
        <w:t>،</w:t>
      </w:r>
      <w:r w:rsidR="00777DCB" w:rsidRPr="00A52585">
        <w:rPr>
          <w:rFonts w:hint="cs"/>
          <w:rtl/>
        </w:rPr>
        <w:t xml:space="preserve"> فإن قيل في هاهنا بمعنى على كقوله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جذوع النخل</w:t>
      </w:r>
      <w:r w:rsidRPr="00A52585">
        <w:rPr>
          <w:rFonts w:hint="cs"/>
          <w:rtl/>
        </w:rPr>
        <w:t>}</w:t>
      </w:r>
      <w:r w:rsidR="00DB731D" w:rsidRPr="00A52585">
        <w:rPr>
          <w:rFonts w:hint="cs"/>
          <w:rtl/>
        </w:rPr>
        <w:t>،</w:t>
      </w:r>
      <w:r w:rsidR="00777DCB" w:rsidRPr="00A52585">
        <w:rPr>
          <w:rFonts w:hint="cs"/>
          <w:rtl/>
        </w:rPr>
        <w:t xml:space="preserve"> قلنا هذا مردود لوجهين</w:t>
      </w:r>
      <w:r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DB731D" w:rsidRPr="00A52585">
        <w:rPr>
          <w:rFonts w:hint="cs"/>
          <w:rtl/>
        </w:rPr>
        <w:t>،</w:t>
      </w:r>
      <w:r w:rsidR="00777DCB" w:rsidRPr="00A52585">
        <w:rPr>
          <w:rFonts w:hint="cs"/>
          <w:rtl/>
        </w:rPr>
        <w:t xml:space="preserve"> الثاني لو أريد معنى على كان لفظه أفخم وأعظم فإن قوله من على السماء أفخم وأعظم من قوله</w:t>
      </w:r>
      <w:r w:rsidRPr="00A52585">
        <w:rPr>
          <w:rFonts w:hint="cs"/>
          <w:rtl/>
        </w:rPr>
        <w:t>:</w:t>
      </w:r>
      <w:r w:rsidR="00777DCB" w:rsidRPr="00A52585">
        <w:rPr>
          <w:rFonts w:hint="cs"/>
          <w:rtl/>
        </w:rPr>
        <w:t xml:space="preserve"> {من في السماء</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إيضاح الدليل في قطع حجج أهل التعطيل ج: 1 ص: 115، 116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وقال الشاطبي في الموافقات</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lang w:bidi="ar-KW"/>
        </w:rPr>
        <w:t>والثالث قوله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يخافون ربهم من فوقهم</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أأمنتم من في السماء</w:t>
      </w:r>
      <w:r w:rsidRPr="00A52585">
        <w:rPr>
          <w:rFonts w:hint="cs"/>
          <w:rtl/>
          <w:lang w:bidi="ar-KW"/>
        </w:rPr>
        <w:t>}</w:t>
      </w:r>
      <w:r w:rsidR="00DB731D" w:rsidRPr="00A52585">
        <w:rPr>
          <w:rFonts w:hint="cs"/>
          <w:rtl/>
          <w:lang w:bidi="ar-KW"/>
        </w:rPr>
        <w:t>،</w:t>
      </w:r>
      <w:r w:rsidR="00777DCB" w:rsidRPr="00A52585">
        <w:rPr>
          <w:rFonts w:hint="cs"/>
          <w:rtl/>
          <w:lang w:bidi="ar-KW"/>
        </w:rPr>
        <w:t xml:space="preserve"> وأشباه ذلك إنما جرى على </w:t>
      </w:r>
      <w:proofErr w:type="spellStart"/>
      <w:r w:rsidR="00777DCB" w:rsidRPr="00A52585">
        <w:rPr>
          <w:rFonts w:hint="cs"/>
          <w:rtl/>
          <w:lang w:bidi="ar-KW"/>
        </w:rPr>
        <w:t>معتادهم</w:t>
      </w:r>
      <w:proofErr w:type="spellEnd"/>
      <w:r w:rsidR="00777DCB" w:rsidRPr="00A52585">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فخر عليهم السقف من فوقهم</w:t>
      </w:r>
      <w:r w:rsidRPr="00A52585">
        <w:rPr>
          <w:rFonts w:hint="cs"/>
          <w:rtl/>
          <w:lang w:bidi="ar-KW"/>
        </w:rPr>
        <w:t>}</w:t>
      </w:r>
      <w:r w:rsidR="00777DCB" w:rsidRPr="00A52585">
        <w:rPr>
          <w:rFonts w:hint="cs"/>
          <w:rtl/>
          <w:lang w:bidi="ar-KW"/>
        </w:rPr>
        <w:t xml:space="preserve"> فتأمله واجر على هذا المجرى في سائر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KW"/>
        </w:rPr>
        <w:t>الموافقات ج: 3 ص: 351</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وجاء في حاشية ابن عابدين</w:t>
      </w:r>
      <w:r w:rsidR="00777DCB" w:rsidRPr="00A52585">
        <w:rPr>
          <w:rFonts w:hint="cs"/>
          <w:rtl/>
        </w:rPr>
        <w:t xml:space="preserve"> - في بيان كفر من نسب المكان إلى الله -</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KW"/>
        </w:rPr>
        <w:t>قال الله تعالى في السماء عالم لو أراد به المكان كفر لا لو أراد به حكاية عما جاء في ظاهر الإخبار</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 xml:space="preserve">حاشية ابن عابدين ج: 3 ص: </w:t>
      </w:r>
      <w:r w:rsidR="00777DCB" w:rsidRPr="00A52585">
        <w:rPr>
          <w:rFonts w:hint="cs"/>
          <w:rtl/>
        </w:rPr>
        <w:t>720</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 xml:space="preserve">وقال العلامة </w:t>
      </w:r>
      <w:r w:rsidR="00777DCB" w:rsidRPr="00A52585">
        <w:rPr>
          <w:rFonts w:hint="cs"/>
          <w:bCs/>
          <w:rtl/>
        </w:rPr>
        <w:lastRenderedPageBreak/>
        <w:t xml:space="preserve">بن </w:t>
      </w:r>
      <w:proofErr w:type="spellStart"/>
      <w:r w:rsidR="00777DCB" w:rsidRPr="00A52585">
        <w:rPr>
          <w:rFonts w:hint="cs"/>
          <w:bCs/>
          <w:rtl/>
        </w:rPr>
        <w:t>جهبل</w:t>
      </w:r>
      <w:proofErr w:type="spellEnd"/>
      <w:r w:rsidR="00777DCB" w:rsidRPr="00A52585">
        <w:rPr>
          <w:rFonts w:hint="cs"/>
          <w:rtl/>
        </w:rPr>
        <w:t xml:space="preserve"> وهو يرد مثبت المكان والجهة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وأتبع</w:t>
      </w:r>
      <w:r w:rsidR="00777DCB" w:rsidRPr="00A52585">
        <w:rPr>
          <w:rFonts w:hint="cs"/>
        </w:rPr>
        <w:t xml:space="preserve"> </w:t>
      </w:r>
      <w:r w:rsidR="00777DCB" w:rsidRPr="00A52585">
        <w:rPr>
          <w:rFonts w:hint="cs"/>
          <w:rtl/>
        </w:rPr>
        <w:t>ذلك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أأمنتم من في السماء أن يخسف بكم الأرض</w:t>
      </w:r>
      <w:r w:rsidRPr="00A52585">
        <w:rPr>
          <w:rFonts w:hint="cs"/>
          <w:rtl/>
        </w:rPr>
        <w:t>}</w:t>
      </w:r>
      <w:r w:rsidR="00777DCB" w:rsidRPr="00A52585">
        <w:rPr>
          <w:rFonts w:hint="cs"/>
          <w:rtl/>
        </w:rPr>
        <w:t xml:space="preserve"> وخص</w:t>
      </w:r>
      <w:r w:rsidR="00777DCB" w:rsidRPr="00A52585">
        <w:rPr>
          <w:rFonts w:hint="cs"/>
        </w:rPr>
        <w:t xml:space="preserve"> </w:t>
      </w:r>
      <w:r w:rsidR="00777DCB" w:rsidRPr="00A52585">
        <w:rPr>
          <w:rFonts w:hint="cs"/>
          <w:rtl/>
        </w:rPr>
        <w:t>هذا المستدل من بالله تعالى ولعله لم يجوز أن المراد به ملائكة الله تعالى ولعله</w:t>
      </w:r>
      <w:r w:rsidR="00777DCB" w:rsidRPr="00A52585">
        <w:rPr>
          <w:rFonts w:hint="cs"/>
        </w:rPr>
        <w:t xml:space="preserve"> </w:t>
      </w:r>
      <w:r w:rsidR="00777DCB" w:rsidRPr="00A52585">
        <w:rPr>
          <w:rFonts w:hint="cs"/>
          <w:rtl/>
        </w:rPr>
        <w:t>يقول إن الملائكة لا تفعل ذلك ولا أن جبريل عليه السلام خسف بأهل سدوم فلذلك استدل</w:t>
      </w:r>
      <w:r w:rsidR="00777DCB" w:rsidRPr="00A52585">
        <w:rPr>
          <w:rFonts w:hint="cs"/>
        </w:rPr>
        <w:t xml:space="preserve"> </w:t>
      </w:r>
      <w:r w:rsidR="00777DCB" w:rsidRPr="00A52585">
        <w:rPr>
          <w:rFonts w:hint="cs"/>
          <w:rtl/>
        </w:rPr>
        <w:t>بهذه الآية ولعلها هي النص الذي أشار إليه</w:t>
      </w:r>
      <w:r w:rsidRPr="00A52585">
        <w:rPr>
          <w:rFonts w:hint="cs"/>
          <w:rtl/>
        </w:rPr>
        <w:t>)</w:t>
      </w:r>
      <w:r w:rsidR="00777DCB" w:rsidRPr="00A52585">
        <w:rPr>
          <w:rFonts w:hint="cs"/>
          <w:rtl/>
        </w:rPr>
        <w:t xml:space="preserve"> أهـ [طبقات الشافعية الكبرى ج: 9 ص: 46</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 xml:space="preserve">وقال </w:t>
      </w:r>
      <w:proofErr w:type="spellStart"/>
      <w:r w:rsidR="00777DCB" w:rsidRPr="00A52585">
        <w:rPr>
          <w:rFonts w:hint="cs"/>
          <w:bCs/>
          <w:rtl/>
        </w:rPr>
        <w:t>القسطلاني</w:t>
      </w:r>
      <w:proofErr w:type="spellEnd"/>
      <w:r w:rsidR="00777DCB" w:rsidRPr="00A52585">
        <w:rPr>
          <w:rFonts w:hint="cs"/>
          <w:rtl/>
        </w:rPr>
        <w:t xml:space="preserve"> - عند شرحة لحديث البخاري عن أم المؤمنين زينب رضي الله عنها وقولها ((إن الله أنكحني في السماء</w:t>
      </w:r>
      <w:r w:rsidRPr="00A52585">
        <w:rPr>
          <w:rFonts w:hint="cs"/>
          <w:rtl/>
        </w:rPr>
        <w:t>)</w:t>
      </w:r>
      <w:r w:rsidR="00777DCB" w:rsidRPr="00A52585">
        <w:rPr>
          <w:rFonts w:hint="cs"/>
          <w:rtl/>
        </w:rPr>
        <w:t xml:space="preserve">) قال </w:t>
      </w:r>
      <w:proofErr w:type="spellStart"/>
      <w:r w:rsidR="00777DCB" w:rsidRPr="00A52585">
        <w:rPr>
          <w:rFonts w:hint="cs"/>
          <w:rtl/>
        </w:rPr>
        <w:t>القسطلاني</w:t>
      </w:r>
      <w:proofErr w:type="spellEnd"/>
      <w:r w:rsidR="00777DCB" w:rsidRPr="00A52585">
        <w:rPr>
          <w:rFonts w:hint="cs"/>
          <w:rtl/>
        </w:rPr>
        <w:t xml:space="preserve"> شارخ البخاري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وذات الله تعالى منزهة عن المكان والجهة</w:t>
      </w:r>
      <w:r w:rsidR="00DB731D" w:rsidRPr="00A52585">
        <w:rPr>
          <w:rFonts w:hint="cs"/>
          <w:rtl/>
        </w:rPr>
        <w:t>،</w:t>
      </w:r>
      <w:r w:rsidR="00777DCB" w:rsidRPr="00A52585">
        <w:rPr>
          <w:rFonts w:hint="cs"/>
          <w:rtl/>
        </w:rPr>
        <w:t xml:space="preserve"> فالمراد بقولها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السماء</w:t>
      </w:r>
      <w:r w:rsidRPr="00A52585">
        <w:rPr>
          <w:rFonts w:hint="cs"/>
          <w:rtl/>
        </w:rPr>
        <w:t>)</w:t>
      </w:r>
      <w:r w:rsidR="00777DCB" w:rsidRPr="00A52585">
        <w:rPr>
          <w:rFonts w:hint="cs"/>
          <w:rtl/>
        </w:rPr>
        <w:t>) الاشارة إلى علو الذات والصفات , وليس ذلك باعتبار أن محله تعالى في السماء , تعالى الله عن ذلك علواّ كبيراّ</w:t>
      </w:r>
      <w:r w:rsidRPr="00A52585">
        <w:rPr>
          <w:rFonts w:hint="cs"/>
          <w:rtl/>
        </w:rPr>
        <w:t>)</w:t>
      </w:r>
      <w:r w:rsidR="00777DCB" w:rsidRPr="00A52585">
        <w:rPr>
          <w:rFonts w:hint="cs"/>
          <w:rtl/>
        </w:rPr>
        <w:t xml:space="preserve"> أهـ </w:t>
      </w:r>
    </w:p>
    <w:p w14:paraId="0B834EDB" w14:textId="2E2385B6" w:rsidR="00777DCB" w:rsidRPr="00A52585" w:rsidRDefault="0002035C" w:rsidP="0002035C">
      <w:pPr>
        <w:spacing w:after="240"/>
      </w:pPr>
      <w:r w:rsidRPr="00A52585">
        <w:rPr>
          <w:rFonts w:hint="cs"/>
          <w:bCs/>
          <w:rtl/>
        </w:rPr>
        <w:t>(</w:t>
      </w:r>
      <w:r w:rsidR="00777DCB" w:rsidRPr="00A52585">
        <w:rPr>
          <w:rFonts w:hint="cs"/>
          <w:bCs/>
          <w:rtl/>
        </w:rPr>
        <w:t>12</w:t>
      </w:r>
      <w:r w:rsidRPr="00A52585">
        <w:rPr>
          <w:rFonts w:hint="cs"/>
          <w:bCs/>
          <w:rtl/>
        </w:rPr>
        <w:t>)</w:t>
      </w:r>
      <w:r w:rsidR="00777DCB" w:rsidRPr="00A52585">
        <w:rPr>
          <w:rFonts w:hint="cs"/>
          <w:bCs/>
          <w:rtl/>
        </w:rPr>
        <w:t xml:space="preserve"> حل اشكالية</w:t>
      </w:r>
      <w:r w:rsidR="00777DCB" w:rsidRPr="00A52585">
        <w:rPr>
          <w:rFonts w:hint="cs"/>
          <w:bCs/>
          <w:rtl/>
          <w:lang w:bidi="ar-KW"/>
        </w:rPr>
        <w:t xml:space="preserve"> </w:t>
      </w:r>
      <w:r w:rsidR="00777DCB" w:rsidRPr="00A52585">
        <w:rPr>
          <w:rFonts w:hint="cs"/>
          <w:bCs/>
          <w:rtl/>
        </w:rPr>
        <w:t>الدليل العاشر</w:t>
      </w:r>
      <w:r w:rsidRPr="00A52585">
        <w:rPr>
          <w:rFonts w:hint="cs"/>
          <w:bCs/>
          <w:rtl/>
        </w:rPr>
        <w:t xml:space="preserve">: </w:t>
      </w:r>
      <w:r w:rsidR="00777DCB" w:rsidRPr="00A52585">
        <w:rPr>
          <w:rFonts w:hint="cs"/>
          <w:bCs/>
          <w:rtl/>
          <w:lang w:bidi="ar-SY"/>
        </w:rPr>
        <w:t xml:space="preserve">التصريح بالاستواء مقروناً بأداة (على) مختصاً بالعرش الذي هو أعلى المخلوقات </w:t>
      </w:r>
      <w:r w:rsidR="00777DCB" w:rsidRPr="00A52585">
        <w:rPr>
          <w:rFonts w:hint="cs"/>
          <w:bCs/>
          <w:rtl/>
        </w:rPr>
        <w:t>كما في قوله تعالى</w:t>
      </w:r>
      <w:r w:rsidRPr="00A52585">
        <w:rPr>
          <w:rFonts w:hint="cs"/>
          <w:bCs/>
          <w:rtl/>
        </w:rPr>
        <w:t>:</w:t>
      </w:r>
      <w:r w:rsidR="00777DCB" w:rsidRPr="00A52585">
        <w:rPr>
          <w:rFonts w:hint="cs"/>
          <w:bCs/>
          <w:rtl/>
        </w:rPr>
        <w:t xml:space="preserve"> </w:t>
      </w:r>
      <w:r w:rsidRPr="00A52585">
        <w:rPr>
          <w:rFonts w:hint="cs"/>
          <w:bCs/>
          <w:rtl/>
        </w:rPr>
        <w:t>{</w:t>
      </w:r>
      <w:r w:rsidR="00777DCB" w:rsidRPr="00A52585">
        <w:rPr>
          <w:rFonts w:hint="cs"/>
          <w:bCs/>
          <w:rtl/>
          <w:lang w:bidi="ar-SY"/>
        </w:rPr>
        <w:t>ث</w:t>
      </w:r>
      <w:r w:rsidR="00777DCB" w:rsidRPr="00A52585">
        <w:rPr>
          <w:rFonts w:hint="cs"/>
          <w:bCs/>
          <w:rtl/>
        </w:rPr>
        <w:t>ُمَّ اسْتَوَى عَلَى الْعَرْشِ</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lang w:bidi="ar-SY"/>
        </w:rPr>
        <w:t>الأعراف</w:t>
      </w:r>
      <w:r w:rsidRPr="00A52585">
        <w:rPr>
          <w:rFonts w:hint="cs"/>
          <w:rtl/>
          <w:lang w:bidi="ar-SY"/>
        </w:rPr>
        <w:t>:</w:t>
      </w:r>
      <w:r w:rsidR="00777DCB" w:rsidRPr="00A52585">
        <w:rPr>
          <w:rFonts w:hint="cs"/>
          <w:rtl/>
          <w:lang w:bidi="ar-SY"/>
        </w:rPr>
        <w:t xml:space="preserve"> 54</w:t>
      </w:r>
      <w:r w:rsidRPr="00A52585">
        <w:rPr>
          <w:rFonts w:hint="cs"/>
          <w:rtl/>
          <w:lang w:bidi="ar-SY"/>
        </w:rPr>
        <w:t>]</w:t>
      </w:r>
      <w:r w:rsidR="00DB731D"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أ</w:t>
      </w:r>
      <w:r w:rsidRPr="00A52585">
        <w:rPr>
          <w:rFonts w:hint="cs"/>
          <w:rtl/>
          <w:lang w:bidi="ar-SY"/>
        </w:rPr>
        <w:t>)</w:t>
      </w:r>
      <w:r w:rsidR="00777DCB" w:rsidRPr="00A52585">
        <w:rPr>
          <w:rFonts w:hint="cs"/>
          <w:rtl/>
          <w:lang w:bidi="ar-SY"/>
        </w:rPr>
        <w:t xml:space="preserve"> </w:t>
      </w:r>
      <w:r w:rsidR="00777DCB" w:rsidRPr="00A52585">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DB731D" w:rsidRPr="00A52585">
        <w:rPr>
          <w:rFonts w:hint="cs"/>
          <w:rtl/>
        </w:rPr>
        <w:t>،</w:t>
      </w:r>
      <w:r w:rsidR="00777DCB" w:rsidRPr="00A52585">
        <w:rPr>
          <w:rFonts w:hint="cs"/>
          <w:rtl/>
        </w:rPr>
        <w:t xml:space="preserve"> وهو جل شأنه القريب منا </w:t>
      </w:r>
      <w:r w:rsidRPr="00A52585">
        <w:rPr>
          <w:rFonts w:hint="cs"/>
          <w:rtl/>
        </w:rPr>
        <w:t>(</w:t>
      </w:r>
      <w:r w:rsidR="00777DCB" w:rsidRPr="00A52585">
        <w:rPr>
          <w:rFonts w:hint="cs"/>
          <w:rtl/>
        </w:rPr>
        <w:t>ونحن أقرب إليه من حبل الوريد</w:t>
      </w:r>
      <w:r w:rsidRPr="00A52585">
        <w:rPr>
          <w:rFonts w:hint="cs"/>
          <w:rtl/>
        </w:rPr>
        <w:t>)</w:t>
      </w:r>
      <w:r w:rsidR="00777DCB" w:rsidRPr="00A52585">
        <w:rPr>
          <w:rFonts w:hint="cs"/>
          <w:rtl/>
        </w:rPr>
        <w:t xml:space="preserve"> ولكنة قرب منزه عن الحلول والإتحاد والمسافة فهو قرب الصفات (صفات العلم والسمع والبصر والقدرة والرحمة والتصريف والتدبير</w:t>
      </w:r>
      <w:r w:rsidRPr="00A52585">
        <w:rPr>
          <w:rFonts w:hint="cs"/>
          <w:rtl/>
        </w:rPr>
        <w:t>)</w:t>
      </w:r>
      <w:r w:rsidR="00777DCB" w:rsidRPr="00A52585">
        <w:rPr>
          <w:rFonts w:hint="cs"/>
          <w:rtl/>
        </w:rPr>
        <w:t xml:space="preserve"> كما أن </w:t>
      </w:r>
      <w:proofErr w:type="spellStart"/>
      <w:r w:rsidR="00777DCB" w:rsidRPr="00A52585">
        <w:rPr>
          <w:rFonts w:hint="cs"/>
          <w:rtl/>
        </w:rPr>
        <w:t>الإستواء</w:t>
      </w:r>
      <w:proofErr w:type="spellEnd"/>
      <w:r w:rsidR="00777DCB" w:rsidRPr="00A52585">
        <w:rPr>
          <w:rFonts w:hint="cs"/>
          <w:rtl/>
        </w:rPr>
        <w:t xml:space="preserve"> </w:t>
      </w:r>
      <w:proofErr w:type="spellStart"/>
      <w:r w:rsidR="00777DCB" w:rsidRPr="00A52585">
        <w:rPr>
          <w:rFonts w:hint="cs"/>
          <w:rtl/>
        </w:rPr>
        <w:t>إستواء</w:t>
      </w:r>
      <w:proofErr w:type="spellEnd"/>
      <w:r w:rsidR="00777DCB" w:rsidRPr="00A52585">
        <w:rPr>
          <w:rFonts w:hint="cs"/>
          <w:rtl/>
        </w:rPr>
        <w:t xml:space="preserve"> صفات (صفات الملك والكبرياء والجلال والعظمة) فهو سبحانه الملك القدوس المتكبر العظيم الجليل كما أنه العليم السميع البصير القدير الرحيم بالمؤمنين</w:t>
      </w:r>
      <w:r w:rsidR="00DB731D" w:rsidRPr="00A52585">
        <w:rPr>
          <w:rFonts w:hint="cs"/>
          <w:rtl/>
        </w:rPr>
        <w:t>،</w:t>
      </w:r>
      <w:r w:rsidR="00777DCB" w:rsidRPr="00A52585">
        <w:rPr>
          <w:rFonts w:hint="cs"/>
          <w:rtl/>
        </w:rPr>
        <w:t xml:space="preserve"> فالقرب مظهر قدرته وعلمه ورحمته </w:t>
      </w:r>
      <w:proofErr w:type="spellStart"/>
      <w:r w:rsidR="00777DCB" w:rsidRPr="00A52585">
        <w:rPr>
          <w:rFonts w:hint="cs"/>
          <w:rtl/>
        </w:rPr>
        <w:t>والإستواء</w:t>
      </w:r>
      <w:proofErr w:type="spellEnd"/>
      <w:r w:rsidR="00777DCB" w:rsidRPr="00A52585">
        <w:rPr>
          <w:rFonts w:hint="cs"/>
          <w:rtl/>
        </w:rPr>
        <w:t xml:space="preserve"> مظهر ملكه وكبريائه وعظمته وجلاله</w:t>
      </w:r>
      <w:r w:rsidR="00DB731D" w:rsidRPr="00A52585">
        <w:rPr>
          <w:rFonts w:hint="cs"/>
          <w:rtl/>
        </w:rPr>
        <w:t>،</w:t>
      </w:r>
      <w:r w:rsidR="00777DCB" w:rsidRPr="00A52585">
        <w:rPr>
          <w:rFonts w:hint="cs"/>
          <w:rtl/>
        </w:rPr>
        <w:t xml:space="preserve"> وكما أنه منزه عن الحلول والإتحاد والكون في الأرض لأنها خلقه</w:t>
      </w:r>
      <w:r w:rsidR="00DB731D" w:rsidRPr="00A52585">
        <w:rPr>
          <w:rFonts w:hint="cs"/>
          <w:rtl/>
        </w:rPr>
        <w:t>،</w:t>
      </w:r>
      <w:r w:rsidR="00777DCB" w:rsidRPr="00A52585">
        <w:rPr>
          <w:rFonts w:hint="cs"/>
          <w:rtl/>
        </w:rPr>
        <w:t xml:space="preserve"> فهو سبحانه منزه عن ذلك كله في السماء أو العرش لأنها مخلوقاته</w:t>
      </w:r>
      <w:r w:rsidR="00DB731D" w:rsidRPr="00A52585">
        <w:rPr>
          <w:rFonts w:hint="cs"/>
          <w:rtl/>
        </w:rPr>
        <w:t>،</w:t>
      </w:r>
      <w:r w:rsidR="00777DCB" w:rsidRPr="00A52585">
        <w:rPr>
          <w:rFonts w:hint="cs"/>
          <w:rtl/>
        </w:rPr>
        <w:t xml:space="preserve"> وتنزه عن المكان والزمان لأنها كذلك مخلوقاته</w:t>
      </w:r>
      <w:r w:rsidR="00DB731D" w:rsidRPr="00A52585">
        <w:rPr>
          <w:rFonts w:hint="cs"/>
          <w:rtl/>
        </w:rPr>
        <w:t>،</w:t>
      </w:r>
      <w:r w:rsidR="00777DCB" w:rsidRPr="00A52585">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ب</w:t>
      </w:r>
      <w:r w:rsidRPr="00A52585">
        <w:rPr>
          <w:rFonts w:hint="cs"/>
          <w:bCs/>
          <w:rtl/>
        </w:rPr>
        <w:t>)</w:t>
      </w:r>
      <w:r w:rsidR="00777DCB" w:rsidRPr="00A52585">
        <w:rPr>
          <w:rFonts w:hint="cs"/>
          <w:bCs/>
          <w:rtl/>
        </w:rPr>
        <w:t xml:space="preserve"> ذكر آيات الاستواء ومفاتيح فهمها الفهم الذي يمنع من الوقوع في بدعة التشبيه</w:t>
      </w:r>
      <w:r w:rsidR="00DB731D" w:rsidRPr="00A52585">
        <w:rPr>
          <w:rFonts w:hint="cs"/>
          <w:bCs/>
          <w:rtl/>
        </w:rPr>
        <w:t>،</w:t>
      </w:r>
      <w:r w:rsidR="00777DCB" w:rsidRPr="00A52585">
        <w:rPr>
          <w:rFonts w:hint="cs"/>
          <w:rtl/>
        </w:rPr>
        <w:t xml:space="preserve"> ورد الاستواء في سبعة مواضع من القرآن الكريم كلها تدل لمن تدبرها بقرائنها التي سنذكرها بأن الاستواء المقصود هو استواء </w:t>
      </w:r>
      <w:r w:rsidR="00777DCB" w:rsidRPr="00A52585">
        <w:rPr>
          <w:rFonts w:hint="cs"/>
          <w:rtl/>
        </w:rPr>
        <w:lastRenderedPageBreak/>
        <w:t xml:space="preserve">ملك وقهر وتسخير وهيمنة وربوبية </w:t>
      </w:r>
      <w:proofErr w:type="spellStart"/>
      <w:r w:rsidR="00777DCB" w:rsidRPr="00A52585">
        <w:rPr>
          <w:rFonts w:hint="cs"/>
          <w:rtl/>
        </w:rPr>
        <w:t>للعالم</w:t>
      </w:r>
      <w:r w:rsidR="00DB731D" w:rsidRPr="00A52585">
        <w:rPr>
          <w:rFonts w:hint="cs"/>
          <w:rtl/>
        </w:rPr>
        <w:t>،</w:t>
      </w:r>
      <w:r w:rsidR="00777DCB" w:rsidRPr="00A52585">
        <w:rPr>
          <w:rFonts w:hint="cs"/>
          <w:rtl/>
        </w:rPr>
        <w:t>وبيان</w:t>
      </w:r>
      <w:proofErr w:type="spellEnd"/>
      <w:r w:rsidR="00777DCB" w:rsidRPr="00A52585">
        <w:rPr>
          <w:rFonts w:hint="cs"/>
        </w:rPr>
        <w:t xml:space="preserve"> </w:t>
      </w:r>
      <w:r w:rsidR="00777DCB" w:rsidRPr="00A52585">
        <w:rPr>
          <w:rFonts w:hint="cs"/>
          <w:rtl/>
        </w:rPr>
        <w:t>كمال قدرته التامة سبحانه في تدابير الملك والملكوت</w:t>
      </w:r>
      <w:r w:rsidR="00DB731D" w:rsidRPr="00A52585">
        <w:rPr>
          <w:rFonts w:hint="cs"/>
          <w:rtl/>
        </w:rPr>
        <w:t>،</w:t>
      </w:r>
      <w:r w:rsidR="00777DCB" w:rsidRPr="00A52585">
        <w:rPr>
          <w:rFonts w:hint="cs"/>
          <w:rtl/>
        </w:rPr>
        <w:t xml:space="preserve"> فهذا هو التمدح المقصود بالاستواء</w:t>
      </w:r>
      <w:r w:rsidR="00DB731D" w:rsidRPr="00A52585">
        <w:rPr>
          <w:rFonts w:hint="cs"/>
          <w:rtl/>
        </w:rPr>
        <w:t>،</w:t>
      </w:r>
      <w:r w:rsidR="00777DCB" w:rsidRPr="00A52585">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DB731D" w:rsidRPr="00A52585">
        <w:rPr>
          <w:rFonts w:hint="cs"/>
          <w:rtl/>
        </w:rPr>
        <w:t>،</w:t>
      </w:r>
      <w:r w:rsidR="00777DCB" w:rsidRPr="00A52585">
        <w:rPr>
          <w:rFonts w:hint="cs"/>
          <w:rtl/>
        </w:rPr>
        <w:t xml:space="preserve"> أما</w:t>
      </w:r>
      <w:r w:rsidR="00777DCB" w:rsidRPr="00A52585">
        <w:rPr>
          <w:rFonts w:hint="cs"/>
        </w:rPr>
        <w:t xml:space="preserve"> </w:t>
      </w:r>
      <w:r w:rsidR="00777DCB" w:rsidRPr="00A52585">
        <w:rPr>
          <w:rFonts w:hint="cs"/>
          <w:rtl/>
        </w:rPr>
        <w:t>ما يزعمون من أنه استواء مكان فالله خالق المكان ومالكه</w:t>
      </w:r>
      <w:r w:rsidR="00777DCB" w:rsidRPr="00A52585">
        <w:rPr>
          <w:rFonts w:hint="cs"/>
        </w:rPr>
        <w:t xml:space="preserve"> </w:t>
      </w:r>
      <w:r w:rsidR="00777DCB" w:rsidRPr="00A52585">
        <w:rPr>
          <w:rFonts w:hint="cs"/>
          <w:rtl/>
        </w:rPr>
        <w:t>وهو منزه عن المكان والمكان محدود مهما كبر والله تعالى كما أنه لا حد لصفاته</w:t>
      </w:r>
      <w:r w:rsidR="00777DCB" w:rsidRPr="00A52585">
        <w:rPr>
          <w:rFonts w:hint="cs"/>
        </w:rPr>
        <w:t xml:space="preserve"> </w:t>
      </w:r>
      <w:r w:rsidR="00777DCB" w:rsidRPr="00A52585">
        <w:rPr>
          <w:rFonts w:hint="cs"/>
          <w:rtl/>
        </w:rPr>
        <w:t>من العلم والقدرة وغيرها فلا حد لذاته</w:t>
      </w:r>
      <w:r w:rsidR="00DB731D" w:rsidRPr="00A52585">
        <w:rPr>
          <w:rFonts w:hint="cs"/>
          <w:rtl/>
        </w:rPr>
        <w:t>،</w:t>
      </w:r>
      <w:r w:rsidR="00777DCB" w:rsidRPr="00A52585">
        <w:rPr>
          <w:rFonts w:hint="cs"/>
          <w:rtl/>
        </w:rPr>
        <w:t xml:space="preserve"> وأما ما يزعمون من أنه استواء استقرار</w:t>
      </w:r>
      <w:r w:rsidR="00777DCB" w:rsidRPr="00A52585">
        <w:rPr>
          <w:rFonts w:hint="cs"/>
        </w:rPr>
        <w:t xml:space="preserve"> </w:t>
      </w:r>
      <w:r w:rsidR="00777DCB" w:rsidRPr="00A52585">
        <w:rPr>
          <w:rFonts w:hint="cs"/>
          <w:rtl/>
        </w:rPr>
        <w:t>فهو باطل لأن الله عز وجل منزه عن التغير والحدوث</w:t>
      </w:r>
      <w:r w:rsidR="00DB731D" w:rsidRPr="00A52585">
        <w:rPr>
          <w:rFonts w:hint="cs"/>
          <w:rtl/>
        </w:rPr>
        <w:t>،</w:t>
      </w:r>
      <w:r w:rsidR="00777DCB" w:rsidRPr="00A52585">
        <w:rPr>
          <w:rFonts w:hint="cs"/>
          <w:rtl/>
        </w:rPr>
        <w:t xml:space="preserve"> والاستقرار يوحي بمعنى الحاجة وهل</w:t>
      </w:r>
      <w:r w:rsidR="00777DCB" w:rsidRPr="00A52585">
        <w:rPr>
          <w:rFonts w:hint="cs"/>
        </w:rPr>
        <w:t xml:space="preserve"> </w:t>
      </w:r>
      <w:r w:rsidR="00777DCB" w:rsidRPr="00A52585">
        <w:rPr>
          <w:rFonts w:hint="cs"/>
          <w:rtl/>
        </w:rPr>
        <w:t>يحتاج الله لمخلوق حتى يستقر عليه وقبل الاستقرار أخبرونا ماذا كان حاله تعالى الله عما</w:t>
      </w:r>
      <w:r w:rsidR="00777DCB" w:rsidRPr="00A52585">
        <w:rPr>
          <w:rFonts w:hint="cs"/>
        </w:rPr>
        <w:t xml:space="preserve"> </w:t>
      </w:r>
      <w:r w:rsidR="00777DCB" w:rsidRPr="00A52585">
        <w:rPr>
          <w:rFonts w:hint="cs"/>
          <w:rtl/>
        </w:rPr>
        <w:t>يقولون علوا كبيراً</w:t>
      </w:r>
      <w:r w:rsidR="00DB731D" w:rsidRPr="00A52585">
        <w:rPr>
          <w:rFonts w:hint="cs"/>
          <w:rtl/>
        </w:rPr>
        <w:t>،</w:t>
      </w:r>
      <w:r w:rsidR="00777DCB" w:rsidRPr="00A52585">
        <w:rPr>
          <w:rFonts w:hint="cs"/>
          <w:rtl/>
        </w:rPr>
        <w:t xml:space="preserve"> والتمدح لا يكون بالكون في المكان ولا بالاستقرار ولكن ببيان</w:t>
      </w:r>
      <w:r w:rsidR="00777DCB" w:rsidRPr="00A52585">
        <w:rPr>
          <w:rFonts w:hint="cs"/>
        </w:rPr>
        <w:t xml:space="preserve"> </w:t>
      </w:r>
      <w:r w:rsidR="00777DCB" w:rsidRPr="00A52585">
        <w:rPr>
          <w:rFonts w:hint="cs"/>
          <w:rtl/>
        </w:rPr>
        <w:t>صفات القدرة والعظمة وهذا هو مقصود آيات القرآن كما سيتبين من الآيات</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ت</w:t>
      </w:r>
      <w:r w:rsidRPr="00A52585">
        <w:rPr>
          <w:rFonts w:hint="cs"/>
          <w:bCs/>
          <w:rtl/>
        </w:rPr>
        <w:t>)</w:t>
      </w:r>
      <w:r w:rsidR="00777DCB" w:rsidRPr="00A52585">
        <w:rPr>
          <w:rFonts w:hint="cs"/>
          <w:bCs/>
          <w:rtl/>
        </w:rPr>
        <w:t xml:space="preserve"> الآية الاولى</w:t>
      </w:r>
      <w:r w:rsidRPr="00A52585">
        <w:rPr>
          <w:rFonts w:hint="cs"/>
          <w:bCs/>
          <w:rtl/>
        </w:rPr>
        <w:t>:</w:t>
      </w:r>
      <w:r w:rsidR="00777DCB" w:rsidRPr="00A52585">
        <w:rPr>
          <w:rFonts w:hint="cs"/>
          <w:b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Pr="00A52585">
        <w:rPr>
          <w:rFonts w:hint="cs"/>
          <w:rtl/>
        </w:rPr>
        <w:t>} [</w:t>
      </w:r>
      <w:r w:rsidR="00777DCB" w:rsidRPr="00A52585">
        <w:rPr>
          <w:rFonts w:hint="cs"/>
          <w:rtl/>
        </w:rPr>
        <w:t>الأعراف 54-55]</w:t>
      </w:r>
      <w:r w:rsidR="00DB731D" w:rsidRPr="00A52585">
        <w:rPr>
          <w:rFonts w:hint="cs"/>
          <w:rtl/>
        </w:rPr>
        <w:t>،</w:t>
      </w:r>
      <w:r w:rsidR="00777DCB" w:rsidRPr="00A52585">
        <w:rPr>
          <w:rFonts w:hint="cs"/>
          <w:rtl/>
        </w:rPr>
        <w:t xml:space="preserve"> والمفتاح</w:t>
      </w:r>
      <w:r w:rsidRPr="00A52585">
        <w:rPr>
          <w:rFonts w:hint="cs"/>
          <w:rtl/>
        </w:rPr>
        <w:t>:</w:t>
      </w:r>
      <w:r w:rsidR="00777DCB" w:rsidRPr="00A52585">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ث</w:t>
      </w:r>
      <w:r w:rsidRPr="00A52585">
        <w:rPr>
          <w:rFonts w:hint="cs"/>
          <w:bCs/>
          <w:rtl/>
        </w:rPr>
        <w:t>)</w:t>
      </w:r>
      <w:r w:rsidR="00777DCB" w:rsidRPr="00A52585">
        <w:rPr>
          <w:rFonts w:hint="cs"/>
          <w:bCs/>
          <w:rtl/>
        </w:rPr>
        <w:t xml:space="preserve"> الآية الثانية</w:t>
      </w:r>
      <w:r w:rsidRPr="00A52585">
        <w:rPr>
          <w:rFonts w:hint="cs"/>
          <w:bCs/>
          <w:rtl/>
        </w:rPr>
        <w:t>:</w:t>
      </w:r>
      <w:r w:rsidR="00777DCB" w:rsidRPr="00A52585">
        <w:rPr>
          <w:rFonts w:hint="cs"/>
          <w:bCs/>
          <w:rtl/>
        </w:rPr>
        <w:t xml:space="preserve">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يونس 3</w:t>
      </w:r>
      <w:r w:rsidRPr="00A52585">
        <w:rPr>
          <w:rFonts w:hint="cs"/>
          <w:rtl/>
        </w:rPr>
        <w:t>]</w:t>
      </w:r>
      <w:r w:rsidR="00DB731D" w:rsidRPr="00A52585">
        <w:rPr>
          <w:rFonts w:hint="cs"/>
          <w:rtl/>
        </w:rPr>
        <w:t>،</w:t>
      </w:r>
      <w:r w:rsidR="00777DCB" w:rsidRPr="00A52585">
        <w:rPr>
          <w:rFonts w:hint="cs"/>
          <w:rtl/>
        </w:rPr>
        <w:t xml:space="preserve"> والمفتاح</w:t>
      </w:r>
      <w:r w:rsidRPr="00A52585">
        <w:rPr>
          <w:rFonts w:hint="cs"/>
          <w:rtl/>
        </w:rPr>
        <w:t>:</w:t>
      </w:r>
      <w:r w:rsidR="00777DCB" w:rsidRPr="00A52585">
        <w:rPr>
          <w:rFonts w:hint="cs"/>
          <w:rtl/>
        </w:rPr>
        <w:t xml:space="preserve"> الاستواء في الآية استواء ربوبية وتدبير وقهر لقرينته افتتاح الآية بالتذكير بالربوبية في قوله إن ربكم</w:t>
      </w:r>
      <w:r w:rsidR="00DB731D" w:rsidRPr="00A52585">
        <w:rPr>
          <w:rFonts w:hint="cs"/>
          <w:rtl/>
        </w:rPr>
        <w:t>،</w:t>
      </w:r>
      <w:r w:rsidR="00777DCB" w:rsidRPr="00A52585">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777DCB" w:rsidRPr="00A52585">
        <w:rPr>
          <w:rFonts w:hint="cs"/>
          <w:rtl/>
        </w:rPr>
        <w:t>الحشوية</w:t>
      </w:r>
      <w:proofErr w:type="spellEnd"/>
      <w:r w:rsidR="00DB731D" w:rsidRPr="00A52585">
        <w:rPr>
          <w:rFonts w:hint="cs"/>
          <w:rtl/>
        </w:rPr>
        <w:t>،</w:t>
      </w:r>
      <w:r w:rsidR="00777DCB" w:rsidRPr="00A52585">
        <w:rPr>
          <w:rFonts w:hint="cs"/>
          <w:rtl/>
        </w:rPr>
        <w:t xml:space="preserve"> فقوله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يدبر الأمر</w:t>
      </w:r>
      <w:r w:rsidRPr="00A52585">
        <w:rPr>
          <w:rFonts w:hint="cs"/>
          <w:rtl/>
        </w:rPr>
        <w:t>)</w:t>
      </w:r>
      <w:r w:rsidR="00777DCB" w:rsidRPr="00A52585">
        <w:rPr>
          <w:rFonts w:hint="cs"/>
          <w:rtl/>
        </w:rPr>
        <w:t xml:space="preserve"> جرى مجرى التفسير لقوله: </w:t>
      </w:r>
      <w:r w:rsidRPr="00A52585">
        <w:rPr>
          <w:rFonts w:hint="cs"/>
          <w:rtl/>
        </w:rPr>
        <w:t>(</w:t>
      </w:r>
      <w:r w:rsidR="00777DCB" w:rsidRPr="00A52585">
        <w:rPr>
          <w:rFonts w:hint="cs"/>
          <w:rtl/>
        </w:rPr>
        <w:t>استوى على العرش) على أنه استواء تدبير وربوبية</w:t>
      </w:r>
      <w:r w:rsidR="00DB731D" w:rsidRPr="00A52585">
        <w:rPr>
          <w:rFonts w:hint="cs"/>
          <w:rtl/>
        </w:rPr>
        <w:t>،</w:t>
      </w:r>
      <w:r w:rsidR="00777DCB" w:rsidRPr="00A52585">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ج</w:t>
      </w:r>
      <w:r w:rsidRPr="00A52585">
        <w:rPr>
          <w:rFonts w:hint="cs"/>
          <w:bCs/>
          <w:rtl/>
        </w:rPr>
        <w:t>)</w:t>
      </w:r>
      <w:r w:rsidR="00777DCB" w:rsidRPr="00A52585">
        <w:rPr>
          <w:rFonts w:hint="cs"/>
          <w:bCs/>
          <w:rtl/>
        </w:rPr>
        <w:t xml:space="preserve"> الآية الثالثة</w:t>
      </w:r>
      <w:r w:rsidRPr="00A52585">
        <w:rPr>
          <w:rFonts w:hint="cs"/>
          <w:bCs/>
          <w:rtl/>
        </w:rPr>
        <w:t xml:space="preserve">: </w:t>
      </w:r>
      <w:r w:rsidR="00777DCB" w:rsidRPr="00A52585">
        <w:rPr>
          <w:rFonts w:hint="cs"/>
          <w:bCs/>
          <w:rtl/>
        </w:rPr>
        <w:t>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الرعد 2</w:t>
      </w:r>
      <w:r w:rsidRPr="00A52585">
        <w:rPr>
          <w:rFonts w:hint="cs"/>
          <w:rtl/>
        </w:rPr>
        <w:t>]</w:t>
      </w:r>
      <w:r w:rsidR="00DB731D" w:rsidRPr="00A52585">
        <w:rPr>
          <w:rFonts w:hint="cs"/>
          <w:rtl/>
        </w:rPr>
        <w:t>،</w:t>
      </w:r>
      <w:r w:rsidR="00777DCB" w:rsidRPr="00A52585">
        <w:rPr>
          <w:rFonts w:hint="cs"/>
          <w:rtl/>
        </w:rPr>
        <w:t xml:space="preserve"> والمفتاح</w:t>
      </w:r>
      <w:r w:rsidRPr="00A52585">
        <w:rPr>
          <w:rFonts w:hint="cs"/>
          <w:rtl/>
        </w:rPr>
        <w:t>:</w:t>
      </w:r>
      <w:r w:rsidR="00777DCB" w:rsidRPr="00A52585">
        <w:rPr>
          <w:rFonts w:hint="cs"/>
          <w:rtl/>
        </w:rPr>
        <w:t xml:space="preserve"> الاستواء في الآية استواء </w:t>
      </w:r>
      <w:r w:rsidR="00777DCB" w:rsidRPr="00A52585">
        <w:rPr>
          <w:rFonts w:hint="cs"/>
          <w:rtl/>
        </w:rPr>
        <w:lastRenderedPageBreak/>
        <w:t>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ح</w:t>
      </w:r>
      <w:r w:rsidRPr="00A52585">
        <w:rPr>
          <w:rFonts w:hint="cs"/>
          <w:bCs/>
          <w:rtl/>
        </w:rPr>
        <w:t>)</w:t>
      </w:r>
      <w:r w:rsidR="00777DCB" w:rsidRPr="00A52585">
        <w:rPr>
          <w:rFonts w:hint="cs"/>
          <w:bCs/>
          <w:rtl/>
        </w:rPr>
        <w:t xml:space="preserve"> الآية الرابعة</w:t>
      </w:r>
      <w:r w:rsidRPr="00A52585">
        <w:rPr>
          <w:rFonts w:hint="cs"/>
          <w:bCs/>
          <w:rtl/>
        </w:rPr>
        <w:t>:</w:t>
      </w:r>
      <w:r w:rsidR="00777DCB" w:rsidRPr="00A52585">
        <w:rPr>
          <w:rFonts w:hint="cs"/>
          <w:bCs/>
          <w:rtl/>
        </w:rPr>
        <w:t xml:space="preserve">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تنزيلاً ممن خلق الأرض والسموات العلى الرحمن على العرش استوى له ما في السموات وما في الأرض وما بينهما وما تحت الثرى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طه 4،5، 6]</w:t>
      </w:r>
      <w:r w:rsidR="00DB731D" w:rsidRPr="00A52585">
        <w:rPr>
          <w:rFonts w:hint="cs"/>
          <w:rtl/>
        </w:rPr>
        <w:t>،</w:t>
      </w:r>
      <w:r w:rsidR="00777DCB" w:rsidRPr="00A52585">
        <w:rPr>
          <w:rFonts w:hint="cs"/>
          <w:rtl/>
        </w:rPr>
        <w:t xml:space="preserve"> والمفتاح</w:t>
      </w:r>
      <w:r w:rsidRPr="00A52585">
        <w:rPr>
          <w:rFonts w:hint="cs"/>
          <w:rtl/>
        </w:rPr>
        <w:t>:</w:t>
      </w:r>
      <w:r w:rsidR="00777DCB" w:rsidRPr="00A52585">
        <w:rPr>
          <w:rFonts w:hint="cs"/>
          <w:rtl/>
        </w:rPr>
        <w:t xml:space="preserve"> الاستواء في الآية استواء ملك وتدبير وربوبية بقرائن ذكر الخلق في قوله ممن خلق الأرض والسموات</w:t>
      </w:r>
      <w:r w:rsidR="00DB731D" w:rsidRPr="00A52585">
        <w:rPr>
          <w:rFonts w:hint="cs"/>
          <w:rtl/>
        </w:rPr>
        <w:t>،</w:t>
      </w:r>
      <w:r w:rsidR="00777DCB" w:rsidRPr="00A52585">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DB731D" w:rsidRPr="00A52585">
        <w:rPr>
          <w:rFonts w:hint="cs"/>
          <w:rtl/>
        </w:rPr>
        <w:t>،</w:t>
      </w:r>
      <w:r w:rsidR="00777DCB" w:rsidRPr="00A52585">
        <w:rPr>
          <w:rFonts w:hint="cs"/>
          <w:rtl/>
        </w:rPr>
        <w:t xml:space="preserve"> أما ما يزعمونه من أنه استواء استقرار فهو باطل لأن الله عز وجل منزه عن التغير</w:t>
      </w:r>
      <w:r w:rsidR="00DB731D" w:rsidRPr="00A52585">
        <w:rPr>
          <w:rFonts w:hint="cs"/>
          <w:rtl/>
        </w:rPr>
        <w:t>،</w:t>
      </w:r>
      <w:r w:rsidR="00777DCB" w:rsidRPr="00A52585">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DB731D" w:rsidRPr="00A52585">
        <w:rPr>
          <w:rFonts w:hint="cs"/>
          <w:rtl/>
        </w:rPr>
        <w:t>،</w:t>
      </w:r>
      <w:r w:rsidR="00777DCB" w:rsidRPr="00A52585">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Pr="00A52585">
        <w:rPr>
          <w:rFonts w:hint="cs"/>
          <w:rtl/>
        </w:rPr>
        <w:t>(</w:t>
      </w:r>
      <w:r w:rsidR="00777DCB" w:rsidRPr="00A52585">
        <w:rPr>
          <w:rFonts w:hint="cs"/>
          <w:rtl/>
        </w:rPr>
        <w:t>ثم استوى على العرش</w:t>
      </w:r>
      <w:r w:rsidRPr="00A52585">
        <w:rPr>
          <w:rFonts w:hint="cs"/>
          <w:rtl/>
        </w:rPr>
        <w:t>)</w:t>
      </w:r>
      <w:r w:rsidR="00777DCB" w:rsidRPr="00A52585">
        <w:rPr>
          <w:rFonts w:hint="cs"/>
          <w:rtl/>
        </w:rPr>
        <w:t xml:space="preserve"> أي بعد أن خلقها استوى على عرش الملك والجلال</w:t>
      </w:r>
      <w:r w:rsidR="00DB731D" w:rsidRPr="00A52585">
        <w:rPr>
          <w:rFonts w:hint="cs"/>
          <w:rtl/>
        </w:rPr>
        <w:t>،</w:t>
      </w:r>
      <w:r w:rsidR="00777DCB" w:rsidRPr="00A52585">
        <w:rPr>
          <w:rFonts w:hint="cs"/>
          <w:rtl/>
        </w:rPr>
        <w:t xml:space="preserve"> فإن قيل: فإذا حمل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 على العرش</w:t>
      </w:r>
      <w:r w:rsidRPr="00A52585">
        <w:rPr>
          <w:rFonts w:hint="cs"/>
          <w:rtl/>
        </w:rPr>
        <w:t>)</w:t>
      </w:r>
      <w:r w:rsidR="00777DCB" w:rsidRPr="00A52585">
        <w:rPr>
          <w:rFonts w:hint="cs"/>
          <w:rtl/>
        </w:rPr>
        <w:t xml:space="preserve"> على أن المراد: استوى على الملك بالقهر والتدبير</w:t>
      </w:r>
      <w:r w:rsidRPr="00A52585">
        <w:rPr>
          <w:rFonts w:hint="cs"/>
          <w:rtl/>
        </w:rPr>
        <w:t xml:space="preserve"> </w:t>
      </w:r>
      <w:r w:rsidR="00777DCB" w:rsidRPr="00A52585">
        <w:rPr>
          <w:rFonts w:hint="cs"/>
          <w:rtl/>
        </w:rPr>
        <w:t>وجب أن يقال: الله لم يكن مستوياً استواء ملك وربوبية وتدبير قبل خلق السموات والأرض.</w:t>
      </w:r>
      <w:r w:rsidRPr="00A52585">
        <w:rPr>
          <w:rFonts w:hint="cs"/>
          <w:rtl/>
        </w:rPr>
        <w:t xml:space="preserve"> </w:t>
      </w:r>
      <w:r w:rsidR="00777DCB" w:rsidRPr="00A52585">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DB731D" w:rsidRPr="00A52585">
        <w:rPr>
          <w:rFonts w:hint="cs"/>
          <w:rtl/>
        </w:rPr>
        <w:t>،</w:t>
      </w:r>
      <w:r w:rsidR="00777DCB" w:rsidRPr="00A52585">
        <w:rPr>
          <w:rFonts w:hint="cs"/>
          <w:rtl/>
        </w:rPr>
        <w:t xml:space="preserve"> ثم لا ننسى قوله تعالى:</w:t>
      </w:r>
      <w:r w:rsidRPr="00A52585">
        <w:rPr>
          <w:rFonts w:hint="cs"/>
          <w:rtl/>
        </w:rPr>
        <w:t xml:space="preserve"> </w:t>
      </w:r>
      <w:r w:rsidR="00777DCB" w:rsidRPr="00A52585">
        <w:rPr>
          <w:rFonts w:hint="cs"/>
          <w:rtl/>
        </w:rPr>
        <w:t>(ويحمل عرش ربك فوقهم يومئذ ثمانية</w:t>
      </w:r>
      <w:r w:rsidRPr="00A52585">
        <w:rPr>
          <w:rFonts w:hint="cs"/>
          <w:rtl/>
        </w:rPr>
        <w:t>)</w:t>
      </w:r>
      <w:r w:rsidR="00777DCB" w:rsidRPr="00A52585">
        <w:rPr>
          <w:rFonts w:hint="cs"/>
          <w:rtl/>
        </w:rPr>
        <w:t xml:space="preserve"> [الحاقة:</w:t>
      </w:r>
      <w:r w:rsidRPr="00A52585">
        <w:rPr>
          <w:rFonts w:hint="cs"/>
          <w:rtl/>
        </w:rPr>
        <w:t xml:space="preserve"> </w:t>
      </w:r>
      <w:r w:rsidR="00777DCB" w:rsidRPr="00A52585">
        <w:rPr>
          <w:rFonts w:hint="cs"/>
          <w:rtl/>
        </w:rPr>
        <w:lastRenderedPageBreak/>
        <w:t>17</w:t>
      </w:r>
      <w:r w:rsidRPr="00A52585">
        <w:rPr>
          <w:rFonts w:hint="cs"/>
          <w:rtl/>
        </w:rPr>
        <w:t>]</w:t>
      </w:r>
      <w:r w:rsidR="00777DCB" w:rsidRPr="00A52585">
        <w:rPr>
          <w:rFonts w:hint="cs"/>
          <w:rtl/>
        </w:rPr>
        <w:t xml:space="preserve"> فإذا كانوا حاملين للعرش والعرش مكان المعبود كما يتوهم المشبه </w:t>
      </w:r>
      <w:proofErr w:type="spellStart"/>
      <w:r w:rsidR="00777DCB" w:rsidRPr="00A52585">
        <w:rPr>
          <w:rFonts w:hint="cs"/>
          <w:rtl/>
        </w:rPr>
        <w:t>والحشوية</w:t>
      </w:r>
      <w:proofErr w:type="spellEnd"/>
      <w:r w:rsidRPr="00A52585">
        <w:rPr>
          <w:rFonts w:hint="cs"/>
          <w:rtl/>
        </w:rPr>
        <w:t xml:space="preserve"> </w:t>
      </w:r>
      <w:r w:rsidR="00777DCB" w:rsidRPr="00A52585">
        <w:rPr>
          <w:rFonts w:hint="cs"/>
          <w:rtl/>
        </w:rPr>
        <w:t>فيلزم أن تكون الملائكة حاملين لخالقهم ومعبودهم وذلك غير معقول لأن الخالق هو الذي يحفظ المخلوق</w:t>
      </w:r>
      <w:r w:rsidRPr="00A52585">
        <w:rPr>
          <w:rFonts w:hint="cs"/>
          <w:rtl/>
        </w:rPr>
        <w:t xml:space="preserve"> </w:t>
      </w:r>
      <w:r w:rsidR="00777DCB" w:rsidRPr="00A52585">
        <w:rPr>
          <w:rFonts w:hint="cs"/>
          <w:rtl/>
        </w:rPr>
        <w:t>أما المخلوق فلا يحفظ الخالق ولا يحمله. والحاصل أن الاستواء المقصود هو استواء على الملك بالقهر والتدبير</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خ</w:t>
      </w:r>
      <w:r w:rsidRPr="00A52585">
        <w:rPr>
          <w:rFonts w:hint="cs"/>
          <w:bCs/>
          <w:rtl/>
        </w:rPr>
        <w:t>)</w:t>
      </w:r>
      <w:r w:rsidR="00777DCB" w:rsidRPr="00A52585">
        <w:rPr>
          <w:rFonts w:hint="cs"/>
          <w:bCs/>
          <w:rtl/>
        </w:rPr>
        <w:t xml:space="preserve"> الآية الخامسة</w:t>
      </w:r>
      <w:r w:rsidRPr="00A52585">
        <w:rPr>
          <w:rFonts w:hint="cs"/>
          <w:bCs/>
          <w:rtl/>
        </w:rPr>
        <w:t>:</w:t>
      </w:r>
      <w:r w:rsidR="00777DCB" w:rsidRPr="00A52585">
        <w:rPr>
          <w:rFonts w:hint="cs"/>
          <w:rtl/>
        </w:rPr>
        <w:t xml:space="preserve"> </w:t>
      </w:r>
      <w:r w:rsidR="00777DCB" w:rsidRPr="00A52585">
        <w:rPr>
          <w:rFonts w:hint="cs"/>
          <w:bCs/>
          <w:rtl/>
        </w:rPr>
        <w:t>قال تعالى</w:t>
      </w:r>
      <w:r w:rsidR="00777DCB" w:rsidRPr="00A52585">
        <w:rPr>
          <w:rFonts w:hint="cs"/>
          <w:rtl/>
        </w:rPr>
        <w:t xml:space="preserve"> </w:t>
      </w:r>
      <w:r w:rsidRPr="00A52585">
        <w:rPr>
          <w:rFonts w:hint="cs"/>
          <w:rtl/>
        </w:rPr>
        <w:t>{</w:t>
      </w:r>
      <w:r w:rsidR="00777DCB" w:rsidRPr="00A52585">
        <w:rPr>
          <w:rFonts w:hint="cs"/>
          <w:bCs/>
          <w:rtl/>
        </w:rPr>
        <w:t>الذي خلق السموات والارض وما بينهما في ستة أيام ثم استوى على العرش الرحمن فاسأل به خبيرا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الفرقان</w:t>
      </w:r>
      <w:r w:rsidRPr="00A52585">
        <w:rPr>
          <w:rFonts w:hint="cs"/>
          <w:rtl/>
        </w:rPr>
        <w:t>:</w:t>
      </w:r>
      <w:r w:rsidR="00777DCB" w:rsidRPr="00A52585">
        <w:rPr>
          <w:rFonts w:hint="cs"/>
          <w:rtl/>
        </w:rPr>
        <w:t xml:space="preserve"> 59</w:t>
      </w:r>
      <w:r w:rsidRPr="00A52585">
        <w:rPr>
          <w:rFonts w:hint="cs"/>
          <w:rtl/>
        </w:rPr>
        <w:t>]</w:t>
      </w:r>
      <w:r w:rsidR="00DB731D" w:rsidRPr="00A52585">
        <w:rPr>
          <w:rFonts w:hint="cs"/>
          <w:rtl/>
        </w:rPr>
        <w:t>،</w:t>
      </w:r>
      <w:r w:rsidR="00777DCB" w:rsidRPr="00A52585">
        <w:rPr>
          <w:rFonts w:hint="cs"/>
          <w:rtl/>
        </w:rPr>
        <w:t xml:space="preserve"> المفتاح</w:t>
      </w:r>
      <w:r w:rsidRPr="00A52585">
        <w:rPr>
          <w:rFonts w:hint="cs"/>
          <w:rtl/>
        </w:rPr>
        <w:t>:</w:t>
      </w:r>
      <w:r w:rsidR="00777DCB" w:rsidRPr="00A52585">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DB731D" w:rsidRPr="00A52585">
        <w:rPr>
          <w:rFonts w:hint="cs"/>
          <w:rtl/>
        </w:rPr>
        <w:t>،</w:t>
      </w:r>
      <w:r w:rsidR="00777DCB" w:rsidRPr="00A52585">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د</w:t>
      </w:r>
      <w:r w:rsidRPr="00A52585">
        <w:rPr>
          <w:rFonts w:hint="cs"/>
          <w:bCs/>
          <w:rtl/>
        </w:rPr>
        <w:t>)</w:t>
      </w:r>
      <w:r w:rsidR="00777DCB" w:rsidRPr="00A52585">
        <w:rPr>
          <w:rFonts w:hint="cs"/>
          <w:bCs/>
          <w:rtl/>
        </w:rPr>
        <w:t xml:space="preserve"> الآية السادسة</w:t>
      </w:r>
      <w:r w:rsidRPr="00A52585">
        <w:rPr>
          <w:rFonts w:hint="cs"/>
          <w:bCs/>
          <w:rtl/>
        </w:rPr>
        <w:t>:</w:t>
      </w:r>
      <w:r w:rsidR="00777DCB" w:rsidRPr="00A52585">
        <w:rPr>
          <w:rFonts w:hint="cs"/>
          <w:b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السجدة</w:t>
      </w:r>
      <w:r w:rsidRPr="00A52585">
        <w:rPr>
          <w:rFonts w:hint="cs"/>
          <w:rtl/>
        </w:rPr>
        <w:t>:</w:t>
      </w:r>
      <w:r w:rsidR="00777DCB" w:rsidRPr="00A52585">
        <w:rPr>
          <w:rFonts w:hint="cs"/>
          <w:rtl/>
        </w:rPr>
        <w:t xml:space="preserve"> 4 إلى 7]</w:t>
      </w:r>
      <w:r w:rsidR="00DB731D" w:rsidRPr="00A52585">
        <w:rPr>
          <w:rFonts w:hint="cs"/>
          <w:rtl/>
        </w:rPr>
        <w:t>،</w:t>
      </w:r>
      <w:r w:rsidR="00777DCB" w:rsidRPr="00A52585">
        <w:rPr>
          <w:rFonts w:hint="cs"/>
          <w:rtl/>
        </w:rPr>
        <w:t xml:space="preserve"> والمفتاح</w:t>
      </w:r>
      <w:r w:rsidRPr="00A52585">
        <w:rPr>
          <w:rFonts w:hint="cs"/>
          <w:rtl/>
        </w:rPr>
        <w:t>:</w:t>
      </w:r>
      <w:r w:rsidR="00777DCB" w:rsidRPr="00A52585">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Pr="00A52585">
        <w:rPr>
          <w:rFonts w:hint="cs"/>
          <w:rtl/>
        </w:rPr>
        <w:t>(</w:t>
      </w:r>
      <w:r w:rsidR="00777DCB" w:rsidRPr="00A52585">
        <w:rPr>
          <w:rFonts w:hint="cs"/>
          <w:rtl/>
        </w:rPr>
        <w:t>ما لكم من دونه من ولي ولا شفيع</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ذ</w:t>
      </w:r>
      <w:r w:rsidRPr="00A52585">
        <w:rPr>
          <w:rFonts w:hint="cs"/>
          <w:rtl/>
        </w:rPr>
        <w:t>)</w:t>
      </w:r>
      <w:r w:rsidR="00777DCB" w:rsidRPr="00A52585">
        <w:rPr>
          <w:rFonts w:hint="cs"/>
          <w:rtl/>
        </w:rPr>
        <w:t xml:space="preserve"> </w:t>
      </w:r>
      <w:r w:rsidR="00777DCB" w:rsidRPr="00A52585">
        <w:rPr>
          <w:rFonts w:hint="cs"/>
          <w:bCs/>
          <w:rtl/>
        </w:rPr>
        <w:t>الآية السابعة</w:t>
      </w:r>
      <w:r w:rsidRPr="00A52585">
        <w:rPr>
          <w:rFonts w:hint="cs"/>
          <w:bCs/>
          <w:rtl/>
        </w:rPr>
        <w:t>:</w:t>
      </w:r>
      <w:r w:rsidR="00777DCB" w:rsidRPr="00A52585">
        <w:rPr>
          <w:rFonts w:hint="cs"/>
          <w:bCs/>
          <w:rtl/>
        </w:rPr>
        <w:t xml:space="preserve">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Pr="00A52585">
        <w:rPr>
          <w:rFonts w:hint="cs"/>
          <w:rtl/>
        </w:rPr>
        <w:t>}</w:t>
      </w:r>
      <w:r w:rsidR="00777DCB" w:rsidRPr="00A52585">
        <w:rPr>
          <w:rFonts w:hint="cs"/>
          <w:rtl/>
        </w:rPr>
        <w:t xml:space="preserve"> [الحديد 2ـ5</w:t>
      </w:r>
      <w:r w:rsidRPr="00A52585">
        <w:rPr>
          <w:rFonts w:hint="cs"/>
          <w:rtl/>
        </w:rPr>
        <w:t>]</w:t>
      </w:r>
      <w:r w:rsidR="00DB731D" w:rsidRPr="00A52585">
        <w:rPr>
          <w:rFonts w:hint="cs"/>
          <w:rtl/>
        </w:rPr>
        <w:t>،</w:t>
      </w:r>
      <w:r w:rsidR="00777DCB" w:rsidRPr="00A52585">
        <w:rPr>
          <w:rFonts w:hint="cs"/>
          <w:rtl/>
        </w:rPr>
        <w:t xml:space="preserve"> المفتاح</w:t>
      </w:r>
      <w:r w:rsidRPr="00A52585">
        <w:rPr>
          <w:rFonts w:hint="cs"/>
          <w:rtl/>
        </w:rPr>
        <w:t>:</w:t>
      </w:r>
      <w:r w:rsidR="00777DCB" w:rsidRPr="00A52585">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أولا</w:t>
      </w:r>
      <w:r w:rsidRPr="00A52585">
        <w:rPr>
          <w:rFonts w:hint="cs"/>
          <w:rtl/>
        </w:rPr>
        <w:t>):</w:t>
      </w:r>
      <w:r w:rsidR="00777DCB" w:rsidRPr="00A52585">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Pr="00A52585">
        <w:rPr>
          <w:rFonts w:hint="cs"/>
          <w:rtl/>
        </w:rPr>
        <w:t>(</w:t>
      </w:r>
      <w:r w:rsidR="00777DCB" w:rsidRPr="00A52585">
        <w:rPr>
          <w:rFonts w:hint="cs"/>
          <w:rtl/>
        </w:rPr>
        <w:t>أي له بداية</w:t>
      </w:r>
      <w:r w:rsidRPr="00A52585">
        <w:rPr>
          <w:rFonts w:hint="cs"/>
          <w:rtl/>
        </w:rPr>
        <w:t>)</w:t>
      </w:r>
      <w:r w:rsidR="00777DCB" w:rsidRPr="00A52585">
        <w:rPr>
          <w:rFonts w:hint="cs"/>
          <w:rtl/>
        </w:rPr>
        <w:t xml:space="preserve"> فهو أبدي </w:t>
      </w:r>
      <w:r w:rsidRPr="00A52585">
        <w:rPr>
          <w:rFonts w:hint="cs"/>
          <w:rtl/>
        </w:rPr>
        <w:t>(</w:t>
      </w:r>
      <w:r w:rsidR="00777DCB" w:rsidRPr="00A52585">
        <w:rPr>
          <w:rFonts w:hint="cs"/>
          <w:rtl/>
        </w:rPr>
        <w:t xml:space="preserve">أي لا نهاية له) فلا يصح أن يقال هو الأول قبل كل شيء وهو الآخر بعد كل شيء على سبيل </w:t>
      </w:r>
      <w:r w:rsidR="00777DCB" w:rsidRPr="00A52585">
        <w:rPr>
          <w:rFonts w:hint="cs"/>
          <w:rtl/>
        </w:rPr>
        <w:lastRenderedPageBreak/>
        <w:t>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ثانيا</w:t>
      </w:r>
      <w:r w:rsidRPr="00A52585">
        <w:rPr>
          <w:rFonts w:hint="cs"/>
          <w:rtl/>
        </w:rPr>
        <w:t>)</w:t>
      </w:r>
      <w:r w:rsidR="00777DCB" w:rsidRPr="00A52585">
        <w:rPr>
          <w:rFonts w:hint="cs"/>
          <w:rtl/>
        </w:rPr>
        <w:t>: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897A24" w:rsidRPr="00A52585">
        <w:rPr>
          <w:rFonts w:hint="cs"/>
          <w:rtl/>
        </w:rPr>
        <w:t>.</w:t>
      </w:r>
      <w:r w:rsidR="00777DCB" w:rsidRPr="00A52585">
        <w:rPr>
          <w:rFonts w:hint="cs"/>
          <w:rtl/>
        </w:rPr>
        <w:t xml:space="preserve">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sidRPr="00A52585">
        <w:rPr>
          <w:rFonts w:hint="cs"/>
          <w:rtl/>
        </w:rPr>
        <w:t xml:space="preserve"> </w:t>
      </w:r>
      <w:r w:rsidR="00777DCB" w:rsidRPr="00A52585">
        <w:rPr>
          <w:rFonts w:hint="cs"/>
          <w:rtl/>
        </w:rPr>
        <w:t>ليس كمثله شيء ولم يكن له كفوا أحد</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ثالثا</w:t>
      </w:r>
      <w:r w:rsidRPr="00A52585">
        <w:rPr>
          <w:rFonts w:hint="cs"/>
          <w:rtl/>
        </w:rPr>
        <w:t>):</w:t>
      </w:r>
      <w:r w:rsidR="00777DCB" w:rsidRPr="00A52585">
        <w:rPr>
          <w:rFonts w:hint="cs"/>
          <w:rtl/>
        </w:rPr>
        <w:t xml:space="preserve"> قوله تعالى وهو معكم أينما كنتم دليل على قربه وهو ينافي مذهب </w:t>
      </w:r>
      <w:proofErr w:type="spellStart"/>
      <w:r w:rsidR="00777DCB" w:rsidRPr="00A52585">
        <w:rPr>
          <w:rFonts w:hint="cs"/>
          <w:rtl/>
        </w:rPr>
        <w:t>الحشوية</w:t>
      </w:r>
      <w:proofErr w:type="spellEnd"/>
      <w:r w:rsidR="00777DCB" w:rsidRPr="00A52585">
        <w:rPr>
          <w:rFonts w:hint="cs"/>
          <w:rtl/>
        </w:rPr>
        <w:t xml:space="preserve"> إلا أننا نقول أنه قرب منزه عن المسافة وعن التحيز وعن الحلول في الأمكنة والمخلوقات ليس كمثله شي ء</w:t>
      </w:r>
      <w:r w:rsidR="00DB731D" w:rsidRPr="00A52585">
        <w:rPr>
          <w:rFonts w:hint="cs"/>
          <w:rtl/>
        </w:rPr>
        <w:t>،</w:t>
      </w:r>
      <w:r w:rsidR="00777DCB" w:rsidRPr="00A52585">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DB731D" w:rsidRPr="00A52585">
        <w:rPr>
          <w:rFonts w:hint="cs"/>
          <w:rtl/>
        </w:rPr>
        <w:t>،</w:t>
      </w:r>
      <w:r w:rsidR="00777DCB" w:rsidRPr="00A52585">
        <w:rPr>
          <w:rFonts w:hint="cs"/>
          <w:rtl/>
        </w:rPr>
        <w:t xml:space="preserve"> والحاصل أن الصواب عندي في الاستواء</w:t>
      </w:r>
      <w:r w:rsidRPr="00A52585">
        <w:rPr>
          <w:rFonts w:hint="cs"/>
          <w:rtl/>
        </w:rPr>
        <w:t xml:space="preserve"> </w:t>
      </w:r>
      <w:r w:rsidR="00777DCB" w:rsidRPr="00A52585">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DB731D" w:rsidRPr="00A52585">
        <w:rPr>
          <w:rFonts w:hint="cs"/>
          <w:rtl/>
        </w:rPr>
        <w:t>،</w:t>
      </w:r>
      <w:r w:rsidR="00777DCB" w:rsidRPr="00A52585">
        <w:rPr>
          <w:rFonts w:hint="cs"/>
          <w:rtl/>
        </w:rPr>
        <w:t xml:space="preserve"> وعلى ذلك فالمقصود من الاستواء الدلالة على الاستعلاء والقهر وعلو الربوبية والتدبير بقرينة (يدبر الأمر</w:t>
      </w:r>
      <w:r w:rsidRPr="00A52585">
        <w:rPr>
          <w:rFonts w:hint="cs"/>
          <w:rtl/>
        </w:rPr>
        <w:t>)</w:t>
      </w:r>
      <w:r w:rsidR="00777DCB" w:rsidRPr="00A52585">
        <w:rPr>
          <w:rFonts w:hint="cs"/>
          <w:rtl/>
        </w:rPr>
        <w:t>والتي تعقب ذكر الاستواء عادة والله تعالى أعلم</w:t>
      </w:r>
      <w:r w:rsidR="00DB731D" w:rsidRPr="00A52585">
        <w:rPr>
          <w:rFonts w:hint="cs"/>
          <w:rtl/>
        </w:rPr>
        <w:t>،</w:t>
      </w:r>
      <w:r w:rsidR="00777DCB" w:rsidRPr="00A52585">
        <w:rPr>
          <w:rFonts w:hint="cs"/>
          <w:rtl/>
        </w:rPr>
        <w:t xml:space="preserve"> وفي بيان الاستعارة التمثيلية جاء في فتح الباري</w:t>
      </w:r>
      <w:r w:rsidRPr="00A52585">
        <w:rPr>
          <w:rFonts w:hint="cs"/>
          <w:rtl/>
        </w:rPr>
        <w:t>:</w:t>
      </w:r>
      <w:r w:rsidR="00777DCB" w:rsidRPr="00A52585">
        <w:rPr>
          <w:rFonts w:hint="cs"/>
          <w:rtl/>
        </w:rPr>
        <w:t xml:space="preserve"> " قال الحافظ</w:t>
      </w:r>
      <w:r w:rsidR="00777DCB" w:rsidRPr="00A52585">
        <w:rPr>
          <w:rFonts w:hint="cs"/>
        </w:rPr>
        <w:t xml:space="preserve"> </w:t>
      </w:r>
      <w:r w:rsidR="00777DCB" w:rsidRPr="00A52585">
        <w:rPr>
          <w:rFonts w:hint="cs"/>
          <w:rtl/>
        </w:rPr>
        <w:t>صلاح الدين العلائي</w:t>
      </w:r>
      <w:r w:rsidRPr="00A52585">
        <w:rPr>
          <w:rFonts w:hint="cs"/>
          <w:rtl/>
        </w:rPr>
        <w:t>:</w:t>
      </w:r>
      <w:r w:rsidR="00777DCB" w:rsidRPr="00A52585">
        <w:rPr>
          <w:rFonts w:hint="cs"/>
          <w:rtl/>
        </w:rPr>
        <w:t xml:space="preserve"> </w:t>
      </w:r>
      <w:r w:rsidR="00777DCB" w:rsidRPr="00A52585">
        <w:rPr>
          <w:rFonts w:hint="cs"/>
          <w:bCs/>
          <w:rtl/>
        </w:rPr>
        <w:t>ويتخرج</w:t>
      </w:r>
      <w:r w:rsidR="00777DCB" w:rsidRPr="00A52585">
        <w:rPr>
          <w:rFonts w:hint="cs"/>
          <w:bCs/>
        </w:rPr>
        <w:t xml:space="preserve"> </w:t>
      </w:r>
      <w:r w:rsidR="00777DCB" w:rsidRPr="00A52585">
        <w:rPr>
          <w:rFonts w:hint="cs"/>
          <w:bCs/>
          <w:rtl/>
        </w:rPr>
        <w:t>كثير من أحاديث الصفات</w:t>
      </w:r>
      <w:r w:rsidR="00777DCB" w:rsidRPr="00A52585">
        <w:rPr>
          <w:rFonts w:hint="cs"/>
          <w:bCs/>
        </w:rPr>
        <w:t xml:space="preserve"> </w:t>
      </w:r>
      <w:r w:rsidR="00777DCB" w:rsidRPr="00A52585">
        <w:rPr>
          <w:rFonts w:hint="cs"/>
          <w:bCs/>
          <w:rtl/>
        </w:rPr>
        <w:t>على الاستعارة</w:t>
      </w:r>
      <w:r w:rsidR="00777DCB" w:rsidRPr="00A52585">
        <w:rPr>
          <w:rFonts w:hint="cs"/>
          <w:bCs/>
        </w:rPr>
        <w:t xml:space="preserve"> </w:t>
      </w:r>
      <w:proofErr w:type="spellStart"/>
      <w:r w:rsidR="00777DCB" w:rsidRPr="00A52585">
        <w:rPr>
          <w:rFonts w:hint="cs"/>
          <w:bCs/>
          <w:rtl/>
        </w:rPr>
        <w:t>التخييلية</w:t>
      </w:r>
      <w:proofErr w:type="spellEnd"/>
      <w:r w:rsidR="00777DCB" w:rsidRPr="00A52585">
        <w:rPr>
          <w:rFonts w:hint="cs"/>
          <w:rtl/>
        </w:rPr>
        <w:t xml:space="preserve"> وهي ان يشترك شيئان في وصف ثم يعتمد لوازم أحدهما حيث</w:t>
      </w:r>
      <w:r w:rsidR="00777DCB" w:rsidRPr="00A52585">
        <w:rPr>
          <w:rFonts w:hint="cs"/>
        </w:rPr>
        <w:t xml:space="preserve"> </w:t>
      </w:r>
      <w:r w:rsidR="00777DCB" w:rsidRPr="00A52585">
        <w:rPr>
          <w:rFonts w:hint="cs"/>
          <w:rtl/>
        </w:rPr>
        <w:t>تكون جهة</w:t>
      </w:r>
      <w:r w:rsidR="00777DCB" w:rsidRPr="00A52585">
        <w:rPr>
          <w:rFonts w:hint="cs"/>
        </w:rPr>
        <w:t xml:space="preserve"> </w:t>
      </w:r>
      <w:r w:rsidR="00777DCB" w:rsidRPr="00A52585">
        <w:rPr>
          <w:rFonts w:hint="cs"/>
          <w:rtl/>
        </w:rPr>
        <w:t>الاشتراك وصفا فيثبت كماله في المستعار بواسطة شيء آخر فيثبت ذلك للمستعار</w:t>
      </w:r>
      <w:r w:rsidR="00777DCB" w:rsidRPr="00A52585">
        <w:rPr>
          <w:rFonts w:hint="cs"/>
        </w:rPr>
        <w:t xml:space="preserve"> </w:t>
      </w:r>
      <w:r w:rsidR="00777DCB" w:rsidRPr="00A52585">
        <w:rPr>
          <w:rFonts w:hint="cs"/>
          <w:rtl/>
        </w:rPr>
        <w:t>مبالغة في</w:t>
      </w:r>
      <w:r w:rsidR="00777DCB" w:rsidRPr="00A52585">
        <w:rPr>
          <w:rFonts w:hint="cs"/>
        </w:rPr>
        <w:t xml:space="preserve"> </w:t>
      </w:r>
      <w:r w:rsidR="00777DCB" w:rsidRPr="00A52585">
        <w:rPr>
          <w:rFonts w:hint="cs"/>
          <w:rtl/>
        </w:rPr>
        <w:t xml:space="preserve">اثبات المشترك قال </w:t>
      </w:r>
      <w:r w:rsidR="00777DCB" w:rsidRPr="00A52585">
        <w:rPr>
          <w:rFonts w:hint="cs"/>
          <w:bCs/>
          <w:rtl/>
        </w:rPr>
        <w:t>وبالحمل على هذه الاستعارة التخيلية يحصل التخلص</w:t>
      </w:r>
      <w:r w:rsidR="00777DCB" w:rsidRPr="00A52585">
        <w:rPr>
          <w:rFonts w:hint="cs"/>
          <w:bCs/>
        </w:rPr>
        <w:t xml:space="preserve"> </w:t>
      </w:r>
      <w:r w:rsidR="00777DCB" w:rsidRPr="00A52585">
        <w:rPr>
          <w:rFonts w:hint="cs"/>
          <w:bCs/>
          <w:rtl/>
        </w:rPr>
        <w:t>من مهاوي</w:t>
      </w:r>
      <w:r w:rsidR="00777DCB" w:rsidRPr="00A52585">
        <w:rPr>
          <w:rFonts w:hint="cs"/>
          <w:bCs/>
        </w:rPr>
        <w:t xml:space="preserve"> </w:t>
      </w:r>
      <w:r w:rsidR="00777DCB" w:rsidRPr="00A52585">
        <w:rPr>
          <w:rFonts w:hint="cs"/>
          <w:bCs/>
          <w:rtl/>
        </w:rPr>
        <w:t>التجسيم</w:t>
      </w:r>
      <w:r w:rsidR="00777DCB" w:rsidRPr="00A52585">
        <w:rPr>
          <w:rFonts w:hint="cs"/>
          <w:rtl/>
        </w:rPr>
        <w:t xml:space="preserve"> " أ هـ [فتح</w:t>
      </w:r>
      <w:r w:rsidR="00777DCB" w:rsidRPr="00A52585">
        <w:rPr>
          <w:rFonts w:hint="cs"/>
        </w:rPr>
        <w:t xml:space="preserve"> </w:t>
      </w:r>
      <w:r w:rsidR="00777DCB" w:rsidRPr="00A52585">
        <w:rPr>
          <w:rFonts w:hint="cs"/>
          <w:rtl/>
        </w:rPr>
        <w:t>الباري ج: 13 ص: 431]</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ملاحظة أولى</w:t>
      </w:r>
      <w:r w:rsidRPr="00A52585">
        <w:rPr>
          <w:rFonts w:hint="cs"/>
          <w:rtl/>
        </w:rPr>
        <w:t>]:</w:t>
      </w:r>
      <w:r w:rsidR="00777DCB" w:rsidRPr="00A52585">
        <w:rPr>
          <w:rFonts w:hint="cs"/>
          <w:rtl/>
        </w:rPr>
        <w:t xml:space="preserve"> استدلت الجهمية من هذه الآيات على أن الله موجود بذاته في كل مكان</w:t>
      </w:r>
      <w:r w:rsidRPr="00A52585">
        <w:rPr>
          <w:rFonts w:hint="cs"/>
          <w:rtl/>
        </w:rPr>
        <w:t xml:space="preserve"> </w:t>
      </w:r>
      <w:r w:rsidR="00777DCB" w:rsidRPr="00A52585">
        <w:rPr>
          <w:rFonts w:hint="cs"/>
          <w:rtl/>
        </w:rPr>
        <w:t>لأنه الظاهر والباطن وأنه معنا حيث كنا فأنتصب السلف للرد على هذه البدعة وأوضحوا أن كلمة</w:t>
      </w:r>
      <w:r w:rsidRPr="00A52585">
        <w:rPr>
          <w:rFonts w:hint="cs"/>
          <w:rtl/>
        </w:rPr>
        <w:t xml:space="preserve"> </w:t>
      </w:r>
      <w:r w:rsidR="00777DCB" w:rsidRPr="00A52585">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DB731D" w:rsidRPr="00A52585">
        <w:rPr>
          <w:rFonts w:hint="cs"/>
          <w:rtl/>
        </w:rPr>
        <w:t>،</w:t>
      </w:r>
      <w:r w:rsidR="00777DCB" w:rsidRPr="00A52585">
        <w:rPr>
          <w:rFonts w:hint="cs"/>
          <w:rtl/>
        </w:rPr>
        <w:t xml:space="preserve"> ثم ظهرت </w:t>
      </w:r>
      <w:proofErr w:type="spellStart"/>
      <w:r w:rsidR="00777DCB" w:rsidRPr="00A52585">
        <w:rPr>
          <w:rFonts w:hint="cs"/>
          <w:rtl/>
        </w:rPr>
        <w:t>الحشوية</w:t>
      </w:r>
      <w:proofErr w:type="spellEnd"/>
      <w:r w:rsidR="00777DCB" w:rsidRPr="00A52585">
        <w:rPr>
          <w:rFonts w:hint="cs"/>
          <w:rtl/>
        </w:rPr>
        <w:t xml:space="preserve"> وقالوا أن الله موجود في مكان دون مكان ومكانه العرش وقال الأغبياء منهم أن العرش مكانه وأنه أكبر من ذات </w:t>
      </w:r>
      <w:r w:rsidR="00777DCB" w:rsidRPr="00A52585">
        <w:rPr>
          <w:rFonts w:hint="cs"/>
          <w:rtl/>
        </w:rPr>
        <w:lastRenderedPageBreak/>
        <w:t>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ملاحظة ثانية</w:t>
      </w:r>
      <w:r w:rsidRPr="00A52585">
        <w:rPr>
          <w:rFonts w:hint="cs"/>
          <w:rtl/>
        </w:rPr>
        <w:t>]:</w:t>
      </w:r>
      <w:r w:rsidR="00777DCB" w:rsidRPr="00A52585">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777DCB" w:rsidRPr="00A52585">
        <w:rPr>
          <w:rFonts w:hint="cs"/>
          <w:bCs/>
          <w:rtl/>
        </w:rPr>
        <w:t>فمتى يستوي على عرشه حقيقة كما يقولون</w:t>
      </w:r>
      <w:r w:rsidR="00777DCB" w:rsidRPr="00A52585">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777DCB" w:rsidRPr="00A52585">
        <w:rPr>
          <w:rFonts w:hint="cs"/>
          <w:rtl/>
        </w:rPr>
        <w:t>يمارى</w:t>
      </w:r>
      <w:proofErr w:type="spellEnd"/>
      <w:r w:rsidR="00777DCB" w:rsidRPr="00A52585">
        <w:rPr>
          <w:rFonts w:hint="cs"/>
          <w:rtl/>
        </w:rPr>
        <w:t xml:space="preserve"> فيه إلا جهول مأفون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ملاحظة ثالثة</w:t>
      </w:r>
      <w:r w:rsidRPr="00A52585">
        <w:rPr>
          <w:rFonts w:hint="cs"/>
          <w:bCs/>
          <w:rtl/>
        </w:rPr>
        <w:t>]:</w:t>
      </w:r>
      <w:r w:rsidR="00777DCB" w:rsidRPr="00A52585">
        <w:rPr>
          <w:rFonts w:hint="cs"/>
          <w:rtl/>
        </w:rPr>
        <w:t xml:space="preserve"> و نقول لهؤلاء الذين يفهمون من الاستواء إلى السماء أنه </w:t>
      </w:r>
      <w:proofErr w:type="spellStart"/>
      <w:r w:rsidR="00777DCB" w:rsidRPr="00A52585">
        <w:rPr>
          <w:rFonts w:hint="cs"/>
          <w:rtl/>
        </w:rPr>
        <w:t>الإنتقال</w:t>
      </w:r>
      <w:proofErr w:type="spellEnd"/>
      <w:r w:rsidR="00777DCB" w:rsidRPr="00A52585">
        <w:rPr>
          <w:rFonts w:hint="cs"/>
          <w:rtl/>
        </w:rPr>
        <w:t xml:space="preserve"> من الأرض إلى السماء وذلك في قوله تعالى ((</w:t>
      </w:r>
      <w:r w:rsidR="00777DCB" w:rsidRPr="00A52585">
        <w:rPr>
          <w:rFonts w:hint="cs"/>
          <w:bCs/>
          <w:rtl/>
        </w:rPr>
        <w:t>هو الذي خلق لكم ما في الأرض جميعا ثم استوى إلى السماء فسواهن سبع سموات وهو بكل شيء عليم</w:t>
      </w:r>
      <w:r w:rsidRPr="00A52585">
        <w:rPr>
          <w:rFonts w:hint="cs"/>
          <w:rtl/>
        </w:rPr>
        <w:t>)[</w:t>
      </w:r>
      <w:r w:rsidR="00777DCB" w:rsidRPr="00A52585">
        <w:rPr>
          <w:rFonts w:hint="cs"/>
          <w:rtl/>
        </w:rPr>
        <w:t>البقرة 29] أن</w:t>
      </w:r>
      <w:r w:rsidRPr="00A52585">
        <w:rPr>
          <w:rFonts w:hint="cs"/>
          <w:rtl/>
        </w:rPr>
        <w:t xml:space="preserve"> </w:t>
      </w:r>
      <w:r w:rsidR="00777DCB" w:rsidRPr="00A52585">
        <w:rPr>
          <w:rFonts w:hint="cs"/>
          <w:rtl/>
        </w:rPr>
        <w:t xml:space="preserve">تصورهم الاستواء بهذه الصورة محض باطل وجهل عظيم ووقاحة في </w:t>
      </w:r>
      <w:proofErr w:type="spellStart"/>
      <w:r w:rsidR="00777DCB" w:rsidRPr="00A52585">
        <w:rPr>
          <w:rFonts w:hint="cs"/>
          <w:rtl/>
        </w:rPr>
        <w:t>الإعتقاد</w:t>
      </w:r>
      <w:proofErr w:type="spellEnd"/>
      <w:r w:rsidR="00777DCB" w:rsidRPr="00A52585">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Pr="00A52585">
        <w:rPr>
          <w:rFonts w:hint="cs"/>
          <w:rtl/>
        </w:rPr>
        <w:t xml:space="preserve"> </w:t>
      </w:r>
      <w:r w:rsidR="00777DCB" w:rsidRPr="00A52585">
        <w:rPr>
          <w:rFonts w:hint="cs"/>
          <w:rtl/>
        </w:rPr>
        <w:t>وليس صعد من الأرض إلى السماء تعالى الله عن ذلك علوا كبيرا</w:t>
      </w:r>
      <w:r w:rsidR="00DB731D" w:rsidRPr="00A52585">
        <w:rPr>
          <w:rFonts w:hint="cs"/>
          <w:rtl/>
        </w:rPr>
        <w:t>،</w:t>
      </w:r>
      <w:r w:rsidR="00777DCB" w:rsidRPr="00A52585">
        <w:rPr>
          <w:rFonts w:hint="cs"/>
          <w:rtl/>
        </w:rPr>
        <w:t xml:space="preserve"> وأختم بدرة للزرقاني قال فيها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استوى}</w:t>
      </w:r>
      <w:r w:rsidR="00DB731D" w:rsidRPr="00A52585">
        <w:rPr>
          <w:rFonts w:hint="cs"/>
          <w:rtl/>
        </w:rPr>
        <w:t>،</w:t>
      </w:r>
      <w:r w:rsidRPr="00A52585">
        <w:rPr>
          <w:rFonts w:hint="cs"/>
          <w:rtl/>
        </w:rPr>
        <w:t xml:space="preserve"> </w:t>
      </w:r>
      <w:r w:rsidR="00777DCB" w:rsidRPr="00A52585">
        <w:rPr>
          <w:rFonts w:hint="cs"/>
          <w:rtl/>
        </w:rPr>
        <w:t>فنقول</w:t>
      </w:r>
      <w:r w:rsidRPr="00A52585">
        <w:rPr>
          <w:rFonts w:hint="cs"/>
          <w:rtl/>
        </w:rPr>
        <w:t xml:space="preserve">: </w:t>
      </w:r>
      <w:r w:rsidR="00777DCB" w:rsidRPr="00A52585">
        <w:rPr>
          <w:rFonts w:hint="cs"/>
          <w:rtl/>
        </w:rPr>
        <w:t>يتفق الجميع من سلف وخلف على أن ظاهر الاستواء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Pr="00A52585">
        <w:rPr>
          <w:rFonts w:hint="cs"/>
          <w:rtl/>
        </w:rPr>
        <w:t xml:space="preserve"> </w:t>
      </w:r>
      <w:r w:rsidR="00777DCB" w:rsidRPr="00A52585">
        <w:rPr>
          <w:rFonts w:hint="cs"/>
          <w:rtl/>
        </w:rPr>
        <w:t xml:space="preserve">ثم اختلف السلف والخلف بعد ما تقدم فرأى السلفيون أن يفوضوا تعيين معنى الاستواء إلى الله هو أعلم بما نسبه إلى نفسه وأعلم بما يليق به ولا دليل عندهم </w:t>
      </w:r>
      <w:r w:rsidR="00777DCB" w:rsidRPr="00A52585">
        <w:rPr>
          <w:rFonts w:hint="cs"/>
          <w:rtl/>
        </w:rPr>
        <w:lastRenderedPageBreak/>
        <w:t>على هذا التعيين ورأى الخلف أن يؤولوا لأنه يبعد كل البعد أن يخاطب الله عباده بما لا يفهمون وما دام ميدان اللغة متسعا للتأويل وجب التأويل</w:t>
      </w:r>
      <w:r w:rsidR="00897A24" w:rsidRPr="00A52585">
        <w:rPr>
          <w:rFonts w:hint="cs"/>
          <w:rtl/>
        </w:rPr>
        <w:t>.</w:t>
      </w:r>
      <w:r w:rsidR="00777DCB" w:rsidRPr="00A52585">
        <w:rPr>
          <w:rFonts w:hint="cs"/>
          <w:rtl/>
        </w:rPr>
        <w:t>.. إلى أن قال</w:t>
      </w:r>
      <w:r w:rsidRPr="00A52585">
        <w:rPr>
          <w:rFonts w:hint="cs"/>
          <w:rtl/>
        </w:rPr>
        <w:t>:</w:t>
      </w:r>
      <w:r w:rsidR="00777DCB" w:rsidRPr="00A52585">
        <w:rPr>
          <w:rFonts w:hint="cs"/>
          <w:rtl/>
        </w:rPr>
        <w:t xml:space="preserve"> </w:t>
      </w:r>
      <w:r w:rsidR="00777DCB" w:rsidRPr="00A52585">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777DCB" w:rsidRPr="00A52585">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777DCB" w:rsidRPr="00A52585">
        <w:rPr>
          <w:rFonts w:hint="cs"/>
          <w:rtl/>
        </w:rPr>
        <w:t>متركبا</w:t>
      </w:r>
      <w:proofErr w:type="spellEnd"/>
      <w:r w:rsidR="00777DCB" w:rsidRPr="00A52585">
        <w:rPr>
          <w:rFonts w:hint="cs"/>
          <w:rtl/>
        </w:rPr>
        <w:t xml:space="preserve"> ولا محتاجا لأحد ولا إلى مكان ولا إلى زمان ولا نحو ذلك ولقد جاء القرآن بهذا في </w:t>
      </w:r>
      <w:proofErr w:type="spellStart"/>
      <w:r w:rsidR="00777DCB" w:rsidRPr="00A52585">
        <w:rPr>
          <w:rFonts w:hint="cs"/>
          <w:rtl/>
        </w:rPr>
        <w:t>محكماته</w:t>
      </w:r>
      <w:proofErr w:type="spellEnd"/>
      <w:r w:rsidR="00777DCB" w:rsidRPr="00A52585">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Pr="00A52585">
        <w:rPr>
          <w:rFonts w:hint="cs"/>
          <w:rtl/>
        </w:rPr>
        <w:t xml:space="preserve"> </w:t>
      </w:r>
      <w:r w:rsidR="00777DCB" w:rsidRPr="00A52585">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777DCB" w:rsidRPr="00A52585">
        <w:rPr>
          <w:rFonts w:hint="cs"/>
          <w:rtl/>
        </w:rPr>
        <w:t>يرضاه</w:t>
      </w:r>
      <w:proofErr w:type="spellEnd"/>
      <w:r w:rsidR="00777DCB" w:rsidRPr="00A52585">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غير مستقر أو متحيز غير متحيز وجسم غير جسم أو أن الاستواء 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 xml:space="preserve">ليس هو الاستواء </w:t>
      </w:r>
      <w:r w:rsidR="00777DCB" w:rsidRPr="00A52585">
        <w:rPr>
          <w:rFonts w:hint="cs"/>
          <w:rtl/>
        </w:rPr>
        <w:lastRenderedPageBreak/>
        <w:t>على</w:t>
      </w:r>
      <w:r w:rsidRPr="00A52585">
        <w:rPr>
          <w:rFonts w:hint="cs"/>
          <w:rtl/>
        </w:rPr>
        <w:t xml:space="preserve"> </w:t>
      </w:r>
      <w:r w:rsidR="00777DCB" w:rsidRPr="00A52585">
        <w:rPr>
          <w:rFonts w:hint="cs"/>
          <w:rtl/>
        </w:rPr>
        <w:t>العرش</w:t>
      </w:r>
      <w:r w:rsidRPr="00A52585">
        <w:rPr>
          <w:rFonts w:hint="cs"/>
          <w:rtl/>
        </w:rPr>
        <w:t xml:space="preserve"> </w:t>
      </w:r>
      <w:r w:rsidR="00777DCB" w:rsidRPr="00A52585">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777DCB" w:rsidRPr="00A52585">
        <w:rPr>
          <w:rFonts w:hint="cs"/>
          <w:rtl/>
        </w:rPr>
        <w:t>يواجهونهم</w:t>
      </w:r>
      <w:proofErr w:type="spellEnd"/>
      <w:r w:rsidR="00777DCB" w:rsidRPr="00A52585">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777DCB" w:rsidRPr="00A52585">
        <w:rPr>
          <w:rFonts w:hint="cs"/>
          <w:rtl/>
        </w:rPr>
        <w:t>صبيغ</w:t>
      </w:r>
      <w:proofErr w:type="spellEnd"/>
      <w:r w:rsidR="00777DCB" w:rsidRPr="00A52585">
        <w:rPr>
          <w:rFonts w:hint="cs"/>
          <w:rtl/>
        </w:rPr>
        <w:t xml:space="preserve"> وجعل مالكا يقول ما يقول ويفعل ما يفعل بالذي سأله عن الاستواء وقد مر بك هذا وذاك</w:t>
      </w:r>
      <w:r w:rsidR="00DB731D" w:rsidRPr="00A52585">
        <w:rPr>
          <w:rFonts w:hint="cs"/>
          <w:rtl/>
        </w:rPr>
        <w:t>،</w:t>
      </w:r>
      <w:r w:rsidR="00777DCB" w:rsidRPr="00A52585">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777DCB" w:rsidRPr="00A52585">
        <w:rPr>
          <w:rFonts w:hint="cs"/>
          <w:rtl/>
        </w:rPr>
        <w:t>ويرضاه</w:t>
      </w:r>
      <w:proofErr w:type="spellEnd"/>
      <w:r w:rsidR="00777DCB" w:rsidRPr="00A52585">
        <w:rPr>
          <w:rFonts w:hint="cs"/>
          <w:rtl/>
        </w:rPr>
        <w:t xml:space="preserve"> " أ هـ </w:t>
      </w:r>
      <w:r w:rsidRPr="00A52585">
        <w:rPr>
          <w:rFonts w:hint="cs"/>
          <w:rtl/>
        </w:rPr>
        <w:t>[</w:t>
      </w:r>
      <w:r w:rsidR="00777DCB" w:rsidRPr="00A52585">
        <w:rPr>
          <w:rFonts w:hint="cs"/>
          <w:rtl/>
        </w:rPr>
        <w:t>مناهل العرفان ج: 2 ص: 208/111</w:t>
      </w:r>
      <w:r w:rsidRPr="00A52585">
        <w:rPr>
          <w:rFonts w:hint="cs"/>
          <w:rtl/>
        </w:rPr>
        <w:t>]</w:t>
      </w:r>
      <w:r w:rsidR="00DB731D" w:rsidRPr="00A52585">
        <w:rPr>
          <w:rFonts w:hint="cs"/>
          <w:rtl/>
        </w:rPr>
        <w:t>،</w:t>
      </w:r>
      <w:r w:rsidR="00777DCB" w:rsidRPr="00A52585">
        <w:rPr>
          <w:rFonts w:hint="cs"/>
          <w:rtl/>
        </w:rPr>
        <w:t xml:space="preserve"> </w:t>
      </w:r>
    </w:p>
    <w:p w14:paraId="4774D963" w14:textId="7B5F2E3C" w:rsidR="00777DCB" w:rsidRPr="00A52585" w:rsidRDefault="0002035C" w:rsidP="0002035C">
      <w:pPr>
        <w:spacing w:after="240"/>
        <w:rPr>
          <w:rtl/>
          <w:lang w:bidi="ar-SY"/>
        </w:rPr>
      </w:pPr>
      <w:r w:rsidRPr="00A52585">
        <w:rPr>
          <w:rFonts w:hint="cs"/>
          <w:bCs/>
          <w:rtl/>
        </w:rPr>
        <w:t>(</w:t>
      </w:r>
      <w:r w:rsidR="00777DCB" w:rsidRPr="00A52585">
        <w:rPr>
          <w:rFonts w:hint="cs"/>
          <w:bCs/>
          <w:rtl/>
        </w:rPr>
        <w:t>13</w:t>
      </w:r>
      <w:r w:rsidRPr="00A52585">
        <w:rPr>
          <w:rFonts w:hint="cs"/>
          <w:bCs/>
          <w:rtl/>
        </w:rPr>
        <w:t>)</w:t>
      </w:r>
      <w:r w:rsidR="00777DCB" w:rsidRPr="00A52585">
        <w:rPr>
          <w:rFonts w:hint="cs"/>
          <w:bCs/>
          <w:rtl/>
        </w:rPr>
        <w:t xml:space="preserve"> حل اشكالية</w:t>
      </w:r>
      <w:r w:rsidR="00777DCB" w:rsidRPr="00A52585">
        <w:rPr>
          <w:rFonts w:hint="cs"/>
          <w:bCs/>
          <w:rtl/>
          <w:lang w:bidi="ar-SY"/>
        </w:rPr>
        <w:t xml:space="preserve"> </w:t>
      </w:r>
      <w:r w:rsidR="00777DCB" w:rsidRPr="00A52585">
        <w:rPr>
          <w:rFonts w:hint="cs"/>
          <w:bCs/>
          <w:rtl/>
        </w:rPr>
        <w:t>الدليل الحادي عشر</w:t>
      </w:r>
      <w:r w:rsidRPr="00A52585">
        <w:rPr>
          <w:rFonts w:hint="cs"/>
          <w:bCs/>
          <w:rtl/>
        </w:rPr>
        <w:t>:</w:t>
      </w:r>
      <w:r w:rsidR="00777DCB" w:rsidRPr="00A52585">
        <w:rPr>
          <w:rFonts w:hint="cs"/>
          <w:bCs/>
          <w:rtl/>
        </w:rPr>
        <w:t xml:space="preserve"> </w:t>
      </w:r>
      <w:r w:rsidR="00777DCB" w:rsidRPr="00A52585">
        <w:rPr>
          <w:rFonts w:hint="cs"/>
          <w:bCs/>
          <w:rtl/>
          <w:lang w:bidi="ar-SY"/>
        </w:rPr>
        <w:t>التصريح بالنزول كل ليلة إلى سماء الدنيا</w:t>
      </w:r>
      <w:r w:rsidR="00DB731D" w:rsidRPr="00A52585">
        <w:rPr>
          <w:rFonts w:hint="cs"/>
          <w:bCs/>
          <w:rtl/>
          <w:lang w:bidi="ar-SY"/>
        </w:rPr>
        <w:t>،</w:t>
      </w:r>
      <w:r w:rsidR="00777DCB" w:rsidRPr="00A52585">
        <w:rPr>
          <w:rFonts w:hint="cs"/>
          <w:bCs/>
          <w:rtl/>
          <w:lang w:bidi="ar-SY"/>
        </w:rPr>
        <w:t xml:space="preserve"> لحديث البخاري ومسلم</w:t>
      </w:r>
      <w:r w:rsidRPr="00A52585">
        <w:rPr>
          <w:rFonts w:hint="cs"/>
          <w:bCs/>
          <w:rtl/>
          <w:lang w:bidi="ar-SY"/>
        </w:rPr>
        <w:t>:</w:t>
      </w:r>
      <w:r w:rsidR="00777DCB" w:rsidRPr="00A52585">
        <w:rPr>
          <w:rFonts w:hint="cs"/>
          <w:bCs/>
          <w:rtl/>
          <w:lang w:bidi="ar-SY"/>
        </w:rPr>
        <w:t xml:space="preserve"> (</w:t>
      </w:r>
      <w:r w:rsidRPr="00A52585">
        <w:rPr>
          <w:rFonts w:hint="cs"/>
          <w:bCs/>
          <w:rtl/>
          <w:lang w:bidi="ar-SY"/>
        </w:rPr>
        <w:t>(</w:t>
      </w:r>
      <w:r w:rsidR="00777DCB" w:rsidRPr="00A52585">
        <w:rPr>
          <w:rFonts w:hint="cs"/>
          <w:b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sidRPr="00A52585">
        <w:rPr>
          <w:rFonts w:hint="cs"/>
          <w:bCs/>
          <w:rtl/>
          <w:lang w:bidi="ar-SY"/>
        </w:rPr>
        <w:t>)</w:t>
      </w:r>
      <w:r w:rsidR="00777DCB" w:rsidRPr="00A52585">
        <w:rPr>
          <w:rFonts w:hint="cs"/>
          <w:bCs/>
          <w:rtl/>
          <w:lang w:bidi="ar-SY"/>
        </w:rPr>
        <w:t xml:space="preserve">) </w:t>
      </w:r>
      <w:r w:rsidR="00777DCB" w:rsidRPr="00A52585">
        <w:rPr>
          <w:rFonts w:hint="cs"/>
          <w:rtl/>
          <w:lang w:bidi="ar-SY"/>
        </w:rPr>
        <w:t>قلت</w:t>
      </w:r>
      <w:r w:rsidRPr="00A52585">
        <w:rPr>
          <w:rFonts w:hint="cs"/>
          <w:rtl/>
          <w:lang w:bidi="ar-SY"/>
        </w:rPr>
        <w:t>:</w:t>
      </w:r>
      <w:r w:rsidR="00777DCB" w:rsidRPr="00A52585">
        <w:rPr>
          <w:rFonts w:hint="cs"/>
          <w:rtl/>
          <w:lang w:bidi="ar-SY"/>
        </w:rPr>
        <w:t xml:space="preserve"> قد تقدم في المقدمة الثالثة</w:t>
      </w:r>
      <w:r w:rsidRPr="00A52585">
        <w:rPr>
          <w:rFonts w:hint="cs"/>
          <w:rtl/>
          <w:lang w:bidi="ar-SY"/>
        </w:rPr>
        <w:t>:</w:t>
      </w:r>
      <w:r w:rsidR="00777DCB" w:rsidRPr="00A52585">
        <w:rPr>
          <w:rFonts w:hint="cs"/>
          <w:rtl/>
          <w:lang w:bidi="ar-SY"/>
        </w:rPr>
        <w:t xml:space="preserve"> القضاء على شبه المجسمة والمشبهة فيما يُشتبه أنّه يعارض علم التقديس والتنزيه</w:t>
      </w:r>
      <w:r w:rsidR="00DB731D" w:rsidRPr="00A52585">
        <w:rPr>
          <w:rFonts w:hint="cs"/>
          <w:rtl/>
          <w:lang w:bidi="ar-SY"/>
        </w:rPr>
        <w:t>،</w:t>
      </w:r>
      <w:r w:rsidR="00777DCB" w:rsidRPr="00A52585">
        <w:rPr>
          <w:rFonts w:hint="cs"/>
          <w:rtl/>
          <w:lang w:bidi="ar-SY"/>
        </w:rPr>
        <w:t xml:space="preserve"> مبحث تحقيق القول في حديث</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ينزل ربنا كل ليلة</w:t>
      </w:r>
      <w:r w:rsidRPr="00A52585">
        <w:rPr>
          <w:rFonts w:hint="cs"/>
          <w:rtl/>
          <w:lang w:bidi="ar-SY"/>
        </w:rPr>
        <w:t>)</w:t>
      </w:r>
      <w:r w:rsidR="00777DCB" w:rsidRPr="00A52585">
        <w:rPr>
          <w:rFonts w:hint="cs"/>
          <w:rtl/>
          <w:lang w:bidi="ar-SY"/>
        </w:rPr>
        <w:t>) والقضاء على شبه المجسمة المتعلقة به من اثبات المكان والحركة والسكون</w:t>
      </w:r>
      <w:r w:rsidR="00DB731D" w:rsidRPr="00A52585">
        <w:rPr>
          <w:rFonts w:hint="cs"/>
          <w:rtl/>
          <w:lang w:bidi="ar-SY"/>
        </w:rPr>
        <w:t>،</w:t>
      </w:r>
      <w:r w:rsidR="00777DCB" w:rsidRPr="00A52585">
        <w:rPr>
          <w:rFonts w:hint="cs"/>
          <w:rtl/>
          <w:lang w:bidi="ar-SY"/>
        </w:rPr>
        <w:t xml:space="preserve"> ما يشفي الغليل في هذا الباب</w:t>
      </w:r>
      <w:r w:rsidR="00DB731D" w:rsidRPr="00A52585">
        <w:rPr>
          <w:rFonts w:hint="cs"/>
          <w:rtl/>
          <w:lang w:bidi="ar-SY"/>
        </w:rPr>
        <w:t>،</w:t>
      </w:r>
      <w:r w:rsidR="00777DCB" w:rsidRPr="00A52585">
        <w:rPr>
          <w:rFonts w:hint="cs"/>
          <w:rtl/>
          <w:lang w:bidi="ar-SY"/>
        </w:rPr>
        <w:t xml:space="preserve"> </w:t>
      </w:r>
    </w:p>
    <w:p w14:paraId="68C47CC9" w14:textId="2465DBE0" w:rsidR="00777DCB" w:rsidRPr="00A52585" w:rsidRDefault="0002035C" w:rsidP="0002035C">
      <w:pPr>
        <w:spacing w:after="210"/>
        <w:ind w:right="210"/>
        <w:rPr>
          <w:rFonts w:eastAsia="Times New Roman"/>
          <w:b/>
          <w:rtl/>
        </w:rPr>
      </w:pPr>
      <w:r w:rsidRPr="00A52585">
        <w:rPr>
          <w:rFonts w:eastAsia="Times New Roman" w:hint="cs"/>
          <w:bCs/>
          <w:rtl/>
        </w:rPr>
        <w:t>(</w:t>
      </w:r>
      <w:r w:rsidR="00777DCB" w:rsidRPr="00A52585">
        <w:rPr>
          <w:rFonts w:eastAsia="Times New Roman" w:hint="cs"/>
          <w:bCs/>
          <w:rtl/>
        </w:rPr>
        <w:t>14</w:t>
      </w:r>
      <w:r w:rsidRPr="00A52585">
        <w:rPr>
          <w:rFonts w:eastAsia="Times New Roman" w:hint="cs"/>
          <w:bCs/>
          <w:rtl/>
        </w:rPr>
        <w:t>)</w:t>
      </w:r>
      <w:r w:rsidR="00777DCB" w:rsidRPr="00A52585">
        <w:rPr>
          <w:rFonts w:eastAsia="Times New Roman" w:hint="cs"/>
          <w:bCs/>
          <w:rtl/>
        </w:rPr>
        <w:t xml:space="preserve"> حل اشكالية</w:t>
      </w:r>
      <w:r w:rsidR="00777DCB" w:rsidRPr="00A52585">
        <w:rPr>
          <w:rFonts w:eastAsia="Times New Roman" w:hint="cs"/>
          <w:bCs/>
          <w:rtl/>
          <w:lang w:bidi="ar-SY"/>
        </w:rPr>
        <w:t xml:space="preserve"> الدليل الثاني عشر</w:t>
      </w:r>
      <w:r w:rsidRPr="00A52585">
        <w:rPr>
          <w:rFonts w:eastAsia="Times New Roman" w:hint="cs"/>
          <w:bCs/>
          <w:rtl/>
          <w:lang w:bidi="ar-SY"/>
        </w:rPr>
        <w:t>:</w:t>
      </w:r>
      <w:r w:rsidR="00777DCB" w:rsidRPr="00A52585">
        <w:rPr>
          <w:rFonts w:eastAsia="Times New Roman" w:hint="cs"/>
          <w:bCs/>
          <w:rtl/>
          <w:lang w:bidi="ar-SY"/>
        </w:rPr>
        <w:t xml:space="preserve"> التصريح برفع الأيدي إلى الله تعالى</w:t>
      </w:r>
      <w:r w:rsidR="00DB731D" w:rsidRPr="00A52585">
        <w:rPr>
          <w:rFonts w:eastAsia="Times New Roman" w:hint="cs"/>
          <w:bCs/>
          <w:rtl/>
          <w:lang w:bidi="ar-SY"/>
        </w:rPr>
        <w:t>،</w:t>
      </w:r>
      <w:r w:rsidR="00777DCB" w:rsidRPr="00A52585">
        <w:rPr>
          <w:rFonts w:eastAsia="Times New Roman" w:hint="cs"/>
          <w:bCs/>
          <w:rtl/>
          <w:lang w:bidi="ar-SY"/>
        </w:rPr>
        <w:t xml:space="preserve"> لحديث الترمذي</w:t>
      </w:r>
      <w:r w:rsidRPr="00A52585">
        <w:rPr>
          <w:rFonts w:eastAsia="Times New Roman" w:hint="cs"/>
          <w:bCs/>
          <w:rtl/>
          <w:lang w:bidi="ar-SY"/>
        </w:rPr>
        <w:t>:</w:t>
      </w:r>
      <w:r w:rsidR="00777DCB" w:rsidRPr="00A52585">
        <w:rPr>
          <w:rFonts w:eastAsia="Times New Roman" w:hint="cs"/>
          <w:bCs/>
          <w:rtl/>
          <w:lang w:bidi="ar-SY"/>
        </w:rPr>
        <w:t xml:space="preserve"> (</w:t>
      </w:r>
      <w:r w:rsidRPr="00A52585">
        <w:rPr>
          <w:rFonts w:eastAsia="Times New Roman" w:hint="cs"/>
          <w:bCs/>
          <w:rtl/>
          <w:lang w:bidi="ar-SY"/>
        </w:rPr>
        <w:t>(</w:t>
      </w:r>
      <w:r w:rsidR="00777DCB" w:rsidRPr="00A52585">
        <w:rPr>
          <w:rFonts w:eastAsia="Times New Roman" w:hint="cs"/>
          <w:bCs/>
          <w:rtl/>
          <w:lang w:bidi="ar-SY"/>
        </w:rPr>
        <w:t>إن الله تعالى حيي كريم يستحي إذا رفع الرجل إليه يديه أن يردهما صفراً خائبتين</w:t>
      </w:r>
      <w:r w:rsidRPr="00A52585">
        <w:rPr>
          <w:rFonts w:eastAsia="Times New Roman" w:hint="cs"/>
          <w:bCs/>
          <w:rtl/>
          <w:lang w:bidi="ar-SY"/>
        </w:rPr>
        <w:t>)</w:t>
      </w:r>
      <w:r w:rsidR="00777DCB" w:rsidRPr="00A52585">
        <w:rPr>
          <w:rFonts w:eastAsia="Times New Roman" w:hint="cs"/>
          <w:bCs/>
          <w:rtl/>
          <w:lang w:bidi="ar-SY"/>
        </w:rPr>
        <w:t xml:space="preserve">) </w:t>
      </w:r>
      <w:r w:rsidRPr="00A52585">
        <w:rPr>
          <w:rFonts w:eastAsia="Times New Roman" w:hint="cs"/>
          <w:bCs/>
          <w:rtl/>
          <w:lang w:bidi="ar-SY"/>
        </w:rPr>
        <w:t>[</w:t>
      </w:r>
      <w:r w:rsidR="00777DCB" w:rsidRPr="00A52585">
        <w:rPr>
          <w:rFonts w:eastAsia="Times New Roman" w:hint="cs"/>
          <w:bCs/>
          <w:rtl/>
          <w:lang w:bidi="ar-SY"/>
        </w:rPr>
        <w:t>صحيح الترمذي للألباني</w:t>
      </w:r>
      <w:r w:rsidRPr="00A52585">
        <w:rPr>
          <w:rFonts w:eastAsia="Times New Roman" w:hint="cs"/>
          <w:bCs/>
          <w:rtl/>
          <w:lang w:bidi="ar-SY"/>
        </w:rPr>
        <w:t>:</w:t>
      </w:r>
      <w:r w:rsidR="00777DCB" w:rsidRPr="00A52585">
        <w:rPr>
          <w:rFonts w:eastAsia="Times New Roman" w:hint="cs"/>
          <w:bCs/>
          <w:rtl/>
          <w:lang w:bidi="ar-SY"/>
        </w:rPr>
        <w:t xml:space="preserve"> ح </w:t>
      </w:r>
      <w:r w:rsidRPr="00A52585">
        <w:rPr>
          <w:rFonts w:eastAsia="Times New Roman" w:hint="cs"/>
          <w:bCs/>
          <w:rtl/>
          <w:lang w:bidi="ar-SY"/>
        </w:rPr>
        <w:t>(</w:t>
      </w:r>
      <w:r w:rsidR="00777DCB" w:rsidRPr="00A52585">
        <w:rPr>
          <w:rFonts w:eastAsia="Times New Roman" w:hint="cs"/>
          <w:bCs/>
          <w:rtl/>
          <w:lang w:bidi="ar-SY"/>
        </w:rPr>
        <w:t>3556</w:t>
      </w:r>
      <w:r w:rsidRPr="00A52585">
        <w:rPr>
          <w:rFonts w:eastAsia="Times New Roman" w:hint="cs"/>
          <w:bCs/>
          <w:rtl/>
          <w:lang w:bidi="ar-SY"/>
        </w:rPr>
        <w:t>)]</w:t>
      </w:r>
      <w:r w:rsidR="00DB731D" w:rsidRPr="00A52585">
        <w:rPr>
          <w:rFonts w:eastAsia="Times New Roman" w:hint="cs"/>
          <w:rtl/>
          <w:lang w:bidi="ar-SY"/>
        </w:rPr>
        <w:t>،</w:t>
      </w:r>
      <w:r w:rsidR="00777DCB" w:rsidRPr="00A52585">
        <w:rPr>
          <w:rFonts w:eastAsia="Times New Roman" w:hint="cs"/>
          <w:rtl/>
          <w:lang w:bidi="ar-SY"/>
        </w:rPr>
        <w:t xml:space="preserve"> وذلك </w:t>
      </w:r>
      <w:r w:rsidR="00777DCB" w:rsidRPr="00A52585">
        <w:rPr>
          <w:rFonts w:eastAsia="Times New Roman" w:hint="cs"/>
          <w:rtl/>
        </w:rPr>
        <w:t>لأن السماء قبلة الدعاء كما أنّ الكعبة قبلة الصلاة</w:t>
      </w:r>
      <w:r w:rsidR="00DB731D" w:rsidRPr="00A52585">
        <w:rPr>
          <w:rFonts w:eastAsia="Times New Roman" w:hint="cs"/>
          <w:rtl/>
        </w:rPr>
        <w:t>،</w:t>
      </w:r>
      <w:r w:rsidR="00777DCB" w:rsidRPr="00A52585">
        <w:rPr>
          <w:rFonts w:eastAsia="Times New Roman" w:hint="cs"/>
          <w:rtl/>
        </w:rPr>
        <w:t xml:space="preserve"> فترفع </w:t>
      </w:r>
      <w:r w:rsidR="00777DCB" w:rsidRPr="00A52585">
        <w:rPr>
          <w:rFonts w:eastAsia="Times New Roman" w:hint="cs"/>
          <w:rtl/>
        </w:rPr>
        <w:lastRenderedPageBreak/>
        <w:t>الأيدي بالدعاء إلى السماء</w:t>
      </w:r>
      <w:r w:rsidR="00DB731D" w:rsidRPr="00A52585">
        <w:rPr>
          <w:rFonts w:eastAsia="Times New Roman" w:hint="cs"/>
          <w:rtl/>
        </w:rPr>
        <w:t>،</w:t>
      </w:r>
      <w:r w:rsidR="00777DCB" w:rsidRPr="00A52585">
        <w:rPr>
          <w:rFonts w:eastAsia="Times New Roman" w:hint="cs"/>
          <w:rtl/>
        </w:rPr>
        <w:t xml:space="preserve"> قال القرطبي</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777DCB" w:rsidRPr="00A52585">
        <w:rPr>
          <w:rFonts w:eastAsia="Times New Roman"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sidRPr="00A52585">
        <w:rPr>
          <w:rFonts w:eastAsia="Times New Roman" w:hint="cs"/>
          <w:rtl/>
        </w:rPr>
        <w:t>)</w:t>
      </w:r>
      <w:r w:rsidR="00777DCB" w:rsidRPr="00A52585">
        <w:rPr>
          <w:rFonts w:eastAsia="Times New Roman" w:hint="cs"/>
          <w:rtl/>
        </w:rPr>
        <w:t xml:space="preserve"> أهـ </w:t>
      </w:r>
      <w:r w:rsidRPr="00A52585">
        <w:rPr>
          <w:rFonts w:eastAsia="Times New Roman" w:hint="cs"/>
          <w:rtl/>
        </w:rPr>
        <w:t>[</w:t>
      </w:r>
      <w:r w:rsidR="00777DCB" w:rsidRPr="00A52585">
        <w:rPr>
          <w:rFonts w:eastAsia="Times New Roman" w:hint="cs"/>
          <w:rtl/>
        </w:rPr>
        <w:t>تفسير القرطبي ج: 18 ص: 216</w:t>
      </w:r>
      <w:r w:rsidRPr="00A52585">
        <w:rPr>
          <w:rFonts w:eastAsia="Times New Roman" w:hint="cs"/>
          <w:rtl/>
        </w:rPr>
        <w:t>]</w:t>
      </w:r>
      <w:r w:rsidR="00DB731D" w:rsidRPr="00A52585">
        <w:rPr>
          <w:rFonts w:eastAsia="Times New Roman" w:hint="cs"/>
          <w:rtl/>
        </w:rPr>
        <w:t>،</w:t>
      </w:r>
      <w:r w:rsidR="00777DCB" w:rsidRPr="00A52585">
        <w:rPr>
          <w:rFonts w:eastAsia="Times New Roman" w:hint="cs"/>
          <w:rtl/>
          <w:lang w:bidi="ar-SY"/>
        </w:rPr>
        <w:t xml:space="preserve"> </w:t>
      </w:r>
      <w:r w:rsidR="00777DCB" w:rsidRPr="00A52585">
        <w:rPr>
          <w:rFonts w:eastAsia="Times New Roman" w:hint="cs"/>
          <w:bCs/>
          <w:rtl/>
        </w:rPr>
        <w:t>وقال إمام أهل السنة أبو منصور الماتريدي</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sidRPr="00A52585">
        <w:rPr>
          <w:rFonts w:eastAsia="Times New Roman" w:hint="cs"/>
          <w:rtl/>
        </w:rPr>
        <w:t>)</w:t>
      </w:r>
      <w:r w:rsidR="00777DCB" w:rsidRPr="00A52585">
        <w:rPr>
          <w:rFonts w:eastAsia="Times New Roman" w:hint="cs"/>
          <w:rtl/>
        </w:rPr>
        <w:t xml:space="preserve"> أهـ [كتاب التوحيد (ص/ 75 - 76)]</w:t>
      </w:r>
      <w:r w:rsidR="00DB731D"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الحافظ الزبيدي</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فإن قيل</w:t>
      </w:r>
      <w:r w:rsidRPr="00A52585">
        <w:rPr>
          <w:rFonts w:eastAsia="Times New Roman" w:hint="cs"/>
          <w:rtl/>
        </w:rPr>
        <w:t>:</w:t>
      </w:r>
      <w:r w:rsidR="00777DCB" w:rsidRPr="00A52585">
        <w:rPr>
          <w:rFonts w:eastAsia="Times New Roman" w:hint="cs"/>
          <w:rtl/>
        </w:rPr>
        <w:t xml:space="preserve"> إذا كان الحقُّ سبحانه ليس في جهةٍ، فما معنى رفع الأيدي بالدعاء نحو السماء</w:t>
      </w:r>
      <w:r w:rsidR="00F95886" w:rsidRPr="00A52585">
        <w:rPr>
          <w:rFonts w:eastAsia="Times New Roman" w:hint="cs"/>
          <w:rtl/>
        </w:rPr>
        <w:t>؟</w:t>
      </w:r>
      <w:r w:rsidR="00777DCB" w:rsidRPr="00A52585">
        <w:rPr>
          <w:rFonts w:eastAsia="Times New Roman" w:hint="cs"/>
          <w:rtl/>
        </w:rPr>
        <w:t>. فالجواب</w:t>
      </w:r>
      <w:r w:rsidRPr="00A52585">
        <w:rPr>
          <w:rFonts w:eastAsia="Times New Roman" w:hint="cs"/>
          <w:rtl/>
        </w:rPr>
        <w:t>:</w:t>
      </w:r>
      <w:r w:rsidR="00777DCB" w:rsidRPr="00A52585">
        <w:rPr>
          <w:rFonts w:eastAsia="Times New Roman" w:hint="cs"/>
          <w:rtl/>
        </w:rPr>
        <w:t xml:space="preserve"> من وجهين ذكرهما </w:t>
      </w:r>
      <w:proofErr w:type="spellStart"/>
      <w:r w:rsidR="00777DCB" w:rsidRPr="00A52585">
        <w:rPr>
          <w:rFonts w:eastAsia="Times New Roman" w:hint="cs"/>
          <w:rtl/>
        </w:rPr>
        <w:t>الطُّرْطُوشي</w:t>
      </w:r>
      <w:proofErr w:type="spellEnd"/>
      <w:r w:rsidRPr="00A52585">
        <w:rPr>
          <w:rFonts w:eastAsia="Times New Roman" w:hint="cs"/>
          <w:rtl/>
        </w:rPr>
        <w:t>:</w:t>
      </w:r>
      <w:r w:rsidR="00777DCB" w:rsidRPr="00A52585">
        <w:rPr>
          <w:rFonts w:eastAsia="Times New Roman" w:hint="cs"/>
          <w:rtl/>
        </w:rPr>
        <w:t xml:space="preserve"> أحدهما</w:t>
      </w:r>
      <w:r w:rsidRPr="00A52585">
        <w:rPr>
          <w:rFonts w:eastAsia="Times New Roman" w:hint="cs"/>
          <w:rtl/>
        </w:rPr>
        <w:t>:</w:t>
      </w:r>
      <w:r w:rsidR="00777DCB" w:rsidRPr="00A52585">
        <w:rPr>
          <w:rFonts w:eastAsia="Times New Roman" w:hint="cs"/>
          <w:rtl/>
        </w:rPr>
        <w:t xml:space="preserve"> أنه محلُّ التعبُّد، كاستقبالِ الكعبةِ في الصلاة، وإلصاق الجبهةِ بالأرضِ في السجود، مع تنـزُّهه سبحانه عن محلِّ البيت ومحلِّ السجود، فكأنَّ السماءَ قبلةُ الدعاء</w:t>
      </w:r>
      <w:r w:rsidR="00DB731D" w:rsidRPr="00A52585">
        <w:rPr>
          <w:rFonts w:eastAsia="Times New Roman" w:hint="cs"/>
          <w:rtl/>
        </w:rPr>
        <w:t>،</w:t>
      </w:r>
      <w:r w:rsidR="00777DCB" w:rsidRPr="00A52585">
        <w:rPr>
          <w:rFonts w:eastAsia="Times New Roman" w:hint="cs"/>
          <w:rtl/>
        </w:rPr>
        <w:t xml:space="preserve"> وثانيهما</w:t>
      </w:r>
      <w:r w:rsidRPr="00A52585">
        <w:rPr>
          <w:rFonts w:eastAsia="Times New Roman" w:hint="cs"/>
          <w:rtl/>
        </w:rPr>
        <w:t>:</w:t>
      </w:r>
      <w:r w:rsidR="00777DCB" w:rsidRPr="00A52585">
        <w:rPr>
          <w:rFonts w:eastAsia="Times New Roman" w:hint="cs"/>
          <w:rtl/>
        </w:rPr>
        <w:t xml:space="preserve">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sidRPr="00A52585">
        <w:rPr>
          <w:rFonts w:eastAsia="Times New Roman" w:hint="cs"/>
          <w:rtl/>
        </w:rPr>
        <w:t>)</w:t>
      </w:r>
      <w:r w:rsidR="00777DCB" w:rsidRPr="00A52585">
        <w:rPr>
          <w:rFonts w:eastAsia="Times New Roman" w:hint="cs"/>
          <w:rtl/>
        </w:rPr>
        <w:t xml:space="preserve"> أهـ</w:t>
      </w:r>
      <w:r w:rsidRPr="00A52585">
        <w:rPr>
          <w:rFonts w:eastAsia="Times New Roman" w:hint="cs"/>
          <w:rtl/>
        </w:rPr>
        <w:t xml:space="preserve"> </w:t>
      </w:r>
      <w:r w:rsidR="00777DCB" w:rsidRPr="00A52585">
        <w:rPr>
          <w:rFonts w:eastAsia="Times New Roman" w:hint="cs"/>
          <w:rtl/>
        </w:rPr>
        <w:t>[إتحاف السادة المتقين (5/ 34 - 35)]</w:t>
      </w:r>
      <w:r w:rsidR="00DB731D"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الحافظ ابن حجر</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السماء قِبْلة الدعاء كما أن الكعبة قِبْلة الصلاة</w:t>
      </w:r>
      <w:r w:rsidRPr="00A52585">
        <w:rPr>
          <w:rFonts w:eastAsia="Times New Roman" w:hint="cs"/>
          <w:rtl/>
        </w:rPr>
        <w:t>)</w:t>
      </w:r>
      <w:r w:rsidR="00777DCB" w:rsidRPr="00A52585">
        <w:rPr>
          <w:rFonts w:eastAsia="Times New Roman" w:hint="cs"/>
          <w:rtl/>
        </w:rPr>
        <w:t xml:space="preserve"> أهـ</w:t>
      </w:r>
      <w:r w:rsidRPr="00A52585">
        <w:rPr>
          <w:rFonts w:eastAsia="Times New Roman" w:hint="cs"/>
          <w:rtl/>
        </w:rPr>
        <w:t xml:space="preserve"> </w:t>
      </w:r>
      <w:r w:rsidR="00777DCB" w:rsidRPr="00A52585">
        <w:rPr>
          <w:rFonts w:eastAsia="Times New Roman" w:hint="cs"/>
          <w:rtl/>
        </w:rPr>
        <w:t>[فتح الباري (2/ 233)]</w:t>
      </w:r>
      <w:r w:rsidR="00DB731D"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وقال الشيخ مُلاّ علي القاري الحنفي في كتابه شرح الفقه الأكبر</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السماء قِبْلة الدعاء بمعنى أنها محل نزول الرحمة التي هي سبب أنواع النعمة</w:t>
      </w:r>
      <w:r w:rsidR="00DB731D" w:rsidRPr="00A52585">
        <w:rPr>
          <w:rFonts w:eastAsia="Times New Roman" w:hint="cs"/>
          <w:rtl/>
        </w:rPr>
        <w:t>،</w:t>
      </w:r>
      <w:r w:rsidR="00777DCB" w:rsidRPr="00A52585">
        <w:rPr>
          <w:rFonts w:eastAsia="Times New Roman" w:hint="cs"/>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sidRPr="00A52585">
        <w:rPr>
          <w:rFonts w:eastAsia="Times New Roman" w:hint="cs"/>
          <w:rtl/>
        </w:rPr>
        <w:t>)</w:t>
      </w:r>
      <w:r w:rsidR="00777DCB" w:rsidRPr="00A52585">
        <w:rPr>
          <w:rFonts w:eastAsia="Times New Roman" w:hint="cs"/>
          <w:rtl/>
        </w:rPr>
        <w:t xml:space="preserve"> أهـ</w:t>
      </w:r>
      <w:r w:rsidRPr="00A52585">
        <w:rPr>
          <w:rFonts w:eastAsia="Times New Roman" w:hint="cs"/>
          <w:rtl/>
        </w:rPr>
        <w:t xml:space="preserve"> </w:t>
      </w:r>
      <w:r w:rsidR="00777DCB" w:rsidRPr="00A52585">
        <w:rPr>
          <w:rFonts w:eastAsia="Times New Roman" w:hint="cs"/>
          <w:rtl/>
        </w:rPr>
        <w:t>[شرح الفقه الأكبر</w:t>
      </w:r>
      <w:r w:rsidRPr="00A52585">
        <w:rPr>
          <w:rFonts w:eastAsia="Times New Roman" w:hint="cs"/>
          <w:rtl/>
        </w:rPr>
        <w:t>:</w:t>
      </w:r>
      <w:r w:rsidR="00777DCB" w:rsidRPr="00A52585">
        <w:rPr>
          <w:rFonts w:eastAsia="Times New Roman" w:hint="cs"/>
          <w:rtl/>
        </w:rPr>
        <w:t xml:space="preserve"> ص</w:t>
      </w:r>
      <w:r w:rsidRPr="00A52585">
        <w:rPr>
          <w:rFonts w:eastAsia="Times New Roman" w:hint="cs"/>
          <w:rtl/>
        </w:rPr>
        <w:t xml:space="preserve"> </w:t>
      </w:r>
      <w:r w:rsidR="00777DCB" w:rsidRPr="00A52585">
        <w:rPr>
          <w:rFonts w:eastAsia="Times New Roman" w:hint="cs"/>
          <w:rtl/>
        </w:rPr>
        <w:t>199)</w:t>
      </w:r>
      <w:r w:rsidRPr="00A52585">
        <w:rPr>
          <w:rFonts w:eastAsia="Times New Roman" w:hint="cs"/>
          <w:rtl/>
        </w:rPr>
        <w:t>]</w:t>
      </w:r>
      <w:r w:rsidR="00DB731D" w:rsidRPr="00A52585">
        <w:rPr>
          <w:rFonts w:eastAsia="Times New Roman" w:hint="cs"/>
          <w:rtl/>
        </w:rPr>
        <w:t>،</w:t>
      </w:r>
      <w:r w:rsidR="00777DCB" w:rsidRPr="00A52585">
        <w:rPr>
          <w:rFonts w:eastAsia="Times New Roman" w:hint="cs"/>
          <w:rtl/>
        </w:rPr>
        <w:t xml:space="preserve"> </w:t>
      </w:r>
      <w:r w:rsidR="00777DCB" w:rsidRPr="00A52585">
        <w:rPr>
          <w:rFonts w:eastAsia="Times New Roman" w:hint="cs"/>
          <w:bCs/>
          <w:rtl/>
        </w:rPr>
        <w:t xml:space="preserve">وقال العلّامة البَياضي </w:t>
      </w:r>
      <w:r w:rsidR="00777DCB" w:rsidRPr="00A52585">
        <w:rPr>
          <w:rFonts w:eastAsia="Times New Roman" w:hint="cs"/>
          <w:bCs/>
          <w:rtl/>
        </w:rPr>
        <w:lastRenderedPageBreak/>
        <w:t>الحنفي</w:t>
      </w:r>
      <w:r w:rsidR="00777DCB" w:rsidRPr="00A52585">
        <w:rPr>
          <w:rFonts w:eastAsia="Times New Roman" w:hint="cs"/>
          <w:rtl/>
        </w:rPr>
        <w:t xml:space="preserve"> (1098هجري) في كتابه "إشارات المرام"</w:t>
      </w:r>
      <w:r w:rsidRPr="00A52585">
        <w:rPr>
          <w:rFonts w:eastAsia="Times New Roman" w:hint="cs"/>
          <w:rtl/>
        </w:rPr>
        <w:t>:</w:t>
      </w:r>
      <w:r w:rsidR="00777DCB" w:rsidRPr="00A52585">
        <w:rPr>
          <w:rFonts w:eastAsia="Times New Roman" w:hint="cs"/>
          <w:rtl/>
        </w:rPr>
        <w:t xml:space="preserve"> </w:t>
      </w:r>
      <w:r w:rsidRPr="00A52585">
        <w:rPr>
          <w:rFonts w:eastAsia="Times New Roman" w:hint="cs"/>
          <w:rtl/>
        </w:rPr>
        <w:t>(</w:t>
      </w:r>
      <w:r w:rsidR="00777DCB" w:rsidRPr="00A52585">
        <w:rPr>
          <w:rFonts w:eastAsia="Times New Roman" w:hint="cs"/>
          <w:rtl/>
        </w:rPr>
        <w:t xml:space="preserve">رفع الأيدي عند الدعاء إلى جهة السماء ليس لكونه تعالى فوق السمَوات العُلى بل لكونها قِبلة الدعاء، إذ منها يتوقع الخيرات ويستنـزل البركات لقوله تعالى: </w:t>
      </w:r>
      <w:r w:rsidRPr="00A52585">
        <w:rPr>
          <w:rFonts w:eastAsia="Times New Roman" w:hint="cs"/>
          <w:rtl/>
        </w:rPr>
        <w:t>{</w:t>
      </w:r>
      <w:r w:rsidR="00777DCB" w:rsidRPr="00A52585">
        <w:rPr>
          <w:rFonts w:eastAsia="Times New Roman" w:hint="cs"/>
          <w:rtl/>
        </w:rPr>
        <w:t>وَفِي السَّمَاءِ رِزْقُكُمْ وَمَا تُوعَدُونَ</w:t>
      </w:r>
      <w:r w:rsidRPr="00A52585">
        <w:rPr>
          <w:rFonts w:eastAsia="Times New Roman" w:hint="cs"/>
          <w:rtl/>
        </w:rPr>
        <w:t>}</w:t>
      </w:r>
      <w:r w:rsidR="00777DCB" w:rsidRPr="00A52585">
        <w:rPr>
          <w:rFonts w:eastAsia="Times New Roman" w:hint="cs"/>
          <w:rtl/>
        </w:rPr>
        <w:t xml:space="preserve"> [سورة الذاريات</w:t>
      </w:r>
      <w:r w:rsidRPr="00A52585">
        <w:rPr>
          <w:rFonts w:eastAsia="Times New Roman" w:hint="cs"/>
          <w:rtl/>
        </w:rPr>
        <w:t>:</w:t>
      </w:r>
      <w:r w:rsidR="00777DCB" w:rsidRPr="00A52585">
        <w:rPr>
          <w:rFonts w:eastAsia="Times New Roman" w:hint="cs"/>
          <w:rtl/>
        </w:rPr>
        <w:t xml:space="preserve"> 22</w:t>
      </w:r>
      <w:r w:rsidRPr="00A52585">
        <w:rPr>
          <w:rFonts w:eastAsia="Times New Roman" w:hint="cs"/>
          <w:rtl/>
        </w:rPr>
        <w:t>]</w:t>
      </w:r>
      <w:r w:rsidR="00777DCB" w:rsidRPr="00A52585">
        <w:rPr>
          <w:rFonts w:eastAsia="Times New Roman" w:hint="cs"/>
          <w:rtl/>
        </w:rPr>
        <w:t xml:space="preserve"> مع الإشارة إلى اتصافه تعالى بنعوت الجلال وصفات الكبرياء، وكونه تعالى فوق عباده بالقهر والاستيلاء</w:t>
      </w:r>
      <w:r w:rsidRPr="00A52585">
        <w:rPr>
          <w:rFonts w:eastAsia="Times New Roman" w:hint="cs"/>
          <w:rtl/>
        </w:rPr>
        <w:t>)</w:t>
      </w:r>
      <w:r w:rsidR="00777DCB" w:rsidRPr="00A52585">
        <w:rPr>
          <w:rFonts w:eastAsia="Times New Roman" w:hint="cs"/>
          <w:rtl/>
        </w:rPr>
        <w:t xml:space="preserve"> أهـ</w:t>
      </w:r>
      <w:r w:rsidRPr="00A52585">
        <w:rPr>
          <w:rFonts w:eastAsia="Times New Roman" w:hint="cs"/>
          <w:rtl/>
        </w:rPr>
        <w:t xml:space="preserve"> </w:t>
      </w:r>
      <w:r w:rsidR="00777DCB" w:rsidRPr="00A52585">
        <w:rPr>
          <w:rFonts w:eastAsia="Times New Roman" w:hint="cs"/>
          <w:rtl/>
        </w:rPr>
        <w:t>[إشارات المرام (ص</w:t>
      </w:r>
      <w:r w:rsidRPr="00A52585">
        <w:rPr>
          <w:rFonts w:eastAsia="Times New Roman" w:hint="cs"/>
          <w:rtl/>
        </w:rPr>
        <w:t>:</w:t>
      </w:r>
      <w:r w:rsidR="00777DCB" w:rsidRPr="00A52585">
        <w:rPr>
          <w:rFonts w:eastAsia="Times New Roman" w:hint="cs"/>
          <w:rtl/>
        </w:rPr>
        <w:t xml:space="preserve"> 198)]</w:t>
      </w:r>
    </w:p>
    <w:p w14:paraId="54F41258" w14:textId="1CBB3E9A" w:rsidR="00777DCB" w:rsidRPr="00A52585" w:rsidRDefault="0002035C" w:rsidP="0002035C">
      <w:pPr>
        <w:spacing w:after="240"/>
        <w:rPr>
          <w:rtl/>
          <w:lang w:bidi="ar-SY"/>
        </w:rPr>
      </w:pPr>
      <w:r w:rsidRPr="00A52585">
        <w:rPr>
          <w:rFonts w:hint="cs"/>
          <w:bCs/>
          <w:rtl/>
        </w:rPr>
        <w:t>(</w:t>
      </w:r>
      <w:r w:rsidR="00777DCB" w:rsidRPr="00A52585">
        <w:rPr>
          <w:rFonts w:hint="cs"/>
          <w:bCs/>
          <w:rtl/>
        </w:rPr>
        <w:t>15</w:t>
      </w:r>
      <w:r w:rsidRPr="00A52585">
        <w:rPr>
          <w:rFonts w:hint="cs"/>
          <w:bCs/>
          <w:rtl/>
        </w:rPr>
        <w:t>)</w:t>
      </w:r>
      <w:r w:rsidR="00777DCB" w:rsidRPr="00A52585">
        <w:rPr>
          <w:rFonts w:hint="cs"/>
          <w:bCs/>
          <w:rtl/>
        </w:rPr>
        <w:t xml:space="preserve"> حل اشكالية</w:t>
      </w:r>
      <w:r w:rsidR="00777DCB" w:rsidRPr="00A52585">
        <w:rPr>
          <w:rFonts w:hint="cs"/>
          <w:bCs/>
          <w:rtl/>
          <w:lang w:bidi="ar-SY"/>
        </w:rPr>
        <w:t xml:space="preserve"> الدليل الثالث عشر</w:t>
      </w:r>
      <w:r w:rsidRPr="00A52585">
        <w:rPr>
          <w:rFonts w:hint="cs"/>
          <w:bCs/>
          <w:rtl/>
          <w:lang w:bidi="ar-SY"/>
        </w:rPr>
        <w:t>:</w:t>
      </w:r>
      <w:r w:rsidR="00777DCB" w:rsidRPr="00A52585">
        <w:rPr>
          <w:rFonts w:hint="cs"/>
          <w:bCs/>
          <w:rtl/>
          <w:lang w:bidi="ar-SY"/>
        </w:rPr>
        <w:t xml:space="preserve"> التصريح بلفظ (</w:t>
      </w:r>
      <w:r w:rsidRPr="00A52585">
        <w:rPr>
          <w:rFonts w:hint="cs"/>
          <w:bCs/>
          <w:rtl/>
          <w:lang w:bidi="ar-SY"/>
        </w:rPr>
        <w:t>(</w:t>
      </w:r>
      <w:r w:rsidR="00777DCB" w:rsidRPr="00A52585">
        <w:rPr>
          <w:rFonts w:hint="cs"/>
          <w:bCs/>
          <w:rtl/>
          <w:lang w:bidi="ar-SY"/>
        </w:rPr>
        <w:t>أين الله</w:t>
      </w:r>
      <w:r w:rsidRPr="00A52585">
        <w:rPr>
          <w:rFonts w:hint="cs"/>
          <w:bCs/>
          <w:rtl/>
          <w:lang w:bidi="ar-SY"/>
        </w:rPr>
        <w:t>)</w:t>
      </w:r>
      <w:r w:rsidR="00777DCB" w:rsidRPr="00A52585">
        <w:rPr>
          <w:rFonts w:hint="cs"/>
          <w:bCs/>
          <w:rtl/>
          <w:lang w:bidi="ar-SY"/>
        </w:rPr>
        <w:t>) في حديث مسلم</w:t>
      </w:r>
      <w:r w:rsidRPr="00A52585">
        <w:rPr>
          <w:rFonts w:hint="cs"/>
          <w:bCs/>
          <w:rtl/>
          <w:lang w:bidi="ar-SY"/>
        </w:rPr>
        <w:t>:</w:t>
      </w:r>
      <w:r w:rsidR="00777DCB" w:rsidRPr="00A52585">
        <w:rPr>
          <w:rFonts w:hint="cs"/>
          <w:bCs/>
          <w:rtl/>
          <w:lang w:bidi="ar-SY"/>
        </w:rPr>
        <w:t xml:space="preserve"> (</w:t>
      </w:r>
      <w:r w:rsidRPr="00A52585">
        <w:rPr>
          <w:rFonts w:hint="cs"/>
          <w:bCs/>
          <w:rtl/>
          <w:lang w:bidi="ar-SY"/>
        </w:rPr>
        <w:t>(</w:t>
      </w:r>
      <w:r w:rsidR="00777DCB" w:rsidRPr="00A52585">
        <w:rPr>
          <w:rFonts w:hint="cs"/>
          <w:bCs/>
          <w:rtl/>
          <w:lang w:bidi="ar-SY"/>
        </w:rPr>
        <w:t xml:space="preserve">قلت يا رسول الله أفلا أعتقها قال </w:t>
      </w:r>
      <w:proofErr w:type="spellStart"/>
      <w:r w:rsidR="00777DCB" w:rsidRPr="00A52585">
        <w:rPr>
          <w:rFonts w:hint="cs"/>
          <w:bCs/>
          <w:rtl/>
          <w:lang w:bidi="ar-SY"/>
        </w:rPr>
        <w:t>ائتني</w:t>
      </w:r>
      <w:proofErr w:type="spellEnd"/>
      <w:r w:rsidR="00777DCB" w:rsidRPr="00A52585">
        <w:rPr>
          <w:rFonts w:hint="cs"/>
          <w:bCs/>
          <w:rtl/>
          <w:lang w:bidi="ar-SY"/>
        </w:rPr>
        <w:t xml:space="preserve"> بها فأتيته بها فقال لها</w:t>
      </w:r>
      <w:r w:rsidRPr="00A52585">
        <w:rPr>
          <w:rFonts w:hint="cs"/>
          <w:bCs/>
          <w:rtl/>
          <w:lang w:bidi="ar-SY"/>
        </w:rPr>
        <w:t xml:space="preserve">: </w:t>
      </w:r>
      <w:r w:rsidR="00777DCB" w:rsidRPr="00A52585">
        <w:rPr>
          <w:rFonts w:hint="cs"/>
          <w:bCs/>
          <w:rtl/>
          <w:lang w:bidi="ar-SY"/>
        </w:rPr>
        <w:t>أين الله</w:t>
      </w:r>
      <w:r w:rsidR="00F95886" w:rsidRPr="00A52585">
        <w:rPr>
          <w:rFonts w:hint="cs"/>
          <w:bCs/>
          <w:rtl/>
          <w:lang w:bidi="ar-SY"/>
        </w:rPr>
        <w:t>؟</w:t>
      </w:r>
      <w:r w:rsidR="00777DCB" w:rsidRPr="00A52585">
        <w:rPr>
          <w:rFonts w:hint="cs"/>
          <w:bCs/>
          <w:rtl/>
          <w:lang w:bidi="ar-SY"/>
        </w:rPr>
        <w:t xml:space="preserve"> قالت: في السماء. قال: من أنا</w:t>
      </w:r>
      <w:r w:rsidR="00F95886" w:rsidRPr="00A52585">
        <w:rPr>
          <w:rFonts w:hint="cs"/>
          <w:bCs/>
          <w:rtl/>
          <w:lang w:bidi="ar-SY"/>
        </w:rPr>
        <w:t>؟</w:t>
      </w:r>
      <w:r w:rsidR="00777DCB" w:rsidRPr="00A52585">
        <w:rPr>
          <w:rFonts w:hint="cs"/>
          <w:bCs/>
          <w:rtl/>
          <w:lang w:bidi="ar-SY"/>
        </w:rPr>
        <w:t xml:space="preserve"> قالت: أنت رسول الله قال أعتقها فإنها مؤمنة))</w:t>
      </w:r>
      <w:r w:rsidRPr="00A52585">
        <w:rPr>
          <w:rFonts w:hint="cs"/>
          <w:bCs/>
          <w:rtl/>
          <w:lang w:bidi="ar-SY"/>
        </w:rPr>
        <w:t xml:space="preserve"> [</w:t>
      </w:r>
      <w:r w:rsidR="00777DCB" w:rsidRPr="00A52585">
        <w:rPr>
          <w:rFonts w:hint="cs"/>
          <w:bCs/>
          <w:rtl/>
          <w:lang w:bidi="ar-SY"/>
        </w:rPr>
        <w:t>أخرجه الإمام مسلم</w:t>
      </w:r>
      <w:r w:rsidRPr="00A52585">
        <w:rPr>
          <w:rFonts w:hint="cs"/>
          <w:bCs/>
          <w:rtl/>
          <w:lang w:bidi="ar-SY"/>
        </w:rPr>
        <w:t>:</w:t>
      </w:r>
      <w:r w:rsidR="00777DCB" w:rsidRPr="00A52585">
        <w:rPr>
          <w:rFonts w:hint="cs"/>
          <w:bCs/>
          <w:rtl/>
          <w:lang w:bidi="ar-SY"/>
        </w:rPr>
        <w:t xml:space="preserve"> ح</w:t>
      </w:r>
      <w:r w:rsidRPr="00A52585">
        <w:rPr>
          <w:rFonts w:hint="cs"/>
          <w:bCs/>
          <w:rtl/>
          <w:lang w:bidi="ar-SY"/>
        </w:rPr>
        <w:t xml:space="preserve"> </w:t>
      </w:r>
      <w:r w:rsidR="00777DCB" w:rsidRPr="00A52585">
        <w:rPr>
          <w:rFonts w:hint="cs"/>
          <w:bCs/>
          <w:rtl/>
          <w:lang w:bidi="ar-SY"/>
        </w:rPr>
        <w:t>(537)</w:t>
      </w:r>
      <w:r w:rsidRPr="00A52585">
        <w:rPr>
          <w:rFonts w:hint="cs"/>
          <w:bCs/>
          <w:rtl/>
          <w:lang w:bidi="ar-SY"/>
        </w:rPr>
        <w:t>]</w:t>
      </w:r>
      <w:r w:rsidR="00DB731D" w:rsidRPr="00A52585">
        <w:rPr>
          <w:rFonts w:hint="cs"/>
          <w:bCs/>
          <w:rtl/>
          <w:lang w:bidi="ar-SY"/>
        </w:rPr>
        <w:t>،</w:t>
      </w:r>
      <w:r w:rsidR="00777DCB" w:rsidRPr="00A52585">
        <w:rPr>
          <w:rFonts w:hint="cs"/>
          <w:rtl/>
          <w:lang w:bidi="ar-SY"/>
        </w:rPr>
        <w:t xml:space="preserve"> قلت</w:t>
      </w:r>
      <w:r w:rsidRPr="00A52585">
        <w:rPr>
          <w:rFonts w:hint="cs"/>
          <w:rtl/>
          <w:lang w:bidi="ar-SY"/>
        </w:rPr>
        <w:t>:</w:t>
      </w:r>
      <w:r w:rsidR="00777DCB" w:rsidRPr="00A52585">
        <w:rPr>
          <w:rFonts w:hint="cs"/>
          <w:rtl/>
          <w:lang w:bidi="ar-SY"/>
        </w:rPr>
        <w:t xml:space="preserve"> قد تقدم في المقدمة الثالثة</w:t>
      </w:r>
      <w:r w:rsidRPr="00A52585">
        <w:rPr>
          <w:rFonts w:hint="cs"/>
          <w:rtl/>
          <w:lang w:bidi="ar-SY"/>
        </w:rPr>
        <w:t>:</w:t>
      </w:r>
      <w:r w:rsidR="00777DCB" w:rsidRPr="00A52585">
        <w:rPr>
          <w:rFonts w:hint="cs"/>
          <w:rtl/>
          <w:lang w:bidi="ar-SY"/>
        </w:rPr>
        <w:t xml:space="preserve"> القضاء على شبه المجسمة والمشبهة فيما يُشتبه أنّه يعارض علم التقديس والتنزيه</w:t>
      </w:r>
      <w:r w:rsidR="00DB731D" w:rsidRPr="00A52585">
        <w:rPr>
          <w:rFonts w:hint="cs"/>
          <w:rtl/>
          <w:lang w:bidi="ar-SY"/>
        </w:rPr>
        <w:t>،</w:t>
      </w:r>
      <w:r w:rsidR="00777DCB" w:rsidRPr="00A52585">
        <w:rPr>
          <w:rFonts w:hint="cs"/>
          <w:rtl/>
          <w:lang w:bidi="ar-SY"/>
        </w:rPr>
        <w:t xml:space="preserve"> مبحث تحقيق القول في حديث</w:t>
      </w:r>
      <w:r w:rsidRPr="00A52585">
        <w:rPr>
          <w:rFonts w:hint="cs"/>
          <w:rtl/>
          <w:lang w:bidi="ar-SY"/>
        </w:rPr>
        <w:t>:</w:t>
      </w:r>
      <w:r w:rsidR="00777DCB" w:rsidRPr="00A52585">
        <w:rPr>
          <w:rFonts w:hint="cs"/>
          <w:rtl/>
          <w:lang w:bidi="ar-SY"/>
        </w:rPr>
        <w:t xml:space="preserve"> (</w:t>
      </w:r>
      <w:r w:rsidRPr="00A52585">
        <w:rPr>
          <w:rFonts w:hint="cs"/>
          <w:rtl/>
          <w:lang w:bidi="ar-SY"/>
        </w:rPr>
        <w:t>(</w:t>
      </w:r>
      <w:r w:rsidR="00777DCB" w:rsidRPr="00A52585">
        <w:rPr>
          <w:rFonts w:hint="cs"/>
          <w:rtl/>
          <w:lang w:bidi="ar-SY"/>
        </w:rPr>
        <w:t>أين الله</w:t>
      </w:r>
      <w:r w:rsidRPr="00A52585">
        <w:rPr>
          <w:rFonts w:hint="cs"/>
          <w:rtl/>
          <w:lang w:bidi="ar-SY"/>
        </w:rPr>
        <w:t>)</w:t>
      </w:r>
      <w:r w:rsidR="00777DCB" w:rsidRPr="00A52585">
        <w:rPr>
          <w:rFonts w:hint="cs"/>
          <w:rtl/>
          <w:lang w:bidi="ar-SY"/>
        </w:rPr>
        <w:t>) والقضاء على شبه المجسمة المتعلقة به من اثبات المكان والحركة والسكون</w:t>
      </w:r>
      <w:r w:rsidR="00DB731D" w:rsidRPr="00A52585">
        <w:rPr>
          <w:rFonts w:hint="cs"/>
          <w:rtl/>
          <w:lang w:bidi="ar-SY"/>
        </w:rPr>
        <w:t>،</w:t>
      </w:r>
      <w:r w:rsidR="00777DCB" w:rsidRPr="00A52585">
        <w:rPr>
          <w:rFonts w:hint="cs"/>
          <w:rtl/>
          <w:lang w:bidi="ar-SY"/>
        </w:rPr>
        <w:t xml:space="preserve"> ما يشفي الغليل في هذا الباب</w:t>
      </w:r>
      <w:r w:rsidR="00DB731D" w:rsidRPr="00A52585">
        <w:rPr>
          <w:rFonts w:hint="cs"/>
          <w:rtl/>
          <w:lang w:bidi="ar-SY"/>
        </w:rPr>
        <w:t>،</w:t>
      </w:r>
      <w:r w:rsidR="00777DCB" w:rsidRPr="00A52585">
        <w:rPr>
          <w:rFonts w:hint="cs"/>
          <w:rtl/>
          <w:lang w:bidi="ar-SY"/>
        </w:rPr>
        <w:t xml:space="preserve"> </w:t>
      </w:r>
    </w:p>
    <w:p w14:paraId="3270A651" w14:textId="77777777" w:rsidR="00777DCB" w:rsidRPr="00A52585" w:rsidRDefault="00777DCB" w:rsidP="0002035C">
      <w:pPr>
        <w:jc w:val="center"/>
        <w:rPr>
          <w:b/>
        </w:rPr>
      </w:pPr>
      <w:r w:rsidRPr="00A52585">
        <w:rPr>
          <w:rFonts w:hint="cs"/>
          <w:rtl/>
          <w:lang w:bidi="ar-KW"/>
        </w:rPr>
        <w:t>******</w:t>
      </w:r>
    </w:p>
    <w:p w14:paraId="26A93DEE" w14:textId="77777777" w:rsidR="00777DCB" w:rsidRPr="00A52585" w:rsidRDefault="00777DCB" w:rsidP="0002035C">
      <w:pPr>
        <w:rPr>
          <w:b/>
          <w:rtl/>
        </w:rPr>
      </w:pPr>
    </w:p>
    <w:p w14:paraId="48450FD6" w14:textId="6651F320" w:rsidR="00777DCB" w:rsidRPr="00A52585" w:rsidRDefault="0002035C" w:rsidP="00A52585">
      <w:pPr>
        <w:pStyle w:val="2"/>
        <w:bidi/>
        <w:jc w:val="center"/>
        <w:rPr>
          <w:u w:val="none"/>
          <w:rtl/>
        </w:rPr>
      </w:pPr>
      <w:bookmarkStart w:id="9" w:name="ض3"/>
      <w:r w:rsidRPr="00A52585">
        <w:rPr>
          <w:rFonts w:hint="cs"/>
          <w:u w:val="none"/>
          <w:rtl/>
        </w:rPr>
        <w:t>(</w:t>
      </w:r>
      <w:r w:rsidR="00777DCB" w:rsidRPr="00A52585">
        <w:rPr>
          <w:rFonts w:hint="cs"/>
          <w:u w:val="none"/>
          <w:rtl/>
        </w:rPr>
        <w:t>6</w:t>
      </w:r>
      <w:r w:rsidRPr="00A52585">
        <w:rPr>
          <w:rFonts w:hint="cs"/>
          <w:u w:val="none"/>
          <w:rtl/>
        </w:rPr>
        <w:t>)</w:t>
      </w:r>
      <w:r w:rsidR="00A52585" w:rsidRPr="00A52585">
        <w:rPr>
          <w:rFonts w:hint="cs"/>
          <w:u w:val="none"/>
          <w:rtl/>
        </w:rPr>
        <w:t xml:space="preserve"> </w:t>
      </w:r>
      <w:r w:rsidR="00777DCB" w:rsidRPr="00A52585">
        <w:rPr>
          <w:rFonts w:hint="cs"/>
          <w:u w:val="none"/>
          <w:rtl/>
        </w:rPr>
        <w:t>حل اشكالية الحدوث وحلول الحوادث وكل ما يوحي بذلك</w:t>
      </w:r>
    </w:p>
    <w:bookmarkEnd w:id="9"/>
    <w:p w14:paraId="11F5DA2D" w14:textId="1DA4DF82" w:rsidR="00777DCB" w:rsidRPr="00A52585" w:rsidRDefault="0002035C" w:rsidP="0002035C">
      <w:pPr>
        <w:spacing w:before="240"/>
        <w:rPr>
          <w:b/>
          <w:rtl/>
        </w:rPr>
      </w:pPr>
      <w:r w:rsidRPr="00A52585">
        <w:rPr>
          <w:rFonts w:hint="cs"/>
          <w:rtl/>
        </w:rPr>
        <w:t>(</w:t>
      </w:r>
      <w:r w:rsidR="00777DCB" w:rsidRPr="00A52585">
        <w:rPr>
          <w:rFonts w:hint="cs"/>
          <w:rtl/>
        </w:rPr>
        <w:t>أ</w:t>
      </w:r>
      <w:r w:rsidRPr="00A52585">
        <w:rPr>
          <w:rFonts w:hint="cs"/>
          <w:rtl/>
        </w:rPr>
        <w:t>)</w:t>
      </w:r>
      <w:r w:rsidR="00777DCB" w:rsidRPr="00A52585">
        <w:rPr>
          <w:rFonts w:hint="cs"/>
          <w:rtl/>
        </w:rPr>
        <w:t xml:space="preserve"> الله تعالى له كمال الوجود الأول بلا ابتداء والآخر بلا انتهاء</w:t>
      </w:r>
      <w:r w:rsidR="00DB731D" w:rsidRPr="00A52585">
        <w:rPr>
          <w:rFonts w:hint="cs"/>
          <w:rtl/>
        </w:rPr>
        <w:t>،</w:t>
      </w:r>
      <w:r w:rsidRPr="00A52585">
        <w:rPr>
          <w:rFonts w:hint="cs"/>
          <w:rtl/>
        </w:rPr>
        <w:t xml:space="preserve"> </w:t>
      </w:r>
      <w:r w:rsidR="00777DCB" w:rsidRPr="00A52585">
        <w:rPr>
          <w:rFonts w:hint="cs"/>
          <w:rtl/>
        </w:rPr>
        <w:t>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الْأَوَّلُ وَالْآخِرُ وَالظَّاهِرُ وَالْبَاطِنُ وَهُوَ بِكُلِّ شَيْءٍ عَلِيمٌ</w:t>
      </w:r>
      <w:r w:rsidRPr="00A52585">
        <w:rPr>
          <w:rFonts w:hint="cs"/>
          <w:rtl/>
        </w:rPr>
        <w:t>}</w:t>
      </w:r>
      <w:r w:rsidR="00DB731D" w:rsidRPr="00A52585">
        <w:rPr>
          <w:rFonts w:hint="cs"/>
          <w:rtl/>
        </w:rPr>
        <w:t>،</w:t>
      </w:r>
      <w:r w:rsidR="00777DCB" w:rsidRPr="00A52585">
        <w:rPr>
          <w:rFonts w:hint="cs"/>
          <w:rtl/>
        </w:rPr>
        <w:t xml:space="preserve"> وقوله صلى الله عليه وسلم: </w:t>
      </w:r>
      <w:r w:rsidRPr="00A52585">
        <w:rPr>
          <w:rFonts w:hint="cs"/>
          <w:rtl/>
        </w:rPr>
        <w:t>(</w:t>
      </w:r>
      <w:r w:rsidR="00777DCB" w:rsidRPr="00A52585">
        <w:rPr>
          <w:rFonts w:hint="cs"/>
          <w:rtl/>
        </w:rPr>
        <w:t>اللهم أنت الأوَّلُ فليس قبلَك شيء</w:t>
      </w:r>
      <w:r w:rsidR="00DB731D" w:rsidRPr="00A52585">
        <w:rPr>
          <w:rFonts w:hint="cs"/>
          <w:rtl/>
        </w:rPr>
        <w:t>،</w:t>
      </w:r>
      <w:r w:rsidR="00777DCB" w:rsidRPr="00A52585">
        <w:rPr>
          <w:rFonts w:hint="cs"/>
          <w:rtl/>
        </w:rPr>
        <w:t xml:space="preserve"> وأنت الآخِر فليس بعدَك شيء</w:t>
      </w:r>
      <w:r w:rsidR="00DB731D" w:rsidRPr="00A52585">
        <w:rPr>
          <w:rFonts w:hint="cs"/>
          <w:rtl/>
        </w:rPr>
        <w:t>،</w:t>
      </w:r>
      <w:r w:rsidR="00777DCB" w:rsidRPr="00A52585">
        <w:rPr>
          <w:rFonts w:hint="cs"/>
          <w:rtl/>
        </w:rPr>
        <w:t xml:space="preserve"> وأنت الظاهرُ فليس فوقَكَ شيء</w:t>
      </w:r>
      <w:r w:rsidR="00DB731D" w:rsidRPr="00A52585">
        <w:rPr>
          <w:rFonts w:hint="cs"/>
          <w:rtl/>
        </w:rPr>
        <w:t>،</w:t>
      </w:r>
      <w:r w:rsidR="00777DCB" w:rsidRPr="00A52585">
        <w:rPr>
          <w:rFonts w:hint="cs"/>
          <w:rtl/>
        </w:rPr>
        <w:t xml:space="preserve"> وأنت الباطن فليس دونَك شيء)</w:t>
      </w:r>
      <w:r w:rsidRPr="00A52585">
        <w:rPr>
          <w:rFonts w:hint="cs"/>
          <w:rtl/>
        </w:rPr>
        <w:t xml:space="preserve"> [</w:t>
      </w:r>
      <w:r w:rsidR="00777DCB" w:rsidRPr="00A52585">
        <w:rPr>
          <w:rFonts w:hint="cs"/>
          <w:rtl/>
        </w:rPr>
        <w:t>أخرجه مسلم</w:t>
      </w:r>
      <w:r w:rsidRPr="00A52585">
        <w:rPr>
          <w:rFonts w:hint="cs"/>
          <w:rtl/>
        </w:rPr>
        <w:t>]</w:t>
      </w:r>
      <w:r w:rsidR="00DB731D" w:rsidRPr="00A52585">
        <w:rPr>
          <w:rFonts w:hint="cs"/>
          <w:rtl/>
        </w:rPr>
        <w:t>،</w:t>
      </w:r>
      <w:r w:rsidR="00777DCB" w:rsidRPr="00A52585">
        <w:rPr>
          <w:rFonts w:hint="cs"/>
          <w:rtl/>
        </w:rPr>
        <w:t xml:space="preserve"> فهو سبحانه الأزلي القديم بذاته</w:t>
      </w:r>
      <w:r w:rsidR="00DB731D" w:rsidRPr="00A52585">
        <w:rPr>
          <w:rFonts w:hint="cs"/>
          <w:rtl/>
        </w:rPr>
        <w:t>،</w:t>
      </w:r>
      <w:r w:rsidR="00777DCB" w:rsidRPr="00A52585">
        <w:rPr>
          <w:rFonts w:hint="cs"/>
          <w:rtl/>
        </w:rPr>
        <w:t xml:space="preserve"> منزه عن الحدوث إذ ليس لذاته ابتداء</w:t>
      </w:r>
      <w:r w:rsidR="00DB731D" w:rsidRPr="00A52585">
        <w:rPr>
          <w:rFonts w:hint="cs"/>
          <w:rtl/>
        </w:rPr>
        <w:t>،</w:t>
      </w:r>
      <w:r w:rsidR="00777DCB" w:rsidRPr="00A52585">
        <w:rPr>
          <w:rFonts w:hint="cs"/>
          <w:rtl/>
        </w:rPr>
        <w:t xml:space="preserve"> وهو سبحانه الأبدي الباقي بذاته إذ ليس لذاته انتهاء</w:t>
      </w:r>
      <w:r w:rsidR="00DB731D" w:rsidRPr="00A52585">
        <w:rPr>
          <w:rFonts w:hint="cs"/>
          <w:rtl/>
        </w:rPr>
        <w:t>،</w:t>
      </w:r>
      <w:r w:rsidR="00777DCB" w:rsidRPr="00A52585">
        <w:rPr>
          <w:rFonts w:hint="cs"/>
          <w:rtl/>
        </w:rPr>
        <w:t xml:space="preserve"> له سبحانه كمال الحياة</w:t>
      </w:r>
      <w:r w:rsidR="00DB731D" w:rsidRPr="00A52585">
        <w:rPr>
          <w:rFonts w:hint="cs"/>
          <w:rtl/>
        </w:rPr>
        <w:t>،</w:t>
      </w:r>
      <w:r w:rsidR="00777DCB" w:rsidRPr="00A52585">
        <w:rPr>
          <w:rFonts w:hint="cs"/>
          <w:rtl/>
        </w:rPr>
        <w:t xml:space="preserve"> فهي حياة أزلية ذاتية ليس لها ابتداء (</w:t>
      </w:r>
      <w:r w:rsidRPr="00A52585">
        <w:rPr>
          <w:rFonts w:hint="cs"/>
          <w:rtl/>
        </w:rPr>
        <w:t>(</w:t>
      </w:r>
      <w:r w:rsidR="00777DCB" w:rsidRPr="00A52585">
        <w:rPr>
          <w:rFonts w:hint="cs"/>
          <w:rtl/>
        </w:rPr>
        <w:t>الاول فليس قبلك شيء</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وهي حياة أبدية ذاتية باقية ليس لها انتهاء (</w:t>
      </w:r>
      <w:r w:rsidRPr="00A52585">
        <w:rPr>
          <w:rFonts w:hint="cs"/>
          <w:rtl/>
        </w:rPr>
        <w:t>(</w:t>
      </w:r>
      <w:r w:rsidR="00777DCB" w:rsidRPr="00A52585">
        <w:rPr>
          <w:rFonts w:hint="cs"/>
          <w:rtl/>
        </w:rPr>
        <w:t xml:space="preserve">الآخر فليس بعدك </w:t>
      </w:r>
      <w:r w:rsidR="00777DCB" w:rsidRPr="00A52585">
        <w:rPr>
          <w:rFonts w:hint="cs"/>
          <w:rtl/>
        </w:rPr>
        <w:lastRenderedPageBreak/>
        <w:t>شيء</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فهو ال</w:t>
      </w:r>
      <w:r w:rsidR="00777DCB" w:rsidRPr="00A52585">
        <w:rPr>
          <w:rFonts w:hint="cs"/>
          <w:rtl/>
          <w:lang w:bidi="ar-QA"/>
        </w:rPr>
        <w:t>حي</w:t>
      </w:r>
      <w:r w:rsidR="00777DCB" w:rsidRPr="00A52585">
        <w:rPr>
          <w:rFonts w:hint="cs"/>
          <w:rtl/>
        </w:rPr>
        <w:t xml:space="preserve"> قبل كل </w:t>
      </w:r>
      <w:r w:rsidR="00777DCB" w:rsidRPr="00A52585">
        <w:rPr>
          <w:rFonts w:hint="cs"/>
          <w:rtl/>
          <w:lang w:bidi="ar-QA"/>
        </w:rPr>
        <w:t xml:space="preserve">حي وهو الحي </w:t>
      </w:r>
      <w:r w:rsidR="00777DCB" w:rsidRPr="00A52585">
        <w:rPr>
          <w:rFonts w:hint="cs"/>
          <w:rtl/>
        </w:rPr>
        <w:t>الذي لا يموت</w:t>
      </w:r>
      <w:r w:rsidR="00DB731D" w:rsidRPr="00A52585">
        <w:rPr>
          <w:rFonts w:hint="cs"/>
          <w:rtl/>
        </w:rPr>
        <w:t>،</w:t>
      </w:r>
      <w:r w:rsidR="00777DCB" w:rsidRPr="00A52585">
        <w:rPr>
          <w:rFonts w:hint="cs"/>
          <w:rtl/>
        </w:rPr>
        <w:t xml:space="preserve"> وهو الحي بعد كل </w:t>
      </w:r>
      <w:proofErr w:type="spellStart"/>
      <w:r w:rsidR="00777DCB" w:rsidRPr="00A52585">
        <w:rPr>
          <w:rFonts w:hint="cs"/>
          <w:rtl/>
        </w:rPr>
        <w:t>ميت</w:t>
      </w:r>
      <w:r w:rsidR="00DB731D" w:rsidRPr="00A52585">
        <w:rPr>
          <w:rFonts w:hint="cs"/>
          <w:rtl/>
        </w:rPr>
        <w:t>،</w:t>
      </w:r>
      <w:r w:rsidR="00777DCB" w:rsidRPr="00A52585">
        <w:rPr>
          <w:rFonts w:hint="cs"/>
          <w:rtl/>
        </w:rPr>
        <w:t>حياته</w:t>
      </w:r>
      <w:proofErr w:type="spellEnd"/>
      <w:r w:rsidR="00777DCB" w:rsidRPr="00A52585">
        <w:rPr>
          <w:rFonts w:hint="cs"/>
          <w:rtl/>
        </w:rPr>
        <w:t xml:space="preserve"> سبحانه تامة كاملة منزهة عن السنة والنوم والموت والفناء، كما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لَا إِلَهَ إِلَّا هُوَ الْحَيُّ الْقَيُّومُ لَا تَأْخُذُهُ سِنَةٌ وَلَا نَوْمٌ لَهُ مَا فِي السَّمَوَاتِ وَمَا فِي الْأَرْضِ</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البقرة</w:t>
      </w:r>
      <w:r w:rsidRPr="00A52585">
        <w:rPr>
          <w:rFonts w:hint="cs"/>
          <w:rtl/>
        </w:rPr>
        <w:t xml:space="preserve">: </w:t>
      </w:r>
      <w:r w:rsidR="00777DCB" w:rsidRPr="00A52585">
        <w:rPr>
          <w:rFonts w:hint="cs"/>
          <w:rtl/>
        </w:rPr>
        <w:t>255</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snapToGrid w:val="0"/>
          <w:rtl/>
        </w:rPr>
        <w:t>{</w:t>
      </w:r>
      <w:r w:rsidR="00777DCB" w:rsidRPr="00A52585">
        <w:rPr>
          <w:rFonts w:hint="cs"/>
          <w:rtl/>
        </w:rPr>
        <w:t>وَتَوَكَّلْ عَلَى الْحَيِّ الَّذِي لَا يَمُوتُ وَسَبِّحْ بِحَمْدِهِ وَكَفَى بِهِ بِذُنُوبِ عِبَادِهِ خَبِيرًا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الفرقان</w:t>
      </w:r>
      <w:r w:rsidRPr="00A52585">
        <w:rPr>
          <w:rFonts w:hint="cs"/>
          <w:rtl/>
        </w:rPr>
        <w:t>:</w:t>
      </w:r>
      <w:r w:rsidR="00777DCB" w:rsidRPr="00A52585">
        <w:rPr>
          <w:rFonts w:hint="cs"/>
          <w:rtl/>
        </w:rPr>
        <w:t xml:space="preserve"> 58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شَيْءٍ هَالِكٌ إِلَّا وَجْهَهُ لَهُ الْحُكْمُ وَإِلَيْهِ تُرْجَعُونَ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القصص</w:t>
      </w:r>
      <w:r w:rsidRPr="00A52585">
        <w:rPr>
          <w:rFonts w:hint="cs"/>
          <w:rtl/>
        </w:rPr>
        <w:t>:</w:t>
      </w:r>
      <w:r w:rsidR="00777DCB" w:rsidRPr="00A52585">
        <w:rPr>
          <w:rFonts w:hint="cs"/>
          <w:rtl/>
        </w:rPr>
        <w:t xml:space="preserve"> 88</w:t>
      </w:r>
      <w:r w:rsidRPr="00A52585">
        <w:rPr>
          <w:rFonts w:hint="cs"/>
          <w:rtl/>
        </w:rPr>
        <w:t>]</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مَنْ عَلَيْهَا فَانٍ * وَيَبْقَى وَجْهُ رَبِّكَ ذُو الْجَلَالِ وَالْإِكْرَامِ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26</w:t>
      </w:r>
      <w:r w:rsidR="00DB731D"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w:t>
      </w:r>
    </w:p>
    <w:p w14:paraId="1FBFBA14" w14:textId="15EBCB43" w:rsidR="00777DCB" w:rsidRPr="00A52585" w:rsidRDefault="0002035C" w:rsidP="0002035C">
      <w:pPr>
        <w:spacing w:before="240"/>
        <w:rPr>
          <w:b/>
          <w:rtl/>
        </w:rPr>
      </w:pPr>
      <w:r w:rsidRPr="00A52585">
        <w:rPr>
          <w:rFonts w:hint="cs"/>
          <w:rtl/>
        </w:rPr>
        <w:t>(</w:t>
      </w:r>
      <w:r w:rsidR="00777DCB" w:rsidRPr="00A52585">
        <w:rPr>
          <w:rFonts w:hint="cs"/>
          <w:rtl/>
        </w:rPr>
        <w:t>ب</w:t>
      </w:r>
      <w:r w:rsidRPr="00A52585">
        <w:rPr>
          <w:rFonts w:hint="cs"/>
          <w:rtl/>
        </w:rPr>
        <w:t>)</w:t>
      </w:r>
      <w:r w:rsidR="00777DCB" w:rsidRPr="00A52585">
        <w:rPr>
          <w:rFonts w:hint="cs"/>
          <w:rtl/>
        </w:rPr>
        <w:t xml:space="preserve"> من تنزيه الله تعالى عن الحدوث والفناء</w:t>
      </w:r>
      <w:r w:rsidR="00DB731D" w:rsidRPr="00A52585">
        <w:rPr>
          <w:rFonts w:hint="cs"/>
          <w:rtl/>
        </w:rPr>
        <w:t>،</w:t>
      </w:r>
      <w:r w:rsidR="00777DCB" w:rsidRPr="00A52585">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DB731D" w:rsidRPr="00A52585">
        <w:rPr>
          <w:rFonts w:hint="cs"/>
          <w:rtl/>
        </w:rPr>
        <w:t>،</w:t>
      </w:r>
      <w:r w:rsidR="00777DCB" w:rsidRPr="00A52585">
        <w:rPr>
          <w:rFonts w:hint="cs"/>
          <w:rtl/>
        </w:rPr>
        <w:t xml:space="preserve"> وذلك لأنه في علم الأصول فإن القديم الذاتي لا يقبل الحدوث</w:t>
      </w:r>
      <w:r w:rsidR="00DB731D" w:rsidRPr="00A52585">
        <w:rPr>
          <w:rFonts w:hint="cs"/>
          <w:rtl/>
        </w:rPr>
        <w:t>،</w:t>
      </w:r>
      <w:r w:rsidR="00777DCB" w:rsidRPr="00A52585">
        <w:rPr>
          <w:rFonts w:hint="cs"/>
          <w:rtl/>
        </w:rPr>
        <w:t xml:space="preserve"> ولو قبل الحدوث لم يُؤمن عليه من الفناء</w:t>
      </w:r>
      <w:r w:rsidR="00DB731D" w:rsidRPr="00A52585">
        <w:rPr>
          <w:rFonts w:hint="cs"/>
          <w:rtl/>
        </w:rPr>
        <w:t>،</w:t>
      </w:r>
      <w:r w:rsidR="00777DCB" w:rsidRPr="00A52585">
        <w:rPr>
          <w:rFonts w:hint="cs"/>
          <w:rtl/>
        </w:rPr>
        <w:t xml:space="preserve"> والحوادث نقص يضاد الكمال المتمثل في القدم الذاتي للذات</w:t>
      </w:r>
      <w:r w:rsidR="00DB731D" w:rsidRPr="00A52585">
        <w:rPr>
          <w:rFonts w:hint="cs"/>
          <w:rtl/>
        </w:rPr>
        <w:t>،</w:t>
      </w:r>
      <w:r w:rsidR="00777DCB" w:rsidRPr="00A52585">
        <w:rPr>
          <w:rFonts w:hint="cs"/>
          <w:rtl/>
        </w:rPr>
        <w:t xml:space="preserve"> </w:t>
      </w:r>
      <w:r w:rsidR="00777DCB" w:rsidRPr="00A52585">
        <w:rPr>
          <w:rFonts w:hint="cs"/>
          <w:rtl/>
          <w:lang w:bidi="ar-KW"/>
        </w:rPr>
        <w:t>فالله عز وجل هو الأول فليس قبله شيء</w:t>
      </w:r>
      <w:r w:rsidR="00DB731D" w:rsidRPr="00A52585">
        <w:rPr>
          <w:rFonts w:hint="cs"/>
          <w:rtl/>
          <w:lang w:bidi="ar-KW"/>
        </w:rPr>
        <w:t>،</w:t>
      </w:r>
      <w:r w:rsidR="00777DCB" w:rsidRPr="00A52585">
        <w:rPr>
          <w:rFonts w:hint="cs"/>
          <w:rtl/>
          <w:lang w:bidi="ar-KW"/>
        </w:rPr>
        <w:t xml:space="preserve"> متصف سبحانه بالأولية في ذاته وصفاته</w:t>
      </w:r>
      <w:r w:rsidR="00DB731D" w:rsidRPr="00A52585">
        <w:rPr>
          <w:rFonts w:hint="cs"/>
          <w:rtl/>
          <w:lang w:bidi="ar-KW"/>
        </w:rPr>
        <w:t>،</w:t>
      </w:r>
      <w:r w:rsidR="00777DCB" w:rsidRPr="00A52585">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777DCB" w:rsidRPr="00A52585">
        <w:rPr>
          <w:rFonts w:hint="cs"/>
          <w:rtl/>
        </w:rPr>
        <w:t xml:space="preserve"> نقص ومماثلة للمخلوقات يتنزه عنه كمال الذات وبيان ذلك أن نقول</w:t>
      </w:r>
      <w:r w:rsidRPr="00A52585">
        <w:rPr>
          <w:rFonts w:hint="cs"/>
          <w:rtl/>
        </w:rPr>
        <w:t>:</w:t>
      </w:r>
    </w:p>
    <w:p w14:paraId="195260EB" w14:textId="197C2F4F" w:rsidR="00777DCB" w:rsidRPr="00A52585" w:rsidRDefault="0002035C" w:rsidP="0002035C">
      <w:pPr>
        <w:spacing w:before="240" w:after="240"/>
        <w:rPr>
          <w:b/>
          <w:lang w:bidi="ar-KW"/>
        </w:rPr>
      </w:pPr>
      <w:r w:rsidRPr="00A52585">
        <w:rPr>
          <w:rFonts w:hint="cs"/>
          <w:rtl/>
          <w:lang w:bidi="ar-KW"/>
        </w:rPr>
        <w:t>(</w:t>
      </w:r>
      <w:r w:rsidR="00777DCB" w:rsidRPr="00A52585">
        <w:rPr>
          <w:rFonts w:hint="cs"/>
          <w:rtl/>
          <w:lang w:bidi="ar-KW"/>
        </w:rPr>
        <w:t>ت</w:t>
      </w:r>
      <w:r w:rsidRPr="00A52585">
        <w:rPr>
          <w:rFonts w:hint="cs"/>
          <w:rtl/>
          <w:lang w:bidi="ar-KW"/>
        </w:rPr>
        <w:t>)</w:t>
      </w:r>
      <w:r w:rsidR="00777DCB" w:rsidRPr="00A52585">
        <w:rPr>
          <w:rFonts w:hint="cs"/>
          <w:rtl/>
          <w:lang w:bidi="ar-KW"/>
        </w:rPr>
        <w:t xml:space="preserve"> من الأدلة القرآنية على تنزيه الله تعالى عن التغير والحدوث و عن حلول الحوادث بذاته تقدس وتعالى</w:t>
      </w:r>
      <w:r w:rsidR="00DB731D" w:rsidRPr="00A52585">
        <w:rPr>
          <w:rFonts w:hint="cs"/>
          <w:rtl/>
          <w:lang w:bidi="ar-KW"/>
        </w:rPr>
        <w:t>،</w:t>
      </w:r>
      <w:r w:rsidR="00777DCB" w:rsidRPr="00A52585">
        <w:rPr>
          <w:rFonts w:hint="cs"/>
          <w:rtl/>
          <w:lang w:bidi="ar-KW"/>
        </w:rPr>
        <w:t xml:space="preserve"> </w:t>
      </w:r>
      <w:r w:rsidR="00777DCB" w:rsidRPr="00A52585">
        <w:rPr>
          <w:rFonts w:hint="cs"/>
          <w:rtl/>
        </w:rPr>
        <w:t xml:space="preserve">قوله تعالى </w:t>
      </w:r>
      <w:r w:rsidRPr="00A52585">
        <w:rPr>
          <w:rFonts w:hint="cs"/>
          <w:rtl/>
        </w:rPr>
        <w:t>{</w:t>
      </w:r>
      <w:r w:rsidR="00777DCB" w:rsidRPr="00A52585">
        <w:rPr>
          <w:rFonts w:hint="cs"/>
          <w:bCs/>
          <w:rtl/>
        </w:rPr>
        <w:t>ليس كمثلِه شيء</w:t>
      </w:r>
      <w:r w:rsidRPr="00A52585">
        <w:rPr>
          <w:rFonts w:hint="cs"/>
          <w:bCs/>
          <w:rtl/>
        </w:rPr>
        <w:t>}</w:t>
      </w:r>
      <w:r w:rsidR="00777DCB" w:rsidRPr="00A52585">
        <w:rPr>
          <w:rFonts w:hint="cs"/>
          <w:rtl/>
        </w:rPr>
        <w:t xml:space="preserve"> [سورة الشورى</w:t>
      </w:r>
      <w:r w:rsidRPr="00A52585">
        <w:rPr>
          <w:rFonts w:hint="cs"/>
          <w:rtl/>
        </w:rPr>
        <w:t>:</w:t>
      </w:r>
      <w:r w:rsidR="00777DCB" w:rsidRPr="00A52585">
        <w:rPr>
          <w:rFonts w:hint="cs"/>
          <w:rtl/>
        </w:rPr>
        <w:t xml:space="preserve"> 11]، في هذه الآية نفي المشابهة والمماثلة بين الله تعالى وخلقه ومعناه أن الله تعالى لا يشبه شيئًا من خلقه بوجه من الوجوه، </w:t>
      </w:r>
      <w:r w:rsidR="00777DCB" w:rsidRPr="00A52585">
        <w:rPr>
          <w:rFonts w:hint="cs"/>
          <w:rtl/>
          <w:lang w:bidi="ar-KW"/>
        </w:rPr>
        <w:t>ومنها أنه 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t>{</w:t>
      </w:r>
      <w:r w:rsidR="00777DCB" w:rsidRPr="00A52585">
        <w:rPr>
          <w:rFonts w:hint="cs"/>
          <w:bCs/>
          <w:rtl/>
        </w:rPr>
        <w:t>وللهِ المثَلُ الأعلى</w:t>
      </w:r>
      <w:r w:rsidRPr="00A52585">
        <w:rPr>
          <w:rFonts w:hint="cs"/>
          <w:bCs/>
          <w:rtl/>
        </w:rPr>
        <w:t>}</w:t>
      </w:r>
      <w:r w:rsidR="00777DCB" w:rsidRPr="00A52585">
        <w:rPr>
          <w:rFonts w:hint="cs"/>
          <w:rtl/>
        </w:rPr>
        <w:t xml:space="preserve"> [سورة النحل</w:t>
      </w:r>
      <w:r w:rsidRPr="00A52585">
        <w:rPr>
          <w:rFonts w:hint="cs"/>
          <w:rtl/>
        </w:rPr>
        <w:t>:</w:t>
      </w:r>
      <w:r w:rsidR="00777DCB" w:rsidRPr="00A52585">
        <w:rPr>
          <w:rFonts w:hint="cs"/>
          <w:rtl/>
        </w:rPr>
        <w:t xml:space="preserve">60] أي الوصف الذي لا يشبه وصف غيره، فلا يوصف ربنا عزَّ وجلَّ بصفات المخلوقين من </w:t>
      </w:r>
      <w:r w:rsidR="00777DCB" w:rsidRPr="00A52585">
        <w:rPr>
          <w:rFonts w:hint="cs"/>
          <w:rtl/>
          <w:lang w:bidi="ar-KW"/>
        </w:rPr>
        <w:t>التغير والحدوث وقبول الحوادث</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t>{</w:t>
      </w:r>
      <w:r w:rsidR="00777DCB" w:rsidRPr="00A52585">
        <w:rPr>
          <w:rFonts w:hint="cs"/>
          <w:bCs/>
          <w:rtl/>
        </w:rPr>
        <w:t>فلا تضربوا للهِ الأمثال</w:t>
      </w:r>
      <w:r w:rsidRPr="00A52585">
        <w:rPr>
          <w:rFonts w:hint="cs"/>
          <w:bCs/>
          <w:rtl/>
        </w:rPr>
        <w:t xml:space="preserve">} </w:t>
      </w:r>
      <w:r w:rsidR="00777DCB" w:rsidRPr="00A52585">
        <w:rPr>
          <w:rFonts w:hint="cs"/>
          <w:rtl/>
        </w:rPr>
        <w:t>[سورة النحل</w:t>
      </w:r>
      <w:r w:rsidRPr="00A52585">
        <w:rPr>
          <w:rFonts w:hint="cs"/>
          <w:rtl/>
        </w:rPr>
        <w:t>:</w:t>
      </w:r>
      <w:r w:rsidR="00777DCB" w:rsidRPr="00A52585">
        <w:rPr>
          <w:rFonts w:hint="cs"/>
          <w:rtl/>
        </w:rPr>
        <w:t xml:space="preserve"> 74]، أي لا تجعلوا لله الشبيهَ والمِثْل فإن اللهَ تعالى لا شبيه له ولا مثيل له، فذاتُه سبحانه لا يشبه الذواتِ</w:t>
      </w:r>
      <w:r w:rsidR="00DB731D" w:rsidRPr="00A52585">
        <w:rPr>
          <w:rFonts w:hint="cs"/>
          <w:rtl/>
        </w:rPr>
        <w:t>،</w:t>
      </w:r>
      <w:r w:rsidR="00777DCB" w:rsidRPr="00A52585">
        <w:rPr>
          <w:rFonts w:hint="cs"/>
          <w:rtl/>
        </w:rPr>
        <w:t xml:space="preserve"> و</w:t>
      </w:r>
      <w:r w:rsidR="00777DCB" w:rsidRPr="00A52585">
        <w:rPr>
          <w:rFonts w:hint="cs"/>
          <w:rtl/>
          <w:lang w:bidi="ar-KW"/>
        </w:rPr>
        <w:t>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Pr="00A52585">
        <w:rPr>
          <w:rFonts w:hint="cs"/>
          <w:bCs/>
          <w:rtl/>
        </w:rPr>
        <w:t xml:space="preserve"> {</w:t>
      </w:r>
      <w:r w:rsidR="00777DCB" w:rsidRPr="00A52585">
        <w:rPr>
          <w:rFonts w:hint="cs"/>
          <w:bCs/>
          <w:rtl/>
        </w:rPr>
        <w:t>هل تعلمُ لهُ سميًّا</w:t>
      </w:r>
      <w:r w:rsidRPr="00A52585">
        <w:rPr>
          <w:rFonts w:hint="cs"/>
          <w:bCs/>
          <w:rtl/>
        </w:rPr>
        <w:t xml:space="preserve">} </w:t>
      </w:r>
      <w:r w:rsidR="00777DCB" w:rsidRPr="00A52585">
        <w:rPr>
          <w:rFonts w:hint="cs"/>
          <w:rtl/>
        </w:rPr>
        <w:t>[سورة مريم</w:t>
      </w:r>
      <w:r w:rsidRPr="00A52585">
        <w:rPr>
          <w:rFonts w:hint="cs"/>
          <w:rtl/>
        </w:rPr>
        <w:t>:</w:t>
      </w:r>
      <w:r w:rsidR="00777DCB" w:rsidRPr="00A52585">
        <w:rPr>
          <w:rFonts w:hint="cs"/>
          <w:rtl/>
        </w:rPr>
        <w:t xml:space="preserve"> 65</w:t>
      </w:r>
      <w:r w:rsidRPr="00A52585">
        <w:rPr>
          <w:rFonts w:hint="cs"/>
          <w:rtl/>
        </w:rPr>
        <w:t>]</w:t>
      </w:r>
      <w:r w:rsidR="00777DCB" w:rsidRPr="00A52585">
        <w:rPr>
          <w:rFonts w:hint="cs"/>
          <w:rtl/>
        </w:rPr>
        <w:t xml:space="preserve"> أي مِثلاً، فالله تعالى لا مِثْلَ له ولا شبيه ولا نظير، فذاتُه سبحانه لا يشبه الذواتِ و</w:t>
      </w:r>
      <w:r w:rsidR="00777DCB" w:rsidRPr="00A52585">
        <w:rPr>
          <w:rFonts w:hint="cs"/>
          <w:rtl/>
          <w:lang w:bidi="ar-KW"/>
        </w:rPr>
        <w:t>يستحيل عليه التغير والحدوث وقبول الحوادث لأن التغير والحدوث و حلول الحوادث من صفات المخلوق</w:t>
      </w:r>
      <w:r w:rsidR="00DB731D" w:rsidRPr="00A52585">
        <w:rPr>
          <w:rFonts w:hint="cs"/>
          <w:rtl/>
          <w:lang w:bidi="ar-KW"/>
        </w:rPr>
        <w:t>،</w:t>
      </w:r>
      <w:r w:rsidR="00777DCB" w:rsidRPr="00A52585">
        <w:rPr>
          <w:rFonts w:hint="cs"/>
          <w:rtl/>
          <w:lang w:bidi="ar-KW"/>
        </w:rPr>
        <w:t xml:space="preserve"> </w:t>
      </w:r>
      <w:r w:rsidR="00777DCB" w:rsidRPr="00A52585">
        <w:rPr>
          <w:rFonts w:hint="cs"/>
          <w:rtl/>
        </w:rPr>
        <w:t>وقوله تعالى:</w:t>
      </w:r>
      <w:r w:rsidR="00777DCB" w:rsidRPr="00A52585">
        <w:rPr>
          <w:rFonts w:hint="cs"/>
          <w:bCs/>
          <w:rtl/>
        </w:rPr>
        <w:t xml:space="preserve"> </w:t>
      </w:r>
      <w:r w:rsidRPr="00A52585">
        <w:rPr>
          <w:rFonts w:hint="cs"/>
          <w:bCs/>
          <w:rtl/>
        </w:rPr>
        <w:lastRenderedPageBreak/>
        <w:t>{</w:t>
      </w:r>
      <w:r w:rsidR="00777DCB" w:rsidRPr="00A52585">
        <w:rPr>
          <w:rFonts w:hint="cs"/>
          <w:bCs/>
          <w:rtl/>
        </w:rPr>
        <w:t>وَلَمْ يَكُن لَّهُ كُفُوًا أَحَدٌ</w:t>
      </w:r>
      <w:r w:rsidRPr="00A52585">
        <w:rPr>
          <w:rFonts w:hint="cs"/>
          <w:bCs/>
          <w:rtl/>
        </w:rPr>
        <w:t>}</w:t>
      </w:r>
      <w:r w:rsidR="00777DCB" w:rsidRPr="00A52585">
        <w:rPr>
          <w:rFonts w:hint="cs"/>
          <w:rtl/>
        </w:rPr>
        <w:t xml:space="preserve"> [سورة الإخلاص</w:t>
      </w:r>
      <w:r w:rsidRPr="00A52585">
        <w:rPr>
          <w:rFonts w:hint="cs"/>
          <w:rtl/>
        </w:rPr>
        <w:t>:</w:t>
      </w:r>
      <w:r w:rsidR="00777DCB" w:rsidRPr="00A52585">
        <w:rPr>
          <w:rFonts w:hint="cs"/>
          <w:rtl/>
        </w:rPr>
        <w:t xml:space="preserve"> 4] أي لا نظير له بوجه من الوجوه، ولا كفء له ولا شبيه</w:t>
      </w:r>
      <w:r w:rsidR="00DB731D" w:rsidRPr="00A52585">
        <w:rPr>
          <w:rFonts w:hint="cs"/>
          <w:rtl/>
        </w:rPr>
        <w:t>،</w:t>
      </w:r>
      <w:r w:rsidR="00777DCB" w:rsidRPr="00A52585">
        <w:rPr>
          <w:rFonts w:hint="cs"/>
          <w:rtl/>
        </w:rPr>
        <w:t xml:space="preserve"> فلا يوصف ربنا عزَّ وجلَّ بصفات المخلوقين من </w:t>
      </w:r>
      <w:r w:rsidR="00777DCB" w:rsidRPr="00A52585">
        <w:rPr>
          <w:rFonts w:hint="cs"/>
          <w:rtl/>
          <w:lang w:bidi="ar-KW"/>
        </w:rPr>
        <w:t>التغير والحدوث وقبول الحوادث</w:t>
      </w:r>
      <w:r w:rsidR="00897A24" w:rsidRPr="00A52585">
        <w:rPr>
          <w:rFonts w:hint="cs"/>
          <w:rtl/>
          <w:lang w:bidi="ar-KW"/>
        </w:rPr>
        <w:t>.</w:t>
      </w:r>
    </w:p>
    <w:p w14:paraId="085CCE13" w14:textId="5E3404E6" w:rsidR="00777DCB" w:rsidRPr="00A52585" w:rsidRDefault="0002035C" w:rsidP="0002035C">
      <w:pPr>
        <w:spacing w:before="240" w:after="240"/>
        <w:rPr>
          <w:b/>
          <w:rtl/>
        </w:rPr>
      </w:pPr>
      <w:r w:rsidRPr="00A52585">
        <w:rPr>
          <w:rFonts w:hint="cs"/>
          <w:rtl/>
        </w:rPr>
        <w:t>(</w:t>
      </w:r>
      <w:r w:rsidR="00777DCB" w:rsidRPr="00A52585">
        <w:rPr>
          <w:rFonts w:hint="cs"/>
          <w:rtl/>
        </w:rPr>
        <w:t>ث</w:t>
      </w:r>
      <w:r w:rsidRPr="00A52585">
        <w:rPr>
          <w:rFonts w:hint="cs"/>
          <w:rtl/>
        </w:rPr>
        <w:t>)</w:t>
      </w:r>
      <w:r w:rsidR="00777DCB" w:rsidRPr="00A52585">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قَالَ هَذَا رَبِّي فَلَمَّا أَفَلَ قَالَ لَا أُحِبُّ الْآفِلِينَ</w:t>
      </w:r>
      <w:r w:rsidRPr="00A52585">
        <w:rPr>
          <w:rFonts w:hint="cs"/>
          <w:b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76]</w:t>
      </w:r>
      <w:r w:rsidR="00DB731D" w:rsidRPr="00A52585">
        <w:rPr>
          <w:rFonts w:hint="cs"/>
          <w:rtl/>
        </w:rPr>
        <w:t>،</w:t>
      </w:r>
      <w:r w:rsidR="00777DCB" w:rsidRPr="00A52585">
        <w:rPr>
          <w:rFonts w:hint="cs"/>
          <w:rtl/>
        </w:rPr>
        <w:t xml:space="preserve"> قال </w:t>
      </w:r>
      <w:proofErr w:type="spellStart"/>
      <w:r w:rsidR="00777DCB" w:rsidRPr="00A52585">
        <w:rPr>
          <w:rFonts w:hint="cs"/>
          <w:rtl/>
        </w:rPr>
        <w:t>المفسرون</w:t>
      </w:r>
      <w:r w:rsidRPr="00A52585">
        <w:rPr>
          <w:rFonts w:hint="cs"/>
          <w:rtl/>
        </w:rPr>
        <w:t>:</w:t>
      </w:r>
      <w:r w:rsidR="00777DCB" w:rsidRPr="00A52585">
        <w:rPr>
          <w:rFonts w:hint="cs"/>
          <w:rtl/>
        </w:rPr>
        <w:t>قال</w:t>
      </w:r>
      <w:proofErr w:type="spellEnd"/>
      <w:r w:rsidR="00777DCB" w:rsidRPr="00A52585">
        <w:rPr>
          <w:rFonts w:hint="cs"/>
          <w:rtl/>
        </w:rPr>
        <w:t xml:space="preserve"> ذلك لقومه تنبيها لهم على أن القمر لتغير حاله لا يصلح للإلهية وأن من اتخذه إلها فهو ضال</w:t>
      </w:r>
      <w:r w:rsidR="00DB731D" w:rsidRPr="00A52585">
        <w:rPr>
          <w:rFonts w:hint="cs"/>
          <w:rtl/>
        </w:rPr>
        <w:t>،</w:t>
      </w:r>
      <w:r w:rsidR="00777DCB" w:rsidRPr="00A52585">
        <w:rPr>
          <w:rFonts w:hint="cs"/>
          <w:rtl/>
        </w:rPr>
        <w:t xml:space="preserve"> وتنبيها لهم أن الله دائم لا يزول</w:t>
      </w:r>
      <w:r w:rsidR="00DB731D" w:rsidRPr="00A52585">
        <w:rPr>
          <w:rFonts w:hint="cs"/>
          <w:rtl/>
        </w:rPr>
        <w:t>،</w:t>
      </w:r>
      <w:r w:rsidR="00777DCB" w:rsidRPr="00A52585">
        <w:rPr>
          <w:rFonts w:hint="cs"/>
          <w:rtl/>
        </w:rPr>
        <w:t xml:space="preserve"> وأن الزوال نقص لا يصلح للإله المتصف بالكمال وأن </w:t>
      </w:r>
      <w:r w:rsidRPr="00A52585">
        <w:rPr>
          <w:rFonts w:hint="cs"/>
          <w:rtl/>
        </w:rPr>
        <w:t>(</w:t>
      </w:r>
      <w:r w:rsidR="00777DCB" w:rsidRPr="00A52585">
        <w:rPr>
          <w:rFonts w:hint="cs"/>
          <w:rtl/>
        </w:rPr>
        <w:t>الآفلين</w:t>
      </w:r>
      <w:r w:rsidRPr="00A52585">
        <w:rPr>
          <w:rFonts w:hint="cs"/>
          <w:rtl/>
        </w:rPr>
        <w:t>)</w:t>
      </w:r>
      <w:r w:rsidR="00777DCB" w:rsidRPr="00A52585">
        <w:rPr>
          <w:rFonts w:hint="cs"/>
          <w:rtl/>
        </w:rPr>
        <w:t xml:space="preserve"> أي الأرباب المنتقلين من مكان إلى مكان المتغيرين من حال إلى حال فإنهم بمعزل من استحقاق الربوبية والإلهية</w:t>
      </w:r>
      <w:r w:rsidR="00DB731D" w:rsidRPr="00A52585">
        <w:rPr>
          <w:rFonts w:hint="cs"/>
          <w:rtl/>
        </w:rPr>
        <w:t>،</w:t>
      </w:r>
      <w:r w:rsidR="00777DCB" w:rsidRPr="00A52585">
        <w:rPr>
          <w:rFonts w:hint="cs"/>
          <w:rtl/>
        </w:rPr>
        <w:t xml:space="preserve"> وتنبيها على أن من غاب بعد الظهور كان حادثا مسخرا وليس برب أزلي أول ليس بمحدث</w:t>
      </w:r>
      <w:r w:rsidR="00DB731D" w:rsidRPr="00A52585">
        <w:rPr>
          <w:rFonts w:hint="cs"/>
          <w:rtl/>
        </w:rPr>
        <w:t>،</w:t>
      </w:r>
      <w:r w:rsidR="00777DCB" w:rsidRPr="00A52585">
        <w:rPr>
          <w:rFonts w:hint="cs"/>
          <w:rtl/>
        </w:rPr>
        <w:t xml:space="preserve"> منزه عما لا يليق بذاته الأقدس من لوازم الإمكان ولواحق التغير والحدوث</w:t>
      </w:r>
      <w:r w:rsidR="00DB731D" w:rsidRPr="00A52585">
        <w:rPr>
          <w:rFonts w:hint="cs"/>
          <w:rtl/>
        </w:rPr>
        <w:t>،</w:t>
      </w:r>
      <w:r w:rsidR="00777DCB" w:rsidRPr="00A52585">
        <w:rPr>
          <w:rFonts w:hint="cs"/>
          <w:rtl/>
        </w:rPr>
        <w:t xml:space="preserve"> ولهذا تبرأ من آلهتهم بقوله عليه السلام في سورة الأنعام</w:t>
      </w:r>
      <w:r w:rsidR="00DB731D" w:rsidRPr="00A52585">
        <w:rPr>
          <w:rFonts w:hint="cs"/>
          <w:rtl/>
        </w:rPr>
        <w:t>،</w:t>
      </w:r>
      <w:r w:rsidR="00777DCB" w:rsidRPr="00A52585">
        <w:rPr>
          <w:rFonts w:hint="cs"/>
          <w:rtl/>
        </w:rPr>
        <w:t xml:space="preserve"> قال تعالى</w:t>
      </w:r>
      <w:r w:rsidRPr="00A52585">
        <w:rPr>
          <w:rFonts w:hint="cs"/>
          <w:rtl/>
        </w:rPr>
        <w:t>:</w:t>
      </w:r>
      <w:r w:rsidR="00777DCB" w:rsidRPr="00A52585">
        <w:rPr>
          <w:rFonts w:hint="cs"/>
          <w:bCs/>
          <w:rtl/>
        </w:rPr>
        <w:t xml:space="preserve"> </w:t>
      </w:r>
      <w:r w:rsidRPr="00A52585">
        <w:rPr>
          <w:rFonts w:hint="cs"/>
          <w:bCs/>
          <w:rtl/>
        </w:rPr>
        <w:t>{</w:t>
      </w:r>
      <w:r w:rsidR="00777DCB" w:rsidRPr="00A52585">
        <w:rPr>
          <w:rFonts w:hint="cs"/>
          <w:bCs/>
          <w:rtl/>
        </w:rPr>
        <w:t>قَالَ يَا قَوْمِ إِنِّي بَرِيءٌ مِمَّا تُشْرِكُونَ * إِنِّي وَجَّهْتُ وَجْهِيَ لِلَّذِي فَطَرَ السَّمَوَاتِ وَالْأَرْضَ حَنِيفًا وَمَا أَنَا مِنَ الْمُشْرِكِينَ</w:t>
      </w:r>
      <w:r w:rsidRPr="00A52585">
        <w:rPr>
          <w:rFonts w:hint="cs"/>
          <w:bCs/>
          <w:rtl/>
        </w:rPr>
        <w:t>}</w:t>
      </w:r>
      <w:r w:rsidR="00777DCB" w:rsidRPr="00A52585">
        <w:rPr>
          <w:rFonts w:hint="cs"/>
          <w:bCs/>
          <w:rtl/>
        </w:rPr>
        <w:t xml:space="preserve">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78</w:t>
      </w:r>
      <w:r w:rsidR="00DB731D" w:rsidRPr="00A52585">
        <w:rPr>
          <w:rFonts w:hint="cs"/>
          <w:rtl/>
        </w:rPr>
        <w:t>،</w:t>
      </w:r>
      <w:r w:rsidR="00777DCB" w:rsidRPr="00A52585">
        <w:rPr>
          <w:rFonts w:hint="cs"/>
          <w:rtl/>
        </w:rPr>
        <w:t xml:space="preserve"> 79</w:t>
      </w:r>
      <w:r w:rsidRPr="00A52585">
        <w:rPr>
          <w:rFonts w:hint="cs"/>
          <w:rtl/>
        </w:rPr>
        <w:t>]</w:t>
      </w:r>
      <w:r w:rsidR="00DB731D" w:rsidRPr="00A52585">
        <w:rPr>
          <w:rFonts w:hint="cs"/>
          <w:rtl/>
        </w:rPr>
        <w:t>،</w:t>
      </w:r>
      <w:r w:rsidRPr="00A52585">
        <w:rPr>
          <w:rFonts w:hint="cs"/>
          <w:bCs/>
          <w:rtl/>
        </w:rPr>
        <w:t xml:space="preserve"> </w:t>
      </w:r>
      <w:r w:rsidR="00777DCB" w:rsidRPr="00A52585">
        <w:rPr>
          <w:rFonts w:hint="cs"/>
          <w:rtl/>
        </w:rPr>
        <w:t>ومعناه</w:t>
      </w:r>
      <w:r w:rsidRPr="00A52585">
        <w:rPr>
          <w:rFonts w:hint="cs"/>
          <w:rtl/>
        </w:rPr>
        <w:t xml:space="preserve"> </w:t>
      </w:r>
      <w:r w:rsidR="00777DCB" w:rsidRPr="00A52585">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sidR="00897A24" w:rsidRPr="00A52585">
        <w:rPr>
          <w:rFonts w:hint="cs"/>
          <w:rtl/>
        </w:rPr>
        <w:t>.</w:t>
      </w:r>
    </w:p>
    <w:p w14:paraId="6B5A52F1" w14:textId="2E8957AB" w:rsidR="00777DCB" w:rsidRPr="00A52585" w:rsidRDefault="0002035C" w:rsidP="0002035C">
      <w:pPr>
        <w:spacing w:before="240" w:after="240"/>
        <w:rPr>
          <w:rFonts w:eastAsia="Times New Roman"/>
          <w:b/>
          <w:rtl/>
        </w:rPr>
      </w:pPr>
      <w:r w:rsidRPr="00A52585">
        <w:rPr>
          <w:rFonts w:hint="cs"/>
          <w:rtl/>
        </w:rPr>
        <w:t>(</w:t>
      </w:r>
      <w:r w:rsidR="00777DCB" w:rsidRPr="00A52585">
        <w:rPr>
          <w:rFonts w:hint="cs"/>
          <w:rtl/>
        </w:rPr>
        <w:t>ج</w:t>
      </w:r>
      <w:r w:rsidRPr="00A52585">
        <w:rPr>
          <w:rFonts w:hint="cs"/>
          <w:rtl/>
        </w:rPr>
        <w:t>)</w:t>
      </w:r>
      <w:r w:rsidR="00777DCB" w:rsidRPr="00A52585">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DB731D" w:rsidRPr="00A52585">
        <w:rPr>
          <w:rFonts w:hint="cs"/>
          <w:rtl/>
        </w:rPr>
        <w:t>،</w:t>
      </w:r>
      <w:r w:rsidR="00777DCB" w:rsidRPr="00A52585">
        <w:rPr>
          <w:rFonts w:hint="cs"/>
          <w:rtl/>
        </w:rPr>
        <w:t xml:space="preserve"> فكل متغير يقبل الظهور تارة </w:t>
      </w:r>
      <w:proofErr w:type="gramStart"/>
      <w:r w:rsidR="00777DCB" w:rsidRPr="00A52585">
        <w:rPr>
          <w:rFonts w:hint="cs"/>
          <w:rtl/>
        </w:rPr>
        <w:t>و الاختفاء</w:t>
      </w:r>
      <w:proofErr w:type="gramEnd"/>
      <w:r w:rsidR="00777DCB" w:rsidRPr="00A52585">
        <w:rPr>
          <w:rFonts w:hint="cs"/>
          <w:rtl/>
        </w:rPr>
        <w:t xml:space="preserve"> تارة</w:t>
      </w:r>
      <w:r w:rsidRPr="00A52585">
        <w:rPr>
          <w:rFonts w:hint="cs"/>
          <w:rtl/>
        </w:rPr>
        <w:t xml:space="preserve"> </w:t>
      </w:r>
      <w:r w:rsidR="00777DCB" w:rsidRPr="00A52585">
        <w:rPr>
          <w:rFonts w:hint="cs"/>
          <w:rtl/>
        </w:rPr>
        <w:t xml:space="preserve">والتأثير تارة والزوال تارة أخري لا يصلح أن يكون إلها البتة </w:t>
      </w:r>
    </w:p>
    <w:p w14:paraId="032CCF8E" w14:textId="5F1FB731" w:rsidR="00777DCB" w:rsidRPr="00A52585" w:rsidRDefault="0002035C" w:rsidP="0002035C">
      <w:pPr>
        <w:spacing w:before="240" w:after="240"/>
        <w:rPr>
          <w:rtl/>
        </w:rPr>
      </w:pPr>
      <w:r w:rsidRPr="00A52585">
        <w:rPr>
          <w:rFonts w:hint="cs"/>
          <w:rtl/>
        </w:rPr>
        <w:t>(</w:t>
      </w:r>
      <w:r w:rsidR="00777DCB" w:rsidRPr="00A52585">
        <w:rPr>
          <w:rFonts w:hint="cs"/>
          <w:rtl/>
        </w:rPr>
        <w:t>ح</w:t>
      </w:r>
      <w:r w:rsidRPr="00A52585">
        <w:rPr>
          <w:rFonts w:hint="cs"/>
          <w:rtl/>
        </w:rPr>
        <w:t>)</w:t>
      </w:r>
      <w:r w:rsidR="00777DCB" w:rsidRPr="00A52585">
        <w:rPr>
          <w:rFonts w:hint="cs"/>
          <w:rtl/>
        </w:rPr>
        <w:t xml:space="preserve"> كما أن ذات الله تعالى منزه عن التغير والحدوث</w:t>
      </w:r>
      <w:r w:rsidR="00DB731D" w:rsidRPr="00A52585">
        <w:rPr>
          <w:rFonts w:hint="cs"/>
          <w:rtl/>
        </w:rPr>
        <w:t>،</w:t>
      </w:r>
      <w:r w:rsidR="00777DCB" w:rsidRPr="00A52585">
        <w:rPr>
          <w:rFonts w:hint="cs"/>
          <w:rtl/>
        </w:rPr>
        <w:t xml:space="preserve"> فإنه سبحانه منزه عن قبول الحوادث</w:t>
      </w:r>
      <w:r w:rsidR="00DB731D" w:rsidRPr="00A52585">
        <w:rPr>
          <w:rFonts w:hint="cs"/>
          <w:rtl/>
        </w:rPr>
        <w:t>،</w:t>
      </w:r>
      <w:r w:rsidR="00777DCB" w:rsidRPr="00A52585">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DB731D" w:rsidRPr="00A52585">
        <w:rPr>
          <w:rFonts w:hint="cs"/>
          <w:rtl/>
        </w:rPr>
        <w:t>،</w:t>
      </w:r>
      <w:r w:rsidR="00777DCB" w:rsidRPr="00A52585">
        <w:rPr>
          <w:rFonts w:hint="cs"/>
          <w:rtl/>
        </w:rPr>
        <w:t xml:space="preserve"> ولهذا اتفق العارفون بأصول الدين وقواعد التنزيه بأن ما قبل الحوادث فهو حادث</w:t>
      </w:r>
      <w:r w:rsidR="00DB731D" w:rsidRPr="00A52585">
        <w:rPr>
          <w:rFonts w:hint="cs"/>
          <w:rtl/>
        </w:rPr>
        <w:t>،</w:t>
      </w:r>
      <w:r w:rsidR="00777DCB" w:rsidRPr="00A52585">
        <w:rPr>
          <w:rFonts w:hint="cs"/>
          <w:rtl/>
        </w:rPr>
        <w:t xml:space="preserve"> وانه ليس في ذات الله تعالى محدث ولا مخلوق لأنه الأول الخالق سبحانه</w:t>
      </w:r>
      <w:r w:rsidR="00DB731D" w:rsidRPr="00A52585">
        <w:rPr>
          <w:rFonts w:eastAsiaTheme="minorEastAsia" w:hint="cs"/>
          <w:rtl/>
        </w:rPr>
        <w:t>،</w:t>
      </w:r>
      <w:r w:rsidR="00777DCB" w:rsidRPr="00A52585">
        <w:rPr>
          <w:rFonts w:eastAsiaTheme="minorEastAsia" w:hint="cs"/>
          <w:rtl/>
        </w:rPr>
        <w:t xml:space="preserve"> كما أنّ </w:t>
      </w:r>
      <w:r w:rsidR="00777DCB" w:rsidRPr="00A52585">
        <w:rPr>
          <w:rFonts w:hint="cs"/>
          <w:rtl/>
        </w:rPr>
        <w:t>قبول الحوادث</w:t>
      </w:r>
      <w:r w:rsidRPr="00A52585">
        <w:rPr>
          <w:rFonts w:hint="cs"/>
          <w:rtl/>
        </w:rPr>
        <w:t xml:space="preserve"> </w:t>
      </w:r>
      <w:r w:rsidR="00777DCB" w:rsidRPr="00A52585">
        <w:rPr>
          <w:rFonts w:hint="cs"/>
          <w:rtl/>
        </w:rPr>
        <w:t>ينافي الأولية والأزلية التي يتصف بها ذات الله تقدس وتعالى</w:t>
      </w:r>
      <w:r w:rsidR="00DB731D" w:rsidRPr="00A52585">
        <w:rPr>
          <w:rFonts w:hint="cs"/>
          <w:rtl/>
        </w:rPr>
        <w:t>،</w:t>
      </w:r>
      <w:r w:rsidR="00777DCB" w:rsidRPr="00A52585">
        <w:rPr>
          <w:rFonts w:hint="cs"/>
          <w:rtl/>
        </w:rPr>
        <w:t xml:space="preserve"> وينافي كمال الذات والصفات</w:t>
      </w:r>
      <w:r w:rsidR="00DB731D" w:rsidRPr="00A52585">
        <w:rPr>
          <w:rFonts w:hint="cs"/>
          <w:rtl/>
        </w:rPr>
        <w:t>،</w:t>
      </w:r>
      <w:r w:rsidR="00777DCB" w:rsidRPr="00A52585">
        <w:rPr>
          <w:rFonts w:hint="cs"/>
          <w:rtl/>
        </w:rPr>
        <w:t xml:space="preserve"> فإن الكمال المطلق لا </w:t>
      </w:r>
      <w:r w:rsidR="00777DCB" w:rsidRPr="00A52585">
        <w:rPr>
          <w:rFonts w:hint="cs"/>
          <w:rtl/>
        </w:rPr>
        <w:lastRenderedPageBreak/>
        <w:t>يقبل الزيادة ولا النقصان ‘ لأنه لو قبل الزيادة كان قبل الزيادة نقصا ولو قبل النقص لم يكن إلها له كمال الذات والصفات</w:t>
      </w:r>
      <w:r w:rsidR="00897A24" w:rsidRPr="00A52585">
        <w:rPr>
          <w:rFonts w:hint="cs"/>
          <w:rtl/>
        </w:rPr>
        <w:t>.</w:t>
      </w:r>
      <w:r w:rsidR="00777DCB" w:rsidRPr="00A52585">
        <w:rPr>
          <w:rFonts w:hint="cs"/>
          <w:rtl/>
        </w:rPr>
        <w:t xml:space="preserve"> </w:t>
      </w:r>
    </w:p>
    <w:p w14:paraId="6923328E" w14:textId="42AC96D7" w:rsidR="00777DCB" w:rsidRPr="00A52585" w:rsidRDefault="0002035C" w:rsidP="0002035C">
      <w:pPr>
        <w:spacing w:before="240" w:after="240"/>
        <w:rPr>
          <w:b/>
          <w:rtl/>
        </w:rPr>
      </w:pPr>
      <w:r w:rsidRPr="00A52585">
        <w:rPr>
          <w:rFonts w:hint="cs"/>
          <w:rtl/>
        </w:rPr>
        <w:t>(</w:t>
      </w:r>
      <w:r w:rsidR="00777DCB" w:rsidRPr="00A52585">
        <w:rPr>
          <w:rFonts w:hint="cs"/>
          <w:rtl/>
        </w:rPr>
        <w:t>خ</w:t>
      </w:r>
      <w:r w:rsidRPr="00A52585">
        <w:rPr>
          <w:rFonts w:hint="cs"/>
          <w:rtl/>
        </w:rPr>
        <w:t>)</w:t>
      </w:r>
      <w:r w:rsidR="00777DCB" w:rsidRPr="00A52585">
        <w:rPr>
          <w:rFonts w:hint="cs"/>
          <w:rtl/>
        </w:rPr>
        <w:t xml:space="preserve"> دليل بطلان كونه تعالى محلاًّ للحوادث الحوادث هو ما يطرأ على الذات الحادثة من التغيّرات المختلفة</w:t>
      </w:r>
      <w:r w:rsidR="00DB731D" w:rsidRPr="00A52585">
        <w:rPr>
          <w:rFonts w:hint="cs"/>
          <w:rtl/>
        </w:rPr>
        <w:t>،</w:t>
      </w:r>
      <w:r w:rsidR="00777DCB" w:rsidRPr="00A52585">
        <w:rPr>
          <w:rFonts w:hint="cs"/>
          <w:rtl/>
        </w:rPr>
        <w:t xml:space="preserve"> لأنّ الحوادث تستلزم التغيّر</w:t>
      </w:r>
      <w:r w:rsidR="00DB731D" w:rsidRPr="00A52585">
        <w:rPr>
          <w:rFonts w:hint="cs"/>
          <w:rtl/>
        </w:rPr>
        <w:t>،</w:t>
      </w:r>
      <w:r w:rsidRPr="00A52585">
        <w:rPr>
          <w:rFonts w:hint="cs"/>
          <w:rtl/>
        </w:rPr>
        <w:t xml:space="preserve"> </w:t>
      </w:r>
      <w:r w:rsidR="00777DCB" w:rsidRPr="00A52585">
        <w:rPr>
          <w:rFonts w:hint="cs"/>
          <w:rtl/>
        </w:rPr>
        <w:t>والذات التي يطرأ عليها الحوادث تتغيّر وتنتقل من حالة إلى أخرى بسبب ما اكتسبته من الحوادث</w:t>
      </w:r>
      <w:r w:rsidR="00DB731D" w:rsidRPr="00A52585">
        <w:rPr>
          <w:rFonts w:hint="cs"/>
          <w:rtl/>
        </w:rPr>
        <w:t>،</w:t>
      </w:r>
      <w:r w:rsidR="00777DCB" w:rsidRPr="00A52585">
        <w:rPr>
          <w:rFonts w:hint="cs"/>
          <w:rtl/>
        </w:rPr>
        <w:t xml:space="preserve"> والله تعالى منزه عن التغير والأفول</w:t>
      </w:r>
      <w:r w:rsidR="00DB731D" w:rsidRPr="00A52585">
        <w:rPr>
          <w:rFonts w:hint="cs"/>
          <w:rtl/>
        </w:rPr>
        <w:t>،</w:t>
      </w:r>
      <w:r w:rsidR="00777DCB" w:rsidRPr="00A52585">
        <w:rPr>
          <w:rFonts w:hint="cs"/>
          <w:rtl/>
        </w:rPr>
        <w:t xml:space="preserve"> كما أنّ قبول الحوادث من صفات الأجسام الحادثة</w:t>
      </w:r>
      <w:r w:rsidR="00DB731D" w:rsidRPr="00A52585">
        <w:rPr>
          <w:rFonts w:hint="cs"/>
          <w:rtl/>
        </w:rPr>
        <w:t>،</w:t>
      </w:r>
      <w:r w:rsidR="00777DCB" w:rsidRPr="00A52585">
        <w:rPr>
          <w:rFonts w:hint="cs"/>
          <w:rtl/>
        </w:rPr>
        <w:t xml:space="preserve"> وبما أنّه تعالى قديم الذات فلا يقبل الحادث لأنّ أخص صفات القديم </w:t>
      </w:r>
      <w:proofErr w:type="gramStart"/>
      <w:r w:rsidR="00777DCB" w:rsidRPr="00A52585">
        <w:rPr>
          <w:rFonts w:hint="cs"/>
          <w:rtl/>
        </w:rPr>
        <w:t>أن لا</w:t>
      </w:r>
      <w:proofErr w:type="gramEnd"/>
      <w:r w:rsidR="00777DCB" w:rsidRPr="00A52585">
        <w:rPr>
          <w:rFonts w:hint="cs"/>
          <w:rtl/>
        </w:rPr>
        <w:t xml:space="preserve"> يقبل الحادث وإلا كان حادثا مثله</w:t>
      </w:r>
      <w:r w:rsidR="00DB731D" w:rsidRPr="00A52585">
        <w:rPr>
          <w:rFonts w:hint="cs"/>
          <w:rtl/>
        </w:rPr>
        <w:t>،</w:t>
      </w:r>
      <w:r w:rsidR="00777DCB" w:rsidRPr="00A52585">
        <w:rPr>
          <w:rFonts w:hint="cs"/>
          <w:rtl/>
        </w:rPr>
        <w:t xml:space="preserve"> وبما أنّه تعالى منزّه عن الأمور المادية والجسمانية</w:t>
      </w:r>
      <w:r w:rsidR="00DB731D" w:rsidRPr="00A52585">
        <w:rPr>
          <w:rFonts w:hint="cs"/>
          <w:rtl/>
        </w:rPr>
        <w:t>،</w:t>
      </w:r>
      <w:r w:rsidR="00777DCB" w:rsidRPr="00A52585">
        <w:rPr>
          <w:rFonts w:hint="cs"/>
          <w:rtl/>
        </w:rPr>
        <w:t xml:space="preserve"> فلهذا يستحيل عليه أن يكون محلاًّ للحوادث</w:t>
      </w:r>
      <w:r w:rsidR="00DB731D" w:rsidRPr="00A52585">
        <w:rPr>
          <w:rFonts w:hint="cs"/>
          <w:rtl/>
        </w:rPr>
        <w:t>،</w:t>
      </w:r>
    </w:p>
    <w:p w14:paraId="065765BB" w14:textId="176ED6F7" w:rsidR="00777DCB" w:rsidRPr="00A52585" w:rsidRDefault="0002035C" w:rsidP="0002035C">
      <w:pPr>
        <w:spacing w:before="240" w:after="240"/>
        <w:rPr>
          <w:b/>
          <w:rtl/>
        </w:rPr>
      </w:pPr>
      <w:r w:rsidRPr="00A52585">
        <w:rPr>
          <w:rFonts w:hint="cs"/>
          <w:rtl/>
        </w:rPr>
        <w:t>(</w:t>
      </w:r>
      <w:r w:rsidR="00777DCB" w:rsidRPr="00A52585">
        <w:rPr>
          <w:rFonts w:hint="cs"/>
          <w:rtl/>
        </w:rPr>
        <w:t>د</w:t>
      </w:r>
      <w:r w:rsidRPr="00A52585">
        <w:rPr>
          <w:rFonts w:hint="cs"/>
          <w:rtl/>
        </w:rPr>
        <w:t>)</w:t>
      </w:r>
      <w:r w:rsidR="00777DCB" w:rsidRPr="00A52585">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DB731D" w:rsidRPr="00A52585">
        <w:rPr>
          <w:rFonts w:hint="cs"/>
          <w:rtl/>
        </w:rPr>
        <w:t>،</w:t>
      </w:r>
      <w:r w:rsidR="00777DCB" w:rsidRPr="00A52585">
        <w:rPr>
          <w:rFonts w:hint="cs"/>
          <w:rtl/>
        </w:rPr>
        <w:t xml:space="preserve"> ومحاذير قولهم عظيمة</w:t>
      </w:r>
      <w:r w:rsidR="00DB731D" w:rsidRPr="00A52585">
        <w:rPr>
          <w:rFonts w:hint="cs"/>
          <w:rtl/>
        </w:rPr>
        <w:t>،</w:t>
      </w:r>
      <w:r w:rsidR="00777DCB" w:rsidRPr="00A52585">
        <w:rPr>
          <w:rFonts w:hint="cs"/>
          <w:rtl/>
        </w:rPr>
        <w:t xml:space="preserve"> منها</w:t>
      </w:r>
      <w:r w:rsidRPr="00A52585">
        <w:rPr>
          <w:rFonts w:hint="cs"/>
          <w:rtl/>
        </w:rPr>
        <w:t>:</w:t>
      </w:r>
      <w:r w:rsidR="00777DCB" w:rsidRPr="00A52585">
        <w:rPr>
          <w:rFonts w:hint="cs"/>
          <w:rtl/>
        </w:rPr>
        <w:t xml:space="preserve"> أنهم يزعمون أن ذات الله تعالى تقبل الحوادث وهذا معارض بأحدية الذات فإن الله </w:t>
      </w:r>
      <w:r w:rsidRPr="00A52585">
        <w:rPr>
          <w:rFonts w:hint="cs"/>
          <w:rtl/>
        </w:rPr>
        <w:t>(</w:t>
      </w:r>
      <w:r w:rsidR="00777DCB" w:rsidRPr="00A52585">
        <w:rPr>
          <w:rFonts w:hint="cs"/>
          <w:rtl/>
        </w:rPr>
        <w:t>أحد صمد</w:t>
      </w:r>
      <w:r w:rsidRPr="00A52585">
        <w:rPr>
          <w:rFonts w:hint="cs"/>
          <w:rtl/>
        </w:rPr>
        <w:t xml:space="preserve">) </w:t>
      </w:r>
      <w:r w:rsidR="00777DCB" w:rsidRPr="00A52585">
        <w:rPr>
          <w:rFonts w:hint="cs"/>
          <w:rtl/>
        </w:rPr>
        <w:t>لا تتجزأ ذاته ولا تقبل شيئا محدثا فيها</w:t>
      </w:r>
      <w:r w:rsidR="00DB731D" w:rsidRPr="00A52585">
        <w:rPr>
          <w:rFonts w:hint="cs"/>
          <w:rtl/>
        </w:rPr>
        <w:t>،</w:t>
      </w:r>
      <w:r w:rsidR="00777DCB" w:rsidRPr="00A52585">
        <w:rPr>
          <w:rFonts w:hint="cs"/>
          <w:rtl/>
        </w:rPr>
        <w:t xml:space="preserve"> ومنها أنّ القول بقبول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للحادث مرادف للقول بقبول الذات للمخلوق لأن الحادث مخلوق وكل ما لم يكن ثم كان فإنه مخلوق لا معنى له إلا ذاك</w:t>
      </w:r>
      <w:r w:rsidR="00DB731D" w:rsidRPr="00A52585">
        <w:rPr>
          <w:rFonts w:hint="cs"/>
          <w:rtl/>
        </w:rPr>
        <w:t>،</w:t>
      </w:r>
      <w:r w:rsidR="00777DCB" w:rsidRPr="00A52585">
        <w:rPr>
          <w:rFonts w:hint="cs"/>
          <w:rtl/>
        </w:rPr>
        <w:t xml:space="preserve"> فهل يقبلون</w:t>
      </w:r>
      <w:r w:rsidRPr="00A52585">
        <w:rPr>
          <w:rFonts w:hint="cs"/>
          <w:rtl/>
        </w:rPr>
        <w:t xml:space="preserve"> </w:t>
      </w:r>
      <w:r w:rsidR="00777DCB" w:rsidRPr="00A52585">
        <w:rPr>
          <w:rFonts w:hint="cs"/>
          <w:rtl/>
        </w:rPr>
        <w:t>بهذا القول الفاحش الذي يؤول إلى القول بالاتحاد والحلول بين المخلوق والخالق سبحان الله عما يصفون</w:t>
      </w:r>
      <w:r w:rsidR="00DB731D" w:rsidRPr="00A52585">
        <w:rPr>
          <w:rFonts w:hint="cs"/>
          <w:rtl/>
        </w:rPr>
        <w:t>،</w:t>
      </w:r>
      <w:r w:rsidR="00777DCB" w:rsidRPr="00A52585">
        <w:rPr>
          <w:rFonts w:hint="cs"/>
          <w:rtl/>
        </w:rPr>
        <w:t xml:space="preserve"> ومنها أنّ القول بقبول ذات الله </w:t>
      </w:r>
      <w:r w:rsidRPr="00A52585">
        <w:rPr>
          <w:rFonts w:hint="cs"/>
          <w:rtl/>
        </w:rPr>
        <w:t>(</w:t>
      </w:r>
      <w:r w:rsidR="00777DCB" w:rsidRPr="00A52585">
        <w:rPr>
          <w:rFonts w:hint="cs"/>
          <w:rtl/>
        </w:rPr>
        <w:t>سبحانه</w:t>
      </w:r>
      <w:r w:rsidRPr="00A52585">
        <w:rPr>
          <w:rFonts w:hint="cs"/>
          <w:rtl/>
        </w:rPr>
        <w:t>)</w:t>
      </w:r>
      <w:r w:rsidR="00777DCB" w:rsidRPr="00A52585">
        <w:rPr>
          <w:rFonts w:hint="cs"/>
          <w:rtl/>
        </w:rPr>
        <w:t xml:space="preserve"> للحادث ما هو إلا تكييف لذات الله تقدس وتعالى بقياسها على ذات المخلوق</w:t>
      </w:r>
      <w:r w:rsidR="00DB731D" w:rsidRPr="00A52585">
        <w:rPr>
          <w:rFonts w:hint="cs"/>
          <w:rtl/>
        </w:rPr>
        <w:t>،</w:t>
      </w:r>
      <w:r w:rsidR="00777DCB" w:rsidRPr="00A52585">
        <w:rPr>
          <w:rFonts w:hint="cs"/>
          <w:rtl/>
        </w:rPr>
        <w:t xml:space="preserve"> حيث أن المخلوق لا يقوم بعمل في الخارج إلا إذا حدثت الإرادة في الداخل</w:t>
      </w:r>
      <w:r w:rsidR="00DB731D" w:rsidRPr="00A52585">
        <w:rPr>
          <w:rFonts w:hint="cs"/>
          <w:rtl/>
        </w:rPr>
        <w:t>،</w:t>
      </w:r>
      <w:r w:rsidR="00777DCB" w:rsidRPr="00A52585">
        <w:rPr>
          <w:rFonts w:hint="cs"/>
          <w:rtl/>
        </w:rPr>
        <w:t xml:space="preserve"> وهذا حال المخلوق لأنه كله محدث يقبل الحوادث</w:t>
      </w:r>
      <w:r w:rsidR="00DB731D" w:rsidRPr="00A52585">
        <w:rPr>
          <w:rFonts w:hint="cs"/>
          <w:rtl/>
        </w:rPr>
        <w:t>،</w:t>
      </w:r>
      <w:r w:rsidR="00777DCB" w:rsidRPr="00A52585">
        <w:rPr>
          <w:rFonts w:hint="cs"/>
          <w:rtl/>
        </w:rPr>
        <w:t xml:space="preserve"> فهل يجوز قياس حالة الخالق الأزلي الذي ليس كمثله شيء على حالة المخلوق الحادث</w:t>
      </w:r>
      <w:r w:rsidR="00DB731D" w:rsidRPr="00A52585">
        <w:rPr>
          <w:rFonts w:hint="cs"/>
          <w:rtl/>
        </w:rPr>
        <w:t>،</w:t>
      </w:r>
      <w:r w:rsidR="00777DCB" w:rsidRPr="00A52585">
        <w:rPr>
          <w:rFonts w:hint="cs"/>
          <w:rtl/>
        </w:rPr>
        <w:t xml:space="preserve"> وهل يجوز عند اولى الألباب قياس إرادة الله الأزلية القديمة على إرادة المخلوق المحدثة المخلوقة</w:t>
      </w:r>
      <w:r w:rsidR="00DB731D" w:rsidRPr="00A52585">
        <w:rPr>
          <w:rFonts w:hint="cs"/>
          <w:rtl/>
        </w:rPr>
        <w:t>،</w:t>
      </w:r>
      <w:r w:rsidR="00777DCB" w:rsidRPr="00A52585">
        <w:rPr>
          <w:rFonts w:hint="cs"/>
          <w:rtl/>
        </w:rPr>
        <w:t xml:space="preserve"> سبحانك هذا بهتان عظيم</w:t>
      </w:r>
      <w:r w:rsidR="00DB731D" w:rsidRPr="00A52585">
        <w:rPr>
          <w:rFonts w:hint="cs"/>
          <w:rtl/>
        </w:rPr>
        <w:t>،</w:t>
      </w:r>
      <w:r w:rsidR="00777DCB" w:rsidRPr="00A52585">
        <w:rPr>
          <w:rFonts w:hint="cs"/>
          <w:rtl/>
        </w:rPr>
        <w:t xml:space="preserve"> كما أنّهم يقيسون صفة الكلام لله تعالى وهي صفة أزلية قديمة لله لها الكمال المطلق</w:t>
      </w:r>
      <w:r w:rsidR="00DB731D" w:rsidRPr="00A52585">
        <w:rPr>
          <w:rFonts w:hint="cs"/>
          <w:rtl/>
        </w:rPr>
        <w:t>،</w:t>
      </w:r>
      <w:r w:rsidR="00777DCB" w:rsidRPr="00A52585">
        <w:rPr>
          <w:rFonts w:hint="cs"/>
          <w:rtl/>
        </w:rPr>
        <w:t xml:space="preserve"> على كلام البشر فيقولون _ هداهم الله _ إن صفة الكلام لله صفة فعلية تتعلق بالإرادة وأن الله يتكلم بما شاء متى شاء</w:t>
      </w:r>
      <w:r w:rsidR="00DB731D" w:rsidRPr="00A52585">
        <w:rPr>
          <w:rFonts w:hint="cs"/>
          <w:rtl/>
        </w:rPr>
        <w:t>،</w:t>
      </w:r>
      <w:r w:rsidR="00777DCB" w:rsidRPr="00A52585">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Pr="00A52585">
        <w:rPr>
          <w:rFonts w:hint="cs"/>
          <w:rtl/>
        </w:rPr>
        <w:t>:</w:t>
      </w:r>
      <w:r w:rsidR="00777DCB" w:rsidRPr="00A52585">
        <w:rPr>
          <w:rFonts w:hint="cs"/>
          <w:rtl/>
        </w:rPr>
        <w:t xml:space="preserve"> إن القرآن محدث وليس قديما</w:t>
      </w:r>
      <w:r w:rsidR="00DB731D" w:rsidRPr="00A52585">
        <w:rPr>
          <w:rFonts w:hint="cs"/>
          <w:rtl/>
        </w:rPr>
        <w:t>،</w:t>
      </w:r>
      <w:r w:rsidR="00777DCB" w:rsidRPr="00A52585">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w:t>
      </w:r>
      <w:r w:rsidR="00777DCB" w:rsidRPr="00A52585">
        <w:rPr>
          <w:rFonts w:hint="cs"/>
          <w:rtl/>
        </w:rPr>
        <w:lastRenderedPageBreak/>
        <w:t>قديمة</w:t>
      </w:r>
      <w:r w:rsidRPr="00A52585">
        <w:rPr>
          <w:rFonts w:hint="cs"/>
          <w:rtl/>
        </w:rPr>
        <w:t xml:space="preserve"> </w:t>
      </w:r>
      <w:r w:rsidR="00777DCB" w:rsidRPr="00A52585">
        <w:rPr>
          <w:rFonts w:hint="cs"/>
          <w:rtl/>
        </w:rPr>
        <w:t>لا تتعلق</w:t>
      </w:r>
      <w:r w:rsidRPr="00A52585">
        <w:rPr>
          <w:rFonts w:hint="cs"/>
          <w:rtl/>
        </w:rPr>
        <w:t xml:space="preserve"> </w:t>
      </w:r>
      <w:r w:rsidR="00777DCB" w:rsidRPr="00A52585">
        <w:rPr>
          <w:rFonts w:hint="cs"/>
          <w:rtl/>
        </w:rPr>
        <w:t>بإرادة الله</w:t>
      </w:r>
      <w:r w:rsidR="00DB731D" w:rsidRPr="00A52585">
        <w:rPr>
          <w:rFonts w:hint="cs"/>
          <w:rtl/>
        </w:rPr>
        <w:t>،</w:t>
      </w:r>
      <w:r w:rsidR="00777DCB" w:rsidRPr="00A52585">
        <w:rPr>
          <w:rFonts w:hint="cs"/>
          <w:rtl/>
        </w:rPr>
        <w:t xml:space="preserve"> بمعنى أنه لا يجوز القول</w:t>
      </w:r>
      <w:r w:rsidRPr="00A52585">
        <w:rPr>
          <w:rFonts w:hint="cs"/>
          <w:rtl/>
        </w:rPr>
        <w:t>:</w:t>
      </w:r>
      <w:r w:rsidR="00777DCB" w:rsidRPr="00A52585">
        <w:rPr>
          <w:rFonts w:hint="cs"/>
          <w:rtl/>
        </w:rPr>
        <w:t xml:space="preserve"> أنه سبحانه يعلم متى شاء ولا يعلم متى شاء</w:t>
      </w:r>
      <w:r w:rsidR="00DB731D" w:rsidRPr="00A52585">
        <w:rPr>
          <w:rFonts w:hint="cs"/>
          <w:rtl/>
        </w:rPr>
        <w:t>،</w:t>
      </w:r>
      <w:r w:rsidR="00777DCB" w:rsidRPr="00A52585">
        <w:rPr>
          <w:rFonts w:hint="cs"/>
          <w:rtl/>
        </w:rPr>
        <w:t xml:space="preserve"> لأنه يحد علم الله الذي له الكمال</w:t>
      </w:r>
      <w:r w:rsidR="00DB731D" w:rsidRPr="00A52585">
        <w:rPr>
          <w:rFonts w:hint="cs"/>
          <w:rtl/>
        </w:rPr>
        <w:t>،</w:t>
      </w:r>
      <w:r w:rsidR="00777DCB" w:rsidRPr="00A52585">
        <w:rPr>
          <w:rFonts w:hint="cs"/>
          <w:rtl/>
        </w:rPr>
        <w:t xml:space="preserve"> فكذلك الكلام صفة قديمة لله معنوية لا تتعلق</w:t>
      </w:r>
      <w:r w:rsidRPr="00A52585">
        <w:rPr>
          <w:rFonts w:hint="cs"/>
          <w:rtl/>
        </w:rPr>
        <w:t xml:space="preserve"> </w:t>
      </w:r>
      <w:r w:rsidR="00777DCB" w:rsidRPr="00A52585">
        <w:rPr>
          <w:rFonts w:hint="cs"/>
          <w:rtl/>
        </w:rPr>
        <w:t>بأفعال الله ولا بإرادة الله</w:t>
      </w:r>
      <w:r w:rsidR="00DB731D" w:rsidRPr="00A52585">
        <w:rPr>
          <w:rFonts w:hint="cs"/>
          <w:rtl/>
        </w:rPr>
        <w:t>،،</w:t>
      </w:r>
      <w:r w:rsidRPr="00A52585">
        <w:rPr>
          <w:rFonts w:hint="cs"/>
          <w:rtl/>
        </w:rPr>
        <w:t xml:space="preserve"> </w:t>
      </w:r>
      <w:r w:rsidR="00777DCB" w:rsidRPr="00A52585">
        <w:rPr>
          <w:rFonts w:hint="cs"/>
          <w:rtl/>
        </w:rPr>
        <w:t>وهم جعلوه محدثا يفعله الله متى شاء مثله مثل الخلق والرزق يخلق من شاء متى شاء</w:t>
      </w:r>
      <w:r w:rsidR="00DB731D" w:rsidRPr="00A52585">
        <w:rPr>
          <w:rFonts w:hint="cs"/>
          <w:rtl/>
        </w:rPr>
        <w:t>،</w:t>
      </w:r>
      <w:r w:rsidR="00777DCB" w:rsidRPr="00A52585">
        <w:rPr>
          <w:rFonts w:hint="cs"/>
          <w:rtl/>
        </w:rPr>
        <w:t xml:space="preserve"> ويرزق من يشاء متى شاء</w:t>
      </w:r>
      <w:r w:rsidR="00DB731D" w:rsidRPr="00A52585">
        <w:rPr>
          <w:rFonts w:hint="cs"/>
          <w:rtl/>
        </w:rPr>
        <w:t>،</w:t>
      </w:r>
      <w:r w:rsidR="00777DCB" w:rsidRPr="00A52585">
        <w:rPr>
          <w:rFonts w:hint="cs"/>
          <w:rtl/>
        </w:rPr>
        <w:t xml:space="preserve"> وصار القرآن الكريم كلام الله تعالى بلازم قولهم</w:t>
      </w:r>
      <w:r w:rsidRPr="00A52585">
        <w:rPr>
          <w:rFonts w:hint="cs"/>
          <w:rtl/>
        </w:rPr>
        <w:t xml:space="preserve"> </w:t>
      </w:r>
      <w:r w:rsidR="00777DCB" w:rsidRPr="00A52585">
        <w:rPr>
          <w:rFonts w:hint="cs"/>
          <w:rtl/>
        </w:rPr>
        <w:t>محدثا مخلوقا</w:t>
      </w:r>
      <w:r w:rsidR="00DB731D" w:rsidRPr="00A52585">
        <w:rPr>
          <w:rFonts w:hint="cs"/>
          <w:rtl/>
        </w:rPr>
        <w:t>،</w:t>
      </w:r>
      <w:r w:rsidR="00777DCB" w:rsidRPr="00A52585">
        <w:rPr>
          <w:rFonts w:hint="cs"/>
          <w:rtl/>
        </w:rPr>
        <w:t xml:space="preserve"> فانظر هداك الله الفرق بين المذهبين</w:t>
      </w:r>
      <w:r w:rsidR="00DB731D" w:rsidRPr="00A52585">
        <w:rPr>
          <w:rFonts w:hint="cs"/>
          <w:rtl/>
        </w:rPr>
        <w:t>،</w:t>
      </w:r>
      <w:r w:rsidR="00777DCB" w:rsidRPr="00A52585">
        <w:rPr>
          <w:rFonts w:hint="cs"/>
          <w:rtl/>
        </w:rPr>
        <w:t xml:space="preserve"> مذهب التنزيه والفقه في دين الله</w:t>
      </w:r>
      <w:r w:rsidR="00DB731D" w:rsidRPr="00A52585">
        <w:rPr>
          <w:rFonts w:hint="cs"/>
          <w:rtl/>
        </w:rPr>
        <w:t>،</w:t>
      </w:r>
      <w:r w:rsidR="00777DCB" w:rsidRPr="00A52585">
        <w:rPr>
          <w:rFonts w:hint="cs"/>
          <w:rtl/>
        </w:rPr>
        <w:t xml:space="preserve"> ومذهب التكييف والجهل في ذات الله تعالى وصفاته وأفعاله</w:t>
      </w:r>
      <w:r w:rsidR="00DB731D" w:rsidRPr="00A52585">
        <w:rPr>
          <w:rFonts w:hint="cs"/>
          <w:rtl/>
        </w:rPr>
        <w:t>،</w:t>
      </w:r>
      <w:r w:rsidR="00777DCB" w:rsidRPr="00A52585">
        <w:rPr>
          <w:rFonts w:hint="cs"/>
          <w:rtl/>
        </w:rPr>
        <w:t xml:space="preserve"> </w:t>
      </w:r>
      <w:r w:rsidR="00777DCB" w:rsidRPr="00A52585">
        <w:rPr>
          <w:rFonts w:hint="cs"/>
          <w:rtl/>
        </w:rPr>
        <w:tab/>
        <w:t xml:space="preserve">وعلى مذهبهم لو جاز أن يقوم بذاته قول حادث جاز لغيرهم أن يقول بعلم حادث ويستدل بظاهر القرآن كقوله تعالى </w:t>
      </w:r>
      <w:r w:rsidRPr="00A52585">
        <w:rPr>
          <w:rFonts w:hint="cs"/>
          <w:rtl/>
        </w:rPr>
        <w:t>(</w:t>
      </w:r>
      <w:r w:rsidR="00777DCB" w:rsidRPr="00A52585">
        <w:rPr>
          <w:rFonts w:hint="cs"/>
          <w:rtl/>
        </w:rPr>
        <w:t>وَلَمَّا يَعْلَمِ اللَّهُ الَّذِينَ جَاهَدُوا مِنْكُمْ وَيَعْلَمَ الصَّابِرِينَ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آل عمران\142] وجاز لغيرهم أيضا أن يقول بإرادة حادثة ويستدل بظاهر القرآن كقوله تعالى </w:t>
      </w:r>
      <w:r w:rsidRPr="00A52585">
        <w:rPr>
          <w:rFonts w:hint="cs"/>
          <w:rtl/>
        </w:rPr>
        <w:t>(</w:t>
      </w:r>
      <w:r w:rsidR="00777DCB" w:rsidRPr="00A52585">
        <w:rPr>
          <w:rFonts w:hint="cs"/>
          <w:rtl/>
        </w:rPr>
        <w:t>يُرِيدُ اللَّهُ بِكُمُ الْيُسْرَ وَلَا يُرِيدُ بِكُمُ الْعُسْرَ</w:t>
      </w:r>
      <w:r w:rsidRPr="00A52585">
        <w:rPr>
          <w:rFonts w:hint="cs"/>
          <w:rtl/>
        </w:rPr>
        <w:t>)</w:t>
      </w:r>
      <w:r w:rsidR="00777DCB" w:rsidRPr="00A52585">
        <w:rPr>
          <w:rFonts w:hint="cs"/>
          <w:rtl/>
        </w:rPr>
        <w:t xml:space="preserve"> ويتبجح بما أجازه أولئك من قيام الحوادث بذات الله تعالى</w:t>
      </w:r>
      <w:r w:rsidR="00DB731D" w:rsidRPr="00A52585">
        <w:rPr>
          <w:rFonts w:hint="cs"/>
          <w:rtl/>
        </w:rPr>
        <w:t>،</w:t>
      </w:r>
      <w:r w:rsidR="00777DCB" w:rsidRPr="00A52585">
        <w:rPr>
          <w:rFonts w:hint="cs"/>
          <w:rtl/>
        </w:rPr>
        <w:t xml:space="preserve"> وهل هذا كله إلا جهل عظيم بالله تعالى وصفاته (سُبْحَانَهُ وَتَعَالَى عَمَّا يَصِفُونَ</w:t>
      </w:r>
      <w:r w:rsidRPr="00A52585">
        <w:rPr>
          <w:rFonts w:hint="cs"/>
          <w:rtl/>
        </w:rPr>
        <w:t>)</w:t>
      </w:r>
      <w:r w:rsidR="00897A24" w:rsidRPr="00A52585">
        <w:rPr>
          <w:rFonts w:hint="cs"/>
          <w:rtl/>
        </w:rPr>
        <w:t>.</w:t>
      </w:r>
    </w:p>
    <w:p w14:paraId="61E66FE1" w14:textId="40862D1C" w:rsidR="00777DCB" w:rsidRPr="00A52585" w:rsidRDefault="0002035C" w:rsidP="0002035C">
      <w:pPr>
        <w:spacing w:before="240" w:after="240"/>
        <w:rPr>
          <w:b/>
          <w:lang w:bidi="ar-KW"/>
        </w:rPr>
      </w:pPr>
      <w:r w:rsidRPr="00A52585">
        <w:rPr>
          <w:rFonts w:hint="cs"/>
          <w:rtl/>
          <w:lang w:bidi="ar-KW"/>
        </w:rPr>
        <w:t>(</w:t>
      </w:r>
      <w:r w:rsidR="00777DCB" w:rsidRPr="00A52585">
        <w:rPr>
          <w:rFonts w:hint="cs"/>
          <w:rtl/>
          <w:lang w:bidi="ar-KW"/>
        </w:rPr>
        <w:t>ذ</w:t>
      </w:r>
      <w:r w:rsidRPr="00A52585">
        <w:rPr>
          <w:rFonts w:hint="cs"/>
          <w:rtl/>
          <w:lang w:bidi="ar-KW"/>
        </w:rPr>
        <w:t>)</w:t>
      </w:r>
      <w:r w:rsidR="00777DCB" w:rsidRPr="00A52585">
        <w:rPr>
          <w:rFonts w:hint="cs"/>
          <w:rtl/>
          <w:lang w:bidi="ar-KW"/>
        </w:rPr>
        <w:t xml:space="preserve"> كذلك فإن الله تبارك وتعالى منزه عن الاتحاد والحلول وعن الاتصال والانفصال لأنها صفات المخلوق وبيان ذلك</w:t>
      </w:r>
      <w:r w:rsidRPr="00A52585">
        <w:rPr>
          <w:rFonts w:hint="cs"/>
          <w:rtl/>
          <w:lang w:bidi="ar-KW"/>
        </w:rPr>
        <w:t>:</w:t>
      </w:r>
      <w:r w:rsidR="00777DCB" w:rsidRPr="00A52585">
        <w:rPr>
          <w:rFonts w:hint="cs"/>
          <w:rtl/>
          <w:lang w:bidi="ar-KW"/>
        </w:rPr>
        <w:t xml:space="preserve"> </w:t>
      </w:r>
      <w:r w:rsidR="00777DCB" w:rsidRPr="00A52585">
        <w:rPr>
          <w:rFonts w:hint="cs"/>
          <w:rtl/>
        </w:rPr>
        <w:t>ما ثم إلا خالق أو مخلوق فهل يتحد الخالق القديم الأزلي الباقي الذي ليس كمثله شيء بالمخلوق المحدث الفاني</w:t>
      </w:r>
      <w:r w:rsidR="00DB731D" w:rsidRPr="00A52585">
        <w:rPr>
          <w:rFonts w:hint="cs"/>
          <w:rtl/>
        </w:rPr>
        <w:t>،</w:t>
      </w:r>
      <w:r w:rsidR="00777DCB" w:rsidRPr="00A52585">
        <w:rPr>
          <w:rFonts w:hint="cs"/>
          <w:rtl/>
        </w:rPr>
        <w:t xml:space="preserve"> أم هل يحل الذي تنزه عن الحد والمقدار في المخلوق المحدود المقدر</w:t>
      </w:r>
      <w:r w:rsidR="00DB731D" w:rsidRPr="00A52585">
        <w:rPr>
          <w:rFonts w:hint="cs"/>
          <w:rtl/>
        </w:rPr>
        <w:t>،</w:t>
      </w:r>
      <w:r w:rsidRPr="00A52585">
        <w:rPr>
          <w:rFonts w:hint="cs"/>
          <w:rtl/>
        </w:rPr>
        <w:t xml:space="preserve"> </w:t>
      </w:r>
      <w:r w:rsidR="00777DCB" w:rsidRPr="00A52585">
        <w:rPr>
          <w:rFonts w:hint="cs"/>
          <w:rtl/>
        </w:rPr>
        <w:t>والله منزه</w:t>
      </w:r>
      <w:r w:rsidR="00777DCB" w:rsidRPr="00A52585">
        <w:rPr>
          <w:rFonts w:hint="cs"/>
        </w:rPr>
        <w:t xml:space="preserve"> </w:t>
      </w:r>
      <w:r w:rsidR="00777DCB" w:rsidRPr="00A52585">
        <w:rPr>
          <w:rFonts w:hint="cs"/>
          <w:rtl/>
        </w:rPr>
        <w:t>عن الحلول في المواضع والأماكن لأن الحلول عرض يفنى وهو حادث والحادث لا يليق بالله</w:t>
      </w:r>
      <w:r w:rsidR="00DB731D" w:rsidRPr="00A52585">
        <w:rPr>
          <w:rFonts w:hint="cs"/>
          <w:rtl/>
        </w:rPr>
        <w:t>،</w:t>
      </w:r>
      <w:r w:rsidR="00777DCB" w:rsidRPr="00A52585">
        <w:rPr>
          <w:rFonts w:hint="cs"/>
          <w:rtl/>
        </w:rPr>
        <w:t xml:space="preserve"> والاتصال والانفصال لا يكون إلا بين الأجسام والله منزه عن الجسمية ولوازم الجسمية كما مر بنا</w:t>
      </w:r>
      <w:r w:rsidR="00DB731D" w:rsidRPr="00A52585">
        <w:rPr>
          <w:rFonts w:hint="cs"/>
          <w:rtl/>
        </w:rPr>
        <w:t>،</w:t>
      </w:r>
      <w:r w:rsidR="00777DCB" w:rsidRPr="00A52585">
        <w:rPr>
          <w:rFonts w:eastAsiaTheme="minorEastAsia" w:hint="cs"/>
          <w:rtl/>
        </w:rPr>
        <w:t xml:space="preserve"> كما </w:t>
      </w:r>
      <w:r w:rsidR="00777DCB" w:rsidRPr="00A52585">
        <w:rPr>
          <w:rFonts w:hint="cs"/>
          <w:rtl/>
        </w:rPr>
        <w:t>أجمع علماء أهل السنة على تنزيه الله تعالى عن الاتحاد بخلقه أو الحلول في شيء منها</w:t>
      </w:r>
      <w:r w:rsidR="00777DCB" w:rsidRPr="00A52585">
        <w:rPr>
          <w:rFonts w:hint="cs"/>
          <w:bCs/>
          <w:rtl/>
        </w:rPr>
        <w:t xml:space="preserve"> </w:t>
      </w:r>
      <w:r w:rsidR="00777DCB" w:rsidRPr="00A52585">
        <w:rPr>
          <w:rFonts w:hint="cs"/>
          <w:rtl/>
        </w:rPr>
        <w:t>وعن الاتصال بها أو الانفصال عنها ونقل الإجماع كل من تكلم عن فرق المسلمين</w:t>
      </w:r>
      <w:r w:rsidR="00DB731D" w:rsidRPr="00A52585">
        <w:rPr>
          <w:rFonts w:hint="cs"/>
          <w:bCs/>
          <w:rtl/>
        </w:rPr>
        <w:t>،</w:t>
      </w:r>
      <w:r w:rsidR="00777DCB" w:rsidRPr="00A52585">
        <w:rPr>
          <w:rFonts w:hint="cs"/>
          <w:bCs/>
          <w:rtl/>
        </w:rPr>
        <w:t xml:space="preserve"> قال ابن كثير _ عند قوله تعالى </w:t>
      </w:r>
      <w:r w:rsidRPr="00A52585">
        <w:rPr>
          <w:rFonts w:hint="cs"/>
          <w:rtl/>
        </w:rPr>
        <w:t>(</w:t>
      </w:r>
      <w:r w:rsidR="00777DCB" w:rsidRPr="00A52585">
        <w:rPr>
          <w:rFonts w:hint="cs"/>
          <w:bCs/>
          <w:rtl/>
        </w:rPr>
        <w:t>ونحن أقرب إليه من حبل الوريد</w:t>
      </w:r>
      <w:r w:rsidR="00777DCB" w:rsidRPr="00A52585">
        <w:rPr>
          <w:rFonts w:hint="cs"/>
          <w:rtl/>
        </w:rPr>
        <w:t>) _</w:t>
      </w:r>
      <w:r w:rsidRPr="00A52585">
        <w:rPr>
          <w:rFonts w:hint="cs"/>
          <w:rtl/>
        </w:rPr>
        <w:t xml:space="preserve"> </w:t>
      </w:r>
      <w:r w:rsidR="00777DCB" w:rsidRPr="00A52585">
        <w:rPr>
          <w:rFonts w:hint="cs"/>
          <w:bCs/>
          <w:rtl/>
        </w:rPr>
        <w:t xml:space="preserve">" </w:t>
      </w:r>
      <w:r w:rsidR="00777DCB" w:rsidRPr="00A52585">
        <w:rPr>
          <w:rFonts w:hint="cs"/>
          <w:rtl/>
        </w:rPr>
        <w:t xml:space="preserve">يعني ملائكته تعالى أقرب إلى الإنسان من حبل وريده إليه ومن تأوله على العلم فإنما فر </w:t>
      </w:r>
      <w:r w:rsidR="00777DCB" w:rsidRPr="00A52585">
        <w:rPr>
          <w:rFonts w:hint="cs"/>
          <w:bCs/>
          <w:rtl/>
        </w:rPr>
        <w:t>لئلا يلزم حلول أو اتحاد وهما منفيان</w:t>
      </w:r>
      <w:r w:rsidR="00777DCB" w:rsidRPr="00A52585">
        <w:rPr>
          <w:rFonts w:hint="cs"/>
          <w:rtl/>
        </w:rPr>
        <w:t xml:space="preserve"> </w:t>
      </w:r>
      <w:r w:rsidR="00777DCB" w:rsidRPr="00A52585">
        <w:rPr>
          <w:rFonts w:hint="cs"/>
          <w:bCs/>
          <w:rtl/>
        </w:rPr>
        <w:t>بالإجماع</w:t>
      </w:r>
      <w:r w:rsidR="00777DCB" w:rsidRPr="00A52585">
        <w:rPr>
          <w:rFonts w:hint="cs"/>
          <w:rtl/>
        </w:rPr>
        <w:t xml:space="preserve"> تعالى الله وتقدس " أهـ </w:t>
      </w:r>
      <w:r w:rsidRPr="00A52585">
        <w:rPr>
          <w:rFonts w:hint="cs"/>
          <w:rtl/>
        </w:rPr>
        <w:t>[</w:t>
      </w:r>
      <w:r w:rsidR="00777DCB" w:rsidRPr="00A52585">
        <w:rPr>
          <w:rFonts w:hint="cs"/>
          <w:rtl/>
        </w:rPr>
        <w:t>تفسير ابن كثير ج: 4 ص: 224]</w:t>
      </w:r>
      <w:r w:rsidR="00DB731D" w:rsidRPr="00A52585">
        <w:rPr>
          <w:rFonts w:hint="cs"/>
          <w:rtl/>
        </w:rPr>
        <w:t>،</w:t>
      </w:r>
      <w:r w:rsidR="00777DCB" w:rsidRPr="00A52585">
        <w:rPr>
          <w:rFonts w:hint="cs"/>
          <w:rtl/>
        </w:rPr>
        <w:t xml:space="preserve"> </w:t>
      </w:r>
      <w:r w:rsidR="00777DCB" w:rsidRPr="00A52585">
        <w:rPr>
          <w:rFonts w:hint="cs"/>
          <w:rtl/>
          <w:lang w:bidi="ar-KW"/>
        </w:rPr>
        <w:t>ولتحرير مسألة تنزيه ذات الله تعالى عن الاتحاد والحلول وعن الاتصال والانفصال</w:t>
      </w:r>
      <w:r w:rsidR="00DB731D" w:rsidRPr="00A52585">
        <w:rPr>
          <w:rFonts w:hint="cs"/>
          <w:rtl/>
          <w:lang w:bidi="ar-KW"/>
        </w:rPr>
        <w:t>،</w:t>
      </w:r>
      <w:r w:rsidR="00777DCB" w:rsidRPr="00A52585">
        <w:rPr>
          <w:rFonts w:hint="cs"/>
          <w:rtl/>
          <w:lang w:bidi="ar-KW"/>
        </w:rPr>
        <w:t xml:space="preserve"> بأدلة الكتاب والسنة وأقوال علماء أهل السنة والجماعة انظر</w:t>
      </w:r>
      <w:r w:rsidR="00897A24" w:rsidRPr="00A52585">
        <w:rPr>
          <w:rFonts w:hint="cs"/>
          <w:rtl/>
          <w:lang w:bidi="ar-KW"/>
        </w:rPr>
        <w:t>.</w:t>
      </w:r>
      <w:r w:rsidR="00777DCB" w:rsidRPr="00A52585">
        <w:rPr>
          <w:rFonts w:hint="cs"/>
          <w:rtl/>
          <w:lang w:bidi="ar-KW"/>
        </w:rPr>
        <w:t xml:space="preserve">.. من سلسلة التجديد </w:t>
      </w:r>
      <w:r w:rsidRPr="00A52585">
        <w:rPr>
          <w:rFonts w:hint="cs"/>
          <w:rtl/>
          <w:lang w:bidi="ar-KW"/>
        </w:rPr>
        <w:t>(</w:t>
      </w:r>
      <w:r w:rsidR="00777DCB" w:rsidRPr="00A52585">
        <w:rPr>
          <w:rFonts w:hint="cs"/>
          <w:rtl/>
          <w:lang w:bidi="ar-KW"/>
        </w:rPr>
        <w:t>تجديد علم التوحيد</w:t>
      </w:r>
      <w:r w:rsidRPr="00A52585">
        <w:rPr>
          <w:rFonts w:hint="cs"/>
          <w:rtl/>
          <w:lang w:bidi="ar-KW"/>
        </w:rPr>
        <w:t>)</w:t>
      </w:r>
      <w:r w:rsidR="00DB731D" w:rsidRPr="00A52585">
        <w:rPr>
          <w:rFonts w:hint="cs"/>
          <w:rtl/>
          <w:lang w:bidi="ar-KW"/>
        </w:rPr>
        <w:t>،</w:t>
      </w:r>
      <w:r w:rsidR="00777DCB" w:rsidRPr="00A52585">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00DB731D" w:rsidRPr="00A52585">
        <w:rPr>
          <w:rFonts w:hint="cs"/>
          <w:rtl/>
          <w:lang w:bidi="ar-KW"/>
        </w:rPr>
        <w:t>،</w:t>
      </w:r>
      <w:r w:rsidR="00777DCB" w:rsidRPr="00A52585">
        <w:rPr>
          <w:rFonts w:hint="cs"/>
          <w:rtl/>
          <w:lang w:bidi="ar-KW"/>
        </w:rPr>
        <w:t xml:space="preserve"> </w:t>
      </w:r>
    </w:p>
    <w:p w14:paraId="605EE660" w14:textId="3424FB3A" w:rsidR="00777DCB" w:rsidRPr="00A52585" w:rsidRDefault="0002035C" w:rsidP="0002035C">
      <w:pPr>
        <w:spacing w:before="240"/>
        <w:rPr>
          <w:b/>
          <w:rtl/>
        </w:rPr>
      </w:pPr>
      <w:r w:rsidRPr="00A52585">
        <w:rPr>
          <w:rFonts w:hint="cs"/>
          <w:rtl/>
          <w:lang w:bidi="ar-KW"/>
        </w:rPr>
        <w:lastRenderedPageBreak/>
        <w:t>(</w:t>
      </w:r>
      <w:r w:rsidR="00777DCB" w:rsidRPr="00A52585">
        <w:rPr>
          <w:rFonts w:hint="cs"/>
          <w:rtl/>
          <w:lang w:bidi="ar-KW"/>
        </w:rPr>
        <w:t>ز</w:t>
      </w:r>
      <w:r w:rsidRPr="00A52585">
        <w:rPr>
          <w:rFonts w:hint="cs"/>
          <w:rtl/>
          <w:lang w:bidi="ar-KW"/>
        </w:rPr>
        <w:t>)</w:t>
      </w:r>
      <w:r w:rsidR="00777DCB" w:rsidRPr="00A52585">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sidR="00DB731D" w:rsidRPr="00A52585">
        <w:rPr>
          <w:rFonts w:hint="cs"/>
          <w:rtl/>
          <w:lang w:bidi="ar-KW"/>
        </w:rPr>
        <w:t>،</w:t>
      </w:r>
      <w:r w:rsidR="00777DCB" w:rsidRPr="00A52585">
        <w:rPr>
          <w:rFonts w:hint="cs"/>
          <w:rtl/>
        </w:rPr>
        <w:t xml:space="preserve"> لأنها محدثات لا تكون إلا عند الذي يقبل الحوادث</w:t>
      </w:r>
      <w:r w:rsidR="00DB731D" w:rsidRPr="00A52585">
        <w:rPr>
          <w:rFonts w:hint="cs"/>
          <w:rtl/>
        </w:rPr>
        <w:t>،</w:t>
      </w:r>
      <w:r w:rsidR="00777DCB" w:rsidRPr="00A52585">
        <w:rPr>
          <w:rFonts w:hint="cs"/>
          <w:rtl/>
        </w:rPr>
        <w:t xml:space="preserve"> أما القديم الأزلي الأبدي فلا تقبل ذاته الحوادث فلا تقبل الكيفيات الحسية التي من أمثلتها </w:t>
      </w:r>
      <w:r w:rsidR="00777DCB" w:rsidRPr="00A52585">
        <w:rPr>
          <w:rFonts w:hint="cs"/>
          <w:rtl/>
          <w:lang w:bidi="ar-KW"/>
        </w:rPr>
        <w:t>الجلوس والاستقرار ولأنها لا تحدث إلا بالجوارح</w:t>
      </w:r>
      <w:r w:rsidR="00DB731D" w:rsidRPr="00A52585">
        <w:rPr>
          <w:rFonts w:hint="cs"/>
          <w:rtl/>
          <w:lang w:bidi="ar-KW"/>
        </w:rPr>
        <w:t>،</w:t>
      </w:r>
      <w:r w:rsidR="00777DCB" w:rsidRPr="00A52585">
        <w:rPr>
          <w:rFonts w:hint="cs"/>
          <w:rtl/>
          <w:lang w:bidi="ar-KW"/>
        </w:rPr>
        <w:t xml:space="preserve"> وتنزيه الله تعالى عن النزول الحسي والصعود الحسي على معنى التغير في ذاته</w:t>
      </w:r>
      <w:r w:rsidR="00DB731D" w:rsidRPr="00A52585">
        <w:rPr>
          <w:rFonts w:hint="cs"/>
          <w:rtl/>
          <w:lang w:bidi="ar-KW"/>
        </w:rPr>
        <w:t>،</w:t>
      </w:r>
      <w:r w:rsidR="00777DCB" w:rsidRPr="00A52585">
        <w:rPr>
          <w:rFonts w:hint="cs"/>
          <w:rtl/>
          <w:lang w:bidi="ar-KW"/>
        </w:rPr>
        <w:t xml:space="preserve"> والذهاب والمجيء على معنى التغير في ذاته</w:t>
      </w:r>
      <w:r w:rsidR="00DB731D" w:rsidRPr="00A52585">
        <w:rPr>
          <w:rFonts w:hint="cs"/>
          <w:rtl/>
          <w:lang w:bidi="ar-KW"/>
        </w:rPr>
        <w:t>،</w:t>
      </w:r>
      <w:r w:rsidR="00777DCB" w:rsidRPr="00A52585">
        <w:rPr>
          <w:rFonts w:hint="cs"/>
          <w:rtl/>
          <w:lang w:bidi="ar-KW"/>
        </w:rPr>
        <w:t xml:space="preserve"> ولأنها صفات المحدود الذي يتحرك في المكان المحدود والمقهور بالمكان والزمان</w:t>
      </w:r>
      <w:r w:rsidR="00DB731D" w:rsidRPr="00A52585">
        <w:rPr>
          <w:rFonts w:hint="cs"/>
          <w:rtl/>
          <w:lang w:bidi="ar-KW"/>
        </w:rPr>
        <w:t>،</w:t>
      </w:r>
      <w:r w:rsidR="00777DCB" w:rsidRPr="00A52585">
        <w:rPr>
          <w:rFonts w:hint="cs"/>
          <w:rtl/>
          <w:lang w:bidi="ar-KW"/>
        </w:rPr>
        <w:t xml:space="preserve"> لأنّ الكون في المكان قهر من المكان</w:t>
      </w:r>
      <w:r w:rsidR="00DB731D" w:rsidRPr="00A52585">
        <w:rPr>
          <w:rFonts w:hint="cs"/>
          <w:rtl/>
          <w:lang w:bidi="ar-KW"/>
        </w:rPr>
        <w:t>،</w:t>
      </w:r>
      <w:r w:rsidR="00777DCB" w:rsidRPr="00A52585">
        <w:rPr>
          <w:rFonts w:hint="cs"/>
          <w:rtl/>
          <w:lang w:bidi="ar-KW"/>
        </w:rPr>
        <w:t xml:space="preserve"> ولأنّ الحركة قهر من الزمان</w:t>
      </w:r>
      <w:r w:rsidR="00DB731D" w:rsidRPr="00A52585">
        <w:rPr>
          <w:rFonts w:hint="cs"/>
          <w:rtl/>
          <w:lang w:bidi="ar-KW"/>
        </w:rPr>
        <w:t>،</w:t>
      </w:r>
      <w:r w:rsidR="00777DCB" w:rsidRPr="00A52585">
        <w:rPr>
          <w:rFonts w:hint="cs"/>
          <w:rtl/>
          <w:lang w:bidi="ar-KW"/>
        </w:rPr>
        <w:t xml:space="preserve"> لأنّ الزمان ما هو عند التحقيق إلا تغير يحدث في اطار السكون والحركة</w:t>
      </w:r>
      <w:r w:rsidR="00DB731D" w:rsidRPr="00A52585">
        <w:rPr>
          <w:rFonts w:hint="cs"/>
          <w:rtl/>
          <w:lang w:bidi="ar-KW"/>
        </w:rPr>
        <w:t>،</w:t>
      </w:r>
      <w:r w:rsidR="00777DCB" w:rsidRPr="00A52585">
        <w:rPr>
          <w:rFonts w:hint="cs"/>
          <w:rtl/>
          <w:lang w:bidi="ar-KW"/>
        </w:rPr>
        <w:t xml:space="preserve"> ولولاهما لما استطعنا تمييز الزمان</w:t>
      </w:r>
      <w:r w:rsidR="00DB731D" w:rsidRPr="00A52585">
        <w:rPr>
          <w:rFonts w:hint="cs"/>
          <w:rtl/>
          <w:lang w:bidi="ar-KW"/>
        </w:rPr>
        <w:t>،</w:t>
      </w:r>
      <w:r w:rsidR="00777DCB" w:rsidRPr="00A52585">
        <w:rPr>
          <w:rFonts w:hint="cs"/>
          <w:rtl/>
          <w:lang w:bidi="ar-KW"/>
        </w:rPr>
        <w:t xml:space="preserve"> والقهار لا يجري عليه زمان لأنّه قاهر الزمان والمكان</w:t>
      </w:r>
      <w:r w:rsidR="00DB731D" w:rsidRPr="00A52585">
        <w:rPr>
          <w:rFonts w:hint="cs"/>
          <w:rtl/>
          <w:lang w:bidi="ar-KW"/>
        </w:rPr>
        <w:t>،</w:t>
      </w:r>
      <w:r w:rsidR="00777DCB" w:rsidRPr="00A52585">
        <w:rPr>
          <w:rFonts w:hint="cs"/>
          <w:rtl/>
          <w:lang w:bidi="ar-KW"/>
        </w:rPr>
        <w:t xml:space="preserve"> وكذلك يتنزه سبحانه عن القبض والبسط على معنى التغير في ذاته</w:t>
      </w:r>
      <w:r w:rsidR="00DB731D" w:rsidRPr="00A52585">
        <w:rPr>
          <w:rFonts w:hint="cs"/>
          <w:rtl/>
          <w:lang w:bidi="ar-KW"/>
        </w:rPr>
        <w:t>،</w:t>
      </w:r>
      <w:r w:rsidR="00777DCB" w:rsidRPr="00A52585">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DB731D" w:rsidRPr="00A52585">
        <w:rPr>
          <w:rFonts w:hint="cs"/>
          <w:rtl/>
          <w:lang w:bidi="ar-KW"/>
        </w:rPr>
        <w:t>،</w:t>
      </w:r>
      <w:r w:rsidR="00777DCB" w:rsidRPr="00A52585">
        <w:rPr>
          <w:rFonts w:hint="cs"/>
          <w:rtl/>
          <w:lang w:bidi="ar-KW"/>
        </w:rPr>
        <w:t xml:space="preserve"> والسكون والتحرك والتماس والتباين والخروج والدخول على معنى التغير في ذاته</w:t>
      </w:r>
      <w:r w:rsidR="00DB731D" w:rsidRPr="00A52585">
        <w:rPr>
          <w:rFonts w:hint="cs"/>
          <w:rtl/>
          <w:lang w:bidi="ar-KW"/>
        </w:rPr>
        <w:t>،</w:t>
      </w:r>
      <w:r w:rsidR="00777DCB" w:rsidRPr="00A52585">
        <w:rPr>
          <w:rFonts w:hint="cs"/>
          <w:rtl/>
          <w:lang w:bidi="ar-KW"/>
        </w:rPr>
        <w:t xml:space="preserve"> والقرب بالمسافة والبعد بالمسافة</w:t>
      </w:r>
      <w:r w:rsidR="00DB731D" w:rsidRPr="00A52585">
        <w:rPr>
          <w:rFonts w:hint="cs"/>
          <w:rtl/>
          <w:lang w:bidi="ar-KW"/>
        </w:rPr>
        <w:t>،</w:t>
      </w:r>
      <w:r w:rsidR="00777DCB" w:rsidRPr="00A52585">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DB731D" w:rsidRPr="00A52585">
        <w:rPr>
          <w:rFonts w:hint="cs"/>
          <w:rtl/>
          <w:lang w:bidi="ar-KW"/>
        </w:rPr>
        <w:t>،</w:t>
      </w:r>
      <w:r w:rsidR="00777DCB" w:rsidRPr="00A52585">
        <w:rPr>
          <w:rFonts w:hint="cs"/>
          <w:rtl/>
          <w:lang w:bidi="ar-KW"/>
        </w:rPr>
        <w:t xml:space="preserve"> والندم والتردد على معنى</w:t>
      </w:r>
      <w:r w:rsidRPr="00A52585">
        <w:rPr>
          <w:rFonts w:hint="cs"/>
          <w:rtl/>
          <w:lang w:bidi="ar-KW"/>
        </w:rPr>
        <w:t xml:space="preserve"> </w:t>
      </w:r>
      <w:r w:rsidR="00777DCB" w:rsidRPr="00A52585">
        <w:rPr>
          <w:rFonts w:hint="cs"/>
          <w:rtl/>
          <w:lang w:bidi="ar-KW"/>
        </w:rPr>
        <w:t>التغير في ذاته</w:t>
      </w:r>
      <w:r w:rsidR="00DB731D" w:rsidRPr="00A52585">
        <w:rPr>
          <w:rFonts w:hint="cs"/>
          <w:rtl/>
          <w:lang w:bidi="ar-KW"/>
        </w:rPr>
        <w:t>،</w:t>
      </w:r>
      <w:r w:rsidR="00777DCB" w:rsidRPr="00A52585">
        <w:rPr>
          <w:rFonts w:hint="cs"/>
          <w:rtl/>
          <w:lang w:bidi="ar-KW"/>
        </w:rPr>
        <w:t xml:space="preserve"> فالله تعالى منزه عن تلك الكيفيات الحسية</w:t>
      </w:r>
      <w:r w:rsidR="00DB731D" w:rsidRPr="00A52585">
        <w:rPr>
          <w:rFonts w:hint="cs"/>
          <w:rtl/>
          <w:lang w:bidi="ar-KW"/>
        </w:rPr>
        <w:t>،</w:t>
      </w:r>
      <w:r w:rsidR="00777DCB" w:rsidRPr="00A52585">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DB731D" w:rsidRPr="00A52585">
        <w:rPr>
          <w:rFonts w:hint="cs"/>
          <w:rtl/>
          <w:lang w:bidi="ar-KW"/>
        </w:rPr>
        <w:t>،</w:t>
      </w:r>
      <w:r w:rsidR="00777DCB" w:rsidRPr="00A52585">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DB731D" w:rsidRPr="00A52585">
        <w:rPr>
          <w:rFonts w:hint="cs"/>
          <w:rtl/>
        </w:rPr>
        <w:t>،</w:t>
      </w:r>
      <w:r w:rsidR="00777DCB" w:rsidRPr="00A52585">
        <w:rPr>
          <w:rFonts w:hint="cs"/>
          <w:rtl/>
        </w:rPr>
        <w:t xml:space="preserve"> ومن أدلة تنزيه الله عن الكيفيات المحسوسة</w:t>
      </w:r>
      <w:r w:rsidRPr="00A52585">
        <w:rPr>
          <w:rFonts w:hint="cs"/>
          <w:rtl/>
        </w:rPr>
        <w:t>:</w:t>
      </w:r>
      <w:r w:rsidR="00777DCB" w:rsidRPr="00A52585">
        <w:rPr>
          <w:rFonts w:hint="cs"/>
          <w:rtl/>
        </w:rPr>
        <w:t xml:space="preserve"> أنها من خواص الجسم والجوارح والله تعالى منزّه عن الجسمانية</w:t>
      </w:r>
      <w:r w:rsidR="00DB731D" w:rsidRPr="00A52585">
        <w:rPr>
          <w:rFonts w:hint="cs"/>
          <w:rtl/>
        </w:rPr>
        <w:t>،</w:t>
      </w:r>
      <w:r w:rsidR="00777DCB" w:rsidRPr="00A52585">
        <w:rPr>
          <w:rFonts w:hint="cs"/>
          <w:rtl/>
        </w:rPr>
        <w:t xml:space="preserve"> وأنها حادثة</w:t>
      </w:r>
      <w:r w:rsidR="00DB731D" w:rsidRPr="00A52585">
        <w:rPr>
          <w:rFonts w:hint="cs"/>
          <w:rtl/>
        </w:rPr>
        <w:t>،</w:t>
      </w:r>
      <w:r w:rsidR="00777DCB" w:rsidRPr="00A52585">
        <w:rPr>
          <w:rFonts w:hint="cs"/>
          <w:rtl/>
        </w:rPr>
        <w:t xml:space="preserve"> لكن الباري غير حادث، فيمتنع أن يكون قابلاً للحوادث</w:t>
      </w:r>
      <w:r w:rsidR="00DB731D" w:rsidRPr="00A52585">
        <w:rPr>
          <w:rFonts w:hint="cs"/>
          <w:rtl/>
        </w:rPr>
        <w:t>،</w:t>
      </w:r>
      <w:r w:rsidR="00777DCB" w:rsidRPr="00A52585">
        <w:rPr>
          <w:rFonts w:hint="cs"/>
          <w:rtl/>
        </w:rPr>
        <w:t xml:space="preserve"> وهي تستلزم التغير والانفعال</w:t>
      </w:r>
      <w:r w:rsidR="00DB731D" w:rsidRPr="00A52585">
        <w:rPr>
          <w:rFonts w:hint="cs"/>
          <w:rtl/>
        </w:rPr>
        <w:t>،</w:t>
      </w:r>
      <w:r w:rsidRPr="00A52585">
        <w:rPr>
          <w:rFonts w:hint="cs"/>
          <w:rtl/>
        </w:rPr>
        <w:t xml:space="preserve"> </w:t>
      </w:r>
      <w:r w:rsidR="00777DCB" w:rsidRPr="00A52585">
        <w:rPr>
          <w:rFonts w:hint="cs"/>
          <w:rtl/>
        </w:rPr>
        <w:t xml:space="preserve">والله منزّه من التغير في ذاته </w:t>
      </w:r>
    </w:p>
    <w:p w14:paraId="33B8D056" w14:textId="2E9CD3B8" w:rsidR="00777DCB" w:rsidRPr="00A52585" w:rsidRDefault="0002035C" w:rsidP="0002035C">
      <w:pPr>
        <w:shd w:val="clear" w:color="auto" w:fill="FFFFFF"/>
        <w:spacing w:before="240" w:after="240"/>
        <w:rPr>
          <w:b/>
          <w:rtl/>
          <w:lang w:bidi="ar-KW"/>
        </w:rPr>
      </w:pPr>
      <w:r w:rsidRPr="00A52585">
        <w:rPr>
          <w:rFonts w:hint="cs"/>
          <w:rtl/>
        </w:rPr>
        <w:t>(</w:t>
      </w:r>
      <w:r w:rsidR="00777DCB" w:rsidRPr="00A52585">
        <w:rPr>
          <w:rFonts w:hint="cs"/>
          <w:rtl/>
        </w:rPr>
        <w:t>س</w:t>
      </w:r>
      <w:r w:rsidRPr="00A52585">
        <w:rPr>
          <w:rFonts w:hint="cs"/>
          <w:rtl/>
        </w:rPr>
        <w:t>)</w:t>
      </w:r>
      <w:r w:rsidR="00777DCB" w:rsidRPr="00A52585">
        <w:rPr>
          <w:rFonts w:hint="cs"/>
          <w:rtl/>
        </w:rPr>
        <w:t xml:space="preserve"> ما جاء في الكتاب والسنة من إضافة الاستواء </w:t>
      </w:r>
      <w:r w:rsidR="00777DCB" w:rsidRPr="00A52585">
        <w:rPr>
          <w:rFonts w:hint="cs"/>
          <w:rtl/>
          <w:lang w:bidi="ar-KW"/>
        </w:rPr>
        <w:t>والنزول والذهاب والمجيء والقبض والبسط والضحك والتبسم والغضب والتردد إلى ذات الله تعالى</w:t>
      </w:r>
      <w:r w:rsidR="00DB731D" w:rsidRPr="00A52585">
        <w:rPr>
          <w:rFonts w:hint="cs"/>
          <w:rtl/>
          <w:lang w:bidi="ar-KW"/>
        </w:rPr>
        <w:t>،</w:t>
      </w:r>
      <w:r w:rsidR="00777DCB" w:rsidRPr="00A52585">
        <w:rPr>
          <w:rFonts w:hint="cs"/>
          <w:rtl/>
          <w:lang w:bidi="ar-KW"/>
        </w:rPr>
        <w:t xml:space="preserve"> فإنه حق وصدق على مراد الله ومراد رسول الله</w:t>
      </w:r>
      <w:r w:rsidR="00DB731D" w:rsidRPr="00A52585">
        <w:rPr>
          <w:rFonts w:hint="cs"/>
          <w:rtl/>
          <w:lang w:bidi="ar-KW"/>
        </w:rPr>
        <w:t>،</w:t>
      </w:r>
      <w:r w:rsidR="00777DCB" w:rsidRPr="00A52585">
        <w:rPr>
          <w:rFonts w:hint="cs"/>
          <w:rtl/>
          <w:lang w:bidi="ar-KW"/>
        </w:rPr>
        <w:t xml:space="preserve"> صفات تليق بالذات</w:t>
      </w:r>
      <w:r w:rsidR="00DB731D" w:rsidRPr="00A52585">
        <w:rPr>
          <w:rFonts w:hint="cs"/>
          <w:rtl/>
          <w:lang w:bidi="ar-KW"/>
        </w:rPr>
        <w:t>،</w:t>
      </w:r>
      <w:r w:rsidR="00777DCB" w:rsidRPr="00A52585">
        <w:rPr>
          <w:rFonts w:hint="cs"/>
          <w:rtl/>
          <w:lang w:bidi="ar-KW"/>
        </w:rPr>
        <w:t xml:space="preserve"> وكما أنّ ذات الله تعالى ليس كمثله شيء</w:t>
      </w:r>
      <w:r w:rsidR="00DB731D" w:rsidRPr="00A52585">
        <w:rPr>
          <w:rFonts w:hint="cs"/>
          <w:rtl/>
          <w:lang w:bidi="ar-KW"/>
        </w:rPr>
        <w:t>،</w:t>
      </w:r>
      <w:r w:rsidR="00777DCB" w:rsidRPr="00A52585">
        <w:rPr>
          <w:rFonts w:hint="cs"/>
          <w:rtl/>
          <w:lang w:bidi="ar-KW"/>
        </w:rPr>
        <w:t xml:space="preserve"> فإن ما أضيف إلى الذات يتبع الذات</w:t>
      </w:r>
      <w:r w:rsidR="00DB731D" w:rsidRPr="00A52585">
        <w:rPr>
          <w:rFonts w:hint="cs"/>
          <w:rtl/>
          <w:lang w:bidi="ar-KW"/>
        </w:rPr>
        <w:t>،</w:t>
      </w:r>
      <w:r w:rsidR="00777DCB" w:rsidRPr="00A52585">
        <w:rPr>
          <w:rFonts w:hint="cs"/>
          <w:rtl/>
          <w:lang w:bidi="ar-KW"/>
        </w:rPr>
        <w:t xml:space="preserve"> منزه عن التغير والحدوث والانفعال الذي يعتري ذات الإنسان</w:t>
      </w:r>
      <w:r w:rsidR="00DB731D" w:rsidRPr="00A52585">
        <w:rPr>
          <w:rFonts w:hint="cs"/>
          <w:rtl/>
          <w:lang w:bidi="ar-KW"/>
        </w:rPr>
        <w:t>،</w:t>
      </w:r>
      <w:r w:rsidR="00777DCB" w:rsidRPr="00A52585">
        <w:rPr>
          <w:rFonts w:hint="cs"/>
          <w:rtl/>
          <w:lang w:bidi="ar-KW"/>
        </w:rPr>
        <w:t xml:space="preserve"> لا نتقول على الله بغير علم</w:t>
      </w:r>
      <w:r w:rsidR="00DB731D" w:rsidRPr="00A52585">
        <w:rPr>
          <w:rFonts w:hint="cs"/>
          <w:rtl/>
          <w:lang w:bidi="ar-KW"/>
        </w:rPr>
        <w:t>،</w:t>
      </w:r>
      <w:r w:rsidR="00777DCB" w:rsidRPr="00A52585">
        <w:rPr>
          <w:rFonts w:hint="cs"/>
          <w:rtl/>
          <w:lang w:bidi="ar-KW"/>
        </w:rPr>
        <w:t xml:space="preserve"> ولا </w:t>
      </w:r>
      <w:r w:rsidR="00777DCB" w:rsidRPr="00A52585">
        <w:rPr>
          <w:rFonts w:hint="cs"/>
          <w:rtl/>
          <w:lang w:bidi="ar-KW"/>
        </w:rPr>
        <w:lastRenderedPageBreak/>
        <w:t>ننفي ما جاء عن الله في كتاب الله وسنة نبيه صلى الله عليه وسلم</w:t>
      </w:r>
      <w:r w:rsidR="00DB731D" w:rsidRPr="00A52585">
        <w:rPr>
          <w:rFonts w:hint="cs"/>
          <w:rtl/>
          <w:lang w:bidi="ar-KW"/>
        </w:rPr>
        <w:t>،</w:t>
      </w:r>
      <w:r w:rsidR="00777DCB" w:rsidRPr="00A52585">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DB731D" w:rsidRPr="00A52585">
        <w:rPr>
          <w:rFonts w:hint="cs"/>
          <w:rtl/>
          <w:lang w:bidi="ar-KW"/>
        </w:rPr>
        <w:t>،</w:t>
      </w:r>
      <w:r w:rsidR="00777DCB" w:rsidRPr="00A52585">
        <w:rPr>
          <w:rFonts w:hint="cs"/>
          <w:rtl/>
          <w:lang w:bidi="ar-KW"/>
        </w:rPr>
        <w:t xml:space="preserve"> </w:t>
      </w:r>
    </w:p>
    <w:p w14:paraId="541D3674" w14:textId="794CB495" w:rsidR="00777DCB" w:rsidRPr="00A52585" w:rsidRDefault="0002035C" w:rsidP="0002035C">
      <w:pPr>
        <w:spacing w:before="240" w:after="240"/>
        <w:rPr>
          <w:b/>
          <w:rtl/>
        </w:rPr>
      </w:pPr>
      <w:r w:rsidRPr="00A52585">
        <w:rPr>
          <w:rFonts w:hint="cs"/>
          <w:rtl/>
          <w:lang w:bidi="ar-KW"/>
        </w:rPr>
        <w:t>(</w:t>
      </w:r>
      <w:r w:rsidR="00777DCB" w:rsidRPr="00A52585">
        <w:rPr>
          <w:rFonts w:hint="cs"/>
          <w:rtl/>
          <w:lang w:bidi="ar-KW"/>
        </w:rPr>
        <w:t>ش</w:t>
      </w:r>
      <w:r w:rsidRPr="00A52585">
        <w:rPr>
          <w:rFonts w:hint="cs"/>
          <w:rtl/>
          <w:lang w:bidi="ar-KW"/>
        </w:rPr>
        <w:t>)</w:t>
      </w:r>
      <w:r w:rsidR="00777DCB" w:rsidRPr="00A52585">
        <w:rPr>
          <w:rFonts w:hint="cs"/>
          <w:rtl/>
          <w:lang w:bidi="ar-KW"/>
        </w:rPr>
        <w:t xml:space="preserve"> أقوال طائفة من علماء الأمة في تنزيه الله تعالى عن التغير والأفول وقبول الحوادث كالحركة </w:t>
      </w:r>
      <w:proofErr w:type="spellStart"/>
      <w:r w:rsidR="00777DCB" w:rsidRPr="00A52585">
        <w:rPr>
          <w:rFonts w:hint="cs"/>
          <w:rtl/>
          <w:lang w:bidi="ar-KW"/>
        </w:rPr>
        <w:t>والسكون</w:t>
      </w:r>
      <w:r w:rsidR="00DB731D" w:rsidRPr="00A52585">
        <w:rPr>
          <w:rFonts w:hint="cs"/>
          <w:rtl/>
          <w:lang w:bidi="ar-KW"/>
        </w:rPr>
        <w:t>،</w:t>
      </w:r>
      <w:r w:rsidR="00777DCB" w:rsidRPr="00A52585">
        <w:rPr>
          <w:rFonts w:hint="cs"/>
          <w:rtl/>
          <w:lang w:bidi="ar-KW"/>
        </w:rPr>
        <w:t>قال</w:t>
      </w:r>
      <w:proofErr w:type="spellEnd"/>
      <w:r w:rsidR="00777DCB" w:rsidRPr="00A52585">
        <w:rPr>
          <w:rFonts w:hint="cs"/>
          <w:rtl/>
          <w:lang w:bidi="ar-KW"/>
        </w:rPr>
        <w:t xml:space="preserve"> الحافظ عبد الرحمن بن الجوزي الحنبلي في كتابه "الباز الأشهب" بعد</w:t>
      </w:r>
      <w:r w:rsidR="00777DCB" w:rsidRPr="00A52585">
        <w:rPr>
          <w:rFonts w:hint="cs"/>
          <w:lang w:bidi="ar-KW"/>
        </w:rPr>
        <w:t xml:space="preserve"> </w:t>
      </w:r>
      <w:r w:rsidR="00777DCB" w:rsidRPr="00A52585">
        <w:rPr>
          <w:rFonts w:hint="cs"/>
          <w:rtl/>
          <w:lang w:bidi="ar-KW"/>
        </w:rPr>
        <w:t>ذكر حديث النزول</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يستحيل على الله عزَّ وجلَّ</w:t>
      </w:r>
      <w:r w:rsidR="00777DCB" w:rsidRPr="00A52585">
        <w:rPr>
          <w:rFonts w:hint="cs"/>
          <w:lang w:bidi="ar-KW"/>
        </w:rPr>
        <w:t xml:space="preserve"> </w:t>
      </w:r>
      <w:r w:rsidR="00777DCB" w:rsidRPr="00A52585">
        <w:rPr>
          <w:rFonts w:hint="cs"/>
          <w:rtl/>
          <w:lang w:bidi="ar-KW"/>
        </w:rPr>
        <w:t>الحركة والنـقلة والتـغـيـيـر، وواجب على الخلق اعتقاد التـنـزيه وامتـناع تجويز</w:t>
      </w:r>
      <w:r w:rsidR="00777DCB" w:rsidRPr="00A52585">
        <w:rPr>
          <w:rFonts w:hint="cs"/>
          <w:lang w:bidi="ar-KW"/>
        </w:rPr>
        <w:t xml:space="preserve"> </w:t>
      </w:r>
      <w:r w:rsidR="00777DCB" w:rsidRPr="00A52585">
        <w:rPr>
          <w:rFonts w:hint="cs"/>
          <w:rtl/>
          <w:lang w:bidi="ar-KW"/>
        </w:rPr>
        <w:t>النـقلة وأن النزول الذي هو انتقال من مكان إلى مكان يفـتـقر إلى ثلاثة أجسام جسم</w:t>
      </w:r>
      <w:r w:rsidR="00777DCB" w:rsidRPr="00A52585">
        <w:rPr>
          <w:rFonts w:hint="cs"/>
          <w:lang w:bidi="ar-KW"/>
        </w:rPr>
        <w:t xml:space="preserve"> </w:t>
      </w:r>
      <w:r w:rsidR="00777DCB" w:rsidRPr="00A52585">
        <w:rPr>
          <w:rFonts w:hint="cs"/>
          <w:rtl/>
          <w:lang w:bidi="ar-KW"/>
        </w:rPr>
        <w:t>عال وهو مكان الساكن وجسم سافل وجسم ينـتـقل من علو إلى أسفل وهذا لا يجوز على الله</w:t>
      </w:r>
      <w:r w:rsidR="00777DCB" w:rsidRPr="00A52585">
        <w:rPr>
          <w:rFonts w:hint="cs"/>
          <w:lang w:bidi="ar-KW"/>
        </w:rPr>
        <w:t xml:space="preserve"> </w:t>
      </w:r>
      <w:r w:rsidR="00777DCB" w:rsidRPr="00A52585">
        <w:rPr>
          <w:rFonts w:hint="cs"/>
          <w:rtl/>
          <w:lang w:bidi="ar-KW"/>
        </w:rPr>
        <w:t>قطعاً</w:t>
      </w:r>
      <w:r w:rsidR="00DB731D" w:rsidRPr="00A52585">
        <w:rPr>
          <w:rFonts w:hint="cs"/>
          <w:rtl/>
          <w:lang w:bidi="ar-KW"/>
        </w:rPr>
        <w:t>،</w:t>
      </w:r>
      <w:r w:rsidR="00777DCB" w:rsidRPr="00A52585">
        <w:rPr>
          <w:rFonts w:hint="cs"/>
          <w:rtl/>
        </w:rPr>
        <w:t xml:space="preserve"> وقال الحافظ بن </w:t>
      </w:r>
      <w:r w:rsidR="00777DCB" w:rsidRPr="00A52585">
        <w:rPr>
          <w:rFonts w:hint="cs"/>
          <w:rtl/>
          <w:lang w:bidi="ar-KW"/>
        </w:rPr>
        <w:t>عبد البر</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lang w:bidi="ar-KW"/>
        </w:rPr>
        <w:t xml:space="preserve">قد قال الله عز وجل وجاء ربك والملك صفا </w:t>
      </w:r>
      <w:proofErr w:type="spellStart"/>
      <w:r w:rsidR="00777DCB" w:rsidRPr="00A52585">
        <w:rPr>
          <w:rFonts w:hint="cs"/>
          <w:rtl/>
          <w:lang w:bidi="ar-KW"/>
        </w:rPr>
        <w:t>صفا</w:t>
      </w:r>
      <w:proofErr w:type="spellEnd"/>
      <w:r w:rsidR="00777DCB" w:rsidRPr="00A52585">
        <w:rPr>
          <w:rFonts w:hint="cs"/>
          <w:rtl/>
          <w:lang w:bidi="ar-KW"/>
        </w:rPr>
        <w:t xml:space="preserve"> وليس مجيئه حركة ولا زوالا ولا انتقالا لأن ذلك إنما يكون إذا كان </w:t>
      </w:r>
      <w:proofErr w:type="spellStart"/>
      <w:r w:rsidR="00777DCB" w:rsidRPr="00A52585">
        <w:rPr>
          <w:rFonts w:hint="cs"/>
          <w:rtl/>
          <w:lang w:bidi="ar-KW"/>
        </w:rPr>
        <w:t>الجائي</w:t>
      </w:r>
      <w:proofErr w:type="spellEnd"/>
      <w:r w:rsidR="00777DCB" w:rsidRPr="00A52585">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sidRPr="00A52585">
        <w:rPr>
          <w:rFonts w:hint="cs"/>
          <w:rtl/>
          <w:lang w:bidi="ar-KW"/>
        </w:rPr>
        <w:t>)</w:t>
      </w:r>
      <w:r w:rsidR="00777DCB" w:rsidRPr="00A52585">
        <w:rPr>
          <w:rFonts w:hint="cs"/>
          <w:rtl/>
        </w:rPr>
        <w:t xml:space="preserve"> </w:t>
      </w:r>
      <w:r w:rsidRPr="00A52585">
        <w:rPr>
          <w:rFonts w:hint="cs"/>
          <w:rtl/>
        </w:rPr>
        <w:t>[</w:t>
      </w:r>
      <w:r w:rsidR="00777DCB" w:rsidRPr="00A52585">
        <w:rPr>
          <w:rFonts w:hint="cs"/>
          <w:rtl/>
          <w:lang w:bidi="ar-KW"/>
        </w:rPr>
        <w:t>التمهيد لابن عبد البر ج: 7 ص: 137</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00777DCB" w:rsidRPr="00A52585">
        <w:rPr>
          <w:rFonts w:hint="cs"/>
          <w:rtl/>
        </w:rPr>
        <w:t>وقال ابن حزم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الحركة والسكون مدة , والمدة زمان وقد بينا فيما خلا من كتابنا</w:t>
      </w:r>
      <w:r w:rsidR="00777DCB" w:rsidRPr="00A52585">
        <w:rPr>
          <w:rFonts w:hint="cs"/>
        </w:rPr>
        <w:t xml:space="preserve"> </w:t>
      </w:r>
      <w:r w:rsidR="00777DCB" w:rsidRPr="00A52585">
        <w:rPr>
          <w:rFonts w:hint="cs"/>
          <w:rtl/>
        </w:rPr>
        <w:t>أن الزمان محدث</w:t>
      </w:r>
      <w:r w:rsidR="00DB731D" w:rsidRPr="00A52585">
        <w:rPr>
          <w:rFonts w:hint="cs"/>
          <w:rtl/>
        </w:rPr>
        <w:t>،</w:t>
      </w:r>
      <w:r w:rsidR="00777DCB" w:rsidRPr="00A52585">
        <w:rPr>
          <w:rFonts w:hint="cs"/>
          <w:rtl/>
        </w:rPr>
        <w:t xml:space="preserve"> فالحركة محدثة ,كذلك السكون والباري تعالى لا يلحقه الحدث ,</w:t>
      </w:r>
      <w:r w:rsidR="00777DCB" w:rsidRPr="00A52585">
        <w:rPr>
          <w:rFonts w:hint="cs"/>
        </w:rPr>
        <w:t xml:space="preserve"> </w:t>
      </w:r>
      <w:r w:rsidR="00777DCB" w:rsidRPr="00A52585">
        <w:rPr>
          <w:rFonts w:hint="cs"/>
          <w:rtl/>
        </w:rPr>
        <w:t>إذ لو كان حدثا لكان من ثان , فالباري تعالى غير متحرك ولا ساكن</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الفصل في الملل والنحل ج</w:t>
      </w:r>
      <w:r w:rsidRPr="00A52585">
        <w:rPr>
          <w:rFonts w:hint="cs"/>
          <w:rtl/>
        </w:rPr>
        <w:t>:</w:t>
      </w:r>
      <w:r w:rsidR="00777DCB" w:rsidRPr="00A52585">
        <w:rPr>
          <w:rFonts w:hint="cs"/>
          <w:rtl/>
        </w:rPr>
        <w:t xml:space="preserve"> 2 صـ</w:t>
      </w:r>
      <w:r w:rsidRPr="00A52585">
        <w:rPr>
          <w:rFonts w:hint="cs"/>
          <w:rtl/>
        </w:rPr>
        <w:t xml:space="preserve"> </w:t>
      </w:r>
      <w:r w:rsidR="00777DCB" w:rsidRPr="00A52585">
        <w:rPr>
          <w:rFonts w:hint="cs"/>
          <w:rtl/>
        </w:rPr>
        <w:t>280</w:t>
      </w:r>
      <w:r w:rsidRPr="00A52585">
        <w:rPr>
          <w:rFonts w:hint="cs"/>
          <w:rtl/>
        </w:rPr>
        <w:t>]</w:t>
      </w:r>
      <w:r w:rsidR="00DB731D" w:rsidRPr="00A52585">
        <w:rPr>
          <w:rFonts w:hint="cs"/>
          <w:rtl/>
        </w:rPr>
        <w:t>،</w:t>
      </w:r>
      <w:r w:rsidR="00777DCB" w:rsidRPr="00A52585">
        <w:rPr>
          <w:rFonts w:hint="cs"/>
          <w:rtl/>
        </w:rPr>
        <w:t xml:space="preserve"> وقال أيضاً - وإني لأتعجب كيف يكون هذا الظاهري اليابس في علم الفقه على هذا العلم بالعقليات -</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أما من قال أن الحركات أجسام فخطأ لأن</w:t>
      </w:r>
      <w:r w:rsidRPr="00A52585">
        <w:rPr>
          <w:rFonts w:hint="cs"/>
          <w:rtl/>
        </w:rPr>
        <w:t xml:space="preserve"> </w:t>
      </w:r>
      <w:r w:rsidR="00777DCB" w:rsidRPr="00A52585">
        <w:rPr>
          <w:rFonts w:hint="cs"/>
          <w:rtl/>
        </w:rPr>
        <w:t>الجسم في اللغة موضوع للطويل العريض العميق ذي المساحة وليست الحركة كذلك فليست</w:t>
      </w:r>
      <w:r w:rsidRPr="00A52585">
        <w:rPr>
          <w:rFonts w:hint="cs"/>
          <w:rtl/>
        </w:rPr>
        <w:t xml:space="preserve"> </w:t>
      </w:r>
      <w:r w:rsidR="00777DCB" w:rsidRPr="00A52585">
        <w:rPr>
          <w:rFonts w:hint="cs"/>
          <w:rtl/>
        </w:rPr>
        <w:t>جسما</w:t>
      </w:r>
      <w:r w:rsidRPr="00A52585">
        <w:rPr>
          <w:rFonts w:hint="cs"/>
          <w:rtl/>
        </w:rPr>
        <w:t xml:space="preserve"> </w:t>
      </w:r>
      <w:r w:rsidR="00777DCB" w:rsidRPr="00A52585">
        <w:rPr>
          <w:rFonts w:hint="cs"/>
          <w:rtl/>
        </w:rPr>
        <w:t>ولا يجوز أن يوقع عليها اسم</w:t>
      </w:r>
      <w:r w:rsidRPr="00A52585">
        <w:rPr>
          <w:rFonts w:hint="cs"/>
          <w:rtl/>
        </w:rPr>
        <w:t xml:space="preserve"> </w:t>
      </w:r>
      <w:r w:rsidR="00777DCB" w:rsidRPr="00A52585">
        <w:rPr>
          <w:rFonts w:hint="cs"/>
          <w:rtl/>
        </w:rPr>
        <w:t>جسم</w:t>
      </w:r>
      <w:r w:rsidRPr="00A52585">
        <w:rPr>
          <w:rFonts w:hint="cs"/>
          <w:rtl/>
        </w:rPr>
        <w:t xml:space="preserve"> </w:t>
      </w:r>
      <w:r w:rsidR="00777DCB" w:rsidRPr="00A52585">
        <w:rPr>
          <w:rFonts w:hint="cs"/>
          <w:rtl/>
        </w:rPr>
        <w:t>إذ لم يأت ذلك في اللغة ولا في الشريعة ولا أوجبه دليل وأوضح أنها ليست</w:t>
      </w:r>
      <w:r w:rsidRPr="00A52585">
        <w:rPr>
          <w:rFonts w:hint="cs"/>
          <w:rtl/>
        </w:rPr>
        <w:t xml:space="preserve"> </w:t>
      </w:r>
      <w:r w:rsidR="00777DCB" w:rsidRPr="00A52585">
        <w:rPr>
          <w:rFonts w:hint="cs"/>
          <w:rtl/>
        </w:rPr>
        <w:t>جسما</w:t>
      </w:r>
      <w:r w:rsidRPr="00A52585">
        <w:rPr>
          <w:rFonts w:hint="cs"/>
          <w:rtl/>
        </w:rPr>
        <w:t xml:space="preserve"> </w:t>
      </w:r>
      <w:r w:rsidR="00777DCB" w:rsidRPr="00A52585">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sidRPr="00A52585">
        <w:rPr>
          <w:rFonts w:hint="cs"/>
          <w:rtl/>
        </w:rPr>
        <w:t xml:space="preserve"> </w:t>
      </w:r>
      <w:r w:rsidR="00777DCB" w:rsidRPr="00A52585">
        <w:rPr>
          <w:rFonts w:hint="cs"/>
          <w:rtl/>
        </w:rPr>
        <w:t>الجسم</w:t>
      </w:r>
      <w:r w:rsidRPr="00A52585">
        <w:rPr>
          <w:rFonts w:hint="cs"/>
          <w:rtl/>
        </w:rPr>
        <w:t xml:space="preserve"> </w:t>
      </w:r>
      <w:r w:rsidR="00777DCB" w:rsidRPr="00A52585">
        <w:rPr>
          <w:rFonts w:hint="cs"/>
          <w:rtl/>
        </w:rPr>
        <w:t xml:space="preserve">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w:t>
      </w:r>
      <w:proofErr w:type="spellStart"/>
      <w:r w:rsidR="00777DCB" w:rsidRPr="00A52585">
        <w:rPr>
          <w:rFonts w:hint="cs"/>
          <w:rtl/>
        </w:rPr>
        <w:t>بملاقات</w:t>
      </w:r>
      <w:proofErr w:type="spellEnd"/>
      <w:r w:rsidR="00777DCB" w:rsidRPr="00A52585">
        <w:rPr>
          <w:rFonts w:hint="cs"/>
          <w:rtl/>
        </w:rPr>
        <w:t xml:space="preserve"> فإنه منتقل وهو هبوب الرياح وكذلك أيضا علمنا </w:t>
      </w:r>
      <w:r w:rsidR="00777DCB" w:rsidRPr="00A52585">
        <w:rPr>
          <w:rFonts w:hint="cs"/>
          <w:rtl/>
        </w:rPr>
        <w:lastRenderedPageBreak/>
        <w:t xml:space="preserve">حركة الصوت بإحساسنا الصوت يأتي من مكان ما إلى مكان ما ن وكذلك القول في الحركة في المشموم من الطيب والنتن وحركة </w:t>
      </w:r>
      <w:proofErr w:type="spellStart"/>
      <w:r w:rsidR="00777DCB" w:rsidRPr="00A52585">
        <w:rPr>
          <w:rFonts w:hint="cs"/>
          <w:rtl/>
        </w:rPr>
        <w:t>المذوق</w:t>
      </w:r>
      <w:proofErr w:type="spellEnd"/>
      <w:r w:rsidR="00777DCB" w:rsidRPr="00A52585">
        <w:rPr>
          <w:rFonts w:hint="cs"/>
          <w:rtl/>
        </w:rPr>
        <w:t xml:space="preserve">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sidRPr="00A52585">
        <w:rPr>
          <w:rFonts w:hint="cs"/>
          <w:rtl/>
        </w:rPr>
        <w:t xml:space="preserve"> </w:t>
      </w:r>
      <w:r w:rsidR="00777DCB" w:rsidRPr="00A52585">
        <w:rPr>
          <w:rFonts w:hint="cs"/>
          <w:rtl/>
        </w:rPr>
        <w:t>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sidRPr="00A52585">
        <w:rPr>
          <w:rFonts w:hint="cs"/>
          <w:rtl/>
        </w:rPr>
        <w:t>)</w:t>
      </w:r>
      <w:r w:rsidR="00777DCB" w:rsidRPr="00A52585">
        <w:rPr>
          <w:rFonts w:hint="cs"/>
          <w:rtl/>
        </w:rPr>
        <w:t xml:space="preserve"> أهـ [الفصل في الملل ج: 5 ص: 37</w:t>
      </w:r>
      <w:r w:rsidRPr="00A52585">
        <w:rPr>
          <w:rFonts w:hint="cs"/>
          <w:rtl/>
        </w:rPr>
        <w:t>]</w:t>
      </w:r>
      <w:r w:rsidR="00DB731D" w:rsidRPr="00A52585">
        <w:rPr>
          <w:rFonts w:hint="cs"/>
          <w:rtl/>
        </w:rPr>
        <w:t>،</w:t>
      </w:r>
      <w:r w:rsidR="00777DCB" w:rsidRPr="00A52585">
        <w:rPr>
          <w:rFonts w:hint="cs"/>
          <w:rtl/>
        </w:rPr>
        <w:t xml:space="preserve"> وقال </w:t>
      </w:r>
      <w:proofErr w:type="spellStart"/>
      <w:r w:rsidR="00777DCB" w:rsidRPr="00A52585">
        <w:rPr>
          <w:rFonts w:hint="cs"/>
          <w:rtl/>
        </w:rPr>
        <w:t>القسطلاني</w:t>
      </w:r>
      <w:proofErr w:type="spellEnd"/>
      <w:r w:rsidR="00777DCB" w:rsidRPr="00A52585">
        <w:rPr>
          <w:rFonts w:hint="cs"/>
          <w:rtl/>
        </w:rPr>
        <w:t xml:space="preserve"> في ارشاد الساري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((أتاني يمشي هرولة</w:t>
      </w:r>
      <w:r w:rsidRPr="00A52585">
        <w:rPr>
          <w:rFonts w:hint="cs"/>
          <w:rtl/>
        </w:rPr>
        <w:t>)</w:t>
      </w:r>
      <w:r w:rsidR="00777DCB" w:rsidRPr="00A52585">
        <w:rPr>
          <w:rFonts w:hint="cs"/>
          <w:rtl/>
        </w:rPr>
        <w:t>) إسراعا يعني من تقرب إلى بطاعة قليلة جازيته بمثوبة كثيرة</w:t>
      </w:r>
      <w:r w:rsidR="00DB731D" w:rsidRPr="00A52585">
        <w:rPr>
          <w:rFonts w:hint="cs"/>
          <w:rtl/>
        </w:rPr>
        <w:t>،</w:t>
      </w:r>
      <w:r w:rsidR="00777DCB" w:rsidRPr="00A52585">
        <w:rPr>
          <w:rFonts w:hint="cs"/>
          <w:rtl/>
        </w:rPr>
        <w:t xml:space="preserve"> وكلما زاد في الطاعة زدت في ثوابه</w:t>
      </w:r>
      <w:r w:rsidR="00DB731D" w:rsidRPr="00A52585">
        <w:rPr>
          <w:rFonts w:hint="cs"/>
          <w:rtl/>
        </w:rPr>
        <w:t>،</w:t>
      </w:r>
      <w:r w:rsidR="00777DCB" w:rsidRPr="00A52585">
        <w:rPr>
          <w:rFonts w:hint="cs"/>
          <w:rtl/>
        </w:rPr>
        <w:t xml:space="preserve"> وإن كان كيفية إتيانه بالطاعة على التأني فإتياني بالثواب له على السرعة والتقرب</w:t>
      </w:r>
      <w:r w:rsidR="00DB731D" w:rsidRPr="00A52585">
        <w:rPr>
          <w:rFonts w:hint="cs"/>
          <w:rtl/>
        </w:rPr>
        <w:t>،</w:t>
      </w:r>
      <w:r w:rsidR="00777DCB" w:rsidRPr="00A52585">
        <w:rPr>
          <w:rFonts w:hint="cs"/>
          <w:rtl/>
        </w:rPr>
        <w:t xml:space="preserve"> والهرولة مجاز على سبيل المشاكلة أو قصد إرادة لوازمها</w:t>
      </w:r>
      <w:r w:rsidR="00DB731D" w:rsidRPr="00A52585">
        <w:rPr>
          <w:rFonts w:hint="cs"/>
          <w:rtl/>
        </w:rPr>
        <w:t>،</w:t>
      </w:r>
      <w:r w:rsidR="00777DCB" w:rsidRPr="00A52585">
        <w:rPr>
          <w:rFonts w:hint="cs"/>
          <w:rtl/>
        </w:rPr>
        <w:t xml:space="preserve"> وإلا فهذه الاطلاقات وأشباهها لا يجوز إطلاقها على الله تعالى إلا على المجاز لاستحالتها عليه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إرشاد</w:t>
      </w:r>
      <w:r w:rsidR="00777DCB" w:rsidRPr="00A52585">
        <w:rPr>
          <w:rFonts w:hint="cs"/>
        </w:rPr>
        <w:t xml:space="preserve"> </w:t>
      </w:r>
      <w:r w:rsidR="00777DCB" w:rsidRPr="00A52585">
        <w:rPr>
          <w:rFonts w:hint="cs"/>
          <w:rtl/>
        </w:rPr>
        <w:t>الساري ج 15</w:t>
      </w:r>
      <w:r w:rsidR="00DB731D" w:rsidRPr="00A52585">
        <w:rPr>
          <w:rFonts w:hint="cs"/>
          <w:rtl/>
        </w:rPr>
        <w:t>،</w:t>
      </w:r>
      <w:r w:rsidR="00777DCB" w:rsidRPr="00A52585">
        <w:rPr>
          <w:rFonts w:hint="cs"/>
          <w:rtl/>
        </w:rPr>
        <w:t xml:space="preserve"> صـ 370</w:t>
      </w:r>
      <w:r w:rsidRPr="00A52585">
        <w:rPr>
          <w:rFonts w:hint="cs"/>
          <w:rtl/>
        </w:rPr>
        <w:t>]</w:t>
      </w:r>
      <w:r w:rsidR="00DB731D" w:rsidRPr="00A52585">
        <w:rPr>
          <w:rFonts w:hint="cs"/>
          <w:rtl/>
        </w:rPr>
        <w:t>،</w:t>
      </w:r>
      <w:r w:rsidR="00777DCB" w:rsidRPr="00A52585">
        <w:rPr>
          <w:rFonts w:hint="cs"/>
          <w:rtl/>
        </w:rPr>
        <w:t xml:space="preserve"> وجاء في إكمال المعلم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قوله صلى الله عليه وسلم</w:t>
      </w:r>
      <w:r w:rsidRPr="00A52585">
        <w:rPr>
          <w:rFonts w:hint="cs"/>
          <w:rtl/>
        </w:rPr>
        <w:t>:</w:t>
      </w:r>
      <w:r w:rsidR="00777DCB" w:rsidRPr="00A52585">
        <w:rPr>
          <w:rFonts w:hint="cs"/>
          <w:rtl/>
        </w:rPr>
        <w:t xml:space="preserve"> 0</w:t>
      </w:r>
      <w:r w:rsidRPr="00A52585">
        <w:rPr>
          <w:rFonts w:hint="cs"/>
          <w:rtl/>
        </w:rPr>
        <w:t>(</w:t>
      </w:r>
      <w:r w:rsidR="00777DCB" w:rsidRPr="00A52585">
        <w:rPr>
          <w:rFonts w:hint="cs"/>
          <w:rtl/>
        </w:rPr>
        <w:t>يضحك الله إلى رجلين يقتل أحدهما الآخر كلاهما يدخل الجنة يقاتل في سبيل الله</w:t>
      </w:r>
      <w:r w:rsidR="00897A24" w:rsidRPr="00A52585">
        <w:rPr>
          <w:rFonts w:hint="cs"/>
          <w:rtl/>
        </w:rPr>
        <w:t>.</w:t>
      </w:r>
      <w:r w:rsidR="00777DCB" w:rsidRPr="00A52585">
        <w:rPr>
          <w:rFonts w:hint="cs"/>
          <w:rtl/>
        </w:rPr>
        <w:t>..</w:t>
      </w:r>
      <w:r w:rsidRPr="00A52585">
        <w:rPr>
          <w:rFonts w:hint="cs"/>
          <w:rtl/>
        </w:rPr>
        <w:t>)</w:t>
      </w:r>
      <w:r w:rsidR="00777DCB" w:rsidRPr="00A52585">
        <w:rPr>
          <w:rFonts w:hint="cs"/>
          <w:rtl/>
        </w:rPr>
        <w:t xml:space="preserve">) </w:t>
      </w:r>
      <w:r w:rsidR="00777DCB" w:rsidRPr="00A52585">
        <w:rPr>
          <w:rFonts w:hint="cs"/>
          <w:bCs/>
          <w:rtl/>
        </w:rPr>
        <w:t>قال القاضي عياض</w:t>
      </w:r>
      <w:r w:rsidRPr="00A52585">
        <w:rPr>
          <w:rFonts w:hint="cs"/>
          <w:rtl/>
        </w:rPr>
        <w:t>:</w:t>
      </w:r>
      <w:r w:rsidR="00777DCB" w:rsidRPr="00A52585">
        <w:rPr>
          <w:rFonts w:hint="cs"/>
          <w:rtl/>
        </w:rPr>
        <w:t xml:space="preserve"> الضحك هنا استعارة في حق الله</w:t>
      </w:r>
      <w:r w:rsidR="00DB731D" w:rsidRPr="00A52585">
        <w:rPr>
          <w:rFonts w:hint="cs"/>
          <w:rtl/>
        </w:rPr>
        <w:t>،</w:t>
      </w:r>
      <w:r w:rsidR="00777DCB" w:rsidRPr="00A52585">
        <w:rPr>
          <w:rFonts w:hint="cs"/>
          <w:rtl/>
        </w:rPr>
        <w:t xml:space="preserve"> ولا يجوز عليه الضحك المعلوم لأنه إنما يصح من الأجسام وممن يجوز عليه تغير الحالات</w:t>
      </w:r>
      <w:r w:rsidR="00DB731D" w:rsidRPr="00A52585">
        <w:rPr>
          <w:rFonts w:hint="cs"/>
          <w:rtl/>
        </w:rPr>
        <w:t>،</w:t>
      </w:r>
      <w:r w:rsidR="00777DCB" w:rsidRPr="00A52585">
        <w:rPr>
          <w:rFonts w:hint="cs"/>
          <w:rtl/>
        </w:rPr>
        <w:t xml:space="preserve"> والله منزه عن ذلك وإنما يرجع إلى الرضا بفعلهما والثواب عليه والإحسان إليهما أو حمد فعلهما ومحبته</w:t>
      </w:r>
      <w:r w:rsidR="00DB731D" w:rsidRPr="00A52585">
        <w:rPr>
          <w:rFonts w:hint="cs"/>
          <w:rtl/>
        </w:rPr>
        <w:t>،</w:t>
      </w:r>
      <w:r w:rsidR="00777DCB" w:rsidRPr="00A52585">
        <w:rPr>
          <w:rFonts w:hint="cs"/>
          <w:rtl/>
        </w:rPr>
        <w:t xml:space="preserve"> وتلقى رسل الله لهما بذلك لأن الضحك إنما يكون من أحدهما عند موافقة ما يراه وسروره به</w:t>
      </w:r>
      <w:r w:rsidR="00DB731D" w:rsidRPr="00A52585">
        <w:rPr>
          <w:rFonts w:hint="cs"/>
          <w:rtl/>
        </w:rPr>
        <w:t>،</w:t>
      </w:r>
      <w:r w:rsidR="00777DCB" w:rsidRPr="00A52585">
        <w:rPr>
          <w:rFonts w:hint="cs"/>
          <w:rtl/>
        </w:rPr>
        <w:t xml:space="preserve"> وبره لمن </w:t>
      </w:r>
      <w:proofErr w:type="spellStart"/>
      <w:r w:rsidR="00777DCB" w:rsidRPr="00A52585">
        <w:rPr>
          <w:rFonts w:hint="cs"/>
          <w:rtl/>
        </w:rPr>
        <w:t>يلقاه</w:t>
      </w:r>
      <w:r w:rsidR="00897A24" w:rsidRPr="00A52585">
        <w:rPr>
          <w:rFonts w:hint="cs"/>
          <w:rtl/>
        </w:rPr>
        <w:t>.</w:t>
      </w:r>
      <w:r w:rsidR="00777DCB" w:rsidRPr="00A52585">
        <w:rPr>
          <w:rFonts w:hint="cs"/>
          <w:rtl/>
        </w:rPr>
        <w:t>وقد</w:t>
      </w:r>
      <w:proofErr w:type="spellEnd"/>
      <w:r w:rsidR="00777DCB" w:rsidRPr="00A52585">
        <w:rPr>
          <w:rFonts w:hint="cs"/>
          <w:rtl/>
        </w:rPr>
        <w:t xml:space="preserve"> يكون الضحك هنا على وجهه المعلوم والمراد به ملائكة الله ورسله الذين يوجههم للقائه</w:t>
      </w:r>
      <w:r w:rsidR="00DB731D" w:rsidRPr="00A52585">
        <w:rPr>
          <w:rFonts w:hint="cs"/>
          <w:rtl/>
        </w:rPr>
        <w:t>،</w:t>
      </w:r>
      <w:r w:rsidR="00777DCB" w:rsidRPr="00A52585">
        <w:rPr>
          <w:rFonts w:hint="cs"/>
          <w:rtl/>
        </w:rPr>
        <w:t xml:space="preserve"> وقبض روحه وإدخاله الجنة كما يقال نادي الأمير في البلد وقتل السلطان فلانا وحاله وأمره</w:t>
      </w:r>
      <w:r w:rsidRPr="00A52585">
        <w:rPr>
          <w:rFonts w:hint="cs"/>
          <w:rtl/>
        </w:rPr>
        <w:t>)</w:t>
      </w:r>
      <w:r w:rsidR="00777DCB" w:rsidRPr="00A52585">
        <w:rPr>
          <w:rFonts w:hint="cs"/>
          <w:rtl/>
        </w:rPr>
        <w:t xml:space="preserve"> أهـ [إكمال المعلم ج6ص312</w:t>
      </w:r>
      <w:r w:rsidRPr="00A52585">
        <w:rPr>
          <w:rFonts w:hint="cs"/>
          <w:rtl/>
        </w:rPr>
        <w:t>]</w:t>
      </w:r>
      <w:r w:rsidR="00DB731D" w:rsidRPr="00A52585">
        <w:rPr>
          <w:rFonts w:hint="cs"/>
          <w:rtl/>
        </w:rPr>
        <w:t>،</w:t>
      </w:r>
      <w:r w:rsidR="00777DCB" w:rsidRPr="00A52585">
        <w:rPr>
          <w:rFonts w:hint="cs"/>
          <w:rtl/>
        </w:rPr>
        <w:t xml:space="preserve"> وقال النووي نفس كلام القاضي في كتاب </w:t>
      </w:r>
      <w:r w:rsidR="00777DCB" w:rsidRPr="00A52585">
        <w:rPr>
          <w:rFonts w:hint="cs"/>
          <w:rtl/>
        </w:rPr>
        <w:lastRenderedPageBreak/>
        <w:t>الإمارة باب الرجلين يقتل أحدهما الآخر في شرح</w:t>
      </w:r>
      <w:r w:rsidR="00777DCB" w:rsidRPr="00A52585">
        <w:rPr>
          <w:rFonts w:hint="cs"/>
        </w:rPr>
        <w:t xml:space="preserve"> </w:t>
      </w:r>
      <w:r w:rsidR="00777DCB" w:rsidRPr="00A52585">
        <w:rPr>
          <w:rFonts w:hint="cs"/>
          <w:rtl/>
        </w:rPr>
        <w:t xml:space="preserve">صحيح مسلم </w:t>
      </w:r>
      <w:r w:rsidRPr="00A52585">
        <w:rPr>
          <w:rFonts w:hint="cs"/>
          <w:rtl/>
        </w:rPr>
        <w:t>[</w:t>
      </w:r>
      <w:r w:rsidR="00777DCB" w:rsidRPr="00A52585">
        <w:rPr>
          <w:rFonts w:hint="cs"/>
          <w:rtl/>
        </w:rPr>
        <w:t>ج13ص36</w:t>
      </w:r>
      <w:r w:rsidRPr="00A52585">
        <w:rPr>
          <w:rFonts w:hint="cs"/>
          <w:rtl/>
        </w:rPr>
        <w:t>]</w:t>
      </w:r>
      <w:r w:rsidR="00DB731D" w:rsidRPr="00A52585">
        <w:rPr>
          <w:rFonts w:hint="cs"/>
          <w:rtl/>
        </w:rPr>
        <w:t>،</w:t>
      </w:r>
      <w:r w:rsidR="00777DCB" w:rsidRPr="00A52585">
        <w:rPr>
          <w:rFonts w:hint="cs"/>
          <w:rtl/>
        </w:rPr>
        <w:t xml:space="preserve"> ومثله قاله القرطبي في </w:t>
      </w:r>
      <w:proofErr w:type="spellStart"/>
      <w:r w:rsidR="00777DCB" w:rsidRPr="00A52585">
        <w:rPr>
          <w:rFonts w:hint="cs"/>
          <w:rtl/>
        </w:rPr>
        <w:t>المفهم</w:t>
      </w:r>
      <w:proofErr w:type="spellEnd"/>
      <w:r w:rsidR="00777DCB" w:rsidRPr="00A52585">
        <w:rPr>
          <w:rFonts w:hint="cs"/>
          <w:rtl/>
        </w:rPr>
        <w:t xml:space="preserve"> </w:t>
      </w:r>
      <w:r w:rsidRPr="00A52585">
        <w:rPr>
          <w:rFonts w:hint="cs"/>
          <w:rtl/>
        </w:rPr>
        <w:t>[</w:t>
      </w:r>
      <w:r w:rsidR="00777DCB" w:rsidRPr="00A52585">
        <w:rPr>
          <w:rFonts w:hint="cs"/>
          <w:rtl/>
        </w:rPr>
        <w:t>ج3ص724</w:t>
      </w:r>
      <w:r w:rsidRPr="00A52585">
        <w:rPr>
          <w:rFonts w:hint="cs"/>
          <w:rtl/>
        </w:rPr>
        <w:t>]</w:t>
      </w:r>
      <w:r w:rsidR="00DB731D" w:rsidRPr="00A52585">
        <w:rPr>
          <w:rFonts w:hint="cs"/>
          <w:rtl/>
        </w:rPr>
        <w:t>،</w:t>
      </w:r>
      <w:r w:rsidR="00777DCB" w:rsidRPr="00A52585">
        <w:rPr>
          <w:rFonts w:hint="cs"/>
          <w:rtl/>
        </w:rPr>
        <w:t xml:space="preserve"> ومثله قال الأبي في شرح مسلم </w:t>
      </w:r>
      <w:r w:rsidRPr="00A52585">
        <w:rPr>
          <w:rFonts w:hint="cs"/>
          <w:rtl/>
        </w:rPr>
        <w:t>[</w:t>
      </w:r>
      <w:r w:rsidR="00777DCB" w:rsidRPr="00A52585">
        <w:rPr>
          <w:rFonts w:hint="cs"/>
          <w:rtl/>
        </w:rPr>
        <w:t>الأبي ج6ص362</w:t>
      </w:r>
      <w:r w:rsidRPr="00A52585">
        <w:rPr>
          <w:rFonts w:hint="cs"/>
          <w:rtl/>
        </w:rPr>
        <w:t>]</w:t>
      </w:r>
      <w:r w:rsidR="00DB731D" w:rsidRPr="00A52585">
        <w:rPr>
          <w:rFonts w:hint="cs"/>
          <w:rtl/>
        </w:rPr>
        <w:t>،</w:t>
      </w:r>
      <w:r w:rsidR="00777DCB" w:rsidRPr="00A52585">
        <w:rPr>
          <w:rFonts w:hint="cs"/>
          <w:rtl/>
        </w:rPr>
        <w:t xml:space="preserve"> وقال الأبي في شرح حديث</w:t>
      </w:r>
      <w:r w:rsidR="00777DCB" w:rsidRPr="00A52585">
        <w:rPr>
          <w:rFonts w:hint="cs"/>
        </w:rPr>
        <w:t xml:space="preserve"> </w:t>
      </w:r>
      <w:r w:rsidR="00777DCB" w:rsidRPr="00A52585">
        <w:rPr>
          <w:rFonts w:hint="cs"/>
          <w:rtl/>
        </w:rPr>
        <w:t>(</w:t>
      </w:r>
      <w:r w:rsidRPr="00A52585">
        <w:rPr>
          <w:rFonts w:hint="cs"/>
          <w:rtl/>
        </w:rPr>
        <w:t>(</w:t>
      </w:r>
      <w:r w:rsidR="00777DCB" w:rsidRPr="00A52585">
        <w:rPr>
          <w:rFonts w:hint="cs"/>
          <w:rtl/>
        </w:rPr>
        <w:t>عجب الله عز وجل من قوم يدخلون الجنة</w:t>
      </w:r>
      <w:r w:rsidR="00777DCB" w:rsidRPr="00A52585">
        <w:rPr>
          <w:rFonts w:hint="cs"/>
        </w:rPr>
        <w:t xml:space="preserve"> </w:t>
      </w:r>
      <w:r w:rsidR="00777DCB" w:rsidRPr="00A52585">
        <w:rPr>
          <w:rFonts w:hint="cs"/>
          <w:rtl/>
        </w:rPr>
        <w:t>في السلاسل</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قال الأبي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يصح إسناد التعجب إلى الله تعالى</w:t>
      </w:r>
      <w:r w:rsidR="00DB731D" w:rsidRPr="00A52585">
        <w:rPr>
          <w:rFonts w:hint="cs"/>
          <w:rtl/>
        </w:rPr>
        <w:t>،</w:t>
      </w:r>
      <w:r w:rsidR="00777DCB" w:rsidRPr="00A52585">
        <w:rPr>
          <w:rFonts w:hint="cs"/>
          <w:rtl/>
        </w:rPr>
        <w:t xml:space="preserve"> وما جاء من ذلك مؤول</w:t>
      </w:r>
      <w:r w:rsidR="00DB731D" w:rsidRPr="00A52585">
        <w:rPr>
          <w:rFonts w:hint="cs"/>
          <w:rtl/>
        </w:rPr>
        <w:t>،</w:t>
      </w:r>
      <w:r w:rsidR="00777DCB" w:rsidRPr="00A52585">
        <w:rPr>
          <w:rFonts w:hint="cs"/>
          <w:rtl/>
        </w:rPr>
        <w:t xml:space="preserve"> فالمعنى رضى الله فعلكم</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عظم فعل ذلك عند الله تعالى</w:t>
      </w:r>
      <w:r w:rsidRPr="00A52585">
        <w:rPr>
          <w:rFonts w:hint="cs"/>
          <w:rtl/>
        </w:rPr>
        <w:t>)</w:t>
      </w:r>
      <w:r w:rsidR="00777DCB" w:rsidRPr="00A52585">
        <w:rPr>
          <w:rFonts w:hint="cs"/>
          <w:rtl/>
        </w:rPr>
        <w:t xml:space="preserve"> أهـ </w:t>
      </w:r>
      <w:r w:rsidRPr="00A52585">
        <w:rPr>
          <w:rFonts w:hint="cs"/>
          <w:rtl/>
        </w:rPr>
        <w:t>[</w:t>
      </w:r>
      <w:r w:rsidR="00777DCB" w:rsidRPr="00A52585">
        <w:rPr>
          <w:rFonts w:hint="cs"/>
          <w:rtl/>
        </w:rPr>
        <w:t>الأبي ج7 ص</w:t>
      </w:r>
      <w:r w:rsidRPr="00A52585">
        <w:rPr>
          <w:rFonts w:hint="cs"/>
          <w:rtl/>
        </w:rPr>
        <w:t xml:space="preserve"> </w:t>
      </w:r>
      <w:r w:rsidR="00777DCB" w:rsidRPr="00A52585">
        <w:rPr>
          <w:rFonts w:hint="cs"/>
          <w:rtl/>
        </w:rPr>
        <w:t>183</w:t>
      </w:r>
      <w:r w:rsidRPr="00A52585">
        <w:rPr>
          <w:rFonts w:hint="cs"/>
          <w:rtl/>
        </w:rPr>
        <w:t>]</w:t>
      </w:r>
      <w:r w:rsidR="00DB731D" w:rsidRPr="00A52585">
        <w:rPr>
          <w:rFonts w:hint="cs"/>
          <w:rtl/>
        </w:rPr>
        <w:t>،</w:t>
      </w:r>
      <w:r w:rsidR="00777DCB" w:rsidRPr="00A52585">
        <w:rPr>
          <w:rFonts w:hint="cs"/>
          <w:rtl/>
        </w:rPr>
        <w:t xml:space="preserve"> وبعد فتلك </w:t>
      </w:r>
      <w:proofErr w:type="spellStart"/>
      <w:r w:rsidR="00777DCB" w:rsidRPr="00A52585">
        <w:rPr>
          <w:rFonts w:hint="cs"/>
          <w:rtl/>
        </w:rPr>
        <w:t>تنزيهات</w:t>
      </w:r>
      <w:proofErr w:type="spellEnd"/>
      <w:r w:rsidR="00777DCB" w:rsidRPr="00A52585">
        <w:rPr>
          <w:rFonts w:hint="cs"/>
          <w:rtl/>
        </w:rPr>
        <w:t xml:space="preserve"> من أقوال العلماء في تقديس الله تعالى وتنزيهه عن كل صور التغير والحدوث وقبول الحوادث</w:t>
      </w:r>
      <w:r w:rsidR="00DB731D" w:rsidRPr="00A52585">
        <w:rPr>
          <w:rFonts w:hint="cs"/>
          <w:rtl/>
        </w:rPr>
        <w:t>،</w:t>
      </w:r>
      <w:r w:rsidR="00777DCB" w:rsidRPr="00A52585">
        <w:rPr>
          <w:rFonts w:hint="cs"/>
          <w:rtl/>
        </w:rPr>
        <w:t xml:space="preserve"> ومن لم يجعل الله تعالى له نوراً فما له من نور</w:t>
      </w:r>
      <w:r w:rsidR="00DB731D" w:rsidRPr="00A52585">
        <w:rPr>
          <w:rFonts w:hint="cs"/>
          <w:rtl/>
        </w:rPr>
        <w:t>،</w:t>
      </w:r>
      <w:r w:rsidR="00777DCB" w:rsidRPr="00A52585">
        <w:rPr>
          <w:rFonts w:hint="cs"/>
          <w:rtl/>
        </w:rPr>
        <w:t xml:space="preserve"> </w:t>
      </w:r>
    </w:p>
    <w:p w14:paraId="7FBED75B" w14:textId="77777777" w:rsidR="00777DCB" w:rsidRPr="00A52585" w:rsidRDefault="00777DCB" w:rsidP="0002035C">
      <w:pPr>
        <w:jc w:val="center"/>
        <w:rPr>
          <w:bCs/>
          <w:rtl/>
        </w:rPr>
      </w:pPr>
      <w:r w:rsidRPr="00A52585">
        <w:rPr>
          <w:rFonts w:hint="cs"/>
          <w:bCs/>
          <w:rtl/>
        </w:rPr>
        <w:t>***********</w:t>
      </w:r>
    </w:p>
    <w:p w14:paraId="5758A861" w14:textId="77777777" w:rsidR="00777DCB" w:rsidRPr="00A52585" w:rsidRDefault="00777DCB" w:rsidP="0002035C">
      <w:pPr>
        <w:rPr>
          <w:rtl/>
        </w:rPr>
      </w:pPr>
    </w:p>
    <w:p w14:paraId="7F4087D9" w14:textId="77777777" w:rsidR="00777DCB" w:rsidRPr="00A52585" w:rsidRDefault="00777DCB" w:rsidP="0002035C">
      <w:pPr>
        <w:jc w:val="center"/>
        <w:rPr>
          <w:rtl/>
        </w:rPr>
      </w:pPr>
    </w:p>
    <w:p w14:paraId="69A87E46" w14:textId="77777777" w:rsidR="00777DCB" w:rsidRPr="00A52585" w:rsidRDefault="00777DCB" w:rsidP="0002035C">
      <w:pPr>
        <w:jc w:val="center"/>
        <w:rPr>
          <w:rtl/>
        </w:rPr>
      </w:pPr>
    </w:p>
    <w:p w14:paraId="000139BF" w14:textId="77777777" w:rsidR="00777DCB" w:rsidRPr="00A52585" w:rsidRDefault="00777DCB" w:rsidP="0002035C">
      <w:pPr>
        <w:jc w:val="center"/>
        <w:rPr>
          <w:rtl/>
        </w:rPr>
      </w:pPr>
    </w:p>
    <w:p w14:paraId="4A110098" w14:textId="77777777" w:rsidR="00777DCB" w:rsidRPr="00A52585" w:rsidRDefault="00777DCB" w:rsidP="0002035C">
      <w:pPr>
        <w:jc w:val="center"/>
        <w:rPr>
          <w:rtl/>
        </w:rPr>
      </w:pPr>
    </w:p>
    <w:p w14:paraId="0950A782" w14:textId="77777777" w:rsidR="00777DCB" w:rsidRPr="00A52585" w:rsidRDefault="00777DCB" w:rsidP="0002035C">
      <w:pPr>
        <w:jc w:val="center"/>
        <w:rPr>
          <w:rtl/>
        </w:rPr>
      </w:pPr>
    </w:p>
    <w:p w14:paraId="7636D0DC" w14:textId="77777777" w:rsidR="00777DCB" w:rsidRPr="00A52585" w:rsidRDefault="00777DCB" w:rsidP="0002035C">
      <w:pPr>
        <w:jc w:val="center"/>
        <w:rPr>
          <w:rtl/>
        </w:rPr>
      </w:pPr>
    </w:p>
    <w:p w14:paraId="2FF76F53" w14:textId="77777777" w:rsidR="00777DCB" w:rsidRPr="00A52585" w:rsidRDefault="00777DCB" w:rsidP="0002035C">
      <w:pPr>
        <w:jc w:val="center"/>
        <w:rPr>
          <w:rtl/>
        </w:rPr>
      </w:pPr>
    </w:p>
    <w:p w14:paraId="4276901B" w14:textId="77777777" w:rsidR="00777DCB" w:rsidRPr="00A52585" w:rsidRDefault="00777DCB" w:rsidP="0002035C">
      <w:pPr>
        <w:jc w:val="center"/>
        <w:rPr>
          <w:rtl/>
        </w:rPr>
      </w:pPr>
    </w:p>
    <w:p w14:paraId="59832430" w14:textId="77777777" w:rsidR="00777DCB" w:rsidRPr="00A52585" w:rsidRDefault="00777DCB" w:rsidP="0002035C">
      <w:pPr>
        <w:jc w:val="center"/>
        <w:rPr>
          <w:rtl/>
        </w:rPr>
      </w:pPr>
    </w:p>
    <w:p w14:paraId="1710311D" w14:textId="77777777" w:rsidR="00777DCB" w:rsidRPr="00A52585" w:rsidRDefault="00777DCB" w:rsidP="0002035C">
      <w:pPr>
        <w:jc w:val="center"/>
        <w:rPr>
          <w:rtl/>
        </w:rPr>
      </w:pPr>
    </w:p>
    <w:p w14:paraId="6338D9AF" w14:textId="77777777" w:rsidR="00777DCB" w:rsidRPr="00A52585" w:rsidRDefault="00777DCB" w:rsidP="0002035C">
      <w:pPr>
        <w:jc w:val="center"/>
        <w:rPr>
          <w:rtl/>
        </w:rPr>
      </w:pPr>
    </w:p>
    <w:p w14:paraId="1703F89A" w14:textId="77777777" w:rsidR="00777DCB" w:rsidRPr="00A52585" w:rsidRDefault="00777DCB" w:rsidP="0002035C">
      <w:pPr>
        <w:jc w:val="center"/>
        <w:rPr>
          <w:rtl/>
        </w:rPr>
      </w:pPr>
    </w:p>
    <w:p w14:paraId="289EFBF6" w14:textId="5F8A075B" w:rsidR="00777DCB" w:rsidRPr="00CB4AC8" w:rsidRDefault="00777DCB" w:rsidP="00CB4AC8">
      <w:pPr>
        <w:pStyle w:val="1"/>
        <w:rPr>
          <w:u w:val="none"/>
          <w:lang w:bidi="ar-KW"/>
        </w:rPr>
      </w:pPr>
      <w:r w:rsidRPr="00CB4AC8">
        <w:rPr>
          <w:rFonts w:hint="cs"/>
          <w:u w:val="none"/>
          <w:rtl/>
          <w:lang w:bidi="ar-KW"/>
        </w:rPr>
        <w:lastRenderedPageBreak/>
        <w:t>الباب الثالث</w:t>
      </w:r>
      <w:r w:rsidR="00CB4AC8" w:rsidRPr="00CB4AC8">
        <w:rPr>
          <w:rFonts w:hint="cs"/>
          <w:u w:val="none"/>
          <w:rtl/>
          <w:lang w:bidi="ar-KW"/>
        </w:rPr>
        <w:t xml:space="preserve"> </w:t>
      </w:r>
      <w:r w:rsidRPr="00CB4AC8">
        <w:rPr>
          <w:rFonts w:hint="cs"/>
          <w:u w:val="none"/>
          <w:rtl/>
          <w:lang w:bidi="ar-KW"/>
        </w:rPr>
        <w:t>ملاحق للعلماء في مكافحة التشبيه والتمثيل</w:t>
      </w:r>
    </w:p>
    <w:p w14:paraId="64D55A6C" w14:textId="77777777" w:rsidR="00777DCB" w:rsidRPr="00A52585" w:rsidRDefault="00777DCB" w:rsidP="0002035C">
      <w:pPr>
        <w:rPr>
          <w:rtl/>
        </w:rPr>
      </w:pPr>
    </w:p>
    <w:p w14:paraId="67FABF91" w14:textId="29A13282" w:rsidR="00777DCB" w:rsidRPr="00A52585" w:rsidRDefault="0002035C" w:rsidP="0002035C">
      <w:pPr>
        <w:spacing w:after="240"/>
        <w:rPr>
          <w:rtl/>
        </w:rPr>
      </w:pPr>
      <w:r w:rsidRPr="00A52585">
        <w:rPr>
          <w:rFonts w:hint="cs"/>
          <w:rtl/>
        </w:rPr>
        <w:t>(</w:t>
      </w:r>
      <w:r w:rsidR="00777DCB" w:rsidRPr="00A52585">
        <w:rPr>
          <w:rFonts w:hint="cs"/>
          <w:rtl/>
        </w:rPr>
        <w:t>1</w:t>
      </w:r>
      <w:r w:rsidRPr="00A52585">
        <w:rPr>
          <w:rFonts w:hint="cs"/>
          <w:rtl/>
        </w:rPr>
        <w:t xml:space="preserve">) </w:t>
      </w:r>
      <w:r w:rsidR="00777DCB" w:rsidRPr="00A52585">
        <w:rPr>
          <w:rFonts w:hint="cs"/>
          <w:rtl/>
        </w:rPr>
        <w:t xml:space="preserve">كتاب </w:t>
      </w:r>
      <w:r w:rsidR="00777DCB" w:rsidRPr="00A52585">
        <w:rPr>
          <w:rtl/>
        </w:rPr>
        <w:t xml:space="preserve">دفع شبه التشبيه لابن الجوزي </w:t>
      </w:r>
      <w:r w:rsidR="00777DCB" w:rsidRPr="00A52585">
        <w:rPr>
          <w:rFonts w:hint="cs"/>
          <w:rtl/>
        </w:rPr>
        <w:t xml:space="preserve">مع التحقيق القيم للشيخ </w:t>
      </w:r>
      <w:r w:rsidR="00777DCB" w:rsidRPr="00A52585">
        <w:rPr>
          <w:rtl/>
        </w:rPr>
        <w:t>حسن السقاف</w:t>
      </w:r>
      <w:r w:rsidR="00777DCB" w:rsidRPr="00A52585">
        <w:rPr>
          <w:kern w:val="36"/>
          <w:rtl/>
        </w:rPr>
        <w:t xml:space="preserve"> </w:t>
      </w:r>
    </w:p>
    <w:p w14:paraId="199411D1" w14:textId="5519C12F" w:rsidR="00777DCB" w:rsidRPr="00A52585" w:rsidRDefault="0002035C" w:rsidP="0002035C">
      <w:pPr>
        <w:spacing w:after="240"/>
        <w:rPr>
          <w:rtl/>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كتاب السيف الصقيل في الرد على ابن القيم مع التحقيق القيم للشيخ محمد زاهد الكوثري</w:t>
      </w:r>
    </w:p>
    <w:p w14:paraId="607C473B" w14:textId="3A6A0EFF" w:rsidR="00777DCB" w:rsidRPr="00A52585" w:rsidRDefault="0002035C" w:rsidP="0002035C">
      <w:pPr>
        <w:spacing w:after="240"/>
        <w:rPr>
          <w:rtl/>
        </w:rPr>
      </w:pPr>
      <w:r w:rsidRPr="00A52585">
        <w:rPr>
          <w:rFonts w:hint="cs"/>
          <w:rtl/>
        </w:rPr>
        <w:t>(</w:t>
      </w:r>
      <w:r w:rsidR="00777DCB" w:rsidRPr="00A52585">
        <w:rPr>
          <w:rFonts w:hint="cs"/>
          <w:rtl/>
        </w:rPr>
        <w:t>3</w:t>
      </w:r>
      <w:r w:rsidRPr="00A52585">
        <w:rPr>
          <w:rFonts w:hint="cs"/>
          <w:rtl/>
        </w:rPr>
        <w:t>)</w:t>
      </w:r>
      <w:r w:rsidR="00777DCB" w:rsidRPr="00A52585">
        <w:rPr>
          <w:rFonts w:hint="cs"/>
          <w:rtl/>
        </w:rPr>
        <w:t xml:space="preserve"> كتاب </w:t>
      </w:r>
      <w:r w:rsidR="00777DCB" w:rsidRPr="00A52585">
        <w:rPr>
          <w:rtl/>
        </w:rPr>
        <w:t xml:space="preserve">دفع شبه من شبه وتمرد للإمام تقي الدين </w:t>
      </w:r>
      <w:proofErr w:type="spellStart"/>
      <w:r w:rsidR="00777DCB" w:rsidRPr="00A52585">
        <w:rPr>
          <w:rtl/>
        </w:rPr>
        <w:t>الحصني</w:t>
      </w:r>
      <w:proofErr w:type="spellEnd"/>
      <w:r w:rsidR="00777DCB" w:rsidRPr="00A52585">
        <w:rPr>
          <w:rtl/>
        </w:rPr>
        <w:t xml:space="preserve"> تحقيق الشيخ عبد الواحد مصطفى</w:t>
      </w:r>
    </w:p>
    <w:p w14:paraId="1AC58724" w14:textId="2D677F54" w:rsidR="00777DCB" w:rsidRPr="00A52585" w:rsidRDefault="0002035C" w:rsidP="0002035C">
      <w:pPr>
        <w:spacing w:after="240"/>
        <w:rPr>
          <w:rtl/>
        </w:rPr>
      </w:pPr>
      <w:r w:rsidRPr="00A52585">
        <w:rPr>
          <w:rFonts w:hint="cs"/>
          <w:rtl/>
        </w:rPr>
        <w:t>(</w:t>
      </w:r>
      <w:r w:rsidR="00777DCB" w:rsidRPr="00A52585">
        <w:rPr>
          <w:rFonts w:hint="cs"/>
          <w:rtl/>
        </w:rPr>
        <w:t>4</w:t>
      </w:r>
      <w:r w:rsidRPr="00A52585">
        <w:rPr>
          <w:rFonts w:hint="cs"/>
          <w:rtl/>
        </w:rPr>
        <w:t>)</w:t>
      </w:r>
      <w:r w:rsidR="00777DCB" w:rsidRPr="00A52585">
        <w:rPr>
          <w:rFonts w:hint="cs"/>
          <w:rtl/>
        </w:rPr>
        <w:t xml:space="preserve"> </w:t>
      </w:r>
      <w:r w:rsidR="00777DCB" w:rsidRPr="00A52585">
        <w:rPr>
          <w:rtl/>
        </w:rPr>
        <w:t>المشبهة والمجسمة</w:t>
      </w:r>
      <w:r w:rsidR="00777DCB" w:rsidRPr="00A52585">
        <w:rPr>
          <w:rFonts w:hint="cs"/>
          <w:rtl/>
        </w:rPr>
        <w:t xml:space="preserve"> </w:t>
      </w:r>
      <w:r w:rsidR="00777DCB" w:rsidRPr="00A52585">
        <w:rPr>
          <w:rtl/>
        </w:rPr>
        <w:t xml:space="preserve">العلامة المفسر المحدث </w:t>
      </w:r>
      <w:proofErr w:type="spellStart"/>
      <w:r w:rsidR="00777DCB" w:rsidRPr="00A52585">
        <w:rPr>
          <w:rtl/>
        </w:rPr>
        <w:t>الفقية</w:t>
      </w:r>
      <w:proofErr w:type="spellEnd"/>
      <w:r w:rsidR="00777DCB" w:rsidRPr="00A52585">
        <w:rPr>
          <w:rtl/>
        </w:rPr>
        <w:t xml:space="preserve"> الشيخ عبد الرحمن خليفة</w:t>
      </w:r>
    </w:p>
    <w:p w14:paraId="26DE285A" w14:textId="4CAA8224" w:rsidR="00777DCB" w:rsidRPr="00A52585" w:rsidRDefault="0002035C" w:rsidP="0002035C">
      <w:pPr>
        <w:spacing w:after="240"/>
        <w:rPr>
          <w:rtl/>
        </w:rPr>
      </w:pPr>
      <w:r w:rsidRPr="00A52585">
        <w:rPr>
          <w:rFonts w:hint="cs"/>
          <w:rtl/>
        </w:rPr>
        <w:t>(</w:t>
      </w:r>
      <w:r w:rsidR="00777DCB" w:rsidRPr="00A52585">
        <w:rPr>
          <w:rFonts w:hint="cs"/>
          <w:rtl/>
        </w:rPr>
        <w:t>5</w:t>
      </w:r>
      <w:r w:rsidRPr="00A52585">
        <w:rPr>
          <w:rFonts w:hint="cs"/>
          <w:rtl/>
        </w:rPr>
        <w:t>)</w:t>
      </w:r>
      <w:r w:rsidR="00777DCB" w:rsidRPr="00A52585">
        <w:rPr>
          <w:rFonts w:hint="cs"/>
          <w:rtl/>
        </w:rPr>
        <w:t xml:space="preserve"> </w:t>
      </w:r>
      <w:r w:rsidR="00777DCB" w:rsidRPr="00A52585">
        <w:rPr>
          <w:kern w:val="36"/>
          <w:rtl/>
        </w:rPr>
        <w:t>الفرق العظيم</w:t>
      </w:r>
      <w:r w:rsidRPr="00A52585">
        <w:rPr>
          <w:kern w:val="36"/>
          <w:rtl/>
        </w:rPr>
        <w:t xml:space="preserve"> </w:t>
      </w:r>
      <w:r w:rsidR="00777DCB" w:rsidRPr="00A52585">
        <w:rPr>
          <w:rtl/>
        </w:rPr>
        <w:t>بين التنزيه والتجسيم تأليف سعيد فودة</w:t>
      </w:r>
      <w:r w:rsidRPr="00A52585">
        <w:rPr>
          <w:rtl/>
        </w:rPr>
        <w:t xml:space="preserve"> </w:t>
      </w:r>
    </w:p>
    <w:p w14:paraId="390AC65F" w14:textId="77777777" w:rsidR="00777DCB" w:rsidRPr="00A52585" w:rsidRDefault="00777DCB" w:rsidP="0002035C">
      <w:pPr>
        <w:spacing w:after="240"/>
        <w:rPr>
          <w:rtl/>
        </w:rPr>
      </w:pPr>
    </w:p>
    <w:p w14:paraId="64E91DE2" w14:textId="72CD74E9" w:rsidR="00777DCB" w:rsidRPr="00CB4AC8" w:rsidRDefault="0002035C" w:rsidP="00CB4AC8">
      <w:pPr>
        <w:pStyle w:val="2"/>
        <w:bidi/>
        <w:jc w:val="center"/>
        <w:rPr>
          <w:u w:val="none"/>
          <w:lang w:bidi="ar-KW"/>
        </w:rPr>
      </w:pPr>
      <w:r w:rsidRPr="00CB4AC8">
        <w:rPr>
          <w:rFonts w:hint="cs"/>
          <w:u w:val="none"/>
          <w:rtl/>
          <w:lang w:bidi="ar-KW"/>
        </w:rPr>
        <w:t>(</w:t>
      </w:r>
      <w:r w:rsidR="00777DCB" w:rsidRPr="00CB4AC8">
        <w:rPr>
          <w:rFonts w:hint="cs"/>
          <w:u w:val="none"/>
          <w:rtl/>
          <w:lang w:bidi="ar-KW"/>
        </w:rPr>
        <w:t>1</w:t>
      </w:r>
      <w:r w:rsidRPr="00CB4AC8">
        <w:rPr>
          <w:rFonts w:hint="cs"/>
          <w:u w:val="none"/>
          <w:rtl/>
          <w:lang w:bidi="ar-KW"/>
        </w:rPr>
        <w:t>)</w:t>
      </w:r>
      <w:r w:rsidR="00CB4AC8" w:rsidRPr="00CB4AC8">
        <w:rPr>
          <w:rFonts w:hint="cs"/>
          <w:u w:val="none"/>
          <w:rtl/>
          <w:lang w:bidi="ar-KW"/>
        </w:rPr>
        <w:t xml:space="preserve"> </w:t>
      </w:r>
      <w:r w:rsidR="00777DCB" w:rsidRPr="00CB4AC8">
        <w:rPr>
          <w:rFonts w:hint="cs"/>
          <w:u w:val="none"/>
          <w:rtl/>
          <w:lang w:bidi="ar-KW"/>
        </w:rPr>
        <w:t>كتاب دفع شبه التشبيه لابن الجوزي</w:t>
      </w:r>
      <w:r w:rsidR="00CB4AC8" w:rsidRPr="00CB4AC8">
        <w:rPr>
          <w:rFonts w:hint="cs"/>
          <w:u w:val="none"/>
          <w:rtl/>
          <w:lang w:bidi="ar-KW"/>
        </w:rPr>
        <w:t xml:space="preserve"> </w:t>
      </w:r>
      <w:r w:rsidR="00777DCB" w:rsidRPr="00CB4AC8">
        <w:rPr>
          <w:rFonts w:hint="cs"/>
          <w:u w:val="none"/>
          <w:rtl/>
          <w:lang w:bidi="ar-KW"/>
        </w:rPr>
        <w:t>مع التحقيق القيم للشيخ حسن السقاف</w:t>
      </w:r>
    </w:p>
    <w:p w14:paraId="63AD04BF" w14:textId="77777777" w:rsidR="00777DCB" w:rsidRPr="00CB4AC8" w:rsidRDefault="00777DCB" w:rsidP="0002035C">
      <w:pPr>
        <w:spacing w:after="240"/>
        <w:rPr>
          <w:rtl/>
        </w:rPr>
      </w:pPr>
    </w:p>
    <w:p w14:paraId="7F9BF83D" w14:textId="75E36D20" w:rsidR="00777DCB" w:rsidRPr="00A52585" w:rsidRDefault="0002035C" w:rsidP="0002035C">
      <w:pPr>
        <w:rPr>
          <w:b/>
          <w:rtl/>
        </w:rPr>
      </w:pPr>
      <w:r w:rsidRPr="00A52585">
        <w:rPr>
          <w:rFonts w:hint="cs"/>
          <w:bCs/>
          <w:rtl/>
        </w:rPr>
        <w:t>[</w:t>
      </w:r>
      <w:r w:rsidR="00777DCB" w:rsidRPr="00A52585">
        <w:rPr>
          <w:rFonts w:hint="cs"/>
          <w:bCs/>
          <w:rtl/>
        </w:rPr>
        <w:t>المقدمة</w:t>
      </w:r>
      <w:r w:rsidRPr="00A52585">
        <w:rPr>
          <w:rFonts w:hint="cs"/>
          <w:bCs/>
          <w:rtl/>
        </w:rPr>
        <w:t>]</w:t>
      </w:r>
      <w:r w:rsidRPr="00A52585">
        <w:rPr>
          <w:rFonts w:hint="cs"/>
          <w:rtl/>
        </w:rPr>
        <w:t>:</w:t>
      </w:r>
      <w:r w:rsidR="00777DCB" w:rsidRPr="00A52585">
        <w:rPr>
          <w:rFonts w:hint="cs"/>
          <w:rtl/>
        </w:rPr>
        <w:t xml:space="preserve"> بسم الله الرحمن الرحيم</w:t>
      </w:r>
      <w:r w:rsidRPr="00A52585">
        <w:rPr>
          <w:rFonts w:hint="cs"/>
          <w:rtl/>
        </w:rPr>
        <w:t>:</w:t>
      </w:r>
      <w:r w:rsidR="00777DCB" w:rsidRPr="00A52585">
        <w:rPr>
          <w:rFonts w:hint="cs"/>
          <w:rtl/>
        </w:rPr>
        <w:t xml:space="preserve"> اعلم وفقك الله تعالى أني لما تتبعت مذهب الامام أحمد </w:t>
      </w:r>
      <w:r w:rsidRPr="00A52585">
        <w:rPr>
          <w:rFonts w:hint="cs"/>
          <w:rtl/>
        </w:rPr>
        <w:t>[</w:t>
      </w:r>
      <w:r w:rsidR="00777DCB" w:rsidRPr="00A52585">
        <w:rPr>
          <w:rFonts w:hint="cs"/>
          <w:sz w:val="24"/>
          <w:rtl/>
        </w:rPr>
        <w:t>ولد سنة 164 ه‍ وتوفي سنة 241 ه‍ ببغداد أي أنه عاش 77 سنة تقريبا ولد سنة 164 ه‍ وتوفي سنة 241 ه‍ ببغداد أي أنه عاش 77 سنة تقريبا</w:t>
      </w:r>
      <w:r w:rsidRPr="00A52585">
        <w:rPr>
          <w:rFonts w:hint="cs"/>
          <w:rtl/>
        </w:rPr>
        <w:t>]</w:t>
      </w:r>
      <w:r w:rsidR="00777DCB" w:rsidRPr="00A52585">
        <w:rPr>
          <w:rFonts w:hint="cs"/>
          <w:rtl/>
        </w:rPr>
        <w:t xml:space="preserve"> رحمه الله تعالى رأيته رجلا كبير القدر في العلوم</w:t>
      </w:r>
      <w:r w:rsidR="00DB731D" w:rsidRPr="00A52585">
        <w:rPr>
          <w:rFonts w:hint="cs"/>
          <w:rtl/>
        </w:rPr>
        <w:t>،</w:t>
      </w:r>
      <w:r w:rsidR="00777DCB" w:rsidRPr="00A52585">
        <w:rPr>
          <w:rFonts w:hint="cs"/>
          <w:rtl/>
        </w:rPr>
        <w:t xml:space="preserve"> قد بالغ رحمة </w:t>
      </w:r>
      <w:r w:rsidR="00777DCB" w:rsidRPr="00A52585">
        <w:rPr>
          <w:rFonts w:hint="cs"/>
          <w:rtl/>
        </w:rPr>
        <w:lastRenderedPageBreak/>
        <w:t>الله عليه في النظر في علوم الفقه ومذاهب القدماء</w:t>
      </w:r>
      <w:r w:rsidR="00DB731D" w:rsidRPr="00A52585">
        <w:rPr>
          <w:rFonts w:hint="cs"/>
          <w:rtl/>
        </w:rPr>
        <w:t>،</w:t>
      </w:r>
      <w:r w:rsidR="00777DCB" w:rsidRPr="00A52585">
        <w:rPr>
          <w:rFonts w:hint="cs"/>
          <w:rtl/>
        </w:rPr>
        <w:t xml:space="preserve"> حتى لا تأتي مسألة إلا وله فيها نص أو تنبيه إلا أنه على طريق السلف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وخصوصا في الصفات فإنه كان يؤول ما يحتاج لتأويل ويفوض الباقي</w:t>
      </w:r>
      <w:r w:rsidR="00DB731D" w:rsidRPr="00A52585">
        <w:rPr>
          <w:rFonts w:hint="cs"/>
          <w:sz w:val="24"/>
          <w:szCs w:val="24"/>
          <w:rtl/>
        </w:rPr>
        <w:t>،</w:t>
      </w:r>
      <w:r w:rsidR="00777DCB" w:rsidRPr="00A52585">
        <w:rPr>
          <w:rFonts w:hint="cs"/>
          <w:sz w:val="24"/>
          <w:szCs w:val="24"/>
          <w:rtl/>
        </w:rPr>
        <w:t xml:space="preserve"> فقد ثبت عنه أنه أول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وجاء ربك</w:t>
      </w:r>
      <w:r w:rsidRPr="00A52585">
        <w:rPr>
          <w:rFonts w:hint="cs"/>
          <w:sz w:val="24"/>
          <w:szCs w:val="24"/>
          <w:rtl/>
        </w:rPr>
        <w:t>)</w:t>
      </w:r>
      <w:r w:rsidR="00777DCB" w:rsidRPr="00A52585">
        <w:rPr>
          <w:rFonts w:hint="cs"/>
          <w:sz w:val="24"/>
          <w:szCs w:val="24"/>
          <w:rtl/>
        </w:rPr>
        <w:t xml:space="preserve"> بجاء ثوابه</w:t>
      </w:r>
      <w:r w:rsidR="00DB731D" w:rsidRPr="00A52585">
        <w:rPr>
          <w:rFonts w:hint="cs"/>
          <w:sz w:val="24"/>
          <w:szCs w:val="24"/>
          <w:rtl/>
        </w:rPr>
        <w:t>،</w:t>
      </w:r>
      <w:r w:rsidR="00777DCB" w:rsidRPr="00A52585">
        <w:rPr>
          <w:rFonts w:hint="cs"/>
          <w:sz w:val="24"/>
          <w:szCs w:val="24"/>
          <w:rtl/>
        </w:rPr>
        <w:t xml:space="preserve"> رواه عنه الحافظ البيهقي كما نقل ذلك عنه ابن كثير في البداية </w:t>
      </w:r>
      <w:r w:rsidRPr="00A52585">
        <w:rPr>
          <w:rFonts w:hint="cs"/>
          <w:sz w:val="24"/>
          <w:szCs w:val="24"/>
          <w:rtl/>
        </w:rPr>
        <w:t>(</w:t>
      </w:r>
      <w:r w:rsidR="00777DCB" w:rsidRPr="00A52585">
        <w:rPr>
          <w:rFonts w:hint="cs"/>
          <w:sz w:val="24"/>
          <w:szCs w:val="24"/>
          <w:rtl/>
        </w:rPr>
        <w:t>10 / 327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وله تأويلات أخرى ليس هذا مكان بسطها</w:t>
      </w:r>
      <w:r w:rsidR="00DB731D" w:rsidRPr="00A52585">
        <w:rPr>
          <w:rFonts w:hint="cs"/>
          <w:sz w:val="24"/>
          <w:szCs w:val="24"/>
          <w:rtl/>
        </w:rPr>
        <w:t>،</w:t>
      </w:r>
      <w:r w:rsidR="00777DCB" w:rsidRPr="00A52585">
        <w:rPr>
          <w:rFonts w:hint="cs"/>
          <w:sz w:val="24"/>
          <w:szCs w:val="24"/>
          <w:rtl/>
        </w:rPr>
        <w:t xml:space="preserve"> وأما ما يدعيه بعض الناس اليوم من أنه هو والسلف كانوا يثبتون المعنى أو الظاهر من اللفظ ويفوضون الكيف فليس بصحيح</w:t>
      </w:r>
      <w:r w:rsidR="00DB731D" w:rsidRPr="00A52585">
        <w:rPr>
          <w:rFonts w:hint="cs"/>
          <w:sz w:val="24"/>
          <w:szCs w:val="24"/>
          <w:rtl/>
        </w:rPr>
        <w:t>،</w:t>
      </w:r>
      <w:r w:rsidR="00777DCB" w:rsidRPr="00A52585">
        <w:rPr>
          <w:rFonts w:hint="cs"/>
          <w:sz w:val="24"/>
          <w:szCs w:val="24"/>
          <w:rtl/>
        </w:rPr>
        <w:t xml:space="preserve"> وخصوصا أن كلامه - الامام أحمد - رحمه الله ينافي ذلك صريحا</w:t>
      </w:r>
      <w:r w:rsidR="00DB731D" w:rsidRPr="00A52585">
        <w:rPr>
          <w:rFonts w:hint="cs"/>
          <w:sz w:val="24"/>
          <w:szCs w:val="24"/>
          <w:rtl/>
        </w:rPr>
        <w:t>،</w:t>
      </w:r>
      <w:r w:rsidR="00777DCB" w:rsidRPr="00A52585">
        <w:rPr>
          <w:rFonts w:hint="cs"/>
          <w:sz w:val="24"/>
          <w:szCs w:val="24"/>
          <w:rtl/>
        </w:rPr>
        <w:t xml:space="preserve"> فقد روى الخلال بسند صحيح عن الامام احمد وقد سئل عن أحاديث الصفات فقال</w:t>
      </w:r>
      <w:r w:rsidRPr="00A52585">
        <w:rPr>
          <w:rFonts w:hint="cs"/>
          <w:sz w:val="24"/>
          <w:szCs w:val="24"/>
          <w:rtl/>
        </w:rPr>
        <w:t>:</w:t>
      </w:r>
      <w:r w:rsidR="00777DCB" w:rsidRPr="00A52585">
        <w:rPr>
          <w:rFonts w:hint="cs"/>
          <w:sz w:val="24"/>
          <w:szCs w:val="24"/>
          <w:rtl/>
        </w:rPr>
        <w:t xml:space="preserve"> " نؤمن بها ونصدق بها ولا كيف ولا معنى " وهذا هو التفويض بعينه وهو الاعلم</w:t>
      </w:r>
      <w:r w:rsidR="00DB731D" w:rsidRPr="00A52585">
        <w:rPr>
          <w:rFonts w:hint="cs"/>
          <w:sz w:val="24"/>
          <w:szCs w:val="24"/>
          <w:rtl/>
          <w:lang w:bidi="ar-KW"/>
        </w:rPr>
        <w:t>،</w:t>
      </w:r>
      <w:r w:rsidR="00777DCB" w:rsidRPr="00A52585">
        <w:rPr>
          <w:rFonts w:hint="cs"/>
          <w:sz w:val="24"/>
          <w:szCs w:val="24"/>
          <w:rtl/>
          <w:lang w:bidi="ar-KW"/>
        </w:rPr>
        <w:t xml:space="preserve"> </w:t>
      </w:r>
      <w:r w:rsidR="00777DCB" w:rsidRPr="00A52585">
        <w:rPr>
          <w:rFonts w:hint="cs"/>
          <w:sz w:val="24"/>
          <w:szCs w:val="24"/>
          <w:rtl/>
        </w:rPr>
        <w:t>والاحكم والاسلم</w:t>
      </w:r>
      <w:r w:rsidR="00897A24" w:rsidRPr="00A52585">
        <w:rPr>
          <w:rFonts w:hint="cs"/>
          <w:sz w:val="24"/>
          <w:szCs w:val="24"/>
          <w:rtl/>
        </w:rPr>
        <w:t>.</w:t>
      </w:r>
      <w:r w:rsidR="00777DCB" w:rsidRPr="00A52585">
        <w:rPr>
          <w:rFonts w:hint="cs"/>
          <w:sz w:val="24"/>
          <w:szCs w:val="24"/>
          <w:rtl/>
        </w:rPr>
        <w:t xml:space="preserve"> لا سيما وأئمة السلف ينفون عن الله تعالى الكيف كما سيأتي عن الامام مالك</w:t>
      </w:r>
      <w:r w:rsidR="00DB731D" w:rsidRPr="00A52585">
        <w:rPr>
          <w:rFonts w:hint="cs"/>
          <w:sz w:val="24"/>
          <w:szCs w:val="24"/>
          <w:rtl/>
        </w:rPr>
        <w:t>،</w:t>
      </w:r>
      <w:r w:rsidR="00777DCB" w:rsidRPr="00A52585">
        <w:rPr>
          <w:rFonts w:hint="cs"/>
          <w:sz w:val="24"/>
          <w:szCs w:val="24"/>
          <w:rtl/>
        </w:rPr>
        <w:t xml:space="preserve"> وأما المجسمة فيثبتون الكيف فيقولون</w:t>
      </w:r>
      <w:r w:rsidRPr="00A52585">
        <w:rPr>
          <w:rFonts w:hint="cs"/>
          <w:sz w:val="24"/>
          <w:szCs w:val="24"/>
          <w:rtl/>
        </w:rPr>
        <w:t>:</w:t>
      </w:r>
      <w:r w:rsidR="00777DCB" w:rsidRPr="00A52585">
        <w:rPr>
          <w:rFonts w:hint="cs"/>
          <w:sz w:val="24"/>
          <w:szCs w:val="24"/>
          <w:rtl/>
        </w:rPr>
        <w:t xml:space="preserve"> " ونفوض الكيف " مع أن الله تعالى لا كيف له</w:t>
      </w:r>
      <w:r w:rsidR="00DB731D" w:rsidRPr="00A52585">
        <w:rPr>
          <w:rFonts w:hint="cs"/>
          <w:sz w:val="24"/>
          <w:szCs w:val="24"/>
          <w:rtl/>
        </w:rPr>
        <w:t>،</w:t>
      </w:r>
      <w:r w:rsidR="00777DCB" w:rsidRPr="00A52585">
        <w:rPr>
          <w:rFonts w:hint="cs"/>
          <w:sz w:val="24"/>
          <w:szCs w:val="24"/>
          <w:rtl/>
        </w:rPr>
        <w:t xml:space="preserve"> وهم يصرون على أن لله تعالى كيفا</w:t>
      </w:r>
      <w:r w:rsidR="00DB731D" w:rsidRPr="00A52585">
        <w:rPr>
          <w:rFonts w:hint="cs"/>
          <w:sz w:val="24"/>
          <w:szCs w:val="24"/>
          <w:rtl/>
        </w:rPr>
        <w:t>،</w:t>
      </w:r>
      <w:r w:rsidR="00777DCB" w:rsidRPr="00A52585">
        <w:rPr>
          <w:rFonts w:hint="cs"/>
          <w:sz w:val="24"/>
          <w:szCs w:val="24"/>
          <w:rtl/>
        </w:rPr>
        <w:t xml:space="preserve"> وينقلون عن الامام مالك رحمه الله تعالى كلمة محرفة عنه ليوهموا البسطاء ويقنعوهم بإثبات الكيف فيقولون</w:t>
      </w:r>
      <w:r w:rsidRPr="00A52585">
        <w:rPr>
          <w:rFonts w:hint="cs"/>
          <w:sz w:val="24"/>
          <w:szCs w:val="24"/>
          <w:rtl/>
        </w:rPr>
        <w:t>:</w:t>
      </w:r>
      <w:r w:rsidR="00777DCB" w:rsidRPr="00A52585">
        <w:rPr>
          <w:rFonts w:hint="cs"/>
          <w:sz w:val="24"/>
          <w:szCs w:val="24"/>
          <w:rtl/>
        </w:rPr>
        <w:t xml:space="preserve"> قال مالك</w:t>
      </w:r>
      <w:r w:rsidRPr="00A52585">
        <w:rPr>
          <w:rFonts w:hint="cs"/>
          <w:sz w:val="24"/>
          <w:szCs w:val="24"/>
          <w:rtl/>
        </w:rPr>
        <w:t>:</w:t>
      </w:r>
      <w:r w:rsidR="00777DCB" w:rsidRPr="00A52585">
        <w:rPr>
          <w:rFonts w:hint="cs"/>
          <w:sz w:val="24"/>
          <w:szCs w:val="24"/>
          <w:rtl/>
        </w:rPr>
        <w:t xml:space="preserve"> " الاستواء معلوم والكيف مجهول "</w:t>
      </w:r>
      <w:r w:rsidR="00DB731D" w:rsidRPr="00A52585">
        <w:rPr>
          <w:rFonts w:hint="cs"/>
          <w:sz w:val="24"/>
          <w:szCs w:val="24"/>
          <w:rtl/>
        </w:rPr>
        <w:t>،</w:t>
      </w:r>
      <w:r w:rsidR="00777DCB" w:rsidRPr="00A52585">
        <w:rPr>
          <w:rFonts w:hint="cs"/>
          <w:sz w:val="24"/>
          <w:szCs w:val="24"/>
          <w:rtl/>
        </w:rPr>
        <w:t xml:space="preserve"> وهذا افتراء على الامام مالك رحمه الله تعالى </w:t>
      </w:r>
      <w:proofErr w:type="spellStart"/>
      <w:r w:rsidR="00777DCB" w:rsidRPr="00A52585">
        <w:rPr>
          <w:rFonts w:hint="cs"/>
          <w:sz w:val="24"/>
          <w:szCs w:val="24"/>
          <w:rtl/>
        </w:rPr>
        <w:t>لانه</w:t>
      </w:r>
      <w:proofErr w:type="spellEnd"/>
      <w:r w:rsidR="00777DCB" w:rsidRPr="00A52585">
        <w:rPr>
          <w:rFonts w:hint="cs"/>
          <w:sz w:val="24"/>
          <w:szCs w:val="24"/>
          <w:rtl/>
        </w:rPr>
        <w:t xml:space="preserve"> لم يقل ذلك ولكنه قال كما في الفتح </w:t>
      </w:r>
      <w:r w:rsidRPr="00A52585">
        <w:rPr>
          <w:rFonts w:hint="cs"/>
          <w:sz w:val="24"/>
          <w:szCs w:val="24"/>
          <w:rtl/>
        </w:rPr>
        <w:t>(</w:t>
      </w:r>
      <w:r w:rsidR="00777DCB" w:rsidRPr="00A52585">
        <w:rPr>
          <w:rFonts w:hint="cs"/>
          <w:sz w:val="24"/>
          <w:szCs w:val="24"/>
          <w:rtl/>
        </w:rPr>
        <w:t>13 / 406 - 407</w:t>
      </w:r>
      <w:r w:rsidRPr="00A52585">
        <w:rPr>
          <w:rFonts w:hint="cs"/>
          <w:sz w:val="24"/>
          <w:szCs w:val="24"/>
          <w:rtl/>
        </w:rPr>
        <w:t>):</w:t>
      </w:r>
      <w:r w:rsidR="00777DCB" w:rsidRPr="00A52585">
        <w:rPr>
          <w:rFonts w:hint="cs"/>
          <w:sz w:val="24"/>
          <w:szCs w:val="24"/>
          <w:rtl/>
        </w:rPr>
        <w:t xml:space="preserve"> " الاستواء غير مجهول والكيف غير معقول ولا يقال عنه كيف وكيف عنه مرفوع " وهذا قول السيدة أم سلمة زوج النبي صلى الله عليه وسلم وهي أول من سئل عن ذلك</w:t>
      </w:r>
      <w:r w:rsidR="00DB731D" w:rsidRPr="00A52585">
        <w:rPr>
          <w:rFonts w:hint="cs"/>
          <w:sz w:val="24"/>
          <w:szCs w:val="24"/>
          <w:rtl/>
        </w:rPr>
        <w:t>،</w:t>
      </w:r>
      <w:r w:rsidR="00777DCB" w:rsidRPr="00A52585">
        <w:rPr>
          <w:rFonts w:hint="cs"/>
          <w:sz w:val="24"/>
          <w:szCs w:val="24"/>
          <w:rtl/>
        </w:rPr>
        <w:t xml:space="preserve"> وقد ذكرنا في كتابنا - عقيدة أهل السنة والجماعة - نقلا عن " الفتح " أن البيهقي روى </w:t>
      </w:r>
      <w:proofErr w:type="spellStart"/>
      <w:r w:rsidR="00777DCB" w:rsidRPr="00A52585">
        <w:rPr>
          <w:rFonts w:hint="cs"/>
          <w:sz w:val="24"/>
          <w:szCs w:val="24"/>
          <w:rtl/>
        </w:rPr>
        <w:t>باسناد</w:t>
      </w:r>
      <w:proofErr w:type="spellEnd"/>
      <w:r w:rsidR="00777DCB" w:rsidRPr="00A52585">
        <w:rPr>
          <w:rFonts w:hint="cs"/>
          <w:sz w:val="24"/>
          <w:szCs w:val="24"/>
          <w:rtl/>
        </w:rPr>
        <w:t xml:space="preserve"> جيد عن عبد الله بن وهب قال</w:t>
      </w:r>
      <w:r w:rsidRPr="00A52585">
        <w:rPr>
          <w:rFonts w:hint="cs"/>
          <w:sz w:val="24"/>
          <w:szCs w:val="24"/>
          <w:rtl/>
        </w:rPr>
        <w:t>:</w:t>
      </w:r>
      <w:r w:rsidR="00777DCB" w:rsidRPr="00A52585">
        <w:rPr>
          <w:rFonts w:hint="cs"/>
          <w:sz w:val="24"/>
          <w:szCs w:val="24"/>
          <w:rtl/>
        </w:rPr>
        <w:t xml:space="preserve"> كنا عند مالك فدخل رجل فقال</w:t>
      </w:r>
      <w:r w:rsidRPr="00A52585">
        <w:rPr>
          <w:rFonts w:hint="cs"/>
          <w:sz w:val="24"/>
          <w:szCs w:val="24"/>
          <w:rtl/>
        </w:rPr>
        <w:t>:</w:t>
      </w:r>
      <w:r w:rsidR="00777DCB" w:rsidRPr="00A52585">
        <w:rPr>
          <w:rFonts w:hint="cs"/>
          <w:sz w:val="24"/>
          <w:szCs w:val="24"/>
          <w:rtl/>
        </w:rPr>
        <w:t xml:space="preserve"> يا أبا عبد الله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الرحمن على العرش استوى</w:t>
      </w:r>
      <w:r w:rsidRPr="00A52585">
        <w:rPr>
          <w:rFonts w:hint="cs"/>
          <w:sz w:val="24"/>
          <w:szCs w:val="24"/>
          <w:rtl/>
        </w:rPr>
        <w:t>)</w:t>
      </w:r>
      <w:r w:rsidR="00777DCB" w:rsidRPr="00A52585">
        <w:rPr>
          <w:rFonts w:hint="cs"/>
          <w:sz w:val="24"/>
          <w:szCs w:val="24"/>
          <w:rtl/>
        </w:rPr>
        <w:t xml:space="preserve"> كيف استوى</w:t>
      </w:r>
      <w:r w:rsidR="00F95886" w:rsidRPr="00A52585">
        <w:rPr>
          <w:rFonts w:hint="cs"/>
          <w:sz w:val="24"/>
          <w:szCs w:val="24"/>
          <w:rtl/>
        </w:rPr>
        <w:t>؟</w:t>
      </w:r>
      <w:r w:rsidR="00777DCB" w:rsidRPr="00A52585">
        <w:rPr>
          <w:rFonts w:hint="cs"/>
          <w:sz w:val="24"/>
          <w:szCs w:val="24"/>
          <w:rtl/>
        </w:rPr>
        <w:t xml:space="preserve"> فقال مالك</w:t>
      </w:r>
      <w:r w:rsidRPr="00A52585">
        <w:rPr>
          <w:rFonts w:hint="cs"/>
          <w:sz w:val="24"/>
          <w:szCs w:val="24"/>
          <w:rtl/>
        </w:rPr>
        <w:t>:</w:t>
      </w:r>
      <w:r w:rsidR="00777DCB" w:rsidRPr="00A52585">
        <w:rPr>
          <w:rFonts w:hint="cs"/>
          <w:sz w:val="24"/>
          <w:szCs w:val="24"/>
          <w:rtl/>
        </w:rPr>
        <w:t xml:space="preserve"> " الرحمن على العرش استوى كما وصف به نفسه ولا يقال كيف</w:t>
      </w:r>
      <w:r w:rsidR="00DB731D" w:rsidRPr="00A52585">
        <w:rPr>
          <w:rFonts w:hint="cs"/>
          <w:sz w:val="24"/>
          <w:szCs w:val="24"/>
          <w:rtl/>
        </w:rPr>
        <w:t>،</w:t>
      </w:r>
      <w:r w:rsidR="00777DCB" w:rsidRPr="00A52585">
        <w:rPr>
          <w:rFonts w:hint="cs"/>
          <w:sz w:val="24"/>
          <w:szCs w:val="24"/>
          <w:rtl/>
        </w:rPr>
        <w:t xml:space="preserve"> وكيف عنه مرفوع وما أراك إلا صاحب بدعة أخرجوه " اه‍</w:t>
      </w:r>
      <w:r w:rsidR="00DB731D" w:rsidRPr="00A52585">
        <w:rPr>
          <w:rFonts w:hint="cs"/>
          <w:sz w:val="24"/>
          <w:szCs w:val="24"/>
          <w:rtl/>
        </w:rPr>
        <w:t>،</w:t>
      </w:r>
      <w:r w:rsidR="00777DCB" w:rsidRPr="00A52585">
        <w:rPr>
          <w:rFonts w:hint="cs"/>
          <w:sz w:val="24"/>
          <w:szCs w:val="24"/>
          <w:rtl/>
        </w:rPr>
        <w:t xml:space="preserve"> فأنت ترى أن السيدة أم سلمة والامام مالك ينفيان الكيف عن الله وكذلك أحمد بن حنبل يقول</w:t>
      </w:r>
      <w:r w:rsidRPr="00A52585">
        <w:rPr>
          <w:rFonts w:hint="cs"/>
          <w:sz w:val="24"/>
          <w:szCs w:val="24"/>
          <w:rtl/>
        </w:rPr>
        <w:t>:</w:t>
      </w:r>
      <w:r w:rsidR="00777DCB" w:rsidRPr="00A52585">
        <w:rPr>
          <w:rFonts w:hint="cs"/>
          <w:sz w:val="24"/>
          <w:szCs w:val="24"/>
          <w:rtl/>
        </w:rPr>
        <w:t xml:space="preserve"> " ولا كيف ولا معنى " وقد نقل الحافظ في " الفتح " ذلك عن ربيعة الرأي رحمه الله تعالى أيضا</w:t>
      </w:r>
      <w:r w:rsidR="00DB731D" w:rsidRPr="00A52585">
        <w:rPr>
          <w:rFonts w:hint="cs"/>
          <w:sz w:val="24"/>
          <w:szCs w:val="24"/>
          <w:rtl/>
        </w:rPr>
        <w:t>،</w:t>
      </w:r>
      <w:r w:rsidR="00777DCB" w:rsidRPr="00A52585">
        <w:rPr>
          <w:rFonts w:hint="cs"/>
          <w:sz w:val="24"/>
          <w:szCs w:val="24"/>
          <w:rtl/>
        </w:rPr>
        <w:t xml:space="preserve"> وكل ذلك ينسف ما قدمناه من قول المجسمة المتظاهرين بالتمسك بطريق السلف</w:t>
      </w:r>
      <w:r w:rsidR="00897A24" w:rsidRPr="00A52585">
        <w:rPr>
          <w:rFonts w:hint="cs"/>
          <w:sz w:val="24"/>
          <w:szCs w:val="24"/>
          <w:rtl/>
        </w:rPr>
        <w:t>.</w:t>
      </w:r>
      <w:r w:rsidR="00777DCB" w:rsidRPr="00A52585">
        <w:rPr>
          <w:rFonts w:hint="cs"/>
          <w:sz w:val="24"/>
          <w:szCs w:val="24"/>
          <w:rtl/>
        </w:rPr>
        <w:t xml:space="preserve"> والله الموفق</w:t>
      </w:r>
      <w:r w:rsidRPr="00A52585">
        <w:rPr>
          <w:rFonts w:hint="cs"/>
          <w:sz w:val="24"/>
          <w:szCs w:val="24"/>
          <w:rtl/>
        </w:rPr>
        <w:t>]</w:t>
      </w:r>
      <w:r w:rsidR="00777DCB" w:rsidRPr="00A52585">
        <w:rPr>
          <w:rFonts w:hint="cs"/>
          <w:rtl/>
        </w:rPr>
        <w:t>، فلم يصنف إلا المنقول</w:t>
      </w:r>
      <w:r w:rsidR="00DB731D" w:rsidRPr="00A52585">
        <w:rPr>
          <w:rFonts w:hint="cs"/>
          <w:rtl/>
        </w:rPr>
        <w:t>،</w:t>
      </w:r>
      <w:r w:rsidR="00777DCB" w:rsidRPr="00A52585">
        <w:rPr>
          <w:rFonts w:hint="cs"/>
          <w:rtl/>
        </w:rPr>
        <w:t xml:space="preserve"> فرأيت مذهبه خاليا من التصانيف التي كثر جنسها عند الخصوم</w:t>
      </w:r>
      <w:r w:rsidR="00DB731D" w:rsidRPr="00A52585">
        <w:rPr>
          <w:rFonts w:hint="cs"/>
          <w:rtl/>
        </w:rPr>
        <w:t>،</w:t>
      </w:r>
      <w:r w:rsidR="00777DCB" w:rsidRPr="00A52585">
        <w:rPr>
          <w:rFonts w:hint="cs"/>
          <w:rtl/>
        </w:rPr>
        <w:t xml:space="preserve"> فصنفت تفاسير مطولة منها " المغنى " مجلدات و " زاد المسير "</w:t>
      </w:r>
      <w:r w:rsidR="00DB731D" w:rsidRPr="00A52585">
        <w:rPr>
          <w:rFonts w:hint="cs"/>
          <w:rtl/>
        </w:rPr>
        <w:t>،</w:t>
      </w:r>
      <w:r w:rsidR="00777DCB" w:rsidRPr="00A52585">
        <w:rPr>
          <w:rFonts w:hint="cs"/>
          <w:rtl/>
        </w:rPr>
        <w:t xml:space="preserve"> و " تذكرة الاريب "</w:t>
      </w:r>
      <w:r w:rsidR="00DB731D" w:rsidRPr="00A52585">
        <w:rPr>
          <w:rFonts w:hint="cs"/>
          <w:rtl/>
        </w:rPr>
        <w:t>،</w:t>
      </w:r>
      <w:r w:rsidR="00777DCB" w:rsidRPr="00A52585">
        <w:rPr>
          <w:rFonts w:hint="cs"/>
          <w:rtl/>
        </w:rPr>
        <w:t xml:space="preserve"> وغير ذلك</w:t>
      </w:r>
      <w:r w:rsidR="00DB731D" w:rsidRPr="00A52585">
        <w:rPr>
          <w:rFonts w:hint="cs"/>
          <w:rtl/>
        </w:rPr>
        <w:t>،</w:t>
      </w:r>
      <w:r w:rsidRPr="00A52585">
        <w:rPr>
          <w:rFonts w:hint="cs"/>
          <w:rtl/>
        </w:rPr>
        <w:t xml:space="preserve"> </w:t>
      </w:r>
      <w:r w:rsidR="00777DCB" w:rsidRPr="00A52585">
        <w:rPr>
          <w:rFonts w:hint="cs"/>
          <w:rtl/>
        </w:rPr>
        <w:t>وفي الحديث</w:t>
      </w:r>
      <w:r w:rsidRPr="00A52585">
        <w:rPr>
          <w:rFonts w:hint="cs"/>
          <w:rtl/>
        </w:rPr>
        <w:t>:</w:t>
      </w:r>
      <w:r w:rsidR="00777DCB" w:rsidRPr="00A52585">
        <w:rPr>
          <w:rFonts w:hint="cs"/>
          <w:rtl/>
        </w:rPr>
        <w:t xml:space="preserve"> كتبا منها " جامع المسانيد "</w:t>
      </w:r>
      <w:r w:rsidR="00DB731D" w:rsidRPr="00A52585">
        <w:rPr>
          <w:rFonts w:hint="cs"/>
          <w:rtl/>
        </w:rPr>
        <w:t>،</w:t>
      </w:r>
      <w:r w:rsidR="00777DCB" w:rsidRPr="00A52585">
        <w:rPr>
          <w:rFonts w:hint="cs"/>
          <w:rtl/>
        </w:rPr>
        <w:t xml:space="preserve"> و " الحدائق "</w:t>
      </w:r>
      <w:r w:rsidR="00DB731D" w:rsidRPr="00A52585">
        <w:rPr>
          <w:rFonts w:hint="cs"/>
          <w:rtl/>
        </w:rPr>
        <w:t>،</w:t>
      </w:r>
      <w:r w:rsidR="00777DCB" w:rsidRPr="00A52585">
        <w:rPr>
          <w:rFonts w:hint="cs"/>
          <w:rtl/>
        </w:rPr>
        <w:t xml:space="preserve"> و " نفي النقل "</w:t>
      </w:r>
      <w:r w:rsidR="00DB731D" w:rsidRPr="00A52585">
        <w:rPr>
          <w:rFonts w:hint="cs"/>
          <w:rtl/>
        </w:rPr>
        <w:t>،</w:t>
      </w:r>
      <w:r w:rsidR="00777DCB" w:rsidRPr="00A52585">
        <w:rPr>
          <w:rFonts w:hint="cs"/>
          <w:rtl/>
        </w:rPr>
        <w:t xml:space="preserve"> وكتبا كثيرة في الجرح والتعديل</w:t>
      </w:r>
      <w:r w:rsidR="00DB731D" w:rsidRPr="00A52585">
        <w:rPr>
          <w:rFonts w:hint="cs"/>
          <w:rtl/>
        </w:rPr>
        <w:t>،</w:t>
      </w:r>
      <w:r w:rsidR="00777DCB" w:rsidRPr="00A52585">
        <w:rPr>
          <w:rFonts w:hint="cs"/>
          <w:rtl/>
        </w:rPr>
        <w:t xml:space="preserve"> وما رأيت لهم " تعليقة " في الخلاف إلا أن القاضي أبا يعلى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محمد بن الحسين بن محمد بن خلف الفراء البغدادي </w:t>
      </w:r>
      <w:r w:rsidRPr="00A52585">
        <w:rPr>
          <w:rFonts w:hint="cs"/>
          <w:sz w:val="24"/>
          <w:szCs w:val="24"/>
          <w:rtl/>
        </w:rPr>
        <w:t>(</w:t>
      </w:r>
      <w:r w:rsidR="00777DCB" w:rsidRPr="00A52585">
        <w:rPr>
          <w:rFonts w:hint="cs"/>
          <w:sz w:val="24"/>
          <w:szCs w:val="24"/>
          <w:rtl/>
        </w:rPr>
        <w:t>أبو يعلى</w:t>
      </w:r>
      <w:r w:rsidRPr="00A52585">
        <w:rPr>
          <w:rFonts w:hint="cs"/>
          <w:sz w:val="24"/>
          <w:szCs w:val="24"/>
          <w:rtl/>
        </w:rPr>
        <w:t>)</w:t>
      </w:r>
      <w:r w:rsidR="00777DCB" w:rsidRPr="00A52585">
        <w:rPr>
          <w:rFonts w:hint="cs"/>
          <w:sz w:val="24"/>
          <w:szCs w:val="24"/>
          <w:rtl/>
        </w:rPr>
        <w:t xml:space="preserve"> وابنه هو صاحب الطبقات الحنابلة "</w:t>
      </w:r>
      <w:r w:rsidR="00DB731D" w:rsidRPr="00A52585">
        <w:rPr>
          <w:rFonts w:hint="cs"/>
          <w:sz w:val="24"/>
          <w:szCs w:val="24"/>
          <w:rtl/>
        </w:rPr>
        <w:t>،</w:t>
      </w:r>
      <w:r w:rsidR="00777DCB" w:rsidRPr="00A52585">
        <w:rPr>
          <w:rFonts w:hint="cs"/>
          <w:sz w:val="24"/>
          <w:szCs w:val="24"/>
          <w:rtl/>
        </w:rPr>
        <w:t xml:space="preserve"> قال الحافظ ابن الاثير في كامله في حوادث سنة تسع وعشرين وأربعمائة ما نصه</w:t>
      </w:r>
      <w:r w:rsidRPr="00A52585">
        <w:rPr>
          <w:rFonts w:hint="cs"/>
          <w:sz w:val="24"/>
          <w:szCs w:val="24"/>
          <w:rtl/>
        </w:rPr>
        <w:t>:</w:t>
      </w:r>
      <w:r w:rsidR="00777DCB" w:rsidRPr="00A52585">
        <w:rPr>
          <w:rFonts w:hint="cs"/>
          <w:sz w:val="24"/>
          <w:szCs w:val="24"/>
          <w:rtl/>
        </w:rPr>
        <w:t xml:space="preserve"> وفيها أنكر العلماء على أبي يعلى بن الفراء الحنبلي ما ضمنه كتابه من صفات الله سبحانه وتعالى</w:t>
      </w:r>
      <w:r w:rsidR="00DB731D" w:rsidRPr="00A52585">
        <w:rPr>
          <w:rFonts w:hint="cs"/>
          <w:sz w:val="24"/>
          <w:szCs w:val="24"/>
          <w:rtl/>
        </w:rPr>
        <w:t>،</w:t>
      </w:r>
      <w:r w:rsidR="00777DCB" w:rsidRPr="00A52585">
        <w:rPr>
          <w:rFonts w:hint="cs"/>
          <w:sz w:val="24"/>
          <w:szCs w:val="24"/>
          <w:rtl/>
        </w:rPr>
        <w:t xml:space="preserve"> المشعرة بأنه يعتقد التجسيم</w:t>
      </w:r>
      <w:r w:rsidR="00DB731D" w:rsidRPr="00A52585">
        <w:rPr>
          <w:rFonts w:hint="cs"/>
          <w:sz w:val="24"/>
          <w:szCs w:val="24"/>
          <w:rtl/>
        </w:rPr>
        <w:t>،</w:t>
      </w:r>
      <w:r w:rsidR="00777DCB" w:rsidRPr="00A52585">
        <w:rPr>
          <w:rFonts w:hint="cs"/>
          <w:sz w:val="24"/>
          <w:szCs w:val="24"/>
          <w:rtl/>
        </w:rPr>
        <w:t xml:space="preserve"> وحضر أبو الحسن القزويني الزاهد بجامع المنصور وتكلم في ذلك</w:t>
      </w:r>
      <w:r w:rsidR="00DB731D" w:rsidRPr="00A52585">
        <w:rPr>
          <w:rFonts w:hint="cs"/>
          <w:sz w:val="24"/>
          <w:szCs w:val="24"/>
          <w:rtl/>
        </w:rPr>
        <w:t>،</w:t>
      </w:r>
      <w:r w:rsidR="00777DCB" w:rsidRPr="00A52585">
        <w:rPr>
          <w:rFonts w:hint="cs"/>
          <w:sz w:val="24"/>
          <w:szCs w:val="24"/>
          <w:rtl/>
        </w:rPr>
        <w:t xml:space="preserve"> تعالى الله عما يقول الظالمون علوا كبيرا "</w:t>
      </w:r>
      <w:r w:rsidR="00897A24" w:rsidRPr="00A52585">
        <w:rPr>
          <w:rFonts w:hint="cs"/>
          <w:sz w:val="24"/>
          <w:szCs w:val="24"/>
          <w:rtl/>
        </w:rPr>
        <w:t>.</w:t>
      </w:r>
      <w:r w:rsidR="00777DCB" w:rsidRPr="00A52585">
        <w:rPr>
          <w:rFonts w:hint="cs"/>
          <w:sz w:val="24"/>
          <w:szCs w:val="24"/>
          <w:rtl/>
        </w:rPr>
        <w:t xml:space="preserve"> اهـ</w:t>
      </w:r>
      <w:r w:rsidR="00DB731D" w:rsidRPr="00A52585">
        <w:rPr>
          <w:rFonts w:hint="cs"/>
          <w:sz w:val="24"/>
          <w:szCs w:val="24"/>
          <w:rtl/>
        </w:rPr>
        <w:t>،</w:t>
      </w:r>
      <w:r w:rsidR="00777DCB" w:rsidRPr="00A52585">
        <w:rPr>
          <w:rFonts w:hint="cs"/>
          <w:sz w:val="24"/>
          <w:szCs w:val="24"/>
          <w:rtl/>
        </w:rPr>
        <w:t xml:space="preserve"> وقال في حوادث سنة ثمان وخمسين وأربعمائة ما نصه</w:t>
      </w:r>
      <w:r w:rsidRPr="00A52585">
        <w:rPr>
          <w:rFonts w:hint="cs"/>
          <w:sz w:val="24"/>
          <w:szCs w:val="24"/>
          <w:rtl/>
        </w:rPr>
        <w:t>:</w:t>
      </w:r>
      <w:r w:rsidR="00777DCB" w:rsidRPr="00A52585">
        <w:rPr>
          <w:rFonts w:hint="cs"/>
          <w:sz w:val="24"/>
          <w:szCs w:val="24"/>
          <w:rtl/>
        </w:rPr>
        <w:t xml:space="preserve"> " وفيها توفي أبو يعلى الفراء الحنبلي</w:t>
      </w:r>
      <w:r w:rsidR="00DB731D" w:rsidRPr="00A52585">
        <w:rPr>
          <w:rFonts w:hint="cs"/>
          <w:sz w:val="24"/>
          <w:szCs w:val="24"/>
          <w:rtl/>
        </w:rPr>
        <w:t>،</w:t>
      </w:r>
      <w:r w:rsidR="00777DCB" w:rsidRPr="00A52585">
        <w:rPr>
          <w:rFonts w:hint="cs"/>
          <w:sz w:val="24"/>
          <w:szCs w:val="24"/>
          <w:rtl/>
        </w:rPr>
        <w:t xml:space="preserve"> وهو مصنف كتاب الصفات</w:t>
      </w:r>
      <w:r w:rsidR="00DB731D" w:rsidRPr="00A52585">
        <w:rPr>
          <w:rFonts w:hint="cs"/>
          <w:sz w:val="24"/>
          <w:szCs w:val="24"/>
          <w:rtl/>
        </w:rPr>
        <w:t>،</w:t>
      </w:r>
      <w:r w:rsidR="00777DCB" w:rsidRPr="00A52585">
        <w:rPr>
          <w:rFonts w:hint="cs"/>
          <w:sz w:val="24"/>
          <w:szCs w:val="24"/>
          <w:rtl/>
        </w:rPr>
        <w:t xml:space="preserve"> أتى فيه بكل عجيبة</w:t>
      </w:r>
      <w:r w:rsidR="00DB731D" w:rsidRPr="00A52585">
        <w:rPr>
          <w:rFonts w:hint="cs"/>
          <w:sz w:val="24"/>
          <w:szCs w:val="24"/>
          <w:rtl/>
        </w:rPr>
        <w:t>،</w:t>
      </w:r>
      <w:r w:rsidR="00777DCB" w:rsidRPr="00A52585">
        <w:rPr>
          <w:rFonts w:hint="cs"/>
          <w:sz w:val="24"/>
          <w:szCs w:val="24"/>
          <w:rtl/>
        </w:rPr>
        <w:t xml:space="preserve"> وترتيب أبوابه يدل على التجسيم المحض</w:t>
      </w:r>
      <w:r w:rsidR="00DB731D" w:rsidRPr="00A52585">
        <w:rPr>
          <w:rFonts w:hint="cs"/>
          <w:sz w:val="24"/>
          <w:szCs w:val="24"/>
          <w:rtl/>
        </w:rPr>
        <w:t>،</w:t>
      </w:r>
      <w:r w:rsidR="00777DCB" w:rsidRPr="00A52585">
        <w:rPr>
          <w:rFonts w:hint="cs"/>
          <w:sz w:val="24"/>
          <w:szCs w:val="24"/>
          <w:rtl/>
        </w:rPr>
        <w:t xml:space="preserve"> تعالى الله عن ذلك "</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طبع الآن الجزء الاول من كتاب أبي يعلى هذا الذي أتى فيه بكل عجيبة ونحن نود أن يطلع أهل العلم عليه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ليدركوا حقيقة التجسيم الذي وقعت فيه هذه الطائفة</w:t>
      </w:r>
      <w:r w:rsidR="00DB731D" w:rsidRPr="00A52585">
        <w:rPr>
          <w:rFonts w:hint="cs"/>
          <w:sz w:val="24"/>
          <w:szCs w:val="24"/>
          <w:rtl/>
        </w:rPr>
        <w:t>،</w:t>
      </w:r>
      <w:r w:rsidR="00777DCB" w:rsidRPr="00A52585">
        <w:rPr>
          <w:rFonts w:hint="cs"/>
          <w:sz w:val="24"/>
          <w:szCs w:val="24"/>
          <w:rtl/>
        </w:rPr>
        <w:t xml:space="preserve"> وقد جعل ابن الجوزي رحمه الله تعالى كتابه هذا " دفع شبه التشبيه " ردا </w:t>
      </w:r>
      <w:r w:rsidR="00777DCB" w:rsidRPr="00A52585">
        <w:rPr>
          <w:rFonts w:hint="cs"/>
          <w:sz w:val="24"/>
          <w:szCs w:val="24"/>
          <w:rtl/>
        </w:rPr>
        <w:lastRenderedPageBreak/>
        <w:t>على ذلك الكتاب خاصة وعلى كتب المجسمة عامة</w:t>
      </w:r>
      <w:r w:rsidR="00DB731D" w:rsidRPr="00A52585">
        <w:rPr>
          <w:rFonts w:hint="cs"/>
          <w:sz w:val="24"/>
          <w:szCs w:val="24"/>
          <w:rtl/>
        </w:rPr>
        <w:t>،</w:t>
      </w:r>
      <w:r w:rsidR="00777DCB" w:rsidRPr="00A52585">
        <w:rPr>
          <w:rFonts w:hint="cs"/>
          <w:sz w:val="24"/>
          <w:szCs w:val="24"/>
          <w:rtl/>
        </w:rPr>
        <w:t xml:space="preserve"> وأبطل لهم استدلالاتهم بما يسمونه بأحاديث الصفات</w:t>
      </w:r>
      <w:r w:rsidRPr="00A52585">
        <w:rPr>
          <w:rFonts w:hint="cs"/>
          <w:sz w:val="24"/>
          <w:szCs w:val="24"/>
          <w:rtl/>
        </w:rPr>
        <w:t>]</w:t>
      </w:r>
      <w:r w:rsidR="00777DCB" w:rsidRPr="00A52585">
        <w:rPr>
          <w:rFonts w:hint="cs"/>
          <w:rtl/>
        </w:rPr>
        <w:t xml:space="preserve"> قال</w:t>
      </w:r>
      <w:r w:rsidRPr="00A52585">
        <w:rPr>
          <w:rFonts w:hint="cs"/>
          <w:rtl/>
        </w:rPr>
        <w:t>:</w:t>
      </w:r>
      <w:r w:rsidR="00777DCB" w:rsidRPr="00A52585">
        <w:rPr>
          <w:rFonts w:hint="cs"/>
          <w:rtl/>
        </w:rPr>
        <w:t xml:space="preserve"> كنت أقول ما </w:t>
      </w:r>
      <w:proofErr w:type="spellStart"/>
      <w:r w:rsidR="00777DCB" w:rsidRPr="00A52585">
        <w:rPr>
          <w:rFonts w:hint="cs"/>
          <w:rtl/>
        </w:rPr>
        <w:t>لاهل</w:t>
      </w:r>
      <w:proofErr w:type="spellEnd"/>
      <w:r w:rsidR="00777DCB" w:rsidRPr="00A52585">
        <w:rPr>
          <w:rFonts w:hint="cs"/>
          <w:rtl/>
        </w:rPr>
        <w:t xml:space="preserve"> المذاهب يذكرون الخلاف مع خصومهم ولا يذكرون أحمد</w:t>
      </w:r>
      <w:r w:rsidR="00F95886" w:rsidRPr="00A52585">
        <w:rPr>
          <w:rFonts w:hint="cs"/>
          <w:rtl/>
        </w:rPr>
        <w:t>؟</w:t>
      </w:r>
      <w:r w:rsidR="00777DCB" w:rsidRPr="00A52585">
        <w:rPr>
          <w:rFonts w:hint="cs"/>
          <w:rtl/>
        </w:rPr>
        <w:t xml:space="preserve"> ثم عذرتهم</w:t>
      </w:r>
      <w:r w:rsidR="00DB731D" w:rsidRPr="00A52585">
        <w:rPr>
          <w:rFonts w:hint="cs"/>
          <w:rtl/>
        </w:rPr>
        <w:t>،</w:t>
      </w:r>
      <w:r w:rsidR="00777DCB" w:rsidRPr="00A52585">
        <w:rPr>
          <w:rFonts w:hint="cs"/>
          <w:rtl/>
        </w:rPr>
        <w:t xml:space="preserve"> إذ ليس لنا تعليقة في الفقه</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فصنفت لهم تعليقة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وتعليقته لم يحقق فيها بيان الصحة والطعن في المردود</w:t>
      </w:r>
      <w:r w:rsidR="00DB731D" w:rsidRPr="00A52585">
        <w:rPr>
          <w:rFonts w:hint="cs"/>
          <w:rtl/>
        </w:rPr>
        <w:t>،</w:t>
      </w:r>
      <w:r w:rsidR="00777DCB" w:rsidRPr="00A52585">
        <w:rPr>
          <w:rFonts w:hint="cs"/>
          <w:rtl/>
        </w:rPr>
        <w:t xml:space="preserve"> وذكر فيها أقيسة طردية</w:t>
      </w:r>
      <w:r w:rsidR="00DB731D" w:rsidRPr="00A52585">
        <w:rPr>
          <w:rFonts w:hint="cs"/>
          <w:rtl/>
        </w:rPr>
        <w:t>،</w:t>
      </w:r>
      <w:r w:rsidR="00777DCB" w:rsidRPr="00A52585">
        <w:rPr>
          <w:rFonts w:hint="cs"/>
          <w:rtl/>
        </w:rPr>
        <w:t xml:space="preserve"> ورأيت من يلقي الدرس من أصحابنا من يفزع إلى تعليقة الاصطلام أو تعليقة أسعد</w:t>
      </w:r>
      <w:r w:rsidR="00DB731D" w:rsidRPr="00A52585">
        <w:rPr>
          <w:rFonts w:hint="cs"/>
          <w:rtl/>
        </w:rPr>
        <w:t>،</w:t>
      </w:r>
      <w:r w:rsidR="00777DCB" w:rsidRPr="00A52585">
        <w:rPr>
          <w:rFonts w:hint="cs"/>
          <w:rtl/>
        </w:rPr>
        <w:t xml:space="preserve"> أو تعليقة العاملي</w:t>
      </w:r>
      <w:r w:rsidR="00DB731D" w:rsidRPr="00A52585">
        <w:rPr>
          <w:rFonts w:hint="cs"/>
          <w:rtl/>
        </w:rPr>
        <w:t>،</w:t>
      </w:r>
      <w:r w:rsidR="00777DCB" w:rsidRPr="00A52585">
        <w:rPr>
          <w:rFonts w:hint="cs"/>
          <w:rtl/>
        </w:rPr>
        <w:t xml:space="preserve"> أو تعليقة الشريفة ويستعير منها استعارات</w:t>
      </w:r>
      <w:r w:rsidR="00DB731D" w:rsidRPr="00A52585">
        <w:rPr>
          <w:rFonts w:hint="cs"/>
          <w:rtl/>
        </w:rPr>
        <w:t>،</w:t>
      </w:r>
      <w:r w:rsidR="00777DCB" w:rsidRPr="00A52585">
        <w:rPr>
          <w:rFonts w:hint="cs"/>
          <w:rtl/>
        </w:rPr>
        <w:t xml:space="preserve"> فصنفت لهم تعاليق منها " كتاب الانصاف في مسائل الخلاف "</w:t>
      </w:r>
      <w:r w:rsidR="00DB731D" w:rsidRPr="00A52585">
        <w:rPr>
          <w:rFonts w:hint="cs"/>
          <w:rtl/>
        </w:rPr>
        <w:t>،</w:t>
      </w:r>
      <w:r w:rsidR="00777DCB" w:rsidRPr="00A52585">
        <w:rPr>
          <w:rFonts w:hint="cs"/>
          <w:rtl/>
        </w:rPr>
        <w:t xml:space="preserve"> ومنها " جنة النظر وجنة الفطر "</w:t>
      </w:r>
      <w:r w:rsidR="00DB731D" w:rsidRPr="00A52585">
        <w:rPr>
          <w:rFonts w:hint="cs"/>
          <w:rtl/>
        </w:rPr>
        <w:t>،</w:t>
      </w:r>
      <w:r w:rsidR="00777DCB" w:rsidRPr="00A52585">
        <w:rPr>
          <w:rFonts w:hint="cs"/>
          <w:rtl/>
        </w:rPr>
        <w:t xml:space="preserve"> ومنها " عمدة الدلائل في مشهور المسائل "</w:t>
      </w:r>
      <w:r w:rsidR="00DB731D" w:rsidRPr="00A52585">
        <w:rPr>
          <w:rFonts w:hint="cs"/>
          <w:rtl/>
        </w:rPr>
        <w:t>،</w:t>
      </w:r>
      <w:r w:rsidR="00777DCB" w:rsidRPr="00A52585">
        <w:rPr>
          <w:rFonts w:hint="cs"/>
          <w:rtl/>
        </w:rPr>
        <w:t xml:space="preserve"> ثم رأيت جمع أحاديث التعليق التي يحتج بها أهل المذاهب</w:t>
      </w:r>
      <w:r w:rsidR="00DB731D" w:rsidRPr="00A52585">
        <w:rPr>
          <w:rFonts w:hint="cs"/>
          <w:rtl/>
        </w:rPr>
        <w:t>،</w:t>
      </w:r>
      <w:r w:rsidR="00777DCB" w:rsidRPr="00A52585">
        <w:rPr>
          <w:rFonts w:hint="cs"/>
          <w:rtl/>
        </w:rPr>
        <w:t xml:space="preserve"> وبينت تصحيح الصحيح</w:t>
      </w:r>
      <w:r w:rsidR="00DB731D" w:rsidRPr="00A52585">
        <w:rPr>
          <w:rFonts w:hint="cs"/>
          <w:rtl/>
        </w:rPr>
        <w:t>،</w:t>
      </w:r>
      <w:r w:rsidR="00777DCB" w:rsidRPr="00A52585">
        <w:rPr>
          <w:rFonts w:hint="cs"/>
          <w:rtl/>
        </w:rPr>
        <w:t xml:space="preserve"> وطعن المطعون فيه وعملت كتابا في المذاهب أدخلتها فيه</w:t>
      </w:r>
      <w:r w:rsidR="00DB731D" w:rsidRPr="00A52585">
        <w:rPr>
          <w:rFonts w:hint="cs"/>
          <w:rtl/>
        </w:rPr>
        <w:t>،</w:t>
      </w:r>
      <w:r w:rsidR="00777DCB" w:rsidRPr="00A52585">
        <w:rPr>
          <w:rFonts w:hint="cs"/>
          <w:rtl/>
        </w:rPr>
        <w:t xml:space="preserve"> وسميته " الباز الاشهب المنقض على مخالفي المذهب " وصنفت في الفروع كتاب " المذهب في المذهب " وكتاب " مسبوك الذهب " وكتاب " البلغة " وكتاب " منهاج الوصول إلى علم الاصول " وقد بلغت مصنفاتي مائتين وخمسين مصنفا</w:t>
      </w:r>
      <w:r w:rsidR="00DB731D" w:rsidRPr="00A52585">
        <w:rPr>
          <w:rFonts w:hint="cs"/>
          <w:rtl/>
        </w:rPr>
        <w:t>،</w:t>
      </w:r>
      <w:r w:rsidR="00777DCB" w:rsidRPr="00A52585">
        <w:rPr>
          <w:rFonts w:hint="cs"/>
          <w:rtl/>
        </w:rPr>
        <w:t xml:space="preserve"> ورأيت من أصحابنا من تكلم في الاصول [</w:t>
      </w:r>
      <w:r w:rsidR="00777DCB" w:rsidRPr="00A52585">
        <w:rPr>
          <w:rFonts w:hint="cs"/>
          <w:sz w:val="24"/>
          <w:rtl/>
        </w:rPr>
        <w:t>أي في علم التوحيد الذي هو أصل الدين</w:t>
      </w:r>
      <w:r w:rsidR="00777DCB" w:rsidRPr="00A52585">
        <w:rPr>
          <w:rFonts w:hint="cs"/>
          <w:rtl/>
        </w:rPr>
        <w:t>] بما لا يصلح</w:t>
      </w:r>
      <w:r w:rsidR="00DB731D" w:rsidRPr="00A52585">
        <w:rPr>
          <w:rFonts w:hint="cs"/>
          <w:rtl/>
        </w:rPr>
        <w:t>،</w:t>
      </w:r>
      <w:r w:rsidR="00777DCB" w:rsidRPr="00A52585">
        <w:rPr>
          <w:rFonts w:hint="cs"/>
          <w:rtl/>
        </w:rPr>
        <w:t xml:space="preserve"> وانتدب</w:t>
      </w:r>
      <w:r w:rsidR="00DB731D" w:rsidRPr="00A52585">
        <w:rPr>
          <w:rFonts w:hint="cs"/>
          <w:rtl/>
        </w:rPr>
        <w:t>،</w:t>
      </w:r>
      <w:r w:rsidR="00777DCB" w:rsidRPr="00A52585">
        <w:rPr>
          <w:rFonts w:hint="cs"/>
          <w:rtl/>
        </w:rPr>
        <w:t xml:space="preserve"> للتصنيف ثلاثة</w:t>
      </w:r>
      <w:r w:rsidRPr="00A52585">
        <w:rPr>
          <w:rFonts w:hint="cs"/>
          <w:rtl/>
        </w:rPr>
        <w:t>:</w:t>
      </w:r>
      <w:r w:rsidR="00777DCB" w:rsidRPr="00A52585">
        <w:rPr>
          <w:rFonts w:hint="cs"/>
          <w:rtl/>
        </w:rPr>
        <w:t xml:space="preserve"> أبو عبد الله بن حامد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الامام المحدث الكوثري رحمه الله تعالى مترجما له في تعليقه على " دفع شبه التشبيه " هو شيخ الحنابلة أبو عبد الله الحسن بن حامد بن علي البغدادي الوراق المتوفى سنة ثلاث وأربعمائة</w:t>
      </w:r>
      <w:r w:rsidR="00DB731D" w:rsidRPr="00A52585">
        <w:rPr>
          <w:rFonts w:hint="cs"/>
          <w:sz w:val="24"/>
          <w:szCs w:val="24"/>
          <w:rtl/>
        </w:rPr>
        <w:t>،</w:t>
      </w:r>
      <w:r w:rsidR="00777DCB" w:rsidRPr="00A52585">
        <w:rPr>
          <w:rFonts w:hint="cs"/>
          <w:sz w:val="24"/>
          <w:szCs w:val="24"/>
          <w:rtl/>
        </w:rPr>
        <w:t xml:space="preserve"> كان من أكبر مصنفيهم</w:t>
      </w:r>
      <w:r w:rsidR="00DB731D" w:rsidRPr="00A52585">
        <w:rPr>
          <w:rFonts w:hint="cs"/>
          <w:sz w:val="24"/>
          <w:szCs w:val="24"/>
          <w:rtl/>
        </w:rPr>
        <w:t>،</w:t>
      </w:r>
      <w:r w:rsidR="00777DCB" w:rsidRPr="00A52585">
        <w:rPr>
          <w:rFonts w:hint="cs"/>
          <w:sz w:val="24"/>
          <w:szCs w:val="24"/>
          <w:rtl/>
        </w:rPr>
        <w:t xml:space="preserve"> له شرح أصول الدين</w:t>
      </w:r>
      <w:r w:rsidR="00DB731D" w:rsidRPr="00A52585">
        <w:rPr>
          <w:rFonts w:hint="cs"/>
          <w:sz w:val="24"/>
          <w:szCs w:val="24"/>
          <w:rtl/>
        </w:rPr>
        <w:t>،</w:t>
      </w:r>
      <w:r w:rsidR="00777DCB" w:rsidRPr="00A52585">
        <w:rPr>
          <w:rFonts w:hint="cs"/>
          <w:sz w:val="24"/>
          <w:szCs w:val="24"/>
          <w:rtl/>
        </w:rPr>
        <w:t xml:space="preserve"> فيه طامات سيورد المصنف بعضها</w:t>
      </w:r>
      <w:r w:rsidR="00DB731D" w:rsidRPr="00A52585">
        <w:rPr>
          <w:rFonts w:hint="cs"/>
          <w:sz w:val="24"/>
          <w:szCs w:val="24"/>
          <w:rtl/>
        </w:rPr>
        <w:t>،</w:t>
      </w:r>
      <w:r w:rsidR="00777DCB" w:rsidRPr="00A52585">
        <w:rPr>
          <w:rFonts w:hint="cs"/>
          <w:sz w:val="24"/>
          <w:szCs w:val="24"/>
          <w:rtl/>
        </w:rPr>
        <w:t xml:space="preserve"> ولديه تخرج القاضي أبو يعلى الحنبلي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ترجمه الذهبي في " سير أعلام النبلاء " في المجلد </w:t>
      </w:r>
      <w:r w:rsidRPr="00A52585">
        <w:rPr>
          <w:rFonts w:hint="cs"/>
          <w:sz w:val="24"/>
          <w:szCs w:val="24"/>
          <w:rtl/>
        </w:rPr>
        <w:t>(</w:t>
      </w:r>
      <w:r w:rsidR="00777DCB" w:rsidRPr="00A52585">
        <w:rPr>
          <w:rFonts w:hint="cs"/>
          <w:sz w:val="24"/>
          <w:szCs w:val="24"/>
          <w:rtl/>
        </w:rPr>
        <w:t>17</w:t>
      </w:r>
      <w:r w:rsidRPr="00A52585">
        <w:rPr>
          <w:rFonts w:hint="cs"/>
          <w:sz w:val="24"/>
          <w:szCs w:val="24"/>
          <w:rtl/>
        </w:rPr>
        <w:t>)</w:t>
      </w:r>
      <w:r w:rsidR="00777DCB" w:rsidRPr="00A52585">
        <w:rPr>
          <w:rFonts w:hint="cs"/>
          <w:sz w:val="24"/>
          <w:szCs w:val="24"/>
          <w:rtl/>
        </w:rPr>
        <w:t xml:space="preserve"> وذكره ابن الاثير في الكامل </w:t>
      </w:r>
      <w:r w:rsidRPr="00A52585">
        <w:rPr>
          <w:rFonts w:hint="cs"/>
          <w:sz w:val="24"/>
          <w:szCs w:val="24"/>
          <w:rtl/>
        </w:rPr>
        <w:t>(</w:t>
      </w:r>
      <w:r w:rsidR="00777DCB" w:rsidRPr="00A52585">
        <w:rPr>
          <w:rFonts w:hint="cs"/>
          <w:sz w:val="24"/>
          <w:szCs w:val="24"/>
          <w:rtl/>
        </w:rPr>
        <w:t>9 / 242</w:t>
      </w:r>
      <w:r w:rsidRPr="00A52585">
        <w:rPr>
          <w:rFonts w:hint="cs"/>
          <w:sz w:val="24"/>
          <w:szCs w:val="24"/>
          <w:rtl/>
        </w:rPr>
        <w:t>)</w:t>
      </w:r>
      <w:r w:rsidR="00777DCB" w:rsidRPr="00A52585">
        <w:rPr>
          <w:rFonts w:hint="cs"/>
          <w:sz w:val="24"/>
          <w:szCs w:val="24"/>
          <w:rtl/>
        </w:rPr>
        <w:t xml:space="preserve"> وغيرهما</w:t>
      </w:r>
      <w:r w:rsidR="00DB731D" w:rsidRPr="00A52585">
        <w:rPr>
          <w:rFonts w:hint="cs"/>
          <w:sz w:val="24"/>
          <w:szCs w:val="24"/>
          <w:rtl/>
        </w:rPr>
        <w:t>،</w:t>
      </w:r>
      <w:r w:rsidR="00777DCB" w:rsidRPr="00A52585">
        <w:rPr>
          <w:rFonts w:hint="cs"/>
          <w:sz w:val="24"/>
          <w:szCs w:val="24"/>
          <w:rtl/>
        </w:rPr>
        <w:t xml:space="preserve"> قال الامام المحدث الزاهد الكوثري رحمه الله تعالى في ترجمته</w:t>
      </w:r>
      <w:r w:rsidRPr="00A52585">
        <w:rPr>
          <w:rFonts w:hint="cs"/>
          <w:sz w:val="24"/>
          <w:szCs w:val="24"/>
          <w:rtl/>
        </w:rPr>
        <w:t>:</w:t>
      </w:r>
      <w:r w:rsidR="00777DCB" w:rsidRPr="00A52585">
        <w:rPr>
          <w:rFonts w:hint="cs"/>
          <w:sz w:val="24"/>
          <w:szCs w:val="24"/>
          <w:rtl/>
        </w:rPr>
        <w:t xml:space="preserve"> هو القاضي أبو يعلى محمد بن الحسين بن محمد بن خلف بن الفراء الحنبلي المتوفى سنة ثمان وخمسين وأربعمائة</w:t>
      </w:r>
      <w:r w:rsidR="00DB731D" w:rsidRPr="00A52585">
        <w:rPr>
          <w:rFonts w:hint="cs"/>
          <w:sz w:val="24"/>
          <w:szCs w:val="24"/>
          <w:rtl/>
        </w:rPr>
        <w:t>،</w:t>
      </w:r>
      <w:r w:rsidR="00777DCB" w:rsidRPr="00A52585">
        <w:rPr>
          <w:rFonts w:hint="cs"/>
          <w:sz w:val="24"/>
          <w:szCs w:val="24"/>
          <w:rtl/>
        </w:rPr>
        <w:t xml:space="preserve"> وفيه يقول أبو محمد التميمي ما معناه</w:t>
      </w:r>
      <w:r w:rsidRPr="00A52585">
        <w:rPr>
          <w:rFonts w:hint="cs"/>
          <w:sz w:val="24"/>
          <w:szCs w:val="24"/>
          <w:rtl/>
        </w:rPr>
        <w:t>:</w:t>
      </w:r>
      <w:r w:rsidR="00777DCB" w:rsidRPr="00A52585">
        <w:rPr>
          <w:rFonts w:hint="cs"/>
          <w:sz w:val="24"/>
          <w:szCs w:val="24"/>
          <w:rtl/>
        </w:rPr>
        <w:t xml:space="preserve"> لقد شان أبو يعلى الحنابلة شينا لا يغسله ماء البحار</w:t>
      </w:r>
      <w:r w:rsidR="00DB731D" w:rsidRPr="00A52585">
        <w:rPr>
          <w:rFonts w:hint="cs"/>
          <w:sz w:val="24"/>
          <w:szCs w:val="24"/>
          <w:rtl/>
        </w:rPr>
        <w:t>،</w:t>
      </w:r>
      <w:r w:rsidR="00777DCB" w:rsidRPr="00A52585">
        <w:rPr>
          <w:rFonts w:hint="cs"/>
          <w:sz w:val="24"/>
          <w:szCs w:val="24"/>
          <w:rtl/>
        </w:rPr>
        <w:t xml:space="preserve"> على ما نقله ابن الاثير وأبو الفداء</w:t>
      </w:r>
      <w:r w:rsidR="00DB731D" w:rsidRPr="00A52585">
        <w:rPr>
          <w:rFonts w:hint="cs"/>
          <w:sz w:val="24"/>
          <w:szCs w:val="24"/>
          <w:rtl/>
        </w:rPr>
        <w:t>،</w:t>
      </w:r>
      <w:r w:rsidR="00777DCB" w:rsidRPr="00A52585">
        <w:rPr>
          <w:rFonts w:hint="cs"/>
          <w:sz w:val="24"/>
          <w:szCs w:val="24"/>
          <w:rtl/>
        </w:rPr>
        <w:t xml:space="preserve"> وعزا في طبقاته إلى الامام أحمد ما يبعد أن يصح عنه كل البعد</w:t>
      </w:r>
      <w:r w:rsidR="00DB731D" w:rsidRPr="00A52585">
        <w:rPr>
          <w:rFonts w:hint="cs"/>
          <w:sz w:val="24"/>
          <w:szCs w:val="24"/>
          <w:rtl/>
        </w:rPr>
        <w:t>،</w:t>
      </w:r>
      <w:r w:rsidR="00777DCB" w:rsidRPr="00A52585">
        <w:rPr>
          <w:rFonts w:hint="cs"/>
          <w:sz w:val="24"/>
          <w:szCs w:val="24"/>
          <w:rtl/>
        </w:rPr>
        <w:t xml:space="preserve"> ونقل ابن بدران </w:t>
      </w:r>
      <w:proofErr w:type="spellStart"/>
      <w:r w:rsidR="00777DCB" w:rsidRPr="00A52585">
        <w:rPr>
          <w:rFonts w:hint="cs"/>
          <w:sz w:val="24"/>
          <w:szCs w:val="24"/>
          <w:rtl/>
        </w:rPr>
        <w:t>الدشتى</w:t>
      </w:r>
      <w:proofErr w:type="spellEnd"/>
      <w:r w:rsidR="00777DCB" w:rsidRPr="00A52585">
        <w:rPr>
          <w:rFonts w:hint="cs"/>
          <w:sz w:val="24"/>
          <w:szCs w:val="24"/>
          <w:rtl/>
        </w:rPr>
        <w:t xml:space="preserve"> في جزء إثبات الحد عن كتاب الاصول لابي يعلى هذا ما هو أفظع مما سينقله المصنف عنه في التشبيه على تضارب في أقواله بين تنزيه وتشبيه</w:t>
      </w:r>
      <w:r w:rsidR="00DB731D" w:rsidRPr="00A52585">
        <w:rPr>
          <w:rFonts w:hint="cs"/>
          <w:sz w:val="24"/>
          <w:szCs w:val="24"/>
          <w:rtl/>
        </w:rPr>
        <w:t>،</w:t>
      </w:r>
      <w:r w:rsidR="00777DCB" w:rsidRPr="00A52585">
        <w:rPr>
          <w:rFonts w:hint="cs"/>
          <w:sz w:val="24"/>
          <w:szCs w:val="24"/>
          <w:rtl/>
        </w:rPr>
        <w:t xml:space="preserve"> ولا يخفى على الناظر أنه غير الحافظ أبي يعلى أحمد بن علي الموصلي صاحب المسند وراوي كتب أبي يوسف عن بشر بن الوليد</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والعجيب الغريب وإن كان لا عجب من </w:t>
      </w:r>
      <w:proofErr w:type="spellStart"/>
      <w:r w:rsidR="00777DCB" w:rsidRPr="00A52585">
        <w:rPr>
          <w:rFonts w:hint="cs"/>
          <w:sz w:val="24"/>
          <w:szCs w:val="24"/>
          <w:rtl/>
        </w:rPr>
        <w:t>حشوية</w:t>
      </w:r>
      <w:proofErr w:type="spellEnd"/>
      <w:r w:rsidR="00777DCB" w:rsidRPr="00A52585">
        <w:rPr>
          <w:rFonts w:hint="cs"/>
          <w:sz w:val="24"/>
          <w:szCs w:val="24"/>
          <w:rtl/>
        </w:rPr>
        <w:t xml:space="preserve"> الحنابلة أن الحافظ أبا بكر ابن العربي قال في العواصم </w:t>
      </w:r>
      <w:r w:rsidRPr="00A52585">
        <w:rPr>
          <w:rFonts w:hint="cs"/>
          <w:sz w:val="24"/>
          <w:szCs w:val="24"/>
          <w:rtl/>
        </w:rPr>
        <w:t>(</w:t>
      </w:r>
      <w:r w:rsidR="00777DCB" w:rsidRPr="00A52585">
        <w:rPr>
          <w:rFonts w:hint="cs"/>
          <w:sz w:val="24"/>
          <w:szCs w:val="24"/>
          <w:rtl/>
        </w:rPr>
        <w:t>2 / 283</w:t>
      </w:r>
      <w:r w:rsidRPr="00A52585">
        <w:rPr>
          <w:rFonts w:hint="cs"/>
          <w:sz w:val="24"/>
          <w:szCs w:val="24"/>
          <w:rtl/>
        </w:rPr>
        <w:t>):</w:t>
      </w:r>
      <w:r w:rsidR="00777DCB" w:rsidRPr="00A52585">
        <w:rPr>
          <w:rFonts w:hint="cs"/>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sidRPr="00A52585">
        <w:rPr>
          <w:rFonts w:hint="cs"/>
          <w:sz w:val="24"/>
          <w:szCs w:val="24"/>
          <w:rtl/>
        </w:rPr>
        <w:t>:</w:t>
      </w:r>
      <w:r w:rsidR="00777DCB" w:rsidRPr="00A52585">
        <w:rPr>
          <w:rFonts w:hint="cs"/>
          <w:sz w:val="24"/>
          <w:szCs w:val="24"/>
          <w:rtl/>
        </w:rPr>
        <w:t xml:space="preserve"> " ألزموني ما شئتم فاني التزمه إلا اللحية والعورة "</w:t>
      </w:r>
      <w:r w:rsidR="00DB731D" w:rsidRPr="00A52585">
        <w:rPr>
          <w:rFonts w:hint="cs"/>
          <w:sz w:val="24"/>
          <w:szCs w:val="24"/>
          <w:rtl/>
        </w:rPr>
        <w:t>،</w:t>
      </w:r>
      <w:r w:rsidR="00777DCB" w:rsidRPr="00A52585">
        <w:rPr>
          <w:rFonts w:hint="cs"/>
          <w:sz w:val="24"/>
          <w:szCs w:val="24"/>
          <w:rtl/>
        </w:rPr>
        <w:t xml:space="preserve"> قال بعض أئمة أهل الحق وهذا كفر قبيح واستهزاء بالله تعالى وقائله جاهل به تعالى لا يقتدى به ولا يلتفت إليه ولا متبع </w:t>
      </w:r>
      <w:proofErr w:type="spellStart"/>
      <w:r w:rsidR="00777DCB" w:rsidRPr="00A52585">
        <w:rPr>
          <w:rFonts w:hint="cs"/>
          <w:sz w:val="24"/>
          <w:szCs w:val="24"/>
          <w:rtl/>
        </w:rPr>
        <w:t>لامامه</w:t>
      </w:r>
      <w:proofErr w:type="spellEnd"/>
      <w:r w:rsidR="00777DCB" w:rsidRPr="00A52585">
        <w:rPr>
          <w:rFonts w:hint="cs"/>
          <w:sz w:val="24"/>
          <w:szCs w:val="24"/>
          <w:rtl/>
        </w:rPr>
        <w:t xml:space="preserve"> الذي ينتسب إليه ويتستر به بل هو شريك للمشركين في عبادة الاصنام فإنه ما عبد الله ولا عرفه</w:t>
      </w:r>
      <w:r w:rsidR="00DB731D" w:rsidRPr="00A52585">
        <w:rPr>
          <w:rFonts w:hint="cs"/>
          <w:sz w:val="24"/>
          <w:szCs w:val="24"/>
          <w:rtl/>
        </w:rPr>
        <w:t>،</w:t>
      </w:r>
      <w:r w:rsidR="00777DCB" w:rsidRPr="00A52585">
        <w:rPr>
          <w:rFonts w:hint="cs"/>
          <w:sz w:val="24"/>
          <w:szCs w:val="24"/>
          <w:rtl/>
        </w:rPr>
        <w:t xml:space="preserve"> وإنما صور صنما في نفسه تعالى الله عما يقول الملحدون والجاحدون علوا كبيرا " اه‍</w:t>
      </w:r>
      <w:r w:rsidR="00DB731D" w:rsidRPr="00A52585">
        <w:rPr>
          <w:rFonts w:hint="cs"/>
          <w:sz w:val="24"/>
          <w:szCs w:val="24"/>
          <w:rtl/>
        </w:rPr>
        <w:t>،</w:t>
      </w:r>
      <w:r w:rsidR="00777DCB" w:rsidRPr="00A52585">
        <w:rPr>
          <w:rFonts w:hint="cs"/>
          <w:sz w:val="24"/>
          <w:szCs w:val="24"/>
          <w:rtl/>
        </w:rPr>
        <w:t xml:space="preserve"> وفي كامل ابن الاثير </w:t>
      </w:r>
      <w:r w:rsidRPr="00A52585">
        <w:rPr>
          <w:rFonts w:hint="cs"/>
          <w:sz w:val="24"/>
          <w:szCs w:val="24"/>
          <w:rtl/>
        </w:rPr>
        <w:t>(</w:t>
      </w:r>
      <w:r w:rsidR="00777DCB" w:rsidRPr="00A52585">
        <w:rPr>
          <w:rFonts w:hint="cs"/>
          <w:sz w:val="24"/>
          <w:szCs w:val="24"/>
          <w:rtl/>
        </w:rPr>
        <w:t>10 / 52</w:t>
      </w:r>
      <w:r w:rsidRPr="00A52585">
        <w:rPr>
          <w:rFonts w:hint="cs"/>
          <w:sz w:val="24"/>
          <w:szCs w:val="24"/>
          <w:rtl/>
        </w:rPr>
        <w:t>)</w:t>
      </w:r>
      <w:r w:rsidR="00777DCB" w:rsidRPr="00A52585">
        <w:rPr>
          <w:rFonts w:hint="cs"/>
          <w:sz w:val="24"/>
          <w:szCs w:val="24"/>
          <w:rtl/>
        </w:rPr>
        <w:t xml:space="preserve"> نقلا عن العلامة أبي محمد التميمي ما معناه</w:t>
      </w:r>
      <w:r w:rsidRPr="00A52585">
        <w:rPr>
          <w:rFonts w:hint="cs"/>
          <w:sz w:val="24"/>
          <w:szCs w:val="24"/>
          <w:rtl/>
        </w:rPr>
        <w:t>:</w:t>
      </w:r>
      <w:r w:rsidR="00777DCB" w:rsidRPr="00A52585">
        <w:rPr>
          <w:rFonts w:hint="cs"/>
          <w:sz w:val="24"/>
          <w:szCs w:val="24"/>
          <w:rtl/>
        </w:rPr>
        <w:t xml:space="preserve"> " لقد شان أبو يعلى الحنابلة شينا لا يغسله ماء البحار "</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فانظرها</w:t>
      </w:r>
      <w:proofErr w:type="spellEnd"/>
      <w:r w:rsidR="00777DCB" w:rsidRPr="00A52585">
        <w:rPr>
          <w:rFonts w:hint="cs"/>
          <w:sz w:val="24"/>
          <w:szCs w:val="24"/>
          <w:rtl/>
        </w:rPr>
        <w:t xml:space="preserve"> هناك لزاما</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rtl/>
        </w:rPr>
        <w:lastRenderedPageBreak/>
        <w:t xml:space="preserve">وصاحبه القاضي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الامام المحدث الزاهد الكوثري رحمه الله تعالى في ترجمته</w:t>
      </w:r>
      <w:r w:rsidRPr="00A52585">
        <w:rPr>
          <w:rFonts w:hint="cs"/>
          <w:sz w:val="24"/>
          <w:szCs w:val="24"/>
          <w:rtl/>
        </w:rPr>
        <w:t>:</w:t>
      </w:r>
      <w:r w:rsidR="00777DCB" w:rsidRPr="00A52585">
        <w:rPr>
          <w:rFonts w:hint="cs"/>
          <w:sz w:val="24"/>
          <w:szCs w:val="24"/>
          <w:rtl/>
        </w:rPr>
        <w:t xml:space="preserve"> هو القاضي أبو يعلى محمد بن الحسين بن محمد بن خلف بن الفراء الحنبلي المتوفى سنة ثمان وخمسين وأربعمائة</w:t>
      </w:r>
      <w:r w:rsidR="00DB731D" w:rsidRPr="00A52585">
        <w:rPr>
          <w:rFonts w:hint="cs"/>
          <w:sz w:val="24"/>
          <w:szCs w:val="24"/>
          <w:rtl/>
        </w:rPr>
        <w:t>،</w:t>
      </w:r>
      <w:r w:rsidR="00777DCB" w:rsidRPr="00A52585">
        <w:rPr>
          <w:rFonts w:hint="cs"/>
          <w:sz w:val="24"/>
          <w:szCs w:val="24"/>
          <w:rtl/>
        </w:rPr>
        <w:t xml:space="preserve"> وفيه يقول أبو محمد التميمي ما معناه</w:t>
      </w:r>
      <w:r w:rsidRPr="00A52585">
        <w:rPr>
          <w:rFonts w:hint="cs"/>
          <w:sz w:val="24"/>
          <w:szCs w:val="24"/>
          <w:rtl/>
        </w:rPr>
        <w:t>:</w:t>
      </w:r>
      <w:r w:rsidR="00777DCB" w:rsidRPr="00A52585">
        <w:rPr>
          <w:rFonts w:hint="cs"/>
          <w:sz w:val="24"/>
          <w:szCs w:val="24"/>
          <w:rtl/>
        </w:rPr>
        <w:t xml:space="preserve"> لقد شان أبو يعلى الحنابلة شينا لا يغسله ماء البحار</w:t>
      </w:r>
      <w:r w:rsidR="00DB731D" w:rsidRPr="00A52585">
        <w:rPr>
          <w:rFonts w:hint="cs"/>
          <w:sz w:val="24"/>
          <w:szCs w:val="24"/>
          <w:rtl/>
        </w:rPr>
        <w:t>،</w:t>
      </w:r>
      <w:r w:rsidR="00777DCB" w:rsidRPr="00A52585">
        <w:rPr>
          <w:rFonts w:hint="cs"/>
          <w:sz w:val="24"/>
          <w:szCs w:val="24"/>
          <w:rtl/>
        </w:rPr>
        <w:t xml:space="preserve"> على ما نقله ابن الاثير وأبو الفداء</w:t>
      </w:r>
      <w:r w:rsidR="00DB731D" w:rsidRPr="00A52585">
        <w:rPr>
          <w:rFonts w:hint="cs"/>
          <w:sz w:val="24"/>
          <w:szCs w:val="24"/>
          <w:rtl/>
        </w:rPr>
        <w:t>،</w:t>
      </w:r>
      <w:r w:rsidR="00777DCB" w:rsidRPr="00A52585">
        <w:rPr>
          <w:rFonts w:hint="cs"/>
          <w:sz w:val="24"/>
          <w:szCs w:val="24"/>
          <w:rtl/>
        </w:rPr>
        <w:t xml:space="preserve"> وعزا في طبقاته إلى الامام أحمد ما يبعد أن يصح عنه كل البعد</w:t>
      </w:r>
      <w:r w:rsidR="00DB731D" w:rsidRPr="00A52585">
        <w:rPr>
          <w:rFonts w:hint="cs"/>
          <w:sz w:val="24"/>
          <w:szCs w:val="24"/>
          <w:rtl/>
        </w:rPr>
        <w:t>،</w:t>
      </w:r>
      <w:r w:rsidR="00777DCB" w:rsidRPr="00A52585">
        <w:rPr>
          <w:rFonts w:hint="cs"/>
          <w:sz w:val="24"/>
          <w:szCs w:val="24"/>
          <w:rtl/>
        </w:rPr>
        <w:t xml:space="preserve"> ونقل ابن بدران </w:t>
      </w:r>
      <w:proofErr w:type="spellStart"/>
      <w:r w:rsidR="00777DCB" w:rsidRPr="00A52585">
        <w:rPr>
          <w:rFonts w:hint="cs"/>
          <w:sz w:val="24"/>
          <w:szCs w:val="24"/>
          <w:rtl/>
        </w:rPr>
        <w:t>الدشتى</w:t>
      </w:r>
      <w:proofErr w:type="spellEnd"/>
      <w:r w:rsidR="00777DCB" w:rsidRPr="00A52585">
        <w:rPr>
          <w:rFonts w:hint="cs"/>
          <w:sz w:val="24"/>
          <w:szCs w:val="24"/>
          <w:rtl/>
        </w:rPr>
        <w:t xml:space="preserve"> في جزء إثبات الحد عن كتاب الاصول لابي يعلى هذا ما هو أفظع مما سينقله المصنف عنه في التشبيه على تضارب في أقواله بين تنزيه وتشبيه</w:t>
      </w:r>
      <w:r w:rsidR="00DB731D" w:rsidRPr="00A52585">
        <w:rPr>
          <w:rFonts w:hint="cs"/>
          <w:sz w:val="24"/>
          <w:szCs w:val="24"/>
          <w:rtl/>
        </w:rPr>
        <w:t>،</w:t>
      </w:r>
      <w:r w:rsidR="00777DCB" w:rsidRPr="00A52585">
        <w:rPr>
          <w:rFonts w:hint="cs"/>
          <w:sz w:val="24"/>
          <w:szCs w:val="24"/>
          <w:rtl/>
        </w:rPr>
        <w:t xml:space="preserve"> ولا يخفى على الناظر أنه غير الحافظ أبي يعلى أحمد بن علي الموصلي صاحب المسند وراوي كتب أبي يوسف عن بشر بن الوليد</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والعجيب الغريب وإن كان لا عجب من </w:t>
      </w:r>
      <w:proofErr w:type="spellStart"/>
      <w:r w:rsidR="00777DCB" w:rsidRPr="00A52585">
        <w:rPr>
          <w:rFonts w:hint="cs"/>
          <w:sz w:val="24"/>
          <w:szCs w:val="24"/>
          <w:rtl/>
        </w:rPr>
        <w:t>حشوية</w:t>
      </w:r>
      <w:proofErr w:type="spellEnd"/>
      <w:r w:rsidR="00777DCB" w:rsidRPr="00A52585">
        <w:rPr>
          <w:rFonts w:hint="cs"/>
          <w:sz w:val="24"/>
          <w:szCs w:val="24"/>
          <w:rtl/>
        </w:rPr>
        <w:t xml:space="preserve"> الحنابلة أن الحافظ أبا بكر ابن العربي قال في العواصم </w:t>
      </w:r>
      <w:r w:rsidRPr="00A52585">
        <w:rPr>
          <w:rFonts w:hint="cs"/>
          <w:sz w:val="24"/>
          <w:szCs w:val="24"/>
          <w:rtl/>
        </w:rPr>
        <w:t>(</w:t>
      </w:r>
      <w:r w:rsidR="00777DCB" w:rsidRPr="00A52585">
        <w:rPr>
          <w:rFonts w:hint="cs"/>
          <w:sz w:val="24"/>
          <w:szCs w:val="24"/>
          <w:rtl/>
        </w:rPr>
        <w:t>2 / 283</w:t>
      </w:r>
      <w:r w:rsidRPr="00A52585">
        <w:rPr>
          <w:rFonts w:hint="cs"/>
          <w:sz w:val="24"/>
          <w:szCs w:val="24"/>
          <w:rtl/>
        </w:rPr>
        <w:t>):</w:t>
      </w:r>
      <w:r w:rsidR="00777DCB" w:rsidRPr="00A52585">
        <w:rPr>
          <w:rFonts w:hint="cs"/>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sidRPr="00A52585">
        <w:rPr>
          <w:rFonts w:hint="cs"/>
          <w:sz w:val="24"/>
          <w:szCs w:val="24"/>
          <w:rtl/>
        </w:rPr>
        <w:t>:</w:t>
      </w:r>
      <w:r w:rsidR="00777DCB" w:rsidRPr="00A52585">
        <w:rPr>
          <w:rFonts w:hint="cs"/>
          <w:sz w:val="24"/>
          <w:szCs w:val="24"/>
          <w:rtl/>
        </w:rPr>
        <w:t xml:space="preserve"> " ألزموني ما شئتم فاني التزمه إلا اللحية والعورة "</w:t>
      </w:r>
      <w:r w:rsidR="00DB731D" w:rsidRPr="00A52585">
        <w:rPr>
          <w:rFonts w:hint="cs"/>
          <w:sz w:val="24"/>
          <w:szCs w:val="24"/>
          <w:rtl/>
        </w:rPr>
        <w:t>،</w:t>
      </w:r>
      <w:r w:rsidR="00777DCB" w:rsidRPr="00A52585">
        <w:rPr>
          <w:rFonts w:hint="cs"/>
          <w:sz w:val="24"/>
          <w:szCs w:val="24"/>
          <w:rtl/>
        </w:rPr>
        <w:t xml:space="preserve"> قال بعض أئمة أهل الحق وهذا كفر قبيح واستهزاء بالله تعالى وقائله جاهل به تعالى لا يقتدى به ولا يلتفت إليه ولا متبع </w:t>
      </w:r>
      <w:proofErr w:type="spellStart"/>
      <w:r w:rsidR="00777DCB" w:rsidRPr="00A52585">
        <w:rPr>
          <w:rFonts w:hint="cs"/>
          <w:sz w:val="24"/>
          <w:szCs w:val="24"/>
          <w:rtl/>
        </w:rPr>
        <w:t>لامامه</w:t>
      </w:r>
      <w:proofErr w:type="spellEnd"/>
      <w:r w:rsidR="00777DCB" w:rsidRPr="00A52585">
        <w:rPr>
          <w:rFonts w:hint="cs"/>
          <w:sz w:val="24"/>
          <w:szCs w:val="24"/>
          <w:rtl/>
        </w:rPr>
        <w:t xml:space="preserve"> الذي ينتسب إليه ويتستر به بل هو شريك للمشركين في عبادة الاصنام فإنه ما عبد الله ولا عرفه</w:t>
      </w:r>
      <w:r w:rsidR="00DB731D" w:rsidRPr="00A52585">
        <w:rPr>
          <w:rFonts w:hint="cs"/>
          <w:sz w:val="24"/>
          <w:szCs w:val="24"/>
          <w:rtl/>
        </w:rPr>
        <w:t>،</w:t>
      </w:r>
      <w:r w:rsidR="00777DCB" w:rsidRPr="00A52585">
        <w:rPr>
          <w:rFonts w:hint="cs"/>
          <w:sz w:val="24"/>
          <w:szCs w:val="24"/>
          <w:rtl/>
        </w:rPr>
        <w:t xml:space="preserve"> وإنما صور صنما في نفسه تعالى الله عما يقول الملحدون والجاحدون علوا كبيرا " اه‍</w:t>
      </w:r>
      <w:r w:rsidR="00DB731D" w:rsidRPr="00A52585">
        <w:rPr>
          <w:rFonts w:hint="cs"/>
          <w:sz w:val="24"/>
          <w:szCs w:val="24"/>
          <w:rtl/>
        </w:rPr>
        <w:t>،</w:t>
      </w:r>
      <w:r w:rsidR="00777DCB" w:rsidRPr="00A52585">
        <w:rPr>
          <w:rFonts w:hint="cs"/>
          <w:sz w:val="24"/>
          <w:szCs w:val="24"/>
          <w:rtl/>
        </w:rPr>
        <w:t xml:space="preserve"> وفي كامل ابن الاثير </w:t>
      </w:r>
      <w:r w:rsidRPr="00A52585">
        <w:rPr>
          <w:rFonts w:hint="cs"/>
          <w:sz w:val="24"/>
          <w:szCs w:val="24"/>
          <w:rtl/>
        </w:rPr>
        <w:t>(</w:t>
      </w:r>
      <w:r w:rsidR="00777DCB" w:rsidRPr="00A52585">
        <w:rPr>
          <w:rFonts w:hint="cs"/>
          <w:sz w:val="24"/>
          <w:szCs w:val="24"/>
          <w:rtl/>
        </w:rPr>
        <w:t>10 / 52</w:t>
      </w:r>
      <w:r w:rsidRPr="00A52585">
        <w:rPr>
          <w:rFonts w:hint="cs"/>
          <w:sz w:val="24"/>
          <w:szCs w:val="24"/>
          <w:rtl/>
        </w:rPr>
        <w:t>)</w:t>
      </w:r>
      <w:r w:rsidR="00777DCB" w:rsidRPr="00A52585">
        <w:rPr>
          <w:rFonts w:hint="cs"/>
          <w:sz w:val="24"/>
          <w:szCs w:val="24"/>
          <w:rtl/>
        </w:rPr>
        <w:t xml:space="preserve"> نقلا عن العلامة أبي محمد التميمي ما معناه</w:t>
      </w:r>
      <w:r w:rsidRPr="00A52585">
        <w:rPr>
          <w:rFonts w:hint="cs"/>
          <w:sz w:val="24"/>
          <w:szCs w:val="24"/>
          <w:rtl/>
        </w:rPr>
        <w:t>:</w:t>
      </w:r>
      <w:r w:rsidR="00777DCB" w:rsidRPr="00A52585">
        <w:rPr>
          <w:rFonts w:hint="cs"/>
          <w:sz w:val="24"/>
          <w:szCs w:val="24"/>
          <w:rtl/>
        </w:rPr>
        <w:t xml:space="preserve"> " لقد شان أبو يعلى الحنابلة شينا لا يغسله ماء البحار "</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فانظرها</w:t>
      </w:r>
      <w:proofErr w:type="spellEnd"/>
      <w:r w:rsidR="00777DCB" w:rsidRPr="00A52585">
        <w:rPr>
          <w:rFonts w:hint="cs"/>
          <w:sz w:val="24"/>
          <w:szCs w:val="24"/>
          <w:rtl/>
        </w:rPr>
        <w:t xml:space="preserve"> هناك لزاما</w:t>
      </w:r>
      <w:r w:rsidRPr="00A52585">
        <w:rPr>
          <w:rFonts w:hint="cs"/>
          <w:sz w:val="24"/>
          <w:szCs w:val="24"/>
          <w:rtl/>
        </w:rPr>
        <w:t>]</w:t>
      </w:r>
      <w:r w:rsidR="00DB731D" w:rsidRPr="00A52585">
        <w:rPr>
          <w:rFonts w:hint="cs"/>
          <w:sz w:val="24"/>
          <w:rtl/>
        </w:rPr>
        <w:t>،</w:t>
      </w:r>
      <w:r w:rsidR="00777DCB" w:rsidRPr="00A52585">
        <w:rPr>
          <w:rFonts w:hint="cs"/>
          <w:rtl/>
        </w:rPr>
        <w:t xml:space="preserve"> وابن </w:t>
      </w:r>
      <w:proofErr w:type="spellStart"/>
      <w:r w:rsidR="00777DCB" w:rsidRPr="00A52585">
        <w:rPr>
          <w:rFonts w:hint="cs"/>
          <w:rtl/>
        </w:rPr>
        <w:t>الزاغوني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أبو الحسن علي بن عبيد الله بن نصر </w:t>
      </w:r>
      <w:proofErr w:type="spellStart"/>
      <w:r w:rsidR="00777DCB" w:rsidRPr="00A52585">
        <w:rPr>
          <w:rFonts w:hint="cs"/>
          <w:sz w:val="24"/>
          <w:szCs w:val="24"/>
          <w:rtl/>
        </w:rPr>
        <w:t>الزاغوني</w:t>
      </w:r>
      <w:proofErr w:type="spellEnd"/>
      <w:r w:rsidR="00777DCB" w:rsidRPr="00A52585">
        <w:rPr>
          <w:rFonts w:hint="cs"/>
          <w:sz w:val="24"/>
          <w:szCs w:val="24"/>
          <w:rtl/>
        </w:rPr>
        <w:t xml:space="preserve"> الحنبلي المتوفى سنة </w:t>
      </w:r>
      <w:r w:rsidRPr="00A52585">
        <w:rPr>
          <w:rFonts w:hint="cs"/>
          <w:sz w:val="24"/>
          <w:szCs w:val="24"/>
          <w:rtl/>
        </w:rPr>
        <w:t>(</w:t>
      </w:r>
      <w:r w:rsidR="00777DCB" w:rsidRPr="00A52585">
        <w:rPr>
          <w:rFonts w:hint="cs"/>
          <w:sz w:val="24"/>
          <w:szCs w:val="24"/>
          <w:rtl/>
        </w:rPr>
        <w:t>527</w:t>
      </w:r>
      <w:r w:rsidRPr="00A52585">
        <w:rPr>
          <w:rFonts w:hint="cs"/>
          <w:sz w:val="24"/>
          <w:szCs w:val="24"/>
          <w:rtl/>
        </w:rPr>
        <w:t>)</w:t>
      </w:r>
      <w:r w:rsidR="00777DCB" w:rsidRPr="00A52585">
        <w:rPr>
          <w:rFonts w:hint="cs"/>
          <w:sz w:val="24"/>
          <w:szCs w:val="24"/>
          <w:rtl/>
        </w:rPr>
        <w:t xml:space="preserve"> ه‍ وهو من مشايخ ابن الجوزي رحمه الله تعالى الذين رد عليهم كما تجده في هذا الكتاب إن شاء الله تعالى</w:t>
      </w:r>
      <w:r w:rsidR="00DB731D" w:rsidRPr="00A52585">
        <w:rPr>
          <w:rFonts w:hint="cs"/>
          <w:sz w:val="24"/>
          <w:szCs w:val="24"/>
          <w:rtl/>
        </w:rPr>
        <w:t>،</w:t>
      </w:r>
      <w:r w:rsidR="00777DCB" w:rsidRPr="00A52585">
        <w:rPr>
          <w:rFonts w:hint="cs"/>
          <w:sz w:val="24"/>
          <w:szCs w:val="24"/>
          <w:rtl/>
        </w:rPr>
        <w:t xml:space="preserve"> له كتاب " الايضاح " فيه من غرائب التشبيه ما يحار فيه النبيه</w:t>
      </w:r>
      <w:r w:rsidR="00DB731D" w:rsidRPr="00A52585">
        <w:rPr>
          <w:rFonts w:hint="cs"/>
          <w:sz w:val="24"/>
          <w:szCs w:val="24"/>
          <w:rtl/>
        </w:rPr>
        <w:t>،</w:t>
      </w:r>
      <w:r w:rsidR="00777DCB" w:rsidRPr="00A52585">
        <w:rPr>
          <w:rFonts w:hint="cs"/>
          <w:sz w:val="24"/>
          <w:szCs w:val="24"/>
          <w:rtl/>
        </w:rPr>
        <w:t xml:space="preserve"> قال الذهبي في ترجمته من " سير أعلام النبلاء " </w:t>
      </w:r>
      <w:r w:rsidRPr="00A52585">
        <w:rPr>
          <w:rFonts w:hint="cs"/>
          <w:sz w:val="24"/>
          <w:szCs w:val="24"/>
          <w:rtl/>
        </w:rPr>
        <w:t>(</w:t>
      </w:r>
      <w:r w:rsidR="00777DCB" w:rsidRPr="00A52585">
        <w:rPr>
          <w:rFonts w:hint="cs"/>
          <w:sz w:val="24"/>
          <w:szCs w:val="24"/>
          <w:rtl/>
        </w:rPr>
        <w:t>19 / 607</w:t>
      </w:r>
      <w:r w:rsidRPr="00A52585">
        <w:rPr>
          <w:rFonts w:hint="cs"/>
          <w:sz w:val="24"/>
          <w:szCs w:val="24"/>
          <w:rtl/>
        </w:rPr>
        <w:t>):</w:t>
      </w:r>
      <w:r w:rsidR="00777DCB" w:rsidRPr="00A52585">
        <w:rPr>
          <w:rFonts w:hint="cs"/>
          <w:sz w:val="24"/>
          <w:szCs w:val="24"/>
          <w:rtl/>
        </w:rPr>
        <w:t xml:space="preserve"> " ورأيت لابي الحسن بخطه مقالة في الحرف والصوت عليه فيها مآخذا والله يغفر له</w:t>
      </w:r>
      <w:r w:rsidR="00DB731D" w:rsidRPr="00A52585">
        <w:rPr>
          <w:rFonts w:hint="cs"/>
          <w:sz w:val="24"/>
          <w:szCs w:val="24"/>
          <w:rtl/>
        </w:rPr>
        <w:t>،</w:t>
      </w:r>
      <w:r w:rsidR="00777DCB" w:rsidRPr="00A52585">
        <w:rPr>
          <w:rFonts w:hint="cs"/>
          <w:sz w:val="24"/>
          <w:szCs w:val="24"/>
          <w:rtl/>
        </w:rPr>
        <w:t xml:space="preserve"> فيا ليته سكت " اه‍ أي ولم ينطق بذلك التخليط</w:t>
      </w:r>
      <w:r w:rsidR="00DB731D" w:rsidRPr="00A52585">
        <w:rPr>
          <w:rFonts w:hint="cs"/>
          <w:sz w:val="24"/>
          <w:szCs w:val="24"/>
          <w:rtl/>
        </w:rPr>
        <w:t>،</w:t>
      </w:r>
      <w:r w:rsidRPr="00A52585">
        <w:rPr>
          <w:rFonts w:hint="cs"/>
          <w:sz w:val="24"/>
          <w:szCs w:val="24"/>
          <w:rtl/>
        </w:rPr>
        <w:t>]</w:t>
      </w:r>
      <w:r w:rsidRPr="00A52585">
        <w:rPr>
          <w:rFonts w:hint="cs"/>
          <w:rtl/>
        </w:rPr>
        <w:t xml:space="preserve"> </w:t>
      </w:r>
      <w:r w:rsidR="00777DCB" w:rsidRPr="00A52585">
        <w:rPr>
          <w:rFonts w:hint="cs"/>
          <w:rtl/>
        </w:rPr>
        <w:t xml:space="preserve">فصنفوا كتبا شانوا بها المذهب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وكمثل كتب " السنة " التي صنفوها ومعناها عندهم</w:t>
      </w:r>
      <w:r w:rsidRPr="00A52585">
        <w:rPr>
          <w:rFonts w:hint="cs"/>
          <w:sz w:val="24"/>
          <w:szCs w:val="24"/>
          <w:rtl/>
        </w:rPr>
        <w:t>:</w:t>
      </w:r>
      <w:r w:rsidR="00777DCB" w:rsidRPr="00A52585">
        <w:rPr>
          <w:rFonts w:hint="cs"/>
          <w:sz w:val="24"/>
          <w:szCs w:val="24"/>
          <w:rtl/>
        </w:rPr>
        <w:t xml:space="preserve"> كتب العقائد</w:t>
      </w:r>
      <w:r w:rsidR="00DB731D" w:rsidRPr="00A52585">
        <w:rPr>
          <w:rFonts w:hint="cs"/>
          <w:sz w:val="24"/>
          <w:szCs w:val="24"/>
          <w:rtl/>
        </w:rPr>
        <w:t>،</w:t>
      </w:r>
      <w:r w:rsidR="00777DCB" w:rsidRPr="00A52585">
        <w:rPr>
          <w:rFonts w:hint="cs"/>
          <w:sz w:val="24"/>
          <w:szCs w:val="24"/>
          <w:rtl/>
        </w:rPr>
        <w:t xml:space="preserve"> احتجوا فيها </w:t>
      </w:r>
      <w:proofErr w:type="spellStart"/>
      <w:r w:rsidR="00777DCB" w:rsidRPr="00A52585">
        <w:rPr>
          <w:rFonts w:hint="cs"/>
          <w:sz w:val="24"/>
          <w:szCs w:val="24"/>
          <w:rtl/>
        </w:rPr>
        <w:t>لاثبات</w:t>
      </w:r>
      <w:proofErr w:type="spellEnd"/>
      <w:r w:rsidR="00777DCB" w:rsidRPr="00A52585">
        <w:rPr>
          <w:rFonts w:hint="cs"/>
          <w:sz w:val="24"/>
          <w:szCs w:val="24"/>
          <w:rtl/>
        </w:rPr>
        <w:t xml:space="preserve"> عقائدهم بالموضوعات والواهيات والاسرائيليات من الاخبار</w:t>
      </w:r>
      <w:r w:rsidR="00DB731D" w:rsidRPr="00A52585">
        <w:rPr>
          <w:rFonts w:hint="cs"/>
          <w:sz w:val="24"/>
          <w:szCs w:val="24"/>
          <w:rtl/>
        </w:rPr>
        <w:t>،</w:t>
      </w:r>
      <w:r w:rsidR="00777DCB" w:rsidRPr="00A52585">
        <w:rPr>
          <w:rFonts w:hint="cs"/>
          <w:sz w:val="24"/>
          <w:szCs w:val="24"/>
          <w:rtl/>
        </w:rPr>
        <w:t xml:space="preserve"> بل احتجوا بأقوال بعض التابعين التي لم تثبت عنهم والتي تفيد التشبيه</w:t>
      </w:r>
      <w:r w:rsidR="00DB731D" w:rsidRPr="00A52585">
        <w:rPr>
          <w:rFonts w:hint="cs"/>
          <w:sz w:val="24"/>
          <w:szCs w:val="24"/>
          <w:rtl/>
        </w:rPr>
        <w:t>،</w:t>
      </w:r>
      <w:r w:rsidR="00777DCB" w:rsidRPr="00A52585">
        <w:rPr>
          <w:rFonts w:hint="cs"/>
          <w:sz w:val="24"/>
          <w:szCs w:val="24"/>
          <w:rtl/>
        </w:rPr>
        <w:t xml:space="preserve"> بل تنص على التشبيه الصريح وجعلوا من ينكرها كافرا زنديقا </w:t>
      </w:r>
      <w:proofErr w:type="spellStart"/>
      <w:r w:rsidR="00777DCB" w:rsidRPr="00A52585">
        <w:rPr>
          <w:rFonts w:hint="cs"/>
          <w:sz w:val="24"/>
          <w:szCs w:val="24"/>
          <w:rtl/>
        </w:rPr>
        <w:t>جهميا</w:t>
      </w:r>
      <w:proofErr w:type="spellEnd"/>
      <w:r w:rsidR="00DB731D" w:rsidRPr="00A52585">
        <w:rPr>
          <w:rFonts w:hint="cs"/>
          <w:sz w:val="24"/>
          <w:szCs w:val="24"/>
          <w:rtl/>
        </w:rPr>
        <w:t>،</w:t>
      </w:r>
      <w:r w:rsidR="00777DCB" w:rsidRPr="00A52585">
        <w:rPr>
          <w:rFonts w:hint="cs"/>
          <w:sz w:val="24"/>
          <w:szCs w:val="24"/>
          <w:rtl/>
        </w:rPr>
        <w:t xml:space="preserve"> ومثال ذلك</w:t>
      </w:r>
      <w:r w:rsidRPr="00A52585">
        <w:rPr>
          <w:rFonts w:hint="cs"/>
          <w:sz w:val="24"/>
          <w:szCs w:val="24"/>
          <w:rtl/>
        </w:rPr>
        <w:t>:</w:t>
      </w:r>
      <w:r w:rsidR="00777DCB" w:rsidRPr="00A52585">
        <w:rPr>
          <w:rFonts w:hint="cs"/>
          <w:sz w:val="24"/>
          <w:szCs w:val="24"/>
          <w:rtl/>
        </w:rPr>
        <w:t xml:space="preserve"> ما يجده من يطالع " سنة " الخلال الذي نقل في كتابه ذاك عن مجاهد أنه قال في معنى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عسى أن يبعثك ربك مقاما محمودا</w:t>
      </w:r>
      <w:r w:rsidRPr="00A52585">
        <w:rPr>
          <w:rFonts w:hint="cs"/>
          <w:sz w:val="24"/>
          <w:szCs w:val="24"/>
          <w:rtl/>
        </w:rPr>
        <w:t>)</w:t>
      </w:r>
      <w:r w:rsidR="00777DCB" w:rsidRPr="00A52585">
        <w:rPr>
          <w:rFonts w:hint="cs"/>
          <w:sz w:val="24"/>
          <w:szCs w:val="24"/>
          <w:rtl/>
        </w:rPr>
        <w:t xml:space="preserve"> أن المقام المحمود هو إجلاس سيدنا محمد صلى الله عليه وسلم بجنب ربهم على العرش الذي يزعمون أن معبودهم عليه</w:t>
      </w:r>
      <w:r w:rsidR="00DB731D" w:rsidRPr="00A52585">
        <w:rPr>
          <w:rFonts w:hint="cs"/>
          <w:sz w:val="24"/>
          <w:szCs w:val="24"/>
          <w:rtl/>
        </w:rPr>
        <w:t>،</w:t>
      </w:r>
      <w:r w:rsidR="00777DCB" w:rsidRPr="00A52585">
        <w:rPr>
          <w:rFonts w:hint="cs"/>
          <w:sz w:val="24"/>
          <w:szCs w:val="24"/>
          <w:rtl/>
        </w:rPr>
        <w:t xml:space="preserve"> وذلك في الفراغ المتبقي بعد جلوس الرب عليه بزعمهم</w:t>
      </w:r>
      <w:r w:rsidR="00DB731D" w:rsidRPr="00A52585">
        <w:rPr>
          <w:rFonts w:hint="cs"/>
          <w:sz w:val="24"/>
          <w:szCs w:val="24"/>
          <w:rtl/>
        </w:rPr>
        <w:t>،</w:t>
      </w:r>
      <w:r w:rsidR="00777DCB" w:rsidRPr="00A52585">
        <w:rPr>
          <w:rFonts w:hint="cs"/>
          <w:sz w:val="24"/>
          <w:szCs w:val="24"/>
          <w:rtl/>
        </w:rPr>
        <w:t xml:space="preserve"> والبالغ أربعة أصابع</w:t>
      </w:r>
      <w:r w:rsidR="00F95886" w:rsidRPr="00A52585">
        <w:rPr>
          <w:rFonts w:hint="cs"/>
          <w:sz w:val="24"/>
          <w:szCs w:val="24"/>
          <w:rtl/>
        </w:rPr>
        <w:t>!!</w:t>
      </w:r>
      <w:r w:rsidR="00777DCB" w:rsidRPr="00A52585">
        <w:rPr>
          <w:rFonts w:hint="cs"/>
          <w:sz w:val="24"/>
          <w:szCs w:val="24"/>
          <w:rtl/>
        </w:rPr>
        <w:t xml:space="preserve"> فلا ندري هل هي بأصابع معبودهم أم بأصابع سيدنا محمد صلى الله عليه وسلم أم بأصابع الخلال أم أبي يعلى</w:t>
      </w:r>
      <w:r w:rsidR="00F95886" w:rsidRPr="00A52585">
        <w:rPr>
          <w:rFonts w:hint="cs"/>
          <w:sz w:val="24"/>
          <w:szCs w:val="24"/>
          <w:rtl/>
        </w:rPr>
        <w:t>!!</w:t>
      </w:r>
      <w:r w:rsidR="00777DCB" w:rsidRPr="00A52585">
        <w:rPr>
          <w:rFonts w:hint="cs"/>
          <w:sz w:val="24"/>
          <w:szCs w:val="24"/>
          <w:rtl/>
        </w:rPr>
        <w:t xml:space="preserve"> وجعل الخلال في كتابه المذكور منكر ذلك كافرا </w:t>
      </w:r>
      <w:proofErr w:type="spellStart"/>
      <w:r w:rsidR="00777DCB" w:rsidRPr="00A52585">
        <w:rPr>
          <w:rFonts w:hint="cs"/>
          <w:sz w:val="24"/>
          <w:szCs w:val="24"/>
          <w:rtl/>
        </w:rPr>
        <w:t>جهميا</w:t>
      </w:r>
      <w:proofErr w:type="spellEnd"/>
      <w:r w:rsidR="00777DCB" w:rsidRPr="00A52585">
        <w:rPr>
          <w:rFonts w:hint="cs"/>
          <w:sz w:val="24"/>
          <w:szCs w:val="24"/>
          <w:rtl/>
        </w:rPr>
        <w:t xml:space="preserve"> زنديقا</w:t>
      </w:r>
      <w:r w:rsidR="00F95886" w:rsidRPr="00A52585">
        <w:rPr>
          <w:rFonts w:hint="cs"/>
          <w:sz w:val="24"/>
          <w:szCs w:val="24"/>
          <w:rtl/>
        </w:rPr>
        <w:t>!!</w:t>
      </w:r>
      <w:r w:rsidR="00777DCB" w:rsidRPr="00A52585">
        <w:rPr>
          <w:rFonts w:hint="cs"/>
          <w:sz w:val="24"/>
          <w:szCs w:val="24"/>
          <w:rtl/>
        </w:rPr>
        <w:t xml:space="preserve"> وأعرض عن الاحاديث الصحيحة الثابتة في الصحيحين في تفسير المقام المحمود بالشفاعة فلا ندري ما موقف أمثال الخلال من أحاديث الصحيحين تلك</w:t>
      </w:r>
      <w:r w:rsidR="00F95886"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ورأيتهم قد نزلوا إلى مرتبة العوام</w:t>
      </w:r>
      <w:r w:rsidR="00DB731D" w:rsidRPr="00A52585">
        <w:rPr>
          <w:rFonts w:hint="cs"/>
          <w:rtl/>
        </w:rPr>
        <w:t>،</w:t>
      </w:r>
      <w:r w:rsidR="00777DCB" w:rsidRPr="00A52585">
        <w:rPr>
          <w:rFonts w:hint="cs"/>
          <w:rtl/>
        </w:rPr>
        <w:t xml:space="preserve"> فحملوا الصفات على مقتضى الحس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وهم يتخيلون معبودهم على صورة إنسان وعلى ذلك يقيسون لان القياس لا يدخل عندهم في العبادات وانما يدخل في العقائد</w:t>
      </w:r>
      <w:r w:rsidR="00DB731D" w:rsidRPr="00A52585">
        <w:rPr>
          <w:rFonts w:hint="cs"/>
          <w:sz w:val="24"/>
          <w:szCs w:val="24"/>
          <w:rtl/>
        </w:rPr>
        <w:t>،</w:t>
      </w:r>
      <w:r w:rsidR="00777DCB" w:rsidRPr="00A52585">
        <w:rPr>
          <w:rFonts w:hint="cs"/>
          <w:sz w:val="24"/>
          <w:szCs w:val="24"/>
          <w:rtl/>
        </w:rPr>
        <w:t xml:space="preserve"> ولا عجب فقد أظهر لنا بعض مقلديهم في هذا الزمان كتابا سماه " عقيدة أهل الايمان في خلق آدم على صورة الرحمن " فإذا لم يكن هذا تشبيها فما </w:t>
      </w:r>
      <w:r w:rsidR="00777DCB" w:rsidRPr="00A52585">
        <w:rPr>
          <w:rFonts w:hint="cs"/>
          <w:sz w:val="24"/>
          <w:szCs w:val="24"/>
          <w:rtl/>
        </w:rPr>
        <w:lastRenderedPageBreak/>
        <w:t>ندري ما هو التشبيه]</w:t>
      </w:r>
      <w:r w:rsidR="00777DCB" w:rsidRPr="00A52585">
        <w:rPr>
          <w:rFonts w:hint="cs"/>
          <w:rtl/>
        </w:rPr>
        <w:t xml:space="preserve"> فسمعوا أن الله تعالى خلق آدم على صورته</w:t>
      </w:r>
      <w:r w:rsidR="00DB731D" w:rsidRPr="00A52585">
        <w:rPr>
          <w:rFonts w:hint="cs"/>
          <w:rtl/>
        </w:rPr>
        <w:t>،</w:t>
      </w:r>
      <w:r w:rsidR="00777DCB" w:rsidRPr="00A52585">
        <w:rPr>
          <w:rFonts w:hint="cs"/>
          <w:rtl/>
        </w:rPr>
        <w:t xml:space="preserve"> فأثبتوا له صورة ووجها زائدا على الذات</w:t>
      </w:r>
      <w:r w:rsidR="00DB731D" w:rsidRPr="00A52585">
        <w:rPr>
          <w:rFonts w:hint="cs"/>
          <w:rtl/>
        </w:rPr>
        <w:t>،</w:t>
      </w:r>
      <w:r w:rsidR="00777DCB" w:rsidRPr="00A52585">
        <w:rPr>
          <w:rFonts w:hint="cs"/>
          <w:rtl/>
        </w:rPr>
        <w:t xml:space="preserve"> وعينين وفما ولهوات وأضراسا وأضواء لوجهه هي السبحات ويدين</w:t>
      </w:r>
      <w:r w:rsidR="00DB731D" w:rsidRPr="00A52585">
        <w:rPr>
          <w:rFonts w:hint="cs"/>
          <w:rtl/>
        </w:rPr>
        <w:t>،</w:t>
      </w:r>
      <w:r w:rsidR="00777DCB" w:rsidRPr="00A52585">
        <w:rPr>
          <w:rFonts w:hint="cs"/>
          <w:rtl/>
        </w:rPr>
        <w:t xml:space="preserve"> وأصابع وكفا وخنصرا وإبهاما وصدرا وفخذا وساقين ورجلين</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ما سمعنا بذكر الرأس</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يجوز أن يمس ويمس</w:t>
      </w:r>
      <w:r w:rsidR="00DB731D" w:rsidRPr="00A52585">
        <w:rPr>
          <w:rFonts w:hint="cs"/>
          <w:rtl/>
        </w:rPr>
        <w:t>،</w:t>
      </w:r>
      <w:r w:rsidR="00777DCB" w:rsidRPr="00A52585">
        <w:rPr>
          <w:rFonts w:hint="cs"/>
          <w:rtl/>
        </w:rPr>
        <w:t xml:space="preserve"> ويدني العبد من ذاته</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ويتنفس</w:t>
      </w:r>
      <w:r w:rsidR="00897A24" w:rsidRPr="00A52585">
        <w:rPr>
          <w:rFonts w:hint="cs"/>
          <w:rtl/>
        </w:rPr>
        <w:t>.</w:t>
      </w:r>
      <w:r w:rsidR="00777DCB" w:rsidRPr="00A52585">
        <w:rPr>
          <w:rFonts w:hint="cs"/>
          <w:rtl/>
        </w:rPr>
        <w:t xml:space="preserve"> ثم يرضون العوام بقولهم</w:t>
      </w:r>
      <w:r w:rsidRPr="00A52585">
        <w:rPr>
          <w:rFonts w:hint="cs"/>
          <w:rtl/>
        </w:rPr>
        <w:t>:</w:t>
      </w:r>
      <w:r w:rsidR="00777DCB" w:rsidRPr="00A52585">
        <w:rPr>
          <w:rFonts w:hint="cs"/>
          <w:rtl/>
        </w:rPr>
        <w:t xml:space="preserve"> لا كما يعقل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الامعان في التيه أيضا ذكرهم لآية </w:t>
      </w:r>
      <w:r w:rsidRPr="00A52585">
        <w:rPr>
          <w:rFonts w:hint="cs"/>
          <w:sz w:val="24"/>
          <w:szCs w:val="24"/>
          <w:rtl/>
        </w:rPr>
        <w:t>(</w:t>
      </w:r>
      <w:r w:rsidR="00777DCB" w:rsidRPr="00A52585">
        <w:rPr>
          <w:rFonts w:hint="cs"/>
          <w:sz w:val="24"/>
          <w:szCs w:val="24"/>
          <w:rtl/>
        </w:rPr>
        <w:t xml:space="preserve">ليس كمثله </w:t>
      </w:r>
      <w:proofErr w:type="spellStart"/>
      <w:r w:rsidR="00777DCB" w:rsidRPr="00A52585">
        <w:rPr>
          <w:rFonts w:hint="cs"/>
          <w:sz w:val="24"/>
          <w:szCs w:val="24"/>
          <w:rtl/>
        </w:rPr>
        <w:t>شئ</w:t>
      </w:r>
      <w:proofErr w:type="spellEnd"/>
      <w:r w:rsidRPr="00A52585">
        <w:rPr>
          <w:rFonts w:hint="cs"/>
          <w:sz w:val="24"/>
          <w:szCs w:val="24"/>
          <w:rtl/>
        </w:rPr>
        <w:t>)</w:t>
      </w:r>
      <w:r w:rsidR="00777DCB" w:rsidRPr="00A52585">
        <w:rPr>
          <w:rFonts w:hint="cs"/>
          <w:sz w:val="24"/>
          <w:szCs w:val="24"/>
          <w:rtl/>
        </w:rPr>
        <w:t xml:space="preserve"> بعد كلامهم فيما يريدون من إثبات التشبيه والتمثيل</w:t>
      </w:r>
      <w:r w:rsidR="00DB731D" w:rsidRPr="00A52585">
        <w:rPr>
          <w:rFonts w:hint="cs"/>
          <w:sz w:val="24"/>
          <w:szCs w:val="24"/>
          <w:rtl/>
        </w:rPr>
        <w:t>،</w:t>
      </w:r>
      <w:r w:rsidR="00777DCB" w:rsidRPr="00A52585">
        <w:rPr>
          <w:rFonts w:hint="cs"/>
          <w:sz w:val="24"/>
          <w:szCs w:val="24"/>
          <w:rtl/>
        </w:rPr>
        <w:t xml:space="preserve"> وكذا قول بعضهم التشبيه هو أن تقول</w:t>
      </w:r>
      <w:r w:rsidRPr="00A52585">
        <w:rPr>
          <w:rFonts w:hint="cs"/>
          <w:sz w:val="24"/>
          <w:szCs w:val="24"/>
          <w:rtl/>
        </w:rPr>
        <w:t>:</w:t>
      </w:r>
      <w:r w:rsidR="00777DCB" w:rsidRPr="00A52585">
        <w:rPr>
          <w:rFonts w:hint="cs"/>
          <w:sz w:val="24"/>
          <w:szCs w:val="24"/>
          <w:rtl/>
        </w:rPr>
        <w:t xml:space="preserve"> رجل كرجلي ويد كيدي وهذا كلام غمر لا يعرف أن هذا هذيان فارغ</w:t>
      </w:r>
      <w:r w:rsidR="00DB731D" w:rsidRPr="00A52585">
        <w:rPr>
          <w:rFonts w:hint="cs"/>
          <w:sz w:val="24"/>
          <w:szCs w:val="24"/>
          <w:rtl/>
        </w:rPr>
        <w:t>،</w:t>
      </w:r>
      <w:r w:rsidR="00777DCB" w:rsidRPr="00A52585">
        <w:rPr>
          <w:rFonts w:hint="cs"/>
          <w:sz w:val="24"/>
          <w:szCs w:val="24"/>
          <w:rtl/>
        </w:rPr>
        <w:t xml:space="preserve"> فإذا أثبت رجلا وقدما وذراعين وصدرا وعينين ووجها وغير ذلك إلا اللحية والعورة كما قال أحد أئمتهم فأي معنى لقولهم بعد ذلك</w:t>
      </w:r>
      <w:r w:rsidRPr="00A52585">
        <w:rPr>
          <w:rFonts w:hint="cs"/>
          <w:sz w:val="24"/>
          <w:szCs w:val="24"/>
          <w:rtl/>
        </w:rPr>
        <w:t>:</w:t>
      </w:r>
      <w:r w:rsidR="00777DCB" w:rsidRPr="00A52585">
        <w:rPr>
          <w:rFonts w:hint="cs"/>
          <w:sz w:val="24"/>
          <w:szCs w:val="24"/>
          <w:rtl/>
        </w:rPr>
        <w:t xml:space="preserve"> بلا تشبيه ولا </w:t>
      </w:r>
      <w:proofErr w:type="gramStart"/>
      <w:r w:rsidR="00777DCB" w:rsidRPr="00A52585">
        <w:rPr>
          <w:rFonts w:hint="cs"/>
          <w:sz w:val="24"/>
          <w:szCs w:val="24"/>
          <w:rtl/>
        </w:rPr>
        <w:t>تمثيل</w:t>
      </w:r>
      <w:r w:rsidR="00F95886" w:rsidRPr="00A52585">
        <w:rPr>
          <w:rFonts w:hint="cs"/>
          <w:sz w:val="24"/>
          <w:szCs w:val="24"/>
          <w:rtl/>
        </w:rPr>
        <w:t>؟!!</w:t>
      </w:r>
      <w:r w:rsidR="00897A24" w:rsidRPr="00A52585">
        <w:rPr>
          <w:rFonts w:hint="cs"/>
          <w:sz w:val="24"/>
          <w:szCs w:val="24"/>
          <w:rtl/>
        </w:rPr>
        <w:t>..</w:t>
      </w:r>
      <w:proofErr w:type="gramEnd"/>
      <w:r w:rsidR="00777DCB" w:rsidRPr="00A52585">
        <w:rPr>
          <w:rFonts w:hint="cs"/>
          <w:sz w:val="24"/>
          <w:szCs w:val="24"/>
          <w:rtl/>
        </w:rPr>
        <w:t xml:space="preserve"> رزقنا الله الفهم</w:t>
      </w:r>
      <w:r w:rsidRPr="00A52585">
        <w:rPr>
          <w:rFonts w:hint="cs"/>
          <w:sz w:val="24"/>
          <w:szCs w:val="24"/>
          <w:rtl/>
        </w:rPr>
        <w:t>]</w:t>
      </w:r>
      <w:r w:rsidR="00DB731D" w:rsidRPr="00A52585">
        <w:rPr>
          <w:rFonts w:hint="cs"/>
          <w:sz w:val="24"/>
          <w:szCs w:val="24"/>
          <w:rtl/>
        </w:rPr>
        <w:t>،</w:t>
      </w:r>
      <w:r w:rsidR="00777DCB" w:rsidRPr="00A52585">
        <w:rPr>
          <w:rFonts w:hint="cs"/>
          <w:rtl/>
        </w:rPr>
        <w:t xml:space="preserve"> وقد أخذوا بالظاهر في الاسماء والصفات</w:t>
      </w:r>
      <w:r w:rsidR="00DB731D" w:rsidRPr="00A52585">
        <w:rPr>
          <w:rFonts w:hint="cs"/>
          <w:rtl/>
        </w:rPr>
        <w:t>،</w:t>
      </w:r>
      <w:r w:rsidR="00777DCB" w:rsidRPr="00A52585">
        <w:rPr>
          <w:rFonts w:hint="cs"/>
          <w:rtl/>
        </w:rPr>
        <w:t xml:space="preserve"> فسموها بالصفات تسمية مبتدعة لا دليل لهم في ذلك من النقل ولا من العقل</w:t>
      </w:r>
      <w:r w:rsidR="00DB731D" w:rsidRPr="00A52585">
        <w:rPr>
          <w:rFonts w:hint="cs"/>
          <w:rtl/>
        </w:rPr>
        <w:t>،</w:t>
      </w:r>
      <w:r w:rsidR="00777DCB" w:rsidRPr="00A52585">
        <w:rPr>
          <w:rFonts w:hint="cs"/>
          <w:rtl/>
        </w:rPr>
        <w:t xml:space="preserve"> ولم يلتفتوا إلى النصوص </w:t>
      </w:r>
      <w:proofErr w:type="spellStart"/>
      <w:r w:rsidR="00777DCB" w:rsidRPr="00A52585">
        <w:rPr>
          <w:rFonts w:hint="cs"/>
          <w:rtl/>
        </w:rPr>
        <w:t>الصارفة</w:t>
      </w:r>
      <w:proofErr w:type="spellEnd"/>
      <w:r w:rsidR="00777DCB" w:rsidRPr="00A52585">
        <w:rPr>
          <w:rFonts w:hint="cs"/>
          <w:rtl/>
        </w:rPr>
        <w:t xml:space="preserve"> عن الظواهر إلى المعاني الواجبة لله تعالى ولا إلى إلغاء ما يوجبه الظاهر من سمات الحدوث</w:t>
      </w:r>
      <w:r w:rsidR="00DB731D" w:rsidRPr="00A52585">
        <w:rPr>
          <w:rFonts w:hint="cs"/>
          <w:rtl/>
        </w:rPr>
        <w:t>،</w:t>
      </w:r>
      <w:r w:rsidR="00777DCB" w:rsidRPr="00A52585">
        <w:rPr>
          <w:rFonts w:hint="cs"/>
          <w:rtl/>
        </w:rPr>
        <w:t xml:space="preserve"> ولم يقنعوا بأن يقولوا صفة فعل</w:t>
      </w:r>
      <w:r w:rsidR="00DB731D" w:rsidRPr="00A52585">
        <w:rPr>
          <w:rFonts w:hint="cs"/>
          <w:rtl/>
        </w:rPr>
        <w:t>،</w:t>
      </w:r>
      <w:r w:rsidR="00777DCB" w:rsidRPr="00A52585">
        <w:rPr>
          <w:rFonts w:hint="cs"/>
          <w:rtl/>
        </w:rPr>
        <w:t xml:space="preserve"> حتى قالوا صفة ذات</w:t>
      </w:r>
      <w:r w:rsidR="00DB731D" w:rsidRPr="00A52585">
        <w:rPr>
          <w:rFonts w:hint="cs"/>
          <w:rtl/>
        </w:rPr>
        <w:t>،</w:t>
      </w:r>
      <w:r w:rsidR="00777DCB" w:rsidRPr="00A52585">
        <w:rPr>
          <w:rFonts w:hint="cs"/>
          <w:rtl/>
        </w:rPr>
        <w:t xml:space="preserve"> ثم لما أثبتوا أنها صفات ذات قالوا</w:t>
      </w:r>
      <w:r w:rsidRPr="00A52585">
        <w:rPr>
          <w:rFonts w:hint="cs"/>
          <w:rtl/>
        </w:rPr>
        <w:t>:</w:t>
      </w:r>
      <w:r w:rsidR="00777DCB" w:rsidRPr="00A52585">
        <w:rPr>
          <w:rFonts w:hint="cs"/>
          <w:rtl/>
        </w:rPr>
        <w:t xml:space="preserve"> لا نحملها على توجيه اللغة مثل يد على نعمة وقدرة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ثبت في اللغة أن جمع يد وهي الكف أيد كما في القاموس وغيره في مادة </w:t>
      </w:r>
      <w:r w:rsidRPr="00A52585">
        <w:rPr>
          <w:rFonts w:hint="cs"/>
          <w:sz w:val="24"/>
          <w:szCs w:val="24"/>
          <w:rtl/>
        </w:rPr>
        <w:t>(</w:t>
      </w:r>
      <w:r w:rsidR="00777DCB" w:rsidRPr="00A52585">
        <w:rPr>
          <w:rFonts w:hint="cs"/>
          <w:sz w:val="24"/>
          <w:szCs w:val="24"/>
          <w:rtl/>
        </w:rPr>
        <w:t>يدى</w:t>
      </w:r>
      <w:r w:rsidRPr="00A52585">
        <w:rPr>
          <w:rFonts w:hint="cs"/>
          <w:sz w:val="24"/>
          <w:szCs w:val="24"/>
          <w:rtl/>
        </w:rPr>
        <w:t>)</w:t>
      </w:r>
      <w:r w:rsidR="00777DCB" w:rsidRPr="00A52585">
        <w:rPr>
          <w:rFonts w:hint="cs"/>
          <w:sz w:val="24"/>
          <w:szCs w:val="24"/>
          <w:rtl/>
        </w:rPr>
        <w:t xml:space="preserve"> وقد استعملت العرب </w:t>
      </w:r>
      <w:r w:rsidRPr="00A52585">
        <w:rPr>
          <w:rFonts w:hint="cs"/>
          <w:sz w:val="24"/>
          <w:szCs w:val="24"/>
          <w:rtl/>
        </w:rPr>
        <w:t>(</w:t>
      </w:r>
      <w:r w:rsidR="00777DCB" w:rsidRPr="00A52585">
        <w:rPr>
          <w:rFonts w:hint="cs"/>
          <w:sz w:val="24"/>
          <w:szCs w:val="24"/>
          <w:rtl/>
        </w:rPr>
        <w:t>الايد</w:t>
      </w:r>
      <w:r w:rsidRPr="00A52585">
        <w:rPr>
          <w:rFonts w:hint="cs"/>
          <w:sz w:val="24"/>
          <w:szCs w:val="24"/>
          <w:rtl/>
        </w:rPr>
        <w:t>)</w:t>
      </w:r>
      <w:r w:rsidR="00777DCB" w:rsidRPr="00A52585">
        <w:rPr>
          <w:rFonts w:hint="cs"/>
          <w:sz w:val="24"/>
          <w:szCs w:val="24"/>
          <w:rtl/>
        </w:rPr>
        <w:t xml:space="preserve"> بمعنى القوة</w:t>
      </w:r>
      <w:r w:rsidR="00DB731D" w:rsidRPr="00A52585">
        <w:rPr>
          <w:rFonts w:hint="cs"/>
          <w:sz w:val="24"/>
          <w:szCs w:val="24"/>
          <w:rtl/>
        </w:rPr>
        <w:t>،</w:t>
      </w:r>
      <w:r w:rsidR="00777DCB" w:rsidRPr="00A52585">
        <w:rPr>
          <w:rFonts w:hint="cs"/>
          <w:sz w:val="24"/>
          <w:szCs w:val="24"/>
          <w:rtl/>
        </w:rPr>
        <w:t xml:space="preserve"> وهي جمع يد</w:t>
      </w:r>
      <w:r w:rsidR="00DB731D" w:rsidRPr="00A52585">
        <w:rPr>
          <w:rFonts w:hint="cs"/>
          <w:sz w:val="24"/>
          <w:szCs w:val="24"/>
          <w:rtl/>
        </w:rPr>
        <w:t>،</w:t>
      </w:r>
      <w:r w:rsidR="00777DCB" w:rsidRPr="00A52585">
        <w:rPr>
          <w:rFonts w:hint="cs"/>
          <w:sz w:val="24"/>
          <w:szCs w:val="24"/>
          <w:rtl/>
        </w:rPr>
        <w:t xml:space="preserve"> لان الانسان يستعمل قوته في أغلب أحيانه بواسطة يديه</w:t>
      </w:r>
      <w:r w:rsidR="00897A24" w:rsidRPr="00A52585">
        <w:rPr>
          <w:rFonts w:hint="cs"/>
          <w:sz w:val="24"/>
          <w:szCs w:val="24"/>
          <w:rtl/>
        </w:rPr>
        <w:t>.</w:t>
      </w:r>
      <w:r w:rsidR="00777DCB" w:rsidRPr="00A52585">
        <w:rPr>
          <w:rFonts w:hint="cs"/>
          <w:sz w:val="24"/>
          <w:szCs w:val="24"/>
          <w:rtl/>
        </w:rPr>
        <w:t xml:space="preserve"> ومنه </w:t>
      </w:r>
      <w:r w:rsidRPr="00A52585">
        <w:rPr>
          <w:rFonts w:hint="cs"/>
          <w:sz w:val="24"/>
          <w:szCs w:val="24"/>
          <w:rtl/>
        </w:rPr>
        <w:t>(</w:t>
      </w:r>
      <w:r w:rsidR="00777DCB" w:rsidRPr="00A52585">
        <w:rPr>
          <w:rFonts w:hint="cs"/>
          <w:sz w:val="24"/>
          <w:szCs w:val="24"/>
          <w:rtl/>
        </w:rPr>
        <w:t>أم لهم أيد يبطشون بها</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rtl/>
        </w:rPr>
        <w:t>ومجئ</w:t>
      </w:r>
      <w:proofErr w:type="spellEnd"/>
      <w:r w:rsidR="00777DCB" w:rsidRPr="00A52585">
        <w:rPr>
          <w:rFonts w:hint="cs"/>
          <w:rtl/>
        </w:rPr>
        <w:t xml:space="preserve"> وإتيان على معنى بر ولطف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ثبت كما قدمنا أن الامام أحمد رحمه الله تعالى أول قول الله تعالى </w:t>
      </w:r>
      <w:r w:rsidRPr="00A52585">
        <w:rPr>
          <w:rFonts w:hint="cs"/>
          <w:sz w:val="24"/>
          <w:szCs w:val="24"/>
          <w:rtl/>
        </w:rPr>
        <w:t>(</w:t>
      </w:r>
      <w:r w:rsidR="00777DCB" w:rsidRPr="00A52585">
        <w:rPr>
          <w:rFonts w:hint="cs"/>
          <w:sz w:val="24"/>
          <w:szCs w:val="24"/>
          <w:rtl/>
        </w:rPr>
        <w:t>وجاء ربك</w:t>
      </w:r>
      <w:r w:rsidRPr="00A52585">
        <w:rPr>
          <w:rFonts w:hint="cs"/>
          <w:sz w:val="24"/>
          <w:szCs w:val="24"/>
          <w:rtl/>
        </w:rPr>
        <w:t>)</w:t>
      </w:r>
      <w:r w:rsidR="00777DCB" w:rsidRPr="00A52585">
        <w:rPr>
          <w:rFonts w:hint="cs"/>
          <w:sz w:val="24"/>
          <w:szCs w:val="24"/>
          <w:rtl/>
        </w:rPr>
        <w:t xml:space="preserve"> بمعنى </w:t>
      </w:r>
      <w:r w:rsidRPr="00A52585">
        <w:rPr>
          <w:rFonts w:hint="cs"/>
          <w:sz w:val="24"/>
          <w:szCs w:val="24"/>
          <w:rtl/>
        </w:rPr>
        <w:t>(</w:t>
      </w:r>
      <w:r w:rsidR="00777DCB" w:rsidRPr="00A52585">
        <w:rPr>
          <w:rFonts w:hint="cs"/>
          <w:sz w:val="24"/>
          <w:szCs w:val="24"/>
          <w:rtl/>
        </w:rPr>
        <w:t>جاء ثوابه</w:t>
      </w:r>
      <w:r w:rsidRPr="00A52585">
        <w:rPr>
          <w:rFonts w:hint="cs"/>
          <w:sz w:val="24"/>
          <w:szCs w:val="24"/>
          <w:rtl/>
        </w:rPr>
        <w:t>)</w:t>
      </w:r>
      <w:r w:rsidR="00777DCB" w:rsidRPr="00A52585">
        <w:rPr>
          <w:rFonts w:hint="cs"/>
          <w:sz w:val="24"/>
          <w:szCs w:val="24"/>
          <w:rtl/>
        </w:rPr>
        <w:t xml:space="preserve"> كما هو ثابت عنه </w:t>
      </w:r>
      <w:proofErr w:type="spellStart"/>
      <w:r w:rsidR="00777DCB" w:rsidRPr="00A52585">
        <w:rPr>
          <w:rFonts w:hint="cs"/>
          <w:sz w:val="24"/>
          <w:szCs w:val="24"/>
          <w:rtl/>
        </w:rPr>
        <w:t>بالاسناد</w:t>
      </w:r>
      <w:proofErr w:type="spellEnd"/>
      <w:r w:rsidR="00777DCB" w:rsidRPr="00A52585">
        <w:rPr>
          <w:rFonts w:hint="cs"/>
          <w:sz w:val="24"/>
          <w:szCs w:val="24"/>
          <w:rtl/>
        </w:rPr>
        <w:t xml:space="preserve"> الصحيح في البداية والنهاية </w:t>
      </w:r>
      <w:r w:rsidRPr="00A52585">
        <w:rPr>
          <w:rFonts w:hint="cs"/>
          <w:sz w:val="24"/>
          <w:szCs w:val="24"/>
          <w:rtl/>
        </w:rPr>
        <w:t>(</w:t>
      </w:r>
      <w:r w:rsidR="00777DCB" w:rsidRPr="00A52585">
        <w:rPr>
          <w:rFonts w:hint="cs"/>
          <w:sz w:val="24"/>
          <w:szCs w:val="24"/>
          <w:rtl/>
        </w:rPr>
        <w:t>10 / 327</w:t>
      </w:r>
      <w:r w:rsidRPr="00A52585">
        <w:rPr>
          <w:rFonts w:hint="cs"/>
          <w:sz w:val="24"/>
          <w:szCs w:val="24"/>
          <w:rtl/>
        </w:rPr>
        <w:t>)]</w:t>
      </w:r>
      <w:r w:rsidR="00DB731D" w:rsidRPr="00A52585">
        <w:rPr>
          <w:rFonts w:hint="cs"/>
          <w:rtl/>
        </w:rPr>
        <w:t>،</w:t>
      </w:r>
      <w:r w:rsidR="00777DCB" w:rsidRPr="00A52585">
        <w:rPr>
          <w:rFonts w:hint="cs"/>
          <w:rtl/>
        </w:rPr>
        <w:t xml:space="preserve"> وساق على شدة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ثبت عن سيدنا ابن عباس رضي الله عنهما كما في تفسير الطبري وغيره تأويل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يوم يكشف عن ساق</w:t>
      </w:r>
      <w:r w:rsidRPr="00A52585">
        <w:rPr>
          <w:rFonts w:hint="cs"/>
          <w:sz w:val="24"/>
          <w:szCs w:val="24"/>
          <w:rtl/>
        </w:rPr>
        <w:t>)</w:t>
      </w:r>
      <w:r w:rsidR="00777DCB" w:rsidRPr="00A52585">
        <w:rPr>
          <w:rFonts w:hint="cs"/>
          <w:sz w:val="24"/>
          <w:szCs w:val="24"/>
          <w:rtl/>
        </w:rPr>
        <w:t xml:space="preserve"> أي يوم يشتد الامر كما تقول العرب في الحرب عند اشتدادها</w:t>
      </w:r>
      <w:r w:rsidRPr="00A52585">
        <w:rPr>
          <w:rFonts w:hint="cs"/>
          <w:sz w:val="24"/>
          <w:szCs w:val="24"/>
          <w:rtl/>
        </w:rPr>
        <w:t>:</w:t>
      </w:r>
      <w:r w:rsidR="00777DCB" w:rsidRPr="00A52585">
        <w:rPr>
          <w:rFonts w:hint="cs"/>
          <w:sz w:val="24"/>
          <w:szCs w:val="24"/>
          <w:rtl/>
        </w:rPr>
        <w:t xml:space="preserve"> كشفت لهم عن ساقها وبدا من الشر الصراح وقد بسط الكلام فيه الحافظ في " فتح الباري " </w:t>
      </w:r>
      <w:r w:rsidRPr="00A52585">
        <w:rPr>
          <w:rFonts w:hint="cs"/>
          <w:sz w:val="24"/>
          <w:szCs w:val="24"/>
          <w:rtl/>
        </w:rPr>
        <w:t>(</w:t>
      </w:r>
      <w:r w:rsidR="00777DCB" w:rsidRPr="00A52585">
        <w:rPr>
          <w:rFonts w:hint="cs"/>
          <w:sz w:val="24"/>
          <w:szCs w:val="24"/>
          <w:rtl/>
        </w:rPr>
        <w:t>13 / 428</w:t>
      </w:r>
      <w:r w:rsidRPr="00A52585">
        <w:rPr>
          <w:rFonts w:hint="cs"/>
          <w:sz w:val="24"/>
          <w:szCs w:val="24"/>
          <w:rtl/>
        </w:rPr>
        <w:t>)</w:t>
      </w:r>
      <w:r w:rsidR="00777DCB" w:rsidRPr="00A52585">
        <w:rPr>
          <w:rFonts w:hint="cs"/>
          <w:sz w:val="24"/>
          <w:szCs w:val="24"/>
          <w:rtl/>
        </w:rPr>
        <w:t xml:space="preserve"> وحديث ابن عباس أخرجه البيهقي في الاسماء والصفات ص </w:t>
      </w:r>
      <w:r w:rsidRPr="00A52585">
        <w:rPr>
          <w:rFonts w:hint="cs"/>
          <w:sz w:val="24"/>
          <w:szCs w:val="24"/>
          <w:rtl/>
        </w:rPr>
        <w:t>(</w:t>
      </w:r>
      <w:r w:rsidR="00777DCB" w:rsidRPr="00A52585">
        <w:rPr>
          <w:rFonts w:hint="cs"/>
          <w:sz w:val="24"/>
          <w:szCs w:val="24"/>
          <w:rtl/>
        </w:rPr>
        <w:t>437</w:t>
      </w:r>
      <w:r w:rsidRPr="00A52585">
        <w:rPr>
          <w:rFonts w:hint="cs"/>
          <w:sz w:val="24"/>
          <w:szCs w:val="24"/>
          <w:rtl/>
        </w:rPr>
        <w:t>)</w:t>
      </w:r>
      <w:r w:rsidR="00777DCB" w:rsidRPr="00A52585">
        <w:rPr>
          <w:rFonts w:hint="cs"/>
          <w:sz w:val="24"/>
          <w:szCs w:val="24"/>
          <w:rtl/>
        </w:rPr>
        <w:t xml:space="preserve"> بسند صحيح</w:t>
      </w:r>
      <w:r w:rsidR="00DB731D" w:rsidRPr="00A52585">
        <w:rPr>
          <w:rFonts w:hint="cs"/>
          <w:sz w:val="24"/>
          <w:szCs w:val="24"/>
          <w:rtl/>
        </w:rPr>
        <w:t>،</w:t>
      </w:r>
      <w:r w:rsidR="00777DCB" w:rsidRPr="00A52585">
        <w:rPr>
          <w:rFonts w:hint="cs"/>
          <w:sz w:val="24"/>
          <w:szCs w:val="24"/>
          <w:rtl/>
        </w:rPr>
        <w:t xml:space="preserve"> وأما لفظة " ساقه " بإثبات الهاء فهي لفظة غير محفوظة وهي مردودة كما نص على ذلك الحافظ ابن حجر في الفتح </w:t>
      </w:r>
      <w:r w:rsidRPr="00A52585">
        <w:rPr>
          <w:rFonts w:hint="cs"/>
          <w:sz w:val="24"/>
          <w:szCs w:val="24"/>
          <w:rtl/>
        </w:rPr>
        <w:t>(</w:t>
      </w:r>
      <w:r w:rsidR="00777DCB" w:rsidRPr="00A52585">
        <w:rPr>
          <w:rFonts w:hint="cs"/>
          <w:sz w:val="24"/>
          <w:szCs w:val="24"/>
          <w:rtl/>
        </w:rPr>
        <w:t>8 / 664</w:t>
      </w:r>
      <w:r w:rsidRPr="00A52585">
        <w:rPr>
          <w:rFonts w:hint="cs"/>
          <w:sz w:val="24"/>
          <w:szCs w:val="24"/>
          <w:rtl/>
        </w:rPr>
        <w:t>)</w:t>
      </w:r>
      <w:r w:rsidR="00777DCB" w:rsidRPr="00A52585">
        <w:rPr>
          <w:rFonts w:hint="cs"/>
          <w:sz w:val="24"/>
          <w:szCs w:val="24"/>
          <w:rtl/>
        </w:rPr>
        <w:t xml:space="preserve"> نقلا عن الحافظ الاسماعيلي وأقره</w:t>
      </w:r>
      <w:r w:rsidR="00897A24" w:rsidRPr="00A52585">
        <w:rPr>
          <w:rFonts w:hint="cs"/>
          <w:sz w:val="24"/>
          <w:szCs w:val="24"/>
          <w:rtl/>
        </w:rPr>
        <w:t>.</w:t>
      </w:r>
      <w:r w:rsidR="00777DCB" w:rsidRPr="00A52585">
        <w:rPr>
          <w:rFonts w:hint="cs"/>
          <w:sz w:val="24"/>
          <w:szCs w:val="24"/>
          <w:rtl/>
        </w:rPr>
        <w:t xml:space="preserve"> هذا معنى كلامه</w:t>
      </w:r>
      <w:r w:rsidR="00DB731D" w:rsidRPr="00A52585">
        <w:rPr>
          <w:rFonts w:hint="cs"/>
          <w:sz w:val="24"/>
          <w:szCs w:val="24"/>
          <w:rtl/>
        </w:rPr>
        <w:t>،</w:t>
      </w:r>
      <w:r w:rsidRPr="00A52585">
        <w:rPr>
          <w:rFonts w:hint="cs"/>
          <w:sz w:val="24"/>
          <w:szCs w:val="24"/>
          <w:rtl/>
        </w:rPr>
        <w:t>]</w:t>
      </w:r>
      <w:r w:rsidR="00777DCB" w:rsidRPr="00A52585">
        <w:rPr>
          <w:rFonts w:hint="cs"/>
          <w:sz w:val="24"/>
          <w:szCs w:val="24"/>
          <w:rtl/>
        </w:rPr>
        <w:t>،</w:t>
      </w:r>
      <w:r w:rsidR="00777DCB" w:rsidRPr="00A52585">
        <w:rPr>
          <w:rFonts w:hint="cs"/>
          <w:rtl/>
        </w:rPr>
        <w:t xml:space="preserve"> بل قالوا</w:t>
      </w:r>
      <w:r w:rsidRPr="00A52585">
        <w:rPr>
          <w:rFonts w:hint="cs"/>
          <w:rtl/>
        </w:rPr>
        <w:t>:</w:t>
      </w:r>
      <w:r w:rsidR="00777DCB" w:rsidRPr="00A52585">
        <w:rPr>
          <w:rFonts w:hint="cs"/>
          <w:rtl/>
        </w:rPr>
        <w:t xml:space="preserve"> نحملها على ظواهرها المتعارفة والظاهر هو المعهود من نعوت الآدميين</w:t>
      </w:r>
      <w:r w:rsidR="00DB731D" w:rsidRPr="00A52585">
        <w:rPr>
          <w:rFonts w:hint="cs"/>
          <w:rtl/>
        </w:rPr>
        <w:t>،</w:t>
      </w:r>
      <w:r w:rsidR="00777DCB" w:rsidRPr="00A52585">
        <w:rPr>
          <w:rFonts w:hint="cs"/>
          <w:rtl/>
        </w:rPr>
        <w:t xml:space="preserve"> والشيء إنما يحمل على حقيقته إذا أمكن</w:t>
      </w:r>
      <w:r w:rsidR="00DB731D" w:rsidRPr="00A52585">
        <w:rPr>
          <w:rFonts w:hint="cs"/>
          <w:rtl/>
        </w:rPr>
        <w:t>،</w:t>
      </w:r>
      <w:r w:rsidR="00777DCB" w:rsidRPr="00A52585">
        <w:rPr>
          <w:rFonts w:hint="cs"/>
          <w:rtl/>
        </w:rPr>
        <w:t xml:space="preserve"> ثم يتحرجون من التشبيه ويأنفون من إضافته إليهم ويقولون</w:t>
      </w:r>
      <w:r w:rsidRPr="00A52585">
        <w:rPr>
          <w:rFonts w:hint="cs"/>
          <w:rtl/>
        </w:rPr>
        <w:t>:</w:t>
      </w:r>
      <w:r w:rsidR="00777DCB" w:rsidRPr="00A52585">
        <w:rPr>
          <w:rFonts w:hint="cs"/>
          <w:rtl/>
        </w:rPr>
        <w:t xml:space="preserve"> نحن أهل السنة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ويتفلسف بعضهم فيقول</w:t>
      </w:r>
      <w:r w:rsidRPr="00A52585">
        <w:rPr>
          <w:rFonts w:hint="cs"/>
          <w:sz w:val="24"/>
          <w:szCs w:val="24"/>
          <w:rtl/>
        </w:rPr>
        <w:t>:</w:t>
      </w:r>
      <w:r w:rsidR="00777DCB" w:rsidRPr="00A52585">
        <w:rPr>
          <w:rFonts w:hint="cs"/>
          <w:sz w:val="24"/>
          <w:szCs w:val="24"/>
          <w:rtl/>
        </w:rPr>
        <w:t xml:space="preserve"> " علامة المعطلة أنهم يرمون أهل السنة </w:t>
      </w:r>
      <w:proofErr w:type="spellStart"/>
      <w:r w:rsidR="00777DCB" w:rsidRPr="00A52585">
        <w:rPr>
          <w:rFonts w:hint="cs"/>
          <w:sz w:val="24"/>
          <w:szCs w:val="24"/>
          <w:rtl/>
        </w:rPr>
        <w:t>بالحشوية</w:t>
      </w:r>
      <w:proofErr w:type="spellEnd"/>
      <w:r w:rsidR="00777DCB" w:rsidRPr="00A52585">
        <w:rPr>
          <w:rFonts w:hint="cs"/>
          <w:sz w:val="24"/>
          <w:szCs w:val="24"/>
          <w:rtl/>
        </w:rPr>
        <w:t xml:space="preserve"> والمشبهة والمجسمة " وهذا كلام لا معنى له ولا قيمة له عندنا</w:t>
      </w:r>
      <w:r w:rsidR="00DB731D" w:rsidRPr="00A52585">
        <w:rPr>
          <w:rFonts w:hint="cs"/>
          <w:sz w:val="24"/>
          <w:szCs w:val="24"/>
          <w:rtl/>
        </w:rPr>
        <w:t>،</w:t>
      </w:r>
      <w:r w:rsidR="00777DCB" w:rsidRPr="00A52585">
        <w:rPr>
          <w:rFonts w:hint="cs"/>
          <w:sz w:val="24"/>
          <w:szCs w:val="24"/>
          <w:rtl/>
        </w:rPr>
        <w:t xml:space="preserve"> ومن ثبت عليه التشبيه فإنه لن ينفعه ترديد مثل هذه العبارة</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وكلامهم صريح في التشبيه وقد تبعهم خلق من العوام</w:t>
      </w:r>
      <w:r w:rsidR="00DB731D" w:rsidRPr="00A52585">
        <w:rPr>
          <w:rFonts w:hint="cs"/>
          <w:rtl/>
        </w:rPr>
        <w:t>،</w:t>
      </w:r>
      <w:r w:rsidR="00777DCB" w:rsidRPr="00A52585">
        <w:rPr>
          <w:rFonts w:hint="cs"/>
          <w:rtl/>
        </w:rPr>
        <w:t xml:space="preserve"> فقد نصحت التابع والمتبوع فقلت لهم</w:t>
      </w:r>
      <w:r w:rsidRPr="00A52585">
        <w:rPr>
          <w:rFonts w:hint="cs"/>
          <w:rtl/>
        </w:rPr>
        <w:t>:</w:t>
      </w:r>
      <w:r w:rsidR="00777DCB" w:rsidRPr="00A52585">
        <w:rPr>
          <w:rFonts w:hint="cs"/>
          <w:rtl/>
        </w:rPr>
        <w:t xml:space="preserve"> يا أصحابنا أنتم أصحاب نقل وإمامكم الاكبر أحمد بن حنبل يقول وهو تحت السياط</w:t>
      </w:r>
      <w:r w:rsidRPr="00A52585">
        <w:rPr>
          <w:rFonts w:hint="cs"/>
          <w:rtl/>
        </w:rPr>
        <w:t>:</w:t>
      </w:r>
      <w:r w:rsidR="00777DCB" w:rsidRPr="00A52585">
        <w:rPr>
          <w:rFonts w:hint="cs"/>
          <w:rtl/>
        </w:rPr>
        <w:t xml:space="preserve"> " كيف أقول ما لم يقل "</w:t>
      </w:r>
      <w:r w:rsidR="00DB731D" w:rsidRPr="00A52585">
        <w:rPr>
          <w:rFonts w:hint="cs"/>
          <w:rtl/>
        </w:rPr>
        <w:t>،</w:t>
      </w:r>
      <w:r w:rsidRPr="00A52585">
        <w:rPr>
          <w:rFonts w:hint="cs"/>
          <w:rtl/>
        </w:rPr>
        <w:t xml:space="preserve"> </w:t>
      </w:r>
      <w:r w:rsidR="00777DCB" w:rsidRPr="00A52585">
        <w:rPr>
          <w:rFonts w:hint="cs"/>
          <w:rtl/>
        </w:rPr>
        <w:t xml:space="preserve">فإياكم أن </w:t>
      </w:r>
      <w:proofErr w:type="spellStart"/>
      <w:r w:rsidR="00777DCB" w:rsidRPr="00A52585">
        <w:rPr>
          <w:rFonts w:hint="cs"/>
          <w:rtl/>
        </w:rPr>
        <w:t>تبتدعوا</w:t>
      </w:r>
      <w:proofErr w:type="spellEnd"/>
      <w:r w:rsidR="00777DCB" w:rsidRPr="00A52585">
        <w:rPr>
          <w:rFonts w:hint="cs"/>
          <w:rtl/>
        </w:rPr>
        <w:t xml:space="preserve"> في مذهبه ما ليس منه</w:t>
      </w:r>
      <w:r w:rsidR="00DB731D" w:rsidRPr="00A52585">
        <w:rPr>
          <w:rFonts w:hint="cs"/>
          <w:rtl/>
        </w:rPr>
        <w:t>،</w:t>
      </w:r>
      <w:r w:rsidR="00777DCB" w:rsidRPr="00A52585">
        <w:rPr>
          <w:rFonts w:hint="cs"/>
          <w:rtl/>
        </w:rPr>
        <w:t xml:space="preserve"> ثم قلتم في الاحاديث</w:t>
      </w:r>
      <w:r w:rsidR="00DB731D" w:rsidRPr="00A52585">
        <w:rPr>
          <w:rFonts w:hint="cs"/>
          <w:rtl/>
        </w:rPr>
        <w:t>،</w:t>
      </w:r>
      <w:r w:rsidR="00777DCB" w:rsidRPr="00A52585">
        <w:rPr>
          <w:rFonts w:hint="cs"/>
          <w:rtl/>
        </w:rPr>
        <w:t xml:space="preserve"> تحمل على </w:t>
      </w:r>
      <w:r w:rsidR="00777DCB" w:rsidRPr="00A52585">
        <w:rPr>
          <w:rFonts w:hint="cs"/>
          <w:rtl/>
        </w:rPr>
        <w:lastRenderedPageBreak/>
        <w:t xml:space="preserve">ظاهرها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وبعضهم يقول على حقيقتها</w:t>
      </w:r>
      <w:r w:rsidR="00DB731D" w:rsidRPr="00A52585">
        <w:rPr>
          <w:rFonts w:hint="cs"/>
          <w:sz w:val="24"/>
          <w:szCs w:val="24"/>
          <w:rtl/>
        </w:rPr>
        <w:t>،</w:t>
      </w:r>
      <w:r w:rsidR="00777DCB" w:rsidRPr="00A52585">
        <w:rPr>
          <w:rFonts w:hint="cs"/>
          <w:sz w:val="24"/>
          <w:szCs w:val="24"/>
          <w:rtl/>
        </w:rPr>
        <w:t xml:space="preserve"> وأسخف من ذلك من أنكر المجاز في لغة العرب وفي القرآن وفي السنة</w:t>
      </w:r>
      <w:r w:rsidR="00DB731D" w:rsidRPr="00A52585">
        <w:rPr>
          <w:rFonts w:hint="cs"/>
          <w:sz w:val="24"/>
          <w:szCs w:val="24"/>
          <w:rtl/>
        </w:rPr>
        <w:t>،</w:t>
      </w:r>
      <w:r w:rsidR="00777DCB" w:rsidRPr="00A52585">
        <w:rPr>
          <w:rFonts w:hint="cs"/>
          <w:sz w:val="24"/>
          <w:szCs w:val="24"/>
          <w:rtl/>
        </w:rPr>
        <w:t xml:space="preserve"> وقد التقيت بأعمى من هذه الطائفة ينكر المجاز في القرآن ويثبته باسم آخر فيسميه</w:t>
      </w:r>
      <w:r w:rsidRPr="00A52585">
        <w:rPr>
          <w:rFonts w:hint="cs"/>
          <w:sz w:val="24"/>
          <w:szCs w:val="24"/>
          <w:rtl/>
        </w:rPr>
        <w:t>:</w:t>
      </w:r>
      <w:r w:rsidR="00777DCB" w:rsidRPr="00A52585">
        <w:rPr>
          <w:rFonts w:hint="cs"/>
          <w:sz w:val="24"/>
          <w:szCs w:val="24"/>
          <w:rtl/>
        </w:rPr>
        <w:t xml:space="preserve"> ما يجوز في اللغة</w:t>
      </w:r>
      <w:r w:rsidR="00DB731D" w:rsidRPr="00A52585">
        <w:rPr>
          <w:rFonts w:hint="cs"/>
          <w:sz w:val="24"/>
          <w:szCs w:val="24"/>
          <w:rtl/>
        </w:rPr>
        <w:t>،</w:t>
      </w:r>
      <w:r w:rsidR="00777DCB" w:rsidRPr="00A52585">
        <w:rPr>
          <w:rFonts w:hint="cs"/>
          <w:sz w:val="24"/>
          <w:szCs w:val="24"/>
          <w:rtl/>
        </w:rPr>
        <w:t xml:space="preserve"> فسألته قائلا</w:t>
      </w:r>
      <w:r w:rsidRPr="00A52585">
        <w:rPr>
          <w:rFonts w:hint="cs"/>
          <w:sz w:val="24"/>
          <w:szCs w:val="24"/>
          <w:rtl/>
        </w:rPr>
        <w:t>:</w:t>
      </w:r>
      <w:r w:rsidR="00777DCB" w:rsidRPr="00A52585">
        <w:rPr>
          <w:rFonts w:hint="cs"/>
          <w:sz w:val="24"/>
          <w:szCs w:val="24"/>
          <w:rtl/>
        </w:rPr>
        <w:t xml:space="preserve"> إذا كنت ممن يقولون أنه لا مجاز في القرآن الكريم وأن الالفاظ على ظواهرها دائما فما تقول في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ومن كان في هذه أعمى فهو في الآخرة أعمى وأضل سبيلا</w:t>
      </w:r>
      <w:r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فتلجلج لسانه ولم يدر ما يقول</w:t>
      </w:r>
      <w:r w:rsidR="00F95886"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وظاهر القدم الجارحة</w:t>
      </w:r>
      <w:r w:rsidR="00DB731D" w:rsidRPr="00A52585">
        <w:rPr>
          <w:rFonts w:hint="cs"/>
          <w:rtl/>
        </w:rPr>
        <w:t>،</w:t>
      </w:r>
      <w:r w:rsidR="00777DCB" w:rsidRPr="00A52585">
        <w:rPr>
          <w:rFonts w:hint="cs"/>
          <w:rtl/>
        </w:rPr>
        <w:t xml:space="preserve"> فإنه لما قيل في عيسى روح الله اعتقدت النصارى أن لله صفة هي روح ولجت في مريم</w:t>
      </w:r>
      <w:r w:rsidR="00DB731D" w:rsidRPr="00A52585">
        <w:rPr>
          <w:rFonts w:hint="cs"/>
          <w:rtl/>
        </w:rPr>
        <w:t>،</w:t>
      </w:r>
      <w:r w:rsidR="00777DCB" w:rsidRPr="00A52585">
        <w:rPr>
          <w:rFonts w:hint="cs"/>
          <w:rtl/>
        </w:rPr>
        <w:t xml:space="preserve"> ومن قال</w:t>
      </w:r>
      <w:r w:rsidRPr="00A52585">
        <w:rPr>
          <w:rFonts w:hint="cs"/>
          <w:rtl/>
        </w:rPr>
        <w:t>:</w:t>
      </w:r>
      <w:r w:rsidR="00777DCB" w:rsidRPr="00A52585">
        <w:rPr>
          <w:rFonts w:hint="cs"/>
          <w:rtl/>
        </w:rPr>
        <w:t xml:space="preserve"> استوى بذاته فقد أجراه مجرى </w:t>
      </w:r>
      <w:proofErr w:type="spellStart"/>
      <w:r w:rsidR="00777DCB" w:rsidRPr="00A52585">
        <w:rPr>
          <w:rFonts w:hint="cs"/>
          <w:rtl/>
        </w:rPr>
        <w:t>الحسيات</w:t>
      </w:r>
      <w:proofErr w:type="spellEnd"/>
      <w:r w:rsidR="00DB731D" w:rsidRPr="00A52585">
        <w:rPr>
          <w:rFonts w:hint="cs"/>
          <w:rtl/>
        </w:rPr>
        <w:t>،</w:t>
      </w:r>
      <w:r w:rsidR="00777DCB" w:rsidRPr="00A52585">
        <w:rPr>
          <w:rFonts w:hint="cs"/>
          <w:rtl/>
        </w:rPr>
        <w:t xml:space="preserve"> </w:t>
      </w:r>
      <w:proofErr w:type="spellStart"/>
      <w:r w:rsidR="00777DCB" w:rsidRPr="00A52585">
        <w:rPr>
          <w:rFonts w:hint="cs"/>
          <w:rtl/>
        </w:rPr>
        <w:t>وينبغى</w:t>
      </w:r>
      <w:proofErr w:type="spellEnd"/>
      <w:r w:rsidR="00777DCB" w:rsidRPr="00A52585">
        <w:rPr>
          <w:rFonts w:hint="cs"/>
          <w:rtl/>
        </w:rPr>
        <w:t xml:space="preserve"> أن لا يهمل ما يثبت به الاصل وهو العقل</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مدح الله تعالى في كتابه أولي الالباب والذين يتفكرون في خلق السموات الارض ولا يتأتى ذلك إلا بالعقل الذي هو مناط التكليف</w:t>
      </w:r>
      <w:r w:rsidR="00DB731D" w:rsidRPr="00A52585">
        <w:rPr>
          <w:rFonts w:hint="cs"/>
          <w:sz w:val="24"/>
          <w:szCs w:val="24"/>
          <w:rtl/>
        </w:rPr>
        <w:t>،</w:t>
      </w:r>
      <w:r w:rsidR="00777DCB" w:rsidRPr="00A52585">
        <w:rPr>
          <w:rFonts w:hint="cs"/>
          <w:sz w:val="24"/>
          <w:szCs w:val="24"/>
          <w:rtl/>
        </w:rPr>
        <w:t xml:space="preserve"> وقد]</w:t>
      </w:r>
      <w:r w:rsidR="00DB731D" w:rsidRPr="00A52585">
        <w:rPr>
          <w:rFonts w:hint="cs"/>
          <w:rtl/>
        </w:rPr>
        <w:t>،</w:t>
      </w:r>
      <w:r w:rsidR="00777DCB" w:rsidRPr="00A52585">
        <w:rPr>
          <w:rFonts w:hint="cs"/>
          <w:rtl/>
        </w:rPr>
        <w:t xml:space="preserve"> فإنا به عرفنا الله تعالى</w:t>
      </w:r>
      <w:r w:rsidR="00DB731D" w:rsidRPr="00A52585">
        <w:rPr>
          <w:rFonts w:hint="cs"/>
          <w:rtl/>
        </w:rPr>
        <w:t>،</w:t>
      </w:r>
      <w:r w:rsidR="00777DCB" w:rsidRPr="00A52585">
        <w:rPr>
          <w:rFonts w:hint="cs"/>
          <w:rtl/>
        </w:rPr>
        <w:t xml:space="preserve"> وحكمنا له بالقدم</w:t>
      </w:r>
      <w:r w:rsidR="00DB731D" w:rsidRPr="00A52585">
        <w:rPr>
          <w:rFonts w:hint="cs"/>
          <w:rtl/>
        </w:rPr>
        <w:t>،</w:t>
      </w:r>
      <w:r w:rsidR="00777DCB" w:rsidRPr="00A52585">
        <w:rPr>
          <w:rFonts w:hint="cs"/>
          <w:rtl/>
        </w:rPr>
        <w:t xml:space="preserve"> فلو أنكم قلتم</w:t>
      </w:r>
      <w:r w:rsidRPr="00A52585">
        <w:rPr>
          <w:rFonts w:hint="cs"/>
          <w:rtl/>
        </w:rPr>
        <w:t>:</w:t>
      </w:r>
      <w:r w:rsidR="00777DCB" w:rsidRPr="00A52585">
        <w:rPr>
          <w:rFonts w:hint="cs"/>
          <w:rtl/>
        </w:rPr>
        <w:t xml:space="preserve"> نقرأ الاحاديث ونسكت</w:t>
      </w:r>
      <w:r w:rsidR="00DB731D" w:rsidRPr="00A52585">
        <w:rPr>
          <w:rFonts w:hint="cs"/>
          <w:rtl/>
        </w:rPr>
        <w:t>،</w:t>
      </w:r>
      <w:r w:rsidR="00777DCB" w:rsidRPr="00A52585">
        <w:rPr>
          <w:rFonts w:hint="cs"/>
          <w:rtl/>
        </w:rPr>
        <w:t xml:space="preserve"> ما أنكر عليكم أحد</w:t>
      </w:r>
      <w:r w:rsidR="00DB731D" w:rsidRPr="00A52585">
        <w:rPr>
          <w:rFonts w:hint="cs"/>
          <w:rtl/>
        </w:rPr>
        <w:t>،</w:t>
      </w:r>
      <w:r w:rsidR="00777DCB" w:rsidRPr="00A52585">
        <w:rPr>
          <w:rFonts w:hint="cs"/>
          <w:rtl/>
        </w:rPr>
        <w:t xml:space="preserve"> إنما حملكم إياها على الظاهر قبيح</w:t>
      </w:r>
      <w:r w:rsidR="00DB731D" w:rsidRPr="00A52585">
        <w:rPr>
          <w:rFonts w:hint="cs"/>
          <w:rtl/>
        </w:rPr>
        <w:t>،</w:t>
      </w:r>
      <w:r w:rsidR="00777DCB" w:rsidRPr="00A52585">
        <w:rPr>
          <w:rFonts w:hint="cs"/>
          <w:rtl/>
        </w:rPr>
        <w:t xml:space="preserve"> فلا تدخلوا في مذهب هذا الرجل الصالح السلفي ما ليس منه</w:t>
      </w:r>
      <w:r w:rsidR="00DB731D" w:rsidRPr="00A52585">
        <w:rPr>
          <w:rFonts w:hint="cs"/>
          <w:rtl/>
        </w:rPr>
        <w:t>،</w:t>
      </w:r>
      <w:r w:rsidR="00777DCB" w:rsidRPr="00A52585">
        <w:rPr>
          <w:rFonts w:hint="cs"/>
          <w:rtl/>
        </w:rPr>
        <w:t xml:space="preserve"> ولقد كسيتم هذا المذهب شينا قبيحا حتى صار لا يقال حنبلي إلا مجسم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الامام التاج عبد الوهاب السبكي المتوفى سنة 771 في كتابه " معيد النعم ومبيد النقم " ص </w:t>
      </w:r>
      <w:r w:rsidRPr="00A52585">
        <w:rPr>
          <w:rFonts w:hint="cs"/>
          <w:sz w:val="24"/>
          <w:szCs w:val="24"/>
          <w:rtl/>
        </w:rPr>
        <w:t>(</w:t>
      </w:r>
      <w:r w:rsidR="00777DCB" w:rsidRPr="00A52585">
        <w:rPr>
          <w:rFonts w:hint="cs"/>
          <w:sz w:val="24"/>
          <w:szCs w:val="24"/>
          <w:rtl/>
        </w:rPr>
        <w:t>62</w:t>
      </w:r>
      <w:r w:rsidRPr="00A52585">
        <w:rPr>
          <w:rFonts w:hint="cs"/>
          <w:sz w:val="24"/>
          <w:szCs w:val="24"/>
          <w:rtl/>
        </w:rPr>
        <w:t>):</w:t>
      </w:r>
      <w:r w:rsidR="00777DCB" w:rsidRPr="00A52585">
        <w:rPr>
          <w:rFonts w:hint="cs"/>
          <w:sz w:val="24"/>
          <w:szCs w:val="24"/>
          <w:rtl/>
        </w:rPr>
        <w:t xml:space="preserve"> " وهؤلاء الحنفية والشافعية والمالكية وفضلاء الحنابلة ولله الحمد في العقائد يد واحدة كلهم على رأي أهل السنة والجماعة</w:t>
      </w:r>
      <w:r w:rsidR="00DB731D" w:rsidRPr="00A52585">
        <w:rPr>
          <w:rFonts w:hint="cs"/>
          <w:sz w:val="24"/>
          <w:szCs w:val="24"/>
          <w:rtl/>
        </w:rPr>
        <w:t>،</w:t>
      </w:r>
      <w:r w:rsidR="00777DCB" w:rsidRPr="00A52585">
        <w:rPr>
          <w:rFonts w:hint="cs"/>
          <w:sz w:val="24"/>
          <w:szCs w:val="24"/>
          <w:rtl/>
        </w:rPr>
        <w:t xml:space="preserve"> يدينون الله تعالى بطريق شيخ السنة أبي الحسن الاشعري رحمه الله تعالى لا يحيد عنها إلا</w:t>
      </w:r>
      <w:r w:rsidR="00897A24" w:rsidRPr="00A52585">
        <w:rPr>
          <w:rFonts w:hint="cs"/>
          <w:sz w:val="24"/>
          <w:szCs w:val="24"/>
          <w:rtl/>
        </w:rPr>
        <w:t>...</w:t>
      </w:r>
      <w:r w:rsidR="00777DCB" w:rsidRPr="00A52585">
        <w:rPr>
          <w:rFonts w:hint="cs"/>
          <w:sz w:val="24"/>
          <w:szCs w:val="24"/>
          <w:rtl/>
        </w:rPr>
        <w:t xml:space="preserve"> رعاع من الحنابلة لحقوا بأهل التجسيم</w:t>
      </w:r>
      <w:r w:rsidR="00897A24" w:rsidRPr="00A52585">
        <w:rPr>
          <w:rFonts w:hint="cs"/>
          <w:sz w:val="24"/>
          <w:szCs w:val="24"/>
          <w:rtl/>
        </w:rPr>
        <w:t>...</w:t>
      </w:r>
      <w:r w:rsidR="00777DCB" w:rsidRPr="00A52585">
        <w:rPr>
          <w:rFonts w:hint="cs"/>
          <w:sz w:val="24"/>
          <w:szCs w:val="24"/>
          <w:rtl/>
        </w:rPr>
        <w:t xml:space="preserve"> " اه‍ باختصار</w:t>
      </w:r>
      <w:r w:rsidR="00DB731D" w:rsidRPr="00A52585">
        <w:rPr>
          <w:rFonts w:hint="cs"/>
          <w:sz w:val="24"/>
          <w:szCs w:val="24"/>
          <w:rtl/>
          <w:lang w:bidi="ar-KW"/>
        </w:rPr>
        <w:t>،</w:t>
      </w:r>
      <w:r w:rsidRPr="00A52585">
        <w:rPr>
          <w:rFonts w:hint="cs"/>
          <w:sz w:val="24"/>
          <w:szCs w:val="24"/>
          <w:rtl/>
          <w:lang w:bidi="ar-KW"/>
        </w:rPr>
        <w:t>]</w:t>
      </w:r>
      <w:r w:rsidR="00DB731D" w:rsidRPr="00A52585">
        <w:rPr>
          <w:rFonts w:hint="cs"/>
          <w:sz w:val="24"/>
          <w:szCs w:val="24"/>
          <w:rtl/>
        </w:rPr>
        <w:t>،</w:t>
      </w:r>
      <w:r w:rsidR="00777DCB" w:rsidRPr="00A52585">
        <w:rPr>
          <w:rFonts w:hint="cs"/>
          <w:rtl/>
        </w:rPr>
        <w:t xml:space="preserve"> ثم زينتم مذهبكم أيضا بالعصبية ليزيد بن معاوية</w:t>
      </w:r>
      <w:r w:rsidR="00DB731D" w:rsidRPr="00A52585">
        <w:rPr>
          <w:rFonts w:hint="cs"/>
          <w:rtl/>
        </w:rPr>
        <w:t>،</w:t>
      </w:r>
      <w:r w:rsidR="00777DCB" w:rsidRPr="00A52585">
        <w:rPr>
          <w:rFonts w:hint="cs"/>
          <w:rtl/>
        </w:rPr>
        <w:t xml:space="preserve"> ولقد علمتم أن صاحب المذهب أجاز لعنته</w:t>
      </w:r>
      <w:r w:rsidR="00DB731D" w:rsidRPr="00A52585">
        <w:rPr>
          <w:rFonts w:hint="cs"/>
          <w:rtl/>
        </w:rPr>
        <w:t>،</w:t>
      </w:r>
      <w:r w:rsidR="00777DCB" w:rsidRPr="00A52585">
        <w:rPr>
          <w:rFonts w:hint="cs"/>
          <w:rtl/>
        </w:rPr>
        <w:t xml:space="preserve"> وقد كان أبو محمد التميمي يقول في بعض أئمتكم</w:t>
      </w:r>
      <w:r w:rsidRPr="00A52585">
        <w:rPr>
          <w:rFonts w:hint="cs"/>
          <w:rtl/>
        </w:rPr>
        <w:t>:</w:t>
      </w:r>
      <w:r w:rsidR="00777DCB" w:rsidRPr="00A52585">
        <w:rPr>
          <w:rFonts w:hint="cs"/>
          <w:rtl/>
        </w:rPr>
        <w:t xml:space="preserve"> لقد شان المذهب شينا قبيحا لا يغسل إلى يوم القيامة</w:t>
      </w:r>
      <w:r w:rsidR="00DB731D" w:rsidRPr="00A52585">
        <w:rPr>
          <w:rFonts w:hint="cs"/>
          <w:rtl/>
        </w:rPr>
        <w:t>،</w:t>
      </w:r>
    </w:p>
    <w:p w14:paraId="1D8F28BC" w14:textId="3B2F632E" w:rsidR="00777DCB" w:rsidRPr="00A52585" w:rsidRDefault="0002035C" w:rsidP="0002035C">
      <w:pPr>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rtl/>
        </w:rPr>
        <w:t xml:space="preserve"> قلت</w:t>
      </w:r>
      <w:r w:rsidRPr="00A52585">
        <w:rPr>
          <w:rFonts w:hint="cs"/>
          <w:rtl/>
        </w:rPr>
        <w:t>:</w:t>
      </w:r>
      <w:r w:rsidR="00777DCB" w:rsidRPr="00A52585">
        <w:rPr>
          <w:rFonts w:hint="cs"/>
          <w:rtl/>
        </w:rPr>
        <w:t xml:space="preserve"> وقد وقع غلط المصنفين الذين ذكرتهم في سبعة أوجه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أحدها</w:t>
      </w:r>
      <w:r w:rsidRPr="00A52585">
        <w:rPr>
          <w:rFonts w:hint="cs"/>
          <w:rtl/>
        </w:rPr>
        <w:t>):</w:t>
      </w:r>
      <w:r w:rsidR="00777DCB" w:rsidRPr="00A52585">
        <w:rPr>
          <w:rFonts w:hint="cs"/>
          <w:rtl/>
        </w:rPr>
        <w:t xml:space="preserve"> أنهم سموا الاخبار أخبار صفات</w:t>
      </w:r>
      <w:r w:rsidR="00DB731D" w:rsidRPr="00A52585">
        <w:rPr>
          <w:rFonts w:hint="cs"/>
          <w:rtl/>
        </w:rPr>
        <w:t>،</w:t>
      </w:r>
      <w:r w:rsidR="00777DCB" w:rsidRPr="00A52585">
        <w:rPr>
          <w:rFonts w:hint="cs"/>
          <w:rtl/>
        </w:rPr>
        <w:t xml:space="preserve"> وإنما هي إضافات</w:t>
      </w:r>
      <w:r w:rsidR="00DB731D" w:rsidRPr="00A52585">
        <w:rPr>
          <w:rFonts w:hint="cs"/>
          <w:rtl/>
        </w:rPr>
        <w:t>،</w:t>
      </w:r>
      <w:r w:rsidR="00777DCB" w:rsidRPr="00A52585">
        <w:rPr>
          <w:rFonts w:hint="cs"/>
          <w:rtl/>
        </w:rPr>
        <w:t xml:space="preserve"> وليس كل مضاف صفة</w:t>
      </w:r>
      <w:r w:rsidR="00DB731D" w:rsidRPr="00A52585">
        <w:rPr>
          <w:rFonts w:hint="cs"/>
          <w:rtl/>
        </w:rPr>
        <w:t>،</w:t>
      </w:r>
      <w:r w:rsidR="00777DCB" w:rsidRPr="00A52585">
        <w:rPr>
          <w:rFonts w:hint="cs"/>
          <w:rtl/>
        </w:rPr>
        <w:t xml:space="preserve"> فإنه قال سبحانه وتعالى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ونفخت فيه من روحي</w:t>
      </w:r>
      <w:r w:rsidRPr="00A52585">
        <w:rPr>
          <w:rFonts w:hint="cs"/>
          <w:rtl/>
        </w:rPr>
        <w:t>)</w:t>
      </w:r>
      <w:r w:rsidR="00777DCB" w:rsidRPr="00A52585">
        <w:rPr>
          <w:rFonts w:hint="cs"/>
          <w:rtl/>
        </w:rPr>
        <w:t xml:space="preserve"> الحجر</w:t>
      </w:r>
      <w:r w:rsidRPr="00A52585">
        <w:rPr>
          <w:rFonts w:hint="cs"/>
          <w:rtl/>
        </w:rPr>
        <w:t>:</w:t>
      </w:r>
      <w:r w:rsidR="00777DCB" w:rsidRPr="00A52585">
        <w:rPr>
          <w:rFonts w:hint="cs"/>
          <w:rtl/>
        </w:rPr>
        <w:t xml:space="preserve"> 29</w:t>
      </w:r>
      <w:r w:rsidR="00897A24" w:rsidRPr="00A52585">
        <w:rPr>
          <w:rFonts w:hint="cs"/>
          <w:rtl/>
        </w:rPr>
        <w:t>.</w:t>
      </w:r>
      <w:r w:rsidR="00777DCB" w:rsidRPr="00A52585">
        <w:rPr>
          <w:rFonts w:hint="cs"/>
          <w:rtl/>
        </w:rPr>
        <w:t xml:space="preserve"> وليس لله صفة تسمى روحا</w:t>
      </w:r>
      <w:r w:rsidR="00DB731D" w:rsidRPr="00A52585">
        <w:rPr>
          <w:rFonts w:hint="cs"/>
          <w:rtl/>
        </w:rPr>
        <w:t>،</w:t>
      </w:r>
      <w:r w:rsidR="00777DCB" w:rsidRPr="00A52585">
        <w:rPr>
          <w:rFonts w:hint="cs"/>
          <w:rtl/>
        </w:rPr>
        <w:t xml:space="preserve"> فقد ابتدع من سمى المضاف صفة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أنهم قالوا</w:t>
      </w:r>
      <w:r w:rsidRPr="00A52585">
        <w:rPr>
          <w:rFonts w:hint="cs"/>
          <w:rtl/>
        </w:rPr>
        <w:t>:</w:t>
      </w:r>
      <w:r w:rsidR="00777DCB" w:rsidRPr="00A52585">
        <w:rPr>
          <w:rFonts w:hint="cs"/>
          <w:rtl/>
        </w:rPr>
        <w:t xml:space="preserve"> إن هذه </w:t>
      </w:r>
      <w:proofErr w:type="gramStart"/>
      <w:r w:rsidR="00777DCB" w:rsidRPr="00A52585">
        <w:rPr>
          <w:rFonts w:hint="cs"/>
          <w:rtl/>
        </w:rPr>
        <w:t>الاحاديث</w:t>
      </w:r>
      <w:proofErr w:type="gramEnd"/>
      <w:r w:rsidR="00777DCB" w:rsidRPr="00A52585">
        <w:rPr>
          <w:rFonts w:hint="cs"/>
          <w:rtl/>
        </w:rPr>
        <w:t xml:space="preserve"> من المتشابه الذي لا يعلمه إلا الله تعالى</w:t>
      </w:r>
      <w:r w:rsidR="00DB731D" w:rsidRPr="00A52585">
        <w:rPr>
          <w:rFonts w:hint="cs"/>
          <w:rtl/>
        </w:rPr>
        <w:t>،</w:t>
      </w:r>
      <w:r w:rsidR="00777DCB" w:rsidRPr="00A52585">
        <w:rPr>
          <w:rFonts w:hint="cs"/>
          <w:rtl/>
        </w:rPr>
        <w:t xml:space="preserve"> ثم قالوا</w:t>
      </w:r>
      <w:r w:rsidRPr="00A52585">
        <w:rPr>
          <w:rFonts w:hint="cs"/>
          <w:rtl/>
        </w:rPr>
        <w:t>:</w:t>
      </w:r>
      <w:r w:rsidR="00777DCB" w:rsidRPr="00A52585">
        <w:rPr>
          <w:rFonts w:hint="cs"/>
          <w:rtl/>
        </w:rPr>
        <w:t xml:space="preserve"> نحملها على ظواهرها</w:t>
      </w:r>
      <w:r w:rsidR="00DB731D" w:rsidRPr="00A52585">
        <w:rPr>
          <w:rFonts w:hint="cs"/>
          <w:rtl/>
        </w:rPr>
        <w:t>،</w:t>
      </w:r>
      <w:r w:rsidR="00777DCB" w:rsidRPr="00A52585">
        <w:rPr>
          <w:rFonts w:hint="cs"/>
          <w:rtl/>
        </w:rPr>
        <w:t xml:space="preserve"> </w:t>
      </w:r>
      <w:proofErr w:type="spellStart"/>
      <w:r w:rsidR="00777DCB" w:rsidRPr="00A52585">
        <w:rPr>
          <w:rFonts w:hint="cs"/>
          <w:rtl/>
        </w:rPr>
        <w:t>فواعجبا</w:t>
      </w:r>
      <w:proofErr w:type="spellEnd"/>
      <w:r w:rsidR="00F95886" w:rsidRPr="00A52585">
        <w:rPr>
          <w:rFonts w:hint="cs"/>
          <w:rtl/>
        </w:rPr>
        <w:t>!!</w:t>
      </w:r>
      <w:r w:rsidR="00777DCB" w:rsidRPr="00A52585">
        <w:rPr>
          <w:rFonts w:hint="cs"/>
          <w:rtl/>
        </w:rPr>
        <w:t xml:space="preserve"> ما لا يعلمه إلا الله أي ظاهر </w:t>
      </w:r>
      <w:proofErr w:type="gramStart"/>
      <w:r w:rsidR="00777DCB" w:rsidRPr="00A52585">
        <w:rPr>
          <w:rFonts w:hint="cs"/>
          <w:rtl/>
        </w:rPr>
        <w:t>له</w:t>
      </w:r>
      <w:r w:rsidR="00897A24" w:rsidRPr="00A52585">
        <w:rPr>
          <w:rFonts w:hint="cs"/>
          <w:rtl/>
        </w:rPr>
        <w:t>..</w:t>
      </w:r>
      <w:r w:rsidR="00F95886" w:rsidRPr="00A52585">
        <w:rPr>
          <w:rFonts w:hint="cs"/>
          <w:rtl/>
        </w:rPr>
        <w:t>؟</w:t>
      </w:r>
      <w:proofErr w:type="gramEnd"/>
      <w:r w:rsidR="00F95886" w:rsidRPr="00A52585">
        <w:rPr>
          <w:rFonts w:hint="cs"/>
          <w:rtl/>
        </w:rPr>
        <w:t>!</w:t>
      </w:r>
      <w:r w:rsidR="00777DCB" w:rsidRPr="00A52585">
        <w:rPr>
          <w:rFonts w:hint="cs"/>
          <w:rtl/>
        </w:rPr>
        <w:t xml:space="preserve"> فهل ظاهر الاستواء إلا القعود</w:t>
      </w:r>
      <w:r w:rsidR="00DB731D" w:rsidRPr="00A52585">
        <w:rPr>
          <w:rFonts w:hint="cs"/>
          <w:rtl/>
        </w:rPr>
        <w:t>،</w:t>
      </w:r>
      <w:r w:rsidR="00777DCB" w:rsidRPr="00A52585">
        <w:rPr>
          <w:rFonts w:hint="cs"/>
          <w:rtl/>
        </w:rPr>
        <w:t xml:space="preserve"> وظاهر النزول إلا الانتقال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الثالث</w:t>
      </w:r>
      <w:r w:rsidRPr="00A52585">
        <w:rPr>
          <w:rFonts w:hint="cs"/>
          <w:rtl/>
        </w:rPr>
        <w:t>):</w:t>
      </w:r>
      <w:r w:rsidR="00777DCB" w:rsidRPr="00A52585">
        <w:rPr>
          <w:rFonts w:hint="cs"/>
          <w:rtl/>
        </w:rPr>
        <w:t xml:space="preserve"> أنهم أثبتوا لله تعالى صفات</w:t>
      </w:r>
      <w:r w:rsidR="00DB731D" w:rsidRPr="00A52585">
        <w:rPr>
          <w:rFonts w:hint="cs"/>
          <w:rtl/>
        </w:rPr>
        <w:t>،</w:t>
      </w:r>
      <w:r w:rsidR="00777DCB" w:rsidRPr="00A52585">
        <w:rPr>
          <w:rFonts w:hint="cs"/>
          <w:rtl/>
        </w:rPr>
        <w:t xml:space="preserve"> وصفات الحق لا تثبت إلا بما يثبت به الذات من الادلة القطعية</w:t>
      </w:r>
      <w:r w:rsidR="00DB731D" w:rsidRPr="00A52585">
        <w:rPr>
          <w:rFonts w:hint="cs"/>
          <w:rtl/>
        </w:rPr>
        <w:t>،</w:t>
      </w:r>
      <w:r w:rsidR="00777DCB" w:rsidRPr="00A52585">
        <w:rPr>
          <w:rFonts w:hint="cs"/>
          <w:rtl/>
        </w:rPr>
        <w:t xml:space="preserve"> وقال ابن حامد</w:t>
      </w:r>
      <w:r w:rsidRPr="00A52585">
        <w:rPr>
          <w:rFonts w:hint="cs"/>
          <w:rtl/>
        </w:rPr>
        <w:t>:</w:t>
      </w:r>
      <w:r w:rsidR="00777DCB" w:rsidRPr="00A52585">
        <w:rPr>
          <w:rFonts w:hint="cs"/>
          <w:rtl/>
        </w:rPr>
        <w:t xml:space="preserve"> من رد ما يتعلق به بالأخبار الثابتة فهل يكفر</w:t>
      </w:r>
      <w:r w:rsidR="00F95886" w:rsidRPr="00A52585">
        <w:rPr>
          <w:rFonts w:hint="cs"/>
          <w:rtl/>
        </w:rPr>
        <w:t>؟</w:t>
      </w:r>
      <w:r w:rsidR="00777DCB" w:rsidRPr="00A52585">
        <w:rPr>
          <w:rFonts w:hint="cs"/>
          <w:rtl/>
        </w:rPr>
        <w:t xml:space="preserve"> على وجهين</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غالب أصحابنا على تكفير من خالف الاخبار في الساق والقدم والاصابع والكف ونظائر ذلك وإن كانت أخبار آحاد لأنها عندنا توجب العلم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خبر الآحاد - الواحد - لا يوجب العلم إنما يوجب العمل ولا يفيد إلا الظن رغم محاولة بعض المجسمة وأتباعهم قلب الحقائق</w:t>
      </w:r>
      <w:r w:rsidR="00DB731D" w:rsidRPr="00A52585">
        <w:rPr>
          <w:rFonts w:hint="cs"/>
          <w:sz w:val="24"/>
          <w:szCs w:val="24"/>
          <w:rtl/>
        </w:rPr>
        <w:t>،</w:t>
      </w:r>
      <w:r w:rsidR="00777DCB" w:rsidRPr="00A52585">
        <w:rPr>
          <w:rFonts w:hint="cs"/>
          <w:sz w:val="24"/>
          <w:szCs w:val="24"/>
          <w:rtl/>
        </w:rPr>
        <w:t xml:space="preserve"> والمقرر في الكتاب والسنة والذي عليه </w:t>
      </w:r>
      <w:r w:rsidR="00777DCB" w:rsidRPr="00A52585">
        <w:rPr>
          <w:rFonts w:hint="cs"/>
          <w:sz w:val="24"/>
          <w:szCs w:val="24"/>
          <w:rtl/>
        </w:rPr>
        <w:lastRenderedPageBreak/>
        <w:t>عمل الصحابة وأئمة السلف والمحدثين أن خبر الآحاد يفيد الظن ولا يفيد العلم</w:t>
      </w:r>
      <w:r w:rsidR="00DB731D" w:rsidRPr="00A52585">
        <w:rPr>
          <w:rFonts w:hint="cs"/>
          <w:sz w:val="24"/>
          <w:szCs w:val="24"/>
          <w:rtl/>
        </w:rPr>
        <w:t>،</w:t>
      </w:r>
      <w:r w:rsidR="00777DCB" w:rsidRPr="00A52585">
        <w:rPr>
          <w:rFonts w:hint="cs"/>
          <w:sz w:val="24"/>
          <w:szCs w:val="24"/>
          <w:rtl/>
        </w:rPr>
        <w:t xml:space="preserve"> وأنه لا تثبت به أصول العقائد ولنذكر بعض أدلة ذلك</w:t>
      </w:r>
      <w:r w:rsidRPr="00A52585">
        <w:rPr>
          <w:rFonts w:hint="cs"/>
          <w:sz w:val="24"/>
          <w:szCs w:val="24"/>
          <w:rtl/>
        </w:rPr>
        <w:t>:</w:t>
      </w:r>
      <w:r w:rsidR="00777DCB" w:rsidRPr="00A52585">
        <w:rPr>
          <w:rFonts w:hint="cs"/>
          <w:sz w:val="24"/>
          <w:szCs w:val="24"/>
          <w:rtl/>
        </w:rPr>
        <w:t xml:space="preserve"> ثبت في الصحيحين قول النبي صلى الله عليه وسلم في حديث ذي اليدين للناس</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أصدق ذو اليدين ا</w:t>
      </w:r>
      <w:r w:rsidR="00F95886" w:rsidRPr="00A52585">
        <w:rPr>
          <w:rFonts w:hint="cs"/>
          <w:sz w:val="24"/>
          <w:szCs w:val="24"/>
          <w:rtl/>
        </w:rPr>
        <w:t>؟!</w:t>
      </w:r>
      <w:r w:rsidR="00777DCB" w:rsidRPr="00A52585">
        <w:rPr>
          <w:rFonts w:hint="cs"/>
          <w:sz w:val="24"/>
          <w:szCs w:val="24"/>
          <w:rtl/>
        </w:rPr>
        <w:t xml:space="preserve"> وهو خبر واحد وهو ثقة صحابي ولم يفد ذلك عند رسول الله صلى الله عليه وسلم إلا الظن</w:t>
      </w:r>
      <w:r w:rsidR="00DB731D" w:rsidRPr="00A52585">
        <w:rPr>
          <w:rFonts w:hint="cs"/>
          <w:sz w:val="24"/>
          <w:szCs w:val="24"/>
          <w:rtl/>
        </w:rPr>
        <w:t>،</w:t>
      </w:r>
      <w:r w:rsidR="00777DCB" w:rsidRPr="00A52585">
        <w:rPr>
          <w:rFonts w:hint="cs"/>
          <w:sz w:val="24"/>
          <w:szCs w:val="24"/>
          <w:rtl/>
        </w:rPr>
        <w:t xml:space="preserve"> فلما تأكد من الناس من خبره تيقن أنه صلى ركعتين فأتم ركعتين</w:t>
      </w:r>
      <w:r w:rsidR="00DB731D" w:rsidRPr="00A52585">
        <w:rPr>
          <w:rFonts w:hint="cs"/>
          <w:sz w:val="24"/>
          <w:szCs w:val="24"/>
          <w:rtl/>
        </w:rPr>
        <w:t>،</w:t>
      </w:r>
      <w:r w:rsidR="00777DCB" w:rsidRPr="00A52585">
        <w:rPr>
          <w:rFonts w:hint="cs"/>
          <w:sz w:val="24"/>
          <w:szCs w:val="24"/>
          <w:rtl/>
        </w:rPr>
        <w:t xml:space="preserve"> وهذا </w:t>
      </w:r>
      <w:proofErr w:type="spellStart"/>
      <w:r w:rsidR="00777DCB" w:rsidRPr="00A52585">
        <w:rPr>
          <w:rFonts w:hint="cs"/>
          <w:sz w:val="24"/>
          <w:szCs w:val="24"/>
          <w:rtl/>
        </w:rPr>
        <w:t>شئ</w:t>
      </w:r>
      <w:proofErr w:type="spellEnd"/>
      <w:r w:rsidR="00777DCB" w:rsidRPr="00A52585">
        <w:rPr>
          <w:rFonts w:hint="cs"/>
          <w:sz w:val="24"/>
          <w:szCs w:val="24"/>
          <w:rtl/>
        </w:rPr>
        <w:t xml:space="preserve"> مشهور وأما الصحابة</w:t>
      </w:r>
      <w:r w:rsidRPr="00A52585">
        <w:rPr>
          <w:rFonts w:hint="cs"/>
          <w:sz w:val="24"/>
          <w:szCs w:val="24"/>
          <w:rtl/>
        </w:rPr>
        <w:t>:</w:t>
      </w:r>
      <w:r w:rsidR="00777DCB" w:rsidRPr="00A52585">
        <w:rPr>
          <w:rFonts w:hint="cs"/>
          <w:sz w:val="24"/>
          <w:szCs w:val="24"/>
          <w:rtl/>
        </w:rPr>
        <w:t xml:space="preserve"> فقال الحافظ الذهبي في تذكرة الحفاظ </w:t>
      </w:r>
      <w:r w:rsidRPr="00A52585">
        <w:rPr>
          <w:rFonts w:hint="cs"/>
          <w:sz w:val="24"/>
          <w:szCs w:val="24"/>
          <w:rtl/>
        </w:rPr>
        <w:t>(</w:t>
      </w:r>
      <w:r w:rsidR="00777DCB" w:rsidRPr="00A52585">
        <w:rPr>
          <w:rFonts w:hint="cs"/>
          <w:sz w:val="24"/>
          <w:szCs w:val="24"/>
          <w:rtl/>
        </w:rPr>
        <w:t>1 / 2</w:t>
      </w:r>
      <w:r w:rsidRPr="00A52585">
        <w:rPr>
          <w:rFonts w:hint="cs"/>
          <w:sz w:val="24"/>
          <w:szCs w:val="24"/>
          <w:rtl/>
        </w:rPr>
        <w:t>):</w:t>
      </w:r>
      <w:r w:rsidR="00777DCB" w:rsidRPr="00A52585">
        <w:rPr>
          <w:rFonts w:hint="cs"/>
          <w:sz w:val="24"/>
          <w:szCs w:val="24"/>
          <w:rtl/>
        </w:rPr>
        <w:t xml:space="preserve"> " وكان - أبو بكر - أول من احتاط في قبول الاخبار</w:t>
      </w:r>
      <w:r w:rsidR="00DB731D" w:rsidRPr="00A52585">
        <w:rPr>
          <w:rFonts w:hint="cs"/>
          <w:sz w:val="24"/>
          <w:szCs w:val="24"/>
          <w:rtl/>
        </w:rPr>
        <w:t>،</w:t>
      </w:r>
      <w:r w:rsidR="00777DCB" w:rsidRPr="00A52585">
        <w:rPr>
          <w:rFonts w:hint="cs"/>
          <w:sz w:val="24"/>
          <w:szCs w:val="24"/>
          <w:rtl/>
        </w:rPr>
        <w:t xml:space="preserve"> فروى ابن شهاب عن قبيصة بن ذويب أن</w:t>
      </w:r>
      <w:r w:rsidRPr="00A52585">
        <w:rPr>
          <w:rFonts w:hint="cs"/>
          <w:sz w:val="24"/>
          <w:szCs w:val="24"/>
          <w:rtl/>
        </w:rPr>
        <w:t>:</w:t>
      </w:r>
      <w:r w:rsidR="00777DCB" w:rsidRPr="00A52585">
        <w:rPr>
          <w:rFonts w:hint="cs"/>
          <w:sz w:val="24"/>
          <w:szCs w:val="24"/>
          <w:rtl/>
        </w:rPr>
        <w:t xml:space="preserve"> الجدة جاءت إلى أبى بكر تلتمس أن تورث</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ما أجد لك في كتاب الله شيئا وما علمت أن رسول الله صلى الله عليه وسلم ذكر لك شيئا</w:t>
      </w:r>
      <w:r w:rsidR="00DB731D" w:rsidRPr="00A52585">
        <w:rPr>
          <w:rFonts w:hint="cs"/>
          <w:sz w:val="24"/>
          <w:szCs w:val="24"/>
          <w:rtl/>
        </w:rPr>
        <w:t>،</w:t>
      </w:r>
      <w:r w:rsidR="00777DCB" w:rsidRPr="00A52585">
        <w:rPr>
          <w:rFonts w:hint="cs"/>
          <w:sz w:val="24"/>
          <w:szCs w:val="24"/>
          <w:rtl/>
        </w:rPr>
        <w:t xml:space="preserve"> ثم سأل الناس</w:t>
      </w:r>
      <w:r w:rsidR="00DB731D" w:rsidRPr="00A52585">
        <w:rPr>
          <w:rFonts w:hint="cs"/>
          <w:sz w:val="24"/>
          <w:szCs w:val="24"/>
          <w:rtl/>
        </w:rPr>
        <w:t>،</w:t>
      </w:r>
      <w:r w:rsidR="00777DCB" w:rsidRPr="00A52585">
        <w:rPr>
          <w:rFonts w:hint="cs"/>
          <w:sz w:val="24"/>
          <w:szCs w:val="24"/>
          <w:rtl/>
        </w:rPr>
        <w:t xml:space="preserve"> فقام المغيرة</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حضرت رسول الله صلى الله عليه وسلم يعطيها السدس</w:t>
      </w:r>
      <w:r w:rsidR="00DB731D" w:rsidRPr="00A52585">
        <w:rPr>
          <w:rFonts w:hint="cs"/>
          <w:sz w:val="24"/>
          <w:szCs w:val="24"/>
          <w:rtl/>
        </w:rPr>
        <w:t>،</w:t>
      </w:r>
      <w:r w:rsidR="00777DCB" w:rsidRPr="00A52585">
        <w:rPr>
          <w:rFonts w:hint="cs"/>
          <w:sz w:val="24"/>
          <w:szCs w:val="24"/>
          <w:rtl/>
        </w:rPr>
        <w:t xml:space="preserve"> فقال له</w:t>
      </w:r>
      <w:r w:rsidRPr="00A52585">
        <w:rPr>
          <w:rFonts w:hint="cs"/>
          <w:sz w:val="24"/>
          <w:szCs w:val="24"/>
          <w:rtl/>
        </w:rPr>
        <w:t>:</w:t>
      </w:r>
      <w:r w:rsidR="00777DCB" w:rsidRPr="00A52585">
        <w:rPr>
          <w:rFonts w:hint="cs"/>
          <w:sz w:val="24"/>
          <w:szCs w:val="24"/>
          <w:rtl/>
        </w:rPr>
        <w:t xml:space="preserve"> هل معك أحد</w:t>
      </w:r>
      <w:r w:rsidR="00F95886" w:rsidRPr="00A52585">
        <w:rPr>
          <w:rFonts w:hint="cs"/>
          <w:sz w:val="24"/>
          <w:szCs w:val="24"/>
          <w:rtl/>
        </w:rPr>
        <w:t>؟</w:t>
      </w:r>
      <w:r w:rsidR="00777DCB" w:rsidRPr="00A52585">
        <w:rPr>
          <w:rFonts w:hint="cs"/>
          <w:sz w:val="24"/>
          <w:szCs w:val="24"/>
          <w:rtl/>
        </w:rPr>
        <w:t xml:space="preserve"> فشهد محمد بن مسلمة بمثل ذلك فأنفذه لها أبو بكر رضي الله عنه</w:t>
      </w:r>
      <w:r w:rsidR="00DB731D" w:rsidRPr="00A52585">
        <w:rPr>
          <w:rFonts w:hint="cs"/>
          <w:sz w:val="24"/>
          <w:szCs w:val="24"/>
          <w:rtl/>
        </w:rPr>
        <w:t>،</w:t>
      </w:r>
      <w:r w:rsidR="00777DCB" w:rsidRPr="00A52585">
        <w:rPr>
          <w:rFonts w:hint="cs"/>
          <w:sz w:val="24"/>
          <w:szCs w:val="24"/>
          <w:rtl/>
        </w:rPr>
        <w:t xml:space="preserve"> " رواه أحمد </w:t>
      </w:r>
      <w:r w:rsidRPr="00A52585">
        <w:rPr>
          <w:rFonts w:hint="cs"/>
          <w:sz w:val="24"/>
          <w:szCs w:val="24"/>
          <w:rtl/>
        </w:rPr>
        <w:t>(</w:t>
      </w:r>
      <w:r w:rsidR="00777DCB" w:rsidRPr="00A52585">
        <w:rPr>
          <w:rFonts w:hint="cs"/>
          <w:sz w:val="24"/>
          <w:szCs w:val="24"/>
          <w:rtl/>
        </w:rPr>
        <w:t>4 / 225</w:t>
      </w:r>
      <w:r w:rsidRPr="00A52585">
        <w:rPr>
          <w:rFonts w:hint="cs"/>
          <w:sz w:val="24"/>
          <w:szCs w:val="24"/>
          <w:rtl/>
        </w:rPr>
        <w:t>)</w:t>
      </w:r>
      <w:r w:rsidR="00777DCB" w:rsidRPr="00A52585">
        <w:rPr>
          <w:rFonts w:hint="cs"/>
          <w:sz w:val="24"/>
          <w:szCs w:val="24"/>
          <w:rtl/>
        </w:rPr>
        <w:t xml:space="preserve"> وابن الجارود </w:t>
      </w:r>
      <w:r w:rsidRPr="00A52585">
        <w:rPr>
          <w:rFonts w:hint="cs"/>
          <w:sz w:val="24"/>
          <w:szCs w:val="24"/>
          <w:rtl/>
        </w:rPr>
        <w:t>(</w:t>
      </w:r>
      <w:r w:rsidR="00777DCB" w:rsidRPr="00A52585">
        <w:rPr>
          <w:rFonts w:hint="cs"/>
          <w:sz w:val="24"/>
          <w:szCs w:val="24"/>
          <w:rtl/>
        </w:rPr>
        <w:t>959</w:t>
      </w:r>
      <w:r w:rsidRPr="00A52585">
        <w:rPr>
          <w:rFonts w:hint="cs"/>
          <w:sz w:val="24"/>
          <w:szCs w:val="24"/>
          <w:rtl/>
        </w:rPr>
        <w:t>)</w:t>
      </w:r>
      <w:r w:rsidR="00777DCB" w:rsidRPr="00A52585">
        <w:rPr>
          <w:rFonts w:hint="cs"/>
          <w:sz w:val="24"/>
          <w:szCs w:val="24"/>
          <w:rtl/>
        </w:rPr>
        <w:t xml:space="preserve"> والحاكم </w:t>
      </w:r>
      <w:r w:rsidRPr="00A52585">
        <w:rPr>
          <w:rFonts w:hint="cs"/>
          <w:sz w:val="24"/>
          <w:szCs w:val="24"/>
          <w:rtl/>
        </w:rPr>
        <w:t>(</w:t>
      </w:r>
      <w:r w:rsidR="00777DCB" w:rsidRPr="00A52585">
        <w:rPr>
          <w:rFonts w:hint="cs"/>
          <w:sz w:val="24"/>
          <w:szCs w:val="24"/>
          <w:rtl/>
        </w:rPr>
        <w:t>4 / 338</w:t>
      </w:r>
      <w:r w:rsidRPr="00A52585">
        <w:rPr>
          <w:rFonts w:hint="cs"/>
          <w:sz w:val="24"/>
          <w:szCs w:val="24"/>
          <w:rtl/>
        </w:rPr>
        <w:t>)</w:t>
      </w:r>
      <w:r w:rsidR="00777DCB" w:rsidRPr="00A52585">
        <w:rPr>
          <w:rFonts w:hint="cs"/>
          <w:sz w:val="24"/>
          <w:szCs w:val="24"/>
          <w:rtl/>
        </w:rPr>
        <w:t xml:space="preserve"> وصححه وأقره الذهبي وهو ثابت</w:t>
      </w:r>
      <w:r w:rsidR="00DB731D" w:rsidRPr="00A52585">
        <w:rPr>
          <w:rFonts w:hint="cs"/>
          <w:sz w:val="24"/>
          <w:szCs w:val="24"/>
          <w:rtl/>
        </w:rPr>
        <w:t>،</w:t>
      </w:r>
      <w:r w:rsidR="00777DCB" w:rsidRPr="00A52585">
        <w:rPr>
          <w:rFonts w:hint="cs"/>
          <w:sz w:val="24"/>
          <w:szCs w:val="24"/>
          <w:rtl/>
        </w:rPr>
        <w:t xml:space="preserve"> وكذا ثبت في البخاري </w:t>
      </w:r>
      <w:r w:rsidRPr="00A52585">
        <w:rPr>
          <w:rFonts w:hint="cs"/>
          <w:sz w:val="24"/>
          <w:szCs w:val="24"/>
          <w:rtl/>
        </w:rPr>
        <w:t>(</w:t>
      </w:r>
      <w:r w:rsidR="00777DCB" w:rsidRPr="00A52585">
        <w:rPr>
          <w:rFonts w:hint="cs"/>
          <w:sz w:val="24"/>
          <w:szCs w:val="24"/>
          <w:rtl/>
        </w:rPr>
        <w:t>فتح 11 / 27</w:t>
      </w:r>
      <w:r w:rsidRPr="00A52585">
        <w:rPr>
          <w:rFonts w:hint="cs"/>
          <w:sz w:val="24"/>
          <w:szCs w:val="24"/>
          <w:rtl/>
        </w:rPr>
        <w:t>)</w:t>
      </w:r>
      <w:r w:rsidR="00777DCB" w:rsidRPr="00A52585">
        <w:rPr>
          <w:rFonts w:hint="cs"/>
          <w:sz w:val="24"/>
          <w:szCs w:val="24"/>
          <w:rtl/>
        </w:rPr>
        <w:t xml:space="preserve"> ومسلم وعند غيرهم أن سيدنا عمر رضي الله عنه طلب من أبي موسى أن يأتيه ببينة على حديث " إذا سلم أحدكم ثلاثا فلم يجب فليرجع " وصح في المسند </w:t>
      </w:r>
      <w:r w:rsidRPr="00A52585">
        <w:rPr>
          <w:rFonts w:hint="cs"/>
          <w:sz w:val="24"/>
          <w:szCs w:val="24"/>
          <w:rtl/>
        </w:rPr>
        <w:t>(</w:t>
      </w:r>
      <w:r w:rsidR="00777DCB" w:rsidRPr="00A52585">
        <w:rPr>
          <w:rFonts w:hint="cs"/>
          <w:sz w:val="24"/>
          <w:szCs w:val="24"/>
          <w:rtl/>
        </w:rPr>
        <w:t>1 / 10</w:t>
      </w:r>
      <w:r w:rsidRPr="00A52585">
        <w:rPr>
          <w:rFonts w:hint="cs"/>
          <w:sz w:val="24"/>
          <w:szCs w:val="24"/>
          <w:rtl/>
        </w:rPr>
        <w:t>)</w:t>
      </w:r>
      <w:r w:rsidR="00777DCB" w:rsidRPr="00A52585">
        <w:rPr>
          <w:rFonts w:hint="cs"/>
          <w:sz w:val="24"/>
          <w:szCs w:val="24"/>
          <w:rtl/>
        </w:rPr>
        <w:t xml:space="preserve"> وغيره أن سيدنا علي كان يستحلف من حدثه</w:t>
      </w:r>
      <w:r w:rsidR="00DB731D" w:rsidRPr="00A52585">
        <w:rPr>
          <w:rFonts w:hint="cs"/>
          <w:sz w:val="24"/>
          <w:szCs w:val="24"/>
          <w:rtl/>
        </w:rPr>
        <w:t>،</w:t>
      </w:r>
      <w:r w:rsidR="00777DCB" w:rsidRPr="00A52585">
        <w:rPr>
          <w:rFonts w:hint="cs"/>
          <w:sz w:val="24"/>
          <w:szCs w:val="24"/>
          <w:rtl/>
        </w:rPr>
        <w:t xml:space="preserve"> وكل ذلك وغيره كثير مما بسطته في " عقد الزبرجد النضيد في شرح جوهرة التوحيد " يثبت أن خبر الواحد كان لا يفيد العلم عند الصحابة وانما يفيد الظن</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قول من لا يفهم الفقه ولا العقل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الرابع</w:t>
      </w:r>
      <w:r w:rsidRPr="00A52585">
        <w:rPr>
          <w:rFonts w:hint="cs"/>
          <w:rtl/>
        </w:rPr>
        <w:t>):</w:t>
      </w:r>
      <w:r w:rsidR="00777DCB" w:rsidRPr="00A52585">
        <w:rPr>
          <w:rFonts w:hint="cs"/>
          <w:rtl/>
        </w:rPr>
        <w:t xml:space="preserve"> أنهم لم يفرقوا في الاحاديث بين خبر مشهور كقوله</w:t>
      </w:r>
      <w:r w:rsidRPr="00A52585">
        <w:rPr>
          <w:rFonts w:hint="cs"/>
          <w:rtl/>
        </w:rPr>
        <w:t>:</w:t>
      </w:r>
      <w:r w:rsidR="00777DCB" w:rsidRPr="00A52585">
        <w:rPr>
          <w:rFonts w:hint="cs"/>
          <w:rtl/>
        </w:rPr>
        <w:t xml:space="preserve"> " ينزل إلى السماء الدنيا " وبين حديث لا يصح كقوله</w:t>
      </w:r>
      <w:r w:rsidRPr="00A52585">
        <w:rPr>
          <w:rFonts w:hint="cs"/>
          <w:rtl/>
        </w:rPr>
        <w:t>:</w:t>
      </w:r>
      <w:r w:rsidR="00777DCB" w:rsidRPr="00A52585">
        <w:rPr>
          <w:rFonts w:hint="cs"/>
          <w:rtl/>
        </w:rPr>
        <w:t xml:space="preserve"> " رأيت ربي في أحسن صورة " بل أثبتوا بهذا صفة وبهذا صفة</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الخامس</w:t>
      </w:r>
      <w:r w:rsidRPr="00A52585">
        <w:rPr>
          <w:rFonts w:hint="cs"/>
          <w:rtl/>
        </w:rPr>
        <w:t>):</w:t>
      </w:r>
      <w:r w:rsidR="00777DCB" w:rsidRPr="00A52585">
        <w:rPr>
          <w:rFonts w:hint="cs"/>
          <w:rtl/>
        </w:rPr>
        <w:t xml:space="preserve"> أنهم لم يفرقوا بين حديث مرفوع إلى النبي - صلى الله عليه وسلم - وبين حديث موقوف على صحابي أو تابعي</w:t>
      </w:r>
      <w:r w:rsidR="00DB731D" w:rsidRPr="00A52585">
        <w:rPr>
          <w:rFonts w:hint="cs"/>
          <w:rtl/>
        </w:rPr>
        <w:t>،</w:t>
      </w:r>
      <w:r w:rsidR="00777DCB" w:rsidRPr="00A52585">
        <w:rPr>
          <w:rFonts w:hint="cs"/>
          <w:rtl/>
        </w:rPr>
        <w:t xml:space="preserve"> فأثبتوا بهذا ما أثبتوا بهذا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السادس</w:t>
      </w:r>
      <w:r w:rsidRPr="00A52585">
        <w:rPr>
          <w:rFonts w:hint="cs"/>
          <w:rtl/>
        </w:rPr>
        <w:t>):</w:t>
      </w:r>
      <w:r w:rsidR="00777DCB" w:rsidRPr="00A52585">
        <w:rPr>
          <w:rFonts w:hint="cs"/>
          <w:rtl/>
        </w:rPr>
        <w:t xml:space="preserve"> أنهم تأولوا بعض الالفاظ في موضع ولم يتأولوها في موضع آخر كقوله</w:t>
      </w:r>
      <w:r w:rsidRPr="00A52585">
        <w:rPr>
          <w:rFonts w:hint="cs"/>
          <w:rtl/>
        </w:rPr>
        <w:t>:</w:t>
      </w:r>
      <w:r w:rsidR="00777DCB" w:rsidRPr="00A52585">
        <w:rPr>
          <w:rFonts w:hint="cs"/>
          <w:rtl/>
        </w:rPr>
        <w:t xml:space="preserve"> " من أتاني يمشي أتيته هرولة "</w:t>
      </w:r>
      <w:r w:rsidR="00897A24"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هذا ضرب مثل للأنعام</w:t>
      </w:r>
      <w:r w:rsidR="00DB731D" w:rsidRPr="00A52585">
        <w:rPr>
          <w:rFonts w:hint="cs"/>
          <w:rtl/>
        </w:rPr>
        <w:t>،</w:t>
      </w:r>
      <w:r w:rsidR="00777DCB" w:rsidRPr="00A52585">
        <w:rPr>
          <w:rFonts w:hint="cs"/>
          <w:rtl/>
        </w:rPr>
        <w:t xml:space="preserve"> وروي عن عمر بن عبد العزيز أنه قال</w:t>
      </w:r>
      <w:r w:rsidRPr="00A52585">
        <w:rPr>
          <w:rFonts w:hint="cs"/>
          <w:rtl/>
        </w:rPr>
        <w:t>:</w:t>
      </w:r>
      <w:r w:rsidR="00777DCB" w:rsidRPr="00A52585">
        <w:rPr>
          <w:rFonts w:hint="cs"/>
          <w:rtl/>
        </w:rPr>
        <w:t xml:space="preserve"> " إذا كان يوم القيامة جاء الله يمشي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كذب مروي عن عمر بن عبد العزيز وضعه عليه بعض أعداء الاسلام الذين كانوا قد اندسوا بين الرواة</w:t>
      </w:r>
      <w:r w:rsidRPr="00A52585">
        <w:rPr>
          <w:rFonts w:hint="cs"/>
          <w:sz w:val="24"/>
          <w:szCs w:val="24"/>
          <w:rtl/>
        </w:rPr>
        <w:t>]</w:t>
      </w:r>
      <w:r w:rsidR="00DB731D" w:rsidRPr="00A52585">
        <w:rPr>
          <w:rFonts w:hint="cs"/>
          <w:rtl/>
        </w:rPr>
        <w:t>،</w:t>
      </w:r>
      <w:r w:rsidR="00777DCB" w:rsidRPr="00A52585">
        <w:rPr>
          <w:rFonts w:hint="cs"/>
          <w:rtl/>
        </w:rPr>
        <w:t xml:space="preserve"> فقالوا</w:t>
      </w:r>
      <w:r w:rsidRPr="00A52585">
        <w:rPr>
          <w:rFonts w:hint="cs"/>
          <w:rtl/>
        </w:rPr>
        <w:t>:</w:t>
      </w:r>
      <w:r w:rsidR="00777DCB" w:rsidRPr="00A52585">
        <w:rPr>
          <w:rFonts w:hint="cs"/>
          <w:rtl/>
        </w:rPr>
        <w:t xml:space="preserve"> نحمله على ظاهره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w:t>
      </w:r>
      <w:proofErr w:type="spellStart"/>
      <w:r w:rsidR="00777DCB" w:rsidRPr="00A52585">
        <w:rPr>
          <w:rFonts w:hint="cs"/>
          <w:rtl/>
        </w:rPr>
        <w:t>فواعجبا</w:t>
      </w:r>
      <w:proofErr w:type="spellEnd"/>
      <w:r w:rsidR="00F95886" w:rsidRPr="00A52585">
        <w:rPr>
          <w:rFonts w:hint="cs"/>
          <w:rtl/>
        </w:rPr>
        <w:t>!!</w:t>
      </w:r>
      <w:r w:rsidR="00777DCB" w:rsidRPr="00A52585">
        <w:rPr>
          <w:rFonts w:hint="cs"/>
          <w:rtl/>
        </w:rPr>
        <w:t xml:space="preserve"> ممن تأول حديث رسول الله صلى الله عليه وسلم ولا يتأول كلام عمر بن عبد العزيز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 على فرض ثبوته عنه</w:t>
      </w:r>
      <w:r w:rsidR="00DB731D" w:rsidRPr="00A52585">
        <w:rPr>
          <w:rFonts w:hint="cs"/>
          <w:sz w:val="24"/>
          <w:szCs w:val="24"/>
          <w:rtl/>
        </w:rPr>
        <w:t>،</w:t>
      </w:r>
      <w:r w:rsidR="00777DCB" w:rsidRPr="00A52585">
        <w:rPr>
          <w:rFonts w:hint="cs"/>
          <w:sz w:val="24"/>
          <w:szCs w:val="24"/>
          <w:rtl/>
        </w:rPr>
        <w:t xml:space="preserve"> مع أن قول التابعي ليس من حجج الشرع</w:t>
      </w:r>
      <w:r w:rsidRPr="00A52585">
        <w:rPr>
          <w:rFonts w:hint="cs"/>
          <w:sz w:val="24"/>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السابع</w:t>
      </w:r>
      <w:r w:rsidRPr="00A52585">
        <w:rPr>
          <w:rFonts w:hint="cs"/>
          <w:rtl/>
        </w:rPr>
        <w:t>):</w:t>
      </w:r>
      <w:r w:rsidR="00777DCB" w:rsidRPr="00A52585">
        <w:rPr>
          <w:rFonts w:hint="cs"/>
          <w:rtl/>
        </w:rPr>
        <w:t xml:space="preserve"> أنهم حملوا </w:t>
      </w:r>
      <w:proofErr w:type="gramStart"/>
      <w:r w:rsidR="00777DCB" w:rsidRPr="00A52585">
        <w:rPr>
          <w:rFonts w:hint="cs"/>
          <w:rtl/>
        </w:rPr>
        <w:t>الاحاديث</w:t>
      </w:r>
      <w:proofErr w:type="gramEnd"/>
      <w:r w:rsidR="00777DCB" w:rsidRPr="00A52585">
        <w:rPr>
          <w:rFonts w:hint="cs"/>
          <w:rtl/>
        </w:rPr>
        <w:t xml:space="preserve"> على مقتضى الحس فقالوا</w:t>
      </w:r>
      <w:r w:rsidRPr="00A52585">
        <w:rPr>
          <w:rFonts w:hint="cs"/>
          <w:rtl/>
        </w:rPr>
        <w:t>:</w:t>
      </w:r>
      <w:r w:rsidR="00777DCB" w:rsidRPr="00A52585">
        <w:rPr>
          <w:rFonts w:hint="cs"/>
          <w:rtl/>
        </w:rPr>
        <w:t xml:space="preserve"> ينزل بذاته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وزبادة</w:t>
      </w:r>
      <w:proofErr w:type="spellEnd"/>
      <w:r w:rsidR="00777DCB" w:rsidRPr="00A52585">
        <w:rPr>
          <w:rFonts w:hint="cs"/>
          <w:sz w:val="24"/>
          <w:szCs w:val="24"/>
          <w:rtl/>
        </w:rPr>
        <w:t xml:space="preserve"> لفظة بذاته خطيرة جدا في باب التوحيد</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لانها</w:t>
      </w:r>
      <w:proofErr w:type="spellEnd"/>
      <w:r w:rsidR="00777DCB" w:rsidRPr="00A52585">
        <w:rPr>
          <w:rFonts w:hint="cs"/>
          <w:sz w:val="24"/>
          <w:szCs w:val="24"/>
          <w:rtl/>
        </w:rPr>
        <w:t xml:space="preserve"> توجب التجسيم الصريح</w:t>
      </w:r>
      <w:r w:rsidR="00DB731D" w:rsidRPr="00A52585">
        <w:rPr>
          <w:rFonts w:hint="cs"/>
          <w:sz w:val="24"/>
          <w:szCs w:val="24"/>
          <w:rtl/>
        </w:rPr>
        <w:t>،</w:t>
      </w:r>
      <w:r w:rsidR="00777DCB" w:rsidRPr="00A52585">
        <w:rPr>
          <w:rFonts w:hint="cs"/>
          <w:sz w:val="24"/>
          <w:szCs w:val="24"/>
          <w:rtl/>
        </w:rPr>
        <w:t xml:space="preserve"> لا سيما وأنها لم ترد في كتاب ولا سنة</w:t>
      </w:r>
      <w:r w:rsidR="00DB731D" w:rsidRPr="00A52585">
        <w:rPr>
          <w:rFonts w:hint="cs"/>
          <w:sz w:val="24"/>
          <w:szCs w:val="24"/>
          <w:rtl/>
        </w:rPr>
        <w:t>،</w:t>
      </w:r>
      <w:r w:rsidR="00777DCB" w:rsidRPr="00A52585">
        <w:rPr>
          <w:rFonts w:hint="cs"/>
          <w:sz w:val="24"/>
          <w:szCs w:val="24"/>
          <w:rtl/>
        </w:rPr>
        <w:t xml:space="preserve"> والاصل</w:t>
      </w:r>
      <w:r w:rsidRPr="00A52585">
        <w:rPr>
          <w:rFonts w:hint="cs"/>
          <w:sz w:val="24"/>
          <w:szCs w:val="24"/>
          <w:rtl/>
        </w:rPr>
        <w:t>:</w:t>
      </w:r>
      <w:r w:rsidR="00777DCB" w:rsidRPr="00A52585">
        <w:rPr>
          <w:rFonts w:hint="cs"/>
          <w:sz w:val="24"/>
          <w:szCs w:val="24"/>
          <w:rtl/>
        </w:rPr>
        <w:t xml:space="preserve"> لا يجوز وصف الله تعالى إلا بما وصف به نفسه</w:t>
      </w:r>
      <w:r w:rsidR="00DB731D" w:rsidRPr="00A52585">
        <w:rPr>
          <w:rFonts w:hint="cs"/>
          <w:sz w:val="24"/>
          <w:szCs w:val="24"/>
          <w:rtl/>
        </w:rPr>
        <w:t>،</w:t>
      </w:r>
      <w:r w:rsidR="00777DCB" w:rsidRPr="00A52585">
        <w:rPr>
          <w:rFonts w:hint="cs"/>
          <w:sz w:val="24"/>
          <w:szCs w:val="24"/>
          <w:rtl/>
        </w:rPr>
        <w:t xml:space="preserve"> فأين وردت لفظة " بذاته " في الكتاب والسنة</w:t>
      </w:r>
      <w:r w:rsidR="00F95886" w:rsidRPr="00A52585">
        <w:rPr>
          <w:rFonts w:hint="cs"/>
          <w:sz w:val="24"/>
          <w:szCs w:val="24"/>
          <w:rtl/>
        </w:rPr>
        <w:t>؟!!</w:t>
      </w:r>
      <w:r w:rsidR="00777DCB" w:rsidRPr="00A52585">
        <w:rPr>
          <w:rFonts w:hint="cs"/>
          <w:sz w:val="24"/>
          <w:szCs w:val="24"/>
          <w:rtl/>
        </w:rPr>
        <w:t xml:space="preserve"> وإنني أعجب جد العجب ممن يمنع إطلاق لفظة " ستار " على الله تعالى ويقول بل</w:t>
      </w:r>
      <w:r w:rsidRPr="00A52585">
        <w:rPr>
          <w:rFonts w:hint="cs"/>
          <w:sz w:val="24"/>
          <w:szCs w:val="24"/>
          <w:rtl/>
        </w:rPr>
        <w:t>:</w:t>
      </w:r>
      <w:r w:rsidR="00777DCB" w:rsidRPr="00A52585">
        <w:rPr>
          <w:rFonts w:hint="cs"/>
          <w:sz w:val="24"/>
          <w:szCs w:val="24"/>
          <w:rtl/>
        </w:rPr>
        <w:t xml:space="preserve"> " ستير " مع أنه لا فرق بينهما تقريبا ثم يأتي بلفظة " بذاته " فيضيفها إلى الله تعالى</w:t>
      </w:r>
      <w:r w:rsidR="00DB731D" w:rsidRPr="00A52585">
        <w:rPr>
          <w:rFonts w:hint="cs"/>
          <w:sz w:val="24"/>
          <w:szCs w:val="24"/>
          <w:rtl/>
        </w:rPr>
        <w:t>،</w:t>
      </w:r>
      <w:r w:rsidR="00777DCB" w:rsidRPr="00A52585">
        <w:rPr>
          <w:rFonts w:hint="cs"/>
          <w:sz w:val="24"/>
          <w:szCs w:val="24"/>
          <w:rtl/>
        </w:rPr>
        <w:t xml:space="preserve"> ويزيد عليها الحركة والانتقال ليتم تحقيق التجسيم في أعرض صوره</w:t>
      </w:r>
      <w:r w:rsidR="00DB731D" w:rsidRPr="00A52585">
        <w:rPr>
          <w:rFonts w:hint="cs"/>
          <w:sz w:val="24"/>
          <w:szCs w:val="24"/>
          <w:rtl/>
        </w:rPr>
        <w:t>،</w:t>
      </w:r>
      <w:r w:rsidR="00777DCB" w:rsidRPr="00A52585">
        <w:rPr>
          <w:rFonts w:hint="cs"/>
          <w:sz w:val="24"/>
          <w:szCs w:val="24"/>
          <w:rtl/>
        </w:rPr>
        <w:t xml:space="preserve"> والعجب من ابن تيمية الذي يثبت الحركة والانتقال في " الموافقة " </w:t>
      </w:r>
      <w:r w:rsidRPr="00A52585">
        <w:rPr>
          <w:rFonts w:hint="cs"/>
          <w:sz w:val="24"/>
          <w:szCs w:val="24"/>
          <w:rtl/>
        </w:rPr>
        <w:t>(</w:t>
      </w:r>
      <w:r w:rsidR="00777DCB" w:rsidRPr="00A52585">
        <w:rPr>
          <w:rFonts w:hint="cs"/>
          <w:sz w:val="24"/>
          <w:szCs w:val="24"/>
          <w:rtl/>
        </w:rPr>
        <w:t>2 / 4</w:t>
      </w:r>
      <w:r w:rsidRPr="00A52585">
        <w:rPr>
          <w:rFonts w:hint="cs"/>
          <w:sz w:val="24"/>
          <w:szCs w:val="24"/>
          <w:rtl/>
        </w:rPr>
        <w:t>)</w:t>
      </w:r>
      <w:r w:rsidR="00777DCB" w:rsidRPr="00A52585">
        <w:rPr>
          <w:rFonts w:hint="cs"/>
          <w:sz w:val="24"/>
          <w:szCs w:val="24"/>
          <w:rtl/>
        </w:rPr>
        <w:t xml:space="preserve"> بهامش منهاج سنته وينسبه للسلف وليس الامر كما قال</w:t>
      </w:r>
      <w:r w:rsidR="00DB731D" w:rsidRPr="00A52585">
        <w:rPr>
          <w:rFonts w:hint="cs"/>
          <w:sz w:val="24"/>
          <w:szCs w:val="24"/>
          <w:rtl/>
        </w:rPr>
        <w:t>،</w:t>
      </w:r>
      <w:r w:rsidR="00777DCB" w:rsidRPr="00A52585">
        <w:rPr>
          <w:rFonts w:hint="cs"/>
          <w:sz w:val="24"/>
          <w:szCs w:val="24"/>
          <w:rtl/>
        </w:rPr>
        <w:t xml:space="preserve"> وكلام السلف ليس من حجج الشرع</w:t>
      </w:r>
      <w:r w:rsidR="00F95886"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وينتقل ويتحرك</w:t>
      </w:r>
      <w:r w:rsidR="00DB731D" w:rsidRPr="00A52585">
        <w:rPr>
          <w:rFonts w:hint="cs"/>
          <w:rtl/>
        </w:rPr>
        <w:t>،</w:t>
      </w:r>
      <w:r w:rsidR="00777DCB" w:rsidRPr="00A52585">
        <w:rPr>
          <w:rFonts w:hint="cs"/>
          <w:rtl/>
        </w:rPr>
        <w:t xml:space="preserve"> ثم قالوا</w:t>
      </w:r>
      <w:r w:rsidRPr="00A52585">
        <w:rPr>
          <w:rFonts w:hint="cs"/>
          <w:rtl/>
        </w:rPr>
        <w:t>:</w:t>
      </w:r>
      <w:r w:rsidR="00777DCB" w:rsidRPr="00A52585">
        <w:rPr>
          <w:rFonts w:hint="cs"/>
          <w:rtl/>
        </w:rPr>
        <w:t xml:space="preserve"> لا كما يعقل</w:t>
      </w:r>
      <w:r w:rsidR="00897A24" w:rsidRPr="00A52585">
        <w:rPr>
          <w:rFonts w:hint="cs"/>
          <w:rtl/>
        </w:rPr>
        <w:t>.</w:t>
      </w:r>
      <w:r w:rsidR="00777DCB" w:rsidRPr="00A52585">
        <w:rPr>
          <w:rFonts w:hint="cs"/>
          <w:rtl/>
        </w:rPr>
        <w:t xml:space="preserve"> فغالطوا من يسمع</w:t>
      </w:r>
      <w:r w:rsidR="00DB731D" w:rsidRPr="00A52585">
        <w:rPr>
          <w:rFonts w:hint="cs"/>
          <w:rtl/>
        </w:rPr>
        <w:t>،</w:t>
      </w:r>
      <w:r w:rsidR="00777DCB" w:rsidRPr="00A52585">
        <w:rPr>
          <w:rFonts w:hint="cs"/>
          <w:rtl/>
        </w:rPr>
        <w:t xml:space="preserve"> فكابروا </w:t>
      </w:r>
      <w:r w:rsidR="00777DCB" w:rsidRPr="00A52585">
        <w:rPr>
          <w:rFonts w:hint="cs"/>
          <w:rtl/>
        </w:rPr>
        <w:lastRenderedPageBreak/>
        <w:t xml:space="preserve">الحس والعقل فحملوا </w:t>
      </w:r>
      <w:proofErr w:type="gramStart"/>
      <w:r w:rsidR="00777DCB" w:rsidRPr="00A52585">
        <w:rPr>
          <w:rFonts w:hint="cs"/>
          <w:rtl/>
        </w:rPr>
        <w:t>الاحاديث</w:t>
      </w:r>
      <w:proofErr w:type="gramEnd"/>
      <w:r w:rsidR="00777DCB" w:rsidRPr="00A52585">
        <w:rPr>
          <w:rFonts w:hint="cs"/>
          <w:rtl/>
        </w:rPr>
        <w:t xml:space="preserve"> على </w:t>
      </w:r>
      <w:proofErr w:type="spellStart"/>
      <w:r w:rsidR="00777DCB" w:rsidRPr="00A52585">
        <w:rPr>
          <w:rFonts w:hint="cs"/>
          <w:rtl/>
        </w:rPr>
        <w:t>الحسيات</w:t>
      </w:r>
      <w:proofErr w:type="spellEnd"/>
      <w:r w:rsidR="00DB731D" w:rsidRPr="00A52585">
        <w:rPr>
          <w:rFonts w:hint="cs"/>
          <w:rtl/>
        </w:rPr>
        <w:t>،</w:t>
      </w:r>
      <w:r w:rsidR="00777DCB" w:rsidRPr="00A52585">
        <w:rPr>
          <w:rFonts w:hint="cs"/>
          <w:rtl/>
        </w:rPr>
        <w:t xml:space="preserve"> فرأيت الرد عليهم لازما لئلا يتسب الامام إلى ذلك</w:t>
      </w:r>
      <w:r w:rsidR="00DB731D" w:rsidRPr="00A52585">
        <w:rPr>
          <w:rFonts w:hint="cs"/>
          <w:rtl/>
        </w:rPr>
        <w:t>،</w:t>
      </w:r>
      <w:r w:rsidR="00777DCB" w:rsidRPr="00A52585">
        <w:rPr>
          <w:rFonts w:hint="cs"/>
          <w:rtl/>
        </w:rPr>
        <w:t xml:space="preserve"> وإذا سكت نسبت إلى اعتقاد ذلك</w:t>
      </w:r>
      <w:r w:rsidR="00DB731D" w:rsidRPr="00A52585">
        <w:rPr>
          <w:rFonts w:hint="cs"/>
          <w:rtl/>
        </w:rPr>
        <w:t>،</w:t>
      </w:r>
      <w:r w:rsidR="00777DCB" w:rsidRPr="00A52585">
        <w:rPr>
          <w:rFonts w:hint="cs"/>
          <w:rtl/>
        </w:rPr>
        <w:t xml:space="preserve"> ولا يهولني أمر عظيم في النفوس لان العمل على الدليل</w:t>
      </w:r>
      <w:r w:rsidR="00DB731D" w:rsidRPr="00A52585">
        <w:rPr>
          <w:rFonts w:hint="cs"/>
          <w:rtl/>
        </w:rPr>
        <w:t>،</w:t>
      </w:r>
      <w:r w:rsidR="00777DCB" w:rsidRPr="00A52585">
        <w:rPr>
          <w:rFonts w:hint="cs"/>
          <w:rtl/>
        </w:rPr>
        <w:t xml:space="preserve"> وخصوصا في معرفة الحق لا يجوز فيه التقليد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فأين هذا التحقيق العلمي الدقيق الذي تعضده الادلة من كلام من يجعل قولا لعبد الله بن المبارك وقولا لابي زرعة وغيرهما من الحجج التي لا تقبل الرد في باب التوحيد وغيره</w:t>
      </w:r>
      <w:r w:rsidR="00F95886" w:rsidRPr="00A52585">
        <w:rPr>
          <w:rFonts w:hint="cs"/>
          <w:sz w:val="24"/>
          <w:szCs w:val="24"/>
          <w:rtl/>
        </w:rPr>
        <w:t>؟!!</w:t>
      </w:r>
      <w:r w:rsidR="00777DCB" w:rsidRPr="00A52585">
        <w:rPr>
          <w:rFonts w:hint="cs"/>
          <w:sz w:val="24"/>
          <w:szCs w:val="24"/>
          <w:rtl/>
        </w:rPr>
        <w:t>]،</w:t>
      </w:r>
    </w:p>
    <w:p w14:paraId="181A6F6B" w14:textId="76799489" w:rsidR="00777DCB" w:rsidRPr="00A52585" w:rsidRDefault="0002035C" w:rsidP="0002035C">
      <w:pPr>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rtl/>
        </w:rPr>
        <w:t xml:space="preserve"> فإن قال قائل</w:t>
      </w:r>
      <w:r w:rsidRPr="00A52585">
        <w:rPr>
          <w:rFonts w:hint="cs"/>
          <w:rtl/>
        </w:rPr>
        <w:t>:</w:t>
      </w:r>
      <w:r w:rsidR="00777DCB" w:rsidRPr="00A52585">
        <w:rPr>
          <w:rFonts w:hint="cs"/>
          <w:rtl/>
        </w:rPr>
        <w:t xml:space="preserve"> ما الذي </w:t>
      </w:r>
      <w:proofErr w:type="spellStart"/>
      <w:r w:rsidR="00777DCB" w:rsidRPr="00A52585">
        <w:rPr>
          <w:rFonts w:hint="cs"/>
          <w:rtl/>
        </w:rPr>
        <w:t>دعى</w:t>
      </w:r>
      <w:proofErr w:type="spellEnd"/>
      <w:r w:rsidR="00777DCB" w:rsidRPr="00A52585">
        <w:rPr>
          <w:rFonts w:hint="cs"/>
          <w:rtl/>
        </w:rPr>
        <w:t xml:space="preserve"> رسول الله صلى الله عليه وسلم أن يتكلم بألفاظ موهمة للتشبيه</w:t>
      </w:r>
      <w:r w:rsidR="00F95886"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إن الخلق غلب عليهم الحس فلا يكادون يعرفون غيره</w:t>
      </w:r>
      <w:r w:rsidR="00DB731D" w:rsidRPr="00A52585">
        <w:rPr>
          <w:rFonts w:hint="cs"/>
          <w:rtl/>
        </w:rPr>
        <w:t>،</w:t>
      </w:r>
      <w:r w:rsidR="00777DCB" w:rsidRPr="00A52585">
        <w:rPr>
          <w:rFonts w:hint="cs"/>
          <w:rtl/>
        </w:rPr>
        <w:t xml:space="preserve"> وسببه المجانسة لهم في الحديث</w:t>
      </w:r>
      <w:r w:rsidR="00DB731D" w:rsidRPr="00A52585">
        <w:rPr>
          <w:rFonts w:hint="cs"/>
          <w:rtl/>
        </w:rPr>
        <w:t>،</w:t>
      </w:r>
      <w:r w:rsidR="00777DCB" w:rsidRPr="00A52585">
        <w:rPr>
          <w:rFonts w:hint="cs"/>
          <w:rtl/>
        </w:rPr>
        <w:t xml:space="preserve"> فعبد قوم النجوم وأضافوا إليها المنافع والمضار</w:t>
      </w:r>
      <w:r w:rsidR="00DB731D" w:rsidRPr="00A52585">
        <w:rPr>
          <w:rFonts w:hint="cs"/>
          <w:rtl/>
        </w:rPr>
        <w:t>،</w:t>
      </w:r>
      <w:r w:rsidR="00777DCB" w:rsidRPr="00A52585">
        <w:rPr>
          <w:rFonts w:hint="cs"/>
          <w:rtl/>
        </w:rPr>
        <w:t xml:space="preserve"> وعبد قوم النور وأضافوا إليه الخير</w:t>
      </w:r>
      <w:r w:rsidR="00DB731D" w:rsidRPr="00A52585">
        <w:rPr>
          <w:rFonts w:hint="cs"/>
          <w:rtl/>
        </w:rPr>
        <w:t>،</w:t>
      </w:r>
      <w:r w:rsidR="00777DCB" w:rsidRPr="00A52585">
        <w:rPr>
          <w:rFonts w:hint="cs"/>
          <w:rtl/>
        </w:rPr>
        <w:t xml:space="preserve"> وأضافوا الشر إلى الظلمة</w:t>
      </w:r>
      <w:r w:rsidR="00DB731D" w:rsidRPr="00A52585">
        <w:rPr>
          <w:rFonts w:hint="cs"/>
          <w:rtl/>
        </w:rPr>
        <w:t>،</w:t>
      </w:r>
      <w:r w:rsidR="00777DCB" w:rsidRPr="00A52585">
        <w:rPr>
          <w:rFonts w:hint="cs"/>
          <w:rtl/>
        </w:rPr>
        <w:t xml:space="preserve"> وعبد قوم الملائكة</w:t>
      </w:r>
      <w:r w:rsidR="00DB731D" w:rsidRPr="00A52585">
        <w:rPr>
          <w:rFonts w:hint="cs"/>
          <w:rtl/>
        </w:rPr>
        <w:t>،</w:t>
      </w:r>
      <w:r w:rsidR="00777DCB" w:rsidRPr="00A52585">
        <w:rPr>
          <w:rFonts w:hint="cs"/>
          <w:rtl/>
        </w:rPr>
        <w:t xml:space="preserve"> وقوم الشمس وقوم عيسى</w:t>
      </w:r>
      <w:r w:rsidR="00DB731D" w:rsidRPr="00A52585">
        <w:rPr>
          <w:rFonts w:hint="cs"/>
          <w:rtl/>
        </w:rPr>
        <w:t>،</w:t>
      </w:r>
      <w:r w:rsidR="00777DCB" w:rsidRPr="00A52585">
        <w:rPr>
          <w:rFonts w:hint="cs"/>
          <w:rtl/>
        </w:rPr>
        <w:t xml:space="preserve"> وقوم عزير</w:t>
      </w:r>
      <w:r w:rsidR="00DB731D" w:rsidRPr="00A52585">
        <w:rPr>
          <w:rFonts w:hint="cs"/>
          <w:rtl/>
        </w:rPr>
        <w:t>،</w:t>
      </w:r>
      <w:r w:rsidR="00777DCB" w:rsidRPr="00A52585">
        <w:rPr>
          <w:rFonts w:hint="cs"/>
          <w:rtl/>
        </w:rPr>
        <w:t xml:space="preserve"> وعبد قوم البقر </w:t>
      </w:r>
      <w:proofErr w:type="spellStart"/>
      <w:r w:rsidR="00777DCB" w:rsidRPr="00A52585">
        <w:rPr>
          <w:rFonts w:hint="cs"/>
          <w:rtl/>
        </w:rPr>
        <w:t>والاكثرون</w:t>
      </w:r>
      <w:proofErr w:type="spellEnd"/>
      <w:r w:rsidR="00777DCB" w:rsidRPr="00A52585">
        <w:rPr>
          <w:rFonts w:hint="cs"/>
          <w:rtl/>
        </w:rPr>
        <w:t xml:space="preserve"> الاصنام فآنست نفوسهم بالحس المقطوع بوجوده ولذلك قال قوم </w:t>
      </w:r>
      <w:r w:rsidRPr="00A52585">
        <w:rPr>
          <w:rFonts w:hint="cs"/>
          <w:rtl/>
        </w:rPr>
        <w:t>(</w:t>
      </w:r>
      <w:r w:rsidR="00777DCB" w:rsidRPr="00A52585">
        <w:rPr>
          <w:rFonts w:hint="cs"/>
          <w:rtl/>
        </w:rPr>
        <w:t>سيدنا</w:t>
      </w:r>
      <w:r w:rsidRPr="00A52585">
        <w:rPr>
          <w:rFonts w:hint="cs"/>
          <w:rtl/>
        </w:rPr>
        <w:t>)</w:t>
      </w:r>
      <w:r w:rsidR="00777DCB" w:rsidRPr="00A52585">
        <w:rPr>
          <w:rFonts w:hint="cs"/>
          <w:rtl/>
        </w:rPr>
        <w:t xml:space="preserve"> موسى عليه 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اجعل لنا إلها</w:t>
      </w:r>
      <w:r w:rsidRPr="00A52585">
        <w:rPr>
          <w:rFonts w:hint="cs"/>
          <w:rtl/>
        </w:rPr>
        <w:t>)</w:t>
      </w:r>
      <w:r w:rsidR="00777DCB" w:rsidRPr="00A52585">
        <w:rPr>
          <w:rFonts w:hint="cs"/>
          <w:rtl/>
        </w:rPr>
        <w:t xml:space="preserve"> الاعراف</w:t>
      </w:r>
      <w:r w:rsidRPr="00A52585">
        <w:rPr>
          <w:rFonts w:hint="cs"/>
          <w:rtl/>
        </w:rPr>
        <w:t>:</w:t>
      </w:r>
      <w:r w:rsidR="00777DCB" w:rsidRPr="00A52585">
        <w:rPr>
          <w:rFonts w:hint="cs"/>
          <w:rtl/>
        </w:rPr>
        <w:t xml:space="preserve"> 137</w:t>
      </w:r>
      <w:r w:rsidR="00DB731D" w:rsidRPr="00A52585">
        <w:rPr>
          <w:rFonts w:hint="cs"/>
          <w:rtl/>
        </w:rPr>
        <w:t>،</w:t>
      </w:r>
      <w:r w:rsidR="00777DCB" w:rsidRPr="00A52585">
        <w:rPr>
          <w:rFonts w:hint="cs"/>
          <w:rtl/>
        </w:rPr>
        <w:t xml:space="preserve"> فلو جاءت الشرائع بالتنزيه المحض جاءت بما يطابق النفي فلما قالوا</w:t>
      </w:r>
      <w:r w:rsidRPr="00A52585">
        <w:rPr>
          <w:rFonts w:hint="cs"/>
          <w:rtl/>
        </w:rPr>
        <w:t>:</w:t>
      </w:r>
      <w:r w:rsidR="00777DCB" w:rsidRPr="00A52585">
        <w:rPr>
          <w:rFonts w:hint="cs"/>
          <w:rtl/>
        </w:rPr>
        <w:t xml:space="preserve"> " صف لنا ربك " نزلت </w:t>
      </w:r>
      <w:r w:rsidRPr="00A52585">
        <w:rPr>
          <w:rFonts w:hint="cs"/>
          <w:rtl/>
        </w:rPr>
        <w:t>(</w:t>
      </w:r>
      <w:r w:rsidR="00777DCB" w:rsidRPr="00A52585">
        <w:rPr>
          <w:rFonts w:hint="cs"/>
          <w:rtl/>
        </w:rPr>
        <w:t>قل هو الله أحد</w:t>
      </w:r>
      <w:r w:rsidRPr="00A52585">
        <w:rPr>
          <w:rFonts w:hint="cs"/>
          <w:rtl/>
        </w:rPr>
        <w:t>)</w:t>
      </w:r>
      <w:r w:rsidR="00777DCB" w:rsidRPr="00A52585">
        <w:rPr>
          <w:rFonts w:hint="cs"/>
          <w:rtl/>
        </w:rPr>
        <w:t xml:space="preserve"> الاخلاص</w:t>
      </w:r>
      <w:r w:rsidRPr="00A52585">
        <w:rPr>
          <w:rFonts w:hint="cs"/>
          <w:rtl/>
        </w:rPr>
        <w:t>:</w:t>
      </w:r>
      <w:r w:rsidR="00777DCB" w:rsidRPr="00A52585">
        <w:rPr>
          <w:rFonts w:hint="cs"/>
          <w:rtl/>
        </w:rPr>
        <w:t xml:space="preserve"> 1</w:t>
      </w:r>
      <w:r w:rsidR="00DB731D" w:rsidRPr="00A52585">
        <w:rPr>
          <w:rFonts w:hint="cs"/>
          <w:rtl/>
        </w:rPr>
        <w:t>،</w:t>
      </w:r>
      <w:r w:rsidR="00777DCB" w:rsidRPr="00A52585">
        <w:rPr>
          <w:rFonts w:hint="cs"/>
          <w:rtl/>
        </w:rPr>
        <w:t xml:space="preserve"> ولو قال لهم ليس بجسم ولا جوهر ولا عرض ولا طويل ولا عريض ولا يشغل الامكنة ولا </w:t>
      </w:r>
      <w:proofErr w:type="spellStart"/>
      <w:r w:rsidR="00777DCB" w:rsidRPr="00A52585">
        <w:rPr>
          <w:rFonts w:hint="cs"/>
          <w:rtl/>
        </w:rPr>
        <w:t>يحويه</w:t>
      </w:r>
      <w:proofErr w:type="spellEnd"/>
      <w:r w:rsidR="00777DCB" w:rsidRPr="00A52585">
        <w:rPr>
          <w:rFonts w:hint="cs"/>
          <w:rtl/>
        </w:rPr>
        <w:t xml:space="preserve"> مكان ولا جهة من الجهات الست وليس بمتحرك ولا ساكن ولا يدركه الاحساس لقالوا</w:t>
      </w:r>
      <w:r w:rsidRPr="00A52585">
        <w:rPr>
          <w:rFonts w:hint="cs"/>
          <w:rtl/>
        </w:rPr>
        <w:t>:</w:t>
      </w:r>
      <w:r w:rsidR="00777DCB" w:rsidRPr="00A52585">
        <w:rPr>
          <w:rFonts w:hint="cs"/>
          <w:rtl/>
        </w:rPr>
        <w:t xml:space="preserve"> حد لنا النفي بأن تميز ما تدعونا إلى عبادته عن النفي وإلا فأنت تدعو إلى عدم</w:t>
      </w:r>
      <w:r w:rsidR="00DB731D" w:rsidRPr="00A52585">
        <w:rPr>
          <w:rFonts w:hint="cs"/>
          <w:rtl/>
        </w:rPr>
        <w:t>،</w:t>
      </w:r>
      <w:r w:rsidR="00777DCB" w:rsidRPr="00A52585">
        <w:rPr>
          <w:rFonts w:hint="cs"/>
          <w:rtl/>
        </w:rPr>
        <w:t xml:space="preserve"> فلما علم الحق سبحانه ذلك جاءهم بأسماء يعقلونها من السمع والبصر والحلم والغضب</w:t>
      </w:r>
      <w:r w:rsidR="00DB731D" w:rsidRPr="00A52585">
        <w:rPr>
          <w:rFonts w:hint="cs"/>
          <w:rtl/>
        </w:rPr>
        <w:t>،</w:t>
      </w:r>
      <w:r w:rsidR="00777DCB" w:rsidRPr="00A52585">
        <w:rPr>
          <w:rFonts w:hint="cs"/>
          <w:rtl/>
        </w:rPr>
        <w:t xml:space="preserve"> وبنى البيت وجعل الحجر بمثابة اليمين المصافحة</w:t>
      </w:r>
      <w:r w:rsidR="00DB731D" w:rsidRPr="00A52585">
        <w:rPr>
          <w:rFonts w:hint="cs"/>
          <w:rtl/>
        </w:rPr>
        <w:t>،</w:t>
      </w:r>
      <w:r w:rsidR="00777DCB" w:rsidRPr="00A52585">
        <w:rPr>
          <w:rFonts w:hint="cs"/>
          <w:rtl/>
        </w:rPr>
        <w:t xml:space="preserve"> وجاء بذكر الوجه واليدين والقدم والاستواء والنزول لان المقصود الاثبات فهو أهم عند الشرع من التنزيه</w:t>
      </w:r>
      <w:r w:rsidR="00DB731D" w:rsidRPr="00A52585">
        <w:rPr>
          <w:rFonts w:hint="cs"/>
          <w:rtl/>
        </w:rPr>
        <w:t>،</w:t>
      </w:r>
      <w:r w:rsidR="00777DCB" w:rsidRPr="00A52585">
        <w:rPr>
          <w:rFonts w:hint="cs"/>
          <w:rtl/>
        </w:rPr>
        <w:t xml:space="preserve"> وإن كان التنزيه منها</w:t>
      </w:r>
      <w:r w:rsidR="00DB731D" w:rsidRPr="00A52585">
        <w:rPr>
          <w:rFonts w:hint="cs"/>
          <w:rtl/>
        </w:rPr>
        <w:t>،</w:t>
      </w:r>
      <w:r w:rsidR="00777DCB" w:rsidRPr="00A52585">
        <w:rPr>
          <w:rFonts w:hint="cs"/>
          <w:rtl/>
        </w:rPr>
        <w:t xml:space="preserve"> ولهذا قال للجارية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أين الله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لو ثبت أن النبي صلى الله عليه وسلم قال هذا اللفظ</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أين الله</w:t>
      </w:r>
      <w:r w:rsidRPr="00A52585">
        <w:rPr>
          <w:rFonts w:hint="cs"/>
          <w:sz w:val="24"/>
          <w:szCs w:val="24"/>
          <w:rtl/>
        </w:rPr>
        <w:t>)</w:t>
      </w:r>
      <w:r w:rsidR="00777DCB" w:rsidRPr="00A52585">
        <w:rPr>
          <w:rFonts w:hint="cs"/>
          <w:sz w:val="24"/>
          <w:szCs w:val="24"/>
          <w:rtl/>
        </w:rPr>
        <w:t xml:space="preserve"> ولم يثبت مع أنه في صحيح الامام مسلم رحمه الله تعالى</w:t>
      </w:r>
      <w:r w:rsidR="00DB731D" w:rsidRPr="00A52585">
        <w:rPr>
          <w:rFonts w:hint="cs"/>
          <w:sz w:val="24"/>
          <w:szCs w:val="24"/>
          <w:rtl/>
        </w:rPr>
        <w:t>،</w:t>
      </w:r>
      <w:r w:rsidR="00777DCB" w:rsidRPr="00A52585">
        <w:rPr>
          <w:rFonts w:hint="cs"/>
          <w:sz w:val="24"/>
          <w:szCs w:val="24"/>
          <w:rtl/>
        </w:rPr>
        <w:t xml:space="preserve"> وذلك لأنه ورد في غير صحيح مسلم بأسانيد صحيحة أنه قال لها</w:t>
      </w:r>
      <w:r w:rsidRPr="00A52585">
        <w:rPr>
          <w:rFonts w:hint="cs"/>
          <w:sz w:val="24"/>
          <w:szCs w:val="24"/>
          <w:rtl/>
        </w:rPr>
        <w:t>:</w:t>
      </w:r>
      <w:r w:rsidR="00777DCB" w:rsidRPr="00A52585">
        <w:rPr>
          <w:rFonts w:hint="cs"/>
          <w:sz w:val="24"/>
          <w:szCs w:val="24"/>
          <w:rtl/>
        </w:rPr>
        <w:t xml:space="preserve"> " أتشهدين أن لا إله إلا الله "</w:t>
      </w:r>
      <w:r w:rsidR="00DB731D" w:rsidRPr="00A52585">
        <w:rPr>
          <w:rFonts w:hint="cs"/>
          <w:sz w:val="24"/>
          <w:szCs w:val="24"/>
          <w:rtl/>
        </w:rPr>
        <w:t>،</w:t>
      </w:r>
      <w:r w:rsidR="00777DCB" w:rsidRPr="00A52585">
        <w:rPr>
          <w:rFonts w:hint="cs"/>
          <w:sz w:val="24"/>
          <w:szCs w:val="24"/>
          <w:rtl/>
        </w:rPr>
        <w:t xml:space="preserve"> فتبين أن الاختلاف من تصرف الرواة الذين رووا الحديث</w:t>
      </w:r>
      <w:r w:rsidR="00DB731D" w:rsidRPr="00A52585">
        <w:rPr>
          <w:rFonts w:hint="cs"/>
          <w:sz w:val="24"/>
          <w:szCs w:val="24"/>
          <w:rtl/>
        </w:rPr>
        <w:t>،</w:t>
      </w:r>
      <w:r w:rsidR="00777DCB" w:rsidRPr="00A52585">
        <w:rPr>
          <w:rFonts w:hint="cs"/>
          <w:sz w:val="24"/>
          <w:szCs w:val="24"/>
          <w:rtl/>
        </w:rPr>
        <w:t xml:space="preserve"> فصار لفظ " أين الله " محل احتمال</w:t>
      </w:r>
      <w:r w:rsidR="00DB731D" w:rsidRPr="00A52585">
        <w:rPr>
          <w:rFonts w:hint="cs"/>
          <w:sz w:val="24"/>
          <w:szCs w:val="24"/>
          <w:rtl/>
        </w:rPr>
        <w:t>،</w:t>
      </w:r>
      <w:r w:rsidR="00777DCB" w:rsidRPr="00A52585">
        <w:rPr>
          <w:rFonts w:hint="cs"/>
          <w:sz w:val="24"/>
          <w:szCs w:val="24"/>
          <w:rtl/>
        </w:rPr>
        <w:t xml:space="preserve"> وما طرأ فيه الاحتمال سقط به الاستدلال</w:t>
      </w:r>
      <w:r w:rsidR="00DB731D" w:rsidRPr="00A52585">
        <w:rPr>
          <w:rFonts w:hint="cs"/>
          <w:sz w:val="24"/>
          <w:szCs w:val="24"/>
          <w:rtl/>
        </w:rPr>
        <w:t>،</w:t>
      </w:r>
      <w:r w:rsidR="00777DCB" w:rsidRPr="00A52585">
        <w:rPr>
          <w:rFonts w:hint="cs"/>
          <w:sz w:val="24"/>
          <w:szCs w:val="24"/>
          <w:rtl/>
        </w:rPr>
        <w:t xml:space="preserve"> وفرق بين " أين الله " التي تدل على المكان الذي يتعالى الله أن يحل فيه</w:t>
      </w:r>
      <w:r w:rsidR="00DB731D" w:rsidRPr="00A52585">
        <w:rPr>
          <w:rFonts w:hint="cs"/>
          <w:sz w:val="24"/>
          <w:szCs w:val="24"/>
          <w:rtl/>
        </w:rPr>
        <w:t>،</w:t>
      </w:r>
      <w:r w:rsidR="00777DCB" w:rsidRPr="00A52585">
        <w:rPr>
          <w:rFonts w:hint="cs"/>
          <w:sz w:val="24"/>
          <w:szCs w:val="24"/>
          <w:rtl/>
        </w:rPr>
        <w:t xml:space="preserve"> وبين " أتشهدين أن لا إله إلا الله " الذي كان النبي صلى الله عليه وسلم يطالب به الناس ويمتحنهم به</w:t>
      </w:r>
      <w:r w:rsidR="00DB731D" w:rsidRPr="00A52585">
        <w:rPr>
          <w:rFonts w:hint="cs"/>
          <w:sz w:val="24"/>
          <w:szCs w:val="24"/>
          <w:rtl/>
        </w:rPr>
        <w:t>،</w:t>
      </w:r>
      <w:r w:rsidR="00777DCB" w:rsidRPr="00A52585">
        <w:rPr>
          <w:rFonts w:hint="cs"/>
          <w:sz w:val="24"/>
          <w:szCs w:val="24"/>
          <w:rtl/>
        </w:rPr>
        <w:t xml:space="preserve"> ونحن نقطع بأن النبي صلى الله عليه وسلم لم يقل لفظ " أين الله " وانما قال</w:t>
      </w:r>
      <w:r w:rsidRPr="00A52585">
        <w:rPr>
          <w:rFonts w:hint="cs"/>
          <w:sz w:val="24"/>
          <w:szCs w:val="24"/>
          <w:rtl/>
        </w:rPr>
        <w:t>:</w:t>
      </w:r>
      <w:r w:rsidR="00777DCB" w:rsidRPr="00A52585">
        <w:rPr>
          <w:rFonts w:hint="cs"/>
          <w:sz w:val="24"/>
          <w:szCs w:val="24"/>
          <w:rtl/>
        </w:rPr>
        <w:t xml:space="preserve"> " أتشهدين ان لا إله إلا الله " الذي رواه احمد في مسنده </w:t>
      </w:r>
      <w:r w:rsidRPr="00A52585">
        <w:rPr>
          <w:rFonts w:hint="cs"/>
          <w:sz w:val="24"/>
          <w:szCs w:val="24"/>
          <w:rtl/>
        </w:rPr>
        <w:t>(</w:t>
      </w:r>
      <w:r w:rsidR="00777DCB" w:rsidRPr="00A52585">
        <w:rPr>
          <w:rFonts w:hint="cs"/>
          <w:sz w:val="24"/>
          <w:szCs w:val="24"/>
          <w:rtl/>
        </w:rPr>
        <w:t>3 / 452</w:t>
      </w:r>
      <w:r w:rsidRPr="00A52585">
        <w:rPr>
          <w:rFonts w:hint="cs"/>
          <w:sz w:val="24"/>
          <w:szCs w:val="24"/>
          <w:rtl/>
        </w:rPr>
        <w:t>)</w:t>
      </w:r>
      <w:r w:rsidR="00777DCB" w:rsidRPr="00A52585">
        <w:rPr>
          <w:rFonts w:hint="cs"/>
          <w:sz w:val="24"/>
          <w:szCs w:val="24"/>
          <w:rtl/>
        </w:rPr>
        <w:t xml:space="preserve"> وعبد الرزاق في المصنف </w:t>
      </w:r>
      <w:r w:rsidRPr="00A52585">
        <w:rPr>
          <w:rFonts w:hint="cs"/>
          <w:sz w:val="24"/>
          <w:szCs w:val="24"/>
          <w:rtl/>
        </w:rPr>
        <w:t>(</w:t>
      </w:r>
      <w:r w:rsidR="00777DCB" w:rsidRPr="00A52585">
        <w:rPr>
          <w:rFonts w:hint="cs"/>
          <w:sz w:val="24"/>
          <w:szCs w:val="24"/>
          <w:rtl/>
        </w:rPr>
        <w:t>9 / 175</w:t>
      </w:r>
      <w:r w:rsidRPr="00A52585">
        <w:rPr>
          <w:rFonts w:hint="cs"/>
          <w:sz w:val="24"/>
          <w:szCs w:val="24"/>
          <w:rtl/>
        </w:rPr>
        <w:t>)</w:t>
      </w:r>
      <w:r w:rsidR="00777DCB" w:rsidRPr="00A52585">
        <w:rPr>
          <w:rFonts w:hint="cs"/>
          <w:sz w:val="24"/>
          <w:szCs w:val="24"/>
          <w:rtl/>
        </w:rPr>
        <w:t xml:space="preserve"> والبزار </w:t>
      </w:r>
      <w:r w:rsidRPr="00A52585">
        <w:rPr>
          <w:rFonts w:hint="cs"/>
          <w:sz w:val="24"/>
          <w:szCs w:val="24"/>
          <w:rtl/>
        </w:rPr>
        <w:t>(</w:t>
      </w:r>
      <w:r w:rsidR="00777DCB" w:rsidRPr="00A52585">
        <w:rPr>
          <w:rFonts w:hint="cs"/>
          <w:sz w:val="24"/>
          <w:szCs w:val="24"/>
          <w:rtl/>
        </w:rPr>
        <w:t>1 / 14 كشف الاستار</w:t>
      </w:r>
      <w:r w:rsidRPr="00A52585">
        <w:rPr>
          <w:rFonts w:hint="cs"/>
          <w:sz w:val="24"/>
          <w:szCs w:val="24"/>
          <w:rtl/>
        </w:rPr>
        <w:t>)</w:t>
      </w:r>
      <w:r w:rsidR="00777DCB" w:rsidRPr="00A52585">
        <w:rPr>
          <w:rFonts w:hint="cs"/>
          <w:sz w:val="24"/>
          <w:szCs w:val="24"/>
          <w:rtl/>
        </w:rPr>
        <w:t xml:space="preserve"> والدارمي </w:t>
      </w:r>
      <w:r w:rsidRPr="00A52585">
        <w:rPr>
          <w:rFonts w:hint="cs"/>
          <w:sz w:val="24"/>
          <w:szCs w:val="24"/>
          <w:rtl/>
        </w:rPr>
        <w:t>(</w:t>
      </w:r>
      <w:r w:rsidR="00777DCB" w:rsidRPr="00A52585">
        <w:rPr>
          <w:rFonts w:hint="cs"/>
          <w:sz w:val="24"/>
          <w:szCs w:val="24"/>
          <w:rtl/>
        </w:rPr>
        <w:t>2 / 187</w:t>
      </w:r>
      <w:r w:rsidRPr="00A52585">
        <w:rPr>
          <w:rFonts w:hint="cs"/>
          <w:sz w:val="24"/>
          <w:szCs w:val="24"/>
          <w:rtl/>
        </w:rPr>
        <w:t>)</w:t>
      </w:r>
      <w:r w:rsidR="00777DCB" w:rsidRPr="00A52585">
        <w:rPr>
          <w:rFonts w:hint="cs"/>
          <w:sz w:val="24"/>
          <w:szCs w:val="24"/>
          <w:rtl/>
        </w:rPr>
        <w:t xml:space="preserve"> والبيهقي </w:t>
      </w:r>
      <w:r w:rsidRPr="00A52585">
        <w:rPr>
          <w:rFonts w:hint="cs"/>
          <w:sz w:val="24"/>
          <w:szCs w:val="24"/>
          <w:rtl/>
        </w:rPr>
        <w:t>(</w:t>
      </w:r>
      <w:r w:rsidR="00777DCB" w:rsidRPr="00A52585">
        <w:rPr>
          <w:rFonts w:hint="cs"/>
          <w:sz w:val="24"/>
          <w:szCs w:val="24"/>
          <w:rtl/>
        </w:rPr>
        <w:t>10 / 57</w:t>
      </w:r>
      <w:r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12 / 27</w:t>
      </w:r>
      <w:r w:rsidRPr="00A52585">
        <w:rPr>
          <w:rFonts w:hint="cs"/>
          <w:sz w:val="24"/>
          <w:szCs w:val="24"/>
          <w:rtl/>
        </w:rPr>
        <w:t>)</w:t>
      </w:r>
      <w:r w:rsidR="00777DCB" w:rsidRPr="00A52585">
        <w:rPr>
          <w:rFonts w:hint="cs"/>
          <w:sz w:val="24"/>
          <w:szCs w:val="24"/>
          <w:rtl/>
        </w:rPr>
        <w:t xml:space="preserve"> وابن الجارود </w:t>
      </w:r>
      <w:r w:rsidRPr="00A52585">
        <w:rPr>
          <w:rFonts w:hint="cs"/>
          <w:sz w:val="24"/>
          <w:szCs w:val="24"/>
          <w:rtl/>
        </w:rPr>
        <w:t>(</w:t>
      </w:r>
      <w:r w:rsidR="00777DCB" w:rsidRPr="00A52585">
        <w:rPr>
          <w:rFonts w:hint="cs"/>
          <w:sz w:val="24"/>
          <w:szCs w:val="24"/>
          <w:rtl/>
        </w:rPr>
        <w:t>931</w:t>
      </w:r>
      <w:r w:rsidRPr="00A52585">
        <w:rPr>
          <w:rFonts w:hint="cs"/>
          <w:sz w:val="24"/>
          <w:szCs w:val="24"/>
          <w:rtl/>
        </w:rPr>
        <w:t>)</w:t>
      </w:r>
      <w:r w:rsidR="00777DCB" w:rsidRPr="00A52585">
        <w:rPr>
          <w:rFonts w:hint="cs"/>
          <w:sz w:val="24"/>
          <w:szCs w:val="24"/>
          <w:rtl/>
        </w:rPr>
        <w:t xml:space="preserve"> وابن أبي شيبة </w:t>
      </w:r>
      <w:r w:rsidRPr="00A52585">
        <w:rPr>
          <w:rFonts w:hint="cs"/>
          <w:sz w:val="24"/>
          <w:szCs w:val="24"/>
          <w:rtl/>
        </w:rPr>
        <w:t>(</w:t>
      </w:r>
      <w:r w:rsidR="00777DCB" w:rsidRPr="00A52585">
        <w:rPr>
          <w:rFonts w:hint="cs"/>
          <w:sz w:val="24"/>
          <w:szCs w:val="24"/>
          <w:rtl/>
        </w:rPr>
        <w:t>11 / 20</w:t>
      </w:r>
      <w:r w:rsidRPr="00A52585">
        <w:rPr>
          <w:rFonts w:hint="cs"/>
          <w:sz w:val="24"/>
          <w:szCs w:val="24"/>
          <w:rtl/>
        </w:rPr>
        <w:t>)</w:t>
      </w:r>
      <w:r w:rsidR="00777DCB" w:rsidRPr="00A52585">
        <w:rPr>
          <w:rFonts w:hint="cs"/>
          <w:sz w:val="24"/>
          <w:szCs w:val="24"/>
          <w:rtl/>
        </w:rPr>
        <w:t xml:space="preserve"> وغيرهم بأسانيد صحيحه</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وقيل 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أيضحك ربنا</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نعم</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لقد أول الامام البخاري رحمه الله تعالى " الضحك " بالرحمة فيما نقله عنه الحافظ البيهقي في كتابه العظيم " الاسماء والصفات " </w:t>
      </w:r>
      <w:r w:rsidRPr="00A52585">
        <w:rPr>
          <w:rFonts w:hint="cs"/>
          <w:sz w:val="24"/>
          <w:szCs w:val="24"/>
          <w:rtl/>
        </w:rPr>
        <w:t>(</w:t>
      </w:r>
      <w:r w:rsidR="00777DCB" w:rsidRPr="00A52585">
        <w:rPr>
          <w:rFonts w:hint="cs"/>
          <w:sz w:val="24"/>
          <w:szCs w:val="24"/>
          <w:rtl/>
        </w:rPr>
        <w:t>ص 298 بتحقيق الامام المحدث الكوثري رحمه الله تعالى</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ويصح تأويله أيضا بالرضى</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فلما أثبت وجوده بذكر صور </w:t>
      </w:r>
      <w:proofErr w:type="spellStart"/>
      <w:r w:rsidR="00777DCB" w:rsidRPr="00A52585">
        <w:rPr>
          <w:rFonts w:hint="cs"/>
          <w:rtl/>
        </w:rPr>
        <w:t>الحسيات</w:t>
      </w:r>
      <w:proofErr w:type="spellEnd"/>
      <w:r w:rsidR="00777DCB" w:rsidRPr="00A52585">
        <w:rPr>
          <w:rFonts w:hint="cs"/>
          <w:rtl/>
        </w:rPr>
        <w:t xml:space="preserve"> نفى خيال التشبيه بقوله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الشورى</w:t>
      </w:r>
      <w:r w:rsidRPr="00A52585">
        <w:rPr>
          <w:rFonts w:hint="cs"/>
          <w:rtl/>
        </w:rPr>
        <w:t>:</w:t>
      </w:r>
      <w:r w:rsidR="00777DCB" w:rsidRPr="00A52585">
        <w:rPr>
          <w:rFonts w:hint="cs"/>
          <w:rtl/>
        </w:rPr>
        <w:t xml:space="preserve"> 11</w:t>
      </w:r>
      <w:r w:rsidR="00DB731D" w:rsidRPr="00A52585">
        <w:rPr>
          <w:rFonts w:hint="cs"/>
          <w:rtl/>
        </w:rPr>
        <w:t>،</w:t>
      </w:r>
      <w:r w:rsidR="00777DCB" w:rsidRPr="00A52585">
        <w:rPr>
          <w:rFonts w:hint="cs"/>
          <w:rtl/>
        </w:rPr>
        <w:t xml:space="preserve"> ثم لم يذكر الرسول الاحاديث جملة وإنما كان يذكر الكلمة في الاحيان فقد غلط من ألفها أبوابا على ترتيب صورة غلطا قبيحا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كابن خزيمة في كتابه التوحيد الذي سماه الامام الفخر الرازي في تفسيره </w:t>
      </w:r>
      <w:r w:rsidRPr="00A52585">
        <w:rPr>
          <w:rFonts w:hint="cs"/>
          <w:sz w:val="24"/>
          <w:szCs w:val="24"/>
          <w:rtl/>
        </w:rPr>
        <w:t>(</w:t>
      </w:r>
      <w:r w:rsidR="00777DCB" w:rsidRPr="00A52585">
        <w:rPr>
          <w:rFonts w:hint="cs"/>
          <w:sz w:val="24"/>
          <w:szCs w:val="24"/>
          <w:rtl/>
        </w:rPr>
        <w:t>14 / 27 / 151</w:t>
      </w:r>
      <w:r w:rsidRPr="00A52585">
        <w:rPr>
          <w:rFonts w:hint="cs"/>
          <w:sz w:val="24"/>
          <w:szCs w:val="24"/>
          <w:rtl/>
        </w:rPr>
        <w:t>)</w:t>
      </w:r>
      <w:r w:rsidR="00777DCB" w:rsidRPr="00A52585">
        <w:rPr>
          <w:rFonts w:hint="cs"/>
          <w:sz w:val="24"/>
          <w:szCs w:val="24"/>
          <w:rtl/>
        </w:rPr>
        <w:t xml:space="preserve"> كتاب الشرك</w:t>
      </w:r>
      <w:r w:rsidR="00DB731D" w:rsidRPr="00A52585">
        <w:rPr>
          <w:rFonts w:hint="cs"/>
          <w:sz w:val="24"/>
          <w:szCs w:val="24"/>
          <w:rtl/>
        </w:rPr>
        <w:t>،</w:t>
      </w:r>
      <w:r w:rsidR="00777DCB" w:rsidRPr="00A52585">
        <w:rPr>
          <w:rFonts w:hint="cs"/>
          <w:sz w:val="24"/>
          <w:szCs w:val="24"/>
          <w:rtl/>
        </w:rPr>
        <w:t xml:space="preserve"> وقد ندم ابن خزيمة على تصنيفه ورجع عنه</w:t>
      </w:r>
      <w:r w:rsidR="00DB731D" w:rsidRPr="00A52585">
        <w:rPr>
          <w:rFonts w:hint="cs"/>
          <w:sz w:val="24"/>
          <w:szCs w:val="24"/>
          <w:rtl/>
        </w:rPr>
        <w:t>،</w:t>
      </w:r>
      <w:r w:rsidR="00777DCB" w:rsidRPr="00A52585">
        <w:rPr>
          <w:rFonts w:hint="cs"/>
          <w:sz w:val="24"/>
          <w:szCs w:val="24"/>
          <w:rtl/>
        </w:rPr>
        <w:t xml:space="preserve"> كما جاء عنه بإسنادين في كتاب " الاسماء والصفات " للحافظ البيهقي </w:t>
      </w:r>
      <w:r w:rsidRPr="00A52585">
        <w:rPr>
          <w:rFonts w:hint="cs"/>
          <w:sz w:val="24"/>
          <w:szCs w:val="24"/>
          <w:rtl/>
        </w:rPr>
        <w:t>(</w:t>
      </w:r>
      <w:r w:rsidR="00777DCB" w:rsidRPr="00A52585">
        <w:rPr>
          <w:rFonts w:hint="cs"/>
          <w:sz w:val="24"/>
          <w:szCs w:val="24"/>
          <w:rtl/>
        </w:rPr>
        <w:t>ص 267 بتحقيق المحدث الكوثري</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ومثل كتاب التوحيد لابن خزيمة كتاب " السنة " المنسوب لابن أحمد وكذلك " سنة الخلال " وأمثال هذه الكتب التي تحمل في طواياها تجسيما صريحا وروايات تالفة</w:t>
      </w:r>
      <w:r w:rsidRPr="00A52585">
        <w:rPr>
          <w:rFonts w:hint="cs"/>
          <w:sz w:val="24"/>
          <w:szCs w:val="24"/>
          <w:rtl/>
        </w:rPr>
        <w:t>]</w:t>
      </w:r>
      <w:r w:rsidR="00DB731D" w:rsidRPr="00A52585">
        <w:rPr>
          <w:rFonts w:hint="cs"/>
          <w:rtl/>
        </w:rPr>
        <w:t>،</w:t>
      </w:r>
      <w:r w:rsidR="00777DCB" w:rsidRPr="00A52585">
        <w:rPr>
          <w:rFonts w:hint="cs"/>
          <w:rtl/>
        </w:rPr>
        <w:t xml:space="preserve"> ثم هي بمجموعها يسيرة</w:t>
      </w:r>
      <w:r w:rsidR="00DB731D" w:rsidRPr="00A52585">
        <w:rPr>
          <w:rFonts w:hint="cs"/>
          <w:rtl/>
        </w:rPr>
        <w:t>،</w:t>
      </w:r>
      <w:r w:rsidR="00777DCB" w:rsidRPr="00A52585">
        <w:rPr>
          <w:rFonts w:hint="cs"/>
          <w:rtl/>
        </w:rPr>
        <w:t xml:space="preserve"> والصحيح منها يسير</w:t>
      </w:r>
      <w:r w:rsidRPr="00A52585">
        <w:rPr>
          <w:rFonts w:hint="cs"/>
          <w:rtl/>
        </w:rPr>
        <w:t>:</w:t>
      </w:r>
      <w:r w:rsidR="00777DCB" w:rsidRPr="00A52585">
        <w:rPr>
          <w:rFonts w:hint="cs"/>
          <w:rtl/>
        </w:rPr>
        <w:t xml:space="preserve"> ثم هو عربي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يعني سيدنا النبي صلى الله عليه وسلم</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 xml:space="preserve">وله التجوز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 له أن يستعمل المجاز الذي ينكره بعض المبتدعة</w:t>
      </w:r>
      <w:r w:rsidRPr="00A52585">
        <w:rPr>
          <w:rFonts w:hint="cs"/>
          <w:sz w:val="24"/>
          <w:szCs w:val="24"/>
          <w:rtl/>
        </w:rPr>
        <w:t>]</w:t>
      </w:r>
      <w:r w:rsidR="00DB731D" w:rsidRPr="00A52585">
        <w:rPr>
          <w:rFonts w:hint="cs"/>
          <w:rtl/>
        </w:rPr>
        <w:t>،</w:t>
      </w:r>
      <w:r w:rsidR="00777DCB" w:rsidRPr="00A52585">
        <w:rPr>
          <w:rFonts w:hint="cs"/>
          <w:rtl/>
        </w:rPr>
        <w:t xml:space="preserve"> أليس هو القائل</w:t>
      </w:r>
      <w:r w:rsidRPr="00A52585">
        <w:rPr>
          <w:rFonts w:hint="cs"/>
          <w:rtl/>
        </w:rPr>
        <w:t>:</w:t>
      </w:r>
      <w:r w:rsidR="00777DCB" w:rsidRPr="00A52585">
        <w:rPr>
          <w:rFonts w:hint="cs"/>
          <w:rtl/>
        </w:rPr>
        <w:t xml:space="preserve"> " تأتي البقرة وآل عمران كأنهما غمامتان أو فرقان من طير صاف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حديث مسلم </w:t>
      </w:r>
      <w:r w:rsidRPr="00A52585">
        <w:rPr>
          <w:rFonts w:hint="cs"/>
          <w:sz w:val="24"/>
          <w:szCs w:val="24"/>
          <w:rtl/>
        </w:rPr>
        <w:t>(</w:t>
      </w:r>
      <w:r w:rsidR="00777DCB" w:rsidRPr="00A52585">
        <w:rPr>
          <w:rFonts w:hint="cs"/>
          <w:sz w:val="24"/>
          <w:szCs w:val="24"/>
          <w:rtl/>
        </w:rPr>
        <w:t>1 / 553 برقم 804</w:t>
      </w:r>
      <w:r w:rsidRPr="00A52585">
        <w:rPr>
          <w:rFonts w:hint="cs"/>
          <w:sz w:val="24"/>
          <w:szCs w:val="24"/>
          <w:rtl/>
        </w:rPr>
        <w:t>)</w:t>
      </w:r>
      <w:r w:rsidR="00777DCB" w:rsidRPr="00A52585">
        <w:rPr>
          <w:rFonts w:hint="cs"/>
          <w:sz w:val="24"/>
          <w:szCs w:val="24"/>
          <w:rtl/>
        </w:rPr>
        <w:t xml:space="preserve"> 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الباهلي رضي الله عنه قال</w:t>
      </w:r>
      <w:r w:rsidRPr="00A52585">
        <w:rPr>
          <w:rFonts w:hint="cs"/>
          <w:sz w:val="24"/>
          <w:szCs w:val="24"/>
          <w:rtl/>
        </w:rPr>
        <w:t>:</w:t>
      </w:r>
      <w:r w:rsidR="00777DCB" w:rsidRPr="00A52585">
        <w:rPr>
          <w:rFonts w:hint="cs"/>
          <w:sz w:val="24"/>
          <w:szCs w:val="24"/>
          <w:rtl/>
        </w:rPr>
        <w:t xml:space="preserve"> سمعت رسول الله صلى الله عليه وسلم يقول</w:t>
      </w:r>
      <w:r w:rsidRPr="00A52585">
        <w:rPr>
          <w:rFonts w:hint="cs"/>
          <w:sz w:val="24"/>
          <w:szCs w:val="24"/>
          <w:rtl/>
        </w:rPr>
        <w:t>:</w:t>
      </w:r>
      <w:r w:rsidR="00777DCB" w:rsidRPr="00A52585">
        <w:rPr>
          <w:rFonts w:hint="cs"/>
          <w:sz w:val="24"/>
          <w:szCs w:val="24"/>
          <w:rtl/>
        </w:rPr>
        <w:t xml:space="preserve"> " </w:t>
      </w:r>
      <w:proofErr w:type="spellStart"/>
      <w:r w:rsidR="00777DCB" w:rsidRPr="00A52585">
        <w:rPr>
          <w:rFonts w:hint="cs"/>
          <w:sz w:val="24"/>
          <w:szCs w:val="24"/>
          <w:rtl/>
        </w:rPr>
        <w:t>إقرأوا</w:t>
      </w:r>
      <w:proofErr w:type="spellEnd"/>
      <w:r w:rsidR="00777DCB" w:rsidRPr="00A52585">
        <w:rPr>
          <w:rFonts w:hint="cs"/>
          <w:sz w:val="24"/>
          <w:szCs w:val="24"/>
          <w:rtl/>
        </w:rPr>
        <w:t xml:space="preserve"> القرآن</w:t>
      </w:r>
      <w:r w:rsidR="00DB731D" w:rsidRPr="00A52585">
        <w:rPr>
          <w:rFonts w:hint="cs"/>
          <w:sz w:val="24"/>
          <w:szCs w:val="24"/>
          <w:rtl/>
        </w:rPr>
        <w:t>،</w:t>
      </w:r>
      <w:r w:rsidR="00777DCB" w:rsidRPr="00A52585">
        <w:rPr>
          <w:rFonts w:hint="cs"/>
          <w:sz w:val="24"/>
          <w:szCs w:val="24"/>
          <w:rtl/>
        </w:rPr>
        <w:t xml:space="preserve"> فإنه يأتي يوم القيامة شفيعا </w:t>
      </w:r>
      <w:proofErr w:type="spellStart"/>
      <w:r w:rsidR="00777DCB" w:rsidRPr="00A52585">
        <w:rPr>
          <w:rFonts w:hint="cs"/>
          <w:sz w:val="24"/>
          <w:szCs w:val="24"/>
          <w:rtl/>
        </w:rPr>
        <w:t>لاصحابه</w:t>
      </w:r>
      <w:proofErr w:type="spellEnd"/>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إقرأوا</w:t>
      </w:r>
      <w:proofErr w:type="spellEnd"/>
      <w:r w:rsidR="00777DCB" w:rsidRPr="00A52585">
        <w:rPr>
          <w:rFonts w:hint="cs"/>
          <w:sz w:val="24"/>
          <w:szCs w:val="24"/>
          <w:rtl/>
        </w:rPr>
        <w:t xml:space="preserve"> الزهراوين البقرة وسورة آل عمران فإنهما تأتيان يوم القيامة كأنهما غمامتان</w:t>
      </w:r>
      <w:r w:rsidR="00DB731D" w:rsidRPr="00A52585">
        <w:rPr>
          <w:rFonts w:hint="cs"/>
          <w:sz w:val="24"/>
          <w:szCs w:val="24"/>
          <w:rtl/>
        </w:rPr>
        <w:t>،</w:t>
      </w:r>
      <w:r w:rsidR="00777DCB" w:rsidRPr="00A52585">
        <w:rPr>
          <w:rFonts w:hint="cs"/>
          <w:sz w:val="24"/>
          <w:szCs w:val="24"/>
          <w:rtl/>
        </w:rPr>
        <w:t xml:space="preserve"> أو كأنهما غيايتان</w:t>
      </w:r>
      <w:r w:rsidR="00DB731D" w:rsidRPr="00A52585">
        <w:rPr>
          <w:rFonts w:hint="cs"/>
          <w:sz w:val="24"/>
          <w:szCs w:val="24"/>
          <w:rtl/>
        </w:rPr>
        <w:t>،</w:t>
      </w:r>
      <w:r w:rsidR="00777DCB" w:rsidRPr="00A52585">
        <w:rPr>
          <w:rFonts w:hint="cs"/>
          <w:sz w:val="24"/>
          <w:szCs w:val="24"/>
          <w:rtl/>
        </w:rPr>
        <w:t xml:space="preserve"> أو كأنهما فرقان من طير صواف</w:t>
      </w:r>
      <w:r w:rsidR="00DB731D" w:rsidRPr="00A52585">
        <w:rPr>
          <w:rFonts w:hint="cs"/>
          <w:sz w:val="24"/>
          <w:szCs w:val="24"/>
          <w:rtl/>
        </w:rPr>
        <w:t>،</w:t>
      </w:r>
      <w:r w:rsidR="00777DCB" w:rsidRPr="00A52585">
        <w:rPr>
          <w:rFonts w:hint="cs"/>
          <w:sz w:val="24"/>
          <w:szCs w:val="24"/>
          <w:rtl/>
        </w:rPr>
        <w:t xml:space="preserve"> تحاجان عن أصحابهما</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إقرأوا</w:t>
      </w:r>
      <w:proofErr w:type="spellEnd"/>
      <w:r w:rsidR="00777DCB" w:rsidRPr="00A52585">
        <w:rPr>
          <w:rFonts w:hint="cs"/>
          <w:sz w:val="24"/>
          <w:szCs w:val="24"/>
          <w:rtl/>
        </w:rPr>
        <w:t xml:space="preserve"> سورة البقرة</w:t>
      </w:r>
      <w:r w:rsidR="00897A24" w:rsidRPr="00A52585">
        <w:rPr>
          <w:rFonts w:hint="cs"/>
          <w:sz w:val="24"/>
          <w:szCs w:val="24"/>
          <w:rtl/>
        </w:rPr>
        <w:t>.</w:t>
      </w:r>
      <w:r w:rsidR="00777DCB" w:rsidRPr="00A52585">
        <w:rPr>
          <w:rFonts w:hint="cs"/>
          <w:sz w:val="24"/>
          <w:szCs w:val="24"/>
          <w:rtl/>
        </w:rPr>
        <w:t xml:space="preserve"> فإن أخذها بركة</w:t>
      </w:r>
      <w:r w:rsidR="00DB731D" w:rsidRPr="00A52585">
        <w:rPr>
          <w:rFonts w:hint="cs"/>
          <w:sz w:val="24"/>
          <w:szCs w:val="24"/>
          <w:rtl/>
        </w:rPr>
        <w:t>،</w:t>
      </w:r>
      <w:r w:rsidR="00777DCB" w:rsidRPr="00A52585">
        <w:rPr>
          <w:rFonts w:hint="cs"/>
          <w:sz w:val="24"/>
          <w:szCs w:val="24"/>
          <w:rtl/>
        </w:rPr>
        <w:t xml:space="preserve"> وتركها حسرة</w:t>
      </w:r>
      <w:r w:rsidR="00DB731D" w:rsidRPr="00A52585">
        <w:rPr>
          <w:rFonts w:hint="cs"/>
          <w:sz w:val="24"/>
          <w:szCs w:val="24"/>
          <w:rtl/>
        </w:rPr>
        <w:t>،</w:t>
      </w:r>
      <w:r w:rsidR="00777DCB" w:rsidRPr="00A52585">
        <w:rPr>
          <w:rFonts w:hint="cs"/>
          <w:sz w:val="24"/>
          <w:szCs w:val="24"/>
          <w:rtl/>
        </w:rPr>
        <w:t xml:space="preserve"> ولا </w:t>
      </w:r>
      <w:proofErr w:type="spellStart"/>
      <w:r w:rsidR="00777DCB" w:rsidRPr="00A52585">
        <w:rPr>
          <w:rFonts w:hint="cs"/>
          <w:sz w:val="24"/>
          <w:szCs w:val="24"/>
          <w:rtl/>
        </w:rPr>
        <w:t>يستطيعها</w:t>
      </w:r>
      <w:proofErr w:type="spellEnd"/>
      <w:r w:rsidR="00777DCB" w:rsidRPr="00A52585">
        <w:rPr>
          <w:rFonts w:hint="cs"/>
          <w:sz w:val="24"/>
          <w:szCs w:val="24"/>
          <w:rtl/>
        </w:rPr>
        <w:t xml:space="preserve"> البطلة "</w:t>
      </w:r>
      <w:r w:rsidR="00DB731D" w:rsidRPr="00A52585">
        <w:rPr>
          <w:rFonts w:hint="cs"/>
          <w:sz w:val="24"/>
          <w:szCs w:val="24"/>
          <w:rtl/>
        </w:rPr>
        <w:t>،</w:t>
      </w:r>
      <w:r w:rsidR="00777DCB" w:rsidRPr="00A52585">
        <w:rPr>
          <w:rFonts w:hint="cs"/>
          <w:sz w:val="24"/>
          <w:szCs w:val="24"/>
          <w:rtl/>
        </w:rPr>
        <w:t xml:space="preserve"> قال معاوية بن سلام أحد رواة هذا الحديث</w:t>
      </w:r>
      <w:r w:rsidRPr="00A52585">
        <w:rPr>
          <w:rFonts w:hint="cs"/>
          <w:sz w:val="24"/>
          <w:szCs w:val="24"/>
          <w:rtl/>
        </w:rPr>
        <w:t>:</w:t>
      </w:r>
      <w:r w:rsidR="00777DCB" w:rsidRPr="00A52585">
        <w:rPr>
          <w:rFonts w:hint="cs"/>
          <w:sz w:val="24"/>
          <w:szCs w:val="24"/>
          <w:rtl/>
        </w:rPr>
        <w:t xml:space="preserve"> بلغني أن البطلة</w:t>
      </w:r>
      <w:r w:rsidRPr="00A52585">
        <w:rPr>
          <w:rFonts w:hint="cs"/>
          <w:sz w:val="24"/>
          <w:szCs w:val="24"/>
          <w:rtl/>
        </w:rPr>
        <w:t>:</w:t>
      </w:r>
      <w:r w:rsidR="00777DCB" w:rsidRPr="00A52585">
        <w:rPr>
          <w:rFonts w:hint="cs"/>
          <w:sz w:val="24"/>
          <w:szCs w:val="24"/>
          <w:rtl/>
        </w:rPr>
        <w:t xml:space="preserve"> السحرة</w:t>
      </w:r>
      <w:r w:rsidR="00897A24" w:rsidRPr="00A52585">
        <w:rPr>
          <w:rFonts w:hint="cs"/>
          <w:sz w:val="24"/>
          <w:szCs w:val="24"/>
          <w:rtl/>
        </w:rPr>
        <w:t>.</w:t>
      </w:r>
      <w:r w:rsidR="00777DCB" w:rsidRPr="00A52585">
        <w:rPr>
          <w:rFonts w:hint="cs"/>
          <w:sz w:val="24"/>
          <w:szCs w:val="24"/>
          <w:rtl/>
        </w:rPr>
        <w:t xml:space="preserve"> هكذا وقع في مسلم</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والغياية</w:t>
      </w:r>
      <w:r w:rsidRPr="00A52585">
        <w:rPr>
          <w:rFonts w:hint="cs"/>
          <w:sz w:val="24"/>
          <w:szCs w:val="24"/>
          <w:rtl/>
        </w:rPr>
        <w:t>:</w:t>
      </w:r>
      <w:r w:rsidR="00777DCB" w:rsidRPr="00A52585">
        <w:rPr>
          <w:rFonts w:hint="cs"/>
          <w:sz w:val="24"/>
          <w:szCs w:val="24"/>
          <w:rtl/>
        </w:rPr>
        <w:t xml:space="preserve"> كل </w:t>
      </w:r>
      <w:proofErr w:type="spellStart"/>
      <w:r w:rsidR="00777DCB" w:rsidRPr="00A52585">
        <w:rPr>
          <w:rFonts w:hint="cs"/>
          <w:sz w:val="24"/>
          <w:szCs w:val="24"/>
          <w:rtl/>
        </w:rPr>
        <w:t>شئ</w:t>
      </w:r>
      <w:proofErr w:type="spellEnd"/>
      <w:r w:rsidR="00777DCB" w:rsidRPr="00A52585">
        <w:rPr>
          <w:rFonts w:hint="cs"/>
          <w:sz w:val="24"/>
          <w:szCs w:val="24"/>
          <w:rtl/>
        </w:rPr>
        <w:t xml:space="preserve"> أظل الانسان فوق رأسه</w:t>
      </w:r>
      <w:r w:rsidR="00DB731D" w:rsidRPr="00A52585">
        <w:rPr>
          <w:rFonts w:hint="cs"/>
          <w:sz w:val="24"/>
          <w:szCs w:val="24"/>
          <w:rtl/>
        </w:rPr>
        <w:t>،</w:t>
      </w:r>
      <w:r w:rsidR="00777DCB" w:rsidRPr="00A52585">
        <w:rPr>
          <w:rFonts w:hint="cs"/>
          <w:sz w:val="24"/>
          <w:szCs w:val="24"/>
          <w:rtl/>
        </w:rPr>
        <w:t xml:space="preserve"> ومعنى صواف</w:t>
      </w:r>
      <w:r w:rsidRPr="00A52585">
        <w:rPr>
          <w:rFonts w:hint="cs"/>
          <w:sz w:val="24"/>
          <w:szCs w:val="24"/>
          <w:rtl/>
        </w:rPr>
        <w:t>:</w:t>
      </w:r>
      <w:r w:rsidR="00777DCB" w:rsidRPr="00A52585">
        <w:rPr>
          <w:rFonts w:hint="cs"/>
          <w:sz w:val="24"/>
          <w:szCs w:val="24"/>
          <w:rtl/>
        </w:rPr>
        <w:t xml:space="preserve"> هو جمع صاف في الهواء</w:t>
      </w:r>
      <w:r w:rsidR="00DB731D" w:rsidRPr="00A52585">
        <w:rPr>
          <w:rFonts w:hint="cs"/>
          <w:sz w:val="24"/>
          <w:szCs w:val="24"/>
          <w:rtl/>
        </w:rPr>
        <w:t>،</w:t>
      </w:r>
      <w:r w:rsidR="00777DCB" w:rsidRPr="00A52585">
        <w:rPr>
          <w:rFonts w:hint="cs"/>
          <w:sz w:val="24"/>
          <w:szCs w:val="24"/>
          <w:rtl/>
        </w:rPr>
        <w:t xml:space="preserve"> لان الطير تصف في الهواء أجنحتها</w:t>
      </w:r>
      <w:r w:rsidR="00DB731D" w:rsidRPr="00A52585">
        <w:rPr>
          <w:rFonts w:hint="cs"/>
          <w:sz w:val="24"/>
          <w:szCs w:val="24"/>
          <w:rtl/>
        </w:rPr>
        <w:t>،</w:t>
      </w:r>
      <w:r w:rsidR="00777DCB" w:rsidRPr="00A52585">
        <w:rPr>
          <w:rFonts w:hint="cs"/>
          <w:sz w:val="24"/>
          <w:szCs w:val="24"/>
          <w:rtl/>
        </w:rPr>
        <w:t xml:space="preserve"> وهذا الحديث في مسند أحمد </w:t>
      </w:r>
      <w:r w:rsidRPr="00A52585">
        <w:rPr>
          <w:rFonts w:hint="cs"/>
          <w:sz w:val="24"/>
          <w:szCs w:val="24"/>
          <w:rtl/>
        </w:rPr>
        <w:t>(</w:t>
      </w:r>
      <w:r w:rsidR="00777DCB" w:rsidRPr="00A52585">
        <w:rPr>
          <w:rFonts w:hint="cs"/>
          <w:sz w:val="24"/>
          <w:szCs w:val="24"/>
          <w:rtl/>
        </w:rPr>
        <w:t>5 / 249</w:t>
      </w:r>
      <w:r w:rsidRPr="00A52585">
        <w:rPr>
          <w:rFonts w:hint="cs"/>
          <w:sz w:val="24"/>
          <w:szCs w:val="24"/>
          <w:rtl/>
        </w:rPr>
        <w:t>)</w:t>
      </w:r>
      <w:r w:rsidR="00777DCB" w:rsidRPr="00A52585">
        <w:rPr>
          <w:rFonts w:hint="cs"/>
          <w:sz w:val="24"/>
          <w:szCs w:val="24"/>
          <w:rtl/>
        </w:rPr>
        <w:t xml:space="preserve"> أيضا</w:t>
      </w:r>
      <w:r w:rsidR="00DB731D" w:rsidRPr="00A52585">
        <w:rPr>
          <w:rFonts w:hint="cs"/>
          <w:sz w:val="24"/>
          <w:szCs w:val="24"/>
          <w:rtl/>
        </w:rPr>
        <w:t>،</w:t>
      </w:r>
      <w:r w:rsidR="00777DCB" w:rsidRPr="00A52585">
        <w:rPr>
          <w:rFonts w:hint="cs"/>
          <w:sz w:val="24"/>
          <w:szCs w:val="24"/>
          <w:rtl/>
        </w:rPr>
        <w:t xml:space="preserve"> وتاريخ الخطيب </w:t>
      </w:r>
      <w:r w:rsidRPr="00A52585">
        <w:rPr>
          <w:rFonts w:hint="cs"/>
          <w:sz w:val="24"/>
          <w:szCs w:val="24"/>
          <w:rtl/>
        </w:rPr>
        <w:t>(</w:t>
      </w:r>
      <w:r w:rsidR="00777DCB" w:rsidRPr="00A52585">
        <w:rPr>
          <w:rFonts w:hint="cs"/>
          <w:sz w:val="24"/>
          <w:szCs w:val="24"/>
          <w:rtl/>
        </w:rPr>
        <w:t>6 / 537</w:t>
      </w:r>
      <w:r w:rsidRPr="00A52585">
        <w:rPr>
          <w:rFonts w:hint="cs"/>
          <w:sz w:val="24"/>
          <w:szCs w:val="24"/>
          <w:rtl/>
        </w:rPr>
        <w:t>)</w:t>
      </w:r>
      <w:r w:rsidR="00777DCB" w:rsidRPr="00A52585">
        <w:rPr>
          <w:rFonts w:hint="cs"/>
          <w:sz w:val="24"/>
          <w:szCs w:val="24"/>
          <w:rtl/>
        </w:rPr>
        <w:t xml:space="preserve"> بنحوه وغيرهما</w:t>
      </w:r>
      <w:r w:rsidR="00DB731D" w:rsidRPr="00A52585">
        <w:rPr>
          <w:rFonts w:hint="cs"/>
          <w:sz w:val="24"/>
          <w:szCs w:val="24"/>
          <w:rtl/>
        </w:rPr>
        <w:t>،</w:t>
      </w:r>
      <w:r w:rsidR="00777DCB" w:rsidRPr="00A52585">
        <w:rPr>
          <w:rFonts w:hint="cs"/>
          <w:sz w:val="24"/>
          <w:szCs w:val="24"/>
          <w:rtl/>
        </w:rPr>
        <w:t xml:space="preserve"> وجاء عن أحمد أنه أول هذا الحديث فقال</w:t>
      </w:r>
      <w:r w:rsidRPr="00A52585">
        <w:rPr>
          <w:rFonts w:hint="cs"/>
          <w:sz w:val="24"/>
          <w:szCs w:val="24"/>
          <w:rtl/>
        </w:rPr>
        <w:t>:</w:t>
      </w:r>
      <w:r w:rsidR="00777DCB" w:rsidRPr="00A52585">
        <w:rPr>
          <w:rFonts w:hint="cs"/>
          <w:sz w:val="24"/>
          <w:szCs w:val="24"/>
          <w:rtl/>
        </w:rPr>
        <w:t xml:space="preserve"> " جاء ثوابهما " أنظر ص </w:t>
      </w:r>
      <w:r w:rsidRPr="00A52585">
        <w:rPr>
          <w:rFonts w:hint="cs"/>
          <w:sz w:val="24"/>
          <w:szCs w:val="24"/>
          <w:rtl/>
        </w:rPr>
        <w:t>(</w:t>
      </w:r>
      <w:r w:rsidR="00777DCB" w:rsidRPr="00A52585">
        <w:rPr>
          <w:rFonts w:hint="cs"/>
          <w:sz w:val="24"/>
          <w:szCs w:val="24"/>
          <w:rtl/>
        </w:rPr>
        <w:t>14</w:t>
      </w:r>
      <w:r w:rsidRPr="00A52585">
        <w:rPr>
          <w:rFonts w:hint="cs"/>
          <w:sz w:val="24"/>
          <w:szCs w:val="24"/>
          <w:rtl/>
        </w:rPr>
        <w:t>)]</w:t>
      </w:r>
      <w:r w:rsidR="00DB731D" w:rsidRPr="00A52585">
        <w:rPr>
          <w:rFonts w:hint="cs"/>
          <w:rtl/>
        </w:rPr>
        <w:t>،</w:t>
      </w:r>
      <w:r w:rsidR="00777DCB" w:rsidRPr="00A52585">
        <w:rPr>
          <w:rFonts w:hint="cs"/>
          <w:rtl/>
        </w:rPr>
        <w:t xml:space="preserve"> " ويؤتى بالموت في صورة كبش أملح فيذبح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فتح 8 / 428</w:t>
      </w:r>
      <w:r w:rsidRPr="00A52585">
        <w:rPr>
          <w:rFonts w:hint="cs"/>
          <w:sz w:val="24"/>
          <w:szCs w:val="24"/>
          <w:rtl/>
        </w:rPr>
        <w:t>)</w:t>
      </w:r>
      <w:r w:rsidR="00777DCB" w:rsidRPr="00A52585">
        <w:rPr>
          <w:rFonts w:hint="cs"/>
          <w:sz w:val="24"/>
          <w:szCs w:val="24"/>
          <w:rtl/>
        </w:rPr>
        <w:t xml:space="preserve"> ومسلم وغيرهما</w:t>
      </w:r>
      <w:r w:rsidRPr="00A52585">
        <w:rPr>
          <w:rFonts w:hint="cs"/>
          <w:sz w:val="24"/>
          <w:szCs w:val="24"/>
          <w:rtl/>
          <w:lang w:bidi="ar-KW"/>
        </w:rPr>
        <w:t>]</w:t>
      </w:r>
      <w:r w:rsidR="00F95886" w:rsidRPr="00A52585">
        <w:rPr>
          <w:rFonts w:hint="cs"/>
          <w:rtl/>
        </w:rPr>
        <w:t>؟!</w:t>
      </w:r>
      <w:r w:rsidR="00777DCB" w:rsidRPr="00A52585">
        <w:rPr>
          <w:rFonts w:hint="cs"/>
          <w:rtl/>
        </w:rPr>
        <w:t xml:space="preserve"> فإن قيل لم سكت السلف عن تفسير </w:t>
      </w:r>
      <w:proofErr w:type="gramStart"/>
      <w:r w:rsidR="00777DCB" w:rsidRPr="00A52585">
        <w:rPr>
          <w:rFonts w:hint="cs"/>
          <w:rtl/>
        </w:rPr>
        <w:t>الاحاديث</w:t>
      </w:r>
      <w:proofErr w:type="gramEnd"/>
      <w:r w:rsidR="00777DCB" w:rsidRPr="00A52585">
        <w:rPr>
          <w:rFonts w:hint="cs"/>
          <w:rtl/>
        </w:rPr>
        <w:t xml:space="preserve"> وقالوا</w:t>
      </w:r>
      <w:r w:rsidRPr="00A52585">
        <w:rPr>
          <w:rFonts w:hint="cs"/>
          <w:rtl/>
        </w:rPr>
        <w:t>:</w:t>
      </w:r>
      <w:r w:rsidR="00777DCB" w:rsidRPr="00A52585">
        <w:rPr>
          <w:rFonts w:hint="cs"/>
          <w:rtl/>
        </w:rPr>
        <w:t xml:space="preserve"> أمروها كما جاءت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والحق كما نقل المصنف رحمه الله تعالى في هذا الكتاب أن السلف أولوا بعض الاضافات ولم يعتبروها صفات لله تعالى فالتأويل والتفويض قد وردا عن السلف بطرق لا يستطيع إنكارها أحد</w:t>
      </w:r>
      <w:r w:rsidR="00897A24" w:rsidRPr="00A52585">
        <w:rPr>
          <w:rFonts w:hint="cs"/>
          <w:sz w:val="24"/>
          <w:szCs w:val="24"/>
          <w:rtl/>
        </w:rPr>
        <w:t>.</w:t>
      </w:r>
      <w:r w:rsidR="00777DCB" w:rsidRPr="00A52585">
        <w:rPr>
          <w:rFonts w:hint="cs"/>
          <w:sz w:val="24"/>
          <w:szCs w:val="24"/>
          <w:rtl/>
        </w:rPr>
        <w:t xml:space="preserve"> ومنه يتبين فساد قول من قال</w:t>
      </w:r>
      <w:r w:rsidRPr="00A52585">
        <w:rPr>
          <w:rFonts w:hint="cs"/>
          <w:sz w:val="24"/>
          <w:szCs w:val="24"/>
          <w:rtl/>
        </w:rPr>
        <w:t>:</w:t>
      </w:r>
      <w:r w:rsidR="00777DCB" w:rsidRPr="00A52585">
        <w:rPr>
          <w:rFonts w:hint="cs"/>
          <w:sz w:val="24"/>
          <w:szCs w:val="24"/>
          <w:rtl/>
        </w:rPr>
        <w:t xml:space="preserve"> " إن التفويض من شر أقوال أهل البدع والالحاد "</w:t>
      </w:r>
      <w:r w:rsidR="00DB731D" w:rsidRPr="00A52585">
        <w:rPr>
          <w:rFonts w:hint="cs"/>
          <w:sz w:val="24"/>
          <w:szCs w:val="24"/>
          <w:rtl/>
        </w:rPr>
        <w:t>،</w:t>
      </w:r>
      <w:r w:rsidR="00777DCB" w:rsidRPr="00A52585">
        <w:rPr>
          <w:rFonts w:hint="cs"/>
          <w:sz w:val="24"/>
          <w:szCs w:val="24"/>
          <w:rtl/>
        </w:rPr>
        <w:t xml:space="preserve"> وكذلك قول من يضلل المؤولين والمفوضين</w:t>
      </w:r>
      <w:r w:rsidR="00DB731D" w:rsidRPr="00A52585">
        <w:rPr>
          <w:rFonts w:hint="cs"/>
          <w:sz w:val="24"/>
          <w:szCs w:val="24"/>
          <w:rtl/>
        </w:rPr>
        <w:t>،</w:t>
      </w:r>
      <w:r w:rsidR="00777DCB" w:rsidRPr="00A52585">
        <w:rPr>
          <w:rFonts w:hint="cs"/>
          <w:sz w:val="24"/>
          <w:szCs w:val="24"/>
          <w:rtl/>
        </w:rPr>
        <w:t xml:space="preserve"> أنظر موافقة صريح المعقول المطبوع على هامش منهاج البدعة </w:t>
      </w:r>
      <w:r w:rsidRPr="00A52585">
        <w:rPr>
          <w:rFonts w:hint="cs"/>
          <w:sz w:val="24"/>
          <w:szCs w:val="24"/>
          <w:rtl/>
        </w:rPr>
        <w:t>(</w:t>
      </w:r>
      <w:r w:rsidR="00777DCB" w:rsidRPr="00A52585">
        <w:rPr>
          <w:rFonts w:hint="cs"/>
          <w:sz w:val="24"/>
          <w:szCs w:val="24"/>
          <w:rtl/>
        </w:rPr>
        <w:t>1 / 118</w:t>
      </w:r>
      <w:r w:rsidRPr="00A52585">
        <w:rPr>
          <w:rFonts w:hint="cs"/>
          <w:sz w:val="24"/>
          <w:szCs w:val="24"/>
          <w:rtl/>
        </w:rPr>
        <w:t>)</w:t>
      </w:r>
      <w:r w:rsidR="00777DCB" w:rsidRPr="00A52585">
        <w:rPr>
          <w:rFonts w:hint="cs"/>
          <w:sz w:val="24"/>
          <w:szCs w:val="24"/>
          <w:rtl/>
        </w:rPr>
        <w:t xml:space="preserve"> والتعليق على سنة ابن أبي عاصم ص </w:t>
      </w:r>
      <w:r w:rsidRPr="00A52585">
        <w:rPr>
          <w:rFonts w:hint="cs"/>
          <w:sz w:val="24"/>
          <w:szCs w:val="24"/>
          <w:rtl/>
        </w:rPr>
        <w:t>(</w:t>
      </w:r>
      <w:r w:rsidR="00777DCB" w:rsidRPr="00A52585">
        <w:rPr>
          <w:rFonts w:hint="cs"/>
          <w:sz w:val="24"/>
          <w:szCs w:val="24"/>
          <w:rtl/>
        </w:rPr>
        <w:t>212 من طبعة المكتب الاسلامي الثانية</w:t>
      </w:r>
      <w:r w:rsidRPr="00A52585">
        <w:rPr>
          <w:rFonts w:hint="cs"/>
          <w:sz w:val="24"/>
          <w:szCs w:val="24"/>
          <w:rtl/>
        </w:rPr>
        <w:t>)</w:t>
      </w:r>
      <w:r w:rsidR="00F95886" w:rsidRPr="00A52585">
        <w:rPr>
          <w:rFonts w:hint="cs"/>
          <w:sz w:val="24"/>
          <w:szCs w:val="24"/>
          <w:rtl/>
        </w:rPr>
        <w:t>!</w:t>
      </w:r>
      <w:r w:rsidR="00777DCB" w:rsidRPr="00A52585">
        <w:rPr>
          <w:rFonts w:hint="cs"/>
          <w:rtl/>
        </w:rPr>
        <w:t>]</w:t>
      </w:r>
      <w:r w:rsidR="00F95886" w:rsidRPr="00A52585">
        <w:rPr>
          <w:rFonts w:hint="cs"/>
          <w:rtl/>
        </w:rPr>
        <w:t>؟</w:t>
      </w:r>
      <w:r w:rsidRPr="00A52585">
        <w:rPr>
          <w:rFonts w:hint="cs"/>
          <w:rtl/>
        </w:rPr>
        <w:t xml:space="preserve"> </w:t>
      </w:r>
      <w:r w:rsidR="00777DCB" w:rsidRPr="00A52585">
        <w:rPr>
          <w:rFonts w:hint="cs"/>
          <w:rtl/>
        </w:rPr>
        <w:t>قلت لثلاثة أوجه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أحدها</w:t>
      </w:r>
      <w:r w:rsidRPr="00A52585">
        <w:rPr>
          <w:rFonts w:hint="cs"/>
          <w:rtl/>
        </w:rPr>
        <w:t>):</w:t>
      </w:r>
      <w:r w:rsidR="00777DCB" w:rsidRPr="00A52585">
        <w:rPr>
          <w:rFonts w:hint="cs"/>
          <w:rtl/>
        </w:rPr>
        <w:t xml:space="preserve"> أنها ذكرت </w:t>
      </w:r>
      <w:proofErr w:type="spellStart"/>
      <w:r w:rsidR="00777DCB" w:rsidRPr="00A52585">
        <w:rPr>
          <w:rFonts w:hint="cs"/>
          <w:rtl/>
        </w:rPr>
        <w:t>للايناس</w:t>
      </w:r>
      <w:proofErr w:type="spellEnd"/>
      <w:r w:rsidR="00777DCB" w:rsidRPr="00A52585">
        <w:rPr>
          <w:rFonts w:hint="cs"/>
          <w:rtl/>
        </w:rPr>
        <w:t xml:space="preserve"> بموجود فإذا فسرت لم يحصل </w:t>
      </w:r>
      <w:proofErr w:type="spellStart"/>
      <w:r w:rsidR="00777DCB" w:rsidRPr="00A52585">
        <w:rPr>
          <w:rFonts w:hint="cs"/>
          <w:rtl/>
        </w:rPr>
        <w:t>الايناس</w:t>
      </w:r>
      <w:proofErr w:type="spellEnd"/>
      <w:r w:rsidR="00777DCB" w:rsidRPr="00A52585">
        <w:rPr>
          <w:rFonts w:hint="cs"/>
          <w:rtl/>
        </w:rPr>
        <w:t xml:space="preserve"> مع أن فيها ما لا بد من تأويله كقوله تعالى </w:t>
      </w:r>
      <w:r w:rsidRPr="00A52585">
        <w:rPr>
          <w:rFonts w:hint="cs"/>
          <w:rtl/>
        </w:rPr>
        <w:t>(</w:t>
      </w:r>
      <w:r w:rsidR="00777DCB" w:rsidRPr="00A52585">
        <w:rPr>
          <w:rFonts w:hint="cs"/>
          <w:rtl/>
        </w:rPr>
        <w:t>وجاء ربك</w:t>
      </w:r>
      <w:r w:rsidRPr="00A52585">
        <w:rPr>
          <w:rFonts w:hint="cs"/>
          <w:rtl/>
        </w:rPr>
        <w:t>)</w:t>
      </w:r>
      <w:r w:rsidR="00777DCB" w:rsidRPr="00A52585">
        <w:rPr>
          <w:rFonts w:hint="cs"/>
          <w:rtl/>
        </w:rPr>
        <w:t xml:space="preserve"> الفجر</w:t>
      </w:r>
      <w:r w:rsidRPr="00A52585">
        <w:rPr>
          <w:rFonts w:hint="cs"/>
          <w:rtl/>
        </w:rPr>
        <w:t>:</w:t>
      </w:r>
      <w:r w:rsidR="00777DCB" w:rsidRPr="00A52585">
        <w:rPr>
          <w:rFonts w:hint="cs"/>
          <w:rtl/>
        </w:rPr>
        <w:t xml:space="preserve"> 22</w:t>
      </w:r>
      <w:r w:rsidR="00DB731D" w:rsidRPr="00A52585">
        <w:rPr>
          <w:rFonts w:hint="cs"/>
          <w:rtl/>
        </w:rPr>
        <w:t>،</w:t>
      </w:r>
      <w:r w:rsidR="00777DCB" w:rsidRPr="00A52585">
        <w:rPr>
          <w:rFonts w:hint="cs"/>
          <w:rtl/>
        </w:rPr>
        <w:t xml:space="preserve"> أي جاء أمره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ثبت هذا التأويل عن الامام أحمد الذي تتظاهر المجسمة بالانتساب إليه </w:t>
      </w:r>
      <w:proofErr w:type="spellStart"/>
      <w:r w:rsidR="00777DCB" w:rsidRPr="00A52585">
        <w:rPr>
          <w:rFonts w:hint="cs"/>
          <w:sz w:val="24"/>
          <w:szCs w:val="24"/>
          <w:rtl/>
        </w:rPr>
        <w:t>بالاسناد</w:t>
      </w:r>
      <w:proofErr w:type="spellEnd"/>
      <w:r w:rsidR="00777DCB" w:rsidRPr="00A52585">
        <w:rPr>
          <w:rFonts w:hint="cs"/>
          <w:sz w:val="24"/>
          <w:szCs w:val="24"/>
          <w:rtl/>
        </w:rPr>
        <w:t xml:space="preserve"> الصحيح في كتاب</w:t>
      </w:r>
      <w:r w:rsidRPr="00A52585">
        <w:rPr>
          <w:rFonts w:hint="cs"/>
          <w:sz w:val="24"/>
          <w:szCs w:val="24"/>
          <w:rtl/>
        </w:rPr>
        <w:t>:</w:t>
      </w:r>
      <w:r w:rsidR="00777DCB" w:rsidRPr="00A52585">
        <w:rPr>
          <w:rFonts w:hint="cs"/>
          <w:sz w:val="24"/>
          <w:szCs w:val="24"/>
          <w:rtl/>
        </w:rPr>
        <w:t xml:space="preserve"> " مناقب أحمد " للحافظ البيهقي </w:t>
      </w:r>
      <w:r w:rsidRPr="00A52585">
        <w:rPr>
          <w:rFonts w:hint="cs"/>
          <w:sz w:val="24"/>
          <w:szCs w:val="24"/>
          <w:rtl/>
        </w:rPr>
        <w:t>(</w:t>
      </w:r>
      <w:r w:rsidR="00777DCB" w:rsidRPr="00A52585">
        <w:rPr>
          <w:rFonts w:hint="cs"/>
          <w:sz w:val="24"/>
          <w:szCs w:val="24"/>
          <w:rtl/>
        </w:rPr>
        <w:t>مخطوط</w:t>
      </w:r>
      <w:r w:rsidRPr="00A52585">
        <w:rPr>
          <w:rFonts w:hint="cs"/>
          <w:sz w:val="24"/>
          <w:szCs w:val="24"/>
          <w:rtl/>
        </w:rPr>
        <w:t>)</w:t>
      </w:r>
      <w:r w:rsidR="00777DCB" w:rsidRPr="00A52585">
        <w:rPr>
          <w:rFonts w:hint="cs"/>
          <w:sz w:val="24"/>
          <w:szCs w:val="24"/>
          <w:rtl/>
        </w:rPr>
        <w:t xml:space="preserve"> وقد نقله منه ابن كثير في " البداية والنهاية " </w:t>
      </w:r>
      <w:r w:rsidRPr="00A52585">
        <w:rPr>
          <w:rFonts w:hint="cs"/>
          <w:sz w:val="24"/>
          <w:szCs w:val="24"/>
          <w:rtl/>
        </w:rPr>
        <w:t>(</w:t>
      </w:r>
      <w:r w:rsidR="00777DCB" w:rsidRPr="00A52585">
        <w:rPr>
          <w:rFonts w:hint="cs"/>
          <w:sz w:val="24"/>
          <w:szCs w:val="24"/>
          <w:rtl/>
        </w:rPr>
        <w:t>10 / 327</w:t>
      </w:r>
      <w:r w:rsidRPr="00A52585">
        <w:rPr>
          <w:rFonts w:hint="cs"/>
          <w:sz w:val="24"/>
          <w:szCs w:val="24"/>
          <w:rtl/>
        </w:rPr>
        <w:t>)</w:t>
      </w:r>
      <w:r w:rsidR="00777DCB" w:rsidRPr="00A52585">
        <w:rPr>
          <w:rFonts w:hint="cs"/>
          <w:sz w:val="24"/>
          <w:szCs w:val="24"/>
          <w:rtl/>
        </w:rPr>
        <w:t xml:space="preserve"> بسند البيهقي الصحيح عن الامام أحمد</w:t>
      </w:r>
      <w:r w:rsidRPr="00A52585">
        <w:rPr>
          <w:rFonts w:hint="cs"/>
          <w:sz w:val="24"/>
          <w:szCs w:val="24"/>
          <w:rtl/>
        </w:rPr>
        <w:t>]</w:t>
      </w:r>
      <w:r w:rsidR="00DB731D" w:rsidRPr="00A52585">
        <w:rPr>
          <w:rFonts w:hint="cs"/>
          <w:rtl/>
        </w:rPr>
        <w:t>،</w:t>
      </w:r>
      <w:r w:rsidR="00777DCB" w:rsidRPr="00A52585">
        <w:rPr>
          <w:rFonts w:hint="cs"/>
          <w:rtl/>
        </w:rPr>
        <w:t xml:space="preserve"> وقال أحمد بن حنبل</w:t>
      </w:r>
      <w:r w:rsidRPr="00A52585">
        <w:rPr>
          <w:rFonts w:hint="cs"/>
          <w:rtl/>
        </w:rPr>
        <w:t>:</w:t>
      </w:r>
      <w:r w:rsidR="00777DCB" w:rsidRPr="00A52585">
        <w:rPr>
          <w:rFonts w:hint="cs"/>
          <w:rtl/>
        </w:rPr>
        <w:t xml:space="preserve"> وإنما صرفه إلى ذلك أدلة العقل فإنه لا يجوز عليه الانتقال</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الوجه الثاني</w:t>
      </w:r>
      <w:r w:rsidRPr="00A52585">
        <w:rPr>
          <w:rFonts w:hint="cs"/>
          <w:rtl/>
        </w:rPr>
        <w:t>):</w:t>
      </w:r>
      <w:r w:rsidR="00777DCB" w:rsidRPr="00A52585">
        <w:rPr>
          <w:rFonts w:hint="cs"/>
          <w:rtl/>
        </w:rPr>
        <w:t xml:space="preserve"> أنه </w:t>
      </w:r>
      <w:r w:rsidR="00777DCB" w:rsidRPr="00A52585">
        <w:rPr>
          <w:rFonts w:hint="cs"/>
          <w:rtl/>
        </w:rPr>
        <w:lastRenderedPageBreak/>
        <w:t>لو تأولت اليد بمعنى القدرة جاز أن يتأول بمعنى القوة فيحصل الخطر بالصرف عما يحتمل</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الثالث</w:t>
      </w:r>
      <w:r w:rsidRPr="00A52585">
        <w:rPr>
          <w:rFonts w:hint="cs"/>
          <w:rtl/>
        </w:rPr>
        <w:t>):</w:t>
      </w:r>
      <w:r w:rsidR="00777DCB" w:rsidRPr="00A52585">
        <w:rPr>
          <w:rFonts w:hint="cs"/>
          <w:rtl/>
        </w:rPr>
        <w:t xml:space="preserve"> أنهم لو أطلقوا في التأويل اتسع الخرق فخلط المتأول</w:t>
      </w:r>
      <w:r w:rsidR="00DB731D" w:rsidRPr="00A52585">
        <w:rPr>
          <w:rFonts w:hint="cs"/>
          <w:rtl/>
        </w:rPr>
        <w:t>،</w:t>
      </w:r>
      <w:r w:rsidR="00777DCB" w:rsidRPr="00A52585">
        <w:rPr>
          <w:rFonts w:hint="cs"/>
          <w:rtl/>
        </w:rPr>
        <w:t xml:space="preserve"> فإذا سأل العامي عن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 على العرش</w:t>
      </w:r>
      <w:r w:rsidRPr="00A52585">
        <w:rPr>
          <w:rFonts w:hint="cs"/>
          <w:rtl/>
        </w:rPr>
        <w:t>)</w:t>
      </w:r>
      <w:r w:rsidR="00777DCB" w:rsidRPr="00A52585">
        <w:rPr>
          <w:rFonts w:hint="cs"/>
          <w:rtl/>
        </w:rPr>
        <w:t xml:space="preserve"> الاعراف</w:t>
      </w:r>
      <w:r w:rsidRPr="00A52585">
        <w:rPr>
          <w:rFonts w:hint="cs"/>
          <w:rtl/>
        </w:rPr>
        <w:t>:</w:t>
      </w:r>
      <w:r w:rsidR="00777DCB" w:rsidRPr="00A52585">
        <w:rPr>
          <w:rFonts w:hint="cs"/>
          <w:rtl/>
        </w:rPr>
        <w:t xml:space="preserve"> 53</w:t>
      </w:r>
      <w:r w:rsidR="00DB731D" w:rsidRPr="00A52585">
        <w:rPr>
          <w:rFonts w:hint="cs"/>
          <w:rtl/>
        </w:rPr>
        <w:t>،</w:t>
      </w:r>
      <w:r w:rsidR="00777DCB" w:rsidRPr="00A52585">
        <w:rPr>
          <w:rFonts w:hint="cs"/>
          <w:rtl/>
        </w:rPr>
        <w:t xml:space="preserve"> قيل له</w:t>
      </w:r>
      <w:r w:rsidRPr="00A52585">
        <w:rPr>
          <w:rFonts w:hint="cs"/>
          <w:rtl/>
        </w:rPr>
        <w:t>:</w:t>
      </w:r>
      <w:r w:rsidR="00777DCB" w:rsidRPr="00A52585">
        <w:rPr>
          <w:rFonts w:hint="cs"/>
          <w:rtl/>
        </w:rPr>
        <w:t xml:space="preserve"> الاستواء معلوم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 معلوم ذكره في القرآن في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الرحمن على العرش استوى</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والكيف غير معقول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والذي يقول</w:t>
      </w:r>
      <w:r w:rsidRPr="00A52585">
        <w:rPr>
          <w:rFonts w:hint="cs"/>
          <w:sz w:val="24"/>
          <w:szCs w:val="24"/>
          <w:rtl/>
        </w:rPr>
        <w:t>:</w:t>
      </w:r>
      <w:r w:rsidR="00777DCB" w:rsidRPr="00A52585">
        <w:rPr>
          <w:rFonts w:hint="cs"/>
          <w:sz w:val="24"/>
          <w:szCs w:val="24"/>
          <w:rtl/>
        </w:rPr>
        <w:t xml:space="preserve"> " والكيف مجهول " غلط غلطا كبيرا</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لانه</w:t>
      </w:r>
      <w:proofErr w:type="spellEnd"/>
      <w:r w:rsidR="00777DCB" w:rsidRPr="00A52585">
        <w:rPr>
          <w:rFonts w:hint="cs"/>
          <w:sz w:val="24"/>
          <w:szCs w:val="24"/>
          <w:rtl/>
        </w:rPr>
        <w:t xml:space="preserve"> بذلك يثبت لله تعالى كيفية لكنها مجهولة لنا</w:t>
      </w:r>
      <w:r w:rsidR="00DB731D" w:rsidRPr="00A52585">
        <w:rPr>
          <w:rFonts w:hint="cs"/>
          <w:sz w:val="24"/>
          <w:szCs w:val="24"/>
          <w:rtl/>
        </w:rPr>
        <w:t>،</w:t>
      </w:r>
      <w:r w:rsidR="00777DCB" w:rsidRPr="00A52585">
        <w:rPr>
          <w:rFonts w:hint="cs"/>
          <w:sz w:val="24"/>
          <w:szCs w:val="24"/>
          <w:rtl/>
        </w:rPr>
        <w:t xml:space="preserve"> والامام مالك الذي ينقلون عنه هذه العبارة ويضعون فيها لفظ " والكيف مجهول " لم يقل ذلك وانما قال كما هو ثابت عنه " والكيف غير معقول " فتنبه</w:t>
      </w:r>
      <w:r w:rsidR="00DB731D" w:rsidRPr="00A52585">
        <w:rPr>
          <w:rFonts w:hint="cs"/>
          <w:sz w:val="24"/>
          <w:szCs w:val="24"/>
          <w:rtl/>
        </w:rPr>
        <w:t>،</w:t>
      </w:r>
      <w:r w:rsidR="00777DCB" w:rsidRPr="00A52585">
        <w:rPr>
          <w:rFonts w:hint="cs"/>
          <w:sz w:val="24"/>
          <w:szCs w:val="24"/>
          <w:rtl/>
        </w:rPr>
        <w:t xml:space="preserve"> وقد بسطت ذلك في كتابي</w:t>
      </w:r>
      <w:r w:rsidRPr="00A52585">
        <w:rPr>
          <w:rFonts w:hint="cs"/>
          <w:sz w:val="24"/>
          <w:szCs w:val="24"/>
          <w:rtl/>
        </w:rPr>
        <w:t>:</w:t>
      </w:r>
      <w:r w:rsidR="00777DCB" w:rsidRPr="00A52585">
        <w:rPr>
          <w:rFonts w:hint="cs"/>
          <w:sz w:val="24"/>
          <w:szCs w:val="24"/>
          <w:rtl/>
        </w:rPr>
        <w:t xml:space="preserve"> " عقيدة أهل السنة والجماعة " وقد تقدم ذلك</w:t>
      </w:r>
      <w:r w:rsidR="00DB731D" w:rsidRPr="00A52585">
        <w:rPr>
          <w:rFonts w:hint="cs"/>
          <w:sz w:val="24"/>
          <w:szCs w:val="24"/>
          <w:rtl/>
        </w:rPr>
        <w:t>،</w:t>
      </w:r>
      <w:r w:rsidR="00777DCB" w:rsidRPr="00A52585">
        <w:rPr>
          <w:rFonts w:hint="cs"/>
          <w:sz w:val="24"/>
          <w:szCs w:val="24"/>
          <w:rtl/>
        </w:rPr>
        <w:t xml:space="preserve"> وانظر الفتح </w:t>
      </w:r>
      <w:r w:rsidRPr="00A52585">
        <w:rPr>
          <w:rFonts w:hint="cs"/>
          <w:sz w:val="24"/>
          <w:szCs w:val="24"/>
          <w:rtl/>
        </w:rPr>
        <w:t>(</w:t>
      </w:r>
      <w:r w:rsidR="00777DCB" w:rsidRPr="00A52585">
        <w:rPr>
          <w:rFonts w:hint="cs"/>
          <w:sz w:val="24"/>
          <w:szCs w:val="24"/>
          <w:rtl/>
        </w:rPr>
        <w:t>13 / 406 / 13 و 407</w:t>
      </w:r>
      <w:r w:rsidRPr="00A52585">
        <w:rPr>
          <w:rFonts w:hint="cs"/>
          <w:sz w:val="24"/>
          <w:szCs w:val="24"/>
          <w:rtl/>
        </w:rPr>
        <w:t>)]</w:t>
      </w:r>
      <w:r w:rsidR="00DB731D" w:rsidRPr="00A52585">
        <w:rPr>
          <w:rFonts w:hint="cs"/>
          <w:rtl/>
        </w:rPr>
        <w:t>،</w:t>
      </w:r>
      <w:r w:rsidR="00777DCB" w:rsidRPr="00A52585">
        <w:rPr>
          <w:rFonts w:hint="cs"/>
          <w:rtl/>
        </w:rPr>
        <w:t xml:space="preserve"> والايمان به واجب والسؤال عنه بدعة</w:t>
      </w:r>
      <w:r w:rsidR="00DB731D" w:rsidRPr="00A52585">
        <w:rPr>
          <w:rFonts w:hint="cs"/>
          <w:rtl/>
        </w:rPr>
        <w:t>،</w:t>
      </w:r>
      <w:r w:rsidR="00777DCB" w:rsidRPr="00A52585">
        <w:rPr>
          <w:rFonts w:hint="cs"/>
          <w:rtl/>
        </w:rPr>
        <w:t xml:space="preserve"> وإنما فعلنا هذا لان العوام لا يدركون الغوامض</w:t>
      </w:r>
      <w:r w:rsidR="00DB731D" w:rsidRPr="00A52585">
        <w:rPr>
          <w:rFonts w:hint="cs"/>
          <w:rtl/>
        </w:rPr>
        <w:t>،</w:t>
      </w:r>
      <w:r w:rsidR="00777DCB" w:rsidRPr="00A52585">
        <w:rPr>
          <w:rFonts w:hint="cs"/>
          <w:rtl/>
        </w:rPr>
        <w:t xml:space="preserve"> </w:t>
      </w:r>
    </w:p>
    <w:p w14:paraId="49311B69" w14:textId="2531950D" w:rsidR="00777DCB" w:rsidRPr="00A52585" w:rsidRDefault="0002035C" w:rsidP="0002035C">
      <w:pPr>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rtl/>
        </w:rPr>
        <w:t xml:space="preserve"> وكان الامام أحمد يقول</w:t>
      </w:r>
      <w:r w:rsidRPr="00A52585">
        <w:rPr>
          <w:rFonts w:hint="cs"/>
          <w:rtl/>
        </w:rPr>
        <w:t>:</w:t>
      </w:r>
      <w:r w:rsidR="00777DCB" w:rsidRPr="00A52585">
        <w:rPr>
          <w:rFonts w:hint="cs"/>
          <w:rtl/>
        </w:rPr>
        <w:t xml:space="preserve"> أمروا الاحاديث كما جاءت وعلى هذا كبار أصحابه كإبراهيم الحربي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الامام الحافظ المشهور المتوفى سنة 285 ه‍</w:t>
      </w:r>
      <w:r w:rsidR="00DB731D" w:rsidRPr="00A52585">
        <w:rPr>
          <w:rFonts w:hint="cs"/>
          <w:sz w:val="24"/>
          <w:szCs w:val="24"/>
          <w:rtl/>
        </w:rPr>
        <w:t>،</w:t>
      </w:r>
      <w:r w:rsidR="00777DCB" w:rsidRPr="00A52585">
        <w:rPr>
          <w:rFonts w:hint="cs"/>
          <w:sz w:val="24"/>
          <w:szCs w:val="24"/>
          <w:rtl/>
        </w:rPr>
        <w:t xml:space="preserve"> ترجمته في " سير أعلام النبلاء " </w:t>
      </w:r>
      <w:r w:rsidRPr="00A52585">
        <w:rPr>
          <w:rFonts w:hint="cs"/>
          <w:sz w:val="24"/>
          <w:szCs w:val="24"/>
          <w:rtl/>
        </w:rPr>
        <w:t>(</w:t>
      </w:r>
      <w:r w:rsidR="00777DCB" w:rsidRPr="00A52585">
        <w:rPr>
          <w:rFonts w:hint="cs"/>
          <w:sz w:val="24"/>
          <w:szCs w:val="24"/>
          <w:rtl/>
        </w:rPr>
        <w:t>13 / 356</w:t>
      </w:r>
      <w:r w:rsidRPr="00A52585">
        <w:rPr>
          <w:rFonts w:hint="cs"/>
          <w:sz w:val="24"/>
          <w:szCs w:val="24"/>
          <w:rtl/>
        </w:rPr>
        <w:t>)</w:t>
      </w:r>
      <w:r w:rsidR="00777DCB" w:rsidRPr="00A52585">
        <w:rPr>
          <w:rFonts w:hint="cs"/>
          <w:sz w:val="24"/>
          <w:szCs w:val="24"/>
          <w:rtl/>
        </w:rPr>
        <w:t xml:space="preserve"> وهو الذي قال كما في ترجمة معروف الكرخي في " سير أعلام النبلاء " </w:t>
      </w:r>
      <w:r w:rsidRPr="00A52585">
        <w:rPr>
          <w:rFonts w:hint="cs"/>
          <w:sz w:val="24"/>
          <w:szCs w:val="24"/>
          <w:rtl/>
        </w:rPr>
        <w:t>(</w:t>
      </w:r>
      <w:r w:rsidR="00777DCB" w:rsidRPr="00A52585">
        <w:rPr>
          <w:rFonts w:hint="cs"/>
          <w:sz w:val="24"/>
          <w:szCs w:val="24"/>
          <w:rtl/>
        </w:rPr>
        <w:t>9 / 343</w:t>
      </w:r>
      <w:r w:rsidRPr="00A52585">
        <w:rPr>
          <w:rFonts w:hint="cs"/>
          <w:sz w:val="24"/>
          <w:szCs w:val="24"/>
          <w:rtl/>
        </w:rPr>
        <w:t>):</w:t>
      </w:r>
      <w:r w:rsidR="00777DCB" w:rsidRPr="00A52585">
        <w:rPr>
          <w:rFonts w:hint="cs"/>
          <w:sz w:val="24"/>
          <w:szCs w:val="24"/>
          <w:rtl/>
        </w:rPr>
        <w:t xml:space="preserve"> " قبر معروف الترياق المجرب " كما نقلناه عنه في كتابنا " الاغاثة " ص </w:t>
      </w:r>
      <w:r w:rsidRPr="00A52585">
        <w:rPr>
          <w:rFonts w:hint="cs"/>
          <w:sz w:val="24"/>
          <w:szCs w:val="24"/>
          <w:rtl/>
        </w:rPr>
        <w:t>(</w:t>
      </w:r>
      <w:r w:rsidR="00777DCB" w:rsidRPr="00A52585">
        <w:rPr>
          <w:rFonts w:hint="cs"/>
          <w:sz w:val="24"/>
          <w:szCs w:val="24"/>
          <w:rtl/>
        </w:rPr>
        <w:t>34</w:t>
      </w:r>
      <w:r w:rsidRPr="00A52585">
        <w:rPr>
          <w:rFonts w:hint="cs"/>
          <w:sz w:val="24"/>
          <w:szCs w:val="24"/>
          <w:rtl/>
        </w:rPr>
        <w:t>)]</w:t>
      </w:r>
      <w:r w:rsidR="00DB731D" w:rsidRPr="00A52585">
        <w:rPr>
          <w:rFonts w:hint="cs"/>
          <w:rtl/>
        </w:rPr>
        <w:t>،</w:t>
      </w:r>
      <w:r w:rsidR="00777DCB" w:rsidRPr="00A52585">
        <w:rPr>
          <w:rFonts w:hint="cs"/>
          <w:rtl/>
        </w:rPr>
        <w:t xml:space="preserve"> ومن كبار أصحابنا أبو الحسن التميمي</w:t>
      </w:r>
      <w:r w:rsidR="00DB731D" w:rsidRPr="00A52585">
        <w:rPr>
          <w:rFonts w:hint="cs"/>
          <w:rtl/>
        </w:rPr>
        <w:t>،</w:t>
      </w:r>
      <w:r w:rsidR="00777DCB" w:rsidRPr="00A52585">
        <w:rPr>
          <w:rFonts w:hint="cs"/>
          <w:rtl/>
        </w:rPr>
        <w:t xml:space="preserve"> وأبو محمد رزق الله بن عبد الوهاب</w:t>
      </w:r>
      <w:r w:rsidR="00DB731D" w:rsidRPr="00A52585">
        <w:rPr>
          <w:rFonts w:hint="cs"/>
          <w:rtl/>
        </w:rPr>
        <w:t>،</w:t>
      </w:r>
      <w:r w:rsidR="00777DCB" w:rsidRPr="00A52585">
        <w:rPr>
          <w:rFonts w:hint="cs"/>
          <w:rtl/>
        </w:rPr>
        <w:t xml:space="preserve"> وأبو الوفاء ابن عقيل</w:t>
      </w:r>
      <w:r w:rsidR="00DB731D" w:rsidRPr="00A52585">
        <w:rPr>
          <w:rFonts w:hint="cs"/>
          <w:rtl/>
        </w:rPr>
        <w:t>،</w:t>
      </w:r>
      <w:r w:rsidR="00777DCB" w:rsidRPr="00A52585">
        <w:rPr>
          <w:rFonts w:hint="cs"/>
          <w:rtl/>
        </w:rPr>
        <w:t xml:space="preserve"> فنبغ الثلاثة الذين ذكرناهم ابن حامد</w:t>
      </w:r>
      <w:r w:rsidR="00DB731D" w:rsidRPr="00A52585">
        <w:rPr>
          <w:rFonts w:hint="cs"/>
          <w:rtl/>
        </w:rPr>
        <w:t>،</w:t>
      </w:r>
      <w:r w:rsidR="00777DCB" w:rsidRPr="00A52585">
        <w:rPr>
          <w:rFonts w:hint="cs"/>
          <w:rtl/>
        </w:rPr>
        <w:t xml:space="preserve"> والقاضي أبو يعلى</w:t>
      </w:r>
      <w:r w:rsidR="00DB731D" w:rsidRPr="00A52585">
        <w:rPr>
          <w:rFonts w:hint="cs"/>
          <w:rtl/>
        </w:rPr>
        <w:t>،</w:t>
      </w:r>
      <w:r w:rsidR="00777DCB" w:rsidRPr="00A52585">
        <w:rPr>
          <w:rFonts w:hint="cs"/>
          <w:rtl/>
        </w:rPr>
        <w:t xml:space="preserve"> </w:t>
      </w:r>
      <w:proofErr w:type="spellStart"/>
      <w:r w:rsidR="00777DCB" w:rsidRPr="00A52585">
        <w:rPr>
          <w:rFonts w:hint="cs"/>
          <w:rtl/>
        </w:rPr>
        <w:t>والزاغوني</w:t>
      </w:r>
      <w:proofErr w:type="spellEnd"/>
      <w:r w:rsidR="00DB731D" w:rsidRPr="00A52585">
        <w:rPr>
          <w:rFonts w:hint="cs"/>
          <w:rtl/>
        </w:rPr>
        <w:t>،</w:t>
      </w:r>
      <w:r w:rsidR="00777DCB" w:rsidRPr="00A52585">
        <w:rPr>
          <w:rFonts w:hint="cs"/>
          <w:rtl/>
        </w:rPr>
        <w:t xml:space="preserve"> وقد سئل الامام أحمد عن مسألة فأفتى فيها فقيل له</w:t>
      </w:r>
      <w:r w:rsidRPr="00A52585">
        <w:rPr>
          <w:rFonts w:hint="cs"/>
          <w:rtl/>
        </w:rPr>
        <w:t>:</w:t>
      </w:r>
      <w:r w:rsidR="00777DCB" w:rsidRPr="00A52585">
        <w:rPr>
          <w:rFonts w:hint="cs"/>
          <w:rtl/>
        </w:rPr>
        <w:t xml:space="preserve"> هذا لا يقول به ابن المبارك</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ابن المبارك لم ينزل من السماء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وذلك صحيح جدا لان قول رجل من السلف أو أكثر ليست حجة شرعية ومن ذلك يتبين أن ما روي عن ابن المبارك في الحد لو صح عنه ليس نازلا من السماء كما بيناه بتوسع وتفصيل في كتابنا</w:t>
      </w:r>
      <w:r w:rsidRPr="00A52585">
        <w:rPr>
          <w:rFonts w:hint="cs"/>
          <w:sz w:val="24"/>
          <w:szCs w:val="24"/>
          <w:rtl/>
        </w:rPr>
        <w:t>:</w:t>
      </w:r>
      <w:r w:rsidR="00777DCB" w:rsidRPr="00A52585">
        <w:rPr>
          <w:rFonts w:hint="cs"/>
          <w:sz w:val="24"/>
          <w:szCs w:val="24"/>
          <w:rtl/>
        </w:rPr>
        <w:t xml:space="preserve"> " التنبيه والرد على معتقد قدم العالم والحد "</w:t>
      </w:r>
      <w:r w:rsidR="00777DCB" w:rsidRPr="00A52585">
        <w:rPr>
          <w:rFonts w:hint="cs"/>
          <w:rtl/>
        </w:rPr>
        <w:t>]</w:t>
      </w:r>
      <w:r w:rsidR="00DB731D" w:rsidRPr="00A52585">
        <w:rPr>
          <w:rFonts w:hint="cs"/>
          <w:rtl/>
        </w:rPr>
        <w:t>،</w:t>
      </w:r>
      <w:r w:rsidR="00777DCB" w:rsidRPr="00A52585">
        <w:rPr>
          <w:rFonts w:hint="cs"/>
          <w:rtl/>
        </w:rPr>
        <w:t xml:space="preserve"> وقال الامام الشافعي رضي الله عنه</w:t>
      </w:r>
      <w:r w:rsidRPr="00A52585">
        <w:rPr>
          <w:rFonts w:hint="cs"/>
          <w:rtl/>
        </w:rPr>
        <w:t>:</w:t>
      </w:r>
      <w:r w:rsidR="00777DCB" w:rsidRPr="00A52585">
        <w:rPr>
          <w:rFonts w:hint="cs"/>
          <w:rtl/>
        </w:rPr>
        <w:t xml:space="preserve"> استخرت الله تعالى في الرد على الامام مالك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مع كون الامام مالك رحمه الله تعالى من أئمة السلف</w:t>
      </w:r>
      <w:r w:rsidR="00DB731D" w:rsidRPr="00A52585">
        <w:rPr>
          <w:rFonts w:hint="cs"/>
          <w:sz w:val="24"/>
          <w:szCs w:val="24"/>
          <w:rtl/>
        </w:rPr>
        <w:t>،</w:t>
      </w:r>
      <w:r w:rsidR="00777DCB" w:rsidRPr="00A52585">
        <w:rPr>
          <w:rFonts w:hint="cs"/>
          <w:sz w:val="24"/>
          <w:szCs w:val="24"/>
          <w:rtl/>
        </w:rPr>
        <w:t xml:space="preserve"> فليعتبر بذلك من ينقل عنه لفظة</w:t>
      </w:r>
      <w:r w:rsidRPr="00A52585">
        <w:rPr>
          <w:rFonts w:hint="cs"/>
          <w:sz w:val="24"/>
          <w:szCs w:val="24"/>
          <w:rtl/>
        </w:rPr>
        <w:t>:</w:t>
      </w:r>
      <w:r w:rsidR="00777DCB" w:rsidRPr="00A52585">
        <w:rPr>
          <w:rFonts w:hint="cs"/>
          <w:sz w:val="24"/>
          <w:szCs w:val="24"/>
          <w:rtl/>
        </w:rPr>
        <w:t xml:space="preserve"> " والكيف مجهول " مع أنه لم يقلها</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ولما صنف هؤلاء الثلاث كتبا</w:t>
      </w:r>
      <w:r w:rsidR="00DB731D" w:rsidRPr="00A52585">
        <w:rPr>
          <w:rFonts w:hint="cs"/>
          <w:rtl/>
        </w:rPr>
        <w:t>،</w:t>
      </w:r>
      <w:r w:rsidR="00777DCB" w:rsidRPr="00A52585">
        <w:rPr>
          <w:rFonts w:hint="cs"/>
          <w:rtl/>
        </w:rPr>
        <w:t xml:space="preserve"> وانفرد القاضي أبو يعلي فصنف الاحاديث التي ذكرتها على ترتيبه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كتابه - أعني أبا يعلى - المسمى ب‍ " إبطال التأويل " وفيه من أنواع التجسيم العجب العجاب</w:t>
      </w:r>
      <w:r w:rsidR="00DB731D" w:rsidRPr="00A52585">
        <w:rPr>
          <w:rFonts w:hint="cs"/>
          <w:sz w:val="24"/>
          <w:szCs w:val="24"/>
          <w:rtl/>
        </w:rPr>
        <w:t>،</w:t>
      </w:r>
      <w:r w:rsidR="00777DCB" w:rsidRPr="00A52585">
        <w:rPr>
          <w:rFonts w:hint="cs"/>
          <w:sz w:val="24"/>
          <w:szCs w:val="24"/>
          <w:rtl/>
        </w:rPr>
        <w:t xml:space="preserve"> وعندنا نسخة خطية منه رأينا فيها طامات غريبة</w:t>
      </w:r>
      <w:r w:rsidR="00DB731D" w:rsidRPr="00A52585">
        <w:rPr>
          <w:rFonts w:hint="cs"/>
          <w:sz w:val="24"/>
          <w:szCs w:val="24"/>
          <w:rtl/>
        </w:rPr>
        <w:t>،</w:t>
      </w:r>
      <w:r w:rsidR="00777DCB" w:rsidRPr="00A52585">
        <w:rPr>
          <w:rFonts w:hint="cs"/>
          <w:sz w:val="24"/>
          <w:szCs w:val="24"/>
          <w:rtl/>
        </w:rPr>
        <w:t xml:space="preserve"> وقد وقفنا على الجزء المطبوع منه</w:t>
      </w:r>
      <w:r w:rsidR="00DB731D" w:rsidRPr="00A52585">
        <w:rPr>
          <w:rFonts w:hint="cs"/>
          <w:sz w:val="24"/>
          <w:szCs w:val="24"/>
          <w:rtl/>
        </w:rPr>
        <w:t>،</w:t>
      </w:r>
      <w:r w:rsidR="00777DCB" w:rsidRPr="00A52585">
        <w:rPr>
          <w:rFonts w:hint="cs"/>
          <w:sz w:val="24"/>
          <w:szCs w:val="24"/>
          <w:rtl/>
        </w:rPr>
        <w:t xml:space="preserve"> ونرجو من طلاب العلم أن يطلعوا عليه ليعرفوا من أين أتى الحراني بعقائده تلك</w:t>
      </w:r>
      <w:r w:rsidR="00DB731D" w:rsidRPr="00A52585">
        <w:rPr>
          <w:rFonts w:hint="cs"/>
          <w:sz w:val="24"/>
          <w:szCs w:val="24"/>
          <w:rtl/>
        </w:rPr>
        <w:t>،</w:t>
      </w:r>
      <w:r w:rsidR="00777DCB" w:rsidRPr="00A52585">
        <w:rPr>
          <w:rFonts w:hint="cs"/>
          <w:sz w:val="24"/>
          <w:szCs w:val="24"/>
          <w:rtl/>
        </w:rPr>
        <w:t xml:space="preserve"> وقد تقدم في التعليقات السابقة نقل كلام جماعة من أهل العلم كابن الاثير وغيره في ذم أبي يعلى وكتابه المذكور</w:t>
      </w:r>
      <w:r w:rsidR="00897A24" w:rsidRPr="00A52585">
        <w:rPr>
          <w:rFonts w:hint="cs"/>
          <w:sz w:val="24"/>
          <w:szCs w:val="24"/>
          <w:rtl/>
        </w:rPr>
        <w:t>.</w:t>
      </w:r>
      <w:r w:rsidR="00777DCB" w:rsidRPr="00A52585">
        <w:rPr>
          <w:rFonts w:hint="cs"/>
          <w:sz w:val="24"/>
          <w:szCs w:val="24"/>
          <w:rtl/>
        </w:rPr>
        <w:t xml:space="preserve"> نسأل الله تعالى السلامة]</w:t>
      </w:r>
      <w:r w:rsidR="00DB731D" w:rsidRPr="00A52585">
        <w:rPr>
          <w:rFonts w:hint="cs"/>
          <w:rtl/>
        </w:rPr>
        <w:t>،</w:t>
      </w:r>
      <w:r w:rsidR="00777DCB" w:rsidRPr="00A52585">
        <w:rPr>
          <w:rFonts w:hint="cs"/>
          <w:rtl/>
        </w:rPr>
        <w:t xml:space="preserve"> وقدم عليها الآيات التي وردت في ذلك </w:t>
      </w:r>
      <w:r w:rsidRPr="00A52585">
        <w:rPr>
          <w:rFonts w:hint="cs"/>
          <w:rtl/>
        </w:rPr>
        <w:t>(</w:t>
      </w:r>
      <w:r w:rsidR="00777DCB" w:rsidRPr="00A52585">
        <w:rPr>
          <w:rFonts w:hint="cs"/>
          <w:rtl/>
        </w:rPr>
        <w:t xml:space="preserve">رأيت أن أرد كلامه في تلك </w:t>
      </w:r>
      <w:proofErr w:type="gramStart"/>
      <w:r w:rsidR="00777DCB" w:rsidRPr="00A52585">
        <w:rPr>
          <w:rFonts w:hint="cs"/>
          <w:rtl/>
        </w:rPr>
        <w:t>الاحاديث</w:t>
      </w:r>
      <w:proofErr w:type="gramEnd"/>
      <w:r w:rsidR="00777DCB" w:rsidRPr="00A52585">
        <w:rPr>
          <w:rFonts w:hint="cs"/>
          <w:rtl/>
        </w:rPr>
        <w:t xml:space="preserve"> والآثار مقدما الآيات الشريفة التي وردت في ذلك</w:t>
      </w:r>
      <w:r w:rsidRPr="00A52585">
        <w:rPr>
          <w:rFonts w:hint="cs"/>
          <w:rtl/>
        </w:rPr>
        <w:t>):</w:t>
      </w:r>
      <w:r w:rsidR="00777DCB" w:rsidRPr="00A52585">
        <w:rPr>
          <w:rFonts w:hint="cs"/>
          <w:rtl/>
        </w:rPr>
        <w:t xml:space="preserve"> </w:t>
      </w:r>
    </w:p>
    <w:p w14:paraId="7BF5662E" w14:textId="0A52B98A" w:rsidR="00777DCB" w:rsidRPr="00A52585" w:rsidRDefault="00777DCB" w:rsidP="0002035C">
      <w:pPr>
        <w:jc w:val="center"/>
        <w:rPr>
          <w:b/>
          <w:bCs/>
          <w:rtl/>
        </w:rPr>
      </w:pPr>
      <w:r w:rsidRPr="00A52585">
        <w:rPr>
          <w:rFonts w:hint="cs"/>
          <w:bCs/>
          <w:rtl/>
        </w:rPr>
        <w:t>باب ما جاء في القرآن العظيم من ذلك</w:t>
      </w:r>
      <w:r w:rsidR="0002035C" w:rsidRPr="00A52585">
        <w:rPr>
          <w:rFonts w:hint="cs"/>
          <w:bCs/>
          <w:rtl/>
        </w:rPr>
        <w:t>:</w:t>
      </w:r>
    </w:p>
    <w:p w14:paraId="105DE727" w14:textId="16641C6B" w:rsidR="00777DCB" w:rsidRPr="00A52585" w:rsidRDefault="0002035C" w:rsidP="0002035C">
      <w:pPr>
        <w:rPr>
          <w:b/>
          <w:rtl/>
        </w:rPr>
      </w:pPr>
      <w:r w:rsidRPr="00A52585">
        <w:rPr>
          <w:rFonts w:hint="cs"/>
          <w:bCs/>
          <w:u w:val="single"/>
          <w:rtl/>
        </w:rPr>
        <w:lastRenderedPageBreak/>
        <w:t>[</w:t>
      </w:r>
      <w:r w:rsidR="00777DCB" w:rsidRPr="00A52585">
        <w:rPr>
          <w:rFonts w:hint="cs"/>
          <w:bCs/>
          <w:u w:val="single"/>
          <w:rtl/>
        </w:rPr>
        <w:t>1</w:t>
      </w:r>
      <w:r w:rsidRPr="00A52585">
        <w:rPr>
          <w:rFonts w:hint="cs"/>
          <w:bCs/>
          <w:u w:val="single"/>
          <w:rtl/>
        </w:rPr>
        <w:t>]</w:t>
      </w:r>
      <w:r w:rsidRPr="00A52585">
        <w:rPr>
          <w:rFonts w:hint="cs"/>
          <w:u w:val="single"/>
          <w:rtl/>
        </w:rPr>
        <w:t>:</w:t>
      </w:r>
      <w:r w:rsidRPr="00A52585">
        <w:rPr>
          <w:rFonts w:hint="cs"/>
          <w:rtl/>
        </w:rPr>
        <w:t xml:space="preserve"> </w:t>
      </w:r>
      <w:r w:rsidR="00777DCB" w:rsidRPr="00A52585">
        <w:rPr>
          <w:rFonts w:hint="cs"/>
          <w:rtl/>
        </w:rPr>
        <w:t>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ويبقى وجه ربك ذو الجلال والاكرام</w:t>
      </w:r>
      <w:r w:rsidRPr="00A52585">
        <w:rPr>
          <w:rFonts w:hint="cs"/>
          <w:rtl/>
        </w:rPr>
        <w:t>)</w:t>
      </w:r>
      <w:r w:rsidR="00777DCB" w:rsidRPr="00A52585">
        <w:rPr>
          <w:rFonts w:hint="cs"/>
          <w:rtl/>
        </w:rPr>
        <w:t xml:space="preserve"> الرحمن</w:t>
      </w:r>
      <w:r w:rsidRPr="00A52585">
        <w:rPr>
          <w:rFonts w:hint="cs"/>
          <w:rtl/>
        </w:rPr>
        <w:t>:</w:t>
      </w:r>
      <w:r w:rsidR="00777DCB" w:rsidRPr="00A52585">
        <w:rPr>
          <w:rFonts w:hint="cs"/>
          <w:rtl/>
        </w:rPr>
        <w:t xml:space="preserve"> 27</w:t>
      </w:r>
      <w:r w:rsidR="00897A24" w:rsidRPr="00A52585">
        <w:rPr>
          <w:rFonts w:hint="cs"/>
          <w:rtl/>
        </w:rPr>
        <w:t>.</w:t>
      </w:r>
      <w:r w:rsidR="00777DCB" w:rsidRPr="00A52585">
        <w:rPr>
          <w:rFonts w:hint="cs"/>
          <w:rtl/>
        </w:rPr>
        <w:t xml:space="preserve"> قال المفسرون</w:t>
      </w:r>
      <w:r w:rsidRPr="00A52585">
        <w:rPr>
          <w:rFonts w:hint="cs"/>
          <w:rtl/>
        </w:rPr>
        <w:t>:</w:t>
      </w:r>
      <w:r w:rsidR="00777DCB" w:rsidRPr="00A52585">
        <w:rPr>
          <w:rFonts w:hint="cs"/>
          <w:rtl/>
        </w:rPr>
        <w:t xml:space="preserve"> معناه يبقى ربك</w:t>
      </w:r>
      <w:r w:rsidR="00DB731D" w:rsidRPr="00A52585">
        <w:rPr>
          <w:rFonts w:hint="cs"/>
          <w:rtl/>
        </w:rPr>
        <w:t>،</w:t>
      </w:r>
      <w:r w:rsidR="00777DCB" w:rsidRPr="00A52585">
        <w:rPr>
          <w:rFonts w:hint="cs"/>
          <w:rtl/>
        </w:rPr>
        <w:t xml:space="preserve"> وكذا قالوا في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يريدون وجهه</w:t>
      </w:r>
      <w:r w:rsidRPr="00A52585">
        <w:rPr>
          <w:rFonts w:hint="cs"/>
          <w:rtl/>
        </w:rPr>
        <w:t>)</w:t>
      </w:r>
      <w:r w:rsidR="00777DCB" w:rsidRPr="00A52585">
        <w:rPr>
          <w:rFonts w:hint="cs"/>
          <w:rtl/>
        </w:rPr>
        <w:t xml:space="preserve"> الانعام</w:t>
      </w:r>
      <w:r w:rsidRPr="00A52585">
        <w:rPr>
          <w:rFonts w:hint="cs"/>
          <w:rtl/>
        </w:rPr>
        <w:t>:</w:t>
      </w:r>
      <w:r w:rsidR="00777DCB" w:rsidRPr="00A52585">
        <w:rPr>
          <w:rFonts w:hint="cs"/>
          <w:rtl/>
        </w:rPr>
        <w:t xml:space="preserve"> 52 أي يريدونه</w:t>
      </w:r>
      <w:r w:rsidR="00DB731D" w:rsidRPr="00A52585">
        <w:rPr>
          <w:rFonts w:hint="cs"/>
          <w:rtl/>
        </w:rPr>
        <w:t>،</w:t>
      </w:r>
      <w:r w:rsidR="00777DCB" w:rsidRPr="00A52585">
        <w:rPr>
          <w:rFonts w:hint="cs"/>
          <w:rtl/>
        </w:rPr>
        <w:t xml:space="preserve"> وقال الضحاك وأبو عبيدة في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شيء هالك إلا وجهه</w:t>
      </w:r>
      <w:r w:rsidRPr="00A52585">
        <w:rPr>
          <w:rFonts w:hint="cs"/>
          <w:rtl/>
        </w:rPr>
        <w:t>)</w:t>
      </w:r>
      <w:r w:rsidR="00777DCB" w:rsidRPr="00A52585">
        <w:rPr>
          <w:rFonts w:hint="cs"/>
          <w:rtl/>
        </w:rPr>
        <w:t xml:space="preserve"> القصص</w:t>
      </w:r>
      <w:r w:rsidRPr="00A52585">
        <w:rPr>
          <w:rFonts w:hint="cs"/>
          <w:rtl/>
        </w:rPr>
        <w:t>:</w:t>
      </w:r>
      <w:r w:rsidR="00777DCB" w:rsidRPr="00A52585">
        <w:rPr>
          <w:rFonts w:hint="cs"/>
          <w:rtl/>
        </w:rPr>
        <w:t xml:space="preserve"> 88</w:t>
      </w:r>
      <w:r w:rsidR="00DB731D" w:rsidRPr="00A52585">
        <w:rPr>
          <w:rFonts w:hint="cs"/>
          <w:rtl/>
        </w:rPr>
        <w:t>،</w:t>
      </w:r>
      <w:r w:rsidR="00777DCB" w:rsidRPr="00A52585">
        <w:rPr>
          <w:rFonts w:hint="cs"/>
          <w:rtl/>
        </w:rPr>
        <w:t xml:space="preserve"> أي إلا هو</w:t>
      </w:r>
      <w:r w:rsidR="00DB731D" w:rsidRPr="00A52585">
        <w:rPr>
          <w:rFonts w:hint="cs"/>
          <w:rtl/>
        </w:rPr>
        <w:t>،</w:t>
      </w:r>
      <w:r w:rsidR="00777DCB" w:rsidRPr="00A52585">
        <w:rPr>
          <w:rFonts w:hint="cs"/>
          <w:rtl/>
        </w:rPr>
        <w:t xml:space="preserve"> وقد ذهب الذين أنكرنا عليهم إلى أن الوجه صفة تختص باسم زائد على الذات</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فمن أين قالوا هذا وليس لهم دليل إلا ما عرفوه من </w:t>
      </w:r>
      <w:proofErr w:type="spellStart"/>
      <w:r w:rsidR="00777DCB" w:rsidRPr="00A52585">
        <w:rPr>
          <w:rFonts w:hint="cs"/>
          <w:rtl/>
        </w:rPr>
        <w:t>الحسيات</w:t>
      </w:r>
      <w:proofErr w:type="spellEnd"/>
      <w:r w:rsidR="00F95886" w:rsidRPr="00A52585">
        <w:rPr>
          <w:rFonts w:hint="cs"/>
          <w:rtl/>
        </w:rPr>
        <w:t>؟</w:t>
      </w:r>
      <w:r w:rsidR="00777DCB" w:rsidRPr="00A52585">
        <w:rPr>
          <w:rFonts w:hint="cs"/>
          <w:rtl/>
        </w:rPr>
        <w:t xml:space="preserve"> وذلك يوجب التبعيض</w:t>
      </w:r>
      <w:r w:rsidR="00DB731D" w:rsidRPr="00A52585">
        <w:rPr>
          <w:rFonts w:hint="cs"/>
          <w:rtl/>
        </w:rPr>
        <w:t>،</w:t>
      </w:r>
      <w:r w:rsidR="00777DCB" w:rsidRPr="00A52585">
        <w:rPr>
          <w:rFonts w:hint="cs"/>
          <w:rtl/>
        </w:rPr>
        <w:t xml:space="preserve"> ولو كان كما قالوا</w:t>
      </w:r>
      <w:r w:rsidRPr="00A52585">
        <w:rPr>
          <w:rFonts w:hint="cs"/>
          <w:rtl/>
        </w:rPr>
        <w:t>:</w:t>
      </w:r>
      <w:r w:rsidR="00777DCB" w:rsidRPr="00A52585">
        <w:rPr>
          <w:rFonts w:hint="cs"/>
          <w:rtl/>
        </w:rPr>
        <w:t xml:space="preserve"> كان المعنى</w:t>
      </w:r>
      <w:r w:rsidRPr="00A52585">
        <w:rPr>
          <w:rFonts w:hint="cs"/>
          <w:rtl/>
        </w:rPr>
        <w:t>:</w:t>
      </w:r>
      <w:r w:rsidR="00777DCB" w:rsidRPr="00A52585">
        <w:rPr>
          <w:rFonts w:hint="cs"/>
          <w:rtl/>
        </w:rPr>
        <w:t xml:space="preserve"> أن ذاته تهلك إلا وجهه</w:t>
      </w:r>
      <w:r w:rsidR="00DB731D" w:rsidRPr="00A52585">
        <w:rPr>
          <w:rFonts w:hint="cs"/>
          <w:rtl/>
        </w:rPr>
        <w:t>،</w:t>
      </w:r>
      <w:r w:rsidR="00777DCB" w:rsidRPr="00A52585">
        <w:rPr>
          <w:rFonts w:hint="cs"/>
          <w:rtl/>
        </w:rPr>
        <w:t xml:space="preserve"> وقال ابن حامد</w:t>
      </w:r>
      <w:r w:rsidRPr="00A52585">
        <w:rPr>
          <w:rFonts w:hint="cs"/>
          <w:rtl/>
        </w:rPr>
        <w:t>:</w:t>
      </w:r>
      <w:r w:rsidR="00777DCB" w:rsidRPr="00A52585">
        <w:rPr>
          <w:rFonts w:hint="cs"/>
          <w:rtl/>
        </w:rPr>
        <w:t xml:space="preserve"> أثبتنا لله وجها ولا نجوز إثبات رأس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وإذا كان المجسمة يثبتون بهذه الآية وأمثالها صفة الوجه فهل يقولون بفناء يد معبودهم وساقيه وجنبيه وما إلى ذلك من اعضاء أثبتوها له بقوله سبحانه </w:t>
      </w:r>
      <w:r w:rsidRPr="00A52585">
        <w:rPr>
          <w:rFonts w:hint="cs"/>
          <w:sz w:val="24"/>
          <w:szCs w:val="24"/>
          <w:rtl/>
        </w:rPr>
        <w:t>(</w:t>
      </w:r>
      <w:r w:rsidR="00777DCB" w:rsidRPr="00A52585">
        <w:rPr>
          <w:rFonts w:hint="cs"/>
          <w:sz w:val="24"/>
          <w:szCs w:val="24"/>
          <w:rtl/>
        </w:rPr>
        <w:t xml:space="preserve">كل </w:t>
      </w:r>
      <w:proofErr w:type="spellStart"/>
      <w:r w:rsidR="00777DCB" w:rsidRPr="00A52585">
        <w:rPr>
          <w:rFonts w:hint="cs"/>
          <w:sz w:val="24"/>
          <w:szCs w:val="24"/>
          <w:rtl/>
        </w:rPr>
        <w:t>شئ</w:t>
      </w:r>
      <w:proofErr w:type="spellEnd"/>
      <w:r w:rsidR="00777DCB" w:rsidRPr="00A52585">
        <w:rPr>
          <w:rFonts w:hint="cs"/>
          <w:sz w:val="24"/>
          <w:szCs w:val="24"/>
          <w:rtl/>
        </w:rPr>
        <w:t xml:space="preserve"> هالك إلا وجهه</w:t>
      </w:r>
      <w:r w:rsidRPr="00A52585">
        <w:rPr>
          <w:rFonts w:hint="cs"/>
          <w:sz w:val="24"/>
          <w:szCs w:val="24"/>
          <w:rtl/>
        </w:rPr>
        <w:t>)</w:t>
      </w:r>
      <w:r w:rsidR="00F95886" w:rsidRPr="00A52585">
        <w:rPr>
          <w:rFonts w:hint="cs"/>
          <w:sz w:val="24"/>
          <w:szCs w:val="24"/>
          <w:rtl/>
        </w:rPr>
        <w:t>؟!</w:t>
      </w:r>
      <w:r w:rsidR="00777DCB" w:rsidRPr="00A52585">
        <w:rPr>
          <w:rFonts w:hint="cs"/>
          <w:sz w:val="24"/>
          <w:szCs w:val="24"/>
          <w:rtl/>
        </w:rPr>
        <w:t>]</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ولقد اقشعر بدني من جراءته على ذكر هذا فما أعوزه في </w:t>
      </w:r>
      <w:proofErr w:type="spellStart"/>
      <w:r w:rsidR="00777DCB" w:rsidRPr="00A52585">
        <w:rPr>
          <w:rFonts w:hint="cs"/>
          <w:rtl/>
        </w:rPr>
        <w:t>التشببه</w:t>
      </w:r>
      <w:proofErr w:type="spellEnd"/>
      <w:r w:rsidR="00777DCB" w:rsidRPr="00A52585">
        <w:rPr>
          <w:rFonts w:hint="cs"/>
          <w:rtl/>
        </w:rPr>
        <w:t xml:space="preserve"> غير الرأس</w:t>
      </w:r>
      <w:r w:rsidR="00DB731D" w:rsidRPr="00A52585">
        <w:rPr>
          <w:rFonts w:hint="cs"/>
          <w:rtl/>
        </w:rPr>
        <w:t>،</w:t>
      </w:r>
      <w:r w:rsidR="00777DCB" w:rsidRPr="00A52585">
        <w:rPr>
          <w:rFonts w:hint="cs"/>
          <w:rtl/>
        </w:rPr>
        <w:t xml:space="preserve"> </w:t>
      </w:r>
    </w:p>
    <w:p w14:paraId="7D798121" w14:textId="639ECEF5" w:rsidR="00777DCB" w:rsidRPr="00A52585" w:rsidRDefault="0002035C" w:rsidP="0002035C">
      <w:pPr>
        <w:rPr>
          <w:b/>
          <w:rtl/>
        </w:rPr>
      </w:pPr>
      <w:r w:rsidRPr="00A52585">
        <w:rPr>
          <w:rFonts w:hint="cs"/>
          <w:bCs/>
          <w:u w:val="single"/>
          <w:rtl/>
        </w:rPr>
        <w:t>[</w:t>
      </w:r>
      <w:r w:rsidR="00777DCB" w:rsidRPr="00A52585">
        <w:rPr>
          <w:rFonts w:hint="cs"/>
          <w:bCs/>
          <w:u w:val="single"/>
          <w:rtl/>
        </w:rPr>
        <w:t>2</w:t>
      </w:r>
      <w:r w:rsidRPr="00A52585">
        <w:rPr>
          <w:rFonts w:hint="cs"/>
          <w:bCs/>
          <w:u w:val="single"/>
          <w:rtl/>
        </w:rPr>
        <w:t>]</w:t>
      </w:r>
      <w:r w:rsidRPr="00A52585">
        <w:rPr>
          <w:rFonts w:hint="cs"/>
          <w:u w:val="single"/>
          <w:rtl/>
        </w:rPr>
        <w:t>:</w:t>
      </w:r>
      <w:r w:rsidR="00777DCB" w:rsidRPr="00A52585">
        <w:rPr>
          <w:rFonts w:hint="cs"/>
          <w:rtl/>
        </w:rPr>
        <w:t xml:space="preserve"> قلت</w:t>
      </w:r>
      <w:r w:rsidRPr="00A52585">
        <w:rPr>
          <w:rFonts w:hint="cs"/>
          <w:rtl/>
        </w:rPr>
        <w:t>:</w:t>
      </w:r>
      <w:r w:rsidR="00777DCB" w:rsidRPr="00A52585">
        <w:rPr>
          <w:rFonts w:hint="cs"/>
          <w:rtl/>
        </w:rPr>
        <w:t xml:space="preserve"> ومن ذلك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ولتصنع على عيني</w:t>
      </w:r>
      <w:r w:rsidRPr="00A52585">
        <w:rPr>
          <w:rFonts w:hint="cs"/>
          <w:rtl/>
        </w:rPr>
        <w:t>)</w:t>
      </w:r>
      <w:r w:rsidR="00777DCB" w:rsidRPr="00A52585">
        <w:rPr>
          <w:rFonts w:hint="cs"/>
          <w:rtl/>
        </w:rPr>
        <w:t xml:space="preserve"> طه</w:t>
      </w:r>
      <w:r w:rsidRPr="00A52585">
        <w:rPr>
          <w:rFonts w:hint="cs"/>
          <w:rtl/>
        </w:rPr>
        <w:t>:</w:t>
      </w:r>
      <w:r w:rsidR="00777DCB" w:rsidRPr="00A52585">
        <w:rPr>
          <w:rFonts w:hint="cs"/>
          <w:rtl/>
        </w:rPr>
        <w:t xml:space="preserve"> 39</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واصنع الفلك بأعيننا</w:t>
      </w:r>
      <w:r w:rsidRPr="00A52585">
        <w:rPr>
          <w:rFonts w:hint="cs"/>
          <w:rtl/>
        </w:rPr>
        <w:t>)</w:t>
      </w:r>
      <w:r w:rsidR="00777DCB" w:rsidRPr="00A52585">
        <w:rPr>
          <w:rFonts w:hint="cs"/>
          <w:rtl/>
        </w:rPr>
        <w:t xml:space="preserve"> هود</w:t>
      </w:r>
      <w:r w:rsidRPr="00A52585">
        <w:rPr>
          <w:rFonts w:hint="cs"/>
          <w:rtl/>
        </w:rPr>
        <w:t>:</w:t>
      </w:r>
      <w:r w:rsidR="00777DCB" w:rsidRPr="00A52585">
        <w:rPr>
          <w:rFonts w:hint="cs"/>
          <w:rtl/>
        </w:rPr>
        <w:t xml:space="preserve"> 37</w:t>
      </w:r>
      <w:r w:rsidR="00DB731D" w:rsidRPr="00A52585">
        <w:rPr>
          <w:rFonts w:hint="cs"/>
          <w:rtl/>
        </w:rPr>
        <w:t>،</w:t>
      </w:r>
      <w:r w:rsidR="00777DCB" w:rsidRPr="00A52585">
        <w:rPr>
          <w:rFonts w:hint="cs"/>
          <w:rtl/>
        </w:rPr>
        <w:t xml:space="preserve"> قال المفسرون</w:t>
      </w:r>
      <w:r w:rsidRPr="00A52585">
        <w:rPr>
          <w:rFonts w:hint="cs"/>
          <w:rtl/>
        </w:rPr>
        <w:t>:</w:t>
      </w:r>
      <w:r w:rsidR="00777DCB" w:rsidRPr="00A52585">
        <w:rPr>
          <w:rFonts w:hint="cs"/>
          <w:rtl/>
        </w:rPr>
        <w:t xml:space="preserve"> بأمرنا</w:t>
      </w:r>
      <w:r w:rsidR="00DB731D" w:rsidRPr="00A52585">
        <w:rPr>
          <w:rFonts w:hint="cs"/>
          <w:rtl/>
        </w:rPr>
        <w:t>،</w:t>
      </w:r>
      <w:r w:rsidR="00777DCB" w:rsidRPr="00A52585">
        <w:rPr>
          <w:rFonts w:hint="cs"/>
          <w:rtl/>
        </w:rPr>
        <w:t xml:space="preserve"> أي بمرأى منا</w:t>
      </w:r>
      <w:r w:rsidR="00DB731D" w:rsidRPr="00A52585">
        <w:rPr>
          <w:rFonts w:hint="cs"/>
          <w:rtl/>
        </w:rPr>
        <w:t>،</w:t>
      </w:r>
      <w:r w:rsidR="00777DCB" w:rsidRPr="00A52585">
        <w:rPr>
          <w:rFonts w:hint="cs"/>
          <w:rtl/>
        </w:rPr>
        <w:t xml:space="preserve"> قال أبو بكر بن الانباري</w:t>
      </w:r>
      <w:r w:rsidRPr="00A52585">
        <w:rPr>
          <w:rFonts w:hint="cs"/>
          <w:rtl/>
        </w:rPr>
        <w:t>:</w:t>
      </w:r>
      <w:r w:rsidR="00777DCB" w:rsidRPr="00A52585">
        <w:rPr>
          <w:rFonts w:hint="cs"/>
          <w:rtl/>
        </w:rPr>
        <w:t xml:space="preserve"> أما جمع العين على مذهب العرب في إيقاعها الجمع على الواحد</w:t>
      </w:r>
      <w:r w:rsidR="00DB731D" w:rsidRPr="00A52585">
        <w:rPr>
          <w:rFonts w:hint="cs"/>
          <w:rtl/>
        </w:rPr>
        <w:t>،</w:t>
      </w:r>
      <w:r w:rsidR="00777DCB" w:rsidRPr="00A52585">
        <w:rPr>
          <w:rFonts w:hint="cs"/>
          <w:rtl/>
        </w:rPr>
        <w:t xml:space="preserve"> يقال</w:t>
      </w:r>
      <w:r w:rsidRPr="00A52585">
        <w:rPr>
          <w:rFonts w:hint="cs"/>
          <w:rtl/>
        </w:rPr>
        <w:t>:</w:t>
      </w:r>
      <w:r w:rsidR="00777DCB" w:rsidRPr="00A52585">
        <w:rPr>
          <w:rFonts w:hint="cs"/>
          <w:rtl/>
        </w:rPr>
        <w:t xml:space="preserve"> خرجنا في السفر إلى البصرة</w:t>
      </w:r>
      <w:r w:rsidR="00897A24" w:rsidRPr="00A52585">
        <w:rPr>
          <w:rFonts w:hint="cs"/>
          <w:rtl/>
        </w:rPr>
        <w:t>.</w:t>
      </w:r>
      <w:r w:rsidR="00777DCB" w:rsidRPr="00A52585">
        <w:rPr>
          <w:rFonts w:hint="cs"/>
          <w:rtl/>
        </w:rPr>
        <w:t xml:space="preserve"> وإنما جمع لان عادة الملك أن يقول</w:t>
      </w:r>
      <w:r w:rsidRPr="00A52585">
        <w:rPr>
          <w:rFonts w:hint="cs"/>
          <w:rtl/>
        </w:rPr>
        <w:t>:</w:t>
      </w:r>
      <w:r w:rsidR="00777DCB" w:rsidRPr="00A52585">
        <w:rPr>
          <w:rFonts w:hint="cs"/>
          <w:rtl/>
        </w:rPr>
        <w:t xml:space="preserve"> أمرنا ونهينا</w:t>
      </w:r>
      <w:r w:rsidR="00DB731D" w:rsidRPr="00A52585">
        <w:rPr>
          <w:rFonts w:hint="cs"/>
          <w:rtl/>
        </w:rPr>
        <w:t>،</w:t>
      </w:r>
      <w:r w:rsidR="00777DCB" w:rsidRPr="00A52585">
        <w:rPr>
          <w:rFonts w:hint="cs"/>
          <w:rtl/>
        </w:rPr>
        <w:t xml:space="preserve"> وقد ذهب القاضي أبو يعلى</w:t>
      </w:r>
      <w:r w:rsidRPr="00A52585">
        <w:rPr>
          <w:rFonts w:hint="cs"/>
          <w:rtl/>
        </w:rPr>
        <w:t xml:space="preserve"> </w:t>
      </w:r>
      <w:r w:rsidR="00777DCB" w:rsidRPr="00A52585">
        <w:rPr>
          <w:rFonts w:hint="cs"/>
          <w:rtl/>
        </w:rPr>
        <w:t>إلى أن العين صفة زائدة على الذات وقد سبقه أبو بكر بن خزيمة فقال في الآية</w:t>
      </w:r>
      <w:r w:rsidRPr="00A52585">
        <w:rPr>
          <w:rFonts w:hint="cs"/>
          <w:rtl/>
        </w:rPr>
        <w:t>:</w:t>
      </w:r>
      <w:r w:rsidR="00777DCB" w:rsidRPr="00A52585">
        <w:rPr>
          <w:rFonts w:hint="cs"/>
          <w:rtl/>
        </w:rPr>
        <w:t xml:space="preserve"> " لربنا عينان ينظر بهما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وهذه من ورطات الحافظ ابن خزيمة في كتابه " التوحيد " الذي ندم على تأليفه أخيرا</w:t>
      </w:r>
      <w:r w:rsidR="00DB731D" w:rsidRPr="00A52585">
        <w:rPr>
          <w:rFonts w:hint="cs"/>
          <w:sz w:val="24"/>
          <w:szCs w:val="24"/>
          <w:rtl/>
        </w:rPr>
        <w:t>،</w:t>
      </w:r>
      <w:r w:rsidR="00777DCB" w:rsidRPr="00A52585">
        <w:rPr>
          <w:rFonts w:hint="cs"/>
          <w:sz w:val="24"/>
          <w:szCs w:val="24"/>
          <w:rtl/>
        </w:rPr>
        <w:t xml:space="preserve"> كما روى ذلك عنه الحافظ البيهقي في " الاسماء والصفات " ص </w:t>
      </w:r>
      <w:r w:rsidRPr="00A52585">
        <w:rPr>
          <w:rFonts w:hint="cs"/>
          <w:sz w:val="24"/>
          <w:szCs w:val="24"/>
          <w:rtl/>
        </w:rPr>
        <w:t>(</w:t>
      </w:r>
      <w:r w:rsidR="00777DCB" w:rsidRPr="00A52585">
        <w:rPr>
          <w:rFonts w:hint="cs"/>
          <w:sz w:val="24"/>
          <w:szCs w:val="24"/>
          <w:rtl/>
        </w:rPr>
        <w:t>267</w:t>
      </w:r>
      <w:r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وكتاب " التوحيد " لابن خزيمة يسميه الفخر الرازي في تفسيره </w:t>
      </w:r>
      <w:r w:rsidRPr="00A52585">
        <w:rPr>
          <w:rFonts w:hint="cs"/>
          <w:sz w:val="24"/>
          <w:szCs w:val="24"/>
          <w:rtl/>
        </w:rPr>
        <w:t>(</w:t>
      </w:r>
      <w:r w:rsidR="00777DCB" w:rsidRPr="00A52585">
        <w:rPr>
          <w:rFonts w:hint="cs"/>
          <w:sz w:val="24"/>
          <w:szCs w:val="24"/>
          <w:rtl/>
        </w:rPr>
        <w:t>14 / 27 / 151</w:t>
      </w:r>
      <w:r w:rsidRPr="00A52585">
        <w:rPr>
          <w:rFonts w:hint="cs"/>
          <w:sz w:val="24"/>
          <w:szCs w:val="24"/>
          <w:rtl/>
        </w:rPr>
        <w:t>)</w:t>
      </w:r>
      <w:r w:rsidR="00777DCB" w:rsidRPr="00A52585">
        <w:rPr>
          <w:rFonts w:hint="cs"/>
          <w:sz w:val="24"/>
          <w:szCs w:val="24"/>
          <w:rtl/>
        </w:rPr>
        <w:t xml:space="preserve"> بكتاب </w:t>
      </w:r>
      <w:r w:rsidRPr="00A52585">
        <w:rPr>
          <w:rFonts w:hint="cs"/>
          <w:sz w:val="24"/>
          <w:szCs w:val="24"/>
          <w:rtl/>
        </w:rPr>
        <w:t>(</w:t>
      </w:r>
      <w:r w:rsidR="00777DCB" w:rsidRPr="00A52585">
        <w:rPr>
          <w:rFonts w:hint="cs"/>
          <w:sz w:val="24"/>
          <w:szCs w:val="24"/>
          <w:rtl/>
        </w:rPr>
        <w:t>الشرك</w:t>
      </w:r>
      <w:r w:rsidRPr="00A52585">
        <w:rPr>
          <w:rFonts w:hint="cs"/>
          <w:sz w:val="24"/>
          <w:szCs w:val="24"/>
          <w:rtl/>
        </w:rPr>
        <w:t>)</w:t>
      </w:r>
      <w:r w:rsidR="00777DCB" w:rsidRPr="00A52585">
        <w:rPr>
          <w:rFonts w:hint="cs"/>
          <w:sz w:val="24"/>
          <w:szCs w:val="24"/>
          <w:rtl/>
        </w:rPr>
        <w:t xml:space="preserve"> لما أتى به فيه من </w:t>
      </w:r>
      <w:proofErr w:type="spellStart"/>
      <w:r w:rsidR="00777DCB" w:rsidRPr="00A52585">
        <w:rPr>
          <w:rFonts w:hint="cs"/>
          <w:sz w:val="24"/>
          <w:szCs w:val="24"/>
          <w:rtl/>
        </w:rPr>
        <w:t>مستشنعات</w:t>
      </w:r>
      <w:proofErr w:type="spellEnd"/>
      <w:r w:rsidR="00DB731D" w:rsidRPr="00A52585">
        <w:rPr>
          <w:rFonts w:hint="cs"/>
          <w:sz w:val="24"/>
          <w:szCs w:val="24"/>
          <w:rtl/>
        </w:rPr>
        <w:t>،</w:t>
      </w:r>
      <w:r w:rsidR="00777DCB" w:rsidRPr="00A52585">
        <w:rPr>
          <w:rFonts w:hint="cs"/>
          <w:sz w:val="24"/>
          <w:szCs w:val="24"/>
          <w:rtl/>
        </w:rPr>
        <w:t xml:space="preserve"> ولله في خلقه شؤون</w:t>
      </w:r>
      <w:r w:rsidR="00DB731D" w:rsidRPr="00A52585">
        <w:rPr>
          <w:rFonts w:hint="cs"/>
          <w:sz w:val="24"/>
          <w:szCs w:val="24"/>
          <w:rtl/>
        </w:rPr>
        <w:t>،</w:t>
      </w:r>
      <w:r w:rsidR="00777DCB" w:rsidRPr="00A52585">
        <w:rPr>
          <w:rFonts w:hint="cs"/>
          <w:sz w:val="24"/>
          <w:szCs w:val="24"/>
          <w:rtl/>
        </w:rPr>
        <w:t xml:space="preserve"> وقد طبع كتاب ابن خزيمة هذا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كرات ومرات ووزعوه مجانا ليروجوا به عقائدهم الفاسدة</w:t>
      </w:r>
      <w:r w:rsidR="00F95886" w:rsidRPr="00A52585">
        <w:rPr>
          <w:rFonts w:hint="cs"/>
          <w:sz w:val="24"/>
          <w:szCs w:val="24"/>
          <w:rtl/>
        </w:rPr>
        <w:t>!!</w:t>
      </w:r>
      <w:r w:rsidRPr="00A52585">
        <w:rPr>
          <w:rFonts w:hint="cs"/>
          <w:sz w:val="24"/>
          <w:szCs w:val="24"/>
          <w:rtl/>
        </w:rPr>
        <w:t>]</w:t>
      </w:r>
      <w:r w:rsidR="00F95886"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ابتداع لا دليل هم عليه وإنما أثبتوا عينين من دليل الخطاب في قوله عليه الصلاة والسلام</w:t>
      </w:r>
      <w:r w:rsidRPr="00A52585">
        <w:rPr>
          <w:rFonts w:hint="cs"/>
          <w:rtl/>
        </w:rPr>
        <w:t>:</w:t>
      </w:r>
      <w:r w:rsidR="00777DCB" w:rsidRPr="00A52585">
        <w:rPr>
          <w:rFonts w:hint="cs"/>
          <w:rtl/>
        </w:rPr>
        <w:t xml:space="preserve"> " وان الله ليس بأعور "</w:t>
      </w:r>
      <w:r w:rsidR="00897A24" w:rsidRPr="00A52585">
        <w:rPr>
          <w:rFonts w:hint="cs"/>
          <w:rtl/>
        </w:rPr>
        <w:t>.</w:t>
      </w:r>
      <w:r w:rsidR="00777DCB" w:rsidRPr="00A52585">
        <w:rPr>
          <w:rFonts w:hint="cs"/>
          <w:rtl/>
        </w:rPr>
        <w:t xml:space="preserve"> وإنما أراد نفي النقص عنه تعالى</w:t>
      </w:r>
      <w:r w:rsidR="00DB731D" w:rsidRPr="00A52585">
        <w:rPr>
          <w:rFonts w:hint="cs"/>
          <w:rtl/>
        </w:rPr>
        <w:t>،</w:t>
      </w:r>
      <w:r w:rsidR="00777DCB" w:rsidRPr="00A52585">
        <w:rPr>
          <w:rFonts w:hint="cs"/>
          <w:rtl/>
        </w:rPr>
        <w:t xml:space="preserve"> ومتى ثبت أنه لا يتجزأ لم يكن لما يتخيل من الصفات وجه</w:t>
      </w:r>
      <w:r w:rsidR="00DB731D" w:rsidRPr="00A52585">
        <w:rPr>
          <w:rFonts w:hint="cs"/>
          <w:rtl/>
        </w:rPr>
        <w:t>،</w:t>
      </w:r>
      <w:r w:rsidR="00777DCB" w:rsidRPr="00A52585">
        <w:rPr>
          <w:rFonts w:hint="cs"/>
          <w:rtl/>
        </w:rPr>
        <w:t xml:space="preserve"> </w:t>
      </w:r>
    </w:p>
    <w:p w14:paraId="395BD782" w14:textId="35DB0E34" w:rsidR="00777DCB" w:rsidRPr="00A52585" w:rsidRDefault="0002035C" w:rsidP="0002035C">
      <w:pPr>
        <w:rPr>
          <w:b/>
          <w:rtl/>
        </w:rPr>
      </w:pPr>
      <w:r w:rsidRPr="00A52585">
        <w:rPr>
          <w:rFonts w:hint="cs"/>
          <w:bCs/>
          <w:u w:val="single"/>
          <w:rtl/>
        </w:rPr>
        <w:t>[</w:t>
      </w:r>
      <w:r w:rsidR="00777DCB" w:rsidRPr="00A52585">
        <w:rPr>
          <w:rFonts w:hint="cs"/>
          <w:bCs/>
          <w:u w:val="single"/>
          <w:rtl/>
        </w:rPr>
        <w:t>3</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لما خلقت بيدي</w:t>
      </w:r>
      <w:r w:rsidRPr="00A52585">
        <w:rPr>
          <w:rFonts w:hint="cs"/>
          <w:rtl/>
        </w:rPr>
        <w:t>)</w:t>
      </w:r>
      <w:r w:rsidR="00777DCB" w:rsidRPr="00A52585">
        <w:rPr>
          <w:rFonts w:hint="cs"/>
          <w:rtl/>
        </w:rPr>
        <w:t xml:space="preserve"> ص</w:t>
      </w:r>
      <w:r w:rsidRPr="00A52585">
        <w:rPr>
          <w:rFonts w:hint="cs"/>
          <w:rtl/>
        </w:rPr>
        <w:t>:</w:t>
      </w:r>
      <w:r w:rsidR="00777DCB" w:rsidRPr="00A52585">
        <w:rPr>
          <w:rFonts w:hint="cs"/>
          <w:rtl/>
        </w:rPr>
        <w:t xml:space="preserve"> 75</w:t>
      </w:r>
      <w:r w:rsidR="00897A24" w:rsidRPr="00A52585">
        <w:rPr>
          <w:rFonts w:hint="cs"/>
          <w:rtl/>
        </w:rPr>
        <w:t>.</w:t>
      </w:r>
      <w:r w:rsidR="00777DCB" w:rsidRPr="00A52585">
        <w:rPr>
          <w:rFonts w:hint="cs"/>
          <w:rtl/>
        </w:rPr>
        <w:t xml:space="preserve"> اليد في اللغة</w:t>
      </w:r>
      <w:r w:rsidRPr="00A52585">
        <w:rPr>
          <w:rFonts w:hint="cs"/>
          <w:rtl/>
        </w:rPr>
        <w:t>:</w:t>
      </w:r>
      <w:r w:rsidR="00777DCB" w:rsidRPr="00A52585">
        <w:rPr>
          <w:rFonts w:hint="cs"/>
          <w:rtl/>
        </w:rPr>
        <w:t xml:space="preserve"> بمعنى النعمة والاحسان</w:t>
      </w:r>
      <w:r w:rsidR="00897A24" w:rsidRPr="00A52585">
        <w:rPr>
          <w:rFonts w:hint="cs"/>
          <w:rtl/>
        </w:rPr>
        <w:t>.</w:t>
      </w:r>
      <w:r w:rsidR="00777DCB" w:rsidRPr="00A52585">
        <w:rPr>
          <w:rFonts w:hint="cs"/>
          <w:rtl/>
        </w:rPr>
        <w:t xml:space="preserve"> </w:t>
      </w:r>
      <w:r w:rsidR="00777DCB" w:rsidRPr="00A52585">
        <w:rPr>
          <w:rFonts w:hint="cs"/>
          <w:rtl/>
        </w:rPr>
        <w:br/>
        <w:t>قال الشاعر</w:t>
      </w:r>
      <w:r w:rsidRPr="00A52585">
        <w:rPr>
          <w:rFonts w:hint="cs"/>
          <w:rtl/>
        </w:rPr>
        <w:t>:</w:t>
      </w:r>
      <w:r w:rsidR="00777DCB" w:rsidRPr="00A52585">
        <w:rPr>
          <w:rFonts w:hint="cs"/>
          <w:rtl/>
        </w:rPr>
        <w:t xml:space="preserve"> متى تناخي عند باب بني هاشم تريحي فتلقي من فواضله يدا ومعنى قول اليهود </w:t>
      </w:r>
      <w:r w:rsidRPr="00A52585">
        <w:rPr>
          <w:rFonts w:hint="cs"/>
          <w:rtl/>
        </w:rPr>
        <w:t>(</w:t>
      </w:r>
      <w:r w:rsidR="00777DCB" w:rsidRPr="00A52585">
        <w:rPr>
          <w:rFonts w:hint="cs"/>
          <w:rtl/>
        </w:rPr>
        <w:t>يد الله مغلولة</w:t>
      </w:r>
      <w:r w:rsidRPr="00A52585">
        <w:rPr>
          <w:rFonts w:hint="cs"/>
          <w:rtl/>
        </w:rPr>
        <w:t>)</w:t>
      </w:r>
      <w:r w:rsidR="00777DCB" w:rsidRPr="00A52585">
        <w:rPr>
          <w:rFonts w:hint="cs"/>
          <w:rtl/>
        </w:rPr>
        <w:t xml:space="preserve"> المائدة</w:t>
      </w:r>
      <w:r w:rsidRPr="00A52585">
        <w:rPr>
          <w:rFonts w:hint="cs"/>
          <w:rtl/>
        </w:rPr>
        <w:t>:</w:t>
      </w:r>
      <w:r w:rsidR="00777DCB" w:rsidRPr="00A52585">
        <w:rPr>
          <w:rFonts w:hint="cs"/>
          <w:rtl/>
        </w:rPr>
        <w:t xml:space="preserve"> 64</w:t>
      </w:r>
      <w:r w:rsidR="00DB731D" w:rsidRPr="00A52585">
        <w:rPr>
          <w:rFonts w:hint="cs"/>
          <w:rtl/>
        </w:rPr>
        <w:t>،</w:t>
      </w:r>
      <w:r w:rsidR="00777DCB" w:rsidRPr="00A52585">
        <w:rPr>
          <w:rFonts w:hint="cs"/>
          <w:rtl/>
        </w:rPr>
        <w:t xml:space="preserve"> أي</w:t>
      </w:r>
      <w:r w:rsidRPr="00A52585">
        <w:rPr>
          <w:rFonts w:hint="cs"/>
          <w:rtl/>
        </w:rPr>
        <w:t>:</w:t>
      </w:r>
      <w:r w:rsidR="00777DCB" w:rsidRPr="00A52585">
        <w:rPr>
          <w:rFonts w:hint="cs"/>
          <w:rtl/>
        </w:rPr>
        <w:t xml:space="preserve"> محبوسة عن النفقة</w:t>
      </w:r>
      <w:r w:rsidR="00DB731D" w:rsidRPr="00A52585">
        <w:rPr>
          <w:rFonts w:hint="cs"/>
          <w:rtl/>
        </w:rPr>
        <w:t>،</w:t>
      </w:r>
      <w:r w:rsidR="00777DCB" w:rsidRPr="00A52585">
        <w:rPr>
          <w:rFonts w:hint="cs"/>
          <w:rtl/>
        </w:rPr>
        <w:t xml:space="preserve"> واليد</w:t>
      </w:r>
      <w:r w:rsidRPr="00A52585">
        <w:rPr>
          <w:rFonts w:hint="cs"/>
          <w:rtl/>
        </w:rPr>
        <w:t>:</w:t>
      </w:r>
      <w:r w:rsidR="00777DCB" w:rsidRPr="00A52585">
        <w:rPr>
          <w:rFonts w:hint="cs"/>
          <w:rtl/>
        </w:rPr>
        <w:t xml:space="preserve"> القوة</w:t>
      </w:r>
      <w:r w:rsidR="00DB731D" w:rsidRPr="00A52585">
        <w:rPr>
          <w:rFonts w:hint="cs"/>
          <w:rtl/>
        </w:rPr>
        <w:t>،</w:t>
      </w:r>
      <w:r w:rsidR="00777DCB" w:rsidRPr="00A52585">
        <w:rPr>
          <w:rFonts w:hint="cs"/>
          <w:rtl/>
        </w:rPr>
        <w:t xml:space="preserve"> يقولون</w:t>
      </w:r>
      <w:r w:rsidRPr="00A52585">
        <w:rPr>
          <w:rFonts w:hint="cs"/>
          <w:rtl/>
        </w:rPr>
        <w:t>:</w:t>
      </w:r>
      <w:r w:rsidR="00777DCB" w:rsidRPr="00A52585">
        <w:rPr>
          <w:rFonts w:hint="cs"/>
          <w:rtl/>
        </w:rPr>
        <w:t xml:space="preserve"> ما لنا بهذا الامر من يد</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بل يداه مبسوطتان</w:t>
      </w:r>
      <w:r w:rsidRPr="00A52585">
        <w:rPr>
          <w:rFonts w:hint="cs"/>
          <w:rtl/>
        </w:rPr>
        <w:t>)</w:t>
      </w:r>
      <w:r w:rsidR="00777DCB" w:rsidRPr="00A52585">
        <w:rPr>
          <w:rFonts w:hint="cs"/>
          <w:rtl/>
        </w:rPr>
        <w:t xml:space="preserve"> المائدة</w:t>
      </w:r>
      <w:r w:rsidRPr="00A52585">
        <w:rPr>
          <w:rFonts w:hint="cs"/>
          <w:rtl/>
        </w:rPr>
        <w:t>:</w:t>
      </w:r>
      <w:r w:rsidR="00777DCB" w:rsidRPr="00A52585">
        <w:rPr>
          <w:rFonts w:hint="cs"/>
          <w:rtl/>
        </w:rPr>
        <w:t xml:space="preserve"> 64</w:t>
      </w:r>
      <w:r w:rsidR="00DB731D" w:rsidRPr="00A52585">
        <w:rPr>
          <w:rFonts w:hint="cs"/>
          <w:rtl/>
        </w:rPr>
        <w:t>،</w:t>
      </w:r>
      <w:r w:rsidR="00777DCB" w:rsidRPr="00A52585">
        <w:rPr>
          <w:rFonts w:hint="cs"/>
          <w:rtl/>
        </w:rPr>
        <w:t xml:space="preserve"> أي نعمته وقدرته</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 لما خلقت بيدي " أي</w:t>
      </w:r>
      <w:r w:rsidRPr="00A52585">
        <w:rPr>
          <w:rFonts w:hint="cs"/>
          <w:rtl/>
        </w:rPr>
        <w:t>:</w:t>
      </w:r>
      <w:r w:rsidR="00777DCB" w:rsidRPr="00A52585">
        <w:rPr>
          <w:rFonts w:hint="cs"/>
          <w:rtl/>
        </w:rPr>
        <w:t xml:space="preserve"> بقدرتي ونعمتي</w:t>
      </w:r>
      <w:r w:rsidR="00DB731D" w:rsidRPr="00A52585">
        <w:rPr>
          <w:rFonts w:hint="cs"/>
          <w:rtl/>
        </w:rPr>
        <w:t>،</w:t>
      </w:r>
      <w:r w:rsidR="00777DCB" w:rsidRPr="00A52585">
        <w:rPr>
          <w:rFonts w:hint="cs"/>
          <w:rtl/>
        </w:rPr>
        <w:t xml:space="preserve"> وقال الحسن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يد الله فوق أيديهم</w:t>
      </w:r>
      <w:r w:rsidRPr="00A52585">
        <w:rPr>
          <w:rFonts w:hint="cs"/>
          <w:rtl/>
        </w:rPr>
        <w:t>)</w:t>
      </w:r>
      <w:r w:rsidR="00777DCB" w:rsidRPr="00A52585">
        <w:rPr>
          <w:rFonts w:hint="cs"/>
          <w:rtl/>
        </w:rPr>
        <w:t xml:space="preserve"> الفتح</w:t>
      </w:r>
      <w:r w:rsidRPr="00A52585">
        <w:rPr>
          <w:rFonts w:hint="cs"/>
          <w:rtl/>
        </w:rPr>
        <w:t>:</w:t>
      </w:r>
      <w:r w:rsidR="00777DCB" w:rsidRPr="00A52585">
        <w:rPr>
          <w:rFonts w:hint="cs"/>
          <w:rtl/>
        </w:rPr>
        <w:t xml:space="preserve"> 10</w:t>
      </w:r>
      <w:r w:rsidR="00DB731D" w:rsidRPr="00A52585">
        <w:rPr>
          <w:rFonts w:hint="cs"/>
          <w:rtl/>
        </w:rPr>
        <w:t>،</w:t>
      </w:r>
      <w:r w:rsidR="00777DCB" w:rsidRPr="00A52585">
        <w:rPr>
          <w:rFonts w:hint="cs"/>
          <w:rtl/>
        </w:rPr>
        <w:t xml:space="preserve"> أي</w:t>
      </w:r>
      <w:r w:rsidRPr="00A52585">
        <w:rPr>
          <w:rFonts w:hint="cs"/>
          <w:rtl/>
        </w:rPr>
        <w:t>:</w:t>
      </w:r>
      <w:r w:rsidR="00777DCB" w:rsidRPr="00A52585">
        <w:rPr>
          <w:rFonts w:hint="cs"/>
          <w:rtl/>
        </w:rPr>
        <w:t xml:space="preserve"> منته وإحسانه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كلام المحققين</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 اليدان صفتان ذاتيتان تسميان باليدين " اه‍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w:t>
      </w:r>
      <w:r w:rsidR="00777DCB" w:rsidRPr="00A52585">
        <w:rPr>
          <w:rFonts w:hint="cs"/>
          <w:rtl/>
        </w:rPr>
        <w:lastRenderedPageBreak/>
        <w:t>تصرف بالرأي لا دليل عليه</w:t>
      </w:r>
      <w:r w:rsidR="00DB731D" w:rsidRPr="00A52585">
        <w:rPr>
          <w:rFonts w:hint="cs"/>
          <w:rtl/>
        </w:rPr>
        <w:t>،</w:t>
      </w:r>
      <w:r w:rsidR="00777DCB" w:rsidRPr="00A52585">
        <w:rPr>
          <w:rFonts w:hint="cs"/>
          <w:rtl/>
        </w:rPr>
        <w:t xml:space="preserve"> وقال ابن عقيل</w:t>
      </w:r>
      <w:r w:rsidRPr="00A52585">
        <w:rPr>
          <w:rFonts w:hint="cs"/>
          <w:rtl/>
        </w:rPr>
        <w:t>:</w:t>
      </w:r>
      <w:r w:rsidR="00777DCB" w:rsidRPr="00A52585">
        <w:rPr>
          <w:rFonts w:hint="cs"/>
          <w:rtl/>
        </w:rPr>
        <w:t xml:space="preserve"> معنى الآية لما خلقت أنا</w:t>
      </w:r>
      <w:r w:rsidR="00DB731D" w:rsidRPr="00A52585">
        <w:rPr>
          <w:rFonts w:hint="cs"/>
          <w:rtl/>
        </w:rPr>
        <w:t>،</w:t>
      </w:r>
      <w:r w:rsidR="00777DCB" w:rsidRPr="00A52585">
        <w:rPr>
          <w:rFonts w:hint="cs"/>
          <w:rtl/>
        </w:rPr>
        <w:t xml:space="preserve"> فهو كقوله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ذلك بما قدمت يداك</w:t>
      </w:r>
      <w:r w:rsidRPr="00A52585">
        <w:rPr>
          <w:rFonts w:hint="cs"/>
          <w:rtl/>
        </w:rPr>
        <w:t>)</w:t>
      </w:r>
      <w:r w:rsidR="00777DCB" w:rsidRPr="00A52585">
        <w:rPr>
          <w:rFonts w:hint="cs"/>
          <w:rtl/>
        </w:rPr>
        <w:t xml:space="preserve"> الحج</w:t>
      </w:r>
      <w:r w:rsidRPr="00A52585">
        <w:rPr>
          <w:rFonts w:hint="cs"/>
          <w:rtl/>
        </w:rPr>
        <w:t>:</w:t>
      </w:r>
      <w:r w:rsidR="00777DCB" w:rsidRPr="00A52585">
        <w:rPr>
          <w:rFonts w:hint="cs"/>
          <w:rtl/>
        </w:rPr>
        <w:t xml:space="preserve"> 10 أي بما قدمت أنت</w:t>
      </w:r>
      <w:r w:rsidR="00DB731D" w:rsidRPr="00A52585">
        <w:rPr>
          <w:rFonts w:hint="cs"/>
          <w:rtl/>
        </w:rPr>
        <w:t>،</w:t>
      </w:r>
      <w:r w:rsidR="00777DCB" w:rsidRPr="00A52585">
        <w:rPr>
          <w:rFonts w:hint="cs"/>
          <w:rtl/>
        </w:rPr>
        <w:t xml:space="preserve"> وقد قال بعض البله</w:t>
      </w:r>
      <w:r w:rsidRPr="00A52585">
        <w:rPr>
          <w:rFonts w:hint="cs"/>
          <w:rtl/>
        </w:rPr>
        <w:t>:</w:t>
      </w:r>
      <w:r w:rsidR="00777DCB" w:rsidRPr="00A52585">
        <w:rPr>
          <w:rFonts w:hint="cs"/>
          <w:rtl/>
        </w:rPr>
        <w:t xml:space="preserve"> لو لم يكن لآدم عليه السلام مزية على سائر الحيوانات بخلقه باليد التي هي صفة لما عظمه بذكرها وأجله فقال </w:t>
      </w:r>
      <w:r w:rsidRPr="00A52585">
        <w:rPr>
          <w:rFonts w:hint="cs"/>
          <w:rtl/>
        </w:rPr>
        <w:t>(</w:t>
      </w:r>
      <w:r w:rsidR="00777DCB" w:rsidRPr="00A52585">
        <w:rPr>
          <w:rFonts w:hint="cs"/>
          <w:rtl/>
        </w:rPr>
        <w:t>بيدي</w:t>
      </w:r>
      <w:r w:rsidRPr="00A52585">
        <w:rPr>
          <w:rFonts w:hint="cs"/>
          <w:rtl/>
        </w:rPr>
        <w:t>)</w:t>
      </w:r>
      <w:r w:rsidR="00DB731D" w:rsidRPr="00A52585">
        <w:rPr>
          <w:rFonts w:hint="cs"/>
          <w:rtl/>
        </w:rPr>
        <w:t>،</w:t>
      </w:r>
      <w:r w:rsidR="00777DCB" w:rsidRPr="00A52585">
        <w:rPr>
          <w:rFonts w:hint="cs"/>
          <w:rtl/>
        </w:rPr>
        <w:t xml:space="preserve"> ولو كانت القدرة لما كانت له مزية</w:t>
      </w:r>
      <w:r w:rsidR="00DB731D" w:rsidRPr="00A52585">
        <w:rPr>
          <w:rFonts w:hint="cs"/>
          <w:rtl/>
        </w:rPr>
        <w:t>،</w:t>
      </w:r>
      <w:r w:rsidR="00777DCB" w:rsidRPr="00A52585">
        <w:rPr>
          <w:rFonts w:hint="cs"/>
          <w:rtl/>
        </w:rPr>
        <w:t xml:space="preserve"> فإن قالوا القدرة لا تثنى </w:t>
      </w:r>
      <w:r w:rsidR="00777DCB" w:rsidRPr="00A52585">
        <w:rPr>
          <w:rFonts w:hint="cs"/>
          <w:sz w:val="24"/>
          <w:szCs w:val="24"/>
          <w:rtl/>
        </w:rPr>
        <w:t>[قلنا مجيبين</w:t>
      </w:r>
      <w:r w:rsidRPr="00A52585">
        <w:rPr>
          <w:rFonts w:hint="cs"/>
          <w:sz w:val="24"/>
          <w:szCs w:val="24"/>
          <w:rtl/>
        </w:rPr>
        <w:t>:</w:t>
      </w:r>
      <w:r w:rsidR="00777DCB" w:rsidRPr="00A52585">
        <w:rPr>
          <w:rFonts w:hint="cs"/>
          <w:sz w:val="24"/>
          <w:szCs w:val="24"/>
          <w:rtl/>
        </w:rPr>
        <w:t xml:space="preserve"> بل تثنى</w:t>
      </w:r>
      <w:r w:rsidRPr="00A52585">
        <w:rPr>
          <w:rFonts w:hint="cs"/>
          <w:sz w:val="24"/>
          <w:szCs w:val="24"/>
          <w:rtl/>
        </w:rPr>
        <w:t>:</w:t>
      </w:r>
      <w:r w:rsidR="00777DCB" w:rsidRPr="00A52585">
        <w:rPr>
          <w:rFonts w:hint="cs"/>
          <w:sz w:val="24"/>
          <w:szCs w:val="24"/>
          <w:rtl/>
        </w:rPr>
        <w:t xml:space="preserve"> ويراد بها الذات</w:t>
      </w:r>
      <w:r w:rsidR="00DB731D" w:rsidRPr="00A52585">
        <w:rPr>
          <w:rFonts w:hint="cs"/>
          <w:sz w:val="24"/>
          <w:szCs w:val="24"/>
          <w:rtl/>
        </w:rPr>
        <w:t>،</w:t>
      </w:r>
      <w:r w:rsidR="00777DCB" w:rsidRPr="00A52585">
        <w:rPr>
          <w:rFonts w:hint="cs"/>
          <w:sz w:val="24"/>
          <w:szCs w:val="24"/>
          <w:rtl/>
        </w:rPr>
        <w:t xml:space="preserve"> ومنه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تبت يدا أبي لهب</w:t>
      </w:r>
      <w:r w:rsidRPr="00A52585">
        <w:rPr>
          <w:rFonts w:hint="cs"/>
          <w:sz w:val="24"/>
          <w:szCs w:val="24"/>
          <w:rtl/>
        </w:rPr>
        <w:t>)</w:t>
      </w:r>
      <w:r w:rsidR="00777DCB" w:rsidRPr="00A52585">
        <w:rPr>
          <w:rFonts w:hint="cs"/>
          <w:sz w:val="24"/>
          <w:szCs w:val="24"/>
          <w:rtl/>
        </w:rPr>
        <w:t xml:space="preserve"> والمراد بذلك ذاته بلا شك]</w:t>
      </w:r>
      <w:r w:rsidR="00DB731D" w:rsidRPr="00A52585">
        <w:rPr>
          <w:rFonts w:hint="cs"/>
          <w:rtl/>
        </w:rPr>
        <w:t>،</w:t>
      </w:r>
      <w:r w:rsidR="00777DCB" w:rsidRPr="00A52585">
        <w:rPr>
          <w:rFonts w:hint="cs"/>
          <w:rtl/>
        </w:rPr>
        <w:t xml:space="preserve"> وقد قال </w:t>
      </w:r>
      <w:r w:rsidRPr="00A52585">
        <w:rPr>
          <w:rFonts w:hint="cs"/>
          <w:rtl/>
        </w:rPr>
        <w:t>(</w:t>
      </w:r>
      <w:r w:rsidR="00777DCB" w:rsidRPr="00A52585">
        <w:rPr>
          <w:rFonts w:hint="cs"/>
          <w:rtl/>
        </w:rPr>
        <w:t>بيدي</w:t>
      </w:r>
      <w:r w:rsidRPr="00A52585">
        <w:rPr>
          <w:rFonts w:hint="cs"/>
          <w:rtl/>
        </w:rPr>
        <w:t>)</w:t>
      </w:r>
      <w:r w:rsidR="00897A24"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بلى قالت العرب</w:t>
      </w:r>
      <w:r w:rsidRPr="00A52585">
        <w:rPr>
          <w:rFonts w:hint="cs"/>
          <w:rtl/>
        </w:rPr>
        <w:t>:</w:t>
      </w:r>
      <w:r w:rsidR="00777DCB" w:rsidRPr="00A52585">
        <w:rPr>
          <w:rFonts w:hint="cs"/>
          <w:rtl/>
        </w:rPr>
        <w:t xml:space="preserve"> ليس لي بهذا الامر يدان</w:t>
      </w:r>
      <w:r w:rsidR="00DB731D" w:rsidRPr="00A52585">
        <w:rPr>
          <w:rFonts w:hint="cs"/>
          <w:rtl/>
        </w:rPr>
        <w:t>،</w:t>
      </w:r>
      <w:r w:rsidR="00777DCB" w:rsidRPr="00A52585">
        <w:rPr>
          <w:rFonts w:hint="cs"/>
          <w:rtl/>
        </w:rPr>
        <w:t xml:space="preserve"> أي ليس لي به قدرة</w:t>
      </w:r>
      <w:r w:rsidR="00DB731D" w:rsidRPr="00A52585">
        <w:rPr>
          <w:rFonts w:hint="cs"/>
          <w:rtl/>
        </w:rPr>
        <w:t>،</w:t>
      </w:r>
      <w:r w:rsidR="00777DCB" w:rsidRPr="00A52585">
        <w:rPr>
          <w:rFonts w:hint="cs"/>
          <w:rtl/>
        </w:rPr>
        <w:t xml:space="preserve"> وقال عروة بن حزام في شعره</w:t>
      </w:r>
      <w:r w:rsidRPr="00A52585">
        <w:rPr>
          <w:rFonts w:hint="cs"/>
          <w:rtl/>
        </w:rPr>
        <w:t>:</w:t>
      </w:r>
      <w:r w:rsidR="00777DCB" w:rsidRPr="00A52585">
        <w:rPr>
          <w:rFonts w:hint="cs"/>
          <w:rtl/>
        </w:rPr>
        <w:t xml:space="preserve"> فقالا شفاك الله والله مالنا بما ضمنت منك الضلوع يدان وقولهم</w:t>
      </w:r>
      <w:r w:rsidRPr="00A52585">
        <w:rPr>
          <w:rFonts w:hint="cs"/>
          <w:rtl/>
        </w:rPr>
        <w:t>:</w:t>
      </w:r>
      <w:r w:rsidR="00777DCB" w:rsidRPr="00A52585">
        <w:rPr>
          <w:rFonts w:hint="cs"/>
          <w:rtl/>
        </w:rPr>
        <w:t xml:space="preserve"> ميزه بذلك عن الحيوان</w:t>
      </w:r>
      <w:r w:rsidR="00DB731D" w:rsidRPr="00A52585">
        <w:rPr>
          <w:rFonts w:hint="cs"/>
          <w:rtl/>
        </w:rPr>
        <w:t>،</w:t>
      </w:r>
      <w:r w:rsidR="00777DCB" w:rsidRPr="00A52585">
        <w:rPr>
          <w:rFonts w:hint="cs"/>
          <w:rtl/>
        </w:rPr>
        <w:t xml:space="preserve"> نفاه قوله عز وجل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خلقنا لهم مما عملت أيدينا أنعاما</w:t>
      </w:r>
      <w:r w:rsidRPr="00A52585">
        <w:rPr>
          <w:rFonts w:hint="cs"/>
          <w:rtl/>
        </w:rPr>
        <w:t>)</w:t>
      </w:r>
      <w:r w:rsidR="00777DCB" w:rsidRPr="00A52585">
        <w:rPr>
          <w:rFonts w:hint="cs"/>
          <w:rtl/>
        </w:rPr>
        <w:t xml:space="preserve"> يس</w:t>
      </w:r>
      <w:r w:rsidRPr="00A52585">
        <w:rPr>
          <w:rFonts w:hint="cs"/>
          <w:rtl/>
        </w:rPr>
        <w:t>:</w:t>
      </w:r>
      <w:r w:rsidR="00777DCB" w:rsidRPr="00A52585">
        <w:rPr>
          <w:rFonts w:hint="cs"/>
          <w:rtl/>
        </w:rPr>
        <w:t xml:space="preserve"> 71</w:t>
      </w:r>
      <w:r w:rsidR="00DB731D" w:rsidRPr="00A52585">
        <w:rPr>
          <w:rFonts w:hint="cs"/>
          <w:rtl/>
        </w:rPr>
        <w:t>،</w:t>
      </w:r>
      <w:r w:rsidR="00777DCB" w:rsidRPr="00A52585">
        <w:rPr>
          <w:rFonts w:hint="cs"/>
          <w:rtl/>
        </w:rPr>
        <w:t xml:space="preserve"> ولم يدل هذا على تمييز الانعام على بقية الحيوان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 إذا قلتم بأن سيدنا آدم عليه السلام مخصوص بأنه مخلوق بيد الله عز وجل بدليل قوله تعالى </w:t>
      </w:r>
      <w:proofErr w:type="spellStart"/>
      <w:r w:rsidR="00777DCB" w:rsidRPr="00A52585">
        <w:rPr>
          <w:rFonts w:hint="cs"/>
          <w:sz w:val="24"/>
          <w:szCs w:val="24"/>
          <w:rtl/>
        </w:rPr>
        <w:t>لابليس</w:t>
      </w:r>
      <w:proofErr w:type="spellEnd"/>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ما منعك أن تسجد لما خلقت بيدي</w:t>
      </w:r>
      <w:r w:rsidRPr="00A52585">
        <w:rPr>
          <w:rFonts w:hint="cs"/>
          <w:sz w:val="24"/>
          <w:szCs w:val="24"/>
          <w:rtl/>
        </w:rPr>
        <w:t>)</w:t>
      </w:r>
      <w:r w:rsidR="00777DCB" w:rsidRPr="00A52585">
        <w:rPr>
          <w:rFonts w:hint="cs"/>
          <w:sz w:val="24"/>
          <w:szCs w:val="24"/>
          <w:rtl/>
        </w:rPr>
        <w:t xml:space="preserve"> قلنا</w:t>
      </w:r>
      <w:r w:rsidRPr="00A52585">
        <w:rPr>
          <w:rFonts w:hint="cs"/>
          <w:sz w:val="24"/>
          <w:szCs w:val="24"/>
          <w:rtl/>
        </w:rPr>
        <w:t>:</w:t>
      </w:r>
      <w:r w:rsidR="00777DCB" w:rsidRPr="00A52585">
        <w:rPr>
          <w:rFonts w:hint="cs"/>
          <w:sz w:val="24"/>
          <w:szCs w:val="24"/>
          <w:rtl/>
        </w:rPr>
        <w:t xml:space="preserve"> ليس الامر كما تتوهمون</w:t>
      </w:r>
      <w:r w:rsidR="00DB731D" w:rsidRPr="00A52585">
        <w:rPr>
          <w:rFonts w:hint="cs"/>
          <w:sz w:val="24"/>
          <w:szCs w:val="24"/>
          <w:rtl/>
        </w:rPr>
        <w:t>،</w:t>
      </w:r>
      <w:r w:rsidR="00777DCB" w:rsidRPr="00A52585">
        <w:rPr>
          <w:rFonts w:hint="cs"/>
          <w:sz w:val="24"/>
          <w:szCs w:val="24"/>
          <w:rtl/>
        </w:rPr>
        <w:t xml:space="preserve"> وإنما المراد ما منعك أن تسجد لما خلقت أنا ولم يخلقه غيري وأنا ربك وربه</w:t>
      </w:r>
      <w:r w:rsidR="00DB731D" w:rsidRPr="00A52585">
        <w:rPr>
          <w:rFonts w:hint="cs"/>
          <w:sz w:val="24"/>
          <w:szCs w:val="24"/>
          <w:rtl/>
        </w:rPr>
        <w:t>،</w:t>
      </w:r>
      <w:r w:rsidR="00777DCB" w:rsidRPr="00A52585">
        <w:rPr>
          <w:rFonts w:hint="cs"/>
          <w:sz w:val="24"/>
          <w:szCs w:val="24"/>
          <w:rtl/>
        </w:rPr>
        <w:t xml:space="preserve"> بدليل أن الانعام من خيل وإبل وحمير وبقر وغيرها مخلوقة بيد الله تعالى أيضا بنص القرآن وذلك في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أولم يروا أنا خلقنا لهم مما عملت أيدينا أنعاما فهم لها مالكون</w:t>
      </w:r>
      <w:r w:rsidRPr="00A52585">
        <w:rPr>
          <w:rFonts w:hint="cs"/>
          <w:sz w:val="24"/>
          <w:szCs w:val="24"/>
          <w:rtl/>
        </w:rPr>
        <w:t>)</w:t>
      </w:r>
      <w:r w:rsidR="00777DCB" w:rsidRPr="00A52585">
        <w:rPr>
          <w:rFonts w:hint="cs"/>
          <w:sz w:val="24"/>
          <w:szCs w:val="24"/>
          <w:rtl/>
        </w:rPr>
        <w:t xml:space="preserve"> يس</w:t>
      </w:r>
      <w:r w:rsidRPr="00A52585">
        <w:rPr>
          <w:rFonts w:hint="cs"/>
          <w:sz w:val="24"/>
          <w:szCs w:val="24"/>
          <w:rtl/>
        </w:rPr>
        <w:t>:</w:t>
      </w:r>
      <w:r w:rsidR="00777DCB" w:rsidRPr="00A52585">
        <w:rPr>
          <w:rFonts w:hint="cs"/>
          <w:sz w:val="24"/>
          <w:szCs w:val="24"/>
          <w:rtl/>
        </w:rPr>
        <w:t xml:space="preserve"> 71</w:t>
      </w:r>
      <w:r w:rsidRPr="00A52585">
        <w:rPr>
          <w:rFonts w:hint="cs"/>
          <w:sz w:val="24"/>
          <w:rtl/>
          <w:lang w:bidi="ar-KW"/>
        </w:rPr>
        <w:t>]</w:t>
      </w:r>
      <w:r w:rsidR="00DB731D" w:rsidRPr="00A52585">
        <w:rPr>
          <w:rFonts w:hint="cs"/>
          <w:rtl/>
        </w:rPr>
        <w:t>،</w:t>
      </w:r>
      <w:r w:rsidR="00777DCB" w:rsidRPr="00A52585">
        <w:rPr>
          <w:rFonts w:hint="cs"/>
          <w:rtl/>
        </w:rPr>
        <w:t xml:space="preserve">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والسماء بنيناها بأيد وإنا لموسعون</w:t>
      </w:r>
      <w:r w:rsidRPr="00A52585">
        <w:rPr>
          <w:rFonts w:hint="cs"/>
          <w:rtl/>
        </w:rPr>
        <w:t>)</w:t>
      </w:r>
      <w:r w:rsidR="00777DCB" w:rsidRPr="00A52585">
        <w:rPr>
          <w:rFonts w:hint="cs"/>
          <w:rtl/>
        </w:rPr>
        <w:t xml:space="preserve"> الذاريات</w:t>
      </w:r>
      <w:r w:rsidRPr="00A52585">
        <w:rPr>
          <w:rFonts w:hint="cs"/>
          <w:rtl/>
        </w:rPr>
        <w:t>:</w:t>
      </w:r>
      <w:r w:rsidR="00777DCB" w:rsidRPr="00A52585">
        <w:rPr>
          <w:rFonts w:hint="cs"/>
          <w:rtl/>
        </w:rPr>
        <w:t xml:space="preserve"> 47 أي بقوة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مع أن لفظة </w:t>
      </w:r>
      <w:r w:rsidRPr="00A52585">
        <w:rPr>
          <w:rFonts w:hint="cs"/>
          <w:sz w:val="24"/>
          <w:szCs w:val="24"/>
          <w:rtl/>
        </w:rPr>
        <w:t>(</w:t>
      </w:r>
      <w:r w:rsidR="00777DCB" w:rsidRPr="00A52585">
        <w:rPr>
          <w:rFonts w:hint="cs"/>
          <w:sz w:val="24"/>
          <w:szCs w:val="24"/>
          <w:rtl/>
        </w:rPr>
        <w:t>أيد</w:t>
      </w:r>
      <w:r w:rsidRPr="00A52585">
        <w:rPr>
          <w:rFonts w:hint="cs"/>
          <w:sz w:val="24"/>
          <w:szCs w:val="24"/>
          <w:rtl/>
        </w:rPr>
        <w:t>)</w:t>
      </w:r>
      <w:r w:rsidR="00777DCB" w:rsidRPr="00A52585">
        <w:rPr>
          <w:rFonts w:hint="cs"/>
          <w:sz w:val="24"/>
          <w:szCs w:val="24"/>
          <w:rtl/>
        </w:rPr>
        <w:t xml:space="preserve"> في اللغة هي جمع يد وهي الكف المعروفة</w:t>
      </w:r>
      <w:r w:rsidR="00897A24" w:rsidRPr="00A52585">
        <w:rPr>
          <w:rFonts w:hint="cs"/>
          <w:sz w:val="24"/>
          <w:szCs w:val="24"/>
          <w:rtl/>
        </w:rPr>
        <w:t>.</w:t>
      </w:r>
      <w:r w:rsidR="00777DCB" w:rsidRPr="00A52585">
        <w:rPr>
          <w:rFonts w:hint="cs"/>
          <w:sz w:val="24"/>
          <w:szCs w:val="24"/>
          <w:rtl/>
        </w:rPr>
        <w:t xml:space="preserve"> كما تجد ذلك في مادة </w:t>
      </w:r>
      <w:r w:rsidRPr="00A52585">
        <w:rPr>
          <w:rFonts w:hint="cs"/>
          <w:sz w:val="24"/>
          <w:szCs w:val="24"/>
          <w:rtl/>
        </w:rPr>
        <w:t>(</w:t>
      </w:r>
      <w:proofErr w:type="gramStart"/>
      <w:r w:rsidR="00777DCB" w:rsidRPr="00A52585">
        <w:rPr>
          <w:rFonts w:hint="cs"/>
          <w:sz w:val="24"/>
          <w:szCs w:val="24"/>
          <w:rtl/>
        </w:rPr>
        <w:t>يدى</w:t>
      </w:r>
      <w:proofErr w:type="gramEnd"/>
      <w:r w:rsidRPr="00A52585">
        <w:rPr>
          <w:rFonts w:hint="cs"/>
          <w:sz w:val="24"/>
          <w:szCs w:val="24"/>
          <w:rtl/>
        </w:rPr>
        <w:t>)</w:t>
      </w:r>
      <w:r w:rsidR="00777DCB" w:rsidRPr="00A52585">
        <w:rPr>
          <w:rFonts w:hint="cs"/>
          <w:sz w:val="24"/>
          <w:szCs w:val="24"/>
          <w:rtl/>
        </w:rPr>
        <w:t xml:space="preserve"> من القاموس ثم أطلقت مجازا على القوة لان اليد آلة للقوة في العادة كما تجد ذلك المعنى المجازي في مادة </w:t>
      </w:r>
      <w:r w:rsidRPr="00A52585">
        <w:rPr>
          <w:rFonts w:hint="cs"/>
          <w:sz w:val="24"/>
          <w:szCs w:val="24"/>
          <w:rtl/>
        </w:rPr>
        <w:t>(</w:t>
      </w:r>
      <w:r w:rsidR="00777DCB" w:rsidRPr="00A52585">
        <w:rPr>
          <w:rFonts w:hint="cs"/>
          <w:sz w:val="24"/>
          <w:szCs w:val="24"/>
          <w:rtl/>
        </w:rPr>
        <w:t>أيد</w:t>
      </w:r>
      <w:r w:rsidRPr="00A52585">
        <w:rPr>
          <w:rFonts w:hint="cs"/>
          <w:sz w:val="24"/>
          <w:szCs w:val="24"/>
          <w:rtl/>
        </w:rPr>
        <w:t>)</w:t>
      </w:r>
      <w:r w:rsidR="00777DCB" w:rsidRPr="00A52585">
        <w:rPr>
          <w:rFonts w:hint="cs"/>
          <w:sz w:val="24"/>
          <w:szCs w:val="24"/>
          <w:rtl/>
        </w:rPr>
        <w:t xml:space="preserve"> من القاموس وأصلها في مادة </w:t>
      </w:r>
      <w:r w:rsidRPr="00A52585">
        <w:rPr>
          <w:rFonts w:hint="cs"/>
          <w:sz w:val="24"/>
          <w:szCs w:val="24"/>
          <w:rtl/>
        </w:rPr>
        <w:t>(</w:t>
      </w:r>
      <w:r w:rsidR="00777DCB" w:rsidRPr="00A52585">
        <w:rPr>
          <w:rFonts w:hint="cs"/>
          <w:sz w:val="24"/>
          <w:szCs w:val="24"/>
          <w:rtl/>
        </w:rPr>
        <w:t>يدى</w:t>
      </w:r>
      <w:r w:rsidRPr="00A52585">
        <w:rPr>
          <w:rFonts w:hint="cs"/>
          <w:sz w:val="24"/>
          <w:szCs w:val="24"/>
          <w:rtl/>
        </w:rPr>
        <w:t>)</w:t>
      </w:r>
      <w:r w:rsidR="00777DCB" w:rsidRPr="00A52585">
        <w:rPr>
          <w:rFonts w:hint="cs"/>
          <w:sz w:val="24"/>
          <w:szCs w:val="24"/>
          <w:rtl/>
        </w:rPr>
        <w:t xml:space="preserve"> فتدبر</w:t>
      </w:r>
      <w:r w:rsidR="00DB731D" w:rsidRPr="00A52585">
        <w:rPr>
          <w:rFonts w:hint="cs"/>
          <w:sz w:val="24"/>
          <w:szCs w:val="24"/>
          <w:rtl/>
        </w:rPr>
        <w:t>،</w:t>
      </w:r>
      <w:r w:rsidR="00777DCB" w:rsidRPr="00A52585">
        <w:rPr>
          <w:rFonts w:hint="cs"/>
          <w:sz w:val="24"/>
          <w:szCs w:val="24"/>
          <w:rtl/>
        </w:rPr>
        <w:t xml:space="preserve"> وقال بعض المبتدعة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أيد</w:t>
      </w:r>
      <w:r w:rsidRPr="00A52585">
        <w:rPr>
          <w:rFonts w:hint="cs"/>
          <w:sz w:val="24"/>
          <w:szCs w:val="24"/>
          <w:rtl/>
        </w:rPr>
        <w:t>)</w:t>
      </w:r>
      <w:r w:rsidR="00777DCB" w:rsidRPr="00A52585">
        <w:rPr>
          <w:rFonts w:hint="cs"/>
          <w:sz w:val="24"/>
          <w:szCs w:val="24"/>
          <w:rtl/>
        </w:rPr>
        <w:t xml:space="preserve"> لا تعرف في اللغة إلا بمعنى القوة وهذا غلط محض وخطأ فاحش يظهر عند مطالعة مادة </w:t>
      </w:r>
      <w:r w:rsidRPr="00A52585">
        <w:rPr>
          <w:rFonts w:hint="cs"/>
          <w:sz w:val="24"/>
          <w:szCs w:val="24"/>
          <w:rtl/>
        </w:rPr>
        <w:t>(</w:t>
      </w:r>
      <w:r w:rsidR="00777DCB" w:rsidRPr="00A52585">
        <w:rPr>
          <w:rFonts w:hint="cs"/>
          <w:sz w:val="24"/>
          <w:szCs w:val="24"/>
          <w:rtl/>
        </w:rPr>
        <w:t>يدى</w:t>
      </w:r>
      <w:r w:rsidRPr="00A52585">
        <w:rPr>
          <w:rFonts w:hint="cs"/>
          <w:sz w:val="24"/>
          <w:szCs w:val="24"/>
          <w:rtl/>
        </w:rPr>
        <w:t>)</w:t>
      </w:r>
      <w:r w:rsidR="00777DCB" w:rsidRPr="00A52585">
        <w:rPr>
          <w:rFonts w:hint="cs"/>
          <w:sz w:val="24"/>
          <w:szCs w:val="24"/>
          <w:rtl/>
        </w:rPr>
        <w:t xml:space="preserve"> في القاموس المحيط وغيره</w:t>
      </w:r>
      <w:r w:rsidR="00897A24" w:rsidRPr="00A52585">
        <w:rPr>
          <w:rFonts w:hint="cs"/>
          <w:sz w:val="24"/>
          <w:szCs w:val="24"/>
          <w:rtl/>
        </w:rPr>
        <w:t>.</w:t>
      </w:r>
      <w:r w:rsidR="00777DCB" w:rsidRPr="00A52585">
        <w:rPr>
          <w:rFonts w:hint="cs"/>
          <w:sz w:val="24"/>
          <w:szCs w:val="24"/>
          <w:rtl/>
        </w:rPr>
        <w:t xml:space="preserve"> ومنه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أم لهم أيد يبطشون بها</w:t>
      </w:r>
      <w:r w:rsidRPr="00A52585">
        <w:rPr>
          <w:rFonts w:hint="cs"/>
          <w:sz w:val="24"/>
          <w:szCs w:val="24"/>
          <w:rtl/>
        </w:rPr>
        <w:t>)]</w:t>
      </w:r>
      <w:r w:rsidR="00DB731D" w:rsidRPr="00A52585">
        <w:rPr>
          <w:rFonts w:hint="cs"/>
          <w:rtl/>
        </w:rPr>
        <w:t>،</w:t>
      </w:r>
      <w:r w:rsidR="00777DCB" w:rsidRPr="00A52585">
        <w:rPr>
          <w:rFonts w:hint="cs"/>
          <w:rtl/>
        </w:rPr>
        <w:t xml:space="preserve"> ثم قد أخبر أنه نفخ فيه من روحه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معنى من روحه</w:t>
      </w:r>
      <w:r w:rsidRPr="00A52585">
        <w:rPr>
          <w:rFonts w:hint="cs"/>
          <w:sz w:val="24"/>
          <w:szCs w:val="24"/>
          <w:rtl/>
        </w:rPr>
        <w:t>:</w:t>
      </w:r>
      <w:r w:rsidR="00777DCB" w:rsidRPr="00A52585">
        <w:rPr>
          <w:rFonts w:hint="cs"/>
          <w:sz w:val="24"/>
          <w:szCs w:val="24"/>
          <w:rtl/>
        </w:rPr>
        <w:t xml:space="preserve"> أي الروح التي خلقها وأضافها إلى نفسه ليشرفها كما أضاف الكعبة إليه ليشرفها</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أن طهرا بيتي للطائفين</w:t>
      </w:r>
      <w:r w:rsidRPr="00A52585">
        <w:rPr>
          <w:rFonts w:hint="cs"/>
          <w:sz w:val="24"/>
          <w:szCs w:val="24"/>
          <w:rtl/>
        </w:rPr>
        <w:t>)</w:t>
      </w:r>
      <w:r w:rsidR="00777DCB" w:rsidRPr="00A52585">
        <w:rPr>
          <w:rFonts w:hint="cs"/>
          <w:sz w:val="24"/>
          <w:szCs w:val="24"/>
          <w:rtl/>
        </w:rPr>
        <w:t xml:space="preserve"> وكل الناس يعرفون أنه لا يسكنه وأنه تعالى عن ذلك فقولنا</w:t>
      </w:r>
      <w:r w:rsidRPr="00A52585">
        <w:rPr>
          <w:rFonts w:hint="cs"/>
          <w:sz w:val="24"/>
          <w:szCs w:val="24"/>
          <w:rtl/>
        </w:rPr>
        <w:t>:</w:t>
      </w:r>
      <w:r w:rsidR="00777DCB" w:rsidRPr="00A52585">
        <w:rPr>
          <w:rFonts w:hint="cs"/>
          <w:sz w:val="24"/>
          <w:szCs w:val="24"/>
          <w:rtl/>
        </w:rPr>
        <w:t xml:space="preserve"> بيت فلان يخالف تماما قولنا</w:t>
      </w:r>
      <w:r w:rsidRPr="00A52585">
        <w:rPr>
          <w:rFonts w:hint="cs"/>
          <w:sz w:val="24"/>
          <w:szCs w:val="24"/>
          <w:rtl/>
        </w:rPr>
        <w:t>:</w:t>
      </w:r>
      <w:r w:rsidR="00777DCB" w:rsidRPr="00A52585">
        <w:rPr>
          <w:rFonts w:hint="cs"/>
          <w:sz w:val="24"/>
          <w:szCs w:val="24"/>
          <w:rtl/>
        </w:rPr>
        <w:t xml:space="preserve"> بيت الله وهكذا فتأمل</w:t>
      </w:r>
      <w:r w:rsidRPr="00A52585">
        <w:rPr>
          <w:rFonts w:hint="cs"/>
          <w:sz w:val="24"/>
          <w:szCs w:val="24"/>
          <w:rtl/>
        </w:rPr>
        <w:t>]</w:t>
      </w:r>
      <w:r w:rsidR="00DB731D" w:rsidRPr="00A52585">
        <w:rPr>
          <w:rFonts w:hint="cs"/>
          <w:sz w:val="24"/>
          <w:szCs w:val="24"/>
          <w:rtl/>
        </w:rPr>
        <w:t>،</w:t>
      </w:r>
      <w:r w:rsidR="00777DCB" w:rsidRPr="00A52585">
        <w:rPr>
          <w:rFonts w:hint="cs"/>
          <w:rtl/>
        </w:rPr>
        <w:t xml:space="preserve"> ولم يرد إلا الوضع بالفعل والتكوين</w:t>
      </w:r>
      <w:r w:rsidR="00DB731D" w:rsidRPr="00A52585">
        <w:rPr>
          <w:rFonts w:hint="cs"/>
          <w:rtl/>
        </w:rPr>
        <w:t>،</w:t>
      </w:r>
      <w:r w:rsidR="00777DCB" w:rsidRPr="00A52585">
        <w:rPr>
          <w:rFonts w:hint="cs"/>
          <w:rtl/>
        </w:rPr>
        <w:t xml:space="preserve"> والمعنى</w:t>
      </w:r>
      <w:r w:rsidRPr="00A52585">
        <w:rPr>
          <w:rFonts w:hint="cs"/>
          <w:rtl/>
        </w:rPr>
        <w:t>:</w:t>
      </w:r>
      <w:r w:rsidR="00777DCB" w:rsidRPr="00A52585">
        <w:rPr>
          <w:rFonts w:hint="cs"/>
          <w:rtl/>
        </w:rPr>
        <w:t xml:space="preserve"> نفخت أنا</w:t>
      </w:r>
      <w:r w:rsidR="00DB731D" w:rsidRPr="00A52585">
        <w:rPr>
          <w:rFonts w:hint="cs"/>
          <w:rtl/>
        </w:rPr>
        <w:t>،</w:t>
      </w:r>
      <w:r w:rsidR="00777DCB" w:rsidRPr="00A52585">
        <w:rPr>
          <w:rFonts w:hint="cs"/>
          <w:rtl/>
        </w:rPr>
        <w:t xml:space="preserve"> ويكفي شرف الاضافة</w:t>
      </w:r>
      <w:r w:rsidR="00DB731D" w:rsidRPr="00A52585">
        <w:rPr>
          <w:rFonts w:hint="cs"/>
          <w:rtl/>
        </w:rPr>
        <w:t>،</w:t>
      </w:r>
      <w:r w:rsidR="00777DCB" w:rsidRPr="00A52585">
        <w:rPr>
          <w:rFonts w:hint="cs"/>
          <w:rtl/>
        </w:rPr>
        <w:t xml:space="preserve"> إذ لا يليق بالخالق جل جلاله سوى ذلك لأنّه لا يحتاج أن يفعل بواسطة</w:t>
      </w:r>
      <w:r w:rsidR="00DB731D" w:rsidRPr="00A52585">
        <w:rPr>
          <w:rFonts w:hint="cs"/>
          <w:rtl/>
        </w:rPr>
        <w:t>،</w:t>
      </w:r>
      <w:r w:rsidR="00777DCB" w:rsidRPr="00A52585">
        <w:rPr>
          <w:rFonts w:hint="cs"/>
          <w:rtl/>
        </w:rPr>
        <w:t xml:space="preserve"> فلا له أعضاء وجوارح يفعل بها</w:t>
      </w:r>
      <w:r w:rsidR="00DB731D" w:rsidRPr="00A52585">
        <w:rPr>
          <w:rFonts w:hint="cs"/>
          <w:rtl/>
        </w:rPr>
        <w:t>،</w:t>
      </w:r>
      <w:r w:rsidR="00777DCB" w:rsidRPr="00A52585">
        <w:rPr>
          <w:rFonts w:hint="cs"/>
          <w:rtl/>
        </w:rPr>
        <w:t xml:space="preserve"> لأنّه الغني بذاته</w:t>
      </w:r>
      <w:r w:rsidR="00DB731D" w:rsidRPr="00A52585">
        <w:rPr>
          <w:rFonts w:hint="cs"/>
          <w:rtl/>
        </w:rPr>
        <w:t>،</w:t>
      </w:r>
      <w:r w:rsidR="00777DCB" w:rsidRPr="00A52585">
        <w:rPr>
          <w:rFonts w:hint="cs"/>
          <w:rtl/>
        </w:rPr>
        <w:t xml:space="preserve"> فلا ينبغي أن يتشاغل بطلب تعظيم آدم مع الغفلة عما يستحقه الباري سبحانه من التعظيم </w:t>
      </w:r>
      <w:r w:rsidRPr="00A52585">
        <w:rPr>
          <w:rFonts w:hint="cs"/>
          <w:rtl/>
        </w:rPr>
        <w:t>(</w:t>
      </w:r>
      <w:r w:rsidR="00777DCB" w:rsidRPr="00A52585">
        <w:rPr>
          <w:rFonts w:hint="cs"/>
          <w:rtl/>
        </w:rPr>
        <w:t>والتنزيه</w:t>
      </w:r>
      <w:r w:rsidRPr="00A52585">
        <w:rPr>
          <w:rFonts w:hint="cs"/>
          <w:rtl/>
        </w:rPr>
        <w:t>)</w:t>
      </w:r>
      <w:r w:rsidR="00777DCB" w:rsidRPr="00A52585">
        <w:rPr>
          <w:rFonts w:hint="cs"/>
          <w:rtl/>
        </w:rPr>
        <w:t xml:space="preserve"> بنفي الابعاض والآلات في الافعال</w:t>
      </w:r>
      <w:r w:rsidR="00DB731D" w:rsidRPr="00A52585">
        <w:rPr>
          <w:rFonts w:hint="cs"/>
          <w:rtl/>
        </w:rPr>
        <w:t>،</w:t>
      </w:r>
      <w:r w:rsidR="00777DCB" w:rsidRPr="00A52585">
        <w:rPr>
          <w:rFonts w:hint="cs"/>
          <w:rtl/>
        </w:rPr>
        <w:t xml:space="preserve"> لان هذه الاشياء صفة الاجسام</w:t>
      </w:r>
      <w:r w:rsidR="00DB731D" w:rsidRPr="00A52585">
        <w:rPr>
          <w:rFonts w:hint="cs"/>
          <w:rtl/>
        </w:rPr>
        <w:t>،</w:t>
      </w:r>
      <w:r w:rsidR="00777DCB" w:rsidRPr="00A52585">
        <w:rPr>
          <w:rFonts w:hint="cs"/>
          <w:rtl/>
        </w:rPr>
        <w:t xml:space="preserve"> وقد ظن بعض البله أن الله يمس</w:t>
      </w:r>
      <w:r w:rsidR="00DB731D" w:rsidRPr="00A52585">
        <w:rPr>
          <w:rFonts w:hint="cs"/>
          <w:rtl/>
        </w:rPr>
        <w:t>،</w:t>
      </w:r>
      <w:r w:rsidR="00777DCB" w:rsidRPr="00A52585">
        <w:rPr>
          <w:rFonts w:hint="cs"/>
          <w:rtl/>
        </w:rPr>
        <w:t xml:space="preserve"> حتى توهموا أنه مس طينة آدم بيد هي بعض ذاته</w:t>
      </w:r>
      <w:r w:rsidR="00DB731D" w:rsidRPr="00A52585">
        <w:rPr>
          <w:rFonts w:hint="cs"/>
          <w:rtl/>
        </w:rPr>
        <w:t>،</w:t>
      </w:r>
      <w:r w:rsidR="00777DCB" w:rsidRPr="00A52585">
        <w:rPr>
          <w:rFonts w:hint="cs"/>
          <w:rtl/>
        </w:rPr>
        <w:t xml:space="preserve"> وما فطنوا أنه من جملة مخلوقاته جسما يقابل جسما فيتحد به ويفعل فيه</w:t>
      </w:r>
      <w:r w:rsidR="00DB731D" w:rsidRPr="00A52585">
        <w:rPr>
          <w:rFonts w:hint="cs"/>
          <w:rtl/>
        </w:rPr>
        <w:t>،</w:t>
      </w:r>
      <w:r w:rsidR="00777DCB" w:rsidRPr="00A52585">
        <w:rPr>
          <w:rFonts w:hint="cs"/>
          <w:rtl/>
        </w:rPr>
        <w:t xml:space="preserve"> ومن السحر من يعقد عقدا فيتغير به الشيء حالا وصفة</w:t>
      </w:r>
      <w:r w:rsidR="00F95886" w:rsidRPr="00A52585">
        <w:rPr>
          <w:rFonts w:hint="cs"/>
          <w:rtl/>
        </w:rPr>
        <w:t>!!</w:t>
      </w:r>
      <w:r w:rsidR="00777DCB" w:rsidRPr="00A52585">
        <w:rPr>
          <w:rFonts w:hint="cs"/>
          <w:rtl/>
        </w:rPr>
        <w:t xml:space="preserve"> أفتراه سبحانه جعل أفعال الاشخاص والاجسام تتعدى إلى الاجسام البعيدة</w:t>
      </w:r>
      <w:r w:rsidR="00DB731D" w:rsidRPr="00A52585">
        <w:rPr>
          <w:rFonts w:hint="cs"/>
          <w:rtl/>
        </w:rPr>
        <w:t>،</w:t>
      </w:r>
      <w:r w:rsidR="00777DCB" w:rsidRPr="00A52585">
        <w:rPr>
          <w:rFonts w:hint="cs"/>
          <w:rtl/>
        </w:rPr>
        <w:t xml:space="preserve"> ثم يحتاج هو في أفعاله إلى معاناة الطين</w:t>
      </w:r>
      <w:r w:rsidR="00DB731D" w:rsidRPr="00A52585">
        <w:rPr>
          <w:rFonts w:hint="cs"/>
          <w:rtl/>
        </w:rPr>
        <w:t>،</w:t>
      </w:r>
      <w:r w:rsidR="00777DCB" w:rsidRPr="00A52585">
        <w:rPr>
          <w:rFonts w:hint="cs"/>
          <w:rtl/>
        </w:rPr>
        <w:t xml:space="preserve"> وقد رد قول من قال </w:t>
      </w:r>
      <w:r w:rsidR="00777DCB" w:rsidRPr="00A52585">
        <w:rPr>
          <w:rFonts w:hint="cs"/>
          <w:rtl/>
        </w:rPr>
        <w:lastRenderedPageBreak/>
        <w:t>هذا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مثل عيسى عند الله كمثل آدم خلقه من تراب ثم قال له كن فيكون</w:t>
      </w:r>
      <w:r w:rsidRPr="00A52585">
        <w:rPr>
          <w:rFonts w:hint="cs"/>
          <w:rtl/>
        </w:rPr>
        <w:t>)</w:t>
      </w:r>
      <w:r w:rsidR="00777DCB" w:rsidRPr="00A52585">
        <w:rPr>
          <w:rFonts w:hint="cs"/>
          <w:rtl/>
        </w:rPr>
        <w:t xml:space="preserve"> آل عمران</w:t>
      </w:r>
      <w:r w:rsidRPr="00A52585">
        <w:rPr>
          <w:rFonts w:hint="cs"/>
          <w:rtl/>
        </w:rPr>
        <w:t>:</w:t>
      </w:r>
      <w:r w:rsidR="00777DCB" w:rsidRPr="00A52585">
        <w:rPr>
          <w:rFonts w:hint="cs"/>
          <w:rtl/>
        </w:rPr>
        <w:t xml:space="preserve"> 59</w:t>
      </w:r>
      <w:r w:rsidR="00DB731D" w:rsidRPr="00A52585">
        <w:rPr>
          <w:rFonts w:hint="cs"/>
          <w:rtl/>
        </w:rPr>
        <w:t>،</w:t>
      </w:r>
      <w:r w:rsidR="00777DCB" w:rsidRPr="00A52585">
        <w:rPr>
          <w:rFonts w:hint="cs"/>
          <w:rtl/>
        </w:rPr>
        <w:t xml:space="preserve"> </w:t>
      </w:r>
    </w:p>
    <w:p w14:paraId="13676E45" w14:textId="7534F689" w:rsidR="00777DCB" w:rsidRPr="00A52585" w:rsidRDefault="0002035C" w:rsidP="0002035C">
      <w:pPr>
        <w:rPr>
          <w:b/>
          <w:rtl/>
        </w:rPr>
      </w:pPr>
      <w:r w:rsidRPr="00A52585">
        <w:rPr>
          <w:rFonts w:hint="cs"/>
          <w:bCs/>
          <w:u w:val="single"/>
          <w:rtl/>
        </w:rPr>
        <w:t>[</w:t>
      </w:r>
      <w:r w:rsidR="00777DCB" w:rsidRPr="00A52585">
        <w:rPr>
          <w:rFonts w:hint="cs"/>
          <w:bCs/>
          <w:u w:val="single"/>
          <w:rtl/>
        </w:rPr>
        <w:t>4</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ويحذركم الله نفسه</w:t>
      </w:r>
      <w:r w:rsidRPr="00A52585">
        <w:rPr>
          <w:rFonts w:hint="cs"/>
          <w:rtl/>
        </w:rPr>
        <w:t>)</w:t>
      </w:r>
      <w:r w:rsidR="00777DCB" w:rsidRPr="00A52585">
        <w:rPr>
          <w:rFonts w:hint="cs"/>
          <w:rtl/>
        </w:rPr>
        <w:t xml:space="preserve"> آل عمران</w:t>
      </w:r>
      <w:r w:rsidRPr="00A52585">
        <w:rPr>
          <w:rFonts w:hint="cs"/>
          <w:rtl/>
        </w:rPr>
        <w:t>:</w:t>
      </w:r>
      <w:r w:rsidR="00777DCB" w:rsidRPr="00A52585">
        <w:rPr>
          <w:rFonts w:hint="cs"/>
          <w:rtl/>
        </w:rPr>
        <w:t xml:space="preserve"> 28</w:t>
      </w:r>
      <w:r w:rsidR="00DB731D" w:rsidRPr="00A52585">
        <w:rPr>
          <w:rFonts w:hint="cs"/>
          <w:rtl/>
        </w:rPr>
        <w:t>،</w:t>
      </w:r>
      <w:r w:rsidR="00777DCB" w:rsidRPr="00A52585">
        <w:rPr>
          <w:rFonts w:hint="cs"/>
          <w:rtl/>
        </w:rPr>
        <w:t xml:space="preserve"> وقوله تعالى على لسان عيسى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تعلم ما في نفسي ولا أعلم ما في نفسك</w:t>
      </w:r>
      <w:r w:rsidRPr="00A52585">
        <w:rPr>
          <w:rFonts w:hint="cs"/>
          <w:rtl/>
        </w:rPr>
        <w:t>)</w:t>
      </w:r>
      <w:r w:rsidR="00777DCB" w:rsidRPr="00A52585">
        <w:rPr>
          <w:rFonts w:hint="cs"/>
          <w:rtl/>
        </w:rPr>
        <w:t xml:space="preserve"> المائدة</w:t>
      </w:r>
      <w:r w:rsidRPr="00A52585">
        <w:rPr>
          <w:rFonts w:hint="cs"/>
          <w:rtl/>
        </w:rPr>
        <w:t>:</w:t>
      </w:r>
      <w:r w:rsidR="00777DCB" w:rsidRPr="00A52585">
        <w:rPr>
          <w:rFonts w:hint="cs"/>
          <w:rtl/>
        </w:rPr>
        <w:t xml:space="preserve"> 116</w:t>
      </w:r>
      <w:r w:rsidR="00DB731D" w:rsidRPr="00A52585">
        <w:rPr>
          <w:rFonts w:hint="cs"/>
          <w:rtl/>
        </w:rPr>
        <w:t>،</w:t>
      </w:r>
      <w:r w:rsidR="00777DCB" w:rsidRPr="00A52585">
        <w:rPr>
          <w:rFonts w:hint="cs"/>
          <w:rtl/>
        </w:rPr>
        <w:t xml:space="preserve"> قال المفسرون</w:t>
      </w:r>
      <w:r w:rsidRPr="00A52585">
        <w:rPr>
          <w:rFonts w:hint="cs"/>
          <w:rtl/>
        </w:rPr>
        <w:t>:</w:t>
      </w:r>
      <w:r w:rsidR="00777DCB" w:rsidRPr="00A52585">
        <w:rPr>
          <w:rFonts w:hint="cs"/>
          <w:rtl/>
        </w:rPr>
        <w:t xml:space="preserve"> ويحذركم الله إياه</w:t>
      </w:r>
      <w:r w:rsidR="00897A24"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 تعلم ما عندي ولا أعلم ما عندك "</w:t>
      </w:r>
      <w:r w:rsidR="00DB731D" w:rsidRPr="00A52585">
        <w:rPr>
          <w:rFonts w:hint="cs"/>
          <w:rtl/>
        </w:rPr>
        <w:t>،</w:t>
      </w:r>
      <w:r w:rsidR="00777DCB" w:rsidRPr="00A52585">
        <w:rPr>
          <w:rFonts w:hint="cs"/>
          <w:rtl/>
        </w:rPr>
        <w:t xml:space="preserve"> قال المحققون</w:t>
      </w:r>
      <w:r w:rsidRPr="00A52585">
        <w:rPr>
          <w:rFonts w:hint="cs"/>
          <w:rtl/>
        </w:rPr>
        <w:t>:</w:t>
      </w:r>
      <w:r w:rsidR="00777DCB" w:rsidRPr="00A52585">
        <w:rPr>
          <w:rFonts w:hint="cs"/>
          <w:rtl/>
        </w:rPr>
        <w:t xml:space="preserve"> المراد بالنفس هاهنا الذات</w:t>
      </w:r>
      <w:r w:rsidR="00DB731D" w:rsidRPr="00A52585">
        <w:rPr>
          <w:rFonts w:hint="cs"/>
          <w:rtl/>
        </w:rPr>
        <w:t>،</w:t>
      </w:r>
      <w:r w:rsidR="00777DCB" w:rsidRPr="00A52585">
        <w:rPr>
          <w:rFonts w:hint="cs"/>
          <w:rtl/>
        </w:rPr>
        <w:t xml:space="preserve"> ونفس الشيء ذاته</w:t>
      </w:r>
      <w:r w:rsidR="00DB731D" w:rsidRPr="00A52585">
        <w:rPr>
          <w:rFonts w:hint="cs"/>
          <w:rtl/>
        </w:rPr>
        <w:t>،</w:t>
      </w:r>
      <w:r w:rsidR="00777DCB" w:rsidRPr="00A52585">
        <w:rPr>
          <w:rFonts w:hint="cs"/>
          <w:rtl/>
        </w:rPr>
        <w:t xml:space="preserve"> وقد ذهب القاضي أبو يعلى</w:t>
      </w:r>
      <w:r w:rsidRPr="00A52585">
        <w:rPr>
          <w:rFonts w:hint="cs"/>
          <w:rtl/>
        </w:rPr>
        <w:t xml:space="preserve"> </w:t>
      </w:r>
      <w:r w:rsidR="00777DCB" w:rsidRPr="00A52585">
        <w:rPr>
          <w:rFonts w:hint="cs"/>
          <w:rtl/>
        </w:rPr>
        <w:t>إلى أن لله نفسا</w:t>
      </w:r>
      <w:r w:rsidR="00DB731D" w:rsidRPr="00A52585">
        <w:rPr>
          <w:rFonts w:hint="cs"/>
          <w:rtl/>
        </w:rPr>
        <w:t>،</w:t>
      </w:r>
      <w:r w:rsidR="00777DCB" w:rsidRPr="00A52585">
        <w:rPr>
          <w:rFonts w:hint="cs"/>
          <w:rtl/>
        </w:rPr>
        <w:t xml:space="preserve"> وهي صفة زائدة على ذاته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وقوله هذا لا يستند إلا إلى التشبيه</w:t>
      </w:r>
      <w:r w:rsidR="00DB731D" w:rsidRPr="00A52585">
        <w:rPr>
          <w:rFonts w:hint="cs"/>
          <w:rtl/>
        </w:rPr>
        <w:t>،</w:t>
      </w:r>
      <w:r w:rsidR="00777DCB" w:rsidRPr="00A52585">
        <w:rPr>
          <w:rFonts w:hint="cs"/>
          <w:rtl/>
        </w:rPr>
        <w:t xml:space="preserve"> لأنّه يوجب أن الذات شيء والنفس غيرها</w:t>
      </w:r>
      <w:r w:rsidR="00DB731D" w:rsidRPr="00A52585">
        <w:rPr>
          <w:rFonts w:hint="cs"/>
          <w:rtl/>
        </w:rPr>
        <w:t>،</w:t>
      </w:r>
      <w:r w:rsidR="00777DCB" w:rsidRPr="00A52585">
        <w:rPr>
          <w:rFonts w:hint="cs"/>
          <w:rtl/>
        </w:rPr>
        <w:t xml:space="preserve"> وحكى ابن حامد</w:t>
      </w:r>
      <w:r w:rsidRPr="00A52585">
        <w:rPr>
          <w:rFonts w:hint="cs"/>
          <w:rtl/>
        </w:rPr>
        <w:t xml:space="preserve"> </w:t>
      </w:r>
      <w:r w:rsidR="00777DCB" w:rsidRPr="00A52585">
        <w:rPr>
          <w:rFonts w:hint="cs"/>
          <w:rtl/>
        </w:rPr>
        <w:t>أعظم من هذا فقال</w:t>
      </w:r>
      <w:r w:rsidRPr="00A52585">
        <w:rPr>
          <w:rFonts w:hint="cs"/>
          <w:rtl/>
        </w:rPr>
        <w:t>:</w:t>
      </w:r>
      <w:r w:rsidR="00777DCB" w:rsidRPr="00A52585">
        <w:rPr>
          <w:rFonts w:hint="cs"/>
          <w:rtl/>
        </w:rPr>
        <w:t xml:space="preserve"> ذهبت طائفة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ونفخت فيه من روحي</w:t>
      </w:r>
      <w:r w:rsidRPr="00A52585">
        <w:rPr>
          <w:rFonts w:hint="cs"/>
          <w:rtl/>
        </w:rPr>
        <w:t>)</w:t>
      </w:r>
      <w:r w:rsidR="00777DCB" w:rsidRPr="00A52585">
        <w:rPr>
          <w:rFonts w:hint="cs"/>
          <w:rtl/>
        </w:rPr>
        <w:t xml:space="preserve"> الحجر</w:t>
      </w:r>
      <w:r w:rsidRPr="00A52585">
        <w:rPr>
          <w:rFonts w:hint="cs"/>
          <w:rtl/>
        </w:rPr>
        <w:t>:</w:t>
      </w:r>
      <w:r w:rsidR="00777DCB" w:rsidRPr="00A52585">
        <w:rPr>
          <w:rFonts w:hint="cs"/>
          <w:rtl/>
        </w:rPr>
        <w:t xml:space="preserve"> 29</w:t>
      </w:r>
      <w:r w:rsidR="00DB731D" w:rsidRPr="00A52585">
        <w:rPr>
          <w:rFonts w:hint="cs"/>
          <w:rtl/>
        </w:rPr>
        <w:t>،</w:t>
      </w:r>
      <w:r w:rsidR="00777DCB" w:rsidRPr="00A52585">
        <w:rPr>
          <w:rFonts w:hint="cs"/>
          <w:rtl/>
        </w:rPr>
        <w:t xml:space="preserve"> إلى إن تلك الروح صفة من ذاته وأنها إذا خرجت رجعت إلى الله تعالى</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أقبح من كلام النصارى فما أبقى هذا من التشبيه بقية</w:t>
      </w:r>
      <w:r w:rsidR="00DB731D" w:rsidRPr="00A52585">
        <w:rPr>
          <w:rFonts w:hint="cs"/>
          <w:rtl/>
        </w:rPr>
        <w:t>،</w:t>
      </w:r>
      <w:r w:rsidR="00777DCB" w:rsidRPr="00A52585">
        <w:rPr>
          <w:rFonts w:hint="cs"/>
          <w:rtl/>
        </w:rPr>
        <w:t xml:space="preserve"> </w:t>
      </w:r>
    </w:p>
    <w:p w14:paraId="01FE10F5" w14:textId="1910A50E" w:rsidR="00777DCB" w:rsidRPr="00A52585" w:rsidRDefault="0002035C" w:rsidP="0002035C">
      <w:pPr>
        <w:rPr>
          <w:b/>
          <w:rtl/>
        </w:rPr>
      </w:pPr>
      <w:r w:rsidRPr="00A52585">
        <w:rPr>
          <w:rFonts w:hint="cs"/>
          <w:bCs/>
          <w:u w:val="single"/>
          <w:rtl/>
        </w:rPr>
        <w:t>[</w:t>
      </w:r>
      <w:r w:rsidR="00777DCB" w:rsidRPr="00A52585">
        <w:rPr>
          <w:rFonts w:hint="cs"/>
          <w:bCs/>
          <w:u w:val="single"/>
          <w:rtl/>
        </w:rPr>
        <w:t>5</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الشورى 11</w:t>
      </w:r>
      <w:r w:rsidR="00897A24" w:rsidRPr="00A52585">
        <w:rPr>
          <w:rFonts w:hint="cs"/>
          <w:rtl/>
        </w:rPr>
        <w:t>.</w:t>
      </w:r>
      <w:r w:rsidR="00777DCB" w:rsidRPr="00A52585">
        <w:rPr>
          <w:rFonts w:hint="cs"/>
          <w:rtl/>
        </w:rPr>
        <w:t xml:space="preserve"> ظاهر الكلام أن له مثلا</w:t>
      </w:r>
      <w:r w:rsidR="00DB731D" w:rsidRPr="00A52585">
        <w:rPr>
          <w:rFonts w:hint="cs"/>
          <w:rtl/>
        </w:rPr>
        <w:t>،</w:t>
      </w:r>
      <w:r w:rsidR="00777DCB" w:rsidRPr="00A52585">
        <w:rPr>
          <w:rFonts w:hint="cs"/>
          <w:rtl/>
        </w:rPr>
        <w:t xml:space="preserve"> فليس كمثله شيء</w:t>
      </w:r>
      <w:r w:rsidR="00DB731D" w:rsidRPr="00A52585">
        <w:rPr>
          <w:rFonts w:hint="cs"/>
          <w:rtl/>
        </w:rPr>
        <w:t>،</w:t>
      </w:r>
      <w:r w:rsidR="00777DCB" w:rsidRPr="00A52585">
        <w:rPr>
          <w:rFonts w:hint="cs"/>
          <w:rtl/>
        </w:rPr>
        <w:t xml:space="preserve"> وليس كذلك</w:t>
      </w:r>
      <w:r w:rsidR="00DB731D" w:rsidRPr="00A52585">
        <w:rPr>
          <w:rFonts w:hint="cs"/>
          <w:rtl/>
        </w:rPr>
        <w:t>،</w:t>
      </w:r>
      <w:r w:rsidR="00777DCB" w:rsidRPr="00A52585">
        <w:rPr>
          <w:rFonts w:hint="cs"/>
          <w:rtl/>
        </w:rPr>
        <w:t xml:space="preserve"> وإنما معناه عند أهل اللغة</w:t>
      </w:r>
      <w:r w:rsidRPr="00A52585">
        <w:rPr>
          <w:rFonts w:hint="cs"/>
          <w:rtl/>
        </w:rPr>
        <w:t>:</w:t>
      </w:r>
      <w:r w:rsidR="00777DCB" w:rsidRPr="00A52585">
        <w:rPr>
          <w:rFonts w:hint="cs"/>
          <w:rtl/>
        </w:rPr>
        <w:t xml:space="preserve"> أن يقام المثل مقام الشيء نفسه</w:t>
      </w:r>
      <w:r w:rsidR="00DB731D" w:rsidRPr="00A52585">
        <w:rPr>
          <w:rFonts w:hint="cs"/>
          <w:rtl/>
        </w:rPr>
        <w:t>،</w:t>
      </w:r>
      <w:r w:rsidR="00777DCB" w:rsidRPr="00A52585">
        <w:rPr>
          <w:rFonts w:hint="cs"/>
          <w:rtl/>
        </w:rPr>
        <w:t xml:space="preserve"> يقول الرجل</w:t>
      </w:r>
      <w:r w:rsidRPr="00A52585">
        <w:rPr>
          <w:rFonts w:hint="cs"/>
          <w:rtl/>
        </w:rPr>
        <w:t>:</w:t>
      </w:r>
      <w:r w:rsidR="00777DCB" w:rsidRPr="00A52585">
        <w:rPr>
          <w:rFonts w:hint="cs"/>
          <w:rtl/>
        </w:rPr>
        <w:t xml:space="preserve"> مثلي لا يكلم مثلك</w:t>
      </w:r>
      <w:r w:rsidR="00DB731D" w:rsidRPr="00A52585">
        <w:rPr>
          <w:rFonts w:hint="cs"/>
          <w:rtl/>
        </w:rPr>
        <w:t>،</w:t>
      </w:r>
      <w:r w:rsidR="00777DCB" w:rsidRPr="00A52585">
        <w:rPr>
          <w:rFonts w:hint="cs"/>
          <w:rtl/>
        </w:rPr>
        <w:t xml:space="preserve"> وإنما المعنى</w:t>
      </w:r>
      <w:r w:rsidRPr="00A52585">
        <w:rPr>
          <w:rFonts w:hint="cs"/>
          <w:rtl/>
        </w:rPr>
        <w:t>:</w:t>
      </w:r>
      <w:r w:rsidR="00777DCB" w:rsidRPr="00A52585">
        <w:rPr>
          <w:rFonts w:hint="cs"/>
          <w:rtl/>
        </w:rPr>
        <w:t xml:space="preserve"> ليس </w:t>
      </w:r>
      <w:proofErr w:type="spellStart"/>
      <w:r w:rsidR="00777DCB" w:rsidRPr="00A52585">
        <w:rPr>
          <w:rFonts w:hint="cs"/>
          <w:rtl/>
        </w:rPr>
        <w:t>كهو</w:t>
      </w:r>
      <w:proofErr w:type="spellEnd"/>
      <w:r w:rsidR="00777DCB" w:rsidRPr="00A52585">
        <w:rPr>
          <w:rFonts w:hint="cs"/>
          <w:rtl/>
        </w:rPr>
        <w:t xml:space="preserve"> شيء</w:t>
      </w:r>
      <w:r w:rsidR="00DB731D" w:rsidRPr="00A52585">
        <w:rPr>
          <w:rFonts w:hint="cs"/>
          <w:rtl/>
        </w:rPr>
        <w:t>،</w:t>
      </w:r>
      <w:r w:rsidR="00777DCB" w:rsidRPr="00A52585">
        <w:rPr>
          <w:rFonts w:hint="cs"/>
          <w:rtl/>
        </w:rPr>
        <w:t xml:space="preserve"> </w:t>
      </w:r>
    </w:p>
    <w:p w14:paraId="0ADD29D9" w14:textId="14DCFE91" w:rsidR="00777DCB" w:rsidRPr="00A52585" w:rsidRDefault="0002035C" w:rsidP="0002035C">
      <w:pPr>
        <w:rPr>
          <w:b/>
          <w:rtl/>
        </w:rPr>
      </w:pPr>
      <w:r w:rsidRPr="00A52585">
        <w:rPr>
          <w:rFonts w:hint="cs"/>
          <w:bCs/>
          <w:u w:val="single"/>
          <w:rtl/>
        </w:rPr>
        <w:t>[</w:t>
      </w:r>
      <w:r w:rsidR="00777DCB" w:rsidRPr="00A52585">
        <w:rPr>
          <w:rFonts w:hint="cs"/>
          <w:bCs/>
          <w:u w:val="single"/>
          <w:rtl/>
        </w:rPr>
        <w:t>6</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w:t>
      </w:r>
      <w:r w:rsidRPr="00A52585">
        <w:rPr>
          <w:rFonts w:hint="cs"/>
          <w:rtl/>
        </w:rPr>
        <w:t>)</w:t>
      </w:r>
      <w:r w:rsidR="00777DCB" w:rsidRPr="00A52585">
        <w:rPr>
          <w:rFonts w:hint="cs"/>
          <w:rtl/>
        </w:rPr>
        <w:t xml:space="preserve"> القلم</w:t>
      </w:r>
      <w:r w:rsidRPr="00A52585">
        <w:rPr>
          <w:rFonts w:hint="cs"/>
          <w:rtl/>
        </w:rPr>
        <w:t>:</w:t>
      </w:r>
      <w:r w:rsidR="00777DCB" w:rsidRPr="00A52585">
        <w:rPr>
          <w:rFonts w:hint="cs"/>
          <w:rtl/>
        </w:rPr>
        <w:t xml:space="preserve"> 42</w:t>
      </w:r>
      <w:r w:rsidR="00DB731D" w:rsidRPr="00A52585">
        <w:rPr>
          <w:rFonts w:hint="cs"/>
          <w:rtl/>
        </w:rPr>
        <w:t>،</w:t>
      </w:r>
      <w:r w:rsidR="00777DCB" w:rsidRPr="00A52585">
        <w:rPr>
          <w:rFonts w:hint="cs"/>
          <w:rtl/>
        </w:rPr>
        <w:t xml:space="preserve"> قال ابن عباس ومجاهد وإبراهيم لنخعي وقتادة وجمهور العلماء</w:t>
      </w:r>
      <w:r w:rsidRPr="00A52585">
        <w:rPr>
          <w:rFonts w:hint="cs"/>
          <w:rtl/>
        </w:rPr>
        <w:t>:</w:t>
      </w:r>
      <w:r w:rsidR="00777DCB" w:rsidRPr="00A52585">
        <w:rPr>
          <w:rFonts w:hint="cs"/>
          <w:rtl/>
        </w:rPr>
        <w:t xml:space="preserve"> يكشف عن شدة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ثبت ذلك عن ابن عباس بثلاثة أسانيد صحيحة</w:t>
      </w:r>
      <w:r w:rsidR="00897A24" w:rsidRPr="00A52585">
        <w:rPr>
          <w:rFonts w:hint="cs"/>
          <w:sz w:val="24"/>
          <w:szCs w:val="24"/>
          <w:rtl/>
        </w:rPr>
        <w:t>.</w:t>
      </w:r>
      <w:r w:rsidR="00777DCB" w:rsidRPr="00A52585">
        <w:rPr>
          <w:rFonts w:hint="cs"/>
          <w:sz w:val="24"/>
          <w:szCs w:val="24"/>
          <w:rtl/>
        </w:rPr>
        <w:t xml:space="preserve"> انظر فتح الباري </w:t>
      </w:r>
      <w:r w:rsidRPr="00A52585">
        <w:rPr>
          <w:rFonts w:hint="cs"/>
          <w:sz w:val="24"/>
          <w:szCs w:val="24"/>
          <w:rtl/>
        </w:rPr>
        <w:t>(</w:t>
      </w:r>
      <w:r w:rsidR="00777DCB" w:rsidRPr="00A52585">
        <w:rPr>
          <w:rFonts w:hint="cs"/>
          <w:sz w:val="24"/>
          <w:szCs w:val="24"/>
          <w:rtl/>
        </w:rPr>
        <w:t>13 / 428</w:t>
      </w:r>
      <w:r w:rsidRPr="00A52585">
        <w:rPr>
          <w:rFonts w:hint="cs"/>
          <w:sz w:val="24"/>
          <w:szCs w:val="24"/>
          <w:rtl/>
        </w:rPr>
        <w:t>)</w:t>
      </w:r>
      <w:r w:rsidR="00777DCB" w:rsidRPr="00A52585">
        <w:rPr>
          <w:rFonts w:hint="cs"/>
          <w:sz w:val="24"/>
          <w:szCs w:val="24"/>
          <w:rtl/>
        </w:rPr>
        <w:t xml:space="preserve"> والاسماء والصفات </w:t>
      </w:r>
      <w:proofErr w:type="spellStart"/>
      <w:r w:rsidR="00777DCB" w:rsidRPr="00A52585">
        <w:rPr>
          <w:rFonts w:hint="cs"/>
          <w:sz w:val="24"/>
          <w:szCs w:val="24"/>
          <w:rtl/>
        </w:rPr>
        <w:t>للامام</w:t>
      </w:r>
      <w:proofErr w:type="spellEnd"/>
      <w:r w:rsidR="00777DCB" w:rsidRPr="00A52585">
        <w:rPr>
          <w:rFonts w:hint="cs"/>
          <w:sz w:val="24"/>
          <w:szCs w:val="24"/>
          <w:rtl/>
        </w:rPr>
        <w:t xml:space="preserve"> البيهقي </w:t>
      </w:r>
      <w:r w:rsidRPr="00A52585">
        <w:rPr>
          <w:rFonts w:hint="cs"/>
          <w:sz w:val="24"/>
          <w:szCs w:val="24"/>
          <w:rtl/>
        </w:rPr>
        <w:t>(</w:t>
      </w:r>
      <w:r w:rsidR="00777DCB" w:rsidRPr="00A52585">
        <w:rPr>
          <w:rFonts w:hint="cs"/>
          <w:sz w:val="24"/>
          <w:szCs w:val="24"/>
          <w:rtl/>
        </w:rPr>
        <w:t>ص 437</w:t>
      </w:r>
      <w:r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فهكذا أول هذه الآية الصحابة والسلف</w:t>
      </w:r>
      <w:r w:rsidR="00DB731D" w:rsidRPr="00A52585">
        <w:rPr>
          <w:rFonts w:hint="cs"/>
          <w:sz w:val="24"/>
          <w:szCs w:val="24"/>
          <w:rtl/>
        </w:rPr>
        <w:t>،</w:t>
      </w:r>
      <w:r w:rsidR="00777DCB" w:rsidRPr="00A52585">
        <w:rPr>
          <w:rFonts w:hint="cs"/>
          <w:sz w:val="24"/>
          <w:szCs w:val="24"/>
          <w:rtl/>
        </w:rPr>
        <w:t xml:space="preserve"> وأما الحديث الذي وردت فيه لفظة </w:t>
      </w:r>
      <w:r w:rsidRPr="00A52585">
        <w:rPr>
          <w:rFonts w:hint="cs"/>
          <w:sz w:val="24"/>
          <w:szCs w:val="24"/>
          <w:rtl/>
        </w:rPr>
        <w:t>(</w:t>
      </w:r>
      <w:r w:rsidR="00777DCB" w:rsidRPr="00A52585">
        <w:rPr>
          <w:rFonts w:hint="cs"/>
          <w:sz w:val="24"/>
          <w:szCs w:val="24"/>
          <w:rtl/>
        </w:rPr>
        <w:t>ساقه</w:t>
      </w:r>
      <w:r w:rsidRPr="00A52585">
        <w:rPr>
          <w:rFonts w:hint="cs"/>
          <w:sz w:val="24"/>
          <w:szCs w:val="24"/>
          <w:rtl/>
        </w:rPr>
        <w:t>)</w:t>
      </w:r>
      <w:r w:rsidR="00777DCB" w:rsidRPr="00A52585">
        <w:rPr>
          <w:rFonts w:hint="cs"/>
          <w:sz w:val="24"/>
          <w:szCs w:val="24"/>
          <w:rtl/>
        </w:rPr>
        <w:t xml:space="preserve"> فقد قال الحفاظ في شرحه أن لفظة </w:t>
      </w:r>
      <w:r w:rsidRPr="00A52585">
        <w:rPr>
          <w:rFonts w:hint="cs"/>
          <w:sz w:val="24"/>
          <w:szCs w:val="24"/>
          <w:rtl/>
        </w:rPr>
        <w:t>(</w:t>
      </w:r>
      <w:r w:rsidR="00777DCB" w:rsidRPr="00A52585">
        <w:rPr>
          <w:rFonts w:hint="cs"/>
          <w:sz w:val="24"/>
          <w:szCs w:val="24"/>
          <w:rtl/>
        </w:rPr>
        <w:t>ساقه</w:t>
      </w:r>
      <w:r w:rsidRPr="00A52585">
        <w:rPr>
          <w:rFonts w:hint="cs"/>
          <w:sz w:val="24"/>
          <w:szCs w:val="24"/>
          <w:rtl/>
        </w:rPr>
        <w:t>)</w:t>
      </w:r>
      <w:r w:rsidR="00777DCB" w:rsidRPr="00A52585">
        <w:rPr>
          <w:rFonts w:hint="cs"/>
          <w:sz w:val="24"/>
          <w:szCs w:val="24"/>
          <w:rtl/>
        </w:rPr>
        <w:t xml:space="preserve"> غير محفوظة والمحفوظ لفظة </w:t>
      </w:r>
      <w:r w:rsidRPr="00A52585">
        <w:rPr>
          <w:rFonts w:hint="cs"/>
          <w:sz w:val="24"/>
          <w:szCs w:val="24"/>
          <w:rtl/>
        </w:rPr>
        <w:t>(</w:t>
      </w:r>
      <w:r w:rsidR="00777DCB" w:rsidRPr="00A52585">
        <w:rPr>
          <w:rFonts w:hint="cs"/>
          <w:sz w:val="24"/>
          <w:szCs w:val="24"/>
          <w:rtl/>
        </w:rPr>
        <w:t>ساق</w:t>
      </w:r>
      <w:r w:rsidRPr="00A52585">
        <w:rPr>
          <w:rFonts w:hint="cs"/>
          <w:sz w:val="24"/>
          <w:szCs w:val="24"/>
          <w:rtl/>
        </w:rPr>
        <w:t>)</w:t>
      </w:r>
      <w:r w:rsidR="00777DCB" w:rsidRPr="00A52585">
        <w:rPr>
          <w:rFonts w:hint="cs"/>
          <w:sz w:val="24"/>
          <w:szCs w:val="24"/>
          <w:rtl/>
        </w:rPr>
        <w:t xml:space="preserve"> الموافقة للآية القرآنية</w:t>
      </w:r>
      <w:r w:rsidR="00DB731D" w:rsidRPr="00A52585">
        <w:rPr>
          <w:rFonts w:hint="cs"/>
          <w:sz w:val="24"/>
          <w:szCs w:val="24"/>
          <w:rtl/>
        </w:rPr>
        <w:t>،</w:t>
      </w:r>
      <w:r w:rsidR="00777DCB" w:rsidRPr="00A52585">
        <w:rPr>
          <w:rFonts w:hint="cs"/>
          <w:sz w:val="24"/>
          <w:szCs w:val="24"/>
          <w:rtl/>
        </w:rPr>
        <w:t xml:space="preserve"> وأما لفظة </w:t>
      </w:r>
      <w:r w:rsidRPr="00A52585">
        <w:rPr>
          <w:rFonts w:hint="cs"/>
          <w:sz w:val="24"/>
          <w:szCs w:val="24"/>
          <w:rtl/>
        </w:rPr>
        <w:t>(</w:t>
      </w:r>
      <w:r w:rsidR="00777DCB" w:rsidRPr="00A52585">
        <w:rPr>
          <w:rFonts w:hint="cs"/>
          <w:sz w:val="24"/>
          <w:szCs w:val="24"/>
          <w:rtl/>
        </w:rPr>
        <w:t>ساقه</w:t>
      </w:r>
      <w:r w:rsidRPr="00A52585">
        <w:rPr>
          <w:rFonts w:hint="cs"/>
          <w:sz w:val="24"/>
          <w:szCs w:val="24"/>
          <w:rtl/>
        </w:rPr>
        <w:t>)</w:t>
      </w:r>
      <w:r w:rsidR="00777DCB" w:rsidRPr="00A52585">
        <w:rPr>
          <w:rFonts w:hint="cs"/>
          <w:sz w:val="24"/>
          <w:szCs w:val="24"/>
          <w:rtl/>
        </w:rPr>
        <w:t xml:space="preserve"> فتسوق إلى التجسيم هذا معنى كلام الحافظ في الفتح </w:t>
      </w:r>
      <w:r w:rsidRPr="00A52585">
        <w:rPr>
          <w:rFonts w:hint="cs"/>
          <w:sz w:val="24"/>
          <w:szCs w:val="24"/>
          <w:rtl/>
        </w:rPr>
        <w:t>(</w:t>
      </w:r>
      <w:r w:rsidR="00777DCB" w:rsidRPr="00A52585">
        <w:rPr>
          <w:rFonts w:hint="cs"/>
          <w:sz w:val="24"/>
          <w:szCs w:val="24"/>
          <w:rtl/>
        </w:rPr>
        <w:t>8 / 664</w:t>
      </w:r>
      <w:r w:rsidRPr="00A52585">
        <w:rPr>
          <w:rFonts w:hint="cs"/>
          <w:sz w:val="24"/>
          <w:szCs w:val="24"/>
          <w:rtl/>
        </w:rPr>
        <w:t>)</w:t>
      </w:r>
      <w:r w:rsidR="00777DCB" w:rsidRPr="00A52585">
        <w:rPr>
          <w:rFonts w:hint="cs"/>
          <w:sz w:val="24"/>
          <w:szCs w:val="24"/>
          <w:rtl/>
        </w:rPr>
        <w:t xml:space="preserve"> ولذا نقطع أن هذه اللفظة لم يقلها صلى الله عليه وسلم ومتى طرأ الاحتمال سقط الاستدلال وقد أفاد غالب ما ذكرته هنا الحافظ ابن حجر في فتح الباري ونقله عن الحافظ الاسماعيلي فليراجع</w:t>
      </w:r>
      <w:r w:rsidRPr="00A52585">
        <w:rPr>
          <w:rFonts w:hint="cs"/>
          <w:sz w:val="24"/>
          <w:szCs w:val="24"/>
          <w:rtl/>
        </w:rPr>
        <w:t>]</w:t>
      </w:r>
      <w:r w:rsidR="00DB731D" w:rsidRPr="00A52585">
        <w:rPr>
          <w:rFonts w:hint="cs"/>
          <w:rtl/>
        </w:rPr>
        <w:t>،</w:t>
      </w:r>
      <w:r w:rsidR="00777DCB" w:rsidRPr="00A52585">
        <w:rPr>
          <w:rFonts w:hint="cs"/>
          <w:rtl/>
        </w:rPr>
        <w:t xml:space="preserve"> وأنشدوا</w:t>
      </w:r>
      <w:r w:rsidRPr="00A52585">
        <w:rPr>
          <w:rFonts w:hint="cs"/>
          <w:rtl/>
        </w:rPr>
        <w:t>:</w:t>
      </w:r>
      <w:r w:rsidR="00777DCB" w:rsidRPr="00A52585">
        <w:rPr>
          <w:rFonts w:hint="cs"/>
          <w:rtl/>
        </w:rPr>
        <w:t xml:space="preserve"> " وقامت الحرب بنا على ساق "</w:t>
      </w:r>
      <w:r w:rsidR="00DB731D" w:rsidRPr="00A52585">
        <w:rPr>
          <w:rFonts w:hint="cs"/>
          <w:rtl/>
        </w:rPr>
        <w:t>،</w:t>
      </w:r>
      <w:r w:rsidR="00777DCB" w:rsidRPr="00A52585">
        <w:rPr>
          <w:rFonts w:hint="cs"/>
          <w:rtl/>
        </w:rPr>
        <w:t xml:space="preserve"> وقال آخرون</w:t>
      </w:r>
      <w:r w:rsidRPr="00A52585">
        <w:rPr>
          <w:rFonts w:hint="cs"/>
          <w:rtl/>
        </w:rPr>
        <w:t>:</w:t>
      </w:r>
      <w:r w:rsidR="00777DCB" w:rsidRPr="00A52585">
        <w:rPr>
          <w:rFonts w:hint="cs"/>
          <w:rtl/>
        </w:rPr>
        <w:t xml:space="preserve"> إذا شمرت عن ساقها الحرب شمرا</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هذا شطر بيت لجرير وهو</w:t>
      </w:r>
      <w:r w:rsidRPr="00A52585">
        <w:rPr>
          <w:rFonts w:hint="cs"/>
          <w:sz w:val="24"/>
          <w:szCs w:val="24"/>
          <w:rtl/>
        </w:rPr>
        <w:t>:</w:t>
      </w:r>
      <w:r w:rsidR="00777DCB" w:rsidRPr="00A52585">
        <w:rPr>
          <w:rFonts w:hint="cs"/>
          <w:sz w:val="24"/>
          <w:szCs w:val="24"/>
          <w:rtl/>
        </w:rPr>
        <w:t xml:space="preserve"> ألا رب سام الطرف من آل مازن إذا شمرت عن ساقها الحرب شمرا</w:t>
      </w:r>
      <w:r w:rsidRPr="00A52585">
        <w:rPr>
          <w:rFonts w:hint="cs"/>
          <w:sz w:val="24"/>
          <w:szCs w:val="24"/>
          <w:rtl/>
        </w:rPr>
        <w:t>]</w:t>
      </w:r>
      <w:r w:rsidR="00DB731D" w:rsidRPr="00A52585">
        <w:rPr>
          <w:rFonts w:hint="cs"/>
          <w:rtl/>
        </w:rPr>
        <w:t>،</w:t>
      </w:r>
      <w:r w:rsidR="00777DCB" w:rsidRPr="00A52585">
        <w:rPr>
          <w:rFonts w:hint="cs"/>
          <w:rtl/>
        </w:rPr>
        <w:t xml:space="preserve"> قال ابن قتيبة</w:t>
      </w:r>
      <w:r w:rsidRPr="00A52585">
        <w:rPr>
          <w:rFonts w:hint="cs"/>
          <w:rtl/>
        </w:rPr>
        <w:t>:</w:t>
      </w:r>
      <w:r w:rsidR="00777DCB" w:rsidRPr="00A52585">
        <w:rPr>
          <w:rFonts w:hint="cs"/>
          <w:rtl/>
        </w:rPr>
        <w:t xml:space="preserve"> وأصل هذا أن الرجل إذا وقع في أمر عظيم يحتاج إلى معاناة الجد فيه</w:t>
      </w:r>
      <w:r w:rsidR="00DB731D" w:rsidRPr="00A52585">
        <w:rPr>
          <w:rFonts w:hint="cs"/>
          <w:rtl/>
        </w:rPr>
        <w:t>،</w:t>
      </w:r>
      <w:r w:rsidR="00777DCB" w:rsidRPr="00A52585">
        <w:rPr>
          <w:rFonts w:hint="cs"/>
          <w:rtl/>
        </w:rPr>
        <w:t xml:space="preserve"> شمر عن ساقه</w:t>
      </w:r>
      <w:r w:rsidR="00DB731D" w:rsidRPr="00A52585">
        <w:rPr>
          <w:rFonts w:hint="cs"/>
          <w:rtl/>
        </w:rPr>
        <w:t>،</w:t>
      </w:r>
      <w:r w:rsidR="00777DCB" w:rsidRPr="00A52585">
        <w:rPr>
          <w:rFonts w:hint="cs"/>
          <w:rtl/>
        </w:rPr>
        <w:t xml:space="preserve"> فاستعيرت الساق في موضع الشدة</w:t>
      </w:r>
      <w:r w:rsidR="00DB731D" w:rsidRPr="00A52585">
        <w:rPr>
          <w:rFonts w:hint="cs"/>
          <w:rtl/>
        </w:rPr>
        <w:t>،</w:t>
      </w:r>
      <w:r w:rsidR="00777DCB" w:rsidRPr="00A52585">
        <w:rPr>
          <w:rFonts w:hint="cs"/>
          <w:rtl/>
        </w:rPr>
        <w:t xml:space="preserve"> وبهذا قال الفراء وأبو عبيد</w:t>
      </w:r>
      <w:r w:rsidR="00DB731D" w:rsidRPr="00A52585">
        <w:rPr>
          <w:rFonts w:hint="cs"/>
          <w:rtl/>
        </w:rPr>
        <w:t>،</w:t>
      </w:r>
      <w:r w:rsidR="00777DCB" w:rsidRPr="00A52585">
        <w:rPr>
          <w:rFonts w:hint="cs"/>
          <w:rtl/>
        </w:rPr>
        <w:t xml:space="preserve"> وثعلب واللغويون</w:t>
      </w:r>
      <w:r w:rsidR="00DB731D" w:rsidRPr="00A52585">
        <w:rPr>
          <w:rFonts w:hint="cs"/>
          <w:rtl/>
        </w:rPr>
        <w:t>،</w:t>
      </w:r>
      <w:r w:rsidR="00777DCB" w:rsidRPr="00A52585">
        <w:rPr>
          <w:rFonts w:hint="cs"/>
          <w:rtl/>
        </w:rPr>
        <w:t xml:space="preserve"> وروى البخاري ومسلم في الصحيحين عن النبي - صلى الله عليه وسلم</w:t>
      </w:r>
      <w:r w:rsidRPr="00A52585">
        <w:rPr>
          <w:rFonts w:hint="cs"/>
          <w:rtl/>
        </w:rPr>
        <w:t>:</w:t>
      </w:r>
      <w:r w:rsidR="00777DCB" w:rsidRPr="00A52585">
        <w:rPr>
          <w:rFonts w:hint="cs"/>
          <w:rtl/>
        </w:rPr>
        <w:t xml:space="preserve"> " إن الله عز وجل يكشف عن ساقه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تقدم عن الحافظ ابن حجر والاسماعيلي أن لفظة </w:t>
      </w:r>
      <w:r w:rsidRPr="00A52585">
        <w:rPr>
          <w:rFonts w:hint="cs"/>
          <w:sz w:val="24"/>
          <w:szCs w:val="24"/>
          <w:rtl/>
        </w:rPr>
        <w:t>(</w:t>
      </w:r>
      <w:r w:rsidR="00777DCB" w:rsidRPr="00A52585">
        <w:rPr>
          <w:rFonts w:hint="cs"/>
          <w:sz w:val="24"/>
          <w:szCs w:val="24"/>
          <w:rtl/>
        </w:rPr>
        <w:t>ساقه</w:t>
      </w:r>
      <w:r w:rsidRPr="00A52585">
        <w:rPr>
          <w:rFonts w:hint="cs"/>
          <w:sz w:val="24"/>
          <w:szCs w:val="24"/>
          <w:rtl/>
        </w:rPr>
        <w:t>)</w:t>
      </w:r>
      <w:r w:rsidR="00777DCB" w:rsidRPr="00A52585">
        <w:rPr>
          <w:rFonts w:hint="cs"/>
          <w:sz w:val="24"/>
          <w:szCs w:val="24"/>
          <w:rtl/>
        </w:rPr>
        <w:t xml:space="preserve"> غير محفوظة وذلك مذكور في الفتح </w:t>
      </w:r>
      <w:r w:rsidRPr="00A52585">
        <w:rPr>
          <w:rFonts w:hint="cs"/>
          <w:sz w:val="24"/>
          <w:szCs w:val="24"/>
          <w:rtl/>
        </w:rPr>
        <w:t>(</w:t>
      </w:r>
      <w:r w:rsidR="00777DCB" w:rsidRPr="00A52585">
        <w:rPr>
          <w:rFonts w:hint="cs"/>
          <w:sz w:val="24"/>
          <w:szCs w:val="24"/>
          <w:rtl/>
        </w:rPr>
        <w:t>8 / 664</w:t>
      </w:r>
      <w:r w:rsidRPr="00A52585">
        <w:rPr>
          <w:rFonts w:hint="cs"/>
          <w:sz w:val="24"/>
          <w:szCs w:val="24"/>
          <w:rtl/>
        </w:rPr>
        <w:t>)</w:t>
      </w:r>
      <w:r w:rsidR="00777DCB" w:rsidRPr="00A52585">
        <w:rPr>
          <w:rFonts w:hint="cs"/>
          <w:sz w:val="24"/>
          <w:szCs w:val="24"/>
          <w:rtl/>
        </w:rPr>
        <w:t xml:space="preserve"> وهذا نص كلامه</w:t>
      </w:r>
      <w:r w:rsidRPr="00A52585">
        <w:rPr>
          <w:rFonts w:hint="cs"/>
          <w:sz w:val="24"/>
          <w:szCs w:val="24"/>
          <w:rtl/>
        </w:rPr>
        <w:t>:</w:t>
      </w:r>
      <w:r w:rsidR="00777DCB" w:rsidRPr="00A52585">
        <w:rPr>
          <w:rFonts w:hint="cs"/>
          <w:sz w:val="24"/>
          <w:szCs w:val="24"/>
          <w:rtl/>
        </w:rPr>
        <w:t xml:space="preserve"> " وقع في هذا الموضع " يكشف ربنا عن </w:t>
      </w:r>
      <w:r w:rsidR="00777DCB" w:rsidRPr="00A52585">
        <w:rPr>
          <w:rFonts w:hint="cs"/>
          <w:sz w:val="24"/>
          <w:szCs w:val="24"/>
          <w:rtl/>
        </w:rPr>
        <w:lastRenderedPageBreak/>
        <w:t>ساقه " وهو من رواية سعيد بن أبي هلال عن زيد بن أسلم فأخرجها الاسماعيلي كذلك ثم قال</w:t>
      </w:r>
      <w:r w:rsidRPr="00A52585">
        <w:rPr>
          <w:rFonts w:hint="cs"/>
          <w:sz w:val="24"/>
          <w:szCs w:val="24"/>
          <w:rtl/>
        </w:rPr>
        <w:t>:</w:t>
      </w:r>
      <w:r w:rsidR="00777DCB" w:rsidRPr="00A52585">
        <w:rPr>
          <w:rFonts w:hint="cs"/>
          <w:sz w:val="24"/>
          <w:szCs w:val="24"/>
          <w:rtl/>
        </w:rPr>
        <w:t xml:space="preserve"> في قوله " عن ساقه " نكرة ثم أخرجه من طريق حفص بن ميسره عن زيد بن أسلم بلفظ</w:t>
      </w:r>
      <w:r w:rsidRPr="00A52585">
        <w:rPr>
          <w:rFonts w:hint="cs"/>
          <w:sz w:val="24"/>
          <w:szCs w:val="24"/>
          <w:rtl/>
        </w:rPr>
        <w:t>:</w:t>
      </w:r>
      <w:r w:rsidR="00777DCB" w:rsidRPr="00A52585">
        <w:rPr>
          <w:rFonts w:hint="cs"/>
          <w:sz w:val="24"/>
          <w:szCs w:val="24"/>
          <w:rtl/>
        </w:rPr>
        <w:t xml:space="preserve"> " يكشف عن ساق " قال الاسماعيلي</w:t>
      </w:r>
      <w:r w:rsidRPr="00A52585">
        <w:rPr>
          <w:rFonts w:hint="cs"/>
          <w:sz w:val="24"/>
          <w:szCs w:val="24"/>
          <w:rtl/>
        </w:rPr>
        <w:t>:</w:t>
      </w:r>
      <w:r w:rsidR="00777DCB" w:rsidRPr="00A52585">
        <w:rPr>
          <w:rFonts w:hint="cs"/>
          <w:sz w:val="24"/>
          <w:szCs w:val="24"/>
          <w:rtl/>
        </w:rPr>
        <w:t xml:space="preserve"> هذه أصح لموافقتها لفظ القرآن في الجملة</w:t>
      </w:r>
      <w:r w:rsidR="00DB731D" w:rsidRPr="00A52585">
        <w:rPr>
          <w:rFonts w:hint="cs"/>
          <w:sz w:val="24"/>
          <w:szCs w:val="24"/>
          <w:rtl/>
        </w:rPr>
        <w:t>،</w:t>
      </w:r>
      <w:r w:rsidR="00777DCB" w:rsidRPr="00A52585">
        <w:rPr>
          <w:rFonts w:hint="cs"/>
          <w:sz w:val="24"/>
          <w:szCs w:val="24"/>
          <w:rtl/>
        </w:rPr>
        <w:t xml:space="preserve"> لا يظن أن الله ذو أعضاء وجوارح لما في ذلك من مشابهة المخلوقين</w:t>
      </w:r>
      <w:r w:rsidR="00DB731D" w:rsidRPr="00A52585">
        <w:rPr>
          <w:rFonts w:hint="cs"/>
          <w:sz w:val="24"/>
          <w:szCs w:val="24"/>
          <w:rtl/>
        </w:rPr>
        <w:t>،</w:t>
      </w:r>
      <w:r w:rsidR="00777DCB" w:rsidRPr="00A52585">
        <w:rPr>
          <w:rFonts w:hint="cs"/>
          <w:sz w:val="24"/>
          <w:szCs w:val="24"/>
          <w:rtl/>
        </w:rPr>
        <w:t xml:space="preserve"> تعالى الله عن ذلك ليس كمثله شيء " اه‍ كلام الحافظ من الفتح ولفظ سعيد بن هلال هذا شاذ لم اجده بهذا اللفظ للآن</w:t>
      </w:r>
      <w:r w:rsidRPr="00A52585">
        <w:rPr>
          <w:rFonts w:hint="cs"/>
          <w:sz w:val="24"/>
          <w:szCs w:val="24"/>
          <w:rtl/>
        </w:rPr>
        <w:t>]</w:t>
      </w:r>
      <w:r w:rsidR="00DB731D" w:rsidRPr="00A52585">
        <w:rPr>
          <w:rFonts w:hint="cs"/>
          <w:rtl/>
        </w:rPr>
        <w:t>،</w:t>
      </w:r>
      <w:r w:rsidR="00777DCB" w:rsidRPr="00A52585">
        <w:rPr>
          <w:rFonts w:hint="cs"/>
          <w:rtl/>
        </w:rPr>
        <w:t xml:space="preserve"> هذه إضافة إليه معناها</w:t>
      </w:r>
      <w:r w:rsidRPr="00A52585">
        <w:rPr>
          <w:rFonts w:hint="cs"/>
          <w:rtl/>
        </w:rPr>
        <w:t>:</w:t>
      </w:r>
      <w:r w:rsidR="00777DCB" w:rsidRPr="00A52585">
        <w:rPr>
          <w:rFonts w:hint="cs"/>
          <w:rtl/>
        </w:rPr>
        <w:t xml:space="preserve"> يكشف عن شدته وأفعاله المضافة إليه ومعنى يكشف عنها</w:t>
      </w:r>
      <w:r w:rsidRPr="00A52585">
        <w:rPr>
          <w:rFonts w:hint="cs"/>
          <w:rtl/>
        </w:rPr>
        <w:t>:</w:t>
      </w:r>
      <w:r w:rsidR="00777DCB" w:rsidRPr="00A52585">
        <w:rPr>
          <w:rFonts w:hint="cs"/>
          <w:rtl/>
        </w:rPr>
        <w:t xml:space="preserve"> " يزيلها "</w:t>
      </w:r>
      <w:r w:rsidR="00DB731D" w:rsidRPr="00A52585">
        <w:rPr>
          <w:rFonts w:hint="cs"/>
          <w:rtl/>
        </w:rPr>
        <w:t>،</w:t>
      </w:r>
      <w:r w:rsidR="00777DCB" w:rsidRPr="00A52585">
        <w:rPr>
          <w:rFonts w:hint="cs"/>
          <w:rtl/>
        </w:rPr>
        <w:t xml:space="preserve"> وقال عاصم بن كليب</w:t>
      </w:r>
      <w:r w:rsidRPr="00A52585">
        <w:rPr>
          <w:rFonts w:hint="cs"/>
          <w:rtl/>
        </w:rPr>
        <w:t>:</w:t>
      </w:r>
      <w:r w:rsidR="00777DCB" w:rsidRPr="00A52585">
        <w:rPr>
          <w:rFonts w:hint="cs"/>
          <w:rtl/>
        </w:rPr>
        <w:t xml:space="preserve"> رأيت سعيد بن جبير غضب وقال</w:t>
      </w:r>
      <w:r w:rsidRPr="00A52585">
        <w:rPr>
          <w:rFonts w:hint="cs"/>
          <w:rtl/>
        </w:rPr>
        <w:t>:</w:t>
      </w:r>
      <w:r w:rsidR="00777DCB" w:rsidRPr="00A52585">
        <w:rPr>
          <w:rFonts w:hint="cs"/>
          <w:rtl/>
        </w:rPr>
        <w:t xml:space="preserve"> يقولون يكشف عن ساقه</w:t>
      </w:r>
      <w:r w:rsidR="00DB731D" w:rsidRPr="00A52585">
        <w:rPr>
          <w:rFonts w:hint="cs"/>
          <w:rtl/>
        </w:rPr>
        <w:t>،</w:t>
      </w:r>
      <w:r w:rsidR="00777DCB" w:rsidRPr="00A52585">
        <w:rPr>
          <w:rFonts w:hint="cs"/>
          <w:rtl/>
        </w:rPr>
        <w:t xml:space="preserve"> وإنما ذلك عن أمر شديد</w:t>
      </w:r>
      <w:r w:rsidR="00DB731D" w:rsidRPr="00A52585">
        <w:rPr>
          <w:rFonts w:hint="cs"/>
          <w:rtl/>
        </w:rPr>
        <w:t>،</w:t>
      </w:r>
      <w:r w:rsidR="00777DCB" w:rsidRPr="00A52585">
        <w:rPr>
          <w:rFonts w:hint="cs"/>
          <w:rtl/>
        </w:rPr>
        <w:t xml:space="preserve"> وقد ذكر أبو عمر الزاهد</w:t>
      </w:r>
      <w:r w:rsidRPr="00A52585">
        <w:rPr>
          <w:rFonts w:hint="cs"/>
          <w:rtl/>
        </w:rPr>
        <w:t>:</w:t>
      </w:r>
      <w:r w:rsidR="00777DCB" w:rsidRPr="00A52585">
        <w:rPr>
          <w:rFonts w:hint="cs"/>
          <w:rtl/>
        </w:rPr>
        <w:t xml:space="preserve"> أن الساق بمعنى " النفس " وقال</w:t>
      </w:r>
      <w:r w:rsidRPr="00A52585">
        <w:rPr>
          <w:rFonts w:hint="cs"/>
          <w:rtl/>
        </w:rPr>
        <w:t>:</w:t>
      </w:r>
      <w:r w:rsidR="00777DCB" w:rsidRPr="00A52585">
        <w:rPr>
          <w:rFonts w:hint="cs"/>
          <w:rtl/>
        </w:rPr>
        <w:t xml:space="preserve"> ومنه قول علي رضي الله عنه لما قالت البغاة</w:t>
      </w:r>
      <w:r w:rsidRPr="00A52585">
        <w:rPr>
          <w:rFonts w:hint="cs"/>
          <w:rtl/>
        </w:rPr>
        <w:t>:</w:t>
      </w:r>
      <w:r w:rsidR="00777DCB" w:rsidRPr="00A52585">
        <w:rPr>
          <w:rFonts w:hint="cs"/>
          <w:rtl/>
        </w:rPr>
        <w:t xml:space="preserve"> لا حكم إلا لله فقال</w:t>
      </w:r>
      <w:r w:rsidRPr="00A52585">
        <w:rPr>
          <w:rFonts w:hint="cs"/>
          <w:rtl/>
        </w:rPr>
        <w:t>:</w:t>
      </w:r>
      <w:r w:rsidR="00777DCB" w:rsidRPr="00A52585">
        <w:rPr>
          <w:rFonts w:hint="cs"/>
          <w:rtl/>
        </w:rPr>
        <w:t xml:space="preserve"> لا بد من محاربتهم ولو تلفت ساقي</w:t>
      </w:r>
      <w:r w:rsidR="00897A24" w:rsidRPr="00A52585">
        <w:rPr>
          <w:rFonts w:hint="cs"/>
          <w:rtl/>
        </w:rPr>
        <w:t>...</w:t>
      </w:r>
      <w:r w:rsidR="00777DCB" w:rsidRPr="00A52585">
        <w:rPr>
          <w:rFonts w:hint="cs"/>
          <w:rtl/>
        </w:rPr>
        <w:t xml:space="preserve"> فعلى هذا يكون المعنى يتجلى لهم</w:t>
      </w:r>
      <w:r w:rsidR="00DB731D" w:rsidRPr="00A52585">
        <w:rPr>
          <w:rFonts w:hint="cs"/>
          <w:rtl/>
        </w:rPr>
        <w:t>،</w:t>
      </w:r>
      <w:r w:rsidR="00777DCB" w:rsidRPr="00A52585">
        <w:rPr>
          <w:rFonts w:hint="cs"/>
          <w:rtl/>
        </w:rPr>
        <w:t xml:space="preserve"> وفي حديث أبي موسى عن النبي - صلى الله عليه وسلم - انه قال</w:t>
      </w:r>
      <w:r w:rsidRPr="00A52585">
        <w:rPr>
          <w:rFonts w:hint="cs"/>
          <w:rtl/>
        </w:rPr>
        <w:t>:</w:t>
      </w:r>
      <w:r w:rsidR="00777DCB" w:rsidRPr="00A52585">
        <w:rPr>
          <w:rFonts w:hint="cs"/>
          <w:rtl/>
        </w:rPr>
        <w:t xml:space="preserve"> " يكشف لهم الحجاب فينظرون إلى الله تعالى فيخرون لله سجدا</w:t>
      </w:r>
      <w:r w:rsidR="00DB731D" w:rsidRPr="00A52585">
        <w:rPr>
          <w:rFonts w:hint="cs"/>
          <w:rtl/>
        </w:rPr>
        <w:t>،</w:t>
      </w:r>
      <w:r w:rsidR="00777DCB" w:rsidRPr="00A52585">
        <w:rPr>
          <w:rFonts w:hint="cs"/>
          <w:rtl/>
        </w:rPr>
        <w:t xml:space="preserve"> ويبقى أقوام في ظهورهم مثل صياصي البقر</w:t>
      </w:r>
      <w:r w:rsidR="00DB731D" w:rsidRPr="00A52585">
        <w:rPr>
          <w:rFonts w:hint="cs"/>
          <w:rtl/>
        </w:rPr>
        <w:t>،</w:t>
      </w:r>
      <w:r w:rsidR="00777DCB" w:rsidRPr="00A52585">
        <w:rPr>
          <w:rFonts w:hint="cs"/>
          <w:rtl/>
        </w:rPr>
        <w:t xml:space="preserve"> يريدون السجود فلا يستطيعون "</w:t>
      </w:r>
      <w:r w:rsidR="00DB731D" w:rsidRPr="00A52585">
        <w:rPr>
          <w:rFonts w:hint="cs"/>
          <w:rtl/>
        </w:rPr>
        <w:t>،</w:t>
      </w:r>
      <w:r w:rsidR="00777DCB" w:rsidRPr="00A52585">
        <w:rPr>
          <w:rFonts w:hint="cs"/>
          <w:rtl/>
        </w:rPr>
        <w:t xml:space="preserve"> فذلك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يكشف عن ساق ويدعون إلى السجود فلا يستطيعون</w:t>
      </w:r>
      <w:r w:rsidRPr="00A52585">
        <w:rPr>
          <w:rFonts w:hint="cs"/>
          <w:rtl/>
        </w:rPr>
        <w:t>)</w:t>
      </w:r>
      <w:r w:rsidR="00777DCB" w:rsidRPr="00A52585">
        <w:rPr>
          <w:rFonts w:hint="cs"/>
          <w:rtl/>
        </w:rPr>
        <w:t xml:space="preserve"> القلم</w:t>
      </w:r>
      <w:r w:rsidRPr="00A52585">
        <w:rPr>
          <w:rFonts w:hint="cs"/>
          <w:rtl/>
        </w:rPr>
        <w:t>:</w:t>
      </w:r>
      <w:r w:rsidR="00777DCB" w:rsidRPr="00A52585">
        <w:rPr>
          <w:rFonts w:hint="cs"/>
          <w:rtl/>
        </w:rPr>
        <w:t xml:space="preserve"> 42</w:t>
      </w:r>
      <w:r w:rsidR="00DB731D" w:rsidRPr="00A52585">
        <w:rPr>
          <w:rFonts w:hint="cs"/>
          <w:rtl/>
        </w:rPr>
        <w:t>،</w:t>
      </w:r>
      <w:r w:rsidR="00777DCB" w:rsidRPr="00A52585">
        <w:rPr>
          <w:rFonts w:hint="cs"/>
          <w:rtl/>
        </w:rPr>
        <w:t xml:space="preserve"> وقد ذهب القاضي أبو يعلى</w:t>
      </w:r>
      <w:r w:rsidRPr="00A52585">
        <w:rPr>
          <w:rFonts w:hint="cs"/>
          <w:rtl/>
        </w:rPr>
        <w:t xml:space="preserve"> </w:t>
      </w:r>
      <w:r w:rsidR="00777DCB" w:rsidRPr="00A52585">
        <w:rPr>
          <w:rFonts w:hint="cs"/>
          <w:rtl/>
        </w:rPr>
        <w:t>إلى أن الساق صفة ذاتية</w:t>
      </w:r>
      <w:r w:rsidR="00DB731D" w:rsidRPr="00A52585">
        <w:rPr>
          <w:rFonts w:hint="cs"/>
          <w:rtl/>
        </w:rPr>
        <w:t>،</w:t>
      </w:r>
      <w:r w:rsidR="00777DCB" w:rsidRPr="00A52585">
        <w:rPr>
          <w:rFonts w:hint="cs"/>
          <w:rtl/>
        </w:rPr>
        <w:t xml:space="preserve"> وقال مثله في " يضع قدمه في النار "</w:t>
      </w:r>
      <w:r w:rsidRPr="00A52585">
        <w:rPr>
          <w:rFonts w:hint="cs"/>
          <w:rtl/>
        </w:rPr>
        <w:t>:</w:t>
      </w:r>
      <w:r w:rsidR="00777DCB" w:rsidRPr="00A52585">
        <w:rPr>
          <w:rFonts w:hint="cs"/>
          <w:rtl/>
        </w:rPr>
        <w:t xml:space="preserve"> وحكى عن ابن مسعود</w:t>
      </w:r>
      <w:r w:rsidRPr="00A52585">
        <w:rPr>
          <w:rFonts w:hint="cs"/>
          <w:rtl/>
        </w:rPr>
        <w:t>:</w:t>
      </w:r>
      <w:r w:rsidR="00777DCB" w:rsidRPr="00A52585">
        <w:rPr>
          <w:rFonts w:hint="cs"/>
          <w:rtl/>
        </w:rPr>
        <w:t xml:space="preserve"> ويكشف عن ساقه اليمنى فتضئ من نور ساقه الارض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كلام مكذوب على سيدنا عبد الله بن مسعود ولم يثبت عنه</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وذكر الساق مع القدم تشبيه محض</w:t>
      </w:r>
      <w:r w:rsidR="00DB731D" w:rsidRPr="00A52585">
        <w:rPr>
          <w:rFonts w:hint="cs"/>
          <w:rtl/>
        </w:rPr>
        <w:t>،</w:t>
      </w:r>
      <w:r w:rsidR="00777DCB" w:rsidRPr="00A52585">
        <w:rPr>
          <w:rFonts w:hint="cs"/>
          <w:rtl/>
        </w:rPr>
        <w:t xml:space="preserve"> وما ذكر عن ابن مسعود محال</w:t>
      </w:r>
      <w:r w:rsidR="00DB731D" w:rsidRPr="00A52585">
        <w:rPr>
          <w:rFonts w:hint="cs"/>
          <w:rtl/>
        </w:rPr>
        <w:t>،</w:t>
      </w:r>
      <w:r w:rsidR="00777DCB" w:rsidRPr="00A52585">
        <w:rPr>
          <w:rFonts w:hint="cs"/>
          <w:rtl/>
        </w:rPr>
        <w:t xml:space="preserve"> ولا تثبت لله صفة بمثل هذه الخرافات</w:t>
      </w:r>
      <w:r w:rsidR="00DB731D" w:rsidRPr="00A52585">
        <w:rPr>
          <w:rFonts w:hint="cs"/>
          <w:rtl/>
        </w:rPr>
        <w:t>،</w:t>
      </w:r>
      <w:r w:rsidR="00777DCB" w:rsidRPr="00A52585">
        <w:rPr>
          <w:rFonts w:hint="cs"/>
          <w:rtl/>
        </w:rPr>
        <w:t xml:space="preserve"> ولا توصف ذاته سبحانه بنور شعاع تضئ به الارض</w:t>
      </w:r>
      <w:r w:rsidR="00DB731D" w:rsidRPr="00A52585">
        <w:rPr>
          <w:rFonts w:hint="cs"/>
          <w:rtl/>
        </w:rPr>
        <w:t>،</w:t>
      </w:r>
      <w:r w:rsidR="00777DCB" w:rsidRPr="00A52585">
        <w:rPr>
          <w:rFonts w:hint="cs"/>
          <w:rtl/>
        </w:rPr>
        <w:t xml:space="preserve"> واحتجاجه بالإضافة ليس بشيء لأنّه إذا كشف عن شدته</w:t>
      </w:r>
      <w:r w:rsidR="00DB731D" w:rsidRPr="00A52585">
        <w:rPr>
          <w:rFonts w:hint="cs"/>
          <w:rtl/>
        </w:rPr>
        <w:t>،</w:t>
      </w:r>
      <w:r w:rsidR="00777DCB" w:rsidRPr="00A52585">
        <w:rPr>
          <w:rFonts w:hint="cs"/>
          <w:rtl/>
        </w:rPr>
        <w:t xml:space="preserve"> فقد كشف عن ساقه</w:t>
      </w:r>
      <w:r w:rsidR="00DB731D" w:rsidRPr="00A52585">
        <w:rPr>
          <w:rFonts w:hint="cs"/>
          <w:rtl/>
        </w:rPr>
        <w:t>،</w:t>
      </w:r>
      <w:r w:rsidR="00777DCB" w:rsidRPr="00A52585">
        <w:rPr>
          <w:rFonts w:hint="cs"/>
          <w:rtl/>
        </w:rPr>
        <w:t xml:space="preserve"> وهؤلاء وقع لهم أن معنى يكشف " يظهر " وإنما المعنى " يزيل ويرفع "</w:t>
      </w:r>
      <w:r w:rsidR="00DB731D"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يجب الايمان بأن لله تعالى ساقا صفة لذاته</w:t>
      </w:r>
      <w:r w:rsidR="00DB731D" w:rsidRPr="00A52585">
        <w:rPr>
          <w:rFonts w:hint="cs"/>
          <w:rtl/>
        </w:rPr>
        <w:t>،</w:t>
      </w:r>
      <w:r w:rsidR="00777DCB" w:rsidRPr="00A52585">
        <w:rPr>
          <w:rFonts w:hint="cs"/>
          <w:rtl/>
        </w:rPr>
        <w:t xml:space="preserve"> فمن جحد ذلك كفر</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ولو تكلم بهذا عامي جلف كان قبيحا</w:t>
      </w:r>
      <w:r w:rsidR="00DB731D" w:rsidRPr="00A52585">
        <w:rPr>
          <w:rFonts w:hint="cs"/>
          <w:rtl/>
        </w:rPr>
        <w:t>،</w:t>
      </w:r>
      <w:r w:rsidR="00777DCB" w:rsidRPr="00A52585">
        <w:rPr>
          <w:rFonts w:hint="cs"/>
          <w:rtl/>
        </w:rPr>
        <w:t xml:space="preserve"> فكيف بمن ينسب إلى العلم</w:t>
      </w:r>
      <w:r w:rsidR="00F95886" w:rsidRPr="00A52585">
        <w:rPr>
          <w:rFonts w:hint="cs"/>
          <w:rtl/>
        </w:rPr>
        <w:t>؟!</w:t>
      </w:r>
      <w:r w:rsidR="00777DCB" w:rsidRPr="00A52585">
        <w:rPr>
          <w:rFonts w:hint="cs"/>
          <w:rtl/>
        </w:rPr>
        <w:t xml:space="preserve"> فإن المتأولين أعذر منهم </w:t>
      </w:r>
      <w:proofErr w:type="gramStart"/>
      <w:r w:rsidR="00777DCB" w:rsidRPr="00A52585">
        <w:rPr>
          <w:rFonts w:hint="cs"/>
          <w:rtl/>
        </w:rPr>
        <w:t>لانهم</w:t>
      </w:r>
      <w:proofErr w:type="gramEnd"/>
      <w:r w:rsidR="00777DCB" w:rsidRPr="00A52585">
        <w:rPr>
          <w:rFonts w:hint="cs"/>
          <w:rtl/>
        </w:rPr>
        <w:t xml:space="preserve"> ردوا الامر إلى اللغة</w:t>
      </w:r>
      <w:r w:rsidR="00DB731D" w:rsidRPr="00A52585">
        <w:rPr>
          <w:rFonts w:hint="cs"/>
          <w:rtl/>
        </w:rPr>
        <w:t>،</w:t>
      </w:r>
      <w:r w:rsidR="00777DCB" w:rsidRPr="00A52585">
        <w:rPr>
          <w:rFonts w:hint="cs"/>
          <w:rtl/>
        </w:rPr>
        <w:t xml:space="preserve"> وهؤلاء أثبتوا ساقا للذات</w:t>
      </w:r>
      <w:r w:rsidR="00DB731D" w:rsidRPr="00A52585">
        <w:rPr>
          <w:rFonts w:hint="cs"/>
          <w:rtl/>
        </w:rPr>
        <w:t>،</w:t>
      </w:r>
      <w:r w:rsidR="00777DCB" w:rsidRPr="00A52585">
        <w:rPr>
          <w:rFonts w:hint="cs"/>
          <w:rtl/>
        </w:rPr>
        <w:t xml:space="preserve"> وقدما حتى يتحقق التجسيم والصورة</w:t>
      </w:r>
      <w:r w:rsidR="00DB731D" w:rsidRPr="00A52585">
        <w:rPr>
          <w:rFonts w:hint="cs"/>
          <w:rtl/>
        </w:rPr>
        <w:t>،</w:t>
      </w:r>
      <w:r w:rsidR="00777DCB" w:rsidRPr="00A52585">
        <w:rPr>
          <w:rFonts w:hint="cs"/>
          <w:rtl/>
        </w:rPr>
        <w:t xml:space="preserve"> </w:t>
      </w:r>
    </w:p>
    <w:p w14:paraId="619B2F11" w14:textId="6A0983EE" w:rsidR="00777DCB" w:rsidRPr="00A52585" w:rsidRDefault="0002035C" w:rsidP="0002035C">
      <w:pPr>
        <w:rPr>
          <w:b/>
        </w:rPr>
      </w:pPr>
      <w:r w:rsidRPr="00A52585">
        <w:rPr>
          <w:rFonts w:hint="cs"/>
          <w:bCs/>
          <w:u w:val="single"/>
          <w:rtl/>
        </w:rPr>
        <w:t>[</w:t>
      </w:r>
      <w:r w:rsidR="00777DCB" w:rsidRPr="00A52585">
        <w:rPr>
          <w:rFonts w:hint="cs"/>
          <w:bCs/>
          <w:u w:val="single"/>
          <w:rtl/>
        </w:rPr>
        <w:t>7</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 على العرش</w:t>
      </w:r>
      <w:r w:rsidRPr="00A52585">
        <w:rPr>
          <w:rFonts w:hint="cs"/>
          <w:rtl/>
        </w:rPr>
        <w:t>)</w:t>
      </w:r>
      <w:r w:rsidR="00777DCB" w:rsidRPr="00A52585">
        <w:rPr>
          <w:rFonts w:hint="cs"/>
          <w:rtl/>
        </w:rPr>
        <w:t xml:space="preserve"> الاعراف</w:t>
      </w:r>
      <w:r w:rsidRPr="00A52585">
        <w:rPr>
          <w:rFonts w:hint="cs"/>
          <w:rtl/>
        </w:rPr>
        <w:t>:</w:t>
      </w:r>
      <w:r w:rsidR="00777DCB" w:rsidRPr="00A52585">
        <w:rPr>
          <w:rFonts w:hint="cs"/>
          <w:rtl/>
        </w:rPr>
        <w:t xml:space="preserve"> 54</w:t>
      </w:r>
      <w:r w:rsidR="00DB731D" w:rsidRPr="00A52585">
        <w:rPr>
          <w:rFonts w:hint="cs"/>
          <w:rtl/>
        </w:rPr>
        <w:t>،</w:t>
      </w:r>
      <w:r w:rsidR="00777DCB" w:rsidRPr="00A52585">
        <w:rPr>
          <w:rFonts w:hint="cs"/>
          <w:rtl/>
        </w:rPr>
        <w:t xml:space="preserve"> قال الخليل بن أحمد</w:t>
      </w:r>
      <w:r w:rsidRPr="00A52585">
        <w:rPr>
          <w:rFonts w:hint="cs"/>
          <w:rtl/>
        </w:rPr>
        <w:t>:</w:t>
      </w:r>
      <w:r w:rsidR="00777DCB" w:rsidRPr="00A52585">
        <w:rPr>
          <w:rFonts w:hint="cs"/>
          <w:rtl/>
        </w:rPr>
        <w:t xml:space="preserve"> العرش</w:t>
      </w:r>
      <w:r w:rsidRPr="00A52585">
        <w:rPr>
          <w:rFonts w:hint="cs"/>
          <w:rtl/>
        </w:rPr>
        <w:t>:</w:t>
      </w:r>
      <w:r w:rsidR="00777DCB" w:rsidRPr="00A52585">
        <w:rPr>
          <w:rFonts w:hint="cs"/>
          <w:rtl/>
        </w:rPr>
        <w:t xml:space="preserve"> السرير</w:t>
      </w:r>
      <w:r w:rsidR="00DB731D" w:rsidRPr="00A52585">
        <w:rPr>
          <w:rFonts w:hint="cs"/>
          <w:rtl/>
        </w:rPr>
        <w:t>،</w:t>
      </w:r>
      <w:r w:rsidR="00777DCB" w:rsidRPr="00A52585">
        <w:rPr>
          <w:rFonts w:hint="cs"/>
          <w:rtl/>
        </w:rPr>
        <w:t xml:space="preserve"> فكل سرير ملك يسمى عرشا</w:t>
      </w:r>
      <w:r w:rsidR="00DB731D" w:rsidRPr="00A52585">
        <w:rPr>
          <w:rFonts w:hint="cs"/>
          <w:rtl/>
        </w:rPr>
        <w:t>،</w:t>
      </w:r>
      <w:r w:rsidR="00777DCB" w:rsidRPr="00A52585">
        <w:rPr>
          <w:rFonts w:hint="cs"/>
          <w:rtl/>
        </w:rPr>
        <w:t xml:space="preserve"> والعرش مشهور عند العرب في الجاهلية والاسلام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ورفع أبويه على العرش</w:t>
      </w:r>
      <w:r w:rsidRPr="00A52585">
        <w:rPr>
          <w:rFonts w:hint="cs"/>
          <w:rtl/>
        </w:rPr>
        <w:t>)</w:t>
      </w:r>
      <w:r w:rsidR="00777DCB" w:rsidRPr="00A52585">
        <w:rPr>
          <w:rFonts w:hint="cs"/>
          <w:rtl/>
        </w:rPr>
        <w:t xml:space="preserve"> يوسف</w:t>
      </w:r>
      <w:r w:rsidRPr="00A52585">
        <w:rPr>
          <w:rFonts w:hint="cs"/>
          <w:rtl/>
        </w:rPr>
        <w:t>:</w:t>
      </w:r>
      <w:r w:rsidR="00777DCB" w:rsidRPr="00A52585">
        <w:rPr>
          <w:rFonts w:hint="cs"/>
          <w:rtl/>
        </w:rPr>
        <w:t xml:space="preserve"> 100</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أيكم يأتيني بعرشها</w:t>
      </w:r>
      <w:r w:rsidRPr="00A52585">
        <w:rPr>
          <w:rFonts w:hint="cs"/>
          <w:rtl/>
        </w:rPr>
        <w:t>)</w:t>
      </w:r>
      <w:r w:rsidR="00777DCB" w:rsidRPr="00A52585">
        <w:rPr>
          <w:rFonts w:hint="cs"/>
          <w:rtl/>
        </w:rPr>
        <w:t xml:space="preserve"> النحل</w:t>
      </w:r>
      <w:r w:rsidRPr="00A52585">
        <w:rPr>
          <w:rFonts w:hint="cs"/>
          <w:rtl/>
        </w:rPr>
        <w:t>:</w:t>
      </w:r>
      <w:r w:rsidR="00777DCB" w:rsidRPr="00A52585">
        <w:rPr>
          <w:rFonts w:hint="cs"/>
          <w:rtl/>
        </w:rPr>
        <w:t xml:space="preserve"> 38</w:t>
      </w:r>
      <w:r w:rsidR="00DB731D" w:rsidRPr="00A52585">
        <w:rPr>
          <w:rFonts w:hint="cs"/>
          <w:rtl/>
        </w:rPr>
        <w:t>،</w:t>
      </w:r>
      <w:r w:rsidR="00777DCB" w:rsidRPr="00A52585">
        <w:rPr>
          <w:rFonts w:hint="cs"/>
          <w:rtl/>
        </w:rPr>
        <w:t xml:space="preserve"> واعلم أن الاستواء في اللغة على وجوه منها</w:t>
      </w:r>
      <w:r w:rsidRPr="00A52585">
        <w:rPr>
          <w:rFonts w:hint="cs"/>
          <w:rtl/>
        </w:rPr>
        <w:t>:</w:t>
      </w:r>
      <w:r w:rsidR="00777DCB" w:rsidRPr="00A52585">
        <w:rPr>
          <w:rFonts w:hint="cs"/>
          <w:rtl/>
        </w:rPr>
        <w:t xml:space="preserve"> الاعتدال</w:t>
      </w:r>
      <w:r w:rsidR="00DB731D" w:rsidRPr="00A52585">
        <w:rPr>
          <w:rFonts w:hint="cs"/>
          <w:rtl/>
        </w:rPr>
        <w:t>،</w:t>
      </w:r>
      <w:r w:rsidR="00777DCB" w:rsidRPr="00A52585">
        <w:rPr>
          <w:rFonts w:hint="cs"/>
          <w:rtl/>
        </w:rPr>
        <w:t xml:space="preserve"> قال بعض بني تميم فاستوى ظالم العشيرة والمظلوم</w:t>
      </w:r>
      <w:r w:rsidR="00897A24" w:rsidRPr="00A52585">
        <w:rPr>
          <w:rFonts w:hint="cs"/>
          <w:rtl/>
        </w:rPr>
        <w:t>.</w:t>
      </w:r>
      <w:r w:rsidR="00777DCB" w:rsidRPr="00A52585">
        <w:rPr>
          <w:rFonts w:hint="cs"/>
          <w:rtl/>
        </w:rPr>
        <w:t xml:space="preserve"> أي اعتدلا</w:t>
      </w:r>
      <w:r w:rsidR="00DB731D" w:rsidRPr="00A52585">
        <w:rPr>
          <w:rFonts w:hint="cs"/>
          <w:rtl/>
        </w:rPr>
        <w:t>،</w:t>
      </w:r>
      <w:r w:rsidR="00777DCB" w:rsidRPr="00A52585">
        <w:rPr>
          <w:rFonts w:hint="cs"/>
          <w:rtl/>
        </w:rPr>
        <w:t xml:space="preserve"> والاستواء</w:t>
      </w:r>
      <w:r w:rsidRPr="00A52585">
        <w:rPr>
          <w:rFonts w:hint="cs"/>
          <w:rtl/>
        </w:rPr>
        <w:t>:</w:t>
      </w:r>
      <w:r w:rsidR="00777DCB" w:rsidRPr="00A52585">
        <w:rPr>
          <w:rFonts w:hint="cs"/>
          <w:rtl/>
        </w:rPr>
        <w:t xml:space="preserve"> تمام الشيء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ولما بلغ أشده واستوى</w:t>
      </w:r>
      <w:r w:rsidRPr="00A52585">
        <w:rPr>
          <w:rFonts w:hint="cs"/>
          <w:rtl/>
        </w:rPr>
        <w:t>)</w:t>
      </w:r>
      <w:r w:rsidR="00777DCB" w:rsidRPr="00A52585">
        <w:rPr>
          <w:rFonts w:hint="cs"/>
          <w:rtl/>
        </w:rPr>
        <w:t xml:space="preserve"> القصص</w:t>
      </w:r>
      <w:r w:rsidRPr="00A52585">
        <w:rPr>
          <w:rFonts w:hint="cs"/>
          <w:rtl/>
        </w:rPr>
        <w:t>:</w:t>
      </w:r>
      <w:r w:rsidR="00777DCB" w:rsidRPr="00A52585">
        <w:rPr>
          <w:rFonts w:hint="cs"/>
          <w:rtl/>
        </w:rPr>
        <w:t xml:space="preserve"> 14</w:t>
      </w:r>
      <w:r w:rsidR="00DB731D" w:rsidRPr="00A52585">
        <w:rPr>
          <w:rFonts w:hint="cs"/>
          <w:rtl/>
        </w:rPr>
        <w:t>،</w:t>
      </w:r>
      <w:r w:rsidR="00777DCB" w:rsidRPr="00A52585">
        <w:rPr>
          <w:rFonts w:hint="cs"/>
          <w:rtl/>
        </w:rPr>
        <w:t xml:space="preserve"> أي تم</w:t>
      </w:r>
      <w:r w:rsidR="00DB731D" w:rsidRPr="00A52585">
        <w:rPr>
          <w:rFonts w:hint="cs"/>
          <w:rtl/>
        </w:rPr>
        <w:t>،</w:t>
      </w:r>
      <w:r w:rsidR="00777DCB" w:rsidRPr="00A52585">
        <w:rPr>
          <w:rFonts w:hint="cs"/>
          <w:rtl/>
        </w:rPr>
        <w:t xml:space="preserve"> والاستواء</w:t>
      </w:r>
      <w:r w:rsidRPr="00A52585">
        <w:rPr>
          <w:rFonts w:hint="cs"/>
          <w:rtl/>
        </w:rPr>
        <w:t>:</w:t>
      </w:r>
      <w:r w:rsidR="00777DCB" w:rsidRPr="00A52585">
        <w:rPr>
          <w:rFonts w:hint="cs"/>
          <w:rtl/>
        </w:rPr>
        <w:t xml:space="preserve"> القصد إلى الشيء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 إلى السماء</w:t>
      </w:r>
      <w:r w:rsidRPr="00A52585">
        <w:rPr>
          <w:rFonts w:hint="cs"/>
          <w:rtl/>
        </w:rPr>
        <w:t>)</w:t>
      </w:r>
      <w:r w:rsidR="00777DCB" w:rsidRPr="00A52585">
        <w:rPr>
          <w:rFonts w:hint="cs"/>
          <w:rtl/>
        </w:rPr>
        <w:t xml:space="preserve"> البقرة</w:t>
      </w:r>
      <w:r w:rsidRPr="00A52585">
        <w:rPr>
          <w:rFonts w:hint="cs"/>
          <w:rtl/>
        </w:rPr>
        <w:t>:</w:t>
      </w:r>
      <w:r w:rsidR="00777DCB" w:rsidRPr="00A52585">
        <w:rPr>
          <w:rFonts w:hint="cs"/>
          <w:rtl/>
        </w:rPr>
        <w:t xml:space="preserve"> 29</w:t>
      </w:r>
      <w:r w:rsidR="00897A24" w:rsidRPr="00A52585">
        <w:rPr>
          <w:rFonts w:hint="cs"/>
          <w:rtl/>
        </w:rPr>
        <w:t>.</w:t>
      </w:r>
      <w:r w:rsidR="00777DCB" w:rsidRPr="00A52585">
        <w:rPr>
          <w:rFonts w:hint="cs"/>
          <w:rtl/>
        </w:rPr>
        <w:t xml:space="preserve"> أي قصد خلقها</w:t>
      </w:r>
      <w:r w:rsidR="00DB731D" w:rsidRPr="00A52585">
        <w:rPr>
          <w:rFonts w:hint="cs"/>
          <w:rtl/>
        </w:rPr>
        <w:t>،</w:t>
      </w:r>
      <w:r w:rsidR="00777DCB" w:rsidRPr="00A52585">
        <w:rPr>
          <w:rFonts w:hint="cs"/>
          <w:rtl/>
        </w:rPr>
        <w:t xml:space="preserve"> والاستواء الاستيلاء </w:t>
      </w:r>
      <w:r w:rsidR="00777DCB" w:rsidRPr="00A52585">
        <w:rPr>
          <w:rFonts w:hint="cs"/>
          <w:rtl/>
        </w:rPr>
        <w:lastRenderedPageBreak/>
        <w:t>على الشيء</w:t>
      </w:r>
      <w:r w:rsidR="00DB731D" w:rsidRPr="00A52585">
        <w:rPr>
          <w:rFonts w:hint="cs"/>
          <w:rtl/>
        </w:rPr>
        <w:t>،</w:t>
      </w:r>
      <w:r w:rsidR="00777DCB" w:rsidRPr="00A52585">
        <w:rPr>
          <w:rFonts w:hint="cs"/>
          <w:rtl/>
        </w:rPr>
        <w:t xml:space="preserve"> قال الشاعر</w:t>
      </w:r>
      <w:r w:rsidRPr="00A52585">
        <w:rPr>
          <w:rFonts w:hint="cs"/>
          <w:rtl/>
        </w:rPr>
        <w:t>:</w:t>
      </w:r>
      <w:r w:rsidR="00777DCB" w:rsidRPr="00A52585">
        <w:rPr>
          <w:rFonts w:hint="cs"/>
          <w:rtl/>
        </w:rPr>
        <w:t xml:space="preserve"> قد استوى بشر على العراق من غير سيف ودم مهراق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وبعض المبتدعة يقولون</w:t>
      </w:r>
      <w:r w:rsidRPr="00A52585">
        <w:rPr>
          <w:rFonts w:hint="cs"/>
          <w:sz w:val="24"/>
          <w:szCs w:val="24"/>
          <w:rtl/>
        </w:rPr>
        <w:t>:</w:t>
      </w:r>
      <w:r w:rsidR="00777DCB" w:rsidRPr="00A52585">
        <w:rPr>
          <w:rFonts w:hint="cs"/>
          <w:sz w:val="24"/>
          <w:szCs w:val="24"/>
          <w:rtl/>
        </w:rPr>
        <w:t xml:space="preserve"> هذا البيت هو </w:t>
      </w:r>
      <w:proofErr w:type="spellStart"/>
      <w:r w:rsidR="00777DCB" w:rsidRPr="00A52585">
        <w:rPr>
          <w:rFonts w:hint="cs"/>
          <w:sz w:val="24"/>
          <w:szCs w:val="24"/>
          <w:rtl/>
        </w:rPr>
        <w:t>للاخطل</w:t>
      </w:r>
      <w:proofErr w:type="spellEnd"/>
      <w:r w:rsidR="00777DCB" w:rsidRPr="00A52585">
        <w:rPr>
          <w:rFonts w:hint="cs"/>
          <w:sz w:val="24"/>
          <w:szCs w:val="24"/>
          <w:rtl/>
        </w:rPr>
        <w:t xml:space="preserve"> وكان نصرانيا فهل تبنون عقائدكم على قول نصراني</w:t>
      </w:r>
      <w:r w:rsidR="00F95886" w:rsidRPr="00A52585">
        <w:rPr>
          <w:rFonts w:hint="cs"/>
          <w:sz w:val="24"/>
          <w:szCs w:val="24"/>
          <w:rtl/>
        </w:rPr>
        <w:t>؟!</w:t>
      </w:r>
      <w:r w:rsidR="00777DCB" w:rsidRPr="00A52585">
        <w:rPr>
          <w:rFonts w:hint="cs"/>
          <w:sz w:val="24"/>
          <w:szCs w:val="24"/>
          <w:rtl/>
        </w:rPr>
        <w:t xml:space="preserve"> ونجيبهم فنقول</w:t>
      </w:r>
      <w:r w:rsidRPr="00A52585">
        <w:rPr>
          <w:rFonts w:hint="cs"/>
          <w:sz w:val="24"/>
          <w:szCs w:val="24"/>
          <w:rtl/>
        </w:rPr>
        <w:t>:</w:t>
      </w:r>
      <w:r w:rsidR="00777DCB" w:rsidRPr="00A52585">
        <w:rPr>
          <w:rFonts w:hint="cs"/>
          <w:sz w:val="24"/>
          <w:szCs w:val="24"/>
          <w:rtl/>
        </w:rPr>
        <w:t xml:space="preserve"> نحن نستدل أيضا في فهم لغة العرب من أقوال عبدة الاصنام الجاهليين فضلا عن الاخطل النصراني</w:t>
      </w:r>
      <w:r w:rsidR="00DB731D" w:rsidRPr="00A52585">
        <w:rPr>
          <w:rFonts w:hint="cs"/>
          <w:sz w:val="24"/>
          <w:szCs w:val="24"/>
          <w:rtl/>
        </w:rPr>
        <w:t>،</w:t>
      </w:r>
      <w:r w:rsidR="00777DCB" w:rsidRPr="00A52585">
        <w:rPr>
          <w:rFonts w:hint="cs"/>
          <w:sz w:val="24"/>
          <w:szCs w:val="24"/>
          <w:rtl/>
        </w:rPr>
        <w:t xml:space="preserve"> وإن السؤال المبني على نوع من </w:t>
      </w:r>
      <w:proofErr w:type="spellStart"/>
      <w:r w:rsidR="00777DCB" w:rsidRPr="00A52585">
        <w:rPr>
          <w:rFonts w:hint="cs"/>
          <w:sz w:val="24"/>
          <w:szCs w:val="24"/>
          <w:rtl/>
        </w:rPr>
        <w:t>التبله</w:t>
      </w:r>
      <w:proofErr w:type="spellEnd"/>
      <w:r w:rsidR="00777DCB" w:rsidRPr="00A52585">
        <w:rPr>
          <w:rFonts w:hint="cs"/>
          <w:sz w:val="24"/>
          <w:szCs w:val="24"/>
          <w:rtl/>
        </w:rPr>
        <w:t xml:space="preserve"> لن يجديكم أيها المبتدعة</w:t>
      </w:r>
      <w:r w:rsidR="00DB731D" w:rsidRPr="00A52585">
        <w:rPr>
          <w:rFonts w:hint="cs"/>
          <w:sz w:val="24"/>
          <w:szCs w:val="24"/>
          <w:rtl/>
        </w:rPr>
        <w:t>،</w:t>
      </w:r>
      <w:r w:rsidR="00777DCB" w:rsidRPr="00A52585">
        <w:rPr>
          <w:rFonts w:hint="cs"/>
          <w:sz w:val="24"/>
          <w:szCs w:val="24"/>
          <w:rtl/>
        </w:rPr>
        <w:t xml:space="preserve"> وذلك لان الله تعالى أنزل هذا القرآن الكريم بلغة العرب الاقحاح الذين كانوا يعبدون الاوثان والاصنام فنحن إذا أتينا بأشعارهم وأرجازهم فإنما نأتي بها لنفهم المعنى المراد من الآية الكريمة التي نزلت بلغة أولئك</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وقدوتنا</w:t>
      </w:r>
      <w:proofErr w:type="spellEnd"/>
      <w:r w:rsidR="00777DCB" w:rsidRPr="00A52585">
        <w:rPr>
          <w:rFonts w:hint="cs"/>
          <w:sz w:val="24"/>
          <w:szCs w:val="24"/>
          <w:rtl/>
        </w:rPr>
        <w:t xml:space="preserve"> في ذلك سيدنا رسول الله صلى الله عليه وسلم الذي كان يستنشد بعض الصحابة أبياتا لبعض الجاهليين ويقول كلما فرغ القائل من بيت</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هيه</w:t>
      </w:r>
      <w:r w:rsidRPr="00A52585">
        <w:rPr>
          <w:rFonts w:hint="cs"/>
          <w:sz w:val="24"/>
          <w:szCs w:val="24"/>
          <w:rtl/>
        </w:rPr>
        <w:t>)</w:t>
      </w:r>
      <w:r w:rsidR="00777DCB" w:rsidRPr="00A52585">
        <w:rPr>
          <w:rFonts w:hint="cs"/>
          <w:sz w:val="24"/>
          <w:szCs w:val="24"/>
          <w:rtl/>
        </w:rPr>
        <w:t xml:space="preserve"> حتى يأتي بالذي بعده وقد ثبت ذلك عنه صلى الله عليه وسلم</w:t>
      </w:r>
      <w:r w:rsidR="00897A24" w:rsidRPr="00A52585">
        <w:rPr>
          <w:rFonts w:hint="cs"/>
          <w:sz w:val="24"/>
          <w:szCs w:val="24"/>
          <w:rtl/>
        </w:rPr>
        <w:t>.</w:t>
      </w:r>
      <w:r w:rsidR="00777DCB" w:rsidRPr="00A52585">
        <w:rPr>
          <w:rFonts w:hint="cs"/>
          <w:sz w:val="24"/>
          <w:szCs w:val="24"/>
          <w:rtl/>
        </w:rPr>
        <w:t xml:space="preserve"> رواه أبو داود الطيالسي</w:t>
      </w:r>
      <w:r w:rsidRPr="00A52585">
        <w:rPr>
          <w:rFonts w:hint="cs"/>
          <w:sz w:val="24"/>
          <w:szCs w:val="24"/>
          <w:rtl/>
        </w:rPr>
        <w:t>]</w:t>
      </w:r>
      <w:r w:rsidR="00777DCB" w:rsidRPr="00A52585">
        <w:rPr>
          <w:rFonts w:hint="cs"/>
          <w:rtl/>
        </w:rPr>
        <w:t>، وقال الآخر</w:t>
      </w:r>
      <w:r w:rsidRPr="00A52585">
        <w:rPr>
          <w:rFonts w:hint="cs"/>
          <w:rtl/>
        </w:rPr>
        <w:t>:</w:t>
      </w:r>
      <w:r w:rsidR="00777DCB" w:rsidRPr="00A52585">
        <w:rPr>
          <w:rFonts w:hint="cs"/>
          <w:rtl/>
        </w:rPr>
        <w:t xml:space="preserve"> إذا ما غزى قوما أباح حريمهم وأضحى على ما ملكوه قد استوى</w:t>
      </w:r>
      <w:r w:rsidR="00DB731D" w:rsidRPr="00A52585">
        <w:rPr>
          <w:rFonts w:hint="cs"/>
          <w:rtl/>
        </w:rPr>
        <w:t>،</w:t>
      </w:r>
      <w:r w:rsidR="00777DCB" w:rsidRPr="00A52585">
        <w:rPr>
          <w:rFonts w:hint="cs"/>
          <w:rtl/>
        </w:rPr>
        <w:t xml:space="preserve"> وروى إسماعيل بن أبي خالد الطائي قال</w:t>
      </w:r>
      <w:r w:rsidRPr="00A52585">
        <w:rPr>
          <w:rFonts w:hint="cs"/>
          <w:rtl/>
        </w:rPr>
        <w:t>:</w:t>
      </w:r>
      <w:r w:rsidR="00777DCB" w:rsidRPr="00A52585">
        <w:rPr>
          <w:rFonts w:hint="cs"/>
          <w:rtl/>
        </w:rPr>
        <w:t xml:space="preserve"> العرش ياقوتة حمراء</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وجميع السلف على امرار هذه الآية كما جاءت من غير تفسير ولا تأويل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الحافظ أبو حيان رحمه الله تعالى في تفسيره " النهر الماد " </w:t>
      </w:r>
      <w:r w:rsidRPr="00A52585">
        <w:rPr>
          <w:rFonts w:hint="cs"/>
          <w:sz w:val="24"/>
          <w:szCs w:val="24"/>
          <w:rtl/>
        </w:rPr>
        <w:t>(</w:t>
      </w:r>
      <w:r w:rsidR="00777DCB" w:rsidRPr="00A52585">
        <w:rPr>
          <w:rFonts w:hint="cs"/>
          <w:sz w:val="24"/>
          <w:szCs w:val="24"/>
          <w:rtl/>
        </w:rPr>
        <w:t>1 / 254</w:t>
      </w:r>
      <w:r w:rsidRPr="00A52585">
        <w:rPr>
          <w:rFonts w:hint="cs"/>
          <w:sz w:val="24"/>
          <w:szCs w:val="24"/>
          <w:rtl/>
        </w:rPr>
        <w:t>)</w:t>
      </w:r>
      <w:r w:rsidR="00777DCB" w:rsidRPr="00A52585">
        <w:rPr>
          <w:rFonts w:hint="cs"/>
          <w:sz w:val="24"/>
          <w:szCs w:val="24"/>
          <w:rtl/>
        </w:rPr>
        <w:t xml:space="preserve"> المطبوع في ثلاثة مجلدات مستقلة عند تفسير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وسع كرسيه السموات والارض</w:t>
      </w:r>
      <w:r w:rsidRPr="00A52585">
        <w:rPr>
          <w:rFonts w:hint="cs"/>
          <w:sz w:val="24"/>
          <w:szCs w:val="24"/>
          <w:rtl/>
        </w:rPr>
        <w:t>)</w:t>
      </w:r>
      <w:r w:rsidR="00777DCB" w:rsidRPr="00A52585">
        <w:rPr>
          <w:rFonts w:hint="cs"/>
          <w:sz w:val="24"/>
          <w:szCs w:val="24"/>
          <w:rtl/>
        </w:rPr>
        <w:t xml:space="preserve"> أن ابن تيمية قال في رسالة له كما قرأها الحافظ أبو حيان وهي بخط ابن تيمية معاصره</w:t>
      </w:r>
      <w:r w:rsidRPr="00A52585">
        <w:rPr>
          <w:rFonts w:hint="cs"/>
          <w:sz w:val="24"/>
          <w:szCs w:val="24"/>
          <w:rtl/>
        </w:rPr>
        <w:t>:</w:t>
      </w:r>
      <w:r w:rsidR="00777DCB" w:rsidRPr="00A52585">
        <w:rPr>
          <w:rFonts w:hint="cs"/>
          <w:sz w:val="24"/>
          <w:szCs w:val="24"/>
          <w:rtl/>
        </w:rPr>
        <w:t xml:space="preserve"> " إن الله يجلس على العرش وقد أخلى مكانا يقعد فيه معه رسول الله صلى الله عليه وسلم " </w:t>
      </w:r>
      <w:proofErr w:type="spellStart"/>
      <w:r w:rsidR="00777DCB" w:rsidRPr="00A52585">
        <w:rPr>
          <w:rFonts w:hint="cs"/>
          <w:sz w:val="24"/>
          <w:szCs w:val="24"/>
          <w:rtl/>
        </w:rPr>
        <w:t>عياذا</w:t>
      </w:r>
      <w:proofErr w:type="spellEnd"/>
      <w:r w:rsidR="00777DCB" w:rsidRPr="00A52585">
        <w:rPr>
          <w:rFonts w:hint="cs"/>
          <w:sz w:val="24"/>
          <w:szCs w:val="24"/>
          <w:rtl/>
        </w:rPr>
        <w:t xml:space="preserve"> بالله تعالى وهذا الكلام محذوف من الطبعة التي بهامش " البحر المحيط " لان مصححه بدار السعادة حذفها </w:t>
      </w:r>
      <w:proofErr w:type="spellStart"/>
      <w:r w:rsidR="00777DCB" w:rsidRPr="00A52585">
        <w:rPr>
          <w:rFonts w:hint="cs"/>
          <w:sz w:val="24"/>
          <w:szCs w:val="24"/>
          <w:rtl/>
        </w:rPr>
        <w:t>لاستشناعها</w:t>
      </w:r>
      <w:proofErr w:type="spellEnd"/>
      <w:r w:rsidR="00777DCB" w:rsidRPr="00A52585">
        <w:rPr>
          <w:rFonts w:hint="cs"/>
          <w:sz w:val="24"/>
          <w:szCs w:val="24"/>
          <w:rtl/>
        </w:rPr>
        <w:t xml:space="preserve"> وطلب من الامام المحدث الكوثري والامام المحدث سيدي عبد الله بن الصديق الغماري أن يسجلا ذلك عليه عندما راجعاه وقد نبها على ذلك في بعض كتبهما</w:t>
      </w:r>
      <w:r w:rsidR="00DB731D" w:rsidRPr="00A52585">
        <w:rPr>
          <w:rFonts w:hint="cs"/>
          <w:sz w:val="24"/>
          <w:szCs w:val="24"/>
          <w:rtl/>
        </w:rPr>
        <w:t>،</w:t>
      </w:r>
      <w:r w:rsidR="00777DCB" w:rsidRPr="00A52585">
        <w:rPr>
          <w:rFonts w:hint="cs"/>
          <w:sz w:val="24"/>
          <w:szCs w:val="24"/>
          <w:rtl/>
        </w:rPr>
        <w:t xml:space="preserve"> وكلام ابن تيمية هذا ثابت في كتاب تلميذه ابن القيم " بدائع الفوائد " </w:t>
      </w:r>
      <w:r w:rsidRPr="00A52585">
        <w:rPr>
          <w:rFonts w:hint="cs"/>
          <w:sz w:val="24"/>
          <w:szCs w:val="24"/>
          <w:rtl/>
        </w:rPr>
        <w:t>(</w:t>
      </w:r>
      <w:r w:rsidR="00777DCB" w:rsidRPr="00A52585">
        <w:rPr>
          <w:rFonts w:hint="cs"/>
          <w:sz w:val="24"/>
          <w:szCs w:val="24"/>
          <w:rtl/>
        </w:rPr>
        <w:t>4 / 39</w:t>
      </w:r>
      <w:r w:rsidRPr="00A52585">
        <w:rPr>
          <w:rFonts w:hint="cs"/>
          <w:sz w:val="24"/>
          <w:szCs w:val="24"/>
          <w:rtl/>
        </w:rPr>
        <w:t>)</w:t>
      </w:r>
      <w:r w:rsidR="00777DCB" w:rsidRPr="00A52585">
        <w:rPr>
          <w:rFonts w:hint="cs"/>
          <w:sz w:val="24"/>
          <w:szCs w:val="24"/>
          <w:rtl/>
        </w:rPr>
        <w:t xml:space="preserve"> ونقله عن بعض السلف وهو مردود على قائله لو ثبت عنه</w:t>
      </w:r>
      <w:r w:rsidR="00DB731D" w:rsidRPr="00A52585">
        <w:rPr>
          <w:rFonts w:hint="cs"/>
          <w:sz w:val="24"/>
          <w:szCs w:val="24"/>
          <w:rtl/>
        </w:rPr>
        <w:t>،</w:t>
      </w:r>
      <w:r w:rsidR="00777DCB" w:rsidRPr="00A52585">
        <w:rPr>
          <w:rFonts w:hint="cs"/>
          <w:sz w:val="24"/>
          <w:szCs w:val="24"/>
          <w:rtl/>
        </w:rPr>
        <w:t xml:space="preserve"> كما نقله عن الدارقطني في أبيات ذكرها هنالك ولا تصح نسبتها للدارقطني لان في سندها إليه كذابان </w:t>
      </w:r>
      <w:proofErr w:type="spellStart"/>
      <w:r w:rsidR="00777DCB" w:rsidRPr="00A52585">
        <w:rPr>
          <w:rFonts w:hint="cs"/>
          <w:sz w:val="24"/>
          <w:szCs w:val="24"/>
          <w:rtl/>
        </w:rPr>
        <w:t>حنبليان</w:t>
      </w:r>
      <w:proofErr w:type="spellEnd"/>
      <w:r w:rsidR="00777DCB" w:rsidRPr="00A52585">
        <w:rPr>
          <w:rFonts w:hint="cs"/>
          <w:sz w:val="24"/>
          <w:szCs w:val="24"/>
          <w:rtl/>
        </w:rPr>
        <w:t xml:space="preserve"> مجسمان وهما ابن كادش والعشاري وكان على ابن القيم لو كان يعرف الجرح والتعديل والرجال أن يرد تلك الابيات ويبين أنها منحولة زورا على الدارقطني لكنه إما أنه لا يعلم ذلك وإما انه تغاضى عنه وأحلاهما مر</w:t>
      </w:r>
      <w:r w:rsidR="00DB731D" w:rsidRPr="00A52585">
        <w:rPr>
          <w:rFonts w:hint="cs"/>
          <w:sz w:val="24"/>
          <w:szCs w:val="24"/>
          <w:rtl/>
        </w:rPr>
        <w:t>،</w:t>
      </w:r>
      <w:r w:rsidR="00777DCB" w:rsidRPr="00A52585">
        <w:rPr>
          <w:rFonts w:hint="cs"/>
          <w:sz w:val="24"/>
          <w:szCs w:val="24"/>
          <w:rtl/>
        </w:rPr>
        <w:t xml:space="preserve"> وأعود فأقول</w:t>
      </w:r>
      <w:r w:rsidRPr="00A52585">
        <w:rPr>
          <w:rFonts w:hint="cs"/>
          <w:sz w:val="24"/>
          <w:szCs w:val="24"/>
          <w:rtl/>
        </w:rPr>
        <w:t>:</w:t>
      </w:r>
      <w:r w:rsidR="00777DCB" w:rsidRPr="00A52585">
        <w:rPr>
          <w:rFonts w:hint="cs"/>
          <w:sz w:val="24"/>
          <w:szCs w:val="24"/>
          <w:rtl/>
        </w:rPr>
        <w:t xml:space="preserve"> لقد ثبت تأويل الاستواء عن السلف</w:t>
      </w:r>
      <w:r w:rsidR="00DB731D" w:rsidRPr="00A52585">
        <w:rPr>
          <w:rFonts w:hint="cs"/>
          <w:sz w:val="24"/>
          <w:szCs w:val="24"/>
          <w:rtl/>
        </w:rPr>
        <w:t>،</w:t>
      </w:r>
      <w:r w:rsidR="00777DCB" w:rsidRPr="00A52585">
        <w:rPr>
          <w:rFonts w:hint="cs"/>
          <w:sz w:val="24"/>
          <w:szCs w:val="24"/>
          <w:rtl/>
        </w:rPr>
        <w:t xml:space="preserve"> ففي تفسير الحافظ ابن جرير السلفي </w:t>
      </w:r>
      <w:r w:rsidRPr="00A52585">
        <w:rPr>
          <w:rFonts w:hint="cs"/>
          <w:sz w:val="24"/>
          <w:szCs w:val="24"/>
          <w:rtl/>
        </w:rPr>
        <w:t>(</w:t>
      </w:r>
      <w:r w:rsidR="00777DCB" w:rsidRPr="00A52585">
        <w:rPr>
          <w:rFonts w:hint="cs"/>
          <w:sz w:val="24"/>
          <w:szCs w:val="24"/>
          <w:rtl/>
        </w:rPr>
        <w:t>1 / 192</w:t>
      </w:r>
      <w:r w:rsidRPr="00A52585">
        <w:rPr>
          <w:rFonts w:hint="cs"/>
          <w:sz w:val="24"/>
          <w:szCs w:val="24"/>
          <w:rtl/>
        </w:rPr>
        <w:t>)</w:t>
      </w:r>
      <w:r w:rsidR="00777DCB" w:rsidRPr="00A52585">
        <w:rPr>
          <w:rFonts w:hint="cs"/>
          <w:sz w:val="24"/>
          <w:szCs w:val="24"/>
          <w:rtl/>
        </w:rPr>
        <w:t xml:space="preserve"> تأويل الاستواء بعلو الملك والسلطان وهو تأويل مقبول</w:t>
      </w:r>
      <w:r w:rsidR="00DB731D" w:rsidRPr="00A52585">
        <w:rPr>
          <w:rFonts w:hint="cs"/>
          <w:sz w:val="24"/>
          <w:szCs w:val="24"/>
          <w:rtl/>
        </w:rPr>
        <w:t>،</w:t>
      </w:r>
      <w:r w:rsidR="00777DCB" w:rsidRPr="00A52585">
        <w:rPr>
          <w:rFonts w:hint="cs"/>
          <w:sz w:val="24"/>
          <w:szCs w:val="24"/>
          <w:rtl/>
        </w:rPr>
        <w:t xml:space="preserve"> وفي البخاري تأويل أبي العالية الاستواء بالارتفاع فإن كان يريد </w:t>
      </w:r>
      <w:proofErr w:type="spellStart"/>
      <w:r w:rsidR="00777DCB" w:rsidRPr="00A52585">
        <w:rPr>
          <w:rFonts w:hint="cs"/>
          <w:sz w:val="24"/>
          <w:szCs w:val="24"/>
          <w:rtl/>
        </w:rPr>
        <w:t>إرتفاع</w:t>
      </w:r>
      <w:proofErr w:type="spellEnd"/>
      <w:r w:rsidR="00777DCB" w:rsidRPr="00A52585">
        <w:rPr>
          <w:rFonts w:hint="cs"/>
          <w:sz w:val="24"/>
          <w:szCs w:val="24"/>
          <w:rtl/>
        </w:rPr>
        <w:t xml:space="preserve"> الربوبية على رتبة العبودية بعلو الملك والسلطان والقهر والعظمة كما يقول الحافظ ابن جرير السلفي فتأويل مقبول لا ترفضه قواعد الشريعة ولا لغة العرب</w:t>
      </w:r>
      <w:r w:rsidR="00DB731D" w:rsidRPr="00A52585">
        <w:rPr>
          <w:rFonts w:hint="cs"/>
          <w:sz w:val="24"/>
          <w:szCs w:val="24"/>
          <w:rtl/>
        </w:rPr>
        <w:t>،</w:t>
      </w:r>
      <w:r w:rsidR="00777DCB" w:rsidRPr="00A52585">
        <w:rPr>
          <w:rFonts w:hint="cs"/>
          <w:sz w:val="24"/>
          <w:szCs w:val="24"/>
          <w:rtl/>
        </w:rPr>
        <w:t xml:space="preserve"> وأما إن كان مراده ارتفاع الذات المتخيلة فهو تأويل مردود</w:t>
      </w:r>
      <w:r w:rsidR="00DB731D" w:rsidRPr="00A52585">
        <w:rPr>
          <w:rFonts w:hint="cs"/>
          <w:sz w:val="24"/>
          <w:szCs w:val="24"/>
          <w:rtl/>
        </w:rPr>
        <w:t>،</w:t>
      </w:r>
      <w:r w:rsidR="00777DCB" w:rsidRPr="00A52585">
        <w:rPr>
          <w:rFonts w:hint="cs"/>
          <w:sz w:val="24"/>
          <w:szCs w:val="24"/>
          <w:rtl/>
        </w:rPr>
        <w:t xml:space="preserve"> وما أظن أن أبا العالية أراد ذلك ولا قصده</w:t>
      </w:r>
      <w:r w:rsidR="00DB731D" w:rsidRPr="00A52585">
        <w:rPr>
          <w:rFonts w:hint="cs"/>
          <w:sz w:val="24"/>
          <w:szCs w:val="24"/>
          <w:rtl/>
        </w:rPr>
        <w:t>،</w:t>
      </w:r>
      <w:r w:rsidR="00777DCB" w:rsidRPr="00A52585">
        <w:rPr>
          <w:rFonts w:hint="cs"/>
          <w:sz w:val="24"/>
          <w:szCs w:val="24"/>
          <w:rtl/>
        </w:rPr>
        <w:t xml:space="preserve"> ونحن نقول</w:t>
      </w:r>
      <w:r w:rsidRPr="00A52585">
        <w:rPr>
          <w:rFonts w:hint="cs"/>
          <w:sz w:val="24"/>
          <w:szCs w:val="24"/>
          <w:rtl/>
        </w:rPr>
        <w:t>:</w:t>
      </w:r>
      <w:r w:rsidR="00777DCB" w:rsidRPr="00A52585">
        <w:rPr>
          <w:rFonts w:hint="cs"/>
          <w:sz w:val="24"/>
          <w:szCs w:val="24"/>
          <w:rtl/>
        </w:rPr>
        <w:t xml:space="preserve"> معنى </w:t>
      </w:r>
      <w:r w:rsidRPr="00A52585">
        <w:rPr>
          <w:rFonts w:hint="cs"/>
          <w:sz w:val="24"/>
          <w:szCs w:val="24"/>
          <w:rtl/>
        </w:rPr>
        <w:t>(</w:t>
      </w:r>
      <w:r w:rsidR="00777DCB" w:rsidRPr="00A52585">
        <w:rPr>
          <w:rFonts w:hint="cs"/>
          <w:sz w:val="24"/>
          <w:szCs w:val="24"/>
          <w:rtl/>
        </w:rPr>
        <w:t>الرحمن على العرش استوى</w:t>
      </w:r>
      <w:r w:rsidRPr="00A52585">
        <w:rPr>
          <w:rFonts w:hint="cs"/>
          <w:sz w:val="24"/>
          <w:szCs w:val="24"/>
          <w:rtl/>
        </w:rPr>
        <w:t>)</w:t>
      </w:r>
      <w:r w:rsidR="00777DCB" w:rsidRPr="00A52585">
        <w:rPr>
          <w:rFonts w:hint="cs"/>
          <w:sz w:val="24"/>
          <w:szCs w:val="24"/>
          <w:rtl/>
        </w:rPr>
        <w:t xml:space="preserve"> أي</w:t>
      </w:r>
      <w:r w:rsidRPr="00A52585">
        <w:rPr>
          <w:rFonts w:hint="cs"/>
          <w:sz w:val="24"/>
          <w:szCs w:val="24"/>
          <w:rtl/>
        </w:rPr>
        <w:t>:</w:t>
      </w:r>
      <w:r w:rsidR="00777DCB" w:rsidRPr="00A52585">
        <w:rPr>
          <w:rFonts w:hint="cs"/>
          <w:sz w:val="24"/>
          <w:szCs w:val="24"/>
          <w:rtl/>
        </w:rPr>
        <w:t xml:space="preserve"> الرحمن صاحب الملك والارادة والقهر في هذا العالم من عرشه إلى فرشه</w:t>
      </w:r>
      <w:r w:rsidR="00DB731D" w:rsidRPr="00A52585">
        <w:rPr>
          <w:rFonts w:hint="cs"/>
          <w:sz w:val="24"/>
          <w:szCs w:val="24"/>
          <w:rtl/>
        </w:rPr>
        <w:t>،</w:t>
      </w:r>
      <w:r w:rsidR="00777DCB" w:rsidRPr="00A52585">
        <w:rPr>
          <w:rFonts w:hint="cs"/>
          <w:sz w:val="24"/>
          <w:szCs w:val="24"/>
          <w:rtl/>
        </w:rPr>
        <w:t xml:space="preserve"> وذكر العرش هنا دون غيره </w:t>
      </w:r>
      <w:proofErr w:type="spellStart"/>
      <w:r w:rsidR="00777DCB" w:rsidRPr="00A52585">
        <w:rPr>
          <w:rFonts w:hint="cs"/>
          <w:sz w:val="24"/>
          <w:szCs w:val="24"/>
          <w:rtl/>
        </w:rPr>
        <w:t>لانه</w:t>
      </w:r>
      <w:proofErr w:type="spellEnd"/>
      <w:r w:rsidR="00777DCB" w:rsidRPr="00A52585">
        <w:rPr>
          <w:rFonts w:hint="cs"/>
          <w:sz w:val="24"/>
          <w:szCs w:val="24"/>
          <w:rtl/>
        </w:rPr>
        <w:t xml:space="preserve"> أعظم المخلوقات وأكبرها فإذا كان مستو عليه بالقهر والربوبية اقتضى أنه مستو على كافة خلقه بهذا المعنى من باب أولى</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فالاستواء عندنا هنا هو الاستيلاء والقهر أو تفويض معناه إلى الله وتنزيهه عن كل ما يخطر في الذهن وعن ما تزعمه المجسمة كالحراني وأضرابه من القعود والاربع أصابع</w:t>
      </w:r>
      <w:r w:rsidR="00DB731D" w:rsidRPr="00A52585">
        <w:rPr>
          <w:rFonts w:hint="cs"/>
          <w:sz w:val="24"/>
          <w:szCs w:val="24"/>
          <w:rtl/>
        </w:rPr>
        <w:t>،</w:t>
      </w:r>
      <w:r w:rsidR="00777DCB" w:rsidRPr="00A52585">
        <w:rPr>
          <w:rFonts w:hint="cs"/>
          <w:sz w:val="24"/>
          <w:szCs w:val="24"/>
          <w:rtl/>
        </w:rPr>
        <w:t xml:space="preserve"> وهذا الذي تقتضيه لغة العرب مع نصوص الكتاب والسنة</w:t>
      </w:r>
      <w:r w:rsidR="00DB731D" w:rsidRPr="00A52585">
        <w:rPr>
          <w:rFonts w:hint="cs"/>
          <w:sz w:val="24"/>
          <w:szCs w:val="24"/>
          <w:rtl/>
        </w:rPr>
        <w:t>،</w:t>
      </w:r>
      <w:r w:rsidR="00777DCB" w:rsidRPr="00A52585">
        <w:rPr>
          <w:rFonts w:hint="cs"/>
          <w:sz w:val="24"/>
          <w:szCs w:val="24"/>
          <w:rtl/>
        </w:rPr>
        <w:t xml:space="preserve"> أما لغة العرب</w:t>
      </w:r>
      <w:r w:rsidRPr="00A52585">
        <w:rPr>
          <w:rFonts w:hint="cs"/>
          <w:sz w:val="24"/>
          <w:szCs w:val="24"/>
          <w:rtl/>
        </w:rPr>
        <w:t>:</w:t>
      </w:r>
      <w:r w:rsidR="00777DCB" w:rsidRPr="00A52585">
        <w:rPr>
          <w:rFonts w:hint="cs"/>
          <w:sz w:val="24"/>
          <w:szCs w:val="24"/>
          <w:rtl/>
        </w:rPr>
        <w:t xml:space="preserve"> ففي " مفردات " الراغب في مادة </w:t>
      </w:r>
      <w:r w:rsidRPr="00A52585">
        <w:rPr>
          <w:rFonts w:hint="cs"/>
          <w:sz w:val="24"/>
          <w:szCs w:val="24"/>
          <w:rtl/>
        </w:rPr>
        <w:t>(</w:t>
      </w:r>
      <w:r w:rsidR="00777DCB" w:rsidRPr="00A52585">
        <w:rPr>
          <w:rFonts w:hint="cs"/>
          <w:sz w:val="24"/>
          <w:szCs w:val="24"/>
          <w:rtl/>
        </w:rPr>
        <w:t>سوا</w:t>
      </w:r>
      <w:r w:rsidRPr="00A52585">
        <w:rPr>
          <w:rFonts w:hint="cs"/>
          <w:sz w:val="24"/>
          <w:szCs w:val="24"/>
          <w:rtl/>
        </w:rPr>
        <w:t>)</w:t>
      </w:r>
      <w:r w:rsidR="00777DCB" w:rsidRPr="00A52585">
        <w:rPr>
          <w:rFonts w:hint="cs"/>
          <w:sz w:val="24"/>
          <w:szCs w:val="24"/>
          <w:rtl/>
        </w:rPr>
        <w:t xml:space="preserve"> ص </w:t>
      </w:r>
      <w:r w:rsidRPr="00A52585">
        <w:rPr>
          <w:rFonts w:hint="cs"/>
          <w:sz w:val="24"/>
          <w:szCs w:val="24"/>
          <w:rtl/>
        </w:rPr>
        <w:t>(</w:t>
      </w:r>
      <w:r w:rsidR="00777DCB" w:rsidRPr="00A52585">
        <w:rPr>
          <w:rFonts w:hint="cs"/>
          <w:sz w:val="24"/>
          <w:szCs w:val="24"/>
          <w:rtl/>
        </w:rPr>
        <w:t>251</w:t>
      </w:r>
      <w:r w:rsidRPr="00A52585">
        <w:rPr>
          <w:rFonts w:hint="cs"/>
          <w:sz w:val="24"/>
          <w:szCs w:val="24"/>
          <w:rtl/>
        </w:rPr>
        <w:t>)</w:t>
      </w:r>
      <w:r w:rsidR="00777DCB" w:rsidRPr="00A52585">
        <w:rPr>
          <w:rFonts w:hint="cs"/>
          <w:sz w:val="24"/>
          <w:szCs w:val="24"/>
          <w:rtl/>
        </w:rPr>
        <w:t xml:space="preserve"> " الاستواء - متى عدي بعلى اقتضى معنى الاستيلاء كقوله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الرحمن على العرش استوى</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w:t>
      </w:r>
      <w:r w:rsidR="00DB731D" w:rsidRPr="00A52585">
        <w:rPr>
          <w:rFonts w:hint="cs"/>
          <w:sz w:val="24"/>
          <w:szCs w:val="24"/>
          <w:rtl/>
        </w:rPr>
        <w:t>،</w:t>
      </w:r>
      <w:r w:rsidR="00777DCB" w:rsidRPr="00A52585">
        <w:rPr>
          <w:rFonts w:hint="cs"/>
          <w:sz w:val="24"/>
          <w:szCs w:val="24"/>
          <w:rtl/>
        </w:rPr>
        <w:t xml:space="preserve"> وأما في الكتاب الكريم</w:t>
      </w:r>
      <w:r w:rsidRPr="00A52585">
        <w:rPr>
          <w:rFonts w:hint="cs"/>
          <w:sz w:val="24"/>
          <w:szCs w:val="24"/>
          <w:rtl/>
        </w:rPr>
        <w:t>:</w:t>
      </w:r>
      <w:r w:rsidR="00777DCB" w:rsidRPr="00A52585">
        <w:rPr>
          <w:rFonts w:hint="cs"/>
          <w:sz w:val="24"/>
          <w:szCs w:val="24"/>
          <w:rtl/>
        </w:rPr>
        <w:t xml:space="preserve"> فقوله -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وهو القاهر فوق عباده</w:t>
      </w:r>
      <w:r w:rsidRPr="00A52585">
        <w:rPr>
          <w:rFonts w:hint="cs"/>
          <w:sz w:val="24"/>
          <w:szCs w:val="24"/>
          <w:rtl/>
        </w:rPr>
        <w:t>)</w:t>
      </w:r>
      <w:r w:rsidR="00777DCB" w:rsidRPr="00A52585">
        <w:rPr>
          <w:rFonts w:hint="cs"/>
          <w:sz w:val="24"/>
          <w:szCs w:val="24"/>
          <w:rtl/>
        </w:rPr>
        <w:t xml:space="preserve"> فبين أن فوقيته واستواءه بالقهر لا بالمكان</w:t>
      </w:r>
      <w:r w:rsidR="00DB731D" w:rsidRPr="00A52585">
        <w:rPr>
          <w:rFonts w:hint="cs"/>
          <w:sz w:val="24"/>
          <w:szCs w:val="24"/>
          <w:rtl/>
        </w:rPr>
        <w:t>،</w:t>
      </w:r>
      <w:r w:rsidR="00777DCB" w:rsidRPr="00A52585">
        <w:rPr>
          <w:rFonts w:hint="cs"/>
          <w:sz w:val="24"/>
          <w:szCs w:val="24"/>
          <w:rtl/>
        </w:rPr>
        <w:t xml:space="preserve"> وأما السنة</w:t>
      </w:r>
      <w:r w:rsidRPr="00A52585">
        <w:rPr>
          <w:rFonts w:hint="cs"/>
          <w:sz w:val="24"/>
          <w:szCs w:val="24"/>
          <w:rtl/>
        </w:rPr>
        <w:t>:</w:t>
      </w:r>
      <w:r w:rsidR="00777DCB" w:rsidRPr="00A52585">
        <w:rPr>
          <w:rFonts w:hint="cs"/>
          <w:sz w:val="24"/>
          <w:szCs w:val="24"/>
          <w:rtl/>
        </w:rPr>
        <w:t xml:space="preserve"> فثبت في صحيح مسلم </w:t>
      </w:r>
      <w:r w:rsidRPr="00A52585">
        <w:rPr>
          <w:rFonts w:hint="cs"/>
          <w:sz w:val="24"/>
          <w:szCs w:val="24"/>
          <w:rtl/>
        </w:rPr>
        <w:t>(</w:t>
      </w:r>
      <w:r w:rsidR="00777DCB" w:rsidRPr="00A52585">
        <w:rPr>
          <w:rFonts w:hint="cs"/>
          <w:sz w:val="24"/>
          <w:szCs w:val="24"/>
          <w:rtl/>
        </w:rPr>
        <w:t>4 / 61</w:t>
      </w:r>
      <w:r w:rsidRPr="00A52585">
        <w:rPr>
          <w:rFonts w:hint="cs"/>
          <w:sz w:val="24"/>
          <w:szCs w:val="24"/>
          <w:rtl/>
        </w:rPr>
        <w:t>)</w:t>
      </w:r>
      <w:r w:rsidR="00777DCB" w:rsidRPr="00A52585">
        <w:rPr>
          <w:rFonts w:hint="cs"/>
          <w:sz w:val="24"/>
          <w:szCs w:val="24"/>
          <w:rtl/>
        </w:rPr>
        <w:t xml:space="preserve"> وغيره</w:t>
      </w:r>
      <w:r w:rsidRPr="00A52585">
        <w:rPr>
          <w:rFonts w:hint="cs"/>
          <w:sz w:val="24"/>
          <w:szCs w:val="24"/>
          <w:rtl/>
        </w:rPr>
        <w:t>:</w:t>
      </w:r>
      <w:r w:rsidR="00777DCB" w:rsidRPr="00A52585">
        <w:rPr>
          <w:rFonts w:hint="cs"/>
          <w:sz w:val="24"/>
          <w:szCs w:val="24"/>
          <w:rtl/>
        </w:rPr>
        <w:t xml:space="preserve"> " اللهم أنت الظاهر فليس فوقك شيء وأنت الباطن فليس دونك شيء "</w:t>
      </w:r>
      <w:r w:rsidR="00DB731D" w:rsidRPr="00A52585">
        <w:rPr>
          <w:rFonts w:hint="cs"/>
          <w:sz w:val="24"/>
          <w:szCs w:val="24"/>
          <w:rtl/>
        </w:rPr>
        <w:t>،</w:t>
      </w:r>
      <w:r w:rsidR="00777DCB" w:rsidRPr="00A52585">
        <w:rPr>
          <w:rFonts w:hint="cs"/>
          <w:sz w:val="24"/>
          <w:szCs w:val="24"/>
          <w:rtl/>
        </w:rPr>
        <w:t xml:space="preserve"> قال الحافظ البيهقي في " الاسماء والصفات " </w:t>
      </w:r>
      <w:r w:rsidRPr="00A52585">
        <w:rPr>
          <w:rFonts w:hint="cs"/>
          <w:sz w:val="24"/>
          <w:szCs w:val="24"/>
          <w:rtl/>
        </w:rPr>
        <w:t>(</w:t>
      </w:r>
      <w:r w:rsidR="00777DCB" w:rsidRPr="00A52585">
        <w:rPr>
          <w:rFonts w:hint="cs"/>
          <w:sz w:val="24"/>
          <w:szCs w:val="24"/>
          <w:rtl/>
        </w:rPr>
        <w:t>400</w:t>
      </w:r>
      <w:r w:rsidRPr="00A52585">
        <w:rPr>
          <w:rFonts w:hint="cs"/>
          <w:sz w:val="24"/>
          <w:szCs w:val="24"/>
          <w:rtl/>
        </w:rPr>
        <w:t>):</w:t>
      </w:r>
      <w:r w:rsidR="00777DCB" w:rsidRPr="00A52585">
        <w:rPr>
          <w:rFonts w:hint="cs"/>
          <w:sz w:val="24"/>
          <w:szCs w:val="24"/>
          <w:rtl/>
        </w:rPr>
        <w:t xml:space="preserve"> " استدل بعض أصحابنا بهذا الحديث على نفي المكان عن الله تعالى</w:t>
      </w:r>
      <w:r w:rsidR="00DB731D" w:rsidRPr="00A52585">
        <w:rPr>
          <w:rFonts w:hint="cs"/>
          <w:sz w:val="24"/>
          <w:szCs w:val="24"/>
          <w:rtl/>
        </w:rPr>
        <w:t>،</w:t>
      </w:r>
      <w:r w:rsidR="00777DCB" w:rsidRPr="00A52585">
        <w:rPr>
          <w:rFonts w:hint="cs"/>
          <w:sz w:val="24"/>
          <w:szCs w:val="24"/>
          <w:rtl/>
        </w:rPr>
        <w:t xml:space="preserve"> فإذا لم يكن فوقه شيء ولا دونه - أي تحته - شيء لم يكن في مكان</w:t>
      </w:r>
      <w:r w:rsidR="00DB731D"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وما بين الشرطتين من توضيحي</w:t>
      </w:r>
      <w:r w:rsidR="00DB731D" w:rsidRPr="00A52585">
        <w:rPr>
          <w:rFonts w:hint="cs"/>
          <w:sz w:val="24"/>
          <w:szCs w:val="24"/>
          <w:rtl/>
        </w:rPr>
        <w:t>،</w:t>
      </w:r>
      <w:r w:rsidR="00777DCB" w:rsidRPr="00A52585">
        <w:rPr>
          <w:rFonts w:hint="cs"/>
          <w:sz w:val="24"/>
          <w:szCs w:val="24"/>
          <w:rtl/>
        </w:rPr>
        <w:t xml:space="preserve"> وكل هذه النصوص تنفي وتبطل لفظة " بذاته " التي يوردها بعض المجسمة في قولهم</w:t>
      </w:r>
      <w:r w:rsidRPr="00A52585">
        <w:rPr>
          <w:rFonts w:hint="cs"/>
          <w:sz w:val="24"/>
          <w:szCs w:val="24"/>
          <w:rtl/>
        </w:rPr>
        <w:t>:</w:t>
      </w:r>
      <w:r w:rsidR="00777DCB" w:rsidRPr="00A52585">
        <w:rPr>
          <w:rFonts w:hint="cs"/>
          <w:sz w:val="24"/>
          <w:szCs w:val="24"/>
          <w:rtl/>
        </w:rPr>
        <w:t xml:space="preserve"> " الله على عرشه استوى بذاته "</w:t>
      </w:r>
      <w:r w:rsidR="00F95886" w:rsidRPr="00A52585">
        <w:rPr>
          <w:rFonts w:hint="cs"/>
          <w:sz w:val="24"/>
          <w:szCs w:val="24"/>
          <w:rtl/>
        </w:rPr>
        <w:t>!!</w:t>
      </w:r>
      <w:r w:rsidR="00777DCB" w:rsidRPr="00A52585">
        <w:rPr>
          <w:rFonts w:hint="cs"/>
          <w:sz w:val="24"/>
          <w:szCs w:val="24"/>
          <w:rtl/>
        </w:rPr>
        <w:t xml:space="preserve"> وتثبت معنى الاستيلاء والقهر والعلو المعنوي كما قدمنا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وقد قال الحافظ ابن حجر في الفتح </w:t>
      </w:r>
      <w:r w:rsidRPr="00A52585">
        <w:rPr>
          <w:rFonts w:hint="cs"/>
          <w:sz w:val="24"/>
          <w:szCs w:val="24"/>
          <w:rtl/>
        </w:rPr>
        <w:t>(</w:t>
      </w:r>
      <w:r w:rsidR="00777DCB" w:rsidRPr="00A52585">
        <w:rPr>
          <w:rFonts w:hint="cs"/>
          <w:sz w:val="24"/>
          <w:szCs w:val="24"/>
          <w:rtl/>
        </w:rPr>
        <w:t>6 / 136</w:t>
      </w:r>
      <w:r w:rsidRPr="00A52585">
        <w:rPr>
          <w:rFonts w:hint="cs"/>
          <w:sz w:val="24"/>
          <w:szCs w:val="24"/>
          <w:rtl/>
        </w:rPr>
        <w:t>)</w:t>
      </w:r>
      <w:r w:rsidR="00777DCB" w:rsidRPr="00A52585">
        <w:rPr>
          <w:rFonts w:hint="cs"/>
          <w:sz w:val="24"/>
          <w:szCs w:val="24"/>
          <w:rtl/>
        </w:rPr>
        <w:t xml:space="preserve"> أيضا</w:t>
      </w:r>
      <w:r w:rsidRPr="00A52585">
        <w:rPr>
          <w:rFonts w:hint="cs"/>
          <w:sz w:val="24"/>
          <w:szCs w:val="24"/>
          <w:rtl/>
        </w:rPr>
        <w:t>:</w:t>
      </w:r>
      <w:r w:rsidR="00777DCB" w:rsidRPr="00A52585">
        <w:rPr>
          <w:rFonts w:hint="cs"/>
          <w:sz w:val="24"/>
          <w:szCs w:val="24"/>
          <w:rtl/>
        </w:rPr>
        <w:t xml:space="preserve"> " ولا يلزم من كون جهتي العلو والسفل محال على الله أن لا يوصف بالعلو</w:t>
      </w:r>
      <w:r w:rsidR="00DB731D" w:rsidRPr="00A52585">
        <w:rPr>
          <w:rFonts w:hint="cs"/>
          <w:sz w:val="24"/>
          <w:szCs w:val="24"/>
          <w:rtl/>
        </w:rPr>
        <w:t>،</w:t>
      </w:r>
      <w:r w:rsidR="00777DCB" w:rsidRPr="00A52585">
        <w:rPr>
          <w:rFonts w:hint="cs"/>
          <w:sz w:val="24"/>
          <w:szCs w:val="24"/>
          <w:rtl/>
        </w:rPr>
        <w:t xml:space="preserve"> لان وصفه بالعلو من جهة المعنى</w:t>
      </w:r>
      <w:r w:rsidR="00DB731D" w:rsidRPr="00A52585">
        <w:rPr>
          <w:rFonts w:hint="cs"/>
          <w:sz w:val="24"/>
          <w:szCs w:val="24"/>
          <w:rtl/>
        </w:rPr>
        <w:t>،</w:t>
      </w:r>
      <w:r w:rsidR="00777DCB" w:rsidRPr="00A52585">
        <w:rPr>
          <w:rFonts w:hint="cs"/>
          <w:sz w:val="24"/>
          <w:szCs w:val="24"/>
          <w:rtl/>
        </w:rPr>
        <w:t xml:space="preserve"> والمستحيل كون ذلك من جهة الحس " اه‍</w:t>
      </w:r>
      <w:r w:rsidR="00DB731D" w:rsidRPr="00A52585">
        <w:rPr>
          <w:rFonts w:hint="cs"/>
          <w:sz w:val="24"/>
          <w:szCs w:val="24"/>
          <w:rtl/>
        </w:rPr>
        <w:t>،</w:t>
      </w:r>
      <w:r w:rsidR="00777DCB" w:rsidRPr="00A52585">
        <w:rPr>
          <w:rFonts w:hint="cs"/>
          <w:sz w:val="24"/>
          <w:szCs w:val="24"/>
          <w:rtl/>
        </w:rPr>
        <w:t xml:space="preserve"> وقد ذكر الحافظ في الفتح </w:t>
      </w:r>
      <w:r w:rsidRPr="00A52585">
        <w:rPr>
          <w:rFonts w:hint="cs"/>
          <w:sz w:val="24"/>
          <w:szCs w:val="24"/>
          <w:rtl/>
        </w:rPr>
        <w:t>(</w:t>
      </w:r>
      <w:r w:rsidR="00777DCB" w:rsidRPr="00A52585">
        <w:rPr>
          <w:rFonts w:hint="cs"/>
          <w:sz w:val="24"/>
          <w:szCs w:val="24"/>
          <w:rtl/>
        </w:rPr>
        <w:t>1 / 508</w:t>
      </w:r>
      <w:r w:rsidRPr="00A52585">
        <w:rPr>
          <w:rFonts w:hint="cs"/>
          <w:sz w:val="24"/>
          <w:szCs w:val="24"/>
          <w:rtl/>
        </w:rPr>
        <w:t>)</w:t>
      </w:r>
      <w:r w:rsidR="00777DCB" w:rsidRPr="00A52585">
        <w:rPr>
          <w:rFonts w:hint="cs"/>
          <w:sz w:val="24"/>
          <w:szCs w:val="24"/>
          <w:rtl/>
        </w:rPr>
        <w:t xml:space="preserve"> عند شرح حديث</w:t>
      </w:r>
      <w:r w:rsidRPr="00A52585">
        <w:rPr>
          <w:rFonts w:hint="cs"/>
          <w:sz w:val="24"/>
          <w:szCs w:val="24"/>
          <w:rtl/>
        </w:rPr>
        <w:t>:</w:t>
      </w:r>
      <w:r w:rsidR="00777DCB" w:rsidRPr="00A52585">
        <w:rPr>
          <w:rFonts w:hint="cs"/>
          <w:sz w:val="24"/>
          <w:szCs w:val="24"/>
          <w:rtl/>
        </w:rPr>
        <w:t xml:space="preserve"> " إن أحدكم إذا قام في صلاته فإنه يناجي ربه أو إن ربه بينه وبين القبلة فلا يبزقن أحدكم قبل قبلته</w:t>
      </w:r>
      <w:r w:rsidR="00897A24" w:rsidRPr="00A52585">
        <w:rPr>
          <w:rFonts w:hint="cs"/>
          <w:sz w:val="24"/>
          <w:szCs w:val="24"/>
          <w:rtl/>
        </w:rPr>
        <w:t>...</w:t>
      </w:r>
      <w:r w:rsidR="00777DCB" w:rsidRPr="00A52585">
        <w:rPr>
          <w:rFonts w:hint="cs"/>
          <w:sz w:val="24"/>
          <w:szCs w:val="24"/>
          <w:rtl/>
        </w:rPr>
        <w:t xml:space="preserve"> " الحديث قال ابن حجر</w:t>
      </w:r>
      <w:r w:rsidRPr="00A52585">
        <w:rPr>
          <w:rFonts w:hint="cs"/>
          <w:sz w:val="24"/>
          <w:szCs w:val="24"/>
          <w:rtl/>
        </w:rPr>
        <w:t>:</w:t>
      </w:r>
      <w:r w:rsidR="00777DCB" w:rsidRPr="00A52585">
        <w:rPr>
          <w:rFonts w:hint="cs"/>
          <w:sz w:val="24"/>
          <w:szCs w:val="24"/>
          <w:rtl/>
        </w:rPr>
        <w:t xml:space="preserve"> " وفيه الرد على من زعم أنه على العرش بذاته "</w:t>
      </w:r>
      <w:r w:rsidR="00DB731D" w:rsidRPr="00A52585">
        <w:rPr>
          <w:rFonts w:hint="cs"/>
          <w:sz w:val="24"/>
          <w:szCs w:val="24"/>
          <w:rtl/>
        </w:rPr>
        <w:t>،</w:t>
      </w:r>
      <w:r w:rsidR="00777DCB" w:rsidRPr="00A52585">
        <w:rPr>
          <w:rFonts w:hint="cs"/>
          <w:sz w:val="24"/>
          <w:szCs w:val="24"/>
          <w:rtl/>
        </w:rPr>
        <w:t xml:space="preserve"> فإن قال قائل</w:t>
      </w:r>
      <w:r w:rsidRPr="00A52585">
        <w:rPr>
          <w:rFonts w:hint="cs"/>
          <w:sz w:val="24"/>
          <w:szCs w:val="24"/>
          <w:rtl/>
        </w:rPr>
        <w:t>:</w:t>
      </w:r>
      <w:r w:rsidR="00777DCB" w:rsidRPr="00A52585">
        <w:rPr>
          <w:rFonts w:hint="cs"/>
          <w:sz w:val="24"/>
          <w:szCs w:val="24"/>
          <w:rtl/>
        </w:rPr>
        <w:t xml:space="preserve"> " إن قولكم</w:t>
      </w:r>
      <w:r w:rsidRPr="00A52585">
        <w:rPr>
          <w:rFonts w:hint="cs"/>
          <w:sz w:val="24"/>
          <w:szCs w:val="24"/>
          <w:rtl/>
        </w:rPr>
        <w:t>:</w:t>
      </w:r>
      <w:r w:rsidR="00777DCB" w:rsidRPr="00A52585">
        <w:rPr>
          <w:rFonts w:hint="cs"/>
          <w:sz w:val="24"/>
          <w:szCs w:val="24"/>
          <w:rtl/>
        </w:rPr>
        <w:t xml:space="preserve"> معنى استوى قهر واستولى وملك يقتضي المغالبة</w:t>
      </w:r>
      <w:r w:rsidR="00DB731D" w:rsidRPr="00A52585">
        <w:rPr>
          <w:rFonts w:hint="cs"/>
          <w:sz w:val="24"/>
          <w:szCs w:val="24"/>
          <w:rtl/>
        </w:rPr>
        <w:t>،</w:t>
      </w:r>
      <w:r w:rsidR="00777DCB" w:rsidRPr="00A52585">
        <w:rPr>
          <w:rFonts w:hint="cs"/>
          <w:sz w:val="24"/>
          <w:szCs w:val="24"/>
          <w:rtl/>
        </w:rPr>
        <w:t xml:space="preserve"> أي أنه لم يكن قاهرا للعرش ثم غلب على الامر فقهر واستولى أليس كذلك</w:t>
      </w:r>
      <w:r w:rsidR="00F95886" w:rsidRPr="00A52585">
        <w:rPr>
          <w:rFonts w:hint="cs"/>
          <w:sz w:val="24"/>
          <w:szCs w:val="24"/>
          <w:rtl/>
        </w:rPr>
        <w:t>؟</w:t>
      </w:r>
      <w:r w:rsidR="00777DCB" w:rsidRPr="00A52585">
        <w:rPr>
          <w:rFonts w:hint="cs"/>
          <w:sz w:val="24"/>
          <w:szCs w:val="24"/>
          <w:rtl/>
        </w:rPr>
        <w:t xml:space="preserve"> "</w:t>
      </w:r>
      <w:r w:rsidR="00F95886" w:rsidRPr="00A52585">
        <w:rPr>
          <w:rFonts w:hint="cs"/>
          <w:sz w:val="24"/>
          <w:szCs w:val="24"/>
          <w:rtl/>
        </w:rPr>
        <w:t>!!</w:t>
      </w:r>
      <w:r w:rsidR="00777DCB" w:rsidRPr="00A52585">
        <w:rPr>
          <w:rFonts w:hint="cs"/>
          <w:sz w:val="24"/>
          <w:szCs w:val="24"/>
          <w:rtl/>
        </w:rPr>
        <w:t xml:space="preserve"> قلنا</w:t>
      </w:r>
      <w:r w:rsidRPr="00A52585">
        <w:rPr>
          <w:rFonts w:hint="cs"/>
          <w:sz w:val="24"/>
          <w:szCs w:val="24"/>
          <w:rtl/>
        </w:rPr>
        <w:t>:</w:t>
      </w:r>
      <w:r w:rsidR="00777DCB" w:rsidRPr="00A52585">
        <w:rPr>
          <w:rFonts w:hint="cs"/>
          <w:sz w:val="24"/>
          <w:szCs w:val="24"/>
          <w:rtl/>
        </w:rPr>
        <w:t xml:space="preserve"> لا وإنما هذا خيال فاسد وتصور باطل قام بذهنك وسمعته أو قرأته من بعض كتب المجسمة فظننته حقا</w:t>
      </w:r>
      <w:r w:rsidR="00DB731D" w:rsidRPr="00A52585">
        <w:rPr>
          <w:rFonts w:hint="cs"/>
          <w:sz w:val="24"/>
          <w:szCs w:val="24"/>
          <w:rtl/>
        </w:rPr>
        <w:t>،</w:t>
      </w:r>
      <w:r w:rsidR="00777DCB" w:rsidRPr="00A52585">
        <w:rPr>
          <w:rFonts w:hint="cs"/>
          <w:sz w:val="24"/>
          <w:szCs w:val="24"/>
          <w:rtl/>
        </w:rPr>
        <w:t xml:space="preserve"> وهذا الخيال والتصور باطل بصريح العقل والنقل ونحن نضرب لك مثالا لبيان بطلانه حتى تتحقق من ذلك</w:t>
      </w:r>
      <w:r w:rsidR="00DB731D" w:rsidRPr="00A52585">
        <w:rPr>
          <w:rFonts w:hint="cs"/>
          <w:sz w:val="24"/>
          <w:szCs w:val="24"/>
          <w:rtl/>
        </w:rPr>
        <w:t>،</w:t>
      </w:r>
      <w:r w:rsidR="00777DCB" w:rsidRPr="00A52585">
        <w:rPr>
          <w:rFonts w:hint="cs"/>
          <w:sz w:val="24"/>
          <w:szCs w:val="24"/>
          <w:rtl/>
        </w:rPr>
        <w:t xml:space="preserve"> فنقول لك</w:t>
      </w:r>
      <w:r w:rsidRPr="00A52585">
        <w:rPr>
          <w:rFonts w:hint="cs"/>
          <w:sz w:val="24"/>
          <w:szCs w:val="24"/>
          <w:rtl/>
        </w:rPr>
        <w:t>:</w:t>
      </w:r>
      <w:r w:rsidR="00777DCB" w:rsidRPr="00A52585">
        <w:rPr>
          <w:rFonts w:hint="cs"/>
          <w:sz w:val="24"/>
          <w:szCs w:val="24"/>
          <w:rtl/>
        </w:rPr>
        <w:t xml:space="preserve"> ألم تعلم أن الله تعالى يخبرنا عن يوم القيامة فيقول لنا في كتابه العزيز</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لمن الملك اليوم</w:t>
      </w:r>
      <w:r w:rsidR="00F95886" w:rsidRPr="00A52585">
        <w:rPr>
          <w:rFonts w:hint="cs"/>
          <w:sz w:val="24"/>
          <w:szCs w:val="24"/>
          <w:rtl/>
        </w:rPr>
        <w:t>؟!</w:t>
      </w:r>
      <w:r w:rsidRPr="00A52585">
        <w:rPr>
          <w:rFonts w:hint="cs"/>
          <w:sz w:val="24"/>
          <w:szCs w:val="24"/>
          <w:rtl/>
        </w:rPr>
        <w:t>)</w:t>
      </w:r>
      <w:r w:rsidR="00777DCB" w:rsidRPr="00A52585">
        <w:rPr>
          <w:rFonts w:hint="cs"/>
          <w:sz w:val="24"/>
          <w:szCs w:val="24"/>
          <w:rtl/>
        </w:rPr>
        <w:t xml:space="preserve"> فنقول لك</w:t>
      </w:r>
      <w:r w:rsidRPr="00A52585">
        <w:rPr>
          <w:rFonts w:hint="cs"/>
          <w:sz w:val="24"/>
          <w:szCs w:val="24"/>
          <w:rtl/>
        </w:rPr>
        <w:t>:</w:t>
      </w:r>
      <w:r w:rsidR="00777DCB" w:rsidRPr="00A52585">
        <w:rPr>
          <w:rFonts w:hint="cs"/>
          <w:sz w:val="24"/>
          <w:szCs w:val="24"/>
          <w:rtl/>
        </w:rPr>
        <w:t xml:space="preserve"> هل كان الملك قبل ذلك اليوم لغير الله تعالى</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الجواب</w:t>
      </w:r>
      <w:r w:rsidRPr="00A52585">
        <w:rPr>
          <w:rFonts w:hint="cs"/>
          <w:sz w:val="24"/>
          <w:szCs w:val="24"/>
          <w:rtl/>
        </w:rPr>
        <w:t>:</w:t>
      </w:r>
      <w:r w:rsidR="00777DCB" w:rsidRPr="00A52585">
        <w:rPr>
          <w:rFonts w:hint="cs"/>
          <w:sz w:val="24"/>
          <w:szCs w:val="24"/>
          <w:rtl/>
        </w:rPr>
        <w:t xml:space="preserve"> لا قطعا</w:t>
      </w:r>
      <w:r w:rsidR="00897A24" w:rsidRPr="00A52585">
        <w:rPr>
          <w:rFonts w:hint="cs"/>
          <w:sz w:val="24"/>
          <w:szCs w:val="24"/>
          <w:rtl/>
        </w:rPr>
        <w:t>.</w:t>
      </w:r>
      <w:r w:rsidR="00777DCB" w:rsidRPr="00A52585">
        <w:rPr>
          <w:rFonts w:hint="cs"/>
          <w:sz w:val="24"/>
          <w:szCs w:val="24"/>
          <w:rtl/>
        </w:rPr>
        <w:t xml:space="preserve"> إذن لم يلزم من قول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لمن الملك اليوم</w:t>
      </w:r>
      <w:r w:rsidRPr="00A52585">
        <w:rPr>
          <w:rFonts w:hint="cs"/>
          <w:sz w:val="24"/>
          <w:szCs w:val="24"/>
          <w:rtl/>
        </w:rPr>
        <w:t>)</w:t>
      </w:r>
      <w:r w:rsidR="00777DCB" w:rsidRPr="00A52585">
        <w:rPr>
          <w:rFonts w:hint="cs"/>
          <w:sz w:val="24"/>
          <w:szCs w:val="24"/>
          <w:rtl/>
        </w:rPr>
        <w:t xml:space="preserve"> أن الملك قبل ذلك اليوم كان لغيره سبحانه</w:t>
      </w:r>
      <w:r w:rsidR="00DB731D" w:rsidRPr="00A52585">
        <w:rPr>
          <w:rFonts w:hint="cs"/>
          <w:sz w:val="24"/>
          <w:szCs w:val="24"/>
          <w:rtl/>
        </w:rPr>
        <w:t>،</w:t>
      </w:r>
      <w:r w:rsidR="00777DCB" w:rsidRPr="00A52585">
        <w:rPr>
          <w:rFonts w:hint="cs"/>
          <w:sz w:val="24"/>
          <w:szCs w:val="24"/>
          <w:rtl/>
        </w:rPr>
        <w:t xml:space="preserve"> وكذلك قولنا</w:t>
      </w:r>
      <w:r w:rsidRPr="00A52585">
        <w:rPr>
          <w:rFonts w:hint="cs"/>
          <w:sz w:val="24"/>
          <w:szCs w:val="24"/>
          <w:rtl/>
        </w:rPr>
        <w:t>:</w:t>
      </w:r>
      <w:r w:rsidR="00777DCB" w:rsidRPr="00A52585">
        <w:rPr>
          <w:rFonts w:hint="cs"/>
          <w:sz w:val="24"/>
          <w:szCs w:val="24"/>
          <w:rtl/>
        </w:rPr>
        <w:t xml:space="preserve"> استوى معناه</w:t>
      </w:r>
      <w:r w:rsidRPr="00A52585">
        <w:rPr>
          <w:rFonts w:hint="cs"/>
          <w:sz w:val="24"/>
          <w:szCs w:val="24"/>
          <w:rtl/>
        </w:rPr>
        <w:t>:</w:t>
      </w:r>
      <w:r w:rsidR="00777DCB" w:rsidRPr="00A52585">
        <w:rPr>
          <w:rFonts w:hint="cs"/>
          <w:sz w:val="24"/>
          <w:szCs w:val="24"/>
          <w:rtl/>
        </w:rPr>
        <w:t xml:space="preserve"> قهر واستولى</w:t>
      </w:r>
      <w:r w:rsidR="00DB731D" w:rsidRPr="00A52585">
        <w:rPr>
          <w:rFonts w:hint="cs"/>
          <w:sz w:val="24"/>
          <w:szCs w:val="24"/>
          <w:rtl/>
        </w:rPr>
        <w:t>،</w:t>
      </w:r>
      <w:r w:rsidR="00777DCB" w:rsidRPr="00A52585">
        <w:rPr>
          <w:rFonts w:hint="cs"/>
          <w:sz w:val="24"/>
          <w:szCs w:val="24"/>
          <w:rtl/>
        </w:rPr>
        <w:t xml:space="preserve"> ولا يلزم منه أنه لم يكن مستوليا أو قاهرا قبل ذلك والله الموفق والهادي للصواب</w:t>
      </w:r>
      <w:r w:rsidR="00DB731D" w:rsidRPr="00A52585">
        <w:rPr>
          <w:rFonts w:hint="cs"/>
          <w:sz w:val="24"/>
          <w:szCs w:val="24"/>
          <w:rtl/>
        </w:rPr>
        <w:t>،</w:t>
      </w:r>
      <w:r w:rsidR="00777DCB" w:rsidRPr="00A52585">
        <w:rPr>
          <w:rFonts w:hint="cs"/>
          <w:sz w:val="24"/>
          <w:szCs w:val="24"/>
          <w:rtl/>
        </w:rPr>
        <w:t xml:space="preserve"> ونستأنس فنقول لقد وردت أقوال عن الصحابة وأبي الحسن الاشعري تؤيد ما ذهبنا إليه ودللنا عليه وتعضده منها</w:t>
      </w:r>
      <w:r w:rsidRPr="00A52585">
        <w:rPr>
          <w:rFonts w:hint="cs"/>
          <w:sz w:val="24"/>
          <w:szCs w:val="24"/>
          <w:rtl/>
        </w:rPr>
        <w:t>:</w:t>
      </w:r>
      <w:r w:rsidR="00777DCB" w:rsidRPr="00A52585">
        <w:rPr>
          <w:rFonts w:hint="cs"/>
          <w:sz w:val="24"/>
          <w:szCs w:val="24"/>
          <w:rtl/>
        </w:rPr>
        <w:t xml:space="preserve"> ما روى الامام الربيع بن حبيب الازدي البصري في " جامعه الصحيح " وهو كتاب محفوظ منقول</w:t>
      </w:r>
      <w:r w:rsidRPr="00A52585">
        <w:rPr>
          <w:rFonts w:hint="cs"/>
          <w:rtl/>
        </w:rPr>
        <w:t>]</w:t>
      </w:r>
      <w:r w:rsidR="00DB731D" w:rsidRPr="00A52585">
        <w:rPr>
          <w:rFonts w:hint="cs"/>
          <w:rtl/>
        </w:rPr>
        <w:t>،</w:t>
      </w:r>
      <w:r w:rsidR="00777DCB" w:rsidRPr="00A52585">
        <w:rPr>
          <w:rFonts w:hint="cs"/>
          <w:rtl/>
        </w:rPr>
        <w:t xml:space="preserve"> قال عبد الله بن وهب</w:t>
      </w:r>
      <w:r w:rsidRPr="00A52585">
        <w:rPr>
          <w:rFonts w:hint="cs"/>
          <w:rtl/>
        </w:rPr>
        <w:t>:</w:t>
      </w:r>
      <w:r w:rsidR="00777DCB" w:rsidRPr="00A52585">
        <w:rPr>
          <w:rFonts w:hint="cs"/>
          <w:rtl/>
        </w:rPr>
        <w:t xml:space="preserve"> كنا عند مالك بن أنس فدخل رجل فقال</w:t>
      </w:r>
      <w:r w:rsidRPr="00A52585">
        <w:rPr>
          <w:rFonts w:hint="cs"/>
          <w:rtl/>
        </w:rPr>
        <w:t>:</w:t>
      </w:r>
      <w:r w:rsidR="00777DCB" w:rsidRPr="00A52585">
        <w:rPr>
          <w:rFonts w:hint="cs"/>
          <w:rtl/>
        </w:rPr>
        <w:t xml:space="preserve"> يا أبا عبد الله </w:t>
      </w:r>
      <w:r w:rsidRPr="00A52585">
        <w:rPr>
          <w:rFonts w:hint="cs"/>
          <w:rtl/>
        </w:rPr>
        <w:t>(</w:t>
      </w:r>
      <w:r w:rsidR="00777DCB" w:rsidRPr="00A52585">
        <w:rPr>
          <w:rFonts w:hint="cs"/>
          <w:rtl/>
        </w:rPr>
        <w:t>الرحمن على العرش استوى</w:t>
      </w:r>
      <w:r w:rsidRPr="00A52585">
        <w:rPr>
          <w:rFonts w:hint="cs"/>
          <w:rtl/>
        </w:rPr>
        <w:t>)</w:t>
      </w:r>
      <w:r w:rsidR="00777DCB" w:rsidRPr="00A52585">
        <w:rPr>
          <w:rFonts w:hint="cs"/>
          <w:rtl/>
        </w:rPr>
        <w:t xml:space="preserve"> كيف استوى</w:t>
      </w:r>
      <w:r w:rsidR="00F95886" w:rsidRPr="00A52585">
        <w:rPr>
          <w:rFonts w:hint="cs"/>
          <w:rtl/>
        </w:rPr>
        <w:t>؟</w:t>
      </w:r>
      <w:r w:rsidR="00777DCB" w:rsidRPr="00A52585">
        <w:rPr>
          <w:rFonts w:hint="cs"/>
          <w:rtl/>
        </w:rPr>
        <w:t xml:space="preserve"> فأطرق مالك وأخذته الرحضاء ثم رفع رأسه فقال</w:t>
      </w:r>
      <w:r w:rsidRPr="00A52585">
        <w:rPr>
          <w:rFonts w:hint="cs"/>
          <w:rtl/>
        </w:rPr>
        <w:t>:</w:t>
      </w:r>
      <w:r w:rsidR="00777DCB" w:rsidRPr="00A52585">
        <w:rPr>
          <w:rFonts w:hint="cs"/>
          <w:rtl/>
        </w:rPr>
        <w:t xml:space="preserve"> الرحمن على العرش استوى كما وصف نفسه ولا يقال له كيف</w:t>
      </w:r>
      <w:r w:rsidR="00DB731D" w:rsidRPr="00A52585">
        <w:rPr>
          <w:rFonts w:hint="cs"/>
          <w:rtl/>
        </w:rPr>
        <w:t>،</w:t>
      </w:r>
      <w:r w:rsidR="00777DCB" w:rsidRPr="00A52585">
        <w:rPr>
          <w:rFonts w:hint="cs"/>
          <w:rtl/>
        </w:rPr>
        <w:t xml:space="preserve"> وكيف عنه مرفوع وأنت رجل سوء صاحب بدعة فأخرجوه فأخرج</w:t>
      </w:r>
      <w:r w:rsidR="00DB731D" w:rsidRPr="00A52585">
        <w:rPr>
          <w:rFonts w:hint="cs"/>
          <w:rtl/>
        </w:rPr>
        <w:t>،</w:t>
      </w:r>
      <w:r w:rsidR="00777DCB" w:rsidRPr="00A52585">
        <w:rPr>
          <w:rFonts w:hint="cs"/>
          <w:rtl/>
        </w:rPr>
        <w:t xml:space="preserve"> وقد حمل قوم من المتأخرين هذه الصفة على مقتضى الحس فقالوا</w:t>
      </w:r>
      <w:r w:rsidRPr="00A52585">
        <w:rPr>
          <w:rFonts w:hint="cs"/>
          <w:rtl/>
        </w:rPr>
        <w:t>:</w:t>
      </w:r>
      <w:r w:rsidR="00777DCB" w:rsidRPr="00A52585">
        <w:rPr>
          <w:rFonts w:hint="cs"/>
          <w:rtl/>
        </w:rPr>
        <w:t xml:space="preserve"> " استوى على العرش بذاته "</w:t>
      </w:r>
      <w:r w:rsidR="00DB731D" w:rsidRPr="00A52585">
        <w:rPr>
          <w:rFonts w:hint="cs"/>
          <w:rtl/>
        </w:rPr>
        <w:t>،</w:t>
      </w:r>
      <w:r w:rsidR="00777DCB" w:rsidRPr="00A52585">
        <w:rPr>
          <w:rFonts w:hint="cs"/>
          <w:rtl/>
        </w:rPr>
        <w:t xml:space="preserve"> وهي زيادة لم تنقل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الغريب أن المبتدعة يقولون</w:t>
      </w:r>
      <w:r w:rsidRPr="00A52585">
        <w:rPr>
          <w:rFonts w:hint="cs"/>
          <w:sz w:val="24"/>
          <w:szCs w:val="24"/>
          <w:rtl/>
        </w:rPr>
        <w:t>:</w:t>
      </w:r>
      <w:r w:rsidR="00777DCB" w:rsidRPr="00A52585">
        <w:rPr>
          <w:rFonts w:hint="cs"/>
          <w:sz w:val="24"/>
          <w:szCs w:val="24"/>
          <w:rtl/>
        </w:rPr>
        <w:t xml:space="preserve"> لا نصف الله تعالى إلا بما وصف به نفسه</w:t>
      </w:r>
      <w:r w:rsidR="00DB731D" w:rsidRPr="00A52585">
        <w:rPr>
          <w:rFonts w:hint="cs"/>
          <w:sz w:val="24"/>
          <w:szCs w:val="24"/>
          <w:rtl/>
        </w:rPr>
        <w:t>،</w:t>
      </w:r>
      <w:r w:rsidR="00777DCB" w:rsidRPr="00A52585">
        <w:rPr>
          <w:rFonts w:hint="cs"/>
          <w:sz w:val="24"/>
          <w:szCs w:val="24"/>
          <w:rtl/>
        </w:rPr>
        <w:t xml:space="preserve"> ثم يقولون</w:t>
      </w:r>
      <w:r w:rsidRPr="00A52585">
        <w:rPr>
          <w:rFonts w:hint="cs"/>
          <w:sz w:val="24"/>
          <w:szCs w:val="24"/>
          <w:rtl/>
        </w:rPr>
        <w:t>:</w:t>
      </w:r>
      <w:r w:rsidR="00777DCB" w:rsidRPr="00A52585">
        <w:rPr>
          <w:rFonts w:hint="cs"/>
          <w:sz w:val="24"/>
          <w:szCs w:val="24"/>
          <w:rtl/>
        </w:rPr>
        <w:t xml:space="preserve"> استوى على العرش بذاته</w:t>
      </w:r>
      <w:r w:rsidR="00DB731D" w:rsidRPr="00A52585">
        <w:rPr>
          <w:rFonts w:hint="cs"/>
          <w:sz w:val="24"/>
          <w:szCs w:val="24"/>
          <w:rtl/>
        </w:rPr>
        <w:t>،</w:t>
      </w:r>
      <w:r w:rsidR="00777DCB" w:rsidRPr="00A52585">
        <w:rPr>
          <w:rFonts w:hint="cs"/>
          <w:sz w:val="24"/>
          <w:szCs w:val="24"/>
          <w:rtl/>
        </w:rPr>
        <w:t xml:space="preserve"> فمن أين جاءوا بلفظة " بذاته " هذه</w:t>
      </w:r>
      <w:r w:rsidR="00F95886" w:rsidRPr="00A52585">
        <w:rPr>
          <w:rFonts w:hint="cs"/>
          <w:sz w:val="24"/>
          <w:szCs w:val="24"/>
          <w:rtl/>
        </w:rPr>
        <w:t>؟!</w:t>
      </w:r>
      <w:r w:rsidR="00777DCB" w:rsidRPr="00A52585">
        <w:rPr>
          <w:rFonts w:hint="cs"/>
          <w:sz w:val="24"/>
          <w:szCs w:val="24"/>
          <w:rtl/>
        </w:rPr>
        <w:t xml:space="preserve"> وأين وردت في الكتاب والسنة</w:t>
      </w:r>
      <w:r w:rsidR="00F95886" w:rsidRPr="00A52585">
        <w:rPr>
          <w:rFonts w:hint="cs"/>
          <w:sz w:val="24"/>
          <w:szCs w:val="24"/>
          <w:rtl/>
        </w:rPr>
        <w:t>؟!</w:t>
      </w:r>
      <w:r w:rsidR="00777DCB" w:rsidRPr="00A52585">
        <w:rPr>
          <w:rFonts w:hint="cs"/>
          <w:sz w:val="24"/>
          <w:szCs w:val="24"/>
          <w:rtl/>
        </w:rPr>
        <w:t xml:space="preserve"> وهي لفظة تفيد التجسيم صراحة وتؤيد قول أئمتهم " بجلوس معبودهم على العرش حتى يفضل منه مقدار أربع أصابع "</w:t>
      </w:r>
      <w:r w:rsidR="00F95886" w:rsidRPr="00A52585">
        <w:rPr>
          <w:rFonts w:hint="cs"/>
          <w:sz w:val="24"/>
          <w:szCs w:val="24"/>
          <w:rtl/>
        </w:rPr>
        <w:t>!!</w:t>
      </w:r>
      <w:r w:rsidR="00777DCB" w:rsidRPr="00A52585">
        <w:rPr>
          <w:rFonts w:hint="cs"/>
          <w:sz w:val="24"/>
          <w:szCs w:val="24"/>
          <w:rtl/>
        </w:rPr>
        <w:t xml:space="preserve"> وقد وقع بذلك الخلال فنقل في كتابه " السنة " وما أحراه بأن يسمى كتاب البدعة عن مجاهد بسند ضعيف أكثر من خمسين مرة تفسير المقام المحمود الوارد في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عسى أن يبعثك ربك مقاما محمودا</w:t>
      </w:r>
      <w:r w:rsidRPr="00A52585">
        <w:rPr>
          <w:rFonts w:hint="cs"/>
          <w:sz w:val="24"/>
          <w:szCs w:val="24"/>
          <w:rtl/>
        </w:rPr>
        <w:t>)</w:t>
      </w:r>
      <w:r w:rsidR="00777DCB" w:rsidRPr="00A52585">
        <w:rPr>
          <w:rFonts w:hint="cs"/>
          <w:sz w:val="24"/>
          <w:szCs w:val="24"/>
          <w:rtl/>
        </w:rPr>
        <w:t xml:space="preserve"> بجلوس الرب تعالى عما يقولون على العرش </w:t>
      </w:r>
      <w:proofErr w:type="spellStart"/>
      <w:r w:rsidR="00777DCB" w:rsidRPr="00A52585">
        <w:rPr>
          <w:rFonts w:hint="cs"/>
          <w:sz w:val="24"/>
          <w:szCs w:val="24"/>
          <w:rtl/>
        </w:rPr>
        <w:t>واجلاسه</w:t>
      </w:r>
      <w:proofErr w:type="spellEnd"/>
      <w:r w:rsidR="00777DCB" w:rsidRPr="00A52585">
        <w:rPr>
          <w:rFonts w:hint="cs"/>
          <w:sz w:val="24"/>
          <w:szCs w:val="24"/>
          <w:rtl/>
        </w:rPr>
        <w:t xml:space="preserve"> سيدنا محمد صلى الله عليه وسلم بجنبه في الفراغ المقدر عندهم بأربع أصابع</w:t>
      </w:r>
      <w:r w:rsidR="00DB731D" w:rsidRPr="00A52585">
        <w:rPr>
          <w:rFonts w:hint="cs"/>
          <w:sz w:val="24"/>
          <w:szCs w:val="24"/>
          <w:rtl/>
        </w:rPr>
        <w:t>،</w:t>
      </w:r>
      <w:r w:rsidR="00777DCB" w:rsidRPr="00A52585">
        <w:rPr>
          <w:rFonts w:hint="cs"/>
          <w:sz w:val="24"/>
          <w:szCs w:val="24"/>
          <w:rtl/>
        </w:rPr>
        <w:t xml:space="preserve"> وهذه هي عقيدة الشيخ الحراني كما نقلها الحافظ أبو حيان من خطه في تفسيره </w:t>
      </w:r>
      <w:r w:rsidRPr="00A52585">
        <w:rPr>
          <w:rFonts w:hint="cs"/>
          <w:sz w:val="24"/>
          <w:szCs w:val="24"/>
          <w:rtl/>
        </w:rPr>
        <w:t>(</w:t>
      </w:r>
      <w:r w:rsidR="00777DCB" w:rsidRPr="00A52585">
        <w:rPr>
          <w:rFonts w:hint="cs"/>
          <w:sz w:val="24"/>
          <w:szCs w:val="24"/>
          <w:rtl/>
        </w:rPr>
        <w:t>النهر الماد</w:t>
      </w:r>
      <w:r w:rsidRPr="00A52585">
        <w:rPr>
          <w:rFonts w:hint="cs"/>
          <w:sz w:val="24"/>
          <w:szCs w:val="24"/>
          <w:rtl/>
        </w:rPr>
        <w:t>)</w:t>
      </w:r>
      <w:r w:rsidR="00777DCB" w:rsidRPr="00A52585">
        <w:rPr>
          <w:rFonts w:hint="cs"/>
          <w:sz w:val="24"/>
          <w:szCs w:val="24"/>
          <w:rtl/>
        </w:rPr>
        <w:t xml:space="preserve"> كما ذكرنا ذلك قريبا</w:t>
      </w:r>
      <w:r w:rsidR="00DB731D" w:rsidRPr="00A52585">
        <w:rPr>
          <w:rFonts w:hint="cs"/>
          <w:sz w:val="24"/>
          <w:szCs w:val="24"/>
          <w:rtl/>
        </w:rPr>
        <w:t>،</w:t>
      </w:r>
      <w:r w:rsidR="00777DCB" w:rsidRPr="00A52585">
        <w:rPr>
          <w:rFonts w:hint="cs"/>
          <w:sz w:val="24"/>
          <w:szCs w:val="24"/>
          <w:rtl/>
        </w:rPr>
        <w:t xml:space="preserve"> كما أنها عقيدة تلميذ الحراني</w:t>
      </w:r>
      <w:r w:rsidRPr="00A52585">
        <w:rPr>
          <w:rFonts w:hint="cs"/>
          <w:sz w:val="24"/>
          <w:szCs w:val="24"/>
          <w:rtl/>
        </w:rPr>
        <w:t>:</w:t>
      </w:r>
      <w:r w:rsidR="00777DCB" w:rsidRPr="00A52585">
        <w:rPr>
          <w:rFonts w:hint="cs"/>
          <w:sz w:val="24"/>
          <w:szCs w:val="24"/>
          <w:rtl/>
        </w:rPr>
        <w:t xml:space="preserve"> ابن القيم كما </w:t>
      </w:r>
      <w:r w:rsidR="00777DCB" w:rsidRPr="00A52585">
        <w:rPr>
          <w:rFonts w:hint="cs"/>
          <w:sz w:val="24"/>
          <w:szCs w:val="24"/>
          <w:rtl/>
        </w:rPr>
        <w:lastRenderedPageBreak/>
        <w:t xml:space="preserve">ذكرها في " بدائع فوائده " </w:t>
      </w:r>
      <w:r w:rsidRPr="00A52585">
        <w:rPr>
          <w:rFonts w:hint="cs"/>
          <w:sz w:val="24"/>
          <w:szCs w:val="24"/>
          <w:rtl/>
        </w:rPr>
        <w:t>(</w:t>
      </w:r>
      <w:r w:rsidR="00777DCB" w:rsidRPr="00A52585">
        <w:rPr>
          <w:rFonts w:hint="cs"/>
          <w:sz w:val="24"/>
          <w:szCs w:val="24"/>
          <w:rtl/>
        </w:rPr>
        <w:t>4 / 39 - 40</w:t>
      </w:r>
      <w:r w:rsidRPr="00A52585">
        <w:rPr>
          <w:rFonts w:hint="cs"/>
          <w:sz w:val="24"/>
          <w:szCs w:val="24"/>
          <w:rtl/>
        </w:rPr>
        <w:t>)</w:t>
      </w:r>
      <w:r w:rsidR="00777DCB" w:rsidRPr="00A52585">
        <w:rPr>
          <w:rFonts w:hint="cs"/>
          <w:sz w:val="24"/>
          <w:szCs w:val="24"/>
          <w:rtl/>
        </w:rPr>
        <w:t xml:space="preserve"> وهما بعد ذكر هذه العقيدة لن </w:t>
      </w:r>
      <w:proofErr w:type="spellStart"/>
      <w:r w:rsidR="00777DCB" w:rsidRPr="00A52585">
        <w:rPr>
          <w:rFonts w:hint="cs"/>
          <w:sz w:val="24"/>
          <w:szCs w:val="24"/>
          <w:rtl/>
        </w:rPr>
        <w:t>يبرءا</w:t>
      </w:r>
      <w:proofErr w:type="spellEnd"/>
      <w:r w:rsidR="00777DCB" w:rsidRPr="00A52585">
        <w:rPr>
          <w:rFonts w:hint="cs"/>
          <w:sz w:val="24"/>
          <w:szCs w:val="24"/>
          <w:rtl/>
        </w:rPr>
        <w:t xml:space="preserve"> من التجسيم مهما نقلا من نصوص في ذم التشبيه</w:t>
      </w:r>
      <w:r w:rsidR="00DB731D" w:rsidRPr="00A52585">
        <w:rPr>
          <w:rFonts w:hint="cs"/>
          <w:sz w:val="24"/>
          <w:szCs w:val="24"/>
          <w:rtl/>
        </w:rPr>
        <w:t>،</w:t>
      </w:r>
      <w:r w:rsidR="00777DCB" w:rsidRPr="00A52585">
        <w:rPr>
          <w:rFonts w:hint="cs"/>
          <w:sz w:val="24"/>
          <w:szCs w:val="24"/>
          <w:rtl/>
        </w:rPr>
        <w:t xml:space="preserve"> وخصوصا أن الشيخ الحراني يقول في " تأسيسه " </w:t>
      </w:r>
      <w:r w:rsidRPr="00A52585">
        <w:rPr>
          <w:rFonts w:hint="cs"/>
          <w:sz w:val="24"/>
          <w:szCs w:val="24"/>
          <w:rtl/>
        </w:rPr>
        <w:t>(</w:t>
      </w:r>
      <w:r w:rsidR="00777DCB" w:rsidRPr="00A52585">
        <w:rPr>
          <w:rFonts w:hint="cs"/>
          <w:sz w:val="24"/>
          <w:szCs w:val="24"/>
          <w:rtl/>
        </w:rPr>
        <w:t>1 / 109</w:t>
      </w:r>
      <w:r w:rsidRPr="00A52585">
        <w:rPr>
          <w:rFonts w:hint="cs"/>
          <w:sz w:val="24"/>
          <w:szCs w:val="24"/>
          <w:rtl/>
        </w:rPr>
        <w:t>):</w:t>
      </w:r>
      <w:r w:rsidR="00777DCB" w:rsidRPr="00A52585">
        <w:rPr>
          <w:rFonts w:hint="cs"/>
          <w:sz w:val="24"/>
          <w:szCs w:val="24"/>
          <w:rtl/>
        </w:rPr>
        <w:t xml:space="preserve"> " وإذا كان كذلك فاسم المشبهة ليس له ذكر بذم في الكتاب والسنة ولا كلام أحد من الصحابة والتابعين " اه‍</w:t>
      </w:r>
      <w:r w:rsidR="00DB731D" w:rsidRPr="00A52585">
        <w:rPr>
          <w:rFonts w:hint="cs"/>
          <w:sz w:val="24"/>
          <w:szCs w:val="24"/>
          <w:rtl/>
        </w:rPr>
        <w:t>،</w:t>
      </w:r>
      <w:r w:rsidR="00777DCB" w:rsidRPr="00A52585">
        <w:rPr>
          <w:rFonts w:hint="cs"/>
          <w:sz w:val="24"/>
          <w:szCs w:val="24"/>
          <w:rtl/>
        </w:rPr>
        <w:t xml:space="preserve"> ويقول في تأسيسه </w:t>
      </w:r>
      <w:r w:rsidRPr="00A52585">
        <w:rPr>
          <w:rFonts w:hint="cs"/>
          <w:sz w:val="24"/>
          <w:szCs w:val="24"/>
          <w:rtl/>
        </w:rPr>
        <w:t>(</w:t>
      </w:r>
      <w:r w:rsidR="00777DCB" w:rsidRPr="00A52585">
        <w:rPr>
          <w:rFonts w:hint="cs"/>
          <w:sz w:val="24"/>
          <w:szCs w:val="24"/>
          <w:rtl/>
        </w:rPr>
        <w:t>1 / 101</w:t>
      </w:r>
      <w:r w:rsidRPr="00A52585">
        <w:rPr>
          <w:rFonts w:hint="cs"/>
          <w:sz w:val="24"/>
          <w:szCs w:val="24"/>
          <w:rtl/>
        </w:rPr>
        <w:t>)</w:t>
      </w:r>
      <w:r w:rsidR="00777DCB" w:rsidRPr="00A52585">
        <w:rPr>
          <w:rFonts w:hint="cs"/>
          <w:sz w:val="24"/>
          <w:szCs w:val="24"/>
          <w:rtl/>
        </w:rPr>
        <w:t xml:space="preserve"> أيضا</w:t>
      </w:r>
      <w:r w:rsidRPr="00A52585">
        <w:rPr>
          <w:rFonts w:hint="cs"/>
          <w:sz w:val="24"/>
          <w:szCs w:val="24"/>
          <w:rtl/>
        </w:rPr>
        <w:t>:</w:t>
      </w:r>
      <w:r w:rsidR="00777DCB" w:rsidRPr="00A52585">
        <w:rPr>
          <w:rFonts w:hint="cs"/>
          <w:sz w:val="24"/>
          <w:szCs w:val="24"/>
          <w:rtl/>
        </w:rPr>
        <w:t xml:space="preserve"> " وليس في كتاب الله ولا سنة رسوله ولا قول أحد من سلف الامة وأئمتها أنه ليس بجسم وأن صفاته ليست أجساما وأعراضا</w:t>
      </w:r>
      <w:r w:rsidR="00F95886" w:rsidRPr="00A52585">
        <w:rPr>
          <w:rFonts w:hint="cs"/>
          <w:sz w:val="24"/>
          <w:szCs w:val="24"/>
          <w:rtl/>
        </w:rPr>
        <w:t>؟!</w:t>
      </w:r>
      <w:r w:rsidR="00777DCB" w:rsidRPr="00A52585">
        <w:rPr>
          <w:rFonts w:hint="cs"/>
          <w:sz w:val="24"/>
          <w:szCs w:val="24"/>
          <w:rtl/>
        </w:rPr>
        <w:t xml:space="preserve"> فنفي المعاني الثابتة بالشرع والعقل بنفي ألفاظ لم ينف معناها شرع ولا عقل جهل وضلال "</w:t>
      </w:r>
      <w:r w:rsidR="00F95886" w:rsidRPr="00A52585">
        <w:rPr>
          <w:rFonts w:hint="cs"/>
          <w:sz w:val="24"/>
          <w:szCs w:val="24"/>
          <w:rtl/>
        </w:rPr>
        <w:t>!!!</w:t>
      </w:r>
      <w:r w:rsidR="00777DCB" w:rsidRPr="00A52585">
        <w:rPr>
          <w:rFonts w:hint="cs"/>
          <w:sz w:val="24"/>
          <w:szCs w:val="24"/>
          <w:rtl/>
        </w:rPr>
        <w:t xml:space="preserve"> وقوله أيضا في تأسيسه </w:t>
      </w:r>
      <w:r w:rsidRPr="00A52585">
        <w:rPr>
          <w:rFonts w:hint="cs"/>
          <w:sz w:val="24"/>
          <w:szCs w:val="24"/>
          <w:rtl/>
        </w:rPr>
        <w:t>(</w:t>
      </w:r>
      <w:r w:rsidR="00777DCB" w:rsidRPr="00A52585">
        <w:rPr>
          <w:rFonts w:hint="cs"/>
          <w:sz w:val="24"/>
          <w:szCs w:val="24"/>
          <w:rtl/>
        </w:rPr>
        <w:t>1 / 111</w:t>
      </w:r>
      <w:r w:rsidRPr="00A52585">
        <w:rPr>
          <w:rFonts w:hint="cs"/>
          <w:sz w:val="24"/>
          <w:szCs w:val="24"/>
          <w:rtl/>
        </w:rPr>
        <w:t>):</w:t>
      </w:r>
      <w:r w:rsidR="00777DCB" w:rsidRPr="00A52585">
        <w:rPr>
          <w:rFonts w:hint="cs"/>
          <w:sz w:val="24"/>
          <w:szCs w:val="24"/>
          <w:rtl/>
        </w:rPr>
        <w:t xml:space="preserve"> " والباري سبحانه وتعالى فوق العالم فوقية حقيقة ليست فوقية الرتبة " قلت</w:t>
      </w:r>
      <w:r w:rsidRPr="00A52585">
        <w:rPr>
          <w:rFonts w:hint="cs"/>
          <w:sz w:val="24"/>
          <w:szCs w:val="24"/>
          <w:rtl/>
        </w:rPr>
        <w:t>:</w:t>
      </w:r>
      <w:r w:rsidR="00777DCB" w:rsidRPr="00A52585">
        <w:rPr>
          <w:rFonts w:hint="cs"/>
          <w:sz w:val="24"/>
          <w:szCs w:val="24"/>
          <w:rtl/>
        </w:rPr>
        <w:t xml:space="preserve"> وقد بين لنا فيما نقله من خطه الحافظ أبو حيان ما هي الفوقية الحقيقة عنده وعند تلميذه ابن </w:t>
      </w:r>
      <w:proofErr w:type="spellStart"/>
      <w:r w:rsidR="00777DCB" w:rsidRPr="00A52585">
        <w:rPr>
          <w:rFonts w:hint="cs"/>
          <w:sz w:val="24"/>
          <w:szCs w:val="24"/>
          <w:rtl/>
        </w:rPr>
        <w:t>زفيل</w:t>
      </w:r>
      <w:proofErr w:type="spellEnd"/>
      <w:r w:rsidR="00777DCB" w:rsidRPr="00A52585">
        <w:rPr>
          <w:rFonts w:hint="cs"/>
          <w:sz w:val="24"/>
          <w:szCs w:val="24"/>
          <w:rtl/>
        </w:rPr>
        <w:t xml:space="preserve"> صاحب بدائع الفوائد وأنها قصة الاصابع الاربع</w:t>
      </w:r>
      <w:r w:rsidR="00DB731D" w:rsidRPr="00A52585">
        <w:rPr>
          <w:rFonts w:hint="cs"/>
          <w:sz w:val="24"/>
          <w:szCs w:val="24"/>
          <w:rtl/>
        </w:rPr>
        <w:t>،</w:t>
      </w:r>
      <w:r w:rsidR="00777DCB" w:rsidRPr="00A52585">
        <w:rPr>
          <w:rFonts w:hint="cs"/>
          <w:sz w:val="24"/>
          <w:szCs w:val="24"/>
          <w:rtl/>
        </w:rPr>
        <w:t xml:space="preserve"> فهذا الذي نقلناه في شرح وبيان لفظة " بذاته " التي يزيدونها بعد الاستواء أو العلو من كيسهم وبيان المراد بها عند الخلال الذي يفسرها خلاف تفسير النبي صلى الله عليه وسلم في الصحيحين للمقام المحمود بالشفاعة ومقلديه كالشيخ الحراني وتلميذه ابن </w:t>
      </w:r>
      <w:proofErr w:type="spellStart"/>
      <w:r w:rsidR="00777DCB" w:rsidRPr="00A52585">
        <w:rPr>
          <w:rFonts w:hint="cs"/>
          <w:sz w:val="24"/>
          <w:szCs w:val="24"/>
          <w:rtl/>
        </w:rPr>
        <w:t>زفيل</w:t>
      </w:r>
      <w:proofErr w:type="spellEnd"/>
      <w:r w:rsidR="00777DCB" w:rsidRPr="00A52585">
        <w:rPr>
          <w:rFonts w:hint="cs"/>
          <w:sz w:val="24"/>
          <w:szCs w:val="24"/>
          <w:rtl/>
        </w:rPr>
        <w:t xml:space="preserve"> ومقلدهما المحدث</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sz w:val="24"/>
          <w:szCs w:val="24"/>
          <w:rtl/>
        </w:rPr>
        <w:t xml:space="preserve"> وأضرابهم إن لم يكن تجسيما صريحا فما هو التجسيم إذن</w:t>
      </w:r>
      <w:r w:rsidR="00F95886" w:rsidRPr="00A52585">
        <w:rPr>
          <w:rFonts w:hint="cs"/>
          <w:sz w:val="24"/>
          <w:szCs w:val="24"/>
          <w:rtl/>
        </w:rPr>
        <w:t>؟!</w:t>
      </w:r>
      <w:r w:rsidR="00777DCB" w:rsidRPr="00A52585">
        <w:rPr>
          <w:rFonts w:hint="cs"/>
          <w:sz w:val="24"/>
          <w:szCs w:val="24"/>
          <w:rtl/>
        </w:rPr>
        <w:t xml:space="preserve"> وخصوصا أن الحراني بتشديد الراء</w:t>
      </w:r>
      <w:r w:rsidR="00F95886" w:rsidRPr="00A52585">
        <w:rPr>
          <w:rFonts w:hint="cs"/>
          <w:sz w:val="24"/>
          <w:szCs w:val="24"/>
          <w:rtl/>
        </w:rPr>
        <w:t>!!</w:t>
      </w:r>
      <w:r w:rsidR="00777DCB" w:rsidRPr="00A52585">
        <w:rPr>
          <w:rFonts w:hint="cs"/>
          <w:sz w:val="24"/>
          <w:szCs w:val="24"/>
          <w:rtl/>
        </w:rPr>
        <w:t xml:space="preserve"> يقول في تأسيسه </w:t>
      </w:r>
      <w:r w:rsidRPr="00A52585">
        <w:rPr>
          <w:rFonts w:hint="cs"/>
          <w:sz w:val="24"/>
          <w:szCs w:val="24"/>
          <w:rtl/>
        </w:rPr>
        <w:t>(</w:t>
      </w:r>
      <w:r w:rsidR="00777DCB" w:rsidRPr="00A52585">
        <w:rPr>
          <w:rFonts w:hint="cs"/>
          <w:sz w:val="24"/>
          <w:szCs w:val="24"/>
          <w:rtl/>
        </w:rPr>
        <w:t>1 / 568</w:t>
      </w:r>
      <w:r w:rsidRPr="00A52585">
        <w:rPr>
          <w:rFonts w:hint="cs"/>
          <w:sz w:val="24"/>
          <w:szCs w:val="24"/>
          <w:rtl/>
        </w:rPr>
        <w:t>):</w:t>
      </w:r>
      <w:r w:rsidR="00777DCB" w:rsidRPr="00A52585">
        <w:rPr>
          <w:rFonts w:hint="cs"/>
          <w:sz w:val="24"/>
          <w:szCs w:val="24"/>
          <w:rtl/>
        </w:rPr>
        <w:t xml:space="preserve"> " ولو قد شاء - الله - لاستقر على ظهر بعوضة فاستقلت به بقدرته ولطف ربوبيته فكيف على عرش عظيم " اه‍</w:t>
      </w:r>
      <w:r w:rsidR="00DB731D" w:rsidRPr="00A52585">
        <w:rPr>
          <w:rFonts w:hint="cs"/>
          <w:sz w:val="24"/>
          <w:szCs w:val="24"/>
          <w:rtl/>
        </w:rPr>
        <w:t>،</w:t>
      </w:r>
      <w:r w:rsidR="00777DCB" w:rsidRPr="00A52585">
        <w:rPr>
          <w:rFonts w:hint="cs"/>
          <w:sz w:val="24"/>
          <w:szCs w:val="24"/>
          <w:rtl/>
        </w:rPr>
        <w:t xml:space="preserve"> وهو وان كان قد نقله عن بعض أسلافه الذين يوصي بكتبهم أشد الوصية لما حوت بزعمه من خالص التوحيد كرد الدارمي على بشر </w:t>
      </w:r>
      <w:proofErr w:type="spellStart"/>
      <w:r w:rsidR="00777DCB" w:rsidRPr="00A52585">
        <w:rPr>
          <w:rFonts w:hint="cs"/>
          <w:sz w:val="24"/>
          <w:szCs w:val="24"/>
          <w:rtl/>
        </w:rPr>
        <w:t>المريسي</w:t>
      </w:r>
      <w:proofErr w:type="spellEnd"/>
      <w:r w:rsidR="00777DCB" w:rsidRPr="00A52585">
        <w:rPr>
          <w:rFonts w:hint="cs"/>
          <w:sz w:val="24"/>
          <w:szCs w:val="24"/>
          <w:rtl/>
        </w:rPr>
        <w:t xml:space="preserve"> فهو مقر لذلك الهذيان غير منكر له</w:t>
      </w:r>
      <w:r w:rsidR="00DB731D" w:rsidRPr="00A52585">
        <w:rPr>
          <w:rFonts w:hint="cs"/>
          <w:sz w:val="24"/>
          <w:szCs w:val="24"/>
          <w:rtl/>
        </w:rPr>
        <w:t>،</w:t>
      </w:r>
      <w:r w:rsidR="00777DCB" w:rsidRPr="00A52585">
        <w:rPr>
          <w:rFonts w:hint="cs"/>
          <w:sz w:val="24"/>
          <w:szCs w:val="24"/>
          <w:rtl/>
        </w:rPr>
        <w:t xml:space="preserve"> وناقل الكفر المقر له والذي لم ينكره وإنما يودعه في كتبه ومصنفاته لترويجه كافر أيضا عند جميع العقلاء</w:t>
      </w:r>
      <w:r w:rsidR="00DB731D" w:rsidRPr="00A52585">
        <w:rPr>
          <w:rFonts w:hint="cs"/>
          <w:sz w:val="24"/>
          <w:szCs w:val="24"/>
          <w:rtl/>
        </w:rPr>
        <w:t>،</w:t>
      </w:r>
      <w:r w:rsidR="00777DCB" w:rsidRPr="00A52585">
        <w:rPr>
          <w:rFonts w:hint="cs"/>
          <w:sz w:val="24"/>
          <w:szCs w:val="24"/>
          <w:rtl/>
        </w:rPr>
        <w:t xml:space="preserve"> على أننا قد بينا في غير هذا الموضع أنه يقول أيضا مثل هذا الذي ينقله فهو كلامه الاصلي بلا مرية ولا شك وقد أنكر الحافظ الذهبي - الذي تعدل مزاجه فيما بعد شبابه ورجع عما أسلف - في كتابه " سير أعلام النبلاء " على من زاد لفظة " بذاته " بعد العلو أو الاستواء ونحوهما فقال هنالك </w:t>
      </w:r>
      <w:r w:rsidRPr="00A52585">
        <w:rPr>
          <w:rFonts w:hint="cs"/>
          <w:sz w:val="24"/>
          <w:szCs w:val="24"/>
          <w:rtl/>
        </w:rPr>
        <w:t>(</w:t>
      </w:r>
      <w:r w:rsidR="00777DCB" w:rsidRPr="00A52585">
        <w:rPr>
          <w:rFonts w:hint="cs"/>
          <w:sz w:val="24"/>
          <w:szCs w:val="24"/>
          <w:rtl/>
        </w:rPr>
        <w:t>19 / 607</w:t>
      </w:r>
      <w:r w:rsidRPr="00A52585">
        <w:rPr>
          <w:rFonts w:hint="cs"/>
          <w:sz w:val="24"/>
          <w:szCs w:val="24"/>
          <w:rtl/>
        </w:rPr>
        <w:t>)</w:t>
      </w:r>
      <w:r w:rsidR="00777DCB" w:rsidRPr="00A52585">
        <w:rPr>
          <w:rFonts w:hint="cs"/>
          <w:sz w:val="24"/>
          <w:szCs w:val="24"/>
          <w:rtl/>
        </w:rPr>
        <w:t xml:space="preserve"> ما نصه</w:t>
      </w:r>
      <w:r w:rsidRPr="00A52585">
        <w:rPr>
          <w:rFonts w:hint="cs"/>
          <w:sz w:val="24"/>
          <w:szCs w:val="24"/>
          <w:rtl/>
        </w:rPr>
        <w:t>:</w:t>
      </w:r>
      <w:r w:rsidR="00777DCB" w:rsidRPr="00A52585">
        <w:rPr>
          <w:rFonts w:hint="cs"/>
          <w:sz w:val="24"/>
          <w:szCs w:val="24"/>
          <w:rtl/>
        </w:rPr>
        <w:t xml:space="preserve"> " قد ذكرنا أن لفظة بذاته لا حاجة إليها وهي تشغب النفوس</w:t>
      </w:r>
      <w:r w:rsidR="00897A24" w:rsidRPr="00A52585">
        <w:rPr>
          <w:rFonts w:hint="cs"/>
          <w:sz w:val="24"/>
          <w:szCs w:val="24"/>
          <w:rtl/>
        </w:rPr>
        <w:t>..</w:t>
      </w:r>
      <w:r w:rsidR="00777DCB" w:rsidRPr="00A52585">
        <w:rPr>
          <w:rFonts w:hint="cs"/>
          <w:sz w:val="24"/>
          <w:szCs w:val="24"/>
          <w:rtl/>
        </w:rPr>
        <w:t xml:space="preserve"> " اه‍</w:t>
      </w:r>
      <w:r w:rsidR="00DB731D" w:rsidRPr="00A52585">
        <w:rPr>
          <w:rFonts w:hint="cs"/>
          <w:sz w:val="24"/>
          <w:szCs w:val="24"/>
          <w:rtl/>
        </w:rPr>
        <w:t>،</w:t>
      </w:r>
      <w:r w:rsidR="00777DCB" w:rsidRPr="00A52585">
        <w:rPr>
          <w:rFonts w:hint="cs"/>
          <w:sz w:val="24"/>
          <w:szCs w:val="24"/>
          <w:rtl/>
        </w:rPr>
        <w:t xml:space="preserve"> وأزيد فأقول</w:t>
      </w:r>
      <w:r w:rsidRPr="00A52585">
        <w:rPr>
          <w:rFonts w:hint="cs"/>
          <w:sz w:val="24"/>
          <w:szCs w:val="24"/>
          <w:rtl/>
        </w:rPr>
        <w:t>:</w:t>
      </w:r>
      <w:r w:rsidR="00777DCB" w:rsidRPr="00A52585">
        <w:rPr>
          <w:rFonts w:hint="cs"/>
          <w:sz w:val="24"/>
          <w:szCs w:val="24"/>
          <w:rtl/>
        </w:rPr>
        <w:t xml:space="preserve"> وتقود إلى الكفر وترمي صاحبها في النار نسأل الله تعالى السلامة والوفاة على الايمان الكامل والعقيدة الصافية الصحيحة</w:t>
      </w:r>
      <w:r w:rsidR="00897A24" w:rsidRPr="00A52585">
        <w:rPr>
          <w:rFonts w:hint="cs"/>
          <w:sz w:val="24"/>
          <w:szCs w:val="24"/>
          <w:rtl/>
        </w:rPr>
        <w:t>.</w:t>
      </w:r>
      <w:r w:rsidR="00777DCB" w:rsidRPr="00A52585">
        <w:rPr>
          <w:rFonts w:hint="cs"/>
          <w:sz w:val="24"/>
          <w:szCs w:val="24"/>
          <w:rtl/>
        </w:rPr>
        <w:t xml:space="preserve"> آمين</w:t>
      </w:r>
      <w:r w:rsidRPr="00A52585">
        <w:rPr>
          <w:rFonts w:hint="cs"/>
          <w:sz w:val="24"/>
          <w:szCs w:val="24"/>
          <w:rtl/>
        </w:rPr>
        <w:t>]</w:t>
      </w:r>
      <w:r w:rsidR="00DB731D" w:rsidRPr="00A52585">
        <w:rPr>
          <w:rFonts w:hint="cs"/>
          <w:rtl/>
        </w:rPr>
        <w:t>،</w:t>
      </w:r>
      <w:r w:rsidR="00777DCB" w:rsidRPr="00A52585">
        <w:rPr>
          <w:rFonts w:hint="cs"/>
          <w:rtl/>
        </w:rPr>
        <w:t xml:space="preserve"> إنما فهموها من إحساسهم</w:t>
      </w:r>
      <w:r w:rsidR="00DB731D" w:rsidRPr="00A52585">
        <w:rPr>
          <w:rFonts w:hint="cs"/>
          <w:rtl/>
        </w:rPr>
        <w:t>،</w:t>
      </w:r>
      <w:r w:rsidR="00777DCB" w:rsidRPr="00A52585">
        <w:rPr>
          <w:rFonts w:hint="cs"/>
          <w:rtl/>
        </w:rPr>
        <w:t xml:space="preserve"> وهو ان المستوي على الشيء إنما تستوي عليه ذاته</w:t>
      </w:r>
      <w:r w:rsidR="00DB731D" w:rsidRPr="00A52585">
        <w:rPr>
          <w:rFonts w:hint="cs"/>
          <w:rtl/>
        </w:rPr>
        <w:t>،</w:t>
      </w:r>
      <w:r w:rsidR="00777DCB" w:rsidRPr="00A52585">
        <w:rPr>
          <w:rFonts w:hint="cs"/>
          <w:rtl/>
        </w:rPr>
        <w:t xml:space="preserve"> قال أبو حامد</w:t>
      </w:r>
      <w:r w:rsidRPr="00A52585">
        <w:rPr>
          <w:rFonts w:hint="cs"/>
          <w:rtl/>
        </w:rPr>
        <w:t>:</w:t>
      </w:r>
      <w:r w:rsidR="00777DCB" w:rsidRPr="00A52585">
        <w:rPr>
          <w:rFonts w:hint="cs"/>
          <w:rtl/>
        </w:rPr>
        <w:t xml:space="preserve"> الاستواء مماسته وصفة لذاته</w:t>
      </w:r>
      <w:r w:rsidR="00DB731D" w:rsidRPr="00A52585">
        <w:rPr>
          <w:rFonts w:hint="cs"/>
          <w:rtl/>
        </w:rPr>
        <w:t>،</w:t>
      </w:r>
      <w:r w:rsidR="00777DCB" w:rsidRPr="00A52585">
        <w:rPr>
          <w:rFonts w:hint="cs"/>
          <w:rtl/>
        </w:rPr>
        <w:t xml:space="preserve"> والمراد به القعود</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وقد ذهبت طائفة من أصحابنا إلى أن الله سبحانه وتعالى على عرشه قد ملاه</w:t>
      </w:r>
      <w:r w:rsidR="00DB731D" w:rsidRPr="00A52585">
        <w:rPr>
          <w:rFonts w:hint="cs"/>
          <w:rtl/>
        </w:rPr>
        <w:t>،</w:t>
      </w:r>
      <w:r w:rsidR="00777DCB" w:rsidRPr="00A52585">
        <w:rPr>
          <w:rFonts w:hint="cs"/>
          <w:rtl/>
        </w:rPr>
        <w:t xml:space="preserve"> وأنه يقعد</w:t>
      </w:r>
      <w:r w:rsidR="00DB731D" w:rsidRPr="00A52585">
        <w:rPr>
          <w:rFonts w:hint="cs"/>
          <w:rtl/>
        </w:rPr>
        <w:t>،</w:t>
      </w:r>
      <w:r w:rsidR="00777DCB" w:rsidRPr="00A52585">
        <w:rPr>
          <w:rFonts w:hint="cs"/>
          <w:rtl/>
        </w:rPr>
        <w:t xml:space="preserve"> ويقعد نبيه صلى الله عليه وسلم معه على العرش </w:t>
      </w:r>
      <w:r w:rsidRPr="00A52585">
        <w:rPr>
          <w:rFonts w:hint="cs"/>
          <w:sz w:val="24"/>
          <w:szCs w:val="24"/>
          <w:rtl/>
        </w:rPr>
        <w:t>[</w:t>
      </w:r>
      <w:r w:rsidR="00777DCB" w:rsidRPr="00A52585">
        <w:rPr>
          <w:rFonts w:hint="cs"/>
          <w:sz w:val="24"/>
          <w:szCs w:val="24"/>
          <w:rtl/>
        </w:rPr>
        <w:t>فإذا لم يكفر من يقول بهذا ومثله فمن يكفر إذن</w:t>
      </w:r>
      <w:r w:rsidR="00F95886" w:rsidRPr="00A52585">
        <w:rPr>
          <w:rFonts w:hint="cs"/>
          <w:sz w:val="24"/>
          <w:szCs w:val="24"/>
          <w:rtl/>
        </w:rPr>
        <w:t>؟!!</w:t>
      </w:r>
      <w:r w:rsidR="00777DCB" w:rsidRPr="00A52585">
        <w:rPr>
          <w:rFonts w:hint="cs"/>
          <w:sz w:val="24"/>
          <w:szCs w:val="24"/>
          <w:rtl/>
        </w:rPr>
        <w:t>]</w:t>
      </w:r>
      <w:r w:rsidR="00777DCB" w:rsidRPr="00A52585">
        <w:rPr>
          <w:rFonts w:hint="cs"/>
          <w:rtl/>
        </w:rPr>
        <w:t xml:space="preserve"> يوم القيامة</w:t>
      </w:r>
      <w:r w:rsidR="00DB731D" w:rsidRPr="00A52585">
        <w:rPr>
          <w:rFonts w:hint="cs"/>
          <w:rtl/>
        </w:rPr>
        <w:t>،</w:t>
      </w:r>
      <w:r w:rsidR="00777DCB" w:rsidRPr="00A52585">
        <w:rPr>
          <w:rFonts w:hint="cs"/>
          <w:rtl/>
        </w:rPr>
        <w:t xml:space="preserve"> قال أبو حامد</w:t>
      </w:r>
      <w:r w:rsidRPr="00A52585">
        <w:rPr>
          <w:rFonts w:hint="cs"/>
          <w:rtl/>
        </w:rPr>
        <w:t>:</w:t>
      </w:r>
      <w:r w:rsidR="00777DCB" w:rsidRPr="00A52585">
        <w:rPr>
          <w:rFonts w:hint="cs"/>
          <w:rtl/>
        </w:rPr>
        <w:t xml:space="preserve"> والنزول هو انتقال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وعلى ما حكى تكون ذاته أصغر من العرش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وهؤلاء كان اللازم في حقهم أن يقولوا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العرش أكبر</w:t>
      </w:r>
      <w:r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بدل قولهم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الله أكبر</w:t>
      </w:r>
      <w:r w:rsidRPr="00A52585">
        <w:rPr>
          <w:rFonts w:hint="cs"/>
          <w:sz w:val="24"/>
          <w:szCs w:val="24"/>
          <w:rtl/>
        </w:rPr>
        <w:t>)</w:t>
      </w:r>
      <w:r w:rsidR="00777DCB" w:rsidRPr="00A52585">
        <w:rPr>
          <w:rFonts w:hint="cs"/>
          <w:sz w:val="24"/>
          <w:szCs w:val="24"/>
          <w:rtl/>
        </w:rPr>
        <w:t xml:space="preserve"> تعالى الله عن ذلك علوا كبيرا</w:t>
      </w:r>
      <w:r w:rsidRPr="00A52585">
        <w:rPr>
          <w:rFonts w:hint="cs"/>
          <w:sz w:val="24"/>
          <w:szCs w:val="24"/>
          <w:rtl/>
        </w:rPr>
        <w:t>]</w:t>
      </w:r>
      <w:r w:rsidR="00DB731D" w:rsidRPr="00A52585">
        <w:rPr>
          <w:rFonts w:hint="cs"/>
          <w:rtl/>
        </w:rPr>
        <w:t>،</w:t>
      </w:r>
      <w:r w:rsidR="00777DCB" w:rsidRPr="00A52585">
        <w:rPr>
          <w:rFonts w:hint="cs"/>
          <w:rtl/>
        </w:rPr>
        <w:t xml:space="preserve"> فالعجب من قول هذا</w:t>
      </w:r>
      <w:r w:rsidR="00DB731D" w:rsidRPr="00A52585">
        <w:rPr>
          <w:rFonts w:hint="cs"/>
          <w:rtl/>
        </w:rPr>
        <w:t>،</w:t>
      </w:r>
      <w:r w:rsidR="00777DCB" w:rsidRPr="00A52585">
        <w:rPr>
          <w:rFonts w:hint="cs"/>
          <w:rtl/>
        </w:rPr>
        <w:t xml:space="preserve"> ما نحن </w:t>
      </w:r>
      <w:proofErr w:type="gramStart"/>
      <w:r w:rsidR="00777DCB" w:rsidRPr="00A52585">
        <w:rPr>
          <w:rFonts w:hint="cs"/>
          <w:rtl/>
        </w:rPr>
        <w:t>مجسمة</w:t>
      </w:r>
      <w:r w:rsidR="00897A24" w:rsidRPr="00A52585">
        <w:rPr>
          <w:rFonts w:hint="cs"/>
          <w:rtl/>
        </w:rPr>
        <w:t>..</w:t>
      </w:r>
      <w:r w:rsidR="00F95886" w:rsidRPr="00A52585">
        <w:rPr>
          <w:rFonts w:hint="cs"/>
          <w:rtl/>
        </w:rPr>
        <w:t>؟</w:t>
      </w:r>
      <w:proofErr w:type="gramEnd"/>
      <w:r w:rsidR="00F95886" w:rsidRPr="00A52585">
        <w:rPr>
          <w:rFonts w:hint="cs"/>
          <w:rtl/>
        </w:rPr>
        <w:t>؟!!</w:t>
      </w:r>
      <w:r w:rsidR="00777DCB" w:rsidRPr="00A52585">
        <w:rPr>
          <w:rFonts w:hint="cs"/>
          <w:rtl/>
        </w:rPr>
        <w:t xml:space="preserve"> وقيل لابن </w:t>
      </w:r>
      <w:proofErr w:type="spellStart"/>
      <w:r w:rsidR="00777DCB" w:rsidRPr="00A52585">
        <w:rPr>
          <w:rFonts w:hint="cs"/>
          <w:rtl/>
        </w:rPr>
        <w:t>الزاغوني</w:t>
      </w:r>
      <w:proofErr w:type="spellEnd"/>
      <w:r w:rsidRPr="00A52585">
        <w:rPr>
          <w:rFonts w:hint="cs"/>
          <w:rtl/>
        </w:rPr>
        <w:t>:</w:t>
      </w:r>
      <w:r w:rsidR="00777DCB" w:rsidRPr="00A52585">
        <w:rPr>
          <w:rFonts w:hint="cs"/>
          <w:rtl/>
        </w:rPr>
        <w:t xml:space="preserve"> هل تجددت له صفة لم تكن له بعد خلق العرش</w:t>
      </w:r>
      <w:r w:rsidR="00F95886" w:rsidRPr="00A52585">
        <w:rPr>
          <w:rFonts w:hint="cs"/>
          <w:rtl/>
        </w:rPr>
        <w:t>؟</w:t>
      </w:r>
      <w:r w:rsidRPr="00A52585">
        <w:rPr>
          <w:rFonts w:hint="cs"/>
          <w:rtl/>
        </w:rPr>
        <w:t xml:space="preserve"> </w:t>
      </w:r>
      <w:r w:rsidR="00777DCB" w:rsidRPr="00A52585">
        <w:rPr>
          <w:rFonts w:hint="cs"/>
          <w:rtl/>
        </w:rPr>
        <w:t>قال</w:t>
      </w:r>
      <w:r w:rsidRPr="00A52585">
        <w:rPr>
          <w:rFonts w:hint="cs"/>
          <w:rtl/>
        </w:rPr>
        <w:t>:</w:t>
      </w:r>
      <w:r w:rsidR="00777DCB" w:rsidRPr="00A52585">
        <w:rPr>
          <w:rFonts w:hint="cs"/>
          <w:rtl/>
        </w:rPr>
        <w:t xml:space="preserve"> لا إنما خلق العالم بصفة التحت</w:t>
      </w:r>
      <w:r w:rsidR="00DB731D" w:rsidRPr="00A52585">
        <w:rPr>
          <w:rFonts w:hint="cs"/>
          <w:rtl/>
        </w:rPr>
        <w:t>،</w:t>
      </w:r>
      <w:r w:rsidR="00777DCB" w:rsidRPr="00A52585">
        <w:rPr>
          <w:rFonts w:hint="cs"/>
          <w:rtl/>
        </w:rPr>
        <w:t xml:space="preserve"> فصار العالم بالإضافة إليه أسفل فإذا ثبت لإحدى الذاتين صفة التحت تثبت للأخرى صفة استحقاق الفوق</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وقد ثبت أن الاماكن ليست في ذاته</w:t>
      </w:r>
      <w:r w:rsidR="00DB731D" w:rsidRPr="00A52585">
        <w:rPr>
          <w:rFonts w:hint="cs"/>
          <w:rtl/>
        </w:rPr>
        <w:t>،</w:t>
      </w:r>
      <w:r w:rsidR="00777DCB" w:rsidRPr="00A52585">
        <w:rPr>
          <w:rFonts w:hint="cs"/>
          <w:rtl/>
        </w:rPr>
        <w:t xml:space="preserve"> ولا ذاته فيها</w:t>
      </w:r>
      <w:r w:rsidR="00DB731D" w:rsidRPr="00A52585">
        <w:rPr>
          <w:rFonts w:hint="cs"/>
          <w:rtl/>
        </w:rPr>
        <w:t>،</w:t>
      </w:r>
      <w:r w:rsidR="00777DCB" w:rsidRPr="00A52585">
        <w:rPr>
          <w:rFonts w:hint="cs"/>
          <w:rtl/>
        </w:rPr>
        <w:t xml:space="preserve"> فثبت انفصاله عنها</w:t>
      </w:r>
      <w:r w:rsidR="00DB731D" w:rsidRPr="00A52585">
        <w:rPr>
          <w:rFonts w:hint="cs"/>
          <w:rtl/>
        </w:rPr>
        <w:t>،</w:t>
      </w:r>
      <w:r w:rsidR="00777DCB" w:rsidRPr="00A52585">
        <w:rPr>
          <w:rFonts w:hint="cs"/>
          <w:rtl/>
        </w:rPr>
        <w:t xml:space="preserve"> ولا بد من شيء يحصل به الفصل</w:t>
      </w:r>
      <w:r w:rsidR="00DB731D" w:rsidRPr="00A52585">
        <w:rPr>
          <w:rFonts w:hint="cs"/>
          <w:rtl/>
        </w:rPr>
        <w:t>،</w:t>
      </w:r>
      <w:r w:rsidR="00777DCB" w:rsidRPr="00A52585">
        <w:rPr>
          <w:rFonts w:hint="cs"/>
          <w:rtl/>
        </w:rPr>
        <w:t xml:space="preserve"> فلما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w:t>
      </w:r>
      <w:r w:rsidRPr="00A52585">
        <w:rPr>
          <w:rFonts w:hint="cs"/>
          <w:rtl/>
        </w:rPr>
        <w:t>)</w:t>
      </w:r>
      <w:r w:rsidR="00777DCB" w:rsidRPr="00A52585">
        <w:rPr>
          <w:rFonts w:hint="cs"/>
          <w:rtl/>
        </w:rPr>
        <w:t xml:space="preserve"> علمنا </w:t>
      </w:r>
      <w:r w:rsidR="00777DCB" w:rsidRPr="00A52585">
        <w:rPr>
          <w:rFonts w:hint="cs"/>
          <w:rtl/>
        </w:rPr>
        <w:lastRenderedPageBreak/>
        <w:t>اختصاصه بتلك الجهة</w:t>
      </w:r>
      <w:r w:rsidR="00DB731D" w:rsidRPr="00A52585">
        <w:rPr>
          <w:rFonts w:hint="cs"/>
          <w:rtl/>
        </w:rPr>
        <w:t>،</w:t>
      </w:r>
      <w:r w:rsidR="00777DCB" w:rsidRPr="00A52585">
        <w:rPr>
          <w:rFonts w:hint="cs"/>
          <w:rtl/>
        </w:rPr>
        <w:t xml:space="preserve"> قال ابن </w:t>
      </w:r>
      <w:proofErr w:type="spellStart"/>
      <w:r w:rsidR="00777DCB" w:rsidRPr="00A52585">
        <w:rPr>
          <w:rFonts w:hint="cs"/>
          <w:rtl/>
        </w:rPr>
        <w:t>الزاغوني</w:t>
      </w:r>
      <w:proofErr w:type="spellEnd"/>
      <w:r w:rsidRPr="00A52585">
        <w:rPr>
          <w:rFonts w:hint="cs"/>
          <w:rtl/>
        </w:rPr>
        <w:t>:</w:t>
      </w:r>
      <w:r w:rsidR="00777DCB" w:rsidRPr="00A52585">
        <w:rPr>
          <w:rFonts w:hint="cs"/>
          <w:rtl/>
        </w:rPr>
        <w:t xml:space="preserve"> ولا بد أن تكون لذاته نهاية وغاية يعلمها</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رجل لا يدري ما يقول لأنّه إذا قدر غاية وفصلا بين الخالق والمخلوق فقد حدده</w:t>
      </w:r>
      <w:r w:rsidR="00DB731D" w:rsidRPr="00A52585">
        <w:rPr>
          <w:rFonts w:hint="cs"/>
          <w:rtl/>
        </w:rPr>
        <w:t>،</w:t>
      </w:r>
      <w:r w:rsidR="00777DCB" w:rsidRPr="00A52585">
        <w:rPr>
          <w:rFonts w:hint="cs"/>
          <w:rtl/>
        </w:rPr>
        <w:t xml:space="preserve"> وأقر بأنه جسم</w:t>
      </w:r>
      <w:r w:rsidR="00DB731D" w:rsidRPr="00A52585">
        <w:rPr>
          <w:rFonts w:hint="cs"/>
          <w:rtl/>
        </w:rPr>
        <w:t>،</w:t>
      </w:r>
      <w:r w:rsidR="00777DCB" w:rsidRPr="00A52585">
        <w:rPr>
          <w:rFonts w:hint="cs"/>
          <w:rtl/>
        </w:rPr>
        <w:t xml:space="preserve"> وهو يقول في كتابه</w:t>
      </w:r>
      <w:r w:rsidRPr="00A52585">
        <w:rPr>
          <w:rFonts w:hint="cs"/>
          <w:rtl/>
        </w:rPr>
        <w:t>:</w:t>
      </w:r>
      <w:r w:rsidR="00777DCB" w:rsidRPr="00A52585">
        <w:rPr>
          <w:rFonts w:hint="cs"/>
          <w:rtl/>
        </w:rPr>
        <w:t xml:space="preserve"> إنه ليس بجوهر</w:t>
      </w:r>
      <w:r w:rsidR="00DB731D" w:rsidRPr="00A52585">
        <w:rPr>
          <w:rFonts w:hint="cs"/>
          <w:rtl/>
        </w:rPr>
        <w:t>،</w:t>
      </w:r>
      <w:r w:rsidR="00777DCB" w:rsidRPr="00A52585">
        <w:rPr>
          <w:rFonts w:hint="cs"/>
          <w:rtl/>
        </w:rPr>
        <w:t xml:space="preserve"> لان الجوهر ما تحيز ثم يثبت له مكانا يتحيز فيه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كلام جهل من قائله</w:t>
      </w:r>
      <w:r w:rsidR="00DB731D" w:rsidRPr="00A52585">
        <w:rPr>
          <w:rFonts w:hint="cs"/>
          <w:rtl/>
        </w:rPr>
        <w:t>،</w:t>
      </w:r>
      <w:r w:rsidR="00777DCB" w:rsidRPr="00A52585">
        <w:rPr>
          <w:rFonts w:hint="cs"/>
          <w:rtl/>
        </w:rPr>
        <w:t xml:space="preserve"> وتشبيه محض</w:t>
      </w:r>
      <w:r w:rsidR="00DB731D" w:rsidRPr="00A52585">
        <w:rPr>
          <w:rFonts w:hint="cs"/>
          <w:rtl/>
        </w:rPr>
        <w:t>،</w:t>
      </w:r>
      <w:r w:rsidR="00777DCB" w:rsidRPr="00A52585">
        <w:rPr>
          <w:rFonts w:hint="cs"/>
          <w:rtl/>
        </w:rPr>
        <w:t xml:space="preserve"> فما عرف هذا الشيخ ما يجب للخالق</w:t>
      </w:r>
      <w:r w:rsidR="00DB731D" w:rsidRPr="00A52585">
        <w:rPr>
          <w:rFonts w:hint="cs"/>
          <w:rtl/>
        </w:rPr>
        <w:t>،</w:t>
      </w:r>
      <w:r w:rsidR="00777DCB" w:rsidRPr="00A52585">
        <w:rPr>
          <w:rFonts w:hint="cs"/>
          <w:rtl/>
        </w:rPr>
        <w:t xml:space="preserve"> وما يستحيل عليه</w:t>
      </w:r>
      <w:r w:rsidR="00DB731D" w:rsidRPr="00A52585">
        <w:rPr>
          <w:rFonts w:hint="cs"/>
          <w:rtl/>
        </w:rPr>
        <w:t>،</w:t>
      </w:r>
      <w:r w:rsidR="00777DCB" w:rsidRPr="00A52585">
        <w:rPr>
          <w:rFonts w:hint="cs"/>
          <w:rtl/>
        </w:rPr>
        <w:t xml:space="preserve"> فإن وجوده تعالى ليس كوجود الجواهر والاجسام التي لا بد لها من حيز</w:t>
      </w:r>
      <w:r w:rsidR="00DB731D" w:rsidRPr="00A52585">
        <w:rPr>
          <w:rFonts w:hint="cs"/>
          <w:rtl/>
        </w:rPr>
        <w:t>،</w:t>
      </w:r>
      <w:r w:rsidR="00777DCB" w:rsidRPr="00A52585">
        <w:rPr>
          <w:rFonts w:hint="cs"/>
          <w:rtl/>
        </w:rPr>
        <w:t xml:space="preserve"> والتحت والفوق إنما يكون فيما يقابل ويحاذي</w:t>
      </w:r>
      <w:r w:rsidR="00DB731D" w:rsidRPr="00A52585">
        <w:rPr>
          <w:rFonts w:hint="cs"/>
          <w:rtl/>
        </w:rPr>
        <w:t>،</w:t>
      </w:r>
      <w:r w:rsidR="00777DCB" w:rsidRPr="00A52585">
        <w:rPr>
          <w:rFonts w:hint="cs"/>
          <w:rtl/>
        </w:rPr>
        <w:t xml:space="preserve"> ومن ضرورة المحاذي أن يكون أكبر من المحاذي أو أصغر أو مثله</w:t>
      </w:r>
      <w:r w:rsidR="00DB731D" w:rsidRPr="00A52585">
        <w:rPr>
          <w:rFonts w:hint="cs"/>
          <w:rtl/>
        </w:rPr>
        <w:t>،</w:t>
      </w:r>
      <w:r w:rsidR="00777DCB" w:rsidRPr="00A52585">
        <w:rPr>
          <w:rFonts w:hint="cs"/>
          <w:rtl/>
        </w:rPr>
        <w:t xml:space="preserve"> وان هذا ومثله إنما يكون في الاجسام</w:t>
      </w:r>
      <w:r w:rsidR="00DB731D" w:rsidRPr="00A52585">
        <w:rPr>
          <w:rFonts w:hint="cs"/>
          <w:rtl/>
        </w:rPr>
        <w:t>،</w:t>
      </w:r>
      <w:r w:rsidR="00777DCB" w:rsidRPr="00A52585">
        <w:rPr>
          <w:rFonts w:hint="cs"/>
          <w:rtl/>
        </w:rPr>
        <w:t xml:space="preserve"> وكل ما يحاذي الاجسام يجوز أن يمسها</w:t>
      </w:r>
      <w:r w:rsidR="00DB731D" w:rsidRPr="00A52585">
        <w:rPr>
          <w:rFonts w:hint="cs"/>
          <w:rtl/>
        </w:rPr>
        <w:t>،</w:t>
      </w:r>
      <w:r w:rsidR="00777DCB" w:rsidRPr="00A52585">
        <w:rPr>
          <w:rFonts w:hint="cs"/>
          <w:rtl/>
        </w:rPr>
        <w:t xml:space="preserve"> وما جاز عليه مماسة الاجسام ومباينتها فهو حادث</w:t>
      </w:r>
      <w:r w:rsidR="00DB731D" w:rsidRPr="00A52585">
        <w:rPr>
          <w:rFonts w:hint="cs"/>
          <w:rtl/>
        </w:rPr>
        <w:t>،</w:t>
      </w:r>
      <w:r w:rsidR="00777DCB" w:rsidRPr="00A52585">
        <w:rPr>
          <w:rFonts w:hint="cs"/>
          <w:rtl/>
        </w:rPr>
        <w:t xml:space="preserve"> إذ قد ثبت أن الدليل على حدوث الجواهر قبولها للمباينة والمماسة</w:t>
      </w:r>
      <w:r w:rsidR="00DB731D" w:rsidRPr="00A52585">
        <w:rPr>
          <w:rFonts w:hint="cs"/>
          <w:rtl/>
        </w:rPr>
        <w:t>،</w:t>
      </w:r>
      <w:r w:rsidR="00777DCB" w:rsidRPr="00A52585">
        <w:rPr>
          <w:rFonts w:hint="cs"/>
          <w:rtl/>
        </w:rPr>
        <w:t xml:space="preserve"> فإذا أجازوا هذا عليه</w:t>
      </w:r>
      <w:r w:rsidR="00DB731D" w:rsidRPr="00A52585">
        <w:rPr>
          <w:rFonts w:hint="cs"/>
          <w:rtl/>
        </w:rPr>
        <w:t>،</w:t>
      </w:r>
      <w:r w:rsidR="00777DCB" w:rsidRPr="00A52585">
        <w:rPr>
          <w:rFonts w:hint="cs"/>
          <w:rtl/>
        </w:rPr>
        <w:t xml:space="preserve"> قالوا بجواز حدوثه</w:t>
      </w:r>
      <w:r w:rsidR="00DB731D" w:rsidRPr="00A52585">
        <w:rPr>
          <w:rFonts w:hint="cs"/>
          <w:rtl/>
        </w:rPr>
        <w:t>،</w:t>
      </w:r>
      <w:r w:rsidR="00777DCB" w:rsidRPr="00A52585">
        <w:rPr>
          <w:rFonts w:hint="cs"/>
          <w:rtl/>
        </w:rPr>
        <w:t xml:space="preserve"> وإن منعوا جواز هذا عليه</w:t>
      </w:r>
      <w:r w:rsidR="00DB731D" w:rsidRPr="00A52585">
        <w:rPr>
          <w:rFonts w:hint="cs"/>
          <w:rtl/>
        </w:rPr>
        <w:t>،</w:t>
      </w:r>
      <w:r w:rsidR="00777DCB" w:rsidRPr="00A52585">
        <w:rPr>
          <w:rFonts w:hint="cs"/>
          <w:rtl/>
        </w:rPr>
        <w:t xml:space="preserve"> لم يبق لنا طريق لإثبات حدوث الجواهر</w:t>
      </w:r>
      <w:r w:rsidR="00DB731D" w:rsidRPr="00A52585">
        <w:rPr>
          <w:rFonts w:hint="cs"/>
          <w:rtl/>
        </w:rPr>
        <w:t>،</w:t>
      </w:r>
      <w:r w:rsidR="00777DCB" w:rsidRPr="00A52585">
        <w:rPr>
          <w:rFonts w:hint="cs"/>
          <w:rtl/>
        </w:rPr>
        <w:t xml:space="preserve"> ومتى قدرناه مستغنيا عن المحل والحيز ومحتاجا إلى الحيز</w:t>
      </w:r>
      <w:r w:rsidR="00DB731D" w:rsidRPr="00A52585">
        <w:rPr>
          <w:rFonts w:hint="cs"/>
          <w:rtl/>
        </w:rPr>
        <w:t>،</w:t>
      </w:r>
      <w:r w:rsidR="00777DCB" w:rsidRPr="00A52585">
        <w:rPr>
          <w:rFonts w:hint="cs"/>
          <w:rtl/>
        </w:rPr>
        <w:t xml:space="preserve"> ثم قلنا</w:t>
      </w:r>
      <w:r w:rsidR="00DB731D" w:rsidRPr="00A52585">
        <w:rPr>
          <w:rFonts w:hint="cs"/>
          <w:rtl/>
        </w:rPr>
        <w:t>،</w:t>
      </w:r>
      <w:r w:rsidR="00777DCB" w:rsidRPr="00A52585">
        <w:rPr>
          <w:rFonts w:hint="cs"/>
          <w:rtl/>
        </w:rPr>
        <w:t xml:space="preserve"> إما أن يكونا متجاورين أو متباينين</w:t>
      </w:r>
      <w:r w:rsidR="00DB731D" w:rsidRPr="00A52585">
        <w:rPr>
          <w:rFonts w:hint="cs"/>
          <w:rtl/>
        </w:rPr>
        <w:t>،</w:t>
      </w:r>
      <w:r w:rsidR="00777DCB" w:rsidRPr="00A52585">
        <w:rPr>
          <w:rFonts w:hint="cs"/>
          <w:rtl/>
        </w:rPr>
        <w:t xml:space="preserve"> كان ذلك محالا</w:t>
      </w:r>
      <w:r w:rsidR="00DB731D" w:rsidRPr="00A52585">
        <w:rPr>
          <w:rFonts w:hint="cs"/>
          <w:rtl/>
        </w:rPr>
        <w:t>،</w:t>
      </w:r>
      <w:r w:rsidR="00777DCB" w:rsidRPr="00A52585">
        <w:rPr>
          <w:rFonts w:hint="cs"/>
          <w:rtl/>
        </w:rPr>
        <w:t xml:space="preserve"> فإن التجاور والتباين من لوازم التحيز في المتحيزات</w:t>
      </w:r>
      <w:r w:rsidR="00DB731D" w:rsidRPr="00A52585">
        <w:rPr>
          <w:rFonts w:hint="cs"/>
          <w:rtl/>
        </w:rPr>
        <w:t>،</w:t>
      </w:r>
      <w:r w:rsidR="00777DCB" w:rsidRPr="00A52585">
        <w:rPr>
          <w:rFonts w:hint="cs"/>
          <w:rtl/>
        </w:rPr>
        <w:t xml:space="preserve"> وقد ثبت أن الاجتماع والافتراق من لوازم المتحيز</w:t>
      </w:r>
      <w:r w:rsidR="00DB731D" w:rsidRPr="00A52585">
        <w:rPr>
          <w:rFonts w:hint="cs"/>
          <w:rtl/>
        </w:rPr>
        <w:t>،</w:t>
      </w:r>
      <w:r w:rsidR="00777DCB" w:rsidRPr="00A52585">
        <w:rPr>
          <w:rFonts w:hint="cs"/>
          <w:rtl/>
        </w:rPr>
        <w:t xml:space="preserve"> والحق سبحانه وتعالى لا يوصف بالتحيز</w:t>
      </w:r>
      <w:r w:rsidR="00DB731D" w:rsidRPr="00A52585">
        <w:rPr>
          <w:rFonts w:hint="cs"/>
          <w:rtl/>
        </w:rPr>
        <w:t>،</w:t>
      </w:r>
      <w:r w:rsidR="00777DCB" w:rsidRPr="00A52585">
        <w:rPr>
          <w:rFonts w:hint="cs"/>
          <w:rtl/>
        </w:rPr>
        <w:t xml:space="preserve"> لأنّه إن كان متحيزا لم يخل إما أن يكون ساكنا في حيزه</w:t>
      </w:r>
      <w:r w:rsidR="00DB731D" w:rsidRPr="00A52585">
        <w:rPr>
          <w:rFonts w:hint="cs"/>
          <w:rtl/>
        </w:rPr>
        <w:t>،</w:t>
      </w:r>
      <w:r w:rsidR="00777DCB" w:rsidRPr="00A52585">
        <w:rPr>
          <w:rFonts w:hint="cs"/>
          <w:rtl/>
        </w:rPr>
        <w:t xml:space="preserve"> أو متحركا عنه</w:t>
      </w:r>
      <w:r w:rsidR="00DB731D" w:rsidRPr="00A52585">
        <w:rPr>
          <w:rFonts w:hint="cs"/>
          <w:rtl/>
        </w:rPr>
        <w:t>،</w:t>
      </w:r>
      <w:r w:rsidR="00777DCB" w:rsidRPr="00A52585">
        <w:rPr>
          <w:rFonts w:hint="cs"/>
          <w:rtl/>
        </w:rPr>
        <w:t xml:space="preserve"> ولا يجوز أن يوصف بحركة ولا سكون</w:t>
      </w:r>
      <w:r w:rsidR="00DB731D" w:rsidRPr="00A52585">
        <w:rPr>
          <w:rFonts w:hint="cs"/>
          <w:rtl/>
        </w:rPr>
        <w:t>،</w:t>
      </w:r>
      <w:r w:rsidR="00777DCB" w:rsidRPr="00A52585">
        <w:rPr>
          <w:rFonts w:hint="cs"/>
          <w:rtl/>
        </w:rPr>
        <w:t xml:space="preserve"> ولا اجتماع ولا افتراق</w:t>
      </w:r>
      <w:r w:rsidR="00DB731D" w:rsidRPr="00A52585">
        <w:rPr>
          <w:rFonts w:hint="cs"/>
          <w:rtl/>
        </w:rPr>
        <w:t>،</w:t>
      </w:r>
      <w:r w:rsidR="00777DCB" w:rsidRPr="00A52585">
        <w:rPr>
          <w:rFonts w:hint="cs"/>
          <w:rtl/>
        </w:rPr>
        <w:t xml:space="preserve"> وما جاور أو باين فقد تناهى ذاتا</w:t>
      </w:r>
      <w:r w:rsidR="00DB731D" w:rsidRPr="00A52585">
        <w:rPr>
          <w:rFonts w:hint="cs"/>
          <w:rtl/>
        </w:rPr>
        <w:t>،</w:t>
      </w:r>
      <w:r w:rsidR="00777DCB" w:rsidRPr="00A52585">
        <w:rPr>
          <w:rFonts w:hint="cs"/>
          <w:rtl/>
        </w:rPr>
        <w:t xml:space="preserve"> والمتناهي إذا خص بمقدار</w:t>
      </w:r>
      <w:r w:rsidR="00DB731D" w:rsidRPr="00A52585">
        <w:rPr>
          <w:rFonts w:hint="cs"/>
          <w:rtl/>
        </w:rPr>
        <w:t>،</w:t>
      </w:r>
      <w:r w:rsidR="00777DCB" w:rsidRPr="00A52585">
        <w:rPr>
          <w:rFonts w:hint="cs"/>
          <w:rtl/>
        </w:rPr>
        <w:t xml:space="preserve"> استدعى مخصصا</w:t>
      </w:r>
      <w:r w:rsidR="00DB731D" w:rsidRPr="00A52585">
        <w:rPr>
          <w:rFonts w:hint="cs"/>
          <w:rtl/>
        </w:rPr>
        <w:t>،</w:t>
      </w:r>
      <w:r w:rsidR="00777DCB" w:rsidRPr="00A52585">
        <w:rPr>
          <w:rFonts w:hint="cs"/>
          <w:rtl/>
        </w:rPr>
        <w:t xml:space="preserve"> وكذا ينبغي أن يقال</w:t>
      </w:r>
      <w:r w:rsidR="00DB731D" w:rsidRPr="00A52585">
        <w:rPr>
          <w:rFonts w:hint="cs"/>
          <w:rtl/>
        </w:rPr>
        <w:t>،</w:t>
      </w:r>
      <w:r w:rsidR="00777DCB" w:rsidRPr="00A52585">
        <w:rPr>
          <w:rFonts w:hint="cs"/>
          <w:rtl/>
        </w:rPr>
        <w:t xml:space="preserve"> ليس بداخل في العالم وليس بخارج منه</w:t>
      </w:r>
      <w:r w:rsidR="00DB731D" w:rsidRPr="00A52585">
        <w:rPr>
          <w:rFonts w:hint="cs"/>
          <w:rtl/>
        </w:rPr>
        <w:t>،</w:t>
      </w:r>
      <w:r w:rsidR="00777DCB" w:rsidRPr="00A52585">
        <w:rPr>
          <w:rFonts w:hint="cs"/>
          <w:rtl/>
        </w:rPr>
        <w:t xml:space="preserve"> لان الدخول والخروج من لوازم المتحيزات وهما كالحركة والسكون وسائر الاعراض التي تختص بالأجرام</w:t>
      </w:r>
      <w:r w:rsidR="00DB731D" w:rsidRPr="00A52585">
        <w:rPr>
          <w:rFonts w:hint="cs"/>
          <w:rtl/>
        </w:rPr>
        <w:t>،</w:t>
      </w:r>
      <w:r w:rsidR="00777DCB" w:rsidRPr="00A52585">
        <w:rPr>
          <w:rFonts w:hint="cs"/>
          <w:rtl/>
        </w:rPr>
        <w:t xml:space="preserve"> وأما قولهم</w:t>
      </w:r>
      <w:r w:rsidRPr="00A52585">
        <w:rPr>
          <w:rFonts w:hint="cs"/>
          <w:rtl/>
        </w:rPr>
        <w:t>:</w:t>
      </w:r>
      <w:r w:rsidR="00777DCB" w:rsidRPr="00A52585">
        <w:rPr>
          <w:rFonts w:hint="cs"/>
          <w:rtl/>
        </w:rPr>
        <w:t xml:space="preserve"> خلق الاماكن لا في ذاته</w:t>
      </w:r>
      <w:r w:rsidR="00DB731D" w:rsidRPr="00A52585">
        <w:rPr>
          <w:rFonts w:hint="cs"/>
          <w:rtl/>
        </w:rPr>
        <w:t>،</w:t>
      </w:r>
      <w:r w:rsidR="00777DCB" w:rsidRPr="00A52585">
        <w:rPr>
          <w:rFonts w:hint="cs"/>
          <w:rtl/>
        </w:rPr>
        <w:t xml:space="preserve"> فثبت انفصاله عنها</w:t>
      </w:r>
      <w:r w:rsidR="00DB731D"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ذاته تعالى لا تقبل أن يخلق فيها شيء</w:t>
      </w:r>
      <w:r w:rsidR="00DB731D" w:rsidRPr="00A52585">
        <w:rPr>
          <w:rFonts w:hint="cs"/>
          <w:rtl/>
        </w:rPr>
        <w:t>،</w:t>
      </w:r>
      <w:r w:rsidR="00777DCB" w:rsidRPr="00A52585">
        <w:rPr>
          <w:rFonts w:hint="cs"/>
          <w:rtl/>
        </w:rPr>
        <w:t xml:space="preserve"> ولا أن يحل فيها شيء</w:t>
      </w:r>
      <w:r w:rsidR="00DB731D" w:rsidRPr="00A52585">
        <w:rPr>
          <w:rFonts w:hint="cs"/>
          <w:rtl/>
        </w:rPr>
        <w:t>،</w:t>
      </w:r>
      <w:r w:rsidR="00777DCB" w:rsidRPr="00A52585">
        <w:rPr>
          <w:rFonts w:hint="cs"/>
          <w:rtl/>
        </w:rPr>
        <w:t xml:space="preserve"> والفصل من حيث الحس يوجب عليه ما يوجب على الجواهر</w:t>
      </w:r>
      <w:r w:rsidR="00DB731D" w:rsidRPr="00A52585">
        <w:rPr>
          <w:rFonts w:hint="cs"/>
          <w:rtl/>
        </w:rPr>
        <w:t>،</w:t>
      </w:r>
      <w:r w:rsidR="00777DCB" w:rsidRPr="00A52585">
        <w:rPr>
          <w:rFonts w:hint="cs"/>
          <w:rtl/>
        </w:rPr>
        <w:t xml:space="preserve"> ومعنى الحيز أن الذي يختص به يمنع مثله أن يوجد</w:t>
      </w:r>
      <w:r w:rsidR="00DB731D" w:rsidRPr="00A52585">
        <w:rPr>
          <w:rFonts w:hint="cs"/>
          <w:rtl/>
        </w:rPr>
        <w:t>،</w:t>
      </w:r>
      <w:r w:rsidR="00777DCB" w:rsidRPr="00A52585">
        <w:rPr>
          <w:rFonts w:hint="cs"/>
          <w:rtl/>
        </w:rPr>
        <w:t xml:space="preserve"> وكلام هؤلاء كله مبني على الحس</w:t>
      </w:r>
      <w:r w:rsidR="00DB731D" w:rsidRPr="00A52585">
        <w:rPr>
          <w:rFonts w:hint="cs"/>
          <w:rtl/>
        </w:rPr>
        <w:t>،</w:t>
      </w:r>
      <w:r w:rsidR="00777DCB" w:rsidRPr="00A52585">
        <w:rPr>
          <w:rFonts w:hint="cs"/>
          <w:rtl/>
        </w:rPr>
        <w:t xml:space="preserve"> وقد حملهم الحس على التشبيه والتخليط حتى قال بعضهم</w:t>
      </w:r>
      <w:r w:rsidRPr="00A52585">
        <w:rPr>
          <w:rFonts w:hint="cs"/>
          <w:rtl/>
        </w:rPr>
        <w:t>:</w:t>
      </w:r>
      <w:r w:rsidR="00777DCB" w:rsidRPr="00A52585">
        <w:rPr>
          <w:rFonts w:hint="cs"/>
          <w:rtl/>
        </w:rPr>
        <w:t xml:space="preserve"> إنما ذكر الاستواء على العرش لأنّه أقرب الموجودات إليه</w:t>
      </w:r>
      <w:r w:rsidR="00DB731D" w:rsidRPr="00A52585">
        <w:rPr>
          <w:rFonts w:hint="cs"/>
          <w:rtl/>
        </w:rPr>
        <w:t>،</w:t>
      </w:r>
      <w:r w:rsidR="00777DCB" w:rsidRPr="00A52585">
        <w:rPr>
          <w:rFonts w:hint="cs"/>
          <w:rtl/>
        </w:rPr>
        <w:t xml:space="preserve"> وهذا جهل أيضا</w:t>
      </w:r>
      <w:r w:rsidR="00897A24" w:rsidRPr="00A52585">
        <w:rPr>
          <w:rFonts w:hint="cs"/>
          <w:rtl/>
        </w:rPr>
        <w:t>.</w:t>
      </w:r>
      <w:r w:rsidR="00777DCB" w:rsidRPr="00A52585">
        <w:rPr>
          <w:rFonts w:hint="cs"/>
          <w:rtl/>
        </w:rPr>
        <w:t xml:space="preserve"> لان قرب المسافة لا يتصور إلا في حق الجسم</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جهة العرش تحاذي ما يقابله من الذات ولا تحاذي جميع الذات</w:t>
      </w:r>
      <w:r w:rsidR="00DB731D" w:rsidRPr="00A52585">
        <w:rPr>
          <w:rFonts w:hint="cs"/>
          <w:rtl/>
        </w:rPr>
        <w:t>،</w:t>
      </w:r>
      <w:r w:rsidR="00777DCB" w:rsidRPr="00A52585">
        <w:rPr>
          <w:rFonts w:hint="cs"/>
          <w:rtl/>
        </w:rPr>
        <w:t xml:space="preserve"> وهذا صريح في التجسيم والتبعيض</w:t>
      </w:r>
      <w:r w:rsidR="00DB731D" w:rsidRPr="00A52585">
        <w:rPr>
          <w:rFonts w:hint="cs"/>
          <w:rtl/>
        </w:rPr>
        <w:t>،</w:t>
      </w:r>
      <w:r w:rsidR="00777DCB" w:rsidRPr="00A52585">
        <w:rPr>
          <w:rFonts w:hint="cs"/>
          <w:rtl/>
        </w:rPr>
        <w:t xml:space="preserve"> ويعز علينا كيف ينسب هذا القائل إلى مذهبنا</w:t>
      </w:r>
      <w:r w:rsidR="00F95886" w:rsidRPr="00A52585">
        <w:rPr>
          <w:rFonts w:hint="cs"/>
          <w:rtl/>
        </w:rPr>
        <w:t>؟</w:t>
      </w:r>
      <w:r w:rsidR="00777DCB" w:rsidRPr="00A52585">
        <w:rPr>
          <w:rFonts w:hint="cs"/>
          <w:rtl/>
        </w:rPr>
        <w:t xml:space="preserve"> واحتج بعضهم بأنه على العرش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إليه يصعد الكلم الطيب والعمل الصالح يرفعه</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والصحيح في معنى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إليه يصعد الكلم الطيب والعمل الصالح يرفعه</w:t>
      </w:r>
      <w:r w:rsidRPr="00A52585">
        <w:rPr>
          <w:rFonts w:hint="cs"/>
          <w:sz w:val="24"/>
          <w:szCs w:val="24"/>
          <w:rtl/>
        </w:rPr>
        <w:t>)</w:t>
      </w:r>
      <w:r w:rsidR="00777DCB" w:rsidRPr="00A52585">
        <w:rPr>
          <w:rFonts w:hint="cs"/>
          <w:sz w:val="24"/>
          <w:szCs w:val="24"/>
          <w:rtl/>
        </w:rPr>
        <w:t xml:space="preserve"> هو ما قاله الحافظ المتقن أبو حيان في تفسيره " البحر المحيط " </w:t>
      </w:r>
      <w:r w:rsidRPr="00A52585">
        <w:rPr>
          <w:rFonts w:hint="cs"/>
          <w:sz w:val="24"/>
          <w:szCs w:val="24"/>
          <w:rtl/>
        </w:rPr>
        <w:t>(</w:t>
      </w:r>
      <w:r w:rsidR="00777DCB" w:rsidRPr="00A52585">
        <w:rPr>
          <w:rFonts w:hint="cs"/>
          <w:sz w:val="24"/>
          <w:szCs w:val="24"/>
          <w:rtl/>
        </w:rPr>
        <w:t>7 / 303</w:t>
      </w:r>
      <w:r w:rsidRPr="00A52585">
        <w:rPr>
          <w:rFonts w:hint="cs"/>
          <w:sz w:val="24"/>
          <w:szCs w:val="24"/>
          <w:rtl/>
        </w:rPr>
        <w:t>)</w:t>
      </w:r>
      <w:r w:rsidR="00777DCB" w:rsidRPr="00A52585">
        <w:rPr>
          <w:rFonts w:hint="cs"/>
          <w:sz w:val="24"/>
          <w:szCs w:val="24"/>
          <w:rtl/>
        </w:rPr>
        <w:t xml:space="preserve"> حيث قال</w:t>
      </w:r>
      <w:r w:rsidRPr="00A52585">
        <w:rPr>
          <w:rFonts w:hint="cs"/>
          <w:sz w:val="24"/>
          <w:szCs w:val="24"/>
          <w:rtl/>
        </w:rPr>
        <w:t>:</w:t>
      </w:r>
      <w:r w:rsidR="00777DCB" w:rsidRPr="00A52585">
        <w:rPr>
          <w:rFonts w:hint="cs"/>
          <w:sz w:val="24"/>
          <w:szCs w:val="24"/>
          <w:rtl/>
        </w:rPr>
        <w:t xml:space="preserve"> " وصعود الكلام إليه تعالى مجاز في الفاعل وفي المسمى إليه </w:t>
      </w:r>
      <w:proofErr w:type="spellStart"/>
      <w:r w:rsidR="00777DCB" w:rsidRPr="00A52585">
        <w:rPr>
          <w:rFonts w:hint="cs"/>
          <w:sz w:val="24"/>
          <w:szCs w:val="24"/>
          <w:rtl/>
        </w:rPr>
        <w:t>لانه</w:t>
      </w:r>
      <w:proofErr w:type="spellEnd"/>
      <w:r w:rsidR="00777DCB" w:rsidRPr="00A52585">
        <w:rPr>
          <w:rFonts w:hint="cs"/>
          <w:sz w:val="24"/>
          <w:szCs w:val="24"/>
          <w:rtl/>
        </w:rPr>
        <w:t xml:space="preserve"> تعالى ليس في جهة</w:t>
      </w:r>
      <w:r w:rsidR="00DB731D" w:rsidRPr="00A52585">
        <w:rPr>
          <w:rFonts w:hint="cs"/>
          <w:sz w:val="24"/>
          <w:szCs w:val="24"/>
          <w:rtl/>
        </w:rPr>
        <w:t>،</w:t>
      </w:r>
      <w:r w:rsidR="00777DCB" w:rsidRPr="00A52585">
        <w:rPr>
          <w:rFonts w:hint="cs"/>
          <w:sz w:val="24"/>
          <w:szCs w:val="24"/>
          <w:rtl/>
        </w:rPr>
        <w:t xml:space="preserve"> ولان الكلم ألفاظ لا توصف بالصعود</w:t>
      </w:r>
      <w:r w:rsidRPr="00A52585">
        <w:rPr>
          <w:rFonts w:hint="cs"/>
          <w:rtl/>
        </w:rPr>
        <w:t>]</w:t>
      </w:r>
      <w:r w:rsidR="00777DCB" w:rsidRPr="00A52585">
        <w:rPr>
          <w:rFonts w:hint="cs"/>
          <w:rtl/>
        </w:rPr>
        <w:t xml:space="preserve"> فاطر</w:t>
      </w:r>
      <w:r w:rsidRPr="00A52585">
        <w:rPr>
          <w:rFonts w:hint="cs"/>
          <w:rtl/>
        </w:rPr>
        <w:t>:</w:t>
      </w:r>
      <w:r w:rsidR="00777DCB" w:rsidRPr="00A52585">
        <w:rPr>
          <w:rFonts w:hint="cs"/>
          <w:rtl/>
        </w:rPr>
        <w:t xml:space="preserve"> 10</w:t>
      </w:r>
      <w:r w:rsidR="00DB731D" w:rsidRPr="00A52585">
        <w:rPr>
          <w:rFonts w:hint="cs"/>
          <w:rtl/>
        </w:rPr>
        <w:t>،</w:t>
      </w:r>
      <w:r w:rsidR="00777DCB" w:rsidRPr="00A52585">
        <w:rPr>
          <w:rFonts w:hint="cs"/>
          <w:rtl/>
        </w:rPr>
        <w:t xml:space="preserve"> وبقوله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القاهر فوق عباده</w:t>
      </w:r>
      <w:r w:rsidRPr="00A52585">
        <w:rPr>
          <w:rFonts w:hint="cs"/>
          <w:rtl/>
        </w:rPr>
        <w:t>)</w:t>
      </w:r>
      <w:r w:rsidR="00777DCB" w:rsidRPr="00A52585">
        <w:rPr>
          <w:rFonts w:hint="cs"/>
          <w:rtl/>
        </w:rPr>
        <w:t xml:space="preserve"> الانعام</w:t>
      </w:r>
      <w:r w:rsidRPr="00A52585">
        <w:rPr>
          <w:rFonts w:hint="cs"/>
          <w:rtl/>
        </w:rPr>
        <w:t>:</w:t>
      </w:r>
      <w:r w:rsidR="00777DCB" w:rsidRPr="00A52585">
        <w:rPr>
          <w:rFonts w:hint="cs"/>
          <w:rtl/>
        </w:rPr>
        <w:t xml:space="preserve"> 18 وجعلوا ذلك فوقية </w:t>
      </w:r>
      <w:r w:rsidR="00777DCB" w:rsidRPr="00A52585">
        <w:rPr>
          <w:rFonts w:hint="cs"/>
          <w:rtl/>
        </w:rPr>
        <w:lastRenderedPageBreak/>
        <w:t>حسية</w:t>
      </w:r>
      <w:r w:rsidR="00DB731D" w:rsidRPr="00A52585">
        <w:rPr>
          <w:rFonts w:hint="cs"/>
          <w:rtl/>
        </w:rPr>
        <w:t>،</w:t>
      </w:r>
      <w:r w:rsidR="00777DCB" w:rsidRPr="00A52585">
        <w:rPr>
          <w:rFonts w:hint="cs"/>
          <w:rtl/>
        </w:rPr>
        <w:t xml:space="preserve"> ونسوا أن الفوقية الحسية إنما تكون لجسم أو جوهر وأن الفوقية قد تطلق لعلو المرتبة فيقال</w:t>
      </w:r>
      <w:r w:rsidRPr="00A52585">
        <w:rPr>
          <w:rFonts w:hint="cs"/>
          <w:rtl/>
        </w:rPr>
        <w:t>:</w:t>
      </w:r>
      <w:r w:rsidR="00777DCB" w:rsidRPr="00A52585">
        <w:rPr>
          <w:rFonts w:hint="cs"/>
          <w:rtl/>
        </w:rPr>
        <w:t xml:space="preserve"> فلان فوق فلان</w:t>
      </w:r>
      <w:r w:rsidR="00DB731D" w:rsidRPr="00A52585">
        <w:rPr>
          <w:rFonts w:hint="cs"/>
          <w:rtl/>
        </w:rPr>
        <w:t>،</w:t>
      </w:r>
      <w:r w:rsidR="00777DCB" w:rsidRPr="00A52585">
        <w:rPr>
          <w:rFonts w:hint="cs"/>
          <w:rtl/>
        </w:rPr>
        <w:t xml:space="preserve"> ثم إنه كما قال " فوق عباده " قال</w:t>
      </w:r>
      <w:r w:rsidRPr="00A52585">
        <w:rPr>
          <w:rFonts w:hint="cs"/>
          <w:rtl/>
        </w:rPr>
        <w:t>:</w:t>
      </w:r>
      <w:r w:rsidR="00777DCB" w:rsidRPr="00A52585">
        <w:rPr>
          <w:rFonts w:hint="cs"/>
          <w:rtl/>
        </w:rPr>
        <w:t xml:space="preserve"> " وهو معكم "</w:t>
      </w:r>
      <w:r w:rsidR="00DB731D" w:rsidRPr="00A52585">
        <w:rPr>
          <w:rFonts w:hint="cs"/>
          <w:rtl/>
        </w:rPr>
        <w:t>،</w:t>
      </w:r>
      <w:r w:rsidR="00777DCB" w:rsidRPr="00A52585">
        <w:rPr>
          <w:rFonts w:hint="cs"/>
          <w:rtl/>
        </w:rPr>
        <w:t xml:space="preserve"> فمن حملها على العلم</w:t>
      </w:r>
      <w:r w:rsidR="00DB731D" w:rsidRPr="00A52585">
        <w:rPr>
          <w:rFonts w:hint="cs"/>
          <w:rtl/>
        </w:rPr>
        <w:t>،</w:t>
      </w:r>
      <w:r w:rsidR="00777DCB" w:rsidRPr="00A52585">
        <w:rPr>
          <w:rFonts w:hint="cs"/>
          <w:rtl/>
        </w:rPr>
        <w:t xml:space="preserve"> حمل خصمه الاستواء على القهر</w:t>
      </w:r>
      <w:r w:rsidR="00DB731D" w:rsidRPr="00A52585">
        <w:rPr>
          <w:rFonts w:hint="cs"/>
          <w:rtl/>
        </w:rPr>
        <w:t>،</w:t>
      </w:r>
      <w:r w:rsidR="00777DCB" w:rsidRPr="00A52585">
        <w:rPr>
          <w:rFonts w:hint="cs"/>
          <w:rtl/>
        </w:rPr>
        <w:t xml:space="preserve"> أخبرنا علي بن محمد بن عمر الدباس</w:t>
      </w:r>
      <w:r w:rsidR="00DB731D" w:rsidRPr="00A52585">
        <w:rPr>
          <w:rFonts w:hint="cs"/>
          <w:rtl/>
        </w:rPr>
        <w:t>،</w:t>
      </w:r>
      <w:r w:rsidR="00777DCB" w:rsidRPr="00A52585">
        <w:rPr>
          <w:rFonts w:hint="cs"/>
          <w:rtl/>
        </w:rPr>
        <w:t xml:space="preserve"> قال أنبأنا رزق الله بن عبد الوهاب التميمي قال</w:t>
      </w:r>
      <w:r w:rsidRPr="00A52585">
        <w:rPr>
          <w:rFonts w:hint="cs"/>
          <w:rtl/>
        </w:rPr>
        <w:t>:</w:t>
      </w:r>
      <w:r w:rsidR="00777DCB" w:rsidRPr="00A52585">
        <w:rPr>
          <w:rFonts w:hint="cs"/>
          <w:rtl/>
        </w:rPr>
        <w:t xml:space="preserve"> كان أحمد بن حنبل يقول</w:t>
      </w:r>
      <w:r w:rsidRPr="00A52585">
        <w:rPr>
          <w:rFonts w:hint="cs"/>
          <w:rtl/>
        </w:rPr>
        <w:t>:</w:t>
      </w:r>
      <w:r w:rsidR="00777DCB" w:rsidRPr="00A52585">
        <w:rPr>
          <w:rFonts w:hint="cs"/>
          <w:rtl/>
        </w:rPr>
        <w:t xml:space="preserve"> الاستواء صفة مسلمة وليست بمعنى القصد ولا الاستعلاء</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وكان أحمد لا يقول بالجهة للباري لان الجهات تخلى عما سواها</w:t>
      </w:r>
      <w:r w:rsidR="00DB731D" w:rsidRPr="00A52585">
        <w:rPr>
          <w:rFonts w:hint="cs"/>
          <w:rtl/>
        </w:rPr>
        <w:t>،</w:t>
      </w:r>
      <w:r w:rsidR="00777DCB" w:rsidRPr="00A52585">
        <w:rPr>
          <w:rFonts w:hint="cs"/>
          <w:rtl/>
        </w:rPr>
        <w:t xml:space="preserve"> وقال ابن حامد</w:t>
      </w:r>
      <w:r w:rsidRPr="00A52585">
        <w:rPr>
          <w:rFonts w:hint="cs"/>
          <w:rtl/>
        </w:rPr>
        <w:t>:</w:t>
      </w:r>
      <w:r w:rsidR="00777DCB" w:rsidRPr="00A52585">
        <w:rPr>
          <w:rFonts w:hint="cs"/>
          <w:rtl/>
        </w:rPr>
        <w:t xml:space="preserve"> الحق يختص بمكان دون مكان</w:t>
      </w:r>
      <w:r w:rsidR="00DB731D" w:rsidRPr="00A52585">
        <w:rPr>
          <w:rFonts w:hint="cs"/>
          <w:rtl/>
        </w:rPr>
        <w:t>،</w:t>
      </w:r>
      <w:r w:rsidR="00777DCB" w:rsidRPr="00A52585">
        <w:rPr>
          <w:rFonts w:hint="cs"/>
          <w:rtl/>
        </w:rPr>
        <w:t xml:space="preserve"> ومكانه الذي هو فيه وجود ذاته على عرشه</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وذهبت طائفة إلى أن الله تعالى على عرشه</w:t>
      </w:r>
      <w:r w:rsidRPr="00A52585">
        <w:rPr>
          <w:rFonts w:hint="cs"/>
          <w:rtl/>
        </w:rPr>
        <w:t>:</w:t>
      </w:r>
      <w:r w:rsidR="00777DCB" w:rsidRPr="00A52585">
        <w:rPr>
          <w:rFonts w:hint="cs"/>
          <w:rtl/>
        </w:rPr>
        <w:t xml:space="preserve"> قد ملاه</w:t>
      </w:r>
      <w:r w:rsidR="00DB731D" w:rsidRPr="00A52585">
        <w:rPr>
          <w:rFonts w:hint="cs"/>
          <w:rtl/>
        </w:rPr>
        <w:t>،</w:t>
      </w:r>
      <w:r w:rsidR="00777DCB" w:rsidRPr="00A52585">
        <w:rPr>
          <w:rFonts w:hint="cs"/>
          <w:rtl/>
        </w:rPr>
        <w:t xml:space="preserve"> والاشبه أنه مماس للعرش والكرسي موضع قدميه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المماسة إنما تقع بين جسمين</w:t>
      </w:r>
      <w:r w:rsidR="00DB731D" w:rsidRPr="00A52585">
        <w:rPr>
          <w:rFonts w:hint="cs"/>
          <w:rtl/>
        </w:rPr>
        <w:t>،</w:t>
      </w:r>
      <w:r w:rsidR="00777DCB" w:rsidRPr="00A52585">
        <w:rPr>
          <w:rFonts w:hint="cs"/>
          <w:rtl/>
        </w:rPr>
        <w:t xml:space="preserve"> وما أبقى هذا في التجسيم بقية</w:t>
      </w:r>
      <w:r w:rsidR="00F95886"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فصل</w:t>
      </w:r>
      <w:r w:rsidRPr="00A52585">
        <w:rPr>
          <w:rFonts w:hint="cs"/>
          <w:bCs/>
          <w:rtl/>
        </w:rPr>
        <w:t>]:</w:t>
      </w:r>
      <w:r w:rsidR="00777DCB" w:rsidRPr="00A52585">
        <w:rPr>
          <w:rFonts w:hint="cs"/>
          <w:rtl/>
        </w:rPr>
        <w:t xml:space="preserve"> واعلم أن كل من يتصور وجود الحق سبحانه وجودا مكانيا طلب له جهة كما أن من تخيل أن وجوده وجودا زمانيا طلب له مدة في تقدمه على العالم بأزمنة وكلا التخيلين باطل</w:t>
      </w:r>
      <w:r w:rsidR="00DB731D" w:rsidRPr="00A52585">
        <w:rPr>
          <w:rFonts w:hint="cs"/>
          <w:rtl/>
        </w:rPr>
        <w:t>،</w:t>
      </w:r>
      <w:r w:rsidR="00777DCB" w:rsidRPr="00A52585">
        <w:rPr>
          <w:rFonts w:hint="cs"/>
          <w:rtl/>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لان القديم هو الواجب الوجود من جميع الجهات</w:t>
      </w:r>
      <w:r w:rsidR="00DB731D" w:rsidRPr="00A52585">
        <w:rPr>
          <w:rFonts w:hint="cs"/>
          <w:rtl/>
        </w:rPr>
        <w:t>،</w:t>
      </w:r>
      <w:r w:rsidR="00777DCB" w:rsidRPr="00A52585">
        <w:rPr>
          <w:rFonts w:hint="cs"/>
          <w:rtl/>
        </w:rPr>
        <w:t xml:space="preserve"> ثم ان كل من هو في جهة يكون مقدرا محدودا وهو يتعالى عن ذلك وإنما الجهات للجواهر والاجسام لأنها أجرام تحتاج إلى جهة والجهة ليست في جهة وإذا ثبت بطلان الجهة ثبت بطلان المكان ويوضحه أن المكان يحيط بمن فيه والخالق لا </w:t>
      </w:r>
      <w:proofErr w:type="spellStart"/>
      <w:r w:rsidR="00777DCB" w:rsidRPr="00A52585">
        <w:rPr>
          <w:rFonts w:hint="cs"/>
          <w:rtl/>
        </w:rPr>
        <w:t>يحويه</w:t>
      </w:r>
      <w:proofErr w:type="spellEnd"/>
      <w:r w:rsidR="00777DCB" w:rsidRPr="00A52585">
        <w:rPr>
          <w:rFonts w:hint="cs"/>
          <w:rtl/>
        </w:rPr>
        <w:t xml:space="preserve"> شيء ولا تحدث له صفة</w:t>
      </w:r>
      <w:r w:rsidR="00DB731D" w:rsidRPr="00A52585">
        <w:rPr>
          <w:rFonts w:hint="cs"/>
          <w:rtl/>
        </w:rPr>
        <w:t>،</w:t>
      </w:r>
      <w:r w:rsidR="00777DCB" w:rsidRPr="00A52585">
        <w:rPr>
          <w:rFonts w:hint="cs"/>
          <w:rtl/>
        </w:rPr>
        <w:t xml:space="preserve"> فإن قيل</w:t>
      </w:r>
      <w:r w:rsidRPr="00A52585">
        <w:rPr>
          <w:rFonts w:hint="cs"/>
          <w:rtl/>
        </w:rPr>
        <w:t>:</w:t>
      </w:r>
      <w:r w:rsidR="00777DCB" w:rsidRPr="00A52585">
        <w:rPr>
          <w:rFonts w:hint="cs"/>
          <w:rtl/>
        </w:rPr>
        <w:t xml:space="preserve"> فقد أخرج في الصحيحين عن شريك بن عبد الله بن أبي نمر عن أنس بن مالك رضي الله عنه</w:t>
      </w:r>
      <w:r w:rsidRPr="00A52585">
        <w:rPr>
          <w:rFonts w:hint="cs"/>
          <w:rtl/>
        </w:rPr>
        <w:t>:</w:t>
      </w:r>
      <w:r w:rsidR="00777DCB" w:rsidRPr="00A52585">
        <w:rPr>
          <w:rFonts w:hint="cs"/>
          <w:rtl/>
        </w:rPr>
        <w:t xml:space="preserve"> أنه ذكر المعراج فقال فيه</w:t>
      </w:r>
      <w:r w:rsidRPr="00A52585">
        <w:rPr>
          <w:rFonts w:hint="cs"/>
          <w:rtl/>
        </w:rPr>
        <w:t>:</w:t>
      </w:r>
      <w:r w:rsidR="00777DCB" w:rsidRPr="00A52585">
        <w:rPr>
          <w:rFonts w:hint="cs"/>
          <w:rtl/>
        </w:rPr>
        <w:t xml:space="preserve"> " فعلا به إلى الجبار تعالى " فقال</w:t>
      </w:r>
      <w:r w:rsidRPr="00A52585">
        <w:rPr>
          <w:rFonts w:hint="cs"/>
          <w:rtl/>
        </w:rPr>
        <w:t>:</w:t>
      </w:r>
      <w:r w:rsidR="00777DCB" w:rsidRPr="00A52585">
        <w:rPr>
          <w:rFonts w:hint="cs"/>
          <w:rtl/>
        </w:rPr>
        <w:t xml:space="preserve"> " وهو في مكانه يا رب خفف عنا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هذه ألفاظ من حديث انفرد به البخاري في صحيحه </w:t>
      </w:r>
      <w:r w:rsidRPr="00A52585">
        <w:rPr>
          <w:rFonts w:hint="cs"/>
          <w:sz w:val="24"/>
          <w:szCs w:val="24"/>
          <w:rtl/>
        </w:rPr>
        <w:t>(</w:t>
      </w:r>
      <w:r w:rsidR="00777DCB" w:rsidRPr="00A52585">
        <w:rPr>
          <w:rFonts w:hint="cs"/>
          <w:sz w:val="24"/>
          <w:szCs w:val="24"/>
          <w:rtl/>
        </w:rPr>
        <w:t>الفتح 13 / 478</w:t>
      </w:r>
      <w:r w:rsidRPr="00A52585">
        <w:rPr>
          <w:rFonts w:hint="cs"/>
          <w:sz w:val="24"/>
          <w:szCs w:val="24"/>
          <w:rtl/>
        </w:rPr>
        <w:t>)</w:t>
      </w:r>
      <w:r w:rsidR="00777DCB" w:rsidRPr="00A52585">
        <w:rPr>
          <w:rFonts w:hint="cs"/>
          <w:sz w:val="24"/>
          <w:szCs w:val="24"/>
          <w:rtl/>
        </w:rPr>
        <w:t xml:space="preserve"> وقد أطال الحافظ ابن حجر في نقل أقوال الائمة الحفاظ الذين ردوا هذه الالفاظ وشنعوا عليها</w:t>
      </w:r>
      <w:r w:rsidR="00DB731D" w:rsidRPr="00A52585">
        <w:rPr>
          <w:rFonts w:hint="cs"/>
          <w:sz w:val="24"/>
          <w:szCs w:val="24"/>
          <w:rtl/>
        </w:rPr>
        <w:t>،</w:t>
      </w:r>
      <w:r w:rsidR="00777DCB" w:rsidRPr="00A52585">
        <w:rPr>
          <w:rFonts w:hint="cs"/>
          <w:sz w:val="24"/>
          <w:szCs w:val="24"/>
          <w:rtl/>
        </w:rPr>
        <w:t xml:space="preserve"> وفي هذه المرة قل تعويمه للمسألة نسبيا إلا أنه لم يترك إظهار تعصبه لعصمة " صحيح البخاري " رغم أنه أنصف في موضع هناك </w:t>
      </w:r>
      <w:r w:rsidRPr="00A52585">
        <w:rPr>
          <w:rFonts w:hint="cs"/>
          <w:sz w:val="24"/>
          <w:szCs w:val="24"/>
          <w:rtl/>
        </w:rPr>
        <w:t>(</w:t>
      </w:r>
      <w:r w:rsidR="00777DCB" w:rsidRPr="00A52585">
        <w:rPr>
          <w:rFonts w:hint="cs"/>
          <w:sz w:val="24"/>
          <w:szCs w:val="24"/>
          <w:rtl/>
        </w:rPr>
        <w:t>الفتح 13 / 483</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 قال الخطابي ليس في هذا الكتاب يعني صحيح البخاري حديث أشنع ظاهرا ولا أشنع مذاقا من هذا الفصل</w:t>
      </w:r>
      <w:r w:rsidRPr="00A52585">
        <w:rPr>
          <w:rFonts w:hint="cs"/>
          <w:sz w:val="24"/>
          <w:szCs w:val="24"/>
          <w:rtl/>
        </w:rPr>
        <w:t xml:space="preserve"> </w:t>
      </w:r>
      <w:r w:rsidR="00777DCB" w:rsidRPr="00A52585">
        <w:rPr>
          <w:rFonts w:hint="cs"/>
          <w:sz w:val="24"/>
          <w:szCs w:val="24"/>
          <w:rtl/>
        </w:rPr>
        <w:t xml:space="preserve">" اه‍ وذكر أن شريكا راوي هذا الحديث وهو " شريك بن عبد الله بن أبي نمر القرشي " ترجمته في " تهذيب التهذيب " </w:t>
      </w:r>
      <w:r w:rsidRPr="00A52585">
        <w:rPr>
          <w:rFonts w:hint="cs"/>
          <w:sz w:val="24"/>
          <w:szCs w:val="24"/>
          <w:rtl/>
        </w:rPr>
        <w:t>(</w:t>
      </w:r>
      <w:r w:rsidR="00777DCB" w:rsidRPr="00A52585">
        <w:rPr>
          <w:rFonts w:hint="cs"/>
          <w:sz w:val="24"/>
          <w:szCs w:val="24"/>
          <w:rtl/>
        </w:rPr>
        <w:t>4 / 296 دار الفكر</w:t>
      </w:r>
      <w:r w:rsidRPr="00A52585">
        <w:rPr>
          <w:rFonts w:hint="cs"/>
          <w:sz w:val="24"/>
          <w:szCs w:val="24"/>
          <w:rtl/>
        </w:rPr>
        <w:t>)</w:t>
      </w:r>
      <w:r w:rsidR="00777DCB" w:rsidRPr="00A52585">
        <w:rPr>
          <w:rFonts w:hint="cs"/>
          <w:sz w:val="24"/>
          <w:szCs w:val="24"/>
          <w:rtl/>
        </w:rPr>
        <w:t xml:space="preserve"> وقد ذكر الحافظ في الفتح </w:t>
      </w:r>
      <w:r w:rsidRPr="00A52585">
        <w:rPr>
          <w:rFonts w:hint="cs"/>
          <w:sz w:val="24"/>
          <w:szCs w:val="24"/>
          <w:rtl/>
        </w:rPr>
        <w:t>(</w:t>
      </w:r>
      <w:r w:rsidR="00777DCB" w:rsidRPr="00A52585">
        <w:rPr>
          <w:rFonts w:hint="cs"/>
          <w:sz w:val="24"/>
          <w:szCs w:val="24"/>
          <w:rtl/>
        </w:rPr>
        <w:t>13 / 485</w:t>
      </w:r>
      <w:r w:rsidRPr="00A52585">
        <w:rPr>
          <w:rFonts w:hint="cs"/>
          <w:sz w:val="24"/>
          <w:szCs w:val="24"/>
          <w:rtl/>
        </w:rPr>
        <w:t>)</w:t>
      </w:r>
      <w:r w:rsidR="00777DCB" w:rsidRPr="00A52585">
        <w:rPr>
          <w:rFonts w:hint="cs"/>
          <w:sz w:val="24"/>
          <w:szCs w:val="24"/>
          <w:rtl/>
        </w:rPr>
        <w:t xml:space="preserve"> أيضا بعدما ذكر من وثق شريكا هذا أقوال الطاعنين فيه فقال</w:t>
      </w:r>
      <w:r w:rsidRPr="00A52585">
        <w:rPr>
          <w:rFonts w:hint="cs"/>
          <w:sz w:val="24"/>
          <w:szCs w:val="24"/>
          <w:rtl/>
        </w:rPr>
        <w:t>:</w:t>
      </w:r>
      <w:r w:rsidR="00777DCB" w:rsidRPr="00A52585">
        <w:rPr>
          <w:rFonts w:hint="cs"/>
          <w:sz w:val="24"/>
          <w:szCs w:val="24"/>
          <w:rtl/>
        </w:rPr>
        <w:t xml:space="preserve"> " وقد سبق إلى التنبيه على ما في رواية شريك من المخالفة مسلم في صحيحه</w:t>
      </w:r>
      <w:r w:rsidR="00DB731D" w:rsidRPr="00A52585">
        <w:rPr>
          <w:rFonts w:hint="cs"/>
          <w:sz w:val="24"/>
          <w:szCs w:val="24"/>
          <w:rtl/>
        </w:rPr>
        <w:t>،</w:t>
      </w:r>
      <w:r w:rsidR="00777DCB" w:rsidRPr="00A52585">
        <w:rPr>
          <w:rFonts w:hint="cs"/>
          <w:sz w:val="24"/>
          <w:szCs w:val="24"/>
          <w:rtl/>
        </w:rPr>
        <w:t xml:space="preserve"> فإنه قال بعد أن ساق سنده وبعض المتن ثم قال</w:t>
      </w:r>
      <w:r w:rsidRPr="00A52585">
        <w:rPr>
          <w:rFonts w:hint="cs"/>
          <w:sz w:val="24"/>
          <w:szCs w:val="24"/>
          <w:rtl/>
        </w:rPr>
        <w:t>:</w:t>
      </w:r>
      <w:r w:rsidR="00777DCB" w:rsidRPr="00A52585">
        <w:rPr>
          <w:rFonts w:hint="cs"/>
          <w:sz w:val="24"/>
          <w:szCs w:val="24"/>
          <w:rtl/>
        </w:rPr>
        <w:t xml:space="preserve"> فقدم وأخر وزاد ونقص</w:t>
      </w:r>
      <w:r w:rsidR="00DB731D" w:rsidRPr="00A52585">
        <w:rPr>
          <w:rFonts w:hint="cs"/>
          <w:sz w:val="24"/>
          <w:szCs w:val="24"/>
          <w:rtl/>
        </w:rPr>
        <w:t>،</w:t>
      </w:r>
      <w:r w:rsidR="00777DCB" w:rsidRPr="00A52585">
        <w:rPr>
          <w:rFonts w:hint="cs"/>
          <w:sz w:val="24"/>
          <w:szCs w:val="24"/>
          <w:rtl/>
        </w:rPr>
        <w:t xml:space="preserve"> وسبق ابن حزم أيضا إلى الكلام في شريك أبو سليمان الخطابي كما قدمته</w:t>
      </w:r>
      <w:r w:rsidR="00DB731D" w:rsidRPr="00A52585">
        <w:rPr>
          <w:rFonts w:hint="cs"/>
          <w:sz w:val="24"/>
          <w:szCs w:val="24"/>
          <w:rtl/>
        </w:rPr>
        <w:t>،</w:t>
      </w:r>
      <w:r w:rsidR="00777DCB" w:rsidRPr="00A52585">
        <w:rPr>
          <w:rFonts w:hint="cs"/>
          <w:sz w:val="24"/>
          <w:szCs w:val="24"/>
          <w:rtl/>
        </w:rPr>
        <w:t xml:space="preserve"> وقال فيه النسائي وأبو محمد بن الجارود</w:t>
      </w:r>
      <w:r w:rsidRPr="00A52585">
        <w:rPr>
          <w:rFonts w:hint="cs"/>
          <w:sz w:val="24"/>
          <w:szCs w:val="24"/>
          <w:rtl/>
        </w:rPr>
        <w:t>:</w:t>
      </w:r>
      <w:r w:rsidR="00777DCB" w:rsidRPr="00A52585">
        <w:rPr>
          <w:rFonts w:hint="cs"/>
          <w:sz w:val="24"/>
          <w:szCs w:val="24"/>
          <w:rtl/>
        </w:rPr>
        <w:t xml:space="preserve"> ليس بالقوي</w:t>
      </w:r>
      <w:r w:rsidR="00DB731D" w:rsidRPr="00A52585">
        <w:rPr>
          <w:rFonts w:hint="cs"/>
          <w:sz w:val="24"/>
          <w:szCs w:val="24"/>
          <w:rtl/>
        </w:rPr>
        <w:t>،</w:t>
      </w:r>
      <w:r w:rsidR="00777DCB" w:rsidRPr="00A52585">
        <w:rPr>
          <w:rFonts w:hint="cs"/>
          <w:sz w:val="24"/>
          <w:szCs w:val="24"/>
          <w:rtl/>
        </w:rPr>
        <w:t xml:space="preserve"> وكان يحيى بن سعيد القطان لا يحدث عنه</w:t>
      </w:r>
      <w:r w:rsidR="00DB731D" w:rsidRPr="00A52585">
        <w:rPr>
          <w:rFonts w:hint="cs"/>
          <w:sz w:val="24"/>
          <w:szCs w:val="24"/>
          <w:rtl/>
        </w:rPr>
        <w:t>،</w:t>
      </w:r>
      <w:r w:rsidR="00777DCB" w:rsidRPr="00A52585">
        <w:rPr>
          <w:rFonts w:hint="cs"/>
          <w:sz w:val="24"/>
          <w:szCs w:val="24"/>
          <w:rtl/>
        </w:rPr>
        <w:t xml:space="preserve"> نعم قال محمد بن سعد وأبو داود</w:t>
      </w:r>
      <w:r w:rsidRPr="00A52585">
        <w:rPr>
          <w:rFonts w:hint="cs"/>
          <w:sz w:val="24"/>
          <w:szCs w:val="24"/>
          <w:rtl/>
        </w:rPr>
        <w:t>:</w:t>
      </w:r>
      <w:r w:rsidR="00777DCB" w:rsidRPr="00A52585">
        <w:rPr>
          <w:rFonts w:hint="cs"/>
          <w:sz w:val="24"/>
          <w:szCs w:val="24"/>
          <w:rtl/>
        </w:rPr>
        <w:t xml:space="preserve"> ثقة فهو مختلف فيه فإذا تفرد عد ما ينفرد به شاذا</w:t>
      </w:r>
      <w:r w:rsidR="00DB731D" w:rsidRPr="00A52585">
        <w:rPr>
          <w:rFonts w:hint="cs"/>
          <w:sz w:val="24"/>
          <w:szCs w:val="24"/>
          <w:rtl/>
        </w:rPr>
        <w:t>،</w:t>
      </w:r>
      <w:r w:rsidR="00777DCB" w:rsidRPr="00A52585">
        <w:rPr>
          <w:rFonts w:hint="cs"/>
          <w:sz w:val="24"/>
          <w:szCs w:val="24"/>
          <w:rtl/>
        </w:rPr>
        <w:t xml:space="preserve"> وكذا منكرا على رأي من يقول المنكر والشاذ شيء واحدا " </w:t>
      </w:r>
      <w:r w:rsidR="00777DCB" w:rsidRPr="00A52585">
        <w:rPr>
          <w:rFonts w:hint="cs"/>
          <w:sz w:val="24"/>
          <w:szCs w:val="24"/>
          <w:rtl/>
        </w:rPr>
        <w:lastRenderedPageBreak/>
        <w:t>اه‍ كلام الحافظ من الفتح قلت</w:t>
      </w:r>
      <w:r w:rsidRPr="00A52585">
        <w:rPr>
          <w:rFonts w:hint="cs"/>
          <w:sz w:val="24"/>
          <w:szCs w:val="24"/>
          <w:rtl/>
        </w:rPr>
        <w:t>:</w:t>
      </w:r>
      <w:r w:rsidR="00777DCB" w:rsidRPr="00A52585">
        <w:rPr>
          <w:rFonts w:hint="cs"/>
          <w:sz w:val="24"/>
          <w:szCs w:val="24"/>
          <w:rtl/>
        </w:rPr>
        <w:t xml:space="preserve"> وقد روى مسلم هذا الحديث دون منكرات شريك هذه ومخالفاته التي خالف فيها الحفاظ وهي عشرة ذكرها الحافظ في الفتح </w:t>
      </w:r>
      <w:r w:rsidRPr="00A52585">
        <w:rPr>
          <w:rFonts w:hint="cs"/>
          <w:sz w:val="24"/>
          <w:szCs w:val="24"/>
          <w:rtl/>
        </w:rPr>
        <w:t>(</w:t>
      </w:r>
      <w:r w:rsidR="00777DCB" w:rsidRPr="00A52585">
        <w:rPr>
          <w:rFonts w:hint="cs"/>
          <w:sz w:val="24"/>
          <w:szCs w:val="24"/>
          <w:rtl/>
        </w:rPr>
        <w:t>13 / 485</w:t>
      </w:r>
      <w:r w:rsidRPr="00A52585">
        <w:rPr>
          <w:rFonts w:hint="cs"/>
          <w:sz w:val="24"/>
          <w:szCs w:val="24"/>
          <w:rtl/>
        </w:rPr>
        <w:t>)</w:t>
      </w:r>
      <w:r w:rsidR="00777DCB" w:rsidRPr="00A52585">
        <w:rPr>
          <w:rFonts w:hint="cs"/>
          <w:sz w:val="24"/>
          <w:szCs w:val="24"/>
          <w:rtl/>
        </w:rPr>
        <w:t xml:space="preserve"> فليراجعها من شاء</w:t>
      </w:r>
      <w:r w:rsidRPr="00A52585">
        <w:rPr>
          <w:rFonts w:hint="cs"/>
          <w:sz w:val="24"/>
          <w:szCs w:val="24"/>
          <w:rtl/>
        </w:rPr>
        <w:t>]</w:t>
      </w:r>
      <w:r w:rsidR="00DB731D" w:rsidRPr="00A52585">
        <w:rPr>
          <w:rFonts w:hint="cs"/>
          <w:rtl/>
        </w:rPr>
        <w:t>،</w:t>
      </w:r>
      <w:r w:rsidR="00777DCB" w:rsidRPr="00A52585">
        <w:rPr>
          <w:rFonts w:hint="cs"/>
          <w:rtl/>
        </w:rPr>
        <w:t xml:space="preserve"> فالجواب</w:t>
      </w:r>
      <w:r w:rsidRPr="00A52585">
        <w:rPr>
          <w:rFonts w:hint="cs"/>
          <w:rtl/>
        </w:rPr>
        <w:t>:</w:t>
      </w:r>
      <w:r w:rsidR="00777DCB" w:rsidRPr="00A52585">
        <w:rPr>
          <w:rFonts w:hint="cs"/>
          <w:rtl/>
        </w:rPr>
        <w:t xml:space="preserve"> ان أبا سليمان الخطابي قال</w:t>
      </w:r>
      <w:r w:rsidRPr="00A52585">
        <w:rPr>
          <w:rFonts w:hint="cs"/>
          <w:rtl/>
        </w:rPr>
        <w:t>:</w:t>
      </w:r>
      <w:r w:rsidR="00777DCB" w:rsidRPr="00A52585">
        <w:rPr>
          <w:rFonts w:hint="cs"/>
          <w:rtl/>
        </w:rPr>
        <w:t xml:space="preserve"> هذه لفظة تفرد بها شريك</w:t>
      </w:r>
      <w:r w:rsidR="00DB731D" w:rsidRPr="00A52585">
        <w:rPr>
          <w:rFonts w:hint="cs"/>
          <w:rtl/>
        </w:rPr>
        <w:t>،</w:t>
      </w:r>
      <w:r w:rsidR="00777DCB" w:rsidRPr="00A52585">
        <w:rPr>
          <w:rFonts w:hint="cs"/>
          <w:rtl/>
        </w:rPr>
        <w:t xml:space="preserve"> ولم يذكرها غيره وهو كثير التفرد بمناكير الالفاظ</w:t>
      </w:r>
      <w:r w:rsidR="00DB731D" w:rsidRPr="00A52585">
        <w:rPr>
          <w:rFonts w:hint="cs"/>
          <w:rtl/>
        </w:rPr>
        <w:t>،</w:t>
      </w:r>
      <w:r w:rsidR="00777DCB" w:rsidRPr="00A52585">
        <w:rPr>
          <w:rFonts w:hint="cs"/>
          <w:rtl/>
        </w:rPr>
        <w:t xml:space="preserve"> والمكان لا يضاف إلى الله عز وجل</w:t>
      </w:r>
      <w:r w:rsidR="00DB731D" w:rsidRPr="00A52585">
        <w:rPr>
          <w:rFonts w:hint="cs"/>
          <w:rtl/>
        </w:rPr>
        <w:t>،</w:t>
      </w:r>
      <w:r w:rsidR="00777DCB" w:rsidRPr="00A52585">
        <w:rPr>
          <w:rFonts w:hint="cs"/>
          <w:rtl/>
        </w:rPr>
        <w:t xml:space="preserve"> إنما هو مكان النبي صلى الله عليه وسلم ومعناه</w:t>
      </w:r>
      <w:r w:rsidRPr="00A52585">
        <w:rPr>
          <w:rFonts w:hint="cs"/>
          <w:rtl/>
        </w:rPr>
        <w:t>:</w:t>
      </w:r>
      <w:r w:rsidR="00777DCB" w:rsidRPr="00A52585">
        <w:rPr>
          <w:rFonts w:hint="cs"/>
          <w:rtl/>
        </w:rPr>
        <w:t xml:space="preserve"> مقامه الاول الذي أقيم فيه "</w:t>
      </w:r>
      <w:r w:rsidR="00DB731D" w:rsidRPr="00A52585">
        <w:rPr>
          <w:rFonts w:hint="cs"/>
          <w:rtl/>
        </w:rPr>
        <w:t>،</w:t>
      </w:r>
      <w:r w:rsidR="00777DCB" w:rsidRPr="00A52585">
        <w:rPr>
          <w:rFonts w:hint="cs"/>
          <w:rtl/>
        </w:rPr>
        <w:t xml:space="preserve"> قال الخطابي</w:t>
      </w:r>
      <w:r w:rsidRPr="00A52585">
        <w:rPr>
          <w:rFonts w:hint="cs"/>
          <w:rtl/>
        </w:rPr>
        <w:t>:</w:t>
      </w:r>
      <w:r w:rsidR="00777DCB" w:rsidRPr="00A52585">
        <w:rPr>
          <w:rFonts w:hint="cs"/>
          <w:rtl/>
        </w:rPr>
        <w:t xml:space="preserve"> وفي هذا الحديث " </w:t>
      </w:r>
      <w:proofErr w:type="spellStart"/>
      <w:r w:rsidR="00777DCB" w:rsidRPr="00A52585">
        <w:rPr>
          <w:rFonts w:hint="cs"/>
          <w:rtl/>
        </w:rPr>
        <w:t>فأستأذنت</w:t>
      </w:r>
      <w:proofErr w:type="spellEnd"/>
      <w:r w:rsidR="00777DCB" w:rsidRPr="00A52585">
        <w:rPr>
          <w:rFonts w:hint="cs"/>
          <w:rtl/>
        </w:rPr>
        <w:t xml:space="preserve"> على ربي وهو في داره </w:t>
      </w:r>
      <w:r w:rsidR="00777DCB" w:rsidRPr="00A52585">
        <w:rPr>
          <w:rFonts w:hint="cs"/>
          <w:sz w:val="24"/>
          <w:szCs w:val="24"/>
          <w:rtl/>
        </w:rPr>
        <w:t>"</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الفتح 13 / 422</w:t>
      </w:r>
      <w:r w:rsidRPr="00A52585">
        <w:rPr>
          <w:rFonts w:hint="cs"/>
          <w:sz w:val="24"/>
          <w:szCs w:val="24"/>
          <w:rtl/>
        </w:rPr>
        <w:t>)]</w:t>
      </w:r>
      <w:r w:rsidR="00DB731D" w:rsidRPr="00A52585">
        <w:rPr>
          <w:rFonts w:hint="cs"/>
          <w:rtl/>
        </w:rPr>
        <w:t>،</w:t>
      </w:r>
      <w:r w:rsidR="00777DCB" w:rsidRPr="00A52585">
        <w:rPr>
          <w:rFonts w:hint="cs"/>
          <w:rtl/>
        </w:rPr>
        <w:t xml:space="preserve"> يوهم مكانا</w:t>
      </w:r>
      <w:r w:rsidR="00DB731D" w:rsidRPr="00A52585">
        <w:rPr>
          <w:rFonts w:hint="cs"/>
          <w:rtl/>
        </w:rPr>
        <w:t>،</w:t>
      </w:r>
      <w:r w:rsidR="00777DCB" w:rsidRPr="00A52585">
        <w:rPr>
          <w:rFonts w:hint="cs"/>
          <w:rtl/>
        </w:rPr>
        <w:t xml:space="preserve"> وإنما المعنى</w:t>
      </w:r>
      <w:r w:rsidR="00DB731D" w:rsidRPr="00A52585">
        <w:rPr>
          <w:rFonts w:hint="cs"/>
          <w:rtl/>
        </w:rPr>
        <w:t>،</w:t>
      </w:r>
      <w:r w:rsidR="00777DCB" w:rsidRPr="00A52585">
        <w:rPr>
          <w:rFonts w:hint="cs"/>
          <w:rtl/>
        </w:rPr>
        <w:t xml:space="preserve"> في داره التي دورها لأوليائه</w:t>
      </w:r>
      <w:r w:rsidR="00DB731D" w:rsidRPr="00A52585">
        <w:rPr>
          <w:rFonts w:hint="cs"/>
          <w:rtl/>
        </w:rPr>
        <w:t>،</w:t>
      </w:r>
      <w:r w:rsidR="00777DCB" w:rsidRPr="00A52585">
        <w:rPr>
          <w:rFonts w:hint="cs"/>
          <w:rtl/>
        </w:rPr>
        <w:t xml:space="preserve"> وقد قال القاضي أبو يعلى في كتابه " المعتمد "</w:t>
      </w:r>
      <w:r w:rsidRPr="00A52585">
        <w:rPr>
          <w:rFonts w:hint="cs"/>
          <w:rtl/>
        </w:rPr>
        <w:t>:</w:t>
      </w:r>
      <w:r w:rsidR="00777DCB" w:rsidRPr="00A52585">
        <w:rPr>
          <w:rFonts w:hint="cs"/>
          <w:rtl/>
        </w:rPr>
        <w:t xml:space="preserve"> إن الله عز وجل لا يوصف بالمكان</w:t>
      </w:r>
      <w:r w:rsidR="00DB731D" w:rsidRPr="00A52585">
        <w:rPr>
          <w:rFonts w:hint="cs"/>
          <w:rtl/>
        </w:rPr>
        <w:t>،</w:t>
      </w:r>
      <w:r w:rsidR="00777DCB" w:rsidRPr="00A52585">
        <w:rPr>
          <w:rFonts w:hint="cs"/>
          <w:rtl/>
        </w:rPr>
        <w:t xml:space="preserve"> فإن قيل</w:t>
      </w:r>
      <w:r w:rsidRPr="00A52585">
        <w:rPr>
          <w:rFonts w:hint="cs"/>
          <w:rtl/>
        </w:rPr>
        <w:t>:</w:t>
      </w:r>
      <w:r w:rsidR="00777DCB" w:rsidRPr="00A52585">
        <w:rPr>
          <w:rFonts w:hint="cs"/>
          <w:rtl/>
        </w:rPr>
        <w:t xml:space="preserve"> نفي الجهات يحيل وجوده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أجاب على هذا أيضا الحافظ بن حجر في " لسان الميزان " </w:t>
      </w:r>
      <w:r w:rsidRPr="00A52585">
        <w:rPr>
          <w:rFonts w:hint="cs"/>
          <w:sz w:val="24"/>
          <w:szCs w:val="24"/>
          <w:rtl/>
        </w:rPr>
        <w:t>(</w:t>
      </w:r>
      <w:r w:rsidR="00777DCB" w:rsidRPr="00A52585">
        <w:rPr>
          <w:rFonts w:hint="cs"/>
          <w:sz w:val="24"/>
          <w:szCs w:val="24"/>
          <w:rtl/>
        </w:rPr>
        <w:t>5 / 114 الهندية</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 وقوله</w:t>
      </w:r>
      <w:r w:rsidRPr="00A52585">
        <w:rPr>
          <w:rFonts w:hint="cs"/>
          <w:sz w:val="24"/>
          <w:szCs w:val="24"/>
          <w:rtl/>
        </w:rPr>
        <w:t>:</w:t>
      </w:r>
      <w:r w:rsidR="00777DCB" w:rsidRPr="00A52585">
        <w:rPr>
          <w:rFonts w:hint="cs"/>
          <w:sz w:val="24"/>
          <w:szCs w:val="24"/>
          <w:rtl/>
        </w:rPr>
        <w:t xml:space="preserve"> قال النافي</w:t>
      </w:r>
      <w:r w:rsidRPr="00A52585">
        <w:rPr>
          <w:rFonts w:hint="cs"/>
          <w:sz w:val="24"/>
          <w:szCs w:val="24"/>
          <w:rtl/>
        </w:rPr>
        <w:t>:</w:t>
      </w:r>
      <w:r w:rsidR="00777DCB" w:rsidRPr="00A52585">
        <w:rPr>
          <w:rFonts w:hint="cs"/>
          <w:sz w:val="24"/>
          <w:szCs w:val="24"/>
          <w:rtl/>
        </w:rPr>
        <w:t xml:space="preserve"> ساويت ربك بالشيء المعدوم إذ المعدوم لا حد له</w:t>
      </w:r>
      <w:r w:rsidRPr="00A52585">
        <w:rPr>
          <w:rFonts w:hint="cs"/>
          <w:sz w:val="24"/>
          <w:szCs w:val="24"/>
          <w:rtl/>
        </w:rPr>
        <w:t>:</w:t>
      </w:r>
      <w:r w:rsidR="00777DCB" w:rsidRPr="00A52585">
        <w:rPr>
          <w:rFonts w:hint="cs"/>
          <w:sz w:val="24"/>
          <w:szCs w:val="24"/>
          <w:rtl/>
        </w:rPr>
        <w:t xml:space="preserve"> نازل</w:t>
      </w:r>
      <w:r w:rsidR="00DB731D" w:rsidRPr="00A52585">
        <w:rPr>
          <w:rFonts w:hint="cs"/>
          <w:sz w:val="24"/>
          <w:szCs w:val="24"/>
          <w:rtl/>
        </w:rPr>
        <w:t>،</w:t>
      </w:r>
      <w:r w:rsidR="00777DCB" w:rsidRPr="00A52585">
        <w:rPr>
          <w:rFonts w:hint="cs"/>
          <w:sz w:val="24"/>
          <w:szCs w:val="24"/>
          <w:rtl/>
        </w:rPr>
        <w:t xml:space="preserve"> فإنا لا نسلم أن القول بعدم الحد يفضي إلى مساواته بالمعدوم بعد تحقق وجوده " اه‍</w:t>
      </w:r>
      <w:r w:rsidR="00DB731D" w:rsidRPr="00A52585">
        <w:rPr>
          <w:rFonts w:hint="cs"/>
          <w:sz w:val="24"/>
          <w:szCs w:val="24"/>
          <w:rtl/>
        </w:rPr>
        <w:t>،</w:t>
      </w:r>
      <w:r w:rsidR="00777DCB" w:rsidRPr="00A52585">
        <w:rPr>
          <w:rFonts w:hint="cs"/>
          <w:sz w:val="24"/>
          <w:szCs w:val="24"/>
          <w:rtl/>
        </w:rPr>
        <w:t xml:space="preserve"> ومعنى قوله نازل</w:t>
      </w:r>
      <w:r w:rsidRPr="00A52585">
        <w:rPr>
          <w:rFonts w:hint="cs"/>
          <w:sz w:val="24"/>
          <w:szCs w:val="24"/>
          <w:rtl/>
        </w:rPr>
        <w:t>:</w:t>
      </w:r>
      <w:r w:rsidR="00777DCB" w:rsidRPr="00A52585">
        <w:rPr>
          <w:rFonts w:hint="cs"/>
          <w:sz w:val="24"/>
          <w:szCs w:val="24"/>
          <w:rtl/>
        </w:rPr>
        <w:t xml:space="preserve"> أي باطل وساقط</w:t>
      </w:r>
      <w:r w:rsidR="00897A24" w:rsidRPr="00A52585">
        <w:rPr>
          <w:rFonts w:hint="cs"/>
          <w:sz w:val="24"/>
          <w:szCs w:val="24"/>
          <w:rtl/>
        </w:rPr>
        <w:t>.</w:t>
      </w:r>
      <w:r w:rsidR="00777DCB" w:rsidRPr="00A52585">
        <w:rPr>
          <w:rFonts w:hint="cs"/>
          <w:sz w:val="24"/>
          <w:szCs w:val="24"/>
          <w:rtl/>
        </w:rPr>
        <w:t xml:space="preserve"> وقول من قال</w:t>
      </w:r>
      <w:r w:rsidRPr="00A52585">
        <w:rPr>
          <w:rFonts w:hint="cs"/>
          <w:sz w:val="24"/>
          <w:szCs w:val="24"/>
          <w:rtl/>
        </w:rPr>
        <w:t>:</w:t>
      </w:r>
      <w:r w:rsidR="00777DCB" w:rsidRPr="00A52585">
        <w:rPr>
          <w:rFonts w:hint="cs"/>
          <w:sz w:val="24"/>
          <w:szCs w:val="24"/>
          <w:rtl/>
        </w:rPr>
        <w:t xml:space="preserve"> نفي الجهات يحيل وجوده</w:t>
      </w:r>
      <w:r w:rsidR="00DB731D" w:rsidRPr="00A52585">
        <w:rPr>
          <w:rFonts w:hint="cs"/>
          <w:sz w:val="24"/>
          <w:szCs w:val="24"/>
          <w:rtl/>
        </w:rPr>
        <w:t>،</w:t>
      </w:r>
      <w:r w:rsidR="00777DCB" w:rsidRPr="00A52585">
        <w:rPr>
          <w:rFonts w:hint="cs"/>
          <w:sz w:val="24"/>
          <w:szCs w:val="24"/>
          <w:rtl/>
        </w:rPr>
        <w:t xml:space="preserve"> فجوابه</w:t>
      </w:r>
      <w:r w:rsidRPr="00A52585">
        <w:rPr>
          <w:rFonts w:hint="cs"/>
          <w:sz w:val="24"/>
          <w:szCs w:val="24"/>
          <w:rtl/>
        </w:rPr>
        <w:t>:</w:t>
      </w:r>
      <w:r w:rsidR="00777DCB" w:rsidRPr="00A52585">
        <w:rPr>
          <w:rFonts w:hint="cs"/>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sidR="00DB731D" w:rsidRPr="00A52585">
        <w:rPr>
          <w:rFonts w:hint="cs"/>
          <w:sz w:val="24"/>
          <w:szCs w:val="24"/>
          <w:rtl/>
        </w:rPr>
        <w:t>،</w:t>
      </w:r>
      <w:r w:rsidR="00777DCB" w:rsidRPr="00A52585">
        <w:rPr>
          <w:rFonts w:hint="cs"/>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DB731D" w:rsidRPr="00A52585">
        <w:rPr>
          <w:rFonts w:hint="cs"/>
          <w:sz w:val="24"/>
          <w:szCs w:val="24"/>
          <w:rtl/>
        </w:rPr>
        <w:t>،</w:t>
      </w:r>
      <w:r w:rsidR="00777DCB" w:rsidRPr="00A52585">
        <w:rPr>
          <w:rFonts w:hint="cs"/>
          <w:sz w:val="24"/>
          <w:szCs w:val="24"/>
          <w:rtl/>
        </w:rPr>
        <w:t xml:space="preserve"> وبهذا يسقط كلام من يتمسك بالجهة</w:t>
      </w:r>
      <w:r w:rsidR="00F95886" w:rsidRPr="00A52585">
        <w:rPr>
          <w:rFonts w:hint="cs"/>
          <w:sz w:val="24"/>
          <w:szCs w:val="24"/>
          <w:rtl/>
        </w:rPr>
        <w:t>!!</w:t>
      </w:r>
      <w:r w:rsidR="00777DCB" w:rsidRPr="00A52585">
        <w:rPr>
          <w:rFonts w:hint="cs"/>
          <w:sz w:val="24"/>
          <w:szCs w:val="24"/>
          <w:rtl/>
          <w:lang w:bidi="ar-KW"/>
        </w:rPr>
        <w:t>]</w:t>
      </w:r>
      <w:r w:rsidR="00DB731D" w:rsidRPr="00A52585">
        <w:rPr>
          <w:rFonts w:hint="cs"/>
          <w:sz w:val="24"/>
          <w:szCs w:val="24"/>
          <w:rtl/>
          <w:lang w:bidi="ar-KW"/>
        </w:rPr>
        <w:t>،</w:t>
      </w:r>
      <w:r w:rsidR="00777DCB" w:rsidRPr="00A52585">
        <w:rPr>
          <w:rFonts w:hint="cs"/>
          <w:sz w:val="24"/>
          <w:szCs w:val="24"/>
          <w:rtl/>
          <w:lang w:bidi="ar-KW"/>
        </w:rPr>
        <w:t xml:space="preserve"> </w:t>
      </w:r>
      <w:r w:rsidR="00777DCB" w:rsidRPr="00A52585">
        <w:rPr>
          <w:rFonts w:hint="cs"/>
          <w:sz w:val="24"/>
          <w:rtl/>
        </w:rPr>
        <w:t xml:space="preserve">ومعنى قوله تعالى </w:t>
      </w:r>
      <w:r w:rsidRPr="00A52585">
        <w:rPr>
          <w:rFonts w:hint="cs"/>
          <w:sz w:val="24"/>
          <w:rtl/>
        </w:rPr>
        <w:t>(</w:t>
      </w:r>
      <w:r w:rsidR="00777DCB" w:rsidRPr="00A52585">
        <w:rPr>
          <w:rFonts w:hint="cs"/>
          <w:sz w:val="24"/>
          <w:rtl/>
        </w:rPr>
        <w:t>ءأمنتم من في السماء</w:t>
      </w:r>
      <w:r w:rsidRPr="00A52585">
        <w:rPr>
          <w:rFonts w:hint="cs"/>
          <w:sz w:val="24"/>
          <w:rtl/>
        </w:rPr>
        <w:t>)</w:t>
      </w:r>
      <w:r w:rsidR="00777DCB" w:rsidRPr="00A52585">
        <w:rPr>
          <w:rFonts w:hint="cs"/>
          <w:sz w:val="24"/>
          <w:rtl/>
        </w:rPr>
        <w:t xml:space="preserve"> إما أن يقال أن " من " عائد على الله تعالى فيكون المراد</w:t>
      </w:r>
      <w:r w:rsidRPr="00A52585">
        <w:rPr>
          <w:rFonts w:hint="cs"/>
          <w:sz w:val="24"/>
          <w:rtl/>
        </w:rPr>
        <w:t>:</w:t>
      </w:r>
      <w:r w:rsidR="00777DCB" w:rsidRPr="00A52585">
        <w:rPr>
          <w:rFonts w:hint="cs"/>
          <w:sz w:val="24"/>
          <w:rtl/>
        </w:rPr>
        <w:t xml:space="preserve"> ءأمنتم العظيم الجليل أن يخسف بكم الارض</w:t>
      </w:r>
      <w:r w:rsidR="00DB731D" w:rsidRPr="00A52585">
        <w:rPr>
          <w:rFonts w:hint="cs"/>
          <w:sz w:val="24"/>
          <w:rtl/>
        </w:rPr>
        <w:t>،</w:t>
      </w:r>
      <w:r w:rsidR="00777DCB" w:rsidRPr="00A52585">
        <w:rPr>
          <w:rFonts w:hint="cs"/>
          <w:sz w:val="24"/>
          <w:rtl/>
        </w:rPr>
        <w:t xml:space="preserve"> لان العرب تصف من أرادت تعظيمه وإجلاله وبيان سامي قدره ورفيع مكانته بأنه في السماء</w:t>
      </w:r>
      <w:r w:rsidR="00DB731D" w:rsidRPr="00A52585">
        <w:rPr>
          <w:rFonts w:hint="cs"/>
          <w:sz w:val="24"/>
          <w:rtl/>
        </w:rPr>
        <w:t>،</w:t>
      </w:r>
      <w:r w:rsidR="00777DCB" w:rsidRPr="00A52585">
        <w:rPr>
          <w:rFonts w:hint="cs"/>
          <w:sz w:val="24"/>
          <w:rtl/>
        </w:rPr>
        <w:t xml:space="preserve"> فتقول</w:t>
      </w:r>
      <w:r w:rsidRPr="00A52585">
        <w:rPr>
          <w:rFonts w:hint="cs"/>
          <w:sz w:val="24"/>
          <w:rtl/>
        </w:rPr>
        <w:t>:</w:t>
      </w:r>
      <w:r w:rsidR="00777DCB" w:rsidRPr="00A52585">
        <w:rPr>
          <w:rFonts w:hint="cs"/>
          <w:sz w:val="24"/>
          <w:rtl/>
        </w:rPr>
        <w:t xml:space="preserve"> فلان في السماء</w:t>
      </w:r>
      <w:r w:rsidR="00DB731D" w:rsidRPr="00A52585">
        <w:rPr>
          <w:rFonts w:hint="cs"/>
          <w:sz w:val="24"/>
          <w:rtl/>
        </w:rPr>
        <w:t>،</w:t>
      </w:r>
      <w:r w:rsidR="00777DCB" w:rsidRPr="00A52585">
        <w:rPr>
          <w:rFonts w:hint="cs"/>
          <w:sz w:val="24"/>
          <w:rtl/>
        </w:rPr>
        <w:t xml:space="preserve"> وأين الثرى من الثريا ونحو ذلك</w:t>
      </w:r>
      <w:r w:rsidR="00DB731D" w:rsidRPr="00A52585">
        <w:rPr>
          <w:rFonts w:hint="cs"/>
          <w:sz w:val="24"/>
          <w:rtl/>
        </w:rPr>
        <w:t>،</w:t>
      </w:r>
      <w:r w:rsidR="00777DCB" w:rsidRPr="00A52585">
        <w:rPr>
          <w:rFonts w:hint="cs"/>
          <w:sz w:val="24"/>
          <w:rtl/>
        </w:rPr>
        <w:t xml:space="preserve"> وهذا مشهور ومعلوم وإما أن يراد ب‍ </w:t>
      </w:r>
      <w:r w:rsidRPr="00A52585">
        <w:rPr>
          <w:rFonts w:hint="cs"/>
          <w:sz w:val="24"/>
          <w:rtl/>
        </w:rPr>
        <w:t>(</w:t>
      </w:r>
      <w:r w:rsidR="00777DCB" w:rsidRPr="00A52585">
        <w:rPr>
          <w:rFonts w:hint="cs"/>
          <w:sz w:val="24"/>
          <w:rtl/>
        </w:rPr>
        <w:t>من</w:t>
      </w:r>
      <w:r w:rsidRPr="00A52585">
        <w:rPr>
          <w:rFonts w:hint="cs"/>
          <w:sz w:val="24"/>
          <w:rtl/>
        </w:rPr>
        <w:t>)</w:t>
      </w:r>
      <w:r w:rsidR="00777DCB" w:rsidRPr="00A52585">
        <w:rPr>
          <w:rFonts w:hint="cs"/>
          <w:sz w:val="24"/>
          <w:rtl/>
        </w:rPr>
        <w:t xml:space="preserve"> الملك الذي يرسله الله عز وجل فيخسف الارض بالظالمين الفجار</w:t>
      </w:r>
      <w:r w:rsidR="00DB731D" w:rsidRPr="00A52585">
        <w:rPr>
          <w:rFonts w:hint="cs"/>
          <w:sz w:val="24"/>
          <w:rtl/>
        </w:rPr>
        <w:t>،</w:t>
      </w:r>
      <w:r w:rsidR="00777DCB" w:rsidRPr="00A52585">
        <w:rPr>
          <w:rFonts w:hint="cs"/>
          <w:sz w:val="24"/>
          <w:rtl/>
        </w:rPr>
        <w:t xml:space="preserve"> والملائكة مسكنها السماء</w:t>
      </w:r>
      <w:r w:rsidR="00DB731D" w:rsidRPr="00A52585">
        <w:rPr>
          <w:rFonts w:hint="cs"/>
          <w:sz w:val="24"/>
          <w:rtl/>
        </w:rPr>
        <w:t>،</w:t>
      </w:r>
      <w:r w:rsidR="00777DCB" w:rsidRPr="00A52585">
        <w:rPr>
          <w:rFonts w:hint="cs"/>
          <w:sz w:val="24"/>
          <w:rtl/>
        </w:rPr>
        <w:t xml:space="preserve"> وقوله تعالى </w:t>
      </w:r>
      <w:r w:rsidRPr="00A52585">
        <w:rPr>
          <w:rFonts w:hint="cs"/>
          <w:sz w:val="24"/>
          <w:rtl/>
        </w:rPr>
        <w:t>(</w:t>
      </w:r>
      <w:r w:rsidR="00777DCB" w:rsidRPr="00A52585">
        <w:rPr>
          <w:rFonts w:hint="cs"/>
          <w:sz w:val="24"/>
          <w:rtl/>
        </w:rPr>
        <w:t>ءأمنتم من في السماء</w:t>
      </w:r>
      <w:r w:rsidRPr="00A52585">
        <w:rPr>
          <w:rFonts w:hint="cs"/>
          <w:sz w:val="24"/>
          <w:rtl/>
        </w:rPr>
        <w:t>)</w:t>
      </w:r>
      <w:r w:rsidR="00777DCB" w:rsidRPr="00A52585">
        <w:rPr>
          <w:rFonts w:hint="cs"/>
          <w:sz w:val="24"/>
          <w:rtl/>
        </w:rPr>
        <w:t xml:space="preserve"> مؤول عند المجسمة ب‍ </w:t>
      </w:r>
      <w:r w:rsidRPr="00A52585">
        <w:rPr>
          <w:rFonts w:hint="cs"/>
          <w:sz w:val="24"/>
          <w:rtl/>
        </w:rPr>
        <w:t>(</w:t>
      </w:r>
      <w:r w:rsidR="00777DCB" w:rsidRPr="00A52585">
        <w:rPr>
          <w:rFonts w:hint="cs"/>
          <w:sz w:val="24"/>
          <w:rtl/>
        </w:rPr>
        <w:t>من على السماء</w:t>
      </w:r>
      <w:r w:rsidRPr="00A52585">
        <w:rPr>
          <w:rFonts w:hint="cs"/>
          <w:sz w:val="24"/>
          <w:rtl/>
        </w:rPr>
        <w:t>)</w:t>
      </w:r>
      <w:r w:rsidR="00777DCB" w:rsidRPr="00A52585">
        <w:rPr>
          <w:rFonts w:hint="cs"/>
          <w:sz w:val="24"/>
          <w:rtl/>
        </w:rPr>
        <w:t xml:space="preserve"> بدليل قوله تعالى</w:t>
      </w:r>
      <w:r w:rsidRPr="00A52585">
        <w:rPr>
          <w:rFonts w:hint="cs"/>
          <w:sz w:val="24"/>
          <w:rtl/>
        </w:rPr>
        <w:t>:</w:t>
      </w:r>
      <w:r w:rsidR="00777DCB" w:rsidRPr="00A52585">
        <w:rPr>
          <w:rFonts w:hint="cs"/>
          <w:sz w:val="24"/>
          <w:rtl/>
        </w:rPr>
        <w:t xml:space="preserve"> </w:t>
      </w:r>
      <w:r w:rsidRPr="00A52585">
        <w:rPr>
          <w:rFonts w:hint="cs"/>
          <w:sz w:val="24"/>
          <w:rtl/>
        </w:rPr>
        <w:t>(</w:t>
      </w:r>
      <w:proofErr w:type="spellStart"/>
      <w:r w:rsidR="00777DCB" w:rsidRPr="00A52585">
        <w:rPr>
          <w:rFonts w:hint="cs"/>
          <w:sz w:val="24"/>
          <w:rtl/>
        </w:rPr>
        <w:t>لاصلبنكم</w:t>
      </w:r>
      <w:proofErr w:type="spellEnd"/>
      <w:r w:rsidR="00777DCB" w:rsidRPr="00A52585">
        <w:rPr>
          <w:rFonts w:hint="cs"/>
          <w:sz w:val="24"/>
          <w:rtl/>
        </w:rPr>
        <w:t xml:space="preserve"> في جذوع النخل</w:t>
      </w:r>
      <w:r w:rsidRPr="00A52585">
        <w:rPr>
          <w:rFonts w:hint="cs"/>
          <w:sz w:val="24"/>
          <w:rtl/>
        </w:rPr>
        <w:t>)</w:t>
      </w:r>
      <w:r w:rsidR="00777DCB" w:rsidRPr="00A52585">
        <w:rPr>
          <w:rFonts w:hint="cs"/>
          <w:sz w:val="24"/>
          <w:rtl/>
        </w:rPr>
        <w:t xml:space="preserve"> أي عليها</w:t>
      </w:r>
      <w:r w:rsidR="00DB731D" w:rsidRPr="00A52585">
        <w:rPr>
          <w:rFonts w:hint="cs"/>
          <w:sz w:val="24"/>
          <w:rtl/>
        </w:rPr>
        <w:t>،</w:t>
      </w:r>
      <w:r w:rsidR="00777DCB" w:rsidRPr="00A52585">
        <w:rPr>
          <w:rFonts w:hint="cs"/>
          <w:sz w:val="24"/>
          <w:rtl/>
        </w:rPr>
        <w:t xml:space="preserve"> لكنهم لم ينتبهوا إلى أن التعبير ب‍ </w:t>
      </w:r>
      <w:r w:rsidRPr="00A52585">
        <w:rPr>
          <w:rFonts w:hint="cs"/>
          <w:sz w:val="24"/>
          <w:rtl/>
        </w:rPr>
        <w:t>(</w:t>
      </w:r>
      <w:r w:rsidR="00777DCB" w:rsidRPr="00A52585">
        <w:rPr>
          <w:rFonts w:hint="cs"/>
          <w:sz w:val="24"/>
          <w:rtl/>
        </w:rPr>
        <w:t>في جذوع النخل</w:t>
      </w:r>
      <w:r w:rsidRPr="00A52585">
        <w:rPr>
          <w:rFonts w:hint="cs"/>
          <w:sz w:val="24"/>
          <w:rtl/>
        </w:rPr>
        <w:t>)</w:t>
      </w:r>
      <w:r w:rsidR="00777DCB" w:rsidRPr="00A52585">
        <w:rPr>
          <w:rFonts w:hint="cs"/>
          <w:sz w:val="24"/>
          <w:rtl/>
        </w:rPr>
        <w:t xml:space="preserve"> يقتضي المبالغة في الانتقام الشديد في البلاغة ولذلك عبر عنها " بفي جذوع النخل " مجازا بدل " على جذوع النخل</w:t>
      </w:r>
      <w:r w:rsidR="00DB731D" w:rsidRPr="00A52585">
        <w:rPr>
          <w:rFonts w:hint="cs"/>
          <w:sz w:val="24"/>
          <w:rtl/>
        </w:rPr>
        <w:t>،</w:t>
      </w:r>
      <w:r w:rsidR="00777DCB" w:rsidRPr="00A52585">
        <w:rPr>
          <w:rFonts w:hint="cs"/>
          <w:sz w:val="24"/>
          <w:rtl/>
        </w:rPr>
        <w:t xml:space="preserve"> وهو الاصل</w:t>
      </w:r>
      <w:r w:rsidR="00DB731D" w:rsidRPr="00A52585">
        <w:rPr>
          <w:rFonts w:hint="cs"/>
          <w:sz w:val="24"/>
          <w:rtl/>
        </w:rPr>
        <w:t>،</w:t>
      </w:r>
      <w:r w:rsidR="00777DCB" w:rsidRPr="00A52585">
        <w:rPr>
          <w:rFonts w:hint="cs"/>
          <w:sz w:val="24"/>
          <w:rtl/>
        </w:rPr>
        <w:t xml:space="preserve"> لان ظاهر " في " في اللغة الظرفية</w:t>
      </w:r>
      <w:r w:rsidR="00DB731D" w:rsidRPr="00A52585">
        <w:rPr>
          <w:rFonts w:hint="cs"/>
          <w:sz w:val="24"/>
          <w:rtl/>
        </w:rPr>
        <w:t>،</w:t>
      </w:r>
      <w:r w:rsidR="00777DCB" w:rsidRPr="00A52585">
        <w:rPr>
          <w:rFonts w:hint="cs"/>
          <w:sz w:val="24"/>
          <w:rtl/>
        </w:rPr>
        <w:t xml:space="preserve"> والله تعالى غير مظروف كما قال المصنف</w:t>
      </w:r>
      <w:r w:rsidR="00DB731D" w:rsidRPr="00A52585">
        <w:rPr>
          <w:rFonts w:hint="cs"/>
          <w:sz w:val="24"/>
          <w:rtl/>
        </w:rPr>
        <w:t>،</w:t>
      </w:r>
      <w:r w:rsidRPr="00A52585">
        <w:rPr>
          <w:rFonts w:hint="cs"/>
          <w:sz w:val="24"/>
          <w:rtl/>
        </w:rPr>
        <w:t xml:space="preserve"> </w:t>
      </w:r>
      <w:r w:rsidR="00777DCB" w:rsidRPr="00A52585">
        <w:rPr>
          <w:rFonts w:hint="cs"/>
          <w:sz w:val="24"/>
          <w:rtl/>
        </w:rPr>
        <w:t>ومثل ما قلنا هنا من تأويل وتفسير قوله تعالى</w:t>
      </w:r>
      <w:r w:rsidRPr="00A52585">
        <w:rPr>
          <w:rFonts w:hint="cs"/>
          <w:sz w:val="24"/>
          <w:rtl/>
        </w:rPr>
        <w:t>:</w:t>
      </w:r>
      <w:r w:rsidR="00777DCB" w:rsidRPr="00A52585">
        <w:rPr>
          <w:rFonts w:hint="cs"/>
          <w:sz w:val="24"/>
          <w:rtl/>
        </w:rPr>
        <w:t xml:space="preserve"> </w:t>
      </w:r>
      <w:r w:rsidRPr="00A52585">
        <w:rPr>
          <w:rFonts w:hint="cs"/>
          <w:sz w:val="24"/>
          <w:rtl/>
        </w:rPr>
        <w:t>(</w:t>
      </w:r>
      <w:r w:rsidR="00777DCB" w:rsidRPr="00A52585">
        <w:rPr>
          <w:rFonts w:hint="cs"/>
          <w:sz w:val="24"/>
          <w:rtl/>
        </w:rPr>
        <w:t>ءأمنتم من في السماء</w:t>
      </w:r>
      <w:r w:rsidRPr="00A52585">
        <w:rPr>
          <w:rFonts w:hint="cs"/>
          <w:sz w:val="24"/>
          <w:rtl/>
        </w:rPr>
        <w:t>)</w:t>
      </w:r>
      <w:r w:rsidR="00777DCB" w:rsidRPr="00A52585">
        <w:rPr>
          <w:rFonts w:hint="cs"/>
          <w:sz w:val="24"/>
          <w:rtl/>
        </w:rPr>
        <w:t xml:space="preserve"> قال الحافظ أبو حيان في تفسيره " البحر المحيط " </w:t>
      </w:r>
      <w:r w:rsidRPr="00A52585">
        <w:rPr>
          <w:rFonts w:hint="cs"/>
          <w:sz w:val="24"/>
          <w:rtl/>
        </w:rPr>
        <w:t>(</w:t>
      </w:r>
      <w:r w:rsidR="00777DCB" w:rsidRPr="00A52585">
        <w:rPr>
          <w:rFonts w:hint="cs"/>
          <w:sz w:val="24"/>
          <w:rtl/>
        </w:rPr>
        <w:t>8 / 302</w:t>
      </w:r>
      <w:r w:rsidRPr="00A52585">
        <w:rPr>
          <w:rFonts w:hint="cs"/>
          <w:sz w:val="24"/>
          <w:rtl/>
        </w:rPr>
        <w:t>)</w:t>
      </w:r>
      <w:r w:rsidR="00777DCB" w:rsidRPr="00A52585">
        <w:rPr>
          <w:rFonts w:hint="cs"/>
          <w:sz w:val="24"/>
          <w:rtl/>
        </w:rPr>
        <w:t xml:space="preserve"> والله الهادي</w:t>
      </w:r>
      <w:r w:rsidR="00DB731D" w:rsidRPr="00A52585">
        <w:rPr>
          <w:rFonts w:hint="cs"/>
          <w:sz w:val="24"/>
          <w:rtl/>
        </w:rPr>
        <w:t>،</w:t>
      </w:r>
      <w:r w:rsidR="00777DCB" w:rsidRPr="00A52585">
        <w:rPr>
          <w:rFonts w:hint="cs"/>
          <w:sz w:val="24"/>
          <w:rtl/>
        </w:rPr>
        <w:t xml:space="preserve"> فظاهر قوله </w:t>
      </w:r>
      <w:r w:rsidRPr="00A52585">
        <w:rPr>
          <w:rFonts w:hint="cs"/>
          <w:sz w:val="24"/>
          <w:rtl/>
        </w:rPr>
        <w:t>(</w:t>
      </w:r>
      <w:r w:rsidR="00777DCB" w:rsidRPr="00A52585">
        <w:rPr>
          <w:rFonts w:hint="cs"/>
          <w:sz w:val="24"/>
          <w:rtl/>
        </w:rPr>
        <w:t>من في السماء</w:t>
      </w:r>
      <w:r w:rsidRPr="00A52585">
        <w:rPr>
          <w:rFonts w:hint="cs"/>
          <w:sz w:val="24"/>
          <w:rtl/>
        </w:rPr>
        <w:t>)</w:t>
      </w:r>
      <w:r w:rsidR="00777DCB" w:rsidRPr="00A52585">
        <w:rPr>
          <w:rFonts w:hint="cs"/>
          <w:sz w:val="24"/>
          <w:rtl/>
        </w:rPr>
        <w:t xml:space="preserve"> غير</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أجاب على هذا أيضا الحافظ بن حجر في " لسان الميزان " </w:t>
      </w:r>
      <w:r w:rsidRPr="00A52585">
        <w:rPr>
          <w:rFonts w:hint="cs"/>
          <w:sz w:val="24"/>
          <w:szCs w:val="24"/>
          <w:rtl/>
        </w:rPr>
        <w:t>(</w:t>
      </w:r>
      <w:r w:rsidR="00777DCB" w:rsidRPr="00A52585">
        <w:rPr>
          <w:rFonts w:hint="cs"/>
          <w:sz w:val="24"/>
          <w:szCs w:val="24"/>
          <w:rtl/>
        </w:rPr>
        <w:t>5 / 114 الهندية</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 وقوله</w:t>
      </w:r>
      <w:r w:rsidRPr="00A52585">
        <w:rPr>
          <w:rFonts w:hint="cs"/>
          <w:sz w:val="24"/>
          <w:szCs w:val="24"/>
          <w:rtl/>
        </w:rPr>
        <w:t>:</w:t>
      </w:r>
      <w:r w:rsidR="00777DCB" w:rsidRPr="00A52585">
        <w:rPr>
          <w:rFonts w:hint="cs"/>
          <w:sz w:val="24"/>
          <w:szCs w:val="24"/>
          <w:rtl/>
        </w:rPr>
        <w:t xml:space="preserve"> قال النافي</w:t>
      </w:r>
      <w:r w:rsidRPr="00A52585">
        <w:rPr>
          <w:rFonts w:hint="cs"/>
          <w:sz w:val="24"/>
          <w:szCs w:val="24"/>
          <w:rtl/>
        </w:rPr>
        <w:t>:</w:t>
      </w:r>
      <w:r w:rsidR="00777DCB" w:rsidRPr="00A52585">
        <w:rPr>
          <w:rFonts w:hint="cs"/>
          <w:sz w:val="24"/>
          <w:szCs w:val="24"/>
          <w:rtl/>
        </w:rPr>
        <w:t xml:space="preserve"> ساويت ربك بالشيء المعدوم إذ المعدوم لا حد له</w:t>
      </w:r>
      <w:r w:rsidRPr="00A52585">
        <w:rPr>
          <w:rFonts w:hint="cs"/>
          <w:sz w:val="24"/>
          <w:szCs w:val="24"/>
          <w:rtl/>
        </w:rPr>
        <w:t>:</w:t>
      </w:r>
      <w:r w:rsidR="00777DCB" w:rsidRPr="00A52585">
        <w:rPr>
          <w:rFonts w:hint="cs"/>
          <w:sz w:val="24"/>
          <w:szCs w:val="24"/>
          <w:rtl/>
        </w:rPr>
        <w:t xml:space="preserve"> نازل</w:t>
      </w:r>
      <w:r w:rsidR="00DB731D" w:rsidRPr="00A52585">
        <w:rPr>
          <w:rFonts w:hint="cs"/>
          <w:sz w:val="24"/>
          <w:szCs w:val="24"/>
          <w:rtl/>
        </w:rPr>
        <w:t>،</w:t>
      </w:r>
      <w:r w:rsidR="00777DCB" w:rsidRPr="00A52585">
        <w:rPr>
          <w:rFonts w:hint="cs"/>
          <w:sz w:val="24"/>
          <w:szCs w:val="24"/>
          <w:rtl/>
        </w:rPr>
        <w:t xml:space="preserve"> فإنا لا نسلم أن القول بعدم الحد يفضي إلى مساواته بالمعدوم بعد تحقق وجوده " اه‍</w:t>
      </w:r>
      <w:r w:rsidR="00DB731D" w:rsidRPr="00A52585">
        <w:rPr>
          <w:rFonts w:hint="cs"/>
          <w:sz w:val="24"/>
          <w:szCs w:val="24"/>
          <w:rtl/>
        </w:rPr>
        <w:t>،</w:t>
      </w:r>
      <w:r w:rsidR="00777DCB" w:rsidRPr="00A52585">
        <w:rPr>
          <w:rFonts w:hint="cs"/>
          <w:sz w:val="24"/>
          <w:szCs w:val="24"/>
          <w:rtl/>
        </w:rPr>
        <w:t xml:space="preserve"> ومعنى قوله نازل</w:t>
      </w:r>
      <w:r w:rsidRPr="00A52585">
        <w:rPr>
          <w:rFonts w:hint="cs"/>
          <w:sz w:val="24"/>
          <w:szCs w:val="24"/>
          <w:rtl/>
        </w:rPr>
        <w:t>:</w:t>
      </w:r>
      <w:r w:rsidR="00777DCB" w:rsidRPr="00A52585">
        <w:rPr>
          <w:rFonts w:hint="cs"/>
          <w:sz w:val="24"/>
          <w:szCs w:val="24"/>
          <w:rtl/>
        </w:rPr>
        <w:t xml:space="preserve"> أي باطل وساقط</w:t>
      </w:r>
      <w:r w:rsidR="00897A24" w:rsidRPr="00A52585">
        <w:rPr>
          <w:rFonts w:hint="cs"/>
          <w:sz w:val="24"/>
          <w:szCs w:val="24"/>
          <w:rtl/>
        </w:rPr>
        <w:t>.</w:t>
      </w:r>
      <w:r w:rsidR="00777DCB" w:rsidRPr="00A52585">
        <w:rPr>
          <w:rFonts w:hint="cs"/>
          <w:sz w:val="24"/>
          <w:szCs w:val="24"/>
          <w:rtl/>
        </w:rPr>
        <w:t xml:space="preserve"> وقول من قال</w:t>
      </w:r>
      <w:r w:rsidRPr="00A52585">
        <w:rPr>
          <w:rFonts w:hint="cs"/>
          <w:sz w:val="24"/>
          <w:szCs w:val="24"/>
          <w:rtl/>
        </w:rPr>
        <w:t>:</w:t>
      </w:r>
      <w:r w:rsidR="00777DCB" w:rsidRPr="00A52585">
        <w:rPr>
          <w:rFonts w:hint="cs"/>
          <w:sz w:val="24"/>
          <w:szCs w:val="24"/>
          <w:rtl/>
        </w:rPr>
        <w:t xml:space="preserve"> نفي الجهات يحيل وجوده</w:t>
      </w:r>
      <w:r w:rsidR="00DB731D" w:rsidRPr="00A52585">
        <w:rPr>
          <w:rFonts w:hint="cs"/>
          <w:sz w:val="24"/>
          <w:szCs w:val="24"/>
          <w:rtl/>
        </w:rPr>
        <w:t>،</w:t>
      </w:r>
      <w:r w:rsidR="00777DCB" w:rsidRPr="00A52585">
        <w:rPr>
          <w:rFonts w:hint="cs"/>
          <w:sz w:val="24"/>
          <w:szCs w:val="24"/>
          <w:rtl/>
        </w:rPr>
        <w:t xml:space="preserve"> فجوابه</w:t>
      </w:r>
      <w:r w:rsidRPr="00A52585">
        <w:rPr>
          <w:rFonts w:hint="cs"/>
          <w:sz w:val="24"/>
          <w:szCs w:val="24"/>
          <w:rtl/>
        </w:rPr>
        <w:t>:</w:t>
      </w:r>
      <w:r w:rsidR="00777DCB" w:rsidRPr="00A52585">
        <w:rPr>
          <w:rFonts w:hint="cs"/>
          <w:sz w:val="24"/>
          <w:szCs w:val="24"/>
          <w:rtl/>
        </w:rPr>
        <w:t xml:space="preserve"> نعم إن كان جسما وأنت قد تخيلته كذلك فإذا عرفت أنه سبحانه ليس بجسم ولا </w:t>
      </w:r>
      <w:r w:rsidR="00777DCB" w:rsidRPr="00A52585">
        <w:rPr>
          <w:rFonts w:hint="cs"/>
          <w:sz w:val="24"/>
          <w:szCs w:val="24"/>
          <w:rtl/>
        </w:rPr>
        <w:lastRenderedPageBreak/>
        <w:t>عرض وآمنت بذلك صدقت وأيقنت أنه ليس كالمخلوقات فليس له جهة سبحانه</w:t>
      </w:r>
      <w:r w:rsidR="00DB731D" w:rsidRPr="00A52585">
        <w:rPr>
          <w:rFonts w:hint="cs"/>
          <w:sz w:val="24"/>
          <w:szCs w:val="24"/>
          <w:rtl/>
        </w:rPr>
        <w:t>،</w:t>
      </w:r>
      <w:r w:rsidR="00777DCB" w:rsidRPr="00A52585">
        <w:rPr>
          <w:rFonts w:hint="cs"/>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DB731D" w:rsidRPr="00A52585">
        <w:rPr>
          <w:rFonts w:hint="cs"/>
          <w:sz w:val="24"/>
          <w:szCs w:val="24"/>
          <w:rtl/>
        </w:rPr>
        <w:t>،</w:t>
      </w:r>
      <w:r w:rsidR="00777DCB" w:rsidRPr="00A52585">
        <w:rPr>
          <w:rFonts w:hint="cs"/>
          <w:sz w:val="24"/>
          <w:szCs w:val="24"/>
          <w:rtl/>
        </w:rPr>
        <w:t xml:space="preserve"> وبهذا يسقط كلام من يتمسك بالجهة</w:t>
      </w:r>
      <w:r w:rsidR="00F95886"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إن كان الموجود يقبل الاتصال والانفصال فقد صدقت</w:t>
      </w:r>
      <w:r w:rsidR="00DB731D" w:rsidRPr="00A52585">
        <w:rPr>
          <w:rFonts w:hint="cs"/>
          <w:rtl/>
        </w:rPr>
        <w:t>،</w:t>
      </w:r>
      <w:r w:rsidR="00777DCB" w:rsidRPr="00A52585">
        <w:rPr>
          <w:rFonts w:hint="cs"/>
          <w:rtl/>
        </w:rPr>
        <w:t xml:space="preserve"> فأما إذا لم يقبلهما فليس خلوه من طرف النقيض بمحال</w:t>
      </w:r>
      <w:r w:rsidR="00DB731D" w:rsidRPr="00A52585">
        <w:rPr>
          <w:rFonts w:hint="cs"/>
          <w:rtl/>
        </w:rPr>
        <w:t>،</w:t>
      </w:r>
      <w:r w:rsidR="00777DCB" w:rsidRPr="00A52585">
        <w:rPr>
          <w:rFonts w:hint="cs"/>
          <w:rtl/>
        </w:rPr>
        <w:t xml:space="preserve"> فإن قيل</w:t>
      </w:r>
      <w:r w:rsidRPr="00A52585">
        <w:rPr>
          <w:rFonts w:hint="cs"/>
          <w:rtl/>
        </w:rPr>
        <w:t>:</w:t>
      </w:r>
      <w:r w:rsidR="00777DCB" w:rsidRPr="00A52585">
        <w:rPr>
          <w:rFonts w:hint="cs"/>
          <w:rtl/>
        </w:rPr>
        <w:t xml:space="preserve"> أنتم تلزموننا أن نقر بما لا يدخل تحت الفهم</w:t>
      </w:r>
      <w:r w:rsidR="00DB731D"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لان الوهم من نتائج الحس</w:t>
      </w:r>
      <w:r w:rsidR="00DB731D" w:rsidRPr="00A52585">
        <w:rPr>
          <w:rFonts w:hint="cs"/>
          <w:rtl/>
        </w:rPr>
        <w:t>،</w:t>
      </w:r>
      <w:r w:rsidR="00777DCB" w:rsidRPr="00A52585">
        <w:rPr>
          <w:rFonts w:hint="cs"/>
          <w:rtl/>
        </w:rPr>
        <w:t xml:space="preserve"> وإن أردت أنه لا يعلم بالعقل فقد دللنا أنه ثابت بالعقل لان العقل مضطر إلى التصديق بموجب الدليل</w:t>
      </w:r>
      <w:r w:rsidR="00DB731D" w:rsidRPr="00A52585">
        <w:rPr>
          <w:rFonts w:hint="cs"/>
          <w:rtl/>
        </w:rPr>
        <w:t>،</w:t>
      </w:r>
      <w:r w:rsidR="00777DCB" w:rsidRPr="00A52585">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sidR="00DB731D" w:rsidRPr="00A52585">
        <w:rPr>
          <w:rFonts w:hint="cs"/>
          <w:rtl/>
        </w:rPr>
        <w:t>،</w:t>
      </w:r>
      <w:r w:rsidR="00777DCB" w:rsidRPr="00A52585">
        <w:rPr>
          <w:rFonts w:hint="cs"/>
          <w:rtl/>
        </w:rPr>
        <w:t xml:space="preserve"> ولما كان مثل هذا الكلام لا يفهمه العامي قلنا</w:t>
      </w:r>
      <w:r w:rsidRPr="00A52585">
        <w:rPr>
          <w:rFonts w:hint="cs"/>
          <w:rtl/>
        </w:rPr>
        <w:t>:</w:t>
      </w:r>
      <w:r w:rsidR="00777DCB" w:rsidRPr="00A52585">
        <w:rPr>
          <w:rFonts w:hint="cs"/>
          <w:rtl/>
        </w:rPr>
        <w:t xml:space="preserve"> لا تسمعوه ما لا يفهمه ودعوا اعتقاده لا تحركوه</w:t>
      </w:r>
      <w:r w:rsidR="00DB731D" w:rsidRPr="00A52585">
        <w:rPr>
          <w:rFonts w:hint="cs"/>
          <w:rtl/>
        </w:rPr>
        <w:t>،</w:t>
      </w:r>
      <w:r w:rsidR="00777DCB" w:rsidRPr="00A52585">
        <w:rPr>
          <w:rFonts w:hint="cs"/>
          <w:rtl/>
        </w:rPr>
        <w:t xml:space="preserve"> ويقال إن الله تعالى استوى على عرشه كما يليق به</w:t>
      </w:r>
      <w:r w:rsidR="00DB731D" w:rsidRPr="00A52585">
        <w:rPr>
          <w:rFonts w:hint="cs"/>
          <w:rtl/>
        </w:rPr>
        <w:t>،</w:t>
      </w:r>
      <w:r w:rsidR="00777DCB" w:rsidRPr="00A52585">
        <w:rPr>
          <w:rFonts w:hint="cs"/>
          <w:rtl/>
        </w:rPr>
        <w:t xml:space="preserve"> </w:t>
      </w:r>
    </w:p>
    <w:p w14:paraId="196989B8" w14:textId="34BB5C6B" w:rsidR="00777DCB" w:rsidRPr="00A52585" w:rsidRDefault="0002035C" w:rsidP="0002035C">
      <w:pPr>
        <w:rPr>
          <w:b/>
          <w:rtl/>
        </w:rPr>
      </w:pPr>
      <w:r w:rsidRPr="00A52585">
        <w:rPr>
          <w:rFonts w:hint="cs"/>
          <w:bCs/>
          <w:u w:val="single"/>
          <w:rtl/>
        </w:rPr>
        <w:t>[</w:t>
      </w:r>
      <w:r w:rsidR="00777DCB" w:rsidRPr="00A52585">
        <w:rPr>
          <w:rFonts w:hint="cs"/>
          <w:bCs/>
          <w:u w:val="single"/>
          <w:rtl/>
        </w:rPr>
        <w:t>8</w:t>
      </w:r>
      <w:r w:rsidRPr="00A52585">
        <w:rPr>
          <w:rFonts w:hint="cs"/>
          <w:bCs/>
          <w:u w:val="single"/>
          <w:rtl/>
        </w:rPr>
        <w:t>]</w:t>
      </w:r>
      <w:r w:rsidRPr="00A52585">
        <w:rPr>
          <w:rFonts w:hint="cs"/>
          <w:u w:val="single"/>
          <w:rtl/>
        </w:rPr>
        <w:t>:</w:t>
      </w:r>
      <w:r w:rsidR="00777DCB" w:rsidRPr="00A52585">
        <w:rPr>
          <w:rFonts w:hint="cs"/>
          <w:rtl/>
        </w:rPr>
        <w:t xml:space="preserve"> ومن الآيات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ءأمنتم من في السماء</w:t>
      </w:r>
      <w:r w:rsidRPr="00A52585">
        <w:rPr>
          <w:rFonts w:hint="cs"/>
          <w:rtl/>
        </w:rPr>
        <w:t>)</w:t>
      </w:r>
      <w:r w:rsidR="00777DCB" w:rsidRPr="00A52585">
        <w:rPr>
          <w:rFonts w:hint="cs"/>
          <w:rtl/>
        </w:rPr>
        <w:t xml:space="preserve"> الملك 16</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ثبت قطعا أنها ليست على ظاهرها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ومعنى قوله تعالى </w:t>
      </w:r>
      <w:r w:rsidRPr="00A52585">
        <w:rPr>
          <w:rFonts w:hint="cs"/>
          <w:sz w:val="24"/>
          <w:szCs w:val="24"/>
          <w:rtl/>
        </w:rPr>
        <w:t>(</w:t>
      </w:r>
      <w:r w:rsidR="00777DCB" w:rsidRPr="00A52585">
        <w:rPr>
          <w:rFonts w:hint="cs"/>
          <w:sz w:val="24"/>
          <w:szCs w:val="24"/>
          <w:rtl/>
        </w:rPr>
        <w:t>ءأمنتم من في السماء</w:t>
      </w:r>
      <w:r w:rsidRPr="00A52585">
        <w:rPr>
          <w:rFonts w:hint="cs"/>
          <w:sz w:val="24"/>
          <w:szCs w:val="24"/>
          <w:rtl/>
        </w:rPr>
        <w:t>)</w:t>
      </w:r>
      <w:r w:rsidR="00777DCB" w:rsidRPr="00A52585">
        <w:rPr>
          <w:rFonts w:hint="cs"/>
          <w:sz w:val="24"/>
          <w:szCs w:val="24"/>
          <w:rtl/>
        </w:rPr>
        <w:t xml:space="preserve"> إما أن يقال أن " من " عائد على الله تعالى فيكون المراد</w:t>
      </w:r>
      <w:r w:rsidRPr="00A52585">
        <w:rPr>
          <w:rFonts w:hint="cs"/>
          <w:sz w:val="24"/>
          <w:szCs w:val="24"/>
          <w:rtl/>
        </w:rPr>
        <w:t>:</w:t>
      </w:r>
      <w:r w:rsidR="00777DCB" w:rsidRPr="00A52585">
        <w:rPr>
          <w:rFonts w:hint="cs"/>
          <w:sz w:val="24"/>
          <w:szCs w:val="24"/>
          <w:rtl/>
        </w:rPr>
        <w:t xml:space="preserve"> ءأمنتم العظيم الجليل أن يخسف بكم الارض</w:t>
      </w:r>
      <w:r w:rsidR="00DB731D" w:rsidRPr="00A52585">
        <w:rPr>
          <w:rFonts w:hint="cs"/>
          <w:sz w:val="24"/>
          <w:szCs w:val="24"/>
          <w:rtl/>
        </w:rPr>
        <w:t>،</w:t>
      </w:r>
      <w:r w:rsidR="00777DCB" w:rsidRPr="00A52585">
        <w:rPr>
          <w:rFonts w:hint="cs"/>
          <w:sz w:val="24"/>
          <w:szCs w:val="24"/>
          <w:rtl/>
        </w:rPr>
        <w:t xml:space="preserve"> لان العرب تصف من أرادت تعظيمه وإجلاله وبيان سامي قدره ورفيع مكانته بأنه في السماء</w:t>
      </w:r>
      <w:r w:rsidR="00DB731D" w:rsidRPr="00A52585">
        <w:rPr>
          <w:rFonts w:hint="cs"/>
          <w:sz w:val="24"/>
          <w:szCs w:val="24"/>
          <w:rtl/>
        </w:rPr>
        <w:t>،</w:t>
      </w:r>
      <w:r w:rsidR="00777DCB" w:rsidRPr="00A52585">
        <w:rPr>
          <w:rFonts w:hint="cs"/>
          <w:sz w:val="24"/>
          <w:szCs w:val="24"/>
          <w:rtl/>
        </w:rPr>
        <w:t xml:space="preserve"> فتقول</w:t>
      </w:r>
      <w:r w:rsidRPr="00A52585">
        <w:rPr>
          <w:rFonts w:hint="cs"/>
          <w:sz w:val="24"/>
          <w:szCs w:val="24"/>
          <w:rtl/>
        </w:rPr>
        <w:t>:</w:t>
      </w:r>
      <w:r w:rsidR="00777DCB" w:rsidRPr="00A52585">
        <w:rPr>
          <w:rFonts w:hint="cs"/>
          <w:sz w:val="24"/>
          <w:szCs w:val="24"/>
          <w:rtl/>
        </w:rPr>
        <w:t xml:space="preserve"> فلان في السماء</w:t>
      </w:r>
      <w:r w:rsidR="00DB731D" w:rsidRPr="00A52585">
        <w:rPr>
          <w:rFonts w:hint="cs"/>
          <w:sz w:val="24"/>
          <w:szCs w:val="24"/>
          <w:rtl/>
        </w:rPr>
        <w:t>،</w:t>
      </w:r>
      <w:r w:rsidR="00777DCB" w:rsidRPr="00A52585">
        <w:rPr>
          <w:rFonts w:hint="cs"/>
          <w:sz w:val="24"/>
          <w:szCs w:val="24"/>
          <w:rtl/>
        </w:rPr>
        <w:t xml:space="preserve"> وأين الثرى من الثريا ونحو ذلك</w:t>
      </w:r>
      <w:r w:rsidR="00DB731D" w:rsidRPr="00A52585">
        <w:rPr>
          <w:rFonts w:hint="cs"/>
          <w:sz w:val="24"/>
          <w:szCs w:val="24"/>
          <w:rtl/>
        </w:rPr>
        <w:t>،</w:t>
      </w:r>
      <w:r w:rsidR="00777DCB" w:rsidRPr="00A52585">
        <w:rPr>
          <w:rFonts w:hint="cs"/>
          <w:sz w:val="24"/>
          <w:szCs w:val="24"/>
          <w:rtl/>
        </w:rPr>
        <w:t xml:space="preserve"> وهذا مشهور ومعلوم وإما أن يراد ب‍ </w:t>
      </w:r>
      <w:r w:rsidRPr="00A52585">
        <w:rPr>
          <w:rFonts w:hint="cs"/>
          <w:sz w:val="24"/>
          <w:szCs w:val="24"/>
          <w:rtl/>
        </w:rPr>
        <w:t>(</w:t>
      </w:r>
      <w:r w:rsidR="00777DCB" w:rsidRPr="00A52585">
        <w:rPr>
          <w:rFonts w:hint="cs"/>
          <w:sz w:val="24"/>
          <w:szCs w:val="24"/>
          <w:rtl/>
        </w:rPr>
        <w:t>من</w:t>
      </w:r>
      <w:r w:rsidRPr="00A52585">
        <w:rPr>
          <w:rFonts w:hint="cs"/>
          <w:sz w:val="24"/>
          <w:szCs w:val="24"/>
          <w:rtl/>
        </w:rPr>
        <w:t>)</w:t>
      </w:r>
      <w:r w:rsidR="00777DCB" w:rsidRPr="00A52585">
        <w:rPr>
          <w:rFonts w:hint="cs"/>
          <w:sz w:val="24"/>
          <w:szCs w:val="24"/>
          <w:rtl/>
        </w:rPr>
        <w:t xml:space="preserve"> الملك الذي يرسله الله عز وجل فيخسف الارض بالظالمين الفجار</w:t>
      </w:r>
      <w:r w:rsidR="00DB731D" w:rsidRPr="00A52585">
        <w:rPr>
          <w:rFonts w:hint="cs"/>
          <w:sz w:val="24"/>
          <w:szCs w:val="24"/>
          <w:rtl/>
        </w:rPr>
        <w:t>،</w:t>
      </w:r>
      <w:r w:rsidR="00777DCB" w:rsidRPr="00A52585">
        <w:rPr>
          <w:rFonts w:hint="cs"/>
          <w:sz w:val="24"/>
          <w:szCs w:val="24"/>
          <w:rtl/>
        </w:rPr>
        <w:t xml:space="preserve"> والملائكة مسكنها السماء</w:t>
      </w:r>
      <w:r w:rsidR="00DB731D" w:rsidRPr="00A52585">
        <w:rPr>
          <w:rFonts w:hint="cs"/>
          <w:sz w:val="24"/>
          <w:szCs w:val="24"/>
          <w:rtl/>
        </w:rPr>
        <w:t>،</w:t>
      </w:r>
      <w:r w:rsidR="00777DCB" w:rsidRPr="00A52585">
        <w:rPr>
          <w:rFonts w:hint="cs"/>
          <w:sz w:val="24"/>
          <w:szCs w:val="24"/>
          <w:rtl/>
        </w:rPr>
        <w:t xml:space="preserve"> وقوله تعالى </w:t>
      </w:r>
      <w:r w:rsidRPr="00A52585">
        <w:rPr>
          <w:rFonts w:hint="cs"/>
          <w:sz w:val="24"/>
          <w:szCs w:val="24"/>
          <w:rtl/>
        </w:rPr>
        <w:t>(</w:t>
      </w:r>
      <w:r w:rsidR="00777DCB" w:rsidRPr="00A52585">
        <w:rPr>
          <w:rFonts w:hint="cs"/>
          <w:sz w:val="24"/>
          <w:szCs w:val="24"/>
          <w:rtl/>
        </w:rPr>
        <w:t>ءأمنتم من في السماء</w:t>
      </w:r>
      <w:r w:rsidRPr="00A52585">
        <w:rPr>
          <w:rFonts w:hint="cs"/>
          <w:sz w:val="24"/>
          <w:szCs w:val="24"/>
          <w:rtl/>
        </w:rPr>
        <w:t>)</w:t>
      </w:r>
      <w:r w:rsidR="00777DCB" w:rsidRPr="00A52585">
        <w:rPr>
          <w:rFonts w:hint="cs"/>
          <w:sz w:val="24"/>
          <w:szCs w:val="24"/>
          <w:rtl/>
        </w:rPr>
        <w:t xml:space="preserve"> مؤول عند المجسمة ب‍ </w:t>
      </w:r>
      <w:r w:rsidRPr="00A52585">
        <w:rPr>
          <w:rFonts w:hint="cs"/>
          <w:sz w:val="24"/>
          <w:szCs w:val="24"/>
          <w:rtl/>
        </w:rPr>
        <w:t>(</w:t>
      </w:r>
      <w:r w:rsidR="00777DCB" w:rsidRPr="00A52585">
        <w:rPr>
          <w:rFonts w:hint="cs"/>
          <w:sz w:val="24"/>
          <w:szCs w:val="24"/>
          <w:rtl/>
        </w:rPr>
        <w:t>من على السماء</w:t>
      </w:r>
      <w:r w:rsidRPr="00A52585">
        <w:rPr>
          <w:rFonts w:hint="cs"/>
          <w:sz w:val="24"/>
          <w:szCs w:val="24"/>
          <w:rtl/>
        </w:rPr>
        <w:t>)</w:t>
      </w:r>
      <w:r w:rsidR="00777DCB" w:rsidRPr="00A52585">
        <w:rPr>
          <w:rFonts w:hint="cs"/>
          <w:sz w:val="24"/>
          <w:szCs w:val="24"/>
          <w:rtl/>
        </w:rPr>
        <w:t xml:space="preserve"> بدليل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proofErr w:type="spellStart"/>
      <w:r w:rsidR="00777DCB" w:rsidRPr="00A52585">
        <w:rPr>
          <w:rFonts w:hint="cs"/>
          <w:sz w:val="24"/>
          <w:szCs w:val="24"/>
          <w:rtl/>
        </w:rPr>
        <w:t>لاصلبنكم</w:t>
      </w:r>
      <w:proofErr w:type="spellEnd"/>
      <w:r w:rsidR="00777DCB" w:rsidRPr="00A52585">
        <w:rPr>
          <w:rFonts w:hint="cs"/>
          <w:sz w:val="24"/>
          <w:szCs w:val="24"/>
          <w:rtl/>
        </w:rPr>
        <w:t xml:space="preserve"> في جذوع النخل</w:t>
      </w:r>
      <w:r w:rsidRPr="00A52585">
        <w:rPr>
          <w:rFonts w:hint="cs"/>
          <w:sz w:val="24"/>
          <w:szCs w:val="24"/>
          <w:rtl/>
        </w:rPr>
        <w:t>)</w:t>
      </w:r>
      <w:r w:rsidR="00777DCB" w:rsidRPr="00A52585">
        <w:rPr>
          <w:rFonts w:hint="cs"/>
          <w:sz w:val="24"/>
          <w:szCs w:val="24"/>
          <w:rtl/>
        </w:rPr>
        <w:t xml:space="preserve"> أي عليها</w:t>
      </w:r>
      <w:r w:rsidR="00DB731D" w:rsidRPr="00A52585">
        <w:rPr>
          <w:rFonts w:hint="cs"/>
          <w:sz w:val="24"/>
          <w:szCs w:val="24"/>
          <w:rtl/>
        </w:rPr>
        <w:t>،</w:t>
      </w:r>
      <w:r w:rsidR="00777DCB" w:rsidRPr="00A52585">
        <w:rPr>
          <w:rFonts w:hint="cs"/>
          <w:sz w:val="24"/>
          <w:szCs w:val="24"/>
          <w:rtl/>
        </w:rPr>
        <w:t xml:space="preserve"> لكنهم لم ينتبهوا إلى أن التعبير ب‍ </w:t>
      </w:r>
      <w:r w:rsidRPr="00A52585">
        <w:rPr>
          <w:rFonts w:hint="cs"/>
          <w:sz w:val="24"/>
          <w:szCs w:val="24"/>
          <w:rtl/>
        </w:rPr>
        <w:t>(</w:t>
      </w:r>
      <w:r w:rsidR="00777DCB" w:rsidRPr="00A52585">
        <w:rPr>
          <w:rFonts w:hint="cs"/>
          <w:sz w:val="24"/>
          <w:szCs w:val="24"/>
          <w:rtl/>
        </w:rPr>
        <w:t>في جذوع النخل</w:t>
      </w:r>
      <w:r w:rsidRPr="00A52585">
        <w:rPr>
          <w:rFonts w:hint="cs"/>
          <w:sz w:val="24"/>
          <w:szCs w:val="24"/>
          <w:rtl/>
        </w:rPr>
        <w:t>)</w:t>
      </w:r>
      <w:r w:rsidR="00777DCB" w:rsidRPr="00A52585">
        <w:rPr>
          <w:rFonts w:hint="cs"/>
          <w:sz w:val="24"/>
          <w:szCs w:val="24"/>
          <w:rtl/>
        </w:rPr>
        <w:t xml:space="preserve"> يقتضي المبالغة في الانتقام الشديد في البلاغة ولذلك عبر عنها " بفي جذوع النخل " مجازا بدل " على جذوع النخل</w:t>
      </w:r>
      <w:r w:rsidR="00DB731D" w:rsidRPr="00A52585">
        <w:rPr>
          <w:rFonts w:hint="cs"/>
          <w:sz w:val="24"/>
          <w:szCs w:val="24"/>
          <w:rtl/>
        </w:rPr>
        <w:t>،</w:t>
      </w:r>
      <w:r w:rsidR="00777DCB" w:rsidRPr="00A52585">
        <w:rPr>
          <w:rFonts w:hint="cs"/>
          <w:sz w:val="24"/>
          <w:szCs w:val="24"/>
          <w:rtl/>
        </w:rPr>
        <w:t xml:space="preserve"> وهو الاصل</w:t>
      </w:r>
      <w:r w:rsidR="00DB731D" w:rsidRPr="00A52585">
        <w:rPr>
          <w:rFonts w:hint="cs"/>
          <w:sz w:val="24"/>
          <w:szCs w:val="24"/>
          <w:rtl/>
        </w:rPr>
        <w:t>،</w:t>
      </w:r>
      <w:r w:rsidR="00777DCB" w:rsidRPr="00A52585">
        <w:rPr>
          <w:rFonts w:hint="cs"/>
          <w:sz w:val="24"/>
          <w:szCs w:val="24"/>
          <w:rtl/>
        </w:rPr>
        <w:t xml:space="preserve"> لان ظاهر " في " في اللغة الظرفية</w:t>
      </w:r>
      <w:r w:rsidR="00DB731D" w:rsidRPr="00A52585">
        <w:rPr>
          <w:rFonts w:hint="cs"/>
          <w:sz w:val="24"/>
          <w:szCs w:val="24"/>
          <w:rtl/>
        </w:rPr>
        <w:t>،</w:t>
      </w:r>
      <w:r w:rsidR="00777DCB" w:rsidRPr="00A52585">
        <w:rPr>
          <w:rFonts w:hint="cs"/>
          <w:sz w:val="24"/>
          <w:szCs w:val="24"/>
          <w:rtl/>
        </w:rPr>
        <w:t xml:space="preserve"> والله تعالى غير مظروف كما قال المصنف</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ومثل ما قلنا هنا من تأويل وتفسير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ءأمنتم من في السماء</w:t>
      </w:r>
      <w:r w:rsidRPr="00A52585">
        <w:rPr>
          <w:rFonts w:hint="cs"/>
          <w:sz w:val="24"/>
          <w:szCs w:val="24"/>
          <w:rtl/>
        </w:rPr>
        <w:t>)</w:t>
      </w:r>
      <w:r w:rsidR="00777DCB" w:rsidRPr="00A52585">
        <w:rPr>
          <w:rFonts w:hint="cs"/>
          <w:sz w:val="24"/>
          <w:szCs w:val="24"/>
          <w:rtl/>
        </w:rPr>
        <w:t xml:space="preserve"> قال الحافظ أبو حيان في تفسيره " البحر المحيط " </w:t>
      </w:r>
      <w:r w:rsidRPr="00A52585">
        <w:rPr>
          <w:rFonts w:hint="cs"/>
          <w:sz w:val="24"/>
          <w:szCs w:val="24"/>
          <w:rtl/>
        </w:rPr>
        <w:t>(</w:t>
      </w:r>
      <w:r w:rsidR="00777DCB" w:rsidRPr="00A52585">
        <w:rPr>
          <w:rFonts w:hint="cs"/>
          <w:sz w:val="24"/>
          <w:szCs w:val="24"/>
          <w:rtl/>
        </w:rPr>
        <w:t>8 / 302</w:t>
      </w:r>
      <w:r w:rsidRPr="00A52585">
        <w:rPr>
          <w:rFonts w:hint="cs"/>
          <w:sz w:val="24"/>
          <w:szCs w:val="24"/>
          <w:rtl/>
        </w:rPr>
        <w:t>)</w:t>
      </w:r>
      <w:r w:rsidR="00777DCB" w:rsidRPr="00A52585">
        <w:rPr>
          <w:rFonts w:hint="cs"/>
          <w:sz w:val="24"/>
          <w:szCs w:val="24"/>
          <w:rtl/>
        </w:rPr>
        <w:t xml:space="preserve"> والله الهادي</w:t>
      </w:r>
      <w:r w:rsidR="00DB731D" w:rsidRPr="00A52585">
        <w:rPr>
          <w:rFonts w:hint="cs"/>
          <w:sz w:val="24"/>
          <w:szCs w:val="24"/>
          <w:rtl/>
        </w:rPr>
        <w:t>،</w:t>
      </w:r>
      <w:r w:rsidR="00777DCB" w:rsidRPr="00A52585">
        <w:rPr>
          <w:rFonts w:hint="cs"/>
          <w:sz w:val="24"/>
          <w:szCs w:val="24"/>
          <w:rtl/>
        </w:rPr>
        <w:t xml:space="preserve"> فظاهر قوله </w:t>
      </w:r>
      <w:r w:rsidRPr="00A52585">
        <w:rPr>
          <w:rFonts w:hint="cs"/>
          <w:sz w:val="24"/>
          <w:szCs w:val="24"/>
          <w:rtl/>
        </w:rPr>
        <w:t>(</w:t>
      </w:r>
      <w:r w:rsidR="00777DCB" w:rsidRPr="00A52585">
        <w:rPr>
          <w:rFonts w:hint="cs"/>
          <w:sz w:val="24"/>
          <w:szCs w:val="24"/>
          <w:rtl/>
        </w:rPr>
        <w:t>من في السماء</w:t>
      </w:r>
      <w:r w:rsidRPr="00A52585">
        <w:rPr>
          <w:rFonts w:hint="cs"/>
          <w:sz w:val="24"/>
          <w:szCs w:val="24"/>
          <w:rtl/>
        </w:rPr>
        <w:t>)</w:t>
      </w:r>
      <w:r w:rsidR="00777DCB" w:rsidRPr="00A52585">
        <w:rPr>
          <w:rFonts w:hint="cs"/>
          <w:sz w:val="24"/>
          <w:szCs w:val="24"/>
          <w:rtl/>
        </w:rPr>
        <w:t xml:space="preserve"> غير مراد كما أن ظاهر </w:t>
      </w:r>
      <w:r w:rsidRPr="00A52585">
        <w:rPr>
          <w:rFonts w:hint="cs"/>
          <w:sz w:val="24"/>
          <w:szCs w:val="24"/>
          <w:rtl/>
        </w:rPr>
        <w:t>(</w:t>
      </w:r>
      <w:r w:rsidR="00777DCB" w:rsidRPr="00A52585">
        <w:rPr>
          <w:rFonts w:hint="cs"/>
          <w:sz w:val="24"/>
          <w:szCs w:val="24"/>
          <w:rtl/>
        </w:rPr>
        <w:t>وهو معكم</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ونحن أقرب إليه منكم ولكن لا تبصرون " غير مراد</w:t>
      </w:r>
      <w:r w:rsidR="00DB731D" w:rsidRPr="00A52585">
        <w:rPr>
          <w:rFonts w:hint="cs"/>
          <w:sz w:val="24"/>
          <w:szCs w:val="24"/>
          <w:rtl/>
        </w:rPr>
        <w:t>،</w:t>
      </w:r>
      <w:r w:rsidR="00777DCB" w:rsidRPr="00A52585">
        <w:rPr>
          <w:rFonts w:hint="cs"/>
          <w:sz w:val="24"/>
          <w:szCs w:val="24"/>
          <w:rtl/>
        </w:rPr>
        <w:t xml:space="preserve"> وكذا ظاهر </w:t>
      </w:r>
      <w:r w:rsidRPr="00A52585">
        <w:rPr>
          <w:rFonts w:hint="cs"/>
          <w:sz w:val="24"/>
          <w:szCs w:val="24"/>
          <w:rtl/>
        </w:rPr>
        <w:t>(</w:t>
      </w:r>
      <w:r w:rsidR="00777DCB" w:rsidRPr="00A52585">
        <w:rPr>
          <w:rFonts w:hint="cs"/>
          <w:sz w:val="24"/>
          <w:szCs w:val="24"/>
          <w:rtl/>
        </w:rPr>
        <w:t>وليعلم الله الذين جاهدوا منكم ويعلم الصابرين " غير مراد أيضا لأنه يفيد حدوث علم جديد لم يكن عند الله عز شأنه قبل الجهاد والصبر</w:t>
      </w:r>
      <w:r w:rsidR="00DB731D" w:rsidRPr="00A52585">
        <w:rPr>
          <w:rFonts w:hint="cs"/>
          <w:sz w:val="24"/>
          <w:szCs w:val="24"/>
          <w:rtl/>
        </w:rPr>
        <w:t>،</w:t>
      </w:r>
      <w:r w:rsidR="00777DCB" w:rsidRPr="00A52585">
        <w:rPr>
          <w:rFonts w:hint="cs"/>
          <w:sz w:val="24"/>
          <w:szCs w:val="24"/>
          <w:rtl/>
        </w:rPr>
        <w:t xml:space="preserve"> والله الموفق</w:t>
      </w:r>
      <w:r w:rsidRPr="00A52585">
        <w:rPr>
          <w:rFonts w:hint="cs"/>
          <w:sz w:val="24"/>
          <w:szCs w:val="24"/>
          <w:rtl/>
        </w:rPr>
        <w:t>]</w:t>
      </w:r>
      <w:r w:rsidR="00DB731D" w:rsidRPr="00A52585">
        <w:rPr>
          <w:rFonts w:hint="cs"/>
          <w:rtl/>
        </w:rPr>
        <w:t>،</w:t>
      </w:r>
      <w:r w:rsidR="00777DCB" w:rsidRPr="00A52585">
        <w:rPr>
          <w:rFonts w:hint="cs"/>
          <w:rtl/>
        </w:rPr>
        <w:t xml:space="preserve"> لان لفظة " في " للظرفية والحق سبحانه غير مظروف</w:t>
      </w:r>
      <w:r w:rsidR="00DB731D" w:rsidRPr="00A52585">
        <w:rPr>
          <w:rFonts w:hint="cs"/>
          <w:rtl/>
        </w:rPr>
        <w:t>،</w:t>
      </w:r>
      <w:r w:rsidR="00777DCB" w:rsidRPr="00A52585">
        <w:rPr>
          <w:rFonts w:hint="cs"/>
          <w:rtl/>
        </w:rPr>
        <w:t xml:space="preserve"> وإذا منع الحس أن يتصرف في مثل هذا</w:t>
      </w:r>
      <w:r w:rsidR="00DB731D" w:rsidRPr="00A52585">
        <w:rPr>
          <w:rFonts w:hint="cs"/>
          <w:rtl/>
        </w:rPr>
        <w:t>،</w:t>
      </w:r>
      <w:r w:rsidR="00777DCB" w:rsidRPr="00A52585">
        <w:rPr>
          <w:rFonts w:hint="cs"/>
          <w:rtl/>
        </w:rPr>
        <w:t xml:space="preserve"> بقي وصف العظيم بما هو عظيم عند الخلق</w:t>
      </w:r>
      <w:r w:rsidR="00DB731D" w:rsidRPr="00A52585">
        <w:rPr>
          <w:rFonts w:hint="cs"/>
          <w:rtl/>
        </w:rPr>
        <w:t>،</w:t>
      </w:r>
      <w:r w:rsidR="00777DCB" w:rsidRPr="00A52585">
        <w:rPr>
          <w:rFonts w:hint="cs"/>
          <w:rtl/>
        </w:rPr>
        <w:t xml:space="preserve"> </w:t>
      </w:r>
    </w:p>
    <w:p w14:paraId="00D50747" w14:textId="641386FF" w:rsidR="00777DCB" w:rsidRPr="00A52585" w:rsidRDefault="0002035C" w:rsidP="0002035C">
      <w:pPr>
        <w:rPr>
          <w:b/>
          <w:rtl/>
        </w:rPr>
      </w:pPr>
      <w:r w:rsidRPr="00A52585">
        <w:rPr>
          <w:rFonts w:hint="cs"/>
          <w:bCs/>
          <w:u w:val="single"/>
          <w:rtl/>
        </w:rPr>
        <w:t>[</w:t>
      </w:r>
      <w:r w:rsidR="00777DCB" w:rsidRPr="00A52585">
        <w:rPr>
          <w:rFonts w:hint="cs"/>
          <w:bCs/>
          <w:u w:val="single"/>
          <w:rtl/>
        </w:rPr>
        <w:t>9</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حسرتي على ما فرطت في جنب الله</w:t>
      </w:r>
      <w:r w:rsidRPr="00A52585">
        <w:rPr>
          <w:rFonts w:hint="cs"/>
          <w:rtl/>
        </w:rPr>
        <w:t>)</w:t>
      </w:r>
      <w:r w:rsidR="00777DCB" w:rsidRPr="00A52585">
        <w:rPr>
          <w:rFonts w:hint="cs"/>
          <w:rtl/>
        </w:rPr>
        <w:t xml:space="preserve"> الزمر</w:t>
      </w:r>
      <w:r w:rsidRPr="00A52585">
        <w:rPr>
          <w:rFonts w:hint="cs"/>
          <w:rtl/>
        </w:rPr>
        <w:t>:</w:t>
      </w:r>
      <w:r w:rsidR="00777DCB" w:rsidRPr="00A52585">
        <w:rPr>
          <w:rFonts w:hint="cs"/>
          <w:rtl/>
        </w:rPr>
        <w:t xml:space="preserve"> 56</w:t>
      </w:r>
      <w:r w:rsidR="00DB731D" w:rsidRPr="00A52585">
        <w:rPr>
          <w:rFonts w:hint="cs"/>
          <w:rtl/>
        </w:rPr>
        <w:t>،</w:t>
      </w:r>
      <w:r w:rsidRPr="00A52585">
        <w:rPr>
          <w:rFonts w:hint="cs"/>
          <w:rtl/>
        </w:rPr>
        <w:t xml:space="preserve"> </w:t>
      </w:r>
      <w:r w:rsidR="00777DCB" w:rsidRPr="00A52585">
        <w:rPr>
          <w:rFonts w:hint="cs"/>
          <w:rtl/>
        </w:rPr>
        <w:t>أي في طاعته وأمره</w:t>
      </w:r>
      <w:r w:rsidR="00DB731D" w:rsidRPr="00A52585">
        <w:rPr>
          <w:rFonts w:hint="cs"/>
          <w:rtl/>
        </w:rPr>
        <w:t>،</w:t>
      </w:r>
      <w:r w:rsidR="00777DCB" w:rsidRPr="00A52585">
        <w:rPr>
          <w:rFonts w:hint="cs"/>
          <w:rtl/>
        </w:rPr>
        <w:t xml:space="preserve"> أي لان التفريط لا يقع إلا في ذلك</w:t>
      </w:r>
      <w:r w:rsidR="00DB731D" w:rsidRPr="00A52585">
        <w:rPr>
          <w:rFonts w:hint="cs"/>
          <w:rtl/>
        </w:rPr>
        <w:t>،</w:t>
      </w:r>
      <w:r w:rsidR="00777DCB" w:rsidRPr="00A52585">
        <w:rPr>
          <w:rFonts w:hint="cs"/>
          <w:rtl/>
        </w:rPr>
        <w:t xml:space="preserve"> وأما الجنب المعهود من ذي الجوارح</w:t>
      </w:r>
      <w:r w:rsidR="00DB731D" w:rsidRPr="00A52585">
        <w:rPr>
          <w:rFonts w:hint="cs"/>
          <w:rtl/>
        </w:rPr>
        <w:t>،</w:t>
      </w:r>
      <w:r w:rsidR="00777DCB" w:rsidRPr="00A52585">
        <w:rPr>
          <w:rFonts w:hint="cs"/>
          <w:rtl/>
        </w:rPr>
        <w:t xml:space="preserve"> فلا يقع فيه تفريط </w:t>
      </w:r>
      <w:r w:rsidR="00777DCB" w:rsidRPr="00A52585">
        <w:rPr>
          <w:rFonts w:hint="cs"/>
          <w:sz w:val="24"/>
          <w:szCs w:val="24"/>
          <w:rtl/>
        </w:rPr>
        <w:t xml:space="preserve">[قال </w:t>
      </w:r>
      <w:r w:rsidR="00777DCB" w:rsidRPr="00A52585">
        <w:rPr>
          <w:rFonts w:hint="cs"/>
          <w:sz w:val="24"/>
          <w:szCs w:val="24"/>
          <w:rtl/>
        </w:rPr>
        <w:lastRenderedPageBreak/>
        <w:t>المحقق</w:t>
      </w:r>
      <w:r w:rsidRPr="00A52585">
        <w:rPr>
          <w:rFonts w:hint="cs"/>
          <w:sz w:val="24"/>
          <w:szCs w:val="24"/>
          <w:rtl/>
        </w:rPr>
        <w:t>:</w:t>
      </w:r>
      <w:r w:rsidR="00777DCB" w:rsidRPr="00A52585">
        <w:rPr>
          <w:rFonts w:hint="cs"/>
          <w:sz w:val="24"/>
          <w:szCs w:val="24"/>
          <w:rtl/>
        </w:rPr>
        <w:t xml:space="preserve"> ومن الغريب العجيب أن ترى ابن القيم يثبت لله جنبين بهذه الآية التي لم يذكر فيها إلا لفظ جنب</w:t>
      </w:r>
      <w:r w:rsidR="00DB731D" w:rsidRPr="00A52585">
        <w:rPr>
          <w:rFonts w:hint="cs"/>
          <w:sz w:val="24"/>
          <w:szCs w:val="24"/>
          <w:rtl/>
        </w:rPr>
        <w:t>،</w:t>
      </w:r>
      <w:r w:rsidR="00777DCB" w:rsidRPr="00A52585">
        <w:rPr>
          <w:rFonts w:hint="cs"/>
          <w:sz w:val="24"/>
          <w:szCs w:val="24"/>
          <w:rtl/>
        </w:rPr>
        <w:t xml:space="preserve"> ويستعمل القياس في العقيدة فيقيس الخالق عن المخلوق</w:t>
      </w:r>
      <w:r w:rsidR="00897A24" w:rsidRPr="00A52585">
        <w:rPr>
          <w:rFonts w:hint="cs"/>
          <w:sz w:val="24"/>
          <w:szCs w:val="24"/>
          <w:rtl/>
        </w:rPr>
        <w:t>.</w:t>
      </w:r>
      <w:r w:rsidR="00777DCB" w:rsidRPr="00A52585">
        <w:rPr>
          <w:rFonts w:hint="cs"/>
          <w:sz w:val="24"/>
          <w:szCs w:val="24"/>
          <w:rtl/>
        </w:rPr>
        <w:t xml:space="preserve"> وذلك في كتابه الصواعق المرسلة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 / 250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وانظر أيضا مختصر الصواعق </w:t>
      </w:r>
      <w:r w:rsidRPr="00A52585">
        <w:rPr>
          <w:rFonts w:hint="cs"/>
          <w:sz w:val="24"/>
          <w:szCs w:val="24"/>
          <w:rtl/>
        </w:rPr>
        <w:t>(</w:t>
      </w:r>
      <w:r w:rsidR="00777DCB" w:rsidRPr="00A52585">
        <w:rPr>
          <w:rFonts w:hint="cs"/>
          <w:sz w:val="24"/>
          <w:szCs w:val="24"/>
          <w:rtl/>
        </w:rPr>
        <w:t>1 / 33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روى الحافظ البيهقي في " الاسماء والصفات " ص </w:t>
      </w:r>
      <w:r w:rsidRPr="00A52585">
        <w:rPr>
          <w:rFonts w:hint="cs"/>
          <w:sz w:val="24"/>
          <w:szCs w:val="24"/>
          <w:rtl/>
        </w:rPr>
        <w:t>(</w:t>
      </w:r>
      <w:r w:rsidR="00777DCB" w:rsidRPr="00A52585">
        <w:rPr>
          <w:rFonts w:hint="cs"/>
          <w:sz w:val="24"/>
          <w:szCs w:val="24"/>
          <w:rtl/>
        </w:rPr>
        <w:t>361</w:t>
      </w:r>
      <w:r w:rsidRPr="00A52585">
        <w:rPr>
          <w:rFonts w:hint="cs"/>
          <w:sz w:val="24"/>
          <w:szCs w:val="24"/>
          <w:rtl/>
        </w:rPr>
        <w:t>)</w:t>
      </w:r>
      <w:r w:rsidR="00777DCB" w:rsidRPr="00A52585">
        <w:rPr>
          <w:rFonts w:hint="cs"/>
          <w:sz w:val="24"/>
          <w:szCs w:val="24"/>
          <w:rtl/>
        </w:rPr>
        <w:t xml:space="preserve"> بإسناده عن مجاهد في قوله عز وجل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يا </w:t>
      </w:r>
      <w:proofErr w:type="spellStart"/>
      <w:r w:rsidR="00777DCB" w:rsidRPr="00A52585">
        <w:rPr>
          <w:rFonts w:hint="cs"/>
          <w:sz w:val="24"/>
          <w:szCs w:val="24"/>
          <w:rtl/>
        </w:rPr>
        <w:t>حسرتى</w:t>
      </w:r>
      <w:proofErr w:type="spellEnd"/>
      <w:r w:rsidR="00777DCB" w:rsidRPr="00A52585">
        <w:rPr>
          <w:rFonts w:hint="cs"/>
          <w:sz w:val="24"/>
          <w:szCs w:val="24"/>
          <w:rtl/>
        </w:rPr>
        <w:t xml:space="preserve"> على ما فرطت في جنب الله</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يعني ما ضيعت من أمر الله</w:t>
      </w:r>
      <w:r w:rsidRPr="00A52585">
        <w:rPr>
          <w:rFonts w:hint="cs"/>
          <w:sz w:val="24"/>
          <w:szCs w:val="24"/>
          <w:rtl/>
        </w:rPr>
        <w:t>]</w:t>
      </w:r>
      <w:r w:rsidR="00777DCB" w:rsidRPr="00A52585">
        <w:rPr>
          <w:rFonts w:hint="cs"/>
          <w:sz w:val="24"/>
          <w:rtl/>
        </w:rPr>
        <w:t xml:space="preserve"> وأوضح من ذلك أن يقال</w:t>
      </w:r>
      <w:r w:rsidRPr="00A52585">
        <w:rPr>
          <w:rFonts w:hint="cs"/>
          <w:sz w:val="24"/>
          <w:rtl/>
        </w:rPr>
        <w:t>:</w:t>
      </w:r>
      <w:r w:rsidR="00777DCB" w:rsidRPr="00A52585">
        <w:rPr>
          <w:rFonts w:hint="cs"/>
          <w:sz w:val="24"/>
          <w:rtl/>
        </w:rPr>
        <w:t xml:space="preserve"> </w:t>
      </w:r>
      <w:r w:rsidRPr="00A52585">
        <w:rPr>
          <w:rFonts w:hint="cs"/>
          <w:sz w:val="24"/>
          <w:rtl/>
        </w:rPr>
        <w:t>(</w:t>
      </w:r>
      <w:r w:rsidR="00777DCB" w:rsidRPr="00A52585">
        <w:rPr>
          <w:rFonts w:hint="cs"/>
          <w:sz w:val="24"/>
          <w:rtl/>
        </w:rPr>
        <w:t>من روحنا</w:t>
      </w:r>
      <w:r w:rsidRPr="00A52585">
        <w:rPr>
          <w:rFonts w:hint="cs"/>
          <w:sz w:val="24"/>
          <w:rtl/>
        </w:rPr>
        <w:t>)</w:t>
      </w:r>
      <w:r w:rsidR="00777DCB" w:rsidRPr="00A52585">
        <w:rPr>
          <w:rFonts w:hint="cs"/>
          <w:sz w:val="24"/>
          <w:rtl/>
        </w:rPr>
        <w:t xml:space="preserve"> أي من الروح المخلوقة لنا التي شرفناها </w:t>
      </w:r>
      <w:proofErr w:type="spellStart"/>
      <w:r w:rsidR="00777DCB" w:rsidRPr="00A52585">
        <w:rPr>
          <w:rFonts w:hint="cs"/>
          <w:sz w:val="24"/>
          <w:rtl/>
        </w:rPr>
        <w:t>بالاضافة</w:t>
      </w:r>
      <w:proofErr w:type="spellEnd"/>
      <w:r w:rsidR="00777DCB" w:rsidRPr="00A52585">
        <w:rPr>
          <w:rFonts w:hint="cs"/>
          <w:sz w:val="24"/>
          <w:rtl/>
        </w:rPr>
        <w:t xml:space="preserve"> لنا</w:t>
      </w:r>
      <w:r w:rsidR="00DB731D" w:rsidRPr="00A52585">
        <w:rPr>
          <w:rFonts w:hint="cs"/>
          <w:sz w:val="24"/>
          <w:rtl/>
        </w:rPr>
        <w:t>،</w:t>
      </w:r>
      <w:r w:rsidR="00777DCB" w:rsidRPr="00A52585">
        <w:rPr>
          <w:rFonts w:hint="cs"/>
          <w:sz w:val="24"/>
          <w:rtl/>
        </w:rPr>
        <w:t xml:space="preserve"> وذلك كقوله تعالى</w:t>
      </w:r>
      <w:r w:rsidRPr="00A52585">
        <w:rPr>
          <w:rFonts w:hint="cs"/>
          <w:sz w:val="24"/>
          <w:rtl/>
        </w:rPr>
        <w:t>:</w:t>
      </w:r>
      <w:r w:rsidR="00777DCB" w:rsidRPr="00A52585">
        <w:rPr>
          <w:rFonts w:hint="cs"/>
          <w:sz w:val="24"/>
          <w:rtl/>
        </w:rPr>
        <w:t xml:space="preserve"> </w:t>
      </w:r>
      <w:r w:rsidRPr="00A52585">
        <w:rPr>
          <w:rFonts w:hint="cs"/>
          <w:sz w:val="24"/>
          <w:rtl/>
        </w:rPr>
        <w:t>(</w:t>
      </w:r>
      <w:r w:rsidR="00777DCB" w:rsidRPr="00A52585">
        <w:rPr>
          <w:rFonts w:hint="cs"/>
          <w:sz w:val="24"/>
          <w:rtl/>
        </w:rPr>
        <w:t>أن طهرا بيتي للطائفين</w:t>
      </w:r>
      <w:r w:rsidRPr="00A52585">
        <w:rPr>
          <w:rFonts w:hint="cs"/>
          <w:sz w:val="24"/>
          <w:rtl/>
        </w:rPr>
        <w:t>)</w:t>
      </w:r>
      <w:r w:rsidR="00777DCB" w:rsidRPr="00A52585">
        <w:rPr>
          <w:rFonts w:hint="cs"/>
          <w:sz w:val="24"/>
          <w:rtl/>
        </w:rPr>
        <w:t xml:space="preserve"> فأضاف البيت إلى نفسه تشريفا مع أنه لا يسكنه وتعالى عن ذلك علوا كبيرا</w:t>
      </w:r>
      <w:r w:rsidR="00777DCB" w:rsidRPr="00A52585">
        <w:rPr>
          <w:rFonts w:hint="cs"/>
          <w:rtl/>
        </w:rPr>
        <w:t>]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الغريب العجيب أن ترى ابن القيم يثبت لله جنبين بهذه الآية التي لم يذكر فيها إلا لفظ جنب</w:t>
      </w:r>
      <w:r w:rsidR="00DB731D" w:rsidRPr="00A52585">
        <w:rPr>
          <w:rFonts w:hint="cs"/>
          <w:sz w:val="24"/>
          <w:szCs w:val="24"/>
          <w:rtl/>
        </w:rPr>
        <w:t>،</w:t>
      </w:r>
      <w:r w:rsidR="00777DCB" w:rsidRPr="00A52585">
        <w:rPr>
          <w:rFonts w:hint="cs"/>
          <w:sz w:val="24"/>
          <w:szCs w:val="24"/>
          <w:rtl/>
        </w:rPr>
        <w:t xml:space="preserve"> ويستعمل القياس في العقيدة فيقيس الخالق عن المخلوق</w:t>
      </w:r>
      <w:r w:rsidR="00897A24" w:rsidRPr="00A52585">
        <w:rPr>
          <w:rFonts w:hint="cs"/>
          <w:sz w:val="24"/>
          <w:szCs w:val="24"/>
          <w:rtl/>
        </w:rPr>
        <w:t>.</w:t>
      </w:r>
      <w:r w:rsidR="00777DCB" w:rsidRPr="00A52585">
        <w:rPr>
          <w:rFonts w:hint="cs"/>
          <w:sz w:val="24"/>
          <w:szCs w:val="24"/>
          <w:rtl/>
        </w:rPr>
        <w:t xml:space="preserve"> وذلك في كتابه الصواعق المرسلة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 / 250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وانظر أيضا مختصر الصواعق </w:t>
      </w:r>
      <w:r w:rsidRPr="00A52585">
        <w:rPr>
          <w:rFonts w:hint="cs"/>
          <w:sz w:val="24"/>
          <w:szCs w:val="24"/>
          <w:rtl/>
        </w:rPr>
        <w:t>(</w:t>
      </w:r>
      <w:r w:rsidR="00777DCB" w:rsidRPr="00A52585">
        <w:rPr>
          <w:rFonts w:hint="cs"/>
          <w:sz w:val="24"/>
          <w:szCs w:val="24"/>
          <w:rtl/>
        </w:rPr>
        <w:t>1 / 33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روى الحافظ البيهقي في " الاسماء والصفات " ص </w:t>
      </w:r>
      <w:r w:rsidRPr="00A52585">
        <w:rPr>
          <w:rFonts w:hint="cs"/>
          <w:sz w:val="24"/>
          <w:szCs w:val="24"/>
          <w:rtl/>
        </w:rPr>
        <w:t>(</w:t>
      </w:r>
      <w:r w:rsidR="00777DCB" w:rsidRPr="00A52585">
        <w:rPr>
          <w:rFonts w:hint="cs"/>
          <w:sz w:val="24"/>
          <w:szCs w:val="24"/>
          <w:rtl/>
        </w:rPr>
        <w:t>361</w:t>
      </w:r>
      <w:r w:rsidRPr="00A52585">
        <w:rPr>
          <w:rFonts w:hint="cs"/>
          <w:sz w:val="24"/>
          <w:szCs w:val="24"/>
          <w:rtl/>
        </w:rPr>
        <w:t>)</w:t>
      </w:r>
      <w:r w:rsidR="00777DCB" w:rsidRPr="00A52585">
        <w:rPr>
          <w:rFonts w:hint="cs"/>
          <w:sz w:val="24"/>
          <w:szCs w:val="24"/>
          <w:rtl/>
        </w:rPr>
        <w:t xml:space="preserve"> بإسناده عن مجاهد في قوله عز وجل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يا </w:t>
      </w:r>
      <w:proofErr w:type="spellStart"/>
      <w:r w:rsidR="00777DCB" w:rsidRPr="00A52585">
        <w:rPr>
          <w:rFonts w:hint="cs"/>
          <w:sz w:val="24"/>
          <w:szCs w:val="24"/>
          <w:rtl/>
        </w:rPr>
        <w:t>حسرتى</w:t>
      </w:r>
      <w:proofErr w:type="spellEnd"/>
      <w:r w:rsidR="00777DCB" w:rsidRPr="00A52585">
        <w:rPr>
          <w:rFonts w:hint="cs"/>
          <w:sz w:val="24"/>
          <w:szCs w:val="24"/>
          <w:rtl/>
        </w:rPr>
        <w:t xml:space="preserve"> على ما فرطت في جنب الله</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يعني ما ضيعت من أمر الله</w:t>
      </w:r>
      <w:r w:rsidR="00777DCB" w:rsidRPr="00A52585">
        <w:rPr>
          <w:rFonts w:hint="cs"/>
          <w:rtl/>
        </w:rPr>
        <w:t>]</w:t>
      </w:r>
      <w:r w:rsidR="00DB731D" w:rsidRPr="00A52585">
        <w:rPr>
          <w:rFonts w:hint="cs"/>
          <w:rtl/>
        </w:rPr>
        <w:t>،</w:t>
      </w:r>
      <w:r w:rsidR="00777DCB" w:rsidRPr="00A52585">
        <w:rPr>
          <w:rFonts w:hint="cs"/>
          <w:rtl/>
        </w:rPr>
        <w:t xml:space="preserve"> وقال ابن حامد</w:t>
      </w:r>
      <w:r w:rsidRPr="00A52585">
        <w:rPr>
          <w:rFonts w:hint="cs"/>
          <w:rtl/>
        </w:rPr>
        <w:t>:</w:t>
      </w:r>
      <w:r w:rsidR="00777DCB" w:rsidRPr="00A52585">
        <w:rPr>
          <w:rFonts w:hint="cs"/>
          <w:rtl/>
        </w:rPr>
        <w:t xml:space="preserve"> نؤمن بأن لله تعالى جنبا بهذه الآية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w:t>
      </w:r>
      <w:proofErr w:type="gramStart"/>
      <w:r w:rsidR="00777DCB" w:rsidRPr="00A52585">
        <w:rPr>
          <w:rFonts w:hint="cs"/>
          <w:rtl/>
        </w:rPr>
        <w:t>واعجبا</w:t>
      </w:r>
      <w:proofErr w:type="gramEnd"/>
      <w:r w:rsidR="00777DCB" w:rsidRPr="00A52585">
        <w:rPr>
          <w:rFonts w:hint="cs"/>
          <w:rtl/>
        </w:rPr>
        <w:t xml:space="preserve"> من عدم العقول</w:t>
      </w:r>
      <w:r w:rsidR="00F95886" w:rsidRPr="00A52585">
        <w:rPr>
          <w:rFonts w:hint="cs"/>
          <w:rtl/>
        </w:rPr>
        <w:t>!!</w:t>
      </w:r>
      <w:r w:rsidR="00777DCB" w:rsidRPr="00A52585">
        <w:rPr>
          <w:rFonts w:hint="cs"/>
          <w:rtl/>
        </w:rPr>
        <w:t xml:space="preserve"> إذا لم يتهيأ التفريط في جنب مخلوق كيف يتهيأ في صفة الخالق</w:t>
      </w:r>
      <w:r w:rsidR="00F95886" w:rsidRPr="00A52585">
        <w:rPr>
          <w:rFonts w:hint="cs"/>
          <w:rtl/>
        </w:rPr>
        <w:t>؟!</w:t>
      </w:r>
      <w:r w:rsidR="00777DCB" w:rsidRPr="00A52585">
        <w:rPr>
          <w:rFonts w:hint="cs"/>
          <w:rtl/>
        </w:rPr>
        <w:t xml:space="preserve"> وأنشد ثعلب وفسره</w:t>
      </w:r>
      <w:r w:rsidRPr="00A52585">
        <w:rPr>
          <w:rFonts w:hint="cs"/>
          <w:rtl/>
        </w:rPr>
        <w:t>:</w:t>
      </w:r>
      <w:r w:rsidR="00777DCB" w:rsidRPr="00A52585">
        <w:rPr>
          <w:rFonts w:hint="cs"/>
          <w:rtl/>
        </w:rPr>
        <w:t xml:space="preserve"> " خليلي كفا فاذكرا الله في جنبي " أي في أمري</w:t>
      </w:r>
      <w:r w:rsidR="00DB731D" w:rsidRPr="00A52585">
        <w:rPr>
          <w:rFonts w:hint="cs"/>
          <w:rtl/>
        </w:rPr>
        <w:t>،</w:t>
      </w:r>
      <w:r w:rsidR="00777DCB" w:rsidRPr="00A52585">
        <w:rPr>
          <w:rFonts w:hint="cs"/>
          <w:rtl/>
        </w:rPr>
        <w:t xml:space="preserve"> </w:t>
      </w:r>
    </w:p>
    <w:p w14:paraId="0784E173" w14:textId="0B7E7B44" w:rsidR="00777DCB" w:rsidRPr="00A52585" w:rsidRDefault="0002035C" w:rsidP="0002035C">
      <w:pPr>
        <w:rPr>
          <w:b/>
          <w:rtl/>
        </w:rPr>
      </w:pPr>
      <w:r w:rsidRPr="00A52585">
        <w:rPr>
          <w:rFonts w:hint="cs"/>
          <w:bCs/>
          <w:u w:val="single"/>
          <w:rtl/>
        </w:rPr>
        <w:t>[</w:t>
      </w:r>
      <w:r w:rsidR="00777DCB" w:rsidRPr="00A52585">
        <w:rPr>
          <w:rFonts w:hint="cs"/>
          <w:bCs/>
          <w:u w:val="single"/>
          <w:rtl/>
        </w:rPr>
        <w:t>10</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فنفخنا فيه من روحنا</w:t>
      </w:r>
      <w:r w:rsidRPr="00A52585">
        <w:rPr>
          <w:rFonts w:hint="cs"/>
          <w:rtl/>
        </w:rPr>
        <w:t>)</w:t>
      </w:r>
      <w:r w:rsidR="00777DCB" w:rsidRPr="00A52585">
        <w:rPr>
          <w:rFonts w:hint="cs"/>
          <w:rtl/>
        </w:rPr>
        <w:t xml:space="preserve"> التحريم</w:t>
      </w:r>
      <w:r w:rsidRPr="00A52585">
        <w:rPr>
          <w:rFonts w:hint="cs"/>
          <w:rtl/>
        </w:rPr>
        <w:t>:</w:t>
      </w:r>
      <w:r w:rsidR="00777DCB" w:rsidRPr="00A52585">
        <w:rPr>
          <w:rFonts w:hint="cs"/>
          <w:rtl/>
        </w:rPr>
        <w:t xml:space="preserve"> 12</w:t>
      </w:r>
      <w:r w:rsidR="00897A24" w:rsidRPr="00A52585">
        <w:rPr>
          <w:rFonts w:hint="cs"/>
          <w:rtl/>
        </w:rPr>
        <w:t>.</w:t>
      </w:r>
      <w:r w:rsidR="00777DCB" w:rsidRPr="00A52585">
        <w:rPr>
          <w:rFonts w:hint="cs"/>
          <w:rtl/>
        </w:rPr>
        <w:t xml:space="preserve"> قال المفسرون</w:t>
      </w:r>
      <w:r w:rsidRPr="00A52585">
        <w:rPr>
          <w:rFonts w:hint="cs"/>
          <w:rtl/>
        </w:rPr>
        <w:t>:</w:t>
      </w:r>
      <w:r w:rsidR="00777DCB" w:rsidRPr="00A52585">
        <w:rPr>
          <w:rFonts w:hint="cs"/>
          <w:rtl/>
        </w:rPr>
        <w:t xml:space="preserve"> أي من رحمتنا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وأوضح من ذلك أن يقال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من روحنا</w:t>
      </w:r>
      <w:r w:rsidRPr="00A52585">
        <w:rPr>
          <w:rFonts w:hint="cs"/>
          <w:sz w:val="24"/>
          <w:szCs w:val="24"/>
          <w:rtl/>
        </w:rPr>
        <w:t>)</w:t>
      </w:r>
      <w:r w:rsidR="00777DCB" w:rsidRPr="00A52585">
        <w:rPr>
          <w:rFonts w:hint="cs"/>
          <w:sz w:val="24"/>
          <w:szCs w:val="24"/>
          <w:rtl/>
        </w:rPr>
        <w:t xml:space="preserve"> أي من الروح المخلوقة لنا التي شرفناها </w:t>
      </w:r>
      <w:proofErr w:type="spellStart"/>
      <w:r w:rsidR="00777DCB" w:rsidRPr="00A52585">
        <w:rPr>
          <w:rFonts w:hint="cs"/>
          <w:sz w:val="24"/>
          <w:szCs w:val="24"/>
          <w:rtl/>
        </w:rPr>
        <w:t>بالاضافة</w:t>
      </w:r>
      <w:proofErr w:type="spellEnd"/>
      <w:r w:rsidR="00777DCB" w:rsidRPr="00A52585">
        <w:rPr>
          <w:rFonts w:hint="cs"/>
          <w:sz w:val="24"/>
          <w:szCs w:val="24"/>
          <w:rtl/>
        </w:rPr>
        <w:t xml:space="preserve"> لنا</w:t>
      </w:r>
      <w:r w:rsidR="00DB731D" w:rsidRPr="00A52585">
        <w:rPr>
          <w:rFonts w:hint="cs"/>
          <w:sz w:val="24"/>
          <w:szCs w:val="24"/>
          <w:rtl/>
        </w:rPr>
        <w:t>،</w:t>
      </w:r>
      <w:r w:rsidR="00777DCB" w:rsidRPr="00A52585">
        <w:rPr>
          <w:rFonts w:hint="cs"/>
          <w:sz w:val="24"/>
          <w:szCs w:val="24"/>
          <w:rtl/>
        </w:rPr>
        <w:t xml:space="preserve"> وذلك كقوله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أن طهرا بيتي للطائفين</w:t>
      </w:r>
      <w:r w:rsidRPr="00A52585">
        <w:rPr>
          <w:rFonts w:hint="cs"/>
          <w:sz w:val="24"/>
          <w:szCs w:val="24"/>
          <w:rtl/>
        </w:rPr>
        <w:t>)</w:t>
      </w:r>
      <w:r w:rsidR="00777DCB" w:rsidRPr="00A52585">
        <w:rPr>
          <w:rFonts w:hint="cs"/>
          <w:sz w:val="24"/>
          <w:szCs w:val="24"/>
          <w:rtl/>
        </w:rPr>
        <w:t xml:space="preserve"> فأضاف البيت إلى نفسه تشريفا مع أنه لا يسكنه وتعالى عن ذلك علوا كبيرا]</w:t>
      </w:r>
      <w:r w:rsidR="00DB731D" w:rsidRPr="00A52585">
        <w:rPr>
          <w:rFonts w:hint="cs"/>
          <w:sz w:val="36"/>
          <w:szCs w:val="36"/>
          <w:rtl/>
        </w:rPr>
        <w:t>،</w:t>
      </w:r>
      <w:r w:rsidR="00777DCB" w:rsidRPr="00A52585">
        <w:rPr>
          <w:rFonts w:hint="cs"/>
          <w:rtl/>
        </w:rPr>
        <w:t xml:space="preserve"> وإنما نسب الروح إليه</w:t>
      </w:r>
      <w:r w:rsidR="00DB731D" w:rsidRPr="00A52585">
        <w:rPr>
          <w:rFonts w:hint="cs"/>
          <w:rtl/>
        </w:rPr>
        <w:t>،</w:t>
      </w:r>
      <w:r w:rsidR="00777DCB" w:rsidRPr="00A52585">
        <w:rPr>
          <w:rFonts w:hint="cs"/>
          <w:rtl/>
        </w:rPr>
        <w:t xml:space="preserve"> لأنّه بأمره كان</w:t>
      </w:r>
      <w:r w:rsidR="00DB731D" w:rsidRPr="00A52585">
        <w:rPr>
          <w:rFonts w:hint="cs"/>
          <w:rtl/>
        </w:rPr>
        <w:t>،</w:t>
      </w:r>
      <w:r w:rsidR="00777DCB" w:rsidRPr="00A52585">
        <w:rPr>
          <w:rFonts w:hint="cs"/>
          <w:rtl/>
        </w:rPr>
        <w:t xml:space="preserve"> </w:t>
      </w:r>
    </w:p>
    <w:p w14:paraId="0FC9A42A" w14:textId="51B99B8A" w:rsidR="00777DCB" w:rsidRPr="00A52585" w:rsidRDefault="0002035C" w:rsidP="0002035C">
      <w:pPr>
        <w:rPr>
          <w:b/>
          <w:rtl/>
        </w:rPr>
      </w:pPr>
      <w:r w:rsidRPr="00A52585">
        <w:rPr>
          <w:rFonts w:hint="cs"/>
          <w:bCs/>
          <w:u w:val="single"/>
          <w:rtl/>
        </w:rPr>
        <w:t>[</w:t>
      </w:r>
      <w:r w:rsidR="00777DCB" w:rsidRPr="00A52585">
        <w:rPr>
          <w:rFonts w:hint="cs"/>
          <w:bCs/>
          <w:u w:val="single"/>
          <w:rtl/>
        </w:rPr>
        <w:t>11</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يؤذون الله</w:t>
      </w:r>
      <w:r w:rsidRPr="00A52585">
        <w:rPr>
          <w:rFonts w:hint="cs"/>
          <w:rtl/>
        </w:rPr>
        <w:t>)</w:t>
      </w:r>
      <w:r w:rsidR="00777DCB" w:rsidRPr="00A52585">
        <w:rPr>
          <w:rFonts w:hint="cs"/>
          <w:rtl/>
        </w:rPr>
        <w:t xml:space="preserve"> الاحزاب 57</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أي يؤذون أولياءه كقوله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واسأل القرية</w:t>
      </w:r>
      <w:r w:rsidRPr="00A52585">
        <w:rPr>
          <w:rFonts w:hint="cs"/>
          <w:rtl/>
        </w:rPr>
        <w:t>)</w:t>
      </w:r>
      <w:r w:rsidR="00777DCB" w:rsidRPr="00A52585">
        <w:rPr>
          <w:rFonts w:hint="cs"/>
          <w:rtl/>
        </w:rPr>
        <w:t xml:space="preserve"> يوسف</w:t>
      </w:r>
      <w:r w:rsidRPr="00A52585">
        <w:rPr>
          <w:rFonts w:hint="cs"/>
          <w:rtl/>
        </w:rPr>
        <w:t>:</w:t>
      </w:r>
      <w:r w:rsidR="00777DCB" w:rsidRPr="00A52585">
        <w:rPr>
          <w:rFonts w:hint="cs"/>
          <w:rtl/>
        </w:rPr>
        <w:t xml:space="preserve"> 81</w:t>
      </w:r>
      <w:r w:rsidR="00DB731D" w:rsidRPr="00A52585">
        <w:rPr>
          <w:rFonts w:hint="cs"/>
          <w:rtl/>
        </w:rPr>
        <w:t>،</w:t>
      </w:r>
      <w:r w:rsidR="00777DCB" w:rsidRPr="00A52585">
        <w:rPr>
          <w:rFonts w:hint="cs"/>
          <w:rtl/>
        </w:rPr>
        <w:t xml:space="preserve"> أي</w:t>
      </w:r>
      <w:r w:rsidRPr="00A52585">
        <w:rPr>
          <w:rFonts w:hint="cs"/>
          <w:rtl/>
        </w:rPr>
        <w:t>:</w:t>
      </w:r>
      <w:r w:rsidR="00777DCB" w:rsidRPr="00A52585">
        <w:rPr>
          <w:rFonts w:hint="cs"/>
          <w:rtl/>
        </w:rPr>
        <w:t xml:space="preserve"> أهلها</w:t>
      </w:r>
      <w:r w:rsidR="00DB731D" w:rsidRPr="00A52585">
        <w:rPr>
          <w:rFonts w:hint="cs"/>
          <w:rtl/>
        </w:rPr>
        <w:t>،</w:t>
      </w:r>
      <w:r w:rsidR="00777DCB" w:rsidRPr="00A52585">
        <w:rPr>
          <w:rFonts w:hint="cs"/>
          <w:rtl/>
        </w:rPr>
        <w:t xml:space="preserve"> وقال النبي عليه الصلاة والسلام</w:t>
      </w:r>
      <w:r w:rsidRPr="00A52585">
        <w:rPr>
          <w:rFonts w:hint="cs"/>
          <w:rtl/>
        </w:rPr>
        <w:t>:</w:t>
      </w:r>
      <w:r w:rsidR="00777DCB" w:rsidRPr="00A52585">
        <w:rPr>
          <w:rFonts w:hint="cs"/>
          <w:rtl/>
        </w:rPr>
        <w:t xml:space="preserve"> " أحد جبل يحبنا ونحبه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الامام مالك في الموطأ وأحمد والبخاري ومسلم والترمذي وابن ماجه]</w:t>
      </w:r>
      <w:r w:rsidR="00DB731D" w:rsidRPr="00A52585">
        <w:rPr>
          <w:rFonts w:hint="cs"/>
          <w:rtl/>
        </w:rPr>
        <w:t>،</w:t>
      </w:r>
      <w:r w:rsidR="00777DCB" w:rsidRPr="00A52585">
        <w:rPr>
          <w:rFonts w:hint="cs"/>
          <w:rtl/>
        </w:rPr>
        <w:t xml:space="preserve"> قال الشاعر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أنبئت أن النار بعدك أوقدت واستب بعدك يا كليب المجلس</w:t>
      </w:r>
      <w:r w:rsidRPr="00A52585">
        <w:rPr>
          <w:rFonts w:hint="cs"/>
          <w:rtl/>
        </w:rPr>
        <w:t>)</w:t>
      </w:r>
      <w:r w:rsidR="00DB731D" w:rsidRPr="00A52585">
        <w:rPr>
          <w:rFonts w:hint="cs"/>
          <w:rtl/>
        </w:rPr>
        <w:t>،</w:t>
      </w:r>
      <w:r w:rsidR="00777DCB" w:rsidRPr="00A52585">
        <w:rPr>
          <w:rFonts w:hint="cs"/>
          <w:rtl/>
        </w:rPr>
        <w:t xml:space="preserve"> </w:t>
      </w:r>
    </w:p>
    <w:p w14:paraId="45ABA4C1" w14:textId="071D3D93" w:rsidR="00777DCB" w:rsidRPr="00A52585" w:rsidRDefault="0002035C" w:rsidP="0002035C">
      <w:pPr>
        <w:rPr>
          <w:b/>
          <w:rtl/>
        </w:rPr>
      </w:pPr>
      <w:r w:rsidRPr="00A52585">
        <w:rPr>
          <w:rFonts w:hint="cs"/>
          <w:bCs/>
          <w:u w:val="single"/>
          <w:rtl/>
        </w:rPr>
        <w:t>[</w:t>
      </w:r>
      <w:r w:rsidR="00777DCB" w:rsidRPr="00A52585">
        <w:rPr>
          <w:rFonts w:hint="cs"/>
          <w:bCs/>
          <w:u w:val="single"/>
          <w:rtl/>
        </w:rPr>
        <w:t>12</w:t>
      </w:r>
      <w:r w:rsidRPr="00A52585">
        <w:rPr>
          <w:rFonts w:hint="cs"/>
          <w:bCs/>
          <w:u w:val="single"/>
          <w:rtl/>
        </w:rPr>
        <w:t>]</w:t>
      </w:r>
      <w:r w:rsidRPr="00A52585">
        <w:rPr>
          <w:rFonts w:hint="cs"/>
          <w:u w:val="single"/>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هل ينظرون إلا أن يأتيهم الله في ظلل من الغمام</w:t>
      </w:r>
      <w:r w:rsidRPr="00A52585">
        <w:rPr>
          <w:rFonts w:hint="cs"/>
          <w:rtl/>
        </w:rPr>
        <w:t>)</w:t>
      </w:r>
      <w:r w:rsidR="00777DCB" w:rsidRPr="00A52585">
        <w:rPr>
          <w:rFonts w:hint="cs"/>
          <w:rtl/>
        </w:rPr>
        <w:t xml:space="preserve"> البقرة 210</w:t>
      </w:r>
      <w:r w:rsidR="00DB731D" w:rsidRPr="00A52585">
        <w:rPr>
          <w:rFonts w:hint="cs"/>
          <w:rtl/>
        </w:rPr>
        <w:t>،</w:t>
      </w:r>
      <w:r w:rsidR="00777DCB" w:rsidRPr="00A52585">
        <w:rPr>
          <w:rFonts w:hint="cs"/>
          <w:rtl/>
        </w:rPr>
        <w:t xml:space="preserve"> أي بظلل</w:t>
      </w:r>
      <w:r w:rsidR="00DB731D" w:rsidRPr="00A52585">
        <w:rPr>
          <w:rFonts w:hint="cs"/>
          <w:rtl/>
        </w:rPr>
        <w:t>،</w:t>
      </w:r>
      <w:r w:rsidR="00777DCB" w:rsidRPr="00A52585">
        <w:rPr>
          <w:rFonts w:hint="cs"/>
          <w:rtl/>
        </w:rPr>
        <w:t xml:space="preserve"> وكذلك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وجاء ربك</w:t>
      </w:r>
      <w:r w:rsidRPr="00A52585">
        <w:rPr>
          <w:rFonts w:hint="cs"/>
          <w:rtl/>
        </w:rPr>
        <w:t>)</w:t>
      </w:r>
      <w:r w:rsidR="00777DCB" w:rsidRPr="00A52585">
        <w:rPr>
          <w:rFonts w:hint="cs"/>
          <w:rtl/>
        </w:rPr>
        <w:t xml:space="preserve"> الفجر</w:t>
      </w:r>
      <w:r w:rsidRPr="00A52585">
        <w:rPr>
          <w:rFonts w:hint="cs"/>
          <w:rtl/>
        </w:rPr>
        <w:t>:</w:t>
      </w:r>
      <w:r w:rsidR="00777DCB" w:rsidRPr="00A52585">
        <w:rPr>
          <w:rFonts w:hint="cs"/>
          <w:rtl/>
        </w:rPr>
        <w:t xml:space="preserve"> 22</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قال القاضي أبو يعلى عن أحمد بن حنبل إنه قال</w:t>
      </w:r>
      <w:r w:rsidRPr="00A52585">
        <w:rPr>
          <w:rFonts w:hint="cs"/>
          <w:rtl/>
        </w:rPr>
        <w:t>:</w:t>
      </w:r>
      <w:r w:rsidR="00777DCB" w:rsidRPr="00A52585">
        <w:rPr>
          <w:rFonts w:hint="cs"/>
          <w:rtl/>
        </w:rPr>
        <w:t xml:space="preserve">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يأتيهم</w:t>
      </w:r>
      <w:r w:rsidRPr="00A52585">
        <w:rPr>
          <w:rFonts w:hint="cs"/>
          <w:rtl/>
        </w:rPr>
        <w:t>)</w:t>
      </w:r>
      <w:r w:rsidR="00777DCB" w:rsidRPr="00A52585">
        <w:rPr>
          <w:rFonts w:hint="cs"/>
          <w:rtl/>
        </w:rPr>
        <w:t xml:space="preserve"> قال المراد به</w:t>
      </w:r>
      <w:r w:rsidRPr="00A52585">
        <w:rPr>
          <w:rFonts w:hint="cs"/>
          <w:rtl/>
        </w:rPr>
        <w:t>:</w:t>
      </w:r>
      <w:r w:rsidR="00777DCB" w:rsidRPr="00A52585">
        <w:rPr>
          <w:rFonts w:hint="cs"/>
          <w:rtl/>
        </w:rPr>
        <w:t xml:space="preserve"> قدرته</w:t>
      </w:r>
      <w:r w:rsidR="00DB731D" w:rsidRPr="00A52585">
        <w:rPr>
          <w:rFonts w:hint="cs"/>
          <w:rtl/>
        </w:rPr>
        <w:t>،</w:t>
      </w:r>
      <w:r w:rsidR="00777DCB" w:rsidRPr="00A52585">
        <w:rPr>
          <w:rFonts w:hint="cs"/>
          <w:rtl/>
        </w:rPr>
        <w:t xml:space="preserve"> وأمره [</w:t>
      </w:r>
      <w:r w:rsidR="00777DCB" w:rsidRPr="00A52585">
        <w:rPr>
          <w:rFonts w:hint="cs"/>
          <w:sz w:val="24"/>
          <w:rtl/>
        </w:rPr>
        <w:t xml:space="preserve">رواه عنه الحافظ البيهقي </w:t>
      </w:r>
      <w:proofErr w:type="spellStart"/>
      <w:r w:rsidR="00777DCB" w:rsidRPr="00A52585">
        <w:rPr>
          <w:rFonts w:hint="cs"/>
          <w:sz w:val="24"/>
          <w:rtl/>
        </w:rPr>
        <w:t>باسناد</w:t>
      </w:r>
      <w:proofErr w:type="spellEnd"/>
      <w:r w:rsidR="00777DCB" w:rsidRPr="00A52585">
        <w:rPr>
          <w:rFonts w:hint="cs"/>
          <w:sz w:val="24"/>
          <w:rtl/>
        </w:rPr>
        <w:t xml:space="preserve"> صحيح كما في " البداية والنهاية " </w:t>
      </w:r>
      <w:r w:rsidRPr="00A52585">
        <w:rPr>
          <w:rFonts w:hint="cs"/>
          <w:sz w:val="24"/>
          <w:rtl/>
        </w:rPr>
        <w:t>(</w:t>
      </w:r>
      <w:r w:rsidR="00777DCB" w:rsidRPr="00A52585">
        <w:rPr>
          <w:rFonts w:hint="cs"/>
          <w:sz w:val="24"/>
          <w:rtl/>
        </w:rPr>
        <w:t>10 / 327</w:t>
      </w:r>
      <w:r w:rsidRPr="00A52585">
        <w:rPr>
          <w:rFonts w:hint="cs"/>
          <w:sz w:val="24"/>
          <w:rtl/>
        </w:rPr>
        <w:t>)</w:t>
      </w:r>
      <w:r w:rsidR="00777DCB"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وقد بينه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أو يأتي أمر ربك</w:t>
      </w:r>
      <w:r w:rsidRPr="00A52585">
        <w:rPr>
          <w:rFonts w:hint="cs"/>
          <w:rtl/>
        </w:rPr>
        <w:t>)</w:t>
      </w:r>
      <w:r w:rsidR="00DB731D" w:rsidRPr="00A52585">
        <w:rPr>
          <w:rFonts w:hint="cs"/>
          <w:rtl/>
        </w:rPr>
        <w:t>،</w:t>
      </w:r>
      <w:r w:rsidR="00777DCB" w:rsidRPr="00A52585">
        <w:rPr>
          <w:rFonts w:hint="cs"/>
          <w:rtl/>
        </w:rPr>
        <w:t xml:space="preserve"> ومثل هذا في القرآن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وجاء ربك</w:t>
      </w:r>
      <w:r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إنما هو قدرته</w:t>
      </w:r>
      <w:r w:rsidR="00DB731D"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هذا خطأ</w:t>
      </w:r>
      <w:r w:rsidR="00DB731D" w:rsidRPr="00A52585">
        <w:rPr>
          <w:rFonts w:hint="cs"/>
          <w:rtl/>
        </w:rPr>
        <w:t>،</w:t>
      </w:r>
      <w:r w:rsidR="00777DCB" w:rsidRPr="00A52585">
        <w:rPr>
          <w:rFonts w:hint="cs"/>
          <w:rtl/>
        </w:rPr>
        <w:t xml:space="preserve"> إنما ينزل بذاته بانتقال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ما أبشع هذا الكلام الذي جاء به هذا المجسم</w:t>
      </w:r>
      <w:r w:rsidR="00F95886" w:rsidRPr="00A52585">
        <w:rPr>
          <w:rFonts w:hint="cs"/>
          <w:sz w:val="24"/>
          <w:szCs w:val="24"/>
          <w:rtl/>
        </w:rPr>
        <w:t>!!</w:t>
      </w:r>
      <w:r w:rsidR="00777DCB" w:rsidRPr="00A52585">
        <w:rPr>
          <w:rFonts w:hint="cs"/>
          <w:sz w:val="24"/>
          <w:szCs w:val="24"/>
          <w:rtl/>
        </w:rPr>
        <w:t xml:space="preserve"> وهذا القائل هو إمام الشيخ الحراني</w:t>
      </w:r>
      <w:r w:rsidR="00F95886" w:rsidRPr="00A52585">
        <w:rPr>
          <w:rFonts w:hint="cs"/>
          <w:sz w:val="24"/>
          <w:szCs w:val="24"/>
          <w:rtl/>
        </w:rPr>
        <w:t>!!</w:t>
      </w:r>
      <w:r w:rsidR="00777DCB" w:rsidRPr="00A52585">
        <w:rPr>
          <w:rFonts w:hint="cs"/>
          <w:sz w:val="24"/>
          <w:szCs w:val="24"/>
          <w:rtl/>
        </w:rPr>
        <w:t xml:space="preserve"> الذي </w:t>
      </w:r>
      <w:proofErr w:type="spellStart"/>
      <w:r w:rsidR="00777DCB" w:rsidRPr="00A52585">
        <w:rPr>
          <w:rFonts w:hint="cs"/>
          <w:sz w:val="24"/>
          <w:szCs w:val="24"/>
          <w:rtl/>
        </w:rPr>
        <w:t>يثبث</w:t>
      </w:r>
      <w:proofErr w:type="spellEnd"/>
      <w:r w:rsidR="00777DCB" w:rsidRPr="00A52585">
        <w:rPr>
          <w:rFonts w:hint="cs"/>
          <w:sz w:val="24"/>
          <w:szCs w:val="24"/>
          <w:rtl/>
        </w:rPr>
        <w:t xml:space="preserve"> الحركة لله تعالى عما يقول ويدعي أنها مذهب السلف في " موافقته " التي بهامش " منهاجه " </w:t>
      </w:r>
      <w:r w:rsidRPr="00A52585">
        <w:rPr>
          <w:rFonts w:hint="cs"/>
          <w:sz w:val="24"/>
          <w:szCs w:val="24"/>
          <w:rtl/>
        </w:rPr>
        <w:t>(</w:t>
      </w:r>
      <w:r w:rsidR="00777DCB" w:rsidRPr="00A52585">
        <w:rPr>
          <w:rFonts w:hint="cs"/>
          <w:sz w:val="24"/>
          <w:szCs w:val="24"/>
          <w:rtl/>
        </w:rPr>
        <w:t>2 / 4</w:t>
      </w:r>
      <w:r w:rsidRPr="00A52585">
        <w:rPr>
          <w:rFonts w:hint="cs"/>
          <w:sz w:val="24"/>
          <w:szCs w:val="24"/>
          <w:rtl/>
        </w:rPr>
        <w:t>)</w:t>
      </w:r>
      <w:r w:rsidR="00777DCB" w:rsidRPr="00A52585">
        <w:rPr>
          <w:rFonts w:hint="cs"/>
          <w:sz w:val="24"/>
          <w:szCs w:val="24"/>
          <w:rtl/>
        </w:rPr>
        <w:t xml:space="preserve"> فتأمل</w:t>
      </w:r>
      <w:r w:rsidR="00F95886"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الكلام في ذاته تعالى بمقتضى الحس</w:t>
      </w:r>
      <w:r w:rsidR="00DB731D" w:rsidRPr="00A52585">
        <w:rPr>
          <w:rFonts w:hint="cs"/>
          <w:rtl/>
        </w:rPr>
        <w:t>،</w:t>
      </w:r>
      <w:r w:rsidR="00777DCB" w:rsidRPr="00A52585">
        <w:rPr>
          <w:rFonts w:hint="cs"/>
          <w:rtl/>
        </w:rPr>
        <w:t xml:space="preserve"> كما يتكلم في الاجسام</w:t>
      </w:r>
      <w:r w:rsidR="00DB731D" w:rsidRPr="00A52585">
        <w:rPr>
          <w:rFonts w:hint="cs"/>
          <w:rtl/>
        </w:rPr>
        <w:t>،</w:t>
      </w:r>
      <w:r w:rsidR="00777DCB" w:rsidRPr="00A52585">
        <w:rPr>
          <w:rFonts w:hint="cs"/>
          <w:rtl/>
        </w:rPr>
        <w:t xml:space="preserve"> قال ابن عقيل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 الروح من أمر ربي</w:t>
      </w:r>
      <w:r w:rsidRPr="00A52585">
        <w:rPr>
          <w:rFonts w:hint="cs"/>
          <w:rtl/>
        </w:rPr>
        <w:t>)</w:t>
      </w:r>
      <w:r w:rsidR="00777DCB" w:rsidRPr="00A52585">
        <w:rPr>
          <w:rFonts w:hint="cs"/>
          <w:rtl/>
        </w:rPr>
        <w:t xml:space="preserve"> الاسراء</w:t>
      </w:r>
      <w:r w:rsidRPr="00A52585">
        <w:rPr>
          <w:rFonts w:hint="cs"/>
          <w:rtl/>
        </w:rPr>
        <w:t>:</w:t>
      </w:r>
      <w:r w:rsidR="00777DCB" w:rsidRPr="00A52585">
        <w:rPr>
          <w:rFonts w:hint="cs"/>
          <w:rtl/>
        </w:rPr>
        <w:t xml:space="preserve"> 85</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الله كف خلقه عن السؤال عن مخلوق</w:t>
      </w:r>
      <w:r w:rsidR="00DB731D" w:rsidRPr="00A52585">
        <w:rPr>
          <w:rFonts w:hint="cs"/>
          <w:rtl/>
        </w:rPr>
        <w:t>،</w:t>
      </w:r>
      <w:r w:rsidR="00777DCB" w:rsidRPr="00A52585">
        <w:rPr>
          <w:rFonts w:hint="cs"/>
          <w:rtl/>
        </w:rPr>
        <w:t xml:space="preserve"> فكفهم عن الخالق وصفاته أولى</w:t>
      </w:r>
      <w:r w:rsidR="00897A24" w:rsidRPr="00A52585">
        <w:rPr>
          <w:rFonts w:hint="cs"/>
          <w:rtl/>
        </w:rPr>
        <w:t>.</w:t>
      </w:r>
      <w:r w:rsidR="00777DCB" w:rsidRPr="00A52585">
        <w:rPr>
          <w:rFonts w:hint="cs"/>
          <w:rtl/>
        </w:rPr>
        <w:t xml:space="preserve"> وأنشدوا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حقيقة المرء ليس المرء يدركها فكيف يدرك كنه الخالق الازلي</w:t>
      </w:r>
      <w:r w:rsidRPr="00A52585">
        <w:rPr>
          <w:rFonts w:hint="cs"/>
          <w:rtl/>
        </w:rPr>
        <w:t>)</w:t>
      </w:r>
      <w:r w:rsidR="00DB731D" w:rsidRPr="00A52585">
        <w:rPr>
          <w:rFonts w:hint="cs"/>
          <w:rtl/>
        </w:rPr>
        <w:t>،</w:t>
      </w:r>
      <w:r w:rsidR="00777DCB" w:rsidRPr="00A52585">
        <w:rPr>
          <w:rFonts w:hint="cs"/>
          <w:rtl/>
        </w:rPr>
        <w:t xml:space="preserve"> </w:t>
      </w:r>
    </w:p>
    <w:p w14:paraId="64DC58DD" w14:textId="77777777" w:rsidR="00777DCB" w:rsidRPr="00A52585" w:rsidRDefault="00777DCB" w:rsidP="0002035C">
      <w:pPr>
        <w:jc w:val="center"/>
        <w:rPr>
          <w:b/>
          <w:rtl/>
        </w:rPr>
      </w:pPr>
      <w:r w:rsidRPr="00A52585">
        <w:rPr>
          <w:rFonts w:hint="cs"/>
          <w:rtl/>
        </w:rPr>
        <w:t>***</w:t>
      </w:r>
    </w:p>
    <w:p w14:paraId="744A0939" w14:textId="75A6F54F" w:rsidR="00777DCB" w:rsidRPr="00A52585" w:rsidRDefault="0002035C" w:rsidP="0002035C">
      <w:pPr>
        <w:jc w:val="center"/>
        <w:rPr>
          <w:b/>
          <w:bCs/>
          <w:rtl/>
        </w:rPr>
      </w:pPr>
      <w:r w:rsidRPr="00A52585">
        <w:rPr>
          <w:rFonts w:hint="cs"/>
          <w:bCs/>
          <w:rtl/>
        </w:rPr>
        <w:t>[</w:t>
      </w:r>
      <w:r w:rsidR="00777DCB" w:rsidRPr="00A52585">
        <w:rPr>
          <w:rFonts w:hint="cs"/>
          <w:bCs/>
          <w:rtl/>
        </w:rPr>
        <w:t xml:space="preserve">فصل ذكر </w:t>
      </w:r>
      <w:proofErr w:type="gramStart"/>
      <w:r w:rsidR="00777DCB" w:rsidRPr="00A52585">
        <w:rPr>
          <w:rFonts w:hint="cs"/>
          <w:bCs/>
          <w:rtl/>
        </w:rPr>
        <w:t>الاحاديث</w:t>
      </w:r>
      <w:proofErr w:type="gramEnd"/>
      <w:r w:rsidR="00777DCB" w:rsidRPr="00A52585">
        <w:rPr>
          <w:rFonts w:hint="cs"/>
          <w:bCs/>
          <w:rtl/>
        </w:rPr>
        <w:t xml:space="preserve"> التي سموها أخبار الصفات</w:t>
      </w:r>
      <w:r w:rsidRPr="00A52585">
        <w:rPr>
          <w:rFonts w:hint="cs"/>
          <w:bCs/>
          <w:rtl/>
        </w:rPr>
        <w:t>]</w:t>
      </w:r>
    </w:p>
    <w:p w14:paraId="5750C1F9" w14:textId="0FAE9927" w:rsidR="00777DCB" w:rsidRPr="00A52585" w:rsidRDefault="00777DCB" w:rsidP="0002035C">
      <w:pPr>
        <w:rPr>
          <w:b/>
          <w:rtl/>
        </w:rPr>
      </w:pPr>
      <w:r w:rsidRPr="00A52585">
        <w:rPr>
          <w:rFonts w:hint="cs"/>
          <w:rtl/>
        </w:rPr>
        <w:t>اعلم أن للاحاديث دقائق وآفات لا يعرفهما إلا العلماء الفقهاء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ذلك أن الحفاظ عرفوا الحديث الصحيح وحدوه بخمسة أشياء أو شروط وهي</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1</w:t>
      </w:r>
      <w:r w:rsidR="0002035C" w:rsidRPr="00A52585">
        <w:rPr>
          <w:rFonts w:hint="cs"/>
          <w:sz w:val="24"/>
          <w:szCs w:val="24"/>
          <w:rtl/>
        </w:rPr>
        <w:t>)</w:t>
      </w:r>
      <w:r w:rsidRPr="00A52585">
        <w:rPr>
          <w:rFonts w:hint="cs"/>
          <w:sz w:val="24"/>
          <w:szCs w:val="24"/>
          <w:rtl/>
        </w:rPr>
        <w:t xml:space="preserve"> اتصال السند</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2</w:t>
      </w:r>
      <w:r w:rsidR="0002035C" w:rsidRPr="00A52585">
        <w:rPr>
          <w:rFonts w:hint="cs"/>
          <w:sz w:val="24"/>
          <w:szCs w:val="24"/>
          <w:rtl/>
        </w:rPr>
        <w:t>)</w:t>
      </w:r>
      <w:r w:rsidRPr="00A52585">
        <w:rPr>
          <w:rFonts w:hint="cs"/>
          <w:sz w:val="24"/>
          <w:szCs w:val="24"/>
          <w:rtl/>
        </w:rPr>
        <w:t xml:space="preserve"> عدالة الراوي</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3</w:t>
      </w:r>
      <w:r w:rsidR="0002035C" w:rsidRPr="00A52585">
        <w:rPr>
          <w:rFonts w:hint="cs"/>
          <w:sz w:val="24"/>
          <w:szCs w:val="24"/>
          <w:rtl/>
        </w:rPr>
        <w:t>)</w:t>
      </w:r>
      <w:r w:rsidRPr="00A52585">
        <w:rPr>
          <w:rFonts w:hint="cs"/>
          <w:sz w:val="24"/>
          <w:szCs w:val="24"/>
          <w:rtl/>
        </w:rPr>
        <w:t xml:space="preserve"> ضبطه</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4</w:t>
      </w:r>
      <w:r w:rsidR="0002035C" w:rsidRPr="00A52585">
        <w:rPr>
          <w:rFonts w:hint="cs"/>
          <w:sz w:val="24"/>
          <w:szCs w:val="24"/>
          <w:rtl/>
        </w:rPr>
        <w:t>)</w:t>
      </w:r>
      <w:r w:rsidRPr="00A52585">
        <w:rPr>
          <w:rFonts w:hint="cs"/>
          <w:sz w:val="24"/>
          <w:szCs w:val="24"/>
          <w:rtl/>
        </w:rPr>
        <w:t xml:space="preserve"> عدم الشذوذ</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5</w:t>
      </w:r>
      <w:r w:rsidR="0002035C" w:rsidRPr="00A52585">
        <w:rPr>
          <w:rFonts w:hint="cs"/>
          <w:sz w:val="24"/>
          <w:szCs w:val="24"/>
          <w:rtl/>
        </w:rPr>
        <w:t>)</w:t>
      </w:r>
      <w:r w:rsidRPr="00A52585">
        <w:rPr>
          <w:rFonts w:hint="cs"/>
          <w:sz w:val="24"/>
          <w:szCs w:val="24"/>
          <w:rtl/>
        </w:rPr>
        <w:t xml:space="preserve"> عدم العلة</w:t>
      </w:r>
      <w:r w:rsidR="00DB731D" w:rsidRPr="00A52585">
        <w:rPr>
          <w:rFonts w:hint="cs"/>
          <w:sz w:val="24"/>
          <w:szCs w:val="24"/>
          <w:rtl/>
        </w:rPr>
        <w:t>،</w:t>
      </w:r>
      <w:r w:rsidRPr="00A52585">
        <w:rPr>
          <w:rFonts w:hint="cs"/>
          <w:sz w:val="24"/>
          <w:szCs w:val="24"/>
          <w:rtl/>
        </w:rPr>
        <w:t xml:space="preserve"> ولان أكثر الحفاظ لم يجمعوا بين الفقه والحديث فلم يراعوا حقيقة الشرط الرابع والخامس الذي وضعوه غالبا لأننا لا ننفي أنهم يحكمون أحيانا على الحديث بالشذوذ أو بأنه معلول إلا أن ذلك قليل في الواقع</w:t>
      </w:r>
      <w:r w:rsidR="00DB731D" w:rsidRPr="00A52585">
        <w:rPr>
          <w:rFonts w:hint="cs"/>
          <w:sz w:val="24"/>
          <w:szCs w:val="24"/>
          <w:rtl/>
        </w:rPr>
        <w:t>،</w:t>
      </w:r>
      <w:r w:rsidRPr="00A52585">
        <w:rPr>
          <w:rFonts w:hint="cs"/>
          <w:sz w:val="24"/>
          <w:szCs w:val="24"/>
          <w:rtl/>
        </w:rPr>
        <w:t xml:space="preserve"> وها هم يأتون في كلامهم على الحديث المعلل بحديث سيدنا أنس الذي في صحيح مسلم</w:t>
      </w:r>
      <w:r w:rsidR="0002035C" w:rsidRPr="00A52585">
        <w:rPr>
          <w:rFonts w:hint="cs"/>
          <w:sz w:val="24"/>
          <w:szCs w:val="24"/>
          <w:rtl/>
        </w:rPr>
        <w:t>:</w:t>
      </w:r>
      <w:r w:rsidRPr="00A52585">
        <w:rPr>
          <w:rFonts w:hint="cs"/>
          <w:sz w:val="24"/>
          <w:szCs w:val="24"/>
          <w:rtl/>
        </w:rPr>
        <w:t xml:space="preserve"> " صليت خلف النبي صلى الله عليه وسلم وأبي بكر وعمر وعثمان فكانوا يفتتحون القراءة بالحمد لله رب العالمين</w:t>
      </w:r>
      <w:r w:rsidR="00DB731D" w:rsidRPr="00A52585">
        <w:rPr>
          <w:rFonts w:hint="cs"/>
          <w:sz w:val="24"/>
          <w:szCs w:val="24"/>
          <w:rtl/>
        </w:rPr>
        <w:t>،</w:t>
      </w:r>
      <w:r w:rsidRPr="00A52585">
        <w:rPr>
          <w:rFonts w:hint="cs"/>
          <w:sz w:val="24"/>
          <w:szCs w:val="24"/>
          <w:rtl/>
        </w:rPr>
        <w:t xml:space="preserve"> لا يذكرون بسم الله الرحمن الرحيم أول القراءة ولا آخرها " ويقولون</w:t>
      </w:r>
      <w:r w:rsidR="0002035C" w:rsidRPr="00A52585">
        <w:rPr>
          <w:rFonts w:hint="cs"/>
          <w:sz w:val="24"/>
          <w:szCs w:val="24"/>
          <w:rtl/>
        </w:rPr>
        <w:t>:</w:t>
      </w:r>
      <w:r w:rsidRPr="00A52585">
        <w:rPr>
          <w:rFonts w:hint="cs"/>
          <w:sz w:val="24"/>
          <w:szCs w:val="24"/>
          <w:rtl/>
        </w:rPr>
        <w:t xml:space="preserve"> إن عبارة " لا يذكرون بسم الله الرحمن الرحيم أول القراءة ولا آخرها " ليست من كلام سيدنا أنس وإنما هي من كلام الراوي عنه</w:t>
      </w:r>
      <w:r w:rsidR="00DB731D" w:rsidRPr="00A52585">
        <w:rPr>
          <w:rFonts w:hint="cs"/>
          <w:sz w:val="24"/>
          <w:szCs w:val="24"/>
          <w:rtl/>
        </w:rPr>
        <w:t>،</w:t>
      </w:r>
      <w:r w:rsidRPr="00A52585">
        <w:rPr>
          <w:rFonts w:hint="cs"/>
          <w:sz w:val="24"/>
          <w:szCs w:val="24"/>
          <w:rtl/>
        </w:rPr>
        <w:t xml:space="preserve"> لأنّه فهم من كلام سيدنا أنس في قوله</w:t>
      </w:r>
      <w:r w:rsidR="0002035C" w:rsidRPr="00A52585">
        <w:rPr>
          <w:rFonts w:hint="cs"/>
          <w:sz w:val="24"/>
          <w:szCs w:val="24"/>
          <w:rtl/>
        </w:rPr>
        <w:t>:</w:t>
      </w:r>
      <w:r w:rsidRPr="00A52585">
        <w:rPr>
          <w:rFonts w:hint="cs"/>
          <w:sz w:val="24"/>
          <w:szCs w:val="24"/>
          <w:rtl/>
        </w:rPr>
        <w:t xml:space="preserve"> " يفتتحون القراءة بالحمد لله رب العالمين " أنه يعني أنهم ما كانوا يقرأون البسملة</w:t>
      </w:r>
      <w:r w:rsidR="00DB731D" w:rsidRPr="00A52585">
        <w:rPr>
          <w:rFonts w:hint="cs"/>
          <w:sz w:val="24"/>
          <w:szCs w:val="24"/>
          <w:rtl/>
        </w:rPr>
        <w:t>،</w:t>
      </w:r>
      <w:r w:rsidRPr="00A52585">
        <w:rPr>
          <w:rFonts w:hint="cs"/>
          <w:sz w:val="24"/>
          <w:szCs w:val="24"/>
          <w:rtl/>
        </w:rPr>
        <w:t xml:space="preserve"> وليس مراد سيدنا أنس ذلك</w:t>
      </w:r>
      <w:r w:rsidR="00DB731D" w:rsidRPr="00A52585">
        <w:rPr>
          <w:rFonts w:hint="cs"/>
          <w:sz w:val="24"/>
          <w:szCs w:val="24"/>
          <w:rtl/>
        </w:rPr>
        <w:t>،</w:t>
      </w:r>
      <w:r w:rsidRPr="00A52585">
        <w:rPr>
          <w:rFonts w:hint="cs"/>
          <w:sz w:val="24"/>
          <w:szCs w:val="24"/>
          <w:rtl/>
        </w:rPr>
        <w:t xml:space="preserve"> وانما مراده أنهم كانوا </w:t>
      </w:r>
      <w:proofErr w:type="spellStart"/>
      <w:r w:rsidRPr="00A52585">
        <w:rPr>
          <w:rFonts w:hint="cs"/>
          <w:sz w:val="24"/>
          <w:szCs w:val="24"/>
          <w:rtl/>
        </w:rPr>
        <w:t>يبدأون</w:t>
      </w:r>
      <w:proofErr w:type="spellEnd"/>
      <w:r w:rsidRPr="00A52585">
        <w:rPr>
          <w:rFonts w:hint="cs"/>
          <w:sz w:val="24"/>
          <w:szCs w:val="24"/>
          <w:rtl/>
        </w:rPr>
        <w:t xml:space="preserve"> القراءة بسورة الحمد لله رب العالمين لا بالسورة الصغيرة</w:t>
      </w:r>
      <w:r w:rsidR="00DB731D" w:rsidRPr="00A52585">
        <w:rPr>
          <w:rFonts w:hint="cs"/>
          <w:sz w:val="24"/>
          <w:szCs w:val="24"/>
          <w:rtl/>
        </w:rPr>
        <w:t>،</w:t>
      </w:r>
      <w:r w:rsidRPr="00A52585">
        <w:rPr>
          <w:rFonts w:hint="cs"/>
          <w:sz w:val="24"/>
          <w:szCs w:val="24"/>
          <w:rtl/>
        </w:rPr>
        <w:t xml:space="preserve"> وهكذا فإن هذه العلل أو الشذوذات الدقيقة لا يستطيع الحافظ الذي لم يشتغل بالفقه أن يدركها ويحكم بشذوذ الحديث أو عليته</w:t>
      </w:r>
      <w:r w:rsidR="00DB731D" w:rsidRPr="00A52585">
        <w:rPr>
          <w:rFonts w:hint="cs"/>
          <w:sz w:val="24"/>
          <w:szCs w:val="24"/>
          <w:rtl/>
        </w:rPr>
        <w:t>،</w:t>
      </w:r>
      <w:r w:rsidRPr="00A52585">
        <w:rPr>
          <w:rFonts w:hint="cs"/>
          <w:sz w:val="24"/>
          <w:szCs w:val="24"/>
          <w:rtl/>
        </w:rPr>
        <w:t xml:space="preserve"> وإنما هذا من اختصاص الحافظ الفقيه</w:t>
      </w:r>
      <w:r w:rsidR="00DB731D" w:rsidRPr="00A52585">
        <w:rPr>
          <w:rFonts w:hint="cs"/>
          <w:sz w:val="24"/>
          <w:szCs w:val="24"/>
          <w:rtl/>
        </w:rPr>
        <w:t>،</w:t>
      </w:r>
      <w:r w:rsidRPr="00A52585">
        <w:rPr>
          <w:rFonts w:hint="cs"/>
          <w:sz w:val="24"/>
          <w:szCs w:val="24"/>
          <w:rtl/>
        </w:rPr>
        <w:t xml:space="preserve"> وسأعقد إن شاء الله تعالى ملحقا آخر هذا الكتاب في هذه المسألة</w:t>
      </w:r>
      <w:r w:rsidR="0002035C" w:rsidRPr="00A52585">
        <w:rPr>
          <w:rFonts w:hint="cs"/>
          <w:rtl/>
        </w:rPr>
        <w:t>]</w:t>
      </w:r>
      <w:r w:rsidR="00DB731D" w:rsidRPr="00A52585">
        <w:rPr>
          <w:rFonts w:hint="cs"/>
          <w:rtl/>
        </w:rPr>
        <w:t>،</w:t>
      </w:r>
      <w:r w:rsidRPr="00A52585">
        <w:rPr>
          <w:rFonts w:hint="cs"/>
          <w:rtl/>
        </w:rPr>
        <w:t xml:space="preserve"> تارة في نظمها</w:t>
      </w:r>
      <w:r w:rsidR="00DB731D" w:rsidRPr="00A52585">
        <w:rPr>
          <w:rFonts w:hint="cs"/>
          <w:rtl/>
        </w:rPr>
        <w:t>،</w:t>
      </w:r>
      <w:r w:rsidRPr="00A52585">
        <w:rPr>
          <w:rFonts w:hint="cs"/>
          <w:rtl/>
        </w:rPr>
        <w:t xml:space="preserve"> وتارة في كشف معناها</w:t>
      </w:r>
      <w:r w:rsidR="00DB731D" w:rsidRPr="00A52585">
        <w:rPr>
          <w:rFonts w:hint="cs"/>
          <w:rtl/>
        </w:rPr>
        <w:t>،</w:t>
      </w:r>
      <w:r w:rsidRPr="00A52585">
        <w:rPr>
          <w:rFonts w:hint="cs"/>
          <w:rtl/>
        </w:rPr>
        <w:t xml:space="preserve"> وسنوضح بعض ذلك إن شاء الله تعالى</w:t>
      </w:r>
      <w:r w:rsidR="00DB731D" w:rsidRPr="00A52585">
        <w:rPr>
          <w:rFonts w:hint="cs"/>
          <w:rtl/>
        </w:rPr>
        <w:t>،</w:t>
      </w:r>
      <w:r w:rsidRPr="00A52585">
        <w:rPr>
          <w:rFonts w:hint="cs"/>
          <w:rtl/>
        </w:rPr>
        <w:t xml:space="preserve"> </w:t>
      </w:r>
    </w:p>
    <w:p w14:paraId="502E4772" w14:textId="484CB0F0" w:rsidR="00777DCB" w:rsidRPr="00A52585" w:rsidRDefault="0002035C" w:rsidP="0002035C">
      <w:pPr>
        <w:spacing w:after="0"/>
        <w:rPr>
          <w:b/>
          <w:rtl/>
        </w:rPr>
      </w:pPr>
      <w:r w:rsidRPr="00A52585">
        <w:rPr>
          <w:rFonts w:hint="cs"/>
          <w:bCs/>
          <w:u w:val="single"/>
          <w:rtl/>
        </w:rPr>
        <w:t>[</w:t>
      </w:r>
      <w:r w:rsidR="00777DCB" w:rsidRPr="00A52585">
        <w:rPr>
          <w:rFonts w:hint="cs"/>
          <w:bCs/>
          <w:u w:val="single"/>
          <w:rtl/>
        </w:rPr>
        <w:t>1</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الاول</w:t>
      </w:r>
      <w:r w:rsidRPr="00A52585">
        <w:rPr>
          <w:rFonts w:hint="cs"/>
          <w:bCs/>
          <w:rtl/>
        </w:rPr>
        <w:t>]</w:t>
      </w:r>
      <w:r w:rsidRPr="00A52585">
        <w:rPr>
          <w:rFonts w:hint="cs"/>
          <w:rtl/>
        </w:rPr>
        <w:t>:</w:t>
      </w:r>
      <w:r w:rsidR="00777DCB" w:rsidRPr="00A52585">
        <w:rPr>
          <w:rFonts w:hint="cs"/>
          <w:rtl/>
        </w:rPr>
        <w:t xml:space="preserve"> روى البخاري </w:t>
      </w:r>
      <w:r w:rsidRPr="00A52585">
        <w:rPr>
          <w:rFonts w:hint="cs"/>
          <w:rtl/>
        </w:rPr>
        <w:t>(</w:t>
      </w:r>
      <w:r w:rsidR="00777DCB" w:rsidRPr="00A52585">
        <w:rPr>
          <w:rFonts w:hint="cs"/>
          <w:rtl/>
        </w:rPr>
        <w:t>فتح 11 / 3</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2017 برقم 115</w:t>
      </w:r>
      <w:r w:rsidRPr="00A52585">
        <w:rPr>
          <w:rFonts w:hint="cs"/>
          <w:rtl/>
        </w:rPr>
        <w:t>)</w:t>
      </w:r>
      <w:r w:rsidR="00777DCB" w:rsidRPr="00A52585">
        <w:rPr>
          <w:rFonts w:hint="cs"/>
          <w:rtl/>
        </w:rPr>
        <w:t xml:space="preserve"> في الصحيحين من حديث أبي هريرة رضي الله عنه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 خلق الله آدم على صورته </w:t>
      </w:r>
      <w:r w:rsidR="00777DCB" w:rsidRPr="00A52585">
        <w:rPr>
          <w:rFonts w:hint="cs"/>
          <w:sz w:val="24"/>
          <w:szCs w:val="24"/>
          <w:rtl/>
        </w:rPr>
        <w:t>"</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المراد بقوله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على صورته</w:t>
      </w:r>
      <w:r w:rsidRPr="00A52585">
        <w:rPr>
          <w:rFonts w:hint="cs"/>
          <w:sz w:val="24"/>
          <w:szCs w:val="24"/>
          <w:rtl/>
        </w:rPr>
        <w:t>)</w:t>
      </w:r>
      <w:r w:rsidR="00777DCB" w:rsidRPr="00A52585">
        <w:rPr>
          <w:rFonts w:hint="cs"/>
          <w:sz w:val="24"/>
          <w:szCs w:val="24"/>
          <w:rtl/>
        </w:rPr>
        <w:t xml:space="preserve"> أي على صورة المضروب</w:t>
      </w:r>
      <w:r w:rsidR="00DB731D" w:rsidRPr="00A52585">
        <w:rPr>
          <w:rFonts w:hint="cs"/>
          <w:sz w:val="24"/>
          <w:szCs w:val="24"/>
          <w:rtl/>
        </w:rPr>
        <w:t>،</w:t>
      </w:r>
      <w:r w:rsidR="00777DCB" w:rsidRPr="00A52585">
        <w:rPr>
          <w:rFonts w:hint="cs"/>
          <w:sz w:val="24"/>
          <w:szCs w:val="24"/>
          <w:rtl/>
        </w:rPr>
        <w:t xml:space="preserve"> وذلك لان النبي صلى الله عليه وسلم مر على رجل يضرب غلامه أو يزجره ويقول له</w:t>
      </w:r>
      <w:r w:rsidRPr="00A52585">
        <w:rPr>
          <w:rFonts w:hint="cs"/>
          <w:sz w:val="24"/>
          <w:szCs w:val="24"/>
          <w:rtl/>
        </w:rPr>
        <w:t>:</w:t>
      </w:r>
      <w:r w:rsidR="00777DCB" w:rsidRPr="00A52585">
        <w:rPr>
          <w:rFonts w:hint="cs"/>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sidRPr="00A52585">
        <w:rPr>
          <w:rFonts w:hint="cs"/>
          <w:sz w:val="24"/>
          <w:szCs w:val="24"/>
          <w:rtl/>
        </w:rPr>
        <w:t>:</w:t>
      </w:r>
      <w:r w:rsidR="00777DCB" w:rsidRPr="00A52585">
        <w:rPr>
          <w:rFonts w:hint="cs"/>
          <w:sz w:val="24"/>
          <w:szCs w:val="24"/>
          <w:rtl/>
        </w:rPr>
        <w:t xml:space="preserve"> " لا تقبح الوجه فإن الله خلق آدم على صورته " أي على صورة هذا الوجه الذي تقبحه وتضربه</w:t>
      </w:r>
      <w:r w:rsidRPr="00A52585">
        <w:rPr>
          <w:rFonts w:hint="cs"/>
          <w:sz w:val="24"/>
          <w:szCs w:val="24"/>
          <w:rtl/>
        </w:rPr>
        <w:t>:</w:t>
      </w:r>
      <w:r w:rsidR="00777DCB" w:rsidRPr="00A52585">
        <w:rPr>
          <w:rFonts w:hint="cs"/>
          <w:sz w:val="24"/>
          <w:szCs w:val="24"/>
          <w:rtl/>
        </w:rPr>
        <w:t xml:space="preserve"> أي مثله </w:t>
      </w:r>
      <w:r w:rsidR="00777DCB" w:rsidRPr="00A52585">
        <w:rPr>
          <w:rFonts w:hint="cs"/>
          <w:sz w:val="24"/>
          <w:szCs w:val="24"/>
          <w:rtl/>
        </w:rPr>
        <w:lastRenderedPageBreak/>
        <w:t>في الصورة</w:t>
      </w:r>
      <w:r w:rsidR="00DB731D" w:rsidRPr="00A52585">
        <w:rPr>
          <w:rFonts w:hint="cs"/>
          <w:sz w:val="24"/>
          <w:szCs w:val="24"/>
          <w:rtl/>
        </w:rPr>
        <w:t>،</w:t>
      </w:r>
      <w:r w:rsidR="00777DCB" w:rsidRPr="00A52585">
        <w:rPr>
          <w:rFonts w:hint="cs"/>
          <w:sz w:val="24"/>
          <w:szCs w:val="24"/>
          <w:rtl/>
        </w:rPr>
        <w:t xml:space="preserve"> فليس شيء من ذلك يتعلق أو يعود على الله تعالى</w:t>
      </w:r>
      <w:r w:rsidR="00DB731D" w:rsidRPr="00A52585">
        <w:rPr>
          <w:rFonts w:hint="cs"/>
          <w:sz w:val="24"/>
          <w:szCs w:val="24"/>
          <w:rtl/>
        </w:rPr>
        <w:t>،</w:t>
      </w:r>
      <w:r w:rsidR="00777DCB" w:rsidRPr="00A52585">
        <w:rPr>
          <w:rFonts w:hint="cs"/>
          <w:sz w:val="24"/>
          <w:szCs w:val="24"/>
          <w:rtl/>
        </w:rPr>
        <w:t xml:space="preserve"> فتنبه</w:t>
      </w:r>
      <w:r w:rsidR="00DB731D" w:rsidRPr="00A52585">
        <w:rPr>
          <w:rFonts w:hint="cs"/>
          <w:sz w:val="24"/>
          <w:szCs w:val="24"/>
          <w:rtl/>
        </w:rPr>
        <w:t>،</w:t>
      </w:r>
      <w:r w:rsidR="00777DCB" w:rsidRPr="00A52585">
        <w:rPr>
          <w:rFonts w:hint="cs"/>
          <w:sz w:val="24"/>
          <w:szCs w:val="24"/>
          <w:rtl/>
        </w:rPr>
        <w:t xml:space="preserve"> وسيأتي تخريج هذا الحديث بعد قليل وضبط ألفاظه الواردة والله الموفق</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للناس في هذا مذهبان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أحدهما</w:t>
      </w:r>
      <w:r w:rsidRPr="00A52585">
        <w:rPr>
          <w:rFonts w:hint="cs"/>
          <w:rtl/>
        </w:rPr>
        <w:t>):</w:t>
      </w:r>
      <w:r w:rsidR="00777DCB" w:rsidRPr="00A52585">
        <w:rPr>
          <w:rFonts w:hint="cs"/>
          <w:rtl/>
        </w:rPr>
        <w:t xml:space="preserve"> السكوت عن تفسيره</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الكلام في معناه</w:t>
      </w:r>
      <w:r w:rsidR="00DB731D" w:rsidRPr="00A52585">
        <w:rPr>
          <w:rFonts w:hint="cs"/>
          <w:rtl/>
        </w:rPr>
        <w:t>،</w:t>
      </w:r>
      <w:r w:rsidR="00777DCB" w:rsidRPr="00A52585">
        <w:rPr>
          <w:rFonts w:hint="cs"/>
          <w:rtl/>
        </w:rPr>
        <w:t xml:space="preserve"> واختلف أرباب هذا المذهب في الهاء على من تعود</w:t>
      </w:r>
      <w:r w:rsidR="00897A24" w:rsidRPr="00A52585">
        <w:rPr>
          <w:rFonts w:hint="cs"/>
          <w:rtl/>
        </w:rPr>
        <w:t>..</w:t>
      </w:r>
      <w:r w:rsidR="00F95886" w:rsidRPr="00A52585">
        <w:rPr>
          <w:rFonts w:hint="cs"/>
          <w:rtl/>
        </w:rPr>
        <w:t>؟</w:t>
      </w:r>
      <w:r w:rsidR="00777DCB" w:rsidRPr="00A52585">
        <w:rPr>
          <w:rFonts w:hint="cs"/>
          <w:rtl/>
        </w:rPr>
        <w:t xml:space="preserve"> على ثلاثة أقوال</w:t>
      </w:r>
      <w:r w:rsidRPr="00A52585">
        <w:rPr>
          <w:rFonts w:hint="cs"/>
          <w:rtl/>
        </w:rPr>
        <w:t>:</w:t>
      </w:r>
      <w:r w:rsidR="00777DCB" w:rsidRPr="00A52585">
        <w:rPr>
          <w:rFonts w:hint="cs"/>
          <w:rtl/>
        </w:rPr>
        <w:t xml:space="preserve"> أحدها</w:t>
      </w:r>
      <w:r w:rsidRPr="00A52585">
        <w:rPr>
          <w:rFonts w:hint="cs"/>
          <w:rtl/>
        </w:rPr>
        <w:t>:</w:t>
      </w:r>
      <w:r w:rsidR="00777DCB" w:rsidRPr="00A52585">
        <w:rPr>
          <w:rFonts w:hint="cs"/>
          <w:rtl/>
        </w:rPr>
        <w:t xml:space="preserve"> تعود على بعض بني آدم </w:t>
      </w:r>
      <w:r w:rsidR="00777DCB" w:rsidRPr="00A52585">
        <w:rPr>
          <w:rFonts w:hint="cs"/>
          <w:sz w:val="24"/>
          <w:szCs w:val="24"/>
          <w:rtl/>
        </w:rPr>
        <w:t>[وهذا هو الوجه الصحيح كما قدمنا ولا محيد عنه]</w:t>
      </w:r>
      <w:r w:rsidR="00DB731D" w:rsidRPr="00A52585">
        <w:rPr>
          <w:rFonts w:hint="cs"/>
          <w:sz w:val="24"/>
          <w:szCs w:val="24"/>
          <w:rtl/>
        </w:rPr>
        <w:t>،</w:t>
      </w:r>
      <w:r w:rsidR="00777DCB" w:rsidRPr="00A52585">
        <w:rPr>
          <w:rFonts w:hint="cs"/>
          <w:rtl/>
        </w:rPr>
        <w:t xml:space="preserve"> وذلك أن النبي صلى الله عليه وسلم مر برجل يضرب رجلا وهو يقول</w:t>
      </w:r>
      <w:r w:rsidRPr="00A52585">
        <w:rPr>
          <w:rFonts w:hint="cs"/>
          <w:rtl/>
        </w:rPr>
        <w:t>:</w:t>
      </w:r>
      <w:r w:rsidR="00777DCB" w:rsidRPr="00A52585">
        <w:rPr>
          <w:rFonts w:hint="cs"/>
          <w:rtl/>
        </w:rPr>
        <w:t xml:space="preserve"> قبح الله وجهك ووجه من أشبه وجهك</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 إذا ضرب أحدكم فليتق الوجه فإن الله تعالى خلق آدم على صورته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الامام أحمد في مسنده </w:t>
      </w:r>
      <w:r w:rsidRPr="00A52585">
        <w:rPr>
          <w:rFonts w:hint="cs"/>
          <w:sz w:val="24"/>
          <w:szCs w:val="24"/>
          <w:rtl/>
        </w:rPr>
        <w:t>(</w:t>
      </w:r>
      <w:r w:rsidR="00777DCB" w:rsidRPr="00A52585">
        <w:rPr>
          <w:rFonts w:hint="cs"/>
          <w:sz w:val="24"/>
          <w:szCs w:val="24"/>
          <w:rtl/>
        </w:rPr>
        <w:t>2 / 434</w:t>
      </w:r>
      <w:r w:rsidRPr="00A52585">
        <w:rPr>
          <w:rFonts w:hint="cs"/>
          <w:sz w:val="24"/>
          <w:szCs w:val="24"/>
          <w:rtl/>
        </w:rPr>
        <w:t>)</w:t>
      </w:r>
      <w:r w:rsidR="00777DCB" w:rsidRPr="00A52585">
        <w:rPr>
          <w:rFonts w:hint="cs"/>
          <w:sz w:val="24"/>
          <w:szCs w:val="24"/>
          <w:rtl/>
        </w:rPr>
        <w:t xml:space="preserve"> والبخاري بنحوه في الادب المفرد</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73</w:t>
      </w:r>
      <w:r w:rsidRPr="00A52585">
        <w:rPr>
          <w:rFonts w:hint="cs"/>
          <w:sz w:val="24"/>
          <w:szCs w:val="24"/>
          <w:rtl/>
        </w:rPr>
        <w:t>)</w:t>
      </w:r>
      <w:r w:rsidR="00777DCB" w:rsidRPr="00A52585">
        <w:rPr>
          <w:rFonts w:hint="cs"/>
          <w:sz w:val="24"/>
          <w:szCs w:val="24"/>
          <w:rtl/>
        </w:rPr>
        <w:t xml:space="preserve"> وابن أبي عاصم في " سنته " </w:t>
      </w:r>
      <w:r w:rsidRPr="00A52585">
        <w:rPr>
          <w:rFonts w:hint="cs"/>
          <w:sz w:val="24"/>
          <w:szCs w:val="24"/>
          <w:rtl/>
        </w:rPr>
        <w:t>(</w:t>
      </w:r>
      <w:r w:rsidR="00777DCB" w:rsidRPr="00A52585">
        <w:rPr>
          <w:rFonts w:hint="cs"/>
          <w:sz w:val="24"/>
          <w:szCs w:val="24"/>
          <w:rtl/>
        </w:rPr>
        <w:t>228 برقم 516 - 521</w:t>
      </w:r>
      <w:r w:rsidRPr="00A52585">
        <w:rPr>
          <w:rFonts w:hint="cs"/>
          <w:sz w:val="24"/>
          <w:szCs w:val="24"/>
          <w:rtl/>
        </w:rPr>
        <w:t>)</w:t>
      </w:r>
      <w:r w:rsidR="00777DCB" w:rsidRPr="00A52585">
        <w:rPr>
          <w:rFonts w:hint="cs"/>
          <w:sz w:val="24"/>
          <w:szCs w:val="24"/>
          <w:rtl/>
        </w:rPr>
        <w:t xml:space="preserve"> والبيهقي في " الاسماء والصفات " ص </w:t>
      </w:r>
      <w:r w:rsidRPr="00A52585">
        <w:rPr>
          <w:rFonts w:hint="cs"/>
          <w:sz w:val="24"/>
          <w:szCs w:val="24"/>
          <w:rtl/>
        </w:rPr>
        <w:t>(</w:t>
      </w:r>
      <w:r w:rsidR="00777DCB" w:rsidRPr="00A52585">
        <w:rPr>
          <w:rFonts w:hint="cs"/>
          <w:sz w:val="24"/>
          <w:szCs w:val="24"/>
          <w:rtl/>
        </w:rPr>
        <w:t>291 بتحقيق المحدث الكوثري رحمه الله تعالى</w:t>
      </w:r>
      <w:r w:rsidRPr="00A52585">
        <w:rPr>
          <w:rFonts w:hint="cs"/>
          <w:sz w:val="24"/>
          <w:szCs w:val="24"/>
          <w:rtl/>
        </w:rPr>
        <w:t>)</w:t>
      </w:r>
      <w:r w:rsidR="00777DCB" w:rsidRPr="00A52585">
        <w:rPr>
          <w:rFonts w:hint="cs"/>
          <w:sz w:val="24"/>
          <w:szCs w:val="24"/>
          <w:rtl/>
        </w:rPr>
        <w:t xml:space="preserve"> وذكر ذلك الحافظ ابن حجر في الفتح </w:t>
      </w:r>
      <w:r w:rsidRPr="00A52585">
        <w:rPr>
          <w:rFonts w:hint="cs"/>
          <w:sz w:val="24"/>
          <w:szCs w:val="24"/>
          <w:rtl/>
        </w:rPr>
        <w:t>(</w:t>
      </w:r>
      <w:r w:rsidR="00777DCB" w:rsidRPr="00A52585">
        <w:rPr>
          <w:rFonts w:hint="cs"/>
          <w:sz w:val="24"/>
          <w:szCs w:val="24"/>
          <w:rtl/>
        </w:rPr>
        <w:t>5 / 183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sidRPr="00A52585">
        <w:rPr>
          <w:rFonts w:hint="cs"/>
          <w:sz w:val="24"/>
          <w:szCs w:val="24"/>
          <w:rtl/>
        </w:rPr>
        <w:t>]</w:t>
      </w:r>
      <w:r w:rsidR="00DB731D"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وإنما اقتصر بعض الرواة على بعض الحديث فيحمل المقتصر على المفسر</w:t>
      </w:r>
      <w:r w:rsidR="00DB731D"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فوجه من أشبه وجهك يتضمن سب الانبياء والمؤمنين</w:t>
      </w:r>
      <w:r w:rsidR="00DB731D" w:rsidRPr="00A52585">
        <w:rPr>
          <w:rFonts w:hint="cs"/>
          <w:rtl/>
        </w:rPr>
        <w:t>،</w:t>
      </w:r>
      <w:r w:rsidR="00777DCB" w:rsidRPr="00A52585">
        <w:rPr>
          <w:rFonts w:hint="cs"/>
          <w:rtl/>
        </w:rPr>
        <w:t xml:space="preserve"> وإنما خص آدم بالذكر</w:t>
      </w:r>
      <w:r w:rsidR="00DB731D" w:rsidRPr="00A52585">
        <w:rPr>
          <w:rFonts w:hint="cs"/>
          <w:rtl/>
        </w:rPr>
        <w:t>،</w:t>
      </w:r>
      <w:r w:rsidR="00777DCB" w:rsidRPr="00A52585">
        <w:rPr>
          <w:rFonts w:hint="cs"/>
          <w:rtl/>
        </w:rPr>
        <w:t xml:space="preserve"> لأنّه هو الذي ابتدأت خلقة وجهه على هذه الصورة التي احتذي عليها من بعده</w:t>
      </w:r>
      <w:r w:rsidR="00DB731D" w:rsidRPr="00A52585">
        <w:rPr>
          <w:rFonts w:hint="cs"/>
          <w:rtl/>
        </w:rPr>
        <w:t>،</w:t>
      </w:r>
      <w:r w:rsidR="00777DCB" w:rsidRPr="00A52585">
        <w:rPr>
          <w:rFonts w:hint="cs"/>
          <w:rtl/>
        </w:rPr>
        <w:t xml:space="preserve"> وكأنه نبه على أنك سببت آدم وأنت من أولاده وذلك مبالغة في زجره</w:t>
      </w:r>
      <w:r w:rsidR="00DB731D" w:rsidRPr="00A52585">
        <w:rPr>
          <w:rFonts w:hint="cs"/>
          <w:rtl/>
        </w:rPr>
        <w:t>،</w:t>
      </w:r>
      <w:r w:rsidR="00777DCB" w:rsidRPr="00A52585">
        <w:rPr>
          <w:rFonts w:hint="cs"/>
          <w:rtl/>
        </w:rPr>
        <w:t xml:space="preserve"> فعلى هذا تكون الهاء كناية عن المضروب</w:t>
      </w:r>
      <w:r w:rsidR="00DB731D" w:rsidRPr="00A52585">
        <w:rPr>
          <w:rFonts w:hint="cs"/>
          <w:rtl/>
        </w:rPr>
        <w:t>،</w:t>
      </w:r>
      <w:r w:rsidR="00777DCB" w:rsidRPr="00A52585">
        <w:rPr>
          <w:rFonts w:hint="cs"/>
          <w:rtl/>
        </w:rPr>
        <w:t xml:space="preserve"> ومن الخطأ الفاحش أن ترجع إلى الله عز وجل بقوله</w:t>
      </w:r>
      <w:r w:rsidRPr="00A52585">
        <w:rPr>
          <w:rFonts w:hint="cs"/>
          <w:rtl/>
        </w:rPr>
        <w:t>:</w:t>
      </w:r>
      <w:r w:rsidR="00777DCB" w:rsidRPr="00A52585">
        <w:rPr>
          <w:rFonts w:hint="cs"/>
          <w:rtl/>
        </w:rPr>
        <w:t xml:space="preserve"> ووجه من أشبه وجهك فإنه إذا نسب إليه شبه سبحانه وتعالى كان تشبيها صريحا</w:t>
      </w:r>
      <w:r w:rsidR="00DB731D" w:rsidRPr="00A52585">
        <w:rPr>
          <w:rFonts w:hint="cs"/>
          <w:rtl/>
        </w:rPr>
        <w:t>،</w:t>
      </w:r>
      <w:r w:rsidR="00777DCB" w:rsidRPr="00A52585">
        <w:rPr>
          <w:rFonts w:hint="cs"/>
          <w:rtl/>
        </w:rPr>
        <w:t xml:space="preserve"> وفي صحيح مسلم </w:t>
      </w:r>
      <w:r w:rsidRPr="00A52585">
        <w:rPr>
          <w:rFonts w:hint="cs"/>
          <w:rtl/>
        </w:rPr>
        <w:t>(</w:t>
      </w:r>
      <w:r w:rsidR="00777DCB" w:rsidRPr="00A52585">
        <w:rPr>
          <w:rFonts w:hint="cs"/>
          <w:rtl/>
        </w:rPr>
        <w:t>4 / 2017</w:t>
      </w:r>
      <w:r w:rsidRPr="00A52585">
        <w:rPr>
          <w:rFonts w:hint="cs"/>
          <w:rtl/>
        </w:rPr>
        <w:t>)</w:t>
      </w:r>
      <w:r w:rsidR="00777DCB" w:rsidRPr="00A52585">
        <w:rPr>
          <w:rFonts w:hint="cs"/>
          <w:rtl/>
        </w:rPr>
        <w:t xml:space="preserve"> من حديث أبي هريرة - رضي الله عنه - عن النبي - صلى الله عليه وسلم - أنه قال</w:t>
      </w:r>
      <w:r w:rsidRPr="00A52585">
        <w:rPr>
          <w:rFonts w:hint="cs"/>
          <w:rtl/>
        </w:rPr>
        <w:t>:</w:t>
      </w:r>
      <w:r w:rsidR="00777DCB" w:rsidRPr="00A52585">
        <w:rPr>
          <w:rFonts w:hint="cs"/>
          <w:rtl/>
        </w:rPr>
        <w:t xml:space="preserve"> " إذا قاتل أحدكم فليتق الوجه</w:t>
      </w:r>
      <w:r w:rsidR="00DB731D" w:rsidRPr="00A52585">
        <w:rPr>
          <w:rFonts w:hint="cs"/>
          <w:rtl/>
        </w:rPr>
        <w:t>،</w:t>
      </w:r>
      <w:r w:rsidR="00777DCB" w:rsidRPr="00A52585">
        <w:rPr>
          <w:rFonts w:hint="cs"/>
          <w:rtl/>
        </w:rPr>
        <w:t xml:space="preserve"> فإن الله تعالى خلق آدم على صورته "</w:t>
      </w:r>
      <w:r w:rsidR="00DB731D" w:rsidRPr="00A52585">
        <w:rPr>
          <w:rFonts w:hint="cs"/>
          <w:rtl/>
        </w:rPr>
        <w:t>،</w:t>
      </w:r>
      <w:r w:rsidR="00777DCB" w:rsidRPr="00A52585">
        <w:rPr>
          <w:rFonts w:hint="cs"/>
          <w:rtl/>
        </w:rPr>
        <w:t xml:space="preserve"> القول الثاني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ما ذهب إليه المحدث المفيد شيخنا عبد الله بن الصديق في كتابه " فتح المعين " ص </w:t>
      </w:r>
      <w:r w:rsidRPr="00A52585">
        <w:rPr>
          <w:rFonts w:hint="cs"/>
          <w:sz w:val="24"/>
          <w:szCs w:val="24"/>
          <w:rtl/>
        </w:rPr>
        <w:t>(</w:t>
      </w:r>
      <w:r w:rsidR="00777DCB" w:rsidRPr="00A52585">
        <w:rPr>
          <w:rFonts w:hint="cs"/>
          <w:sz w:val="24"/>
          <w:szCs w:val="24"/>
          <w:rtl/>
        </w:rPr>
        <w:t>34 طبعة دار الامام النووي بتحقيقنا</w:t>
      </w:r>
      <w:r w:rsidRPr="00A52585">
        <w:rPr>
          <w:rFonts w:hint="cs"/>
          <w:sz w:val="24"/>
          <w:szCs w:val="24"/>
          <w:rtl/>
        </w:rPr>
        <w:t>)</w:t>
      </w:r>
      <w:r w:rsidR="00777DCB" w:rsidRPr="00A52585">
        <w:rPr>
          <w:rFonts w:hint="cs"/>
          <w:rtl/>
        </w:rPr>
        <w:t>]</w:t>
      </w:r>
      <w:r w:rsidRPr="00A52585">
        <w:rPr>
          <w:rFonts w:hint="cs"/>
          <w:rtl/>
        </w:rPr>
        <w:t>:</w:t>
      </w:r>
      <w:r w:rsidR="00777DCB" w:rsidRPr="00A52585">
        <w:rPr>
          <w:rFonts w:hint="cs"/>
          <w:rtl/>
        </w:rPr>
        <w:t xml:space="preserve"> " إن الهاء كناية عن إسميين ظاهرين</w:t>
      </w:r>
      <w:r w:rsidR="00DB731D" w:rsidRPr="00A52585">
        <w:rPr>
          <w:rFonts w:hint="cs"/>
          <w:rtl/>
        </w:rPr>
        <w:t>،</w:t>
      </w:r>
      <w:r w:rsidR="00777DCB" w:rsidRPr="00A52585">
        <w:rPr>
          <w:rFonts w:hint="cs"/>
          <w:rtl/>
        </w:rPr>
        <w:t xml:space="preserve"> فلا يصح أن يضاف إلى الله عز وجل لقيام الدليل على أنه ليس بذي صورة</w:t>
      </w:r>
      <w:r w:rsidR="00DB731D" w:rsidRPr="00A52585">
        <w:rPr>
          <w:rFonts w:hint="cs"/>
          <w:rtl/>
        </w:rPr>
        <w:t>،</w:t>
      </w:r>
      <w:r w:rsidR="00777DCB" w:rsidRPr="00A52585">
        <w:rPr>
          <w:rFonts w:hint="cs"/>
          <w:rtl/>
        </w:rPr>
        <w:t xml:space="preserve"> فعادت إلى آدم</w:t>
      </w:r>
      <w:r w:rsidR="00DB731D" w:rsidRPr="00A52585">
        <w:rPr>
          <w:rFonts w:hint="cs"/>
          <w:rtl/>
        </w:rPr>
        <w:t>،</w:t>
      </w:r>
      <w:r w:rsidR="00777DCB" w:rsidRPr="00A52585">
        <w:rPr>
          <w:rFonts w:hint="cs"/>
          <w:rtl/>
        </w:rPr>
        <w:t xml:space="preserve"> ومعنى الحديث</w:t>
      </w:r>
      <w:r w:rsidRPr="00A52585">
        <w:rPr>
          <w:rFonts w:hint="cs"/>
          <w:rtl/>
        </w:rPr>
        <w:t>:</w:t>
      </w:r>
      <w:r w:rsidR="00777DCB" w:rsidRPr="00A52585">
        <w:rPr>
          <w:rFonts w:hint="cs"/>
          <w:rtl/>
        </w:rPr>
        <w:t xml:space="preserve"> إن الله خلق آدم على صورته التي خلقه عليها تاما لم ينقله من نطفة إلى علقة كبنيه هذا مذهب أبي سليمان الخطابي</w:t>
      </w:r>
      <w:r w:rsidR="00DB731D" w:rsidRPr="00A52585">
        <w:rPr>
          <w:rFonts w:hint="cs"/>
          <w:rtl/>
        </w:rPr>
        <w:t>،</w:t>
      </w:r>
      <w:r w:rsidR="00777DCB" w:rsidRPr="00A52585">
        <w:rPr>
          <w:rFonts w:hint="cs"/>
          <w:rtl/>
        </w:rPr>
        <w:t xml:space="preserve"> وقد ذكره ثعلب في </w:t>
      </w:r>
      <w:proofErr w:type="spellStart"/>
      <w:r w:rsidR="00777DCB" w:rsidRPr="00A52585">
        <w:rPr>
          <w:rFonts w:hint="cs"/>
          <w:rtl/>
        </w:rPr>
        <w:t>أماليه</w:t>
      </w:r>
      <w:proofErr w:type="spellEnd"/>
      <w:r w:rsidR="00DB731D" w:rsidRPr="00A52585">
        <w:rPr>
          <w:rFonts w:hint="cs"/>
          <w:rtl/>
        </w:rPr>
        <w:t>،</w:t>
      </w:r>
      <w:r w:rsidR="00777DCB" w:rsidRPr="00A52585">
        <w:rPr>
          <w:rFonts w:hint="cs"/>
          <w:rtl/>
        </w:rPr>
        <w:t xml:space="preserve"> القول الثالث</w:t>
      </w:r>
      <w:r w:rsidRPr="00A52585">
        <w:rPr>
          <w:rFonts w:hint="cs"/>
          <w:rtl/>
        </w:rPr>
        <w:t>:</w:t>
      </w:r>
      <w:r w:rsidR="00777DCB" w:rsidRPr="00A52585">
        <w:rPr>
          <w:rFonts w:hint="cs"/>
          <w:rtl/>
        </w:rPr>
        <w:t xml:space="preserve"> " إنها تعود إلى الله تعالى " وفي معنى ذلك قولان</w:t>
      </w:r>
      <w:r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أن تكون صورة ملك</w:t>
      </w:r>
      <w:r w:rsidR="00DB731D" w:rsidRPr="00A52585">
        <w:rPr>
          <w:rFonts w:hint="cs"/>
          <w:rtl/>
        </w:rPr>
        <w:t>،</w:t>
      </w:r>
      <w:r w:rsidR="00777DCB" w:rsidRPr="00A52585">
        <w:rPr>
          <w:rFonts w:hint="cs"/>
          <w:rtl/>
        </w:rPr>
        <w:t xml:space="preserve"> </w:t>
      </w:r>
      <w:proofErr w:type="spellStart"/>
      <w:r w:rsidR="00777DCB" w:rsidRPr="00A52585">
        <w:rPr>
          <w:rFonts w:hint="cs"/>
          <w:rtl/>
        </w:rPr>
        <w:t>لانها</w:t>
      </w:r>
      <w:proofErr w:type="spellEnd"/>
      <w:r w:rsidR="00777DCB" w:rsidRPr="00A52585">
        <w:rPr>
          <w:rFonts w:hint="cs"/>
          <w:rtl/>
        </w:rPr>
        <w:t xml:space="preserve"> فعله</w:t>
      </w:r>
      <w:r w:rsidR="00DB731D" w:rsidRPr="00A52585">
        <w:rPr>
          <w:rFonts w:hint="cs"/>
          <w:rtl/>
        </w:rPr>
        <w:t>،</w:t>
      </w:r>
      <w:r w:rsidR="00777DCB" w:rsidRPr="00A52585">
        <w:rPr>
          <w:rFonts w:hint="cs"/>
          <w:rtl/>
        </w:rPr>
        <w:t xml:space="preserve"> فتكون إضافتها إليه من وجهين</w:t>
      </w:r>
      <w:r w:rsidRPr="00A52585">
        <w:rPr>
          <w:rFonts w:hint="cs"/>
          <w:rtl/>
        </w:rPr>
        <w:t>:</w:t>
      </w:r>
      <w:r w:rsidR="00777DCB" w:rsidRPr="00A52585">
        <w:rPr>
          <w:rFonts w:hint="cs"/>
          <w:rtl/>
        </w:rPr>
        <w:t xml:space="preserve"> الأول</w:t>
      </w:r>
      <w:r w:rsidRPr="00A52585">
        <w:rPr>
          <w:rFonts w:hint="cs"/>
          <w:rtl/>
        </w:rPr>
        <w:t>:</w:t>
      </w:r>
      <w:r w:rsidR="00777DCB" w:rsidRPr="00A52585">
        <w:rPr>
          <w:rFonts w:hint="cs"/>
          <w:rtl/>
        </w:rPr>
        <w:t xml:space="preserve"> التشريف </w:t>
      </w:r>
      <w:proofErr w:type="spellStart"/>
      <w:r w:rsidR="00777DCB" w:rsidRPr="00A52585">
        <w:rPr>
          <w:rFonts w:hint="cs"/>
          <w:rtl/>
        </w:rPr>
        <w:t>بالاضافة</w:t>
      </w:r>
      <w:proofErr w:type="spellEnd"/>
      <w:r w:rsidR="00777DCB" w:rsidRPr="00A52585">
        <w:rPr>
          <w:rFonts w:hint="cs"/>
          <w:rtl/>
        </w:rPr>
        <w:t xml:space="preserve"> كقوله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أن طهرا بيتي للطائفين</w:t>
      </w:r>
      <w:r w:rsidRPr="00A52585">
        <w:rPr>
          <w:rFonts w:hint="cs"/>
          <w:rtl/>
        </w:rPr>
        <w:t>)</w:t>
      </w:r>
      <w:r w:rsidR="00777DCB" w:rsidRPr="00A52585">
        <w:rPr>
          <w:rFonts w:hint="cs"/>
          <w:rtl/>
        </w:rPr>
        <w:t xml:space="preserve"> الحج</w:t>
      </w:r>
      <w:r w:rsidRPr="00A52585">
        <w:rPr>
          <w:rFonts w:hint="cs"/>
          <w:rtl/>
        </w:rPr>
        <w:t>:</w:t>
      </w:r>
      <w:r w:rsidR="00777DCB" w:rsidRPr="00A52585">
        <w:rPr>
          <w:rFonts w:hint="cs"/>
          <w:rtl/>
        </w:rPr>
        <w:t xml:space="preserve"> 26</w:t>
      </w:r>
      <w:r w:rsidR="00DB731D" w:rsidRPr="00A52585">
        <w:rPr>
          <w:rFonts w:hint="cs"/>
          <w:rtl/>
        </w:rPr>
        <w:t>،</w:t>
      </w:r>
      <w:r w:rsidR="00777DCB" w:rsidRPr="00A52585">
        <w:rPr>
          <w:rFonts w:hint="cs"/>
          <w:rtl/>
        </w:rPr>
        <w:t xml:space="preserve"> والثاني</w:t>
      </w:r>
      <w:r w:rsidRPr="00A52585">
        <w:rPr>
          <w:rFonts w:hint="cs"/>
          <w:rtl/>
        </w:rPr>
        <w:t>:</w:t>
      </w:r>
      <w:r w:rsidR="00777DCB" w:rsidRPr="00A52585">
        <w:rPr>
          <w:rFonts w:hint="cs"/>
          <w:rtl/>
        </w:rPr>
        <w:t xml:space="preserve"> لأنّه ابتدعها على غير مثال سابق</w:t>
      </w:r>
      <w:r w:rsidR="00DB731D" w:rsidRPr="00A52585">
        <w:rPr>
          <w:rFonts w:hint="cs"/>
          <w:rtl/>
        </w:rPr>
        <w:t>،</w:t>
      </w:r>
      <w:r w:rsidR="00777DCB" w:rsidRPr="00A52585">
        <w:rPr>
          <w:rFonts w:hint="cs"/>
          <w:rtl/>
        </w:rPr>
        <w:t xml:space="preserve"> وقد روي هذا الحديث من طريق ابن عمر عن النبي صلى الله عليه وسلم أنه قال</w:t>
      </w:r>
      <w:r w:rsidRPr="00A52585">
        <w:rPr>
          <w:rFonts w:hint="cs"/>
          <w:rtl/>
        </w:rPr>
        <w:t>:</w:t>
      </w:r>
      <w:r w:rsidR="00777DCB" w:rsidRPr="00A52585">
        <w:rPr>
          <w:rFonts w:hint="cs"/>
          <w:rtl/>
        </w:rPr>
        <w:t xml:space="preserve"> " لا تقبح الوجه فإن آدم خلق على صورة الرحمن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الطبراني في معجمه الكبير </w:t>
      </w:r>
      <w:r w:rsidRPr="00A52585">
        <w:rPr>
          <w:rFonts w:hint="cs"/>
          <w:sz w:val="24"/>
          <w:szCs w:val="24"/>
          <w:rtl/>
        </w:rPr>
        <w:t>(</w:t>
      </w:r>
      <w:r w:rsidR="00777DCB" w:rsidRPr="00A52585">
        <w:rPr>
          <w:rFonts w:hint="cs"/>
          <w:sz w:val="24"/>
          <w:szCs w:val="24"/>
          <w:rtl/>
        </w:rPr>
        <w:t>12 / 430 برقم 13580</w:t>
      </w:r>
      <w:r w:rsidRPr="00A52585">
        <w:rPr>
          <w:rFonts w:hint="cs"/>
          <w:sz w:val="24"/>
          <w:szCs w:val="24"/>
          <w:rtl/>
        </w:rPr>
        <w:t>)</w:t>
      </w:r>
      <w:r w:rsidR="00777DCB" w:rsidRPr="00A52585">
        <w:rPr>
          <w:rFonts w:hint="cs"/>
          <w:sz w:val="24"/>
          <w:szCs w:val="24"/>
          <w:rtl/>
        </w:rPr>
        <w:t xml:space="preserve"> وابن أبي عاصم في " سنته " ص </w:t>
      </w:r>
      <w:r w:rsidRPr="00A52585">
        <w:rPr>
          <w:rFonts w:hint="cs"/>
          <w:sz w:val="24"/>
          <w:szCs w:val="24"/>
          <w:rtl/>
        </w:rPr>
        <w:t>(</w:t>
      </w:r>
      <w:r w:rsidR="00777DCB" w:rsidRPr="00A52585">
        <w:rPr>
          <w:rFonts w:hint="cs"/>
          <w:sz w:val="24"/>
          <w:szCs w:val="24"/>
          <w:rtl/>
        </w:rPr>
        <w:t>229</w:t>
      </w:r>
      <w:r w:rsidRPr="00A52585">
        <w:rPr>
          <w:rFonts w:hint="cs"/>
          <w:sz w:val="24"/>
          <w:szCs w:val="24"/>
          <w:rtl/>
        </w:rPr>
        <w:t>)</w:t>
      </w:r>
      <w:r w:rsidR="00777DCB" w:rsidRPr="00A52585">
        <w:rPr>
          <w:rFonts w:hint="cs"/>
          <w:sz w:val="24"/>
          <w:szCs w:val="24"/>
          <w:rtl/>
        </w:rPr>
        <w:t xml:space="preserve"> وهو حديث ضعيف بل باطل بإثبات لفظة</w:t>
      </w:r>
      <w:r w:rsidRPr="00A52585">
        <w:rPr>
          <w:rFonts w:hint="cs"/>
          <w:sz w:val="24"/>
          <w:szCs w:val="24"/>
          <w:rtl/>
        </w:rPr>
        <w:t>:</w:t>
      </w:r>
      <w:r w:rsidR="00777DCB" w:rsidRPr="00A52585">
        <w:rPr>
          <w:rFonts w:hint="cs"/>
          <w:sz w:val="24"/>
          <w:szCs w:val="24"/>
          <w:rtl/>
        </w:rPr>
        <w:t xml:space="preserve"> " الرحمن </w:t>
      </w:r>
      <w:r w:rsidR="00777DCB" w:rsidRPr="00A52585">
        <w:rPr>
          <w:rFonts w:hint="cs"/>
          <w:sz w:val="24"/>
          <w:szCs w:val="24"/>
          <w:rtl/>
        </w:rPr>
        <w:lastRenderedPageBreak/>
        <w:t>" فيه</w:t>
      </w:r>
      <w:r w:rsidR="00DB731D" w:rsidRPr="00A52585">
        <w:rPr>
          <w:rFonts w:hint="cs"/>
          <w:sz w:val="24"/>
          <w:szCs w:val="24"/>
          <w:rtl/>
        </w:rPr>
        <w:t>،</w:t>
      </w:r>
      <w:r w:rsidR="00777DCB" w:rsidRPr="00A52585">
        <w:rPr>
          <w:rFonts w:hint="cs"/>
          <w:sz w:val="24"/>
          <w:szCs w:val="24"/>
          <w:rtl/>
        </w:rPr>
        <w:t xml:space="preserve"> وقد بين ذلك الحفاظ منهم الحافظ البيهقي في " الاسماء والصفات " ص </w:t>
      </w:r>
      <w:r w:rsidRPr="00A52585">
        <w:rPr>
          <w:rFonts w:hint="cs"/>
          <w:sz w:val="24"/>
          <w:szCs w:val="24"/>
          <w:rtl/>
        </w:rPr>
        <w:t>(</w:t>
      </w:r>
      <w:r w:rsidR="00777DCB" w:rsidRPr="00A52585">
        <w:rPr>
          <w:rFonts w:hint="cs"/>
          <w:sz w:val="24"/>
          <w:szCs w:val="24"/>
          <w:rtl/>
        </w:rPr>
        <w:t>291 بتحقيق الامام المحدث الكوثري رحمه الله تعالى</w:t>
      </w:r>
      <w:r w:rsidRPr="00A52585">
        <w:rPr>
          <w:rFonts w:hint="cs"/>
          <w:sz w:val="24"/>
          <w:szCs w:val="24"/>
          <w:rtl/>
        </w:rPr>
        <w:t>)</w:t>
      </w:r>
      <w:r w:rsidR="00777DCB" w:rsidRPr="00A52585">
        <w:rPr>
          <w:rFonts w:hint="cs"/>
          <w:sz w:val="24"/>
          <w:szCs w:val="24"/>
          <w:rtl/>
        </w:rPr>
        <w:t xml:space="preserve"> وقد بينت ذلك أيضا في تعليقي على كتاب شيخنا إمام العصر أبي الفضل الغماري " فتح المعين " ص </w:t>
      </w:r>
      <w:r w:rsidRPr="00A52585">
        <w:rPr>
          <w:rFonts w:hint="cs"/>
          <w:sz w:val="24"/>
          <w:szCs w:val="24"/>
          <w:rtl/>
        </w:rPr>
        <w:t>(</w:t>
      </w:r>
      <w:r w:rsidR="00777DCB" w:rsidRPr="00A52585">
        <w:rPr>
          <w:rFonts w:hint="cs"/>
          <w:sz w:val="24"/>
          <w:szCs w:val="24"/>
          <w:rtl/>
        </w:rPr>
        <w:t>35</w:t>
      </w:r>
      <w:r w:rsidRPr="00A52585">
        <w:rPr>
          <w:rFonts w:hint="cs"/>
          <w:sz w:val="24"/>
          <w:szCs w:val="24"/>
          <w:rtl/>
        </w:rPr>
        <w:t>)</w:t>
      </w:r>
      <w:r w:rsidR="00777DCB" w:rsidRPr="00A52585">
        <w:rPr>
          <w:rFonts w:hint="cs"/>
          <w:sz w:val="24"/>
          <w:szCs w:val="24"/>
          <w:rtl/>
        </w:rPr>
        <w:t xml:space="preserve"> فراجعه إن شئت</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فيه ثلاثة علل</w:t>
      </w:r>
      <w:r w:rsidRPr="00A52585">
        <w:rPr>
          <w:rFonts w:hint="cs"/>
          <w:rtl/>
        </w:rPr>
        <w:t>:</w:t>
      </w:r>
      <w:r w:rsidR="00777DCB" w:rsidRPr="00A52585">
        <w:rPr>
          <w:rFonts w:hint="cs"/>
          <w:rtl/>
        </w:rPr>
        <w:t xml:space="preserve"> أحدها</w:t>
      </w:r>
      <w:r w:rsidRPr="00A52585">
        <w:rPr>
          <w:rFonts w:hint="cs"/>
          <w:rtl/>
        </w:rPr>
        <w:t>:</w:t>
      </w:r>
      <w:r w:rsidR="00777DCB" w:rsidRPr="00A52585">
        <w:rPr>
          <w:rFonts w:hint="cs"/>
          <w:rtl/>
        </w:rPr>
        <w:t xml:space="preserve"> ان الثوري والاعمش اختلفا فيه فأرسله الثوري ورفعه الاعمش</w:t>
      </w:r>
      <w:r w:rsidR="00DB731D" w:rsidRPr="00A52585">
        <w:rPr>
          <w:rFonts w:hint="cs"/>
          <w:rtl/>
        </w:rPr>
        <w:t>،</w:t>
      </w:r>
      <w:r w:rsidR="00777DCB" w:rsidRPr="00A52585">
        <w:rPr>
          <w:rFonts w:hint="cs"/>
          <w:rtl/>
        </w:rPr>
        <w:t xml:space="preserve"> والثاني</w:t>
      </w:r>
      <w:r w:rsidRPr="00A52585">
        <w:rPr>
          <w:rFonts w:hint="cs"/>
          <w:rtl/>
        </w:rPr>
        <w:t>:</w:t>
      </w:r>
      <w:r w:rsidR="00777DCB" w:rsidRPr="00A52585">
        <w:rPr>
          <w:rFonts w:hint="cs"/>
          <w:rtl/>
        </w:rPr>
        <w:t xml:space="preserve"> أن الاعمش كان يدلس فلم يذكر أنه سمعه من حبيب بن أبي ثابت</w:t>
      </w:r>
      <w:r w:rsidR="00DB731D" w:rsidRPr="00A52585">
        <w:rPr>
          <w:rFonts w:hint="cs"/>
          <w:rtl/>
        </w:rPr>
        <w:t>،</w:t>
      </w:r>
      <w:r w:rsidR="00777DCB" w:rsidRPr="00A52585">
        <w:rPr>
          <w:rFonts w:hint="cs"/>
          <w:rtl/>
        </w:rPr>
        <w:t xml:space="preserve"> والثالثة</w:t>
      </w:r>
      <w:r w:rsidRPr="00A52585">
        <w:rPr>
          <w:rFonts w:hint="cs"/>
          <w:rtl/>
        </w:rPr>
        <w:t>:</w:t>
      </w:r>
      <w:r w:rsidR="00777DCB" w:rsidRPr="00A52585">
        <w:rPr>
          <w:rFonts w:hint="cs"/>
          <w:rtl/>
        </w:rPr>
        <w:t xml:space="preserve"> أن حبيبا كان يدلس فلم يعلم أنه سمعه من عطاء</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وهذه أدلة توجب وهنا في الحديث ثم هو محمول على إضافة الصورة إليه ملكا</w:t>
      </w:r>
      <w:r w:rsidR="00DB731D" w:rsidRPr="00A52585">
        <w:rPr>
          <w:rFonts w:hint="cs"/>
          <w:rtl/>
        </w:rPr>
        <w:t>،</w:t>
      </w:r>
      <w:r w:rsidR="00777DCB" w:rsidRPr="00A52585">
        <w:rPr>
          <w:rFonts w:hint="cs"/>
          <w:rtl/>
        </w:rPr>
        <w:t xml:space="preserve"> والقول الثاني</w:t>
      </w:r>
      <w:r w:rsidRPr="00A52585">
        <w:rPr>
          <w:rFonts w:hint="cs"/>
          <w:rtl/>
        </w:rPr>
        <w:t>:</w:t>
      </w:r>
      <w:r w:rsidR="00777DCB" w:rsidRPr="00A52585">
        <w:rPr>
          <w:rFonts w:hint="cs"/>
          <w:rtl/>
        </w:rPr>
        <w:t xml:space="preserve"> أن تكون صورة بمعنى الصفة</w:t>
      </w:r>
      <w:r w:rsidR="00DB731D" w:rsidRPr="00A52585">
        <w:rPr>
          <w:rFonts w:hint="cs"/>
          <w:rtl/>
        </w:rPr>
        <w:t>،</w:t>
      </w:r>
      <w:r w:rsidR="00777DCB" w:rsidRPr="00A52585">
        <w:rPr>
          <w:rFonts w:hint="cs"/>
          <w:rtl/>
        </w:rPr>
        <w:t xml:space="preserve"> تقول</w:t>
      </w:r>
      <w:r w:rsidRPr="00A52585">
        <w:rPr>
          <w:rFonts w:hint="cs"/>
          <w:rtl/>
        </w:rPr>
        <w:t>:</w:t>
      </w:r>
      <w:r w:rsidR="00777DCB" w:rsidRPr="00A52585">
        <w:rPr>
          <w:rFonts w:hint="cs"/>
          <w:rtl/>
        </w:rPr>
        <w:t xml:space="preserve"> هذا صورة هذا الامر</w:t>
      </w:r>
      <w:r w:rsidRPr="00A52585">
        <w:rPr>
          <w:rFonts w:hint="cs"/>
          <w:rtl/>
        </w:rPr>
        <w:t>:</w:t>
      </w:r>
      <w:r w:rsidR="00777DCB" w:rsidRPr="00A52585">
        <w:rPr>
          <w:rFonts w:hint="cs"/>
          <w:rtl/>
        </w:rPr>
        <w:t xml:space="preserve"> أي صفته</w:t>
      </w:r>
      <w:r w:rsidR="00DB731D" w:rsidRPr="00A52585">
        <w:rPr>
          <w:rFonts w:hint="cs"/>
          <w:rtl/>
        </w:rPr>
        <w:t>،</w:t>
      </w:r>
      <w:r w:rsidR="00777DCB" w:rsidRPr="00A52585">
        <w:rPr>
          <w:rFonts w:hint="cs"/>
          <w:rtl/>
        </w:rPr>
        <w:t xml:space="preserve"> ويكون المعنى خلق آدم على صفته من الحياة والعلم والقدرة والسمع والبصر والارادة والكلام فميزه بذلك على جميع الحيوانات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كون في ذلك رد وإبطال لنظرية دارون الفاسدة التي يقول فيها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الانسان أصله قرد " فأفاد الحديث أن آدم عليه السلام خلق من أول مرة إنسانا لا أصل له غير ذلك</w:t>
      </w:r>
      <w:r w:rsidR="00DB731D" w:rsidRPr="00A52585">
        <w:rPr>
          <w:rFonts w:hint="cs"/>
          <w:sz w:val="24"/>
          <w:szCs w:val="24"/>
          <w:rtl/>
        </w:rPr>
        <w:t>،</w:t>
      </w:r>
      <w:r w:rsidR="00777DCB" w:rsidRPr="00A52585">
        <w:rPr>
          <w:rFonts w:hint="cs"/>
          <w:sz w:val="24"/>
          <w:szCs w:val="24"/>
          <w:rtl/>
        </w:rPr>
        <w:t xml:space="preserve"> وهذه معجزة عظيمة تؤخذ من الحديث</w:t>
      </w:r>
      <w:r w:rsidR="00DB731D" w:rsidRPr="00A52585">
        <w:rPr>
          <w:rFonts w:hint="cs"/>
          <w:sz w:val="24"/>
          <w:szCs w:val="24"/>
          <w:rtl/>
        </w:rPr>
        <w:t>،</w:t>
      </w:r>
      <w:r w:rsidR="00777DCB" w:rsidRPr="00A52585">
        <w:rPr>
          <w:rFonts w:hint="cs"/>
          <w:sz w:val="24"/>
          <w:szCs w:val="24"/>
          <w:rtl/>
        </w:rPr>
        <w:t xml:space="preserve"> أفاده شيخنا أبو الفضل الغماري في " فتح المعين " ص </w:t>
      </w:r>
      <w:r w:rsidRPr="00A52585">
        <w:rPr>
          <w:rFonts w:hint="cs"/>
          <w:sz w:val="24"/>
          <w:szCs w:val="24"/>
          <w:rtl/>
        </w:rPr>
        <w:t>(</w:t>
      </w:r>
      <w:r w:rsidR="00777DCB" w:rsidRPr="00A52585">
        <w:rPr>
          <w:rFonts w:hint="cs"/>
          <w:sz w:val="24"/>
          <w:szCs w:val="24"/>
          <w:rtl/>
        </w:rPr>
        <w:t>36</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ثم ميزه على الملائكة بصفة التعالي حين </w:t>
      </w:r>
      <w:proofErr w:type="spellStart"/>
      <w:r w:rsidR="00777DCB" w:rsidRPr="00A52585">
        <w:rPr>
          <w:rFonts w:hint="cs"/>
          <w:rtl/>
        </w:rPr>
        <w:t>أسجدهم</w:t>
      </w:r>
      <w:proofErr w:type="spellEnd"/>
      <w:r w:rsidR="00777DCB" w:rsidRPr="00A52585">
        <w:rPr>
          <w:rFonts w:hint="cs"/>
          <w:rtl/>
        </w:rPr>
        <w:t xml:space="preserve"> له</w:t>
      </w:r>
      <w:r w:rsidR="00DB731D" w:rsidRPr="00A52585">
        <w:rPr>
          <w:rFonts w:hint="cs"/>
          <w:rtl/>
        </w:rPr>
        <w:t>،</w:t>
      </w:r>
      <w:r w:rsidRPr="00A52585">
        <w:rPr>
          <w:rFonts w:hint="cs"/>
          <w:rtl/>
        </w:rPr>
        <w:t xml:space="preserve"> </w:t>
      </w:r>
      <w:r w:rsidR="00777DCB" w:rsidRPr="00A52585">
        <w:rPr>
          <w:rFonts w:hint="cs"/>
          <w:rtl/>
        </w:rPr>
        <w:t>وقال ابن عقيل</w:t>
      </w:r>
      <w:r w:rsidRPr="00A52585">
        <w:rPr>
          <w:rFonts w:hint="cs"/>
          <w:rtl/>
        </w:rPr>
        <w:t>:</w:t>
      </w:r>
      <w:r w:rsidR="00777DCB" w:rsidRPr="00A52585">
        <w:rPr>
          <w:rFonts w:hint="cs"/>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w:t>
      </w:r>
      <w:r w:rsidR="00897A24" w:rsidRPr="00A52585">
        <w:rPr>
          <w:rFonts w:hint="cs"/>
          <w:rtl/>
        </w:rPr>
        <w:t>.</w:t>
      </w:r>
      <w:r w:rsidR="00777DCB" w:rsidRPr="00A52585">
        <w:rPr>
          <w:rFonts w:hint="cs"/>
          <w:rtl/>
        </w:rPr>
        <w:t xml:space="preserve"> وإن الصورة ها هنا معنوية لا صورة </w:t>
      </w:r>
      <w:proofErr w:type="spellStart"/>
      <w:r w:rsidR="00777DCB" w:rsidRPr="00A52585">
        <w:rPr>
          <w:rFonts w:hint="cs"/>
          <w:rtl/>
        </w:rPr>
        <w:t>تخاطيط</w:t>
      </w:r>
      <w:proofErr w:type="spellEnd"/>
      <w:r w:rsidR="00DB731D" w:rsidRPr="00A52585">
        <w:rPr>
          <w:rFonts w:hint="cs"/>
          <w:rtl/>
        </w:rPr>
        <w:t>،</w:t>
      </w:r>
      <w:r w:rsidR="00777DCB" w:rsidRPr="00A52585">
        <w:rPr>
          <w:rFonts w:hint="cs"/>
          <w:rtl/>
        </w:rPr>
        <w:t xml:space="preserve"> وقد ذهب أبو محمد بن قتيبة في هذا الحديث إلى مذهب قبيح فقال</w:t>
      </w:r>
      <w:r w:rsidRPr="00A52585">
        <w:rPr>
          <w:rFonts w:hint="cs"/>
          <w:rtl/>
        </w:rPr>
        <w:t>:</w:t>
      </w:r>
      <w:r w:rsidR="00777DCB" w:rsidRPr="00A52585">
        <w:rPr>
          <w:rFonts w:hint="cs"/>
          <w:rtl/>
        </w:rPr>
        <w:t xml:space="preserve"> لله صورة لا كالصور فخلق آدم </w:t>
      </w:r>
      <w:proofErr w:type="gramStart"/>
      <w:r w:rsidR="00777DCB" w:rsidRPr="00A52585">
        <w:rPr>
          <w:rFonts w:hint="cs"/>
          <w:rtl/>
        </w:rPr>
        <w:t>عليها</w:t>
      </w:r>
      <w:r w:rsidR="00897A24" w:rsidRPr="00A52585">
        <w:rPr>
          <w:rFonts w:hint="cs"/>
          <w:rtl/>
        </w:rPr>
        <w:t>..</w:t>
      </w:r>
      <w:r w:rsidR="00F95886" w:rsidRPr="00A52585">
        <w:rPr>
          <w:rFonts w:hint="cs"/>
          <w:rtl/>
        </w:rPr>
        <w:t>؟</w:t>
      </w:r>
      <w:proofErr w:type="gramEnd"/>
      <w:r w:rsidR="00F95886" w:rsidRPr="00A52585">
        <w:rPr>
          <w:rFonts w:hint="cs"/>
          <w:rtl/>
        </w:rPr>
        <w:t>؟</w:t>
      </w:r>
      <w:r w:rsidR="00777DCB" w:rsidRPr="00A52585">
        <w:rPr>
          <w:rFonts w:hint="cs"/>
          <w:rtl/>
        </w:rPr>
        <w:t xml:space="preserve"> وهذا تخليط وتهافت لان معنى كلامه</w:t>
      </w:r>
      <w:r w:rsidRPr="00A52585">
        <w:rPr>
          <w:rFonts w:hint="cs"/>
          <w:rtl/>
        </w:rPr>
        <w:t>:</w:t>
      </w:r>
      <w:r w:rsidR="00777DCB" w:rsidRPr="00A52585">
        <w:rPr>
          <w:rFonts w:hint="cs"/>
          <w:rtl/>
        </w:rPr>
        <w:t xml:space="preserve"> إن صورة آدم كصورة الحق</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 يطلق على الحق تسمية الصورة لا كالصور كما أطلقنا اسم ذاته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تخليط</w:t>
      </w:r>
      <w:r w:rsidR="00DB731D" w:rsidRPr="00A52585">
        <w:rPr>
          <w:rFonts w:hint="cs"/>
          <w:rtl/>
        </w:rPr>
        <w:t>،</w:t>
      </w:r>
      <w:r w:rsidR="00777DCB" w:rsidRPr="00A52585">
        <w:rPr>
          <w:rFonts w:hint="cs"/>
          <w:rtl/>
        </w:rPr>
        <w:t xml:space="preserve"> لان الذات بمعنى الشيء</w:t>
      </w:r>
      <w:r w:rsidR="00DB731D" w:rsidRPr="00A52585">
        <w:rPr>
          <w:rFonts w:hint="cs"/>
          <w:rtl/>
        </w:rPr>
        <w:t>،</w:t>
      </w:r>
      <w:r w:rsidR="00777DCB" w:rsidRPr="00A52585">
        <w:rPr>
          <w:rFonts w:hint="cs"/>
          <w:rtl/>
        </w:rPr>
        <w:t xml:space="preserve"> وأما الصورة فهي هيئة </w:t>
      </w:r>
      <w:proofErr w:type="spellStart"/>
      <w:r w:rsidR="00777DCB" w:rsidRPr="00A52585">
        <w:rPr>
          <w:rFonts w:hint="cs"/>
          <w:rtl/>
        </w:rPr>
        <w:t>وتخاطيط</w:t>
      </w:r>
      <w:proofErr w:type="spellEnd"/>
      <w:r w:rsidR="00777DCB" w:rsidRPr="00A52585">
        <w:rPr>
          <w:rFonts w:hint="cs"/>
          <w:rtl/>
        </w:rPr>
        <w:t xml:space="preserve"> وتأليف</w:t>
      </w:r>
      <w:r w:rsidR="00DB731D" w:rsidRPr="00A52585">
        <w:rPr>
          <w:rFonts w:hint="cs"/>
          <w:rtl/>
        </w:rPr>
        <w:t>،</w:t>
      </w:r>
      <w:r w:rsidR="00777DCB" w:rsidRPr="00A52585">
        <w:rPr>
          <w:rFonts w:hint="cs"/>
          <w:rtl/>
        </w:rPr>
        <w:t xml:space="preserve"> وتفتقر إلى مصور ومؤلف وقول القائل لا كالصور</w:t>
      </w:r>
      <w:r w:rsidR="00DB731D" w:rsidRPr="00A52585">
        <w:rPr>
          <w:rFonts w:hint="cs"/>
          <w:rtl/>
        </w:rPr>
        <w:t>،</w:t>
      </w:r>
      <w:r w:rsidR="00777DCB" w:rsidRPr="00A52585">
        <w:rPr>
          <w:rFonts w:hint="cs"/>
          <w:rtl/>
        </w:rPr>
        <w:t xml:space="preserve"> نقض لما قاله</w:t>
      </w:r>
      <w:r w:rsidR="00DB731D" w:rsidRPr="00A52585">
        <w:rPr>
          <w:rFonts w:hint="cs"/>
          <w:rtl/>
        </w:rPr>
        <w:t>،</w:t>
      </w:r>
      <w:r w:rsidR="00777DCB" w:rsidRPr="00A52585">
        <w:rPr>
          <w:rFonts w:hint="cs"/>
          <w:rtl/>
        </w:rPr>
        <w:t xml:space="preserve"> وصار بمثابة من يقول</w:t>
      </w:r>
      <w:r w:rsidRPr="00A52585">
        <w:rPr>
          <w:rFonts w:hint="cs"/>
          <w:rtl/>
        </w:rPr>
        <w:t>:</w:t>
      </w:r>
      <w:r w:rsidR="00777DCB" w:rsidRPr="00A52585">
        <w:rPr>
          <w:rFonts w:hint="cs"/>
          <w:rtl/>
        </w:rPr>
        <w:t xml:space="preserve"> جسم لا كالأجسام</w:t>
      </w:r>
      <w:r w:rsidR="00DB731D" w:rsidRPr="00A52585">
        <w:rPr>
          <w:rFonts w:hint="cs"/>
          <w:rtl/>
        </w:rPr>
        <w:t>،</w:t>
      </w:r>
      <w:r w:rsidR="00777DCB" w:rsidRPr="00A52585">
        <w:rPr>
          <w:rFonts w:hint="cs"/>
          <w:rtl/>
        </w:rPr>
        <w:t xml:space="preserve"> فإن الجسم ما كان مؤلفا</w:t>
      </w:r>
      <w:r w:rsidR="00DB731D" w:rsidRPr="00A52585">
        <w:rPr>
          <w:rFonts w:hint="cs"/>
          <w:rtl/>
        </w:rPr>
        <w:t>،</w:t>
      </w:r>
      <w:r w:rsidR="00777DCB" w:rsidRPr="00A52585">
        <w:rPr>
          <w:rFonts w:hint="cs"/>
          <w:rtl/>
        </w:rPr>
        <w:t xml:space="preserve"> فإذا قال</w:t>
      </w:r>
      <w:r w:rsidRPr="00A52585">
        <w:rPr>
          <w:rFonts w:hint="cs"/>
          <w:rtl/>
        </w:rPr>
        <w:t>:</w:t>
      </w:r>
      <w:r w:rsidR="00777DCB" w:rsidRPr="00A52585">
        <w:rPr>
          <w:rFonts w:hint="cs"/>
          <w:rtl/>
        </w:rPr>
        <w:t xml:space="preserve"> لا كالأجسام نقض ما قال</w:t>
      </w:r>
      <w:r w:rsidR="00DB731D" w:rsidRPr="00A52585">
        <w:rPr>
          <w:rFonts w:hint="cs"/>
          <w:rtl/>
        </w:rPr>
        <w:t>،</w:t>
      </w:r>
      <w:r w:rsidR="00777DCB" w:rsidRPr="00A52585">
        <w:rPr>
          <w:rFonts w:hint="cs"/>
          <w:rtl/>
        </w:rPr>
        <w:t xml:space="preserve"> </w:t>
      </w:r>
    </w:p>
    <w:p w14:paraId="1A77C006" w14:textId="7F96E964" w:rsidR="00777DCB" w:rsidRPr="00A52585" w:rsidRDefault="0002035C" w:rsidP="0002035C">
      <w:pPr>
        <w:rPr>
          <w:b/>
          <w:rtl/>
        </w:rPr>
      </w:pPr>
      <w:r w:rsidRPr="00A52585">
        <w:rPr>
          <w:rFonts w:hint="cs"/>
          <w:bCs/>
          <w:u w:val="single"/>
          <w:rtl/>
        </w:rPr>
        <w:t>[</w:t>
      </w:r>
      <w:r w:rsidR="00777DCB" w:rsidRPr="00A52585">
        <w:rPr>
          <w:rFonts w:hint="cs"/>
          <w:bCs/>
          <w:u w:val="single"/>
          <w:rtl/>
        </w:rPr>
        <w:t>2</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w:t>
      </w:r>
      <w:r w:rsidRPr="00A52585">
        <w:rPr>
          <w:rFonts w:hint="cs"/>
          <w:bCs/>
          <w:rtl/>
        </w:rPr>
        <w:t>]:</w:t>
      </w:r>
      <w:r w:rsidR="00777DCB" w:rsidRPr="00A52585">
        <w:rPr>
          <w:rFonts w:hint="cs"/>
          <w:rtl/>
        </w:rPr>
        <w:t xml:space="preserve"> روى عبد الرحمن بن عائش - رضي الله عنه - عن النبي - صلى الله عليه وسلم - أنه قال</w:t>
      </w:r>
      <w:r w:rsidRPr="00A52585">
        <w:rPr>
          <w:rFonts w:hint="cs"/>
          <w:rtl/>
        </w:rPr>
        <w:t>:</w:t>
      </w:r>
      <w:r w:rsidR="00777DCB" w:rsidRPr="00A52585">
        <w:rPr>
          <w:rFonts w:hint="cs"/>
          <w:rtl/>
        </w:rPr>
        <w:t xml:space="preserve"> " رأيت ربي في أحسن صورة</w:t>
      </w:r>
      <w:r w:rsidR="00DB731D" w:rsidRPr="00A52585">
        <w:rPr>
          <w:rFonts w:hint="cs"/>
          <w:rtl/>
        </w:rPr>
        <w:t>،</w:t>
      </w:r>
      <w:r w:rsidR="00777DCB" w:rsidRPr="00A52585">
        <w:rPr>
          <w:rFonts w:hint="cs"/>
          <w:rtl/>
        </w:rPr>
        <w:t xml:space="preserve"> فقال لي</w:t>
      </w:r>
      <w:r w:rsidRPr="00A52585">
        <w:rPr>
          <w:rFonts w:hint="cs"/>
          <w:rtl/>
        </w:rPr>
        <w:t>:</w:t>
      </w:r>
      <w:r w:rsidR="00777DCB" w:rsidRPr="00A52585">
        <w:rPr>
          <w:rFonts w:hint="cs"/>
          <w:rtl/>
        </w:rPr>
        <w:t xml:space="preserve"> فيم يختصم الملا الاعلى يا محمد قلت</w:t>
      </w:r>
      <w:r w:rsidRPr="00A52585">
        <w:rPr>
          <w:rFonts w:hint="cs"/>
          <w:rtl/>
        </w:rPr>
        <w:t>:</w:t>
      </w:r>
      <w:r w:rsidR="00777DCB" w:rsidRPr="00A52585">
        <w:rPr>
          <w:rFonts w:hint="cs"/>
          <w:rtl/>
        </w:rPr>
        <w:t xml:space="preserve"> أنت أعلم يا رب</w:t>
      </w:r>
      <w:r w:rsidR="00DB731D" w:rsidRPr="00A52585">
        <w:rPr>
          <w:rFonts w:hint="cs"/>
          <w:rtl/>
        </w:rPr>
        <w:t>،</w:t>
      </w:r>
      <w:r w:rsidR="00777DCB" w:rsidRPr="00A52585">
        <w:rPr>
          <w:rFonts w:hint="cs"/>
          <w:rtl/>
        </w:rPr>
        <w:t xml:space="preserve"> فوضع كفه بين كتفي</w:t>
      </w:r>
      <w:r w:rsidR="00DB731D" w:rsidRPr="00A52585">
        <w:rPr>
          <w:rFonts w:hint="cs"/>
          <w:rtl/>
        </w:rPr>
        <w:t>،</w:t>
      </w:r>
      <w:r w:rsidR="00777DCB" w:rsidRPr="00A52585">
        <w:rPr>
          <w:rFonts w:hint="cs"/>
          <w:rtl/>
        </w:rPr>
        <w:t xml:space="preserve"> حتى وجدت بردها بين ثدي</w:t>
      </w:r>
      <w:r w:rsidR="00DB731D" w:rsidRPr="00A52585">
        <w:rPr>
          <w:rFonts w:hint="cs"/>
          <w:rtl/>
        </w:rPr>
        <w:t>،</w:t>
      </w:r>
      <w:r w:rsidR="00777DCB" w:rsidRPr="00A52585">
        <w:rPr>
          <w:rFonts w:hint="cs"/>
          <w:rtl/>
        </w:rPr>
        <w:t xml:space="preserve"> فعلمت ما في السموات والارض"</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قلت هذا حديث موضوع بلا شك ولا ريب ولي فيه رسالة سميتها</w:t>
      </w:r>
      <w:r w:rsidRPr="00A52585">
        <w:rPr>
          <w:rFonts w:hint="cs"/>
          <w:sz w:val="24"/>
          <w:szCs w:val="24"/>
          <w:rtl/>
        </w:rPr>
        <w:t>:</w:t>
      </w:r>
      <w:r w:rsidR="00777DCB" w:rsidRPr="00A52585">
        <w:rPr>
          <w:rFonts w:hint="cs"/>
          <w:sz w:val="24"/>
          <w:szCs w:val="24"/>
          <w:rtl/>
        </w:rPr>
        <w:t xml:space="preserve"> " عبارات الحفاظ المنثورة في بيان حديث رأيت ربي في أحسن صورة " والحديث رواه الترمذي في سننه </w:t>
      </w:r>
      <w:r w:rsidRPr="00A52585">
        <w:rPr>
          <w:rFonts w:hint="cs"/>
          <w:sz w:val="24"/>
          <w:szCs w:val="24"/>
          <w:rtl/>
        </w:rPr>
        <w:t>(</w:t>
      </w:r>
      <w:r w:rsidR="00777DCB" w:rsidRPr="00A52585">
        <w:rPr>
          <w:rFonts w:hint="cs"/>
          <w:sz w:val="24"/>
          <w:szCs w:val="24"/>
          <w:rtl/>
        </w:rPr>
        <w:t>5 / 369</w:t>
      </w:r>
      <w:r w:rsidRPr="00A52585">
        <w:rPr>
          <w:rFonts w:hint="cs"/>
          <w:sz w:val="24"/>
          <w:szCs w:val="24"/>
          <w:rtl/>
        </w:rPr>
        <w:t>)</w:t>
      </w:r>
      <w:r w:rsidR="00777DCB" w:rsidRPr="00A52585">
        <w:rPr>
          <w:rFonts w:hint="cs"/>
          <w:sz w:val="24"/>
          <w:szCs w:val="24"/>
          <w:rtl/>
        </w:rPr>
        <w:t xml:space="preserve"> وحسنه مرة وصححه أخرى</w:t>
      </w:r>
      <w:r w:rsidR="00DB731D" w:rsidRPr="00A52585">
        <w:rPr>
          <w:rFonts w:hint="cs"/>
          <w:sz w:val="24"/>
          <w:szCs w:val="24"/>
          <w:rtl/>
        </w:rPr>
        <w:t>،</w:t>
      </w:r>
      <w:r w:rsidR="00777DCB" w:rsidRPr="00A52585">
        <w:rPr>
          <w:rFonts w:hint="cs"/>
          <w:sz w:val="24"/>
          <w:szCs w:val="24"/>
          <w:rtl/>
        </w:rPr>
        <w:t xml:space="preserve"> والخطيب البغدادي في تاريخه </w:t>
      </w:r>
      <w:r w:rsidRPr="00A52585">
        <w:rPr>
          <w:rFonts w:hint="cs"/>
          <w:sz w:val="24"/>
          <w:szCs w:val="24"/>
          <w:rtl/>
        </w:rPr>
        <w:t>(</w:t>
      </w:r>
      <w:r w:rsidR="00777DCB" w:rsidRPr="00A52585">
        <w:rPr>
          <w:rFonts w:hint="cs"/>
          <w:sz w:val="24"/>
          <w:szCs w:val="24"/>
          <w:rtl/>
        </w:rPr>
        <w:t>8 / 152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الجوزي في الموضوعات </w:t>
      </w:r>
      <w:r w:rsidRPr="00A52585">
        <w:rPr>
          <w:rFonts w:hint="cs"/>
          <w:sz w:val="24"/>
          <w:szCs w:val="24"/>
          <w:rtl/>
        </w:rPr>
        <w:t>(</w:t>
      </w:r>
      <w:r w:rsidR="00777DCB" w:rsidRPr="00A52585">
        <w:rPr>
          <w:rFonts w:hint="cs"/>
          <w:sz w:val="24"/>
          <w:szCs w:val="24"/>
          <w:rtl/>
        </w:rPr>
        <w:t>1 / 125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والطبراني في الكبير </w:t>
      </w:r>
      <w:r w:rsidRPr="00A52585">
        <w:rPr>
          <w:rFonts w:hint="cs"/>
          <w:sz w:val="24"/>
          <w:szCs w:val="24"/>
          <w:rtl/>
        </w:rPr>
        <w:t>(</w:t>
      </w:r>
      <w:r w:rsidR="00777DCB" w:rsidRPr="00A52585">
        <w:rPr>
          <w:rFonts w:hint="cs"/>
          <w:sz w:val="24"/>
          <w:szCs w:val="24"/>
          <w:rtl/>
        </w:rPr>
        <w:t>1 / 317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وأورده السيوطي في كتابه " </w:t>
      </w:r>
      <w:proofErr w:type="spellStart"/>
      <w:r w:rsidR="00777DCB" w:rsidRPr="00A52585">
        <w:rPr>
          <w:rFonts w:hint="cs"/>
          <w:sz w:val="24"/>
          <w:szCs w:val="24"/>
          <w:rtl/>
        </w:rPr>
        <w:t>اللآلي</w:t>
      </w:r>
      <w:proofErr w:type="spellEnd"/>
      <w:r w:rsidR="00777DCB" w:rsidRPr="00A52585">
        <w:rPr>
          <w:rFonts w:hint="cs"/>
          <w:sz w:val="24"/>
          <w:szCs w:val="24"/>
          <w:rtl/>
        </w:rPr>
        <w:t xml:space="preserve"> المصنوعة في الاحاديث الموضوعة " </w:t>
      </w:r>
      <w:r w:rsidRPr="00A52585">
        <w:rPr>
          <w:rFonts w:hint="cs"/>
          <w:sz w:val="24"/>
          <w:szCs w:val="24"/>
          <w:rtl/>
        </w:rPr>
        <w:t>(</w:t>
      </w:r>
      <w:r w:rsidR="00777DCB" w:rsidRPr="00A52585">
        <w:rPr>
          <w:rFonts w:hint="cs"/>
          <w:sz w:val="24"/>
          <w:szCs w:val="24"/>
          <w:rtl/>
        </w:rPr>
        <w:t>1 / 31</w:t>
      </w:r>
      <w:r w:rsidRPr="00A52585">
        <w:rPr>
          <w:rFonts w:hint="cs"/>
          <w:sz w:val="24"/>
          <w:szCs w:val="24"/>
          <w:rtl/>
        </w:rPr>
        <w:t>)</w:t>
      </w:r>
      <w:r w:rsidR="00777DCB" w:rsidRPr="00A52585">
        <w:rPr>
          <w:rFonts w:hint="cs"/>
          <w:sz w:val="24"/>
          <w:szCs w:val="24"/>
          <w:rtl/>
        </w:rPr>
        <w:t xml:space="preserve"> وذكره الذهبي في " سير اعلام النبلاء " </w:t>
      </w:r>
      <w:r w:rsidRPr="00A52585">
        <w:rPr>
          <w:rFonts w:hint="cs"/>
          <w:sz w:val="24"/>
          <w:szCs w:val="24"/>
          <w:rtl/>
        </w:rPr>
        <w:t>(</w:t>
      </w:r>
      <w:r w:rsidR="00777DCB" w:rsidRPr="00A52585">
        <w:rPr>
          <w:rFonts w:hint="cs"/>
          <w:sz w:val="24"/>
          <w:szCs w:val="24"/>
          <w:rtl/>
        </w:rPr>
        <w:t>10 / 113 - 114</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وهو بتمامه في تأليف البيهقي</w:t>
      </w:r>
      <w:r w:rsidR="00DB731D" w:rsidRPr="00A52585">
        <w:rPr>
          <w:rFonts w:hint="cs"/>
          <w:sz w:val="24"/>
          <w:szCs w:val="24"/>
          <w:rtl/>
        </w:rPr>
        <w:t>،</w:t>
      </w:r>
      <w:r w:rsidR="00777DCB" w:rsidRPr="00A52585">
        <w:rPr>
          <w:rFonts w:hint="cs"/>
          <w:sz w:val="24"/>
          <w:szCs w:val="24"/>
          <w:rtl/>
        </w:rPr>
        <w:t xml:space="preserve"> وهو خبر منكر</w:t>
      </w:r>
      <w:r w:rsidR="00DB731D" w:rsidRPr="00A52585">
        <w:rPr>
          <w:rFonts w:hint="cs"/>
          <w:sz w:val="24"/>
          <w:szCs w:val="24"/>
          <w:rtl/>
        </w:rPr>
        <w:t>،</w:t>
      </w:r>
      <w:r w:rsidR="00777DCB" w:rsidRPr="00A52585">
        <w:rPr>
          <w:rFonts w:hint="cs"/>
          <w:sz w:val="24"/>
          <w:szCs w:val="24"/>
          <w:rtl/>
        </w:rPr>
        <w:t xml:space="preserve"> نسأل الله السلامة في الدين </w:t>
      </w:r>
      <w:r w:rsidR="00777DCB" w:rsidRPr="00A52585">
        <w:rPr>
          <w:rFonts w:hint="cs"/>
          <w:sz w:val="24"/>
          <w:szCs w:val="24"/>
          <w:rtl/>
        </w:rPr>
        <w:lastRenderedPageBreak/>
        <w:t>" اه‍</w:t>
      </w:r>
      <w:r w:rsidR="00DB731D" w:rsidRPr="00A52585">
        <w:rPr>
          <w:rFonts w:hint="cs"/>
          <w:sz w:val="24"/>
          <w:szCs w:val="24"/>
          <w:rtl/>
        </w:rPr>
        <w:t>،</w:t>
      </w:r>
      <w:r w:rsidR="00777DCB" w:rsidRPr="00A52585">
        <w:rPr>
          <w:rFonts w:hint="cs"/>
          <w:sz w:val="24"/>
          <w:szCs w:val="24"/>
          <w:rtl/>
        </w:rPr>
        <w:t xml:space="preserve"> ورواه البيهقي في " الاسماء والصفات " ص </w:t>
      </w:r>
      <w:r w:rsidRPr="00A52585">
        <w:rPr>
          <w:rFonts w:hint="cs"/>
          <w:sz w:val="24"/>
          <w:szCs w:val="24"/>
          <w:rtl/>
        </w:rPr>
        <w:t>(</w:t>
      </w:r>
      <w:r w:rsidR="00777DCB" w:rsidRPr="00A52585">
        <w:rPr>
          <w:rFonts w:hint="cs"/>
          <w:sz w:val="24"/>
          <w:szCs w:val="24"/>
          <w:rtl/>
        </w:rPr>
        <w:t>300 بتحقيق الامام الكوثري</w:t>
      </w:r>
      <w:r w:rsidRPr="00A52585">
        <w:rPr>
          <w:rFonts w:hint="cs"/>
          <w:sz w:val="24"/>
          <w:szCs w:val="24"/>
          <w:rtl/>
        </w:rPr>
        <w:t>)</w:t>
      </w:r>
      <w:r w:rsidR="00777DCB" w:rsidRPr="00A52585">
        <w:rPr>
          <w:rFonts w:hint="cs"/>
          <w:sz w:val="24"/>
          <w:szCs w:val="24"/>
          <w:rtl/>
        </w:rPr>
        <w:t xml:space="preserve"> وقال عقبه</w:t>
      </w:r>
      <w:r w:rsidRPr="00A52585">
        <w:rPr>
          <w:rFonts w:hint="cs"/>
          <w:sz w:val="24"/>
          <w:szCs w:val="24"/>
          <w:rtl/>
        </w:rPr>
        <w:t>:</w:t>
      </w:r>
      <w:r w:rsidR="00777DCB" w:rsidRPr="00A52585">
        <w:rPr>
          <w:rFonts w:hint="cs"/>
          <w:sz w:val="24"/>
          <w:szCs w:val="24"/>
          <w:rtl/>
        </w:rPr>
        <w:t xml:space="preserve"> " وقد روي من وجه آخر وكلها ضعيف " اه‍</w:t>
      </w:r>
      <w:r w:rsidR="00DB731D" w:rsidRPr="00A52585">
        <w:rPr>
          <w:rFonts w:hint="cs"/>
          <w:sz w:val="24"/>
          <w:szCs w:val="24"/>
          <w:rtl/>
        </w:rPr>
        <w:t>،</w:t>
      </w:r>
      <w:r w:rsidR="00777DCB" w:rsidRPr="00A52585">
        <w:rPr>
          <w:rFonts w:hint="cs"/>
          <w:sz w:val="24"/>
          <w:szCs w:val="24"/>
          <w:rtl/>
        </w:rPr>
        <w:t xml:space="preserve"> وقال عنه الحافظ ابن حجر في " النكت الظراف " </w:t>
      </w:r>
      <w:r w:rsidRPr="00A52585">
        <w:rPr>
          <w:rFonts w:hint="cs"/>
          <w:sz w:val="24"/>
          <w:szCs w:val="24"/>
          <w:rtl/>
        </w:rPr>
        <w:t>(</w:t>
      </w:r>
      <w:r w:rsidR="00777DCB" w:rsidRPr="00A52585">
        <w:rPr>
          <w:rFonts w:hint="cs"/>
          <w:sz w:val="24"/>
          <w:szCs w:val="24"/>
          <w:rtl/>
        </w:rPr>
        <w:t>4 / 382</w:t>
      </w:r>
      <w:r w:rsidRPr="00A52585">
        <w:rPr>
          <w:rFonts w:hint="cs"/>
          <w:sz w:val="24"/>
          <w:szCs w:val="24"/>
          <w:rtl/>
        </w:rPr>
        <w:t>)</w:t>
      </w:r>
      <w:r w:rsidR="00777DCB" w:rsidRPr="00A52585">
        <w:rPr>
          <w:rFonts w:hint="cs"/>
          <w:sz w:val="24"/>
          <w:szCs w:val="24"/>
          <w:rtl/>
        </w:rPr>
        <w:t xml:space="preserve"> المطبوع بهامش تحفة الاشراف</w:t>
      </w:r>
      <w:r w:rsidRPr="00A52585">
        <w:rPr>
          <w:rFonts w:hint="cs"/>
          <w:sz w:val="24"/>
          <w:szCs w:val="24"/>
          <w:rtl/>
        </w:rPr>
        <w:t>:</w:t>
      </w:r>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قال محمد بن نصر المروزي في كتاب</w:t>
      </w:r>
      <w:r w:rsidRPr="00A52585">
        <w:rPr>
          <w:rFonts w:hint="cs"/>
          <w:sz w:val="24"/>
          <w:szCs w:val="24"/>
          <w:rtl/>
        </w:rPr>
        <w:t>:</w:t>
      </w:r>
      <w:r w:rsidR="00777DCB" w:rsidRPr="00A52585">
        <w:rPr>
          <w:rFonts w:hint="cs"/>
          <w:sz w:val="24"/>
          <w:szCs w:val="24"/>
          <w:rtl/>
        </w:rPr>
        <w:t xml:space="preserve"> " تعظيم قدر الصلاة " هذا حديث اضطرب الرواة في إسناده وليس يثبت عند أهل المعرفة " اه‍</w:t>
      </w:r>
      <w:r w:rsidR="00DB731D" w:rsidRPr="00A52585">
        <w:rPr>
          <w:rFonts w:hint="cs"/>
          <w:sz w:val="24"/>
          <w:szCs w:val="24"/>
          <w:rtl/>
        </w:rPr>
        <w:t>،</w:t>
      </w:r>
      <w:r w:rsidR="00777DCB" w:rsidRPr="00A52585">
        <w:rPr>
          <w:rFonts w:hint="cs"/>
          <w:sz w:val="24"/>
          <w:szCs w:val="24"/>
          <w:rtl/>
        </w:rPr>
        <w:t xml:space="preserve"> وقال الامام أحمد عنه كما في تهذيب التهذيب </w:t>
      </w:r>
      <w:r w:rsidRPr="00A52585">
        <w:rPr>
          <w:rFonts w:hint="cs"/>
          <w:sz w:val="24"/>
          <w:szCs w:val="24"/>
          <w:rtl/>
        </w:rPr>
        <w:t>(</w:t>
      </w:r>
      <w:r w:rsidR="00777DCB" w:rsidRPr="00A52585">
        <w:rPr>
          <w:rFonts w:hint="cs"/>
          <w:sz w:val="24"/>
          <w:szCs w:val="24"/>
          <w:rtl/>
        </w:rPr>
        <w:t>6 / 185</w:t>
      </w:r>
      <w:r w:rsidRPr="00A52585">
        <w:rPr>
          <w:rFonts w:hint="cs"/>
          <w:sz w:val="24"/>
          <w:szCs w:val="24"/>
          <w:rtl/>
        </w:rPr>
        <w:t>):</w:t>
      </w:r>
      <w:r w:rsidR="00777DCB" w:rsidRPr="00A52585">
        <w:rPr>
          <w:rFonts w:hint="cs"/>
          <w:sz w:val="24"/>
          <w:szCs w:val="24"/>
          <w:rtl/>
        </w:rPr>
        <w:t xml:space="preserve"> " هذا ليس بشيء " اه‍</w:t>
      </w:r>
      <w:r w:rsidR="00DB731D" w:rsidRPr="00A52585">
        <w:rPr>
          <w:rFonts w:hint="cs"/>
          <w:sz w:val="24"/>
          <w:szCs w:val="24"/>
          <w:rtl/>
        </w:rPr>
        <w:t>،</w:t>
      </w:r>
      <w:r w:rsidR="00777DCB" w:rsidRPr="00A52585">
        <w:rPr>
          <w:rFonts w:hint="cs"/>
          <w:sz w:val="24"/>
          <w:szCs w:val="24"/>
          <w:rtl/>
        </w:rPr>
        <w:t xml:space="preserve"> وقال الدارقطني كما في " العلل المتناهية " </w:t>
      </w:r>
      <w:r w:rsidRPr="00A52585">
        <w:rPr>
          <w:rFonts w:hint="cs"/>
          <w:sz w:val="24"/>
          <w:szCs w:val="24"/>
          <w:rtl/>
        </w:rPr>
        <w:t>(</w:t>
      </w:r>
      <w:r w:rsidR="00777DCB" w:rsidRPr="00A52585">
        <w:rPr>
          <w:rFonts w:hint="cs"/>
          <w:sz w:val="24"/>
          <w:szCs w:val="24"/>
          <w:rtl/>
        </w:rPr>
        <w:t>1 / 34</w:t>
      </w:r>
      <w:r w:rsidRPr="00A52585">
        <w:rPr>
          <w:rFonts w:hint="cs"/>
          <w:sz w:val="24"/>
          <w:szCs w:val="24"/>
          <w:rtl/>
        </w:rPr>
        <w:t>)</w:t>
      </w:r>
      <w:r w:rsidR="00777DCB" w:rsidRPr="00A52585">
        <w:rPr>
          <w:rFonts w:hint="cs"/>
          <w:sz w:val="24"/>
          <w:szCs w:val="24"/>
          <w:rtl/>
        </w:rPr>
        <w:t xml:space="preserve"> لابن الجوزي</w:t>
      </w:r>
      <w:r w:rsidRPr="00A52585">
        <w:rPr>
          <w:rFonts w:hint="cs"/>
          <w:sz w:val="24"/>
          <w:szCs w:val="24"/>
          <w:rtl/>
        </w:rPr>
        <w:t>:</w:t>
      </w:r>
      <w:r w:rsidR="00777DCB" w:rsidRPr="00A52585">
        <w:rPr>
          <w:rFonts w:hint="cs"/>
          <w:sz w:val="24"/>
          <w:szCs w:val="24"/>
          <w:rtl/>
        </w:rPr>
        <w:t xml:space="preserve"> " كل أسانيده مضطربة ليس فيها صحيح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والحديث باطل أيضا من جهة متنه لوجوه عديدة ذكرتها في رسالتي المشار إليها وهي ملحقة بآخر هذا الكتاب إن شاء الله تعالى</w:t>
      </w:r>
      <w:r w:rsidRPr="00A52585">
        <w:rPr>
          <w:rFonts w:hint="cs"/>
          <w:sz w:val="24"/>
          <w:szCs w:val="24"/>
          <w:rtl/>
        </w:rPr>
        <w:t>]</w:t>
      </w:r>
      <w:r w:rsidR="00DB731D" w:rsidRPr="00A52585">
        <w:rPr>
          <w:rFonts w:hint="cs"/>
          <w:rtl/>
        </w:rPr>
        <w:t>،</w:t>
      </w:r>
      <w:r w:rsidR="00777DCB" w:rsidRPr="00A52585">
        <w:rPr>
          <w:rFonts w:hint="cs"/>
          <w:rtl/>
        </w:rPr>
        <w:t xml:space="preserve"> قال أحمد رضي الله عنه</w:t>
      </w:r>
      <w:r w:rsidRPr="00A52585">
        <w:rPr>
          <w:rFonts w:hint="cs"/>
          <w:rtl/>
        </w:rPr>
        <w:t>:</w:t>
      </w:r>
      <w:r w:rsidR="00777DCB" w:rsidRPr="00A52585">
        <w:rPr>
          <w:rFonts w:hint="cs"/>
          <w:rtl/>
        </w:rPr>
        <w:t xml:space="preserve"> أصل هذا الحديث وطرقه مضطربة يرويه معاذ عن رسول الله صلى الله عليه وسلم وكل أسانيده مضطربة ليس فيها صحيح</w:t>
      </w:r>
      <w:r w:rsidR="00DB731D" w:rsidRPr="00A52585">
        <w:rPr>
          <w:rFonts w:hint="cs"/>
          <w:rtl/>
        </w:rPr>
        <w:t>،</w:t>
      </w:r>
      <w:r w:rsidR="00777DCB" w:rsidRPr="00A52585">
        <w:rPr>
          <w:rFonts w:hint="cs"/>
          <w:rtl/>
        </w:rPr>
        <w:t xml:space="preserve"> ورواه قتادة عن أنس واختلف على قتادة فرواه يوسف بن عطية عن قتادة ووهم فيه</w:t>
      </w:r>
      <w:r w:rsidR="00DB731D" w:rsidRPr="00A52585">
        <w:rPr>
          <w:rFonts w:hint="cs"/>
          <w:rtl/>
        </w:rPr>
        <w:t>،</w:t>
      </w:r>
      <w:r w:rsidR="00777DCB" w:rsidRPr="00A52585">
        <w:rPr>
          <w:rFonts w:hint="cs"/>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رسول الله صلى الله عليه وسلم</w:t>
      </w:r>
      <w:r w:rsidR="00DB731D" w:rsidRPr="00A52585">
        <w:rPr>
          <w:rFonts w:hint="cs"/>
          <w:rtl/>
        </w:rPr>
        <w:t>،</w:t>
      </w:r>
      <w:r w:rsidR="00777DCB" w:rsidRPr="00A52585">
        <w:rPr>
          <w:rFonts w:hint="cs"/>
          <w:rtl/>
        </w:rPr>
        <w:t xml:space="preserve"> وإنما رواه عن مالك بن يخامر عن معاذ</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قد ذكرنا انه لا يصح</w:t>
      </w:r>
      <w:r w:rsidR="00DB731D" w:rsidRPr="00A52585">
        <w:rPr>
          <w:rFonts w:hint="cs"/>
          <w:rtl/>
        </w:rPr>
        <w:t>،</w:t>
      </w:r>
      <w:r w:rsidR="00777DCB" w:rsidRPr="00A52585">
        <w:rPr>
          <w:rFonts w:hint="cs"/>
          <w:rtl/>
        </w:rPr>
        <w:t xml:space="preserve"> وقال أبو بكر البيهقي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 الاسماء والصفات " ص </w:t>
      </w:r>
      <w:r w:rsidRPr="00A52585">
        <w:rPr>
          <w:rFonts w:hint="cs"/>
          <w:sz w:val="24"/>
          <w:szCs w:val="24"/>
          <w:rtl/>
        </w:rPr>
        <w:t>(</w:t>
      </w:r>
      <w:r w:rsidR="00777DCB" w:rsidRPr="00A52585">
        <w:rPr>
          <w:rFonts w:hint="cs"/>
          <w:sz w:val="24"/>
          <w:szCs w:val="24"/>
          <w:rtl/>
        </w:rPr>
        <w:t>300</w:t>
      </w:r>
      <w:r w:rsidRPr="00A52585">
        <w:rPr>
          <w:rFonts w:hint="cs"/>
          <w:sz w:val="24"/>
          <w:szCs w:val="24"/>
          <w:rtl/>
        </w:rPr>
        <w:t>)</w:t>
      </w:r>
      <w:r w:rsidR="00777DCB" w:rsidRPr="00A52585">
        <w:rPr>
          <w:rFonts w:hint="cs"/>
          <w:rtl/>
        </w:rPr>
        <w:t>]</w:t>
      </w:r>
      <w:r w:rsidRPr="00A52585">
        <w:rPr>
          <w:rFonts w:hint="cs"/>
          <w:rtl/>
        </w:rPr>
        <w:t>:</w:t>
      </w:r>
      <w:r w:rsidR="00777DCB" w:rsidRPr="00A52585">
        <w:rPr>
          <w:rFonts w:hint="cs"/>
          <w:rtl/>
        </w:rPr>
        <w:t xml:space="preserve"> فقد روي من أوجه كلها ضعيفة وأحسن طرقه تدل على أن ذلك كان في النوم</w:t>
      </w:r>
      <w:r w:rsidR="00DB731D" w:rsidRPr="00A52585">
        <w:rPr>
          <w:rFonts w:hint="cs"/>
          <w:rtl/>
        </w:rPr>
        <w:t>،</w:t>
      </w:r>
      <w:r w:rsidR="00777DCB" w:rsidRPr="00A52585">
        <w:rPr>
          <w:rFonts w:hint="cs"/>
          <w:rtl/>
        </w:rPr>
        <w:t xml:space="preserve"> وقد روي من حديث أبي هريرة - رضي الله عنه - قال</w:t>
      </w:r>
      <w:r w:rsidRPr="00A52585">
        <w:rPr>
          <w:rFonts w:hint="cs"/>
          <w:rtl/>
        </w:rPr>
        <w:t>:</w:t>
      </w:r>
      <w:r w:rsidR="00777DCB" w:rsidRPr="00A52585">
        <w:rPr>
          <w:rFonts w:hint="cs"/>
          <w:rtl/>
        </w:rPr>
        <w:t xml:space="preserve"> قال رسول الله - صلى الله عليه وسلم -</w:t>
      </w:r>
      <w:r w:rsidRPr="00A52585">
        <w:rPr>
          <w:rFonts w:hint="cs"/>
          <w:rtl/>
        </w:rPr>
        <w:t>:</w:t>
      </w:r>
      <w:r w:rsidR="00777DCB" w:rsidRPr="00A52585">
        <w:rPr>
          <w:rFonts w:hint="cs"/>
          <w:rtl/>
        </w:rPr>
        <w:t xml:space="preserve"> " أتاني آت في أحسن صورة</w:t>
      </w:r>
      <w:r w:rsidR="00897A24"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فيم يختصم الملا </w:t>
      </w:r>
      <w:proofErr w:type="gramStart"/>
      <w:r w:rsidR="00777DCB" w:rsidRPr="00A52585">
        <w:rPr>
          <w:rFonts w:hint="cs"/>
          <w:rtl/>
        </w:rPr>
        <w:t>الاعلى</w:t>
      </w:r>
      <w:r w:rsidR="00897A24" w:rsidRPr="00A52585">
        <w:rPr>
          <w:rFonts w:hint="cs"/>
          <w:rtl/>
        </w:rPr>
        <w:t>..</w:t>
      </w:r>
      <w:r w:rsidR="00F95886" w:rsidRPr="00A52585">
        <w:rPr>
          <w:rFonts w:hint="cs"/>
          <w:rtl/>
        </w:rPr>
        <w:t>؟</w:t>
      </w:r>
      <w:proofErr w:type="gramEnd"/>
      <w:r w:rsidR="00777DCB" w:rsidRPr="00A52585">
        <w:rPr>
          <w:rFonts w:hint="cs"/>
          <w:rtl/>
        </w:rPr>
        <w:t xml:space="preserve"> فقلت</w:t>
      </w:r>
      <w:r w:rsidRPr="00A52585">
        <w:rPr>
          <w:rFonts w:hint="cs"/>
          <w:rtl/>
        </w:rPr>
        <w:t>:</w:t>
      </w:r>
      <w:r w:rsidR="00777DCB" w:rsidRPr="00A52585">
        <w:rPr>
          <w:rFonts w:hint="cs"/>
          <w:rtl/>
        </w:rPr>
        <w:t xml:space="preserve"> لا أدري</w:t>
      </w:r>
      <w:r w:rsidR="00DB731D" w:rsidRPr="00A52585">
        <w:rPr>
          <w:rFonts w:hint="cs"/>
          <w:rtl/>
        </w:rPr>
        <w:t>،</w:t>
      </w:r>
      <w:r w:rsidR="00777DCB" w:rsidRPr="00A52585">
        <w:rPr>
          <w:rFonts w:hint="cs"/>
          <w:rtl/>
        </w:rPr>
        <w:t xml:space="preserve"> فوضع كفه بين كتفي</w:t>
      </w:r>
      <w:r w:rsidR="00DB731D" w:rsidRPr="00A52585">
        <w:rPr>
          <w:rFonts w:hint="cs"/>
          <w:rtl/>
        </w:rPr>
        <w:t>،</w:t>
      </w:r>
      <w:r w:rsidR="00777DCB" w:rsidRPr="00A52585">
        <w:rPr>
          <w:rFonts w:hint="cs"/>
          <w:rtl/>
        </w:rPr>
        <w:t xml:space="preserve"> فوجدت بردها بين ثدي</w:t>
      </w:r>
      <w:r w:rsidR="00DB731D" w:rsidRPr="00A52585">
        <w:rPr>
          <w:rFonts w:hint="cs"/>
          <w:rtl/>
        </w:rPr>
        <w:t>،</w:t>
      </w:r>
      <w:r w:rsidR="00777DCB" w:rsidRPr="00A52585">
        <w:rPr>
          <w:rFonts w:hint="cs"/>
          <w:rtl/>
        </w:rPr>
        <w:t xml:space="preserve"> فعرفت كل شيء يسألني عنه "</w:t>
      </w:r>
      <w:r w:rsidR="00DB731D" w:rsidRPr="00A52585">
        <w:rPr>
          <w:rFonts w:hint="cs"/>
          <w:rtl/>
        </w:rPr>
        <w:t>،</w:t>
      </w:r>
      <w:r w:rsidR="00777DCB" w:rsidRPr="00A52585">
        <w:rPr>
          <w:rFonts w:hint="cs"/>
          <w:rtl/>
        </w:rPr>
        <w:t xml:space="preserve"> وروي من حديث ثوبان قال</w:t>
      </w:r>
      <w:r w:rsidRPr="00A52585">
        <w:rPr>
          <w:rFonts w:hint="cs"/>
          <w:rtl/>
        </w:rPr>
        <w:t>:</w:t>
      </w:r>
      <w:r w:rsidR="00777DCB" w:rsidRPr="00A52585">
        <w:rPr>
          <w:rFonts w:hint="cs"/>
          <w:rtl/>
        </w:rPr>
        <w:t xml:space="preserve"> خرج علينا رسول الله صلى الله عليه وسلم بعد صلاة الصبح</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 إن ربي أتاني الليلة في أحسن صورة فقال لي</w:t>
      </w:r>
      <w:r w:rsidRPr="00A52585">
        <w:rPr>
          <w:rFonts w:hint="cs"/>
          <w:rtl/>
        </w:rPr>
        <w:t>:</w:t>
      </w:r>
      <w:r w:rsidR="00777DCB" w:rsidRPr="00A52585">
        <w:rPr>
          <w:rFonts w:hint="cs"/>
          <w:rtl/>
        </w:rPr>
        <w:t xml:space="preserve"> يا محمد</w:t>
      </w:r>
      <w:r w:rsidRPr="00A52585">
        <w:rPr>
          <w:rFonts w:hint="cs"/>
          <w:rtl/>
        </w:rPr>
        <w:t>:</w:t>
      </w:r>
      <w:r w:rsidR="00777DCB" w:rsidRPr="00A52585">
        <w:rPr>
          <w:rFonts w:hint="cs"/>
          <w:rtl/>
        </w:rPr>
        <w:t xml:space="preserve"> فيم يختصم الملا الاعلى</w:t>
      </w:r>
      <w:r w:rsidR="00F95886"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لا أدري يا رب</w:t>
      </w:r>
      <w:r w:rsidR="00DB731D" w:rsidRPr="00A52585">
        <w:rPr>
          <w:rFonts w:hint="cs"/>
          <w:rtl/>
        </w:rPr>
        <w:t>،</w:t>
      </w:r>
      <w:r w:rsidR="00777DCB" w:rsidRPr="00A52585">
        <w:rPr>
          <w:rFonts w:hint="cs"/>
          <w:rtl/>
        </w:rPr>
        <w:t xml:space="preserve"> فوضع كفه بين كتفي</w:t>
      </w:r>
      <w:r w:rsidR="00DB731D" w:rsidRPr="00A52585">
        <w:rPr>
          <w:rFonts w:hint="cs"/>
          <w:rtl/>
        </w:rPr>
        <w:t>،</w:t>
      </w:r>
      <w:r w:rsidR="00777DCB" w:rsidRPr="00A52585">
        <w:rPr>
          <w:rFonts w:hint="cs"/>
          <w:rtl/>
        </w:rPr>
        <w:t xml:space="preserve"> حتى وجدت برد أنامله في صدري</w:t>
      </w:r>
      <w:r w:rsidR="00DB731D" w:rsidRPr="00A52585">
        <w:rPr>
          <w:rFonts w:hint="cs"/>
          <w:rtl/>
        </w:rPr>
        <w:t>،</w:t>
      </w:r>
      <w:r w:rsidR="00777DCB" w:rsidRPr="00A52585">
        <w:rPr>
          <w:rFonts w:hint="cs"/>
          <w:rtl/>
        </w:rPr>
        <w:t xml:space="preserve"> فتجلى لي ما بين السماء والارض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البزار كما في " كشف الاستار " </w:t>
      </w:r>
      <w:r w:rsidRPr="00A52585">
        <w:rPr>
          <w:rFonts w:hint="cs"/>
          <w:sz w:val="24"/>
          <w:szCs w:val="24"/>
          <w:rtl/>
        </w:rPr>
        <w:t>(</w:t>
      </w:r>
      <w:r w:rsidR="00777DCB" w:rsidRPr="00A52585">
        <w:rPr>
          <w:rFonts w:hint="cs"/>
          <w:sz w:val="24"/>
          <w:szCs w:val="24"/>
          <w:rtl/>
        </w:rPr>
        <w:t>3 / 13 برقم 2128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وقال عنه الحافظ الهيثمي بعدما ذكره في " مجمع الزوائد " </w:t>
      </w:r>
      <w:r w:rsidRPr="00A52585">
        <w:rPr>
          <w:rFonts w:hint="cs"/>
          <w:sz w:val="24"/>
          <w:szCs w:val="24"/>
          <w:rtl/>
        </w:rPr>
        <w:t>(</w:t>
      </w:r>
      <w:r w:rsidR="00777DCB" w:rsidRPr="00A52585">
        <w:rPr>
          <w:rFonts w:hint="cs"/>
          <w:sz w:val="24"/>
          <w:szCs w:val="24"/>
          <w:rtl/>
        </w:rPr>
        <w:t>7 / 177 - 178</w:t>
      </w:r>
      <w:r w:rsidRPr="00A52585">
        <w:rPr>
          <w:rFonts w:hint="cs"/>
          <w:sz w:val="24"/>
          <w:szCs w:val="24"/>
          <w:rtl/>
        </w:rPr>
        <w:t>):</w:t>
      </w:r>
      <w:r w:rsidR="00777DCB" w:rsidRPr="00A52585">
        <w:rPr>
          <w:rFonts w:hint="cs"/>
          <w:sz w:val="24"/>
          <w:szCs w:val="24"/>
          <w:rtl/>
        </w:rPr>
        <w:t xml:space="preserve"> " رواه البزار </w:t>
      </w:r>
      <w:proofErr w:type="spellStart"/>
      <w:r w:rsidR="00777DCB" w:rsidRPr="00A52585">
        <w:rPr>
          <w:rFonts w:hint="cs"/>
          <w:sz w:val="24"/>
          <w:szCs w:val="24"/>
          <w:rtl/>
        </w:rPr>
        <w:t>منطريق</w:t>
      </w:r>
      <w:proofErr w:type="spellEnd"/>
      <w:r w:rsidR="00777DCB" w:rsidRPr="00A52585">
        <w:rPr>
          <w:rFonts w:hint="cs"/>
          <w:sz w:val="24"/>
          <w:szCs w:val="24"/>
          <w:rtl/>
        </w:rPr>
        <w:t xml:space="preserve"> أبي يحيى عن أبي أسماء الرحبي وأبو يحيى لم أعرفه وبقية رجاله ثقات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وعزاه الحافظ ابن حجر في " المطالب العالية " </w:t>
      </w:r>
      <w:r w:rsidRPr="00A52585">
        <w:rPr>
          <w:rFonts w:hint="cs"/>
          <w:sz w:val="24"/>
          <w:szCs w:val="24"/>
          <w:rtl/>
        </w:rPr>
        <w:t>(</w:t>
      </w:r>
      <w:r w:rsidR="00777DCB" w:rsidRPr="00A52585">
        <w:rPr>
          <w:rFonts w:hint="cs"/>
          <w:sz w:val="24"/>
          <w:szCs w:val="24"/>
          <w:rtl/>
        </w:rPr>
        <w:t>3 / 363</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لاحمد</w:t>
      </w:r>
      <w:proofErr w:type="spellEnd"/>
      <w:r w:rsidR="00777DCB" w:rsidRPr="00A52585">
        <w:rPr>
          <w:rFonts w:hint="cs"/>
          <w:sz w:val="24"/>
          <w:szCs w:val="24"/>
          <w:rtl/>
        </w:rPr>
        <w:t xml:space="preserve"> بن منيع</w:t>
      </w:r>
      <w:r w:rsidR="00DB731D" w:rsidRPr="00A52585">
        <w:rPr>
          <w:rFonts w:hint="cs"/>
          <w:sz w:val="24"/>
          <w:szCs w:val="24"/>
          <w:rtl/>
        </w:rPr>
        <w:t>،</w:t>
      </w:r>
      <w:r w:rsidR="00777DCB" w:rsidRPr="00A52585">
        <w:rPr>
          <w:rFonts w:hint="cs"/>
          <w:sz w:val="24"/>
          <w:szCs w:val="24"/>
          <w:rtl/>
        </w:rPr>
        <w:t xml:space="preserve"> قال شيخنا المحدث حبيب الرحمن الاعظمي في التعليق عليه</w:t>
      </w:r>
      <w:r w:rsidRPr="00A52585">
        <w:rPr>
          <w:rFonts w:hint="cs"/>
          <w:sz w:val="24"/>
          <w:szCs w:val="24"/>
          <w:rtl/>
        </w:rPr>
        <w:t>:</w:t>
      </w:r>
      <w:r w:rsidR="00777DCB" w:rsidRPr="00A52585">
        <w:rPr>
          <w:rFonts w:hint="cs"/>
          <w:sz w:val="24"/>
          <w:szCs w:val="24"/>
          <w:rtl/>
        </w:rPr>
        <w:t xml:space="preserve"> " قلت</w:t>
      </w:r>
      <w:r w:rsidRPr="00A52585">
        <w:rPr>
          <w:rFonts w:hint="cs"/>
          <w:sz w:val="24"/>
          <w:szCs w:val="24"/>
          <w:rtl/>
        </w:rPr>
        <w:t>:</w:t>
      </w:r>
      <w:r w:rsidR="00777DCB" w:rsidRPr="00A52585">
        <w:rPr>
          <w:rFonts w:hint="cs"/>
          <w:sz w:val="24"/>
          <w:szCs w:val="24"/>
          <w:rtl/>
        </w:rPr>
        <w:t xml:space="preserve"> في إسناد ابن منيع أيضا </w:t>
      </w:r>
      <w:proofErr w:type="spellStart"/>
      <w:r w:rsidR="00777DCB" w:rsidRPr="00A52585">
        <w:rPr>
          <w:rFonts w:hint="cs"/>
          <w:sz w:val="24"/>
          <w:szCs w:val="24"/>
          <w:rtl/>
        </w:rPr>
        <w:t>أبويحيى</w:t>
      </w:r>
      <w:proofErr w:type="spellEnd"/>
      <w:r w:rsidR="00DB731D" w:rsidRPr="00A52585">
        <w:rPr>
          <w:rFonts w:hint="cs"/>
          <w:sz w:val="24"/>
          <w:szCs w:val="24"/>
          <w:rtl/>
        </w:rPr>
        <w:t>،</w:t>
      </w:r>
      <w:r w:rsidR="00777DCB" w:rsidRPr="00A52585">
        <w:rPr>
          <w:rFonts w:hint="cs"/>
          <w:sz w:val="24"/>
          <w:szCs w:val="24"/>
          <w:rtl/>
        </w:rPr>
        <w:t xml:space="preserve"> لكنه رواه هنا عن أبي يزيد عن أبي سلام الاسود عن ثوبان</w:t>
      </w:r>
      <w:r w:rsidR="00DB731D" w:rsidRPr="00A52585">
        <w:rPr>
          <w:rFonts w:hint="cs"/>
          <w:sz w:val="24"/>
          <w:szCs w:val="24"/>
          <w:rtl/>
        </w:rPr>
        <w:t>،</w:t>
      </w:r>
      <w:r w:rsidR="00777DCB" w:rsidRPr="00A52585">
        <w:rPr>
          <w:rFonts w:hint="cs"/>
          <w:sz w:val="24"/>
          <w:szCs w:val="24"/>
          <w:rtl/>
        </w:rPr>
        <w:t xml:space="preserve"> وأول اسناد البزار نحو أول إسناد ابن منيع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ثم نظرت في سنة أبن أبي عاصم ص </w:t>
      </w:r>
      <w:r w:rsidRPr="00A52585">
        <w:rPr>
          <w:rFonts w:hint="cs"/>
          <w:sz w:val="24"/>
          <w:szCs w:val="24"/>
          <w:rtl/>
        </w:rPr>
        <w:t>(</w:t>
      </w:r>
      <w:r w:rsidR="00777DCB" w:rsidRPr="00A52585">
        <w:rPr>
          <w:rFonts w:hint="cs"/>
          <w:sz w:val="24"/>
          <w:szCs w:val="24"/>
          <w:rtl/>
        </w:rPr>
        <w:t>204</w:t>
      </w:r>
      <w:r w:rsidRPr="00A52585">
        <w:rPr>
          <w:rFonts w:hint="cs"/>
          <w:sz w:val="24"/>
          <w:szCs w:val="24"/>
          <w:rtl/>
        </w:rPr>
        <w:t>)</w:t>
      </w:r>
      <w:r w:rsidR="00777DCB" w:rsidRPr="00A52585">
        <w:rPr>
          <w:rFonts w:hint="cs"/>
          <w:sz w:val="24"/>
          <w:szCs w:val="24"/>
          <w:rtl/>
        </w:rPr>
        <w:t xml:space="preserve"> فإذا الحديث هناك</w:t>
      </w:r>
      <w:r w:rsidR="00DB731D" w:rsidRPr="00A52585">
        <w:rPr>
          <w:rFonts w:hint="cs"/>
          <w:sz w:val="24"/>
          <w:szCs w:val="24"/>
          <w:rtl/>
        </w:rPr>
        <w:t>،</w:t>
      </w:r>
      <w:r w:rsidR="00777DCB" w:rsidRPr="00A52585">
        <w:rPr>
          <w:rFonts w:hint="cs"/>
          <w:sz w:val="24"/>
          <w:szCs w:val="24"/>
          <w:rtl/>
        </w:rPr>
        <w:t xml:space="preserve"> وقد أخطأ المعلق أو المخرج له</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sz w:val="24"/>
          <w:szCs w:val="24"/>
          <w:rtl/>
        </w:rPr>
        <w:t xml:space="preserve"> حيث صححه مع اعترافه هناك بضعف عبد الله بن صالح</w:t>
      </w:r>
      <w:r w:rsidR="00DB731D" w:rsidRPr="00A52585">
        <w:rPr>
          <w:rFonts w:hint="cs"/>
          <w:sz w:val="24"/>
          <w:szCs w:val="24"/>
          <w:rtl/>
        </w:rPr>
        <w:t>،</w:t>
      </w:r>
      <w:r w:rsidR="00777DCB" w:rsidRPr="00A52585">
        <w:rPr>
          <w:rFonts w:hint="cs"/>
          <w:sz w:val="24"/>
          <w:szCs w:val="24"/>
          <w:rtl/>
        </w:rPr>
        <w:t xml:space="preserve"> وجهالة أبي يحيى</w:t>
      </w:r>
      <w:r w:rsidR="00DB731D" w:rsidRPr="00A52585">
        <w:rPr>
          <w:rFonts w:hint="cs"/>
          <w:sz w:val="24"/>
          <w:szCs w:val="24"/>
          <w:rtl/>
        </w:rPr>
        <w:t>،</w:t>
      </w:r>
      <w:r w:rsidR="00777DCB" w:rsidRPr="00A52585">
        <w:rPr>
          <w:rFonts w:hint="cs"/>
          <w:sz w:val="24"/>
          <w:szCs w:val="24"/>
          <w:rtl/>
        </w:rPr>
        <w:t xml:space="preserve"> وعدم توثيق غيلان ابن أنس ابو يزيد الكلبي عند أي حافظ</w:t>
      </w:r>
      <w:r w:rsidR="00DB731D" w:rsidRPr="00A52585">
        <w:rPr>
          <w:rFonts w:hint="cs"/>
          <w:sz w:val="24"/>
          <w:szCs w:val="24"/>
          <w:rtl/>
        </w:rPr>
        <w:t>،</w:t>
      </w:r>
      <w:r w:rsidR="00777DCB" w:rsidRPr="00A52585">
        <w:rPr>
          <w:rFonts w:hint="cs"/>
          <w:sz w:val="24"/>
          <w:szCs w:val="24"/>
          <w:rtl/>
        </w:rPr>
        <w:t xml:space="preserve"> مع قوله عنه في " </w:t>
      </w:r>
      <w:proofErr w:type="spellStart"/>
      <w:r w:rsidR="00777DCB" w:rsidRPr="00A52585">
        <w:rPr>
          <w:rFonts w:hint="cs"/>
          <w:sz w:val="24"/>
          <w:szCs w:val="24"/>
          <w:rtl/>
        </w:rPr>
        <w:t>صحيحته</w:t>
      </w:r>
      <w:proofErr w:type="spellEnd"/>
      <w:r w:rsidR="00777DCB" w:rsidRPr="00A52585">
        <w:rPr>
          <w:rFonts w:hint="cs"/>
          <w:sz w:val="24"/>
          <w:szCs w:val="24"/>
          <w:rtl/>
        </w:rPr>
        <w:t xml:space="preserve"> " </w:t>
      </w:r>
      <w:r w:rsidRPr="00A52585">
        <w:rPr>
          <w:rFonts w:hint="cs"/>
          <w:sz w:val="24"/>
          <w:szCs w:val="24"/>
          <w:rtl/>
        </w:rPr>
        <w:t>(</w:t>
      </w:r>
      <w:r w:rsidR="00777DCB" w:rsidRPr="00A52585">
        <w:rPr>
          <w:rFonts w:hint="cs"/>
          <w:sz w:val="24"/>
          <w:szCs w:val="24"/>
          <w:rtl/>
        </w:rPr>
        <w:t>1 / 40</w:t>
      </w:r>
      <w:r w:rsidRPr="00A52585">
        <w:rPr>
          <w:rFonts w:hint="cs"/>
          <w:sz w:val="24"/>
          <w:szCs w:val="24"/>
          <w:rtl/>
        </w:rPr>
        <w:t>)</w:t>
      </w:r>
      <w:r w:rsidR="00777DCB" w:rsidRPr="00A52585">
        <w:rPr>
          <w:rFonts w:hint="cs"/>
          <w:sz w:val="24"/>
          <w:szCs w:val="24"/>
          <w:rtl/>
        </w:rPr>
        <w:t xml:space="preserve"> المليئة </w:t>
      </w:r>
      <w:proofErr w:type="spellStart"/>
      <w:r w:rsidR="00777DCB" w:rsidRPr="00A52585">
        <w:rPr>
          <w:rFonts w:hint="cs"/>
          <w:sz w:val="24"/>
          <w:szCs w:val="24"/>
          <w:rtl/>
        </w:rPr>
        <w:t>بالاخطاء</w:t>
      </w:r>
      <w:proofErr w:type="spellEnd"/>
      <w:r w:rsidR="00777DCB" w:rsidRPr="00A52585">
        <w:rPr>
          <w:rFonts w:hint="cs"/>
          <w:sz w:val="24"/>
          <w:szCs w:val="24"/>
          <w:rtl/>
        </w:rPr>
        <w:t xml:space="preserve"> والتخبطات -</w:t>
      </w:r>
      <w:r w:rsidRPr="00A52585">
        <w:rPr>
          <w:rFonts w:hint="cs"/>
          <w:sz w:val="24"/>
          <w:szCs w:val="24"/>
          <w:rtl/>
        </w:rPr>
        <w:t>:</w:t>
      </w:r>
      <w:r w:rsidR="00777DCB" w:rsidRPr="00A52585">
        <w:rPr>
          <w:rFonts w:hint="cs"/>
          <w:sz w:val="24"/>
          <w:szCs w:val="24"/>
          <w:rtl/>
        </w:rPr>
        <w:t xml:space="preserve"> " مجهول الحال "</w:t>
      </w:r>
      <w:r w:rsidR="00DB731D" w:rsidRPr="00A52585">
        <w:rPr>
          <w:rFonts w:hint="cs"/>
          <w:sz w:val="24"/>
          <w:szCs w:val="24"/>
          <w:rtl/>
        </w:rPr>
        <w:t>،</w:t>
      </w:r>
      <w:r w:rsidR="00777DCB" w:rsidRPr="00A52585">
        <w:rPr>
          <w:rFonts w:hint="cs"/>
          <w:sz w:val="24"/>
          <w:szCs w:val="24"/>
          <w:rtl/>
        </w:rPr>
        <w:t xml:space="preserve"> وأما باقي رجاله فنقول</w:t>
      </w:r>
      <w:r w:rsidRPr="00A52585">
        <w:rPr>
          <w:rFonts w:hint="cs"/>
          <w:sz w:val="24"/>
          <w:szCs w:val="24"/>
          <w:rtl/>
        </w:rPr>
        <w:t>:</w:t>
      </w:r>
      <w:r w:rsidR="00777DCB" w:rsidRPr="00A52585">
        <w:rPr>
          <w:rFonts w:hint="cs"/>
          <w:sz w:val="24"/>
          <w:szCs w:val="24"/>
          <w:rtl/>
        </w:rPr>
        <w:t xml:space="preserve"> أبو سلام ممطور الاسود لم يسمع من ثوبان كما قال أبن معين وابن المديني</w:t>
      </w:r>
      <w:r w:rsidR="00DB731D" w:rsidRPr="00A52585">
        <w:rPr>
          <w:rFonts w:hint="cs"/>
          <w:sz w:val="24"/>
          <w:szCs w:val="24"/>
          <w:rtl/>
        </w:rPr>
        <w:t>،</w:t>
      </w:r>
      <w:r w:rsidR="00777DCB" w:rsidRPr="00A52585">
        <w:rPr>
          <w:rFonts w:hint="cs"/>
          <w:sz w:val="24"/>
          <w:szCs w:val="24"/>
          <w:rtl/>
        </w:rPr>
        <w:t xml:space="preserve"> وقال أحمد</w:t>
      </w:r>
      <w:r w:rsidRPr="00A52585">
        <w:rPr>
          <w:rFonts w:hint="cs"/>
          <w:sz w:val="24"/>
          <w:szCs w:val="24"/>
          <w:rtl/>
        </w:rPr>
        <w:t>:</w:t>
      </w:r>
      <w:r w:rsidR="00777DCB" w:rsidRPr="00A52585">
        <w:rPr>
          <w:rFonts w:hint="cs"/>
          <w:sz w:val="24"/>
          <w:szCs w:val="24"/>
          <w:rtl/>
        </w:rPr>
        <w:t xml:space="preserve"> ما أراه سمع منه وكذا قال أبو حاتم أن روايته عن ثوبان مرسلة</w:t>
      </w:r>
      <w:r w:rsidR="00897A24" w:rsidRPr="00A52585">
        <w:rPr>
          <w:rFonts w:hint="cs"/>
          <w:sz w:val="24"/>
          <w:szCs w:val="24"/>
          <w:rtl/>
        </w:rPr>
        <w:t>.</w:t>
      </w:r>
      <w:r w:rsidR="00777DCB" w:rsidRPr="00A52585">
        <w:rPr>
          <w:rFonts w:hint="cs"/>
          <w:sz w:val="24"/>
          <w:szCs w:val="24"/>
          <w:rtl/>
        </w:rPr>
        <w:t xml:space="preserve"> كذا في تهذيب التهذيب </w:t>
      </w:r>
      <w:r w:rsidRPr="00A52585">
        <w:rPr>
          <w:rFonts w:hint="cs"/>
          <w:sz w:val="24"/>
          <w:szCs w:val="24"/>
          <w:rtl/>
        </w:rPr>
        <w:t>(</w:t>
      </w:r>
      <w:r w:rsidR="00777DCB" w:rsidRPr="00A52585">
        <w:rPr>
          <w:rFonts w:hint="cs"/>
          <w:sz w:val="24"/>
          <w:szCs w:val="24"/>
          <w:rtl/>
        </w:rPr>
        <w:t>10 / 263 دار الفكر</w:t>
      </w:r>
      <w:r w:rsidRPr="00A52585">
        <w:rPr>
          <w:rFonts w:hint="cs"/>
          <w:sz w:val="24"/>
          <w:szCs w:val="24"/>
          <w:rtl/>
        </w:rPr>
        <w:t>)</w:t>
      </w:r>
      <w:r w:rsidR="00777DCB" w:rsidRPr="00A52585">
        <w:rPr>
          <w:rFonts w:hint="cs"/>
          <w:sz w:val="24"/>
          <w:szCs w:val="24"/>
          <w:rtl/>
        </w:rPr>
        <w:t xml:space="preserve"> فالحديث مسلسل </w:t>
      </w:r>
      <w:r w:rsidR="00777DCB" w:rsidRPr="00A52585">
        <w:rPr>
          <w:rFonts w:hint="cs"/>
          <w:sz w:val="24"/>
          <w:szCs w:val="24"/>
          <w:rtl/>
        </w:rPr>
        <w:lastRenderedPageBreak/>
        <w:t>بالعلل وهو موضوع عندي والحمد لله</w:t>
      </w:r>
      <w:r w:rsidRPr="00A52585">
        <w:rPr>
          <w:rFonts w:hint="cs"/>
          <w:sz w:val="24"/>
          <w:szCs w:val="24"/>
          <w:rtl/>
        </w:rPr>
        <w:t>]</w:t>
      </w:r>
      <w:r w:rsidR="00DB731D" w:rsidRPr="00A52585">
        <w:rPr>
          <w:rFonts w:hint="cs"/>
          <w:rtl/>
        </w:rPr>
        <w:t>،</w:t>
      </w:r>
      <w:r w:rsidR="00777DCB" w:rsidRPr="00A52585">
        <w:rPr>
          <w:rFonts w:hint="cs"/>
          <w:rtl/>
        </w:rPr>
        <w:t xml:space="preserve"> وروي عن أبي عبيدة بن الجراح عن النبي صلى الله عليه وسلم أنه قال</w:t>
      </w:r>
      <w:r w:rsidRPr="00A52585">
        <w:rPr>
          <w:rFonts w:hint="cs"/>
          <w:rtl/>
        </w:rPr>
        <w:t>:</w:t>
      </w:r>
      <w:r w:rsidR="00777DCB" w:rsidRPr="00A52585">
        <w:rPr>
          <w:rFonts w:hint="cs"/>
          <w:rtl/>
        </w:rPr>
        <w:t xml:space="preserve"> " لما كنت ليلة أسري بي رأيت ربي في أحسن صورة "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الخطيب البغدادي في " تاريخ بغداد " </w:t>
      </w:r>
      <w:r w:rsidRPr="00A52585">
        <w:rPr>
          <w:rFonts w:hint="cs"/>
          <w:sz w:val="24"/>
          <w:szCs w:val="24"/>
          <w:rtl/>
        </w:rPr>
        <w:t>(</w:t>
      </w:r>
      <w:r w:rsidR="00777DCB" w:rsidRPr="00A52585">
        <w:rPr>
          <w:rFonts w:hint="cs"/>
          <w:sz w:val="24"/>
          <w:szCs w:val="24"/>
          <w:rtl/>
        </w:rPr>
        <w:t>8 / 151 - 152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الجوزي في " العلل المتناهية " </w:t>
      </w:r>
      <w:r w:rsidRPr="00A52585">
        <w:rPr>
          <w:rFonts w:hint="cs"/>
          <w:sz w:val="24"/>
          <w:szCs w:val="24"/>
          <w:rtl/>
        </w:rPr>
        <w:t>(</w:t>
      </w:r>
      <w:r w:rsidR="00777DCB" w:rsidRPr="00A52585">
        <w:rPr>
          <w:rFonts w:hint="cs"/>
          <w:sz w:val="24"/>
          <w:szCs w:val="24"/>
          <w:rtl/>
        </w:rPr>
        <w:t>1 / 30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وهو بالموضوع أشبه</w:t>
      </w:r>
      <w:r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وهذه </w:t>
      </w:r>
      <w:proofErr w:type="spellStart"/>
      <w:r w:rsidR="00777DCB" w:rsidRPr="00A52585">
        <w:rPr>
          <w:rFonts w:hint="cs"/>
          <w:rtl/>
        </w:rPr>
        <w:t>أحاديت</w:t>
      </w:r>
      <w:proofErr w:type="spellEnd"/>
      <w:r w:rsidR="00777DCB" w:rsidRPr="00A52585">
        <w:rPr>
          <w:rFonts w:hint="cs"/>
          <w:rtl/>
        </w:rPr>
        <w:t xml:space="preserve"> مختلفة</w:t>
      </w:r>
      <w:r w:rsidR="00DB731D" w:rsidRPr="00A52585">
        <w:rPr>
          <w:rFonts w:hint="cs"/>
          <w:rtl/>
        </w:rPr>
        <w:t>،</w:t>
      </w:r>
      <w:r w:rsidR="00777DCB" w:rsidRPr="00A52585">
        <w:rPr>
          <w:rFonts w:hint="cs"/>
          <w:rtl/>
        </w:rPr>
        <w:t xml:space="preserve"> وليس فيها ما يثبت وفي بعضها أتاني آت وذلك يرفع الاشكال</w:t>
      </w:r>
      <w:r w:rsidR="00DB731D" w:rsidRPr="00A52585">
        <w:rPr>
          <w:rFonts w:hint="cs"/>
          <w:rtl/>
        </w:rPr>
        <w:t>،</w:t>
      </w:r>
      <w:r w:rsidR="00777DCB" w:rsidRPr="00A52585">
        <w:rPr>
          <w:rFonts w:hint="cs"/>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sidR="00DB731D" w:rsidRPr="00A52585">
        <w:rPr>
          <w:rFonts w:hint="cs"/>
          <w:rtl/>
        </w:rPr>
        <w:t>،</w:t>
      </w:r>
      <w:r w:rsidR="00777DCB" w:rsidRPr="00A52585">
        <w:rPr>
          <w:rFonts w:hint="cs"/>
          <w:rtl/>
        </w:rPr>
        <w:t xml:space="preserve"> فالمعنى رأيته على أحسن صفاته من الاقبال علي والرضى عني</w:t>
      </w:r>
      <w:r w:rsidR="00DB731D" w:rsidRPr="00A52585">
        <w:rPr>
          <w:rFonts w:hint="cs"/>
          <w:rtl/>
        </w:rPr>
        <w:t>،</w:t>
      </w:r>
      <w:r w:rsidR="00777DCB" w:rsidRPr="00A52585">
        <w:rPr>
          <w:rFonts w:hint="cs"/>
          <w:rtl/>
        </w:rPr>
        <w:t xml:space="preserve"> وإن قلنا ترجع إلى رسول الله صلى الله عليه وسلم</w:t>
      </w:r>
      <w:r w:rsidR="00DB731D" w:rsidRPr="00A52585">
        <w:rPr>
          <w:rFonts w:hint="cs"/>
          <w:rtl/>
        </w:rPr>
        <w:t>،</w:t>
      </w:r>
      <w:r w:rsidR="00777DCB" w:rsidRPr="00A52585">
        <w:rPr>
          <w:rFonts w:hint="cs"/>
          <w:rtl/>
        </w:rPr>
        <w:t xml:space="preserve"> فالمعنى رأيته وأنا على أحسن صورة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والعجب مع اضطراب هذه الاحاديث وكون مثلها لا يثبت به حكم في الوضوء</w:t>
      </w:r>
      <w:r w:rsidR="00DB731D" w:rsidRPr="00A52585">
        <w:rPr>
          <w:rFonts w:hint="cs"/>
          <w:rtl/>
        </w:rPr>
        <w:t>،</w:t>
      </w:r>
      <w:r w:rsidRPr="00A52585">
        <w:rPr>
          <w:rFonts w:hint="cs"/>
          <w:rtl/>
        </w:rPr>
        <w:t xml:space="preserve"> </w:t>
      </w:r>
      <w:r w:rsidR="00777DCB" w:rsidRPr="00A52585">
        <w:rPr>
          <w:rFonts w:hint="cs"/>
          <w:rtl/>
        </w:rPr>
        <w:t>كيف يحتجون بها في اصول الدين والعقائد</w:t>
      </w:r>
      <w:r w:rsidR="00F95886" w:rsidRPr="00A52585">
        <w:rPr>
          <w:rFonts w:hint="cs"/>
          <w:rtl/>
        </w:rPr>
        <w:t>؟!!</w:t>
      </w:r>
      <w:r w:rsidR="00DB731D" w:rsidRPr="00A52585">
        <w:rPr>
          <w:rFonts w:hint="cs"/>
          <w:rtl/>
        </w:rPr>
        <w:t>،</w:t>
      </w:r>
      <w:r w:rsidRPr="00A52585">
        <w:rPr>
          <w:rFonts w:hint="cs"/>
          <w:rtl/>
        </w:rPr>
        <w:t xml:space="preserve"> </w:t>
      </w:r>
      <w:r w:rsidR="00777DCB" w:rsidRPr="00A52585">
        <w:rPr>
          <w:rFonts w:hint="cs"/>
          <w:rtl/>
        </w:rPr>
        <w:t>وروى ابن حامد</w:t>
      </w:r>
      <w:r w:rsidRPr="00A52585">
        <w:rPr>
          <w:rFonts w:hint="cs"/>
          <w:rtl/>
        </w:rPr>
        <w:t xml:space="preserve"> </w:t>
      </w:r>
      <w:r w:rsidR="00777DCB" w:rsidRPr="00A52585">
        <w:rPr>
          <w:rFonts w:hint="cs"/>
          <w:rtl/>
        </w:rPr>
        <w:t>من حديث ابن عباس رضي الله عنهما عن النبي - صلى الله عليه وسلم - أنه قال</w:t>
      </w:r>
      <w:r w:rsidRPr="00A52585">
        <w:rPr>
          <w:rFonts w:hint="cs"/>
          <w:rtl/>
        </w:rPr>
        <w:t>:</w:t>
      </w:r>
      <w:r w:rsidR="00777DCB" w:rsidRPr="00A52585">
        <w:rPr>
          <w:rFonts w:hint="cs"/>
          <w:rtl/>
        </w:rPr>
        <w:t xml:space="preserve"> " ولما أسرى بي رأيت الرحمن تعالى في صورة شاب أمرد</w:t>
      </w:r>
      <w:r w:rsidR="00DB731D" w:rsidRPr="00A52585">
        <w:rPr>
          <w:rFonts w:hint="cs"/>
          <w:rtl/>
        </w:rPr>
        <w:t>،</w:t>
      </w:r>
      <w:r w:rsidR="00777DCB" w:rsidRPr="00A52585">
        <w:rPr>
          <w:rFonts w:hint="cs"/>
          <w:rtl/>
        </w:rPr>
        <w:t xml:space="preserve"> له نور </w:t>
      </w:r>
      <w:proofErr w:type="spellStart"/>
      <w:r w:rsidR="00777DCB" w:rsidRPr="00A52585">
        <w:rPr>
          <w:rFonts w:hint="cs"/>
          <w:rtl/>
        </w:rPr>
        <w:t>يتلالا</w:t>
      </w:r>
      <w:proofErr w:type="spellEnd"/>
      <w:r w:rsidR="00DB731D" w:rsidRPr="00A52585">
        <w:rPr>
          <w:rFonts w:hint="cs"/>
          <w:rtl/>
        </w:rPr>
        <w:t>،</w:t>
      </w:r>
      <w:r w:rsidR="00777DCB" w:rsidRPr="00A52585">
        <w:rPr>
          <w:rFonts w:hint="cs"/>
          <w:rtl/>
        </w:rPr>
        <w:t xml:space="preserve"> وقد نهيت عن وصفه لكم</w:t>
      </w:r>
      <w:r w:rsidR="00DB731D" w:rsidRPr="00A52585">
        <w:rPr>
          <w:rFonts w:hint="cs"/>
          <w:rtl/>
        </w:rPr>
        <w:t>،</w:t>
      </w:r>
      <w:r w:rsidR="00777DCB" w:rsidRPr="00A52585">
        <w:rPr>
          <w:rFonts w:hint="cs"/>
          <w:rtl/>
        </w:rPr>
        <w:t xml:space="preserve"> فسألت ربي أن يكرمني برؤيته</w:t>
      </w:r>
      <w:r w:rsidR="00DB731D" w:rsidRPr="00A52585">
        <w:rPr>
          <w:rFonts w:hint="cs"/>
          <w:rtl/>
        </w:rPr>
        <w:t>،</w:t>
      </w:r>
      <w:r w:rsidR="00777DCB" w:rsidRPr="00A52585">
        <w:rPr>
          <w:rFonts w:hint="cs"/>
          <w:rtl/>
        </w:rPr>
        <w:t xml:space="preserve"> وإذا هو كأنه عروس حين كشف عن حجابه مستو على عرشه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موضوع مكذوب انظر " اللآلئ المصنوعة في الاحاديث الموضوعة " للحافظ السيوطي </w:t>
      </w:r>
      <w:r w:rsidRPr="00A52585">
        <w:rPr>
          <w:rFonts w:hint="cs"/>
          <w:sz w:val="24"/>
          <w:szCs w:val="24"/>
          <w:rtl/>
        </w:rPr>
        <w:t>(</w:t>
      </w:r>
      <w:r w:rsidR="00777DCB" w:rsidRPr="00A52585">
        <w:rPr>
          <w:rFonts w:hint="cs"/>
          <w:sz w:val="24"/>
          <w:szCs w:val="24"/>
          <w:rtl/>
        </w:rPr>
        <w:t>1 / 28 - 31</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كذب قبيح</w:t>
      </w:r>
      <w:r w:rsidR="00897A24" w:rsidRPr="00A52585">
        <w:rPr>
          <w:rFonts w:hint="cs"/>
          <w:rtl/>
        </w:rPr>
        <w:t>.</w:t>
      </w:r>
      <w:r w:rsidR="00777DCB" w:rsidRPr="00A52585">
        <w:rPr>
          <w:rFonts w:hint="cs"/>
          <w:rtl/>
        </w:rPr>
        <w:t xml:space="preserve"> ما روي قط لا في صحيح ولا في كذب</w:t>
      </w:r>
      <w:r w:rsidR="00DB731D" w:rsidRPr="00A52585">
        <w:rPr>
          <w:rFonts w:hint="cs"/>
          <w:rtl/>
        </w:rPr>
        <w:t>،</w:t>
      </w:r>
      <w:r w:rsidR="00777DCB" w:rsidRPr="00A52585">
        <w:rPr>
          <w:rFonts w:hint="cs"/>
          <w:rtl/>
        </w:rPr>
        <w:t xml:space="preserve"> فأبعد الله من عمله</w:t>
      </w:r>
      <w:r w:rsidR="00DB731D" w:rsidRPr="00A52585">
        <w:rPr>
          <w:rFonts w:hint="cs"/>
          <w:rtl/>
        </w:rPr>
        <w:t>،</w:t>
      </w:r>
      <w:r w:rsidR="00777DCB" w:rsidRPr="00A52585">
        <w:rPr>
          <w:rFonts w:hint="cs"/>
          <w:rtl/>
        </w:rPr>
        <w:t xml:space="preserve"> فقد كنا نقول</w:t>
      </w:r>
      <w:r w:rsidRPr="00A52585">
        <w:rPr>
          <w:rFonts w:hint="cs"/>
          <w:rtl/>
        </w:rPr>
        <w:t>:</w:t>
      </w:r>
      <w:r w:rsidR="00777DCB" w:rsidRPr="00A52585">
        <w:rPr>
          <w:rFonts w:hint="cs"/>
          <w:rtl/>
        </w:rPr>
        <w:t xml:space="preserve"> ذلك في المنام</w:t>
      </w:r>
      <w:r w:rsidR="00DB731D" w:rsidRPr="00A52585">
        <w:rPr>
          <w:rFonts w:hint="cs"/>
          <w:rtl/>
        </w:rPr>
        <w:t>،</w:t>
      </w:r>
      <w:r w:rsidR="00777DCB" w:rsidRPr="00A52585">
        <w:rPr>
          <w:rFonts w:hint="cs"/>
          <w:rtl/>
        </w:rPr>
        <w:t xml:space="preserve"> فذكر </w:t>
      </w:r>
      <w:r w:rsidRPr="00A52585">
        <w:rPr>
          <w:rFonts w:hint="cs"/>
          <w:rtl/>
        </w:rPr>
        <w:t>(</w:t>
      </w:r>
      <w:r w:rsidR="00777DCB" w:rsidRPr="00A52585">
        <w:rPr>
          <w:rFonts w:hint="cs"/>
          <w:rtl/>
        </w:rPr>
        <w:t>الوضاع</w:t>
      </w:r>
      <w:r w:rsidRPr="00A52585">
        <w:rPr>
          <w:rFonts w:hint="cs"/>
          <w:rtl/>
        </w:rPr>
        <w:t>)</w:t>
      </w:r>
      <w:r w:rsidR="00777DCB" w:rsidRPr="00A52585">
        <w:rPr>
          <w:rFonts w:hint="cs"/>
          <w:rtl/>
        </w:rPr>
        <w:t xml:space="preserve"> هذا في ليلة الاسراء كافأهم الله وجزاهم النار</w:t>
      </w:r>
      <w:r w:rsidR="00DB731D" w:rsidRPr="00A52585">
        <w:rPr>
          <w:rFonts w:hint="cs"/>
          <w:rtl/>
        </w:rPr>
        <w:t>،</w:t>
      </w:r>
      <w:r w:rsidR="00777DCB" w:rsidRPr="00A52585">
        <w:rPr>
          <w:rFonts w:hint="cs"/>
          <w:rtl/>
        </w:rPr>
        <w:t xml:space="preserve"> يشبهون الله سبحانه </w:t>
      </w:r>
      <w:proofErr w:type="gramStart"/>
      <w:r w:rsidR="00777DCB" w:rsidRPr="00A52585">
        <w:rPr>
          <w:rFonts w:hint="cs"/>
          <w:rtl/>
        </w:rPr>
        <w:t>بعروس</w:t>
      </w:r>
      <w:r w:rsidR="00897A24" w:rsidRPr="00A52585">
        <w:rPr>
          <w:rFonts w:hint="cs"/>
          <w:rtl/>
        </w:rPr>
        <w:t>..</w:t>
      </w:r>
      <w:r w:rsidR="00F95886" w:rsidRPr="00A52585">
        <w:rPr>
          <w:rFonts w:hint="cs"/>
          <w:rtl/>
        </w:rPr>
        <w:t>!</w:t>
      </w:r>
      <w:proofErr w:type="gramEnd"/>
      <w:r w:rsidR="00777DCB" w:rsidRPr="00A52585">
        <w:rPr>
          <w:rFonts w:hint="cs"/>
          <w:rtl/>
        </w:rPr>
        <w:t xml:space="preserve"> لا يقول هذا </w:t>
      </w:r>
      <w:proofErr w:type="gramStart"/>
      <w:r w:rsidR="00777DCB" w:rsidRPr="00A52585">
        <w:rPr>
          <w:rFonts w:hint="cs"/>
          <w:rtl/>
        </w:rPr>
        <w:t>مسلم</w:t>
      </w:r>
      <w:r w:rsidR="00897A24" w:rsidRPr="00A52585">
        <w:rPr>
          <w:rFonts w:hint="cs"/>
          <w:rtl/>
        </w:rPr>
        <w:t>..</w:t>
      </w:r>
      <w:r w:rsidR="00F95886" w:rsidRPr="00A52585">
        <w:rPr>
          <w:rFonts w:hint="cs"/>
          <w:rtl/>
        </w:rPr>
        <w:t>!</w:t>
      </w:r>
      <w:proofErr w:type="gramEnd"/>
      <w:r w:rsidR="00F95886" w:rsidRPr="00A52585">
        <w:rPr>
          <w:rFonts w:hint="cs"/>
          <w:rtl/>
        </w:rPr>
        <w:t>!</w:t>
      </w:r>
      <w:r w:rsidR="00777DCB" w:rsidRPr="00A52585">
        <w:rPr>
          <w:rFonts w:hint="cs"/>
          <w:rtl/>
        </w:rPr>
        <w:t xml:space="preserve"> وأما ذكر البرد في الحديث الماضي</w:t>
      </w:r>
      <w:r w:rsidR="00DB731D" w:rsidRPr="00A52585">
        <w:rPr>
          <w:rFonts w:hint="cs"/>
          <w:rtl/>
        </w:rPr>
        <w:t>،</w:t>
      </w:r>
      <w:r w:rsidR="00777DCB" w:rsidRPr="00A52585">
        <w:rPr>
          <w:rFonts w:hint="cs"/>
          <w:rtl/>
        </w:rPr>
        <w:t xml:space="preserve"> فإن البرد عرض</w:t>
      </w:r>
      <w:r w:rsidR="00DB731D" w:rsidRPr="00A52585">
        <w:rPr>
          <w:rFonts w:hint="cs"/>
          <w:rtl/>
        </w:rPr>
        <w:t>،</w:t>
      </w:r>
      <w:r w:rsidR="00777DCB" w:rsidRPr="00A52585">
        <w:rPr>
          <w:rFonts w:hint="cs"/>
          <w:rtl/>
        </w:rPr>
        <w:t xml:space="preserve"> لا يجوز أن ينسب إلى الله تعالى</w:t>
      </w:r>
      <w:r w:rsidR="00DB731D" w:rsidRPr="00A52585">
        <w:rPr>
          <w:rFonts w:hint="cs"/>
          <w:rtl/>
        </w:rPr>
        <w:t>،</w:t>
      </w:r>
      <w:r w:rsidR="00777DCB" w:rsidRPr="00A52585">
        <w:rPr>
          <w:rFonts w:hint="cs"/>
          <w:rtl/>
        </w:rPr>
        <w:t xml:space="preserve"> وقد ذكر القاضي أبو يعلى في كتاب الكفاية عن أحمد</w:t>
      </w:r>
      <w:r w:rsidRPr="00A52585">
        <w:rPr>
          <w:rFonts w:hint="cs"/>
          <w:rtl/>
        </w:rPr>
        <w:t>:</w:t>
      </w:r>
      <w:r w:rsidR="00777DCB" w:rsidRPr="00A52585">
        <w:rPr>
          <w:rFonts w:hint="cs"/>
          <w:rtl/>
        </w:rPr>
        <w:t xml:space="preserve"> " رأيت ربي في أحسن صورة " أي في أحسن موضع</w:t>
      </w:r>
      <w:r w:rsidR="00DB731D" w:rsidRPr="00A52585">
        <w:rPr>
          <w:rFonts w:hint="cs"/>
          <w:rtl/>
        </w:rPr>
        <w:t>،</w:t>
      </w:r>
      <w:r w:rsidR="00777DCB" w:rsidRPr="00A52585">
        <w:rPr>
          <w:rFonts w:hint="cs"/>
          <w:rtl/>
        </w:rPr>
        <w:t xml:space="preserve"> </w:t>
      </w:r>
    </w:p>
    <w:p w14:paraId="7F0E7753" w14:textId="55560EDB" w:rsidR="00777DCB" w:rsidRPr="00A52585" w:rsidRDefault="0002035C" w:rsidP="0002035C">
      <w:pPr>
        <w:rPr>
          <w:b/>
          <w:rtl/>
        </w:rPr>
      </w:pPr>
      <w:r w:rsidRPr="00A52585">
        <w:rPr>
          <w:rFonts w:hint="cs"/>
          <w:bCs/>
          <w:u w:val="single"/>
          <w:rtl/>
        </w:rPr>
        <w:t>[</w:t>
      </w:r>
      <w:r w:rsidR="00777DCB" w:rsidRPr="00A52585">
        <w:rPr>
          <w:rFonts w:hint="cs"/>
          <w:bCs/>
          <w:u w:val="single"/>
          <w:rtl/>
        </w:rPr>
        <w:t>3</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w:t>
      </w:r>
      <w:r w:rsidRPr="00A52585">
        <w:rPr>
          <w:rFonts w:hint="cs"/>
          <w:bCs/>
          <w:rtl/>
        </w:rPr>
        <w:t>]:</w:t>
      </w:r>
      <w:r w:rsidR="00777DCB" w:rsidRPr="00A52585">
        <w:rPr>
          <w:rFonts w:hint="cs"/>
          <w:rtl/>
        </w:rPr>
        <w:t xml:space="preserve"> روت أم طفيل امرأه أبي بن كعب رضي الله عنهما</w:t>
      </w:r>
      <w:r w:rsidR="00DB731D" w:rsidRPr="00A52585">
        <w:rPr>
          <w:rFonts w:hint="cs"/>
          <w:rtl/>
        </w:rPr>
        <w:t>،</w:t>
      </w:r>
      <w:r w:rsidR="00777DCB" w:rsidRPr="00A52585">
        <w:rPr>
          <w:rFonts w:hint="cs"/>
          <w:rtl/>
        </w:rPr>
        <w:t xml:space="preserve"> أنها سمعت رسول الله - صلى الله عليه وسلم - يذكر أنه</w:t>
      </w:r>
      <w:r w:rsidRPr="00A52585">
        <w:rPr>
          <w:rFonts w:hint="cs"/>
          <w:rtl/>
        </w:rPr>
        <w:t>:</w:t>
      </w:r>
      <w:r w:rsidR="00777DCB" w:rsidRPr="00A52585">
        <w:rPr>
          <w:rFonts w:hint="cs"/>
          <w:rtl/>
        </w:rPr>
        <w:t xml:space="preserve"> " رأى ربه عز وجل في المنام في أحسن صورة</w:t>
      </w:r>
      <w:r w:rsidR="00DB731D" w:rsidRPr="00A52585">
        <w:rPr>
          <w:rFonts w:hint="cs"/>
          <w:rtl/>
        </w:rPr>
        <w:t>،</w:t>
      </w:r>
      <w:r w:rsidR="00777DCB" w:rsidRPr="00A52585">
        <w:rPr>
          <w:rFonts w:hint="cs"/>
          <w:rtl/>
        </w:rPr>
        <w:t xml:space="preserve"> شابا موفرا</w:t>
      </w:r>
      <w:r w:rsidR="00DB731D" w:rsidRPr="00A52585">
        <w:rPr>
          <w:rFonts w:hint="cs"/>
          <w:rtl/>
        </w:rPr>
        <w:t>،</w:t>
      </w:r>
      <w:r w:rsidR="00777DCB" w:rsidRPr="00A52585">
        <w:rPr>
          <w:rFonts w:hint="cs"/>
          <w:rtl/>
        </w:rPr>
        <w:t xml:space="preserve"> رجلاه في خضرة</w:t>
      </w:r>
      <w:r w:rsidR="00DB731D" w:rsidRPr="00A52585">
        <w:rPr>
          <w:rFonts w:hint="cs"/>
          <w:rtl/>
        </w:rPr>
        <w:t>،</w:t>
      </w:r>
      <w:r w:rsidR="00777DCB" w:rsidRPr="00A52585">
        <w:rPr>
          <w:rFonts w:hint="cs"/>
          <w:rtl/>
        </w:rPr>
        <w:t xml:space="preserve"> عليه نعلان من ذهب</w:t>
      </w:r>
      <w:r w:rsidR="00DB731D" w:rsidRPr="00A52585">
        <w:rPr>
          <w:rFonts w:hint="cs"/>
          <w:rtl/>
        </w:rPr>
        <w:t>،</w:t>
      </w:r>
      <w:r w:rsidR="00777DCB" w:rsidRPr="00A52585">
        <w:rPr>
          <w:rFonts w:hint="cs"/>
          <w:rtl/>
        </w:rPr>
        <w:t xml:space="preserve"> على وجهه فراش من ذهب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موضوع منكر</w:t>
      </w:r>
      <w:r w:rsidR="00DB731D" w:rsidRPr="00A52585">
        <w:rPr>
          <w:rFonts w:hint="cs"/>
          <w:sz w:val="24"/>
          <w:szCs w:val="24"/>
          <w:rtl/>
        </w:rPr>
        <w:t>،</w:t>
      </w:r>
      <w:r w:rsidR="00777DCB" w:rsidRPr="00A52585">
        <w:rPr>
          <w:rFonts w:hint="cs"/>
          <w:sz w:val="24"/>
          <w:szCs w:val="24"/>
          <w:rtl/>
        </w:rPr>
        <w:t xml:space="preserve"> رواه الطبراني في الكبير </w:t>
      </w:r>
      <w:r w:rsidRPr="00A52585">
        <w:rPr>
          <w:rFonts w:hint="cs"/>
          <w:sz w:val="24"/>
          <w:szCs w:val="24"/>
          <w:rtl/>
        </w:rPr>
        <w:t>(</w:t>
      </w:r>
      <w:r w:rsidR="00777DCB" w:rsidRPr="00A52585">
        <w:rPr>
          <w:rFonts w:hint="cs"/>
          <w:sz w:val="24"/>
          <w:szCs w:val="24"/>
          <w:rtl/>
        </w:rPr>
        <w:t>25 / 143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والحافظ البيهقي في الاسماء والصفات </w:t>
      </w:r>
      <w:r w:rsidRPr="00A52585">
        <w:rPr>
          <w:rFonts w:hint="cs"/>
          <w:sz w:val="24"/>
          <w:szCs w:val="24"/>
          <w:rtl/>
        </w:rPr>
        <w:t>(</w:t>
      </w:r>
      <w:r w:rsidR="00777DCB" w:rsidRPr="00A52585">
        <w:rPr>
          <w:rFonts w:hint="cs"/>
          <w:sz w:val="24"/>
          <w:szCs w:val="24"/>
          <w:rtl/>
        </w:rPr>
        <w:t>446 - 447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الجوزي في " الموضوعات " </w:t>
      </w:r>
      <w:r w:rsidRPr="00A52585">
        <w:rPr>
          <w:rFonts w:hint="cs"/>
          <w:sz w:val="24"/>
          <w:szCs w:val="24"/>
          <w:rtl/>
        </w:rPr>
        <w:t>(</w:t>
      </w:r>
      <w:r w:rsidR="00777DCB" w:rsidRPr="00A52585">
        <w:rPr>
          <w:rFonts w:hint="cs"/>
          <w:sz w:val="24"/>
          <w:szCs w:val="24"/>
          <w:rtl/>
        </w:rPr>
        <w:t>1 / 125</w:t>
      </w:r>
      <w:r w:rsidRPr="00A52585">
        <w:rPr>
          <w:rFonts w:hint="cs"/>
          <w:sz w:val="24"/>
          <w:szCs w:val="24"/>
          <w:rtl/>
        </w:rPr>
        <w:t>)</w:t>
      </w:r>
      <w:r w:rsidR="00777DCB" w:rsidRPr="00A52585">
        <w:rPr>
          <w:rFonts w:hint="cs"/>
          <w:sz w:val="24"/>
          <w:szCs w:val="24"/>
          <w:rtl/>
        </w:rPr>
        <w:t xml:space="preserve"> وغيرهم</w:t>
      </w:r>
      <w:r w:rsidR="00DB731D" w:rsidRPr="00A52585">
        <w:rPr>
          <w:rFonts w:hint="cs"/>
          <w:sz w:val="24"/>
          <w:szCs w:val="24"/>
          <w:rtl/>
        </w:rPr>
        <w:t>،</w:t>
      </w:r>
      <w:r w:rsidR="00777DCB" w:rsidRPr="00A52585">
        <w:rPr>
          <w:rFonts w:hint="cs"/>
          <w:sz w:val="24"/>
          <w:szCs w:val="24"/>
          <w:rtl/>
        </w:rPr>
        <w:t xml:space="preserve"> وقد طعن في هذا الحديث أئمة هذا الشأن كالبخاري في تاريخه </w:t>
      </w:r>
      <w:r w:rsidRPr="00A52585">
        <w:rPr>
          <w:rFonts w:hint="cs"/>
          <w:sz w:val="24"/>
          <w:szCs w:val="24"/>
          <w:rtl/>
        </w:rPr>
        <w:t>(</w:t>
      </w:r>
      <w:r w:rsidR="00777DCB" w:rsidRPr="00A52585">
        <w:rPr>
          <w:rFonts w:hint="cs"/>
          <w:sz w:val="24"/>
          <w:szCs w:val="24"/>
          <w:rtl/>
        </w:rPr>
        <w:t>6 / 500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واحمد بن حنبل ويحيى بن معين</w:t>
      </w:r>
      <w:r w:rsidR="00DB731D" w:rsidRPr="00A52585">
        <w:rPr>
          <w:rFonts w:hint="cs"/>
          <w:sz w:val="24"/>
          <w:szCs w:val="24"/>
          <w:rtl/>
        </w:rPr>
        <w:t>،</w:t>
      </w:r>
      <w:r w:rsidR="00777DCB" w:rsidRPr="00A52585">
        <w:rPr>
          <w:rFonts w:hint="cs"/>
          <w:sz w:val="24"/>
          <w:szCs w:val="24"/>
          <w:rtl/>
        </w:rPr>
        <w:t xml:space="preserve"> والنسائي </w:t>
      </w:r>
      <w:r w:rsidRPr="00A52585">
        <w:rPr>
          <w:rFonts w:hint="cs"/>
          <w:sz w:val="24"/>
          <w:szCs w:val="24"/>
          <w:rtl/>
        </w:rPr>
        <w:t>(</w:t>
      </w:r>
      <w:r w:rsidR="00777DCB" w:rsidRPr="00A52585">
        <w:rPr>
          <w:rFonts w:hint="cs"/>
          <w:sz w:val="24"/>
          <w:szCs w:val="24"/>
          <w:rtl/>
        </w:rPr>
        <w:t>تاريخ بنداد 3 / 311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حبان في الثقات </w:t>
      </w:r>
      <w:r w:rsidRPr="00A52585">
        <w:rPr>
          <w:rFonts w:hint="cs"/>
          <w:sz w:val="24"/>
          <w:szCs w:val="24"/>
          <w:rtl/>
        </w:rPr>
        <w:t>(</w:t>
      </w:r>
      <w:r w:rsidR="00777DCB" w:rsidRPr="00A52585">
        <w:rPr>
          <w:rFonts w:hint="cs"/>
          <w:sz w:val="24"/>
          <w:szCs w:val="24"/>
          <w:rtl/>
        </w:rPr>
        <w:t>5 / 245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حجر العسقلاني كما في " تهذيب التهذيب " </w:t>
      </w:r>
      <w:r w:rsidRPr="00A52585">
        <w:rPr>
          <w:rFonts w:hint="cs"/>
          <w:sz w:val="24"/>
          <w:szCs w:val="24"/>
          <w:rtl/>
        </w:rPr>
        <w:t>(</w:t>
      </w:r>
      <w:r w:rsidR="00777DCB" w:rsidRPr="00A52585">
        <w:rPr>
          <w:rFonts w:hint="cs"/>
          <w:sz w:val="24"/>
          <w:szCs w:val="24"/>
          <w:rtl/>
        </w:rPr>
        <w:t>10 / 95</w:t>
      </w:r>
      <w:r w:rsidRPr="00A52585">
        <w:rPr>
          <w:rFonts w:hint="cs"/>
          <w:sz w:val="24"/>
          <w:szCs w:val="24"/>
          <w:rtl/>
        </w:rPr>
        <w:t>)</w:t>
      </w:r>
      <w:r w:rsidR="00777DCB" w:rsidRPr="00A52585">
        <w:rPr>
          <w:rFonts w:hint="cs"/>
          <w:sz w:val="24"/>
          <w:szCs w:val="24"/>
          <w:rtl/>
        </w:rPr>
        <w:t xml:space="preserve"> حيث قال</w:t>
      </w:r>
      <w:r w:rsidRPr="00A52585">
        <w:rPr>
          <w:rFonts w:hint="cs"/>
          <w:sz w:val="24"/>
          <w:szCs w:val="24"/>
          <w:rtl/>
        </w:rPr>
        <w:t>:</w:t>
      </w:r>
      <w:r w:rsidR="00777DCB" w:rsidRPr="00A52585">
        <w:rPr>
          <w:rFonts w:hint="cs"/>
          <w:sz w:val="24"/>
          <w:szCs w:val="24"/>
          <w:rtl/>
        </w:rPr>
        <w:t xml:space="preserve"> وهو متن منكر</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يرويه نعيم بن حماد بن معاوية المروزي</w:t>
      </w:r>
      <w:r w:rsidR="00DB731D" w:rsidRPr="00A52585">
        <w:rPr>
          <w:rFonts w:hint="cs"/>
          <w:rtl/>
        </w:rPr>
        <w:t>،</w:t>
      </w:r>
      <w:r w:rsidR="00777DCB" w:rsidRPr="00A52585">
        <w:rPr>
          <w:rFonts w:hint="cs"/>
          <w:rtl/>
        </w:rPr>
        <w:t xml:space="preserve"> قال ابن عدي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وذلك في كتابه " الكامل في ضعفاء الرجال " </w:t>
      </w:r>
      <w:r w:rsidRPr="00A52585">
        <w:rPr>
          <w:rFonts w:hint="cs"/>
          <w:sz w:val="24"/>
          <w:szCs w:val="24"/>
          <w:rtl/>
        </w:rPr>
        <w:t>(</w:t>
      </w:r>
      <w:r w:rsidR="00777DCB" w:rsidRPr="00A52585">
        <w:rPr>
          <w:rFonts w:hint="cs"/>
          <w:sz w:val="24"/>
          <w:szCs w:val="24"/>
          <w:rtl/>
        </w:rPr>
        <w:t xml:space="preserve">7 / </w:t>
      </w:r>
      <w:r w:rsidR="00777DCB" w:rsidRPr="00A52585">
        <w:rPr>
          <w:rFonts w:hint="cs"/>
          <w:sz w:val="24"/>
          <w:szCs w:val="24"/>
          <w:rtl/>
        </w:rPr>
        <w:lastRenderedPageBreak/>
        <w:t>2482</w:t>
      </w:r>
      <w:r w:rsidRPr="00A52585">
        <w:rPr>
          <w:rFonts w:hint="cs"/>
          <w:sz w:val="24"/>
          <w:szCs w:val="24"/>
          <w:rtl/>
        </w:rPr>
        <w:t>)</w:t>
      </w:r>
      <w:r w:rsidR="00777DCB" w:rsidRPr="00A52585">
        <w:rPr>
          <w:rFonts w:hint="cs"/>
          <w:rtl/>
        </w:rPr>
        <w:t>]</w:t>
      </w:r>
      <w:r w:rsidRPr="00A52585">
        <w:rPr>
          <w:rFonts w:hint="cs"/>
          <w:rtl/>
        </w:rPr>
        <w:t>:</w:t>
      </w:r>
      <w:r w:rsidR="00777DCB" w:rsidRPr="00A52585">
        <w:rPr>
          <w:rFonts w:hint="cs"/>
          <w:rtl/>
        </w:rPr>
        <w:t xml:space="preserve"> كان يضع الحديث</w:t>
      </w:r>
      <w:r w:rsidR="00DB731D" w:rsidRPr="00A52585">
        <w:rPr>
          <w:rFonts w:hint="cs"/>
          <w:rtl/>
        </w:rPr>
        <w:t>،</w:t>
      </w:r>
      <w:r w:rsidR="00777DCB" w:rsidRPr="00A52585">
        <w:rPr>
          <w:rFonts w:hint="cs"/>
          <w:rtl/>
        </w:rPr>
        <w:t xml:space="preserve"> وقال يحيى بن معين</w:t>
      </w:r>
      <w:r w:rsidRPr="00A52585">
        <w:rPr>
          <w:rFonts w:hint="cs"/>
          <w:rtl/>
        </w:rPr>
        <w:t>:</w:t>
      </w:r>
      <w:r w:rsidR="00777DCB" w:rsidRPr="00A52585">
        <w:rPr>
          <w:rFonts w:hint="cs"/>
          <w:rtl/>
        </w:rPr>
        <w:t xml:space="preserve"> ليس نعيم بشيء في الحديث</w:t>
      </w:r>
      <w:r w:rsidR="00DB731D" w:rsidRPr="00A52585">
        <w:rPr>
          <w:rFonts w:hint="cs"/>
          <w:rtl/>
        </w:rPr>
        <w:t>،</w:t>
      </w:r>
      <w:r w:rsidR="00777DCB" w:rsidRPr="00A52585">
        <w:rPr>
          <w:rFonts w:hint="cs"/>
          <w:rtl/>
        </w:rPr>
        <w:t xml:space="preserve"> وفي إسناده مروان بن عثمان عن عمارة بن عامر</w:t>
      </w:r>
      <w:r w:rsidR="00DB731D" w:rsidRPr="00A52585">
        <w:rPr>
          <w:rFonts w:hint="cs"/>
          <w:rtl/>
        </w:rPr>
        <w:t>،</w:t>
      </w:r>
      <w:r w:rsidR="00777DCB" w:rsidRPr="00A52585">
        <w:rPr>
          <w:rFonts w:hint="cs"/>
          <w:rtl/>
        </w:rPr>
        <w:t xml:space="preserve"> قال أبو عبد الرحمن النسائي</w:t>
      </w:r>
      <w:r w:rsidRPr="00A52585">
        <w:rPr>
          <w:rFonts w:hint="cs"/>
          <w:rtl/>
        </w:rPr>
        <w:t>:</w:t>
      </w:r>
      <w:r w:rsidR="00777DCB" w:rsidRPr="00A52585">
        <w:rPr>
          <w:rFonts w:hint="cs"/>
          <w:rtl/>
        </w:rPr>
        <w:t xml:space="preserve"> ومن مروان حتى يصدق على الله عز وجل</w:t>
      </w:r>
      <w:r w:rsidR="00F95886" w:rsidRPr="00A52585">
        <w:rPr>
          <w:rFonts w:hint="cs"/>
          <w:rtl/>
        </w:rPr>
        <w:t>؟</w:t>
      </w:r>
      <w:r w:rsidR="00777DCB" w:rsidRPr="00A52585">
        <w:rPr>
          <w:rFonts w:hint="cs"/>
          <w:rtl/>
        </w:rPr>
        <w:t xml:space="preserve"> وقال </w:t>
      </w:r>
      <w:proofErr w:type="spellStart"/>
      <w:r w:rsidR="00777DCB" w:rsidRPr="00A52585">
        <w:rPr>
          <w:rFonts w:hint="cs"/>
          <w:rtl/>
        </w:rPr>
        <w:t>مهنى</w:t>
      </w:r>
      <w:proofErr w:type="spellEnd"/>
      <w:r w:rsidR="00777DCB" w:rsidRPr="00A52585">
        <w:rPr>
          <w:rFonts w:hint="cs"/>
          <w:rtl/>
        </w:rPr>
        <w:t xml:space="preserve"> بن يحيى</w:t>
      </w:r>
      <w:r w:rsidR="00DB731D" w:rsidRPr="00A52585">
        <w:rPr>
          <w:rFonts w:hint="cs"/>
          <w:rtl/>
        </w:rPr>
        <w:t>،</w:t>
      </w:r>
      <w:r w:rsidR="00777DCB" w:rsidRPr="00A52585">
        <w:rPr>
          <w:rFonts w:hint="cs"/>
          <w:rtl/>
        </w:rPr>
        <w:t xml:space="preserve"> سألت أحمد عن هذا الحديث</w:t>
      </w:r>
      <w:r w:rsidR="00DB731D" w:rsidRPr="00A52585">
        <w:rPr>
          <w:rFonts w:hint="cs"/>
          <w:rtl/>
        </w:rPr>
        <w:t>،</w:t>
      </w:r>
      <w:r w:rsidR="00777DCB" w:rsidRPr="00A52585">
        <w:rPr>
          <w:rFonts w:hint="cs"/>
          <w:rtl/>
        </w:rPr>
        <w:t xml:space="preserve"> فأعرض بوجهه وقال</w:t>
      </w:r>
      <w:r w:rsidRPr="00A52585">
        <w:rPr>
          <w:rFonts w:hint="cs"/>
          <w:rtl/>
        </w:rPr>
        <w:t>:</w:t>
      </w:r>
      <w:r w:rsidR="00777DCB" w:rsidRPr="00A52585">
        <w:rPr>
          <w:rFonts w:hint="cs"/>
          <w:rtl/>
        </w:rPr>
        <w:t xml:space="preserve"> هذا حديث منكر مجهول يعني مروان بن عثمان قال ولا يعرف أيضا عمارة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وبعد هذا البيان السريع الموجز في بيان حديث أم الطفيل هذا</w:t>
      </w:r>
      <w:r w:rsidR="00DB731D" w:rsidRPr="00A52585">
        <w:rPr>
          <w:rFonts w:hint="cs"/>
          <w:sz w:val="24"/>
          <w:szCs w:val="24"/>
          <w:rtl/>
        </w:rPr>
        <w:t>،</w:t>
      </w:r>
      <w:r w:rsidR="00777DCB" w:rsidRPr="00A52585">
        <w:rPr>
          <w:rFonts w:hint="cs"/>
          <w:sz w:val="24"/>
          <w:szCs w:val="24"/>
          <w:rtl/>
        </w:rPr>
        <w:t xml:space="preserve"> وأنه حديث موضوع منكر</w:t>
      </w:r>
      <w:r w:rsidR="00DB731D" w:rsidRPr="00A52585">
        <w:rPr>
          <w:rFonts w:hint="cs"/>
          <w:sz w:val="24"/>
          <w:szCs w:val="24"/>
          <w:rtl/>
        </w:rPr>
        <w:t>،</w:t>
      </w:r>
      <w:r w:rsidR="00777DCB" w:rsidRPr="00A52585">
        <w:rPr>
          <w:rFonts w:hint="cs"/>
          <w:sz w:val="24"/>
          <w:szCs w:val="24"/>
          <w:rtl/>
        </w:rPr>
        <w:t xml:space="preserve"> نقول</w:t>
      </w:r>
      <w:r w:rsidRPr="00A52585">
        <w:rPr>
          <w:rFonts w:hint="cs"/>
          <w:sz w:val="24"/>
          <w:szCs w:val="24"/>
          <w:rtl/>
        </w:rPr>
        <w:t>:</w:t>
      </w:r>
      <w:r w:rsidR="00777DCB" w:rsidRPr="00A52585">
        <w:rPr>
          <w:rFonts w:hint="cs"/>
          <w:sz w:val="24"/>
          <w:szCs w:val="24"/>
          <w:rtl/>
        </w:rPr>
        <w:t xml:space="preserve"> لا تتعجب إن علمت أن الشيخ المتناقض</w:t>
      </w:r>
      <w:r w:rsidR="00F95886" w:rsidRPr="00A52585">
        <w:rPr>
          <w:rFonts w:hint="cs"/>
          <w:sz w:val="24"/>
          <w:szCs w:val="24"/>
          <w:rtl/>
        </w:rPr>
        <w:t>!</w:t>
      </w:r>
      <w:r w:rsidR="00777DCB" w:rsidRPr="00A52585">
        <w:rPr>
          <w:rFonts w:hint="cs"/>
          <w:sz w:val="24"/>
          <w:szCs w:val="24"/>
          <w:rtl/>
        </w:rPr>
        <w:t xml:space="preserve"> قد صححه في تعليقه السقيم على " سنة ابن أبي عاصم " برقم </w:t>
      </w:r>
      <w:r w:rsidRPr="00A52585">
        <w:rPr>
          <w:rFonts w:hint="cs"/>
          <w:sz w:val="24"/>
          <w:szCs w:val="24"/>
          <w:rtl/>
        </w:rPr>
        <w:t>(</w:t>
      </w:r>
      <w:r w:rsidR="00777DCB" w:rsidRPr="00A52585">
        <w:rPr>
          <w:rFonts w:hint="cs"/>
          <w:sz w:val="24"/>
          <w:szCs w:val="24"/>
          <w:rtl/>
        </w:rPr>
        <w:t>471</w:t>
      </w:r>
      <w:r w:rsidRPr="00A52585">
        <w:rPr>
          <w:rFonts w:hint="cs"/>
          <w:sz w:val="24"/>
          <w:szCs w:val="24"/>
          <w:rtl/>
        </w:rPr>
        <w:t>)</w:t>
      </w:r>
      <w:r w:rsidR="00777DCB" w:rsidRPr="00A52585">
        <w:rPr>
          <w:rFonts w:hint="cs"/>
          <w:sz w:val="24"/>
          <w:szCs w:val="24"/>
          <w:rtl/>
        </w:rPr>
        <w:t xml:space="preserve"> بالشواهد</w:t>
      </w:r>
      <w:r w:rsidR="00DB731D" w:rsidRPr="00A52585">
        <w:rPr>
          <w:rFonts w:hint="cs"/>
          <w:sz w:val="24"/>
          <w:szCs w:val="24"/>
          <w:rtl/>
        </w:rPr>
        <w:t>،</w:t>
      </w:r>
      <w:r w:rsidR="00777DCB" w:rsidRPr="00A52585">
        <w:rPr>
          <w:rFonts w:hint="cs"/>
          <w:sz w:val="24"/>
          <w:szCs w:val="24"/>
          <w:rtl/>
        </w:rPr>
        <w:t xml:space="preserve"> ولم يتنبه إلى متن الحديث المنكر الذي طواه ابن أبي عاصم ولم يذكره هناك فقال هناك</w:t>
      </w:r>
      <w:r w:rsidRPr="00A52585">
        <w:rPr>
          <w:rFonts w:hint="cs"/>
          <w:sz w:val="24"/>
          <w:szCs w:val="24"/>
          <w:rtl/>
        </w:rPr>
        <w:t>:</w:t>
      </w:r>
      <w:r w:rsidR="00777DCB" w:rsidRPr="00A52585">
        <w:rPr>
          <w:rFonts w:hint="cs"/>
          <w:sz w:val="24"/>
          <w:szCs w:val="24"/>
          <w:rtl/>
        </w:rPr>
        <w:t xml:space="preserve"> " حديث صحيح بما قبله واسناده ضعيف مظلم "</w:t>
      </w:r>
      <w:r w:rsidR="00F95886" w:rsidRPr="00A52585">
        <w:rPr>
          <w:rFonts w:hint="cs"/>
          <w:sz w:val="24"/>
          <w:szCs w:val="24"/>
          <w:rtl/>
        </w:rPr>
        <w:t>!!</w:t>
      </w:r>
      <w:r w:rsidR="00777DCB" w:rsidRPr="00A52585">
        <w:rPr>
          <w:rFonts w:hint="cs"/>
          <w:sz w:val="24"/>
          <w:szCs w:val="24"/>
          <w:rtl/>
        </w:rPr>
        <w:t xml:space="preserve"> فتأملوا أيها العقلاء في أفانين خبطه</w:t>
      </w:r>
      <w:r w:rsidR="00F95886" w:rsidRPr="00A52585">
        <w:rPr>
          <w:rFonts w:hint="cs"/>
          <w:sz w:val="24"/>
          <w:szCs w:val="24"/>
          <w:rtl/>
        </w:rPr>
        <w:t>!!</w:t>
      </w:r>
      <w:r w:rsidR="00777DCB" w:rsidRPr="00A52585">
        <w:rPr>
          <w:rFonts w:hint="cs"/>
          <w:rtl/>
        </w:rPr>
        <w:t>] وقد روى عبيد الله بن أبي سلمة قال</w:t>
      </w:r>
      <w:r w:rsidRPr="00A52585">
        <w:rPr>
          <w:rFonts w:hint="cs"/>
          <w:rtl/>
        </w:rPr>
        <w:t>:</w:t>
      </w:r>
      <w:r w:rsidR="00777DCB" w:rsidRPr="00A52585">
        <w:rPr>
          <w:rFonts w:hint="cs"/>
          <w:rtl/>
        </w:rPr>
        <w:t xml:space="preserve"> بعث ابن عمر إلى عبد الله بن عباس يسأله هل رأى محمد ربه</w:t>
      </w:r>
      <w:r w:rsidR="00F95886" w:rsidRPr="00A52585">
        <w:rPr>
          <w:rFonts w:hint="cs"/>
          <w:rtl/>
        </w:rPr>
        <w:t>؟</w:t>
      </w:r>
      <w:r w:rsidR="00777DCB" w:rsidRPr="00A52585">
        <w:rPr>
          <w:rFonts w:hint="cs"/>
          <w:rtl/>
        </w:rPr>
        <w:t xml:space="preserve"> فأرسل إليه أن نعم قد رآه</w:t>
      </w:r>
      <w:r w:rsidR="00897A24" w:rsidRPr="00A52585">
        <w:rPr>
          <w:rFonts w:hint="cs"/>
          <w:rtl/>
        </w:rPr>
        <w:t>.</w:t>
      </w:r>
      <w:r w:rsidR="00777DCB" w:rsidRPr="00A52585">
        <w:rPr>
          <w:rFonts w:hint="cs"/>
          <w:rtl/>
        </w:rPr>
        <w:t xml:space="preserve"> فرد الرسول إليه كيف رآه</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رآه على كرسي من ذهب يحمله أربعة من الملائكة في صورة </w:t>
      </w:r>
      <w:proofErr w:type="gramStart"/>
      <w:r w:rsidR="00777DCB" w:rsidRPr="00A52585">
        <w:rPr>
          <w:rFonts w:hint="cs"/>
          <w:rtl/>
        </w:rPr>
        <w:t>رجل[</w:t>
      </w:r>
      <w:proofErr w:type="gramEnd"/>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قلت هذا الحديث المكذوب الموضوع على ابن عمر وابن عباس رضي الله عنهما مما سود به صاحب كتاب " السنة " المنسوب لابن الامام أحمد كتابه</w:t>
      </w:r>
      <w:r w:rsidR="00DB731D" w:rsidRPr="00A52585">
        <w:rPr>
          <w:rFonts w:hint="cs"/>
          <w:sz w:val="24"/>
          <w:szCs w:val="24"/>
          <w:rtl/>
        </w:rPr>
        <w:t>،</w:t>
      </w:r>
      <w:r w:rsidR="00777DCB" w:rsidRPr="00A52585">
        <w:rPr>
          <w:rFonts w:hint="cs"/>
          <w:sz w:val="24"/>
          <w:szCs w:val="24"/>
          <w:rtl/>
        </w:rPr>
        <w:t xml:space="preserve"> وشأنه به</w:t>
      </w:r>
      <w:r w:rsidR="00DB731D" w:rsidRPr="00A52585">
        <w:rPr>
          <w:rFonts w:hint="cs"/>
          <w:sz w:val="24"/>
          <w:szCs w:val="24"/>
          <w:rtl/>
        </w:rPr>
        <w:t>،</w:t>
      </w:r>
      <w:r w:rsidR="00777DCB" w:rsidRPr="00A52585">
        <w:rPr>
          <w:rFonts w:hint="cs"/>
          <w:sz w:val="24"/>
          <w:szCs w:val="24"/>
          <w:rtl/>
        </w:rPr>
        <w:t xml:space="preserve"> واليك الحديث من صحيفة </w:t>
      </w:r>
      <w:r w:rsidRPr="00A52585">
        <w:rPr>
          <w:rFonts w:hint="cs"/>
          <w:sz w:val="24"/>
          <w:szCs w:val="24"/>
          <w:rtl/>
        </w:rPr>
        <w:t>(</w:t>
      </w:r>
      <w:r w:rsidR="00777DCB" w:rsidRPr="00A52585">
        <w:rPr>
          <w:rFonts w:hint="cs"/>
          <w:sz w:val="24"/>
          <w:szCs w:val="24"/>
          <w:rtl/>
        </w:rPr>
        <w:t>42</w:t>
      </w:r>
      <w:r w:rsidRPr="00A52585">
        <w:rPr>
          <w:rFonts w:hint="cs"/>
          <w:sz w:val="24"/>
          <w:szCs w:val="24"/>
          <w:rtl/>
        </w:rPr>
        <w:t>)</w:t>
      </w:r>
      <w:r w:rsidR="00777DCB" w:rsidRPr="00A52585">
        <w:rPr>
          <w:rFonts w:hint="cs"/>
          <w:sz w:val="24"/>
          <w:szCs w:val="24"/>
          <w:rtl/>
        </w:rPr>
        <w:t xml:space="preserve"> من طبعة دار الكتب العلمية - بيروت ورقمه </w:t>
      </w:r>
      <w:r w:rsidRPr="00A52585">
        <w:rPr>
          <w:rFonts w:hint="cs"/>
          <w:sz w:val="24"/>
          <w:szCs w:val="24"/>
          <w:rtl/>
        </w:rPr>
        <w:t>(</w:t>
      </w:r>
      <w:r w:rsidR="00777DCB" w:rsidRPr="00A52585">
        <w:rPr>
          <w:rFonts w:hint="cs"/>
          <w:sz w:val="24"/>
          <w:szCs w:val="24"/>
          <w:rtl/>
        </w:rPr>
        <w:t>208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حدثنا يونس بن بكير عن ابن اسحاق قال فحدثني عبد الرحمن بن الحارث بن عبد الله بن عياش عن عبد الله بن أبي سلمة قال</w:t>
      </w:r>
      <w:r w:rsidRPr="00A52585">
        <w:rPr>
          <w:rFonts w:hint="cs"/>
          <w:sz w:val="24"/>
          <w:szCs w:val="24"/>
          <w:rtl/>
        </w:rPr>
        <w:t>:</w:t>
      </w:r>
      <w:r w:rsidR="00777DCB" w:rsidRPr="00A52585">
        <w:rPr>
          <w:rFonts w:hint="cs"/>
          <w:sz w:val="24"/>
          <w:szCs w:val="24"/>
          <w:rtl/>
        </w:rPr>
        <w:t xml:space="preserve"> بعث عبد الله بن عمر إلى عبد الله بن العباس يسأله هل رأى محمد ربه</w:t>
      </w:r>
      <w:r w:rsidR="00F95886" w:rsidRPr="00A52585">
        <w:rPr>
          <w:rFonts w:hint="cs"/>
          <w:sz w:val="24"/>
          <w:szCs w:val="24"/>
          <w:rtl/>
        </w:rPr>
        <w:t>؟</w:t>
      </w:r>
      <w:r w:rsidR="00777DCB" w:rsidRPr="00A52585">
        <w:rPr>
          <w:rFonts w:hint="cs"/>
          <w:sz w:val="24"/>
          <w:szCs w:val="24"/>
          <w:rtl/>
        </w:rPr>
        <w:t xml:space="preserve"> فبعث إليه</w:t>
      </w:r>
      <w:r w:rsidRPr="00A52585">
        <w:rPr>
          <w:rFonts w:hint="cs"/>
          <w:sz w:val="24"/>
          <w:szCs w:val="24"/>
          <w:rtl/>
        </w:rPr>
        <w:t>:</w:t>
      </w:r>
      <w:r w:rsidR="00777DCB" w:rsidRPr="00A52585">
        <w:rPr>
          <w:rFonts w:hint="cs"/>
          <w:sz w:val="24"/>
          <w:szCs w:val="24"/>
          <w:rtl/>
        </w:rPr>
        <w:t xml:space="preserve"> أن نعم قد رآه</w:t>
      </w:r>
      <w:r w:rsidR="00897A24" w:rsidRPr="00A52585">
        <w:rPr>
          <w:rFonts w:hint="cs"/>
          <w:sz w:val="24"/>
          <w:szCs w:val="24"/>
          <w:rtl/>
        </w:rPr>
        <w:t>.</w:t>
      </w:r>
      <w:r w:rsidR="00777DCB" w:rsidRPr="00A52585">
        <w:rPr>
          <w:rFonts w:hint="cs"/>
          <w:sz w:val="24"/>
          <w:szCs w:val="24"/>
          <w:rtl/>
        </w:rPr>
        <w:t xml:space="preserve"> فرد رسوله إليه وكيف رآه</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رآه على كرسي من ذهب يحمله أربعة</w:t>
      </w:r>
      <w:r w:rsidRPr="00A52585">
        <w:rPr>
          <w:rFonts w:hint="cs"/>
          <w:sz w:val="24"/>
          <w:szCs w:val="24"/>
          <w:rtl/>
        </w:rPr>
        <w:t>:</w:t>
      </w:r>
      <w:r w:rsidR="00777DCB" w:rsidRPr="00A52585">
        <w:rPr>
          <w:rFonts w:hint="cs"/>
          <w:sz w:val="24"/>
          <w:szCs w:val="24"/>
          <w:rtl/>
        </w:rPr>
        <w:t xml:space="preserve"> ملك في صورة رجل</w:t>
      </w:r>
      <w:r w:rsidR="00DB731D" w:rsidRPr="00A52585">
        <w:rPr>
          <w:rFonts w:hint="cs"/>
          <w:sz w:val="24"/>
          <w:szCs w:val="24"/>
          <w:rtl/>
        </w:rPr>
        <w:t>،</w:t>
      </w:r>
      <w:r w:rsidR="00777DCB" w:rsidRPr="00A52585">
        <w:rPr>
          <w:rFonts w:hint="cs"/>
          <w:sz w:val="24"/>
          <w:szCs w:val="24"/>
          <w:rtl/>
        </w:rPr>
        <w:t xml:space="preserve"> وملك في صورة أسد</w:t>
      </w:r>
      <w:r w:rsidR="00DB731D" w:rsidRPr="00A52585">
        <w:rPr>
          <w:rFonts w:hint="cs"/>
          <w:sz w:val="24"/>
          <w:szCs w:val="24"/>
          <w:rtl/>
        </w:rPr>
        <w:t>،</w:t>
      </w:r>
      <w:r w:rsidR="00777DCB" w:rsidRPr="00A52585">
        <w:rPr>
          <w:rFonts w:hint="cs"/>
          <w:sz w:val="24"/>
          <w:szCs w:val="24"/>
          <w:rtl/>
        </w:rPr>
        <w:t xml:space="preserve"> وملك في صورة ثور</w:t>
      </w:r>
      <w:r w:rsidR="00DB731D" w:rsidRPr="00A52585">
        <w:rPr>
          <w:rFonts w:hint="cs"/>
          <w:sz w:val="24"/>
          <w:szCs w:val="24"/>
          <w:rtl/>
        </w:rPr>
        <w:t>،</w:t>
      </w:r>
      <w:r w:rsidR="00777DCB" w:rsidRPr="00A52585">
        <w:rPr>
          <w:rFonts w:hint="cs"/>
          <w:sz w:val="24"/>
          <w:szCs w:val="24"/>
          <w:rtl/>
        </w:rPr>
        <w:t xml:space="preserve"> وملك في صورة نسر</w:t>
      </w:r>
      <w:r w:rsidR="00DB731D" w:rsidRPr="00A52585">
        <w:rPr>
          <w:rFonts w:hint="cs"/>
          <w:sz w:val="24"/>
          <w:szCs w:val="24"/>
          <w:rtl/>
        </w:rPr>
        <w:t>،</w:t>
      </w:r>
      <w:r w:rsidR="00777DCB" w:rsidRPr="00A52585">
        <w:rPr>
          <w:rFonts w:hint="cs"/>
          <w:sz w:val="24"/>
          <w:szCs w:val="24"/>
          <w:rtl/>
        </w:rPr>
        <w:t xml:space="preserve"> في روضة خضراء دونه فراش من ذهب</w:t>
      </w:r>
      <w:r w:rsidR="00DB731D" w:rsidRPr="00A52585">
        <w:rPr>
          <w:rFonts w:hint="cs"/>
          <w:sz w:val="24"/>
          <w:szCs w:val="24"/>
          <w:rtl/>
        </w:rPr>
        <w:t>،</w:t>
      </w:r>
      <w:r w:rsidR="00777DCB" w:rsidRPr="00A52585">
        <w:rPr>
          <w:rFonts w:hint="cs"/>
          <w:sz w:val="24"/>
          <w:szCs w:val="24"/>
          <w:rtl/>
        </w:rPr>
        <w:t xml:space="preserve"> علل هذا الاسناد</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w:t>
      </w:r>
      <w:r w:rsidRPr="00A52585">
        <w:rPr>
          <w:rFonts w:hint="cs"/>
          <w:sz w:val="24"/>
          <w:szCs w:val="24"/>
          <w:rtl/>
        </w:rPr>
        <w:t>)</w:t>
      </w:r>
      <w:r w:rsidR="00777DCB" w:rsidRPr="00A52585">
        <w:rPr>
          <w:rFonts w:hint="cs"/>
          <w:sz w:val="24"/>
          <w:szCs w:val="24"/>
          <w:rtl/>
        </w:rPr>
        <w:t xml:space="preserve"> يونس بن بكير قال عنه أبو داود</w:t>
      </w:r>
      <w:r w:rsidRPr="00A52585">
        <w:rPr>
          <w:rFonts w:hint="cs"/>
          <w:sz w:val="24"/>
          <w:szCs w:val="24"/>
          <w:rtl/>
        </w:rPr>
        <w:t>:</w:t>
      </w:r>
      <w:r w:rsidR="00777DCB" w:rsidRPr="00A52585">
        <w:rPr>
          <w:rFonts w:hint="cs"/>
          <w:sz w:val="24"/>
          <w:szCs w:val="24"/>
          <w:rtl/>
        </w:rPr>
        <w:t xml:space="preserve"> ليس هو عندي بحجة كان يأخذ كلام ابن اسحق فيوصله بالاحاديث</w:t>
      </w:r>
      <w:r w:rsidR="00DB731D" w:rsidRPr="00A52585">
        <w:rPr>
          <w:rFonts w:hint="cs"/>
          <w:sz w:val="24"/>
          <w:szCs w:val="24"/>
          <w:rtl/>
        </w:rPr>
        <w:t>،</w:t>
      </w:r>
      <w:r w:rsidR="00777DCB" w:rsidRPr="00A52585">
        <w:rPr>
          <w:rFonts w:hint="cs"/>
          <w:sz w:val="24"/>
          <w:szCs w:val="24"/>
          <w:rtl/>
        </w:rPr>
        <w:t xml:space="preserve"> كذا في " تهذيب التهذيب " </w:t>
      </w:r>
      <w:r w:rsidRPr="00A52585">
        <w:rPr>
          <w:rFonts w:hint="cs"/>
          <w:sz w:val="24"/>
          <w:szCs w:val="24"/>
          <w:rtl/>
        </w:rPr>
        <w:t>(</w:t>
      </w:r>
      <w:r w:rsidR="00777DCB" w:rsidRPr="00A52585">
        <w:rPr>
          <w:rFonts w:hint="cs"/>
          <w:sz w:val="24"/>
          <w:szCs w:val="24"/>
          <w:rtl/>
        </w:rPr>
        <w:t>11 / 383</w:t>
      </w:r>
      <w:r w:rsidRPr="00A52585">
        <w:rPr>
          <w:rFonts w:hint="cs"/>
          <w:sz w:val="24"/>
          <w:szCs w:val="24"/>
          <w:rtl/>
        </w:rPr>
        <w:t>)</w:t>
      </w:r>
      <w:r w:rsidR="00777DCB" w:rsidRPr="00A52585">
        <w:rPr>
          <w:rFonts w:hint="cs"/>
          <w:sz w:val="24"/>
          <w:szCs w:val="24"/>
          <w:rtl/>
        </w:rPr>
        <w:t xml:space="preserve"> وفي " الميزان " </w:t>
      </w:r>
      <w:r w:rsidRPr="00A52585">
        <w:rPr>
          <w:rFonts w:hint="cs"/>
          <w:sz w:val="24"/>
          <w:szCs w:val="24"/>
          <w:rtl/>
        </w:rPr>
        <w:t>(</w:t>
      </w:r>
      <w:r w:rsidR="00777DCB" w:rsidRPr="00A52585">
        <w:rPr>
          <w:rFonts w:hint="cs"/>
          <w:sz w:val="24"/>
          <w:szCs w:val="24"/>
          <w:rtl/>
        </w:rPr>
        <w:t>4 / 477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الحديث قال فيه كما في كتاب " السنة " المنسوب لابن أحمد </w:t>
      </w:r>
      <w:r w:rsidRPr="00A52585">
        <w:rPr>
          <w:rFonts w:hint="cs"/>
          <w:sz w:val="24"/>
          <w:szCs w:val="24"/>
          <w:rtl/>
        </w:rPr>
        <w:t>(</w:t>
      </w:r>
      <w:r w:rsidR="00777DCB" w:rsidRPr="00A52585">
        <w:rPr>
          <w:rFonts w:hint="cs"/>
          <w:sz w:val="24"/>
          <w:szCs w:val="24"/>
          <w:rtl/>
        </w:rPr>
        <w:t>عن ابن اسحق قال فحدثني</w:t>
      </w:r>
      <w:r w:rsidRPr="00A52585">
        <w:rPr>
          <w:rFonts w:hint="cs"/>
          <w:sz w:val="24"/>
          <w:szCs w:val="24"/>
          <w:rtl/>
        </w:rPr>
        <w:t>)</w:t>
      </w:r>
      <w:r w:rsidR="00777DCB" w:rsidRPr="00A52585">
        <w:rPr>
          <w:rFonts w:hint="cs"/>
          <w:sz w:val="24"/>
          <w:szCs w:val="24"/>
          <w:rtl/>
        </w:rPr>
        <w:t xml:space="preserve"> مع أن الرواية المضبوطة عند الحافظ البيهقي في " الاسماء والصفات " ص </w:t>
      </w:r>
      <w:r w:rsidRPr="00A52585">
        <w:rPr>
          <w:rFonts w:hint="cs"/>
          <w:sz w:val="24"/>
          <w:szCs w:val="24"/>
          <w:rtl/>
        </w:rPr>
        <w:t>(</w:t>
      </w:r>
      <w:r w:rsidR="00777DCB" w:rsidRPr="00A52585">
        <w:rPr>
          <w:rFonts w:hint="cs"/>
          <w:sz w:val="24"/>
          <w:szCs w:val="24"/>
          <w:rtl/>
        </w:rPr>
        <w:t>443</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عن ابن اسحق عن عبد الرحمن بن الحارث</w:t>
      </w:r>
      <w:r w:rsidRPr="00A52585">
        <w:rPr>
          <w:rFonts w:hint="cs"/>
          <w:sz w:val="24"/>
          <w:szCs w:val="24"/>
          <w:rtl/>
        </w:rPr>
        <w:t>)</w:t>
      </w:r>
      <w:r w:rsidR="00777DCB" w:rsidRPr="00A52585">
        <w:rPr>
          <w:rFonts w:hint="cs"/>
          <w:sz w:val="24"/>
          <w:szCs w:val="24"/>
          <w:rtl/>
        </w:rPr>
        <w:t xml:space="preserve"> فابن اسحق </w:t>
      </w:r>
      <w:proofErr w:type="spellStart"/>
      <w:r w:rsidR="00777DCB" w:rsidRPr="00A52585">
        <w:rPr>
          <w:rFonts w:hint="cs"/>
          <w:sz w:val="24"/>
          <w:szCs w:val="24"/>
          <w:rtl/>
        </w:rPr>
        <w:t>معنعن</w:t>
      </w:r>
      <w:proofErr w:type="spellEnd"/>
      <w:r w:rsidR="00777DCB" w:rsidRPr="00A52585">
        <w:rPr>
          <w:rFonts w:hint="cs"/>
          <w:sz w:val="24"/>
          <w:szCs w:val="24"/>
          <w:rtl/>
        </w:rPr>
        <w:t xml:space="preserve"> فيها</w:t>
      </w:r>
      <w:r w:rsidR="00DB731D" w:rsidRPr="00A52585">
        <w:rPr>
          <w:rFonts w:hint="cs"/>
          <w:sz w:val="24"/>
          <w:szCs w:val="24"/>
          <w:rtl/>
        </w:rPr>
        <w:t>،</w:t>
      </w:r>
      <w:r w:rsidR="00777DCB" w:rsidRPr="00A52585">
        <w:rPr>
          <w:rFonts w:hint="cs"/>
          <w:sz w:val="24"/>
          <w:szCs w:val="24"/>
          <w:rtl/>
        </w:rPr>
        <w:t xml:space="preserve"> وما في " السنة " تحريف للتضليل</w:t>
      </w:r>
      <w:r w:rsidR="00DB731D" w:rsidRPr="00A52585">
        <w:rPr>
          <w:rFonts w:hint="cs"/>
          <w:sz w:val="24"/>
          <w:szCs w:val="24"/>
          <w:rtl/>
        </w:rPr>
        <w:t>،</w:t>
      </w:r>
      <w:r w:rsidR="00777DCB" w:rsidRPr="00A52585">
        <w:rPr>
          <w:rFonts w:hint="cs"/>
          <w:sz w:val="24"/>
          <w:szCs w:val="24"/>
          <w:rtl/>
        </w:rPr>
        <w:t xml:space="preserve"> فتنبه</w:t>
      </w:r>
      <w:r w:rsidR="00DB731D" w:rsidRPr="00A52585">
        <w:rPr>
          <w:rFonts w:hint="cs"/>
          <w:sz w:val="24"/>
          <w:szCs w:val="24"/>
          <w:rtl/>
        </w:rPr>
        <w:t>،</w:t>
      </w:r>
      <w:r w:rsidR="00777DCB" w:rsidRPr="00A52585">
        <w:rPr>
          <w:rFonts w:hint="cs"/>
          <w:sz w:val="24"/>
          <w:szCs w:val="24"/>
          <w:rtl/>
        </w:rPr>
        <w:t xml:space="preserve"> وقال النسائي عن يونس هذا</w:t>
      </w:r>
      <w:r w:rsidRPr="00A52585">
        <w:rPr>
          <w:rFonts w:hint="cs"/>
          <w:sz w:val="24"/>
          <w:szCs w:val="24"/>
          <w:rtl/>
        </w:rPr>
        <w:t>:</w:t>
      </w:r>
      <w:r w:rsidR="00777DCB" w:rsidRPr="00A52585">
        <w:rPr>
          <w:rFonts w:hint="cs"/>
          <w:sz w:val="24"/>
          <w:szCs w:val="24"/>
          <w:rtl/>
        </w:rPr>
        <w:t xml:space="preserve"> " ضعيف " وقال قرة</w:t>
      </w:r>
      <w:r w:rsidRPr="00A52585">
        <w:rPr>
          <w:rFonts w:hint="cs"/>
          <w:sz w:val="24"/>
          <w:szCs w:val="24"/>
          <w:rtl/>
        </w:rPr>
        <w:t>:</w:t>
      </w:r>
      <w:r w:rsidR="00777DCB" w:rsidRPr="00A52585">
        <w:rPr>
          <w:rFonts w:hint="cs"/>
          <w:sz w:val="24"/>
          <w:szCs w:val="24"/>
          <w:rtl/>
        </w:rPr>
        <w:t xml:space="preserve"> " ليس بالقوي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فجرح من جرحه مفسر وهو مقدم على توثيق من وثقه لاسيما في هذا الحديث المنكر</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2</w:t>
      </w:r>
      <w:r w:rsidRPr="00A52585">
        <w:rPr>
          <w:rFonts w:hint="cs"/>
          <w:sz w:val="24"/>
          <w:szCs w:val="24"/>
          <w:rtl/>
        </w:rPr>
        <w:t>)</w:t>
      </w:r>
      <w:r w:rsidR="00777DCB" w:rsidRPr="00A52585">
        <w:rPr>
          <w:rFonts w:hint="cs"/>
          <w:sz w:val="24"/>
          <w:szCs w:val="24"/>
          <w:rtl/>
        </w:rPr>
        <w:t xml:space="preserve"> ابن اسحق مدلس وقد </w:t>
      </w:r>
      <w:proofErr w:type="spellStart"/>
      <w:r w:rsidR="00777DCB" w:rsidRPr="00A52585">
        <w:rPr>
          <w:rFonts w:hint="cs"/>
          <w:sz w:val="24"/>
          <w:szCs w:val="24"/>
          <w:rtl/>
        </w:rPr>
        <w:t>عنعنه</w:t>
      </w:r>
      <w:proofErr w:type="spellEnd"/>
      <w:r w:rsidR="00777DCB" w:rsidRPr="00A52585">
        <w:rPr>
          <w:rFonts w:hint="cs"/>
          <w:sz w:val="24"/>
          <w:szCs w:val="24"/>
          <w:rtl/>
        </w:rPr>
        <w:t xml:space="preserve"> على الصحيح</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3</w:t>
      </w:r>
      <w:r w:rsidRPr="00A52585">
        <w:rPr>
          <w:rFonts w:hint="cs"/>
          <w:sz w:val="24"/>
          <w:szCs w:val="24"/>
          <w:rtl/>
        </w:rPr>
        <w:t>)</w:t>
      </w:r>
      <w:r w:rsidR="00777DCB" w:rsidRPr="00A52585">
        <w:rPr>
          <w:rFonts w:hint="cs"/>
          <w:sz w:val="24"/>
          <w:szCs w:val="24"/>
          <w:rtl/>
        </w:rPr>
        <w:t xml:space="preserve"> عبد الرحمن بن الحارث</w:t>
      </w:r>
      <w:r w:rsidRPr="00A52585">
        <w:rPr>
          <w:rFonts w:hint="cs"/>
          <w:sz w:val="24"/>
          <w:szCs w:val="24"/>
          <w:rtl/>
        </w:rPr>
        <w:t>:</w:t>
      </w:r>
      <w:r w:rsidR="00777DCB" w:rsidRPr="00A52585">
        <w:rPr>
          <w:rFonts w:hint="cs"/>
          <w:sz w:val="24"/>
          <w:szCs w:val="24"/>
          <w:rtl/>
        </w:rPr>
        <w:t xml:space="preserve"> قال أحمد عنه</w:t>
      </w:r>
      <w:r w:rsidRPr="00A52585">
        <w:rPr>
          <w:rFonts w:hint="cs"/>
          <w:sz w:val="24"/>
          <w:szCs w:val="24"/>
          <w:rtl/>
        </w:rPr>
        <w:t>:</w:t>
      </w:r>
      <w:r w:rsidR="00777DCB" w:rsidRPr="00A52585">
        <w:rPr>
          <w:rFonts w:hint="cs"/>
          <w:sz w:val="24"/>
          <w:szCs w:val="24"/>
          <w:rtl/>
        </w:rPr>
        <w:t xml:space="preserve"> متروك</w:t>
      </w:r>
      <w:r w:rsidR="00DB731D" w:rsidRPr="00A52585">
        <w:rPr>
          <w:rFonts w:hint="cs"/>
          <w:sz w:val="24"/>
          <w:szCs w:val="24"/>
          <w:rtl/>
        </w:rPr>
        <w:t>،</w:t>
      </w:r>
      <w:r w:rsidR="00777DCB" w:rsidRPr="00A52585">
        <w:rPr>
          <w:rFonts w:hint="cs"/>
          <w:sz w:val="24"/>
          <w:szCs w:val="24"/>
          <w:rtl/>
        </w:rPr>
        <w:t xml:space="preserve"> وضعفه علي بن المديني</w:t>
      </w:r>
      <w:r w:rsidR="00DB731D" w:rsidRPr="00A52585">
        <w:rPr>
          <w:rFonts w:hint="cs"/>
          <w:sz w:val="24"/>
          <w:szCs w:val="24"/>
          <w:rtl/>
        </w:rPr>
        <w:t>،</w:t>
      </w:r>
      <w:r w:rsidR="00777DCB" w:rsidRPr="00A52585">
        <w:rPr>
          <w:rFonts w:hint="cs"/>
          <w:sz w:val="24"/>
          <w:szCs w:val="24"/>
          <w:rtl/>
        </w:rPr>
        <w:t xml:space="preserve"> وقال أبو حاتم</w:t>
      </w:r>
      <w:r w:rsidRPr="00A52585">
        <w:rPr>
          <w:rFonts w:hint="cs"/>
          <w:sz w:val="24"/>
          <w:szCs w:val="24"/>
          <w:rtl/>
        </w:rPr>
        <w:t>:</w:t>
      </w:r>
      <w:r w:rsidR="00777DCB" w:rsidRPr="00A52585">
        <w:rPr>
          <w:rFonts w:hint="cs"/>
          <w:sz w:val="24"/>
          <w:szCs w:val="24"/>
          <w:rtl/>
        </w:rPr>
        <w:t xml:space="preserve"> شيخ</w:t>
      </w:r>
      <w:r w:rsidR="00DB731D" w:rsidRPr="00A52585">
        <w:rPr>
          <w:rFonts w:hint="cs"/>
          <w:sz w:val="24"/>
          <w:szCs w:val="24"/>
          <w:rtl/>
        </w:rPr>
        <w:t>،</w:t>
      </w:r>
      <w:r w:rsidR="00777DCB" w:rsidRPr="00A52585">
        <w:rPr>
          <w:rFonts w:hint="cs"/>
          <w:sz w:val="24"/>
          <w:szCs w:val="24"/>
          <w:rtl/>
        </w:rPr>
        <w:t xml:space="preserve"> وقال النسائي</w:t>
      </w:r>
      <w:r w:rsidRPr="00A52585">
        <w:rPr>
          <w:rFonts w:hint="cs"/>
          <w:sz w:val="24"/>
          <w:szCs w:val="24"/>
          <w:rtl/>
        </w:rPr>
        <w:t>:</w:t>
      </w:r>
      <w:r w:rsidR="00777DCB" w:rsidRPr="00A52585">
        <w:rPr>
          <w:rFonts w:hint="cs"/>
          <w:sz w:val="24"/>
          <w:szCs w:val="24"/>
          <w:rtl/>
        </w:rPr>
        <w:t xml:space="preserve"> ليس بالقوي</w:t>
      </w:r>
      <w:r w:rsidR="00DB731D" w:rsidRPr="00A52585">
        <w:rPr>
          <w:rFonts w:hint="cs"/>
          <w:sz w:val="24"/>
          <w:szCs w:val="24"/>
          <w:rtl/>
        </w:rPr>
        <w:t>،</w:t>
      </w:r>
      <w:r w:rsidR="00777DCB" w:rsidRPr="00A52585">
        <w:rPr>
          <w:rFonts w:hint="cs"/>
          <w:sz w:val="24"/>
          <w:szCs w:val="24"/>
          <w:rtl/>
        </w:rPr>
        <w:t xml:space="preserve"> هذا قول من جرحه كما في التهذيب </w:t>
      </w:r>
      <w:r w:rsidRPr="00A52585">
        <w:rPr>
          <w:rFonts w:hint="cs"/>
          <w:sz w:val="24"/>
          <w:szCs w:val="24"/>
          <w:rtl/>
        </w:rPr>
        <w:t>(</w:t>
      </w:r>
      <w:r w:rsidR="00777DCB" w:rsidRPr="00A52585">
        <w:rPr>
          <w:rFonts w:hint="cs"/>
          <w:sz w:val="24"/>
          <w:szCs w:val="24"/>
          <w:rtl/>
        </w:rPr>
        <w:t>6 / 142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الحافظ البيهقي في " الاسماء والصفات " ص </w:t>
      </w:r>
      <w:r w:rsidRPr="00A52585">
        <w:rPr>
          <w:rFonts w:hint="cs"/>
          <w:sz w:val="24"/>
          <w:szCs w:val="24"/>
          <w:rtl/>
        </w:rPr>
        <w:t>(</w:t>
      </w:r>
      <w:r w:rsidR="00777DCB" w:rsidRPr="00A52585">
        <w:rPr>
          <w:rFonts w:hint="cs"/>
          <w:sz w:val="24"/>
          <w:szCs w:val="24"/>
          <w:rtl/>
        </w:rPr>
        <w:t>443</w:t>
      </w:r>
      <w:r w:rsidRPr="00A52585">
        <w:rPr>
          <w:rFonts w:hint="cs"/>
          <w:sz w:val="24"/>
          <w:szCs w:val="24"/>
          <w:rtl/>
        </w:rPr>
        <w:t>):</w:t>
      </w:r>
      <w:r w:rsidR="00777DCB" w:rsidRPr="00A52585">
        <w:rPr>
          <w:rFonts w:hint="cs"/>
          <w:sz w:val="24"/>
          <w:szCs w:val="24"/>
          <w:rtl/>
        </w:rPr>
        <w:t xml:space="preserve"> " وفي هذه الرواية انقطاع بين ابن عباس رضي الله عنهما وبين الراوي عنه " اه‍ قلت</w:t>
      </w:r>
      <w:r w:rsidRPr="00A52585">
        <w:rPr>
          <w:rFonts w:hint="cs"/>
          <w:sz w:val="24"/>
          <w:szCs w:val="24"/>
          <w:rtl/>
        </w:rPr>
        <w:t>:</w:t>
      </w:r>
      <w:r w:rsidR="00777DCB" w:rsidRPr="00A52585">
        <w:rPr>
          <w:rFonts w:hint="cs"/>
          <w:sz w:val="24"/>
          <w:szCs w:val="24"/>
          <w:rtl/>
        </w:rPr>
        <w:t xml:space="preserve"> ومع نكارته </w:t>
      </w:r>
      <w:proofErr w:type="spellStart"/>
      <w:r w:rsidR="00777DCB" w:rsidRPr="00A52585">
        <w:rPr>
          <w:rFonts w:hint="cs"/>
          <w:sz w:val="24"/>
          <w:szCs w:val="24"/>
          <w:rtl/>
        </w:rPr>
        <w:t>ووهاء</w:t>
      </w:r>
      <w:proofErr w:type="spellEnd"/>
      <w:r w:rsidR="00777DCB" w:rsidRPr="00A52585">
        <w:rPr>
          <w:rFonts w:hint="cs"/>
          <w:sz w:val="24"/>
          <w:szCs w:val="24"/>
          <w:rtl/>
        </w:rPr>
        <w:t xml:space="preserve"> إسناده فهو حديث موضوع كذب يجل ابن عباس وابن عمر أن يتكلموا بمثل هذا الهراء</w:t>
      </w:r>
      <w:r w:rsidR="00897A24" w:rsidRPr="00A52585">
        <w:rPr>
          <w:rFonts w:hint="cs"/>
          <w:sz w:val="24"/>
          <w:szCs w:val="24"/>
          <w:rtl/>
        </w:rPr>
        <w:t>.</w:t>
      </w:r>
      <w:r w:rsidR="00777DCB" w:rsidRPr="00A52585">
        <w:rPr>
          <w:rFonts w:hint="cs"/>
          <w:sz w:val="24"/>
          <w:szCs w:val="24"/>
          <w:rtl/>
        </w:rPr>
        <w:t xml:space="preserve"> والحمد لله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sidRPr="00A52585">
        <w:rPr>
          <w:rFonts w:hint="cs"/>
          <w:sz w:val="24"/>
          <w:szCs w:val="24"/>
          <w:rtl/>
        </w:rPr>
        <w:t>(</w:t>
      </w:r>
      <w:r w:rsidR="00777DCB" w:rsidRPr="00A52585">
        <w:rPr>
          <w:rFonts w:hint="cs"/>
          <w:sz w:val="24"/>
          <w:szCs w:val="24"/>
          <w:rtl/>
        </w:rPr>
        <w:t>24</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الحديث تفرد به ابن إسحاق وكذبه جماعة من العلماء</w:t>
      </w:r>
      <w:r w:rsidR="00DB731D" w:rsidRPr="00A52585">
        <w:rPr>
          <w:rFonts w:hint="cs"/>
          <w:rtl/>
        </w:rPr>
        <w:t>،</w:t>
      </w:r>
      <w:r w:rsidR="00777DCB" w:rsidRPr="00A52585">
        <w:rPr>
          <w:rFonts w:hint="cs"/>
          <w:rtl/>
        </w:rPr>
        <w:t xml:space="preserve"> وفي رواية عن ابن عباس " رآه كأن قدميه على خضرة دونه ستر من لؤلؤ </w:t>
      </w:r>
      <w:r w:rsidR="00777DCB" w:rsidRPr="00A52585">
        <w:rPr>
          <w:rFonts w:hint="cs"/>
          <w:rtl/>
        </w:rPr>
        <w:lastRenderedPageBreak/>
        <w:t>"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حديث منكر موضوع أيضا</w:t>
      </w:r>
      <w:r w:rsidR="00DB731D" w:rsidRPr="00A52585">
        <w:rPr>
          <w:rFonts w:hint="cs"/>
          <w:sz w:val="24"/>
          <w:szCs w:val="24"/>
          <w:rtl/>
        </w:rPr>
        <w:t>،</w:t>
      </w:r>
      <w:r w:rsidR="00777DCB" w:rsidRPr="00A52585">
        <w:rPr>
          <w:rFonts w:hint="cs"/>
          <w:sz w:val="24"/>
          <w:szCs w:val="24"/>
          <w:rtl/>
        </w:rPr>
        <w:t xml:space="preserve"> رواه البيهقي في " الاسماء والصفات " ص </w:t>
      </w:r>
      <w:r w:rsidRPr="00A52585">
        <w:rPr>
          <w:rFonts w:hint="cs"/>
          <w:sz w:val="24"/>
          <w:szCs w:val="24"/>
          <w:rtl/>
        </w:rPr>
        <w:t>(</w:t>
      </w:r>
      <w:r w:rsidR="00777DCB" w:rsidRPr="00A52585">
        <w:rPr>
          <w:rFonts w:hint="cs"/>
          <w:sz w:val="24"/>
          <w:szCs w:val="24"/>
          <w:rtl/>
        </w:rPr>
        <w:t>445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الجوزي في " العلل المتناهية " </w:t>
      </w:r>
      <w:r w:rsidRPr="00A52585">
        <w:rPr>
          <w:rFonts w:hint="cs"/>
          <w:sz w:val="24"/>
          <w:szCs w:val="24"/>
          <w:rtl/>
        </w:rPr>
        <w:t>(</w:t>
      </w:r>
      <w:r w:rsidR="00777DCB" w:rsidRPr="00A52585">
        <w:rPr>
          <w:rFonts w:hint="cs"/>
          <w:sz w:val="24"/>
          <w:szCs w:val="24"/>
          <w:rtl/>
        </w:rPr>
        <w:t>1 / 36</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هذا حديث لا يثبت</w:t>
      </w:r>
      <w:r w:rsidR="00DB731D" w:rsidRPr="00A52585">
        <w:rPr>
          <w:rFonts w:hint="cs"/>
          <w:sz w:val="24"/>
          <w:szCs w:val="24"/>
          <w:rtl/>
        </w:rPr>
        <w:t>،</w:t>
      </w:r>
      <w:r w:rsidR="00777DCB" w:rsidRPr="00A52585">
        <w:rPr>
          <w:rFonts w:hint="cs"/>
          <w:sz w:val="24"/>
          <w:szCs w:val="24"/>
          <w:rtl/>
        </w:rPr>
        <w:t xml:space="preserve"> وطرقه كلها عن حماد بن سلمة</w:t>
      </w:r>
      <w:r w:rsidR="00DB731D" w:rsidRPr="00A52585">
        <w:rPr>
          <w:rFonts w:hint="cs"/>
          <w:sz w:val="24"/>
          <w:szCs w:val="24"/>
          <w:rtl/>
        </w:rPr>
        <w:t>،</w:t>
      </w:r>
      <w:r w:rsidR="00777DCB" w:rsidRPr="00A52585">
        <w:rPr>
          <w:rFonts w:hint="cs"/>
          <w:sz w:val="24"/>
          <w:szCs w:val="24"/>
          <w:rtl/>
        </w:rPr>
        <w:t xml:space="preserve"> قال ابن عدي</w:t>
      </w:r>
      <w:r w:rsidRPr="00A52585">
        <w:rPr>
          <w:rFonts w:hint="cs"/>
          <w:sz w:val="24"/>
          <w:szCs w:val="24"/>
          <w:rtl/>
        </w:rPr>
        <w:t>:</w:t>
      </w:r>
      <w:r w:rsidR="00777DCB" w:rsidRPr="00A52585">
        <w:rPr>
          <w:rFonts w:hint="cs"/>
          <w:sz w:val="24"/>
          <w:szCs w:val="24"/>
          <w:rtl/>
        </w:rPr>
        <w:t xml:space="preserve"> قد قيل إن ابن أبي العوجاء كان ربيب حماد فكان يدس في كتبه هذه الاحاديث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وفيه أيضا </w:t>
      </w:r>
      <w:proofErr w:type="spellStart"/>
      <w:r w:rsidR="00777DCB" w:rsidRPr="00A52585">
        <w:rPr>
          <w:rFonts w:hint="cs"/>
          <w:sz w:val="24"/>
          <w:szCs w:val="24"/>
          <w:rtl/>
        </w:rPr>
        <w:t>عنعنة</w:t>
      </w:r>
      <w:proofErr w:type="spellEnd"/>
      <w:r w:rsidR="00777DCB" w:rsidRPr="00A52585">
        <w:rPr>
          <w:rFonts w:hint="cs"/>
          <w:sz w:val="24"/>
          <w:szCs w:val="24"/>
          <w:rtl/>
        </w:rPr>
        <w:t xml:space="preserve"> قتادة وهي غير مقبولة عند أهل الحديث</w:t>
      </w:r>
      <w:r w:rsidR="00DB731D" w:rsidRPr="00A52585">
        <w:rPr>
          <w:rFonts w:hint="cs"/>
          <w:sz w:val="24"/>
          <w:szCs w:val="24"/>
          <w:rtl/>
        </w:rPr>
        <w:t>،</w:t>
      </w:r>
      <w:r w:rsidR="00777DCB" w:rsidRPr="00A52585">
        <w:rPr>
          <w:rFonts w:hint="cs"/>
          <w:sz w:val="24"/>
          <w:szCs w:val="24"/>
          <w:rtl/>
        </w:rPr>
        <w:t xml:space="preserve"> وقد أورد الحديث الذهبي في " سير أعلام النبلاء " </w:t>
      </w:r>
      <w:r w:rsidRPr="00A52585">
        <w:rPr>
          <w:rFonts w:hint="cs"/>
          <w:sz w:val="24"/>
          <w:szCs w:val="24"/>
          <w:rtl/>
        </w:rPr>
        <w:t>(</w:t>
      </w:r>
      <w:r w:rsidR="00777DCB" w:rsidRPr="00A52585">
        <w:rPr>
          <w:rFonts w:hint="cs"/>
          <w:sz w:val="24"/>
          <w:szCs w:val="24"/>
          <w:rtl/>
        </w:rPr>
        <w:t>10 / 113</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وهو بتمامه في تأليف البيهقي</w:t>
      </w:r>
      <w:r w:rsidR="00DB731D" w:rsidRPr="00A52585">
        <w:rPr>
          <w:rFonts w:hint="cs"/>
          <w:sz w:val="24"/>
          <w:szCs w:val="24"/>
          <w:rtl/>
        </w:rPr>
        <w:t>،</w:t>
      </w:r>
      <w:r w:rsidR="00777DCB" w:rsidRPr="00A52585">
        <w:rPr>
          <w:rFonts w:hint="cs"/>
          <w:sz w:val="24"/>
          <w:szCs w:val="24"/>
          <w:rtl/>
        </w:rPr>
        <w:t xml:space="preserve"> وهو خبر منكر</w:t>
      </w:r>
      <w:r w:rsidR="00DB731D" w:rsidRPr="00A52585">
        <w:rPr>
          <w:rFonts w:hint="cs"/>
          <w:sz w:val="24"/>
          <w:szCs w:val="24"/>
          <w:rtl/>
        </w:rPr>
        <w:t>،</w:t>
      </w:r>
      <w:r w:rsidR="00777DCB" w:rsidRPr="00A52585">
        <w:rPr>
          <w:rFonts w:hint="cs"/>
          <w:sz w:val="24"/>
          <w:szCs w:val="24"/>
          <w:rtl/>
        </w:rPr>
        <w:t xml:space="preserve"> نسأل الله السلامة في الدين " اه</w:t>
      </w:r>
      <w:r w:rsidR="00777DCB" w:rsidRPr="00A52585">
        <w:rPr>
          <w:rFonts w:hint="cs"/>
          <w:sz w:val="24"/>
          <w:szCs w:val="24"/>
        </w:rPr>
        <w:t>‍</w:t>
      </w:r>
      <w:r w:rsidR="00777DCB"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sidRPr="00A52585">
        <w:rPr>
          <w:rFonts w:hint="cs"/>
          <w:rtl/>
        </w:rPr>
        <w:t>:</w:t>
      </w:r>
      <w:r w:rsidR="00777DCB" w:rsidRPr="00A52585">
        <w:rPr>
          <w:rFonts w:hint="cs"/>
          <w:rtl/>
        </w:rPr>
        <w:t xml:space="preserve"> " رأيت ربي أجعد أمرد عليه حلة خضراء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حديث منكر موضوع كالذي قبله ومراجعه كالذي قبله</w:t>
      </w:r>
      <w:r w:rsidR="00DB731D" w:rsidRPr="00A52585">
        <w:rPr>
          <w:rFonts w:hint="cs"/>
          <w:sz w:val="24"/>
          <w:szCs w:val="24"/>
          <w:rtl/>
        </w:rPr>
        <w:t>،</w:t>
      </w:r>
      <w:r w:rsidR="00777DCB" w:rsidRPr="00A52585">
        <w:rPr>
          <w:rFonts w:hint="cs"/>
          <w:sz w:val="24"/>
          <w:szCs w:val="24"/>
          <w:rtl/>
        </w:rPr>
        <w:t xml:space="preserve"> وراويه ابراهيم بن الحكم بن أبان</w:t>
      </w:r>
      <w:r w:rsidR="00DB731D" w:rsidRPr="00A52585">
        <w:rPr>
          <w:rFonts w:hint="cs"/>
          <w:sz w:val="24"/>
          <w:szCs w:val="24"/>
          <w:rtl/>
        </w:rPr>
        <w:t>،</w:t>
      </w:r>
      <w:r w:rsidR="00777DCB" w:rsidRPr="00A52585">
        <w:rPr>
          <w:rFonts w:hint="cs"/>
          <w:sz w:val="24"/>
          <w:szCs w:val="24"/>
          <w:rtl/>
        </w:rPr>
        <w:t xml:space="preserve"> ذكر الحافظ في ترجمته في " تهذيب التهذيب " </w:t>
      </w:r>
      <w:r w:rsidRPr="00A52585">
        <w:rPr>
          <w:rFonts w:hint="cs"/>
          <w:sz w:val="24"/>
          <w:szCs w:val="24"/>
          <w:rtl/>
        </w:rPr>
        <w:t>(</w:t>
      </w:r>
      <w:r w:rsidR="00777DCB" w:rsidRPr="00A52585">
        <w:rPr>
          <w:rFonts w:hint="cs"/>
          <w:sz w:val="24"/>
          <w:szCs w:val="24"/>
          <w:rtl/>
        </w:rPr>
        <w:t>1 / 100</w:t>
      </w:r>
      <w:r w:rsidRPr="00A52585">
        <w:rPr>
          <w:rFonts w:hint="cs"/>
          <w:sz w:val="24"/>
          <w:szCs w:val="24"/>
          <w:rtl/>
        </w:rPr>
        <w:t>)</w:t>
      </w:r>
      <w:r w:rsidR="00777DCB" w:rsidRPr="00A52585">
        <w:rPr>
          <w:rFonts w:hint="cs"/>
          <w:sz w:val="24"/>
          <w:szCs w:val="24"/>
          <w:rtl/>
        </w:rPr>
        <w:t xml:space="preserve"> أن ابن معين قال فيه</w:t>
      </w:r>
      <w:r w:rsidRPr="00A52585">
        <w:rPr>
          <w:rFonts w:hint="cs"/>
          <w:sz w:val="24"/>
          <w:szCs w:val="24"/>
          <w:rtl/>
        </w:rPr>
        <w:t>:</w:t>
      </w:r>
      <w:r w:rsidR="00777DCB" w:rsidRPr="00A52585">
        <w:rPr>
          <w:rFonts w:hint="cs"/>
          <w:sz w:val="24"/>
          <w:szCs w:val="24"/>
          <w:rtl/>
        </w:rPr>
        <w:t xml:space="preserve"> لا شيء</w:t>
      </w:r>
      <w:r w:rsidR="00DB731D" w:rsidRPr="00A52585">
        <w:rPr>
          <w:rFonts w:hint="cs"/>
          <w:sz w:val="24"/>
          <w:szCs w:val="24"/>
          <w:rtl/>
        </w:rPr>
        <w:t>،</w:t>
      </w:r>
      <w:r w:rsidR="00777DCB" w:rsidRPr="00A52585">
        <w:rPr>
          <w:rFonts w:hint="cs"/>
          <w:sz w:val="24"/>
          <w:szCs w:val="24"/>
          <w:rtl/>
        </w:rPr>
        <w:t xml:space="preserve"> وقال مرة</w:t>
      </w:r>
      <w:r w:rsidRPr="00A52585">
        <w:rPr>
          <w:rFonts w:hint="cs"/>
          <w:sz w:val="24"/>
          <w:szCs w:val="24"/>
          <w:rtl/>
        </w:rPr>
        <w:t>:</w:t>
      </w:r>
      <w:r w:rsidR="00777DCB" w:rsidRPr="00A52585">
        <w:rPr>
          <w:rFonts w:hint="cs"/>
          <w:sz w:val="24"/>
          <w:szCs w:val="24"/>
          <w:rtl/>
        </w:rPr>
        <w:t xml:space="preserve"> ضعيف ليس بشيء</w:t>
      </w:r>
      <w:r w:rsidR="00897A24" w:rsidRPr="00A52585">
        <w:rPr>
          <w:rFonts w:hint="cs"/>
          <w:sz w:val="24"/>
          <w:szCs w:val="24"/>
          <w:rtl/>
        </w:rPr>
        <w:t>.</w:t>
      </w:r>
      <w:r w:rsidR="00777DCB" w:rsidRPr="00A52585">
        <w:rPr>
          <w:rFonts w:hint="cs"/>
          <w:sz w:val="24"/>
          <w:szCs w:val="24"/>
          <w:rtl/>
        </w:rPr>
        <w:t xml:space="preserve"> وقال البخاري</w:t>
      </w:r>
      <w:r w:rsidRPr="00A52585">
        <w:rPr>
          <w:rFonts w:hint="cs"/>
          <w:sz w:val="24"/>
          <w:szCs w:val="24"/>
          <w:rtl/>
        </w:rPr>
        <w:t>:</w:t>
      </w:r>
      <w:r w:rsidR="00777DCB" w:rsidRPr="00A52585">
        <w:rPr>
          <w:rFonts w:hint="cs"/>
          <w:sz w:val="24"/>
          <w:szCs w:val="24"/>
          <w:rtl/>
        </w:rPr>
        <w:t xml:space="preserve"> سكتوا عنه</w:t>
      </w:r>
      <w:r w:rsidR="00DB731D" w:rsidRPr="00A52585">
        <w:rPr>
          <w:rFonts w:hint="cs"/>
          <w:sz w:val="24"/>
          <w:szCs w:val="24"/>
          <w:rtl/>
        </w:rPr>
        <w:t>،</w:t>
      </w:r>
      <w:r w:rsidR="00777DCB" w:rsidRPr="00A52585">
        <w:rPr>
          <w:rFonts w:hint="cs"/>
          <w:sz w:val="24"/>
          <w:szCs w:val="24"/>
          <w:rtl/>
        </w:rPr>
        <w:t xml:space="preserve"> وقال النسائي</w:t>
      </w:r>
      <w:r w:rsidRPr="00A52585">
        <w:rPr>
          <w:rFonts w:hint="cs"/>
          <w:sz w:val="24"/>
          <w:szCs w:val="24"/>
          <w:rtl/>
        </w:rPr>
        <w:t>:</w:t>
      </w:r>
      <w:r w:rsidR="00777DCB" w:rsidRPr="00A52585">
        <w:rPr>
          <w:rFonts w:hint="cs"/>
          <w:sz w:val="24"/>
          <w:szCs w:val="24"/>
          <w:rtl/>
        </w:rPr>
        <w:t xml:space="preserve"> ليس بثقة ولا يكتب حديثه</w:t>
      </w:r>
      <w:r w:rsidR="00DB731D" w:rsidRPr="00A52585">
        <w:rPr>
          <w:rFonts w:hint="cs"/>
          <w:sz w:val="24"/>
          <w:szCs w:val="24"/>
          <w:rtl/>
        </w:rPr>
        <w:t>،</w:t>
      </w:r>
      <w:r w:rsidR="00777DCB" w:rsidRPr="00A52585">
        <w:rPr>
          <w:rFonts w:hint="cs"/>
          <w:sz w:val="24"/>
          <w:szCs w:val="24"/>
          <w:rtl/>
        </w:rPr>
        <w:t xml:space="preserve"> وقال أبو زرعة</w:t>
      </w:r>
      <w:r w:rsidRPr="00A52585">
        <w:rPr>
          <w:rFonts w:hint="cs"/>
          <w:sz w:val="24"/>
          <w:szCs w:val="24"/>
          <w:rtl/>
        </w:rPr>
        <w:t>:</w:t>
      </w:r>
      <w:r w:rsidR="00777DCB" w:rsidRPr="00A52585">
        <w:rPr>
          <w:rFonts w:hint="cs"/>
          <w:sz w:val="24"/>
          <w:szCs w:val="24"/>
          <w:rtl/>
        </w:rPr>
        <w:t xml:space="preserve"> ليس بالقوي وهو ضعيف</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وقال </w:t>
      </w:r>
      <w:proofErr w:type="spellStart"/>
      <w:r w:rsidR="00777DCB" w:rsidRPr="00A52585">
        <w:rPr>
          <w:rFonts w:hint="cs"/>
          <w:sz w:val="24"/>
          <w:szCs w:val="24"/>
          <w:rtl/>
        </w:rPr>
        <w:t>الجوزجاني</w:t>
      </w:r>
      <w:proofErr w:type="spellEnd"/>
      <w:r w:rsidR="00777DCB" w:rsidRPr="00A52585">
        <w:rPr>
          <w:rFonts w:hint="cs"/>
          <w:sz w:val="24"/>
          <w:szCs w:val="24"/>
          <w:rtl/>
        </w:rPr>
        <w:t xml:space="preserve"> والازدي</w:t>
      </w:r>
      <w:r w:rsidRPr="00A52585">
        <w:rPr>
          <w:rFonts w:hint="cs"/>
          <w:sz w:val="24"/>
          <w:szCs w:val="24"/>
          <w:rtl/>
        </w:rPr>
        <w:t>:</w:t>
      </w:r>
      <w:r w:rsidR="00777DCB" w:rsidRPr="00A52585">
        <w:rPr>
          <w:rFonts w:hint="cs"/>
          <w:sz w:val="24"/>
          <w:szCs w:val="24"/>
          <w:rtl/>
        </w:rPr>
        <w:t xml:space="preserve"> ساقط</w:t>
      </w:r>
      <w:r w:rsidR="00DB731D" w:rsidRPr="00A52585">
        <w:rPr>
          <w:rFonts w:hint="cs"/>
          <w:sz w:val="24"/>
          <w:szCs w:val="24"/>
          <w:rtl/>
        </w:rPr>
        <w:t>،</w:t>
      </w:r>
      <w:r w:rsidR="00777DCB" w:rsidRPr="00A52585">
        <w:rPr>
          <w:rFonts w:hint="cs"/>
          <w:sz w:val="24"/>
          <w:szCs w:val="24"/>
          <w:rtl/>
        </w:rPr>
        <w:t xml:space="preserve"> وقال الدارقطني</w:t>
      </w:r>
      <w:r w:rsidRPr="00A52585">
        <w:rPr>
          <w:rFonts w:hint="cs"/>
          <w:sz w:val="24"/>
          <w:szCs w:val="24"/>
          <w:rtl/>
        </w:rPr>
        <w:t>:</w:t>
      </w:r>
      <w:r w:rsidR="00777DCB" w:rsidRPr="00A52585">
        <w:rPr>
          <w:rFonts w:hint="cs"/>
          <w:sz w:val="24"/>
          <w:szCs w:val="24"/>
          <w:rtl/>
        </w:rPr>
        <w:t xml:space="preserve"> ضعيف</w:t>
      </w:r>
      <w:r w:rsidR="00DB731D" w:rsidRPr="00A52585">
        <w:rPr>
          <w:rFonts w:hint="cs"/>
          <w:sz w:val="24"/>
          <w:szCs w:val="24"/>
          <w:rtl/>
        </w:rPr>
        <w:t>،</w:t>
      </w:r>
      <w:r w:rsidR="00777DCB" w:rsidRPr="00A52585">
        <w:rPr>
          <w:rFonts w:hint="cs"/>
          <w:sz w:val="24"/>
          <w:szCs w:val="24"/>
          <w:rtl/>
        </w:rPr>
        <w:t xml:space="preserve"> وقال الآجري</w:t>
      </w:r>
      <w:r w:rsidRPr="00A52585">
        <w:rPr>
          <w:rFonts w:hint="cs"/>
          <w:sz w:val="24"/>
          <w:szCs w:val="24"/>
          <w:rtl/>
        </w:rPr>
        <w:t>:</w:t>
      </w:r>
      <w:r w:rsidR="00777DCB" w:rsidRPr="00A52585">
        <w:rPr>
          <w:rFonts w:hint="cs"/>
          <w:sz w:val="24"/>
          <w:szCs w:val="24"/>
          <w:rtl/>
        </w:rPr>
        <w:t xml:space="preserve"> سألت أبا داود</w:t>
      </w:r>
      <w:r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يروى من طريق حماد بن سلمة وكان ابن أبي العوجاء الزنديق ربيب حماد يدس في كتبه هذه الاحاديث</w:t>
      </w:r>
      <w:r w:rsidR="00DB731D" w:rsidRPr="00A52585">
        <w:rPr>
          <w:rFonts w:hint="cs"/>
          <w:rtl/>
        </w:rPr>
        <w:t>،</w:t>
      </w:r>
      <w:r w:rsidR="00777DCB" w:rsidRPr="00A52585">
        <w:rPr>
          <w:rFonts w:hint="cs"/>
          <w:rtl/>
        </w:rPr>
        <w:t xml:space="preserve"> على أن هذا كان مناما والمنام خيال</w:t>
      </w:r>
      <w:r w:rsidR="00DB731D" w:rsidRPr="00A52585">
        <w:rPr>
          <w:rFonts w:hint="cs"/>
          <w:rtl/>
        </w:rPr>
        <w:t>،</w:t>
      </w:r>
      <w:r w:rsidR="00777DCB" w:rsidRPr="00A52585">
        <w:rPr>
          <w:rFonts w:hint="cs"/>
          <w:rtl/>
        </w:rPr>
        <w:t xml:space="preserve"> ومثل هذه الاحاديث لا ثبوت لها</w:t>
      </w:r>
      <w:r w:rsidR="00DB731D" w:rsidRPr="00A52585">
        <w:rPr>
          <w:rFonts w:hint="cs"/>
          <w:rtl/>
        </w:rPr>
        <w:t>،</w:t>
      </w:r>
      <w:r w:rsidR="00777DCB" w:rsidRPr="00A52585">
        <w:rPr>
          <w:rFonts w:hint="cs"/>
          <w:rtl/>
        </w:rPr>
        <w:t xml:space="preserve"> ولا يحسن أن يحتج بمثلها في الوضوء</w:t>
      </w:r>
      <w:r w:rsidR="00DB731D" w:rsidRPr="00A52585">
        <w:rPr>
          <w:rFonts w:hint="cs"/>
          <w:rtl/>
        </w:rPr>
        <w:t>،</w:t>
      </w:r>
      <w:r w:rsidR="00777DCB" w:rsidRPr="00A52585">
        <w:rPr>
          <w:rFonts w:hint="cs"/>
          <w:rtl/>
        </w:rPr>
        <w:t xml:space="preserve"> وقد أثبت بها القاضي أبو يعلى</w:t>
      </w:r>
      <w:r w:rsidRPr="00A52585">
        <w:rPr>
          <w:rFonts w:hint="cs"/>
          <w:rtl/>
        </w:rPr>
        <w:t xml:space="preserve"> </w:t>
      </w:r>
      <w:r w:rsidR="00777DCB" w:rsidRPr="00A52585">
        <w:rPr>
          <w:rFonts w:hint="cs"/>
          <w:rtl/>
        </w:rPr>
        <w:t>لله تعالى صفات فقال</w:t>
      </w:r>
      <w:r w:rsidRPr="00A52585">
        <w:rPr>
          <w:rFonts w:hint="cs"/>
          <w:rtl/>
        </w:rPr>
        <w:t>:</w:t>
      </w:r>
      <w:r w:rsidR="00777DCB" w:rsidRPr="00A52585">
        <w:rPr>
          <w:rFonts w:hint="cs"/>
          <w:rtl/>
        </w:rPr>
        <w:t xml:space="preserve"> قوله</w:t>
      </w:r>
      <w:r w:rsidRPr="00A52585">
        <w:rPr>
          <w:rFonts w:hint="cs"/>
          <w:rtl/>
        </w:rPr>
        <w:t>:</w:t>
      </w:r>
      <w:r w:rsidR="00777DCB" w:rsidRPr="00A52585">
        <w:rPr>
          <w:rFonts w:hint="cs"/>
          <w:rtl/>
        </w:rPr>
        <w:t xml:space="preserve"> شاب</w:t>
      </w:r>
      <w:r w:rsidR="00DB731D" w:rsidRPr="00A52585">
        <w:rPr>
          <w:rFonts w:hint="cs"/>
          <w:rtl/>
        </w:rPr>
        <w:t>،</w:t>
      </w:r>
      <w:r w:rsidR="00777DCB" w:rsidRPr="00A52585">
        <w:rPr>
          <w:rFonts w:hint="cs"/>
          <w:rtl/>
        </w:rPr>
        <w:t xml:space="preserve"> وأمرد</w:t>
      </w:r>
      <w:r w:rsidR="00DB731D" w:rsidRPr="00A52585">
        <w:rPr>
          <w:rFonts w:hint="cs"/>
          <w:rtl/>
        </w:rPr>
        <w:t>،</w:t>
      </w:r>
      <w:r w:rsidR="00777DCB" w:rsidRPr="00A52585">
        <w:rPr>
          <w:rFonts w:hint="cs"/>
          <w:rtl/>
        </w:rPr>
        <w:t xml:space="preserve"> وجعد</w:t>
      </w:r>
      <w:r w:rsidR="00DB731D" w:rsidRPr="00A52585">
        <w:rPr>
          <w:rFonts w:hint="cs"/>
          <w:rtl/>
        </w:rPr>
        <w:t>،</w:t>
      </w:r>
      <w:r w:rsidR="00777DCB" w:rsidRPr="00A52585">
        <w:rPr>
          <w:rFonts w:hint="cs"/>
          <w:rtl/>
        </w:rPr>
        <w:t xml:space="preserve"> وقطط</w:t>
      </w:r>
      <w:r w:rsidR="00DB731D" w:rsidRPr="00A52585">
        <w:rPr>
          <w:rFonts w:hint="cs"/>
          <w:rtl/>
        </w:rPr>
        <w:t>،</w:t>
      </w:r>
      <w:r w:rsidR="00777DCB" w:rsidRPr="00A52585">
        <w:rPr>
          <w:rFonts w:hint="cs"/>
          <w:rtl/>
        </w:rPr>
        <w:t xml:space="preserve"> والفراش والنعلان والتاج</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ثبت ذلك تسمية لا يعقل معناها</w:t>
      </w:r>
      <w:r w:rsidR="00DB731D" w:rsidRPr="00A52585">
        <w:rPr>
          <w:rFonts w:hint="cs"/>
          <w:rtl/>
        </w:rPr>
        <w:t>،</w:t>
      </w:r>
      <w:r w:rsidR="00777DCB" w:rsidRPr="00A52585">
        <w:rPr>
          <w:rFonts w:hint="cs"/>
          <w:rtl/>
        </w:rPr>
        <w:t xml:space="preserve"> وليس في إثباتها أكثر من تقريب المحدث من القديم وذلك جائز كما روي " يدني عبده إليه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صحيحه </w:t>
      </w:r>
      <w:r w:rsidRPr="00A52585">
        <w:rPr>
          <w:rFonts w:hint="cs"/>
          <w:sz w:val="24"/>
          <w:szCs w:val="24"/>
          <w:rtl/>
        </w:rPr>
        <w:t>(</w:t>
      </w:r>
      <w:r w:rsidR="00777DCB" w:rsidRPr="00A52585">
        <w:rPr>
          <w:rFonts w:hint="cs"/>
          <w:sz w:val="24"/>
          <w:szCs w:val="24"/>
          <w:rtl/>
        </w:rPr>
        <w:t>فتح 13 / 475</w:t>
      </w:r>
      <w:r w:rsidRPr="00A52585">
        <w:rPr>
          <w:rFonts w:hint="cs"/>
          <w:sz w:val="24"/>
          <w:szCs w:val="24"/>
          <w:rtl/>
        </w:rPr>
        <w:t>)</w:t>
      </w:r>
      <w:r w:rsidR="00777DCB" w:rsidRPr="00A52585">
        <w:rPr>
          <w:rFonts w:hint="cs"/>
          <w:sz w:val="24"/>
          <w:szCs w:val="24"/>
          <w:rtl/>
        </w:rPr>
        <w:t xml:space="preserve"> وانظر شرحه في الفتح </w:t>
      </w:r>
      <w:r w:rsidRPr="00A52585">
        <w:rPr>
          <w:rFonts w:hint="cs"/>
          <w:sz w:val="24"/>
          <w:szCs w:val="24"/>
          <w:rtl/>
        </w:rPr>
        <w:t>(</w:t>
      </w:r>
      <w:r w:rsidR="00777DCB" w:rsidRPr="00A52585">
        <w:rPr>
          <w:rFonts w:hint="cs"/>
          <w:sz w:val="24"/>
          <w:szCs w:val="24"/>
          <w:rtl/>
        </w:rPr>
        <w:t>13 / 477</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يعني يقربه إلى ذاته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ومن يثبت بالمنام وبما لا يصح نقله صفات</w:t>
      </w:r>
      <w:r w:rsidR="00F95886" w:rsidRPr="00A52585">
        <w:rPr>
          <w:rFonts w:hint="cs"/>
          <w:rtl/>
        </w:rPr>
        <w:t>؟!</w:t>
      </w:r>
      <w:r w:rsidR="00777DCB" w:rsidRPr="00A52585">
        <w:rPr>
          <w:rFonts w:hint="cs"/>
          <w:rtl/>
        </w:rPr>
        <w:t xml:space="preserve"> وقد عرفنا معنى الشاب والامرد ما هو</w:t>
      </w:r>
      <w:r w:rsidR="00F95886" w:rsidRPr="00A52585">
        <w:rPr>
          <w:rFonts w:hint="cs"/>
          <w:rtl/>
        </w:rPr>
        <w:t>؟!!</w:t>
      </w:r>
      <w:r w:rsidR="00DB731D" w:rsidRPr="00A52585">
        <w:rPr>
          <w:rFonts w:hint="cs"/>
          <w:rtl/>
        </w:rPr>
        <w:t>،</w:t>
      </w:r>
      <w:r w:rsidR="00777DCB" w:rsidRPr="00A52585">
        <w:rPr>
          <w:rFonts w:hint="cs"/>
          <w:rtl/>
        </w:rPr>
        <w:t xml:space="preserve"> ثم يقول</w:t>
      </w:r>
      <w:r w:rsidRPr="00A52585">
        <w:rPr>
          <w:rFonts w:hint="cs"/>
          <w:rtl/>
        </w:rPr>
        <w:t>:</w:t>
      </w:r>
      <w:r w:rsidR="00777DCB" w:rsidRPr="00A52585">
        <w:rPr>
          <w:rFonts w:hint="cs"/>
          <w:rtl/>
        </w:rPr>
        <w:t xml:space="preserve"> ما هو كما نعلم</w:t>
      </w:r>
      <w:r w:rsidR="00DB731D" w:rsidRPr="00A52585">
        <w:rPr>
          <w:rFonts w:hint="cs"/>
          <w:rtl/>
        </w:rPr>
        <w:t>،</w:t>
      </w:r>
      <w:r w:rsidR="00777DCB" w:rsidRPr="00A52585">
        <w:rPr>
          <w:rFonts w:hint="cs"/>
          <w:rtl/>
        </w:rPr>
        <w:t xml:space="preserve"> كمن يقول</w:t>
      </w:r>
      <w:r w:rsidRPr="00A52585">
        <w:rPr>
          <w:rFonts w:hint="cs"/>
          <w:rtl/>
        </w:rPr>
        <w:t>:</w:t>
      </w:r>
      <w:r w:rsidR="00777DCB" w:rsidRPr="00A52585">
        <w:rPr>
          <w:rFonts w:hint="cs"/>
          <w:rtl/>
        </w:rPr>
        <w:t xml:space="preserve"> قام فلان وما هو قائم</w:t>
      </w:r>
      <w:r w:rsidR="00DB731D" w:rsidRPr="00A52585">
        <w:rPr>
          <w:rFonts w:hint="cs"/>
          <w:rtl/>
        </w:rPr>
        <w:t>،</w:t>
      </w:r>
      <w:r w:rsidR="00777DCB" w:rsidRPr="00A52585">
        <w:rPr>
          <w:rFonts w:hint="cs"/>
          <w:rtl/>
        </w:rPr>
        <w:t xml:space="preserve"> وقعد وليس بقاعد</w:t>
      </w:r>
      <w:r w:rsidR="00DB731D" w:rsidRPr="00A52585">
        <w:rPr>
          <w:rFonts w:hint="cs"/>
          <w:rtl/>
        </w:rPr>
        <w:t>،</w:t>
      </w:r>
      <w:r w:rsidR="00777DCB" w:rsidRPr="00A52585">
        <w:rPr>
          <w:rFonts w:hint="cs"/>
          <w:rtl/>
        </w:rPr>
        <w:t xml:space="preserve"> قال ابن عقيل</w:t>
      </w:r>
      <w:r w:rsidRPr="00A52585">
        <w:rPr>
          <w:rFonts w:hint="cs"/>
          <w:rtl/>
        </w:rPr>
        <w:t>:</w:t>
      </w:r>
      <w:r w:rsidR="00777DCB" w:rsidRPr="00A52585">
        <w:rPr>
          <w:rFonts w:hint="cs"/>
          <w:rtl/>
        </w:rPr>
        <w:t xml:space="preserve"> هذا الحديث مقطوع بأنه كذب</w:t>
      </w:r>
      <w:r w:rsidR="00897A24" w:rsidRPr="00A52585">
        <w:rPr>
          <w:rFonts w:hint="cs"/>
          <w:rtl/>
        </w:rPr>
        <w:t>.</w:t>
      </w:r>
      <w:r w:rsidR="00777DCB" w:rsidRPr="00A52585">
        <w:rPr>
          <w:rFonts w:hint="cs"/>
          <w:rtl/>
        </w:rPr>
        <w:t xml:space="preserve"> ثم لا تنفع ثقة الرواة إذا كان المتن مستحيلا</w:t>
      </w:r>
      <w:r w:rsidR="00DB731D" w:rsidRPr="00A52585">
        <w:rPr>
          <w:rFonts w:hint="cs"/>
          <w:rtl/>
        </w:rPr>
        <w:t>،</w:t>
      </w:r>
      <w:r w:rsidR="00777DCB" w:rsidRPr="00A52585">
        <w:rPr>
          <w:rFonts w:hint="cs"/>
          <w:rtl/>
        </w:rPr>
        <w:t xml:space="preserve"> وصار هذا كما لو أخبرنا جماعة من المعدلين</w:t>
      </w:r>
      <w:r w:rsidRPr="00A52585">
        <w:rPr>
          <w:rFonts w:hint="cs"/>
          <w:rtl/>
        </w:rPr>
        <w:t>:</w:t>
      </w:r>
      <w:r w:rsidR="00777DCB" w:rsidRPr="00A52585">
        <w:rPr>
          <w:rFonts w:hint="cs"/>
          <w:rtl/>
        </w:rPr>
        <w:t xml:space="preserve"> بأن جمل البزاز دخل في خرم إبرة الخياط</w:t>
      </w:r>
      <w:r w:rsidR="00897A24" w:rsidRPr="00A52585">
        <w:rPr>
          <w:rFonts w:hint="cs"/>
          <w:rtl/>
        </w:rPr>
        <w:t>.</w:t>
      </w:r>
      <w:r w:rsidR="00777DCB" w:rsidRPr="00A52585">
        <w:rPr>
          <w:rFonts w:hint="cs"/>
          <w:rtl/>
        </w:rPr>
        <w:t xml:space="preserve"> فإنه لا حكم لصدق الرواة مع استحالة خبرهم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ومثل هذا الكلام القيم النفيس للمصنف - ابن الجوزي - أيضا في كتابه " الموضوعات " </w:t>
      </w:r>
      <w:r w:rsidRPr="00A52585">
        <w:rPr>
          <w:rFonts w:hint="cs"/>
          <w:sz w:val="24"/>
          <w:szCs w:val="24"/>
          <w:rtl/>
        </w:rPr>
        <w:t>(</w:t>
      </w:r>
      <w:r w:rsidR="00777DCB" w:rsidRPr="00A52585">
        <w:rPr>
          <w:rFonts w:hint="cs"/>
          <w:sz w:val="24"/>
          <w:szCs w:val="24"/>
          <w:rtl/>
        </w:rPr>
        <w:t>1 / 160</w:t>
      </w:r>
      <w:r w:rsidRPr="00A52585">
        <w:rPr>
          <w:rFonts w:hint="cs"/>
          <w:sz w:val="24"/>
          <w:szCs w:val="24"/>
          <w:rtl/>
        </w:rPr>
        <w:t>)</w:t>
      </w:r>
      <w:r w:rsidR="00777DCB" w:rsidRPr="00A52585">
        <w:rPr>
          <w:rFonts w:hint="cs"/>
          <w:sz w:val="24"/>
          <w:szCs w:val="24"/>
          <w:rtl/>
        </w:rPr>
        <w:t xml:space="preserve"> فارجع إليه]</w:t>
      </w:r>
      <w:r w:rsidR="00777DCB" w:rsidRPr="00A52585">
        <w:rPr>
          <w:rFonts w:hint="cs"/>
          <w:rtl/>
        </w:rPr>
        <w:t xml:space="preserve">، </w:t>
      </w:r>
    </w:p>
    <w:p w14:paraId="6904A07D" w14:textId="1261E474" w:rsidR="00777DCB" w:rsidRPr="00A52585" w:rsidRDefault="0002035C" w:rsidP="0002035C">
      <w:pPr>
        <w:rPr>
          <w:b/>
          <w:rtl/>
        </w:rPr>
      </w:pPr>
      <w:r w:rsidRPr="00A52585">
        <w:rPr>
          <w:rFonts w:hint="cs"/>
          <w:bCs/>
          <w:u w:val="single"/>
          <w:rtl/>
        </w:rPr>
        <w:t>[</w:t>
      </w:r>
      <w:r w:rsidR="00777DCB" w:rsidRPr="00A52585">
        <w:rPr>
          <w:rFonts w:hint="cs"/>
          <w:bCs/>
          <w:u w:val="single"/>
          <w:rtl/>
        </w:rPr>
        <w:t>4</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w:t>
      </w:r>
      <w:r w:rsidRPr="00A52585">
        <w:rPr>
          <w:rFonts w:hint="cs"/>
          <w:bCs/>
          <w:rtl/>
        </w:rPr>
        <w:t>]</w:t>
      </w:r>
      <w:r w:rsidRPr="00A52585">
        <w:rPr>
          <w:rFonts w:hint="cs"/>
          <w:rtl/>
        </w:rPr>
        <w:t>:</w:t>
      </w:r>
      <w:r w:rsidR="00777DCB" w:rsidRPr="00A52585">
        <w:rPr>
          <w:rFonts w:hint="cs"/>
          <w:rtl/>
        </w:rPr>
        <w:t xml:space="preserve"> روي عن أنس بن مالك رضي الله عنه قال</w:t>
      </w:r>
      <w:r w:rsidRPr="00A52585">
        <w:rPr>
          <w:rFonts w:hint="cs"/>
          <w:rtl/>
        </w:rPr>
        <w:t>:</w:t>
      </w:r>
      <w:r w:rsidR="00777DCB" w:rsidRPr="00A52585">
        <w:rPr>
          <w:rFonts w:hint="cs"/>
          <w:rtl/>
        </w:rPr>
        <w:t xml:space="preserve"> قال رسول الله - صلى الله عليه وسلم - " انتهيت ليلة أسري بي إلى السماء فرأيت ربي</w:t>
      </w:r>
      <w:r w:rsidR="00DB731D" w:rsidRPr="00A52585">
        <w:rPr>
          <w:rFonts w:hint="cs"/>
          <w:rtl/>
        </w:rPr>
        <w:t>،</w:t>
      </w:r>
      <w:r w:rsidR="00777DCB" w:rsidRPr="00A52585">
        <w:rPr>
          <w:rFonts w:hint="cs"/>
          <w:rtl/>
        </w:rPr>
        <w:t xml:space="preserve"> فرأيت كل شيء من ربي</w:t>
      </w:r>
      <w:r w:rsidR="00DB731D" w:rsidRPr="00A52585">
        <w:rPr>
          <w:rFonts w:hint="cs"/>
          <w:rtl/>
        </w:rPr>
        <w:t>،</w:t>
      </w:r>
      <w:r w:rsidR="00777DCB" w:rsidRPr="00A52585">
        <w:rPr>
          <w:rFonts w:hint="cs"/>
          <w:rtl/>
        </w:rPr>
        <w:t xml:space="preserve"> حتى لقد رأيت تاجا مخوصا من لؤلؤ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ابن الجوزي في الموضوعات </w:t>
      </w:r>
      <w:r w:rsidRPr="00A52585">
        <w:rPr>
          <w:rFonts w:hint="cs"/>
          <w:sz w:val="24"/>
          <w:szCs w:val="24"/>
          <w:rtl/>
        </w:rPr>
        <w:t>(</w:t>
      </w:r>
      <w:r w:rsidR="00777DCB" w:rsidRPr="00A52585">
        <w:rPr>
          <w:rFonts w:hint="cs"/>
          <w:sz w:val="24"/>
          <w:szCs w:val="24"/>
          <w:rtl/>
        </w:rPr>
        <w:t>1 / 115</w:t>
      </w:r>
      <w:r w:rsidRPr="00A52585">
        <w:rPr>
          <w:rFonts w:hint="cs"/>
          <w:sz w:val="24"/>
          <w:szCs w:val="24"/>
          <w:rtl/>
        </w:rPr>
        <w:t>)</w:t>
      </w:r>
      <w:r w:rsidR="00777DCB" w:rsidRPr="00A52585">
        <w:rPr>
          <w:rFonts w:hint="cs"/>
          <w:sz w:val="24"/>
          <w:szCs w:val="24"/>
          <w:rtl/>
        </w:rPr>
        <w:t xml:space="preserve"> وهو حديث موضوع</w:t>
      </w:r>
      <w:r w:rsidR="00DB731D" w:rsidRPr="00A52585">
        <w:rPr>
          <w:rFonts w:hint="cs"/>
          <w:sz w:val="24"/>
          <w:szCs w:val="24"/>
          <w:rtl/>
        </w:rPr>
        <w:t>،</w:t>
      </w:r>
      <w:r w:rsidR="00777DCB" w:rsidRPr="00A52585">
        <w:rPr>
          <w:rFonts w:hint="cs"/>
          <w:sz w:val="24"/>
          <w:szCs w:val="24"/>
          <w:rtl/>
        </w:rPr>
        <w:t xml:space="preserve"> وقال هناك</w:t>
      </w:r>
      <w:r w:rsidRPr="00A52585">
        <w:rPr>
          <w:rFonts w:hint="cs"/>
          <w:sz w:val="24"/>
          <w:szCs w:val="24"/>
          <w:rtl/>
        </w:rPr>
        <w:t>:</w:t>
      </w:r>
      <w:r w:rsidR="00777DCB" w:rsidRPr="00A52585">
        <w:rPr>
          <w:rFonts w:hint="cs"/>
          <w:sz w:val="24"/>
          <w:szCs w:val="24"/>
          <w:rtl/>
        </w:rPr>
        <w:t xml:space="preserve"> " ومثل هذا الحديث لا يخفى أنه موضوع</w:t>
      </w:r>
      <w:r w:rsidR="00DB731D" w:rsidRPr="00A52585">
        <w:rPr>
          <w:rFonts w:hint="cs"/>
          <w:sz w:val="24"/>
          <w:szCs w:val="24"/>
          <w:rtl/>
        </w:rPr>
        <w:t>،</w:t>
      </w:r>
      <w:r w:rsidR="00777DCB" w:rsidRPr="00A52585">
        <w:rPr>
          <w:rFonts w:hint="cs"/>
          <w:sz w:val="24"/>
          <w:szCs w:val="24"/>
          <w:rtl/>
        </w:rPr>
        <w:t xml:space="preserve"> وأنه يثبت </w:t>
      </w:r>
      <w:proofErr w:type="spellStart"/>
      <w:r w:rsidR="00777DCB" w:rsidRPr="00A52585">
        <w:rPr>
          <w:rFonts w:hint="cs"/>
          <w:sz w:val="24"/>
          <w:szCs w:val="24"/>
          <w:rtl/>
        </w:rPr>
        <w:t>البعضية</w:t>
      </w:r>
      <w:proofErr w:type="spellEnd"/>
      <w:r w:rsidR="00DB731D" w:rsidRPr="00A52585">
        <w:rPr>
          <w:rFonts w:hint="cs"/>
          <w:sz w:val="24"/>
          <w:szCs w:val="24"/>
          <w:rtl/>
        </w:rPr>
        <w:t>،</w:t>
      </w:r>
      <w:r w:rsidR="00777DCB" w:rsidRPr="00A52585">
        <w:rPr>
          <w:rFonts w:hint="cs"/>
          <w:sz w:val="24"/>
          <w:szCs w:val="24"/>
          <w:rtl/>
        </w:rPr>
        <w:t xml:space="preserve"> ويشير إلى التشبيه</w:t>
      </w:r>
      <w:r w:rsidR="00DB731D" w:rsidRPr="00A52585">
        <w:rPr>
          <w:rFonts w:hint="cs"/>
          <w:sz w:val="24"/>
          <w:szCs w:val="24"/>
          <w:rtl/>
        </w:rPr>
        <w:t>،</w:t>
      </w:r>
      <w:r w:rsidR="00777DCB" w:rsidRPr="00A52585">
        <w:rPr>
          <w:rFonts w:hint="cs"/>
          <w:sz w:val="24"/>
          <w:szCs w:val="24"/>
          <w:rtl/>
        </w:rPr>
        <w:t xml:space="preserve"> فكافأ الله من عمله " اه‍</w:t>
      </w:r>
      <w:r w:rsidR="00777DCB"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w:t>
      </w:r>
      <w:r w:rsidR="00777DCB" w:rsidRPr="00A52585">
        <w:rPr>
          <w:rFonts w:hint="cs"/>
          <w:rtl/>
        </w:rPr>
        <w:lastRenderedPageBreak/>
        <w:t>هذا يرويه أبو القاسم عبد الله بن محمد بن اليسع عن القاسم بن إبراهيم</w:t>
      </w:r>
      <w:r w:rsidR="00DB731D" w:rsidRPr="00A52585">
        <w:rPr>
          <w:rFonts w:hint="cs"/>
          <w:rtl/>
        </w:rPr>
        <w:t>،</w:t>
      </w:r>
      <w:r w:rsidR="00777DCB" w:rsidRPr="00A52585">
        <w:rPr>
          <w:rFonts w:hint="cs"/>
          <w:rtl/>
        </w:rPr>
        <w:t xml:space="preserve"> قال الازهري</w:t>
      </w:r>
      <w:r w:rsidRPr="00A52585">
        <w:rPr>
          <w:rFonts w:hint="cs"/>
          <w:rtl/>
        </w:rPr>
        <w:t>:</w:t>
      </w:r>
      <w:r w:rsidR="00777DCB" w:rsidRPr="00A52585">
        <w:rPr>
          <w:rFonts w:hint="cs"/>
          <w:rtl/>
        </w:rPr>
        <w:t xml:space="preserve"> كنت أقعد مع ابن اليسع ساعة فيقول</w:t>
      </w:r>
      <w:r w:rsidRPr="00A52585">
        <w:rPr>
          <w:rFonts w:hint="cs"/>
          <w:rtl/>
        </w:rPr>
        <w:t>:</w:t>
      </w:r>
      <w:r w:rsidR="00777DCB" w:rsidRPr="00A52585">
        <w:rPr>
          <w:rFonts w:hint="cs"/>
          <w:rtl/>
        </w:rPr>
        <w:t xml:space="preserve"> " قد ختمت الختمة منذ قعدت وقاسم ليس بشيء "</w:t>
      </w:r>
      <w:r w:rsidR="00DB731D" w:rsidRPr="00A52585">
        <w:rPr>
          <w:rFonts w:hint="cs"/>
          <w:rtl/>
        </w:rPr>
        <w:t>،</w:t>
      </w:r>
      <w:r w:rsidR="00777DCB" w:rsidRPr="00A52585">
        <w:rPr>
          <w:rFonts w:hint="cs"/>
          <w:rtl/>
        </w:rPr>
        <w:t xml:space="preserve"> قال الدارقطني</w:t>
      </w:r>
      <w:r w:rsidRPr="00A52585">
        <w:rPr>
          <w:rFonts w:hint="cs"/>
          <w:rtl/>
        </w:rPr>
        <w:t>:</w:t>
      </w:r>
      <w:r w:rsidR="00777DCB" w:rsidRPr="00A52585">
        <w:rPr>
          <w:rFonts w:hint="cs"/>
          <w:rtl/>
        </w:rPr>
        <w:t xml:space="preserve"> هو كذاب</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كافأ الله من عمل مثل هذا الحديث </w:t>
      </w:r>
    </w:p>
    <w:p w14:paraId="718DC6A1" w14:textId="1FC2D40C" w:rsidR="00777DCB" w:rsidRPr="00A52585" w:rsidRDefault="0002035C" w:rsidP="0002035C">
      <w:pPr>
        <w:rPr>
          <w:b/>
          <w:rtl/>
        </w:rPr>
      </w:pPr>
      <w:r w:rsidRPr="00A52585">
        <w:rPr>
          <w:rFonts w:hint="cs"/>
          <w:bCs/>
          <w:u w:val="single"/>
          <w:rtl/>
        </w:rPr>
        <w:t>[</w:t>
      </w:r>
      <w:r w:rsidR="00777DCB" w:rsidRPr="00A52585">
        <w:rPr>
          <w:rFonts w:hint="cs"/>
          <w:bCs/>
          <w:u w:val="single"/>
          <w:rtl/>
        </w:rPr>
        <w:t>5</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w:t>
      </w:r>
      <w:r w:rsidRPr="00A52585">
        <w:rPr>
          <w:rFonts w:hint="cs"/>
          <w:rtl/>
        </w:rPr>
        <w:t>]:</w:t>
      </w:r>
      <w:r w:rsidR="00777DCB" w:rsidRPr="00A52585">
        <w:rPr>
          <w:rFonts w:hint="cs"/>
          <w:rtl/>
        </w:rPr>
        <w:t xml:space="preserve"> روى البخاري ومسلم في الصحيحين من حديث أبي هريرة رضي الله تعالى عنه عن النبي - صلى الله عليه وسلم - أنه قال</w:t>
      </w:r>
      <w:r w:rsidRPr="00A52585">
        <w:rPr>
          <w:rFonts w:hint="cs"/>
          <w:rtl/>
        </w:rPr>
        <w:t>:</w:t>
      </w:r>
      <w:r w:rsidR="00777DCB" w:rsidRPr="00A52585">
        <w:rPr>
          <w:rFonts w:hint="cs"/>
          <w:rtl/>
        </w:rPr>
        <w:t xml:space="preserve"> " يجمع الله الناس فيقول</w:t>
      </w:r>
      <w:r w:rsidRPr="00A52585">
        <w:rPr>
          <w:rFonts w:hint="cs"/>
          <w:rtl/>
        </w:rPr>
        <w:t>:</w:t>
      </w:r>
      <w:r w:rsidR="00777DCB" w:rsidRPr="00A52585">
        <w:rPr>
          <w:rFonts w:hint="cs"/>
          <w:rtl/>
        </w:rPr>
        <w:t xml:space="preserve"> من كان يعبد شيئا فليتبعه</w:t>
      </w:r>
      <w:r w:rsidR="00DB731D" w:rsidRPr="00A52585">
        <w:rPr>
          <w:rFonts w:hint="cs"/>
          <w:rtl/>
        </w:rPr>
        <w:t>،</w:t>
      </w:r>
      <w:r w:rsidR="00777DCB" w:rsidRPr="00A52585">
        <w:rPr>
          <w:rFonts w:hint="cs"/>
          <w:rtl/>
        </w:rPr>
        <w:t xml:space="preserve"> فيتبعون ما كانوا يعبدون</w:t>
      </w:r>
      <w:r w:rsidR="00DB731D" w:rsidRPr="00A52585">
        <w:rPr>
          <w:rFonts w:hint="cs"/>
          <w:rtl/>
        </w:rPr>
        <w:t>،</w:t>
      </w:r>
      <w:r w:rsidR="00777DCB" w:rsidRPr="00A52585">
        <w:rPr>
          <w:rFonts w:hint="cs"/>
          <w:rtl/>
        </w:rPr>
        <w:t xml:space="preserve"> وتبقى هذه الامة فيها </w:t>
      </w:r>
      <w:proofErr w:type="spellStart"/>
      <w:r w:rsidR="00777DCB" w:rsidRPr="00A52585">
        <w:rPr>
          <w:rFonts w:hint="cs"/>
          <w:rtl/>
        </w:rPr>
        <w:t>منافقوها</w:t>
      </w:r>
      <w:proofErr w:type="spellEnd"/>
      <w:r w:rsidR="00DB731D" w:rsidRPr="00A52585">
        <w:rPr>
          <w:rFonts w:hint="cs"/>
          <w:rtl/>
        </w:rPr>
        <w:t>،</w:t>
      </w:r>
      <w:r w:rsidR="00777DCB" w:rsidRPr="00A52585">
        <w:rPr>
          <w:rFonts w:hint="cs"/>
          <w:rtl/>
        </w:rPr>
        <w:t xml:space="preserve"> فيأتيهم الله عز وجل في غير الصورة التي كانوا يعرفون فيقول</w:t>
      </w:r>
      <w:r w:rsidRPr="00A52585">
        <w:rPr>
          <w:rFonts w:hint="cs"/>
          <w:rtl/>
        </w:rPr>
        <w:t>:</w:t>
      </w:r>
      <w:r w:rsidR="00777DCB" w:rsidRPr="00A52585">
        <w:rPr>
          <w:rFonts w:hint="cs"/>
          <w:rtl/>
        </w:rPr>
        <w:t xml:space="preserve"> أنا ربكم</w:t>
      </w:r>
      <w:r w:rsidR="00DB731D" w:rsidRPr="00A52585">
        <w:rPr>
          <w:rFonts w:hint="cs"/>
          <w:rtl/>
        </w:rPr>
        <w:t>،</w:t>
      </w:r>
      <w:r w:rsidR="00777DCB" w:rsidRPr="00A52585">
        <w:rPr>
          <w:rFonts w:hint="cs"/>
          <w:rtl/>
        </w:rPr>
        <w:t xml:space="preserve"> فيقولون نعوذ بالله منك هذا مكاننا حتى يأتينا ربنا</w:t>
      </w:r>
      <w:r w:rsidR="00DB731D" w:rsidRPr="00A52585">
        <w:rPr>
          <w:rFonts w:hint="cs"/>
          <w:rtl/>
        </w:rPr>
        <w:t>،</w:t>
      </w:r>
      <w:r w:rsidR="00777DCB" w:rsidRPr="00A52585">
        <w:rPr>
          <w:rFonts w:hint="cs"/>
          <w:rtl/>
        </w:rPr>
        <w:t xml:space="preserve"> فإذا جاء ربنا عرفناه فيأتيهم في الصورة التي يعرفون</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أنا ربكم</w:t>
      </w:r>
      <w:r w:rsidR="00897A24" w:rsidRPr="00A52585">
        <w:rPr>
          <w:rFonts w:hint="cs"/>
          <w:rtl/>
        </w:rPr>
        <w:t>.</w:t>
      </w:r>
      <w:r w:rsidR="00777DCB" w:rsidRPr="00A52585">
        <w:rPr>
          <w:rFonts w:hint="cs"/>
          <w:rtl/>
        </w:rPr>
        <w:t xml:space="preserve"> فيقولون</w:t>
      </w:r>
      <w:r w:rsidRPr="00A52585">
        <w:rPr>
          <w:rFonts w:hint="cs"/>
          <w:rtl/>
        </w:rPr>
        <w:t>:</w:t>
      </w:r>
      <w:r w:rsidR="00777DCB" w:rsidRPr="00A52585">
        <w:rPr>
          <w:rFonts w:hint="cs"/>
          <w:rtl/>
        </w:rPr>
        <w:t xml:space="preserve"> أنت </w:t>
      </w:r>
      <w:proofErr w:type="gramStart"/>
      <w:r w:rsidR="00777DCB" w:rsidRPr="00A52585">
        <w:rPr>
          <w:rFonts w:hint="cs"/>
          <w:rtl/>
        </w:rPr>
        <w:t>ربنا</w:t>
      </w:r>
      <w:r w:rsidR="00897A24" w:rsidRPr="00A52585">
        <w:rPr>
          <w:rFonts w:hint="cs"/>
          <w:rtl/>
        </w:rPr>
        <w:t>..</w:t>
      </w:r>
      <w:r w:rsidR="00F95886" w:rsidRPr="00A52585">
        <w:rPr>
          <w:rFonts w:hint="cs"/>
          <w:rtl/>
        </w:rPr>
        <w:t>؟</w:t>
      </w:r>
      <w:proofErr w:type="gramEnd"/>
      <w:r w:rsidR="00777DCB" w:rsidRPr="00A52585">
        <w:rPr>
          <w:rFonts w:hint="cs"/>
          <w:rtl/>
        </w:rPr>
        <w:t xml:space="preserve">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 xml:space="preserve">فتح 2 / 293 </w:t>
      </w:r>
      <w:proofErr w:type="gramStart"/>
      <w:r w:rsidR="00777DCB" w:rsidRPr="00A52585">
        <w:rPr>
          <w:rFonts w:hint="cs"/>
          <w:sz w:val="24"/>
          <w:szCs w:val="24"/>
          <w:rtl/>
        </w:rPr>
        <w:t>و 11</w:t>
      </w:r>
      <w:proofErr w:type="gramEnd"/>
      <w:r w:rsidR="00777DCB" w:rsidRPr="00A52585">
        <w:rPr>
          <w:rFonts w:hint="cs"/>
          <w:sz w:val="24"/>
          <w:szCs w:val="24"/>
          <w:rtl/>
        </w:rPr>
        <w:t xml:space="preserve"> / 445</w:t>
      </w:r>
      <w:r w:rsidRPr="00A52585">
        <w:rPr>
          <w:rFonts w:hint="cs"/>
          <w:sz w:val="24"/>
          <w:szCs w:val="24"/>
          <w:rtl/>
        </w:rPr>
        <w:t>)</w:t>
      </w:r>
      <w:r w:rsidR="00777DCB" w:rsidRPr="00A52585">
        <w:rPr>
          <w:rFonts w:hint="cs"/>
          <w:sz w:val="24"/>
          <w:szCs w:val="24"/>
          <w:rtl/>
        </w:rPr>
        <w:t xml:space="preserve"> من حديث أبي هريرة</w:t>
      </w:r>
      <w:r w:rsidR="00897A24"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فتح 8 / 249 - 250</w:t>
      </w:r>
      <w:r w:rsidRPr="00A52585">
        <w:rPr>
          <w:rFonts w:hint="cs"/>
          <w:sz w:val="24"/>
          <w:szCs w:val="24"/>
          <w:rtl/>
        </w:rPr>
        <w:t>)</w:t>
      </w:r>
      <w:r w:rsidR="00777DCB" w:rsidRPr="00A52585">
        <w:rPr>
          <w:rFonts w:hint="cs"/>
          <w:sz w:val="24"/>
          <w:szCs w:val="24"/>
          <w:rtl/>
        </w:rPr>
        <w:t xml:space="preserve"> من حديث أبي سعيد ومسلم </w:t>
      </w:r>
      <w:r w:rsidRPr="00A52585">
        <w:rPr>
          <w:rFonts w:hint="cs"/>
          <w:sz w:val="24"/>
          <w:szCs w:val="24"/>
          <w:rtl/>
        </w:rPr>
        <w:t>(</w:t>
      </w:r>
      <w:r w:rsidR="00777DCB" w:rsidRPr="00A52585">
        <w:rPr>
          <w:rFonts w:hint="cs"/>
          <w:sz w:val="24"/>
          <w:szCs w:val="24"/>
          <w:rtl/>
        </w:rPr>
        <w:t>1 / 164 برقم 299</w:t>
      </w:r>
      <w:r w:rsidRPr="00A52585">
        <w:rPr>
          <w:rFonts w:hint="cs"/>
          <w:sz w:val="24"/>
          <w:szCs w:val="24"/>
          <w:rtl/>
        </w:rPr>
        <w:t>)</w:t>
      </w:r>
      <w:r w:rsidR="00777DCB" w:rsidRPr="00A52585">
        <w:rPr>
          <w:rFonts w:hint="cs"/>
          <w:sz w:val="24"/>
          <w:szCs w:val="24"/>
          <w:rtl/>
        </w:rPr>
        <w:t xml:space="preserve"> من حديث أبي هريرة و </w:t>
      </w:r>
      <w:r w:rsidRPr="00A52585">
        <w:rPr>
          <w:rFonts w:hint="cs"/>
          <w:sz w:val="24"/>
          <w:szCs w:val="24"/>
          <w:rtl/>
        </w:rPr>
        <w:t>(</w:t>
      </w:r>
      <w:r w:rsidR="00777DCB" w:rsidRPr="00A52585">
        <w:rPr>
          <w:rFonts w:hint="cs"/>
          <w:sz w:val="24"/>
          <w:szCs w:val="24"/>
          <w:rtl/>
        </w:rPr>
        <w:t>1 / 198 برقم 302</w:t>
      </w:r>
      <w:r w:rsidRPr="00A52585">
        <w:rPr>
          <w:rFonts w:hint="cs"/>
          <w:sz w:val="24"/>
          <w:szCs w:val="24"/>
          <w:rtl/>
        </w:rPr>
        <w:t>)</w:t>
      </w:r>
      <w:r w:rsidR="00777DCB" w:rsidRPr="00A52585">
        <w:rPr>
          <w:rFonts w:hint="cs"/>
          <w:sz w:val="24"/>
          <w:szCs w:val="24"/>
          <w:rtl/>
        </w:rPr>
        <w:t xml:space="preserve"> من حديث أبي سعيد</w:t>
      </w:r>
      <w:r w:rsidR="00DB731D" w:rsidRPr="00A52585">
        <w:rPr>
          <w:rFonts w:hint="cs"/>
          <w:sz w:val="24"/>
          <w:szCs w:val="24"/>
          <w:rtl/>
        </w:rPr>
        <w:t>،</w:t>
      </w:r>
      <w:r w:rsidR="00777DCB" w:rsidRPr="00A52585">
        <w:rPr>
          <w:rFonts w:hint="cs"/>
          <w:sz w:val="24"/>
          <w:szCs w:val="24"/>
          <w:rtl/>
        </w:rPr>
        <w:t xml:space="preserve"> وأحمد في المسند </w:t>
      </w:r>
      <w:r w:rsidRPr="00A52585">
        <w:rPr>
          <w:rFonts w:hint="cs"/>
          <w:sz w:val="24"/>
          <w:szCs w:val="24"/>
          <w:rtl/>
        </w:rPr>
        <w:t>(</w:t>
      </w:r>
      <w:r w:rsidR="00777DCB" w:rsidRPr="00A52585">
        <w:rPr>
          <w:rFonts w:hint="cs"/>
          <w:sz w:val="24"/>
          <w:szCs w:val="24"/>
          <w:rtl/>
        </w:rPr>
        <w:t>3 / 17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والترمذي في سننه </w:t>
      </w:r>
      <w:r w:rsidRPr="00A52585">
        <w:rPr>
          <w:rFonts w:hint="cs"/>
          <w:sz w:val="24"/>
          <w:szCs w:val="24"/>
          <w:rtl/>
        </w:rPr>
        <w:t>(</w:t>
      </w:r>
      <w:r w:rsidR="00777DCB" w:rsidRPr="00A52585">
        <w:rPr>
          <w:rFonts w:hint="cs"/>
          <w:sz w:val="24"/>
          <w:szCs w:val="24"/>
          <w:rtl/>
        </w:rPr>
        <w:t>4 / 691 برقم 2557 شاكر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وهذا الحديث شاذ عندنا بمرة</w:t>
      </w:r>
      <w:r w:rsidR="00897A24" w:rsidRPr="00A52585">
        <w:rPr>
          <w:rFonts w:hint="cs"/>
          <w:sz w:val="24"/>
          <w:szCs w:val="24"/>
          <w:rtl/>
        </w:rPr>
        <w:t>.</w:t>
      </w:r>
      <w:r w:rsidR="00777DCB" w:rsidRPr="00A52585">
        <w:rPr>
          <w:rFonts w:hint="cs"/>
          <w:sz w:val="24"/>
          <w:szCs w:val="24"/>
          <w:rtl/>
        </w:rPr>
        <w:t xml:space="preserve"> لان فيه إشكالات تعارض القرآن والسنة الصحيحة المتواترة والمشهورة وغيرها والقواعد الثابتة في الكتاب والسنة</w:t>
      </w:r>
      <w:r w:rsidR="00DB731D" w:rsidRPr="00A52585">
        <w:rPr>
          <w:rFonts w:hint="cs"/>
          <w:sz w:val="24"/>
          <w:szCs w:val="24"/>
          <w:rtl/>
        </w:rPr>
        <w:t>،</w:t>
      </w:r>
      <w:r w:rsidR="00777DCB" w:rsidRPr="00A52585">
        <w:rPr>
          <w:rFonts w:hint="cs"/>
          <w:sz w:val="24"/>
          <w:szCs w:val="24"/>
          <w:rtl/>
        </w:rPr>
        <w:t xml:space="preserve"> وقد ذكرت له ستة عشر إشكالا في كتابي</w:t>
      </w:r>
      <w:r w:rsidRPr="00A52585">
        <w:rPr>
          <w:rFonts w:hint="cs"/>
          <w:sz w:val="24"/>
          <w:szCs w:val="24"/>
          <w:rtl/>
        </w:rPr>
        <w:t>:</w:t>
      </w:r>
      <w:r w:rsidR="00777DCB" w:rsidRPr="00A52585">
        <w:rPr>
          <w:rFonts w:hint="cs"/>
          <w:sz w:val="24"/>
          <w:szCs w:val="24"/>
          <w:rtl/>
        </w:rPr>
        <w:t xml:space="preserve"> " الادلة المقومة </w:t>
      </w:r>
      <w:proofErr w:type="spellStart"/>
      <w:r w:rsidR="00777DCB" w:rsidRPr="00A52585">
        <w:rPr>
          <w:rFonts w:hint="cs"/>
          <w:sz w:val="24"/>
          <w:szCs w:val="24"/>
          <w:rtl/>
        </w:rPr>
        <w:t>لاعوجاجات</w:t>
      </w:r>
      <w:proofErr w:type="spellEnd"/>
      <w:r w:rsidR="00777DCB" w:rsidRPr="00A52585">
        <w:rPr>
          <w:rFonts w:hint="cs"/>
          <w:sz w:val="24"/>
          <w:szCs w:val="24"/>
          <w:rtl/>
        </w:rPr>
        <w:t xml:space="preserve"> المجسمة " أذكر بعضها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w:t>
      </w:r>
      <w:r w:rsidRPr="00A52585">
        <w:rPr>
          <w:rFonts w:hint="cs"/>
          <w:sz w:val="24"/>
          <w:szCs w:val="24"/>
          <w:rtl/>
        </w:rPr>
        <w:t>)</w:t>
      </w:r>
      <w:r w:rsidR="00777DCB" w:rsidRPr="00A52585">
        <w:rPr>
          <w:rFonts w:hint="cs"/>
          <w:sz w:val="24"/>
          <w:szCs w:val="24"/>
          <w:rtl/>
        </w:rPr>
        <w:t xml:space="preserve"> فيه أن الله يتشكل فيأتي أحيانا بصورته الحقيقية المزعومة وأحيانا بغير صورته</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2</w:t>
      </w:r>
      <w:r w:rsidRPr="00A52585">
        <w:rPr>
          <w:rFonts w:hint="cs"/>
          <w:sz w:val="24"/>
          <w:szCs w:val="24"/>
          <w:rtl/>
        </w:rPr>
        <w:t>)</w:t>
      </w:r>
      <w:r w:rsidR="00777DCB" w:rsidRPr="00A52585">
        <w:rPr>
          <w:rFonts w:hint="cs"/>
          <w:sz w:val="24"/>
          <w:szCs w:val="24"/>
          <w:rtl/>
        </w:rPr>
        <w:t xml:space="preserve"> فيه إثبات الصورة لله تعالى وذلك محال</w:t>
      </w:r>
      <w:r w:rsidRPr="00A52585">
        <w:rPr>
          <w:rFonts w:hint="cs"/>
          <w:sz w:val="24"/>
          <w:szCs w:val="24"/>
          <w:rtl/>
        </w:rPr>
        <w:t>]</w:t>
      </w:r>
      <w:r w:rsidR="00DB731D" w:rsidRPr="00A52585">
        <w:rPr>
          <w:rFonts w:hint="cs"/>
          <w:rtl/>
        </w:rPr>
        <w:t>،</w:t>
      </w:r>
      <w:r w:rsidR="00777DCB" w:rsidRPr="00A52585">
        <w:rPr>
          <w:rFonts w:hint="cs"/>
          <w:rtl/>
        </w:rPr>
        <w:t xml:space="preserve"> وفي الصحيحين من حديث أبي سعيد عن النبي - صلى الله عليه وسلم - أنه قال</w:t>
      </w:r>
      <w:r w:rsidRPr="00A52585">
        <w:rPr>
          <w:rFonts w:hint="cs"/>
          <w:rtl/>
        </w:rPr>
        <w:t>:</w:t>
      </w:r>
      <w:r w:rsidR="00777DCB" w:rsidRPr="00A52585">
        <w:rPr>
          <w:rFonts w:hint="cs"/>
          <w:rtl/>
        </w:rPr>
        <w:t xml:space="preserve"> " فيأتيهم الجبار في غير الصورة التي رأوه فيها أول مرة</w:t>
      </w:r>
      <w:r w:rsidR="00897A24" w:rsidRPr="00A52585">
        <w:rPr>
          <w:rFonts w:hint="cs"/>
          <w:rtl/>
        </w:rPr>
        <w:t>.</w:t>
      </w:r>
      <w:r w:rsidR="00777DCB" w:rsidRPr="00A52585">
        <w:rPr>
          <w:rFonts w:hint="cs"/>
          <w:rtl/>
        </w:rPr>
        <w:t xml:space="preserve"> فيقول أنا ربكم</w:t>
      </w:r>
      <w:r w:rsidR="00DB731D" w:rsidRPr="00A52585">
        <w:rPr>
          <w:rFonts w:hint="cs"/>
          <w:rtl/>
        </w:rPr>
        <w:t>،</w:t>
      </w:r>
      <w:r w:rsidR="00777DCB" w:rsidRPr="00A52585">
        <w:rPr>
          <w:rFonts w:hint="cs"/>
          <w:rtl/>
        </w:rPr>
        <w:t xml:space="preserve"> فيقولون أنت ربنا</w:t>
      </w:r>
      <w:r w:rsidR="00DB731D" w:rsidRPr="00A52585">
        <w:rPr>
          <w:rFonts w:hint="cs"/>
          <w:rtl/>
        </w:rPr>
        <w:t>،</w:t>
      </w:r>
      <w:r w:rsidR="00777DCB" w:rsidRPr="00A52585">
        <w:rPr>
          <w:rFonts w:hint="cs"/>
          <w:rtl/>
        </w:rPr>
        <w:t xml:space="preserve"> فلا يكلمه إلا الانبياء</w:t>
      </w:r>
      <w:r w:rsidR="00897A24" w:rsidRPr="00A52585">
        <w:rPr>
          <w:rFonts w:hint="cs"/>
          <w:rtl/>
        </w:rPr>
        <w:t>.</w:t>
      </w:r>
      <w:r w:rsidR="00777DCB" w:rsidRPr="00A52585">
        <w:rPr>
          <w:rFonts w:hint="cs"/>
          <w:rtl/>
        </w:rPr>
        <w:t xml:space="preserve"> فيقال</w:t>
      </w:r>
      <w:r w:rsidRPr="00A52585">
        <w:rPr>
          <w:rFonts w:hint="cs"/>
          <w:rtl/>
        </w:rPr>
        <w:t>:</w:t>
      </w:r>
      <w:r w:rsidR="00777DCB" w:rsidRPr="00A52585">
        <w:rPr>
          <w:rFonts w:hint="cs"/>
          <w:rtl/>
        </w:rPr>
        <w:t xml:space="preserve"> هل بينكم وبينه آية تعرفونها</w:t>
      </w:r>
      <w:r w:rsidR="00897A24" w:rsidRPr="00A52585">
        <w:rPr>
          <w:rFonts w:hint="cs"/>
          <w:rtl/>
        </w:rPr>
        <w:t>...</w:t>
      </w:r>
      <w:r w:rsidR="00F95886" w:rsidRPr="00A52585">
        <w:rPr>
          <w:rFonts w:hint="cs"/>
          <w:rtl/>
        </w:rPr>
        <w:t>؟</w:t>
      </w:r>
      <w:r w:rsidR="00777DCB" w:rsidRPr="00A52585">
        <w:rPr>
          <w:rFonts w:hint="cs"/>
          <w:rtl/>
        </w:rPr>
        <w:t xml:space="preserve"> فيقولون</w:t>
      </w:r>
      <w:r w:rsidRPr="00A52585">
        <w:rPr>
          <w:rFonts w:hint="cs"/>
          <w:rtl/>
        </w:rPr>
        <w:t>:</w:t>
      </w:r>
      <w:r w:rsidR="00777DCB" w:rsidRPr="00A52585">
        <w:rPr>
          <w:rFonts w:hint="cs"/>
          <w:rtl/>
        </w:rPr>
        <w:t xml:space="preserve"> الساق</w:t>
      </w:r>
      <w:r w:rsidR="00897A24" w:rsidRPr="00A52585">
        <w:rPr>
          <w:rFonts w:hint="cs"/>
          <w:rtl/>
        </w:rPr>
        <w:t>.</w:t>
      </w:r>
      <w:r w:rsidR="00777DCB" w:rsidRPr="00A52585">
        <w:rPr>
          <w:rFonts w:hint="cs"/>
          <w:rtl/>
        </w:rPr>
        <w:t xml:space="preserve"> فيكشف عن ساقه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وقع في موضع في البخاري </w:t>
      </w:r>
      <w:r w:rsidRPr="00A52585">
        <w:rPr>
          <w:rFonts w:hint="cs"/>
          <w:sz w:val="24"/>
          <w:szCs w:val="24"/>
          <w:rtl/>
        </w:rPr>
        <w:t>(</w:t>
      </w:r>
      <w:r w:rsidR="00777DCB" w:rsidRPr="00A52585">
        <w:rPr>
          <w:rFonts w:hint="cs"/>
          <w:sz w:val="24"/>
          <w:szCs w:val="24"/>
          <w:rtl/>
        </w:rPr>
        <w:t>فتح 8 / 664</w:t>
      </w:r>
      <w:r w:rsidRPr="00A52585">
        <w:rPr>
          <w:rFonts w:hint="cs"/>
          <w:sz w:val="24"/>
          <w:szCs w:val="24"/>
          <w:rtl/>
        </w:rPr>
        <w:t>)</w:t>
      </w:r>
      <w:r w:rsidR="00777DCB" w:rsidRPr="00A52585">
        <w:rPr>
          <w:rFonts w:hint="cs"/>
          <w:sz w:val="24"/>
          <w:szCs w:val="24"/>
          <w:rtl/>
        </w:rPr>
        <w:t xml:space="preserve"> بهذا اللفظ </w:t>
      </w:r>
      <w:r w:rsidRPr="00A52585">
        <w:rPr>
          <w:rFonts w:hint="cs"/>
          <w:sz w:val="24"/>
          <w:szCs w:val="24"/>
          <w:rtl/>
        </w:rPr>
        <w:t>(</w:t>
      </w:r>
      <w:r w:rsidR="00777DCB" w:rsidRPr="00A52585">
        <w:rPr>
          <w:rFonts w:hint="cs"/>
          <w:sz w:val="24"/>
          <w:szCs w:val="24"/>
          <w:rtl/>
        </w:rPr>
        <w:t>ساقه</w:t>
      </w:r>
      <w:r w:rsidRPr="00A52585">
        <w:rPr>
          <w:rFonts w:hint="cs"/>
          <w:sz w:val="24"/>
          <w:szCs w:val="24"/>
          <w:rtl/>
        </w:rPr>
        <w:t>)</w:t>
      </w:r>
      <w:r w:rsidR="00777DCB" w:rsidRPr="00A52585">
        <w:rPr>
          <w:rFonts w:hint="cs"/>
          <w:sz w:val="24"/>
          <w:szCs w:val="24"/>
          <w:rtl/>
        </w:rPr>
        <w:t xml:space="preserve"> وهي رواية شاذة غير محفوظة كما قدمنا عند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يوم يكشف عن ساق</w:t>
      </w:r>
      <w:r w:rsidRPr="00A52585">
        <w:rPr>
          <w:rFonts w:hint="cs"/>
          <w:sz w:val="24"/>
          <w:szCs w:val="24"/>
          <w:rtl/>
        </w:rPr>
        <w:t>)</w:t>
      </w:r>
      <w:r w:rsidR="00777DCB" w:rsidRPr="00A52585">
        <w:rPr>
          <w:rFonts w:hint="cs"/>
          <w:sz w:val="24"/>
          <w:szCs w:val="24"/>
          <w:rtl/>
        </w:rPr>
        <w:t xml:space="preserve"> وقد رد هذه اللفظة الحافظ الاسماعيلي كما نقله عنه الحافظ في الفتح </w:t>
      </w:r>
      <w:r w:rsidRPr="00A52585">
        <w:rPr>
          <w:rFonts w:hint="cs"/>
          <w:sz w:val="24"/>
          <w:szCs w:val="24"/>
          <w:rtl/>
        </w:rPr>
        <w:t>(</w:t>
      </w:r>
      <w:r w:rsidR="00777DCB" w:rsidRPr="00A52585">
        <w:rPr>
          <w:rFonts w:hint="cs"/>
          <w:sz w:val="24"/>
          <w:szCs w:val="24"/>
          <w:rtl/>
        </w:rPr>
        <w:t>8 / 664</w:t>
      </w:r>
      <w:r w:rsidRPr="00A52585">
        <w:rPr>
          <w:rFonts w:hint="cs"/>
          <w:sz w:val="24"/>
          <w:szCs w:val="24"/>
          <w:rtl/>
        </w:rPr>
        <w:t>)</w:t>
      </w:r>
      <w:r w:rsidR="00777DCB" w:rsidRPr="00A52585">
        <w:rPr>
          <w:rFonts w:hint="cs"/>
          <w:sz w:val="24"/>
          <w:szCs w:val="24"/>
          <w:rtl/>
        </w:rPr>
        <w:t xml:space="preserve"> وأقره</w:t>
      </w:r>
      <w:r w:rsidR="00DB731D" w:rsidRPr="00A52585">
        <w:rPr>
          <w:rFonts w:hint="cs"/>
          <w:sz w:val="24"/>
          <w:szCs w:val="24"/>
          <w:rtl/>
        </w:rPr>
        <w:t>،</w:t>
      </w:r>
      <w:r w:rsidR="00777DCB" w:rsidRPr="00A52585">
        <w:rPr>
          <w:rFonts w:hint="cs"/>
          <w:sz w:val="24"/>
          <w:szCs w:val="24"/>
          <w:rtl/>
        </w:rPr>
        <w:t xml:space="preserve"> فتنبه</w:t>
      </w:r>
      <w:r w:rsidR="00777DCB" w:rsidRPr="00A52585">
        <w:rPr>
          <w:rFonts w:hint="cs"/>
          <w:rtl/>
        </w:rPr>
        <w:t>] فيسجد له كل مؤمن</w:t>
      </w:r>
      <w:r w:rsidRPr="00A52585">
        <w:rPr>
          <w:rFonts w:hint="cs"/>
          <w:rtl/>
        </w:rPr>
        <w:t xml:space="preserve"> </w:t>
      </w:r>
      <w:r w:rsidR="00777DCB" w:rsidRPr="00A52585">
        <w:rPr>
          <w:rFonts w:hint="cs"/>
          <w:rtl/>
        </w:rPr>
        <w:t>"</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اعلم أنه يجب على كل مسلم أن يعتقد أن الله سبحانه وتعالى</w:t>
      </w:r>
      <w:r w:rsidR="00DB731D" w:rsidRPr="00A52585">
        <w:rPr>
          <w:rFonts w:hint="cs"/>
          <w:rtl/>
        </w:rPr>
        <w:t>،</w:t>
      </w:r>
      <w:r w:rsidR="00777DCB" w:rsidRPr="00A52585">
        <w:rPr>
          <w:rFonts w:hint="cs"/>
          <w:rtl/>
        </w:rPr>
        <w:t xml:space="preserve"> لا تجوز عليه الصورة التي هي هيئة وتأليف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وقال ابن بطال كما في الفتح </w:t>
      </w:r>
      <w:r w:rsidRPr="00A52585">
        <w:rPr>
          <w:rFonts w:hint="cs"/>
          <w:sz w:val="24"/>
          <w:szCs w:val="24"/>
          <w:rtl/>
        </w:rPr>
        <w:t>(</w:t>
      </w:r>
      <w:r w:rsidR="00777DCB" w:rsidRPr="00A52585">
        <w:rPr>
          <w:rFonts w:hint="cs"/>
          <w:sz w:val="24"/>
          <w:szCs w:val="24"/>
          <w:rtl/>
        </w:rPr>
        <w:t>13 / 427</w:t>
      </w:r>
      <w:r w:rsidRPr="00A52585">
        <w:rPr>
          <w:rFonts w:hint="cs"/>
          <w:sz w:val="24"/>
          <w:szCs w:val="24"/>
          <w:rtl/>
        </w:rPr>
        <w:t>):</w:t>
      </w:r>
      <w:r w:rsidR="00777DCB" w:rsidRPr="00A52585">
        <w:rPr>
          <w:rFonts w:hint="cs"/>
          <w:sz w:val="24"/>
          <w:szCs w:val="24"/>
          <w:rtl/>
        </w:rPr>
        <w:t xml:space="preserve"> " تمسك بهذا الحديث المجسمة فأثبتوا لله صورة ولا حجة لهم فيه " اه‍</w:t>
      </w:r>
      <w:r w:rsidR="00777DCB" w:rsidRPr="00A52585">
        <w:rPr>
          <w:rFonts w:hint="cs"/>
          <w:rtl/>
        </w:rPr>
        <w:t>]</w:t>
      </w:r>
      <w:r w:rsidR="00DB731D" w:rsidRPr="00A52585">
        <w:rPr>
          <w:rFonts w:hint="cs"/>
          <w:rtl/>
        </w:rPr>
        <w:t>،</w:t>
      </w:r>
      <w:r w:rsidR="00777DCB" w:rsidRPr="00A52585">
        <w:rPr>
          <w:rFonts w:hint="cs"/>
          <w:rtl/>
        </w:rPr>
        <w:t xml:space="preserve"> قال أبو سليمان الخطابي</w:t>
      </w:r>
      <w:r w:rsidRPr="00A52585">
        <w:rPr>
          <w:rFonts w:hint="cs"/>
          <w:rtl/>
        </w:rPr>
        <w:t>:</w:t>
      </w:r>
      <w:r w:rsidR="00777DCB" w:rsidRPr="00A52585">
        <w:rPr>
          <w:rFonts w:hint="cs"/>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sidR="00DB731D" w:rsidRPr="00A52585">
        <w:rPr>
          <w:rFonts w:hint="cs"/>
          <w:rtl/>
        </w:rPr>
        <w:t>،</w:t>
      </w:r>
      <w:r w:rsidR="00777DCB" w:rsidRPr="00A52585">
        <w:rPr>
          <w:rFonts w:hint="cs"/>
          <w:rtl/>
        </w:rPr>
        <w:t xml:space="preserve"> وأما الصورة فتتأول على وجهين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أحدهما</w:t>
      </w:r>
      <w:r w:rsidRPr="00A52585">
        <w:rPr>
          <w:rFonts w:hint="cs"/>
          <w:rtl/>
        </w:rPr>
        <w:t>):</w:t>
      </w:r>
      <w:r w:rsidR="00777DCB" w:rsidRPr="00A52585">
        <w:rPr>
          <w:rFonts w:hint="cs"/>
          <w:rtl/>
        </w:rPr>
        <w:t xml:space="preserve"> أنها بمعنى الصفة</w:t>
      </w:r>
      <w:r w:rsidR="00DB731D" w:rsidRPr="00A52585">
        <w:rPr>
          <w:rFonts w:hint="cs"/>
          <w:rtl/>
        </w:rPr>
        <w:t>،</w:t>
      </w:r>
      <w:r w:rsidR="00777DCB" w:rsidRPr="00A52585">
        <w:rPr>
          <w:rFonts w:hint="cs"/>
          <w:rtl/>
        </w:rPr>
        <w:t xml:space="preserve"> يقال صورة الامر كذا</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أن المذكورات من المعبودات في أول الحديث صور يخرج الكلام على نوعين من المطابقة</w:t>
      </w:r>
      <w:r w:rsidR="00DB731D" w:rsidRPr="00A52585">
        <w:rPr>
          <w:rFonts w:hint="cs"/>
          <w:rtl/>
        </w:rPr>
        <w:t>،</w:t>
      </w:r>
      <w:r w:rsidR="00777DCB" w:rsidRPr="00A52585">
        <w:rPr>
          <w:rFonts w:hint="cs"/>
          <w:rtl/>
        </w:rPr>
        <w:t xml:space="preserve"> وقوله " في غير الصورة التي رأوه فيها " دليل على أن المراد بالصورة الصفة لانهم ما رأوه قبلها فعلم </w:t>
      </w:r>
      <w:r w:rsidR="00777DCB" w:rsidRPr="00A52585">
        <w:rPr>
          <w:rFonts w:hint="cs"/>
          <w:rtl/>
        </w:rPr>
        <w:lastRenderedPageBreak/>
        <w:t>أن المراد الصفة التي عرفوه فيها</w:t>
      </w:r>
      <w:r w:rsidR="00DB731D" w:rsidRPr="00A52585">
        <w:rPr>
          <w:rFonts w:hint="cs"/>
          <w:rtl/>
        </w:rPr>
        <w:t>،</w:t>
      </w:r>
      <w:r w:rsidR="00777DCB" w:rsidRPr="00A52585">
        <w:rPr>
          <w:rFonts w:hint="cs"/>
          <w:rtl/>
        </w:rPr>
        <w:t xml:space="preserve"> وقال غيره من العلماء يأتيهم بأهوال القيامة</w:t>
      </w:r>
      <w:r w:rsidR="00DB731D" w:rsidRPr="00A52585">
        <w:rPr>
          <w:rFonts w:hint="cs"/>
          <w:rtl/>
        </w:rPr>
        <w:t>،</w:t>
      </w:r>
      <w:r w:rsidR="00777DCB" w:rsidRPr="00A52585">
        <w:rPr>
          <w:rFonts w:hint="cs"/>
          <w:rtl/>
        </w:rPr>
        <w:t xml:space="preserve"> وصور الملائكة</w:t>
      </w:r>
      <w:r w:rsidR="00DB731D" w:rsidRPr="00A52585">
        <w:rPr>
          <w:rFonts w:hint="cs"/>
          <w:rtl/>
        </w:rPr>
        <w:t>،</w:t>
      </w:r>
      <w:r w:rsidR="00777DCB" w:rsidRPr="00A52585">
        <w:rPr>
          <w:rFonts w:hint="cs"/>
          <w:rtl/>
        </w:rPr>
        <w:t xml:space="preserve"> مما لم يعهدوا مثله في الدنيا</w:t>
      </w:r>
      <w:r w:rsidR="00DB731D" w:rsidRPr="00A52585">
        <w:rPr>
          <w:rFonts w:hint="cs"/>
          <w:rtl/>
        </w:rPr>
        <w:t>،</w:t>
      </w:r>
      <w:r w:rsidR="00777DCB" w:rsidRPr="00A52585">
        <w:rPr>
          <w:rFonts w:hint="cs"/>
          <w:rtl/>
        </w:rPr>
        <w:t xml:space="preserve"> فيستعيذون من تلك الحال</w:t>
      </w:r>
      <w:r w:rsidR="00DB731D" w:rsidRPr="00A52585">
        <w:rPr>
          <w:rFonts w:hint="cs"/>
          <w:rtl/>
        </w:rPr>
        <w:t>،</w:t>
      </w:r>
      <w:r w:rsidR="00777DCB" w:rsidRPr="00A52585">
        <w:rPr>
          <w:rFonts w:hint="cs"/>
          <w:rtl/>
        </w:rPr>
        <w:t xml:space="preserve"> ويقولون</w:t>
      </w:r>
      <w:r w:rsidRPr="00A52585">
        <w:rPr>
          <w:rFonts w:hint="cs"/>
          <w:rtl/>
        </w:rPr>
        <w:t>:</w:t>
      </w:r>
      <w:r w:rsidR="00777DCB" w:rsidRPr="00A52585">
        <w:rPr>
          <w:rFonts w:hint="cs"/>
          <w:rtl/>
        </w:rPr>
        <w:t xml:space="preserve"> إذا جاء ربنا عرفناه</w:t>
      </w:r>
      <w:r w:rsidR="00DB731D" w:rsidRPr="00A52585">
        <w:rPr>
          <w:rFonts w:hint="cs"/>
          <w:rtl/>
        </w:rPr>
        <w:t>،</w:t>
      </w:r>
      <w:r w:rsidR="00777DCB" w:rsidRPr="00A52585">
        <w:rPr>
          <w:rFonts w:hint="cs"/>
          <w:rtl/>
        </w:rPr>
        <w:t xml:space="preserve"> أي أتى بما يعرفونه من لطفه</w:t>
      </w:r>
      <w:r w:rsidR="00DB731D" w:rsidRPr="00A52585">
        <w:rPr>
          <w:rFonts w:hint="cs"/>
          <w:rtl/>
        </w:rPr>
        <w:t>،</w:t>
      </w:r>
      <w:r w:rsidR="00777DCB" w:rsidRPr="00A52585">
        <w:rPr>
          <w:rFonts w:hint="cs"/>
          <w:rtl/>
        </w:rPr>
        <w:t xml:space="preserve"> وهي الصورة التي يعرفون فيكشف عن ساق</w:t>
      </w:r>
      <w:r w:rsidRPr="00A52585">
        <w:rPr>
          <w:rFonts w:hint="cs"/>
          <w:rtl/>
        </w:rPr>
        <w:t>:</w:t>
      </w:r>
      <w:r w:rsidR="00777DCB" w:rsidRPr="00A52585">
        <w:rPr>
          <w:rFonts w:hint="cs"/>
          <w:rtl/>
        </w:rPr>
        <w:t xml:space="preserve"> أي عن شدة كأنه يرفع تلك الشدائد المهولة</w:t>
      </w:r>
      <w:r w:rsidR="00DB731D" w:rsidRPr="00A52585">
        <w:rPr>
          <w:rFonts w:hint="cs"/>
          <w:rtl/>
        </w:rPr>
        <w:t>،</w:t>
      </w:r>
      <w:r w:rsidR="00777DCB" w:rsidRPr="00A52585">
        <w:rPr>
          <w:rFonts w:hint="cs"/>
          <w:rtl/>
        </w:rPr>
        <w:t xml:space="preserve"> فيسجدون شكرا</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صورة يمتحن إيمانهم بها</w:t>
      </w:r>
      <w:r w:rsidR="00DB731D" w:rsidRPr="00A52585">
        <w:rPr>
          <w:rFonts w:hint="cs"/>
          <w:rtl/>
        </w:rPr>
        <w:t>،</w:t>
      </w:r>
      <w:r w:rsidR="00777DCB" w:rsidRPr="00A52585">
        <w:rPr>
          <w:rFonts w:hint="cs"/>
          <w:rtl/>
        </w:rPr>
        <w:t xml:space="preserve"> كما يبعث الدجال فيقولون</w:t>
      </w:r>
      <w:r w:rsidRPr="00A52585">
        <w:rPr>
          <w:rFonts w:hint="cs"/>
          <w:rtl/>
        </w:rPr>
        <w:t>:</w:t>
      </w:r>
      <w:r w:rsidR="00777DCB" w:rsidRPr="00A52585">
        <w:rPr>
          <w:rFonts w:hint="cs"/>
          <w:rtl/>
        </w:rPr>
        <w:t xml:space="preserve"> نعوذ بالله منك</w:t>
      </w:r>
      <w:r w:rsidR="00DB731D" w:rsidRPr="00A52585">
        <w:rPr>
          <w:rFonts w:hint="cs"/>
          <w:rtl/>
        </w:rPr>
        <w:t>،</w:t>
      </w:r>
      <w:r w:rsidRPr="00A52585">
        <w:rPr>
          <w:rFonts w:hint="cs"/>
          <w:rtl/>
        </w:rPr>
        <w:t xml:space="preserve"> </w:t>
      </w:r>
      <w:r w:rsidR="00777DCB" w:rsidRPr="00A52585">
        <w:rPr>
          <w:rFonts w:hint="cs"/>
          <w:rtl/>
        </w:rPr>
        <w:t>وفي حديث أبي موسى عن رسول الله - صلى الله عليه وسلم -</w:t>
      </w:r>
      <w:r w:rsidRPr="00A52585">
        <w:rPr>
          <w:rFonts w:hint="cs"/>
          <w:rtl/>
        </w:rPr>
        <w:t>:</w:t>
      </w:r>
      <w:r w:rsidR="00777DCB" w:rsidRPr="00A52585">
        <w:rPr>
          <w:rFonts w:hint="cs"/>
          <w:rtl/>
        </w:rPr>
        <w:t xml:space="preserve"> " أن الناس يقولون</w:t>
      </w:r>
      <w:r w:rsidRPr="00A52585">
        <w:rPr>
          <w:rFonts w:hint="cs"/>
          <w:rtl/>
        </w:rPr>
        <w:t>:</w:t>
      </w:r>
      <w:r w:rsidR="00777DCB" w:rsidRPr="00A52585">
        <w:rPr>
          <w:rFonts w:hint="cs"/>
          <w:rtl/>
        </w:rPr>
        <w:t xml:space="preserve"> إن لنا ربا كنا نعبده في الدنيا فيقال</w:t>
      </w:r>
      <w:r w:rsidRPr="00A52585">
        <w:rPr>
          <w:rFonts w:hint="cs"/>
          <w:rtl/>
        </w:rPr>
        <w:t>:</w:t>
      </w:r>
      <w:r w:rsidR="00777DCB" w:rsidRPr="00A52585">
        <w:rPr>
          <w:rFonts w:hint="cs"/>
          <w:rtl/>
        </w:rPr>
        <w:t xml:space="preserve"> أو تعرفونه إذا رأيتموه</w:t>
      </w:r>
      <w:r w:rsidR="00F95886" w:rsidRPr="00A52585">
        <w:rPr>
          <w:rFonts w:hint="cs"/>
          <w:rtl/>
        </w:rPr>
        <w:t>؟</w:t>
      </w:r>
      <w:r w:rsidR="00777DCB" w:rsidRPr="00A52585">
        <w:rPr>
          <w:rFonts w:hint="cs"/>
          <w:rtl/>
        </w:rPr>
        <w:t xml:space="preserve"> فيقولون</w:t>
      </w:r>
      <w:r w:rsidRPr="00A52585">
        <w:rPr>
          <w:rFonts w:hint="cs"/>
          <w:rtl/>
        </w:rPr>
        <w:t>:</w:t>
      </w:r>
      <w:r w:rsidR="00777DCB" w:rsidRPr="00A52585">
        <w:rPr>
          <w:rFonts w:hint="cs"/>
          <w:rtl/>
        </w:rPr>
        <w:t xml:space="preserve"> نعم</w:t>
      </w:r>
      <w:r w:rsidR="00897A24" w:rsidRPr="00A52585">
        <w:rPr>
          <w:rFonts w:hint="cs"/>
          <w:rtl/>
        </w:rPr>
        <w:t>.</w:t>
      </w:r>
      <w:r w:rsidR="00777DCB" w:rsidRPr="00A52585">
        <w:rPr>
          <w:rFonts w:hint="cs"/>
          <w:rtl/>
        </w:rPr>
        <w:t xml:space="preserve"> فيقال</w:t>
      </w:r>
      <w:r w:rsidRPr="00A52585">
        <w:rPr>
          <w:rFonts w:hint="cs"/>
          <w:rtl/>
        </w:rPr>
        <w:t>:</w:t>
      </w:r>
      <w:r w:rsidR="00777DCB" w:rsidRPr="00A52585">
        <w:rPr>
          <w:rFonts w:hint="cs"/>
          <w:rtl/>
        </w:rPr>
        <w:t xml:space="preserve"> كيف تعرفونه ولم </w:t>
      </w:r>
      <w:proofErr w:type="gramStart"/>
      <w:r w:rsidR="00777DCB" w:rsidRPr="00A52585">
        <w:rPr>
          <w:rFonts w:hint="cs"/>
          <w:rtl/>
        </w:rPr>
        <w:t>تروه</w:t>
      </w:r>
      <w:r w:rsidR="00897A24" w:rsidRPr="00A52585">
        <w:rPr>
          <w:rFonts w:hint="cs"/>
          <w:rtl/>
        </w:rPr>
        <w:t>.</w:t>
      </w:r>
      <w:r w:rsidR="00777DCB" w:rsidRPr="00A52585">
        <w:rPr>
          <w:rFonts w:hint="cs"/>
          <w:rtl/>
        </w:rPr>
        <w:t>.</w:t>
      </w:r>
      <w:r w:rsidR="00F95886" w:rsidRPr="00A52585">
        <w:rPr>
          <w:rFonts w:hint="cs"/>
          <w:rtl/>
        </w:rPr>
        <w:t>؟</w:t>
      </w:r>
      <w:proofErr w:type="gramEnd"/>
      <w:r w:rsidR="00777DCB" w:rsidRPr="00A52585">
        <w:rPr>
          <w:rFonts w:hint="cs"/>
          <w:rtl/>
        </w:rPr>
        <w:t xml:space="preserve"> فيقولون</w:t>
      </w:r>
      <w:r w:rsidRPr="00A52585">
        <w:rPr>
          <w:rFonts w:hint="cs"/>
          <w:rtl/>
        </w:rPr>
        <w:t>:</w:t>
      </w:r>
      <w:r w:rsidR="00777DCB" w:rsidRPr="00A52585">
        <w:rPr>
          <w:rFonts w:hint="cs"/>
          <w:rtl/>
        </w:rPr>
        <w:t xml:space="preserve"> إنه لا شبيه له</w:t>
      </w:r>
      <w:r w:rsidR="00DB731D" w:rsidRPr="00A52585">
        <w:rPr>
          <w:rFonts w:hint="cs"/>
          <w:rtl/>
        </w:rPr>
        <w:t>،</w:t>
      </w:r>
      <w:r w:rsidR="00777DCB" w:rsidRPr="00A52585">
        <w:rPr>
          <w:rFonts w:hint="cs"/>
          <w:rtl/>
        </w:rPr>
        <w:t xml:space="preserve"> فيكشف الحجاب فينظرون إلى الله عز وجل فيخرون سجدا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اقف عليه للآن من حديث أبي موسى بهذا اللفظ كما تقدم</w:t>
      </w:r>
      <w:r w:rsidR="00DB731D" w:rsidRPr="00A52585">
        <w:rPr>
          <w:rFonts w:hint="cs"/>
          <w:sz w:val="24"/>
          <w:szCs w:val="24"/>
          <w:rtl/>
        </w:rPr>
        <w:t>،</w:t>
      </w:r>
      <w:r w:rsidR="00777DCB" w:rsidRPr="00A52585">
        <w:rPr>
          <w:rFonts w:hint="cs"/>
          <w:sz w:val="24"/>
          <w:szCs w:val="24"/>
          <w:rtl/>
        </w:rPr>
        <w:t xml:space="preserve"> ونحوه من حديث أبي موسى في مسند الامام أحمد </w:t>
      </w:r>
      <w:r w:rsidRPr="00A52585">
        <w:rPr>
          <w:rFonts w:hint="cs"/>
          <w:sz w:val="24"/>
          <w:szCs w:val="24"/>
          <w:rtl/>
        </w:rPr>
        <w:t>(</w:t>
      </w:r>
      <w:r w:rsidR="00777DCB" w:rsidRPr="00A52585">
        <w:rPr>
          <w:rFonts w:hint="cs"/>
          <w:sz w:val="24"/>
          <w:szCs w:val="24"/>
          <w:rtl/>
        </w:rPr>
        <w:t>4 / 407</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قال ابن عقيل</w:t>
      </w:r>
      <w:r w:rsidRPr="00A52585">
        <w:rPr>
          <w:rFonts w:hint="cs"/>
          <w:rtl/>
        </w:rPr>
        <w:t>:</w:t>
      </w:r>
      <w:r w:rsidR="00777DCB" w:rsidRPr="00A52585">
        <w:rPr>
          <w:rFonts w:hint="cs"/>
          <w:rtl/>
        </w:rPr>
        <w:t xml:space="preserve"> الصورة على الحقيقة تقع على الاشكال </w:t>
      </w:r>
      <w:proofErr w:type="spellStart"/>
      <w:r w:rsidR="00777DCB" w:rsidRPr="00A52585">
        <w:rPr>
          <w:rFonts w:hint="cs"/>
          <w:rtl/>
        </w:rPr>
        <w:t>والتخاطيط</w:t>
      </w:r>
      <w:proofErr w:type="spellEnd"/>
      <w:r w:rsidR="00DB731D" w:rsidRPr="00A52585">
        <w:rPr>
          <w:rFonts w:hint="cs"/>
          <w:rtl/>
        </w:rPr>
        <w:t>،</w:t>
      </w:r>
      <w:r w:rsidR="00777DCB" w:rsidRPr="00A52585">
        <w:rPr>
          <w:rFonts w:hint="cs"/>
          <w:rtl/>
        </w:rPr>
        <w:t xml:space="preserve"> وذلك من صفات الاجسام</w:t>
      </w:r>
      <w:r w:rsidR="00DB731D" w:rsidRPr="00A52585">
        <w:rPr>
          <w:rFonts w:hint="cs"/>
          <w:rtl/>
        </w:rPr>
        <w:t>،</w:t>
      </w:r>
      <w:r w:rsidR="00777DCB" w:rsidRPr="00A52585">
        <w:rPr>
          <w:rFonts w:hint="cs"/>
          <w:rtl/>
        </w:rPr>
        <w:t xml:space="preserve"> والذي صرفنا عن كونه جسما الادلة القطعية كقوله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الشورى</w:t>
      </w:r>
      <w:r w:rsidRPr="00A52585">
        <w:rPr>
          <w:rFonts w:hint="cs"/>
          <w:rtl/>
        </w:rPr>
        <w:t>:</w:t>
      </w:r>
      <w:r w:rsidR="00777DCB" w:rsidRPr="00A52585">
        <w:rPr>
          <w:rFonts w:hint="cs"/>
          <w:rtl/>
        </w:rPr>
        <w:t xml:space="preserve"> 11</w:t>
      </w:r>
      <w:r w:rsidR="00DB731D" w:rsidRPr="00A52585">
        <w:rPr>
          <w:rFonts w:hint="cs"/>
          <w:rtl/>
        </w:rPr>
        <w:t>،</w:t>
      </w:r>
      <w:r w:rsidR="00777DCB" w:rsidRPr="00A52585">
        <w:rPr>
          <w:rFonts w:hint="cs"/>
          <w:rtl/>
        </w:rPr>
        <w:t xml:space="preserve"> ومن الادلة العقلية</w:t>
      </w:r>
      <w:r w:rsidRPr="00A52585">
        <w:rPr>
          <w:rFonts w:hint="cs"/>
          <w:rtl/>
        </w:rPr>
        <w:t>:</w:t>
      </w:r>
      <w:r w:rsidR="00777DCB" w:rsidRPr="00A52585">
        <w:rPr>
          <w:rFonts w:hint="cs"/>
          <w:rtl/>
        </w:rPr>
        <w:t xml:space="preserve"> أنه لو كان جسما لكان صورة وعرضا</w:t>
      </w:r>
      <w:r w:rsidR="00DB731D" w:rsidRPr="00A52585">
        <w:rPr>
          <w:rFonts w:hint="cs"/>
          <w:rtl/>
        </w:rPr>
        <w:t>،</w:t>
      </w:r>
      <w:r w:rsidR="00777DCB" w:rsidRPr="00A52585">
        <w:rPr>
          <w:rFonts w:hint="cs"/>
          <w:rtl/>
        </w:rPr>
        <w:t xml:space="preserve"> ولو كان حاملا الاعراض</w:t>
      </w:r>
      <w:r w:rsidR="00DB731D" w:rsidRPr="00A52585">
        <w:rPr>
          <w:rFonts w:hint="cs"/>
          <w:rtl/>
        </w:rPr>
        <w:t>،</w:t>
      </w:r>
      <w:r w:rsidR="00777DCB" w:rsidRPr="00A52585">
        <w:rPr>
          <w:rFonts w:hint="cs"/>
          <w:rtl/>
        </w:rPr>
        <w:t xml:space="preserve"> جاز عليه ما يجوز على الاجسام</w:t>
      </w:r>
      <w:r w:rsidR="00DB731D" w:rsidRPr="00A52585">
        <w:rPr>
          <w:rFonts w:hint="cs"/>
          <w:rtl/>
        </w:rPr>
        <w:t>،</w:t>
      </w:r>
      <w:r w:rsidR="00777DCB" w:rsidRPr="00A52585">
        <w:rPr>
          <w:rFonts w:hint="cs"/>
          <w:rtl/>
        </w:rPr>
        <w:t xml:space="preserve"> وافتقر إلى صانع</w:t>
      </w:r>
      <w:r w:rsidR="00DB731D" w:rsidRPr="00A52585">
        <w:rPr>
          <w:rFonts w:hint="cs"/>
          <w:rtl/>
        </w:rPr>
        <w:t>،</w:t>
      </w:r>
      <w:r w:rsidR="00777DCB" w:rsidRPr="00A52585">
        <w:rPr>
          <w:rFonts w:hint="cs"/>
          <w:rtl/>
        </w:rPr>
        <w:t xml:space="preserve"> ولو كان جسما مع قدمه</w:t>
      </w:r>
      <w:r w:rsidR="00DB731D" w:rsidRPr="00A52585">
        <w:rPr>
          <w:rFonts w:hint="cs"/>
          <w:rtl/>
        </w:rPr>
        <w:t>،</w:t>
      </w:r>
      <w:r w:rsidR="00777DCB" w:rsidRPr="00A52585">
        <w:rPr>
          <w:rFonts w:hint="cs"/>
          <w:rtl/>
        </w:rPr>
        <w:t xml:space="preserve"> جاز قدم أحدنا</w:t>
      </w:r>
      <w:r w:rsidR="00DB731D" w:rsidRPr="00A52585">
        <w:rPr>
          <w:rFonts w:hint="cs"/>
          <w:rtl/>
        </w:rPr>
        <w:t>،</w:t>
      </w:r>
      <w:r w:rsidR="00777DCB" w:rsidRPr="00A52585">
        <w:rPr>
          <w:rFonts w:hint="cs"/>
          <w:rtl/>
        </w:rPr>
        <w:t xml:space="preserve"> فأحوجتنا الادلة إلى تأويل صورة تليق أضافتها إليه</w:t>
      </w:r>
      <w:r w:rsidR="00DB731D" w:rsidRPr="00A52585">
        <w:rPr>
          <w:rFonts w:hint="cs"/>
          <w:rtl/>
        </w:rPr>
        <w:t>،</w:t>
      </w:r>
      <w:r w:rsidR="00777DCB" w:rsidRPr="00A52585">
        <w:rPr>
          <w:rFonts w:hint="cs"/>
          <w:rtl/>
        </w:rPr>
        <w:t xml:space="preserve"> وما ذاك إلا الحال الذي يوقع عليه أهل اللغة اسم صورة فيقولون كيف صورتك مع فلان</w:t>
      </w:r>
      <w:r w:rsidR="00F95886" w:rsidRPr="00A52585">
        <w:rPr>
          <w:rFonts w:hint="cs"/>
          <w:rtl/>
        </w:rPr>
        <w:t>؟</w:t>
      </w:r>
      <w:r w:rsidR="00777DCB" w:rsidRPr="00A52585">
        <w:rPr>
          <w:rFonts w:hint="cs"/>
          <w:rtl/>
        </w:rPr>
        <w:t xml:space="preserve"> وفلان</w:t>
      </w:r>
      <w:r w:rsidR="00897A24" w:rsidRPr="00A52585">
        <w:rPr>
          <w:rFonts w:hint="cs"/>
          <w:rtl/>
        </w:rPr>
        <w:t>.</w:t>
      </w:r>
      <w:r w:rsidR="00777DCB" w:rsidRPr="00A52585">
        <w:rPr>
          <w:rFonts w:hint="cs"/>
          <w:rtl/>
        </w:rPr>
        <w:t>. على صورة من الفقر</w:t>
      </w:r>
      <w:r w:rsidR="00DB731D" w:rsidRPr="00A52585">
        <w:rPr>
          <w:rFonts w:hint="cs"/>
          <w:rtl/>
        </w:rPr>
        <w:t>،</w:t>
      </w:r>
      <w:r w:rsidR="00777DCB" w:rsidRPr="00A52585">
        <w:rPr>
          <w:rFonts w:hint="cs"/>
          <w:rtl/>
        </w:rPr>
        <w:t xml:space="preserve"> والحال التي أنكروها الغضب</w:t>
      </w:r>
      <w:r w:rsidR="00DB731D" w:rsidRPr="00A52585">
        <w:rPr>
          <w:rFonts w:hint="cs"/>
          <w:rtl/>
        </w:rPr>
        <w:t>،</w:t>
      </w:r>
      <w:r w:rsidR="00777DCB" w:rsidRPr="00A52585">
        <w:rPr>
          <w:rFonts w:hint="cs"/>
          <w:rtl/>
        </w:rPr>
        <w:t xml:space="preserve"> والتي يعرفونها اللطف</w:t>
      </w:r>
      <w:r w:rsidR="00897A24" w:rsidRPr="00A52585">
        <w:rPr>
          <w:rFonts w:hint="cs"/>
          <w:rtl/>
        </w:rPr>
        <w:t>.</w:t>
      </w:r>
      <w:r w:rsidR="00777DCB" w:rsidRPr="00A52585">
        <w:rPr>
          <w:rFonts w:hint="cs"/>
          <w:rtl/>
        </w:rPr>
        <w:t xml:space="preserve"> فيكشف عن الشدة</w:t>
      </w:r>
      <w:r w:rsidR="00DB731D" w:rsidRPr="00A52585">
        <w:rPr>
          <w:rFonts w:hint="cs"/>
          <w:rtl/>
        </w:rPr>
        <w:t>،</w:t>
      </w:r>
      <w:r w:rsidR="00777DCB" w:rsidRPr="00A52585">
        <w:rPr>
          <w:rFonts w:hint="cs"/>
          <w:rtl/>
        </w:rPr>
        <w:t xml:space="preserve"> والتغيرات أليق بفعله</w:t>
      </w:r>
      <w:r w:rsidR="00DB731D" w:rsidRPr="00A52585">
        <w:rPr>
          <w:rFonts w:hint="cs"/>
          <w:rtl/>
        </w:rPr>
        <w:t>،</w:t>
      </w:r>
      <w:r w:rsidR="00777DCB" w:rsidRPr="00A52585">
        <w:rPr>
          <w:rFonts w:hint="cs"/>
          <w:rtl/>
        </w:rPr>
        <w:t xml:space="preserve"> فأما ذاته فتعالى عن التغير نعوذ بالله أن يحمل الحديث على ما قالته المجسمة إن الصورة ترجع إلى ذاته</w:t>
      </w:r>
      <w:r w:rsidR="00DB731D" w:rsidRPr="00A52585">
        <w:rPr>
          <w:rFonts w:hint="cs"/>
          <w:rtl/>
        </w:rPr>
        <w:t>،</w:t>
      </w:r>
      <w:r w:rsidR="00777DCB" w:rsidRPr="00A52585">
        <w:rPr>
          <w:rFonts w:hint="cs"/>
          <w:rtl/>
        </w:rPr>
        <w:t xml:space="preserve"> فإن في ذلك تجويز التغير على صفاته</w:t>
      </w:r>
      <w:r w:rsidR="00DB731D" w:rsidRPr="00A52585">
        <w:rPr>
          <w:rFonts w:hint="cs"/>
          <w:rtl/>
        </w:rPr>
        <w:t>،</w:t>
      </w:r>
      <w:r w:rsidR="00777DCB" w:rsidRPr="00A52585">
        <w:rPr>
          <w:rFonts w:hint="cs"/>
          <w:rtl/>
        </w:rPr>
        <w:t xml:space="preserve"> فخرجوه في صورة إن كانت حقيقية</w:t>
      </w:r>
      <w:r w:rsidR="00DB731D" w:rsidRPr="00A52585">
        <w:rPr>
          <w:rFonts w:hint="cs"/>
          <w:rtl/>
        </w:rPr>
        <w:t>،</w:t>
      </w:r>
      <w:r w:rsidR="00777DCB" w:rsidRPr="00A52585">
        <w:rPr>
          <w:rFonts w:hint="cs"/>
          <w:rtl/>
        </w:rPr>
        <w:t xml:space="preserve"> فذلك استحالة</w:t>
      </w:r>
      <w:r w:rsidR="00897A24" w:rsidRPr="00A52585">
        <w:rPr>
          <w:rFonts w:hint="cs"/>
          <w:rtl/>
        </w:rPr>
        <w:t>.</w:t>
      </w:r>
      <w:r w:rsidR="00777DCB" w:rsidRPr="00A52585">
        <w:rPr>
          <w:rFonts w:hint="cs"/>
          <w:rtl/>
        </w:rPr>
        <w:t xml:space="preserve"> وإن كانت تخيلا فليس ذلك هو</w:t>
      </w:r>
      <w:r w:rsidR="00DB731D" w:rsidRPr="00A52585">
        <w:rPr>
          <w:rFonts w:hint="cs"/>
          <w:rtl/>
        </w:rPr>
        <w:t>،</w:t>
      </w:r>
      <w:r w:rsidR="00777DCB" w:rsidRPr="00A52585">
        <w:rPr>
          <w:rFonts w:hint="cs"/>
          <w:rtl/>
        </w:rPr>
        <w:t xml:space="preserve"> إنما يريهم غيره</w:t>
      </w:r>
      <w:r w:rsidR="00DB731D" w:rsidRPr="00A52585">
        <w:rPr>
          <w:rFonts w:hint="cs"/>
          <w:rtl/>
        </w:rPr>
        <w:t>،</w:t>
      </w:r>
      <w:r w:rsidR="00777DCB" w:rsidRPr="00A52585">
        <w:rPr>
          <w:rFonts w:hint="cs"/>
          <w:rtl/>
        </w:rPr>
        <w:t xml:space="preserve"> </w:t>
      </w:r>
    </w:p>
    <w:p w14:paraId="670A0BEB" w14:textId="7073A0D0" w:rsidR="00777DCB" w:rsidRPr="00A52585" w:rsidRDefault="0002035C" w:rsidP="0002035C">
      <w:pPr>
        <w:rPr>
          <w:b/>
          <w:rtl/>
        </w:rPr>
      </w:pPr>
      <w:r w:rsidRPr="00A52585">
        <w:rPr>
          <w:rFonts w:hint="cs"/>
          <w:bCs/>
          <w:u w:val="single"/>
          <w:rtl/>
        </w:rPr>
        <w:t>[</w:t>
      </w:r>
      <w:r w:rsidR="00777DCB" w:rsidRPr="00A52585">
        <w:rPr>
          <w:rFonts w:hint="cs"/>
          <w:bCs/>
          <w:u w:val="single"/>
          <w:rtl/>
        </w:rPr>
        <w:t>6</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w:t>
      </w:r>
      <w:r w:rsidRPr="00A52585">
        <w:rPr>
          <w:rFonts w:hint="cs"/>
          <w:bCs/>
          <w:rtl/>
        </w:rPr>
        <w:t>]</w:t>
      </w:r>
      <w:r w:rsidRPr="00A52585">
        <w:rPr>
          <w:rFonts w:hint="cs"/>
          <w:rtl/>
        </w:rPr>
        <w:t>:</w:t>
      </w:r>
      <w:r w:rsidR="00777DCB" w:rsidRPr="00A52585">
        <w:rPr>
          <w:rFonts w:hint="cs"/>
          <w:rtl/>
        </w:rPr>
        <w:t xml:space="preserve"> روى مسلم في صحيحه </w:t>
      </w:r>
      <w:r w:rsidRPr="00A52585">
        <w:rPr>
          <w:rFonts w:hint="cs"/>
          <w:rtl/>
        </w:rPr>
        <w:t>(</w:t>
      </w:r>
      <w:r w:rsidR="00777DCB" w:rsidRPr="00A52585">
        <w:rPr>
          <w:rFonts w:hint="cs"/>
          <w:rtl/>
        </w:rPr>
        <w:t>2 / 1136 برقم 17</w:t>
      </w:r>
      <w:r w:rsidRPr="00A52585">
        <w:rPr>
          <w:rFonts w:hint="cs"/>
          <w:rtl/>
        </w:rPr>
        <w:t>)</w:t>
      </w:r>
      <w:r w:rsidR="00777DCB" w:rsidRPr="00A52585">
        <w:rPr>
          <w:rFonts w:hint="cs"/>
          <w:rtl/>
        </w:rPr>
        <w:t xml:space="preserve"> من حديث المغيرة عن رسول الله - صلى الله عليه وسلم - أنه قال</w:t>
      </w:r>
      <w:r w:rsidRPr="00A52585">
        <w:rPr>
          <w:rFonts w:hint="cs"/>
          <w:rtl/>
        </w:rPr>
        <w:t>:</w:t>
      </w:r>
      <w:r w:rsidR="00777DCB" w:rsidRPr="00A52585">
        <w:rPr>
          <w:rFonts w:hint="cs"/>
          <w:rtl/>
        </w:rPr>
        <w:t xml:space="preserve"> " لا شخص أغير من الله</w:t>
      </w:r>
      <w:r w:rsidR="00DB731D" w:rsidRPr="00A52585">
        <w:rPr>
          <w:rFonts w:hint="cs"/>
          <w:rtl/>
        </w:rPr>
        <w:t>،</w:t>
      </w:r>
      <w:r w:rsidR="00777DCB" w:rsidRPr="00A52585">
        <w:rPr>
          <w:rFonts w:hint="cs"/>
          <w:rtl/>
        </w:rPr>
        <w:t xml:space="preserve"> ولا شخص أحب إليه العذر من الله</w:t>
      </w:r>
      <w:r w:rsidR="00DB731D" w:rsidRPr="00A52585">
        <w:rPr>
          <w:rFonts w:hint="cs"/>
          <w:rtl/>
        </w:rPr>
        <w:t>،</w:t>
      </w:r>
      <w:r w:rsidR="00777DCB" w:rsidRPr="00A52585">
        <w:rPr>
          <w:rFonts w:hint="cs"/>
          <w:rtl/>
        </w:rPr>
        <w:t xml:space="preserve"> ولا شخص أحب إليه المدحة من الله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وذكره البخاري في صحيحه معلقا </w:t>
      </w:r>
      <w:r w:rsidRPr="00A52585">
        <w:rPr>
          <w:rFonts w:hint="cs"/>
          <w:sz w:val="24"/>
          <w:szCs w:val="24"/>
          <w:rtl/>
        </w:rPr>
        <w:t>(</w:t>
      </w:r>
      <w:r w:rsidR="00777DCB" w:rsidRPr="00A52585">
        <w:rPr>
          <w:rFonts w:hint="cs"/>
          <w:sz w:val="24"/>
          <w:szCs w:val="24"/>
          <w:rtl/>
        </w:rPr>
        <w:t>الفتح 13 / 399</w:t>
      </w:r>
      <w:r w:rsidRPr="00A52585">
        <w:rPr>
          <w:rFonts w:hint="cs"/>
          <w:sz w:val="24"/>
          <w:szCs w:val="24"/>
          <w:rtl/>
        </w:rPr>
        <w:t>)</w:t>
      </w:r>
      <w:r w:rsidR="00777DCB" w:rsidRPr="00A52585">
        <w:rPr>
          <w:rFonts w:hint="cs"/>
          <w:sz w:val="24"/>
          <w:szCs w:val="24"/>
          <w:rtl/>
        </w:rPr>
        <w:t xml:space="preserve"> وعقد عليه بابا في التوحيد هناك</w:t>
      </w:r>
      <w:r w:rsidR="00DB731D" w:rsidRPr="00A52585">
        <w:rPr>
          <w:rFonts w:hint="cs"/>
          <w:sz w:val="24"/>
          <w:szCs w:val="24"/>
          <w:rtl/>
        </w:rPr>
        <w:t>،</w:t>
      </w:r>
      <w:r w:rsidR="00777DCB" w:rsidRPr="00A52585">
        <w:rPr>
          <w:rFonts w:hint="cs"/>
          <w:sz w:val="24"/>
          <w:szCs w:val="24"/>
          <w:rtl/>
        </w:rPr>
        <w:t xml:space="preserve"> وقد ورد هذا الحديث أيضا بلفظ</w:t>
      </w:r>
      <w:r w:rsidRPr="00A52585">
        <w:rPr>
          <w:rFonts w:hint="cs"/>
          <w:sz w:val="24"/>
          <w:szCs w:val="24"/>
          <w:rtl/>
        </w:rPr>
        <w:t>:</w:t>
      </w:r>
      <w:r w:rsidR="00777DCB" w:rsidRPr="00A52585">
        <w:rPr>
          <w:rFonts w:hint="cs"/>
          <w:sz w:val="24"/>
          <w:szCs w:val="24"/>
          <w:rtl/>
        </w:rPr>
        <w:t xml:space="preserve"> " لا أحد</w:t>
      </w:r>
      <w:r w:rsidR="00897A24" w:rsidRPr="00A52585">
        <w:rPr>
          <w:rFonts w:hint="cs"/>
          <w:sz w:val="24"/>
          <w:szCs w:val="24"/>
          <w:rtl/>
        </w:rPr>
        <w:t>...</w:t>
      </w:r>
      <w:r w:rsidR="00777DCB" w:rsidRPr="00A52585">
        <w:rPr>
          <w:rFonts w:hint="cs"/>
          <w:sz w:val="24"/>
          <w:szCs w:val="24"/>
          <w:rtl/>
        </w:rPr>
        <w:t xml:space="preserve"> " بدل لا شخص انظر البخاري </w:t>
      </w:r>
      <w:r w:rsidRPr="00A52585">
        <w:rPr>
          <w:rFonts w:hint="cs"/>
          <w:sz w:val="24"/>
          <w:szCs w:val="24"/>
          <w:rtl/>
        </w:rPr>
        <w:t>(</w:t>
      </w:r>
      <w:r w:rsidR="00777DCB" w:rsidRPr="00A52585">
        <w:rPr>
          <w:rFonts w:hint="cs"/>
          <w:sz w:val="24"/>
          <w:szCs w:val="24"/>
          <w:rtl/>
        </w:rPr>
        <w:t>الفتح 8 / 296</w:t>
      </w:r>
      <w:r w:rsidRPr="00A52585">
        <w:rPr>
          <w:rFonts w:hint="cs"/>
          <w:sz w:val="24"/>
          <w:szCs w:val="24"/>
          <w:rtl/>
        </w:rPr>
        <w:t>)</w:t>
      </w:r>
      <w:r w:rsidR="00777DCB" w:rsidRPr="00A52585">
        <w:rPr>
          <w:rFonts w:hint="cs"/>
          <w:sz w:val="24"/>
          <w:szCs w:val="24"/>
          <w:rtl/>
        </w:rPr>
        <w:t xml:space="preserve"> حيث ورد هناك حديث بلفظ</w:t>
      </w:r>
      <w:r w:rsidRPr="00A52585">
        <w:rPr>
          <w:rFonts w:hint="cs"/>
          <w:sz w:val="24"/>
          <w:szCs w:val="24"/>
          <w:rtl/>
        </w:rPr>
        <w:t>:</w:t>
      </w:r>
      <w:r w:rsidR="00777DCB" w:rsidRPr="00A52585">
        <w:rPr>
          <w:rFonts w:hint="cs"/>
          <w:sz w:val="24"/>
          <w:szCs w:val="24"/>
          <w:rtl/>
        </w:rPr>
        <w:t xml:space="preserve"> " لا أحد أغير من الله ولذلك حرم الفواحش ما ظهر منها وما بطن</w:t>
      </w:r>
      <w:r w:rsidR="00DB731D" w:rsidRPr="00A52585">
        <w:rPr>
          <w:rFonts w:hint="cs"/>
          <w:sz w:val="24"/>
          <w:szCs w:val="24"/>
          <w:rtl/>
        </w:rPr>
        <w:t>،</w:t>
      </w:r>
      <w:r w:rsidR="00777DCB" w:rsidRPr="00A52585">
        <w:rPr>
          <w:rFonts w:hint="cs"/>
          <w:sz w:val="24"/>
          <w:szCs w:val="24"/>
          <w:rtl/>
        </w:rPr>
        <w:t xml:space="preserve"> ولا شيء أحب إليه المدح من الله " وارجع إلى شرح الحديث في الفتح</w:t>
      </w:r>
      <w:r w:rsidR="00DB731D" w:rsidRPr="00A52585">
        <w:rPr>
          <w:rFonts w:hint="cs"/>
          <w:sz w:val="24"/>
          <w:szCs w:val="24"/>
          <w:rtl/>
        </w:rPr>
        <w:t>،</w:t>
      </w:r>
      <w:r w:rsidR="00777DCB" w:rsidRPr="00A52585">
        <w:rPr>
          <w:rFonts w:hint="cs"/>
          <w:sz w:val="24"/>
          <w:szCs w:val="24"/>
          <w:rtl/>
        </w:rPr>
        <w:t xml:space="preserve"> وفي كتاب المحدث أبي الفضل الغماري</w:t>
      </w:r>
      <w:r w:rsidRPr="00A52585">
        <w:rPr>
          <w:rFonts w:hint="cs"/>
          <w:sz w:val="24"/>
          <w:szCs w:val="24"/>
          <w:rtl/>
        </w:rPr>
        <w:t>:</w:t>
      </w:r>
      <w:r w:rsidR="00777DCB" w:rsidRPr="00A52585">
        <w:rPr>
          <w:rFonts w:hint="cs"/>
          <w:sz w:val="24"/>
          <w:szCs w:val="24"/>
          <w:rtl/>
        </w:rPr>
        <w:t xml:space="preserve"> " فتح المعين " ص </w:t>
      </w:r>
      <w:r w:rsidRPr="00A52585">
        <w:rPr>
          <w:rFonts w:hint="cs"/>
          <w:sz w:val="24"/>
          <w:szCs w:val="24"/>
          <w:rtl/>
        </w:rPr>
        <w:t>(</w:t>
      </w:r>
      <w:r w:rsidR="00777DCB" w:rsidRPr="00A52585">
        <w:rPr>
          <w:rFonts w:hint="cs"/>
          <w:sz w:val="24"/>
          <w:szCs w:val="24"/>
          <w:rtl/>
        </w:rPr>
        <w:t>24 - 25</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لفظة " الشخص " يرويها بعض الرواة</w:t>
      </w:r>
      <w:r w:rsidR="00DB731D" w:rsidRPr="00A52585">
        <w:rPr>
          <w:rFonts w:hint="cs"/>
          <w:rtl/>
        </w:rPr>
        <w:t>،</w:t>
      </w:r>
      <w:r w:rsidR="00777DCB" w:rsidRPr="00A52585">
        <w:rPr>
          <w:rFonts w:hint="cs"/>
          <w:rtl/>
        </w:rPr>
        <w:t xml:space="preserve"> ويروي بعضهم " لا شيء أغير من الله "</w:t>
      </w:r>
      <w:r w:rsidR="00DB731D" w:rsidRPr="00A52585">
        <w:rPr>
          <w:rFonts w:hint="cs"/>
          <w:rtl/>
        </w:rPr>
        <w:t>،</w:t>
      </w:r>
      <w:r w:rsidR="00777DCB" w:rsidRPr="00A52585">
        <w:rPr>
          <w:rFonts w:hint="cs"/>
          <w:rtl/>
        </w:rPr>
        <w:t xml:space="preserve"> والرواة يروون بما يظنون به المعنى فيكون لفظ شخص من تغيير الرواة</w:t>
      </w:r>
      <w:r w:rsidR="00DB731D" w:rsidRPr="00A52585">
        <w:rPr>
          <w:rFonts w:hint="cs"/>
          <w:rtl/>
        </w:rPr>
        <w:t>،</w:t>
      </w:r>
      <w:r w:rsidR="00777DCB" w:rsidRPr="00A52585">
        <w:rPr>
          <w:rFonts w:hint="cs"/>
          <w:rtl/>
        </w:rPr>
        <w:t xml:space="preserve"> والشخص لا يكون إلا جسما مؤلفا</w:t>
      </w:r>
      <w:r w:rsidR="00DB731D" w:rsidRPr="00A52585">
        <w:rPr>
          <w:rFonts w:hint="cs"/>
          <w:rtl/>
        </w:rPr>
        <w:t>،</w:t>
      </w:r>
      <w:r w:rsidR="00777DCB" w:rsidRPr="00A52585">
        <w:rPr>
          <w:rFonts w:hint="cs"/>
          <w:rtl/>
        </w:rPr>
        <w:t xml:space="preserve"> وسمي شخصا لان له شخوصا وارتفاعا والصواب أنه يرجع ذكر الشخص إلى </w:t>
      </w:r>
      <w:r w:rsidR="00777DCB" w:rsidRPr="00A52585">
        <w:rPr>
          <w:rFonts w:hint="cs"/>
          <w:rtl/>
        </w:rPr>
        <w:lastRenderedPageBreak/>
        <w:t>المخلوقين لا أن الخالق يقال له شخص</w:t>
      </w:r>
      <w:r w:rsidR="00DB731D" w:rsidRPr="00A52585">
        <w:rPr>
          <w:rFonts w:hint="cs"/>
          <w:rtl/>
        </w:rPr>
        <w:t>،</w:t>
      </w:r>
      <w:r w:rsidR="00777DCB" w:rsidRPr="00A52585">
        <w:rPr>
          <w:rFonts w:hint="cs"/>
          <w:rtl/>
        </w:rPr>
        <w:t xml:space="preserve"> ويكون المعنى</w:t>
      </w:r>
      <w:r w:rsidRPr="00A52585">
        <w:rPr>
          <w:rFonts w:hint="cs"/>
          <w:rtl/>
        </w:rPr>
        <w:t>:</w:t>
      </w:r>
      <w:r w:rsidR="00777DCB" w:rsidRPr="00A52585">
        <w:rPr>
          <w:rFonts w:hint="cs"/>
          <w:rtl/>
        </w:rPr>
        <w:t xml:space="preserve"> " ليس منكم أيها الاشخاص أغير من الله "</w:t>
      </w:r>
      <w:r w:rsidR="00DB731D" w:rsidRPr="00A52585">
        <w:rPr>
          <w:rFonts w:hint="cs"/>
          <w:rtl/>
        </w:rPr>
        <w:t>،</w:t>
      </w:r>
      <w:r w:rsidR="00777DCB" w:rsidRPr="00A52585">
        <w:rPr>
          <w:rFonts w:hint="cs"/>
          <w:rtl/>
        </w:rPr>
        <w:t xml:space="preserve"> لأنّه لما اجتمع الكل بالذكر</w:t>
      </w:r>
      <w:r w:rsidR="00DB731D" w:rsidRPr="00A52585">
        <w:rPr>
          <w:rFonts w:hint="cs"/>
          <w:rtl/>
        </w:rPr>
        <w:t>،</w:t>
      </w:r>
      <w:r w:rsidR="00777DCB" w:rsidRPr="00A52585">
        <w:rPr>
          <w:rFonts w:hint="cs"/>
          <w:rtl/>
        </w:rPr>
        <w:t xml:space="preserve"> سمى بأسمائهم</w:t>
      </w:r>
      <w:r w:rsidR="00DB731D" w:rsidRPr="00A52585">
        <w:rPr>
          <w:rFonts w:hint="cs"/>
          <w:rtl/>
        </w:rPr>
        <w:t>،</w:t>
      </w:r>
      <w:r w:rsidR="00777DCB" w:rsidRPr="00A52585">
        <w:rPr>
          <w:rFonts w:hint="cs"/>
          <w:rtl/>
        </w:rPr>
        <w:t xml:space="preserve"> ومثل هذا قول ابن مسعود</w:t>
      </w:r>
      <w:r w:rsidRPr="00A52585">
        <w:rPr>
          <w:rFonts w:hint="cs"/>
          <w:rtl/>
        </w:rPr>
        <w:t>:</w:t>
      </w:r>
      <w:r w:rsidR="00777DCB" w:rsidRPr="00A52585">
        <w:rPr>
          <w:rFonts w:hint="cs"/>
          <w:rtl/>
        </w:rPr>
        <w:t xml:space="preserve"> " ما خلق الله من جنة ولا نار أعظم من آية الكرسي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ذكره الترمذي في سننه </w:t>
      </w:r>
      <w:r w:rsidRPr="00A52585">
        <w:rPr>
          <w:rFonts w:hint="cs"/>
          <w:sz w:val="24"/>
          <w:szCs w:val="24"/>
          <w:rtl/>
        </w:rPr>
        <w:t>(</w:t>
      </w:r>
      <w:r w:rsidR="00777DCB" w:rsidRPr="00A52585">
        <w:rPr>
          <w:rFonts w:hint="cs"/>
          <w:sz w:val="24"/>
          <w:szCs w:val="24"/>
          <w:rtl/>
        </w:rPr>
        <w:t>5 / 161</w:t>
      </w:r>
      <w:r w:rsidRPr="00A52585">
        <w:rPr>
          <w:rFonts w:hint="cs"/>
          <w:sz w:val="24"/>
          <w:szCs w:val="24"/>
          <w:rtl/>
        </w:rPr>
        <w:t>)</w:t>
      </w:r>
      <w:r w:rsidR="00777DCB" w:rsidRPr="00A52585">
        <w:rPr>
          <w:rFonts w:hint="cs"/>
          <w:sz w:val="24"/>
          <w:szCs w:val="24"/>
          <w:rtl/>
        </w:rPr>
        <w:t xml:space="preserve"> وانظر " سير أعلام النبلاء " </w:t>
      </w:r>
      <w:r w:rsidRPr="00A52585">
        <w:rPr>
          <w:rFonts w:hint="cs"/>
          <w:sz w:val="24"/>
          <w:szCs w:val="24"/>
          <w:rtl/>
        </w:rPr>
        <w:t>(</w:t>
      </w:r>
      <w:r w:rsidR="00777DCB" w:rsidRPr="00A52585">
        <w:rPr>
          <w:rFonts w:hint="cs"/>
          <w:sz w:val="24"/>
          <w:szCs w:val="24"/>
          <w:rtl/>
        </w:rPr>
        <w:t>10 / 578</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قال الامام أحمد بن حنبل رحمه الله تعالى</w:t>
      </w:r>
      <w:r w:rsidRPr="00A52585">
        <w:rPr>
          <w:rFonts w:hint="cs"/>
          <w:rtl/>
        </w:rPr>
        <w:t>:</w:t>
      </w:r>
      <w:r w:rsidR="00777DCB" w:rsidRPr="00A52585">
        <w:rPr>
          <w:rFonts w:hint="cs"/>
          <w:rtl/>
        </w:rPr>
        <w:t xml:space="preserve"> الخلق يرجع إلى الجنة</w:t>
      </w:r>
      <w:r w:rsidR="00DB731D" w:rsidRPr="00A52585">
        <w:rPr>
          <w:rFonts w:hint="cs"/>
          <w:rtl/>
        </w:rPr>
        <w:t>،</w:t>
      </w:r>
      <w:r w:rsidR="00777DCB" w:rsidRPr="00A52585">
        <w:rPr>
          <w:rFonts w:hint="cs"/>
          <w:rtl/>
        </w:rPr>
        <w:t xml:space="preserve"> والنار لا إلى القرآن ومن هذا الجنس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الجنة يومئذ خير مستقرا وأحسن مقيلا</w:t>
      </w:r>
      <w:r w:rsidRPr="00A52585">
        <w:rPr>
          <w:rFonts w:hint="cs"/>
          <w:rtl/>
        </w:rPr>
        <w:t>)</w:t>
      </w:r>
      <w:r w:rsidR="00777DCB" w:rsidRPr="00A52585">
        <w:rPr>
          <w:rFonts w:hint="cs"/>
          <w:rtl/>
        </w:rPr>
        <w:t xml:space="preserve"> الفرقان</w:t>
      </w:r>
      <w:r w:rsidRPr="00A52585">
        <w:rPr>
          <w:rFonts w:hint="cs"/>
          <w:rtl/>
        </w:rPr>
        <w:t>:</w:t>
      </w:r>
      <w:r w:rsidR="00777DCB" w:rsidRPr="00A52585">
        <w:rPr>
          <w:rFonts w:hint="cs"/>
          <w:rtl/>
        </w:rPr>
        <w:t xml:space="preserve"> 24</w:t>
      </w:r>
      <w:r w:rsidR="00DB731D" w:rsidRPr="00A52585">
        <w:rPr>
          <w:rFonts w:hint="cs"/>
          <w:rtl/>
        </w:rPr>
        <w:t>،</w:t>
      </w:r>
      <w:r w:rsidR="00777DCB" w:rsidRPr="00A52585">
        <w:rPr>
          <w:rFonts w:hint="cs"/>
          <w:rtl/>
        </w:rPr>
        <w:t xml:space="preserve"> ومعلوم أن أهل النار لا مستقر لهم ولا مقيل</w:t>
      </w:r>
      <w:r w:rsidR="00DB731D" w:rsidRPr="00A52585">
        <w:rPr>
          <w:rFonts w:hint="cs"/>
          <w:rtl/>
        </w:rPr>
        <w:t>،</w:t>
      </w:r>
      <w:r w:rsidR="00777DCB" w:rsidRPr="00A52585">
        <w:rPr>
          <w:rFonts w:hint="cs"/>
          <w:rtl/>
        </w:rPr>
        <w:t xml:space="preserve"> ويمكن أن يكون هذا من باب المستثنى من غير الجنس كقوله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لهم به من علم إلا اتباع الظن</w:t>
      </w:r>
      <w:r w:rsidRPr="00A52585">
        <w:rPr>
          <w:rFonts w:hint="cs"/>
          <w:rtl/>
        </w:rPr>
        <w:t>)</w:t>
      </w:r>
      <w:r w:rsidR="00777DCB" w:rsidRPr="00A52585">
        <w:rPr>
          <w:rFonts w:hint="cs"/>
          <w:rtl/>
        </w:rPr>
        <w:t xml:space="preserve"> النساء</w:t>
      </w:r>
      <w:r w:rsidRPr="00A52585">
        <w:rPr>
          <w:rFonts w:hint="cs"/>
          <w:rtl/>
        </w:rPr>
        <w:t>:</w:t>
      </w:r>
      <w:r w:rsidR="00777DCB" w:rsidRPr="00A52585">
        <w:rPr>
          <w:rFonts w:hint="cs"/>
          <w:rtl/>
        </w:rPr>
        <w:t xml:space="preserve"> 157</w:t>
      </w:r>
      <w:r w:rsidR="00897A24" w:rsidRPr="00A52585">
        <w:rPr>
          <w:rFonts w:hint="cs"/>
          <w:rtl/>
        </w:rPr>
        <w:t>.</w:t>
      </w:r>
      <w:r w:rsidR="00777DCB" w:rsidRPr="00A52585">
        <w:rPr>
          <w:rFonts w:hint="cs"/>
          <w:rtl/>
        </w:rPr>
        <w:t xml:space="preserve"> وقد أجاز بعضهم إطلاق الشخص على الله تعالى وذلك غلط لما بيناه</w:t>
      </w:r>
      <w:r w:rsidR="00DB731D" w:rsidRPr="00A52585">
        <w:rPr>
          <w:rFonts w:hint="cs"/>
          <w:rtl/>
        </w:rPr>
        <w:t>،</w:t>
      </w:r>
      <w:r w:rsidR="00777DCB" w:rsidRPr="00A52585">
        <w:rPr>
          <w:rFonts w:hint="cs"/>
          <w:rtl/>
        </w:rPr>
        <w:t xml:space="preserve"> وأما الغيرة</w:t>
      </w:r>
      <w:r w:rsidRPr="00A52585">
        <w:rPr>
          <w:rFonts w:hint="cs"/>
          <w:rtl/>
        </w:rPr>
        <w:t>:</w:t>
      </w:r>
      <w:r w:rsidR="00777DCB" w:rsidRPr="00A52585">
        <w:rPr>
          <w:rFonts w:hint="cs"/>
          <w:rtl/>
        </w:rPr>
        <w:t xml:space="preserve"> فقد قال العلماء</w:t>
      </w:r>
      <w:r w:rsidRPr="00A52585">
        <w:rPr>
          <w:rFonts w:hint="cs"/>
          <w:rtl/>
        </w:rPr>
        <w:t>:</w:t>
      </w:r>
      <w:r w:rsidR="00777DCB" w:rsidRPr="00A52585">
        <w:rPr>
          <w:rFonts w:hint="cs"/>
          <w:rtl/>
        </w:rPr>
        <w:t xml:space="preserve"> كل من غار من شيء اشتدت كراهيته له</w:t>
      </w:r>
      <w:r w:rsidR="00DB731D" w:rsidRPr="00A52585">
        <w:rPr>
          <w:rFonts w:hint="cs"/>
          <w:rtl/>
        </w:rPr>
        <w:t>،</w:t>
      </w:r>
      <w:r w:rsidR="00777DCB" w:rsidRPr="00A52585">
        <w:rPr>
          <w:rFonts w:hint="cs"/>
          <w:rtl/>
        </w:rPr>
        <w:t xml:space="preserve"> فلما حرم الفواحش وتوعد عليها وصفه رسوله صلى الله عليه وسلم بالغيرة</w:t>
      </w:r>
      <w:r w:rsidR="00DB731D" w:rsidRPr="00A52585">
        <w:rPr>
          <w:rFonts w:hint="cs"/>
          <w:rtl/>
        </w:rPr>
        <w:t>،</w:t>
      </w:r>
      <w:r w:rsidR="00777DCB" w:rsidRPr="00A52585">
        <w:rPr>
          <w:rFonts w:hint="cs"/>
          <w:rtl/>
        </w:rPr>
        <w:t xml:space="preserve"> </w:t>
      </w:r>
    </w:p>
    <w:p w14:paraId="077812E9" w14:textId="0D3915B7" w:rsidR="00777DCB" w:rsidRPr="00A52585" w:rsidRDefault="0002035C" w:rsidP="0002035C">
      <w:pPr>
        <w:rPr>
          <w:b/>
          <w:rtl/>
        </w:rPr>
      </w:pPr>
      <w:r w:rsidRPr="00A52585">
        <w:rPr>
          <w:rFonts w:hint="cs"/>
          <w:bCs/>
          <w:u w:val="single"/>
          <w:rtl/>
        </w:rPr>
        <w:t>[</w:t>
      </w:r>
      <w:r w:rsidR="00777DCB" w:rsidRPr="00A52585">
        <w:rPr>
          <w:rFonts w:hint="cs"/>
          <w:bCs/>
          <w:u w:val="single"/>
          <w:rtl/>
        </w:rPr>
        <w:t>7</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w:t>
      </w:r>
      <w:r w:rsidRPr="00A52585">
        <w:rPr>
          <w:rFonts w:hint="cs"/>
          <w:bCs/>
          <w:rtl/>
        </w:rPr>
        <w:t>]</w:t>
      </w:r>
      <w:r w:rsidRPr="00A52585">
        <w:rPr>
          <w:rFonts w:hint="cs"/>
          <w:rtl/>
        </w:rPr>
        <w:t>:</w:t>
      </w:r>
      <w:r w:rsidR="00777DCB" w:rsidRPr="00A52585">
        <w:rPr>
          <w:rFonts w:hint="cs"/>
          <w:rtl/>
        </w:rPr>
        <w:t xml:space="preserve"> روى أبو موسى الاشعري رضي الله عنه عن النبي - صلى الله عليه وسلم - قال</w:t>
      </w:r>
      <w:r w:rsidRPr="00A52585">
        <w:rPr>
          <w:rFonts w:hint="cs"/>
          <w:rtl/>
        </w:rPr>
        <w:t>:</w:t>
      </w:r>
      <w:r w:rsidR="00777DCB" w:rsidRPr="00A52585">
        <w:rPr>
          <w:rFonts w:hint="cs"/>
          <w:rtl/>
        </w:rPr>
        <w:t xml:space="preserve"> " إن الله خلق آدم من قبضة قبضها من جميع الارض</w:t>
      </w:r>
      <w:r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حديث صحيح رواه أحمد </w:t>
      </w:r>
      <w:r w:rsidRPr="00A52585">
        <w:rPr>
          <w:rFonts w:hint="cs"/>
          <w:sz w:val="24"/>
          <w:szCs w:val="24"/>
          <w:rtl/>
        </w:rPr>
        <w:t>(</w:t>
      </w:r>
      <w:r w:rsidR="00777DCB" w:rsidRPr="00A52585">
        <w:rPr>
          <w:rFonts w:hint="cs"/>
          <w:sz w:val="24"/>
          <w:szCs w:val="24"/>
          <w:rtl/>
        </w:rPr>
        <w:t xml:space="preserve">4 / 400 </w:t>
      </w:r>
      <w:proofErr w:type="gramStart"/>
      <w:r w:rsidR="00777DCB" w:rsidRPr="00A52585">
        <w:rPr>
          <w:rFonts w:hint="cs"/>
          <w:sz w:val="24"/>
          <w:szCs w:val="24"/>
          <w:rtl/>
        </w:rPr>
        <w:t>و 406</w:t>
      </w:r>
      <w:proofErr w:type="gramEnd"/>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سعد </w:t>
      </w:r>
      <w:r w:rsidRPr="00A52585">
        <w:rPr>
          <w:rFonts w:hint="cs"/>
          <w:sz w:val="24"/>
          <w:szCs w:val="24"/>
          <w:rtl/>
        </w:rPr>
        <w:t>(</w:t>
      </w:r>
      <w:r w:rsidR="00777DCB" w:rsidRPr="00A52585">
        <w:rPr>
          <w:rFonts w:hint="cs"/>
          <w:sz w:val="24"/>
          <w:szCs w:val="24"/>
          <w:rtl/>
        </w:rPr>
        <w:t>1 / 26</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والترمذي </w:t>
      </w:r>
      <w:r w:rsidRPr="00A52585">
        <w:rPr>
          <w:rFonts w:hint="cs"/>
          <w:sz w:val="24"/>
          <w:szCs w:val="24"/>
          <w:rtl/>
        </w:rPr>
        <w:t>(</w:t>
      </w:r>
      <w:r w:rsidR="00777DCB" w:rsidRPr="00A52585">
        <w:rPr>
          <w:rFonts w:hint="cs"/>
          <w:sz w:val="24"/>
          <w:szCs w:val="24"/>
          <w:rtl/>
        </w:rPr>
        <w:t>5 / 204</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حسن صحيح</w:t>
      </w:r>
      <w:r w:rsidR="00DB731D" w:rsidRPr="00A52585">
        <w:rPr>
          <w:rFonts w:hint="cs"/>
          <w:sz w:val="24"/>
          <w:szCs w:val="24"/>
          <w:rtl/>
        </w:rPr>
        <w:t>،</w:t>
      </w:r>
      <w:r w:rsidR="00777DCB" w:rsidRPr="00A52585">
        <w:rPr>
          <w:rFonts w:hint="cs"/>
          <w:sz w:val="24"/>
          <w:szCs w:val="24"/>
          <w:rtl/>
        </w:rPr>
        <w:t xml:space="preserve"> وأبو داود </w:t>
      </w:r>
      <w:r w:rsidRPr="00A52585">
        <w:rPr>
          <w:rFonts w:hint="cs"/>
          <w:sz w:val="24"/>
          <w:szCs w:val="24"/>
          <w:rtl/>
        </w:rPr>
        <w:t>(</w:t>
      </w:r>
      <w:r w:rsidR="00777DCB" w:rsidRPr="00A52585">
        <w:rPr>
          <w:rFonts w:hint="cs"/>
          <w:sz w:val="24"/>
          <w:szCs w:val="24"/>
          <w:rtl/>
        </w:rPr>
        <w:t>4 / 222 برقم 4693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w:t>
      </w:r>
      <w:r w:rsidRPr="00A52585">
        <w:rPr>
          <w:rFonts w:hint="cs"/>
          <w:sz w:val="24"/>
          <w:szCs w:val="24"/>
          <w:rtl/>
        </w:rPr>
        <w:t>(</w:t>
      </w:r>
      <w:r w:rsidR="00777DCB" w:rsidRPr="00A52585">
        <w:rPr>
          <w:rFonts w:hint="cs"/>
          <w:sz w:val="24"/>
          <w:szCs w:val="24"/>
          <w:rtl/>
        </w:rPr>
        <w:t>2 / 261</w:t>
      </w:r>
      <w:r w:rsidRPr="00A52585">
        <w:rPr>
          <w:rFonts w:hint="cs"/>
          <w:sz w:val="24"/>
          <w:szCs w:val="24"/>
          <w:rtl/>
        </w:rPr>
        <w:t>)</w:t>
      </w:r>
      <w:r w:rsidR="00777DCB" w:rsidRPr="00A52585">
        <w:rPr>
          <w:rFonts w:hint="cs"/>
          <w:sz w:val="24"/>
          <w:szCs w:val="24"/>
          <w:rtl/>
        </w:rPr>
        <w:t xml:space="preserve"> وصححه وأقره الذهبي هناك</w:t>
      </w:r>
      <w:r w:rsidR="00DB731D" w:rsidRPr="00A52585">
        <w:rPr>
          <w:rFonts w:hint="cs"/>
          <w:sz w:val="24"/>
          <w:szCs w:val="24"/>
          <w:rtl/>
        </w:rPr>
        <w:t>،</w:t>
      </w:r>
      <w:r w:rsidR="00777DCB" w:rsidRPr="00A52585">
        <w:rPr>
          <w:rFonts w:hint="cs"/>
          <w:sz w:val="24"/>
          <w:szCs w:val="24"/>
          <w:rtl/>
        </w:rPr>
        <w:t xml:space="preserve"> والبيهقي </w:t>
      </w:r>
      <w:r w:rsidRPr="00A52585">
        <w:rPr>
          <w:rFonts w:hint="cs"/>
          <w:sz w:val="24"/>
          <w:szCs w:val="24"/>
          <w:rtl/>
        </w:rPr>
        <w:t>(</w:t>
      </w:r>
      <w:r w:rsidR="00777DCB" w:rsidRPr="00A52585">
        <w:rPr>
          <w:rFonts w:hint="cs"/>
          <w:sz w:val="24"/>
          <w:szCs w:val="24"/>
          <w:rtl/>
        </w:rPr>
        <w:t>3 / 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وأبو نعيم في الحلية </w:t>
      </w:r>
      <w:r w:rsidRPr="00A52585">
        <w:rPr>
          <w:rFonts w:hint="cs"/>
          <w:sz w:val="24"/>
          <w:szCs w:val="24"/>
          <w:rtl/>
        </w:rPr>
        <w:t>(</w:t>
      </w:r>
      <w:r w:rsidR="00777DCB" w:rsidRPr="00A52585">
        <w:rPr>
          <w:rFonts w:hint="cs"/>
          <w:sz w:val="24"/>
          <w:szCs w:val="24"/>
          <w:rtl/>
        </w:rPr>
        <w:t>3 / 104</w:t>
      </w:r>
      <w:r w:rsidRPr="00A52585">
        <w:rPr>
          <w:rFonts w:hint="cs"/>
          <w:sz w:val="24"/>
          <w:szCs w:val="24"/>
          <w:rtl/>
        </w:rPr>
        <w:t>)</w:t>
      </w:r>
      <w:r w:rsidR="00777DCB" w:rsidRPr="00A52585">
        <w:rPr>
          <w:rFonts w:hint="cs"/>
          <w:sz w:val="24"/>
          <w:szCs w:val="24"/>
          <w:rtl/>
        </w:rPr>
        <w:t xml:space="preserve"> وغيرهم</w:t>
      </w:r>
      <w:r w:rsidR="00897A24" w:rsidRPr="00A52585">
        <w:rPr>
          <w:rFonts w:hint="cs"/>
          <w:sz w:val="24"/>
          <w:szCs w:val="24"/>
          <w:rtl/>
        </w:rPr>
        <w:t>.</w:t>
      </w:r>
      <w:r w:rsidR="00777DCB" w:rsidRPr="00A52585">
        <w:rPr>
          <w:rFonts w:hint="cs"/>
          <w:sz w:val="24"/>
          <w:szCs w:val="24"/>
          <w:rtl/>
        </w:rPr>
        <w:t xml:space="preserve"> والظاهر أن لفظة " قبضة " التي فيه من تصرف الرواة حينما رووه بالمعنى بدليل أن رواية الحاكم </w:t>
      </w:r>
      <w:r w:rsidRPr="00A52585">
        <w:rPr>
          <w:rFonts w:hint="cs"/>
          <w:sz w:val="24"/>
          <w:szCs w:val="24"/>
          <w:rtl/>
        </w:rPr>
        <w:t>(</w:t>
      </w:r>
      <w:r w:rsidR="00777DCB" w:rsidRPr="00A52585">
        <w:rPr>
          <w:rFonts w:hint="cs"/>
          <w:sz w:val="24"/>
          <w:szCs w:val="24"/>
          <w:rtl/>
        </w:rPr>
        <w:t>2 / 261</w:t>
      </w:r>
      <w:r w:rsidRPr="00A52585">
        <w:rPr>
          <w:rFonts w:hint="cs"/>
          <w:sz w:val="24"/>
          <w:szCs w:val="24"/>
          <w:rtl/>
        </w:rPr>
        <w:t>)</w:t>
      </w:r>
      <w:r w:rsidR="00777DCB" w:rsidRPr="00A52585">
        <w:rPr>
          <w:rFonts w:hint="cs"/>
          <w:sz w:val="24"/>
          <w:szCs w:val="24"/>
          <w:rtl/>
        </w:rPr>
        <w:t xml:space="preserve"> وغيره بلفظ</w:t>
      </w:r>
      <w:r w:rsidRPr="00A52585">
        <w:rPr>
          <w:rFonts w:hint="cs"/>
          <w:sz w:val="24"/>
          <w:szCs w:val="24"/>
          <w:rtl/>
        </w:rPr>
        <w:t>:</w:t>
      </w:r>
      <w:r w:rsidR="00777DCB" w:rsidRPr="00A52585">
        <w:rPr>
          <w:rFonts w:hint="cs"/>
          <w:sz w:val="24"/>
          <w:szCs w:val="24"/>
          <w:rtl/>
        </w:rPr>
        <w:t xml:space="preserve"> " خلق الله آدم من أديم الارض كلها فخرجت ذريته على حسب ذلك</w:t>
      </w:r>
      <w:r w:rsidR="00DB731D" w:rsidRPr="00A52585">
        <w:rPr>
          <w:rFonts w:hint="cs"/>
          <w:sz w:val="24"/>
          <w:szCs w:val="24"/>
          <w:rtl/>
        </w:rPr>
        <w:t>،</w:t>
      </w:r>
      <w:r w:rsidR="00777DCB" w:rsidRPr="00A52585">
        <w:rPr>
          <w:rFonts w:hint="cs"/>
          <w:sz w:val="24"/>
          <w:szCs w:val="24"/>
          <w:rtl/>
        </w:rPr>
        <w:t xml:space="preserve"> منهم الابيض والاسود</w:t>
      </w:r>
      <w:r w:rsidR="00DB731D" w:rsidRPr="00A52585">
        <w:rPr>
          <w:rFonts w:hint="cs"/>
          <w:sz w:val="24"/>
          <w:szCs w:val="24"/>
          <w:rtl/>
        </w:rPr>
        <w:t>،</w:t>
      </w:r>
      <w:r w:rsidR="00777DCB" w:rsidRPr="00A52585">
        <w:rPr>
          <w:rFonts w:hint="cs"/>
          <w:sz w:val="24"/>
          <w:szCs w:val="24"/>
          <w:rtl/>
        </w:rPr>
        <w:t xml:space="preserve"> والاسمر والاحمر</w:t>
      </w:r>
      <w:r w:rsidR="00DB731D" w:rsidRPr="00A52585">
        <w:rPr>
          <w:rFonts w:hint="cs"/>
          <w:sz w:val="24"/>
          <w:szCs w:val="24"/>
          <w:rtl/>
        </w:rPr>
        <w:t>،</w:t>
      </w:r>
      <w:r w:rsidR="00777DCB" w:rsidRPr="00A52585">
        <w:rPr>
          <w:rFonts w:hint="cs"/>
          <w:sz w:val="24"/>
          <w:szCs w:val="24"/>
          <w:rtl/>
        </w:rPr>
        <w:t xml:space="preserve"> ومنهم بين</w:t>
      </w:r>
      <w:r w:rsidRPr="00A52585">
        <w:rPr>
          <w:rFonts w:hint="cs"/>
          <w:sz w:val="24"/>
          <w:szCs w:val="24"/>
          <w:rtl/>
        </w:rPr>
        <w:t>]</w:t>
      </w:r>
      <w:r w:rsidR="00DB731D" w:rsidRPr="00A52585">
        <w:rPr>
          <w:rFonts w:hint="cs"/>
          <w:rtl/>
        </w:rPr>
        <w:t>،</w:t>
      </w:r>
      <w:r w:rsidR="00777DCB" w:rsidRPr="00A52585">
        <w:rPr>
          <w:rFonts w:hint="cs"/>
          <w:rtl/>
        </w:rPr>
        <w:t xml:space="preserve"> المعنى مقدار قبضته وليست على ما يتصور من قبضات المخلوقين فإن الحق منزه عن ذلك</w:t>
      </w:r>
      <w:r w:rsidR="00DB731D" w:rsidRPr="00A52585">
        <w:rPr>
          <w:rFonts w:hint="cs"/>
          <w:rtl/>
        </w:rPr>
        <w:t>،</w:t>
      </w:r>
      <w:r w:rsidR="00777DCB" w:rsidRPr="00A52585">
        <w:rPr>
          <w:rFonts w:hint="cs"/>
          <w:rtl/>
        </w:rPr>
        <w:t xml:space="preserve"> وإنما أضيفت القبضة إليه لان أفعال المملوك تنسب إلى المالك</w:t>
      </w:r>
      <w:r w:rsidR="00DB731D" w:rsidRPr="00A52585">
        <w:rPr>
          <w:rFonts w:hint="cs"/>
          <w:rtl/>
        </w:rPr>
        <w:t>،</w:t>
      </w:r>
      <w:r w:rsidR="00777DCB" w:rsidRPr="00A52585">
        <w:rPr>
          <w:rFonts w:hint="cs"/>
          <w:rtl/>
        </w:rPr>
        <w:t xml:space="preserve"> وذلك أنه بعث من قبض كقوله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فطمسنا أعينهم</w:t>
      </w:r>
      <w:r w:rsidRPr="00A52585">
        <w:rPr>
          <w:rFonts w:hint="cs"/>
          <w:rtl/>
        </w:rPr>
        <w:t>)</w:t>
      </w:r>
      <w:r w:rsidR="00777DCB" w:rsidRPr="00A52585">
        <w:rPr>
          <w:rFonts w:hint="cs"/>
          <w:rtl/>
        </w:rPr>
        <w:t xml:space="preserve"> القمر</w:t>
      </w:r>
      <w:r w:rsidRPr="00A52585">
        <w:rPr>
          <w:rFonts w:hint="cs"/>
          <w:rtl/>
        </w:rPr>
        <w:t>:</w:t>
      </w:r>
      <w:r w:rsidR="00777DCB" w:rsidRPr="00A52585">
        <w:rPr>
          <w:rFonts w:hint="cs"/>
          <w:rtl/>
        </w:rPr>
        <w:t xml:space="preserve"> 37</w:t>
      </w:r>
      <w:r w:rsidR="00DB731D" w:rsidRPr="00A52585">
        <w:rPr>
          <w:rFonts w:hint="cs"/>
          <w:rtl/>
        </w:rPr>
        <w:t>،</w:t>
      </w:r>
      <w:r w:rsidR="00777DCB" w:rsidRPr="00A52585">
        <w:rPr>
          <w:rFonts w:hint="cs"/>
          <w:rtl/>
        </w:rPr>
        <w:t xml:space="preserve"> وقد روى محمد بن سعد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رواه ابن سعد </w:t>
      </w:r>
      <w:r w:rsidRPr="00A52585">
        <w:rPr>
          <w:rFonts w:hint="cs"/>
          <w:sz w:val="24"/>
          <w:szCs w:val="24"/>
          <w:rtl/>
        </w:rPr>
        <w:t>(</w:t>
      </w:r>
      <w:r w:rsidR="00777DCB" w:rsidRPr="00A52585">
        <w:rPr>
          <w:rFonts w:hint="cs"/>
          <w:sz w:val="24"/>
          <w:szCs w:val="24"/>
          <w:rtl/>
        </w:rPr>
        <w:t>1 / 26</w:t>
      </w:r>
      <w:r w:rsidRPr="00A52585">
        <w:rPr>
          <w:rFonts w:hint="cs"/>
          <w:sz w:val="24"/>
          <w:szCs w:val="24"/>
          <w:rtl/>
        </w:rPr>
        <w:t>)</w:t>
      </w:r>
      <w:r w:rsidR="00777DCB" w:rsidRPr="00A52585">
        <w:rPr>
          <w:rFonts w:hint="cs"/>
          <w:sz w:val="24"/>
          <w:szCs w:val="24"/>
          <w:rtl/>
        </w:rPr>
        <w:t xml:space="preserve"> مطولا من حديث عبد الله بن مسعود موقوفا عليه بسند حسن في غير العقائد</w:t>
      </w:r>
      <w:r w:rsidRPr="00A52585">
        <w:rPr>
          <w:rFonts w:hint="cs"/>
          <w:sz w:val="24"/>
          <w:szCs w:val="24"/>
          <w:rtl/>
        </w:rPr>
        <w:t>]</w:t>
      </w:r>
      <w:r w:rsidR="00777DCB" w:rsidRPr="00A52585">
        <w:rPr>
          <w:rFonts w:hint="cs"/>
          <w:rtl/>
        </w:rPr>
        <w:t xml:space="preserve"> في كتاب الطبقات</w:t>
      </w:r>
      <w:r w:rsidRPr="00A52585">
        <w:rPr>
          <w:rFonts w:hint="cs"/>
          <w:rtl/>
        </w:rPr>
        <w:t>:</w:t>
      </w:r>
      <w:r w:rsidR="00777DCB" w:rsidRPr="00A52585">
        <w:rPr>
          <w:rFonts w:hint="cs"/>
          <w:rtl/>
        </w:rPr>
        <w:t xml:space="preserve"> ان الله تعالى بعث إبليس فأخذ من أديم الارض فخلق منه آدم فمن ثم قال </w:t>
      </w:r>
      <w:r w:rsidRPr="00A52585">
        <w:rPr>
          <w:rFonts w:hint="cs"/>
          <w:rtl/>
        </w:rPr>
        <w:t>(</w:t>
      </w:r>
      <w:r w:rsidR="00777DCB" w:rsidRPr="00A52585">
        <w:rPr>
          <w:rFonts w:hint="cs"/>
          <w:rtl/>
        </w:rPr>
        <w:t>أأسجد لمن خلقت طينا</w:t>
      </w:r>
      <w:r w:rsidRPr="00A52585">
        <w:rPr>
          <w:rFonts w:hint="cs"/>
          <w:rtl/>
        </w:rPr>
        <w:t>)</w:t>
      </w:r>
      <w:r w:rsidR="00777DCB" w:rsidRPr="00A52585">
        <w:rPr>
          <w:rFonts w:hint="cs"/>
          <w:rtl/>
        </w:rPr>
        <w:t xml:space="preserve"> الاسراء</w:t>
      </w:r>
      <w:r w:rsidRPr="00A52585">
        <w:rPr>
          <w:rFonts w:hint="cs"/>
          <w:rtl/>
        </w:rPr>
        <w:t>:</w:t>
      </w:r>
      <w:r w:rsidR="00777DCB" w:rsidRPr="00A52585">
        <w:rPr>
          <w:rFonts w:hint="cs"/>
          <w:rtl/>
        </w:rPr>
        <w:t xml:space="preserve"> 61</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لا يمتنع إطلاق اسم القبض إليه وإضافة القبضة لا على معنى الجارحة ولا على المعالجة والممارسة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فيقال له</w:t>
      </w:r>
      <w:r w:rsidRPr="00A52585">
        <w:rPr>
          <w:rFonts w:hint="cs"/>
          <w:rtl/>
        </w:rPr>
        <w:t>:</w:t>
      </w:r>
      <w:r w:rsidR="00777DCB" w:rsidRPr="00A52585">
        <w:rPr>
          <w:rFonts w:hint="cs"/>
          <w:rtl/>
        </w:rPr>
        <w:t xml:space="preserve"> أطلقت وما تدرى</w:t>
      </w:r>
      <w:r w:rsidR="00DB731D" w:rsidRPr="00A52585">
        <w:rPr>
          <w:rFonts w:hint="cs"/>
          <w:rtl/>
        </w:rPr>
        <w:t>،</w:t>
      </w:r>
      <w:r w:rsidR="00777DCB" w:rsidRPr="00A52585">
        <w:rPr>
          <w:rFonts w:hint="cs"/>
          <w:rtl/>
        </w:rPr>
        <w:t xml:space="preserve"> </w:t>
      </w:r>
    </w:p>
    <w:p w14:paraId="247A34A3" w14:textId="40FC633E" w:rsidR="00777DCB" w:rsidRPr="00A52585" w:rsidRDefault="0002035C" w:rsidP="0002035C">
      <w:pPr>
        <w:rPr>
          <w:b/>
          <w:rtl/>
        </w:rPr>
      </w:pPr>
      <w:r w:rsidRPr="00A52585">
        <w:rPr>
          <w:rFonts w:hint="cs"/>
          <w:bCs/>
          <w:u w:val="single"/>
          <w:rtl/>
        </w:rPr>
        <w:t>[</w:t>
      </w:r>
      <w:r w:rsidR="00777DCB" w:rsidRPr="00A52585">
        <w:rPr>
          <w:rFonts w:hint="cs"/>
          <w:bCs/>
          <w:u w:val="single"/>
          <w:rtl/>
        </w:rPr>
        <w:t>8</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w:t>
      </w:r>
      <w:r w:rsidRPr="00A52585">
        <w:rPr>
          <w:rFonts w:hint="cs"/>
          <w:bCs/>
          <w:rtl/>
        </w:rPr>
        <w:t>]:</w:t>
      </w:r>
      <w:r w:rsidR="00777DCB" w:rsidRPr="00A52585">
        <w:rPr>
          <w:rFonts w:hint="cs"/>
          <w:rtl/>
        </w:rPr>
        <w:t xml:space="preserve"> روى سليمان قال</w:t>
      </w:r>
      <w:r w:rsidRPr="00A52585">
        <w:rPr>
          <w:rFonts w:hint="cs"/>
          <w:rtl/>
        </w:rPr>
        <w:t>:</w:t>
      </w:r>
      <w:r w:rsidR="00777DCB" w:rsidRPr="00A52585">
        <w:rPr>
          <w:rFonts w:hint="cs"/>
          <w:rtl/>
        </w:rPr>
        <w:t xml:space="preserve"> " إن الله تعالى لما خمر طينة آدم ضرب بيده فيه</w:t>
      </w:r>
      <w:r w:rsidR="00DB731D" w:rsidRPr="00A52585">
        <w:rPr>
          <w:rFonts w:hint="cs"/>
          <w:rtl/>
        </w:rPr>
        <w:t>،</w:t>
      </w:r>
      <w:r w:rsidR="00777DCB" w:rsidRPr="00A52585">
        <w:rPr>
          <w:rFonts w:hint="cs"/>
          <w:rtl/>
        </w:rPr>
        <w:t xml:space="preserve"> فخرج كل طيب في يمينه</w:t>
      </w:r>
      <w:r w:rsidR="00DB731D" w:rsidRPr="00A52585">
        <w:rPr>
          <w:rFonts w:hint="cs"/>
          <w:rtl/>
        </w:rPr>
        <w:t>،</w:t>
      </w:r>
      <w:r w:rsidR="00777DCB" w:rsidRPr="00A52585">
        <w:rPr>
          <w:rFonts w:hint="cs"/>
          <w:rtl/>
        </w:rPr>
        <w:t xml:space="preserve"> وكل خبيث في يده الاخرى</w:t>
      </w:r>
      <w:r w:rsidR="00DB731D" w:rsidRPr="00A52585">
        <w:rPr>
          <w:rFonts w:hint="cs"/>
          <w:rtl/>
        </w:rPr>
        <w:t>،</w:t>
      </w:r>
      <w:r w:rsidR="00777DCB" w:rsidRPr="00A52585">
        <w:rPr>
          <w:rFonts w:hint="cs"/>
          <w:rtl/>
        </w:rPr>
        <w:t xml:space="preserve"> ثم خلط بينهما</w:t>
      </w:r>
      <w:r w:rsidR="00DB731D" w:rsidRPr="00A52585">
        <w:rPr>
          <w:rFonts w:hint="cs"/>
          <w:rtl/>
        </w:rPr>
        <w:t>،</w:t>
      </w:r>
      <w:r w:rsidR="00777DCB" w:rsidRPr="00A52585">
        <w:rPr>
          <w:rFonts w:hint="cs"/>
          <w:rtl/>
        </w:rPr>
        <w:t xml:space="preserve"> فمن ثم يخرج الحي من الميت ويخرج الميت من الحي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مرسل وقد ثبت بالدليل أن الله سبحانه وتعالى لا يوصف بمس شيء</w:t>
      </w:r>
      <w:r w:rsidR="00DB731D" w:rsidRPr="00A52585">
        <w:rPr>
          <w:rFonts w:hint="cs"/>
          <w:rtl/>
        </w:rPr>
        <w:t>،</w:t>
      </w:r>
      <w:r w:rsidR="00777DCB" w:rsidRPr="00A52585">
        <w:rPr>
          <w:rFonts w:hint="cs"/>
          <w:rtl/>
        </w:rPr>
        <w:t xml:space="preserve"> </w:t>
      </w:r>
      <w:r w:rsidR="00777DCB" w:rsidRPr="00A52585">
        <w:rPr>
          <w:rFonts w:hint="cs"/>
          <w:rtl/>
        </w:rPr>
        <w:lastRenderedPageBreak/>
        <w:t>فإن صح فضرب مثل لما جرت به الاقدار</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تخمير الطين وخلط بعضه ببعض مضاف إلى اليد التي خلق بها آدم</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التشبيه المحض</w:t>
      </w:r>
      <w:r w:rsidR="00F95886"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أثر رواه ابن سعد في طبقاته </w:t>
      </w:r>
      <w:r w:rsidRPr="00A52585">
        <w:rPr>
          <w:rFonts w:hint="cs"/>
          <w:sz w:val="24"/>
          <w:szCs w:val="24"/>
          <w:rtl/>
        </w:rPr>
        <w:t>(</w:t>
      </w:r>
      <w:r w:rsidR="00777DCB" w:rsidRPr="00A52585">
        <w:rPr>
          <w:rFonts w:hint="cs"/>
          <w:sz w:val="24"/>
          <w:szCs w:val="24"/>
          <w:rtl/>
        </w:rPr>
        <w:t>1 / 27</w:t>
      </w:r>
      <w:r w:rsidRPr="00A52585">
        <w:rPr>
          <w:rFonts w:hint="cs"/>
          <w:sz w:val="24"/>
          <w:szCs w:val="24"/>
          <w:rtl/>
        </w:rPr>
        <w:t>)</w:t>
      </w:r>
      <w:r w:rsidR="00777DCB" w:rsidRPr="00A52585">
        <w:rPr>
          <w:rFonts w:hint="cs"/>
          <w:sz w:val="24"/>
          <w:szCs w:val="24"/>
          <w:rtl/>
        </w:rPr>
        <w:t xml:space="preserve"> عن ابن مسعود موقوفا عليه وهذا إسناده ومتنه</w:t>
      </w:r>
      <w:r w:rsidRPr="00A52585">
        <w:rPr>
          <w:rFonts w:hint="cs"/>
          <w:sz w:val="24"/>
          <w:szCs w:val="24"/>
          <w:rtl/>
        </w:rPr>
        <w:t>:</w:t>
      </w:r>
      <w:r w:rsidR="00777DCB" w:rsidRPr="00A52585">
        <w:rPr>
          <w:rFonts w:hint="cs"/>
          <w:sz w:val="24"/>
          <w:szCs w:val="24"/>
          <w:rtl/>
        </w:rPr>
        <w:t xml:space="preserve"> أخبرنا معاذ بن معاذ العنبري</w:t>
      </w:r>
      <w:r w:rsidR="00DB731D" w:rsidRPr="00A52585">
        <w:rPr>
          <w:rFonts w:hint="cs"/>
          <w:sz w:val="24"/>
          <w:szCs w:val="24"/>
          <w:rtl/>
        </w:rPr>
        <w:t>،</w:t>
      </w:r>
      <w:r w:rsidR="00777DCB" w:rsidRPr="00A52585">
        <w:rPr>
          <w:rFonts w:hint="cs"/>
          <w:sz w:val="24"/>
          <w:szCs w:val="24"/>
          <w:rtl/>
        </w:rPr>
        <w:t xml:space="preserve"> أخبرنا سليمان التيمي</w:t>
      </w:r>
      <w:r w:rsidR="00DB731D" w:rsidRPr="00A52585">
        <w:rPr>
          <w:rFonts w:hint="cs"/>
          <w:sz w:val="24"/>
          <w:szCs w:val="24"/>
          <w:rtl/>
        </w:rPr>
        <w:t>،</w:t>
      </w:r>
      <w:r w:rsidR="00777DCB" w:rsidRPr="00A52585">
        <w:rPr>
          <w:rFonts w:hint="cs"/>
          <w:sz w:val="24"/>
          <w:szCs w:val="24"/>
          <w:rtl/>
        </w:rPr>
        <w:t xml:space="preserve"> أخبرنا أبو عثمان النهدي عن سلمان الفارسي أن ابن مسعود قال</w:t>
      </w:r>
      <w:r w:rsidRPr="00A52585">
        <w:rPr>
          <w:rFonts w:hint="cs"/>
          <w:sz w:val="24"/>
          <w:szCs w:val="24"/>
          <w:rtl/>
        </w:rPr>
        <w:t>:</w:t>
      </w:r>
      <w:r w:rsidR="00777DCB" w:rsidRPr="00A52585">
        <w:rPr>
          <w:rFonts w:hint="cs"/>
          <w:sz w:val="24"/>
          <w:szCs w:val="24"/>
          <w:rtl/>
        </w:rPr>
        <w:t xml:space="preserve"> " خمر الله طينة آدم أربعين ليلة</w:t>
      </w:r>
      <w:r w:rsidR="00DB731D" w:rsidRPr="00A52585">
        <w:rPr>
          <w:rFonts w:hint="cs"/>
          <w:sz w:val="24"/>
          <w:szCs w:val="24"/>
          <w:rtl/>
        </w:rPr>
        <w:t>،</w:t>
      </w:r>
      <w:r w:rsidR="00777DCB" w:rsidRPr="00A52585">
        <w:rPr>
          <w:rFonts w:hint="cs"/>
          <w:sz w:val="24"/>
          <w:szCs w:val="24"/>
          <w:rtl/>
        </w:rPr>
        <w:t xml:space="preserve"> أو قال أربعين يوما</w:t>
      </w:r>
      <w:r w:rsidR="00DB731D" w:rsidRPr="00A52585">
        <w:rPr>
          <w:rFonts w:hint="cs"/>
          <w:sz w:val="24"/>
          <w:szCs w:val="24"/>
          <w:rtl/>
        </w:rPr>
        <w:t>،</w:t>
      </w:r>
      <w:r w:rsidR="00777DCB" w:rsidRPr="00A52585">
        <w:rPr>
          <w:rFonts w:hint="cs"/>
          <w:sz w:val="24"/>
          <w:szCs w:val="24"/>
          <w:rtl/>
        </w:rPr>
        <w:t xml:space="preserve"> ثم ضرب بيده فيه فخرج كل طيب في يمينه</w:t>
      </w:r>
      <w:r w:rsidR="00897A24" w:rsidRPr="00A52585">
        <w:rPr>
          <w:rFonts w:hint="cs"/>
          <w:sz w:val="24"/>
          <w:szCs w:val="24"/>
          <w:rtl/>
        </w:rPr>
        <w:t>..</w:t>
      </w:r>
      <w:r w:rsidR="00777DCB" w:rsidRPr="00A52585">
        <w:rPr>
          <w:rFonts w:hint="cs"/>
          <w:sz w:val="24"/>
          <w:szCs w:val="24"/>
          <w:rtl/>
        </w:rPr>
        <w:t xml:space="preserve"> " الاثر كما ذكره المصنف</w:t>
      </w:r>
      <w:r w:rsidR="00DB731D" w:rsidRPr="00A52585">
        <w:rPr>
          <w:rFonts w:hint="cs"/>
          <w:sz w:val="24"/>
          <w:szCs w:val="24"/>
          <w:rtl/>
        </w:rPr>
        <w:t>،</w:t>
      </w:r>
      <w:r w:rsidR="00777DCB" w:rsidRPr="00A52585">
        <w:rPr>
          <w:rFonts w:hint="cs"/>
          <w:sz w:val="24"/>
          <w:szCs w:val="24"/>
          <w:rtl/>
        </w:rPr>
        <w:t xml:space="preserve"> وإسناد هذا الاثر صحيح ومتنه منكر</w:t>
      </w:r>
      <w:r w:rsidR="00DB731D" w:rsidRPr="00A52585">
        <w:rPr>
          <w:rFonts w:hint="cs"/>
          <w:sz w:val="24"/>
          <w:szCs w:val="24"/>
          <w:rtl/>
        </w:rPr>
        <w:t>،</w:t>
      </w:r>
      <w:r w:rsidR="00777DCB" w:rsidRPr="00A52585">
        <w:rPr>
          <w:rFonts w:hint="cs"/>
          <w:sz w:val="24"/>
          <w:szCs w:val="24"/>
          <w:rtl/>
        </w:rPr>
        <w:t xml:space="preserve"> ولا تثبت بمثل هذا الاثر عقائد المسلمين</w:t>
      </w:r>
      <w:r w:rsidR="00DB731D" w:rsidRPr="00A52585">
        <w:rPr>
          <w:rFonts w:hint="cs"/>
          <w:sz w:val="24"/>
          <w:szCs w:val="24"/>
          <w:rtl/>
        </w:rPr>
        <w:t>،</w:t>
      </w:r>
      <w:r w:rsidR="00777DCB" w:rsidRPr="00A52585">
        <w:rPr>
          <w:rFonts w:hint="cs"/>
          <w:sz w:val="24"/>
          <w:szCs w:val="24"/>
          <w:rtl/>
        </w:rPr>
        <w:t xml:space="preserve"> والظاهر أن الضارب هو إبليس الذي بعثه الله فأخذ من أديم الارض كما مر في الاثر قبل هذا بسند حسن</w:t>
      </w:r>
      <w:r w:rsidR="00777DCB" w:rsidRPr="00A52585">
        <w:rPr>
          <w:rFonts w:hint="cs"/>
          <w:rtl/>
        </w:rPr>
        <w:t>]</w:t>
      </w:r>
    </w:p>
    <w:p w14:paraId="7F420955" w14:textId="0280A983" w:rsidR="00777DCB" w:rsidRPr="00A52585" w:rsidRDefault="0002035C" w:rsidP="0002035C">
      <w:pPr>
        <w:rPr>
          <w:b/>
          <w:rtl/>
        </w:rPr>
      </w:pPr>
      <w:r w:rsidRPr="00A52585">
        <w:rPr>
          <w:rFonts w:hint="cs"/>
          <w:bCs/>
          <w:u w:val="single"/>
          <w:rtl/>
        </w:rPr>
        <w:t>[</w:t>
      </w:r>
      <w:r w:rsidR="00777DCB" w:rsidRPr="00A52585">
        <w:rPr>
          <w:rFonts w:hint="cs"/>
          <w:bCs/>
          <w:u w:val="single"/>
          <w:rtl/>
        </w:rPr>
        <w:t>9</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w:t>
      </w:r>
      <w:r w:rsidRPr="00A52585">
        <w:rPr>
          <w:rFonts w:hint="cs"/>
          <w:bCs/>
          <w:rtl/>
        </w:rPr>
        <w:t>]:</w:t>
      </w:r>
      <w:r w:rsidR="00777DCB" w:rsidRPr="00A52585">
        <w:rPr>
          <w:rFonts w:hint="cs"/>
          <w:rtl/>
        </w:rPr>
        <w:t xml:space="preserve"> روى عبيد بن حنين قال</w:t>
      </w:r>
      <w:r w:rsidRPr="00A52585">
        <w:rPr>
          <w:rFonts w:hint="cs"/>
          <w:rtl/>
        </w:rPr>
        <w:t>:</w:t>
      </w:r>
      <w:r w:rsidR="00777DCB" w:rsidRPr="00A52585">
        <w:rPr>
          <w:rFonts w:hint="cs"/>
          <w:rtl/>
        </w:rPr>
        <w:t xml:space="preserve"> بينما أنا جالس في المسجد</w:t>
      </w:r>
      <w:r w:rsidR="00DB731D" w:rsidRPr="00A52585">
        <w:rPr>
          <w:rFonts w:hint="cs"/>
          <w:rtl/>
        </w:rPr>
        <w:t>،</w:t>
      </w:r>
      <w:r w:rsidR="00777DCB" w:rsidRPr="00A52585">
        <w:rPr>
          <w:rFonts w:hint="cs"/>
          <w:rtl/>
        </w:rPr>
        <w:t xml:space="preserve"> إذ جاء قتادة بن النعمان فجلس يتحدث ثم قال</w:t>
      </w:r>
      <w:r w:rsidRPr="00A52585">
        <w:rPr>
          <w:rFonts w:hint="cs"/>
          <w:rtl/>
        </w:rPr>
        <w:t>:</w:t>
      </w:r>
      <w:r w:rsidR="00777DCB" w:rsidRPr="00A52585">
        <w:rPr>
          <w:rFonts w:hint="cs"/>
          <w:rtl/>
        </w:rPr>
        <w:t xml:space="preserve"> " انطلق بنا إلى أبي سعيد الخدري</w:t>
      </w:r>
      <w:r w:rsidR="00DB731D" w:rsidRPr="00A52585">
        <w:rPr>
          <w:rFonts w:hint="cs"/>
          <w:rtl/>
        </w:rPr>
        <w:t>،</w:t>
      </w:r>
      <w:r w:rsidR="00777DCB" w:rsidRPr="00A52585">
        <w:rPr>
          <w:rFonts w:hint="cs"/>
          <w:rtl/>
        </w:rPr>
        <w:t xml:space="preserve"> فإني قد أخبرت أنه قد اشتكى</w:t>
      </w:r>
      <w:r w:rsidR="00DB731D" w:rsidRPr="00A52585">
        <w:rPr>
          <w:rFonts w:hint="cs"/>
          <w:rtl/>
        </w:rPr>
        <w:t>،</w:t>
      </w:r>
      <w:r w:rsidR="00777DCB" w:rsidRPr="00A52585">
        <w:rPr>
          <w:rFonts w:hint="cs"/>
          <w:rtl/>
        </w:rPr>
        <w:t xml:space="preserve"> فانطلقنا حتى دخلنا على أبي سعيد فوجدناه مستلقيا واضعا رجله اليمنى على اليسرى</w:t>
      </w:r>
      <w:r w:rsidR="00DB731D" w:rsidRPr="00A52585">
        <w:rPr>
          <w:rFonts w:hint="cs"/>
          <w:rtl/>
        </w:rPr>
        <w:t>،</w:t>
      </w:r>
      <w:r w:rsidR="00777DCB" w:rsidRPr="00A52585">
        <w:rPr>
          <w:rFonts w:hint="cs"/>
          <w:rtl/>
        </w:rPr>
        <w:t xml:space="preserve"> فسلمنا عليه وجلسنا</w:t>
      </w:r>
      <w:r w:rsidR="00DB731D" w:rsidRPr="00A52585">
        <w:rPr>
          <w:rFonts w:hint="cs"/>
          <w:rtl/>
        </w:rPr>
        <w:t>،</w:t>
      </w:r>
      <w:r w:rsidR="00777DCB" w:rsidRPr="00A52585">
        <w:rPr>
          <w:rFonts w:hint="cs"/>
          <w:rtl/>
        </w:rPr>
        <w:t xml:space="preserve"> فرفع قتادة يده إلى رجل أبي سعيد</w:t>
      </w:r>
      <w:r w:rsidR="00DB731D" w:rsidRPr="00A52585">
        <w:rPr>
          <w:rFonts w:hint="cs"/>
          <w:rtl/>
        </w:rPr>
        <w:t>،</w:t>
      </w:r>
      <w:r w:rsidR="00777DCB" w:rsidRPr="00A52585">
        <w:rPr>
          <w:rFonts w:hint="cs"/>
          <w:rtl/>
        </w:rPr>
        <w:t xml:space="preserve"> فقرصها قرصة شديدة فقال أبو سعيد</w:t>
      </w:r>
      <w:r w:rsidRPr="00A52585">
        <w:rPr>
          <w:rFonts w:hint="cs"/>
          <w:rtl/>
        </w:rPr>
        <w:t>:</w:t>
      </w:r>
      <w:r w:rsidR="00777DCB" w:rsidRPr="00A52585">
        <w:rPr>
          <w:rFonts w:hint="cs"/>
          <w:rtl/>
        </w:rPr>
        <w:t xml:space="preserve"> سبحان الله يا ابن أم أوجعتني "</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ذلك أردت</w:t>
      </w:r>
      <w:r w:rsidR="00DB731D" w:rsidRPr="00A52585">
        <w:rPr>
          <w:rFonts w:hint="cs"/>
          <w:rtl/>
        </w:rPr>
        <w:t>،</w:t>
      </w:r>
      <w:r w:rsidR="00777DCB" w:rsidRPr="00A52585">
        <w:rPr>
          <w:rFonts w:hint="cs"/>
          <w:rtl/>
        </w:rPr>
        <w:t xml:space="preserve"> إن رسول الله - صلى الله عليه وسلم - قال</w:t>
      </w:r>
      <w:r w:rsidRPr="00A52585">
        <w:rPr>
          <w:rFonts w:hint="cs"/>
          <w:rtl/>
        </w:rPr>
        <w:t>:</w:t>
      </w:r>
      <w:r w:rsidR="00777DCB" w:rsidRPr="00A52585">
        <w:rPr>
          <w:rFonts w:hint="cs"/>
          <w:rtl/>
        </w:rPr>
        <w:t xml:space="preserve"> " إن الله لما قضى خلقه</w:t>
      </w:r>
      <w:r w:rsidR="00DB731D" w:rsidRPr="00A52585">
        <w:rPr>
          <w:rFonts w:hint="cs"/>
          <w:rtl/>
        </w:rPr>
        <w:t>،</w:t>
      </w:r>
      <w:r w:rsidR="00777DCB" w:rsidRPr="00A52585">
        <w:rPr>
          <w:rFonts w:hint="cs"/>
          <w:rtl/>
        </w:rPr>
        <w:t xml:space="preserve"> استلقى ثم وضع إحدى رجليه على الاخرى</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لا ينبغي لاحد من خلقي أن يفعل هذا "</w:t>
      </w:r>
      <w:r w:rsidR="00DB731D" w:rsidRPr="00A52585">
        <w:rPr>
          <w:rFonts w:hint="cs"/>
          <w:rtl/>
        </w:rPr>
        <w:t>،</w:t>
      </w:r>
      <w:r w:rsidR="00777DCB" w:rsidRPr="00A52585">
        <w:rPr>
          <w:rFonts w:hint="cs"/>
          <w:rtl/>
        </w:rPr>
        <w:t xml:space="preserve"> قال أبو سعيد</w:t>
      </w:r>
      <w:r w:rsidRPr="00A52585">
        <w:rPr>
          <w:rFonts w:hint="cs"/>
          <w:rtl/>
        </w:rPr>
        <w:t>:</w:t>
      </w:r>
      <w:r w:rsidR="00777DCB" w:rsidRPr="00A52585">
        <w:rPr>
          <w:rFonts w:hint="cs"/>
          <w:rtl/>
        </w:rPr>
        <w:t xml:space="preserve"> لا جرم لا أفعله أبدا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موضوع لأنّه منكر جدا</w:t>
      </w:r>
      <w:r w:rsidR="00DB731D" w:rsidRPr="00A52585">
        <w:rPr>
          <w:rFonts w:hint="cs"/>
          <w:sz w:val="24"/>
          <w:szCs w:val="24"/>
          <w:rtl/>
        </w:rPr>
        <w:t>،</w:t>
      </w:r>
      <w:r w:rsidR="00777DCB" w:rsidRPr="00A52585">
        <w:rPr>
          <w:rFonts w:hint="cs"/>
          <w:sz w:val="24"/>
          <w:szCs w:val="24"/>
          <w:rtl/>
        </w:rPr>
        <w:t xml:space="preserve"> ولان البيهقي ذكر أبطاله في كتابه " الاسماء والصفات " ص </w:t>
      </w:r>
      <w:r w:rsidRPr="00A52585">
        <w:rPr>
          <w:rFonts w:hint="cs"/>
          <w:sz w:val="24"/>
          <w:szCs w:val="24"/>
          <w:rtl/>
        </w:rPr>
        <w:t>(</w:t>
      </w:r>
      <w:r w:rsidR="00777DCB" w:rsidRPr="00A52585">
        <w:rPr>
          <w:rFonts w:hint="cs"/>
          <w:sz w:val="24"/>
          <w:szCs w:val="24"/>
          <w:rtl/>
        </w:rPr>
        <w:t>357</w:t>
      </w:r>
      <w:r w:rsidRPr="00A52585">
        <w:rPr>
          <w:rFonts w:hint="cs"/>
          <w:sz w:val="24"/>
          <w:szCs w:val="24"/>
          <w:rtl/>
        </w:rPr>
        <w:t>)</w:t>
      </w:r>
      <w:r w:rsidR="00777DCB" w:rsidRPr="00A52585">
        <w:rPr>
          <w:rFonts w:hint="cs"/>
          <w:sz w:val="24"/>
          <w:szCs w:val="24"/>
          <w:rtl/>
        </w:rPr>
        <w:t xml:space="preserve"> بعدما رواه فقال ما نصه</w:t>
      </w:r>
      <w:r w:rsidRPr="00A52585">
        <w:rPr>
          <w:rFonts w:hint="cs"/>
          <w:sz w:val="24"/>
          <w:szCs w:val="24"/>
          <w:rtl/>
        </w:rPr>
        <w:t>:</w:t>
      </w:r>
      <w:r w:rsidR="00777DCB" w:rsidRPr="00A52585">
        <w:rPr>
          <w:rFonts w:hint="cs"/>
          <w:sz w:val="24"/>
          <w:szCs w:val="24"/>
          <w:rtl/>
        </w:rPr>
        <w:t xml:space="preserve"> أخبرنا أبو جعفر </w:t>
      </w:r>
      <w:proofErr w:type="spellStart"/>
      <w:r w:rsidR="00777DCB" w:rsidRPr="00A52585">
        <w:rPr>
          <w:rFonts w:hint="cs"/>
          <w:sz w:val="24"/>
          <w:szCs w:val="24"/>
          <w:rtl/>
        </w:rPr>
        <w:t>الغرابي</w:t>
      </w:r>
      <w:proofErr w:type="spellEnd"/>
      <w:r w:rsidR="00777DCB" w:rsidRPr="00A52585">
        <w:rPr>
          <w:rFonts w:hint="cs"/>
          <w:sz w:val="24"/>
          <w:szCs w:val="24"/>
          <w:rtl/>
        </w:rPr>
        <w:t xml:space="preserve"> أنا أبو العباس الصبغي </w:t>
      </w:r>
      <w:proofErr w:type="spellStart"/>
      <w:r w:rsidR="00777DCB" w:rsidRPr="00A52585">
        <w:rPr>
          <w:rFonts w:hint="cs"/>
          <w:sz w:val="24"/>
          <w:szCs w:val="24"/>
          <w:rtl/>
        </w:rPr>
        <w:t>نا</w:t>
      </w:r>
      <w:proofErr w:type="spellEnd"/>
      <w:r w:rsidR="00777DCB" w:rsidRPr="00A52585">
        <w:rPr>
          <w:rFonts w:hint="cs"/>
          <w:sz w:val="24"/>
          <w:szCs w:val="24"/>
          <w:rtl/>
        </w:rPr>
        <w:t xml:space="preserve"> الحسن بن علي بن زياد </w:t>
      </w:r>
      <w:proofErr w:type="spellStart"/>
      <w:r w:rsidR="00777DCB" w:rsidRPr="00A52585">
        <w:rPr>
          <w:rFonts w:hint="cs"/>
          <w:sz w:val="24"/>
          <w:szCs w:val="24"/>
          <w:rtl/>
        </w:rPr>
        <w:t>نا</w:t>
      </w:r>
      <w:proofErr w:type="spellEnd"/>
      <w:r w:rsidR="00777DCB" w:rsidRPr="00A52585">
        <w:rPr>
          <w:rFonts w:hint="cs"/>
          <w:sz w:val="24"/>
          <w:szCs w:val="24"/>
          <w:rtl/>
        </w:rPr>
        <w:t xml:space="preserve"> أبو أويس حدثني ابن أبي الزناد عبد الرحمن عن هشام بن عروة عن عروة أن الزبير بن العوام سمع رجلا يحدث حديثا عن النبي صلى الله عليه وسلم فاستمع الزبير له حتى إذا قضى الرجل حديثه قال له الزبير</w:t>
      </w:r>
      <w:r w:rsidRPr="00A52585">
        <w:rPr>
          <w:rFonts w:hint="cs"/>
          <w:sz w:val="24"/>
          <w:szCs w:val="24"/>
          <w:rtl/>
        </w:rPr>
        <w:t>:</w:t>
      </w:r>
      <w:r w:rsidR="00777DCB" w:rsidRPr="00A52585">
        <w:rPr>
          <w:rFonts w:hint="cs"/>
          <w:sz w:val="24"/>
          <w:szCs w:val="24"/>
          <w:rtl/>
        </w:rPr>
        <w:t xml:space="preserve"> أنت سمعت هذا من رسول الله صلى الله عليه وسلم</w:t>
      </w:r>
      <w:r w:rsidR="00F95886" w:rsidRPr="00A52585">
        <w:rPr>
          <w:rFonts w:hint="cs"/>
          <w:sz w:val="24"/>
          <w:szCs w:val="24"/>
          <w:rtl/>
        </w:rPr>
        <w:t>؟</w:t>
      </w:r>
      <w:r w:rsidR="00777DCB" w:rsidRPr="00A52585">
        <w:rPr>
          <w:rFonts w:hint="cs"/>
          <w:sz w:val="24"/>
          <w:szCs w:val="24"/>
          <w:rtl/>
        </w:rPr>
        <w:t xml:space="preserve"> فقال الرجل</w:t>
      </w:r>
      <w:r w:rsidRPr="00A52585">
        <w:rPr>
          <w:rFonts w:hint="cs"/>
          <w:sz w:val="24"/>
          <w:szCs w:val="24"/>
          <w:rtl/>
        </w:rPr>
        <w:t>:</w:t>
      </w:r>
      <w:r w:rsidR="00777DCB" w:rsidRPr="00A52585">
        <w:rPr>
          <w:rFonts w:hint="cs"/>
          <w:sz w:val="24"/>
          <w:szCs w:val="24"/>
          <w:rtl/>
        </w:rPr>
        <w:t xml:space="preserve"> نعم</w:t>
      </w:r>
      <w:r w:rsidR="00DB731D" w:rsidRPr="00A52585">
        <w:rPr>
          <w:rFonts w:hint="cs"/>
          <w:sz w:val="24"/>
          <w:szCs w:val="24"/>
          <w:rtl/>
        </w:rPr>
        <w:t>،</w:t>
      </w:r>
      <w:r w:rsidR="00777DCB" w:rsidRPr="00A52585">
        <w:rPr>
          <w:rFonts w:hint="cs"/>
          <w:sz w:val="24"/>
          <w:szCs w:val="24"/>
          <w:rtl/>
        </w:rPr>
        <w:t xml:space="preserve"> قال هذا وأشباهه مما يمنعنا أن نحدث عن النبي صلى الله عليه وسلم</w:t>
      </w:r>
      <w:r w:rsidR="00DB731D" w:rsidRPr="00A52585">
        <w:rPr>
          <w:rFonts w:hint="cs"/>
          <w:sz w:val="24"/>
          <w:szCs w:val="24"/>
          <w:rtl/>
        </w:rPr>
        <w:t>،</w:t>
      </w:r>
      <w:r w:rsidR="00777DCB" w:rsidRPr="00A52585">
        <w:rPr>
          <w:rFonts w:hint="cs"/>
          <w:sz w:val="24"/>
          <w:szCs w:val="24"/>
          <w:rtl/>
        </w:rPr>
        <w:t xml:space="preserve"> قد لعمري سمعت هذا من رسول الله صلى الله عليه وسلم وأنا يومئذ حاضر ولكن رسول الله صلى الله عليه وسلم </w:t>
      </w:r>
      <w:proofErr w:type="spellStart"/>
      <w:r w:rsidR="00777DCB" w:rsidRPr="00A52585">
        <w:rPr>
          <w:rFonts w:hint="cs"/>
          <w:sz w:val="24"/>
          <w:szCs w:val="24"/>
          <w:rtl/>
        </w:rPr>
        <w:t>إبتدأ</w:t>
      </w:r>
      <w:proofErr w:type="spellEnd"/>
      <w:r w:rsidR="00777DCB" w:rsidRPr="00A52585">
        <w:rPr>
          <w:rFonts w:hint="cs"/>
          <w:sz w:val="24"/>
          <w:szCs w:val="24"/>
          <w:rtl/>
        </w:rPr>
        <w:t xml:space="preserve"> هذا الحديث فحدثناه عن رجل من أهل الكتاب حدثه إياه</w:t>
      </w:r>
      <w:r w:rsidR="00DB731D" w:rsidRPr="00A52585">
        <w:rPr>
          <w:rFonts w:hint="cs"/>
          <w:sz w:val="24"/>
          <w:szCs w:val="24"/>
          <w:rtl/>
        </w:rPr>
        <w:t>،</w:t>
      </w:r>
      <w:r w:rsidR="00777DCB" w:rsidRPr="00A52585">
        <w:rPr>
          <w:rFonts w:hint="cs"/>
          <w:sz w:val="24"/>
          <w:szCs w:val="24"/>
          <w:rtl/>
        </w:rPr>
        <w:t xml:space="preserve"> فجئت أنت يومئذ بعد أن قضى صدر الحديث وذكر الرجل الذي من أهل الكتاب فظننت أنه من حديث رسول الله صلى الله عليه وسلم</w:t>
      </w:r>
      <w:r w:rsidR="00897A24" w:rsidRPr="00A52585">
        <w:rPr>
          <w:rFonts w:hint="cs"/>
          <w:sz w:val="24"/>
          <w:szCs w:val="24"/>
          <w:rtl/>
        </w:rPr>
        <w:t>.</w:t>
      </w:r>
      <w:r w:rsidR="00777DCB" w:rsidRPr="00A52585">
        <w:rPr>
          <w:rFonts w:hint="cs"/>
          <w:sz w:val="24"/>
          <w:szCs w:val="24"/>
          <w:rtl/>
        </w:rPr>
        <w:t xml:space="preserve"> قال الشيخ - البيهقي -</w:t>
      </w:r>
      <w:r w:rsidRPr="00A52585">
        <w:rPr>
          <w:rFonts w:hint="cs"/>
          <w:sz w:val="24"/>
          <w:szCs w:val="24"/>
          <w:rtl/>
        </w:rPr>
        <w:t>:</w:t>
      </w:r>
      <w:r w:rsidR="00777DCB" w:rsidRPr="00A52585">
        <w:rPr>
          <w:rFonts w:hint="cs"/>
          <w:sz w:val="24"/>
          <w:szCs w:val="24"/>
          <w:rtl/>
        </w:rPr>
        <w:t xml:space="preserve"> " ولهذا الوجه من الاحتمال ترك أهل النظر من أصحابنا الاحتجاج بأخبار الآحاد في صفات الله تعالى</w:t>
      </w:r>
      <w:r w:rsidR="00DB731D" w:rsidRPr="00A52585">
        <w:rPr>
          <w:rFonts w:hint="cs"/>
          <w:sz w:val="24"/>
          <w:szCs w:val="24"/>
          <w:rtl/>
        </w:rPr>
        <w:t>،</w:t>
      </w:r>
      <w:r w:rsidR="00777DCB" w:rsidRPr="00A52585">
        <w:rPr>
          <w:rFonts w:hint="cs"/>
          <w:sz w:val="24"/>
          <w:szCs w:val="24"/>
          <w:rtl/>
        </w:rPr>
        <w:t xml:space="preserve"> إذا لم يكن لما انفرد منها أصل في الكتاب أو الاجماع واشتغلوا بتأويله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الحديث مخالف لقوله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ولقد خلقنا السموات والارض وما بينهما في ستة</w:t>
      </w:r>
      <w:r w:rsidRPr="00A52585">
        <w:rPr>
          <w:rFonts w:hint="cs"/>
          <w:sz w:val="24"/>
          <w:szCs w:val="24"/>
          <w:rtl/>
        </w:rPr>
        <w:t>]</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وقد رواه عبد الله بن أحمد عن أبي بكر محمد بن اسحاق الصاغاني قال</w:t>
      </w:r>
      <w:r w:rsidRPr="00A52585">
        <w:rPr>
          <w:rFonts w:hint="cs"/>
          <w:rtl/>
        </w:rPr>
        <w:t>:</w:t>
      </w:r>
      <w:r w:rsidR="00777DCB" w:rsidRPr="00A52585">
        <w:rPr>
          <w:rFonts w:hint="cs"/>
          <w:rtl/>
        </w:rPr>
        <w:t xml:space="preserve"> حدثني إبراهيم بن المنذر</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حدثنا محمد بن فليح عن سعيد بن الحارث عن عبيد الله بن حنين</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قال عبد الله بن أحمد بن حنبل</w:t>
      </w:r>
      <w:r w:rsidRPr="00A52585">
        <w:rPr>
          <w:rFonts w:hint="cs"/>
          <w:rtl/>
        </w:rPr>
        <w:t>:</w:t>
      </w:r>
      <w:r w:rsidR="00777DCB" w:rsidRPr="00A52585">
        <w:rPr>
          <w:rFonts w:hint="cs"/>
          <w:rtl/>
        </w:rPr>
        <w:t xml:space="preserve"> ما رأيت هذا الحديث في ديوان من دواوين الشريعة المعتمد عليها</w:t>
      </w:r>
      <w:r w:rsidR="00DB731D" w:rsidRPr="00A52585">
        <w:rPr>
          <w:rFonts w:hint="cs"/>
          <w:rtl/>
        </w:rPr>
        <w:t>،</w:t>
      </w:r>
      <w:r w:rsidR="00777DCB" w:rsidRPr="00A52585">
        <w:rPr>
          <w:rFonts w:hint="cs"/>
          <w:rtl/>
        </w:rPr>
        <w:t xml:space="preserve"> وكان أحمد بن حنبل يذم ابراهيم بن المنذر ويتكلم فيه</w:t>
      </w:r>
      <w:r w:rsidR="00DB731D" w:rsidRPr="00A52585">
        <w:rPr>
          <w:rFonts w:hint="cs"/>
          <w:rtl/>
        </w:rPr>
        <w:t>،</w:t>
      </w:r>
      <w:r w:rsidR="00777DCB" w:rsidRPr="00A52585">
        <w:rPr>
          <w:rFonts w:hint="cs"/>
          <w:rtl/>
        </w:rPr>
        <w:t xml:space="preserve"> وقال زكريا الساجي عنده </w:t>
      </w:r>
      <w:r w:rsidR="00777DCB" w:rsidRPr="00A52585">
        <w:rPr>
          <w:rFonts w:hint="cs"/>
          <w:rtl/>
        </w:rPr>
        <w:lastRenderedPageBreak/>
        <w:t>مناكير</w:t>
      </w:r>
      <w:r w:rsidR="00DB731D" w:rsidRPr="00A52585">
        <w:rPr>
          <w:rFonts w:hint="cs"/>
          <w:rtl/>
        </w:rPr>
        <w:t>،</w:t>
      </w:r>
      <w:r w:rsidR="00777DCB" w:rsidRPr="00A52585">
        <w:rPr>
          <w:rFonts w:hint="cs"/>
          <w:rtl/>
        </w:rPr>
        <w:t xml:space="preserve"> وقال يحيى بن معين</w:t>
      </w:r>
      <w:r w:rsidRPr="00A52585">
        <w:rPr>
          <w:rFonts w:hint="cs"/>
          <w:rtl/>
        </w:rPr>
        <w:t>:</w:t>
      </w:r>
      <w:r w:rsidR="00777DCB" w:rsidRPr="00A52585">
        <w:rPr>
          <w:rFonts w:hint="cs"/>
          <w:rtl/>
        </w:rPr>
        <w:t xml:space="preserve"> فليح ليس حديثه بالجائز</w:t>
      </w:r>
      <w:r w:rsidR="00897A24" w:rsidRPr="00A52585">
        <w:rPr>
          <w:rFonts w:hint="cs"/>
          <w:rtl/>
        </w:rPr>
        <w:t>.</w:t>
      </w:r>
      <w:r w:rsidR="00777DCB" w:rsidRPr="00A52585">
        <w:rPr>
          <w:rFonts w:hint="cs"/>
          <w:rtl/>
        </w:rPr>
        <w:t xml:space="preserve"> وقال مرة</w:t>
      </w:r>
      <w:r w:rsidRPr="00A52585">
        <w:rPr>
          <w:rFonts w:hint="cs"/>
          <w:rtl/>
        </w:rPr>
        <w:t>:</w:t>
      </w:r>
      <w:r w:rsidR="00777DCB" w:rsidRPr="00A52585">
        <w:rPr>
          <w:rFonts w:hint="cs"/>
          <w:rtl/>
        </w:rPr>
        <w:t xml:space="preserve"> هو ضعيف وقال النسائي</w:t>
      </w:r>
      <w:r w:rsidRPr="00A52585">
        <w:rPr>
          <w:rFonts w:hint="cs"/>
          <w:rtl/>
        </w:rPr>
        <w:t>:</w:t>
      </w:r>
      <w:r w:rsidR="00777DCB" w:rsidRPr="00A52585">
        <w:rPr>
          <w:rFonts w:hint="cs"/>
          <w:rtl/>
        </w:rPr>
        <w:t xml:space="preserve"> ليس بالقوي</w:t>
      </w:r>
      <w:r w:rsidR="00DB731D" w:rsidRPr="00A52585">
        <w:rPr>
          <w:rFonts w:hint="cs"/>
          <w:rtl/>
        </w:rPr>
        <w:t>،</w:t>
      </w:r>
      <w:r w:rsidR="00777DCB" w:rsidRPr="00A52585">
        <w:rPr>
          <w:rFonts w:hint="cs"/>
          <w:rtl/>
        </w:rPr>
        <w:t xml:space="preserve"> وأما عبيد بن حنين فقال البخاري</w:t>
      </w:r>
      <w:r w:rsidRPr="00A52585">
        <w:rPr>
          <w:rFonts w:hint="cs"/>
          <w:rtl/>
        </w:rPr>
        <w:t>:</w:t>
      </w:r>
      <w:r w:rsidR="00777DCB" w:rsidRPr="00A52585">
        <w:rPr>
          <w:rFonts w:hint="cs"/>
          <w:rtl/>
        </w:rPr>
        <w:t xml:space="preserve"> لا يصح حديثه في أهل المدينة</w:t>
      </w:r>
      <w:r w:rsidR="00DB731D" w:rsidRPr="00A52585">
        <w:rPr>
          <w:rFonts w:hint="cs"/>
          <w:rtl/>
        </w:rPr>
        <w:t>،</w:t>
      </w:r>
      <w:r w:rsidR="00777DCB" w:rsidRPr="00A52585">
        <w:rPr>
          <w:rFonts w:hint="cs"/>
          <w:rtl/>
        </w:rPr>
        <w:t xml:space="preserve"> وقال أبو بكر البيهقي</w:t>
      </w:r>
      <w:r w:rsidRPr="00A52585">
        <w:rPr>
          <w:rFonts w:hint="cs"/>
          <w:rtl/>
        </w:rPr>
        <w:t>:</w:t>
      </w:r>
      <w:r w:rsidR="00777DCB" w:rsidRPr="00A52585">
        <w:rPr>
          <w:rFonts w:hint="cs"/>
          <w:rtl/>
        </w:rPr>
        <w:t xml:space="preserve"> إذا كان فليح مختلفا في جواز الاحتجاج عند الحفاظ به لم يثبت بروايته مثل هذا الامر العظيم</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وفي الحديث علة أخرى</w:t>
      </w:r>
      <w:r w:rsidR="00DB731D" w:rsidRPr="00A52585">
        <w:rPr>
          <w:rFonts w:hint="cs"/>
          <w:rtl/>
        </w:rPr>
        <w:t>،</w:t>
      </w:r>
      <w:r w:rsidR="00777DCB" w:rsidRPr="00A52585">
        <w:rPr>
          <w:rFonts w:hint="cs"/>
          <w:rtl/>
        </w:rPr>
        <w:t xml:space="preserve"> وهي أن قتادة بن النعمان مات في خلافة عمر بن الخطاب رضي الله عنه</w:t>
      </w:r>
      <w:r w:rsidR="00DB731D" w:rsidRPr="00A52585">
        <w:rPr>
          <w:rFonts w:hint="cs"/>
          <w:rtl/>
        </w:rPr>
        <w:t>،</w:t>
      </w:r>
      <w:r w:rsidR="00777DCB" w:rsidRPr="00A52585">
        <w:rPr>
          <w:rFonts w:hint="cs"/>
          <w:rtl/>
        </w:rPr>
        <w:t xml:space="preserve"> وعبيد بن حنين مات سنة خمس ومائة</w:t>
      </w:r>
      <w:r w:rsidR="00897A24" w:rsidRPr="00A52585">
        <w:rPr>
          <w:rFonts w:hint="cs"/>
          <w:rtl/>
        </w:rPr>
        <w:t>.</w:t>
      </w:r>
      <w:r w:rsidR="00777DCB" w:rsidRPr="00A52585">
        <w:rPr>
          <w:rFonts w:hint="cs"/>
          <w:rtl/>
        </w:rPr>
        <w:t xml:space="preserve"> وله خمس وسبعون سنة</w:t>
      </w:r>
      <w:r w:rsidR="00DB731D" w:rsidRPr="00A52585">
        <w:rPr>
          <w:rFonts w:hint="cs"/>
          <w:rtl/>
        </w:rPr>
        <w:t>،</w:t>
      </w:r>
      <w:r w:rsidR="00777DCB" w:rsidRPr="00A52585">
        <w:rPr>
          <w:rFonts w:hint="cs"/>
          <w:rtl/>
        </w:rPr>
        <w:t xml:space="preserve"> في قول الواقدي</w:t>
      </w:r>
      <w:r w:rsidR="00DB731D" w:rsidRPr="00A52585">
        <w:rPr>
          <w:rFonts w:hint="cs"/>
          <w:rtl/>
        </w:rPr>
        <w:t>،</w:t>
      </w:r>
      <w:r w:rsidR="00777DCB" w:rsidRPr="00A52585">
        <w:rPr>
          <w:rFonts w:hint="cs"/>
          <w:rtl/>
        </w:rPr>
        <w:t xml:space="preserve"> فتكون روايته عن قتادة بن النعمان منقطعة</w:t>
      </w:r>
      <w:r w:rsidR="00DB731D" w:rsidRPr="00A52585">
        <w:rPr>
          <w:rFonts w:hint="cs"/>
          <w:rtl/>
        </w:rPr>
        <w:t>،</w:t>
      </w:r>
      <w:r w:rsidR="00777DCB" w:rsidRPr="00A52585">
        <w:rPr>
          <w:rFonts w:hint="cs"/>
          <w:rtl/>
        </w:rPr>
        <w:t xml:space="preserve"> وقول الراوي</w:t>
      </w:r>
      <w:r w:rsidRPr="00A52585">
        <w:rPr>
          <w:rFonts w:hint="cs"/>
          <w:rtl/>
        </w:rPr>
        <w:t>:</w:t>
      </w:r>
      <w:r w:rsidR="00777DCB" w:rsidRPr="00A52585">
        <w:rPr>
          <w:rFonts w:hint="cs"/>
          <w:rtl/>
        </w:rPr>
        <w:t xml:space="preserve"> فانطلقنا حتى دخلنا على أبي سعيد لا يرجع إلى عبيد بن حنين وإنما يرجع إلى من أرسله عنه ونحن لا نعرفه قال</w:t>
      </w:r>
      <w:r w:rsidRPr="00A52585">
        <w:rPr>
          <w:rFonts w:hint="cs"/>
          <w:rtl/>
        </w:rPr>
        <w:t>:</w:t>
      </w:r>
      <w:r w:rsidR="00777DCB" w:rsidRPr="00A52585">
        <w:rPr>
          <w:rFonts w:hint="cs"/>
          <w:rtl/>
        </w:rPr>
        <w:t xml:space="preserve"> ولا نقبل المراسيل في الاحكام فكيف في هذا الامر العظيم</w:t>
      </w:r>
      <w:r w:rsidR="00DB731D" w:rsidRPr="00A52585">
        <w:rPr>
          <w:rFonts w:hint="cs"/>
          <w:rtl/>
        </w:rPr>
        <w:t>،</w:t>
      </w:r>
      <w:r w:rsidR="00777DCB" w:rsidRPr="00A52585">
        <w:rPr>
          <w:rFonts w:hint="cs"/>
          <w:rtl/>
        </w:rPr>
        <w:t xml:space="preserve"> قال الامام أحمد</w:t>
      </w:r>
      <w:r w:rsidRPr="00A52585">
        <w:rPr>
          <w:rFonts w:hint="cs"/>
          <w:rtl/>
        </w:rPr>
        <w:t>:</w:t>
      </w:r>
      <w:r w:rsidR="00777DCB" w:rsidRPr="00A52585">
        <w:rPr>
          <w:rFonts w:hint="cs"/>
          <w:rtl/>
        </w:rPr>
        <w:t xml:space="preserve"> ثم لو صح طريقه احتمل أن يكون رسول الله - صلى الله عليه وسلم - حدث به عن بعض أهل الكتاب على طريق الانكار عليهم</w:t>
      </w:r>
      <w:r w:rsidR="00DB731D" w:rsidRPr="00A52585">
        <w:rPr>
          <w:rFonts w:hint="cs"/>
          <w:rtl/>
        </w:rPr>
        <w:t>،</w:t>
      </w:r>
      <w:r w:rsidR="00777DCB" w:rsidRPr="00A52585">
        <w:rPr>
          <w:rFonts w:hint="cs"/>
          <w:rtl/>
        </w:rPr>
        <w:t xml:space="preserve"> فلم يفهم قتادة إنكاره عليهم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ومن هذا الفن حديث رويناه</w:t>
      </w:r>
      <w:r w:rsidR="00DB731D" w:rsidRPr="00A52585">
        <w:rPr>
          <w:rFonts w:hint="cs"/>
          <w:rtl/>
        </w:rPr>
        <w:t>،</w:t>
      </w:r>
      <w:r w:rsidR="00777DCB" w:rsidRPr="00A52585">
        <w:rPr>
          <w:rFonts w:hint="cs"/>
          <w:rtl/>
        </w:rPr>
        <w:t xml:space="preserve"> أن الزبير سمع رجلا يحدث عن رسول الله - صلى الله عليه وسلم - فاستمع له الزبير حتى إذا قضى الرجل حديثه</w:t>
      </w:r>
      <w:r w:rsidR="00DB731D" w:rsidRPr="00A52585">
        <w:rPr>
          <w:rFonts w:hint="cs"/>
          <w:rtl/>
        </w:rPr>
        <w:t>،</w:t>
      </w:r>
      <w:r w:rsidR="00777DCB" w:rsidRPr="00A52585">
        <w:rPr>
          <w:rFonts w:hint="cs"/>
          <w:rtl/>
        </w:rPr>
        <w:t xml:space="preserve"> قال له الزبير</w:t>
      </w:r>
      <w:r w:rsidRPr="00A52585">
        <w:rPr>
          <w:rFonts w:hint="cs"/>
          <w:rtl/>
        </w:rPr>
        <w:t>:</w:t>
      </w:r>
      <w:r w:rsidR="00777DCB" w:rsidRPr="00A52585">
        <w:rPr>
          <w:rFonts w:hint="cs"/>
          <w:rtl/>
        </w:rPr>
        <w:t xml:space="preserve"> " أنت سمعت هذا من رسول الله - صلى الله عليه وسلم -</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نعم</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هذا وأشباهه يمنعنا أن نحدث عن رسول الله صلى الله عليه وسلم</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لعمري سمعت هذا من رسول الله - صلى الله عليه وسلم - وأنا يومئذ حاضر ولكن رسول الله - صلى الله عليه وسلم - ابتدأ بهذا الحديث</w:t>
      </w:r>
      <w:r w:rsidR="00DB731D" w:rsidRPr="00A52585">
        <w:rPr>
          <w:rFonts w:hint="cs"/>
          <w:rtl/>
        </w:rPr>
        <w:t>،</w:t>
      </w:r>
      <w:r w:rsidR="00777DCB" w:rsidRPr="00A52585">
        <w:rPr>
          <w:rFonts w:hint="cs"/>
          <w:rtl/>
        </w:rPr>
        <w:t xml:space="preserve"> فحدثناه عن رجل من أهل الكتاب حدثه إياه</w:t>
      </w:r>
      <w:r w:rsidR="00DB731D" w:rsidRPr="00A52585">
        <w:rPr>
          <w:rFonts w:hint="cs"/>
          <w:rtl/>
        </w:rPr>
        <w:t>،</w:t>
      </w:r>
      <w:r w:rsidR="00777DCB" w:rsidRPr="00A52585">
        <w:rPr>
          <w:rFonts w:hint="cs"/>
          <w:rtl/>
        </w:rPr>
        <w:t xml:space="preserve"> فجئت أنت يومئذ بعد انقضاء صدر الحديث</w:t>
      </w:r>
      <w:r w:rsidR="00DB731D" w:rsidRPr="00A52585">
        <w:rPr>
          <w:rFonts w:hint="cs"/>
          <w:rtl/>
        </w:rPr>
        <w:t>،</w:t>
      </w:r>
      <w:r w:rsidR="00777DCB" w:rsidRPr="00A52585">
        <w:rPr>
          <w:rFonts w:hint="cs"/>
          <w:rtl/>
        </w:rPr>
        <w:t xml:space="preserve"> وذكر الرجل الذي من أهل الكتاب فظننت أنه من حديث رسول الله صلى الله عليه وسلم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وغالب الظن أن الاشارة في حديث الزبير إلى حديث قتادة</w:t>
      </w:r>
      <w:r w:rsidR="00DB731D" w:rsidRPr="00A52585">
        <w:rPr>
          <w:rFonts w:hint="cs"/>
          <w:rtl/>
        </w:rPr>
        <w:t>،</w:t>
      </w:r>
      <w:r w:rsidR="00777DCB" w:rsidRPr="00A52585">
        <w:rPr>
          <w:rFonts w:hint="cs"/>
          <w:rtl/>
        </w:rPr>
        <w:t xml:space="preserve"> فإن أهل الكتاب قالوا</w:t>
      </w:r>
      <w:r w:rsidRPr="00A52585">
        <w:rPr>
          <w:rFonts w:hint="cs"/>
          <w:rtl/>
        </w:rPr>
        <w:t>:</w:t>
      </w:r>
      <w:r w:rsidR="00777DCB" w:rsidRPr="00A52585">
        <w:rPr>
          <w:rFonts w:hint="cs"/>
          <w:rtl/>
        </w:rPr>
        <w:t xml:space="preserve"> إن الله تعالى لما خلق السموات والارض استراح فنزل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مسنا من لغوب</w:t>
      </w:r>
      <w:r w:rsidRPr="00A52585">
        <w:rPr>
          <w:rFonts w:hint="cs"/>
          <w:rtl/>
        </w:rPr>
        <w:t>)</w:t>
      </w:r>
      <w:r w:rsidR="00777DCB" w:rsidRPr="00A52585">
        <w:rPr>
          <w:rFonts w:hint="cs"/>
          <w:rtl/>
        </w:rPr>
        <w:t xml:space="preserve"> ق</w:t>
      </w:r>
      <w:r w:rsidRPr="00A52585">
        <w:rPr>
          <w:rFonts w:hint="cs"/>
          <w:rtl/>
        </w:rPr>
        <w:t>:</w:t>
      </w:r>
      <w:r w:rsidR="00777DCB" w:rsidRPr="00A52585">
        <w:rPr>
          <w:rFonts w:hint="cs"/>
          <w:rtl/>
        </w:rPr>
        <w:t xml:space="preserve"> 38</w:t>
      </w:r>
      <w:r w:rsidR="00DB731D" w:rsidRPr="00A52585">
        <w:rPr>
          <w:rFonts w:hint="cs"/>
          <w:rtl/>
        </w:rPr>
        <w:t>،</w:t>
      </w:r>
      <w:r w:rsidR="00777DCB" w:rsidRPr="00A52585">
        <w:rPr>
          <w:rFonts w:hint="cs"/>
          <w:rtl/>
        </w:rPr>
        <w:t xml:space="preserve"> فيمكن أن يكون رسول الله - صلى الله عليه وسلم - حكى ذلك عنهم</w:t>
      </w:r>
      <w:r w:rsidR="00DB731D" w:rsidRPr="00A52585">
        <w:rPr>
          <w:rFonts w:hint="cs"/>
          <w:rtl/>
        </w:rPr>
        <w:t>،</w:t>
      </w:r>
      <w:r w:rsidR="00777DCB" w:rsidRPr="00A52585">
        <w:rPr>
          <w:rFonts w:hint="cs"/>
          <w:rtl/>
        </w:rPr>
        <w:t xml:space="preserve"> ولم يسمع قتادة أول الكلام</w:t>
      </w:r>
      <w:r w:rsidR="00DB731D" w:rsidRPr="00A52585">
        <w:rPr>
          <w:rFonts w:hint="cs"/>
          <w:rtl/>
        </w:rPr>
        <w:t>،</w:t>
      </w:r>
      <w:r w:rsidR="00777DCB" w:rsidRPr="00A52585">
        <w:rPr>
          <w:rFonts w:hint="cs"/>
          <w:rtl/>
        </w:rPr>
        <w:t xml:space="preserve"> وقد روى أبو عبد الرحمن ابن أحمد في كتاب " السنة " عن أبي سفيان قال</w:t>
      </w:r>
      <w:r w:rsidRPr="00A52585">
        <w:rPr>
          <w:rFonts w:hint="cs"/>
          <w:rtl/>
        </w:rPr>
        <w:t>:</w:t>
      </w:r>
      <w:r w:rsidR="00777DCB" w:rsidRPr="00A52585">
        <w:rPr>
          <w:rFonts w:hint="cs"/>
          <w:rtl/>
        </w:rPr>
        <w:t xml:space="preserve"> " رأيت الحسن قد وضع رجله اليمنى على شماله وهو قاعد</w:t>
      </w:r>
      <w:r w:rsidR="00DB731D" w:rsidRPr="00A52585">
        <w:rPr>
          <w:rFonts w:hint="cs"/>
          <w:rtl/>
        </w:rPr>
        <w:t>،</w:t>
      </w:r>
      <w:r w:rsidR="00777DCB" w:rsidRPr="00A52585">
        <w:rPr>
          <w:rFonts w:hint="cs"/>
          <w:rtl/>
        </w:rPr>
        <w:t xml:space="preserve"> فقلت</w:t>
      </w:r>
      <w:r w:rsidRPr="00A52585">
        <w:rPr>
          <w:rFonts w:hint="cs"/>
          <w:rtl/>
        </w:rPr>
        <w:t>:</w:t>
      </w:r>
      <w:r w:rsidR="00777DCB" w:rsidRPr="00A52585">
        <w:rPr>
          <w:rFonts w:hint="cs"/>
          <w:rtl/>
        </w:rPr>
        <w:t xml:space="preserve"> يا أبا سعيد تكره هذه القعدة</w:t>
      </w:r>
      <w:r w:rsidR="00897A24" w:rsidRPr="00A52585">
        <w:rPr>
          <w:rFonts w:hint="cs"/>
          <w:rtl/>
        </w:rPr>
        <w:t>.</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قاتل الله اليهود ثم قرأ</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ولقد خلقنا </w:t>
      </w:r>
      <w:proofErr w:type="gramStart"/>
      <w:r w:rsidR="00777DCB" w:rsidRPr="00A52585">
        <w:rPr>
          <w:rFonts w:hint="cs"/>
          <w:rtl/>
        </w:rPr>
        <w:t>السموات</w:t>
      </w:r>
      <w:proofErr w:type="gramEnd"/>
      <w:r w:rsidR="00777DCB" w:rsidRPr="00A52585">
        <w:rPr>
          <w:rFonts w:hint="cs"/>
          <w:rtl/>
        </w:rPr>
        <w:t xml:space="preserve"> والارض وما بينهما في ستة أيام وما مسنا من لغوب</w:t>
      </w:r>
      <w:r w:rsidRPr="00A52585">
        <w:rPr>
          <w:rFonts w:hint="cs"/>
          <w:rtl/>
        </w:rPr>
        <w:t>)</w:t>
      </w:r>
      <w:r w:rsidR="00777DCB" w:rsidRPr="00A52585">
        <w:rPr>
          <w:rFonts w:hint="cs"/>
          <w:rtl/>
        </w:rPr>
        <w:t xml:space="preserve"> ق 38</w:t>
      </w:r>
      <w:r w:rsidR="00897A24" w:rsidRPr="00A52585">
        <w:rPr>
          <w:rFonts w:hint="cs"/>
          <w:rtl/>
        </w:rPr>
        <w:t>.</w:t>
      </w:r>
      <w:r w:rsidR="00777DCB" w:rsidRPr="00A52585">
        <w:rPr>
          <w:rFonts w:hint="cs"/>
          <w:rtl/>
        </w:rPr>
        <w:t xml:space="preserve"> فعرفت ما عنى </w:t>
      </w:r>
      <w:proofErr w:type="spellStart"/>
      <w:r w:rsidR="00777DCB" w:rsidRPr="00A52585">
        <w:rPr>
          <w:rFonts w:hint="cs"/>
          <w:rtl/>
        </w:rPr>
        <w:t>فامسكت</w:t>
      </w:r>
      <w:proofErr w:type="spellEnd"/>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الاثر عن الحسن البصري رواه الطحاوي أيضا في " شرح معاني الآثار " </w:t>
      </w:r>
      <w:r w:rsidRPr="00A52585">
        <w:rPr>
          <w:rFonts w:hint="cs"/>
          <w:sz w:val="24"/>
          <w:szCs w:val="24"/>
          <w:rtl/>
        </w:rPr>
        <w:t>(</w:t>
      </w:r>
      <w:r w:rsidR="00777DCB" w:rsidRPr="00A52585">
        <w:rPr>
          <w:rFonts w:hint="cs"/>
          <w:sz w:val="24"/>
          <w:szCs w:val="24"/>
          <w:rtl/>
        </w:rPr>
        <w:t>2 / 361</w:t>
      </w:r>
      <w:r w:rsidRPr="00A52585">
        <w:rPr>
          <w:rFonts w:hint="cs"/>
          <w:sz w:val="24"/>
          <w:szCs w:val="24"/>
          <w:rtl/>
        </w:rPr>
        <w:t>)</w:t>
      </w:r>
      <w:r w:rsidR="00777DCB" w:rsidRPr="00A52585">
        <w:rPr>
          <w:rFonts w:hint="cs"/>
          <w:sz w:val="24"/>
          <w:szCs w:val="24"/>
          <w:rtl/>
        </w:rPr>
        <w:t xml:space="preserve"> بسند صحيح</w:t>
      </w:r>
      <w:r w:rsidRPr="00A52585">
        <w:rPr>
          <w:rFonts w:hint="cs"/>
          <w:rtl/>
        </w:rPr>
        <w:t>]</w:t>
      </w:r>
      <w:r w:rsidR="00777DCB" w:rsidRPr="00A52585">
        <w:rPr>
          <w:rFonts w:hint="cs"/>
          <w:rtl/>
        </w:rPr>
        <w:t>، قلت</w:t>
      </w:r>
      <w:r w:rsidRPr="00A52585">
        <w:rPr>
          <w:rFonts w:hint="cs"/>
          <w:rtl/>
        </w:rPr>
        <w:t>:</w:t>
      </w:r>
      <w:r w:rsidR="00777DCB" w:rsidRPr="00A52585">
        <w:rPr>
          <w:rFonts w:hint="cs"/>
          <w:rtl/>
        </w:rPr>
        <w:t xml:space="preserve"> إنما أشار الحسن إلى ما ذكرناه عن اليهود</w:t>
      </w:r>
      <w:r w:rsidR="00897A24" w:rsidRPr="00A52585">
        <w:rPr>
          <w:rFonts w:hint="cs"/>
          <w:rtl/>
        </w:rPr>
        <w:t>.</w:t>
      </w:r>
      <w:r w:rsidR="00777DCB" w:rsidRPr="00A52585">
        <w:rPr>
          <w:rFonts w:hint="cs"/>
          <w:rtl/>
        </w:rPr>
        <w:t xml:space="preserve"> وروينا عن العوام بن حوشب قال</w:t>
      </w:r>
      <w:r w:rsidRPr="00A52585">
        <w:rPr>
          <w:rFonts w:hint="cs"/>
          <w:rtl/>
        </w:rPr>
        <w:t>:</w:t>
      </w:r>
      <w:r w:rsidR="00777DCB" w:rsidRPr="00A52585">
        <w:rPr>
          <w:rFonts w:hint="cs"/>
          <w:rtl/>
        </w:rPr>
        <w:t xml:space="preserve"> سألت أبا مجلز عن رجل يجلس فوضع إحدى رجليه على الاخرى قال</w:t>
      </w:r>
      <w:r w:rsidRPr="00A52585">
        <w:rPr>
          <w:rFonts w:hint="cs"/>
          <w:rtl/>
        </w:rPr>
        <w:t>:</w:t>
      </w:r>
      <w:r w:rsidR="00777DCB" w:rsidRPr="00A52585">
        <w:rPr>
          <w:rFonts w:hint="cs"/>
          <w:rtl/>
        </w:rPr>
        <w:t xml:space="preserve"> لا بأس وانما ذكر ذاك اليهود زعموا ان الله عز وجل خلق السموات والارض وما بينهما في ستة أيام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تأول بعض </w:t>
      </w:r>
      <w:r w:rsidR="00777DCB" w:rsidRPr="00A52585">
        <w:rPr>
          <w:rFonts w:hint="cs"/>
          <w:rtl/>
        </w:rPr>
        <w:lastRenderedPageBreak/>
        <w:t>العلماء الحديث الذي نحن فيه على تقدير الصحة فقال</w:t>
      </w:r>
      <w:r w:rsidRPr="00A52585">
        <w:rPr>
          <w:rFonts w:hint="cs"/>
          <w:rtl/>
        </w:rPr>
        <w:t>:</w:t>
      </w:r>
      <w:r w:rsidR="00777DCB" w:rsidRPr="00A52585">
        <w:rPr>
          <w:rFonts w:hint="cs"/>
          <w:rtl/>
        </w:rPr>
        <w:t xml:space="preserve"> معنى استلقى أتم خلقه</w:t>
      </w:r>
      <w:r w:rsidR="00DB731D" w:rsidRPr="00A52585">
        <w:rPr>
          <w:rFonts w:hint="cs"/>
          <w:rtl/>
        </w:rPr>
        <w:t>،</w:t>
      </w:r>
      <w:r w:rsidR="00777DCB" w:rsidRPr="00A52585">
        <w:rPr>
          <w:rFonts w:hint="cs"/>
          <w:rtl/>
        </w:rPr>
        <w:t xml:space="preserve"> وفرغ يقال فلان بنى لفلان داره واستلقى على ظهره أي لم يبق له فيها عمل</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وضع رجلا على رجل أي وضع بعض المخلوقات على بعض</w:t>
      </w:r>
      <w:r w:rsidR="00DB731D" w:rsidRPr="00A52585">
        <w:rPr>
          <w:rFonts w:hint="cs"/>
          <w:rtl/>
        </w:rPr>
        <w:t>،</w:t>
      </w:r>
      <w:r w:rsidR="00777DCB" w:rsidRPr="00A52585">
        <w:rPr>
          <w:rFonts w:hint="cs"/>
          <w:rtl/>
        </w:rPr>
        <w:t xml:space="preserve"> وذهب القاضي أبو يعلى</w:t>
      </w:r>
      <w:r w:rsidRPr="00A52585">
        <w:rPr>
          <w:rFonts w:hint="cs"/>
          <w:rtl/>
        </w:rPr>
        <w:t xml:space="preserve"> </w:t>
      </w:r>
      <w:r w:rsidR="00777DCB" w:rsidRPr="00A52585">
        <w:rPr>
          <w:rFonts w:hint="cs"/>
          <w:rtl/>
        </w:rPr>
        <w:t>إلى جعل الاستلقاء صفة وأنه وضع رجلا على رجل ثم قال</w:t>
      </w:r>
      <w:r w:rsidRPr="00A52585">
        <w:rPr>
          <w:rFonts w:hint="cs"/>
          <w:rtl/>
        </w:rPr>
        <w:t>:</w:t>
      </w:r>
      <w:r w:rsidR="00777DCB" w:rsidRPr="00A52585">
        <w:rPr>
          <w:rFonts w:hint="cs"/>
          <w:rtl/>
        </w:rPr>
        <w:t xml:space="preserve"> لا على وجه يعقل معنا</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ويفيد الحديث إثبات رجلين</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ولو لم يعقله ما أثبت رجلين ولا نثبت صفات بمثل هذا الحديث المعلول</w:t>
      </w:r>
      <w:r w:rsidR="00DB731D" w:rsidRPr="00A52585">
        <w:rPr>
          <w:rFonts w:hint="cs"/>
          <w:rtl/>
        </w:rPr>
        <w:t>،</w:t>
      </w:r>
      <w:r w:rsidR="00777DCB" w:rsidRPr="00A52585">
        <w:rPr>
          <w:rFonts w:hint="cs"/>
          <w:rtl/>
        </w:rPr>
        <w:t xml:space="preserve"> ولو لم يكن معلولا لم نثبت صفة بأخبار آحاد</w:t>
      </w:r>
      <w:r w:rsidR="00897A24" w:rsidRPr="00A52585">
        <w:rPr>
          <w:rFonts w:hint="cs"/>
          <w:rtl/>
        </w:rPr>
        <w:t>.</w:t>
      </w:r>
      <w:r w:rsidR="00777DCB" w:rsidRPr="00A52585">
        <w:rPr>
          <w:rFonts w:hint="cs"/>
          <w:rtl/>
        </w:rPr>
        <w:t xml:space="preserve"> وقد صح عن رسول الله صلى الله عليه وسلم</w:t>
      </w:r>
      <w:r w:rsidR="00DB731D" w:rsidRPr="00A52585">
        <w:rPr>
          <w:rFonts w:hint="cs"/>
          <w:rtl/>
        </w:rPr>
        <w:t>،</w:t>
      </w:r>
      <w:r w:rsidR="00777DCB" w:rsidRPr="00A52585">
        <w:rPr>
          <w:rFonts w:hint="cs"/>
          <w:rtl/>
        </w:rPr>
        <w:t xml:space="preserve"> وأبي بكر وعمر</w:t>
      </w:r>
      <w:r w:rsidR="00DB731D" w:rsidRPr="00A52585">
        <w:rPr>
          <w:rFonts w:hint="cs"/>
          <w:rtl/>
        </w:rPr>
        <w:t>،</w:t>
      </w:r>
      <w:r w:rsidR="00777DCB" w:rsidRPr="00A52585">
        <w:rPr>
          <w:rFonts w:hint="cs"/>
          <w:rtl/>
        </w:rPr>
        <w:t xml:space="preserve"> أنهم كانوا يستلقون ويضعون رجلا على رجل وإنما يكره هذا لمن لا سراويل له</w:t>
      </w:r>
      <w:r w:rsidR="00DB731D" w:rsidRPr="00A52585">
        <w:rPr>
          <w:rFonts w:hint="cs"/>
          <w:rtl/>
        </w:rPr>
        <w:t>،</w:t>
      </w:r>
      <w:r w:rsidR="00777DCB" w:rsidRPr="00A52585">
        <w:rPr>
          <w:rFonts w:hint="cs"/>
          <w:rtl/>
        </w:rPr>
        <w:t xml:space="preserve"> </w:t>
      </w:r>
    </w:p>
    <w:p w14:paraId="236D03F5" w14:textId="641BB787" w:rsidR="00777DCB" w:rsidRPr="00A52585" w:rsidRDefault="0002035C" w:rsidP="0002035C">
      <w:pPr>
        <w:rPr>
          <w:b/>
          <w:rtl/>
        </w:rPr>
      </w:pPr>
      <w:r w:rsidRPr="00A52585">
        <w:rPr>
          <w:rFonts w:hint="cs"/>
          <w:bCs/>
          <w:u w:val="single"/>
          <w:rtl/>
        </w:rPr>
        <w:t>[</w:t>
      </w:r>
      <w:r w:rsidR="00777DCB" w:rsidRPr="00A52585">
        <w:rPr>
          <w:rFonts w:hint="cs"/>
          <w:bCs/>
          <w:u w:val="single"/>
          <w:rtl/>
        </w:rPr>
        <w:t>10</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العاشر</w:t>
      </w:r>
      <w:r w:rsidRPr="00A52585">
        <w:rPr>
          <w:rFonts w:hint="cs"/>
          <w:bCs/>
          <w:rtl/>
        </w:rPr>
        <w:t>]</w:t>
      </w:r>
      <w:r w:rsidRPr="00A52585">
        <w:rPr>
          <w:rFonts w:hint="cs"/>
          <w:rtl/>
        </w:rPr>
        <w:t>:</w:t>
      </w:r>
      <w:r w:rsidR="00777DCB" w:rsidRPr="00A52585">
        <w:rPr>
          <w:rFonts w:hint="cs"/>
          <w:rtl/>
        </w:rPr>
        <w:t xml:space="preserve"> روى القاضي أبو يعلى</w:t>
      </w:r>
      <w:r w:rsidRPr="00A52585">
        <w:rPr>
          <w:rFonts w:hint="cs"/>
          <w:rtl/>
        </w:rPr>
        <w:t xml:space="preserve"> </w:t>
      </w:r>
      <w:r w:rsidR="00777DCB" w:rsidRPr="00A52585">
        <w:rPr>
          <w:rFonts w:hint="cs"/>
          <w:rtl/>
        </w:rPr>
        <w:t>عن ابن عطية ان رجلا من المشركين سب رسول الله صلى الله عليه وسلم فحمل عليه رجل من المسلمين فقاتله وقتل الرجل</w:t>
      </w:r>
      <w:r w:rsidR="00DB731D" w:rsidRPr="00A52585">
        <w:rPr>
          <w:rFonts w:hint="cs"/>
          <w:rtl/>
        </w:rPr>
        <w:t>،</w:t>
      </w:r>
      <w:r w:rsidR="00777DCB" w:rsidRPr="00A52585">
        <w:rPr>
          <w:rFonts w:hint="cs"/>
          <w:rtl/>
        </w:rPr>
        <w:t xml:space="preserve"> فقال رسول الله صلى الله عليه وسلم</w:t>
      </w:r>
      <w:r w:rsidRPr="00A52585">
        <w:rPr>
          <w:rFonts w:hint="cs"/>
          <w:rtl/>
        </w:rPr>
        <w:t>:</w:t>
      </w:r>
      <w:r w:rsidR="00777DCB" w:rsidRPr="00A52585">
        <w:rPr>
          <w:rFonts w:hint="cs"/>
          <w:rtl/>
        </w:rPr>
        <w:t xml:space="preserve"> " ما تعجبون من نصر الله ورسوله لقي الله متكئا فقعد له </w:t>
      </w:r>
      <w:r w:rsidR="00777DCB" w:rsidRPr="00A52585">
        <w:rPr>
          <w:rFonts w:hint="cs"/>
          <w:sz w:val="24"/>
          <w:szCs w:val="24"/>
          <w:rtl/>
        </w:rPr>
        <w:t>"</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هذا حديث مقطوع بعيد الصحة</w:t>
      </w:r>
      <w:r w:rsidR="00DB731D" w:rsidRPr="00A52585">
        <w:rPr>
          <w:rFonts w:hint="cs"/>
          <w:rtl/>
        </w:rPr>
        <w:t>،</w:t>
      </w:r>
      <w:r w:rsidR="00777DCB" w:rsidRPr="00A52585">
        <w:rPr>
          <w:rFonts w:hint="cs"/>
          <w:rtl/>
        </w:rPr>
        <w:t xml:space="preserve"> ولو كان له وجه كان المعنى</w:t>
      </w:r>
      <w:r w:rsidRPr="00A52585">
        <w:rPr>
          <w:rFonts w:hint="cs"/>
          <w:rtl/>
        </w:rPr>
        <w:t>:</w:t>
      </w:r>
      <w:r w:rsidR="00777DCB" w:rsidRPr="00A52585">
        <w:rPr>
          <w:rFonts w:hint="cs"/>
          <w:rtl/>
        </w:rPr>
        <w:t xml:space="preserve"> فأقبل عليه وأنعم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أقف عليه للآن</w:t>
      </w:r>
      <w:r w:rsidR="00DB731D" w:rsidRPr="00A52585">
        <w:rPr>
          <w:rFonts w:hint="cs"/>
          <w:sz w:val="24"/>
          <w:szCs w:val="24"/>
          <w:rtl/>
        </w:rPr>
        <w:t>،</w:t>
      </w:r>
      <w:r w:rsidR="00777DCB" w:rsidRPr="00A52585">
        <w:rPr>
          <w:rFonts w:hint="cs"/>
          <w:sz w:val="24"/>
          <w:szCs w:val="24"/>
          <w:rtl/>
        </w:rPr>
        <w:t xml:space="preserve"> وقد قال المصنف فيه كما ترى مقطوع بعيد عن الصحة</w:t>
      </w:r>
      <w:r w:rsidRPr="00A52585">
        <w:rPr>
          <w:rFonts w:hint="cs"/>
          <w:sz w:val="24"/>
          <w:szCs w:val="24"/>
          <w:rtl/>
        </w:rPr>
        <w:t>]</w:t>
      </w:r>
    </w:p>
    <w:p w14:paraId="283D8E12" w14:textId="0321EF35" w:rsidR="00777DCB" w:rsidRPr="00A52585" w:rsidRDefault="0002035C" w:rsidP="0002035C">
      <w:pPr>
        <w:rPr>
          <w:b/>
          <w:rtl/>
        </w:rPr>
      </w:pPr>
      <w:r w:rsidRPr="00A52585">
        <w:rPr>
          <w:rFonts w:hint="cs"/>
          <w:bCs/>
          <w:u w:val="single"/>
          <w:rtl/>
        </w:rPr>
        <w:t>[</w:t>
      </w:r>
      <w:r w:rsidR="00777DCB" w:rsidRPr="00A52585">
        <w:rPr>
          <w:rFonts w:hint="cs"/>
          <w:bCs/>
          <w:u w:val="single"/>
          <w:rtl/>
        </w:rPr>
        <w:t>11</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الحادي عشر</w:t>
      </w:r>
      <w:r w:rsidRPr="00A52585">
        <w:rPr>
          <w:rFonts w:hint="cs"/>
          <w:bCs/>
          <w:rtl/>
        </w:rPr>
        <w:t>]:</w:t>
      </w:r>
      <w:r w:rsidR="00777DCB" w:rsidRPr="00A52585">
        <w:rPr>
          <w:rFonts w:hint="cs"/>
          <w:rtl/>
        </w:rPr>
        <w:t xml:space="preserve"> روى البخاري ومسلم في الصحيحين</w:t>
      </w:r>
      <w:r w:rsidRPr="00A52585">
        <w:rPr>
          <w:rFonts w:hint="cs"/>
          <w:rtl/>
        </w:rPr>
        <w:t>:</w:t>
      </w:r>
      <w:r w:rsidR="00777DCB" w:rsidRPr="00A52585">
        <w:rPr>
          <w:rFonts w:hint="cs"/>
          <w:rtl/>
        </w:rPr>
        <w:t xml:space="preserve"> من حديث أنس بن مالك رضي الله عنه عن النبي صلى الله عليه وسلم قال</w:t>
      </w:r>
      <w:r w:rsidRPr="00A52585">
        <w:rPr>
          <w:rFonts w:hint="cs"/>
          <w:rtl/>
        </w:rPr>
        <w:t>:</w:t>
      </w:r>
      <w:r w:rsidR="00777DCB" w:rsidRPr="00A52585">
        <w:rPr>
          <w:rFonts w:hint="cs"/>
          <w:rtl/>
        </w:rPr>
        <w:t xml:space="preserve"> " لا تزال جهنم يلقى فيها وتقول</w:t>
      </w:r>
      <w:r w:rsidRPr="00A52585">
        <w:rPr>
          <w:rFonts w:hint="cs"/>
          <w:rtl/>
        </w:rPr>
        <w:t>:</w:t>
      </w:r>
      <w:r w:rsidR="00777DCB" w:rsidRPr="00A52585">
        <w:rPr>
          <w:rFonts w:hint="cs"/>
          <w:rtl/>
        </w:rPr>
        <w:t xml:space="preserve"> هل من </w:t>
      </w:r>
      <w:proofErr w:type="gramStart"/>
      <w:r w:rsidR="00777DCB" w:rsidRPr="00A52585">
        <w:rPr>
          <w:rFonts w:hint="cs"/>
          <w:rtl/>
        </w:rPr>
        <w:t>مزيد</w:t>
      </w:r>
      <w:r w:rsidR="00897A24" w:rsidRPr="00A52585">
        <w:rPr>
          <w:rFonts w:hint="cs"/>
          <w:rtl/>
        </w:rPr>
        <w:t>..</w:t>
      </w:r>
      <w:r w:rsidR="00F95886" w:rsidRPr="00A52585">
        <w:rPr>
          <w:rFonts w:hint="cs"/>
          <w:rtl/>
        </w:rPr>
        <w:t>؟</w:t>
      </w:r>
      <w:proofErr w:type="gramEnd"/>
      <w:r w:rsidR="00777DCB" w:rsidRPr="00A52585">
        <w:rPr>
          <w:rFonts w:hint="cs"/>
          <w:rtl/>
        </w:rPr>
        <w:t xml:space="preserve"> حتى يضع رب العزة فيها قدمه فينزوي بعضها إلى بعض فتمتلئ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مواضع منها </w:t>
      </w:r>
      <w:r w:rsidRPr="00A52585">
        <w:rPr>
          <w:rFonts w:hint="cs"/>
          <w:sz w:val="24"/>
          <w:szCs w:val="24"/>
          <w:rtl/>
        </w:rPr>
        <w:t>(</w:t>
      </w:r>
      <w:r w:rsidR="00777DCB" w:rsidRPr="00A52585">
        <w:rPr>
          <w:rFonts w:hint="cs"/>
          <w:sz w:val="24"/>
          <w:szCs w:val="24"/>
          <w:rtl/>
        </w:rPr>
        <w:t>الفتح 8 / 594</w:t>
      </w:r>
      <w:r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4 / 2188</w:t>
      </w:r>
      <w:r w:rsidRPr="00A52585">
        <w:rPr>
          <w:rFonts w:hint="cs"/>
          <w:sz w:val="24"/>
          <w:szCs w:val="24"/>
          <w:rtl/>
        </w:rPr>
        <w:t>)</w:t>
      </w:r>
      <w:r w:rsidR="00777DCB" w:rsidRPr="00A52585">
        <w:rPr>
          <w:rFonts w:hint="cs"/>
          <w:sz w:val="24"/>
          <w:szCs w:val="24"/>
          <w:rtl/>
        </w:rPr>
        <w:t xml:space="preserve"> وغيرهما</w:t>
      </w:r>
      <w:r w:rsidR="00DB731D" w:rsidRPr="00A52585">
        <w:rPr>
          <w:rFonts w:hint="cs"/>
          <w:sz w:val="24"/>
          <w:szCs w:val="24"/>
          <w:rtl/>
        </w:rPr>
        <w:t>،</w:t>
      </w:r>
      <w:r w:rsidR="00777DCB" w:rsidRPr="00A52585">
        <w:rPr>
          <w:rFonts w:hint="cs"/>
          <w:sz w:val="24"/>
          <w:szCs w:val="24"/>
          <w:rtl/>
        </w:rPr>
        <w:t xml:space="preserve"> وقد أورد هذا الحديث سيدنا الامام ابو الفضل الغماري في كتابه</w:t>
      </w:r>
      <w:r w:rsidRPr="00A52585">
        <w:rPr>
          <w:rFonts w:hint="cs"/>
          <w:sz w:val="24"/>
          <w:szCs w:val="24"/>
          <w:rtl/>
        </w:rPr>
        <w:t>:</w:t>
      </w:r>
      <w:r w:rsidR="00777DCB" w:rsidRPr="00A52585">
        <w:rPr>
          <w:rFonts w:hint="cs"/>
          <w:sz w:val="24"/>
          <w:szCs w:val="24"/>
          <w:rtl/>
        </w:rPr>
        <w:t xml:space="preserve"> " الفوائد المقصودة في بيان الاحاديث الشاذة المردودة " وهو مصيب فيه جدا لان الله عز وجل متنزه عن القدم وسيأتي بيان ذلك ان شاء الله تعالى</w:t>
      </w:r>
      <w:r w:rsidR="00DB731D" w:rsidRPr="00A52585">
        <w:rPr>
          <w:rFonts w:hint="cs"/>
          <w:sz w:val="24"/>
          <w:szCs w:val="24"/>
          <w:rtl/>
        </w:rPr>
        <w:t>،</w:t>
      </w:r>
      <w:r w:rsidR="00777DCB" w:rsidRPr="00A52585">
        <w:rPr>
          <w:rFonts w:hint="cs"/>
          <w:sz w:val="24"/>
          <w:szCs w:val="24"/>
          <w:rtl/>
        </w:rPr>
        <w:t xml:space="preserve"> وقد نص الامام الغماري هنالك على أن " الحديث صحيح " لكن لفظ وضع القدم لا يجوز ان ينسب صفة لله تعالى</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الواجب علينا أن نعتقد أن ذات الله تعالى لا تتبعض ولا </w:t>
      </w:r>
      <w:proofErr w:type="spellStart"/>
      <w:r w:rsidR="00777DCB" w:rsidRPr="00A52585">
        <w:rPr>
          <w:rFonts w:hint="cs"/>
          <w:rtl/>
        </w:rPr>
        <w:t>يحويها</w:t>
      </w:r>
      <w:proofErr w:type="spellEnd"/>
      <w:r w:rsidR="00777DCB" w:rsidRPr="00A52585">
        <w:rPr>
          <w:rFonts w:hint="cs"/>
          <w:rtl/>
        </w:rPr>
        <w:t xml:space="preserve"> مكان ولا توصف بالتغير ولا بالانتقال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وهذه اللفظة " حتى يضع قدمه " الزائدة عما في القرآن الكريم فيها إثبات التبعيض</w:t>
      </w:r>
      <w:r w:rsidR="00DB731D" w:rsidRPr="00A52585">
        <w:rPr>
          <w:rFonts w:hint="cs"/>
          <w:sz w:val="24"/>
          <w:szCs w:val="24"/>
          <w:rtl/>
        </w:rPr>
        <w:t>،</w:t>
      </w:r>
      <w:r w:rsidR="00777DCB" w:rsidRPr="00A52585">
        <w:rPr>
          <w:rFonts w:hint="cs"/>
          <w:sz w:val="24"/>
          <w:szCs w:val="24"/>
          <w:rtl/>
        </w:rPr>
        <w:t xml:space="preserve"> أي أن الله يضع بعض جسمه الذي تتخيله المجسمة وهو قدمه في النار حتى تسكت</w:t>
      </w:r>
      <w:r w:rsidR="00DB731D" w:rsidRPr="00A52585">
        <w:rPr>
          <w:rFonts w:hint="cs"/>
          <w:sz w:val="24"/>
          <w:szCs w:val="24"/>
          <w:rtl/>
        </w:rPr>
        <w:t>،</w:t>
      </w:r>
      <w:r w:rsidR="00777DCB" w:rsidRPr="00A52585">
        <w:rPr>
          <w:rFonts w:hint="cs"/>
          <w:sz w:val="24"/>
          <w:szCs w:val="24"/>
          <w:rtl/>
        </w:rPr>
        <w:t xml:space="preserve"> تعالى الله عن ذلك علوا كبيرا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w:t>
      </w:r>
      <w:r w:rsidR="00777DCB" w:rsidRPr="00A52585">
        <w:rPr>
          <w:rFonts w:hint="cs"/>
          <w:sz w:val="24"/>
          <w:szCs w:val="24"/>
          <w:rtl/>
        </w:rPr>
        <w:t xml:space="preserve"> وفيها إثبات أن بعض أجزائه سبحانه تحل في خلقه إذ أن النار بعض خلقه</w:t>
      </w:r>
      <w:r w:rsidR="00DB731D" w:rsidRPr="00A52585">
        <w:rPr>
          <w:rFonts w:hint="cs"/>
          <w:sz w:val="24"/>
          <w:szCs w:val="24"/>
          <w:rtl/>
        </w:rPr>
        <w:t>،</w:t>
      </w:r>
      <w:r w:rsidR="00777DCB" w:rsidRPr="00A52585">
        <w:rPr>
          <w:rFonts w:hint="cs"/>
          <w:sz w:val="24"/>
          <w:szCs w:val="24"/>
          <w:rtl/>
        </w:rPr>
        <w:t xml:space="preserve"> وفيه أن الله أو بعضه ينتقل من مكان إلى مكان وهذا محال جدا</w:t>
      </w:r>
      <w:r w:rsidR="00DB731D" w:rsidRPr="00A52585">
        <w:rPr>
          <w:rFonts w:hint="cs"/>
          <w:sz w:val="24"/>
          <w:szCs w:val="24"/>
          <w:rtl/>
        </w:rPr>
        <w:t>،</w:t>
      </w:r>
      <w:r w:rsidR="00777DCB" w:rsidRPr="00A52585">
        <w:rPr>
          <w:rFonts w:hint="cs"/>
          <w:sz w:val="24"/>
          <w:szCs w:val="24"/>
          <w:rtl/>
        </w:rPr>
        <w:t xml:space="preserve"> لان المكان مخلوق لله تعالى</w:t>
      </w:r>
      <w:r w:rsidR="00DB731D" w:rsidRPr="00A52585">
        <w:rPr>
          <w:rFonts w:hint="cs"/>
          <w:sz w:val="24"/>
          <w:szCs w:val="24"/>
          <w:rtl/>
        </w:rPr>
        <w:t>،</w:t>
      </w:r>
      <w:r w:rsidR="00777DCB" w:rsidRPr="00A52585">
        <w:rPr>
          <w:rFonts w:hint="cs"/>
          <w:sz w:val="24"/>
          <w:szCs w:val="24"/>
          <w:rtl/>
        </w:rPr>
        <w:t xml:space="preserve"> فهذه الاشياء مما يحكم بها على شذوذ ونكارة لفظة " حتى يضع فيها قدمه " الواردة في هذا الحديث الصحيح الاسناد</w:t>
      </w:r>
      <w:r w:rsidR="00777DCB" w:rsidRPr="00A52585">
        <w:rPr>
          <w:rFonts w:hint="cs"/>
          <w:rtl/>
        </w:rPr>
        <w:t>]</w:t>
      </w:r>
      <w:r w:rsidR="00DB731D" w:rsidRPr="00A52585">
        <w:rPr>
          <w:rFonts w:hint="cs"/>
          <w:rtl/>
        </w:rPr>
        <w:t>،</w:t>
      </w:r>
      <w:r w:rsidR="00777DCB" w:rsidRPr="00A52585">
        <w:rPr>
          <w:rFonts w:hint="cs"/>
          <w:rtl/>
        </w:rPr>
        <w:t xml:space="preserve"> وقد حكى أبو عبيد الهروي عن الحسن البصري أنه قال</w:t>
      </w:r>
      <w:r w:rsidRPr="00A52585">
        <w:rPr>
          <w:rFonts w:hint="cs"/>
          <w:rtl/>
        </w:rPr>
        <w:t>:</w:t>
      </w:r>
      <w:r w:rsidR="00777DCB" w:rsidRPr="00A52585">
        <w:rPr>
          <w:rFonts w:hint="cs"/>
          <w:rtl/>
        </w:rPr>
        <w:t xml:space="preserve"> القدم</w:t>
      </w:r>
      <w:r w:rsidRPr="00A52585">
        <w:rPr>
          <w:rFonts w:hint="cs"/>
          <w:rtl/>
        </w:rPr>
        <w:t>:</w:t>
      </w:r>
      <w:r w:rsidR="00777DCB" w:rsidRPr="00A52585">
        <w:rPr>
          <w:rFonts w:hint="cs"/>
          <w:rtl/>
        </w:rPr>
        <w:t xml:space="preserve"> هم الذين قدمهم الله تعالى من شرار خلقه وأثبتهم لها</w:t>
      </w:r>
      <w:r w:rsidR="00DB731D" w:rsidRPr="00A52585">
        <w:rPr>
          <w:rFonts w:hint="cs"/>
          <w:rtl/>
        </w:rPr>
        <w:t>،</w:t>
      </w:r>
      <w:r w:rsidR="00777DCB" w:rsidRPr="00A52585">
        <w:rPr>
          <w:rFonts w:hint="cs"/>
          <w:rtl/>
        </w:rPr>
        <w:t xml:space="preserve"> وقال الامام ابن الاعرابي</w:t>
      </w:r>
      <w:r w:rsidRPr="00A52585">
        <w:rPr>
          <w:rFonts w:hint="cs"/>
          <w:rtl/>
        </w:rPr>
        <w:t>:</w:t>
      </w:r>
      <w:r w:rsidR="00777DCB" w:rsidRPr="00A52585">
        <w:rPr>
          <w:rFonts w:hint="cs"/>
          <w:rtl/>
        </w:rPr>
        <w:t xml:space="preserve"> القدم المتقدم</w:t>
      </w:r>
      <w:r w:rsidR="00DB731D" w:rsidRPr="00A52585">
        <w:rPr>
          <w:rFonts w:hint="cs"/>
          <w:rtl/>
        </w:rPr>
        <w:t>،</w:t>
      </w:r>
      <w:r w:rsidR="00777DCB" w:rsidRPr="00A52585">
        <w:rPr>
          <w:rFonts w:hint="cs"/>
          <w:rtl/>
        </w:rPr>
        <w:t xml:space="preserve"> وروى أبو بكر البيهقي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حكاه عنه في " الاسماء </w:t>
      </w:r>
      <w:r w:rsidR="00777DCB" w:rsidRPr="00A52585">
        <w:rPr>
          <w:rFonts w:hint="cs"/>
          <w:sz w:val="24"/>
          <w:szCs w:val="24"/>
          <w:rtl/>
        </w:rPr>
        <w:lastRenderedPageBreak/>
        <w:t>والصفات " ص 352 بتحقيق العلم المحدث الكوثري رحمة الله عليه ورضوانه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أول هذا الحديث أيضا الحافظ ابن حبان السلفي في " صحيحه " </w:t>
      </w:r>
      <w:r w:rsidRPr="00A52585">
        <w:rPr>
          <w:rFonts w:hint="cs"/>
          <w:sz w:val="24"/>
          <w:szCs w:val="24"/>
          <w:rtl/>
        </w:rPr>
        <w:t>(</w:t>
      </w:r>
      <w:r w:rsidR="00777DCB" w:rsidRPr="00A52585">
        <w:rPr>
          <w:rFonts w:hint="cs"/>
          <w:sz w:val="24"/>
          <w:szCs w:val="24"/>
          <w:rtl/>
        </w:rPr>
        <w:t>1 / 502 مؤسسة الرسالة</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 هذا الخبر من الاخبار التي أطلقت بتمثيل المجاورة</w:t>
      </w:r>
      <w:r w:rsidRPr="00A52585">
        <w:rPr>
          <w:rFonts w:hint="cs"/>
          <w:sz w:val="24"/>
          <w:szCs w:val="24"/>
          <w:rtl/>
        </w:rPr>
        <w:t>]</w:t>
      </w:r>
      <w:r w:rsidR="00777DCB" w:rsidRPr="00A52585">
        <w:rPr>
          <w:rFonts w:hint="cs"/>
          <w:rtl/>
        </w:rPr>
        <w:t xml:space="preserve"> عن النضر بن شميل أنه قال</w:t>
      </w:r>
      <w:r w:rsidRPr="00A52585">
        <w:rPr>
          <w:rFonts w:hint="cs"/>
          <w:rtl/>
        </w:rPr>
        <w:t>:</w:t>
      </w:r>
      <w:r w:rsidR="00777DCB" w:rsidRPr="00A52585">
        <w:rPr>
          <w:rFonts w:hint="cs"/>
          <w:rtl/>
        </w:rPr>
        <w:t xml:space="preserve"> القدم ههنا الكفار الذين سبق في علم الله أنهم من أهل النار</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أبو منصور الازهري</w:t>
      </w:r>
      <w:r w:rsidR="00DB731D" w:rsidRPr="00A52585">
        <w:rPr>
          <w:rFonts w:hint="cs"/>
          <w:rtl/>
        </w:rPr>
        <w:t>،</w:t>
      </w:r>
      <w:r w:rsidR="00777DCB" w:rsidRPr="00A52585">
        <w:rPr>
          <w:rFonts w:hint="cs"/>
          <w:rtl/>
        </w:rPr>
        <w:t xml:space="preserve"> القدم هم الذين قدم الله بتخليدهم في النار فعلى هذا يكون في المعنى وجهين</w:t>
      </w:r>
      <w:r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كل شيء قدمه</w:t>
      </w:r>
      <w:r w:rsidR="00897A24" w:rsidRPr="00A52585">
        <w:rPr>
          <w:rFonts w:hint="cs"/>
          <w:rtl/>
        </w:rPr>
        <w:t>.</w:t>
      </w:r>
      <w:r w:rsidR="00777DCB" w:rsidRPr="00A52585">
        <w:rPr>
          <w:rFonts w:hint="cs"/>
          <w:rtl/>
        </w:rPr>
        <w:t xml:space="preserve"> يقال</w:t>
      </w:r>
      <w:r w:rsidRPr="00A52585">
        <w:rPr>
          <w:rFonts w:hint="cs"/>
          <w:rtl/>
        </w:rPr>
        <w:t>:</w:t>
      </w:r>
      <w:r w:rsidR="00777DCB" w:rsidRPr="00A52585">
        <w:rPr>
          <w:rFonts w:hint="cs"/>
          <w:rtl/>
        </w:rPr>
        <w:t xml:space="preserve"> لما قدم </w:t>
      </w:r>
      <w:proofErr w:type="spellStart"/>
      <w:r w:rsidR="00777DCB" w:rsidRPr="00A52585">
        <w:rPr>
          <w:rFonts w:hint="cs"/>
          <w:rtl/>
        </w:rPr>
        <w:t>قدم</w:t>
      </w:r>
      <w:proofErr w:type="spellEnd"/>
      <w:r w:rsidR="00DB731D" w:rsidRPr="00A52585">
        <w:rPr>
          <w:rFonts w:hint="cs"/>
          <w:rtl/>
        </w:rPr>
        <w:t>،</w:t>
      </w:r>
      <w:r w:rsidR="00777DCB" w:rsidRPr="00A52585">
        <w:rPr>
          <w:rFonts w:hint="cs"/>
          <w:rtl/>
        </w:rPr>
        <w:t xml:space="preserve"> ولما هدم </w:t>
      </w:r>
      <w:proofErr w:type="spellStart"/>
      <w:r w:rsidR="00777DCB" w:rsidRPr="00A52585">
        <w:rPr>
          <w:rFonts w:hint="cs"/>
          <w:rtl/>
        </w:rPr>
        <w:t>هدم</w:t>
      </w:r>
      <w:proofErr w:type="spellEnd"/>
      <w:r w:rsidR="00DB731D" w:rsidRPr="00A52585">
        <w:rPr>
          <w:rFonts w:hint="cs"/>
          <w:rtl/>
        </w:rPr>
        <w:t>،</w:t>
      </w:r>
      <w:r w:rsidR="00777DCB" w:rsidRPr="00A52585">
        <w:rPr>
          <w:rFonts w:hint="cs"/>
          <w:rtl/>
        </w:rPr>
        <w:t xml:space="preserve"> ويؤيد هذا قوله في تمام الحديث " وأما الجنة </w:t>
      </w:r>
      <w:proofErr w:type="spellStart"/>
      <w:r w:rsidR="00777DCB" w:rsidRPr="00A52585">
        <w:rPr>
          <w:rFonts w:hint="cs"/>
          <w:rtl/>
        </w:rPr>
        <w:t>فينشيء</w:t>
      </w:r>
      <w:proofErr w:type="spellEnd"/>
      <w:r w:rsidR="00777DCB" w:rsidRPr="00A52585">
        <w:rPr>
          <w:rFonts w:hint="cs"/>
          <w:rtl/>
        </w:rPr>
        <w:t xml:space="preserve"> لها خلقا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التمام ثابت في الصحيحين في الموضع الذي أشرنا إليه في التعليق رقم - 99 -</w:t>
      </w:r>
      <w:r w:rsidRPr="00A52585">
        <w:rPr>
          <w:rFonts w:hint="cs"/>
          <w:rtl/>
        </w:rPr>
        <w:t>]</w:t>
      </w:r>
      <w:r w:rsidR="00DB731D" w:rsidRPr="00A52585">
        <w:rPr>
          <w:rFonts w:hint="cs"/>
          <w:rtl/>
        </w:rPr>
        <w:t>،</w:t>
      </w:r>
      <w:r w:rsidR="00777DCB" w:rsidRPr="00A52585">
        <w:rPr>
          <w:rFonts w:hint="cs"/>
          <w:rtl/>
        </w:rPr>
        <w:t xml:space="preserve"> ووجه ثان</w:t>
      </w:r>
      <w:r w:rsidRPr="00A52585">
        <w:rPr>
          <w:rFonts w:hint="cs"/>
          <w:rtl/>
        </w:rPr>
        <w:t>:</w:t>
      </w:r>
      <w:r w:rsidR="00777DCB" w:rsidRPr="00A52585">
        <w:rPr>
          <w:rFonts w:hint="cs"/>
          <w:rtl/>
        </w:rPr>
        <w:t xml:space="preserve"> إن كل قادم عليها سمي قادما</w:t>
      </w:r>
      <w:r w:rsidR="00DB731D" w:rsidRPr="00A52585">
        <w:rPr>
          <w:rFonts w:hint="cs"/>
          <w:rtl/>
        </w:rPr>
        <w:t>،</w:t>
      </w:r>
      <w:r w:rsidR="00777DCB" w:rsidRPr="00A52585">
        <w:rPr>
          <w:rFonts w:hint="cs"/>
          <w:rtl/>
        </w:rPr>
        <w:t xml:space="preserve"> فالقدم جمع قادم</w:t>
      </w:r>
      <w:r w:rsidR="00DB731D" w:rsidRPr="00A52585">
        <w:rPr>
          <w:rFonts w:hint="cs"/>
          <w:rtl/>
        </w:rPr>
        <w:t>،</w:t>
      </w:r>
      <w:r w:rsidR="00777DCB" w:rsidRPr="00A52585">
        <w:rPr>
          <w:rFonts w:hint="cs"/>
          <w:rtl/>
        </w:rPr>
        <w:t xml:space="preserve"> فبعض الرواة رواه بما يظنه المعنى من أن المقدم " الرجل "</w:t>
      </w:r>
      <w:r w:rsidR="00DB731D" w:rsidRPr="00A52585">
        <w:rPr>
          <w:rFonts w:hint="cs"/>
          <w:rtl/>
        </w:rPr>
        <w:t>،</w:t>
      </w:r>
      <w:r w:rsidR="00777DCB" w:rsidRPr="00A52585">
        <w:rPr>
          <w:rFonts w:hint="cs"/>
          <w:rtl/>
        </w:rPr>
        <w:t xml:space="preserve"> وقد رواه الطبراني من طرق</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 لقدمه ورجله " قلت</w:t>
      </w:r>
      <w:r w:rsidRPr="00A52585">
        <w:rPr>
          <w:rFonts w:hint="cs"/>
          <w:rtl/>
        </w:rPr>
        <w:t>:</w:t>
      </w:r>
      <w:r w:rsidR="00777DCB" w:rsidRPr="00A52585">
        <w:rPr>
          <w:rFonts w:hint="cs"/>
          <w:rtl/>
        </w:rPr>
        <w:t xml:space="preserve"> وهذا دليل على تغير الرواة بما يظنونه على أن الرجل في اللغة جماعة</w:t>
      </w:r>
      <w:r w:rsidR="00DB731D" w:rsidRPr="00A52585">
        <w:rPr>
          <w:rFonts w:hint="cs"/>
          <w:rtl/>
        </w:rPr>
        <w:t>،</w:t>
      </w:r>
      <w:r w:rsidR="00777DCB" w:rsidRPr="00A52585">
        <w:rPr>
          <w:rFonts w:hint="cs"/>
          <w:rtl/>
        </w:rPr>
        <w:t xml:space="preserve"> ومن يرويه بلفظ " الرجل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وقعت بلفظ " برجله " في الصحيح</w:t>
      </w:r>
      <w:r w:rsidR="00DB731D" w:rsidRPr="00A52585">
        <w:rPr>
          <w:rFonts w:hint="cs"/>
          <w:sz w:val="24"/>
          <w:szCs w:val="24"/>
          <w:rtl/>
        </w:rPr>
        <w:t>،</w:t>
      </w:r>
      <w:r w:rsidR="00777DCB" w:rsidRPr="00A52585">
        <w:rPr>
          <w:rFonts w:hint="cs"/>
          <w:sz w:val="24"/>
          <w:szCs w:val="24"/>
          <w:rtl/>
        </w:rPr>
        <w:t xml:space="preserve"> انظر الفتح </w:t>
      </w:r>
      <w:r w:rsidRPr="00A52585">
        <w:rPr>
          <w:rFonts w:hint="cs"/>
          <w:sz w:val="24"/>
          <w:szCs w:val="24"/>
          <w:rtl/>
        </w:rPr>
        <w:t>(</w:t>
      </w:r>
      <w:r w:rsidR="00777DCB" w:rsidRPr="00A52585">
        <w:rPr>
          <w:rFonts w:hint="cs"/>
          <w:sz w:val="24"/>
          <w:szCs w:val="24"/>
          <w:rtl/>
        </w:rPr>
        <w:t>8 / 595 رقم 4850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ووقعت في الحديث الذي قبله </w:t>
      </w:r>
      <w:r w:rsidRPr="00A52585">
        <w:rPr>
          <w:rFonts w:hint="cs"/>
          <w:sz w:val="24"/>
          <w:szCs w:val="24"/>
          <w:rtl/>
        </w:rPr>
        <w:t>(</w:t>
      </w:r>
      <w:r w:rsidR="00777DCB" w:rsidRPr="00A52585">
        <w:rPr>
          <w:rFonts w:hint="cs"/>
          <w:sz w:val="24"/>
          <w:szCs w:val="24"/>
          <w:rtl/>
        </w:rPr>
        <w:t>رقم 4849</w:t>
      </w:r>
      <w:r w:rsidRPr="00A52585">
        <w:rPr>
          <w:rFonts w:hint="cs"/>
          <w:sz w:val="24"/>
          <w:szCs w:val="24"/>
          <w:rtl/>
        </w:rPr>
        <w:t>)</w:t>
      </w:r>
      <w:r w:rsidR="00777DCB" w:rsidRPr="00A52585">
        <w:rPr>
          <w:rFonts w:hint="cs"/>
          <w:sz w:val="24"/>
          <w:szCs w:val="24"/>
          <w:rtl/>
        </w:rPr>
        <w:t xml:space="preserve"> بلفظ " قدمه " واللفظتان عندي منكرتان ليستا بشيء</w:t>
      </w:r>
      <w:r w:rsidR="00777DCB" w:rsidRPr="00A52585">
        <w:rPr>
          <w:rFonts w:hint="cs"/>
          <w:rtl/>
        </w:rPr>
        <w:t>]</w:t>
      </w:r>
      <w:r w:rsidR="00DB731D" w:rsidRPr="00A52585">
        <w:rPr>
          <w:rFonts w:hint="cs"/>
          <w:rtl/>
        </w:rPr>
        <w:t>،</w:t>
      </w:r>
      <w:r w:rsidR="00777DCB" w:rsidRPr="00A52585">
        <w:rPr>
          <w:rFonts w:hint="cs"/>
          <w:rtl/>
        </w:rPr>
        <w:t xml:space="preserve"> فإنه يقول</w:t>
      </w:r>
      <w:r w:rsidRPr="00A52585">
        <w:rPr>
          <w:rFonts w:hint="cs"/>
          <w:rtl/>
        </w:rPr>
        <w:t>:</w:t>
      </w:r>
      <w:r w:rsidR="00777DCB" w:rsidRPr="00A52585">
        <w:rPr>
          <w:rFonts w:hint="cs"/>
          <w:rtl/>
        </w:rPr>
        <w:t xml:space="preserve"> رجل من جراد</w:t>
      </w:r>
      <w:r w:rsidR="00897A24" w:rsidRPr="00A52585">
        <w:rPr>
          <w:rFonts w:hint="cs"/>
          <w:rtl/>
        </w:rPr>
        <w:t>.</w:t>
      </w:r>
      <w:r w:rsidR="00777DCB" w:rsidRPr="00A52585">
        <w:rPr>
          <w:rFonts w:hint="cs"/>
          <w:rtl/>
        </w:rPr>
        <w:t xml:space="preserve"> فيكون المراد</w:t>
      </w:r>
      <w:r w:rsidRPr="00A52585">
        <w:rPr>
          <w:rFonts w:hint="cs"/>
          <w:rtl/>
        </w:rPr>
        <w:t>:</w:t>
      </w:r>
      <w:r w:rsidR="00777DCB" w:rsidRPr="00A52585">
        <w:rPr>
          <w:rFonts w:hint="cs"/>
          <w:rtl/>
        </w:rPr>
        <w:t xml:space="preserve"> يدخلها جماعة يشبهون في كثرتهم الجراد</w:t>
      </w:r>
      <w:r w:rsidR="00DB731D" w:rsidRPr="00A52585">
        <w:rPr>
          <w:rFonts w:hint="cs"/>
          <w:rtl/>
        </w:rPr>
        <w:t>،</w:t>
      </w:r>
      <w:r w:rsidR="00777DCB" w:rsidRPr="00A52585">
        <w:rPr>
          <w:rFonts w:hint="cs"/>
          <w:rtl/>
        </w:rPr>
        <w:t xml:space="preserve"> فيسرعون التهافت فيها</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القدم صفة ذاتية</w:t>
      </w:r>
      <w:r w:rsidR="00DB731D" w:rsidRPr="00A52585">
        <w:rPr>
          <w:rFonts w:hint="cs"/>
          <w:rtl/>
        </w:rPr>
        <w:t>،</w:t>
      </w:r>
      <w:r w:rsidR="00777DCB" w:rsidRPr="00A52585">
        <w:rPr>
          <w:rFonts w:hint="cs"/>
          <w:rtl/>
        </w:rPr>
        <w:t xml:space="preserve"> وقال ابن </w:t>
      </w:r>
      <w:proofErr w:type="spellStart"/>
      <w:r w:rsidR="00777DCB" w:rsidRPr="00A52585">
        <w:rPr>
          <w:rFonts w:hint="cs"/>
          <w:rtl/>
        </w:rPr>
        <w:t>الزاغوني</w:t>
      </w:r>
      <w:proofErr w:type="spellEnd"/>
      <w:r w:rsidRPr="00A52585">
        <w:rPr>
          <w:rFonts w:hint="cs"/>
          <w:rtl/>
        </w:rPr>
        <w:t>:</w:t>
      </w:r>
      <w:r w:rsidR="00777DCB" w:rsidRPr="00A52585">
        <w:rPr>
          <w:rFonts w:hint="cs"/>
          <w:rtl/>
        </w:rPr>
        <w:t xml:space="preserve"> نقول إنما وضع قدمه في النار ليخبرهم أن أصنافهم تحترق وأنا لا أحترق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تخريف</w:t>
      </w:r>
      <w:r w:rsidR="00F95886" w:rsidRPr="00A52585">
        <w:rPr>
          <w:rFonts w:hint="cs"/>
          <w:sz w:val="24"/>
          <w:szCs w:val="24"/>
          <w:rtl/>
        </w:rPr>
        <w:t>!!</w:t>
      </w:r>
      <w:r w:rsidR="00777DCB" w:rsidRPr="00A52585">
        <w:rPr>
          <w:rFonts w:hint="cs"/>
          <w:sz w:val="24"/>
          <w:szCs w:val="24"/>
          <w:rtl/>
        </w:rPr>
        <w:t xml:space="preserve"> كأنه لا يدري ما يخرج من رأسه]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إثبات تبعيض</w:t>
      </w:r>
      <w:r w:rsidR="00DB731D" w:rsidRPr="00A52585">
        <w:rPr>
          <w:rFonts w:hint="cs"/>
          <w:rtl/>
        </w:rPr>
        <w:t>،</w:t>
      </w:r>
      <w:r w:rsidR="00777DCB" w:rsidRPr="00A52585">
        <w:rPr>
          <w:rFonts w:hint="cs"/>
          <w:rtl/>
        </w:rPr>
        <w:t xml:space="preserve"> وهو من أقبح الاعتقادات</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ورأيت أبا بكر بن خزيمة قد جمع كتابا في الصفات وبوبه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كتاب فيه أغلاط فاضحة</w:t>
      </w:r>
      <w:r w:rsidR="00DB731D" w:rsidRPr="00A52585">
        <w:rPr>
          <w:rFonts w:hint="cs"/>
          <w:sz w:val="24"/>
          <w:szCs w:val="24"/>
          <w:rtl/>
        </w:rPr>
        <w:t>،</w:t>
      </w:r>
      <w:r w:rsidR="00777DCB" w:rsidRPr="00A52585">
        <w:rPr>
          <w:rFonts w:hint="cs"/>
          <w:sz w:val="24"/>
          <w:szCs w:val="24"/>
          <w:rtl/>
        </w:rPr>
        <w:t xml:space="preserve"> إلا أنه - أعني ابن خزيمة - اعترف أخيرا بعد تصنيفه بخطئه في تأليف ذلك الكتاب كما جاء في " الاسماء والصفات " ص </w:t>
      </w:r>
      <w:r w:rsidRPr="00A52585">
        <w:rPr>
          <w:rFonts w:hint="cs"/>
          <w:sz w:val="24"/>
          <w:szCs w:val="24"/>
          <w:rtl/>
        </w:rPr>
        <w:t>(</w:t>
      </w:r>
      <w:r w:rsidR="00777DCB" w:rsidRPr="00A52585">
        <w:rPr>
          <w:rFonts w:hint="cs"/>
          <w:sz w:val="24"/>
          <w:szCs w:val="24"/>
          <w:rtl/>
        </w:rPr>
        <w:t>267 - 269</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للامام</w:t>
      </w:r>
      <w:proofErr w:type="spellEnd"/>
      <w:r w:rsidR="00777DCB" w:rsidRPr="00A52585">
        <w:rPr>
          <w:rFonts w:hint="cs"/>
          <w:sz w:val="24"/>
          <w:szCs w:val="24"/>
          <w:rtl/>
        </w:rPr>
        <w:t xml:space="preserve"> الحافظ البيهقي من طريقين</w:t>
      </w:r>
      <w:r w:rsidR="00DB731D" w:rsidRPr="00A52585">
        <w:rPr>
          <w:rFonts w:hint="cs"/>
          <w:sz w:val="24"/>
          <w:szCs w:val="24"/>
          <w:rtl/>
        </w:rPr>
        <w:t>،</w:t>
      </w:r>
      <w:r w:rsidR="00777DCB" w:rsidRPr="00A52585">
        <w:rPr>
          <w:rFonts w:hint="cs"/>
          <w:sz w:val="24"/>
          <w:szCs w:val="24"/>
          <w:rtl/>
        </w:rPr>
        <w:t xml:space="preserve"> وقال الحافظ البيهقي هناك ص </w:t>
      </w:r>
      <w:r w:rsidRPr="00A52585">
        <w:rPr>
          <w:rFonts w:hint="cs"/>
          <w:sz w:val="24"/>
          <w:szCs w:val="24"/>
          <w:rtl/>
        </w:rPr>
        <w:t>(</w:t>
      </w:r>
      <w:r w:rsidR="00777DCB" w:rsidRPr="00A52585">
        <w:rPr>
          <w:rFonts w:hint="cs"/>
          <w:sz w:val="24"/>
          <w:szCs w:val="24"/>
          <w:rtl/>
        </w:rPr>
        <w:t>269</w:t>
      </w:r>
      <w:r w:rsidRPr="00A52585">
        <w:rPr>
          <w:rFonts w:hint="cs"/>
          <w:sz w:val="24"/>
          <w:szCs w:val="24"/>
          <w:rtl/>
        </w:rPr>
        <w:t>):</w:t>
      </w:r>
      <w:r w:rsidR="00777DCB" w:rsidRPr="00A52585">
        <w:rPr>
          <w:rFonts w:hint="cs"/>
          <w:sz w:val="24"/>
          <w:szCs w:val="24"/>
          <w:rtl/>
        </w:rPr>
        <w:t xml:space="preserve"> " وقد رجع محمد بن اسحق - ابن خزيمة - إلى طريقة السلف وتلهف على ما قال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فتبين من كلام البيهقي أن طريقة ابن خزيمة في كتابه " التوحيد " ومن كان على شاكلته ليس على طريقة السلف</w:t>
      </w:r>
      <w:r w:rsidR="00DB731D" w:rsidRPr="00A52585">
        <w:rPr>
          <w:rFonts w:hint="cs"/>
          <w:sz w:val="24"/>
          <w:szCs w:val="24"/>
          <w:rtl/>
        </w:rPr>
        <w:t>،</w:t>
      </w:r>
      <w:r w:rsidR="00777DCB" w:rsidRPr="00A52585">
        <w:rPr>
          <w:rFonts w:hint="cs"/>
          <w:sz w:val="24"/>
          <w:szCs w:val="24"/>
          <w:rtl/>
        </w:rPr>
        <w:t xml:space="preserve"> واما متناقض زماننا فخاض في علم الكلام في مقدمة " مختصر العلو " فوقع في طاقات شنيعة فأثبت الجهة والمكان العدمي لله تعالى عما يقول</w:t>
      </w:r>
      <w:r w:rsidR="00897A24" w:rsidRPr="00A52585">
        <w:rPr>
          <w:rFonts w:hint="cs"/>
          <w:sz w:val="24"/>
          <w:szCs w:val="24"/>
          <w:rtl/>
        </w:rPr>
        <w:t>.</w:t>
      </w:r>
      <w:r w:rsidR="00777DCB" w:rsidRPr="00A52585">
        <w:rPr>
          <w:rFonts w:hint="cs"/>
          <w:sz w:val="24"/>
          <w:szCs w:val="24"/>
          <w:rtl/>
        </w:rPr>
        <w:t>. وخالف طريقة السلف ولو سكت عما لا يعلمه ولم يدرسه ويفهمه لكان به أولى</w:t>
      </w:r>
      <w:r w:rsidR="00DB731D" w:rsidRPr="00A52585">
        <w:rPr>
          <w:rFonts w:hint="cs"/>
          <w:sz w:val="24"/>
          <w:szCs w:val="24"/>
          <w:rtl/>
        </w:rPr>
        <w:t>،</w:t>
      </w:r>
      <w:r w:rsidR="00777DCB" w:rsidRPr="00A52585">
        <w:rPr>
          <w:rFonts w:hint="cs"/>
          <w:sz w:val="24"/>
          <w:szCs w:val="24"/>
          <w:rtl/>
        </w:rPr>
        <w:t xml:space="preserve"> لكن أراد الله أن يكشف حقيقته</w:t>
      </w:r>
      <w:r w:rsidR="00897A24" w:rsidRPr="00A52585">
        <w:rPr>
          <w:rFonts w:hint="cs"/>
          <w:sz w:val="24"/>
          <w:szCs w:val="24"/>
          <w:rtl/>
        </w:rPr>
        <w:t>.</w:t>
      </w:r>
      <w:r w:rsidR="00777DCB" w:rsidRPr="00A52585">
        <w:rPr>
          <w:rFonts w:hint="cs"/>
          <w:sz w:val="24"/>
          <w:szCs w:val="24"/>
          <w:rtl/>
        </w:rPr>
        <w:t xml:space="preserve"> وقال الامام المحدث الكوثري رحمه الله تعالى معلقا في كتاب " الاسماء والصفات " ص </w:t>
      </w:r>
      <w:r w:rsidRPr="00A52585">
        <w:rPr>
          <w:rFonts w:hint="cs"/>
          <w:sz w:val="24"/>
          <w:szCs w:val="24"/>
          <w:rtl/>
        </w:rPr>
        <w:t>(</w:t>
      </w:r>
      <w:r w:rsidR="00777DCB" w:rsidRPr="00A52585">
        <w:rPr>
          <w:rFonts w:hint="cs"/>
          <w:sz w:val="24"/>
          <w:szCs w:val="24"/>
          <w:rtl/>
        </w:rPr>
        <w:t>267</w:t>
      </w:r>
      <w:r w:rsidRPr="00A52585">
        <w:rPr>
          <w:rFonts w:hint="cs"/>
          <w:sz w:val="24"/>
          <w:szCs w:val="24"/>
          <w:rtl/>
        </w:rPr>
        <w:t>)</w:t>
      </w:r>
      <w:r w:rsidR="00777DCB" w:rsidRPr="00A52585">
        <w:rPr>
          <w:rFonts w:hint="cs"/>
          <w:sz w:val="24"/>
          <w:szCs w:val="24"/>
          <w:rtl/>
        </w:rPr>
        <w:t xml:space="preserve"> على رجوع ابن خزيمة عن تصنيف كتابه ذاك</w:t>
      </w:r>
      <w:r w:rsidRPr="00A52585">
        <w:rPr>
          <w:rFonts w:hint="cs"/>
          <w:sz w:val="24"/>
          <w:szCs w:val="24"/>
          <w:rtl/>
        </w:rPr>
        <w:t>:</w:t>
      </w:r>
      <w:r w:rsidR="00777DCB" w:rsidRPr="00A52585">
        <w:rPr>
          <w:rFonts w:hint="cs"/>
          <w:sz w:val="24"/>
          <w:szCs w:val="24"/>
          <w:rtl/>
        </w:rPr>
        <w:t xml:space="preserve"> " وقد أنصف من نفسه حيث اعترف أنه يجهل علم الكلام</w:t>
      </w:r>
      <w:r w:rsidR="00DB731D" w:rsidRPr="00A52585">
        <w:rPr>
          <w:rFonts w:hint="cs"/>
          <w:sz w:val="24"/>
          <w:szCs w:val="24"/>
          <w:rtl/>
        </w:rPr>
        <w:t>،</w:t>
      </w:r>
      <w:r w:rsidR="00777DCB" w:rsidRPr="00A52585">
        <w:rPr>
          <w:rFonts w:hint="cs"/>
          <w:sz w:val="24"/>
          <w:szCs w:val="24"/>
          <w:rtl/>
        </w:rPr>
        <w:t xml:space="preserve"> وكان الواجب على مثله ان لا يخوض في علم الكلام فتزل له قدم</w:t>
      </w:r>
      <w:r w:rsidR="00DB731D" w:rsidRPr="00A52585">
        <w:rPr>
          <w:rFonts w:hint="cs"/>
          <w:sz w:val="24"/>
          <w:szCs w:val="24"/>
          <w:rtl/>
        </w:rPr>
        <w:t>،</w:t>
      </w:r>
      <w:r w:rsidR="00777DCB" w:rsidRPr="00A52585">
        <w:rPr>
          <w:rFonts w:hint="cs"/>
          <w:sz w:val="24"/>
          <w:szCs w:val="24"/>
          <w:rtl/>
        </w:rPr>
        <w:t xml:space="preserve"> ومع هذا الجهل ألف كتاب التوحيد فأساء إلى نفسه</w:t>
      </w:r>
      <w:r w:rsidR="00DB731D" w:rsidRPr="00A52585">
        <w:rPr>
          <w:rFonts w:hint="cs"/>
          <w:sz w:val="24"/>
          <w:szCs w:val="24"/>
          <w:rtl/>
        </w:rPr>
        <w:t>،</w:t>
      </w:r>
      <w:r w:rsidR="00777DCB" w:rsidRPr="00A52585">
        <w:rPr>
          <w:rFonts w:hint="cs"/>
          <w:sz w:val="24"/>
          <w:szCs w:val="24"/>
          <w:rtl/>
        </w:rPr>
        <w:t xml:space="preserve"> ومن أهل العلم من قال عنه</w:t>
      </w:r>
      <w:r w:rsidRPr="00A52585">
        <w:rPr>
          <w:rFonts w:hint="cs"/>
          <w:sz w:val="24"/>
          <w:szCs w:val="24"/>
          <w:rtl/>
        </w:rPr>
        <w:t>:</w:t>
      </w:r>
      <w:r w:rsidR="00777DCB" w:rsidRPr="00A52585">
        <w:rPr>
          <w:rFonts w:hint="cs"/>
          <w:sz w:val="24"/>
          <w:szCs w:val="24"/>
          <w:rtl/>
        </w:rPr>
        <w:t xml:space="preserve"> إنه كتاب الشرك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هو الفخر الرازي في تفسيره 14 / 151</w:t>
      </w:r>
      <w:r w:rsidRPr="00A52585">
        <w:rPr>
          <w:rFonts w:hint="cs"/>
          <w:sz w:val="24"/>
          <w:szCs w:val="24"/>
          <w:rtl/>
        </w:rPr>
        <w:t>)</w:t>
      </w:r>
      <w:r w:rsidR="00777DCB" w:rsidRPr="00A52585">
        <w:rPr>
          <w:rFonts w:hint="cs"/>
          <w:sz w:val="24"/>
          <w:szCs w:val="24"/>
          <w:rtl/>
        </w:rPr>
        <w:t xml:space="preserve"> ومن جملة </w:t>
      </w:r>
      <w:proofErr w:type="spellStart"/>
      <w:r w:rsidR="00777DCB" w:rsidRPr="00A52585">
        <w:rPr>
          <w:rFonts w:hint="cs"/>
          <w:sz w:val="24"/>
          <w:szCs w:val="24"/>
          <w:rtl/>
        </w:rPr>
        <w:t>مخازيه</w:t>
      </w:r>
      <w:proofErr w:type="spellEnd"/>
      <w:r w:rsidR="00777DCB" w:rsidRPr="00A52585">
        <w:rPr>
          <w:rFonts w:hint="cs"/>
          <w:sz w:val="24"/>
          <w:szCs w:val="24"/>
          <w:rtl/>
        </w:rPr>
        <w:t xml:space="preserve"> فيه استدلاله على إثبات الرجل له تعالى بقوله سبحانه </w:t>
      </w:r>
      <w:r w:rsidRPr="00A52585">
        <w:rPr>
          <w:rFonts w:hint="cs"/>
          <w:sz w:val="24"/>
          <w:szCs w:val="24"/>
          <w:rtl/>
        </w:rPr>
        <w:t>(</w:t>
      </w:r>
      <w:r w:rsidR="00777DCB" w:rsidRPr="00A52585">
        <w:rPr>
          <w:rFonts w:hint="cs"/>
          <w:sz w:val="24"/>
          <w:szCs w:val="24"/>
          <w:rtl/>
        </w:rPr>
        <w:t>ألهم أرجل يمشون بها</w:t>
      </w:r>
      <w:r w:rsidRPr="00A52585">
        <w:rPr>
          <w:rFonts w:hint="cs"/>
          <w:sz w:val="24"/>
          <w:szCs w:val="24"/>
          <w:rtl/>
        </w:rPr>
        <w:t>)</w:t>
      </w:r>
      <w:r w:rsidR="00777DCB" w:rsidRPr="00A52585">
        <w:rPr>
          <w:rFonts w:hint="cs"/>
          <w:sz w:val="24"/>
          <w:szCs w:val="24"/>
          <w:rtl/>
        </w:rPr>
        <w:t xml:space="preserve"> وهذا غاية في السقوط</w:t>
      </w:r>
      <w:r w:rsidR="00DB731D" w:rsidRPr="00A52585">
        <w:rPr>
          <w:rFonts w:hint="cs"/>
          <w:sz w:val="24"/>
          <w:szCs w:val="24"/>
          <w:rtl/>
        </w:rPr>
        <w:t>،</w:t>
      </w:r>
      <w:r w:rsidR="00777DCB" w:rsidRPr="00A52585">
        <w:rPr>
          <w:rFonts w:hint="cs"/>
          <w:sz w:val="24"/>
          <w:szCs w:val="24"/>
          <w:rtl/>
        </w:rPr>
        <w:t xml:space="preserve"> وأسقط منه من يسعى في إذاعة كتابه هذا</w:t>
      </w:r>
      <w:r w:rsidR="00DB731D" w:rsidRPr="00A52585">
        <w:rPr>
          <w:rFonts w:hint="cs"/>
          <w:sz w:val="24"/>
          <w:szCs w:val="24"/>
          <w:rtl/>
        </w:rPr>
        <w:t>،</w:t>
      </w:r>
      <w:r w:rsidR="00777DCB" w:rsidRPr="00A52585">
        <w:rPr>
          <w:rFonts w:hint="cs"/>
          <w:sz w:val="24"/>
          <w:szCs w:val="24"/>
          <w:rtl/>
        </w:rPr>
        <w:t xml:space="preserve"> ولله في خلقه شؤون</w:t>
      </w:r>
      <w:r w:rsidR="00DB731D" w:rsidRPr="00A52585">
        <w:rPr>
          <w:rFonts w:hint="cs"/>
          <w:sz w:val="24"/>
          <w:szCs w:val="24"/>
          <w:rtl/>
        </w:rPr>
        <w:t>،</w:t>
      </w:r>
      <w:r w:rsidR="00777DCB" w:rsidRPr="00A52585">
        <w:rPr>
          <w:rFonts w:hint="cs"/>
          <w:sz w:val="24"/>
          <w:szCs w:val="24"/>
          <w:rtl/>
        </w:rPr>
        <w:t xml:space="preserve"> وجلالة قدر ابن خزيمة في الفقه والحديث لم تحل دون سقوطه حينما خاض فيما لا يحسنه</w:t>
      </w:r>
      <w:r w:rsidR="00DB731D" w:rsidRPr="00A52585">
        <w:rPr>
          <w:rFonts w:hint="cs"/>
          <w:sz w:val="24"/>
          <w:szCs w:val="24"/>
          <w:rtl/>
        </w:rPr>
        <w:t>،</w:t>
      </w:r>
      <w:r w:rsidR="00777DCB" w:rsidRPr="00A52585">
        <w:rPr>
          <w:rFonts w:hint="cs"/>
          <w:sz w:val="24"/>
          <w:szCs w:val="24"/>
          <w:rtl/>
        </w:rPr>
        <w:t xml:space="preserve"> ولعل ذلك جزاء معنوي بمساعدته لمحمد بن عبد الحكم في تأليفه ذلك الرد القاسي ضد الامام المطلبي القرشي الشافعي رضي </w:t>
      </w:r>
      <w:r w:rsidR="00777DCB" w:rsidRPr="00A52585">
        <w:rPr>
          <w:rFonts w:hint="cs"/>
          <w:sz w:val="24"/>
          <w:szCs w:val="24"/>
          <w:rtl/>
        </w:rPr>
        <w:lastRenderedPageBreak/>
        <w:t>الله عنه " اه‍ فتأمل جيدا في هذه التعليقة النفيسة الذهبية التي كتبها المحدث الكوثري عليه الرحمة والرضوان</w:t>
      </w:r>
      <w:r w:rsidR="00777DCB" w:rsidRPr="00A52585">
        <w:rPr>
          <w:rFonts w:hint="cs"/>
          <w:rtl/>
        </w:rPr>
        <w:t>]</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باب إثبات اليد</w:t>
      </w:r>
      <w:r w:rsidR="00DB731D" w:rsidRPr="00A52585">
        <w:rPr>
          <w:rFonts w:hint="cs"/>
          <w:rtl/>
        </w:rPr>
        <w:t>،</w:t>
      </w:r>
      <w:r w:rsidR="00777DCB" w:rsidRPr="00A52585">
        <w:rPr>
          <w:rFonts w:hint="cs"/>
          <w:rtl/>
        </w:rPr>
        <w:t xml:space="preserve"> باب امساك السموات على أصابعه</w:t>
      </w:r>
      <w:r w:rsidR="00DB731D" w:rsidRPr="00A52585">
        <w:rPr>
          <w:rFonts w:hint="cs"/>
          <w:rtl/>
        </w:rPr>
        <w:t>،</w:t>
      </w:r>
      <w:r w:rsidR="00777DCB" w:rsidRPr="00A52585">
        <w:rPr>
          <w:rFonts w:hint="cs"/>
          <w:rtl/>
        </w:rPr>
        <w:t xml:space="preserve"> باب إثبات الرجل وإن رغمت أنوف المعتزلة</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ألهم أرجل يمشون بها أم لهم أيد يبطشون بها</w:t>
      </w:r>
      <w:r w:rsidRPr="00A52585">
        <w:rPr>
          <w:rFonts w:hint="cs"/>
          <w:rtl/>
        </w:rPr>
        <w:t>)</w:t>
      </w:r>
      <w:r w:rsidR="00777DCB" w:rsidRPr="00A52585">
        <w:rPr>
          <w:rFonts w:hint="cs"/>
          <w:rtl/>
        </w:rPr>
        <w:t xml:space="preserve"> الاعراف</w:t>
      </w:r>
      <w:r w:rsidRPr="00A52585">
        <w:rPr>
          <w:rFonts w:hint="cs"/>
          <w:rtl/>
        </w:rPr>
        <w:t>:</w:t>
      </w:r>
      <w:r w:rsidR="00777DCB" w:rsidRPr="00A52585">
        <w:rPr>
          <w:rFonts w:hint="cs"/>
          <w:rtl/>
        </w:rPr>
        <w:t xml:space="preserve"> 69</w:t>
      </w:r>
      <w:r w:rsidR="00897A24" w:rsidRPr="00A52585">
        <w:rPr>
          <w:rFonts w:hint="cs"/>
          <w:rtl/>
        </w:rPr>
        <w:t>.</w:t>
      </w:r>
      <w:r w:rsidR="00777DCB" w:rsidRPr="00A52585">
        <w:rPr>
          <w:rFonts w:hint="cs"/>
          <w:rtl/>
        </w:rPr>
        <w:t xml:space="preserve"> فأعلمنا أن من لا يد له ولا رجل فهو كالأنعام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واني لأعجب من هذا الرجل مع علو قدره في علم النقل يقول هذا ويثبت لله ما ذم الاصنام بعدمه من اليد الباطشة والرجل الماشية</w:t>
      </w:r>
      <w:r w:rsidR="00DB731D" w:rsidRPr="00A52585">
        <w:rPr>
          <w:rFonts w:hint="cs"/>
          <w:rtl/>
        </w:rPr>
        <w:t>،</w:t>
      </w:r>
      <w:r w:rsidR="00777DCB" w:rsidRPr="00A52585">
        <w:rPr>
          <w:rFonts w:hint="cs"/>
          <w:rtl/>
        </w:rPr>
        <w:t xml:space="preserve"> ويلزمه ان يثبت الاذن</w:t>
      </w:r>
      <w:r w:rsidR="00DB731D" w:rsidRPr="00A52585">
        <w:rPr>
          <w:rFonts w:hint="cs"/>
          <w:rtl/>
        </w:rPr>
        <w:t>،</w:t>
      </w:r>
      <w:r w:rsidR="00777DCB" w:rsidRPr="00A52585">
        <w:rPr>
          <w:rFonts w:hint="cs"/>
          <w:rtl/>
        </w:rPr>
        <w:t xml:space="preserve"> ولو رزق الفهم ما تكلم بهذا</w:t>
      </w:r>
      <w:r w:rsidR="00DB731D" w:rsidRPr="00A52585">
        <w:rPr>
          <w:rFonts w:hint="cs"/>
          <w:rtl/>
        </w:rPr>
        <w:t>،</w:t>
      </w:r>
      <w:r w:rsidR="00777DCB" w:rsidRPr="00A52585">
        <w:rPr>
          <w:rFonts w:hint="cs"/>
          <w:rtl/>
        </w:rPr>
        <w:t xml:space="preserve"> ولفهم أن الله تعالى عاب الاصنام عند عابديها</w:t>
      </w:r>
      <w:r w:rsidR="00DB731D" w:rsidRPr="00A52585">
        <w:rPr>
          <w:rFonts w:hint="cs"/>
          <w:rtl/>
        </w:rPr>
        <w:t>،</w:t>
      </w:r>
      <w:r w:rsidR="00777DCB" w:rsidRPr="00A52585">
        <w:rPr>
          <w:rFonts w:hint="cs"/>
          <w:rtl/>
        </w:rPr>
        <w:t xml:space="preserve"> والمعنى</w:t>
      </w:r>
      <w:r w:rsidRPr="00A52585">
        <w:rPr>
          <w:rFonts w:hint="cs"/>
          <w:rtl/>
        </w:rPr>
        <w:t>:</w:t>
      </w:r>
      <w:r w:rsidR="00777DCB" w:rsidRPr="00A52585">
        <w:rPr>
          <w:rFonts w:hint="cs"/>
          <w:rtl/>
        </w:rPr>
        <w:t xml:space="preserve"> لكم أيد وأرجل فكيف عبدتم ناقصا لا يد له يبطش ولا رجل يمشي بها</w:t>
      </w:r>
      <w:r w:rsidR="00DB731D" w:rsidRPr="00A52585">
        <w:rPr>
          <w:rFonts w:hint="cs"/>
          <w:rtl/>
        </w:rPr>
        <w:t>،</w:t>
      </w:r>
      <w:r w:rsidR="00777DCB" w:rsidRPr="00A52585">
        <w:rPr>
          <w:rFonts w:hint="cs"/>
          <w:rtl/>
        </w:rPr>
        <w:t xml:space="preserve"> قال ابن عقيل</w:t>
      </w:r>
      <w:r w:rsidRPr="00A52585">
        <w:rPr>
          <w:rFonts w:hint="cs"/>
          <w:rtl/>
        </w:rPr>
        <w:t>:</w:t>
      </w:r>
      <w:r w:rsidR="00777DCB" w:rsidRPr="00A52585">
        <w:rPr>
          <w:rFonts w:hint="cs"/>
          <w:rtl/>
        </w:rPr>
        <w:t xml:space="preserve"> تعالى الله أن يكون له صفة تشغل الامكنة</w:t>
      </w:r>
      <w:r w:rsidR="00DB731D" w:rsidRPr="00A52585">
        <w:rPr>
          <w:rFonts w:hint="cs"/>
          <w:rtl/>
        </w:rPr>
        <w:t>،</w:t>
      </w:r>
      <w:r w:rsidR="00777DCB" w:rsidRPr="00A52585">
        <w:rPr>
          <w:rFonts w:hint="cs"/>
          <w:rtl/>
        </w:rPr>
        <w:t xml:space="preserve"> هذا عين التجسيم</w:t>
      </w:r>
      <w:r w:rsidR="00DB731D" w:rsidRPr="00A52585">
        <w:rPr>
          <w:rFonts w:hint="cs"/>
          <w:rtl/>
        </w:rPr>
        <w:t>،</w:t>
      </w:r>
      <w:r w:rsidR="00777DCB" w:rsidRPr="00A52585">
        <w:rPr>
          <w:rFonts w:hint="cs"/>
          <w:rtl/>
        </w:rPr>
        <w:t xml:space="preserve"> وليس الحق بذي أجزاء وأبعاض يعالج بها</w:t>
      </w:r>
      <w:r w:rsidR="00DB731D" w:rsidRPr="00A52585">
        <w:rPr>
          <w:rFonts w:hint="cs"/>
          <w:rtl/>
        </w:rPr>
        <w:t>،</w:t>
      </w:r>
      <w:r w:rsidR="00777DCB" w:rsidRPr="00A52585">
        <w:rPr>
          <w:rFonts w:hint="cs"/>
          <w:rtl/>
        </w:rPr>
        <w:t xml:space="preserve"> ثم أليس يعمل في النار أمره وتكوينه</w:t>
      </w:r>
      <w:r w:rsidR="00F95886" w:rsidRPr="00A52585">
        <w:rPr>
          <w:rFonts w:hint="cs"/>
          <w:rtl/>
        </w:rPr>
        <w:t>؟</w:t>
      </w:r>
      <w:r w:rsidR="00777DCB" w:rsidRPr="00A52585">
        <w:rPr>
          <w:rFonts w:hint="cs"/>
          <w:rtl/>
        </w:rPr>
        <w:t xml:space="preserve"> فكيف يستعين بشيء من ذاته ويعالجها بصفة من صفاته وهو القائل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كوني بردا وسلاما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الانبياء</w:t>
      </w:r>
      <w:r w:rsidRPr="00A52585">
        <w:rPr>
          <w:rFonts w:hint="cs"/>
          <w:rtl/>
        </w:rPr>
        <w:t>:</w:t>
      </w:r>
      <w:r w:rsidR="00777DCB" w:rsidRPr="00A52585">
        <w:rPr>
          <w:rFonts w:hint="cs"/>
          <w:rtl/>
        </w:rPr>
        <w:t xml:space="preserve"> 69</w:t>
      </w:r>
      <w:r w:rsidRPr="00A52585">
        <w:rPr>
          <w:rFonts w:hint="cs"/>
          <w:rtl/>
        </w:rPr>
        <w:t>]</w:t>
      </w:r>
      <w:r w:rsidR="00F95886" w:rsidRPr="00A52585">
        <w:rPr>
          <w:rFonts w:hint="cs"/>
          <w:rtl/>
        </w:rPr>
        <w:t>؟!!</w:t>
      </w:r>
      <w:r w:rsidR="00777DCB" w:rsidRPr="00A52585">
        <w:rPr>
          <w:rFonts w:hint="cs"/>
          <w:rtl/>
        </w:rPr>
        <w:t xml:space="preserve"> فما أسخف هذا الاعتقاد وأبعده عن مكون الاملاك والافلاك فقد كذبهم الله تعالى في كتابه إذ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لو كان هؤلاء آلهة ما وردوها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الانبياء</w:t>
      </w:r>
      <w:r w:rsidRPr="00A52585">
        <w:rPr>
          <w:rFonts w:hint="cs"/>
          <w:rtl/>
        </w:rPr>
        <w:t>:</w:t>
      </w:r>
      <w:r w:rsidR="00777DCB" w:rsidRPr="00A52585">
        <w:rPr>
          <w:rFonts w:hint="cs"/>
          <w:rtl/>
        </w:rPr>
        <w:t xml:space="preserve"> 99</w:t>
      </w:r>
      <w:r w:rsidRPr="00A52585">
        <w:rPr>
          <w:rFonts w:hint="cs"/>
          <w:rtl/>
        </w:rPr>
        <w:t>]</w:t>
      </w:r>
      <w:r w:rsidR="00DB731D" w:rsidRPr="00A52585">
        <w:rPr>
          <w:rFonts w:hint="cs"/>
          <w:rtl/>
        </w:rPr>
        <w:t>،</w:t>
      </w:r>
      <w:r w:rsidR="00777DCB" w:rsidRPr="00A52585">
        <w:rPr>
          <w:rFonts w:hint="cs"/>
          <w:rtl/>
        </w:rPr>
        <w:t xml:space="preserve"> فكيف يظن بالخالق أنه </w:t>
      </w:r>
      <w:proofErr w:type="gramStart"/>
      <w:r w:rsidR="00777DCB" w:rsidRPr="00A52585">
        <w:rPr>
          <w:rFonts w:hint="cs"/>
          <w:rtl/>
        </w:rPr>
        <w:t>يردها</w:t>
      </w:r>
      <w:r w:rsidR="00897A24" w:rsidRPr="00A52585">
        <w:rPr>
          <w:rFonts w:hint="cs"/>
          <w:rtl/>
        </w:rPr>
        <w:t>..</w:t>
      </w:r>
      <w:r w:rsidR="00F95886" w:rsidRPr="00A52585">
        <w:rPr>
          <w:rFonts w:hint="cs"/>
          <w:rtl/>
        </w:rPr>
        <w:t>؟</w:t>
      </w:r>
      <w:proofErr w:type="gramEnd"/>
      <w:r w:rsidR="00F95886" w:rsidRPr="00A52585">
        <w:rPr>
          <w:rFonts w:hint="cs"/>
          <w:rtl/>
        </w:rPr>
        <w:t>!!</w:t>
      </w:r>
      <w:r w:rsidR="00777DCB" w:rsidRPr="00A52585">
        <w:rPr>
          <w:rFonts w:hint="cs"/>
          <w:rtl/>
        </w:rPr>
        <w:t xml:space="preserve"> تعالى الله عن تجاهل المجسمة</w:t>
      </w:r>
      <w:r w:rsidR="00DB731D" w:rsidRPr="00A52585">
        <w:rPr>
          <w:rFonts w:hint="cs"/>
          <w:rtl/>
        </w:rPr>
        <w:t>،</w:t>
      </w:r>
      <w:r w:rsidR="00777DCB" w:rsidRPr="00A52585">
        <w:rPr>
          <w:rFonts w:hint="cs"/>
          <w:rtl/>
        </w:rPr>
        <w:t xml:space="preserve"> </w:t>
      </w:r>
    </w:p>
    <w:p w14:paraId="5C8007A1" w14:textId="4E77DCE9" w:rsidR="00777DCB" w:rsidRPr="00A52585" w:rsidRDefault="0002035C" w:rsidP="0002035C">
      <w:pPr>
        <w:rPr>
          <w:b/>
          <w:rtl/>
        </w:rPr>
      </w:pPr>
      <w:r w:rsidRPr="00A52585">
        <w:rPr>
          <w:rFonts w:hint="cs"/>
          <w:bCs/>
          <w:u w:val="single"/>
          <w:rtl/>
        </w:rPr>
        <w:t>[</w:t>
      </w:r>
      <w:r w:rsidR="00777DCB" w:rsidRPr="00A52585">
        <w:rPr>
          <w:rFonts w:hint="cs"/>
          <w:bCs/>
          <w:u w:val="single"/>
          <w:rtl/>
        </w:rPr>
        <w:t>12</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 عشر</w:t>
      </w:r>
      <w:r w:rsidRPr="00A52585">
        <w:rPr>
          <w:rFonts w:hint="cs"/>
          <w:bCs/>
          <w:rtl/>
        </w:rPr>
        <w:t>]:</w:t>
      </w:r>
      <w:r w:rsidR="00777DCB" w:rsidRPr="00A52585">
        <w:rPr>
          <w:rFonts w:hint="cs"/>
          <w:rtl/>
        </w:rPr>
        <w:t xml:space="preserve"> روى أبو هريرة - رضي الله عنه - عن النبي صلى الله عليه وسلم أنه قال</w:t>
      </w:r>
      <w:r w:rsidRPr="00A52585">
        <w:rPr>
          <w:rFonts w:hint="cs"/>
          <w:rtl/>
        </w:rPr>
        <w:t>:</w:t>
      </w:r>
      <w:r w:rsidR="00777DCB" w:rsidRPr="00A52585">
        <w:rPr>
          <w:rFonts w:hint="cs"/>
          <w:rtl/>
        </w:rPr>
        <w:t xml:space="preserve"> " ضرس الكافر مثل أحد</w:t>
      </w:r>
      <w:r w:rsidR="00DB731D" w:rsidRPr="00A52585">
        <w:rPr>
          <w:rFonts w:hint="cs"/>
          <w:rtl/>
        </w:rPr>
        <w:t>،</w:t>
      </w:r>
      <w:r w:rsidR="00777DCB" w:rsidRPr="00A52585">
        <w:rPr>
          <w:rFonts w:hint="cs"/>
          <w:rtl/>
        </w:rPr>
        <w:t xml:space="preserve"> وكثافة جلده </w:t>
      </w:r>
      <w:proofErr w:type="spellStart"/>
      <w:r w:rsidR="00777DCB" w:rsidRPr="00A52585">
        <w:rPr>
          <w:rFonts w:hint="cs"/>
          <w:rtl/>
        </w:rPr>
        <w:t>إثنان</w:t>
      </w:r>
      <w:proofErr w:type="spellEnd"/>
      <w:r w:rsidR="00777DCB" w:rsidRPr="00A52585">
        <w:rPr>
          <w:rFonts w:hint="cs"/>
          <w:rtl/>
        </w:rPr>
        <w:t xml:space="preserve"> وأربعون ذراعا بذراع الجبار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بهذا اللفظ أحمد في مسنده </w:t>
      </w:r>
      <w:r w:rsidRPr="00A52585">
        <w:rPr>
          <w:rFonts w:hint="cs"/>
          <w:sz w:val="24"/>
          <w:szCs w:val="24"/>
          <w:rtl/>
        </w:rPr>
        <w:t>(</w:t>
      </w:r>
      <w:r w:rsidR="00777DCB" w:rsidRPr="00A52585">
        <w:rPr>
          <w:rFonts w:hint="cs"/>
          <w:sz w:val="24"/>
          <w:szCs w:val="24"/>
          <w:rtl/>
        </w:rPr>
        <w:t>2 / 334 و 537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في المستدرك </w:t>
      </w:r>
      <w:r w:rsidRPr="00A52585">
        <w:rPr>
          <w:rFonts w:hint="cs"/>
          <w:sz w:val="24"/>
          <w:szCs w:val="24"/>
          <w:rtl/>
        </w:rPr>
        <w:t>(</w:t>
      </w:r>
      <w:r w:rsidR="00777DCB" w:rsidRPr="00A52585">
        <w:rPr>
          <w:rFonts w:hint="cs"/>
          <w:sz w:val="24"/>
          <w:szCs w:val="24"/>
          <w:rtl/>
        </w:rPr>
        <w:t>4 / 595</w:t>
      </w:r>
      <w:r w:rsidRPr="00A52585">
        <w:rPr>
          <w:rFonts w:hint="cs"/>
          <w:sz w:val="24"/>
          <w:szCs w:val="24"/>
          <w:rtl/>
        </w:rPr>
        <w:t>)</w:t>
      </w:r>
      <w:r w:rsidR="00777DCB" w:rsidRPr="00A52585">
        <w:rPr>
          <w:rFonts w:hint="cs"/>
          <w:sz w:val="24"/>
          <w:szCs w:val="24"/>
          <w:rtl/>
        </w:rPr>
        <w:t xml:space="preserve"> وقال عقبه</w:t>
      </w:r>
      <w:r w:rsidRPr="00A52585">
        <w:rPr>
          <w:rFonts w:hint="cs"/>
          <w:sz w:val="24"/>
          <w:szCs w:val="24"/>
          <w:rtl/>
        </w:rPr>
        <w:t>:</w:t>
      </w:r>
      <w:r w:rsidR="00777DCB" w:rsidRPr="00A52585">
        <w:rPr>
          <w:rFonts w:hint="cs"/>
          <w:sz w:val="24"/>
          <w:szCs w:val="24"/>
          <w:rtl/>
        </w:rPr>
        <w:t xml:space="preserve"> " قال الشيخ أبو بكر رضي الله عنه</w:t>
      </w:r>
      <w:r w:rsidRPr="00A52585">
        <w:rPr>
          <w:rFonts w:hint="cs"/>
          <w:sz w:val="24"/>
          <w:szCs w:val="24"/>
          <w:rtl/>
        </w:rPr>
        <w:t>:</w:t>
      </w:r>
      <w:r w:rsidR="00777DCB" w:rsidRPr="00A52585">
        <w:rPr>
          <w:rFonts w:hint="cs"/>
          <w:sz w:val="24"/>
          <w:szCs w:val="24"/>
          <w:rtl/>
        </w:rPr>
        <w:t xml:space="preserve"> معنى قوله " بذراع الجبار</w:t>
      </w:r>
      <w:r w:rsidRPr="00A52585">
        <w:rPr>
          <w:rFonts w:hint="cs"/>
          <w:sz w:val="24"/>
          <w:szCs w:val="24"/>
          <w:rtl/>
        </w:rPr>
        <w:t>:</w:t>
      </w:r>
      <w:r w:rsidR="00777DCB" w:rsidRPr="00A52585">
        <w:rPr>
          <w:rFonts w:hint="cs"/>
          <w:sz w:val="24"/>
          <w:szCs w:val="24"/>
          <w:rtl/>
        </w:rPr>
        <w:t xml:space="preserve"> أي جبار من جبابرة الآدميين ممن كان في القرون الاولى ممن كان أعظم خلقا وأطول أعضاء وذراعا من الناس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وأبو بكر هذا هو</w:t>
      </w:r>
      <w:r w:rsidRPr="00A52585">
        <w:rPr>
          <w:rFonts w:hint="cs"/>
          <w:sz w:val="24"/>
          <w:szCs w:val="24"/>
          <w:rtl/>
        </w:rPr>
        <w:t>:</w:t>
      </w:r>
      <w:r w:rsidR="00777DCB" w:rsidRPr="00A52585">
        <w:rPr>
          <w:rFonts w:hint="cs"/>
          <w:sz w:val="24"/>
          <w:szCs w:val="24"/>
          <w:rtl/>
        </w:rPr>
        <w:t xml:space="preserve"> الصبغي</w:t>
      </w:r>
      <w:r w:rsidR="00DB731D" w:rsidRPr="00A52585">
        <w:rPr>
          <w:rFonts w:hint="cs"/>
          <w:sz w:val="24"/>
          <w:szCs w:val="24"/>
          <w:rtl/>
        </w:rPr>
        <w:t>،</w:t>
      </w:r>
      <w:r w:rsidR="00777DCB" w:rsidRPr="00A52585">
        <w:rPr>
          <w:rFonts w:hint="cs"/>
          <w:sz w:val="24"/>
          <w:szCs w:val="24"/>
          <w:rtl/>
        </w:rPr>
        <w:t xml:space="preserve"> وهو الامام العلامة المفتي المحدث كما وصفه الحافظ الذهبي في " سير أعلام النبلاء " </w:t>
      </w:r>
      <w:r w:rsidRPr="00A52585">
        <w:rPr>
          <w:rFonts w:hint="cs"/>
          <w:sz w:val="24"/>
          <w:szCs w:val="24"/>
          <w:rtl/>
        </w:rPr>
        <w:t>(</w:t>
      </w:r>
      <w:r w:rsidR="00777DCB" w:rsidRPr="00A52585">
        <w:rPr>
          <w:rFonts w:hint="cs"/>
          <w:sz w:val="24"/>
          <w:szCs w:val="24"/>
          <w:rtl/>
        </w:rPr>
        <w:t>15 / 483</w:t>
      </w:r>
      <w:r w:rsidRPr="00A52585">
        <w:rPr>
          <w:rFonts w:hint="cs"/>
          <w:sz w:val="24"/>
          <w:szCs w:val="24"/>
          <w:rtl/>
        </w:rPr>
        <w:t>)</w:t>
      </w:r>
      <w:r w:rsidR="00777DCB" w:rsidRPr="00A52585">
        <w:rPr>
          <w:rFonts w:hint="cs"/>
          <w:sz w:val="24"/>
          <w:szCs w:val="24"/>
          <w:rtl/>
        </w:rPr>
        <w:t xml:space="preserve"> عندما ترجمه وقال الذهبي ص </w:t>
      </w:r>
      <w:r w:rsidRPr="00A52585">
        <w:rPr>
          <w:rFonts w:hint="cs"/>
          <w:sz w:val="24"/>
          <w:szCs w:val="24"/>
          <w:rtl/>
        </w:rPr>
        <w:t>(</w:t>
      </w:r>
      <w:r w:rsidR="00777DCB" w:rsidRPr="00A52585">
        <w:rPr>
          <w:rFonts w:hint="cs"/>
          <w:sz w:val="24"/>
          <w:szCs w:val="24"/>
          <w:rtl/>
        </w:rPr>
        <w:t>484</w:t>
      </w:r>
      <w:r w:rsidRPr="00A52585">
        <w:rPr>
          <w:rFonts w:hint="cs"/>
          <w:sz w:val="24"/>
          <w:szCs w:val="24"/>
          <w:rtl/>
        </w:rPr>
        <w:t>):</w:t>
      </w:r>
      <w:r w:rsidR="00777DCB" w:rsidRPr="00A52585">
        <w:rPr>
          <w:rFonts w:hint="cs"/>
          <w:sz w:val="24"/>
          <w:szCs w:val="24"/>
          <w:rtl/>
        </w:rPr>
        <w:t xml:space="preserve"> " جمع وصنف وبرع في الفقه وتميز في علم الحديث "</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توفي الصبغي هذا سنة </w:t>
      </w:r>
      <w:r w:rsidRPr="00A52585">
        <w:rPr>
          <w:rFonts w:hint="cs"/>
          <w:sz w:val="24"/>
          <w:szCs w:val="24"/>
          <w:rtl/>
        </w:rPr>
        <w:t>(</w:t>
      </w:r>
      <w:r w:rsidR="00777DCB" w:rsidRPr="00A52585">
        <w:rPr>
          <w:rFonts w:hint="cs"/>
          <w:sz w:val="24"/>
          <w:szCs w:val="24"/>
          <w:rtl/>
        </w:rPr>
        <w:t>342</w:t>
      </w:r>
      <w:r w:rsidRPr="00A52585">
        <w:rPr>
          <w:rFonts w:hint="cs"/>
          <w:sz w:val="24"/>
          <w:szCs w:val="24"/>
          <w:rtl/>
        </w:rPr>
        <w:t>)</w:t>
      </w:r>
      <w:r w:rsidR="00777DCB" w:rsidRPr="00A52585">
        <w:rPr>
          <w:rFonts w:hint="cs"/>
          <w:sz w:val="24"/>
          <w:szCs w:val="24"/>
          <w:rtl/>
        </w:rPr>
        <w:t xml:space="preserve"> وقد حج كما في " السير " </w:t>
      </w:r>
      <w:r w:rsidRPr="00A52585">
        <w:rPr>
          <w:rFonts w:hint="cs"/>
          <w:sz w:val="24"/>
          <w:szCs w:val="24"/>
          <w:rtl/>
        </w:rPr>
        <w:t>(</w:t>
      </w:r>
      <w:r w:rsidR="00777DCB" w:rsidRPr="00A52585">
        <w:rPr>
          <w:rFonts w:hint="cs"/>
          <w:sz w:val="24"/>
          <w:szCs w:val="24"/>
          <w:rtl/>
        </w:rPr>
        <w:t>15 / 484</w:t>
      </w:r>
      <w:r w:rsidRPr="00A52585">
        <w:rPr>
          <w:rFonts w:hint="cs"/>
          <w:sz w:val="24"/>
          <w:szCs w:val="24"/>
          <w:rtl/>
        </w:rPr>
        <w:t>)</w:t>
      </w:r>
      <w:r w:rsidR="00777DCB" w:rsidRPr="00A52585">
        <w:rPr>
          <w:rFonts w:hint="cs"/>
          <w:sz w:val="24"/>
          <w:szCs w:val="24"/>
          <w:rtl/>
        </w:rPr>
        <w:t xml:space="preserve"> سنة </w:t>
      </w:r>
      <w:r w:rsidRPr="00A52585">
        <w:rPr>
          <w:rFonts w:hint="cs"/>
          <w:sz w:val="24"/>
          <w:szCs w:val="24"/>
          <w:rtl/>
        </w:rPr>
        <w:t>(</w:t>
      </w:r>
      <w:r w:rsidR="00777DCB" w:rsidRPr="00A52585">
        <w:rPr>
          <w:rFonts w:hint="cs"/>
          <w:sz w:val="24"/>
          <w:szCs w:val="24"/>
          <w:rtl/>
        </w:rPr>
        <w:t>283</w:t>
      </w:r>
      <w:r w:rsidRPr="00A52585">
        <w:rPr>
          <w:rFonts w:hint="cs"/>
          <w:sz w:val="24"/>
          <w:szCs w:val="24"/>
          <w:rtl/>
        </w:rPr>
        <w:t>)</w:t>
      </w:r>
      <w:r w:rsidR="00777DCB" w:rsidRPr="00A52585">
        <w:rPr>
          <w:rFonts w:hint="cs"/>
          <w:sz w:val="24"/>
          <w:szCs w:val="24"/>
          <w:rtl/>
        </w:rPr>
        <w:t xml:space="preserve"> فهو من أئمة السلف ومن المحدثين</w:t>
      </w:r>
      <w:r w:rsidR="00DB731D" w:rsidRPr="00A52585">
        <w:rPr>
          <w:rFonts w:hint="cs"/>
          <w:sz w:val="24"/>
          <w:szCs w:val="24"/>
          <w:rtl/>
        </w:rPr>
        <w:t>،</w:t>
      </w:r>
      <w:r w:rsidR="00777DCB" w:rsidRPr="00A52585">
        <w:rPr>
          <w:rFonts w:hint="cs"/>
          <w:sz w:val="24"/>
          <w:szCs w:val="24"/>
          <w:rtl/>
        </w:rPr>
        <w:t xml:space="preserve"> وقد أول هذا الحديث على فرض ثبوت لفظة " بذراع الجبار " فيه وما أراها تثبت ولا نطق بها سيدنا محمد صلى الله عليه وسلم</w:t>
      </w:r>
      <w:r w:rsidR="00DB731D" w:rsidRPr="00A52585">
        <w:rPr>
          <w:rFonts w:hint="cs"/>
          <w:sz w:val="24"/>
          <w:szCs w:val="24"/>
          <w:rtl/>
        </w:rPr>
        <w:t>،</w:t>
      </w:r>
      <w:r w:rsidR="00777DCB" w:rsidRPr="00A52585">
        <w:rPr>
          <w:rFonts w:hint="cs"/>
          <w:sz w:val="24"/>
          <w:szCs w:val="24"/>
          <w:rtl/>
        </w:rPr>
        <w:t xml:space="preserve"> والدليل على عدم ثبوتها أن هذا الحديث قد روي في مواضع أخرى أيضا فلم يرد لفظ " ذراع الجبار " كما وقع في " الترمذي "</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4 / 703 برقم 2577 و 2578 و 2579</w:t>
      </w:r>
      <w:r w:rsidRPr="00A52585">
        <w:rPr>
          <w:rFonts w:hint="cs"/>
          <w:sz w:val="24"/>
          <w:szCs w:val="24"/>
          <w:rtl/>
        </w:rPr>
        <w:t>)</w:t>
      </w:r>
      <w:r w:rsidR="00777DCB" w:rsidRPr="00A52585">
        <w:rPr>
          <w:rFonts w:hint="cs"/>
          <w:sz w:val="24"/>
          <w:szCs w:val="24"/>
          <w:rtl/>
        </w:rPr>
        <w:t xml:space="preserve"> والدليل متى </w:t>
      </w:r>
      <w:proofErr w:type="spellStart"/>
      <w:r w:rsidR="00777DCB" w:rsidRPr="00A52585">
        <w:rPr>
          <w:rFonts w:hint="cs"/>
          <w:sz w:val="24"/>
          <w:szCs w:val="24"/>
          <w:rtl/>
        </w:rPr>
        <w:t>طرأه</w:t>
      </w:r>
      <w:proofErr w:type="spellEnd"/>
      <w:r w:rsidR="00777DCB" w:rsidRPr="00A52585">
        <w:rPr>
          <w:rFonts w:hint="cs"/>
          <w:sz w:val="24"/>
          <w:szCs w:val="24"/>
          <w:rtl/>
        </w:rPr>
        <w:t xml:space="preserve"> الاحتمال سقط به الاستدلال أعني " اللفظ المحتمل المتصرف فيه من قبل الرواة " كما هو مقرر في علم الاصول</w:t>
      </w:r>
      <w:r w:rsidR="00DB731D" w:rsidRPr="00A52585">
        <w:rPr>
          <w:rFonts w:hint="cs"/>
          <w:sz w:val="24"/>
          <w:szCs w:val="24"/>
          <w:rtl/>
        </w:rPr>
        <w:t>،</w:t>
      </w:r>
      <w:r w:rsidR="00777DCB" w:rsidRPr="00A52585">
        <w:rPr>
          <w:rFonts w:hint="cs"/>
          <w:sz w:val="24"/>
          <w:szCs w:val="24"/>
          <w:rtl/>
        </w:rPr>
        <w:t xml:space="preserve"> وهذا لفظ الترمذي من حديث أبي هريرة</w:t>
      </w:r>
      <w:r w:rsidRPr="00A52585">
        <w:rPr>
          <w:rFonts w:hint="cs"/>
          <w:sz w:val="24"/>
          <w:szCs w:val="24"/>
          <w:rtl/>
        </w:rPr>
        <w:t>:</w:t>
      </w:r>
      <w:r w:rsidR="00777DCB" w:rsidRPr="00A52585">
        <w:rPr>
          <w:rFonts w:hint="cs"/>
          <w:sz w:val="24"/>
          <w:szCs w:val="24"/>
          <w:rtl/>
        </w:rPr>
        <w:t xml:space="preserve"> " إن غلظ جلد الكافر </w:t>
      </w:r>
      <w:proofErr w:type="spellStart"/>
      <w:r w:rsidR="00777DCB" w:rsidRPr="00A52585">
        <w:rPr>
          <w:rFonts w:hint="cs"/>
          <w:sz w:val="24"/>
          <w:szCs w:val="24"/>
          <w:rtl/>
        </w:rPr>
        <w:t>إثنان</w:t>
      </w:r>
      <w:proofErr w:type="spellEnd"/>
      <w:r w:rsidR="00777DCB" w:rsidRPr="00A52585">
        <w:rPr>
          <w:rFonts w:hint="cs"/>
          <w:sz w:val="24"/>
          <w:szCs w:val="24"/>
          <w:rtl/>
        </w:rPr>
        <w:t xml:space="preserve"> وأربعون ذراعا وإن ضرسه مثل أحد وإن مجلسه من جهنم كما بين مكة والمدينة " وقال</w:t>
      </w:r>
      <w:r w:rsidRPr="00A52585">
        <w:rPr>
          <w:rFonts w:hint="cs"/>
          <w:sz w:val="24"/>
          <w:szCs w:val="24"/>
          <w:rtl/>
        </w:rPr>
        <w:t>:</w:t>
      </w:r>
      <w:r w:rsidR="00777DCB" w:rsidRPr="00A52585">
        <w:rPr>
          <w:rFonts w:hint="cs"/>
          <w:sz w:val="24"/>
          <w:szCs w:val="24"/>
          <w:rtl/>
        </w:rPr>
        <w:t xml:space="preserve"> حسن صحيح غريب من حديث الاعمش قلت</w:t>
      </w:r>
      <w:r w:rsidRPr="00A52585">
        <w:rPr>
          <w:rFonts w:hint="cs"/>
          <w:sz w:val="24"/>
          <w:szCs w:val="24"/>
          <w:rtl/>
        </w:rPr>
        <w:t>:</w:t>
      </w:r>
      <w:r w:rsidR="00777DCB" w:rsidRPr="00A52585">
        <w:rPr>
          <w:rFonts w:hint="cs"/>
          <w:sz w:val="24"/>
          <w:szCs w:val="24"/>
          <w:rtl/>
        </w:rPr>
        <w:t xml:space="preserve"> ووقع في مسلم </w:t>
      </w:r>
      <w:r w:rsidRPr="00A52585">
        <w:rPr>
          <w:rFonts w:hint="cs"/>
          <w:sz w:val="24"/>
          <w:szCs w:val="24"/>
          <w:rtl/>
        </w:rPr>
        <w:t>(</w:t>
      </w:r>
      <w:r w:rsidR="00777DCB" w:rsidRPr="00A52585">
        <w:rPr>
          <w:rFonts w:hint="cs"/>
          <w:sz w:val="24"/>
          <w:szCs w:val="24"/>
          <w:rtl/>
        </w:rPr>
        <w:t>4 / 2189 برقم 2851</w:t>
      </w:r>
      <w:r w:rsidRPr="00A52585">
        <w:rPr>
          <w:rFonts w:hint="cs"/>
          <w:sz w:val="24"/>
          <w:szCs w:val="24"/>
          <w:rtl/>
        </w:rPr>
        <w:t>)</w:t>
      </w:r>
      <w:r w:rsidR="00777DCB" w:rsidRPr="00A52585">
        <w:rPr>
          <w:rFonts w:hint="cs"/>
          <w:sz w:val="24"/>
          <w:szCs w:val="24"/>
          <w:rtl/>
        </w:rPr>
        <w:t xml:space="preserve"> أيضا دون لفظة</w:t>
      </w:r>
      <w:r w:rsidRPr="00A52585">
        <w:rPr>
          <w:rFonts w:hint="cs"/>
          <w:sz w:val="24"/>
          <w:szCs w:val="24"/>
          <w:rtl/>
        </w:rPr>
        <w:t>:</w:t>
      </w:r>
      <w:r w:rsidR="00777DCB" w:rsidRPr="00A52585">
        <w:rPr>
          <w:rFonts w:hint="cs"/>
          <w:sz w:val="24"/>
          <w:szCs w:val="24"/>
          <w:rtl/>
        </w:rPr>
        <w:t xml:space="preserve"> " ذراع الجبار " وهذا لفظه من حديث أبي هريرة</w:t>
      </w:r>
      <w:r w:rsidRPr="00A52585">
        <w:rPr>
          <w:rFonts w:hint="cs"/>
          <w:sz w:val="24"/>
          <w:szCs w:val="24"/>
          <w:rtl/>
        </w:rPr>
        <w:t>:</w:t>
      </w:r>
      <w:r w:rsidR="00777DCB" w:rsidRPr="00A52585">
        <w:rPr>
          <w:rFonts w:hint="cs"/>
          <w:sz w:val="24"/>
          <w:szCs w:val="24"/>
          <w:rtl/>
        </w:rPr>
        <w:t xml:space="preserve"> " ضرس الكافر أو ناب الكافر مثل أحد وغلظ جلده مسيرة ثلاث "</w:t>
      </w:r>
      <w:r w:rsidRPr="00A52585">
        <w:rPr>
          <w:rFonts w:hint="cs"/>
          <w:sz w:val="24"/>
          <w:szCs w:val="24"/>
          <w:rtl/>
        </w:rPr>
        <w:t>]</w:t>
      </w:r>
      <w:r w:rsidR="00DB731D" w:rsidRPr="00A52585">
        <w:rPr>
          <w:rFonts w:hint="cs"/>
          <w:rtl/>
        </w:rPr>
        <w:t>،</w:t>
      </w:r>
      <w:r w:rsidR="00777DCB" w:rsidRPr="00A52585">
        <w:rPr>
          <w:rFonts w:hint="cs"/>
          <w:rtl/>
        </w:rPr>
        <w:t xml:space="preserve"> قال أبو عمر الزاهد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الامام الاوحد العلامة </w:t>
      </w:r>
      <w:r w:rsidR="00777DCB" w:rsidRPr="00A52585">
        <w:rPr>
          <w:rFonts w:hint="cs"/>
          <w:sz w:val="24"/>
          <w:szCs w:val="24"/>
          <w:rtl/>
        </w:rPr>
        <w:lastRenderedPageBreak/>
        <w:t>اللغوي المحدث أبو عمر محمد بن عبد الواحد بن أبي هاشم البغدادي الزاهد المعروف بغلام ثعلب</w:t>
      </w:r>
      <w:r w:rsidR="00DB731D" w:rsidRPr="00A52585">
        <w:rPr>
          <w:rFonts w:hint="cs"/>
          <w:sz w:val="24"/>
          <w:szCs w:val="24"/>
          <w:rtl/>
        </w:rPr>
        <w:t>،</w:t>
      </w:r>
      <w:r w:rsidR="00777DCB" w:rsidRPr="00A52585">
        <w:rPr>
          <w:rFonts w:hint="cs"/>
          <w:sz w:val="24"/>
          <w:szCs w:val="24"/>
          <w:rtl/>
        </w:rPr>
        <w:t xml:space="preserve"> هكذا وصفه الحافظ الذهبي في ترجمته في " سير أعلام النبلاء " </w:t>
      </w:r>
      <w:r w:rsidRPr="00A52585">
        <w:rPr>
          <w:rFonts w:hint="cs"/>
          <w:sz w:val="24"/>
          <w:szCs w:val="24"/>
          <w:rtl/>
        </w:rPr>
        <w:t>(</w:t>
      </w:r>
      <w:r w:rsidR="00777DCB" w:rsidRPr="00A52585">
        <w:rPr>
          <w:rFonts w:hint="cs"/>
          <w:sz w:val="24"/>
          <w:szCs w:val="24"/>
          <w:rtl/>
        </w:rPr>
        <w:t>15 / 508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توفي سنة </w:t>
      </w:r>
      <w:r w:rsidRPr="00A52585">
        <w:rPr>
          <w:rFonts w:hint="cs"/>
          <w:sz w:val="24"/>
          <w:szCs w:val="24"/>
          <w:rtl/>
        </w:rPr>
        <w:t>(</w:t>
      </w:r>
      <w:r w:rsidR="00777DCB" w:rsidRPr="00A52585">
        <w:rPr>
          <w:rFonts w:hint="cs"/>
          <w:sz w:val="24"/>
          <w:szCs w:val="24"/>
          <w:rtl/>
        </w:rPr>
        <w:t>345</w:t>
      </w:r>
      <w:r w:rsidRPr="00A52585">
        <w:rPr>
          <w:rFonts w:hint="cs"/>
          <w:sz w:val="24"/>
          <w:szCs w:val="24"/>
          <w:rtl/>
        </w:rPr>
        <w:t>)</w:t>
      </w:r>
      <w:r w:rsidR="00777DCB" w:rsidRPr="00A52585">
        <w:rPr>
          <w:rFonts w:hint="cs"/>
          <w:sz w:val="24"/>
          <w:szCs w:val="24"/>
          <w:rtl/>
        </w:rPr>
        <w:t xml:space="preserve"> ه‍ فهذا تأويل أيضا لهذا الحديث عن إمام لغوي محدث سلفي والحمد لله على توفيقه</w:t>
      </w:r>
      <w:r w:rsidR="00DB731D" w:rsidRPr="00A52585">
        <w:rPr>
          <w:rFonts w:hint="cs"/>
          <w:sz w:val="24"/>
          <w:szCs w:val="24"/>
          <w:rtl/>
        </w:rPr>
        <w:t>،</w:t>
      </w:r>
      <w:r w:rsidR="00777DCB" w:rsidRPr="00A52585">
        <w:rPr>
          <w:rFonts w:hint="cs"/>
          <w:sz w:val="24"/>
          <w:szCs w:val="24"/>
          <w:rtl/>
        </w:rPr>
        <w:t xml:space="preserve"> وظهر بهذا وبما قبله من التعليق أن التأويل ثابت عن السلف والمحدثين خلافا لما يزعمه الشيخ الحراني وذيله المتعالم</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rtl/>
        </w:rPr>
        <w:t>]</w:t>
      </w:r>
      <w:r w:rsidRPr="00A52585">
        <w:rPr>
          <w:rFonts w:hint="cs"/>
          <w:rtl/>
        </w:rPr>
        <w:t>:</w:t>
      </w:r>
      <w:r w:rsidR="00777DCB" w:rsidRPr="00A52585">
        <w:rPr>
          <w:rFonts w:hint="cs"/>
          <w:rtl/>
        </w:rPr>
        <w:t xml:space="preserve"> الجبار ها هنا الطويل</w:t>
      </w:r>
      <w:r w:rsidR="00DB731D" w:rsidRPr="00A52585">
        <w:rPr>
          <w:rFonts w:hint="cs"/>
          <w:rtl/>
        </w:rPr>
        <w:t>،</w:t>
      </w:r>
      <w:r w:rsidR="00777DCB" w:rsidRPr="00A52585">
        <w:rPr>
          <w:rFonts w:hint="cs"/>
          <w:rtl/>
        </w:rPr>
        <w:t xml:space="preserve"> يقال</w:t>
      </w:r>
      <w:r w:rsidRPr="00A52585">
        <w:rPr>
          <w:rFonts w:hint="cs"/>
          <w:rtl/>
        </w:rPr>
        <w:t>:</w:t>
      </w:r>
      <w:r w:rsidR="00777DCB" w:rsidRPr="00A52585">
        <w:rPr>
          <w:rFonts w:hint="cs"/>
          <w:rtl/>
        </w:rPr>
        <w:t xml:space="preserve"> نخلة جبارة</w:t>
      </w:r>
      <w:r w:rsidR="00DB731D" w:rsidRPr="00A52585">
        <w:rPr>
          <w:rFonts w:hint="cs"/>
          <w:rtl/>
        </w:rPr>
        <w:t>،</w:t>
      </w:r>
      <w:r w:rsidR="00777DCB" w:rsidRPr="00A52585">
        <w:rPr>
          <w:rFonts w:hint="cs"/>
          <w:rtl/>
        </w:rPr>
        <w:t xml:space="preserve"> قال ابن قتيبة</w:t>
      </w:r>
      <w:r w:rsidRPr="00A52585">
        <w:rPr>
          <w:rFonts w:hint="cs"/>
          <w:rtl/>
        </w:rPr>
        <w:t>:</w:t>
      </w:r>
      <w:r w:rsidR="00777DCB" w:rsidRPr="00A52585">
        <w:rPr>
          <w:rFonts w:hint="cs"/>
          <w:rtl/>
        </w:rPr>
        <w:t xml:space="preserve"> الجبار ههنا الملك</w:t>
      </w:r>
      <w:r w:rsidR="00DB731D" w:rsidRPr="00A52585">
        <w:rPr>
          <w:rFonts w:hint="cs"/>
          <w:rtl/>
        </w:rPr>
        <w:t>،</w:t>
      </w:r>
      <w:r w:rsidR="00777DCB" w:rsidRPr="00A52585">
        <w:rPr>
          <w:rFonts w:hint="cs"/>
          <w:rtl/>
        </w:rPr>
        <w:t xml:space="preserve"> والجبابرة الملوك</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نحمله على ظاهره</w:t>
      </w:r>
      <w:r w:rsidR="00897A24" w:rsidRPr="00A52585">
        <w:rPr>
          <w:rFonts w:hint="cs"/>
          <w:rtl/>
        </w:rPr>
        <w:t>.</w:t>
      </w:r>
      <w:r w:rsidR="00777DCB" w:rsidRPr="00A52585">
        <w:rPr>
          <w:rFonts w:hint="cs"/>
          <w:rtl/>
        </w:rPr>
        <w:t xml:space="preserve"> والجبار هو الله تعالى</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w:t>
      </w:r>
      <w:proofErr w:type="gramStart"/>
      <w:r w:rsidR="00777DCB" w:rsidRPr="00A52585">
        <w:rPr>
          <w:rFonts w:hint="cs"/>
          <w:rtl/>
        </w:rPr>
        <w:t>واعجبا</w:t>
      </w:r>
      <w:proofErr w:type="gramEnd"/>
      <w:r w:rsidR="00777DCB" w:rsidRPr="00A52585">
        <w:rPr>
          <w:rFonts w:hint="cs"/>
          <w:rtl/>
        </w:rPr>
        <w:t xml:space="preserve"> أذهبت العقول إلى هذا الحد</w:t>
      </w:r>
      <w:r w:rsidR="00F95886" w:rsidRPr="00A52585">
        <w:rPr>
          <w:rFonts w:hint="cs"/>
          <w:rtl/>
        </w:rPr>
        <w:t>؟</w:t>
      </w:r>
      <w:r w:rsidR="00777DCB" w:rsidRPr="00A52585">
        <w:rPr>
          <w:rFonts w:hint="cs"/>
          <w:rtl/>
        </w:rPr>
        <w:t xml:space="preserve"> أيجوز أن يقال</w:t>
      </w:r>
      <w:r w:rsidRPr="00A52585">
        <w:rPr>
          <w:rFonts w:hint="cs"/>
          <w:rtl/>
        </w:rPr>
        <w:t>:</w:t>
      </w:r>
      <w:r w:rsidR="00777DCB" w:rsidRPr="00A52585">
        <w:rPr>
          <w:rFonts w:hint="cs"/>
          <w:rtl/>
        </w:rPr>
        <w:t xml:space="preserve"> إن ذراع الله سبحانه اثنان وأربعون مرة تبلغ جلد الكافر</w:t>
      </w:r>
      <w:r w:rsidR="00DB731D" w:rsidRPr="00A52585">
        <w:rPr>
          <w:rFonts w:hint="cs"/>
          <w:rtl/>
        </w:rPr>
        <w:t>،</w:t>
      </w:r>
      <w:r w:rsidR="00777DCB" w:rsidRPr="00A52585">
        <w:rPr>
          <w:rFonts w:hint="cs"/>
          <w:rtl/>
        </w:rPr>
        <w:t xml:space="preserve"> ويضاف الذراع إلى ذات القديم سبحانه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ليس بجارحة</w:t>
      </w:r>
      <w:r w:rsidR="00DB731D" w:rsidRPr="00A52585">
        <w:rPr>
          <w:rFonts w:hint="cs"/>
          <w:rtl/>
        </w:rPr>
        <w:t>،</w:t>
      </w:r>
      <w:r w:rsidR="00777DCB" w:rsidRPr="00A52585">
        <w:rPr>
          <w:rFonts w:hint="cs"/>
          <w:rtl/>
        </w:rPr>
        <w:t xml:space="preserve"> فإذا لم يكن جارحة كيف </w:t>
      </w:r>
      <w:proofErr w:type="spellStart"/>
      <w:r w:rsidR="00777DCB" w:rsidRPr="00A52585">
        <w:rPr>
          <w:rFonts w:hint="cs"/>
          <w:rtl/>
        </w:rPr>
        <w:t>ينشيء</w:t>
      </w:r>
      <w:proofErr w:type="spellEnd"/>
      <w:r w:rsidR="00777DCB" w:rsidRPr="00A52585">
        <w:rPr>
          <w:rFonts w:hint="cs"/>
          <w:rtl/>
        </w:rPr>
        <w:t xml:space="preserve"> اثنين وأربعين مرة</w:t>
      </w:r>
      <w:r w:rsidR="00F95886" w:rsidRPr="00A52585">
        <w:rPr>
          <w:rFonts w:hint="cs"/>
          <w:rtl/>
        </w:rPr>
        <w:t>؟!</w:t>
      </w:r>
      <w:r w:rsidR="00777DCB" w:rsidRPr="00A52585">
        <w:rPr>
          <w:rFonts w:hint="cs"/>
          <w:rtl/>
        </w:rPr>
        <w:t xml:space="preserve"> تعالى الله عن ذلك علوا كبيرا</w:t>
      </w:r>
      <w:r w:rsidR="00DB731D" w:rsidRPr="00A52585">
        <w:rPr>
          <w:rFonts w:hint="cs"/>
          <w:rtl/>
        </w:rPr>
        <w:t>،</w:t>
      </w:r>
      <w:r w:rsidR="00777DCB" w:rsidRPr="00A52585">
        <w:rPr>
          <w:rFonts w:hint="cs"/>
          <w:rtl/>
        </w:rPr>
        <w:t xml:space="preserve"> </w:t>
      </w:r>
    </w:p>
    <w:p w14:paraId="36B18315" w14:textId="40CD007F" w:rsidR="00777DCB" w:rsidRPr="00A52585" w:rsidRDefault="0002035C" w:rsidP="0002035C">
      <w:pPr>
        <w:rPr>
          <w:b/>
          <w:rtl/>
        </w:rPr>
      </w:pPr>
      <w:r w:rsidRPr="00A52585">
        <w:rPr>
          <w:rFonts w:hint="cs"/>
          <w:bCs/>
          <w:u w:val="single"/>
          <w:rtl/>
        </w:rPr>
        <w:t>[</w:t>
      </w:r>
      <w:r w:rsidR="00777DCB" w:rsidRPr="00A52585">
        <w:rPr>
          <w:rFonts w:hint="cs"/>
          <w:bCs/>
          <w:u w:val="single"/>
          <w:rtl/>
        </w:rPr>
        <w:t>13</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 عشر</w:t>
      </w:r>
      <w:r w:rsidRPr="00A52585">
        <w:rPr>
          <w:rFonts w:hint="cs"/>
          <w:bCs/>
          <w:rtl/>
        </w:rPr>
        <w:t>]</w:t>
      </w:r>
      <w:r w:rsidRPr="00A52585">
        <w:rPr>
          <w:rFonts w:hint="cs"/>
          <w:rtl/>
        </w:rPr>
        <w:t>:</w:t>
      </w:r>
      <w:r w:rsidR="00777DCB" w:rsidRPr="00A52585">
        <w:rPr>
          <w:rFonts w:hint="cs"/>
          <w:rtl/>
        </w:rPr>
        <w:t xml:space="preserve"> روى القاضي أبو يعلى</w:t>
      </w:r>
      <w:r w:rsidRPr="00A52585">
        <w:rPr>
          <w:rFonts w:hint="cs"/>
          <w:rtl/>
        </w:rPr>
        <w:t>:</w:t>
      </w:r>
      <w:r w:rsidR="00777DCB" w:rsidRPr="00A52585">
        <w:rPr>
          <w:rFonts w:hint="cs"/>
          <w:rtl/>
        </w:rPr>
        <w:t xml:space="preserve"> عن مجاهد أنه قال</w:t>
      </w:r>
      <w:r w:rsidRPr="00A52585">
        <w:rPr>
          <w:rFonts w:hint="cs"/>
          <w:rtl/>
        </w:rPr>
        <w:t>:</w:t>
      </w:r>
      <w:r w:rsidR="00777DCB" w:rsidRPr="00A52585">
        <w:rPr>
          <w:rFonts w:hint="cs"/>
          <w:rtl/>
        </w:rPr>
        <w:t xml:space="preserve"> إذا كان يوم القيامة يذكر داود عليه السلام ذنبه فيقول الله</w:t>
      </w:r>
      <w:r w:rsidRPr="00A52585">
        <w:rPr>
          <w:rFonts w:hint="cs"/>
          <w:rtl/>
        </w:rPr>
        <w:t>:</w:t>
      </w:r>
      <w:r w:rsidR="00777DCB" w:rsidRPr="00A52585">
        <w:rPr>
          <w:rFonts w:hint="cs"/>
          <w:rtl/>
        </w:rPr>
        <w:t xml:space="preserve"> " كن أمامي</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يا رب ذنبي</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كن خلفي</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يا رب ذنبي</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خذ بقدمي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الكلام مكذوب على مجاهد ولم يذكر القاضي أبو يعلى في كتابه " إبطال التأويل " </w:t>
      </w:r>
      <w:r w:rsidRPr="00A52585">
        <w:rPr>
          <w:rFonts w:hint="cs"/>
          <w:sz w:val="24"/>
          <w:szCs w:val="24"/>
          <w:rtl/>
        </w:rPr>
        <w:t>(</w:t>
      </w:r>
      <w:r w:rsidR="00777DCB" w:rsidRPr="00A52585">
        <w:rPr>
          <w:rFonts w:hint="cs"/>
          <w:sz w:val="24"/>
          <w:szCs w:val="24"/>
          <w:rtl/>
        </w:rPr>
        <w:t>ص 115 مخطوط</w:t>
      </w:r>
      <w:r w:rsidRPr="00A52585">
        <w:rPr>
          <w:rFonts w:hint="cs"/>
          <w:sz w:val="24"/>
          <w:szCs w:val="24"/>
          <w:rtl/>
        </w:rPr>
        <w:t>)</w:t>
      </w:r>
      <w:r w:rsidR="00777DCB" w:rsidRPr="00A52585">
        <w:rPr>
          <w:rFonts w:hint="cs"/>
          <w:sz w:val="24"/>
          <w:szCs w:val="24"/>
          <w:rtl/>
        </w:rPr>
        <w:t xml:space="preserve"> له سندا</w:t>
      </w:r>
      <w:r w:rsidR="00DB731D" w:rsidRPr="00A52585">
        <w:rPr>
          <w:rFonts w:hint="cs"/>
          <w:sz w:val="24"/>
          <w:szCs w:val="24"/>
          <w:rtl/>
        </w:rPr>
        <w:t>،</w:t>
      </w:r>
      <w:r w:rsidR="00777DCB" w:rsidRPr="00A52585">
        <w:rPr>
          <w:rFonts w:hint="cs"/>
          <w:sz w:val="24"/>
          <w:szCs w:val="24"/>
          <w:rtl/>
        </w:rPr>
        <w:t xml:space="preserve"> وقد صرح الحافظ ابن الجوزي رحمه الله هنا أن هذا لا يصح عن مجاهد</w:t>
      </w:r>
      <w:r w:rsidR="00897A24" w:rsidRPr="00A52585">
        <w:rPr>
          <w:rFonts w:hint="cs"/>
          <w:sz w:val="24"/>
          <w:szCs w:val="24"/>
          <w:rtl/>
        </w:rPr>
        <w:t>.</w:t>
      </w:r>
      <w:r w:rsidR="00777DCB" w:rsidRPr="00A52585">
        <w:rPr>
          <w:rFonts w:hint="cs"/>
          <w:sz w:val="24"/>
          <w:szCs w:val="24"/>
          <w:rtl/>
        </w:rPr>
        <w:t xml:space="preserve"> وكيف يثبت مجسمة الحنابلة لله سبحانه وتعالى عما يصفون صفات بآثار عن مجاهد وابن سيرين</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سبحان ربك رب العزة عما يصفون</w:t>
      </w:r>
      <w:r w:rsidRPr="00A52585">
        <w:rPr>
          <w:rFonts w:hint="cs"/>
          <w:sz w:val="24"/>
          <w:szCs w:val="24"/>
          <w:rtl/>
        </w:rPr>
        <w:t>)</w:t>
      </w:r>
      <w:r w:rsidR="00777DCB"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وفي لفظ عن ابن سيرين أن الله تعالى</w:t>
      </w:r>
      <w:r w:rsidRPr="00A52585">
        <w:rPr>
          <w:rFonts w:hint="cs"/>
          <w:rtl/>
        </w:rPr>
        <w:t>:</w:t>
      </w:r>
      <w:r w:rsidR="00777DCB" w:rsidRPr="00A52585">
        <w:rPr>
          <w:rFonts w:hint="cs"/>
          <w:rtl/>
        </w:rPr>
        <w:t xml:space="preserve"> ليقرب داود حتى يضع يده على فخذه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والعجب من إثبات صفات الحق سبحانه وتعالى بأقوال التابعين</w:t>
      </w:r>
      <w:r w:rsidR="00DB731D" w:rsidRPr="00A52585">
        <w:rPr>
          <w:rFonts w:hint="cs"/>
          <w:rtl/>
        </w:rPr>
        <w:t>،</w:t>
      </w:r>
      <w:r w:rsidR="00777DCB" w:rsidRPr="00A52585">
        <w:rPr>
          <w:rFonts w:hint="cs"/>
          <w:rtl/>
        </w:rPr>
        <w:t xml:space="preserve"> وما تصح عنهم</w:t>
      </w:r>
      <w:r w:rsidR="00DB731D" w:rsidRPr="00A52585">
        <w:rPr>
          <w:rFonts w:hint="cs"/>
          <w:rtl/>
        </w:rPr>
        <w:t>،</w:t>
      </w:r>
      <w:r w:rsidR="00777DCB" w:rsidRPr="00A52585">
        <w:rPr>
          <w:rFonts w:hint="cs"/>
          <w:rtl/>
        </w:rPr>
        <w:t xml:space="preserve"> ولو صحت فإنما يذكرونها عن أهل الكتاب</w:t>
      </w:r>
      <w:r w:rsidR="00DB731D" w:rsidRPr="00A52585">
        <w:rPr>
          <w:rFonts w:hint="cs"/>
          <w:rtl/>
        </w:rPr>
        <w:t>،</w:t>
      </w:r>
      <w:r w:rsidR="00777DCB" w:rsidRPr="00A52585">
        <w:rPr>
          <w:rFonts w:hint="cs"/>
          <w:rtl/>
        </w:rPr>
        <w:t xml:space="preserve"> كما يذكر وهب بن منبه</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نحمله على ظاهره</w:t>
      </w:r>
      <w:r w:rsidR="00DB731D" w:rsidRPr="00A52585">
        <w:rPr>
          <w:rFonts w:hint="cs"/>
          <w:rtl/>
        </w:rPr>
        <w:t>،</w:t>
      </w:r>
      <w:r w:rsidR="00777DCB" w:rsidRPr="00A52585">
        <w:rPr>
          <w:rFonts w:hint="cs"/>
          <w:rtl/>
        </w:rPr>
        <w:t xml:space="preserve"> لانا لا نثبت قدما ولا فخذا هو جارحة وكذلك لا نثبت الامام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w:t>
      </w:r>
      <w:proofErr w:type="gramStart"/>
      <w:r w:rsidR="00777DCB" w:rsidRPr="00A52585">
        <w:rPr>
          <w:rFonts w:hint="cs"/>
          <w:rtl/>
        </w:rPr>
        <w:t>واعجبا</w:t>
      </w:r>
      <w:proofErr w:type="gramEnd"/>
      <w:r w:rsidR="00777DCB" w:rsidRPr="00A52585">
        <w:rPr>
          <w:rFonts w:hint="cs"/>
          <w:rtl/>
        </w:rPr>
        <w:t xml:space="preserve"> لقد كملوا هيئة البدن </w:t>
      </w:r>
      <w:proofErr w:type="spellStart"/>
      <w:r w:rsidR="00777DCB" w:rsidRPr="00A52585">
        <w:rPr>
          <w:rFonts w:hint="cs"/>
          <w:rtl/>
        </w:rPr>
        <w:t>باثبات</w:t>
      </w:r>
      <w:proofErr w:type="spellEnd"/>
      <w:r w:rsidR="00777DCB" w:rsidRPr="00A52585">
        <w:rPr>
          <w:rFonts w:hint="cs"/>
          <w:rtl/>
        </w:rPr>
        <w:t xml:space="preserve"> فخذ وساق</w:t>
      </w:r>
      <w:r w:rsidR="00DB731D" w:rsidRPr="00A52585">
        <w:rPr>
          <w:rFonts w:hint="cs"/>
          <w:rtl/>
        </w:rPr>
        <w:t>،</w:t>
      </w:r>
      <w:r w:rsidR="00777DCB" w:rsidRPr="00A52585">
        <w:rPr>
          <w:rFonts w:hint="cs"/>
          <w:rtl/>
        </w:rPr>
        <w:t xml:space="preserve"> وقدم</w:t>
      </w:r>
      <w:r w:rsidR="00DB731D" w:rsidRPr="00A52585">
        <w:rPr>
          <w:rFonts w:hint="cs"/>
          <w:rtl/>
        </w:rPr>
        <w:t>،</w:t>
      </w:r>
      <w:r w:rsidR="00777DCB" w:rsidRPr="00A52585">
        <w:rPr>
          <w:rFonts w:hint="cs"/>
          <w:rtl/>
        </w:rPr>
        <w:t xml:space="preserve"> ووجه</w:t>
      </w:r>
      <w:r w:rsidR="00DB731D" w:rsidRPr="00A52585">
        <w:rPr>
          <w:rFonts w:hint="cs"/>
          <w:rtl/>
        </w:rPr>
        <w:t>،</w:t>
      </w:r>
      <w:r w:rsidR="00777DCB" w:rsidRPr="00A52585">
        <w:rPr>
          <w:rFonts w:hint="cs"/>
          <w:rtl/>
        </w:rPr>
        <w:t xml:space="preserve"> ويدين وأصابع</w:t>
      </w:r>
      <w:r w:rsidR="00DB731D" w:rsidRPr="00A52585">
        <w:rPr>
          <w:rFonts w:hint="cs"/>
          <w:rtl/>
        </w:rPr>
        <w:t>،</w:t>
      </w:r>
      <w:r w:rsidR="00777DCB" w:rsidRPr="00A52585">
        <w:rPr>
          <w:rFonts w:hint="cs"/>
          <w:rtl/>
        </w:rPr>
        <w:t xml:space="preserve"> وخنصر وإبهام وجنب</w:t>
      </w:r>
      <w:r w:rsidR="00DB731D" w:rsidRPr="00A52585">
        <w:rPr>
          <w:rFonts w:hint="cs"/>
          <w:rtl/>
        </w:rPr>
        <w:t>،</w:t>
      </w:r>
      <w:r w:rsidR="00777DCB" w:rsidRPr="00A52585">
        <w:rPr>
          <w:rFonts w:hint="cs"/>
          <w:rtl/>
        </w:rPr>
        <w:t xml:space="preserve"> وحقو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الحقو</w:t>
      </w:r>
      <w:r w:rsidRPr="00A52585">
        <w:rPr>
          <w:rFonts w:hint="cs"/>
          <w:sz w:val="24"/>
          <w:szCs w:val="24"/>
          <w:rtl/>
        </w:rPr>
        <w:t>:</w:t>
      </w:r>
      <w:r w:rsidR="00777DCB" w:rsidRPr="00A52585">
        <w:rPr>
          <w:rFonts w:hint="cs"/>
          <w:sz w:val="24"/>
          <w:szCs w:val="24"/>
          <w:rtl/>
        </w:rPr>
        <w:t xml:space="preserve"> هو كشح البطن أي جلدته</w:t>
      </w:r>
      <w:r w:rsidR="00897A24" w:rsidRPr="00A52585">
        <w:rPr>
          <w:rFonts w:hint="cs"/>
          <w:sz w:val="24"/>
          <w:szCs w:val="24"/>
          <w:rtl/>
        </w:rPr>
        <w:t>.</w:t>
      </w:r>
      <w:r w:rsidR="00777DCB" w:rsidRPr="00A52585">
        <w:rPr>
          <w:rFonts w:hint="cs"/>
          <w:sz w:val="24"/>
          <w:szCs w:val="24"/>
          <w:rtl/>
        </w:rPr>
        <w:t xml:space="preserve"> وسيأتي ما يتعلق بالحقو في الكلام على الحديث " الرابع والثلاثين " من هذا الكتاب</w:t>
      </w:r>
      <w:r w:rsidR="00777DCB" w:rsidRPr="00A52585">
        <w:rPr>
          <w:rFonts w:hint="cs"/>
          <w:rtl/>
        </w:rPr>
        <w:t>]</w:t>
      </w:r>
      <w:r w:rsidR="00DB731D" w:rsidRPr="00A52585">
        <w:rPr>
          <w:rFonts w:hint="cs"/>
          <w:rtl/>
        </w:rPr>
        <w:t>،</w:t>
      </w:r>
      <w:r w:rsidR="00777DCB" w:rsidRPr="00A52585">
        <w:rPr>
          <w:rFonts w:hint="cs"/>
          <w:rtl/>
        </w:rPr>
        <w:t xml:space="preserve"> وصعود</w:t>
      </w:r>
      <w:r w:rsidR="00DB731D" w:rsidRPr="00A52585">
        <w:rPr>
          <w:rFonts w:hint="cs"/>
          <w:rtl/>
        </w:rPr>
        <w:t>،</w:t>
      </w:r>
      <w:r w:rsidR="00777DCB" w:rsidRPr="00A52585">
        <w:rPr>
          <w:rFonts w:hint="cs"/>
          <w:rtl/>
        </w:rPr>
        <w:t xml:space="preserve"> ونزول</w:t>
      </w:r>
      <w:r w:rsidR="00DB731D" w:rsidRPr="00A52585">
        <w:rPr>
          <w:rFonts w:hint="cs"/>
          <w:rtl/>
        </w:rPr>
        <w:t>،</w:t>
      </w:r>
      <w:r w:rsidR="00777DCB" w:rsidRPr="00A52585">
        <w:rPr>
          <w:rFonts w:hint="cs"/>
          <w:rtl/>
        </w:rPr>
        <w:t xml:space="preserve"> ويقولون تحمل على ظاهرها وليست جوارح</w:t>
      </w:r>
      <w:r w:rsidR="00DB731D" w:rsidRPr="00A52585">
        <w:rPr>
          <w:rFonts w:hint="cs"/>
          <w:rtl/>
        </w:rPr>
        <w:t>،</w:t>
      </w:r>
      <w:r w:rsidR="00777DCB" w:rsidRPr="00A52585">
        <w:rPr>
          <w:rFonts w:hint="cs"/>
          <w:rtl/>
        </w:rPr>
        <w:t xml:space="preserve"> وهل يجوز لعاقل ان يثبت لله تعالى خلفا وإماما </w:t>
      </w:r>
      <w:proofErr w:type="gramStart"/>
      <w:r w:rsidR="00777DCB" w:rsidRPr="00A52585">
        <w:rPr>
          <w:rFonts w:hint="cs"/>
          <w:rtl/>
        </w:rPr>
        <w:t>وفخذا</w:t>
      </w:r>
      <w:r w:rsidR="00897A24" w:rsidRPr="00A52585">
        <w:rPr>
          <w:rFonts w:hint="cs"/>
          <w:rtl/>
        </w:rPr>
        <w:t>..</w:t>
      </w:r>
      <w:r w:rsidR="00F95886" w:rsidRPr="00A52585">
        <w:rPr>
          <w:rFonts w:hint="cs"/>
          <w:rtl/>
        </w:rPr>
        <w:t>؟</w:t>
      </w:r>
      <w:proofErr w:type="gramEnd"/>
      <w:r w:rsidR="00777DCB" w:rsidRPr="00A52585">
        <w:rPr>
          <w:rFonts w:hint="cs"/>
          <w:rtl/>
        </w:rPr>
        <w:t xml:space="preserve"> ما ينبغي أن يحدث هؤلاء</w:t>
      </w:r>
      <w:r w:rsidR="00DB731D" w:rsidRPr="00A52585">
        <w:rPr>
          <w:rFonts w:hint="cs"/>
          <w:rtl/>
        </w:rPr>
        <w:t>،</w:t>
      </w:r>
      <w:r w:rsidR="00777DCB" w:rsidRPr="00A52585">
        <w:rPr>
          <w:rFonts w:hint="cs"/>
          <w:rtl/>
        </w:rPr>
        <w:t xml:space="preserve"> ولأنّا قد عرفنا الفخذ فيقال</w:t>
      </w:r>
      <w:r w:rsidRPr="00A52585">
        <w:rPr>
          <w:rFonts w:hint="cs"/>
          <w:rtl/>
        </w:rPr>
        <w:t>:</w:t>
      </w:r>
      <w:r w:rsidR="00777DCB" w:rsidRPr="00A52585">
        <w:rPr>
          <w:rFonts w:hint="cs"/>
          <w:rtl/>
        </w:rPr>
        <w:t xml:space="preserve"> ليس بفخذ</w:t>
      </w:r>
      <w:r w:rsidR="00DB731D" w:rsidRPr="00A52585">
        <w:rPr>
          <w:rFonts w:hint="cs"/>
          <w:rtl/>
        </w:rPr>
        <w:t>،</w:t>
      </w:r>
      <w:r w:rsidR="00777DCB" w:rsidRPr="00A52585">
        <w:rPr>
          <w:rFonts w:hint="cs"/>
          <w:rtl/>
        </w:rPr>
        <w:t xml:space="preserve"> والخلف ليس بخلف</w:t>
      </w:r>
      <w:r w:rsidR="00DB731D" w:rsidRPr="00A52585">
        <w:rPr>
          <w:rFonts w:hint="cs"/>
          <w:rtl/>
        </w:rPr>
        <w:t>،</w:t>
      </w:r>
      <w:r w:rsidR="00777DCB" w:rsidRPr="00A52585">
        <w:rPr>
          <w:rFonts w:hint="cs"/>
          <w:rtl/>
        </w:rPr>
        <w:t xml:space="preserve"> ومثل هؤلاء لا يحدثون</w:t>
      </w:r>
      <w:r w:rsidR="00DB731D" w:rsidRPr="00A52585">
        <w:rPr>
          <w:rFonts w:hint="cs"/>
          <w:rtl/>
        </w:rPr>
        <w:t>،</w:t>
      </w:r>
      <w:r w:rsidR="00777DCB" w:rsidRPr="00A52585">
        <w:rPr>
          <w:rFonts w:hint="cs"/>
          <w:rtl/>
        </w:rPr>
        <w:t xml:space="preserve"> فإنهم يكابرون العقول</w:t>
      </w:r>
      <w:r w:rsidR="00DB731D" w:rsidRPr="00A52585">
        <w:rPr>
          <w:rFonts w:hint="cs"/>
          <w:rtl/>
        </w:rPr>
        <w:t>،</w:t>
      </w:r>
      <w:r w:rsidR="00777DCB" w:rsidRPr="00A52585">
        <w:rPr>
          <w:rFonts w:hint="cs"/>
          <w:rtl/>
        </w:rPr>
        <w:t xml:space="preserve"> وكأنهم يحدثون الاطفال</w:t>
      </w:r>
      <w:r w:rsidR="00DB731D" w:rsidRPr="00A52585">
        <w:rPr>
          <w:rFonts w:hint="cs"/>
          <w:rtl/>
        </w:rPr>
        <w:t>،</w:t>
      </w:r>
      <w:r w:rsidR="00777DCB" w:rsidRPr="00A52585">
        <w:rPr>
          <w:rFonts w:hint="cs"/>
          <w:rtl/>
        </w:rPr>
        <w:t xml:space="preserve"> </w:t>
      </w:r>
    </w:p>
    <w:p w14:paraId="52FE7D11" w14:textId="235D13C3" w:rsidR="00777DCB" w:rsidRPr="00A52585" w:rsidRDefault="0002035C" w:rsidP="0002035C">
      <w:pPr>
        <w:rPr>
          <w:b/>
          <w:rtl/>
        </w:rPr>
      </w:pPr>
      <w:r w:rsidRPr="00A52585">
        <w:rPr>
          <w:rFonts w:hint="cs"/>
          <w:bCs/>
          <w:u w:val="single"/>
          <w:rtl/>
        </w:rPr>
        <w:t>[</w:t>
      </w:r>
      <w:r w:rsidR="00777DCB" w:rsidRPr="00A52585">
        <w:rPr>
          <w:rFonts w:hint="cs"/>
          <w:bCs/>
          <w:u w:val="single"/>
          <w:rtl/>
        </w:rPr>
        <w:t>14</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 عشر</w:t>
      </w:r>
      <w:r w:rsidRPr="00A52585">
        <w:rPr>
          <w:rFonts w:hint="cs"/>
          <w:bCs/>
          <w:rtl/>
        </w:rPr>
        <w:t>]:</w:t>
      </w:r>
      <w:r w:rsidR="00777DCB" w:rsidRPr="00A52585">
        <w:rPr>
          <w:rFonts w:hint="cs"/>
          <w:rtl/>
        </w:rPr>
        <w:t xml:space="preserve"> روى البخاري ومسلم في الصحيحين من حديث أبي هريرة - رضي الله عنه - عن النبي صلى الله عليه وسلم قال</w:t>
      </w:r>
      <w:r w:rsidRPr="00A52585">
        <w:rPr>
          <w:rFonts w:hint="cs"/>
          <w:rtl/>
        </w:rPr>
        <w:t>:</w:t>
      </w:r>
      <w:r w:rsidR="00777DCB" w:rsidRPr="00A52585">
        <w:rPr>
          <w:rFonts w:hint="cs"/>
          <w:rtl/>
        </w:rPr>
        <w:t xml:space="preserve"> " يضحك الله من رجلين يقتل أحدهما الآخر يدخلان الجنة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فتح 6 / 39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3 / 1504 برقم 1890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ومالك في الموطأ </w:t>
      </w:r>
      <w:r w:rsidRPr="00A52585">
        <w:rPr>
          <w:rFonts w:hint="cs"/>
          <w:sz w:val="24"/>
          <w:szCs w:val="24"/>
          <w:rtl/>
        </w:rPr>
        <w:t>(</w:t>
      </w:r>
      <w:r w:rsidR="00777DCB" w:rsidRPr="00A52585">
        <w:rPr>
          <w:rFonts w:hint="cs"/>
          <w:sz w:val="24"/>
          <w:szCs w:val="24"/>
          <w:rtl/>
        </w:rPr>
        <w:t>ص 285 في الجهاد باب 14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والنسائي </w:t>
      </w:r>
      <w:r w:rsidRPr="00A52585">
        <w:rPr>
          <w:rFonts w:hint="cs"/>
          <w:sz w:val="24"/>
          <w:szCs w:val="24"/>
          <w:rtl/>
        </w:rPr>
        <w:t>(</w:t>
      </w:r>
      <w:r w:rsidR="00777DCB" w:rsidRPr="00A52585">
        <w:rPr>
          <w:rFonts w:hint="cs"/>
          <w:sz w:val="24"/>
          <w:szCs w:val="24"/>
          <w:rtl/>
        </w:rPr>
        <w:t>6 / 38 برقم 3166</w:t>
      </w:r>
      <w:r w:rsidRPr="00A52585">
        <w:rPr>
          <w:rFonts w:hint="cs"/>
          <w:sz w:val="24"/>
          <w:szCs w:val="24"/>
          <w:rtl/>
        </w:rPr>
        <w:t>)</w:t>
      </w:r>
      <w:r w:rsidR="00777DCB" w:rsidRPr="00A52585">
        <w:rPr>
          <w:rFonts w:hint="cs"/>
          <w:sz w:val="24"/>
          <w:szCs w:val="24"/>
          <w:rtl/>
        </w:rPr>
        <w:t xml:space="preserve"> وغيرهم وسيأتي الكلام عليه مفصلا إن شاء الله تعالى بعد قليل بما </w:t>
      </w:r>
      <w:r w:rsidR="00777DCB" w:rsidRPr="00A52585">
        <w:rPr>
          <w:rFonts w:hint="cs"/>
          <w:sz w:val="24"/>
          <w:szCs w:val="24"/>
          <w:rtl/>
        </w:rPr>
        <w:lastRenderedPageBreak/>
        <w:t>يزيل اللبس فيه</w:t>
      </w:r>
      <w:r w:rsidR="00777DCB" w:rsidRPr="00A52585">
        <w:rPr>
          <w:rFonts w:hint="cs"/>
          <w:rtl/>
        </w:rPr>
        <w:t>]</w:t>
      </w:r>
      <w:r w:rsidR="00DB731D" w:rsidRPr="00A52585">
        <w:rPr>
          <w:rFonts w:hint="cs"/>
          <w:rtl/>
        </w:rPr>
        <w:t>،</w:t>
      </w:r>
      <w:r w:rsidR="00777DCB" w:rsidRPr="00A52585">
        <w:rPr>
          <w:rFonts w:hint="cs"/>
          <w:rtl/>
        </w:rPr>
        <w:t xml:space="preserve"> وفي أفراد مسلم من حديث ابن مسعود رضي الله عنه أن رسول الله صلى الله عليه وسلم أخبر عن آخر من يدخل الجنة وضحك</w:t>
      </w:r>
      <w:r w:rsidR="00DB731D" w:rsidRPr="00A52585">
        <w:rPr>
          <w:rFonts w:hint="cs"/>
          <w:rtl/>
        </w:rPr>
        <w:t>،</w:t>
      </w:r>
      <w:r w:rsidR="00777DCB" w:rsidRPr="00A52585">
        <w:rPr>
          <w:rFonts w:hint="cs"/>
          <w:rtl/>
        </w:rPr>
        <w:t xml:space="preserve"> فقيل</w:t>
      </w:r>
      <w:r w:rsidRPr="00A52585">
        <w:rPr>
          <w:rFonts w:hint="cs"/>
          <w:rtl/>
        </w:rPr>
        <w:t>:</w:t>
      </w:r>
      <w:r w:rsidR="00777DCB" w:rsidRPr="00A52585">
        <w:rPr>
          <w:rFonts w:hint="cs"/>
          <w:rtl/>
        </w:rPr>
        <w:t xml:space="preserve"> مم تضحك</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من ضحك رب العالمين حين قال</w:t>
      </w:r>
      <w:r w:rsidRPr="00A52585">
        <w:rPr>
          <w:rFonts w:hint="cs"/>
          <w:rtl/>
        </w:rPr>
        <w:t>:</w:t>
      </w:r>
      <w:r w:rsidR="00777DCB" w:rsidRPr="00A52585">
        <w:rPr>
          <w:rFonts w:hint="cs"/>
          <w:rtl/>
        </w:rPr>
        <w:t xml:space="preserve"> أتستهزئ مني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فتح 6 / 39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3 / 1504 برقم 1890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ومالك في الموطأ </w:t>
      </w:r>
      <w:r w:rsidRPr="00A52585">
        <w:rPr>
          <w:rFonts w:hint="cs"/>
          <w:sz w:val="24"/>
          <w:szCs w:val="24"/>
          <w:rtl/>
        </w:rPr>
        <w:t>(</w:t>
      </w:r>
      <w:r w:rsidR="00777DCB" w:rsidRPr="00A52585">
        <w:rPr>
          <w:rFonts w:hint="cs"/>
          <w:sz w:val="24"/>
          <w:szCs w:val="24"/>
          <w:rtl/>
        </w:rPr>
        <w:t>ص 285 في الجهاد باب 14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والنسائي </w:t>
      </w:r>
      <w:r w:rsidRPr="00A52585">
        <w:rPr>
          <w:rFonts w:hint="cs"/>
          <w:sz w:val="24"/>
          <w:szCs w:val="24"/>
          <w:rtl/>
        </w:rPr>
        <w:t>(</w:t>
      </w:r>
      <w:r w:rsidR="00777DCB" w:rsidRPr="00A52585">
        <w:rPr>
          <w:rFonts w:hint="cs"/>
          <w:sz w:val="24"/>
          <w:szCs w:val="24"/>
          <w:rtl/>
        </w:rPr>
        <w:t>6 / 38 برقم 3166</w:t>
      </w:r>
      <w:r w:rsidRPr="00A52585">
        <w:rPr>
          <w:rFonts w:hint="cs"/>
          <w:sz w:val="24"/>
          <w:szCs w:val="24"/>
          <w:rtl/>
        </w:rPr>
        <w:t>)</w:t>
      </w:r>
      <w:r w:rsidR="00777DCB" w:rsidRPr="00A52585">
        <w:rPr>
          <w:rFonts w:hint="cs"/>
          <w:sz w:val="24"/>
          <w:szCs w:val="24"/>
          <w:rtl/>
        </w:rPr>
        <w:t xml:space="preserve"> وغيرهم وسيأتي الكلام عليه مفصلا إن شاء الله تعالى بعد قليل بما يزيل اللبس فيه روى هذه القطعة مسلم في " صحيحه " </w:t>
      </w:r>
      <w:r w:rsidRPr="00A52585">
        <w:rPr>
          <w:rFonts w:hint="cs"/>
          <w:sz w:val="24"/>
          <w:szCs w:val="24"/>
          <w:rtl/>
        </w:rPr>
        <w:t>(</w:t>
      </w:r>
      <w:r w:rsidR="00777DCB" w:rsidRPr="00A52585">
        <w:rPr>
          <w:rFonts w:hint="cs"/>
          <w:sz w:val="24"/>
          <w:szCs w:val="24"/>
          <w:rtl/>
        </w:rPr>
        <w:t>1 / 175 حديث رقم 310</w:t>
      </w:r>
      <w:r w:rsidRPr="00A52585">
        <w:rPr>
          <w:rFonts w:hint="cs"/>
          <w:sz w:val="24"/>
          <w:szCs w:val="24"/>
          <w:rtl/>
        </w:rPr>
        <w:t>)</w:t>
      </w:r>
      <w:r w:rsidR="00777DCB" w:rsidRPr="00A52585">
        <w:rPr>
          <w:rFonts w:hint="cs"/>
          <w:sz w:val="24"/>
          <w:szCs w:val="24"/>
          <w:rtl/>
        </w:rPr>
        <w:t xml:space="preserve"> إذ قال بعد الحديث المذكور في الباب</w:t>
      </w:r>
      <w:r w:rsidRPr="00A52585">
        <w:rPr>
          <w:rFonts w:hint="cs"/>
          <w:sz w:val="24"/>
          <w:szCs w:val="24"/>
          <w:rtl/>
        </w:rPr>
        <w:t>:</w:t>
      </w:r>
      <w:r w:rsidR="00777DCB" w:rsidRPr="00A52585">
        <w:rPr>
          <w:rFonts w:hint="cs"/>
          <w:sz w:val="24"/>
          <w:szCs w:val="24"/>
          <w:rtl/>
        </w:rPr>
        <w:t xml:space="preserve"> " فضحك ابن مسعود فقال</w:t>
      </w:r>
      <w:r w:rsidRPr="00A52585">
        <w:rPr>
          <w:rFonts w:hint="cs"/>
          <w:sz w:val="24"/>
          <w:szCs w:val="24"/>
          <w:rtl/>
        </w:rPr>
        <w:t>:</w:t>
      </w:r>
      <w:r w:rsidR="00777DCB" w:rsidRPr="00A52585">
        <w:rPr>
          <w:rFonts w:hint="cs"/>
          <w:sz w:val="24"/>
          <w:szCs w:val="24"/>
          <w:rtl/>
        </w:rPr>
        <w:t xml:space="preserve"> ألا تسألوني مم أضحك</w:t>
      </w:r>
      <w:r w:rsidR="00F95886" w:rsidRPr="00A52585">
        <w:rPr>
          <w:rFonts w:hint="cs"/>
          <w:sz w:val="24"/>
          <w:szCs w:val="24"/>
          <w:rtl/>
        </w:rPr>
        <w:t>؟</w:t>
      </w:r>
      <w:r w:rsidR="00777DCB" w:rsidRPr="00A52585">
        <w:rPr>
          <w:rFonts w:hint="cs"/>
          <w:sz w:val="24"/>
          <w:szCs w:val="24"/>
          <w:rtl/>
        </w:rPr>
        <w:t xml:space="preserve"> فقالوا</w:t>
      </w:r>
      <w:r w:rsidRPr="00A52585">
        <w:rPr>
          <w:rFonts w:hint="cs"/>
          <w:sz w:val="24"/>
          <w:szCs w:val="24"/>
          <w:rtl/>
        </w:rPr>
        <w:t>:</w:t>
      </w:r>
      <w:r w:rsidR="00777DCB" w:rsidRPr="00A52585">
        <w:rPr>
          <w:rFonts w:hint="cs"/>
          <w:sz w:val="24"/>
          <w:szCs w:val="24"/>
          <w:rtl/>
        </w:rPr>
        <w:t xml:space="preserve"> مم تضحك</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هكذا ضحك رسول الله صلى الله عليه وسلم</w:t>
      </w:r>
      <w:r w:rsidR="00DB731D" w:rsidRPr="00A52585">
        <w:rPr>
          <w:rFonts w:hint="cs"/>
          <w:sz w:val="24"/>
          <w:szCs w:val="24"/>
          <w:rtl/>
        </w:rPr>
        <w:t>،</w:t>
      </w:r>
      <w:r w:rsidR="00777DCB" w:rsidRPr="00A52585">
        <w:rPr>
          <w:rFonts w:hint="cs"/>
          <w:sz w:val="24"/>
          <w:szCs w:val="24"/>
          <w:rtl/>
        </w:rPr>
        <w:t xml:space="preserve"> فقالوا</w:t>
      </w:r>
      <w:r w:rsidRPr="00A52585">
        <w:rPr>
          <w:rFonts w:hint="cs"/>
          <w:sz w:val="24"/>
          <w:szCs w:val="24"/>
          <w:rtl/>
        </w:rPr>
        <w:t>:</w:t>
      </w:r>
      <w:r w:rsidR="00777DCB" w:rsidRPr="00A52585">
        <w:rPr>
          <w:rFonts w:hint="cs"/>
          <w:sz w:val="24"/>
          <w:szCs w:val="24"/>
          <w:rtl/>
        </w:rPr>
        <w:t xml:space="preserve"> مم تضحك يا رسول الله</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من ضحك رب العالمين حين قال</w:t>
      </w:r>
      <w:r w:rsidRPr="00A52585">
        <w:rPr>
          <w:rFonts w:hint="cs"/>
          <w:sz w:val="24"/>
          <w:szCs w:val="24"/>
          <w:rtl/>
        </w:rPr>
        <w:t>:</w:t>
      </w:r>
      <w:r w:rsidR="00777DCB" w:rsidRPr="00A52585">
        <w:rPr>
          <w:rFonts w:hint="cs"/>
          <w:sz w:val="24"/>
          <w:szCs w:val="24"/>
          <w:rtl/>
        </w:rPr>
        <w:t xml:space="preserve"> أتستهزئ مني وأنت رب العالمين</w:t>
      </w:r>
      <w:r w:rsidR="00F95886" w:rsidRPr="00A52585">
        <w:rPr>
          <w:rFonts w:hint="cs"/>
          <w:sz w:val="24"/>
          <w:szCs w:val="24"/>
          <w:rtl/>
        </w:rPr>
        <w:t>؟</w:t>
      </w:r>
      <w:r w:rsidR="00777DCB" w:rsidRPr="00A52585">
        <w:rPr>
          <w:rFonts w:hint="cs"/>
          <w:sz w:val="24"/>
          <w:szCs w:val="24"/>
          <w:rtl/>
        </w:rPr>
        <w:t xml:space="preserve"> فيقول</w:t>
      </w:r>
      <w:r w:rsidRPr="00A52585">
        <w:rPr>
          <w:rFonts w:hint="cs"/>
          <w:sz w:val="24"/>
          <w:szCs w:val="24"/>
          <w:rtl/>
        </w:rPr>
        <w:t>:</w:t>
      </w:r>
      <w:r w:rsidR="00777DCB" w:rsidRPr="00A52585">
        <w:rPr>
          <w:rFonts w:hint="cs"/>
          <w:sz w:val="24"/>
          <w:szCs w:val="24"/>
          <w:rtl/>
        </w:rPr>
        <w:t xml:space="preserve"> إني لا أستهزئ منك</w:t>
      </w:r>
      <w:r w:rsidR="00DB731D" w:rsidRPr="00A52585">
        <w:rPr>
          <w:rFonts w:hint="cs"/>
          <w:sz w:val="24"/>
          <w:szCs w:val="24"/>
          <w:rtl/>
        </w:rPr>
        <w:t>،</w:t>
      </w:r>
      <w:r w:rsidR="00777DCB" w:rsidRPr="00A52585">
        <w:rPr>
          <w:rFonts w:hint="cs"/>
          <w:sz w:val="24"/>
          <w:szCs w:val="24"/>
          <w:rtl/>
        </w:rPr>
        <w:t xml:space="preserve"> ولكني على ما أشاء قادر "</w:t>
      </w:r>
      <w:r w:rsidR="00897A24" w:rsidRPr="00A52585">
        <w:rPr>
          <w:rFonts w:hint="cs"/>
          <w:sz w:val="24"/>
          <w:szCs w:val="24"/>
          <w:rtl/>
        </w:rPr>
        <w:t>.</w:t>
      </w:r>
      <w:r w:rsidR="00777DCB" w:rsidRPr="00A52585">
        <w:rPr>
          <w:rFonts w:hint="cs"/>
          <w:sz w:val="24"/>
          <w:szCs w:val="24"/>
          <w:rtl/>
        </w:rPr>
        <w:t xml:space="preserve"> وهي عندنا لا تثبت</w:t>
      </w:r>
      <w:r w:rsidR="00DB731D" w:rsidRPr="00A52585">
        <w:rPr>
          <w:rFonts w:hint="cs"/>
          <w:sz w:val="24"/>
          <w:szCs w:val="24"/>
          <w:rtl/>
        </w:rPr>
        <w:t>،</w:t>
      </w:r>
      <w:r w:rsidR="00777DCB" w:rsidRPr="00A52585">
        <w:rPr>
          <w:rFonts w:hint="cs"/>
          <w:sz w:val="24"/>
          <w:szCs w:val="24"/>
          <w:rtl/>
        </w:rPr>
        <w:t xml:space="preserve"> لان راويها " حماد بن سلمة " ضعفه مشهور وإن كان من رجال مسلم وقد تحايده البخاري كما في " الميزان " </w:t>
      </w:r>
      <w:r w:rsidRPr="00A52585">
        <w:rPr>
          <w:rFonts w:hint="cs"/>
          <w:sz w:val="24"/>
          <w:szCs w:val="24"/>
          <w:rtl/>
        </w:rPr>
        <w:t>(</w:t>
      </w:r>
      <w:r w:rsidR="00777DCB" w:rsidRPr="00A52585">
        <w:rPr>
          <w:rFonts w:hint="cs"/>
          <w:sz w:val="24"/>
          <w:szCs w:val="24"/>
          <w:rtl/>
        </w:rPr>
        <w:t>1 / 594</w:t>
      </w:r>
      <w:r w:rsidRPr="00A52585">
        <w:rPr>
          <w:rFonts w:hint="cs"/>
          <w:sz w:val="24"/>
          <w:szCs w:val="24"/>
          <w:rtl/>
        </w:rPr>
        <w:t>)</w:t>
      </w:r>
      <w:r w:rsidR="00777DCB" w:rsidRPr="00A52585">
        <w:rPr>
          <w:rFonts w:hint="cs"/>
          <w:sz w:val="24"/>
          <w:szCs w:val="24"/>
          <w:rtl/>
        </w:rPr>
        <w:t xml:space="preserve"> في ترجمته</w:t>
      </w:r>
      <w:r w:rsidR="00DB731D" w:rsidRPr="00A52585">
        <w:rPr>
          <w:rFonts w:hint="cs"/>
          <w:sz w:val="24"/>
          <w:szCs w:val="24"/>
          <w:rtl/>
        </w:rPr>
        <w:t>،</w:t>
      </w:r>
      <w:r w:rsidR="00777DCB" w:rsidRPr="00A52585">
        <w:rPr>
          <w:rFonts w:hint="cs"/>
          <w:sz w:val="24"/>
          <w:szCs w:val="24"/>
          <w:rtl/>
        </w:rPr>
        <w:t xml:space="preserve"> وقد صح حديثه هذا في مسلم دون الزيادة التي ذكرناها هنا لمتابعة غيره له في الحديثين اللذين قبله في مسلم</w:t>
      </w:r>
      <w:r w:rsidR="00DB731D" w:rsidRPr="00A52585">
        <w:rPr>
          <w:rFonts w:hint="cs"/>
          <w:sz w:val="24"/>
          <w:szCs w:val="24"/>
          <w:rtl/>
        </w:rPr>
        <w:t>،</w:t>
      </w:r>
      <w:r w:rsidR="00777DCB" w:rsidRPr="00A52585">
        <w:rPr>
          <w:rFonts w:hint="cs"/>
          <w:sz w:val="24"/>
          <w:szCs w:val="24"/>
          <w:rtl/>
        </w:rPr>
        <w:t xml:space="preserve"> لا سيما والرواة قد اختلفوا في هذا اللفظ أو شكوا هل قال</w:t>
      </w:r>
      <w:r w:rsidRPr="00A52585">
        <w:rPr>
          <w:rFonts w:hint="cs"/>
          <w:sz w:val="24"/>
          <w:szCs w:val="24"/>
          <w:rtl/>
        </w:rPr>
        <w:t>:</w:t>
      </w:r>
      <w:r w:rsidR="00777DCB" w:rsidRPr="00A52585">
        <w:rPr>
          <w:rFonts w:hint="cs"/>
          <w:sz w:val="24"/>
          <w:szCs w:val="24"/>
          <w:rtl/>
        </w:rPr>
        <w:t xml:space="preserve"> " أتسخر بي أو أتضحك بي " كما في مسلم</w:t>
      </w:r>
      <w:r w:rsidR="00DB731D" w:rsidRPr="00A52585">
        <w:rPr>
          <w:rFonts w:hint="cs"/>
          <w:sz w:val="24"/>
          <w:szCs w:val="24"/>
          <w:rtl/>
        </w:rPr>
        <w:t>،</w:t>
      </w:r>
      <w:r w:rsidR="00777DCB" w:rsidRPr="00A52585">
        <w:rPr>
          <w:rFonts w:hint="cs"/>
          <w:sz w:val="24"/>
          <w:szCs w:val="24"/>
          <w:rtl/>
        </w:rPr>
        <w:t xml:space="preserve"> وقد قال الامام الحافظ النووي في شرحه </w:t>
      </w:r>
      <w:r w:rsidRPr="00A52585">
        <w:rPr>
          <w:rFonts w:hint="cs"/>
          <w:sz w:val="24"/>
          <w:szCs w:val="24"/>
          <w:rtl/>
        </w:rPr>
        <w:t>(</w:t>
      </w:r>
      <w:r w:rsidR="00777DCB" w:rsidRPr="00A52585">
        <w:rPr>
          <w:rFonts w:hint="cs"/>
          <w:sz w:val="24"/>
          <w:szCs w:val="24"/>
          <w:rtl/>
        </w:rPr>
        <w:t>3 / 39</w:t>
      </w:r>
      <w:r w:rsidRPr="00A52585">
        <w:rPr>
          <w:rFonts w:hint="cs"/>
          <w:sz w:val="24"/>
          <w:szCs w:val="24"/>
          <w:rtl/>
        </w:rPr>
        <w:t>):</w:t>
      </w:r>
      <w:r w:rsidR="00777DCB" w:rsidRPr="00A52585">
        <w:rPr>
          <w:rFonts w:hint="cs"/>
          <w:sz w:val="24"/>
          <w:szCs w:val="24"/>
          <w:rtl/>
        </w:rPr>
        <w:t xml:space="preserve"> " هذا شك من الراوي هل قال</w:t>
      </w:r>
      <w:r w:rsidRPr="00A52585">
        <w:rPr>
          <w:rFonts w:hint="cs"/>
          <w:sz w:val="24"/>
          <w:szCs w:val="24"/>
          <w:rtl/>
        </w:rPr>
        <w:t>:</w:t>
      </w:r>
      <w:r w:rsidR="00777DCB" w:rsidRPr="00A52585">
        <w:rPr>
          <w:rFonts w:hint="cs"/>
          <w:sz w:val="24"/>
          <w:szCs w:val="24"/>
          <w:rtl/>
        </w:rPr>
        <w:t xml:space="preserve"> أتسخر بي</w:t>
      </w:r>
      <w:r w:rsidR="00DB731D" w:rsidRPr="00A52585">
        <w:rPr>
          <w:rFonts w:hint="cs"/>
          <w:sz w:val="24"/>
          <w:szCs w:val="24"/>
          <w:rtl/>
        </w:rPr>
        <w:t>،</w:t>
      </w:r>
      <w:r w:rsidR="00777DCB" w:rsidRPr="00A52585">
        <w:rPr>
          <w:rFonts w:hint="cs"/>
          <w:sz w:val="24"/>
          <w:szCs w:val="24"/>
          <w:rtl/>
        </w:rPr>
        <w:t xml:space="preserve"> أو قال</w:t>
      </w:r>
      <w:r w:rsidRPr="00A52585">
        <w:rPr>
          <w:rFonts w:hint="cs"/>
          <w:sz w:val="24"/>
          <w:szCs w:val="24"/>
          <w:rtl/>
        </w:rPr>
        <w:t>:</w:t>
      </w:r>
      <w:r w:rsidR="00777DCB" w:rsidRPr="00A52585">
        <w:rPr>
          <w:rFonts w:hint="cs"/>
          <w:sz w:val="24"/>
          <w:szCs w:val="24"/>
          <w:rtl/>
        </w:rPr>
        <w:t xml:space="preserve"> اتضحك بي</w:t>
      </w:r>
      <w:r w:rsidR="00897A24" w:rsidRPr="00A52585">
        <w:rPr>
          <w:rFonts w:hint="cs"/>
          <w:sz w:val="24"/>
          <w:szCs w:val="24"/>
          <w:rtl/>
        </w:rPr>
        <w:t>.</w:t>
      </w:r>
      <w:r w:rsidR="00777DCB" w:rsidRPr="00A52585">
        <w:rPr>
          <w:rFonts w:hint="cs"/>
          <w:sz w:val="24"/>
          <w:szCs w:val="24"/>
          <w:rtl/>
        </w:rPr>
        <w:t>. "</w:t>
      </w:r>
      <w:r w:rsidR="00DB731D" w:rsidRPr="00A52585">
        <w:rPr>
          <w:rFonts w:hint="cs"/>
          <w:sz w:val="24"/>
          <w:szCs w:val="24"/>
          <w:rtl/>
        </w:rPr>
        <w:t>،</w:t>
      </w:r>
      <w:r w:rsidR="00777DCB" w:rsidRPr="00A52585">
        <w:rPr>
          <w:rFonts w:hint="cs"/>
          <w:sz w:val="24"/>
          <w:szCs w:val="24"/>
          <w:rtl/>
        </w:rPr>
        <w:t xml:space="preserve"> واعلم أن هذا الحديث الذي نحن بصدد الكلام عليه</w:t>
      </w:r>
      <w:r w:rsidRPr="00A52585">
        <w:rPr>
          <w:rFonts w:hint="cs"/>
          <w:sz w:val="24"/>
          <w:szCs w:val="24"/>
          <w:rtl/>
        </w:rPr>
        <w:t>:</w:t>
      </w:r>
      <w:r w:rsidR="00777DCB" w:rsidRPr="00A52585">
        <w:rPr>
          <w:rFonts w:hint="cs"/>
          <w:sz w:val="24"/>
          <w:szCs w:val="24"/>
          <w:rtl/>
        </w:rPr>
        <w:t xml:space="preserve"> " يضحك الله من رجلين</w:t>
      </w:r>
      <w:r w:rsidR="00897A24" w:rsidRPr="00A52585">
        <w:rPr>
          <w:rFonts w:hint="cs"/>
          <w:sz w:val="24"/>
          <w:szCs w:val="24"/>
          <w:rtl/>
        </w:rPr>
        <w:t>..</w:t>
      </w:r>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ورد عند النسائي </w:t>
      </w:r>
      <w:r w:rsidRPr="00A52585">
        <w:rPr>
          <w:rFonts w:hint="cs"/>
          <w:sz w:val="24"/>
          <w:szCs w:val="24"/>
          <w:rtl/>
        </w:rPr>
        <w:t>(</w:t>
      </w:r>
      <w:r w:rsidR="00777DCB" w:rsidRPr="00A52585">
        <w:rPr>
          <w:rFonts w:hint="cs"/>
          <w:sz w:val="24"/>
          <w:szCs w:val="24"/>
          <w:rtl/>
        </w:rPr>
        <w:t>6 / 38 برقم 3165</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إن الله عز وجل يعجب من رجلين يقتل </w:t>
      </w:r>
      <w:proofErr w:type="gramStart"/>
      <w:r w:rsidR="00777DCB" w:rsidRPr="00A52585">
        <w:rPr>
          <w:rFonts w:hint="cs"/>
          <w:sz w:val="24"/>
          <w:szCs w:val="24"/>
          <w:rtl/>
        </w:rPr>
        <w:t>احدهما</w:t>
      </w:r>
      <w:proofErr w:type="gramEnd"/>
      <w:r w:rsidR="00777DCB" w:rsidRPr="00A52585">
        <w:rPr>
          <w:rFonts w:hint="cs"/>
          <w:sz w:val="24"/>
          <w:szCs w:val="24"/>
          <w:rtl/>
        </w:rPr>
        <w:t xml:space="preserve"> صاحبه</w:t>
      </w:r>
      <w:r w:rsidR="00897A24" w:rsidRPr="00A52585">
        <w:rPr>
          <w:rFonts w:hint="cs"/>
          <w:sz w:val="24"/>
          <w:szCs w:val="24"/>
          <w:rtl/>
        </w:rPr>
        <w:t>..</w:t>
      </w:r>
      <w:r w:rsidR="00777DCB" w:rsidRPr="00A52585">
        <w:rPr>
          <w:rFonts w:hint="cs"/>
          <w:sz w:val="24"/>
          <w:szCs w:val="24"/>
          <w:rtl/>
        </w:rPr>
        <w:t xml:space="preserve"> " وإسنادها صحيح</w:t>
      </w:r>
      <w:r w:rsidR="00DB731D" w:rsidRPr="00A52585">
        <w:rPr>
          <w:rFonts w:hint="cs"/>
          <w:sz w:val="24"/>
          <w:szCs w:val="24"/>
          <w:rtl/>
        </w:rPr>
        <w:t>،</w:t>
      </w:r>
      <w:r w:rsidR="00777DCB" w:rsidRPr="00A52585">
        <w:rPr>
          <w:rFonts w:hint="cs"/>
          <w:sz w:val="24"/>
          <w:szCs w:val="24"/>
          <w:rtl/>
        </w:rPr>
        <w:t xml:space="preserve"> ورواه ابن خزيمة كما في " الجامع الكبير " برقم </w:t>
      </w:r>
      <w:r w:rsidRPr="00A52585">
        <w:rPr>
          <w:rFonts w:hint="cs"/>
          <w:sz w:val="24"/>
          <w:szCs w:val="24"/>
          <w:rtl/>
        </w:rPr>
        <w:t>(</w:t>
      </w:r>
      <w:r w:rsidR="00777DCB" w:rsidRPr="00A52585">
        <w:rPr>
          <w:rFonts w:hint="cs"/>
          <w:sz w:val="24"/>
          <w:szCs w:val="24"/>
          <w:rtl/>
        </w:rPr>
        <w:t>28615</w:t>
      </w:r>
      <w:r w:rsidRPr="00A52585">
        <w:rPr>
          <w:rFonts w:hint="cs"/>
          <w:sz w:val="24"/>
          <w:szCs w:val="24"/>
          <w:rtl/>
        </w:rPr>
        <w:t>)</w:t>
      </w:r>
      <w:r w:rsidR="00777DCB" w:rsidRPr="00A52585">
        <w:rPr>
          <w:rFonts w:hint="cs"/>
          <w:sz w:val="24"/>
          <w:szCs w:val="24"/>
          <w:rtl/>
        </w:rPr>
        <w:t xml:space="preserve"> للحافظ السيوطي</w:t>
      </w:r>
      <w:r w:rsidR="00DB731D" w:rsidRPr="00A52585">
        <w:rPr>
          <w:rFonts w:hint="cs"/>
          <w:sz w:val="24"/>
          <w:szCs w:val="24"/>
          <w:rtl/>
        </w:rPr>
        <w:t>،</w:t>
      </w:r>
      <w:r w:rsidR="00777DCB" w:rsidRPr="00A52585">
        <w:rPr>
          <w:rFonts w:hint="cs"/>
          <w:sz w:val="24"/>
          <w:szCs w:val="24"/>
          <w:rtl/>
        </w:rPr>
        <w:t xml:space="preserve"> ومنه يتبين أننا لا نستطيع الجزم بواحدة من اللفظتين</w:t>
      </w:r>
      <w:r w:rsidR="00DB731D" w:rsidRPr="00A52585">
        <w:rPr>
          <w:rFonts w:hint="cs"/>
          <w:sz w:val="24"/>
          <w:szCs w:val="24"/>
          <w:rtl/>
        </w:rPr>
        <w:t>،</w:t>
      </w:r>
      <w:r w:rsidR="00777DCB" w:rsidRPr="00A52585">
        <w:rPr>
          <w:rFonts w:hint="cs"/>
          <w:sz w:val="24"/>
          <w:szCs w:val="24"/>
          <w:rtl/>
        </w:rPr>
        <w:t xml:space="preserve"> وقد أول الامام البخاري رحمه الله تعالى الضحك بالرحمة</w:t>
      </w:r>
      <w:r w:rsidR="00DB731D" w:rsidRPr="00A52585">
        <w:rPr>
          <w:rFonts w:hint="cs"/>
          <w:sz w:val="24"/>
          <w:szCs w:val="24"/>
          <w:rtl/>
        </w:rPr>
        <w:t>،</w:t>
      </w:r>
      <w:r w:rsidR="00777DCB" w:rsidRPr="00A52585">
        <w:rPr>
          <w:rFonts w:hint="cs"/>
          <w:sz w:val="24"/>
          <w:szCs w:val="24"/>
          <w:rtl/>
        </w:rPr>
        <w:t xml:space="preserve"> وقد نقل ذلك التأويل عنه الحافظ " فتح الباري " </w:t>
      </w:r>
      <w:r w:rsidRPr="00A52585">
        <w:rPr>
          <w:rFonts w:hint="cs"/>
          <w:sz w:val="24"/>
          <w:szCs w:val="24"/>
          <w:rtl/>
        </w:rPr>
        <w:t>(</w:t>
      </w:r>
      <w:r w:rsidR="00777DCB" w:rsidRPr="00A52585">
        <w:rPr>
          <w:rFonts w:hint="cs"/>
          <w:sz w:val="24"/>
          <w:szCs w:val="24"/>
          <w:rtl/>
        </w:rPr>
        <w:t>6 / 40</w:t>
      </w:r>
      <w:r w:rsidRPr="00A52585">
        <w:rPr>
          <w:rFonts w:hint="cs"/>
          <w:sz w:val="24"/>
          <w:szCs w:val="24"/>
          <w:rtl/>
        </w:rPr>
        <w:t>)</w:t>
      </w:r>
      <w:r w:rsidR="00777DCB" w:rsidRPr="00A52585">
        <w:rPr>
          <w:rFonts w:hint="cs"/>
          <w:sz w:val="24"/>
          <w:szCs w:val="24"/>
          <w:rtl/>
        </w:rPr>
        <w:t xml:space="preserve"> بواسطة الخطابي</w:t>
      </w:r>
      <w:r w:rsidR="00DB731D" w:rsidRPr="00A52585">
        <w:rPr>
          <w:rFonts w:hint="cs"/>
          <w:sz w:val="24"/>
          <w:szCs w:val="24"/>
          <w:rtl/>
        </w:rPr>
        <w:t>،</w:t>
      </w:r>
      <w:r w:rsidR="00777DCB" w:rsidRPr="00A52585">
        <w:rPr>
          <w:rFonts w:hint="cs"/>
          <w:sz w:val="24"/>
          <w:szCs w:val="24"/>
          <w:rtl/>
        </w:rPr>
        <w:t xml:space="preserve"> وكذلك الحافظ البيهقي نقل هذا التأويل عن البخاري في موضعين من كتابه " الاسماء والصفات " ص </w:t>
      </w:r>
      <w:r w:rsidRPr="00A52585">
        <w:rPr>
          <w:rFonts w:hint="cs"/>
          <w:sz w:val="24"/>
          <w:szCs w:val="24"/>
          <w:rtl/>
        </w:rPr>
        <w:t>(</w:t>
      </w:r>
      <w:r w:rsidR="00777DCB" w:rsidRPr="00A52585">
        <w:rPr>
          <w:rFonts w:hint="cs"/>
          <w:sz w:val="24"/>
          <w:szCs w:val="24"/>
          <w:rtl/>
        </w:rPr>
        <w:t>298</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وص</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470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البيهقي هناك</w:t>
      </w:r>
      <w:r w:rsidRPr="00A52585">
        <w:rPr>
          <w:rFonts w:hint="cs"/>
          <w:sz w:val="24"/>
          <w:szCs w:val="24"/>
          <w:rtl/>
        </w:rPr>
        <w:t>:</w:t>
      </w:r>
      <w:r w:rsidR="00777DCB" w:rsidRPr="00A52585">
        <w:rPr>
          <w:rFonts w:hint="cs"/>
          <w:sz w:val="24"/>
          <w:szCs w:val="24"/>
          <w:rtl/>
        </w:rPr>
        <w:t xml:space="preserve"> " روى </w:t>
      </w:r>
      <w:proofErr w:type="spellStart"/>
      <w:r w:rsidR="00777DCB" w:rsidRPr="00A52585">
        <w:rPr>
          <w:rFonts w:hint="cs"/>
          <w:sz w:val="24"/>
          <w:szCs w:val="24"/>
          <w:rtl/>
        </w:rPr>
        <w:t>الفربري</w:t>
      </w:r>
      <w:proofErr w:type="spellEnd"/>
      <w:r w:rsidR="00777DCB" w:rsidRPr="00A52585">
        <w:rPr>
          <w:rFonts w:hint="cs"/>
          <w:sz w:val="24"/>
          <w:szCs w:val="24"/>
          <w:rtl/>
        </w:rPr>
        <w:t xml:space="preserve"> عن محمد بن اسماعيل البخاري رحمه الله تعالى أنه قال</w:t>
      </w:r>
      <w:r w:rsidRPr="00A52585">
        <w:rPr>
          <w:rFonts w:hint="cs"/>
          <w:sz w:val="24"/>
          <w:szCs w:val="24"/>
          <w:rtl/>
        </w:rPr>
        <w:t>:</w:t>
      </w:r>
      <w:r w:rsidR="00777DCB" w:rsidRPr="00A52585">
        <w:rPr>
          <w:rFonts w:hint="cs"/>
          <w:sz w:val="24"/>
          <w:szCs w:val="24"/>
          <w:rtl/>
        </w:rPr>
        <w:t xml:space="preserve"> معنى الضحك في الحديث الرحمة " اه‍ فتأمل</w:t>
      </w:r>
      <w:r w:rsidR="00DB731D" w:rsidRPr="00A52585">
        <w:rPr>
          <w:rFonts w:hint="cs"/>
          <w:sz w:val="24"/>
          <w:szCs w:val="24"/>
          <w:rtl/>
        </w:rPr>
        <w:t>،</w:t>
      </w:r>
      <w:r w:rsidR="00777DCB" w:rsidRPr="00A52585">
        <w:rPr>
          <w:rFonts w:hint="cs"/>
          <w:sz w:val="24"/>
          <w:szCs w:val="24"/>
          <w:rtl/>
        </w:rPr>
        <w:t xml:space="preserve"> وقال الامام الحافظ النووي في شرح مسلم </w:t>
      </w:r>
      <w:r w:rsidRPr="00A52585">
        <w:rPr>
          <w:rFonts w:hint="cs"/>
          <w:sz w:val="24"/>
          <w:szCs w:val="24"/>
          <w:rtl/>
        </w:rPr>
        <w:t>(</w:t>
      </w:r>
      <w:r w:rsidR="00777DCB" w:rsidRPr="00A52585">
        <w:rPr>
          <w:rFonts w:hint="cs"/>
          <w:sz w:val="24"/>
          <w:szCs w:val="24"/>
          <w:rtl/>
        </w:rPr>
        <w:t>3 / 43</w:t>
      </w:r>
      <w:r w:rsidRPr="00A52585">
        <w:rPr>
          <w:rFonts w:hint="cs"/>
          <w:sz w:val="24"/>
          <w:szCs w:val="24"/>
          <w:rtl/>
        </w:rPr>
        <w:t>):</w:t>
      </w:r>
      <w:r w:rsidR="00777DCB" w:rsidRPr="00A52585">
        <w:rPr>
          <w:rFonts w:hint="cs"/>
          <w:sz w:val="24"/>
          <w:szCs w:val="24"/>
          <w:rtl/>
        </w:rPr>
        <w:t xml:space="preserve"> " قد قدمنا معنى الضحك من الله تعالى وهو الرضى والرحمة وإرادة الخير لمن يشاء رحمته عن عباده " اه‍</w:t>
      </w:r>
      <w:r w:rsidR="00DB731D" w:rsidRPr="00A52585">
        <w:rPr>
          <w:rFonts w:hint="cs"/>
          <w:sz w:val="24"/>
          <w:szCs w:val="24"/>
          <w:rtl/>
        </w:rPr>
        <w:t>،</w:t>
      </w:r>
      <w:r w:rsidR="00777DCB" w:rsidRPr="00A52585">
        <w:rPr>
          <w:rFonts w:hint="cs"/>
          <w:sz w:val="24"/>
          <w:szCs w:val="24"/>
          <w:rtl/>
        </w:rPr>
        <w:t xml:space="preserve"> وانظر لزاما " فتح الباري " </w:t>
      </w:r>
      <w:r w:rsidRPr="00A52585">
        <w:rPr>
          <w:rFonts w:hint="cs"/>
          <w:sz w:val="24"/>
          <w:szCs w:val="24"/>
          <w:rtl/>
        </w:rPr>
        <w:t>(</w:t>
      </w:r>
      <w:r w:rsidR="00777DCB" w:rsidRPr="00A52585">
        <w:rPr>
          <w:rFonts w:hint="cs"/>
          <w:sz w:val="24"/>
          <w:szCs w:val="24"/>
          <w:rtl/>
        </w:rPr>
        <w:t>6 / 40</w:t>
      </w:r>
      <w:r w:rsidRPr="00A52585">
        <w:rPr>
          <w:rFonts w:hint="cs"/>
          <w:sz w:val="24"/>
          <w:szCs w:val="24"/>
          <w:rtl/>
        </w:rPr>
        <w:t>)</w:t>
      </w:r>
      <w:r w:rsidR="00777DCB" w:rsidRPr="00A52585">
        <w:rPr>
          <w:rFonts w:hint="cs"/>
          <w:sz w:val="24"/>
          <w:szCs w:val="24"/>
          <w:rtl/>
        </w:rPr>
        <w:t>]</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اعلم أن الضحك له معان ترجع إلى معنى البيان والظهور</w:t>
      </w:r>
      <w:r w:rsidR="00DB731D" w:rsidRPr="00A52585">
        <w:rPr>
          <w:rFonts w:hint="cs"/>
          <w:rtl/>
        </w:rPr>
        <w:t>،</w:t>
      </w:r>
      <w:r w:rsidR="00777DCB" w:rsidRPr="00A52585">
        <w:rPr>
          <w:rFonts w:hint="cs"/>
          <w:rtl/>
        </w:rPr>
        <w:t xml:space="preserve"> وكل من أبدى عن أمر كان مستورا قيل قد ضحك</w:t>
      </w:r>
      <w:r w:rsidR="00897A24" w:rsidRPr="00A52585">
        <w:rPr>
          <w:rFonts w:hint="cs"/>
          <w:rtl/>
        </w:rPr>
        <w:t>.</w:t>
      </w:r>
      <w:r w:rsidR="00777DCB" w:rsidRPr="00A52585">
        <w:rPr>
          <w:rFonts w:hint="cs"/>
          <w:rtl/>
        </w:rPr>
        <w:t xml:space="preserve"> يقال</w:t>
      </w:r>
      <w:r w:rsidRPr="00A52585">
        <w:rPr>
          <w:rFonts w:hint="cs"/>
          <w:rtl/>
        </w:rPr>
        <w:t>:</w:t>
      </w:r>
      <w:r w:rsidR="00777DCB" w:rsidRPr="00A52585">
        <w:rPr>
          <w:rFonts w:hint="cs"/>
          <w:rtl/>
        </w:rPr>
        <w:t xml:space="preserve"> ضحكت الارض بالنبات إذا ظهر ما فيها</w:t>
      </w:r>
      <w:r w:rsidR="00DB731D" w:rsidRPr="00A52585">
        <w:rPr>
          <w:rFonts w:hint="cs"/>
          <w:rtl/>
        </w:rPr>
        <w:t>،</w:t>
      </w:r>
      <w:r w:rsidR="00777DCB" w:rsidRPr="00A52585">
        <w:rPr>
          <w:rFonts w:hint="cs"/>
          <w:rtl/>
        </w:rPr>
        <w:t xml:space="preserve"> وانفتق عن زهره</w:t>
      </w:r>
      <w:r w:rsidR="00DB731D" w:rsidRPr="00A52585">
        <w:rPr>
          <w:rFonts w:hint="cs"/>
          <w:rtl/>
        </w:rPr>
        <w:t>،</w:t>
      </w:r>
      <w:r w:rsidR="00777DCB" w:rsidRPr="00A52585">
        <w:rPr>
          <w:rFonts w:hint="cs"/>
          <w:rtl/>
        </w:rPr>
        <w:t xml:space="preserve"> كما يقال</w:t>
      </w:r>
      <w:r w:rsidRPr="00A52585">
        <w:rPr>
          <w:rFonts w:hint="cs"/>
          <w:rtl/>
        </w:rPr>
        <w:t>:</w:t>
      </w:r>
      <w:r w:rsidR="00777DCB" w:rsidRPr="00A52585">
        <w:rPr>
          <w:rFonts w:hint="cs"/>
          <w:rtl/>
        </w:rPr>
        <w:t xml:space="preserve"> بكت السماء</w:t>
      </w:r>
      <w:r w:rsidR="00DB731D" w:rsidRPr="00A52585">
        <w:rPr>
          <w:rFonts w:hint="cs"/>
          <w:rtl/>
        </w:rPr>
        <w:t>،</w:t>
      </w:r>
      <w:r w:rsidR="00777DCB" w:rsidRPr="00A52585">
        <w:rPr>
          <w:rFonts w:hint="cs"/>
          <w:rtl/>
        </w:rPr>
        <w:t xml:space="preserve"> قال الشاعر</w:t>
      </w:r>
      <w:r w:rsidRPr="00A52585">
        <w:rPr>
          <w:rFonts w:hint="cs"/>
          <w:rtl/>
        </w:rPr>
        <w:t>:</w:t>
      </w:r>
      <w:r w:rsidR="00777DCB" w:rsidRPr="00A52585">
        <w:rPr>
          <w:rFonts w:hint="cs"/>
          <w:rtl/>
        </w:rPr>
        <w:t xml:space="preserve"> كل يوم </w:t>
      </w:r>
      <w:proofErr w:type="spellStart"/>
      <w:r w:rsidR="00777DCB" w:rsidRPr="00A52585">
        <w:rPr>
          <w:rFonts w:hint="cs"/>
          <w:rtl/>
        </w:rPr>
        <w:t>بالاقحوان</w:t>
      </w:r>
      <w:proofErr w:type="spellEnd"/>
      <w:r w:rsidR="00777DCB" w:rsidRPr="00A52585">
        <w:rPr>
          <w:rFonts w:hint="cs"/>
          <w:rtl/>
        </w:rPr>
        <w:t xml:space="preserve"> جديد تضحك الارض من بكاء السماء</w:t>
      </w:r>
      <w:r w:rsidR="00DB731D" w:rsidRPr="00A52585">
        <w:rPr>
          <w:rFonts w:hint="cs"/>
          <w:rtl/>
        </w:rPr>
        <w:t>،</w:t>
      </w:r>
      <w:r w:rsidR="00777DCB" w:rsidRPr="00A52585">
        <w:rPr>
          <w:rFonts w:hint="cs"/>
          <w:rtl/>
        </w:rPr>
        <w:t xml:space="preserve"> وكذلك الضحك الذي يعتري البشر إنما هو انفتاح الفم عند الانسان</w:t>
      </w:r>
      <w:r w:rsidR="00DB731D" w:rsidRPr="00A52585">
        <w:rPr>
          <w:rFonts w:hint="cs"/>
          <w:rtl/>
        </w:rPr>
        <w:t>،</w:t>
      </w:r>
      <w:r w:rsidR="00777DCB" w:rsidRPr="00A52585">
        <w:rPr>
          <w:rFonts w:hint="cs"/>
          <w:rtl/>
        </w:rPr>
        <w:t xml:space="preserve"> وهذا يستحيل على الله تعالى فوجب حمله على ابداء كرم الله</w:t>
      </w:r>
      <w:r w:rsidR="00DB731D" w:rsidRPr="00A52585">
        <w:rPr>
          <w:rFonts w:hint="cs"/>
          <w:rtl/>
        </w:rPr>
        <w:t>،</w:t>
      </w:r>
      <w:r w:rsidR="00777DCB" w:rsidRPr="00A52585">
        <w:rPr>
          <w:rFonts w:hint="cs"/>
          <w:rtl/>
        </w:rPr>
        <w:t xml:space="preserve"> وإبانة فضله</w:t>
      </w:r>
      <w:r w:rsidR="00897A24" w:rsidRPr="00A52585">
        <w:rPr>
          <w:rFonts w:hint="cs"/>
          <w:rtl/>
        </w:rPr>
        <w:t>.</w:t>
      </w:r>
      <w:r w:rsidR="00777DCB" w:rsidRPr="00A52585">
        <w:rPr>
          <w:rFonts w:hint="cs"/>
          <w:rtl/>
        </w:rPr>
        <w:t xml:space="preserve"> ومعنى</w:t>
      </w:r>
      <w:r w:rsidRPr="00A52585">
        <w:rPr>
          <w:rFonts w:hint="cs"/>
          <w:rtl/>
        </w:rPr>
        <w:t>:</w:t>
      </w:r>
      <w:r w:rsidR="00777DCB" w:rsidRPr="00A52585">
        <w:rPr>
          <w:rFonts w:hint="cs"/>
          <w:rtl/>
        </w:rPr>
        <w:t xml:space="preserve"> ضحكت لضحك ربي</w:t>
      </w:r>
      <w:r w:rsidRPr="00A52585">
        <w:rPr>
          <w:rFonts w:hint="cs"/>
          <w:rtl/>
        </w:rPr>
        <w:t>:</w:t>
      </w:r>
      <w:r w:rsidR="00777DCB" w:rsidRPr="00A52585">
        <w:rPr>
          <w:rFonts w:hint="cs"/>
          <w:rtl/>
        </w:rPr>
        <w:t xml:space="preserve"> أبديت عن أسناني بفتح فمي</w:t>
      </w:r>
      <w:r w:rsidR="00DB731D" w:rsidRPr="00A52585">
        <w:rPr>
          <w:rFonts w:hint="cs"/>
          <w:rtl/>
        </w:rPr>
        <w:t>،</w:t>
      </w:r>
      <w:r w:rsidR="00777DCB" w:rsidRPr="00A52585">
        <w:rPr>
          <w:rFonts w:hint="cs"/>
          <w:rtl/>
        </w:rPr>
        <w:t xml:space="preserve"> </w:t>
      </w:r>
      <w:proofErr w:type="spellStart"/>
      <w:r w:rsidR="00777DCB" w:rsidRPr="00A52585">
        <w:rPr>
          <w:rFonts w:hint="cs"/>
          <w:rtl/>
        </w:rPr>
        <w:t>لاظهار</w:t>
      </w:r>
      <w:proofErr w:type="spellEnd"/>
      <w:r w:rsidR="00777DCB" w:rsidRPr="00A52585">
        <w:rPr>
          <w:rFonts w:hint="cs"/>
          <w:rtl/>
        </w:rPr>
        <w:t xml:space="preserve"> فضله وكرمه</w:t>
      </w:r>
      <w:r w:rsidR="00DB731D" w:rsidRPr="00A52585">
        <w:rPr>
          <w:rFonts w:hint="cs"/>
          <w:rtl/>
        </w:rPr>
        <w:t>،</w:t>
      </w:r>
      <w:r w:rsidR="00777DCB" w:rsidRPr="00A52585">
        <w:rPr>
          <w:rFonts w:hint="cs"/>
          <w:rtl/>
        </w:rPr>
        <w:t xml:space="preserve"> وقول الآخر</w:t>
      </w:r>
      <w:r w:rsidRPr="00A52585">
        <w:rPr>
          <w:rFonts w:hint="cs"/>
          <w:rtl/>
        </w:rPr>
        <w:t>:</w:t>
      </w:r>
      <w:r w:rsidR="00777DCB" w:rsidRPr="00A52585">
        <w:rPr>
          <w:rFonts w:hint="cs"/>
          <w:rtl/>
        </w:rPr>
        <w:t xml:space="preserve"> " لن نعدم من رب يضحك خيرا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هذه الالفاظ هي من حديث رواه ابن ماجه في سننه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 / 64 برقم 181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والطبراني في الكبير </w:t>
      </w:r>
      <w:r w:rsidRPr="00A52585">
        <w:rPr>
          <w:rFonts w:hint="cs"/>
          <w:sz w:val="24"/>
          <w:szCs w:val="24"/>
          <w:rtl/>
        </w:rPr>
        <w:t>(</w:t>
      </w:r>
      <w:r w:rsidR="00777DCB" w:rsidRPr="00A52585">
        <w:rPr>
          <w:rFonts w:hint="cs"/>
          <w:sz w:val="24"/>
          <w:szCs w:val="24"/>
          <w:rtl/>
        </w:rPr>
        <w:t>19 / 207 - 208</w:t>
      </w:r>
      <w:r w:rsidRPr="00A52585">
        <w:rPr>
          <w:rFonts w:hint="cs"/>
          <w:sz w:val="24"/>
          <w:szCs w:val="24"/>
          <w:rtl/>
        </w:rPr>
        <w:t>)</w:t>
      </w:r>
      <w:r w:rsidR="00777DCB" w:rsidRPr="00A52585">
        <w:rPr>
          <w:rFonts w:hint="cs"/>
          <w:sz w:val="24"/>
          <w:szCs w:val="24"/>
          <w:rtl/>
        </w:rPr>
        <w:t xml:space="preserve"> واحمد </w:t>
      </w:r>
      <w:r w:rsidRPr="00A52585">
        <w:rPr>
          <w:rFonts w:hint="cs"/>
          <w:sz w:val="24"/>
          <w:szCs w:val="24"/>
          <w:rtl/>
        </w:rPr>
        <w:t>(</w:t>
      </w:r>
      <w:r w:rsidR="00777DCB" w:rsidRPr="00A52585">
        <w:rPr>
          <w:rFonts w:hint="cs"/>
          <w:sz w:val="24"/>
          <w:szCs w:val="24"/>
          <w:rtl/>
        </w:rPr>
        <w:t>4 / 11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الحافظ البوصيري عنه في " مصباح الزجاجة " </w:t>
      </w:r>
      <w:r w:rsidRPr="00A52585">
        <w:rPr>
          <w:rFonts w:hint="cs"/>
          <w:sz w:val="24"/>
          <w:szCs w:val="24"/>
          <w:rtl/>
        </w:rPr>
        <w:t>(</w:t>
      </w:r>
      <w:r w:rsidR="00777DCB" w:rsidRPr="00A52585">
        <w:rPr>
          <w:rFonts w:hint="cs"/>
          <w:sz w:val="24"/>
          <w:szCs w:val="24"/>
          <w:rtl/>
        </w:rPr>
        <w:t>1 / 85 برقم 68</w:t>
      </w:r>
      <w:r w:rsidRPr="00A52585">
        <w:rPr>
          <w:rFonts w:hint="cs"/>
          <w:sz w:val="24"/>
          <w:szCs w:val="24"/>
          <w:rtl/>
        </w:rPr>
        <w:t>):</w:t>
      </w:r>
      <w:r w:rsidR="00777DCB" w:rsidRPr="00A52585">
        <w:rPr>
          <w:rFonts w:hint="cs"/>
          <w:sz w:val="24"/>
          <w:szCs w:val="24"/>
          <w:rtl/>
        </w:rPr>
        <w:t xml:space="preserve"> " هذا إسناد فيه مقال</w:t>
      </w:r>
      <w:r w:rsidRPr="00A52585">
        <w:rPr>
          <w:rFonts w:hint="cs"/>
          <w:sz w:val="24"/>
          <w:szCs w:val="24"/>
          <w:rtl/>
        </w:rPr>
        <w:t>:</w:t>
      </w:r>
      <w:r w:rsidR="00777DCB" w:rsidRPr="00A52585">
        <w:rPr>
          <w:rFonts w:hint="cs"/>
          <w:sz w:val="24"/>
          <w:szCs w:val="24"/>
          <w:rtl/>
        </w:rPr>
        <w:t xml:space="preserve"> وكيع - بن عدس - ذكره ابن </w:t>
      </w:r>
      <w:r w:rsidR="00777DCB" w:rsidRPr="00A52585">
        <w:rPr>
          <w:rFonts w:hint="cs"/>
          <w:sz w:val="24"/>
          <w:szCs w:val="24"/>
          <w:rtl/>
        </w:rPr>
        <w:lastRenderedPageBreak/>
        <w:t>حبان في الثقات وذكره الذهبي في الميزان</w:t>
      </w:r>
      <w:r w:rsidR="00DB731D" w:rsidRPr="00A52585">
        <w:rPr>
          <w:rFonts w:hint="cs"/>
          <w:sz w:val="24"/>
          <w:szCs w:val="24"/>
          <w:rtl/>
        </w:rPr>
        <w:t>،</w:t>
      </w:r>
      <w:r w:rsidR="00777DCB" w:rsidRPr="00A52585">
        <w:rPr>
          <w:rFonts w:hint="cs"/>
          <w:sz w:val="24"/>
          <w:szCs w:val="24"/>
          <w:rtl/>
        </w:rPr>
        <w:t xml:space="preserve"> وباقي رجال الاسناد احتج</w:t>
      </w:r>
      <w:r w:rsidRPr="00A52585">
        <w:rPr>
          <w:rFonts w:hint="cs"/>
          <w:sz w:val="24"/>
          <w:szCs w:val="24"/>
          <w:rtl/>
        </w:rPr>
        <w:t xml:space="preserve"> </w:t>
      </w:r>
      <w:r w:rsidR="00777DCB" w:rsidRPr="00A52585">
        <w:rPr>
          <w:rFonts w:hint="cs"/>
          <w:sz w:val="24"/>
          <w:szCs w:val="24"/>
          <w:rtl/>
        </w:rPr>
        <w:t>بهم مسلم</w:t>
      </w:r>
      <w:r w:rsidR="00DB731D" w:rsidRPr="00A52585">
        <w:rPr>
          <w:rFonts w:hint="cs"/>
          <w:sz w:val="24"/>
          <w:szCs w:val="24"/>
          <w:rtl/>
        </w:rPr>
        <w:t>،</w:t>
      </w:r>
      <w:r w:rsidR="00777DCB" w:rsidRPr="00A52585">
        <w:rPr>
          <w:rFonts w:hint="cs"/>
          <w:sz w:val="24"/>
          <w:szCs w:val="24"/>
          <w:rtl/>
        </w:rPr>
        <w:t xml:space="preserve"> رواه الامام أحمد بن حنبل في مسنده من هذا الوجه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هو في مسند أحمد </w:t>
      </w:r>
      <w:r w:rsidRPr="00A52585">
        <w:rPr>
          <w:rFonts w:hint="cs"/>
          <w:sz w:val="24"/>
          <w:szCs w:val="24"/>
          <w:rtl/>
        </w:rPr>
        <w:t>(</w:t>
      </w:r>
      <w:r w:rsidR="00777DCB" w:rsidRPr="00A52585">
        <w:rPr>
          <w:rFonts w:hint="cs"/>
          <w:sz w:val="24"/>
          <w:szCs w:val="24"/>
          <w:rtl/>
        </w:rPr>
        <w:t>4 / 11</w:t>
      </w:r>
      <w:r w:rsidRPr="00A52585">
        <w:rPr>
          <w:rFonts w:hint="cs"/>
          <w:sz w:val="24"/>
          <w:szCs w:val="24"/>
          <w:rtl/>
        </w:rPr>
        <w:t>)</w:t>
      </w:r>
      <w:r w:rsidR="00777DCB" w:rsidRPr="00A52585">
        <w:rPr>
          <w:rFonts w:hint="cs"/>
          <w:sz w:val="24"/>
          <w:szCs w:val="24"/>
          <w:rtl/>
        </w:rPr>
        <w:t xml:space="preserve"> وهذا نص الحديث هناك</w:t>
      </w:r>
      <w:r w:rsidRPr="00A52585">
        <w:rPr>
          <w:rFonts w:hint="cs"/>
          <w:sz w:val="24"/>
          <w:szCs w:val="24"/>
          <w:rtl/>
        </w:rPr>
        <w:t>:</w:t>
      </w:r>
      <w:r w:rsidR="00777DCB" w:rsidRPr="00A52585">
        <w:rPr>
          <w:rFonts w:hint="cs"/>
          <w:sz w:val="24"/>
          <w:szCs w:val="24"/>
          <w:rtl/>
        </w:rPr>
        <w:t xml:space="preserve"> " ضحك ربنا من قنوط عباده وقرب غيره " قال</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يا رسول الله</w:t>
      </w:r>
      <w:r w:rsidR="00F95886" w:rsidRPr="00A52585">
        <w:rPr>
          <w:rFonts w:hint="cs"/>
          <w:sz w:val="24"/>
          <w:szCs w:val="24"/>
          <w:rtl/>
        </w:rPr>
        <w:t>!</w:t>
      </w:r>
      <w:r w:rsidR="00777DCB" w:rsidRPr="00A52585">
        <w:rPr>
          <w:rFonts w:hint="cs"/>
          <w:sz w:val="24"/>
          <w:szCs w:val="24"/>
          <w:rtl/>
        </w:rPr>
        <w:t xml:space="preserve"> أو يضحك الرب</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نعم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لن نعدم من رب يضحك خيرا "</w:t>
      </w:r>
      <w:r w:rsidR="00777DCB" w:rsidRPr="00A52585">
        <w:rPr>
          <w:rFonts w:hint="cs"/>
          <w:rtl/>
        </w:rPr>
        <w:t>]</w:t>
      </w:r>
      <w:r w:rsidR="00DB731D" w:rsidRPr="00A52585">
        <w:rPr>
          <w:rFonts w:hint="cs"/>
          <w:rtl/>
        </w:rPr>
        <w:t>،</w:t>
      </w:r>
      <w:r w:rsidR="00777DCB" w:rsidRPr="00A52585">
        <w:rPr>
          <w:rFonts w:hint="cs"/>
          <w:rtl/>
        </w:rPr>
        <w:t xml:space="preserve"> أي</w:t>
      </w:r>
      <w:r w:rsidRPr="00A52585">
        <w:rPr>
          <w:rFonts w:hint="cs"/>
          <w:rtl/>
        </w:rPr>
        <w:t>:</w:t>
      </w:r>
      <w:r w:rsidR="00777DCB" w:rsidRPr="00A52585">
        <w:rPr>
          <w:rFonts w:hint="cs"/>
          <w:rtl/>
        </w:rPr>
        <w:t xml:space="preserve"> يكشف الكرب</w:t>
      </w:r>
      <w:r w:rsidR="00DB731D" w:rsidRPr="00A52585">
        <w:rPr>
          <w:rFonts w:hint="cs"/>
          <w:rtl/>
        </w:rPr>
        <w:t>،</w:t>
      </w:r>
      <w:r w:rsidR="00777DCB" w:rsidRPr="00A52585">
        <w:rPr>
          <w:rFonts w:hint="cs"/>
          <w:rtl/>
        </w:rPr>
        <w:t xml:space="preserve"> فرق بينه وبين الاجسام التي لا يرجى خيرها</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تأويل جماعة من العلماء</w:t>
      </w:r>
      <w:r w:rsidR="00DB731D" w:rsidRPr="00A52585">
        <w:rPr>
          <w:rFonts w:hint="cs"/>
          <w:rtl/>
        </w:rPr>
        <w:t>،</w:t>
      </w:r>
      <w:r w:rsidR="00777DCB" w:rsidRPr="00A52585">
        <w:rPr>
          <w:rFonts w:hint="cs"/>
          <w:rtl/>
        </w:rPr>
        <w:t xml:space="preserve"> وقال الخطابي</w:t>
      </w:r>
      <w:r w:rsidRPr="00A52585">
        <w:rPr>
          <w:rFonts w:hint="cs"/>
          <w:rtl/>
        </w:rPr>
        <w:t>:</w:t>
      </w:r>
      <w:r w:rsidR="00777DCB" w:rsidRPr="00A52585">
        <w:rPr>
          <w:rFonts w:hint="cs"/>
          <w:rtl/>
        </w:rPr>
        <w:t xml:space="preserve"> معنى ضحك الجبار عز وجل </w:t>
      </w:r>
      <w:r w:rsidRPr="00A52585">
        <w:rPr>
          <w:rFonts w:hint="cs"/>
          <w:rtl/>
        </w:rPr>
        <w:t>(</w:t>
      </w:r>
      <w:r w:rsidR="00777DCB" w:rsidRPr="00A52585">
        <w:rPr>
          <w:rFonts w:hint="cs"/>
          <w:rtl/>
        </w:rPr>
        <w:t>المراد به</w:t>
      </w:r>
      <w:r w:rsidRPr="00A52585">
        <w:rPr>
          <w:rFonts w:hint="cs"/>
          <w:rtl/>
        </w:rPr>
        <w:t>)</w:t>
      </w:r>
      <w:r w:rsidR="00777DCB" w:rsidRPr="00A52585">
        <w:rPr>
          <w:rFonts w:hint="cs"/>
          <w:rtl/>
        </w:rPr>
        <w:t xml:space="preserve"> الرضى وحسن المجازاة</w:t>
      </w:r>
      <w:r w:rsidR="00DB731D" w:rsidRPr="00A52585">
        <w:rPr>
          <w:rFonts w:hint="cs"/>
          <w:rtl/>
        </w:rPr>
        <w:t>،</w:t>
      </w:r>
      <w:r w:rsidR="00777DCB" w:rsidRPr="00A52585">
        <w:rPr>
          <w:rFonts w:hint="cs"/>
          <w:rtl/>
        </w:rPr>
        <w:t xml:space="preserve"> وقد روي في حديث موقوف</w:t>
      </w:r>
      <w:r w:rsidRPr="00A52585">
        <w:rPr>
          <w:rFonts w:hint="cs"/>
          <w:rtl/>
        </w:rPr>
        <w:t>:</w:t>
      </w:r>
      <w:r w:rsidR="00777DCB" w:rsidRPr="00A52585">
        <w:rPr>
          <w:rFonts w:hint="cs"/>
          <w:rtl/>
        </w:rPr>
        <w:t xml:space="preserve"> " فضحك حتى بدت لهواته وأضراسه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هذه قطعة من حديث منكر لا أقول إلا أنه مكذوب</w:t>
      </w:r>
      <w:r w:rsidR="00DB731D" w:rsidRPr="00A52585">
        <w:rPr>
          <w:rFonts w:hint="cs"/>
          <w:sz w:val="24"/>
          <w:szCs w:val="24"/>
          <w:rtl/>
        </w:rPr>
        <w:t>،</w:t>
      </w:r>
      <w:r w:rsidR="00777DCB" w:rsidRPr="00A52585">
        <w:rPr>
          <w:rFonts w:hint="cs"/>
          <w:sz w:val="24"/>
          <w:szCs w:val="24"/>
          <w:rtl/>
        </w:rPr>
        <w:t xml:space="preserve"> رواه أبو عوانة </w:t>
      </w:r>
      <w:r w:rsidRPr="00A52585">
        <w:rPr>
          <w:rFonts w:hint="cs"/>
          <w:sz w:val="24"/>
          <w:szCs w:val="24"/>
          <w:rtl/>
        </w:rPr>
        <w:t>(</w:t>
      </w:r>
      <w:r w:rsidR="00777DCB" w:rsidRPr="00A52585">
        <w:rPr>
          <w:rFonts w:hint="cs"/>
          <w:sz w:val="24"/>
          <w:szCs w:val="24"/>
          <w:rtl/>
        </w:rPr>
        <w:t>1 / 139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أعله ابن منده في كتابه الايمان </w:t>
      </w:r>
      <w:r w:rsidRPr="00A52585">
        <w:rPr>
          <w:rFonts w:hint="cs"/>
          <w:sz w:val="24"/>
          <w:szCs w:val="24"/>
          <w:rtl/>
        </w:rPr>
        <w:t>(</w:t>
      </w:r>
      <w:r w:rsidR="00777DCB" w:rsidRPr="00A52585">
        <w:rPr>
          <w:rFonts w:hint="cs"/>
          <w:sz w:val="24"/>
          <w:szCs w:val="24"/>
          <w:rtl/>
        </w:rPr>
        <w:t>804</w:t>
      </w:r>
      <w:r w:rsidRPr="00A52585">
        <w:rPr>
          <w:rFonts w:hint="cs"/>
          <w:sz w:val="24"/>
          <w:szCs w:val="24"/>
          <w:rtl/>
        </w:rPr>
        <w:t>)</w:t>
      </w:r>
      <w:r w:rsidR="00777DCB" w:rsidRPr="00A52585">
        <w:rPr>
          <w:rFonts w:hint="cs"/>
          <w:sz w:val="24"/>
          <w:szCs w:val="24"/>
          <w:rtl/>
        </w:rPr>
        <w:t xml:space="preserve"> بأن مسلما أخرج هذا الحديث في صحيحه </w:t>
      </w:r>
      <w:r w:rsidRPr="00A52585">
        <w:rPr>
          <w:rFonts w:hint="cs"/>
          <w:sz w:val="24"/>
          <w:szCs w:val="24"/>
          <w:rtl/>
        </w:rPr>
        <w:t>(</w:t>
      </w:r>
      <w:r w:rsidR="00777DCB" w:rsidRPr="00A52585">
        <w:rPr>
          <w:rFonts w:hint="cs"/>
          <w:sz w:val="24"/>
          <w:szCs w:val="24"/>
          <w:rtl/>
        </w:rPr>
        <w:t>1 / 178 برقم 316</w:t>
      </w:r>
      <w:r w:rsidRPr="00A52585">
        <w:rPr>
          <w:rFonts w:hint="cs"/>
          <w:sz w:val="24"/>
          <w:szCs w:val="24"/>
          <w:rtl/>
        </w:rPr>
        <w:t>)</w:t>
      </w:r>
      <w:r w:rsidR="00777DCB" w:rsidRPr="00A52585">
        <w:rPr>
          <w:rFonts w:hint="cs"/>
          <w:sz w:val="24"/>
          <w:szCs w:val="24"/>
          <w:rtl/>
        </w:rPr>
        <w:t xml:space="preserve"> دون تلك الزيادة المنكرة البشعة</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وهذه الزيادة المنكرة الظاهر أنها من دس الحنابلة المجسمة لانهم وخاصة رؤساؤهم متخصصون في الدس والوضع حتى في مسند الامام أحمد بن حنبل الذي ينتسبون إليه كما سأذكر أحد براهين ذلك في فائدة خاصة آخر هذا التعليق وهذه الزيادة موجودة في كتاب " الرؤية " المنسوب غلطا للدارقطني وهو مطبوع</w:t>
      </w:r>
      <w:r w:rsidR="00F95886" w:rsidRPr="00A52585">
        <w:rPr>
          <w:rFonts w:hint="cs"/>
          <w:sz w:val="24"/>
          <w:szCs w:val="24"/>
          <w:rtl/>
        </w:rPr>
        <w:t>!!</w:t>
      </w:r>
      <w:r w:rsidR="00777DCB" w:rsidRPr="00A52585">
        <w:rPr>
          <w:rFonts w:hint="cs"/>
          <w:sz w:val="24"/>
          <w:szCs w:val="24"/>
          <w:rtl/>
        </w:rPr>
        <w:t xml:space="preserve"> ص </w:t>
      </w:r>
      <w:r w:rsidRPr="00A52585">
        <w:rPr>
          <w:rFonts w:hint="cs"/>
          <w:sz w:val="24"/>
          <w:szCs w:val="24"/>
          <w:rtl/>
        </w:rPr>
        <w:t>(</w:t>
      </w:r>
      <w:r w:rsidR="00777DCB" w:rsidRPr="00A52585">
        <w:rPr>
          <w:rFonts w:hint="cs"/>
          <w:sz w:val="24"/>
          <w:szCs w:val="24"/>
          <w:rtl/>
        </w:rPr>
        <w:t>163</w:t>
      </w:r>
      <w:r w:rsidRPr="00A52585">
        <w:rPr>
          <w:rFonts w:hint="cs"/>
          <w:sz w:val="24"/>
          <w:szCs w:val="24"/>
          <w:rtl/>
        </w:rPr>
        <w:t>)</w:t>
      </w:r>
      <w:r w:rsidR="00777DCB" w:rsidRPr="00A52585">
        <w:rPr>
          <w:rFonts w:hint="cs"/>
          <w:sz w:val="24"/>
          <w:szCs w:val="24"/>
          <w:rtl/>
        </w:rPr>
        <w:t xml:space="preserve"> حديث رقم </w:t>
      </w:r>
      <w:r w:rsidRPr="00A52585">
        <w:rPr>
          <w:rFonts w:hint="cs"/>
          <w:sz w:val="24"/>
          <w:szCs w:val="24"/>
          <w:rtl/>
        </w:rPr>
        <w:t>(</w:t>
      </w:r>
      <w:r w:rsidR="00777DCB" w:rsidRPr="00A52585">
        <w:rPr>
          <w:rFonts w:hint="cs"/>
          <w:sz w:val="24"/>
          <w:szCs w:val="24"/>
          <w:rtl/>
        </w:rPr>
        <w:t>50</w:t>
      </w:r>
      <w:r w:rsidRPr="00A52585">
        <w:rPr>
          <w:rFonts w:hint="cs"/>
          <w:sz w:val="24"/>
          <w:szCs w:val="24"/>
          <w:rtl/>
        </w:rPr>
        <w:t>)</w:t>
      </w:r>
      <w:r w:rsidR="00777DCB" w:rsidRPr="00A52585">
        <w:rPr>
          <w:rFonts w:hint="cs"/>
          <w:sz w:val="24"/>
          <w:szCs w:val="24"/>
          <w:rtl/>
        </w:rPr>
        <w:t xml:space="preserve"> والكتاب برمته لا يثبت أنه من تصنيف الدارقطني</w:t>
      </w:r>
      <w:r w:rsidR="00DB731D" w:rsidRPr="00A52585">
        <w:rPr>
          <w:rFonts w:hint="cs"/>
          <w:sz w:val="24"/>
          <w:szCs w:val="24"/>
          <w:rtl/>
        </w:rPr>
        <w:t>،</w:t>
      </w:r>
      <w:r w:rsidR="00777DCB" w:rsidRPr="00A52585">
        <w:rPr>
          <w:rFonts w:hint="cs"/>
          <w:sz w:val="24"/>
          <w:szCs w:val="24"/>
          <w:rtl/>
        </w:rPr>
        <w:t xml:space="preserve"> ولنا رسالة في تحقيق إبطال نسبة الكتاب للدار قطني أسميناها</w:t>
      </w:r>
      <w:r w:rsidRPr="00A52585">
        <w:rPr>
          <w:rFonts w:hint="cs"/>
          <w:sz w:val="24"/>
          <w:szCs w:val="24"/>
          <w:rtl/>
        </w:rPr>
        <w:t>:</w:t>
      </w:r>
      <w:r w:rsidR="00777DCB" w:rsidRPr="00A52585">
        <w:rPr>
          <w:rFonts w:hint="cs"/>
          <w:sz w:val="24"/>
          <w:szCs w:val="24"/>
          <w:rtl/>
        </w:rPr>
        <w:t xml:space="preserve"> " البيان الكافي بغلط نسبة كتاب الرؤية للدارقطني بالدليل الوافي " لان في سند إثباته للدارقطني كذابان </w:t>
      </w:r>
      <w:proofErr w:type="spellStart"/>
      <w:r w:rsidR="00777DCB" w:rsidRPr="00A52585">
        <w:rPr>
          <w:rFonts w:hint="cs"/>
          <w:sz w:val="24"/>
          <w:szCs w:val="24"/>
          <w:rtl/>
        </w:rPr>
        <w:t>حنبليان</w:t>
      </w:r>
      <w:proofErr w:type="spellEnd"/>
      <w:r w:rsidR="00777DCB" w:rsidRPr="00A52585">
        <w:rPr>
          <w:rFonts w:hint="cs"/>
          <w:sz w:val="24"/>
          <w:szCs w:val="24"/>
          <w:rtl/>
        </w:rPr>
        <w:t xml:space="preserve"> مخلطان وهما ابن كادش وترجمته في " لسان الميزان " </w:t>
      </w:r>
      <w:r w:rsidRPr="00A52585">
        <w:rPr>
          <w:rFonts w:hint="cs"/>
          <w:sz w:val="24"/>
          <w:szCs w:val="24"/>
          <w:rtl/>
        </w:rPr>
        <w:t>(</w:t>
      </w:r>
      <w:r w:rsidR="00777DCB" w:rsidRPr="00A52585">
        <w:rPr>
          <w:rFonts w:hint="cs"/>
          <w:sz w:val="24"/>
          <w:szCs w:val="24"/>
          <w:rtl/>
        </w:rPr>
        <w:t>1 / 218 الهندية</w:t>
      </w:r>
      <w:r w:rsidRPr="00A52585">
        <w:rPr>
          <w:rFonts w:hint="cs"/>
          <w:sz w:val="24"/>
          <w:szCs w:val="24"/>
          <w:rtl/>
        </w:rPr>
        <w:t>)</w:t>
      </w:r>
      <w:r w:rsidR="00777DCB" w:rsidRPr="00A52585">
        <w:rPr>
          <w:rFonts w:hint="cs"/>
          <w:sz w:val="24"/>
          <w:szCs w:val="24"/>
          <w:rtl/>
        </w:rPr>
        <w:t xml:space="preserve"> وفيه أنه كان</w:t>
      </w:r>
      <w:r w:rsidRPr="00A52585">
        <w:rPr>
          <w:rFonts w:hint="cs"/>
          <w:sz w:val="24"/>
          <w:szCs w:val="24"/>
          <w:rtl/>
        </w:rPr>
        <w:t>:</w:t>
      </w:r>
      <w:r w:rsidR="00777DCB" w:rsidRPr="00A52585">
        <w:rPr>
          <w:rFonts w:hint="cs"/>
          <w:sz w:val="24"/>
          <w:szCs w:val="24"/>
          <w:rtl/>
        </w:rPr>
        <w:t xml:space="preserve"> " مخلطا كذابا لا يحتج بمثله "</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والثاني</w:t>
      </w:r>
      <w:r w:rsidRPr="00A52585">
        <w:rPr>
          <w:rFonts w:hint="cs"/>
          <w:sz w:val="24"/>
          <w:szCs w:val="24"/>
          <w:rtl/>
        </w:rPr>
        <w:t>:</w:t>
      </w:r>
      <w:r w:rsidR="00777DCB" w:rsidRPr="00A52585">
        <w:rPr>
          <w:rFonts w:hint="cs"/>
          <w:sz w:val="24"/>
          <w:szCs w:val="24"/>
          <w:rtl/>
        </w:rPr>
        <w:t xml:space="preserve"> العشاري</w:t>
      </w:r>
      <w:r w:rsidR="00DB731D" w:rsidRPr="00A52585">
        <w:rPr>
          <w:rFonts w:hint="cs"/>
          <w:sz w:val="24"/>
          <w:szCs w:val="24"/>
          <w:rtl/>
        </w:rPr>
        <w:t>،</w:t>
      </w:r>
      <w:r w:rsidR="00777DCB" w:rsidRPr="00A52585">
        <w:rPr>
          <w:rFonts w:hint="cs"/>
          <w:sz w:val="24"/>
          <w:szCs w:val="24"/>
          <w:rtl/>
        </w:rPr>
        <w:t xml:space="preserve"> وترجمته في " اللسان " أيضا </w:t>
      </w:r>
      <w:r w:rsidRPr="00A52585">
        <w:rPr>
          <w:rFonts w:hint="cs"/>
          <w:sz w:val="24"/>
          <w:szCs w:val="24"/>
          <w:rtl/>
        </w:rPr>
        <w:t>(</w:t>
      </w:r>
      <w:r w:rsidR="00777DCB" w:rsidRPr="00A52585">
        <w:rPr>
          <w:rFonts w:hint="cs"/>
          <w:sz w:val="24"/>
          <w:szCs w:val="24"/>
          <w:rtl/>
        </w:rPr>
        <w:t>5 / 301 - 303</w:t>
      </w:r>
      <w:r w:rsidRPr="00A52585">
        <w:rPr>
          <w:rFonts w:hint="cs"/>
          <w:sz w:val="24"/>
          <w:szCs w:val="24"/>
          <w:rtl/>
        </w:rPr>
        <w:t>)</w:t>
      </w:r>
      <w:r w:rsidR="00777DCB" w:rsidRPr="00A52585">
        <w:rPr>
          <w:rFonts w:hint="cs"/>
          <w:sz w:val="24"/>
          <w:szCs w:val="24"/>
          <w:rtl/>
        </w:rPr>
        <w:t xml:space="preserve"> وفيه</w:t>
      </w:r>
      <w:r w:rsidRPr="00A52585">
        <w:rPr>
          <w:rFonts w:hint="cs"/>
          <w:sz w:val="24"/>
          <w:szCs w:val="24"/>
          <w:rtl/>
        </w:rPr>
        <w:t>:</w:t>
      </w:r>
      <w:r w:rsidR="00777DCB" w:rsidRPr="00A52585">
        <w:rPr>
          <w:rFonts w:hint="cs"/>
          <w:sz w:val="24"/>
          <w:szCs w:val="24"/>
          <w:rtl/>
        </w:rPr>
        <w:t xml:space="preserve"> " كانوا يدسون في كتبه الموضوعات فيرويها وهو لا يدري لأنّه كان مغفلا " وختم الذهبي ترجمته في " الميزان " </w:t>
      </w:r>
      <w:r w:rsidRPr="00A52585">
        <w:rPr>
          <w:rFonts w:hint="cs"/>
          <w:sz w:val="24"/>
          <w:szCs w:val="24"/>
          <w:rtl/>
        </w:rPr>
        <w:t>(</w:t>
      </w:r>
      <w:r w:rsidR="00777DCB" w:rsidRPr="00A52585">
        <w:rPr>
          <w:rFonts w:hint="cs"/>
          <w:sz w:val="24"/>
          <w:szCs w:val="24"/>
          <w:rtl/>
        </w:rPr>
        <w:t>3 / 657</w:t>
      </w:r>
      <w:r w:rsidRPr="00A52585">
        <w:rPr>
          <w:rFonts w:hint="cs"/>
          <w:sz w:val="24"/>
          <w:szCs w:val="24"/>
          <w:rtl/>
        </w:rPr>
        <w:t>)</w:t>
      </w:r>
      <w:r w:rsidR="00777DCB" w:rsidRPr="00A52585">
        <w:rPr>
          <w:rFonts w:hint="cs"/>
          <w:sz w:val="24"/>
          <w:szCs w:val="24"/>
          <w:rtl/>
        </w:rPr>
        <w:t xml:space="preserve"> بقوله</w:t>
      </w:r>
      <w:r w:rsidRPr="00A52585">
        <w:rPr>
          <w:rFonts w:hint="cs"/>
          <w:sz w:val="24"/>
          <w:szCs w:val="24"/>
          <w:rtl/>
        </w:rPr>
        <w:t>:</w:t>
      </w:r>
      <w:r w:rsidR="00777DCB" w:rsidRPr="00A52585">
        <w:rPr>
          <w:rFonts w:hint="cs"/>
          <w:sz w:val="24"/>
          <w:szCs w:val="24"/>
          <w:rtl/>
        </w:rPr>
        <w:t xml:space="preserve"> " ليس بحجة "</w:t>
      </w:r>
      <w:r w:rsidR="00DB731D" w:rsidRPr="00A52585">
        <w:rPr>
          <w:rFonts w:hint="cs"/>
          <w:sz w:val="24"/>
          <w:szCs w:val="24"/>
          <w:rtl/>
        </w:rPr>
        <w:t>،</w:t>
      </w:r>
      <w:r w:rsidR="00777DCB" w:rsidRPr="00A52585">
        <w:rPr>
          <w:rFonts w:hint="cs"/>
          <w:sz w:val="24"/>
          <w:szCs w:val="24"/>
          <w:rtl/>
        </w:rPr>
        <w:t xml:space="preserve"> وفي البخاري </w:t>
      </w:r>
      <w:r w:rsidRPr="00A52585">
        <w:rPr>
          <w:rFonts w:hint="cs"/>
          <w:sz w:val="24"/>
          <w:szCs w:val="24"/>
          <w:rtl/>
        </w:rPr>
        <w:t>(</w:t>
      </w:r>
      <w:r w:rsidR="00777DCB" w:rsidRPr="00A52585">
        <w:rPr>
          <w:rFonts w:hint="cs"/>
          <w:sz w:val="24"/>
          <w:szCs w:val="24"/>
          <w:rtl/>
        </w:rPr>
        <w:t>فتح 8 / 578</w:t>
      </w:r>
      <w:r w:rsidRPr="00A52585">
        <w:rPr>
          <w:rFonts w:hint="cs"/>
          <w:sz w:val="24"/>
          <w:szCs w:val="24"/>
          <w:rtl/>
        </w:rPr>
        <w:t>)</w:t>
      </w:r>
      <w:r w:rsidR="00777DCB" w:rsidRPr="00A52585">
        <w:rPr>
          <w:rFonts w:hint="cs"/>
          <w:sz w:val="24"/>
          <w:szCs w:val="24"/>
          <w:rtl/>
        </w:rPr>
        <w:t xml:space="preserve"> عن السيدة عائشة قالت</w:t>
      </w:r>
      <w:r w:rsidRPr="00A52585">
        <w:rPr>
          <w:rFonts w:hint="cs"/>
          <w:sz w:val="24"/>
          <w:szCs w:val="24"/>
          <w:rtl/>
        </w:rPr>
        <w:t>:</w:t>
      </w:r>
      <w:r w:rsidR="00777DCB" w:rsidRPr="00A52585">
        <w:rPr>
          <w:rFonts w:hint="cs"/>
          <w:sz w:val="24"/>
          <w:szCs w:val="24"/>
          <w:rtl/>
        </w:rPr>
        <w:t xml:space="preserve"> " ما رأيت رسول الله صلى الله عليه وسلم ضاحكا حتى أرى منه لهواته إنما كان يتبسم "</w:t>
      </w:r>
      <w:r w:rsidRPr="00A52585">
        <w:rPr>
          <w:rFonts w:hint="cs"/>
          <w:sz w:val="24"/>
          <w:szCs w:val="24"/>
          <w:rtl/>
        </w:rPr>
        <w:t>]</w:t>
      </w:r>
      <w:r w:rsidR="00DB731D" w:rsidRPr="00A52585">
        <w:rPr>
          <w:rFonts w:hint="cs"/>
          <w:rtl/>
        </w:rPr>
        <w:t>،</w:t>
      </w:r>
      <w:r w:rsidRPr="00A52585">
        <w:rPr>
          <w:rFonts w:hint="cs"/>
          <w:rtl/>
        </w:rPr>
        <w:t xml:space="preserve"> </w:t>
      </w:r>
      <w:r w:rsidR="00777DCB" w:rsidRPr="00A52585">
        <w:rPr>
          <w:rFonts w:hint="cs"/>
          <w:rtl/>
        </w:rPr>
        <w:t>ذكره الخلال في كتاب السنة</w:t>
      </w:r>
      <w:r w:rsidR="00897A24" w:rsidRPr="00A52585">
        <w:rPr>
          <w:rFonts w:hint="cs"/>
          <w:rtl/>
        </w:rPr>
        <w:t>.</w:t>
      </w:r>
      <w:r w:rsidR="00777DCB" w:rsidRPr="00A52585">
        <w:rPr>
          <w:rFonts w:hint="cs"/>
          <w:rtl/>
        </w:rPr>
        <w:t xml:space="preserve"> وقال المروزي</w:t>
      </w:r>
      <w:r w:rsidRPr="00A52585">
        <w:rPr>
          <w:rFonts w:hint="cs"/>
          <w:rtl/>
        </w:rPr>
        <w:t>:</w:t>
      </w:r>
      <w:r w:rsidR="00777DCB" w:rsidRPr="00A52585">
        <w:rPr>
          <w:rFonts w:hint="cs"/>
          <w:rtl/>
        </w:rPr>
        <w:t xml:space="preserve"> قلت لابي عبد الله - أحمد بن حنبل -</w:t>
      </w:r>
      <w:r w:rsidRPr="00A52585">
        <w:rPr>
          <w:rFonts w:hint="cs"/>
          <w:rtl/>
        </w:rPr>
        <w:t>:</w:t>
      </w:r>
      <w:r w:rsidR="00777DCB" w:rsidRPr="00A52585">
        <w:rPr>
          <w:rFonts w:hint="cs"/>
          <w:rtl/>
        </w:rPr>
        <w:t xml:space="preserve"> ما تقول في هذا الحديث</w:t>
      </w:r>
      <w:r w:rsidR="00897A24" w:rsidRPr="00A52585">
        <w:rPr>
          <w:rFonts w:hint="cs"/>
          <w:rtl/>
        </w:rPr>
        <w:t>..</w:t>
      </w:r>
      <w:r w:rsidR="00F95886" w:rsidRPr="00A52585">
        <w:rPr>
          <w:rFonts w:hint="cs"/>
          <w:rtl/>
        </w:rPr>
        <w:t>؟</w:t>
      </w:r>
      <w:r w:rsidR="00777DCB" w:rsidRPr="00A52585">
        <w:rPr>
          <w:rFonts w:hint="cs"/>
          <w:rtl/>
        </w:rPr>
        <w:t xml:space="preserve"> قال هذا بشع</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ثم على تقدير الصحة يحتمل امرين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أحدها</w:t>
      </w:r>
      <w:r w:rsidRPr="00A52585">
        <w:rPr>
          <w:rFonts w:hint="cs"/>
          <w:rtl/>
        </w:rPr>
        <w:t>):</w:t>
      </w:r>
      <w:r w:rsidR="00777DCB" w:rsidRPr="00A52585">
        <w:rPr>
          <w:rFonts w:hint="cs"/>
          <w:rtl/>
        </w:rPr>
        <w:t xml:space="preserve"> أن يكون ذلك راجعا إلى النبي صلى الله عليه وسلم</w:t>
      </w:r>
      <w:r w:rsidR="00DB731D" w:rsidRPr="00A52585">
        <w:rPr>
          <w:rFonts w:hint="cs"/>
          <w:rtl/>
        </w:rPr>
        <w:t>،</w:t>
      </w:r>
      <w:r w:rsidR="00777DCB" w:rsidRPr="00A52585">
        <w:rPr>
          <w:rFonts w:hint="cs"/>
          <w:rtl/>
        </w:rPr>
        <w:t xml:space="preserve"> كأنه ضحك حين أخبر بضحك الرب</w:t>
      </w:r>
      <w:r w:rsidR="00DB731D" w:rsidRPr="00A52585">
        <w:rPr>
          <w:rFonts w:hint="cs"/>
          <w:rtl/>
        </w:rPr>
        <w:t>،</w:t>
      </w:r>
      <w:r w:rsidR="00777DCB" w:rsidRPr="00A52585">
        <w:rPr>
          <w:rFonts w:hint="cs"/>
          <w:rtl/>
        </w:rPr>
        <w:t xml:space="preserve"> حتى بدت لهواته وأضراسه صلى الله عليه وسلم</w:t>
      </w:r>
      <w:r w:rsidR="00DB731D" w:rsidRPr="00A52585">
        <w:rPr>
          <w:rFonts w:hint="cs"/>
          <w:rtl/>
        </w:rPr>
        <w:t>،</w:t>
      </w:r>
      <w:r w:rsidR="00777DCB" w:rsidRPr="00A52585">
        <w:rPr>
          <w:rFonts w:hint="cs"/>
          <w:rtl/>
        </w:rPr>
        <w:t xml:space="preserve"> كما روي أنه ضحك حتى بدت نواجذه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هناك أحاديث كثيرة فيها أن النبي صلى الله عليه وسلم ضحك حتى بدت نواجذه منها في سنن أبي داود برقم </w:t>
      </w:r>
      <w:r w:rsidRPr="00A52585">
        <w:rPr>
          <w:rFonts w:hint="cs"/>
          <w:sz w:val="24"/>
          <w:szCs w:val="24"/>
          <w:rtl/>
        </w:rPr>
        <w:t>(</w:t>
      </w:r>
      <w:r w:rsidR="00777DCB" w:rsidRPr="00A52585">
        <w:rPr>
          <w:rFonts w:hint="cs"/>
          <w:sz w:val="24"/>
          <w:szCs w:val="24"/>
          <w:rtl/>
        </w:rPr>
        <w:t>1173</w:t>
      </w:r>
      <w:r w:rsidRPr="00A52585">
        <w:rPr>
          <w:rFonts w:hint="cs"/>
          <w:sz w:val="24"/>
          <w:szCs w:val="24"/>
          <w:rtl/>
        </w:rPr>
        <w:t>)</w:t>
      </w:r>
      <w:r w:rsidR="00777DCB" w:rsidRPr="00A52585">
        <w:rPr>
          <w:rFonts w:hint="cs"/>
          <w:sz w:val="24"/>
          <w:szCs w:val="24"/>
          <w:rtl/>
        </w:rPr>
        <w:t xml:space="preserve"> وغير ذلك لكن هذا الضحك بلا قهقهة</w:t>
      </w:r>
      <w:r w:rsidR="00DB731D" w:rsidRPr="00A52585">
        <w:rPr>
          <w:rFonts w:hint="cs"/>
          <w:sz w:val="24"/>
          <w:szCs w:val="24"/>
          <w:rtl/>
        </w:rPr>
        <w:t>،</w:t>
      </w:r>
      <w:r w:rsidR="00777DCB" w:rsidRPr="00A52585">
        <w:rPr>
          <w:rFonts w:hint="cs"/>
          <w:sz w:val="24"/>
          <w:szCs w:val="24"/>
          <w:rtl/>
        </w:rPr>
        <w:t xml:space="preserve"> أي خلافا لكثير من الفجرة الذين يجتمعون ويذكرون قصصا ودعابات فيقهقهون بلا أدب ولا حياء</w:t>
      </w:r>
      <w:r w:rsidR="00DB731D" w:rsidRPr="00A52585">
        <w:rPr>
          <w:rFonts w:hint="cs"/>
          <w:sz w:val="24"/>
          <w:szCs w:val="24"/>
          <w:rtl/>
        </w:rPr>
        <w:t>،</w:t>
      </w:r>
      <w:r w:rsidR="00777DCB" w:rsidRPr="00A52585">
        <w:rPr>
          <w:rFonts w:hint="cs"/>
          <w:sz w:val="24"/>
          <w:szCs w:val="24"/>
          <w:rtl/>
        </w:rPr>
        <w:t xml:space="preserve"> وقد صنف شيخ شيوخنا الحافظ السيد حمد بن الصديق الغماري رحمه الله تعالى رسالة قيمة في هذا الموضوع سماها</w:t>
      </w:r>
      <w:r w:rsidRPr="00A52585">
        <w:rPr>
          <w:rFonts w:hint="cs"/>
          <w:sz w:val="24"/>
          <w:szCs w:val="24"/>
          <w:rtl/>
        </w:rPr>
        <w:t>:</w:t>
      </w:r>
      <w:r w:rsidR="00777DCB" w:rsidRPr="00A52585">
        <w:rPr>
          <w:rFonts w:hint="cs"/>
          <w:sz w:val="24"/>
          <w:szCs w:val="24"/>
          <w:rtl/>
        </w:rPr>
        <w:t xml:space="preserve"> " </w:t>
      </w:r>
      <w:proofErr w:type="spellStart"/>
      <w:r w:rsidR="00777DCB" w:rsidRPr="00A52585">
        <w:rPr>
          <w:rFonts w:hint="cs"/>
          <w:sz w:val="24"/>
          <w:szCs w:val="24"/>
          <w:rtl/>
        </w:rPr>
        <w:t>شوارق</w:t>
      </w:r>
      <w:proofErr w:type="spellEnd"/>
      <w:r w:rsidR="00777DCB" w:rsidRPr="00A52585">
        <w:rPr>
          <w:rFonts w:hint="cs"/>
          <w:sz w:val="24"/>
          <w:szCs w:val="24"/>
          <w:rtl/>
        </w:rPr>
        <w:t xml:space="preserve"> الانوار المنيفة بظهور النواجذ الشريفة " جمع فيها الاحاديث التي ورد فيها أن النبي صلى الله عليه وسلم ضحك حتى بدت نواجذه</w:t>
      </w:r>
      <w:r w:rsidR="00DB731D" w:rsidRPr="00A52585">
        <w:rPr>
          <w:rFonts w:hint="cs"/>
          <w:sz w:val="24"/>
          <w:szCs w:val="24"/>
          <w:rtl/>
        </w:rPr>
        <w:t>،</w:t>
      </w:r>
      <w:r w:rsidR="00777DCB" w:rsidRPr="00A52585">
        <w:rPr>
          <w:rFonts w:hint="cs"/>
          <w:sz w:val="24"/>
          <w:szCs w:val="24"/>
          <w:rtl/>
        </w:rPr>
        <w:t xml:space="preserve"> فليراجعها من شاء</w:t>
      </w:r>
      <w:r w:rsidRPr="00A52585">
        <w:rPr>
          <w:rFonts w:hint="cs"/>
          <w:sz w:val="24"/>
          <w:szCs w:val="24"/>
          <w:rtl/>
        </w:rPr>
        <w:t>]</w:t>
      </w:r>
      <w:r w:rsidR="00DB731D" w:rsidRPr="00A52585">
        <w:rPr>
          <w:rFonts w:hint="cs"/>
          <w:rtl/>
        </w:rPr>
        <w:t>،</w:t>
      </w:r>
      <w:r w:rsidR="00777DCB" w:rsidRPr="00A52585">
        <w:rPr>
          <w:rFonts w:hint="cs"/>
          <w:rtl/>
        </w:rPr>
        <w:t xml:space="preserve"> وهذا هو الصحيح لو ثبت الحديث</w:t>
      </w:r>
      <w:r w:rsidR="00897A24" w:rsidRPr="00A52585">
        <w:rPr>
          <w:rFonts w:hint="cs"/>
          <w:rtl/>
        </w:rPr>
        <w:t>.</w:t>
      </w:r>
      <w:r w:rsidR="00777DCB" w:rsidRPr="00A52585">
        <w:rPr>
          <w:rFonts w:hint="cs"/>
          <w:rtl/>
        </w:rPr>
        <w:t xml:space="preserve"> وإنما هو مقطوع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هو متصل في " مسند أبي عوانة " </w:t>
      </w:r>
      <w:r w:rsidRPr="00A52585">
        <w:rPr>
          <w:rFonts w:hint="cs"/>
          <w:sz w:val="24"/>
          <w:szCs w:val="24"/>
          <w:rtl/>
        </w:rPr>
        <w:t>(</w:t>
      </w:r>
      <w:r w:rsidR="00777DCB" w:rsidRPr="00A52585">
        <w:rPr>
          <w:rFonts w:hint="cs"/>
          <w:sz w:val="24"/>
          <w:szCs w:val="24"/>
          <w:rtl/>
        </w:rPr>
        <w:t>1 / 139</w:t>
      </w:r>
      <w:r w:rsidRPr="00A52585">
        <w:rPr>
          <w:rFonts w:hint="cs"/>
          <w:sz w:val="24"/>
          <w:szCs w:val="24"/>
          <w:rtl/>
        </w:rPr>
        <w:t>)</w:t>
      </w:r>
      <w:r w:rsidR="00777DCB" w:rsidRPr="00A52585">
        <w:rPr>
          <w:rFonts w:hint="cs"/>
          <w:sz w:val="24"/>
          <w:szCs w:val="24"/>
          <w:rtl/>
        </w:rPr>
        <w:t xml:space="preserve"> إلا أننا نجزم بوضعه أو أن الضمير يعود على النبي صلى الله عليه وسلم ولكنه بعيد</w:t>
      </w:r>
      <w:r w:rsidRPr="00A52585">
        <w:rPr>
          <w:rFonts w:hint="cs"/>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أن يكون تجوزا عن كثرة الكرم وسعة الرضا</w:t>
      </w:r>
      <w:r w:rsidR="00DB731D" w:rsidRPr="00A52585">
        <w:rPr>
          <w:rFonts w:hint="cs"/>
          <w:rtl/>
        </w:rPr>
        <w:t>،</w:t>
      </w:r>
      <w:r w:rsidR="00777DCB" w:rsidRPr="00A52585">
        <w:rPr>
          <w:rFonts w:hint="cs"/>
          <w:rtl/>
        </w:rPr>
        <w:t xml:space="preserve"> كما جوز بقوله</w:t>
      </w:r>
      <w:r w:rsidRPr="00A52585">
        <w:rPr>
          <w:rFonts w:hint="cs"/>
          <w:rtl/>
        </w:rPr>
        <w:t>:</w:t>
      </w:r>
      <w:r w:rsidR="00777DCB" w:rsidRPr="00A52585">
        <w:rPr>
          <w:rFonts w:hint="cs"/>
          <w:rtl/>
        </w:rPr>
        <w:t xml:space="preserve"> " ومن أتاني يمشي أتيته هرولة " [</w:t>
      </w:r>
      <w:r w:rsidR="00777DCB" w:rsidRPr="00A52585">
        <w:rPr>
          <w:rFonts w:hint="cs"/>
          <w:sz w:val="24"/>
          <w:szCs w:val="24"/>
          <w:rtl/>
        </w:rPr>
        <w:t xml:space="preserve">قال </w:t>
      </w:r>
      <w:r w:rsidR="00777DCB" w:rsidRPr="00A52585">
        <w:rPr>
          <w:rFonts w:hint="cs"/>
          <w:sz w:val="24"/>
          <w:szCs w:val="24"/>
          <w:rtl/>
        </w:rPr>
        <w:lastRenderedPageBreak/>
        <w:t>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13 / 384</w:t>
      </w:r>
      <w:r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4 / 2102</w:t>
      </w:r>
      <w:r w:rsidRPr="00A52585">
        <w:rPr>
          <w:rFonts w:hint="cs"/>
          <w:sz w:val="24"/>
          <w:szCs w:val="24"/>
          <w:rtl/>
        </w:rPr>
        <w:t>)</w:t>
      </w:r>
      <w:r w:rsidR="00777DCB" w:rsidRPr="00A52585">
        <w:rPr>
          <w:rFonts w:hint="cs"/>
          <w:sz w:val="24"/>
          <w:szCs w:val="24"/>
          <w:rtl/>
        </w:rPr>
        <w:t xml:space="preserve"> وغيرهما</w:t>
      </w:r>
      <w:r w:rsidR="00DB731D" w:rsidRPr="00A52585">
        <w:rPr>
          <w:rFonts w:hint="cs"/>
          <w:sz w:val="24"/>
          <w:szCs w:val="24"/>
          <w:rtl/>
        </w:rPr>
        <w:t>،</w:t>
      </w:r>
      <w:r w:rsidR="00777DCB" w:rsidRPr="00A52585">
        <w:rPr>
          <w:rFonts w:hint="cs"/>
          <w:sz w:val="24"/>
          <w:szCs w:val="24"/>
          <w:rtl/>
        </w:rPr>
        <w:t xml:space="preserve"> قال الحافظ ابن حجر في الفتح </w:t>
      </w:r>
      <w:r w:rsidRPr="00A52585">
        <w:rPr>
          <w:rFonts w:hint="cs"/>
          <w:sz w:val="24"/>
          <w:szCs w:val="24"/>
          <w:rtl/>
        </w:rPr>
        <w:t>(</w:t>
      </w:r>
      <w:r w:rsidR="00777DCB" w:rsidRPr="00A52585">
        <w:rPr>
          <w:rFonts w:hint="cs"/>
          <w:sz w:val="24"/>
          <w:szCs w:val="24"/>
          <w:rtl/>
        </w:rPr>
        <w:t>13 / 513</w:t>
      </w:r>
      <w:r w:rsidRPr="00A52585">
        <w:rPr>
          <w:rFonts w:hint="cs"/>
          <w:sz w:val="24"/>
          <w:szCs w:val="24"/>
          <w:rtl/>
        </w:rPr>
        <w:t>)</w:t>
      </w:r>
      <w:r w:rsidR="00777DCB" w:rsidRPr="00A52585">
        <w:rPr>
          <w:rFonts w:hint="cs"/>
          <w:sz w:val="24"/>
          <w:szCs w:val="24"/>
          <w:rtl/>
        </w:rPr>
        <w:t xml:space="preserve"> نقلا عن ابن بطال</w:t>
      </w:r>
      <w:r w:rsidRPr="00A52585">
        <w:rPr>
          <w:rFonts w:hint="cs"/>
          <w:sz w:val="24"/>
          <w:szCs w:val="24"/>
          <w:rtl/>
        </w:rPr>
        <w:t>:</w:t>
      </w:r>
      <w:r w:rsidR="00777DCB" w:rsidRPr="00A52585">
        <w:rPr>
          <w:rFonts w:hint="cs"/>
          <w:sz w:val="24"/>
          <w:szCs w:val="24"/>
          <w:rtl/>
        </w:rPr>
        <w:t xml:space="preserve"> " يكون قوله أتيته هرولة أي أتاه ثوابي مسرعا " اهـ</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ابن بطال اسمه</w:t>
      </w:r>
      <w:r w:rsidRPr="00A52585">
        <w:rPr>
          <w:rFonts w:hint="cs"/>
          <w:sz w:val="24"/>
          <w:szCs w:val="24"/>
          <w:rtl/>
        </w:rPr>
        <w:t>:</w:t>
      </w:r>
      <w:r w:rsidR="00777DCB" w:rsidRPr="00A52585">
        <w:rPr>
          <w:rFonts w:hint="cs"/>
          <w:sz w:val="24"/>
          <w:szCs w:val="24"/>
          <w:rtl/>
        </w:rPr>
        <w:t xml:space="preserve"> علي بن خلف بن بطال البكري القرطبي</w:t>
      </w:r>
      <w:r w:rsidR="00DB731D" w:rsidRPr="00A52585">
        <w:rPr>
          <w:rFonts w:hint="cs"/>
          <w:sz w:val="24"/>
          <w:szCs w:val="24"/>
          <w:rtl/>
        </w:rPr>
        <w:t>،</w:t>
      </w:r>
      <w:r w:rsidR="00777DCB" w:rsidRPr="00A52585">
        <w:rPr>
          <w:rFonts w:hint="cs"/>
          <w:sz w:val="24"/>
          <w:szCs w:val="24"/>
          <w:rtl/>
        </w:rPr>
        <w:t xml:space="preserve"> ترجمته في " سير أعلام النبلاء " </w:t>
      </w:r>
      <w:r w:rsidRPr="00A52585">
        <w:rPr>
          <w:rFonts w:hint="cs"/>
          <w:sz w:val="24"/>
          <w:szCs w:val="24"/>
          <w:rtl/>
        </w:rPr>
        <w:t>(</w:t>
      </w:r>
      <w:r w:rsidR="00777DCB" w:rsidRPr="00A52585">
        <w:rPr>
          <w:rFonts w:hint="cs"/>
          <w:sz w:val="24"/>
          <w:szCs w:val="24"/>
          <w:rtl/>
        </w:rPr>
        <w:t>18 / 47</w:t>
      </w:r>
      <w:r w:rsidRPr="00A52585">
        <w:rPr>
          <w:rFonts w:hint="cs"/>
          <w:sz w:val="24"/>
          <w:szCs w:val="24"/>
          <w:rtl/>
        </w:rPr>
        <w:t>)</w:t>
      </w:r>
      <w:r w:rsidR="00777DCB" w:rsidRPr="00A52585">
        <w:rPr>
          <w:rFonts w:hint="cs"/>
          <w:sz w:val="24"/>
          <w:szCs w:val="24"/>
          <w:rtl/>
        </w:rPr>
        <w:t xml:space="preserve"> وفيها</w:t>
      </w:r>
      <w:r w:rsidRPr="00A52585">
        <w:rPr>
          <w:rFonts w:hint="cs"/>
          <w:sz w:val="24"/>
          <w:szCs w:val="24"/>
          <w:rtl/>
        </w:rPr>
        <w:t>:</w:t>
      </w:r>
      <w:r w:rsidR="00777DCB" w:rsidRPr="00A52585">
        <w:rPr>
          <w:rFonts w:hint="cs"/>
          <w:sz w:val="24"/>
          <w:szCs w:val="24"/>
          <w:rtl/>
        </w:rPr>
        <w:t xml:space="preserve"> " قال ابن </w:t>
      </w:r>
      <w:proofErr w:type="spellStart"/>
      <w:r w:rsidR="00777DCB" w:rsidRPr="00A52585">
        <w:rPr>
          <w:rFonts w:hint="cs"/>
          <w:sz w:val="24"/>
          <w:szCs w:val="24"/>
          <w:rtl/>
        </w:rPr>
        <w:t>بشكوال</w:t>
      </w:r>
      <w:proofErr w:type="spellEnd"/>
      <w:r w:rsidRPr="00A52585">
        <w:rPr>
          <w:rFonts w:hint="cs"/>
          <w:sz w:val="24"/>
          <w:szCs w:val="24"/>
          <w:rtl/>
        </w:rPr>
        <w:t>:</w:t>
      </w:r>
      <w:r w:rsidR="00777DCB" w:rsidRPr="00A52585">
        <w:rPr>
          <w:rFonts w:hint="cs"/>
          <w:sz w:val="24"/>
          <w:szCs w:val="24"/>
          <w:rtl/>
        </w:rPr>
        <w:t xml:space="preserve"> كان من أهل العلم والمعرفة</w:t>
      </w:r>
      <w:r w:rsidR="00DB731D" w:rsidRPr="00A52585">
        <w:rPr>
          <w:rFonts w:hint="cs"/>
          <w:sz w:val="24"/>
          <w:szCs w:val="24"/>
          <w:rtl/>
        </w:rPr>
        <w:t>،</w:t>
      </w:r>
      <w:r w:rsidR="00777DCB" w:rsidRPr="00A52585">
        <w:rPr>
          <w:rFonts w:hint="cs"/>
          <w:sz w:val="24"/>
          <w:szCs w:val="24"/>
          <w:rtl/>
        </w:rPr>
        <w:t xml:space="preserve"> عني بالحديث العناية التامة</w:t>
      </w:r>
      <w:r w:rsidR="00DB731D" w:rsidRPr="00A52585">
        <w:rPr>
          <w:rFonts w:hint="cs"/>
          <w:sz w:val="24"/>
          <w:szCs w:val="24"/>
          <w:rtl/>
        </w:rPr>
        <w:t>،</w:t>
      </w:r>
      <w:r w:rsidR="00777DCB" w:rsidRPr="00A52585">
        <w:rPr>
          <w:rFonts w:hint="cs"/>
          <w:sz w:val="24"/>
          <w:szCs w:val="24"/>
          <w:rtl/>
        </w:rPr>
        <w:t xml:space="preserve"> شرح " الصحيح " - يعني البخاري - في عدة أسفار توفي سنة 449 ه‍</w:t>
      </w:r>
      <w:r w:rsidR="00897A24" w:rsidRPr="00A52585">
        <w:rPr>
          <w:rFonts w:hint="cs"/>
          <w:sz w:val="24"/>
          <w:szCs w:val="24"/>
          <w:rtl/>
        </w:rPr>
        <w:t>.</w:t>
      </w:r>
      <w:r w:rsidR="00777DCB" w:rsidRPr="00A52585">
        <w:rPr>
          <w:rFonts w:hint="cs"/>
          <w:sz w:val="24"/>
          <w:szCs w:val="24"/>
          <w:rtl/>
        </w:rPr>
        <w:t>. " اه‍ فتأمل</w:t>
      </w:r>
      <w:r w:rsidRPr="00A52585">
        <w:rPr>
          <w:rFonts w:hint="cs"/>
          <w:sz w:val="24"/>
          <w:szCs w:val="24"/>
          <w:rtl/>
        </w:rPr>
        <w:t>]</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لا يمتنع الاخذ بظاهر </w:t>
      </w:r>
      <w:proofErr w:type="gramStart"/>
      <w:r w:rsidR="00777DCB" w:rsidRPr="00A52585">
        <w:rPr>
          <w:rFonts w:hint="cs"/>
          <w:rtl/>
        </w:rPr>
        <w:t>الاحاديث</w:t>
      </w:r>
      <w:proofErr w:type="gramEnd"/>
      <w:r w:rsidR="00777DCB" w:rsidRPr="00A52585">
        <w:rPr>
          <w:rFonts w:hint="cs"/>
          <w:rtl/>
        </w:rPr>
        <w:t xml:space="preserve"> في إمرارها على ظواهرها من غير تأويل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واعجبا قد أثبت لله صفات بأحاديث وألفاظ لا تصح</w:t>
      </w:r>
      <w:r w:rsidR="00DB731D" w:rsidRPr="00A52585">
        <w:rPr>
          <w:rFonts w:hint="cs"/>
          <w:rtl/>
        </w:rPr>
        <w:t>،</w:t>
      </w:r>
      <w:r w:rsidR="00777DCB" w:rsidRPr="00A52585">
        <w:rPr>
          <w:rFonts w:hint="cs"/>
          <w:rtl/>
        </w:rPr>
        <w:t xml:space="preserve"> وإذا لم يثبت ضحكا معقولا فقد تأول ولا يدري</w:t>
      </w:r>
      <w:r w:rsidR="00DB731D" w:rsidRPr="00A52585">
        <w:rPr>
          <w:rFonts w:hint="cs"/>
          <w:rtl/>
        </w:rPr>
        <w:t>،</w:t>
      </w:r>
      <w:r w:rsidR="00777DCB" w:rsidRPr="00A52585">
        <w:rPr>
          <w:rFonts w:hint="cs"/>
          <w:rtl/>
        </w:rPr>
        <w:t xml:space="preserve"> </w:t>
      </w:r>
      <w:proofErr w:type="spellStart"/>
      <w:r w:rsidR="00777DCB" w:rsidRPr="00A52585">
        <w:rPr>
          <w:rFonts w:hint="cs"/>
          <w:rtl/>
        </w:rPr>
        <w:t>وواعجبا</w:t>
      </w:r>
      <w:proofErr w:type="spellEnd"/>
      <w:r w:rsidR="00777DCB" w:rsidRPr="00A52585">
        <w:rPr>
          <w:rFonts w:hint="cs"/>
          <w:rtl/>
        </w:rPr>
        <w:t xml:space="preserve"> قد عرف ان الضحك يشار به إلى الفضل والانعام</w:t>
      </w:r>
      <w:r w:rsidR="00DB731D" w:rsidRPr="00A52585">
        <w:rPr>
          <w:rFonts w:hint="cs"/>
          <w:rtl/>
        </w:rPr>
        <w:t>،</w:t>
      </w:r>
      <w:r w:rsidR="00777DCB" w:rsidRPr="00A52585">
        <w:rPr>
          <w:rFonts w:hint="cs"/>
          <w:rtl/>
        </w:rPr>
        <w:t xml:space="preserve"> </w:t>
      </w:r>
      <w:proofErr w:type="spellStart"/>
      <w:r w:rsidR="00777DCB" w:rsidRPr="00A52585">
        <w:rPr>
          <w:rFonts w:hint="cs"/>
          <w:rtl/>
        </w:rPr>
        <w:t>فالاضراس</w:t>
      </w:r>
      <w:proofErr w:type="spellEnd"/>
      <w:r w:rsidR="00777DCB" w:rsidRPr="00A52585">
        <w:rPr>
          <w:rFonts w:hint="cs"/>
          <w:rtl/>
        </w:rPr>
        <w:t xml:space="preserve"> ما وجهها</w:t>
      </w:r>
      <w:r w:rsidR="00F95886" w:rsidRPr="00A52585">
        <w:rPr>
          <w:rFonts w:hint="cs"/>
          <w:rtl/>
        </w:rPr>
        <w:t>؟!!</w:t>
      </w:r>
      <w:r w:rsidR="00777DCB" w:rsidRPr="00A52585">
        <w:rPr>
          <w:rFonts w:hint="cs"/>
          <w:rtl/>
        </w:rPr>
        <w:t xml:space="preserve"> والله لو رويت في الصحيحين وجب ردها</w:t>
      </w:r>
      <w:r w:rsidR="00DB731D" w:rsidRPr="00A52585">
        <w:rPr>
          <w:rFonts w:hint="cs"/>
          <w:rtl/>
        </w:rPr>
        <w:t>،</w:t>
      </w:r>
      <w:r w:rsidR="00777DCB" w:rsidRPr="00A52585">
        <w:rPr>
          <w:rFonts w:hint="cs"/>
          <w:rtl/>
        </w:rPr>
        <w:t xml:space="preserve"> فكيف وما ثبتت أصلا</w:t>
      </w:r>
      <w:r w:rsidR="00DB731D" w:rsidRPr="00A52585">
        <w:rPr>
          <w:rFonts w:hint="cs"/>
          <w:rtl/>
        </w:rPr>
        <w:t>،</w:t>
      </w:r>
      <w:r w:rsidR="00777DCB" w:rsidRPr="00A52585">
        <w:rPr>
          <w:rFonts w:hint="cs"/>
          <w:rtl/>
          <w:lang w:bidi="ar-KW"/>
        </w:rPr>
        <w:t xml:space="preserve"> </w:t>
      </w:r>
      <w:r w:rsidR="00777DCB" w:rsidRPr="00A52585">
        <w:rPr>
          <w:rFonts w:hint="cs"/>
          <w:rtl/>
        </w:rPr>
        <w:t>وقد روى أحمد</w:t>
      </w:r>
      <w:r w:rsidRPr="00A52585">
        <w:rPr>
          <w:rFonts w:hint="cs"/>
          <w:rtl/>
        </w:rPr>
        <w:t>:</w:t>
      </w:r>
      <w:r w:rsidR="00777DCB" w:rsidRPr="00A52585">
        <w:rPr>
          <w:rFonts w:hint="cs"/>
          <w:rtl/>
        </w:rPr>
        <w:t xml:space="preserve"> " لو ان الناس اعتزلوهم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فتح 6 / 612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(120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4 / 2236 برقم 2917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وأحمد في المسند </w:t>
      </w:r>
      <w:r w:rsidRPr="00A52585">
        <w:rPr>
          <w:rFonts w:hint="cs"/>
          <w:sz w:val="24"/>
          <w:szCs w:val="24"/>
          <w:rtl/>
        </w:rPr>
        <w:t>(</w:t>
      </w:r>
      <w:r w:rsidR="00777DCB" w:rsidRPr="00A52585">
        <w:rPr>
          <w:rFonts w:hint="cs"/>
          <w:sz w:val="24"/>
          <w:szCs w:val="24"/>
          <w:rtl/>
        </w:rPr>
        <w:t>2 / 301</w:t>
      </w:r>
      <w:r w:rsidRPr="00A52585">
        <w:rPr>
          <w:rFonts w:hint="cs"/>
          <w:sz w:val="24"/>
          <w:szCs w:val="24"/>
          <w:rtl/>
        </w:rPr>
        <w:t>)</w:t>
      </w:r>
      <w:r w:rsidR="00777DCB" w:rsidRPr="00A52585">
        <w:rPr>
          <w:rFonts w:hint="cs"/>
          <w:sz w:val="24"/>
          <w:szCs w:val="24"/>
          <w:rtl/>
        </w:rPr>
        <w:t xml:space="preserve"> قال ابن الامام أحمد هناك</w:t>
      </w:r>
      <w:r w:rsidRPr="00A52585">
        <w:rPr>
          <w:rFonts w:hint="cs"/>
          <w:sz w:val="24"/>
          <w:szCs w:val="24"/>
          <w:rtl/>
        </w:rPr>
        <w:t>:</w:t>
      </w:r>
      <w:r w:rsidR="00777DCB" w:rsidRPr="00A52585">
        <w:rPr>
          <w:rFonts w:hint="cs"/>
          <w:sz w:val="24"/>
          <w:szCs w:val="24"/>
          <w:rtl/>
        </w:rPr>
        <w:t xml:space="preserve"> " قال أبي في مرضه الذي مات فيه اضرب على هذا الحديث فإنه خلاف الاحاديث عن النيي صلى الله عليه وسلم يعني</w:t>
      </w:r>
      <w:r w:rsidRPr="00A52585">
        <w:rPr>
          <w:rFonts w:hint="cs"/>
          <w:sz w:val="24"/>
          <w:szCs w:val="24"/>
          <w:rtl/>
        </w:rPr>
        <w:t>:</w:t>
      </w:r>
      <w:r w:rsidR="00777DCB" w:rsidRPr="00A52585">
        <w:rPr>
          <w:rFonts w:hint="cs"/>
          <w:sz w:val="24"/>
          <w:szCs w:val="24"/>
          <w:rtl/>
        </w:rPr>
        <w:t xml:space="preserve"> قوله</w:t>
      </w:r>
      <w:r w:rsidRPr="00A52585">
        <w:rPr>
          <w:rFonts w:hint="cs"/>
          <w:sz w:val="24"/>
          <w:szCs w:val="24"/>
          <w:rtl/>
        </w:rPr>
        <w:t>:</w:t>
      </w:r>
      <w:r w:rsidR="00777DCB" w:rsidRPr="00A52585">
        <w:rPr>
          <w:rFonts w:hint="cs"/>
          <w:sz w:val="24"/>
          <w:szCs w:val="24"/>
          <w:rtl/>
        </w:rPr>
        <w:t xml:space="preserve"> اسمعوا وأطيعوا واصبروا " اه‍</w:t>
      </w:r>
      <w:r w:rsidR="00DB731D" w:rsidRPr="00A52585">
        <w:rPr>
          <w:rFonts w:hint="cs"/>
          <w:sz w:val="24"/>
          <w:szCs w:val="24"/>
          <w:rtl/>
        </w:rPr>
        <w:t>،</w:t>
      </w:r>
      <w:r w:rsidR="00777DCB" w:rsidRPr="00A52585">
        <w:rPr>
          <w:rFonts w:hint="cs"/>
          <w:sz w:val="24"/>
          <w:szCs w:val="24"/>
          <w:rtl/>
        </w:rPr>
        <w:t xml:space="preserve"> وفي هذا الكلام من الامام أحمد الثابت عنه التصريح البليغ برد الحديث الشاذ ولو كان في الصحيحين وهذا ظاهر جدا</w:t>
      </w:r>
      <w:r w:rsidR="00DB731D" w:rsidRPr="00A52585">
        <w:rPr>
          <w:rFonts w:hint="cs"/>
          <w:sz w:val="24"/>
          <w:szCs w:val="24"/>
          <w:rtl/>
        </w:rPr>
        <w:t>،</w:t>
      </w:r>
      <w:r w:rsidR="00777DCB" w:rsidRPr="00A52585">
        <w:rPr>
          <w:rFonts w:hint="cs"/>
          <w:sz w:val="24"/>
          <w:szCs w:val="24"/>
          <w:rtl/>
        </w:rPr>
        <w:t xml:space="preserve"> " تنبيه "</w:t>
      </w:r>
      <w:r w:rsidRPr="00A52585">
        <w:rPr>
          <w:rFonts w:hint="cs"/>
          <w:sz w:val="24"/>
          <w:szCs w:val="24"/>
          <w:rtl/>
        </w:rPr>
        <w:t>:</w:t>
      </w:r>
      <w:r w:rsidR="00777DCB" w:rsidRPr="00A52585">
        <w:rPr>
          <w:rFonts w:hint="cs"/>
          <w:sz w:val="24"/>
          <w:szCs w:val="24"/>
          <w:rtl/>
        </w:rPr>
        <w:t xml:space="preserve"> ومنه يعلم أن الحافظ ابن الجوزي لا يذكر شيئا إلا وهو موثق عنده</w:t>
      </w:r>
      <w:r w:rsidR="00DB731D" w:rsidRPr="00A52585">
        <w:rPr>
          <w:rFonts w:hint="cs"/>
          <w:sz w:val="24"/>
          <w:szCs w:val="24"/>
          <w:rtl/>
        </w:rPr>
        <w:t>،</w:t>
      </w:r>
      <w:r w:rsidR="00777DCB" w:rsidRPr="00A52585">
        <w:rPr>
          <w:rFonts w:hint="cs"/>
          <w:sz w:val="24"/>
          <w:szCs w:val="24"/>
          <w:rtl/>
        </w:rPr>
        <w:t xml:space="preserve"> ويجده الباحث بعد التنقير والتمحيص</w:t>
      </w:r>
      <w:r w:rsidRPr="00A52585">
        <w:rPr>
          <w:rFonts w:hint="cs"/>
          <w:sz w:val="24"/>
          <w:szCs w:val="24"/>
          <w:rtl/>
        </w:rPr>
        <w:t>]</w:t>
      </w:r>
      <w:r w:rsidR="00DB731D" w:rsidRPr="00A52585">
        <w:rPr>
          <w:rFonts w:hint="cs"/>
          <w:rtl/>
        </w:rPr>
        <w:t>،</w:t>
      </w:r>
      <w:r w:rsidR="00777DCB" w:rsidRPr="00A52585">
        <w:rPr>
          <w:rFonts w:hint="cs"/>
          <w:rtl/>
        </w:rPr>
        <w:t xml:space="preserve"> يعني الامراء فقال</w:t>
      </w:r>
      <w:r w:rsidRPr="00A52585">
        <w:rPr>
          <w:rFonts w:hint="cs"/>
          <w:rtl/>
        </w:rPr>
        <w:t>:</w:t>
      </w:r>
      <w:r w:rsidR="00777DCB" w:rsidRPr="00A52585">
        <w:rPr>
          <w:rFonts w:hint="cs"/>
          <w:rtl/>
        </w:rPr>
        <w:t xml:space="preserve"> اضرب على هذا</w:t>
      </w:r>
      <w:r w:rsidR="00DB731D" w:rsidRPr="00A52585">
        <w:rPr>
          <w:rFonts w:hint="cs"/>
          <w:rtl/>
        </w:rPr>
        <w:t>،</w:t>
      </w:r>
      <w:r w:rsidR="00777DCB" w:rsidRPr="00A52585">
        <w:rPr>
          <w:rFonts w:hint="cs"/>
          <w:rtl/>
        </w:rPr>
        <w:t xml:space="preserve"> وهذا الحديث في الصحيحين فكيف بحديث لا يثبت يخالف المنقول والمعقول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ومن أثبت الاضراس صفة فما عنده من الاسلام خبر</w:t>
      </w:r>
      <w:r w:rsidR="00DB731D" w:rsidRPr="00A52585">
        <w:rPr>
          <w:rFonts w:hint="cs"/>
          <w:rtl/>
        </w:rPr>
        <w:t>،</w:t>
      </w:r>
      <w:r w:rsidR="00777DCB" w:rsidRPr="00A52585">
        <w:rPr>
          <w:rFonts w:hint="cs"/>
          <w:rtl/>
        </w:rPr>
        <w:t xml:space="preserve"> </w:t>
      </w:r>
    </w:p>
    <w:p w14:paraId="0810D71C" w14:textId="0E0BD34C" w:rsidR="00777DCB" w:rsidRPr="00A52585" w:rsidRDefault="0002035C" w:rsidP="0002035C">
      <w:pPr>
        <w:rPr>
          <w:b/>
          <w:rtl/>
        </w:rPr>
      </w:pPr>
      <w:r w:rsidRPr="00A52585">
        <w:rPr>
          <w:rFonts w:hint="cs"/>
          <w:bCs/>
          <w:u w:val="single"/>
          <w:rtl/>
        </w:rPr>
        <w:t>[</w:t>
      </w:r>
      <w:r w:rsidR="00777DCB" w:rsidRPr="00A52585">
        <w:rPr>
          <w:rFonts w:hint="cs"/>
          <w:bCs/>
          <w:u w:val="single"/>
          <w:rtl/>
        </w:rPr>
        <w:t>15</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 عشر</w:t>
      </w:r>
      <w:r w:rsidRPr="00A52585">
        <w:rPr>
          <w:rFonts w:hint="cs"/>
          <w:bCs/>
          <w:rtl/>
        </w:rPr>
        <w:t>]</w:t>
      </w:r>
      <w:r w:rsidRPr="00A52585">
        <w:rPr>
          <w:rFonts w:hint="cs"/>
          <w:rtl/>
        </w:rPr>
        <w:t>:</w:t>
      </w:r>
      <w:r w:rsidR="00777DCB" w:rsidRPr="00A52585">
        <w:rPr>
          <w:rFonts w:hint="cs"/>
          <w:rtl/>
        </w:rPr>
        <w:t xml:space="preserve"> روى القاضي أبو يعلى</w:t>
      </w:r>
      <w:r w:rsidRPr="00A52585">
        <w:rPr>
          <w:rFonts w:hint="cs"/>
          <w:rtl/>
        </w:rPr>
        <w:t>:</w:t>
      </w:r>
      <w:r w:rsidR="00777DCB" w:rsidRPr="00A52585">
        <w:rPr>
          <w:rFonts w:hint="cs"/>
          <w:rtl/>
        </w:rPr>
        <w:t xml:space="preserve"> عن عبد الله بن عمرو موقوفا أنه قال</w:t>
      </w:r>
      <w:r w:rsidRPr="00A52585">
        <w:rPr>
          <w:rFonts w:hint="cs"/>
          <w:rtl/>
        </w:rPr>
        <w:t>:</w:t>
      </w:r>
      <w:r w:rsidR="00777DCB" w:rsidRPr="00A52585">
        <w:rPr>
          <w:rFonts w:hint="cs"/>
          <w:rtl/>
        </w:rPr>
        <w:t xml:space="preserve"> " خلق الله الملائكة من نور الذراعين والصدر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مروي في كتاب " السنة " المنسوب لابن الامام أحمد والذي فيه أنواع من البلايا والطامات</w:t>
      </w:r>
      <w:r w:rsidR="00DB731D" w:rsidRPr="00A52585">
        <w:rPr>
          <w:rFonts w:hint="cs"/>
          <w:sz w:val="24"/>
          <w:szCs w:val="24"/>
          <w:rtl/>
        </w:rPr>
        <w:t>،</w:t>
      </w:r>
      <w:r w:rsidR="00777DCB" w:rsidRPr="00A52585">
        <w:rPr>
          <w:rFonts w:hint="cs"/>
          <w:sz w:val="24"/>
          <w:szCs w:val="24"/>
          <w:rtl/>
        </w:rPr>
        <w:t xml:space="preserve"> وقد ورد الحديث فيه في موضعين وذلك ص </w:t>
      </w:r>
      <w:r w:rsidRPr="00A52585">
        <w:rPr>
          <w:rFonts w:hint="cs"/>
          <w:sz w:val="24"/>
          <w:szCs w:val="24"/>
          <w:rtl/>
        </w:rPr>
        <w:t>(</w:t>
      </w:r>
      <w:r w:rsidR="00777DCB" w:rsidRPr="00A52585">
        <w:rPr>
          <w:rFonts w:hint="cs"/>
          <w:sz w:val="24"/>
          <w:szCs w:val="24"/>
          <w:rtl/>
        </w:rPr>
        <w:t>171</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190</w:t>
      </w:r>
      <w:r w:rsidRPr="00A52585">
        <w:rPr>
          <w:rFonts w:hint="cs"/>
          <w:sz w:val="24"/>
          <w:szCs w:val="24"/>
          <w:rtl/>
        </w:rPr>
        <w:t>)</w:t>
      </w:r>
      <w:r w:rsidR="00777DCB" w:rsidRPr="00A52585">
        <w:rPr>
          <w:rFonts w:hint="cs"/>
          <w:sz w:val="24"/>
          <w:szCs w:val="24"/>
          <w:rtl/>
        </w:rPr>
        <w:t xml:space="preserve"> وهذا سنده هناك</w:t>
      </w:r>
      <w:r w:rsidRPr="00A52585">
        <w:rPr>
          <w:rFonts w:hint="cs"/>
          <w:sz w:val="24"/>
          <w:szCs w:val="24"/>
          <w:rtl/>
        </w:rPr>
        <w:t>:</w:t>
      </w:r>
      <w:r w:rsidR="00777DCB" w:rsidRPr="00A52585">
        <w:rPr>
          <w:rFonts w:hint="cs"/>
          <w:sz w:val="24"/>
          <w:szCs w:val="24"/>
          <w:rtl/>
        </w:rPr>
        <w:t xml:space="preserve"> حدثني أبي حدثنا أبو أسامة حماد بن أسامة عن هشام عن أبيه عن عبد الله ابن عمرو به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إسناد ظاهره الصحة</w:t>
      </w:r>
      <w:r w:rsidR="00DB731D" w:rsidRPr="00A52585">
        <w:rPr>
          <w:rFonts w:hint="cs"/>
          <w:sz w:val="24"/>
          <w:szCs w:val="24"/>
          <w:rtl/>
        </w:rPr>
        <w:t>،</w:t>
      </w:r>
      <w:r w:rsidR="00777DCB" w:rsidRPr="00A52585">
        <w:rPr>
          <w:rFonts w:hint="cs"/>
          <w:sz w:val="24"/>
          <w:szCs w:val="24"/>
          <w:rtl/>
        </w:rPr>
        <w:t xml:space="preserve"> إلا أنني أجزم بأن هذا الاثر إن صح عن عبد الله بن عمرو فهو من الاسرائيليات التي حدث بها عن كعب الاحبار</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مجمع الكوارث </w:t>
      </w:r>
      <w:proofErr w:type="spellStart"/>
      <w:r w:rsidR="00777DCB" w:rsidRPr="00A52585">
        <w:rPr>
          <w:rFonts w:hint="cs"/>
          <w:sz w:val="24"/>
          <w:szCs w:val="24"/>
          <w:rtl/>
        </w:rPr>
        <w:t>والتخليطات</w:t>
      </w:r>
      <w:proofErr w:type="spellEnd"/>
      <w:r w:rsidRPr="00A52585">
        <w:rPr>
          <w:rFonts w:hint="cs"/>
          <w:sz w:val="24"/>
          <w:szCs w:val="24"/>
          <w:rtl/>
        </w:rPr>
        <w:t>)</w:t>
      </w:r>
      <w:r w:rsidR="00777DCB" w:rsidRPr="00A52585">
        <w:rPr>
          <w:rFonts w:hint="cs"/>
          <w:sz w:val="24"/>
          <w:szCs w:val="24"/>
          <w:rtl/>
        </w:rPr>
        <w:t xml:space="preserve"> لأنّه قد ورد في ترجمة كعب الاحبار في " تهذيب التهذيب " </w:t>
      </w:r>
      <w:r w:rsidRPr="00A52585">
        <w:rPr>
          <w:rFonts w:hint="cs"/>
          <w:sz w:val="24"/>
          <w:szCs w:val="24"/>
          <w:rtl/>
        </w:rPr>
        <w:t>(</w:t>
      </w:r>
      <w:r w:rsidR="00777DCB" w:rsidRPr="00A52585">
        <w:rPr>
          <w:rFonts w:hint="cs"/>
          <w:sz w:val="24"/>
          <w:szCs w:val="24"/>
          <w:rtl/>
        </w:rPr>
        <w:t>18 / 394 دار الفكر</w:t>
      </w:r>
      <w:r w:rsidRPr="00A52585">
        <w:rPr>
          <w:rFonts w:hint="cs"/>
          <w:sz w:val="24"/>
          <w:szCs w:val="24"/>
          <w:rtl/>
        </w:rPr>
        <w:t>)</w:t>
      </w:r>
      <w:r w:rsidR="00777DCB" w:rsidRPr="00A52585">
        <w:rPr>
          <w:rFonts w:hint="cs"/>
          <w:sz w:val="24"/>
          <w:szCs w:val="24"/>
          <w:rtl/>
        </w:rPr>
        <w:t xml:space="preserve"> رواية عطاء عنه وعن عبد الله بن عمرو</w:t>
      </w:r>
      <w:r w:rsidR="00DB731D" w:rsidRPr="00A52585">
        <w:rPr>
          <w:rFonts w:hint="cs"/>
          <w:sz w:val="24"/>
          <w:szCs w:val="24"/>
          <w:rtl/>
        </w:rPr>
        <w:t>،</w:t>
      </w:r>
      <w:r w:rsidR="00777DCB" w:rsidRPr="00A52585">
        <w:rPr>
          <w:rFonts w:hint="cs"/>
          <w:sz w:val="24"/>
          <w:szCs w:val="24"/>
          <w:rtl/>
        </w:rPr>
        <w:t xml:space="preserve"> وفي " سير أعلام النبلاء " </w:t>
      </w:r>
      <w:r w:rsidRPr="00A52585">
        <w:rPr>
          <w:rFonts w:hint="cs"/>
          <w:sz w:val="24"/>
          <w:szCs w:val="24"/>
          <w:rtl/>
        </w:rPr>
        <w:t>(</w:t>
      </w:r>
      <w:r w:rsidR="00777DCB" w:rsidRPr="00A52585">
        <w:rPr>
          <w:rFonts w:hint="cs"/>
          <w:sz w:val="24"/>
          <w:szCs w:val="24"/>
          <w:rtl/>
        </w:rPr>
        <w:t>3 / 489</w:t>
      </w:r>
      <w:r w:rsidRPr="00A52585">
        <w:rPr>
          <w:rFonts w:hint="cs"/>
          <w:sz w:val="24"/>
          <w:szCs w:val="24"/>
          <w:rtl/>
        </w:rPr>
        <w:t>)</w:t>
      </w:r>
      <w:r w:rsidR="00777DCB" w:rsidRPr="00A52585">
        <w:rPr>
          <w:rFonts w:hint="cs"/>
          <w:sz w:val="24"/>
          <w:szCs w:val="24"/>
          <w:rtl/>
        </w:rPr>
        <w:t xml:space="preserve"> أن كعبا</w:t>
      </w:r>
      <w:r w:rsidRPr="00A52585">
        <w:rPr>
          <w:rFonts w:hint="cs"/>
          <w:sz w:val="24"/>
          <w:szCs w:val="24"/>
          <w:rtl/>
        </w:rPr>
        <w:t>:</w:t>
      </w:r>
      <w:r w:rsidR="00777DCB" w:rsidRPr="00A52585">
        <w:rPr>
          <w:rFonts w:hint="cs"/>
          <w:sz w:val="24"/>
          <w:szCs w:val="24"/>
          <w:rtl/>
        </w:rPr>
        <w:t xml:space="preserve"> جالس أصحاب محمد صلى الله عليه وسلم فكان يحدثهم عن الكتب الاسرائيلية</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أثبت به القاضي أبو يعلى</w:t>
      </w:r>
      <w:r w:rsidRPr="00A52585">
        <w:rPr>
          <w:rFonts w:hint="cs"/>
          <w:rtl/>
        </w:rPr>
        <w:t xml:space="preserve"> </w:t>
      </w:r>
      <w:r w:rsidR="00777DCB" w:rsidRPr="00A52585">
        <w:rPr>
          <w:rFonts w:hint="cs"/>
          <w:rtl/>
        </w:rPr>
        <w:t>ذراعين وصدرا لله عز وجل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قبيح</w:t>
      </w:r>
      <w:r w:rsidR="00DB731D" w:rsidRPr="00A52585">
        <w:rPr>
          <w:rFonts w:hint="cs"/>
          <w:rtl/>
        </w:rPr>
        <w:t>،</w:t>
      </w:r>
      <w:r w:rsidR="00777DCB" w:rsidRPr="00A52585">
        <w:rPr>
          <w:rFonts w:hint="cs"/>
          <w:rtl/>
        </w:rPr>
        <w:t xml:space="preserve"> لأنّه حديث ليس بمرفوع ولا يصح</w:t>
      </w:r>
      <w:r w:rsidR="00DB731D" w:rsidRPr="00A52585">
        <w:rPr>
          <w:rFonts w:hint="cs"/>
          <w:rtl/>
        </w:rPr>
        <w:t>،</w:t>
      </w:r>
      <w:r w:rsidR="00777DCB" w:rsidRPr="00A52585">
        <w:rPr>
          <w:rFonts w:hint="cs"/>
          <w:rtl/>
        </w:rPr>
        <w:t xml:space="preserve"> وهل يجوز أن يخلق مخلوق من ذات الله القديم</w:t>
      </w:r>
      <w:r w:rsidR="00897A24" w:rsidRPr="00A52585">
        <w:rPr>
          <w:rFonts w:hint="cs"/>
          <w:rtl/>
        </w:rPr>
        <w:t>..</w:t>
      </w:r>
      <w:r w:rsidR="00F95886" w:rsidRPr="00A52585">
        <w:rPr>
          <w:rFonts w:hint="cs"/>
          <w:rtl/>
        </w:rPr>
        <w:t>؟</w:t>
      </w:r>
      <w:r w:rsidR="00777DCB" w:rsidRPr="00A52585">
        <w:rPr>
          <w:rFonts w:hint="cs"/>
          <w:rtl/>
        </w:rPr>
        <w:t xml:space="preserve"> هذا أقبح مما ادعاه </w:t>
      </w:r>
      <w:proofErr w:type="gramStart"/>
      <w:r w:rsidR="00777DCB" w:rsidRPr="00A52585">
        <w:rPr>
          <w:rFonts w:hint="cs"/>
          <w:rtl/>
        </w:rPr>
        <w:t>النصارى</w:t>
      </w:r>
      <w:r w:rsidR="00897A24" w:rsidRPr="00A52585">
        <w:rPr>
          <w:rFonts w:hint="cs"/>
          <w:rtl/>
        </w:rPr>
        <w:t>..</w:t>
      </w:r>
      <w:r w:rsidR="00F95886" w:rsidRPr="00A52585">
        <w:rPr>
          <w:rFonts w:hint="cs"/>
          <w:rtl/>
        </w:rPr>
        <w:t>!</w:t>
      </w:r>
      <w:proofErr w:type="gramEnd"/>
      <w:r w:rsidR="00F95886" w:rsidRPr="00A52585">
        <w:rPr>
          <w:rFonts w:hint="cs"/>
          <w:rtl/>
        </w:rPr>
        <w:t>!!</w:t>
      </w:r>
      <w:r w:rsidR="00DB731D" w:rsidRPr="00A52585">
        <w:rPr>
          <w:rFonts w:hint="cs"/>
          <w:rtl/>
        </w:rPr>
        <w:t>،</w:t>
      </w:r>
      <w:r w:rsidR="00777DCB" w:rsidRPr="00A52585">
        <w:rPr>
          <w:rFonts w:hint="cs"/>
          <w:rtl/>
        </w:rPr>
        <w:t xml:space="preserve"> </w:t>
      </w:r>
    </w:p>
    <w:p w14:paraId="09191029" w14:textId="356CA21D" w:rsidR="00777DCB" w:rsidRPr="00A52585" w:rsidRDefault="0002035C" w:rsidP="0002035C">
      <w:pPr>
        <w:rPr>
          <w:b/>
          <w:rtl/>
        </w:rPr>
      </w:pPr>
      <w:r w:rsidRPr="00A52585">
        <w:rPr>
          <w:rFonts w:hint="cs"/>
          <w:bCs/>
          <w:u w:val="single"/>
          <w:rtl/>
        </w:rPr>
        <w:t>[</w:t>
      </w:r>
      <w:r w:rsidR="00777DCB" w:rsidRPr="00A52585">
        <w:rPr>
          <w:rFonts w:hint="cs"/>
          <w:bCs/>
          <w:u w:val="single"/>
          <w:rtl/>
        </w:rPr>
        <w:t>16</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 عشر</w:t>
      </w:r>
      <w:r w:rsidRPr="00A52585">
        <w:rPr>
          <w:rFonts w:hint="cs"/>
          <w:bCs/>
          <w:rtl/>
        </w:rPr>
        <w:t>]:</w:t>
      </w:r>
      <w:r w:rsidR="00777DCB" w:rsidRPr="00A52585">
        <w:rPr>
          <w:rFonts w:hint="cs"/>
          <w:rtl/>
        </w:rPr>
        <w:t xml:space="preserve"> روى البخاري ومسلم في الصحيحين من حديث ابن عمر رضي الله عنهما</w:t>
      </w:r>
      <w:r w:rsidR="00DB731D" w:rsidRPr="00A52585">
        <w:rPr>
          <w:rFonts w:hint="cs"/>
          <w:rtl/>
        </w:rPr>
        <w:t>،</w:t>
      </w:r>
      <w:r w:rsidR="00777DCB" w:rsidRPr="00A52585">
        <w:rPr>
          <w:rFonts w:hint="cs"/>
          <w:rtl/>
        </w:rPr>
        <w:t xml:space="preserve"> أن النبي صلى الله عليه وسلم قال</w:t>
      </w:r>
      <w:r w:rsidRPr="00A52585">
        <w:rPr>
          <w:rFonts w:hint="cs"/>
          <w:rtl/>
        </w:rPr>
        <w:t>:</w:t>
      </w:r>
      <w:r w:rsidR="00777DCB" w:rsidRPr="00A52585">
        <w:rPr>
          <w:rFonts w:hint="cs"/>
          <w:rtl/>
        </w:rPr>
        <w:t xml:space="preserve"> " إن الله يدني عبده المؤمن فيضع عليه كنفه ويقول</w:t>
      </w:r>
      <w:r w:rsidRPr="00A52585">
        <w:rPr>
          <w:rFonts w:hint="cs"/>
          <w:rtl/>
        </w:rPr>
        <w:t>:</w:t>
      </w:r>
      <w:r w:rsidR="00777DCB" w:rsidRPr="00A52585">
        <w:rPr>
          <w:rFonts w:hint="cs"/>
          <w:rtl/>
        </w:rPr>
        <w:t xml:space="preserve"> </w:t>
      </w:r>
      <w:r w:rsidR="00777DCB" w:rsidRPr="00A52585">
        <w:rPr>
          <w:rFonts w:hint="cs"/>
          <w:rtl/>
        </w:rPr>
        <w:lastRenderedPageBreak/>
        <w:t>أتعرف ذنب كذا</w:t>
      </w:r>
      <w:r w:rsidR="00F95886" w:rsidRPr="00A52585">
        <w:rPr>
          <w:rFonts w:hint="cs"/>
          <w:rtl/>
        </w:rPr>
        <w:t>؟</w:t>
      </w:r>
      <w:r w:rsidR="00777DCB" w:rsidRPr="00A52585">
        <w:rPr>
          <w:rFonts w:hint="cs"/>
          <w:rtl/>
        </w:rPr>
        <w:t xml:space="preserve">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10 / 486</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4 / 2120 برقم 2768</w:t>
      </w:r>
      <w:r w:rsidRPr="00A52585">
        <w:rPr>
          <w:rFonts w:hint="cs"/>
          <w:sz w:val="24"/>
          <w:szCs w:val="24"/>
          <w:rtl/>
        </w:rPr>
        <w:t>)</w:t>
      </w:r>
      <w:r w:rsidR="00777DCB" w:rsidRPr="00A52585">
        <w:rPr>
          <w:rFonts w:hint="cs"/>
          <w:sz w:val="24"/>
          <w:szCs w:val="24"/>
          <w:rtl/>
        </w:rPr>
        <w:t xml:space="preserve"> قال الحافظ ابن حجر في شرحه </w:t>
      </w:r>
      <w:r w:rsidRPr="00A52585">
        <w:rPr>
          <w:rFonts w:hint="cs"/>
          <w:sz w:val="24"/>
          <w:szCs w:val="24"/>
          <w:rtl/>
        </w:rPr>
        <w:t>(</w:t>
      </w:r>
      <w:r w:rsidR="00777DCB" w:rsidRPr="00A52585">
        <w:rPr>
          <w:rFonts w:hint="cs"/>
          <w:sz w:val="24"/>
          <w:szCs w:val="24"/>
          <w:rtl/>
        </w:rPr>
        <w:t>10 / 488</w:t>
      </w:r>
      <w:r w:rsidRPr="00A52585">
        <w:rPr>
          <w:rFonts w:hint="cs"/>
          <w:sz w:val="24"/>
          <w:szCs w:val="24"/>
          <w:rtl/>
        </w:rPr>
        <w:t>):</w:t>
      </w:r>
      <w:r w:rsidR="00777DCB" w:rsidRPr="00A52585">
        <w:rPr>
          <w:rFonts w:hint="cs"/>
          <w:sz w:val="24"/>
          <w:szCs w:val="24"/>
          <w:rtl/>
        </w:rPr>
        <w:t xml:space="preserve"> " قوله </w:t>
      </w:r>
      <w:r w:rsidRPr="00A52585">
        <w:rPr>
          <w:rFonts w:hint="cs"/>
          <w:sz w:val="24"/>
          <w:szCs w:val="24"/>
          <w:rtl/>
        </w:rPr>
        <w:t>(</w:t>
      </w:r>
      <w:r w:rsidR="00777DCB" w:rsidRPr="00A52585">
        <w:rPr>
          <w:rFonts w:hint="cs"/>
          <w:sz w:val="24"/>
          <w:szCs w:val="24"/>
          <w:rtl/>
        </w:rPr>
        <w:t>حتى يضع كنفه</w:t>
      </w:r>
      <w:r w:rsidRPr="00A52585">
        <w:rPr>
          <w:rFonts w:hint="cs"/>
          <w:sz w:val="24"/>
          <w:szCs w:val="24"/>
          <w:rtl/>
        </w:rPr>
        <w:t>)</w:t>
      </w:r>
      <w:r w:rsidR="00777DCB" w:rsidRPr="00A52585">
        <w:rPr>
          <w:rFonts w:hint="cs"/>
          <w:sz w:val="24"/>
          <w:szCs w:val="24"/>
          <w:rtl/>
        </w:rPr>
        <w:t xml:space="preserve"> بفتح الكاف والنون بعدها فاء أي جانبه</w:t>
      </w:r>
      <w:r w:rsidR="00DB731D" w:rsidRPr="00A52585">
        <w:rPr>
          <w:rFonts w:hint="cs"/>
          <w:sz w:val="24"/>
          <w:szCs w:val="24"/>
          <w:rtl/>
        </w:rPr>
        <w:t>،</w:t>
      </w:r>
      <w:r w:rsidR="00777DCB" w:rsidRPr="00A52585">
        <w:rPr>
          <w:rFonts w:hint="cs"/>
          <w:sz w:val="24"/>
          <w:szCs w:val="24"/>
          <w:rtl/>
        </w:rPr>
        <w:t xml:space="preserve"> والكنف أيضا</w:t>
      </w:r>
      <w:r w:rsidR="00F95886" w:rsidRPr="00A52585">
        <w:rPr>
          <w:rFonts w:hint="cs"/>
          <w:sz w:val="24"/>
          <w:szCs w:val="24"/>
          <w:rtl/>
        </w:rPr>
        <w:t>؟</w:t>
      </w:r>
      <w:r w:rsidR="00777DCB" w:rsidRPr="00A52585">
        <w:rPr>
          <w:rFonts w:hint="cs"/>
          <w:sz w:val="24"/>
          <w:szCs w:val="24"/>
          <w:rtl/>
        </w:rPr>
        <w:t xml:space="preserve"> الستر وهو المراد هنا</w:t>
      </w:r>
      <w:r w:rsidR="00DB731D" w:rsidRPr="00A52585">
        <w:rPr>
          <w:rFonts w:hint="cs"/>
          <w:sz w:val="24"/>
          <w:szCs w:val="24"/>
          <w:rtl/>
        </w:rPr>
        <w:t>،</w:t>
      </w:r>
      <w:r w:rsidR="00777DCB" w:rsidRPr="00A52585">
        <w:rPr>
          <w:rFonts w:hint="cs"/>
          <w:sz w:val="24"/>
          <w:szCs w:val="24"/>
          <w:rtl/>
        </w:rPr>
        <w:t xml:space="preserve"> والاول مجاز في حق الله تعالى كما يقال</w:t>
      </w:r>
      <w:r w:rsidRPr="00A52585">
        <w:rPr>
          <w:rFonts w:hint="cs"/>
          <w:sz w:val="24"/>
          <w:szCs w:val="24"/>
          <w:rtl/>
        </w:rPr>
        <w:t>:</w:t>
      </w:r>
      <w:r w:rsidR="00777DCB" w:rsidRPr="00A52585">
        <w:rPr>
          <w:rFonts w:hint="cs"/>
          <w:sz w:val="24"/>
          <w:szCs w:val="24"/>
          <w:rtl/>
        </w:rPr>
        <w:t xml:space="preserve"> فلان في كنف فلان أي في حمايته وكلاءته " اه</w:t>
      </w:r>
      <w:r w:rsidRPr="00A52585">
        <w:rPr>
          <w:rFonts w:hint="cs"/>
          <w:sz w:val="24"/>
          <w:szCs w:val="24"/>
          <w:rtl/>
        </w:rPr>
        <w:t>]</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يدنيه من رحمته ولطفه</w:t>
      </w:r>
      <w:r w:rsidR="00DB731D" w:rsidRPr="00A52585">
        <w:rPr>
          <w:rFonts w:hint="cs"/>
          <w:rtl/>
        </w:rPr>
        <w:t>،</w:t>
      </w:r>
      <w:r w:rsidR="00777DCB" w:rsidRPr="00A52585">
        <w:rPr>
          <w:rFonts w:hint="cs"/>
          <w:rtl/>
        </w:rPr>
        <w:t xml:space="preserve"> وقال ابن الانباري</w:t>
      </w:r>
      <w:r w:rsidRPr="00A52585">
        <w:rPr>
          <w:rFonts w:hint="cs"/>
          <w:rtl/>
        </w:rPr>
        <w:t>:</w:t>
      </w:r>
      <w:r w:rsidR="00777DCB" w:rsidRPr="00A52585">
        <w:rPr>
          <w:rFonts w:hint="cs"/>
          <w:rtl/>
        </w:rPr>
        <w:t xml:space="preserve"> وكنفه</w:t>
      </w:r>
      <w:r w:rsidRPr="00A52585">
        <w:rPr>
          <w:rFonts w:hint="cs"/>
          <w:rtl/>
        </w:rPr>
        <w:t>:</w:t>
      </w:r>
      <w:r w:rsidR="00777DCB" w:rsidRPr="00A52585">
        <w:rPr>
          <w:rFonts w:hint="cs"/>
          <w:rtl/>
        </w:rPr>
        <w:t xml:space="preserve"> </w:t>
      </w:r>
      <w:proofErr w:type="spellStart"/>
      <w:r w:rsidR="00777DCB" w:rsidRPr="00A52585">
        <w:rPr>
          <w:rFonts w:hint="cs"/>
          <w:rtl/>
        </w:rPr>
        <w:t>حياطته</w:t>
      </w:r>
      <w:proofErr w:type="spellEnd"/>
      <w:r w:rsidR="00777DCB" w:rsidRPr="00A52585">
        <w:rPr>
          <w:rFonts w:hint="cs"/>
          <w:rtl/>
        </w:rPr>
        <w:t xml:space="preserve"> وستره</w:t>
      </w:r>
      <w:r w:rsidR="00DB731D" w:rsidRPr="00A52585">
        <w:rPr>
          <w:rFonts w:hint="cs"/>
          <w:rtl/>
        </w:rPr>
        <w:t>،</w:t>
      </w:r>
      <w:r w:rsidR="00777DCB" w:rsidRPr="00A52585">
        <w:rPr>
          <w:rFonts w:hint="cs"/>
          <w:rtl/>
        </w:rPr>
        <w:t xml:space="preserve"> يقال قد كنف فلان فلانا</w:t>
      </w:r>
      <w:r w:rsidRPr="00A52585">
        <w:rPr>
          <w:rFonts w:hint="cs"/>
          <w:rtl/>
        </w:rPr>
        <w:t>:</w:t>
      </w:r>
      <w:r w:rsidR="00777DCB" w:rsidRPr="00A52585">
        <w:rPr>
          <w:rFonts w:hint="cs"/>
          <w:rtl/>
        </w:rPr>
        <w:t xml:space="preserve"> إذا أحاطه وستره</w:t>
      </w:r>
      <w:r w:rsidR="00DB731D" w:rsidRPr="00A52585">
        <w:rPr>
          <w:rFonts w:hint="cs"/>
          <w:rtl/>
        </w:rPr>
        <w:t>،</w:t>
      </w:r>
      <w:r w:rsidR="00777DCB" w:rsidRPr="00A52585">
        <w:rPr>
          <w:rFonts w:hint="cs"/>
          <w:rtl/>
        </w:rPr>
        <w:t xml:space="preserve"> وكل شيء ستر شيئا فقد كنفه</w:t>
      </w:r>
      <w:r w:rsidR="00DB731D" w:rsidRPr="00A52585">
        <w:rPr>
          <w:rFonts w:hint="cs"/>
          <w:rtl/>
        </w:rPr>
        <w:t>،</w:t>
      </w:r>
      <w:r w:rsidR="00777DCB" w:rsidRPr="00A52585">
        <w:rPr>
          <w:rFonts w:hint="cs"/>
          <w:rtl/>
        </w:rPr>
        <w:t xml:space="preserve"> ويقال للترس كنيف لأنّه يستر صاحبه</w:t>
      </w:r>
      <w:r w:rsidR="00DB731D" w:rsidRPr="00A52585">
        <w:rPr>
          <w:rFonts w:hint="cs"/>
          <w:rtl/>
        </w:rPr>
        <w:t>،</w:t>
      </w:r>
      <w:r w:rsidR="00777DCB" w:rsidRPr="00A52585">
        <w:rPr>
          <w:rFonts w:hint="cs"/>
          <w:rtl/>
        </w:rPr>
        <w:t xml:space="preserve"> قال القاضي ابو يعلى</w:t>
      </w:r>
      <w:r w:rsidRPr="00A52585">
        <w:rPr>
          <w:rFonts w:hint="cs"/>
          <w:rtl/>
        </w:rPr>
        <w:t>:</w:t>
      </w:r>
      <w:r w:rsidR="00777DCB" w:rsidRPr="00A52585">
        <w:rPr>
          <w:rFonts w:hint="cs"/>
          <w:rtl/>
        </w:rPr>
        <w:t xml:space="preserve"> يدنيه من ذاته</w:t>
      </w:r>
      <w:r w:rsidR="00897A24" w:rsidRPr="00A52585">
        <w:rPr>
          <w:rFonts w:hint="cs"/>
          <w:rtl/>
        </w:rPr>
        <w:t>.</w:t>
      </w:r>
      <w:r w:rsidR="00777DCB" w:rsidRPr="00A52585">
        <w:rPr>
          <w:rFonts w:hint="cs"/>
          <w:rtl/>
        </w:rPr>
        <w:t xml:space="preserve"> وهذا قول من لم يعرف الله عز وجل</w:t>
      </w:r>
      <w:r w:rsidR="00DB731D" w:rsidRPr="00A52585">
        <w:rPr>
          <w:rFonts w:hint="cs"/>
          <w:rtl/>
        </w:rPr>
        <w:t>،</w:t>
      </w:r>
      <w:r w:rsidR="00777DCB" w:rsidRPr="00A52585">
        <w:rPr>
          <w:rFonts w:hint="cs"/>
          <w:rtl/>
        </w:rPr>
        <w:t xml:space="preserve"> ولا يعلم أنه لا يجوز عليه الدنو الذي هو بالمسافة وكذلك قوله</w:t>
      </w:r>
      <w:r w:rsidRPr="00A52585">
        <w:rPr>
          <w:rFonts w:hint="cs"/>
          <w:rtl/>
        </w:rPr>
        <w:t>:</w:t>
      </w:r>
      <w:r w:rsidR="00777DCB" w:rsidRPr="00A52585">
        <w:rPr>
          <w:rFonts w:hint="cs"/>
          <w:rtl/>
        </w:rPr>
        <w:t xml:space="preserve"> انه ليدنو به يوم عرفة</w:t>
      </w:r>
      <w:r w:rsidRPr="00A52585">
        <w:rPr>
          <w:rFonts w:hint="cs"/>
          <w:rtl/>
        </w:rPr>
        <w:t>:</w:t>
      </w:r>
      <w:r w:rsidR="00777DCB" w:rsidRPr="00A52585">
        <w:rPr>
          <w:rFonts w:hint="cs"/>
          <w:rtl/>
        </w:rPr>
        <w:t xml:space="preserve"> أي يقرب بلطفه وعفوه</w:t>
      </w:r>
      <w:r w:rsidR="00DB731D" w:rsidRPr="00A52585">
        <w:rPr>
          <w:rFonts w:hint="cs"/>
          <w:rtl/>
        </w:rPr>
        <w:t>،</w:t>
      </w:r>
      <w:r w:rsidR="00777DCB" w:rsidRPr="00A52585">
        <w:rPr>
          <w:rFonts w:hint="cs"/>
          <w:rtl/>
        </w:rPr>
        <w:t xml:space="preserve"> </w:t>
      </w:r>
    </w:p>
    <w:p w14:paraId="218DB735" w14:textId="330B70AA" w:rsidR="00777DCB" w:rsidRPr="00A52585" w:rsidRDefault="0002035C" w:rsidP="0002035C">
      <w:pPr>
        <w:rPr>
          <w:b/>
          <w:rtl/>
        </w:rPr>
      </w:pPr>
      <w:r w:rsidRPr="00A52585">
        <w:rPr>
          <w:rFonts w:hint="cs"/>
          <w:bCs/>
          <w:u w:val="single"/>
          <w:rtl/>
        </w:rPr>
        <w:t>[</w:t>
      </w:r>
      <w:r w:rsidR="00777DCB" w:rsidRPr="00A52585">
        <w:rPr>
          <w:rFonts w:hint="cs"/>
          <w:bCs/>
          <w:u w:val="single"/>
          <w:rtl/>
        </w:rPr>
        <w:t>17</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 عشر</w:t>
      </w:r>
      <w:r w:rsidRPr="00A52585">
        <w:rPr>
          <w:rFonts w:hint="cs"/>
          <w:bCs/>
          <w:rtl/>
        </w:rPr>
        <w:t>]</w:t>
      </w:r>
      <w:r w:rsidRPr="00A52585">
        <w:rPr>
          <w:rFonts w:hint="cs"/>
          <w:rtl/>
        </w:rPr>
        <w:t>:</w:t>
      </w:r>
      <w:r w:rsidR="00777DCB" w:rsidRPr="00A52585">
        <w:rPr>
          <w:rFonts w:hint="cs"/>
          <w:rtl/>
        </w:rPr>
        <w:t xml:space="preserve"> روى مسلم في أفراده من حديث معاوية بن الحكم قال</w:t>
      </w:r>
      <w:r w:rsidRPr="00A52585">
        <w:rPr>
          <w:rFonts w:hint="cs"/>
          <w:rtl/>
        </w:rPr>
        <w:t>:</w:t>
      </w:r>
      <w:r w:rsidR="00777DCB" w:rsidRPr="00A52585">
        <w:rPr>
          <w:rFonts w:hint="cs"/>
          <w:rtl/>
        </w:rPr>
        <w:t xml:space="preserve"> " كانت لي جارية ترعى غنما لي</w:t>
      </w:r>
      <w:r w:rsidR="00DB731D" w:rsidRPr="00A52585">
        <w:rPr>
          <w:rFonts w:hint="cs"/>
          <w:rtl/>
        </w:rPr>
        <w:t>،</w:t>
      </w:r>
      <w:r w:rsidR="00777DCB" w:rsidRPr="00A52585">
        <w:rPr>
          <w:rFonts w:hint="cs"/>
          <w:rtl/>
        </w:rPr>
        <w:t xml:space="preserve"> فانطلقت ذات يوم</w:t>
      </w:r>
      <w:r w:rsidR="00DB731D" w:rsidRPr="00A52585">
        <w:rPr>
          <w:rFonts w:hint="cs"/>
          <w:rtl/>
        </w:rPr>
        <w:t>،</w:t>
      </w:r>
      <w:r w:rsidR="00777DCB" w:rsidRPr="00A52585">
        <w:rPr>
          <w:rFonts w:hint="cs"/>
          <w:rtl/>
        </w:rPr>
        <w:t xml:space="preserve"> فإذا الذئب قد ذهب بشاة</w:t>
      </w:r>
      <w:r w:rsidR="00DB731D" w:rsidRPr="00A52585">
        <w:rPr>
          <w:rFonts w:hint="cs"/>
          <w:rtl/>
        </w:rPr>
        <w:t>،</w:t>
      </w:r>
      <w:r w:rsidR="00777DCB" w:rsidRPr="00A52585">
        <w:rPr>
          <w:rFonts w:hint="cs"/>
          <w:rtl/>
        </w:rPr>
        <w:t xml:space="preserve"> وأنا من بني آدم آسف كما </w:t>
      </w:r>
      <w:proofErr w:type="spellStart"/>
      <w:r w:rsidR="00777DCB" w:rsidRPr="00A52585">
        <w:rPr>
          <w:rFonts w:hint="cs"/>
          <w:rtl/>
        </w:rPr>
        <w:t>يأسفون</w:t>
      </w:r>
      <w:proofErr w:type="spellEnd"/>
      <w:r w:rsidR="00777DCB" w:rsidRPr="00A52585">
        <w:rPr>
          <w:rFonts w:hint="cs"/>
          <w:rtl/>
        </w:rPr>
        <w:t xml:space="preserve"> </w:t>
      </w:r>
      <w:proofErr w:type="spellStart"/>
      <w:r w:rsidR="00777DCB" w:rsidRPr="00A52585">
        <w:rPr>
          <w:rFonts w:hint="cs"/>
          <w:rtl/>
        </w:rPr>
        <w:t>فصككتها</w:t>
      </w:r>
      <w:proofErr w:type="spellEnd"/>
      <w:r w:rsidR="00777DCB" w:rsidRPr="00A52585">
        <w:rPr>
          <w:rFonts w:hint="cs"/>
          <w:rtl/>
        </w:rPr>
        <w:t xml:space="preserve"> </w:t>
      </w:r>
      <w:proofErr w:type="spellStart"/>
      <w:r w:rsidR="00777DCB" w:rsidRPr="00A52585">
        <w:rPr>
          <w:rFonts w:hint="cs"/>
          <w:rtl/>
        </w:rPr>
        <w:t>صكة</w:t>
      </w:r>
      <w:proofErr w:type="spellEnd"/>
      <w:r w:rsidR="00DB731D" w:rsidRPr="00A52585">
        <w:rPr>
          <w:rFonts w:hint="cs"/>
          <w:rtl/>
        </w:rPr>
        <w:t>،</w:t>
      </w:r>
      <w:r w:rsidR="00777DCB" w:rsidRPr="00A52585">
        <w:rPr>
          <w:rFonts w:hint="cs"/>
          <w:rtl/>
        </w:rPr>
        <w:t xml:space="preserve"> فأتيت رسول الله صلى الله عليه وسلم فعظم ذلك علي</w:t>
      </w:r>
      <w:r w:rsidR="00897A24" w:rsidRPr="00A52585">
        <w:rPr>
          <w:rFonts w:hint="cs"/>
          <w:rtl/>
        </w:rPr>
        <w:t>.</w:t>
      </w:r>
      <w:r w:rsidR="00777DCB" w:rsidRPr="00A52585">
        <w:rPr>
          <w:rFonts w:hint="cs"/>
          <w:rtl/>
        </w:rPr>
        <w:t xml:space="preserve"> فقلت</w:t>
      </w:r>
      <w:r w:rsidRPr="00A52585">
        <w:rPr>
          <w:rFonts w:hint="cs"/>
          <w:rtl/>
        </w:rPr>
        <w:t>:</w:t>
      </w:r>
      <w:r w:rsidR="00777DCB" w:rsidRPr="00A52585">
        <w:rPr>
          <w:rFonts w:hint="cs"/>
          <w:rtl/>
        </w:rPr>
        <w:t xml:space="preserve"> ألا </w:t>
      </w:r>
      <w:proofErr w:type="gramStart"/>
      <w:r w:rsidR="00777DCB" w:rsidRPr="00A52585">
        <w:rPr>
          <w:rFonts w:hint="cs"/>
          <w:rtl/>
        </w:rPr>
        <w:t>أعتقها</w:t>
      </w:r>
      <w:r w:rsidR="00897A24" w:rsidRPr="00A52585">
        <w:rPr>
          <w:rFonts w:hint="cs"/>
          <w:rtl/>
        </w:rPr>
        <w:t>..</w:t>
      </w:r>
      <w:r w:rsidR="00F95886" w:rsidRPr="00A52585">
        <w:rPr>
          <w:rFonts w:hint="cs"/>
          <w:rtl/>
        </w:rPr>
        <w:t>؟</w:t>
      </w:r>
      <w:proofErr w:type="gramEnd"/>
      <w:r w:rsidR="00777DCB" w:rsidRPr="00A52585">
        <w:rPr>
          <w:rFonts w:hint="cs"/>
          <w:rtl/>
        </w:rPr>
        <w:t xml:space="preserve"> قال</w:t>
      </w:r>
      <w:r w:rsidRPr="00A52585">
        <w:rPr>
          <w:rFonts w:hint="cs"/>
          <w:rtl/>
        </w:rPr>
        <w:t>:</w:t>
      </w:r>
      <w:r w:rsidR="00777DCB" w:rsidRPr="00A52585">
        <w:rPr>
          <w:rFonts w:hint="cs"/>
          <w:rtl/>
        </w:rPr>
        <w:t xml:space="preserve"> " </w:t>
      </w:r>
      <w:proofErr w:type="spellStart"/>
      <w:r w:rsidR="00777DCB" w:rsidRPr="00A52585">
        <w:rPr>
          <w:rFonts w:hint="cs"/>
          <w:rtl/>
        </w:rPr>
        <w:t>أئتني</w:t>
      </w:r>
      <w:proofErr w:type="spellEnd"/>
      <w:r w:rsidR="00777DCB" w:rsidRPr="00A52585">
        <w:rPr>
          <w:rFonts w:hint="cs"/>
          <w:rtl/>
        </w:rPr>
        <w:t xml:space="preserve"> بها "</w:t>
      </w:r>
      <w:r w:rsidR="00897A24" w:rsidRPr="00A52585">
        <w:rPr>
          <w:rFonts w:hint="cs"/>
          <w:rtl/>
        </w:rPr>
        <w:t>.</w:t>
      </w:r>
      <w:r w:rsidR="00777DCB" w:rsidRPr="00A52585">
        <w:rPr>
          <w:rFonts w:hint="cs"/>
          <w:rtl/>
        </w:rPr>
        <w:t xml:space="preserve"> فأتيته بها</w:t>
      </w:r>
      <w:r w:rsidR="00DB731D" w:rsidRPr="00A52585">
        <w:rPr>
          <w:rFonts w:hint="cs"/>
          <w:rtl/>
        </w:rPr>
        <w:t>،</w:t>
      </w:r>
      <w:r w:rsidR="00777DCB" w:rsidRPr="00A52585">
        <w:rPr>
          <w:rFonts w:hint="cs"/>
          <w:rtl/>
        </w:rPr>
        <w:t xml:space="preserve"> فقال لها</w:t>
      </w:r>
      <w:r w:rsidRPr="00A52585">
        <w:rPr>
          <w:rFonts w:hint="cs"/>
          <w:rtl/>
        </w:rPr>
        <w:t>:</w:t>
      </w:r>
      <w:r w:rsidR="00777DCB" w:rsidRPr="00A52585">
        <w:rPr>
          <w:rFonts w:hint="cs"/>
          <w:rtl/>
        </w:rPr>
        <w:t xml:space="preserve"> " أين </w:t>
      </w:r>
      <w:proofErr w:type="gramStart"/>
      <w:r w:rsidR="00777DCB" w:rsidRPr="00A52585">
        <w:rPr>
          <w:rFonts w:hint="cs"/>
          <w:rtl/>
        </w:rPr>
        <w:t>الله</w:t>
      </w:r>
      <w:r w:rsidR="00897A24" w:rsidRPr="00A52585">
        <w:rPr>
          <w:rFonts w:hint="cs"/>
          <w:rtl/>
        </w:rPr>
        <w:t>..</w:t>
      </w:r>
      <w:r w:rsidR="00F95886" w:rsidRPr="00A52585">
        <w:rPr>
          <w:rFonts w:hint="cs"/>
          <w:rtl/>
        </w:rPr>
        <w:t>؟</w:t>
      </w:r>
      <w:proofErr w:type="gramEnd"/>
      <w:r w:rsidR="00777DCB" w:rsidRPr="00A52585">
        <w:rPr>
          <w:rFonts w:hint="cs"/>
          <w:rtl/>
        </w:rPr>
        <w:t xml:space="preserve"> "</w:t>
      </w:r>
      <w:r w:rsidR="00897A24" w:rsidRPr="00A52585">
        <w:rPr>
          <w:rFonts w:hint="cs"/>
          <w:rtl/>
        </w:rPr>
        <w:t>.</w:t>
      </w:r>
      <w:r w:rsidR="00777DCB" w:rsidRPr="00A52585">
        <w:rPr>
          <w:rFonts w:hint="cs"/>
          <w:rtl/>
        </w:rPr>
        <w:t xml:space="preserve"> قالت</w:t>
      </w:r>
      <w:r w:rsidRPr="00A52585">
        <w:rPr>
          <w:rFonts w:hint="cs"/>
          <w:rtl/>
        </w:rPr>
        <w:t>:</w:t>
      </w:r>
      <w:r w:rsidR="00777DCB" w:rsidRPr="00A52585">
        <w:rPr>
          <w:rFonts w:hint="cs"/>
          <w:rtl/>
        </w:rPr>
        <w:t xml:space="preserve"> في السماء</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 من أنا " قالت</w:t>
      </w:r>
      <w:r w:rsidRPr="00A52585">
        <w:rPr>
          <w:rFonts w:hint="cs"/>
          <w:rtl/>
        </w:rPr>
        <w:t>:</w:t>
      </w:r>
      <w:r w:rsidR="00777DCB" w:rsidRPr="00A52585">
        <w:rPr>
          <w:rFonts w:hint="cs"/>
          <w:rtl/>
        </w:rPr>
        <w:t xml:space="preserve"> أنت رسول الله</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 اعتقها فإنها مؤمنة </w:t>
      </w:r>
      <w:proofErr w:type="gramStart"/>
      <w:r w:rsidR="00777DCB" w:rsidRPr="00A52585">
        <w:rPr>
          <w:rFonts w:hint="cs"/>
          <w:rtl/>
        </w:rPr>
        <w:t>"</w:t>
      </w:r>
      <w:r w:rsidR="00DB731D" w:rsidRPr="00A52585">
        <w:rPr>
          <w:rFonts w:hint="cs"/>
          <w:rtl/>
        </w:rPr>
        <w:t>،</w:t>
      </w:r>
      <w:r w:rsidRPr="00A52585">
        <w:rPr>
          <w:rFonts w:hint="cs"/>
          <w:sz w:val="24"/>
          <w:szCs w:val="24"/>
          <w:rtl/>
        </w:rPr>
        <w:t>[</w:t>
      </w:r>
      <w:proofErr w:type="gramEnd"/>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إفراده أي في صحيحه </w:t>
      </w:r>
      <w:r w:rsidRPr="00A52585">
        <w:rPr>
          <w:rFonts w:hint="cs"/>
          <w:sz w:val="24"/>
          <w:szCs w:val="24"/>
          <w:rtl/>
        </w:rPr>
        <w:t>(</w:t>
      </w:r>
      <w:r w:rsidR="00777DCB" w:rsidRPr="00A52585">
        <w:rPr>
          <w:rFonts w:hint="cs"/>
          <w:sz w:val="24"/>
          <w:szCs w:val="24"/>
          <w:rtl/>
        </w:rPr>
        <w:t>1 / 382 برقم 537</w:t>
      </w:r>
      <w:r w:rsidRPr="00A52585">
        <w:rPr>
          <w:rFonts w:hint="cs"/>
          <w:sz w:val="24"/>
          <w:szCs w:val="24"/>
          <w:rtl/>
        </w:rPr>
        <w:t>)</w:t>
      </w:r>
      <w:r w:rsidR="00777DCB" w:rsidRPr="00A52585">
        <w:rPr>
          <w:rFonts w:hint="cs"/>
          <w:sz w:val="24"/>
          <w:szCs w:val="24"/>
          <w:rtl/>
        </w:rPr>
        <w:t xml:space="preserve"> دون البخاري</w:t>
      </w:r>
      <w:r w:rsidR="00DB731D" w:rsidRPr="00A52585">
        <w:rPr>
          <w:rFonts w:hint="cs"/>
          <w:sz w:val="24"/>
          <w:szCs w:val="24"/>
          <w:rtl/>
        </w:rPr>
        <w:t>،</w:t>
      </w:r>
      <w:r w:rsidR="00777DCB" w:rsidRPr="00A52585">
        <w:rPr>
          <w:rFonts w:hint="cs"/>
          <w:sz w:val="24"/>
          <w:szCs w:val="24"/>
          <w:rtl/>
        </w:rPr>
        <w:t xml:space="preserve"> وقد خالف كثير من الحفاظ في مصنفاتهم هذا اللفظ الذي جاء في " صحيح مسلم " فرووه بلفظ " أتشهدين أن لا إله إلا الله</w:t>
      </w:r>
      <w:r w:rsidR="00F95886" w:rsidRPr="00A52585">
        <w:rPr>
          <w:rFonts w:hint="cs"/>
          <w:sz w:val="24"/>
          <w:szCs w:val="24"/>
          <w:rtl/>
        </w:rPr>
        <w:t>؟</w:t>
      </w:r>
      <w:r w:rsidR="00777DCB" w:rsidRPr="00A52585">
        <w:rPr>
          <w:rFonts w:hint="cs"/>
          <w:sz w:val="24"/>
          <w:szCs w:val="24"/>
          <w:rtl/>
        </w:rPr>
        <w:t xml:space="preserve"> فقالت</w:t>
      </w:r>
      <w:r w:rsidRPr="00A52585">
        <w:rPr>
          <w:rFonts w:hint="cs"/>
          <w:sz w:val="24"/>
          <w:szCs w:val="24"/>
          <w:rtl/>
        </w:rPr>
        <w:t>:</w:t>
      </w:r>
      <w:r w:rsidR="00777DCB" w:rsidRPr="00A52585">
        <w:rPr>
          <w:rFonts w:hint="cs"/>
          <w:sz w:val="24"/>
          <w:szCs w:val="24"/>
          <w:rtl/>
        </w:rPr>
        <w:t xml:space="preserve"> نعم</w:t>
      </w:r>
      <w:r w:rsidR="00897A24"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أتشهدين أني رسول الله</w:t>
      </w:r>
      <w:r w:rsidR="00F95886" w:rsidRPr="00A52585">
        <w:rPr>
          <w:rFonts w:hint="cs"/>
          <w:sz w:val="24"/>
          <w:szCs w:val="24"/>
          <w:rtl/>
        </w:rPr>
        <w:t>؟</w:t>
      </w:r>
      <w:r w:rsidR="00777DCB" w:rsidRPr="00A52585">
        <w:rPr>
          <w:rFonts w:hint="cs"/>
          <w:sz w:val="24"/>
          <w:szCs w:val="24"/>
          <w:rtl/>
        </w:rPr>
        <w:t xml:space="preserve"> قالت نعم</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أتؤمنين بالبعث بعد الموت</w:t>
      </w:r>
      <w:r w:rsidR="00F95886" w:rsidRPr="00A52585">
        <w:rPr>
          <w:rFonts w:hint="cs"/>
          <w:sz w:val="24"/>
          <w:szCs w:val="24"/>
          <w:rtl/>
        </w:rPr>
        <w:t>؟</w:t>
      </w:r>
      <w:r w:rsidR="00777DCB" w:rsidRPr="00A52585">
        <w:rPr>
          <w:rFonts w:hint="cs"/>
          <w:sz w:val="24"/>
          <w:szCs w:val="24"/>
          <w:rtl/>
        </w:rPr>
        <w:t xml:space="preserve"> قالت نعم</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فاعتقها "</w:t>
      </w:r>
      <w:r w:rsidR="00DB731D" w:rsidRPr="00A52585">
        <w:rPr>
          <w:rFonts w:hint="cs"/>
          <w:sz w:val="24"/>
          <w:szCs w:val="24"/>
          <w:rtl/>
        </w:rPr>
        <w:t>،</w:t>
      </w:r>
      <w:r w:rsidR="00777DCB" w:rsidRPr="00A52585">
        <w:rPr>
          <w:rFonts w:hint="cs"/>
          <w:sz w:val="24"/>
          <w:szCs w:val="24"/>
          <w:rtl/>
        </w:rPr>
        <w:t xml:space="preserve"> رواه احمد في مسنده </w:t>
      </w:r>
      <w:r w:rsidRPr="00A52585">
        <w:rPr>
          <w:rFonts w:hint="cs"/>
          <w:sz w:val="24"/>
          <w:szCs w:val="24"/>
          <w:rtl/>
        </w:rPr>
        <w:t>(</w:t>
      </w:r>
      <w:r w:rsidR="00777DCB" w:rsidRPr="00A52585">
        <w:rPr>
          <w:rFonts w:hint="cs"/>
          <w:sz w:val="24"/>
          <w:szCs w:val="24"/>
          <w:rtl/>
        </w:rPr>
        <w:t>3 / 452 / 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وقال الهيثمي في المجمع </w:t>
      </w:r>
      <w:r w:rsidRPr="00A52585">
        <w:rPr>
          <w:rFonts w:hint="cs"/>
          <w:sz w:val="24"/>
          <w:szCs w:val="24"/>
          <w:rtl/>
        </w:rPr>
        <w:t>(</w:t>
      </w:r>
      <w:r w:rsidR="00777DCB" w:rsidRPr="00A52585">
        <w:rPr>
          <w:rFonts w:hint="cs"/>
          <w:sz w:val="24"/>
          <w:szCs w:val="24"/>
          <w:rtl/>
        </w:rPr>
        <w:t>4 / 244</w:t>
      </w:r>
      <w:r w:rsidRPr="00A52585">
        <w:rPr>
          <w:rFonts w:hint="cs"/>
          <w:sz w:val="24"/>
          <w:szCs w:val="24"/>
          <w:rtl/>
        </w:rPr>
        <w:t>):</w:t>
      </w:r>
      <w:r w:rsidR="00777DCB" w:rsidRPr="00A52585">
        <w:rPr>
          <w:rFonts w:hint="cs"/>
          <w:sz w:val="24"/>
          <w:szCs w:val="24"/>
          <w:rtl/>
        </w:rPr>
        <w:t xml:space="preserve"> رجاله رجال الصحيح</w:t>
      </w:r>
      <w:r w:rsidR="00DB731D" w:rsidRPr="00A52585">
        <w:rPr>
          <w:rFonts w:hint="cs"/>
          <w:sz w:val="24"/>
          <w:szCs w:val="24"/>
          <w:rtl/>
        </w:rPr>
        <w:t>،</w:t>
      </w:r>
      <w:r w:rsidR="00777DCB" w:rsidRPr="00A52585">
        <w:rPr>
          <w:rFonts w:hint="cs"/>
          <w:sz w:val="24"/>
          <w:szCs w:val="24"/>
          <w:rtl/>
        </w:rPr>
        <w:t xml:space="preserve"> وعبد الرزاق في " المصنف " </w:t>
      </w:r>
      <w:r w:rsidRPr="00A52585">
        <w:rPr>
          <w:rFonts w:hint="cs"/>
          <w:sz w:val="24"/>
          <w:szCs w:val="24"/>
          <w:rtl/>
        </w:rPr>
        <w:t>(</w:t>
      </w:r>
      <w:r w:rsidR="00777DCB" w:rsidRPr="00A52585">
        <w:rPr>
          <w:rFonts w:hint="cs"/>
          <w:sz w:val="24"/>
          <w:szCs w:val="24"/>
          <w:rtl/>
        </w:rPr>
        <w:t>9 / 175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والبزار </w:t>
      </w:r>
      <w:r w:rsidRPr="00A52585">
        <w:rPr>
          <w:rFonts w:hint="cs"/>
          <w:sz w:val="24"/>
          <w:szCs w:val="24"/>
          <w:rtl/>
        </w:rPr>
        <w:t>(</w:t>
      </w:r>
      <w:r w:rsidR="00777DCB" w:rsidRPr="00A52585">
        <w:rPr>
          <w:rFonts w:hint="cs"/>
          <w:sz w:val="24"/>
          <w:szCs w:val="24"/>
          <w:rtl/>
        </w:rPr>
        <w:t>1 / 14 كشف</w:t>
      </w:r>
      <w:r w:rsidRPr="00A52585">
        <w:rPr>
          <w:rFonts w:hint="cs"/>
          <w:sz w:val="24"/>
          <w:szCs w:val="24"/>
          <w:rtl/>
        </w:rPr>
        <w:t>)</w:t>
      </w:r>
      <w:r w:rsidR="00777DCB" w:rsidRPr="00A52585">
        <w:rPr>
          <w:rFonts w:hint="cs"/>
          <w:sz w:val="24"/>
          <w:szCs w:val="24"/>
          <w:rtl/>
        </w:rPr>
        <w:t xml:space="preserve"> والدارمي </w:t>
      </w:r>
      <w:r w:rsidRPr="00A52585">
        <w:rPr>
          <w:rFonts w:hint="cs"/>
          <w:sz w:val="24"/>
          <w:szCs w:val="24"/>
          <w:rtl/>
        </w:rPr>
        <w:t>(</w:t>
      </w:r>
      <w:r w:rsidR="00777DCB" w:rsidRPr="00A52585">
        <w:rPr>
          <w:rFonts w:hint="cs"/>
          <w:sz w:val="24"/>
          <w:szCs w:val="24"/>
          <w:rtl/>
        </w:rPr>
        <w:t>2 / 187</w:t>
      </w:r>
      <w:r w:rsidRPr="00A52585">
        <w:rPr>
          <w:rFonts w:hint="cs"/>
          <w:sz w:val="24"/>
          <w:szCs w:val="24"/>
          <w:rtl/>
        </w:rPr>
        <w:t>)</w:t>
      </w:r>
      <w:r w:rsidR="00777DCB" w:rsidRPr="00A52585">
        <w:rPr>
          <w:rFonts w:hint="cs"/>
          <w:sz w:val="24"/>
          <w:szCs w:val="24"/>
          <w:rtl/>
        </w:rPr>
        <w:t xml:space="preserve"> والبيهقي </w:t>
      </w:r>
      <w:r w:rsidRPr="00A52585">
        <w:rPr>
          <w:rFonts w:hint="cs"/>
          <w:sz w:val="24"/>
          <w:szCs w:val="24"/>
          <w:rtl/>
        </w:rPr>
        <w:t>(</w:t>
      </w:r>
      <w:r w:rsidR="00777DCB" w:rsidRPr="00A52585">
        <w:rPr>
          <w:rFonts w:hint="cs"/>
          <w:sz w:val="24"/>
          <w:szCs w:val="24"/>
          <w:rtl/>
        </w:rPr>
        <w:t>10 / 57</w:t>
      </w:r>
      <w:r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12 / 27</w:t>
      </w:r>
      <w:r w:rsidRPr="00A52585">
        <w:rPr>
          <w:rFonts w:hint="cs"/>
          <w:sz w:val="24"/>
          <w:szCs w:val="24"/>
          <w:rtl/>
        </w:rPr>
        <w:t>)</w:t>
      </w:r>
      <w:r w:rsidR="00777DCB" w:rsidRPr="00A52585">
        <w:rPr>
          <w:rFonts w:hint="cs"/>
          <w:sz w:val="24"/>
          <w:szCs w:val="24"/>
          <w:rtl/>
        </w:rPr>
        <w:t xml:space="preserve"> وسنده صحيح وليس فيه سعيد بن المرزبان كما قال الهيثمي</w:t>
      </w:r>
      <w:r w:rsidR="00DB731D" w:rsidRPr="00A52585">
        <w:rPr>
          <w:rFonts w:hint="cs"/>
          <w:sz w:val="24"/>
          <w:szCs w:val="24"/>
          <w:rtl/>
        </w:rPr>
        <w:t>،</w:t>
      </w:r>
      <w:r w:rsidR="00777DCB" w:rsidRPr="00A52585">
        <w:rPr>
          <w:rFonts w:hint="cs"/>
          <w:sz w:val="24"/>
          <w:szCs w:val="24"/>
          <w:rtl/>
        </w:rPr>
        <w:t xml:space="preserve"> وابن الجارود في المنتقى </w:t>
      </w:r>
      <w:r w:rsidRPr="00A52585">
        <w:rPr>
          <w:rFonts w:hint="cs"/>
          <w:sz w:val="24"/>
          <w:szCs w:val="24"/>
          <w:rtl/>
        </w:rPr>
        <w:t>(</w:t>
      </w:r>
      <w:r w:rsidR="00777DCB" w:rsidRPr="00A52585">
        <w:rPr>
          <w:rFonts w:hint="cs"/>
          <w:sz w:val="24"/>
          <w:szCs w:val="24"/>
          <w:rtl/>
        </w:rPr>
        <w:t>931</w:t>
      </w:r>
      <w:r w:rsidRPr="00A52585">
        <w:rPr>
          <w:rFonts w:hint="cs"/>
          <w:sz w:val="24"/>
          <w:szCs w:val="24"/>
          <w:rtl/>
        </w:rPr>
        <w:t>)</w:t>
      </w:r>
      <w:r w:rsidR="00777DCB" w:rsidRPr="00A52585">
        <w:rPr>
          <w:rFonts w:hint="cs"/>
          <w:sz w:val="24"/>
          <w:szCs w:val="24"/>
          <w:rtl/>
        </w:rPr>
        <w:t xml:space="preserve"> وابن أبي شيبة </w:t>
      </w:r>
      <w:r w:rsidRPr="00A52585">
        <w:rPr>
          <w:rFonts w:hint="cs"/>
          <w:sz w:val="24"/>
          <w:szCs w:val="24"/>
          <w:rtl/>
        </w:rPr>
        <w:t>(</w:t>
      </w:r>
      <w:r w:rsidR="00777DCB" w:rsidRPr="00A52585">
        <w:rPr>
          <w:rFonts w:hint="cs"/>
          <w:sz w:val="24"/>
          <w:szCs w:val="24"/>
          <w:rtl/>
        </w:rPr>
        <w:t>11 / 20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ومن ذلك يتضح ويتبين أن رواية مسلم بالمعنى أو على الاقل فيها احتمال ومتى طرأ الاحتمال سقط الاستدلال فكيف يبنى على شيء محتمل أصل في العقيدة</w:t>
      </w:r>
      <w:r w:rsidR="00F95886" w:rsidRPr="00A52585">
        <w:rPr>
          <w:rFonts w:hint="cs"/>
          <w:sz w:val="24"/>
          <w:szCs w:val="24"/>
          <w:rtl/>
        </w:rPr>
        <w:t>؟!</w:t>
      </w:r>
      <w:r w:rsidR="00777DCB" w:rsidRPr="00A52585">
        <w:rPr>
          <w:rFonts w:hint="cs"/>
          <w:sz w:val="24"/>
          <w:szCs w:val="24"/>
          <w:rtl/>
        </w:rPr>
        <w:t xml:space="preserve"> ومن العجيب الغريب أننا نرى المجسمة يرددون هذا اللفظ " أين الله " على ألسنتهم دائما ولا يدركون أن هذا تصرف رواة وحكاية لكلام النبي صلى الله عليه وسلم بالمعنى المخطئ</w:t>
      </w:r>
      <w:r w:rsidR="00DB731D" w:rsidRPr="00A52585">
        <w:rPr>
          <w:rFonts w:hint="cs"/>
          <w:sz w:val="24"/>
          <w:szCs w:val="24"/>
          <w:rtl/>
        </w:rPr>
        <w:t>،</w:t>
      </w:r>
      <w:r w:rsidR="00777DCB" w:rsidRPr="00A52585">
        <w:rPr>
          <w:rFonts w:hint="cs"/>
          <w:sz w:val="24"/>
          <w:szCs w:val="24"/>
          <w:rtl/>
        </w:rPr>
        <w:t xml:space="preserve"> وخصوصا بعد ثبوت هذا الحديث عند غير مسلم بلفظ</w:t>
      </w:r>
      <w:r w:rsidRPr="00A52585">
        <w:rPr>
          <w:rFonts w:hint="cs"/>
          <w:sz w:val="24"/>
          <w:szCs w:val="24"/>
          <w:rtl/>
        </w:rPr>
        <w:t>:</w:t>
      </w:r>
      <w:r w:rsidR="00777DCB" w:rsidRPr="00A52585">
        <w:rPr>
          <w:rFonts w:hint="cs"/>
          <w:sz w:val="24"/>
          <w:szCs w:val="24"/>
          <w:rtl/>
        </w:rPr>
        <w:t xml:space="preserve"> " أتشهدين أن لا إله لا الله</w:t>
      </w:r>
      <w:r w:rsidR="00897A24" w:rsidRPr="00A52585">
        <w:rPr>
          <w:rFonts w:hint="cs"/>
          <w:sz w:val="24"/>
          <w:szCs w:val="24"/>
          <w:rtl/>
        </w:rPr>
        <w:t>..</w:t>
      </w:r>
      <w:r w:rsidR="00777DCB" w:rsidRPr="00A52585">
        <w:rPr>
          <w:rFonts w:hint="cs"/>
          <w:sz w:val="24"/>
          <w:szCs w:val="24"/>
          <w:rtl/>
        </w:rPr>
        <w:t xml:space="preserve"> " المخالف " لاين الله " مخالفة تامة</w:t>
      </w:r>
      <w:r w:rsidR="00DB731D" w:rsidRPr="00A52585">
        <w:rPr>
          <w:rFonts w:hint="cs"/>
          <w:sz w:val="24"/>
          <w:szCs w:val="24"/>
          <w:rtl/>
        </w:rPr>
        <w:t>،</w:t>
      </w:r>
      <w:r w:rsidR="00777DCB" w:rsidRPr="00A52585">
        <w:rPr>
          <w:rFonts w:hint="cs"/>
          <w:sz w:val="24"/>
          <w:szCs w:val="24"/>
          <w:rtl/>
        </w:rPr>
        <w:t xml:space="preserve"> أو على الاقل مخالفة لا تفيد معنى " أين الله "</w:t>
      </w:r>
      <w:r w:rsidR="00DB731D" w:rsidRPr="00A52585">
        <w:rPr>
          <w:rFonts w:hint="cs"/>
          <w:sz w:val="24"/>
          <w:szCs w:val="24"/>
          <w:rtl/>
        </w:rPr>
        <w:t>،</w:t>
      </w:r>
      <w:r w:rsidR="00777DCB" w:rsidRPr="00A52585">
        <w:rPr>
          <w:rFonts w:hint="cs"/>
          <w:sz w:val="24"/>
          <w:szCs w:val="24"/>
          <w:rtl/>
        </w:rPr>
        <w:t xml:space="preserve"> وإنني جازم تماما وعلى ثقة كبيرة من أن النبي عليه أفضل الصلاة والسلام لم يقل</w:t>
      </w:r>
      <w:r w:rsidRPr="00A52585">
        <w:rPr>
          <w:rFonts w:hint="cs"/>
          <w:sz w:val="24"/>
          <w:szCs w:val="24"/>
          <w:rtl/>
        </w:rPr>
        <w:t>:</w:t>
      </w:r>
      <w:r w:rsidR="00777DCB" w:rsidRPr="00A52585">
        <w:rPr>
          <w:rFonts w:hint="cs"/>
          <w:sz w:val="24"/>
          <w:szCs w:val="24"/>
          <w:rtl/>
        </w:rPr>
        <w:t xml:space="preserve"> " أين الله " لما قدمناه </w:t>
      </w:r>
      <w:proofErr w:type="spellStart"/>
      <w:r w:rsidR="00777DCB" w:rsidRPr="00A52585">
        <w:rPr>
          <w:rFonts w:hint="cs"/>
          <w:sz w:val="24"/>
          <w:szCs w:val="24"/>
          <w:rtl/>
        </w:rPr>
        <w:t>ولادلة</w:t>
      </w:r>
      <w:proofErr w:type="spellEnd"/>
      <w:r w:rsidR="00777DCB" w:rsidRPr="00A52585">
        <w:rPr>
          <w:rFonts w:hint="cs"/>
          <w:sz w:val="24"/>
          <w:szCs w:val="24"/>
          <w:rtl/>
        </w:rPr>
        <w:t xml:space="preserve"> أخرى ذكر بعضها السيد المحدث أبو الفضل الغماري في " فتح المعين " ص </w:t>
      </w:r>
      <w:r w:rsidRPr="00A52585">
        <w:rPr>
          <w:rFonts w:hint="cs"/>
          <w:sz w:val="24"/>
          <w:szCs w:val="24"/>
          <w:rtl/>
        </w:rPr>
        <w:t>(</w:t>
      </w:r>
      <w:r w:rsidR="00777DCB" w:rsidRPr="00A52585">
        <w:rPr>
          <w:rFonts w:hint="cs"/>
          <w:sz w:val="24"/>
          <w:szCs w:val="24"/>
          <w:rtl/>
        </w:rPr>
        <w:t>27</w:t>
      </w:r>
      <w:r w:rsidRPr="00A52585">
        <w:rPr>
          <w:rFonts w:hint="cs"/>
          <w:sz w:val="24"/>
          <w:szCs w:val="24"/>
          <w:rtl/>
        </w:rPr>
        <w:t>)</w:t>
      </w:r>
      <w:r w:rsidR="00777DCB" w:rsidRPr="00A52585">
        <w:rPr>
          <w:rFonts w:hint="cs"/>
          <w:sz w:val="24"/>
          <w:szCs w:val="24"/>
          <w:rtl/>
        </w:rPr>
        <w:t xml:space="preserve"> منها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w:t>
      </w:r>
      <w:r w:rsidRPr="00A52585">
        <w:rPr>
          <w:rFonts w:hint="cs"/>
          <w:sz w:val="24"/>
          <w:szCs w:val="24"/>
          <w:rtl/>
        </w:rPr>
        <w:t>)</w:t>
      </w:r>
      <w:r w:rsidR="00777DCB" w:rsidRPr="00A52585">
        <w:rPr>
          <w:rFonts w:hint="cs"/>
          <w:sz w:val="24"/>
          <w:szCs w:val="24"/>
          <w:rtl/>
        </w:rPr>
        <w:t xml:space="preserve"> مخالفة هذا الحديث لما تواتر عن النبي صلى الله عليه وسلم</w:t>
      </w:r>
      <w:r w:rsidRPr="00A52585">
        <w:rPr>
          <w:rFonts w:hint="cs"/>
          <w:sz w:val="24"/>
          <w:szCs w:val="24"/>
          <w:rtl/>
        </w:rPr>
        <w:t>:</w:t>
      </w:r>
      <w:r w:rsidR="00777DCB" w:rsidRPr="00A52585">
        <w:rPr>
          <w:rFonts w:hint="cs"/>
          <w:sz w:val="24"/>
          <w:szCs w:val="24"/>
          <w:rtl/>
        </w:rPr>
        <w:t xml:space="preserve"> أنه كان إذا أتاه شخص يريد الاسلام</w:t>
      </w:r>
      <w:r w:rsidR="00DB731D" w:rsidRPr="00A52585">
        <w:rPr>
          <w:rFonts w:hint="cs"/>
          <w:sz w:val="24"/>
          <w:szCs w:val="24"/>
          <w:rtl/>
        </w:rPr>
        <w:t>،</w:t>
      </w:r>
      <w:r w:rsidR="00777DCB" w:rsidRPr="00A52585">
        <w:rPr>
          <w:rFonts w:hint="cs"/>
          <w:sz w:val="24"/>
          <w:szCs w:val="24"/>
          <w:rtl/>
        </w:rPr>
        <w:t xml:space="preserve"> سأله عن الشهادتين</w:t>
      </w:r>
      <w:r w:rsidR="00DB731D" w:rsidRPr="00A52585">
        <w:rPr>
          <w:rFonts w:hint="cs"/>
          <w:sz w:val="24"/>
          <w:szCs w:val="24"/>
          <w:rtl/>
        </w:rPr>
        <w:t>،</w:t>
      </w:r>
      <w:r w:rsidR="00777DCB" w:rsidRPr="00A52585">
        <w:rPr>
          <w:rFonts w:hint="cs"/>
          <w:sz w:val="24"/>
          <w:szCs w:val="24"/>
          <w:rtl/>
        </w:rPr>
        <w:t xml:space="preserve"> فإذا قبلهما حكم بإسلامه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2</w:t>
      </w:r>
      <w:r w:rsidRPr="00A52585">
        <w:rPr>
          <w:rFonts w:hint="cs"/>
          <w:sz w:val="24"/>
          <w:szCs w:val="24"/>
          <w:rtl/>
        </w:rPr>
        <w:t>)</w:t>
      </w:r>
      <w:r w:rsidR="00777DCB" w:rsidRPr="00A52585">
        <w:rPr>
          <w:rFonts w:hint="cs"/>
          <w:sz w:val="24"/>
          <w:szCs w:val="24"/>
          <w:rtl/>
        </w:rPr>
        <w:t xml:space="preserve"> أن النبي صلى الله عليه وسلم بين أركان الايمان في حديث سؤال جبريل</w:t>
      </w:r>
      <w:r w:rsidR="00DB731D" w:rsidRPr="00A52585">
        <w:rPr>
          <w:rFonts w:hint="cs"/>
          <w:sz w:val="24"/>
          <w:szCs w:val="24"/>
          <w:rtl/>
        </w:rPr>
        <w:t>،</w:t>
      </w:r>
      <w:r w:rsidR="00777DCB" w:rsidRPr="00A52585">
        <w:rPr>
          <w:rFonts w:hint="cs"/>
          <w:sz w:val="24"/>
          <w:szCs w:val="24"/>
          <w:rtl/>
        </w:rPr>
        <w:t xml:space="preserve"> ولم يذكر فيه عقيدة أن الله في السماء التي تعتقدها المجسمة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3</w:t>
      </w:r>
      <w:r w:rsidRPr="00A52585">
        <w:rPr>
          <w:rFonts w:hint="cs"/>
          <w:sz w:val="24"/>
          <w:szCs w:val="24"/>
          <w:rtl/>
        </w:rPr>
        <w:t>)</w:t>
      </w:r>
      <w:r w:rsidR="00777DCB" w:rsidRPr="00A52585">
        <w:rPr>
          <w:rFonts w:hint="cs"/>
          <w:sz w:val="24"/>
          <w:szCs w:val="24"/>
          <w:rtl/>
        </w:rPr>
        <w:t xml:space="preserve"> أن عقيدة </w:t>
      </w:r>
      <w:r w:rsidRPr="00A52585">
        <w:rPr>
          <w:rFonts w:hint="cs"/>
          <w:sz w:val="24"/>
          <w:szCs w:val="24"/>
          <w:rtl/>
        </w:rPr>
        <w:t>(</w:t>
      </w:r>
      <w:r w:rsidR="00777DCB" w:rsidRPr="00A52585">
        <w:rPr>
          <w:rFonts w:hint="cs"/>
          <w:sz w:val="24"/>
          <w:szCs w:val="24"/>
          <w:rtl/>
        </w:rPr>
        <w:t>" أين الله " في السماء</w:t>
      </w:r>
      <w:r w:rsidRPr="00A52585">
        <w:rPr>
          <w:rFonts w:hint="cs"/>
          <w:sz w:val="24"/>
          <w:szCs w:val="24"/>
          <w:rtl/>
        </w:rPr>
        <w:t>)</w:t>
      </w:r>
      <w:r w:rsidR="00777DCB" w:rsidRPr="00A52585">
        <w:rPr>
          <w:rFonts w:hint="cs"/>
          <w:sz w:val="24"/>
          <w:szCs w:val="24"/>
          <w:rtl/>
        </w:rPr>
        <w:t xml:space="preserve"> لا تثبت توحيدا ولا تنفي شركا</w:t>
      </w:r>
      <w:r w:rsidR="00DB731D" w:rsidRPr="00A52585">
        <w:rPr>
          <w:rFonts w:hint="cs"/>
          <w:sz w:val="24"/>
          <w:szCs w:val="24"/>
          <w:rtl/>
        </w:rPr>
        <w:t>،</w:t>
      </w:r>
      <w:r w:rsidR="00777DCB" w:rsidRPr="00A52585">
        <w:rPr>
          <w:rFonts w:hint="cs"/>
          <w:sz w:val="24"/>
          <w:szCs w:val="24"/>
          <w:rtl/>
        </w:rPr>
        <w:t xml:space="preserve"> فكيف يصف النبي صلى الله عليه وسلم صاحبها بأنه مسلم وقد كان المشركون يعتقدون أن الله في السماء</w:t>
      </w:r>
      <w:r w:rsidR="00DB731D" w:rsidRPr="00A52585">
        <w:rPr>
          <w:rFonts w:hint="cs"/>
          <w:sz w:val="24"/>
          <w:szCs w:val="24"/>
          <w:rtl/>
        </w:rPr>
        <w:t>،</w:t>
      </w:r>
      <w:r w:rsidR="00777DCB" w:rsidRPr="00A52585">
        <w:rPr>
          <w:rFonts w:hint="cs"/>
          <w:sz w:val="24"/>
          <w:szCs w:val="24"/>
          <w:rtl/>
        </w:rPr>
        <w:t xml:space="preserve"> ويشركون معه آلهة في الارض</w:t>
      </w:r>
      <w:r w:rsidR="00F95886" w:rsidRPr="00A52585">
        <w:rPr>
          <w:rFonts w:hint="cs"/>
          <w:sz w:val="24"/>
          <w:szCs w:val="24"/>
          <w:rtl/>
        </w:rPr>
        <w:t>؟!</w:t>
      </w:r>
      <w:r w:rsidR="00777DCB" w:rsidRPr="00A52585">
        <w:rPr>
          <w:rFonts w:hint="cs"/>
          <w:sz w:val="24"/>
          <w:szCs w:val="24"/>
          <w:rtl/>
        </w:rPr>
        <w:t xml:space="preserve"> كما هو مشهور عنهم</w:t>
      </w:r>
      <w:r w:rsidR="00DB731D" w:rsidRPr="00A52585">
        <w:rPr>
          <w:rFonts w:hint="cs"/>
          <w:sz w:val="24"/>
          <w:szCs w:val="24"/>
          <w:rtl/>
        </w:rPr>
        <w:t>،</w:t>
      </w:r>
      <w:r w:rsidR="00777DCB" w:rsidRPr="00A52585">
        <w:rPr>
          <w:rFonts w:hint="cs"/>
          <w:sz w:val="24"/>
          <w:szCs w:val="24"/>
          <w:rtl/>
        </w:rPr>
        <w:t xml:space="preserve"> وقد حكى الله عز شأنه </w:t>
      </w:r>
      <w:r w:rsidR="00777DCB" w:rsidRPr="00A52585">
        <w:rPr>
          <w:rFonts w:hint="cs"/>
          <w:sz w:val="24"/>
          <w:szCs w:val="24"/>
          <w:rtl/>
        </w:rPr>
        <w:lastRenderedPageBreak/>
        <w:t>عن إمام المجسمة فرعون أنه ظن أن رب سيدنا موسى عليه الصلاة والسلام في السماء فقال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يا هامان ابن لي صرحا لعلي أبلغ الاسباب</w:t>
      </w:r>
      <w:r w:rsidR="00DB731D" w:rsidRPr="00A52585">
        <w:rPr>
          <w:rFonts w:hint="cs"/>
          <w:sz w:val="24"/>
          <w:szCs w:val="24"/>
          <w:rtl/>
        </w:rPr>
        <w:t>،</w:t>
      </w:r>
      <w:r w:rsidR="00777DCB" w:rsidRPr="00A52585">
        <w:rPr>
          <w:rFonts w:hint="cs"/>
          <w:sz w:val="24"/>
          <w:szCs w:val="24"/>
          <w:rtl/>
        </w:rPr>
        <w:t xml:space="preserve"> أسباب السموات فأطلع إلى إله موسى وإني </w:t>
      </w:r>
      <w:proofErr w:type="spellStart"/>
      <w:r w:rsidR="00777DCB" w:rsidRPr="00A52585">
        <w:rPr>
          <w:rFonts w:hint="cs"/>
          <w:sz w:val="24"/>
          <w:szCs w:val="24"/>
          <w:rtl/>
        </w:rPr>
        <w:t>لاظنه</w:t>
      </w:r>
      <w:proofErr w:type="spellEnd"/>
      <w:r w:rsidR="00777DCB" w:rsidRPr="00A52585">
        <w:rPr>
          <w:rFonts w:hint="cs"/>
          <w:sz w:val="24"/>
          <w:szCs w:val="24"/>
          <w:rtl/>
        </w:rPr>
        <w:t xml:space="preserve"> كاذبا وكذلك زين لفرعون سوء عمله وصد عن السبيل</w:t>
      </w:r>
      <w:r w:rsidRPr="00A52585">
        <w:rPr>
          <w:rFonts w:hint="cs"/>
          <w:sz w:val="24"/>
          <w:szCs w:val="24"/>
          <w:rtl/>
        </w:rPr>
        <w:t>)</w:t>
      </w:r>
      <w:r w:rsidR="00777DCB" w:rsidRPr="00A52585">
        <w:rPr>
          <w:rFonts w:hint="cs"/>
          <w:sz w:val="24"/>
          <w:szCs w:val="24"/>
          <w:rtl/>
        </w:rPr>
        <w:t xml:space="preserve"> غافر</w:t>
      </w:r>
      <w:r w:rsidRPr="00A52585">
        <w:rPr>
          <w:rFonts w:hint="cs"/>
          <w:sz w:val="24"/>
          <w:szCs w:val="24"/>
          <w:rtl/>
        </w:rPr>
        <w:t>:</w:t>
      </w:r>
      <w:r w:rsidR="00777DCB" w:rsidRPr="00A52585">
        <w:rPr>
          <w:rFonts w:hint="cs"/>
          <w:sz w:val="24"/>
          <w:szCs w:val="24"/>
          <w:rtl/>
        </w:rPr>
        <w:t xml:space="preserve"> 36 - 37</w:t>
      </w:r>
      <w:r w:rsidR="00DB731D" w:rsidRPr="00A52585">
        <w:rPr>
          <w:rFonts w:hint="cs"/>
          <w:sz w:val="24"/>
          <w:szCs w:val="24"/>
          <w:rtl/>
        </w:rPr>
        <w:t>،</w:t>
      </w:r>
      <w:r w:rsidR="00777DCB" w:rsidRPr="00A52585">
        <w:rPr>
          <w:rFonts w:hint="cs"/>
          <w:sz w:val="24"/>
          <w:szCs w:val="24"/>
          <w:rtl/>
        </w:rPr>
        <w:t xml:space="preserve"> فبين الله تعالى في كتابه أن من ظن حلول الله في السماء فقد صد عن سبيل المعرفة</w:t>
      </w:r>
      <w:r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قد ثبت عند العلماء أن الله تعالى لا </w:t>
      </w:r>
      <w:proofErr w:type="spellStart"/>
      <w:r w:rsidR="00777DCB" w:rsidRPr="00A52585">
        <w:rPr>
          <w:rFonts w:hint="cs"/>
          <w:rtl/>
        </w:rPr>
        <w:t>يحويه</w:t>
      </w:r>
      <w:proofErr w:type="spellEnd"/>
      <w:r w:rsidR="00777DCB" w:rsidRPr="00A52585">
        <w:rPr>
          <w:rFonts w:hint="cs"/>
          <w:rtl/>
        </w:rPr>
        <w:t xml:space="preserve"> السماء والارض ولا تضمه الاقطار</w:t>
      </w:r>
      <w:r w:rsidR="00DB731D" w:rsidRPr="00A52585">
        <w:rPr>
          <w:rFonts w:hint="cs"/>
          <w:rtl/>
        </w:rPr>
        <w:t>،</w:t>
      </w:r>
      <w:r w:rsidR="00777DCB" w:rsidRPr="00A52585">
        <w:rPr>
          <w:rFonts w:hint="cs"/>
          <w:rtl/>
        </w:rPr>
        <w:t xml:space="preserve"> وإنما عرف بإشارتها تعظيم الخالق عندها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على فرض ثبوت لفظة " أين الله " ولم تثبت</w:t>
      </w:r>
      <w:r w:rsidR="00DB731D" w:rsidRPr="00A52585">
        <w:rPr>
          <w:rFonts w:hint="cs"/>
          <w:sz w:val="24"/>
          <w:szCs w:val="24"/>
          <w:rtl/>
        </w:rPr>
        <w:t>،</w:t>
      </w:r>
      <w:r w:rsidR="00777DCB" w:rsidRPr="00A52585">
        <w:rPr>
          <w:rFonts w:hint="cs"/>
          <w:sz w:val="24"/>
          <w:szCs w:val="24"/>
          <w:rtl/>
        </w:rPr>
        <w:t xml:space="preserve"> مع كونها في مسلم</w:t>
      </w:r>
      <w:r w:rsidRPr="00A52585">
        <w:rPr>
          <w:rFonts w:hint="cs"/>
          <w:sz w:val="24"/>
          <w:szCs w:val="24"/>
          <w:rtl/>
        </w:rPr>
        <w:t>]</w:t>
      </w:r>
      <w:r w:rsidR="00DB731D" w:rsidRPr="00A52585">
        <w:rPr>
          <w:rFonts w:hint="cs"/>
          <w:rtl/>
        </w:rPr>
        <w:t>،</w:t>
      </w:r>
      <w:r w:rsidR="00777DCB" w:rsidRPr="00A52585">
        <w:rPr>
          <w:rFonts w:hint="cs"/>
          <w:rtl/>
        </w:rPr>
        <w:t xml:space="preserve"> </w:t>
      </w:r>
    </w:p>
    <w:p w14:paraId="54BA3C93" w14:textId="050C5641" w:rsidR="00777DCB" w:rsidRPr="00A52585" w:rsidRDefault="0002035C" w:rsidP="0002035C">
      <w:pPr>
        <w:rPr>
          <w:b/>
          <w:rtl/>
        </w:rPr>
      </w:pPr>
      <w:r w:rsidRPr="00A52585">
        <w:rPr>
          <w:rFonts w:hint="cs"/>
          <w:bCs/>
          <w:u w:val="single"/>
          <w:rtl/>
        </w:rPr>
        <w:t>[</w:t>
      </w:r>
      <w:r w:rsidR="00777DCB" w:rsidRPr="00A52585">
        <w:rPr>
          <w:rFonts w:hint="cs"/>
          <w:bCs/>
          <w:u w:val="single"/>
          <w:rtl/>
        </w:rPr>
        <w:t>18</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 عشر</w:t>
      </w:r>
      <w:r w:rsidRPr="00A52585">
        <w:rPr>
          <w:rFonts w:hint="cs"/>
          <w:bCs/>
          <w:rtl/>
        </w:rPr>
        <w:t>]:</w:t>
      </w:r>
      <w:r w:rsidR="00777DCB" w:rsidRPr="00A52585">
        <w:rPr>
          <w:rFonts w:hint="cs"/>
          <w:rtl/>
        </w:rPr>
        <w:t xml:space="preserve"> رواه أبو رزين العقيلي قال</w:t>
      </w:r>
      <w:r w:rsidRPr="00A52585">
        <w:rPr>
          <w:rFonts w:hint="cs"/>
          <w:rtl/>
        </w:rPr>
        <w:t>:</w:t>
      </w:r>
      <w:r w:rsidR="00777DCB" w:rsidRPr="00A52585">
        <w:rPr>
          <w:rFonts w:hint="cs"/>
          <w:rtl/>
        </w:rPr>
        <w:t xml:space="preserve"> قلت يا رسول الله</w:t>
      </w:r>
      <w:r w:rsidRPr="00A52585">
        <w:rPr>
          <w:rFonts w:hint="cs"/>
          <w:rtl/>
        </w:rPr>
        <w:t>:</w:t>
      </w:r>
      <w:r w:rsidR="00777DCB" w:rsidRPr="00A52585">
        <w:rPr>
          <w:rFonts w:hint="cs"/>
          <w:rtl/>
        </w:rPr>
        <w:t xml:space="preserve"> أين كان ربنا قبل أن يخلق الخلق</w:t>
      </w:r>
      <w:r w:rsidR="00897A24" w:rsidRPr="00A52585">
        <w:rPr>
          <w:rFonts w:hint="cs"/>
          <w:rtl/>
        </w:rPr>
        <w:t>..</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 كان في عماء</w:t>
      </w:r>
      <w:r w:rsidR="00DB731D" w:rsidRPr="00A52585">
        <w:rPr>
          <w:rFonts w:hint="cs"/>
          <w:rtl/>
        </w:rPr>
        <w:t>،</w:t>
      </w:r>
      <w:r w:rsidR="00777DCB" w:rsidRPr="00A52585">
        <w:rPr>
          <w:rFonts w:hint="cs"/>
          <w:rtl/>
        </w:rPr>
        <w:t xml:space="preserve"> ما تحته هواء</w:t>
      </w:r>
      <w:r w:rsidR="00DB731D" w:rsidRPr="00A52585">
        <w:rPr>
          <w:rFonts w:hint="cs"/>
          <w:rtl/>
        </w:rPr>
        <w:t>،</w:t>
      </w:r>
      <w:r w:rsidR="00777DCB" w:rsidRPr="00A52585">
        <w:rPr>
          <w:rFonts w:hint="cs"/>
          <w:rtl/>
        </w:rPr>
        <w:t xml:space="preserve"> وما فوقه هواء</w:t>
      </w:r>
      <w:r w:rsidR="00DB731D" w:rsidRPr="00A52585">
        <w:rPr>
          <w:rFonts w:hint="cs"/>
          <w:rtl/>
        </w:rPr>
        <w:t>،</w:t>
      </w:r>
      <w:r w:rsidR="00777DCB" w:rsidRPr="00A52585">
        <w:rPr>
          <w:rFonts w:hint="cs"/>
          <w:rtl/>
        </w:rPr>
        <w:t xml:space="preserve"> ثم خلق عرشه على الماء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الترمذي </w:t>
      </w:r>
      <w:r w:rsidRPr="00A52585">
        <w:rPr>
          <w:rFonts w:hint="cs"/>
          <w:sz w:val="24"/>
          <w:szCs w:val="24"/>
          <w:rtl/>
        </w:rPr>
        <w:t>(</w:t>
      </w:r>
      <w:r w:rsidR="00777DCB" w:rsidRPr="00A52585">
        <w:rPr>
          <w:rFonts w:hint="cs"/>
          <w:sz w:val="24"/>
          <w:szCs w:val="24"/>
          <w:rtl/>
        </w:rPr>
        <w:t>5 / 288 برقم 3109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ماجه </w:t>
      </w:r>
      <w:r w:rsidRPr="00A52585">
        <w:rPr>
          <w:rFonts w:hint="cs"/>
          <w:sz w:val="24"/>
          <w:szCs w:val="24"/>
          <w:rtl/>
        </w:rPr>
        <w:t>(</w:t>
      </w:r>
      <w:r w:rsidR="00777DCB" w:rsidRPr="00A52585">
        <w:rPr>
          <w:rFonts w:hint="cs"/>
          <w:sz w:val="24"/>
          <w:szCs w:val="24"/>
          <w:rtl/>
        </w:rPr>
        <w:t>1 / 64 برقم 182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والامام أحمد </w:t>
      </w:r>
      <w:r w:rsidRPr="00A52585">
        <w:rPr>
          <w:rFonts w:hint="cs"/>
          <w:sz w:val="24"/>
          <w:szCs w:val="24"/>
          <w:rtl/>
        </w:rPr>
        <w:t>(</w:t>
      </w:r>
      <w:r w:rsidR="00777DCB" w:rsidRPr="00A52585">
        <w:rPr>
          <w:rFonts w:hint="cs"/>
          <w:sz w:val="24"/>
          <w:szCs w:val="24"/>
          <w:rtl/>
        </w:rPr>
        <w:t>4 / 11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والطبراني في الكبير </w:t>
      </w:r>
      <w:r w:rsidRPr="00A52585">
        <w:rPr>
          <w:rFonts w:hint="cs"/>
          <w:sz w:val="24"/>
          <w:szCs w:val="24"/>
          <w:rtl/>
        </w:rPr>
        <w:t>(</w:t>
      </w:r>
      <w:r w:rsidR="00777DCB" w:rsidRPr="00A52585">
        <w:rPr>
          <w:rFonts w:hint="cs"/>
          <w:sz w:val="24"/>
          <w:szCs w:val="24"/>
          <w:rtl/>
        </w:rPr>
        <w:t>19 / 207 برقم 468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حبان في صحيحه </w:t>
      </w:r>
      <w:r w:rsidRPr="00A52585">
        <w:rPr>
          <w:rFonts w:hint="cs"/>
          <w:sz w:val="24"/>
          <w:szCs w:val="24"/>
          <w:rtl/>
        </w:rPr>
        <w:t>(</w:t>
      </w:r>
      <w:r w:rsidR="00777DCB" w:rsidRPr="00A52585">
        <w:rPr>
          <w:rFonts w:hint="cs"/>
          <w:sz w:val="24"/>
          <w:szCs w:val="24"/>
          <w:rtl/>
        </w:rPr>
        <w:t>8 / 4 برقم 6108 دار الفكر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أبي عاصم في سنته </w:t>
      </w:r>
      <w:r w:rsidRPr="00A52585">
        <w:rPr>
          <w:rFonts w:hint="cs"/>
          <w:sz w:val="24"/>
          <w:szCs w:val="24"/>
          <w:rtl/>
        </w:rPr>
        <w:t>(</w:t>
      </w:r>
      <w:r w:rsidR="00777DCB" w:rsidRPr="00A52585">
        <w:rPr>
          <w:rFonts w:hint="cs"/>
          <w:sz w:val="24"/>
          <w:szCs w:val="24"/>
          <w:rtl/>
        </w:rPr>
        <w:t>272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هذا حديث ضعيف لأجل حماد بن سلمة ولا تقبل أخباره في الصفات البتة</w:t>
      </w:r>
      <w:r w:rsidR="00DB731D" w:rsidRPr="00A52585">
        <w:rPr>
          <w:rFonts w:hint="cs"/>
          <w:sz w:val="24"/>
          <w:szCs w:val="24"/>
          <w:rtl/>
        </w:rPr>
        <w:t>،</w:t>
      </w:r>
      <w:r w:rsidR="00777DCB" w:rsidRPr="00A52585">
        <w:rPr>
          <w:rFonts w:hint="cs"/>
          <w:sz w:val="24"/>
          <w:szCs w:val="24"/>
          <w:rtl/>
        </w:rPr>
        <w:t xml:space="preserve"> وكذلك يضعف هذا الحديث بوكيع بن عدس لأنّه مجهول لم يرو عنه إلا يعلى بن عطاء</w:t>
      </w:r>
      <w:r w:rsidR="00DB731D" w:rsidRPr="00A52585">
        <w:rPr>
          <w:rFonts w:hint="cs"/>
          <w:sz w:val="24"/>
          <w:szCs w:val="24"/>
          <w:rtl/>
        </w:rPr>
        <w:t>،</w:t>
      </w:r>
      <w:r w:rsidR="00777DCB" w:rsidRPr="00A52585">
        <w:rPr>
          <w:rFonts w:hint="cs"/>
          <w:sz w:val="24"/>
          <w:szCs w:val="24"/>
          <w:rtl/>
        </w:rPr>
        <w:t xml:space="preserve"> قال الحافظ في " تهذيب التهذيب " </w:t>
      </w:r>
      <w:r w:rsidRPr="00A52585">
        <w:rPr>
          <w:rFonts w:hint="cs"/>
          <w:sz w:val="24"/>
          <w:szCs w:val="24"/>
          <w:rtl/>
        </w:rPr>
        <w:t>(</w:t>
      </w:r>
      <w:r w:rsidR="00777DCB" w:rsidRPr="00A52585">
        <w:rPr>
          <w:rFonts w:hint="cs"/>
          <w:sz w:val="24"/>
          <w:szCs w:val="24"/>
          <w:rtl/>
        </w:rPr>
        <w:t>11 / 115</w:t>
      </w:r>
      <w:r w:rsidRPr="00A52585">
        <w:rPr>
          <w:rFonts w:hint="cs"/>
          <w:sz w:val="24"/>
          <w:szCs w:val="24"/>
          <w:rtl/>
        </w:rPr>
        <w:t>):</w:t>
      </w:r>
      <w:r w:rsidR="00777DCB" w:rsidRPr="00A52585">
        <w:rPr>
          <w:rFonts w:hint="cs"/>
          <w:sz w:val="24"/>
          <w:szCs w:val="24"/>
          <w:rtl/>
        </w:rPr>
        <w:t xml:space="preserve"> " قال</w:t>
      </w:r>
      <w:r w:rsidRPr="00A52585">
        <w:rPr>
          <w:rFonts w:hint="cs"/>
          <w:sz w:val="24"/>
          <w:szCs w:val="24"/>
          <w:rtl/>
        </w:rPr>
        <w:t>:</w:t>
      </w:r>
      <w:r w:rsidR="00777DCB" w:rsidRPr="00A52585">
        <w:rPr>
          <w:rFonts w:hint="cs"/>
          <w:sz w:val="24"/>
          <w:szCs w:val="24"/>
          <w:rtl/>
        </w:rPr>
        <w:t xml:space="preserve"> ابن قتيبة في اختلاف الحديث</w:t>
      </w:r>
      <w:r w:rsidRPr="00A52585">
        <w:rPr>
          <w:rFonts w:hint="cs"/>
          <w:sz w:val="24"/>
          <w:szCs w:val="24"/>
          <w:rtl/>
        </w:rPr>
        <w:t>:</w:t>
      </w:r>
      <w:r w:rsidR="00777DCB" w:rsidRPr="00A52585">
        <w:rPr>
          <w:rFonts w:hint="cs"/>
          <w:sz w:val="24"/>
          <w:szCs w:val="24"/>
          <w:rtl/>
        </w:rPr>
        <w:t xml:space="preserve"> غير معروف</w:t>
      </w:r>
      <w:r w:rsidR="00DB731D" w:rsidRPr="00A52585">
        <w:rPr>
          <w:rFonts w:hint="cs"/>
          <w:sz w:val="24"/>
          <w:szCs w:val="24"/>
          <w:rtl/>
        </w:rPr>
        <w:t>،</w:t>
      </w:r>
      <w:r w:rsidR="00777DCB" w:rsidRPr="00A52585">
        <w:rPr>
          <w:rFonts w:hint="cs"/>
          <w:sz w:val="24"/>
          <w:szCs w:val="24"/>
          <w:rtl/>
        </w:rPr>
        <w:t xml:space="preserve"> وقال ابن القطان مجهول الحال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فبمثل حديثه لا يثبت في الطهارة حكم فكيف في أصول الدين</w:t>
      </w:r>
      <w:r w:rsidR="00F95886" w:rsidRPr="00A52585">
        <w:rPr>
          <w:rFonts w:hint="cs"/>
          <w:sz w:val="24"/>
          <w:szCs w:val="24"/>
          <w:rtl/>
        </w:rPr>
        <w:t>؟!!</w:t>
      </w:r>
      <w:r w:rsidR="00777DCB" w:rsidRPr="00A52585">
        <w:rPr>
          <w:rFonts w:hint="cs"/>
          <w:sz w:val="24"/>
          <w:szCs w:val="24"/>
          <w:rtl/>
        </w:rPr>
        <w:t xml:space="preserve"> " تنبيه "</w:t>
      </w:r>
      <w:r w:rsidRPr="00A52585">
        <w:rPr>
          <w:rFonts w:hint="cs"/>
          <w:sz w:val="24"/>
          <w:szCs w:val="24"/>
          <w:rtl/>
        </w:rPr>
        <w:t>:</w:t>
      </w:r>
      <w:r w:rsidR="00777DCB" w:rsidRPr="00A52585">
        <w:rPr>
          <w:rFonts w:hint="cs"/>
          <w:sz w:val="24"/>
          <w:szCs w:val="24"/>
          <w:rtl/>
        </w:rPr>
        <w:t xml:space="preserve"> من العجيب الغريب المضحك ما قاله أحد </w:t>
      </w:r>
      <w:proofErr w:type="spellStart"/>
      <w:r w:rsidR="00777DCB" w:rsidRPr="00A52585">
        <w:rPr>
          <w:rFonts w:hint="cs"/>
          <w:sz w:val="24"/>
          <w:szCs w:val="24"/>
          <w:rtl/>
        </w:rPr>
        <w:t>المتمسلفين</w:t>
      </w:r>
      <w:proofErr w:type="spellEnd"/>
      <w:r w:rsidR="00777DCB" w:rsidRPr="00A52585">
        <w:rPr>
          <w:rFonts w:hint="cs"/>
          <w:sz w:val="24"/>
          <w:szCs w:val="24"/>
          <w:rtl/>
        </w:rPr>
        <w:t xml:space="preserve"> في رده على إمام العصر أبي الفضل الغماري في كتاب يرد فيه على كتاب " فتح المعين " ص </w:t>
      </w:r>
      <w:r w:rsidRPr="00A52585">
        <w:rPr>
          <w:rFonts w:hint="cs"/>
          <w:sz w:val="24"/>
          <w:szCs w:val="24"/>
          <w:rtl/>
        </w:rPr>
        <w:t>(</w:t>
      </w:r>
      <w:r w:rsidR="00777DCB" w:rsidRPr="00A52585">
        <w:rPr>
          <w:rFonts w:hint="cs"/>
          <w:sz w:val="24"/>
          <w:szCs w:val="24"/>
          <w:rtl/>
        </w:rPr>
        <w:t>49</w:t>
      </w:r>
      <w:r w:rsidRPr="00A52585">
        <w:rPr>
          <w:rFonts w:hint="cs"/>
          <w:sz w:val="24"/>
          <w:szCs w:val="24"/>
          <w:rtl/>
        </w:rPr>
        <w:t>)</w:t>
      </w:r>
      <w:r w:rsidR="00777DCB" w:rsidRPr="00A52585">
        <w:rPr>
          <w:rFonts w:hint="cs"/>
          <w:sz w:val="24"/>
          <w:szCs w:val="24"/>
          <w:rtl/>
        </w:rPr>
        <w:t xml:space="preserve"> ما نصه</w:t>
      </w:r>
      <w:r w:rsidRPr="00A52585">
        <w:rPr>
          <w:rFonts w:hint="cs"/>
          <w:sz w:val="24"/>
          <w:szCs w:val="24"/>
          <w:rtl/>
        </w:rPr>
        <w:t>:</w:t>
      </w:r>
      <w:r w:rsidR="00777DCB" w:rsidRPr="00A52585">
        <w:rPr>
          <w:rFonts w:hint="cs"/>
          <w:sz w:val="24"/>
          <w:szCs w:val="24"/>
          <w:rtl/>
        </w:rPr>
        <w:t xml:space="preserve"> " إن وقيعته في حماد بن سلمة</w:t>
      </w:r>
      <w:r w:rsidRPr="00A52585">
        <w:rPr>
          <w:rFonts w:hint="cs"/>
          <w:sz w:val="24"/>
          <w:szCs w:val="24"/>
          <w:rtl/>
        </w:rPr>
        <w:t>:</w:t>
      </w:r>
      <w:r w:rsidR="00777DCB" w:rsidRPr="00A52585">
        <w:rPr>
          <w:rFonts w:hint="cs"/>
          <w:sz w:val="24"/>
          <w:szCs w:val="24"/>
          <w:rtl/>
        </w:rPr>
        <w:t xml:space="preserve"> يخشى عليه من قول ابن المديني</w:t>
      </w:r>
      <w:r w:rsidRPr="00A52585">
        <w:rPr>
          <w:rFonts w:hint="cs"/>
          <w:sz w:val="24"/>
          <w:szCs w:val="24"/>
          <w:rtl/>
        </w:rPr>
        <w:t>:</w:t>
      </w:r>
      <w:r w:rsidR="00777DCB" w:rsidRPr="00A52585">
        <w:rPr>
          <w:rFonts w:hint="cs"/>
          <w:sz w:val="24"/>
          <w:szCs w:val="24"/>
          <w:rtl/>
        </w:rPr>
        <w:t xml:space="preserve"> من سمعتموه يتكلم في حماد فاتهموه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وكأن هذا القائل تخيل أن كلام ابن المديني نص كتاب الله أو سنة رسول الله صلى الله عليه وسلم الثابتة عنه</w:t>
      </w:r>
      <w:r w:rsidR="00F95886" w:rsidRPr="00A52585">
        <w:rPr>
          <w:rFonts w:hint="cs"/>
          <w:sz w:val="24"/>
          <w:szCs w:val="24"/>
          <w:rtl/>
        </w:rPr>
        <w:t>!</w:t>
      </w:r>
      <w:r w:rsidR="00777DCB" w:rsidRPr="00A52585">
        <w:rPr>
          <w:rFonts w:hint="cs"/>
          <w:sz w:val="24"/>
          <w:szCs w:val="24"/>
          <w:rtl/>
        </w:rPr>
        <w:t xml:space="preserve"> وهو معذور في ذلك لان عقله لا يستوعب أكثر من ذلك</w:t>
      </w:r>
      <w:r w:rsidR="00DB731D" w:rsidRPr="00A52585">
        <w:rPr>
          <w:rFonts w:hint="cs"/>
          <w:sz w:val="24"/>
          <w:szCs w:val="24"/>
          <w:rtl/>
        </w:rPr>
        <w:t>،</w:t>
      </w:r>
      <w:r w:rsidR="00777DCB" w:rsidRPr="00A52585">
        <w:rPr>
          <w:rFonts w:hint="cs"/>
          <w:sz w:val="24"/>
          <w:szCs w:val="24"/>
          <w:rtl/>
        </w:rPr>
        <w:t xml:space="preserve"> فلم يرتق إلا لقول ابن المديني رحمه الله وأمثاله فهو بعد لم يصل إلى التمييز بينه وبين نصوص الكتاب والسنة</w:t>
      </w:r>
      <w:r w:rsidR="00DB731D" w:rsidRPr="00A52585">
        <w:rPr>
          <w:rFonts w:hint="cs"/>
          <w:sz w:val="24"/>
          <w:szCs w:val="24"/>
          <w:rtl/>
        </w:rPr>
        <w:t>،</w:t>
      </w:r>
      <w:r w:rsidR="00777DCB" w:rsidRPr="00A52585">
        <w:rPr>
          <w:rFonts w:hint="cs"/>
          <w:sz w:val="24"/>
          <w:szCs w:val="24"/>
          <w:rtl/>
        </w:rPr>
        <w:t xml:space="preserve"> ونقول لأمثاله</w:t>
      </w:r>
      <w:r w:rsidRPr="00A52585">
        <w:rPr>
          <w:rFonts w:hint="cs"/>
          <w:sz w:val="24"/>
          <w:szCs w:val="24"/>
          <w:rtl/>
        </w:rPr>
        <w:t>:</w:t>
      </w:r>
      <w:r w:rsidR="00777DCB" w:rsidRPr="00A52585">
        <w:rPr>
          <w:rFonts w:hint="cs"/>
          <w:sz w:val="24"/>
          <w:szCs w:val="24"/>
          <w:rtl/>
        </w:rPr>
        <w:t xml:space="preserve"> ونحن نزيدك ونعلمك بأن ابن المديني لم ينفرد بما نقلته عنه وإنما تابعه على ذلك أحمد بن حنبل ويحيى بن معين كما في " سير أعلام النبلاء " في المجلد السابع في ترجمة حماد ص </w:t>
      </w:r>
      <w:r w:rsidRPr="00A52585">
        <w:rPr>
          <w:rFonts w:hint="cs"/>
          <w:sz w:val="24"/>
          <w:szCs w:val="24"/>
          <w:rtl/>
        </w:rPr>
        <w:t>(</w:t>
      </w:r>
      <w:r w:rsidR="00777DCB" w:rsidRPr="00A52585">
        <w:rPr>
          <w:rFonts w:hint="cs"/>
          <w:sz w:val="24"/>
          <w:szCs w:val="24"/>
          <w:rtl/>
        </w:rPr>
        <w:t>444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وبعد هذا نقول للطائفة المتعصبة لأقوال الرجال المخطئة</w:t>
      </w:r>
      <w:r w:rsidRPr="00A52585">
        <w:rPr>
          <w:rFonts w:hint="cs"/>
          <w:sz w:val="24"/>
          <w:szCs w:val="24"/>
          <w:rtl/>
        </w:rPr>
        <w:t>:</w:t>
      </w:r>
      <w:r w:rsidR="00777DCB" w:rsidRPr="00A52585">
        <w:rPr>
          <w:rFonts w:hint="cs"/>
          <w:sz w:val="24"/>
          <w:szCs w:val="24"/>
          <w:rtl/>
        </w:rPr>
        <w:t xml:space="preserve"> نحن نغمز حماد بن سلمة أشد الغمز وخصوصا في أحاديثه في الصفات وعلى ذلك أهل العلم من المحدثين وغيرهم</w:t>
      </w:r>
      <w:r w:rsidR="00DB731D" w:rsidRPr="00A52585">
        <w:rPr>
          <w:rFonts w:hint="cs"/>
          <w:sz w:val="24"/>
          <w:szCs w:val="24"/>
          <w:rtl/>
        </w:rPr>
        <w:t>،</w:t>
      </w:r>
      <w:r w:rsidR="00777DCB" w:rsidRPr="00A52585">
        <w:rPr>
          <w:rFonts w:hint="cs"/>
          <w:sz w:val="24"/>
          <w:szCs w:val="24"/>
          <w:rtl/>
        </w:rPr>
        <w:t xml:space="preserve"> فهذا البخاري </w:t>
      </w:r>
      <w:proofErr w:type="spellStart"/>
      <w:r w:rsidR="00777DCB" w:rsidRPr="00A52585">
        <w:rPr>
          <w:rFonts w:hint="cs"/>
          <w:sz w:val="24"/>
          <w:szCs w:val="24"/>
          <w:rtl/>
        </w:rPr>
        <w:t>يتحايد</w:t>
      </w:r>
      <w:proofErr w:type="spellEnd"/>
      <w:r w:rsidR="00777DCB" w:rsidRPr="00A52585">
        <w:rPr>
          <w:rFonts w:hint="cs"/>
          <w:sz w:val="24"/>
          <w:szCs w:val="24"/>
          <w:rtl/>
        </w:rPr>
        <w:t xml:space="preserve"> </w:t>
      </w:r>
      <w:proofErr w:type="spellStart"/>
      <w:r w:rsidR="00777DCB" w:rsidRPr="00A52585">
        <w:rPr>
          <w:rFonts w:hint="cs"/>
          <w:sz w:val="24"/>
          <w:szCs w:val="24"/>
          <w:rtl/>
        </w:rPr>
        <w:t>حمادا</w:t>
      </w:r>
      <w:proofErr w:type="spellEnd"/>
      <w:r w:rsidR="00777DCB" w:rsidRPr="00A52585">
        <w:rPr>
          <w:rFonts w:hint="cs"/>
          <w:sz w:val="24"/>
          <w:szCs w:val="24"/>
          <w:rtl/>
        </w:rPr>
        <w:t xml:space="preserve"> في صحيحه وهذا مسلم لم يخرج له في الاصول إلا من حديثه عن ثابت</w:t>
      </w:r>
      <w:r w:rsidR="00DB731D" w:rsidRPr="00A52585">
        <w:rPr>
          <w:rFonts w:hint="cs"/>
          <w:sz w:val="24"/>
          <w:szCs w:val="24"/>
          <w:rtl/>
        </w:rPr>
        <w:t>،</w:t>
      </w:r>
      <w:r w:rsidR="00777DCB" w:rsidRPr="00A52585">
        <w:rPr>
          <w:rFonts w:hint="cs"/>
          <w:sz w:val="24"/>
          <w:szCs w:val="24"/>
          <w:rtl/>
        </w:rPr>
        <w:t xml:space="preserve"> كما قال الحافظ الذهبي في " سير أعلام النبلاء " </w:t>
      </w:r>
      <w:r w:rsidRPr="00A52585">
        <w:rPr>
          <w:rFonts w:hint="cs"/>
          <w:sz w:val="24"/>
          <w:szCs w:val="24"/>
          <w:rtl/>
        </w:rPr>
        <w:t>(</w:t>
      </w:r>
      <w:r w:rsidR="00777DCB" w:rsidRPr="00A52585">
        <w:rPr>
          <w:rFonts w:hint="cs"/>
          <w:sz w:val="24"/>
          <w:szCs w:val="24"/>
          <w:rtl/>
        </w:rPr>
        <w:t>7 / 446</w:t>
      </w:r>
      <w:r w:rsidRPr="00A52585">
        <w:rPr>
          <w:rFonts w:hint="cs"/>
          <w:sz w:val="24"/>
          <w:szCs w:val="24"/>
          <w:rtl/>
        </w:rPr>
        <w:t>)</w:t>
      </w:r>
      <w:r w:rsidR="00777DCB" w:rsidRPr="00A52585">
        <w:rPr>
          <w:rFonts w:hint="cs"/>
          <w:sz w:val="24"/>
          <w:szCs w:val="24"/>
          <w:rtl/>
        </w:rPr>
        <w:t xml:space="preserve"> وقال ص </w:t>
      </w:r>
      <w:r w:rsidRPr="00A52585">
        <w:rPr>
          <w:rFonts w:hint="cs"/>
          <w:sz w:val="24"/>
          <w:szCs w:val="24"/>
          <w:rtl/>
        </w:rPr>
        <w:t>(</w:t>
      </w:r>
      <w:r w:rsidR="00777DCB" w:rsidRPr="00A52585">
        <w:rPr>
          <w:rFonts w:hint="cs"/>
          <w:sz w:val="24"/>
          <w:szCs w:val="24"/>
          <w:rtl/>
        </w:rPr>
        <w:t>452</w:t>
      </w:r>
      <w:r w:rsidRPr="00A52585">
        <w:rPr>
          <w:rFonts w:hint="cs"/>
          <w:sz w:val="24"/>
          <w:szCs w:val="24"/>
          <w:rtl/>
        </w:rPr>
        <w:t>):</w:t>
      </w:r>
      <w:r w:rsidR="00777DCB" w:rsidRPr="00A52585">
        <w:rPr>
          <w:rFonts w:hint="cs"/>
          <w:sz w:val="24"/>
          <w:szCs w:val="24"/>
          <w:rtl/>
        </w:rPr>
        <w:t xml:space="preserve"> قال أحمد بن حنبل</w:t>
      </w:r>
      <w:r w:rsidRPr="00A52585">
        <w:rPr>
          <w:rFonts w:hint="cs"/>
          <w:sz w:val="24"/>
          <w:szCs w:val="24"/>
          <w:rtl/>
        </w:rPr>
        <w:t>:</w:t>
      </w:r>
      <w:r w:rsidR="00777DCB" w:rsidRPr="00A52585">
        <w:rPr>
          <w:rFonts w:hint="cs"/>
          <w:sz w:val="24"/>
          <w:szCs w:val="24"/>
          <w:rtl/>
        </w:rPr>
        <w:t xml:space="preserve"> إذا رأيت من يغمزه - يعني </w:t>
      </w:r>
      <w:proofErr w:type="spellStart"/>
      <w:r w:rsidR="00777DCB" w:rsidRPr="00A52585">
        <w:rPr>
          <w:rFonts w:hint="cs"/>
          <w:sz w:val="24"/>
          <w:szCs w:val="24"/>
          <w:rtl/>
        </w:rPr>
        <w:t>حمادا</w:t>
      </w:r>
      <w:proofErr w:type="spellEnd"/>
      <w:r w:rsidR="00777DCB" w:rsidRPr="00A52585">
        <w:rPr>
          <w:rFonts w:hint="cs"/>
          <w:sz w:val="24"/>
          <w:szCs w:val="24"/>
          <w:rtl/>
        </w:rPr>
        <w:t xml:space="preserve"> - فاتهمه</w:t>
      </w:r>
      <w:r w:rsidR="00DB731D" w:rsidRPr="00A52585">
        <w:rPr>
          <w:rFonts w:hint="cs"/>
          <w:sz w:val="24"/>
          <w:szCs w:val="24"/>
          <w:rtl/>
        </w:rPr>
        <w:t>،</w:t>
      </w:r>
      <w:r w:rsidR="00777DCB" w:rsidRPr="00A52585">
        <w:rPr>
          <w:rFonts w:hint="cs"/>
          <w:sz w:val="24"/>
          <w:szCs w:val="24"/>
          <w:rtl/>
        </w:rPr>
        <w:t xml:space="preserve"> فإنه كان شديدا على أهل البدع</w:t>
      </w:r>
      <w:r w:rsidR="00DB731D" w:rsidRPr="00A52585">
        <w:rPr>
          <w:rFonts w:hint="cs"/>
          <w:sz w:val="24"/>
          <w:szCs w:val="24"/>
          <w:rtl/>
        </w:rPr>
        <w:t>،</w:t>
      </w:r>
      <w:r w:rsidR="00777DCB" w:rsidRPr="00A52585">
        <w:rPr>
          <w:rFonts w:hint="cs"/>
          <w:sz w:val="24"/>
          <w:szCs w:val="24"/>
          <w:rtl/>
        </w:rPr>
        <w:t xml:space="preserve"> إلا أنه لما طعن في السن ساء حفظه</w:t>
      </w:r>
      <w:r w:rsidR="00DB731D" w:rsidRPr="00A52585">
        <w:rPr>
          <w:rFonts w:hint="cs"/>
          <w:sz w:val="24"/>
          <w:szCs w:val="24"/>
          <w:rtl/>
        </w:rPr>
        <w:t>،</w:t>
      </w:r>
      <w:r w:rsidR="00777DCB" w:rsidRPr="00A52585">
        <w:rPr>
          <w:rFonts w:hint="cs"/>
          <w:sz w:val="24"/>
          <w:szCs w:val="24"/>
          <w:rtl/>
        </w:rPr>
        <w:t xml:space="preserve"> فلذلك لم يحتج به البخاري</w:t>
      </w:r>
      <w:r w:rsidR="00DB731D" w:rsidRPr="00A52585">
        <w:rPr>
          <w:rFonts w:hint="cs"/>
          <w:sz w:val="24"/>
          <w:szCs w:val="24"/>
          <w:rtl/>
        </w:rPr>
        <w:t>،</w:t>
      </w:r>
      <w:r w:rsidR="00777DCB" w:rsidRPr="00A52585">
        <w:rPr>
          <w:rFonts w:hint="cs"/>
          <w:sz w:val="24"/>
          <w:szCs w:val="24"/>
          <w:rtl/>
        </w:rPr>
        <w:t xml:space="preserve"> وأما مسلم فاجتهد فيه</w:t>
      </w:r>
      <w:r w:rsidR="00DB731D" w:rsidRPr="00A52585">
        <w:rPr>
          <w:rFonts w:hint="cs"/>
          <w:sz w:val="24"/>
          <w:szCs w:val="24"/>
          <w:rtl/>
        </w:rPr>
        <w:t>،</w:t>
      </w:r>
      <w:r w:rsidR="00777DCB" w:rsidRPr="00A52585">
        <w:rPr>
          <w:rFonts w:hint="cs"/>
          <w:sz w:val="24"/>
          <w:szCs w:val="24"/>
          <w:rtl/>
        </w:rPr>
        <w:t xml:space="preserve"> وأخرج من حديثه عن ثابت مما سمع منه قبل تغيره</w:t>
      </w:r>
      <w:r w:rsidR="00897A24" w:rsidRPr="00A52585">
        <w:rPr>
          <w:rFonts w:hint="cs"/>
          <w:sz w:val="24"/>
          <w:szCs w:val="24"/>
          <w:rtl/>
        </w:rPr>
        <w:t>.</w:t>
      </w:r>
      <w:r w:rsidR="00777DCB" w:rsidRPr="00A52585">
        <w:rPr>
          <w:rFonts w:hint="cs"/>
          <w:sz w:val="24"/>
          <w:szCs w:val="24"/>
          <w:rtl/>
        </w:rPr>
        <w:t xml:space="preserve">. فالاحتياط </w:t>
      </w:r>
      <w:proofErr w:type="gramStart"/>
      <w:r w:rsidR="00777DCB" w:rsidRPr="00A52585">
        <w:rPr>
          <w:rFonts w:hint="cs"/>
          <w:sz w:val="24"/>
          <w:szCs w:val="24"/>
          <w:rtl/>
        </w:rPr>
        <w:t>أن لا</w:t>
      </w:r>
      <w:proofErr w:type="gramEnd"/>
      <w:r w:rsidR="00777DCB" w:rsidRPr="00A52585">
        <w:rPr>
          <w:rFonts w:hint="cs"/>
          <w:sz w:val="24"/>
          <w:szCs w:val="24"/>
          <w:rtl/>
        </w:rPr>
        <w:t xml:space="preserve"> يحتج به فيما يخالف الثقات</w:t>
      </w:r>
      <w:r w:rsidR="00897A24" w:rsidRPr="00A52585">
        <w:rPr>
          <w:rFonts w:hint="cs"/>
          <w:sz w:val="24"/>
          <w:szCs w:val="24"/>
          <w:rtl/>
        </w:rPr>
        <w:t>.</w:t>
      </w:r>
      <w:r w:rsidR="00777DCB" w:rsidRPr="00A52585">
        <w:rPr>
          <w:rFonts w:hint="cs"/>
          <w:sz w:val="24"/>
          <w:szCs w:val="24"/>
          <w:rtl/>
        </w:rPr>
        <w:t>.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وقول من قال</w:t>
      </w:r>
      <w:r w:rsidRPr="00A52585">
        <w:rPr>
          <w:rFonts w:hint="cs"/>
          <w:sz w:val="24"/>
          <w:szCs w:val="24"/>
          <w:rtl/>
        </w:rPr>
        <w:t>:</w:t>
      </w:r>
      <w:r w:rsidR="00777DCB" w:rsidRPr="00A52585">
        <w:rPr>
          <w:rFonts w:hint="cs"/>
          <w:sz w:val="24"/>
          <w:szCs w:val="24"/>
          <w:rtl/>
        </w:rPr>
        <w:t xml:space="preserve"> إذا رأيت من يغمزه فاتهمه</w:t>
      </w:r>
      <w:r w:rsidR="00DB731D" w:rsidRPr="00A52585">
        <w:rPr>
          <w:rFonts w:hint="cs"/>
          <w:sz w:val="24"/>
          <w:szCs w:val="24"/>
          <w:rtl/>
        </w:rPr>
        <w:t>،</w:t>
      </w:r>
      <w:r w:rsidR="00777DCB" w:rsidRPr="00A52585">
        <w:rPr>
          <w:rFonts w:hint="cs"/>
          <w:sz w:val="24"/>
          <w:szCs w:val="24"/>
          <w:rtl/>
        </w:rPr>
        <w:t xml:space="preserve"> فمعناه</w:t>
      </w:r>
      <w:r w:rsidRPr="00A52585">
        <w:rPr>
          <w:rFonts w:hint="cs"/>
          <w:sz w:val="24"/>
          <w:szCs w:val="24"/>
          <w:rtl/>
        </w:rPr>
        <w:t>:</w:t>
      </w:r>
      <w:r w:rsidR="00777DCB" w:rsidRPr="00A52585">
        <w:rPr>
          <w:rFonts w:hint="cs"/>
          <w:sz w:val="24"/>
          <w:szCs w:val="24"/>
          <w:rtl/>
        </w:rPr>
        <w:t xml:space="preserve"> من يغمزه لكونه يرد على أهل البدع لا من حيث ضعفه في الحديث</w:t>
      </w:r>
      <w:r w:rsidR="00DB731D" w:rsidRPr="00A52585">
        <w:rPr>
          <w:rFonts w:hint="cs"/>
          <w:sz w:val="24"/>
          <w:szCs w:val="24"/>
          <w:rtl/>
        </w:rPr>
        <w:t>،</w:t>
      </w:r>
      <w:r w:rsidR="00777DCB" w:rsidRPr="00A52585">
        <w:rPr>
          <w:rFonts w:hint="cs"/>
          <w:sz w:val="24"/>
          <w:szCs w:val="24"/>
          <w:rtl/>
        </w:rPr>
        <w:t xml:space="preserve"> كما يتبين من سبر كلام الائمة</w:t>
      </w:r>
      <w:r w:rsidR="00DB731D" w:rsidRPr="00A52585">
        <w:rPr>
          <w:rFonts w:hint="cs"/>
          <w:sz w:val="24"/>
          <w:szCs w:val="24"/>
          <w:rtl/>
        </w:rPr>
        <w:t>،</w:t>
      </w:r>
      <w:r w:rsidR="00777DCB" w:rsidRPr="00A52585">
        <w:rPr>
          <w:rFonts w:hint="cs"/>
          <w:sz w:val="24"/>
          <w:szCs w:val="24"/>
          <w:rtl/>
        </w:rPr>
        <w:t xml:space="preserve"> فلم يفهم ذلك </w:t>
      </w:r>
      <w:proofErr w:type="spellStart"/>
      <w:r w:rsidR="00777DCB" w:rsidRPr="00A52585">
        <w:rPr>
          <w:rFonts w:hint="cs"/>
          <w:sz w:val="24"/>
          <w:szCs w:val="24"/>
          <w:rtl/>
        </w:rPr>
        <w:t>المتمسلف</w:t>
      </w:r>
      <w:proofErr w:type="spellEnd"/>
      <w:r w:rsidR="00DB731D" w:rsidRPr="00A52585">
        <w:rPr>
          <w:rFonts w:hint="cs"/>
          <w:sz w:val="24"/>
          <w:szCs w:val="24"/>
          <w:rtl/>
        </w:rPr>
        <w:t>،</w:t>
      </w:r>
      <w:r w:rsidR="00777DCB" w:rsidRPr="00A52585">
        <w:rPr>
          <w:rFonts w:hint="cs"/>
          <w:sz w:val="24"/>
          <w:szCs w:val="24"/>
          <w:rtl/>
        </w:rPr>
        <w:t xml:space="preserve"> ولم يتدبر أو يعرف أن شيخه ومرجعه في الحديث المحدث</w:t>
      </w:r>
      <w:r w:rsidR="00F95886" w:rsidRPr="00A52585">
        <w:rPr>
          <w:rFonts w:hint="cs"/>
          <w:sz w:val="24"/>
          <w:szCs w:val="24"/>
          <w:rtl/>
        </w:rPr>
        <w:t>!!</w:t>
      </w:r>
      <w:r w:rsidR="00777DCB" w:rsidRPr="00A52585">
        <w:rPr>
          <w:rFonts w:hint="cs"/>
          <w:sz w:val="24"/>
          <w:szCs w:val="24"/>
          <w:rtl/>
        </w:rPr>
        <w:t xml:space="preserve"> المتناقض قال عن حماد هذا في " </w:t>
      </w:r>
      <w:proofErr w:type="spellStart"/>
      <w:r w:rsidR="00777DCB" w:rsidRPr="00A52585">
        <w:rPr>
          <w:rFonts w:hint="cs"/>
          <w:sz w:val="24"/>
          <w:szCs w:val="24"/>
          <w:rtl/>
        </w:rPr>
        <w:t>ضعيفته</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2 / 333</w:t>
      </w:r>
      <w:r w:rsidRPr="00A52585">
        <w:rPr>
          <w:rFonts w:hint="cs"/>
          <w:sz w:val="24"/>
          <w:szCs w:val="24"/>
          <w:rtl/>
        </w:rPr>
        <w:t>):</w:t>
      </w:r>
      <w:r w:rsidR="00777DCB" w:rsidRPr="00A52585">
        <w:rPr>
          <w:rFonts w:hint="cs"/>
          <w:sz w:val="24"/>
          <w:szCs w:val="24"/>
          <w:rtl/>
        </w:rPr>
        <w:t xml:space="preserve"> " إن حماد له أوهاما " اه‍</w:t>
      </w:r>
      <w:r w:rsidR="00DB731D" w:rsidRPr="00A52585">
        <w:rPr>
          <w:rFonts w:hint="cs"/>
          <w:sz w:val="24"/>
          <w:szCs w:val="24"/>
          <w:rtl/>
        </w:rPr>
        <w:t>،</w:t>
      </w:r>
      <w:r w:rsidR="00777DCB" w:rsidRPr="00A52585">
        <w:rPr>
          <w:rFonts w:hint="cs"/>
          <w:sz w:val="24"/>
          <w:szCs w:val="24"/>
          <w:rtl/>
        </w:rPr>
        <w:t xml:space="preserve"> وهذا كلام منقوض عند شيخه</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sz w:val="24"/>
          <w:szCs w:val="24"/>
          <w:rtl/>
        </w:rPr>
        <w:t xml:space="preserve"> بالإضافة إلى </w:t>
      </w:r>
      <w:r w:rsidR="00777DCB" w:rsidRPr="00A52585">
        <w:rPr>
          <w:rFonts w:hint="cs"/>
          <w:sz w:val="24"/>
          <w:szCs w:val="24"/>
          <w:rtl/>
        </w:rPr>
        <w:lastRenderedPageBreak/>
        <w:t>كونه خطأ في العربية فلو تحرى الصواب لقال</w:t>
      </w:r>
      <w:r w:rsidRPr="00A52585">
        <w:rPr>
          <w:rFonts w:hint="cs"/>
          <w:sz w:val="24"/>
          <w:szCs w:val="24"/>
          <w:rtl/>
        </w:rPr>
        <w:t>:</w:t>
      </w:r>
      <w:r w:rsidR="00777DCB" w:rsidRPr="00A52585">
        <w:rPr>
          <w:rFonts w:hint="cs"/>
          <w:sz w:val="24"/>
          <w:szCs w:val="24"/>
          <w:rtl/>
        </w:rPr>
        <w:t xml:space="preserve"> " إن </w:t>
      </w:r>
      <w:proofErr w:type="spellStart"/>
      <w:r w:rsidR="00777DCB" w:rsidRPr="00A52585">
        <w:rPr>
          <w:rFonts w:hint="cs"/>
          <w:sz w:val="24"/>
          <w:szCs w:val="24"/>
          <w:rtl/>
        </w:rPr>
        <w:t>حمادا</w:t>
      </w:r>
      <w:proofErr w:type="spellEnd"/>
      <w:r w:rsidR="00777DCB" w:rsidRPr="00A52585">
        <w:rPr>
          <w:rFonts w:hint="cs"/>
          <w:sz w:val="24"/>
          <w:szCs w:val="24"/>
          <w:rtl/>
        </w:rPr>
        <w:t xml:space="preserve"> له أوهام " فتدبروا يا قوم في هذه الطائفة الاثرية</w:t>
      </w:r>
      <w:r w:rsidR="00F95886" w:rsidRPr="00A52585">
        <w:rPr>
          <w:rFonts w:hint="cs"/>
          <w:sz w:val="24"/>
          <w:szCs w:val="24"/>
          <w:rtl/>
        </w:rPr>
        <w:t>!!</w:t>
      </w:r>
      <w:r w:rsidR="00777DCB" w:rsidRPr="00A52585">
        <w:rPr>
          <w:rFonts w:hint="cs"/>
          <w:sz w:val="24"/>
          <w:szCs w:val="24"/>
          <w:rtl/>
        </w:rPr>
        <w:t xml:space="preserve"> ثم إن هذا الحديث مؤول عند أئمة المحدثين السلفيين الذين أخطأوا وصححوه ولننقل ذلك</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1</w:t>
      </w:r>
      <w:r w:rsidRPr="00A52585">
        <w:rPr>
          <w:rFonts w:hint="cs"/>
          <w:sz w:val="24"/>
          <w:szCs w:val="24"/>
          <w:rtl/>
        </w:rPr>
        <w:t>)</w:t>
      </w:r>
      <w:r w:rsidR="00777DCB" w:rsidRPr="00A52585">
        <w:rPr>
          <w:rFonts w:hint="cs"/>
          <w:sz w:val="24"/>
          <w:szCs w:val="24"/>
          <w:rtl/>
        </w:rPr>
        <w:t xml:space="preserve"> قال الترمذي رحمه الله تعالى في سننه </w:t>
      </w:r>
      <w:r w:rsidRPr="00A52585">
        <w:rPr>
          <w:rFonts w:hint="cs"/>
          <w:sz w:val="24"/>
          <w:szCs w:val="24"/>
          <w:rtl/>
        </w:rPr>
        <w:t>(</w:t>
      </w:r>
      <w:r w:rsidR="00777DCB" w:rsidRPr="00A52585">
        <w:rPr>
          <w:rFonts w:hint="cs"/>
          <w:sz w:val="24"/>
          <w:szCs w:val="24"/>
          <w:rtl/>
        </w:rPr>
        <w:t>5 / 228</w:t>
      </w:r>
      <w:r w:rsidRPr="00A52585">
        <w:rPr>
          <w:rFonts w:hint="cs"/>
          <w:sz w:val="24"/>
          <w:szCs w:val="24"/>
          <w:rtl/>
        </w:rPr>
        <w:t>)</w:t>
      </w:r>
      <w:r w:rsidR="00777DCB" w:rsidRPr="00A52585">
        <w:rPr>
          <w:rFonts w:hint="cs"/>
          <w:sz w:val="24"/>
          <w:szCs w:val="24"/>
          <w:rtl/>
        </w:rPr>
        <w:t xml:space="preserve"> بعدما رواه</w:t>
      </w:r>
      <w:r w:rsidRPr="00A52585">
        <w:rPr>
          <w:rFonts w:hint="cs"/>
          <w:sz w:val="24"/>
          <w:szCs w:val="24"/>
          <w:rtl/>
        </w:rPr>
        <w:t>:</w:t>
      </w:r>
      <w:r w:rsidR="00777DCB" w:rsidRPr="00A52585">
        <w:rPr>
          <w:rFonts w:hint="cs"/>
          <w:sz w:val="24"/>
          <w:szCs w:val="24"/>
          <w:rtl/>
        </w:rPr>
        <w:t xml:space="preserve"> " قال يزيد بن هارون</w:t>
      </w:r>
      <w:r w:rsidRPr="00A52585">
        <w:rPr>
          <w:rFonts w:hint="cs"/>
          <w:sz w:val="24"/>
          <w:szCs w:val="24"/>
          <w:rtl/>
        </w:rPr>
        <w:t>:</w:t>
      </w:r>
      <w:r w:rsidR="00777DCB" w:rsidRPr="00A52585">
        <w:rPr>
          <w:rFonts w:hint="cs"/>
          <w:sz w:val="24"/>
          <w:szCs w:val="24"/>
          <w:rtl/>
        </w:rPr>
        <w:t xml:space="preserve"> العماء أي ليس معه شيء " وأقره وبذلك يكون مؤولا عند يزيد بن هارون والترمذي</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2</w:t>
      </w:r>
      <w:r w:rsidRPr="00A52585">
        <w:rPr>
          <w:rFonts w:hint="cs"/>
          <w:sz w:val="24"/>
          <w:szCs w:val="24"/>
          <w:rtl/>
        </w:rPr>
        <w:t>)</w:t>
      </w:r>
      <w:r w:rsidR="00777DCB" w:rsidRPr="00A52585">
        <w:rPr>
          <w:rFonts w:hint="cs"/>
          <w:sz w:val="24"/>
          <w:szCs w:val="24"/>
          <w:rtl/>
        </w:rPr>
        <w:t xml:space="preserve"> وقال الحافظ ابن حبان في صحيحه </w:t>
      </w:r>
      <w:r w:rsidRPr="00A52585">
        <w:rPr>
          <w:rFonts w:hint="cs"/>
          <w:sz w:val="24"/>
          <w:szCs w:val="24"/>
          <w:rtl/>
        </w:rPr>
        <w:t>(</w:t>
      </w:r>
      <w:r w:rsidR="00777DCB" w:rsidRPr="00A52585">
        <w:rPr>
          <w:rFonts w:hint="cs"/>
          <w:sz w:val="24"/>
          <w:szCs w:val="24"/>
          <w:rtl/>
        </w:rPr>
        <w:t>8 / 4</w:t>
      </w:r>
      <w:r w:rsidRPr="00A52585">
        <w:rPr>
          <w:rFonts w:hint="cs"/>
          <w:sz w:val="24"/>
          <w:szCs w:val="24"/>
          <w:rtl/>
        </w:rPr>
        <w:t>)</w:t>
      </w:r>
      <w:r w:rsidR="00777DCB" w:rsidRPr="00A52585">
        <w:rPr>
          <w:rFonts w:hint="cs"/>
          <w:sz w:val="24"/>
          <w:szCs w:val="24"/>
          <w:rtl/>
        </w:rPr>
        <w:t xml:space="preserve"> عقب روايته له</w:t>
      </w:r>
      <w:r w:rsidRPr="00A52585">
        <w:rPr>
          <w:rFonts w:hint="cs"/>
          <w:sz w:val="24"/>
          <w:szCs w:val="24"/>
          <w:rtl/>
        </w:rPr>
        <w:t>:</w:t>
      </w:r>
      <w:r w:rsidR="00777DCB" w:rsidRPr="00A52585">
        <w:rPr>
          <w:rFonts w:hint="cs"/>
          <w:sz w:val="24"/>
          <w:szCs w:val="24"/>
          <w:rtl/>
        </w:rPr>
        <w:t xml:space="preserve"> " وهم في هذه اللفظة حماد بن سلمة</w:t>
      </w:r>
      <w:r w:rsidR="00897A24" w:rsidRPr="00A52585">
        <w:rPr>
          <w:rFonts w:hint="cs"/>
          <w:sz w:val="24"/>
          <w:szCs w:val="24"/>
          <w:rtl/>
        </w:rPr>
        <w:t>.</w:t>
      </w:r>
      <w:r w:rsidR="00777DCB" w:rsidRPr="00A52585">
        <w:rPr>
          <w:rFonts w:hint="cs"/>
          <w:sz w:val="24"/>
          <w:szCs w:val="24"/>
          <w:rtl/>
        </w:rPr>
        <w:t>. يريد به أن الخلق لا يعرفون خالقهم من حيث هم إذ كان ولا زمان ولا مكان</w:t>
      </w:r>
      <w:r w:rsidR="00DB731D" w:rsidRPr="00A52585">
        <w:rPr>
          <w:rFonts w:hint="cs"/>
          <w:sz w:val="24"/>
          <w:szCs w:val="24"/>
          <w:rtl/>
        </w:rPr>
        <w:t>،</w:t>
      </w:r>
      <w:r w:rsidR="00777DCB" w:rsidRPr="00A52585">
        <w:rPr>
          <w:rFonts w:hint="cs"/>
          <w:sz w:val="24"/>
          <w:szCs w:val="24"/>
          <w:rtl/>
        </w:rPr>
        <w:t xml:space="preserve"> ومن لم يعرف له</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حديث تفرد به يعلى بن عطاء عن وكيع بن عدس</w:t>
      </w:r>
      <w:r w:rsidR="00DB731D" w:rsidRPr="00A52585">
        <w:rPr>
          <w:rFonts w:hint="cs"/>
          <w:rtl/>
        </w:rPr>
        <w:t>،</w:t>
      </w:r>
      <w:r w:rsidR="00777DCB" w:rsidRPr="00A52585">
        <w:rPr>
          <w:rFonts w:hint="cs"/>
          <w:rtl/>
        </w:rPr>
        <w:t xml:space="preserve"> وليس لوكيع راو غير يعلى والعماء السحاب</w:t>
      </w:r>
      <w:r w:rsidR="00DB731D" w:rsidRPr="00A52585">
        <w:rPr>
          <w:rFonts w:hint="cs"/>
          <w:rtl/>
        </w:rPr>
        <w:t>،</w:t>
      </w:r>
      <w:r w:rsidR="00777DCB" w:rsidRPr="00A52585">
        <w:rPr>
          <w:rFonts w:hint="cs"/>
          <w:rtl/>
        </w:rPr>
        <w:t xml:space="preserve"> واعلم أن الفوق والتحت يرجعان إلى السحاب لا إلى الله تعالى</w:t>
      </w:r>
      <w:r w:rsidR="00DB731D" w:rsidRPr="00A52585">
        <w:rPr>
          <w:rFonts w:hint="cs"/>
          <w:rtl/>
        </w:rPr>
        <w:t>،</w:t>
      </w:r>
      <w:r w:rsidR="00777DCB" w:rsidRPr="00A52585">
        <w:rPr>
          <w:rFonts w:hint="cs"/>
          <w:rtl/>
        </w:rPr>
        <w:t xml:space="preserve"> وفي معنى فوق</w:t>
      </w:r>
      <w:r w:rsidR="00DB731D" w:rsidRPr="00A52585">
        <w:rPr>
          <w:rFonts w:hint="cs"/>
          <w:rtl/>
        </w:rPr>
        <w:t>،</w:t>
      </w:r>
      <w:r w:rsidR="00777DCB" w:rsidRPr="00A52585">
        <w:rPr>
          <w:rFonts w:hint="cs"/>
          <w:rtl/>
        </w:rPr>
        <w:t xml:space="preserve"> فالمعنى</w:t>
      </w:r>
      <w:r w:rsidRPr="00A52585">
        <w:rPr>
          <w:rFonts w:hint="cs"/>
          <w:rtl/>
        </w:rPr>
        <w:t>:</w:t>
      </w:r>
      <w:r w:rsidR="00777DCB" w:rsidRPr="00A52585">
        <w:rPr>
          <w:rFonts w:hint="cs"/>
          <w:rtl/>
        </w:rPr>
        <w:t xml:space="preserve"> كان فوق السحاب بالتدبير والقهر</w:t>
      </w:r>
      <w:r w:rsidR="00DB731D" w:rsidRPr="00A52585">
        <w:rPr>
          <w:rFonts w:hint="cs"/>
          <w:rtl/>
        </w:rPr>
        <w:t>،</w:t>
      </w:r>
      <w:r w:rsidR="00777DCB" w:rsidRPr="00A52585">
        <w:rPr>
          <w:rFonts w:hint="cs"/>
          <w:rtl/>
        </w:rPr>
        <w:t xml:space="preserve"> ولما كان القوم يأنسون بالمخلوقات</w:t>
      </w:r>
      <w:r w:rsidR="00DB731D" w:rsidRPr="00A52585">
        <w:rPr>
          <w:rFonts w:hint="cs"/>
          <w:rtl/>
        </w:rPr>
        <w:t>،</w:t>
      </w:r>
      <w:r w:rsidR="00777DCB" w:rsidRPr="00A52585">
        <w:rPr>
          <w:rFonts w:hint="cs"/>
          <w:rtl/>
        </w:rPr>
        <w:t xml:space="preserve"> سألوا عنها</w:t>
      </w:r>
      <w:r w:rsidR="00DB731D" w:rsidRPr="00A52585">
        <w:rPr>
          <w:rFonts w:hint="cs"/>
          <w:rtl/>
        </w:rPr>
        <w:t>،</w:t>
      </w:r>
      <w:r w:rsidR="00777DCB" w:rsidRPr="00A52585">
        <w:rPr>
          <w:rFonts w:hint="cs"/>
          <w:rtl/>
        </w:rPr>
        <w:t xml:space="preserve"> والسحاب من جملة خلقه</w:t>
      </w:r>
      <w:r w:rsidR="00DB731D" w:rsidRPr="00A52585">
        <w:rPr>
          <w:rFonts w:hint="cs"/>
          <w:rtl/>
        </w:rPr>
        <w:t>،</w:t>
      </w:r>
      <w:r w:rsidR="00777DCB" w:rsidRPr="00A52585">
        <w:rPr>
          <w:rFonts w:hint="cs"/>
          <w:rtl/>
        </w:rPr>
        <w:t xml:space="preserve"> ولو سئل عما قبل السحاب</w:t>
      </w:r>
      <w:r w:rsidR="00DB731D" w:rsidRPr="00A52585">
        <w:rPr>
          <w:rFonts w:hint="cs"/>
          <w:rtl/>
        </w:rPr>
        <w:t>،</w:t>
      </w:r>
      <w:r w:rsidR="00777DCB" w:rsidRPr="00A52585">
        <w:rPr>
          <w:rFonts w:hint="cs"/>
          <w:rtl/>
        </w:rPr>
        <w:t xml:space="preserve"> لأخبر أن الله تعالى كان ولا شيء معه</w:t>
      </w:r>
      <w:r w:rsidR="00DB731D" w:rsidRPr="00A52585">
        <w:rPr>
          <w:rFonts w:hint="cs"/>
          <w:rtl/>
        </w:rPr>
        <w:t>،</w:t>
      </w:r>
      <w:r w:rsidR="00777DCB" w:rsidRPr="00A52585">
        <w:rPr>
          <w:rFonts w:hint="cs"/>
          <w:rtl/>
        </w:rPr>
        <w:t xml:space="preserve"> كذلك روي عن عمران بن حصين عن رسول الله صلى الله عليه وسلم أنه قال</w:t>
      </w:r>
      <w:r w:rsidRPr="00A52585">
        <w:rPr>
          <w:rFonts w:hint="cs"/>
          <w:rtl/>
        </w:rPr>
        <w:t>:</w:t>
      </w:r>
      <w:r w:rsidR="00777DCB" w:rsidRPr="00A52585">
        <w:rPr>
          <w:rFonts w:hint="cs"/>
          <w:rtl/>
        </w:rPr>
        <w:t xml:space="preserve"> " كان الله ولا شيء معه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صحيح ولم أقف عليه للآن بلفظ</w:t>
      </w:r>
      <w:r w:rsidRPr="00A52585">
        <w:rPr>
          <w:rFonts w:hint="cs"/>
          <w:sz w:val="24"/>
          <w:szCs w:val="24"/>
          <w:rtl/>
        </w:rPr>
        <w:t>:</w:t>
      </w:r>
      <w:r w:rsidR="00777DCB" w:rsidRPr="00A52585">
        <w:rPr>
          <w:rFonts w:hint="cs"/>
          <w:sz w:val="24"/>
          <w:szCs w:val="24"/>
          <w:rtl/>
        </w:rPr>
        <w:t xml:space="preserve"> " ولا شيء معه "</w:t>
      </w:r>
      <w:r w:rsidR="00DB731D" w:rsidRPr="00A52585">
        <w:rPr>
          <w:rFonts w:hint="cs"/>
          <w:sz w:val="24"/>
          <w:szCs w:val="24"/>
          <w:rtl/>
        </w:rPr>
        <w:t>،</w:t>
      </w:r>
      <w:r w:rsidR="00777DCB" w:rsidRPr="00A52585">
        <w:rPr>
          <w:rFonts w:hint="cs"/>
          <w:sz w:val="24"/>
          <w:szCs w:val="24"/>
          <w:rtl/>
        </w:rPr>
        <w:t xml:space="preserve"> وقد ذكره الحافظ ابن حجر في الفتح </w:t>
      </w:r>
      <w:r w:rsidRPr="00A52585">
        <w:rPr>
          <w:rFonts w:hint="cs"/>
          <w:sz w:val="24"/>
          <w:szCs w:val="24"/>
          <w:rtl/>
        </w:rPr>
        <w:t>(</w:t>
      </w:r>
      <w:r w:rsidR="00777DCB" w:rsidRPr="00A52585">
        <w:rPr>
          <w:rFonts w:hint="cs"/>
          <w:sz w:val="24"/>
          <w:szCs w:val="24"/>
          <w:rtl/>
        </w:rPr>
        <w:t>8 / 289</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وفي رواية غير البخاري</w:t>
      </w:r>
      <w:r w:rsidRPr="00A52585">
        <w:rPr>
          <w:rFonts w:hint="cs"/>
          <w:sz w:val="24"/>
          <w:szCs w:val="24"/>
          <w:rtl/>
        </w:rPr>
        <w:t>:</w:t>
      </w:r>
      <w:r w:rsidR="00777DCB" w:rsidRPr="00A52585">
        <w:rPr>
          <w:rFonts w:hint="cs"/>
          <w:sz w:val="24"/>
          <w:szCs w:val="24"/>
          <w:rtl/>
        </w:rPr>
        <w:t xml:space="preserve"> " ولم يكن شيء معه "</w:t>
      </w:r>
      <w:r w:rsidR="00DB731D" w:rsidRPr="00A52585">
        <w:rPr>
          <w:rFonts w:hint="cs"/>
          <w:sz w:val="24"/>
          <w:szCs w:val="24"/>
          <w:rtl/>
        </w:rPr>
        <w:t>،</w:t>
      </w:r>
      <w:r w:rsidR="00777DCB" w:rsidRPr="00A52585">
        <w:rPr>
          <w:rFonts w:hint="cs"/>
          <w:sz w:val="24"/>
          <w:szCs w:val="24"/>
          <w:rtl/>
        </w:rPr>
        <w:t xml:space="preserve"> وكذلك ذكر الحافظ ابن كثير في " البداية والنهاية " </w:t>
      </w:r>
      <w:r w:rsidRPr="00A52585">
        <w:rPr>
          <w:rFonts w:hint="cs"/>
          <w:sz w:val="24"/>
          <w:szCs w:val="24"/>
          <w:rtl/>
        </w:rPr>
        <w:t>(</w:t>
      </w:r>
      <w:r w:rsidR="00777DCB" w:rsidRPr="00A52585">
        <w:rPr>
          <w:rFonts w:hint="cs"/>
          <w:sz w:val="24"/>
          <w:szCs w:val="24"/>
          <w:rtl/>
        </w:rPr>
        <w:t>1 / 9</w:t>
      </w:r>
      <w:r w:rsidRPr="00A52585">
        <w:rPr>
          <w:rFonts w:hint="cs"/>
          <w:sz w:val="24"/>
          <w:szCs w:val="24"/>
          <w:rtl/>
        </w:rPr>
        <w:t>)</w:t>
      </w:r>
      <w:r w:rsidR="00777DCB" w:rsidRPr="00A52585">
        <w:rPr>
          <w:rFonts w:hint="cs"/>
          <w:sz w:val="24"/>
          <w:szCs w:val="24"/>
          <w:rtl/>
        </w:rPr>
        <w:t xml:space="preserve"> وانظر الفتح أيضا </w:t>
      </w:r>
      <w:r w:rsidRPr="00A52585">
        <w:rPr>
          <w:rFonts w:hint="cs"/>
          <w:sz w:val="24"/>
          <w:szCs w:val="24"/>
          <w:rtl/>
        </w:rPr>
        <w:t>(</w:t>
      </w:r>
      <w:r w:rsidR="00777DCB" w:rsidRPr="00A52585">
        <w:rPr>
          <w:rFonts w:hint="cs"/>
          <w:sz w:val="24"/>
          <w:szCs w:val="24"/>
          <w:rtl/>
        </w:rPr>
        <w:t>13 / 410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معناه</w:t>
      </w:r>
      <w:r w:rsidRPr="00A52585">
        <w:rPr>
          <w:rFonts w:hint="cs"/>
          <w:sz w:val="24"/>
          <w:szCs w:val="24"/>
          <w:rtl/>
        </w:rPr>
        <w:t>:</w:t>
      </w:r>
      <w:r w:rsidR="00777DCB" w:rsidRPr="00A52585">
        <w:rPr>
          <w:rFonts w:hint="cs"/>
          <w:sz w:val="24"/>
          <w:szCs w:val="24"/>
          <w:rtl/>
        </w:rPr>
        <w:t xml:space="preserve"> " كان الله ولا شيء غيره " رواه البخاري </w:t>
      </w:r>
      <w:r w:rsidRPr="00A52585">
        <w:rPr>
          <w:rFonts w:hint="cs"/>
          <w:sz w:val="24"/>
          <w:szCs w:val="24"/>
          <w:rtl/>
        </w:rPr>
        <w:t>(</w:t>
      </w:r>
      <w:r w:rsidR="00777DCB" w:rsidRPr="00A52585">
        <w:rPr>
          <w:rFonts w:hint="cs"/>
          <w:sz w:val="24"/>
          <w:szCs w:val="24"/>
          <w:rtl/>
        </w:rPr>
        <w:t>8 / 286 الفتح</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18 / 204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جرير في تفسيره </w:t>
      </w:r>
      <w:r w:rsidRPr="00A52585">
        <w:rPr>
          <w:rFonts w:hint="cs"/>
          <w:sz w:val="24"/>
          <w:szCs w:val="24"/>
          <w:rtl/>
        </w:rPr>
        <w:t>(</w:t>
      </w:r>
      <w:r w:rsidR="00777DCB" w:rsidRPr="00A52585">
        <w:rPr>
          <w:rFonts w:hint="cs"/>
          <w:sz w:val="24"/>
          <w:szCs w:val="24"/>
          <w:rtl/>
        </w:rPr>
        <w:t>12 / 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w:t>
      </w:r>
      <w:r w:rsidRPr="00A52585">
        <w:rPr>
          <w:rFonts w:hint="cs"/>
          <w:sz w:val="24"/>
          <w:szCs w:val="24"/>
          <w:rtl/>
        </w:rPr>
        <w:t>(</w:t>
      </w:r>
      <w:r w:rsidR="00777DCB" w:rsidRPr="00A52585">
        <w:rPr>
          <w:rFonts w:hint="cs"/>
          <w:sz w:val="24"/>
          <w:szCs w:val="24"/>
          <w:rtl/>
        </w:rPr>
        <w:t>2 / 341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والبيهقي </w:t>
      </w:r>
      <w:r w:rsidRPr="00A52585">
        <w:rPr>
          <w:rFonts w:hint="cs"/>
          <w:sz w:val="24"/>
          <w:szCs w:val="24"/>
          <w:rtl/>
        </w:rPr>
        <w:t>(</w:t>
      </w:r>
      <w:r w:rsidR="00777DCB" w:rsidRPr="00A52585">
        <w:rPr>
          <w:rFonts w:hint="cs"/>
          <w:sz w:val="24"/>
          <w:szCs w:val="24"/>
          <w:rtl/>
        </w:rPr>
        <w:t>9 / 3</w:t>
      </w:r>
      <w:r w:rsidRPr="00A52585">
        <w:rPr>
          <w:rFonts w:hint="cs"/>
          <w:sz w:val="24"/>
          <w:szCs w:val="24"/>
          <w:rtl/>
        </w:rPr>
        <w:t>)</w:t>
      </w:r>
      <w:r w:rsidR="00777DCB" w:rsidRPr="00A52585">
        <w:rPr>
          <w:rFonts w:hint="cs"/>
          <w:sz w:val="24"/>
          <w:szCs w:val="24"/>
          <w:rtl/>
        </w:rPr>
        <w:t xml:space="preserve"> وهو صحيح الاسناد بلا شك</w:t>
      </w:r>
      <w:r w:rsidR="00DB731D" w:rsidRPr="00A52585">
        <w:rPr>
          <w:rFonts w:hint="cs"/>
          <w:sz w:val="24"/>
          <w:szCs w:val="24"/>
          <w:rtl/>
        </w:rPr>
        <w:t>،</w:t>
      </w:r>
      <w:r w:rsidR="00777DCB" w:rsidRPr="00A52585">
        <w:rPr>
          <w:rFonts w:hint="cs"/>
          <w:sz w:val="24"/>
          <w:szCs w:val="24"/>
          <w:rtl/>
        </w:rPr>
        <w:t xml:space="preserve"> وفيه رد على من يقول بقدم العالم بالفرد أو بالنوع</w:t>
      </w:r>
      <w:r w:rsidR="00DB731D" w:rsidRPr="00A52585">
        <w:rPr>
          <w:rFonts w:hint="cs"/>
          <w:sz w:val="24"/>
          <w:szCs w:val="24"/>
          <w:rtl/>
        </w:rPr>
        <w:t>،</w:t>
      </w:r>
      <w:r w:rsidR="00777DCB" w:rsidRPr="00A52585">
        <w:rPr>
          <w:rFonts w:hint="cs"/>
          <w:sz w:val="24"/>
          <w:szCs w:val="24"/>
          <w:rtl/>
        </w:rPr>
        <w:t xml:space="preserve"> وراجع في ذلك رسالتنا </w:t>
      </w:r>
      <w:r w:rsidRPr="00A52585">
        <w:rPr>
          <w:rFonts w:hint="cs"/>
          <w:sz w:val="24"/>
          <w:szCs w:val="24"/>
          <w:rtl/>
        </w:rPr>
        <w:t>(</w:t>
      </w:r>
      <w:r w:rsidR="00777DCB" w:rsidRPr="00A52585">
        <w:rPr>
          <w:rFonts w:hint="cs"/>
          <w:sz w:val="24"/>
          <w:szCs w:val="24"/>
          <w:rtl/>
        </w:rPr>
        <w:t>التنبيه والرد على معتقد قدم العالم والحد</w:t>
      </w:r>
      <w:r w:rsidRPr="00A52585">
        <w:rPr>
          <w:rFonts w:hint="cs"/>
          <w:sz w:val="24"/>
          <w:szCs w:val="24"/>
          <w:rtl/>
        </w:rPr>
        <w:t>)]</w:t>
      </w:r>
      <w:r w:rsidR="00777DCB" w:rsidRPr="00A52585">
        <w:rPr>
          <w:rFonts w:hint="cs"/>
          <w:rtl/>
        </w:rPr>
        <w:t>، وقال أبو الحسين ابن المنادى</w:t>
      </w:r>
      <w:r w:rsidR="00DB731D" w:rsidRPr="00A52585">
        <w:rPr>
          <w:rFonts w:hint="cs"/>
          <w:rtl/>
        </w:rPr>
        <w:t>،</w:t>
      </w:r>
      <w:r w:rsidR="00777DCB" w:rsidRPr="00A52585">
        <w:rPr>
          <w:rFonts w:hint="cs"/>
          <w:rtl/>
        </w:rPr>
        <w:t xml:space="preserve"> ونقلته من خطه</w:t>
      </w:r>
      <w:r w:rsidRPr="00A52585">
        <w:rPr>
          <w:rFonts w:hint="cs"/>
          <w:rtl/>
        </w:rPr>
        <w:t>:</w:t>
      </w:r>
      <w:r w:rsidR="00777DCB" w:rsidRPr="00A52585">
        <w:rPr>
          <w:rFonts w:hint="cs"/>
          <w:rtl/>
        </w:rPr>
        <w:t xml:space="preserve"> " وصف الهواء بالفوقية والتحتية مكروه عند أهل العلم لما في ذلك من الجعل كالوعاء لمن ليس كالأشياء جل وتعالى</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ولسنا نختلف أن الجبار لا يعلوه شيء من خلقه بحال</w:t>
      </w:r>
      <w:r w:rsidR="00DB731D" w:rsidRPr="00A52585">
        <w:rPr>
          <w:rFonts w:hint="cs"/>
          <w:rtl/>
        </w:rPr>
        <w:t>،</w:t>
      </w:r>
      <w:r w:rsidR="00777DCB" w:rsidRPr="00A52585">
        <w:rPr>
          <w:rFonts w:hint="cs"/>
          <w:rtl/>
        </w:rPr>
        <w:t xml:space="preserve"> وأنه لا يحل بالأشياء بنفسه</w:t>
      </w:r>
      <w:r w:rsidR="00DB731D" w:rsidRPr="00A52585">
        <w:rPr>
          <w:rFonts w:hint="cs"/>
          <w:rtl/>
        </w:rPr>
        <w:t>،</w:t>
      </w:r>
      <w:r w:rsidR="00777DCB" w:rsidRPr="00A52585">
        <w:rPr>
          <w:rFonts w:hint="cs"/>
          <w:rtl/>
        </w:rPr>
        <w:t xml:space="preserve"> ولا يزول عنها</w:t>
      </w:r>
      <w:r w:rsidR="00DB731D" w:rsidRPr="00A52585">
        <w:rPr>
          <w:rFonts w:hint="cs"/>
          <w:rtl/>
        </w:rPr>
        <w:t>،</w:t>
      </w:r>
      <w:r w:rsidR="00777DCB" w:rsidRPr="00A52585">
        <w:rPr>
          <w:rFonts w:hint="cs"/>
          <w:rtl/>
        </w:rPr>
        <w:t xml:space="preserve"> لأنّه لو حل بها لكان منها</w:t>
      </w:r>
      <w:r w:rsidR="00DB731D" w:rsidRPr="00A52585">
        <w:rPr>
          <w:rFonts w:hint="cs"/>
          <w:rtl/>
        </w:rPr>
        <w:t>،</w:t>
      </w:r>
      <w:r w:rsidR="00777DCB" w:rsidRPr="00A52585">
        <w:rPr>
          <w:rFonts w:hint="cs"/>
          <w:rtl/>
        </w:rPr>
        <w:t xml:space="preserve"> ولو زال عنها </w:t>
      </w:r>
      <w:proofErr w:type="spellStart"/>
      <w:r w:rsidR="00777DCB" w:rsidRPr="00A52585">
        <w:rPr>
          <w:rFonts w:hint="cs"/>
          <w:rtl/>
        </w:rPr>
        <w:t>لنأى</w:t>
      </w:r>
      <w:proofErr w:type="spellEnd"/>
      <w:r w:rsidR="00777DCB" w:rsidRPr="00A52585">
        <w:rPr>
          <w:rFonts w:hint="cs"/>
          <w:rtl/>
        </w:rPr>
        <w:t xml:space="preserve"> عنها فاتفاقنا على هذا أكثر من هذا الخبر على المعنى المكروه</w:t>
      </w:r>
      <w:r w:rsidR="00DB731D" w:rsidRPr="00A52585">
        <w:rPr>
          <w:rFonts w:hint="cs"/>
          <w:rtl/>
        </w:rPr>
        <w:t>،</w:t>
      </w:r>
      <w:r w:rsidR="00777DCB" w:rsidRPr="00A52585">
        <w:rPr>
          <w:rFonts w:hint="cs"/>
          <w:rtl/>
        </w:rPr>
        <w:t xml:space="preserve"> والتأويل المألوف "</w:t>
      </w:r>
      <w:r w:rsidR="00DB731D" w:rsidRPr="00A52585">
        <w:rPr>
          <w:rFonts w:hint="cs"/>
          <w:rtl/>
        </w:rPr>
        <w:t>،</w:t>
      </w:r>
      <w:r w:rsidR="00777DCB" w:rsidRPr="00A52585">
        <w:rPr>
          <w:rFonts w:hint="cs"/>
          <w:rtl/>
        </w:rPr>
        <w:t xml:space="preserve"> </w:t>
      </w:r>
    </w:p>
    <w:p w14:paraId="07B2C8D2" w14:textId="1E23EF1B" w:rsidR="00777DCB" w:rsidRPr="00A52585" w:rsidRDefault="0002035C" w:rsidP="0002035C">
      <w:pPr>
        <w:rPr>
          <w:b/>
          <w:rtl/>
        </w:rPr>
      </w:pPr>
      <w:r w:rsidRPr="00A52585">
        <w:rPr>
          <w:rFonts w:hint="cs"/>
          <w:bCs/>
          <w:u w:val="single"/>
          <w:rtl/>
        </w:rPr>
        <w:t>[</w:t>
      </w:r>
      <w:r w:rsidR="00777DCB" w:rsidRPr="00A52585">
        <w:rPr>
          <w:rFonts w:hint="cs"/>
          <w:bCs/>
          <w:u w:val="single"/>
          <w:rtl/>
        </w:rPr>
        <w:t>19</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 عشر</w:t>
      </w:r>
      <w:r w:rsidRPr="00A52585">
        <w:rPr>
          <w:rFonts w:hint="cs"/>
          <w:bCs/>
          <w:rtl/>
        </w:rPr>
        <w:t>]</w:t>
      </w:r>
      <w:r w:rsidRPr="00A52585">
        <w:rPr>
          <w:rFonts w:hint="cs"/>
          <w:rtl/>
        </w:rPr>
        <w:t>:</w:t>
      </w:r>
      <w:r w:rsidR="00777DCB" w:rsidRPr="00A52585">
        <w:rPr>
          <w:rFonts w:hint="cs"/>
          <w:rtl/>
        </w:rPr>
        <w:t xml:space="preserve"> روى البخاري </w:t>
      </w:r>
      <w:r w:rsidRPr="00A52585">
        <w:rPr>
          <w:rFonts w:hint="cs"/>
          <w:rtl/>
        </w:rPr>
        <w:t>(</w:t>
      </w:r>
      <w:r w:rsidR="00777DCB" w:rsidRPr="00A52585">
        <w:rPr>
          <w:rFonts w:hint="cs"/>
          <w:rtl/>
        </w:rPr>
        <w:t>3 / 29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1 / 522</w:t>
      </w:r>
      <w:r w:rsidRPr="00A52585">
        <w:rPr>
          <w:rFonts w:hint="cs"/>
          <w:rtl/>
        </w:rPr>
        <w:t>)</w:t>
      </w:r>
      <w:r w:rsidR="00777DCB" w:rsidRPr="00A52585">
        <w:rPr>
          <w:rFonts w:hint="cs"/>
          <w:rtl/>
        </w:rPr>
        <w:t xml:space="preserve"> في الصحيحين من حديث أبي هريرة رضي الله عنه عن النبي صلى الله عليه وسلم أنه قال</w:t>
      </w:r>
      <w:r w:rsidRPr="00A52585">
        <w:rPr>
          <w:rFonts w:hint="cs"/>
          <w:rtl/>
        </w:rPr>
        <w:t>:</w:t>
      </w:r>
      <w:r w:rsidR="00777DCB" w:rsidRPr="00A52585">
        <w:rPr>
          <w:rFonts w:hint="cs"/>
          <w:rtl/>
        </w:rPr>
        <w:t xml:space="preserve"> ينزل ربنا كل ليلة إلى السماء الدنيا حتى يبقى ثلث الليل الاخير يقول</w:t>
      </w:r>
      <w:r w:rsidRPr="00A52585">
        <w:rPr>
          <w:rFonts w:hint="cs"/>
          <w:rtl/>
        </w:rPr>
        <w:t>:</w:t>
      </w:r>
      <w:r w:rsidR="00777DCB" w:rsidRPr="00A52585">
        <w:rPr>
          <w:rFonts w:hint="cs"/>
          <w:rtl/>
        </w:rPr>
        <w:t xml:space="preserve"> " من يدعوني فاستجيب له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ضبطه بعض المشايخ كما قال الحافظ ابن حجر في الفتح </w:t>
      </w:r>
      <w:r w:rsidRPr="00A52585">
        <w:rPr>
          <w:rFonts w:hint="cs"/>
          <w:sz w:val="24"/>
          <w:szCs w:val="24"/>
          <w:rtl/>
        </w:rPr>
        <w:t>(</w:t>
      </w:r>
      <w:r w:rsidR="00777DCB" w:rsidRPr="00A52585">
        <w:rPr>
          <w:rFonts w:hint="cs"/>
          <w:sz w:val="24"/>
          <w:szCs w:val="24"/>
          <w:rtl/>
        </w:rPr>
        <w:t>3 / 30</w:t>
      </w:r>
      <w:r w:rsidRPr="00A52585">
        <w:rPr>
          <w:rFonts w:hint="cs"/>
          <w:sz w:val="24"/>
          <w:szCs w:val="24"/>
          <w:rtl/>
        </w:rPr>
        <w:t>)</w:t>
      </w:r>
      <w:r w:rsidR="00777DCB" w:rsidRPr="00A52585">
        <w:rPr>
          <w:rFonts w:hint="cs"/>
          <w:sz w:val="24"/>
          <w:szCs w:val="24"/>
          <w:rtl/>
        </w:rPr>
        <w:t xml:space="preserve"> بضم الياء في ينزل</w:t>
      </w:r>
      <w:r w:rsidR="00DB731D" w:rsidRPr="00A52585">
        <w:rPr>
          <w:rFonts w:hint="cs"/>
          <w:sz w:val="24"/>
          <w:szCs w:val="24"/>
          <w:rtl/>
        </w:rPr>
        <w:t>،</w:t>
      </w:r>
      <w:r w:rsidR="00777DCB" w:rsidRPr="00A52585">
        <w:rPr>
          <w:rFonts w:hint="cs"/>
          <w:sz w:val="24"/>
          <w:szCs w:val="24"/>
          <w:rtl/>
        </w:rPr>
        <w:t xml:space="preserve"> وعلى تقدير الفتح فيها فإن المراد بذلك أنه ينزل سبحانه وتعالى ملكا أي يأمره بالنزول إلى السماء الدنيا فينادي</w:t>
      </w:r>
      <w:r w:rsidR="00DB731D" w:rsidRPr="00A52585">
        <w:rPr>
          <w:rFonts w:hint="cs"/>
          <w:sz w:val="24"/>
          <w:szCs w:val="24"/>
          <w:rtl/>
        </w:rPr>
        <w:t>،</w:t>
      </w:r>
      <w:r w:rsidR="00777DCB" w:rsidRPr="00A52585">
        <w:rPr>
          <w:rFonts w:hint="cs"/>
          <w:sz w:val="24"/>
          <w:szCs w:val="24"/>
          <w:rtl/>
        </w:rPr>
        <w:t xml:space="preserve"> يثبت ذلك ما رواه النسائي في الكبرى </w:t>
      </w:r>
      <w:r w:rsidRPr="00A52585">
        <w:rPr>
          <w:rFonts w:hint="cs"/>
          <w:sz w:val="24"/>
          <w:szCs w:val="24"/>
          <w:rtl/>
        </w:rPr>
        <w:t>(</w:t>
      </w:r>
      <w:r w:rsidR="00777DCB" w:rsidRPr="00A52585">
        <w:rPr>
          <w:rFonts w:hint="cs"/>
          <w:sz w:val="24"/>
          <w:szCs w:val="24"/>
          <w:rtl/>
        </w:rPr>
        <w:t>6 / 124 برقم 10316</w:t>
      </w:r>
      <w:r w:rsidRPr="00A52585">
        <w:rPr>
          <w:rFonts w:hint="cs"/>
          <w:sz w:val="24"/>
          <w:szCs w:val="24"/>
          <w:rtl/>
        </w:rPr>
        <w:t>)</w:t>
      </w:r>
      <w:r w:rsidR="00777DCB" w:rsidRPr="00A52585">
        <w:rPr>
          <w:rFonts w:hint="cs"/>
          <w:sz w:val="24"/>
          <w:szCs w:val="24"/>
          <w:rtl/>
        </w:rPr>
        <w:t xml:space="preserve"> وعمل اليوم والليلة </w:t>
      </w:r>
      <w:r w:rsidRPr="00A52585">
        <w:rPr>
          <w:rFonts w:hint="cs"/>
          <w:sz w:val="24"/>
          <w:szCs w:val="24"/>
          <w:rtl/>
        </w:rPr>
        <w:t>(</w:t>
      </w:r>
      <w:r w:rsidR="00777DCB" w:rsidRPr="00A52585">
        <w:rPr>
          <w:rFonts w:hint="cs"/>
          <w:sz w:val="24"/>
          <w:szCs w:val="24"/>
          <w:rtl/>
        </w:rPr>
        <w:t>ص 340 برقم 482 بتحقيق فاروق حماده</w:t>
      </w:r>
      <w:r w:rsidRPr="00A52585">
        <w:rPr>
          <w:rFonts w:hint="cs"/>
          <w:sz w:val="24"/>
          <w:szCs w:val="24"/>
          <w:rtl/>
        </w:rPr>
        <w:t>)</w:t>
      </w:r>
      <w:r w:rsidR="00777DCB" w:rsidRPr="00A52585">
        <w:rPr>
          <w:rFonts w:hint="cs"/>
          <w:sz w:val="24"/>
          <w:szCs w:val="24"/>
          <w:rtl/>
        </w:rPr>
        <w:t xml:space="preserve"> من حديث أبي سعيد وأبي هريرة مرفوعا</w:t>
      </w:r>
      <w:r w:rsidRPr="00A52585">
        <w:rPr>
          <w:rFonts w:hint="cs"/>
          <w:sz w:val="24"/>
          <w:szCs w:val="24"/>
          <w:rtl/>
        </w:rPr>
        <w:t>:</w:t>
      </w:r>
      <w:r w:rsidR="00777DCB" w:rsidRPr="00A52585">
        <w:rPr>
          <w:rFonts w:hint="cs"/>
          <w:sz w:val="24"/>
          <w:szCs w:val="24"/>
          <w:rtl/>
        </w:rPr>
        <w:t xml:space="preserve"> " إن الله عز وجل يمهل حتى يمضي شطر الليل الاول ثم يأمر مناديا ينادي يقول</w:t>
      </w:r>
      <w:r w:rsidRPr="00A52585">
        <w:rPr>
          <w:rFonts w:hint="cs"/>
          <w:sz w:val="24"/>
          <w:szCs w:val="24"/>
          <w:rtl/>
        </w:rPr>
        <w:t>:</w:t>
      </w:r>
      <w:r w:rsidR="00777DCB" w:rsidRPr="00A52585">
        <w:rPr>
          <w:rFonts w:hint="cs"/>
          <w:sz w:val="24"/>
          <w:szCs w:val="24"/>
          <w:rtl/>
        </w:rPr>
        <w:t xml:space="preserve"> هل من داع يستجاب له</w:t>
      </w:r>
      <w:r w:rsidR="00F95886" w:rsidRPr="00A52585">
        <w:rPr>
          <w:rFonts w:hint="cs"/>
          <w:sz w:val="24"/>
          <w:szCs w:val="24"/>
          <w:rtl/>
        </w:rPr>
        <w:t>؟</w:t>
      </w:r>
      <w:r w:rsidR="00777DCB" w:rsidRPr="00A52585">
        <w:rPr>
          <w:rFonts w:hint="cs"/>
          <w:sz w:val="24"/>
          <w:szCs w:val="24"/>
          <w:rtl/>
        </w:rPr>
        <w:t xml:space="preserve"> هل من مستغفر يغفر له</w:t>
      </w:r>
      <w:r w:rsidR="00F95886" w:rsidRPr="00A52585">
        <w:rPr>
          <w:rFonts w:hint="cs"/>
          <w:sz w:val="24"/>
          <w:szCs w:val="24"/>
          <w:rtl/>
        </w:rPr>
        <w:t>؟</w:t>
      </w:r>
      <w:r w:rsidR="00777DCB" w:rsidRPr="00A52585">
        <w:rPr>
          <w:rFonts w:hint="cs"/>
          <w:sz w:val="24"/>
          <w:szCs w:val="24"/>
          <w:rtl/>
        </w:rPr>
        <w:t xml:space="preserve"> هل من سائل يعطى</w:t>
      </w:r>
      <w:r w:rsidR="00F95886" w:rsidRPr="00A52585">
        <w:rPr>
          <w:rFonts w:hint="cs"/>
          <w:sz w:val="24"/>
          <w:szCs w:val="24"/>
          <w:rtl/>
        </w:rPr>
        <w:t>؟</w:t>
      </w:r>
      <w:r w:rsidR="00777DCB" w:rsidRPr="00A52585">
        <w:rPr>
          <w:rFonts w:hint="cs"/>
          <w:sz w:val="24"/>
          <w:szCs w:val="24"/>
          <w:rtl/>
        </w:rPr>
        <w:t xml:space="preserve"> " وما رواه الامام أحمد </w:t>
      </w:r>
      <w:r w:rsidRPr="00A52585">
        <w:rPr>
          <w:rFonts w:hint="cs"/>
          <w:sz w:val="24"/>
          <w:szCs w:val="24"/>
          <w:rtl/>
        </w:rPr>
        <w:t>(</w:t>
      </w:r>
      <w:r w:rsidR="00777DCB" w:rsidRPr="00A52585">
        <w:rPr>
          <w:rFonts w:hint="cs"/>
          <w:sz w:val="24"/>
          <w:szCs w:val="24"/>
          <w:rtl/>
        </w:rPr>
        <w:t xml:space="preserve">4 / 22 </w:t>
      </w:r>
      <w:proofErr w:type="gramStart"/>
      <w:r w:rsidR="00777DCB" w:rsidRPr="00A52585">
        <w:rPr>
          <w:rFonts w:hint="cs"/>
          <w:sz w:val="24"/>
          <w:szCs w:val="24"/>
          <w:rtl/>
        </w:rPr>
        <w:t>و 217</w:t>
      </w:r>
      <w:proofErr w:type="gramEnd"/>
      <w:r w:rsidRPr="00A52585">
        <w:rPr>
          <w:rFonts w:hint="cs"/>
          <w:sz w:val="24"/>
          <w:szCs w:val="24"/>
          <w:rtl/>
        </w:rPr>
        <w:t>)</w:t>
      </w:r>
      <w:r w:rsidR="00777DCB" w:rsidRPr="00A52585">
        <w:rPr>
          <w:rFonts w:hint="cs"/>
          <w:sz w:val="24"/>
          <w:szCs w:val="24"/>
          <w:rtl/>
        </w:rPr>
        <w:t xml:space="preserve"> والبزار </w:t>
      </w:r>
      <w:r w:rsidRPr="00A52585">
        <w:rPr>
          <w:rFonts w:hint="cs"/>
          <w:sz w:val="24"/>
          <w:szCs w:val="24"/>
          <w:rtl/>
        </w:rPr>
        <w:t>(</w:t>
      </w:r>
      <w:r w:rsidR="00777DCB" w:rsidRPr="00A52585">
        <w:rPr>
          <w:rFonts w:hint="cs"/>
          <w:sz w:val="24"/>
          <w:szCs w:val="24"/>
          <w:rtl/>
        </w:rPr>
        <w:t xml:space="preserve">4 / 44 كشف </w:t>
      </w:r>
      <w:r w:rsidR="00777DCB" w:rsidRPr="00A52585">
        <w:rPr>
          <w:rFonts w:hint="cs"/>
          <w:sz w:val="24"/>
          <w:szCs w:val="24"/>
          <w:rtl/>
        </w:rPr>
        <w:lastRenderedPageBreak/>
        <w:t>الاستار</w:t>
      </w:r>
      <w:r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9 / 51</w:t>
      </w:r>
      <w:r w:rsidRPr="00A52585">
        <w:rPr>
          <w:rFonts w:hint="cs"/>
          <w:sz w:val="24"/>
          <w:szCs w:val="24"/>
          <w:rtl/>
        </w:rPr>
        <w:t>)</w:t>
      </w:r>
      <w:r w:rsidR="00777DCB" w:rsidRPr="00A52585">
        <w:rPr>
          <w:rFonts w:hint="cs"/>
          <w:sz w:val="24"/>
          <w:szCs w:val="24"/>
          <w:rtl/>
        </w:rPr>
        <w:t xml:space="preserve"> عن سيدنا عثمان بن أبي العاص الثقفي مرفوعا</w:t>
      </w:r>
      <w:r w:rsidRPr="00A52585">
        <w:rPr>
          <w:rFonts w:hint="cs"/>
          <w:sz w:val="24"/>
          <w:szCs w:val="24"/>
          <w:rtl/>
        </w:rPr>
        <w:t>:</w:t>
      </w:r>
      <w:r w:rsidR="00777DCB" w:rsidRPr="00A52585">
        <w:rPr>
          <w:rFonts w:hint="cs"/>
          <w:sz w:val="24"/>
          <w:szCs w:val="24"/>
          <w:rtl/>
        </w:rPr>
        <w:t xml:space="preserve"> " تفتح أبواب السماء نصف الليل</w:t>
      </w:r>
      <w:r w:rsidR="00DB731D" w:rsidRPr="00A52585">
        <w:rPr>
          <w:rFonts w:hint="cs"/>
          <w:sz w:val="24"/>
          <w:szCs w:val="24"/>
          <w:rtl/>
        </w:rPr>
        <w:t>،</w:t>
      </w:r>
      <w:r w:rsidR="00777DCB" w:rsidRPr="00A52585">
        <w:rPr>
          <w:rFonts w:hint="cs"/>
          <w:sz w:val="24"/>
          <w:szCs w:val="24"/>
          <w:rtl/>
        </w:rPr>
        <w:t xml:space="preserve"> فينادي مناد</w:t>
      </w:r>
      <w:r w:rsidRPr="00A52585">
        <w:rPr>
          <w:rFonts w:hint="cs"/>
          <w:sz w:val="24"/>
          <w:szCs w:val="24"/>
          <w:rtl/>
        </w:rPr>
        <w:t>:</w:t>
      </w:r>
      <w:r w:rsidR="00777DCB" w:rsidRPr="00A52585">
        <w:rPr>
          <w:rFonts w:hint="cs"/>
          <w:sz w:val="24"/>
          <w:szCs w:val="24"/>
          <w:rtl/>
        </w:rPr>
        <w:t xml:space="preserve"> هل من داع فيستجاب له</w:t>
      </w:r>
      <w:r w:rsidR="00DB731D" w:rsidRPr="00A52585">
        <w:rPr>
          <w:rFonts w:hint="cs"/>
          <w:sz w:val="24"/>
          <w:szCs w:val="24"/>
          <w:rtl/>
        </w:rPr>
        <w:t>،</w:t>
      </w:r>
      <w:r w:rsidR="00777DCB" w:rsidRPr="00A52585">
        <w:rPr>
          <w:rFonts w:hint="cs"/>
          <w:sz w:val="24"/>
          <w:szCs w:val="24"/>
          <w:rtl/>
        </w:rPr>
        <w:t xml:space="preserve"> هل من سائل فيعطى</w:t>
      </w:r>
      <w:r w:rsidR="00DB731D" w:rsidRPr="00A52585">
        <w:rPr>
          <w:rFonts w:hint="cs"/>
          <w:sz w:val="24"/>
          <w:szCs w:val="24"/>
          <w:rtl/>
        </w:rPr>
        <w:t>،</w:t>
      </w:r>
      <w:r w:rsidR="00777DCB" w:rsidRPr="00A52585">
        <w:rPr>
          <w:rFonts w:hint="cs"/>
          <w:sz w:val="24"/>
          <w:szCs w:val="24"/>
          <w:rtl/>
        </w:rPr>
        <w:t xml:space="preserve"> هل من مكروب فيفرج عنه</w:t>
      </w:r>
      <w:r w:rsidR="00DB731D" w:rsidRPr="00A52585">
        <w:rPr>
          <w:rFonts w:hint="cs"/>
          <w:sz w:val="24"/>
          <w:szCs w:val="24"/>
          <w:rtl/>
        </w:rPr>
        <w:t>،</w:t>
      </w:r>
      <w:r w:rsidR="00777DCB" w:rsidRPr="00A52585">
        <w:rPr>
          <w:rFonts w:hint="cs"/>
          <w:sz w:val="24"/>
          <w:szCs w:val="24"/>
          <w:rtl/>
        </w:rPr>
        <w:t xml:space="preserve"> فلا يبقى مسلم يدعو بدعوة إلا استجاب الله عز وجل له إلا زانية تسعى بفرجها أو عشارا " وهو صحيح الاسناد</w:t>
      </w:r>
      <w:r w:rsidR="00DB731D" w:rsidRPr="00A52585">
        <w:rPr>
          <w:rFonts w:hint="cs"/>
          <w:sz w:val="24"/>
          <w:szCs w:val="24"/>
          <w:rtl/>
        </w:rPr>
        <w:t>،</w:t>
      </w:r>
      <w:r w:rsidR="00777DCB" w:rsidRPr="00A52585">
        <w:rPr>
          <w:rFonts w:hint="cs"/>
          <w:sz w:val="24"/>
          <w:szCs w:val="24"/>
          <w:rtl/>
        </w:rPr>
        <w:t xml:space="preserve"> وانظر " مجمع الزوائد " </w:t>
      </w:r>
      <w:r w:rsidRPr="00A52585">
        <w:rPr>
          <w:rFonts w:hint="cs"/>
          <w:sz w:val="24"/>
          <w:szCs w:val="24"/>
          <w:rtl/>
        </w:rPr>
        <w:t>(</w:t>
      </w:r>
      <w:r w:rsidR="00777DCB" w:rsidRPr="00A52585">
        <w:rPr>
          <w:rFonts w:hint="cs"/>
          <w:sz w:val="24"/>
          <w:szCs w:val="24"/>
          <w:rtl/>
        </w:rPr>
        <w:t>10 / 209</w:t>
      </w:r>
      <w:r w:rsidRPr="00A52585">
        <w:rPr>
          <w:rFonts w:hint="cs"/>
          <w:sz w:val="24"/>
          <w:szCs w:val="24"/>
          <w:rtl/>
        </w:rPr>
        <w:t>)</w:t>
      </w:r>
      <w:r w:rsidR="00777DCB" w:rsidRPr="00A52585">
        <w:rPr>
          <w:rFonts w:hint="cs"/>
          <w:sz w:val="24"/>
          <w:szCs w:val="24"/>
          <w:rtl/>
        </w:rPr>
        <w:t xml:space="preserve"> وفيه</w:t>
      </w:r>
      <w:r w:rsidRPr="00A52585">
        <w:rPr>
          <w:rFonts w:hint="cs"/>
          <w:sz w:val="24"/>
          <w:szCs w:val="24"/>
          <w:rtl/>
        </w:rPr>
        <w:t>:</w:t>
      </w:r>
      <w:r w:rsidR="00777DCB" w:rsidRPr="00A52585">
        <w:rPr>
          <w:rFonts w:hint="cs"/>
          <w:sz w:val="24"/>
          <w:szCs w:val="24"/>
          <w:rtl/>
        </w:rPr>
        <w:t xml:space="preserve"> رواه الطبراني</w:t>
      </w:r>
      <w:r w:rsidRPr="00A52585">
        <w:rPr>
          <w:rFonts w:hint="cs"/>
          <w:sz w:val="24"/>
          <w:szCs w:val="24"/>
          <w:rtl/>
        </w:rPr>
        <w:t>:</w:t>
      </w:r>
      <w:r w:rsidR="00777DCB" w:rsidRPr="00A52585">
        <w:rPr>
          <w:rFonts w:hint="cs"/>
          <w:sz w:val="24"/>
          <w:szCs w:val="24"/>
          <w:rtl/>
        </w:rPr>
        <w:t xml:space="preserve"> ورجاله رجال الصحيح</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ضعف حديث النسائي المحدث</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sz w:val="24"/>
          <w:szCs w:val="24"/>
          <w:rtl/>
        </w:rPr>
        <w:t xml:space="preserve"> في " </w:t>
      </w:r>
      <w:proofErr w:type="spellStart"/>
      <w:r w:rsidR="00777DCB" w:rsidRPr="00A52585">
        <w:rPr>
          <w:rFonts w:hint="cs"/>
          <w:sz w:val="24"/>
          <w:szCs w:val="24"/>
          <w:rtl/>
        </w:rPr>
        <w:t>ضعيفته</w:t>
      </w:r>
      <w:proofErr w:type="spellEnd"/>
      <w:r w:rsidR="00777DCB" w:rsidRPr="00A52585">
        <w:rPr>
          <w:rFonts w:hint="cs"/>
          <w:sz w:val="24"/>
          <w:szCs w:val="24"/>
          <w:rtl/>
        </w:rPr>
        <w:t xml:space="preserve"> " برقم </w:t>
      </w:r>
      <w:r w:rsidRPr="00A52585">
        <w:rPr>
          <w:rFonts w:hint="cs"/>
          <w:sz w:val="24"/>
          <w:szCs w:val="24"/>
          <w:rtl/>
        </w:rPr>
        <w:t>(</w:t>
      </w:r>
      <w:r w:rsidR="00777DCB" w:rsidRPr="00A52585">
        <w:rPr>
          <w:rFonts w:hint="cs"/>
          <w:sz w:val="24"/>
          <w:szCs w:val="24"/>
          <w:rtl/>
        </w:rPr>
        <w:t>3897</w:t>
      </w:r>
      <w:r w:rsidRPr="00A52585">
        <w:rPr>
          <w:rFonts w:hint="cs"/>
          <w:sz w:val="24"/>
          <w:szCs w:val="24"/>
          <w:rtl/>
        </w:rPr>
        <w:t>)</w:t>
      </w:r>
      <w:r w:rsidR="00777DCB" w:rsidRPr="00A52585">
        <w:rPr>
          <w:rFonts w:hint="cs"/>
          <w:sz w:val="24"/>
          <w:szCs w:val="24"/>
          <w:rtl/>
        </w:rPr>
        <w:t xml:space="preserve"> كما نقل ذلك عنه الشيخ شعيب في تعليقه على كتاب " أقاويل الثقات " لمرعي الكرمي ص </w:t>
      </w:r>
      <w:r w:rsidRPr="00A52585">
        <w:rPr>
          <w:rFonts w:hint="cs"/>
          <w:sz w:val="24"/>
          <w:szCs w:val="24"/>
          <w:rtl/>
        </w:rPr>
        <w:t>(</w:t>
      </w:r>
      <w:r w:rsidR="00777DCB" w:rsidRPr="00A52585">
        <w:rPr>
          <w:rFonts w:hint="cs"/>
          <w:sz w:val="24"/>
          <w:szCs w:val="24"/>
          <w:rtl/>
        </w:rPr>
        <w:t>205</w:t>
      </w:r>
      <w:r w:rsidRPr="00A52585">
        <w:rPr>
          <w:rFonts w:hint="cs"/>
          <w:sz w:val="24"/>
          <w:szCs w:val="24"/>
          <w:rtl/>
        </w:rPr>
        <w:t>)</w:t>
      </w:r>
      <w:r w:rsidR="00777DCB" w:rsidRPr="00A52585">
        <w:rPr>
          <w:rFonts w:hint="cs"/>
          <w:sz w:val="24"/>
          <w:szCs w:val="24"/>
          <w:rtl/>
        </w:rPr>
        <w:t xml:space="preserve"> من الطبعة الاولى وتابعه على تضعيفه فأخطأ كل منهما</w:t>
      </w:r>
      <w:r w:rsidR="00F95886" w:rsidRPr="00A52585">
        <w:rPr>
          <w:rFonts w:hint="cs"/>
          <w:sz w:val="24"/>
          <w:szCs w:val="24"/>
          <w:rtl/>
        </w:rPr>
        <w:t>!!</w:t>
      </w:r>
      <w:r w:rsidR="00777DCB" w:rsidRPr="00A52585">
        <w:rPr>
          <w:rFonts w:hint="cs"/>
          <w:sz w:val="24"/>
          <w:szCs w:val="24"/>
          <w:rtl/>
        </w:rPr>
        <w:t xml:space="preserve"> وقد زعما أن حفص بن غياث تغير حفظه قليلا بأخرة</w:t>
      </w:r>
      <w:r w:rsidR="00DB731D" w:rsidRPr="00A52585">
        <w:rPr>
          <w:rFonts w:hint="cs"/>
          <w:sz w:val="24"/>
          <w:szCs w:val="24"/>
          <w:rtl/>
        </w:rPr>
        <w:t>،</w:t>
      </w:r>
      <w:r w:rsidR="00777DCB" w:rsidRPr="00A52585">
        <w:rPr>
          <w:rFonts w:hint="cs"/>
          <w:sz w:val="24"/>
          <w:szCs w:val="24"/>
          <w:rtl/>
        </w:rPr>
        <w:t xml:space="preserve"> وأقول</w:t>
      </w:r>
      <w:r w:rsidRPr="00A52585">
        <w:rPr>
          <w:rFonts w:hint="cs"/>
          <w:sz w:val="24"/>
          <w:szCs w:val="24"/>
          <w:rtl/>
        </w:rPr>
        <w:t>:</w:t>
      </w:r>
      <w:r w:rsidR="00777DCB" w:rsidRPr="00A52585">
        <w:rPr>
          <w:rFonts w:hint="cs"/>
          <w:sz w:val="24"/>
          <w:szCs w:val="24"/>
          <w:rtl/>
        </w:rPr>
        <w:t xml:space="preserve"> إن هذا تضعيف مردود لان رواية حفص عن الاعمش كما في إسناد هذا الحديث كانت في كتاب عند ابن حفص</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روى حديث النزول عشرون صحابيا</w:t>
      </w:r>
      <w:r w:rsidR="00DB731D" w:rsidRPr="00A52585">
        <w:rPr>
          <w:rFonts w:hint="cs"/>
          <w:rtl/>
        </w:rPr>
        <w:t>،</w:t>
      </w:r>
      <w:r w:rsidR="00777DCB" w:rsidRPr="00A52585">
        <w:rPr>
          <w:rFonts w:hint="cs"/>
          <w:rtl/>
        </w:rPr>
        <w:t xml:space="preserve"> وقد سبق القول انه يستحيل على الله عز وجل الحركة والنقلة والتغير</w:t>
      </w:r>
      <w:r w:rsidR="00DB731D" w:rsidRPr="00A52585">
        <w:rPr>
          <w:rFonts w:hint="cs"/>
          <w:rtl/>
        </w:rPr>
        <w:t>،</w:t>
      </w:r>
      <w:r w:rsidR="00777DCB" w:rsidRPr="00A52585">
        <w:rPr>
          <w:rFonts w:hint="cs"/>
          <w:rtl/>
        </w:rPr>
        <w:t xml:space="preserve"> فيبقى الناس رجلين</w:t>
      </w:r>
      <w:r w:rsidR="00DB731D"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المتأول له بمعنى</w:t>
      </w:r>
      <w:r w:rsidRPr="00A52585">
        <w:rPr>
          <w:rFonts w:hint="cs"/>
          <w:rtl/>
        </w:rPr>
        <w:t>:</w:t>
      </w:r>
      <w:r w:rsidR="00777DCB" w:rsidRPr="00A52585">
        <w:rPr>
          <w:rFonts w:hint="cs"/>
          <w:rtl/>
        </w:rPr>
        <w:t xml:space="preserve"> أنه يقرب رحمته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وممن أول حديث النزول بنزول رحمته سبحانه الامام مالك بن أنس - رحمه الله تعالى - وهو من أئمة السلف</w:t>
      </w:r>
      <w:r w:rsidR="00DB731D" w:rsidRPr="00A52585">
        <w:rPr>
          <w:rFonts w:hint="cs"/>
          <w:sz w:val="24"/>
          <w:szCs w:val="24"/>
          <w:rtl/>
        </w:rPr>
        <w:t>،</w:t>
      </w:r>
      <w:r w:rsidR="00777DCB" w:rsidRPr="00A52585">
        <w:rPr>
          <w:rFonts w:hint="cs"/>
          <w:sz w:val="24"/>
          <w:szCs w:val="24"/>
          <w:rtl/>
        </w:rPr>
        <w:t xml:space="preserve"> فيما رواه عنه الحافظ ابن عبد البر في كتابه " التمهيد " </w:t>
      </w:r>
      <w:r w:rsidRPr="00A52585">
        <w:rPr>
          <w:rFonts w:hint="cs"/>
          <w:sz w:val="24"/>
          <w:szCs w:val="24"/>
          <w:rtl/>
        </w:rPr>
        <w:t>(</w:t>
      </w:r>
      <w:r w:rsidR="00777DCB" w:rsidRPr="00A52585">
        <w:rPr>
          <w:rFonts w:hint="cs"/>
          <w:sz w:val="24"/>
          <w:szCs w:val="24"/>
          <w:rtl/>
        </w:rPr>
        <w:t>7 / 143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 سير أعلام النبلاء " </w:t>
      </w:r>
      <w:r w:rsidRPr="00A52585">
        <w:rPr>
          <w:rFonts w:hint="cs"/>
          <w:sz w:val="24"/>
          <w:szCs w:val="24"/>
          <w:rtl/>
        </w:rPr>
        <w:t>(</w:t>
      </w:r>
      <w:r w:rsidR="00777DCB" w:rsidRPr="00A52585">
        <w:rPr>
          <w:rFonts w:hint="cs"/>
          <w:sz w:val="24"/>
          <w:szCs w:val="24"/>
          <w:rtl/>
        </w:rPr>
        <w:t>8 / 105</w:t>
      </w:r>
      <w:r w:rsidRPr="00A52585">
        <w:rPr>
          <w:rFonts w:hint="cs"/>
          <w:sz w:val="24"/>
          <w:szCs w:val="24"/>
          <w:rtl/>
        </w:rPr>
        <w:t>):</w:t>
      </w:r>
      <w:r w:rsidR="00777DCB" w:rsidRPr="00A52585">
        <w:rPr>
          <w:rFonts w:hint="cs"/>
          <w:sz w:val="24"/>
          <w:szCs w:val="24"/>
          <w:rtl/>
        </w:rPr>
        <w:t xml:space="preserve"> " قال ابن عدي</w:t>
      </w:r>
      <w:r w:rsidRPr="00A52585">
        <w:rPr>
          <w:rFonts w:hint="cs"/>
          <w:sz w:val="24"/>
          <w:szCs w:val="24"/>
          <w:rtl/>
        </w:rPr>
        <w:t>:</w:t>
      </w:r>
      <w:r w:rsidR="00777DCB" w:rsidRPr="00A52585">
        <w:rPr>
          <w:rFonts w:hint="cs"/>
          <w:sz w:val="24"/>
          <w:szCs w:val="24"/>
          <w:rtl/>
        </w:rPr>
        <w:t xml:space="preserve"> حدثنا محمد بن هارون بن حسان</w:t>
      </w:r>
      <w:r w:rsidR="00DB731D" w:rsidRPr="00A52585">
        <w:rPr>
          <w:rFonts w:hint="cs"/>
          <w:sz w:val="24"/>
          <w:szCs w:val="24"/>
          <w:rtl/>
        </w:rPr>
        <w:t>،</w:t>
      </w:r>
      <w:r w:rsidR="00777DCB" w:rsidRPr="00A52585">
        <w:rPr>
          <w:rFonts w:hint="cs"/>
          <w:sz w:val="24"/>
          <w:szCs w:val="24"/>
          <w:rtl/>
        </w:rPr>
        <w:t xml:space="preserve"> حدثنا صالح بن أيوب</w:t>
      </w:r>
      <w:r w:rsidR="00DB731D" w:rsidRPr="00A52585">
        <w:rPr>
          <w:rFonts w:hint="cs"/>
          <w:sz w:val="24"/>
          <w:szCs w:val="24"/>
          <w:rtl/>
        </w:rPr>
        <w:t>،</w:t>
      </w:r>
      <w:r w:rsidR="00777DCB" w:rsidRPr="00A52585">
        <w:rPr>
          <w:rFonts w:hint="cs"/>
          <w:sz w:val="24"/>
          <w:szCs w:val="24"/>
          <w:rtl/>
        </w:rPr>
        <w:t xml:space="preserve"> حدثنا حبيب بن أبي حبيب</w:t>
      </w:r>
      <w:r w:rsidR="00DB731D" w:rsidRPr="00A52585">
        <w:rPr>
          <w:rFonts w:hint="cs"/>
          <w:sz w:val="24"/>
          <w:szCs w:val="24"/>
          <w:rtl/>
        </w:rPr>
        <w:t>،</w:t>
      </w:r>
      <w:r w:rsidR="00777DCB" w:rsidRPr="00A52585">
        <w:rPr>
          <w:rFonts w:hint="cs"/>
          <w:sz w:val="24"/>
          <w:szCs w:val="24"/>
          <w:rtl/>
        </w:rPr>
        <w:t xml:space="preserve"> حدثني مالك قال</w:t>
      </w:r>
      <w:r w:rsidRPr="00A52585">
        <w:rPr>
          <w:rFonts w:hint="cs"/>
          <w:sz w:val="24"/>
          <w:szCs w:val="24"/>
          <w:rtl/>
        </w:rPr>
        <w:t>:</w:t>
      </w:r>
      <w:r w:rsidR="00777DCB" w:rsidRPr="00A52585">
        <w:rPr>
          <w:rFonts w:hint="cs"/>
          <w:sz w:val="24"/>
          <w:szCs w:val="24"/>
          <w:rtl/>
        </w:rPr>
        <w:t xml:space="preserve"> يتنزل ربنا تبارك وتعالى أمره</w:t>
      </w:r>
      <w:r w:rsidR="00DB731D" w:rsidRPr="00A52585">
        <w:rPr>
          <w:rFonts w:hint="cs"/>
          <w:sz w:val="24"/>
          <w:szCs w:val="24"/>
          <w:rtl/>
        </w:rPr>
        <w:t>،</w:t>
      </w:r>
      <w:r w:rsidR="00777DCB" w:rsidRPr="00A52585">
        <w:rPr>
          <w:rFonts w:hint="cs"/>
          <w:sz w:val="24"/>
          <w:szCs w:val="24"/>
          <w:rtl/>
        </w:rPr>
        <w:t xml:space="preserve"> فأما هو فدائم لا يزول</w:t>
      </w:r>
      <w:r w:rsidR="00DB731D" w:rsidRPr="00A52585">
        <w:rPr>
          <w:rFonts w:hint="cs"/>
          <w:sz w:val="24"/>
          <w:szCs w:val="24"/>
          <w:rtl/>
        </w:rPr>
        <w:t>،</w:t>
      </w:r>
      <w:r w:rsidR="00777DCB" w:rsidRPr="00A52585">
        <w:rPr>
          <w:rFonts w:hint="cs"/>
          <w:sz w:val="24"/>
          <w:szCs w:val="24"/>
          <w:rtl/>
        </w:rPr>
        <w:t xml:space="preserve"> قال صالح</w:t>
      </w:r>
      <w:r w:rsidRPr="00A52585">
        <w:rPr>
          <w:rFonts w:hint="cs"/>
          <w:sz w:val="24"/>
          <w:szCs w:val="24"/>
          <w:rtl/>
        </w:rPr>
        <w:t>:</w:t>
      </w:r>
      <w:r w:rsidR="00777DCB" w:rsidRPr="00A52585">
        <w:rPr>
          <w:rFonts w:hint="cs"/>
          <w:sz w:val="24"/>
          <w:szCs w:val="24"/>
          <w:rtl/>
        </w:rPr>
        <w:t xml:space="preserve"> فذكرت ذلك ليحيى بن بكير</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حسن والله</w:t>
      </w:r>
      <w:r w:rsidR="00DB731D" w:rsidRPr="00A52585">
        <w:rPr>
          <w:rFonts w:hint="cs"/>
          <w:sz w:val="24"/>
          <w:szCs w:val="24"/>
          <w:rtl/>
        </w:rPr>
        <w:t>،</w:t>
      </w:r>
      <w:r w:rsidR="00777DCB" w:rsidRPr="00A52585">
        <w:rPr>
          <w:rFonts w:hint="cs"/>
          <w:sz w:val="24"/>
          <w:szCs w:val="24"/>
          <w:rtl/>
        </w:rPr>
        <w:t xml:space="preserve"> ولم أسمعه من مالك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وفي هذا أن مالكا ينزه الله عن الحركة</w:t>
      </w:r>
      <w:r w:rsidR="00DB731D" w:rsidRPr="00A52585">
        <w:rPr>
          <w:rFonts w:hint="cs"/>
          <w:sz w:val="24"/>
          <w:szCs w:val="24"/>
          <w:rtl/>
        </w:rPr>
        <w:t>،</w:t>
      </w:r>
      <w:r w:rsidR="00777DCB" w:rsidRPr="00A52585">
        <w:rPr>
          <w:rFonts w:hint="cs"/>
          <w:sz w:val="24"/>
          <w:szCs w:val="24"/>
          <w:rtl/>
        </w:rPr>
        <w:t xml:space="preserve"> ولا نقول إنه</w:t>
      </w:r>
      <w:r w:rsidRPr="00A52585">
        <w:rPr>
          <w:rFonts w:hint="cs"/>
          <w:sz w:val="24"/>
          <w:szCs w:val="24"/>
          <w:rtl/>
        </w:rPr>
        <w:t>:</w:t>
      </w:r>
      <w:r w:rsidR="00777DCB" w:rsidRPr="00A52585">
        <w:rPr>
          <w:rFonts w:hint="cs"/>
          <w:sz w:val="24"/>
          <w:szCs w:val="24"/>
          <w:rtl/>
        </w:rPr>
        <w:t xml:space="preserve"> ساكن</w:t>
      </w:r>
      <w:r w:rsidR="00897A24" w:rsidRPr="00A52585">
        <w:rPr>
          <w:rFonts w:hint="cs"/>
          <w:sz w:val="24"/>
          <w:szCs w:val="24"/>
          <w:rtl/>
        </w:rPr>
        <w:t>.</w:t>
      </w:r>
      <w:r w:rsidR="00777DCB" w:rsidRPr="00A52585">
        <w:rPr>
          <w:rFonts w:hint="cs"/>
          <w:sz w:val="24"/>
          <w:szCs w:val="24"/>
          <w:rtl/>
        </w:rPr>
        <w:t xml:space="preserve"> سبحان ربي العظيم الاعلى</w:t>
      </w:r>
      <w:r w:rsidRPr="00A52585">
        <w:rPr>
          <w:rFonts w:hint="cs"/>
          <w:sz w:val="24"/>
          <w:szCs w:val="24"/>
          <w:rtl/>
        </w:rPr>
        <w:t>]</w:t>
      </w:r>
      <w:r w:rsidR="00DB731D" w:rsidRPr="00A52585">
        <w:rPr>
          <w:rFonts w:hint="cs"/>
          <w:rtl/>
        </w:rPr>
        <w:t>،</w:t>
      </w:r>
      <w:r w:rsidR="00777DCB" w:rsidRPr="00A52585">
        <w:rPr>
          <w:rFonts w:hint="cs"/>
          <w:rtl/>
        </w:rPr>
        <w:t xml:space="preserve"> وقد ذكر أشياء بالنزول فقال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وأنزلنا الحديد فيه بأس شديد</w:t>
      </w:r>
      <w:r w:rsidRPr="00A52585">
        <w:rPr>
          <w:rFonts w:hint="cs"/>
          <w:rtl/>
        </w:rPr>
        <w:t>)</w:t>
      </w:r>
      <w:r w:rsidR="00777DCB" w:rsidRPr="00A52585">
        <w:rPr>
          <w:rFonts w:hint="cs"/>
          <w:rtl/>
        </w:rPr>
        <w:t xml:space="preserve"> الحديد</w:t>
      </w:r>
      <w:r w:rsidRPr="00A52585">
        <w:rPr>
          <w:rFonts w:hint="cs"/>
          <w:rtl/>
        </w:rPr>
        <w:t>:</w:t>
      </w:r>
      <w:r w:rsidR="00777DCB" w:rsidRPr="00A52585">
        <w:rPr>
          <w:rFonts w:hint="cs"/>
          <w:rtl/>
        </w:rPr>
        <w:t xml:space="preserve"> 25</w:t>
      </w:r>
      <w:r w:rsidR="00DB731D" w:rsidRPr="00A52585">
        <w:rPr>
          <w:rFonts w:hint="cs"/>
          <w:rtl/>
        </w:rPr>
        <w:t>،</w:t>
      </w:r>
      <w:r w:rsidR="00777DCB" w:rsidRPr="00A52585">
        <w:rPr>
          <w:rFonts w:hint="cs"/>
          <w:rtl/>
        </w:rPr>
        <w:t xml:space="preserve"> وإن كان معدنه بالأرض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وأنزلنا لكم من الانعام ثمانية أزواج</w:t>
      </w:r>
      <w:r w:rsidRPr="00A52585">
        <w:rPr>
          <w:rFonts w:hint="cs"/>
          <w:rtl/>
        </w:rPr>
        <w:t>)</w:t>
      </w:r>
      <w:r w:rsidR="00777DCB" w:rsidRPr="00A52585">
        <w:rPr>
          <w:rFonts w:hint="cs"/>
          <w:rtl/>
        </w:rPr>
        <w:t xml:space="preserve"> الزمر</w:t>
      </w:r>
      <w:r w:rsidRPr="00A52585">
        <w:rPr>
          <w:rFonts w:hint="cs"/>
          <w:rtl/>
        </w:rPr>
        <w:t>:</w:t>
      </w:r>
      <w:r w:rsidR="00777DCB" w:rsidRPr="00A52585">
        <w:rPr>
          <w:rFonts w:hint="cs"/>
          <w:rtl/>
        </w:rPr>
        <w:t xml:space="preserve"> 6</w:t>
      </w:r>
      <w:r w:rsidR="00897A24" w:rsidRPr="00A52585">
        <w:rPr>
          <w:rFonts w:hint="cs"/>
          <w:rtl/>
        </w:rPr>
        <w:t>.</w:t>
      </w:r>
      <w:r w:rsidR="00777DCB" w:rsidRPr="00A52585">
        <w:rPr>
          <w:rFonts w:hint="cs"/>
          <w:rtl/>
        </w:rPr>
        <w:t xml:space="preserve"> ومن لم يعرف كيف نزول الجمل كيف يتكلم في تفصيل هذه الجمل</w:t>
      </w:r>
      <w:r w:rsidR="00897A24" w:rsidRPr="00A52585">
        <w:rPr>
          <w:rFonts w:hint="cs"/>
          <w:rtl/>
        </w:rPr>
        <w:t>..</w:t>
      </w:r>
      <w:r w:rsidR="00F95886" w:rsidRPr="00A52585">
        <w:rPr>
          <w:rFonts w:hint="cs"/>
          <w:rtl/>
        </w:rPr>
        <w:t>؟!</w:t>
      </w:r>
      <w:r w:rsidR="00DB731D" w:rsidRPr="00A52585">
        <w:rPr>
          <w:rFonts w:hint="cs"/>
          <w:rtl/>
        </w:rPr>
        <w:t>،</w:t>
      </w:r>
      <w:r w:rsidR="00777DCB" w:rsidRPr="00A52585">
        <w:rPr>
          <w:rFonts w:hint="cs"/>
          <w:rtl/>
        </w:rPr>
        <w:t xml:space="preserve"> والثاني</w:t>
      </w:r>
      <w:r w:rsidRPr="00A52585">
        <w:rPr>
          <w:rFonts w:hint="cs"/>
          <w:rtl/>
        </w:rPr>
        <w:t>:</w:t>
      </w:r>
      <w:r w:rsidR="00777DCB" w:rsidRPr="00A52585">
        <w:rPr>
          <w:rFonts w:hint="cs"/>
          <w:rtl/>
        </w:rPr>
        <w:t xml:space="preserve"> الساكت عن الكلام في ذلك مع اعتقاد التنزيه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وهم السلف الذين يثبتون النزول ويقولون</w:t>
      </w:r>
      <w:r w:rsidRPr="00A52585">
        <w:rPr>
          <w:rFonts w:hint="cs"/>
          <w:sz w:val="24"/>
          <w:szCs w:val="24"/>
          <w:rtl/>
        </w:rPr>
        <w:t>:</w:t>
      </w:r>
      <w:r w:rsidR="00777DCB" w:rsidRPr="00A52585">
        <w:rPr>
          <w:rFonts w:hint="cs"/>
          <w:sz w:val="24"/>
          <w:szCs w:val="24"/>
          <w:rtl/>
        </w:rPr>
        <w:t xml:space="preserve"> " أمروها كما جاءت " مع اعتقادهم تنزيه الله من الحلول في السماء وبذلك يفارقهم المجسمة الذين يقولون ينزل بذاته</w:t>
      </w:r>
      <w:r w:rsidR="00DB731D" w:rsidRPr="00A52585">
        <w:rPr>
          <w:rFonts w:hint="cs"/>
          <w:sz w:val="24"/>
          <w:szCs w:val="24"/>
          <w:rtl/>
        </w:rPr>
        <w:t>،</w:t>
      </w:r>
      <w:r w:rsidR="00777DCB" w:rsidRPr="00A52585">
        <w:rPr>
          <w:rFonts w:hint="cs"/>
          <w:sz w:val="24"/>
          <w:szCs w:val="24"/>
          <w:rtl/>
        </w:rPr>
        <w:t xml:space="preserve"> قال الحافظ ابن حبان في صحيحه </w:t>
      </w:r>
      <w:r w:rsidRPr="00A52585">
        <w:rPr>
          <w:rFonts w:hint="cs"/>
          <w:sz w:val="24"/>
          <w:szCs w:val="24"/>
          <w:rtl/>
        </w:rPr>
        <w:t>(</w:t>
      </w:r>
      <w:r w:rsidR="00777DCB" w:rsidRPr="00A52585">
        <w:rPr>
          <w:rFonts w:hint="cs"/>
          <w:sz w:val="24"/>
          <w:szCs w:val="24"/>
          <w:rtl/>
        </w:rPr>
        <w:t>2 / 136</w:t>
      </w:r>
      <w:r w:rsidRPr="00A52585">
        <w:rPr>
          <w:rFonts w:hint="cs"/>
          <w:sz w:val="24"/>
          <w:szCs w:val="24"/>
          <w:rtl/>
        </w:rPr>
        <w:t>)</w:t>
      </w:r>
      <w:r w:rsidR="00777DCB" w:rsidRPr="00A52585">
        <w:rPr>
          <w:rFonts w:hint="cs"/>
          <w:sz w:val="24"/>
          <w:szCs w:val="24"/>
          <w:rtl/>
        </w:rPr>
        <w:t xml:space="preserve"> عقب روايته لحديث النزول</w:t>
      </w:r>
      <w:r w:rsidRPr="00A52585">
        <w:rPr>
          <w:rFonts w:hint="cs"/>
          <w:sz w:val="24"/>
          <w:szCs w:val="24"/>
          <w:rtl/>
        </w:rPr>
        <w:t>:</w:t>
      </w:r>
      <w:r w:rsidR="00777DCB" w:rsidRPr="00A52585">
        <w:rPr>
          <w:rFonts w:hint="cs"/>
          <w:sz w:val="24"/>
          <w:szCs w:val="24"/>
          <w:rtl/>
        </w:rPr>
        <w:t xml:space="preserve"> " ينزل بلا آلة ولا تحرك ولا انتقال من مكان إلى مكان " اه‍</w:t>
      </w:r>
      <w:r w:rsidR="00DB731D" w:rsidRPr="00A52585">
        <w:rPr>
          <w:rFonts w:hint="cs"/>
          <w:sz w:val="24"/>
          <w:szCs w:val="24"/>
          <w:rtl/>
        </w:rPr>
        <w:t>،</w:t>
      </w:r>
      <w:r w:rsidR="00777DCB" w:rsidRPr="00A52585">
        <w:rPr>
          <w:rFonts w:hint="cs"/>
          <w:sz w:val="24"/>
          <w:szCs w:val="24"/>
          <w:rtl/>
        </w:rPr>
        <w:t xml:space="preserve"> فهذا مذهب السلف وهو خلاف مذهب الحراني بتشديد الراء الذي يثبت الحركة للمولى سبحانه</w:t>
      </w:r>
      <w:r w:rsidR="00DB731D" w:rsidRPr="00A52585">
        <w:rPr>
          <w:rFonts w:hint="cs"/>
          <w:sz w:val="24"/>
          <w:szCs w:val="24"/>
          <w:rtl/>
        </w:rPr>
        <w:t>،</w:t>
      </w:r>
      <w:r w:rsidR="00777DCB" w:rsidRPr="00A52585">
        <w:rPr>
          <w:rFonts w:hint="cs"/>
          <w:sz w:val="24"/>
          <w:szCs w:val="24"/>
          <w:rtl/>
        </w:rPr>
        <w:t xml:space="preserve"> عما يقول في موافقته </w:t>
      </w:r>
      <w:r w:rsidRPr="00A52585">
        <w:rPr>
          <w:rFonts w:hint="cs"/>
          <w:sz w:val="24"/>
          <w:szCs w:val="24"/>
          <w:rtl/>
        </w:rPr>
        <w:t>(</w:t>
      </w:r>
      <w:r w:rsidR="00777DCB" w:rsidRPr="00A52585">
        <w:rPr>
          <w:rFonts w:hint="cs"/>
          <w:sz w:val="24"/>
          <w:szCs w:val="24"/>
          <w:rtl/>
        </w:rPr>
        <w:t>2 / 4</w:t>
      </w:r>
      <w:r w:rsidRPr="00A52585">
        <w:rPr>
          <w:rFonts w:hint="cs"/>
          <w:sz w:val="24"/>
          <w:szCs w:val="24"/>
          <w:rtl/>
        </w:rPr>
        <w:t>)</w:t>
      </w:r>
      <w:r w:rsidR="00777DCB" w:rsidRPr="00A52585">
        <w:rPr>
          <w:rFonts w:hint="cs"/>
          <w:sz w:val="24"/>
          <w:szCs w:val="24"/>
          <w:rtl/>
        </w:rPr>
        <w:t xml:space="preserve"> وينسبها للسلف زورا والله المستعان عليه وعلى مقلديه</w:t>
      </w:r>
      <w:r w:rsidR="00DB731D" w:rsidRPr="00A52585">
        <w:rPr>
          <w:rFonts w:hint="cs"/>
          <w:sz w:val="24"/>
          <w:szCs w:val="24"/>
          <w:rtl/>
        </w:rPr>
        <w:t>،</w:t>
      </w:r>
      <w:r w:rsidR="00777DCB" w:rsidRPr="00A52585">
        <w:rPr>
          <w:rFonts w:hint="cs"/>
          <w:sz w:val="24"/>
          <w:szCs w:val="24"/>
          <w:rtl/>
        </w:rPr>
        <w:t xml:space="preserve"> وهذا الحراني ينقل في مواضع أخرى عن السلف</w:t>
      </w:r>
      <w:r w:rsidR="00F95886" w:rsidRPr="00A52585">
        <w:rPr>
          <w:rFonts w:hint="cs"/>
          <w:sz w:val="24"/>
          <w:szCs w:val="24"/>
          <w:rtl/>
        </w:rPr>
        <w:t>!!</w:t>
      </w:r>
      <w:r w:rsidR="00777DCB" w:rsidRPr="00A52585">
        <w:rPr>
          <w:rFonts w:hint="cs"/>
          <w:sz w:val="24"/>
          <w:szCs w:val="24"/>
          <w:rtl/>
        </w:rPr>
        <w:t xml:space="preserve"> زورا أنهم اختلفوا عند نزول معبوده هل يخلو منه العرش أم لا</w:t>
      </w:r>
      <w:r w:rsidR="00F95886" w:rsidRPr="00A52585">
        <w:rPr>
          <w:rFonts w:hint="cs"/>
          <w:sz w:val="24"/>
          <w:szCs w:val="24"/>
          <w:rtl/>
        </w:rPr>
        <w:t>؟!</w:t>
      </w:r>
      <w:r w:rsidR="00777DCB" w:rsidRPr="00A52585">
        <w:rPr>
          <w:rFonts w:hint="cs"/>
          <w:sz w:val="24"/>
          <w:szCs w:val="24"/>
          <w:rtl/>
        </w:rPr>
        <w:t xml:space="preserve"> وهذا مع أنه هذيان فارغ يدل على أن الرجل غارق في التجسيم إلى شحمتي أذنيه معتقد بحديث " الاصابع الاربعة " فتنبهوا حفظكم الله</w:t>
      </w:r>
      <w:r w:rsidRPr="00A52585">
        <w:rPr>
          <w:rFonts w:hint="cs"/>
          <w:sz w:val="24"/>
          <w:szCs w:val="24"/>
          <w:rtl/>
        </w:rPr>
        <w:t>]</w:t>
      </w:r>
      <w:r w:rsidR="00777DCB" w:rsidRPr="00A52585">
        <w:rPr>
          <w:rFonts w:hint="cs"/>
          <w:rtl/>
        </w:rPr>
        <w:t>، روى أبو عيسى الترمذي عن مالك بن أنس وسفيان بن عيينة وابن المبارك انهم قالوا</w:t>
      </w:r>
      <w:r w:rsidRPr="00A52585">
        <w:rPr>
          <w:rFonts w:hint="cs"/>
          <w:rtl/>
        </w:rPr>
        <w:t>:</w:t>
      </w:r>
      <w:r w:rsidR="00777DCB" w:rsidRPr="00A52585">
        <w:rPr>
          <w:rFonts w:hint="cs"/>
          <w:rtl/>
        </w:rPr>
        <w:t xml:space="preserve"> أمروا هذه </w:t>
      </w:r>
      <w:proofErr w:type="gramStart"/>
      <w:r w:rsidR="00777DCB" w:rsidRPr="00A52585">
        <w:rPr>
          <w:rFonts w:hint="cs"/>
          <w:rtl/>
        </w:rPr>
        <w:t>الاحاديث</w:t>
      </w:r>
      <w:proofErr w:type="gramEnd"/>
      <w:r w:rsidR="00777DCB" w:rsidRPr="00A52585">
        <w:rPr>
          <w:rFonts w:hint="cs"/>
          <w:rtl/>
        </w:rPr>
        <w:t xml:space="preserve"> بلا كيف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ذلك الترمذي في سننه </w:t>
      </w:r>
      <w:r w:rsidRPr="00A52585">
        <w:rPr>
          <w:rFonts w:hint="cs"/>
          <w:sz w:val="24"/>
          <w:szCs w:val="24"/>
          <w:rtl/>
        </w:rPr>
        <w:t>(</w:t>
      </w:r>
      <w:r w:rsidR="00777DCB" w:rsidRPr="00A52585">
        <w:rPr>
          <w:rFonts w:hint="cs"/>
          <w:sz w:val="24"/>
          <w:szCs w:val="24"/>
          <w:rtl/>
        </w:rPr>
        <w:t>4 / 692</w:t>
      </w:r>
      <w:r w:rsidRPr="00A52585">
        <w:rPr>
          <w:rFonts w:hint="cs"/>
          <w:sz w:val="24"/>
          <w:szCs w:val="24"/>
          <w:rtl/>
        </w:rPr>
        <w:t>)</w:t>
      </w:r>
      <w:r w:rsidR="00777DCB" w:rsidRPr="00A52585">
        <w:rPr>
          <w:rFonts w:hint="cs"/>
          <w:sz w:val="24"/>
          <w:szCs w:val="24"/>
          <w:rtl/>
        </w:rPr>
        <w:t xml:space="preserve"> وقال بعده</w:t>
      </w:r>
      <w:r w:rsidRPr="00A52585">
        <w:rPr>
          <w:rFonts w:hint="cs"/>
          <w:sz w:val="24"/>
          <w:szCs w:val="24"/>
          <w:rtl/>
        </w:rPr>
        <w:t>:</w:t>
      </w:r>
      <w:r w:rsidR="00777DCB" w:rsidRPr="00A52585">
        <w:rPr>
          <w:rFonts w:hint="cs"/>
          <w:sz w:val="24"/>
          <w:szCs w:val="24"/>
          <w:rtl/>
        </w:rPr>
        <w:t xml:space="preserve"> " وهذا الذي اختاره أهل الحديث أن تروى هذه الاشياء كما جاءت ويؤمن بها ولا تفسر ولا تتوهم ولا يقال كيف</w:t>
      </w:r>
      <w:r w:rsidR="00897A24" w:rsidRPr="00A52585">
        <w:rPr>
          <w:rFonts w:hint="cs"/>
          <w:sz w:val="24"/>
          <w:szCs w:val="24"/>
          <w:rtl/>
        </w:rPr>
        <w:t>.</w:t>
      </w:r>
      <w:r w:rsidR="00777DCB" w:rsidRPr="00A52585">
        <w:rPr>
          <w:rFonts w:hint="cs"/>
          <w:sz w:val="24"/>
          <w:szCs w:val="24"/>
          <w:rtl/>
        </w:rPr>
        <w:t>.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والمجسمة توهموا لها كيفا وهو الحركة فاعتقدوا أن الله يتحرك فخالفوا السلف ونسبوا عقيدتهم إلى السلف كما فعل الحراني في موافقته </w:t>
      </w:r>
      <w:r w:rsidRPr="00A52585">
        <w:rPr>
          <w:rFonts w:hint="cs"/>
          <w:sz w:val="24"/>
          <w:szCs w:val="24"/>
          <w:rtl/>
        </w:rPr>
        <w:t>(</w:t>
      </w:r>
      <w:r w:rsidR="00777DCB" w:rsidRPr="00A52585">
        <w:rPr>
          <w:rFonts w:hint="cs"/>
          <w:sz w:val="24"/>
          <w:szCs w:val="24"/>
          <w:rtl/>
        </w:rPr>
        <w:t>2 / 4</w:t>
      </w:r>
      <w:r w:rsidRPr="00A52585">
        <w:rPr>
          <w:rFonts w:hint="cs"/>
          <w:sz w:val="24"/>
          <w:szCs w:val="24"/>
          <w:rtl/>
        </w:rPr>
        <w:t>)</w:t>
      </w:r>
      <w:r w:rsidR="00777DCB" w:rsidRPr="00A52585">
        <w:rPr>
          <w:rFonts w:hint="cs"/>
          <w:sz w:val="24"/>
          <w:szCs w:val="24"/>
          <w:rtl/>
        </w:rPr>
        <w:t xml:space="preserve"> فلا حياهم الله ولا </w:t>
      </w:r>
      <w:proofErr w:type="spellStart"/>
      <w:r w:rsidR="00777DCB" w:rsidRPr="00A52585">
        <w:rPr>
          <w:rFonts w:hint="cs"/>
          <w:sz w:val="24"/>
          <w:szCs w:val="24"/>
          <w:rtl/>
        </w:rPr>
        <w:t>بياهم</w:t>
      </w:r>
      <w:proofErr w:type="spellEnd"/>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والواجب على الخلق اعتقاد التنزيه وامتناع تجويز </w:t>
      </w:r>
      <w:r w:rsidR="00777DCB" w:rsidRPr="00A52585">
        <w:rPr>
          <w:rFonts w:hint="cs"/>
          <w:rtl/>
        </w:rPr>
        <w:lastRenderedPageBreak/>
        <w:t xml:space="preserve">النقلة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الحافظ البيهقي في سننه الكبرى </w:t>
      </w:r>
      <w:r w:rsidRPr="00A52585">
        <w:rPr>
          <w:rFonts w:hint="cs"/>
          <w:sz w:val="24"/>
          <w:szCs w:val="24"/>
          <w:rtl/>
        </w:rPr>
        <w:t>(</w:t>
      </w:r>
      <w:r w:rsidR="00777DCB" w:rsidRPr="00A52585">
        <w:rPr>
          <w:rFonts w:hint="cs"/>
          <w:sz w:val="24"/>
          <w:szCs w:val="24"/>
          <w:rtl/>
        </w:rPr>
        <w:t>3 / 3</w:t>
      </w:r>
      <w:r w:rsidRPr="00A52585">
        <w:rPr>
          <w:rFonts w:hint="cs"/>
          <w:sz w:val="24"/>
          <w:szCs w:val="24"/>
          <w:rtl/>
        </w:rPr>
        <w:t>):</w:t>
      </w:r>
      <w:r w:rsidR="00777DCB" w:rsidRPr="00A52585">
        <w:rPr>
          <w:rFonts w:hint="cs"/>
          <w:sz w:val="24"/>
          <w:szCs w:val="24"/>
          <w:rtl/>
        </w:rPr>
        <w:t xml:space="preserve"> " والنزول </w:t>
      </w:r>
      <w:proofErr w:type="spellStart"/>
      <w:r w:rsidR="00777DCB" w:rsidRPr="00A52585">
        <w:rPr>
          <w:rFonts w:hint="cs"/>
          <w:sz w:val="24"/>
          <w:szCs w:val="24"/>
          <w:rtl/>
        </w:rPr>
        <w:t>والمجئ</w:t>
      </w:r>
      <w:proofErr w:type="spellEnd"/>
      <w:r w:rsidR="00777DCB" w:rsidRPr="00A52585">
        <w:rPr>
          <w:rFonts w:hint="cs"/>
          <w:sz w:val="24"/>
          <w:szCs w:val="24"/>
          <w:rtl/>
        </w:rPr>
        <w:t xml:space="preserve"> صفتان منفيتان عن الله تعالى من طريق الحركة والانتقال من حال إلى حال</w:t>
      </w:r>
      <w:r w:rsidR="00897A24" w:rsidRPr="00A52585">
        <w:rPr>
          <w:rFonts w:hint="cs"/>
          <w:sz w:val="24"/>
          <w:szCs w:val="24"/>
          <w:rtl/>
        </w:rPr>
        <w:t>...</w:t>
      </w:r>
      <w:r w:rsidR="00777DCB" w:rsidRPr="00A52585">
        <w:rPr>
          <w:rFonts w:hint="cs"/>
          <w:sz w:val="24"/>
          <w:szCs w:val="24"/>
          <w:rtl/>
        </w:rPr>
        <w:t xml:space="preserve">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ومن أثبت لله تعالى صفة النزول ونفى عنه الحركة مصيب بلا شك</w:t>
      </w:r>
      <w:r w:rsidR="00DB731D" w:rsidRPr="00A52585">
        <w:rPr>
          <w:rFonts w:hint="cs"/>
          <w:sz w:val="24"/>
          <w:szCs w:val="24"/>
          <w:rtl/>
        </w:rPr>
        <w:t>،</w:t>
      </w:r>
      <w:r w:rsidR="00777DCB" w:rsidRPr="00A52585">
        <w:rPr>
          <w:rFonts w:hint="cs"/>
          <w:sz w:val="24"/>
          <w:szCs w:val="24"/>
          <w:rtl/>
        </w:rPr>
        <w:t xml:space="preserve"> لكن ما ذهبنا إليه من أن المراد بذلك نزول الملك بأمره كما جاء في الحديث الصحيح هو الاصوب والاحسن </w:t>
      </w:r>
      <w:proofErr w:type="spellStart"/>
      <w:r w:rsidR="00777DCB" w:rsidRPr="00A52585">
        <w:rPr>
          <w:rFonts w:hint="cs"/>
          <w:sz w:val="24"/>
          <w:szCs w:val="24"/>
          <w:rtl/>
        </w:rPr>
        <w:t>والاتبع</w:t>
      </w:r>
      <w:proofErr w:type="spellEnd"/>
      <w:r w:rsidR="00777DCB" w:rsidRPr="00A52585">
        <w:rPr>
          <w:rFonts w:hint="cs"/>
          <w:sz w:val="24"/>
          <w:szCs w:val="24"/>
          <w:rtl/>
        </w:rPr>
        <w:t xml:space="preserve"> للسنة على أنه يمكن أن يكون قد أراد أولئك الائمة ما ذهبنا إليه من المعنى</w:t>
      </w:r>
      <w:r w:rsidR="00DB731D" w:rsidRPr="00A52585">
        <w:rPr>
          <w:rFonts w:hint="cs"/>
          <w:sz w:val="24"/>
          <w:szCs w:val="24"/>
          <w:rtl/>
        </w:rPr>
        <w:t>،</w:t>
      </w:r>
      <w:r w:rsidR="00777DCB" w:rsidRPr="00A52585">
        <w:rPr>
          <w:rFonts w:hint="cs"/>
          <w:sz w:val="24"/>
          <w:szCs w:val="24"/>
          <w:rtl/>
        </w:rPr>
        <w:t xml:space="preserve"> وخصوصا أن لغة العرب تقتضي أو تقبل هذا كما يقال غزا الملك البلدة الفلانية وهو لم يبرح قصره فيكون هو الآمر بذلك</w:t>
      </w:r>
      <w:r w:rsidRPr="00A52585">
        <w:rPr>
          <w:rFonts w:hint="cs"/>
          <w:sz w:val="24"/>
          <w:szCs w:val="24"/>
          <w:rtl/>
        </w:rPr>
        <w:t>]</w:t>
      </w:r>
      <w:r w:rsidR="00DB731D" w:rsidRPr="00A52585">
        <w:rPr>
          <w:rFonts w:hint="cs"/>
          <w:sz w:val="24"/>
          <w:szCs w:val="24"/>
          <w:rtl/>
        </w:rPr>
        <w:t>،</w:t>
      </w:r>
      <w:r w:rsidR="00777DCB" w:rsidRPr="00A52585">
        <w:rPr>
          <w:rFonts w:hint="cs"/>
          <w:rtl/>
        </w:rPr>
        <w:t xml:space="preserve"> وأن النزول الذي هو انتقال من مكان إلى مكان يفتقر إلى ثلاثة أجسام</w:t>
      </w:r>
      <w:r w:rsidRPr="00A52585">
        <w:rPr>
          <w:rFonts w:hint="cs"/>
          <w:rtl/>
        </w:rPr>
        <w:t>:</w:t>
      </w:r>
      <w:r w:rsidR="00777DCB" w:rsidRPr="00A52585">
        <w:rPr>
          <w:rFonts w:hint="cs"/>
          <w:rtl/>
        </w:rPr>
        <w:t xml:space="preserve"> جسم عالي</w:t>
      </w:r>
      <w:r w:rsidR="00DB731D" w:rsidRPr="00A52585">
        <w:rPr>
          <w:rFonts w:hint="cs"/>
          <w:rtl/>
        </w:rPr>
        <w:t>،</w:t>
      </w:r>
      <w:r w:rsidR="00777DCB" w:rsidRPr="00A52585">
        <w:rPr>
          <w:rFonts w:hint="cs"/>
          <w:rtl/>
        </w:rPr>
        <w:t xml:space="preserve"> وهو مكان الساكن</w:t>
      </w:r>
      <w:r w:rsidR="00DB731D" w:rsidRPr="00A52585">
        <w:rPr>
          <w:rFonts w:hint="cs"/>
          <w:rtl/>
        </w:rPr>
        <w:t>،</w:t>
      </w:r>
      <w:r w:rsidR="00777DCB" w:rsidRPr="00A52585">
        <w:rPr>
          <w:rFonts w:hint="cs"/>
          <w:rtl/>
        </w:rPr>
        <w:t xml:space="preserve"> وجسم سافل</w:t>
      </w:r>
      <w:r w:rsidR="00DB731D" w:rsidRPr="00A52585">
        <w:rPr>
          <w:rFonts w:hint="cs"/>
          <w:rtl/>
        </w:rPr>
        <w:t>،</w:t>
      </w:r>
      <w:r w:rsidR="00777DCB" w:rsidRPr="00A52585">
        <w:rPr>
          <w:rFonts w:hint="cs"/>
          <w:rtl/>
        </w:rPr>
        <w:t xml:space="preserve"> وجسم ينتقل من علو إلى أسفل</w:t>
      </w:r>
      <w:r w:rsidR="00DB731D" w:rsidRPr="00A52585">
        <w:rPr>
          <w:rFonts w:hint="cs"/>
          <w:rtl/>
        </w:rPr>
        <w:t>،</w:t>
      </w:r>
      <w:r w:rsidR="00777DCB" w:rsidRPr="00A52585">
        <w:rPr>
          <w:rFonts w:hint="cs"/>
          <w:rtl/>
        </w:rPr>
        <w:t xml:space="preserve"> وهذا لا يجوز على الله تعالى قطعا</w:t>
      </w:r>
      <w:r w:rsidR="00DB731D" w:rsidRPr="00A52585">
        <w:rPr>
          <w:rFonts w:hint="cs"/>
          <w:rtl/>
        </w:rPr>
        <w:t>،</w:t>
      </w:r>
      <w:r w:rsidR="00777DCB" w:rsidRPr="00A52585">
        <w:rPr>
          <w:rFonts w:hint="cs"/>
          <w:rtl/>
        </w:rPr>
        <w:t xml:space="preserve"> فإن قال العامي</w:t>
      </w:r>
      <w:r w:rsidRPr="00A52585">
        <w:rPr>
          <w:rFonts w:hint="cs"/>
          <w:rtl/>
        </w:rPr>
        <w:t>:</w:t>
      </w:r>
      <w:r w:rsidR="00777DCB" w:rsidRPr="00A52585">
        <w:rPr>
          <w:rFonts w:hint="cs"/>
          <w:rtl/>
        </w:rPr>
        <w:t xml:space="preserve"> فما الذي أراد بالنزول</w:t>
      </w:r>
      <w:r w:rsidR="00F95886" w:rsidRPr="00A52585">
        <w:rPr>
          <w:rFonts w:hint="cs"/>
          <w:rtl/>
        </w:rPr>
        <w:t>؟</w:t>
      </w:r>
      <w:r w:rsidR="00777DCB" w:rsidRPr="00A52585">
        <w:rPr>
          <w:rFonts w:hint="cs"/>
          <w:rtl/>
        </w:rPr>
        <w:t xml:space="preserve"> قيل</w:t>
      </w:r>
      <w:r w:rsidRPr="00A52585">
        <w:rPr>
          <w:rFonts w:hint="cs"/>
          <w:rtl/>
        </w:rPr>
        <w:t>:</w:t>
      </w:r>
      <w:r w:rsidR="00777DCB" w:rsidRPr="00A52585">
        <w:rPr>
          <w:rFonts w:hint="cs"/>
          <w:rtl/>
        </w:rPr>
        <w:t xml:space="preserve"> راد به معنى يليق بجلاله لا يلزمك التفتيش عنه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الاصوب أن يقال له</w:t>
      </w:r>
      <w:r w:rsidRPr="00A52585">
        <w:rPr>
          <w:rFonts w:hint="cs"/>
          <w:sz w:val="24"/>
          <w:szCs w:val="24"/>
          <w:rtl/>
        </w:rPr>
        <w:t>:</w:t>
      </w:r>
      <w:r w:rsidR="00777DCB" w:rsidRPr="00A52585">
        <w:rPr>
          <w:rFonts w:hint="cs"/>
          <w:sz w:val="24"/>
          <w:szCs w:val="24"/>
          <w:rtl/>
        </w:rPr>
        <w:t xml:space="preserve"> معناه ينزل ملكا وتسرد له الرواية الصحيحة في نزوك الملك حتى لا يبقى في حيرة</w:t>
      </w:r>
      <w:r w:rsidRPr="00A52585">
        <w:rPr>
          <w:rFonts w:hint="cs"/>
          <w:rtl/>
        </w:rPr>
        <w:t>]</w:t>
      </w:r>
      <w:r w:rsidR="00DB731D" w:rsidRPr="00A52585">
        <w:rPr>
          <w:rFonts w:hint="cs"/>
          <w:rtl/>
        </w:rPr>
        <w:t>،</w:t>
      </w:r>
      <w:r w:rsidR="00777DCB" w:rsidRPr="00A52585">
        <w:rPr>
          <w:rFonts w:hint="cs"/>
          <w:rtl/>
        </w:rPr>
        <w:t xml:space="preserve"> فإن قال</w:t>
      </w:r>
      <w:r w:rsidRPr="00A52585">
        <w:rPr>
          <w:rFonts w:hint="cs"/>
          <w:rtl/>
        </w:rPr>
        <w:t>:</w:t>
      </w:r>
      <w:r w:rsidR="00777DCB" w:rsidRPr="00A52585">
        <w:rPr>
          <w:rFonts w:hint="cs"/>
          <w:rtl/>
        </w:rPr>
        <w:t xml:space="preserve"> كيف حدث بما لا أفهمه</w:t>
      </w:r>
      <w:r w:rsidR="00F95886"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قد علمت أن النازل إليك قريب منك</w:t>
      </w:r>
      <w:r w:rsidR="00DB731D" w:rsidRPr="00A52585">
        <w:rPr>
          <w:rFonts w:hint="cs"/>
          <w:rtl/>
        </w:rPr>
        <w:t>،</w:t>
      </w:r>
      <w:r w:rsidR="00777DCB" w:rsidRPr="00A52585">
        <w:rPr>
          <w:rFonts w:hint="cs"/>
          <w:rtl/>
        </w:rPr>
        <w:t xml:space="preserve"> فاقتنع بالقرب ولا تظنه كقرب الاجسام</w:t>
      </w:r>
      <w:r w:rsidR="00DB731D"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هو على العرش بذاته</w:t>
      </w:r>
      <w:r w:rsidR="00DB731D" w:rsidRPr="00A52585">
        <w:rPr>
          <w:rFonts w:hint="cs"/>
          <w:rtl/>
        </w:rPr>
        <w:t>،</w:t>
      </w:r>
      <w:r w:rsidR="00777DCB" w:rsidRPr="00A52585">
        <w:rPr>
          <w:rFonts w:hint="cs"/>
          <w:rtl/>
        </w:rPr>
        <w:t xml:space="preserve"> مماس له</w:t>
      </w:r>
      <w:r w:rsidR="00DB731D" w:rsidRPr="00A52585">
        <w:rPr>
          <w:rFonts w:hint="cs"/>
          <w:rtl/>
        </w:rPr>
        <w:t>،</w:t>
      </w:r>
      <w:r w:rsidR="00777DCB" w:rsidRPr="00A52585">
        <w:rPr>
          <w:rFonts w:hint="cs"/>
          <w:rtl/>
        </w:rPr>
        <w:t xml:space="preserve"> وينزل من مكانه الذي هو فيه فيزول وينتقل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رجل لا يعرف ما يجوز على الله تعالى</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النزول صفة ذاتية</w:t>
      </w:r>
      <w:r w:rsidR="00DB731D" w:rsidRPr="00A52585">
        <w:rPr>
          <w:rFonts w:hint="cs"/>
          <w:rtl/>
        </w:rPr>
        <w:t>،</w:t>
      </w:r>
      <w:r w:rsidR="00777DCB" w:rsidRPr="00A52585">
        <w:rPr>
          <w:rFonts w:hint="cs"/>
          <w:rtl/>
        </w:rPr>
        <w:t xml:space="preserve"> ولا نقول نزوله انتقال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وهذه مغالطة</w:t>
      </w:r>
      <w:r w:rsidR="00DB731D" w:rsidRPr="00A52585">
        <w:rPr>
          <w:rFonts w:hint="cs"/>
          <w:rtl/>
        </w:rPr>
        <w:t>،</w:t>
      </w:r>
      <w:r w:rsidR="00777DCB" w:rsidRPr="00A52585">
        <w:rPr>
          <w:rFonts w:hint="cs"/>
          <w:rtl/>
        </w:rPr>
        <w:t xml:space="preserve"> ومنهم من قال</w:t>
      </w:r>
      <w:r w:rsidRPr="00A52585">
        <w:rPr>
          <w:rFonts w:hint="cs"/>
          <w:rtl/>
        </w:rPr>
        <w:t>:</w:t>
      </w:r>
      <w:r w:rsidR="00777DCB" w:rsidRPr="00A52585">
        <w:rPr>
          <w:rFonts w:hint="cs"/>
          <w:rtl/>
        </w:rPr>
        <w:t xml:space="preserve"> " يتحرك إذا نزل "</w:t>
      </w:r>
      <w:r w:rsidR="00DB731D" w:rsidRPr="00A52585">
        <w:rPr>
          <w:rFonts w:hint="cs"/>
          <w:rtl/>
        </w:rPr>
        <w:t>،</w:t>
      </w:r>
      <w:r w:rsidR="00777DCB" w:rsidRPr="00A52585">
        <w:rPr>
          <w:rFonts w:hint="cs"/>
          <w:rtl/>
        </w:rPr>
        <w:t xml:space="preserve"> ولا يدري أن الحركة لا تجوز على الخالق</w:t>
      </w:r>
      <w:r w:rsidR="00DB731D" w:rsidRPr="00A52585">
        <w:rPr>
          <w:rFonts w:hint="cs"/>
          <w:rtl/>
        </w:rPr>
        <w:t>،</w:t>
      </w:r>
      <w:r w:rsidR="00777DCB" w:rsidRPr="00A52585">
        <w:rPr>
          <w:rFonts w:hint="cs"/>
          <w:rtl/>
        </w:rPr>
        <w:t xml:space="preserve"> وقد حكوا عن أحمد ذلك وهو كذب عليه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كذب </w:t>
      </w:r>
      <w:r w:rsidRPr="00A52585">
        <w:rPr>
          <w:rFonts w:hint="cs"/>
          <w:sz w:val="24"/>
          <w:szCs w:val="24"/>
          <w:rtl/>
        </w:rPr>
        <w:t>[</w:t>
      </w:r>
      <w:r w:rsidR="00777DCB" w:rsidRPr="00A52585">
        <w:rPr>
          <w:rFonts w:hint="cs"/>
          <w:sz w:val="24"/>
          <w:szCs w:val="24"/>
          <w:rtl/>
        </w:rPr>
        <w:t>بعض</w:t>
      </w:r>
      <w:r w:rsidRPr="00A52585">
        <w:rPr>
          <w:rFonts w:hint="cs"/>
          <w:sz w:val="24"/>
          <w:szCs w:val="24"/>
          <w:rtl/>
        </w:rPr>
        <w:t xml:space="preserve">] </w:t>
      </w:r>
      <w:r w:rsidR="00777DCB" w:rsidRPr="00A52585">
        <w:rPr>
          <w:rFonts w:hint="cs"/>
          <w:sz w:val="24"/>
          <w:szCs w:val="24"/>
          <w:rtl/>
        </w:rPr>
        <w:t>الحنابلة على الامام أحمد كثيرا وافتروا على لسانه أشياء هو برئ منها كما أنهم نسبوا إليه مصنفات لم يصنفها</w:t>
      </w:r>
      <w:r w:rsidR="00F95886" w:rsidRPr="00A52585">
        <w:rPr>
          <w:rFonts w:hint="cs"/>
          <w:sz w:val="24"/>
          <w:szCs w:val="24"/>
          <w:rtl/>
        </w:rPr>
        <w:t>!!</w:t>
      </w:r>
      <w:r w:rsidR="00777DCB" w:rsidRPr="00A52585">
        <w:rPr>
          <w:rFonts w:hint="cs"/>
          <w:sz w:val="24"/>
          <w:szCs w:val="24"/>
          <w:rtl/>
        </w:rPr>
        <w:t xml:space="preserve"> فلا يقبل منهم ما ينقلونه عنه وخصوصا الشيخ الحراني</w:t>
      </w:r>
      <w:r w:rsidR="00DB731D" w:rsidRPr="00A52585">
        <w:rPr>
          <w:rFonts w:hint="cs"/>
          <w:sz w:val="24"/>
          <w:szCs w:val="24"/>
          <w:rtl/>
        </w:rPr>
        <w:t>،</w:t>
      </w:r>
      <w:r w:rsidR="00777DCB" w:rsidRPr="00A52585">
        <w:rPr>
          <w:rFonts w:hint="cs"/>
          <w:sz w:val="24"/>
          <w:szCs w:val="24"/>
          <w:rtl/>
        </w:rPr>
        <w:t xml:space="preserve"> وقد مر في تعليق سابق أنهم دسوا في " مسنده " أحاديث كما في " لسان الميزان " </w:t>
      </w:r>
      <w:r w:rsidRPr="00A52585">
        <w:rPr>
          <w:rFonts w:hint="cs"/>
          <w:sz w:val="24"/>
          <w:szCs w:val="24"/>
          <w:rtl/>
        </w:rPr>
        <w:t>(</w:t>
      </w:r>
      <w:r w:rsidR="00777DCB" w:rsidRPr="00A52585">
        <w:rPr>
          <w:rFonts w:hint="cs"/>
          <w:sz w:val="24"/>
          <w:szCs w:val="24"/>
          <w:rtl/>
        </w:rPr>
        <w:t>4 / 32 دار الفكر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وهذا الذهبي يثبت ذلك في " سير أعلام النبلاء " </w:t>
      </w:r>
      <w:r w:rsidRPr="00A52585">
        <w:rPr>
          <w:rFonts w:hint="cs"/>
          <w:sz w:val="24"/>
          <w:szCs w:val="24"/>
          <w:rtl/>
        </w:rPr>
        <w:t>(</w:t>
      </w:r>
      <w:r w:rsidR="00777DCB" w:rsidRPr="00A52585">
        <w:rPr>
          <w:rFonts w:hint="cs"/>
          <w:sz w:val="24"/>
          <w:szCs w:val="24"/>
          <w:rtl/>
        </w:rPr>
        <w:t>11 / 286</w:t>
      </w:r>
      <w:r w:rsidRPr="00A52585">
        <w:rPr>
          <w:rFonts w:hint="cs"/>
          <w:sz w:val="24"/>
          <w:szCs w:val="24"/>
          <w:rtl/>
        </w:rPr>
        <w:t>)</w:t>
      </w:r>
      <w:r w:rsidR="00777DCB" w:rsidRPr="00A52585">
        <w:rPr>
          <w:rFonts w:hint="cs"/>
          <w:sz w:val="24"/>
          <w:szCs w:val="24"/>
          <w:rtl/>
        </w:rPr>
        <w:t xml:space="preserve"> ويطعن في رسالة </w:t>
      </w:r>
      <w:proofErr w:type="spellStart"/>
      <w:r w:rsidR="00777DCB" w:rsidRPr="00A52585">
        <w:rPr>
          <w:rFonts w:hint="cs"/>
          <w:sz w:val="24"/>
          <w:szCs w:val="24"/>
          <w:rtl/>
        </w:rPr>
        <w:t>الاصطخري</w:t>
      </w:r>
      <w:proofErr w:type="spellEnd"/>
      <w:r w:rsidR="00777DCB" w:rsidRPr="00A52585">
        <w:rPr>
          <w:rFonts w:hint="cs"/>
          <w:sz w:val="24"/>
          <w:szCs w:val="24"/>
          <w:rtl/>
        </w:rPr>
        <w:t xml:space="preserve"> التي وضعها الحنابلة ونسبوها </w:t>
      </w:r>
      <w:proofErr w:type="spellStart"/>
      <w:r w:rsidR="00777DCB" w:rsidRPr="00A52585">
        <w:rPr>
          <w:rFonts w:hint="cs"/>
          <w:sz w:val="24"/>
          <w:szCs w:val="24"/>
          <w:rtl/>
        </w:rPr>
        <w:t>للامام</w:t>
      </w:r>
      <w:proofErr w:type="spellEnd"/>
      <w:r w:rsidR="00777DCB" w:rsidRPr="00A52585">
        <w:rPr>
          <w:rFonts w:hint="cs"/>
          <w:sz w:val="24"/>
          <w:szCs w:val="24"/>
          <w:rtl/>
        </w:rPr>
        <w:t xml:space="preserve"> أحمد</w:t>
      </w:r>
      <w:r w:rsidR="00DB731D" w:rsidRPr="00A52585">
        <w:rPr>
          <w:rFonts w:hint="cs"/>
          <w:sz w:val="24"/>
          <w:szCs w:val="24"/>
          <w:rtl/>
        </w:rPr>
        <w:t>،</w:t>
      </w:r>
      <w:r w:rsidR="00777DCB" w:rsidRPr="00A52585">
        <w:rPr>
          <w:rFonts w:hint="cs"/>
          <w:sz w:val="24"/>
          <w:szCs w:val="24"/>
          <w:rtl/>
        </w:rPr>
        <w:t xml:space="preserve"> ورسالة </w:t>
      </w:r>
      <w:proofErr w:type="spellStart"/>
      <w:r w:rsidR="00777DCB" w:rsidRPr="00A52585">
        <w:rPr>
          <w:rFonts w:hint="cs"/>
          <w:sz w:val="24"/>
          <w:szCs w:val="24"/>
          <w:rtl/>
        </w:rPr>
        <w:t>الاصطخري</w:t>
      </w:r>
      <w:proofErr w:type="spellEnd"/>
      <w:r w:rsidR="00777DCB" w:rsidRPr="00A52585">
        <w:rPr>
          <w:rFonts w:hint="cs"/>
          <w:sz w:val="24"/>
          <w:szCs w:val="24"/>
          <w:rtl/>
        </w:rPr>
        <w:t xml:space="preserve"> هذه مذكورة بتمامها في طبقات الحنابلة </w:t>
      </w:r>
      <w:r w:rsidRPr="00A52585">
        <w:rPr>
          <w:rFonts w:hint="cs"/>
          <w:sz w:val="24"/>
          <w:szCs w:val="24"/>
          <w:rtl/>
        </w:rPr>
        <w:t>(</w:t>
      </w:r>
      <w:r w:rsidR="00777DCB" w:rsidRPr="00A52585">
        <w:rPr>
          <w:rFonts w:hint="cs"/>
          <w:sz w:val="24"/>
          <w:szCs w:val="24"/>
          <w:rtl/>
        </w:rPr>
        <w:t>1 / 24</w:t>
      </w:r>
      <w:r w:rsidRPr="00A52585">
        <w:rPr>
          <w:rFonts w:hint="cs"/>
          <w:sz w:val="24"/>
          <w:szCs w:val="24"/>
          <w:rtl/>
        </w:rPr>
        <w:t>)</w:t>
      </w:r>
      <w:r w:rsidR="00777DCB" w:rsidRPr="00A52585">
        <w:rPr>
          <w:rFonts w:hint="cs"/>
          <w:sz w:val="24"/>
          <w:szCs w:val="24"/>
          <w:rtl/>
        </w:rPr>
        <w:t xml:space="preserve"> وفيها من العبارات ما يخالف ما عليه السلف</w:t>
      </w:r>
      <w:r w:rsidRPr="00A52585">
        <w:rPr>
          <w:rFonts w:hint="cs"/>
          <w:sz w:val="24"/>
          <w:szCs w:val="24"/>
          <w:rtl/>
        </w:rPr>
        <w:t>]</w:t>
      </w:r>
      <w:r w:rsidR="00DB731D" w:rsidRPr="00A52585">
        <w:rPr>
          <w:rFonts w:hint="cs"/>
          <w:sz w:val="24"/>
          <w:szCs w:val="24"/>
          <w:rtl/>
        </w:rPr>
        <w:t>،</w:t>
      </w:r>
      <w:r w:rsidR="00777DCB" w:rsidRPr="00A52585">
        <w:rPr>
          <w:rFonts w:hint="cs"/>
          <w:rtl/>
        </w:rPr>
        <w:t xml:space="preserve"> ولو كان النزول صفة لذاته</w:t>
      </w:r>
      <w:r w:rsidR="00DB731D" w:rsidRPr="00A52585">
        <w:rPr>
          <w:rFonts w:hint="cs"/>
          <w:rtl/>
        </w:rPr>
        <w:t>،</w:t>
      </w:r>
      <w:r w:rsidR="00777DCB" w:rsidRPr="00A52585">
        <w:rPr>
          <w:rFonts w:hint="cs"/>
          <w:rtl/>
        </w:rPr>
        <w:t xml:space="preserve"> لكانت صفاته كل ليلة تتجدد وصفاته قديمة كذاته</w:t>
      </w:r>
      <w:r w:rsidR="00DB731D" w:rsidRPr="00A52585">
        <w:rPr>
          <w:rFonts w:hint="cs"/>
          <w:rtl/>
        </w:rPr>
        <w:t>،</w:t>
      </w:r>
      <w:r w:rsidR="00777DCB" w:rsidRPr="00A52585">
        <w:rPr>
          <w:rFonts w:hint="cs"/>
          <w:rtl/>
        </w:rPr>
        <w:t xml:space="preserve"> </w:t>
      </w:r>
    </w:p>
    <w:p w14:paraId="70CEC59A" w14:textId="53CEFDDC" w:rsidR="00777DCB" w:rsidRPr="00A52585" w:rsidRDefault="0002035C" w:rsidP="0002035C">
      <w:pPr>
        <w:rPr>
          <w:b/>
          <w:rtl/>
        </w:rPr>
      </w:pPr>
      <w:r w:rsidRPr="00A52585">
        <w:rPr>
          <w:rFonts w:hint="cs"/>
          <w:bCs/>
          <w:u w:val="single"/>
          <w:rtl/>
        </w:rPr>
        <w:t>[</w:t>
      </w:r>
      <w:r w:rsidR="00777DCB" w:rsidRPr="00A52585">
        <w:rPr>
          <w:rFonts w:hint="cs"/>
          <w:bCs/>
          <w:u w:val="single"/>
          <w:rtl/>
        </w:rPr>
        <w:t>20</w:t>
      </w:r>
      <w:r w:rsidRPr="00A52585">
        <w:rPr>
          <w:rFonts w:hint="cs"/>
          <w:bCs/>
          <w:u w:val="single"/>
          <w:rtl/>
        </w:rPr>
        <w:t>]</w:t>
      </w:r>
      <w:r w:rsidRPr="00A52585">
        <w:rPr>
          <w:rFonts w:hint="cs"/>
          <w:u w:val="single"/>
          <w:rtl/>
        </w:rPr>
        <w:t>:</w:t>
      </w:r>
      <w:r w:rsidR="00777DCB" w:rsidRPr="00A52585">
        <w:rPr>
          <w:rFonts w:hint="cs"/>
          <w:rtl/>
        </w:rPr>
        <w:t xml:space="preserve"> </w:t>
      </w:r>
      <w:r w:rsidRPr="00A52585">
        <w:rPr>
          <w:rFonts w:hint="cs"/>
          <w:bCs/>
          <w:rtl/>
        </w:rPr>
        <w:t>[</w:t>
      </w:r>
      <w:r w:rsidR="00777DCB" w:rsidRPr="00A52585">
        <w:rPr>
          <w:rFonts w:hint="cs"/>
          <w:bCs/>
          <w:rtl/>
        </w:rPr>
        <w:t>الحديث العشرون</w:t>
      </w:r>
      <w:r w:rsidRPr="00A52585">
        <w:rPr>
          <w:rFonts w:hint="cs"/>
          <w:bCs/>
          <w:rtl/>
        </w:rPr>
        <w:t>]</w:t>
      </w:r>
      <w:r w:rsidRPr="00A52585">
        <w:rPr>
          <w:rFonts w:hint="cs"/>
          <w:rtl/>
        </w:rPr>
        <w:t>:</w:t>
      </w:r>
      <w:r w:rsidR="00777DCB" w:rsidRPr="00A52585">
        <w:rPr>
          <w:rFonts w:hint="cs"/>
          <w:rtl/>
        </w:rPr>
        <w:t xml:space="preserve"> روى البخاري </w:t>
      </w:r>
      <w:r w:rsidRPr="00A52585">
        <w:rPr>
          <w:rFonts w:hint="cs"/>
          <w:rtl/>
        </w:rPr>
        <w:t>(</w:t>
      </w:r>
      <w:r w:rsidR="00777DCB" w:rsidRPr="00A52585">
        <w:rPr>
          <w:rFonts w:hint="cs"/>
          <w:rtl/>
        </w:rPr>
        <w:t>7 / 119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3 / 1624</w:t>
      </w:r>
      <w:r w:rsidRPr="00A52585">
        <w:rPr>
          <w:rFonts w:hint="cs"/>
          <w:rtl/>
        </w:rPr>
        <w:t>)</w:t>
      </w:r>
      <w:r w:rsidR="00777DCB" w:rsidRPr="00A52585">
        <w:rPr>
          <w:rFonts w:hint="cs"/>
          <w:rtl/>
        </w:rPr>
        <w:t xml:space="preserve"> في الصحيحين من حديث أبي هريرة رضي الله عنه</w:t>
      </w:r>
      <w:r w:rsidRPr="00A52585">
        <w:rPr>
          <w:rFonts w:hint="cs"/>
          <w:rtl/>
        </w:rPr>
        <w:t>:</w:t>
      </w:r>
      <w:r w:rsidR="00777DCB" w:rsidRPr="00A52585">
        <w:rPr>
          <w:rFonts w:hint="cs"/>
          <w:rtl/>
        </w:rPr>
        <w:t xml:space="preserve"> أن رجلا أتى إلى رسول الله صلى الله عليه وسلم فقال</w:t>
      </w:r>
      <w:r w:rsidRPr="00A52585">
        <w:rPr>
          <w:rFonts w:hint="cs"/>
          <w:rtl/>
        </w:rPr>
        <w:t>:</w:t>
      </w:r>
      <w:r w:rsidR="00777DCB" w:rsidRPr="00A52585">
        <w:rPr>
          <w:rFonts w:hint="cs"/>
          <w:rtl/>
        </w:rPr>
        <w:t xml:space="preserve"> " إني مجهود</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من يضيف هذا هذه </w:t>
      </w:r>
      <w:proofErr w:type="gramStart"/>
      <w:r w:rsidR="00777DCB" w:rsidRPr="00A52585">
        <w:rPr>
          <w:rFonts w:hint="cs"/>
          <w:rtl/>
        </w:rPr>
        <w:t>الليلة</w:t>
      </w:r>
      <w:r w:rsidR="00897A24" w:rsidRPr="00A52585">
        <w:rPr>
          <w:rFonts w:hint="cs"/>
          <w:rtl/>
        </w:rPr>
        <w:t>..</w:t>
      </w:r>
      <w:r w:rsidR="00F95886" w:rsidRPr="00A52585">
        <w:rPr>
          <w:rFonts w:hint="cs"/>
          <w:rtl/>
        </w:rPr>
        <w:t>؟</w:t>
      </w:r>
      <w:proofErr w:type="gramEnd"/>
      <w:r w:rsidR="00777DCB" w:rsidRPr="00A52585">
        <w:rPr>
          <w:rFonts w:hint="cs"/>
          <w:rtl/>
        </w:rPr>
        <w:t xml:space="preserve"> " فقام رجل من الانصار فقال</w:t>
      </w:r>
      <w:r w:rsidRPr="00A52585">
        <w:rPr>
          <w:rFonts w:hint="cs"/>
          <w:rtl/>
        </w:rPr>
        <w:t>:</w:t>
      </w:r>
      <w:r w:rsidR="00777DCB" w:rsidRPr="00A52585">
        <w:rPr>
          <w:rFonts w:hint="cs"/>
          <w:rtl/>
        </w:rPr>
        <w:t xml:space="preserve"> أنا يا رسول الله</w:t>
      </w:r>
      <w:r w:rsidR="00DB731D" w:rsidRPr="00A52585">
        <w:rPr>
          <w:rFonts w:hint="cs"/>
          <w:rtl/>
        </w:rPr>
        <w:t>،</w:t>
      </w:r>
      <w:r w:rsidR="00777DCB" w:rsidRPr="00A52585">
        <w:rPr>
          <w:rFonts w:hint="cs"/>
          <w:rtl/>
        </w:rPr>
        <w:t xml:space="preserve"> فانطلق به فقال لامرأته</w:t>
      </w:r>
      <w:r w:rsidRPr="00A52585">
        <w:rPr>
          <w:rFonts w:hint="cs"/>
          <w:rtl/>
        </w:rPr>
        <w:t>:</w:t>
      </w:r>
      <w:r w:rsidR="00777DCB" w:rsidRPr="00A52585">
        <w:rPr>
          <w:rFonts w:hint="cs"/>
          <w:rtl/>
        </w:rPr>
        <w:t xml:space="preserve"> هل عندك شيء</w:t>
      </w:r>
      <w:r w:rsidR="00F95886" w:rsidRPr="00A52585">
        <w:rPr>
          <w:rFonts w:hint="cs"/>
          <w:rtl/>
        </w:rPr>
        <w:t>؟</w:t>
      </w:r>
      <w:r w:rsidR="00777DCB" w:rsidRPr="00A52585">
        <w:rPr>
          <w:rFonts w:hint="cs"/>
          <w:rtl/>
        </w:rPr>
        <w:t xml:space="preserve"> قالت</w:t>
      </w:r>
      <w:r w:rsidRPr="00A52585">
        <w:rPr>
          <w:rFonts w:hint="cs"/>
          <w:rtl/>
        </w:rPr>
        <w:t>:</w:t>
      </w:r>
      <w:r w:rsidR="00777DCB" w:rsidRPr="00A52585">
        <w:rPr>
          <w:rFonts w:hint="cs"/>
          <w:rtl/>
        </w:rPr>
        <w:t xml:space="preserve"> لا إلا قوت صبياني</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فعلليهم بشيء وإذا أراد الصبية العشاء فنوميهم</w:t>
      </w:r>
      <w:r w:rsidR="00DB731D" w:rsidRPr="00A52585">
        <w:rPr>
          <w:rFonts w:hint="cs"/>
          <w:rtl/>
        </w:rPr>
        <w:t>،</w:t>
      </w:r>
      <w:r w:rsidR="00777DCB" w:rsidRPr="00A52585">
        <w:rPr>
          <w:rFonts w:hint="cs"/>
          <w:rtl/>
        </w:rPr>
        <w:t xml:space="preserve"> فإذا دخل ضيفنا فأطفئي السراج</w:t>
      </w:r>
      <w:r w:rsidR="00DB731D" w:rsidRPr="00A52585">
        <w:rPr>
          <w:rFonts w:hint="cs"/>
          <w:rtl/>
        </w:rPr>
        <w:t>،</w:t>
      </w:r>
      <w:r w:rsidR="00777DCB" w:rsidRPr="00A52585">
        <w:rPr>
          <w:rFonts w:hint="cs"/>
          <w:rtl/>
        </w:rPr>
        <w:t xml:space="preserve"> وأريه أنا نأكل</w:t>
      </w:r>
      <w:r w:rsidR="00DB731D" w:rsidRPr="00A52585">
        <w:rPr>
          <w:rFonts w:hint="cs"/>
          <w:rtl/>
        </w:rPr>
        <w:t>،</w:t>
      </w:r>
      <w:r w:rsidR="00777DCB" w:rsidRPr="00A52585">
        <w:rPr>
          <w:rFonts w:hint="cs"/>
          <w:rtl/>
        </w:rPr>
        <w:t xml:space="preserve"> فقعدوا وأكل الضيف</w:t>
      </w:r>
      <w:r w:rsidR="00DB731D" w:rsidRPr="00A52585">
        <w:rPr>
          <w:rFonts w:hint="cs"/>
          <w:rtl/>
        </w:rPr>
        <w:t>،</w:t>
      </w:r>
      <w:r w:rsidR="00777DCB" w:rsidRPr="00A52585">
        <w:rPr>
          <w:rFonts w:hint="cs"/>
          <w:rtl/>
        </w:rPr>
        <w:t xml:space="preserve"> فلما أصبح غدا على رسول الله صلى الله عليه وسلم فقال</w:t>
      </w:r>
      <w:r w:rsidRPr="00A52585">
        <w:rPr>
          <w:rFonts w:hint="cs"/>
          <w:rtl/>
        </w:rPr>
        <w:t>:</w:t>
      </w:r>
      <w:r w:rsidR="00777DCB" w:rsidRPr="00A52585">
        <w:rPr>
          <w:rFonts w:hint="cs"/>
          <w:rtl/>
        </w:rPr>
        <w:t xml:space="preserve"> " لقد عجب الله من صنيعكما بضيفكما الليلة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وانظر الترمذي </w:t>
      </w:r>
      <w:r w:rsidRPr="00A52585">
        <w:rPr>
          <w:rFonts w:hint="cs"/>
          <w:sz w:val="24"/>
          <w:szCs w:val="24"/>
          <w:rtl/>
        </w:rPr>
        <w:t>(</w:t>
      </w:r>
      <w:r w:rsidR="00777DCB" w:rsidRPr="00A52585">
        <w:rPr>
          <w:rFonts w:hint="cs"/>
          <w:sz w:val="24"/>
          <w:szCs w:val="24"/>
          <w:rtl/>
        </w:rPr>
        <w:t>5 / 409 حديث 3304 شاكر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وشرح مسلم </w:t>
      </w:r>
      <w:proofErr w:type="spellStart"/>
      <w:r w:rsidR="00777DCB" w:rsidRPr="00A52585">
        <w:rPr>
          <w:rFonts w:hint="cs"/>
          <w:sz w:val="24"/>
          <w:szCs w:val="24"/>
          <w:rtl/>
        </w:rPr>
        <w:t>للامام</w:t>
      </w:r>
      <w:proofErr w:type="spellEnd"/>
      <w:r w:rsidR="00777DCB" w:rsidRPr="00A52585">
        <w:rPr>
          <w:rFonts w:hint="cs"/>
          <w:sz w:val="24"/>
          <w:szCs w:val="24"/>
          <w:rtl/>
        </w:rPr>
        <w:t xml:space="preserve"> النووي </w:t>
      </w:r>
      <w:r w:rsidRPr="00A52585">
        <w:rPr>
          <w:rFonts w:hint="cs"/>
          <w:sz w:val="24"/>
          <w:szCs w:val="24"/>
          <w:rtl/>
        </w:rPr>
        <w:t>(</w:t>
      </w:r>
      <w:r w:rsidR="00777DCB" w:rsidRPr="00A52585">
        <w:rPr>
          <w:rFonts w:hint="cs"/>
          <w:sz w:val="24"/>
          <w:szCs w:val="24"/>
          <w:rtl/>
        </w:rPr>
        <w:t>14 / 12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وفتح الباري </w:t>
      </w:r>
      <w:r w:rsidRPr="00A52585">
        <w:rPr>
          <w:rFonts w:hint="cs"/>
          <w:sz w:val="24"/>
          <w:szCs w:val="24"/>
          <w:rtl/>
        </w:rPr>
        <w:t>(</w:t>
      </w:r>
      <w:r w:rsidR="00777DCB" w:rsidRPr="00A52585">
        <w:rPr>
          <w:rFonts w:hint="cs"/>
          <w:sz w:val="24"/>
          <w:szCs w:val="24"/>
          <w:rtl/>
        </w:rPr>
        <w:t>7 / 119 - 120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 xml:space="preserve">وعارضه الاحوذي </w:t>
      </w:r>
      <w:r w:rsidRPr="00A52585">
        <w:rPr>
          <w:rFonts w:hint="cs"/>
          <w:sz w:val="24"/>
          <w:szCs w:val="24"/>
          <w:rtl/>
        </w:rPr>
        <w:t>(</w:t>
      </w:r>
      <w:r w:rsidR="00777DCB" w:rsidRPr="00A52585">
        <w:rPr>
          <w:rFonts w:hint="cs"/>
          <w:sz w:val="24"/>
          <w:szCs w:val="24"/>
          <w:rtl/>
        </w:rPr>
        <w:t>12 / 190 - 191</w:t>
      </w:r>
      <w:r w:rsidRPr="00A52585">
        <w:rPr>
          <w:rFonts w:hint="cs"/>
          <w:sz w:val="24"/>
          <w:szCs w:val="24"/>
          <w:rtl/>
        </w:rPr>
        <w:t>)</w:t>
      </w:r>
      <w:r w:rsidR="00777DCB" w:rsidRPr="00A52585">
        <w:rPr>
          <w:rFonts w:hint="cs"/>
          <w:sz w:val="24"/>
          <w:szCs w:val="24"/>
          <w:rtl/>
        </w:rPr>
        <w:t xml:space="preserve"> وليس في الحديث أي دليل على جواز الاختلاط كما بينت ذلك في بعض كتبي التي رددت بها على من أجاز الاختلاط بحجج أوهى من بيت العنكبوت]</w:t>
      </w:r>
      <w:r w:rsidR="00DB731D" w:rsidRPr="00A52585">
        <w:rPr>
          <w:rFonts w:hint="cs"/>
          <w:rtl/>
        </w:rPr>
        <w:t>،</w:t>
      </w:r>
      <w:r w:rsidR="00777DCB" w:rsidRPr="00A52585">
        <w:rPr>
          <w:rFonts w:hint="cs"/>
          <w:rtl/>
        </w:rPr>
        <w:t xml:space="preserve"> وفي أفراد البخاري </w:t>
      </w:r>
      <w:r w:rsidRPr="00A52585">
        <w:rPr>
          <w:rFonts w:hint="cs"/>
          <w:rtl/>
        </w:rPr>
        <w:t>(</w:t>
      </w:r>
      <w:r w:rsidR="00777DCB" w:rsidRPr="00A52585">
        <w:rPr>
          <w:rFonts w:hint="cs"/>
          <w:rtl/>
        </w:rPr>
        <w:t>6 / 145 فتح</w:t>
      </w:r>
      <w:r w:rsidRPr="00A52585">
        <w:rPr>
          <w:rFonts w:hint="cs"/>
          <w:rtl/>
        </w:rPr>
        <w:t>)</w:t>
      </w:r>
      <w:r w:rsidR="00777DCB" w:rsidRPr="00A52585">
        <w:rPr>
          <w:rFonts w:hint="cs"/>
          <w:rtl/>
        </w:rPr>
        <w:t xml:space="preserve"> من حديث أبي هريرة رضي الله عنه - عن النبي - صلى الله عليه وسلم قال</w:t>
      </w:r>
      <w:r w:rsidRPr="00A52585">
        <w:rPr>
          <w:rFonts w:hint="cs"/>
          <w:rtl/>
        </w:rPr>
        <w:t>:</w:t>
      </w:r>
      <w:r w:rsidR="00777DCB" w:rsidRPr="00A52585">
        <w:rPr>
          <w:rFonts w:hint="cs"/>
          <w:rtl/>
        </w:rPr>
        <w:t xml:space="preserve"> " عجب ربك من قوم جيء بهم في السلاسل حتى يدخلهم الجنة "</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العجب إنما يكون من شيء يدهم الانسان مما لا يعلمه فيستعظمه وهذا لا يليق بالخالق سبحانه</w:t>
      </w:r>
      <w:r w:rsidR="00DB731D" w:rsidRPr="00A52585">
        <w:rPr>
          <w:rFonts w:hint="cs"/>
          <w:rtl/>
        </w:rPr>
        <w:t>،</w:t>
      </w:r>
      <w:r w:rsidR="00777DCB" w:rsidRPr="00A52585">
        <w:rPr>
          <w:rFonts w:hint="cs"/>
          <w:rtl/>
        </w:rPr>
        <w:t xml:space="preserve"> لكن معناه</w:t>
      </w:r>
      <w:r w:rsidRPr="00A52585">
        <w:rPr>
          <w:rFonts w:hint="cs"/>
          <w:rtl/>
        </w:rPr>
        <w:t>:</w:t>
      </w:r>
      <w:r w:rsidR="00777DCB" w:rsidRPr="00A52585">
        <w:rPr>
          <w:rFonts w:hint="cs"/>
          <w:rtl/>
        </w:rPr>
        <w:t xml:space="preserve"> عظم قدر ذلك الشيء عند الله لان المتعجب من شيء يعظم قدره عنده</w:t>
      </w:r>
      <w:r w:rsidR="00DB731D" w:rsidRPr="00A52585">
        <w:rPr>
          <w:rFonts w:hint="cs"/>
          <w:rtl/>
        </w:rPr>
        <w:t>،</w:t>
      </w:r>
      <w:r w:rsidR="00777DCB" w:rsidRPr="00A52585">
        <w:rPr>
          <w:rFonts w:hint="cs"/>
          <w:rtl/>
        </w:rPr>
        <w:t xml:space="preserve"> ومعنى في السلاسل</w:t>
      </w:r>
      <w:r w:rsidRPr="00A52585">
        <w:rPr>
          <w:rFonts w:hint="cs"/>
          <w:rtl/>
        </w:rPr>
        <w:t>:</w:t>
      </w:r>
      <w:r w:rsidR="00777DCB" w:rsidRPr="00A52585">
        <w:rPr>
          <w:rFonts w:hint="cs"/>
          <w:rtl/>
        </w:rPr>
        <w:t xml:space="preserve"> أكرهوا على الطاعة التي بها يدخلون الجنة</w:t>
      </w:r>
      <w:r w:rsidR="00DB731D" w:rsidRPr="00A52585">
        <w:rPr>
          <w:rFonts w:hint="cs"/>
          <w:rtl/>
        </w:rPr>
        <w:t>،</w:t>
      </w:r>
      <w:r w:rsidR="00777DCB" w:rsidRPr="00A52585">
        <w:rPr>
          <w:rFonts w:hint="cs"/>
          <w:rtl/>
        </w:rPr>
        <w:t xml:space="preserve"> وقال ابن الانباري</w:t>
      </w:r>
      <w:r w:rsidRPr="00A52585">
        <w:rPr>
          <w:rFonts w:hint="cs"/>
          <w:rtl/>
        </w:rPr>
        <w:t>:</w:t>
      </w:r>
      <w:r w:rsidR="00777DCB" w:rsidRPr="00A52585">
        <w:rPr>
          <w:rFonts w:hint="cs"/>
          <w:rtl/>
        </w:rPr>
        <w:t xml:space="preserve"> معنى عجب ربك</w:t>
      </w:r>
      <w:r w:rsidRPr="00A52585">
        <w:rPr>
          <w:rFonts w:hint="cs"/>
          <w:rtl/>
        </w:rPr>
        <w:t>:</w:t>
      </w:r>
      <w:r w:rsidR="00777DCB" w:rsidRPr="00A52585">
        <w:rPr>
          <w:rFonts w:hint="cs"/>
          <w:rtl/>
        </w:rPr>
        <w:t xml:space="preserve"> زادهم إنعاما واحسانا</w:t>
      </w:r>
      <w:r w:rsidR="00DB731D" w:rsidRPr="00A52585">
        <w:rPr>
          <w:rFonts w:hint="cs"/>
          <w:rtl/>
        </w:rPr>
        <w:t>،</w:t>
      </w:r>
      <w:r w:rsidR="00777DCB" w:rsidRPr="00A52585">
        <w:rPr>
          <w:rFonts w:hint="cs"/>
          <w:rtl/>
        </w:rPr>
        <w:t xml:space="preserve"> فعبر بعجب عن هذا</w:t>
      </w:r>
      <w:r w:rsidR="00DB731D" w:rsidRPr="00A52585">
        <w:rPr>
          <w:rFonts w:hint="cs"/>
          <w:rtl/>
        </w:rPr>
        <w:t>،</w:t>
      </w:r>
      <w:r w:rsidR="00777DCB" w:rsidRPr="00A52585">
        <w:rPr>
          <w:rFonts w:hint="cs"/>
          <w:rtl/>
        </w:rPr>
        <w:t xml:space="preserve"> وقال ابن عقيل</w:t>
      </w:r>
      <w:r w:rsidRPr="00A52585">
        <w:rPr>
          <w:rFonts w:hint="cs"/>
          <w:rtl/>
        </w:rPr>
        <w:t>:</w:t>
      </w:r>
      <w:r w:rsidR="00777DCB" w:rsidRPr="00A52585">
        <w:rPr>
          <w:rFonts w:hint="cs"/>
          <w:rtl/>
        </w:rPr>
        <w:t xml:space="preserve"> العجب</w:t>
      </w:r>
      <w:r w:rsidR="00897A24" w:rsidRPr="00A52585">
        <w:rPr>
          <w:rFonts w:hint="cs"/>
          <w:rtl/>
        </w:rPr>
        <w:t>.</w:t>
      </w:r>
      <w:r w:rsidR="00777DCB" w:rsidRPr="00A52585">
        <w:rPr>
          <w:rFonts w:hint="cs"/>
          <w:rtl/>
        </w:rPr>
        <w:t xml:space="preserve"> في الاصل استغراب الشيء وذلك يكون من علم ما لم يعلم</w:t>
      </w:r>
      <w:r w:rsidR="00DB731D" w:rsidRPr="00A52585">
        <w:rPr>
          <w:rFonts w:hint="cs"/>
          <w:rtl/>
        </w:rPr>
        <w:t>،</w:t>
      </w:r>
      <w:r w:rsidR="00777DCB" w:rsidRPr="00A52585">
        <w:rPr>
          <w:rFonts w:hint="cs"/>
          <w:rtl/>
        </w:rPr>
        <w:t xml:space="preserve"> وإلا فكل شيء أنس به لا يتصور العجب منه</w:t>
      </w:r>
      <w:r w:rsidR="00DB731D" w:rsidRPr="00A52585">
        <w:rPr>
          <w:rFonts w:hint="cs"/>
          <w:rtl/>
        </w:rPr>
        <w:t>،</w:t>
      </w:r>
      <w:r w:rsidR="00777DCB" w:rsidRPr="00A52585">
        <w:rPr>
          <w:rFonts w:hint="cs"/>
          <w:rtl/>
        </w:rPr>
        <w:t xml:space="preserve"> فإن الانسان إذا رأى حجر المغناطيس يجذب الحديد ولم يكن رآه قبل ذلك عجب</w:t>
      </w:r>
      <w:r w:rsidR="00DB731D" w:rsidRPr="00A52585">
        <w:rPr>
          <w:rFonts w:hint="cs"/>
          <w:rtl/>
        </w:rPr>
        <w:t>،</w:t>
      </w:r>
      <w:r w:rsidR="00777DCB" w:rsidRPr="00A52585">
        <w:rPr>
          <w:rFonts w:hint="cs"/>
          <w:rtl/>
        </w:rPr>
        <w:t xml:space="preserve"> والباري سبحانه لا يعزب عنه شيء</w:t>
      </w:r>
      <w:r w:rsidR="00DB731D" w:rsidRPr="00A52585">
        <w:rPr>
          <w:rFonts w:hint="cs"/>
          <w:rtl/>
        </w:rPr>
        <w:t>،</w:t>
      </w:r>
      <w:r w:rsidR="00777DCB" w:rsidRPr="00A52585">
        <w:rPr>
          <w:rFonts w:hint="cs"/>
          <w:rtl/>
        </w:rPr>
        <w:t xml:space="preserve"> فأين العجب منه</w:t>
      </w:r>
      <w:r w:rsidR="00F95886" w:rsidRPr="00A52585">
        <w:rPr>
          <w:rFonts w:hint="cs"/>
          <w:rtl/>
        </w:rPr>
        <w:t>؟!</w:t>
      </w:r>
      <w:r w:rsidR="00777DCB" w:rsidRPr="00A52585">
        <w:rPr>
          <w:rFonts w:hint="cs"/>
          <w:rtl/>
        </w:rPr>
        <w:t xml:space="preserve"> فلم يبق للحديث معنى إلا ان يكون فعل شيء أعجبه فعله وكذلك الضحك لا يصدر إلا عن راض ومن ذلك قوله صلى الله عليه وسلم</w:t>
      </w:r>
      <w:r w:rsidRPr="00A52585">
        <w:rPr>
          <w:rFonts w:hint="cs"/>
          <w:rtl/>
        </w:rPr>
        <w:t>:</w:t>
      </w:r>
      <w:r w:rsidR="00777DCB" w:rsidRPr="00A52585">
        <w:rPr>
          <w:rFonts w:hint="cs"/>
          <w:rtl/>
        </w:rPr>
        <w:t xml:space="preserve"> " لله أفرح بتوبة عبده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11 / 102 فتح</w:t>
      </w:r>
      <w:r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 xml:space="preserve">4 / 2102 برقم 2 </w:t>
      </w:r>
      <w:proofErr w:type="gramStart"/>
      <w:r w:rsidR="00777DCB" w:rsidRPr="00A52585">
        <w:rPr>
          <w:rFonts w:hint="cs"/>
          <w:sz w:val="24"/>
          <w:szCs w:val="24"/>
          <w:rtl/>
        </w:rPr>
        <w:t>و 3</w:t>
      </w:r>
      <w:proofErr w:type="gramEnd"/>
      <w:r w:rsidRPr="00A52585">
        <w:rPr>
          <w:rFonts w:hint="cs"/>
          <w:sz w:val="24"/>
          <w:szCs w:val="24"/>
          <w:rtl/>
        </w:rPr>
        <w:t>)</w:t>
      </w:r>
      <w:r w:rsidR="00777DCB" w:rsidRPr="00A52585">
        <w:rPr>
          <w:rFonts w:hint="cs"/>
          <w:sz w:val="24"/>
          <w:szCs w:val="24"/>
          <w:rtl/>
        </w:rPr>
        <w:t>]</w:t>
      </w:r>
      <w:r w:rsidR="00777DCB" w:rsidRPr="00A52585">
        <w:rPr>
          <w:rFonts w:hint="cs"/>
          <w:rtl/>
        </w:rPr>
        <w:t xml:space="preserve"> أي رضي</w:t>
      </w:r>
      <w:r w:rsidR="00DB731D" w:rsidRPr="00A52585">
        <w:rPr>
          <w:rFonts w:hint="cs"/>
          <w:rtl/>
        </w:rPr>
        <w:t>،</w:t>
      </w:r>
      <w:r w:rsidR="00777DCB" w:rsidRPr="00A52585">
        <w:rPr>
          <w:rFonts w:hint="cs"/>
          <w:rtl/>
        </w:rPr>
        <w:t xml:space="preserve"> ومنه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 حزب بما لديهم فرحون</w:t>
      </w:r>
      <w:r w:rsidRPr="00A52585">
        <w:rPr>
          <w:rFonts w:hint="cs"/>
          <w:rtl/>
        </w:rPr>
        <w:t>)</w:t>
      </w:r>
      <w:r w:rsidR="00777DCB" w:rsidRPr="00A52585">
        <w:rPr>
          <w:rFonts w:hint="cs"/>
          <w:rtl/>
        </w:rPr>
        <w:t xml:space="preserve"> المؤمنون</w:t>
      </w:r>
      <w:r w:rsidRPr="00A52585">
        <w:rPr>
          <w:rFonts w:hint="cs"/>
          <w:rtl/>
        </w:rPr>
        <w:t>:</w:t>
      </w:r>
      <w:r w:rsidR="00777DCB" w:rsidRPr="00A52585">
        <w:rPr>
          <w:rFonts w:hint="cs"/>
          <w:rtl/>
        </w:rPr>
        <w:t xml:space="preserve"> 54</w:t>
      </w:r>
      <w:r w:rsidR="00DB731D" w:rsidRPr="00A52585">
        <w:rPr>
          <w:rFonts w:hint="cs"/>
          <w:rtl/>
        </w:rPr>
        <w:t>،</w:t>
      </w:r>
      <w:r w:rsidR="00777DCB" w:rsidRPr="00A52585">
        <w:rPr>
          <w:rFonts w:hint="cs"/>
          <w:rtl/>
        </w:rPr>
        <w:t xml:space="preserve"> أي راضون</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لا نثبت عجبا هو تعظيم الامر بل نثبت ذلك صفة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ليس بشيء</w:t>
      </w:r>
      <w:r w:rsidR="00DB731D" w:rsidRPr="00A52585">
        <w:rPr>
          <w:rFonts w:hint="cs"/>
          <w:rtl/>
        </w:rPr>
        <w:t>،</w:t>
      </w:r>
      <w:r w:rsidR="00777DCB" w:rsidRPr="00A52585">
        <w:rPr>
          <w:rFonts w:hint="cs"/>
          <w:rtl/>
        </w:rPr>
        <w:t xml:space="preserve"> </w:t>
      </w:r>
    </w:p>
    <w:p w14:paraId="477F9051" w14:textId="5BE024A7" w:rsidR="00777DCB" w:rsidRPr="00A52585" w:rsidRDefault="0002035C" w:rsidP="0002035C">
      <w:pPr>
        <w:rPr>
          <w:b/>
          <w:rtl/>
        </w:rPr>
      </w:pPr>
      <w:r w:rsidRPr="00A52585">
        <w:rPr>
          <w:rFonts w:hint="cs"/>
          <w:bCs/>
          <w:u w:val="single"/>
          <w:rtl/>
        </w:rPr>
        <w:t>[</w:t>
      </w:r>
      <w:r w:rsidR="00777DCB" w:rsidRPr="00A52585">
        <w:rPr>
          <w:rFonts w:hint="cs"/>
          <w:bCs/>
          <w:u w:val="single"/>
          <w:rtl/>
        </w:rPr>
        <w:t>21</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الحادي والعشرون</w:t>
      </w:r>
      <w:r w:rsidRPr="00A52585">
        <w:rPr>
          <w:rFonts w:hint="cs"/>
          <w:bCs/>
          <w:rtl/>
        </w:rPr>
        <w:t>]</w:t>
      </w:r>
      <w:r w:rsidRPr="00A52585">
        <w:rPr>
          <w:rFonts w:hint="cs"/>
          <w:rtl/>
        </w:rPr>
        <w:t>:</w:t>
      </w:r>
      <w:r w:rsidR="00777DCB" w:rsidRPr="00A52585">
        <w:rPr>
          <w:rFonts w:hint="cs"/>
          <w:rtl/>
        </w:rPr>
        <w:t xml:space="preserve"> روى البخاري </w:t>
      </w:r>
      <w:r w:rsidRPr="00A52585">
        <w:rPr>
          <w:rFonts w:hint="cs"/>
          <w:rtl/>
        </w:rPr>
        <w:t>(</w:t>
      </w:r>
      <w:r w:rsidR="00777DCB" w:rsidRPr="00A52585">
        <w:rPr>
          <w:rFonts w:hint="cs"/>
          <w:rtl/>
        </w:rPr>
        <w:t>11 / 102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2102 / 4</w:t>
      </w:r>
      <w:r w:rsidRPr="00A52585">
        <w:rPr>
          <w:rFonts w:hint="cs"/>
          <w:rtl/>
        </w:rPr>
        <w:t>)</w:t>
      </w:r>
      <w:r w:rsidR="00777DCB" w:rsidRPr="00A52585">
        <w:rPr>
          <w:rFonts w:hint="cs"/>
          <w:rtl/>
        </w:rPr>
        <w:t xml:space="preserve"> من حديث أبي هريرة رضي الله عنه</w:t>
      </w:r>
      <w:r w:rsidR="00DB731D" w:rsidRPr="00A52585">
        <w:rPr>
          <w:rFonts w:hint="cs"/>
          <w:rtl/>
        </w:rPr>
        <w:t>،</w:t>
      </w:r>
      <w:r w:rsidR="00777DCB" w:rsidRPr="00A52585">
        <w:rPr>
          <w:rFonts w:hint="cs"/>
          <w:rtl/>
        </w:rPr>
        <w:t xml:space="preserve"> عن النبي صلى الله عليه وسلم قال</w:t>
      </w:r>
      <w:r w:rsidRPr="00A52585">
        <w:rPr>
          <w:rFonts w:hint="cs"/>
          <w:rtl/>
        </w:rPr>
        <w:t>:</w:t>
      </w:r>
      <w:r w:rsidR="00777DCB" w:rsidRPr="00A52585">
        <w:rPr>
          <w:rFonts w:hint="cs"/>
          <w:rtl/>
        </w:rPr>
        <w:t xml:space="preserve"> " لله أشد فرحا بتوبة عبده إذا تاب</w:t>
      </w:r>
      <w:r w:rsidR="00DB731D" w:rsidRPr="00A52585">
        <w:rPr>
          <w:rFonts w:hint="cs"/>
          <w:rtl/>
        </w:rPr>
        <w:t>،</w:t>
      </w:r>
      <w:r w:rsidR="00777DCB" w:rsidRPr="00A52585">
        <w:rPr>
          <w:rFonts w:hint="cs"/>
          <w:rtl/>
        </w:rPr>
        <w:t xml:space="preserve"> من أحدكم </w:t>
      </w:r>
      <w:proofErr w:type="spellStart"/>
      <w:r w:rsidR="00777DCB" w:rsidRPr="00A52585">
        <w:rPr>
          <w:rFonts w:hint="cs"/>
          <w:rtl/>
        </w:rPr>
        <w:t>براحلته</w:t>
      </w:r>
      <w:proofErr w:type="spellEnd"/>
      <w:r w:rsidR="00777DCB" w:rsidRPr="00A52585">
        <w:rPr>
          <w:rFonts w:hint="cs"/>
          <w:rtl/>
        </w:rPr>
        <w:t xml:space="preserve"> إذا وجدها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من كان مسرورا بشيء راضيا به قيل له فرح</w:t>
      </w:r>
      <w:r w:rsidR="00DB731D" w:rsidRPr="00A52585">
        <w:rPr>
          <w:rFonts w:hint="cs"/>
          <w:rtl/>
        </w:rPr>
        <w:t>،</w:t>
      </w:r>
      <w:r w:rsidR="00777DCB" w:rsidRPr="00A52585">
        <w:rPr>
          <w:rFonts w:hint="cs"/>
          <w:rtl/>
        </w:rPr>
        <w:t xml:space="preserve"> والمراد الرضا بتوبة التائب</w:t>
      </w:r>
      <w:r w:rsidR="00DB731D" w:rsidRPr="00A52585">
        <w:rPr>
          <w:rFonts w:hint="cs"/>
          <w:rtl/>
        </w:rPr>
        <w:t>،</w:t>
      </w:r>
      <w:r w:rsidR="00777DCB" w:rsidRPr="00A52585">
        <w:rPr>
          <w:rFonts w:hint="cs"/>
          <w:rtl/>
        </w:rPr>
        <w:t xml:space="preserve"> ولا يجوز أن يعتقد في الله تعالى التأثر الذي يوجد في المخلوقين</w:t>
      </w:r>
      <w:r w:rsidR="00DB731D" w:rsidRPr="00A52585">
        <w:rPr>
          <w:rFonts w:hint="cs"/>
          <w:rtl/>
        </w:rPr>
        <w:t>،</w:t>
      </w:r>
      <w:r w:rsidR="00777DCB" w:rsidRPr="00A52585">
        <w:rPr>
          <w:rFonts w:hint="cs"/>
          <w:rtl/>
        </w:rPr>
        <w:t xml:space="preserve"> فإن صفات الحق قديمة فلا تحدث له صفة</w:t>
      </w:r>
      <w:r w:rsidR="00DB731D" w:rsidRPr="00A52585">
        <w:rPr>
          <w:rFonts w:hint="cs"/>
          <w:rtl/>
        </w:rPr>
        <w:t>،</w:t>
      </w:r>
      <w:r w:rsidR="00777DCB" w:rsidRPr="00A52585">
        <w:rPr>
          <w:rFonts w:hint="cs"/>
          <w:rtl/>
        </w:rPr>
        <w:t xml:space="preserve"> </w:t>
      </w:r>
    </w:p>
    <w:p w14:paraId="03D05882" w14:textId="526CBAF3" w:rsidR="00777DCB" w:rsidRPr="00A52585" w:rsidRDefault="0002035C" w:rsidP="0002035C">
      <w:pPr>
        <w:rPr>
          <w:b/>
          <w:rtl/>
        </w:rPr>
      </w:pPr>
      <w:r w:rsidRPr="00A52585">
        <w:rPr>
          <w:rFonts w:hint="cs"/>
          <w:bCs/>
          <w:u w:val="single"/>
          <w:rtl/>
        </w:rPr>
        <w:t>[</w:t>
      </w:r>
      <w:r w:rsidR="00777DCB" w:rsidRPr="00A52585">
        <w:rPr>
          <w:rFonts w:hint="cs"/>
          <w:bCs/>
          <w:u w:val="single"/>
          <w:rtl/>
        </w:rPr>
        <w:t>22</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 والعشرون</w:t>
      </w:r>
      <w:r w:rsidRPr="00A52585">
        <w:rPr>
          <w:rFonts w:hint="cs"/>
          <w:bCs/>
          <w:rtl/>
        </w:rPr>
        <w:t>]:</w:t>
      </w:r>
      <w:r w:rsidR="00777DCB" w:rsidRPr="00A52585">
        <w:rPr>
          <w:rFonts w:hint="cs"/>
          <w:rtl/>
        </w:rPr>
        <w:t xml:space="preserve"> روى مسلم </w:t>
      </w:r>
      <w:r w:rsidRPr="00A52585">
        <w:rPr>
          <w:rFonts w:hint="cs"/>
          <w:rtl/>
        </w:rPr>
        <w:t>(</w:t>
      </w:r>
      <w:r w:rsidR="00777DCB" w:rsidRPr="00A52585">
        <w:rPr>
          <w:rFonts w:hint="cs"/>
          <w:rtl/>
        </w:rPr>
        <w:t>1 / 162</w:t>
      </w:r>
      <w:r w:rsidRPr="00A52585">
        <w:rPr>
          <w:rFonts w:hint="cs"/>
          <w:rtl/>
        </w:rPr>
        <w:t>)</w:t>
      </w:r>
      <w:r w:rsidR="00777DCB" w:rsidRPr="00A52585">
        <w:rPr>
          <w:rFonts w:hint="cs"/>
          <w:rtl/>
        </w:rPr>
        <w:t xml:space="preserve"> في أفراده من حديث أبي موسى قال</w:t>
      </w:r>
      <w:r w:rsidRPr="00A52585">
        <w:rPr>
          <w:rFonts w:hint="cs"/>
          <w:rtl/>
        </w:rPr>
        <w:t>:</w:t>
      </w:r>
      <w:r w:rsidR="00777DCB" w:rsidRPr="00A52585">
        <w:rPr>
          <w:rFonts w:hint="cs"/>
          <w:rtl/>
        </w:rPr>
        <w:t xml:space="preserve"> قام فينا رسول الله صلى الله عليه وسلم بخمس كلمات فقال</w:t>
      </w:r>
      <w:r w:rsidRPr="00A52585">
        <w:rPr>
          <w:rFonts w:hint="cs"/>
          <w:rtl/>
        </w:rPr>
        <w:t>:</w:t>
      </w:r>
      <w:r w:rsidR="00777DCB" w:rsidRPr="00A52585">
        <w:rPr>
          <w:rFonts w:hint="cs"/>
          <w:rtl/>
        </w:rPr>
        <w:t xml:space="preserve"> " إن الله لا ينام ولا ينبغي له أن ينام</w:t>
      </w:r>
      <w:r w:rsidR="00DB731D" w:rsidRPr="00A52585">
        <w:rPr>
          <w:rFonts w:hint="cs"/>
          <w:rtl/>
        </w:rPr>
        <w:t>،</w:t>
      </w:r>
      <w:r w:rsidR="00777DCB" w:rsidRPr="00A52585">
        <w:rPr>
          <w:rFonts w:hint="cs"/>
          <w:rtl/>
        </w:rPr>
        <w:t xml:space="preserve"> يخفض القسط ويرفعه</w:t>
      </w:r>
      <w:r w:rsidR="00897A24" w:rsidRPr="00A52585">
        <w:rPr>
          <w:rFonts w:hint="cs"/>
          <w:rtl/>
        </w:rPr>
        <w:t>..</w:t>
      </w:r>
      <w:r w:rsidR="00777DCB" w:rsidRPr="00A52585">
        <w:rPr>
          <w:rFonts w:hint="cs"/>
          <w:rtl/>
        </w:rPr>
        <w:t xml:space="preserve"> إلى قوله</w:t>
      </w:r>
      <w:r w:rsidRPr="00A52585">
        <w:rPr>
          <w:rFonts w:hint="cs"/>
          <w:rtl/>
        </w:rPr>
        <w:t>:</w:t>
      </w:r>
      <w:r w:rsidR="00777DCB" w:rsidRPr="00A52585">
        <w:rPr>
          <w:rFonts w:hint="cs"/>
          <w:rtl/>
        </w:rPr>
        <w:t xml:space="preserve"> حجابه النور لو كشفه لأحرقت سبحات</w:t>
      </w:r>
      <w:r w:rsidRPr="00A52585">
        <w:rPr>
          <w:rFonts w:hint="cs"/>
          <w:rtl/>
        </w:rPr>
        <w:t xml:space="preserve"> </w:t>
      </w:r>
      <w:r w:rsidR="00777DCB" w:rsidRPr="00A52585">
        <w:rPr>
          <w:rFonts w:hint="cs"/>
          <w:rtl/>
        </w:rPr>
        <w:t>وجهه ما انتهى إلى بصره من خلقه "</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السبحات كما في " تاج العروس " </w:t>
      </w:r>
      <w:r w:rsidRPr="00A52585">
        <w:rPr>
          <w:rFonts w:hint="cs"/>
          <w:sz w:val="24"/>
          <w:szCs w:val="24"/>
          <w:rtl/>
        </w:rPr>
        <w:t>(</w:t>
      </w:r>
      <w:r w:rsidR="00777DCB" w:rsidRPr="00A52585">
        <w:rPr>
          <w:rFonts w:hint="cs"/>
          <w:sz w:val="24"/>
          <w:szCs w:val="24"/>
          <w:rtl/>
        </w:rPr>
        <w:t>2 / 157</w:t>
      </w:r>
      <w:r w:rsidRPr="00A52585">
        <w:rPr>
          <w:rFonts w:hint="cs"/>
          <w:sz w:val="24"/>
          <w:szCs w:val="24"/>
          <w:rtl/>
        </w:rPr>
        <w:t>):</w:t>
      </w:r>
      <w:r w:rsidR="00777DCB" w:rsidRPr="00A52585">
        <w:rPr>
          <w:rFonts w:hint="cs"/>
          <w:sz w:val="24"/>
          <w:szCs w:val="24"/>
          <w:rtl/>
        </w:rPr>
        <w:t xml:space="preserve"> أنواره وجلاله وعظمته</w:t>
      </w:r>
      <w:r w:rsidR="00DB731D" w:rsidRPr="00A52585">
        <w:rPr>
          <w:rFonts w:hint="cs"/>
          <w:sz w:val="24"/>
          <w:szCs w:val="24"/>
          <w:rtl/>
        </w:rPr>
        <w:t>،</w:t>
      </w:r>
      <w:r w:rsidR="00777DCB" w:rsidRPr="00A52585">
        <w:rPr>
          <w:rFonts w:hint="cs"/>
          <w:sz w:val="24"/>
          <w:szCs w:val="24"/>
          <w:rtl/>
        </w:rPr>
        <w:t xml:space="preserve"> وهذا الحديث من مشكل صحيح مسلم</w:t>
      </w:r>
      <w:r w:rsidR="00DB731D" w:rsidRPr="00A52585">
        <w:rPr>
          <w:rFonts w:hint="cs"/>
          <w:sz w:val="24"/>
          <w:szCs w:val="24"/>
          <w:rtl/>
        </w:rPr>
        <w:t>،</w:t>
      </w:r>
      <w:r w:rsidR="00777DCB" w:rsidRPr="00A52585">
        <w:rPr>
          <w:rFonts w:hint="cs"/>
          <w:sz w:val="24"/>
          <w:szCs w:val="24"/>
          <w:rtl/>
        </w:rPr>
        <w:t xml:space="preserve"> لما فيه من الالفاظ والمعاني الغربية</w:t>
      </w:r>
      <w:r w:rsidR="00DB731D" w:rsidRPr="00A52585">
        <w:rPr>
          <w:rFonts w:hint="cs"/>
          <w:sz w:val="24"/>
          <w:szCs w:val="24"/>
          <w:rtl/>
        </w:rPr>
        <w:t>،</w:t>
      </w:r>
      <w:r w:rsidR="00777DCB" w:rsidRPr="00A52585">
        <w:rPr>
          <w:rFonts w:hint="cs"/>
          <w:sz w:val="24"/>
          <w:szCs w:val="24"/>
          <w:rtl/>
        </w:rPr>
        <w:t xml:space="preserve"> وقد أشار مسلم إلى </w:t>
      </w:r>
      <w:proofErr w:type="spellStart"/>
      <w:r w:rsidR="00777DCB" w:rsidRPr="00A52585">
        <w:rPr>
          <w:rFonts w:hint="cs"/>
          <w:sz w:val="24"/>
          <w:szCs w:val="24"/>
          <w:rtl/>
        </w:rPr>
        <w:t>عنعنة</w:t>
      </w:r>
      <w:proofErr w:type="spellEnd"/>
      <w:r w:rsidR="00777DCB" w:rsidRPr="00A52585">
        <w:rPr>
          <w:rFonts w:hint="cs"/>
          <w:sz w:val="24"/>
          <w:szCs w:val="24"/>
          <w:rtl/>
        </w:rPr>
        <w:t xml:space="preserve"> الاعمش عن عمرو بن مرة وكان مدلسا كما هو معلوم</w:t>
      </w:r>
      <w:r w:rsidR="00DB731D" w:rsidRPr="00A52585">
        <w:rPr>
          <w:rFonts w:hint="cs"/>
          <w:sz w:val="24"/>
          <w:szCs w:val="24"/>
          <w:rtl/>
        </w:rPr>
        <w:t>،</w:t>
      </w:r>
      <w:r w:rsidR="00777DCB" w:rsidRPr="00A52585">
        <w:rPr>
          <w:rFonts w:hint="cs"/>
          <w:sz w:val="24"/>
          <w:szCs w:val="24"/>
          <w:rtl/>
        </w:rPr>
        <w:t xml:space="preserve"> فهذه رواية شاذة لا سيما وقد أشار مسلم بعدها إلى علة فيها ثم روى الحديث بعد ذلك بلفظ معقول </w:t>
      </w:r>
      <w:r w:rsidR="00777DCB" w:rsidRPr="00A52585">
        <w:rPr>
          <w:rFonts w:hint="cs"/>
          <w:sz w:val="24"/>
          <w:szCs w:val="24"/>
          <w:rtl/>
        </w:rPr>
        <w:lastRenderedPageBreak/>
        <w:t>شرعا من طريق شعبة عن عمرو بن مرة بلفظ</w:t>
      </w:r>
      <w:r w:rsidRPr="00A52585">
        <w:rPr>
          <w:rFonts w:hint="cs"/>
          <w:sz w:val="24"/>
          <w:szCs w:val="24"/>
          <w:rtl/>
        </w:rPr>
        <w:t>:</w:t>
      </w:r>
      <w:r w:rsidR="00777DCB" w:rsidRPr="00A52585">
        <w:rPr>
          <w:rFonts w:hint="cs"/>
          <w:sz w:val="24"/>
          <w:szCs w:val="24"/>
          <w:rtl/>
        </w:rPr>
        <w:t xml:space="preserve"> " إن الله لا ينام ولا ينبغي له أن ينام</w:t>
      </w:r>
      <w:r w:rsidR="00897A24" w:rsidRPr="00A52585">
        <w:rPr>
          <w:rFonts w:hint="cs"/>
          <w:sz w:val="24"/>
          <w:szCs w:val="24"/>
          <w:rtl/>
        </w:rPr>
        <w:t>.</w:t>
      </w:r>
      <w:r w:rsidR="00777DCB" w:rsidRPr="00A52585">
        <w:rPr>
          <w:rFonts w:hint="cs"/>
          <w:sz w:val="24"/>
          <w:szCs w:val="24"/>
          <w:rtl/>
        </w:rPr>
        <w:t xml:space="preserve"> يرفع القسط ويخفضه</w:t>
      </w:r>
      <w:r w:rsidR="00DB731D" w:rsidRPr="00A52585">
        <w:rPr>
          <w:rFonts w:hint="cs"/>
          <w:sz w:val="24"/>
          <w:szCs w:val="24"/>
          <w:rtl/>
        </w:rPr>
        <w:t>،</w:t>
      </w:r>
      <w:r w:rsidR="00777DCB" w:rsidRPr="00A52585">
        <w:rPr>
          <w:rFonts w:hint="cs"/>
          <w:sz w:val="24"/>
          <w:szCs w:val="24"/>
          <w:rtl/>
        </w:rPr>
        <w:t xml:space="preserve"> يرفع إليه عمل النهار بالليل</w:t>
      </w:r>
      <w:r w:rsidR="00897A24" w:rsidRPr="00A52585">
        <w:rPr>
          <w:rFonts w:hint="cs"/>
          <w:sz w:val="24"/>
          <w:szCs w:val="24"/>
          <w:rtl/>
        </w:rPr>
        <w:t>.</w:t>
      </w:r>
      <w:r w:rsidR="00777DCB" w:rsidRPr="00A52585">
        <w:rPr>
          <w:rFonts w:hint="cs"/>
          <w:sz w:val="24"/>
          <w:szCs w:val="24"/>
          <w:rtl/>
        </w:rPr>
        <w:t xml:space="preserve"> وعمل الليل بالنهار "</w:t>
      </w:r>
      <w:r w:rsidR="00DB731D" w:rsidRPr="00A52585">
        <w:rPr>
          <w:rFonts w:hint="cs"/>
          <w:sz w:val="24"/>
          <w:szCs w:val="24"/>
          <w:rtl/>
        </w:rPr>
        <w:t>،</w:t>
      </w:r>
      <w:r w:rsidR="00777DCB" w:rsidRPr="00A52585">
        <w:rPr>
          <w:rFonts w:hint="cs"/>
          <w:sz w:val="24"/>
          <w:szCs w:val="24"/>
          <w:rtl/>
        </w:rPr>
        <w:t xml:space="preserve"> فلفظ السبحات</w:t>
      </w:r>
      <w:r w:rsidRPr="00A52585">
        <w:rPr>
          <w:rFonts w:hint="cs"/>
          <w:sz w:val="24"/>
          <w:szCs w:val="24"/>
          <w:rtl/>
        </w:rPr>
        <w:t>:</w:t>
      </w:r>
      <w:r w:rsidR="00777DCB" w:rsidRPr="00A52585">
        <w:rPr>
          <w:rFonts w:hint="cs"/>
          <w:sz w:val="24"/>
          <w:szCs w:val="24"/>
          <w:rtl/>
        </w:rPr>
        <w:t xml:space="preserve"> لا يثبت ولا يجوز أن يجزم به صفة لله تعالى</w:t>
      </w:r>
      <w:r w:rsidR="00DB731D" w:rsidRPr="00A52585">
        <w:rPr>
          <w:rFonts w:hint="cs"/>
          <w:sz w:val="24"/>
          <w:szCs w:val="24"/>
          <w:rtl/>
        </w:rPr>
        <w:t>،</w:t>
      </w:r>
      <w:r w:rsidR="00777DCB" w:rsidRPr="00A52585">
        <w:rPr>
          <w:rFonts w:hint="cs"/>
          <w:sz w:val="24"/>
          <w:szCs w:val="24"/>
          <w:rtl/>
        </w:rPr>
        <w:t xml:space="preserve"> وخصوصا أن الحافظ ابن الجوزي حكى عن أبي عبيدة</w:t>
      </w:r>
      <w:r w:rsidRPr="00A52585">
        <w:rPr>
          <w:rFonts w:hint="cs"/>
          <w:sz w:val="24"/>
          <w:szCs w:val="24"/>
          <w:rtl/>
        </w:rPr>
        <w:t>:</w:t>
      </w:r>
      <w:r w:rsidR="00777DCB" w:rsidRPr="00A52585">
        <w:rPr>
          <w:rFonts w:hint="cs"/>
          <w:sz w:val="24"/>
          <w:szCs w:val="24"/>
          <w:rtl/>
        </w:rPr>
        <w:t xml:space="preserve"> أنه لا يعرف السبحات في لغة العرب أي لم يسمعها إلا في هذا الحديث</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معنى يخفض القسط ويرفعه</w:t>
      </w:r>
      <w:r w:rsidRPr="00A52585">
        <w:rPr>
          <w:rFonts w:hint="cs"/>
          <w:rtl/>
        </w:rPr>
        <w:t>:</w:t>
      </w:r>
      <w:r w:rsidR="00777DCB" w:rsidRPr="00A52585">
        <w:rPr>
          <w:rFonts w:hint="cs"/>
          <w:rtl/>
        </w:rPr>
        <w:t xml:space="preserve"> أي يخفض بعدل ويرفع بعدل</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حجابه النور</w:t>
      </w:r>
      <w:r w:rsidRPr="00A52585">
        <w:rPr>
          <w:rFonts w:hint="cs"/>
          <w:rtl/>
        </w:rPr>
        <w:t>:</w:t>
      </w:r>
      <w:r w:rsidR="00777DCB" w:rsidRPr="00A52585">
        <w:rPr>
          <w:rFonts w:hint="cs"/>
          <w:rtl/>
        </w:rPr>
        <w:t xml:space="preserve"> ينبغي أن يعلم أن هذا الحجاب للخلق عنه</w:t>
      </w:r>
      <w:r w:rsidR="00DB731D" w:rsidRPr="00A52585">
        <w:rPr>
          <w:rFonts w:hint="cs"/>
          <w:rtl/>
        </w:rPr>
        <w:t>،</w:t>
      </w:r>
      <w:r w:rsidR="00777DCB" w:rsidRPr="00A52585">
        <w:rPr>
          <w:rFonts w:hint="cs"/>
          <w:rtl/>
        </w:rPr>
        <w:t xml:space="preserve"> لأنّه لا يجوز ان يكون محجوبا لان الحجاب يكون أكبر مما يستره</w:t>
      </w:r>
      <w:r w:rsidR="00DB731D" w:rsidRPr="00A52585">
        <w:rPr>
          <w:rFonts w:hint="cs"/>
          <w:rtl/>
        </w:rPr>
        <w:t>،</w:t>
      </w:r>
      <w:r w:rsidR="00777DCB" w:rsidRPr="00A52585">
        <w:rPr>
          <w:rFonts w:hint="cs"/>
          <w:rtl/>
        </w:rPr>
        <w:t xml:space="preserve"> ويستحيل أن يكون جسما أو جوهرا أو متناهيا محاذيا إذ جميع ذلك من أمارات الحدث</w:t>
      </w:r>
      <w:r w:rsidR="00DB731D" w:rsidRPr="00A52585">
        <w:rPr>
          <w:rFonts w:hint="cs"/>
          <w:rtl/>
        </w:rPr>
        <w:t>،</w:t>
      </w:r>
      <w:r w:rsidR="00777DCB" w:rsidRPr="00A52585">
        <w:rPr>
          <w:rFonts w:hint="cs"/>
          <w:rtl/>
        </w:rPr>
        <w:t xml:space="preserve"> وانما عرف الناس حدوث الاجسام من حيث وجودها متناهية محدودة محلا للحوادث</w:t>
      </w:r>
      <w:r w:rsidR="00DB731D" w:rsidRPr="00A52585">
        <w:rPr>
          <w:rFonts w:hint="cs"/>
          <w:rtl/>
        </w:rPr>
        <w:t>،</w:t>
      </w:r>
      <w:r w:rsidR="00777DCB" w:rsidRPr="00A52585">
        <w:rPr>
          <w:rFonts w:hint="cs"/>
          <w:rtl/>
        </w:rPr>
        <w:t xml:space="preserve"> وكما أنه لا يجوز أن يكون لوجوده ابتداء ولا انتهاء لا يصح أن يكون لذاته انتهاء</w:t>
      </w:r>
      <w:r w:rsidR="00DB731D" w:rsidRPr="00A52585">
        <w:rPr>
          <w:rFonts w:hint="cs"/>
          <w:rtl/>
        </w:rPr>
        <w:t>،</w:t>
      </w:r>
      <w:r w:rsidR="00777DCB" w:rsidRPr="00A52585">
        <w:rPr>
          <w:rFonts w:hint="cs"/>
          <w:rtl/>
        </w:rPr>
        <w:t xml:space="preserve"> وإنما المراد</w:t>
      </w:r>
      <w:r w:rsidRPr="00A52585">
        <w:rPr>
          <w:rFonts w:hint="cs"/>
          <w:rtl/>
        </w:rPr>
        <w:t>:</w:t>
      </w:r>
      <w:r w:rsidR="00777DCB" w:rsidRPr="00A52585">
        <w:rPr>
          <w:rFonts w:hint="cs"/>
          <w:rtl/>
        </w:rPr>
        <w:t xml:space="preserve"> أن الخلق محجوبون عنه كما قال سبحانه وتعالى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كلا إنهم عن ربهم يومئذ لمحجوبون</w:t>
      </w:r>
      <w:r w:rsidRPr="00A52585">
        <w:rPr>
          <w:rFonts w:hint="cs"/>
          <w:rtl/>
        </w:rPr>
        <w:t>)</w:t>
      </w:r>
      <w:r w:rsidR="00777DCB" w:rsidRPr="00A52585">
        <w:rPr>
          <w:rFonts w:hint="cs"/>
          <w:rtl/>
        </w:rPr>
        <w:t xml:space="preserve"> المطففين</w:t>
      </w:r>
      <w:r w:rsidRPr="00A52585">
        <w:rPr>
          <w:rFonts w:hint="cs"/>
          <w:rtl/>
        </w:rPr>
        <w:t>:</w:t>
      </w:r>
      <w:r w:rsidR="00777DCB" w:rsidRPr="00A52585">
        <w:rPr>
          <w:rFonts w:hint="cs"/>
          <w:rtl/>
        </w:rPr>
        <w:t xml:space="preserve"> 15</w:t>
      </w:r>
      <w:r w:rsidR="00DB731D" w:rsidRPr="00A52585">
        <w:rPr>
          <w:rFonts w:hint="cs"/>
          <w:rtl/>
        </w:rPr>
        <w:t>،</w:t>
      </w:r>
      <w:r w:rsidR="00777DCB" w:rsidRPr="00A52585">
        <w:rPr>
          <w:rFonts w:hint="cs"/>
          <w:rtl/>
        </w:rPr>
        <w:t xml:space="preserve"> وقد روى سهل بن سعد عن رسول الله صلى الله عليه وسلم قال</w:t>
      </w:r>
      <w:r w:rsidRPr="00A52585">
        <w:rPr>
          <w:rFonts w:hint="cs"/>
          <w:rtl/>
        </w:rPr>
        <w:t>:</w:t>
      </w:r>
      <w:r w:rsidR="00777DCB" w:rsidRPr="00A52585">
        <w:rPr>
          <w:rFonts w:hint="cs"/>
          <w:rtl/>
        </w:rPr>
        <w:t xml:space="preserve"> " دون الله سبعون ألف حجاب من نور وظلمة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موضوع رواه ابن أبي عاصم في سنته </w:t>
      </w:r>
      <w:r w:rsidRPr="00A52585">
        <w:rPr>
          <w:rFonts w:hint="cs"/>
          <w:sz w:val="24"/>
          <w:szCs w:val="24"/>
          <w:rtl/>
        </w:rPr>
        <w:t>(</w:t>
      </w:r>
      <w:r w:rsidR="00777DCB" w:rsidRPr="00A52585">
        <w:rPr>
          <w:rFonts w:hint="cs"/>
          <w:sz w:val="24"/>
          <w:szCs w:val="24"/>
          <w:rtl/>
        </w:rPr>
        <w:t>ص 353</w:t>
      </w:r>
      <w:r w:rsidRPr="00A52585">
        <w:rPr>
          <w:rFonts w:hint="cs"/>
          <w:sz w:val="24"/>
          <w:szCs w:val="24"/>
          <w:rtl/>
        </w:rPr>
        <w:t>)</w:t>
      </w:r>
      <w:r w:rsidR="00777DCB" w:rsidRPr="00A52585">
        <w:rPr>
          <w:rFonts w:hint="cs"/>
          <w:sz w:val="24"/>
          <w:szCs w:val="24"/>
          <w:rtl/>
        </w:rPr>
        <w:t xml:space="preserve"> وأبو يعلى والطبراني في الكبير</w:t>
      </w:r>
      <w:r w:rsidR="00DB731D" w:rsidRPr="00A52585">
        <w:rPr>
          <w:rFonts w:hint="cs"/>
          <w:sz w:val="24"/>
          <w:szCs w:val="24"/>
          <w:rtl/>
        </w:rPr>
        <w:t>،</w:t>
      </w:r>
      <w:r w:rsidR="00777DCB" w:rsidRPr="00A52585">
        <w:rPr>
          <w:rFonts w:hint="cs"/>
          <w:sz w:val="24"/>
          <w:szCs w:val="24"/>
          <w:rtl/>
        </w:rPr>
        <w:t xml:space="preserve"> كما في مجمع الزوائد </w:t>
      </w:r>
      <w:r w:rsidRPr="00A52585">
        <w:rPr>
          <w:rFonts w:hint="cs"/>
          <w:sz w:val="24"/>
          <w:szCs w:val="24"/>
          <w:rtl/>
        </w:rPr>
        <w:t>(</w:t>
      </w:r>
      <w:r w:rsidR="00777DCB" w:rsidRPr="00A52585">
        <w:rPr>
          <w:rFonts w:hint="cs"/>
          <w:sz w:val="24"/>
          <w:szCs w:val="24"/>
          <w:rtl/>
        </w:rPr>
        <w:t>1 / 79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الجوزي في الموضوعات </w:t>
      </w:r>
      <w:r w:rsidRPr="00A52585">
        <w:rPr>
          <w:rFonts w:hint="cs"/>
          <w:sz w:val="24"/>
          <w:szCs w:val="24"/>
          <w:rtl/>
        </w:rPr>
        <w:t>(</w:t>
      </w:r>
      <w:r w:rsidR="00777DCB" w:rsidRPr="00A52585">
        <w:rPr>
          <w:rFonts w:hint="cs"/>
          <w:sz w:val="24"/>
          <w:szCs w:val="24"/>
          <w:rtl/>
        </w:rPr>
        <w:t>1 / 116</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والعقيلي في الضعفاء الكبير </w:t>
      </w:r>
      <w:r w:rsidRPr="00A52585">
        <w:rPr>
          <w:rFonts w:hint="cs"/>
          <w:sz w:val="24"/>
          <w:szCs w:val="24"/>
          <w:rtl/>
        </w:rPr>
        <w:t>(</w:t>
      </w:r>
      <w:r w:rsidR="00777DCB" w:rsidRPr="00A52585">
        <w:rPr>
          <w:rFonts w:hint="cs"/>
          <w:sz w:val="24"/>
          <w:szCs w:val="24"/>
          <w:rtl/>
        </w:rPr>
        <w:t>3 / 152</w:t>
      </w:r>
      <w:r w:rsidRPr="00A52585">
        <w:rPr>
          <w:rFonts w:hint="cs"/>
          <w:sz w:val="24"/>
          <w:szCs w:val="24"/>
          <w:rtl/>
        </w:rPr>
        <w:t>)</w:t>
      </w:r>
      <w:r w:rsidR="00777DCB" w:rsidRPr="00A52585">
        <w:rPr>
          <w:rFonts w:hint="cs"/>
          <w:sz w:val="24"/>
          <w:szCs w:val="24"/>
          <w:rtl/>
        </w:rPr>
        <w:t xml:space="preserve"> وهو في " </w:t>
      </w:r>
      <w:proofErr w:type="spellStart"/>
      <w:r w:rsidR="00777DCB" w:rsidRPr="00A52585">
        <w:rPr>
          <w:rFonts w:hint="cs"/>
          <w:sz w:val="24"/>
          <w:szCs w:val="24"/>
          <w:rtl/>
        </w:rPr>
        <w:t>اللآلي</w:t>
      </w:r>
      <w:proofErr w:type="spellEnd"/>
      <w:r w:rsidR="00777DCB" w:rsidRPr="00A52585">
        <w:rPr>
          <w:rFonts w:hint="cs"/>
          <w:sz w:val="24"/>
          <w:szCs w:val="24"/>
          <w:rtl/>
        </w:rPr>
        <w:t xml:space="preserve"> المصنوعة في الاحاديث الموضوعة " </w:t>
      </w:r>
      <w:r w:rsidRPr="00A52585">
        <w:rPr>
          <w:rFonts w:hint="cs"/>
          <w:sz w:val="24"/>
          <w:szCs w:val="24"/>
          <w:rtl/>
        </w:rPr>
        <w:t>(</w:t>
      </w:r>
      <w:r w:rsidR="00777DCB" w:rsidRPr="00A52585">
        <w:rPr>
          <w:rFonts w:hint="cs"/>
          <w:sz w:val="24"/>
          <w:szCs w:val="24"/>
          <w:rtl/>
        </w:rPr>
        <w:t>1 / 14</w:t>
      </w:r>
      <w:r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حديث لا يصح ولو كان صحيحا كانت الحجب للخلق لا للحق</w:t>
      </w:r>
      <w:r w:rsidR="00DB731D" w:rsidRPr="00A52585">
        <w:rPr>
          <w:rFonts w:hint="cs"/>
          <w:rtl/>
        </w:rPr>
        <w:t>،</w:t>
      </w:r>
      <w:r w:rsidR="00777DCB" w:rsidRPr="00A52585">
        <w:rPr>
          <w:rFonts w:hint="cs"/>
          <w:rtl/>
        </w:rPr>
        <w:t xml:space="preserve"> وأما السبحات فجمع سبحة</w:t>
      </w:r>
      <w:r w:rsidR="00DB731D" w:rsidRPr="00A52585">
        <w:rPr>
          <w:rFonts w:hint="cs"/>
          <w:rtl/>
        </w:rPr>
        <w:t>،</w:t>
      </w:r>
      <w:r w:rsidR="00777DCB" w:rsidRPr="00A52585">
        <w:rPr>
          <w:rFonts w:hint="cs"/>
          <w:rtl/>
        </w:rPr>
        <w:t xml:space="preserve"> قال أبو عبيدة</w:t>
      </w:r>
      <w:r w:rsidRPr="00A52585">
        <w:rPr>
          <w:rFonts w:hint="cs"/>
          <w:rtl/>
        </w:rPr>
        <w:t>:</w:t>
      </w:r>
      <w:r w:rsidR="00777DCB" w:rsidRPr="00A52585">
        <w:rPr>
          <w:rFonts w:hint="cs"/>
          <w:rtl/>
        </w:rPr>
        <w:t xml:space="preserve"> لم نسمع هذا إلا في هذا الحديث</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ويقول ان السبحة جلال وجهه</w:t>
      </w:r>
      <w:r w:rsidR="00897A24" w:rsidRPr="00A52585">
        <w:rPr>
          <w:rFonts w:hint="cs"/>
          <w:rtl/>
        </w:rPr>
        <w:t>.</w:t>
      </w:r>
      <w:r w:rsidR="00777DCB" w:rsidRPr="00A52585">
        <w:rPr>
          <w:rFonts w:hint="cs"/>
          <w:rtl/>
        </w:rPr>
        <w:t xml:space="preserve"> ومنه قوله</w:t>
      </w:r>
      <w:r w:rsidRPr="00A52585">
        <w:rPr>
          <w:rFonts w:hint="cs"/>
          <w:rtl/>
        </w:rPr>
        <w:t>:</w:t>
      </w:r>
      <w:r w:rsidR="00777DCB" w:rsidRPr="00A52585">
        <w:rPr>
          <w:rFonts w:hint="cs"/>
          <w:rtl/>
        </w:rPr>
        <w:t xml:space="preserve"> سبحان الله وإنما هو تعظيم له وتنزيه</w:t>
      </w:r>
      <w:r w:rsidR="00DB731D" w:rsidRPr="00A52585">
        <w:rPr>
          <w:rFonts w:hint="cs"/>
          <w:rtl/>
        </w:rPr>
        <w:t>،</w:t>
      </w:r>
      <w:r w:rsidR="00777DCB" w:rsidRPr="00A52585">
        <w:rPr>
          <w:rFonts w:hint="cs"/>
          <w:rtl/>
        </w:rPr>
        <w:t xml:space="preserve"> وقال ابن خزيمة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الذي ندم على ما قال</w:t>
      </w:r>
      <w:r w:rsidR="00DB731D" w:rsidRPr="00A52585">
        <w:rPr>
          <w:rFonts w:hint="cs"/>
          <w:sz w:val="24"/>
          <w:szCs w:val="24"/>
          <w:rtl/>
        </w:rPr>
        <w:t>،</w:t>
      </w:r>
      <w:r w:rsidR="00777DCB" w:rsidRPr="00A52585">
        <w:rPr>
          <w:rFonts w:hint="cs"/>
          <w:sz w:val="24"/>
          <w:szCs w:val="24"/>
          <w:rtl/>
        </w:rPr>
        <w:t xml:space="preserve"> كما في " الاسماء والصفات " للحافظ البيهقي ص </w:t>
      </w:r>
      <w:r w:rsidRPr="00A52585">
        <w:rPr>
          <w:rFonts w:hint="cs"/>
          <w:sz w:val="24"/>
          <w:szCs w:val="24"/>
          <w:rtl/>
        </w:rPr>
        <w:t>(</w:t>
      </w:r>
      <w:r w:rsidR="00777DCB" w:rsidRPr="00A52585">
        <w:rPr>
          <w:rFonts w:hint="cs"/>
          <w:sz w:val="24"/>
          <w:szCs w:val="24"/>
          <w:rtl/>
        </w:rPr>
        <w:t>267</w:t>
      </w:r>
      <w:r w:rsidRPr="00A52585">
        <w:rPr>
          <w:rFonts w:hint="cs"/>
          <w:sz w:val="24"/>
          <w:szCs w:val="24"/>
          <w:rtl/>
        </w:rPr>
        <w:t>)</w:t>
      </w:r>
      <w:r w:rsidR="00777DCB" w:rsidRPr="00A52585">
        <w:rPr>
          <w:rFonts w:hint="cs"/>
          <w:sz w:val="24"/>
          <w:szCs w:val="24"/>
          <w:rtl/>
        </w:rPr>
        <w:t>]</w:t>
      </w:r>
      <w:r w:rsidRPr="00A52585">
        <w:rPr>
          <w:rFonts w:hint="cs"/>
          <w:rtl/>
        </w:rPr>
        <w:t>:</w:t>
      </w:r>
      <w:r w:rsidR="00777DCB" w:rsidRPr="00A52585">
        <w:rPr>
          <w:rFonts w:hint="cs"/>
          <w:rtl/>
        </w:rPr>
        <w:t xml:space="preserve"> " باب صفة وجه ربنا "</w:t>
      </w:r>
      <w:r w:rsidR="00DB731D" w:rsidRPr="00A52585">
        <w:rPr>
          <w:rFonts w:hint="cs"/>
          <w:rtl/>
        </w:rPr>
        <w:t>،</w:t>
      </w:r>
      <w:r w:rsidR="00777DCB" w:rsidRPr="00A52585">
        <w:rPr>
          <w:rFonts w:hint="cs"/>
          <w:rtl/>
        </w:rPr>
        <w:t xml:space="preserve"> ثم ذكر حديث السبحات متوهما النور المعروف</w:t>
      </w:r>
      <w:r w:rsidR="00DB731D" w:rsidRPr="00A52585">
        <w:rPr>
          <w:rFonts w:hint="cs"/>
          <w:rtl/>
        </w:rPr>
        <w:t>،</w:t>
      </w:r>
      <w:r w:rsidR="00777DCB" w:rsidRPr="00A52585">
        <w:rPr>
          <w:rFonts w:hint="cs"/>
          <w:rtl/>
        </w:rPr>
        <w:t xml:space="preserve"> والخالق منزه عن النور الجسماني</w:t>
      </w:r>
      <w:r w:rsidR="00DB731D" w:rsidRPr="00A52585">
        <w:rPr>
          <w:rFonts w:hint="cs"/>
          <w:rtl/>
        </w:rPr>
        <w:t>،</w:t>
      </w:r>
      <w:r w:rsidR="00777DCB" w:rsidRPr="00A52585">
        <w:rPr>
          <w:rFonts w:hint="cs"/>
          <w:rtl/>
        </w:rPr>
        <w:t xml:space="preserve"> وروى أبو بكر الخلال في كتاب " السنة " قال</w:t>
      </w:r>
      <w:r w:rsidRPr="00A52585">
        <w:rPr>
          <w:rFonts w:hint="cs"/>
          <w:rtl/>
        </w:rPr>
        <w:t>:</w:t>
      </w:r>
      <w:r w:rsidR="00777DCB" w:rsidRPr="00A52585">
        <w:rPr>
          <w:rFonts w:hint="cs"/>
          <w:rtl/>
        </w:rPr>
        <w:t xml:space="preserve"> سألت أحمد بن يحيى عن قوله</w:t>
      </w:r>
      <w:r w:rsidRPr="00A52585">
        <w:rPr>
          <w:rFonts w:hint="cs"/>
          <w:rtl/>
        </w:rPr>
        <w:t>:</w:t>
      </w:r>
      <w:r w:rsidR="00777DCB" w:rsidRPr="00A52585">
        <w:rPr>
          <w:rFonts w:hint="cs"/>
          <w:rtl/>
        </w:rPr>
        <w:t xml:space="preserve"> </w:t>
      </w:r>
      <w:proofErr w:type="spellStart"/>
      <w:r w:rsidR="00777DCB" w:rsidRPr="00A52585">
        <w:rPr>
          <w:rFonts w:hint="cs"/>
          <w:rtl/>
        </w:rPr>
        <w:t>لاحرقت</w:t>
      </w:r>
      <w:proofErr w:type="spellEnd"/>
      <w:r w:rsidR="00777DCB" w:rsidRPr="00A52585">
        <w:rPr>
          <w:rFonts w:hint="cs"/>
          <w:rtl/>
        </w:rPr>
        <w:t xml:space="preserve"> سبحات وجهه فقال</w:t>
      </w:r>
      <w:r w:rsidRPr="00A52585">
        <w:rPr>
          <w:rFonts w:hint="cs"/>
          <w:rtl/>
        </w:rPr>
        <w:t>:</w:t>
      </w:r>
      <w:r w:rsidR="00777DCB" w:rsidRPr="00A52585">
        <w:rPr>
          <w:rFonts w:hint="cs"/>
          <w:rtl/>
        </w:rPr>
        <w:t xml:space="preserve"> السبحات الموضع الذي يسجد عليه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فعلى هذا يكون الخطاب بما يعرفون كما قال</w:t>
      </w:r>
      <w:r w:rsidRPr="00A52585">
        <w:rPr>
          <w:rFonts w:hint="cs"/>
          <w:rtl/>
        </w:rPr>
        <w:t>:</w:t>
      </w:r>
      <w:r w:rsidR="00777DCB" w:rsidRPr="00A52585">
        <w:rPr>
          <w:rFonts w:hint="cs"/>
          <w:rtl/>
        </w:rPr>
        <w:t xml:space="preserve"> " قلوب العباد بين أصبعين "</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لا يمنع اطلاق حجاب من دون الله تعالى</w:t>
      </w:r>
      <w:r w:rsidR="00DB731D" w:rsidRPr="00A52585">
        <w:rPr>
          <w:rFonts w:hint="cs"/>
          <w:rtl/>
        </w:rPr>
        <w:t>،</w:t>
      </w:r>
      <w:r w:rsidR="00777DCB" w:rsidRPr="00A52585">
        <w:rPr>
          <w:rFonts w:hint="cs"/>
          <w:rtl/>
        </w:rPr>
        <w:t xml:space="preserve"> لا على وجه الحد والمحاذاة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كلام مختلط لا ترضى به العوام</w:t>
      </w:r>
      <w:r w:rsidR="00DB731D" w:rsidRPr="00A52585">
        <w:rPr>
          <w:rFonts w:hint="cs"/>
          <w:rtl/>
        </w:rPr>
        <w:t>،</w:t>
      </w:r>
      <w:r w:rsidR="00777DCB" w:rsidRPr="00A52585">
        <w:rPr>
          <w:rFonts w:hint="cs"/>
          <w:rtl/>
        </w:rPr>
        <w:t xml:space="preserve"> </w:t>
      </w:r>
    </w:p>
    <w:p w14:paraId="6AE027F9" w14:textId="3B4CC24A" w:rsidR="00777DCB" w:rsidRPr="00A52585" w:rsidRDefault="0002035C" w:rsidP="0002035C">
      <w:pPr>
        <w:rPr>
          <w:b/>
          <w:rtl/>
        </w:rPr>
      </w:pPr>
      <w:r w:rsidRPr="00A52585">
        <w:rPr>
          <w:rFonts w:hint="cs"/>
          <w:bCs/>
          <w:u w:val="single"/>
          <w:rtl/>
        </w:rPr>
        <w:t>[</w:t>
      </w:r>
      <w:r w:rsidR="00777DCB" w:rsidRPr="00A52585">
        <w:rPr>
          <w:rFonts w:hint="cs"/>
          <w:bCs/>
          <w:u w:val="single"/>
          <w:rtl/>
        </w:rPr>
        <w:t>23</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 والعشرون</w:t>
      </w:r>
      <w:r w:rsidRPr="00A52585">
        <w:rPr>
          <w:rFonts w:hint="cs"/>
          <w:bCs/>
          <w:rtl/>
        </w:rPr>
        <w:t>]</w:t>
      </w:r>
      <w:r w:rsidRPr="00A52585">
        <w:rPr>
          <w:rFonts w:hint="cs"/>
          <w:rtl/>
        </w:rPr>
        <w:t>:</w:t>
      </w:r>
      <w:r w:rsidR="00777DCB" w:rsidRPr="00A52585">
        <w:rPr>
          <w:rFonts w:hint="cs"/>
          <w:rtl/>
        </w:rPr>
        <w:t xml:space="preserve"> روى ابن عباس رضي الله عنهما عن النبي صلى الله عليه وسلم</w:t>
      </w:r>
      <w:r w:rsidR="00DB731D" w:rsidRPr="00A52585">
        <w:rPr>
          <w:rFonts w:hint="cs"/>
          <w:rtl/>
        </w:rPr>
        <w:t>،</w:t>
      </w:r>
      <w:r w:rsidR="00777DCB" w:rsidRPr="00A52585">
        <w:rPr>
          <w:rFonts w:hint="cs"/>
          <w:rtl/>
        </w:rPr>
        <w:t xml:space="preserve"> أنه قال</w:t>
      </w:r>
      <w:r w:rsidRPr="00A52585">
        <w:rPr>
          <w:rFonts w:hint="cs"/>
          <w:rtl/>
        </w:rPr>
        <w:t>:</w:t>
      </w:r>
      <w:r w:rsidR="00777DCB" w:rsidRPr="00A52585">
        <w:rPr>
          <w:rFonts w:hint="cs"/>
          <w:rtl/>
        </w:rPr>
        <w:t xml:space="preserve"> " أهل الجنة يرون ربهم تعالى في كل جمعة</w:t>
      </w:r>
      <w:r w:rsidR="00DB731D" w:rsidRPr="00A52585">
        <w:rPr>
          <w:rFonts w:hint="cs"/>
          <w:rtl/>
        </w:rPr>
        <w:t>،</w:t>
      </w:r>
      <w:r w:rsidR="00777DCB" w:rsidRPr="00A52585">
        <w:rPr>
          <w:rFonts w:hint="cs"/>
          <w:rtl/>
        </w:rPr>
        <w:t xml:space="preserve"> في رمال الكافور</w:t>
      </w:r>
      <w:r w:rsidR="00DB731D" w:rsidRPr="00A52585">
        <w:rPr>
          <w:rFonts w:hint="cs"/>
          <w:rtl/>
        </w:rPr>
        <w:t>،</w:t>
      </w:r>
      <w:r w:rsidR="00777DCB" w:rsidRPr="00A52585">
        <w:rPr>
          <w:rFonts w:hint="cs"/>
          <w:rtl/>
        </w:rPr>
        <w:t xml:space="preserve"> وأقربهم منه مجلسا أسرعهم إليه يوم الجمعة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موضوع تالف رواه الآجري في كتابه " الشريعة " ص </w:t>
      </w:r>
      <w:r w:rsidRPr="00A52585">
        <w:rPr>
          <w:rFonts w:hint="cs"/>
          <w:sz w:val="24"/>
          <w:szCs w:val="24"/>
          <w:rtl/>
        </w:rPr>
        <w:t>(</w:t>
      </w:r>
      <w:r w:rsidR="00777DCB" w:rsidRPr="00A52585">
        <w:rPr>
          <w:rFonts w:hint="cs"/>
          <w:sz w:val="24"/>
          <w:szCs w:val="24"/>
          <w:rtl/>
        </w:rPr>
        <w:t>265</w:t>
      </w:r>
      <w:r w:rsidRPr="00A52585">
        <w:rPr>
          <w:rFonts w:hint="cs"/>
          <w:sz w:val="24"/>
          <w:szCs w:val="24"/>
          <w:rtl/>
        </w:rPr>
        <w:t>)</w:t>
      </w:r>
      <w:r w:rsidR="00777DCB" w:rsidRPr="00A52585">
        <w:rPr>
          <w:rFonts w:hint="cs"/>
          <w:sz w:val="24"/>
          <w:szCs w:val="24"/>
          <w:rtl/>
        </w:rPr>
        <w:t xml:space="preserve"> وإسناد هذا الحديث ظلمات بعضها فوق بعض حيث قال فيه</w:t>
      </w:r>
      <w:r w:rsidRPr="00A52585">
        <w:rPr>
          <w:rFonts w:hint="cs"/>
          <w:sz w:val="24"/>
          <w:szCs w:val="24"/>
          <w:rtl/>
        </w:rPr>
        <w:t>:</w:t>
      </w:r>
      <w:r w:rsidR="00777DCB" w:rsidRPr="00A52585">
        <w:rPr>
          <w:rFonts w:hint="cs"/>
          <w:sz w:val="24"/>
          <w:szCs w:val="24"/>
          <w:rtl/>
        </w:rPr>
        <w:t xml:space="preserve"> حدثنا أبو بكر بن أبي داود </w:t>
      </w:r>
      <w:r w:rsidRPr="00A52585">
        <w:rPr>
          <w:rFonts w:hint="cs"/>
          <w:sz w:val="24"/>
          <w:szCs w:val="24"/>
          <w:rtl/>
        </w:rPr>
        <w:t>(</w:t>
      </w:r>
      <w:r w:rsidR="00777DCB" w:rsidRPr="00A52585">
        <w:rPr>
          <w:rFonts w:hint="cs"/>
          <w:sz w:val="24"/>
          <w:szCs w:val="24"/>
          <w:rtl/>
        </w:rPr>
        <w:t>وهو كذاب كما وصفه أبوه صاحب السنن بذلك انظر " لسان الميزان " 3 / 364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حدثنا عمي محمد بن الاشعث </w:t>
      </w:r>
      <w:r w:rsidRPr="00A52585">
        <w:rPr>
          <w:rFonts w:hint="cs"/>
          <w:sz w:val="24"/>
          <w:szCs w:val="24"/>
          <w:rtl/>
        </w:rPr>
        <w:t>(</w:t>
      </w:r>
      <w:r w:rsidR="00777DCB" w:rsidRPr="00A52585">
        <w:rPr>
          <w:rFonts w:hint="cs"/>
          <w:sz w:val="24"/>
          <w:szCs w:val="24"/>
          <w:rtl/>
        </w:rPr>
        <w:t xml:space="preserve">مجهول كما في ثقات ابن حبان 9 / </w:t>
      </w:r>
      <w:r w:rsidR="00777DCB" w:rsidRPr="00A52585">
        <w:rPr>
          <w:rFonts w:hint="cs"/>
          <w:sz w:val="24"/>
          <w:szCs w:val="24"/>
          <w:rtl/>
        </w:rPr>
        <w:lastRenderedPageBreak/>
        <w:t>149</w:t>
      </w:r>
      <w:r w:rsidRPr="00A52585">
        <w:rPr>
          <w:rFonts w:hint="cs"/>
          <w:sz w:val="24"/>
          <w:szCs w:val="24"/>
          <w:rtl/>
        </w:rPr>
        <w:t>)</w:t>
      </w:r>
      <w:r w:rsidR="00777DCB" w:rsidRPr="00A52585">
        <w:rPr>
          <w:rFonts w:hint="cs"/>
          <w:sz w:val="24"/>
          <w:szCs w:val="24"/>
          <w:rtl/>
        </w:rPr>
        <w:t xml:space="preserve"> حدثنا حسن بن حسن </w:t>
      </w:r>
      <w:r w:rsidRPr="00A52585">
        <w:rPr>
          <w:rFonts w:hint="cs"/>
          <w:sz w:val="24"/>
          <w:szCs w:val="24"/>
          <w:rtl/>
        </w:rPr>
        <w:t>(</w:t>
      </w:r>
      <w:r w:rsidR="00777DCB" w:rsidRPr="00A52585">
        <w:rPr>
          <w:rFonts w:hint="cs"/>
          <w:sz w:val="24"/>
          <w:szCs w:val="24"/>
          <w:rtl/>
        </w:rPr>
        <w:t>مجهول</w:t>
      </w:r>
      <w:r w:rsidRPr="00A52585">
        <w:rPr>
          <w:rFonts w:hint="cs"/>
          <w:sz w:val="24"/>
          <w:szCs w:val="24"/>
          <w:rtl/>
        </w:rPr>
        <w:t>)</w:t>
      </w:r>
      <w:r w:rsidR="00777DCB" w:rsidRPr="00A52585">
        <w:rPr>
          <w:rFonts w:hint="cs"/>
          <w:sz w:val="24"/>
          <w:szCs w:val="24"/>
          <w:rtl/>
        </w:rPr>
        <w:t xml:space="preserve"> قال حدثني أبي حسن </w:t>
      </w:r>
      <w:r w:rsidRPr="00A52585">
        <w:rPr>
          <w:rFonts w:hint="cs"/>
          <w:sz w:val="24"/>
          <w:szCs w:val="24"/>
          <w:rtl/>
        </w:rPr>
        <w:t>(</w:t>
      </w:r>
      <w:r w:rsidR="00777DCB" w:rsidRPr="00A52585">
        <w:rPr>
          <w:rFonts w:hint="cs"/>
          <w:sz w:val="24"/>
          <w:szCs w:val="24"/>
          <w:rtl/>
        </w:rPr>
        <w:t>مجهول</w:t>
      </w:r>
      <w:r w:rsidRPr="00A52585">
        <w:rPr>
          <w:rFonts w:hint="cs"/>
          <w:sz w:val="24"/>
          <w:szCs w:val="24"/>
          <w:rtl/>
        </w:rPr>
        <w:t>)</w:t>
      </w:r>
      <w:r w:rsidR="00777DCB" w:rsidRPr="00A52585">
        <w:rPr>
          <w:rFonts w:hint="cs"/>
          <w:sz w:val="24"/>
          <w:szCs w:val="24"/>
          <w:rtl/>
        </w:rPr>
        <w:t xml:space="preserve"> عن الحسن عن ابن عباس به</w:t>
      </w:r>
      <w:r w:rsidRPr="00A52585">
        <w:rPr>
          <w:rFonts w:hint="cs"/>
          <w:sz w:val="24"/>
          <w:szCs w:val="24"/>
          <w:rtl/>
        </w:rPr>
        <w:t>]</w:t>
      </w:r>
      <w:r w:rsidR="00DB731D" w:rsidRPr="00A52585">
        <w:rPr>
          <w:rFonts w:hint="cs"/>
          <w:sz w:val="24"/>
          <w:szCs w:val="24"/>
          <w:rtl/>
        </w:rPr>
        <w:t>،</w:t>
      </w:r>
      <w:r w:rsidR="00777DCB" w:rsidRPr="00A52585">
        <w:rPr>
          <w:rFonts w:hint="cs"/>
          <w:rtl/>
        </w:rPr>
        <w:t xml:space="preserve"> قوله</w:t>
      </w:r>
      <w:r w:rsidRPr="00A52585">
        <w:rPr>
          <w:rFonts w:hint="cs"/>
          <w:rtl/>
        </w:rPr>
        <w:t>:</w:t>
      </w:r>
      <w:r w:rsidR="00777DCB" w:rsidRPr="00A52585">
        <w:rPr>
          <w:rFonts w:hint="cs"/>
          <w:rtl/>
        </w:rPr>
        <w:t xml:space="preserve"> في رمال الكافور</w:t>
      </w:r>
      <w:r w:rsidRPr="00A52585">
        <w:rPr>
          <w:rFonts w:hint="cs"/>
          <w:rtl/>
        </w:rPr>
        <w:t>:</w:t>
      </w:r>
      <w:r w:rsidR="00777DCB" w:rsidRPr="00A52585">
        <w:rPr>
          <w:rFonts w:hint="cs"/>
          <w:rtl/>
        </w:rPr>
        <w:t xml:space="preserve"> إشارة إلى الحاضرين</w:t>
      </w:r>
      <w:r w:rsidR="00DB731D" w:rsidRPr="00A52585">
        <w:rPr>
          <w:rFonts w:hint="cs"/>
          <w:rtl/>
        </w:rPr>
        <w:t>،</w:t>
      </w:r>
      <w:r w:rsidR="00777DCB" w:rsidRPr="00A52585">
        <w:rPr>
          <w:rFonts w:hint="cs"/>
          <w:rtl/>
        </w:rPr>
        <w:t xml:space="preserve"> ثم في رمال الكافور وأقربهم منه أي </w:t>
      </w:r>
      <w:proofErr w:type="spellStart"/>
      <w:r w:rsidR="00777DCB" w:rsidRPr="00A52585">
        <w:rPr>
          <w:rFonts w:hint="cs"/>
          <w:rtl/>
        </w:rPr>
        <w:t>أحظاهم</w:t>
      </w:r>
      <w:proofErr w:type="spellEnd"/>
      <w:r w:rsidR="00777DCB" w:rsidRPr="00A52585">
        <w:rPr>
          <w:rFonts w:hint="cs"/>
          <w:rtl/>
        </w:rPr>
        <w:t xml:space="preserve"> عنده</w:t>
      </w:r>
      <w:r w:rsidR="00DB731D" w:rsidRPr="00A52585">
        <w:rPr>
          <w:rFonts w:hint="cs"/>
          <w:rtl/>
        </w:rPr>
        <w:t>،</w:t>
      </w:r>
      <w:r w:rsidR="00777DCB" w:rsidRPr="00A52585">
        <w:rPr>
          <w:rFonts w:hint="cs"/>
          <w:rtl/>
        </w:rPr>
        <w:t xml:space="preserve"> وفي حديث آخر</w:t>
      </w:r>
      <w:r w:rsidRPr="00A52585">
        <w:rPr>
          <w:rFonts w:hint="cs"/>
          <w:rtl/>
        </w:rPr>
        <w:t>:</w:t>
      </w:r>
      <w:r w:rsidR="00777DCB" w:rsidRPr="00A52585">
        <w:rPr>
          <w:rFonts w:hint="cs"/>
          <w:rtl/>
        </w:rPr>
        <w:t xml:space="preserve"> المقسطون يوم القيامة على منابر من نور على يمين الرحمن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ابن حبان في صحيحه كما في " موارد الظمآن " برقم </w:t>
      </w:r>
      <w:r w:rsidRPr="00A52585">
        <w:rPr>
          <w:rFonts w:hint="cs"/>
          <w:sz w:val="24"/>
          <w:szCs w:val="24"/>
          <w:rtl/>
        </w:rPr>
        <w:t>(</w:t>
      </w:r>
      <w:r w:rsidR="00777DCB" w:rsidRPr="00A52585">
        <w:rPr>
          <w:rFonts w:hint="cs"/>
          <w:sz w:val="24"/>
          <w:szCs w:val="24"/>
          <w:rtl/>
        </w:rPr>
        <w:t>1538</w:t>
      </w:r>
      <w:r w:rsidRPr="00A52585">
        <w:rPr>
          <w:rFonts w:hint="cs"/>
          <w:sz w:val="24"/>
          <w:szCs w:val="24"/>
          <w:rtl/>
        </w:rPr>
        <w:t>)</w:t>
      </w:r>
      <w:r w:rsidR="00777DCB" w:rsidRPr="00A52585">
        <w:rPr>
          <w:rFonts w:hint="cs"/>
          <w:sz w:val="24"/>
          <w:szCs w:val="24"/>
          <w:rtl/>
        </w:rPr>
        <w:t xml:space="preserve"> بهذا اللفظ</w:t>
      </w:r>
      <w:r w:rsidR="00DB731D" w:rsidRPr="00A52585">
        <w:rPr>
          <w:rFonts w:hint="cs"/>
          <w:sz w:val="24"/>
          <w:szCs w:val="24"/>
          <w:rtl/>
        </w:rPr>
        <w:t>،</w:t>
      </w:r>
      <w:r w:rsidR="00777DCB" w:rsidRPr="00A52585">
        <w:rPr>
          <w:rFonts w:hint="cs"/>
          <w:sz w:val="24"/>
          <w:szCs w:val="24"/>
          <w:rtl/>
        </w:rPr>
        <w:t xml:space="preserve"> والحديث رواه مسلم </w:t>
      </w:r>
      <w:r w:rsidRPr="00A52585">
        <w:rPr>
          <w:rFonts w:hint="cs"/>
          <w:sz w:val="24"/>
          <w:szCs w:val="24"/>
          <w:rtl/>
        </w:rPr>
        <w:t>(</w:t>
      </w:r>
      <w:r w:rsidR="00777DCB" w:rsidRPr="00A52585">
        <w:rPr>
          <w:rFonts w:hint="cs"/>
          <w:sz w:val="24"/>
          <w:szCs w:val="24"/>
          <w:rtl/>
        </w:rPr>
        <w:t>3 / 1458 برقم 1827</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إن المقسطين عند الله على منابر من نور</w:t>
      </w:r>
      <w:r w:rsidR="00DB731D" w:rsidRPr="00A52585">
        <w:rPr>
          <w:rFonts w:hint="cs"/>
          <w:sz w:val="24"/>
          <w:szCs w:val="24"/>
          <w:rtl/>
        </w:rPr>
        <w:t>،</w:t>
      </w:r>
      <w:r w:rsidR="00777DCB" w:rsidRPr="00A52585">
        <w:rPr>
          <w:rFonts w:hint="cs"/>
          <w:sz w:val="24"/>
          <w:szCs w:val="24"/>
          <w:rtl/>
        </w:rPr>
        <w:t xml:space="preserve"> عن يمين الرحمن عز وجل</w:t>
      </w:r>
      <w:r w:rsidR="00897A24" w:rsidRPr="00A52585">
        <w:rPr>
          <w:rFonts w:hint="cs"/>
          <w:sz w:val="24"/>
          <w:szCs w:val="24"/>
          <w:rtl/>
        </w:rPr>
        <w:t>.</w:t>
      </w:r>
      <w:r w:rsidR="00777DCB" w:rsidRPr="00A52585">
        <w:rPr>
          <w:rFonts w:hint="cs"/>
          <w:sz w:val="24"/>
          <w:szCs w:val="24"/>
          <w:rtl/>
        </w:rPr>
        <w:t xml:space="preserve"> وكلتا يديه يمين</w:t>
      </w:r>
      <w:r w:rsidR="00DB731D" w:rsidRPr="00A52585">
        <w:rPr>
          <w:rFonts w:hint="cs"/>
          <w:sz w:val="24"/>
          <w:szCs w:val="24"/>
          <w:rtl/>
        </w:rPr>
        <w:t>،</w:t>
      </w:r>
      <w:r w:rsidR="00777DCB" w:rsidRPr="00A52585">
        <w:rPr>
          <w:rFonts w:hint="cs"/>
          <w:sz w:val="24"/>
          <w:szCs w:val="24"/>
          <w:rtl/>
        </w:rPr>
        <w:t xml:space="preserve"> الذي يعدلون في حكمهم وأهليهم وما ولوا "</w:t>
      </w:r>
      <w:r w:rsidR="00DB731D" w:rsidRPr="00A52585">
        <w:rPr>
          <w:rFonts w:hint="cs"/>
          <w:sz w:val="24"/>
          <w:szCs w:val="24"/>
          <w:rtl/>
        </w:rPr>
        <w:t>،</w:t>
      </w:r>
      <w:r w:rsidR="00777DCB" w:rsidRPr="00A52585">
        <w:rPr>
          <w:rFonts w:hint="cs"/>
          <w:sz w:val="24"/>
          <w:szCs w:val="24"/>
          <w:rtl/>
        </w:rPr>
        <w:t xml:space="preserve"> ورواه النسائي في سننه الصغرى </w:t>
      </w:r>
      <w:r w:rsidRPr="00A52585">
        <w:rPr>
          <w:rFonts w:hint="cs"/>
          <w:sz w:val="24"/>
          <w:szCs w:val="24"/>
          <w:rtl/>
        </w:rPr>
        <w:t>(</w:t>
      </w:r>
      <w:r w:rsidR="00777DCB" w:rsidRPr="00A52585">
        <w:rPr>
          <w:rFonts w:hint="cs"/>
          <w:sz w:val="24"/>
          <w:szCs w:val="24"/>
          <w:rtl/>
        </w:rPr>
        <w:t>8 / 221 رقم 5379</w:t>
      </w:r>
      <w:r w:rsidRPr="00A52585">
        <w:rPr>
          <w:rFonts w:hint="cs"/>
          <w:sz w:val="24"/>
          <w:szCs w:val="24"/>
          <w:rtl/>
        </w:rPr>
        <w:t>)</w:t>
      </w:r>
      <w:r w:rsidR="00777DCB" w:rsidRPr="00A52585">
        <w:rPr>
          <w:rFonts w:hint="cs"/>
          <w:sz w:val="24"/>
          <w:szCs w:val="24"/>
          <w:rtl/>
        </w:rPr>
        <w:t xml:space="preserve"> وقال عقبه</w:t>
      </w:r>
      <w:r w:rsidRPr="00A52585">
        <w:rPr>
          <w:rFonts w:hint="cs"/>
          <w:sz w:val="24"/>
          <w:szCs w:val="24"/>
          <w:rtl/>
        </w:rPr>
        <w:t>:</w:t>
      </w:r>
      <w:r w:rsidR="00777DCB" w:rsidRPr="00A52585">
        <w:rPr>
          <w:rFonts w:hint="cs"/>
          <w:sz w:val="24"/>
          <w:szCs w:val="24"/>
          <w:rtl/>
        </w:rPr>
        <w:t xml:space="preserve"> " قال محمد في حديثه وكلتا يديه يمين " وروايته لم يذكر فيها هذه اللفظة</w:t>
      </w:r>
      <w:r w:rsidR="00DB731D" w:rsidRPr="00A52585">
        <w:rPr>
          <w:rFonts w:hint="cs"/>
          <w:sz w:val="24"/>
          <w:szCs w:val="24"/>
          <w:rtl/>
        </w:rPr>
        <w:t>،</w:t>
      </w:r>
      <w:r w:rsidR="00777DCB" w:rsidRPr="00A52585">
        <w:rPr>
          <w:rFonts w:hint="cs"/>
          <w:sz w:val="24"/>
          <w:szCs w:val="24"/>
          <w:rtl/>
        </w:rPr>
        <w:t xml:space="preserve"> وهذه منه إشارة إلى تصرف الرواة في متن الحديث</w:t>
      </w:r>
      <w:r w:rsidR="00DB731D" w:rsidRPr="00A52585">
        <w:rPr>
          <w:rFonts w:hint="cs"/>
          <w:sz w:val="24"/>
          <w:szCs w:val="24"/>
          <w:rtl/>
        </w:rPr>
        <w:t>،</w:t>
      </w:r>
      <w:r w:rsidR="00777DCB" w:rsidRPr="00A52585">
        <w:rPr>
          <w:rFonts w:hint="cs"/>
          <w:sz w:val="24"/>
          <w:szCs w:val="24"/>
          <w:rtl/>
        </w:rPr>
        <w:t xml:space="preserve"> والذي يؤكد ذلك رواية الحاكم في " المستدرك " </w:t>
      </w:r>
      <w:r w:rsidRPr="00A52585">
        <w:rPr>
          <w:rFonts w:hint="cs"/>
          <w:sz w:val="24"/>
          <w:szCs w:val="24"/>
          <w:rtl/>
        </w:rPr>
        <w:t>(</w:t>
      </w:r>
      <w:r w:rsidR="00777DCB" w:rsidRPr="00A52585">
        <w:rPr>
          <w:rFonts w:hint="cs"/>
          <w:sz w:val="24"/>
          <w:szCs w:val="24"/>
          <w:rtl/>
        </w:rPr>
        <w:t>4 / 88</w:t>
      </w:r>
      <w:r w:rsidRPr="00A52585">
        <w:rPr>
          <w:rFonts w:hint="cs"/>
          <w:sz w:val="24"/>
          <w:szCs w:val="24"/>
          <w:rtl/>
        </w:rPr>
        <w:t>)</w:t>
      </w:r>
      <w:r w:rsidR="00777DCB" w:rsidRPr="00A52585">
        <w:rPr>
          <w:rFonts w:hint="cs"/>
          <w:sz w:val="24"/>
          <w:szCs w:val="24"/>
          <w:rtl/>
        </w:rPr>
        <w:t xml:space="preserve"> بإسناد صحيح بلفظ</w:t>
      </w:r>
      <w:r w:rsidRPr="00A52585">
        <w:rPr>
          <w:rFonts w:hint="cs"/>
          <w:sz w:val="24"/>
          <w:szCs w:val="24"/>
          <w:rtl/>
        </w:rPr>
        <w:t>:</w:t>
      </w:r>
      <w:r w:rsidR="00777DCB" w:rsidRPr="00A52585">
        <w:rPr>
          <w:rFonts w:hint="cs"/>
          <w:sz w:val="24"/>
          <w:szCs w:val="24"/>
          <w:rtl/>
        </w:rPr>
        <w:t xml:space="preserve"> " إن المقسطين في الدنيا على منابر من لؤلؤ يوم القيامة بين يدي الرحمن عز وجل بما أقسطوا في الدنيا "</w:t>
      </w:r>
      <w:r w:rsidR="00DB731D" w:rsidRPr="00A52585">
        <w:rPr>
          <w:rFonts w:hint="cs"/>
          <w:sz w:val="24"/>
          <w:szCs w:val="24"/>
          <w:rtl/>
        </w:rPr>
        <w:t>،</w:t>
      </w:r>
      <w:r w:rsidR="00777DCB" w:rsidRPr="00A52585">
        <w:rPr>
          <w:rFonts w:hint="cs"/>
          <w:sz w:val="24"/>
          <w:szCs w:val="24"/>
          <w:rtl/>
        </w:rPr>
        <w:t xml:space="preserve"> ورواه الامام احمد في المسند </w:t>
      </w:r>
      <w:r w:rsidRPr="00A52585">
        <w:rPr>
          <w:rFonts w:hint="cs"/>
          <w:sz w:val="24"/>
          <w:szCs w:val="24"/>
          <w:rtl/>
        </w:rPr>
        <w:t>(</w:t>
      </w:r>
      <w:r w:rsidR="00777DCB" w:rsidRPr="00A52585">
        <w:rPr>
          <w:rFonts w:hint="cs"/>
          <w:sz w:val="24"/>
          <w:szCs w:val="24"/>
          <w:rtl/>
        </w:rPr>
        <w:t>9 / 200 رقم 6485 شاكر</w:t>
      </w:r>
      <w:r w:rsidRPr="00A52585">
        <w:rPr>
          <w:rFonts w:hint="cs"/>
          <w:sz w:val="24"/>
          <w:szCs w:val="24"/>
          <w:rtl/>
        </w:rPr>
        <w:t>)</w:t>
      </w:r>
      <w:r w:rsidR="00777DCB" w:rsidRPr="00A52585">
        <w:rPr>
          <w:rFonts w:hint="cs"/>
          <w:sz w:val="24"/>
          <w:szCs w:val="24"/>
          <w:rtl/>
        </w:rPr>
        <w:t xml:space="preserve"> بمثل لفظ الحاكم</w:t>
      </w:r>
      <w:r w:rsidR="00DB731D" w:rsidRPr="00A52585">
        <w:rPr>
          <w:rFonts w:hint="cs"/>
          <w:sz w:val="24"/>
          <w:szCs w:val="24"/>
          <w:rtl/>
        </w:rPr>
        <w:t>،</w:t>
      </w:r>
      <w:r w:rsidR="00777DCB" w:rsidRPr="00A52585">
        <w:rPr>
          <w:rFonts w:hint="cs"/>
          <w:sz w:val="24"/>
          <w:szCs w:val="24"/>
          <w:rtl/>
        </w:rPr>
        <w:t xml:space="preserve"> وكذلك رواه في المسند </w:t>
      </w:r>
      <w:r w:rsidRPr="00A52585">
        <w:rPr>
          <w:rFonts w:hint="cs"/>
          <w:sz w:val="24"/>
          <w:szCs w:val="24"/>
          <w:rtl/>
        </w:rPr>
        <w:t>(</w:t>
      </w:r>
      <w:r w:rsidR="00777DCB" w:rsidRPr="00A52585">
        <w:rPr>
          <w:rFonts w:hint="cs"/>
          <w:sz w:val="24"/>
          <w:szCs w:val="24"/>
          <w:rtl/>
        </w:rPr>
        <w:t>2 / 203</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11 / 121 برقم 6897 شاكر</w:t>
      </w:r>
      <w:r w:rsidRPr="00A52585">
        <w:rPr>
          <w:rFonts w:hint="cs"/>
          <w:sz w:val="24"/>
          <w:szCs w:val="24"/>
          <w:rtl/>
        </w:rPr>
        <w:t>)]</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 يمين العرش "</w:t>
      </w:r>
      <w:r w:rsidR="00DB731D" w:rsidRPr="00A52585">
        <w:rPr>
          <w:rFonts w:hint="cs"/>
          <w:rtl/>
        </w:rPr>
        <w:t>،</w:t>
      </w:r>
      <w:r w:rsidRPr="00A52585">
        <w:rPr>
          <w:rFonts w:hint="cs"/>
          <w:rtl/>
        </w:rPr>
        <w:t xml:space="preserve"> </w:t>
      </w:r>
      <w:r w:rsidR="00777DCB" w:rsidRPr="00A52585">
        <w:rPr>
          <w:rFonts w:hint="cs"/>
          <w:rtl/>
        </w:rPr>
        <w:t>وفي حديث " سوق الجنة " فلا يبقى في ذلك المجلس أحد إلا حاضره الله محاضرة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ابن ماجه في سننه برقم </w:t>
      </w:r>
      <w:r w:rsidRPr="00A52585">
        <w:rPr>
          <w:rFonts w:hint="cs"/>
          <w:sz w:val="24"/>
          <w:szCs w:val="24"/>
          <w:rtl/>
        </w:rPr>
        <w:t>(</w:t>
      </w:r>
      <w:r w:rsidR="00777DCB" w:rsidRPr="00A52585">
        <w:rPr>
          <w:rFonts w:hint="cs"/>
          <w:sz w:val="24"/>
          <w:szCs w:val="24"/>
          <w:rtl/>
        </w:rPr>
        <w:t>4336</w:t>
      </w:r>
      <w:r w:rsidRPr="00A52585">
        <w:rPr>
          <w:rFonts w:hint="cs"/>
          <w:sz w:val="24"/>
          <w:szCs w:val="24"/>
          <w:rtl/>
        </w:rPr>
        <w:t>)</w:t>
      </w:r>
      <w:r w:rsidR="00777DCB" w:rsidRPr="00A52585">
        <w:rPr>
          <w:rFonts w:hint="cs"/>
          <w:sz w:val="24"/>
          <w:szCs w:val="24"/>
          <w:rtl/>
        </w:rPr>
        <w:t xml:space="preserve"> بلفظ " محاضرة " وهو حديث ضعيف]</w:t>
      </w:r>
      <w:r w:rsidR="00DB731D" w:rsidRPr="00A52585">
        <w:rPr>
          <w:rFonts w:hint="cs"/>
          <w:rtl/>
        </w:rPr>
        <w:t>،</w:t>
      </w:r>
      <w:r w:rsidR="00777DCB" w:rsidRPr="00A52585">
        <w:rPr>
          <w:rFonts w:hint="cs"/>
          <w:rtl/>
        </w:rPr>
        <w:t xml:space="preserve"> ويروى " خاصرة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بلفظ " خاصره " الترمذي واسناده ضعيف</w:t>
      </w:r>
      <w:r w:rsidR="00DB731D" w:rsidRPr="00A52585">
        <w:rPr>
          <w:rFonts w:hint="cs"/>
          <w:sz w:val="24"/>
          <w:szCs w:val="24"/>
          <w:rtl/>
        </w:rPr>
        <w:t>،</w:t>
      </w:r>
      <w:r w:rsidR="00777DCB" w:rsidRPr="00A52585">
        <w:rPr>
          <w:rFonts w:hint="cs"/>
          <w:sz w:val="24"/>
          <w:szCs w:val="24"/>
          <w:rtl/>
        </w:rPr>
        <w:t xml:space="preserve"> وهو نفس اسناد ابن ماجه وقال عقبة في سننه </w:t>
      </w:r>
      <w:r w:rsidRPr="00A52585">
        <w:rPr>
          <w:rFonts w:hint="cs"/>
          <w:sz w:val="24"/>
          <w:szCs w:val="24"/>
          <w:rtl/>
        </w:rPr>
        <w:t>(</w:t>
      </w:r>
      <w:r w:rsidR="00777DCB" w:rsidRPr="00A52585">
        <w:rPr>
          <w:rFonts w:hint="cs"/>
          <w:sz w:val="24"/>
          <w:szCs w:val="24"/>
          <w:rtl/>
        </w:rPr>
        <w:t>4 / 686</w:t>
      </w:r>
      <w:r w:rsidRPr="00A52585">
        <w:rPr>
          <w:rFonts w:hint="cs"/>
          <w:sz w:val="24"/>
          <w:szCs w:val="24"/>
          <w:rtl/>
        </w:rPr>
        <w:t>):</w:t>
      </w:r>
      <w:r w:rsidR="00777DCB" w:rsidRPr="00A52585">
        <w:rPr>
          <w:rFonts w:hint="cs"/>
          <w:sz w:val="24"/>
          <w:szCs w:val="24"/>
          <w:rtl/>
        </w:rPr>
        <w:t xml:space="preserve"> حديث غريب لا نعرفه إلا من هذا الوجه</w:t>
      </w:r>
      <w:r w:rsidRPr="00A52585">
        <w:rPr>
          <w:rFonts w:hint="cs"/>
          <w:sz w:val="24"/>
          <w:szCs w:val="24"/>
          <w:rtl/>
        </w:rPr>
        <w:t>]</w:t>
      </w:r>
      <w:r w:rsidR="00DB731D" w:rsidRPr="00A52585">
        <w:rPr>
          <w:rFonts w:hint="cs"/>
          <w:sz w:val="24"/>
          <w:szCs w:val="24"/>
          <w:rtl/>
        </w:rPr>
        <w:t>،</w:t>
      </w:r>
      <w:r w:rsidR="00777DCB" w:rsidRPr="00A52585">
        <w:rPr>
          <w:rFonts w:hint="cs"/>
          <w:rtl/>
        </w:rPr>
        <w:t xml:space="preserve"> بالخاء المعجمة</w:t>
      </w:r>
      <w:r w:rsidR="00DB731D" w:rsidRPr="00A52585">
        <w:rPr>
          <w:rFonts w:hint="cs"/>
          <w:rtl/>
        </w:rPr>
        <w:t>،</w:t>
      </w:r>
      <w:r w:rsidR="00777DCB" w:rsidRPr="00A52585">
        <w:rPr>
          <w:rFonts w:hint="cs"/>
          <w:rtl/>
        </w:rPr>
        <w:t xml:space="preserve"> ومثل هذا لا يثبت</w:t>
      </w:r>
      <w:r w:rsidR="00DB731D" w:rsidRPr="00A52585">
        <w:rPr>
          <w:rFonts w:hint="cs"/>
          <w:rtl/>
        </w:rPr>
        <w:t>،</w:t>
      </w:r>
      <w:r w:rsidR="00777DCB" w:rsidRPr="00A52585">
        <w:rPr>
          <w:rFonts w:hint="cs"/>
          <w:rtl/>
        </w:rPr>
        <w:t xml:space="preserve"> </w:t>
      </w:r>
      <w:proofErr w:type="spellStart"/>
      <w:r w:rsidR="00777DCB" w:rsidRPr="00A52585">
        <w:rPr>
          <w:rFonts w:hint="cs"/>
          <w:rtl/>
        </w:rPr>
        <w:t>والمخاصرة</w:t>
      </w:r>
      <w:proofErr w:type="spellEnd"/>
      <w:r w:rsidRPr="00A52585">
        <w:rPr>
          <w:rFonts w:hint="cs"/>
          <w:rtl/>
        </w:rPr>
        <w:t>:</w:t>
      </w:r>
      <w:r w:rsidR="00777DCB" w:rsidRPr="00A52585">
        <w:rPr>
          <w:rFonts w:hint="cs"/>
          <w:rtl/>
        </w:rPr>
        <w:t xml:space="preserve"> المصافحة</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لا يمتنع أن يكون الحق في رمال الكافور</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فقد أقر بالحصر</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لا على وجه الانتقال</w:t>
      </w:r>
      <w:r w:rsidR="00DB731D" w:rsidRPr="00A52585">
        <w:rPr>
          <w:rFonts w:hint="cs"/>
          <w:rtl/>
        </w:rPr>
        <w:t>،</w:t>
      </w:r>
      <w:r w:rsidR="00777DCB" w:rsidRPr="00A52585">
        <w:rPr>
          <w:rFonts w:hint="cs"/>
          <w:rtl/>
        </w:rPr>
        <w:t xml:space="preserve"> وهذا تلاعب</w:t>
      </w:r>
      <w:r w:rsidR="00897A24"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ولا يمتنع قربهم من الذات وهذا يضيع معه الحديث</w:t>
      </w:r>
      <w:r w:rsidR="00DB731D" w:rsidRPr="00A52585">
        <w:rPr>
          <w:rFonts w:hint="cs"/>
          <w:rtl/>
        </w:rPr>
        <w:t>،</w:t>
      </w:r>
      <w:r w:rsidR="00777DCB" w:rsidRPr="00A52585">
        <w:rPr>
          <w:rFonts w:hint="cs"/>
          <w:rtl/>
        </w:rPr>
        <w:t xml:space="preserve"> واستدل بقوله</w:t>
      </w:r>
      <w:r w:rsidRPr="00A52585">
        <w:rPr>
          <w:rFonts w:hint="cs"/>
          <w:rtl/>
        </w:rPr>
        <w:t>:</w:t>
      </w:r>
      <w:r w:rsidR="00777DCB" w:rsidRPr="00A52585">
        <w:rPr>
          <w:rFonts w:hint="cs"/>
          <w:rtl/>
        </w:rPr>
        <w:t xml:space="preserve"> " ما منكم من أحد الا سيخلو به ربه "</w:t>
      </w:r>
      <w:r w:rsidR="00897A24"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الخلوة عبارة عن القرب</w:t>
      </w:r>
      <w:r w:rsidR="00DB731D" w:rsidRPr="00A52585">
        <w:rPr>
          <w:rFonts w:hint="cs"/>
          <w:rtl/>
        </w:rPr>
        <w:t>،</w:t>
      </w:r>
      <w:r w:rsidR="00777DCB" w:rsidRPr="00A52585">
        <w:rPr>
          <w:rFonts w:hint="cs"/>
          <w:rtl/>
        </w:rPr>
        <w:t xml:space="preserve"> ويجوز القرب من الذات</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سبق رد هذا</w:t>
      </w:r>
      <w:r w:rsidR="00DB731D" w:rsidRPr="00A52585">
        <w:rPr>
          <w:rFonts w:hint="cs"/>
          <w:rtl/>
        </w:rPr>
        <w:t>،</w:t>
      </w:r>
      <w:r w:rsidR="00777DCB" w:rsidRPr="00A52585">
        <w:rPr>
          <w:rFonts w:hint="cs"/>
          <w:rtl/>
        </w:rPr>
        <w:t xml:space="preserve"> </w:t>
      </w:r>
    </w:p>
    <w:p w14:paraId="346A76DD" w14:textId="06756590" w:rsidR="00777DCB" w:rsidRPr="00A52585" w:rsidRDefault="0002035C" w:rsidP="0002035C">
      <w:pPr>
        <w:spacing w:after="0"/>
        <w:rPr>
          <w:b/>
          <w:rtl/>
        </w:rPr>
      </w:pPr>
      <w:r w:rsidRPr="00A52585">
        <w:rPr>
          <w:rFonts w:hint="cs"/>
          <w:bCs/>
          <w:u w:val="single"/>
          <w:rtl/>
        </w:rPr>
        <w:t>[</w:t>
      </w:r>
      <w:r w:rsidR="00777DCB" w:rsidRPr="00A52585">
        <w:rPr>
          <w:rFonts w:hint="cs"/>
          <w:bCs/>
          <w:u w:val="single"/>
          <w:rtl/>
        </w:rPr>
        <w:t>24</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 والعشرون</w:t>
      </w:r>
      <w:r w:rsidRPr="00A52585">
        <w:rPr>
          <w:rFonts w:hint="cs"/>
          <w:bCs/>
          <w:rtl/>
        </w:rPr>
        <w:t>]:</w:t>
      </w:r>
      <w:r w:rsidR="00777DCB" w:rsidRPr="00A52585">
        <w:rPr>
          <w:rFonts w:hint="cs"/>
          <w:rtl/>
        </w:rPr>
        <w:t xml:space="preserve"> روى البخاري </w:t>
      </w:r>
      <w:r w:rsidRPr="00A52585">
        <w:rPr>
          <w:rFonts w:hint="cs"/>
          <w:rtl/>
        </w:rPr>
        <w:t>(</w:t>
      </w:r>
      <w:r w:rsidR="00777DCB" w:rsidRPr="00A52585">
        <w:rPr>
          <w:rFonts w:hint="cs"/>
          <w:rtl/>
        </w:rPr>
        <w:t>13 / 438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2148</w:t>
      </w:r>
      <w:r w:rsidRPr="00A52585">
        <w:rPr>
          <w:rFonts w:hint="cs"/>
          <w:rtl/>
        </w:rPr>
        <w:t>)</w:t>
      </w:r>
      <w:r w:rsidR="00777DCB" w:rsidRPr="00A52585">
        <w:rPr>
          <w:rFonts w:hint="cs"/>
          <w:rtl/>
        </w:rPr>
        <w:t xml:space="preserve"> في الصحيحين من حديث ابن مسعود - رضي الله عنه - قال</w:t>
      </w:r>
      <w:r w:rsidRPr="00A52585">
        <w:rPr>
          <w:rFonts w:hint="cs"/>
          <w:rtl/>
        </w:rPr>
        <w:t>:</w:t>
      </w:r>
      <w:r w:rsidR="00777DCB" w:rsidRPr="00A52585">
        <w:rPr>
          <w:rFonts w:hint="cs"/>
          <w:rtl/>
        </w:rPr>
        <w:t xml:space="preserve"> جاء رجل من اليهود إلى رسول الله صلى الله عليه وسلم فقال</w:t>
      </w:r>
      <w:r w:rsidRPr="00A52585">
        <w:rPr>
          <w:rFonts w:hint="cs"/>
          <w:rtl/>
        </w:rPr>
        <w:t>:</w:t>
      </w:r>
      <w:r w:rsidR="00777DCB" w:rsidRPr="00A52585">
        <w:rPr>
          <w:rFonts w:hint="cs"/>
          <w:rtl/>
        </w:rPr>
        <w:t xml:space="preserve"> " يا محمد إن الله يضع </w:t>
      </w:r>
      <w:proofErr w:type="gramStart"/>
      <w:r w:rsidR="00777DCB" w:rsidRPr="00A52585">
        <w:rPr>
          <w:rFonts w:hint="cs"/>
          <w:rtl/>
        </w:rPr>
        <w:t>السموات</w:t>
      </w:r>
      <w:proofErr w:type="gramEnd"/>
      <w:r w:rsidR="00777DCB" w:rsidRPr="00A52585">
        <w:rPr>
          <w:rFonts w:hint="cs"/>
          <w:rtl/>
        </w:rPr>
        <w:t xml:space="preserve"> على اصبع والارضين على إصبع</w:t>
      </w:r>
      <w:r w:rsidR="00DB731D" w:rsidRPr="00A52585">
        <w:rPr>
          <w:rFonts w:hint="cs"/>
          <w:rtl/>
        </w:rPr>
        <w:t>،</w:t>
      </w:r>
      <w:r w:rsidR="00777DCB" w:rsidRPr="00A52585">
        <w:rPr>
          <w:rFonts w:hint="cs"/>
          <w:rtl/>
        </w:rPr>
        <w:t xml:space="preserve"> والجبال على إصبع</w:t>
      </w:r>
      <w:r w:rsidR="00DB731D" w:rsidRPr="00A52585">
        <w:rPr>
          <w:rFonts w:hint="cs"/>
          <w:rtl/>
        </w:rPr>
        <w:t>،</w:t>
      </w:r>
      <w:r w:rsidR="00777DCB" w:rsidRPr="00A52585">
        <w:rPr>
          <w:rFonts w:hint="cs"/>
          <w:rtl/>
        </w:rPr>
        <w:t xml:space="preserve"> والشجر والانهار على اصبع</w:t>
      </w:r>
      <w:r w:rsidR="00897A24" w:rsidRPr="00A52585">
        <w:rPr>
          <w:rFonts w:hint="cs"/>
          <w:rtl/>
        </w:rPr>
        <w:t>..</w:t>
      </w:r>
      <w:r w:rsidR="00777DCB" w:rsidRPr="00A52585">
        <w:rPr>
          <w:rFonts w:hint="cs"/>
          <w:rtl/>
        </w:rPr>
        <w:t xml:space="preserve"> وفي لفظ الماء والثرى على </w:t>
      </w:r>
      <w:proofErr w:type="gramStart"/>
      <w:r w:rsidR="00777DCB" w:rsidRPr="00A52585">
        <w:rPr>
          <w:rFonts w:hint="cs"/>
          <w:rtl/>
        </w:rPr>
        <w:t>اصبع</w:t>
      </w:r>
      <w:proofErr w:type="gramEnd"/>
      <w:r w:rsidR="00DB731D" w:rsidRPr="00A52585">
        <w:rPr>
          <w:rFonts w:hint="cs"/>
          <w:rtl/>
        </w:rPr>
        <w:t>،</w:t>
      </w:r>
      <w:r w:rsidR="00777DCB" w:rsidRPr="00A52585">
        <w:rPr>
          <w:rFonts w:hint="cs"/>
          <w:rtl/>
        </w:rPr>
        <w:t xml:space="preserve"> ثم يهزهن "</w:t>
      </w:r>
      <w:r w:rsidR="00897A24" w:rsidRPr="00A52585">
        <w:rPr>
          <w:rFonts w:hint="cs"/>
          <w:rtl/>
        </w:rPr>
        <w:t>.</w:t>
      </w:r>
      <w:r w:rsidR="00777DCB" w:rsidRPr="00A52585">
        <w:rPr>
          <w:rFonts w:hint="cs"/>
          <w:rtl/>
        </w:rPr>
        <w:t xml:space="preserve"> فضحك رسول الله صلى الله عليه وسلم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قدروا الله حق قدره</w:t>
      </w:r>
      <w:r w:rsidRPr="00A52585">
        <w:rPr>
          <w:rFonts w:hint="cs"/>
          <w:rtl/>
        </w:rPr>
        <w:t>)</w:t>
      </w:r>
      <w:r w:rsidR="00777DCB" w:rsidRPr="00A52585">
        <w:rPr>
          <w:rFonts w:hint="cs"/>
          <w:rtl/>
        </w:rPr>
        <w:t xml:space="preserve"> الزمر</w:t>
      </w:r>
      <w:r w:rsidRPr="00A52585">
        <w:rPr>
          <w:rFonts w:hint="cs"/>
          <w:rtl/>
        </w:rPr>
        <w:t>:</w:t>
      </w:r>
      <w:r w:rsidR="00777DCB" w:rsidRPr="00A52585">
        <w:rPr>
          <w:rFonts w:hint="cs"/>
          <w:rtl/>
        </w:rPr>
        <w:t xml:space="preserve"> 67</w:t>
      </w:r>
      <w:r w:rsidR="00DB731D"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وهذا إنكار صريح منه صلى الله عليه وسلم على هذا اليهودي في قوله 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وما قدروا الله حق قدره</w:t>
      </w:r>
      <w:r w:rsidRPr="00A52585">
        <w:rPr>
          <w:rFonts w:hint="cs"/>
          <w:sz w:val="24"/>
          <w:szCs w:val="24"/>
          <w:rtl/>
        </w:rPr>
        <w:t>)</w:t>
      </w:r>
      <w:r w:rsidR="00777DCB" w:rsidRPr="00A52585">
        <w:rPr>
          <w:rFonts w:hint="cs"/>
          <w:sz w:val="24"/>
          <w:szCs w:val="24"/>
          <w:rtl/>
        </w:rPr>
        <w:t xml:space="preserve"> ولو لم يكن منكرا عليه لما تلا هذه الآية</w:t>
      </w:r>
      <w:r w:rsidR="00DB731D" w:rsidRPr="00A52585">
        <w:rPr>
          <w:rFonts w:hint="cs"/>
          <w:sz w:val="24"/>
          <w:szCs w:val="24"/>
          <w:rtl/>
        </w:rPr>
        <w:t>،</w:t>
      </w:r>
      <w:r w:rsidR="00777DCB" w:rsidRPr="00A52585">
        <w:rPr>
          <w:rFonts w:hint="cs"/>
          <w:sz w:val="24"/>
          <w:szCs w:val="24"/>
          <w:rtl/>
        </w:rPr>
        <w:t xml:space="preserve"> وأما ما زاده بعض الرواة من قوله </w:t>
      </w:r>
      <w:r w:rsidRPr="00A52585">
        <w:rPr>
          <w:rFonts w:hint="cs"/>
          <w:sz w:val="24"/>
          <w:szCs w:val="24"/>
          <w:rtl/>
        </w:rPr>
        <w:t>(</w:t>
      </w:r>
      <w:r w:rsidR="00777DCB" w:rsidRPr="00A52585">
        <w:rPr>
          <w:rFonts w:hint="cs"/>
          <w:sz w:val="24"/>
          <w:szCs w:val="24"/>
          <w:rtl/>
        </w:rPr>
        <w:t>تعجبا وتصديقا له</w:t>
      </w:r>
      <w:r w:rsidRPr="00A52585">
        <w:rPr>
          <w:rFonts w:hint="cs"/>
          <w:sz w:val="24"/>
          <w:szCs w:val="24"/>
          <w:rtl/>
        </w:rPr>
        <w:t>)</w:t>
      </w:r>
      <w:r w:rsidR="00777DCB" w:rsidRPr="00A52585">
        <w:rPr>
          <w:rFonts w:hint="cs"/>
          <w:sz w:val="24"/>
          <w:szCs w:val="24"/>
          <w:rtl/>
        </w:rPr>
        <w:t xml:space="preserve"> فهو وهم باطل بصريح الآية التي ذكرها صلى الله عليه وسلم</w:t>
      </w:r>
      <w:r w:rsidR="00DB731D" w:rsidRPr="00A52585">
        <w:rPr>
          <w:rFonts w:hint="cs"/>
          <w:sz w:val="24"/>
          <w:szCs w:val="24"/>
          <w:rtl/>
        </w:rPr>
        <w:t>،</w:t>
      </w:r>
      <w:r w:rsidR="00777DCB" w:rsidRPr="00A52585">
        <w:rPr>
          <w:rFonts w:hint="cs"/>
          <w:sz w:val="24"/>
          <w:szCs w:val="24"/>
          <w:rtl/>
        </w:rPr>
        <w:t xml:space="preserve"> وقد أسهب الحافظ ابن حجر في الفتح </w:t>
      </w:r>
      <w:r w:rsidRPr="00A52585">
        <w:rPr>
          <w:rFonts w:hint="cs"/>
          <w:sz w:val="24"/>
          <w:szCs w:val="24"/>
          <w:rtl/>
        </w:rPr>
        <w:t>(</w:t>
      </w:r>
      <w:r w:rsidR="00777DCB" w:rsidRPr="00A52585">
        <w:rPr>
          <w:rFonts w:hint="cs"/>
          <w:sz w:val="24"/>
          <w:szCs w:val="24"/>
          <w:rtl/>
        </w:rPr>
        <w:t>13 / 397 - 398</w:t>
      </w:r>
      <w:r w:rsidRPr="00A52585">
        <w:rPr>
          <w:rFonts w:hint="cs"/>
          <w:sz w:val="24"/>
          <w:szCs w:val="24"/>
          <w:rtl/>
        </w:rPr>
        <w:t>)</w:t>
      </w:r>
      <w:r w:rsidR="00777DCB" w:rsidRPr="00A52585">
        <w:rPr>
          <w:rFonts w:hint="cs"/>
          <w:sz w:val="24"/>
          <w:szCs w:val="24"/>
          <w:rtl/>
        </w:rPr>
        <w:t xml:space="preserve"> في سرد أقوال من أول الاصابع ولا حاجة لذلك مع إنكار النبي صلى الله عليه وسلم على ذلك اليهودي وتلاوة الآية وإن كان صلى الله عليه وسلم قد ضحك مع </w:t>
      </w:r>
      <w:r w:rsidR="00777DCB" w:rsidRPr="00A52585">
        <w:rPr>
          <w:rFonts w:hint="cs"/>
          <w:sz w:val="24"/>
          <w:szCs w:val="24"/>
          <w:rtl/>
        </w:rPr>
        <w:lastRenderedPageBreak/>
        <w:t>ذلك</w:t>
      </w:r>
      <w:r w:rsidR="00DB731D" w:rsidRPr="00A52585">
        <w:rPr>
          <w:rFonts w:hint="cs"/>
          <w:sz w:val="24"/>
          <w:szCs w:val="24"/>
          <w:rtl/>
        </w:rPr>
        <w:t>،</w:t>
      </w:r>
      <w:r w:rsidR="00777DCB" w:rsidRPr="00A52585">
        <w:rPr>
          <w:rFonts w:hint="cs"/>
          <w:sz w:val="24"/>
          <w:szCs w:val="24"/>
          <w:rtl/>
        </w:rPr>
        <w:t xml:space="preserve"> لان ضحكه كان بسبب استسخاف عقل اليهودي بدليل ذكره للآية</w:t>
      </w:r>
      <w:r w:rsidR="00DB731D" w:rsidRPr="00A52585">
        <w:rPr>
          <w:rFonts w:hint="cs"/>
          <w:sz w:val="24"/>
          <w:szCs w:val="24"/>
          <w:rtl/>
        </w:rPr>
        <w:t>،</w:t>
      </w:r>
      <w:r w:rsidR="00777DCB" w:rsidRPr="00A52585">
        <w:rPr>
          <w:rFonts w:hint="cs"/>
          <w:sz w:val="24"/>
          <w:szCs w:val="24"/>
          <w:rtl/>
        </w:rPr>
        <w:t xml:space="preserve"> وانظر لزاما كتاب " فتح المعين " </w:t>
      </w:r>
      <w:proofErr w:type="spellStart"/>
      <w:r w:rsidR="00777DCB" w:rsidRPr="00A52585">
        <w:rPr>
          <w:rFonts w:hint="cs"/>
          <w:sz w:val="24"/>
          <w:szCs w:val="24"/>
          <w:rtl/>
        </w:rPr>
        <w:t>للامام</w:t>
      </w:r>
      <w:proofErr w:type="spellEnd"/>
      <w:r w:rsidR="00777DCB" w:rsidRPr="00A52585">
        <w:rPr>
          <w:rFonts w:hint="cs"/>
          <w:sz w:val="24"/>
          <w:szCs w:val="24"/>
          <w:rtl/>
        </w:rPr>
        <w:t xml:space="preserve"> المحدث أبي الفضل الغماري وتعليقنا عليه ص </w:t>
      </w:r>
      <w:r w:rsidRPr="00A52585">
        <w:rPr>
          <w:rFonts w:hint="cs"/>
          <w:sz w:val="24"/>
          <w:szCs w:val="24"/>
          <w:rtl/>
        </w:rPr>
        <w:t>(</w:t>
      </w:r>
      <w:r w:rsidR="00777DCB" w:rsidRPr="00A52585">
        <w:rPr>
          <w:rFonts w:hint="cs"/>
          <w:sz w:val="24"/>
          <w:szCs w:val="24"/>
          <w:rtl/>
        </w:rPr>
        <w:t>43 - 45</w:t>
      </w:r>
      <w:r w:rsidRPr="00A52585">
        <w:rPr>
          <w:rFonts w:hint="cs"/>
          <w:sz w:val="24"/>
          <w:szCs w:val="24"/>
          <w:rtl/>
        </w:rPr>
        <w:t>)]</w:t>
      </w:r>
      <w:r w:rsidR="00DB731D" w:rsidRPr="00A52585">
        <w:rPr>
          <w:rFonts w:hint="cs"/>
          <w:rtl/>
        </w:rPr>
        <w:t>،</w:t>
      </w:r>
      <w:r w:rsidR="00777DCB" w:rsidRPr="00A52585">
        <w:rPr>
          <w:rFonts w:hint="cs"/>
          <w:rtl/>
        </w:rPr>
        <w:t xml:space="preserve"> وفي بعض الالفاظ</w:t>
      </w:r>
      <w:r w:rsidRPr="00A52585">
        <w:rPr>
          <w:rFonts w:hint="cs"/>
          <w:rtl/>
        </w:rPr>
        <w:t>:</w:t>
      </w:r>
      <w:r w:rsidR="00777DCB" w:rsidRPr="00A52585">
        <w:rPr>
          <w:rFonts w:hint="cs"/>
          <w:rtl/>
        </w:rPr>
        <w:t xml:space="preserve"> فضحك رسول الله صلى الله عليه وسلم تعجبا وتصديقا له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هذا اللفظ ثابت في البخاري </w:t>
      </w:r>
      <w:r w:rsidRPr="00A52585">
        <w:rPr>
          <w:rFonts w:hint="cs"/>
          <w:sz w:val="24"/>
          <w:szCs w:val="24"/>
          <w:rtl/>
        </w:rPr>
        <w:t>(</w:t>
      </w:r>
      <w:r w:rsidR="00777DCB" w:rsidRPr="00A52585">
        <w:rPr>
          <w:rFonts w:hint="cs"/>
          <w:sz w:val="24"/>
          <w:szCs w:val="24"/>
          <w:rtl/>
        </w:rPr>
        <w:t>13 / 393 فتح</w:t>
      </w:r>
      <w:r w:rsidRPr="00A52585">
        <w:rPr>
          <w:rFonts w:hint="cs"/>
          <w:sz w:val="24"/>
          <w:szCs w:val="24"/>
          <w:rtl/>
        </w:rPr>
        <w:t>)</w:t>
      </w:r>
      <w:r w:rsidR="00777DCB" w:rsidRPr="00A52585">
        <w:rPr>
          <w:rFonts w:hint="cs"/>
          <w:sz w:val="24"/>
          <w:szCs w:val="24"/>
          <w:rtl/>
        </w:rPr>
        <w:t xml:space="preserve"> وهو من قول أحد الرواة مع كونه مردودا</w:t>
      </w:r>
      <w:r w:rsidR="00DB731D" w:rsidRPr="00A52585">
        <w:rPr>
          <w:rFonts w:hint="cs"/>
          <w:sz w:val="24"/>
          <w:szCs w:val="24"/>
          <w:rtl/>
        </w:rPr>
        <w:t>،</w:t>
      </w:r>
      <w:r w:rsidR="00777DCB" w:rsidRPr="00A52585">
        <w:rPr>
          <w:rFonts w:hint="cs"/>
          <w:sz w:val="24"/>
          <w:szCs w:val="24"/>
          <w:rtl/>
        </w:rPr>
        <w:t xml:space="preserve"> قال ابن حجر في الفتح </w:t>
      </w:r>
      <w:r w:rsidRPr="00A52585">
        <w:rPr>
          <w:rFonts w:hint="cs"/>
          <w:sz w:val="24"/>
          <w:szCs w:val="24"/>
          <w:rtl/>
        </w:rPr>
        <w:t>(</w:t>
      </w:r>
      <w:r w:rsidR="00777DCB" w:rsidRPr="00A52585">
        <w:rPr>
          <w:rFonts w:hint="cs"/>
          <w:sz w:val="24"/>
          <w:szCs w:val="24"/>
          <w:rtl/>
        </w:rPr>
        <w:t>13 / 398</w:t>
      </w:r>
      <w:r w:rsidRPr="00A52585">
        <w:rPr>
          <w:rFonts w:hint="cs"/>
          <w:sz w:val="24"/>
          <w:szCs w:val="24"/>
          <w:rtl/>
        </w:rPr>
        <w:t>)</w:t>
      </w:r>
      <w:r w:rsidR="00777DCB" w:rsidRPr="00A52585">
        <w:rPr>
          <w:rFonts w:hint="cs"/>
          <w:sz w:val="24"/>
          <w:szCs w:val="24"/>
          <w:rtl/>
        </w:rPr>
        <w:t xml:space="preserve"> نقلا عن القرطبي</w:t>
      </w:r>
      <w:r w:rsidRPr="00A52585">
        <w:rPr>
          <w:rFonts w:hint="cs"/>
          <w:sz w:val="24"/>
          <w:szCs w:val="24"/>
          <w:rtl/>
        </w:rPr>
        <w:t>:</w:t>
      </w:r>
      <w:r w:rsidR="00777DCB" w:rsidRPr="00A52585">
        <w:rPr>
          <w:rFonts w:hint="cs"/>
          <w:sz w:val="24"/>
          <w:szCs w:val="24"/>
          <w:rtl/>
        </w:rPr>
        <w:t xml:space="preserve"> " وأما من زاد " وتصديقا له " فليست بشيء فإنها من قول الراوي وهي باطلة لان النبي صلى الله عليه وسلم لا يصدق المحال</w:t>
      </w:r>
      <w:r w:rsidR="00DB731D" w:rsidRPr="00A52585">
        <w:rPr>
          <w:rFonts w:hint="cs"/>
          <w:sz w:val="24"/>
          <w:szCs w:val="24"/>
          <w:rtl/>
        </w:rPr>
        <w:t>،</w:t>
      </w:r>
      <w:r w:rsidR="00777DCB" w:rsidRPr="00A52585">
        <w:rPr>
          <w:rFonts w:hint="cs"/>
          <w:sz w:val="24"/>
          <w:szCs w:val="24"/>
          <w:rtl/>
        </w:rPr>
        <w:t xml:space="preserve"> وهذه الاوصاف في حق الله محال " اه‍</w:t>
      </w:r>
      <w:r w:rsidRPr="00A52585">
        <w:rPr>
          <w:rFonts w:hint="cs"/>
          <w:sz w:val="24"/>
          <w:szCs w:val="24"/>
          <w:rtl/>
        </w:rPr>
        <w:t>]</w:t>
      </w:r>
      <w:r w:rsidR="00DB731D" w:rsidRPr="00A52585">
        <w:rPr>
          <w:rFonts w:hint="cs"/>
          <w:rtl/>
        </w:rPr>
        <w:t>،</w:t>
      </w:r>
      <w:r w:rsidR="00777DCB" w:rsidRPr="00A52585">
        <w:rPr>
          <w:rFonts w:hint="cs"/>
          <w:rtl/>
        </w:rPr>
        <w:t xml:space="preserve"> قال أبو سليمان الخطابي</w:t>
      </w:r>
      <w:r w:rsidRPr="00A52585">
        <w:rPr>
          <w:rFonts w:hint="cs"/>
          <w:rtl/>
        </w:rPr>
        <w:t>:</w:t>
      </w:r>
      <w:r w:rsidR="00777DCB" w:rsidRPr="00A52585">
        <w:rPr>
          <w:rFonts w:hint="cs"/>
          <w:rtl/>
        </w:rPr>
        <w:t xml:space="preserve"> لا تثبت لله صفة إلا بالكتاب أو خبر مقطوع بصحته يستند إلى أصل في الكتاب أو في السنة المقطوع على صحتها</w:t>
      </w:r>
      <w:r w:rsidR="00DB731D" w:rsidRPr="00A52585">
        <w:rPr>
          <w:rFonts w:hint="cs"/>
          <w:rtl/>
        </w:rPr>
        <w:t>،</w:t>
      </w:r>
      <w:r w:rsidR="00777DCB" w:rsidRPr="00A52585">
        <w:rPr>
          <w:rFonts w:hint="cs"/>
          <w:rtl/>
        </w:rPr>
        <w:t xml:space="preserve"> وما بخلاف ذلك فالواجب التوقف عن إطلاق ذلك ويتأول على ما يليق بمعاني الاصول المتفق عليها من أقوال أهل العلم من نفي التشبيه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وذكر الاصابع لم يوجد في الكتاب ولا في السنة التي شرطها في الثبوت ما وصفنا</w:t>
      </w:r>
      <w:r w:rsidR="00DB731D" w:rsidRPr="00A52585">
        <w:rPr>
          <w:rFonts w:hint="cs"/>
          <w:rtl/>
        </w:rPr>
        <w:t>،</w:t>
      </w:r>
      <w:r w:rsidR="00777DCB" w:rsidRPr="00A52585">
        <w:rPr>
          <w:rFonts w:hint="cs"/>
          <w:rtl/>
        </w:rPr>
        <w:t xml:space="preserve"> فليس معنى اليد في الصفات معنى اليد حتى يتوهم بثبوتها ثبوت الاصابع بل هو توقيف شرعي أطلقنا الاسم فيه على ما جاء به الكتاب من غير كييف ولا تشبيه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ظاهر ضحك النبي صلى الله عليه وسلم الانكار</w:t>
      </w:r>
      <w:r w:rsidR="00DB731D" w:rsidRPr="00A52585">
        <w:rPr>
          <w:rFonts w:hint="cs"/>
          <w:rtl/>
        </w:rPr>
        <w:t>،</w:t>
      </w:r>
      <w:r w:rsidR="00777DCB" w:rsidRPr="00A52585">
        <w:rPr>
          <w:rFonts w:hint="cs"/>
          <w:rtl/>
        </w:rPr>
        <w:t xml:space="preserve"> واليهود مشبهة ونزول الآية دليل على إنكار الرسول صلى الله عليه وسلم</w:t>
      </w:r>
      <w:r w:rsidR="00DB731D" w:rsidRPr="00A52585">
        <w:rPr>
          <w:rFonts w:hint="cs"/>
          <w:rtl/>
        </w:rPr>
        <w:t>،</w:t>
      </w:r>
      <w:r w:rsidR="00777DCB" w:rsidRPr="00A52585">
        <w:rPr>
          <w:rFonts w:hint="cs"/>
          <w:rtl/>
        </w:rPr>
        <w:t xml:space="preserve"> وقال ابن عقيل</w:t>
      </w:r>
      <w:r w:rsidRPr="00A52585">
        <w:rPr>
          <w:rFonts w:hint="cs"/>
          <w:rtl/>
        </w:rPr>
        <w:t>:</w:t>
      </w:r>
      <w:r w:rsidR="00777DCB" w:rsidRPr="00A52585">
        <w:rPr>
          <w:rFonts w:hint="cs"/>
          <w:rtl/>
        </w:rPr>
        <w:t xml:space="preserve"> ما قدروا الله حق قدره حيث جعلوا صفاته تتساعد وتتعاضد على حمل مخلوقاته وإنما ذكر الشرك في الآية ردا عليهم</w:t>
      </w:r>
      <w:r w:rsidR="00DB731D" w:rsidRPr="00A52585">
        <w:rPr>
          <w:rFonts w:hint="cs"/>
          <w:rtl/>
        </w:rPr>
        <w:t>،</w:t>
      </w:r>
      <w:r w:rsidR="00777DCB" w:rsidRPr="00A52585">
        <w:rPr>
          <w:rFonts w:hint="cs"/>
          <w:rtl/>
        </w:rPr>
        <w:t xml:space="preserve"> وفي معنى هذا الحديث قوله عليه الصلاة والسلام</w:t>
      </w:r>
      <w:r w:rsidRPr="00A52585">
        <w:rPr>
          <w:rFonts w:hint="cs"/>
          <w:rtl/>
        </w:rPr>
        <w:t>:</w:t>
      </w:r>
      <w:r w:rsidR="00777DCB" w:rsidRPr="00A52585">
        <w:rPr>
          <w:rFonts w:hint="cs"/>
          <w:rtl/>
        </w:rPr>
        <w:t xml:space="preserve"> " إن قلوب بني آدم بين أصبعين من أصابع الرحمن يقلبها كيف يشاء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مسلم </w:t>
      </w:r>
      <w:r w:rsidRPr="00A52585">
        <w:rPr>
          <w:rFonts w:hint="cs"/>
          <w:sz w:val="24"/>
          <w:szCs w:val="24"/>
          <w:rtl/>
        </w:rPr>
        <w:t>(</w:t>
      </w:r>
      <w:r w:rsidR="00777DCB" w:rsidRPr="00A52585">
        <w:rPr>
          <w:rFonts w:hint="cs"/>
          <w:sz w:val="24"/>
          <w:szCs w:val="24"/>
          <w:rtl/>
        </w:rPr>
        <w:t>4 / 2045 برقم 17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والامام أحمد </w:t>
      </w:r>
      <w:r w:rsidRPr="00A52585">
        <w:rPr>
          <w:rFonts w:hint="cs"/>
          <w:sz w:val="24"/>
          <w:szCs w:val="24"/>
          <w:rtl/>
        </w:rPr>
        <w:t>(</w:t>
      </w:r>
      <w:r w:rsidR="00777DCB" w:rsidRPr="00A52585">
        <w:rPr>
          <w:rFonts w:hint="cs"/>
          <w:sz w:val="24"/>
          <w:szCs w:val="24"/>
          <w:rtl/>
        </w:rPr>
        <w:t>2 / 168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والترمذي </w:t>
      </w:r>
      <w:r w:rsidRPr="00A52585">
        <w:rPr>
          <w:rFonts w:hint="cs"/>
          <w:sz w:val="24"/>
          <w:szCs w:val="24"/>
          <w:rtl/>
        </w:rPr>
        <w:t>(</w:t>
      </w:r>
      <w:r w:rsidR="00777DCB" w:rsidRPr="00A52585">
        <w:rPr>
          <w:rFonts w:hint="cs"/>
          <w:sz w:val="24"/>
          <w:szCs w:val="24"/>
          <w:rtl/>
        </w:rPr>
        <w:t>4 / 449 برقم 2141 شاكر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w:t>
      </w:r>
      <w:r w:rsidRPr="00A52585">
        <w:rPr>
          <w:rFonts w:hint="cs"/>
          <w:sz w:val="24"/>
          <w:szCs w:val="24"/>
          <w:rtl/>
        </w:rPr>
        <w:t>(</w:t>
      </w:r>
      <w:r w:rsidR="00777DCB" w:rsidRPr="00A52585">
        <w:rPr>
          <w:rFonts w:hint="cs"/>
          <w:sz w:val="24"/>
          <w:szCs w:val="24"/>
          <w:rtl/>
        </w:rPr>
        <w:t>2 / 288</w:t>
      </w:r>
      <w:r w:rsidRPr="00A52585">
        <w:rPr>
          <w:rFonts w:hint="cs"/>
          <w:sz w:val="24"/>
          <w:szCs w:val="24"/>
          <w:rtl/>
        </w:rPr>
        <w:t>)</w:t>
      </w:r>
      <w:r w:rsidR="00777DCB" w:rsidRPr="00A52585">
        <w:rPr>
          <w:rFonts w:hint="cs"/>
          <w:sz w:val="24"/>
          <w:szCs w:val="24"/>
          <w:rtl/>
        </w:rPr>
        <w:t xml:space="preserve"> وغيرهم</w:t>
      </w:r>
      <w:r w:rsidRPr="00A52585">
        <w:rPr>
          <w:rFonts w:hint="cs"/>
          <w:sz w:val="24"/>
          <w:szCs w:val="24"/>
          <w:rtl/>
        </w:rPr>
        <w:t>]</w:t>
      </w:r>
      <w:r w:rsidR="00DB731D" w:rsidRPr="00A52585">
        <w:rPr>
          <w:rFonts w:hint="cs"/>
          <w:rtl/>
        </w:rPr>
        <w:t>،</w:t>
      </w:r>
      <w:r w:rsidR="00777DCB" w:rsidRPr="00A52585">
        <w:rPr>
          <w:rFonts w:hint="cs"/>
          <w:rtl/>
        </w:rPr>
        <w:t xml:space="preserve"> ولما كان القلب بين إصبعين ذليلا مقهورا</w:t>
      </w:r>
      <w:r w:rsidR="00DB731D" w:rsidRPr="00A52585">
        <w:rPr>
          <w:rFonts w:hint="cs"/>
          <w:rtl/>
        </w:rPr>
        <w:t>،</w:t>
      </w:r>
      <w:r w:rsidR="00777DCB" w:rsidRPr="00A52585">
        <w:rPr>
          <w:rFonts w:hint="cs"/>
          <w:rtl/>
        </w:rPr>
        <w:t xml:space="preserve"> دل بهذا على أن القلوب مقهورة لمقلبها</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غير ممتنع حمل الخبر على ظاهره في الاثبات</w:t>
      </w:r>
      <w:r w:rsidR="00DB731D" w:rsidRPr="00A52585">
        <w:rPr>
          <w:rFonts w:hint="cs"/>
          <w:rtl/>
        </w:rPr>
        <w:t>،</w:t>
      </w:r>
      <w:r w:rsidR="00777DCB" w:rsidRPr="00A52585">
        <w:rPr>
          <w:rFonts w:hint="cs"/>
          <w:rtl/>
        </w:rPr>
        <w:t xml:space="preserve"> والاصبع صفة راجعة إلى الذات</w:t>
      </w:r>
      <w:r w:rsidR="00DB731D" w:rsidRPr="00A52585">
        <w:rPr>
          <w:rFonts w:hint="cs"/>
          <w:rtl/>
        </w:rPr>
        <w:t>،</w:t>
      </w:r>
      <w:r w:rsidR="00777DCB" w:rsidRPr="00A52585">
        <w:rPr>
          <w:rFonts w:hint="cs"/>
          <w:rtl/>
        </w:rPr>
        <w:t xml:space="preserve"> لانا لا نثبت أصابعا هي جارحة ولا أبعاضا</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كلام مخبط لأنّه إما أن يثبت جوارحا وإما أن يتأولها</w:t>
      </w:r>
      <w:r w:rsidR="00DB731D" w:rsidRPr="00A52585">
        <w:rPr>
          <w:rFonts w:hint="cs"/>
          <w:rtl/>
        </w:rPr>
        <w:t>،</w:t>
      </w:r>
      <w:r w:rsidR="00777DCB" w:rsidRPr="00A52585">
        <w:rPr>
          <w:rFonts w:hint="cs"/>
          <w:rtl/>
        </w:rPr>
        <w:t xml:space="preserve"> فأما حملها على ظواهرها</w:t>
      </w:r>
      <w:r w:rsidR="00DB731D" w:rsidRPr="00A52585">
        <w:rPr>
          <w:rFonts w:hint="cs"/>
          <w:rtl/>
        </w:rPr>
        <w:t>،</w:t>
      </w:r>
      <w:r w:rsidR="00777DCB" w:rsidRPr="00A52585">
        <w:rPr>
          <w:rFonts w:hint="cs"/>
          <w:rtl/>
        </w:rPr>
        <w:t xml:space="preserve"> فظواهرها الجوارح</w:t>
      </w:r>
      <w:r w:rsidR="00897A24" w:rsidRPr="00A52585">
        <w:rPr>
          <w:rFonts w:hint="cs"/>
          <w:rtl/>
        </w:rPr>
        <w:t>.</w:t>
      </w:r>
      <w:r w:rsidR="00F95886" w:rsidRPr="00A52585">
        <w:rPr>
          <w:rFonts w:hint="cs"/>
          <w:rtl/>
        </w:rPr>
        <w:t>!!</w:t>
      </w:r>
      <w:r w:rsidR="00777DCB" w:rsidRPr="00A52585">
        <w:rPr>
          <w:rFonts w:hint="cs"/>
          <w:rtl/>
        </w:rPr>
        <w:t xml:space="preserve"> ثم يقول</w:t>
      </w:r>
      <w:r w:rsidRPr="00A52585">
        <w:rPr>
          <w:rFonts w:hint="cs"/>
          <w:rtl/>
        </w:rPr>
        <w:t>:</w:t>
      </w:r>
      <w:r w:rsidR="00777DCB" w:rsidRPr="00A52585">
        <w:rPr>
          <w:rFonts w:hint="cs"/>
          <w:rtl/>
        </w:rPr>
        <w:t xml:space="preserve"> ليست أبعاضا</w:t>
      </w:r>
      <w:r w:rsidR="00DB731D" w:rsidRPr="00A52585">
        <w:rPr>
          <w:rFonts w:hint="cs"/>
          <w:rtl/>
        </w:rPr>
        <w:t>،</w:t>
      </w:r>
      <w:r w:rsidR="00777DCB" w:rsidRPr="00A52585">
        <w:rPr>
          <w:rFonts w:hint="cs"/>
          <w:rtl/>
        </w:rPr>
        <w:t xml:space="preserve"> فهذا كلام قائم قاعد</w:t>
      </w:r>
      <w:r w:rsidR="00DB731D" w:rsidRPr="00A52585">
        <w:rPr>
          <w:rFonts w:hint="cs"/>
          <w:rtl/>
        </w:rPr>
        <w:t>،</w:t>
      </w:r>
      <w:r w:rsidR="00777DCB" w:rsidRPr="00A52585">
        <w:rPr>
          <w:rFonts w:hint="cs"/>
          <w:rtl/>
        </w:rPr>
        <w:t xml:space="preserve"> ويضيع الخطاب لمن يقول هذا</w:t>
      </w:r>
      <w:r w:rsidR="00DB731D" w:rsidRPr="00A52585">
        <w:rPr>
          <w:rFonts w:hint="cs"/>
          <w:rtl/>
        </w:rPr>
        <w:t>،</w:t>
      </w:r>
      <w:r w:rsidR="00777DCB" w:rsidRPr="00A52585">
        <w:rPr>
          <w:rFonts w:hint="cs"/>
          <w:rtl/>
        </w:rPr>
        <w:t xml:space="preserve"> </w:t>
      </w:r>
    </w:p>
    <w:p w14:paraId="735EDC6A" w14:textId="7F198841" w:rsidR="00777DCB" w:rsidRPr="00A52585" w:rsidRDefault="0002035C" w:rsidP="0002035C">
      <w:pPr>
        <w:rPr>
          <w:b/>
          <w:rtl/>
        </w:rPr>
      </w:pPr>
      <w:r w:rsidRPr="00A52585">
        <w:rPr>
          <w:rFonts w:hint="cs"/>
          <w:bCs/>
          <w:u w:val="single"/>
          <w:rtl/>
        </w:rPr>
        <w:t>[</w:t>
      </w:r>
      <w:r w:rsidR="00777DCB" w:rsidRPr="00A52585">
        <w:rPr>
          <w:rFonts w:hint="cs"/>
          <w:bCs/>
          <w:u w:val="single"/>
          <w:rtl/>
        </w:rPr>
        <w:t>25</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 والعشرون</w:t>
      </w:r>
      <w:r w:rsidRPr="00A52585">
        <w:rPr>
          <w:rFonts w:hint="cs"/>
          <w:bCs/>
          <w:rtl/>
        </w:rPr>
        <w:t>]:</w:t>
      </w:r>
      <w:r w:rsidR="00777DCB" w:rsidRPr="00A52585">
        <w:rPr>
          <w:rFonts w:hint="cs"/>
          <w:rtl/>
        </w:rPr>
        <w:t xml:space="preserve"> روى البخاري ومسلم في الصحيحين من حديث ابن عمر رضي الله عنهما عن النبي صلى الله عليه وسلم أنه قال</w:t>
      </w:r>
      <w:r w:rsidRPr="00A52585">
        <w:rPr>
          <w:rFonts w:hint="cs"/>
          <w:rtl/>
        </w:rPr>
        <w:t>:</w:t>
      </w:r>
      <w:r w:rsidR="00777DCB" w:rsidRPr="00A52585">
        <w:rPr>
          <w:rFonts w:hint="cs"/>
          <w:rtl/>
        </w:rPr>
        <w:t xml:space="preserve"> " يطوي الله عز وجل السموات يوم القيامة بيده ثم يأخذهن بيده اليمنى ثم يقول</w:t>
      </w:r>
      <w:r w:rsidRPr="00A52585">
        <w:rPr>
          <w:rFonts w:hint="cs"/>
          <w:rtl/>
        </w:rPr>
        <w:t>:</w:t>
      </w:r>
      <w:r w:rsidR="00777DCB" w:rsidRPr="00A52585">
        <w:rPr>
          <w:rFonts w:hint="cs"/>
          <w:rtl/>
        </w:rPr>
        <w:t xml:space="preserve"> أنا الملك</w:t>
      </w:r>
      <w:r w:rsidR="00DB731D" w:rsidRPr="00A52585">
        <w:rPr>
          <w:rFonts w:hint="cs"/>
          <w:rtl/>
        </w:rPr>
        <w:t>،</w:t>
      </w:r>
      <w:r w:rsidR="00777DCB" w:rsidRPr="00A52585">
        <w:rPr>
          <w:rFonts w:hint="cs"/>
          <w:rtl/>
        </w:rPr>
        <w:t xml:space="preserve"> أين الجبارون أين </w:t>
      </w:r>
      <w:proofErr w:type="gramStart"/>
      <w:r w:rsidR="00777DCB" w:rsidRPr="00A52585">
        <w:rPr>
          <w:rFonts w:hint="cs"/>
          <w:rtl/>
        </w:rPr>
        <w:t>المتكبرون</w:t>
      </w:r>
      <w:r w:rsidR="00897A24" w:rsidRPr="00A52585">
        <w:rPr>
          <w:rFonts w:hint="cs"/>
          <w:rtl/>
        </w:rPr>
        <w:t>..</w:t>
      </w:r>
      <w:r w:rsidR="00F95886" w:rsidRPr="00A52585">
        <w:rPr>
          <w:rFonts w:hint="cs"/>
          <w:rtl/>
        </w:rPr>
        <w:t>؟</w:t>
      </w:r>
      <w:proofErr w:type="gramEnd"/>
      <w:r w:rsidR="00777DCB" w:rsidRPr="00A52585">
        <w:rPr>
          <w:rFonts w:hint="cs"/>
          <w:rtl/>
        </w:rPr>
        <w:t xml:space="preserve"> ثم يطوي الارض بشماله ثم يقول</w:t>
      </w:r>
      <w:r w:rsidRPr="00A52585">
        <w:rPr>
          <w:rFonts w:hint="cs"/>
          <w:rtl/>
        </w:rPr>
        <w:t>:</w:t>
      </w:r>
      <w:r w:rsidR="00777DCB" w:rsidRPr="00A52585">
        <w:rPr>
          <w:rFonts w:hint="cs"/>
          <w:rtl/>
        </w:rPr>
        <w:t xml:space="preserve"> أنا الملك أين الجبارون</w:t>
      </w:r>
      <w:r w:rsidR="00F95886" w:rsidRPr="00A52585">
        <w:rPr>
          <w:rFonts w:hint="cs"/>
          <w:rtl/>
        </w:rPr>
        <w:t>؟</w:t>
      </w:r>
      <w:r w:rsidR="00777DCB" w:rsidRPr="00A52585">
        <w:rPr>
          <w:rFonts w:hint="cs"/>
          <w:rtl/>
        </w:rPr>
        <w:t xml:space="preserve"> أين </w:t>
      </w:r>
      <w:proofErr w:type="gramStart"/>
      <w:r w:rsidR="00777DCB" w:rsidRPr="00A52585">
        <w:rPr>
          <w:rFonts w:hint="cs"/>
          <w:rtl/>
        </w:rPr>
        <w:t>المتكبرون</w:t>
      </w:r>
      <w:r w:rsidR="00F95886" w:rsidRPr="00A52585">
        <w:rPr>
          <w:rFonts w:hint="cs"/>
          <w:rtl/>
        </w:rPr>
        <w:t>؟</w:t>
      </w:r>
      <w:r w:rsidR="00897A24" w:rsidRPr="00A52585">
        <w:rPr>
          <w:rFonts w:hint="cs"/>
          <w:rtl/>
        </w:rPr>
        <w:t>..</w:t>
      </w:r>
      <w:proofErr w:type="gramEnd"/>
      <w:r w:rsidR="00777DCB" w:rsidRPr="00A52585">
        <w:rPr>
          <w:rFonts w:hint="cs"/>
          <w:rtl/>
        </w:rPr>
        <w:t xml:space="preserve">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أربعة مواضع من صحيحه </w:t>
      </w:r>
      <w:r w:rsidRPr="00A52585">
        <w:rPr>
          <w:rFonts w:hint="cs"/>
          <w:sz w:val="24"/>
          <w:szCs w:val="24"/>
          <w:rtl/>
        </w:rPr>
        <w:t>(</w:t>
      </w:r>
      <w:r w:rsidR="00777DCB" w:rsidRPr="00A52585">
        <w:rPr>
          <w:rFonts w:hint="cs"/>
          <w:sz w:val="24"/>
          <w:szCs w:val="24"/>
          <w:rtl/>
        </w:rPr>
        <w:t>8 / 551</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11 / 372</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 xml:space="preserve">13 / 367 </w:t>
      </w:r>
      <w:proofErr w:type="gramStart"/>
      <w:r w:rsidR="00777DCB" w:rsidRPr="00A52585">
        <w:rPr>
          <w:rFonts w:hint="cs"/>
          <w:sz w:val="24"/>
          <w:szCs w:val="24"/>
          <w:rtl/>
        </w:rPr>
        <w:t>و 393</w:t>
      </w:r>
      <w:proofErr w:type="gramEnd"/>
      <w:r w:rsidR="00777DCB" w:rsidRPr="00A52585">
        <w:rPr>
          <w:rFonts w:hint="cs"/>
          <w:sz w:val="24"/>
          <w:szCs w:val="24"/>
          <w:rtl/>
        </w:rPr>
        <w:t xml:space="preserve"> فتح</w:t>
      </w:r>
      <w:r w:rsidRPr="00A52585">
        <w:rPr>
          <w:rFonts w:hint="cs"/>
          <w:sz w:val="24"/>
          <w:szCs w:val="24"/>
          <w:rtl/>
        </w:rPr>
        <w:t>)</w:t>
      </w:r>
      <w:r w:rsidR="00777DCB" w:rsidRPr="00A52585">
        <w:rPr>
          <w:rFonts w:hint="cs"/>
          <w:sz w:val="24"/>
          <w:szCs w:val="24"/>
          <w:rtl/>
        </w:rPr>
        <w:t xml:space="preserve"> دون ذكر للفظة " بشماله "</w:t>
      </w:r>
      <w:r w:rsidR="00DB731D" w:rsidRPr="00A52585">
        <w:rPr>
          <w:rFonts w:hint="cs"/>
          <w:sz w:val="24"/>
          <w:szCs w:val="24"/>
          <w:rtl/>
        </w:rPr>
        <w:t>،</w:t>
      </w:r>
      <w:r w:rsidR="00777DCB" w:rsidRPr="00A52585">
        <w:rPr>
          <w:rFonts w:hint="cs"/>
          <w:sz w:val="24"/>
          <w:szCs w:val="24"/>
          <w:rtl/>
        </w:rPr>
        <w:t xml:space="preserve"> وهذا لفظه من حديث أبي هريرة</w:t>
      </w:r>
      <w:r w:rsidRPr="00A52585">
        <w:rPr>
          <w:rFonts w:hint="cs"/>
          <w:sz w:val="24"/>
          <w:szCs w:val="24"/>
          <w:rtl/>
        </w:rPr>
        <w:t>:</w:t>
      </w:r>
      <w:r w:rsidR="00777DCB" w:rsidRPr="00A52585">
        <w:rPr>
          <w:rFonts w:hint="cs"/>
          <w:sz w:val="24"/>
          <w:szCs w:val="24"/>
          <w:rtl/>
        </w:rPr>
        <w:t xml:space="preserve"> " يقبض الله الارض يوم القيامة ويطوي السماء بيمينه ثم يقول</w:t>
      </w:r>
      <w:r w:rsidRPr="00A52585">
        <w:rPr>
          <w:rFonts w:hint="cs"/>
          <w:sz w:val="24"/>
          <w:szCs w:val="24"/>
          <w:rtl/>
        </w:rPr>
        <w:t>:</w:t>
      </w:r>
      <w:r w:rsidR="00777DCB" w:rsidRPr="00A52585">
        <w:rPr>
          <w:rFonts w:hint="cs"/>
          <w:sz w:val="24"/>
          <w:szCs w:val="24"/>
          <w:rtl/>
        </w:rPr>
        <w:t xml:space="preserve"> أنا الملك أين ملوك الارض</w:t>
      </w:r>
      <w:r w:rsidR="00F95886" w:rsidRPr="00A52585">
        <w:rPr>
          <w:rFonts w:hint="cs"/>
          <w:sz w:val="24"/>
          <w:szCs w:val="24"/>
          <w:rtl/>
        </w:rPr>
        <w:t>؟</w:t>
      </w:r>
      <w:r w:rsidR="00777DCB" w:rsidRPr="00A52585">
        <w:rPr>
          <w:rFonts w:hint="cs"/>
          <w:sz w:val="24"/>
          <w:szCs w:val="24"/>
          <w:rtl/>
        </w:rPr>
        <w:t xml:space="preserve"> " ومسلم برقم </w:t>
      </w:r>
      <w:r w:rsidRPr="00A52585">
        <w:rPr>
          <w:rFonts w:hint="cs"/>
          <w:sz w:val="24"/>
          <w:szCs w:val="24"/>
          <w:rtl/>
        </w:rPr>
        <w:lastRenderedPageBreak/>
        <w:t>(</w:t>
      </w:r>
      <w:r w:rsidR="00777DCB" w:rsidRPr="00A52585">
        <w:rPr>
          <w:rFonts w:hint="cs"/>
          <w:sz w:val="24"/>
          <w:szCs w:val="24"/>
          <w:rtl/>
        </w:rPr>
        <w:t>2787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ورواه مسلم </w:t>
      </w:r>
      <w:r w:rsidRPr="00A52585">
        <w:rPr>
          <w:rFonts w:hint="cs"/>
          <w:sz w:val="24"/>
          <w:szCs w:val="24"/>
          <w:rtl/>
        </w:rPr>
        <w:t>(</w:t>
      </w:r>
      <w:r w:rsidR="00777DCB" w:rsidRPr="00A52585">
        <w:rPr>
          <w:rFonts w:hint="cs"/>
          <w:sz w:val="24"/>
          <w:szCs w:val="24"/>
          <w:rtl/>
        </w:rPr>
        <w:t>4 / 2148 برقم 2788</w:t>
      </w:r>
      <w:r w:rsidRPr="00A52585">
        <w:rPr>
          <w:rFonts w:hint="cs"/>
          <w:sz w:val="24"/>
          <w:szCs w:val="24"/>
          <w:rtl/>
        </w:rPr>
        <w:t>)</w:t>
      </w:r>
      <w:r w:rsidR="00777DCB" w:rsidRPr="00A52585">
        <w:rPr>
          <w:rFonts w:hint="cs"/>
          <w:sz w:val="24"/>
          <w:szCs w:val="24"/>
          <w:rtl/>
        </w:rPr>
        <w:t xml:space="preserve"> من حديث ابن عمر بإثبات لفظة " بشماله " ويعارض هذا اللفظ ما رواه مسلم في صحيحه </w:t>
      </w:r>
      <w:r w:rsidRPr="00A52585">
        <w:rPr>
          <w:rFonts w:hint="cs"/>
          <w:sz w:val="24"/>
          <w:szCs w:val="24"/>
          <w:rtl/>
        </w:rPr>
        <w:t>(</w:t>
      </w:r>
      <w:r w:rsidR="00777DCB" w:rsidRPr="00A52585">
        <w:rPr>
          <w:rFonts w:hint="cs"/>
          <w:sz w:val="24"/>
          <w:szCs w:val="24"/>
          <w:rtl/>
        </w:rPr>
        <w:t>3 / 1458 برقم 1827</w:t>
      </w:r>
      <w:r w:rsidRPr="00A52585">
        <w:rPr>
          <w:rFonts w:hint="cs"/>
          <w:sz w:val="24"/>
          <w:szCs w:val="24"/>
          <w:rtl/>
        </w:rPr>
        <w:t>)</w:t>
      </w:r>
      <w:r w:rsidR="00777DCB" w:rsidRPr="00A52585">
        <w:rPr>
          <w:rFonts w:hint="cs"/>
          <w:sz w:val="24"/>
          <w:szCs w:val="24"/>
          <w:rtl/>
        </w:rPr>
        <w:t xml:space="preserve"> من حديث عبد الله بن عمرو مرفوعا</w:t>
      </w:r>
      <w:r w:rsidRPr="00A52585">
        <w:rPr>
          <w:rFonts w:hint="cs"/>
          <w:sz w:val="24"/>
          <w:szCs w:val="24"/>
          <w:rtl/>
        </w:rPr>
        <w:t>:</w:t>
      </w:r>
      <w:r w:rsidR="00777DCB" w:rsidRPr="00A52585">
        <w:rPr>
          <w:rFonts w:hint="cs"/>
          <w:sz w:val="24"/>
          <w:szCs w:val="24"/>
          <w:rtl/>
        </w:rPr>
        <w:t xml:space="preserve"> " إن المقسطين عند الله على منابر من نور عن يمين الرحمن عز وجل</w:t>
      </w:r>
      <w:r w:rsidR="00DB731D" w:rsidRPr="00A52585">
        <w:rPr>
          <w:rFonts w:hint="cs"/>
          <w:sz w:val="24"/>
          <w:szCs w:val="24"/>
          <w:rtl/>
        </w:rPr>
        <w:t>،</w:t>
      </w:r>
      <w:r w:rsidR="00777DCB" w:rsidRPr="00A52585">
        <w:rPr>
          <w:rFonts w:hint="cs"/>
          <w:sz w:val="24"/>
          <w:szCs w:val="24"/>
          <w:rtl/>
        </w:rPr>
        <w:t xml:space="preserve"> وكلتا يديه يمين</w:t>
      </w:r>
      <w:r w:rsidR="00897A24" w:rsidRPr="00A52585">
        <w:rPr>
          <w:rFonts w:hint="cs"/>
          <w:sz w:val="24"/>
          <w:szCs w:val="24"/>
          <w:rtl/>
        </w:rPr>
        <w:t>...</w:t>
      </w:r>
      <w:r w:rsidR="00777DCB" w:rsidRPr="00A52585">
        <w:rPr>
          <w:rFonts w:hint="cs"/>
          <w:sz w:val="24"/>
          <w:szCs w:val="24"/>
          <w:rtl/>
        </w:rPr>
        <w:t xml:space="preserve"> " الحديث</w:t>
      </w:r>
      <w:r w:rsidR="00DB731D" w:rsidRPr="00A52585">
        <w:rPr>
          <w:rFonts w:hint="cs"/>
          <w:sz w:val="24"/>
          <w:szCs w:val="24"/>
          <w:rtl/>
        </w:rPr>
        <w:t>،</w:t>
      </w:r>
      <w:r w:rsidR="00777DCB" w:rsidRPr="00A52585">
        <w:rPr>
          <w:rFonts w:hint="cs"/>
          <w:sz w:val="24"/>
          <w:szCs w:val="24"/>
          <w:rtl/>
        </w:rPr>
        <w:t xml:space="preserve"> فهاتان الروايتان تساقط كل منهما الاخرى لانهما من تصرف الرواة</w:t>
      </w:r>
      <w:r w:rsidR="00DB731D" w:rsidRPr="00A52585">
        <w:rPr>
          <w:rFonts w:hint="cs"/>
          <w:sz w:val="24"/>
          <w:szCs w:val="24"/>
          <w:rtl/>
        </w:rPr>
        <w:t>،</w:t>
      </w:r>
      <w:r w:rsidR="00777DCB" w:rsidRPr="00A52585">
        <w:rPr>
          <w:rFonts w:hint="cs"/>
          <w:sz w:val="24"/>
          <w:szCs w:val="24"/>
          <w:rtl/>
        </w:rPr>
        <w:t xml:space="preserve"> والمعول عليه ههنا هو اللفظ الموافق لقوله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وما قدروا الله حق قدره والارض جميعا قبضته يوم القيامة والسموات مطويات بيمينه سبحانه وتعالى عما يشركون</w:t>
      </w:r>
      <w:r w:rsidRPr="00A52585">
        <w:rPr>
          <w:rFonts w:hint="cs"/>
          <w:sz w:val="24"/>
          <w:szCs w:val="24"/>
          <w:rtl/>
        </w:rPr>
        <w:t>)</w:t>
      </w:r>
      <w:r w:rsidR="00777DCB" w:rsidRPr="00A52585">
        <w:rPr>
          <w:rFonts w:hint="cs"/>
          <w:sz w:val="24"/>
          <w:szCs w:val="24"/>
          <w:rtl/>
        </w:rPr>
        <w:t xml:space="preserve"> الزمر</w:t>
      </w:r>
      <w:r w:rsidRPr="00A52585">
        <w:rPr>
          <w:rFonts w:hint="cs"/>
          <w:sz w:val="24"/>
          <w:szCs w:val="24"/>
          <w:rtl/>
        </w:rPr>
        <w:t>:</w:t>
      </w:r>
      <w:r w:rsidR="00777DCB" w:rsidRPr="00A52585">
        <w:rPr>
          <w:rFonts w:hint="cs"/>
          <w:sz w:val="24"/>
          <w:szCs w:val="24"/>
          <w:rtl/>
        </w:rPr>
        <w:t xml:space="preserve"> 67</w:t>
      </w:r>
      <w:r w:rsidR="00DB731D" w:rsidRPr="00A52585">
        <w:rPr>
          <w:rFonts w:hint="cs"/>
          <w:sz w:val="24"/>
          <w:szCs w:val="24"/>
          <w:rtl/>
        </w:rPr>
        <w:t>،</w:t>
      </w:r>
      <w:r w:rsidR="00777DCB" w:rsidRPr="00A52585">
        <w:rPr>
          <w:rFonts w:hint="cs"/>
          <w:sz w:val="24"/>
          <w:szCs w:val="24"/>
          <w:rtl/>
        </w:rPr>
        <w:t xml:space="preserve"> والمراد بهذه الآية الكريمة الرد على من شبه وجسم وتنزيه الله عن الجوارح والاعضاء </w:t>
      </w:r>
      <w:proofErr w:type="spellStart"/>
      <w:r w:rsidR="00777DCB" w:rsidRPr="00A52585">
        <w:rPr>
          <w:rFonts w:hint="cs"/>
          <w:sz w:val="24"/>
          <w:szCs w:val="24"/>
          <w:rtl/>
        </w:rPr>
        <w:t>لانها</w:t>
      </w:r>
      <w:proofErr w:type="spellEnd"/>
      <w:r w:rsidR="00777DCB" w:rsidRPr="00A52585">
        <w:rPr>
          <w:rFonts w:hint="cs"/>
          <w:sz w:val="24"/>
          <w:szCs w:val="24"/>
          <w:rtl/>
        </w:rPr>
        <w:t xml:space="preserve"> نزلت كما ثبت في تفسير ابن جرير </w:t>
      </w:r>
      <w:r w:rsidRPr="00A52585">
        <w:rPr>
          <w:rFonts w:hint="cs"/>
          <w:sz w:val="24"/>
          <w:szCs w:val="24"/>
          <w:rtl/>
        </w:rPr>
        <w:t>(</w:t>
      </w:r>
      <w:r w:rsidR="00777DCB" w:rsidRPr="00A52585">
        <w:rPr>
          <w:rFonts w:hint="cs"/>
          <w:sz w:val="24"/>
          <w:szCs w:val="24"/>
          <w:rtl/>
        </w:rPr>
        <w:t>24 / 26</w:t>
      </w:r>
      <w:r w:rsidRPr="00A52585">
        <w:rPr>
          <w:rFonts w:hint="cs"/>
          <w:sz w:val="24"/>
          <w:szCs w:val="24"/>
          <w:rtl/>
        </w:rPr>
        <w:t>)</w:t>
      </w:r>
      <w:r w:rsidR="00777DCB" w:rsidRPr="00A52585">
        <w:rPr>
          <w:rFonts w:hint="cs"/>
          <w:sz w:val="24"/>
          <w:szCs w:val="24"/>
          <w:rtl/>
        </w:rPr>
        <w:t xml:space="preserve"> عندما قال يهودي </w:t>
      </w:r>
      <w:proofErr w:type="spellStart"/>
      <w:r w:rsidR="00777DCB" w:rsidRPr="00A52585">
        <w:rPr>
          <w:rFonts w:hint="cs"/>
          <w:sz w:val="24"/>
          <w:szCs w:val="24"/>
          <w:rtl/>
        </w:rPr>
        <w:t>مشبة</w:t>
      </w:r>
      <w:proofErr w:type="spellEnd"/>
      <w:r w:rsidR="00777DCB" w:rsidRPr="00A52585">
        <w:rPr>
          <w:rFonts w:hint="cs"/>
          <w:sz w:val="24"/>
          <w:szCs w:val="24"/>
          <w:rtl/>
        </w:rPr>
        <w:t xml:space="preserve"> مجسم لرسول الله صلى الله عليه وسلم</w:t>
      </w:r>
      <w:r w:rsidRPr="00A52585">
        <w:rPr>
          <w:rFonts w:hint="cs"/>
          <w:sz w:val="24"/>
          <w:szCs w:val="24"/>
          <w:rtl/>
        </w:rPr>
        <w:t>:</w:t>
      </w:r>
      <w:r w:rsidR="00777DCB" w:rsidRPr="00A52585">
        <w:rPr>
          <w:rFonts w:hint="cs"/>
          <w:sz w:val="24"/>
          <w:szCs w:val="24"/>
          <w:rtl/>
        </w:rPr>
        <w:t xml:space="preserve"> " يا أبا القاسم أبلغك أن الله يحمل الخلائق على إصبع والسموات على إصبع والشجر على اصبع والثرى على إصبع</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لفظ</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يجعل الله السماء على ذه</w:t>
      </w:r>
      <w:r w:rsidR="00DB731D" w:rsidRPr="00A52585">
        <w:rPr>
          <w:rFonts w:hint="cs"/>
          <w:sz w:val="24"/>
          <w:szCs w:val="24"/>
          <w:rtl/>
        </w:rPr>
        <w:t>،</w:t>
      </w:r>
      <w:r w:rsidR="00777DCB" w:rsidRPr="00A52585">
        <w:rPr>
          <w:rFonts w:hint="cs"/>
          <w:sz w:val="24"/>
          <w:szCs w:val="24"/>
          <w:rtl/>
        </w:rPr>
        <w:t xml:space="preserve"> والارض على ذه</w:t>
      </w:r>
      <w:r w:rsidR="00DB731D" w:rsidRPr="00A52585">
        <w:rPr>
          <w:rFonts w:hint="cs"/>
          <w:sz w:val="24"/>
          <w:szCs w:val="24"/>
          <w:rtl/>
        </w:rPr>
        <w:t>،</w:t>
      </w:r>
      <w:r w:rsidR="00777DCB" w:rsidRPr="00A52585">
        <w:rPr>
          <w:rFonts w:hint="cs"/>
          <w:sz w:val="24"/>
          <w:szCs w:val="24"/>
          <w:rtl/>
        </w:rPr>
        <w:t xml:space="preserve"> والجبال على ذه وسائر الخلق على ذه</w:t>
      </w:r>
      <w:r w:rsidR="00DB731D" w:rsidRPr="00A52585">
        <w:rPr>
          <w:rFonts w:hint="cs"/>
          <w:sz w:val="24"/>
          <w:szCs w:val="24"/>
          <w:rtl/>
        </w:rPr>
        <w:t>،</w:t>
      </w:r>
      <w:r w:rsidR="00777DCB" w:rsidRPr="00A52585">
        <w:rPr>
          <w:rFonts w:hint="cs"/>
          <w:sz w:val="24"/>
          <w:szCs w:val="24"/>
          <w:rtl/>
        </w:rPr>
        <w:t xml:space="preserve"> فأنزل الله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وما قدروا الله حق قدره</w:t>
      </w:r>
      <w:r w:rsidRPr="00A52585">
        <w:rPr>
          <w:rFonts w:hint="cs"/>
          <w:sz w:val="24"/>
          <w:szCs w:val="24"/>
          <w:rtl/>
        </w:rPr>
        <w:t>)</w:t>
      </w:r>
      <w:r w:rsidR="00777DCB" w:rsidRPr="00A52585">
        <w:rPr>
          <w:rFonts w:hint="cs"/>
          <w:sz w:val="24"/>
          <w:szCs w:val="24"/>
          <w:rtl/>
        </w:rPr>
        <w:t xml:space="preserve"> فمعنى </w:t>
      </w:r>
      <w:r w:rsidRPr="00A52585">
        <w:rPr>
          <w:rFonts w:hint="cs"/>
          <w:sz w:val="24"/>
          <w:szCs w:val="24"/>
          <w:rtl/>
        </w:rPr>
        <w:t>(</w:t>
      </w:r>
      <w:r w:rsidR="00777DCB" w:rsidRPr="00A52585">
        <w:rPr>
          <w:rFonts w:hint="cs"/>
          <w:sz w:val="24"/>
          <w:szCs w:val="24"/>
          <w:rtl/>
        </w:rPr>
        <w:t>قبضته</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يمينه</w:t>
      </w:r>
      <w:r w:rsidRPr="00A52585">
        <w:rPr>
          <w:rFonts w:hint="cs"/>
          <w:sz w:val="24"/>
          <w:szCs w:val="24"/>
          <w:rtl/>
        </w:rPr>
        <w:t>)</w:t>
      </w:r>
      <w:r w:rsidR="00777DCB" w:rsidRPr="00A52585">
        <w:rPr>
          <w:rFonts w:hint="cs"/>
          <w:sz w:val="24"/>
          <w:szCs w:val="24"/>
          <w:rtl/>
        </w:rPr>
        <w:t xml:space="preserve"> اللتان جاءتا في الآية هو في لغة العرب التعبير عن الملك والقهر للمخلوقات والعظمة لله تعالى والقدرة على السماوات والارض ومن فيهن</w:t>
      </w:r>
      <w:r w:rsidR="00DB731D" w:rsidRPr="00A52585">
        <w:rPr>
          <w:rFonts w:hint="cs"/>
          <w:sz w:val="24"/>
          <w:szCs w:val="24"/>
          <w:rtl/>
        </w:rPr>
        <w:t>،</w:t>
      </w:r>
      <w:r w:rsidR="00777DCB" w:rsidRPr="00A52585">
        <w:rPr>
          <w:rFonts w:hint="cs"/>
          <w:sz w:val="24"/>
          <w:szCs w:val="24"/>
          <w:rtl/>
        </w:rPr>
        <w:t xml:space="preserve"> ومنه قول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 ما ملكت أيمانهم</w:t>
      </w:r>
      <w:r w:rsidRPr="00A52585">
        <w:rPr>
          <w:rFonts w:hint="cs"/>
          <w:sz w:val="24"/>
          <w:szCs w:val="24"/>
          <w:rtl/>
        </w:rPr>
        <w:t>)</w:t>
      </w:r>
      <w:r w:rsidR="00777DCB" w:rsidRPr="00A52585">
        <w:rPr>
          <w:rFonts w:hint="cs"/>
          <w:sz w:val="24"/>
          <w:szCs w:val="24"/>
          <w:rtl/>
        </w:rPr>
        <w:t xml:space="preserve"> فالمراد كونه مملوكا لهم</w:t>
      </w:r>
      <w:r w:rsidR="00DB731D" w:rsidRPr="00A52585">
        <w:rPr>
          <w:rFonts w:hint="cs"/>
          <w:sz w:val="24"/>
          <w:szCs w:val="24"/>
          <w:rtl/>
        </w:rPr>
        <w:t>،</w:t>
      </w:r>
      <w:r w:rsidR="00777DCB" w:rsidRPr="00A52585">
        <w:rPr>
          <w:rFonts w:hint="cs"/>
          <w:sz w:val="24"/>
          <w:szCs w:val="24"/>
          <w:rtl/>
        </w:rPr>
        <w:t xml:space="preserve"> والعرب تقول</w:t>
      </w:r>
      <w:r w:rsidRPr="00A52585">
        <w:rPr>
          <w:rFonts w:hint="cs"/>
          <w:sz w:val="24"/>
          <w:szCs w:val="24"/>
          <w:rtl/>
        </w:rPr>
        <w:t>:</w:t>
      </w:r>
      <w:r w:rsidR="00777DCB" w:rsidRPr="00A52585">
        <w:rPr>
          <w:rFonts w:hint="cs"/>
          <w:sz w:val="24"/>
          <w:szCs w:val="24"/>
          <w:rtl/>
        </w:rPr>
        <w:t xml:space="preserve"> " هذه الدار في يد فلان " و " قبض فلان كذا " و " صار في قبضته " يريدون خلوص ملكه</w:t>
      </w:r>
      <w:r w:rsidR="00DB731D" w:rsidRPr="00A52585">
        <w:rPr>
          <w:rFonts w:hint="cs"/>
          <w:sz w:val="24"/>
          <w:szCs w:val="24"/>
          <w:rtl/>
        </w:rPr>
        <w:t>،</w:t>
      </w:r>
      <w:r w:rsidR="00777DCB" w:rsidRPr="00A52585">
        <w:rPr>
          <w:rFonts w:hint="cs"/>
          <w:sz w:val="24"/>
          <w:szCs w:val="24"/>
          <w:rtl/>
        </w:rPr>
        <w:t xml:space="preserve"> كما قال الحافظ أبو حيان في " البحر المحيط " </w:t>
      </w:r>
      <w:r w:rsidRPr="00A52585">
        <w:rPr>
          <w:rFonts w:hint="cs"/>
          <w:sz w:val="24"/>
          <w:szCs w:val="24"/>
          <w:rtl/>
        </w:rPr>
        <w:t>(</w:t>
      </w:r>
      <w:r w:rsidR="00777DCB" w:rsidRPr="00A52585">
        <w:rPr>
          <w:rFonts w:hint="cs"/>
          <w:sz w:val="24"/>
          <w:szCs w:val="24"/>
          <w:rtl/>
        </w:rPr>
        <w:t>7 / 440</w:t>
      </w:r>
      <w:r w:rsidRPr="00A52585">
        <w:rPr>
          <w:rFonts w:hint="cs"/>
          <w:sz w:val="24"/>
          <w:szCs w:val="24"/>
          <w:rtl/>
        </w:rPr>
        <w:t>)</w:t>
      </w:r>
      <w:r w:rsidR="00777DCB" w:rsidRPr="00A52585">
        <w:rPr>
          <w:rFonts w:hint="cs"/>
          <w:sz w:val="24"/>
          <w:szCs w:val="24"/>
          <w:rtl/>
        </w:rPr>
        <w:t xml:space="preserve"> وهذا كله مجاز مستفيض مستعمل</w:t>
      </w:r>
      <w:r w:rsidR="00DB731D" w:rsidRPr="00A52585">
        <w:rPr>
          <w:rFonts w:hint="cs"/>
          <w:sz w:val="24"/>
          <w:szCs w:val="24"/>
          <w:rtl/>
        </w:rPr>
        <w:t>،</w:t>
      </w:r>
      <w:r w:rsidR="00777DCB" w:rsidRPr="00A52585">
        <w:rPr>
          <w:rFonts w:hint="cs"/>
          <w:sz w:val="24"/>
          <w:szCs w:val="24"/>
          <w:rtl/>
        </w:rPr>
        <w:t xml:space="preserve"> وقال ابن عطية كما في " البحر المحيط "</w:t>
      </w:r>
      <w:r w:rsidRPr="00A52585">
        <w:rPr>
          <w:rFonts w:hint="cs"/>
          <w:sz w:val="24"/>
          <w:szCs w:val="24"/>
          <w:rtl/>
        </w:rPr>
        <w:t>:</w:t>
      </w:r>
      <w:r w:rsidR="00777DCB" w:rsidRPr="00A52585">
        <w:rPr>
          <w:rFonts w:hint="cs"/>
          <w:sz w:val="24"/>
          <w:szCs w:val="24"/>
          <w:rtl/>
        </w:rPr>
        <w:t xml:space="preserve"> " اليمين هنا والقبضة عبارة عن القدرة</w:t>
      </w:r>
      <w:r w:rsidR="00DB731D" w:rsidRPr="00A52585">
        <w:rPr>
          <w:rFonts w:hint="cs"/>
          <w:sz w:val="24"/>
          <w:szCs w:val="24"/>
          <w:rtl/>
        </w:rPr>
        <w:t>،</w:t>
      </w:r>
      <w:r w:rsidR="00777DCB" w:rsidRPr="00A52585">
        <w:rPr>
          <w:rFonts w:hint="cs"/>
          <w:sz w:val="24"/>
          <w:szCs w:val="24"/>
          <w:rtl/>
        </w:rPr>
        <w:t xml:space="preserve"> وما اختلج في الصدر من غير ذلك فباطل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والواجب تفسير الآية على ما تقتضيه لغة العرب</w:t>
      </w:r>
      <w:r w:rsidR="00DB731D" w:rsidRPr="00A52585">
        <w:rPr>
          <w:rFonts w:hint="cs"/>
          <w:sz w:val="24"/>
          <w:szCs w:val="24"/>
          <w:rtl/>
        </w:rPr>
        <w:t>،</w:t>
      </w:r>
      <w:r w:rsidR="00777DCB" w:rsidRPr="00A52585">
        <w:rPr>
          <w:rFonts w:hint="cs"/>
          <w:sz w:val="24"/>
          <w:szCs w:val="24"/>
          <w:rtl/>
        </w:rPr>
        <w:t xml:space="preserve"> لأنّه بها نزل هذا القرآن </w:t>
      </w:r>
      <w:r w:rsidRPr="00A52585">
        <w:rPr>
          <w:rFonts w:hint="cs"/>
          <w:sz w:val="24"/>
          <w:szCs w:val="24"/>
          <w:rtl/>
        </w:rPr>
        <w:t>(</w:t>
      </w:r>
      <w:r w:rsidR="00777DCB" w:rsidRPr="00A52585">
        <w:rPr>
          <w:rFonts w:hint="cs"/>
          <w:sz w:val="24"/>
          <w:szCs w:val="24"/>
          <w:rtl/>
        </w:rPr>
        <w:t>إنا أنزلناه قرآنا عربيا " لا سيما والعرب تستعمل اليمين والشمال في معنى القهر والضبط</w:t>
      </w:r>
      <w:r w:rsidR="00DB731D" w:rsidRPr="00A52585">
        <w:rPr>
          <w:rFonts w:hint="cs"/>
          <w:sz w:val="24"/>
          <w:szCs w:val="24"/>
          <w:rtl/>
        </w:rPr>
        <w:t>،</w:t>
      </w:r>
      <w:r w:rsidR="00777DCB" w:rsidRPr="00A52585">
        <w:rPr>
          <w:rFonts w:hint="cs"/>
          <w:sz w:val="24"/>
          <w:szCs w:val="24"/>
          <w:rtl/>
        </w:rPr>
        <w:t xml:space="preserve"> ومن ذلك قول زياد بن أبيه لمعاوية</w:t>
      </w:r>
      <w:r w:rsidRPr="00A52585">
        <w:rPr>
          <w:rFonts w:hint="cs"/>
          <w:sz w:val="24"/>
          <w:szCs w:val="24"/>
          <w:rtl/>
        </w:rPr>
        <w:t>:</w:t>
      </w:r>
      <w:r w:rsidR="00777DCB" w:rsidRPr="00A52585">
        <w:rPr>
          <w:rFonts w:hint="cs"/>
          <w:sz w:val="24"/>
          <w:szCs w:val="24"/>
          <w:rtl/>
        </w:rPr>
        <w:t xml:space="preserve"> " إني قد ضبطت العراق بشمالي ويميني فارغة فأشغلها بالحجاز " أنظر " الكامل " لابن الاثير </w:t>
      </w:r>
      <w:r w:rsidRPr="00A52585">
        <w:rPr>
          <w:rFonts w:hint="cs"/>
          <w:sz w:val="24"/>
          <w:szCs w:val="24"/>
          <w:rtl/>
        </w:rPr>
        <w:t>(</w:t>
      </w:r>
      <w:r w:rsidR="00777DCB" w:rsidRPr="00A52585">
        <w:rPr>
          <w:rFonts w:hint="cs"/>
          <w:sz w:val="24"/>
          <w:szCs w:val="24"/>
          <w:rtl/>
        </w:rPr>
        <w:t>3 / 493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فلا يجوز تفسيرها بظواهر أحاديث مضطربة تصرف بها رواتها فزادوا ونقصوا</w:t>
      </w:r>
      <w:r w:rsidR="00DB731D" w:rsidRPr="00A52585">
        <w:rPr>
          <w:rFonts w:hint="cs"/>
          <w:sz w:val="24"/>
          <w:szCs w:val="24"/>
          <w:rtl/>
        </w:rPr>
        <w:t>،</w:t>
      </w:r>
      <w:r w:rsidR="00777DCB" w:rsidRPr="00A52585">
        <w:rPr>
          <w:rFonts w:hint="cs"/>
          <w:sz w:val="24"/>
          <w:szCs w:val="24"/>
          <w:rtl/>
        </w:rPr>
        <w:t xml:space="preserve"> ومنه يتبين خطأ ابن جرير في تفسيره حيث قال</w:t>
      </w:r>
      <w:r w:rsidRPr="00A52585">
        <w:rPr>
          <w:rFonts w:hint="cs"/>
          <w:sz w:val="24"/>
          <w:szCs w:val="24"/>
          <w:rtl/>
        </w:rPr>
        <w:t>:</w:t>
      </w:r>
      <w:r w:rsidR="00777DCB" w:rsidRPr="00A52585">
        <w:rPr>
          <w:rFonts w:hint="cs"/>
          <w:sz w:val="24"/>
          <w:szCs w:val="24"/>
          <w:rtl/>
        </w:rPr>
        <w:t xml:space="preserve"> " وقال بعض أهل العربية من أهل البصرة </w:t>
      </w:r>
      <w:r w:rsidRPr="00A52585">
        <w:rPr>
          <w:rFonts w:hint="cs"/>
          <w:sz w:val="24"/>
          <w:szCs w:val="24"/>
          <w:rtl/>
        </w:rPr>
        <w:t>(</w:t>
      </w:r>
      <w:r w:rsidR="00777DCB" w:rsidRPr="00A52585">
        <w:rPr>
          <w:rFonts w:hint="cs"/>
          <w:sz w:val="24"/>
          <w:szCs w:val="24"/>
          <w:rtl/>
        </w:rPr>
        <w:t>والارض جميعا قبضته يوم القيامة والسموات مطويات بيمينه</w:t>
      </w:r>
      <w:r w:rsidRPr="00A52585">
        <w:rPr>
          <w:rFonts w:hint="cs"/>
          <w:sz w:val="24"/>
          <w:szCs w:val="24"/>
          <w:rtl/>
        </w:rPr>
        <w:t>)</w:t>
      </w:r>
      <w:r w:rsidR="00777DCB" w:rsidRPr="00A52585">
        <w:rPr>
          <w:rFonts w:hint="cs"/>
          <w:sz w:val="24"/>
          <w:szCs w:val="24"/>
          <w:rtl/>
        </w:rPr>
        <w:t xml:space="preserve"> يقول في قدرته نحو 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وما ملكت أيمانكم</w:t>
      </w:r>
      <w:r w:rsidRPr="00A52585">
        <w:rPr>
          <w:rFonts w:hint="cs"/>
          <w:sz w:val="24"/>
          <w:szCs w:val="24"/>
          <w:rtl/>
        </w:rPr>
        <w:t>)</w:t>
      </w:r>
      <w:r w:rsidR="00777DCB" w:rsidRPr="00A52585">
        <w:rPr>
          <w:rFonts w:hint="cs"/>
          <w:sz w:val="24"/>
          <w:szCs w:val="24"/>
          <w:rtl/>
        </w:rPr>
        <w:t xml:space="preserve"> أي</w:t>
      </w:r>
      <w:r w:rsidRPr="00A52585">
        <w:rPr>
          <w:rFonts w:hint="cs"/>
          <w:sz w:val="24"/>
          <w:szCs w:val="24"/>
          <w:rtl/>
        </w:rPr>
        <w:t>:</w:t>
      </w:r>
      <w:r w:rsidR="00777DCB" w:rsidRPr="00A52585">
        <w:rPr>
          <w:rFonts w:hint="cs"/>
          <w:sz w:val="24"/>
          <w:szCs w:val="24"/>
          <w:rtl/>
        </w:rPr>
        <w:t xml:space="preserve"> وما كانت لكم عليه قدرة وليس الملك لليمين دون سائر الجسد</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br/>
        <w:t xml:space="preserve">وقوله </w:t>
      </w:r>
      <w:r w:rsidRPr="00A52585">
        <w:rPr>
          <w:rFonts w:hint="cs"/>
          <w:sz w:val="24"/>
          <w:szCs w:val="24"/>
          <w:rtl/>
        </w:rPr>
        <w:t>(</w:t>
      </w:r>
      <w:r w:rsidR="00777DCB" w:rsidRPr="00A52585">
        <w:rPr>
          <w:rFonts w:hint="cs"/>
          <w:sz w:val="24"/>
          <w:szCs w:val="24"/>
          <w:rtl/>
        </w:rPr>
        <w:t>قبضته</w:t>
      </w:r>
      <w:r w:rsidRPr="00A52585">
        <w:rPr>
          <w:rFonts w:hint="cs"/>
          <w:sz w:val="24"/>
          <w:szCs w:val="24"/>
          <w:rtl/>
        </w:rPr>
        <w:t>)</w:t>
      </w:r>
      <w:r w:rsidR="00777DCB" w:rsidRPr="00A52585">
        <w:rPr>
          <w:rFonts w:hint="cs"/>
          <w:sz w:val="24"/>
          <w:szCs w:val="24"/>
          <w:rtl/>
        </w:rPr>
        <w:t xml:space="preserve"> نحو قولك للرجل هذا في يدك وفي قبضتك والاخبار التي ذكرناها عن رسول الله وعن أصحابه وغيرهم</w:t>
      </w:r>
      <w:r w:rsidR="00DB731D" w:rsidRPr="00A52585">
        <w:rPr>
          <w:rFonts w:hint="cs"/>
          <w:sz w:val="24"/>
          <w:szCs w:val="24"/>
          <w:rtl/>
        </w:rPr>
        <w:t>،</w:t>
      </w:r>
      <w:r w:rsidR="00777DCB" w:rsidRPr="00A52585">
        <w:rPr>
          <w:rFonts w:hint="cs"/>
          <w:sz w:val="24"/>
          <w:szCs w:val="24"/>
          <w:rtl/>
        </w:rPr>
        <w:t xml:space="preserve"> تشهد على بطول - أي بطلان - هذا القول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كلا والذي نفسي بيده</w:t>
      </w:r>
      <w:r w:rsidR="00DB731D" w:rsidRPr="00A52585">
        <w:rPr>
          <w:rFonts w:hint="cs"/>
          <w:sz w:val="24"/>
          <w:szCs w:val="24"/>
          <w:rtl/>
        </w:rPr>
        <w:t>،</w:t>
      </w:r>
      <w:r w:rsidR="00777DCB" w:rsidRPr="00A52585">
        <w:rPr>
          <w:rFonts w:hint="cs"/>
          <w:sz w:val="24"/>
          <w:szCs w:val="24"/>
          <w:rtl/>
        </w:rPr>
        <w:t xml:space="preserve"> لان خير ما يفسر القرآن </w:t>
      </w:r>
      <w:proofErr w:type="spellStart"/>
      <w:r w:rsidR="00777DCB" w:rsidRPr="00A52585">
        <w:rPr>
          <w:rFonts w:hint="cs"/>
          <w:sz w:val="24"/>
          <w:szCs w:val="24"/>
          <w:rtl/>
        </w:rPr>
        <w:t>القرآن</w:t>
      </w:r>
      <w:proofErr w:type="spellEnd"/>
      <w:r w:rsidR="00DB731D" w:rsidRPr="00A52585">
        <w:rPr>
          <w:rFonts w:hint="cs"/>
          <w:sz w:val="24"/>
          <w:szCs w:val="24"/>
          <w:rtl/>
        </w:rPr>
        <w:t>،</w:t>
      </w:r>
      <w:r w:rsidR="00777DCB" w:rsidRPr="00A52585">
        <w:rPr>
          <w:rFonts w:hint="cs"/>
          <w:sz w:val="24"/>
          <w:szCs w:val="24"/>
          <w:rtl/>
        </w:rPr>
        <w:t xml:space="preserve"> وكذا لغة العرب التي نزل بها هذا القرآن العظيم</w:t>
      </w:r>
      <w:r w:rsidR="00DB731D" w:rsidRPr="00A52585">
        <w:rPr>
          <w:rFonts w:hint="cs"/>
          <w:sz w:val="24"/>
          <w:szCs w:val="24"/>
          <w:rtl/>
        </w:rPr>
        <w:t>،</w:t>
      </w:r>
      <w:r w:rsidR="00777DCB" w:rsidRPr="00A52585">
        <w:rPr>
          <w:rFonts w:hint="cs"/>
          <w:sz w:val="24"/>
          <w:szCs w:val="24"/>
          <w:rtl/>
        </w:rPr>
        <w:t xml:space="preserve"> وأما الاخبار التي سقتها يا ابن جرير فهي أخبار متضاربة كما بينا قد تصرف بها رواتها فتارة يقولون</w:t>
      </w:r>
      <w:r w:rsidRPr="00A52585">
        <w:rPr>
          <w:rFonts w:hint="cs"/>
          <w:sz w:val="24"/>
          <w:szCs w:val="24"/>
          <w:rtl/>
        </w:rPr>
        <w:t>:</w:t>
      </w:r>
      <w:r w:rsidR="00777DCB" w:rsidRPr="00A52585">
        <w:rPr>
          <w:rFonts w:hint="cs"/>
          <w:sz w:val="24"/>
          <w:szCs w:val="24"/>
          <w:rtl/>
        </w:rPr>
        <w:t xml:space="preserve"> " بشماله " فيثبتون لله تعالى شمالا وفي موضع آخر يقولون</w:t>
      </w:r>
      <w:r w:rsidRPr="00A52585">
        <w:rPr>
          <w:rFonts w:hint="cs"/>
          <w:sz w:val="24"/>
          <w:szCs w:val="24"/>
          <w:rtl/>
        </w:rPr>
        <w:t>:</w:t>
      </w:r>
      <w:r w:rsidR="00777DCB" w:rsidRPr="00A52585">
        <w:rPr>
          <w:rFonts w:hint="cs"/>
          <w:sz w:val="24"/>
          <w:szCs w:val="24"/>
          <w:rtl/>
        </w:rPr>
        <w:t xml:space="preserve"> " وكلتا يديه يمين "</w:t>
      </w:r>
      <w:r w:rsidR="00DB731D" w:rsidRPr="00A52585">
        <w:rPr>
          <w:rFonts w:hint="cs"/>
          <w:sz w:val="24"/>
          <w:szCs w:val="24"/>
          <w:rtl/>
        </w:rPr>
        <w:t>،</w:t>
      </w:r>
      <w:r w:rsidR="00777DCB" w:rsidRPr="00A52585">
        <w:rPr>
          <w:rFonts w:hint="cs"/>
          <w:sz w:val="24"/>
          <w:szCs w:val="24"/>
          <w:rtl/>
        </w:rPr>
        <w:t xml:space="preserve"> وتارة يقولون كما في تفسيرك </w:t>
      </w:r>
      <w:r w:rsidRPr="00A52585">
        <w:rPr>
          <w:rFonts w:hint="cs"/>
          <w:sz w:val="24"/>
          <w:szCs w:val="24"/>
          <w:rtl/>
        </w:rPr>
        <w:t>(</w:t>
      </w:r>
      <w:r w:rsidR="00777DCB" w:rsidRPr="00A52585">
        <w:rPr>
          <w:rFonts w:hint="cs"/>
          <w:sz w:val="24"/>
          <w:szCs w:val="24"/>
          <w:rtl/>
        </w:rPr>
        <w:t>24 / 26</w:t>
      </w:r>
      <w:r w:rsidRPr="00A52585">
        <w:rPr>
          <w:rFonts w:hint="cs"/>
          <w:sz w:val="24"/>
          <w:szCs w:val="24"/>
          <w:rtl/>
        </w:rPr>
        <w:t>):</w:t>
      </w:r>
      <w:r w:rsidR="00777DCB" w:rsidRPr="00A52585">
        <w:rPr>
          <w:rFonts w:hint="cs"/>
          <w:sz w:val="24"/>
          <w:szCs w:val="24"/>
          <w:rtl/>
        </w:rPr>
        <w:t xml:space="preserve"> " يأخذ السموات والارضين السبع فيجعلها في كفه</w:t>
      </w:r>
      <w:r w:rsidR="00DB731D" w:rsidRPr="00A52585">
        <w:rPr>
          <w:rFonts w:hint="cs"/>
          <w:sz w:val="24"/>
          <w:szCs w:val="24"/>
          <w:rtl/>
        </w:rPr>
        <w:t>،</w:t>
      </w:r>
      <w:r w:rsidR="00777DCB" w:rsidRPr="00A52585">
        <w:rPr>
          <w:rFonts w:hint="cs"/>
          <w:sz w:val="24"/>
          <w:szCs w:val="24"/>
          <w:rtl/>
        </w:rPr>
        <w:t xml:space="preserve"> ثم يقول بهما كما يقول الغلام بالكرة أنا الله الواحد " ولا يسعني هنا إلا أن أقول وأنا منكر لهذه الروايات المتصرف بها</w:t>
      </w:r>
      <w:r w:rsidRPr="00A52585">
        <w:rPr>
          <w:rFonts w:hint="cs"/>
          <w:sz w:val="24"/>
          <w:szCs w:val="24"/>
          <w:rtl/>
        </w:rPr>
        <w:t>:</w:t>
      </w:r>
      <w:r w:rsidR="00777DCB" w:rsidRPr="00A52585">
        <w:rPr>
          <w:rFonts w:hint="cs"/>
          <w:sz w:val="24"/>
          <w:szCs w:val="24"/>
          <w:rtl/>
        </w:rPr>
        <w:t xml:space="preserve"> " تبا لمن شبه ربه بصبي يلعب بكرة</w:t>
      </w:r>
      <w:r w:rsidR="00DB731D"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سبحان ربك رب العزة عما يصفون</w:t>
      </w:r>
      <w:r w:rsidRPr="00A52585">
        <w:rPr>
          <w:rFonts w:hint="cs"/>
          <w:sz w:val="24"/>
          <w:szCs w:val="24"/>
          <w:rtl/>
        </w:rPr>
        <w:t>)</w:t>
      </w:r>
      <w:r w:rsidR="00777DCB" w:rsidRPr="00A52585">
        <w:rPr>
          <w:rFonts w:hint="cs"/>
          <w:sz w:val="24"/>
          <w:szCs w:val="24"/>
          <w:rtl/>
        </w:rPr>
        <w:t xml:space="preserve"> ويجل سيدنا رسول الله وهو أعلم الخلق بالله أن يقول ذلك</w:t>
      </w:r>
      <w:r w:rsidR="00DB731D" w:rsidRPr="00A52585">
        <w:rPr>
          <w:rFonts w:hint="cs"/>
          <w:sz w:val="24"/>
          <w:szCs w:val="24"/>
          <w:rtl/>
        </w:rPr>
        <w:t>،</w:t>
      </w:r>
      <w:r w:rsidR="00777DCB" w:rsidRPr="00A52585">
        <w:rPr>
          <w:rFonts w:hint="cs"/>
          <w:sz w:val="24"/>
          <w:szCs w:val="24"/>
          <w:rtl/>
        </w:rPr>
        <w:t xml:space="preserve"> ونسأل الله التوفيق والهداية " وفي إسناده أسامه بن زيد وهو ضعيف</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هكذا رواه مسلم وهي أتم الروايات</w:t>
      </w:r>
      <w:r w:rsidR="00DB731D" w:rsidRPr="00A52585">
        <w:rPr>
          <w:rFonts w:hint="cs"/>
          <w:rtl/>
        </w:rPr>
        <w:t>،</w:t>
      </w:r>
      <w:r w:rsidR="00777DCB" w:rsidRPr="00A52585">
        <w:rPr>
          <w:rFonts w:hint="cs"/>
          <w:rtl/>
        </w:rPr>
        <w:t xml:space="preserve"> وفي لفظ أخرجه مسلم </w:t>
      </w:r>
      <w:r w:rsidRPr="00A52585">
        <w:rPr>
          <w:rFonts w:hint="cs"/>
          <w:rtl/>
        </w:rPr>
        <w:t>(</w:t>
      </w:r>
      <w:r w:rsidR="00777DCB" w:rsidRPr="00A52585">
        <w:rPr>
          <w:rFonts w:hint="cs"/>
          <w:rtl/>
        </w:rPr>
        <w:t>4 / 2648 برقم 25</w:t>
      </w:r>
      <w:r w:rsidRPr="00A52585">
        <w:rPr>
          <w:rFonts w:hint="cs"/>
          <w:rtl/>
        </w:rPr>
        <w:t>)</w:t>
      </w:r>
      <w:r w:rsidR="00777DCB" w:rsidRPr="00A52585">
        <w:rPr>
          <w:rFonts w:hint="cs"/>
          <w:rtl/>
        </w:rPr>
        <w:t xml:space="preserve"> حديث عبيد الله بن مقسم أنه نظر إلى عبد الله بن عمر كيف </w:t>
      </w:r>
      <w:r w:rsidR="00777DCB" w:rsidRPr="00A52585">
        <w:rPr>
          <w:rFonts w:hint="cs"/>
          <w:rtl/>
        </w:rPr>
        <w:lastRenderedPageBreak/>
        <w:t>يحكي رسول الله صلى الله عليه وسلم أنه قال</w:t>
      </w:r>
      <w:r w:rsidRPr="00A52585">
        <w:rPr>
          <w:rFonts w:hint="cs"/>
          <w:rtl/>
        </w:rPr>
        <w:t>:</w:t>
      </w:r>
      <w:r w:rsidR="00777DCB" w:rsidRPr="00A52585">
        <w:rPr>
          <w:rFonts w:hint="cs"/>
          <w:rtl/>
        </w:rPr>
        <w:t xml:space="preserve"> " يأخذ الله عز وجل </w:t>
      </w:r>
      <w:proofErr w:type="spellStart"/>
      <w:r w:rsidR="00777DCB" w:rsidRPr="00A52585">
        <w:rPr>
          <w:rFonts w:hint="cs"/>
          <w:rtl/>
        </w:rPr>
        <w:t>سمواته</w:t>
      </w:r>
      <w:proofErr w:type="spellEnd"/>
      <w:r w:rsidR="00777DCB" w:rsidRPr="00A52585">
        <w:rPr>
          <w:rFonts w:hint="cs"/>
          <w:rtl/>
        </w:rPr>
        <w:t xml:space="preserve"> وأرضه بيديه فيقوله</w:t>
      </w:r>
      <w:r w:rsidRPr="00A52585">
        <w:rPr>
          <w:rFonts w:hint="cs"/>
          <w:rtl/>
        </w:rPr>
        <w:t>:</w:t>
      </w:r>
      <w:r w:rsidR="00777DCB" w:rsidRPr="00A52585">
        <w:rPr>
          <w:rFonts w:hint="cs"/>
          <w:rtl/>
        </w:rPr>
        <w:t xml:space="preserve"> أنا الله </w:t>
      </w:r>
      <w:r w:rsidRPr="00A52585">
        <w:rPr>
          <w:rFonts w:hint="cs"/>
          <w:rtl/>
        </w:rPr>
        <w:t>(</w:t>
      </w:r>
      <w:r w:rsidR="00777DCB" w:rsidRPr="00A52585">
        <w:rPr>
          <w:rFonts w:hint="cs"/>
          <w:rtl/>
        </w:rPr>
        <w:t>ويقبض أصابعه ويبسطها</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قوله </w:t>
      </w:r>
      <w:r w:rsidRPr="00A52585">
        <w:rPr>
          <w:rFonts w:hint="cs"/>
          <w:sz w:val="24"/>
          <w:szCs w:val="24"/>
          <w:rtl/>
        </w:rPr>
        <w:t>(</w:t>
      </w:r>
      <w:r w:rsidR="00777DCB" w:rsidRPr="00A52585">
        <w:rPr>
          <w:rFonts w:hint="cs"/>
          <w:sz w:val="24"/>
          <w:szCs w:val="24"/>
          <w:rtl/>
        </w:rPr>
        <w:t>ويقبض أصابعه ويبسطها</w:t>
      </w:r>
      <w:r w:rsidRPr="00A52585">
        <w:rPr>
          <w:rFonts w:hint="cs"/>
          <w:sz w:val="24"/>
          <w:szCs w:val="24"/>
          <w:rtl/>
        </w:rPr>
        <w:t>)</w:t>
      </w:r>
      <w:r w:rsidR="00777DCB" w:rsidRPr="00A52585">
        <w:rPr>
          <w:rFonts w:hint="cs"/>
          <w:sz w:val="24"/>
          <w:szCs w:val="24"/>
          <w:rtl/>
        </w:rPr>
        <w:t xml:space="preserve"> المعني به في هذا الخبر هو النبي صلى الله عليه وسلم</w:t>
      </w:r>
      <w:r w:rsidR="00DB731D" w:rsidRPr="00A52585">
        <w:rPr>
          <w:rFonts w:hint="cs"/>
          <w:sz w:val="24"/>
          <w:szCs w:val="24"/>
          <w:rtl/>
        </w:rPr>
        <w:t>،</w:t>
      </w:r>
      <w:r w:rsidR="00777DCB" w:rsidRPr="00A52585">
        <w:rPr>
          <w:rFonts w:hint="cs"/>
          <w:sz w:val="24"/>
          <w:szCs w:val="24"/>
          <w:rtl/>
        </w:rPr>
        <w:t xml:space="preserve"> فإن كان ذلك ثابتا عنه وما أخاله</w:t>
      </w:r>
      <w:r w:rsidR="00DB731D" w:rsidRPr="00A52585">
        <w:rPr>
          <w:rFonts w:hint="cs"/>
          <w:sz w:val="24"/>
          <w:szCs w:val="24"/>
          <w:rtl/>
        </w:rPr>
        <w:t>،</w:t>
      </w:r>
      <w:r w:rsidR="00777DCB" w:rsidRPr="00A52585">
        <w:rPr>
          <w:rFonts w:hint="cs"/>
          <w:sz w:val="24"/>
          <w:szCs w:val="24"/>
          <w:rtl/>
        </w:rPr>
        <w:t xml:space="preserve"> فمعناه أنه صلى الله عليه وسلم أشار بيده فقبضها كناية عما قدمناه من قهر الله سبحانه للسموات والارض لا غير</w:t>
      </w:r>
      <w:r w:rsidR="00DB731D" w:rsidRPr="00A52585">
        <w:rPr>
          <w:rFonts w:hint="cs"/>
          <w:sz w:val="24"/>
          <w:szCs w:val="24"/>
          <w:rtl/>
        </w:rPr>
        <w:t>،</w:t>
      </w:r>
      <w:r w:rsidR="00777DCB" w:rsidRPr="00A52585">
        <w:rPr>
          <w:rFonts w:hint="cs"/>
          <w:sz w:val="24"/>
          <w:szCs w:val="24"/>
          <w:rtl/>
        </w:rPr>
        <w:t xml:space="preserve"> وأظن أن هذا اللفظ هو من زيادات أحد الرواة</w:t>
      </w:r>
      <w:r w:rsidR="00DB731D" w:rsidRPr="00A52585">
        <w:rPr>
          <w:rFonts w:hint="cs"/>
          <w:sz w:val="24"/>
          <w:szCs w:val="24"/>
          <w:rtl/>
        </w:rPr>
        <w:t>،</w:t>
      </w:r>
      <w:r w:rsidR="00777DCB" w:rsidRPr="00A52585">
        <w:rPr>
          <w:rFonts w:hint="cs"/>
          <w:sz w:val="24"/>
          <w:szCs w:val="24"/>
          <w:rtl/>
        </w:rPr>
        <w:t xml:space="preserve"> وآفة الاخبار رواتها</w:t>
      </w:r>
      <w:r w:rsidRPr="00A52585">
        <w:rPr>
          <w:rFonts w:hint="cs"/>
          <w:sz w:val="24"/>
          <w:szCs w:val="24"/>
          <w:rtl/>
        </w:rPr>
        <w:t>]</w:t>
      </w:r>
      <w:r w:rsidR="00DB731D" w:rsidRPr="00A52585">
        <w:rPr>
          <w:rFonts w:hint="cs"/>
          <w:rtl/>
        </w:rPr>
        <w:t>،</w:t>
      </w:r>
      <w:r w:rsidR="00777DCB" w:rsidRPr="00A52585">
        <w:rPr>
          <w:rFonts w:hint="cs"/>
          <w:rtl/>
        </w:rPr>
        <w:t xml:space="preserve"> انا الملك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ثب بالدليل القاطع أن يد الحق سبحانه وتعالى ليست بجارحة وان قبضه للأشياء ليس مباشرة</w:t>
      </w:r>
      <w:r w:rsidR="00DB731D" w:rsidRPr="00A52585">
        <w:rPr>
          <w:rFonts w:hint="cs"/>
          <w:rtl/>
        </w:rPr>
        <w:t>،</w:t>
      </w:r>
      <w:r w:rsidR="00777DCB" w:rsidRPr="00A52585">
        <w:rPr>
          <w:rFonts w:hint="cs"/>
          <w:rtl/>
        </w:rPr>
        <w:t xml:space="preserve"> ولا له كف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نقل الامام عبد القاهر البغدادي </w:t>
      </w:r>
      <w:r w:rsidRPr="00A52585">
        <w:rPr>
          <w:rFonts w:hint="cs"/>
          <w:sz w:val="24"/>
          <w:szCs w:val="24"/>
          <w:rtl/>
        </w:rPr>
        <w:t>(</w:t>
      </w:r>
      <w:r w:rsidR="00777DCB" w:rsidRPr="00A52585">
        <w:rPr>
          <w:rFonts w:hint="cs"/>
          <w:sz w:val="24"/>
          <w:szCs w:val="24"/>
          <w:rtl/>
        </w:rPr>
        <w:t>ت 429 ه‍</w:t>
      </w:r>
      <w:r w:rsidRPr="00A52585">
        <w:rPr>
          <w:rFonts w:hint="cs"/>
          <w:sz w:val="24"/>
          <w:szCs w:val="24"/>
          <w:rtl/>
        </w:rPr>
        <w:t>)</w:t>
      </w:r>
      <w:r w:rsidR="00777DCB" w:rsidRPr="00A52585">
        <w:rPr>
          <w:rFonts w:hint="cs"/>
          <w:sz w:val="24"/>
          <w:szCs w:val="24"/>
          <w:rtl/>
        </w:rPr>
        <w:t xml:space="preserve"> في كتابه " الفرق بين الفرق " إجماع أهل السنة على ذلك</w:t>
      </w:r>
      <w:r w:rsidR="00DB731D" w:rsidRPr="00A52585">
        <w:rPr>
          <w:rFonts w:hint="cs"/>
          <w:sz w:val="24"/>
          <w:szCs w:val="24"/>
          <w:rtl/>
        </w:rPr>
        <w:t>،</w:t>
      </w:r>
      <w:r w:rsidR="00777DCB" w:rsidRPr="00A52585">
        <w:rPr>
          <w:rFonts w:hint="cs"/>
          <w:sz w:val="24"/>
          <w:szCs w:val="24"/>
          <w:rtl/>
        </w:rPr>
        <w:t xml:space="preserve"> فقال ص 332</w:t>
      </w:r>
      <w:r w:rsidRPr="00A52585">
        <w:rPr>
          <w:rFonts w:hint="cs"/>
          <w:sz w:val="24"/>
          <w:szCs w:val="24"/>
          <w:rtl/>
        </w:rPr>
        <w:t>:</w:t>
      </w:r>
      <w:r w:rsidR="00777DCB" w:rsidRPr="00A52585">
        <w:rPr>
          <w:rFonts w:hint="cs"/>
          <w:sz w:val="24"/>
          <w:szCs w:val="24"/>
          <w:rtl/>
        </w:rPr>
        <w:t xml:space="preserve"> " وأجمعوا على إحالة وصفه بالصورة والاعضاء " اه‍</w:t>
      </w:r>
      <w:r w:rsidRPr="00A52585">
        <w:rPr>
          <w:rFonts w:hint="cs"/>
          <w:sz w:val="24"/>
          <w:szCs w:val="24"/>
          <w:rtl/>
        </w:rPr>
        <w:t>]</w:t>
      </w:r>
      <w:r w:rsidR="00777DCB" w:rsidRPr="00A52585">
        <w:rPr>
          <w:rFonts w:hint="cs"/>
          <w:rtl/>
        </w:rPr>
        <w:t>، وإنما قرب رسول الله صلى الله عليه وسلم إلى الافهام ما يدركه الحس فقبض رسول الله صلى الله عليه وسلم أصابعه وبسطها</w:t>
      </w:r>
      <w:r w:rsidR="00897A24" w:rsidRPr="00A52585">
        <w:rPr>
          <w:rFonts w:hint="cs"/>
          <w:rtl/>
        </w:rPr>
        <w:t>..</w:t>
      </w:r>
      <w:r w:rsidR="00777DCB" w:rsidRPr="00A52585">
        <w:rPr>
          <w:rFonts w:hint="cs"/>
          <w:rtl/>
        </w:rPr>
        <w:t xml:space="preserve"> فوقوع الشبه بين القبضتين من حيث ملكه المقبوض كما وقع الشبه في رؤية الحق سبحانه برؤية القمر في إيضاح الرؤية لا في تشبيه المرئي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 عندما قال صلى الله عليه وسلم في الحديث الصحيح</w:t>
      </w:r>
      <w:r w:rsidRPr="00A52585">
        <w:rPr>
          <w:rFonts w:hint="cs"/>
          <w:sz w:val="24"/>
          <w:szCs w:val="24"/>
          <w:rtl/>
        </w:rPr>
        <w:t>:</w:t>
      </w:r>
      <w:r w:rsidR="00777DCB" w:rsidRPr="00A52585">
        <w:rPr>
          <w:rFonts w:hint="cs"/>
          <w:sz w:val="24"/>
          <w:szCs w:val="24"/>
          <w:rtl/>
        </w:rPr>
        <w:t xml:space="preserve"> " إنكم سترون ربكم كما ترون هذا القمر لا تضامون في رؤيته " كان معنى كلامه</w:t>
      </w:r>
      <w:r w:rsidRPr="00A52585">
        <w:rPr>
          <w:rFonts w:hint="cs"/>
          <w:sz w:val="24"/>
          <w:szCs w:val="24"/>
          <w:rtl/>
        </w:rPr>
        <w:t>:</w:t>
      </w:r>
      <w:r w:rsidR="00777DCB" w:rsidRPr="00A52585">
        <w:rPr>
          <w:rFonts w:hint="cs"/>
          <w:sz w:val="24"/>
          <w:szCs w:val="24"/>
          <w:rtl/>
        </w:rPr>
        <w:t xml:space="preserve"> أي أنكم سترون ربكم وسوف لا تشكون هل الذي رأيتموه هو ربكم أم لا كما أنكم إذا رأيتم القمر فإنكم لا تشكون أن الذي تروه هو القمر ليلة البدر</w:t>
      </w:r>
      <w:r w:rsidR="00DB731D" w:rsidRPr="00A52585">
        <w:rPr>
          <w:rFonts w:hint="cs"/>
          <w:sz w:val="24"/>
          <w:szCs w:val="24"/>
          <w:rtl/>
        </w:rPr>
        <w:t>،</w:t>
      </w:r>
      <w:r w:rsidR="00777DCB" w:rsidRPr="00A52585">
        <w:rPr>
          <w:rFonts w:hint="cs"/>
          <w:sz w:val="24"/>
          <w:szCs w:val="24"/>
          <w:rtl/>
        </w:rPr>
        <w:t xml:space="preserve"> وليس معنى ذلك أن الله يشبه البدر حاشا وكلا</w:t>
      </w:r>
      <w:r w:rsidRPr="00A52585">
        <w:rPr>
          <w:rFonts w:hint="cs"/>
          <w:sz w:val="24"/>
          <w:szCs w:val="24"/>
          <w:rtl/>
        </w:rPr>
        <w:t>]</w:t>
      </w:r>
      <w:r w:rsidR="00DB731D" w:rsidRPr="00A52585">
        <w:rPr>
          <w:rFonts w:hint="cs"/>
          <w:sz w:val="24"/>
          <w:szCs w:val="24"/>
          <w:rtl/>
        </w:rPr>
        <w:t>،</w:t>
      </w:r>
      <w:r w:rsidR="00777DCB" w:rsidRPr="00A52585">
        <w:rPr>
          <w:rFonts w:hint="cs"/>
          <w:rtl/>
        </w:rPr>
        <w:t xml:space="preserve"> فأما لفظ " الشمال " فهي في رواية مسلم وهي مما انفرد به عن عمر بن حمزة عن سالم عن ابن عمر</w:t>
      </w:r>
      <w:r w:rsidR="00DB731D" w:rsidRPr="00A52585">
        <w:rPr>
          <w:rFonts w:hint="cs"/>
          <w:rtl/>
        </w:rPr>
        <w:t>،</w:t>
      </w:r>
      <w:r w:rsidR="00777DCB" w:rsidRPr="00A52585">
        <w:rPr>
          <w:rFonts w:hint="cs"/>
          <w:rtl/>
        </w:rPr>
        <w:t xml:space="preserve"> وقد روى الحديث نافع وغيره عن ابن عمر فلم يذكروا لفظة الشمال</w:t>
      </w:r>
      <w:r w:rsidR="00DB731D" w:rsidRPr="00A52585">
        <w:rPr>
          <w:rFonts w:hint="cs"/>
          <w:rtl/>
        </w:rPr>
        <w:t>،</w:t>
      </w:r>
      <w:r w:rsidR="00777DCB" w:rsidRPr="00A52585">
        <w:rPr>
          <w:rFonts w:hint="cs"/>
          <w:rtl/>
        </w:rPr>
        <w:t xml:space="preserve"> ورواه أبو هريرة وغيره عن النبي صلى الله عليه وسلم فلم يذكر أحد منهم فيه الشمال</w:t>
      </w:r>
      <w:r w:rsidR="00DB731D" w:rsidRPr="00A52585">
        <w:rPr>
          <w:rFonts w:hint="cs"/>
          <w:rtl/>
        </w:rPr>
        <w:t>،</w:t>
      </w:r>
      <w:r w:rsidR="00777DCB" w:rsidRPr="00A52585">
        <w:rPr>
          <w:rFonts w:hint="cs"/>
          <w:rtl/>
        </w:rPr>
        <w:t xml:space="preserve"> وقد روي ذكر الشمال في حديث آخر في غير هذه القصة إلا أنه ضعيف بالمرة</w:t>
      </w:r>
      <w:r w:rsidR="00DB731D" w:rsidRPr="00A52585">
        <w:rPr>
          <w:rFonts w:hint="cs"/>
          <w:rtl/>
        </w:rPr>
        <w:t>،</w:t>
      </w:r>
      <w:r w:rsidR="00777DCB" w:rsidRPr="00A52585">
        <w:rPr>
          <w:rFonts w:hint="cs"/>
          <w:rtl/>
        </w:rPr>
        <w:t xml:space="preserve"> ورواه بعض المتروكين</w:t>
      </w:r>
      <w:r w:rsidR="00DB731D" w:rsidRPr="00A52585">
        <w:rPr>
          <w:rFonts w:hint="cs"/>
          <w:rtl/>
        </w:rPr>
        <w:t>،</w:t>
      </w:r>
      <w:r w:rsidR="00777DCB" w:rsidRPr="00A52585">
        <w:rPr>
          <w:rFonts w:hint="cs"/>
          <w:rtl/>
        </w:rPr>
        <w:t xml:space="preserve"> وقد صح عن رسول الله صلى الله عليه وسلم انه قال</w:t>
      </w:r>
      <w:r w:rsidRPr="00A52585">
        <w:rPr>
          <w:rFonts w:hint="cs"/>
          <w:rtl/>
        </w:rPr>
        <w:t>:</w:t>
      </w:r>
      <w:r w:rsidR="00777DCB" w:rsidRPr="00A52585">
        <w:rPr>
          <w:rFonts w:hint="cs"/>
          <w:rtl/>
        </w:rPr>
        <w:t xml:space="preserve"> " وكلتا يديه يمين مباركة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تقدم تخريجه وهو في مسلم برقم </w:t>
      </w:r>
      <w:r w:rsidRPr="00A52585">
        <w:rPr>
          <w:rFonts w:hint="cs"/>
          <w:sz w:val="24"/>
          <w:szCs w:val="24"/>
          <w:rtl/>
        </w:rPr>
        <w:t>(</w:t>
      </w:r>
      <w:r w:rsidR="00777DCB" w:rsidRPr="00A52585">
        <w:rPr>
          <w:rFonts w:hint="cs"/>
          <w:sz w:val="24"/>
          <w:szCs w:val="24"/>
          <w:rtl/>
        </w:rPr>
        <w:t>1827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وزيادة لفظة " مباركة " في الترمذي </w:t>
      </w:r>
      <w:r w:rsidRPr="00A52585">
        <w:rPr>
          <w:rFonts w:hint="cs"/>
          <w:sz w:val="24"/>
          <w:szCs w:val="24"/>
          <w:rtl/>
        </w:rPr>
        <w:t>(</w:t>
      </w:r>
      <w:r w:rsidR="00777DCB" w:rsidRPr="00A52585">
        <w:rPr>
          <w:rFonts w:hint="cs"/>
          <w:sz w:val="24"/>
          <w:szCs w:val="24"/>
          <w:rtl/>
        </w:rPr>
        <w:t>5 / 453 برقم 3368 شاكر</w:t>
      </w:r>
      <w:r w:rsidRPr="00A52585">
        <w:rPr>
          <w:rFonts w:hint="cs"/>
          <w:sz w:val="24"/>
          <w:szCs w:val="24"/>
          <w:rtl/>
        </w:rPr>
        <w:t>)]</w:t>
      </w:r>
      <w:r w:rsidR="00DB731D" w:rsidRPr="00A52585">
        <w:rPr>
          <w:rFonts w:hint="cs"/>
          <w:sz w:val="24"/>
          <w:szCs w:val="24"/>
          <w:rtl/>
        </w:rPr>
        <w:t>،</w:t>
      </w:r>
      <w:r w:rsidR="00777DCB" w:rsidRPr="00A52585">
        <w:rPr>
          <w:rFonts w:hint="cs"/>
          <w:rtl/>
        </w:rPr>
        <w:t xml:space="preserve"> وهذا يوهن ذكر الشمال</w:t>
      </w:r>
      <w:r w:rsidR="00DB731D" w:rsidRPr="00A52585">
        <w:rPr>
          <w:rFonts w:hint="cs"/>
          <w:rtl/>
        </w:rPr>
        <w:t>،</w:t>
      </w:r>
      <w:r w:rsidR="00777DCB" w:rsidRPr="00A52585">
        <w:rPr>
          <w:rFonts w:hint="cs"/>
          <w:rtl/>
        </w:rPr>
        <w:t xml:space="preserve"> وقال أبو بكر البيهقي</w:t>
      </w:r>
      <w:r w:rsidRPr="00A52585">
        <w:rPr>
          <w:rFonts w:hint="cs"/>
          <w:rtl/>
        </w:rPr>
        <w:t>:</w:t>
      </w:r>
      <w:r w:rsidR="00777DCB" w:rsidRPr="00A52585">
        <w:rPr>
          <w:rFonts w:hint="cs"/>
          <w:rtl/>
        </w:rPr>
        <w:t xml:space="preserve"> وكأن الذي ذكر الشمال رواه على العادة في أن الشمال يقابل اليمين</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غير مستحيل إضافة القبض والبسط إلى ذاته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وقد سبق إنكار هذا</w:t>
      </w:r>
      <w:r w:rsidR="00DB731D" w:rsidRPr="00A52585">
        <w:rPr>
          <w:rFonts w:hint="cs"/>
          <w:rtl/>
        </w:rPr>
        <w:t>،</w:t>
      </w:r>
      <w:r w:rsidR="00777DCB" w:rsidRPr="00A52585">
        <w:rPr>
          <w:rFonts w:hint="cs"/>
          <w:rtl/>
        </w:rPr>
        <w:t xml:space="preserve"> </w:t>
      </w:r>
    </w:p>
    <w:p w14:paraId="193AD070" w14:textId="54543788" w:rsidR="00777DCB" w:rsidRPr="00A52585" w:rsidRDefault="0002035C" w:rsidP="0002035C">
      <w:pPr>
        <w:rPr>
          <w:b/>
          <w:rtl/>
        </w:rPr>
      </w:pPr>
      <w:r w:rsidRPr="00A52585">
        <w:rPr>
          <w:rFonts w:hint="cs"/>
          <w:bCs/>
          <w:u w:val="single"/>
          <w:rtl/>
        </w:rPr>
        <w:t>[</w:t>
      </w:r>
      <w:r w:rsidR="00777DCB" w:rsidRPr="00A52585">
        <w:rPr>
          <w:rFonts w:hint="cs"/>
          <w:bCs/>
          <w:u w:val="single"/>
          <w:rtl/>
        </w:rPr>
        <w:t>26</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 والعشرون</w:t>
      </w:r>
      <w:r w:rsidRPr="00A52585">
        <w:rPr>
          <w:rFonts w:hint="cs"/>
          <w:bCs/>
          <w:rtl/>
        </w:rPr>
        <w:t>]</w:t>
      </w:r>
      <w:r w:rsidRPr="00A52585">
        <w:rPr>
          <w:rFonts w:hint="cs"/>
          <w:rtl/>
        </w:rPr>
        <w:t>:</w:t>
      </w:r>
      <w:r w:rsidR="00777DCB" w:rsidRPr="00A52585">
        <w:rPr>
          <w:rFonts w:hint="cs"/>
          <w:rtl/>
        </w:rPr>
        <w:t xml:space="preserve"> روى أحمد في مسنده </w:t>
      </w:r>
      <w:r w:rsidRPr="00A52585">
        <w:rPr>
          <w:rFonts w:hint="cs"/>
          <w:rtl/>
        </w:rPr>
        <w:t>(</w:t>
      </w:r>
      <w:r w:rsidR="00777DCB" w:rsidRPr="00A52585">
        <w:rPr>
          <w:rFonts w:hint="cs"/>
          <w:rtl/>
        </w:rPr>
        <w:t>3 / 125</w:t>
      </w:r>
      <w:r w:rsidRPr="00A52585">
        <w:rPr>
          <w:rFonts w:hint="cs"/>
          <w:rtl/>
        </w:rPr>
        <w:t>)</w:t>
      </w:r>
      <w:r w:rsidR="00777DCB" w:rsidRPr="00A52585">
        <w:rPr>
          <w:rFonts w:hint="cs"/>
          <w:rtl/>
        </w:rPr>
        <w:t xml:space="preserve"> من حديث أنس - رضي الله عنه - عن النبي صلى الله عليه وسلم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فلما تجلى ربه للجبل</w:t>
      </w:r>
      <w:r w:rsidRPr="00A52585">
        <w:rPr>
          <w:rFonts w:hint="cs"/>
          <w:rtl/>
        </w:rPr>
        <w:t>)</w:t>
      </w:r>
      <w:r w:rsidR="00777DCB" w:rsidRPr="00A52585">
        <w:rPr>
          <w:rFonts w:hint="cs"/>
          <w:rtl/>
        </w:rPr>
        <w:t xml:space="preserve"> الاعراف</w:t>
      </w:r>
      <w:r w:rsidRPr="00A52585">
        <w:rPr>
          <w:rFonts w:hint="cs"/>
          <w:rtl/>
        </w:rPr>
        <w:t>:</w:t>
      </w:r>
      <w:r w:rsidR="00777DCB" w:rsidRPr="00A52585">
        <w:rPr>
          <w:rFonts w:hint="cs"/>
          <w:rtl/>
        </w:rPr>
        <w:t xml:space="preserve"> 143</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قال هكذا</w:t>
      </w:r>
      <w:r w:rsidR="00DB731D" w:rsidRPr="00A52585">
        <w:rPr>
          <w:rFonts w:hint="cs"/>
          <w:rtl/>
        </w:rPr>
        <w:t>،</w:t>
      </w:r>
      <w:r w:rsidR="00777DCB" w:rsidRPr="00A52585">
        <w:rPr>
          <w:rFonts w:hint="cs"/>
          <w:rtl/>
        </w:rPr>
        <w:t xml:space="preserve"> يعني أنه أخرج طرف الخنصر</w:t>
      </w:r>
      <w:r w:rsidR="00DB731D" w:rsidRPr="00A52585">
        <w:rPr>
          <w:rFonts w:hint="cs"/>
          <w:rtl/>
        </w:rPr>
        <w:t>،</w:t>
      </w:r>
      <w:r w:rsidR="00777DCB" w:rsidRPr="00A52585">
        <w:rPr>
          <w:rFonts w:hint="cs"/>
          <w:rtl/>
        </w:rPr>
        <w:t xml:space="preserve"> فقال حميد الطويل لثابت</w:t>
      </w:r>
      <w:r w:rsidRPr="00A52585">
        <w:rPr>
          <w:rFonts w:hint="cs"/>
          <w:rtl/>
        </w:rPr>
        <w:t>:</w:t>
      </w:r>
      <w:r w:rsidR="00777DCB" w:rsidRPr="00A52585">
        <w:rPr>
          <w:rFonts w:hint="cs"/>
          <w:rtl/>
        </w:rPr>
        <w:t xml:space="preserve"> ما تريد إلى هذا يا أبا محمد</w:t>
      </w:r>
      <w:r w:rsidR="00DB731D" w:rsidRPr="00A52585">
        <w:rPr>
          <w:rFonts w:hint="cs"/>
          <w:rtl/>
        </w:rPr>
        <w:t>،</w:t>
      </w:r>
      <w:r w:rsidR="00777DCB" w:rsidRPr="00A52585">
        <w:rPr>
          <w:rFonts w:hint="cs"/>
          <w:rtl/>
        </w:rPr>
        <w:t xml:space="preserve"> قال فضرب صدره ضربة شديدة</w:t>
      </w:r>
      <w:r w:rsidR="00897A24"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من أنت يا حميد</w:t>
      </w:r>
      <w:r w:rsidR="00DB731D" w:rsidRPr="00A52585">
        <w:rPr>
          <w:rFonts w:hint="cs"/>
          <w:rtl/>
        </w:rPr>
        <w:t>،</w:t>
      </w:r>
      <w:r w:rsidR="00777DCB" w:rsidRPr="00A52585">
        <w:rPr>
          <w:rFonts w:hint="cs"/>
          <w:rtl/>
        </w:rPr>
        <w:t xml:space="preserve"> وما أنت يا حميد</w:t>
      </w:r>
      <w:r w:rsidR="00DB731D" w:rsidRPr="00A52585">
        <w:rPr>
          <w:rFonts w:hint="cs"/>
          <w:rtl/>
        </w:rPr>
        <w:t>،</w:t>
      </w:r>
      <w:r w:rsidR="00777DCB" w:rsidRPr="00A52585">
        <w:rPr>
          <w:rFonts w:hint="cs"/>
          <w:rtl/>
        </w:rPr>
        <w:t xml:space="preserve"> فحدثني به أنس بن مالك عن النبي صلى الله عليه وسلم</w:t>
      </w:r>
      <w:r w:rsidR="00DB731D" w:rsidRPr="00A52585">
        <w:rPr>
          <w:rFonts w:hint="cs"/>
          <w:rtl/>
        </w:rPr>
        <w:t>،</w:t>
      </w:r>
      <w:r w:rsidR="00777DCB" w:rsidRPr="00A52585">
        <w:rPr>
          <w:rFonts w:hint="cs"/>
          <w:rtl/>
        </w:rPr>
        <w:t xml:space="preserve"> وفي لفظ</w:t>
      </w:r>
      <w:r w:rsidRPr="00A52585">
        <w:rPr>
          <w:rFonts w:hint="cs"/>
          <w:rtl/>
        </w:rPr>
        <w:t>:</w:t>
      </w:r>
      <w:r w:rsidR="00777DCB" w:rsidRPr="00A52585">
        <w:rPr>
          <w:rFonts w:hint="cs"/>
          <w:rtl/>
        </w:rPr>
        <w:t xml:space="preserve"> " فأومأ بخنصره فساخ الجبل وخر موسى صعقا </w:t>
      </w:r>
      <w:r w:rsidR="00777DCB" w:rsidRPr="00A52585">
        <w:rPr>
          <w:rFonts w:hint="cs"/>
          <w:rtl/>
        </w:rPr>
        <w:lastRenderedPageBreak/>
        <w:t>"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رواه الترمذي في سننه </w:t>
      </w:r>
      <w:r w:rsidRPr="00A52585">
        <w:rPr>
          <w:rFonts w:hint="cs"/>
          <w:sz w:val="24"/>
          <w:szCs w:val="24"/>
          <w:rtl/>
        </w:rPr>
        <w:t>(</w:t>
      </w:r>
      <w:r w:rsidR="00777DCB" w:rsidRPr="00A52585">
        <w:rPr>
          <w:rFonts w:hint="cs"/>
          <w:sz w:val="24"/>
          <w:szCs w:val="24"/>
          <w:rtl/>
        </w:rPr>
        <w:t>5 / 265 برقم 3074</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حديث حسن غريب صحيح لا نعرفه إلا من حديث حماد بن سلمة</w:t>
      </w:r>
      <w:r w:rsidR="00897A24"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وأظن أن لفظة " صحيح " لم يقلها الترمذي وإنما هي زيادة من ناسخ</w:t>
      </w:r>
      <w:r w:rsidR="00DB731D" w:rsidRPr="00A52585">
        <w:rPr>
          <w:rFonts w:hint="cs"/>
          <w:sz w:val="24"/>
          <w:szCs w:val="24"/>
          <w:rtl/>
        </w:rPr>
        <w:t>،</w:t>
      </w:r>
      <w:r w:rsidR="00777DCB" w:rsidRPr="00A52585">
        <w:rPr>
          <w:rFonts w:hint="cs"/>
          <w:sz w:val="24"/>
          <w:szCs w:val="24"/>
          <w:rtl/>
        </w:rPr>
        <w:t xml:space="preserve"> أو أنه قال</w:t>
      </w:r>
      <w:r w:rsidRPr="00A52585">
        <w:rPr>
          <w:rFonts w:hint="cs"/>
          <w:sz w:val="24"/>
          <w:szCs w:val="24"/>
          <w:rtl/>
        </w:rPr>
        <w:t>:</w:t>
      </w:r>
      <w:r w:rsidR="00777DCB" w:rsidRPr="00A52585">
        <w:rPr>
          <w:rFonts w:hint="cs"/>
          <w:sz w:val="24"/>
          <w:szCs w:val="24"/>
          <w:rtl/>
        </w:rPr>
        <w:t xml:space="preserve"> " حسن صحيح غريب " ثم رجعت إلى " تحفة الاشراف " للمزي </w:t>
      </w:r>
      <w:r w:rsidRPr="00A52585">
        <w:rPr>
          <w:rFonts w:hint="cs"/>
          <w:sz w:val="24"/>
          <w:szCs w:val="24"/>
          <w:rtl/>
        </w:rPr>
        <w:t>(</w:t>
      </w:r>
      <w:r w:rsidR="00777DCB" w:rsidRPr="00A52585">
        <w:rPr>
          <w:rFonts w:hint="cs"/>
          <w:sz w:val="24"/>
          <w:szCs w:val="24"/>
          <w:rtl/>
        </w:rPr>
        <w:t>1 / 129</w:t>
      </w:r>
      <w:r w:rsidRPr="00A52585">
        <w:rPr>
          <w:rFonts w:hint="cs"/>
          <w:sz w:val="24"/>
          <w:szCs w:val="24"/>
          <w:rtl/>
        </w:rPr>
        <w:t>)</w:t>
      </w:r>
      <w:r w:rsidR="00777DCB" w:rsidRPr="00A52585">
        <w:rPr>
          <w:rFonts w:hint="cs"/>
          <w:sz w:val="24"/>
          <w:szCs w:val="24"/>
          <w:rtl/>
        </w:rPr>
        <w:t xml:space="preserve"> فوجدتها هناك</w:t>
      </w:r>
      <w:r w:rsidRPr="00A52585">
        <w:rPr>
          <w:rFonts w:hint="cs"/>
          <w:sz w:val="24"/>
          <w:szCs w:val="24"/>
          <w:rtl/>
        </w:rPr>
        <w:t>:</w:t>
      </w:r>
      <w:r w:rsidR="00777DCB" w:rsidRPr="00A52585">
        <w:rPr>
          <w:rFonts w:hint="cs"/>
          <w:sz w:val="24"/>
          <w:szCs w:val="24"/>
          <w:rtl/>
        </w:rPr>
        <w:t xml:space="preserve"> " حسن صحيح غريب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تقدم في هذه الحواشي أن الحافظ الذهبي قال في شأن حماد هذا في " سير أعلام النبلاء " </w:t>
      </w:r>
      <w:r w:rsidRPr="00A52585">
        <w:rPr>
          <w:rFonts w:hint="cs"/>
          <w:sz w:val="24"/>
          <w:szCs w:val="24"/>
          <w:rtl/>
        </w:rPr>
        <w:t>(</w:t>
      </w:r>
      <w:r w:rsidR="00777DCB" w:rsidRPr="00A52585">
        <w:rPr>
          <w:rFonts w:hint="cs"/>
          <w:sz w:val="24"/>
          <w:szCs w:val="24"/>
          <w:rtl/>
        </w:rPr>
        <w:t>7 / 452</w:t>
      </w:r>
      <w:r w:rsidRPr="00A52585">
        <w:rPr>
          <w:rFonts w:hint="cs"/>
          <w:sz w:val="24"/>
          <w:szCs w:val="24"/>
          <w:rtl/>
        </w:rPr>
        <w:t>):</w:t>
      </w:r>
      <w:r w:rsidR="00777DCB" w:rsidRPr="00A52585">
        <w:rPr>
          <w:rFonts w:hint="cs"/>
          <w:sz w:val="24"/>
          <w:szCs w:val="24"/>
          <w:rtl/>
        </w:rPr>
        <w:t xml:space="preserve"> " فالاحتياط أن لا يحتج به فيما يخالف الثقات</w:t>
      </w:r>
      <w:r w:rsidR="00DB731D" w:rsidRPr="00A52585">
        <w:rPr>
          <w:rFonts w:hint="cs"/>
          <w:sz w:val="24"/>
          <w:szCs w:val="24"/>
          <w:rtl/>
        </w:rPr>
        <w:t>،</w:t>
      </w:r>
      <w:r w:rsidR="00777DCB" w:rsidRPr="00A52585">
        <w:rPr>
          <w:rFonts w:hint="cs"/>
          <w:sz w:val="24"/>
          <w:szCs w:val="24"/>
          <w:rtl/>
        </w:rPr>
        <w:t xml:space="preserve"> وهذا الحديث من جملتها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وثابت قد تغير بأخرة]</w:t>
      </w:r>
      <w:r w:rsidR="00DB731D" w:rsidRPr="00A52585">
        <w:rPr>
          <w:rFonts w:hint="cs"/>
          <w:rtl/>
        </w:rPr>
        <w:t>،</w:t>
      </w:r>
      <w:r w:rsidRPr="00A52585">
        <w:rPr>
          <w:rFonts w:hint="cs"/>
          <w:rtl/>
        </w:rPr>
        <w:t xml:space="preserve"> </w:t>
      </w:r>
      <w:r w:rsidR="00777DCB" w:rsidRPr="00A52585">
        <w:rPr>
          <w:rFonts w:hint="cs"/>
          <w:rtl/>
        </w:rPr>
        <w:t>وروى ابن حامد</w:t>
      </w:r>
      <w:r w:rsidRPr="00A52585">
        <w:rPr>
          <w:rFonts w:hint="cs"/>
          <w:rtl/>
        </w:rPr>
        <w:t>:</w:t>
      </w:r>
      <w:r w:rsidR="00777DCB" w:rsidRPr="00A52585">
        <w:rPr>
          <w:rFonts w:hint="cs"/>
          <w:rtl/>
        </w:rPr>
        <w:t xml:space="preserve"> " فلما تجلى ربه للجبل " قال</w:t>
      </w:r>
      <w:r w:rsidRPr="00A52585">
        <w:rPr>
          <w:rFonts w:hint="cs"/>
          <w:rtl/>
        </w:rPr>
        <w:t>:</w:t>
      </w:r>
      <w:r w:rsidR="00777DCB" w:rsidRPr="00A52585">
        <w:rPr>
          <w:rFonts w:hint="cs"/>
          <w:rtl/>
        </w:rPr>
        <w:t xml:space="preserve"> خرج منه أول مفصل من خنصره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تكلم فيه علماء الحديث وقالوا</w:t>
      </w:r>
      <w:r w:rsidRPr="00A52585">
        <w:rPr>
          <w:rFonts w:hint="cs"/>
          <w:rtl/>
        </w:rPr>
        <w:t>:</w:t>
      </w:r>
      <w:r w:rsidR="00777DCB" w:rsidRPr="00A52585">
        <w:rPr>
          <w:rFonts w:hint="cs"/>
          <w:rtl/>
        </w:rPr>
        <w:t xml:space="preserve"> لم يروه عن ثابت غير حماد بن سلمة وكان ابن أبي العوجاء الزنديق قد أدخل على حماد أشياء</w:t>
      </w:r>
      <w:r w:rsidR="00DB731D" w:rsidRPr="00A52585">
        <w:rPr>
          <w:rFonts w:hint="cs"/>
          <w:rtl/>
        </w:rPr>
        <w:t>،</w:t>
      </w:r>
      <w:r w:rsidR="00777DCB" w:rsidRPr="00A52585">
        <w:rPr>
          <w:rFonts w:hint="cs"/>
          <w:rtl/>
        </w:rPr>
        <w:t xml:space="preserve"> فرواها في آخر عمره ولذلك تجافى أصحاب الصحيح الاخراج عنه</w:t>
      </w:r>
      <w:r w:rsidR="00DB731D" w:rsidRPr="00A52585">
        <w:rPr>
          <w:rFonts w:hint="cs"/>
          <w:rtl/>
        </w:rPr>
        <w:t>،</w:t>
      </w:r>
      <w:r w:rsidR="00777DCB" w:rsidRPr="00A52585">
        <w:rPr>
          <w:rFonts w:hint="cs"/>
          <w:rtl/>
        </w:rPr>
        <w:t xml:space="preserve"> ومخرج الحديث سهل</w:t>
      </w:r>
      <w:r w:rsidR="00DB731D" w:rsidRPr="00A52585">
        <w:rPr>
          <w:rFonts w:hint="cs"/>
          <w:rtl/>
        </w:rPr>
        <w:t>،</w:t>
      </w:r>
      <w:r w:rsidR="00777DCB" w:rsidRPr="00A52585">
        <w:rPr>
          <w:rFonts w:hint="cs"/>
          <w:rtl/>
        </w:rPr>
        <w:t xml:space="preserve"> وذلك أن النبي صلى الله عليه وسلم كان يقرب إلى الافهام بذكر </w:t>
      </w:r>
      <w:proofErr w:type="spellStart"/>
      <w:r w:rsidR="00777DCB" w:rsidRPr="00A52585">
        <w:rPr>
          <w:rFonts w:hint="cs"/>
          <w:rtl/>
        </w:rPr>
        <w:t>الحسيات</w:t>
      </w:r>
      <w:proofErr w:type="spellEnd"/>
      <w:r w:rsidR="00DB731D" w:rsidRPr="00A52585">
        <w:rPr>
          <w:rFonts w:hint="cs"/>
          <w:rtl/>
        </w:rPr>
        <w:t>،</w:t>
      </w:r>
      <w:r w:rsidR="00777DCB" w:rsidRPr="00A52585">
        <w:rPr>
          <w:rFonts w:hint="cs"/>
          <w:rtl/>
        </w:rPr>
        <w:t xml:space="preserve"> فوضع يده على خنصره إشارة إلى أن الله تعالى أظهر اليسير من آياته</w:t>
      </w:r>
      <w:r w:rsidR="00DB731D" w:rsidRPr="00A52585">
        <w:rPr>
          <w:rFonts w:hint="cs"/>
          <w:rtl/>
        </w:rPr>
        <w:t>،</w:t>
      </w:r>
      <w:r w:rsidR="00777DCB" w:rsidRPr="00A52585">
        <w:rPr>
          <w:rFonts w:hint="cs"/>
          <w:rtl/>
        </w:rPr>
        <w:t xml:space="preserve"> قال ابن عقيل</w:t>
      </w:r>
      <w:r w:rsidRPr="00A52585">
        <w:rPr>
          <w:rFonts w:hint="cs"/>
          <w:rtl/>
        </w:rPr>
        <w:t>:</w:t>
      </w:r>
      <w:r w:rsidR="00777DCB" w:rsidRPr="00A52585">
        <w:rPr>
          <w:rFonts w:hint="cs"/>
          <w:rtl/>
        </w:rPr>
        <w:t xml:space="preserve"> كشف من أنواره التي يملكها بقدر طرف الخنصر وهذا تقدير لنا بحسب ما نفهم من القلة لا نحكم أنه يتقدر</w:t>
      </w:r>
      <w:r w:rsidR="00897A24" w:rsidRPr="00A52585">
        <w:rPr>
          <w:rFonts w:hint="cs"/>
          <w:rtl/>
        </w:rPr>
        <w:t>.</w:t>
      </w:r>
      <w:r w:rsidR="00777DCB" w:rsidRPr="00A52585">
        <w:rPr>
          <w:rFonts w:hint="cs"/>
          <w:rtl/>
        </w:rPr>
        <w:t xml:space="preserve"> فان قيل</w:t>
      </w:r>
      <w:r w:rsidRPr="00A52585">
        <w:rPr>
          <w:rFonts w:hint="cs"/>
          <w:rtl/>
        </w:rPr>
        <w:t>:</w:t>
      </w:r>
      <w:r w:rsidR="00777DCB" w:rsidRPr="00A52585">
        <w:rPr>
          <w:rFonts w:hint="cs"/>
          <w:rtl/>
        </w:rPr>
        <w:t xml:space="preserve"> كيف أنكر حميد على ثابت</w:t>
      </w:r>
      <w:r w:rsidR="00F95886"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يحتمل أن يكون توهم أن هذا يرجع إلى الصفات</w:t>
      </w:r>
      <w:r w:rsidR="00DB731D" w:rsidRPr="00A52585">
        <w:rPr>
          <w:rFonts w:hint="cs"/>
          <w:rtl/>
        </w:rPr>
        <w:t>،</w:t>
      </w:r>
      <w:r w:rsidR="00777DCB" w:rsidRPr="00A52585">
        <w:rPr>
          <w:rFonts w:hint="cs"/>
          <w:rtl/>
        </w:rPr>
        <w:t xml:space="preserve"> وقد أثبت القاضي أبو يعلى</w:t>
      </w:r>
      <w:r w:rsidRPr="00A52585">
        <w:rPr>
          <w:rFonts w:hint="cs"/>
          <w:rtl/>
        </w:rPr>
        <w:t xml:space="preserve"> </w:t>
      </w:r>
      <w:r w:rsidR="00777DCB" w:rsidRPr="00A52585">
        <w:rPr>
          <w:rFonts w:hint="cs"/>
          <w:rtl/>
        </w:rPr>
        <w:t>لله سبحانه خنصرا بهذا الحديث المعلول</w:t>
      </w:r>
      <w:r w:rsidR="00DB731D" w:rsidRPr="00A52585">
        <w:rPr>
          <w:rFonts w:hint="cs"/>
          <w:rtl/>
        </w:rPr>
        <w:t>،</w:t>
      </w:r>
      <w:r w:rsidR="00777DCB" w:rsidRPr="00A52585">
        <w:rPr>
          <w:rFonts w:hint="cs"/>
          <w:rtl/>
        </w:rPr>
        <w:t xml:space="preserve"> </w:t>
      </w:r>
    </w:p>
    <w:p w14:paraId="005B0AF8" w14:textId="3473F9F7" w:rsidR="00777DCB" w:rsidRPr="00A52585" w:rsidRDefault="0002035C" w:rsidP="0002035C">
      <w:pPr>
        <w:rPr>
          <w:b/>
          <w:rtl/>
        </w:rPr>
      </w:pPr>
      <w:r w:rsidRPr="00A52585">
        <w:rPr>
          <w:rFonts w:hint="cs"/>
          <w:bCs/>
          <w:u w:val="single"/>
          <w:rtl/>
        </w:rPr>
        <w:t>[</w:t>
      </w:r>
      <w:r w:rsidR="00777DCB" w:rsidRPr="00A52585">
        <w:rPr>
          <w:rFonts w:hint="cs"/>
          <w:bCs/>
          <w:u w:val="single"/>
          <w:rtl/>
        </w:rPr>
        <w:t>27</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 والعشرون</w:t>
      </w:r>
      <w:r w:rsidRPr="00A52585">
        <w:rPr>
          <w:rFonts w:hint="cs"/>
          <w:bCs/>
          <w:rtl/>
        </w:rPr>
        <w:t>]:</w:t>
      </w:r>
      <w:r w:rsidR="00777DCB" w:rsidRPr="00A52585">
        <w:rPr>
          <w:rFonts w:hint="cs"/>
          <w:rtl/>
        </w:rPr>
        <w:t xml:space="preserve"> روى القاضي أبو يعلى</w:t>
      </w:r>
      <w:r w:rsidRPr="00A52585">
        <w:rPr>
          <w:rFonts w:hint="cs"/>
          <w:rtl/>
        </w:rPr>
        <w:t xml:space="preserve"> </w:t>
      </w:r>
      <w:r w:rsidR="00777DCB" w:rsidRPr="00A52585">
        <w:rPr>
          <w:rFonts w:hint="cs"/>
          <w:rtl/>
        </w:rPr>
        <w:t>عن عكرمة أنه قال</w:t>
      </w:r>
      <w:r w:rsidRPr="00A52585">
        <w:rPr>
          <w:rFonts w:hint="cs"/>
          <w:rtl/>
        </w:rPr>
        <w:t>:</w:t>
      </w:r>
      <w:r w:rsidR="00777DCB" w:rsidRPr="00A52585">
        <w:rPr>
          <w:rFonts w:hint="cs"/>
          <w:rtl/>
        </w:rPr>
        <w:t xml:space="preserve"> " إذا أراد الله عز وجل أن يخوف عباده أبدى عن بعضه إلى الارض فعند ذلك تتزلزل</w:t>
      </w:r>
      <w:r w:rsidR="00DB731D" w:rsidRPr="00A52585">
        <w:rPr>
          <w:rFonts w:hint="cs"/>
          <w:rtl/>
        </w:rPr>
        <w:t>،</w:t>
      </w:r>
      <w:r w:rsidR="00777DCB" w:rsidRPr="00A52585">
        <w:rPr>
          <w:rFonts w:hint="cs"/>
          <w:rtl/>
        </w:rPr>
        <w:t xml:space="preserve"> وإذا أراد أن يدمدم على قوم تجلى لها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الاثر رواه الديلمي عن ابن عباس</w:t>
      </w:r>
      <w:r w:rsidR="00DB731D" w:rsidRPr="00A52585">
        <w:rPr>
          <w:rFonts w:hint="cs"/>
          <w:sz w:val="24"/>
          <w:szCs w:val="24"/>
          <w:rtl/>
        </w:rPr>
        <w:t>،</w:t>
      </w:r>
      <w:r w:rsidR="00777DCB" w:rsidRPr="00A52585">
        <w:rPr>
          <w:rFonts w:hint="cs"/>
          <w:sz w:val="24"/>
          <w:szCs w:val="24"/>
          <w:rtl/>
        </w:rPr>
        <w:t xml:space="preserve"> ورواه الطبراني في " السنة " عنه موقوفا نحوه</w:t>
      </w:r>
      <w:r w:rsidR="00DB731D" w:rsidRPr="00A52585">
        <w:rPr>
          <w:rFonts w:hint="cs"/>
          <w:sz w:val="24"/>
          <w:szCs w:val="24"/>
          <w:rtl/>
        </w:rPr>
        <w:t>،</w:t>
      </w:r>
      <w:r w:rsidR="00777DCB" w:rsidRPr="00A52585">
        <w:rPr>
          <w:rFonts w:hint="cs"/>
          <w:sz w:val="24"/>
          <w:szCs w:val="24"/>
          <w:rtl/>
        </w:rPr>
        <w:t xml:space="preserve"> كما في الجامع الكبير للسيوطي </w:t>
      </w:r>
      <w:r w:rsidRPr="00A52585">
        <w:rPr>
          <w:rFonts w:hint="cs"/>
          <w:sz w:val="24"/>
          <w:szCs w:val="24"/>
          <w:rtl/>
        </w:rPr>
        <w:t>(</w:t>
      </w:r>
      <w:r w:rsidR="00777DCB" w:rsidRPr="00A52585">
        <w:rPr>
          <w:rFonts w:hint="cs"/>
          <w:sz w:val="24"/>
          <w:szCs w:val="24"/>
          <w:rtl/>
        </w:rPr>
        <w:t xml:space="preserve">جامع </w:t>
      </w:r>
      <w:proofErr w:type="gramStart"/>
      <w:r w:rsidR="00777DCB" w:rsidRPr="00A52585">
        <w:rPr>
          <w:rFonts w:hint="cs"/>
          <w:sz w:val="24"/>
          <w:szCs w:val="24"/>
          <w:rtl/>
        </w:rPr>
        <w:t>الاحاديث</w:t>
      </w:r>
      <w:proofErr w:type="gramEnd"/>
      <w:r w:rsidR="00777DCB" w:rsidRPr="00A52585">
        <w:rPr>
          <w:rFonts w:hint="cs"/>
          <w:sz w:val="24"/>
          <w:szCs w:val="24"/>
          <w:rtl/>
        </w:rPr>
        <w:t xml:space="preserve"> 1 / 387</w:t>
      </w:r>
      <w:r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وهو أثر منكر جدا ولا يثبت بمثله حكم في الوضوء فضلا عن العقائد فقبح الله من يستدل لعقيدته بمثل هذه الطامات]،</w:t>
      </w:r>
      <w:r w:rsidR="00777DCB" w:rsidRPr="00A52585">
        <w:rPr>
          <w:rFonts w:hint="cs"/>
          <w:rtl/>
        </w:rPr>
        <w:t xml:space="preserve"> قال القاضي أبو يعلى</w:t>
      </w:r>
      <w:r w:rsidRPr="00A52585">
        <w:rPr>
          <w:rFonts w:hint="cs"/>
          <w:rtl/>
        </w:rPr>
        <w:t>:</w:t>
      </w:r>
      <w:r w:rsidR="00777DCB" w:rsidRPr="00A52585">
        <w:rPr>
          <w:rFonts w:hint="cs"/>
          <w:rtl/>
        </w:rPr>
        <w:t xml:space="preserve"> أبدى عن بعضه</w:t>
      </w:r>
      <w:r w:rsidR="00DB731D" w:rsidRPr="00A52585">
        <w:rPr>
          <w:rFonts w:hint="cs"/>
          <w:rtl/>
        </w:rPr>
        <w:t>،</w:t>
      </w:r>
      <w:r w:rsidR="00777DCB" w:rsidRPr="00A52585">
        <w:rPr>
          <w:rFonts w:hint="cs"/>
          <w:rtl/>
        </w:rPr>
        <w:t xml:space="preserve"> هو على ظاهره</w:t>
      </w:r>
      <w:r w:rsidR="00DB731D" w:rsidRPr="00A52585">
        <w:rPr>
          <w:rFonts w:hint="cs"/>
          <w:rtl/>
        </w:rPr>
        <w:t>،</w:t>
      </w:r>
      <w:r w:rsidR="00777DCB" w:rsidRPr="00A52585">
        <w:rPr>
          <w:rFonts w:hint="cs"/>
          <w:rtl/>
        </w:rPr>
        <w:t xml:space="preserve"> وهو راجع إلى الذات على وجه لا يفضي إلى التبعيض</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ومن يقول أبدى عن بعض ذاته</w:t>
      </w:r>
      <w:r w:rsidR="00DB731D" w:rsidRPr="00A52585">
        <w:rPr>
          <w:rFonts w:hint="cs"/>
          <w:rtl/>
        </w:rPr>
        <w:t>،</w:t>
      </w:r>
      <w:r w:rsidR="00777DCB" w:rsidRPr="00A52585">
        <w:rPr>
          <w:rFonts w:hint="cs"/>
          <w:rtl/>
        </w:rPr>
        <w:t xml:space="preserve"> وما هو بعض لا يكلم</w:t>
      </w:r>
      <w:r w:rsidR="00897A24" w:rsidRPr="00A52585">
        <w:rPr>
          <w:rFonts w:hint="cs"/>
          <w:rtl/>
        </w:rPr>
        <w:t>.</w:t>
      </w:r>
      <w:r w:rsidR="00777DCB" w:rsidRPr="00A52585">
        <w:rPr>
          <w:rFonts w:hint="cs"/>
          <w:rtl/>
        </w:rPr>
        <w:t xml:space="preserve"> ثم إثبات البعض بكلام تابعي لو صح يخالف إجماع المسلمين فانهم أجمعوا أن الخالق لا يتبعض وإنما المراد أبدى عن آياته</w:t>
      </w:r>
      <w:r w:rsidR="00DB731D" w:rsidRPr="00A52585">
        <w:rPr>
          <w:rFonts w:hint="cs"/>
          <w:rtl/>
        </w:rPr>
        <w:t>،</w:t>
      </w:r>
      <w:r w:rsidR="00777DCB" w:rsidRPr="00A52585">
        <w:rPr>
          <w:rFonts w:hint="cs"/>
          <w:rtl/>
        </w:rPr>
        <w:t xml:space="preserve"> </w:t>
      </w:r>
    </w:p>
    <w:p w14:paraId="3FC07B00" w14:textId="78F24F16" w:rsidR="00777DCB" w:rsidRPr="00A52585" w:rsidRDefault="0002035C" w:rsidP="0002035C">
      <w:pPr>
        <w:rPr>
          <w:b/>
          <w:rtl/>
        </w:rPr>
      </w:pPr>
      <w:r w:rsidRPr="00A52585">
        <w:rPr>
          <w:rFonts w:hint="cs"/>
          <w:bCs/>
          <w:u w:val="single"/>
          <w:rtl/>
        </w:rPr>
        <w:t>[</w:t>
      </w:r>
      <w:r w:rsidR="00777DCB" w:rsidRPr="00A52585">
        <w:rPr>
          <w:rFonts w:hint="cs"/>
          <w:bCs/>
          <w:u w:val="single"/>
          <w:rtl/>
        </w:rPr>
        <w:t>28</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 والعشرون</w:t>
      </w:r>
      <w:r w:rsidRPr="00A52585">
        <w:rPr>
          <w:rFonts w:hint="cs"/>
          <w:bCs/>
          <w:rtl/>
        </w:rPr>
        <w:t>]:</w:t>
      </w:r>
      <w:r w:rsidR="00777DCB" w:rsidRPr="00A52585">
        <w:rPr>
          <w:rFonts w:hint="cs"/>
          <w:bCs/>
          <w:rtl/>
        </w:rPr>
        <w:t xml:space="preserve"> </w:t>
      </w:r>
      <w:r w:rsidR="00777DCB" w:rsidRPr="00A52585">
        <w:rPr>
          <w:rFonts w:hint="cs"/>
          <w:rtl/>
        </w:rPr>
        <w:t>روى أبو الأحوص الجشمي رضي الله عنه عن أبيه</w:t>
      </w:r>
      <w:r w:rsidR="00DB731D" w:rsidRPr="00A52585">
        <w:rPr>
          <w:rFonts w:hint="cs"/>
          <w:rtl/>
        </w:rPr>
        <w:t>،</w:t>
      </w:r>
      <w:r w:rsidR="00777DCB" w:rsidRPr="00A52585">
        <w:rPr>
          <w:rFonts w:hint="cs"/>
          <w:rtl/>
        </w:rPr>
        <w:t xml:space="preserve"> أن رسول الله صلى الله تعليه وسلم قال له</w:t>
      </w:r>
      <w:r w:rsidRPr="00A52585">
        <w:rPr>
          <w:rFonts w:hint="cs"/>
          <w:rtl/>
        </w:rPr>
        <w:t>:</w:t>
      </w:r>
      <w:r w:rsidR="00777DCB" w:rsidRPr="00A52585">
        <w:rPr>
          <w:rFonts w:hint="cs"/>
          <w:rtl/>
        </w:rPr>
        <w:t xml:space="preserve"> لعلك تأخذ موساك فتقطع أذن بعضها فتقول هذه بحر</w:t>
      </w:r>
      <w:r w:rsidR="00DB731D" w:rsidRPr="00A52585">
        <w:rPr>
          <w:rFonts w:hint="cs"/>
          <w:rtl/>
        </w:rPr>
        <w:t>،</w:t>
      </w:r>
      <w:r w:rsidR="00777DCB" w:rsidRPr="00A52585">
        <w:rPr>
          <w:rFonts w:hint="cs"/>
          <w:rtl/>
        </w:rPr>
        <w:t xml:space="preserve"> وتشق الاذن الاخرى وتقول</w:t>
      </w:r>
      <w:r w:rsidRPr="00A52585">
        <w:rPr>
          <w:rFonts w:hint="cs"/>
          <w:rtl/>
        </w:rPr>
        <w:t>:</w:t>
      </w:r>
      <w:r w:rsidR="00777DCB" w:rsidRPr="00A52585">
        <w:rPr>
          <w:rFonts w:hint="cs"/>
          <w:rtl/>
        </w:rPr>
        <w:t xml:space="preserve"> </w:t>
      </w:r>
      <w:proofErr w:type="gramStart"/>
      <w:r w:rsidR="00777DCB" w:rsidRPr="00A52585">
        <w:rPr>
          <w:rFonts w:hint="cs"/>
          <w:rtl/>
        </w:rPr>
        <w:t>حرم</w:t>
      </w:r>
      <w:r w:rsidR="00897A24" w:rsidRPr="00A52585">
        <w:rPr>
          <w:rFonts w:hint="cs"/>
          <w:rtl/>
        </w:rPr>
        <w:t>..</w:t>
      </w:r>
      <w:r w:rsidR="00F95886" w:rsidRPr="00A52585">
        <w:rPr>
          <w:rFonts w:hint="cs"/>
          <w:rtl/>
        </w:rPr>
        <w:t>؟</w:t>
      </w:r>
      <w:proofErr w:type="gramEnd"/>
      <w:r w:rsidR="00777DCB" w:rsidRPr="00A52585">
        <w:rPr>
          <w:rFonts w:hint="cs"/>
          <w:rtl/>
        </w:rPr>
        <w:t xml:space="preserve"> قال</w:t>
      </w:r>
      <w:r w:rsidRPr="00A52585">
        <w:rPr>
          <w:rFonts w:hint="cs"/>
          <w:rtl/>
        </w:rPr>
        <w:t>:</w:t>
      </w:r>
      <w:r w:rsidR="00777DCB" w:rsidRPr="00A52585">
        <w:rPr>
          <w:rFonts w:hint="cs"/>
          <w:rtl/>
        </w:rPr>
        <w:t xml:space="preserve"> نعم</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فلا تفعل فإن موسى الله أحد من موساك</w:t>
      </w:r>
      <w:r w:rsidR="00DB731D" w:rsidRPr="00A52585">
        <w:rPr>
          <w:rFonts w:hint="cs"/>
          <w:rtl/>
        </w:rPr>
        <w:t>،</w:t>
      </w:r>
      <w:r w:rsidR="00777DCB" w:rsidRPr="00A52585">
        <w:rPr>
          <w:rFonts w:hint="cs"/>
          <w:rtl/>
        </w:rPr>
        <w:t xml:space="preserve"> وساعد الله أشد من ساعدك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ونص الحديث هو أن مالك بن النضر والد أبي الاحوص قال</w:t>
      </w:r>
      <w:r w:rsidRPr="00A52585">
        <w:rPr>
          <w:rFonts w:hint="cs"/>
          <w:sz w:val="24"/>
          <w:szCs w:val="24"/>
          <w:rtl/>
        </w:rPr>
        <w:t>:</w:t>
      </w:r>
      <w:r w:rsidR="00777DCB" w:rsidRPr="00A52585">
        <w:rPr>
          <w:rFonts w:hint="cs"/>
          <w:sz w:val="24"/>
          <w:szCs w:val="24"/>
          <w:rtl/>
        </w:rPr>
        <w:t xml:space="preserve"> أتيت رسول الله صلى الله عليه وسلم وأنا قشف الهيئة</w:t>
      </w:r>
      <w:r w:rsidR="00DB731D"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 هل لك من مال</w:t>
      </w:r>
      <w:r w:rsidR="00F95886" w:rsidRPr="00A52585">
        <w:rPr>
          <w:rFonts w:hint="cs"/>
          <w:sz w:val="24"/>
          <w:szCs w:val="24"/>
          <w:rtl/>
        </w:rPr>
        <w:t>؟</w:t>
      </w:r>
      <w:r w:rsidR="00777DCB" w:rsidRPr="00A52585">
        <w:rPr>
          <w:rFonts w:hint="cs"/>
          <w:sz w:val="24"/>
          <w:szCs w:val="24"/>
          <w:rtl/>
        </w:rPr>
        <w:t xml:space="preserve"> "</w:t>
      </w:r>
      <w:r w:rsidR="00897A24"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نعم</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من أي المال</w:t>
      </w:r>
      <w:r w:rsidR="00F95886" w:rsidRPr="00A52585">
        <w:rPr>
          <w:rFonts w:hint="cs"/>
          <w:sz w:val="24"/>
          <w:szCs w:val="24"/>
          <w:rtl/>
        </w:rPr>
        <w:t>؟</w:t>
      </w:r>
      <w:r w:rsidR="00777DCB" w:rsidRPr="00A52585">
        <w:rPr>
          <w:rFonts w:hint="cs"/>
          <w:sz w:val="24"/>
          <w:szCs w:val="24"/>
          <w:rtl/>
        </w:rPr>
        <w:t xml:space="preserve"> " قلت</w:t>
      </w:r>
      <w:r w:rsidRPr="00A52585">
        <w:rPr>
          <w:rFonts w:hint="cs"/>
          <w:sz w:val="24"/>
          <w:szCs w:val="24"/>
          <w:rtl/>
        </w:rPr>
        <w:t>:</w:t>
      </w:r>
      <w:r w:rsidR="00777DCB" w:rsidRPr="00A52585">
        <w:rPr>
          <w:rFonts w:hint="cs"/>
          <w:sz w:val="24"/>
          <w:szCs w:val="24"/>
          <w:rtl/>
        </w:rPr>
        <w:t xml:space="preserve"> من كل من </w:t>
      </w:r>
      <w:proofErr w:type="gramStart"/>
      <w:r w:rsidR="00777DCB" w:rsidRPr="00A52585">
        <w:rPr>
          <w:rFonts w:hint="cs"/>
          <w:sz w:val="24"/>
          <w:szCs w:val="24"/>
          <w:rtl/>
        </w:rPr>
        <w:t>الابل</w:t>
      </w:r>
      <w:proofErr w:type="gramEnd"/>
      <w:r w:rsidR="00777DCB" w:rsidRPr="00A52585">
        <w:rPr>
          <w:rFonts w:hint="cs"/>
          <w:sz w:val="24"/>
          <w:szCs w:val="24"/>
          <w:rtl/>
        </w:rPr>
        <w:t xml:space="preserve"> والخيل </w:t>
      </w:r>
      <w:r w:rsidR="00777DCB" w:rsidRPr="00A52585">
        <w:rPr>
          <w:rFonts w:hint="cs"/>
          <w:sz w:val="24"/>
          <w:szCs w:val="24"/>
          <w:rtl/>
        </w:rPr>
        <w:lastRenderedPageBreak/>
        <w:t>والرقيق والغنم</w:t>
      </w:r>
      <w:r w:rsidR="00897A24"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فإذا آتاك الله مالا فلير عليك " وقال</w:t>
      </w:r>
      <w:r w:rsidRPr="00A52585">
        <w:rPr>
          <w:rFonts w:hint="cs"/>
          <w:sz w:val="24"/>
          <w:szCs w:val="24"/>
          <w:rtl/>
        </w:rPr>
        <w:t>:</w:t>
      </w:r>
      <w:r w:rsidR="00777DCB" w:rsidRPr="00A52585">
        <w:rPr>
          <w:rFonts w:hint="cs"/>
          <w:sz w:val="24"/>
          <w:szCs w:val="24"/>
          <w:rtl/>
        </w:rPr>
        <w:t xml:space="preserve"> " هل تنتج إبل قومك صحاحا آذانها فتعمد إلى الموسى فتقطع آذانها وتقول هي بحر - أي بحيرة - وتشقها أو تشق جلودها وتقول هي حرم</w:t>
      </w:r>
      <w:r w:rsidR="00DB731D" w:rsidRPr="00A52585">
        <w:rPr>
          <w:rFonts w:hint="cs"/>
          <w:sz w:val="24"/>
          <w:szCs w:val="24"/>
          <w:rtl/>
        </w:rPr>
        <w:t>،</w:t>
      </w:r>
      <w:r w:rsidR="00777DCB" w:rsidRPr="00A52585">
        <w:rPr>
          <w:rFonts w:hint="cs"/>
          <w:sz w:val="24"/>
          <w:szCs w:val="24"/>
          <w:rtl/>
        </w:rPr>
        <w:t xml:space="preserve"> فتحرمها عليك وعلى أهلك</w:t>
      </w:r>
      <w:r w:rsidR="00F95886" w:rsidRPr="00A52585">
        <w:rPr>
          <w:rFonts w:hint="cs"/>
          <w:sz w:val="24"/>
          <w:szCs w:val="24"/>
          <w:rtl/>
        </w:rPr>
        <w:t>؟</w:t>
      </w:r>
      <w:r w:rsidR="00777DCB" w:rsidRPr="00A52585">
        <w:rPr>
          <w:rFonts w:hint="cs"/>
          <w:sz w:val="24"/>
          <w:szCs w:val="24"/>
          <w:rtl/>
        </w:rPr>
        <w:t xml:space="preserve"> " قال</w:t>
      </w:r>
      <w:r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نعم</w:t>
      </w:r>
      <w:r w:rsidR="00897A24"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فكل ما آتاك الله لك حل</w:t>
      </w:r>
      <w:r w:rsidR="00DB731D" w:rsidRPr="00A52585">
        <w:rPr>
          <w:rFonts w:hint="cs"/>
          <w:sz w:val="24"/>
          <w:szCs w:val="24"/>
          <w:rtl/>
        </w:rPr>
        <w:t>،</w:t>
      </w:r>
      <w:r w:rsidR="00777DCB" w:rsidRPr="00A52585">
        <w:rPr>
          <w:rFonts w:hint="cs"/>
          <w:sz w:val="24"/>
          <w:szCs w:val="24"/>
          <w:rtl/>
        </w:rPr>
        <w:t xml:space="preserve"> وساعد الله أشد من ساعدك وموسى الله أحد من موساك "</w:t>
      </w:r>
      <w:r w:rsidR="00DB731D" w:rsidRPr="00A52585">
        <w:rPr>
          <w:rFonts w:hint="cs"/>
          <w:sz w:val="24"/>
          <w:szCs w:val="24"/>
          <w:rtl/>
        </w:rPr>
        <w:t>،</w:t>
      </w:r>
      <w:r w:rsidR="00777DCB" w:rsidRPr="00A52585">
        <w:rPr>
          <w:rFonts w:hint="cs"/>
          <w:sz w:val="24"/>
          <w:szCs w:val="24"/>
          <w:rtl/>
        </w:rPr>
        <w:t xml:space="preserve"> وهذا حديث إسناده صحيح رواه الامام أحمد في مسنده </w:t>
      </w:r>
      <w:r w:rsidRPr="00A52585">
        <w:rPr>
          <w:rFonts w:hint="cs"/>
          <w:sz w:val="24"/>
          <w:szCs w:val="24"/>
          <w:rtl/>
        </w:rPr>
        <w:t>(</w:t>
      </w:r>
      <w:r w:rsidR="00777DCB" w:rsidRPr="00A52585">
        <w:rPr>
          <w:rFonts w:hint="cs"/>
          <w:sz w:val="24"/>
          <w:szCs w:val="24"/>
          <w:rtl/>
        </w:rPr>
        <w:t>3 / 473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والحميدي </w:t>
      </w:r>
      <w:r w:rsidRPr="00A52585">
        <w:rPr>
          <w:rFonts w:hint="cs"/>
          <w:sz w:val="24"/>
          <w:szCs w:val="24"/>
          <w:rtl/>
        </w:rPr>
        <w:t>(</w:t>
      </w:r>
      <w:r w:rsidR="00777DCB" w:rsidRPr="00A52585">
        <w:rPr>
          <w:rFonts w:hint="cs"/>
          <w:sz w:val="24"/>
          <w:szCs w:val="24"/>
          <w:rtl/>
        </w:rPr>
        <w:t>883</w:t>
      </w:r>
      <w:r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19 / 282</w:t>
      </w:r>
      <w:r w:rsidRPr="00A52585">
        <w:rPr>
          <w:rFonts w:hint="cs"/>
          <w:sz w:val="24"/>
          <w:szCs w:val="24"/>
          <w:rtl/>
        </w:rPr>
        <w:t>)</w:t>
      </w:r>
      <w:r w:rsidR="00777DCB" w:rsidRPr="00A52585">
        <w:rPr>
          <w:rFonts w:hint="cs"/>
          <w:sz w:val="24"/>
          <w:szCs w:val="24"/>
          <w:rtl/>
        </w:rPr>
        <w:t xml:space="preserve"> وعبد الرزاق </w:t>
      </w:r>
      <w:r w:rsidRPr="00A52585">
        <w:rPr>
          <w:rFonts w:hint="cs"/>
          <w:sz w:val="24"/>
          <w:szCs w:val="24"/>
          <w:rtl/>
        </w:rPr>
        <w:t>(</w:t>
      </w:r>
      <w:r w:rsidR="00777DCB" w:rsidRPr="00A52585">
        <w:rPr>
          <w:rFonts w:hint="cs"/>
          <w:sz w:val="24"/>
          <w:szCs w:val="24"/>
          <w:rtl/>
        </w:rPr>
        <w:t>11 / 269 برقم 20513</w:t>
      </w:r>
      <w:r w:rsidRPr="00A52585">
        <w:rPr>
          <w:rFonts w:hint="cs"/>
          <w:sz w:val="24"/>
          <w:szCs w:val="24"/>
          <w:rtl/>
        </w:rPr>
        <w:t>)</w:t>
      </w:r>
      <w:r w:rsidR="00777DCB" w:rsidRPr="00A52585">
        <w:rPr>
          <w:rFonts w:hint="cs"/>
          <w:sz w:val="24"/>
          <w:szCs w:val="24"/>
          <w:rtl/>
        </w:rPr>
        <w:t xml:space="preserve"> والبيهقي في سننه </w:t>
      </w:r>
      <w:r w:rsidRPr="00A52585">
        <w:rPr>
          <w:rFonts w:hint="cs"/>
          <w:sz w:val="24"/>
          <w:szCs w:val="24"/>
          <w:rtl/>
        </w:rPr>
        <w:t>(</w:t>
      </w:r>
      <w:r w:rsidR="00777DCB" w:rsidRPr="00A52585">
        <w:rPr>
          <w:rFonts w:hint="cs"/>
          <w:sz w:val="24"/>
          <w:szCs w:val="24"/>
          <w:rtl/>
        </w:rPr>
        <w:t>10 / 10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 الاسماء والصفات " </w:t>
      </w:r>
      <w:r w:rsidRPr="00A52585">
        <w:rPr>
          <w:rFonts w:hint="cs"/>
          <w:sz w:val="24"/>
          <w:szCs w:val="24"/>
          <w:rtl/>
        </w:rPr>
        <w:t>(</w:t>
      </w:r>
      <w:r w:rsidR="00777DCB" w:rsidRPr="00A52585">
        <w:rPr>
          <w:rFonts w:hint="cs"/>
          <w:sz w:val="24"/>
          <w:szCs w:val="24"/>
          <w:rtl/>
        </w:rPr>
        <w:t>ص 342</w:t>
      </w:r>
      <w:r w:rsidRPr="00A52585">
        <w:rPr>
          <w:rFonts w:hint="cs"/>
          <w:sz w:val="24"/>
          <w:szCs w:val="24"/>
          <w:rtl/>
        </w:rPr>
        <w:t>)</w:t>
      </w:r>
      <w:r w:rsidR="00777DCB" w:rsidRPr="00A52585">
        <w:rPr>
          <w:rFonts w:hint="cs"/>
          <w:sz w:val="24"/>
          <w:szCs w:val="24"/>
          <w:rtl/>
        </w:rPr>
        <w:t xml:space="preserve"> وشيخه الحاكم في " مستدركه " </w:t>
      </w:r>
      <w:r w:rsidRPr="00A52585">
        <w:rPr>
          <w:rFonts w:hint="cs"/>
          <w:sz w:val="24"/>
          <w:szCs w:val="24"/>
          <w:rtl/>
        </w:rPr>
        <w:t>(</w:t>
      </w:r>
      <w:r w:rsidR="00777DCB" w:rsidRPr="00A52585">
        <w:rPr>
          <w:rFonts w:hint="cs"/>
          <w:sz w:val="24"/>
          <w:szCs w:val="24"/>
          <w:rtl/>
        </w:rPr>
        <w:t>1 / 25</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4 / 181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والطحاوي في المشكل </w:t>
      </w:r>
      <w:r w:rsidRPr="00A52585">
        <w:rPr>
          <w:rFonts w:hint="cs"/>
          <w:sz w:val="24"/>
          <w:szCs w:val="24"/>
          <w:rtl/>
        </w:rPr>
        <w:t>(</w:t>
      </w:r>
      <w:r w:rsidR="00777DCB" w:rsidRPr="00A52585">
        <w:rPr>
          <w:rFonts w:hint="cs"/>
          <w:sz w:val="24"/>
          <w:szCs w:val="24"/>
          <w:rtl/>
        </w:rPr>
        <w:t>4 / 153</w:t>
      </w:r>
      <w:r w:rsidRPr="00A52585">
        <w:rPr>
          <w:rFonts w:hint="cs"/>
          <w:sz w:val="24"/>
          <w:szCs w:val="24"/>
          <w:rtl/>
        </w:rPr>
        <w:t>)</w:t>
      </w:r>
      <w:r w:rsidR="00777DCB" w:rsidRPr="00A52585">
        <w:rPr>
          <w:rFonts w:hint="cs"/>
          <w:sz w:val="24"/>
          <w:szCs w:val="24"/>
          <w:rtl/>
        </w:rPr>
        <w:t xml:space="preserve"> وأبو داود الطيالسي ص </w:t>
      </w:r>
      <w:r w:rsidRPr="00A52585">
        <w:rPr>
          <w:rFonts w:hint="cs"/>
          <w:sz w:val="24"/>
          <w:szCs w:val="24"/>
          <w:rtl/>
        </w:rPr>
        <w:t>(</w:t>
      </w:r>
      <w:r w:rsidR="00777DCB" w:rsidRPr="00A52585">
        <w:rPr>
          <w:rFonts w:hint="cs"/>
          <w:sz w:val="24"/>
          <w:szCs w:val="24"/>
          <w:rtl/>
        </w:rPr>
        <w:t>184 برقم 1303</w:t>
      </w:r>
      <w:r w:rsidRPr="00A52585">
        <w:rPr>
          <w:rFonts w:hint="cs"/>
          <w:sz w:val="24"/>
          <w:szCs w:val="24"/>
          <w:rtl/>
        </w:rPr>
        <w:t>)</w:t>
      </w:r>
      <w:r w:rsidR="00777DCB" w:rsidRPr="00A52585">
        <w:rPr>
          <w:rFonts w:hint="cs"/>
          <w:sz w:val="24"/>
          <w:szCs w:val="24"/>
          <w:rtl/>
        </w:rPr>
        <w:t xml:space="preserve"> وذكر فيه عن شعبة أنه تارة يروى بزيادة وتارة لا يروى</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ورواه دون زيادة الموسى والساعد أحمد في مسنده </w:t>
      </w:r>
      <w:r w:rsidRPr="00A52585">
        <w:rPr>
          <w:rFonts w:hint="cs"/>
          <w:sz w:val="24"/>
          <w:szCs w:val="24"/>
          <w:rtl/>
        </w:rPr>
        <w:t>(</w:t>
      </w:r>
      <w:r w:rsidR="00777DCB" w:rsidRPr="00A52585">
        <w:rPr>
          <w:rFonts w:hint="cs"/>
          <w:sz w:val="24"/>
          <w:szCs w:val="24"/>
          <w:rtl/>
        </w:rPr>
        <w:t>4 / 137</w:t>
      </w:r>
      <w:r w:rsidRPr="00A52585">
        <w:rPr>
          <w:rFonts w:hint="cs"/>
          <w:sz w:val="24"/>
          <w:szCs w:val="24"/>
          <w:rtl/>
        </w:rPr>
        <w:t>)</w:t>
      </w:r>
      <w:r w:rsidR="00777DCB" w:rsidRPr="00A52585">
        <w:rPr>
          <w:rFonts w:hint="cs"/>
          <w:sz w:val="24"/>
          <w:szCs w:val="24"/>
          <w:rtl/>
        </w:rPr>
        <w:t xml:space="preserve"> والطبراني </w:t>
      </w:r>
      <w:r w:rsidRPr="00A52585">
        <w:rPr>
          <w:rFonts w:hint="cs"/>
          <w:sz w:val="24"/>
          <w:szCs w:val="24"/>
          <w:rtl/>
        </w:rPr>
        <w:t>(</w:t>
      </w:r>
      <w:r w:rsidR="00777DCB" w:rsidRPr="00A52585">
        <w:rPr>
          <w:rFonts w:hint="cs"/>
          <w:sz w:val="24"/>
          <w:szCs w:val="24"/>
          <w:rtl/>
        </w:rPr>
        <w:t>19 / 283 وما قبلها وبعدها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حبان في صحيحه </w:t>
      </w:r>
      <w:r w:rsidRPr="00A52585">
        <w:rPr>
          <w:rFonts w:hint="cs"/>
          <w:sz w:val="24"/>
          <w:szCs w:val="24"/>
          <w:rtl/>
        </w:rPr>
        <w:t>(</w:t>
      </w:r>
      <w:r w:rsidR="00777DCB" w:rsidRPr="00A52585">
        <w:rPr>
          <w:rFonts w:hint="cs"/>
          <w:sz w:val="24"/>
          <w:szCs w:val="24"/>
          <w:rtl/>
        </w:rPr>
        <w:t>7 / 390 دار الفكر</w:t>
      </w:r>
      <w:r w:rsidRPr="00A52585">
        <w:rPr>
          <w:rFonts w:hint="cs"/>
          <w:sz w:val="24"/>
          <w:szCs w:val="24"/>
          <w:rtl/>
        </w:rPr>
        <w:t>)</w:t>
      </w:r>
      <w:r w:rsidR="00777DCB" w:rsidRPr="00A52585">
        <w:rPr>
          <w:rFonts w:hint="cs"/>
          <w:sz w:val="24"/>
          <w:szCs w:val="24"/>
          <w:rtl/>
        </w:rPr>
        <w:t xml:space="preserve"> وابن سعد </w:t>
      </w:r>
      <w:r w:rsidRPr="00A52585">
        <w:rPr>
          <w:rFonts w:hint="cs"/>
          <w:sz w:val="24"/>
          <w:szCs w:val="24"/>
          <w:rtl/>
        </w:rPr>
        <w:t>(</w:t>
      </w:r>
      <w:r w:rsidR="00777DCB" w:rsidRPr="00A52585">
        <w:rPr>
          <w:rFonts w:hint="cs"/>
          <w:sz w:val="24"/>
          <w:szCs w:val="24"/>
          <w:rtl/>
        </w:rPr>
        <w:t>6 / 28</w:t>
      </w:r>
      <w:r w:rsidRPr="00A52585">
        <w:rPr>
          <w:rFonts w:hint="cs"/>
          <w:sz w:val="24"/>
          <w:szCs w:val="24"/>
          <w:rtl/>
        </w:rPr>
        <w:t>)</w:t>
      </w:r>
      <w:r w:rsidR="00777DCB" w:rsidRPr="00A52585">
        <w:rPr>
          <w:rFonts w:hint="cs"/>
          <w:sz w:val="24"/>
          <w:szCs w:val="24"/>
          <w:rtl/>
        </w:rPr>
        <w:t xml:space="preserve"> وأبو داود </w:t>
      </w:r>
      <w:r w:rsidRPr="00A52585">
        <w:rPr>
          <w:rFonts w:hint="cs"/>
          <w:sz w:val="24"/>
          <w:szCs w:val="24"/>
          <w:rtl/>
        </w:rPr>
        <w:t>(</w:t>
      </w:r>
      <w:r w:rsidR="00777DCB" w:rsidRPr="00A52585">
        <w:rPr>
          <w:rFonts w:hint="cs"/>
          <w:sz w:val="24"/>
          <w:szCs w:val="24"/>
          <w:rtl/>
        </w:rPr>
        <w:t>4 / 51 برقم 4063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وابن جرير في " تفسيره " </w:t>
      </w:r>
      <w:r w:rsidRPr="00A52585">
        <w:rPr>
          <w:rFonts w:hint="cs"/>
          <w:sz w:val="24"/>
          <w:szCs w:val="24"/>
          <w:rtl/>
        </w:rPr>
        <w:t>(</w:t>
      </w:r>
      <w:r w:rsidR="00777DCB" w:rsidRPr="00A52585">
        <w:rPr>
          <w:rFonts w:hint="cs"/>
          <w:sz w:val="24"/>
          <w:szCs w:val="24"/>
          <w:rtl/>
        </w:rPr>
        <w:t>7 / 87 - 88</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ورواه البغوي في "]</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لا يمتنع حمل الخبر على ظاهره في إثبات الساعد صفة لذاته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منه غفلة عامية وخروج عن مقتضى الفهم</w:t>
      </w:r>
      <w:r w:rsidR="00897A24" w:rsidRPr="00A52585">
        <w:rPr>
          <w:rFonts w:hint="cs"/>
          <w:rtl/>
        </w:rPr>
        <w:t>.</w:t>
      </w:r>
      <w:r w:rsidR="00777DCB" w:rsidRPr="00A52585">
        <w:rPr>
          <w:rFonts w:hint="cs"/>
          <w:rtl/>
        </w:rPr>
        <w:t xml:space="preserve"> وكان ينبغي أن يثبت </w:t>
      </w:r>
      <w:proofErr w:type="gramStart"/>
      <w:r w:rsidR="00777DCB" w:rsidRPr="00A52585">
        <w:rPr>
          <w:rFonts w:hint="cs"/>
          <w:rtl/>
        </w:rPr>
        <w:t>الموسى</w:t>
      </w:r>
      <w:r w:rsidR="00897A24" w:rsidRPr="00A52585">
        <w:rPr>
          <w:rFonts w:hint="cs"/>
          <w:rtl/>
        </w:rPr>
        <w:t>.</w:t>
      </w:r>
      <w:r w:rsidR="00777DCB" w:rsidRPr="00A52585">
        <w:rPr>
          <w:rFonts w:hint="cs"/>
          <w:rtl/>
        </w:rPr>
        <w:t>.</w:t>
      </w:r>
      <w:r w:rsidR="00F95886" w:rsidRPr="00A52585">
        <w:rPr>
          <w:rFonts w:hint="cs"/>
          <w:rtl/>
        </w:rPr>
        <w:t>!</w:t>
      </w:r>
      <w:proofErr w:type="gramEnd"/>
      <w:r w:rsidR="00F95886"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إثبات صفة الله بهذا الخبر الذي لا يكاد يثبت مع الاعراض عن فهم خطاب العرب وأنها تريد بمثل هذا التجوز والاستعارة قبيح جدا</w:t>
      </w:r>
      <w:r w:rsidR="00F95886" w:rsidRPr="00A52585">
        <w:rPr>
          <w:rFonts w:hint="cs"/>
          <w:rtl/>
        </w:rPr>
        <w:t>!!</w:t>
      </w:r>
      <w:r w:rsidR="00777DCB" w:rsidRPr="00A52585">
        <w:rPr>
          <w:rFonts w:hint="cs"/>
          <w:rtl/>
        </w:rPr>
        <w:t xml:space="preserve"> والمراد بالساعد</w:t>
      </w:r>
      <w:r w:rsidRPr="00A52585">
        <w:rPr>
          <w:rFonts w:hint="cs"/>
          <w:rtl/>
        </w:rPr>
        <w:t>:</w:t>
      </w:r>
      <w:r w:rsidR="00777DCB" w:rsidRPr="00A52585">
        <w:rPr>
          <w:rFonts w:hint="cs"/>
          <w:rtl/>
        </w:rPr>
        <w:t xml:space="preserve"> القوة</w:t>
      </w:r>
      <w:r w:rsidR="00DB731D" w:rsidRPr="00A52585">
        <w:rPr>
          <w:rFonts w:hint="cs"/>
          <w:rtl/>
        </w:rPr>
        <w:t>،</w:t>
      </w:r>
      <w:r w:rsidR="00777DCB" w:rsidRPr="00A52585">
        <w:rPr>
          <w:rFonts w:hint="cs"/>
          <w:rtl/>
        </w:rPr>
        <w:t xml:space="preserve"> لان قوة الانسان في ساعده</w:t>
      </w:r>
      <w:r w:rsidR="00DB731D" w:rsidRPr="00A52585">
        <w:rPr>
          <w:rFonts w:hint="cs"/>
          <w:rtl/>
        </w:rPr>
        <w:t>،</w:t>
      </w:r>
      <w:r w:rsidR="00777DCB" w:rsidRPr="00A52585">
        <w:rPr>
          <w:rFonts w:hint="cs"/>
          <w:rtl/>
        </w:rPr>
        <w:t xml:space="preserve"> </w:t>
      </w:r>
    </w:p>
    <w:p w14:paraId="563B7D9A" w14:textId="25F4FD42" w:rsidR="00777DCB" w:rsidRPr="00A52585" w:rsidRDefault="0002035C" w:rsidP="0002035C">
      <w:pPr>
        <w:rPr>
          <w:b/>
          <w:rtl/>
        </w:rPr>
      </w:pPr>
      <w:r w:rsidRPr="00A52585">
        <w:rPr>
          <w:rFonts w:hint="cs"/>
          <w:bCs/>
          <w:u w:val="single"/>
          <w:rtl/>
        </w:rPr>
        <w:t>[</w:t>
      </w:r>
      <w:r w:rsidR="00777DCB" w:rsidRPr="00A52585">
        <w:rPr>
          <w:rFonts w:hint="cs"/>
          <w:bCs/>
          <w:u w:val="single"/>
          <w:rtl/>
        </w:rPr>
        <w:t>29</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 والعشرون</w:t>
      </w:r>
      <w:r w:rsidRPr="00A52585">
        <w:rPr>
          <w:rFonts w:hint="cs"/>
          <w:bCs/>
          <w:rtl/>
        </w:rPr>
        <w:t>]</w:t>
      </w:r>
      <w:r w:rsidRPr="00A52585">
        <w:rPr>
          <w:rFonts w:hint="cs"/>
          <w:rtl/>
        </w:rPr>
        <w:t>:</w:t>
      </w:r>
      <w:r w:rsidR="00777DCB" w:rsidRPr="00A52585">
        <w:rPr>
          <w:rFonts w:hint="cs"/>
          <w:rtl/>
        </w:rPr>
        <w:t xml:space="preserve"> روى أبو هريرة - رضي الله عنه - عن النبي صلى الله عليه وسلم أنه قال</w:t>
      </w:r>
      <w:r w:rsidRPr="00A52585">
        <w:rPr>
          <w:rFonts w:hint="cs"/>
          <w:rtl/>
        </w:rPr>
        <w:t>:</w:t>
      </w:r>
      <w:r w:rsidR="00777DCB" w:rsidRPr="00A52585">
        <w:rPr>
          <w:rFonts w:hint="cs"/>
          <w:rtl/>
        </w:rPr>
        <w:t xml:space="preserve"> " إن العبد إذا قام إلى الصلاة فإنه بين عيني الرحمن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مروي بلفظ</w:t>
      </w:r>
      <w:r w:rsidRPr="00A52585">
        <w:rPr>
          <w:rFonts w:hint="cs"/>
          <w:sz w:val="24"/>
          <w:szCs w:val="24"/>
          <w:rtl/>
        </w:rPr>
        <w:t>:</w:t>
      </w:r>
      <w:r w:rsidR="00777DCB" w:rsidRPr="00A52585">
        <w:rPr>
          <w:rFonts w:hint="cs"/>
          <w:sz w:val="24"/>
          <w:szCs w:val="24"/>
          <w:rtl/>
        </w:rPr>
        <w:t xml:space="preserve"> " بين يدي الرحمن " بدل " بين عيني الرحمن " وقد حرفه حنابلة الرواة</w:t>
      </w:r>
      <w:r w:rsidR="00DB731D" w:rsidRPr="00A52585">
        <w:rPr>
          <w:rFonts w:hint="cs"/>
          <w:sz w:val="24"/>
          <w:szCs w:val="24"/>
          <w:rtl/>
        </w:rPr>
        <w:t>،</w:t>
      </w:r>
      <w:r w:rsidR="00777DCB" w:rsidRPr="00A52585">
        <w:rPr>
          <w:rFonts w:hint="cs"/>
          <w:sz w:val="24"/>
          <w:szCs w:val="24"/>
          <w:rtl/>
        </w:rPr>
        <w:t xml:space="preserve"> رواه البزار </w:t>
      </w:r>
      <w:r w:rsidRPr="00A52585">
        <w:rPr>
          <w:rFonts w:hint="cs"/>
          <w:sz w:val="24"/>
          <w:szCs w:val="24"/>
          <w:rtl/>
        </w:rPr>
        <w:t>(</w:t>
      </w:r>
      <w:r w:rsidR="00777DCB" w:rsidRPr="00A52585">
        <w:rPr>
          <w:rFonts w:hint="cs"/>
          <w:sz w:val="24"/>
          <w:szCs w:val="24"/>
          <w:rtl/>
        </w:rPr>
        <w:t>1 / 268 برقم 553 كشف الاستار</w:t>
      </w:r>
      <w:r w:rsidRPr="00A52585">
        <w:rPr>
          <w:rFonts w:hint="cs"/>
          <w:sz w:val="24"/>
          <w:szCs w:val="24"/>
          <w:rtl/>
        </w:rPr>
        <w:t>)</w:t>
      </w:r>
      <w:r w:rsidR="00777DCB" w:rsidRPr="00A52585">
        <w:rPr>
          <w:rFonts w:hint="cs"/>
          <w:sz w:val="24"/>
          <w:szCs w:val="24"/>
          <w:rtl/>
        </w:rPr>
        <w:t xml:space="preserve"> قال البزار عقبه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رواه طلحة بن عمرو عن عطاء عن أبي هريرة موقوفا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رفعه بعض الضعفاء كما في رواية البزار السابقة</w:t>
      </w:r>
      <w:r w:rsidR="00DB731D" w:rsidRPr="00A52585">
        <w:rPr>
          <w:rFonts w:hint="cs"/>
          <w:sz w:val="24"/>
          <w:szCs w:val="24"/>
          <w:rtl/>
        </w:rPr>
        <w:t>،</w:t>
      </w:r>
      <w:r w:rsidR="00777DCB" w:rsidRPr="00A52585">
        <w:rPr>
          <w:rFonts w:hint="cs"/>
          <w:sz w:val="24"/>
          <w:szCs w:val="24"/>
          <w:rtl/>
        </w:rPr>
        <w:t xml:space="preserve"> وهو</w:t>
      </w:r>
      <w:r w:rsidRPr="00A52585">
        <w:rPr>
          <w:rFonts w:hint="cs"/>
          <w:sz w:val="24"/>
          <w:szCs w:val="24"/>
          <w:rtl/>
        </w:rPr>
        <w:t>:</w:t>
      </w:r>
      <w:r w:rsidR="00777DCB" w:rsidRPr="00A52585">
        <w:rPr>
          <w:rFonts w:hint="cs"/>
          <w:sz w:val="24"/>
          <w:szCs w:val="24"/>
          <w:rtl/>
        </w:rPr>
        <w:t xml:space="preserve"> إبراهيم بن يزيد الخوزي</w:t>
      </w:r>
      <w:r w:rsidR="00DB731D" w:rsidRPr="00A52585">
        <w:rPr>
          <w:rFonts w:hint="cs"/>
          <w:sz w:val="24"/>
          <w:szCs w:val="24"/>
          <w:rtl/>
        </w:rPr>
        <w:t>،</w:t>
      </w:r>
      <w:r w:rsidR="00777DCB" w:rsidRPr="00A52585">
        <w:rPr>
          <w:rFonts w:hint="cs"/>
          <w:sz w:val="24"/>
          <w:szCs w:val="24"/>
          <w:rtl/>
        </w:rPr>
        <w:t xml:space="preserve"> قال عنه الحافظ الهيثمي في المجمع </w:t>
      </w:r>
      <w:r w:rsidRPr="00A52585">
        <w:rPr>
          <w:rFonts w:hint="cs"/>
          <w:sz w:val="24"/>
          <w:szCs w:val="24"/>
          <w:rtl/>
        </w:rPr>
        <w:t>(</w:t>
      </w:r>
      <w:r w:rsidR="00777DCB" w:rsidRPr="00A52585">
        <w:rPr>
          <w:rFonts w:hint="cs"/>
          <w:sz w:val="24"/>
          <w:szCs w:val="24"/>
          <w:rtl/>
        </w:rPr>
        <w:t>2 / 80</w:t>
      </w:r>
      <w:r w:rsidRPr="00A52585">
        <w:rPr>
          <w:rFonts w:hint="cs"/>
          <w:sz w:val="24"/>
          <w:szCs w:val="24"/>
          <w:rtl/>
        </w:rPr>
        <w:t>):</w:t>
      </w:r>
      <w:r w:rsidR="00777DCB" w:rsidRPr="00A52585">
        <w:rPr>
          <w:rFonts w:hint="cs"/>
          <w:sz w:val="24"/>
          <w:szCs w:val="24"/>
          <w:rtl/>
        </w:rPr>
        <w:t xml:space="preserve"> " وهو ضعيف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وهو متروك ومتهم بالكذب ومنكر الحديث كما في ترجمته في " التهذيب " </w:t>
      </w:r>
      <w:r w:rsidRPr="00A52585">
        <w:rPr>
          <w:rFonts w:hint="cs"/>
          <w:sz w:val="24"/>
          <w:szCs w:val="24"/>
          <w:rtl/>
        </w:rPr>
        <w:t>(</w:t>
      </w:r>
      <w:r w:rsidR="00777DCB" w:rsidRPr="00A52585">
        <w:rPr>
          <w:rFonts w:hint="cs"/>
          <w:sz w:val="24"/>
          <w:szCs w:val="24"/>
          <w:rtl/>
        </w:rPr>
        <w:t>1 / 157 دار الفكر</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قذ ذكرنا صفة العين في الآيات المذكورة قبل الاحاديث والمراد بالحديث أن الله تعالى يشاهد المصلي فليتأدب</w:t>
      </w:r>
      <w:r w:rsidR="00897A24" w:rsidRPr="00A52585">
        <w:rPr>
          <w:rFonts w:hint="cs"/>
          <w:rtl/>
        </w:rPr>
        <w:t>.</w:t>
      </w:r>
      <w:r w:rsidR="00777DCB" w:rsidRPr="00A52585">
        <w:rPr>
          <w:rFonts w:hint="cs"/>
          <w:rtl/>
        </w:rPr>
        <w:t xml:space="preserve"> وكذلك قوله</w:t>
      </w:r>
      <w:r w:rsidRPr="00A52585">
        <w:rPr>
          <w:rFonts w:hint="cs"/>
          <w:rtl/>
        </w:rPr>
        <w:t>:</w:t>
      </w:r>
      <w:r w:rsidR="00777DCB" w:rsidRPr="00A52585">
        <w:rPr>
          <w:rFonts w:hint="cs"/>
          <w:rtl/>
        </w:rPr>
        <w:t xml:space="preserve"> " فإن الله قبل وجهه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الصحيح </w:t>
      </w:r>
      <w:r w:rsidRPr="00A52585">
        <w:rPr>
          <w:rFonts w:hint="cs"/>
          <w:sz w:val="24"/>
          <w:szCs w:val="24"/>
          <w:rtl/>
        </w:rPr>
        <w:t>(</w:t>
      </w:r>
      <w:r w:rsidR="00777DCB" w:rsidRPr="00A52585">
        <w:rPr>
          <w:rFonts w:hint="cs"/>
          <w:sz w:val="24"/>
          <w:szCs w:val="24"/>
          <w:rtl/>
        </w:rPr>
        <w:t>1 / 509 فتح</w:t>
      </w:r>
      <w:r w:rsidRPr="00A52585">
        <w:rPr>
          <w:rFonts w:hint="cs"/>
          <w:sz w:val="24"/>
          <w:szCs w:val="24"/>
          <w:rtl/>
        </w:rPr>
        <w:t>)</w:t>
      </w:r>
      <w:r w:rsidR="00777DCB" w:rsidRPr="00A52585">
        <w:rPr>
          <w:rFonts w:hint="cs"/>
          <w:sz w:val="24"/>
          <w:szCs w:val="24"/>
          <w:rtl/>
        </w:rPr>
        <w:t xml:space="preserve"> من حديث عبد الله بن عمر مرفوعا</w:t>
      </w:r>
      <w:r w:rsidRPr="00A52585">
        <w:rPr>
          <w:rFonts w:hint="cs"/>
          <w:sz w:val="24"/>
          <w:szCs w:val="24"/>
          <w:rtl/>
        </w:rPr>
        <w:t>:</w:t>
      </w:r>
      <w:r w:rsidR="00777DCB" w:rsidRPr="00A52585">
        <w:rPr>
          <w:rFonts w:hint="cs"/>
          <w:sz w:val="24"/>
          <w:szCs w:val="24"/>
          <w:rtl/>
        </w:rPr>
        <w:t xml:space="preserve"> " إذا كان أحدكم يصلي فلا يبصق قبل وجهه</w:t>
      </w:r>
      <w:r w:rsidR="00DB731D" w:rsidRPr="00A52585">
        <w:rPr>
          <w:rFonts w:hint="cs"/>
          <w:sz w:val="24"/>
          <w:szCs w:val="24"/>
          <w:rtl/>
        </w:rPr>
        <w:t>،</w:t>
      </w:r>
      <w:r w:rsidR="00777DCB" w:rsidRPr="00A52585">
        <w:rPr>
          <w:rFonts w:hint="cs"/>
          <w:sz w:val="24"/>
          <w:szCs w:val="24"/>
          <w:rtl/>
        </w:rPr>
        <w:t xml:space="preserve"> فإن الله قبل وجهه إذا صلى "</w:t>
      </w:r>
      <w:r w:rsidR="00DB731D" w:rsidRPr="00A52585">
        <w:rPr>
          <w:rFonts w:hint="cs"/>
          <w:sz w:val="24"/>
          <w:szCs w:val="24"/>
          <w:rtl/>
        </w:rPr>
        <w:t>،</w:t>
      </w:r>
      <w:r w:rsidR="00777DCB" w:rsidRPr="00A52585">
        <w:rPr>
          <w:rFonts w:hint="cs"/>
          <w:sz w:val="24"/>
          <w:szCs w:val="24"/>
          <w:rtl/>
        </w:rPr>
        <w:t xml:space="preserve"> قال الحافظ في الفتح </w:t>
      </w:r>
      <w:r w:rsidRPr="00A52585">
        <w:rPr>
          <w:rFonts w:hint="cs"/>
          <w:sz w:val="24"/>
          <w:szCs w:val="24"/>
          <w:rtl/>
        </w:rPr>
        <w:t>(</w:t>
      </w:r>
      <w:r w:rsidR="00777DCB" w:rsidRPr="00A52585">
        <w:rPr>
          <w:rFonts w:hint="cs"/>
          <w:sz w:val="24"/>
          <w:szCs w:val="24"/>
          <w:rtl/>
        </w:rPr>
        <w:t>1 / 508</w:t>
      </w:r>
      <w:r w:rsidRPr="00A52585">
        <w:rPr>
          <w:rFonts w:hint="cs"/>
          <w:sz w:val="24"/>
          <w:szCs w:val="24"/>
          <w:rtl/>
        </w:rPr>
        <w:t>):</w:t>
      </w:r>
      <w:r w:rsidR="00777DCB" w:rsidRPr="00A52585">
        <w:rPr>
          <w:rFonts w:hint="cs"/>
          <w:sz w:val="24"/>
          <w:szCs w:val="24"/>
          <w:rtl/>
        </w:rPr>
        <w:t xml:space="preserve"> " وفيه الرد على من زعم أنه على العرش بذاته " اهـ]</w:t>
      </w:r>
      <w:r w:rsidR="00DB731D" w:rsidRPr="00A52585">
        <w:rPr>
          <w:rFonts w:hint="cs"/>
          <w:sz w:val="24"/>
          <w:szCs w:val="24"/>
          <w:rtl/>
        </w:rPr>
        <w:t>،</w:t>
      </w:r>
      <w:r w:rsidR="00777DCB" w:rsidRPr="00A52585">
        <w:rPr>
          <w:rFonts w:hint="cs"/>
          <w:rtl/>
        </w:rPr>
        <w:t xml:space="preserve"> أي أنه يراه</w:t>
      </w:r>
      <w:r w:rsidR="00DB731D" w:rsidRPr="00A52585">
        <w:rPr>
          <w:rFonts w:hint="cs"/>
          <w:rtl/>
        </w:rPr>
        <w:t>،</w:t>
      </w:r>
      <w:r w:rsidR="00777DCB" w:rsidRPr="00A52585">
        <w:rPr>
          <w:rFonts w:hint="cs"/>
          <w:rtl/>
        </w:rPr>
        <w:t xml:space="preserve"> </w:t>
      </w:r>
    </w:p>
    <w:p w14:paraId="434E5390" w14:textId="4814BF92" w:rsidR="00777DCB" w:rsidRPr="00A52585" w:rsidRDefault="0002035C" w:rsidP="0002035C">
      <w:pPr>
        <w:rPr>
          <w:b/>
          <w:rtl/>
        </w:rPr>
      </w:pPr>
      <w:r w:rsidRPr="00A52585">
        <w:rPr>
          <w:rFonts w:hint="cs"/>
          <w:bCs/>
          <w:u w:val="single"/>
          <w:rtl/>
        </w:rPr>
        <w:t>[</w:t>
      </w:r>
      <w:r w:rsidR="00777DCB" w:rsidRPr="00A52585">
        <w:rPr>
          <w:rFonts w:hint="cs"/>
          <w:bCs/>
          <w:u w:val="single"/>
          <w:rtl/>
        </w:rPr>
        <w:t>30</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الثلاثون</w:t>
      </w:r>
      <w:r w:rsidRPr="00A52585">
        <w:rPr>
          <w:rFonts w:hint="cs"/>
          <w:bCs/>
          <w:rtl/>
        </w:rPr>
        <w:t>]:</w:t>
      </w:r>
      <w:r w:rsidR="00777DCB" w:rsidRPr="00A52585">
        <w:rPr>
          <w:rFonts w:hint="cs"/>
          <w:rtl/>
        </w:rPr>
        <w:t xml:space="preserve"> روى البخاري </w:t>
      </w:r>
      <w:r w:rsidRPr="00A52585">
        <w:rPr>
          <w:rFonts w:hint="cs"/>
          <w:rtl/>
        </w:rPr>
        <w:t>(</w:t>
      </w:r>
      <w:r w:rsidR="00777DCB" w:rsidRPr="00A52585">
        <w:rPr>
          <w:rFonts w:hint="cs"/>
          <w:rtl/>
        </w:rPr>
        <w:t>1 / 101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1 / 542 برقم 221</w:t>
      </w:r>
      <w:r w:rsidRPr="00A52585">
        <w:rPr>
          <w:rFonts w:hint="cs"/>
          <w:rtl/>
        </w:rPr>
        <w:t>)</w:t>
      </w:r>
      <w:r w:rsidR="00777DCB" w:rsidRPr="00A52585">
        <w:rPr>
          <w:rFonts w:hint="cs"/>
          <w:rtl/>
        </w:rPr>
        <w:t xml:space="preserve"> في الصحيحين من حديث عائشة رضي الله عنها</w:t>
      </w:r>
      <w:r w:rsidRPr="00A52585">
        <w:rPr>
          <w:rFonts w:hint="cs"/>
          <w:rtl/>
        </w:rPr>
        <w:t>:</w:t>
      </w:r>
      <w:r w:rsidR="00777DCB" w:rsidRPr="00A52585">
        <w:rPr>
          <w:rFonts w:hint="cs"/>
          <w:rtl/>
        </w:rPr>
        <w:t xml:space="preserve"> " أن رسول الله صلى الله عليه وسلم دخل عليها وعندها امرأة</w:t>
      </w:r>
      <w:r w:rsidR="00897A24"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من </w:t>
      </w:r>
      <w:proofErr w:type="gramStart"/>
      <w:r w:rsidR="00777DCB" w:rsidRPr="00A52585">
        <w:rPr>
          <w:rFonts w:hint="cs"/>
          <w:rtl/>
        </w:rPr>
        <w:t>هذه</w:t>
      </w:r>
      <w:r w:rsidR="00897A24" w:rsidRPr="00A52585">
        <w:rPr>
          <w:rFonts w:hint="cs"/>
          <w:rtl/>
        </w:rPr>
        <w:t>..</w:t>
      </w:r>
      <w:r w:rsidR="00F95886" w:rsidRPr="00A52585">
        <w:rPr>
          <w:rFonts w:hint="cs"/>
          <w:rtl/>
        </w:rPr>
        <w:t>؟</w:t>
      </w:r>
      <w:proofErr w:type="gramEnd"/>
      <w:r w:rsidR="00777DCB" w:rsidRPr="00A52585">
        <w:rPr>
          <w:rFonts w:hint="cs"/>
          <w:rtl/>
        </w:rPr>
        <w:t xml:space="preserve"> "</w:t>
      </w:r>
      <w:r w:rsidR="00897A24" w:rsidRPr="00A52585">
        <w:rPr>
          <w:rFonts w:hint="cs"/>
          <w:rtl/>
        </w:rPr>
        <w:t>.</w:t>
      </w:r>
      <w:r w:rsidR="00777DCB" w:rsidRPr="00A52585">
        <w:rPr>
          <w:rFonts w:hint="cs"/>
          <w:rtl/>
        </w:rPr>
        <w:t xml:space="preserve"> قالت</w:t>
      </w:r>
      <w:r w:rsidRPr="00A52585">
        <w:rPr>
          <w:rFonts w:hint="cs"/>
          <w:rtl/>
        </w:rPr>
        <w:t>:</w:t>
      </w:r>
      <w:r w:rsidR="00777DCB" w:rsidRPr="00A52585">
        <w:rPr>
          <w:rFonts w:hint="cs"/>
          <w:rtl/>
        </w:rPr>
        <w:t xml:space="preserve"> فلانة تذكر من صلاتها</w:t>
      </w:r>
      <w:r w:rsidR="00897A24"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 مه عليكم ما تطيقون</w:t>
      </w:r>
      <w:r w:rsidR="00DB731D" w:rsidRPr="00A52585">
        <w:rPr>
          <w:rFonts w:hint="cs"/>
          <w:rtl/>
        </w:rPr>
        <w:t>،</w:t>
      </w:r>
      <w:r w:rsidR="00777DCB" w:rsidRPr="00A52585">
        <w:rPr>
          <w:rFonts w:hint="cs"/>
          <w:rtl/>
        </w:rPr>
        <w:t xml:space="preserve"> فوالله لا يمل الله حتى تملوا "</w:t>
      </w:r>
      <w:r w:rsidR="00DB731D" w:rsidRPr="00A52585">
        <w:rPr>
          <w:rFonts w:hint="cs"/>
          <w:rtl/>
        </w:rPr>
        <w:t>،</w:t>
      </w:r>
      <w:r w:rsidR="00777DCB" w:rsidRPr="00A52585">
        <w:rPr>
          <w:rFonts w:hint="cs"/>
          <w:rtl/>
        </w:rPr>
        <w:t xml:space="preserve"> وفي لفظ</w:t>
      </w:r>
      <w:r w:rsidRPr="00A52585">
        <w:rPr>
          <w:rFonts w:hint="cs"/>
          <w:rtl/>
        </w:rPr>
        <w:t>:</w:t>
      </w:r>
      <w:r w:rsidR="00777DCB" w:rsidRPr="00A52585">
        <w:rPr>
          <w:rFonts w:hint="cs"/>
          <w:rtl/>
        </w:rPr>
        <w:t xml:space="preserve"> " لا يسأم الله حتى تسأموا</w:t>
      </w:r>
      <w:r w:rsidR="00897A24" w:rsidRPr="00A52585">
        <w:rPr>
          <w:rFonts w:hint="cs"/>
          <w:rtl/>
        </w:rPr>
        <w:t>..</w:t>
      </w:r>
      <w:r w:rsidR="00777DCB" w:rsidRPr="00A52585">
        <w:rPr>
          <w:rFonts w:hint="cs"/>
          <w:rtl/>
        </w:rPr>
        <w:t xml:space="preserve"> " </w:t>
      </w:r>
      <w:r w:rsidRPr="00A52585">
        <w:rPr>
          <w:rFonts w:hint="cs"/>
          <w:rtl/>
        </w:rPr>
        <w:t>(</w:t>
      </w:r>
      <w:r w:rsidR="00777DCB" w:rsidRPr="00A52585">
        <w:rPr>
          <w:rFonts w:hint="cs"/>
          <w:rtl/>
        </w:rPr>
        <w:t>مسلم 1 / 542 برقم 220</w:t>
      </w:r>
      <w:r w:rsidRPr="00A52585">
        <w:rPr>
          <w:rFonts w:hint="cs"/>
          <w:rtl/>
        </w:rPr>
        <w:t>)</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w:t>
      </w:r>
      <w:r w:rsidR="00777DCB" w:rsidRPr="00A52585">
        <w:rPr>
          <w:rFonts w:hint="cs"/>
          <w:rtl/>
        </w:rPr>
        <w:lastRenderedPageBreak/>
        <w:t>معنى الحديث لا يمل الله تعالى وإن مللتم</w:t>
      </w:r>
      <w:r w:rsidR="00DB731D" w:rsidRPr="00A52585">
        <w:rPr>
          <w:rFonts w:hint="cs"/>
          <w:rtl/>
        </w:rPr>
        <w:t>،</w:t>
      </w:r>
      <w:r w:rsidR="00777DCB" w:rsidRPr="00A52585">
        <w:rPr>
          <w:rFonts w:hint="cs"/>
          <w:rtl/>
        </w:rPr>
        <w:t xml:space="preserve"> كما قال الشاعر</w:t>
      </w:r>
      <w:r w:rsidRPr="00A52585">
        <w:rPr>
          <w:rFonts w:hint="cs"/>
          <w:rtl/>
        </w:rPr>
        <w:t>:</w:t>
      </w:r>
      <w:r w:rsidR="00777DCB" w:rsidRPr="00A52585">
        <w:rPr>
          <w:rFonts w:hint="cs"/>
          <w:rtl/>
        </w:rPr>
        <w:t xml:space="preserve"> صليت منى هذيل بخرق لا يمل الشر حتى يملوا المعنى</w:t>
      </w:r>
      <w:r w:rsidRPr="00A52585">
        <w:rPr>
          <w:rFonts w:hint="cs"/>
          <w:rtl/>
        </w:rPr>
        <w:t>:</w:t>
      </w:r>
      <w:r w:rsidR="00777DCB" w:rsidRPr="00A52585">
        <w:rPr>
          <w:rFonts w:hint="cs"/>
          <w:rtl/>
        </w:rPr>
        <w:t xml:space="preserve"> لا يمل وإن ملوا</w:t>
      </w:r>
      <w:r w:rsidR="00DB731D" w:rsidRPr="00A52585">
        <w:rPr>
          <w:rFonts w:hint="cs"/>
          <w:rtl/>
        </w:rPr>
        <w:t>،</w:t>
      </w:r>
      <w:r w:rsidR="00777DCB" w:rsidRPr="00A52585">
        <w:rPr>
          <w:rFonts w:hint="cs"/>
          <w:rtl/>
        </w:rPr>
        <w:t xml:space="preserve"> وإلا لم يكن له فضل عليهم</w:t>
      </w:r>
      <w:r w:rsidR="00DB731D" w:rsidRPr="00A52585">
        <w:rPr>
          <w:rFonts w:hint="cs"/>
          <w:rtl/>
        </w:rPr>
        <w:t>،</w:t>
      </w:r>
      <w:r w:rsidR="00777DCB" w:rsidRPr="00A52585">
        <w:rPr>
          <w:rFonts w:hint="cs"/>
          <w:rtl/>
        </w:rPr>
        <w:t xml:space="preserve"> وقال قوم</w:t>
      </w:r>
      <w:r w:rsidRPr="00A52585">
        <w:rPr>
          <w:rFonts w:hint="cs"/>
          <w:rtl/>
        </w:rPr>
        <w:t>:</w:t>
      </w:r>
      <w:r w:rsidR="00777DCB" w:rsidRPr="00A52585">
        <w:rPr>
          <w:rFonts w:hint="cs"/>
          <w:rtl/>
        </w:rPr>
        <w:t xml:space="preserve"> من مل من شيء تركه</w:t>
      </w:r>
      <w:r w:rsidR="00897A24" w:rsidRPr="00A52585">
        <w:rPr>
          <w:rFonts w:hint="cs"/>
          <w:rtl/>
        </w:rPr>
        <w:t>.</w:t>
      </w:r>
      <w:r w:rsidR="00777DCB" w:rsidRPr="00A52585">
        <w:rPr>
          <w:rFonts w:hint="cs"/>
          <w:rtl/>
        </w:rPr>
        <w:t xml:space="preserve"> والمعنى</w:t>
      </w:r>
      <w:r w:rsidR="00897A24" w:rsidRPr="00A52585">
        <w:rPr>
          <w:rFonts w:hint="cs"/>
          <w:rtl/>
        </w:rPr>
        <w:t>.</w:t>
      </w:r>
      <w:r w:rsidR="00777DCB" w:rsidRPr="00A52585">
        <w:rPr>
          <w:rFonts w:hint="cs"/>
          <w:rtl/>
        </w:rPr>
        <w:t xml:space="preserve"> لا يترك الثواب ما لم يتركوا العمل</w:t>
      </w:r>
      <w:r w:rsidR="00DB731D" w:rsidRPr="00A52585">
        <w:rPr>
          <w:rFonts w:hint="cs"/>
          <w:rtl/>
        </w:rPr>
        <w:t>،</w:t>
      </w:r>
      <w:r w:rsidR="00777DCB" w:rsidRPr="00A52585">
        <w:rPr>
          <w:rFonts w:hint="cs"/>
          <w:rtl/>
        </w:rPr>
        <w:t xml:space="preserve"> وأما الملل الذي هو كراهة الشيء والاستثقال له</w:t>
      </w:r>
      <w:r w:rsidR="00DB731D" w:rsidRPr="00A52585">
        <w:rPr>
          <w:rFonts w:hint="cs"/>
          <w:rtl/>
        </w:rPr>
        <w:t>،</w:t>
      </w:r>
      <w:r w:rsidR="00777DCB" w:rsidRPr="00A52585">
        <w:rPr>
          <w:rFonts w:hint="cs"/>
          <w:rtl/>
        </w:rPr>
        <w:t xml:space="preserve"> ونفور النفس عنه والسآمة منه</w:t>
      </w:r>
      <w:r w:rsidR="00DB731D" w:rsidRPr="00A52585">
        <w:rPr>
          <w:rFonts w:hint="cs"/>
          <w:rtl/>
        </w:rPr>
        <w:t>،</w:t>
      </w:r>
      <w:r w:rsidR="00777DCB" w:rsidRPr="00A52585">
        <w:rPr>
          <w:rFonts w:hint="cs"/>
          <w:rtl/>
        </w:rPr>
        <w:t xml:space="preserve"> فمحال في حقه تعالى</w:t>
      </w:r>
      <w:r w:rsidR="00DB731D" w:rsidRPr="00A52585">
        <w:rPr>
          <w:rFonts w:hint="cs"/>
          <w:rtl/>
        </w:rPr>
        <w:t>،</w:t>
      </w:r>
      <w:r w:rsidR="00777DCB" w:rsidRPr="00A52585">
        <w:rPr>
          <w:rFonts w:hint="cs"/>
          <w:rtl/>
        </w:rPr>
        <w:t xml:space="preserve"> لأنّه يقتضي تغيره وحلول الحوادث</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لا يمتنع إطلاق الملل عليه لا بمعنى السآمة</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بعيد عن معرفة اللغة وما يجوز عليه وما لا يجوز عليه</w:t>
      </w:r>
      <w:r w:rsidR="00DB731D" w:rsidRPr="00A52585">
        <w:rPr>
          <w:rFonts w:hint="cs"/>
          <w:rtl/>
        </w:rPr>
        <w:t>،</w:t>
      </w:r>
      <w:r w:rsidR="00777DCB" w:rsidRPr="00A52585">
        <w:rPr>
          <w:rFonts w:hint="cs"/>
          <w:rtl/>
        </w:rPr>
        <w:t xml:space="preserve"> </w:t>
      </w:r>
    </w:p>
    <w:p w14:paraId="2EE89441" w14:textId="658D75D5" w:rsidR="00777DCB" w:rsidRPr="00A52585" w:rsidRDefault="0002035C" w:rsidP="0002035C">
      <w:pPr>
        <w:spacing w:after="0"/>
        <w:rPr>
          <w:b/>
          <w:rtl/>
        </w:rPr>
      </w:pPr>
      <w:r w:rsidRPr="00A52585">
        <w:rPr>
          <w:rFonts w:hint="cs"/>
          <w:bCs/>
          <w:u w:val="single"/>
          <w:rtl/>
        </w:rPr>
        <w:t>[</w:t>
      </w:r>
      <w:r w:rsidR="00777DCB" w:rsidRPr="00A52585">
        <w:rPr>
          <w:rFonts w:hint="cs"/>
          <w:bCs/>
          <w:u w:val="single"/>
          <w:rtl/>
        </w:rPr>
        <w:t>31</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الحادي والثلاثون</w:t>
      </w:r>
      <w:r w:rsidRPr="00A52585">
        <w:rPr>
          <w:rFonts w:hint="cs"/>
          <w:bCs/>
          <w:rtl/>
        </w:rPr>
        <w:t>]</w:t>
      </w:r>
      <w:r w:rsidRPr="00A52585">
        <w:rPr>
          <w:rFonts w:hint="cs"/>
          <w:rtl/>
        </w:rPr>
        <w:t>:</w:t>
      </w:r>
      <w:r w:rsidR="00777DCB" w:rsidRPr="00A52585">
        <w:rPr>
          <w:rFonts w:hint="cs"/>
          <w:rtl/>
        </w:rPr>
        <w:t xml:space="preserve"> روت خولة بنت حكيم عن النبي صلى الله عليه وسلم أنه قال</w:t>
      </w:r>
      <w:r w:rsidRPr="00A52585">
        <w:rPr>
          <w:rFonts w:hint="cs"/>
          <w:rtl/>
        </w:rPr>
        <w:t>:</w:t>
      </w:r>
      <w:r w:rsidR="00777DCB" w:rsidRPr="00A52585">
        <w:rPr>
          <w:rFonts w:hint="cs"/>
          <w:rtl/>
        </w:rPr>
        <w:t xml:space="preserve"> " آخر وطأة وطئها الرحمن بوج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ضعيف وسنده منقطع</w:t>
      </w:r>
      <w:r w:rsidR="00DB731D" w:rsidRPr="00A52585">
        <w:rPr>
          <w:rFonts w:hint="cs"/>
          <w:sz w:val="24"/>
          <w:szCs w:val="24"/>
          <w:rtl/>
        </w:rPr>
        <w:t>،</w:t>
      </w:r>
      <w:r w:rsidR="00777DCB" w:rsidRPr="00A52585">
        <w:rPr>
          <w:rFonts w:hint="cs"/>
          <w:sz w:val="24"/>
          <w:szCs w:val="24"/>
          <w:rtl/>
        </w:rPr>
        <w:t xml:space="preserve"> ومتنه </w:t>
      </w:r>
      <w:proofErr w:type="spellStart"/>
      <w:r w:rsidR="00777DCB" w:rsidRPr="00A52585">
        <w:rPr>
          <w:rFonts w:hint="cs"/>
          <w:sz w:val="24"/>
          <w:szCs w:val="24"/>
          <w:rtl/>
        </w:rPr>
        <w:t>بالموضرع</w:t>
      </w:r>
      <w:proofErr w:type="spellEnd"/>
      <w:r w:rsidR="00777DCB" w:rsidRPr="00A52585">
        <w:rPr>
          <w:rFonts w:hint="cs"/>
          <w:sz w:val="24"/>
          <w:szCs w:val="24"/>
          <w:rtl/>
        </w:rPr>
        <w:t xml:space="preserve"> أشبه وهو منكر بلا ريب</w:t>
      </w:r>
      <w:r w:rsidR="00DB731D" w:rsidRPr="00A52585">
        <w:rPr>
          <w:rFonts w:hint="cs"/>
          <w:sz w:val="24"/>
          <w:szCs w:val="24"/>
          <w:rtl/>
        </w:rPr>
        <w:t>،</w:t>
      </w:r>
      <w:r w:rsidR="00777DCB" w:rsidRPr="00A52585">
        <w:rPr>
          <w:rFonts w:hint="cs"/>
          <w:sz w:val="24"/>
          <w:szCs w:val="24"/>
          <w:rtl/>
        </w:rPr>
        <w:t xml:space="preserve"> رواه الطبراني في " معجمه الكبير " </w:t>
      </w:r>
      <w:r w:rsidRPr="00A52585">
        <w:rPr>
          <w:rFonts w:hint="cs"/>
          <w:sz w:val="24"/>
          <w:szCs w:val="24"/>
          <w:rtl/>
        </w:rPr>
        <w:t>(</w:t>
      </w:r>
      <w:r w:rsidR="00777DCB" w:rsidRPr="00A52585">
        <w:rPr>
          <w:rFonts w:hint="cs"/>
          <w:sz w:val="24"/>
          <w:szCs w:val="24"/>
          <w:rtl/>
        </w:rPr>
        <w:t>24 / 241 برقم 614 و 609</w:t>
      </w:r>
      <w:r w:rsidRPr="00A52585">
        <w:rPr>
          <w:rFonts w:hint="cs"/>
          <w:sz w:val="24"/>
          <w:szCs w:val="24"/>
          <w:rtl/>
        </w:rPr>
        <w:t>)</w:t>
      </w:r>
      <w:r w:rsidR="00777DCB" w:rsidRPr="00A52585">
        <w:rPr>
          <w:rFonts w:hint="cs"/>
          <w:sz w:val="24"/>
          <w:szCs w:val="24"/>
          <w:rtl/>
        </w:rPr>
        <w:t xml:space="preserve"> من طريق سفيان بن عيينة عن ابراهيم بن ميسرة قال سمعت ابن أبي سويد يقول سمعت عمر بن عبد العزيز يقول</w:t>
      </w:r>
      <w:r w:rsidRPr="00A52585">
        <w:rPr>
          <w:rFonts w:hint="cs"/>
          <w:sz w:val="24"/>
          <w:szCs w:val="24"/>
          <w:rtl/>
        </w:rPr>
        <w:t>:</w:t>
      </w:r>
      <w:r w:rsidR="00777DCB" w:rsidRPr="00A52585">
        <w:rPr>
          <w:rFonts w:hint="cs"/>
          <w:sz w:val="24"/>
          <w:szCs w:val="24"/>
          <w:rtl/>
        </w:rPr>
        <w:t xml:space="preserve"> زعمت المرأة الصالحة خولة بنت حكيم أن رسول الله صلى الله عليه وسلم قال</w:t>
      </w:r>
      <w:r w:rsidRPr="00A52585">
        <w:rPr>
          <w:rFonts w:hint="cs"/>
          <w:sz w:val="24"/>
          <w:szCs w:val="24"/>
          <w:rtl/>
        </w:rPr>
        <w:t>:</w:t>
      </w:r>
      <w:r w:rsidR="00777DCB" w:rsidRPr="00A52585">
        <w:rPr>
          <w:rFonts w:hint="cs"/>
          <w:sz w:val="24"/>
          <w:szCs w:val="24"/>
          <w:rtl/>
        </w:rPr>
        <w:t xml:space="preserve"> " الولد محزنة مجبنة مجهلة مبخلة</w:t>
      </w:r>
      <w:r w:rsidR="00DB731D" w:rsidRPr="00A52585">
        <w:rPr>
          <w:rFonts w:hint="cs"/>
          <w:sz w:val="24"/>
          <w:szCs w:val="24"/>
          <w:rtl/>
        </w:rPr>
        <w:t>،</w:t>
      </w:r>
      <w:r w:rsidR="00777DCB" w:rsidRPr="00A52585">
        <w:rPr>
          <w:rFonts w:hint="cs"/>
          <w:sz w:val="24"/>
          <w:szCs w:val="24"/>
          <w:rtl/>
        </w:rPr>
        <w:t xml:space="preserve"> وإن آخر وطأة وطأها الله عز وجل بوج "</w:t>
      </w:r>
      <w:r w:rsidR="00DB731D" w:rsidRPr="00A52585">
        <w:rPr>
          <w:rFonts w:hint="cs"/>
          <w:sz w:val="24"/>
          <w:szCs w:val="24"/>
          <w:rtl/>
        </w:rPr>
        <w:t>،</w:t>
      </w:r>
      <w:r w:rsidR="00777DCB" w:rsidRPr="00A52585">
        <w:rPr>
          <w:rFonts w:hint="cs"/>
          <w:sz w:val="24"/>
          <w:szCs w:val="24"/>
          <w:rtl/>
        </w:rPr>
        <w:t xml:space="preserve"> ورواه من هذا الطريق عن خولة البيهقي في " الاسماء والصفات " ص </w:t>
      </w:r>
      <w:r w:rsidRPr="00A52585">
        <w:rPr>
          <w:rFonts w:hint="cs"/>
          <w:sz w:val="24"/>
          <w:szCs w:val="24"/>
          <w:rtl/>
        </w:rPr>
        <w:t>(</w:t>
      </w:r>
      <w:r w:rsidR="00777DCB" w:rsidRPr="00A52585">
        <w:rPr>
          <w:rFonts w:hint="cs"/>
          <w:sz w:val="24"/>
          <w:szCs w:val="24"/>
          <w:rtl/>
        </w:rPr>
        <w:t>461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والامام أحمد في " مسنده " </w:t>
      </w:r>
      <w:r w:rsidRPr="00A52585">
        <w:rPr>
          <w:rFonts w:hint="cs"/>
          <w:sz w:val="24"/>
          <w:szCs w:val="24"/>
          <w:rtl/>
        </w:rPr>
        <w:t>(</w:t>
      </w:r>
      <w:r w:rsidR="00777DCB" w:rsidRPr="00A52585">
        <w:rPr>
          <w:rFonts w:hint="cs"/>
          <w:sz w:val="24"/>
          <w:szCs w:val="24"/>
          <w:rtl/>
        </w:rPr>
        <w:t>6 / 409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إسناد ضعيف منقطع لان ابن أبي سويد واسمه محمد مجهول كما في </w:t>
      </w:r>
      <w:proofErr w:type="spellStart"/>
      <w:r w:rsidR="00777DCB" w:rsidRPr="00A52585">
        <w:rPr>
          <w:rFonts w:hint="cs"/>
          <w:sz w:val="24"/>
          <w:szCs w:val="24"/>
          <w:rtl/>
        </w:rPr>
        <w:t>االتقريب</w:t>
      </w:r>
      <w:proofErr w:type="spellEnd"/>
      <w:r w:rsidR="00777DCB" w:rsidRPr="00A52585">
        <w:rPr>
          <w:rFonts w:hint="cs"/>
          <w:sz w:val="24"/>
          <w:szCs w:val="24"/>
          <w:rtl/>
        </w:rPr>
        <w:t xml:space="preserve"> " والصحيح أنه لم يرو عنه إلا إبراهيم بن ميسره</w:t>
      </w:r>
      <w:r w:rsidR="00DB731D" w:rsidRPr="00A52585">
        <w:rPr>
          <w:rFonts w:hint="cs"/>
          <w:sz w:val="24"/>
          <w:szCs w:val="24"/>
          <w:rtl/>
        </w:rPr>
        <w:t>،</w:t>
      </w:r>
      <w:r w:rsidR="00777DCB" w:rsidRPr="00A52585">
        <w:rPr>
          <w:rFonts w:hint="cs"/>
          <w:sz w:val="24"/>
          <w:szCs w:val="24"/>
          <w:rtl/>
        </w:rPr>
        <w:t xml:space="preserve"> وسيدنا عمر بن عبد العزيز لم يدرك خوله</w:t>
      </w:r>
      <w:r w:rsidR="00DB731D" w:rsidRPr="00A52585">
        <w:rPr>
          <w:rFonts w:hint="cs"/>
          <w:sz w:val="24"/>
          <w:szCs w:val="24"/>
          <w:rtl/>
        </w:rPr>
        <w:t>،</w:t>
      </w:r>
      <w:r w:rsidR="00777DCB" w:rsidRPr="00A52585">
        <w:rPr>
          <w:rFonts w:hint="cs"/>
          <w:sz w:val="24"/>
          <w:szCs w:val="24"/>
          <w:rtl/>
        </w:rPr>
        <w:t xml:space="preserve"> فهذا إسناد لا ينفع حتى في الشواهد والمتابعات</w:t>
      </w:r>
      <w:r w:rsidR="00DB731D" w:rsidRPr="00A52585">
        <w:rPr>
          <w:rFonts w:hint="cs"/>
          <w:sz w:val="24"/>
          <w:szCs w:val="24"/>
          <w:rtl/>
        </w:rPr>
        <w:t>،</w:t>
      </w:r>
      <w:r w:rsidR="00777DCB" w:rsidRPr="00A52585">
        <w:rPr>
          <w:rFonts w:hint="cs"/>
          <w:sz w:val="24"/>
          <w:szCs w:val="24"/>
          <w:rtl/>
        </w:rPr>
        <w:t xml:space="preserve"> وروي هذا الحديث من طريق آخر دون ذكر لفظة</w:t>
      </w:r>
      <w:r w:rsidRPr="00A52585">
        <w:rPr>
          <w:rFonts w:hint="cs"/>
          <w:sz w:val="24"/>
          <w:szCs w:val="24"/>
          <w:rtl/>
        </w:rPr>
        <w:t>:</w:t>
      </w:r>
      <w:r w:rsidR="00777DCB" w:rsidRPr="00A52585">
        <w:rPr>
          <w:rFonts w:hint="cs"/>
          <w:sz w:val="24"/>
          <w:szCs w:val="24"/>
          <w:rtl/>
        </w:rPr>
        <w:t xml:space="preserve"> " وإن آخر وطأة وطأها الله عز وجل بوج " </w:t>
      </w:r>
      <w:proofErr w:type="spellStart"/>
      <w:r w:rsidR="00777DCB" w:rsidRPr="00A52585">
        <w:rPr>
          <w:rFonts w:hint="cs"/>
          <w:sz w:val="24"/>
          <w:szCs w:val="24"/>
          <w:rtl/>
        </w:rPr>
        <w:t>المستبشعة</w:t>
      </w:r>
      <w:proofErr w:type="spellEnd"/>
      <w:r w:rsidR="00DB731D" w:rsidRPr="00A52585">
        <w:rPr>
          <w:rFonts w:hint="cs"/>
          <w:sz w:val="24"/>
          <w:szCs w:val="24"/>
          <w:rtl/>
        </w:rPr>
        <w:t>،</w:t>
      </w:r>
      <w:r w:rsidR="00777DCB" w:rsidRPr="00A52585">
        <w:rPr>
          <w:rFonts w:hint="cs"/>
          <w:sz w:val="24"/>
          <w:szCs w:val="24"/>
          <w:rtl/>
        </w:rPr>
        <w:t xml:space="preserve"> فقد روى الامام أحمد </w:t>
      </w:r>
      <w:r w:rsidRPr="00A52585">
        <w:rPr>
          <w:rFonts w:hint="cs"/>
          <w:sz w:val="24"/>
          <w:szCs w:val="24"/>
          <w:rtl/>
        </w:rPr>
        <w:t>(</w:t>
      </w:r>
      <w:r w:rsidR="00777DCB" w:rsidRPr="00A52585">
        <w:rPr>
          <w:rFonts w:hint="cs"/>
          <w:sz w:val="24"/>
          <w:szCs w:val="24"/>
          <w:rtl/>
        </w:rPr>
        <w:t>4 / 172</w:t>
      </w:r>
      <w:r w:rsidRPr="00A52585">
        <w:rPr>
          <w:rFonts w:hint="cs"/>
          <w:sz w:val="24"/>
          <w:szCs w:val="24"/>
          <w:rtl/>
        </w:rPr>
        <w:t>)</w:t>
      </w:r>
      <w:r w:rsidR="00777DCB" w:rsidRPr="00A52585">
        <w:rPr>
          <w:rFonts w:hint="cs"/>
          <w:sz w:val="24"/>
          <w:szCs w:val="24"/>
          <w:rtl/>
        </w:rPr>
        <w:t xml:space="preserve"> وابن ماجه </w:t>
      </w:r>
      <w:r w:rsidRPr="00A52585">
        <w:rPr>
          <w:rFonts w:hint="cs"/>
          <w:sz w:val="24"/>
          <w:szCs w:val="24"/>
          <w:rtl/>
        </w:rPr>
        <w:t>(</w:t>
      </w:r>
      <w:r w:rsidR="00777DCB" w:rsidRPr="00A52585">
        <w:rPr>
          <w:rFonts w:hint="cs"/>
          <w:sz w:val="24"/>
          <w:szCs w:val="24"/>
          <w:rtl/>
        </w:rPr>
        <w:t>2 / 1209 برقم 3666</w:t>
      </w:r>
      <w:r w:rsidRPr="00A52585">
        <w:rPr>
          <w:rFonts w:hint="cs"/>
          <w:sz w:val="24"/>
          <w:szCs w:val="24"/>
          <w:rtl/>
        </w:rPr>
        <w:t>)</w:t>
      </w:r>
      <w:r w:rsidR="00777DCB" w:rsidRPr="00A52585">
        <w:rPr>
          <w:rFonts w:hint="cs"/>
          <w:sz w:val="24"/>
          <w:szCs w:val="24"/>
          <w:rtl/>
        </w:rPr>
        <w:t xml:space="preserve"> وابن أبي شيبة </w:t>
      </w:r>
      <w:r w:rsidRPr="00A52585">
        <w:rPr>
          <w:rFonts w:hint="cs"/>
          <w:sz w:val="24"/>
          <w:szCs w:val="24"/>
          <w:rtl/>
        </w:rPr>
        <w:t>(</w:t>
      </w:r>
      <w:r w:rsidR="00777DCB" w:rsidRPr="00A52585">
        <w:rPr>
          <w:rFonts w:hint="cs"/>
          <w:sz w:val="24"/>
          <w:szCs w:val="24"/>
          <w:rtl/>
        </w:rPr>
        <w:t>7 / 512 برقم 6 دار الفكر</w:t>
      </w:r>
      <w:r w:rsidRPr="00A52585">
        <w:rPr>
          <w:rFonts w:hint="cs"/>
          <w:sz w:val="24"/>
          <w:szCs w:val="24"/>
          <w:rtl/>
        </w:rPr>
        <w:t>)</w:t>
      </w:r>
      <w:r w:rsidR="00777DCB" w:rsidRPr="00A52585">
        <w:rPr>
          <w:rFonts w:hint="cs"/>
          <w:sz w:val="24"/>
          <w:szCs w:val="24"/>
          <w:rtl/>
        </w:rPr>
        <w:t xml:space="preserve"> من طريق سعيد بن أبي راشد عن يعلى العامري بلفظ</w:t>
      </w:r>
      <w:r w:rsidRPr="00A52585">
        <w:rPr>
          <w:rFonts w:hint="cs"/>
          <w:sz w:val="24"/>
          <w:szCs w:val="24"/>
          <w:rtl/>
        </w:rPr>
        <w:t>:</w:t>
      </w:r>
      <w:r w:rsidR="00777DCB" w:rsidRPr="00A52585">
        <w:rPr>
          <w:rFonts w:hint="cs"/>
          <w:sz w:val="24"/>
          <w:szCs w:val="24"/>
          <w:rtl/>
        </w:rPr>
        <w:t xml:space="preserve"> " جاء حسن وحسين رضي الله عنهما يستبقان إلى رسول الله صلى الله عليه وسلم فضمهما إليه وقال إن الولد مبخلة مجبنة "</w:t>
      </w:r>
      <w:r w:rsidR="00897A24" w:rsidRPr="00A52585">
        <w:rPr>
          <w:rFonts w:hint="cs"/>
          <w:sz w:val="24"/>
          <w:szCs w:val="24"/>
          <w:rtl/>
        </w:rPr>
        <w:t>.</w:t>
      </w:r>
      <w:r w:rsidR="00777DCB" w:rsidRPr="00A52585">
        <w:rPr>
          <w:rFonts w:hint="cs"/>
          <w:sz w:val="24"/>
          <w:szCs w:val="24"/>
          <w:rtl/>
        </w:rPr>
        <w:t xml:space="preserve"> زاد أحمد في روايته</w:t>
      </w:r>
      <w:r w:rsidRPr="00A52585">
        <w:rPr>
          <w:rFonts w:hint="cs"/>
          <w:sz w:val="24"/>
          <w:szCs w:val="24"/>
          <w:rtl/>
        </w:rPr>
        <w:t>:</w:t>
      </w:r>
      <w:r w:rsidR="00777DCB" w:rsidRPr="00A52585">
        <w:rPr>
          <w:rFonts w:hint="cs"/>
          <w:sz w:val="24"/>
          <w:szCs w:val="24"/>
          <w:rtl/>
        </w:rPr>
        <w:t xml:space="preserve"> " وإن آخر وطأة وطئها الرحمن عز وجل بوج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سعيد بن أبي راشد مجهول</w:t>
      </w:r>
      <w:r w:rsidR="00DB731D" w:rsidRPr="00A52585">
        <w:rPr>
          <w:rFonts w:hint="cs"/>
          <w:sz w:val="24"/>
          <w:szCs w:val="24"/>
          <w:rtl/>
        </w:rPr>
        <w:t>،</w:t>
      </w:r>
      <w:r w:rsidR="00777DCB" w:rsidRPr="00A52585">
        <w:rPr>
          <w:rFonts w:hint="cs"/>
          <w:sz w:val="24"/>
          <w:szCs w:val="24"/>
          <w:rtl/>
        </w:rPr>
        <w:t xml:space="preserve"> ولم يرو عنه غير عبد الله بن عثمان</w:t>
      </w:r>
      <w:r w:rsidR="00DB731D" w:rsidRPr="00A52585">
        <w:rPr>
          <w:rFonts w:hint="cs"/>
          <w:sz w:val="24"/>
          <w:szCs w:val="24"/>
          <w:rtl/>
        </w:rPr>
        <w:t>،</w:t>
      </w:r>
      <w:r w:rsidR="00777DCB" w:rsidRPr="00A52585">
        <w:rPr>
          <w:rFonts w:hint="cs"/>
          <w:sz w:val="24"/>
          <w:szCs w:val="24"/>
          <w:rtl/>
        </w:rPr>
        <w:t xml:space="preserve"> ولم يرو عن يعلى العامري وانما روى عن رجل آخر وهو يعلى بن مرة الثقفي كما</w:t>
      </w:r>
      <w:r w:rsidRPr="00A52585">
        <w:rPr>
          <w:rFonts w:hint="cs"/>
          <w:sz w:val="24"/>
          <w:szCs w:val="24"/>
          <w:rtl/>
        </w:rPr>
        <w:t xml:space="preserve"> </w:t>
      </w:r>
      <w:r w:rsidR="00777DCB" w:rsidRPr="00A52585">
        <w:rPr>
          <w:rFonts w:hint="cs"/>
          <w:sz w:val="24"/>
          <w:szCs w:val="24"/>
          <w:rtl/>
        </w:rPr>
        <w:t xml:space="preserve">في ترجمته من " تهذيب التهذيب " </w:t>
      </w:r>
      <w:r w:rsidRPr="00A52585">
        <w:rPr>
          <w:rFonts w:hint="cs"/>
          <w:sz w:val="24"/>
          <w:szCs w:val="24"/>
          <w:rtl/>
        </w:rPr>
        <w:t>(</w:t>
      </w:r>
      <w:r w:rsidR="00777DCB" w:rsidRPr="00A52585">
        <w:rPr>
          <w:rFonts w:hint="cs"/>
          <w:sz w:val="24"/>
          <w:szCs w:val="24"/>
          <w:rtl/>
        </w:rPr>
        <w:t>4 / 24 دار الفكر</w:t>
      </w:r>
      <w:r w:rsidRPr="00A52585">
        <w:rPr>
          <w:rFonts w:hint="cs"/>
          <w:sz w:val="24"/>
          <w:szCs w:val="24"/>
          <w:rtl/>
        </w:rPr>
        <w:t>)</w:t>
      </w:r>
      <w:r w:rsidR="00777DCB" w:rsidRPr="00A52585">
        <w:rPr>
          <w:rFonts w:hint="cs"/>
          <w:sz w:val="24"/>
          <w:szCs w:val="24"/>
          <w:rtl/>
        </w:rPr>
        <w:t xml:space="preserve"> ويعلى العامري ليس صحابيا حتى يحكي رؤيته لسيدنا الحسن وسيدنا الحسين وهما يستبقان لرسول الله صلى الله عليه وسلم</w:t>
      </w:r>
      <w:r w:rsidR="00897A24"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وقد حصل اضطراب في هذا السند أيضا</w:t>
      </w:r>
      <w:r w:rsidR="00DB731D" w:rsidRPr="00A52585">
        <w:rPr>
          <w:rFonts w:hint="cs"/>
          <w:sz w:val="24"/>
          <w:szCs w:val="24"/>
          <w:rtl/>
        </w:rPr>
        <w:t>،</w:t>
      </w:r>
      <w:r w:rsidR="00777DCB" w:rsidRPr="00A52585">
        <w:rPr>
          <w:rFonts w:hint="cs"/>
          <w:sz w:val="24"/>
          <w:szCs w:val="24"/>
          <w:rtl/>
        </w:rPr>
        <w:t xml:space="preserve"> فتارة يرويه سعيد بن أبي راشد عن يعلى العامري وتارة عن يعلى بن مرة وتارة عن يعلى بن أمية</w:t>
      </w:r>
      <w:r w:rsidR="00DB731D" w:rsidRPr="00A52585">
        <w:rPr>
          <w:rFonts w:hint="cs"/>
          <w:sz w:val="24"/>
          <w:szCs w:val="24"/>
          <w:rtl/>
        </w:rPr>
        <w:t>،</w:t>
      </w:r>
      <w:r w:rsidR="00777DCB" w:rsidRPr="00A52585">
        <w:rPr>
          <w:rFonts w:hint="cs"/>
          <w:sz w:val="24"/>
          <w:szCs w:val="24"/>
          <w:rtl/>
        </w:rPr>
        <w:t xml:space="preserve"> فقد رواه البيهقي في سننه </w:t>
      </w:r>
      <w:r w:rsidRPr="00A52585">
        <w:rPr>
          <w:rFonts w:hint="cs"/>
          <w:sz w:val="24"/>
          <w:szCs w:val="24"/>
          <w:rtl/>
        </w:rPr>
        <w:t>(</w:t>
      </w:r>
      <w:r w:rsidR="00777DCB" w:rsidRPr="00A52585">
        <w:rPr>
          <w:rFonts w:hint="cs"/>
          <w:sz w:val="24"/>
          <w:szCs w:val="24"/>
          <w:rtl/>
        </w:rPr>
        <w:t>10 / 202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 الاسماء والصفات " ص </w:t>
      </w:r>
      <w:r w:rsidRPr="00A52585">
        <w:rPr>
          <w:rFonts w:hint="cs"/>
          <w:sz w:val="24"/>
          <w:szCs w:val="24"/>
          <w:rtl/>
        </w:rPr>
        <w:t>(</w:t>
      </w:r>
      <w:r w:rsidR="00777DCB" w:rsidRPr="00A52585">
        <w:rPr>
          <w:rFonts w:hint="cs"/>
          <w:sz w:val="24"/>
          <w:szCs w:val="24"/>
          <w:rtl/>
        </w:rPr>
        <w:t>461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في " المستدرك " </w:t>
      </w:r>
      <w:r w:rsidRPr="00A52585">
        <w:rPr>
          <w:rFonts w:hint="cs"/>
          <w:sz w:val="24"/>
          <w:szCs w:val="24"/>
          <w:rtl/>
        </w:rPr>
        <w:t>(</w:t>
      </w:r>
      <w:r w:rsidR="00777DCB" w:rsidRPr="00A52585">
        <w:rPr>
          <w:rFonts w:hint="cs"/>
          <w:sz w:val="24"/>
          <w:szCs w:val="24"/>
          <w:rtl/>
        </w:rPr>
        <w:t>3 / 164</w:t>
      </w:r>
      <w:r w:rsidRPr="00A52585">
        <w:rPr>
          <w:rFonts w:hint="cs"/>
          <w:sz w:val="24"/>
          <w:szCs w:val="24"/>
          <w:rtl/>
        </w:rPr>
        <w:t>)</w:t>
      </w:r>
      <w:r w:rsidR="00777DCB" w:rsidRPr="00A52585">
        <w:rPr>
          <w:rFonts w:hint="cs"/>
          <w:sz w:val="24"/>
          <w:szCs w:val="24"/>
          <w:rtl/>
        </w:rPr>
        <w:t xml:space="preserve"> عن يعلى بن مرة الثقفي</w:t>
      </w:r>
      <w:r w:rsidR="00DB731D" w:rsidRPr="00A52585">
        <w:rPr>
          <w:rFonts w:hint="cs"/>
          <w:sz w:val="24"/>
          <w:szCs w:val="24"/>
          <w:rtl/>
        </w:rPr>
        <w:t>،</w:t>
      </w:r>
      <w:r w:rsidR="00777DCB" w:rsidRPr="00A52585">
        <w:rPr>
          <w:rFonts w:hint="cs"/>
          <w:sz w:val="24"/>
          <w:szCs w:val="24"/>
          <w:rtl/>
        </w:rPr>
        <w:t xml:space="preserve"> ويعلى الثقفي صحابي كما في " تهذيب التهذيب " </w:t>
      </w:r>
      <w:r w:rsidRPr="00A52585">
        <w:rPr>
          <w:rFonts w:hint="cs"/>
          <w:sz w:val="24"/>
          <w:szCs w:val="24"/>
          <w:rtl/>
        </w:rPr>
        <w:t>(</w:t>
      </w:r>
      <w:r w:rsidR="00777DCB" w:rsidRPr="00A52585">
        <w:rPr>
          <w:rFonts w:hint="cs"/>
          <w:sz w:val="24"/>
          <w:szCs w:val="24"/>
          <w:rtl/>
        </w:rPr>
        <w:t>11 / 355</w:t>
      </w:r>
      <w:r w:rsidRPr="00A52585">
        <w:rPr>
          <w:rFonts w:hint="cs"/>
          <w:sz w:val="24"/>
          <w:szCs w:val="24"/>
          <w:rtl/>
        </w:rPr>
        <w:t>)</w:t>
      </w:r>
      <w:r w:rsidR="00777DCB" w:rsidRPr="00A52585">
        <w:rPr>
          <w:rFonts w:hint="cs"/>
          <w:sz w:val="24"/>
          <w:szCs w:val="24"/>
          <w:rtl/>
        </w:rPr>
        <w:t xml:space="preserve"> لكن وقع في سند البيهقي والحاكم يعلى بن منبه الثقفي وأظنه تصحيف</w:t>
      </w:r>
      <w:r w:rsidR="00DB731D" w:rsidRPr="00A52585">
        <w:rPr>
          <w:rFonts w:hint="cs"/>
          <w:sz w:val="24"/>
          <w:szCs w:val="24"/>
          <w:rtl/>
        </w:rPr>
        <w:t>،</w:t>
      </w:r>
      <w:r w:rsidR="00777DCB" w:rsidRPr="00A52585">
        <w:rPr>
          <w:rFonts w:hint="cs"/>
          <w:sz w:val="24"/>
          <w:szCs w:val="24"/>
          <w:rtl/>
        </w:rPr>
        <w:t xml:space="preserve"> وقد كتب المصحح لسنن البيهقي</w:t>
      </w:r>
      <w:r w:rsidRPr="00A52585">
        <w:rPr>
          <w:rFonts w:hint="cs"/>
          <w:sz w:val="24"/>
          <w:szCs w:val="24"/>
          <w:rtl/>
        </w:rPr>
        <w:t>:</w:t>
      </w:r>
      <w:r w:rsidR="00777DCB" w:rsidRPr="00A52585">
        <w:rPr>
          <w:rFonts w:hint="cs"/>
          <w:sz w:val="24"/>
          <w:szCs w:val="24"/>
          <w:rtl/>
        </w:rPr>
        <w:t xml:space="preserve"> " بن أمية " وبذلك لا يصح الحديث البتة</w:t>
      </w:r>
      <w:r w:rsidR="00DB731D" w:rsidRPr="00A52585">
        <w:rPr>
          <w:rFonts w:hint="cs"/>
          <w:sz w:val="24"/>
          <w:szCs w:val="24"/>
          <w:rtl/>
        </w:rPr>
        <w:t>،</w:t>
      </w:r>
      <w:r w:rsidR="00777DCB" w:rsidRPr="00A52585">
        <w:rPr>
          <w:rFonts w:hint="cs"/>
          <w:sz w:val="24"/>
          <w:szCs w:val="24"/>
          <w:rtl/>
        </w:rPr>
        <w:t xml:space="preserve"> وخصوصا بالزيادة المنكرة التي فيها ذكر الوطأة ووادي </w:t>
      </w:r>
      <w:proofErr w:type="spellStart"/>
      <w:r w:rsidR="00777DCB" w:rsidRPr="00A52585">
        <w:rPr>
          <w:rFonts w:hint="cs"/>
          <w:sz w:val="24"/>
          <w:szCs w:val="24"/>
          <w:rtl/>
        </w:rPr>
        <w:t>وج</w:t>
      </w:r>
      <w:proofErr w:type="spellEnd"/>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ورواه الحاكم أيضا في المستدرك </w:t>
      </w:r>
      <w:r w:rsidRPr="00A52585">
        <w:rPr>
          <w:rFonts w:hint="cs"/>
          <w:sz w:val="24"/>
          <w:szCs w:val="24"/>
          <w:rtl/>
        </w:rPr>
        <w:t>(</w:t>
      </w:r>
      <w:r w:rsidR="00777DCB" w:rsidRPr="00A52585">
        <w:rPr>
          <w:rFonts w:hint="cs"/>
          <w:sz w:val="24"/>
          <w:szCs w:val="24"/>
          <w:rtl/>
        </w:rPr>
        <w:t>3 / 296</w:t>
      </w:r>
      <w:r w:rsidRPr="00A52585">
        <w:rPr>
          <w:rFonts w:hint="cs"/>
          <w:sz w:val="24"/>
          <w:szCs w:val="24"/>
          <w:rtl/>
        </w:rPr>
        <w:t>)</w:t>
      </w:r>
      <w:r w:rsidR="00777DCB" w:rsidRPr="00A52585">
        <w:rPr>
          <w:rFonts w:hint="cs"/>
          <w:sz w:val="24"/>
          <w:szCs w:val="24"/>
          <w:rtl/>
        </w:rPr>
        <w:t xml:space="preserve"> من طريق آخر دون الزيادة المنكرة فقال</w:t>
      </w:r>
      <w:r w:rsidRPr="00A52585">
        <w:rPr>
          <w:rFonts w:hint="cs"/>
          <w:sz w:val="24"/>
          <w:szCs w:val="24"/>
          <w:rtl/>
        </w:rPr>
        <w:t>:</w:t>
      </w:r>
      <w:r w:rsidR="00777DCB" w:rsidRPr="00A52585">
        <w:rPr>
          <w:rFonts w:hint="cs"/>
          <w:sz w:val="24"/>
          <w:szCs w:val="24"/>
          <w:rtl/>
        </w:rPr>
        <w:t xml:space="preserve"> " أخبرنا معمر عن ابن خثيم عن محمد بن الاسود بن خلف عن أبيه رضي الله عنه أن رسول الله صلى الله عليه وسلم</w:t>
      </w:r>
      <w:r w:rsidRPr="00A52585">
        <w:rPr>
          <w:rFonts w:hint="cs"/>
          <w:sz w:val="24"/>
          <w:szCs w:val="24"/>
          <w:rtl/>
        </w:rPr>
        <w:t>:</w:t>
      </w:r>
      <w:r w:rsidR="00777DCB" w:rsidRPr="00A52585">
        <w:rPr>
          <w:rFonts w:hint="cs"/>
          <w:sz w:val="24"/>
          <w:szCs w:val="24"/>
          <w:rtl/>
        </w:rPr>
        <w:t xml:space="preserve"> أخذ حسينا فقبله ثم أقبل </w:t>
      </w:r>
      <w:r w:rsidR="00777DCB" w:rsidRPr="00A52585">
        <w:rPr>
          <w:rFonts w:hint="cs"/>
          <w:sz w:val="24"/>
          <w:szCs w:val="24"/>
          <w:rtl/>
        </w:rPr>
        <w:lastRenderedPageBreak/>
        <w:t>عليهم فقال</w:t>
      </w:r>
      <w:r w:rsidRPr="00A52585">
        <w:rPr>
          <w:rFonts w:hint="cs"/>
          <w:sz w:val="24"/>
          <w:szCs w:val="24"/>
          <w:rtl/>
        </w:rPr>
        <w:t>:</w:t>
      </w:r>
      <w:r w:rsidR="00777DCB" w:rsidRPr="00A52585">
        <w:rPr>
          <w:rFonts w:hint="cs"/>
          <w:sz w:val="24"/>
          <w:szCs w:val="24"/>
          <w:rtl/>
        </w:rPr>
        <w:t xml:space="preserve"> إن الولد مبخلة مجبنة مجهلة محزنة "</w:t>
      </w:r>
      <w:r w:rsidR="00DB731D" w:rsidRPr="00A52585">
        <w:rPr>
          <w:rFonts w:hint="cs"/>
          <w:sz w:val="24"/>
          <w:szCs w:val="24"/>
          <w:rtl/>
        </w:rPr>
        <w:t>،</w:t>
      </w:r>
      <w:r w:rsidR="00777DCB" w:rsidRPr="00A52585">
        <w:rPr>
          <w:rFonts w:hint="cs"/>
          <w:sz w:val="24"/>
          <w:szCs w:val="24"/>
          <w:rtl/>
        </w:rPr>
        <w:t xml:space="preserve"> قال الذهبي في " الميزان " </w:t>
      </w:r>
      <w:r w:rsidRPr="00A52585">
        <w:rPr>
          <w:rFonts w:hint="cs"/>
          <w:sz w:val="24"/>
          <w:szCs w:val="24"/>
          <w:rtl/>
        </w:rPr>
        <w:t>(</w:t>
      </w:r>
      <w:r w:rsidR="00777DCB" w:rsidRPr="00A52585">
        <w:rPr>
          <w:rFonts w:hint="cs"/>
          <w:sz w:val="24"/>
          <w:szCs w:val="24"/>
          <w:rtl/>
        </w:rPr>
        <w:t>3 / 485</w:t>
      </w:r>
      <w:r w:rsidRPr="00A52585">
        <w:rPr>
          <w:rFonts w:hint="cs"/>
          <w:sz w:val="24"/>
          <w:szCs w:val="24"/>
          <w:rtl/>
        </w:rPr>
        <w:t>):</w:t>
      </w:r>
      <w:r w:rsidR="00777DCB" w:rsidRPr="00A52585">
        <w:rPr>
          <w:rFonts w:hint="cs"/>
          <w:sz w:val="24"/>
          <w:szCs w:val="24"/>
          <w:rtl/>
        </w:rPr>
        <w:t xml:space="preserve"> " محمد بن أسود بن خلف</w:t>
      </w:r>
      <w:r w:rsidR="00DB731D" w:rsidRPr="00A52585">
        <w:rPr>
          <w:rFonts w:hint="cs"/>
          <w:sz w:val="24"/>
          <w:szCs w:val="24"/>
          <w:rtl/>
        </w:rPr>
        <w:t>،</w:t>
      </w:r>
      <w:r w:rsidR="00777DCB" w:rsidRPr="00A52585">
        <w:rPr>
          <w:rFonts w:hint="cs"/>
          <w:sz w:val="24"/>
          <w:szCs w:val="24"/>
          <w:rtl/>
        </w:rPr>
        <w:t xml:space="preserve"> عن أبيه</w:t>
      </w:r>
      <w:r w:rsidR="00897A24" w:rsidRPr="00A52585">
        <w:rPr>
          <w:rFonts w:hint="cs"/>
          <w:sz w:val="24"/>
          <w:szCs w:val="24"/>
          <w:rtl/>
        </w:rPr>
        <w:t>...</w:t>
      </w:r>
      <w:r w:rsidR="00777DCB" w:rsidRPr="00A52585">
        <w:rPr>
          <w:rFonts w:hint="cs"/>
          <w:sz w:val="24"/>
          <w:szCs w:val="24"/>
          <w:rtl/>
        </w:rPr>
        <w:t xml:space="preserve"> لا يعرف هو ولا أبوه</w:t>
      </w:r>
      <w:r w:rsidR="00897A24" w:rsidRPr="00A52585">
        <w:rPr>
          <w:rFonts w:hint="cs"/>
          <w:sz w:val="24"/>
          <w:szCs w:val="24"/>
          <w:rtl/>
        </w:rPr>
        <w:t>.</w:t>
      </w:r>
      <w:r w:rsidR="00777DCB" w:rsidRPr="00A52585">
        <w:rPr>
          <w:rFonts w:hint="cs"/>
          <w:sz w:val="24"/>
          <w:szCs w:val="24"/>
          <w:rtl/>
        </w:rPr>
        <w:t xml:space="preserve"> تفرد عنه عبد الله بن عثمان بن خثيم " اه‍</w:t>
      </w:r>
      <w:r w:rsidR="00DB731D" w:rsidRPr="00A52585">
        <w:rPr>
          <w:rFonts w:hint="cs"/>
          <w:sz w:val="24"/>
          <w:szCs w:val="24"/>
          <w:rtl/>
        </w:rPr>
        <w:t>،</w:t>
      </w:r>
      <w:r w:rsidR="00777DCB" w:rsidRPr="00A52585">
        <w:rPr>
          <w:rFonts w:hint="cs"/>
          <w:sz w:val="24"/>
          <w:szCs w:val="24"/>
          <w:rtl/>
        </w:rPr>
        <w:t xml:space="preserve"> وذكر البخاري في " تاريخه " </w:t>
      </w:r>
      <w:r w:rsidRPr="00A52585">
        <w:rPr>
          <w:rFonts w:hint="cs"/>
          <w:sz w:val="24"/>
          <w:szCs w:val="24"/>
          <w:rtl/>
        </w:rPr>
        <w:t>(</w:t>
      </w:r>
      <w:r w:rsidR="00777DCB" w:rsidRPr="00A52585">
        <w:rPr>
          <w:rFonts w:hint="cs"/>
          <w:sz w:val="24"/>
          <w:szCs w:val="24"/>
          <w:rtl/>
        </w:rPr>
        <w:t>1 / 29</w:t>
      </w:r>
      <w:r w:rsidRPr="00A52585">
        <w:rPr>
          <w:rFonts w:hint="cs"/>
          <w:sz w:val="24"/>
          <w:szCs w:val="24"/>
          <w:rtl/>
        </w:rPr>
        <w:t>)</w:t>
      </w:r>
      <w:r w:rsidR="00777DCB" w:rsidRPr="00A52585">
        <w:rPr>
          <w:rFonts w:hint="cs"/>
          <w:sz w:val="24"/>
          <w:szCs w:val="24"/>
          <w:rtl/>
        </w:rPr>
        <w:t xml:space="preserve"> راو آخر عنه وهو أبو الزبير </w:t>
      </w:r>
      <w:proofErr w:type="spellStart"/>
      <w:r w:rsidR="00777DCB" w:rsidRPr="00A52585">
        <w:rPr>
          <w:rFonts w:hint="cs"/>
          <w:sz w:val="24"/>
          <w:szCs w:val="24"/>
          <w:rtl/>
        </w:rPr>
        <w:t>بالعنعنة</w:t>
      </w:r>
      <w:proofErr w:type="spellEnd"/>
      <w:r w:rsidR="00777DCB" w:rsidRPr="00A52585">
        <w:rPr>
          <w:rFonts w:hint="cs"/>
          <w:sz w:val="24"/>
          <w:szCs w:val="24"/>
          <w:rtl/>
        </w:rPr>
        <w:t xml:space="preserve"> وهو مدلس</w:t>
      </w:r>
      <w:r w:rsidR="00DB731D" w:rsidRPr="00A52585">
        <w:rPr>
          <w:rFonts w:hint="cs"/>
          <w:sz w:val="24"/>
          <w:szCs w:val="24"/>
          <w:rtl/>
        </w:rPr>
        <w:t>،</w:t>
      </w:r>
      <w:r w:rsidR="00777DCB" w:rsidRPr="00A52585">
        <w:rPr>
          <w:rFonts w:hint="cs"/>
          <w:sz w:val="24"/>
          <w:szCs w:val="24"/>
          <w:rtl/>
        </w:rPr>
        <w:t xml:space="preserve"> فلا ينفع هذا</w:t>
      </w:r>
      <w:r w:rsidR="00DB731D" w:rsidRPr="00A52585">
        <w:rPr>
          <w:rFonts w:hint="cs"/>
          <w:sz w:val="24"/>
          <w:szCs w:val="24"/>
          <w:rtl/>
        </w:rPr>
        <w:t>،</w:t>
      </w:r>
      <w:r w:rsidR="00777DCB" w:rsidRPr="00A52585">
        <w:rPr>
          <w:rFonts w:hint="cs"/>
          <w:sz w:val="24"/>
          <w:szCs w:val="24"/>
          <w:rtl/>
        </w:rPr>
        <w:t xml:space="preserve"> وذكره ابن حبان في الثقات</w:t>
      </w:r>
      <w:r w:rsidR="00DB731D" w:rsidRPr="00A52585">
        <w:rPr>
          <w:rFonts w:hint="cs"/>
          <w:sz w:val="24"/>
          <w:szCs w:val="24"/>
          <w:rtl/>
        </w:rPr>
        <w:t>،</w:t>
      </w:r>
      <w:r w:rsidR="00777DCB" w:rsidRPr="00A52585">
        <w:rPr>
          <w:rFonts w:hint="cs"/>
          <w:sz w:val="24"/>
          <w:szCs w:val="24"/>
          <w:rtl/>
        </w:rPr>
        <w:t xml:space="preserve"> ولا ينفع ذلك أيضا</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ومنه تعلم أن المحدث</w:t>
      </w:r>
      <w:r w:rsidR="00F95886" w:rsidRPr="00A52585">
        <w:rPr>
          <w:rFonts w:hint="cs"/>
          <w:sz w:val="24"/>
          <w:szCs w:val="24"/>
          <w:rtl/>
        </w:rPr>
        <w:t>!!</w:t>
      </w:r>
      <w:r w:rsidR="00777DCB" w:rsidRPr="00A52585">
        <w:rPr>
          <w:rFonts w:hint="cs"/>
          <w:sz w:val="24"/>
          <w:szCs w:val="24"/>
          <w:rtl/>
        </w:rPr>
        <w:t xml:space="preserve"> المتناقض</w:t>
      </w:r>
      <w:r w:rsidR="00F95886" w:rsidRPr="00A52585">
        <w:rPr>
          <w:rFonts w:hint="cs"/>
          <w:sz w:val="24"/>
          <w:szCs w:val="24"/>
          <w:rtl/>
        </w:rPr>
        <w:t>!!</w:t>
      </w:r>
      <w:r w:rsidR="00777DCB" w:rsidRPr="00A52585">
        <w:rPr>
          <w:rFonts w:hint="cs"/>
          <w:sz w:val="24"/>
          <w:szCs w:val="24"/>
          <w:rtl/>
        </w:rPr>
        <w:t xml:space="preserve"> قد أخطأ حين صحح الحديث في " صحيح ابن ماجه " </w:t>
      </w:r>
      <w:r w:rsidRPr="00A52585">
        <w:rPr>
          <w:rFonts w:hint="cs"/>
          <w:sz w:val="24"/>
          <w:szCs w:val="24"/>
          <w:rtl/>
        </w:rPr>
        <w:t>(</w:t>
      </w:r>
      <w:r w:rsidR="00777DCB" w:rsidRPr="00A52585">
        <w:rPr>
          <w:rFonts w:hint="cs"/>
          <w:sz w:val="24"/>
          <w:szCs w:val="24"/>
          <w:rtl/>
        </w:rPr>
        <w:t>2 / 295 برقم 2957</w:t>
      </w:r>
      <w:r w:rsidRPr="00A52585">
        <w:rPr>
          <w:rFonts w:hint="cs"/>
          <w:sz w:val="24"/>
          <w:szCs w:val="24"/>
          <w:rtl/>
        </w:rPr>
        <w:t>)</w:t>
      </w:r>
      <w:r w:rsidR="00777DCB" w:rsidRPr="00A52585">
        <w:rPr>
          <w:rFonts w:hint="cs"/>
          <w:sz w:val="24"/>
          <w:szCs w:val="24"/>
          <w:rtl/>
        </w:rPr>
        <w:t xml:space="preserve"> وفي " صحيح الجامع وزيادته " برقم </w:t>
      </w:r>
      <w:r w:rsidRPr="00A52585">
        <w:rPr>
          <w:rFonts w:hint="cs"/>
          <w:sz w:val="24"/>
          <w:szCs w:val="24"/>
          <w:rtl/>
        </w:rPr>
        <w:t>(</w:t>
      </w:r>
      <w:r w:rsidR="00777DCB" w:rsidRPr="00A52585">
        <w:rPr>
          <w:rFonts w:hint="cs"/>
          <w:sz w:val="24"/>
          <w:szCs w:val="24"/>
          <w:rtl/>
        </w:rPr>
        <w:t>1985 و 1986</w:t>
      </w:r>
      <w:r w:rsidRPr="00A52585">
        <w:rPr>
          <w:rFonts w:hint="cs"/>
          <w:sz w:val="24"/>
          <w:szCs w:val="24"/>
          <w:rtl/>
        </w:rPr>
        <w:t>)</w:t>
      </w:r>
      <w:r w:rsidR="00777DCB" w:rsidRPr="00A52585">
        <w:rPr>
          <w:rFonts w:hint="cs"/>
          <w:sz w:val="24"/>
          <w:szCs w:val="24"/>
          <w:rtl/>
        </w:rPr>
        <w:t xml:space="preserve"> لأنّه قلد في ذلك المناوي في " فيض القدير " </w:t>
      </w:r>
      <w:r w:rsidRPr="00A52585">
        <w:rPr>
          <w:rFonts w:hint="cs"/>
          <w:sz w:val="24"/>
          <w:szCs w:val="24"/>
          <w:rtl/>
        </w:rPr>
        <w:t>(</w:t>
      </w:r>
      <w:r w:rsidR="00777DCB" w:rsidRPr="00A52585">
        <w:rPr>
          <w:rFonts w:hint="cs"/>
          <w:sz w:val="24"/>
          <w:szCs w:val="24"/>
          <w:rtl/>
        </w:rPr>
        <w:t>2 / 403</w:t>
      </w:r>
      <w:r w:rsidRPr="00A52585">
        <w:rPr>
          <w:rFonts w:hint="cs"/>
          <w:sz w:val="24"/>
          <w:szCs w:val="24"/>
          <w:rtl/>
        </w:rPr>
        <w:t>)</w:t>
      </w:r>
      <w:r w:rsidR="00777DCB" w:rsidRPr="00A52585">
        <w:rPr>
          <w:rFonts w:hint="cs"/>
          <w:sz w:val="24"/>
          <w:szCs w:val="24"/>
          <w:rtl/>
        </w:rPr>
        <w:t xml:space="preserve"> والله الهادي</w:t>
      </w:r>
      <w:r w:rsidR="00DB731D" w:rsidRPr="00A52585">
        <w:rPr>
          <w:rFonts w:hint="cs"/>
          <w:sz w:val="24"/>
          <w:szCs w:val="24"/>
          <w:rtl/>
        </w:rPr>
        <w:t>،</w:t>
      </w:r>
      <w:r w:rsidR="00777DCB" w:rsidRPr="00A52585">
        <w:rPr>
          <w:rFonts w:hint="cs"/>
          <w:sz w:val="24"/>
          <w:szCs w:val="24"/>
          <w:rtl/>
        </w:rPr>
        <w:t xml:space="preserve"> وملخص الكلام في هذا الحديث أن شطره الاول</w:t>
      </w:r>
      <w:r w:rsidRPr="00A52585">
        <w:rPr>
          <w:rFonts w:hint="cs"/>
          <w:sz w:val="24"/>
          <w:szCs w:val="24"/>
          <w:rtl/>
        </w:rPr>
        <w:t>:</w:t>
      </w:r>
      <w:r w:rsidR="00777DCB" w:rsidRPr="00A52585">
        <w:rPr>
          <w:rFonts w:hint="cs"/>
          <w:sz w:val="24"/>
          <w:szCs w:val="24"/>
          <w:rtl/>
        </w:rPr>
        <w:t xml:space="preserve"> " إن الولد مبخلة مجبنة مجهلة محزنة " قد يحسن لغيره لبعض شواهد ضعيفة أيضا كحديث السيدة عائشة رضي الله عنها في " شرح السنة للبغوي " </w:t>
      </w:r>
      <w:r w:rsidRPr="00A52585">
        <w:rPr>
          <w:rFonts w:hint="cs"/>
          <w:sz w:val="24"/>
          <w:szCs w:val="24"/>
          <w:rtl/>
        </w:rPr>
        <w:t>(</w:t>
      </w:r>
      <w:r w:rsidR="00777DCB" w:rsidRPr="00A52585">
        <w:rPr>
          <w:rFonts w:hint="cs"/>
          <w:sz w:val="24"/>
          <w:szCs w:val="24"/>
          <w:rtl/>
        </w:rPr>
        <w:t>13 / 35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وحديث أبي سعيد الخدري عند البزار </w:t>
      </w:r>
      <w:r w:rsidRPr="00A52585">
        <w:rPr>
          <w:rFonts w:hint="cs"/>
          <w:sz w:val="24"/>
          <w:szCs w:val="24"/>
          <w:rtl/>
        </w:rPr>
        <w:t>(</w:t>
      </w:r>
      <w:r w:rsidR="00777DCB" w:rsidRPr="00A52585">
        <w:rPr>
          <w:rFonts w:hint="cs"/>
          <w:sz w:val="24"/>
          <w:szCs w:val="24"/>
          <w:rtl/>
        </w:rPr>
        <w:t>برقم 1891 و 1892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وأما شطره الثاني</w:t>
      </w:r>
      <w:r w:rsidRPr="00A52585">
        <w:rPr>
          <w:rFonts w:hint="cs"/>
          <w:sz w:val="24"/>
          <w:szCs w:val="24"/>
          <w:rtl/>
        </w:rPr>
        <w:t>:</w:t>
      </w:r>
      <w:r w:rsidR="00777DCB" w:rsidRPr="00A52585">
        <w:rPr>
          <w:rFonts w:hint="cs"/>
          <w:sz w:val="24"/>
          <w:szCs w:val="24"/>
          <w:rtl/>
        </w:rPr>
        <w:t xml:space="preserve"> " آخر وطأة وطئها الرحمن بوج " فمنكر تالف وهو بالموضوع أشبه</w:t>
      </w:r>
      <w:r w:rsidRPr="00A52585">
        <w:rPr>
          <w:rFonts w:hint="cs"/>
          <w:sz w:val="24"/>
          <w:szCs w:val="24"/>
          <w:rtl/>
        </w:rPr>
        <w:t>]</w:t>
      </w:r>
      <w:r w:rsidR="00DB731D" w:rsidRPr="00A52585">
        <w:rPr>
          <w:rFonts w:hint="cs"/>
          <w:rtl/>
        </w:rPr>
        <w:t>،</w:t>
      </w:r>
      <w:r w:rsidR="00777DCB" w:rsidRPr="00A52585">
        <w:rPr>
          <w:rFonts w:hint="cs"/>
          <w:rtl/>
        </w:rPr>
        <w:t xml:space="preserve"> </w:t>
      </w:r>
      <w:proofErr w:type="spellStart"/>
      <w:r w:rsidR="00777DCB" w:rsidRPr="00A52585">
        <w:rPr>
          <w:rFonts w:hint="cs"/>
          <w:rtl/>
        </w:rPr>
        <w:t>ووج</w:t>
      </w:r>
      <w:proofErr w:type="spellEnd"/>
      <w:r w:rsidR="00777DCB" w:rsidRPr="00A52585">
        <w:rPr>
          <w:rFonts w:hint="cs"/>
          <w:rtl/>
        </w:rPr>
        <w:t xml:space="preserve"> واد بالطائف</w:t>
      </w:r>
      <w:r w:rsidR="00DB731D" w:rsidRPr="00A52585">
        <w:rPr>
          <w:rFonts w:hint="cs"/>
          <w:rtl/>
        </w:rPr>
        <w:t>،</w:t>
      </w:r>
      <w:r w:rsidR="00777DCB" w:rsidRPr="00A52585">
        <w:rPr>
          <w:rFonts w:hint="cs"/>
          <w:rtl/>
        </w:rPr>
        <w:t xml:space="preserve"> وهي آخر وقعة أوقعها الله بالمشركين على يد رسول الله صلى الله عليه وسلم</w:t>
      </w:r>
      <w:r w:rsidR="00DB731D" w:rsidRPr="00A52585">
        <w:rPr>
          <w:rFonts w:hint="cs"/>
          <w:rtl/>
        </w:rPr>
        <w:t>،</w:t>
      </w:r>
      <w:r w:rsidR="00777DCB" w:rsidRPr="00A52585">
        <w:rPr>
          <w:rFonts w:hint="cs"/>
          <w:rtl/>
        </w:rPr>
        <w:t xml:space="preserve"> ومنه قوله</w:t>
      </w:r>
      <w:r w:rsidRPr="00A52585">
        <w:rPr>
          <w:rFonts w:hint="cs"/>
          <w:rtl/>
        </w:rPr>
        <w:t>:</w:t>
      </w:r>
      <w:r w:rsidR="00777DCB" w:rsidRPr="00A52585">
        <w:rPr>
          <w:rFonts w:hint="cs"/>
          <w:rtl/>
        </w:rPr>
        <w:t xml:space="preserve"> " اللهم اشدد وطأتك على مضر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w:t>
      </w:r>
      <w:r w:rsidRPr="00A52585">
        <w:rPr>
          <w:rFonts w:hint="cs"/>
          <w:sz w:val="24"/>
          <w:szCs w:val="24"/>
          <w:rtl/>
        </w:rPr>
        <w:t>(</w:t>
      </w:r>
      <w:r w:rsidR="00777DCB" w:rsidRPr="00A52585">
        <w:rPr>
          <w:rFonts w:hint="cs"/>
          <w:sz w:val="24"/>
          <w:szCs w:val="24"/>
          <w:rtl/>
        </w:rPr>
        <w:t>فتح 2 / 492</w:t>
      </w:r>
      <w:r w:rsidRPr="00A52585">
        <w:rPr>
          <w:rFonts w:hint="cs"/>
          <w:sz w:val="24"/>
          <w:szCs w:val="24"/>
          <w:rtl/>
        </w:rPr>
        <w:t>)</w:t>
      </w:r>
      <w:r w:rsidR="00777DCB" w:rsidRPr="00A52585">
        <w:rPr>
          <w:rFonts w:hint="cs"/>
          <w:sz w:val="24"/>
          <w:szCs w:val="24"/>
          <w:rtl/>
        </w:rPr>
        <w:t xml:space="preserve"> ومسلم </w:t>
      </w:r>
      <w:r w:rsidRPr="00A52585">
        <w:rPr>
          <w:rFonts w:hint="cs"/>
          <w:sz w:val="24"/>
          <w:szCs w:val="24"/>
          <w:rtl/>
        </w:rPr>
        <w:t>(</w:t>
      </w:r>
      <w:r w:rsidR="00777DCB" w:rsidRPr="00A52585">
        <w:rPr>
          <w:rFonts w:hint="cs"/>
          <w:sz w:val="24"/>
          <w:szCs w:val="24"/>
          <w:rtl/>
        </w:rPr>
        <w:t>1 / 466 برقم 675</w:t>
      </w:r>
      <w:r w:rsidRPr="00A52585">
        <w:rPr>
          <w:rFonts w:hint="cs"/>
          <w:sz w:val="24"/>
          <w:szCs w:val="24"/>
          <w:rtl/>
        </w:rPr>
        <w:t>)</w:t>
      </w:r>
      <w:r w:rsidR="00777DCB" w:rsidRPr="00A52585">
        <w:rPr>
          <w:rFonts w:hint="cs"/>
          <w:sz w:val="24"/>
          <w:szCs w:val="24"/>
          <w:rtl/>
        </w:rPr>
        <w:t xml:space="preserve"> كلاهما في مواضع وغيرهما</w:t>
      </w:r>
      <w:r w:rsidRPr="00A52585">
        <w:rPr>
          <w:rFonts w:hint="cs"/>
          <w:sz w:val="24"/>
          <w:szCs w:val="24"/>
          <w:rtl/>
        </w:rPr>
        <w:t>]</w:t>
      </w:r>
      <w:r w:rsidR="00777DCB" w:rsidRPr="00A52585">
        <w:rPr>
          <w:rFonts w:hint="cs"/>
          <w:rtl/>
        </w:rPr>
        <w:t>، والوطأة مأخوذة من القدم</w:t>
      </w:r>
      <w:r w:rsidR="00DB731D" w:rsidRPr="00A52585">
        <w:rPr>
          <w:rFonts w:hint="cs"/>
          <w:rtl/>
        </w:rPr>
        <w:t>،</w:t>
      </w:r>
      <w:r w:rsidR="00777DCB" w:rsidRPr="00A52585">
        <w:rPr>
          <w:rFonts w:hint="cs"/>
          <w:rtl/>
        </w:rPr>
        <w:t xml:space="preserve"> وإلى هذا ذهب ابن قتيبة وغيره وقال سفيان بن عيينة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تأويل من سفيان بن عيينة للحديث وهو من أئمة السلف</w:t>
      </w:r>
      <w:r w:rsidRPr="00A52585">
        <w:rPr>
          <w:rFonts w:hint="cs"/>
          <w:sz w:val="24"/>
          <w:szCs w:val="24"/>
          <w:rtl/>
        </w:rPr>
        <w:t>]</w:t>
      </w:r>
      <w:r w:rsidR="00777DCB" w:rsidRPr="00A52585">
        <w:rPr>
          <w:rFonts w:hint="cs"/>
          <w:rtl/>
        </w:rPr>
        <w:t xml:space="preserve"> في تفسير هذا الحديث</w:t>
      </w:r>
      <w:r w:rsidRPr="00A52585">
        <w:rPr>
          <w:rFonts w:hint="cs"/>
          <w:rtl/>
        </w:rPr>
        <w:t>:</w:t>
      </w:r>
      <w:r w:rsidR="00777DCB" w:rsidRPr="00A52585">
        <w:rPr>
          <w:rFonts w:hint="cs"/>
          <w:rtl/>
        </w:rPr>
        <w:t xml:space="preserve"> آخر غزاة غزاها رسول الله صلى الله عليه وسلم بالطائف</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غير ممتنع على أصولنا</w:t>
      </w:r>
      <w:r w:rsidR="00DB731D" w:rsidRPr="00A52585">
        <w:rPr>
          <w:rFonts w:hint="cs"/>
          <w:rtl/>
        </w:rPr>
        <w:t>،</w:t>
      </w:r>
      <w:r w:rsidR="00777DCB" w:rsidRPr="00A52585">
        <w:rPr>
          <w:rFonts w:hint="cs"/>
          <w:rtl/>
        </w:rPr>
        <w:t xml:space="preserve"> حمل هذا الخبر على ظاهره</w:t>
      </w:r>
      <w:r w:rsidR="00DB731D" w:rsidRPr="00A52585">
        <w:rPr>
          <w:rFonts w:hint="cs"/>
          <w:rtl/>
        </w:rPr>
        <w:t>،</w:t>
      </w:r>
      <w:r w:rsidR="00777DCB" w:rsidRPr="00A52585">
        <w:rPr>
          <w:rFonts w:hint="cs"/>
          <w:rtl/>
        </w:rPr>
        <w:t xml:space="preserve"> وإن ذلك المعنى بالذات دون الفعل</w:t>
      </w:r>
      <w:r w:rsidR="00DB731D" w:rsidRPr="00A52585">
        <w:rPr>
          <w:rFonts w:hint="cs"/>
          <w:rtl/>
        </w:rPr>
        <w:t>،</w:t>
      </w:r>
      <w:r w:rsidR="00777DCB" w:rsidRPr="00A52585">
        <w:rPr>
          <w:rFonts w:hint="cs"/>
          <w:rtl/>
        </w:rPr>
        <w:t xml:space="preserve"> لانا حملنا قوله</w:t>
      </w:r>
      <w:r w:rsidRPr="00A52585">
        <w:rPr>
          <w:rFonts w:hint="cs"/>
          <w:rtl/>
        </w:rPr>
        <w:t>:</w:t>
      </w:r>
      <w:r w:rsidR="00777DCB" w:rsidRPr="00A52585">
        <w:rPr>
          <w:rFonts w:hint="cs"/>
          <w:rtl/>
        </w:rPr>
        <w:t xml:space="preserve"> " ينزل ويضع قدمه في النار " على الذات</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وهذا الرجل يشير بأصولهم إلى ما يوجب التجسيم والانتقال والحركة</w:t>
      </w:r>
      <w:r w:rsidR="00DB731D" w:rsidRPr="00A52585">
        <w:rPr>
          <w:rFonts w:hint="cs"/>
          <w:rtl/>
        </w:rPr>
        <w:t>،</w:t>
      </w:r>
      <w:r w:rsidR="00777DCB" w:rsidRPr="00A52585">
        <w:rPr>
          <w:rFonts w:hint="cs"/>
          <w:rtl/>
        </w:rPr>
        <w:t xml:space="preserve"> وهذا مع التشبيه بعيد عن اللغة ومعرفة التواريخ وأدلة العقول</w:t>
      </w:r>
      <w:r w:rsidR="00DB731D" w:rsidRPr="00A52585">
        <w:rPr>
          <w:rFonts w:hint="cs"/>
          <w:rtl/>
        </w:rPr>
        <w:t>،</w:t>
      </w:r>
      <w:r w:rsidR="00777DCB" w:rsidRPr="00A52585">
        <w:rPr>
          <w:rFonts w:hint="cs"/>
          <w:rtl/>
        </w:rPr>
        <w:t xml:space="preserve"> وإنما اغتر بحديث روي عن كعب أنه قال</w:t>
      </w:r>
      <w:r w:rsidRPr="00A52585">
        <w:rPr>
          <w:rFonts w:hint="cs"/>
          <w:rtl/>
        </w:rPr>
        <w:t>:</w:t>
      </w:r>
      <w:r w:rsidR="00777DCB" w:rsidRPr="00A52585">
        <w:rPr>
          <w:rFonts w:hint="cs"/>
          <w:rtl/>
        </w:rPr>
        <w:t xml:space="preserve"> " </w:t>
      </w:r>
      <w:proofErr w:type="spellStart"/>
      <w:r w:rsidR="00777DCB" w:rsidRPr="00A52585">
        <w:rPr>
          <w:rFonts w:hint="cs"/>
          <w:rtl/>
        </w:rPr>
        <w:t>ووج</w:t>
      </w:r>
      <w:proofErr w:type="spellEnd"/>
      <w:r w:rsidR="00777DCB" w:rsidRPr="00A52585">
        <w:rPr>
          <w:rFonts w:hint="cs"/>
          <w:rtl/>
        </w:rPr>
        <w:t xml:space="preserve"> مقدس</w:t>
      </w:r>
      <w:r w:rsidR="00DB731D" w:rsidRPr="00A52585">
        <w:rPr>
          <w:rFonts w:hint="cs"/>
          <w:rtl/>
        </w:rPr>
        <w:t>،</w:t>
      </w:r>
      <w:r w:rsidR="00777DCB" w:rsidRPr="00A52585">
        <w:rPr>
          <w:rFonts w:hint="cs"/>
          <w:rtl/>
        </w:rPr>
        <w:t xml:space="preserve"> منه عرج الرب إلى السماء</w:t>
      </w:r>
      <w:r w:rsidR="00DB731D" w:rsidRPr="00A52585">
        <w:rPr>
          <w:rFonts w:hint="cs"/>
          <w:rtl/>
        </w:rPr>
        <w:t>،</w:t>
      </w:r>
      <w:r w:rsidR="00777DCB" w:rsidRPr="00A52585">
        <w:rPr>
          <w:rFonts w:hint="cs"/>
          <w:rtl/>
        </w:rPr>
        <w:t xml:space="preserve"> ثم قضى خلق الارض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ولعل هذا هو أصل الحديث الاول وهو مما جاء به كعب الاحبار من الاسرائيليات التي كان يسردها للناس</w:t>
      </w:r>
      <w:r w:rsidRPr="00A52585">
        <w:rPr>
          <w:rFonts w:hint="cs"/>
          <w:sz w:val="24"/>
          <w:szCs w:val="24"/>
          <w:rtl/>
        </w:rPr>
        <w:t>]</w:t>
      </w:r>
      <w:r w:rsidR="00DB731D" w:rsidRPr="00A52585">
        <w:rPr>
          <w:rFonts w:hint="cs"/>
          <w:rtl/>
        </w:rPr>
        <w:t>،</w:t>
      </w:r>
      <w:r w:rsidR="00777DCB" w:rsidRPr="00A52585">
        <w:rPr>
          <w:rFonts w:hint="cs"/>
          <w:rtl/>
        </w:rPr>
        <w:t xml:space="preserve"> وهذا لو صح عن كعب احتمل أن يكون حاكيا عن أهل الكتاب</w:t>
      </w:r>
      <w:r w:rsidR="00DB731D" w:rsidRPr="00A52585">
        <w:rPr>
          <w:rFonts w:hint="cs"/>
          <w:rtl/>
        </w:rPr>
        <w:t>،</w:t>
      </w:r>
      <w:r w:rsidR="00777DCB" w:rsidRPr="00A52585">
        <w:rPr>
          <w:rFonts w:hint="cs"/>
          <w:rtl/>
        </w:rPr>
        <w:t xml:space="preserve"> وكان يحكي عنهم كثيرا</w:t>
      </w:r>
      <w:r w:rsidR="00DB731D" w:rsidRPr="00A52585">
        <w:rPr>
          <w:rFonts w:hint="cs"/>
          <w:rtl/>
        </w:rPr>
        <w:t>،</w:t>
      </w:r>
      <w:r w:rsidR="00777DCB" w:rsidRPr="00A52585">
        <w:rPr>
          <w:rFonts w:hint="cs"/>
          <w:rtl/>
        </w:rPr>
        <w:t xml:space="preserve"> ولو قدرناه من قوله كان معناه</w:t>
      </w:r>
      <w:r w:rsidRPr="00A52585">
        <w:rPr>
          <w:rFonts w:hint="cs"/>
          <w:rtl/>
        </w:rPr>
        <w:t>:</w:t>
      </w:r>
      <w:r w:rsidR="00777DCB" w:rsidRPr="00A52585">
        <w:rPr>
          <w:rFonts w:hint="cs"/>
          <w:rtl/>
        </w:rPr>
        <w:t xml:space="preserve"> أن ذلك المكان آخر ما استوى من الارض لما خلقت</w:t>
      </w:r>
      <w:r w:rsidR="00DB731D" w:rsidRPr="00A52585">
        <w:rPr>
          <w:rFonts w:hint="cs"/>
          <w:rtl/>
        </w:rPr>
        <w:t>،</w:t>
      </w:r>
      <w:r w:rsidR="00777DCB" w:rsidRPr="00A52585">
        <w:rPr>
          <w:rFonts w:hint="cs"/>
          <w:rtl/>
        </w:rPr>
        <w:t xml:space="preserve"> ثم عرج الرب</w:t>
      </w:r>
      <w:r w:rsidR="00DB731D" w:rsidRPr="00A52585">
        <w:rPr>
          <w:rFonts w:hint="cs"/>
          <w:rtl/>
        </w:rPr>
        <w:t>،</w:t>
      </w:r>
      <w:r w:rsidR="00777DCB" w:rsidRPr="00A52585">
        <w:rPr>
          <w:rFonts w:hint="cs"/>
          <w:rtl/>
        </w:rPr>
        <w:t xml:space="preserve"> أي عمد إلى خلق السماء وهو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ثم استوى إلى السماء وهي دخان</w:t>
      </w:r>
      <w:r w:rsidRPr="00A52585">
        <w:rPr>
          <w:rFonts w:hint="cs"/>
          <w:rtl/>
        </w:rPr>
        <w:t>)</w:t>
      </w:r>
      <w:r w:rsidR="00777DCB" w:rsidRPr="00A52585">
        <w:rPr>
          <w:rFonts w:hint="cs"/>
          <w:rtl/>
        </w:rPr>
        <w:t xml:space="preserve"> فصلت</w:t>
      </w:r>
      <w:r w:rsidRPr="00A52585">
        <w:rPr>
          <w:rFonts w:hint="cs"/>
          <w:rtl/>
        </w:rPr>
        <w:t>:</w:t>
      </w:r>
      <w:r w:rsidR="00777DCB" w:rsidRPr="00A52585">
        <w:rPr>
          <w:rFonts w:hint="cs"/>
          <w:rtl/>
        </w:rPr>
        <w:t xml:space="preserve"> 11</w:t>
      </w:r>
      <w:r w:rsidR="00DB731D" w:rsidRPr="00A52585">
        <w:rPr>
          <w:rFonts w:hint="cs"/>
          <w:rtl/>
        </w:rPr>
        <w:t>،</w:t>
      </w:r>
      <w:r w:rsidR="00777DCB" w:rsidRPr="00A52585">
        <w:rPr>
          <w:rFonts w:hint="cs"/>
          <w:rtl/>
        </w:rPr>
        <w:t xml:space="preserve"> ويروى عن أبي هريرة - رضي الله عنه - عن النبي صلى الله عليه وسلم قال</w:t>
      </w:r>
      <w:r w:rsidRPr="00A52585">
        <w:rPr>
          <w:rFonts w:hint="cs"/>
          <w:rtl/>
        </w:rPr>
        <w:t>:</w:t>
      </w:r>
      <w:r w:rsidR="00777DCB" w:rsidRPr="00A52585">
        <w:rPr>
          <w:rFonts w:hint="cs"/>
          <w:rtl/>
        </w:rPr>
        <w:t xml:space="preserve"> " لما أسري بي</w:t>
      </w:r>
      <w:r w:rsidR="00897A24" w:rsidRPr="00A52585">
        <w:rPr>
          <w:rFonts w:hint="cs"/>
          <w:rtl/>
        </w:rPr>
        <w:t>.</w:t>
      </w:r>
      <w:r w:rsidR="00DB731D" w:rsidRPr="00A52585">
        <w:rPr>
          <w:rFonts w:hint="cs"/>
          <w:rtl/>
        </w:rPr>
        <w:t>،</w:t>
      </w:r>
      <w:r w:rsidR="00777DCB" w:rsidRPr="00A52585">
        <w:rPr>
          <w:rFonts w:hint="cs"/>
          <w:rtl/>
        </w:rPr>
        <w:t xml:space="preserve"> مر بي جبريل - عليه السلام - حتى أتى بي إلى الصخرة</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يا محمد من هاهنا عرج ربك إلى السماء "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ذكره ابن الجوزي بإسناده في الموضوعات </w:t>
      </w:r>
      <w:r w:rsidRPr="00A52585">
        <w:rPr>
          <w:rFonts w:hint="cs"/>
          <w:sz w:val="24"/>
          <w:szCs w:val="24"/>
          <w:rtl/>
        </w:rPr>
        <w:t>(</w:t>
      </w:r>
      <w:r w:rsidR="00777DCB" w:rsidRPr="00A52585">
        <w:rPr>
          <w:rFonts w:hint="cs"/>
          <w:sz w:val="24"/>
          <w:szCs w:val="24"/>
          <w:rtl/>
        </w:rPr>
        <w:t>1 / 113</w:t>
      </w:r>
      <w:r w:rsidRPr="00A52585">
        <w:rPr>
          <w:rFonts w:hint="cs"/>
          <w:sz w:val="24"/>
          <w:szCs w:val="24"/>
          <w:rtl/>
        </w:rPr>
        <w:t>)</w:t>
      </w:r>
      <w:r w:rsidR="00777DCB" w:rsidRPr="00A52585">
        <w:rPr>
          <w:rFonts w:hint="cs"/>
          <w:sz w:val="24"/>
          <w:szCs w:val="24"/>
          <w:rtl/>
        </w:rPr>
        <w:t xml:space="preserve"> ثم قال عقبه</w:t>
      </w:r>
      <w:r w:rsidRPr="00A52585">
        <w:rPr>
          <w:rFonts w:hint="cs"/>
          <w:sz w:val="24"/>
          <w:szCs w:val="24"/>
          <w:rtl/>
        </w:rPr>
        <w:t>:</w:t>
      </w:r>
      <w:r w:rsidR="00777DCB" w:rsidRPr="00A52585">
        <w:rPr>
          <w:rFonts w:hint="cs"/>
          <w:sz w:val="24"/>
          <w:szCs w:val="24"/>
          <w:rtl/>
        </w:rPr>
        <w:t xml:space="preserve"> " قال أبو حاتم</w:t>
      </w:r>
      <w:r w:rsidRPr="00A52585">
        <w:rPr>
          <w:rFonts w:hint="cs"/>
          <w:sz w:val="24"/>
          <w:szCs w:val="24"/>
          <w:rtl/>
        </w:rPr>
        <w:t>:</w:t>
      </w:r>
      <w:r w:rsidR="00777DCB" w:rsidRPr="00A52585">
        <w:rPr>
          <w:rFonts w:hint="cs"/>
          <w:sz w:val="24"/>
          <w:szCs w:val="24"/>
          <w:rtl/>
        </w:rPr>
        <w:t xml:space="preserve"> هذا حديث لا يشك عوام أصحاب الحديث أنه موضوع فكيف بالبزل في هذا الشأن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أبو حاتم هو ابن حبان لان هذا الحديث أورده ابن حبان في كتابه " المجروحين " </w:t>
      </w:r>
      <w:r w:rsidRPr="00A52585">
        <w:rPr>
          <w:rFonts w:hint="cs"/>
          <w:sz w:val="24"/>
          <w:szCs w:val="24"/>
          <w:rtl/>
        </w:rPr>
        <w:t>(</w:t>
      </w:r>
      <w:r w:rsidR="00777DCB" w:rsidRPr="00A52585">
        <w:rPr>
          <w:rFonts w:hint="cs"/>
          <w:sz w:val="24"/>
          <w:szCs w:val="24"/>
          <w:rtl/>
        </w:rPr>
        <w:t>1 / 197</w:t>
      </w:r>
      <w:r w:rsidRPr="00A52585">
        <w:rPr>
          <w:rFonts w:hint="cs"/>
          <w:sz w:val="24"/>
          <w:szCs w:val="24"/>
          <w:rtl/>
        </w:rPr>
        <w:t>)</w:t>
      </w:r>
      <w:r w:rsidR="00777DCB" w:rsidRPr="00A52585">
        <w:rPr>
          <w:rFonts w:hint="cs"/>
          <w:sz w:val="24"/>
          <w:szCs w:val="24"/>
          <w:rtl/>
        </w:rPr>
        <w:t xml:space="preserve"> وقال عن أحد رواته وهو</w:t>
      </w:r>
      <w:r w:rsidRPr="00A52585">
        <w:rPr>
          <w:rFonts w:hint="cs"/>
          <w:sz w:val="24"/>
          <w:szCs w:val="24"/>
          <w:rtl/>
        </w:rPr>
        <w:t>:</w:t>
      </w:r>
      <w:r w:rsidR="00777DCB" w:rsidRPr="00A52585">
        <w:rPr>
          <w:rFonts w:hint="cs"/>
          <w:sz w:val="24"/>
          <w:szCs w:val="24"/>
          <w:rtl/>
        </w:rPr>
        <w:t xml:space="preserve"> بكر بن زياد الباهلي</w:t>
      </w:r>
      <w:r w:rsidRPr="00A52585">
        <w:rPr>
          <w:rFonts w:hint="cs"/>
          <w:sz w:val="24"/>
          <w:szCs w:val="24"/>
          <w:rtl/>
        </w:rPr>
        <w:t>:</w:t>
      </w:r>
      <w:r w:rsidR="00777DCB" w:rsidRPr="00A52585">
        <w:rPr>
          <w:rFonts w:hint="cs"/>
          <w:sz w:val="24"/>
          <w:szCs w:val="24"/>
          <w:rtl/>
        </w:rPr>
        <w:t xml:space="preserve"> " شيخ دجال يضع الحديث على الثقات "</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يرويه بكر بن زياد</w:t>
      </w:r>
      <w:r w:rsidR="00DB731D" w:rsidRPr="00A52585">
        <w:rPr>
          <w:rFonts w:hint="cs"/>
          <w:rtl/>
        </w:rPr>
        <w:t>،</w:t>
      </w:r>
      <w:r w:rsidR="00777DCB" w:rsidRPr="00A52585">
        <w:rPr>
          <w:rFonts w:hint="cs"/>
          <w:rtl/>
        </w:rPr>
        <w:t xml:space="preserve"> وكان يضع </w:t>
      </w:r>
      <w:r w:rsidR="00777DCB" w:rsidRPr="00A52585">
        <w:rPr>
          <w:rFonts w:hint="cs"/>
          <w:rtl/>
        </w:rPr>
        <w:lastRenderedPageBreak/>
        <w:t>الحديث على الثقات</w:t>
      </w:r>
      <w:r w:rsidR="00DB731D" w:rsidRPr="00A52585">
        <w:rPr>
          <w:rFonts w:hint="cs"/>
          <w:rtl/>
        </w:rPr>
        <w:t>،</w:t>
      </w:r>
      <w:r w:rsidR="00777DCB" w:rsidRPr="00A52585">
        <w:rPr>
          <w:rFonts w:hint="cs"/>
          <w:rtl/>
        </w:rPr>
        <w:t xml:space="preserve"> فإن قيل</w:t>
      </w:r>
      <w:r w:rsidRPr="00A52585">
        <w:rPr>
          <w:rFonts w:hint="cs"/>
          <w:rtl/>
        </w:rPr>
        <w:t>:</w:t>
      </w:r>
      <w:r w:rsidR="00777DCB" w:rsidRPr="00A52585">
        <w:rPr>
          <w:rFonts w:hint="cs"/>
          <w:rtl/>
        </w:rPr>
        <w:t xml:space="preserve"> قال ابن عباس</w:t>
      </w:r>
      <w:r w:rsidRPr="00A52585">
        <w:rPr>
          <w:rFonts w:hint="cs"/>
          <w:rtl/>
        </w:rPr>
        <w:t>:</w:t>
      </w:r>
      <w:r w:rsidR="00777DCB" w:rsidRPr="00A52585">
        <w:rPr>
          <w:rFonts w:hint="cs"/>
          <w:rtl/>
        </w:rPr>
        <w:t xml:space="preserve"> استوى إلى السماء</w:t>
      </w:r>
      <w:r w:rsidRPr="00A52585">
        <w:rPr>
          <w:rFonts w:hint="cs"/>
          <w:rtl/>
        </w:rPr>
        <w:t>:</w:t>
      </w:r>
      <w:r w:rsidR="00777DCB" w:rsidRPr="00A52585">
        <w:rPr>
          <w:rFonts w:hint="cs"/>
          <w:rtl/>
        </w:rPr>
        <w:t xml:space="preserve"> صعد</w:t>
      </w:r>
      <w:r w:rsidR="00DB731D"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صعد أمره</w:t>
      </w:r>
      <w:r w:rsidR="00DB731D" w:rsidRPr="00A52585">
        <w:rPr>
          <w:rFonts w:hint="cs"/>
          <w:rtl/>
        </w:rPr>
        <w:t>،</w:t>
      </w:r>
      <w:r w:rsidR="00777DCB" w:rsidRPr="00A52585">
        <w:rPr>
          <w:rFonts w:hint="cs"/>
          <w:rtl/>
        </w:rPr>
        <w:t xml:space="preserve"> إذ لا يجوز عليه الانتقال والتغير</w:t>
      </w:r>
      <w:r w:rsidR="00DB731D" w:rsidRPr="00A52585">
        <w:rPr>
          <w:rFonts w:hint="cs"/>
          <w:rtl/>
        </w:rPr>
        <w:t>،</w:t>
      </w:r>
      <w:r w:rsidR="00777DCB" w:rsidRPr="00A52585">
        <w:rPr>
          <w:rFonts w:hint="cs"/>
          <w:rtl/>
        </w:rPr>
        <w:t xml:space="preserve"> واعلم أن الناس في أخبار الصفات على ثلاث مراتب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أحداها</w:t>
      </w:r>
      <w:r w:rsidRPr="00A52585">
        <w:rPr>
          <w:rFonts w:hint="cs"/>
          <w:rtl/>
        </w:rPr>
        <w:t>):</w:t>
      </w:r>
      <w:r w:rsidR="00777DCB" w:rsidRPr="00A52585">
        <w:rPr>
          <w:rFonts w:hint="cs"/>
          <w:rtl/>
        </w:rPr>
        <w:t xml:space="preserve"> إمرارها على ما جاءت من غير تفسير ولا تأويل</w:t>
      </w:r>
      <w:r w:rsidR="00DB731D" w:rsidRPr="00A52585">
        <w:rPr>
          <w:rFonts w:hint="cs"/>
          <w:rtl/>
        </w:rPr>
        <w:t>،</w:t>
      </w:r>
      <w:r w:rsidR="00777DCB" w:rsidRPr="00A52585">
        <w:rPr>
          <w:rFonts w:hint="cs"/>
          <w:rtl/>
        </w:rPr>
        <w:t xml:space="preserve"> إلا أن تقع ضرورة كقوله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جاء ربك</w:t>
      </w:r>
      <w:r w:rsidRPr="00A52585">
        <w:rPr>
          <w:rFonts w:hint="cs"/>
          <w:rtl/>
        </w:rPr>
        <w:t>)</w:t>
      </w:r>
      <w:r w:rsidR="00777DCB" w:rsidRPr="00A52585">
        <w:rPr>
          <w:rFonts w:hint="cs"/>
          <w:rtl/>
        </w:rPr>
        <w:t xml:space="preserve"> أي جاء أمره وهذا مذهب السلف</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المرتبة الثانية</w:t>
      </w:r>
      <w:r w:rsidRPr="00A52585">
        <w:rPr>
          <w:rFonts w:hint="cs"/>
          <w:rtl/>
        </w:rPr>
        <w:t>):</w:t>
      </w:r>
      <w:r w:rsidR="00777DCB" w:rsidRPr="00A52585">
        <w:rPr>
          <w:rFonts w:hint="cs"/>
          <w:rtl/>
        </w:rPr>
        <w:t xml:space="preserve"> التأويل وهو مقام خطر على ما سبق بيانه</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المرتبة الثالثة</w:t>
      </w:r>
      <w:r w:rsidRPr="00A52585">
        <w:rPr>
          <w:rFonts w:hint="cs"/>
          <w:rtl/>
        </w:rPr>
        <w:t>):</w:t>
      </w:r>
      <w:r w:rsidR="00777DCB" w:rsidRPr="00A52585">
        <w:rPr>
          <w:rFonts w:hint="cs"/>
          <w:rtl/>
        </w:rPr>
        <w:t xml:space="preserve"> القول فيها بمقتضى الحس</w:t>
      </w:r>
      <w:r w:rsidR="00DB731D" w:rsidRPr="00A52585">
        <w:rPr>
          <w:rFonts w:hint="cs"/>
          <w:rtl/>
        </w:rPr>
        <w:t>،</w:t>
      </w:r>
      <w:r w:rsidR="00777DCB" w:rsidRPr="00A52585">
        <w:rPr>
          <w:rFonts w:hint="cs"/>
          <w:rtl/>
        </w:rPr>
        <w:t xml:space="preserve"> وقد عم جهلة الناقلين</w:t>
      </w:r>
      <w:r w:rsidR="00DB731D" w:rsidRPr="00A52585">
        <w:rPr>
          <w:rFonts w:hint="cs"/>
          <w:rtl/>
        </w:rPr>
        <w:t>،</w:t>
      </w:r>
      <w:r w:rsidR="00777DCB" w:rsidRPr="00A52585">
        <w:rPr>
          <w:rFonts w:hint="cs"/>
          <w:rtl/>
        </w:rPr>
        <w:t xml:space="preserve"> إذ ليس لهم حظ من علوم المعقولات التي بها يعرف ما يجوز على الله وما يستحيل</w:t>
      </w:r>
      <w:r w:rsidR="00DB731D" w:rsidRPr="00A52585">
        <w:rPr>
          <w:rFonts w:hint="cs"/>
          <w:rtl/>
        </w:rPr>
        <w:t>،</w:t>
      </w:r>
      <w:r w:rsidR="00777DCB" w:rsidRPr="00A52585">
        <w:rPr>
          <w:rFonts w:hint="cs"/>
          <w:rtl/>
        </w:rPr>
        <w:t xml:space="preserve"> فان علم المعقولات يصرف ظواهر المنقولات عن التشبيه</w:t>
      </w:r>
      <w:r w:rsidR="00DB731D" w:rsidRPr="00A52585">
        <w:rPr>
          <w:rFonts w:hint="cs"/>
          <w:rtl/>
        </w:rPr>
        <w:t>،</w:t>
      </w:r>
      <w:r w:rsidR="00777DCB" w:rsidRPr="00A52585">
        <w:rPr>
          <w:rFonts w:hint="cs"/>
          <w:rtl/>
        </w:rPr>
        <w:t xml:space="preserve"> فإذا عدموها تصرفوا في النقل بمقتضى الحس</w:t>
      </w:r>
      <w:r w:rsidR="00DB731D" w:rsidRPr="00A52585">
        <w:rPr>
          <w:rFonts w:hint="cs"/>
          <w:rtl/>
        </w:rPr>
        <w:t>،</w:t>
      </w:r>
      <w:r w:rsidR="00777DCB" w:rsidRPr="00A52585">
        <w:rPr>
          <w:rFonts w:hint="cs"/>
          <w:rtl/>
        </w:rPr>
        <w:t xml:space="preserve"> وإليه أشار القاضي أبو يعلى</w:t>
      </w:r>
      <w:r w:rsidRPr="00A52585">
        <w:rPr>
          <w:rFonts w:hint="cs"/>
          <w:rtl/>
        </w:rPr>
        <w:t xml:space="preserve"> </w:t>
      </w:r>
      <w:r w:rsidR="00777DCB" w:rsidRPr="00A52585">
        <w:rPr>
          <w:rFonts w:hint="cs"/>
          <w:rtl/>
        </w:rPr>
        <w:t>بقوله</w:t>
      </w:r>
      <w:r w:rsidRPr="00A52585">
        <w:rPr>
          <w:rFonts w:hint="cs"/>
          <w:rtl/>
        </w:rPr>
        <w:t>:</w:t>
      </w:r>
      <w:r w:rsidR="00777DCB" w:rsidRPr="00A52585">
        <w:rPr>
          <w:rFonts w:hint="cs"/>
          <w:rtl/>
        </w:rPr>
        <w:t xml:space="preserve"> " لا يمتنع أن تحمل الوطأة التي وطئها الحق على أصولنا وأنه معنى يتعلق بالذات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وأصولهم على زعمه ترجع إلى الحس</w:t>
      </w:r>
      <w:r w:rsidR="00DB731D" w:rsidRPr="00A52585">
        <w:rPr>
          <w:rFonts w:hint="cs"/>
          <w:rtl/>
        </w:rPr>
        <w:t>،</w:t>
      </w:r>
      <w:r w:rsidR="00777DCB" w:rsidRPr="00A52585">
        <w:rPr>
          <w:rFonts w:hint="cs"/>
          <w:rtl/>
        </w:rPr>
        <w:t xml:space="preserve"> ولو فهموا أن الله تعالى لا يوصف بحركة ولا انتقال ولا تغير</w:t>
      </w:r>
      <w:r w:rsidR="00DB731D" w:rsidRPr="00A52585">
        <w:rPr>
          <w:rFonts w:hint="cs"/>
          <w:rtl/>
        </w:rPr>
        <w:t>،</w:t>
      </w:r>
      <w:r w:rsidR="00777DCB" w:rsidRPr="00A52585">
        <w:rPr>
          <w:rFonts w:hint="cs"/>
          <w:rtl/>
        </w:rPr>
        <w:t xml:space="preserve"> ما بنوا على </w:t>
      </w:r>
      <w:proofErr w:type="spellStart"/>
      <w:r w:rsidR="00777DCB" w:rsidRPr="00A52585">
        <w:rPr>
          <w:rFonts w:hint="cs"/>
          <w:rtl/>
        </w:rPr>
        <w:t>الحسيات</w:t>
      </w:r>
      <w:proofErr w:type="spellEnd"/>
      <w:r w:rsidR="00DB731D" w:rsidRPr="00A52585">
        <w:rPr>
          <w:rFonts w:hint="cs"/>
          <w:rtl/>
        </w:rPr>
        <w:t>،</w:t>
      </w:r>
      <w:r w:rsidR="00777DCB" w:rsidRPr="00A52585">
        <w:rPr>
          <w:rFonts w:hint="cs"/>
          <w:rtl/>
        </w:rPr>
        <w:t xml:space="preserve"> والعجب أن يقر بهذا القول ثم يقول</w:t>
      </w:r>
      <w:r w:rsidRPr="00A52585">
        <w:rPr>
          <w:rFonts w:hint="cs"/>
          <w:rtl/>
        </w:rPr>
        <w:t>:</w:t>
      </w:r>
      <w:r w:rsidR="00777DCB" w:rsidRPr="00A52585">
        <w:rPr>
          <w:rFonts w:hint="cs"/>
          <w:rtl/>
        </w:rPr>
        <w:t xml:space="preserve"> " من غير نقلة ولا حركة " فينقض ما يبني</w:t>
      </w:r>
      <w:r w:rsidR="00DB731D" w:rsidRPr="00A52585">
        <w:rPr>
          <w:rFonts w:hint="cs"/>
          <w:rtl/>
        </w:rPr>
        <w:t>،</w:t>
      </w:r>
      <w:r w:rsidR="00777DCB" w:rsidRPr="00A52585">
        <w:rPr>
          <w:rFonts w:hint="cs"/>
          <w:rtl/>
        </w:rPr>
        <w:t xml:space="preserve"> ومن أعجب ما رأيت لهم ما انبأنا أبو العز احمد بن عبيد الله بن كادش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في ترجمته الحافظ ابن حجر العسقلاني في " لسان الميزان " </w:t>
      </w:r>
      <w:r w:rsidRPr="00A52585">
        <w:rPr>
          <w:rFonts w:hint="cs"/>
          <w:sz w:val="24"/>
          <w:szCs w:val="24"/>
          <w:rtl/>
        </w:rPr>
        <w:t>(</w:t>
      </w:r>
      <w:r w:rsidR="00777DCB" w:rsidRPr="00A52585">
        <w:rPr>
          <w:rFonts w:hint="cs"/>
          <w:sz w:val="24"/>
          <w:szCs w:val="24"/>
          <w:rtl/>
        </w:rPr>
        <w:t>1 / 234 دار الفكر</w:t>
      </w:r>
      <w:r w:rsidRPr="00A52585">
        <w:rPr>
          <w:rFonts w:hint="cs"/>
          <w:sz w:val="24"/>
          <w:szCs w:val="24"/>
          <w:rtl/>
        </w:rPr>
        <w:t>):</w:t>
      </w:r>
      <w:r w:rsidR="00777DCB" w:rsidRPr="00A52585">
        <w:rPr>
          <w:rFonts w:hint="cs"/>
          <w:sz w:val="24"/>
          <w:szCs w:val="24"/>
          <w:rtl/>
        </w:rPr>
        <w:t xml:space="preserve"> " وكان مخلطا كذابا لا يحتج بمثله وللائمة فيه مقال "</w:t>
      </w:r>
      <w:r w:rsidR="00897A24" w:rsidRPr="00A52585">
        <w:rPr>
          <w:rFonts w:hint="cs"/>
          <w:sz w:val="24"/>
          <w:szCs w:val="24"/>
          <w:rtl/>
        </w:rPr>
        <w:t>.</w:t>
      </w:r>
      <w:r w:rsidR="00777DCB" w:rsidRPr="00A52585">
        <w:rPr>
          <w:rFonts w:hint="cs"/>
          <w:sz w:val="24"/>
          <w:szCs w:val="24"/>
          <w:rtl/>
        </w:rPr>
        <w:t xml:space="preserve"> وفي " الميزان " </w:t>
      </w:r>
      <w:r w:rsidRPr="00A52585">
        <w:rPr>
          <w:rFonts w:hint="cs"/>
          <w:sz w:val="24"/>
          <w:szCs w:val="24"/>
          <w:rtl/>
        </w:rPr>
        <w:t>(</w:t>
      </w:r>
      <w:r w:rsidR="00777DCB" w:rsidRPr="00A52585">
        <w:rPr>
          <w:rFonts w:hint="cs"/>
          <w:sz w:val="24"/>
          <w:szCs w:val="24"/>
          <w:rtl/>
        </w:rPr>
        <w:t>1 / 118</w:t>
      </w:r>
      <w:r w:rsidRPr="00A52585">
        <w:rPr>
          <w:rFonts w:hint="cs"/>
          <w:sz w:val="24"/>
          <w:szCs w:val="24"/>
          <w:rtl/>
        </w:rPr>
        <w:t>):</w:t>
      </w:r>
      <w:r w:rsidR="00777DCB" w:rsidRPr="00A52585">
        <w:rPr>
          <w:rFonts w:hint="cs"/>
          <w:sz w:val="24"/>
          <w:szCs w:val="24"/>
          <w:rtl/>
        </w:rPr>
        <w:t xml:space="preserve"> " أقر بوضع حديث "</w:t>
      </w:r>
      <w:r w:rsidRPr="00A52585">
        <w:rPr>
          <w:rFonts w:hint="cs"/>
          <w:sz w:val="24"/>
          <w:szCs w:val="24"/>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أنبأنا أبو طالب العشاري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مطعون فيه وقد ختم الحافظ الذهبي ترجمته في</w:t>
      </w:r>
      <w:r w:rsidRPr="00A52585">
        <w:rPr>
          <w:rFonts w:hint="cs"/>
          <w:sz w:val="24"/>
          <w:szCs w:val="24"/>
          <w:rtl/>
        </w:rPr>
        <w:t xml:space="preserve"> </w:t>
      </w:r>
      <w:r w:rsidR="00777DCB" w:rsidRPr="00A52585">
        <w:rPr>
          <w:rFonts w:hint="cs"/>
          <w:sz w:val="24"/>
          <w:szCs w:val="24"/>
          <w:rtl/>
        </w:rPr>
        <w:t xml:space="preserve">" الميزان " </w:t>
      </w:r>
      <w:r w:rsidRPr="00A52585">
        <w:rPr>
          <w:rFonts w:hint="cs"/>
          <w:sz w:val="24"/>
          <w:szCs w:val="24"/>
          <w:rtl/>
        </w:rPr>
        <w:t>(</w:t>
      </w:r>
      <w:r w:rsidR="00777DCB" w:rsidRPr="00A52585">
        <w:rPr>
          <w:rFonts w:hint="cs"/>
          <w:sz w:val="24"/>
          <w:szCs w:val="24"/>
          <w:rtl/>
        </w:rPr>
        <w:t>3 / 656</w:t>
      </w:r>
      <w:r w:rsidRPr="00A52585">
        <w:rPr>
          <w:rFonts w:hint="cs"/>
          <w:sz w:val="24"/>
          <w:szCs w:val="24"/>
          <w:rtl/>
        </w:rPr>
        <w:t>)</w:t>
      </w:r>
      <w:r w:rsidR="00777DCB" w:rsidRPr="00A52585">
        <w:rPr>
          <w:rFonts w:hint="cs"/>
          <w:sz w:val="24"/>
          <w:szCs w:val="24"/>
          <w:rtl/>
        </w:rPr>
        <w:t xml:space="preserve"> بقوله فيه</w:t>
      </w:r>
      <w:r w:rsidRPr="00A52585">
        <w:rPr>
          <w:rFonts w:hint="cs"/>
          <w:sz w:val="24"/>
          <w:szCs w:val="24"/>
          <w:rtl/>
        </w:rPr>
        <w:t>:</w:t>
      </w:r>
      <w:r w:rsidR="00777DCB" w:rsidRPr="00A52585">
        <w:rPr>
          <w:rFonts w:hint="cs"/>
          <w:sz w:val="24"/>
          <w:szCs w:val="24"/>
          <w:rtl/>
        </w:rPr>
        <w:t xml:space="preserve"> " ليس بحجة "</w:t>
      </w:r>
      <w:r w:rsidR="00DB731D" w:rsidRPr="00A52585">
        <w:rPr>
          <w:rFonts w:hint="cs"/>
          <w:sz w:val="24"/>
          <w:szCs w:val="24"/>
          <w:rtl/>
        </w:rPr>
        <w:t>،</w:t>
      </w:r>
      <w:r w:rsidR="00777DCB" w:rsidRPr="00A52585">
        <w:rPr>
          <w:rFonts w:hint="cs"/>
          <w:sz w:val="24"/>
          <w:szCs w:val="24"/>
          <w:rtl/>
        </w:rPr>
        <w:t xml:space="preserve"> وابن كادش والعشاري كانا يضعان كتبا على الائمة</w:t>
      </w:r>
      <w:r w:rsidR="00DB731D" w:rsidRPr="00A52585">
        <w:rPr>
          <w:rFonts w:hint="cs"/>
          <w:sz w:val="24"/>
          <w:szCs w:val="24"/>
          <w:rtl/>
        </w:rPr>
        <w:t>،</w:t>
      </w:r>
      <w:r w:rsidR="00777DCB" w:rsidRPr="00A52585">
        <w:rPr>
          <w:rFonts w:hint="cs"/>
          <w:sz w:val="24"/>
          <w:szCs w:val="24"/>
          <w:rtl/>
        </w:rPr>
        <w:t xml:space="preserve"> وأقوالا ينسبونها </w:t>
      </w:r>
      <w:proofErr w:type="spellStart"/>
      <w:r w:rsidR="00777DCB" w:rsidRPr="00A52585">
        <w:rPr>
          <w:rFonts w:hint="cs"/>
          <w:sz w:val="24"/>
          <w:szCs w:val="24"/>
          <w:rtl/>
        </w:rPr>
        <w:t>لاهل</w:t>
      </w:r>
      <w:proofErr w:type="spellEnd"/>
      <w:r w:rsidR="00777DCB" w:rsidRPr="00A52585">
        <w:rPr>
          <w:rFonts w:hint="cs"/>
          <w:sz w:val="24"/>
          <w:szCs w:val="24"/>
          <w:rtl/>
        </w:rPr>
        <w:t xml:space="preserve"> الحديث</w:t>
      </w:r>
      <w:r w:rsidR="00DB731D" w:rsidRPr="00A52585">
        <w:rPr>
          <w:rFonts w:hint="cs"/>
          <w:sz w:val="24"/>
          <w:szCs w:val="24"/>
          <w:rtl/>
        </w:rPr>
        <w:t>،</w:t>
      </w:r>
      <w:r w:rsidR="00777DCB" w:rsidRPr="00A52585">
        <w:rPr>
          <w:rFonts w:hint="cs"/>
          <w:sz w:val="24"/>
          <w:szCs w:val="24"/>
          <w:rtl/>
        </w:rPr>
        <w:t xml:space="preserve"> ومن شاء </w:t>
      </w:r>
      <w:proofErr w:type="spellStart"/>
      <w:r w:rsidR="00777DCB" w:rsidRPr="00A52585">
        <w:rPr>
          <w:rFonts w:hint="cs"/>
          <w:sz w:val="24"/>
          <w:szCs w:val="24"/>
          <w:rtl/>
        </w:rPr>
        <w:t>الاستزاده</w:t>
      </w:r>
      <w:proofErr w:type="spellEnd"/>
      <w:r w:rsidR="00777DCB" w:rsidRPr="00A52585">
        <w:rPr>
          <w:rFonts w:hint="cs"/>
          <w:sz w:val="24"/>
          <w:szCs w:val="24"/>
          <w:rtl/>
        </w:rPr>
        <w:t xml:space="preserve"> من ذلك فعليه برسالتنا</w:t>
      </w:r>
      <w:r w:rsidRPr="00A52585">
        <w:rPr>
          <w:rFonts w:hint="cs"/>
          <w:sz w:val="24"/>
          <w:szCs w:val="24"/>
          <w:rtl/>
        </w:rPr>
        <w:t>:</w:t>
      </w:r>
      <w:r w:rsidR="00777DCB" w:rsidRPr="00A52585">
        <w:rPr>
          <w:rFonts w:hint="cs"/>
          <w:sz w:val="24"/>
          <w:szCs w:val="24"/>
          <w:rtl/>
        </w:rPr>
        <w:t xml:space="preserve"> " البيان الكافي بعدم صحة نسبة كتاب الرؤية للدارقطني بالدليل الوافي "</w:t>
      </w:r>
      <w:r w:rsidR="00897A24" w:rsidRPr="00A52585">
        <w:rPr>
          <w:rFonts w:hint="cs"/>
          <w:sz w:val="24"/>
          <w:szCs w:val="24"/>
          <w:rtl/>
        </w:rPr>
        <w:t>.</w:t>
      </w:r>
      <w:r w:rsidR="00777DCB" w:rsidRPr="00A52585">
        <w:rPr>
          <w:rFonts w:hint="cs"/>
          <w:sz w:val="24"/>
          <w:szCs w:val="24"/>
          <w:rtl/>
        </w:rPr>
        <w:t xml:space="preserve"> وهي ملحقة بآخر هذا الكتاب</w:t>
      </w:r>
      <w:r w:rsidRPr="00A52585">
        <w:rPr>
          <w:rFonts w:hint="cs"/>
          <w:sz w:val="24"/>
          <w:szCs w:val="24"/>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أنبأنا البنا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انبأنا أبو الفتح ابن ابي الفوارس قال</w:t>
      </w:r>
      <w:r w:rsidRPr="00A52585">
        <w:rPr>
          <w:rFonts w:hint="cs"/>
          <w:rtl/>
        </w:rPr>
        <w:t>:</w:t>
      </w:r>
      <w:r w:rsidR="00777DCB" w:rsidRPr="00A52585">
        <w:rPr>
          <w:rFonts w:hint="cs"/>
          <w:rtl/>
        </w:rPr>
        <w:t xml:space="preserve"> انبأنا أبو علي بن الصواف</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انبأنا أبو جعفر محمد بن عثمان بن أبي شيبة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أحد الكذابين</w:t>
      </w:r>
      <w:r w:rsidR="00DB731D" w:rsidRPr="00A52585">
        <w:rPr>
          <w:rFonts w:hint="cs"/>
          <w:sz w:val="24"/>
          <w:szCs w:val="24"/>
          <w:rtl/>
        </w:rPr>
        <w:t>،</w:t>
      </w:r>
      <w:r w:rsidR="00777DCB" w:rsidRPr="00A52585">
        <w:rPr>
          <w:rFonts w:hint="cs"/>
          <w:sz w:val="24"/>
          <w:szCs w:val="24"/>
          <w:rtl/>
        </w:rPr>
        <w:t xml:space="preserve"> قال في ترجمته الحافظ الذهبي في " سير أعلام النبلاء " </w:t>
      </w:r>
      <w:r w:rsidRPr="00A52585">
        <w:rPr>
          <w:rFonts w:hint="cs"/>
          <w:sz w:val="24"/>
          <w:szCs w:val="24"/>
          <w:rtl/>
        </w:rPr>
        <w:t>(</w:t>
      </w:r>
      <w:r w:rsidR="00777DCB" w:rsidRPr="00A52585">
        <w:rPr>
          <w:rFonts w:hint="cs"/>
          <w:sz w:val="24"/>
          <w:szCs w:val="24"/>
          <w:rtl/>
        </w:rPr>
        <w:t>14 / 21</w:t>
      </w:r>
      <w:r w:rsidRPr="00A52585">
        <w:rPr>
          <w:rFonts w:hint="cs"/>
          <w:sz w:val="24"/>
          <w:szCs w:val="24"/>
          <w:rtl/>
        </w:rPr>
        <w:t>):</w:t>
      </w:r>
      <w:r w:rsidR="00777DCB" w:rsidRPr="00A52585">
        <w:rPr>
          <w:rFonts w:hint="cs"/>
          <w:sz w:val="24"/>
          <w:szCs w:val="24"/>
          <w:rtl/>
        </w:rPr>
        <w:t xml:space="preserve"> " وأما عبد الله بن أحمد بن حنبل فقال</w:t>
      </w:r>
      <w:r w:rsidRPr="00A52585">
        <w:rPr>
          <w:rFonts w:hint="cs"/>
          <w:sz w:val="24"/>
          <w:szCs w:val="24"/>
          <w:rtl/>
        </w:rPr>
        <w:t>:</w:t>
      </w:r>
      <w:r w:rsidR="00777DCB" w:rsidRPr="00A52585">
        <w:rPr>
          <w:rFonts w:hint="cs"/>
          <w:sz w:val="24"/>
          <w:szCs w:val="24"/>
          <w:rtl/>
        </w:rPr>
        <w:t xml:space="preserve"> كذاب</w:t>
      </w:r>
      <w:r w:rsidR="00DB731D" w:rsidRPr="00A52585">
        <w:rPr>
          <w:rFonts w:hint="cs"/>
          <w:sz w:val="24"/>
          <w:szCs w:val="24"/>
          <w:rtl/>
        </w:rPr>
        <w:t>،</w:t>
      </w:r>
      <w:r w:rsidR="00777DCB" w:rsidRPr="00A52585">
        <w:rPr>
          <w:rFonts w:hint="cs"/>
          <w:sz w:val="24"/>
          <w:szCs w:val="24"/>
          <w:rtl/>
        </w:rPr>
        <w:t xml:space="preserve"> وقال عبد الرحمن بن خراش</w:t>
      </w:r>
      <w:r w:rsidRPr="00A52585">
        <w:rPr>
          <w:rFonts w:hint="cs"/>
          <w:sz w:val="24"/>
          <w:szCs w:val="24"/>
          <w:rtl/>
        </w:rPr>
        <w:t>:</w:t>
      </w:r>
      <w:r w:rsidR="00777DCB" w:rsidRPr="00A52585">
        <w:rPr>
          <w:rFonts w:hint="cs"/>
          <w:sz w:val="24"/>
          <w:szCs w:val="24"/>
          <w:rtl/>
        </w:rPr>
        <w:t xml:space="preserve"> كان يضع الحديث</w:t>
      </w:r>
      <w:r w:rsidR="00897A24" w:rsidRPr="00A52585">
        <w:rPr>
          <w:rFonts w:hint="cs"/>
          <w:sz w:val="24"/>
          <w:szCs w:val="24"/>
          <w:rtl/>
        </w:rPr>
        <w:t>...</w:t>
      </w:r>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وفي ترجمته في " لسان الميزان " </w:t>
      </w:r>
      <w:r w:rsidRPr="00A52585">
        <w:rPr>
          <w:rFonts w:hint="cs"/>
          <w:sz w:val="24"/>
          <w:szCs w:val="24"/>
          <w:rtl/>
        </w:rPr>
        <w:t>(</w:t>
      </w:r>
      <w:r w:rsidR="00777DCB" w:rsidRPr="00A52585">
        <w:rPr>
          <w:rFonts w:hint="cs"/>
          <w:sz w:val="24"/>
          <w:szCs w:val="24"/>
          <w:rtl/>
        </w:rPr>
        <w:t>5 / 280 هندية</w:t>
      </w:r>
      <w:r w:rsidRPr="00A52585">
        <w:rPr>
          <w:rFonts w:hint="cs"/>
          <w:sz w:val="24"/>
          <w:szCs w:val="24"/>
          <w:rtl/>
        </w:rPr>
        <w:t>)</w:t>
      </w:r>
      <w:r w:rsidR="00777DCB" w:rsidRPr="00A52585">
        <w:rPr>
          <w:rFonts w:hint="cs"/>
          <w:sz w:val="24"/>
          <w:szCs w:val="24"/>
          <w:rtl/>
        </w:rPr>
        <w:t xml:space="preserve"> أيضا أن آخرين من أهل هذا الشأن قد كذبوه</w:t>
      </w:r>
      <w:r w:rsidRPr="00A52585">
        <w:rPr>
          <w:rFonts w:hint="cs"/>
          <w:sz w:val="24"/>
          <w:szCs w:val="24"/>
          <w:rtl/>
        </w:rPr>
        <w:t>]</w:t>
      </w:r>
      <w:r w:rsidR="00DB731D" w:rsidRPr="00A52585">
        <w:rPr>
          <w:rFonts w:hint="cs"/>
          <w:rtl/>
        </w:rPr>
        <w:t>،</w:t>
      </w:r>
      <w:r w:rsidR="00777DCB" w:rsidRPr="00A52585">
        <w:rPr>
          <w:rFonts w:hint="cs"/>
          <w:rtl/>
        </w:rPr>
        <w:t xml:space="preserve"> انه قال في كتاب " العرش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وبئس الكتاب هو</w:t>
      </w:r>
      <w:r w:rsidR="00DB731D" w:rsidRPr="00A52585">
        <w:rPr>
          <w:rFonts w:hint="cs"/>
          <w:sz w:val="24"/>
          <w:szCs w:val="24"/>
          <w:rtl/>
        </w:rPr>
        <w:t>،</w:t>
      </w:r>
      <w:r w:rsidR="00777DCB" w:rsidRPr="00A52585">
        <w:rPr>
          <w:rFonts w:hint="cs"/>
          <w:sz w:val="24"/>
          <w:szCs w:val="24"/>
          <w:rtl/>
        </w:rPr>
        <w:t xml:space="preserve"> فإن هذه اللفظة التي نقلها منه ابن الجوزي كفرية بلا مرية</w:t>
      </w:r>
      <w:r w:rsidR="00DB731D" w:rsidRPr="00A52585">
        <w:rPr>
          <w:rFonts w:hint="cs"/>
          <w:sz w:val="24"/>
          <w:szCs w:val="24"/>
          <w:rtl/>
        </w:rPr>
        <w:t>،</w:t>
      </w:r>
      <w:r w:rsidR="00777DCB" w:rsidRPr="00A52585">
        <w:rPr>
          <w:rFonts w:hint="cs"/>
          <w:sz w:val="24"/>
          <w:szCs w:val="24"/>
          <w:rtl/>
        </w:rPr>
        <w:t xml:space="preserve"> ومخرجة لصاحبها إن ثبتت عنه من الملة</w:t>
      </w:r>
      <w:r w:rsidR="00897A24" w:rsidRPr="00A52585">
        <w:rPr>
          <w:rFonts w:hint="cs"/>
          <w:sz w:val="24"/>
          <w:szCs w:val="24"/>
          <w:rtl/>
        </w:rPr>
        <w:t>.</w:t>
      </w:r>
      <w:r w:rsidR="00777DCB" w:rsidRPr="00A52585">
        <w:rPr>
          <w:rFonts w:hint="cs"/>
          <w:sz w:val="24"/>
          <w:szCs w:val="24"/>
          <w:rtl/>
        </w:rPr>
        <w:t xml:space="preserve"> وكتاب العرش هذا مطبوع</w:t>
      </w:r>
      <w:r w:rsidRPr="00A52585">
        <w:rPr>
          <w:rFonts w:hint="cs"/>
          <w:sz w:val="24"/>
          <w:szCs w:val="24"/>
          <w:rtl/>
        </w:rPr>
        <w:t>]</w:t>
      </w:r>
      <w:r w:rsidR="00777DCB" w:rsidRPr="00A52585">
        <w:rPr>
          <w:rFonts w:hint="cs"/>
          <w:rtl/>
        </w:rPr>
        <w:t xml:space="preserve"> </w:t>
      </w:r>
      <w:r w:rsidRPr="00A52585">
        <w:rPr>
          <w:rFonts w:hint="cs"/>
          <w:rtl/>
        </w:rPr>
        <w:t>(</w:t>
      </w:r>
      <w:r w:rsidR="00777DCB" w:rsidRPr="00A52585">
        <w:rPr>
          <w:rFonts w:hint="cs"/>
          <w:rtl/>
        </w:rPr>
        <w:t>165</w:t>
      </w:r>
      <w:r w:rsidRPr="00A52585">
        <w:rPr>
          <w:rFonts w:hint="cs"/>
          <w:rtl/>
        </w:rPr>
        <w:t>):</w:t>
      </w:r>
      <w:r w:rsidR="00777DCB" w:rsidRPr="00A52585">
        <w:rPr>
          <w:rFonts w:hint="cs"/>
          <w:rtl/>
        </w:rPr>
        <w:t xml:space="preserve"> إن الله تعالى قد أخبرنا أنه صار من الارض إلى السماء</w:t>
      </w:r>
      <w:r w:rsidR="00DB731D" w:rsidRPr="00A52585">
        <w:rPr>
          <w:rFonts w:hint="cs"/>
          <w:rtl/>
        </w:rPr>
        <w:t>،</w:t>
      </w:r>
      <w:r w:rsidR="00777DCB" w:rsidRPr="00A52585">
        <w:rPr>
          <w:rFonts w:hint="cs"/>
          <w:rtl/>
        </w:rPr>
        <w:t xml:space="preserve"> ومن السماء إلى العرش فاستوى على العرش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ونحن نحمد الله إذ لم يبخس حظنا من المنقولات</w:t>
      </w:r>
      <w:r w:rsidR="00DB731D" w:rsidRPr="00A52585">
        <w:rPr>
          <w:rFonts w:hint="cs"/>
          <w:rtl/>
        </w:rPr>
        <w:t>،</w:t>
      </w:r>
      <w:r w:rsidR="00777DCB" w:rsidRPr="00A52585">
        <w:rPr>
          <w:rFonts w:hint="cs"/>
          <w:rtl/>
        </w:rPr>
        <w:t xml:space="preserve"> ولا من المعقولات ونبرأ من أقوام شانوا مذهبنا</w:t>
      </w:r>
      <w:r w:rsidR="00DB731D" w:rsidRPr="00A52585">
        <w:rPr>
          <w:rFonts w:hint="cs"/>
          <w:rtl/>
        </w:rPr>
        <w:t>،</w:t>
      </w:r>
      <w:r w:rsidR="00777DCB" w:rsidRPr="00A52585">
        <w:rPr>
          <w:rFonts w:hint="cs"/>
          <w:rtl/>
        </w:rPr>
        <w:t xml:space="preserve"> فعاب الناس كلامهم</w:t>
      </w:r>
      <w:r w:rsidR="00DB731D" w:rsidRPr="00A52585">
        <w:rPr>
          <w:rFonts w:hint="cs"/>
          <w:rtl/>
        </w:rPr>
        <w:t>،</w:t>
      </w:r>
      <w:r w:rsidR="00777DCB" w:rsidRPr="00A52585">
        <w:rPr>
          <w:rFonts w:hint="cs"/>
          <w:rtl/>
        </w:rPr>
        <w:t xml:space="preserve"> </w:t>
      </w:r>
    </w:p>
    <w:p w14:paraId="2B8C4C65" w14:textId="529FEE9F" w:rsidR="00777DCB" w:rsidRPr="00A52585" w:rsidRDefault="0002035C" w:rsidP="0002035C">
      <w:pPr>
        <w:rPr>
          <w:b/>
          <w:rtl/>
        </w:rPr>
      </w:pPr>
      <w:r w:rsidRPr="00A52585">
        <w:rPr>
          <w:rFonts w:hint="cs"/>
          <w:bCs/>
          <w:u w:val="single"/>
          <w:rtl/>
        </w:rPr>
        <w:t>[</w:t>
      </w:r>
      <w:r w:rsidR="00777DCB" w:rsidRPr="00A52585">
        <w:rPr>
          <w:rFonts w:hint="cs"/>
          <w:bCs/>
          <w:u w:val="single"/>
          <w:rtl/>
        </w:rPr>
        <w:t>32</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 والثلاثون</w:t>
      </w:r>
      <w:r w:rsidRPr="00A52585">
        <w:rPr>
          <w:rFonts w:hint="cs"/>
          <w:bCs/>
          <w:rtl/>
        </w:rPr>
        <w:t>]:</w:t>
      </w:r>
      <w:r w:rsidR="00777DCB" w:rsidRPr="00A52585">
        <w:rPr>
          <w:rFonts w:hint="cs"/>
          <w:rtl/>
        </w:rPr>
        <w:t xml:space="preserve"> روى أبو إمامة - رضي الله عنه - عن النبي صلى الله عليه وسلم أنه قال</w:t>
      </w:r>
      <w:r w:rsidRPr="00A52585">
        <w:rPr>
          <w:rFonts w:hint="cs"/>
          <w:rtl/>
        </w:rPr>
        <w:t>:</w:t>
      </w:r>
      <w:r w:rsidR="00777DCB" w:rsidRPr="00A52585">
        <w:rPr>
          <w:rFonts w:hint="cs"/>
          <w:rtl/>
        </w:rPr>
        <w:t xml:space="preserve"> " ما تقرب العباد إلى الله تعالى</w:t>
      </w:r>
      <w:r w:rsidR="00DB731D" w:rsidRPr="00A52585">
        <w:rPr>
          <w:rFonts w:hint="cs"/>
          <w:rtl/>
        </w:rPr>
        <w:t>،</w:t>
      </w:r>
      <w:r w:rsidR="00777DCB" w:rsidRPr="00A52585">
        <w:rPr>
          <w:rFonts w:hint="cs"/>
          <w:rtl/>
        </w:rPr>
        <w:t xml:space="preserve"> بمثل ما خرج منه وهو القرآن " </w:t>
      </w:r>
      <w:r w:rsidRPr="00A52585">
        <w:rPr>
          <w:rFonts w:hint="cs"/>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w:t>
      </w:r>
      <w:r w:rsidR="00777DCB" w:rsidRPr="00A52585">
        <w:rPr>
          <w:rFonts w:hint="cs"/>
          <w:sz w:val="24"/>
          <w:szCs w:val="24"/>
          <w:rtl/>
        </w:rPr>
        <w:lastRenderedPageBreak/>
        <w:t xml:space="preserve">ضعيف جدا ومنكر رواه الترمذي </w:t>
      </w:r>
      <w:r w:rsidRPr="00A52585">
        <w:rPr>
          <w:rFonts w:hint="cs"/>
          <w:sz w:val="24"/>
          <w:szCs w:val="24"/>
          <w:rtl/>
        </w:rPr>
        <w:t>(</w:t>
      </w:r>
      <w:r w:rsidR="00777DCB" w:rsidRPr="00A52585">
        <w:rPr>
          <w:rFonts w:hint="cs"/>
          <w:sz w:val="24"/>
          <w:szCs w:val="24"/>
          <w:rtl/>
        </w:rPr>
        <w:t>5 / 176</w:t>
      </w:r>
      <w:r w:rsidRPr="00A52585">
        <w:rPr>
          <w:rFonts w:hint="cs"/>
          <w:sz w:val="24"/>
          <w:szCs w:val="24"/>
          <w:rtl/>
        </w:rPr>
        <w:t>)</w:t>
      </w:r>
      <w:r w:rsidR="00777DCB" w:rsidRPr="00A52585">
        <w:rPr>
          <w:rFonts w:hint="cs"/>
          <w:sz w:val="24"/>
          <w:szCs w:val="24"/>
          <w:rtl/>
        </w:rPr>
        <w:t xml:space="preserve"> وضعفه</w:t>
      </w:r>
      <w:r w:rsidR="00DB731D" w:rsidRPr="00A52585">
        <w:rPr>
          <w:rFonts w:hint="cs"/>
          <w:sz w:val="24"/>
          <w:szCs w:val="24"/>
          <w:rtl/>
        </w:rPr>
        <w:t>،</w:t>
      </w:r>
      <w:r w:rsidR="00777DCB" w:rsidRPr="00A52585">
        <w:rPr>
          <w:rFonts w:hint="cs"/>
          <w:sz w:val="24"/>
          <w:szCs w:val="24"/>
          <w:rtl/>
        </w:rPr>
        <w:t xml:space="preserve"> والطبراني في الكبير </w:t>
      </w:r>
      <w:r w:rsidRPr="00A52585">
        <w:rPr>
          <w:rFonts w:hint="cs"/>
          <w:sz w:val="24"/>
          <w:szCs w:val="24"/>
          <w:rtl/>
        </w:rPr>
        <w:t>(</w:t>
      </w:r>
      <w:r w:rsidR="00777DCB" w:rsidRPr="00A52585">
        <w:rPr>
          <w:rFonts w:hint="cs"/>
          <w:sz w:val="24"/>
          <w:szCs w:val="24"/>
          <w:rtl/>
        </w:rPr>
        <w:t>8 / 177 برقم 7657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والخطيب في " تاريخ بغداد " </w:t>
      </w:r>
      <w:r w:rsidRPr="00A52585">
        <w:rPr>
          <w:rFonts w:hint="cs"/>
          <w:sz w:val="24"/>
          <w:szCs w:val="24"/>
          <w:rtl/>
        </w:rPr>
        <w:t>(</w:t>
      </w:r>
      <w:r w:rsidR="00777DCB" w:rsidRPr="00A52585">
        <w:rPr>
          <w:rFonts w:hint="cs"/>
          <w:sz w:val="24"/>
          <w:szCs w:val="24"/>
          <w:rtl/>
        </w:rPr>
        <w:t>7 / 88</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12 / 263</w:t>
      </w:r>
      <w:r w:rsidRPr="00A52585">
        <w:rPr>
          <w:rFonts w:hint="cs"/>
          <w:sz w:val="24"/>
          <w:szCs w:val="24"/>
          <w:rtl/>
        </w:rPr>
        <w:t>)</w:t>
      </w:r>
      <w:r w:rsidR="00777DCB" w:rsidRPr="00A52585">
        <w:rPr>
          <w:rFonts w:hint="cs"/>
          <w:sz w:val="24"/>
          <w:szCs w:val="24"/>
          <w:rtl/>
        </w:rPr>
        <w:t xml:space="preserve"> من طريق بكر بن خنيس عن ليث بن أبي سليم عن زيد بن أرطاة 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مرفوعا به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بكر بن خنيس متروك</w:t>
      </w:r>
      <w:r w:rsidR="00DB731D" w:rsidRPr="00A52585">
        <w:rPr>
          <w:rFonts w:hint="cs"/>
          <w:sz w:val="24"/>
          <w:szCs w:val="24"/>
          <w:rtl/>
        </w:rPr>
        <w:t>،</w:t>
      </w:r>
      <w:r w:rsidR="00777DCB" w:rsidRPr="00A52585">
        <w:rPr>
          <w:rFonts w:hint="cs"/>
          <w:sz w:val="24"/>
          <w:szCs w:val="24"/>
          <w:rtl/>
        </w:rPr>
        <w:t xml:space="preserve"> قال الحافظ في التهذيب </w:t>
      </w:r>
      <w:r w:rsidRPr="00A52585">
        <w:rPr>
          <w:rFonts w:hint="cs"/>
          <w:sz w:val="24"/>
          <w:szCs w:val="24"/>
          <w:rtl/>
        </w:rPr>
        <w:t>(</w:t>
      </w:r>
      <w:r w:rsidR="00777DCB" w:rsidRPr="00A52585">
        <w:rPr>
          <w:rFonts w:hint="cs"/>
          <w:sz w:val="24"/>
          <w:szCs w:val="24"/>
          <w:rtl/>
        </w:rPr>
        <w:t>1 / 422</w:t>
      </w:r>
      <w:r w:rsidRPr="00A52585">
        <w:rPr>
          <w:rFonts w:hint="cs"/>
          <w:sz w:val="24"/>
          <w:szCs w:val="24"/>
          <w:rtl/>
        </w:rPr>
        <w:t>):</w:t>
      </w:r>
      <w:r w:rsidR="00777DCB" w:rsidRPr="00A52585">
        <w:rPr>
          <w:rFonts w:hint="cs"/>
          <w:sz w:val="24"/>
          <w:szCs w:val="24"/>
          <w:rtl/>
        </w:rPr>
        <w:t xml:space="preserve"> " قال أحمد بن صالح المصري وابن خراش والدارقطني</w:t>
      </w:r>
      <w:r w:rsidRPr="00A52585">
        <w:rPr>
          <w:rFonts w:hint="cs"/>
          <w:sz w:val="24"/>
          <w:szCs w:val="24"/>
          <w:rtl/>
        </w:rPr>
        <w:t>:</w:t>
      </w:r>
      <w:r w:rsidR="00777DCB" w:rsidRPr="00A52585">
        <w:rPr>
          <w:rFonts w:hint="cs"/>
          <w:sz w:val="24"/>
          <w:szCs w:val="24"/>
          <w:rtl/>
        </w:rPr>
        <w:t xml:space="preserve"> متروك " ثم نقل عن أبي زرعة أنه قال فيه</w:t>
      </w:r>
      <w:r w:rsidRPr="00A52585">
        <w:rPr>
          <w:rFonts w:hint="cs"/>
          <w:sz w:val="24"/>
          <w:szCs w:val="24"/>
          <w:rtl/>
        </w:rPr>
        <w:t>:</w:t>
      </w:r>
      <w:r w:rsidR="00777DCB" w:rsidRPr="00A52585">
        <w:rPr>
          <w:rFonts w:hint="cs"/>
          <w:sz w:val="24"/>
          <w:szCs w:val="24"/>
          <w:rtl/>
        </w:rPr>
        <w:t xml:space="preserve"> " ذاهب الحديث</w:t>
      </w:r>
      <w:r w:rsidR="00DB731D" w:rsidRPr="00A52585">
        <w:rPr>
          <w:rFonts w:hint="cs"/>
          <w:sz w:val="24"/>
          <w:szCs w:val="24"/>
          <w:rtl/>
        </w:rPr>
        <w:t>،</w:t>
      </w:r>
      <w:r w:rsidR="00777DCB" w:rsidRPr="00A52585">
        <w:rPr>
          <w:rFonts w:hint="cs"/>
          <w:sz w:val="24"/>
          <w:szCs w:val="24"/>
          <w:rtl/>
        </w:rPr>
        <w:t xml:space="preserve"> وقال ابن حبان</w:t>
      </w:r>
      <w:r w:rsidRPr="00A52585">
        <w:rPr>
          <w:rFonts w:hint="cs"/>
          <w:sz w:val="24"/>
          <w:szCs w:val="24"/>
          <w:rtl/>
        </w:rPr>
        <w:t>:</w:t>
      </w:r>
      <w:r w:rsidR="00777DCB" w:rsidRPr="00A52585">
        <w:rPr>
          <w:rFonts w:hint="cs"/>
          <w:sz w:val="24"/>
          <w:szCs w:val="24"/>
          <w:rtl/>
        </w:rPr>
        <w:t xml:space="preserve"> روى عن البصريين والكوفيين أشياء موضوعة " وقال الذهبي في الكاشف</w:t>
      </w:r>
      <w:r w:rsidRPr="00A52585">
        <w:rPr>
          <w:rFonts w:hint="cs"/>
          <w:sz w:val="24"/>
          <w:szCs w:val="24"/>
          <w:rtl/>
        </w:rPr>
        <w:t>:</w:t>
      </w:r>
      <w:r w:rsidR="00777DCB" w:rsidRPr="00A52585">
        <w:rPr>
          <w:rFonts w:hint="cs"/>
          <w:sz w:val="24"/>
          <w:szCs w:val="24"/>
          <w:rtl/>
        </w:rPr>
        <w:t xml:space="preserve"> " واه "</w:t>
      </w:r>
      <w:r w:rsidR="00DB731D" w:rsidRPr="00A52585">
        <w:rPr>
          <w:rFonts w:hint="cs"/>
          <w:sz w:val="24"/>
          <w:szCs w:val="24"/>
          <w:rtl/>
        </w:rPr>
        <w:t>،</w:t>
      </w:r>
      <w:r w:rsidR="00777DCB" w:rsidRPr="00A52585">
        <w:rPr>
          <w:rFonts w:hint="cs"/>
          <w:sz w:val="24"/>
          <w:szCs w:val="24"/>
          <w:rtl/>
        </w:rPr>
        <w:t xml:space="preserve"> وليث بن أبي سليم - كوفي قال عنه الحافظ في " التقريب "</w:t>
      </w:r>
      <w:r w:rsidRPr="00A52585">
        <w:rPr>
          <w:rFonts w:hint="cs"/>
          <w:sz w:val="24"/>
          <w:szCs w:val="24"/>
          <w:rtl/>
        </w:rPr>
        <w:t>:</w:t>
      </w:r>
      <w:r w:rsidR="00777DCB" w:rsidRPr="00A52585">
        <w:rPr>
          <w:rFonts w:hint="cs"/>
          <w:sz w:val="24"/>
          <w:szCs w:val="24"/>
          <w:rtl/>
        </w:rPr>
        <w:t xml:space="preserve"> " صدوق اختلط جدا ولم يتميز حديثه فترك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وزيد بن أرطأة لم يرو 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كما في " التهذيب " </w:t>
      </w:r>
      <w:r w:rsidRPr="00A52585">
        <w:rPr>
          <w:rFonts w:hint="cs"/>
          <w:sz w:val="24"/>
          <w:szCs w:val="24"/>
          <w:rtl/>
        </w:rPr>
        <w:t>(</w:t>
      </w:r>
      <w:r w:rsidR="00777DCB" w:rsidRPr="00A52585">
        <w:rPr>
          <w:rFonts w:hint="cs"/>
          <w:sz w:val="24"/>
          <w:szCs w:val="24"/>
          <w:rtl/>
        </w:rPr>
        <w:t>3 / 340</w:t>
      </w:r>
      <w:r w:rsidRPr="00A52585">
        <w:rPr>
          <w:rFonts w:hint="cs"/>
          <w:sz w:val="24"/>
          <w:szCs w:val="24"/>
          <w:rtl/>
        </w:rPr>
        <w:t>)</w:t>
      </w:r>
      <w:r w:rsidR="00777DCB" w:rsidRPr="00A52585">
        <w:rPr>
          <w:rFonts w:hint="cs"/>
          <w:sz w:val="24"/>
          <w:szCs w:val="24"/>
          <w:rtl/>
        </w:rPr>
        <w:t xml:space="preserve"> حيث قال</w:t>
      </w:r>
      <w:r w:rsidRPr="00A52585">
        <w:rPr>
          <w:rFonts w:hint="cs"/>
          <w:sz w:val="24"/>
          <w:szCs w:val="24"/>
          <w:rtl/>
        </w:rPr>
        <w:t>:</w:t>
      </w:r>
      <w:r w:rsidR="00777DCB" w:rsidRPr="00A52585">
        <w:rPr>
          <w:rFonts w:hint="cs"/>
          <w:sz w:val="24"/>
          <w:szCs w:val="24"/>
          <w:rtl/>
        </w:rPr>
        <w:t xml:space="preserve"> " وعن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وأبي الدرداء مرسل</w:t>
      </w:r>
      <w:r w:rsidR="00DB731D" w:rsidRPr="00A52585">
        <w:rPr>
          <w:rFonts w:hint="cs"/>
          <w:sz w:val="24"/>
          <w:szCs w:val="24"/>
          <w:rtl/>
        </w:rPr>
        <w:t>،</w:t>
      </w:r>
      <w:r w:rsidR="00777DCB" w:rsidRPr="00A52585">
        <w:rPr>
          <w:rFonts w:hint="cs"/>
          <w:sz w:val="24"/>
          <w:szCs w:val="24"/>
          <w:rtl/>
        </w:rPr>
        <w:t xml:space="preserve"> بينهما جبير بن نفير " اه‍ ورواه الطبراني أيضا في " الكبير " </w:t>
      </w:r>
      <w:r w:rsidRPr="00A52585">
        <w:rPr>
          <w:rFonts w:hint="cs"/>
          <w:sz w:val="24"/>
          <w:szCs w:val="24"/>
          <w:rtl/>
        </w:rPr>
        <w:t>(</w:t>
      </w:r>
      <w:r w:rsidR="00777DCB" w:rsidRPr="00A52585">
        <w:rPr>
          <w:rFonts w:hint="cs"/>
          <w:sz w:val="24"/>
          <w:szCs w:val="24"/>
          <w:rtl/>
        </w:rPr>
        <w:t>2 / 146 برقم 1614</w:t>
      </w:r>
      <w:r w:rsidRPr="00A52585">
        <w:rPr>
          <w:rFonts w:hint="cs"/>
          <w:sz w:val="24"/>
          <w:szCs w:val="24"/>
          <w:rtl/>
        </w:rPr>
        <w:t>)</w:t>
      </w:r>
      <w:r w:rsidR="00777DCB" w:rsidRPr="00A52585">
        <w:rPr>
          <w:rFonts w:hint="cs"/>
          <w:sz w:val="24"/>
          <w:szCs w:val="24"/>
          <w:rtl/>
        </w:rPr>
        <w:t xml:space="preserve"> من طريق أبي بكر بن عياش عن ليث عن عيسى عن زيد بن أرطأة عن جبير بن نوفل مرفوعا به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سند مشوش والصواب في آخره زيد بن أرطأة عن جبير بن نفير</w:t>
      </w:r>
      <w:r w:rsidR="00897A24" w:rsidRPr="00A52585">
        <w:rPr>
          <w:rFonts w:hint="cs"/>
          <w:sz w:val="24"/>
          <w:szCs w:val="24"/>
          <w:rtl/>
        </w:rPr>
        <w:t>...</w:t>
      </w:r>
      <w:r w:rsidR="00777DCB" w:rsidRPr="00A52585">
        <w:rPr>
          <w:rFonts w:hint="cs"/>
          <w:sz w:val="24"/>
          <w:szCs w:val="24"/>
          <w:rtl/>
        </w:rPr>
        <w:t xml:space="preserve"> ولا يثبت بمثل هذا حكم في الوضوء</w:t>
      </w:r>
      <w:r w:rsidR="00DB731D" w:rsidRPr="00A52585">
        <w:rPr>
          <w:rFonts w:hint="cs"/>
          <w:sz w:val="24"/>
          <w:szCs w:val="24"/>
          <w:rtl/>
        </w:rPr>
        <w:t>،</w:t>
      </w:r>
      <w:r w:rsidR="00777DCB" w:rsidRPr="00A52585">
        <w:rPr>
          <w:rFonts w:hint="cs"/>
          <w:sz w:val="24"/>
          <w:szCs w:val="24"/>
          <w:rtl/>
        </w:rPr>
        <w:t xml:space="preserve"> فكيف في مثل هذا الباب</w:t>
      </w:r>
      <w:r w:rsidR="00F95886" w:rsidRPr="00A52585">
        <w:rPr>
          <w:rFonts w:hint="cs"/>
          <w:sz w:val="24"/>
          <w:szCs w:val="24"/>
          <w:rtl/>
        </w:rPr>
        <w:t>؟!!</w:t>
      </w:r>
      <w:r w:rsidRPr="00A52585">
        <w:rPr>
          <w:rFonts w:hint="cs"/>
          <w:sz w:val="24"/>
          <w:szCs w:val="24"/>
          <w:rtl/>
        </w:rPr>
        <w:t>]</w:t>
      </w:r>
      <w:r w:rsidR="00DB731D" w:rsidRPr="00A52585">
        <w:rPr>
          <w:rFonts w:hint="cs"/>
          <w:rtl/>
        </w:rPr>
        <w:t>،</w:t>
      </w:r>
      <w:r w:rsidRPr="00A52585">
        <w:rPr>
          <w:rFonts w:hint="cs"/>
          <w:rtl/>
        </w:rPr>
        <w:t xml:space="preserve"> </w:t>
      </w:r>
      <w:r w:rsidR="00777DCB" w:rsidRPr="00A52585">
        <w:rPr>
          <w:rFonts w:hint="cs"/>
          <w:rtl/>
        </w:rPr>
        <w:t>وفي حديث عثمان - رضي الله عنه -</w:t>
      </w:r>
      <w:r w:rsidRPr="00A52585">
        <w:rPr>
          <w:rFonts w:hint="cs"/>
          <w:rtl/>
        </w:rPr>
        <w:t>:</w:t>
      </w:r>
      <w:r w:rsidR="00777DCB" w:rsidRPr="00A52585">
        <w:rPr>
          <w:rFonts w:hint="cs"/>
          <w:rtl/>
        </w:rPr>
        <w:t xml:space="preserve"> ان النبي صلى الله عليه وسلم</w:t>
      </w:r>
      <w:r w:rsidR="00DB731D" w:rsidRPr="00A52585">
        <w:rPr>
          <w:rFonts w:hint="cs"/>
          <w:rtl/>
        </w:rPr>
        <w:t>،</w:t>
      </w:r>
      <w:r w:rsidR="00777DCB" w:rsidRPr="00A52585">
        <w:rPr>
          <w:rFonts w:hint="cs"/>
          <w:rtl/>
        </w:rPr>
        <w:t xml:space="preserve"> قال " فضيلة القرآن على سائر الكلام كفضل الله على خلقه إن القرآن منه خرج وإليه يعود </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أقف على حديث سيدنا عثمان هذا</w:t>
      </w:r>
      <w:r w:rsidR="00DB731D" w:rsidRPr="00A52585">
        <w:rPr>
          <w:rFonts w:hint="cs"/>
          <w:sz w:val="24"/>
          <w:szCs w:val="24"/>
          <w:rtl/>
        </w:rPr>
        <w:t>،</w:t>
      </w:r>
      <w:r w:rsidR="00777DCB" w:rsidRPr="00A52585">
        <w:rPr>
          <w:rFonts w:hint="cs"/>
          <w:sz w:val="24"/>
          <w:szCs w:val="24"/>
          <w:rtl/>
        </w:rPr>
        <w:t xml:space="preserve"> وقريب منه ما روى الترمذي في سننه </w:t>
      </w:r>
      <w:r w:rsidRPr="00A52585">
        <w:rPr>
          <w:rFonts w:hint="cs"/>
          <w:sz w:val="24"/>
          <w:szCs w:val="24"/>
          <w:rtl/>
        </w:rPr>
        <w:t>(</w:t>
      </w:r>
      <w:r w:rsidR="00777DCB" w:rsidRPr="00A52585">
        <w:rPr>
          <w:rFonts w:hint="cs"/>
          <w:sz w:val="24"/>
          <w:szCs w:val="24"/>
          <w:rtl/>
        </w:rPr>
        <w:t>5 / 184 برقم 2926</w:t>
      </w:r>
      <w:r w:rsidRPr="00A52585">
        <w:rPr>
          <w:rFonts w:hint="cs"/>
          <w:sz w:val="24"/>
          <w:szCs w:val="24"/>
          <w:rtl/>
        </w:rPr>
        <w:t>)</w:t>
      </w:r>
      <w:r w:rsidR="00777DCB" w:rsidRPr="00A52585">
        <w:rPr>
          <w:rFonts w:hint="cs"/>
          <w:sz w:val="24"/>
          <w:szCs w:val="24"/>
          <w:rtl/>
        </w:rPr>
        <w:t xml:space="preserve"> من حديث أبي سعيد مرفوعا</w:t>
      </w:r>
      <w:r w:rsidRPr="00A52585">
        <w:rPr>
          <w:rFonts w:hint="cs"/>
          <w:sz w:val="24"/>
          <w:szCs w:val="24"/>
          <w:rtl/>
        </w:rPr>
        <w:t>:</w:t>
      </w:r>
      <w:r w:rsidR="00777DCB" w:rsidRPr="00A52585">
        <w:rPr>
          <w:rFonts w:hint="cs"/>
          <w:sz w:val="24"/>
          <w:szCs w:val="24"/>
          <w:rtl/>
        </w:rPr>
        <w:t xml:space="preserve"> " يقول الرب عز وجل</w:t>
      </w:r>
      <w:r w:rsidRPr="00A52585">
        <w:rPr>
          <w:rFonts w:hint="cs"/>
          <w:sz w:val="24"/>
          <w:szCs w:val="24"/>
          <w:rtl/>
        </w:rPr>
        <w:t>:</w:t>
      </w:r>
      <w:r w:rsidR="00777DCB" w:rsidRPr="00A52585">
        <w:rPr>
          <w:rFonts w:hint="cs"/>
          <w:sz w:val="24"/>
          <w:szCs w:val="24"/>
          <w:rtl/>
        </w:rPr>
        <w:t xml:space="preserve"> من شغله القرآن وذكري عن مسألتي أعطيته أفضل ما أعطي السائلين</w:t>
      </w:r>
      <w:r w:rsidR="00DB731D" w:rsidRPr="00A52585">
        <w:rPr>
          <w:rFonts w:hint="cs"/>
          <w:sz w:val="24"/>
          <w:szCs w:val="24"/>
          <w:rtl/>
        </w:rPr>
        <w:t>،</w:t>
      </w:r>
      <w:r w:rsidR="00777DCB" w:rsidRPr="00A52585">
        <w:rPr>
          <w:rFonts w:hint="cs"/>
          <w:sz w:val="24"/>
          <w:szCs w:val="24"/>
          <w:rtl/>
        </w:rPr>
        <w:t xml:space="preserve"> وفضل كلام الله على سائر الكلام كفضل الله على خلقه " قال الترمذي</w:t>
      </w:r>
      <w:r w:rsidRPr="00A52585">
        <w:rPr>
          <w:rFonts w:hint="cs"/>
          <w:sz w:val="24"/>
          <w:szCs w:val="24"/>
          <w:rtl/>
        </w:rPr>
        <w:t>:</w:t>
      </w:r>
      <w:r w:rsidR="00777DCB" w:rsidRPr="00A52585">
        <w:rPr>
          <w:rFonts w:hint="cs"/>
          <w:sz w:val="24"/>
          <w:szCs w:val="24"/>
          <w:rtl/>
        </w:rPr>
        <w:t xml:space="preserve"> " حسن غريب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قال الذهبي في " ميزان الاعتدال " </w:t>
      </w:r>
      <w:r w:rsidRPr="00A52585">
        <w:rPr>
          <w:rFonts w:hint="cs"/>
          <w:sz w:val="24"/>
          <w:szCs w:val="24"/>
          <w:rtl/>
        </w:rPr>
        <w:t>(</w:t>
      </w:r>
      <w:r w:rsidR="00777DCB" w:rsidRPr="00A52585">
        <w:rPr>
          <w:rFonts w:hint="cs"/>
          <w:sz w:val="24"/>
          <w:szCs w:val="24"/>
          <w:rtl/>
        </w:rPr>
        <w:t>3 / 515</w:t>
      </w:r>
      <w:r w:rsidRPr="00A52585">
        <w:rPr>
          <w:rFonts w:hint="cs"/>
          <w:sz w:val="24"/>
          <w:szCs w:val="24"/>
          <w:rtl/>
        </w:rPr>
        <w:t>):</w:t>
      </w:r>
      <w:r w:rsidR="00777DCB" w:rsidRPr="00A52585">
        <w:rPr>
          <w:rFonts w:hint="cs"/>
          <w:sz w:val="24"/>
          <w:szCs w:val="24"/>
          <w:rtl/>
        </w:rPr>
        <w:t xml:space="preserve"> " حسنه الترمذي فلم يحسن " والحق أن قول الترمذي</w:t>
      </w:r>
      <w:r w:rsidRPr="00A52585">
        <w:rPr>
          <w:rFonts w:hint="cs"/>
          <w:sz w:val="24"/>
          <w:szCs w:val="24"/>
          <w:rtl/>
        </w:rPr>
        <w:t>:</w:t>
      </w:r>
      <w:r w:rsidR="00777DCB" w:rsidRPr="00A52585">
        <w:rPr>
          <w:rFonts w:hint="cs"/>
          <w:sz w:val="24"/>
          <w:szCs w:val="24"/>
          <w:rtl/>
        </w:rPr>
        <w:t xml:space="preserve"> " حسن غريب " يعني</w:t>
      </w:r>
      <w:r w:rsidRPr="00A52585">
        <w:rPr>
          <w:rFonts w:hint="cs"/>
          <w:sz w:val="24"/>
          <w:szCs w:val="24"/>
          <w:rtl/>
        </w:rPr>
        <w:t>:</w:t>
      </w:r>
      <w:r w:rsidR="00777DCB" w:rsidRPr="00A52585">
        <w:rPr>
          <w:rFonts w:hint="cs"/>
          <w:sz w:val="24"/>
          <w:szCs w:val="24"/>
          <w:rtl/>
        </w:rPr>
        <w:t xml:space="preserve"> ضعيف</w:t>
      </w:r>
      <w:r w:rsidR="00DB731D" w:rsidRPr="00A52585">
        <w:rPr>
          <w:rFonts w:hint="cs"/>
          <w:sz w:val="24"/>
          <w:szCs w:val="24"/>
          <w:rtl/>
        </w:rPr>
        <w:t>،</w:t>
      </w:r>
      <w:r w:rsidR="00777DCB" w:rsidRPr="00A52585">
        <w:rPr>
          <w:rFonts w:hint="cs"/>
          <w:sz w:val="24"/>
          <w:szCs w:val="24"/>
          <w:rtl/>
        </w:rPr>
        <w:t xml:space="preserve"> كما قال الحافظ ابن حجر في " النكت على ابن الصلاح "</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والمعنى إنه وصل إلينا من عنده وإليه يعود فيرفع</w:t>
      </w:r>
      <w:r w:rsidR="00DB731D" w:rsidRPr="00A52585">
        <w:rPr>
          <w:rFonts w:hint="cs"/>
          <w:rtl/>
        </w:rPr>
        <w:t>،</w:t>
      </w:r>
      <w:r w:rsidR="00777DCB" w:rsidRPr="00A52585">
        <w:rPr>
          <w:rFonts w:hint="cs"/>
          <w:rtl/>
        </w:rPr>
        <w:t xml:space="preserve"> </w:t>
      </w:r>
    </w:p>
    <w:p w14:paraId="405B7CCF" w14:textId="326F7F4B" w:rsidR="00777DCB" w:rsidRPr="00A52585" w:rsidRDefault="0002035C" w:rsidP="0002035C">
      <w:pPr>
        <w:rPr>
          <w:b/>
          <w:rtl/>
        </w:rPr>
      </w:pPr>
      <w:r w:rsidRPr="00A52585">
        <w:rPr>
          <w:rFonts w:hint="cs"/>
          <w:bCs/>
          <w:u w:val="single"/>
          <w:rtl/>
        </w:rPr>
        <w:t>[</w:t>
      </w:r>
      <w:r w:rsidR="00777DCB" w:rsidRPr="00A52585">
        <w:rPr>
          <w:rFonts w:hint="cs"/>
          <w:bCs/>
          <w:u w:val="single"/>
          <w:rtl/>
        </w:rPr>
        <w:t>33</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 والثلاثون</w:t>
      </w:r>
      <w:r w:rsidRPr="00A52585">
        <w:rPr>
          <w:rFonts w:hint="cs"/>
          <w:bCs/>
          <w:rtl/>
        </w:rPr>
        <w:t>]</w:t>
      </w:r>
      <w:r w:rsidRPr="00A52585">
        <w:rPr>
          <w:rFonts w:hint="cs"/>
          <w:rtl/>
        </w:rPr>
        <w:t>:</w:t>
      </w:r>
      <w:r w:rsidR="00777DCB" w:rsidRPr="00A52585">
        <w:rPr>
          <w:rFonts w:hint="cs"/>
          <w:rtl/>
        </w:rPr>
        <w:t xml:space="preserve"> روى أبو هريرة رضي الله عنه عن النبي صلى الله عليه وسلم</w:t>
      </w:r>
      <w:r w:rsidRPr="00A52585">
        <w:rPr>
          <w:rFonts w:hint="cs"/>
          <w:rtl/>
        </w:rPr>
        <w:t>:</w:t>
      </w:r>
      <w:r w:rsidR="00777DCB" w:rsidRPr="00A52585">
        <w:rPr>
          <w:rFonts w:hint="cs"/>
          <w:rtl/>
        </w:rPr>
        <w:t xml:space="preserve"> " إن الله قرأ طه ويس قبل أن يخلق آدم بألف سنة</w:t>
      </w:r>
      <w:r w:rsidR="00DB731D" w:rsidRPr="00A52585">
        <w:rPr>
          <w:rFonts w:hint="cs"/>
          <w:rtl/>
        </w:rPr>
        <w:t>،</w:t>
      </w:r>
      <w:r w:rsidR="00777DCB" w:rsidRPr="00A52585">
        <w:rPr>
          <w:rFonts w:hint="cs"/>
          <w:rtl/>
        </w:rPr>
        <w:t xml:space="preserve"> فلما سمعت الملائكة القرآن قالوا</w:t>
      </w:r>
      <w:r w:rsidRPr="00A52585">
        <w:rPr>
          <w:rFonts w:hint="cs"/>
          <w:rtl/>
        </w:rPr>
        <w:t>:</w:t>
      </w:r>
      <w:r w:rsidR="00777DCB" w:rsidRPr="00A52585">
        <w:rPr>
          <w:rFonts w:hint="cs"/>
          <w:rtl/>
        </w:rPr>
        <w:t xml:space="preserve"> طوبى لامة ينزل عليهم</w:t>
      </w:r>
      <w:r w:rsidR="00DB731D" w:rsidRPr="00A52585">
        <w:rPr>
          <w:rFonts w:hint="cs"/>
          <w:rtl/>
        </w:rPr>
        <w:t>،</w:t>
      </w:r>
      <w:r w:rsidR="00777DCB" w:rsidRPr="00A52585">
        <w:rPr>
          <w:rFonts w:hint="cs"/>
          <w:rtl/>
        </w:rPr>
        <w:t xml:space="preserve"> وطوبى لأجواف تحمل هذا</w:t>
      </w:r>
      <w:r w:rsidR="00DB731D" w:rsidRPr="00A52585">
        <w:rPr>
          <w:rFonts w:hint="cs"/>
          <w:rtl/>
        </w:rPr>
        <w:t>،</w:t>
      </w:r>
      <w:r w:rsidR="00777DCB" w:rsidRPr="00A52585">
        <w:rPr>
          <w:rFonts w:hint="cs"/>
          <w:rtl/>
        </w:rPr>
        <w:t xml:space="preserve"> وطوبى لألسن تتكلم بهذا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موضوع أورده الحافظ ابن الجوزي في " الموضوعات "</w:t>
      </w:r>
      <w:r w:rsidR="00DB731D" w:rsidRPr="00A52585">
        <w:rPr>
          <w:rFonts w:hint="cs"/>
          <w:sz w:val="24"/>
          <w:szCs w:val="24"/>
          <w:rtl/>
        </w:rPr>
        <w:t>،</w:t>
      </w:r>
      <w:r w:rsidR="00777DCB" w:rsidRPr="00A52585">
        <w:rPr>
          <w:rFonts w:hint="cs"/>
          <w:sz w:val="24"/>
          <w:szCs w:val="24"/>
          <w:rtl/>
        </w:rPr>
        <w:t xml:space="preserve"> والحافظ ابن حبان في المجروحين </w:t>
      </w:r>
      <w:r w:rsidRPr="00A52585">
        <w:rPr>
          <w:rFonts w:hint="cs"/>
          <w:sz w:val="24"/>
          <w:szCs w:val="24"/>
          <w:rtl/>
        </w:rPr>
        <w:t>(</w:t>
      </w:r>
      <w:r w:rsidR="00777DCB" w:rsidRPr="00A52585">
        <w:rPr>
          <w:rFonts w:hint="cs"/>
          <w:sz w:val="24"/>
          <w:szCs w:val="24"/>
          <w:rtl/>
        </w:rPr>
        <w:t>1 / 108</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وهذا متن موضوع "</w:t>
      </w:r>
      <w:r w:rsidR="00DB731D" w:rsidRPr="00A52585">
        <w:rPr>
          <w:rFonts w:hint="cs"/>
          <w:sz w:val="24"/>
          <w:szCs w:val="24"/>
          <w:rtl/>
        </w:rPr>
        <w:t>،</w:t>
      </w:r>
      <w:r w:rsidR="00777DCB" w:rsidRPr="00A52585">
        <w:rPr>
          <w:rFonts w:hint="cs"/>
          <w:sz w:val="24"/>
          <w:szCs w:val="24"/>
          <w:rtl/>
        </w:rPr>
        <w:t xml:space="preserve"> وتعقب الحافظ السيوطي لابن الجوزي وكذا نقله تعقب ابن حجر له بأن الحديث ليس بموضوع وانما ضعيف فقط ليس بشيء</w:t>
      </w:r>
      <w:r w:rsidR="00DB731D" w:rsidRPr="00A52585">
        <w:rPr>
          <w:rFonts w:hint="cs"/>
          <w:sz w:val="24"/>
          <w:szCs w:val="24"/>
          <w:rtl/>
        </w:rPr>
        <w:t>،</w:t>
      </w:r>
      <w:r w:rsidR="00777DCB" w:rsidRPr="00A52585">
        <w:rPr>
          <w:rFonts w:hint="cs"/>
          <w:sz w:val="24"/>
          <w:szCs w:val="24"/>
          <w:rtl/>
        </w:rPr>
        <w:t xml:space="preserve"> وذلك لان سند الحديث ضعيف جدا ومتنه منكر فتحققنا أن النبي صلى الله عليه وسلم لا يقول مثل هذا الكلام فحكمنا عليه بالوضع</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والحديث رواه الدارمي في سننه </w:t>
      </w:r>
      <w:r w:rsidRPr="00A52585">
        <w:rPr>
          <w:rFonts w:hint="cs"/>
          <w:sz w:val="24"/>
          <w:szCs w:val="24"/>
          <w:rtl/>
        </w:rPr>
        <w:t>(</w:t>
      </w:r>
      <w:r w:rsidR="00777DCB" w:rsidRPr="00A52585">
        <w:rPr>
          <w:rFonts w:hint="cs"/>
          <w:sz w:val="24"/>
          <w:szCs w:val="24"/>
          <w:rtl/>
        </w:rPr>
        <w:t>2 / 456</w:t>
      </w:r>
      <w:r w:rsidRPr="00A52585">
        <w:rPr>
          <w:rFonts w:hint="cs"/>
          <w:sz w:val="24"/>
          <w:szCs w:val="24"/>
          <w:rtl/>
        </w:rPr>
        <w:t>)</w:t>
      </w:r>
      <w:r w:rsidR="00777DCB" w:rsidRPr="00A52585">
        <w:rPr>
          <w:rFonts w:hint="cs"/>
          <w:sz w:val="24"/>
          <w:szCs w:val="24"/>
          <w:rtl/>
        </w:rPr>
        <w:t xml:space="preserve"> وغيره وقد سكت عليه المعلق على " مشكاة المصابيح " </w:t>
      </w:r>
      <w:r w:rsidRPr="00A52585">
        <w:rPr>
          <w:rFonts w:hint="cs"/>
          <w:sz w:val="24"/>
          <w:szCs w:val="24"/>
          <w:rtl/>
        </w:rPr>
        <w:t>(</w:t>
      </w:r>
      <w:r w:rsidR="00777DCB" w:rsidRPr="00A52585">
        <w:rPr>
          <w:rFonts w:hint="cs"/>
          <w:sz w:val="24"/>
          <w:szCs w:val="24"/>
          <w:rtl/>
        </w:rPr>
        <w:t>1 / 662 برقم 2148</w:t>
      </w:r>
      <w:r w:rsidRPr="00A52585">
        <w:rPr>
          <w:rFonts w:hint="cs"/>
          <w:sz w:val="24"/>
          <w:szCs w:val="24"/>
          <w:rtl/>
        </w:rPr>
        <w:t>)</w:t>
      </w:r>
      <w:r w:rsidR="00777DCB" w:rsidRPr="00A52585">
        <w:rPr>
          <w:rFonts w:hint="cs"/>
          <w:sz w:val="24"/>
          <w:szCs w:val="24"/>
          <w:rtl/>
        </w:rPr>
        <w:t xml:space="preserve"> فلا حول ولا قوة إلا بالله</w:t>
      </w:r>
      <w:r w:rsidR="00F95886" w:rsidRPr="00A52585">
        <w:rPr>
          <w:rFonts w:hint="cs"/>
          <w:sz w:val="24"/>
          <w:szCs w:val="24"/>
          <w:rtl/>
        </w:rPr>
        <w:t>!!</w:t>
      </w:r>
      <w:r w:rsidR="00777DCB" w:rsidRPr="00A52585">
        <w:rPr>
          <w:rFonts w:hint="cs"/>
          <w:sz w:val="24"/>
          <w:szCs w:val="24"/>
          <w:rtl/>
        </w:rPr>
        <w:t>]</w:t>
      </w:r>
      <w:r w:rsidR="00DB731D" w:rsidRPr="00A52585">
        <w:rPr>
          <w:rFonts w:hint="cs"/>
          <w:sz w:val="24"/>
          <w:szCs w:val="24"/>
          <w:rtl/>
        </w:rPr>
        <w:t>،</w:t>
      </w:r>
      <w:r w:rsidR="00777DCB" w:rsidRPr="00A52585">
        <w:rPr>
          <w:rFonts w:hint="cs"/>
          <w:rtl/>
        </w:rPr>
        <w:t xml:space="preserve"> وهذا حديث موضوع يرويه إبراهيم بن مهاجر عن عمر بن حفص</w:t>
      </w:r>
      <w:r w:rsidR="00DB731D" w:rsidRPr="00A52585">
        <w:rPr>
          <w:rFonts w:hint="cs"/>
          <w:rtl/>
        </w:rPr>
        <w:t>،</w:t>
      </w:r>
      <w:r w:rsidR="00777DCB" w:rsidRPr="00A52585">
        <w:rPr>
          <w:rFonts w:hint="cs"/>
          <w:rtl/>
        </w:rPr>
        <w:t xml:space="preserve"> وأما عمر بن حفص فقال أحمد بن حنبل</w:t>
      </w:r>
      <w:r w:rsidRPr="00A52585">
        <w:rPr>
          <w:rFonts w:hint="cs"/>
          <w:rtl/>
        </w:rPr>
        <w:t>:</w:t>
      </w:r>
      <w:r w:rsidR="00777DCB" w:rsidRPr="00A52585">
        <w:rPr>
          <w:rFonts w:hint="cs"/>
          <w:rtl/>
        </w:rPr>
        <w:t xml:space="preserve"> حرقنا حديثه وقال يحيى بن معين</w:t>
      </w:r>
      <w:r w:rsidRPr="00A52585">
        <w:rPr>
          <w:rFonts w:hint="cs"/>
          <w:rtl/>
        </w:rPr>
        <w:t>:</w:t>
      </w:r>
      <w:r w:rsidR="00777DCB" w:rsidRPr="00A52585">
        <w:rPr>
          <w:rFonts w:hint="cs"/>
          <w:rtl/>
        </w:rPr>
        <w:t xml:space="preserve"> ليس بشيء</w:t>
      </w:r>
      <w:r w:rsidR="00DB731D" w:rsidRPr="00A52585">
        <w:rPr>
          <w:rFonts w:hint="cs"/>
          <w:rtl/>
        </w:rPr>
        <w:t>،</w:t>
      </w:r>
      <w:r w:rsidR="00777DCB" w:rsidRPr="00A52585">
        <w:rPr>
          <w:rFonts w:hint="cs"/>
          <w:rtl/>
        </w:rPr>
        <w:t xml:space="preserve"> وقال أبو حاتم بن حبان الحافظ</w:t>
      </w:r>
      <w:r w:rsidRPr="00A52585">
        <w:rPr>
          <w:rFonts w:hint="cs"/>
          <w:rtl/>
        </w:rPr>
        <w:t>:</w:t>
      </w:r>
      <w:r w:rsidR="00777DCB" w:rsidRPr="00A52585">
        <w:rPr>
          <w:rFonts w:hint="cs"/>
          <w:rtl/>
        </w:rPr>
        <w:t xml:space="preserve"> وهذا متن موضوع</w:t>
      </w:r>
      <w:r w:rsidR="00DB731D" w:rsidRPr="00A52585">
        <w:rPr>
          <w:rFonts w:hint="cs"/>
          <w:rtl/>
        </w:rPr>
        <w:t>،</w:t>
      </w:r>
      <w:r w:rsidR="00777DCB" w:rsidRPr="00A52585">
        <w:rPr>
          <w:rFonts w:hint="cs"/>
          <w:rtl/>
        </w:rPr>
        <w:t xml:space="preserve"> </w:t>
      </w:r>
    </w:p>
    <w:p w14:paraId="10CFDAEF" w14:textId="5083A315" w:rsidR="00777DCB" w:rsidRPr="00A52585" w:rsidRDefault="0002035C" w:rsidP="0002035C">
      <w:pPr>
        <w:rPr>
          <w:b/>
          <w:rtl/>
        </w:rPr>
      </w:pPr>
      <w:r w:rsidRPr="00A52585">
        <w:rPr>
          <w:rFonts w:hint="cs"/>
          <w:bCs/>
          <w:u w:val="single"/>
          <w:rtl/>
        </w:rPr>
        <w:lastRenderedPageBreak/>
        <w:t>[</w:t>
      </w:r>
      <w:r w:rsidR="00777DCB" w:rsidRPr="00A52585">
        <w:rPr>
          <w:rFonts w:hint="cs"/>
          <w:bCs/>
          <w:u w:val="single"/>
          <w:rtl/>
        </w:rPr>
        <w:t>34</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 والثلاثون</w:t>
      </w:r>
      <w:r w:rsidRPr="00A52585">
        <w:rPr>
          <w:rFonts w:hint="cs"/>
          <w:bCs/>
          <w:rtl/>
        </w:rPr>
        <w:t>]</w:t>
      </w:r>
      <w:r w:rsidRPr="00A52585">
        <w:rPr>
          <w:rFonts w:hint="cs"/>
          <w:rtl/>
        </w:rPr>
        <w:t>:</w:t>
      </w:r>
      <w:r w:rsidR="00777DCB" w:rsidRPr="00A52585">
        <w:rPr>
          <w:rFonts w:hint="cs"/>
          <w:rtl/>
        </w:rPr>
        <w:t xml:space="preserve"> روى البخاري </w:t>
      </w:r>
      <w:r w:rsidRPr="00A52585">
        <w:rPr>
          <w:rFonts w:hint="cs"/>
          <w:rtl/>
        </w:rPr>
        <w:t>(</w:t>
      </w:r>
      <w:r w:rsidR="00777DCB" w:rsidRPr="00A52585">
        <w:rPr>
          <w:rFonts w:hint="cs"/>
          <w:rtl/>
        </w:rPr>
        <w:t>فتح 8 / 579</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1981 برقم 2554</w:t>
      </w:r>
      <w:r w:rsidRPr="00A52585">
        <w:rPr>
          <w:rFonts w:hint="cs"/>
          <w:rtl/>
        </w:rPr>
        <w:t>)</w:t>
      </w:r>
      <w:r w:rsidR="00777DCB" w:rsidRPr="00A52585">
        <w:rPr>
          <w:rFonts w:hint="cs"/>
          <w:rtl/>
        </w:rPr>
        <w:t xml:space="preserve"> في الصحيحين من حديث أبي هريرة رضي الله عنه عن النبي صلى الله عليه وسلم أنه قال</w:t>
      </w:r>
      <w:r w:rsidRPr="00A52585">
        <w:rPr>
          <w:rFonts w:hint="cs"/>
          <w:rtl/>
        </w:rPr>
        <w:t>:</w:t>
      </w:r>
      <w:r w:rsidR="00777DCB" w:rsidRPr="00A52585">
        <w:rPr>
          <w:rFonts w:hint="cs"/>
          <w:rtl/>
        </w:rPr>
        <w:t xml:space="preserve"> " إن الله عز وجل خلق الخلق حتى إذا فرغ منهم قامت الرحم فقالت</w:t>
      </w:r>
      <w:r w:rsidRPr="00A52585">
        <w:rPr>
          <w:rFonts w:hint="cs"/>
          <w:rtl/>
        </w:rPr>
        <w:t>:</w:t>
      </w:r>
      <w:r w:rsidR="00777DCB" w:rsidRPr="00A52585">
        <w:rPr>
          <w:rFonts w:hint="cs"/>
          <w:rtl/>
        </w:rPr>
        <w:t xml:space="preserve"> هذا مقام العائذ بك من القطيعة</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نعم</w:t>
      </w:r>
      <w:r w:rsidRPr="00A52585">
        <w:rPr>
          <w:rFonts w:hint="cs"/>
          <w:rtl/>
        </w:rPr>
        <w:t>:</w:t>
      </w:r>
      <w:r w:rsidR="00777DCB" w:rsidRPr="00A52585">
        <w:rPr>
          <w:rFonts w:hint="cs"/>
          <w:rtl/>
        </w:rPr>
        <w:t xml:space="preserve"> أما ترضين أن أصل من وصلك وأقطع من قطعك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الحافظ في الفتح</w:t>
      </w:r>
      <w:r w:rsidRPr="00A52585">
        <w:rPr>
          <w:rFonts w:hint="cs"/>
          <w:sz w:val="24"/>
          <w:szCs w:val="24"/>
          <w:rtl/>
        </w:rPr>
        <w:t xml:space="preserve"> </w:t>
      </w:r>
      <w:r w:rsidR="00777DCB" w:rsidRPr="00A52585">
        <w:rPr>
          <w:rFonts w:hint="cs"/>
          <w:sz w:val="24"/>
          <w:szCs w:val="24"/>
          <w:rtl/>
        </w:rPr>
        <w:t>" وقد يطلق الحقو على الازار نفسه كما في حديث أم عطيه " فأعطاها حقوه فقال</w:t>
      </w:r>
      <w:r w:rsidRPr="00A52585">
        <w:rPr>
          <w:rFonts w:hint="cs"/>
          <w:sz w:val="24"/>
          <w:szCs w:val="24"/>
          <w:rtl/>
        </w:rPr>
        <w:t>:</w:t>
      </w:r>
      <w:r w:rsidR="00777DCB" w:rsidRPr="00A52585">
        <w:rPr>
          <w:rFonts w:hint="cs"/>
          <w:sz w:val="24"/>
          <w:szCs w:val="24"/>
          <w:rtl/>
        </w:rPr>
        <w:t xml:space="preserve"> أشعرنها إياه " يعني إزاره وهو المراد هنا</w:t>
      </w:r>
      <w:r w:rsidR="00DB731D" w:rsidRPr="00A52585">
        <w:rPr>
          <w:rFonts w:hint="cs"/>
          <w:sz w:val="24"/>
          <w:szCs w:val="24"/>
          <w:rtl/>
        </w:rPr>
        <w:t>،</w:t>
      </w:r>
      <w:r w:rsidR="00777DCB" w:rsidRPr="00A52585">
        <w:rPr>
          <w:rFonts w:hint="cs"/>
          <w:sz w:val="24"/>
          <w:szCs w:val="24"/>
          <w:rtl/>
        </w:rPr>
        <w:t xml:space="preserve"> وهو الذي جرت العادة بالتمسك به عند الالحاح في الاستجارة والطلب</w:t>
      </w:r>
      <w:r w:rsidR="00DB731D" w:rsidRPr="00A52585">
        <w:rPr>
          <w:rFonts w:hint="cs"/>
          <w:sz w:val="24"/>
          <w:szCs w:val="24"/>
          <w:rtl/>
        </w:rPr>
        <w:t>،</w:t>
      </w:r>
      <w:r w:rsidR="00777DCB" w:rsidRPr="00A52585">
        <w:rPr>
          <w:rFonts w:hint="cs"/>
          <w:sz w:val="24"/>
          <w:szCs w:val="24"/>
          <w:rtl/>
        </w:rPr>
        <w:t xml:space="preserve"> والمعنى على هذا صحيح مع اعتقاد تنزيه الله عن الجارحة " اهـ</w:t>
      </w:r>
      <w:r w:rsidRPr="00A52585">
        <w:rPr>
          <w:rFonts w:hint="cs"/>
          <w:sz w:val="24"/>
          <w:szCs w:val="24"/>
          <w:rtl/>
        </w:rPr>
        <w:t>]</w:t>
      </w:r>
      <w:r w:rsidR="00DB731D" w:rsidRPr="00A52585">
        <w:rPr>
          <w:rFonts w:hint="cs"/>
          <w:rtl/>
        </w:rPr>
        <w:t>،</w:t>
      </w:r>
      <w:r w:rsidR="00777DCB" w:rsidRPr="00A52585">
        <w:rPr>
          <w:rFonts w:hint="cs"/>
          <w:rtl/>
        </w:rPr>
        <w:t xml:space="preserve"> وفي لفظ أخرجه البخاري </w:t>
      </w:r>
      <w:r w:rsidRPr="00A52585">
        <w:rPr>
          <w:rFonts w:hint="cs"/>
          <w:rtl/>
        </w:rPr>
        <w:t>(</w:t>
      </w:r>
      <w:r w:rsidR="00777DCB" w:rsidRPr="00A52585">
        <w:rPr>
          <w:rFonts w:hint="cs"/>
          <w:rtl/>
        </w:rPr>
        <w:t>فتح 15 / 417</w:t>
      </w:r>
      <w:r w:rsidRPr="00A52585">
        <w:rPr>
          <w:rFonts w:hint="cs"/>
          <w:rtl/>
        </w:rPr>
        <w:t>)</w:t>
      </w:r>
      <w:r w:rsidR="00777DCB" w:rsidRPr="00A52585">
        <w:rPr>
          <w:rFonts w:hint="cs"/>
          <w:rtl/>
        </w:rPr>
        <w:t xml:space="preserve"> أن النبي صلى الله عليه وسلم قال</w:t>
      </w:r>
      <w:r w:rsidRPr="00A52585">
        <w:rPr>
          <w:rFonts w:hint="cs"/>
          <w:rtl/>
        </w:rPr>
        <w:t>:</w:t>
      </w:r>
      <w:r w:rsidR="00777DCB" w:rsidRPr="00A52585">
        <w:rPr>
          <w:rFonts w:hint="cs"/>
          <w:rtl/>
        </w:rPr>
        <w:t xml:space="preserve"> " إن الرحم شجنة من الرحمن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الحافظ في الفتح </w:t>
      </w:r>
      <w:r w:rsidRPr="00A52585">
        <w:rPr>
          <w:rFonts w:hint="cs"/>
          <w:sz w:val="24"/>
          <w:szCs w:val="24"/>
          <w:rtl/>
        </w:rPr>
        <w:t>(</w:t>
      </w:r>
      <w:r w:rsidR="00777DCB" w:rsidRPr="00A52585">
        <w:rPr>
          <w:rFonts w:hint="cs"/>
          <w:sz w:val="24"/>
          <w:szCs w:val="24"/>
          <w:rtl/>
        </w:rPr>
        <w:t>10 / 418</w:t>
      </w:r>
      <w:r w:rsidRPr="00A52585">
        <w:rPr>
          <w:rFonts w:hint="cs"/>
          <w:sz w:val="24"/>
          <w:szCs w:val="24"/>
          <w:rtl/>
        </w:rPr>
        <w:t>):</w:t>
      </w:r>
      <w:r w:rsidR="00777DCB" w:rsidRPr="00A52585">
        <w:rPr>
          <w:rFonts w:hint="cs"/>
          <w:sz w:val="24"/>
          <w:szCs w:val="24"/>
          <w:rtl/>
        </w:rPr>
        <w:t xml:space="preserve"> " وقوله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من الرحمن</w:t>
      </w:r>
      <w:r w:rsidRPr="00A52585">
        <w:rPr>
          <w:rFonts w:hint="cs"/>
          <w:sz w:val="24"/>
          <w:szCs w:val="24"/>
          <w:rtl/>
        </w:rPr>
        <w:t>)</w:t>
      </w:r>
      <w:r w:rsidR="00777DCB" w:rsidRPr="00A52585">
        <w:rPr>
          <w:rFonts w:hint="cs"/>
          <w:sz w:val="24"/>
          <w:szCs w:val="24"/>
          <w:rtl/>
        </w:rPr>
        <w:t xml:space="preserve"> أي أخذ اسمها من هذا الاسم كما في حديث عبد الرحمن بن عوف في السنن مرفوعا</w:t>
      </w:r>
      <w:r w:rsidRPr="00A52585">
        <w:rPr>
          <w:rFonts w:hint="cs"/>
          <w:sz w:val="24"/>
          <w:szCs w:val="24"/>
          <w:rtl/>
        </w:rPr>
        <w:t>:</w:t>
      </w:r>
      <w:r w:rsidR="00777DCB" w:rsidRPr="00A52585">
        <w:rPr>
          <w:rFonts w:hint="cs"/>
          <w:sz w:val="24"/>
          <w:szCs w:val="24"/>
          <w:rtl/>
        </w:rPr>
        <w:t xml:space="preserve"> " أنا الرحمن خلقت الرحم وشققت لها اسما من اسمي " والمعنى أنها أثر من آثار الرحمة مشتبكة بها</w:t>
      </w:r>
      <w:r w:rsidR="00DB731D" w:rsidRPr="00A52585">
        <w:rPr>
          <w:rFonts w:hint="cs"/>
          <w:sz w:val="24"/>
          <w:szCs w:val="24"/>
          <w:rtl/>
        </w:rPr>
        <w:t>،</w:t>
      </w:r>
      <w:r w:rsidR="00777DCB" w:rsidRPr="00A52585">
        <w:rPr>
          <w:rFonts w:hint="cs"/>
          <w:sz w:val="24"/>
          <w:szCs w:val="24"/>
          <w:rtl/>
        </w:rPr>
        <w:t xml:space="preserve"> فالقاطع لها منقطع من رحمة الله " اه‍</w:t>
      </w:r>
      <w:r w:rsidRPr="00A52585">
        <w:rPr>
          <w:rFonts w:hint="cs"/>
          <w:sz w:val="24"/>
          <w:szCs w:val="24"/>
          <w:rtl/>
        </w:rPr>
        <w:t>]</w:t>
      </w:r>
      <w:r w:rsidR="00DB731D" w:rsidRPr="00A52585">
        <w:rPr>
          <w:rFonts w:hint="cs"/>
          <w:rtl/>
        </w:rPr>
        <w:t>،</w:t>
      </w:r>
      <w:r w:rsidR="00777DCB" w:rsidRPr="00A52585">
        <w:rPr>
          <w:rFonts w:hint="cs"/>
          <w:rtl/>
        </w:rPr>
        <w:t xml:space="preserve"> قال أبو عبيدة</w:t>
      </w:r>
      <w:r w:rsidRPr="00A52585">
        <w:rPr>
          <w:rFonts w:hint="cs"/>
          <w:rtl/>
        </w:rPr>
        <w:t>:</w:t>
      </w:r>
      <w:r w:rsidR="00777DCB" w:rsidRPr="00A52585">
        <w:rPr>
          <w:rFonts w:hint="cs"/>
          <w:rtl/>
        </w:rPr>
        <w:t xml:space="preserve"> الشجنة كالغصن من الشجرة</w:t>
      </w:r>
      <w:r w:rsidR="00DB731D" w:rsidRPr="00A52585">
        <w:rPr>
          <w:rFonts w:hint="cs"/>
          <w:rtl/>
        </w:rPr>
        <w:t>،</w:t>
      </w:r>
      <w:r w:rsidR="00777DCB" w:rsidRPr="00A52585">
        <w:rPr>
          <w:rFonts w:hint="cs"/>
          <w:rtl/>
        </w:rPr>
        <w:t xml:space="preserve"> ومعنى شجنة أي</w:t>
      </w:r>
      <w:r w:rsidRPr="00A52585">
        <w:rPr>
          <w:rFonts w:hint="cs"/>
          <w:rtl/>
        </w:rPr>
        <w:t>:</w:t>
      </w:r>
      <w:r w:rsidR="00777DCB" w:rsidRPr="00A52585">
        <w:rPr>
          <w:rFonts w:hint="cs"/>
          <w:rtl/>
        </w:rPr>
        <w:t xml:space="preserve"> قرابة مشتبكة كاشتباك العروق</w:t>
      </w:r>
      <w:r w:rsidR="00DB731D" w:rsidRPr="00A52585">
        <w:rPr>
          <w:rFonts w:hint="cs"/>
          <w:rtl/>
        </w:rPr>
        <w:t>،</w:t>
      </w:r>
      <w:r w:rsidR="00777DCB" w:rsidRPr="00A52585">
        <w:rPr>
          <w:rFonts w:hint="cs"/>
          <w:rtl/>
        </w:rPr>
        <w:t xml:space="preserve"> والشجر تشجن إذا التف بعضها ببعض</w:t>
      </w:r>
      <w:r w:rsidR="00DB731D" w:rsidRPr="00A52585">
        <w:rPr>
          <w:rFonts w:hint="cs"/>
          <w:rtl/>
        </w:rPr>
        <w:t>،</w:t>
      </w:r>
      <w:r w:rsidRPr="00A52585">
        <w:rPr>
          <w:rFonts w:hint="cs"/>
          <w:rtl/>
        </w:rPr>
        <w:t xml:space="preserve"> </w:t>
      </w:r>
      <w:r w:rsidR="00777DCB" w:rsidRPr="00A52585">
        <w:rPr>
          <w:rFonts w:hint="cs"/>
          <w:rtl/>
        </w:rPr>
        <w:t>قلت</w:t>
      </w:r>
      <w:r w:rsidRPr="00A52585">
        <w:rPr>
          <w:rFonts w:hint="cs"/>
          <w:rtl/>
        </w:rPr>
        <w:t>:</w:t>
      </w:r>
      <w:r w:rsidR="00777DCB" w:rsidRPr="00A52585">
        <w:rPr>
          <w:rFonts w:hint="cs"/>
          <w:rtl/>
        </w:rPr>
        <w:t xml:space="preserve"> ولا يخلو هذا الحديث من أحد أمرين</w:t>
      </w:r>
      <w:r w:rsidRPr="00A52585">
        <w:rPr>
          <w:rFonts w:hint="cs"/>
          <w:rtl/>
        </w:rPr>
        <w:t>:</w:t>
      </w:r>
      <w:r w:rsidR="00777DCB" w:rsidRPr="00A52585">
        <w:rPr>
          <w:rFonts w:hint="cs"/>
          <w:rtl/>
        </w:rPr>
        <w:t xml:space="preserve"> إما أن يراد أن الله تعالى يراعي الرحم فيصل من وصلها ويقطع من قطعها ويأخذ لها حقا كما يراعي القريب قرابته</w:t>
      </w:r>
      <w:r w:rsidR="00DB731D" w:rsidRPr="00A52585">
        <w:rPr>
          <w:rFonts w:hint="cs"/>
          <w:rtl/>
        </w:rPr>
        <w:t>،</w:t>
      </w:r>
      <w:r w:rsidR="00777DCB" w:rsidRPr="00A52585">
        <w:rPr>
          <w:rFonts w:hint="cs"/>
          <w:rtl/>
        </w:rPr>
        <w:t xml:space="preserve"> كأنه يزيد في المراعاة على الاجانب</w:t>
      </w:r>
      <w:r w:rsidR="00DB731D" w:rsidRPr="00A52585">
        <w:rPr>
          <w:rFonts w:hint="cs"/>
          <w:rtl/>
        </w:rPr>
        <w:t>،</w:t>
      </w:r>
      <w:r w:rsidR="00777DCB" w:rsidRPr="00A52585">
        <w:rPr>
          <w:rFonts w:hint="cs"/>
          <w:rtl/>
        </w:rPr>
        <w:t xml:space="preserve"> أو أن يراد أن الرحم بعض حروف الرحمن</w:t>
      </w:r>
      <w:r w:rsidR="00DB731D" w:rsidRPr="00A52585">
        <w:rPr>
          <w:rFonts w:hint="cs"/>
          <w:rtl/>
        </w:rPr>
        <w:t>،</w:t>
      </w:r>
      <w:r w:rsidR="00777DCB" w:rsidRPr="00A52585">
        <w:rPr>
          <w:rFonts w:hint="cs"/>
          <w:rtl/>
        </w:rPr>
        <w:t xml:space="preserve"> فكأنه عظم قدرها بهذا الاسم</w:t>
      </w:r>
      <w:r w:rsidR="00DB731D" w:rsidRPr="00A52585">
        <w:rPr>
          <w:rFonts w:hint="cs"/>
          <w:rtl/>
        </w:rPr>
        <w:t>،</w:t>
      </w:r>
      <w:r w:rsidR="00777DCB" w:rsidRPr="00A52585">
        <w:rPr>
          <w:rFonts w:hint="cs"/>
          <w:rtl/>
        </w:rPr>
        <w:t xml:space="preserve"> ويؤيد هذا حديث عبد الرحمن بن عوف - رضي الله عنه - عن النبي صلى الله عليه وسلم</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قال الله تعالى</w:t>
      </w:r>
      <w:r w:rsidRPr="00A52585">
        <w:rPr>
          <w:rFonts w:hint="cs"/>
          <w:rtl/>
        </w:rPr>
        <w:t>:</w:t>
      </w:r>
      <w:r w:rsidR="00777DCB" w:rsidRPr="00A52585">
        <w:rPr>
          <w:rFonts w:hint="cs"/>
          <w:rtl/>
        </w:rPr>
        <w:t xml:space="preserve"> " أنا الله وأنا الرحمن خلقت الرحم وشققت لها اسما من اسمي فمن وصلها وصلته ومن قطعها قطعته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البيهقي في سننه </w:t>
      </w:r>
      <w:r w:rsidRPr="00A52585">
        <w:rPr>
          <w:rFonts w:hint="cs"/>
          <w:sz w:val="24"/>
          <w:szCs w:val="24"/>
          <w:rtl/>
        </w:rPr>
        <w:t>(</w:t>
      </w:r>
      <w:r w:rsidR="00777DCB" w:rsidRPr="00A52585">
        <w:rPr>
          <w:rFonts w:hint="cs"/>
          <w:sz w:val="24"/>
          <w:szCs w:val="24"/>
          <w:rtl/>
        </w:rPr>
        <w:t>7 / 26</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ورواه أحمد </w:t>
      </w:r>
      <w:r w:rsidRPr="00A52585">
        <w:rPr>
          <w:rFonts w:hint="cs"/>
          <w:sz w:val="24"/>
          <w:szCs w:val="24"/>
          <w:rtl/>
        </w:rPr>
        <w:t>(</w:t>
      </w:r>
      <w:r w:rsidR="00777DCB" w:rsidRPr="00A52585">
        <w:rPr>
          <w:rFonts w:hint="cs"/>
          <w:sz w:val="24"/>
          <w:szCs w:val="24"/>
          <w:rtl/>
        </w:rPr>
        <w:t>1 / 191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والحاكم </w:t>
      </w:r>
      <w:r w:rsidRPr="00A52585">
        <w:rPr>
          <w:rFonts w:hint="cs"/>
          <w:sz w:val="24"/>
          <w:szCs w:val="24"/>
          <w:rtl/>
        </w:rPr>
        <w:t>(</w:t>
      </w:r>
      <w:r w:rsidR="00777DCB" w:rsidRPr="00A52585">
        <w:rPr>
          <w:rFonts w:hint="cs"/>
          <w:sz w:val="24"/>
          <w:szCs w:val="24"/>
          <w:rtl/>
        </w:rPr>
        <w:t>1 / 157</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ورواه أبو داود </w:t>
      </w:r>
      <w:r w:rsidRPr="00A52585">
        <w:rPr>
          <w:rFonts w:hint="cs"/>
          <w:sz w:val="24"/>
          <w:szCs w:val="24"/>
          <w:rtl/>
        </w:rPr>
        <w:t>(</w:t>
      </w:r>
      <w:r w:rsidR="00777DCB" w:rsidRPr="00A52585">
        <w:rPr>
          <w:rFonts w:hint="cs"/>
          <w:sz w:val="24"/>
          <w:szCs w:val="24"/>
          <w:rtl/>
        </w:rPr>
        <w:t>2 / 133 برقم 1694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والترمذي </w:t>
      </w:r>
      <w:r w:rsidRPr="00A52585">
        <w:rPr>
          <w:rFonts w:hint="cs"/>
          <w:sz w:val="24"/>
          <w:szCs w:val="24"/>
          <w:rtl/>
        </w:rPr>
        <w:t>(</w:t>
      </w:r>
      <w:r w:rsidR="00777DCB" w:rsidRPr="00A52585">
        <w:rPr>
          <w:rFonts w:hint="cs"/>
          <w:sz w:val="24"/>
          <w:szCs w:val="24"/>
          <w:rtl/>
        </w:rPr>
        <w:t>4 / 315 برقم 1907 شاكر</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صحيح "</w:t>
      </w:r>
      <w:r w:rsidR="00DB731D" w:rsidRPr="00A52585">
        <w:rPr>
          <w:rFonts w:hint="cs"/>
          <w:sz w:val="24"/>
          <w:szCs w:val="24"/>
          <w:rtl/>
        </w:rPr>
        <w:t>،</w:t>
      </w:r>
      <w:r w:rsidR="00777DCB" w:rsidRPr="00A52585">
        <w:rPr>
          <w:rFonts w:hint="cs"/>
          <w:sz w:val="24"/>
          <w:szCs w:val="24"/>
          <w:rtl/>
        </w:rPr>
        <w:t xml:space="preserve"> وقال الحافظ ابن حجر في " " تهذيب التهذيب " </w:t>
      </w:r>
      <w:r w:rsidRPr="00A52585">
        <w:rPr>
          <w:rFonts w:hint="cs"/>
          <w:sz w:val="24"/>
          <w:szCs w:val="24"/>
          <w:rtl/>
        </w:rPr>
        <w:t>(</w:t>
      </w:r>
      <w:r w:rsidR="00777DCB" w:rsidRPr="00A52585">
        <w:rPr>
          <w:rFonts w:hint="cs"/>
          <w:sz w:val="24"/>
          <w:szCs w:val="24"/>
          <w:rtl/>
        </w:rPr>
        <w:t>3 / 234</w:t>
      </w:r>
      <w:r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 رواه أبو يعلى بسند صحيح</w:t>
      </w:r>
      <w:r w:rsidR="00897A24" w:rsidRPr="00A52585">
        <w:rPr>
          <w:rFonts w:hint="cs"/>
          <w:sz w:val="24"/>
          <w:szCs w:val="24"/>
          <w:rtl/>
        </w:rPr>
        <w:t>.</w:t>
      </w:r>
      <w:r w:rsidR="00777DCB" w:rsidRPr="00A52585">
        <w:rPr>
          <w:rFonts w:hint="cs"/>
          <w:sz w:val="24"/>
          <w:szCs w:val="24"/>
          <w:rtl/>
        </w:rPr>
        <w:t>.. " اه‍]</w:t>
      </w:r>
      <w:r w:rsidR="00DB731D" w:rsidRPr="00A52585">
        <w:rPr>
          <w:rFonts w:hint="cs"/>
          <w:rtl/>
        </w:rPr>
        <w:t>،</w:t>
      </w:r>
      <w:r w:rsidR="00777DCB" w:rsidRPr="00A52585">
        <w:rPr>
          <w:rFonts w:hint="cs"/>
          <w:rtl/>
        </w:rPr>
        <w:t xml:space="preserve"> أو قال</w:t>
      </w:r>
      <w:r w:rsidRPr="00A52585">
        <w:rPr>
          <w:rFonts w:hint="cs"/>
          <w:rtl/>
        </w:rPr>
        <w:t>:</w:t>
      </w:r>
      <w:r w:rsidR="00777DCB" w:rsidRPr="00A52585">
        <w:rPr>
          <w:rFonts w:hint="cs"/>
          <w:rtl/>
        </w:rPr>
        <w:t xml:space="preserve"> " بتته "</w:t>
      </w:r>
      <w:r w:rsidR="00DB731D" w:rsidRPr="00A52585">
        <w:rPr>
          <w:rFonts w:hint="cs"/>
          <w:rtl/>
        </w:rPr>
        <w:t>،</w:t>
      </w:r>
      <w:r w:rsidR="00777DCB" w:rsidRPr="00A52585">
        <w:rPr>
          <w:rFonts w:hint="cs"/>
          <w:rtl/>
        </w:rPr>
        <w:t xml:space="preserve"> وقد روي هذا الحديث بلفظ لم يخرج في الصحاح</w:t>
      </w:r>
      <w:r w:rsidRPr="00A52585">
        <w:rPr>
          <w:rFonts w:hint="cs"/>
          <w:rtl/>
        </w:rPr>
        <w:t>:</w:t>
      </w:r>
      <w:r w:rsidR="00777DCB" w:rsidRPr="00A52585">
        <w:rPr>
          <w:rFonts w:hint="cs"/>
          <w:rtl/>
        </w:rPr>
        <w:t xml:space="preserve"> " الرحم </w:t>
      </w:r>
      <w:proofErr w:type="gramStart"/>
      <w:r w:rsidR="00777DCB" w:rsidRPr="00A52585">
        <w:rPr>
          <w:rFonts w:hint="cs"/>
          <w:rtl/>
        </w:rPr>
        <w:t>شجنة</w:t>
      </w:r>
      <w:proofErr w:type="gramEnd"/>
      <w:r w:rsidR="00777DCB" w:rsidRPr="00A52585">
        <w:rPr>
          <w:rFonts w:hint="cs"/>
          <w:rtl/>
        </w:rPr>
        <w:t xml:space="preserve"> من الرحمن تعلقت بحقوي الرحمن تقول</w:t>
      </w:r>
      <w:r w:rsidRPr="00A52585">
        <w:rPr>
          <w:rFonts w:hint="cs"/>
          <w:rtl/>
        </w:rPr>
        <w:t>:</w:t>
      </w:r>
      <w:r w:rsidR="00777DCB" w:rsidRPr="00A52585">
        <w:rPr>
          <w:rFonts w:hint="cs"/>
          <w:rtl/>
        </w:rPr>
        <w:t xml:space="preserve"> اللهم صل من وصلني واقطع من قطعني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بلفظ</w:t>
      </w:r>
      <w:r w:rsidRPr="00A52585">
        <w:rPr>
          <w:rFonts w:hint="cs"/>
          <w:sz w:val="24"/>
          <w:szCs w:val="24"/>
          <w:rtl/>
        </w:rPr>
        <w:t>:</w:t>
      </w:r>
      <w:r w:rsidR="00777DCB" w:rsidRPr="00A52585">
        <w:rPr>
          <w:rFonts w:hint="cs"/>
          <w:sz w:val="24"/>
          <w:szCs w:val="24"/>
          <w:rtl/>
        </w:rPr>
        <w:t xml:space="preserve"> " حقويه " ابن أبي عاصم في " السنة " </w:t>
      </w:r>
      <w:r w:rsidRPr="00A52585">
        <w:rPr>
          <w:rFonts w:hint="cs"/>
          <w:sz w:val="24"/>
          <w:szCs w:val="24"/>
          <w:rtl/>
        </w:rPr>
        <w:t>(</w:t>
      </w:r>
      <w:r w:rsidR="00777DCB" w:rsidRPr="00A52585">
        <w:rPr>
          <w:rFonts w:hint="cs"/>
          <w:sz w:val="24"/>
          <w:szCs w:val="24"/>
          <w:rtl/>
        </w:rPr>
        <w:t>1 / 238</w:t>
      </w:r>
      <w:r w:rsidRPr="00A52585">
        <w:rPr>
          <w:rFonts w:hint="cs"/>
          <w:sz w:val="24"/>
          <w:szCs w:val="24"/>
          <w:rtl/>
        </w:rPr>
        <w:t>)</w:t>
      </w:r>
      <w:r w:rsidR="00777DCB" w:rsidRPr="00A52585">
        <w:rPr>
          <w:rFonts w:hint="cs"/>
          <w:sz w:val="24"/>
          <w:szCs w:val="24"/>
          <w:rtl/>
        </w:rPr>
        <w:t xml:space="preserve"> وسنده واه</w:t>
      </w:r>
      <w:r w:rsidR="00897A24" w:rsidRPr="00A52585">
        <w:rPr>
          <w:rFonts w:hint="cs"/>
          <w:sz w:val="24"/>
          <w:szCs w:val="24"/>
          <w:rtl/>
        </w:rPr>
        <w:t>.</w:t>
      </w:r>
      <w:r w:rsidR="00777DCB" w:rsidRPr="00A52585">
        <w:rPr>
          <w:rFonts w:hint="cs"/>
          <w:sz w:val="24"/>
          <w:szCs w:val="24"/>
          <w:rtl/>
        </w:rPr>
        <w:t xml:space="preserve"> وهذه الالفاظ من تصرف الرواة</w:t>
      </w:r>
      <w:r w:rsidRPr="00A52585">
        <w:rPr>
          <w:rFonts w:hint="cs"/>
          <w:sz w:val="24"/>
          <w:szCs w:val="24"/>
          <w:rtl/>
        </w:rPr>
        <w:t>]</w:t>
      </w:r>
      <w:r w:rsidR="00DB731D" w:rsidRPr="00A52585">
        <w:rPr>
          <w:rFonts w:hint="cs"/>
          <w:sz w:val="24"/>
          <w:szCs w:val="24"/>
          <w:rtl/>
        </w:rPr>
        <w:t>،</w:t>
      </w:r>
      <w:r w:rsidR="00777DCB" w:rsidRPr="00A52585">
        <w:rPr>
          <w:rFonts w:hint="cs"/>
          <w:rtl/>
        </w:rPr>
        <w:t xml:space="preserve"> وفي لفظ</w:t>
      </w:r>
      <w:r w:rsidRPr="00A52585">
        <w:rPr>
          <w:rFonts w:hint="cs"/>
          <w:rtl/>
        </w:rPr>
        <w:t>:</w:t>
      </w:r>
      <w:r w:rsidR="00777DCB" w:rsidRPr="00A52585">
        <w:rPr>
          <w:rFonts w:hint="cs"/>
          <w:rtl/>
        </w:rPr>
        <w:t xml:space="preserve"> " الرحم </w:t>
      </w:r>
      <w:proofErr w:type="gramStart"/>
      <w:r w:rsidR="00777DCB" w:rsidRPr="00A52585">
        <w:rPr>
          <w:rFonts w:hint="cs"/>
          <w:rtl/>
        </w:rPr>
        <w:t>شجنة</w:t>
      </w:r>
      <w:proofErr w:type="gramEnd"/>
      <w:r w:rsidR="00777DCB" w:rsidRPr="00A52585">
        <w:rPr>
          <w:rFonts w:hint="cs"/>
          <w:rtl/>
        </w:rPr>
        <w:t xml:space="preserve"> آخذة بحقو الرحمن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الحافظ البيهقي في " الاسماء والصفات " ص </w:t>
      </w:r>
      <w:r w:rsidRPr="00A52585">
        <w:rPr>
          <w:rFonts w:hint="cs"/>
          <w:sz w:val="24"/>
          <w:szCs w:val="24"/>
          <w:rtl/>
        </w:rPr>
        <w:t>(</w:t>
      </w:r>
      <w:r w:rsidR="00777DCB" w:rsidRPr="00A52585">
        <w:rPr>
          <w:rFonts w:hint="cs"/>
          <w:sz w:val="24"/>
          <w:szCs w:val="24"/>
          <w:rtl/>
        </w:rPr>
        <w:t>368</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إن الله عز وجل خلق الخلق حتى إذا فرغ منهم قامت الرحم فأخذت بحقو الرحمن</w:t>
      </w:r>
      <w:r w:rsidR="00897A24"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مه</w:t>
      </w:r>
      <w:r w:rsidR="00DB731D" w:rsidRPr="00A52585">
        <w:rPr>
          <w:rFonts w:hint="cs"/>
          <w:sz w:val="24"/>
          <w:szCs w:val="24"/>
          <w:rtl/>
        </w:rPr>
        <w:t>،</w:t>
      </w:r>
      <w:r w:rsidR="00777DCB" w:rsidRPr="00A52585">
        <w:rPr>
          <w:rFonts w:hint="cs"/>
          <w:sz w:val="24"/>
          <w:szCs w:val="24"/>
          <w:rtl/>
        </w:rPr>
        <w:t xml:space="preserve"> فقالت</w:t>
      </w:r>
      <w:r w:rsidRPr="00A52585">
        <w:rPr>
          <w:rFonts w:hint="cs"/>
          <w:sz w:val="24"/>
          <w:szCs w:val="24"/>
          <w:rtl/>
        </w:rPr>
        <w:t>:</w:t>
      </w:r>
      <w:r w:rsidR="00777DCB" w:rsidRPr="00A52585">
        <w:rPr>
          <w:rFonts w:hint="cs"/>
          <w:sz w:val="24"/>
          <w:szCs w:val="24"/>
          <w:rtl/>
        </w:rPr>
        <w:t xml:space="preserve"> هذا مكان العائذ من القطيعة "</w:t>
      </w:r>
      <w:r w:rsidR="00897A24" w:rsidRPr="00A52585">
        <w:rPr>
          <w:rFonts w:hint="cs"/>
          <w:sz w:val="24"/>
          <w:szCs w:val="24"/>
          <w:rtl/>
        </w:rPr>
        <w:t>.</w:t>
      </w:r>
      <w:r w:rsidR="00777DCB" w:rsidRPr="00A52585">
        <w:rPr>
          <w:rFonts w:hint="cs"/>
          <w:sz w:val="24"/>
          <w:szCs w:val="24"/>
          <w:rtl/>
        </w:rPr>
        <w:t xml:space="preserve"> ومعنى فرغ</w:t>
      </w:r>
      <w:r w:rsidRPr="00A52585">
        <w:rPr>
          <w:rFonts w:hint="cs"/>
          <w:sz w:val="24"/>
          <w:szCs w:val="24"/>
          <w:rtl/>
        </w:rPr>
        <w:t>:</w:t>
      </w:r>
      <w:r w:rsidR="00777DCB" w:rsidRPr="00A52585">
        <w:rPr>
          <w:rFonts w:hint="cs"/>
          <w:sz w:val="24"/>
          <w:szCs w:val="24"/>
          <w:rtl/>
        </w:rPr>
        <w:t xml:space="preserve"> قضاه وأتمه</w:t>
      </w:r>
      <w:r w:rsidR="00DB731D" w:rsidRPr="00A52585">
        <w:rPr>
          <w:rFonts w:hint="cs"/>
          <w:sz w:val="24"/>
          <w:szCs w:val="24"/>
          <w:rtl/>
        </w:rPr>
        <w:t>،</w:t>
      </w:r>
      <w:r w:rsidR="00777DCB" w:rsidRPr="00A52585">
        <w:rPr>
          <w:rFonts w:hint="cs"/>
          <w:sz w:val="24"/>
          <w:szCs w:val="24"/>
          <w:rtl/>
        </w:rPr>
        <w:t xml:space="preserve"> كما في الفتح </w:t>
      </w:r>
      <w:r w:rsidRPr="00A52585">
        <w:rPr>
          <w:rFonts w:hint="cs"/>
          <w:sz w:val="24"/>
          <w:szCs w:val="24"/>
          <w:rtl/>
        </w:rPr>
        <w:t>(</w:t>
      </w:r>
      <w:r w:rsidR="00777DCB" w:rsidRPr="00A52585">
        <w:rPr>
          <w:rFonts w:hint="cs"/>
          <w:sz w:val="24"/>
          <w:szCs w:val="24"/>
          <w:rtl/>
        </w:rPr>
        <w:t>8 / 580</w:t>
      </w:r>
      <w:r w:rsidRPr="00A52585">
        <w:rPr>
          <w:rFonts w:hint="cs"/>
          <w:sz w:val="24"/>
          <w:szCs w:val="24"/>
          <w:rtl/>
        </w:rPr>
        <w:t>)]</w:t>
      </w:r>
      <w:r w:rsidR="00DB731D" w:rsidRPr="00A52585">
        <w:rPr>
          <w:rFonts w:hint="cs"/>
          <w:sz w:val="24"/>
          <w:szCs w:val="24"/>
          <w:rtl/>
        </w:rPr>
        <w:t>،</w:t>
      </w:r>
      <w:r w:rsidR="00777DCB" w:rsidRPr="00A52585">
        <w:rPr>
          <w:rFonts w:hint="cs"/>
          <w:rtl/>
        </w:rPr>
        <w:t xml:space="preserve"> وفي لفظ</w:t>
      </w:r>
      <w:r w:rsidRPr="00A52585">
        <w:rPr>
          <w:rFonts w:hint="cs"/>
          <w:rtl/>
        </w:rPr>
        <w:t>:</w:t>
      </w:r>
      <w:r w:rsidR="00777DCB" w:rsidRPr="00A52585">
        <w:rPr>
          <w:rFonts w:hint="cs"/>
          <w:rtl/>
        </w:rPr>
        <w:t xml:space="preserve"> " لما خلق الله الخلق قامت الرحم فأخذت بحقو الرحمن فقالت</w:t>
      </w:r>
      <w:r w:rsidRPr="00A52585">
        <w:rPr>
          <w:rFonts w:hint="cs"/>
          <w:rtl/>
        </w:rPr>
        <w:t>:</w:t>
      </w:r>
      <w:r w:rsidR="00777DCB" w:rsidRPr="00A52585">
        <w:rPr>
          <w:rFonts w:hint="cs"/>
          <w:rtl/>
        </w:rPr>
        <w:t xml:space="preserve"> هذا مقام العائذ بك من القطيعة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صحيحه </w:t>
      </w:r>
      <w:r w:rsidRPr="00A52585">
        <w:rPr>
          <w:rFonts w:hint="cs"/>
          <w:sz w:val="24"/>
          <w:szCs w:val="24"/>
          <w:rtl/>
        </w:rPr>
        <w:t>(</w:t>
      </w:r>
      <w:r w:rsidR="00777DCB" w:rsidRPr="00A52585">
        <w:rPr>
          <w:rFonts w:hint="cs"/>
          <w:sz w:val="24"/>
          <w:szCs w:val="24"/>
          <w:rtl/>
        </w:rPr>
        <w:t>فتح 13 / 465</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خلق الله الخلق </w:t>
      </w:r>
      <w:r w:rsidR="00777DCB" w:rsidRPr="00A52585">
        <w:rPr>
          <w:rFonts w:hint="cs"/>
          <w:sz w:val="24"/>
          <w:szCs w:val="24"/>
          <w:rtl/>
        </w:rPr>
        <w:lastRenderedPageBreak/>
        <w:t>فلما فرغ منه قامت الرحم فقال</w:t>
      </w:r>
      <w:r w:rsidRPr="00A52585">
        <w:rPr>
          <w:rFonts w:hint="cs"/>
          <w:sz w:val="24"/>
          <w:szCs w:val="24"/>
          <w:rtl/>
        </w:rPr>
        <w:t>:</w:t>
      </w:r>
      <w:r w:rsidR="00777DCB" w:rsidRPr="00A52585">
        <w:rPr>
          <w:rFonts w:hint="cs"/>
          <w:sz w:val="24"/>
          <w:szCs w:val="24"/>
          <w:rtl/>
        </w:rPr>
        <w:t xml:space="preserve"> مه</w:t>
      </w:r>
      <w:r w:rsidR="00DB731D" w:rsidRPr="00A52585">
        <w:rPr>
          <w:rFonts w:hint="cs"/>
          <w:sz w:val="24"/>
          <w:szCs w:val="24"/>
          <w:rtl/>
        </w:rPr>
        <w:t>،</w:t>
      </w:r>
      <w:r w:rsidR="00777DCB" w:rsidRPr="00A52585">
        <w:rPr>
          <w:rFonts w:hint="cs"/>
          <w:sz w:val="24"/>
          <w:szCs w:val="24"/>
          <w:rtl/>
        </w:rPr>
        <w:t xml:space="preserve"> قالت</w:t>
      </w:r>
      <w:r w:rsidRPr="00A52585">
        <w:rPr>
          <w:rFonts w:hint="cs"/>
          <w:sz w:val="24"/>
          <w:szCs w:val="24"/>
          <w:rtl/>
        </w:rPr>
        <w:t>:</w:t>
      </w:r>
      <w:r w:rsidR="00777DCB" w:rsidRPr="00A52585">
        <w:rPr>
          <w:rFonts w:hint="cs"/>
          <w:sz w:val="24"/>
          <w:szCs w:val="24"/>
          <w:rtl/>
        </w:rPr>
        <w:t xml:space="preserve"> هذا مقام العائذ بك من القطيعة</w:t>
      </w:r>
      <w:r w:rsidR="00897A24" w:rsidRPr="00A52585">
        <w:rPr>
          <w:rFonts w:hint="cs"/>
          <w:sz w:val="24"/>
          <w:szCs w:val="24"/>
          <w:rtl/>
        </w:rPr>
        <w:t>...</w:t>
      </w:r>
      <w:r w:rsidR="00777DCB" w:rsidRPr="00A52585">
        <w:rPr>
          <w:rFonts w:hint="cs"/>
          <w:sz w:val="24"/>
          <w:szCs w:val="24"/>
          <w:rtl/>
        </w:rPr>
        <w:t xml:space="preserve"> " وهذا اللفظ هو الذي عليه التعويل</w:t>
      </w:r>
      <w:r w:rsidR="00DB731D" w:rsidRPr="00A52585">
        <w:rPr>
          <w:rFonts w:hint="cs"/>
          <w:sz w:val="24"/>
          <w:szCs w:val="24"/>
          <w:rtl/>
        </w:rPr>
        <w:t>،</w:t>
      </w:r>
      <w:r w:rsidR="00777DCB" w:rsidRPr="00A52585">
        <w:rPr>
          <w:rFonts w:hint="cs"/>
          <w:sz w:val="24"/>
          <w:szCs w:val="24"/>
          <w:rtl/>
        </w:rPr>
        <w:t xml:space="preserve"> ومنه يتبين تصرف الرواة في المتون]</w:t>
      </w:r>
      <w:r w:rsidR="00777DCB" w:rsidRPr="00A52585">
        <w:rPr>
          <w:rFonts w:hint="cs"/>
          <w:rtl/>
        </w:rPr>
        <w:t xml:space="preserve"> </w:t>
      </w:r>
      <w:r w:rsidRPr="00A52585">
        <w:rPr>
          <w:rFonts w:hint="cs"/>
          <w:rtl/>
        </w:rPr>
        <w:t>(</w:t>
      </w:r>
      <w:r w:rsidR="00777DCB" w:rsidRPr="00A52585">
        <w:rPr>
          <w:rFonts w:hint="cs"/>
          <w:rtl/>
        </w:rPr>
        <w:t>174</w:t>
      </w:r>
      <w:r w:rsidRPr="00A52585">
        <w:rPr>
          <w:rFonts w:hint="cs"/>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وهذه أمثال كلها ترجع إلى ما بينا</w:t>
      </w:r>
      <w:r w:rsidR="00DB731D" w:rsidRPr="00A52585">
        <w:rPr>
          <w:rFonts w:hint="cs"/>
          <w:rtl/>
        </w:rPr>
        <w:t>،</w:t>
      </w:r>
      <w:r w:rsidR="00777DCB" w:rsidRPr="00A52585">
        <w:rPr>
          <w:rFonts w:hint="cs"/>
          <w:rtl/>
        </w:rPr>
        <w:t xml:space="preserve"> ومعنى تعلقها بحقو الرحمن</w:t>
      </w:r>
      <w:r w:rsidRPr="00A52585">
        <w:rPr>
          <w:rFonts w:hint="cs"/>
          <w:rtl/>
        </w:rPr>
        <w:t>:</w:t>
      </w:r>
      <w:r w:rsidR="00777DCB" w:rsidRPr="00A52585">
        <w:rPr>
          <w:rFonts w:hint="cs"/>
          <w:rtl/>
        </w:rPr>
        <w:t xml:space="preserve"> الاستجارة والاعتصام</w:t>
      </w:r>
      <w:r w:rsidR="00DB731D" w:rsidRPr="00A52585">
        <w:rPr>
          <w:rFonts w:hint="cs"/>
          <w:rtl/>
        </w:rPr>
        <w:t>،</w:t>
      </w:r>
      <w:r w:rsidR="00777DCB" w:rsidRPr="00A52585">
        <w:rPr>
          <w:rFonts w:hint="cs"/>
          <w:rtl/>
        </w:rPr>
        <w:t xml:space="preserve"> وفي </w:t>
      </w:r>
      <w:r w:rsidRPr="00A52585">
        <w:rPr>
          <w:rFonts w:hint="cs"/>
          <w:rtl/>
        </w:rPr>
        <w:t>(</w:t>
      </w:r>
      <w:r w:rsidR="00777DCB" w:rsidRPr="00A52585">
        <w:rPr>
          <w:rFonts w:hint="cs"/>
          <w:rtl/>
        </w:rPr>
        <w:t>صحيح مسلم</w:t>
      </w:r>
      <w:r w:rsidRPr="00A52585">
        <w:rPr>
          <w:rFonts w:hint="cs"/>
          <w:rtl/>
        </w:rPr>
        <w:t>):</w:t>
      </w:r>
      <w:r w:rsidR="00777DCB" w:rsidRPr="00A52585">
        <w:rPr>
          <w:rFonts w:hint="cs"/>
          <w:rtl/>
        </w:rPr>
        <w:t xml:space="preserve"> من حديث عائشة عن النبي صلى الله عليه وسلم أنه قال</w:t>
      </w:r>
      <w:r w:rsidRPr="00A52585">
        <w:rPr>
          <w:rFonts w:hint="cs"/>
          <w:rtl/>
        </w:rPr>
        <w:t>:</w:t>
      </w:r>
      <w:r w:rsidR="00777DCB" w:rsidRPr="00A52585">
        <w:rPr>
          <w:rFonts w:hint="cs"/>
          <w:rtl/>
        </w:rPr>
        <w:t xml:space="preserve"> " الرحم معلقة بالعرش تقول</w:t>
      </w:r>
      <w:r w:rsidRPr="00A52585">
        <w:rPr>
          <w:rFonts w:hint="cs"/>
          <w:rtl/>
        </w:rPr>
        <w:t>:</w:t>
      </w:r>
      <w:r w:rsidR="00777DCB" w:rsidRPr="00A52585">
        <w:rPr>
          <w:rFonts w:hint="cs"/>
          <w:rtl/>
        </w:rPr>
        <w:t xml:space="preserve"> من وصلني وصله الله ومن قطعني قطعه الله "</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انظر صحيح الامام مسلم </w:t>
      </w:r>
      <w:r w:rsidRPr="00A52585">
        <w:rPr>
          <w:rFonts w:hint="cs"/>
          <w:sz w:val="24"/>
          <w:szCs w:val="24"/>
          <w:rtl/>
        </w:rPr>
        <w:t>(</w:t>
      </w:r>
      <w:r w:rsidR="00777DCB" w:rsidRPr="00A52585">
        <w:rPr>
          <w:rFonts w:hint="cs"/>
          <w:sz w:val="24"/>
          <w:szCs w:val="24"/>
          <w:rtl/>
        </w:rPr>
        <w:t>4 / 1981 برقم 2555</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قال أبو بكر البيهقي</w:t>
      </w:r>
      <w:r w:rsidRPr="00A52585">
        <w:rPr>
          <w:rFonts w:hint="cs"/>
          <w:rtl/>
        </w:rPr>
        <w:t>:</w:t>
      </w:r>
      <w:r w:rsidR="00777DCB" w:rsidRPr="00A52585">
        <w:rPr>
          <w:rFonts w:hint="cs"/>
          <w:rtl/>
        </w:rPr>
        <w:t xml:space="preserve"> الحقو الازار</w:t>
      </w:r>
      <w:r w:rsidR="00DB731D" w:rsidRPr="00A52585">
        <w:rPr>
          <w:rFonts w:hint="cs"/>
          <w:rtl/>
        </w:rPr>
        <w:t>،</w:t>
      </w:r>
      <w:r w:rsidR="00777DCB" w:rsidRPr="00A52585">
        <w:rPr>
          <w:rFonts w:hint="cs"/>
          <w:rtl/>
        </w:rPr>
        <w:t xml:space="preserve"> والمعنى</w:t>
      </w:r>
      <w:r w:rsidRPr="00A52585">
        <w:rPr>
          <w:rFonts w:hint="cs"/>
          <w:rtl/>
        </w:rPr>
        <w:t>:</w:t>
      </w:r>
      <w:r w:rsidR="00777DCB" w:rsidRPr="00A52585">
        <w:rPr>
          <w:rFonts w:hint="cs"/>
          <w:rtl/>
        </w:rPr>
        <w:t xml:space="preserve"> يتعلق بعزه</w:t>
      </w:r>
      <w:r w:rsidR="00DB731D"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يجب التصديق بأن لله تعالى حقوا</w:t>
      </w:r>
      <w:r w:rsidR="00DB731D" w:rsidRPr="00A52585">
        <w:rPr>
          <w:rFonts w:hint="cs"/>
          <w:rtl/>
        </w:rPr>
        <w:t>،</w:t>
      </w:r>
      <w:r w:rsidR="00777DCB" w:rsidRPr="00A52585">
        <w:rPr>
          <w:rFonts w:hint="cs"/>
          <w:rtl/>
        </w:rPr>
        <w:t xml:space="preserve"> فتأخذ الرحم بحقوه</w:t>
      </w:r>
      <w:r w:rsidR="00897A24"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وكذلك نؤمن بأن لله جنبا لقوله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على ما فرطت في جنب الله</w:t>
      </w:r>
      <w:r w:rsidRPr="00A52585">
        <w:rPr>
          <w:rFonts w:hint="cs"/>
          <w:rtl/>
        </w:rPr>
        <w:t>)</w:t>
      </w:r>
      <w:r w:rsidR="00777DCB" w:rsidRPr="00A52585">
        <w:rPr>
          <w:rFonts w:hint="cs"/>
          <w:rtl/>
        </w:rPr>
        <w:t xml:space="preserve"> الزمر</w:t>
      </w:r>
      <w:r w:rsidRPr="00A52585">
        <w:rPr>
          <w:rFonts w:hint="cs"/>
          <w:rtl/>
        </w:rPr>
        <w:t>:</w:t>
      </w:r>
      <w:r w:rsidR="00777DCB" w:rsidRPr="00A52585">
        <w:rPr>
          <w:rFonts w:hint="cs"/>
          <w:rtl/>
        </w:rPr>
        <w:t xml:space="preserve"> 56</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لا فهم له أصلا</w:t>
      </w:r>
      <w:r w:rsidR="00DB731D" w:rsidRPr="00A52585">
        <w:rPr>
          <w:rFonts w:hint="cs"/>
          <w:rtl/>
        </w:rPr>
        <w:t>،</w:t>
      </w:r>
      <w:r w:rsidR="00777DCB" w:rsidRPr="00A52585">
        <w:rPr>
          <w:rFonts w:hint="cs"/>
          <w:rtl/>
        </w:rPr>
        <w:t xml:space="preserve"> كيف يقع التفريط في جنب الذات</w:t>
      </w:r>
      <w:r w:rsidR="00897A24" w:rsidRPr="00A52585">
        <w:rPr>
          <w:rFonts w:hint="cs"/>
          <w:rtl/>
        </w:rPr>
        <w:t>..</w:t>
      </w:r>
      <w:r w:rsidR="00F95886"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والمراد بالتعلق القرب والمماسة بالحقو كما روي أن الله تعالى يدني إليه داود حتى يمس بعضه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قد طم القاضي أبو يعلى</w:t>
      </w:r>
      <w:r w:rsidRPr="00A52585">
        <w:rPr>
          <w:rFonts w:hint="cs"/>
          <w:rtl/>
        </w:rPr>
        <w:t xml:space="preserve"> </w:t>
      </w:r>
      <w:r w:rsidR="00777DCB" w:rsidRPr="00A52585">
        <w:rPr>
          <w:rFonts w:hint="cs"/>
          <w:rtl/>
        </w:rPr>
        <w:t>على هذا فقال</w:t>
      </w:r>
      <w:r w:rsidRPr="00A52585">
        <w:rPr>
          <w:rFonts w:hint="cs"/>
          <w:rtl/>
        </w:rPr>
        <w:t>:</w:t>
      </w:r>
      <w:r w:rsidR="00777DCB" w:rsidRPr="00A52585">
        <w:rPr>
          <w:rFonts w:hint="cs"/>
          <w:rtl/>
        </w:rPr>
        <w:t xml:space="preserve"> لا على وجه الجارحة والتبعيض</w:t>
      </w:r>
      <w:r w:rsidR="00DB731D" w:rsidRPr="00A52585">
        <w:rPr>
          <w:rFonts w:hint="cs"/>
          <w:rtl/>
        </w:rPr>
        <w:t>،</w:t>
      </w:r>
      <w:r w:rsidR="00777DCB" w:rsidRPr="00A52585">
        <w:rPr>
          <w:rFonts w:hint="cs"/>
          <w:rtl/>
        </w:rPr>
        <w:t xml:space="preserve"> والرحم أخذه بها لا على وجه الجارحة والتبعيض</w:t>
      </w:r>
      <w:r w:rsidR="00DB731D" w:rsidRPr="00A52585">
        <w:rPr>
          <w:rFonts w:hint="cs"/>
          <w:rtl/>
        </w:rPr>
        <w:t>،</w:t>
      </w:r>
      <w:r w:rsidR="00777DCB" w:rsidRPr="00A52585">
        <w:rPr>
          <w:rFonts w:hint="cs"/>
          <w:rtl/>
        </w:rPr>
        <w:t xml:space="preserve"> والرحم أخذه بها لا على وجه الاتصال والمماسة</w:t>
      </w:r>
      <w:r w:rsidR="00DB731D" w:rsidRPr="00A52585">
        <w:rPr>
          <w:rFonts w:hint="cs"/>
          <w:rtl/>
        </w:rPr>
        <w:t>،</w:t>
      </w:r>
      <w:r w:rsidR="00777DCB" w:rsidRPr="00A52585">
        <w:rPr>
          <w:rFonts w:hint="cs"/>
          <w:rtl/>
        </w:rPr>
        <w:t xml:space="preserve"> ثم نقض هذا التخليط وقال</w:t>
      </w:r>
      <w:r w:rsidRPr="00A52585">
        <w:rPr>
          <w:rFonts w:hint="cs"/>
          <w:rtl/>
        </w:rPr>
        <w:t>:</w:t>
      </w:r>
      <w:r w:rsidR="00777DCB" w:rsidRPr="00A52585">
        <w:rPr>
          <w:rFonts w:hint="cs"/>
          <w:rtl/>
        </w:rPr>
        <w:t xml:space="preserve"> في الخبر إضمار تقديره ذو الرحم يأخذ بحقو الرحمن فحذف المضاف وأقام المضاف إليه مقامه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لان الرحم لا يصح عليها التعلق فالمراد ذو الرحم يتعلق بالحقو</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فقد زاد على التشبيه التجسيم</w:t>
      </w:r>
      <w:r w:rsidR="00DB731D" w:rsidRPr="00A52585">
        <w:rPr>
          <w:rFonts w:hint="cs"/>
          <w:rtl/>
        </w:rPr>
        <w:t>،</w:t>
      </w:r>
      <w:r w:rsidR="00777DCB" w:rsidRPr="00A52585">
        <w:rPr>
          <w:rFonts w:hint="cs"/>
          <w:rtl/>
        </w:rPr>
        <w:t xml:space="preserve"> والكلام مع هؤلاء ضائع كما يقال لا عقل ولا قرآن</w:t>
      </w:r>
      <w:r w:rsidR="00DB731D" w:rsidRPr="00A52585">
        <w:rPr>
          <w:rFonts w:hint="cs"/>
          <w:rtl/>
        </w:rPr>
        <w:t>،</w:t>
      </w:r>
      <w:r w:rsidR="00777DCB" w:rsidRPr="00A52585">
        <w:rPr>
          <w:rFonts w:hint="cs"/>
          <w:rtl/>
        </w:rPr>
        <w:t xml:space="preserve"> وإذا تعلق ذو الرحم وهو جسم فبماذا يتعلق</w:t>
      </w:r>
      <w:r w:rsidR="00F95886" w:rsidRPr="00A52585">
        <w:rPr>
          <w:rFonts w:hint="cs"/>
          <w:rtl/>
        </w:rPr>
        <w:t>؟</w:t>
      </w:r>
      <w:r w:rsidR="00897A24" w:rsidRPr="00A52585">
        <w:rPr>
          <w:rFonts w:hint="cs"/>
          <w:rtl/>
        </w:rPr>
        <w:t>.</w:t>
      </w:r>
      <w:r w:rsidR="00777DCB" w:rsidRPr="00A52585">
        <w:rPr>
          <w:rFonts w:hint="cs"/>
          <w:rtl/>
        </w:rPr>
        <w:t xml:space="preserve"> نعوذ بالله من سوء الفهم</w:t>
      </w:r>
      <w:r w:rsidR="00DB731D" w:rsidRPr="00A52585">
        <w:rPr>
          <w:rFonts w:hint="cs"/>
          <w:rtl/>
        </w:rPr>
        <w:t>،</w:t>
      </w:r>
      <w:r w:rsidR="00777DCB" w:rsidRPr="00A52585">
        <w:rPr>
          <w:rFonts w:hint="cs"/>
          <w:rtl/>
        </w:rPr>
        <w:t xml:space="preserve"> </w:t>
      </w:r>
    </w:p>
    <w:p w14:paraId="110EAC1D" w14:textId="22BC4E46" w:rsidR="00777DCB" w:rsidRPr="00A52585" w:rsidRDefault="0002035C" w:rsidP="0002035C">
      <w:pPr>
        <w:rPr>
          <w:b/>
          <w:rtl/>
        </w:rPr>
      </w:pPr>
      <w:r w:rsidRPr="00A52585">
        <w:rPr>
          <w:rFonts w:hint="cs"/>
          <w:bCs/>
          <w:u w:val="single"/>
          <w:rtl/>
        </w:rPr>
        <w:t>[</w:t>
      </w:r>
      <w:r w:rsidR="00777DCB" w:rsidRPr="00A52585">
        <w:rPr>
          <w:rFonts w:hint="cs"/>
          <w:bCs/>
          <w:u w:val="single"/>
          <w:rtl/>
        </w:rPr>
        <w:t>35</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 والثلاثون</w:t>
      </w:r>
      <w:r w:rsidRPr="00A52585">
        <w:rPr>
          <w:rFonts w:hint="cs"/>
          <w:bCs/>
          <w:rtl/>
        </w:rPr>
        <w:t>]:</w:t>
      </w:r>
      <w:r w:rsidR="00777DCB" w:rsidRPr="00A52585">
        <w:rPr>
          <w:rFonts w:hint="cs"/>
          <w:rtl/>
        </w:rPr>
        <w:t xml:space="preserve"> روى مسلم في صحيحه </w:t>
      </w:r>
      <w:r w:rsidRPr="00A52585">
        <w:rPr>
          <w:rFonts w:hint="cs"/>
          <w:rtl/>
        </w:rPr>
        <w:t>(</w:t>
      </w:r>
      <w:r w:rsidR="00777DCB" w:rsidRPr="00A52585">
        <w:rPr>
          <w:rFonts w:hint="cs"/>
          <w:rtl/>
        </w:rPr>
        <w:t>4 / 2023 برقم 136</w:t>
      </w:r>
      <w:r w:rsidRPr="00A52585">
        <w:rPr>
          <w:rFonts w:hint="cs"/>
          <w:rtl/>
        </w:rPr>
        <w:t>)</w:t>
      </w:r>
      <w:r w:rsidR="00777DCB" w:rsidRPr="00A52585">
        <w:rPr>
          <w:rFonts w:hint="cs"/>
          <w:rtl/>
        </w:rPr>
        <w:t xml:space="preserve"> أن النبي صلى الله عليه وسلم قال</w:t>
      </w:r>
      <w:r w:rsidRPr="00A52585">
        <w:rPr>
          <w:rFonts w:hint="cs"/>
          <w:rtl/>
        </w:rPr>
        <w:t>:</w:t>
      </w:r>
      <w:r w:rsidR="00777DCB" w:rsidRPr="00A52585">
        <w:rPr>
          <w:rFonts w:hint="cs"/>
          <w:rtl/>
        </w:rPr>
        <w:t xml:space="preserve"> يقول الله عز وجل</w:t>
      </w:r>
      <w:r w:rsidRPr="00A52585">
        <w:rPr>
          <w:rFonts w:hint="cs"/>
          <w:rtl/>
        </w:rPr>
        <w:t>:</w:t>
      </w:r>
      <w:r w:rsidR="00777DCB" w:rsidRPr="00A52585">
        <w:rPr>
          <w:rFonts w:hint="cs"/>
          <w:rtl/>
        </w:rPr>
        <w:t xml:space="preserve"> " الكبرياء ردائي والعظمة ازاري فمن نازعني في شيء منهما عذبته "</w:t>
      </w:r>
      <w:r w:rsidR="00DB731D" w:rsidRPr="00A52585">
        <w:rPr>
          <w:rFonts w:hint="cs"/>
          <w:rtl/>
        </w:rPr>
        <w:t>،</w:t>
      </w:r>
      <w:r w:rsidR="00777DCB" w:rsidRPr="00A52585">
        <w:rPr>
          <w:rFonts w:hint="cs"/>
          <w:rtl/>
        </w:rPr>
        <w:t xml:space="preserve"> قال أبو سليمان الخطابي معنى الكلام</w:t>
      </w:r>
      <w:r w:rsidRPr="00A52585">
        <w:rPr>
          <w:rFonts w:hint="cs"/>
          <w:rtl/>
        </w:rPr>
        <w:t>:</w:t>
      </w:r>
      <w:r w:rsidR="00777DCB" w:rsidRPr="00A52585">
        <w:rPr>
          <w:rFonts w:hint="cs"/>
          <w:rtl/>
        </w:rPr>
        <w:t xml:space="preserve"> إن الكبرياء والعظمة صفتان لله تعالى</w:t>
      </w:r>
      <w:r w:rsidRPr="00A52585">
        <w:rPr>
          <w:rFonts w:hint="cs"/>
          <w:rtl/>
        </w:rPr>
        <w:t>:</w:t>
      </w:r>
      <w:r w:rsidR="00777DCB" w:rsidRPr="00A52585">
        <w:rPr>
          <w:rFonts w:hint="cs"/>
          <w:rtl/>
        </w:rPr>
        <w:t xml:space="preserve"> اختص بهما لا يشاركه فيهما أحد</w:t>
      </w:r>
      <w:r w:rsidR="00DB731D" w:rsidRPr="00A52585">
        <w:rPr>
          <w:rFonts w:hint="cs"/>
          <w:rtl/>
        </w:rPr>
        <w:t>،</w:t>
      </w:r>
      <w:r w:rsidR="00777DCB" w:rsidRPr="00A52585">
        <w:rPr>
          <w:rFonts w:hint="cs"/>
          <w:rtl/>
        </w:rPr>
        <w:t xml:space="preserve"> ولا ينبغي لمخلوق ان يتعاطاهما</w:t>
      </w:r>
      <w:r w:rsidR="00DB731D" w:rsidRPr="00A52585">
        <w:rPr>
          <w:rFonts w:hint="cs"/>
          <w:rtl/>
        </w:rPr>
        <w:t>،</w:t>
      </w:r>
      <w:r w:rsidR="00777DCB" w:rsidRPr="00A52585">
        <w:rPr>
          <w:rFonts w:hint="cs"/>
          <w:rtl/>
        </w:rPr>
        <w:t xml:space="preserve"> لان صفة المخلوق التواضع والتذلل وضرب الازار والرداء مثلا يقول - والله اعلم - كما لا يشارك الانسان في إزاره وردائه أحد</w:t>
      </w:r>
      <w:r w:rsidR="00DB731D" w:rsidRPr="00A52585">
        <w:rPr>
          <w:rFonts w:hint="cs"/>
          <w:rtl/>
        </w:rPr>
        <w:t>،</w:t>
      </w:r>
      <w:r w:rsidR="00777DCB" w:rsidRPr="00A52585">
        <w:rPr>
          <w:rFonts w:hint="cs"/>
          <w:rtl/>
        </w:rPr>
        <w:t xml:space="preserve"> كذلك لا يشاركني في الكبرياء والعظمة مخلوق</w:t>
      </w:r>
      <w:r w:rsidR="00DB731D" w:rsidRPr="00A52585">
        <w:rPr>
          <w:rFonts w:hint="cs"/>
          <w:rtl/>
        </w:rPr>
        <w:t>،</w:t>
      </w:r>
      <w:r w:rsidR="00777DCB" w:rsidRPr="00A52585">
        <w:rPr>
          <w:rFonts w:hint="cs"/>
          <w:rtl/>
        </w:rPr>
        <w:t xml:space="preserve"> </w:t>
      </w:r>
    </w:p>
    <w:p w14:paraId="7AED8B3B" w14:textId="56154D43" w:rsidR="00777DCB" w:rsidRPr="00A52585" w:rsidRDefault="0002035C" w:rsidP="0002035C">
      <w:pPr>
        <w:rPr>
          <w:b/>
          <w:rtl/>
        </w:rPr>
      </w:pPr>
      <w:r w:rsidRPr="00A52585">
        <w:rPr>
          <w:rFonts w:hint="cs"/>
          <w:bCs/>
          <w:u w:val="single"/>
          <w:rtl/>
        </w:rPr>
        <w:t>[</w:t>
      </w:r>
      <w:r w:rsidR="00777DCB" w:rsidRPr="00A52585">
        <w:rPr>
          <w:rFonts w:hint="cs"/>
          <w:bCs/>
          <w:u w:val="single"/>
          <w:rtl/>
        </w:rPr>
        <w:t>36</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 والثلاثون</w:t>
      </w:r>
      <w:r w:rsidRPr="00A52585">
        <w:rPr>
          <w:rFonts w:hint="cs"/>
          <w:bCs/>
          <w:rtl/>
        </w:rPr>
        <w:t>]:</w:t>
      </w:r>
      <w:r w:rsidR="00777DCB" w:rsidRPr="00A52585">
        <w:rPr>
          <w:rFonts w:hint="cs"/>
          <w:rtl/>
        </w:rPr>
        <w:t xml:space="preserve"> روى البخاري </w:t>
      </w:r>
      <w:r w:rsidRPr="00A52585">
        <w:rPr>
          <w:rFonts w:hint="cs"/>
          <w:rtl/>
        </w:rPr>
        <w:t>(</w:t>
      </w:r>
      <w:r w:rsidR="00777DCB" w:rsidRPr="00A52585">
        <w:rPr>
          <w:rFonts w:hint="cs"/>
          <w:rtl/>
        </w:rPr>
        <w:t>13 / 384 فتح</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2102 رقم 1</w:t>
      </w:r>
      <w:r w:rsidRPr="00A52585">
        <w:rPr>
          <w:rFonts w:hint="cs"/>
          <w:rtl/>
        </w:rPr>
        <w:t>)</w:t>
      </w:r>
      <w:r w:rsidR="00777DCB" w:rsidRPr="00A52585">
        <w:rPr>
          <w:rFonts w:hint="cs"/>
          <w:rtl/>
        </w:rPr>
        <w:t xml:space="preserve"> في الصحيحين من حديث أبي هريرة - رضي الله عنه - عن النبي صلى الله عليه وسلم قال</w:t>
      </w:r>
      <w:r w:rsidRPr="00A52585">
        <w:rPr>
          <w:rFonts w:hint="cs"/>
          <w:rtl/>
        </w:rPr>
        <w:t>:</w:t>
      </w:r>
      <w:r w:rsidR="00777DCB" w:rsidRPr="00A52585">
        <w:rPr>
          <w:rFonts w:hint="cs"/>
          <w:rtl/>
        </w:rPr>
        <w:t xml:space="preserve"> يقول الله تعالى</w:t>
      </w:r>
      <w:r w:rsidRPr="00A52585">
        <w:rPr>
          <w:rFonts w:hint="cs"/>
          <w:rtl/>
        </w:rPr>
        <w:t>:</w:t>
      </w:r>
      <w:r w:rsidR="00777DCB" w:rsidRPr="00A52585">
        <w:rPr>
          <w:rFonts w:hint="cs"/>
          <w:rtl/>
        </w:rPr>
        <w:t xml:space="preserve"> أنا عند ظن عبدي وأنا معه حيث يذكرني فإن ذكرني في نفسه ذكرته في نفسي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معنى فإن ذكرني في نفسه ذكرته في نفسي هو كما قال الحافظ في الفتح </w:t>
      </w:r>
      <w:r w:rsidRPr="00A52585">
        <w:rPr>
          <w:rFonts w:hint="cs"/>
          <w:sz w:val="24"/>
          <w:szCs w:val="24"/>
          <w:rtl/>
        </w:rPr>
        <w:t>(</w:t>
      </w:r>
      <w:r w:rsidR="00777DCB" w:rsidRPr="00A52585">
        <w:rPr>
          <w:rFonts w:hint="cs"/>
          <w:sz w:val="24"/>
          <w:szCs w:val="24"/>
          <w:rtl/>
        </w:rPr>
        <w:t>13 / 386</w:t>
      </w:r>
      <w:r w:rsidRPr="00A52585">
        <w:rPr>
          <w:rFonts w:hint="cs"/>
          <w:sz w:val="24"/>
          <w:szCs w:val="24"/>
          <w:rtl/>
        </w:rPr>
        <w:t>):</w:t>
      </w:r>
      <w:r w:rsidR="00777DCB" w:rsidRPr="00A52585">
        <w:rPr>
          <w:rFonts w:hint="cs"/>
          <w:sz w:val="24"/>
          <w:szCs w:val="24"/>
          <w:rtl/>
        </w:rPr>
        <w:t xml:space="preserve"> " أي إن ذكرني بالتنزيه والتقديس سرا ذكرته بالثواب والرحمة سرا "]</w:t>
      </w:r>
      <w:r w:rsidR="00DB731D" w:rsidRPr="00A52585">
        <w:rPr>
          <w:rFonts w:hint="cs"/>
          <w:rtl/>
        </w:rPr>
        <w:t>،</w:t>
      </w:r>
      <w:r w:rsidR="00777DCB" w:rsidRPr="00A52585">
        <w:rPr>
          <w:rFonts w:hint="cs"/>
          <w:rtl/>
        </w:rPr>
        <w:t xml:space="preserve"> وإن ذكرني في ملا ذكرته في ملا خير منهم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w:t>
      </w:r>
      <w:r w:rsidR="00777DCB" w:rsidRPr="00A52585">
        <w:rPr>
          <w:rFonts w:hint="cs"/>
          <w:sz w:val="24"/>
          <w:szCs w:val="24"/>
          <w:rtl/>
        </w:rPr>
        <w:lastRenderedPageBreak/>
        <w:t>الحافظ في الفتح</w:t>
      </w:r>
      <w:r w:rsidRPr="00A52585">
        <w:rPr>
          <w:rFonts w:hint="cs"/>
          <w:sz w:val="24"/>
          <w:szCs w:val="24"/>
          <w:rtl/>
        </w:rPr>
        <w:t>:</w:t>
      </w:r>
      <w:r w:rsidR="00777DCB" w:rsidRPr="00A52585">
        <w:rPr>
          <w:rFonts w:hint="cs"/>
          <w:sz w:val="24"/>
          <w:szCs w:val="24"/>
          <w:rtl/>
        </w:rPr>
        <w:t xml:space="preserve"> " والتقدير إن ذكرني في نفسه ذكرته بثواب لا أطلع عليه أحدا</w:t>
      </w:r>
      <w:r w:rsidR="00DB731D" w:rsidRPr="00A52585">
        <w:rPr>
          <w:rFonts w:hint="cs"/>
          <w:sz w:val="24"/>
          <w:szCs w:val="24"/>
          <w:rtl/>
        </w:rPr>
        <w:t>،</w:t>
      </w:r>
      <w:r w:rsidR="00777DCB" w:rsidRPr="00A52585">
        <w:rPr>
          <w:rFonts w:hint="cs"/>
          <w:sz w:val="24"/>
          <w:szCs w:val="24"/>
          <w:rtl/>
        </w:rPr>
        <w:t xml:space="preserve"> وإن ذكرني جهرا ذكرته بثواب أطلع عليه الملا الاعلى " اه‍]</w:t>
      </w:r>
      <w:r w:rsidR="00DB731D" w:rsidRPr="00A52585">
        <w:rPr>
          <w:rFonts w:hint="cs"/>
          <w:rtl/>
        </w:rPr>
        <w:t>،</w:t>
      </w:r>
      <w:r w:rsidR="00777DCB" w:rsidRPr="00A52585">
        <w:rPr>
          <w:rFonts w:hint="cs"/>
          <w:rtl/>
        </w:rPr>
        <w:t xml:space="preserve"> وإن تقرب إلي شبرا تقربت إليه ذراعا</w:t>
      </w:r>
      <w:r w:rsidR="00DB731D" w:rsidRPr="00A52585">
        <w:rPr>
          <w:rFonts w:hint="cs"/>
          <w:rtl/>
        </w:rPr>
        <w:t>،</w:t>
      </w:r>
      <w:r w:rsidR="00777DCB" w:rsidRPr="00A52585">
        <w:rPr>
          <w:rFonts w:hint="cs"/>
          <w:rtl/>
        </w:rPr>
        <w:t xml:space="preserve"> وان تقرب إلي ذراعا اقتربت إليه باعا</w:t>
      </w:r>
      <w:r w:rsidR="00DB731D" w:rsidRPr="00A52585">
        <w:rPr>
          <w:rFonts w:hint="cs"/>
          <w:rtl/>
        </w:rPr>
        <w:t>،</w:t>
      </w:r>
      <w:r w:rsidR="00777DCB" w:rsidRPr="00A52585">
        <w:rPr>
          <w:rFonts w:hint="cs"/>
          <w:rtl/>
        </w:rPr>
        <w:t xml:space="preserve"> وإن أتاني يمشي أتيته هرولة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الحافظ في " شرح البخاري " </w:t>
      </w:r>
      <w:r w:rsidRPr="00A52585">
        <w:rPr>
          <w:rFonts w:hint="cs"/>
          <w:sz w:val="24"/>
          <w:szCs w:val="24"/>
          <w:rtl/>
        </w:rPr>
        <w:t>(</w:t>
      </w:r>
      <w:r w:rsidR="00777DCB" w:rsidRPr="00A52585">
        <w:rPr>
          <w:rFonts w:hint="cs"/>
          <w:sz w:val="24"/>
          <w:szCs w:val="24"/>
          <w:rtl/>
        </w:rPr>
        <w:t>13 / 513</w:t>
      </w:r>
      <w:r w:rsidRPr="00A52585">
        <w:rPr>
          <w:rFonts w:hint="cs"/>
          <w:sz w:val="24"/>
          <w:szCs w:val="24"/>
          <w:rtl/>
        </w:rPr>
        <w:t>):</w:t>
      </w:r>
      <w:r w:rsidR="00777DCB" w:rsidRPr="00A52585">
        <w:rPr>
          <w:rFonts w:hint="cs"/>
          <w:sz w:val="24"/>
          <w:szCs w:val="24"/>
          <w:rtl/>
        </w:rPr>
        <w:t xml:space="preserve"> " قال ابن بطال</w:t>
      </w:r>
      <w:r w:rsidRPr="00A52585">
        <w:rPr>
          <w:rFonts w:hint="cs"/>
          <w:sz w:val="24"/>
          <w:szCs w:val="24"/>
          <w:rtl/>
        </w:rPr>
        <w:t>:</w:t>
      </w:r>
      <w:r w:rsidR="00777DCB" w:rsidRPr="00A52585">
        <w:rPr>
          <w:rFonts w:hint="cs"/>
          <w:sz w:val="24"/>
          <w:szCs w:val="24"/>
          <w:rtl/>
        </w:rPr>
        <w:t xml:space="preserve"> وصف سبحانه نفسه بأنه يتقرب إلى عبده ووصف العبد بالتقرب إليه ووصفه </w:t>
      </w:r>
      <w:proofErr w:type="spellStart"/>
      <w:r w:rsidR="00777DCB" w:rsidRPr="00A52585">
        <w:rPr>
          <w:rFonts w:hint="cs"/>
          <w:sz w:val="24"/>
          <w:szCs w:val="24"/>
          <w:rtl/>
        </w:rPr>
        <w:t>بالاتيان</w:t>
      </w:r>
      <w:proofErr w:type="spellEnd"/>
      <w:r w:rsidR="00777DCB" w:rsidRPr="00A52585">
        <w:rPr>
          <w:rFonts w:hint="cs"/>
          <w:sz w:val="24"/>
          <w:szCs w:val="24"/>
          <w:rtl/>
        </w:rPr>
        <w:t xml:space="preserve"> والهرولة</w:t>
      </w:r>
      <w:r w:rsidR="00DB731D" w:rsidRPr="00A52585">
        <w:rPr>
          <w:rFonts w:hint="cs"/>
          <w:sz w:val="24"/>
          <w:szCs w:val="24"/>
          <w:rtl/>
        </w:rPr>
        <w:t>،</w:t>
      </w:r>
      <w:r w:rsidR="00777DCB" w:rsidRPr="00A52585">
        <w:rPr>
          <w:rFonts w:hint="cs"/>
          <w:sz w:val="24"/>
          <w:szCs w:val="24"/>
          <w:rtl/>
        </w:rPr>
        <w:t xml:space="preserve"> كل ذلك يحتمل الحقيقة والمجاز</w:t>
      </w:r>
      <w:r w:rsidR="00DB731D" w:rsidRPr="00A52585">
        <w:rPr>
          <w:rFonts w:hint="cs"/>
          <w:sz w:val="24"/>
          <w:szCs w:val="24"/>
          <w:rtl/>
        </w:rPr>
        <w:t>،</w:t>
      </w:r>
      <w:r w:rsidR="00777DCB" w:rsidRPr="00A52585">
        <w:rPr>
          <w:rFonts w:hint="cs"/>
          <w:sz w:val="24"/>
          <w:szCs w:val="24"/>
          <w:rtl/>
        </w:rPr>
        <w:t xml:space="preserve"> فحملها على الحقيقة يقتضي قطع المسافات وتداني الاجسام وذلك في حقه تعالى محال</w:t>
      </w:r>
      <w:r w:rsidR="00DB731D" w:rsidRPr="00A52585">
        <w:rPr>
          <w:rFonts w:hint="cs"/>
          <w:sz w:val="24"/>
          <w:szCs w:val="24"/>
          <w:rtl/>
        </w:rPr>
        <w:t>،</w:t>
      </w:r>
      <w:r w:rsidR="00777DCB" w:rsidRPr="00A52585">
        <w:rPr>
          <w:rFonts w:hint="cs"/>
          <w:sz w:val="24"/>
          <w:szCs w:val="24"/>
          <w:rtl/>
        </w:rPr>
        <w:t xml:space="preserve"> فلما استحالت الحقيقة تعين المجاز لشهرته في كلام العرب</w:t>
      </w:r>
      <w:r w:rsidR="00DB731D" w:rsidRPr="00A52585">
        <w:rPr>
          <w:rFonts w:hint="cs"/>
          <w:sz w:val="24"/>
          <w:szCs w:val="24"/>
          <w:rtl/>
        </w:rPr>
        <w:t>،</w:t>
      </w:r>
      <w:r w:rsidR="00777DCB" w:rsidRPr="00A52585">
        <w:rPr>
          <w:rFonts w:hint="cs"/>
          <w:sz w:val="24"/>
          <w:szCs w:val="24"/>
          <w:rtl/>
        </w:rPr>
        <w:t xml:space="preserve"> فيكون وصف العبد بالتقرب إليه شبرا وذراعا له وإتيانه ومشيه معناه التقرب إليه بطاعته وأداء مفترضاته ونوافله</w:t>
      </w:r>
      <w:r w:rsidR="00DB731D" w:rsidRPr="00A52585">
        <w:rPr>
          <w:rFonts w:hint="cs"/>
          <w:sz w:val="24"/>
          <w:szCs w:val="24"/>
          <w:rtl/>
        </w:rPr>
        <w:t>،</w:t>
      </w:r>
      <w:r w:rsidR="00777DCB" w:rsidRPr="00A52585">
        <w:rPr>
          <w:rFonts w:hint="cs"/>
          <w:sz w:val="24"/>
          <w:szCs w:val="24"/>
          <w:rtl/>
        </w:rPr>
        <w:t xml:space="preserve"> ويكون تقربه سبحانه من عبده وإتيانه والمشي عبارة عن إثابته على طاعته وتقربه من رحمته</w:t>
      </w:r>
      <w:r w:rsidR="00DB731D" w:rsidRPr="00A52585">
        <w:rPr>
          <w:rFonts w:hint="cs"/>
          <w:sz w:val="24"/>
          <w:szCs w:val="24"/>
          <w:rtl/>
        </w:rPr>
        <w:t>،</w:t>
      </w:r>
      <w:r w:rsidR="00777DCB" w:rsidRPr="00A52585">
        <w:rPr>
          <w:rFonts w:hint="cs"/>
          <w:sz w:val="24"/>
          <w:szCs w:val="24"/>
          <w:rtl/>
        </w:rPr>
        <w:t xml:space="preserve"> ويكون قوله أتيته هرولة أي أتاه ثوابي مسرعا</w:t>
      </w:r>
      <w:r w:rsidR="00DB731D" w:rsidRPr="00A52585">
        <w:rPr>
          <w:rFonts w:hint="cs"/>
          <w:sz w:val="24"/>
          <w:szCs w:val="24"/>
          <w:rtl/>
        </w:rPr>
        <w:t>،</w:t>
      </w:r>
      <w:r w:rsidR="00777DCB" w:rsidRPr="00A52585">
        <w:rPr>
          <w:rFonts w:hint="cs"/>
          <w:sz w:val="24"/>
          <w:szCs w:val="24"/>
          <w:rtl/>
        </w:rPr>
        <w:t xml:space="preserve"> ونقل عن الطبري أنه إنما مثل القليل من الطاعة بالشبر منه والضعف من الكرامة والثواب بالذراع فجعل ذلك دليلا على مبلغ كرامته لمن أدمن على طاعته</w:t>
      </w:r>
      <w:r w:rsidR="00DB731D" w:rsidRPr="00A52585">
        <w:rPr>
          <w:rFonts w:hint="cs"/>
          <w:sz w:val="24"/>
          <w:szCs w:val="24"/>
          <w:rtl/>
        </w:rPr>
        <w:t>،</w:t>
      </w:r>
      <w:r w:rsidR="00777DCB" w:rsidRPr="00A52585">
        <w:rPr>
          <w:rFonts w:hint="cs"/>
          <w:sz w:val="24"/>
          <w:szCs w:val="24"/>
          <w:rtl/>
        </w:rPr>
        <w:t xml:space="preserve"> أن ثواب عمله له على عمله الضعف وإن الكرامة مجاوزة حده إلى ما يثيبه الله تعالى</w:t>
      </w:r>
      <w:r w:rsidR="00DB731D" w:rsidRPr="00A52585">
        <w:rPr>
          <w:rFonts w:hint="cs"/>
          <w:sz w:val="24"/>
          <w:szCs w:val="24"/>
          <w:rtl/>
        </w:rPr>
        <w:t>،</w:t>
      </w:r>
      <w:r w:rsidR="00777DCB" w:rsidRPr="00A52585">
        <w:rPr>
          <w:rFonts w:hint="cs"/>
          <w:sz w:val="24"/>
          <w:szCs w:val="24"/>
          <w:rtl/>
        </w:rPr>
        <w:t xml:space="preserve"> وقال ابن التين</w:t>
      </w:r>
      <w:r w:rsidRPr="00A52585">
        <w:rPr>
          <w:rFonts w:hint="cs"/>
          <w:sz w:val="24"/>
          <w:szCs w:val="24"/>
          <w:rtl/>
        </w:rPr>
        <w:t>:</w:t>
      </w:r>
      <w:r w:rsidR="00777DCB" w:rsidRPr="00A52585">
        <w:rPr>
          <w:rFonts w:hint="cs"/>
          <w:sz w:val="24"/>
          <w:szCs w:val="24"/>
          <w:rtl/>
        </w:rPr>
        <w:t xml:space="preserve"> القرب هنا نظير ما تقدم في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فكان قاب قوسين أو أدنى</w:t>
      </w:r>
      <w:r w:rsidRPr="00A52585">
        <w:rPr>
          <w:rFonts w:hint="cs"/>
          <w:sz w:val="24"/>
          <w:szCs w:val="24"/>
          <w:rtl/>
        </w:rPr>
        <w:t>)</w:t>
      </w:r>
      <w:r w:rsidR="00777DCB" w:rsidRPr="00A52585">
        <w:rPr>
          <w:rFonts w:hint="cs"/>
          <w:sz w:val="24"/>
          <w:szCs w:val="24"/>
          <w:rtl/>
        </w:rPr>
        <w:t xml:space="preserve"> فإن المراد به قرب الرتبة وتوفر الكرامة</w:t>
      </w:r>
      <w:r w:rsidR="00DB731D" w:rsidRPr="00A52585">
        <w:rPr>
          <w:rFonts w:hint="cs"/>
          <w:sz w:val="24"/>
          <w:szCs w:val="24"/>
          <w:rtl/>
        </w:rPr>
        <w:t>،</w:t>
      </w:r>
      <w:r w:rsidR="00777DCB" w:rsidRPr="00A52585">
        <w:rPr>
          <w:rFonts w:hint="cs"/>
          <w:sz w:val="24"/>
          <w:szCs w:val="24"/>
          <w:rtl/>
        </w:rPr>
        <w:t xml:space="preserve"> والهرولة كناية عن سرعة الرحمة إليه ورضا الله عن العبد وتضعيف الاجر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وللنفس في لغة العرب عدة معان منها</w:t>
      </w:r>
      <w:r w:rsidRPr="00A52585">
        <w:rPr>
          <w:rFonts w:hint="cs"/>
          <w:sz w:val="24"/>
          <w:szCs w:val="24"/>
          <w:rtl/>
        </w:rPr>
        <w:t>:</w:t>
      </w:r>
      <w:r w:rsidR="00777DCB" w:rsidRPr="00A52585">
        <w:rPr>
          <w:rFonts w:hint="cs"/>
          <w:sz w:val="24"/>
          <w:szCs w:val="24"/>
          <w:rtl/>
        </w:rPr>
        <w:t xml:space="preserve"> الدم ومن ذلك قول الفقهاء</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ما لا نفس له سائلة</w:t>
      </w:r>
      <w:r w:rsidRPr="00A52585">
        <w:rPr>
          <w:rFonts w:hint="cs"/>
          <w:sz w:val="24"/>
          <w:szCs w:val="24"/>
          <w:rtl/>
        </w:rPr>
        <w:t>)</w:t>
      </w:r>
      <w:r w:rsidR="00777DCB" w:rsidRPr="00A52585">
        <w:rPr>
          <w:rFonts w:hint="cs"/>
          <w:sz w:val="24"/>
          <w:szCs w:val="24"/>
          <w:rtl/>
        </w:rPr>
        <w:t xml:space="preserve"> أي</w:t>
      </w:r>
      <w:r w:rsidRPr="00A52585">
        <w:rPr>
          <w:rFonts w:hint="cs"/>
          <w:sz w:val="24"/>
          <w:szCs w:val="24"/>
          <w:rtl/>
        </w:rPr>
        <w:t>:</w:t>
      </w:r>
      <w:r w:rsidR="00777DCB" w:rsidRPr="00A52585">
        <w:rPr>
          <w:rFonts w:hint="cs"/>
          <w:sz w:val="24"/>
          <w:szCs w:val="24"/>
          <w:rtl/>
        </w:rPr>
        <w:t xml:space="preserve"> دم</w:t>
      </w:r>
      <w:r w:rsidR="00DB731D" w:rsidRPr="00A52585">
        <w:rPr>
          <w:rFonts w:hint="cs"/>
          <w:sz w:val="24"/>
          <w:szCs w:val="24"/>
          <w:rtl/>
        </w:rPr>
        <w:t>،</w:t>
      </w:r>
      <w:r w:rsidR="00777DCB" w:rsidRPr="00A52585">
        <w:rPr>
          <w:rFonts w:hint="cs"/>
          <w:sz w:val="24"/>
          <w:szCs w:val="24"/>
          <w:rtl/>
        </w:rPr>
        <w:t xml:space="preserve"> ومنها</w:t>
      </w:r>
      <w:r w:rsidRPr="00A52585">
        <w:rPr>
          <w:rFonts w:hint="cs"/>
          <w:sz w:val="24"/>
          <w:szCs w:val="24"/>
          <w:rtl/>
        </w:rPr>
        <w:t>:</w:t>
      </w:r>
      <w:r w:rsidR="00777DCB" w:rsidRPr="00A52585">
        <w:rPr>
          <w:rFonts w:hint="cs"/>
          <w:sz w:val="24"/>
          <w:szCs w:val="24"/>
          <w:rtl/>
        </w:rPr>
        <w:t xml:space="preserve"> الروح</w:t>
      </w:r>
      <w:r w:rsidR="00DB731D" w:rsidRPr="00A52585">
        <w:rPr>
          <w:rFonts w:hint="cs"/>
          <w:sz w:val="24"/>
          <w:szCs w:val="24"/>
          <w:rtl/>
        </w:rPr>
        <w:t>،</w:t>
      </w:r>
      <w:r w:rsidR="00777DCB" w:rsidRPr="00A52585">
        <w:rPr>
          <w:rFonts w:hint="cs"/>
          <w:sz w:val="24"/>
          <w:szCs w:val="24"/>
          <w:rtl/>
        </w:rPr>
        <w:t xml:space="preserve"> تقول</w:t>
      </w:r>
      <w:r w:rsidRPr="00A52585">
        <w:rPr>
          <w:rFonts w:hint="cs"/>
          <w:sz w:val="24"/>
          <w:szCs w:val="24"/>
          <w:rtl/>
        </w:rPr>
        <w:t>:</w:t>
      </w:r>
      <w:r w:rsidR="00777DCB" w:rsidRPr="00A52585">
        <w:rPr>
          <w:rFonts w:hint="cs"/>
          <w:sz w:val="24"/>
          <w:szCs w:val="24"/>
          <w:rtl/>
        </w:rPr>
        <w:t xml:space="preserve"> خرجت نفس فلان أو زهقت نفسه أي روحه ومنه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الله يتوفى الانفس حين موتها</w:t>
      </w:r>
      <w:r w:rsidRPr="00A52585">
        <w:rPr>
          <w:rFonts w:hint="cs"/>
          <w:sz w:val="24"/>
          <w:szCs w:val="24"/>
          <w:rtl/>
        </w:rPr>
        <w:t>)</w:t>
      </w:r>
      <w:r w:rsidR="00777DCB" w:rsidRPr="00A52585">
        <w:rPr>
          <w:rFonts w:hint="cs"/>
          <w:sz w:val="24"/>
          <w:szCs w:val="24"/>
          <w:rtl/>
        </w:rPr>
        <w:t xml:space="preserve"> أي يتوفى الارواح حين موت الاجساد</w:t>
      </w:r>
      <w:r w:rsidR="00DB731D" w:rsidRPr="00A52585">
        <w:rPr>
          <w:rFonts w:hint="cs"/>
          <w:sz w:val="24"/>
          <w:szCs w:val="24"/>
          <w:rtl/>
        </w:rPr>
        <w:t>،</w:t>
      </w:r>
      <w:r w:rsidR="00777DCB" w:rsidRPr="00A52585">
        <w:rPr>
          <w:rFonts w:hint="cs"/>
          <w:sz w:val="24"/>
          <w:szCs w:val="24"/>
          <w:rtl/>
        </w:rPr>
        <w:t xml:space="preserve"> ومنها مجمل الانسان من الروح والجسد</w:t>
      </w:r>
      <w:r w:rsidR="00DB731D" w:rsidRPr="00A52585">
        <w:rPr>
          <w:rFonts w:hint="cs"/>
          <w:sz w:val="24"/>
          <w:szCs w:val="24"/>
          <w:rtl/>
        </w:rPr>
        <w:t>،</w:t>
      </w:r>
      <w:r w:rsidR="00777DCB" w:rsidRPr="00A52585">
        <w:rPr>
          <w:rFonts w:hint="cs"/>
          <w:sz w:val="24"/>
          <w:szCs w:val="24"/>
          <w:rtl/>
        </w:rPr>
        <w:t xml:space="preserve"> كما نقول</w:t>
      </w:r>
      <w:r w:rsidRPr="00A52585">
        <w:rPr>
          <w:rFonts w:hint="cs"/>
          <w:sz w:val="24"/>
          <w:szCs w:val="24"/>
          <w:rtl/>
        </w:rPr>
        <w:t>:</w:t>
      </w:r>
      <w:r w:rsidR="00777DCB" w:rsidRPr="00A52585">
        <w:rPr>
          <w:rFonts w:hint="cs"/>
          <w:sz w:val="24"/>
          <w:szCs w:val="24"/>
          <w:rtl/>
        </w:rPr>
        <w:t xml:space="preserve"> لا تظلم هذه الانفس</w:t>
      </w:r>
      <w:r w:rsidR="00DB731D" w:rsidRPr="00A52585">
        <w:rPr>
          <w:rFonts w:hint="cs"/>
          <w:sz w:val="24"/>
          <w:szCs w:val="24"/>
          <w:rtl/>
        </w:rPr>
        <w:t>،</w:t>
      </w:r>
      <w:r w:rsidR="00777DCB" w:rsidRPr="00A52585">
        <w:rPr>
          <w:rFonts w:hint="cs"/>
          <w:sz w:val="24"/>
          <w:szCs w:val="24"/>
          <w:rtl/>
        </w:rPr>
        <w:t xml:space="preserve"> ومنها</w:t>
      </w:r>
      <w:r w:rsidRPr="00A52585">
        <w:rPr>
          <w:rFonts w:hint="cs"/>
          <w:sz w:val="24"/>
          <w:szCs w:val="24"/>
          <w:rtl/>
        </w:rPr>
        <w:t>:</w:t>
      </w:r>
      <w:r w:rsidR="00777DCB" w:rsidRPr="00A52585">
        <w:rPr>
          <w:rFonts w:hint="cs"/>
          <w:sz w:val="24"/>
          <w:szCs w:val="24"/>
          <w:rtl/>
        </w:rPr>
        <w:t xml:space="preserve"> العين</w:t>
      </w:r>
      <w:r w:rsidR="00DB731D" w:rsidRPr="00A52585">
        <w:rPr>
          <w:rFonts w:hint="cs"/>
          <w:sz w:val="24"/>
          <w:szCs w:val="24"/>
          <w:rtl/>
        </w:rPr>
        <w:t>،</w:t>
      </w:r>
      <w:r w:rsidR="00777DCB" w:rsidRPr="00A52585">
        <w:rPr>
          <w:rFonts w:hint="cs"/>
          <w:sz w:val="24"/>
          <w:szCs w:val="24"/>
          <w:rtl/>
        </w:rPr>
        <w:t xml:space="preserve"> نقول هذا أمر رأيته بنفسي أي بعيني</w:t>
      </w:r>
      <w:r w:rsidR="00DB731D" w:rsidRPr="00A52585">
        <w:rPr>
          <w:rFonts w:hint="cs"/>
          <w:sz w:val="24"/>
          <w:szCs w:val="24"/>
          <w:rtl/>
        </w:rPr>
        <w:t>،</w:t>
      </w:r>
      <w:r w:rsidR="00777DCB" w:rsidRPr="00A52585">
        <w:rPr>
          <w:rFonts w:hint="cs"/>
          <w:sz w:val="24"/>
          <w:szCs w:val="24"/>
          <w:rtl/>
        </w:rPr>
        <w:t xml:space="preserve"> ومنها</w:t>
      </w:r>
      <w:r w:rsidRPr="00A52585">
        <w:rPr>
          <w:rFonts w:hint="cs"/>
          <w:sz w:val="24"/>
          <w:szCs w:val="24"/>
          <w:rtl/>
        </w:rPr>
        <w:t>:</w:t>
      </w:r>
      <w:r w:rsidR="00777DCB" w:rsidRPr="00A52585">
        <w:rPr>
          <w:rFonts w:hint="cs"/>
          <w:sz w:val="24"/>
          <w:szCs w:val="24"/>
          <w:rtl/>
        </w:rPr>
        <w:t xml:space="preserve"> الشيء والذات</w:t>
      </w:r>
      <w:r w:rsidR="00DB731D" w:rsidRPr="00A52585">
        <w:rPr>
          <w:rFonts w:hint="cs"/>
          <w:sz w:val="24"/>
          <w:szCs w:val="24"/>
          <w:rtl/>
        </w:rPr>
        <w:t>،</w:t>
      </w:r>
      <w:r w:rsidR="00777DCB" w:rsidRPr="00A52585">
        <w:rPr>
          <w:rFonts w:hint="cs"/>
          <w:sz w:val="24"/>
          <w:szCs w:val="24"/>
          <w:rtl/>
        </w:rPr>
        <w:t xml:space="preserve"> تقول</w:t>
      </w:r>
      <w:r w:rsidRPr="00A52585">
        <w:rPr>
          <w:rFonts w:hint="cs"/>
          <w:sz w:val="24"/>
          <w:szCs w:val="24"/>
          <w:rtl/>
        </w:rPr>
        <w:t>:</w:t>
      </w:r>
      <w:r w:rsidR="00777DCB" w:rsidRPr="00A52585">
        <w:rPr>
          <w:rFonts w:hint="cs"/>
          <w:sz w:val="24"/>
          <w:szCs w:val="24"/>
          <w:rtl/>
        </w:rPr>
        <w:t xml:space="preserve"> هذا نفس الامر</w:t>
      </w:r>
      <w:r w:rsidR="00DB731D" w:rsidRPr="00A52585">
        <w:rPr>
          <w:rFonts w:hint="cs"/>
          <w:sz w:val="24"/>
          <w:szCs w:val="24"/>
          <w:rtl/>
        </w:rPr>
        <w:t>،</w:t>
      </w:r>
      <w:r w:rsidR="00777DCB" w:rsidRPr="00A52585">
        <w:rPr>
          <w:rFonts w:hint="cs"/>
          <w:sz w:val="24"/>
          <w:szCs w:val="24"/>
          <w:rtl/>
        </w:rPr>
        <w:t xml:space="preserve"> والله أعلم]</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ذهب القاضي أبو يعلى</w:t>
      </w:r>
      <w:r w:rsidRPr="00A52585">
        <w:rPr>
          <w:rFonts w:hint="cs"/>
          <w:rtl/>
        </w:rPr>
        <w:t xml:space="preserve"> </w:t>
      </w:r>
      <w:r w:rsidR="00777DCB" w:rsidRPr="00A52585">
        <w:rPr>
          <w:rFonts w:hint="cs"/>
          <w:rtl/>
        </w:rPr>
        <w:t>إلى أن لله نفسا هي صفة زائدة على الذات</w:t>
      </w:r>
      <w:r w:rsidR="00DB731D" w:rsidRPr="00A52585">
        <w:rPr>
          <w:rFonts w:hint="cs"/>
          <w:rtl/>
        </w:rPr>
        <w:t>،</w:t>
      </w:r>
      <w:r w:rsidR="00777DCB" w:rsidRPr="00A52585">
        <w:rPr>
          <w:rFonts w:hint="cs"/>
          <w:rtl/>
        </w:rPr>
        <w:t xml:space="preserve"> وهذا قول مبتدع بنوع التشبيه لأنّه لا يفرق بين الذات والنفس</w:t>
      </w:r>
      <w:r w:rsidR="00DB731D" w:rsidRPr="00A52585">
        <w:rPr>
          <w:rFonts w:hint="cs"/>
          <w:rtl/>
        </w:rPr>
        <w:t>،</w:t>
      </w:r>
      <w:r w:rsidR="00777DCB" w:rsidRPr="00A52585">
        <w:rPr>
          <w:rFonts w:hint="cs"/>
          <w:rtl/>
        </w:rPr>
        <w:t xml:space="preserve"> وما المانع أن يكون المعنى</w:t>
      </w:r>
      <w:r w:rsidRPr="00A52585">
        <w:rPr>
          <w:rFonts w:hint="cs"/>
          <w:rtl/>
        </w:rPr>
        <w:t>:</w:t>
      </w:r>
      <w:r w:rsidR="00777DCB" w:rsidRPr="00A52585">
        <w:rPr>
          <w:rFonts w:hint="cs"/>
          <w:rtl/>
        </w:rPr>
        <w:t xml:space="preserve"> ذكرته أنا وقد سبق هذا في الكلام على الآيات</w:t>
      </w:r>
      <w:r w:rsidR="00DB731D" w:rsidRPr="00A52585">
        <w:rPr>
          <w:rFonts w:hint="cs"/>
          <w:rtl/>
        </w:rPr>
        <w:t>،</w:t>
      </w:r>
      <w:r w:rsidR="00777DCB" w:rsidRPr="00A52585">
        <w:rPr>
          <w:rFonts w:hint="cs"/>
          <w:rtl/>
        </w:rPr>
        <w:t xml:space="preserve"> والتقرب والهرولة</w:t>
      </w:r>
      <w:r w:rsidR="00DB731D" w:rsidRPr="00A52585">
        <w:rPr>
          <w:rFonts w:hint="cs"/>
          <w:rtl/>
        </w:rPr>
        <w:t>،</w:t>
      </w:r>
      <w:r w:rsidR="00777DCB" w:rsidRPr="00A52585">
        <w:rPr>
          <w:rFonts w:hint="cs"/>
          <w:rtl/>
        </w:rPr>
        <w:t xml:space="preserve"> توسع في الكلام كقوله تعالى </w:t>
      </w:r>
      <w:r w:rsidRPr="00A52585">
        <w:rPr>
          <w:rFonts w:hint="cs"/>
          <w:rtl/>
        </w:rPr>
        <w:t>(</w:t>
      </w:r>
      <w:r w:rsidR="00777DCB" w:rsidRPr="00A52585">
        <w:rPr>
          <w:rFonts w:hint="cs"/>
          <w:rtl/>
        </w:rPr>
        <w:t>سعوا في آياتنا</w:t>
      </w:r>
      <w:r w:rsidRPr="00A52585">
        <w:rPr>
          <w:rFonts w:hint="cs"/>
          <w:rtl/>
        </w:rPr>
        <w:t>)</w:t>
      </w:r>
      <w:r w:rsidR="00777DCB" w:rsidRPr="00A52585">
        <w:rPr>
          <w:rFonts w:hint="cs"/>
          <w:rtl/>
        </w:rPr>
        <w:t xml:space="preserve"> الحج</w:t>
      </w:r>
      <w:r w:rsidRPr="00A52585">
        <w:rPr>
          <w:rFonts w:hint="cs"/>
          <w:rtl/>
        </w:rPr>
        <w:t>:</w:t>
      </w:r>
      <w:r w:rsidR="00777DCB" w:rsidRPr="00A52585">
        <w:rPr>
          <w:rFonts w:hint="cs"/>
          <w:rtl/>
        </w:rPr>
        <w:t xml:space="preserve"> 50</w:t>
      </w:r>
      <w:r w:rsidR="00897A24" w:rsidRPr="00A52585">
        <w:rPr>
          <w:rFonts w:hint="cs"/>
          <w:rtl/>
        </w:rPr>
        <w:t>.</w:t>
      </w:r>
      <w:r w:rsidR="00777DCB" w:rsidRPr="00A52585">
        <w:rPr>
          <w:rFonts w:hint="cs"/>
          <w:rtl/>
        </w:rPr>
        <w:t xml:space="preserve"> لا يراد به المشي</w:t>
      </w:r>
      <w:r w:rsidR="00DB731D" w:rsidRPr="00A52585">
        <w:rPr>
          <w:rFonts w:hint="cs"/>
          <w:rtl/>
        </w:rPr>
        <w:t>،</w:t>
      </w:r>
      <w:r w:rsidR="00777DCB" w:rsidRPr="00A52585">
        <w:rPr>
          <w:rFonts w:hint="cs"/>
          <w:rtl/>
        </w:rPr>
        <w:t xml:space="preserve"> </w:t>
      </w:r>
    </w:p>
    <w:p w14:paraId="06034734" w14:textId="758C97AF" w:rsidR="00777DCB" w:rsidRPr="00A52585" w:rsidRDefault="0002035C" w:rsidP="0002035C">
      <w:pPr>
        <w:rPr>
          <w:b/>
          <w:rtl/>
        </w:rPr>
      </w:pPr>
      <w:r w:rsidRPr="00A52585">
        <w:rPr>
          <w:rFonts w:hint="cs"/>
          <w:bCs/>
          <w:u w:val="single"/>
          <w:rtl/>
        </w:rPr>
        <w:t>[</w:t>
      </w:r>
      <w:r w:rsidR="00777DCB" w:rsidRPr="00A52585">
        <w:rPr>
          <w:rFonts w:hint="cs"/>
          <w:bCs/>
          <w:u w:val="single"/>
          <w:rtl/>
        </w:rPr>
        <w:t>37</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 والثلاثون</w:t>
      </w:r>
      <w:r w:rsidRPr="00A52585">
        <w:rPr>
          <w:rFonts w:hint="cs"/>
          <w:bCs/>
          <w:rtl/>
        </w:rPr>
        <w:t>]</w:t>
      </w:r>
      <w:r w:rsidRPr="00A52585">
        <w:rPr>
          <w:rFonts w:hint="cs"/>
          <w:rtl/>
        </w:rPr>
        <w:t>:</w:t>
      </w:r>
      <w:r w:rsidR="00777DCB" w:rsidRPr="00A52585">
        <w:rPr>
          <w:rFonts w:hint="cs"/>
          <w:rtl/>
        </w:rPr>
        <w:t xml:space="preserve"> روى أبو سعيد رضي الله عنه عن النبي صلى الله عليه وسلم أنه قال</w:t>
      </w:r>
      <w:r w:rsidRPr="00A52585">
        <w:rPr>
          <w:rFonts w:hint="cs"/>
          <w:rtl/>
        </w:rPr>
        <w:t>:</w:t>
      </w:r>
      <w:r w:rsidR="00777DCB" w:rsidRPr="00A52585">
        <w:rPr>
          <w:rFonts w:hint="cs"/>
          <w:rtl/>
        </w:rPr>
        <w:t xml:space="preserve"> " إن الله جميل يحب الجمال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رواه مسلم في صحيحه </w:t>
      </w:r>
      <w:r w:rsidRPr="00A52585">
        <w:rPr>
          <w:rFonts w:hint="cs"/>
          <w:sz w:val="24"/>
          <w:szCs w:val="24"/>
          <w:rtl/>
        </w:rPr>
        <w:t>(</w:t>
      </w:r>
      <w:r w:rsidR="00777DCB" w:rsidRPr="00A52585">
        <w:rPr>
          <w:rFonts w:hint="cs"/>
          <w:sz w:val="24"/>
          <w:szCs w:val="24"/>
          <w:rtl/>
        </w:rPr>
        <w:t>1 / 93 برقم 147</w:t>
      </w:r>
      <w:r w:rsidRPr="00A52585">
        <w:rPr>
          <w:rFonts w:hint="cs"/>
          <w:sz w:val="24"/>
          <w:szCs w:val="24"/>
          <w:rtl/>
        </w:rPr>
        <w:t>)</w:t>
      </w:r>
      <w:r w:rsidR="00777DCB" w:rsidRPr="00A52585">
        <w:rPr>
          <w:rFonts w:hint="cs"/>
          <w:sz w:val="24"/>
          <w:szCs w:val="24"/>
          <w:rtl/>
        </w:rPr>
        <w:t xml:space="preserve"> من حديث أبي هريرة</w:t>
      </w:r>
      <w:r w:rsidR="00DB731D" w:rsidRPr="00A52585">
        <w:rPr>
          <w:rFonts w:hint="cs"/>
          <w:sz w:val="24"/>
          <w:szCs w:val="24"/>
          <w:rtl/>
        </w:rPr>
        <w:t>،</w:t>
      </w:r>
      <w:r w:rsidR="00777DCB" w:rsidRPr="00A52585">
        <w:rPr>
          <w:rFonts w:hint="cs"/>
          <w:sz w:val="24"/>
          <w:szCs w:val="24"/>
          <w:rtl/>
        </w:rPr>
        <w:t xml:space="preserve"> ورواه البيهقي في " شعب الايمان " </w:t>
      </w:r>
      <w:r w:rsidRPr="00A52585">
        <w:rPr>
          <w:rFonts w:hint="cs"/>
          <w:sz w:val="24"/>
          <w:szCs w:val="24"/>
          <w:rtl/>
        </w:rPr>
        <w:t>(</w:t>
      </w:r>
      <w:r w:rsidR="00777DCB" w:rsidRPr="00A52585">
        <w:rPr>
          <w:rFonts w:hint="cs"/>
          <w:sz w:val="24"/>
          <w:szCs w:val="24"/>
          <w:rtl/>
        </w:rPr>
        <w:t>5 / 163 برقم 6201</w:t>
      </w:r>
      <w:r w:rsidRPr="00A52585">
        <w:rPr>
          <w:rFonts w:hint="cs"/>
          <w:sz w:val="24"/>
          <w:szCs w:val="24"/>
          <w:rtl/>
        </w:rPr>
        <w:t>)</w:t>
      </w:r>
      <w:r w:rsidR="00777DCB" w:rsidRPr="00A52585">
        <w:rPr>
          <w:rFonts w:hint="cs"/>
          <w:sz w:val="24"/>
          <w:szCs w:val="24"/>
          <w:rtl/>
        </w:rPr>
        <w:t xml:space="preserve"> من حديث أبي سعيد بسند ضعيف</w:t>
      </w:r>
      <w:r w:rsidR="00DB731D" w:rsidRPr="00A52585">
        <w:rPr>
          <w:rFonts w:hint="cs"/>
          <w:sz w:val="24"/>
          <w:szCs w:val="24"/>
          <w:rtl/>
        </w:rPr>
        <w:t>،</w:t>
      </w:r>
      <w:r w:rsidR="00777DCB" w:rsidRPr="00A52585">
        <w:rPr>
          <w:rFonts w:hint="cs"/>
          <w:sz w:val="24"/>
          <w:szCs w:val="24"/>
          <w:rtl/>
        </w:rPr>
        <w:t xml:space="preserve"> وكذا رواه أبو يعلى في مسنده</w:t>
      </w:r>
      <w:r w:rsidR="00DB731D" w:rsidRPr="00A52585">
        <w:rPr>
          <w:rFonts w:hint="cs"/>
          <w:sz w:val="24"/>
          <w:szCs w:val="24"/>
          <w:rtl/>
        </w:rPr>
        <w:t>،</w:t>
      </w:r>
      <w:r w:rsidR="00777DCB" w:rsidRPr="00A52585">
        <w:rPr>
          <w:rFonts w:hint="cs"/>
          <w:sz w:val="24"/>
          <w:szCs w:val="24"/>
          <w:rtl/>
        </w:rPr>
        <w:t xml:space="preserve"> والحديث صحيح</w:t>
      </w:r>
      <w:r w:rsidRPr="00A52585">
        <w:rPr>
          <w:rFonts w:hint="cs"/>
          <w:sz w:val="24"/>
          <w:szCs w:val="24"/>
          <w:rtl/>
        </w:rPr>
        <w:t>]</w:t>
      </w:r>
      <w:r w:rsidR="00777DCB" w:rsidRPr="00A52585">
        <w:rPr>
          <w:rFonts w:hint="cs"/>
          <w:rtl/>
        </w:rPr>
        <w:t>، قال العلماء</w:t>
      </w:r>
      <w:r w:rsidRPr="00A52585">
        <w:rPr>
          <w:rFonts w:hint="cs"/>
          <w:rtl/>
        </w:rPr>
        <w:t>:</w:t>
      </w:r>
      <w:r w:rsidR="00777DCB" w:rsidRPr="00A52585">
        <w:rPr>
          <w:rFonts w:hint="cs"/>
          <w:rtl/>
        </w:rPr>
        <w:t xml:space="preserve"> الجميل المجمل بتحسين الصور والاخلاق والاحسان</w:t>
      </w:r>
      <w:r w:rsidR="00DB731D" w:rsidRPr="00A52585">
        <w:rPr>
          <w:rFonts w:hint="cs"/>
          <w:rtl/>
        </w:rPr>
        <w:t>،</w:t>
      </w:r>
      <w:r w:rsidR="00777DCB" w:rsidRPr="00A52585">
        <w:rPr>
          <w:rFonts w:hint="cs"/>
          <w:rtl/>
        </w:rPr>
        <w:t xml:space="preserve"> والذي أراه أن الجميل الذي أوصافه تامة مستحسنة</w:t>
      </w:r>
      <w:r w:rsidR="00DB731D" w:rsidRPr="00A52585">
        <w:rPr>
          <w:rFonts w:hint="cs"/>
          <w:rtl/>
        </w:rPr>
        <w:t>،</w:t>
      </w:r>
      <w:r w:rsidR="00777DCB" w:rsidRPr="00A52585">
        <w:rPr>
          <w:rFonts w:hint="cs"/>
          <w:rtl/>
        </w:rPr>
        <w:t xml:space="preserve"> وقد فسره القاضي أبو يعلى</w:t>
      </w:r>
      <w:r w:rsidRPr="00A52585">
        <w:rPr>
          <w:rFonts w:hint="cs"/>
          <w:rtl/>
        </w:rPr>
        <w:t xml:space="preserve"> </w:t>
      </w:r>
      <w:r w:rsidR="00777DCB" w:rsidRPr="00A52585">
        <w:rPr>
          <w:rFonts w:hint="cs"/>
          <w:rtl/>
        </w:rPr>
        <w:t>بما لا يليق بالحق سبحانه فقال</w:t>
      </w:r>
      <w:r w:rsidRPr="00A52585">
        <w:rPr>
          <w:rFonts w:hint="cs"/>
          <w:rtl/>
        </w:rPr>
        <w:t>:</w:t>
      </w:r>
      <w:r w:rsidR="00777DCB" w:rsidRPr="00A52585">
        <w:rPr>
          <w:rFonts w:hint="cs"/>
          <w:rtl/>
        </w:rPr>
        <w:t xml:space="preserve"> غير ممتنع وصفه بالجمال وإن ذلك صفة راجعة إلى الذات</w:t>
      </w:r>
      <w:r w:rsidR="00DB731D" w:rsidRPr="00A52585">
        <w:rPr>
          <w:rFonts w:hint="cs"/>
          <w:rtl/>
        </w:rPr>
        <w:t>،</w:t>
      </w:r>
      <w:r w:rsidR="00777DCB" w:rsidRPr="00A52585">
        <w:rPr>
          <w:rFonts w:hint="cs"/>
          <w:rtl/>
        </w:rPr>
        <w:t xml:space="preserve"> لان الجمال في معنى الحسن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وقد تقدم قوله</w:t>
      </w:r>
      <w:r w:rsidRPr="00A52585">
        <w:rPr>
          <w:rFonts w:hint="cs"/>
          <w:rtl/>
        </w:rPr>
        <w:t>:</w:t>
      </w:r>
      <w:r w:rsidR="00777DCB" w:rsidRPr="00A52585">
        <w:rPr>
          <w:rFonts w:hint="cs"/>
          <w:rtl/>
        </w:rPr>
        <w:t xml:space="preserve"> " رأيت ربي في أحسن صورة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حديث موضوع كما قدمناه</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تشبيه محض</w:t>
      </w:r>
      <w:r w:rsidR="00DB731D" w:rsidRPr="00A52585">
        <w:rPr>
          <w:rFonts w:hint="cs"/>
          <w:rtl/>
        </w:rPr>
        <w:t>،</w:t>
      </w:r>
      <w:r w:rsidR="00777DCB" w:rsidRPr="00A52585">
        <w:rPr>
          <w:rFonts w:hint="cs"/>
          <w:rtl/>
        </w:rPr>
        <w:t xml:space="preserve"> </w:t>
      </w:r>
    </w:p>
    <w:p w14:paraId="46CF579A" w14:textId="4D2E5B19" w:rsidR="00777DCB" w:rsidRPr="00A52585" w:rsidRDefault="0002035C" w:rsidP="0002035C">
      <w:pPr>
        <w:rPr>
          <w:b/>
          <w:rtl/>
        </w:rPr>
      </w:pPr>
      <w:r w:rsidRPr="00A52585">
        <w:rPr>
          <w:rFonts w:hint="cs"/>
          <w:bCs/>
          <w:u w:val="single"/>
          <w:rtl/>
        </w:rPr>
        <w:lastRenderedPageBreak/>
        <w:t>[</w:t>
      </w:r>
      <w:r w:rsidR="00777DCB" w:rsidRPr="00A52585">
        <w:rPr>
          <w:rFonts w:hint="cs"/>
          <w:bCs/>
          <w:u w:val="single"/>
          <w:rtl/>
        </w:rPr>
        <w:t>38</w:t>
      </w:r>
      <w:r w:rsidRPr="00A52585">
        <w:rPr>
          <w:rFonts w:hint="cs"/>
          <w:bCs/>
          <w:u w:val="single"/>
          <w:rtl/>
        </w:rPr>
        <w:t>]</w:t>
      </w:r>
      <w:r w:rsidRPr="00A52585">
        <w:rPr>
          <w:rFonts w:hint="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 والثلاثون</w:t>
      </w:r>
      <w:r w:rsidRPr="00A52585">
        <w:rPr>
          <w:rFonts w:hint="cs"/>
          <w:bCs/>
          <w:rtl/>
        </w:rPr>
        <w:t>]</w:t>
      </w:r>
      <w:r w:rsidRPr="00A52585">
        <w:rPr>
          <w:rFonts w:hint="cs"/>
          <w:rtl/>
        </w:rPr>
        <w:t>:</w:t>
      </w:r>
      <w:r w:rsidR="00777DCB" w:rsidRPr="00A52585">
        <w:rPr>
          <w:rFonts w:hint="cs"/>
          <w:rtl/>
        </w:rPr>
        <w:t xml:space="preserve"> روى القاضي أبو يعلى</w:t>
      </w:r>
      <w:r w:rsidRPr="00A52585">
        <w:rPr>
          <w:rFonts w:hint="cs"/>
          <w:rtl/>
        </w:rPr>
        <w:t xml:space="preserve"> </w:t>
      </w:r>
      <w:r w:rsidR="00777DCB" w:rsidRPr="00A52585">
        <w:rPr>
          <w:rFonts w:hint="cs"/>
          <w:rtl/>
        </w:rPr>
        <w:t>عن عمر بن عبد العزيز</w:t>
      </w:r>
      <w:r w:rsidRPr="00A52585">
        <w:rPr>
          <w:rFonts w:hint="cs"/>
          <w:rtl/>
        </w:rPr>
        <w:t>:</w:t>
      </w:r>
      <w:r w:rsidR="00777DCB" w:rsidRPr="00A52585">
        <w:rPr>
          <w:rFonts w:hint="cs"/>
          <w:rtl/>
        </w:rPr>
        <w:t xml:space="preserve"> " إذا فرغ الله من أهل الجنة والنار أقبل يمشي في ظلل من الغمام والملائكة فيقف على أول درجة فيسلم عليهم</w:t>
      </w:r>
      <w:r w:rsidR="00DB731D" w:rsidRPr="00A52585">
        <w:rPr>
          <w:rFonts w:hint="cs"/>
          <w:rtl/>
        </w:rPr>
        <w:t>،</w:t>
      </w:r>
      <w:r w:rsidR="00777DCB" w:rsidRPr="00A52585">
        <w:rPr>
          <w:rFonts w:hint="cs"/>
          <w:rtl/>
        </w:rPr>
        <w:t xml:space="preserve"> فيردون عليه السلام فيقول</w:t>
      </w:r>
      <w:r w:rsidRPr="00A52585">
        <w:rPr>
          <w:rFonts w:hint="cs"/>
          <w:rtl/>
        </w:rPr>
        <w:t>:</w:t>
      </w:r>
      <w:r w:rsidR="00777DCB" w:rsidRPr="00A52585">
        <w:rPr>
          <w:rFonts w:hint="cs"/>
          <w:rtl/>
        </w:rPr>
        <w:t xml:space="preserve"> سلوني</w:t>
      </w:r>
      <w:r w:rsidR="00897A24" w:rsidRPr="00A52585">
        <w:rPr>
          <w:rFonts w:hint="cs"/>
          <w:rtl/>
        </w:rPr>
        <w:t>.</w:t>
      </w:r>
      <w:r w:rsidR="00777DCB" w:rsidRPr="00A52585">
        <w:rPr>
          <w:rFonts w:hint="cs"/>
          <w:rtl/>
        </w:rPr>
        <w:t xml:space="preserve"> فيقولون</w:t>
      </w:r>
      <w:r w:rsidRPr="00A52585">
        <w:rPr>
          <w:rFonts w:hint="cs"/>
          <w:rtl/>
        </w:rPr>
        <w:t>:</w:t>
      </w:r>
      <w:r w:rsidR="00777DCB" w:rsidRPr="00A52585">
        <w:rPr>
          <w:rFonts w:hint="cs"/>
          <w:rtl/>
        </w:rPr>
        <w:t xml:space="preserve"> وماذا </w:t>
      </w:r>
      <w:proofErr w:type="gramStart"/>
      <w:r w:rsidR="00777DCB" w:rsidRPr="00A52585">
        <w:rPr>
          <w:rFonts w:hint="cs"/>
          <w:rtl/>
        </w:rPr>
        <w:t>نسألك</w:t>
      </w:r>
      <w:r w:rsidR="00897A24" w:rsidRPr="00A52585">
        <w:rPr>
          <w:rFonts w:hint="cs"/>
          <w:rtl/>
        </w:rPr>
        <w:t>..</w:t>
      </w:r>
      <w:r w:rsidR="00F95886" w:rsidRPr="00A52585">
        <w:rPr>
          <w:rFonts w:hint="cs"/>
          <w:rtl/>
        </w:rPr>
        <w:t>؟</w:t>
      </w:r>
      <w:proofErr w:type="gramEnd"/>
      <w:r w:rsidR="00777DCB" w:rsidRPr="00A52585">
        <w:rPr>
          <w:rFonts w:hint="cs"/>
          <w:rtl/>
        </w:rPr>
        <w:t xml:space="preserve"> وعزتك وجلالك وارتفاعك في مكانك لو أنك قسمت علينا رزق الثقلين لأطعمناهم وأسقيناهم ولم ينقص ما عندنا</w:t>
      </w:r>
      <w:r w:rsidR="00897A24"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بلى سلوني</w:t>
      </w:r>
      <w:r w:rsidR="00897A24" w:rsidRPr="00A52585">
        <w:rPr>
          <w:rFonts w:hint="cs"/>
          <w:rtl/>
        </w:rPr>
        <w:t>.</w:t>
      </w:r>
      <w:r w:rsidR="00777DCB" w:rsidRPr="00A52585">
        <w:rPr>
          <w:rFonts w:hint="cs"/>
          <w:rtl/>
        </w:rPr>
        <w:t xml:space="preserve"> فيقولون</w:t>
      </w:r>
      <w:r w:rsidR="00F95886" w:rsidRPr="00A52585">
        <w:rPr>
          <w:rFonts w:hint="cs"/>
          <w:rtl/>
        </w:rPr>
        <w:t>؟</w:t>
      </w:r>
      <w:r w:rsidR="00777DCB" w:rsidRPr="00A52585">
        <w:rPr>
          <w:rFonts w:hint="cs"/>
          <w:rtl/>
        </w:rPr>
        <w:t xml:space="preserve"> نسألك رضاك</w:t>
      </w:r>
      <w:r w:rsidR="00897A24"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رضاي</w:t>
      </w:r>
      <w:r w:rsidR="00DB731D" w:rsidRPr="00A52585">
        <w:rPr>
          <w:rFonts w:hint="cs"/>
          <w:rtl/>
        </w:rPr>
        <w:t>،</w:t>
      </w:r>
      <w:r w:rsidR="00777DCB" w:rsidRPr="00A52585">
        <w:rPr>
          <w:rFonts w:hint="cs"/>
          <w:rtl/>
        </w:rPr>
        <w:t xml:space="preserve"> أحللكم دار كرامتي</w:t>
      </w:r>
      <w:r w:rsidR="00DB731D" w:rsidRPr="00A52585">
        <w:rPr>
          <w:rFonts w:hint="cs"/>
          <w:rtl/>
        </w:rPr>
        <w:t>،</w:t>
      </w:r>
      <w:r w:rsidR="00777DCB" w:rsidRPr="00A52585">
        <w:rPr>
          <w:rFonts w:hint="cs"/>
          <w:rtl/>
        </w:rPr>
        <w:t xml:space="preserve"> فيفعل هذا بأهل كل درجة حتى ينتهي إلى مجلسه "</w:t>
      </w:r>
      <w:r w:rsidR="00DB731D" w:rsidRPr="00A52585">
        <w:rPr>
          <w:rFonts w:hint="cs"/>
          <w:rtl/>
        </w:rPr>
        <w:t>،</w:t>
      </w:r>
      <w:r w:rsidRPr="00A52585">
        <w:rPr>
          <w:rFonts w:hint="cs"/>
          <w:rtl/>
        </w:rPr>
        <w:t xml:space="preserve"> </w:t>
      </w:r>
      <w:r w:rsidR="00777DCB" w:rsidRPr="00A52585">
        <w:rPr>
          <w:rFonts w:hint="cs"/>
          <w:rtl/>
        </w:rPr>
        <w:t>قلت</w:t>
      </w:r>
      <w:r w:rsidRPr="00A52585">
        <w:rPr>
          <w:rFonts w:hint="cs"/>
          <w:rtl/>
        </w:rPr>
        <w:t>:</w:t>
      </w:r>
      <w:r w:rsidR="00777DCB" w:rsidRPr="00A52585">
        <w:rPr>
          <w:rFonts w:hint="cs"/>
          <w:rtl/>
        </w:rPr>
        <w:t xml:space="preserve"> هذا حديث مكذوب به على عمر بن عبد العزيز</w:t>
      </w:r>
      <w:r w:rsidR="00DB731D" w:rsidRPr="00A52585">
        <w:rPr>
          <w:rFonts w:hint="cs"/>
          <w:rtl/>
        </w:rPr>
        <w:t>،</w:t>
      </w:r>
      <w:r w:rsidR="00777DCB" w:rsidRPr="00A52585">
        <w:rPr>
          <w:rFonts w:hint="cs"/>
          <w:rtl/>
        </w:rPr>
        <w:t xml:space="preserve"> وبعد كيف يثبت لله صفة بقول عمر بن عبد العزيز</w:t>
      </w:r>
      <w:r w:rsidR="00F95886"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يأتي يوم القيامة إلى المحشر لقوله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يأتي ربك</w:t>
      </w:r>
      <w:r w:rsidRPr="00A52585">
        <w:rPr>
          <w:rFonts w:hint="cs"/>
          <w:rtl/>
        </w:rPr>
        <w:t>)</w:t>
      </w:r>
      <w:r w:rsidR="00777DCB" w:rsidRPr="00A52585">
        <w:rPr>
          <w:rFonts w:hint="cs"/>
          <w:rtl/>
        </w:rPr>
        <w:t xml:space="preserve"> وقت نزوله إلى السماء</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الآية تشهد لحديث عمر وهي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يأتيهم الله في ظلل من الغمام</w:t>
      </w:r>
      <w:r w:rsidRPr="00A52585">
        <w:rPr>
          <w:rFonts w:hint="cs"/>
          <w:rtl/>
        </w:rPr>
        <w:t>)</w:t>
      </w:r>
      <w:r w:rsidR="00777DCB" w:rsidRPr="00A52585">
        <w:rPr>
          <w:rFonts w:hint="cs"/>
          <w:rtl/>
        </w:rPr>
        <w:t xml:space="preserve"> البقرة</w:t>
      </w:r>
      <w:r w:rsidRPr="00A52585">
        <w:rPr>
          <w:rFonts w:hint="cs"/>
          <w:rtl/>
        </w:rPr>
        <w:t>:</w:t>
      </w:r>
      <w:r w:rsidR="00777DCB" w:rsidRPr="00A52585">
        <w:rPr>
          <w:rFonts w:hint="cs"/>
          <w:rtl/>
        </w:rPr>
        <w:t xml:space="preserve"> 210</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ولا يدري أن المعنى</w:t>
      </w:r>
      <w:r w:rsidRPr="00A52585">
        <w:rPr>
          <w:rFonts w:hint="cs"/>
          <w:rtl/>
        </w:rPr>
        <w:t>:</w:t>
      </w:r>
      <w:r w:rsidR="00777DCB" w:rsidRPr="00A52585">
        <w:rPr>
          <w:rFonts w:hint="cs"/>
          <w:rtl/>
        </w:rPr>
        <w:t xml:space="preserve"> يأتيهم الله بظلل</w:t>
      </w:r>
      <w:r w:rsidR="00897A24" w:rsidRPr="00A52585">
        <w:rPr>
          <w:rFonts w:hint="cs"/>
          <w:rtl/>
        </w:rPr>
        <w:t>.</w:t>
      </w:r>
      <w:r w:rsidR="00777DCB" w:rsidRPr="00A52585">
        <w:rPr>
          <w:rFonts w:hint="cs"/>
          <w:rtl/>
        </w:rPr>
        <w:t xml:space="preserve"> قال - أبو حامد المجسم - ولا يمتنع إمراره على ظاهره لأنّه لا بد من مشيه وانتهائه إلى مجلسه لا عن انتقال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من يقول يحمل هذا على ظاهره كيف يقول بلا انتقال</w:t>
      </w:r>
      <w:r w:rsidR="00DB731D" w:rsidRPr="00A52585">
        <w:rPr>
          <w:rFonts w:hint="cs"/>
          <w:rtl/>
        </w:rPr>
        <w:t>،</w:t>
      </w:r>
      <w:r w:rsidR="00777DCB" w:rsidRPr="00A52585">
        <w:rPr>
          <w:rFonts w:hint="cs"/>
          <w:rtl/>
        </w:rPr>
        <w:t xml:space="preserve"> وانما يقول هذا ارضاء للجهال وهل المشي إلا انتقال</w:t>
      </w:r>
      <w:r w:rsidR="00DB731D" w:rsidRPr="00A52585">
        <w:rPr>
          <w:rFonts w:hint="cs"/>
          <w:rtl/>
        </w:rPr>
        <w:t>،</w:t>
      </w:r>
      <w:r w:rsidR="00777DCB" w:rsidRPr="00A52585">
        <w:rPr>
          <w:rFonts w:hint="cs"/>
          <w:rtl/>
        </w:rPr>
        <w:t xml:space="preserve"> </w:t>
      </w:r>
    </w:p>
    <w:p w14:paraId="1B609440" w14:textId="1287E557" w:rsidR="00777DCB" w:rsidRPr="00A52585" w:rsidRDefault="0002035C" w:rsidP="0002035C">
      <w:pPr>
        <w:rPr>
          <w:b/>
          <w:rtl/>
        </w:rPr>
      </w:pPr>
      <w:r w:rsidRPr="00A52585">
        <w:rPr>
          <w:rFonts w:hint="cs"/>
          <w:bCs/>
          <w:u w:val="single"/>
          <w:rtl/>
        </w:rPr>
        <w:t>[</w:t>
      </w:r>
      <w:r w:rsidR="00777DCB" w:rsidRPr="00A52585">
        <w:rPr>
          <w:rFonts w:hint="cs"/>
          <w:bCs/>
          <w:u w:val="single"/>
          <w:rtl/>
        </w:rPr>
        <w:t>39</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 والثلاثون</w:t>
      </w:r>
      <w:r w:rsidRPr="00A52585">
        <w:rPr>
          <w:rFonts w:hint="cs"/>
          <w:bCs/>
          <w:rtl/>
        </w:rPr>
        <w:t>]:</w:t>
      </w:r>
      <w:r w:rsidR="00777DCB" w:rsidRPr="00A52585">
        <w:rPr>
          <w:rFonts w:hint="cs"/>
          <w:rtl/>
        </w:rPr>
        <w:t xml:space="preserve"> روي عن عائشة - رضي الله عنها - قالت</w:t>
      </w:r>
      <w:r w:rsidRPr="00A52585">
        <w:rPr>
          <w:rFonts w:hint="cs"/>
          <w:rtl/>
        </w:rPr>
        <w:t>:</w:t>
      </w:r>
      <w:r w:rsidR="00777DCB" w:rsidRPr="00A52585">
        <w:rPr>
          <w:rFonts w:hint="cs"/>
          <w:rtl/>
        </w:rPr>
        <w:t xml:space="preserve"> سئل رسول الله صلى الله عليه وسلم عن المقام المحمود قال</w:t>
      </w:r>
      <w:r w:rsidRPr="00A52585">
        <w:rPr>
          <w:rFonts w:hint="cs"/>
          <w:rtl/>
        </w:rPr>
        <w:t>:</w:t>
      </w:r>
      <w:r w:rsidR="00777DCB" w:rsidRPr="00A52585">
        <w:rPr>
          <w:rFonts w:hint="cs"/>
          <w:rtl/>
        </w:rPr>
        <w:t xml:space="preserve"> " وعدني ربي بالقعود على العرش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كذب صريح على السيدة عائشة رضي الله عنها وعلى رسول الله صلى الله عليه وسلم</w:t>
      </w:r>
      <w:r w:rsidR="00DB731D" w:rsidRPr="00A52585">
        <w:rPr>
          <w:rFonts w:hint="cs"/>
          <w:sz w:val="24"/>
          <w:szCs w:val="24"/>
          <w:rtl/>
        </w:rPr>
        <w:t>،</w:t>
      </w:r>
      <w:r w:rsidR="00777DCB" w:rsidRPr="00A52585">
        <w:rPr>
          <w:rFonts w:hint="cs"/>
          <w:sz w:val="24"/>
          <w:szCs w:val="24"/>
          <w:rtl/>
        </w:rPr>
        <w:t xml:space="preserve"> وقد ذكر الخلال هذا الاقعاد على العرش في " سنته " من ص </w:t>
      </w:r>
      <w:r w:rsidRPr="00A52585">
        <w:rPr>
          <w:rFonts w:hint="cs"/>
          <w:sz w:val="24"/>
          <w:szCs w:val="24"/>
          <w:rtl/>
        </w:rPr>
        <w:t>(</w:t>
      </w:r>
      <w:r w:rsidR="00777DCB" w:rsidRPr="00A52585">
        <w:rPr>
          <w:rFonts w:hint="cs"/>
          <w:sz w:val="24"/>
          <w:szCs w:val="24"/>
          <w:rtl/>
        </w:rPr>
        <w:t>209 - 268</w:t>
      </w:r>
      <w:r w:rsidRPr="00A52585">
        <w:rPr>
          <w:rFonts w:hint="cs"/>
          <w:sz w:val="24"/>
          <w:szCs w:val="24"/>
          <w:rtl/>
        </w:rPr>
        <w:t>)</w:t>
      </w:r>
      <w:r w:rsidR="00777DCB" w:rsidRPr="00A52585">
        <w:rPr>
          <w:rFonts w:hint="cs"/>
          <w:sz w:val="24"/>
          <w:szCs w:val="24"/>
          <w:rtl/>
        </w:rPr>
        <w:t xml:space="preserve"> ونقل نحو </w:t>
      </w:r>
      <w:r w:rsidRPr="00A52585">
        <w:rPr>
          <w:rFonts w:hint="cs"/>
          <w:sz w:val="24"/>
          <w:szCs w:val="24"/>
          <w:rtl/>
        </w:rPr>
        <w:t>(</w:t>
      </w:r>
      <w:r w:rsidR="00777DCB" w:rsidRPr="00A52585">
        <w:rPr>
          <w:rFonts w:hint="cs"/>
          <w:sz w:val="24"/>
          <w:szCs w:val="24"/>
          <w:rtl/>
        </w:rPr>
        <w:t>85</w:t>
      </w:r>
      <w:r w:rsidRPr="00A52585">
        <w:rPr>
          <w:rFonts w:hint="cs"/>
          <w:sz w:val="24"/>
          <w:szCs w:val="24"/>
          <w:rtl/>
        </w:rPr>
        <w:t>)</w:t>
      </w:r>
      <w:r w:rsidR="00777DCB" w:rsidRPr="00A52585">
        <w:rPr>
          <w:rFonts w:hint="cs"/>
          <w:sz w:val="24"/>
          <w:szCs w:val="24"/>
          <w:rtl/>
        </w:rPr>
        <w:t xml:space="preserve"> نصا لإثبات ذلك</w:t>
      </w:r>
      <w:r w:rsidR="00DB731D" w:rsidRPr="00A52585">
        <w:rPr>
          <w:rFonts w:hint="cs"/>
          <w:sz w:val="24"/>
          <w:szCs w:val="24"/>
          <w:rtl/>
        </w:rPr>
        <w:t>،</w:t>
      </w:r>
      <w:r w:rsidR="00777DCB" w:rsidRPr="00A52585">
        <w:rPr>
          <w:rFonts w:hint="cs"/>
          <w:sz w:val="24"/>
          <w:szCs w:val="24"/>
          <w:rtl/>
        </w:rPr>
        <w:t xml:space="preserve"> غالبها أثر مروي عن مجاهد التابعي بسند ضعيف واه يرويه عنه ليث بن أبي سليم في تفسير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عسى أن يبعثك ربك مقاما محمودا</w:t>
      </w:r>
      <w:r w:rsidRPr="00A52585">
        <w:rPr>
          <w:rFonts w:hint="cs"/>
          <w:sz w:val="24"/>
          <w:szCs w:val="24"/>
          <w:rtl/>
        </w:rPr>
        <w:t>}</w:t>
      </w:r>
      <w:r w:rsidR="00777DCB" w:rsidRPr="00A52585">
        <w:rPr>
          <w:rFonts w:hint="cs"/>
          <w:sz w:val="24"/>
          <w:szCs w:val="24"/>
          <w:rtl/>
        </w:rPr>
        <w:t xml:space="preserve"> قال - أي مجاهد - يقعده معه على العرش</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تعالى الله عن ذلك التخريف علوا كبيرا</w:t>
      </w:r>
      <w:r w:rsidR="00DB731D" w:rsidRPr="00A52585">
        <w:rPr>
          <w:rFonts w:hint="cs"/>
          <w:sz w:val="24"/>
          <w:szCs w:val="24"/>
          <w:rtl/>
        </w:rPr>
        <w:t>،</w:t>
      </w:r>
      <w:r w:rsidR="00777DCB" w:rsidRPr="00A52585">
        <w:rPr>
          <w:rFonts w:hint="cs"/>
          <w:sz w:val="24"/>
          <w:szCs w:val="24"/>
          <w:rtl/>
        </w:rPr>
        <w:t xml:space="preserve"> والعجيب الغريب كما قدمنا أن هذا الخلال يقول إن من لم يؤمن بأن معنى المقام المحمود إجلاس سيدنا محمد بجنب الله على العرش فهو كافر زنديق جهمي وذلك ص </w:t>
      </w:r>
      <w:r w:rsidRPr="00A52585">
        <w:rPr>
          <w:rFonts w:hint="cs"/>
          <w:sz w:val="24"/>
          <w:szCs w:val="24"/>
          <w:rtl/>
        </w:rPr>
        <w:t>(</w:t>
      </w:r>
      <w:r w:rsidR="00777DCB" w:rsidRPr="00A52585">
        <w:rPr>
          <w:rFonts w:hint="cs"/>
          <w:sz w:val="24"/>
          <w:szCs w:val="24"/>
          <w:rtl/>
        </w:rPr>
        <w:t>215</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216</w:t>
      </w:r>
      <w:r w:rsidRPr="00A52585">
        <w:rPr>
          <w:rFonts w:hint="cs"/>
          <w:sz w:val="24"/>
          <w:szCs w:val="24"/>
          <w:rtl/>
        </w:rPr>
        <w:t>)</w:t>
      </w:r>
      <w:r w:rsidR="00777DCB" w:rsidRPr="00A52585">
        <w:rPr>
          <w:rFonts w:hint="cs"/>
          <w:sz w:val="24"/>
          <w:szCs w:val="24"/>
          <w:rtl/>
        </w:rPr>
        <w:t xml:space="preserve"> من " سنته " التالفة</w:t>
      </w:r>
      <w:r w:rsidR="00F95886" w:rsidRPr="00A52585">
        <w:rPr>
          <w:rFonts w:hint="cs"/>
          <w:sz w:val="24"/>
          <w:szCs w:val="24"/>
          <w:rtl/>
        </w:rPr>
        <w:t>!!</w:t>
      </w:r>
      <w:r w:rsidR="00777DCB" w:rsidRPr="00A52585">
        <w:rPr>
          <w:rFonts w:hint="cs"/>
          <w:sz w:val="24"/>
          <w:szCs w:val="24"/>
          <w:rtl/>
        </w:rPr>
        <w:t xml:space="preserve"> وبذلك يكون قد قلب الكفر إيمانا</w:t>
      </w:r>
      <w:r w:rsidR="00DB731D" w:rsidRPr="00A52585">
        <w:rPr>
          <w:rFonts w:hint="cs"/>
          <w:sz w:val="24"/>
          <w:szCs w:val="24"/>
          <w:rtl/>
        </w:rPr>
        <w:t>،</w:t>
      </w:r>
      <w:r w:rsidR="00777DCB" w:rsidRPr="00A52585">
        <w:rPr>
          <w:rFonts w:hint="cs"/>
          <w:sz w:val="24"/>
          <w:szCs w:val="24"/>
          <w:rtl/>
        </w:rPr>
        <w:t xml:space="preserve"> والايمان كفرا</w:t>
      </w:r>
      <w:r w:rsidR="00DB731D" w:rsidRPr="00A52585">
        <w:rPr>
          <w:rFonts w:hint="cs"/>
          <w:sz w:val="24"/>
          <w:szCs w:val="24"/>
          <w:rtl/>
        </w:rPr>
        <w:t>،</w:t>
      </w:r>
      <w:r w:rsidR="00777DCB" w:rsidRPr="00A52585">
        <w:rPr>
          <w:rFonts w:hint="cs"/>
          <w:sz w:val="24"/>
          <w:szCs w:val="24"/>
          <w:rtl/>
        </w:rPr>
        <w:t xml:space="preserve"> فتأملوا أيها المسلمون في دعاة السنة هؤلاء</w:t>
      </w:r>
      <w:r w:rsidR="00F95886" w:rsidRPr="00A52585">
        <w:rPr>
          <w:rFonts w:hint="cs"/>
          <w:sz w:val="24"/>
          <w:szCs w:val="24"/>
          <w:rtl/>
        </w:rPr>
        <w:t>!!</w:t>
      </w:r>
      <w:r w:rsidR="00777DCB" w:rsidRPr="00A52585">
        <w:rPr>
          <w:rFonts w:hint="cs"/>
          <w:sz w:val="24"/>
          <w:szCs w:val="24"/>
          <w:rtl/>
        </w:rPr>
        <w:t xml:space="preserve"> وتفسير المقام المحمود بجلوس النبي بجنب الله كما يتخيلون وتعالى الله عن ذلك علوا كبيرا مضاد للاحاديث المشهورة في الصحيحين وغيرهما من تفسير المقام المحمود بالشفاعة</w:t>
      </w:r>
      <w:r w:rsidR="00DB731D" w:rsidRPr="00A52585">
        <w:rPr>
          <w:rFonts w:hint="cs"/>
          <w:sz w:val="24"/>
          <w:szCs w:val="24"/>
          <w:rtl/>
        </w:rPr>
        <w:t>،</w:t>
      </w:r>
      <w:r w:rsidR="00777DCB" w:rsidRPr="00A52585">
        <w:rPr>
          <w:rFonts w:hint="cs"/>
          <w:sz w:val="24"/>
          <w:szCs w:val="24"/>
          <w:rtl/>
        </w:rPr>
        <w:t xml:space="preserve"> انظر البخاري تفسير سورة </w:t>
      </w:r>
      <w:r w:rsidRPr="00A52585">
        <w:rPr>
          <w:rFonts w:hint="cs"/>
          <w:sz w:val="24"/>
          <w:szCs w:val="24"/>
          <w:rtl/>
        </w:rPr>
        <w:t>(</w:t>
      </w:r>
      <w:r w:rsidR="00777DCB" w:rsidRPr="00A52585">
        <w:rPr>
          <w:rFonts w:hint="cs"/>
          <w:sz w:val="24"/>
          <w:szCs w:val="24"/>
          <w:rtl/>
        </w:rPr>
        <w:t>17</w:t>
      </w:r>
      <w:r w:rsidRPr="00A52585">
        <w:rPr>
          <w:rFonts w:hint="cs"/>
          <w:sz w:val="24"/>
          <w:szCs w:val="24"/>
          <w:rtl/>
        </w:rPr>
        <w:t>)</w:t>
      </w:r>
      <w:r w:rsidR="00777DCB" w:rsidRPr="00A52585">
        <w:rPr>
          <w:rFonts w:hint="cs"/>
          <w:sz w:val="24"/>
          <w:szCs w:val="24"/>
          <w:rtl/>
        </w:rPr>
        <w:t xml:space="preserve"> الاسراء باب </w:t>
      </w:r>
      <w:r w:rsidRPr="00A52585">
        <w:rPr>
          <w:rFonts w:hint="cs"/>
          <w:sz w:val="24"/>
          <w:szCs w:val="24"/>
          <w:rtl/>
        </w:rPr>
        <w:t>(</w:t>
      </w:r>
      <w:r w:rsidR="00777DCB" w:rsidRPr="00A52585">
        <w:rPr>
          <w:rFonts w:hint="cs"/>
          <w:sz w:val="24"/>
          <w:szCs w:val="24"/>
          <w:rtl/>
        </w:rPr>
        <w:t>11</w:t>
      </w:r>
      <w:r w:rsidRPr="00A52585">
        <w:rPr>
          <w:rFonts w:hint="cs"/>
          <w:sz w:val="24"/>
          <w:szCs w:val="24"/>
          <w:rtl/>
        </w:rPr>
        <w:t>)</w:t>
      </w:r>
      <w:r w:rsidR="00777DCB" w:rsidRPr="00A52585">
        <w:rPr>
          <w:rFonts w:hint="cs"/>
          <w:sz w:val="24"/>
          <w:szCs w:val="24"/>
          <w:rtl/>
        </w:rPr>
        <w:t xml:space="preserve"> حيث فسر المقام المحمود بالشفاعة</w:t>
      </w:r>
      <w:r w:rsidR="00DB731D" w:rsidRPr="00A52585">
        <w:rPr>
          <w:rFonts w:hint="cs"/>
          <w:sz w:val="24"/>
          <w:szCs w:val="24"/>
          <w:rtl/>
        </w:rPr>
        <w:t>،</w:t>
      </w:r>
      <w:r w:rsidR="00777DCB" w:rsidRPr="00A52585">
        <w:rPr>
          <w:rFonts w:hint="cs"/>
          <w:sz w:val="24"/>
          <w:szCs w:val="24"/>
          <w:rtl/>
        </w:rPr>
        <w:t xml:space="preserve"> وفي الترمذي </w:t>
      </w:r>
      <w:r w:rsidRPr="00A52585">
        <w:rPr>
          <w:rFonts w:hint="cs"/>
          <w:sz w:val="24"/>
          <w:szCs w:val="24"/>
          <w:rtl/>
        </w:rPr>
        <w:t>(</w:t>
      </w:r>
      <w:r w:rsidR="00777DCB" w:rsidRPr="00A52585">
        <w:rPr>
          <w:rFonts w:hint="cs"/>
          <w:sz w:val="24"/>
          <w:szCs w:val="24"/>
          <w:rtl/>
        </w:rPr>
        <w:t>3137</w:t>
      </w:r>
      <w:r w:rsidRPr="00A52585">
        <w:rPr>
          <w:rFonts w:hint="cs"/>
          <w:sz w:val="24"/>
          <w:szCs w:val="24"/>
          <w:rtl/>
        </w:rPr>
        <w:t>)</w:t>
      </w:r>
      <w:r w:rsidR="00777DCB" w:rsidRPr="00A52585">
        <w:rPr>
          <w:rFonts w:hint="cs"/>
          <w:sz w:val="24"/>
          <w:szCs w:val="24"/>
          <w:rtl/>
        </w:rPr>
        <w:t xml:space="preserve"> بإسناد صحيح عن سيدنا أبي هريرة قال</w:t>
      </w:r>
      <w:r w:rsidRPr="00A52585">
        <w:rPr>
          <w:rFonts w:hint="cs"/>
          <w:sz w:val="24"/>
          <w:szCs w:val="24"/>
          <w:rtl/>
        </w:rPr>
        <w:t>:</w:t>
      </w:r>
      <w:r w:rsidR="00777DCB" w:rsidRPr="00A52585">
        <w:rPr>
          <w:rFonts w:hint="cs"/>
          <w:sz w:val="24"/>
          <w:szCs w:val="24"/>
          <w:rtl/>
        </w:rPr>
        <w:t xml:space="preserve"> قال رسول الله صلى الله عليه وسلم في قوله </w:t>
      </w:r>
      <w:r w:rsidRPr="00A52585">
        <w:rPr>
          <w:rFonts w:hint="cs"/>
          <w:sz w:val="24"/>
          <w:szCs w:val="24"/>
          <w:rtl/>
        </w:rPr>
        <w:t>(</w:t>
      </w:r>
      <w:r w:rsidR="00777DCB" w:rsidRPr="00A52585">
        <w:rPr>
          <w:rFonts w:hint="cs"/>
          <w:sz w:val="24"/>
          <w:szCs w:val="24"/>
          <w:rtl/>
        </w:rPr>
        <w:t>عسى أن يبعثك ربك مقاما محمودا</w:t>
      </w:r>
      <w:r w:rsidRPr="00A52585">
        <w:rPr>
          <w:rFonts w:hint="cs"/>
          <w:sz w:val="24"/>
          <w:szCs w:val="24"/>
          <w:rtl/>
        </w:rPr>
        <w:t>)</w:t>
      </w:r>
      <w:r w:rsidR="00777DCB" w:rsidRPr="00A52585">
        <w:rPr>
          <w:rFonts w:hint="cs"/>
          <w:sz w:val="24"/>
          <w:szCs w:val="24"/>
          <w:rtl/>
        </w:rPr>
        <w:t xml:space="preserve"> سئل عنها قال</w:t>
      </w:r>
      <w:r w:rsidRPr="00A52585">
        <w:rPr>
          <w:rFonts w:hint="cs"/>
          <w:sz w:val="24"/>
          <w:szCs w:val="24"/>
          <w:rtl/>
        </w:rPr>
        <w:t>:</w:t>
      </w:r>
      <w:r w:rsidR="00777DCB" w:rsidRPr="00A52585">
        <w:rPr>
          <w:rFonts w:hint="cs"/>
          <w:sz w:val="24"/>
          <w:szCs w:val="24"/>
          <w:rtl/>
        </w:rPr>
        <w:t xml:space="preserve"> " هي الشفاعة " فالحمد لله رب العالمين]</w:t>
      </w:r>
      <w:r w:rsidR="00777DCB" w:rsidRPr="00A52585">
        <w:rPr>
          <w:rFonts w:hint="cs"/>
          <w:rtl/>
        </w:rPr>
        <w:t>، قلت</w:t>
      </w:r>
      <w:r w:rsidRPr="00A52585">
        <w:rPr>
          <w:rFonts w:hint="cs"/>
          <w:rtl/>
        </w:rPr>
        <w:t>:</w:t>
      </w:r>
      <w:r w:rsidR="00777DCB" w:rsidRPr="00A52585">
        <w:rPr>
          <w:rFonts w:hint="cs"/>
          <w:rtl/>
        </w:rPr>
        <w:t xml:space="preserve"> هذا حديث مكذوب لا يصح عن رسول الله صلى الله عليه وسلم</w:t>
      </w:r>
      <w:r w:rsidR="00DB731D" w:rsidRPr="00A52585">
        <w:rPr>
          <w:rFonts w:hint="cs"/>
          <w:rtl/>
        </w:rPr>
        <w:t>،</w:t>
      </w:r>
      <w:r w:rsidR="00777DCB" w:rsidRPr="00A52585">
        <w:rPr>
          <w:rFonts w:hint="cs"/>
          <w:rtl/>
        </w:rPr>
        <w:t xml:space="preserve"> قال ابن حامد</w:t>
      </w:r>
      <w:r w:rsidRPr="00A52585">
        <w:rPr>
          <w:rFonts w:hint="cs"/>
          <w:rtl/>
        </w:rPr>
        <w:t>:</w:t>
      </w:r>
      <w:r w:rsidR="00777DCB" w:rsidRPr="00A52585">
        <w:rPr>
          <w:rFonts w:hint="cs"/>
          <w:rtl/>
        </w:rPr>
        <w:t xml:space="preserve"> يجب الايمان بما ورد من المماسة والقرب من الحق لنبيه في إقعاده على العرش</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وقال ابن عمر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وإن له عندنا لزلفى</w:t>
      </w:r>
      <w:r w:rsidRPr="00A52585">
        <w:rPr>
          <w:rFonts w:hint="cs"/>
          <w:rtl/>
        </w:rPr>
        <w:t>)</w:t>
      </w:r>
      <w:r w:rsidR="00777DCB" w:rsidRPr="00A52585">
        <w:rPr>
          <w:rFonts w:hint="cs"/>
          <w:rtl/>
        </w:rPr>
        <w:t xml:space="preserve"> ص</w:t>
      </w:r>
      <w:r w:rsidRPr="00A52585">
        <w:rPr>
          <w:rFonts w:hint="cs"/>
          <w:rtl/>
        </w:rPr>
        <w:t>:</w:t>
      </w:r>
      <w:r w:rsidR="00777DCB" w:rsidRPr="00A52585">
        <w:rPr>
          <w:rFonts w:hint="cs"/>
          <w:rtl/>
        </w:rPr>
        <w:t xml:space="preserve"> 40</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ذكر الله الدنو منه حتى يمس بعضه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الخلال في " سنته " ص </w:t>
      </w:r>
      <w:r w:rsidRPr="00A52585">
        <w:rPr>
          <w:rFonts w:hint="cs"/>
          <w:sz w:val="24"/>
          <w:szCs w:val="24"/>
          <w:rtl/>
        </w:rPr>
        <w:t>(</w:t>
      </w:r>
      <w:r w:rsidR="00777DCB" w:rsidRPr="00A52585">
        <w:rPr>
          <w:rFonts w:hint="cs"/>
          <w:sz w:val="24"/>
          <w:szCs w:val="24"/>
          <w:rtl/>
        </w:rPr>
        <w:t>263</w:t>
      </w:r>
      <w:r w:rsidRPr="00A52585">
        <w:rPr>
          <w:rFonts w:hint="cs"/>
          <w:sz w:val="24"/>
          <w:szCs w:val="24"/>
          <w:rtl/>
        </w:rPr>
        <w:t>)</w:t>
      </w:r>
      <w:r w:rsidR="00777DCB" w:rsidRPr="00A52585">
        <w:rPr>
          <w:rFonts w:hint="cs"/>
          <w:sz w:val="24"/>
          <w:szCs w:val="24"/>
          <w:rtl/>
        </w:rPr>
        <w:t xml:space="preserve"> عن عبيد بن عمير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وإن له عندنا لزلفى</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ذكر الدنو حتى </w:t>
      </w:r>
      <w:r w:rsidR="00777DCB" w:rsidRPr="00A52585">
        <w:rPr>
          <w:rFonts w:hint="cs"/>
          <w:sz w:val="24"/>
          <w:szCs w:val="24"/>
          <w:rtl/>
        </w:rPr>
        <w:lastRenderedPageBreak/>
        <w:t>يمس بعضه</w:t>
      </w:r>
      <w:r w:rsidR="00DB731D" w:rsidRPr="00A52585">
        <w:rPr>
          <w:rFonts w:hint="cs"/>
          <w:sz w:val="24"/>
          <w:szCs w:val="24"/>
          <w:rtl/>
        </w:rPr>
        <w:t>،</w:t>
      </w:r>
      <w:r w:rsidR="00777DCB" w:rsidRPr="00A52585">
        <w:rPr>
          <w:rFonts w:hint="cs"/>
          <w:sz w:val="24"/>
          <w:szCs w:val="24"/>
          <w:rtl/>
        </w:rPr>
        <w:t xml:space="preserve"> واعجبني محقق الكتاب حيث قال</w:t>
      </w:r>
      <w:r w:rsidRPr="00A52585">
        <w:rPr>
          <w:rFonts w:hint="cs"/>
          <w:sz w:val="24"/>
          <w:szCs w:val="24"/>
          <w:rtl/>
        </w:rPr>
        <w:t>:</w:t>
      </w:r>
      <w:r w:rsidR="00777DCB" w:rsidRPr="00A52585">
        <w:rPr>
          <w:rFonts w:hint="cs"/>
          <w:sz w:val="24"/>
          <w:szCs w:val="24"/>
          <w:rtl/>
        </w:rPr>
        <w:t xml:space="preserve"> " إسناده صحيح</w:t>
      </w:r>
      <w:r w:rsidR="00DB731D" w:rsidRPr="00A52585">
        <w:rPr>
          <w:rFonts w:hint="cs"/>
          <w:sz w:val="24"/>
          <w:szCs w:val="24"/>
          <w:rtl/>
        </w:rPr>
        <w:t>،</w:t>
      </w:r>
      <w:r w:rsidR="00777DCB" w:rsidRPr="00A52585">
        <w:rPr>
          <w:rFonts w:hint="cs"/>
          <w:sz w:val="24"/>
          <w:szCs w:val="24"/>
          <w:rtl/>
        </w:rPr>
        <w:t xml:space="preserve"> ومع صحة إسناده فإنه لا يجوز أن يعتقد بما دلت عليه</w:t>
      </w:r>
      <w:r w:rsidR="00DB731D" w:rsidRPr="00A52585">
        <w:rPr>
          <w:rFonts w:hint="cs"/>
          <w:sz w:val="24"/>
          <w:szCs w:val="24"/>
          <w:rtl/>
        </w:rPr>
        <w:t>،</w:t>
      </w:r>
      <w:r w:rsidR="00777DCB" w:rsidRPr="00A52585">
        <w:rPr>
          <w:rFonts w:hint="cs"/>
          <w:sz w:val="24"/>
          <w:szCs w:val="24"/>
          <w:rtl/>
        </w:rPr>
        <w:t xml:space="preserve"> لأنها تخالف الاحاديث في تنزيه الخالق</w:t>
      </w:r>
      <w:r w:rsidR="00DB731D" w:rsidRPr="00A52585">
        <w:rPr>
          <w:rFonts w:hint="cs"/>
          <w:sz w:val="24"/>
          <w:szCs w:val="24"/>
          <w:rtl/>
        </w:rPr>
        <w:t>،</w:t>
      </w:r>
      <w:r w:rsidR="00777DCB" w:rsidRPr="00A52585">
        <w:rPr>
          <w:rFonts w:hint="cs"/>
          <w:sz w:val="24"/>
          <w:szCs w:val="24"/>
          <w:rtl/>
        </w:rPr>
        <w:t xml:space="preserve"> وليس لها شاهد صحيح مرفوع ولا من أقوال الصحابة الكرام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فلما لم يكن لها ما يشهد لها - أعني هذه العبارة - دل على أن هذا السند الصحيح ظاهرا موضوع حقيقة والله المستعان</w:t>
      </w:r>
      <w:r w:rsidR="00DB731D" w:rsidRPr="00A52585">
        <w:rPr>
          <w:rFonts w:hint="cs"/>
          <w:sz w:val="24"/>
          <w:szCs w:val="24"/>
          <w:rtl/>
        </w:rPr>
        <w:t>،</w:t>
      </w:r>
      <w:r w:rsidR="00777DCB" w:rsidRPr="00A52585">
        <w:rPr>
          <w:rFonts w:hint="cs"/>
          <w:sz w:val="24"/>
          <w:szCs w:val="24"/>
          <w:rtl/>
        </w:rPr>
        <w:t xml:space="preserve"> ومن قال بمثل هذه العقيدة من السلف أو من الخلف فانه يسقط ولا يعتد به</w:t>
      </w:r>
      <w:r w:rsidR="00DB731D" w:rsidRPr="00A52585">
        <w:rPr>
          <w:rFonts w:hint="cs"/>
          <w:sz w:val="24"/>
          <w:szCs w:val="24"/>
          <w:rtl/>
        </w:rPr>
        <w:t>،</w:t>
      </w:r>
      <w:r w:rsidR="00777DCB" w:rsidRPr="00A52585">
        <w:rPr>
          <w:rFonts w:hint="cs"/>
          <w:sz w:val="24"/>
          <w:szCs w:val="24"/>
          <w:rtl/>
        </w:rPr>
        <w:t xml:space="preserve"> ولينتبه كل مسلم إلى أن الفرق الضالة جميعها نشأت في قرون السلف فلا تغترن بكلمة سلف البتة</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كذب على ابن عمر ومن ذكر تبعيض الذات كفر بالإجماع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هذا الكلام تعرف أنه لا يجوز أن نتهاون مع المجسمة فالمجسمة كفار بلا </w:t>
      </w:r>
      <w:proofErr w:type="spellStart"/>
      <w:r w:rsidR="00777DCB" w:rsidRPr="00A52585">
        <w:rPr>
          <w:rFonts w:hint="cs"/>
          <w:sz w:val="24"/>
          <w:szCs w:val="24"/>
          <w:rtl/>
        </w:rPr>
        <w:t>مثنوية</w:t>
      </w:r>
      <w:proofErr w:type="spellEnd"/>
      <w:r w:rsidR="00DB731D" w:rsidRPr="00A52585">
        <w:rPr>
          <w:rFonts w:hint="cs"/>
          <w:sz w:val="24"/>
          <w:szCs w:val="24"/>
          <w:rtl/>
        </w:rPr>
        <w:t>،</w:t>
      </w:r>
      <w:r w:rsidR="00777DCB" w:rsidRPr="00A52585">
        <w:rPr>
          <w:rFonts w:hint="cs"/>
          <w:sz w:val="24"/>
          <w:szCs w:val="24"/>
          <w:rtl/>
        </w:rPr>
        <w:t xml:space="preserve"> والمجسم يعبد صنما</w:t>
      </w:r>
      <w:r w:rsidR="00DB731D" w:rsidRPr="00A52585">
        <w:rPr>
          <w:rFonts w:hint="cs"/>
          <w:sz w:val="24"/>
          <w:szCs w:val="24"/>
          <w:rtl/>
        </w:rPr>
        <w:t>،</w:t>
      </w:r>
      <w:r w:rsidR="00777DCB" w:rsidRPr="00A52585">
        <w:rPr>
          <w:rFonts w:hint="cs"/>
          <w:sz w:val="24"/>
          <w:szCs w:val="24"/>
          <w:rtl/>
        </w:rPr>
        <w:t xml:space="preserve"> وقد جزم بذلك الامام الحافظ النووي رحمه الله تعالى فانه قال في باب صفات الائمة من المجموع </w:t>
      </w:r>
      <w:r w:rsidRPr="00A52585">
        <w:rPr>
          <w:rFonts w:hint="cs"/>
          <w:sz w:val="24"/>
          <w:szCs w:val="24"/>
          <w:rtl/>
        </w:rPr>
        <w:t>(</w:t>
      </w:r>
      <w:r w:rsidR="00777DCB" w:rsidRPr="00A52585">
        <w:rPr>
          <w:rFonts w:hint="cs"/>
          <w:sz w:val="24"/>
          <w:szCs w:val="24"/>
          <w:rtl/>
        </w:rPr>
        <w:t>4 / 253</w:t>
      </w:r>
      <w:r w:rsidRPr="00A52585">
        <w:rPr>
          <w:rFonts w:hint="cs"/>
          <w:sz w:val="24"/>
          <w:szCs w:val="24"/>
          <w:rtl/>
        </w:rPr>
        <w:t>):</w:t>
      </w:r>
      <w:r w:rsidR="00777DCB" w:rsidRPr="00A52585">
        <w:rPr>
          <w:rFonts w:hint="cs"/>
          <w:sz w:val="24"/>
          <w:szCs w:val="24"/>
          <w:rtl/>
        </w:rPr>
        <w:t xml:space="preserve"> " فممن يكفر من يجسم تجسيما صريحا " اه‍</w:t>
      </w:r>
      <w:r w:rsidRPr="00A52585">
        <w:rPr>
          <w:rFonts w:hint="cs"/>
          <w:sz w:val="24"/>
          <w:szCs w:val="24"/>
          <w:rtl/>
        </w:rPr>
        <w:t>]</w:t>
      </w:r>
      <w:r w:rsidR="00DB731D" w:rsidRPr="00A52585">
        <w:rPr>
          <w:rFonts w:hint="cs"/>
          <w:rtl/>
        </w:rPr>
        <w:t>،</w:t>
      </w:r>
      <w:r w:rsidRPr="00A52585">
        <w:rPr>
          <w:rFonts w:hint="cs"/>
          <w:rtl/>
        </w:rPr>
        <w:t xml:space="preserve"> </w:t>
      </w:r>
      <w:r w:rsidR="00777DCB" w:rsidRPr="00A52585">
        <w:rPr>
          <w:rFonts w:hint="cs"/>
          <w:rtl/>
        </w:rPr>
        <w:t>قال القاضي أبو يعلى</w:t>
      </w:r>
      <w:r w:rsidRPr="00A52585">
        <w:rPr>
          <w:rFonts w:hint="cs"/>
          <w:rtl/>
        </w:rPr>
        <w:t>:</w:t>
      </w:r>
      <w:r w:rsidR="00777DCB" w:rsidRPr="00A52585">
        <w:rPr>
          <w:rFonts w:hint="cs"/>
          <w:rtl/>
        </w:rPr>
        <w:t xml:space="preserve"> يقعد نبيه على عرشه بمعنى</w:t>
      </w:r>
      <w:r w:rsidRPr="00A52585">
        <w:rPr>
          <w:rFonts w:hint="cs"/>
          <w:rtl/>
        </w:rPr>
        <w:t>:</w:t>
      </w:r>
      <w:r w:rsidR="00777DCB" w:rsidRPr="00A52585">
        <w:rPr>
          <w:rFonts w:hint="cs"/>
          <w:rtl/>
        </w:rPr>
        <w:t xml:space="preserve"> يدنيه من ذاته ويقربه منها ويشهد له قوله </w:t>
      </w:r>
      <w:r w:rsidRPr="00A52585">
        <w:rPr>
          <w:rFonts w:hint="cs"/>
          <w:rtl/>
        </w:rPr>
        <w:t>(</w:t>
      </w:r>
      <w:r w:rsidR="00777DCB" w:rsidRPr="00A52585">
        <w:rPr>
          <w:rFonts w:hint="cs"/>
          <w:rtl/>
        </w:rPr>
        <w:t>فكان قاب قوسين أو أدنى</w:t>
      </w:r>
      <w:r w:rsidRPr="00A52585">
        <w:rPr>
          <w:rFonts w:hint="cs"/>
          <w:rtl/>
        </w:rPr>
        <w:t>)</w:t>
      </w:r>
      <w:r w:rsidR="00777DCB" w:rsidRPr="00A52585">
        <w:rPr>
          <w:rFonts w:hint="cs"/>
          <w:rtl/>
        </w:rPr>
        <w:t xml:space="preserve"> وقال ابن عباس</w:t>
      </w:r>
      <w:r w:rsidRPr="00A52585">
        <w:rPr>
          <w:rFonts w:hint="cs"/>
          <w:rtl/>
        </w:rPr>
        <w:t>:</w:t>
      </w:r>
      <w:r w:rsidR="00777DCB" w:rsidRPr="00A52585">
        <w:rPr>
          <w:rFonts w:hint="cs"/>
          <w:rtl/>
        </w:rPr>
        <w:t xml:space="preserve"> كان بينه وبينه مقدار قوسين</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عن جبريل لا عن الله سبحانه</w:t>
      </w:r>
      <w:r w:rsidR="00DB731D" w:rsidRPr="00A52585">
        <w:rPr>
          <w:rFonts w:hint="cs"/>
          <w:rtl/>
        </w:rPr>
        <w:t>،</w:t>
      </w:r>
      <w:r w:rsidR="00777DCB" w:rsidRPr="00A52585">
        <w:rPr>
          <w:rFonts w:hint="cs"/>
          <w:rtl/>
        </w:rPr>
        <w:t xml:space="preserve"> ومن أجاز القرب من الذات أجاز الملاصقة وما ذهب إليه القاضي أبو يعلى صريح في التجسيم</w:t>
      </w:r>
      <w:r w:rsidR="00DB731D" w:rsidRPr="00A52585">
        <w:rPr>
          <w:rFonts w:hint="cs"/>
          <w:rtl/>
        </w:rPr>
        <w:t>،</w:t>
      </w:r>
    </w:p>
    <w:p w14:paraId="632424E7" w14:textId="4A0B8C4E" w:rsidR="00777DCB" w:rsidRPr="00A52585" w:rsidRDefault="0002035C" w:rsidP="0002035C">
      <w:pPr>
        <w:rPr>
          <w:b/>
          <w:rtl/>
        </w:rPr>
      </w:pPr>
      <w:r w:rsidRPr="00A52585">
        <w:rPr>
          <w:rFonts w:hint="cs"/>
          <w:bCs/>
          <w:u w:val="single"/>
          <w:rtl/>
        </w:rPr>
        <w:t>[</w:t>
      </w:r>
      <w:r w:rsidR="00777DCB" w:rsidRPr="00A52585">
        <w:rPr>
          <w:rFonts w:hint="cs"/>
          <w:bCs/>
          <w:u w:val="single"/>
          <w:rtl/>
        </w:rPr>
        <w:t>40</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الاربعون</w:t>
      </w:r>
      <w:r w:rsidRPr="00A52585">
        <w:rPr>
          <w:rFonts w:hint="cs"/>
          <w:bCs/>
          <w:rtl/>
        </w:rPr>
        <w:t>]:</w:t>
      </w:r>
      <w:r w:rsidR="00777DCB" w:rsidRPr="00A52585">
        <w:rPr>
          <w:rFonts w:hint="cs"/>
          <w:rtl/>
        </w:rPr>
        <w:t xml:space="preserve"> روى الدارقطني من حديث أبي اسحاق عن عبد الله بن خليفة عن عمر</w:t>
      </w:r>
      <w:r w:rsidRPr="00A52585">
        <w:rPr>
          <w:rFonts w:hint="cs"/>
          <w:rtl/>
        </w:rPr>
        <w:t>:</w:t>
      </w:r>
      <w:r w:rsidR="00777DCB" w:rsidRPr="00A52585">
        <w:rPr>
          <w:rFonts w:hint="cs"/>
          <w:rtl/>
        </w:rPr>
        <w:t xml:space="preserve"> أن </w:t>
      </w:r>
      <w:proofErr w:type="spellStart"/>
      <w:r w:rsidR="00777DCB" w:rsidRPr="00A52585">
        <w:rPr>
          <w:rFonts w:hint="cs"/>
          <w:rtl/>
        </w:rPr>
        <w:t>أمرأة</w:t>
      </w:r>
      <w:proofErr w:type="spellEnd"/>
      <w:r w:rsidR="00777DCB" w:rsidRPr="00A52585">
        <w:rPr>
          <w:rFonts w:hint="cs"/>
          <w:rtl/>
        </w:rPr>
        <w:t xml:space="preserve"> جاءت إلى رسول الله صلى الله عليه وسلم فقالت</w:t>
      </w:r>
      <w:r w:rsidRPr="00A52585">
        <w:rPr>
          <w:rFonts w:hint="cs"/>
          <w:rtl/>
        </w:rPr>
        <w:t>:</w:t>
      </w:r>
      <w:r w:rsidR="00777DCB" w:rsidRPr="00A52585">
        <w:rPr>
          <w:rFonts w:hint="cs"/>
          <w:rtl/>
        </w:rPr>
        <w:t xml:space="preserve"> ادع الله ان يدخلني الجنة فعظم الرب عز وجل فقال</w:t>
      </w:r>
      <w:r w:rsidRPr="00A52585">
        <w:rPr>
          <w:rFonts w:hint="cs"/>
          <w:rtl/>
        </w:rPr>
        <w:t>:</w:t>
      </w:r>
      <w:r w:rsidR="00777DCB" w:rsidRPr="00A52585">
        <w:rPr>
          <w:rFonts w:hint="cs"/>
          <w:rtl/>
        </w:rPr>
        <w:t xml:space="preserve"> " إن كرسيه وسع السموات والارض</w:t>
      </w:r>
      <w:r w:rsidR="00DB731D" w:rsidRPr="00A52585">
        <w:rPr>
          <w:rFonts w:hint="cs"/>
          <w:rtl/>
        </w:rPr>
        <w:t>،</w:t>
      </w:r>
      <w:r w:rsidR="00777DCB" w:rsidRPr="00A52585">
        <w:rPr>
          <w:rFonts w:hint="cs"/>
          <w:rtl/>
        </w:rPr>
        <w:t xml:space="preserve"> وإن له أطيطا كأطيط الرحل الجديد إذا ركب من ثقله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البزار </w:t>
      </w:r>
      <w:r w:rsidRPr="00A52585">
        <w:rPr>
          <w:rFonts w:hint="cs"/>
          <w:sz w:val="24"/>
          <w:szCs w:val="24"/>
          <w:rtl/>
        </w:rPr>
        <w:t>(</w:t>
      </w:r>
      <w:r w:rsidR="00777DCB" w:rsidRPr="00A52585">
        <w:rPr>
          <w:rFonts w:hint="cs"/>
          <w:sz w:val="24"/>
          <w:szCs w:val="24"/>
          <w:rtl/>
        </w:rPr>
        <w:t>1 / 29 برقم 39 كشف الاستار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والطبري في تفسيره </w:t>
      </w:r>
      <w:r w:rsidRPr="00A52585">
        <w:rPr>
          <w:rFonts w:hint="cs"/>
          <w:sz w:val="24"/>
          <w:szCs w:val="24"/>
          <w:rtl/>
        </w:rPr>
        <w:t>(</w:t>
      </w:r>
      <w:r w:rsidR="00777DCB" w:rsidRPr="00A52585">
        <w:rPr>
          <w:rFonts w:hint="cs"/>
          <w:sz w:val="24"/>
          <w:szCs w:val="24"/>
          <w:rtl/>
        </w:rPr>
        <w:t>3 / 10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وأبو يعلى في مسنده كما قال الهيثمي في " المجمع " </w:t>
      </w:r>
      <w:r w:rsidRPr="00A52585">
        <w:rPr>
          <w:rFonts w:hint="cs"/>
          <w:sz w:val="24"/>
          <w:szCs w:val="24"/>
          <w:rtl/>
        </w:rPr>
        <w:t>(</w:t>
      </w:r>
      <w:r w:rsidR="00777DCB" w:rsidRPr="00A52585">
        <w:rPr>
          <w:rFonts w:hint="cs"/>
          <w:sz w:val="24"/>
          <w:szCs w:val="24"/>
          <w:rtl/>
        </w:rPr>
        <w:t>10 / 159</w:t>
      </w:r>
      <w:r w:rsidRPr="00A52585">
        <w:rPr>
          <w:rFonts w:hint="cs"/>
          <w:sz w:val="24"/>
          <w:szCs w:val="24"/>
          <w:rtl/>
        </w:rPr>
        <w:t>)</w:t>
      </w:r>
      <w:r w:rsidR="00777DCB" w:rsidRPr="00A52585">
        <w:rPr>
          <w:rFonts w:hint="cs"/>
          <w:sz w:val="24"/>
          <w:szCs w:val="24"/>
          <w:rtl/>
        </w:rPr>
        <w:t xml:space="preserve"> من طريق أبي اسحاق السبيعي عن عبد الله بن خليفة عن سيدنا عمر مرفوعا</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وفي السند علتان</w:t>
      </w:r>
      <w:r w:rsidRPr="00A52585">
        <w:rPr>
          <w:rFonts w:hint="cs"/>
          <w:sz w:val="24"/>
          <w:szCs w:val="24"/>
          <w:rtl/>
        </w:rPr>
        <w:t>:</w:t>
      </w:r>
      <w:r w:rsidR="00777DCB" w:rsidRPr="00A52585">
        <w:rPr>
          <w:rFonts w:hint="cs"/>
          <w:sz w:val="24"/>
          <w:szCs w:val="24"/>
          <w:rtl/>
        </w:rPr>
        <w:t xml:space="preserve"> الاولى</w:t>
      </w:r>
      <w:r w:rsidRPr="00A52585">
        <w:rPr>
          <w:rFonts w:hint="cs"/>
          <w:sz w:val="24"/>
          <w:szCs w:val="24"/>
          <w:rtl/>
        </w:rPr>
        <w:t>:</w:t>
      </w:r>
      <w:r w:rsidR="00777DCB" w:rsidRPr="00A52585">
        <w:rPr>
          <w:rFonts w:hint="cs"/>
          <w:sz w:val="24"/>
          <w:szCs w:val="24"/>
          <w:rtl/>
        </w:rPr>
        <w:t xml:space="preserve"> أن أبا اسحاق السبيعي اختلط بأخرة كما في " التقريب " وغيره</w:t>
      </w:r>
      <w:r w:rsidR="00DB731D" w:rsidRPr="00A52585">
        <w:rPr>
          <w:rFonts w:hint="cs"/>
          <w:sz w:val="24"/>
          <w:szCs w:val="24"/>
          <w:rtl/>
        </w:rPr>
        <w:t>،</w:t>
      </w:r>
      <w:r w:rsidR="00777DCB" w:rsidRPr="00A52585">
        <w:rPr>
          <w:rFonts w:hint="cs"/>
          <w:sz w:val="24"/>
          <w:szCs w:val="24"/>
          <w:rtl/>
        </w:rPr>
        <w:t xml:space="preserve"> والثانية</w:t>
      </w:r>
      <w:r w:rsidRPr="00A52585">
        <w:rPr>
          <w:rFonts w:hint="cs"/>
          <w:sz w:val="24"/>
          <w:szCs w:val="24"/>
          <w:rtl/>
        </w:rPr>
        <w:t>:</w:t>
      </w:r>
      <w:r w:rsidR="00777DCB" w:rsidRPr="00A52585">
        <w:rPr>
          <w:rFonts w:hint="cs"/>
          <w:sz w:val="24"/>
          <w:szCs w:val="24"/>
          <w:rtl/>
        </w:rPr>
        <w:t xml:space="preserve"> عبد الله بن خليفة قال عنه الذهبي في " الميزان " لا يكاد يعرف</w:t>
      </w:r>
      <w:r w:rsidR="00DB731D" w:rsidRPr="00A52585">
        <w:rPr>
          <w:rFonts w:hint="cs"/>
          <w:sz w:val="24"/>
          <w:szCs w:val="24"/>
          <w:rtl/>
        </w:rPr>
        <w:t>،</w:t>
      </w:r>
      <w:r w:rsidR="00777DCB" w:rsidRPr="00A52585">
        <w:rPr>
          <w:rFonts w:hint="cs"/>
          <w:sz w:val="24"/>
          <w:szCs w:val="24"/>
          <w:rtl/>
        </w:rPr>
        <w:t xml:space="preserve"> وقال عنه ابن كثير في " البداية " </w:t>
      </w:r>
      <w:r w:rsidRPr="00A52585">
        <w:rPr>
          <w:rFonts w:hint="cs"/>
          <w:sz w:val="24"/>
          <w:szCs w:val="24"/>
          <w:rtl/>
        </w:rPr>
        <w:t>(</w:t>
      </w:r>
      <w:r w:rsidR="00777DCB" w:rsidRPr="00A52585">
        <w:rPr>
          <w:rFonts w:hint="cs"/>
          <w:sz w:val="24"/>
          <w:szCs w:val="24"/>
          <w:rtl/>
        </w:rPr>
        <w:t>1 / 11</w:t>
      </w:r>
      <w:r w:rsidRPr="00A52585">
        <w:rPr>
          <w:rFonts w:hint="cs"/>
          <w:sz w:val="24"/>
          <w:szCs w:val="24"/>
          <w:rtl/>
        </w:rPr>
        <w:t>):</w:t>
      </w:r>
      <w:r w:rsidR="00777DCB" w:rsidRPr="00A52585">
        <w:rPr>
          <w:rFonts w:hint="cs"/>
          <w:sz w:val="24"/>
          <w:szCs w:val="24"/>
          <w:rtl/>
        </w:rPr>
        <w:t xml:space="preserve"> " في سماعه من عمر نظر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ومتن الحديث منكر جدا</w:t>
      </w:r>
      <w:r w:rsidR="00DB731D" w:rsidRPr="00A52585">
        <w:rPr>
          <w:rFonts w:hint="cs"/>
          <w:sz w:val="24"/>
          <w:szCs w:val="24"/>
          <w:rtl/>
        </w:rPr>
        <w:t>،</w:t>
      </w:r>
      <w:r w:rsidR="00777DCB" w:rsidRPr="00A52585">
        <w:rPr>
          <w:rFonts w:hint="cs"/>
          <w:sz w:val="24"/>
          <w:szCs w:val="24"/>
          <w:rtl/>
        </w:rPr>
        <w:t xml:space="preserve"> وعندنا هو موضوع كذب</w:t>
      </w:r>
      <w:r w:rsidR="00DB731D" w:rsidRPr="00A52585">
        <w:rPr>
          <w:rFonts w:hint="cs"/>
          <w:sz w:val="24"/>
          <w:szCs w:val="24"/>
          <w:rtl/>
        </w:rPr>
        <w:t>،</w:t>
      </w:r>
      <w:r w:rsidR="00777DCB" w:rsidRPr="00A52585">
        <w:rPr>
          <w:rFonts w:hint="cs"/>
          <w:sz w:val="24"/>
          <w:szCs w:val="24"/>
          <w:rtl/>
        </w:rPr>
        <w:t xml:space="preserve"> قال ابن كثير</w:t>
      </w:r>
      <w:r w:rsidRPr="00A52585">
        <w:rPr>
          <w:rFonts w:hint="cs"/>
          <w:sz w:val="24"/>
          <w:szCs w:val="24"/>
          <w:rtl/>
        </w:rPr>
        <w:t>:</w:t>
      </w:r>
      <w:r w:rsidR="00777DCB" w:rsidRPr="00A52585">
        <w:rPr>
          <w:rFonts w:hint="cs"/>
          <w:sz w:val="24"/>
          <w:szCs w:val="24"/>
          <w:rtl/>
        </w:rPr>
        <w:t xml:space="preserve"> " ثم منهم من يرويه موقوفا ومرسلا</w:t>
      </w:r>
      <w:r w:rsidR="00DB731D" w:rsidRPr="00A52585">
        <w:rPr>
          <w:rFonts w:hint="cs"/>
          <w:sz w:val="24"/>
          <w:szCs w:val="24"/>
          <w:rtl/>
        </w:rPr>
        <w:t>،</w:t>
      </w:r>
      <w:r w:rsidR="00777DCB" w:rsidRPr="00A52585">
        <w:rPr>
          <w:rFonts w:hint="cs"/>
          <w:sz w:val="24"/>
          <w:szCs w:val="24"/>
          <w:rtl/>
        </w:rPr>
        <w:t xml:space="preserve"> ومنهم من يزيد فيه زيادة غريبة والله اعلم " اه‍ من " البداية والنهاية "</w:t>
      </w:r>
      <w:r w:rsidRPr="00A52585">
        <w:rPr>
          <w:rFonts w:hint="cs"/>
          <w:sz w:val="24"/>
          <w:szCs w:val="24"/>
          <w:rtl/>
        </w:rPr>
        <w:t>]</w:t>
      </w:r>
      <w:r w:rsidR="00DB731D" w:rsidRPr="00A52585">
        <w:rPr>
          <w:rFonts w:hint="cs"/>
          <w:rtl/>
        </w:rPr>
        <w:t>،</w:t>
      </w:r>
      <w:r w:rsidR="00777DCB" w:rsidRPr="00A52585">
        <w:rPr>
          <w:rFonts w:hint="cs"/>
          <w:rtl/>
        </w:rPr>
        <w:t xml:space="preserve"> هذا حديث مختلف جدا</w:t>
      </w:r>
      <w:r w:rsidR="00DB731D" w:rsidRPr="00A52585">
        <w:rPr>
          <w:rFonts w:hint="cs"/>
          <w:rtl/>
        </w:rPr>
        <w:t>،</w:t>
      </w:r>
      <w:r w:rsidR="00777DCB" w:rsidRPr="00A52585">
        <w:rPr>
          <w:rFonts w:hint="cs"/>
          <w:rtl/>
        </w:rPr>
        <w:t xml:space="preserve"> فتارة يروى عن عبد الله بن خليفة عن عمر عن رسول الله صلى الله عليه وسلم وتارة عن عمر موقوفا عليه</w:t>
      </w:r>
      <w:r w:rsidR="00DB731D" w:rsidRPr="00A52585">
        <w:rPr>
          <w:rFonts w:hint="cs"/>
          <w:rtl/>
        </w:rPr>
        <w:t>،</w:t>
      </w:r>
      <w:r w:rsidR="00777DCB" w:rsidRPr="00A52585">
        <w:rPr>
          <w:rFonts w:hint="cs"/>
          <w:rtl/>
        </w:rPr>
        <w:t xml:space="preserve"> وقد رواه أبو إسحاق عن ابن خليفة عن ابن عمر قال</w:t>
      </w:r>
      <w:r w:rsidRPr="00A52585">
        <w:rPr>
          <w:rFonts w:hint="cs"/>
          <w:rtl/>
        </w:rPr>
        <w:t>:</w:t>
      </w:r>
      <w:r w:rsidR="00777DCB" w:rsidRPr="00A52585">
        <w:rPr>
          <w:rFonts w:hint="cs"/>
          <w:rtl/>
        </w:rPr>
        <w:t xml:space="preserve"> " إذا جلس تبارك وتعالى على الكرسي سمع له أطيط كأطيط الرحل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كذب موضوع وتعالى الله عز وجل عن هذا التخريف]</w:t>
      </w:r>
      <w:r w:rsidR="00DB731D" w:rsidRPr="00A52585">
        <w:rPr>
          <w:rFonts w:hint="cs"/>
          <w:sz w:val="24"/>
          <w:szCs w:val="24"/>
          <w:rtl/>
        </w:rPr>
        <w:t>،</w:t>
      </w:r>
      <w:r w:rsidR="00777DCB" w:rsidRPr="00A52585">
        <w:rPr>
          <w:rFonts w:hint="cs"/>
          <w:rtl/>
        </w:rPr>
        <w:t xml:space="preserve"> ورواه ابن جرير </w:t>
      </w:r>
      <w:r w:rsidRPr="00A52585">
        <w:rPr>
          <w:rFonts w:hint="cs"/>
          <w:rtl/>
        </w:rPr>
        <w:t>(</w:t>
      </w:r>
      <w:r w:rsidR="00777DCB" w:rsidRPr="00A52585">
        <w:rPr>
          <w:rFonts w:hint="cs"/>
          <w:rtl/>
        </w:rPr>
        <w:t>187</w:t>
      </w:r>
      <w:r w:rsidRPr="00A52585">
        <w:rPr>
          <w:rFonts w:hint="cs"/>
          <w:rtl/>
        </w:rPr>
        <w:t>)</w:t>
      </w:r>
      <w:r w:rsidR="00777DCB" w:rsidRPr="00A52585">
        <w:rPr>
          <w:rFonts w:hint="cs"/>
          <w:rtl/>
        </w:rPr>
        <w:t xml:space="preserve"> عن عبد الله بن خليفة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إن كرسيه وسع السموات والارض وإنه ليقعد عليه فما يفضل منه مقدار أربع أصابع ثم قال بأصبعه فجمعها</w:t>
      </w:r>
      <w:r w:rsidR="00897A24" w:rsidRPr="00A52585">
        <w:rPr>
          <w:rFonts w:hint="cs"/>
          <w:rtl/>
        </w:rPr>
        <w:t>..</w:t>
      </w:r>
      <w:r w:rsidR="00777DCB" w:rsidRPr="00A52585">
        <w:rPr>
          <w:rFonts w:hint="cs"/>
          <w:rtl/>
        </w:rPr>
        <w:t xml:space="preserve"> وإن له أطيطا كأطيط الرحل إذا ركب من ثقله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تقدم أنه موضوع كذب</w:t>
      </w:r>
      <w:r w:rsidR="00DB731D" w:rsidRPr="00A52585">
        <w:rPr>
          <w:rFonts w:hint="cs"/>
          <w:sz w:val="24"/>
          <w:szCs w:val="24"/>
          <w:rtl/>
        </w:rPr>
        <w:t>،</w:t>
      </w:r>
      <w:r w:rsidR="00777DCB" w:rsidRPr="00A52585">
        <w:rPr>
          <w:rFonts w:hint="cs"/>
          <w:sz w:val="24"/>
          <w:szCs w:val="24"/>
          <w:rtl/>
        </w:rPr>
        <w:t xml:space="preserve"> ومع ذلك نقل الشيخ</w:t>
      </w:r>
      <w:r w:rsidR="00F95886"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الحرانى</w:t>
      </w:r>
      <w:proofErr w:type="spellEnd"/>
      <w:r w:rsidR="00F95886" w:rsidRPr="00A52585">
        <w:rPr>
          <w:rFonts w:hint="cs"/>
          <w:sz w:val="24"/>
          <w:szCs w:val="24"/>
          <w:rtl/>
        </w:rPr>
        <w:t>!!</w:t>
      </w:r>
      <w:r w:rsidR="00777DCB" w:rsidRPr="00A52585">
        <w:rPr>
          <w:rFonts w:hint="cs"/>
          <w:sz w:val="24"/>
          <w:szCs w:val="24"/>
          <w:rtl/>
        </w:rPr>
        <w:t xml:space="preserve"> تقويته عن مجهولين في " منهاج سنته " </w:t>
      </w:r>
      <w:r w:rsidRPr="00A52585">
        <w:rPr>
          <w:rFonts w:hint="cs"/>
          <w:sz w:val="24"/>
          <w:szCs w:val="24"/>
          <w:rtl/>
        </w:rPr>
        <w:t>(</w:t>
      </w:r>
      <w:r w:rsidR="00777DCB" w:rsidRPr="00A52585">
        <w:rPr>
          <w:rFonts w:hint="cs"/>
          <w:sz w:val="24"/>
          <w:szCs w:val="24"/>
          <w:rtl/>
        </w:rPr>
        <w:t>1 / 260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رغم أنه نقل أولا طعن الحافظ الاسماعيلي والحافظ ابن الجوزي بهذا </w:t>
      </w:r>
      <w:r w:rsidR="00777DCB" w:rsidRPr="00A52585">
        <w:rPr>
          <w:rFonts w:hint="cs"/>
          <w:sz w:val="24"/>
          <w:szCs w:val="24"/>
          <w:rtl/>
        </w:rPr>
        <w:lastRenderedPageBreak/>
        <w:t>الحديث ثم قال</w:t>
      </w:r>
      <w:r w:rsidRPr="00A52585">
        <w:rPr>
          <w:rFonts w:hint="cs"/>
          <w:sz w:val="24"/>
          <w:szCs w:val="24"/>
          <w:rtl/>
        </w:rPr>
        <w:t>:</w:t>
      </w:r>
      <w:r w:rsidR="00777DCB" w:rsidRPr="00A52585">
        <w:rPr>
          <w:rFonts w:hint="cs"/>
          <w:sz w:val="24"/>
          <w:szCs w:val="24"/>
          <w:rtl/>
        </w:rPr>
        <w:t xml:space="preserve"> " ومن الناس من ذكر له شواهد وقواه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من هم هؤلاء الناس</w:t>
      </w:r>
      <w:r w:rsidR="00F95886" w:rsidRPr="00A52585">
        <w:rPr>
          <w:rFonts w:hint="cs"/>
          <w:sz w:val="24"/>
          <w:szCs w:val="24"/>
          <w:rtl/>
        </w:rPr>
        <w:t>؟!!</w:t>
      </w:r>
      <w:r w:rsidR="00777DCB" w:rsidRPr="00A52585">
        <w:rPr>
          <w:rFonts w:hint="cs"/>
          <w:sz w:val="24"/>
          <w:szCs w:val="24"/>
          <w:rtl/>
        </w:rPr>
        <w:t xml:space="preserve"> أليسوا هم بعض مجسمة الحنابلة أمثال أبي يعلى وأبي حامد وابن </w:t>
      </w:r>
      <w:proofErr w:type="spellStart"/>
      <w:r w:rsidR="00777DCB" w:rsidRPr="00A52585">
        <w:rPr>
          <w:rFonts w:hint="cs"/>
          <w:sz w:val="24"/>
          <w:szCs w:val="24"/>
          <w:rtl/>
        </w:rPr>
        <w:t>الزاغوني</w:t>
      </w:r>
      <w:proofErr w:type="spellEnd"/>
      <w:r w:rsidR="00777DCB" w:rsidRPr="00A52585">
        <w:rPr>
          <w:rFonts w:hint="cs"/>
          <w:sz w:val="24"/>
          <w:szCs w:val="24"/>
          <w:rtl/>
        </w:rPr>
        <w:t xml:space="preserve"> الذين لا يعرفون هذه الصناعة</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فواعجبا</w:t>
      </w:r>
      <w:proofErr w:type="spellEnd"/>
      <w:r w:rsidR="00777DCB" w:rsidRPr="00A52585">
        <w:rPr>
          <w:rFonts w:hint="cs"/>
          <w:sz w:val="24"/>
          <w:szCs w:val="24"/>
          <w:rtl/>
        </w:rPr>
        <w:t xml:space="preserve"> منك أيها الحافظ</w:t>
      </w:r>
      <w:r w:rsidR="00F95886" w:rsidRPr="00A52585">
        <w:rPr>
          <w:rFonts w:hint="cs"/>
          <w:sz w:val="24"/>
          <w:szCs w:val="24"/>
          <w:rtl/>
        </w:rPr>
        <w:t>!!</w:t>
      </w:r>
      <w:r w:rsidR="00777DCB" w:rsidRPr="00A52585">
        <w:rPr>
          <w:rFonts w:hint="cs"/>
          <w:sz w:val="24"/>
          <w:szCs w:val="24"/>
          <w:rtl/>
        </w:rPr>
        <w:t xml:space="preserve"> الحراني</w:t>
      </w:r>
      <w:r w:rsidR="00F95886"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وقد صنف الحافظ العلامة ابن عساكر كتابا سماه</w:t>
      </w:r>
      <w:r w:rsidRPr="00A52585">
        <w:rPr>
          <w:rFonts w:hint="cs"/>
          <w:sz w:val="24"/>
          <w:szCs w:val="24"/>
          <w:rtl/>
        </w:rPr>
        <w:t>:</w:t>
      </w:r>
      <w:r w:rsidR="00777DCB" w:rsidRPr="00A52585">
        <w:rPr>
          <w:rFonts w:hint="cs"/>
          <w:sz w:val="24"/>
          <w:szCs w:val="24"/>
          <w:rtl/>
        </w:rPr>
        <w:t xml:space="preserve"> " تبيان الوهم والتخليط من حديث الاطيط " فتنبه]</w:t>
      </w:r>
      <w:r w:rsidR="00DB731D" w:rsidRPr="00A52585">
        <w:rPr>
          <w:rFonts w:hint="cs"/>
          <w:rtl/>
        </w:rPr>
        <w:t>،</w:t>
      </w:r>
      <w:r w:rsidR="00777DCB" w:rsidRPr="00A52585">
        <w:rPr>
          <w:rFonts w:hint="cs"/>
          <w:rtl/>
        </w:rPr>
        <w:t xml:space="preserve"> وروى أبو بكر المروزي ان ابن خليفة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 الكرسي الذي يجلس عليه الرب ما يفضل منه إلا مقدار أربعة أصابع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على ضد اللفظ الاول</w:t>
      </w:r>
      <w:r w:rsidR="00DB731D" w:rsidRPr="00A52585">
        <w:rPr>
          <w:rFonts w:hint="cs"/>
          <w:rtl/>
        </w:rPr>
        <w:t>،</w:t>
      </w:r>
      <w:r w:rsidR="00777DCB" w:rsidRPr="00A52585">
        <w:rPr>
          <w:rFonts w:hint="cs"/>
          <w:rtl/>
        </w:rPr>
        <w:t xml:space="preserve"> وكل ذلك من تخليط الرواة وسوء الحفظ</w:t>
      </w:r>
      <w:r w:rsidR="00DB731D" w:rsidRPr="00A52585">
        <w:rPr>
          <w:rFonts w:hint="cs"/>
          <w:rtl/>
        </w:rPr>
        <w:t>،</w:t>
      </w:r>
      <w:r w:rsidR="00777DCB" w:rsidRPr="00A52585">
        <w:rPr>
          <w:rFonts w:hint="cs"/>
          <w:rtl/>
        </w:rPr>
        <w:t xml:space="preserve"> والاليق فما يفضل منه مقدار أربع أصابع</w:t>
      </w:r>
      <w:r w:rsidRPr="00A52585">
        <w:rPr>
          <w:rFonts w:hint="cs"/>
          <w:rtl/>
        </w:rPr>
        <w:t>:</w:t>
      </w:r>
      <w:r w:rsidR="00777DCB" w:rsidRPr="00A52585">
        <w:rPr>
          <w:rFonts w:hint="cs"/>
          <w:rtl/>
        </w:rPr>
        <w:t xml:space="preserve"> والمعنى أنه قد ملاه بهيبته وعظمته</w:t>
      </w:r>
      <w:r w:rsidR="00DB731D" w:rsidRPr="00A52585">
        <w:rPr>
          <w:rFonts w:hint="cs"/>
          <w:rtl/>
        </w:rPr>
        <w:t>،</w:t>
      </w:r>
      <w:r w:rsidR="00777DCB" w:rsidRPr="00A52585">
        <w:rPr>
          <w:rFonts w:hint="cs"/>
          <w:rtl/>
        </w:rPr>
        <w:t xml:space="preserve"> ويكون هذا ضرب مثل يقرب عظمة الخالق</w:t>
      </w:r>
      <w:r w:rsidR="00DB731D" w:rsidRPr="00A52585">
        <w:rPr>
          <w:rFonts w:hint="cs"/>
          <w:rtl/>
        </w:rPr>
        <w:t>،</w:t>
      </w:r>
      <w:r w:rsidR="00777DCB" w:rsidRPr="00A52585">
        <w:rPr>
          <w:rFonts w:hint="cs"/>
          <w:rtl/>
        </w:rPr>
        <w:t xml:space="preserve"> وقول الرواة</w:t>
      </w:r>
      <w:r w:rsidRPr="00A52585">
        <w:rPr>
          <w:rFonts w:hint="cs"/>
          <w:rtl/>
        </w:rPr>
        <w:t>:</w:t>
      </w:r>
      <w:r w:rsidR="00777DCB" w:rsidRPr="00A52585">
        <w:rPr>
          <w:rFonts w:hint="cs"/>
          <w:rtl/>
        </w:rPr>
        <w:t xml:space="preserve"> إذا قعد وإذا جلس من تغييرهم أو من تعبيرهم بما يظنونه من المعنى</w:t>
      </w:r>
      <w:r w:rsidR="00DB731D" w:rsidRPr="00A52585">
        <w:rPr>
          <w:rFonts w:hint="cs"/>
          <w:rtl/>
        </w:rPr>
        <w:t>،</w:t>
      </w:r>
      <w:r w:rsidRPr="00A52585">
        <w:rPr>
          <w:rFonts w:hint="cs"/>
          <w:rtl/>
        </w:rPr>
        <w:t xml:space="preserve"> </w:t>
      </w:r>
      <w:r w:rsidR="00777DCB" w:rsidRPr="00A52585">
        <w:rPr>
          <w:rFonts w:hint="cs"/>
          <w:rtl/>
        </w:rPr>
        <w:t>كما قال القائل</w:t>
      </w:r>
      <w:r w:rsidRPr="00A52585">
        <w:rPr>
          <w:rFonts w:hint="cs"/>
          <w:rtl/>
        </w:rPr>
        <w:t>:</w:t>
      </w:r>
      <w:r w:rsidR="00777DCB" w:rsidRPr="00A52585">
        <w:rPr>
          <w:rFonts w:hint="cs"/>
          <w:rtl/>
        </w:rPr>
        <w:t xml:space="preserve"> ثم استوى على العرش قعد</w:t>
      </w:r>
      <w:r w:rsidR="00DB731D" w:rsidRPr="00A52585">
        <w:rPr>
          <w:rFonts w:hint="cs"/>
          <w:rtl/>
        </w:rPr>
        <w:t>،</w:t>
      </w:r>
      <w:r w:rsidR="00777DCB" w:rsidRPr="00A52585">
        <w:rPr>
          <w:rFonts w:hint="cs"/>
          <w:rtl/>
        </w:rPr>
        <w:t xml:space="preserve"> وإنما قلنا هذا لان الخالق سبحانه وتعالى لا يجوز أن يوصف بالجلوس على شيء فيفضل من ذلك الشيء</w:t>
      </w:r>
      <w:r w:rsidR="00DB731D" w:rsidRPr="00A52585">
        <w:rPr>
          <w:rFonts w:hint="cs"/>
          <w:rtl/>
        </w:rPr>
        <w:t>،</w:t>
      </w:r>
      <w:r w:rsidR="00777DCB" w:rsidRPr="00A52585">
        <w:rPr>
          <w:rFonts w:hint="cs"/>
          <w:rtl/>
        </w:rPr>
        <w:t xml:space="preserve"> لان هذه صفة الاجسام</w:t>
      </w:r>
      <w:r w:rsidR="00DB731D" w:rsidRPr="00A52585">
        <w:rPr>
          <w:rFonts w:hint="cs"/>
          <w:rtl/>
        </w:rPr>
        <w:t>،</w:t>
      </w:r>
      <w:r w:rsidR="00777DCB" w:rsidRPr="00A52585">
        <w:rPr>
          <w:rFonts w:hint="cs"/>
          <w:rtl/>
        </w:rPr>
        <w:t xml:space="preserve"> وقال </w:t>
      </w:r>
      <w:proofErr w:type="spellStart"/>
      <w:r w:rsidR="00777DCB" w:rsidRPr="00A52585">
        <w:rPr>
          <w:rFonts w:hint="cs"/>
          <w:rtl/>
        </w:rPr>
        <w:t>الزاغوني</w:t>
      </w:r>
      <w:proofErr w:type="spellEnd"/>
      <w:r w:rsidRPr="00A52585">
        <w:rPr>
          <w:rFonts w:hint="cs"/>
          <w:rtl/>
        </w:rPr>
        <w:t>:</w:t>
      </w:r>
      <w:r w:rsidR="00777DCB" w:rsidRPr="00A52585">
        <w:rPr>
          <w:rFonts w:hint="cs"/>
          <w:rtl/>
        </w:rPr>
        <w:t xml:space="preserve"> معنى الحديث خرج عن صفة الاستواء أربعة أصابع</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قد قصد به مغالطة العوام</w:t>
      </w:r>
      <w:r w:rsidR="00F95886" w:rsidRPr="00A52585">
        <w:rPr>
          <w:rFonts w:hint="cs"/>
          <w:rtl/>
        </w:rPr>
        <w:t>!!</w:t>
      </w:r>
      <w:r w:rsidR="00777DCB" w:rsidRPr="00A52585">
        <w:rPr>
          <w:rFonts w:hint="cs"/>
          <w:rtl/>
        </w:rPr>
        <w:t xml:space="preserve"> وهل لما قاله معنى</w:t>
      </w:r>
      <w:r w:rsidR="00F95886" w:rsidRPr="00A52585">
        <w:rPr>
          <w:rFonts w:hint="cs"/>
          <w:rtl/>
        </w:rPr>
        <w:t>؟!!</w:t>
      </w:r>
      <w:r w:rsidR="00777DCB" w:rsidRPr="00A52585">
        <w:rPr>
          <w:rFonts w:hint="cs"/>
          <w:rtl/>
        </w:rPr>
        <w:t xml:space="preserve"> إلا أن يقال إن هذه الاربعة لم تحاذ ولم تماس وكل هذا صريح في التشبيه ظاهر في التجسيم ثم هو اثبات صفات بما لا يحسن إثباته من </w:t>
      </w:r>
      <w:proofErr w:type="gramStart"/>
      <w:r w:rsidR="00777DCB" w:rsidRPr="00A52585">
        <w:rPr>
          <w:rFonts w:hint="cs"/>
          <w:rtl/>
        </w:rPr>
        <w:t>الاحاديث</w:t>
      </w:r>
      <w:proofErr w:type="gramEnd"/>
      <w:r w:rsidR="00777DCB" w:rsidRPr="00A52585">
        <w:rPr>
          <w:rFonts w:hint="cs"/>
          <w:rtl/>
        </w:rPr>
        <w:t xml:space="preserve"> المعلولة</w:t>
      </w:r>
      <w:r w:rsidR="00DB731D" w:rsidRPr="00A52585">
        <w:rPr>
          <w:rFonts w:hint="cs"/>
          <w:rtl/>
        </w:rPr>
        <w:t>،</w:t>
      </w:r>
      <w:r w:rsidR="00777DCB" w:rsidRPr="00A52585">
        <w:rPr>
          <w:rFonts w:hint="cs"/>
          <w:rtl/>
        </w:rPr>
        <w:t xml:space="preserve"> وقد روينا عن أبي بكر بن مسلم العائدي قال</w:t>
      </w:r>
      <w:r w:rsidRPr="00A52585">
        <w:rPr>
          <w:rFonts w:hint="cs"/>
          <w:rtl/>
        </w:rPr>
        <w:t>:</w:t>
      </w:r>
      <w:r w:rsidR="00777DCB" w:rsidRPr="00A52585">
        <w:rPr>
          <w:rFonts w:hint="cs"/>
          <w:rtl/>
        </w:rPr>
        <w:t xml:space="preserve"> هذا الموضع الذي يفضل لمحمد ليجلس عليه قال</w:t>
      </w:r>
      <w:r w:rsidRPr="00A52585">
        <w:rPr>
          <w:rFonts w:hint="cs"/>
          <w:rtl/>
        </w:rPr>
        <w:t>:</w:t>
      </w:r>
      <w:r w:rsidR="00777DCB" w:rsidRPr="00A52585">
        <w:rPr>
          <w:rFonts w:hint="cs"/>
          <w:rtl/>
        </w:rPr>
        <w:t xml:space="preserve"> وقد كان الاليق بهذا المتعبد ان يتشاغل بعبادته عن الكلام في هذا الفن</w:t>
      </w:r>
      <w:r w:rsidR="00DB731D" w:rsidRPr="00A52585">
        <w:rPr>
          <w:rFonts w:hint="cs"/>
          <w:rtl/>
        </w:rPr>
        <w:t>،</w:t>
      </w:r>
      <w:r w:rsidR="00777DCB" w:rsidRPr="00A52585">
        <w:rPr>
          <w:rFonts w:hint="cs"/>
          <w:rtl/>
        </w:rPr>
        <w:t xml:space="preserve"> وقد روى القاضي أبو يعلى</w:t>
      </w:r>
      <w:r w:rsidRPr="00A52585">
        <w:rPr>
          <w:rFonts w:hint="cs"/>
          <w:rtl/>
        </w:rPr>
        <w:t xml:space="preserve"> </w:t>
      </w:r>
      <w:r w:rsidR="00777DCB" w:rsidRPr="00A52585">
        <w:rPr>
          <w:rFonts w:hint="cs"/>
          <w:rtl/>
        </w:rPr>
        <w:t>عن الشعبي أنه قال</w:t>
      </w:r>
      <w:r w:rsidRPr="00A52585">
        <w:rPr>
          <w:rFonts w:hint="cs"/>
          <w:rtl/>
        </w:rPr>
        <w:t>:</w:t>
      </w:r>
      <w:r w:rsidR="00777DCB" w:rsidRPr="00A52585">
        <w:rPr>
          <w:rFonts w:hint="cs"/>
          <w:rtl/>
        </w:rPr>
        <w:t xml:space="preserve"> ان الله تعالى قد ملا العرش حتى أن له أطيطا كأطيط الرحل</w:t>
      </w:r>
      <w:r w:rsidR="00897A24"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كذب على الشعبي</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وغير ممتنع حمل الخبر على ظاهره</w:t>
      </w:r>
      <w:r w:rsidR="00DB731D" w:rsidRPr="00A52585">
        <w:rPr>
          <w:rFonts w:hint="cs"/>
          <w:rtl/>
        </w:rPr>
        <w:t>،</w:t>
      </w:r>
      <w:r w:rsidR="00777DCB" w:rsidRPr="00A52585">
        <w:rPr>
          <w:rFonts w:hint="cs"/>
          <w:rtl/>
        </w:rPr>
        <w:t xml:space="preserve"> في أن ذاته تملا العرش</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لا على شغل مكان</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ومن يخلط هذا التخليط لا يكلم</w:t>
      </w:r>
      <w:r w:rsidR="00DB731D" w:rsidRPr="00A52585">
        <w:rPr>
          <w:rFonts w:hint="cs"/>
          <w:rtl/>
        </w:rPr>
        <w:t>،</w:t>
      </w:r>
      <w:r w:rsidR="00777DCB" w:rsidRPr="00A52585">
        <w:rPr>
          <w:rFonts w:hint="cs"/>
          <w:rtl/>
        </w:rPr>
        <w:t xml:space="preserve"> </w:t>
      </w:r>
      <w:proofErr w:type="gramStart"/>
      <w:r w:rsidR="00777DCB" w:rsidRPr="00A52585">
        <w:rPr>
          <w:rFonts w:hint="cs"/>
          <w:rtl/>
        </w:rPr>
        <w:t>واعجبا</w:t>
      </w:r>
      <w:proofErr w:type="gramEnd"/>
      <w:r w:rsidR="00777DCB" w:rsidRPr="00A52585">
        <w:rPr>
          <w:rFonts w:hint="cs"/>
          <w:rtl/>
        </w:rPr>
        <w:t xml:space="preserve"> من يملا مكانا يشغله</w:t>
      </w:r>
      <w:r w:rsidR="00F95886" w:rsidRPr="00A52585">
        <w:rPr>
          <w:rFonts w:hint="cs"/>
          <w:rtl/>
        </w:rPr>
        <w:t>!!</w:t>
      </w:r>
      <w:r w:rsidR="00777DCB" w:rsidRPr="00A52585">
        <w:rPr>
          <w:rFonts w:hint="cs"/>
          <w:rtl/>
        </w:rPr>
        <w:t xml:space="preserve"> روى القاضي أبو يعلى</w:t>
      </w:r>
      <w:r w:rsidRPr="00A52585">
        <w:rPr>
          <w:rFonts w:hint="cs"/>
          <w:rtl/>
        </w:rPr>
        <w:t xml:space="preserve"> </w:t>
      </w:r>
      <w:r w:rsidR="00777DCB" w:rsidRPr="00A52585">
        <w:rPr>
          <w:rFonts w:hint="cs"/>
          <w:rtl/>
        </w:rPr>
        <w:t>عن خالد بن معدان أنه قال</w:t>
      </w:r>
      <w:r w:rsidR="00F95886" w:rsidRPr="00A52585">
        <w:rPr>
          <w:rFonts w:hint="cs"/>
          <w:rtl/>
        </w:rPr>
        <w:t>؟</w:t>
      </w:r>
      <w:r w:rsidR="00777DCB" w:rsidRPr="00A52585">
        <w:rPr>
          <w:rFonts w:hint="cs"/>
          <w:rtl/>
        </w:rPr>
        <w:t xml:space="preserve"> إن الرحمن ليثقل على حملة العرش</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رد الامام المحدث الكوثري عليه الرحمة والرضوان في " مقالاته " وتعليقاته على " السيف الصقيل " المسماة ب‍ " تبديد الظلام المخيم من نونية ابن القيم " هذه العقيدة الفاسدة وهدمها هدما ونقضها نقضا</w:t>
      </w:r>
      <w:r w:rsidR="00DB731D" w:rsidRPr="00A52585">
        <w:rPr>
          <w:rFonts w:hint="cs"/>
          <w:sz w:val="24"/>
          <w:szCs w:val="24"/>
          <w:rtl/>
        </w:rPr>
        <w:t>،</w:t>
      </w:r>
      <w:r w:rsidR="00777DCB" w:rsidRPr="00A52585">
        <w:rPr>
          <w:rFonts w:hint="cs"/>
          <w:sz w:val="24"/>
          <w:szCs w:val="24"/>
          <w:rtl/>
        </w:rPr>
        <w:t xml:space="preserve"> انظر مقالاته ص </w:t>
      </w:r>
      <w:r w:rsidRPr="00A52585">
        <w:rPr>
          <w:rFonts w:hint="cs"/>
          <w:sz w:val="24"/>
          <w:szCs w:val="24"/>
          <w:rtl/>
        </w:rPr>
        <w:t>(</w:t>
      </w:r>
      <w:r w:rsidR="00777DCB" w:rsidRPr="00A52585">
        <w:rPr>
          <w:rFonts w:hint="cs"/>
          <w:sz w:val="24"/>
          <w:szCs w:val="24"/>
          <w:rtl/>
        </w:rPr>
        <w:t>281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وإنني أنصح طلاب العلم وأهله أن يقتنوا كتب الامام الكوثري وخصوصا كتاب " المقالات " وتعليقاته على " السيف الصقيل " لما حوت من الفوائد العلمية والتحقيق الدقيق</w:t>
      </w:r>
      <w:r w:rsidRPr="00A52585">
        <w:rPr>
          <w:rFonts w:hint="cs"/>
          <w:sz w:val="24"/>
          <w:szCs w:val="24"/>
          <w:rtl/>
        </w:rPr>
        <w:t>]</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غير ممتنع حمل هذا على ظاهره</w:t>
      </w:r>
      <w:r w:rsidR="00DB731D" w:rsidRPr="00A52585">
        <w:rPr>
          <w:rFonts w:hint="cs"/>
          <w:rtl/>
        </w:rPr>
        <w:t>،</w:t>
      </w:r>
      <w:r w:rsidR="00777DCB" w:rsidRPr="00A52585">
        <w:rPr>
          <w:rFonts w:hint="cs"/>
          <w:rtl/>
        </w:rPr>
        <w:t xml:space="preserve"> وإن ثقله يحصل على وجه المماسة</w:t>
      </w:r>
      <w:r w:rsidR="00DB731D" w:rsidRPr="00A52585">
        <w:rPr>
          <w:rFonts w:hint="cs"/>
          <w:rtl/>
        </w:rPr>
        <w:t>،</w:t>
      </w:r>
      <w:r w:rsidR="00777DCB" w:rsidRPr="00A52585">
        <w:rPr>
          <w:rFonts w:hint="cs"/>
          <w:rtl/>
        </w:rPr>
        <w:t xml:space="preserve"> </w:t>
      </w:r>
    </w:p>
    <w:p w14:paraId="7CA8A0F5" w14:textId="0C3DD8C9" w:rsidR="00777DCB" w:rsidRPr="00A52585" w:rsidRDefault="0002035C" w:rsidP="0002035C">
      <w:pPr>
        <w:rPr>
          <w:b/>
          <w:rtl/>
        </w:rPr>
      </w:pPr>
      <w:r w:rsidRPr="00A52585">
        <w:rPr>
          <w:rFonts w:hint="cs"/>
          <w:bCs/>
          <w:u w:val="single"/>
          <w:rtl/>
        </w:rPr>
        <w:t>[</w:t>
      </w:r>
      <w:r w:rsidR="00777DCB" w:rsidRPr="00A52585">
        <w:rPr>
          <w:rFonts w:hint="cs"/>
          <w:bCs/>
          <w:u w:val="single"/>
          <w:rtl/>
        </w:rPr>
        <w:t>41</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الحادي والاربعون</w:t>
      </w:r>
      <w:r w:rsidRPr="00A52585">
        <w:rPr>
          <w:rFonts w:hint="cs"/>
          <w:bCs/>
          <w:rtl/>
        </w:rPr>
        <w:t>]:</w:t>
      </w:r>
      <w:r w:rsidR="00777DCB" w:rsidRPr="00A52585">
        <w:rPr>
          <w:rFonts w:hint="cs"/>
          <w:bCs/>
          <w:rtl/>
        </w:rPr>
        <w:t xml:space="preserve"> </w:t>
      </w:r>
      <w:r w:rsidR="00777DCB" w:rsidRPr="00A52585">
        <w:rPr>
          <w:rFonts w:hint="cs"/>
          <w:rtl/>
        </w:rPr>
        <w:t xml:space="preserve">روى البخاري </w:t>
      </w:r>
      <w:r w:rsidRPr="00A52585">
        <w:rPr>
          <w:rFonts w:hint="cs"/>
          <w:rtl/>
        </w:rPr>
        <w:t>(</w:t>
      </w:r>
      <w:r w:rsidR="00777DCB" w:rsidRPr="00A52585">
        <w:rPr>
          <w:rFonts w:hint="cs"/>
          <w:rtl/>
        </w:rPr>
        <w:t>فتح 13 / 453</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1 / 201 برقم 379</w:t>
      </w:r>
      <w:r w:rsidRPr="00A52585">
        <w:rPr>
          <w:rFonts w:hint="cs"/>
          <w:rtl/>
        </w:rPr>
        <w:t>)</w:t>
      </w:r>
      <w:r w:rsidR="00777DCB" w:rsidRPr="00A52585">
        <w:rPr>
          <w:rFonts w:hint="cs"/>
          <w:rtl/>
        </w:rPr>
        <w:t xml:space="preserve"> في الصحيحين من حديث أبي سعيد عن رسول الله صلى الله عليه وسلم قال</w:t>
      </w:r>
      <w:r w:rsidRPr="00A52585">
        <w:rPr>
          <w:rFonts w:hint="cs"/>
          <w:rtl/>
        </w:rPr>
        <w:t>:</w:t>
      </w:r>
      <w:r w:rsidR="00777DCB" w:rsidRPr="00A52585">
        <w:rPr>
          <w:rFonts w:hint="cs"/>
          <w:rtl/>
        </w:rPr>
        <w:t xml:space="preserve"> " يقول الله عز وجل يوم القيامة</w:t>
      </w:r>
      <w:r w:rsidRPr="00A52585">
        <w:rPr>
          <w:rFonts w:hint="cs"/>
          <w:rtl/>
        </w:rPr>
        <w:t>:</w:t>
      </w:r>
      <w:r w:rsidR="00777DCB" w:rsidRPr="00A52585">
        <w:rPr>
          <w:rFonts w:hint="cs"/>
          <w:rtl/>
        </w:rPr>
        <w:t xml:space="preserve"> يا آدم فيقول</w:t>
      </w:r>
      <w:r w:rsidRPr="00A52585">
        <w:rPr>
          <w:rFonts w:hint="cs"/>
          <w:rtl/>
        </w:rPr>
        <w:t>:</w:t>
      </w:r>
      <w:r w:rsidR="00777DCB" w:rsidRPr="00A52585">
        <w:rPr>
          <w:rFonts w:hint="cs"/>
          <w:rtl/>
        </w:rPr>
        <w:t xml:space="preserve"> لبيك وسعديك</w:t>
      </w:r>
      <w:r w:rsidR="00897A24" w:rsidRPr="00A52585">
        <w:rPr>
          <w:rFonts w:hint="cs"/>
          <w:rtl/>
        </w:rPr>
        <w:t>.</w:t>
      </w:r>
      <w:r w:rsidR="00777DCB" w:rsidRPr="00A52585">
        <w:rPr>
          <w:rFonts w:hint="cs"/>
          <w:rtl/>
        </w:rPr>
        <w:t xml:space="preserve"> فينادي بصوت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يقع في مسلم ذكر للفظ " الصوت " </w:t>
      </w:r>
      <w:r w:rsidR="00777DCB" w:rsidRPr="00A52585">
        <w:rPr>
          <w:rFonts w:hint="cs"/>
          <w:sz w:val="24"/>
          <w:szCs w:val="24"/>
          <w:rtl/>
        </w:rPr>
        <w:lastRenderedPageBreak/>
        <w:t>وهي من تصرف الرواة</w:t>
      </w:r>
      <w:r w:rsidR="00DB731D" w:rsidRPr="00A52585">
        <w:rPr>
          <w:rFonts w:hint="cs"/>
          <w:sz w:val="24"/>
          <w:szCs w:val="24"/>
          <w:rtl/>
        </w:rPr>
        <w:t>،</w:t>
      </w:r>
      <w:r w:rsidR="00777DCB" w:rsidRPr="00A52585">
        <w:rPr>
          <w:rFonts w:hint="cs"/>
          <w:sz w:val="24"/>
          <w:szCs w:val="24"/>
          <w:rtl/>
        </w:rPr>
        <w:t xml:space="preserve"> إنما وقع في البخاري</w:t>
      </w:r>
      <w:r w:rsidR="00DB731D" w:rsidRPr="00A52585">
        <w:rPr>
          <w:rFonts w:hint="cs"/>
          <w:sz w:val="24"/>
          <w:szCs w:val="24"/>
          <w:rtl/>
        </w:rPr>
        <w:t>،</w:t>
      </w:r>
      <w:r w:rsidR="00777DCB" w:rsidRPr="00A52585">
        <w:rPr>
          <w:rFonts w:hint="cs"/>
          <w:sz w:val="24"/>
          <w:szCs w:val="24"/>
          <w:rtl/>
        </w:rPr>
        <w:t xml:space="preserve"> قال الحافظ ابن حجر في شرحه في " فتح الباري " </w:t>
      </w:r>
      <w:r w:rsidRPr="00A52585">
        <w:rPr>
          <w:rFonts w:hint="cs"/>
          <w:sz w:val="24"/>
          <w:szCs w:val="24"/>
          <w:rtl/>
        </w:rPr>
        <w:t>(</w:t>
      </w:r>
      <w:r w:rsidR="00777DCB" w:rsidRPr="00A52585">
        <w:rPr>
          <w:rFonts w:hint="cs"/>
          <w:sz w:val="24"/>
          <w:szCs w:val="24"/>
          <w:rtl/>
        </w:rPr>
        <w:t>13 / 460</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ووقع " فينادي " مضبوطا </w:t>
      </w:r>
      <w:proofErr w:type="spellStart"/>
      <w:r w:rsidR="00777DCB" w:rsidRPr="00A52585">
        <w:rPr>
          <w:rFonts w:hint="cs"/>
          <w:sz w:val="24"/>
          <w:szCs w:val="24"/>
          <w:rtl/>
        </w:rPr>
        <w:t>للاكثر</w:t>
      </w:r>
      <w:proofErr w:type="spellEnd"/>
      <w:r w:rsidR="00777DCB" w:rsidRPr="00A52585">
        <w:rPr>
          <w:rFonts w:hint="cs"/>
          <w:sz w:val="24"/>
          <w:szCs w:val="24"/>
          <w:rtl/>
        </w:rPr>
        <w:t xml:space="preserve"> بكسر الدال</w:t>
      </w:r>
      <w:r w:rsidR="00DB731D" w:rsidRPr="00A52585">
        <w:rPr>
          <w:rFonts w:hint="cs"/>
          <w:sz w:val="24"/>
          <w:szCs w:val="24"/>
          <w:rtl/>
        </w:rPr>
        <w:t>،</w:t>
      </w:r>
      <w:r w:rsidR="00777DCB" w:rsidRPr="00A52585">
        <w:rPr>
          <w:rFonts w:hint="cs"/>
          <w:sz w:val="24"/>
          <w:szCs w:val="24"/>
          <w:rtl/>
        </w:rPr>
        <w:t xml:space="preserve"> وفي رواية أبي ذر بفتحها على البناء للمجهول</w:t>
      </w:r>
      <w:r w:rsidR="00DB731D" w:rsidRPr="00A52585">
        <w:rPr>
          <w:rFonts w:hint="cs"/>
          <w:sz w:val="24"/>
          <w:szCs w:val="24"/>
          <w:rtl/>
        </w:rPr>
        <w:t>،</w:t>
      </w:r>
      <w:r w:rsidR="00777DCB" w:rsidRPr="00A52585">
        <w:rPr>
          <w:rFonts w:hint="cs"/>
          <w:sz w:val="24"/>
          <w:szCs w:val="24"/>
          <w:rtl/>
        </w:rPr>
        <w:t xml:space="preserve"> ولا محذور في رواية الجمهور</w:t>
      </w:r>
      <w:r w:rsidR="00DB731D" w:rsidRPr="00A52585">
        <w:rPr>
          <w:rFonts w:hint="cs"/>
          <w:sz w:val="24"/>
          <w:szCs w:val="24"/>
          <w:rtl/>
        </w:rPr>
        <w:t>،</w:t>
      </w:r>
      <w:r w:rsidR="00777DCB" w:rsidRPr="00A52585">
        <w:rPr>
          <w:rFonts w:hint="cs"/>
          <w:sz w:val="24"/>
          <w:szCs w:val="24"/>
          <w:rtl/>
        </w:rPr>
        <w:t xml:space="preserve"> فإن قرينة قوله " إن الله يأمرك " تدل ظاهرا على أن المنادي ملك يأمره الله بأن ينادي بذلك</w:t>
      </w:r>
      <w:r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وعمدة استدلال المجسمة على إثبات الصوت لله تعالى عما يقولون</w:t>
      </w:r>
      <w:r w:rsidRPr="00A52585">
        <w:rPr>
          <w:rFonts w:hint="cs"/>
          <w:sz w:val="24"/>
          <w:szCs w:val="24"/>
          <w:rtl/>
        </w:rPr>
        <w:t>:</w:t>
      </w:r>
      <w:r w:rsidR="00777DCB" w:rsidRPr="00A52585">
        <w:rPr>
          <w:rFonts w:hint="cs"/>
          <w:sz w:val="24"/>
          <w:szCs w:val="24"/>
          <w:rtl/>
        </w:rPr>
        <w:t xml:space="preserve"> ثلاثة أحاديث</w:t>
      </w:r>
      <w:r w:rsidR="00DB731D" w:rsidRPr="00A52585">
        <w:rPr>
          <w:rFonts w:hint="cs"/>
          <w:sz w:val="24"/>
          <w:szCs w:val="24"/>
          <w:rtl/>
        </w:rPr>
        <w:t>،</w:t>
      </w:r>
      <w:r w:rsidR="00777DCB" w:rsidRPr="00A52585">
        <w:rPr>
          <w:rFonts w:hint="cs"/>
          <w:sz w:val="24"/>
          <w:szCs w:val="24"/>
          <w:rtl/>
        </w:rPr>
        <w:t xml:space="preserve"> هذا أولها وقد أجبنا عنه</w:t>
      </w:r>
      <w:r w:rsidR="00DB731D" w:rsidRPr="00A52585">
        <w:rPr>
          <w:rFonts w:hint="cs"/>
          <w:sz w:val="24"/>
          <w:szCs w:val="24"/>
          <w:rtl/>
        </w:rPr>
        <w:t>،</w:t>
      </w:r>
      <w:r w:rsidR="00777DCB" w:rsidRPr="00A52585">
        <w:rPr>
          <w:rFonts w:hint="cs"/>
          <w:sz w:val="24"/>
          <w:szCs w:val="24"/>
          <w:rtl/>
        </w:rPr>
        <w:t xml:space="preserve"> ملخصه أن استدلالهم به باطل من ثلاثة أوجه</w:t>
      </w:r>
      <w:r w:rsidRPr="00A52585">
        <w:rPr>
          <w:rFonts w:hint="cs"/>
          <w:sz w:val="24"/>
          <w:szCs w:val="24"/>
          <w:rtl/>
        </w:rPr>
        <w:t>: (</w:t>
      </w:r>
      <w:r w:rsidR="00777DCB" w:rsidRPr="00A52585">
        <w:rPr>
          <w:rFonts w:hint="cs"/>
          <w:sz w:val="24"/>
          <w:szCs w:val="24"/>
          <w:rtl/>
        </w:rPr>
        <w:t>الاول</w:t>
      </w:r>
      <w:r w:rsidRPr="00A52585">
        <w:rPr>
          <w:rFonts w:hint="cs"/>
          <w:sz w:val="24"/>
          <w:szCs w:val="24"/>
          <w:rtl/>
        </w:rPr>
        <w:t>):</w:t>
      </w:r>
      <w:r w:rsidR="00777DCB" w:rsidRPr="00A52585">
        <w:rPr>
          <w:rFonts w:hint="cs"/>
          <w:sz w:val="24"/>
          <w:szCs w:val="24"/>
          <w:rtl/>
        </w:rPr>
        <w:t xml:space="preserve"> أنه من تصرف الرواة فبعضهم يذكر فيه لفظة الصوت وبعضهم لا يذكر</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والثاني</w:t>
      </w:r>
      <w:r w:rsidRPr="00A52585">
        <w:rPr>
          <w:rFonts w:hint="cs"/>
          <w:sz w:val="24"/>
          <w:szCs w:val="24"/>
          <w:rtl/>
        </w:rPr>
        <w:t>):</w:t>
      </w:r>
      <w:r w:rsidR="00777DCB" w:rsidRPr="00A52585">
        <w:rPr>
          <w:rFonts w:hint="cs"/>
          <w:sz w:val="24"/>
          <w:szCs w:val="24"/>
          <w:rtl/>
        </w:rPr>
        <w:t xml:space="preserve"> ما قاله الحافظ من أن قوله فيه " إن الله يأمرك " تثبت أن صاحب الصوت هو ملك من الملائكة والله تعالى لا صوت له لأنّه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w:t>
      </w:r>
      <w:r w:rsidR="00777DCB" w:rsidRPr="00A52585">
        <w:rPr>
          <w:rFonts w:hint="cs"/>
          <w:sz w:val="24"/>
          <w:szCs w:val="24"/>
          <w:rtl/>
        </w:rPr>
        <w:t xml:space="preserve"> فكلامه ليس ككلام خلقه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والثالث</w:t>
      </w:r>
      <w:r w:rsidRPr="00A52585">
        <w:rPr>
          <w:rFonts w:hint="cs"/>
          <w:sz w:val="24"/>
          <w:szCs w:val="24"/>
          <w:rtl/>
        </w:rPr>
        <w:t>):</w:t>
      </w:r>
      <w:r w:rsidR="00777DCB" w:rsidRPr="00A52585">
        <w:rPr>
          <w:rFonts w:hint="cs"/>
          <w:sz w:val="24"/>
          <w:szCs w:val="24"/>
          <w:rtl/>
        </w:rPr>
        <w:t xml:space="preserve"> أنه حديث آحاد ولا تثبت العقائد بمثله</w:t>
      </w:r>
      <w:r w:rsidR="00DB731D" w:rsidRPr="00A52585">
        <w:rPr>
          <w:rFonts w:hint="cs"/>
          <w:sz w:val="24"/>
          <w:szCs w:val="24"/>
          <w:rtl/>
        </w:rPr>
        <w:t>،</w:t>
      </w:r>
      <w:r w:rsidR="00777DCB" w:rsidRPr="00A52585">
        <w:rPr>
          <w:rFonts w:hint="cs"/>
          <w:sz w:val="24"/>
          <w:szCs w:val="24"/>
          <w:rtl/>
        </w:rPr>
        <w:t xml:space="preserve"> وأما الحديثان الآخران اللذان يستدل بهما المجسمة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فأحدهما</w:t>
      </w:r>
      <w:r w:rsidRPr="00A52585">
        <w:rPr>
          <w:rFonts w:hint="cs"/>
          <w:sz w:val="24"/>
          <w:szCs w:val="24"/>
          <w:rtl/>
        </w:rPr>
        <w:t>):</w:t>
      </w:r>
      <w:r w:rsidR="00777DCB" w:rsidRPr="00A52585">
        <w:rPr>
          <w:rFonts w:hint="cs"/>
          <w:sz w:val="24"/>
          <w:szCs w:val="24"/>
          <w:rtl/>
        </w:rPr>
        <w:t xml:space="preserve"> حديث جابر الذي علقه البخاري في صحيحه في كتاب التوحيد </w:t>
      </w:r>
      <w:r w:rsidRPr="00A52585">
        <w:rPr>
          <w:rFonts w:hint="cs"/>
          <w:sz w:val="24"/>
          <w:szCs w:val="24"/>
          <w:rtl/>
        </w:rPr>
        <w:t>(</w:t>
      </w:r>
      <w:r w:rsidR="00777DCB" w:rsidRPr="00A52585">
        <w:rPr>
          <w:rFonts w:hint="cs"/>
          <w:sz w:val="24"/>
          <w:szCs w:val="24"/>
          <w:rtl/>
        </w:rPr>
        <w:t>13 / 453</w:t>
      </w:r>
      <w:r w:rsidRPr="00A52585">
        <w:rPr>
          <w:rFonts w:hint="cs"/>
          <w:sz w:val="24"/>
          <w:szCs w:val="24"/>
          <w:rtl/>
        </w:rPr>
        <w:t>)</w:t>
      </w:r>
      <w:r w:rsidR="00777DCB" w:rsidRPr="00A52585">
        <w:rPr>
          <w:rFonts w:hint="cs"/>
          <w:sz w:val="24"/>
          <w:szCs w:val="24"/>
          <w:rtl/>
        </w:rPr>
        <w:t xml:space="preserve"> بصيغة تمريض فقال</w:t>
      </w:r>
      <w:r w:rsidRPr="00A52585">
        <w:rPr>
          <w:rFonts w:hint="cs"/>
          <w:sz w:val="24"/>
          <w:szCs w:val="24"/>
          <w:rtl/>
        </w:rPr>
        <w:t>:</w:t>
      </w:r>
      <w:r w:rsidR="00777DCB" w:rsidRPr="00A52585">
        <w:rPr>
          <w:rFonts w:hint="cs"/>
          <w:sz w:val="24"/>
          <w:szCs w:val="24"/>
          <w:rtl/>
        </w:rPr>
        <w:t xml:space="preserve"> " ويذكر عن جابر عن عبد الله بن أنيس قال سمعت النبي صلى الله عليه وسلم يقول</w:t>
      </w:r>
      <w:r w:rsidRPr="00A52585">
        <w:rPr>
          <w:rFonts w:hint="cs"/>
          <w:sz w:val="24"/>
          <w:szCs w:val="24"/>
          <w:rtl/>
        </w:rPr>
        <w:t>:</w:t>
      </w:r>
      <w:r w:rsidR="00777DCB" w:rsidRPr="00A52585">
        <w:rPr>
          <w:rFonts w:hint="cs"/>
          <w:sz w:val="24"/>
          <w:szCs w:val="24"/>
          <w:rtl/>
        </w:rPr>
        <w:t xml:space="preserve"> " يحشر الله العباد فيناديهم بصوت يسمعه من بعد كما يسمعه من قرب</w:t>
      </w:r>
      <w:r w:rsidRPr="00A52585">
        <w:rPr>
          <w:rFonts w:hint="cs"/>
          <w:sz w:val="24"/>
          <w:szCs w:val="24"/>
          <w:rtl/>
        </w:rPr>
        <w:t>:</w:t>
      </w:r>
      <w:r w:rsidR="00777DCB" w:rsidRPr="00A52585">
        <w:rPr>
          <w:rFonts w:hint="cs"/>
          <w:sz w:val="24"/>
          <w:szCs w:val="24"/>
          <w:rtl/>
        </w:rPr>
        <w:t xml:space="preserve"> أنا الملك أنا الديان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هذا حديث ضعيف الاسناد</w:t>
      </w:r>
      <w:r w:rsidR="00DB731D" w:rsidRPr="00A52585">
        <w:rPr>
          <w:rFonts w:hint="cs"/>
          <w:sz w:val="24"/>
          <w:szCs w:val="24"/>
          <w:rtl/>
        </w:rPr>
        <w:t>،</w:t>
      </w:r>
      <w:r w:rsidR="00777DCB" w:rsidRPr="00A52585">
        <w:rPr>
          <w:rFonts w:hint="cs"/>
          <w:sz w:val="24"/>
          <w:szCs w:val="24"/>
          <w:rtl/>
        </w:rPr>
        <w:t xml:space="preserve"> في سنده عبد الله بن محمد بن عقيل ضعيف جدا كما يعلم ذلك من يطالع ترجمته في " تهذيب التهذيب " </w:t>
      </w:r>
      <w:r w:rsidRPr="00A52585">
        <w:rPr>
          <w:rFonts w:hint="cs"/>
          <w:sz w:val="24"/>
          <w:szCs w:val="24"/>
          <w:rtl/>
        </w:rPr>
        <w:t>(</w:t>
      </w:r>
      <w:r w:rsidR="00777DCB" w:rsidRPr="00A52585">
        <w:rPr>
          <w:rFonts w:hint="cs"/>
          <w:sz w:val="24"/>
          <w:szCs w:val="24"/>
          <w:rtl/>
        </w:rPr>
        <w:t>6 / 13 - 14 دار الفكر</w:t>
      </w:r>
      <w:r w:rsidRPr="00A52585">
        <w:rPr>
          <w:rFonts w:hint="cs"/>
          <w:sz w:val="24"/>
          <w:szCs w:val="24"/>
          <w:rtl/>
        </w:rPr>
        <w:t>)</w:t>
      </w:r>
      <w:r w:rsidR="00777DCB" w:rsidRPr="00A52585">
        <w:rPr>
          <w:rFonts w:hint="cs"/>
          <w:sz w:val="24"/>
          <w:szCs w:val="24"/>
          <w:rtl/>
        </w:rPr>
        <w:t xml:space="preserve"> كما أن في سنده أيضا القاسم بن عبد الواحد وهو صاحب مناكير كما في ترجمته في " الميزان " </w:t>
      </w:r>
      <w:r w:rsidRPr="00A52585">
        <w:rPr>
          <w:rFonts w:hint="cs"/>
          <w:sz w:val="24"/>
          <w:szCs w:val="24"/>
          <w:rtl/>
        </w:rPr>
        <w:t>(</w:t>
      </w:r>
      <w:r w:rsidR="00777DCB" w:rsidRPr="00A52585">
        <w:rPr>
          <w:rFonts w:hint="cs"/>
          <w:sz w:val="24"/>
          <w:szCs w:val="24"/>
          <w:rtl/>
        </w:rPr>
        <w:t>3 / 375 / 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 الجرح والتعديل " </w:t>
      </w:r>
      <w:r w:rsidRPr="00A52585">
        <w:rPr>
          <w:rFonts w:hint="cs"/>
          <w:sz w:val="24"/>
          <w:szCs w:val="24"/>
          <w:rtl/>
        </w:rPr>
        <w:t>(</w:t>
      </w:r>
      <w:r w:rsidR="00777DCB" w:rsidRPr="00A52585">
        <w:rPr>
          <w:rFonts w:hint="cs"/>
          <w:sz w:val="24"/>
          <w:szCs w:val="24"/>
          <w:rtl/>
        </w:rPr>
        <w:t>7 / 114</w:t>
      </w:r>
      <w:r w:rsidRPr="00A52585">
        <w:rPr>
          <w:rFonts w:hint="cs"/>
          <w:sz w:val="24"/>
          <w:szCs w:val="24"/>
          <w:rtl/>
        </w:rPr>
        <w:t>)</w:t>
      </w:r>
      <w:r w:rsidR="00777DCB" w:rsidRPr="00A52585">
        <w:rPr>
          <w:rFonts w:hint="cs"/>
          <w:sz w:val="24"/>
          <w:szCs w:val="24"/>
          <w:rtl/>
        </w:rPr>
        <w:t xml:space="preserve"> ما معناه</w:t>
      </w:r>
      <w:r w:rsidRPr="00A52585">
        <w:rPr>
          <w:rFonts w:hint="cs"/>
          <w:sz w:val="24"/>
          <w:szCs w:val="24"/>
          <w:rtl/>
        </w:rPr>
        <w:t>:</w:t>
      </w:r>
      <w:r w:rsidR="00777DCB" w:rsidRPr="00A52585">
        <w:rPr>
          <w:rFonts w:hint="cs"/>
          <w:sz w:val="24"/>
          <w:szCs w:val="24"/>
          <w:rtl/>
        </w:rPr>
        <w:t xml:space="preserve"> " لا يحتج بحديثه " فحديثه هذا لا نقبله في الوضوء فضلا عن أصول الدين</w:t>
      </w:r>
      <w:r w:rsidR="00DB731D" w:rsidRPr="00A52585">
        <w:rPr>
          <w:rFonts w:hint="cs"/>
          <w:sz w:val="24"/>
          <w:szCs w:val="24"/>
          <w:rtl/>
        </w:rPr>
        <w:t>،</w:t>
      </w:r>
      <w:r w:rsidR="00777DCB" w:rsidRPr="00A52585">
        <w:rPr>
          <w:rFonts w:hint="cs"/>
          <w:sz w:val="24"/>
          <w:szCs w:val="24"/>
          <w:rtl/>
        </w:rPr>
        <w:t xml:space="preserve"> وقد أوضحت هذا بإسهاب في كتابي " الادلة المقومة </w:t>
      </w:r>
      <w:proofErr w:type="spellStart"/>
      <w:r w:rsidR="00777DCB" w:rsidRPr="00A52585">
        <w:rPr>
          <w:rFonts w:hint="cs"/>
          <w:sz w:val="24"/>
          <w:szCs w:val="24"/>
          <w:rtl/>
        </w:rPr>
        <w:t>لاعوجاجات</w:t>
      </w:r>
      <w:proofErr w:type="spellEnd"/>
      <w:r w:rsidR="00777DCB" w:rsidRPr="00A52585">
        <w:rPr>
          <w:rFonts w:hint="cs"/>
          <w:sz w:val="24"/>
          <w:szCs w:val="24"/>
          <w:rtl/>
        </w:rPr>
        <w:t xml:space="preserve"> المجسمة " وأبطلت قول من قال</w:t>
      </w:r>
      <w:r w:rsidRPr="00A52585">
        <w:rPr>
          <w:rFonts w:hint="cs"/>
          <w:sz w:val="24"/>
          <w:szCs w:val="24"/>
          <w:rtl/>
        </w:rPr>
        <w:t>:</w:t>
      </w:r>
      <w:r w:rsidR="00777DCB" w:rsidRPr="00A52585">
        <w:rPr>
          <w:rFonts w:hint="cs"/>
          <w:sz w:val="24"/>
          <w:szCs w:val="24"/>
          <w:rtl/>
        </w:rPr>
        <w:t xml:space="preserve"> " إن له طرق تقويه "</w:t>
      </w:r>
      <w:r w:rsidR="00DB731D" w:rsidRPr="00A52585">
        <w:rPr>
          <w:rFonts w:hint="cs"/>
          <w:sz w:val="24"/>
          <w:szCs w:val="24"/>
          <w:rtl/>
        </w:rPr>
        <w:t>،</w:t>
      </w:r>
      <w:r w:rsidR="00777DCB" w:rsidRPr="00A52585">
        <w:rPr>
          <w:rFonts w:hint="cs"/>
          <w:sz w:val="24"/>
          <w:szCs w:val="24"/>
          <w:rtl/>
        </w:rPr>
        <w:t xml:space="preserve"> وقد بت الامر فيه الحافظ ابن حجر فقال في " الفتح " </w:t>
      </w:r>
      <w:r w:rsidRPr="00A52585">
        <w:rPr>
          <w:rFonts w:hint="cs"/>
          <w:sz w:val="24"/>
          <w:szCs w:val="24"/>
          <w:rtl/>
        </w:rPr>
        <w:t>(</w:t>
      </w:r>
      <w:r w:rsidR="00777DCB" w:rsidRPr="00A52585">
        <w:rPr>
          <w:rFonts w:hint="cs"/>
          <w:sz w:val="24"/>
          <w:szCs w:val="24"/>
          <w:rtl/>
        </w:rPr>
        <w:t>1 / 174</w:t>
      </w:r>
      <w:r w:rsidRPr="00A52585">
        <w:rPr>
          <w:rFonts w:hint="cs"/>
          <w:sz w:val="24"/>
          <w:szCs w:val="24"/>
          <w:rtl/>
        </w:rPr>
        <w:t>):</w:t>
      </w:r>
      <w:r w:rsidR="00777DCB" w:rsidRPr="00A52585">
        <w:rPr>
          <w:rFonts w:hint="cs"/>
          <w:sz w:val="24"/>
          <w:szCs w:val="24"/>
          <w:rtl/>
        </w:rPr>
        <w:t xml:space="preserve"> " لان لفظ الصوت مما يتوقف في إطلاق نسبته إلى الرب ويحتاج إلى تأويل</w:t>
      </w:r>
      <w:r w:rsidR="00DB731D" w:rsidRPr="00A52585">
        <w:rPr>
          <w:rFonts w:hint="cs"/>
          <w:sz w:val="24"/>
          <w:szCs w:val="24"/>
          <w:rtl/>
        </w:rPr>
        <w:t>،</w:t>
      </w:r>
      <w:r w:rsidR="00777DCB" w:rsidRPr="00A52585">
        <w:rPr>
          <w:rFonts w:hint="cs"/>
          <w:sz w:val="24"/>
          <w:szCs w:val="24"/>
          <w:rtl/>
        </w:rPr>
        <w:t xml:space="preserve"> فلا يكفي فيه </w:t>
      </w:r>
      <w:proofErr w:type="spellStart"/>
      <w:r w:rsidR="00777DCB" w:rsidRPr="00A52585">
        <w:rPr>
          <w:rFonts w:hint="cs"/>
          <w:sz w:val="24"/>
          <w:szCs w:val="24"/>
          <w:rtl/>
        </w:rPr>
        <w:t>مجئ</w:t>
      </w:r>
      <w:proofErr w:type="spellEnd"/>
      <w:r w:rsidR="00777DCB" w:rsidRPr="00A52585">
        <w:rPr>
          <w:rFonts w:hint="cs"/>
          <w:sz w:val="24"/>
          <w:szCs w:val="24"/>
          <w:rtl/>
        </w:rPr>
        <w:t xml:space="preserve"> الحديث من طريق مختلف فيها ولو اعتضدت " اه‍</w:t>
      </w:r>
      <w:r w:rsidR="00DB731D" w:rsidRPr="00A52585">
        <w:rPr>
          <w:rFonts w:hint="cs"/>
          <w:sz w:val="24"/>
          <w:szCs w:val="24"/>
          <w:rtl/>
        </w:rPr>
        <w:t>،</w:t>
      </w:r>
      <w:r w:rsidR="00777DCB" w:rsidRPr="00A52585">
        <w:rPr>
          <w:rFonts w:hint="cs"/>
          <w:sz w:val="24"/>
          <w:szCs w:val="24"/>
          <w:rtl/>
        </w:rPr>
        <w:t xml:space="preserve"> وانظر كتابنا</w:t>
      </w:r>
      <w:r w:rsidRPr="00A52585">
        <w:rPr>
          <w:rFonts w:hint="cs"/>
          <w:sz w:val="24"/>
          <w:szCs w:val="24"/>
          <w:rtl/>
        </w:rPr>
        <w:t>:</w:t>
      </w:r>
      <w:r w:rsidR="00777DCB" w:rsidRPr="00A52585">
        <w:rPr>
          <w:rFonts w:hint="cs"/>
          <w:sz w:val="24"/>
          <w:szCs w:val="24"/>
          <w:rtl/>
        </w:rPr>
        <w:t xml:space="preserve"> " إلقام الحجر " ص </w:t>
      </w:r>
      <w:r w:rsidRPr="00A52585">
        <w:rPr>
          <w:rFonts w:hint="cs"/>
          <w:sz w:val="24"/>
          <w:szCs w:val="24"/>
          <w:rtl/>
        </w:rPr>
        <w:t>(</w:t>
      </w:r>
      <w:r w:rsidR="00777DCB" w:rsidRPr="00A52585">
        <w:rPr>
          <w:rFonts w:hint="cs"/>
          <w:sz w:val="24"/>
          <w:szCs w:val="24"/>
          <w:rtl/>
        </w:rPr>
        <w:t>21 - 41</w:t>
      </w:r>
      <w:r w:rsidRPr="00A52585">
        <w:rPr>
          <w:rFonts w:hint="cs"/>
          <w:sz w:val="24"/>
          <w:szCs w:val="24"/>
          <w:rtl/>
        </w:rPr>
        <w:t>)</w:t>
      </w:r>
      <w:r w:rsidR="00777DCB" w:rsidRPr="00A52585">
        <w:rPr>
          <w:rFonts w:hint="cs"/>
          <w:sz w:val="24"/>
          <w:szCs w:val="24"/>
          <w:rtl/>
        </w:rPr>
        <w:t xml:space="preserve"> ففيه ما يشفي الغليل</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وثانيهما</w:t>
      </w:r>
      <w:r w:rsidRPr="00A52585">
        <w:rPr>
          <w:rFonts w:hint="cs"/>
          <w:sz w:val="24"/>
          <w:szCs w:val="24"/>
          <w:rtl/>
        </w:rPr>
        <w:t>):</w:t>
      </w:r>
      <w:r w:rsidR="00777DCB" w:rsidRPr="00A52585">
        <w:rPr>
          <w:rFonts w:hint="cs"/>
          <w:sz w:val="24"/>
          <w:szCs w:val="24"/>
          <w:rtl/>
        </w:rPr>
        <w:t xml:space="preserve"> حديث ابن مسعود الموقوف المعلق أيضا في صحيح البخاري </w:t>
      </w:r>
      <w:r w:rsidRPr="00A52585">
        <w:rPr>
          <w:rFonts w:hint="cs"/>
          <w:sz w:val="24"/>
          <w:szCs w:val="24"/>
          <w:rtl/>
        </w:rPr>
        <w:t>(</w:t>
      </w:r>
      <w:r w:rsidR="00777DCB" w:rsidRPr="00A52585">
        <w:rPr>
          <w:rFonts w:hint="cs"/>
          <w:sz w:val="24"/>
          <w:szCs w:val="24"/>
          <w:rtl/>
        </w:rPr>
        <w:t>13 / 452 - 453</w:t>
      </w:r>
      <w:r w:rsidRPr="00A52585">
        <w:rPr>
          <w:rFonts w:hint="cs"/>
          <w:sz w:val="24"/>
          <w:szCs w:val="24"/>
          <w:rtl/>
        </w:rPr>
        <w:t>)</w:t>
      </w:r>
      <w:r w:rsidR="00777DCB" w:rsidRPr="00A52585">
        <w:rPr>
          <w:rFonts w:hint="cs"/>
          <w:sz w:val="24"/>
          <w:szCs w:val="24"/>
          <w:rtl/>
        </w:rPr>
        <w:t xml:space="preserve"> وفيه</w:t>
      </w:r>
      <w:r w:rsidRPr="00A52585">
        <w:rPr>
          <w:rFonts w:hint="cs"/>
          <w:sz w:val="24"/>
          <w:szCs w:val="24"/>
          <w:rtl/>
        </w:rPr>
        <w:t>:</w:t>
      </w:r>
      <w:r w:rsidR="00777DCB" w:rsidRPr="00A52585">
        <w:rPr>
          <w:rFonts w:hint="cs"/>
          <w:sz w:val="24"/>
          <w:szCs w:val="24"/>
          <w:rtl/>
        </w:rPr>
        <w:t xml:space="preserve"> " إذا تكلم الله]</w:t>
      </w:r>
      <w:r w:rsidRPr="00A52585">
        <w:rPr>
          <w:rFonts w:hint="cs"/>
          <w:rtl/>
        </w:rPr>
        <w:t>:</w:t>
      </w:r>
      <w:r w:rsidR="00777DCB" w:rsidRPr="00A52585">
        <w:rPr>
          <w:rFonts w:hint="cs"/>
          <w:rtl/>
        </w:rPr>
        <w:t xml:space="preserve"> إن الله يأمرك أن تخرج من ذريتك بعثا إلى النار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انفرد بلفظ " الصوت " حفص بن غياث وخالفه وكيع وجرير وغيرهما</w:t>
      </w:r>
      <w:r w:rsidR="00DB731D" w:rsidRPr="00A52585">
        <w:rPr>
          <w:rFonts w:hint="cs"/>
          <w:rtl/>
        </w:rPr>
        <w:t>،</w:t>
      </w:r>
      <w:r w:rsidR="00777DCB" w:rsidRPr="00A52585">
        <w:rPr>
          <w:rFonts w:hint="cs"/>
          <w:rtl/>
        </w:rPr>
        <w:t xml:space="preserve"> من أصحاب الاعمش</w:t>
      </w:r>
      <w:r w:rsidR="00DB731D" w:rsidRPr="00A52585">
        <w:rPr>
          <w:rFonts w:hint="cs"/>
          <w:rtl/>
        </w:rPr>
        <w:t>،</w:t>
      </w:r>
      <w:r w:rsidR="00777DCB" w:rsidRPr="00A52585">
        <w:rPr>
          <w:rFonts w:hint="cs"/>
          <w:rtl/>
        </w:rPr>
        <w:t xml:space="preserve"> فلم يذكروا الصوت</w:t>
      </w:r>
      <w:r w:rsidR="00DB731D" w:rsidRPr="00A52585">
        <w:rPr>
          <w:rFonts w:hint="cs"/>
          <w:rtl/>
        </w:rPr>
        <w:t>،</w:t>
      </w:r>
      <w:r w:rsidR="00777DCB" w:rsidRPr="00A52585">
        <w:rPr>
          <w:rFonts w:hint="cs"/>
          <w:rtl/>
        </w:rPr>
        <w:t xml:space="preserve"> وسئل أحمد عن حفص قال</w:t>
      </w:r>
      <w:r w:rsidRPr="00A52585">
        <w:rPr>
          <w:rFonts w:hint="cs"/>
          <w:rtl/>
        </w:rPr>
        <w:t>:</w:t>
      </w:r>
      <w:r w:rsidR="00777DCB" w:rsidRPr="00A52585">
        <w:rPr>
          <w:rFonts w:hint="cs"/>
          <w:rtl/>
        </w:rPr>
        <w:t xml:space="preserve"> كان يخلط في حديثه</w:t>
      </w:r>
      <w:r w:rsidR="00897A24" w:rsidRPr="00A52585">
        <w:rPr>
          <w:rFonts w:hint="cs"/>
          <w:rtl/>
        </w:rPr>
        <w:t>.</w:t>
      </w:r>
      <w:r w:rsidR="00777DCB" w:rsidRPr="00A52585">
        <w:rPr>
          <w:rFonts w:hint="cs"/>
          <w:rtl/>
        </w:rPr>
        <w:t xml:space="preserve"> وفي الحديث الصحيح</w:t>
      </w:r>
      <w:r w:rsidRPr="00A52585">
        <w:rPr>
          <w:rFonts w:hint="cs"/>
          <w:rtl/>
        </w:rPr>
        <w:t>:</w:t>
      </w:r>
      <w:r w:rsidR="00777DCB" w:rsidRPr="00A52585">
        <w:rPr>
          <w:rFonts w:hint="cs"/>
          <w:rtl/>
        </w:rPr>
        <w:t xml:space="preserve"> " إذا تكلم الله بالوحي سمع أهل السماء للسماء صلصلة كجر السلسلة على الصفا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أبو داود </w:t>
      </w:r>
      <w:r w:rsidRPr="00A52585">
        <w:rPr>
          <w:rFonts w:hint="cs"/>
          <w:sz w:val="24"/>
          <w:szCs w:val="24"/>
          <w:rtl/>
        </w:rPr>
        <w:t>(</w:t>
      </w:r>
      <w:r w:rsidR="00777DCB" w:rsidRPr="00A52585">
        <w:rPr>
          <w:rFonts w:hint="cs"/>
          <w:sz w:val="24"/>
          <w:szCs w:val="24"/>
          <w:rtl/>
        </w:rPr>
        <w:t>4 / 235 برقم 7438</w:t>
      </w:r>
      <w:r w:rsidRPr="00A52585">
        <w:rPr>
          <w:rFonts w:hint="cs"/>
          <w:sz w:val="24"/>
          <w:szCs w:val="24"/>
          <w:rtl/>
        </w:rPr>
        <w:t>)</w:t>
      </w:r>
      <w:r w:rsidR="00777DCB" w:rsidRPr="00A52585">
        <w:rPr>
          <w:rFonts w:hint="cs"/>
          <w:sz w:val="24"/>
          <w:szCs w:val="24"/>
          <w:rtl/>
        </w:rPr>
        <w:t xml:space="preserve"> والحافظ البيهقي في " الاسماء والصفات " </w:t>
      </w:r>
      <w:r w:rsidRPr="00A52585">
        <w:rPr>
          <w:rFonts w:hint="cs"/>
          <w:sz w:val="24"/>
          <w:szCs w:val="24"/>
          <w:rtl/>
        </w:rPr>
        <w:t>(</w:t>
      </w:r>
      <w:r w:rsidR="00777DCB" w:rsidRPr="00A52585">
        <w:rPr>
          <w:rFonts w:hint="cs"/>
          <w:sz w:val="24"/>
          <w:szCs w:val="24"/>
          <w:rtl/>
        </w:rPr>
        <w:t>200 - 201</w:t>
      </w:r>
      <w:r w:rsidRPr="00A52585">
        <w:rPr>
          <w:rFonts w:hint="cs"/>
          <w:sz w:val="24"/>
          <w:szCs w:val="24"/>
          <w:rtl/>
        </w:rPr>
        <w:t>)</w:t>
      </w:r>
      <w:r w:rsidR="00777DCB" w:rsidRPr="00A52585">
        <w:rPr>
          <w:rFonts w:hint="cs"/>
          <w:sz w:val="24"/>
          <w:szCs w:val="24"/>
          <w:rtl/>
        </w:rPr>
        <w:t xml:space="preserve"> وغيرهما]</w:t>
      </w:r>
      <w:r w:rsidR="00777DCB" w:rsidRPr="00A52585">
        <w:rPr>
          <w:rFonts w:hint="cs"/>
          <w:rtl/>
        </w:rPr>
        <w:t xml:space="preserve"> "</w:t>
      </w:r>
      <w:r w:rsidR="00DB731D" w:rsidRPr="00A52585">
        <w:rPr>
          <w:rFonts w:hint="cs"/>
          <w:rtl/>
        </w:rPr>
        <w:t>،</w:t>
      </w:r>
      <w:r w:rsidR="00777DCB" w:rsidRPr="00A52585">
        <w:rPr>
          <w:rFonts w:hint="cs"/>
          <w:rtl/>
        </w:rPr>
        <w:t xml:space="preserve"> فرواه بعضهم بالمعنى الذي يظنه فقال</w:t>
      </w:r>
      <w:r w:rsidRPr="00A52585">
        <w:rPr>
          <w:rFonts w:hint="cs"/>
          <w:rtl/>
        </w:rPr>
        <w:t>:</w:t>
      </w:r>
      <w:r w:rsidR="00777DCB" w:rsidRPr="00A52585">
        <w:rPr>
          <w:rFonts w:hint="cs"/>
          <w:rtl/>
        </w:rPr>
        <w:t xml:space="preserve"> " سمع صوته أهل السماء "</w:t>
      </w:r>
      <w:r w:rsidR="00DB731D" w:rsidRPr="00A52585">
        <w:rPr>
          <w:rFonts w:hint="cs"/>
          <w:rtl/>
        </w:rPr>
        <w:t>،</w:t>
      </w:r>
      <w:r w:rsidR="00777DCB" w:rsidRPr="00A52585">
        <w:rPr>
          <w:rFonts w:hint="cs"/>
          <w:rtl/>
        </w:rPr>
        <w:t xml:space="preserve"> وفي حديث ابن مسعود</w:t>
      </w:r>
      <w:r w:rsidRPr="00A52585">
        <w:rPr>
          <w:rFonts w:hint="cs"/>
          <w:rtl/>
        </w:rPr>
        <w:t>:</w:t>
      </w:r>
      <w:r w:rsidR="00777DCB" w:rsidRPr="00A52585">
        <w:rPr>
          <w:rFonts w:hint="cs"/>
          <w:rtl/>
        </w:rPr>
        <w:t xml:space="preserve"> " إذا تكلم الله بالوحي سمع أهل السماء صلصلة كجر السلسلة على الصفا "</w:t>
      </w:r>
      <w:r w:rsidR="00DB731D" w:rsidRPr="00A52585">
        <w:rPr>
          <w:rFonts w:hint="cs"/>
          <w:rtl/>
        </w:rPr>
        <w:t>،</w:t>
      </w:r>
      <w:r w:rsidR="00777DCB" w:rsidRPr="00A52585">
        <w:rPr>
          <w:rFonts w:hint="cs"/>
          <w:rtl/>
        </w:rPr>
        <w:t xml:space="preserve"> وهذا مع اللفظ الاول أليق وليس في الصحيح</w:t>
      </w:r>
      <w:r w:rsidRPr="00A52585">
        <w:rPr>
          <w:rFonts w:hint="cs"/>
          <w:rtl/>
        </w:rPr>
        <w:t>:</w:t>
      </w:r>
      <w:r w:rsidR="00777DCB" w:rsidRPr="00A52585">
        <w:rPr>
          <w:rFonts w:hint="cs"/>
          <w:rtl/>
        </w:rPr>
        <w:t xml:space="preserve"> سمع صوته أهل السماء</w:t>
      </w:r>
      <w:r w:rsidR="00DB731D" w:rsidRPr="00A52585">
        <w:rPr>
          <w:rFonts w:hint="cs"/>
          <w:rtl/>
        </w:rPr>
        <w:t>،</w:t>
      </w:r>
      <w:r w:rsidR="00777DCB" w:rsidRPr="00A52585">
        <w:rPr>
          <w:rFonts w:hint="cs"/>
          <w:rtl/>
        </w:rPr>
        <w:t xml:space="preserve"> </w:t>
      </w:r>
    </w:p>
    <w:p w14:paraId="6C33DE8C" w14:textId="7FB252C1" w:rsidR="00777DCB" w:rsidRPr="00A52585" w:rsidRDefault="0002035C" w:rsidP="0002035C">
      <w:pPr>
        <w:rPr>
          <w:b/>
          <w:rtl/>
        </w:rPr>
      </w:pPr>
      <w:r w:rsidRPr="00A52585">
        <w:rPr>
          <w:rFonts w:hint="cs"/>
          <w:bCs/>
          <w:u w:val="single"/>
          <w:rtl/>
        </w:rPr>
        <w:t>[</w:t>
      </w:r>
      <w:r w:rsidR="00777DCB" w:rsidRPr="00A52585">
        <w:rPr>
          <w:rFonts w:hint="cs"/>
          <w:bCs/>
          <w:u w:val="single"/>
          <w:rtl/>
        </w:rPr>
        <w:t>42</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 والاربعون</w:t>
      </w:r>
      <w:r w:rsidRPr="00A52585">
        <w:rPr>
          <w:rFonts w:hint="cs"/>
          <w:bCs/>
          <w:rtl/>
        </w:rPr>
        <w:t>]:</w:t>
      </w:r>
      <w:r w:rsidR="00777DCB" w:rsidRPr="00A52585">
        <w:rPr>
          <w:rFonts w:hint="cs"/>
          <w:rtl/>
        </w:rPr>
        <w:t xml:space="preserve"> روى جابر رضي الله عنه عن النبي صلى الله عليه وسلم أنه قال</w:t>
      </w:r>
      <w:r w:rsidRPr="00A52585">
        <w:rPr>
          <w:rFonts w:hint="cs"/>
          <w:rtl/>
        </w:rPr>
        <w:t>:</w:t>
      </w:r>
      <w:r w:rsidR="00777DCB" w:rsidRPr="00A52585">
        <w:rPr>
          <w:rFonts w:hint="cs"/>
          <w:rtl/>
        </w:rPr>
        <w:t xml:space="preserve"> لما كلم الله موسى عليه السلام يوم الطور</w:t>
      </w:r>
      <w:r w:rsidR="00DB731D" w:rsidRPr="00A52585">
        <w:rPr>
          <w:rFonts w:hint="cs"/>
          <w:rtl/>
        </w:rPr>
        <w:t>،</w:t>
      </w:r>
      <w:r w:rsidR="00777DCB" w:rsidRPr="00A52585">
        <w:rPr>
          <w:rFonts w:hint="cs"/>
          <w:rtl/>
        </w:rPr>
        <w:t xml:space="preserve"> كلمه بغير الكلام الذي به ناداه</w:t>
      </w:r>
      <w:r w:rsidR="00DB731D" w:rsidRPr="00A52585">
        <w:rPr>
          <w:rFonts w:hint="cs"/>
          <w:rtl/>
        </w:rPr>
        <w:t>،</w:t>
      </w:r>
      <w:r w:rsidR="00777DCB" w:rsidRPr="00A52585">
        <w:rPr>
          <w:rFonts w:hint="cs"/>
          <w:rtl/>
        </w:rPr>
        <w:t xml:space="preserve"> فقال له</w:t>
      </w:r>
      <w:r w:rsidRPr="00A52585">
        <w:rPr>
          <w:rFonts w:hint="cs"/>
          <w:rtl/>
        </w:rPr>
        <w:t>:</w:t>
      </w:r>
      <w:r w:rsidR="00777DCB" w:rsidRPr="00A52585">
        <w:rPr>
          <w:rFonts w:hint="cs"/>
          <w:rtl/>
        </w:rPr>
        <w:t xml:space="preserve"> يا موسى إني كلمتك بقوة عشرة آلاف لسان ولي قوة الالسنة كلها</w:t>
      </w:r>
      <w:r w:rsidR="00DB731D" w:rsidRPr="00A52585">
        <w:rPr>
          <w:rFonts w:hint="cs"/>
          <w:rtl/>
        </w:rPr>
        <w:t>،</w:t>
      </w:r>
      <w:r w:rsidR="00777DCB" w:rsidRPr="00A52585">
        <w:rPr>
          <w:rFonts w:hint="cs"/>
          <w:rtl/>
        </w:rPr>
        <w:t xml:space="preserve"> وأنا أقوى من ذلك فلما سمع رجع إلى بني اسرائيل </w:t>
      </w:r>
      <w:r w:rsidR="00777DCB" w:rsidRPr="00A52585">
        <w:rPr>
          <w:rFonts w:hint="cs"/>
          <w:rtl/>
        </w:rPr>
        <w:lastRenderedPageBreak/>
        <w:t>قالوا</w:t>
      </w:r>
      <w:r w:rsidRPr="00A52585">
        <w:rPr>
          <w:rFonts w:hint="cs"/>
          <w:rtl/>
        </w:rPr>
        <w:t>:</w:t>
      </w:r>
      <w:r w:rsidR="00777DCB" w:rsidRPr="00A52585">
        <w:rPr>
          <w:rFonts w:hint="cs"/>
          <w:rtl/>
        </w:rPr>
        <w:t xml:space="preserve"> صف لنا كلام الرحمن</w:t>
      </w:r>
      <w:r w:rsidR="00897A24" w:rsidRPr="00A52585">
        <w:rPr>
          <w:rFonts w:hint="cs"/>
          <w:rtl/>
        </w:rPr>
        <w:t>..</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لا أستطيع قالوا</w:t>
      </w:r>
      <w:r w:rsidRPr="00A52585">
        <w:rPr>
          <w:rFonts w:hint="cs"/>
          <w:rtl/>
        </w:rPr>
        <w:t>:</w:t>
      </w:r>
      <w:r w:rsidR="00777DCB" w:rsidRPr="00A52585">
        <w:rPr>
          <w:rFonts w:hint="cs"/>
          <w:rtl/>
        </w:rPr>
        <w:t xml:space="preserve"> قربه لنا قال</w:t>
      </w:r>
      <w:r w:rsidRPr="00A52585">
        <w:rPr>
          <w:rFonts w:hint="cs"/>
          <w:rtl/>
        </w:rPr>
        <w:t>:</w:t>
      </w:r>
      <w:r w:rsidR="00777DCB" w:rsidRPr="00A52585">
        <w:rPr>
          <w:rFonts w:hint="cs"/>
          <w:rtl/>
        </w:rPr>
        <w:t xml:space="preserve"> ألم تسمعوا صوت الصواعق التي تقبل </w:t>
      </w:r>
      <w:proofErr w:type="spellStart"/>
      <w:r w:rsidR="00777DCB" w:rsidRPr="00A52585">
        <w:rPr>
          <w:rFonts w:hint="cs"/>
          <w:rtl/>
        </w:rPr>
        <w:t>بأجلى</w:t>
      </w:r>
      <w:proofErr w:type="spellEnd"/>
      <w:r w:rsidR="00777DCB" w:rsidRPr="00A52585">
        <w:rPr>
          <w:rFonts w:hint="cs"/>
          <w:rtl/>
        </w:rPr>
        <w:t xml:space="preserve"> كلام سمعتموه قط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حديث موضوع</w:t>
      </w:r>
      <w:r w:rsidR="00DB731D" w:rsidRPr="00A52585">
        <w:rPr>
          <w:rFonts w:hint="cs"/>
          <w:sz w:val="24"/>
          <w:szCs w:val="24"/>
          <w:rtl/>
        </w:rPr>
        <w:t>،</w:t>
      </w:r>
      <w:r w:rsidR="00777DCB" w:rsidRPr="00A52585">
        <w:rPr>
          <w:rFonts w:hint="cs"/>
          <w:sz w:val="24"/>
          <w:szCs w:val="24"/>
          <w:rtl/>
        </w:rPr>
        <w:t xml:space="preserve"> أورده الحافظ ابن الجوزي في كتابه " الموضوعات " </w:t>
      </w:r>
      <w:r w:rsidRPr="00A52585">
        <w:rPr>
          <w:rFonts w:hint="cs"/>
          <w:sz w:val="24"/>
          <w:szCs w:val="24"/>
          <w:rtl/>
        </w:rPr>
        <w:t>(</w:t>
      </w:r>
      <w:r w:rsidR="00777DCB" w:rsidRPr="00A52585">
        <w:rPr>
          <w:rFonts w:hint="cs"/>
          <w:sz w:val="24"/>
          <w:szCs w:val="24"/>
          <w:rtl/>
        </w:rPr>
        <w:t>1 / 112 - 113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ومن الغريب العجيب أن يحتج به الشيخ الحراني </w:t>
      </w:r>
      <w:proofErr w:type="spellStart"/>
      <w:r w:rsidR="00777DCB" w:rsidRPr="00A52585">
        <w:rPr>
          <w:rFonts w:hint="cs"/>
          <w:sz w:val="24"/>
          <w:szCs w:val="24"/>
          <w:rtl/>
        </w:rPr>
        <w:t>لاثبات</w:t>
      </w:r>
      <w:proofErr w:type="spellEnd"/>
      <w:r w:rsidR="00777DCB" w:rsidRPr="00A52585">
        <w:rPr>
          <w:rFonts w:hint="cs"/>
          <w:sz w:val="24"/>
          <w:szCs w:val="24"/>
          <w:rtl/>
        </w:rPr>
        <w:t xml:space="preserve"> عقيدته في " الموافقة "</w:t>
      </w:r>
      <w:r w:rsidRPr="00A52585">
        <w:rPr>
          <w:rFonts w:hint="cs"/>
          <w:sz w:val="24"/>
          <w:szCs w:val="24"/>
          <w:rtl/>
        </w:rPr>
        <w:t>(</w:t>
      </w:r>
      <w:r w:rsidR="00777DCB" w:rsidRPr="00A52585">
        <w:rPr>
          <w:rFonts w:hint="cs"/>
          <w:sz w:val="24"/>
          <w:szCs w:val="24"/>
          <w:rtl/>
        </w:rPr>
        <w:t>2 / 151</w:t>
      </w:r>
      <w:r w:rsidRPr="00A52585">
        <w:rPr>
          <w:rFonts w:hint="cs"/>
          <w:sz w:val="24"/>
          <w:szCs w:val="24"/>
          <w:rtl/>
        </w:rPr>
        <w:t>)</w:t>
      </w:r>
      <w:r w:rsidR="00777DCB" w:rsidRPr="00A52585">
        <w:rPr>
          <w:rFonts w:hint="cs"/>
          <w:sz w:val="24"/>
          <w:szCs w:val="24"/>
          <w:rtl/>
        </w:rPr>
        <w:t xml:space="preserve"> المطبوعة بهامش " منهاج البدعة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حديث لا يصح يرويه علي بن عاصم عن الفضل بن عيسى قال يحيى</w:t>
      </w:r>
      <w:r w:rsidRPr="00A52585">
        <w:rPr>
          <w:rFonts w:hint="cs"/>
          <w:rtl/>
        </w:rPr>
        <w:t>:</w:t>
      </w:r>
      <w:r w:rsidR="00777DCB" w:rsidRPr="00A52585">
        <w:rPr>
          <w:rFonts w:hint="cs"/>
          <w:rtl/>
        </w:rPr>
        <w:t xml:space="preserve"> كذاب ليس بشيء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يعني علي بن عاصم لما في ترجمته في التهذيب </w:t>
      </w:r>
      <w:r w:rsidRPr="00A52585">
        <w:rPr>
          <w:rFonts w:hint="cs"/>
          <w:sz w:val="24"/>
          <w:szCs w:val="24"/>
          <w:rtl/>
        </w:rPr>
        <w:t>(</w:t>
      </w:r>
      <w:r w:rsidR="00777DCB" w:rsidRPr="00A52585">
        <w:rPr>
          <w:rFonts w:hint="cs"/>
          <w:sz w:val="24"/>
          <w:szCs w:val="24"/>
          <w:rtl/>
        </w:rPr>
        <w:t>7 / 304 الفكر</w:t>
      </w:r>
      <w:r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وقال النسائي</w:t>
      </w:r>
      <w:r w:rsidRPr="00A52585">
        <w:rPr>
          <w:rFonts w:hint="cs"/>
          <w:rtl/>
        </w:rPr>
        <w:t>:</w:t>
      </w:r>
      <w:r w:rsidR="00777DCB" w:rsidRPr="00A52585">
        <w:rPr>
          <w:rFonts w:hint="cs"/>
          <w:rtl/>
        </w:rPr>
        <w:t xml:space="preserve"> علي بن عاصم متروك الحديث</w:t>
      </w:r>
      <w:r w:rsidR="00897A24" w:rsidRPr="00A52585">
        <w:rPr>
          <w:rFonts w:hint="cs"/>
          <w:rtl/>
        </w:rPr>
        <w:t>.</w:t>
      </w:r>
      <w:r w:rsidR="00777DCB" w:rsidRPr="00A52585">
        <w:rPr>
          <w:rFonts w:hint="cs"/>
          <w:rtl/>
        </w:rPr>
        <w:t xml:space="preserve"> وقال يزيد بن هارون</w:t>
      </w:r>
      <w:r w:rsidRPr="00A52585">
        <w:rPr>
          <w:rFonts w:hint="cs"/>
          <w:rtl/>
        </w:rPr>
        <w:t>:</w:t>
      </w:r>
      <w:r w:rsidR="00777DCB" w:rsidRPr="00A52585">
        <w:rPr>
          <w:rFonts w:hint="cs"/>
          <w:rtl/>
        </w:rPr>
        <w:t xml:space="preserve"> ما زلنا نعرفه بالكذب</w:t>
      </w:r>
      <w:r w:rsidR="00DB731D" w:rsidRPr="00A52585">
        <w:rPr>
          <w:rFonts w:hint="cs"/>
          <w:rtl/>
        </w:rPr>
        <w:t>،</w:t>
      </w:r>
      <w:r w:rsidR="00777DCB" w:rsidRPr="00A52585">
        <w:rPr>
          <w:rFonts w:hint="cs"/>
          <w:rtl/>
        </w:rPr>
        <w:t xml:space="preserve"> وأما الفضل بن عيسى [</w:t>
      </w:r>
      <w:r w:rsidR="00777DCB" w:rsidRPr="00A52585">
        <w:rPr>
          <w:rFonts w:hint="cs"/>
          <w:sz w:val="24"/>
          <w:szCs w:val="24"/>
          <w:rtl/>
        </w:rPr>
        <w:t xml:space="preserve">انظر الميزان </w:t>
      </w:r>
      <w:r w:rsidRPr="00A52585">
        <w:rPr>
          <w:rFonts w:hint="cs"/>
          <w:sz w:val="24"/>
          <w:szCs w:val="24"/>
          <w:rtl/>
        </w:rPr>
        <w:t>(</w:t>
      </w:r>
      <w:r w:rsidR="00777DCB" w:rsidRPr="00A52585">
        <w:rPr>
          <w:rFonts w:hint="cs"/>
          <w:sz w:val="24"/>
          <w:szCs w:val="24"/>
          <w:rtl/>
        </w:rPr>
        <w:t>3 / 356</w:t>
      </w:r>
      <w:r w:rsidRPr="00A52585">
        <w:rPr>
          <w:rFonts w:hint="cs"/>
          <w:sz w:val="24"/>
          <w:szCs w:val="24"/>
          <w:rtl/>
        </w:rPr>
        <w:t>)</w:t>
      </w:r>
      <w:r w:rsidRPr="00A52585">
        <w:rPr>
          <w:rFonts w:hint="cs"/>
          <w:sz w:val="24"/>
          <w:szCs w:val="24"/>
          <w:rtl/>
          <w:lang w:bidi="ar-KW"/>
        </w:rPr>
        <w:t>]</w:t>
      </w:r>
      <w:r w:rsidR="00777DCB" w:rsidRPr="00A52585">
        <w:rPr>
          <w:rFonts w:hint="cs"/>
          <w:rtl/>
        </w:rPr>
        <w:t xml:space="preserve"> فقال أيوب السختياني</w:t>
      </w:r>
      <w:r w:rsidRPr="00A52585">
        <w:rPr>
          <w:rFonts w:hint="cs"/>
          <w:rtl/>
        </w:rPr>
        <w:t>:</w:t>
      </w:r>
      <w:r w:rsidR="00777DCB" w:rsidRPr="00A52585">
        <w:rPr>
          <w:rFonts w:hint="cs"/>
          <w:rtl/>
        </w:rPr>
        <w:t xml:space="preserve"> لو خلق أخرس كان خيرا له</w:t>
      </w:r>
      <w:r w:rsidR="00DB731D" w:rsidRPr="00A52585">
        <w:rPr>
          <w:rFonts w:hint="cs"/>
          <w:rtl/>
        </w:rPr>
        <w:t>،</w:t>
      </w:r>
      <w:r w:rsidR="00777DCB" w:rsidRPr="00A52585">
        <w:rPr>
          <w:rFonts w:hint="cs"/>
          <w:rtl/>
        </w:rPr>
        <w:t xml:space="preserve"> وقال ابن عيينة</w:t>
      </w:r>
      <w:r w:rsidRPr="00A52585">
        <w:rPr>
          <w:rFonts w:hint="cs"/>
          <w:rtl/>
        </w:rPr>
        <w:t>:</w:t>
      </w:r>
      <w:r w:rsidR="00777DCB" w:rsidRPr="00A52585">
        <w:rPr>
          <w:rFonts w:hint="cs"/>
          <w:rtl/>
        </w:rPr>
        <w:t xml:space="preserve"> الفضل بن عيسى لا شيء</w:t>
      </w:r>
      <w:r w:rsidR="00DB731D" w:rsidRPr="00A52585">
        <w:rPr>
          <w:rFonts w:hint="cs"/>
          <w:rtl/>
        </w:rPr>
        <w:t>،</w:t>
      </w:r>
      <w:r w:rsidR="00777DCB" w:rsidRPr="00A52585">
        <w:rPr>
          <w:rFonts w:hint="cs"/>
          <w:rtl/>
        </w:rPr>
        <w:t xml:space="preserve"> وقال يحيى</w:t>
      </w:r>
      <w:r w:rsidRPr="00A52585">
        <w:rPr>
          <w:rFonts w:hint="cs"/>
          <w:rtl/>
        </w:rPr>
        <w:t>:</w:t>
      </w:r>
      <w:r w:rsidR="00777DCB" w:rsidRPr="00A52585">
        <w:rPr>
          <w:rFonts w:hint="cs"/>
          <w:rtl/>
        </w:rPr>
        <w:t xml:space="preserve"> هو رجل سوء</w:t>
      </w:r>
      <w:r w:rsidR="00DB731D" w:rsidRPr="00A52585">
        <w:rPr>
          <w:rFonts w:hint="cs"/>
          <w:rtl/>
        </w:rPr>
        <w:t>،</w:t>
      </w:r>
      <w:r w:rsidR="00777DCB" w:rsidRPr="00A52585">
        <w:rPr>
          <w:rFonts w:hint="cs"/>
          <w:rtl/>
        </w:rPr>
        <w:t xml:space="preserve"> </w:t>
      </w:r>
    </w:p>
    <w:p w14:paraId="1CED9154" w14:textId="159A3130" w:rsidR="00777DCB" w:rsidRPr="00A52585" w:rsidRDefault="0002035C" w:rsidP="0002035C">
      <w:pPr>
        <w:rPr>
          <w:b/>
          <w:rtl/>
        </w:rPr>
      </w:pPr>
      <w:r w:rsidRPr="00A52585">
        <w:rPr>
          <w:rFonts w:hint="cs"/>
          <w:bCs/>
          <w:u w:val="single"/>
          <w:rtl/>
        </w:rPr>
        <w:t>[</w:t>
      </w:r>
      <w:r w:rsidR="00777DCB" w:rsidRPr="00A52585">
        <w:rPr>
          <w:rFonts w:hint="cs"/>
          <w:bCs/>
          <w:u w:val="single"/>
          <w:rtl/>
        </w:rPr>
        <w:t>43</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 والاربعون</w:t>
      </w:r>
      <w:r w:rsidRPr="00A52585">
        <w:rPr>
          <w:rFonts w:hint="cs"/>
          <w:bCs/>
          <w:rtl/>
        </w:rPr>
        <w:t>]:</w:t>
      </w:r>
      <w:r w:rsidR="00777DCB" w:rsidRPr="00A52585">
        <w:rPr>
          <w:rFonts w:hint="cs"/>
          <w:rtl/>
        </w:rPr>
        <w:t xml:space="preserve"> روى القاضي أبو يعلى</w:t>
      </w:r>
      <w:r w:rsidRPr="00A52585">
        <w:rPr>
          <w:rFonts w:hint="cs"/>
          <w:rtl/>
        </w:rPr>
        <w:t xml:space="preserve"> </w:t>
      </w:r>
      <w:r w:rsidR="00777DCB" w:rsidRPr="00A52585">
        <w:rPr>
          <w:rFonts w:hint="cs"/>
          <w:rtl/>
        </w:rPr>
        <w:t>عن حسان بن عطية أنه قال</w:t>
      </w:r>
      <w:r w:rsidRPr="00A52585">
        <w:rPr>
          <w:rFonts w:hint="cs"/>
          <w:rtl/>
        </w:rPr>
        <w:t>:</w:t>
      </w:r>
      <w:r w:rsidR="00777DCB" w:rsidRPr="00A52585">
        <w:rPr>
          <w:rFonts w:hint="cs"/>
          <w:rtl/>
        </w:rPr>
        <w:t xml:space="preserve"> " الساجد يسجد على قدم الرحمن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قول تابعي</w:t>
      </w:r>
      <w:r w:rsidR="00DB731D" w:rsidRPr="00A52585">
        <w:rPr>
          <w:rFonts w:hint="cs"/>
          <w:rtl/>
        </w:rPr>
        <w:t>،</w:t>
      </w:r>
      <w:r w:rsidR="00777DCB" w:rsidRPr="00A52585">
        <w:rPr>
          <w:rFonts w:hint="cs"/>
          <w:rtl/>
        </w:rPr>
        <w:t xml:space="preserve"> وهو مثل المقرب من فضل الله تعالى</w:t>
      </w:r>
      <w:r w:rsidR="00DB731D" w:rsidRPr="00A52585">
        <w:rPr>
          <w:rFonts w:hint="cs"/>
          <w:rtl/>
        </w:rPr>
        <w:t>،</w:t>
      </w:r>
      <w:r w:rsidR="00777DCB" w:rsidRPr="00A52585">
        <w:rPr>
          <w:rFonts w:hint="cs"/>
          <w:rtl/>
        </w:rPr>
        <w:t xml:space="preserve"> وأثبت القاضي أبو يعلى</w:t>
      </w:r>
      <w:r w:rsidRPr="00A52585">
        <w:rPr>
          <w:rFonts w:hint="cs"/>
          <w:rtl/>
        </w:rPr>
        <w:t xml:space="preserve"> </w:t>
      </w:r>
      <w:r w:rsidR="00777DCB" w:rsidRPr="00A52585">
        <w:rPr>
          <w:rFonts w:hint="cs"/>
          <w:rtl/>
        </w:rPr>
        <w:t>بهذا وصف قدم</w:t>
      </w:r>
      <w:r w:rsidR="00DB731D" w:rsidRPr="00A52585">
        <w:rPr>
          <w:rFonts w:hint="cs"/>
          <w:rtl/>
        </w:rPr>
        <w:t>،</w:t>
      </w:r>
      <w:r w:rsidR="00777DCB" w:rsidRPr="00A52585">
        <w:rPr>
          <w:rFonts w:hint="cs"/>
          <w:rtl/>
        </w:rPr>
        <w:t xml:space="preserve"> وانه يسجد على قدم حقيقة لا على وجه المماسة</w:t>
      </w:r>
      <w:r w:rsidR="00DB731D" w:rsidRPr="00A52585">
        <w:rPr>
          <w:rFonts w:hint="cs"/>
          <w:rtl/>
        </w:rPr>
        <w:t>،</w:t>
      </w:r>
      <w:r w:rsidR="00777DCB" w:rsidRPr="00A52585">
        <w:rPr>
          <w:rFonts w:hint="cs"/>
          <w:rtl/>
        </w:rPr>
        <w:t xml:space="preserve"> </w:t>
      </w:r>
    </w:p>
    <w:p w14:paraId="60ED0FB7" w14:textId="46B18056" w:rsidR="00777DCB" w:rsidRPr="00A52585" w:rsidRDefault="0002035C" w:rsidP="0002035C">
      <w:pPr>
        <w:rPr>
          <w:b/>
          <w:rtl/>
        </w:rPr>
      </w:pPr>
      <w:r w:rsidRPr="00A52585">
        <w:rPr>
          <w:rFonts w:hint="cs"/>
          <w:bCs/>
          <w:u w:val="single"/>
          <w:rtl/>
        </w:rPr>
        <w:t>[</w:t>
      </w:r>
      <w:r w:rsidR="00777DCB" w:rsidRPr="00A52585">
        <w:rPr>
          <w:rFonts w:hint="cs"/>
          <w:bCs/>
          <w:u w:val="single"/>
          <w:rtl/>
        </w:rPr>
        <w:t>44</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 والاربعون</w:t>
      </w:r>
      <w:r w:rsidRPr="00A52585">
        <w:rPr>
          <w:rFonts w:hint="cs"/>
          <w:bCs/>
          <w:rtl/>
        </w:rPr>
        <w:t>]:</w:t>
      </w:r>
      <w:r w:rsidR="00777DCB" w:rsidRPr="00A52585">
        <w:rPr>
          <w:rFonts w:hint="cs"/>
          <w:rtl/>
        </w:rPr>
        <w:t xml:space="preserve"> روى البخاري </w:t>
      </w:r>
      <w:r w:rsidRPr="00A52585">
        <w:rPr>
          <w:rFonts w:hint="cs"/>
          <w:rtl/>
        </w:rPr>
        <w:t>(</w:t>
      </w:r>
      <w:r w:rsidR="00777DCB" w:rsidRPr="00A52585">
        <w:rPr>
          <w:rFonts w:hint="cs"/>
          <w:rtl/>
        </w:rPr>
        <w:t>فتح 13 / 423</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1 / 163 برقم 296</w:t>
      </w:r>
      <w:r w:rsidRPr="00A52585">
        <w:rPr>
          <w:rFonts w:hint="cs"/>
          <w:rtl/>
        </w:rPr>
        <w:t>)</w:t>
      </w:r>
      <w:r w:rsidR="00777DCB" w:rsidRPr="00A52585">
        <w:rPr>
          <w:rFonts w:hint="cs"/>
          <w:rtl/>
        </w:rPr>
        <w:t xml:space="preserve"> في الصحيحين من حديث أبي موسى - رضي الله عنه - عن النبي صلى الله عليه وسلم أنه قال</w:t>
      </w:r>
      <w:r w:rsidRPr="00A52585">
        <w:rPr>
          <w:rFonts w:hint="cs"/>
          <w:rtl/>
        </w:rPr>
        <w:t>:</w:t>
      </w:r>
      <w:r w:rsidR="00777DCB" w:rsidRPr="00A52585">
        <w:rPr>
          <w:rFonts w:hint="cs"/>
          <w:rtl/>
        </w:rPr>
        <w:t xml:space="preserve"> " جنتان من فضة آنيتهما وما فيهما</w:t>
      </w:r>
      <w:r w:rsidR="00DB731D" w:rsidRPr="00A52585">
        <w:rPr>
          <w:rFonts w:hint="cs"/>
          <w:rtl/>
        </w:rPr>
        <w:t>،</w:t>
      </w:r>
      <w:r w:rsidR="00777DCB" w:rsidRPr="00A52585">
        <w:rPr>
          <w:rFonts w:hint="cs"/>
          <w:rtl/>
        </w:rPr>
        <w:t xml:space="preserve"> وجنتان من ذهب آنيتهما وما فيهما</w:t>
      </w:r>
      <w:r w:rsidR="00DB731D" w:rsidRPr="00A52585">
        <w:rPr>
          <w:rFonts w:hint="cs"/>
          <w:rtl/>
        </w:rPr>
        <w:t>،</w:t>
      </w:r>
      <w:r w:rsidR="00777DCB" w:rsidRPr="00A52585">
        <w:rPr>
          <w:rFonts w:hint="cs"/>
          <w:rtl/>
        </w:rPr>
        <w:t xml:space="preserve"> وليس بين القوم وبين أن ينظروا إلى ربهم إلا رداء الكبرياء على وجهه في جنة عدن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الحافظ ابن حجر في الفتح </w:t>
      </w:r>
      <w:r w:rsidRPr="00A52585">
        <w:rPr>
          <w:rFonts w:hint="cs"/>
          <w:sz w:val="24"/>
          <w:szCs w:val="24"/>
          <w:rtl/>
        </w:rPr>
        <w:t>(</w:t>
      </w:r>
      <w:r w:rsidR="00777DCB" w:rsidRPr="00A52585">
        <w:rPr>
          <w:rFonts w:hint="cs"/>
          <w:sz w:val="24"/>
          <w:szCs w:val="24"/>
          <w:rtl/>
        </w:rPr>
        <w:t>13 / 432</w:t>
      </w:r>
      <w:r w:rsidRPr="00A52585">
        <w:rPr>
          <w:rFonts w:hint="cs"/>
          <w:sz w:val="24"/>
          <w:szCs w:val="24"/>
          <w:rtl/>
        </w:rPr>
        <w:t>):</w:t>
      </w:r>
      <w:r w:rsidR="00777DCB" w:rsidRPr="00A52585">
        <w:rPr>
          <w:rFonts w:hint="cs"/>
          <w:sz w:val="24"/>
          <w:szCs w:val="24"/>
          <w:rtl/>
        </w:rPr>
        <w:t xml:space="preserve"> " قال عياض كانت العرب تستعمل الاستعارة كثيرا</w:t>
      </w:r>
      <w:r w:rsidR="00DB731D" w:rsidRPr="00A52585">
        <w:rPr>
          <w:rFonts w:hint="cs"/>
          <w:sz w:val="24"/>
          <w:szCs w:val="24"/>
          <w:rtl/>
        </w:rPr>
        <w:t>،</w:t>
      </w:r>
      <w:r w:rsidR="00777DCB" w:rsidRPr="00A52585">
        <w:rPr>
          <w:rFonts w:hint="cs"/>
          <w:sz w:val="24"/>
          <w:szCs w:val="24"/>
          <w:rtl/>
        </w:rPr>
        <w:t xml:space="preserve"> وهو أرفع أدوات بديع</w:t>
      </w:r>
      <w:r w:rsidR="00DB731D" w:rsidRPr="00A52585">
        <w:rPr>
          <w:rFonts w:hint="cs"/>
          <w:sz w:val="24"/>
          <w:szCs w:val="24"/>
          <w:rtl/>
        </w:rPr>
        <w:t>،</w:t>
      </w:r>
      <w:r w:rsidR="00777DCB" w:rsidRPr="00A52585">
        <w:rPr>
          <w:rFonts w:hint="cs"/>
          <w:sz w:val="24"/>
          <w:szCs w:val="24"/>
          <w:rtl/>
        </w:rPr>
        <w:t xml:space="preserve"> فصاحتها وإيجازها</w:t>
      </w:r>
      <w:r w:rsidR="00DB731D" w:rsidRPr="00A52585">
        <w:rPr>
          <w:rFonts w:hint="cs"/>
          <w:sz w:val="24"/>
          <w:szCs w:val="24"/>
          <w:rtl/>
        </w:rPr>
        <w:t>،</w:t>
      </w:r>
      <w:r w:rsidR="00777DCB" w:rsidRPr="00A52585">
        <w:rPr>
          <w:rFonts w:hint="cs"/>
          <w:sz w:val="24"/>
          <w:szCs w:val="24"/>
          <w:rtl/>
        </w:rPr>
        <w:t xml:space="preserve"> ومنه قوله تعالى </w:t>
      </w:r>
      <w:r w:rsidRPr="00A52585">
        <w:rPr>
          <w:rFonts w:hint="cs"/>
          <w:sz w:val="24"/>
          <w:szCs w:val="24"/>
          <w:rtl/>
        </w:rPr>
        <w:t>(</w:t>
      </w:r>
      <w:r w:rsidR="00777DCB" w:rsidRPr="00A52585">
        <w:rPr>
          <w:rFonts w:hint="cs"/>
          <w:sz w:val="24"/>
          <w:szCs w:val="24"/>
          <w:rtl/>
        </w:rPr>
        <w:t>جناح الذل</w:t>
      </w:r>
      <w:r w:rsidRPr="00A52585">
        <w:rPr>
          <w:rFonts w:hint="cs"/>
          <w:sz w:val="24"/>
          <w:szCs w:val="24"/>
          <w:rtl/>
        </w:rPr>
        <w:t>)</w:t>
      </w:r>
      <w:r w:rsidR="00777DCB" w:rsidRPr="00A52585">
        <w:rPr>
          <w:rFonts w:hint="cs"/>
          <w:sz w:val="24"/>
          <w:szCs w:val="24"/>
          <w:rtl/>
        </w:rPr>
        <w:t xml:space="preserve"> فمخاطبة النبي صلى الله عليه وسلم برداء الكبرياء على وجهه ونحو ذلك من هذا المعنى</w:t>
      </w:r>
      <w:r w:rsidR="00DB731D" w:rsidRPr="00A52585">
        <w:rPr>
          <w:rFonts w:hint="cs"/>
          <w:sz w:val="24"/>
          <w:szCs w:val="24"/>
          <w:rtl/>
        </w:rPr>
        <w:t>،</w:t>
      </w:r>
      <w:r w:rsidR="00777DCB" w:rsidRPr="00A52585">
        <w:rPr>
          <w:rFonts w:hint="cs"/>
          <w:sz w:val="24"/>
          <w:szCs w:val="24"/>
          <w:rtl/>
        </w:rPr>
        <w:t xml:space="preserve"> ومن لم يفهم ذللك تاه فمن أجرى الكلام على ظاهره أفضى به الامر إلى التجسيم ومن لم يتضح له</w:t>
      </w:r>
      <w:r w:rsidR="00DB731D" w:rsidRPr="00A52585">
        <w:rPr>
          <w:rFonts w:hint="cs"/>
          <w:sz w:val="24"/>
          <w:szCs w:val="24"/>
          <w:rtl/>
        </w:rPr>
        <w:t>،</w:t>
      </w:r>
      <w:r w:rsidR="00777DCB" w:rsidRPr="00A52585">
        <w:rPr>
          <w:rFonts w:hint="cs"/>
          <w:sz w:val="24"/>
          <w:szCs w:val="24"/>
          <w:rtl/>
        </w:rPr>
        <w:t xml:space="preserve"> وعلم أن الله تعالى منزه عن الذي يقتضيه ظاهرها إما أن يكذب نقلتها وإما أن يؤولها</w:t>
      </w:r>
      <w:r w:rsidR="00DB731D" w:rsidRPr="00A52585">
        <w:rPr>
          <w:rFonts w:hint="cs"/>
          <w:sz w:val="24"/>
          <w:szCs w:val="24"/>
          <w:rtl/>
        </w:rPr>
        <w:t>،</w:t>
      </w:r>
      <w:r w:rsidR="00777DCB" w:rsidRPr="00A52585">
        <w:rPr>
          <w:rFonts w:hint="cs"/>
          <w:sz w:val="24"/>
          <w:szCs w:val="24"/>
          <w:rtl/>
        </w:rPr>
        <w:t xml:space="preserve"> كأن يقول استعار لعظم سلطان الله وكبريائه وعظمته وهيبته وجلاله المانع إدراك أبصار البشر مع ضعفها لذلك رداء الكبرياء</w:t>
      </w:r>
      <w:r w:rsidR="00DB731D" w:rsidRPr="00A52585">
        <w:rPr>
          <w:rFonts w:hint="cs"/>
          <w:sz w:val="24"/>
          <w:szCs w:val="24"/>
          <w:rtl/>
        </w:rPr>
        <w:t>،</w:t>
      </w:r>
      <w:r w:rsidR="00777DCB" w:rsidRPr="00A52585">
        <w:rPr>
          <w:rFonts w:hint="cs"/>
          <w:sz w:val="24"/>
          <w:szCs w:val="24"/>
          <w:rtl/>
        </w:rPr>
        <w:t xml:space="preserve"> فإذا شاء تقوية أبصارهم وقلوبهم كشف عنهم حجاب هيبته وموانع عظمته انتهى ملخصا " اه‍</w:t>
      </w:r>
      <w:r w:rsidR="00DB731D" w:rsidRPr="00A52585">
        <w:rPr>
          <w:rFonts w:hint="cs"/>
          <w:sz w:val="24"/>
          <w:szCs w:val="24"/>
          <w:rtl/>
        </w:rPr>
        <w:t>،</w:t>
      </w:r>
      <w:r w:rsidR="00777DCB" w:rsidRPr="00A52585">
        <w:rPr>
          <w:rFonts w:hint="cs"/>
          <w:sz w:val="24"/>
          <w:szCs w:val="24"/>
          <w:rtl/>
        </w:rPr>
        <w:t xml:space="preserve"> ثم قال الحافظ بعد ذلك بأسطر</w:t>
      </w:r>
      <w:r w:rsidRPr="00A52585">
        <w:rPr>
          <w:rFonts w:hint="cs"/>
          <w:sz w:val="24"/>
          <w:szCs w:val="24"/>
          <w:rtl/>
        </w:rPr>
        <w:t>:</w:t>
      </w:r>
      <w:r w:rsidR="00777DCB" w:rsidRPr="00A52585">
        <w:rPr>
          <w:rFonts w:hint="cs"/>
          <w:sz w:val="24"/>
          <w:szCs w:val="24"/>
          <w:rtl/>
        </w:rPr>
        <w:t xml:space="preserve"> " ثم وجدت في حديث صهيب في تفسير قوله تعالى </w:t>
      </w:r>
      <w:r w:rsidRPr="00A52585">
        <w:rPr>
          <w:rFonts w:hint="cs"/>
          <w:sz w:val="24"/>
          <w:szCs w:val="24"/>
          <w:rtl/>
        </w:rPr>
        <w:t>(</w:t>
      </w:r>
      <w:r w:rsidR="00777DCB" w:rsidRPr="00A52585">
        <w:rPr>
          <w:rFonts w:hint="cs"/>
          <w:sz w:val="24"/>
          <w:szCs w:val="24"/>
          <w:rtl/>
        </w:rPr>
        <w:t>للذين أحسنوا الحسنى وزيادة</w:t>
      </w:r>
      <w:r w:rsidRPr="00A52585">
        <w:rPr>
          <w:rFonts w:hint="cs"/>
          <w:sz w:val="24"/>
          <w:szCs w:val="24"/>
          <w:rtl/>
        </w:rPr>
        <w:t>)</w:t>
      </w:r>
      <w:r w:rsidR="00777DCB" w:rsidRPr="00A52585">
        <w:rPr>
          <w:rFonts w:hint="cs"/>
          <w:sz w:val="24"/>
          <w:szCs w:val="24"/>
          <w:rtl/>
        </w:rPr>
        <w:t xml:space="preserve"> ما يدل على أن المراد برداء الكبرياء في حديث أبي موسى الحجاب المذكور</w:t>
      </w:r>
      <w:r w:rsidRPr="00A52585">
        <w:rPr>
          <w:rFonts w:hint="cs"/>
          <w:sz w:val="24"/>
          <w:szCs w:val="24"/>
          <w:rtl/>
        </w:rPr>
        <w:t>)</w:t>
      </w:r>
      <w:r w:rsidR="00777DCB" w:rsidRPr="00A52585">
        <w:rPr>
          <w:rFonts w:hint="cs"/>
          <w:sz w:val="24"/>
          <w:szCs w:val="24"/>
          <w:rtl/>
        </w:rPr>
        <w:t xml:space="preserve"> في حديث صهيب</w:t>
      </w:r>
      <w:r w:rsidR="00DB731D" w:rsidRPr="00A52585">
        <w:rPr>
          <w:rFonts w:hint="cs"/>
          <w:sz w:val="24"/>
          <w:szCs w:val="24"/>
          <w:rtl/>
        </w:rPr>
        <w:t>،</w:t>
      </w:r>
      <w:r w:rsidR="00777DCB" w:rsidRPr="00A52585">
        <w:rPr>
          <w:rFonts w:hint="cs"/>
          <w:sz w:val="24"/>
          <w:szCs w:val="24"/>
          <w:rtl/>
        </w:rPr>
        <w:t xml:space="preserve"> وأنه سبحانه يكشف لأهل الجنة إكراما لهم</w:t>
      </w:r>
      <w:r w:rsidR="00DB731D" w:rsidRPr="00A52585">
        <w:rPr>
          <w:rFonts w:hint="cs"/>
          <w:sz w:val="24"/>
          <w:szCs w:val="24"/>
          <w:rtl/>
        </w:rPr>
        <w:t>،</w:t>
      </w:r>
      <w:r w:rsidR="00777DCB" w:rsidRPr="00A52585">
        <w:rPr>
          <w:rFonts w:hint="cs"/>
          <w:sz w:val="24"/>
          <w:szCs w:val="24"/>
          <w:rtl/>
        </w:rPr>
        <w:t xml:space="preserve"> والحديث عند مسلم والترمذي والنسائي وابن خزيمة وابن حبان</w:t>
      </w:r>
      <w:r w:rsidR="00DB731D" w:rsidRPr="00A52585">
        <w:rPr>
          <w:rFonts w:hint="cs"/>
          <w:sz w:val="24"/>
          <w:szCs w:val="24"/>
          <w:rtl/>
        </w:rPr>
        <w:t>،</w:t>
      </w:r>
      <w:r w:rsidR="00777DCB" w:rsidRPr="00A52585">
        <w:rPr>
          <w:rFonts w:hint="cs"/>
          <w:sz w:val="24"/>
          <w:szCs w:val="24"/>
          <w:rtl/>
        </w:rPr>
        <w:t xml:space="preserve"> ولفظ مسلم</w:t>
      </w:r>
      <w:r w:rsidRPr="00A52585">
        <w:rPr>
          <w:rFonts w:hint="cs"/>
          <w:sz w:val="24"/>
          <w:szCs w:val="24"/>
          <w:rtl/>
        </w:rPr>
        <w:t>:</w:t>
      </w:r>
      <w:r w:rsidR="00777DCB" w:rsidRPr="00A52585">
        <w:rPr>
          <w:rFonts w:hint="cs"/>
          <w:sz w:val="24"/>
          <w:szCs w:val="24"/>
          <w:rtl/>
        </w:rPr>
        <w:t xml:space="preserve"> أن النبي صلى الله عليه وسلم قال</w:t>
      </w:r>
      <w:r w:rsidRPr="00A52585">
        <w:rPr>
          <w:rFonts w:hint="cs"/>
          <w:sz w:val="24"/>
          <w:szCs w:val="24"/>
          <w:rtl/>
        </w:rPr>
        <w:t>:</w:t>
      </w:r>
      <w:r w:rsidR="00777DCB" w:rsidRPr="00A52585">
        <w:rPr>
          <w:rFonts w:hint="cs"/>
          <w:sz w:val="24"/>
          <w:szCs w:val="24"/>
          <w:rtl/>
        </w:rPr>
        <w:t xml:space="preserve"> " إذا دخل أهل الجنة </w:t>
      </w:r>
      <w:proofErr w:type="spellStart"/>
      <w:r w:rsidR="00777DCB" w:rsidRPr="00A52585">
        <w:rPr>
          <w:rFonts w:hint="cs"/>
          <w:sz w:val="24"/>
          <w:szCs w:val="24"/>
          <w:rtl/>
        </w:rPr>
        <w:t>الجنة</w:t>
      </w:r>
      <w:proofErr w:type="spellEnd"/>
      <w:r w:rsidR="00DB731D" w:rsidRPr="00A52585">
        <w:rPr>
          <w:rFonts w:hint="cs"/>
          <w:sz w:val="24"/>
          <w:szCs w:val="24"/>
          <w:rtl/>
        </w:rPr>
        <w:t>،</w:t>
      </w:r>
      <w:r w:rsidR="00777DCB" w:rsidRPr="00A52585">
        <w:rPr>
          <w:rFonts w:hint="cs"/>
          <w:sz w:val="24"/>
          <w:szCs w:val="24"/>
          <w:rtl/>
        </w:rPr>
        <w:t xml:space="preserve"> يقول الله عز وجل</w:t>
      </w:r>
      <w:r w:rsidRPr="00A52585">
        <w:rPr>
          <w:rFonts w:hint="cs"/>
          <w:sz w:val="24"/>
          <w:szCs w:val="24"/>
          <w:rtl/>
        </w:rPr>
        <w:t>:</w:t>
      </w:r>
      <w:r w:rsidR="00777DCB" w:rsidRPr="00A52585">
        <w:rPr>
          <w:rFonts w:hint="cs"/>
          <w:sz w:val="24"/>
          <w:szCs w:val="24"/>
          <w:rtl/>
        </w:rPr>
        <w:t xml:space="preserve"> تريدون شيئا أزيدكم</w:t>
      </w:r>
      <w:r w:rsidR="00F95886" w:rsidRPr="00A52585">
        <w:rPr>
          <w:rFonts w:hint="cs"/>
          <w:sz w:val="24"/>
          <w:szCs w:val="24"/>
          <w:rtl/>
        </w:rPr>
        <w:t>؟</w:t>
      </w:r>
      <w:r w:rsidR="00777DCB" w:rsidRPr="00A52585">
        <w:rPr>
          <w:rFonts w:hint="cs"/>
          <w:sz w:val="24"/>
          <w:szCs w:val="24"/>
          <w:rtl/>
        </w:rPr>
        <w:t xml:space="preserve"> فيقولون</w:t>
      </w:r>
      <w:r w:rsidRPr="00A52585">
        <w:rPr>
          <w:rFonts w:hint="cs"/>
          <w:sz w:val="24"/>
          <w:szCs w:val="24"/>
          <w:rtl/>
        </w:rPr>
        <w:t>:</w:t>
      </w:r>
      <w:r w:rsidR="00777DCB" w:rsidRPr="00A52585">
        <w:rPr>
          <w:rFonts w:hint="cs"/>
          <w:sz w:val="24"/>
          <w:szCs w:val="24"/>
          <w:rtl/>
        </w:rPr>
        <w:t xml:space="preserve"> ألم تبيض وجوهنا وتدخلنا الجنة</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فيكشف لهم الحجاب فما أعطوا شيئا أحب إليهم منه "</w:t>
      </w:r>
      <w:r w:rsidR="00DB731D" w:rsidRPr="00A52585">
        <w:rPr>
          <w:rFonts w:hint="cs"/>
          <w:sz w:val="24"/>
          <w:szCs w:val="24"/>
          <w:rtl/>
        </w:rPr>
        <w:t>،</w:t>
      </w:r>
      <w:r w:rsidR="00777DCB" w:rsidRPr="00A52585">
        <w:rPr>
          <w:rFonts w:hint="cs"/>
          <w:sz w:val="24"/>
          <w:szCs w:val="24"/>
          <w:rtl/>
        </w:rPr>
        <w:t xml:space="preserve"> ثم تلا هذه الآية </w:t>
      </w:r>
      <w:r w:rsidRPr="00A52585">
        <w:rPr>
          <w:rFonts w:hint="cs"/>
          <w:sz w:val="24"/>
          <w:szCs w:val="24"/>
          <w:rtl/>
        </w:rPr>
        <w:t>(</w:t>
      </w:r>
      <w:r w:rsidR="00777DCB" w:rsidRPr="00A52585">
        <w:rPr>
          <w:rFonts w:hint="cs"/>
          <w:sz w:val="24"/>
          <w:szCs w:val="24"/>
          <w:rtl/>
        </w:rPr>
        <w:t>للذين أحسنوا الحسنى وزيادة</w:t>
      </w:r>
      <w:r w:rsidRPr="00A52585">
        <w:rPr>
          <w:rFonts w:hint="cs"/>
          <w:sz w:val="24"/>
          <w:szCs w:val="24"/>
          <w:rtl/>
        </w:rPr>
        <w:t>)</w:t>
      </w:r>
      <w:r w:rsidR="00777DCB" w:rsidRPr="00A52585">
        <w:rPr>
          <w:rFonts w:hint="cs"/>
          <w:sz w:val="24"/>
          <w:szCs w:val="24"/>
          <w:rtl/>
        </w:rPr>
        <w:t xml:space="preserve"> أخرجه مسلم عقب حديث أبي موسى</w:t>
      </w:r>
      <w:r w:rsidR="00DB731D" w:rsidRPr="00A52585">
        <w:rPr>
          <w:rFonts w:hint="cs"/>
          <w:sz w:val="24"/>
          <w:szCs w:val="24"/>
          <w:rtl/>
        </w:rPr>
        <w:t>،</w:t>
      </w:r>
      <w:r w:rsidR="00777DCB" w:rsidRPr="00A52585">
        <w:rPr>
          <w:rFonts w:hint="cs"/>
          <w:sz w:val="24"/>
          <w:szCs w:val="24"/>
          <w:rtl/>
        </w:rPr>
        <w:t xml:space="preserve"> ولعله أشار إلى تأويله به " اه‍</w:t>
      </w:r>
      <w:r w:rsidR="00DB731D" w:rsidRPr="00A52585">
        <w:rPr>
          <w:rFonts w:hint="cs"/>
          <w:sz w:val="24"/>
          <w:szCs w:val="24"/>
          <w:rtl/>
        </w:rPr>
        <w:t>،</w:t>
      </w:r>
      <w:r w:rsidR="00777DCB" w:rsidRPr="00A52585">
        <w:rPr>
          <w:rFonts w:hint="cs"/>
          <w:sz w:val="24"/>
          <w:szCs w:val="24"/>
          <w:rtl/>
        </w:rPr>
        <w:t xml:space="preserve"> وقال ابن بطال كما في الفتح </w:t>
      </w:r>
      <w:r w:rsidRPr="00A52585">
        <w:rPr>
          <w:rFonts w:hint="cs"/>
          <w:sz w:val="24"/>
          <w:szCs w:val="24"/>
          <w:rtl/>
        </w:rPr>
        <w:t>(</w:t>
      </w:r>
      <w:r w:rsidR="00777DCB" w:rsidRPr="00A52585">
        <w:rPr>
          <w:rFonts w:hint="cs"/>
          <w:sz w:val="24"/>
          <w:szCs w:val="24"/>
          <w:rtl/>
        </w:rPr>
        <w:t>13 / 433</w:t>
      </w:r>
      <w:r w:rsidRPr="00A52585">
        <w:rPr>
          <w:rFonts w:hint="cs"/>
          <w:sz w:val="24"/>
          <w:szCs w:val="24"/>
          <w:rtl/>
        </w:rPr>
        <w:t>):</w:t>
      </w:r>
      <w:r w:rsidR="00777DCB" w:rsidRPr="00A52585">
        <w:rPr>
          <w:rFonts w:hint="cs"/>
          <w:sz w:val="24"/>
          <w:szCs w:val="24"/>
          <w:rtl/>
        </w:rPr>
        <w:t xml:space="preserve"> " لا تعلق للمجسمة في إثبات المكان لما ثبت من </w:t>
      </w:r>
      <w:proofErr w:type="spellStart"/>
      <w:r w:rsidR="00777DCB" w:rsidRPr="00A52585">
        <w:rPr>
          <w:rFonts w:hint="cs"/>
          <w:sz w:val="24"/>
          <w:szCs w:val="24"/>
          <w:rtl/>
        </w:rPr>
        <w:t>إستحالة</w:t>
      </w:r>
      <w:proofErr w:type="spellEnd"/>
      <w:r w:rsidR="00777DCB" w:rsidRPr="00A52585">
        <w:rPr>
          <w:rFonts w:hint="cs"/>
          <w:sz w:val="24"/>
          <w:szCs w:val="24"/>
          <w:rtl/>
        </w:rPr>
        <w:t xml:space="preserve"> أن يكون </w:t>
      </w:r>
      <w:r w:rsidR="00777DCB" w:rsidRPr="00A52585">
        <w:rPr>
          <w:rFonts w:hint="cs"/>
          <w:sz w:val="24"/>
          <w:szCs w:val="24"/>
          <w:rtl/>
        </w:rPr>
        <w:lastRenderedPageBreak/>
        <w:t>سبحانه جسما أو حالا في مكان</w:t>
      </w:r>
      <w:r w:rsidR="00DB731D" w:rsidRPr="00A52585">
        <w:rPr>
          <w:rFonts w:hint="cs"/>
          <w:sz w:val="24"/>
          <w:szCs w:val="24"/>
          <w:rtl/>
        </w:rPr>
        <w:t>،</w:t>
      </w:r>
      <w:r w:rsidR="00777DCB" w:rsidRPr="00A52585">
        <w:rPr>
          <w:rFonts w:hint="cs"/>
          <w:sz w:val="24"/>
          <w:szCs w:val="24"/>
          <w:rtl/>
        </w:rPr>
        <w:t xml:space="preserve"> فيكون تأويل الرداء</w:t>
      </w:r>
      <w:r w:rsidRPr="00A52585">
        <w:rPr>
          <w:rFonts w:hint="cs"/>
          <w:sz w:val="24"/>
          <w:szCs w:val="24"/>
          <w:rtl/>
        </w:rPr>
        <w:t>:</w:t>
      </w:r>
      <w:r w:rsidR="00777DCB" w:rsidRPr="00A52585">
        <w:rPr>
          <w:rFonts w:hint="cs"/>
          <w:sz w:val="24"/>
          <w:szCs w:val="24"/>
          <w:rtl/>
        </w:rPr>
        <w:t xml:space="preserve"> الآفة الموجودة </w:t>
      </w:r>
      <w:proofErr w:type="spellStart"/>
      <w:r w:rsidR="00777DCB" w:rsidRPr="00A52585">
        <w:rPr>
          <w:rFonts w:hint="cs"/>
          <w:sz w:val="24"/>
          <w:szCs w:val="24"/>
          <w:rtl/>
        </w:rPr>
        <w:t>لابصارهم</w:t>
      </w:r>
      <w:proofErr w:type="spellEnd"/>
      <w:r w:rsidR="00777DCB" w:rsidRPr="00A52585">
        <w:rPr>
          <w:rFonts w:hint="cs"/>
          <w:sz w:val="24"/>
          <w:szCs w:val="24"/>
          <w:rtl/>
        </w:rPr>
        <w:t xml:space="preserve"> المانعة لهم من رؤيته</w:t>
      </w:r>
      <w:r w:rsidR="00897A24" w:rsidRPr="00A52585">
        <w:rPr>
          <w:rFonts w:hint="cs"/>
          <w:sz w:val="24"/>
          <w:szCs w:val="24"/>
          <w:rtl/>
        </w:rPr>
        <w:t>.</w:t>
      </w:r>
      <w:r w:rsidR="00777DCB" w:rsidRPr="00A52585">
        <w:rPr>
          <w:rFonts w:hint="cs"/>
          <w:sz w:val="24"/>
          <w:szCs w:val="24"/>
          <w:rtl/>
        </w:rPr>
        <w:t xml:space="preserve">. " اه‍ </w:t>
      </w:r>
      <w:r w:rsidR="00777DCB" w:rsidRPr="00A52585">
        <w:footnoteRef/>
      </w:r>
      <w:r w:rsidR="00777DCB" w:rsidRPr="00A52585">
        <w:rPr>
          <w:rFonts w:hint="cs"/>
          <w:sz w:val="24"/>
          <w:szCs w:val="24"/>
          <w:rtl/>
        </w:rPr>
        <w:t xml:space="preserve"> قال الحافظ ابن حجر في " فتح الباري " </w:t>
      </w:r>
      <w:r w:rsidRPr="00A52585">
        <w:rPr>
          <w:rFonts w:hint="cs"/>
          <w:sz w:val="24"/>
          <w:szCs w:val="24"/>
          <w:rtl/>
        </w:rPr>
        <w:t>(</w:t>
      </w:r>
      <w:r w:rsidR="00777DCB" w:rsidRPr="00A52585">
        <w:rPr>
          <w:rFonts w:hint="cs"/>
          <w:sz w:val="24"/>
          <w:szCs w:val="24"/>
          <w:rtl/>
        </w:rPr>
        <w:t>13 / 413</w:t>
      </w:r>
      <w:r w:rsidRPr="00A52585">
        <w:rPr>
          <w:rFonts w:hint="cs"/>
          <w:sz w:val="24"/>
          <w:szCs w:val="24"/>
          <w:rtl/>
        </w:rPr>
        <w:t>)</w:t>
      </w:r>
      <w:r w:rsidR="00777DCB" w:rsidRPr="00A52585">
        <w:rPr>
          <w:rFonts w:hint="cs"/>
          <w:sz w:val="24"/>
          <w:szCs w:val="24"/>
          <w:rtl/>
        </w:rPr>
        <w:t xml:space="preserve"> نقلا عن الخطابي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ويكون معنى " فهو عنده فوق العرش " أي ذكره وعلمه وكل ذلك جائز في التخريج</w:t>
      </w:r>
      <w:r w:rsidR="00DB731D" w:rsidRPr="00A52585">
        <w:rPr>
          <w:rFonts w:hint="cs"/>
          <w:sz w:val="24"/>
          <w:szCs w:val="24"/>
          <w:rtl/>
        </w:rPr>
        <w:t>،</w:t>
      </w:r>
      <w:r w:rsidR="00777DCB" w:rsidRPr="00A52585">
        <w:rPr>
          <w:rFonts w:hint="cs"/>
          <w:sz w:val="24"/>
          <w:szCs w:val="24"/>
          <w:rtl/>
        </w:rPr>
        <w:t xml:space="preserve"> على أن العرش خلق مخلوق تحمله الملائكة</w:t>
      </w:r>
      <w:r w:rsidR="00DB731D" w:rsidRPr="00A52585">
        <w:rPr>
          <w:rFonts w:hint="cs"/>
          <w:sz w:val="24"/>
          <w:szCs w:val="24"/>
          <w:rtl/>
        </w:rPr>
        <w:t>،</w:t>
      </w:r>
      <w:r w:rsidR="00777DCB" w:rsidRPr="00A52585">
        <w:rPr>
          <w:rFonts w:hint="cs"/>
          <w:sz w:val="24"/>
          <w:szCs w:val="24"/>
          <w:rtl/>
        </w:rPr>
        <w:t xml:space="preserve"> فلا يستحيل أن يماسوا العرش إذا حملوه</w:t>
      </w:r>
      <w:r w:rsidR="00DB731D" w:rsidRPr="00A52585">
        <w:rPr>
          <w:rFonts w:hint="cs"/>
          <w:sz w:val="24"/>
          <w:szCs w:val="24"/>
          <w:rtl/>
        </w:rPr>
        <w:t>،</w:t>
      </w:r>
      <w:r w:rsidR="00777DCB" w:rsidRPr="00A52585">
        <w:rPr>
          <w:rFonts w:hint="cs"/>
          <w:sz w:val="24"/>
          <w:szCs w:val="24"/>
          <w:rtl/>
        </w:rPr>
        <w:t xml:space="preserve"> وإن كان حامل العرش وحامل حملته هو الله</w:t>
      </w:r>
      <w:r w:rsidR="00DB731D" w:rsidRPr="00A52585">
        <w:rPr>
          <w:rFonts w:hint="cs"/>
          <w:sz w:val="24"/>
          <w:szCs w:val="24"/>
          <w:rtl/>
        </w:rPr>
        <w:t>،</w:t>
      </w:r>
      <w:r w:rsidR="00777DCB" w:rsidRPr="00A52585">
        <w:rPr>
          <w:rFonts w:hint="cs"/>
          <w:sz w:val="24"/>
          <w:szCs w:val="24"/>
          <w:rtl/>
        </w:rPr>
        <w:t xml:space="preserve"> وليس قولنا أن الله على العرش أي مماس له أو متمكن فيه أو متحيز في جهة من جهاته</w:t>
      </w:r>
      <w:r w:rsidR="00897A24" w:rsidRPr="00A52585">
        <w:rPr>
          <w:rFonts w:hint="cs"/>
          <w:sz w:val="24"/>
          <w:szCs w:val="24"/>
          <w:rtl/>
        </w:rPr>
        <w:t>...</w:t>
      </w:r>
      <w:r w:rsidRPr="00A52585">
        <w:rPr>
          <w:rFonts w:hint="cs"/>
          <w:sz w:val="24"/>
          <w:szCs w:val="24"/>
          <w:rtl/>
        </w:rPr>
        <w:t>)</w:t>
      </w:r>
      <w:r w:rsidR="00777DCB" w:rsidRPr="00A52585">
        <w:rPr>
          <w:rFonts w:hint="cs"/>
          <w:sz w:val="24"/>
          <w:szCs w:val="24"/>
          <w:rtl/>
        </w:rPr>
        <w:t xml:space="preserve">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sidRPr="00A52585">
        <w:rPr>
          <w:rFonts w:hint="cs"/>
          <w:sz w:val="24"/>
          <w:szCs w:val="24"/>
          <w:rtl/>
        </w:rPr>
        <w:t>:</w:t>
      </w:r>
      <w:r w:rsidR="00777DCB" w:rsidRPr="00A52585">
        <w:rPr>
          <w:rFonts w:hint="cs"/>
          <w:sz w:val="24"/>
          <w:szCs w:val="24"/>
          <w:rtl/>
        </w:rPr>
        <w:t xml:space="preserve"> " إن الله أنكحني في السماء "</w:t>
      </w:r>
      <w:r w:rsidR="00DB731D" w:rsidRPr="00A52585">
        <w:rPr>
          <w:rFonts w:hint="cs"/>
          <w:sz w:val="24"/>
          <w:szCs w:val="24"/>
          <w:rtl/>
        </w:rPr>
        <w:t>،</w:t>
      </w:r>
      <w:r w:rsidR="00777DCB" w:rsidRPr="00A52585">
        <w:rPr>
          <w:rFonts w:hint="cs"/>
          <w:sz w:val="24"/>
          <w:szCs w:val="24"/>
          <w:rtl/>
        </w:rPr>
        <w:t xml:space="preserve"> وفي لفظ آخر</w:t>
      </w:r>
      <w:r w:rsidRPr="00A52585">
        <w:rPr>
          <w:rFonts w:hint="cs"/>
          <w:sz w:val="24"/>
          <w:szCs w:val="24"/>
          <w:rtl/>
        </w:rPr>
        <w:t>:</w:t>
      </w:r>
      <w:r w:rsidR="00777DCB" w:rsidRPr="00A52585">
        <w:rPr>
          <w:rFonts w:hint="cs"/>
          <w:sz w:val="24"/>
          <w:szCs w:val="24"/>
          <w:rtl/>
        </w:rPr>
        <w:t xml:space="preserve"> " زوجني الله تعالى من فوق سبع سماوات " ومرادها بذلك أي أنكحني الله بأن ذكر نكاحي في القرآن الذي نزل من فوق سبع سموات واللفظ الاول يثبته</w:t>
      </w:r>
      <w:r w:rsidR="00DB731D" w:rsidRPr="00A52585">
        <w:rPr>
          <w:rFonts w:hint="cs"/>
          <w:sz w:val="24"/>
          <w:szCs w:val="24"/>
          <w:rtl/>
        </w:rPr>
        <w:t>،</w:t>
      </w:r>
      <w:r w:rsidR="00777DCB" w:rsidRPr="00A52585">
        <w:rPr>
          <w:rFonts w:hint="cs"/>
          <w:sz w:val="24"/>
          <w:szCs w:val="24"/>
          <w:rtl/>
        </w:rPr>
        <w:t xml:space="preserve"> قال الحافظ في شرحه هناك في الفتح </w:t>
      </w:r>
      <w:r w:rsidRPr="00A52585">
        <w:rPr>
          <w:rFonts w:hint="cs"/>
          <w:sz w:val="24"/>
          <w:szCs w:val="24"/>
          <w:rtl/>
        </w:rPr>
        <w:t>(</w:t>
      </w:r>
      <w:r w:rsidR="00777DCB" w:rsidRPr="00A52585">
        <w:rPr>
          <w:rFonts w:hint="cs"/>
          <w:sz w:val="24"/>
          <w:szCs w:val="24"/>
          <w:rtl/>
        </w:rPr>
        <w:t>13 / 412</w:t>
      </w:r>
      <w:r w:rsidRPr="00A52585">
        <w:rPr>
          <w:rFonts w:hint="cs"/>
          <w:sz w:val="24"/>
          <w:szCs w:val="24"/>
          <w:rtl/>
        </w:rPr>
        <w:t>):</w:t>
      </w:r>
      <w:r w:rsidR="00777DCB" w:rsidRPr="00A52585">
        <w:rPr>
          <w:rFonts w:hint="cs"/>
          <w:sz w:val="24"/>
          <w:szCs w:val="24"/>
          <w:rtl/>
        </w:rPr>
        <w:t xml:space="preserve"> " قال الكرماني</w:t>
      </w:r>
      <w:r w:rsidRPr="00A52585">
        <w:rPr>
          <w:rFonts w:hint="cs"/>
          <w:sz w:val="24"/>
          <w:szCs w:val="24"/>
          <w:rtl/>
        </w:rPr>
        <w:t>:</w:t>
      </w:r>
      <w:r w:rsidR="00777DCB" w:rsidRPr="00A52585">
        <w:rPr>
          <w:rFonts w:hint="cs"/>
          <w:sz w:val="24"/>
          <w:szCs w:val="24"/>
          <w:rtl/>
        </w:rPr>
        <w:t xml:space="preserve"> قوله</w:t>
      </w:r>
      <w:r w:rsidRPr="00A52585">
        <w:rPr>
          <w:rFonts w:hint="cs"/>
          <w:sz w:val="24"/>
          <w:szCs w:val="24"/>
          <w:rtl/>
        </w:rPr>
        <w:t>:</w:t>
      </w:r>
      <w:r w:rsidR="00777DCB" w:rsidRPr="00A52585">
        <w:rPr>
          <w:rFonts w:hint="cs"/>
          <w:sz w:val="24"/>
          <w:szCs w:val="24"/>
          <w:rtl/>
        </w:rPr>
        <w:t xml:space="preserve"> " في السماء " ظاهره غير مراد</w:t>
      </w:r>
      <w:r w:rsidR="00DB731D" w:rsidRPr="00A52585">
        <w:rPr>
          <w:rFonts w:hint="cs"/>
          <w:sz w:val="24"/>
          <w:szCs w:val="24"/>
          <w:rtl/>
        </w:rPr>
        <w:t>،</w:t>
      </w:r>
      <w:r w:rsidR="00777DCB" w:rsidRPr="00A52585">
        <w:rPr>
          <w:rFonts w:hint="cs"/>
          <w:sz w:val="24"/>
          <w:szCs w:val="24"/>
          <w:rtl/>
        </w:rPr>
        <w:t xml:space="preserve"> إذ الله منزه عن الحلول في المكان</w:t>
      </w:r>
      <w:r w:rsidR="00DB731D" w:rsidRPr="00A52585">
        <w:rPr>
          <w:rFonts w:hint="cs"/>
          <w:sz w:val="24"/>
          <w:szCs w:val="24"/>
          <w:rtl/>
        </w:rPr>
        <w:t>،</w:t>
      </w:r>
      <w:r w:rsidR="00777DCB" w:rsidRPr="00A52585">
        <w:rPr>
          <w:rFonts w:hint="cs"/>
          <w:sz w:val="24"/>
          <w:szCs w:val="24"/>
          <w:rtl/>
        </w:rPr>
        <w:t xml:space="preserve"> لكن لما كانت جهة العلو أشرف من غيرها أضافها إليه إشارة إلى علو الذات والصفات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يعني علو الذات والصفات المعنوي كما قال الحافظ ابن حجر في الفتح </w:t>
      </w:r>
      <w:r w:rsidRPr="00A52585">
        <w:rPr>
          <w:rFonts w:hint="cs"/>
          <w:sz w:val="24"/>
          <w:szCs w:val="24"/>
          <w:rtl/>
        </w:rPr>
        <w:t>(</w:t>
      </w:r>
      <w:r w:rsidR="00777DCB" w:rsidRPr="00A52585">
        <w:rPr>
          <w:rFonts w:hint="cs"/>
          <w:sz w:val="24"/>
          <w:szCs w:val="24"/>
          <w:rtl/>
        </w:rPr>
        <w:t>6 / 136</w:t>
      </w:r>
      <w:r w:rsidRPr="00A52585">
        <w:rPr>
          <w:rFonts w:hint="cs"/>
          <w:sz w:val="24"/>
          <w:szCs w:val="24"/>
          <w:rtl/>
        </w:rPr>
        <w:t>):</w:t>
      </w:r>
      <w:r w:rsidR="00777DCB" w:rsidRPr="00A52585">
        <w:rPr>
          <w:rFonts w:hint="cs"/>
          <w:sz w:val="24"/>
          <w:szCs w:val="24"/>
          <w:rtl/>
        </w:rPr>
        <w:t xml:space="preserve"> " ولا يلزم من كون جهتي العلو والسفل محال على الله تعالى أن لا يوصف بالعلو لان وصفه بالعلو من جهة المعنى</w:t>
      </w:r>
      <w:r w:rsidR="00DB731D" w:rsidRPr="00A52585">
        <w:rPr>
          <w:rFonts w:hint="cs"/>
          <w:sz w:val="24"/>
          <w:szCs w:val="24"/>
          <w:rtl/>
        </w:rPr>
        <w:t>،</w:t>
      </w:r>
      <w:r w:rsidR="00777DCB" w:rsidRPr="00A52585">
        <w:rPr>
          <w:rFonts w:hint="cs"/>
          <w:sz w:val="24"/>
          <w:szCs w:val="24"/>
          <w:rtl/>
        </w:rPr>
        <w:t xml:space="preserve"> والمستحيل كون ذلك من جهة الحس " اه‍]</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الرائي </w:t>
      </w:r>
      <w:r w:rsidRPr="00A52585">
        <w:rPr>
          <w:rFonts w:hint="cs"/>
          <w:rtl/>
        </w:rPr>
        <w:t>(</w:t>
      </w:r>
      <w:r w:rsidR="00777DCB" w:rsidRPr="00A52585">
        <w:rPr>
          <w:rFonts w:hint="cs"/>
          <w:rtl/>
        </w:rPr>
        <w:t>هو الذي</w:t>
      </w:r>
      <w:r w:rsidRPr="00A52585">
        <w:rPr>
          <w:rFonts w:hint="cs"/>
          <w:rtl/>
        </w:rPr>
        <w:t>)</w:t>
      </w:r>
      <w:r w:rsidR="00777DCB" w:rsidRPr="00A52585">
        <w:rPr>
          <w:rFonts w:hint="cs"/>
          <w:rtl/>
        </w:rPr>
        <w:t xml:space="preserve"> في جنة عدن لا المرئي لأنّه لا تحيط به الامكنة </w:t>
      </w:r>
      <w:r w:rsidRPr="00A52585">
        <w:rPr>
          <w:rFonts w:hint="cs"/>
          <w:rtl/>
        </w:rPr>
        <w:t>(</w:t>
      </w:r>
      <w:r w:rsidR="00777DCB" w:rsidRPr="00A52585">
        <w:rPr>
          <w:rFonts w:hint="cs"/>
          <w:rtl/>
        </w:rPr>
        <w:t>سبحانه</w:t>
      </w:r>
      <w:r w:rsidRPr="00A52585">
        <w:rPr>
          <w:rFonts w:hint="cs"/>
          <w:rtl/>
        </w:rPr>
        <w:t>)</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ظاهر الحديث أنه المرئي في جنة عدن</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وهذا هو التجسيم المحض</w:t>
      </w:r>
      <w:r w:rsidR="00DB731D" w:rsidRPr="00A52585">
        <w:rPr>
          <w:rFonts w:hint="cs"/>
          <w:rtl/>
        </w:rPr>
        <w:t>،</w:t>
      </w:r>
      <w:r w:rsidR="00777DCB" w:rsidRPr="00A52585">
        <w:rPr>
          <w:rFonts w:hint="cs"/>
          <w:rtl/>
        </w:rPr>
        <w:t xml:space="preserve"> ورداء الكبرياء ما له من الكبرياء والعظمة</w:t>
      </w:r>
      <w:r w:rsidR="00DB731D" w:rsidRPr="00A52585">
        <w:rPr>
          <w:rFonts w:hint="cs"/>
          <w:rtl/>
        </w:rPr>
        <w:t>،</w:t>
      </w:r>
      <w:r w:rsidR="00777DCB" w:rsidRPr="00A52585">
        <w:rPr>
          <w:rFonts w:hint="cs"/>
          <w:rtl/>
        </w:rPr>
        <w:t xml:space="preserve"> فكأنه إن منعهم فلعظمته</w:t>
      </w:r>
      <w:r w:rsidR="00DB731D" w:rsidRPr="00A52585">
        <w:rPr>
          <w:rFonts w:hint="cs"/>
          <w:rtl/>
        </w:rPr>
        <w:t>،</w:t>
      </w:r>
      <w:r w:rsidR="00777DCB" w:rsidRPr="00A52585">
        <w:rPr>
          <w:rFonts w:hint="cs"/>
          <w:rtl/>
        </w:rPr>
        <w:t xml:space="preserve"> وإن شاء كشف لهم</w:t>
      </w:r>
      <w:r w:rsidR="00897A24" w:rsidRPr="00A52585">
        <w:rPr>
          <w:rFonts w:hint="cs"/>
          <w:rtl/>
        </w:rPr>
        <w:t>.</w:t>
      </w:r>
      <w:r w:rsidR="00777DCB" w:rsidRPr="00A52585">
        <w:rPr>
          <w:rFonts w:hint="cs"/>
          <w:rtl/>
        </w:rPr>
        <w:t xml:space="preserve"> وقد تكلمنا على الوجه في الآيات وقلنا المراد بالوجه</w:t>
      </w:r>
      <w:r w:rsidRPr="00A52585">
        <w:rPr>
          <w:rFonts w:hint="cs"/>
          <w:rtl/>
        </w:rPr>
        <w:t>:</w:t>
      </w:r>
      <w:r w:rsidR="00777DCB" w:rsidRPr="00A52585">
        <w:rPr>
          <w:rFonts w:hint="cs"/>
          <w:rtl/>
        </w:rPr>
        <w:t xml:space="preserve"> هو </w:t>
      </w:r>
      <w:r w:rsidRPr="00A52585">
        <w:rPr>
          <w:rFonts w:hint="cs"/>
          <w:rtl/>
        </w:rPr>
        <w:t>(</w:t>
      </w:r>
      <w:r w:rsidR="00777DCB" w:rsidRPr="00A52585">
        <w:rPr>
          <w:rFonts w:hint="cs"/>
          <w:rtl/>
        </w:rPr>
        <w:t>ذات الله</w:t>
      </w:r>
      <w:r w:rsidRPr="00A52585">
        <w:rPr>
          <w:rFonts w:hint="cs"/>
          <w:rtl/>
        </w:rPr>
        <w:t>)</w:t>
      </w:r>
      <w:r w:rsidR="00777DCB" w:rsidRPr="00A52585">
        <w:rPr>
          <w:rFonts w:hint="cs"/>
          <w:rtl/>
        </w:rPr>
        <w:t xml:space="preserve"> سبحانه</w:t>
      </w:r>
      <w:r w:rsidR="00897A24" w:rsidRPr="00A52585">
        <w:rPr>
          <w:rFonts w:hint="cs"/>
          <w:rtl/>
        </w:rPr>
        <w:t>.</w:t>
      </w:r>
      <w:r w:rsidR="00777DCB" w:rsidRPr="00A52585">
        <w:rPr>
          <w:rFonts w:hint="cs"/>
          <w:rtl/>
        </w:rPr>
        <w:t xml:space="preserve"> </w:t>
      </w:r>
    </w:p>
    <w:p w14:paraId="0180D546" w14:textId="5E82150B" w:rsidR="00777DCB" w:rsidRPr="00A52585" w:rsidRDefault="0002035C" w:rsidP="0002035C">
      <w:pPr>
        <w:rPr>
          <w:b/>
          <w:rtl/>
        </w:rPr>
      </w:pPr>
      <w:r w:rsidRPr="00A52585">
        <w:rPr>
          <w:rFonts w:hint="cs"/>
          <w:bCs/>
          <w:u w:val="single"/>
          <w:rtl/>
        </w:rPr>
        <w:t>[</w:t>
      </w:r>
      <w:r w:rsidR="00777DCB" w:rsidRPr="00A52585">
        <w:rPr>
          <w:rFonts w:hint="cs"/>
          <w:bCs/>
          <w:u w:val="single"/>
          <w:rtl/>
        </w:rPr>
        <w:t>45</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 والاربعون</w:t>
      </w:r>
      <w:r w:rsidRPr="00A52585">
        <w:rPr>
          <w:rFonts w:hint="cs"/>
          <w:bCs/>
          <w:rtl/>
        </w:rPr>
        <w:t>]:</w:t>
      </w:r>
      <w:r w:rsidR="00777DCB" w:rsidRPr="00A52585">
        <w:rPr>
          <w:rFonts w:hint="cs"/>
          <w:rtl/>
        </w:rPr>
        <w:t xml:space="preserve"> روى البخاري </w:t>
      </w:r>
      <w:r w:rsidRPr="00A52585">
        <w:rPr>
          <w:rFonts w:hint="cs"/>
          <w:rtl/>
        </w:rPr>
        <w:t>(</w:t>
      </w:r>
      <w:r w:rsidR="00777DCB" w:rsidRPr="00A52585">
        <w:rPr>
          <w:rFonts w:hint="cs"/>
          <w:rtl/>
        </w:rPr>
        <w:t>فتح 13 / 404</w:t>
      </w:r>
      <w:r w:rsidRPr="00A52585">
        <w:rPr>
          <w:rFonts w:hint="cs"/>
          <w:rtl/>
        </w:rPr>
        <w:t>)</w:t>
      </w:r>
      <w:r w:rsidR="00777DCB" w:rsidRPr="00A52585">
        <w:rPr>
          <w:rFonts w:hint="cs"/>
          <w:rtl/>
        </w:rPr>
        <w:t xml:space="preserve"> ومسلم </w:t>
      </w:r>
      <w:r w:rsidRPr="00A52585">
        <w:rPr>
          <w:rFonts w:hint="cs"/>
          <w:rtl/>
        </w:rPr>
        <w:t>(</w:t>
      </w:r>
      <w:r w:rsidR="00777DCB" w:rsidRPr="00A52585">
        <w:rPr>
          <w:rFonts w:hint="cs"/>
          <w:rtl/>
        </w:rPr>
        <w:t>4 / 2107</w:t>
      </w:r>
      <w:r w:rsidRPr="00A52585">
        <w:rPr>
          <w:rFonts w:hint="cs"/>
          <w:rtl/>
        </w:rPr>
        <w:t>)</w:t>
      </w:r>
      <w:r w:rsidR="00777DCB" w:rsidRPr="00A52585">
        <w:rPr>
          <w:rFonts w:hint="cs"/>
          <w:rtl/>
        </w:rPr>
        <w:t xml:space="preserve"> في الصحيحين من حديث أبي هريرة - رضي الله عنه - قال رسول الله صلى الله عليه وسلم</w:t>
      </w:r>
      <w:r w:rsidRPr="00A52585">
        <w:rPr>
          <w:rFonts w:hint="cs"/>
          <w:rtl/>
        </w:rPr>
        <w:t>:</w:t>
      </w:r>
      <w:r w:rsidR="00777DCB" w:rsidRPr="00A52585">
        <w:rPr>
          <w:rFonts w:hint="cs"/>
          <w:rtl/>
        </w:rPr>
        <w:t xml:space="preserve"> " لما قضى الله الخلق كتب في كتابه - فهو عنده فوق العرش - إن رحمتي غلبت غضبي " وفي لفظ</w:t>
      </w:r>
      <w:r w:rsidRPr="00A52585">
        <w:rPr>
          <w:rFonts w:hint="cs"/>
          <w:rtl/>
        </w:rPr>
        <w:t>:</w:t>
      </w:r>
      <w:r w:rsidR="00777DCB" w:rsidRPr="00A52585">
        <w:rPr>
          <w:rFonts w:hint="cs"/>
          <w:rtl/>
        </w:rPr>
        <w:t xml:space="preserve"> " سبقت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قال الحافظ ابن حجر في " فتح الباري " </w:t>
      </w:r>
      <w:r w:rsidRPr="00A52585">
        <w:rPr>
          <w:rFonts w:hint="cs"/>
          <w:sz w:val="24"/>
          <w:szCs w:val="24"/>
          <w:rtl/>
        </w:rPr>
        <w:t>(</w:t>
      </w:r>
      <w:r w:rsidR="00777DCB" w:rsidRPr="00A52585">
        <w:rPr>
          <w:rFonts w:hint="cs"/>
          <w:sz w:val="24"/>
          <w:szCs w:val="24"/>
          <w:rtl/>
        </w:rPr>
        <w:t>13 / 413</w:t>
      </w:r>
      <w:r w:rsidRPr="00A52585">
        <w:rPr>
          <w:rFonts w:hint="cs"/>
          <w:sz w:val="24"/>
          <w:szCs w:val="24"/>
          <w:rtl/>
        </w:rPr>
        <w:t>)</w:t>
      </w:r>
      <w:r w:rsidR="00777DCB" w:rsidRPr="00A52585">
        <w:rPr>
          <w:rFonts w:hint="cs"/>
          <w:sz w:val="24"/>
          <w:szCs w:val="24"/>
          <w:rtl/>
        </w:rPr>
        <w:t xml:space="preserve"> نقلا عن الخطابي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ويكون معنى " فهو عنده فوق العرش " أي ذكره وعلمه وكل ذلك جائز في التخريج</w:t>
      </w:r>
      <w:r w:rsidR="00DB731D" w:rsidRPr="00A52585">
        <w:rPr>
          <w:rFonts w:hint="cs"/>
          <w:sz w:val="24"/>
          <w:szCs w:val="24"/>
          <w:rtl/>
        </w:rPr>
        <w:t>،</w:t>
      </w:r>
      <w:r w:rsidR="00777DCB" w:rsidRPr="00A52585">
        <w:rPr>
          <w:rFonts w:hint="cs"/>
          <w:sz w:val="24"/>
          <w:szCs w:val="24"/>
          <w:rtl/>
        </w:rPr>
        <w:t xml:space="preserve"> على أن العرش خلق مخلوق تحمله الملائكة</w:t>
      </w:r>
      <w:r w:rsidR="00DB731D" w:rsidRPr="00A52585">
        <w:rPr>
          <w:rFonts w:hint="cs"/>
          <w:sz w:val="24"/>
          <w:szCs w:val="24"/>
          <w:rtl/>
        </w:rPr>
        <w:t>،</w:t>
      </w:r>
      <w:r w:rsidR="00777DCB" w:rsidRPr="00A52585">
        <w:rPr>
          <w:rFonts w:hint="cs"/>
          <w:sz w:val="24"/>
          <w:szCs w:val="24"/>
          <w:rtl/>
        </w:rPr>
        <w:t xml:space="preserve"> فلا يستحيل أن يماسوا العرش إذا حملوه</w:t>
      </w:r>
      <w:r w:rsidR="00DB731D" w:rsidRPr="00A52585">
        <w:rPr>
          <w:rFonts w:hint="cs"/>
          <w:sz w:val="24"/>
          <w:szCs w:val="24"/>
          <w:rtl/>
        </w:rPr>
        <w:t>،</w:t>
      </w:r>
      <w:r w:rsidR="00777DCB" w:rsidRPr="00A52585">
        <w:rPr>
          <w:rFonts w:hint="cs"/>
          <w:sz w:val="24"/>
          <w:szCs w:val="24"/>
          <w:rtl/>
        </w:rPr>
        <w:t xml:space="preserve"> وإن كان حامل العرش وحامل حملته هو الله</w:t>
      </w:r>
      <w:r w:rsidR="00DB731D" w:rsidRPr="00A52585">
        <w:rPr>
          <w:rFonts w:hint="cs"/>
          <w:sz w:val="24"/>
          <w:szCs w:val="24"/>
          <w:rtl/>
        </w:rPr>
        <w:t>،</w:t>
      </w:r>
      <w:r w:rsidR="00777DCB" w:rsidRPr="00A52585">
        <w:rPr>
          <w:rFonts w:hint="cs"/>
          <w:sz w:val="24"/>
          <w:szCs w:val="24"/>
          <w:rtl/>
        </w:rPr>
        <w:t xml:space="preserve"> وليس قولنا أن الله على العرش أي مماس له أو متمكن فيه أو متحيز في جهة من جهاته</w:t>
      </w:r>
      <w:r w:rsidR="00897A24" w:rsidRPr="00A52585">
        <w:rPr>
          <w:rFonts w:hint="cs"/>
          <w:sz w:val="24"/>
          <w:szCs w:val="24"/>
          <w:rtl/>
        </w:rPr>
        <w:t>...</w:t>
      </w:r>
      <w:r w:rsidRPr="00A52585">
        <w:rPr>
          <w:rFonts w:hint="cs"/>
          <w:sz w:val="24"/>
          <w:szCs w:val="24"/>
          <w:rtl/>
        </w:rPr>
        <w:t>)</w:t>
      </w:r>
      <w:r w:rsidR="00777DCB" w:rsidRPr="00A52585">
        <w:rPr>
          <w:rFonts w:hint="cs"/>
          <w:sz w:val="24"/>
          <w:szCs w:val="24"/>
          <w:rtl/>
        </w:rPr>
        <w:t xml:space="preserve"> اه‍</w:t>
      </w:r>
      <w:r w:rsidRPr="00A52585">
        <w:rPr>
          <w:rFonts w:hint="cs"/>
          <w:sz w:val="24"/>
          <w:szCs w:val="24"/>
          <w:rtl/>
        </w:rPr>
        <w:t>]</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ظاهر قوله عنده القرب من الذات</w:t>
      </w:r>
      <w:r w:rsidR="00897A24" w:rsidRPr="00A52585">
        <w:rPr>
          <w:rFonts w:hint="cs"/>
          <w:rtl/>
        </w:rPr>
        <w:t>.</w:t>
      </w:r>
      <w:r w:rsidR="00777DCB" w:rsidRPr="00A52585">
        <w:rPr>
          <w:rFonts w:hint="cs"/>
          <w:rtl/>
        </w:rPr>
        <w:t xml:space="preserve"> واعلم أن القرب من الحق لا يكون بمسافة وإنما ذلك من صفة الاجسام</w:t>
      </w:r>
      <w:r w:rsidR="00DB731D" w:rsidRPr="00A52585">
        <w:rPr>
          <w:rFonts w:hint="cs"/>
          <w:rtl/>
        </w:rPr>
        <w:t>،</w:t>
      </w:r>
      <w:r w:rsidR="00777DCB" w:rsidRPr="00A52585">
        <w:rPr>
          <w:rFonts w:hint="cs"/>
          <w:rtl/>
        </w:rPr>
        <w:t xml:space="preserve"> وقد قال سبحانه وتعالى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مسومة عند ربك</w:t>
      </w:r>
      <w:r w:rsidRPr="00A52585">
        <w:rPr>
          <w:rFonts w:hint="cs"/>
          <w:rtl/>
        </w:rPr>
        <w:t>)</w:t>
      </w:r>
      <w:r w:rsidR="00777DCB" w:rsidRPr="00A52585">
        <w:rPr>
          <w:rFonts w:hint="cs"/>
          <w:rtl/>
        </w:rPr>
        <w:t xml:space="preserve"> هود</w:t>
      </w:r>
      <w:r w:rsidRPr="00A52585">
        <w:rPr>
          <w:rFonts w:hint="cs"/>
          <w:rtl/>
        </w:rPr>
        <w:t>:</w:t>
      </w:r>
      <w:r w:rsidR="00777DCB" w:rsidRPr="00A52585">
        <w:rPr>
          <w:rFonts w:hint="cs"/>
          <w:rtl/>
        </w:rPr>
        <w:t xml:space="preserve"> 83</w:t>
      </w:r>
      <w:r w:rsidR="00DB731D" w:rsidRPr="00A52585">
        <w:rPr>
          <w:rFonts w:hint="cs"/>
          <w:rtl/>
        </w:rPr>
        <w:t>،</w:t>
      </w:r>
      <w:r w:rsidR="00777DCB" w:rsidRPr="00A52585">
        <w:rPr>
          <w:rFonts w:hint="cs"/>
          <w:rtl/>
        </w:rPr>
        <w:t xml:space="preserve"> </w:t>
      </w:r>
    </w:p>
    <w:p w14:paraId="46828039" w14:textId="641142DB" w:rsidR="00777DCB" w:rsidRPr="00A52585" w:rsidRDefault="0002035C" w:rsidP="0002035C">
      <w:pPr>
        <w:rPr>
          <w:b/>
          <w:rtl/>
        </w:rPr>
      </w:pPr>
      <w:r w:rsidRPr="00A52585">
        <w:rPr>
          <w:rFonts w:hint="cs"/>
          <w:bCs/>
          <w:u w:val="single"/>
          <w:rtl/>
        </w:rPr>
        <w:t>[</w:t>
      </w:r>
      <w:r w:rsidR="00777DCB" w:rsidRPr="00A52585">
        <w:rPr>
          <w:rFonts w:hint="cs"/>
          <w:bCs/>
          <w:u w:val="single"/>
          <w:rtl/>
        </w:rPr>
        <w:t>46</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 والاربعون</w:t>
      </w:r>
      <w:r w:rsidRPr="00A52585">
        <w:rPr>
          <w:rFonts w:hint="cs"/>
          <w:bCs/>
          <w:rtl/>
        </w:rPr>
        <w:t>]:</w:t>
      </w:r>
      <w:r w:rsidR="00777DCB" w:rsidRPr="00A52585">
        <w:rPr>
          <w:rFonts w:hint="cs"/>
          <w:rtl/>
        </w:rPr>
        <w:t xml:space="preserve"> روي عن بعض التابعين أنه قال</w:t>
      </w:r>
      <w:r w:rsidRPr="00A52585">
        <w:rPr>
          <w:rFonts w:hint="cs"/>
          <w:rtl/>
        </w:rPr>
        <w:t>:</w:t>
      </w:r>
      <w:r w:rsidR="00777DCB" w:rsidRPr="00A52585">
        <w:rPr>
          <w:rFonts w:hint="cs"/>
          <w:rtl/>
        </w:rPr>
        <w:t xml:space="preserve"> " خلق الله آدم بيده</w:t>
      </w:r>
      <w:r w:rsidR="00DB731D" w:rsidRPr="00A52585">
        <w:rPr>
          <w:rFonts w:hint="cs"/>
          <w:rtl/>
        </w:rPr>
        <w:t>،</w:t>
      </w:r>
      <w:r w:rsidR="00777DCB" w:rsidRPr="00A52585">
        <w:rPr>
          <w:rFonts w:hint="cs"/>
          <w:rtl/>
        </w:rPr>
        <w:t xml:space="preserve"> وكتب التوراة بيده وغرس الفردوس بيده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المحدث الزبيدي هذا الحديث في " اتحاف السادة المتقين " </w:t>
      </w:r>
      <w:r w:rsidRPr="00A52585">
        <w:rPr>
          <w:rFonts w:hint="cs"/>
          <w:sz w:val="24"/>
          <w:szCs w:val="24"/>
          <w:rtl/>
        </w:rPr>
        <w:lastRenderedPageBreak/>
        <w:t>(</w:t>
      </w:r>
      <w:r w:rsidR="00777DCB" w:rsidRPr="00A52585">
        <w:rPr>
          <w:rFonts w:hint="cs"/>
          <w:sz w:val="24"/>
          <w:szCs w:val="24"/>
          <w:rtl/>
        </w:rPr>
        <w:t>10 / 550</w:t>
      </w:r>
      <w:r w:rsidRPr="00A52585">
        <w:rPr>
          <w:rFonts w:hint="cs"/>
          <w:sz w:val="24"/>
          <w:szCs w:val="24"/>
          <w:rtl/>
        </w:rPr>
        <w:t>)</w:t>
      </w:r>
      <w:r w:rsidR="00777DCB" w:rsidRPr="00A52585">
        <w:rPr>
          <w:rFonts w:hint="cs"/>
          <w:sz w:val="24"/>
          <w:szCs w:val="24"/>
          <w:rtl/>
        </w:rPr>
        <w:t xml:space="preserve"> فقال وما بين الاقواس كلام الامام الغزالي</w:t>
      </w:r>
      <w:r w:rsidRPr="00A52585">
        <w:rPr>
          <w:rFonts w:hint="cs"/>
          <w:sz w:val="24"/>
          <w:szCs w:val="24"/>
          <w:rtl/>
        </w:rPr>
        <w:t>:</w:t>
      </w:r>
      <w:r w:rsidR="00777DCB" w:rsidRPr="00A52585">
        <w:rPr>
          <w:rFonts w:hint="cs"/>
          <w:sz w:val="24"/>
          <w:szCs w:val="24"/>
          <w:rtl/>
        </w:rPr>
        <w:t xml:space="preserve"> " </w:t>
      </w:r>
      <w:r w:rsidRPr="00A52585">
        <w:rPr>
          <w:rFonts w:hint="cs"/>
          <w:sz w:val="24"/>
          <w:szCs w:val="24"/>
          <w:rtl/>
        </w:rPr>
        <w:t>(</w:t>
      </w:r>
      <w:r w:rsidR="00777DCB" w:rsidRPr="00A52585">
        <w:rPr>
          <w:rFonts w:hint="cs"/>
          <w:sz w:val="24"/>
          <w:szCs w:val="24"/>
          <w:rtl/>
        </w:rPr>
        <w:t>وقال كعب</w:t>
      </w:r>
      <w:r w:rsidRPr="00A52585">
        <w:rPr>
          <w:rFonts w:hint="cs"/>
          <w:sz w:val="24"/>
          <w:szCs w:val="24"/>
          <w:rtl/>
        </w:rPr>
        <w:t>)</w:t>
      </w:r>
      <w:r w:rsidR="00777DCB" w:rsidRPr="00A52585">
        <w:rPr>
          <w:rFonts w:hint="cs"/>
          <w:sz w:val="24"/>
          <w:szCs w:val="24"/>
          <w:rtl/>
        </w:rPr>
        <w:t xml:space="preserve"> الاحبار رحمه الله تعالى </w:t>
      </w:r>
      <w:r w:rsidRPr="00A52585">
        <w:rPr>
          <w:rFonts w:hint="cs"/>
          <w:sz w:val="24"/>
          <w:szCs w:val="24"/>
          <w:rtl/>
        </w:rPr>
        <w:t>(</w:t>
      </w:r>
      <w:r w:rsidR="00777DCB" w:rsidRPr="00A52585">
        <w:rPr>
          <w:rFonts w:hint="cs"/>
          <w:sz w:val="24"/>
          <w:szCs w:val="24"/>
          <w:rtl/>
        </w:rPr>
        <w:t>خلق الله تعالى آدم بيده وكتب التوراة بيده وغرس الجنة بيده ثم قال لها تكلمي فقالت</w:t>
      </w:r>
      <w:r w:rsidRPr="00A52585">
        <w:rPr>
          <w:rFonts w:hint="cs"/>
          <w:sz w:val="24"/>
          <w:szCs w:val="24"/>
          <w:rtl/>
        </w:rPr>
        <w:t>:</w:t>
      </w:r>
      <w:r w:rsidR="00777DCB" w:rsidRPr="00A52585">
        <w:rPr>
          <w:rFonts w:hint="cs"/>
          <w:sz w:val="24"/>
          <w:szCs w:val="24"/>
          <w:rtl/>
        </w:rPr>
        <w:t xml:space="preserve"> قد أفلح المؤمنون</w:t>
      </w:r>
      <w:r w:rsidRPr="00A52585">
        <w:rPr>
          <w:rFonts w:hint="cs"/>
          <w:sz w:val="24"/>
          <w:szCs w:val="24"/>
          <w:rtl/>
        </w:rPr>
        <w:t>)</w:t>
      </w:r>
      <w:r w:rsidR="00777DCB" w:rsidRPr="00A52585">
        <w:rPr>
          <w:rFonts w:hint="cs"/>
          <w:sz w:val="24"/>
          <w:szCs w:val="24"/>
          <w:rtl/>
        </w:rPr>
        <w:t xml:space="preserve"> رواه عبد الرزاق وابن جرير عن قتادة قال</w:t>
      </w:r>
      <w:r w:rsidRPr="00A52585">
        <w:rPr>
          <w:rFonts w:hint="cs"/>
          <w:sz w:val="24"/>
          <w:szCs w:val="24"/>
          <w:rtl/>
        </w:rPr>
        <w:t>:</w:t>
      </w:r>
      <w:r w:rsidR="00777DCB" w:rsidRPr="00A52585">
        <w:rPr>
          <w:rFonts w:hint="cs"/>
          <w:sz w:val="24"/>
          <w:szCs w:val="24"/>
          <w:rtl/>
        </w:rPr>
        <w:t xml:space="preserve"> قال كعب</w:t>
      </w:r>
      <w:r w:rsidR="00897A24"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روي ذلك مرفوعا من حديث أنس</w:t>
      </w:r>
      <w:r w:rsidRPr="00A52585">
        <w:rPr>
          <w:rFonts w:hint="cs"/>
          <w:sz w:val="24"/>
          <w:szCs w:val="24"/>
          <w:rtl/>
        </w:rPr>
        <w:t>:</w:t>
      </w:r>
      <w:r w:rsidR="00777DCB" w:rsidRPr="00A52585">
        <w:rPr>
          <w:rFonts w:hint="cs"/>
          <w:sz w:val="24"/>
          <w:szCs w:val="24"/>
          <w:rtl/>
        </w:rPr>
        <w:t xml:space="preserve"> خلق الله جنة عدن وغرس أشجارها بيده وقال لها تكلمي فقالت</w:t>
      </w:r>
      <w:r w:rsidRPr="00A52585">
        <w:rPr>
          <w:rFonts w:hint="cs"/>
          <w:sz w:val="24"/>
          <w:szCs w:val="24"/>
          <w:rtl/>
        </w:rPr>
        <w:t>:</w:t>
      </w:r>
      <w:r w:rsidR="00777DCB" w:rsidRPr="00A52585">
        <w:rPr>
          <w:rFonts w:hint="cs"/>
          <w:sz w:val="24"/>
          <w:szCs w:val="24"/>
          <w:rtl/>
        </w:rPr>
        <w:t xml:space="preserve"> قد أفلح المؤمنون</w:t>
      </w:r>
      <w:r w:rsidR="00DB731D" w:rsidRPr="00A52585">
        <w:rPr>
          <w:rFonts w:hint="cs"/>
          <w:sz w:val="24"/>
          <w:szCs w:val="24"/>
          <w:rtl/>
        </w:rPr>
        <w:t>،</w:t>
      </w:r>
      <w:r w:rsidR="00777DCB" w:rsidRPr="00A52585">
        <w:rPr>
          <w:rFonts w:hint="cs"/>
          <w:sz w:val="24"/>
          <w:szCs w:val="24"/>
          <w:rtl/>
        </w:rPr>
        <w:t xml:space="preserve"> رواه ابن عدي والحاكم والبيهقي في الاسماء والصفات</w:t>
      </w:r>
      <w:r w:rsidR="00DB731D" w:rsidRPr="00A52585">
        <w:rPr>
          <w:rFonts w:hint="cs"/>
          <w:sz w:val="24"/>
          <w:szCs w:val="24"/>
          <w:rtl/>
        </w:rPr>
        <w:t>،</w:t>
      </w:r>
      <w:r w:rsidR="00777DCB" w:rsidRPr="00A52585">
        <w:rPr>
          <w:rFonts w:hint="cs"/>
          <w:sz w:val="24"/>
          <w:szCs w:val="24"/>
          <w:rtl/>
        </w:rPr>
        <w:t xml:space="preserve"> ورواه الطبراني في السنة</w:t>
      </w:r>
      <w:r w:rsidR="00DB731D" w:rsidRPr="00A52585">
        <w:rPr>
          <w:rFonts w:hint="cs"/>
          <w:sz w:val="24"/>
          <w:szCs w:val="24"/>
          <w:rtl/>
        </w:rPr>
        <w:t>،</w:t>
      </w:r>
      <w:r w:rsidR="00777DCB" w:rsidRPr="00A52585">
        <w:rPr>
          <w:rFonts w:hint="cs"/>
          <w:sz w:val="24"/>
          <w:szCs w:val="24"/>
          <w:rtl/>
        </w:rPr>
        <w:t xml:space="preserve"> وابن </w:t>
      </w:r>
      <w:proofErr w:type="spellStart"/>
      <w:r w:rsidR="00777DCB" w:rsidRPr="00A52585">
        <w:rPr>
          <w:rFonts w:hint="cs"/>
          <w:sz w:val="24"/>
          <w:szCs w:val="24"/>
          <w:rtl/>
        </w:rPr>
        <w:t>مردويه</w:t>
      </w:r>
      <w:proofErr w:type="spellEnd"/>
      <w:r w:rsidR="00777DCB" w:rsidRPr="00A52585">
        <w:rPr>
          <w:rFonts w:hint="cs"/>
          <w:sz w:val="24"/>
          <w:szCs w:val="24"/>
          <w:rtl/>
        </w:rPr>
        <w:t xml:space="preserve"> من حديث ابن عباس مثله</w:t>
      </w:r>
      <w:r w:rsidR="00DB731D" w:rsidRPr="00A52585">
        <w:rPr>
          <w:rFonts w:hint="cs"/>
          <w:sz w:val="24"/>
          <w:szCs w:val="24"/>
          <w:rtl/>
        </w:rPr>
        <w:t>،</w:t>
      </w:r>
      <w:r w:rsidR="00777DCB" w:rsidRPr="00A52585">
        <w:rPr>
          <w:rFonts w:hint="cs"/>
          <w:sz w:val="24"/>
          <w:szCs w:val="24"/>
          <w:rtl/>
        </w:rPr>
        <w:t xml:space="preserve"> وروى الديلمي من حديث الحارث بن نوفل خلق الله ثلاثة أشياء بيده خلق آدم بيده وكتب التوراة بيده وغرس الفردوس بيده</w:t>
      </w:r>
      <w:r w:rsidR="00897A24" w:rsidRPr="00A52585">
        <w:rPr>
          <w:rFonts w:hint="cs"/>
          <w:sz w:val="24"/>
          <w:szCs w:val="24"/>
          <w:rtl/>
        </w:rPr>
        <w:t>...</w:t>
      </w:r>
      <w:r w:rsidR="00777DCB" w:rsidRPr="00A52585">
        <w:rPr>
          <w:rFonts w:hint="cs"/>
          <w:sz w:val="24"/>
          <w:szCs w:val="24"/>
          <w:rtl/>
        </w:rPr>
        <w:t xml:space="preserve"> " اه‍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هذا حديث مسلسل بالعلل</w:t>
      </w:r>
      <w:r w:rsidR="00DB731D" w:rsidRPr="00A52585">
        <w:rPr>
          <w:rFonts w:hint="cs"/>
          <w:sz w:val="24"/>
          <w:szCs w:val="24"/>
          <w:rtl/>
        </w:rPr>
        <w:t>،</w:t>
      </w:r>
      <w:r w:rsidR="00777DCB" w:rsidRPr="00A52585">
        <w:rPr>
          <w:rFonts w:hint="cs"/>
          <w:sz w:val="24"/>
          <w:szCs w:val="24"/>
          <w:rtl/>
        </w:rPr>
        <w:t xml:space="preserve"> وهو اسرائيلي من كلام كعب الاحبار </w:t>
      </w:r>
      <w:proofErr w:type="spellStart"/>
      <w:r w:rsidR="00777DCB" w:rsidRPr="00A52585">
        <w:rPr>
          <w:rFonts w:hint="cs"/>
          <w:sz w:val="24"/>
          <w:szCs w:val="24"/>
          <w:rtl/>
        </w:rPr>
        <w:t>لاجل</w:t>
      </w:r>
      <w:proofErr w:type="spellEnd"/>
      <w:r w:rsidR="00777DCB" w:rsidRPr="00A52585">
        <w:rPr>
          <w:rFonts w:hint="cs"/>
          <w:sz w:val="24"/>
          <w:szCs w:val="24"/>
          <w:rtl/>
        </w:rPr>
        <w:t xml:space="preserve"> ذكر التوراة فيه وهو موضوع لم يقله النبي صلى الله عليه وسلم زيادة على أنه خطأ لأنّه معارض لقوله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أولم يروا أنا خلقنا لهم مما عملت أيدينا أنعاما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والسماء بنيناها بأيد</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وأيد هنا جمع يد وهي الكف بدليل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أم لهم أيد يبطشون بها</w:t>
      </w:r>
      <w:r w:rsidRPr="00A52585">
        <w:rPr>
          <w:rFonts w:hint="cs"/>
          <w:sz w:val="24"/>
          <w:szCs w:val="24"/>
          <w:rtl/>
        </w:rPr>
        <w:t>)</w:t>
      </w:r>
      <w:r w:rsidR="00F95886"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حديث لا يثبت عن قائله وقد تكلمنا عليه عند قوله تعالى </w:t>
      </w:r>
      <w:r w:rsidRPr="00A52585">
        <w:rPr>
          <w:rFonts w:hint="cs"/>
          <w:rtl/>
        </w:rPr>
        <w:t>(</w:t>
      </w:r>
      <w:r w:rsidR="00777DCB" w:rsidRPr="00A52585">
        <w:rPr>
          <w:rFonts w:hint="cs"/>
          <w:rtl/>
        </w:rPr>
        <w:t>لما خلقت بيدي</w:t>
      </w:r>
      <w:r w:rsidRPr="00A52585">
        <w:rPr>
          <w:rFonts w:hint="cs"/>
          <w:rtl/>
        </w:rPr>
        <w:t>)</w:t>
      </w:r>
      <w:r w:rsidR="00DB731D" w:rsidRPr="00A52585">
        <w:rPr>
          <w:rFonts w:hint="cs"/>
          <w:rtl/>
        </w:rPr>
        <w:t>،</w:t>
      </w:r>
      <w:r w:rsidR="00777DCB" w:rsidRPr="00A52585">
        <w:rPr>
          <w:rFonts w:hint="cs"/>
          <w:rtl/>
        </w:rPr>
        <w:t xml:space="preserve"> </w:t>
      </w:r>
    </w:p>
    <w:p w14:paraId="177DE17A" w14:textId="4265CC64" w:rsidR="00777DCB" w:rsidRPr="00A52585" w:rsidRDefault="0002035C" w:rsidP="0002035C">
      <w:pPr>
        <w:rPr>
          <w:b/>
          <w:rtl/>
        </w:rPr>
      </w:pPr>
      <w:r w:rsidRPr="00A52585">
        <w:rPr>
          <w:rFonts w:hint="cs"/>
          <w:bCs/>
          <w:u w:val="single"/>
          <w:rtl/>
        </w:rPr>
        <w:t>[</w:t>
      </w:r>
      <w:r w:rsidR="00777DCB" w:rsidRPr="00A52585">
        <w:rPr>
          <w:rFonts w:hint="cs"/>
          <w:bCs/>
          <w:u w:val="single"/>
          <w:rtl/>
        </w:rPr>
        <w:t>47</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 والاربعون</w:t>
      </w:r>
      <w:r w:rsidRPr="00A52585">
        <w:rPr>
          <w:rFonts w:hint="cs"/>
          <w:bCs/>
          <w:rtl/>
        </w:rPr>
        <w:t>]:</w:t>
      </w:r>
      <w:r w:rsidR="00777DCB" w:rsidRPr="00A52585">
        <w:rPr>
          <w:rFonts w:hint="cs"/>
          <w:rtl/>
        </w:rPr>
        <w:t xml:space="preserve"> روى ابن عباس - رضي الله عنهما - عن النبي صلى الله عليه وسلم في قوله تعالى </w:t>
      </w:r>
      <w:r w:rsidRPr="00A52585">
        <w:rPr>
          <w:rFonts w:hint="cs"/>
          <w:rtl/>
        </w:rPr>
        <w:t>(</w:t>
      </w:r>
      <w:r w:rsidR="00777DCB" w:rsidRPr="00A52585">
        <w:rPr>
          <w:rFonts w:hint="cs"/>
          <w:rtl/>
        </w:rPr>
        <w:t xml:space="preserve">وسع كرسيه </w:t>
      </w:r>
      <w:proofErr w:type="gramStart"/>
      <w:r w:rsidR="00777DCB" w:rsidRPr="00A52585">
        <w:rPr>
          <w:rFonts w:hint="cs"/>
          <w:rtl/>
        </w:rPr>
        <w:t>السموات</w:t>
      </w:r>
      <w:proofErr w:type="gramEnd"/>
      <w:r w:rsidR="00777DCB" w:rsidRPr="00A52585">
        <w:rPr>
          <w:rFonts w:hint="cs"/>
          <w:rtl/>
        </w:rPr>
        <w:t xml:space="preserve"> والارض</w:t>
      </w:r>
      <w:r w:rsidRPr="00A52585">
        <w:rPr>
          <w:rFonts w:hint="cs"/>
          <w:rtl/>
        </w:rPr>
        <w:t>)</w:t>
      </w:r>
      <w:r w:rsidR="00777DCB" w:rsidRPr="00A52585">
        <w:rPr>
          <w:rFonts w:hint="cs"/>
          <w:rtl/>
        </w:rPr>
        <w:t xml:space="preserve"> البقرة</w:t>
      </w:r>
      <w:r w:rsidRPr="00A52585">
        <w:rPr>
          <w:rFonts w:hint="cs"/>
          <w:rtl/>
        </w:rPr>
        <w:t>:</w:t>
      </w:r>
      <w:r w:rsidR="00777DCB" w:rsidRPr="00A52585">
        <w:rPr>
          <w:rFonts w:hint="cs"/>
          <w:rtl/>
        </w:rPr>
        <w:t xml:space="preserve"> 255</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 كرسيه موضع قدميه</w:t>
      </w:r>
      <w:r w:rsidR="00DB731D" w:rsidRPr="00A52585">
        <w:rPr>
          <w:rFonts w:hint="cs"/>
          <w:rtl/>
        </w:rPr>
        <w:t>،</w:t>
      </w:r>
      <w:r w:rsidR="00777DCB" w:rsidRPr="00A52585">
        <w:rPr>
          <w:rFonts w:hint="cs"/>
          <w:rtl/>
        </w:rPr>
        <w:t xml:space="preserve"> والعرش لا يقدر قدره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نجزم بوضعه رواه ابن الجوزي في " العلل المتناهية في الأحاديث الواهية " </w:t>
      </w:r>
      <w:r w:rsidRPr="00A52585">
        <w:rPr>
          <w:rFonts w:hint="cs"/>
          <w:sz w:val="24"/>
          <w:szCs w:val="24"/>
          <w:rtl/>
        </w:rPr>
        <w:t>(</w:t>
      </w:r>
      <w:r w:rsidR="00777DCB" w:rsidRPr="00A52585">
        <w:rPr>
          <w:rFonts w:hint="cs"/>
          <w:sz w:val="24"/>
          <w:szCs w:val="24"/>
          <w:rtl/>
        </w:rPr>
        <w:t>1 / 22</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والخطيب البغدادي في تاريخه </w:t>
      </w:r>
      <w:r w:rsidRPr="00A52585">
        <w:rPr>
          <w:rFonts w:hint="cs"/>
          <w:sz w:val="24"/>
          <w:szCs w:val="24"/>
          <w:rtl/>
        </w:rPr>
        <w:t>(</w:t>
      </w:r>
      <w:r w:rsidR="00777DCB" w:rsidRPr="00A52585">
        <w:rPr>
          <w:rFonts w:hint="cs"/>
          <w:sz w:val="24"/>
          <w:szCs w:val="24"/>
          <w:rtl/>
        </w:rPr>
        <w:t>9 / 251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ورواه الحاكم </w:t>
      </w:r>
      <w:r w:rsidRPr="00A52585">
        <w:rPr>
          <w:rFonts w:hint="cs"/>
          <w:sz w:val="24"/>
          <w:szCs w:val="24"/>
          <w:rtl/>
        </w:rPr>
        <w:t>(</w:t>
      </w:r>
      <w:r w:rsidR="00777DCB" w:rsidRPr="00A52585">
        <w:rPr>
          <w:rFonts w:hint="cs"/>
          <w:sz w:val="24"/>
          <w:szCs w:val="24"/>
          <w:rtl/>
        </w:rPr>
        <w:t>2 / 282</w:t>
      </w:r>
      <w:r w:rsidRPr="00A52585">
        <w:rPr>
          <w:rFonts w:hint="cs"/>
          <w:sz w:val="24"/>
          <w:szCs w:val="24"/>
          <w:rtl/>
        </w:rPr>
        <w:t>)</w:t>
      </w:r>
      <w:r w:rsidR="00777DCB" w:rsidRPr="00A52585">
        <w:rPr>
          <w:rFonts w:hint="cs"/>
          <w:sz w:val="24"/>
          <w:szCs w:val="24"/>
          <w:rtl/>
        </w:rPr>
        <w:t xml:space="preserve"> موقوفا وقال</w:t>
      </w:r>
      <w:r w:rsidRPr="00A52585">
        <w:rPr>
          <w:rFonts w:hint="cs"/>
          <w:sz w:val="24"/>
          <w:szCs w:val="24"/>
          <w:rtl/>
        </w:rPr>
        <w:t>:</w:t>
      </w:r>
      <w:r w:rsidR="00777DCB" w:rsidRPr="00A52585">
        <w:rPr>
          <w:rFonts w:hint="cs"/>
          <w:sz w:val="24"/>
          <w:szCs w:val="24"/>
          <w:rtl/>
        </w:rPr>
        <w:t xml:space="preserve"> على شرط الشيخين</w:t>
      </w:r>
      <w:r w:rsidR="00F95886"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ووافقه</w:t>
      </w:r>
      <w:proofErr w:type="spellEnd"/>
      <w:r w:rsidR="00777DCB" w:rsidRPr="00A52585">
        <w:rPr>
          <w:rFonts w:hint="cs"/>
          <w:sz w:val="24"/>
          <w:szCs w:val="24"/>
          <w:rtl/>
        </w:rPr>
        <w:t xml:space="preserve"> الذهبي</w:t>
      </w:r>
      <w:r w:rsidR="00F95886" w:rsidRPr="00A52585">
        <w:rPr>
          <w:rFonts w:hint="cs"/>
          <w:sz w:val="24"/>
          <w:szCs w:val="24"/>
          <w:rtl/>
        </w:rPr>
        <w:t>!!</w:t>
      </w:r>
      <w:r w:rsidR="00777DCB" w:rsidRPr="00A52585">
        <w:rPr>
          <w:rFonts w:hint="cs"/>
          <w:sz w:val="24"/>
          <w:szCs w:val="24"/>
          <w:rtl/>
        </w:rPr>
        <w:t xml:space="preserve"> وذكر الهيثمي في " مجمع الزوائد " </w:t>
      </w:r>
      <w:r w:rsidRPr="00A52585">
        <w:rPr>
          <w:rFonts w:hint="cs"/>
          <w:sz w:val="24"/>
          <w:szCs w:val="24"/>
          <w:rtl/>
        </w:rPr>
        <w:t>(</w:t>
      </w:r>
      <w:r w:rsidR="00777DCB" w:rsidRPr="00A52585">
        <w:rPr>
          <w:rFonts w:hint="cs"/>
          <w:sz w:val="24"/>
          <w:szCs w:val="24"/>
          <w:rtl/>
        </w:rPr>
        <w:t>6 / 323</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رجاله رجال الصحيح "</w:t>
      </w:r>
      <w:r w:rsidR="00F95886"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وهو منكر ضعيف</w:t>
      </w:r>
      <w:r w:rsidR="00DB731D" w:rsidRPr="00A52585">
        <w:rPr>
          <w:rFonts w:hint="cs"/>
          <w:sz w:val="24"/>
          <w:szCs w:val="24"/>
          <w:rtl/>
        </w:rPr>
        <w:t>،</w:t>
      </w:r>
      <w:r w:rsidR="00777DCB" w:rsidRPr="00A52585">
        <w:rPr>
          <w:rFonts w:hint="cs"/>
          <w:sz w:val="24"/>
          <w:szCs w:val="24"/>
          <w:rtl/>
        </w:rPr>
        <w:t xml:space="preserve"> اقتضى الحكم عليه بالوضع</w:t>
      </w:r>
      <w:r w:rsidR="00DB731D" w:rsidRPr="00A52585">
        <w:rPr>
          <w:rFonts w:hint="cs"/>
          <w:sz w:val="24"/>
          <w:szCs w:val="24"/>
          <w:rtl/>
        </w:rPr>
        <w:t>،</w:t>
      </w:r>
      <w:r w:rsidR="00777DCB" w:rsidRPr="00A52585">
        <w:rPr>
          <w:rFonts w:hint="cs"/>
          <w:sz w:val="24"/>
          <w:szCs w:val="24"/>
          <w:rtl/>
        </w:rPr>
        <w:t xml:space="preserve"> ولا يبعد أن يكون منقولا عن أهل الكتاب</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رواه جماعة من الاثبات فوقفوه على ابن عباس</w:t>
      </w:r>
      <w:r w:rsidR="00DB731D" w:rsidRPr="00A52585">
        <w:rPr>
          <w:rFonts w:hint="cs"/>
          <w:rtl/>
        </w:rPr>
        <w:t>،</w:t>
      </w:r>
      <w:r w:rsidR="00777DCB" w:rsidRPr="00A52585">
        <w:rPr>
          <w:rFonts w:hint="cs"/>
          <w:rtl/>
        </w:rPr>
        <w:t xml:space="preserve"> ورفعه منهم شجاع بن مخلد فعلم بمخالفته الكبار المتقنين أنه قد غلط</w:t>
      </w:r>
      <w:r w:rsidR="00DB731D" w:rsidRPr="00A52585">
        <w:rPr>
          <w:rFonts w:hint="cs"/>
          <w:rtl/>
        </w:rPr>
        <w:t>،</w:t>
      </w:r>
      <w:r w:rsidR="00777DCB" w:rsidRPr="00A52585">
        <w:rPr>
          <w:rFonts w:hint="cs"/>
          <w:rtl/>
        </w:rPr>
        <w:t xml:space="preserve"> ومعنى الحديث</w:t>
      </w:r>
      <w:r w:rsidRPr="00A52585">
        <w:rPr>
          <w:rFonts w:hint="cs"/>
          <w:rtl/>
        </w:rPr>
        <w:t>:</w:t>
      </w:r>
      <w:r w:rsidR="00777DCB" w:rsidRPr="00A52585">
        <w:rPr>
          <w:rFonts w:hint="cs"/>
          <w:rtl/>
        </w:rPr>
        <w:t xml:space="preserve"> أن الكرسي صغير بالإضافة إلى العرش كمقدار كرسي يكون عنده سرير قد وضع لقدمي القاعد على السرير</w:t>
      </w:r>
      <w:r w:rsidR="00DB731D" w:rsidRPr="00A52585">
        <w:rPr>
          <w:rFonts w:hint="cs"/>
          <w:rtl/>
        </w:rPr>
        <w:t>،</w:t>
      </w:r>
      <w:r w:rsidR="00777DCB" w:rsidRPr="00A52585">
        <w:rPr>
          <w:rFonts w:hint="cs"/>
          <w:rtl/>
        </w:rPr>
        <w:t xml:space="preserve"> قال الضحاك</w:t>
      </w:r>
      <w:r w:rsidRPr="00A52585">
        <w:rPr>
          <w:rFonts w:hint="cs"/>
          <w:rtl/>
        </w:rPr>
        <w:t>:</w:t>
      </w:r>
      <w:r w:rsidR="00777DCB" w:rsidRPr="00A52585">
        <w:rPr>
          <w:rFonts w:hint="cs"/>
          <w:rtl/>
        </w:rPr>
        <w:t xml:space="preserve"> الكرسي الذي تجعل الملوك أرجلهم عليه</w:t>
      </w:r>
      <w:r w:rsidR="00DB731D" w:rsidRPr="00A52585">
        <w:rPr>
          <w:rFonts w:hint="cs"/>
          <w:rtl/>
        </w:rPr>
        <w:t>،</w:t>
      </w:r>
      <w:r w:rsidR="00777DCB" w:rsidRPr="00A52585">
        <w:rPr>
          <w:rFonts w:hint="cs"/>
          <w:rtl/>
        </w:rPr>
        <w:t xml:space="preserve"> وقال القاضي أبو يعلى</w:t>
      </w:r>
      <w:r w:rsidRPr="00A52585">
        <w:rPr>
          <w:rFonts w:hint="cs"/>
          <w:rtl/>
        </w:rPr>
        <w:t>:</w:t>
      </w:r>
      <w:r w:rsidR="00777DCB" w:rsidRPr="00A52585">
        <w:rPr>
          <w:rFonts w:hint="cs"/>
          <w:rtl/>
        </w:rPr>
        <w:t xml:space="preserve"> القدم قدم الذات</w:t>
      </w:r>
      <w:r w:rsidR="00DB731D" w:rsidRPr="00A52585">
        <w:rPr>
          <w:rFonts w:hint="cs"/>
          <w:rtl/>
        </w:rPr>
        <w:t>،</w:t>
      </w:r>
      <w:r w:rsidR="00777DCB" w:rsidRPr="00A52585">
        <w:rPr>
          <w:rFonts w:hint="cs"/>
          <w:rtl/>
        </w:rPr>
        <w:t xml:space="preserve"> وهي التي يضعها في النار</w:t>
      </w:r>
      <w:r w:rsidR="00DB731D" w:rsidRPr="00A52585">
        <w:rPr>
          <w:rFonts w:hint="cs"/>
          <w:rtl/>
        </w:rPr>
        <w:t>،</w:t>
      </w:r>
      <w:r w:rsidR="00777DCB" w:rsidRPr="00A52585">
        <w:rPr>
          <w:rFonts w:hint="cs"/>
          <w:rtl/>
        </w:rPr>
        <w:t xml:space="preserve"> </w:t>
      </w:r>
    </w:p>
    <w:p w14:paraId="533FD14C" w14:textId="51EB6E3D" w:rsidR="00777DCB" w:rsidRPr="00A52585" w:rsidRDefault="0002035C" w:rsidP="0002035C">
      <w:pPr>
        <w:rPr>
          <w:b/>
          <w:rtl/>
        </w:rPr>
      </w:pPr>
      <w:r w:rsidRPr="00A52585">
        <w:rPr>
          <w:rFonts w:hint="cs"/>
          <w:bCs/>
          <w:u w:val="single"/>
          <w:rtl/>
        </w:rPr>
        <w:t>[</w:t>
      </w:r>
      <w:r w:rsidR="00777DCB" w:rsidRPr="00A52585">
        <w:rPr>
          <w:rFonts w:hint="cs"/>
          <w:bCs/>
          <w:u w:val="single"/>
          <w:rtl/>
        </w:rPr>
        <w:t>48</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 والاربعون</w:t>
      </w:r>
      <w:r w:rsidRPr="00A52585">
        <w:rPr>
          <w:rFonts w:hint="cs"/>
          <w:bCs/>
          <w:rtl/>
        </w:rPr>
        <w:t>]:</w:t>
      </w:r>
      <w:r w:rsidR="00777DCB" w:rsidRPr="00A52585">
        <w:rPr>
          <w:rFonts w:hint="cs"/>
          <w:rtl/>
        </w:rPr>
        <w:t xml:space="preserve"> حديث العباس رضي الله عنه</w:t>
      </w:r>
      <w:r w:rsidR="00DB731D" w:rsidRPr="00A52585">
        <w:rPr>
          <w:rFonts w:hint="cs"/>
          <w:rtl/>
        </w:rPr>
        <w:t>،</w:t>
      </w:r>
      <w:r w:rsidR="00777DCB" w:rsidRPr="00A52585">
        <w:rPr>
          <w:rFonts w:hint="cs"/>
          <w:rtl/>
        </w:rPr>
        <w:t xml:space="preserve"> عن رسول الله صلى الله عليه وسلم أنه قال</w:t>
      </w:r>
      <w:r w:rsidRPr="00A52585">
        <w:rPr>
          <w:rFonts w:hint="cs"/>
          <w:rtl/>
        </w:rPr>
        <w:t>:</w:t>
      </w:r>
      <w:r w:rsidR="00777DCB" w:rsidRPr="00A52585">
        <w:rPr>
          <w:rFonts w:hint="cs"/>
          <w:rtl/>
        </w:rPr>
        <w:t xml:space="preserve"> " فوق السماء السابعة بحر بين أعلاه وأسفله كما بين السماء والارض</w:t>
      </w:r>
      <w:r w:rsidR="00DB731D" w:rsidRPr="00A52585">
        <w:rPr>
          <w:rFonts w:hint="cs"/>
          <w:rtl/>
        </w:rPr>
        <w:t>،</w:t>
      </w:r>
      <w:r w:rsidR="00777DCB" w:rsidRPr="00A52585">
        <w:rPr>
          <w:rFonts w:hint="cs"/>
          <w:rtl/>
        </w:rPr>
        <w:t xml:space="preserve"> والله تعالى فوق ذلك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هذه قطعة من حديث موضوع رواه أحمد في مسنده </w:t>
      </w:r>
      <w:r w:rsidRPr="00A52585">
        <w:rPr>
          <w:rFonts w:hint="cs"/>
          <w:sz w:val="24"/>
          <w:szCs w:val="24"/>
          <w:rtl/>
        </w:rPr>
        <w:t>(</w:t>
      </w:r>
      <w:r w:rsidR="00777DCB" w:rsidRPr="00A52585">
        <w:rPr>
          <w:rFonts w:hint="cs"/>
          <w:sz w:val="24"/>
          <w:szCs w:val="24"/>
          <w:rtl/>
        </w:rPr>
        <w:t>1 / 206</w:t>
      </w:r>
      <w:r w:rsidRPr="00A52585">
        <w:rPr>
          <w:rFonts w:hint="cs"/>
          <w:sz w:val="24"/>
          <w:szCs w:val="24"/>
          <w:rtl/>
        </w:rPr>
        <w:t>)</w:t>
      </w:r>
      <w:r w:rsidR="00777DCB" w:rsidRPr="00A52585">
        <w:rPr>
          <w:rFonts w:hint="cs"/>
          <w:sz w:val="24"/>
          <w:szCs w:val="24"/>
          <w:rtl/>
        </w:rPr>
        <w:t xml:space="preserve"> من طريق عبد الرزاق عن يحيى بن العلاء عن شعيب بن خالد عن سماك بن حرب عن عبد الله بن </w:t>
      </w:r>
      <w:proofErr w:type="spellStart"/>
      <w:r w:rsidR="00777DCB" w:rsidRPr="00A52585">
        <w:rPr>
          <w:rFonts w:hint="cs"/>
          <w:sz w:val="24"/>
          <w:szCs w:val="24"/>
          <w:rtl/>
        </w:rPr>
        <w:t>عميره</w:t>
      </w:r>
      <w:proofErr w:type="spellEnd"/>
      <w:r w:rsidR="00777DCB" w:rsidRPr="00A52585">
        <w:rPr>
          <w:rFonts w:hint="cs"/>
          <w:sz w:val="24"/>
          <w:szCs w:val="24"/>
          <w:rtl/>
        </w:rPr>
        <w:t xml:space="preserve"> عن العباس عم النبي صلى الله عليه وسلم مرفوعا</w:t>
      </w:r>
      <w:r w:rsidR="00DB731D" w:rsidRPr="00A52585">
        <w:rPr>
          <w:rFonts w:hint="cs"/>
          <w:sz w:val="24"/>
          <w:szCs w:val="24"/>
          <w:rtl/>
        </w:rPr>
        <w:t>،</w:t>
      </w:r>
      <w:r w:rsidR="00777DCB" w:rsidRPr="00A52585">
        <w:rPr>
          <w:rFonts w:hint="cs"/>
          <w:sz w:val="24"/>
          <w:szCs w:val="24"/>
          <w:rtl/>
        </w:rPr>
        <w:t xml:space="preserve"> ورواه أبو داود </w:t>
      </w:r>
      <w:r w:rsidRPr="00A52585">
        <w:rPr>
          <w:rFonts w:hint="cs"/>
          <w:sz w:val="24"/>
          <w:szCs w:val="24"/>
          <w:rtl/>
        </w:rPr>
        <w:t>(</w:t>
      </w:r>
      <w:r w:rsidR="00777DCB" w:rsidRPr="00A52585">
        <w:rPr>
          <w:rFonts w:hint="cs"/>
          <w:sz w:val="24"/>
          <w:szCs w:val="24"/>
          <w:rtl/>
        </w:rPr>
        <w:t>4 / 231 برقم 4723</w:t>
      </w:r>
      <w:r w:rsidRPr="00A52585">
        <w:rPr>
          <w:rFonts w:hint="cs"/>
          <w:sz w:val="24"/>
          <w:szCs w:val="24"/>
          <w:rtl/>
        </w:rPr>
        <w:t>)</w:t>
      </w:r>
      <w:r w:rsidR="00777DCB" w:rsidRPr="00A52585">
        <w:rPr>
          <w:rFonts w:hint="cs"/>
          <w:sz w:val="24"/>
          <w:szCs w:val="24"/>
          <w:rtl/>
        </w:rPr>
        <w:t xml:space="preserve"> وابن ماجه </w:t>
      </w:r>
      <w:r w:rsidRPr="00A52585">
        <w:rPr>
          <w:rFonts w:hint="cs"/>
          <w:sz w:val="24"/>
          <w:szCs w:val="24"/>
          <w:rtl/>
        </w:rPr>
        <w:t>(</w:t>
      </w:r>
      <w:r w:rsidR="00777DCB" w:rsidRPr="00A52585">
        <w:rPr>
          <w:rFonts w:hint="cs"/>
          <w:sz w:val="24"/>
          <w:szCs w:val="24"/>
          <w:rtl/>
        </w:rPr>
        <w:t>1 / 69]</w:t>
      </w:r>
      <w:r w:rsidR="00777DCB" w:rsidRPr="00A52585">
        <w:rPr>
          <w:rFonts w:hint="cs"/>
          <w:rtl/>
        </w:rPr>
        <w:t xml:space="preserve"> </w:t>
      </w:r>
      <w:r w:rsidRPr="00A52585">
        <w:rPr>
          <w:rFonts w:hint="cs"/>
          <w:rtl/>
        </w:rPr>
        <w:t>(</w:t>
      </w:r>
      <w:r w:rsidR="00777DCB" w:rsidRPr="00A52585">
        <w:rPr>
          <w:rFonts w:hint="cs"/>
          <w:rtl/>
        </w:rPr>
        <w:t>199</w:t>
      </w:r>
      <w:r w:rsidRPr="00A52585">
        <w:rPr>
          <w:rFonts w:hint="cs"/>
          <w:rtl/>
        </w:rPr>
        <w:t>)</w:t>
      </w:r>
      <w:r w:rsidR="00DB731D" w:rsidRPr="00A52585">
        <w:rPr>
          <w:rFonts w:hint="cs"/>
          <w:rtl/>
        </w:rPr>
        <w:t>،</w:t>
      </w:r>
      <w:r w:rsidR="00777DCB" w:rsidRPr="00A52585">
        <w:rPr>
          <w:rFonts w:hint="cs"/>
          <w:rtl/>
        </w:rPr>
        <w:t xml:space="preserve"> هذا حديث لا يصح تفرد به يحيى بن العلاء</w:t>
      </w:r>
      <w:r w:rsidR="00DB731D" w:rsidRPr="00A52585">
        <w:rPr>
          <w:rFonts w:hint="cs"/>
          <w:rtl/>
        </w:rPr>
        <w:t>،</w:t>
      </w:r>
      <w:r w:rsidR="00777DCB" w:rsidRPr="00A52585">
        <w:rPr>
          <w:rFonts w:hint="cs"/>
          <w:rtl/>
        </w:rPr>
        <w:t xml:space="preserve"> قال أحمد</w:t>
      </w:r>
      <w:r w:rsidRPr="00A52585">
        <w:rPr>
          <w:rFonts w:hint="cs"/>
          <w:rtl/>
        </w:rPr>
        <w:t>:</w:t>
      </w:r>
      <w:r w:rsidR="00777DCB" w:rsidRPr="00A52585">
        <w:rPr>
          <w:rFonts w:hint="cs"/>
          <w:rtl/>
        </w:rPr>
        <w:t xml:space="preserve"> هو كذاب يضع الحديث</w:t>
      </w:r>
      <w:r w:rsidR="00DB731D" w:rsidRPr="00A52585">
        <w:rPr>
          <w:rFonts w:hint="cs"/>
          <w:rtl/>
        </w:rPr>
        <w:t>،</w:t>
      </w:r>
      <w:r w:rsidR="00777DCB" w:rsidRPr="00A52585">
        <w:rPr>
          <w:rFonts w:hint="cs"/>
          <w:rtl/>
        </w:rPr>
        <w:t xml:space="preserve"> وقال يحيى بن معين</w:t>
      </w:r>
      <w:r w:rsidRPr="00A52585">
        <w:rPr>
          <w:rFonts w:hint="cs"/>
          <w:rtl/>
        </w:rPr>
        <w:t>:</w:t>
      </w:r>
      <w:r w:rsidR="00777DCB" w:rsidRPr="00A52585">
        <w:rPr>
          <w:rFonts w:hint="cs"/>
          <w:rtl/>
        </w:rPr>
        <w:t xml:space="preserve"> ليس بثقة</w:t>
      </w:r>
      <w:r w:rsidR="00DB731D" w:rsidRPr="00A52585">
        <w:rPr>
          <w:rFonts w:hint="cs"/>
          <w:rtl/>
        </w:rPr>
        <w:t>،</w:t>
      </w:r>
      <w:r w:rsidR="00777DCB" w:rsidRPr="00A52585">
        <w:rPr>
          <w:rFonts w:hint="cs"/>
          <w:rtl/>
        </w:rPr>
        <w:t xml:space="preserve"> وقال ابن </w:t>
      </w:r>
      <w:r w:rsidR="00777DCB" w:rsidRPr="00A52585">
        <w:rPr>
          <w:rFonts w:hint="cs"/>
          <w:rtl/>
        </w:rPr>
        <w:lastRenderedPageBreak/>
        <w:t>عدي</w:t>
      </w:r>
      <w:r w:rsidRPr="00A52585">
        <w:rPr>
          <w:rFonts w:hint="cs"/>
          <w:rtl/>
        </w:rPr>
        <w:t>:</w:t>
      </w:r>
      <w:r w:rsidR="00777DCB" w:rsidRPr="00A52585">
        <w:rPr>
          <w:rFonts w:hint="cs"/>
          <w:rtl/>
        </w:rPr>
        <w:t xml:space="preserve"> أحاديثه موضوعة وقد تكلمنا على الفوقية عند قوله تعالى </w:t>
      </w:r>
      <w:r w:rsidRPr="00A52585">
        <w:rPr>
          <w:rFonts w:hint="cs"/>
          <w:rtl/>
        </w:rPr>
        <w:t>(</w:t>
      </w:r>
      <w:r w:rsidR="00777DCB" w:rsidRPr="00A52585">
        <w:rPr>
          <w:rFonts w:hint="cs"/>
          <w:rtl/>
        </w:rPr>
        <w:t>وهو القاهر فوق عباده</w:t>
      </w:r>
      <w:r w:rsidRPr="00A52585">
        <w:rPr>
          <w:rFonts w:hint="cs"/>
          <w:rtl/>
        </w:rPr>
        <w:t>)</w:t>
      </w:r>
      <w:r w:rsidR="00777DCB" w:rsidRPr="00A52585">
        <w:rPr>
          <w:rFonts w:hint="cs"/>
          <w:rtl/>
        </w:rPr>
        <w:t xml:space="preserve"> الانعام</w:t>
      </w:r>
      <w:r w:rsidRPr="00A52585">
        <w:rPr>
          <w:rFonts w:hint="cs"/>
          <w:rtl/>
        </w:rPr>
        <w:t>:</w:t>
      </w:r>
      <w:r w:rsidR="00777DCB" w:rsidRPr="00A52585">
        <w:rPr>
          <w:rFonts w:hint="cs"/>
          <w:rtl/>
        </w:rPr>
        <w:t xml:space="preserve"> 18</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المراد من الفوقية</w:t>
      </w:r>
      <w:r w:rsidRPr="00A52585">
        <w:rPr>
          <w:rFonts w:hint="cs"/>
          <w:rtl/>
        </w:rPr>
        <w:t>:</w:t>
      </w:r>
      <w:r w:rsidR="00777DCB" w:rsidRPr="00A52585">
        <w:rPr>
          <w:rFonts w:hint="cs"/>
          <w:rtl/>
        </w:rPr>
        <w:t xml:space="preserve"> استواء الذات على العرش</w:t>
      </w:r>
      <w:r w:rsidR="00DB731D" w:rsidRPr="00A52585">
        <w:rPr>
          <w:rFonts w:hint="cs"/>
          <w:rtl/>
        </w:rPr>
        <w:t>،</w:t>
      </w:r>
      <w:r w:rsidR="00777DCB" w:rsidRPr="00A52585">
        <w:rPr>
          <w:rFonts w:hint="cs"/>
          <w:rtl/>
        </w:rPr>
        <w:t xml:space="preserve"> وقال</w:t>
      </w:r>
      <w:r w:rsidRPr="00A52585">
        <w:rPr>
          <w:rFonts w:hint="cs"/>
          <w:rtl/>
        </w:rPr>
        <w:t>:</w:t>
      </w:r>
      <w:r w:rsidR="00777DCB" w:rsidRPr="00A52585">
        <w:rPr>
          <w:rFonts w:hint="cs"/>
          <w:rtl/>
        </w:rPr>
        <w:t xml:space="preserve"> هو على العرش ما حاذى العرش من ذاته فهو حد له وما عدا الجهة المحاذية للعرش وهو الفوق والخلف والامام واليسرة لا يحد</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الكلام أصل التجسيم لان المحاذي يكون أكبر أو أصغر والمقادير لا تكون إلا في الاجسام</w:t>
      </w:r>
      <w:r w:rsidR="00DB731D" w:rsidRPr="00A52585">
        <w:rPr>
          <w:rFonts w:hint="cs"/>
          <w:rtl/>
        </w:rPr>
        <w:t>،</w:t>
      </w:r>
      <w:r w:rsidR="00777DCB" w:rsidRPr="00A52585">
        <w:rPr>
          <w:rFonts w:hint="cs"/>
          <w:rtl/>
        </w:rPr>
        <w:t xml:space="preserve"> قال القاضي أبو يعلى</w:t>
      </w:r>
      <w:r w:rsidRPr="00A52585">
        <w:rPr>
          <w:rFonts w:hint="cs"/>
          <w:rtl/>
        </w:rPr>
        <w:t>:</w:t>
      </w:r>
      <w:r w:rsidR="00777DCB" w:rsidRPr="00A52585">
        <w:rPr>
          <w:rFonts w:hint="cs"/>
          <w:rtl/>
        </w:rPr>
        <w:t xml:space="preserve"> إذا ثبت أنه مستو على العرش فهل يجوز ان نطلق عليه الجلوس والقيام</w:t>
      </w:r>
      <w:r w:rsidR="00DB731D" w:rsidRPr="00A52585">
        <w:rPr>
          <w:rFonts w:hint="cs"/>
          <w:rtl/>
        </w:rPr>
        <w:t>،</w:t>
      </w:r>
      <w:r w:rsidR="00777DCB" w:rsidRPr="00A52585">
        <w:rPr>
          <w:rFonts w:hint="cs"/>
          <w:rtl/>
        </w:rPr>
        <w:t xml:space="preserve"> وما وجدت عن إمامنا في هذا شيئا</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وكلا الشيئين لا يصح</w:t>
      </w:r>
      <w:r w:rsidR="00DB731D" w:rsidRPr="00A52585">
        <w:rPr>
          <w:rFonts w:hint="cs"/>
          <w:rtl/>
        </w:rPr>
        <w:t>،</w:t>
      </w:r>
      <w:r w:rsidR="00777DCB" w:rsidRPr="00A52585">
        <w:rPr>
          <w:rFonts w:hint="cs"/>
          <w:rtl/>
        </w:rPr>
        <w:t xml:space="preserve"> أما لفظة القعود فقد رواها عن ابن عباس ولا يصح</w:t>
      </w:r>
      <w:r w:rsidR="00DB731D" w:rsidRPr="00A52585">
        <w:rPr>
          <w:rFonts w:hint="cs"/>
          <w:rtl/>
        </w:rPr>
        <w:t>،</w:t>
      </w:r>
      <w:r w:rsidR="00777DCB" w:rsidRPr="00A52585">
        <w:rPr>
          <w:rFonts w:hint="cs"/>
          <w:rtl/>
        </w:rPr>
        <w:t xml:space="preserve"> وأما القيام فيرويها عيسى عن جابر عن عمر بن الصبح</w:t>
      </w:r>
      <w:r w:rsidR="00897A24" w:rsidRPr="00A52585">
        <w:rPr>
          <w:rFonts w:hint="cs"/>
          <w:rtl/>
        </w:rPr>
        <w:t>.</w:t>
      </w:r>
      <w:r w:rsidR="00777DCB" w:rsidRPr="00A52585">
        <w:rPr>
          <w:rFonts w:hint="cs"/>
          <w:rtl/>
        </w:rPr>
        <w:t xml:space="preserve"> قال البخاري</w:t>
      </w:r>
      <w:r w:rsidRPr="00A52585">
        <w:rPr>
          <w:rFonts w:hint="cs"/>
          <w:rtl/>
        </w:rPr>
        <w:t>:</w:t>
      </w:r>
      <w:r w:rsidR="00777DCB" w:rsidRPr="00A52585">
        <w:rPr>
          <w:rFonts w:hint="cs"/>
          <w:rtl/>
        </w:rPr>
        <w:t xml:space="preserve"> قال عمر بن الصبح أنا وضعت خطبة رسول الله</w:t>
      </w:r>
      <w:r w:rsidR="00DB731D" w:rsidRPr="00A52585">
        <w:rPr>
          <w:rFonts w:hint="cs"/>
          <w:rtl/>
        </w:rPr>
        <w:t>،</w:t>
      </w:r>
      <w:r w:rsidR="00777DCB" w:rsidRPr="00A52585">
        <w:rPr>
          <w:rFonts w:hint="cs"/>
          <w:rtl/>
        </w:rPr>
        <w:t xml:space="preserve"> وقال ابن حبان</w:t>
      </w:r>
      <w:r w:rsidRPr="00A52585">
        <w:rPr>
          <w:rFonts w:hint="cs"/>
          <w:rtl/>
        </w:rPr>
        <w:t>:</w:t>
      </w:r>
      <w:r w:rsidR="00777DCB" w:rsidRPr="00A52585">
        <w:rPr>
          <w:rFonts w:hint="cs"/>
          <w:rtl/>
        </w:rPr>
        <w:t xml:space="preserve"> وكان يضع الحديث على الثقات لا يصح كتب حديثه إلا على التعجب</w:t>
      </w:r>
      <w:r w:rsidR="00DB731D" w:rsidRPr="00A52585">
        <w:rPr>
          <w:rFonts w:hint="cs"/>
          <w:rtl/>
        </w:rPr>
        <w:t>،</w:t>
      </w:r>
      <w:r w:rsidR="00777DCB" w:rsidRPr="00A52585">
        <w:rPr>
          <w:rFonts w:hint="cs"/>
          <w:rtl/>
        </w:rPr>
        <w:t xml:space="preserve"> وقال الدارقطني</w:t>
      </w:r>
      <w:r w:rsidRPr="00A52585">
        <w:rPr>
          <w:rFonts w:hint="cs"/>
          <w:rtl/>
        </w:rPr>
        <w:t>:</w:t>
      </w:r>
      <w:r w:rsidR="00777DCB" w:rsidRPr="00A52585">
        <w:rPr>
          <w:rFonts w:hint="cs"/>
          <w:rtl/>
        </w:rPr>
        <w:t xml:space="preserve"> متروك</w:t>
      </w:r>
      <w:r w:rsidR="00DB731D" w:rsidRPr="00A52585">
        <w:rPr>
          <w:rFonts w:hint="cs"/>
          <w:rtl/>
        </w:rPr>
        <w:t>،</w:t>
      </w:r>
      <w:r w:rsidR="00777DCB" w:rsidRPr="00A52585">
        <w:rPr>
          <w:rFonts w:hint="cs"/>
          <w:rtl/>
        </w:rPr>
        <w:t xml:space="preserve"> وقال الازدي</w:t>
      </w:r>
      <w:r w:rsidRPr="00A52585">
        <w:rPr>
          <w:rFonts w:hint="cs"/>
          <w:rtl/>
        </w:rPr>
        <w:t>:</w:t>
      </w:r>
      <w:r w:rsidR="00777DCB" w:rsidRPr="00A52585">
        <w:rPr>
          <w:rFonts w:hint="cs"/>
          <w:rtl/>
        </w:rPr>
        <w:t xml:space="preserve"> كذاب ذاهل</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وبمثل هذه يثبت لله صفة أين العقول</w:t>
      </w:r>
      <w:r w:rsidR="00F95886" w:rsidRPr="00A52585">
        <w:rPr>
          <w:rFonts w:hint="cs"/>
          <w:rtl/>
        </w:rPr>
        <w:t>؟!</w:t>
      </w:r>
      <w:r w:rsidR="00777DCB" w:rsidRPr="00A52585">
        <w:rPr>
          <w:rFonts w:hint="cs"/>
          <w:rtl/>
        </w:rPr>
        <w:t xml:space="preserve"> تعالى الحق أن يوصف بقيام وهو انتصاب القامة إنما هو قائم بالقسط</w:t>
      </w:r>
      <w:r w:rsidR="00DB731D" w:rsidRPr="00A52585">
        <w:rPr>
          <w:rFonts w:hint="cs"/>
          <w:rtl/>
        </w:rPr>
        <w:t>،</w:t>
      </w:r>
      <w:r w:rsidR="00777DCB" w:rsidRPr="00A52585">
        <w:rPr>
          <w:rFonts w:hint="cs"/>
          <w:rtl/>
        </w:rPr>
        <w:t xml:space="preserve"> ولا يوصف بقعود ولأنها حالة الجسماني</w:t>
      </w:r>
      <w:r w:rsidR="00DB731D" w:rsidRPr="00A52585">
        <w:rPr>
          <w:rFonts w:hint="cs"/>
          <w:rtl/>
        </w:rPr>
        <w:t>،</w:t>
      </w:r>
      <w:r w:rsidR="00777DCB" w:rsidRPr="00A52585">
        <w:rPr>
          <w:rFonts w:hint="cs"/>
          <w:rtl/>
        </w:rPr>
        <w:t xml:space="preserve"> </w:t>
      </w:r>
    </w:p>
    <w:p w14:paraId="524D317E" w14:textId="6E5D8500" w:rsidR="00777DCB" w:rsidRPr="00A52585" w:rsidRDefault="0002035C" w:rsidP="0002035C">
      <w:pPr>
        <w:rPr>
          <w:b/>
          <w:rtl/>
        </w:rPr>
      </w:pPr>
      <w:r w:rsidRPr="00A52585">
        <w:rPr>
          <w:rFonts w:hint="cs"/>
          <w:bCs/>
          <w:u w:val="single"/>
          <w:rtl/>
        </w:rPr>
        <w:t>[</w:t>
      </w:r>
      <w:r w:rsidR="00777DCB" w:rsidRPr="00A52585">
        <w:rPr>
          <w:rFonts w:hint="cs"/>
          <w:bCs/>
          <w:u w:val="single"/>
          <w:rtl/>
        </w:rPr>
        <w:t>49</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 والاربعون</w:t>
      </w:r>
      <w:r w:rsidRPr="00A52585">
        <w:rPr>
          <w:rFonts w:hint="cs"/>
          <w:bCs/>
          <w:rtl/>
        </w:rPr>
        <w:t>]:</w:t>
      </w:r>
      <w:r w:rsidR="00777DCB" w:rsidRPr="00A52585">
        <w:rPr>
          <w:rFonts w:hint="cs"/>
          <w:rtl/>
        </w:rPr>
        <w:t xml:space="preserve"> روي في الصحيحين من حديث أبي هريرة - رضي الله عنه - عن النبي - صلى الله عليه وسلم - قال</w:t>
      </w:r>
      <w:r w:rsidRPr="00A52585">
        <w:rPr>
          <w:rFonts w:hint="cs"/>
          <w:rtl/>
        </w:rPr>
        <w:t>:</w:t>
      </w:r>
      <w:r w:rsidR="00777DCB" w:rsidRPr="00A52585">
        <w:rPr>
          <w:rFonts w:hint="cs"/>
          <w:rtl/>
        </w:rPr>
        <w:t xml:space="preserve"> " من تصدق بعدل تمرة من كسب طيب ولا يقبل الله إلا طيبا</w:t>
      </w:r>
      <w:r w:rsidR="00897A24" w:rsidRPr="00A52585">
        <w:rPr>
          <w:rFonts w:hint="cs"/>
          <w:rtl/>
        </w:rPr>
        <w:t>.</w:t>
      </w:r>
      <w:r w:rsidR="00DB731D" w:rsidRPr="00A52585">
        <w:rPr>
          <w:rFonts w:hint="cs"/>
          <w:rtl/>
        </w:rPr>
        <w:t>،</w:t>
      </w:r>
      <w:r w:rsidR="00777DCB" w:rsidRPr="00A52585">
        <w:rPr>
          <w:rFonts w:hint="cs"/>
          <w:rtl/>
        </w:rPr>
        <w:t xml:space="preserve"> فإن الله يتقبلها بيمينه ثم يربيها لصاحبها كما يربي أحدكم فلوه حتى تكون مثل الجبل</w:t>
      </w:r>
      <w:r w:rsidR="00897A24" w:rsidRPr="00A52585">
        <w:rPr>
          <w:rFonts w:hint="cs"/>
          <w:rtl/>
        </w:rPr>
        <w:t>.</w:t>
      </w:r>
      <w:r w:rsidR="00777DCB" w:rsidRPr="00A52585">
        <w:rPr>
          <w:rFonts w:hint="cs"/>
          <w:rtl/>
        </w:rPr>
        <w:t xml:space="preserve">.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الزكاة ورواه في التوحيد </w:t>
      </w:r>
      <w:r w:rsidRPr="00A52585">
        <w:rPr>
          <w:rFonts w:hint="cs"/>
          <w:sz w:val="24"/>
          <w:szCs w:val="24"/>
          <w:rtl/>
        </w:rPr>
        <w:t>(</w:t>
      </w:r>
      <w:r w:rsidR="00777DCB" w:rsidRPr="00A52585">
        <w:rPr>
          <w:rFonts w:hint="cs"/>
          <w:sz w:val="24"/>
          <w:szCs w:val="24"/>
          <w:rtl/>
        </w:rPr>
        <w:t>13 / 415 فتح</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من تصدق بعدل تمرة من كسب طيب</w:t>
      </w:r>
      <w:r w:rsidR="00DB731D" w:rsidRPr="00A52585">
        <w:rPr>
          <w:rFonts w:hint="cs"/>
          <w:sz w:val="24"/>
          <w:szCs w:val="24"/>
          <w:rtl/>
        </w:rPr>
        <w:t>،</w:t>
      </w:r>
      <w:r w:rsidR="00777DCB" w:rsidRPr="00A52585">
        <w:rPr>
          <w:rFonts w:hint="cs"/>
          <w:sz w:val="24"/>
          <w:szCs w:val="24"/>
          <w:rtl/>
        </w:rPr>
        <w:t xml:space="preserve"> ولا يصعد إلى الله إلا الطيب</w:t>
      </w:r>
      <w:r w:rsidR="00DB731D" w:rsidRPr="00A52585">
        <w:rPr>
          <w:rFonts w:hint="cs"/>
          <w:sz w:val="24"/>
          <w:szCs w:val="24"/>
          <w:rtl/>
        </w:rPr>
        <w:t>،</w:t>
      </w:r>
      <w:r w:rsidR="00777DCB" w:rsidRPr="00A52585">
        <w:rPr>
          <w:rFonts w:hint="cs"/>
          <w:sz w:val="24"/>
          <w:szCs w:val="24"/>
          <w:rtl/>
        </w:rPr>
        <w:t xml:space="preserve"> فإن الله يتقبلها بيمينه ثم يربيها لصاحبها كما يربي أحدكم فلوه حتى تكون مثل الجبل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معنى</w:t>
      </w:r>
      <w:r w:rsidRPr="00A52585">
        <w:rPr>
          <w:rFonts w:hint="cs"/>
          <w:sz w:val="24"/>
          <w:szCs w:val="24"/>
          <w:rtl/>
        </w:rPr>
        <w:t>:</w:t>
      </w:r>
      <w:r w:rsidR="00777DCB" w:rsidRPr="00A52585">
        <w:rPr>
          <w:rFonts w:hint="cs"/>
          <w:sz w:val="24"/>
          <w:szCs w:val="24"/>
          <w:rtl/>
        </w:rPr>
        <w:t xml:space="preserve"> ولا يصعد إلى الله أي</w:t>
      </w:r>
      <w:r w:rsidRPr="00A52585">
        <w:rPr>
          <w:rFonts w:hint="cs"/>
          <w:sz w:val="24"/>
          <w:szCs w:val="24"/>
          <w:rtl/>
        </w:rPr>
        <w:t>:</w:t>
      </w:r>
      <w:r w:rsidR="00777DCB" w:rsidRPr="00A52585">
        <w:rPr>
          <w:rFonts w:hint="cs"/>
          <w:sz w:val="24"/>
          <w:szCs w:val="24"/>
          <w:rtl/>
        </w:rPr>
        <w:t xml:space="preserve"> ولا يتقبل عند الله تعالى يثبت ذلك رواية مسلم في صحيحه </w:t>
      </w:r>
      <w:r w:rsidRPr="00A52585">
        <w:rPr>
          <w:rFonts w:hint="cs"/>
          <w:sz w:val="24"/>
          <w:szCs w:val="24"/>
          <w:rtl/>
        </w:rPr>
        <w:t>(</w:t>
      </w:r>
      <w:r w:rsidR="00777DCB" w:rsidRPr="00A52585">
        <w:rPr>
          <w:rFonts w:hint="cs"/>
          <w:sz w:val="24"/>
          <w:szCs w:val="24"/>
          <w:rtl/>
        </w:rPr>
        <w:t>2 / 702 برقم 63 و 64</w:t>
      </w:r>
      <w:r w:rsidRPr="00A52585">
        <w:rPr>
          <w:rFonts w:hint="cs"/>
          <w:sz w:val="24"/>
          <w:szCs w:val="24"/>
          <w:rtl/>
        </w:rPr>
        <w:t>)</w:t>
      </w:r>
      <w:r w:rsidR="00777DCB" w:rsidRPr="00A52585">
        <w:rPr>
          <w:rFonts w:hint="cs"/>
          <w:sz w:val="24"/>
          <w:szCs w:val="24"/>
          <w:rtl/>
        </w:rPr>
        <w:t xml:space="preserve"> بلفظ</w:t>
      </w:r>
      <w:r w:rsidRPr="00A52585">
        <w:rPr>
          <w:rFonts w:hint="cs"/>
          <w:sz w:val="24"/>
          <w:szCs w:val="24"/>
          <w:rtl/>
        </w:rPr>
        <w:t>:</w:t>
      </w:r>
      <w:r w:rsidR="00777DCB" w:rsidRPr="00A52585">
        <w:rPr>
          <w:rFonts w:hint="cs"/>
          <w:sz w:val="24"/>
          <w:szCs w:val="24"/>
          <w:rtl/>
        </w:rPr>
        <w:t xml:space="preserve"> " ما تصدق أحد بصدقة من طيب</w:t>
      </w:r>
      <w:r w:rsidR="00DB731D" w:rsidRPr="00A52585">
        <w:rPr>
          <w:rFonts w:hint="cs"/>
          <w:sz w:val="24"/>
          <w:szCs w:val="24"/>
          <w:rtl/>
        </w:rPr>
        <w:t>،</w:t>
      </w:r>
      <w:r w:rsidR="00777DCB" w:rsidRPr="00A52585">
        <w:rPr>
          <w:rFonts w:hint="cs"/>
          <w:sz w:val="24"/>
          <w:szCs w:val="24"/>
          <w:rtl/>
        </w:rPr>
        <w:t xml:space="preserve"> ولا يقبل الله إلا الطيب إلا أخذها الرحمن بيمينه وإن كانت تمرة</w:t>
      </w:r>
      <w:r w:rsidR="00DB731D" w:rsidRPr="00A52585">
        <w:rPr>
          <w:rFonts w:hint="cs"/>
          <w:sz w:val="24"/>
          <w:szCs w:val="24"/>
          <w:rtl/>
        </w:rPr>
        <w:t>،</w:t>
      </w:r>
      <w:r w:rsidR="00777DCB" w:rsidRPr="00A52585">
        <w:rPr>
          <w:rFonts w:hint="cs"/>
          <w:sz w:val="24"/>
          <w:szCs w:val="24"/>
          <w:rtl/>
        </w:rPr>
        <w:t xml:space="preserve"> فتربوا في كف الرحمن حتى تكون أعظم من الجبل</w:t>
      </w:r>
      <w:r w:rsidR="00DB731D" w:rsidRPr="00A52585">
        <w:rPr>
          <w:rFonts w:hint="cs"/>
          <w:sz w:val="24"/>
          <w:szCs w:val="24"/>
          <w:rtl/>
        </w:rPr>
        <w:t>،</w:t>
      </w:r>
      <w:r w:rsidR="00777DCB" w:rsidRPr="00A52585">
        <w:rPr>
          <w:rFonts w:hint="cs"/>
          <w:sz w:val="24"/>
          <w:szCs w:val="24"/>
          <w:rtl/>
        </w:rPr>
        <w:t xml:space="preserve"> كما يربي أحدكم فلوه أو فصيله "</w:t>
      </w:r>
      <w:r w:rsidR="00897A24" w:rsidRPr="00A52585">
        <w:rPr>
          <w:rFonts w:hint="cs"/>
          <w:sz w:val="24"/>
          <w:szCs w:val="24"/>
          <w:rtl/>
        </w:rPr>
        <w:t>.</w:t>
      </w:r>
      <w:r w:rsidR="00777DCB" w:rsidRPr="00A52585">
        <w:rPr>
          <w:rFonts w:hint="cs"/>
          <w:sz w:val="24"/>
          <w:szCs w:val="24"/>
          <w:rtl/>
        </w:rPr>
        <w:t xml:space="preserve"> فتنبه لتصرف الرواة</w:t>
      </w:r>
      <w:r w:rsidRPr="00A52585">
        <w:rPr>
          <w:rFonts w:hint="cs"/>
          <w:sz w:val="24"/>
          <w:szCs w:val="24"/>
          <w:rtl/>
        </w:rPr>
        <w:t>]</w:t>
      </w:r>
      <w:r w:rsidR="00DB731D" w:rsidRPr="00A52585">
        <w:rPr>
          <w:rFonts w:hint="cs"/>
          <w:rtl/>
        </w:rPr>
        <w:t>،</w:t>
      </w:r>
      <w:r w:rsidR="00777DCB" w:rsidRPr="00A52585">
        <w:rPr>
          <w:rFonts w:hint="cs"/>
          <w:rtl/>
        </w:rPr>
        <w:t xml:space="preserve"> وفي لفظ أخرجه مسلم</w:t>
      </w:r>
      <w:r w:rsidRPr="00A52585">
        <w:rPr>
          <w:rFonts w:hint="cs"/>
          <w:rtl/>
        </w:rPr>
        <w:t>:</w:t>
      </w:r>
      <w:r w:rsidR="00777DCB" w:rsidRPr="00A52585">
        <w:rPr>
          <w:rFonts w:hint="cs"/>
          <w:rtl/>
        </w:rPr>
        <w:t xml:space="preserve"> " فتربوا في كف الرحمن حتى تكون أعظم من الجبل "</w:t>
      </w:r>
      <w:r w:rsidR="00DB731D" w:rsidRPr="00A52585">
        <w:rPr>
          <w:rFonts w:hint="cs"/>
          <w:rtl/>
        </w:rPr>
        <w:t>،</w:t>
      </w:r>
      <w:r w:rsidR="00777DCB" w:rsidRPr="00A52585">
        <w:rPr>
          <w:rFonts w:hint="cs"/>
          <w:rtl/>
        </w:rPr>
        <w:t xml:space="preserve"> قال العلماء هذا خطاب للناس بما يعلمونه ويفهمونه من الاخذ والتربية والنمو</w:t>
      </w:r>
      <w:r w:rsidR="00DB731D" w:rsidRPr="00A52585">
        <w:rPr>
          <w:rFonts w:hint="cs"/>
          <w:rtl/>
        </w:rPr>
        <w:t>،</w:t>
      </w:r>
      <w:r w:rsidR="00777DCB" w:rsidRPr="00A52585">
        <w:rPr>
          <w:rFonts w:hint="cs"/>
          <w:rtl/>
        </w:rPr>
        <w:t xml:space="preserve"> لما كان التناول باليد والقبض بالكف خاطبهم بما يعقلون</w:t>
      </w:r>
      <w:r w:rsidR="00DB731D" w:rsidRPr="00A52585">
        <w:rPr>
          <w:rFonts w:hint="cs"/>
          <w:rtl/>
        </w:rPr>
        <w:t>،</w:t>
      </w:r>
      <w:r w:rsidR="00777DCB" w:rsidRPr="00A52585">
        <w:rPr>
          <w:rFonts w:hint="cs"/>
          <w:rtl/>
        </w:rPr>
        <w:t xml:space="preserve"> وإنما جرى ذكر اليمين لأنها مرصدة لما عز من الامور</w:t>
      </w:r>
      <w:r w:rsidR="00DB731D" w:rsidRPr="00A52585">
        <w:rPr>
          <w:rFonts w:hint="cs"/>
          <w:rtl/>
        </w:rPr>
        <w:t>،</w:t>
      </w:r>
      <w:r w:rsidR="00777DCB" w:rsidRPr="00A52585">
        <w:rPr>
          <w:rFonts w:hint="cs"/>
          <w:rtl/>
        </w:rPr>
        <w:t xml:space="preserve"> ومعنى التربية</w:t>
      </w:r>
      <w:r w:rsidRPr="00A52585">
        <w:rPr>
          <w:rFonts w:hint="cs"/>
          <w:rtl/>
        </w:rPr>
        <w:t>:</w:t>
      </w:r>
      <w:r w:rsidR="00777DCB" w:rsidRPr="00A52585">
        <w:rPr>
          <w:rFonts w:hint="cs"/>
          <w:rtl/>
        </w:rPr>
        <w:t xml:space="preserve"> المضاعفة</w:t>
      </w:r>
      <w:r w:rsidR="00DB731D" w:rsidRPr="00A52585">
        <w:rPr>
          <w:rFonts w:hint="cs"/>
          <w:rtl/>
        </w:rPr>
        <w:t>،</w:t>
      </w:r>
      <w:r w:rsidR="00777DCB" w:rsidRPr="00A52585">
        <w:rPr>
          <w:rFonts w:hint="cs"/>
          <w:rtl/>
        </w:rPr>
        <w:t xml:space="preserve"> </w:t>
      </w:r>
    </w:p>
    <w:p w14:paraId="7670834A" w14:textId="477AEB85" w:rsidR="00777DCB" w:rsidRPr="00A52585" w:rsidRDefault="0002035C" w:rsidP="0002035C">
      <w:pPr>
        <w:rPr>
          <w:b/>
          <w:rtl/>
        </w:rPr>
      </w:pPr>
      <w:r w:rsidRPr="00A52585">
        <w:rPr>
          <w:rFonts w:hint="cs"/>
          <w:bCs/>
          <w:u w:val="single"/>
          <w:rtl/>
        </w:rPr>
        <w:t>[</w:t>
      </w:r>
      <w:r w:rsidR="00777DCB" w:rsidRPr="00A52585">
        <w:rPr>
          <w:rFonts w:hint="cs"/>
          <w:bCs/>
          <w:u w:val="single"/>
          <w:rtl/>
        </w:rPr>
        <w:t>50</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w:t>
      </w:r>
      <w:r w:rsidRPr="00A52585">
        <w:rPr>
          <w:rFonts w:hint="cs"/>
          <w:bCs/>
          <w:rtl/>
        </w:rPr>
        <w:t xml:space="preserve"> </w:t>
      </w:r>
      <w:r w:rsidR="00777DCB" w:rsidRPr="00A52585">
        <w:rPr>
          <w:rFonts w:hint="cs"/>
          <w:bCs/>
          <w:rtl/>
        </w:rPr>
        <w:t>الخمسون</w:t>
      </w:r>
      <w:r w:rsidRPr="00A52585">
        <w:rPr>
          <w:rFonts w:hint="cs"/>
          <w:bCs/>
          <w:rtl/>
        </w:rPr>
        <w:t>]:</w:t>
      </w:r>
      <w:r w:rsidR="00777DCB" w:rsidRPr="00A52585">
        <w:rPr>
          <w:rFonts w:hint="cs"/>
          <w:bCs/>
          <w:rtl/>
        </w:rPr>
        <w:t xml:space="preserve"> </w:t>
      </w:r>
      <w:r w:rsidR="00777DCB" w:rsidRPr="00A52585">
        <w:rPr>
          <w:rFonts w:hint="cs"/>
          <w:rtl/>
        </w:rPr>
        <w:t>روي البخاري ومسلم في الصحيحين من حديث أنس بن مالك رضي الله عنه عن النبي صلى الله عليه وسلم أنه ذكر الدجال فقال ألا إنه أعور وإن ربكم ليس بأعور</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إنما أراد تحقيق وصفه بأنه لا يجوز عليه النقص</w:t>
      </w:r>
      <w:r w:rsidR="00DB731D" w:rsidRPr="00A52585">
        <w:rPr>
          <w:rFonts w:hint="cs"/>
          <w:rtl/>
        </w:rPr>
        <w:t>،</w:t>
      </w:r>
      <w:r w:rsidR="00777DCB" w:rsidRPr="00A52585">
        <w:rPr>
          <w:rFonts w:hint="cs"/>
          <w:rtl/>
        </w:rPr>
        <w:t xml:space="preserve"> والعور نقص ولم يرد إثبات جارحة</w:t>
      </w:r>
      <w:r w:rsidR="00DB731D" w:rsidRPr="00A52585">
        <w:rPr>
          <w:rFonts w:hint="cs"/>
          <w:rtl/>
        </w:rPr>
        <w:t>،</w:t>
      </w:r>
      <w:r w:rsidR="00777DCB" w:rsidRPr="00A52585">
        <w:rPr>
          <w:rFonts w:hint="cs"/>
          <w:rtl/>
        </w:rPr>
        <w:t xml:space="preserve"> لأنه </w:t>
      </w:r>
      <w:r w:rsidR="00777DCB" w:rsidRPr="00A52585">
        <w:rPr>
          <w:rFonts w:hint="cs"/>
          <w:rtl/>
        </w:rPr>
        <w:lastRenderedPageBreak/>
        <w:t>لا مدح</w:t>
      </w:r>
      <w:r w:rsidRPr="00A52585">
        <w:rPr>
          <w:rFonts w:hint="cs"/>
          <w:rtl/>
        </w:rPr>
        <w:t xml:space="preserve"> </w:t>
      </w:r>
      <w:r w:rsidR="00777DCB" w:rsidRPr="00A52585">
        <w:rPr>
          <w:rFonts w:hint="cs"/>
          <w:rtl/>
        </w:rPr>
        <w:t>في إثبات جارحة</w:t>
      </w:r>
      <w:r w:rsidR="00DB731D" w:rsidRPr="00A52585">
        <w:rPr>
          <w:rFonts w:hint="cs"/>
          <w:rtl/>
        </w:rPr>
        <w:t>،</w:t>
      </w:r>
      <w:r w:rsidR="00777DCB" w:rsidRPr="00A52585">
        <w:rPr>
          <w:rFonts w:hint="cs"/>
          <w:rtl/>
        </w:rPr>
        <w:t xml:space="preserve"> قال بن عقيل</w:t>
      </w:r>
      <w:r w:rsidRPr="00A52585">
        <w:rPr>
          <w:rFonts w:hint="cs"/>
          <w:rtl/>
        </w:rPr>
        <w:t>:</w:t>
      </w:r>
      <w:r w:rsidR="00777DCB" w:rsidRPr="00A52585">
        <w:rPr>
          <w:rFonts w:hint="cs"/>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w:t>
      </w:r>
      <w:r w:rsidR="00897A24" w:rsidRPr="00A52585">
        <w:rPr>
          <w:rFonts w:hint="cs"/>
          <w:rtl/>
        </w:rPr>
        <w:t>.</w:t>
      </w:r>
      <w:r w:rsidR="00777DCB" w:rsidRPr="00A52585">
        <w:rPr>
          <w:rFonts w:hint="cs"/>
          <w:rtl/>
        </w:rPr>
        <w:t xml:space="preserve"> كأنه قال</w:t>
      </w:r>
      <w:r w:rsidRPr="00A52585">
        <w:rPr>
          <w:rFonts w:hint="cs"/>
          <w:rtl/>
        </w:rPr>
        <w:t>:</w:t>
      </w:r>
      <w:r w:rsidR="00777DCB" w:rsidRPr="00A52585">
        <w:rPr>
          <w:rFonts w:hint="cs"/>
          <w:rtl/>
        </w:rPr>
        <w:t xml:space="preserve"> ربكم ليس بذي جوارح تتسلط عليه النقائص</w:t>
      </w:r>
      <w:r w:rsidR="00DB731D" w:rsidRPr="00A52585">
        <w:rPr>
          <w:rFonts w:hint="cs"/>
          <w:rtl/>
        </w:rPr>
        <w:t>،</w:t>
      </w:r>
      <w:r w:rsidRPr="00A52585">
        <w:rPr>
          <w:rFonts w:hint="cs"/>
          <w:rtl/>
        </w:rPr>
        <w:t xml:space="preserve"> </w:t>
      </w:r>
      <w:r w:rsidR="00777DCB" w:rsidRPr="00A52585">
        <w:rPr>
          <w:rFonts w:hint="cs"/>
          <w:rtl/>
        </w:rPr>
        <w:t>وهذا مثل نفي الولد عنه لأنه يستحيل عليه التجزيء</w:t>
      </w:r>
      <w:r w:rsidR="00DB731D" w:rsidRPr="00A52585">
        <w:rPr>
          <w:rFonts w:hint="cs"/>
          <w:rtl/>
        </w:rPr>
        <w:t>،</w:t>
      </w:r>
      <w:r w:rsidR="00777DCB" w:rsidRPr="00A52585">
        <w:rPr>
          <w:rFonts w:hint="cs"/>
          <w:rtl/>
        </w:rPr>
        <w:t xml:space="preserve"> ولو كانت الإشارة إلى صورة كاملة</w:t>
      </w:r>
      <w:r w:rsidR="00DB731D" w:rsidRPr="00A52585">
        <w:rPr>
          <w:rFonts w:hint="cs"/>
          <w:rtl/>
        </w:rPr>
        <w:t>،</w:t>
      </w:r>
      <w:r w:rsidR="00777DCB" w:rsidRPr="00A52585">
        <w:rPr>
          <w:rFonts w:hint="cs"/>
          <w:rtl/>
        </w:rPr>
        <w:t xml:space="preserve"> لم يكن في ذلك دليل علي الألوهية ولا القدم</w:t>
      </w:r>
      <w:r w:rsidR="00DB731D" w:rsidRPr="00A52585">
        <w:rPr>
          <w:rFonts w:hint="cs"/>
          <w:rtl/>
        </w:rPr>
        <w:t>،</w:t>
      </w:r>
      <w:r w:rsidR="00777DCB" w:rsidRPr="00A52585">
        <w:rPr>
          <w:rFonts w:hint="cs"/>
          <w:rtl/>
        </w:rPr>
        <w:t xml:space="preserve"> فإن الكامل في الصورة كثير</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ومن قال بدليل الخطاب فأثبت عينين قيل له دليل الخطاب مختلف في كونه دليلا في أحكام الفقه وفروع الدين</w:t>
      </w:r>
      <w:r w:rsidR="00DB731D" w:rsidRPr="00A52585">
        <w:rPr>
          <w:rFonts w:hint="cs"/>
          <w:rtl/>
        </w:rPr>
        <w:t>،</w:t>
      </w:r>
      <w:r w:rsidR="00777DCB" w:rsidRPr="00A52585">
        <w:rPr>
          <w:rFonts w:hint="cs"/>
          <w:rtl/>
        </w:rPr>
        <w:t xml:space="preserve"> فكيف بأصوله ثم هو عند من اعتقده جحد يقضي عليه معني النطق وهو القياس المظنون فكيف يكون له حكم الدليل وقد قضي عليه دليل العقل بالرد</w:t>
      </w:r>
      <w:r w:rsidR="00DB731D" w:rsidRPr="00A52585">
        <w:rPr>
          <w:rFonts w:hint="cs"/>
          <w:rtl/>
        </w:rPr>
        <w:t>،</w:t>
      </w:r>
      <w:r w:rsidR="00777DCB" w:rsidRPr="00A52585">
        <w:rPr>
          <w:rFonts w:hint="cs"/>
          <w:rtl/>
        </w:rPr>
        <w:t xml:space="preserve"> </w:t>
      </w:r>
    </w:p>
    <w:p w14:paraId="5569A9E3" w14:textId="160DB008" w:rsidR="00777DCB" w:rsidRPr="00A52585" w:rsidRDefault="0002035C" w:rsidP="0002035C">
      <w:pPr>
        <w:rPr>
          <w:b/>
          <w:rtl/>
        </w:rPr>
      </w:pPr>
      <w:r w:rsidRPr="00A52585">
        <w:rPr>
          <w:rFonts w:hint="cs"/>
          <w:bCs/>
          <w:u w:val="single"/>
          <w:rtl/>
        </w:rPr>
        <w:t>[</w:t>
      </w:r>
      <w:r w:rsidR="00777DCB" w:rsidRPr="00A52585">
        <w:rPr>
          <w:rFonts w:hint="cs"/>
          <w:bCs/>
          <w:u w:val="single"/>
          <w:rtl/>
        </w:rPr>
        <w:t>51</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الحادي والخمسون</w:t>
      </w:r>
      <w:r w:rsidRPr="00A52585">
        <w:rPr>
          <w:rFonts w:hint="cs"/>
          <w:bCs/>
          <w:rtl/>
        </w:rPr>
        <w:t>]:</w:t>
      </w:r>
      <w:r w:rsidR="00777DCB" w:rsidRPr="00A52585">
        <w:rPr>
          <w:rFonts w:hint="cs"/>
          <w:rtl/>
        </w:rPr>
        <w:t xml:space="preserve"> روى البخاري في أفراده من حديث أبي هريرة - رضي الله عنه - عن النبي صلى الله عليه وسلم قال</w:t>
      </w:r>
      <w:r w:rsidRPr="00A52585">
        <w:rPr>
          <w:rFonts w:hint="cs"/>
          <w:rtl/>
        </w:rPr>
        <w:t>:</w:t>
      </w:r>
      <w:r w:rsidR="00777DCB" w:rsidRPr="00A52585">
        <w:rPr>
          <w:rFonts w:hint="cs"/>
          <w:rtl/>
        </w:rPr>
        <w:t xml:space="preserve"> يقول الله عز وجل</w:t>
      </w:r>
      <w:r w:rsidRPr="00A52585">
        <w:rPr>
          <w:rFonts w:hint="cs"/>
          <w:rtl/>
        </w:rPr>
        <w:t>:</w:t>
      </w:r>
      <w:r w:rsidR="00777DCB" w:rsidRPr="00A52585">
        <w:rPr>
          <w:rFonts w:hint="cs"/>
          <w:rtl/>
        </w:rPr>
        <w:t xml:space="preserve"> " ما يزال عبدي يتقرب إلي بالنوافل حتى أحبه</w:t>
      </w:r>
      <w:r w:rsidR="00DB731D" w:rsidRPr="00A52585">
        <w:rPr>
          <w:rFonts w:hint="cs"/>
          <w:rtl/>
        </w:rPr>
        <w:t>،</w:t>
      </w:r>
      <w:r w:rsidR="00777DCB" w:rsidRPr="00A52585">
        <w:rPr>
          <w:rFonts w:hint="cs"/>
          <w:rtl/>
        </w:rPr>
        <w:t xml:space="preserve"> فإذا أحببته كنت سمعه الذي يسمع به وبصره الذي يبصره به ويده التي يبطش بها ورجله التي يمشي بها</w:t>
      </w:r>
      <w:r w:rsidR="00DB731D" w:rsidRPr="00A52585">
        <w:rPr>
          <w:rFonts w:hint="cs"/>
          <w:rtl/>
        </w:rPr>
        <w:t>،</w:t>
      </w:r>
      <w:r w:rsidR="00777DCB" w:rsidRPr="00A52585">
        <w:rPr>
          <w:rFonts w:hint="cs"/>
          <w:rtl/>
        </w:rPr>
        <w:t xml:space="preserve"> وما ترددت عن شيء أنا فاعله ترددي عن نفس المؤمن يكره الموت وأكره مساءته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صحيحه </w:t>
      </w:r>
      <w:r w:rsidRPr="00A52585">
        <w:rPr>
          <w:rFonts w:hint="cs"/>
          <w:sz w:val="24"/>
          <w:szCs w:val="24"/>
          <w:rtl/>
        </w:rPr>
        <w:t>(</w:t>
      </w:r>
      <w:r w:rsidR="00777DCB" w:rsidRPr="00A52585">
        <w:rPr>
          <w:rFonts w:hint="cs"/>
          <w:sz w:val="24"/>
          <w:szCs w:val="24"/>
          <w:rtl/>
        </w:rPr>
        <w:t>11 / 341 فتح</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والحديث فيه كلام وهذا إسناده هناك</w:t>
      </w:r>
      <w:r w:rsidRPr="00A52585">
        <w:rPr>
          <w:rFonts w:hint="cs"/>
          <w:sz w:val="24"/>
          <w:szCs w:val="24"/>
          <w:rtl/>
        </w:rPr>
        <w:t>:</w:t>
      </w:r>
      <w:r w:rsidR="00777DCB" w:rsidRPr="00A52585">
        <w:rPr>
          <w:rFonts w:hint="cs"/>
          <w:sz w:val="24"/>
          <w:szCs w:val="24"/>
          <w:rtl/>
        </w:rPr>
        <w:t xml:space="preserve"> حدثني محمد بن عثمان بن كرامة حدثنا خالد بن مخلد حدثنا سليمان بن بلال حدثني شريك بن عبد الله بن أبي نمر عن عطاء عن أبي هريرة مرفوعا به</w:t>
      </w:r>
      <w:r w:rsidR="00DB731D" w:rsidRPr="00A52585">
        <w:rPr>
          <w:rFonts w:hint="cs"/>
          <w:sz w:val="24"/>
          <w:szCs w:val="24"/>
          <w:rtl/>
        </w:rPr>
        <w:t>،</w:t>
      </w:r>
      <w:r w:rsidR="00777DCB" w:rsidRPr="00A52585">
        <w:rPr>
          <w:rFonts w:hint="cs"/>
          <w:sz w:val="24"/>
          <w:szCs w:val="24"/>
          <w:rtl/>
        </w:rPr>
        <w:t xml:space="preserve"> فأما خالد بن مخلد </w:t>
      </w:r>
      <w:proofErr w:type="spellStart"/>
      <w:r w:rsidR="00777DCB" w:rsidRPr="00A52585">
        <w:rPr>
          <w:rFonts w:hint="cs"/>
          <w:sz w:val="24"/>
          <w:szCs w:val="24"/>
          <w:rtl/>
        </w:rPr>
        <w:t>القطواني</w:t>
      </w:r>
      <w:proofErr w:type="spellEnd"/>
      <w:r w:rsidR="00777DCB" w:rsidRPr="00A52585">
        <w:rPr>
          <w:rFonts w:hint="cs"/>
          <w:sz w:val="24"/>
          <w:szCs w:val="24"/>
          <w:rtl/>
        </w:rPr>
        <w:t xml:space="preserve"> فقال الامام أحمد</w:t>
      </w:r>
      <w:r w:rsidRPr="00A52585">
        <w:rPr>
          <w:rFonts w:hint="cs"/>
          <w:sz w:val="24"/>
          <w:szCs w:val="24"/>
          <w:rtl/>
        </w:rPr>
        <w:t>:</w:t>
      </w:r>
      <w:r w:rsidR="00777DCB" w:rsidRPr="00A52585">
        <w:rPr>
          <w:rFonts w:hint="cs"/>
          <w:sz w:val="24"/>
          <w:szCs w:val="24"/>
          <w:rtl/>
        </w:rPr>
        <w:t xml:space="preserve"> له مناكير</w:t>
      </w:r>
      <w:r w:rsidR="00DB731D" w:rsidRPr="00A52585">
        <w:rPr>
          <w:rFonts w:hint="cs"/>
          <w:sz w:val="24"/>
          <w:szCs w:val="24"/>
          <w:rtl/>
        </w:rPr>
        <w:t>،</w:t>
      </w:r>
      <w:r w:rsidR="00777DCB" w:rsidRPr="00A52585">
        <w:rPr>
          <w:rFonts w:hint="cs"/>
          <w:sz w:val="24"/>
          <w:szCs w:val="24"/>
          <w:rtl/>
        </w:rPr>
        <w:t xml:space="preserve"> وقال أبو حاتم</w:t>
      </w:r>
      <w:r w:rsidRPr="00A52585">
        <w:rPr>
          <w:rFonts w:hint="cs"/>
          <w:sz w:val="24"/>
          <w:szCs w:val="24"/>
          <w:rtl/>
        </w:rPr>
        <w:t>:</w:t>
      </w:r>
      <w:r w:rsidR="00777DCB" w:rsidRPr="00A52585">
        <w:rPr>
          <w:rFonts w:hint="cs"/>
          <w:sz w:val="24"/>
          <w:szCs w:val="24"/>
          <w:rtl/>
        </w:rPr>
        <w:t xml:space="preserve"> لا يحتج به</w:t>
      </w:r>
      <w:r w:rsidR="00DB731D" w:rsidRPr="00A52585">
        <w:rPr>
          <w:rFonts w:hint="cs"/>
          <w:sz w:val="24"/>
          <w:szCs w:val="24"/>
          <w:rtl/>
        </w:rPr>
        <w:t>،</w:t>
      </w:r>
      <w:r w:rsidR="00777DCB" w:rsidRPr="00A52585">
        <w:rPr>
          <w:rFonts w:hint="cs"/>
          <w:sz w:val="24"/>
          <w:szCs w:val="24"/>
          <w:rtl/>
        </w:rPr>
        <w:t xml:space="preserve"> وشريك فيه مقال أيضا وله </w:t>
      </w:r>
      <w:proofErr w:type="spellStart"/>
      <w:r w:rsidR="00777DCB" w:rsidRPr="00A52585">
        <w:rPr>
          <w:rFonts w:hint="cs"/>
          <w:sz w:val="24"/>
          <w:szCs w:val="24"/>
          <w:rtl/>
        </w:rPr>
        <w:t>انفرادات</w:t>
      </w:r>
      <w:proofErr w:type="spellEnd"/>
      <w:r w:rsidR="00777DCB" w:rsidRPr="00A52585">
        <w:rPr>
          <w:rFonts w:hint="cs"/>
          <w:sz w:val="24"/>
          <w:szCs w:val="24"/>
          <w:rtl/>
        </w:rPr>
        <w:t xml:space="preserve"> بألفاظ منكرة وقد تقدم ذكر</w:t>
      </w:r>
      <w:r w:rsidRPr="00A52585">
        <w:rPr>
          <w:rFonts w:hint="cs"/>
          <w:sz w:val="24"/>
          <w:szCs w:val="24"/>
          <w:rtl/>
        </w:rPr>
        <w:t xml:space="preserve"> </w:t>
      </w:r>
      <w:r w:rsidR="00777DCB" w:rsidRPr="00A52585">
        <w:rPr>
          <w:rFonts w:hint="cs"/>
          <w:sz w:val="24"/>
          <w:szCs w:val="24"/>
          <w:rtl/>
        </w:rPr>
        <w:t xml:space="preserve">شيء من ذلك في التعليق ص </w:t>
      </w:r>
      <w:r w:rsidRPr="00A52585">
        <w:rPr>
          <w:rFonts w:hint="cs"/>
          <w:sz w:val="24"/>
          <w:szCs w:val="24"/>
          <w:rtl/>
        </w:rPr>
        <w:t>(</w:t>
      </w:r>
      <w:r w:rsidR="00777DCB" w:rsidRPr="00A52585">
        <w:rPr>
          <w:rFonts w:hint="cs"/>
          <w:sz w:val="24"/>
          <w:szCs w:val="24"/>
          <w:rtl/>
        </w:rPr>
        <w:t>233</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وقال الحافظ الذهبي في " الميزان " </w:t>
      </w:r>
      <w:r w:rsidRPr="00A52585">
        <w:rPr>
          <w:rFonts w:hint="cs"/>
          <w:sz w:val="24"/>
          <w:szCs w:val="24"/>
          <w:rtl/>
        </w:rPr>
        <w:t>(</w:t>
      </w:r>
      <w:r w:rsidR="00777DCB" w:rsidRPr="00A52585">
        <w:rPr>
          <w:rFonts w:hint="cs"/>
          <w:sz w:val="24"/>
          <w:szCs w:val="24"/>
          <w:rtl/>
        </w:rPr>
        <w:t>1 / 641</w:t>
      </w:r>
      <w:r w:rsidRPr="00A52585">
        <w:rPr>
          <w:rFonts w:hint="cs"/>
          <w:sz w:val="24"/>
          <w:szCs w:val="24"/>
          <w:rtl/>
        </w:rPr>
        <w:t>):</w:t>
      </w:r>
      <w:r w:rsidR="00777DCB" w:rsidRPr="00A52585">
        <w:rPr>
          <w:rFonts w:hint="cs"/>
          <w:sz w:val="24"/>
          <w:szCs w:val="24"/>
          <w:rtl/>
        </w:rPr>
        <w:t xml:space="preserve"> " ومما انفرد به ما رواه البخاري في صحيحه " فذكر هذا الحديث ثم قال عقبه</w:t>
      </w:r>
      <w:r w:rsidRPr="00A52585">
        <w:rPr>
          <w:rFonts w:hint="cs"/>
          <w:sz w:val="24"/>
          <w:szCs w:val="24"/>
          <w:rtl/>
        </w:rPr>
        <w:t>:</w:t>
      </w:r>
      <w:r w:rsidR="00777DCB" w:rsidRPr="00A52585">
        <w:rPr>
          <w:rFonts w:hint="cs"/>
          <w:sz w:val="24"/>
          <w:szCs w:val="24"/>
          <w:rtl/>
        </w:rPr>
        <w:t xml:space="preserve"> " فهذا حديث غريب جدا</w:t>
      </w:r>
      <w:r w:rsidR="00DB731D" w:rsidRPr="00A52585">
        <w:rPr>
          <w:rFonts w:hint="cs"/>
          <w:sz w:val="24"/>
          <w:szCs w:val="24"/>
          <w:rtl/>
        </w:rPr>
        <w:t>،</w:t>
      </w:r>
      <w:r w:rsidR="00777DCB" w:rsidRPr="00A52585">
        <w:rPr>
          <w:rFonts w:hint="cs"/>
          <w:sz w:val="24"/>
          <w:szCs w:val="24"/>
          <w:rtl/>
        </w:rPr>
        <w:t xml:space="preserve"> لولا هيبة الجامع الصحيح لعدوه في منكرات خالد بن مخلد</w:t>
      </w:r>
      <w:r w:rsidR="00DB731D" w:rsidRPr="00A52585">
        <w:rPr>
          <w:rFonts w:hint="cs"/>
          <w:sz w:val="24"/>
          <w:szCs w:val="24"/>
          <w:rtl/>
        </w:rPr>
        <w:t>،</w:t>
      </w:r>
      <w:r w:rsidR="00777DCB" w:rsidRPr="00A52585">
        <w:rPr>
          <w:rFonts w:hint="cs"/>
          <w:sz w:val="24"/>
          <w:szCs w:val="24"/>
          <w:rtl/>
        </w:rPr>
        <w:t xml:space="preserve"> وذلك لغرابة لفظه</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ولانه</w:t>
      </w:r>
      <w:proofErr w:type="spellEnd"/>
      <w:r w:rsidR="00777DCB" w:rsidRPr="00A52585">
        <w:rPr>
          <w:rFonts w:hint="cs"/>
          <w:sz w:val="24"/>
          <w:szCs w:val="24"/>
          <w:rtl/>
        </w:rPr>
        <w:t xml:space="preserve"> مما ينفرد به شريك وليس بالحافظ</w:t>
      </w:r>
      <w:r w:rsidR="00DB731D" w:rsidRPr="00A52585">
        <w:rPr>
          <w:rFonts w:hint="cs"/>
          <w:sz w:val="24"/>
          <w:szCs w:val="24"/>
          <w:rtl/>
        </w:rPr>
        <w:t>،</w:t>
      </w:r>
      <w:r w:rsidR="00777DCB" w:rsidRPr="00A52585">
        <w:rPr>
          <w:rFonts w:hint="cs"/>
          <w:sz w:val="24"/>
          <w:szCs w:val="24"/>
          <w:rtl/>
        </w:rPr>
        <w:t xml:space="preserve"> ولم يرد هذا المتن إلا بهذا الاسناد ولا خرجه من عدا البخاري</w:t>
      </w:r>
      <w:r w:rsidR="00DB731D" w:rsidRPr="00A52585">
        <w:rPr>
          <w:rFonts w:hint="cs"/>
          <w:sz w:val="24"/>
          <w:szCs w:val="24"/>
          <w:rtl/>
        </w:rPr>
        <w:t>،</w:t>
      </w:r>
      <w:r w:rsidR="00777DCB" w:rsidRPr="00A52585">
        <w:rPr>
          <w:rFonts w:hint="cs"/>
          <w:sz w:val="24"/>
          <w:szCs w:val="24"/>
          <w:rtl/>
        </w:rPr>
        <w:t xml:space="preserve"> ولا أظنه في مسند أحمد " وزاد الحافظ فقال</w:t>
      </w:r>
      <w:r w:rsidRPr="00A52585">
        <w:rPr>
          <w:rFonts w:hint="cs"/>
          <w:sz w:val="24"/>
          <w:szCs w:val="24"/>
          <w:rtl/>
        </w:rPr>
        <w:t>:</w:t>
      </w:r>
      <w:r w:rsidR="00777DCB" w:rsidRPr="00A52585">
        <w:rPr>
          <w:rFonts w:hint="cs"/>
          <w:sz w:val="24"/>
          <w:szCs w:val="24"/>
          <w:rtl/>
        </w:rPr>
        <w:t xml:space="preserve"> " ليس هو في مسند أحمد جزما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بل هو في المسند عن السيدة عائشة رضي الله عنها مرفوعا</w:t>
      </w:r>
      <w:r w:rsidR="00DB731D" w:rsidRPr="00A52585">
        <w:rPr>
          <w:rFonts w:hint="cs"/>
          <w:sz w:val="24"/>
          <w:szCs w:val="24"/>
          <w:rtl/>
        </w:rPr>
        <w:t>،</w:t>
      </w:r>
      <w:r w:rsidR="00777DCB" w:rsidRPr="00A52585">
        <w:rPr>
          <w:rFonts w:hint="cs"/>
          <w:sz w:val="24"/>
          <w:szCs w:val="24"/>
          <w:rtl/>
        </w:rPr>
        <w:t xml:space="preserve"> وإنني أعجب من الحافظ كيف يجزم بنفي وجوده من المسند </w:t>
      </w:r>
      <w:r w:rsidRPr="00A52585">
        <w:rPr>
          <w:rFonts w:hint="cs"/>
          <w:sz w:val="24"/>
          <w:szCs w:val="24"/>
          <w:rtl/>
        </w:rPr>
        <w:t>(</w:t>
      </w:r>
      <w:r w:rsidR="00777DCB" w:rsidRPr="00A52585">
        <w:rPr>
          <w:rFonts w:hint="cs"/>
          <w:sz w:val="24"/>
          <w:szCs w:val="24"/>
          <w:rtl/>
        </w:rPr>
        <w:t>6 / 256</w:t>
      </w:r>
      <w:r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ولم ينبه في الفتح بعد ذكر رواية أبي هريرة والكلام عليها أنه في مسند أحمد من حديث السيدة عائشة وانما عزاه " للزهد " لأحمد وغيره من طريق عبد الواحد بن ميمون عن عروة عنها</w:t>
      </w:r>
      <w:r w:rsidR="00DB731D" w:rsidRPr="00A52585">
        <w:rPr>
          <w:rFonts w:hint="cs"/>
          <w:sz w:val="24"/>
          <w:szCs w:val="24"/>
          <w:rtl/>
        </w:rPr>
        <w:t>،</w:t>
      </w:r>
      <w:r w:rsidR="00777DCB" w:rsidRPr="00A52585">
        <w:rPr>
          <w:rFonts w:hint="cs"/>
          <w:sz w:val="24"/>
          <w:szCs w:val="24"/>
          <w:rtl/>
        </w:rPr>
        <w:t xml:space="preserve"> لكنه عزاه في " لسان الميزان " </w:t>
      </w:r>
      <w:r w:rsidRPr="00A52585">
        <w:rPr>
          <w:rFonts w:hint="cs"/>
          <w:sz w:val="24"/>
          <w:szCs w:val="24"/>
          <w:rtl/>
        </w:rPr>
        <w:t>(</w:t>
      </w:r>
      <w:r w:rsidR="00777DCB" w:rsidRPr="00A52585">
        <w:rPr>
          <w:rFonts w:hint="cs"/>
          <w:sz w:val="24"/>
          <w:szCs w:val="24"/>
          <w:rtl/>
        </w:rPr>
        <w:t>4 / 99</w:t>
      </w:r>
      <w:r w:rsidRPr="00A52585">
        <w:rPr>
          <w:rFonts w:hint="cs"/>
          <w:sz w:val="24"/>
          <w:szCs w:val="24"/>
          <w:rtl/>
        </w:rPr>
        <w:t>)</w:t>
      </w:r>
      <w:r w:rsidR="00777DCB" w:rsidRPr="00A52585">
        <w:rPr>
          <w:rFonts w:hint="cs"/>
          <w:sz w:val="24"/>
          <w:szCs w:val="24"/>
          <w:rtl/>
        </w:rPr>
        <w:t xml:space="preserve"> في ترجمة عبد الواحد بن ميمون لأحمد في المسند فالله أعلم</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وعبد الواحد هذا متروك</w:t>
      </w:r>
      <w:r w:rsidR="00DB731D" w:rsidRPr="00A52585">
        <w:rPr>
          <w:rFonts w:hint="cs"/>
          <w:sz w:val="24"/>
          <w:szCs w:val="24"/>
          <w:rtl/>
        </w:rPr>
        <w:t>،</w:t>
      </w:r>
      <w:r w:rsidR="00777DCB" w:rsidRPr="00A52585">
        <w:rPr>
          <w:rFonts w:hint="cs"/>
          <w:sz w:val="24"/>
          <w:szCs w:val="24"/>
          <w:rtl/>
        </w:rPr>
        <w:t xml:space="preserve"> والخلاصة أن حديث</w:t>
      </w:r>
      <w:r w:rsidRPr="00A52585">
        <w:rPr>
          <w:rFonts w:hint="cs"/>
          <w:sz w:val="24"/>
          <w:szCs w:val="24"/>
          <w:rtl/>
        </w:rPr>
        <w:t>:</w:t>
      </w:r>
      <w:r w:rsidR="00777DCB" w:rsidRPr="00A52585">
        <w:rPr>
          <w:rFonts w:hint="cs"/>
          <w:sz w:val="24"/>
          <w:szCs w:val="24"/>
          <w:rtl/>
        </w:rPr>
        <w:t xml:space="preserve"> " من عادى لي وليا " صحيح إلا أن لفظ " التردد " الذي فيه لا يثبت لاحتمال أن يكون من تصرف الرواة وخصوصا أن فيه ضعفاء والله تعالى اعلم</w:t>
      </w:r>
      <w:r w:rsidR="00897A24" w:rsidRPr="00A52585">
        <w:rPr>
          <w:rFonts w:hint="cs"/>
          <w:sz w:val="24"/>
          <w:szCs w:val="24"/>
          <w:rtl/>
        </w:rPr>
        <w:t>.</w:t>
      </w:r>
      <w:r w:rsidR="00777DCB" w:rsidRPr="00A52585">
        <w:rPr>
          <w:rFonts w:hint="cs"/>
          <w:sz w:val="24"/>
          <w:szCs w:val="24"/>
          <w:rtl/>
        </w:rPr>
        <w:t xml:space="preserve"> انظر الفتح </w:t>
      </w:r>
      <w:r w:rsidRPr="00A52585">
        <w:rPr>
          <w:rFonts w:hint="cs"/>
          <w:sz w:val="24"/>
          <w:szCs w:val="24"/>
          <w:rtl/>
        </w:rPr>
        <w:t>(</w:t>
      </w:r>
      <w:r w:rsidR="00777DCB" w:rsidRPr="00A52585">
        <w:rPr>
          <w:rFonts w:hint="cs"/>
          <w:sz w:val="24"/>
          <w:szCs w:val="24"/>
          <w:rtl/>
        </w:rPr>
        <w:t>11 / 341 - 342</w:t>
      </w:r>
      <w:r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قوله</w:t>
      </w:r>
      <w:r w:rsidRPr="00A52585">
        <w:rPr>
          <w:rFonts w:hint="cs"/>
          <w:rtl/>
        </w:rPr>
        <w:t>:</w:t>
      </w:r>
      <w:r w:rsidR="00777DCB" w:rsidRPr="00A52585">
        <w:rPr>
          <w:rFonts w:hint="cs"/>
          <w:rtl/>
        </w:rPr>
        <w:t xml:space="preserve"> " كنت سمعه</w:t>
      </w:r>
      <w:r w:rsidR="00DB731D" w:rsidRPr="00A52585">
        <w:rPr>
          <w:rFonts w:hint="cs"/>
          <w:rtl/>
        </w:rPr>
        <w:t>،</w:t>
      </w:r>
      <w:r w:rsidR="00777DCB" w:rsidRPr="00A52585">
        <w:rPr>
          <w:rFonts w:hint="cs"/>
          <w:rtl/>
        </w:rPr>
        <w:t xml:space="preserve"> وبصره " فهو " مثل " وله ثلاثة أوجه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أحدها</w:t>
      </w:r>
      <w:r w:rsidRPr="00A52585">
        <w:rPr>
          <w:rFonts w:hint="cs"/>
          <w:rtl/>
        </w:rPr>
        <w:t>):</w:t>
      </w:r>
      <w:r w:rsidR="00777DCB" w:rsidRPr="00A52585">
        <w:rPr>
          <w:rFonts w:hint="cs"/>
          <w:rtl/>
        </w:rPr>
        <w:t xml:space="preserve"> كنت كسمعه وبصره فهو يحب طاعتي</w:t>
      </w:r>
      <w:r w:rsidR="00897A24" w:rsidRPr="00A52585">
        <w:rPr>
          <w:rFonts w:hint="cs"/>
          <w:rtl/>
        </w:rPr>
        <w:t>.</w:t>
      </w:r>
      <w:r w:rsidR="00777DCB" w:rsidRPr="00A52585">
        <w:rPr>
          <w:rFonts w:hint="cs"/>
          <w:rtl/>
        </w:rPr>
        <w:t xml:space="preserve"> كما يحب هذه الجوارح</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أن جوارحه مشغولة بي</w:t>
      </w:r>
      <w:r w:rsidR="00DB731D" w:rsidRPr="00A52585">
        <w:rPr>
          <w:rFonts w:hint="cs"/>
          <w:rtl/>
        </w:rPr>
        <w:t>،</w:t>
      </w:r>
      <w:r w:rsidR="00777DCB" w:rsidRPr="00A52585">
        <w:rPr>
          <w:rFonts w:hint="cs"/>
          <w:rtl/>
        </w:rPr>
        <w:t xml:space="preserve"> فلا يصغي إلى غير ما يرضيني ولا يبصر إلا عن أمري</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الثالث</w:t>
      </w:r>
      <w:r w:rsidRPr="00A52585">
        <w:rPr>
          <w:rFonts w:hint="cs"/>
          <w:rtl/>
        </w:rPr>
        <w:t>):</w:t>
      </w:r>
      <w:r w:rsidR="00777DCB" w:rsidRPr="00A52585">
        <w:rPr>
          <w:rFonts w:hint="cs"/>
          <w:rtl/>
        </w:rPr>
        <w:t xml:space="preserve"> أني أحصل له مقاصده كما ينالها بسمعه </w:t>
      </w:r>
      <w:r w:rsidR="00777DCB" w:rsidRPr="00A52585">
        <w:rPr>
          <w:rFonts w:hint="cs"/>
          <w:rtl/>
        </w:rPr>
        <w:lastRenderedPageBreak/>
        <w:t>وبصره ويديه اللواتي تعينه على عدوه</w:t>
      </w:r>
      <w:r w:rsidR="00DB731D" w:rsidRPr="00A52585">
        <w:rPr>
          <w:rFonts w:hint="cs"/>
          <w:rtl/>
        </w:rPr>
        <w:t>،</w:t>
      </w:r>
      <w:r w:rsidR="00777DCB" w:rsidRPr="00A52585">
        <w:rPr>
          <w:rFonts w:hint="cs"/>
          <w:rtl/>
        </w:rPr>
        <w:t xml:space="preserve"> والحق منزه عن حقيقته فهو كقوله</w:t>
      </w:r>
      <w:r w:rsidRPr="00A52585">
        <w:rPr>
          <w:rFonts w:hint="cs"/>
          <w:rtl/>
        </w:rPr>
        <w:t>:</w:t>
      </w:r>
      <w:r w:rsidR="00777DCB" w:rsidRPr="00A52585">
        <w:rPr>
          <w:rFonts w:hint="cs"/>
          <w:rtl/>
        </w:rPr>
        <w:t xml:space="preserve"> " ومن أتاني يمشي أتيته هرولة "</w:t>
      </w:r>
      <w:r w:rsidR="00DB731D" w:rsidRPr="00A52585">
        <w:rPr>
          <w:rFonts w:hint="cs"/>
          <w:rtl/>
        </w:rPr>
        <w:t>،</w:t>
      </w:r>
      <w:r w:rsidR="00777DCB" w:rsidRPr="00A52585">
        <w:rPr>
          <w:rFonts w:hint="cs"/>
          <w:rtl/>
        </w:rPr>
        <w:t xml:space="preserve"> وقال بعض العلماء</w:t>
      </w:r>
      <w:r w:rsidRPr="00A52585">
        <w:rPr>
          <w:rFonts w:hint="cs"/>
          <w:rtl/>
        </w:rPr>
        <w:t>:</w:t>
      </w:r>
      <w:r w:rsidR="00777DCB" w:rsidRPr="00A52585">
        <w:rPr>
          <w:rFonts w:hint="cs"/>
          <w:rtl/>
        </w:rPr>
        <w:t xml:space="preserve"> لما كان المؤمن يمرض فيسأل العافية فيعافى كان ذلك كالتردد في إماتته</w:t>
      </w:r>
      <w:r w:rsidR="00DB731D" w:rsidRPr="00A52585">
        <w:rPr>
          <w:rFonts w:hint="cs"/>
          <w:rtl/>
        </w:rPr>
        <w:t>،</w:t>
      </w:r>
      <w:r w:rsidR="00777DCB" w:rsidRPr="00A52585">
        <w:rPr>
          <w:rFonts w:hint="cs"/>
          <w:rtl/>
        </w:rPr>
        <w:t xml:space="preserve"> وأما التردد فخطاب لنا بما نعقل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قدمنا أن لفظ التردد لا يثبت في هذا الحديث</w:t>
      </w:r>
      <w:r w:rsidR="00DB731D" w:rsidRPr="00A52585">
        <w:rPr>
          <w:rFonts w:hint="cs"/>
          <w:sz w:val="24"/>
          <w:szCs w:val="24"/>
          <w:rtl/>
        </w:rPr>
        <w:t>،</w:t>
      </w:r>
      <w:r w:rsidR="00777DCB" w:rsidRPr="00A52585">
        <w:rPr>
          <w:rFonts w:hint="cs"/>
          <w:sz w:val="24"/>
          <w:szCs w:val="24"/>
          <w:rtl/>
        </w:rPr>
        <w:t xml:space="preserve"> والمصنف يؤوله على فرض ثبوته</w:t>
      </w:r>
      <w:r w:rsidRPr="00A52585">
        <w:rPr>
          <w:rFonts w:hint="cs"/>
          <w:sz w:val="24"/>
          <w:szCs w:val="24"/>
          <w:rtl/>
        </w:rPr>
        <w:t>]</w:t>
      </w:r>
      <w:r w:rsidR="00DB731D" w:rsidRPr="00A52585">
        <w:rPr>
          <w:rFonts w:hint="cs"/>
          <w:rtl/>
        </w:rPr>
        <w:t>،</w:t>
      </w:r>
      <w:r w:rsidR="00777DCB" w:rsidRPr="00A52585">
        <w:rPr>
          <w:rFonts w:hint="cs"/>
          <w:rtl/>
        </w:rPr>
        <w:t xml:space="preserve"> </w:t>
      </w:r>
    </w:p>
    <w:p w14:paraId="51A75AFB" w14:textId="5FD2CE65" w:rsidR="00777DCB" w:rsidRPr="00A52585" w:rsidRDefault="0002035C" w:rsidP="0002035C">
      <w:pPr>
        <w:rPr>
          <w:b/>
          <w:rtl/>
        </w:rPr>
      </w:pPr>
      <w:r w:rsidRPr="00A52585">
        <w:rPr>
          <w:rFonts w:hint="cs"/>
          <w:bCs/>
          <w:u w:val="single"/>
          <w:rtl/>
        </w:rPr>
        <w:t>[</w:t>
      </w:r>
      <w:r w:rsidR="00777DCB" w:rsidRPr="00A52585">
        <w:rPr>
          <w:rFonts w:hint="cs"/>
          <w:bCs/>
          <w:u w:val="single"/>
          <w:rtl/>
        </w:rPr>
        <w:t>52</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الثاني والخمسون</w:t>
      </w:r>
      <w:r w:rsidRPr="00A52585">
        <w:rPr>
          <w:rFonts w:hint="cs"/>
          <w:bCs/>
          <w:rtl/>
        </w:rPr>
        <w:t>]:</w:t>
      </w:r>
      <w:r w:rsidR="00777DCB" w:rsidRPr="00A52585">
        <w:rPr>
          <w:rFonts w:hint="cs"/>
          <w:rtl/>
        </w:rPr>
        <w:t xml:space="preserve"> روى جبير بن مطعم قال</w:t>
      </w:r>
      <w:r w:rsidRPr="00A52585">
        <w:rPr>
          <w:rFonts w:hint="cs"/>
          <w:rtl/>
        </w:rPr>
        <w:t>:</w:t>
      </w:r>
      <w:r w:rsidR="00777DCB" w:rsidRPr="00A52585">
        <w:rPr>
          <w:rFonts w:hint="cs"/>
          <w:rtl/>
        </w:rPr>
        <w:t xml:space="preserve"> أتى رسول الله صلى الله عليه وسلم أعرابي فقال</w:t>
      </w:r>
      <w:r w:rsidRPr="00A52585">
        <w:rPr>
          <w:rFonts w:hint="cs"/>
          <w:rtl/>
        </w:rPr>
        <w:t>:</w:t>
      </w:r>
      <w:r w:rsidR="00777DCB" w:rsidRPr="00A52585">
        <w:rPr>
          <w:rFonts w:hint="cs"/>
          <w:rtl/>
        </w:rPr>
        <w:t xml:space="preserve"> يا رسول الله</w:t>
      </w:r>
      <w:r w:rsidRPr="00A52585">
        <w:rPr>
          <w:rFonts w:hint="cs"/>
          <w:rtl/>
        </w:rPr>
        <w:t>:</w:t>
      </w:r>
      <w:r w:rsidR="00777DCB" w:rsidRPr="00A52585">
        <w:rPr>
          <w:rFonts w:hint="cs"/>
          <w:rtl/>
        </w:rPr>
        <w:t xml:space="preserve"> جهدت الانفس وجاعت العيال</w:t>
      </w:r>
      <w:r w:rsidR="00DB731D" w:rsidRPr="00A52585">
        <w:rPr>
          <w:rFonts w:hint="cs"/>
          <w:rtl/>
        </w:rPr>
        <w:t>،</w:t>
      </w:r>
      <w:r w:rsidR="00777DCB" w:rsidRPr="00A52585">
        <w:rPr>
          <w:rFonts w:hint="cs"/>
          <w:rtl/>
        </w:rPr>
        <w:t xml:space="preserve"> ونهكت الاموال</w:t>
      </w:r>
      <w:r w:rsidR="00DB731D" w:rsidRPr="00A52585">
        <w:rPr>
          <w:rFonts w:hint="cs"/>
          <w:rtl/>
        </w:rPr>
        <w:t>،</w:t>
      </w:r>
      <w:r w:rsidR="00777DCB" w:rsidRPr="00A52585">
        <w:rPr>
          <w:rFonts w:hint="cs"/>
          <w:rtl/>
        </w:rPr>
        <w:t xml:space="preserve"> وهلكت الانعام فاستسق الله لنا</w:t>
      </w:r>
      <w:r w:rsidR="00DB731D" w:rsidRPr="00A52585">
        <w:rPr>
          <w:rFonts w:hint="cs"/>
          <w:rtl/>
        </w:rPr>
        <w:t>،</w:t>
      </w:r>
      <w:r w:rsidR="00777DCB" w:rsidRPr="00A52585">
        <w:rPr>
          <w:rFonts w:hint="cs"/>
          <w:rtl/>
        </w:rPr>
        <w:t xml:space="preserve"> فانا نستشفع بك على الله ونستشفع بالله عليك</w:t>
      </w:r>
      <w:r w:rsidR="00DB731D" w:rsidRPr="00A52585">
        <w:rPr>
          <w:rFonts w:hint="cs"/>
          <w:rtl/>
        </w:rPr>
        <w:t>،</w:t>
      </w:r>
      <w:r w:rsidR="00777DCB" w:rsidRPr="00A52585">
        <w:rPr>
          <w:rFonts w:hint="cs"/>
          <w:rtl/>
        </w:rPr>
        <w:t xml:space="preserve"> فقال رسول الله صلى الله عليه وسلم ويحك</w:t>
      </w:r>
      <w:r w:rsidRPr="00A52585">
        <w:rPr>
          <w:rFonts w:hint="cs"/>
          <w:rtl/>
        </w:rPr>
        <w:t>:</w:t>
      </w:r>
      <w:r w:rsidR="00777DCB" w:rsidRPr="00A52585">
        <w:rPr>
          <w:rFonts w:hint="cs"/>
          <w:rtl/>
        </w:rPr>
        <w:t xml:space="preserve"> أتدري ما تقول</w:t>
      </w:r>
      <w:r w:rsidR="00F95886" w:rsidRPr="00A52585">
        <w:rPr>
          <w:rFonts w:hint="cs"/>
          <w:rtl/>
        </w:rPr>
        <w:t>؟؟</w:t>
      </w:r>
      <w:r w:rsidR="00777DCB" w:rsidRPr="00A52585">
        <w:rPr>
          <w:rFonts w:hint="cs"/>
          <w:rtl/>
        </w:rPr>
        <w:t xml:space="preserve"> وسبح رسول الله صلى الله عليه وسلم</w:t>
      </w:r>
      <w:r w:rsidR="00DB731D" w:rsidRPr="00A52585">
        <w:rPr>
          <w:rFonts w:hint="cs"/>
          <w:rtl/>
        </w:rPr>
        <w:t>،</w:t>
      </w:r>
      <w:r w:rsidR="00777DCB" w:rsidRPr="00A52585">
        <w:rPr>
          <w:rFonts w:hint="cs"/>
          <w:rtl/>
        </w:rPr>
        <w:t xml:space="preserve"> فما زال يسبح حتى عرف ذلك في وجه أصحابه فقال</w:t>
      </w:r>
      <w:r w:rsidRPr="00A52585">
        <w:rPr>
          <w:rFonts w:hint="cs"/>
          <w:rtl/>
        </w:rPr>
        <w:t>:</w:t>
      </w:r>
      <w:r w:rsidR="00777DCB" w:rsidRPr="00A52585">
        <w:rPr>
          <w:rFonts w:hint="cs"/>
          <w:rtl/>
        </w:rPr>
        <w:t xml:space="preserve"> إنه لا يستشفع بالله على أحد من خلقه</w:t>
      </w:r>
      <w:r w:rsidR="00897A24" w:rsidRPr="00A52585">
        <w:rPr>
          <w:rFonts w:hint="cs"/>
          <w:rtl/>
        </w:rPr>
        <w:t>.</w:t>
      </w:r>
      <w:r w:rsidR="00777DCB" w:rsidRPr="00A52585">
        <w:rPr>
          <w:rFonts w:hint="cs"/>
          <w:rtl/>
        </w:rPr>
        <w:t xml:space="preserve"> شأن الله أعظم من ذلك</w:t>
      </w:r>
      <w:r w:rsidRPr="00A52585">
        <w:rPr>
          <w:rFonts w:hint="cs"/>
          <w:rtl/>
        </w:rPr>
        <w:t>:</w:t>
      </w:r>
      <w:r w:rsidR="00777DCB" w:rsidRPr="00A52585">
        <w:rPr>
          <w:rFonts w:hint="cs"/>
          <w:rtl/>
        </w:rPr>
        <w:t xml:space="preserve"> ويحك أتدري ما الله</w:t>
      </w:r>
      <w:r w:rsidR="00F95886" w:rsidRPr="00A52585">
        <w:rPr>
          <w:rFonts w:hint="cs"/>
          <w:rtl/>
        </w:rPr>
        <w:t>؟</w:t>
      </w:r>
      <w:r w:rsidR="00777DCB" w:rsidRPr="00A52585">
        <w:rPr>
          <w:rFonts w:hint="cs"/>
          <w:rtl/>
        </w:rPr>
        <w:t xml:space="preserve"> إن عرشه على سماوته هكذا</w:t>
      </w:r>
      <w:r w:rsidR="00DB731D" w:rsidRPr="00A52585">
        <w:rPr>
          <w:rFonts w:hint="cs"/>
          <w:rtl/>
        </w:rPr>
        <w:t>،</w:t>
      </w:r>
      <w:r w:rsidR="00777DCB" w:rsidRPr="00A52585">
        <w:rPr>
          <w:rFonts w:hint="cs"/>
          <w:rtl/>
        </w:rPr>
        <w:t xml:space="preserve"> وقال بأصابعه مثل القبة</w:t>
      </w:r>
      <w:r w:rsidR="00DB731D" w:rsidRPr="00A52585">
        <w:rPr>
          <w:rFonts w:hint="cs"/>
          <w:rtl/>
        </w:rPr>
        <w:t>،</w:t>
      </w:r>
      <w:r w:rsidR="00777DCB" w:rsidRPr="00A52585">
        <w:rPr>
          <w:rFonts w:hint="cs"/>
          <w:rtl/>
        </w:rPr>
        <w:t xml:space="preserve"> وإنه </w:t>
      </w:r>
      <w:proofErr w:type="spellStart"/>
      <w:r w:rsidR="00777DCB" w:rsidRPr="00A52585">
        <w:rPr>
          <w:rFonts w:hint="cs"/>
          <w:rtl/>
        </w:rPr>
        <w:t>ليئط</w:t>
      </w:r>
      <w:proofErr w:type="spellEnd"/>
      <w:r w:rsidR="00777DCB" w:rsidRPr="00A52585">
        <w:rPr>
          <w:rFonts w:hint="cs"/>
          <w:rtl/>
        </w:rPr>
        <w:t xml:space="preserve"> به كأطيط الرحل بالراكب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أبو داود في سننه </w:t>
      </w:r>
      <w:r w:rsidRPr="00A52585">
        <w:rPr>
          <w:rFonts w:hint="cs"/>
          <w:sz w:val="24"/>
          <w:szCs w:val="24"/>
          <w:rtl/>
        </w:rPr>
        <w:t>(</w:t>
      </w:r>
      <w:r w:rsidR="00777DCB" w:rsidRPr="00A52585">
        <w:rPr>
          <w:rFonts w:hint="cs"/>
          <w:sz w:val="24"/>
          <w:szCs w:val="24"/>
          <w:rtl/>
        </w:rPr>
        <w:t>4 / 232 برقم 4726</w:t>
      </w:r>
      <w:r w:rsidRPr="00A52585">
        <w:rPr>
          <w:rFonts w:hint="cs"/>
          <w:sz w:val="24"/>
          <w:szCs w:val="24"/>
          <w:rtl/>
        </w:rPr>
        <w:t>)</w:t>
      </w:r>
      <w:r w:rsidR="00777DCB" w:rsidRPr="00A52585">
        <w:rPr>
          <w:rFonts w:hint="cs"/>
          <w:sz w:val="24"/>
          <w:szCs w:val="24"/>
          <w:rtl/>
        </w:rPr>
        <w:t xml:space="preserve"> وابن أبي عاصم في " سنته " </w:t>
      </w:r>
      <w:r w:rsidRPr="00A52585">
        <w:rPr>
          <w:rFonts w:hint="cs"/>
          <w:sz w:val="24"/>
          <w:szCs w:val="24"/>
          <w:rtl/>
        </w:rPr>
        <w:t>(</w:t>
      </w:r>
      <w:r w:rsidR="00777DCB" w:rsidRPr="00A52585">
        <w:rPr>
          <w:rFonts w:hint="cs"/>
          <w:sz w:val="24"/>
          <w:szCs w:val="24"/>
          <w:rtl/>
        </w:rPr>
        <w:t>252</w:t>
      </w:r>
      <w:r w:rsidRPr="00A52585">
        <w:rPr>
          <w:rFonts w:hint="cs"/>
          <w:sz w:val="24"/>
          <w:szCs w:val="24"/>
          <w:rtl/>
        </w:rPr>
        <w:t>)</w:t>
      </w:r>
      <w:r w:rsidR="00777DCB" w:rsidRPr="00A52585">
        <w:rPr>
          <w:rFonts w:hint="cs"/>
          <w:sz w:val="24"/>
          <w:szCs w:val="24"/>
          <w:rtl/>
        </w:rPr>
        <w:t xml:space="preserve"> وهذا سنده في أصح الاقوال على اختلاف فيه كما في " سنن أبي داود "</w:t>
      </w:r>
      <w:r w:rsidRPr="00A52585">
        <w:rPr>
          <w:rFonts w:hint="cs"/>
          <w:sz w:val="24"/>
          <w:szCs w:val="24"/>
          <w:rtl/>
        </w:rPr>
        <w:t>:</w:t>
      </w:r>
      <w:r w:rsidR="00777DCB" w:rsidRPr="00A52585">
        <w:rPr>
          <w:rFonts w:hint="cs"/>
          <w:sz w:val="24"/>
          <w:szCs w:val="24"/>
          <w:rtl/>
        </w:rPr>
        <w:t xml:space="preserve"> حدثنا عبد الاعلى ومحمد بن المثنى ومحمد بن بشار وأحمد الرباطي قالوا</w:t>
      </w:r>
      <w:r w:rsidRPr="00A52585">
        <w:rPr>
          <w:rFonts w:hint="cs"/>
          <w:sz w:val="24"/>
          <w:szCs w:val="24"/>
          <w:rtl/>
        </w:rPr>
        <w:t>:</w:t>
      </w:r>
      <w:r w:rsidR="00777DCB" w:rsidRPr="00A52585">
        <w:rPr>
          <w:rFonts w:hint="cs"/>
          <w:sz w:val="24"/>
          <w:szCs w:val="24"/>
          <w:rtl/>
        </w:rPr>
        <w:t xml:space="preserve"> حدثنا وهب بن جرير حدثنا أبي قال سمعت محمد بن أسحاق عن يعقوب بن عتبة عن جبير بن محمد بن جبير بن مطعم عن أبيه عن جده به</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وهذا إسناد معلول لما يأتي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w:t>
      </w:r>
      <w:r w:rsidRPr="00A52585">
        <w:rPr>
          <w:rFonts w:hint="cs"/>
          <w:sz w:val="24"/>
          <w:szCs w:val="24"/>
          <w:rtl/>
        </w:rPr>
        <w:t>)</w:t>
      </w:r>
      <w:r w:rsidR="00777DCB" w:rsidRPr="00A52585">
        <w:rPr>
          <w:rFonts w:hint="cs"/>
          <w:sz w:val="24"/>
          <w:szCs w:val="24"/>
          <w:rtl/>
        </w:rPr>
        <w:t xml:space="preserve"> وهب بن جرير</w:t>
      </w:r>
      <w:r w:rsidRPr="00A52585">
        <w:rPr>
          <w:rFonts w:hint="cs"/>
          <w:sz w:val="24"/>
          <w:szCs w:val="24"/>
          <w:rtl/>
        </w:rPr>
        <w:t>:</w:t>
      </w:r>
      <w:r w:rsidR="00777DCB" w:rsidRPr="00A52585">
        <w:rPr>
          <w:rFonts w:hint="cs"/>
          <w:sz w:val="24"/>
          <w:szCs w:val="24"/>
          <w:rtl/>
        </w:rPr>
        <w:t xml:space="preserve"> قال فيه ابن حبان</w:t>
      </w:r>
      <w:r w:rsidRPr="00A52585">
        <w:rPr>
          <w:rFonts w:hint="cs"/>
          <w:sz w:val="24"/>
          <w:szCs w:val="24"/>
          <w:rtl/>
        </w:rPr>
        <w:t>:</w:t>
      </w:r>
      <w:r w:rsidR="00777DCB" w:rsidRPr="00A52585">
        <w:rPr>
          <w:rFonts w:hint="cs"/>
          <w:sz w:val="24"/>
          <w:szCs w:val="24"/>
          <w:rtl/>
        </w:rPr>
        <w:t xml:space="preserve"> كان يخطئ</w:t>
      </w:r>
      <w:r w:rsidR="00DB731D" w:rsidRPr="00A52585">
        <w:rPr>
          <w:rFonts w:hint="cs"/>
          <w:sz w:val="24"/>
          <w:szCs w:val="24"/>
          <w:rtl/>
        </w:rPr>
        <w:t>،</w:t>
      </w:r>
      <w:r w:rsidR="00777DCB" w:rsidRPr="00A52585">
        <w:rPr>
          <w:rFonts w:hint="cs"/>
          <w:sz w:val="24"/>
          <w:szCs w:val="24"/>
          <w:rtl/>
        </w:rPr>
        <w:t xml:space="preserve"> وكان عفان يتكلم فيه وغمزه أحمد فعرض به مع أنه من رجال الستة</w:t>
      </w:r>
      <w:r w:rsidR="00DB731D" w:rsidRPr="00A52585">
        <w:rPr>
          <w:rFonts w:hint="cs"/>
          <w:sz w:val="24"/>
          <w:szCs w:val="24"/>
          <w:rtl/>
        </w:rPr>
        <w:t>،</w:t>
      </w:r>
      <w:r w:rsidR="00777DCB" w:rsidRPr="00A52585">
        <w:rPr>
          <w:rFonts w:hint="cs"/>
          <w:sz w:val="24"/>
          <w:szCs w:val="24"/>
          <w:rtl/>
        </w:rPr>
        <w:t xml:space="preserve"> كذا في التهذيب </w:t>
      </w:r>
      <w:r w:rsidRPr="00A52585">
        <w:rPr>
          <w:rFonts w:hint="cs"/>
          <w:sz w:val="24"/>
          <w:szCs w:val="24"/>
          <w:rtl/>
        </w:rPr>
        <w:t>(</w:t>
      </w:r>
      <w:r w:rsidR="00777DCB" w:rsidRPr="00A52585">
        <w:rPr>
          <w:rFonts w:hint="cs"/>
          <w:sz w:val="24"/>
          <w:szCs w:val="24"/>
          <w:rtl/>
        </w:rPr>
        <w:t>11 / 142 فكر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ب</w:t>
      </w:r>
      <w:r w:rsidRPr="00A52585">
        <w:rPr>
          <w:rFonts w:hint="cs"/>
          <w:sz w:val="24"/>
          <w:szCs w:val="24"/>
          <w:rtl/>
        </w:rPr>
        <w:t>)</w:t>
      </w:r>
      <w:r w:rsidR="00777DCB" w:rsidRPr="00A52585">
        <w:rPr>
          <w:rFonts w:hint="cs"/>
          <w:sz w:val="24"/>
          <w:szCs w:val="24"/>
          <w:rtl/>
        </w:rPr>
        <w:t xml:space="preserve"> وأبوه جرير له أوهام واختلط</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ج</w:t>
      </w:r>
      <w:r w:rsidRPr="00A52585">
        <w:rPr>
          <w:rFonts w:hint="cs"/>
          <w:sz w:val="24"/>
          <w:szCs w:val="24"/>
          <w:rtl/>
        </w:rPr>
        <w:t>)</w:t>
      </w:r>
      <w:r w:rsidR="00777DCB" w:rsidRPr="00A52585">
        <w:rPr>
          <w:rFonts w:hint="cs"/>
          <w:sz w:val="24"/>
          <w:szCs w:val="24"/>
          <w:rtl/>
        </w:rPr>
        <w:t xml:space="preserve"> محمد بن اسحق</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عنعن</w:t>
      </w:r>
      <w:proofErr w:type="spellEnd"/>
      <w:r w:rsidR="00777DCB" w:rsidRPr="00A52585">
        <w:rPr>
          <w:rFonts w:hint="cs"/>
          <w:sz w:val="24"/>
          <w:szCs w:val="24"/>
          <w:rtl/>
        </w:rPr>
        <w:t xml:space="preserve"> هذا الحديث فلا حجة بحديثه إذا </w:t>
      </w:r>
      <w:proofErr w:type="spellStart"/>
      <w:r w:rsidR="00777DCB" w:rsidRPr="00A52585">
        <w:rPr>
          <w:rFonts w:hint="cs"/>
          <w:sz w:val="24"/>
          <w:szCs w:val="24"/>
          <w:rtl/>
        </w:rPr>
        <w:t>عنعن</w:t>
      </w:r>
      <w:proofErr w:type="spellEnd"/>
      <w:r w:rsidR="00777DCB" w:rsidRPr="00A52585">
        <w:rPr>
          <w:rFonts w:hint="cs"/>
          <w:sz w:val="24"/>
          <w:szCs w:val="24"/>
          <w:rtl/>
        </w:rPr>
        <w:t xml:space="preserve"> عند من يحسن حديثه</w:t>
      </w:r>
      <w:r w:rsidR="00DB731D" w:rsidRPr="00A52585">
        <w:rPr>
          <w:rFonts w:hint="cs"/>
          <w:sz w:val="24"/>
          <w:szCs w:val="24"/>
          <w:rtl/>
        </w:rPr>
        <w:t>،</w:t>
      </w:r>
      <w:r w:rsidR="00777DCB" w:rsidRPr="00A52585">
        <w:rPr>
          <w:rFonts w:hint="cs"/>
          <w:sz w:val="24"/>
          <w:szCs w:val="24"/>
          <w:rtl/>
        </w:rPr>
        <w:t xml:space="preserve"> والحقيقة أنه قد كذبه وطعن فيه جماعة من كبار الائمة كما في ترجمته في " التهذيب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9 / 34 فكر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فقد طعن فيه الامام أحمد بن حنبل وكذبه الامام مالك أيضا وسليمان التيمي ويحيى القطان ووهيب بن خالد وهؤلاء من ائمة هذا </w:t>
      </w:r>
      <w:proofErr w:type="spellStart"/>
      <w:r w:rsidR="00777DCB" w:rsidRPr="00A52585">
        <w:rPr>
          <w:rFonts w:hint="cs"/>
          <w:sz w:val="24"/>
          <w:szCs w:val="24"/>
          <w:rtl/>
        </w:rPr>
        <w:t>الشان</w:t>
      </w:r>
      <w:proofErr w:type="spellEnd"/>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د</w:t>
      </w:r>
      <w:r w:rsidRPr="00A52585">
        <w:rPr>
          <w:rFonts w:hint="cs"/>
          <w:sz w:val="24"/>
          <w:szCs w:val="24"/>
          <w:rtl/>
        </w:rPr>
        <w:t>)</w:t>
      </w:r>
      <w:r w:rsidR="00777DCB" w:rsidRPr="00A52585">
        <w:rPr>
          <w:rFonts w:hint="cs"/>
          <w:sz w:val="24"/>
          <w:szCs w:val="24"/>
          <w:rtl/>
        </w:rPr>
        <w:t xml:space="preserve"> وجبير بن محمد مقبول كما في التقريب</w:t>
      </w:r>
      <w:r w:rsidR="00DB731D" w:rsidRPr="00A52585">
        <w:rPr>
          <w:rFonts w:hint="cs"/>
          <w:sz w:val="24"/>
          <w:szCs w:val="24"/>
          <w:rtl/>
        </w:rPr>
        <w:t>،</w:t>
      </w:r>
      <w:r w:rsidR="00777DCB" w:rsidRPr="00A52585">
        <w:rPr>
          <w:rFonts w:hint="cs"/>
          <w:sz w:val="24"/>
          <w:szCs w:val="24"/>
          <w:rtl/>
        </w:rPr>
        <w:t xml:space="preserve"> والراجح أنه لم يتابعه فيه يعقوب بن عتبة وانما رواه عنه</w:t>
      </w:r>
      <w:r w:rsidR="00DB731D" w:rsidRPr="00A52585">
        <w:rPr>
          <w:rFonts w:hint="cs"/>
          <w:sz w:val="24"/>
          <w:szCs w:val="24"/>
          <w:rtl/>
        </w:rPr>
        <w:t>،</w:t>
      </w:r>
      <w:r w:rsidR="00777DCB" w:rsidRPr="00A52585">
        <w:rPr>
          <w:rFonts w:hint="cs"/>
          <w:sz w:val="24"/>
          <w:szCs w:val="24"/>
          <w:rtl/>
        </w:rPr>
        <w:t xml:space="preserve"> فأنى لهذا الحديث أن تقوم له قائمة ومتنه منكر جدا</w:t>
      </w:r>
      <w:r w:rsidR="00F95886" w:rsidRPr="00A52585">
        <w:rPr>
          <w:rFonts w:hint="cs"/>
          <w:sz w:val="24"/>
          <w:szCs w:val="24"/>
          <w:rtl/>
        </w:rPr>
        <w:t>؟!!</w:t>
      </w:r>
      <w:r w:rsidR="00777DCB" w:rsidRPr="00A52585">
        <w:rPr>
          <w:rFonts w:hint="cs"/>
          <w:sz w:val="24"/>
          <w:szCs w:val="24"/>
          <w:rtl/>
        </w:rPr>
        <w:t xml:space="preserve"> وهذا الحديث هو الذي صنف فيه الحافظ ابن عساكر كتابه</w:t>
      </w:r>
      <w:r w:rsidRPr="00A52585">
        <w:rPr>
          <w:rFonts w:hint="cs"/>
          <w:sz w:val="24"/>
          <w:szCs w:val="24"/>
          <w:rtl/>
        </w:rPr>
        <w:t>:</w:t>
      </w:r>
      <w:r w:rsidR="00777DCB" w:rsidRPr="00A52585">
        <w:rPr>
          <w:rFonts w:hint="cs"/>
          <w:sz w:val="24"/>
          <w:szCs w:val="24"/>
          <w:rtl/>
        </w:rPr>
        <w:t xml:space="preserve"> " تبيان الوهم والتخليط فيما أخرجه أبو داود من حديث الاطيط " كما في مقدمة " تبيين كذب المفتري " للإمام المحدث الكوثري عليه الرحمة والرضوان ص </w:t>
      </w:r>
      <w:r w:rsidRPr="00A52585">
        <w:rPr>
          <w:rFonts w:hint="cs"/>
          <w:sz w:val="24"/>
          <w:szCs w:val="24"/>
          <w:rtl/>
        </w:rPr>
        <w:t>(</w:t>
      </w:r>
      <w:r w:rsidR="00777DCB" w:rsidRPr="00A52585">
        <w:rPr>
          <w:rFonts w:hint="cs"/>
          <w:sz w:val="24"/>
          <w:szCs w:val="24"/>
          <w:rtl/>
        </w:rPr>
        <w:t>4</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ومنه تعلم قصور المعلق</w:t>
      </w:r>
      <w:r w:rsidR="00F95886" w:rsidRPr="00A52585">
        <w:rPr>
          <w:rFonts w:hint="cs"/>
          <w:sz w:val="24"/>
          <w:szCs w:val="24"/>
          <w:rtl/>
        </w:rPr>
        <w:t>!!</w:t>
      </w:r>
      <w:r w:rsidR="00777DCB" w:rsidRPr="00A52585">
        <w:rPr>
          <w:rFonts w:hint="cs"/>
          <w:sz w:val="24"/>
          <w:szCs w:val="24"/>
          <w:rtl/>
        </w:rPr>
        <w:t xml:space="preserve"> المحقق</w:t>
      </w:r>
      <w:r w:rsidR="00F95886" w:rsidRPr="00A52585">
        <w:rPr>
          <w:rFonts w:hint="cs"/>
          <w:sz w:val="24"/>
          <w:szCs w:val="24"/>
          <w:rtl/>
        </w:rPr>
        <w:t>!!</w:t>
      </w:r>
      <w:r w:rsidR="00777DCB" w:rsidRPr="00A52585">
        <w:rPr>
          <w:rFonts w:hint="cs"/>
          <w:sz w:val="24"/>
          <w:szCs w:val="24"/>
          <w:rtl/>
        </w:rPr>
        <w:t xml:space="preserve"> المتناقض على كتاب سنة ابن أبي عاصم حيث اكتفى بتضعيف السند وتعليله </w:t>
      </w:r>
      <w:proofErr w:type="spellStart"/>
      <w:r w:rsidR="00777DCB" w:rsidRPr="00A52585">
        <w:rPr>
          <w:rFonts w:hint="cs"/>
          <w:sz w:val="24"/>
          <w:szCs w:val="24"/>
          <w:rtl/>
        </w:rPr>
        <w:t>بعنعنة</w:t>
      </w:r>
      <w:proofErr w:type="spellEnd"/>
      <w:r w:rsidR="00777DCB" w:rsidRPr="00A52585">
        <w:rPr>
          <w:rFonts w:hint="cs"/>
          <w:sz w:val="24"/>
          <w:szCs w:val="24"/>
          <w:rtl/>
        </w:rPr>
        <w:t xml:space="preserve"> ابن اسحق ومنه تدرك أيضا خطأ ابن القيم - ابن </w:t>
      </w:r>
      <w:proofErr w:type="spellStart"/>
      <w:r w:rsidR="00777DCB" w:rsidRPr="00A52585">
        <w:rPr>
          <w:rFonts w:hint="cs"/>
          <w:sz w:val="24"/>
          <w:szCs w:val="24"/>
          <w:rtl/>
        </w:rPr>
        <w:t>زفيل</w:t>
      </w:r>
      <w:proofErr w:type="spellEnd"/>
      <w:r w:rsidR="00777DCB" w:rsidRPr="00A52585">
        <w:rPr>
          <w:rFonts w:hint="cs"/>
          <w:sz w:val="24"/>
          <w:szCs w:val="24"/>
          <w:rtl/>
        </w:rPr>
        <w:t xml:space="preserve"> - في محاولته في تعليقه على سنن أبي داود تقوية الحديث</w:t>
      </w:r>
      <w:r w:rsidR="00DB731D" w:rsidRPr="00A52585">
        <w:rPr>
          <w:rFonts w:hint="cs"/>
          <w:sz w:val="24"/>
          <w:szCs w:val="24"/>
          <w:rtl/>
        </w:rPr>
        <w:t>،</w:t>
      </w:r>
      <w:r w:rsidR="00777DCB" w:rsidRPr="00A52585">
        <w:rPr>
          <w:rFonts w:hint="cs"/>
          <w:sz w:val="24"/>
          <w:szCs w:val="24"/>
          <w:rtl/>
        </w:rPr>
        <w:t xml:space="preserve"> والسبب في ذلك أنه يؤيد التجسيم الذي يميلون إليه</w:t>
      </w:r>
      <w:r w:rsidR="00DB731D" w:rsidRPr="00A52585">
        <w:rPr>
          <w:rFonts w:hint="cs"/>
          <w:sz w:val="24"/>
          <w:szCs w:val="24"/>
          <w:rtl/>
        </w:rPr>
        <w:t>،</w:t>
      </w:r>
      <w:r w:rsidR="00777DCB" w:rsidRPr="00A52585">
        <w:rPr>
          <w:rFonts w:hint="cs"/>
          <w:sz w:val="24"/>
          <w:szCs w:val="24"/>
          <w:rtl/>
        </w:rPr>
        <w:t xml:space="preserve"> فمثل هذا الحديث لا يقبل في الوضوء فكيف في أصول الدين التي يطلب فيها اليقين</w:t>
      </w:r>
      <w:r w:rsidR="00F95886" w:rsidRPr="00A52585">
        <w:rPr>
          <w:rFonts w:hint="cs"/>
          <w:sz w:val="24"/>
          <w:szCs w:val="24"/>
          <w:rtl/>
        </w:rPr>
        <w:t>؟!!</w:t>
      </w:r>
      <w:r w:rsidR="00777DCB" w:rsidRPr="00A52585">
        <w:rPr>
          <w:rFonts w:hint="cs"/>
          <w:sz w:val="24"/>
          <w:szCs w:val="24"/>
          <w:rtl/>
        </w:rPr>
        <w:t xml:space="preserve"> وارجع</w:t>
      </w:r>
      <w:r w:rsidR="00777DCB" w:rsidRPr="00A52585">
        <w:rPr>
          <w:rFonts w:hint="cs"/>
          <w:sz w:val="24"/>
          <w:szCs w:val="24"/>
        </w:rPr>
        <w:t xml:space="preserve"> </w:t>
      </w:r>
      <w:r w:rsidR="00777DCB" w:rsidRPr="00A52585">
        <w:rPr>
          <w:rFonts w:hint="cs"/>
          <w:sz w:val="24"/>
          <w:szCs w:val="24"/>
          <w:rtl/>
        </w:rPr>
        <w:t xml:space="preserve">إلى مقالة المحدث الكوثري في المقالات المسماة </w:t>
      </w:r>
      <w:r w:rsidRPr="00A52585">
        <w:rPr>
          <w:rFonts w:hint="cs"/>
          <w:sz w:val="24"/>
          <w:szCs w:val="24"/>
          <w:rtl/>
        </w:rPr>
        <w:t>(</w:t>
      </w:r>
      <w:r w:rsidR="00777DCB" w:rsidRPr="00A52585">
        <w:rPr>
          <w:rFonts w:hint="cs"/>
          <w:sz w:val="24"/>
          <w:szCs w:val="24"/>
          <w:rtl/>
        </w:rPr>
        <w:t>أسطورة الاوعال</w:t>
      </w:r>
      <w:r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تفرد بروايته محمد بن اسحق عن يعقوب بن عتبة وكلاهما لا يحتج به أرباب الصحاح</w:t>
      </w:r>
      <w:r w:rsidR="00DB731D" w:rsidRPr="00A52585">
        <w:rPr>
          <w:rFonts w:hint="cs"/>
          <w:rtl/>
        </w:rPr>
        <w:t>،</w:t>
      </w:r>
      <w:r w:rsidR="00777DCB" w:rsidRPr="00A52585">
        <w:rPr>
          <w:rFonts w:hint="cs"/>
          <w:rtl/>
        </w:rPr>
        <w:t xml:space="preserve"> قال أبو سليمان الخطابي</w:t>
      </w:r>
      <w:r w:rsidRPr="00A52585">
        <w:rPr>
          <w:rFonts w:hint="cs"/>
          <w:rtl/>
        </w:rPr>
        <w:t>:</w:t>
      </w:r>
      <w:r w:rsidR="00777DCB" w:rsidRPr="00A52585">
        <w:rPr>
          <w:rFonts w:hint="cs"/>
          <w:rtl/>
        </w:rPr>
        <w:t xml:space="preserve"> هذا الحديث إذ أجري على ظاهره كان فيه نوع </w:t>
      </w:r>
      <w:r w:rsidR="00777DCB" w:rsidRPr="00A52585">
        <w:rPr>
          <w:rFonts w:hint="cs"/>
          <w:rtl/>
        </w:rPr>
        <w:lastRenderedPageBreak/>
        <w:t>من الكيفية</w:t>
      </w:r>
      <w:r w:rsidR="00DB731D" w:rsidRPr="00A52585">
        <w:rPr>
          <w:rFonts w:hint="cs"/>
          <w:rtl/>
        </w:rPr>
        <w:t>،</w:t>
      </w:r>
      <w:r w:rsidR="00777DCB" w:rsidRPr="00A52585">
        <w:rPr>
          <w:rFonts w:hint="cs"/>
          <w:rtl/>
        </w:rPr>
        <w:t xml:space="preserve"> وهي عن الله وصفاته منفية</w:t>
      </w:r>
      <w:r w:rsidR="00DB731D" w:rsidRPr="00A52585">
        <w:rPr>
          <w:rFonts w:hint="cs"/>
          <w:rtl/>
        </w:rPr>
        <w:t>،</w:t>
      </w:r>
      <w:r w:rsidR="00777DCB" w:rsidRPr="00A52585">
        <w:rPr>
          <w:rFonts w:hint="cs"/>
          <w:rtl/>
        </w:rPr>
        <w:t xml:space="preserve"> فعلم أنه كلام تقريب أريد به تقرير عظمة الله من حيث يدركه فهم السامع إذ كان اعرابيا جلفا لا علم له بمعاني ما دق من الكلام</w:t>
      </w:r>
      <w:r w:rsidR="00DB731D" w:rsidRPr="00A52585">
        <w:rPr>
          <w:rFonts w:hint="cs"/>
          <w:rtl/>
        </w:rPr>
        <w:t>،</w:t>
      </w:r>
      <w:r w:rsidR="00777DCB" w:rsidRPr="00A52585">
        <w:rPr>
          <w:rFonts w:hint="cs"/>
          <w:rtl/>
        </w:rPr>
        <w:t xml:space="preserve"> ومعنى قوله</w:t>
      </w:r>
      <w:r w:rsidRPr="00A52585">
        <w:rPr>
          <w:rFonts w:hint="cs"/>
          <w:rtl/>
        </w:rPr>
        <w:t>:</w:t>
      </w:r>
      <w:r w:rsidR="00777DCB" w:rsidRPr="00A52585">
        <w:rPr>
          <w:rFonts w:hint="cs"/>
          <w:rtl/>
        </w:rPr>
        <w:t xml:space="preserve"> أتدري ما الله - أتدري ما عظمة الله </w:t>
      </w:r>
      <w:proofErr w:type="gramStart"/>
      <w:r w:rsidR="00777DCB" w:rsidRPr="00A52585">
        <w:rPr>
          <w:rFonts w:hint="cs"/>
          <w:rtl/>
        </w:rPr>
        <w:t>وجلاله</w:t>
      </w:r>
      <w:r w:rsidR="00897A24" w:rsidRPr="00A52585">
        <w:rPr>
          <w:rFonts w:hint="cs"/>
          <w:rtl/>
        </w:rPr>
        <w:t>..</w:t>
      </w:r>
      <w:r w:rsidR="00F95886" w:rsidRPr="00A52585">
        <w:rPr>
          <w:rFonts w:hint="cs"/>
          <w:rtl/>
        </w:rPr>
        <w:t>؟</w:t>
      </w:r>
      <w:proofErr w:type="gramEnd"/>
      <w:r w:rsidR="00777DCB" w:rsidRPr="00A52585">
        <w:rPr>
          <w:rFonts w:hint="cs"/>
          <w:rtl/>
        </w:rPr>
        <w:t xml:space="preserve"> ومعنى </w:t>
      </w:r>
      <w:proofErr w:type="spellStart"/>
      <w:r w:rsidR="00777DCB" w:rsidRPr="00A52585">
        <w:rPr>
          <w:rFonts w:hint="cs"/>
          <w:rtl/>
        </w:rPr>
        <w:t>يئط</w:t>
      </w:r>
      <w:proofErr w:type="spellEnd"/>
      <w:r w:rsidR="00777DCB" w:rsidRPr="00A52585">
        <w:rPr>
          <w:rFonts w:hint="cs"/>
          <w:rtl/>
        </w:rPr>
        <w:t xml:space="preserve"> به</w:t>
      </w:r>
      <w:r w:rsidRPr="00A52585">
        <w:rPr>
          <w:rFonts w:hint="cs"/>
          <w:rtl/>
        </w:rPr>
        <w:t>:</w:t>
      </w:r>
      <w:r w:rsidR="00777DCB" w:rsidRPr="00A52585">
        <w:rPr>
          <w:rFonts w:hint="cs"/>
          <w:rtl/>
        </w:rPr>
        <w:t xml:space="preserve"> أي يعجز عن جلاله وعظمته</w:t>
      </w:r>
      <w:r w:rsidR="00DB731D" w:rsidRPr="00A52585">
        <w:rPr>
          <w:rFonts w:hint="cs"/>
          <w:rtl/>
        </w:rPr>
        <w:t>،</w:t>
      </w:r>
      <w:r w:rsidR="00777DCB" w:rsidRPr="00A52585">
        <w:rPr>
          <w:rFonts w:hint="cs"/>
          <w:rtl/>
        </w:rPr>
        <w:t xml:space="preserve"> إذ كان معلوما أن أطيط الرحل</w:t>
      </w:r>
      <w:r w:rsidRPr="00A52585">
        <w:rPr>
          <w:rFonts w:hint="cs"/>
          <w:rtl/>
        </w:rPr>
        <w:t xml:space="preserve"> </w:t>
      </w:r>
      <w:r w:rsidR="00777DCB" w:rsidRPr="00A52585">
        <w:rPr>
          <w:rFonts w:hint="cs"/>
          <w:rtl/>
        </w:rPr>
        <w:t>بالراكب معلوما لقوة ما فوقه</w:t>
      </w:r>
      <w:r w:rsidR="00DB731D" w:rsidRPr="00A52585">
        <w:rPr>
          <w:rFonts w:hint="cs"/>
          <w:rtl/>
        </w:rPr>
        <w:t>،</w:t>
      </w:r>
      <w:r w:rsidR="00777DCB" w:rsidRPr="00A52585">
        <w:rPr>
          <w:rFonts w:hint="cs"/>
          <w:rtl/>
        </w:rPr>
        <w:t xml:space="preserve"> أو لعجزه عن احتماله</w:t>
      </w:r>
      <w:r w:rsidR="00DB731D" w:rsidRPr="00A52585">
        <w:rPr>
          <w:rFonts w:hint="cs"/>
          <w:rtl/>
        </w:rPr>
        <w:t>،</w:t>
      </w:r>
      <w:r w:rsidR="00777DCB" w:rsidRPr="00A52585">
        <w:rPr>
          <w:rFonts w:hint="cs"/>
          <w:rtl/>
        </w:rPr>
        <w:t xml:space="preserve"> فقرب بهذا النوع من التمثيل عنده معنى عظمة الله وجلاله ليعلمه أن الموصوف بعلو الشأن لا يجعل شفيعا لمن هو دونه في القدر وقد ذكرنا فيما تقدم عن القاضي أبي يعلى</w:t>
      </w:r>
      <w:r w:rsidRPr="00A52585">
        <w:rPr>
          <w:rFonts w:hint="cs"/>
          <w:rtl/>
        </w:rPr>
        <w:t xml:space="preserve"> </w:t>
      </w:r>
      <w:r w:rsidR="00777DCB" w:rsidRPr="00A52585">
        <w:rPr>
          <w:rFonts w:hint="cs"/>
          <w:rtl/>
        </w:rPr>
        <w:t>أنه قال</w:t>
      </w:r>
      <w:r w:rsidRPr="00A52585">
        <w:rPr>
          <w:rFonts w:hint="cs"/>
          <w:rtl/>
        </w:rPr>
        <w:t>:</w:t>
      </w:r>
      <w:r w:rsidR="00777DCB" w:rsidRPr="00A52585">
        <w:rPr>
          <w:rFonts w:hint="cs"/>
          <w:rtl/>
        </w:rPr>
        <w:t xml:space="preserve"> " </w:t>
      </w:r>
      <w:proofErr w:type="spellStart"/>
      <w:r w:rsidR="00777DCB" w:rsidRPr="00A52585">
        <w:rPr>
          <w:rFonts w:hint="cs"/>
          <w:rtl/>
        </w:rPr>
        <w:t>يئط</w:t>
      </w:r>
      <w:proofErr w:type="spellEnd"/>
      <w:r w:rsidR="00777DCB" w:rsidRPr="00A52585">
        <w:rPr>
          <w:rFonts w:hint="cs"/>
          <w:rtl/>
        </w:rPr>
        <w:t xml:space="preserve"> من ثقل الذات " وهذا صريح في التجسيم</w:t>
      </w:r>
      <w:r w:rsidR="00DB731D" w:rsidRPr="00A52585">
        <w:rPr>
          <w:rFonts w:hint="cs"/>
          <w:rtl/>
        </w:rPr>
        <w:t>،</w:t>
      </w:r>
      <w:r w:rsidR="00777DCB" w:rsidRPr="00A52585">
        <w:rPr>
          <w:rFonts w:hint="cs"/>
          <w:rtl/>
        </w:rPr>
        <w:t xml:space="preserve"> </w:t>
      </w:r>
    </w:p>
    <w:p w14:paraId="1C5A3025" w14:textId="2E58A58B" w:rsidR="00777DCB" w:rsidRPr="00A52585" w:rsidRDefault="0002035C" w:rsidP="0002035C">
      <w:pPr>
        <w:rPr>
          <w:b/>
          <w:rtl/>
        </w:rPr>
      </w:pPr>
      <w:r w:rsidRPr="00A52585">
        <w:rPr>
          <w:rFonts w:hint="cs"/>
          <w:bCs/>
          <w:u w:val="single"/>
          <w:rtl/>
        </w:rPr>
        <w:t>[</w:t>
      </w:r>
      <w:r w:rsidR="00777DCB" w:rsidRPr="00A52585">
        <w:rPr>
          <w:rFonts w:hint="cs"/>
          <w:bCs/>
          <w:u w:val="single"/>
          <w:rtl/>
        </w:rPr>
        <w:t>53</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الثالث والخمسون</w:t>
      </w:r>
      <w:r w:rsidRPr="00A52585">
        <w:rPr>
          <w:rFonts w:hint="cs"/>
          <w:bCs/>
          <w:rtl/>
        </w:rPr>
        <w:t>]:</w:t>
      </w:r>
      <w:r w:rsidR="00777DCB" w:rsidRPr="00A52585">
        <w:rPr>
          <w:rFonts w:hint="cs"/>
          <w:rtl/>
        </w:rPr>
        <w:t xml:space="preserve"> روى أبو هريرة رضي الله عنه عن النبي صلى الله عليه وسلم أنه " قرأ</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الله كان سميعا بصيرا " النساء</w:t>
      </w:r>
      <w:r w:rsidRPr="00A52585">
        <w:rPr>
          <w:rFonts w:hint="cs"/>
          <w:rtl/>
        </w:rPr>
        <w:t>:</w:t>
      </w:r>
      <w:r w:rsidR="00777DCB" w:rsidRPr="00A52585">
        <w:rPr>
          <w:rFonts w:hint="cs"/>
          <w:rtl/>
        </w:rPr>
        <w:t xml:space="preserve"> 58</w:t>
      </w:r>
      <w:r w:rsidR="00897A24" w:rsidRPr="00A52585">
        <w:rPr>
          <w:rFonts w:hint="cs"/>
          <w:rtl/>
        </w:rPr>
        <w:t>.</w:t>
      </w:r>
      <w:r w:rsidR="00777DCB" w:rsidRPr="00A52585">
        <w:rPr>
          <w:rFonts w:hint="cs"/>
          <w:rtl/>
        </w:rPr>
        <w:t xml:space="preserve"> فوضع إصبع الدعاء وإبهامه على عينيه وأذنيه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أبو داود في سننه </w:t>
      </w:r>
      <w:r w:rsidRPr="00A52585">
        <w:rPr>
          <w:rFonts w:hint="cs"/>
          <w:sz w:val="24"/>
          <w:szCs w:val="24"/>
          <w:rtl/>
        </w:rPr>
        <w:t>(</w:t>
      </w:r>
      <w:r w:rsidR="00777DCB" w:rsidRPr="00A52585">
        <w:rPr>
          <w:rFonts w:hint="cs"/>
          <w:sz w:val="24"/>
          <w:szCs w:val="24"/>
          <w:rtl/>
        </w:rPr>
        <w:t>4 / 233 برقم 4728</w:t>
      </w:r>
      <w:r w:rsidRPr="00A52585">
        <w:rPr>
          <w:rFonts w:hint="cs"/>
          <w:sz w:val="24"/>
          <w:szCs w:val="24"/>
          <w:rtl/>
        </w:rPr>
        <w:t>)</w:t>
      </w:r>
      <w:r w:rsidR="00777DCB" w:rsidRPr="00A52585">
        <w:rPr>
          <w:rFonts w:hint="cs"/>
          <w:sz w:val="24"/>
          <w:szCs w:val="24"/>
          <w:rtl/>
        </w:rPr>
        <w:t xml:space="preserve"> والبيهقي في " الاسماء والصفات " ص </w:t>
      </w:r>
      <w:r w:rsidRPr="00A52585">
        <w:rPr>
          <w:rFonts w:hint="cs"/>
          <w:sz w:val="24"/>
          <w:szCs w:val="24"/>
          <w:rtl/>
        </w:rPr>
        <w:t>(</w:t>
      </w:r>
      <w:r w:rsidR="00777DCB" w:rsidRPr="00A52585">
        <w:rPr>
          <w:rFonts w:hint="cs"/>
          <w:sz w:val="24"/>
          <w:szCs w:val="24"/>
          <w:rtl/>
        </w:rPr>
        <w:t>179</w:t>
      </w:r>
      <w:r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واسناده صحيح</w:t>
      </w:r>
      <w:r w:rsidR="00DB731D" w:rsidRPr="00A52585">
        <w:rPr>
          <w:rFonts w:hint="cs"/>
          <w:sz w:val="24"/>
          <w:szCs w:val="24"/>
          <w:rtl/>
        </w:rPr>
        <w:t>،</w:t>
      </w:r>
      <w:r w:rsidR="00777DCB" w:rsidRPr="00A52585">
        <w:rPr>
          <w:rFonts w:hint="cs"/>
          <w:sz w:val="24"/>
          <w:szCs w:val="24"/>
          <w:rtl/>
        </w:rPr>
        <w:t xml:space="preserve"> قال البيهقي في " الاسماء والصفات " بعدما رواه</w:t>
      </w:r>
      <w:r w:rsidRPr="00A52585">
        <w:rPr>
          <w:rFonts w:hint="cs"/>
          <w:sz w:val="24"/>
          <w:szCs w:val="24"/>
          <w:rtl/>
        </w:rPr>
        <w:t>:</w:t>
      </w:r>
      <w:r w:rsidR="00777DCB" w:rsidRPr="00A52585">
        <w:rPr>
          <w:rFonts w:hint="cs"/>
          <w:sz w:val="24"/>
          <w:szCs w:val="24"/>
          <w:rtl/>
        </w:rPr>
        <w:t xml:space="preserve"> " وليس في الخبر إثبات الجارحة تعالى الله عن شبه المخلوقين علوا كبيرا "</w:t>
      </w:r>
      <w:r w:rsidRPr="00A52585">
        <w:rPr>
          <w:rFonts w:hint="cs"/>
          <w:sz w:val="24"/>
          <w:szCs w:val="24"/>
          <w:rtl/>
        </w:rPr>
        <w:t>]</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أراد بهذا تحقيق السمع والبصر لله تعالى</w:t>
      </w:r>
      <w:r w:rsidR="00DB731D" w:rsidRPr="00A52585">
        <w:rPr>
          <w:rFonts w:hint="cs"/>
          <w:rtl/>
        </w:rPr>
        <w:t>،</w:t>
      </w:r>
      <w:r w:rsidR="00777DCB" w:rsidRPr="00A52585">
        <w:rPr>
          <w:rFonts w:hint="cs"/>
          <w:rtl/>
        </w:rPr>
        <w:t xml:space="preserve"> فأشار إلى الجارحتين اللتين هما محل السمع والبصر</w:t>
      </w:r>
      <w:r w:rsidR="00DB731D" w:rsidRPr="00A52585">
        <w:rPr>
          <w:rFonts w:hint="cs"/>
          <w:rtl/>
        </w:rPr>
        <w:t>،</w:t>
      </w:r>
      <w:r w:rsidR="00777DCB" w:rsidRPr="00A52585">
        <w:rPr>
          <w:rFonts w:hint="cs"/>
          <w:rtl/>
        </w:rPr>
        <w:t xml:space="preserve"> لا أن لله سبحانه جارحة</w:t>
      </w:r>
      <w:r w:rsidR="00DB731D" w:rsidRPr="00A52585">
        <w:rPr>
          <w:rFonts w:hint="cs"/>
          <w:rtl/>
        </w:rPr>
        <w:t>،</w:t>
      </w:r>
      <w:r w:rsidR="00777DCB" w:rsidRPr="00A52585">
        <w:rPr>
          <w:rFonts w:hint="cs"/>
          <w:rtl/>
        </w:rPr>
        <w:t xml:space="preserve"> </w:t>
      </w:r>
    </w:p>
    <w:p w14:paraId="4AF5B091" w14:textId="5EB25A91" w:rsidR="00777DCB" w:rsidRPr="00A52585" w:rsidRDefault="0002035C" w:rsidP="0002035C">
      <w:pPr>
        <w:rPr>
          <w:b/>
          <w:rtl/>
        </w:rPr>
      </w:pPr>
      <w:r w:rsidRPr="00A52585">
        <w:rPr>
          <w:rFonts w:hint="cs"/>
          <w:bCs/>
          <w:u w:val="single"/>
          <w:rtl/>
        </w:rPr>
        <w:t>[</w:t>
      </w:r>
      <w:r w:rsidR="00777DCB" w:rsidRPr="00A52585">
        <w:rPr>
          <w:rFonts w:hint="cs"/>
          <w:bCs/>
          <w:u w:val="single"/>
          <w:rtl/>
        </w:rPr>
        <w:t>54</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الرابع والخمسون</w:t>
      </w:r>
      <w:r w:rsidRPr="00A52585">
        <w:rPr>
          <w:rFonts w:hint="cs"/>
          <w:bCs/>
          <w:rtl/>
        </w:rPr>
        <w:t>]:</w:t>
      </w:r>
      <w:r w:rsidR="00777DCB" w:rsidRPr="00A52585">
        <w:rPr>
          <w:rFonts w:hint="cs"/>
          <w:rtl/>
        </w:rPr>
        <w:t xml:space="preserve"> روى أبو الدرداء - رضي الله عنه - عن النبي صلى الله عليه وسلم أنه قال</w:t>
      </w:r>
      <w:r w:rsidRPr="00A52585">
        <w:rPr>
          <w:rFonts w:hint="cs"/>
          <w:rtl/>
        </w:rPr>
        <w:t>:</w:t>
      </w:r>
      <w:r w:rsidR="00777DCB" w:rsidRPr="00A52585">
        <w:rPr>
          <w:rFonts w:hint="cs"/>
          <w:rtl/>
        </w:rPr>
        <w:t xml:space="preserve"> " إن الله عز وجل ينزل في ثلاث ساعات يبقين من الليل</w:t>
      </w:r>
      <w:r w:rsidR="00DB731D" w:rsidRPr="00A52585">
        <w:rPr>
          <w:rFonts w:hint="cs"/>
          <w:rtl/>
        </w:rPr>
        <w:t>،</w:t>
      </w:r>
      <w:r w:rsidR="00777DCB" w:rsidRPr="00A52585">
        <w:rPr>
          <w:rFonts w:hint="cs"/>
          <w:rtl/>
        </w:rPr>
        <w:t xml:space="preserve"> فيفتح الذكر في الساعة الاولى</w:t>
      </w:r>
      <w:r w:rsidR="00DB731D" w:rsidRPr="00A52585">
        <w:rPr>
          <w:rFonts w:hint="cs"/>
          <w:rtl/>
        </w:rPr>
        <w:t>،</w:t>
      </w:r>
      <w:r w:rsidR="00777DCB" w:rsidRPr="00A52585">
        <w:rPr>
          <w:rFonts w:hint="cs"/>
          <w:rtl/>
        </w:rPr>
        <w:t xml:space="preserve"> فيمحو ما يشاء ويثبت</w:t>
      </w:r>
      <w:r w:rsidR="00DB731D" w:rsidRPr="00A52585">
        <w:rPr>
          <w:rFonts w:hint="cs"/>
          <w:rtl/>
        </w:rPr>
        <w:t>،</w:t>
      </w:r>
      <w:r w:rsidR="00777DCB" w:rsidRPr="00A52585">
        <w:rPr>
          <w:rFonts w:hint="cs"/>
          <w:rtl/>
        </w:rPr>
        <w:t xml:space="preserve"> ثم ينزل في الساعة الثانية إلى جنة عدن وهي داره التي لم يسكنها غيره</w:t>
      </w:r>
      <w:r w:rsidR="00DB731D" w:rsidRPr="00A52585">
        <w:rPr>
          <w:rFonts w:hint="cs"/>
          <w:rtl/>
        </w:rPr>
        <w:t>،</w:t>
      </w:r>
      <w:r w:rsidR="00777DCB" w:rsidRPr="00A52585">
        <w:rPr>
          <w:rFonts w:hint="cs"/>
          <w:rtl/>
        </w:rPr>
        <w:t xml:space="preserve"> وهي مسكنه</w:t>
      </w:r>
      <w:r w:rsidR="00DB731D" w:rsidRPr="00A52585">
        <w:rPr>
          <w:rFonts w:hint="cs"/>
          <w:rtl/>
        </w:rPr>
        <w:t>،</w:t>
      </w:r>
      <w:r w:rsidR="00777DCB" w:rsidRPr="00A52585">
        <w:rPr>
          <w:rFonts w:hint="cs"/>
          <w:rtl/>
        </w:rPr>
        <w:t xml:space="preserve"> ثم يقول طوبى لمن يسكنك ثم ينزل في الساعة الثالثة إلى السماء الدنيا بروحه وملائكته ثم ينتفض فيقول</w:t>
      </w:r>
      <w:r w:rsidRPr="00A52585">
        <w:rPr>
          <w:rFonts w:hint="cs"/>
          <w:rtl/>
        </w:rPr>
        <w:t>:</w:t>
      </w:r>
      <w:r w:rsidR="00777DCB" w:rsidRPr="00A52585">
        <w:rPr>
          <w:rFonts w:hint="cs"/>
          <w:rtl/>
        </w:rPr>
        <w:t xml:space="preserve"> قومي بعزتي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الحديث واه رواه بنحو هذه الالفاظ البزار </w:t>
      </w:r>
      <w:r w:rsidRPr="00A52585">
        <w:rPr>
          <w:rFonts w:hint="cs"/>
          <w:sz w:val="24"/>
          <w:szCs w:val="24"/>
          <w:rtl/>
        </w:rPr>
        <w:t>(</w:t>
      </w:r>
      <w:r w:rsidR="00777DCB" w:rsidRPr="00A52585">
        <w:rPr>
          <w:rFonts w:hint="cs"/>
          <w:sz w:val="24"/>
          <w:szCs w:val="24"/>
          <w:rtl/>
        </w:rPr>
        <w:t>4 / 83 برقم 3253</w:t>
      </w:r>
      <w:r w:rsidRPr="00A52585">
        <w:rPr>
          <w:rFonts w:hint="cs"/>
          <w:sz w:val="24"/>
          <w:szCs w:val="24"/>
          <w:rtl/>
        </w:rPr>
        <w:t>)</w:t>
      </w:r>
      <w:r w:rsidR="00777DCB" w:rsidRPr="00A52585">
        <w:rPr>
          <w:rFonts w:hint="cs"/>
          <w:sz w:val="24"/>
          <w:szCs w:val="24"/>
          <w:rtl/>
        </w:rPr>
        <w:t xml:space="preserve"> وذكره الذهبي في " الميزان " </w:t>
      </w:r>
      <w:r w:rsidRPr="00A52585">
        <w:rPr>
          <w:rFonts w:hint="cs"/>
          <w:sz w:val="24"/>
          <w:szCs w:val="24"/>
          <w:rtl/>
        </w:rPr>
        <w:t>(</w:t>
      </w:r>
      <w:r w:rsidR="00777DCB" w:rsidRPr="00A52585">
        <w:rPr>
          <w:rFonts w:hint="cs"/>
          <w:sz w:val="24"/>
          <w:szCs w:val="24"/>
          <w:rtl/>
        </w:rPr>
        <w:t>2 / 98</w:t>
      </w:r>
      <w:r w:rsidRPr="00A52585">
        <w:rPr>
          <w:rFonts w:hint="cs"/>
          <w:sz w:val="24"/>
          <w:szCs w:val="24"/>
          <w:rtl/>
        </w:rPr>
        <w:t>)</w:t>
      </w:r>
      <w:r w:rsidR="00777DCB" w:rsidRPr="00A52585">
        <w:rPr>
          <w:rFonts w:hint="cs"/>
          <w:sz w:val="24"/>
          <w:szCs w:val="24"/>
          <w:rtl/>
        </w:rPr>
        <w:t xml:space="preserve"> في ترجمة زيادة بن محمد إلا أنه قال في آخره بدل " ثم ينزل في الساعة الثانية</w:t>
      </w:r>
      <w:r w:rsidR="00897A24" w:rsidRPr="00A52585">
        <w:rPr>
          <w:rFonts w:hint="cs"/>
          <w:sz w:val="24"/>
          <w:szCs w:val="24"/>
          <w:rtl/>
        </w:rPr>
        <w:t>...</w:t>
      </w:r>
      <w:r w:rsidR="00777DCB" w:rsidRPr="00A52585">
        <w:rPr>
          <w:rFonts w:hint="cs"/>
          <w:sz w:val="24"/>
          <w:szCs w:val="24"/>
          <w:rtl/>
        </w:rPr>
        <w:t xml:space="preserve"> " " ثم يهبط في آخر ساعة من الليل فيقول ألا مستغفر يستغفرني فأغفر له</w:t>
      </w:r>
      <w:r w:rsidR="00DB731D" w:rsidRPr="00A52585">
        <w:rPr>
          <w:rFonts w:hint="cs"/>
          <w:sz w:val="24"/>
          <w:szCs w:val="24"/>
          <w:rtl/>
        </w:rPr>
        <w:t>،</w:t>
      </w:r>
      <w:r w:rsidR="00777DCB" w:rsidRPr="00A52585">
        <w:rPr>
          <w:rFonts w:hint="cs"/>
          <w:sz w:val="24"/>
          <w:szCs w:val="24"/>
          <w:rtl/>
        </w:rPr>
        <w:t xml:space="preserve"> ألا سائل يسألني فأعطيه</w:t>
      </w:r>
      <w:r w:rsidR="00DB731D" w:rsidRPr="00A52585">
        <w:rPr>
          <w:rFonts w:hint="cs"/>
          <w:sz w:val="24"/>
          <w:szCs w:val="24"/>
          <w:rtl/>
        </w:rPr>
        <w:t>،</w:t>
      </w:r>
      <w:r w:rsidR="00777DCB" w:rsidRPr="00A52585">
        <w:rPr>
          <w:rFonts w:hint="cs"/>
          <w:sz w:val="24"/>
          <w:szCs w:val="24"/>
          <w:rtl/>
        </w:rPr>
        <w:t xml:space="preserve"> ألا داع يدعوني فاستجيب له حتى يطلع الفجر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وعلى كل حال ففي سنده زيادة بن محمد الانصاري قال عنه البخاري والنسائي</w:t>
      </w:r>
      <w:r w:rsidRPr="00A52585">
        <w:rPr>
          <w:rFonts w:hint="cs"/>
          <w:sz w:val="24"/>
          <w:szCs w:val="24"/>
          <w:rtl/>
        </w:rPr>
        <w:t>:</w:t>
      </w:r>
      <w:r w:rsidR="00777DCB" w:rsidRPr="00A52585">
        <w:rPr>
          <w:rFonts w:hint="cs"/>
          <w:sz w:val="24"/>
          <w:szCs w:val="24"/>
          <w:rtl/>
        </w:rPr>
        <w:t xml:space="preserve"> منكر الحديث</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هذا الحديث يرويه زيادة الانصاري</w:t>
      </w:r>
      <w:r w:rsidR="00DB731D" w:rsidRPr="00A52585">
        <w:rPr>
          <w:rFonts w:hint="cs"/>
          <w:rtl/>
        </w:rPr>
        <w:t>،</w:t>
      </w:r>
      <w:r w:rsidR="00777DCB" w:rsidRPr="00A52585">
        <w:rPr>
          <w:rFonts w:hint="cs"/>
          <w:rtl/>
        </w:rPr>
        <w:t xml:space="preserve"> قال البخاري</w:t>
      </w:r>
      <w:r w:rsidR="00DB731D" w:rsidRPr="00A52585">
        <w:rPr>
          <w:rFonts w:hint="cs"/>
          <w:rtl/>
        </w:rPr>
        <w:t>،</w:t>
      </w:r>
      <w:r w:rsidR="00777DCB" w:rsidRPr="00A52585">
        <w:rPr>
          <w:rFonts w:hint="cs"/>
          <w:rtl/>
        </w:rPr>
        <w:t xml:space="preserve"> هو منكر الحديث وذكر له أهل الحديث هذا الحديث</w:t>
      </w:r>
      <w:r w:rsidR="00DB731D" w:rsidRPr="00A52585">
        <w:rPr>
          <w:rFonts w:hint="cs"/>
          <w:rtl/>
        </w:rPr>
        <w:t>،</w:t>
      </w:r>
      <w:r w:rsidR="00777DCB" w:rsidRPr="00A52585">
        <w:rPr>
          <w:rFonts w:hint="cs"/>
          <w:rtl/>
        </w:rPr>
        <w:t xml:space="preserve"> وقال أبو حاتم بن حبان يروي المناكير عن المشاهير</w:t>
      </w:r>
      <w:r w:rsidR="00DB731D" w:rsidRPr="00A52585">
        <w:rPr>
          <w:rFonts w:hint="cs"/>
          <w:rtl/>
        </w:rPr>
        <w:t>،</w:t>
      </w:r>
      <w:r w:rsidR="00777DCB" w:rsidRPr="00A52585">
        <w:rPr>
          <w:rFonts w:hint="cs"/>
          <w:rtl/>
        </w:rPr>
        <w:t xml:space="preserve"> واستحق الترك [</w:t>
      </w:r>
      <w:r w:rsidR="00777DCB" w:rsidRPr="00A52585">
        <w:rPr>
          <w:rFonts w:hint="cs"/>
          <w:sz w:val="24"/>
          <w:szCs w:val="24"/>
          <w:rtl/>
        </w:rPr>
        <w:t xml:space="preserve">في كتابه المجروحين </w:t>
      </w:r>
      <w:r w:rsidRPr="00A52585">
        <w:rPr>
          <w:rFonts w:hint="cs"/>
          <w:sz w:val="24"/>
          <w:szCs w:val="24"/>
          <w:rtl/>
        </w:rPr>
        <w:t>(</w:t>
      </w:r>
      <w:r w:rsidR="00777DCB" w:rsidRPr="00A52585">
        <w:rPr>
          <w:rFonts w:hint="cs"/>
          <w:sz w:val="24"/>
          <w:szCs w:val="24"/>
          <w:rtl/>
        </w:rPr>
        <w:t>1 / 308</w:t>
      </w:r>
      <w:r w:rsidRPr="00A52585">
        <w:rPr>
          <w:rFonts w:hint="cs"/>
          <w:sz w:val="24"/>
          <w:szCs w:val="24"/>
          <w:rtl/>
        </w:rPr>
        <w:t>)</w:t>
      </w:r>
      <w:r w:rsidR="00777DCB" w:rsidRPr="00A52585">
        <w:rPr>
          <w:rFonts w:hint="cs"/>
          <w:rtl/>
        </w:rPr>
        <w:t>]، وقد رواه أبو جعفر بن أبي شيبة فقال فيه</w:t>
      </w:r>
      <w:r w:rsidRPr="00A52585">
        <w:rPr>
          <w:rFonts w:hint="cs"/>
          <w:rtl/>
        </w:rPr>
        <w:t>:</w:t>
      </w:r>
      <w:r w:rsidR="00777DCB" w:rsidRPr="00A52585">
        <w:rPr>
          <w:rFonts w:hint="cs"/>
          <w:rtl/>
        </w:rPr>
        <w:t xml:space="preserve"> زائدة</w:t>
      </w:r>
      <w:r w:rsidRPr="00A52585">
        <w:rPr>
          <w:rFonts w:hint="cs"/>
          <w:rtl/>
        </w:rPr>
        <w:t>:</w:t>
      </w:r>
      <w:r w:rsidR="00777DCB" w:rsidRPr="00A52585">
        <w:rPr>
          <w:rFonts w:hint="cs"/>
          <w:rtl/>
        </w:rPr>
        <w:t xml:space="preserve"> وهو غلط إنما هو زيادة</w:t>
      </w:r>
      <w:r w:rsidR="00DB731D" w:rsidRPr="00A52585">
        <w:rPr>
          <w:rFonts w:hint="cs"/>
          <w:rtl/>
        </w:rPr>
        <w:t>،</w:t>
      </w:r>
      <w:r w:rsidR="00777DCB" w:rsidRPr="00A52585">
        <w:rPr>
          <w:rFonts w:hint="cs"/>
          <w:rtl/>
        </w:rPr>
        <w:t xml:space="preserve"> ونقول على تقدير الصحة إنها مضافة إليه كما أضيف البيت إليه يقال</w:t>
      </w:r>
      <w:r w:rsidRPr="00A52585">
        <w:rPr>
          <w:rFonts w:hint="cs"/>
          <w:rtl/>
        </w:rPr>
        <w:t>:</w:t>
      </w:r>
      <w:r w:rsidR="00777DCB" w:rsidRPr="00A52585">
        <w:rPr>
          <w:rFonts w:hint="cs"/>
          <w:rtl/>
        </w:rPr>
        <w:t xml:space="preserve"> هذا بيته وهذا مسكنه</w:t>
      </w:r>
      <w:r w:rsidR="00DB731D" w:rsidRPr="00A52585">
        <w:rPr>
          <w:rFonts w:hint="cs"/>
          <w:rtl/>
        </w:rPr>
        <w:t>،</w:t>
      </w:r>
      <w:r w:rsidR="00777DCB" w:rsidRPr="00A52585">
        <w:rPr>
          <w:rFonts w:hint="cs"/>
          <w:rtl/>
        </w:rPr>
        <w:t xml:space="preserve"> وإنما قلنا هذا لان السكنى مستحيلة في حقه</w:t>
      </w:r>
      <w:r w:rsidR="00DB731D" w:rsidRPr="00A52585">
        <w:rPr>
          <w:rFonts w:hint="cs"/>
          <w:rtl/>
        </w:rPr>
        <w:t>،</w:t>
      </w:r>
      <w:r w:rsidR="00777DCB" w:rsidRPr="00A52585">
        <w:rPr>
          <w:rFonts w:hint="cs"/>
          <w:rtl/>
        </w:rPr>
        <w:t xml:space="preserve"> </w:t>
      </w:r>
    </w:p>
    <w:p w14:paraId="4E837C32" w14:textId="45D53F9B" w:rsidR="00777DCB" w:rsidRPr="00A52585" w:rsidRDefault="0002035C" w:rsidP="0002035C">
      <w:pPr>
        <w:rPr>
          <w:b/>
          <w:rtl/>
        </w:rPr>
      </w:pPr>
      <w:r w:rsidRPr="00A52585">
        <w:rPr>
          <w:rFonts w:hint="cs"/>
          <w:bCs/>
          <w:u w:val="single"/>
          <w:rtl/>
        </w:rPr>
        <w:lastRenderedPageBreak/>
        <w:t>[</w:t>
      </w:r>
      <w:r w:rsidR="00777DCB" w:rsidRPr="00A52585">
        <w:rPr>
          <w:rFonts w:hint="cs"/>
          <w:bCs/>
          <w:u w:val="single"/>
          <w:rtl/>
        </w:rPr>
        <w:t>55</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الخامس والخمسون</w:t>
      </w:r>
      <w:r w:rsidRPr="00A52585">
        <w:rPr>
          <w:rFonts w:hint="cs"/>
          <w:bCs/>
          <w:rtl/>
        </w:rPr>
        <w:t>]:</w:t>
      </w:r>
      <w:r w:rsidR="00777DCB" w:rsidRPr="00A52585">
        <w:rPr>
          <w:rFonts w:hint="cs"/>
          <w:rtl/>
        </w:rPr>
        <w:t xml:space="preserve"> روى أبو </w:t>
      </w:r>
      <w:proofErr w:type="spellStart"/>
      <w:r w:rsidR="00777DCB" w:rsidRPr="00A52585">
        <w:rPr>
          <w:rFonts w:hint="cs"/>
          <w:rtl/>
        </w:rPr>
        <w:t>أمامة</w:t>
      </w:r>
      <w:proofErr w:type="spellEnd"/>
      <w:r w:rsidR="00777DCB" w:rsidRPr="00A52585">
        <w:rPr>
          <w:rFonts w:hint="cs"/>
          <w:rtl/>
        </w:rPr>
        <w:t xml:space="preserve"> عن رسول الله - صلى الله عليه وسلم - أنه قال</w:t>
      </w:r>
      <w:r w:rsidRPr="00A52585">
        <w:rPr>
          <w:rFonts w:hint="cs"/>
          <w:rtl/>
        </w:rPr>
        <w:t>:</w:t>
      </w:r>
      <w:r w:rsidR="00777DCB" w:rsidRPr="00A52585">
        <w:rPr>
          <w:rFonts w:hint="cs"/>
          <w:rtl/>
        </w:rPr>
        <w:t xml:space="preserve"> " وعدني ربي أن يدخل الجنة من أمتي سبعين ألفا وثلاث حثيات من حثياته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الترمذي </w:t>
      </w:r>
      <w:r w:rsidRPr="00A52585">
        <w:rPr>
          <w:rFonts w:hint="cs"/>
          <w:sz w:val="24"/>
          <w:szCs w:val="24"/>
          <w:rtl/>
        </w:rPr>
        <w:t>(</w:t>
      </w:r>
      <w:r w:rsidR="00777DCB" w:rsidRPr="00A52585">
        <w:rPr>
          <w:rFonts w:hint="cs"/>
          <w:sz w:val="24"/>
          <w:szCs w:val="24"/>
          <w:rtl/>
        </w:rPr>
        <w:t>4 / 626 برقم 2437</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حسن غريب</w:t>
      </w:r>
      <w:r w:rsidR="00DB731D" w:rsidRPr="00A52585">
        <w:rPr>
          <w:rFonts w:hint="cs"/>
          <w:sz w:val="24"/>
          <w:szCs w:val="24"/>
          <w:rtl/>
        </w:rPr>
        <w:t>،</w:t>
      </w:r>
      <w:r w:rsidR="00777DCB" w:rsidRPr="00A52585">
        <w:rPr>
          <w:rFonts w:hint="cs"/>
          <w:sz w:val="24"/>
          <w:szCs w:val="24"/>
          <w:rtl/>
        </w:rPr>
        <w:t xml:space="preserve"> وابن ماجه </w:t>
      </w:r>
      <w:r w:rsidRPr="00A52585">
        <w:rPr>
          <w:rFonts w:hint="cs"/>
          <w:sz w:val="24"/>
          <w:szCs w:val="24"/>
          <w:rtl/>
        </w:rPr>
        <w:t>(</w:t>
      </w:r>
      <w:r w:rsidR="00777DCB" w:rsidRPr="00A52585">
        <w:rPr>
          <w:rFonts w:hint="cs"/>
          <w:sz w:val="24"/>
          <w:szCs w:val="24"/>
          <w:rtl/>
        </w:rPr>
        <w:t>2 / 1433 برقم 4286</w:t>
      </w:r>
      <w:r w:rsidRPr="00A52585">
        <w:rPr>
          <w:rFonts w:hint="cs"/>
          <w:sz w:val="24"/>
          <w:szCs w:val="24"/>
          <w:rtl/>
        </w:rPr>
        <w:t>)</w:t>
      </w:r>
      <w:r w:rsidR="00777DCB" w:rsidRPr="00A52585">
        <w:rPr>
          <w:rFonts w:hint="cs"/>
          <w:sz w:val="24"/>
          <w:szCs w:val="24"/>
          <w:rtl/>
        </w:rPr>
        <w:t xml:space="preserve"> وأحمد </w:t>
      </w:r>
      <w:r w:rsidRPr="00A52585">
        <w:rPr>
          <w:rFonts w:hint="cs"/>
          <w:sz w:val="24"/>
          <w:szCs w:val="24"/>
          <w:rtl/>
        </w:rPr>
        <w:t>(</w:t>
      </w:r>
      <w:r w:rsidR="00777DCB" w:rsidRPr="00A52585">
        <w:rPr>
          <w:rFonts w:hint="cs"/>
          <w:sz w:val="24"/>
          <w:szCs w:val="24"/>
          <w:rtl/>
        </w:rPr>
        <w:t>5 / 268</w:t>
      </w:r>
      <w:r w:rsidRPr="00A52585">
        <w:rPr>
          <w:rFonts w:hint="cs"/>
          <w:sz w:val="24"/>
          <w:szCs w:val="24"/>
          <w:rtl/>
        </w:rPr>
        <w:t>)</w:t>
      </w:r>
      <w:r w:rsidR="00777DCB" w:rsidRPr="00A52585">
        <w:rPr>
          <w:rFonts w:hint="cs"/>
          <w:sz w:val="24"/>
          <w:szCs w:val="24"/>
          <w:rtl/>
        </w:rPr>
        <w:t xml:space="preserve"> والطبراني في الكبير </w:t>
      </w:r>
      <w:r w:rsidRPr="00A52585">
        <w:rPr>
          <w:rFonts w:hint="cs"/>
          <w:sz w:val="24"/>
          <w:szCs w:val="24"/>
          <w:rtl/>
        </w:rPr>
        <w:t>(</w:t>
      </w:r>
      <w:r w:rsidR="00777DCB" w:rsidRPr="00A52585">
        <w:rPr>
          <w:rFonts w:hint="cs"/>
          <w:sz w:val="24"/>
          <w:szCs w:val="24"/>
          <w:rtl/>
        </w:rPr>
        <w:t>8 / 130 برقم 7520</w:t>
      </w:r>
      <w:r w:rsidRPr="00A52585">
        <w:rPr>
          <w:rFonts w:hint="cs"/>
          <w:sz w:val="24"/>
          <w:szCs w:val="24"/>
          <w:rtl/>
        </w:rPr>
        <w:t>)</w:t>
      </w:r>
      <w:r w:rsidR="00777DCB" w:rsidRPr="00A52585">
        <w:rPr>
          <w:rFonts w:hint="cs"/>
          <w:sz w:val="24"/>
          <w:szCs w:val="24"/>
          <w:rtl/>
        </w:rPr>
        <w:t xml:space="preserve"> وابن أبي عاصم في سنته </w:t>
      </w:r>
      <w:r w:rsidRPr="00A52585">
        <w:rPr>
          <w:rFonts w:hint="cs"/>
          <w:sz w:val="24"/>
          <w:szCs w:val="24"/>
          <w:rtl/>
        </w:rPr>
        <w:t>(</w:t>
      </w:r>
      <w:r w:rsidR="00777DCB" w:rsidRPr="00A52585">
        <w:rPr>
          <w:rFonts w:hint="cs"/>
          <w:sz w:val="24"/>
          <w:szCs w:val="24"/>
          <w:rtl/>
        </w:rPr>
        <w:t>261</w:t>
      </w:r>
      <w:r w:rsidRPr="00A52585">
        <w:rPr>
          <w:rFonts w:hint="cs"/>
          <w:sz w:val="24"/>
          <w:szCs w:val="24"/>
          <w:rtl/>
        </w:rPr>
        <w:t>)</w:t>
      </w:r>
      <w:r w:rsidR="00777DCB" w:rsidRPr="00A52585">
        <w:rPr>
          <w:rFonts w:hint="cs"/>
          <w:sz w:val="24"/>
          <w:szCs w:val="24"/>
          <w:rtl/>
        </w:rPr>
        <w:t xml:space="preserve"> وغيرهم</w:t>
      </w:r>
      <w:r w:rsidR="00DB731D" w:rsidRPr="00A52585">
        <w:rPr>
          <w:rFonts w:hint="cs"/>
          <w:sz w:val="24"/>
          <w:szCs w:val="24"/>
          <w:rtl/>
        </w:rPr>
        <w:t>،</w:t>
      </w:r>
      <w:r w:rsidR="00777DCB" w:rsidRPr="00A52585">
        <w:rPr>
          <w:rFonts w:hint="cs"/>
          <w:sz w:val="24"/>
          <w:szCs w:val="24"/>
          <w:rtl/>
        </w:rPr>
        <w:t xml:space="preserve"> ويحتمل أن تكون لفظة الحثيات من تصرف الرواة على العادة وعلى كل لو ثبتت فالمراد بها الكثرة لا غير</w:t>
      </w:r>
      <w:r w:rsidR="00DB731D" w:rsidRPr="00A52585">
        <w:rPr>
          <w:rFonts w:hint="cs"/>
          <w:sz w:val="24"/>
          <w:szCs w:val="24"/>
          <w:rtl/>
        </w:rPr>
        <w:t>،</w:t>
      </w:r>
      <w:r w:rsidR="00777DCB" w:rsidRPr="00A52585">
        <w:rPr>
          <w:rFonts w:hint="cs"/>
          <w:sz w:val="24"/>
          <w:szCs w:val="24"/>
          <w:rtl/>
        </w:rPr>
        <w:t xml:space="preserve"> وتعالى الله عز وجل أن تكون الحثية من صفاته]</w:t>
      </w:r>
      <w:r w:rsidR="00DB731D" w:rsidRPr="00A52585">
        <w:rPr>
          <w:rFonts w:hint="cs"/>
          <w:sz w:val="24"/>
          <w:szCs w:val="24"/>
          <w:rtl/>
        </w:rPr>
        <w:t>،</w:t>
      </w:r>
      <w:r w:rsidR="00777DCB" w:rsidRPr="00A52585">
        <w:rPr>
          <w:rFonts w:hint="cs"/>
          <w:rtl/>
        </w:rPr>
        <w:t xml:space="preserve"> قلت</w:t>
      </w:r>
      <w:r w:rsidRPr="00A52585">
        <w:rPr>
          <w:rFonts w:hint="cs"/>
          <w:rtl/>
        </w:rPr>
        <w:t>:</w:t>
      </w:r>
      <w:r w:rsidR="00777DCB" w:rsidRPr="00A52585">
        <w:rPr>
          <w:rFonts w:hint="cs"/>
          <w:rtl/>
        </w:rPr>
        <w:t xml:space="preserve"> الحثية ملئ الكف</w:t>
      </w:r>
      <w:r w:rsidR="00897A24" w:rsidRPr="00A52585">
        <w:rPr>
          <w:rFonts w:hint="cs"/>
          <w:rtl/>
        </w:rPr>
        <w:t>.</w:t>
      </w:r>
      <w:r w:rsidR="00777DCB" w:rsidRPr="00A52585">
        <w:rPr>
          <w:rFonts w:hint="cs"/>
          <w:rtl/>
        </w:rPr>
        <w:t xml:space="preserve"> والمراد التقريب بما يعقل لا حقيقة الحثية</w:t>
      </w:r>
      <w:r w:rsidR="00DB731D" w:rsidRPr="00A52585">
        <w:rPr>
          <w:rFonts w:hint="cs"/>
          <w:rtl/>
        </w:rPr>
        <w:t>،</w:t>
      </w:r>
      <w:r w:rsidR="00777DCB" w:rsidRPr="00A52585">
        <w:rPr>
          <w:rFonts w:hint="cs"/>
          <w:rtl/>
        </w:rPr>
        <w:t xml:space="preserve"> </w:t>
      </w:r>
    </w:p>
    <w:p w14:paraId="25407BFB" w14:textId="35D9AFD0" w:rsidR="00777DCB" w:rsidRPr="00A52585" w:rsidRDefault="0002035C" w:rsidP="0002035C">
      <w:pPr>
        <w:rPr>
          <w:b/>
          <w:rtl/>
        </w:rPr>
      </w:pPr>
      <w:r w:rsidRPr="00A52585">
        <w:rPr>
          <w:rFonts w:hint="cs"/>
          <w:bCs/>
          <w:u w:val="single"/>
          <w:rtl/>
        </w:rPr>
        <w:t>[</w:t>
      </w:r>
      <w:r w:rsidR="00777DCB" w:rsidRPr="00A52585">
        <w:rPr>
          <w:rFonts w:hint="cs"/>
          <w:bCs/>
          <w:u w:val="single"/>
          <w:rtl/>
        </w:rPr>
        <w:t>56</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السادس والخمسون</w:t>
      </w:r>
      <w:r w:rsidRPr="00A52585">
        <w:rPr>
          <w:rFonts w:hint="cs"/>
          <w:bCs/>
          <w:rtl/>
        </w:rPr>
        <w:t>]:</w:t>
      </w:r>
      <w:r w:rsidR="00777DCB" w:rsidRPr="00A52585">
        <w:rPr>
          <w:rFonts w:hint="cs"/>
          <w:bCs/>
          <w:rtl/>
        </w:rPr>
        <w:t xml:space="preserve"> </w:t>
      </w:r>
      <w:r w:rsidR="00777DCB" w:rsidRPr="00A52585">
        <w:rPr>
          <w:rFonts w:hint="cs"/>
          <w:rtl/>
        </w:rPr>
        <w:t>روى أبو أمامه عن رسول الله - صلى الله عليه وسلم - أنه قال</w:t>
      </w:r>
      <w:r w:rsidRPr="00A52585">
        <w:rPr>
          <w:rFonts w:hint="cs"/>
          <w:rtl/>
        </w:rPr>
        <w:t>:</w:t>
      </w:r>
      <w:r w:rsidR="00777DCB" w:rsidRPr="00A52585">
        <w:rPr>
          <w:rFonts w:hint="cs"/>
          <w:rtl/>
        </w:rPr>
        <w:t xml:space="preserve"> " إن الله يجلس يوم القيامة على القنطرة الوسطى بين الجنة والنار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مكذوب موضوع أورده المصنف في كتابه " الموضوعات " </w:t>
      </w:r>
      <w:r w:rsidRPr="00A52585">
        <w:rPr>
          <w:rFonts w:hint="cs"/>
          <w:sz w:val="24"/>
          <w:szCs w:val="24"/>
          <w:rtl/>
        </w:rPr>
        <w:t>(</w:t>
      </w:r>
      <w:r w:rsidR="00777DCB" w:rsidRPr="00A52585">
        <w:rPr>
          <w:rFonts w:hint="cs"/>
          <w:sz w:val="24"/>
          <w:szCs w:val="24"/>
          <w:rtl/>
        </w:rPr>
        <w:t>1 / 127</w:t>
      </w:r>
      <w:r w:rsidRPr="00A52585">
        <w:rPr>
          <w:rFonts w:hint="cs"/>
          <w:sz w:val="24"/>
          <w:szCs w:val="24"/>
          <w:rtl/>
        </w:rPr>
        <w:t>)</w:t>
      </w:r>
      <w:r w:rsidR="00777DCB" w:rsidRPr="00A52585">
        <w:rPr>
          <w:rFonts w:hint="cs"/>
          <w:sz w:val="24"/>
          <w:szCs w:val="24"/>
          <w:rtl/>
        </w:rPr>
        <w:t xml:space="preserve"> والشوكاني في الفوائد المجموعة في </w:t>
      </w:r>
      <w:proofErr w:type="gramStart"/>
      <w:r w:rsidR="00777DCB" w:rsidRPr="00A52585">
        <w:rPr>
          <w:rFonts w:hint="cs"/>
          <w:sz w:val="24"/>
          <w:szCs w:val="24"/>
          <w:rtl/>
        </w:rPr>
        <w:t>الاحاديث</w:t>
      </w:r>
      <w:proofErr w:type="gramEnd"/>
      <w:r w:rsidR="00777DCB" w:rsidRPr="00A52585">
        <w:rPr>
          <w:rFonts w:hint="cs"/>
          <w:sz w:val="24"/>
          <w:szCs w:val="24"/>
          <w:rtl/>
        </w:rPr>
        <w:t xml:space="preserve"> الموضوعة </w:t>
      </w:r>
      <w:r w:rsidRPr="00A52585">
        <w:rPr>
          <w:rFonts w:hint="cs"/>
          <w:sz w:val="24"/>
          <w:szCs w:val="24"/>
          <w:rtl/>
        </w:rPr>
        <w:t>(</w:t>
      </w:r>
      <w:r w:rsidR="00777DCB" w:rsidRPr="00A52585">
        <w:rPr>
          <w:rFonts w:hint="cs"/>
          <w:sz w:val="24"/>
          <w:szCs w:val="24"/>
          <w:rtl/>
        </w:rPr>
        <w:t>449</w:t>
      </w:r>
      <w:r w:rsidRPr="00A52585">
        <w:rPr>
          <w:rFonts w:hint="cs"/>
          <w:sz w:val="24"/>
          <w:szCs w:val="24"/>
          <w:rtl/>
        </w:rPr>
        <w:t>)]</w:t>
      </w:r>
      <w:r w:rsidR="00DB731D" w:rsidRPr="00A52585">
        <w:rPr>
          <w:rFonts w:hint="cs"/>
          <w:rtl/>
        </w:rPr>
        <w:t>،</w:t>
      </w:r>
      <w:r w:rsidR="00777DCB" w:rsidRPr="00A52585">
        <w:rPr>
          <w:rFonts w:hint="cs"/>
          <w:rtl/>
        </w:rPr>
        <w:t xml:space="preserve"> يرويه عثمان بن أبي عاتكة وقال يحيى</w:t>
      </w:r>
      <w:r w:rsidRPr="00A52585">
        <w:rPr>
          <w:rFonts w:hint="cs"/>
          <w:rtl/>
        </w:rPr>
        <w:t>:</w:t>
      </w:r>
      <w:r w:rsidR="00777DCB" w:rsidRPr="00A52585">
        <w:rPr>
          <w:rFonts w:hint="cs"/>
          <w:rtl/>
        </w:rPr>
        <w:t xml:space="preserve"> ليس بشيء</w:t>
      </w:r>
      <w:r w:rsidR="00DB731D" w:rsidRPr="00A52585">
        <w:rPr>
          <w:rFonts w:hint="cs"/>
          <w:rtl/>
        </w:rPr>
        <w:t>،</w:t>
      </w:r>
      <w:r w:rsidR="00777DCB" w:rsidRPr="00A52585">
        <w:rPr>
          <w:rFonts w:hint="cs"/>
          <w:rtl/>
        </w:rPr>
        <w:t xml:space="preserve"> </w:t>
      </w:r>
    </w:p>
    <w:p w14:paraId="35E122A7" w14:textId="0B8AD9FA" w:rsidR="00777DCB" w:rsidRPr="00A52585" w:rsidRDefault="0002035C" w:rsidP="0002035C">
      <w:pPr>
        <w:rPr>
          <w:b/>
          <w:rtl/>
        </w:rPr>
      </w:pPr>
      <w:r w:rsidRPr="00A52585">
        <w:rPr>
          <w:rFonts w:hint="cs"/>
          <w:bCs/>
          <w:u w:val="single"/>
          <w:rtl/>
        </w:rPr>
        <w:t>[</w:t>
      </w:r>
      <w:r w:rsidR="00777DCB" w:rsidRPr="00A52585">
        <w:rPr>
          <w:rFonts w:hint="cs"/>
          <w:bCs/>
          <w:u w:val="single"/>
          <w:rtl/>
        </w:rPr>
        <w:t>57</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السابع والخمسون</w:t>
      </w:r>
      <w:r w:rsidRPr="00A52585">
        <w:rPr>
          <w:rFonts w:hint="cs"/>
          <w:bCs/>
          <w:rtl/>
        </w:rPr>
        <w:t>]:</w:t>
      </w:r>
      <w:r w:rsidR="00777DCB" w:rsidRPr="00A52585">
        <w:rPr>
          <w:rFonts w:hint="cs"/>
          <w:rtl/>
        </w:rPr>
        <w:t xml:space="preserve"> روي القاضي عن محمد بن كعب القرظي قال</w:t>
      </w:r>
      <w:r w:rsidRPr="00A52585">
        <w:rPr>
          <w:rFonts w:hint="cs"/>
          <w:rtl/>
        </w:rPr>
        <w:t>:</w:t>
      </w:r>
      <w:r w:rsidR="00777DCB" w:rsidRPr="00A52585">
        <w:rPr>
          <w:rFonts w:hint="cs"/>
          <w:rtl/>
        </w:rPr>
        <w:t xml:space="preserve"> " كان الناس إذا سمعوا القرآن من في الرحمن كأنهم لم يسمعوه قط "</w:t>
      </w:r>
      <w:r w:rsidR="00DB731D" w:rsidRPr="00A52585">
        <w:rPr>
          <w:rFonts w:hint="cs"/>
          <w:rtl/>
        </w:rPr>
        <w:t>،</w:t>
      </w:r>
      <w:r w:rsidR="00777DCB" w:rsidRPr="00A52585">
        <w:rPr>
          <w:rFonts w:hint="cs"/>
          <w:rtl/>
        </w:rPr>
        <w:t xml:space="preserve"> قال القاضي</w:t>
      </w:r>
      <w:r w:rsidRPr="00A52585">
        <w:rPr>
          <w:rFonts w:hint="cs"/>
          <w:rtl/>
        </w:rPr>
        <w:t>:</w:t>
      </w:r>
      <w:r w:rsidR="00777DCB" w:rsidRPr="00A52585">
        <w:rPr>
          <w:rFonts w:hint="cs"/>
          <w:rtl/>
        </w:rPr>
        <w:t xml:space="preserve"> ولا يمتنع أن يطلق ألفي عليه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proofErr w:type="gramStart"/>
      <w:r w:rsidRPr="00A52585">
        <w:rPr>
          <w:rFonts w:hint="cs"/>
          <w:rtl/>
        </w:rPr>
        <w:t>):</w:t>
      </w:r>
      <w:r w:rsidR="00777DCB" w:rsidRPr="00A52585">
        <w:rPr>
          <w:rFonts w:hint="cs"/>
          <w:rtl/>
        </w:rPr>
        <w:t>واعجبا</w:t>
      </w:r>
      <w:proofErr w:type="gramEnd"/>
      <w:r w:rsidR="00777DCB" w:rsidRPr="00A52585">
        <w:rPr>
          <w:rFonts w:hint="cs"/>
          <w:rtl/>
        </w:rPr>
        <w:t xml:space="preserve"> يعني في الرحمن فمه</w:t>
      </w:r>
      <w:r w:rsidR="00DB731D" w:rsidRPr="00A52585">
        <w:rPr>
          <w:rFonts w:hint="cs"/>
          <w:rtl/>
        </w:rPr>
        <w:t>،</w:t>
      </w:r>
      <w:r w:rsidR="00777DCB" w:rsidRPr="00A52585">
        <w:rPr>
          <w:rFonts w:hint="cs"/>
          <w:rtl/>
        </w:rPr>
        <w:t xml:space="preserve"> فيثبت لله صفة بقول تابعي لا تصح الروية عنه</w:t>
      </w:r>
      <w:r w:rsidRPr="00A52585">
        <w:rPr>
          <w:rFonts w:hint="cs"/>
          <w:rtl/>
        </w:rPr>
        <w:t xml:space="preserve"> </w:t>
      </w:r>
      <w:r w:rsidR="00777DCB" w:rsidRPr="00A52585">
        <w:rPr>
          <w:rFonts w:hint="cs"/>
          <w:rtl/>
        </w:rPr>
        <w:t>هذا من أقبح الأشياء</w:t>
      </w:r>
      <w:r w:rsidR="00DB731D" w:rsidRPr="00A52585">
        <w:rPr>
          <w:rFonts w:hint="cs"/>
          <w:rtl/>
        </w:rPr>
        <w:t>،</w:t>
      </w:r>
      <w:r w:rsidR="00777DCB" w:rsidRPr="00A52585">
        <w:rPr>
          <w:rFonts w:hint="cs"/>
          <w:rtl/>
        </w:rPr>
        <w:t xml:space="preserve"> فإما الحديث الذي سبق عن أبي إمامة عن رسول الله صلى الله عليه وسلم أنه قال</w:t>
      </w:r>
      <w:r w:rsidRPr="00A52585">
        <w:rPr>
          <w:rFonts w:hint="cs"/>
          <w:rtl/>
        </w:rPr>
        <w:t>:</w:t>
      </w:r>
      <w:r w:rsidR="00777DCB" w:rsidRPr="00A52585">
        <w:rPr>
          <w:rFonts w:hint="cs"/>
          <w:rtl/>
        </w:rPr>
        <w:t xml:space="preserve"> ما تقرب إلى بمثل ما خرج مني</w:t>
      </w:r>
      <w:r w:rsidR="00DB731D" w:rsidRPr="00A52585">
        <w:rPr>
          <w:rFonts w:hint="cs"/>
          <w:rtl/>
        </w:rPr>
        <w:t>،</w:t>
      </w:r>
      <w:r w:rsidR="00777DCB" w:rsidRPr="00A52585">
        <w:rPr>
          <w:rFonts w:hint="cs"/>
          <w:rtl/>
        </w:rPr>
        <w:t xml:space="preserve"> فالمعني</w:t>
      </w:r>
      <w:r w:rsidRPr="00A52585">
        <w:rPr>
          <w:rFonts w:hint="cs"/>
          <w:rtl/>
        </w:rPr>
        <w:t>:</w:t>
      </w:r>
      <w:r w:rsidR="00777DCB" w:rsidRPr="00A52585">
        <w:rPr>
          <w:rFonts w:hint="cs"/>
          <w:rtl/>
        </w:rPr>
        <w:t xml:space="preserve"> خرج عنه</w:t>
      </w:r>
      <w:r w:rsidR="00DB731D" w:rsidRPr="00A52585">
        <w:rPr>
          <w:rFonts w:hint="cs"/>
          <w:rtl/>
        </w:rPr>
        <w:t>،</w:t>
      </w:r>
      <w:r w:rsidR="00777DCB" w:rsidRPr="00A52585">
        <w:rPr>
          <w:rFonts w:hint="cs"/>
          <w:rtl/>
        </w:rPr>
        <w:t xml:space="preserve"> ولا يجوز أن يظن أنه كخروج جسم من جسم لأن الله عز وجل ليس بجسم</w:t>
      </w:r>
      <w:r w:rsidR="00DB731D" w:rsidRPr="00A52585">
        <w:rPr>
          <w:rFonts w:hint="cs"/>
          <w:rtl/>
        </w:rPr>
        <w:t>،</w:t>
      </w:r>
      <w:r w:rsidR="00777DCB" w:rsidRPr="00A52585">
        <w:rPr>
          <w:rFonts w:hint="cs"/>
          <w:rtl/>
        </w:rPr>
        <w:t xml:space="preserve"> ولا كلامه جسم</w:t>
      </w:r>
      <w:r w:rsidR="00DB731D" w:rsidRPr="00A52585">
        <w:rPr>
          <w:rFonts w:hint="cs"/>
          <w:rtl/>
        </w:rPr>
        <w:t>،</w:t>
      </w:r>
      <w:r w:rsidR="00777DCB" w:rsidRPr="00A52585">
        <w:rPr>
          <w:rFonts w:hint="cs"/>
          <w:rtl/>
        </w:rPr>
        <w:t xml:space="preserve"> </w:t>
      </w:r>
    </w:p>
    <w:p w14:paraId="18FB2BAD" w14:textId="18FA28C1" w:rsidR="00777DCB" w:rsidRPr="00A52585" w:rsidRDefault="0002035C" w:rsidP="0002035C">
      <w:pPr>
        <w:rPr>
          <w:b/>
          <w:rtl/>
        </w:rPr>
      </w:pPr>
      <w:r w:rsidRPr="00A52585">
        <w:rPr>
          <w:rFonts w:hint="cs"/>
          <w:bCs/>
          <w:u w:val="single"/>
          <w:rtl/>
        </w:rPr>
        <w:t>[</w:t>
      </w:r>
      <w:r w:rsidR="00777DCB" w:rsidRPr="00A52585">
        <w:rPr>
          <w:rFonts w:hint="cs"/>
          <w:bCs/>
          <w:u w:val="single"/>
          <w:rtl/>
        </w:rPr>
        <w:t>58</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الثامن والخمسون</w:t>
      </w:r>
      <w:r w:rsidRPr="00A52585">
        <w:rPr>
          <w:rFonts w:hint="cs"/>
          <w:bCs/>
          <w:rtl/>
        </w:rPr>
        <w:t>]:</w:t>
      </w:r>
      <w:r w:rsidR="00777DCB" w:rsidRPr="00A52585">
        <w:rPr>
          <w:rFonts w:hint="cs"/>
          <w:bCs/>
          <w:rtl/>
        </w:rPr>
        <w:t xml:space="preserve"> </w:t>
      </w:r>
      <w:r w:rsidR="00777DCB" w:rsidRPr="00A52585">
        <w:rPr>
          <w:rFonts w:hint="cs"/>
          <w:rtl/>
        </w:rPr>
        <w:t>روينا عن سهل بن سعد عن النبي - صلى الله عليه وسلم - قال</w:t>
      </w:r>
      <w:r w:rsidRPr="00A52585">
        <w:rPr>
          <w:rFonts w:hint="cs"/>
          <w:rtl/>
        </w:rPr>
        <w:t>:</w:t>
      </w:r>
      <w:r w:rsidR="00777DCB" w:rsidRPr="00A52585">
        <w:rPr>
          <w:rFonts w:hint="cs"/>
          <w:rtl/>
        </w:rPr>
        <w:t xml:space="preserve"> " دون الله سبعون ألف حجاب من نور وظلمة وما تسمع من نفس شيئا من حس تلك الحجب إلا زهقت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البيهقي في الاسماء والصفات </w:t>
      </w:r>
      <w:r w:rsidRPr="00A52585">
        <w:rPr>
          <w:rFonts w:hint="cs"/>
          <w:sz w:val="24"/>
          <w:szCs w:val="24"/>
          <w:rtl/>
        </w:rPr>
        <w:t>(</w:t>
      </w:r>
      <w:r w:rsidR="00777DCB" w:rsidRPr="00A52585">
        <w:rPr>
          <w:rFonts w:hint="cs"/>
          <w:sz w:val="24"/>
          <w:szCs w:val="24"/>
          <w:rtl/>
        </w:rPr>
        <w:t>402</w:t>
      </w:r>
      <w:r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 تفرد به موسى بن عبيدة </w:t>
      </w:r>
      <w:proofErr w:type="spellStart"/>
      <w:r w:rsidR="00777DCB" w:rsidRPr="00A52585">
        <w:rPr>
          <w:rFonts w:hint="cs"/>
          <w:sz w:val="24"/>
          <w:szCs w:val="24"/>
          <w:rtl/>
        </w:rPr>
        <w:t>الربذي</w:t>
      </w:r>
      <w:proofErr w:type="spellEnd"/>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قلت</w:t>
      </w:r>
      <w:r w:rsidRPr="00A52585">
        <w:rPr>
          <w:rFonts w:hint="cs"/>
          <w:sz w:val="24"/>
          <w:szCs w:val="24"/>
          <w:rtl/>
        </w:rPr>
        <w:t>:</w:t>
      </w:r>
      <w:r w:rsidR="00777DCB" w:rsidRPr="00A52585">
        <w:rPr>
          <w:rFonts w:hint="cs"/>
          <w:sz w:val="24"/>
          <w:szCs w:val="24"/>
          <w:rtl/>
        </w:rPr>
        <w:t xml:space="preserve"> قال عنه الامام أحمد</w:t>
      </w:r>
      <w:r w:rsidRPr="00A52585">
        <w:rPr>
          <w:rFonts w:hint="cs"/>
          <w:sz w:val="24"/>
          <w:szCs w:val="24"/>
          <w:rtl/>
        </w:rPr>
        <w:t>:</w:t>
      </w:r>
      <w:r w:rsidR="00777DCB" w:rsidRPr="00A52585">
        <w:rPr>
          <w:rFonts w:hint="cs"/>
          <w:sz w:val="24"/>
          <w:szCs w:val="24"/>
          <w:rtl/>
        </w:rPr>
        <w:t xml:space="preserve"> لا تحل الرواية عنه</w:t>
      </w:r>
      <w:r w:rsidR="00DB731D" w:rsidRPr="00A52585">
        <w:rPr>
          <w:rFonts w:hint="cs"/>
          <w:sz w:val="24"/>
          <w:szCs w:val="24"/>
          <w:rtl/>
        </w:rPr>
        <w:t>،</w:t>
      </w:r>
      <w:r w:rsidR="00777DCB" w:rsidRPr="00A52585">
        <w:rPr>
          <w:rFonts w:hint="cs"/>
          <w:sz w:val="24"/>
          <w:szCs w:val="24"/>
          <w:rtl/>
        </w:rPr>
        <w:t xml:space="preserve"> وقال ابن معين</w:t>
      </w:r>
      <w:r w:rsidRPr="00A52585">
        <w:rPr>
          <w:rFonts w:hint="cs"/>
          <w:sz w:val="24"/>
          <w:szCs w:val="24"/>
          <w:rtl/>
        </w:rPr>
        <w:t>:</w:t>
      </w:r>
      <w:r w:rsidR="00777DCB" w:rsidRPr="00A52585">
        <w:rPr>
          <w:rFonts w:hint="cs"/>
          <w:sz w:val="24"/>
          <w:szCs w:val="24"/>
          <w:rtl/>
        </w:rPr>
        <w:t xml:space="preserve"> لا يحتج بحديثه</w:t>
      </w:r>
      <w:r w:rsidR="00DB731D" w:rsidRPr="00A52585">
        <w:rPr>
          <w:rFonts w:hint="cs"/>
          <w:sz w:val="24"/>
          <w:szCs w:val="24"/>
          <w:rtl/>
        </w:rPr>
        <w:t>،</w:t>
      </w:r>
      <w:r w:rsidR="00777DCB" w:rsidRPr="00A52585">
        <w:rPr>
          <w:rFonts w:hint="cs"/>
          <w:sz w:val="24"/>
          <w:szCs w:val="24"/>
          <w:rtl/>
        </w:rPr>
        <w:t xml:space="preserve"> وقال أبو حاتم</w:t>
      </w:r>
      <w:r w:rsidRPr="00A52585">
        <w:rPr>
          <w:rFonts w:hint="cs"/>
          <w:sz w:val="24"/>
          <w:szCs w:val="24"/>
          <w:rtl/>
        </w:rPr>
        <w:t>:</w:t>
      </w:r>
      <w:r w:rsidR="00777DCB" w:rsidRPr="00A52585">
        <w:rPr>
          <w:rFonts w:hint="cs"/>
          <w:sz w:val="24"/>
          <w:szCs w:val="24"/>
          <w:rtl/>
        </w:rPr>
        <w:t xml:space="preserve"> منكر الحديث</w:t>
      </w:r>
      <w:r w:rsidR="00DB731D" w:rsidRPr="00A52585">
        <w:rPr>
          <w:rFonts w:hint="cs"/>
          <w:sz w:val="24"/>
          <w:szCs w:val="24"/>
          <w:rtl/>
        </w:rPr>
        <w:t>،</w:t>
      </w:r>
      <w:r w:rsidR="00777DCB" w:rsidRPr="00A52585">
        <w:rPr>
          <w:rFonts w:hint="cs"/>
          <w:sz w:val="24"/>
          <w:szCs w:val="24"/>
          <w:rtl/>
        </w:rPr>
        <w:t xml:space="preserve"> كذا في " التهذيب " </w:t>
      </w:r>
      <w:r w:rsidRPr="00A52585">
        <w:rPr>
          <w:rFonts w:hint="cs"/>
          <w:sz w:val="24"/>
          <w:szCs w:val="24"/>
          <w:rtl/>
        </w:rPr>
        <w:t>(</w:t>
      </w:r>
      <w:r w:rsidR="00777DCB" w:rsidRPr="00A52585">
        <w:rPr>
          <w:rFonts w:hint="cs"/>
          <w:sz w:val="24"/>
          <w:szCs w:val="24"/>
          <w:rtl/>
        </w:rPr>
        <w:t>10 / 318</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هذا حديث لا أصل له</w:t>
      </w:r>
      <w:r w:rsidR="00897A24" w:rsidRPr="00A52585">
        <w:rPr>
          <w:rFonts w:hint="cs"/>
          <w:rtl/>
        </w:rPr>
        <w:t>.</w:t>
      </w:r>
      <w:r w:rsidR="00777DCB" w:rsidRPr="00A52585">
        <w:rPr>
          <w:rFonts w:hint="cs"/>
          <w:rtl/>
        </w:rPr>
        <w:t xml:space="preserve"> يرويه موسى بن عبيدة</w:t>
      </w:r>
      <w:r w:rsidR="00DB731D" w:rsidRPr="00A52585">
        <w:rPr>
          <w:rFonts w:hint="cs"/>
          <w:rtl/>
        </w:rPr>
        <w:t>،</w:t>
      </w:r>
      <w:r w:rsidR="00777DCB" w:rsidRPr="00A52585">
        <w:rPr>
          <w:rFonts w:hint="cs"/>
          <w:rtl/>
        </w:rPr>
        <w:t xml:space="preserve"> قال أحمد</w:t>
      </w:r>
      <w:r w:rsidRPr="00A52585">
        <w:rPr>
          <w:rFonts w:hint="cs"/>
          <w:rtl/>
        </w:rPr>
        <w:t>:</w:t>
      </w:r>
      <w:r w:rsidR="00777DCB" w:rsidRPr="00A52585">
        <w:rPr>
          <w:rFonts w:hint="cs"/>
          <w:rtl/>
        </w:rPr>
        <w:t xml:space="preserve"> لا يحل عندي الرواية عنه</w:t>
      </w:r>
      <w:r w:rsidR="00DB731D" w:rsidRPr="00A52585">
        <w:rPr>
          <w:rFonts w:hint="cs"/>
          <w:rtl/>
        </w:rPr>
        <w:t>،</w:t>
      </w:r>
      <w:r w:rsidR="00777DCB" w:rsidRPr="00A52585">
        <w:rPr>
          <w:rFonts w:hint="cs"/>
          <w:rtl/>
        </w:rPr>
        <w:t xml:space="preserve"> قال يحيى</w:t>
      </w:r>
      <w:r w:rsidRPr="00A52585">
        <w:rPr>
          <w:rFonts w:hint="cs"/>
          <w:rtl/>
        </w:rPr>
        <w:t>:</w:t>
      </w:r>
      <w:r w:rsidR="00777DCB" w:rsidRPr="00A52585">
        <w:rPr>
          <w:rFonts w:hint="cs"/>
          <w:rtl/>
        </w:rPr>
        <w:t xml:space="preserve"> ليس بشيء</w:t>
      </w:r>
      <w:r w:rsidR="00DB731D" w:rsidRPr="00A52585">
        <w:rPr>
          <w:rFonts w:hint="cs"/>
          <w:rtl/>
        </w:rPr>
        <w:t>،</w:t>
      </w:r>
      <w:r w:rsidR="00777DCB" w:rsidRPr="00A52585">
        <w:rPr>
          <w:rFonts w:hint="cs"/>
          <w:rtl/>
        </w:rPr>
        <w:t xml:space="preserve"> وموسى يرويه عن عمر بن الحكم قال البخاري</w:t>
      </w:r>
      <w:r w:rsidRPr="00A52585">
        <w:rPr>
          <w:rFonts w:hint="cs"/>
          <w:rtl/>
        </w:rPr>
        <w:t>:</w:t>
      </w:r>
      <w:r w:rsidR="00777DCB" w:rsidRPr="00A52585">
        <w:rPr>
          <w:rFonts w:hint="cs"/>
          <w:rtl/>
        </w:rPr>
        <w:t xml:space="preserve"> عمر ذاهب الحديث</w:t>
      </w:r>
      <w:r w:rsidR="00DB731D" w:rsidRPr="00A52585">
        <w:rPr>
          <w:rFonts w:hint="cs"/>
          <w:rtl/>
        </w:rPr>
        <w:t>،</w:t>
      </w:r>
      <w:r w:rsidR="00777DCB" w:rsidRPr="00A52585">
        <w:rPr>
          <w:rFonts w:hint="cs"/>
          <w:rtl/>
        </w:rPr>
        <w:t xml:space="preserve"> </w:t>
      </w:r>
    </w:p>
    <w:p w14:paraId="76C73880" w14:textId="2D237A63" w:rsidR="00777DCB" w:rsidRPr="00A52585" w:rsidRDefault="0002035C" w:rsidP="0002035C">
      <w:pPr>
        <w:rPr>
          <w:b/>
          <w:rtl/>
        </w:rPr>
      </w:pPr>
      <w:r w:rsidRPr="00A52585">
        <w:rPr>
          <w:rFonts w:hint="cs"/>
          <w:bCs/>
          <w:u w:val="single"/>
          <w:rtl/>
        </w:rPr>
        <w:t>[</w:t>
      </w:r>
      <w:r w:rsidR="00777DCB" w:rsidRPr="00A52585">
        <w:rPr>
          <w:rFonts w:hint="cs"/>
          <w:bCs/>
          <w:u w:val="single"/>
          <w:rtl/>
        </w:rPr>
        <w:t>59</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التاسع والخمسون</w:t>
      </w:r>
      <w:r w:rsidRPr="00A52585">
        <w:rPr>
          <w:rFonts w:hint="cs"/>
          <w:bCs/>
          <w:rtl/>
        </w:rPr>
        <w:t>]:</w:t>
      </w:r>
      <w:r w:rsidR="00777DCB" w:rsidRPr="00A52585">
        <w:rPr>
          <w:rFonts w:hint="cs"/>
          <w:bCs/>
          <w:rtl/>
        </w:rPr>
        <w:t xml:space="preserve"> </w:t>
      </w:r>
      <w:r w:rsidR="00777DCB" w:rsidRPr="00A52585">
        <w:rPr>
          <w:rFonts w:hint="cs"/>
          <w:rtl/>
        </w:rPr>
        <w:t>رواه أنس بن مالك رضي الله عنه عن النبي - صلى الله عليه وسلم - قال " إن لله للوحا</w:t>
      </w:r>
      <w:r w:rsidR="00DB731D" w:rsidRPr="00A52585">
        <w:rPr>
          <w:rFonts w:hint="cs"/>
          <w:rtl/>
        </w:rPr>
        <w:t>،</w:t>
      </w:r>
      <w:r w:rsidR="00777DCB" w:rsidRPr="00A52585">
        <w:rPr>
          <w:rFonts w:hint="cs"/>
          <w:rtl/>
        </w:rPr>
        <w:t xml:space="preserve"> أحد وجهيه درة والآخر ياقوته</w:t>
      </w:r>
      <w:r w:rsidR="00DB731D" w:rsidRPr="00A52585">
        <w:rPr>
          <w:rFonts w:hint="cs"/>
          <w:rtl/>
        </w:rPr>
        <w:t>،</w:t>
      </w:r>
      <w:r w:rsidR="00777DCB" w:rsidRPr="00A52585">
        <w:rPr>
          <w:rFonts w:hint="cs"/>
          <w:rtl/>
        </w:rPr>
        <w:t xml:space="preserve"> قلمه النور</w:t>
      </w:r>
      <w:r w:rsidR="00DB731D" w:rsidRPr="00A52585">
        <w:rPr>
          <w:rFonts w:hint="cs"/>
          <w:rtl/>
        </w:rPr>
        <w:t>،</w:t>
      </w:r>
      <w:r w:rsidR="00777DCB" w:rsidRPr="00A52585">
        <w:rPr>
          <w:rFonts w:hint="cs"/>
          <w:rtl/>
        </w:rPr>
        <w:t xml:space="preserve"> فبه يخلق وبه يرزق وبه يحيي </w:t>
      </w:r>
      <w:r w:rsidR="00777DCB" w:rsidRPr="00A52585">
        <w:rPr>
          <w:rFonts w:hint="cs"/>
          <w:rtl/>
        </w:rPr>
        <w:lastRenderedPageBreak/>
        <w:t>وبه يميت</w:t>
      </w:r>
      <w:r w:rsidR="00DB731D" w:rsidRPr="00A52585">
        <w:rPr>
          <w:rFonts w:hint="cs"/>
          <w:rtl/>
        </w:rPr>
        <w:t>،</w:t>
      </w:r>
      <w:r w:rsidR="00777DCB" w:rsidRPr="00A52585">
        <w:rPr>
          <w:rFonts w:hint="cs"/>
          <w:rtl/>
        </w:rPr>
        <w:t xml:space="preserve"> ويعز ويذل</w:t>
      </w:r>
      <w:r w:rsidR="00DB731D" w:rsidRPr="00A52585">
        <w:rPr>
          <w:rFonts w:hint="cs"/>
          <w:rtl/>
        </w:rPr>
        <w:t>،</w:t>
      </w:r>
      <w:r w:rsidR="00777DCB" w:rsidRPr="00A52585">
        <w:rPr>
          <w:rFonts w:hint="cs"/>
          <w:rtl/>
        </w:rPr>
        <w:t xml:space="preserve"> ويفعل ما يشاء في يوم وليلة "</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هذا الحديث موضوع</w:t>
      </w:r>
      <w:r w:rsidR="00DB731D" w:rsidRPr="00A52585">
        <w:rPr>
          <w:rFonts w:hint="cs"/>
          <w:rtl/>
        </w:rPr>
        <w:t>،</w:t>
      </w:r>
      <w:r w:rsidR="00777DCB" w:rsidRPr="00A52585">
        <w:rPr>
          <w:rFonts w:hint="cs"/>
          <w:rtl/>
        </w:rPr>
        <w:t xml:space="preserve"> يرويه محمد بن عثمان وهو متروك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انظر " الميزان " </w:t>
      </w:r>
      <w:r w:rsidRPr="00A52585">
        <w:rPr>
          <w:rFonts w:hint="cs"/>
          <w:sz w:val="24"/>
          <w:szCs w:val="24"/>
          <w:rtl/>
        </w:rPr>
        <w:t>(</w:t>
      </w:r>
      <w:r w:rsidR="00777DCB" w:rsidRPr="00A52585">
        <w:rPr>
          <w:rFonts w:hint="cs"/>
          <w:sz w:val="24"/>
          <w:szCs w:val="24"/>
          <w:rtl/>
        </w:rPr>
        <w:t>3 / 641</w:t>
      </w:r>
      <w:r w:rsidRPr="00A52585">
        <w:rPr>
          <w:rFonts w:hint="cs"/>
          <w:sz w:val="24"/>
          <w:szCs w:val="24"/>
          <w:rtl/>
        </w:rPr>
        <w:t>)]</w:t>
      </w:r>
      <w:r w:rsidR="00DB731D" w:rsidRPr="00A52585">
        <w:rPr>
          <w:rFonts w:hint="cs"/>
          <w:rtl/>
        </w:rPr>
        <w:t>،</w:t>
      </w:r>
      <w:r w:rsidR="00777DCB" w:rsidRPr="00A52585">
        <w:rPr>
          <w:rFonts w:hint="cs"/>
          <w:rtl/>
        </w:rPr>
        <w:t xml:space="preserve"> </w:t>
      </w:r>
    </w:p>
    <w:p w14:paraId="53CF9098" w14:textId="4DEA3689" w:rsidR="00777DCB" w:rsidRPr="00A52585" w:rsidRDefault="0002035C" w:rsidP="0002035C">
      <w:pPr>
        <w:rPr>
          <w:b/>
          <w:rtl/>
        </w:rPr>
      </w:pPr>
      <w:r w:rsidRPr="00A52585">
        <w:rPr>
          <w:rFonts w:hint="cs"/>
          <w:bCs/>
          <w:u w:val="single"/>
          <w:rtl/>
        </w:rPr>
        <w:t>[</w:t>
      </w:r>
      <w:r w:rsidR="00777DCB" w:rsidRPr="00A52585">
        <w:rPr>
          <w:rFonts w:hint="cs"/>
          <w:bCs/>
          <w:u w:val="single"/>
          <w:rtl/>
        </w:rPr>
        <w:t>60</w:t>
      </w:r>
      <w:r w:rsidRPr="00A52585">
        <w:rPr>
          <w:rFonts w:hint="cs"/>
          <w:bCs/>
          <w:u w:val="single"/>
          <w:rtl/>
        </w:rPr>
        <w:t>]:</w:t>
      </w:r>
      <w:r w:rsidR="00777DCB" w:rsidRPr="00A52585">
        <w:rPr>
          <w:rFonts w:hint="cs"/>
          <w:bCs/>
          <w:rtl/>
        </w:rPr>
        <w:t xml:space="preserve"> </w:t>
      </w:r>
      <w:r w:rsidRPr="00A52585">
        <w:rPr>
          <w:rFonts w:hint="cs"/>
          <w:bCs/>
          <w:rtl/>
        </w:rPr>
        <w:t>[</w:t>
      </w:r>
      <w:r w:rsidR="00777DCB" w:rsidRPr="00A52585">
        <w:rPr>
          <w:rFonts w:hint="cs"/>
          <w:bCs/>
          <w:rtl/>
        </w:rPr>
        <w:t>الحديث الستون</w:t>
      </w:r>
      <w:r w:rsidRPr="00A52585">
        <w:rPr>
          <w:rFonts w:hint="cs"/>
          <w:bCs/>
          <w:rtl/>
        </w:rPr>
        <w:t>]:</w:t>
      </w:r>
      <w:r w:rsidR="00777DCB" w:rsidRPr="00A52585">
        <w:rPr>
          <w:rFonts w:hint="cs"/>
          <w:rtl/>
        </w:rPr>
        <w:t xml:space="preserve"> روى جابر رضي الله عنه عن النبي - صلى الله عليه وسلم - أنه قال</w:t>
      </w:r>
      <w:r w:rsidRPr="00A52585">
        <w:rPr>
          <w:rFonts w:hint="cs"/>
          <w:rtl/>
        </w:rPr>
        <w:t>:</w:t>
      </w:r>
      <w:r w:rsidR="00777DCB" w:rsidRPr="00A52585">
        <w:rPr>
          <w:rFonts w:hint="cs"/>
          <w:rtl/>
        </w:rPr>
        <w:t xml:space="preserve"> " إذا رأيتم الريح فلا تسبوها فإنها من نفس الرحمن</w:t>
      </w:r>
      <w:r w:rsidR="00DB731D" w:rsidRPr="00A52585">
        <w:rPr>
          <w:rFonts w:hint="cs"/>
          <w:rtl/>
        </w:rPr>
        <w:t>،</w:t>
      </w:r>
      <w:r w:rsidR="00777DCB" w:rsidRPr="00A52585">
        <w:rPr>
          <w:rFonts w:hint="cs"/>
          <w:rtl/>
        </w:rPr>
        <w:t xml:space="preserve"> تأتي بالرحمة وتأتي بالعذاب فاسألوا الله خيرها واستعيذوا بالله من شرها "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بهذا اللفظ الحاكم في المستدرك </w:t>
      </w:r>
      <w:r w:rsidRPr="00A52585">
        <w:rPr>
          <w:rFonts w:hint="cs"/>
          <w:sz w:val="24"/>
          <w:szCs w:val="24"/>
          <w:rtl/>
        </w:rPr>
        <w:t>(</w:t>
      </w:r>
      <w:r w:rsidR="00777DCB" w:rsidRPr="00A52585">
        <w:rPr>
          <w:rFonts w:hint="cs"/>
          <w:sz w:val="24"/>
          <w:szCs w:val="24"/>
          <w:rtl/>
        </w:rPr>
        <w:t>2 / 272</w:t>
      </w:r>
      <w:r w:rsidRPr="00A52585">
        <w:rPr>
          <w:rFonts w:hint="cs"/>
          <w:sz w:val="24"/>
          <w:szCs w:val="24"/>
          <w:rtl/>
        </w:rPr>
        <w:t>)</w:t>
      </w:r>
      <w:r w:rsidR="00777DCB" w:rsidRPr="00A52585">
        <w:rPr>
          <w:rFonts w:hint="cs"/>
          <w:sz w:val="24"/>
          <w:szCs w:val="24"/>
          <w:rtl/>
        </w:rPr>
        <w:t xml:space="preserve"> من حديث أبي بن كعب موقوفا عليه ولفظ " نفس الرحمن " من تصرف الرواة</w:t>
      </w:r>
      <w:r w:rsidR="00DB731D" w:rsidRPr="00A52585">
        <w:rPr>
          <w:rFonts w:hint="cs"/>
          <w:sz w:val="24"/>
          <w:szCs w:val="24"/>
          <w:rtl/>
        </w:rPr>
        <w:t>،</w:t>
      </w:r>
      <w:r w:rsidR="00777DCB" w:rsidRPr="00A52585">
        <w:rPr>
          <w:rFonts w:hint="cs"/>
          <w:sz w:val="24"/>
          <w:szCs w:val="24"/>
          <w:rtl/>
        </w:rPr>
        <w:t xml:space="preserve"> يعرف ذلك من استعرض متن الحديث في كتب السنة</w:t>
      </w:r>
      <w:r w:rsidRPr="00A52585">
        <w:rPr>
          <w:rFonts w:hint="cs"/>
          <w:sz w:val="24"/>
          <w:szCs w:val="24"/>
          <w:rtl/>
        </w:rPr>
        <w:t>]</w:t>
      </w:r>
      <w:r w:rsidR="00777DCB" w:rsidRPr="00A52585">
        <w:rPr>
          <w:rFonts w:hint="cs"/>
          <w:rtl/>
        </w:rPr>
        <w:t>، قلت</w:t>
      </w:r>
      <w:r w:rsidRPr="00A52585">
        <w:rPr>
          <w:rFonts w:hint="cs"/>
          <w:rtl/>
        </w:rPr>
        <w:t>:</w:t>
      </w:r>
      <w:r w:rsidR="00777DCB" w:rsidRPr="00A52585">
        <w:rPr>
          <w:rFonts w:hint="cs"/>
          <w:rtl/>
        </w:rPr>
        <w:t xml:space="preserve"> النفس بمعنى التنفيس عن المكروب</w:t>
      </w:r>
      <w:r w:rsidR="00DB731D" w:rsidRPr="00A52585">
        <w:rPr>
          <w:rFonts w:hint="cs"/>
          <w:rtl/>
        </w:rPr>
        <w:t>،</w:t>
      </w:r>
      <w:r w:rsidR="00777DCB" w:rsidRPr="00A52585">
        <w:rPr>
          <w:rFonts w:hint="cs"/>
          <w:rtl/>
        </w:rPr>
        <w:t xml:space="preserve"> ومثله ما رواه أبو هريرة - رضي الله عنه - عن النبي - صلى الله عليه وسلم - أنه قال</w:t>
      </w:r>
      <w:r w:rsidRPr="00A52585">
        <w:rPr>
          <w:rFonts w:hint="cs"/>
          <w:rtl/>
        </w:rPr>
        <w:t>:</w:t>
      </w:r>
      <w:r w:rsidR="00777DCB" w:rsidRPr="00A52585">
        <w:rPr>
          <w:rFonts w:hint="cs"/>
          <w:rtl/>
        </w:rPr>
        <w:t xml:space="preserve"> " إني لأجد نفس ربكم من قبل اليمن "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الامام أحمد في " مسنده " </w:t>
      </w:r>
      <w:r w:rsidRPr="00A52585">
        <w:rPr>
          <w:rFonts w:hint="cs"/>
          <w:sz w:val="24"/>
          <w:szCs w:val="24"/>
          <w:rtl/>
        </w:rPr>
        <w:t>(</w:t>
      </w:r>
      <w:r w:rsidR="00777DCB" w:rsidRPr="00A52585">
        <w:rPr>
          <w:rFonts w:hint="cs"/>
          <w:sz w:val="24"/>
          <w:szCs w:val="24"/>
          <w:rtl/>
        </w:rPr>
        <w:t>2 / 541</w:t>
      </w:r>
      <w:r w:rsidRPr="00A52585">
        <w:rPr>
          <w:rFonts w:hint="cs"/>
          <w:sz w:val="24"/>
          <w:szCs w:val="24"/>
          <w:rtl/>
        </w:rPr>
        <w:t>)</w:t>
      </w:r>
      <w:r w:rsidR="00777DCB" w:rsidRPr="00A52585">
        <w:rPr>
          <w:rFonts w:hint="cs"/>
          <w:sz w:val="24"/>
          <w:szCs w:val="24"/>
          <w:rtl/>
        </w:rPr>
        <w:t xml:space="preserve"> من حديث أبي هريرة قال العراقي</w:t>
      </w:r>
      <w:r w:rsidRPr="00A52585">
        <w:rPr>
          <w:rFonts w:hint="cs"/>
          <w:sz w:val="24"/>
          <w:szCs w:val="24"/>
          <w:rtl/>
        </w:rPr>
        <w:t>:</w:t>
      </w:r>
      <w:r w:rsidR="00777DCB" w:rsidRPr="00A52585">
        <w:rPr>
          <w:rFonts w:hint="cs"/>
          <w:sz w:val="24"/>
          <w:szCs w:val="24"/>
          <w:rtl/>
        </w:rPr>
        <w:t xml:space="preserve"> ورجاله ثقات كذا في " إتحاف السادة المتقين " للزبيدي </w:t>
      </w:r>
      <w:r w:rsidRPr="00A52585">
        <w:rPr>
          <w:rFonts w:hint="cs"/>
          <w:sz w:val="24"/>
          <w:szCs w:val="24"/>
          <w:rtl/>
        </w:rPr>
        <w:t>(</w:t>
      </w:r>
      <w:r w:rsidR="00777DCB" w:rsidRPr="00A52585">
        <w:rPr>
          <w:rFonts w:hint="cs"/>
          <w:sz w:val="24"/>
          <w:szCs w:val="24"/>
          <w:rtl/>
        </w:rPr>
        <w:t>2 / 80</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وأخرجه الطبراني في الكبير </w:t>
      </w:r>
      <w:r w:rsidRPr="00A52585">
        <w:rPr>
          <w:rFonts w:hint="cs"/>
          <w:sz w:val="24"/>
          <w:szCs w:val="24"/>
          <w:rtl/>
        </w:rPr>
        <w:t>(</w:t>
      </w:r>
      <w:r w:rsidR="00777DCB" w:rsidRPr="00A52585">
        <w:rPr>
          <w:rFonts w:hint="cs"/>
          <w:sz w:val="24"/>
          <w:szCs w:val="24"/>
          <w:rtl/>
        </w:rPr>
        <w:t>7 / 52 برقم 6358</w:t>
      </w:r>
      <w:r w:rsidRPr="00A52585">
        <w:rPr>
          <w:rFonts w:hint="cs"/>
          <w:sz w:val="24"/>
          <w:szCs w:val="24"/>
          <w:rtl/>
        </w:rPr>
        <w:t>)</w:t>
      </w:r>
      <w:r w:rsidR="00777DCB" w:rsidRPr="00A52585">
        <w:rPr>
          <w:rFonts w:hint="cs"/>
          <w:sz w:val="24"/>
          <w:szCs w:val="24"/>
          <w:rtl/>
        </w:rPr>
        <w:t xml:space="preserve"> من حديث سلمة بن نفيل السكوني</w:t>
      </w:r>
      <w:r w:rsidR="00DB731D" w:rsidRPr="00A52585">
        <w:rPr>
          <w:rFonts w:hint="cs"/>
          <w:sz w:val="24"/>
          <w:szCs w:val="24"/>
          <w:rtl/>
        </w:rPr>
        <w:t>،</w:t>
      </w:r>
      <w:r w:rsidR="00777DCB" w:rsidRPr="00A52585">
        <w:rPr>
          <w:rFonts w:hint="cs"/>
          <w:sz w:val="24"/>
          <w:szCs w:val="24"/>
          <w:rtl/>
        </w:rPr>
        <w:t xml:space="preserve"> وكذلك البيهقي في " الاسماء والصفات " ص </w:t>
      </w:r>
      <w:r w:rsidRPr="00A52585">
        <w:rPr>
          <w:rFonts w:hint="cs"/>
          <w:sz w:val="24"/>
          <w:szCs w:val="24"/>
          <w:rtl/>
        </w:rPr>
        <w:t>(</w:t>
      </w:r>
      <w:r w:rsidR="00777DCB" w:rsidRPr="00A52585">
        <w:rPr>
          <w:rFonts w:hint="cs"/>
          <w:sz w:val="24"/>
          <w:szCs w:val="24"/>
          <w:rtl/>
        </w:rPr>
        <w:t>463</w:t>
      </w:r>
      <w:r w:rsidRPr="00A52585">
        <w:rPr>
          <w:rFonts w:hint="cs"/>
          <w:sz w:val="24"/>
          <w:szCs w:val="24"/>
          <w:rtl/>
        </w:rPr>
        <w:t>)</w:t>
      </w:r>
      <w:r w:rsidR="00777DCB" w:rsidRPr="00A52585">
        <w:rPr>
          <w:rFonts w:hint="cs"/>
          <w:sz w:val="24"/>
          <w:szCs w:val="24"/>
          <w:rtl/>
        </w:rPr>
        <w:t xml:space="preserve"> وقال عقبه</w:t>
      </w:r>
      <w:r w:rsidRPr="00A52585">
        <w:rPr>
          <w:rFonts w:hint="cs"/>
          <w:sz w:val="24"/>
          <w:szCs w:val="24"/>
          <w:rtl/>
        </w:rPr>
        <w:t>:</w:t>
      </w:r>
      <w:r w:rsidR="00777DCB" w:rsidRPr="00A52585">
        <w:rPr>
          <w:rFonts w:hint="cs"/>
          <w:sz w:val="24"/>
          <w:szCs w:val="24"/>
          <w:rtl/>
        </w:rPr>
        <w:t xml:space="preserve"> " قلت</w:t>
      </w:r>
      <w:r w:rsidRPr="00A52585">
        <w:rPr>
          <w:rFonts w:hint="cs"/>
          <w:sz w:val="24"/>
          <w:szCs w:val="24"/>
          <w:rtl/>
        </w:rPr>
        <w:t>:</w:t>
      </w:r>
      <w:r w:rsidR="00777DCB" w:rsidRPr="00A52585">
        <w:rPr>
          <w:rFonts w:hint="cs"/>
          <w:sz w:val="24"/>
          <w:szCs w:val="24"/>
          <w:rtl/>
        </w:rPr>
        <w:t xml:space="preserve"> قوله </w:t>
      </w:r>
      <w:r w:rsidRPr="00A52585">
        <w:rPr>
          <w:rFonts w:hint="cs"/>
          <w:sz w:val="24"/>
          <w:szCs w:val="24"/>
          <w:rtl/>
        </w:rPr>
        <w:t>(</w:t>
      </w:r>
      <w:r w:rsidR="00777DCB" w:rsidRPr="00A52585">
        <w:rPr>
          <w:rFonts w:hint="cs"/>
          <w:sz w:val="24"/>
          <w:szCs w:val="24"/>
          <w:rtl/>
        </w:rPr>
        <w:t>إني أجد نفس الرحمن من ههنا</w:t>
      </w:r>
      <w:r w:rsidRPr="00A52585">
        <w:rPr>
          <w:rFonts w:hint="cs"/>
          <w:sz w:val="24"/>
          <w:szCs w:val="24"/>
          <w:rtl/>
        </w:rPr>
        <w:t>)</w:t>
      </w:r>
      <w:r w:rsidR="00777DCB" w:rsidRPr="00A52585">
        <w:rPr>
          <w:rFonts w:hint="cs"/>
          <w:sz w:val="24"/>
          <w:szCs w:val="24"/>
          <w:rtl/>
        </w:rPr>
        <w:t xml:space="preserve"> إن كان محفوظا فإنما أراد</w:t>
      </w:r>
      <w:r w:rsidRPr="00A52585">
        <w:rPr>
          <w:rFonts w:hint="cs"/>
          <w:sz w:val="24"/>
          <w:szCs w:val="24"/>
          <w:rtl/>
        </w:rPr>
        <w:t>:</w:t>
      </w:r>
      <w:r w:rsidR="00777DCB" w:rsidRPr="00A52585">
        <w:rPr>
          <w:rFonts w:hint="cs"/>
          <w:sz w:val="24"/>
          <w:szCs w:val="24"/>
          <w:rtl/>
        </w:rPr>
        <w:t xml:space="preserve"> إني أجد الفرج من قبل اليمن</w:t>
      </w:r>
      <w:r w:rsidR="00DB731D" w:rsidRPr="00A52585">
        <w:rPr>
          <w:rFonts w:hint="cs"/>
          <w:sz w:val="24"/>
          <w:szCs w:val="24"/>
          <w:rtl/>
        </w:rPr>
        <w:t>،</w:t>
      </w:r>
      <w:r w:rsidR="00777DCB" w:rsidRPr="00A52585">
        <w:rPr>
          <w:rFonts w:hint="cs"/>
          <w:sz w:val="24"/>
          <w:szCs w:val="24"/>
          <w:rtl/>
        </w:rPr>
        <w:t xml:space="preserve"> وهو كما قال النبي صلى الله عليه وسلم</w:t>
      </w:r>
      <w:r w:rsidRPr="00A52585">
        <w:rPr>
          <w:rFonts w:hint="cs"/>
          <w:sz w:val="24"/>
          <w:szCs w:val="24"/>
          <w:rtl/>
        </w:rPr>
        <w:t>:</w:t>
      </w:r>
      <w:r w:rsidR="00777DCB" w:rsidRPr="00A52585">
        <w:rPr>
          <w:rFonts w:hint="cs"/>
          <w:sz w:val="24"/>
          <w:szCs w:val="24"/>
          <w:rtl/>
        </w:rPr>
        <w:t xml:space="preserve"> " من نفس عن مؤمن كربة من كرب الدنيا نفس الله عنه كربة من كرب يوم القيامة " وإنما أراد</w:t>
      </w:r>
      <w:r w:rsidRPr="00A52585">
        <w:rPr>
          <w:rFonts w:hint="cs"/>
          <w:sz w:val="24"/>
          <w:szCs w:val="24"/>
          <w:rtl/>
        </w:rPr>
        <w:t>:</w:t>
      </w:r>
      <w:r w:rsidR="00777DCB" w:rsidRPr="00A52585">
        <w:rPr>
          <w:rFonts w:hint="cs"/>
          <w:sz w:val="24"/>
          <w:szCs w:val="24"/>
          <w:rtl/>
        </w:rPr>
        <w:t xml:space="preserve"> من فرج عن مؤمن كربة</w:t>
      </w:r>
      <w:r w:rsidR="00DB731D" w:rsidRPr="00A52585">
        <w:rPr>
          <w:rFonts w:hint="cs"/>
          <w:sz w:val="24"/>
          <w:szCs w:val="24"/>
          <w:rtl/>
        </w:rPr>
        <w:t>،</w:t>
      </w:r>
      <w:r w:rsidR="00777DCB" w:rsidRPr="00A52585">
        <w:rPr>
          <w:rFonts w:hint="cs"/>
          <w:sz w:val="24"/>
          <w:szCs w:val="24"/>
          <w:rtl/>
        </w:rPr>
        <w:t xml:space="preserve"> نسأل الله تعالى أن نكون بهذا التعليق قد فرجنا عن أهل العلم وطلابه كربة الحيرة في هذه الاحاديث المتعلقة بمسألة الصفات ونسأله إن يفرج عنا كرب يوم القيامة وأن يجعلنا مع الذين لا خوف عليهم ولا هم يحزنون</w:t>
      </w:r>
      <w:r w:rsidR="00DB731D" w:rsidRPr="00A52585">
        <w:rPr>
          <w:rFonts w:hint="cs"/>
          <w:sz w:val="24"/>
          <w:szCs w:val="24"/>
          <w:rtl/>
        </w:rPr>
        <w:t>،</w:t>
      </w:r>
      <w:r w:rsidR="00777DCB" w:rsidRPr="00A52585">
        <w:rPr>
          <w:rFonts w:hint="cs"/>
          <w:sz w:val="24"/>
          <w:szCs w:val="24"/>
          <w:rtl/>
        </w:rPr>
        <w:t xml:space="preserve"> وليكن هذا آخر تعليقنا على كتاب " دفع شبه التشبيه " والحمد لله رب العالمين</w:t>
      </w:r>
      <w:r w:rsidRPr="00A52585">
        <w:rPr>
          <w:rFonts w:hint="cs"/>
          <w:sz w:val="24"/>
          <w:szCs w:val="24"/>
          <w:rtl/>
        </w:rPr>
        <w:t>]</w:t>
      </w:r>
      <w:r w:rsidR="00DB731D" w:rsidRPr="00A52585">
        <w:rPr>
          <w:rFonts w:hint="cs"/>
          <w:rtl/>
        </w:rPr>
        <w:t>،</w:t>
      </w:r>
      <w:r w:rsidR="00777DCB" w:rsidRPr="00A52585">
        <w:rPr>
          <w:rFonts w:hint="cs"/>
          <w:rtl/>
        </w:rPr>
        <w:t xml:space="preserve"> يعني تنفيسه عن المكروب بنصرة أهل المدينة إياي والمدينة من جانب اليمن</w:t>
      </w:r>
      <w:r w:rsidR="00DB731D" w:rsidRPr="00A52585">
        <w:rPr>
          <w:rFonts w:hint="cs"/>
          <w:rtl/>
        </w:rPr>
        <w:t>،</w:t>
      </w:r>
      <w:r w:rsidR="00777DCB" w:rsidRPr="00A52585">
        <w:rPr>
          <w:rFonts w:hint="cs"/>
          <w:rtl/>
        </w:rPr>
        <w:t xml:space="preserve"> وهذا شيء لا يختلف فيه المسلمون</w:t>
      </w:r>
      <w:r w:rsidR="00DB731D" w:rsidRPr="00A52585">
        <w:rPr>
          <w:rFonts w:hint="cs"/>
          <w:rtl/>
        </w:rPr>
        <w:t>،</w:t>
      </w:r>
      <w:r w:rsidR="00777DCB" w:rsidRPr="00A52585">
        <w:rPr>
          <w:rFonts w:hint="cs"/>
          <w:rtl/>
        </w:rPr>
        <w:t xml:space="preserve"> وقال ابن حامد</w:t>
      </w:r>
      <w:r w:rsidRPr="00A52585">
        <w:rPr>
          <w:rFonts w:hint="cs"/>
          <w:rtl/>
        </w:rPr>
        <w:t>:</w:t>
      </w:r>
      <w:r w:rsidR="00777DCB" w:rsidRPr="00A52585">
        <w:rPr>
          <w:rFonts w:hint="cs"/>
          <w:rtl/>
        </w:rPr>
        <w:t xml:space="preserve"> رأيت بعض أصحابنا يثبتون لله وصفا في ذاته بأنه يتنفس</w:t>
      </w:r>
      <w:r w:rsidR="00DB731D" w:rsidRPr="00A52585">
        <w:rPr>
          <w:rFonts w:hint="cs"/>
          <w:rtl/>
        </w:rPr>
        <w:t>،</w:t>
      </w:r>
      <w:r w:rsidR="00777DCB" w:rsidRPr="00A52585">
        <w:rPr>
          <w:rFonts w:hint="cs"/>
          <w:rtl/>
        </w:rPr>
        <w:t xml:space="preserve"> قال وقالوا الرياح الهابة مثل الرياح العاصفة</w:t>
      </w:r>
      <w:r w:rsidR="00DB731D" w:rsidRPr="00A52585">
        <w:rPr>
          <w:rFonts w:hint="cs"/>
          <w:rtl/>
        </w:rPr>
        <w:t>،</w:t>
      </w:r>
      <w:r w:rsidR="00777DCB" w:rsidRPr="00A52585">
        <w:rPr>
          <w:rFonts w:hint="cs"/>
          <w:rtl/>
        </w:rPr>
        <w:t xml:space="preserve"> والعقيم والجنوب والشمال والصبا والدبور مخلوقة</w:t>
      </w:r>
      <w:r w:rsidR="00DB731D" w:rsidRPr="00A52585">
        <w:rPr>
          <w:rFonts w:hint="cs"/>
          <w:rtl/>
        </w:rPr>
        <w:t>،</w:t>
      </w:r>
      <w:r w:rsidR="00777DCB" w:rsidRPr="00A52585">
        <w:rPr>
          <w:rFonts w:hint="cs"/>
          <w:rtl/>
        </w:rPr>
        <w:t xml:space="preserve"> إلا ريحا من صفاته هي ذات نسيم حياتي</w:t>
      </w:r>
      <w:r w:rsidR="00DB731D" w:rsidRPr="00A52585">
        <w:rPr>
          <w:rFonts w:hint="cs"/>
          <w:rtl/>
        </w:rPr>
        <w:t>،</w:t>
      </w:r>
      <w:r w:rsidR="00777DCB" w:rsidRPr="00A52585">
        <w:rPr>
          <w:rFonts w:hint="cs"/>
          <w:rtl/>
        </w:rPr>
        <w:t xml:space="preserve"> وهي من نفس الرحمن</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على من يعتقد هذا اللعنة</w:t>
      </w:r>
      <w:r w:rsidR="00DB731D" w:rsidRPr="00A52585">
        <w:rPr>
          <w:rFonts w:hint="cs"/>
          <w:rtl/>
        </w:rPr>
        <w:t>،</w:t>
      </w:r>
      <w:r w:rsidR="00777DCB" w:rsidRPr="00A52585">
        <w:rPr>
          <w:rFonts w:hint="cs"/>
          <w:rtl/>
        </w:rPr>
        <w:t xml:space="preserve"> لأنّه يثبت جسدا مخلوقا وما هؤلاء بمسلمين</w:t>
      </w:r>
      <w:r w:rsidR="00DB731D" w:rsidRPr="00A52585">
        <w:rPr>
          <w:rFonts w:hint="cs"/>
          <w:rtl/>
        </w:rPr>
        <w:t>،</w:t>
      </w:r>
      <w:r w:rsidR="00777DCB" w:rsidRPr="00A52585">
        <w:rPr>
          <w:rFonts w:hint="cs"/>
          <w:rtl/>
        </w:rPr>
        <w:t xml:space="preserve"> </w:t>
      </w:r>
    </w:p>
    <w:p w14:paraId="5CEAE811" w14:textId="4CA34760" w:rsidR="00777DCB" w:rsidRPr="00A52585" w:rsidRDefault="0002035C" w:rsidP="0002035C">
      <w:pPr>
        <w:rPr>
          <w:b/>
          <w:rtl/>
        </w:rPr>
      </w:pPr>
      <w:r w:rsidRPr="00A52585">
        <w:rPr>
          <w:rFonts w:hint="cs"/>
          <w:bCs/>
          <w:rtl/>
        </w:rPr>
        <w:t>[</w:t>
      </w:r>
      <w:r w:rsidR="00777DCB" w:rsidRPr="00A52585">
        <w:rPr>
          <w:rFonts w:hint="cs"/>
          <w:bCs/>
          <w:rtl/>
        </w:rPr>
        <w:t>خاتمة</w:t>
      </w:r>
      <w:r w:rsidRPr="00A52585">
        <w:rPr>
          <w:rFonts w:hint="cs"/>
          <w:bCs/>
          <w:rtl/>
        </w:rPr>
        <w:t>]</w:t>
      </w:r>
      <w:r w:rsidRPr="00A52585">
        <w:rPr>
          <w:rFonts w:hint="cs"/>
          <w:rtl/>
        </w:rPr>
        <w:t>:</w:t>
      </w:r>
      <w:r w:rsidR="00777DCB" w:rsidRPr="00A52585">
        <w:rPr>
          <w:rFonts w:hint="cs"/>
          <w:rtl/>
        </w:rPr>
        <w:t xml:space="preserve"> قال المصنف</w:t>
      </w:r>
      <w:r w:rsidRPr="00A52585">
        <w:rPr>
          <w:rFonts w:hint="cs"/>
          <w:rtl/>
        </w:rPr>
        <w:t>:</w:t>
      </w:r>
      <w:r w:rsidR="00777DCB" w:rsidRPr="00A52585">
        <w:rPr>
          <w:rFonts w:hint="cs"/>
          <w:rtl/>
        </w:rPr>
        <w:t xml:space="preserve"> ولما علم بكتابي هذا جماعة من الجهال لم يعجبهم</w:t>
      </w:r>
      <w:r w:rsidR="00DB731D" w:rsidRPr="00A52585">
        <w:rPr>
          <w:rFonts w:hint="cs"/>
          <w:rtl/>
        </w:rPr>
        <w:t>،</w:t>
      </w:r>
      <w:r w:rsidR="00777DCB" w:rsidRPr="00A52585">
        <w:rPr>
          <w:rFonts w:hint="cs"/>
          <w:rtl/>
        </w:rPr>
        <w:t xml:space="preserve"> </w:t>
      </w:r>
      <w:proofErr w:type="gramStart"/>
      <w:r w:rsidR="00777DCB" w:rsidRPr="00A52585">
        <w:rPr>
          <w:rFonts w:hint="cs"/>
          <w:rtl/>
        </w:rPr>
        <w:t>لانهم</w:t>
      </w:r>
      <w:proofErr w:type="gramEnd"/>
      <w:r w:rsidR="00777DCB" w:rsidRPr="00A52585">
        <w:rPr>
          <w:rFonts w:hint="cs"/>
          <w:rtl/>
        </w:rPr>
        <w:t xml:space="preserve"> ألفوا كلام رؤسائهم المجسمة</w:t>
      </w:r>
      <w:r w:rsidR="00DB731D" w:rsidRPr="00A52585">
        <w:rPr>
          <w:rFonts w:hint="cs"/>
          <w:rtl/>
        </w:rPr>
        <w:t>،</w:t>
      </w:r>
      <w:r w:rsidR="00777DCB" w:rsidRPr="00A52585">
        <w:rPr>
          <w:rFonts w:hint="cs"/>
          <w:rtl/>
        </w:rPr>
        <w:t xml:space="preserve"> فقالوا</w:t>
      </w:r>
      <w:r w:rsidRPr="00A52585">
        <w:rPr>
          <w:rFonts w:hint="cs"/>
          <w:rtl/>
        </w:rPr>
        <w:t>:</w:t>
      </w:r>
      <w:r w:rsidR="00777DCB" w:rsidRPr="00A52585">
        <w:rPr>
          <w:rFonts w:hint="cs"/>
          <w:rtl/>
        </w:rPr>
        <w:t xml:space="preserve"> ليس هذا المذهب</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ليس بمذهبكم ولا مذهب من قلدتم من أشياخكم</w:t>
      </w:r>
      <w:r w:rsidR="00DB731D" w:rsidRPr="00A52585">
        <w:rPr>
          <w:rFonts w:hint="cs"/>
          <w:rtl/>
        </w:rPr>
        <w:t>،</w:t>
      </w:r>
      <w:r w:rsidR="00777DCB" w:rsidRPr="00A52585">
        <w:rPr>
          <w:rFonts w:hint="cs"/>
          <w:rtl/>
        </w:rPr>
        <w:t xml:space="preserve"> فقد نزهت مذهب الامام أحمد رحمه الله</w:t>
      </w:r>
      <w:r w:rsidR="00DB731D" w:rsidRPr="00A52585">
        <w:rPr>
          <w:rFonts w:hint="cs"/>
          <w:rtl/>
        </w:rPr>
        <w:t>،</w:t>
      </w:r>
      <w:r w:rsidR="00777DCB" w:rsidRPr="00A52585">
        <w:rPr>
          <w:rFonts w:hint="cs"/>
          <w:rtl/>
        </w:rPr>
        <w:t xml:space="preserve"> ونفيت عنه كذب المنقولات</w:t>
      </w:r>
      <w:r w:rsidR="00DB731D" w:rsidRPr="00A52585">
        <w:rPr>
          <w:rFonts w:hint="cs"/>
          <w:rtl/>
        </w:rPr>
        <w:t>،</w:t>
      </w:r>
      <w:r w:rsidR="00777DCB" w:rsidRPr="00A52585">
        <w:rPr>
          <w:rFonts w:hint="cs"/>
          <w:rtl/>
        </w:rPr>
        <w:t xml:space="preserve"> وهذيان المقولات غير مقلد لهم فيما اعتقدوه وكيف أعتقد بهرجا وأنا أنتقده</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سبقت بحمد الله من كان من قبلي</w:t>
      </w:r>
      <w:r w:rsidR="00DB731D" w:rsidRPr="00A52585">
        <w:rPr>
          <w:rFonts w:hint="cs"/>
          <w:rtl/>
        </w:rPr>
        <w:t>،</w:t>
      </w:r>
      <w:r w:rsidR="00777DCB" w:rsidRPr="00A52585">
        <w:rPr>
          <w:rFonts w:hint="cs"/>
          <w:rtl/>
        </w:rPr>
        <w:t xml:space="preserve"> فقل للذي يرجو لحاقي على مهل</w:t>
      </w:r>
      <w:r w:rsidR="00DB731D" w:rsidRPr="00A52585">
        <w:rPr>
          <w:rFonts w:hint="cs"/>
          <w:rtl/>
        </w:rPr>
        <w:t>،</w:t>
      </w:r>
      <w:r w:rsidR="00777DCB" w:rsidRPr="00A52585">
        <w:rPr>
          <w:rFonts w:hint="cs"/>
          <w:rtl/>
        </w:rPr>
        <w:t xml:space="preserve"> وإنكم لو تنقصون عتابكم لعز على التفتيش أن تجدوا مثلي وقلت قصيدة مطولة وهي هذه</w:t>
      </w:r>
      <w:r w:rsidRPr="00A52585">
        <w:rPr>
          <w:rFonts w:hint="cs"/>
          <w:rtl/>
        </w:rPr>
        <w:t>:</w:t>
      </w:r>
      <w:r w:rsidR="00777DCB" w:rsidRPr="00A52585">
        <w:rPr>
          <w:rFonts w:hint="cs"/>
          <w:rtl/>
        </w:rPr>
        <w:t xml:space="preserve"> </w:t>
      </w:r>
    </w:p>
    <w:p w14:paraId="3AD5ADA4" w14:textId="77777777" w:rsidR="00777DCB" w:rsidRPr="00A52585" w:rsidRDefault="00777DCB" w:rsidP="0002035C">
      <w:pPr>
        <w:jc w:val="center"/>
        <w:rPr>
          <w:b/>
          <w:rtl/>
        </w:rPr>
      </w:pPr>
      <w:r w:rsidRPr="00A52585">
        <w:rPr>
          <w:rFonts w:hint="cs"/>
          <w:rtl/>
        </w:rPr>
        <w:lastRenderedPageBreak/>
        <w:t>حمدت إلهي كيف لا وله الفضل كما قد تولاني فذلت لي السبيل</w:t>
      </w:r>
    </w:p>
    <w:p w14:paraId="327341C6" w14:textId="77777777" w:rsidR="00777DCB" w:rsidRPr="00A52585" w:rsidRDefault="00777DCB" w:rsidP="0002035C">
      <w:pPr>
        <w:jc w:val="center"/>
        <w:rPr>
          <w:b/>
          <w:rtl/>
        </w:rPr>
      </w:pPr>
      <w:r w:rsidRPr="00A52585">
        <w:rPr>
          <w:rFonts w:hint="cs"/>
          <w:rtl/>
        </w:rPr>
        <w:t xml:space="preserve">وأخرجني من بين أهلي </w:t>
      </w:r>
      <w:proofErr w:type="spellStart"/>
      <w:r w:rsidRPr="00A52585">
        <w:rPr>
          <w:rFonts w:hint="cs"/>
          <w:rtl/>
        </w:rPr>
        <w:t>مفهما</w:t>
      </w:r>
      <w:proofErr w:type="spellEnd"/>
      <w:r w:rsidRPr="00A52585">
        <w:rPr>
          <w:rFonts w:hint="cs"/>
          <w:rtl/>
        </w:rPr>
        <w:t xml:space="preserve"> وعلمني حتى غدت قيمتي تعلو</w:t>
      </w:r>
    </w:p>
    <w:p w14:paraId="0AAF1091" w14:textId="77777777" w:rsidR="00777DCB" w:rsidRPr="00A52585" w:rsidRDefault="00777DCB" w:rsidP="0002035C">
      <w:pPr>
        <w:jc w:val="center"/>
        <w:rPr>
          <w:b/>
          <w:rtl/>
        </w:rPr>
      </w:pPr>
      <w:r w:rsidRPr="00A52585">
        <w:rPr>
          <w:rFonts w:hint="cs"/>
          <w:rtl/>
        </w:rPr>
        <w:t>وحركني للمكرمات أحوزها فهمة نفسي دائما أبدا تعلو</w:t>
      </w:r>
    </w:p>
    <w:p w14:paraId="791B30A9" w14:textId="77777777" w:rsidR="00777DCB" w:rsidRPr="00A52585" w:rsidRDefault="00777DCB" w:rsidP="0002035C">
      <w:pPr>
        <w:jc w:val="center"/>
        <w:rPr>
          <w:b/>
          <w:rtl/>
        </w:rPr>
      </w:pPr>
      <w:r w:rsidRPr="00A52585">
        <w:rPr>
          <w:rFonts w:hint="cs"/>
          <w:rtl/>
        </w:rPr>
        <w:t>وألهمني للعلم حتى ملكته فصار مرير الصبر عند فمي يحلو</w:t>
      </w:r>
    </w:p>
    <w:p w14:paraId="2326C71F" w14:textId="77777777" w:rsidR="00777DCB" w:rsidRPr="00A52585" w:rsidRDefault="00777DCB" w:rsidP="0002035C">
      <w:pPr>
        <w:jc w:val="center"/>
        <w:rPr>
          <w:b/>
          <w:rtl/>
        </w:rPr>
      </w:pPr>
      <w:r w:rsidRPr="00A52585">
        <w:rPr>
          <w:rFonts w:hint="cs"/>
          <w:rtl/>
        </w:rPr>
        <w:t>وشغلي كسب العلم قوتا لقوتي وقد نسي المطعوم والشرب والاكل</w:t>
      </w:r>
    </w:p>
    <w:p w14:paraId="21B1B054" w14:textId="77777777" w:rsidR="00777DCB" w:rsidRPr="00A52585" w:rsidRDefault="00777DCB" w:rsidP="0002035C">
      <w:pPr>
        <w:jc w:val="center"/>
        <w:rPr>
          <w:b/>
          <w:rtl/>
        </w:rPr>
      </w:pPr>
      <w:r w:rsidRPr="00A52585">
        <w:rPr>
          <w:rFonts w:hint="cs"/>
          <w:rtl/>
        </w:rPr>
        <w:t>وقد زاد عشقي للعلوم فأصبحت كتمثال ليلى عند قيس فما يسلو</w:t>
      </w:r>
    </w:p>
    <w:p w14:paraId="38C6459B" w14:textId="77777777" w:rsidR="00777DCB" w:rsidRPr="00A52585" w:rsidRDefault="00777DCB" w:rsidP="0002035C">
      <w:pPr>
        <w:jc w:val="center"/>
        <w:rPr>
          <w:b/>
          <w:rtl/>
        </w:rPr>
      </w:pPr>
      <w:r w:rsidRPr="00A52585">
        <w:rPr>
          <w:rFonts w:hint="cs"/>
          <w:rtl/>
        </w:rPr>
        <w:t xml:space="preserve">فما من علوم بثها الله في الورى إلى خلقه </w:t>
      </w:r>
      <w:proofErr w:type="spellStart"/>
      <w:r w:rsidRPr="00A52585">
        <w:rPr>
          <w:rFonts w:hint="cs"/>
          <w:rtl/>
        </w:rPr>
        <w:t>الالى</w:t>
      </w:r>
      <w:proofErr w:type="spellEnd"/>
      <w:r w:rsidRPr="00A52585">
        <w:rPr>
          <w:rFonts w:hint="cs"/>
          <w:rtl/>
        </w:rPr>
        <w:t xml:space="preserve"> إلا ولي معها وصل</w:t>
      </w:r>
    </w:p>
    <w:p w14:paraId="296922E7" w14:textId="77777777" w:rsidR="00777DCB" w:rsidRPr="00A52585" w:rsidRDefault="00777DCB" w:rsidP="0002035C">
      <w:pPr>
        <w:jc w:val="center"/>
        <w:rPr>
          <w:b/>
          <w:rtl/>
        </w:rPr>
      </w:pPr>
      <w:r w:rsidRPr="00A52585">
        <w:rPr>
          <w:rFonts w:hint="cs"/>
          <w:rtl/>
        </w:rPr>
        <w:t>وصنفت ما قد صنف الناس جنسه فيا قاصدي الانصاف لي ميزوا وابلو</w:t>
      </w:r>
    </w:p>
    <w:p w14:paraId="416CB85B" w14:textId="77777777" w:rsidR="00777DCB" w:rsidRPr="00A52585" w:rsidRDefault="00777DCB" w:rsidP="0002035C">
      <w:pPr>
        <w:jc w:val="center"/>
        <w:rPr>
          <w:b/>
          <w:rtl/>
        </w:rPr>
      </w:pPr>
      <w:r w:rsidRPr="00A52585">
        <w:rPr>
          <w:rFonts w:hint="cs"/>
          <w:rtl/>
        </w:rPr>
        <w:t xml:space="preserve">ولي من </w:t>
      </w:r>
      <w:proofErr w:type="spellStart"/>
      <w:r w:rsidRPr="00A52585">
        <w:rPr>
          <w:rFonts w:hint="cs"/>
          <w:rtl/>
        </w:rPr>
        <w:t>بديهات</w:t>
      </w:r>
      <w:proofErr w:type="spellEnd"/>
      <w:r w:rsidRPr="00A52585">
        <w:rPr>
          <w:rFonts w:hint="cs"/>
          <w:rtl/>
        </w:rPr>
        <w:t xml:space="preserve"> الكلام عجائب تكر عليهم كلما كررت تحلو</w:t>
      </w:r>
    </w:p>
    <w:p w14:paraId="02E95CFE" w14:textId="77777777" w:rsidR="00777DCB" w:rsidRPr="00A52585" w:rsidRDefault="00777DCB" w:rsidP="0002035C">
      <w:pPr>
        <w:jc w:val="center"/>
        <w:rPr>
          <w:b/>
          <w:rtl/>
        </w:rPr>
      </w:pPr>
      <w:r w:rsidRPr="00A52585">
        <w:rPr>
          <w:rFonts w:hint="cs"/>
          <w:rtl/>
        </w:rPr>
        <w:t>وقد قادني علمي إلى الزهد في الدنا وما جمعا إلا لعبد له فضل</w:t>
      </w:r>
    </w:p>
    <w:p w14:paraId="4DA13F42" w14:textId="77777777" w:rsidR="00777DCB" w:rsidRPr="00A52585" w:rsidRDefault="00777DCB" w:rsidP="0002035C">
      <w:pPr>
        <w:jc w:val="center"/>
        <w:rPr>
          <w:b/>
          <w:rtl/>
        </w:rPr>
      </w:pPr>
      <w:r w:rsidRPr="00A52585">
        <w:rPr>
          <w:rFonts w:hint="cs"/>
          <w:rtl/>
        </w:rPr>
        <w:t>نعم وتقاة الله أشرف خلقه ولا خير في قول إذا ضيع الفعل</w:t>
      </w:r>
    </w:p>
    <w:p w14:paraId="3E04AFA7" w14:textId="77777777" w:rsidR="00777DCB" w:rsidRPr="00A52585" w:rsidRDefault="00777DCB" w:rsidP="0002035C">
      <w:pPr>
        <w:jc w:val="center"/>
        <w:rPr>
          <w:b/>
          <w:rtl/>
        </w:rPr>
      </w:pPr>
      <w:r w:rsidRPr="00A52585">
        <w:rPr>
          <w:rFonts w:hint="cs"/>
          <w:rtl/>
        </w:rPr>
        <w:t xml:space="preserve">فنرعي بما يكفي يقيني من الاذى وبعد يقيني بالمقادير لا </w:t>
      </w:r>
      <w:proofErr w:type="spellStart"/>
      <w:r w:rsidRPr="00A52585">
        <w:rPr>
          <w:rFonts w:hint="cs"/>
          <w:rtl/>
        </w:rPr>
        <w:t>ذلو</w:t>
      </w:r>
      <w:proofErr w:type="spellEnd"/>
    </w:p>
    <w:p w14:paraId="54D380FE" w14:textId="77777777" w:rsidR="00777DCB" w:rsidRPr="00A52585" w:rsidRDefault="00777DCB" w:rsidP="0002035C">
      <w:pPr>
        <w:jc w:val="center"/>
        <w:rPr>
          <w:b/>
          <w:rtl/>
        </w:rPr>
      </w:pPr>
      <w:r w:rsidRPr="00A52585">
        <w:rPr>
          <w:rFonts w:hint="cs"/>
          <w:rtl/>
        </w:rPr>
        <w:t xml:space="preserve">وأحسن من علم تراما بأهله </w:t>
      </w:r>
      <w:proofErr w:type="gramStart"/>
      <w:r w:rsidRPr="00A52585">
        <w:rPr>
          <w:rFonts w:hint="cs"/>
          <w:rtl/>
        </w:rPr>
        <w:t>إلي</w:t>
      </w:r>
      <w:proofErr w:type="gramEnd"/>
      <w:r w:rsidRPr="00A52585">
        <w:rPr>
          <w:rFonts w:hint="cs"/>
          <w:rtl/>
        </w:rPr>
        <w:t xml:space="preserve"> بمخلوق يماثله الجهل</w:t>
      </w:r>
    </w:p>
    <w:p w14:paraId="51087C9E" w14:textId="77777777" w:rsidR="00777DCB" w:rsidRPr="00A52585" w:rsidRDefault="00777DCB" w:rsidP="0002035C">
      <w:pPr>
        <w:jc w:val="center"/>
        <w:rPr>
          <w:b/>
          <w:rtl/>
        </w:rPr>
      </w:pPr>
      <w:r w:rsidRPr="00A52585">
        <w:rPr>
          <w:rFonts w:hint="cs"/>
          <w:rtl/>
        </w:rPr>
        <w:t>وأسكن قلبي حب كل محقق يعشق كما قد تعشق الاعين البخل</w:t>
      </w:r>
    </w:p>
    <w:p w14:paraId="4DA1AC43" w14:textId="77777777" w:rsidR="00777DCB" w:rsidRPr="00A52585" w:rsidRDefault="00777DCB" w:rsidP="0002035C">
      <w:pPr>
        <w:jc w:val="center"/>
        <w:rPr>
          <w:b/>
          <w:rtl/>
        </w:rPr>
      </w:pPr>
      <w:r w:rsidRPr="00A52585">
        <w:rPr>
          <w:rFonts w:hint="cs"/>
          <w:rtl/>
        </w:rPr>
        <w:t>وبغداد داري ليس يغبن أهلها وما جهم إلا لمن ما له شكل</w:t>
      </w:r>
    </w:p>
    <w:p w14:paraId="4E5A71A3" w14:textId="77777777" w:rsidR="00777DCB" w:rsidRPr="00A52585" w:rsidRDefault="00777DCB" w:rsidP="0002035C">
      <w:pPr>
        <w:jc w:val="center"/>
        <w:rPr>
          <w:b/>
          <w:rtl/>
        </w:rPr>
      </w:pPr>
      <w:r w:rsidRPr="00A52585">
        <w:rPr>
          <w:rFonts w:hint="cs"/>
          <w:rtl/>
        </w:rPr>
        <w:t>وكل النواحي أشحنتها فضائلي أقر بفضلي الريف والحزن والسهل</w:t>
      </w:r>
    </w:p>
    <w:p w14:paraId="7EC6583F" w14:textId="77777777" w:rsidR="00777DCB" w:rsidRPr="00A52585" w:rsidRDefault="00777DCB" w:rsidP="0002035C">
      <w:pPr>
        <w:jc w:val="center"/>
        <w:rPr>
          <w:b/>
          <w:rtl/>
        </w:rPr>
      </w:pPr>
      <w:r w:rsidRPr="00A52585">
        <w:rPr>
          <w:rFonts w:hint="cs"/>
          <w:rtl/>
        </w:rPr>
        <w:t xml:space="preserve">وذكري وراء النهر بالفضل وافد وفي المغرب الاقصى وما بلغت </w:t>
      </w:r>
      <w:proofErr w:type="gramStart"/>
      <w:r w:rsidRPr="00A52585">
        <w:rPr>
          <w:rFonts w:hint="cs"/>
          <w:rtl/>
        </w:rPr>
        <w:t>ابل</w:t>
      </w:r>
      <w:proofErr w:type="gramEnd"/>
    </w:p>
    <w:p w14:paraId="1A346785" w14:textId="77777777" w:rsidR="00777DCB" w:rsidRPr="00A52585" w:rsidRDefault="00777DCB" w:rsidP="0002035C">
      <w:pPr>
        <w:jc w:val="center"/>
        <w:rPr>
          <w:b/>
          <w:rtl/>
        </w:rPr>
      </w:pPr>
      <w:r w:rsidRPr="00A52585">
        <w:rPr>
          <w:rFonts w:hint="cs"/>
          <w:rtl/>
        </w:rPr>
        <w:t>ولما تأملت المذاهب كلها طلبت الاسد في الصواب وما أغلو</w:t>
      </w:r>
    </w:p>
    <w:p w14:paraId="67740BE4" w14:textId="77777777" w:rsidR="00777DCB" w:rsidRPr="00A52585" w:rsidRDefault="00777DCB" w:rsidP="0002035C">
      <w:pPr>
        <w:jc w:val="center"/>
        <w:rPr>
          <w:b/>
          <w:rtl/>
        </w:rPr>
      </w:pPr>
      <w:r w:rsidRPr="00A52585">
        <w:rPr>
          <w:rFonts w:hint="cs"/>
          <w:rtl/>
        </w:rPr>
        <w:t>فألفيت عند السير قول ابن حنبل يزيد على المذاهب بل يعلو و</w:t>
      </w:r>
    </w:p>
    <w:p w14:paraId="69F91AF8" w14:textId="77777777" w:rsidR="00777DCB" w:rsidRPr="00A52585" w:rsidRDefault="00777DCB" w:rsidP="0002035C">
      <w:pPr>
        <w:jc w:val="center"/>
        <w:rPr>
          <w:b/>
          <w:rtl/>
        </w:rPr>
      </w:pPr>
      <w:r w:rsidRPr="00A52585">
        <w:rPr>
          <w:rFonts w:hint="cs"/>
          <w:rtl/>
        </w:rPr>
        <w:lastRenderedPageBreak/>
        <w:t>كل الذي قد قاله فمشتد بنقل صحيح والحديث هو الاصل</w:t>
      </w:r>
    </w:p>
    <w:p w14:paraId="148C8093" w14:textId="77777777" w:rsidR="00777DCB" w:rsidRPr="00A52585" w:rsidRDefault="00777DCB" w:rsidP="0002035C">
      <w:pPr>
        <w:jc w:val="center"/>
        <w:rPr>
          <w:b/>
          <w:rtl/>
        </w:rPr>
      </w:pPr>
      <w:r w:rsidRPr="00A52585">
        <w:rPr>
          <w:rFonts w:hint="cs"/>
          <w:rtl/>
        </w:rPr>
        <w:t>وكان بنقل العلم أعرف من روى بقوم من السادات ما شأنهم عظم</w:t>
      </w:r>
    </w:p>
    <w:p w14:paraId="6D2D5121" w14:textId="77777777" w:rsidR="00777DCB" w:rsidRPr="00A52585" w:rsidRDefault="00777DCB" w:rsidP="0002035C">
      <w:pPr>
        <w:jc w:val="center"/>
        <w:rPr>
          <w:b/>
          <w:rtl/>
        </w:rPr>
      </w:pPr>
      <w:r w:rsidRPr="00A52585">
        <w:rPr>
          <w:rFonts w:hint="cs"/>
          <w:rtl/>
        </w:rPr>
        <w:t>ومذهبه ألا يشبه ربه ويتبع في التسليم من قد مضى قبل</w:t>
      </w:r>
    </w:p>
    <w:p w14:paraId="7E8E54FF" w14:textId="77777777" w:rsidR="00777DCB" w:rsidRPr="00A52585" w:rsidRDefault="00777DCB" w:rsidP="0002035C">
      <w:pPr>
        <w:jc w:val="center"/>
        <w:rPr>
          <w:b/>
          <w:rtl/>
        </w:rPr>
      </w:pPr>
      <w:r w:rsidRPr="00A52585">
        <w:rPr>
          <w:rFonts w:hint="cs"/>
          <w:rtl/>
        </w:rPr>
        <w:t>فقام له الحساد من كل جانب فقام على رجل الثبات وهم زلوا</w:t>
      </w:r>
    </w:p>
    <w:p w14:paraId="355FBE23" w14:textId="77777777" w:rsidR="00777DCB" w:rsidRPr="00A52585" w:rsidRDefault="00777DCB" w:rsidP="0002035C">
      <w:pPr>
        <w:jc w:val="center"/>
        <w:rPr>
          <w:b/>
          <w:rtl/>
        </w:rPr>
      </w:pPr>
      <w:r w:rsidRPr="00A52585">
        <w:rPr>
          <w:rFonts w:hint="cs"/>
          <w:rtl/>
        </w:rPr>
        <w:t>وكان له أتباع صدق تتابعوا فكم أرشدوا نحو الهدى وكم دلو</w:t>
      </w:r>
    </w:p>
    <w:p w14:paraId="350E162A" w14:textId="77777777" w:rsidR="00777DCB" w:rsidRPr="00A52585" w:rsidRDefault="00777DCB" w:rsidP="0002035C">
      <w:pPr>
        <w:jc w:val="center"/>
        <w:rPr>
          <w:b/>
          <w:rtl/>
        </w:rPr>
      </w:pPr>
      <w:r w:rsidRPr="00A52585">
        <w:rPr>
          <w:rFonts w:hint="cs"/>
          <w:rtl/>
        </w:rPr>
        <w:t xml:space="preserve">وجاءك قوم يدعون </w:t>
      </w:r>
      <w:proofErr w:type="spellStart"/>
      <w:r w:rsidRPr="00A52585">
        <w:rPr>
          <w:rFonts w:hint="cs"/>
          <w:rtl/>
        </w:rPr>
        <w:t>تمذهبا</w:t>
      </w:r>
      <w:proofErr w:type="spellEnd"/>
      <w:r w:rsidRPr="00A52585">
        <w:rPr>
          <w:rFonts w:hint="cs"/>
          <w:rtl/>
        </w:rPr>
        <w:t xml:space="preserve"> بمذهبه ما كل زرع له أكل</w:t>
      </w:r>
    </w:p>
    <w:p w14:paraId="78750DBD" w14:textId="77777777" w:rsidR="00777DCB" w:rsidRPr="00A52585" w:rsidRDefault="00777DCB" w:rsidP="0002035C">
      <w:pPr>
        <w:jc w:val="center"/>
        <w:rPr>
          <w:b/>
          <w:rtl/>
        </w:rPr>
      </w:pPr>
      <w:r w:rsidRPr="00A52585">
        <w:rPr>
          <w:rFonts w:hint="cs"/>
          <w:rtl/>
        </w:rPr>
        <w:t>فلا في فروع يثبتون لنصرة وعندهم من فهم ما قاله شغل</w:t>
      </w:r>
    </w:p>
    <w:p w14:paraId="3D9D0C9D" w14:textId="77777777" w:rsidR="00777DCB" w:rsidRPr="00A52585" w:rsidRDefault="00777DCB" w:rsidP="0002035C">
      <w:pPr>
        <w:jc w:val="center"/>
        <w:rPr>
          <w:b/>
          <w:rtl/>
        </w:rPr>
      </w:pPr>
      <w:r w:rsidRPr="00A52585">
        <w:rPr>
          <w:rFonts w:hint="cs"/>
          <w:rtl/>
        </w:rPr>
        <w:t xml:space="preserve">إذا ناظروا قاموا مقام مقاتل </w:t>
      </w:r>
      <w:proofErr w:type="spellStart"/>
      <w:r w:rsidRPr="00A52585">
        <w:rPr>
          <w:rFonts w:hint="cs"/>
          <w:rtl/>
        </w:rPr>
        <w:t>فواعجبا</w:t>
      </w:r>
      <w:proofErr w:type="spellEnd"/>
      <w:r w:rsidRPr="00A52585">
        <w:rPr>
          <w:rFonts w:hint="cs"/>
          <w:rtl/>
        </w:rPr>
        <w:t xml:space="preserve"> والقوم كلهم عزل</w:t>
      </w:r>
    </w:p>
    <w:p w14:paraId="4CF9ADBD" w14:textId="77777777" w:rsidR="00777DCB" w:rsidRPr="00A52585" w:rsidRDefault="00777DCB" w:rsidP="0002035C">
      <w:pPr>
        <w:jc w:val="center"/>
        <w:rPr>
          <w:b/>
          <w:rtl/>
        </w:rPr>
      </w:pPr>
      <w:r w:rsidRPr="00A52585">
        <w:rPr>
          <w:rFonts w:hint="cs"/>
          <w:rtl/>
        </w:rPr>
        <w:t>قياسهم طردا إذا ما تصدروا وهم من علوم النقل أجمعها عطل</w:t>
      </w:r>
    </w:p>
    <w:p w14:paraId="218B092C" w14:textId="77777777" w:rsidR="00777DCB" w:rsidRPr="00A52585" w:rsidRDefault="00777DCB" w:rsidP="0002035C">
      <w:pPr>
        <w:jc w:val="center"/>
        <w:rPr>
          <w:b/>
          <w:rtl/>
        </w:rPr>
      </w:pPr>
      <w:r w:rsidRPr="00A52585">
        <w:rPr>
          <w:rFonts w:hint="cs"/>
          <w:rtl/>
        </w:rPr>
        <w:t>إذا لم يكن في النقل صاحب فطنة تشابهت الحياة وانقطع الحبل</w:t>
      </w:r>
    </w:p>
    <w:p w14:paraId="6DEBAAD5" w14:textId="77777777" w:rsidR="00777DCB" w:rsidRPr="00A52585" w:rsidRDefault="00777DCB" w:rsidP="0002035C">
      <w:pPr>
        <w:jc w:val="center"/>
        <w:rPr>
          <w:b/>
          <w:rtl/>
        </w:rPr>
      </w:pPr>
      <w:r w:rsidRPr="00A52585">
        <w:rPr>
          <w:rFonts w:hint="cs"/>
          <w:rtl/>
        </w:rPr>
        <w:t>ومالوا إلى التشبيه أخذا بصورة لما نقلوه في الصفات وهم غفل</w:t>
      </w:r>
    </w:p>
    <w:p w14:paraId="0505A305" w14:textId="77777777" w:rsidR="00777DCB" w:rsidRPr="00A52585" w:rsidRDefault="00777DCB" w:rsidP="0002035C">
      <w:pPr>
        <w:jc w:val="center"/>
        <w:rPr>
          <w:b/>
          <w:rtl/>
        </w:rPr>
      </w:pPr>
      <w:r w:rsidRPr="00A52585">
        <w:rPr>
          <w:rFonts w:hint="cs"/>
          <w:rtl/>
        </w:rPr>
        <w:t>وقالوا الذي قلناه مذهب أحمد فمال إلى تصديقهم من به جهل</w:t>
      </w:r>
    </w:p>
    <w:p w14:paraId="444BB130" w14:textId="77777777" w:rsidR="00777DCB" w:rsidRPr="00A52585" w:rsidRDefault="00777DCB" w:rsidP="0002035C">
      <w:pPr>
        <w:jc w:val="center"/>
        <w:rPr>
          <w:b/>
          <w:rtl/>
        </w:rPr>
      </w:pPr>
      <w:r w:rsidRPr="00A52585">
        <w:rPr>
          <w:rFonts w:hint="cs"/>
          <w:rtl/>
        </w:rPr>
        <w:t>وصار الاعادي قائلين لكلنا مشبهة قد ضرنا الصحب والخل</w:t>
      </w:r>
    </w:p>
    <w:p w14:paraId="26D94506" w14:textId="77777777" w:rsidR="00777DCB" w:rsidRPr="00A52585" w:rsidRDefault="00777DCB" w:rsidP="0002035C">
      <w:pPr>
        <w:jc w:val="center"/>
        <w:rPr>
          <w:b/>
          <w:rtl/>
        </w:rPr>
      </w:pPr>
      <w:r w:rsidRPr="00A52585">
        <w:rPr>
          <w:rFonts w:hint="cs"/>
          <w:rtl/>
        </w:rPr>
        <w:t xml:space="preserve">فقد فضحوا ذاك الامام بجهلهم ومذهبه التنزيه لكن هم </w:t>
      </w:r>
      <w:proofErr w:type="spellStart"/>
      <w:r w:rsidRPr="00A52585">
        <w:rPr>
          <w:rFonts w:hint="cs"/>
          <w:rtl/>
        </w:rPr>
        <w:t>اختلو</w:t>
      </w:r>
      <w:proofErr w:type="spellEnd"/>
    </w:p>
    <w:p w14:paraId="7839AEB3" w14:textId="77777777" w:rsidR="00777DCB" w:rsidRPr="00A52585" w:rsidRDefault="00777DCB" w:rsidP="0002035C">
      <w:pPr>
        <w:jc w:val="center"/>
        <w:rPr>
          <w:b/>
          <w:rtl/>
        </w:rPr>
      </w:pPr>
      <w:r w:rsidRPr="00A52585">
        <w:rPr>
          <w:rFonts w:hint="cs"/>
          <w:rtl/>
        </w:rPr>
        <w:t>لعمري لقد أدركت منهم مشايخا وأكثر من أدركتهم ما له عقل</w:t>
      </w:r>
    </w:p>
    <w:p w14:paraId="57EFF9B8" w14:textId="77777777" w:rsidR="00777DCB" w:rsidRPr="00A52585" w:rsidRDefault="00777DCB" w:rsidP="0002035C">
      <w:pPr>
        <w:jc w:val="center"/>
        <w:rPr>
          <w:b/>
          <w:rtl/>
        </w:rPr>
      </w:pPr>
      <w:r w:rsidRPr="00A52585">
        <w:rPr>
          <w:rFonts w:hint="cs"/>
          <w:rtl/>
        </w:rPr>
        <w:t>وما زلت أجلوا عندهم كل خصلة من الاعتقاد الرذل كي يجمع الشمل</w:t>
      </w:r>
    </w:p>
    <w:p w14:paraId="2C4BE8E1" w14:textId="77777777" w:rsidR="00777DCB" w:rsidRPr="00A52585" w:rsidRDefault="00777DCB" w:rsidP="0002035C">
      <w:pPr>
        <w:jc w:val="center"/>
        <w:rPr>
          <w:b/>
          <w:rtl/>
        </w:rPr>
      </w:pPr>
      <w:r w:rsidRPr="00A52585">
        <w:rPr>
          <w:rFonts w:hint="cs"/>
          <w:rtl/>
        </w:rPr>
        <w:t>تسموا بألقاب ولا علم عندهم موائدهم لا حرم فيها ولا حل</w:t>
      </w:r>
    </w:p>
    <w:p w14:paraId="7731BBD4" w14:textId="77777777" w:rsidR="00777DCB" w:rsidRPr="00A52585" w:rsidRDefault="00777DCB" w:rsidP="0002035C">
      <w:pPr>
        <w:jc w:val="center"/>
        <w:rPr>
          <w:b/>
          <w:rtl/>
        </w:rPr>
      </w:pPr>
      <w:r w:rsidRPr="00A52585">
        <w:rPr>
          <w:rFonts w:hint="cs"/>
          <w:rtl/>
        </w:rPr>
        <w:t>موائدهم لا يلحق الخل بقلها وإن شئت لا خل لديهم ولا بقل</w:t>
      </w:r>
    </w:p>
    <w:p w14:paraId="49FFA7C8" w14:textId="77777777" w:rsidR="00777DCB" w:rsidRPr="00A52585" w:rsidRDefault="00777DCB" w:rsidP="0002035C">
      <w:pPr>
        <w:jc w:val="center"/>
        <w:rPr>
          <w:b/>
          <w:rtl/>
        </w:rPr>
      </w:pPr>
      <w:r w:rsidRPr="00A52585">
        <w:rPr>
          <w:rFonts w:hint="cs"/>
          <w:rtl/>
        </w:rPr>
        <w:t>وأكثر حساد لنا أهل مذهبي فلو قدروا أفتوا بأن دمي حل</w:t>
      </w:r>
    </w:p>
    <w:p w14:paraId="6FD46F8E" w14:textId="77777777" w:rsidR="00777DCB" w:rsidRPr="00A52585" w:rsidRDefault="00777DCB" w:rsidP="0002035C">
      <w:pPr>
        <w:jc w:val="center"/>
        <w:rPr>
          <w:b/>
          <w:rtl/>
        </w:rPr>
      </w:pPr>
      <w:r w:rsidRPr="00A52585">
        <w:rPr>
          <w:rFonts w:hint="cs"/>
          <w:rtl/>
        </w:rPr>
        <w:lastRenderedPageBreak/>
        <w:t>تمنوا بجهل أن تزل بي الهوى ولم تمش في مجد بمثلي لهم رجل</w:t>
      </w:r>
    </w:p>
    <w:p w14:paraId="43C89ADD" w14:textId="77777777" w:rsidR="00777DCB" w:rsidRPr="00A52585" w:rsidRDefault="00777DCB" w:rsidP="0002035C">
      <w:pPr>
        <w:jc w:val="center"/>
        <w:rPr>
          <w:b/>
          <w:rtl/>
        </w:rPr>
      </w:pPr>
      <w:r w:rsidRPr="00A52585">
        <w:rPr>
          <w:rFonts w:hint="cs"/>
          <w:rtl/>
        </w:rPr>
        <w:t>ومنذ مضى شيخ الجماعة أحمد إلى الآن لم يوجد لعالمكم مثل</w:t>
      </w:r>
    </w:p>
    <w:p w14:paraId="01E9E8EE" w14:textId="77777777" w:rsidR="00777DCB" w:rsidRPr="00A52585" w:rsidRDefault="00777DCB" w:rsidP="0002035C">
      <w:pPr>
        <w:jc w:val="center"/>
        <w:rPr>
          <w:b/>
          <w:rtl/>
        </w:rPr>
      </w:pPr>
      <w:r w:rsidRPr="00A52585">
        <w:rPr>
          <w:rFonts w:hint="cs"/>
          <w:rtl/>
        </w:rPr>
        <w:t>لقد بات عندي ألف ألف تقدموا سحابة وغطى كلهم صيب وبل</w:t>
      </w:r>
    </w:p>
    <w:p w14:paraId="0599A15F" w14:textId="77777777" w:rsidR="00777DCB" w:rsidRPr="00A52585" w:rsidRDefault="00777DCB" w:rsidP="0002035C">
      <w:pPr>
        <w:jc w:val="center"/>
        <w:rPr>
          <w:b/>
          <w:rtl/>
        </w:rPr>
      </w:pPr>
      <w:r w:rsidRPr="00A52585">
        <w:rPr>
          <w:rFonts w:hint="cs"/>
          <w:rtl/>
        </w:rPr>
        <w:t>وروضة علمي كلها ممرع الحبا وبستانهم إذا ما تأملته أثل</w:t>
      </w:r>
    </w:p>
    <w:p w14:paraId="71D061BF" w14:textId="77777777" w:rsidR="00777DCB" w:rsidRPr="00A52585" w:rsidRDefault="00777DCB" w:rsidP="0002035C">
      <w:pPr>
        <w:jc w:val="center"/>
        <w:rPr>
          <w:b/>
          <w:rtl/>
        </w:rPr>
      </w:pPr>
      <w:r w:rsidRPr="00A52585">
        <w:rPr>
          <w:rFonts w:hint="cs"/>
          <w:rtl/>
        </w:rPr>
        <w:t>وما زالت الحساد تحسد كاملا ينقصهم والغل لو فهموا غل</w:t>
      </w:r>
    </w:p>
    <w:p w14:paraId="6242E1F9" w14:textId="77777777" w:rsidR="00777DCB" w:rsidRPr="00A52585" w:rsidRDefault="00777DCB" w:rsidP="0002035C">
      <w:pPr>
        <w:jc w:val="center"/>
        <w:rPr>
          <w:b/>
          <w:rtl/>
        </w:rPr>
      </w:pPr>
      <w:r w:rsidRPr="00A52585">
        <w:rPr>
          <w:rFonts w:hint="cs"/>
          <w:rtl/>
        </w:rPr>
        <w:t>وكيف ترى بر الحسود وداؤه إذا سئل الطب الخبير به سل</w:t>
      </w:r>
    </w:p>
    <w:p w14:paraId="3AE3F948" w14:textId="77777777" w:rsidR="00777DCB" w:rsidRPr="00A52585" w:rsidRDefault="00777DCB" w:rsidP="0002035C">
      <w:pPr>
        <w:jc w:val="center"/>
        <w:rPr>
          <w:b/>
          <w:rtl/>
        </w:rPr>
      </w:pPr>
      <w:r w:rsidRPr="00A52585">
        <w:rPr>
          <w:rFonts w:hint="cs"/>
          <w:rtl/>
        </w:rPr>
        <w:t>تفرد بالبغض القبيح مخالف أليس اجتماع الناس لي شاهد عدل</w:t>
      </w:r>
    </w:p>
    <w:p w14:paraId="56DF013E" w14:textId="4A776168" w:rsidR="00777DCB" w:rsidRPr="00A52585" w:rsidRDefault="00777DCB" w:rsidP="0002035C">
      <w:pPr>
        <w:rPr>
          <w:b/>
          <w:rtl/>
        </w:rPr>
      </w:pPr>
      <w:r w:rsidRPr="00A52585">
        <w:rPr>
          <w:rFonts w:hint="cs"/>
          <w:rtl/>
        </w:rPr>
        <w:t>تم الكتاب بعون الملك الوهاب</w:t>
      </w:r>
      <w:r w:rsidR="00DB731D" w:rsidRPr="00A52585">
        <w:rPr>
          <w:rFonts w:hint="cs"/>
          <w:rtl/>
        </w:rPr>
        <w:t>،</w:t>
      </w:r>
      <w:r w:rsidRPr="00A52585">
        <w:rPr>
          <w:rFonts w:hint="cs"/>
          <w:rtl/>
        </w:rPr>
        <w:t xml:space="preserve"> والحمد لله رب العالمين</w:t>
      </w:r>
      <w:r w:rsidR="00DB731D" w:rsidRPr="00A52585">
        <w:rPr>
          <w:rFonts w:hint="cs"/>
          <w:rtl/>
        </w:rPr>
        <w:t>،</w:t>
      </w:r>
      <w:r w:rsidRPr="00A52585">
        <w:rPr>
          <w:rFonts w:hint="cs"/>
          <w:rtl/>
        </w:rPr>
        <w:t xml:space="preserve"> ولا عدوان إلا على الظالمين</w:t>
      </w:r>
      <w:r w:rsidR="00897A24" w:rsidRPr="00A52585">
        <w:rPr>
          <w:rFonts w:hint="cs"/>
          <w:rtl/>
        </w:rPr>
        <w:t>.</w:t>
      </w:r>
      <w:r w:rsidRPr="00A52585">
        <w:rPr>
          <w:rFonts w:hint="cs"/>
          <w:rtl/>
        </w:rPr>
        <w:t xml:space="preserve"> وصلى الله على سيدنا محمد وعلى </w:t>
      </w:r>
      <w:proofErr w:type="spellStart"/>
      <w:r w:rsidRPr="00A52585">
        <w:rPr>
          <w:rFonts w:hint="cs"/>
          <w:rtl/>
        </w:rPr>
        <w:t>آله</w:t>
      </w:r>
      <w:proofErr w:type="spellEnd"/>
      <w:r w:rsidRPr="00A52585">
        <w:rPr>
          <w:rFonts w:hint="cs"/>
          <w:rtl/>
        </w:rPr>
        <w:t xml:space="preserve"> وسلم تسليما كثيرا</w:t>
      </w:r>
      <w:r w:rsidR="00DB731D" w:rsidRPr="00A52585">
        <w:rPr>
          <w:rFonts w:hint="cs"/>
          <w:rtl/>
        </w:rPr>
        <w:t>،</w:t>
      </w:r>
      <w:r w:rsidRPr="00A52585">
        <w:rPr>
          <w:rFonts w:hint="cs"/>
          <w:rtl/>
        </w:rPr>
        <w:t xml:space="preserve"> </w:t>
      </w:r>
    </w:p>
    <w:p w14:paraId="443F894E" w14:textId="77777777" w:rsidR="00777DCB" w:rsidRPr="00A52585" w:rsidRDefault="00777DCB" w:rsidP="0002035C">
      <w:pPr>
        <w:jc w:val="center"/>
        <w:rPr>
          <w:b/>
          <w:rtl/>
        </w:rPr>
      </w:pPr>
      <w:r w:rsidRPr="00A52585">
        <w:rPr>
          <w:rFonts w:hint="cs"/>
          <w:rtl/>
        </w:rPr>
        <w:t>********</w:t>
      </w:r>
    </w:p>
    <w:p w14:paraId="548350BF" w14:textId="77777777" w:rsidR="00777DCB" w:rsidRPr="00A52585" w:rsidRDefault="00777DCB" w:rsidP="0002035C">
      <w:pPr>
        <w:spacing w:after="240"/>
        <w:rPr>
          <w:b/>
          <w:rtl/>
        </w:rPr>
      </w:pPr>
    </w:p>
    <w:p w14:paraId="33B4B830" w14:textId="312A930C" w:rsidR="00777DCB" w:rsidRPr="00CB4AC8" w:rsidRDefault="0002035C" w:rsidP="00CB4AC8">
      <w:pPr>
        <w:pStyle w:val="2"/>
        <w:bidi/>
        <w:jc w:val="center"/>
        <w:rPr>
          <w:u w:val="none"/>
          <w:rtl/>
          <w:lang w:bidi="ar-KW"/>
        </w:rPr>
      </w:pPr>
      <w:r w:rsidRPr="00CB4AC8">
        <w:rPr>
          <w:rFonts w:hint="cs"/>
          <w:u w:val="none"/>
          <w:rtl/>
          <w:lang w:bidi="ar-KW"/>
        </w:rPr>
        <w:t>(</w:t>
      </w:r>
      <w:r w:rsidR="00777DCB" w:rsidRPr="00CB4AC8">
        <w:rPr>
          <w:rFonts w:hint="cs"/>
          <w:u w:val="none"/>
          <w:rtl/>
          <w:lang w:bidi="ar-KW"/>
        </w:rPr>
        <w:t>2</w:t>
      </w:r>
      <w:r w:rsidRPr="00CB4AC8">
        <w:rPr>
          <w:rFonts w:hint="cs"/>
          <w:u w:val="none"/>
          <w:rtl/>
          <w:lang w:bidi="ar-KW"/>
        </w:rPr>
        <w:t>)</w:t>
      </w:r>
      <w:r w:rsidR="00CB4AC8" w:rsidRPr="00CB4AC8">
        <w:rPr>
          <w:rFonts w:hint="cs"/>
          <w:u w:val="none"/>
          <w:rtl/>
          <w:lang w:bidi="ar-KW"/>
        </w:rPr>
        <w:t xml:space="preserve"> </w:t>
      </w:r>
      <w:r w:rsidR="00777DCB" w:rsidRPr="00CB4AC8">
        <w:rPr>
          <w:rFonts w:hint="cs"/>
          <w:u w:val="none"/>
          <w:rtl/>
          <w:lang w:bidi="ar-KW"/>
        </w:rPr>
        <w:t>كتاب السيف الصقيل في الرد على ابن القيم مع التحقيق القيم للشيخ محمد زاهد الكوثري</w:t>
      </w:r>
    </w:p>
    <w:p w14:paraId="340F16E2" w14:textId="77777777" w:rsidR="00777DCB" w:rsidRPr="00A52585" w:rsidRDefault="00777DCB" w:rsidP="0002035C">
      <w:pPr>
        <w:spacing w:after="240"/>
        <w:jc w:val="center"/>
        <w:rPr>
          <w:rtl/>
        </w:rPr>
      </w:pPr>
    </w:p>
    <w:p w14:paraId="41EDBE7C" w14:textId="31CBEF8C" w:rsidR="00777DCB" w:rsidRPr="00A52585" w:rsidRDefault="0002035C" w:rsidP="0002035C">
      <w:pPr>
        <w:ind w:right="-58"/>
        <w:jc w:val="center"/>
        <w:rPr>
          <w:rFonts w:cs="Monotype Koufi"/>
          <w:b/>
          <w:rtl/>
          <w:lang w:bidi="ar-KW"/>
        </w:rPr>
      </w:pPr>
      <w:r w:rsidRPr="00A52585">
        <w:rPr>
          <w:rFonts w:cs="Monotype Koufi" w:hint="cs"/>
          <w:rtl/>
          <w:lang w:bidi="ar-KW"/>
        </w:rPr>
        <w:t>[</w:t>
      </w:r>
      <w:r w:rsidR="00777DCB" w:rsidRPr="00A52585">
        <w:rPr>
          <w:rFonts w:cs="Monotype Koufi" w:hint="cs"/>
          <w:rtl/>
          <w:lang w:bidi="ar-KW"/>
        </w:rPr>
        <w:t>مقدمة الإمام الكوثري</w:t>
      </w:r>
      <w:r w:rsidRPr="00A52585">
        <w:rPr>
          <w:rFonts w:cs="Monotype Koufi" w:hint="cs"/>
          <w:rtl/>
          <w:lang w:bidi="ar-KW"/>
        </w:rPr>
        <w:t>]</w:t>
      </w:r>
    </w:p>
    <w:p w14:paraId="58B1617A" w14:textId="4BFA00FC" w:rsidR="00777DCB" w:rsidRPr="00A52585" w:rsidRDefault="00777DCB" w:rsidP="0002035C">
      <w:pPr>
        <w:spacing w:after="240"/>
        <w:rPr>
          <w:b/>
          <w:rtl/>
        </w:rPr>
      </w:pPr>
      <w:r w:rsidRPr="00A52585">
        <w:rPr>
          <w:rFonts w:hint="cs"/>
          <w:bCs/>
          <w:rtl/>
        </w:rPr>
        <w:t>قال الإمام الكوثري رحمه الله</w:t>
      </w:r>
      <w:r w:rsidR="0002035C" w:rsidRPr="00A52585">
        <w:rPr>
          <w:rFonts w:hint="cs"/>
          <w:bCs/>
          <w:rtl/>
        </w:rPr>
        <w:t>:</w:t>
      </w:r>
      <w:r w:rsidRPr="00A52585">
        <w:rPr>
          <w:rFonts w:hint="cs"/>
          <w:rtl/>
        </w:rPr>
        <w:t xml:space="preserve"> الحمد لله القدوس المتعال</w:t>
      </w:r>
      <w:r w:rsidR="00DB731D" w:rsidRPr="00A52585">
        <w:rPr>
          <w:rFonts w:hint="cs"/>
          <w:rtl/>
        </w:rPr>
        <w:t>،</w:t>
      </w:r>
      <w:r w:rsidRPr="00A52585">
        <w:rPr>
          <w:rFonts w:hint="cs"/>
          <w:rtl/>
        </w:rPr>
        <w:t xml:space="preserve"> المنـزه عن النظير والمثال</w:t>
      </w:r>
      <w:r w:rsidR="00DB731D" w:rsidRPr="00A52585">
        <w:rPr>
          <w:rFonts w:hint="cs"/>
          <w:rtl/>
        </w:rPr>
        <w:t>،</w:t>
      </w:r>
      <w:r w:rsidRPr="00A52585">
        <w:rPr>
          <w:rFonts w:hint="cs"/>
          <w:rtl/>
        </w:rPr>
        <w:t xml:space="preserve"> جلَّت ذاته وعَلَت صفاته عن أن يحوم حول اكتناهها وهْمٌ أو خيال</w:t>
      </w:r>
      <w:r w:rsidR="00DB731D" w:rsidRPr="00A52585">
        <w:rPr>
          <w:rFonts w:hint="cs"/>
          <w:rtl/>
        </w:rPr>
        <w:t>،</w:t>
      </w:r>
      <w:r w:rsidRPr="00A52585">
        <w:rPr>
          <w:rFonts w:hint="cs"/>
          <w:rtl/>
        </w:rPr>
        <w:t xml:space="preserve"> والعقولُ عن إدراك تلك المطالب في عقال</w:t>
      </w:r>
      <w:r w:rsidR="00DB731D" w:rsidRPr="00A52585">
        <w:rPr>
          <w:rFonts w:hint="cs"/>
          <w:rtl/>
        </w:rPr>
        <w:t>،</w:t>
      </w:r>
      <w:r w:rsidRPr="00A52585">
        <w:rPr>
          <w:rFonts w:hint="cs"/>
          <w:rtl/>
        </w:rPr>
        <w:t xml:space="preserve"> والصلاة والسلام على سيدنا محمد المبعوث للتتميم مكارم الخلال</w:t>
      </w:r>
      <w:r w:rsidR="00DB731D" w:rsidRPr="00A52585">
        <w:rPr>
          <w:rFonts w:hint="cs"/>
          <w:rtl/>
        </w:rPr>
        <w:t>،</w:t>
      </w:r>
      <w:r w:rsidRPr="00A52585">
        <w:rPr>
          <w:rFonts w:hint="cs"/>
          <w:rtl/>
        </w:rPr>
        <w:t xml:space="preserve"> منقذاً لهذه الأمة من مخالب الوثنية وصنوف </w:t>
      </w:r>
      <w:r w:rsidRPr="00A52585">
        <w:rPr>
          <w:rFonts w:hint="cs"/>
          <w:rtl/>
        </w:rPr>
        <w:lastRenderedPageBreak/>
        <w:t>الضلال</w:t>
      </w:r>
      <w:r w:rsidR="00DB731D" w:rsidRPr="00A52585">
        <w:rPr>
          <w:rFonts w:hint="cs"/>
          <w:rtl/>
        </w:rPr>
        <w:t>،</w:t>
      </w:r>
      <w:r w:rsidRPr="00A52585">
        <w:rPr>
          <w:rFonts w:hint="cs"/>
          <w:rtl/>
        </w:rPr>
        <w:t xml:space="preserve"> وهادياً إلى مراضي مولاه ذي الجلال والجمال</w:t>
      </w:r>
      <w:r w:rsidR="00DB731D" w:rsidRPr="00A52585">
        <w:rPr>
          <w:rFonts w:hint="cs"/>
          <w:rtl/>
        </w:rPr>
        <w:t>،</w:t>
      </w:r>
      <w:r w:rsidRPr="00A52585">
        <w:rPr>
          <w:rFonts w:hint="cs"/>
          <w:rtl/>
        </w:rPr>
        <w:t xml:space="preserve"> وعلى </w:t>
      </w:r>
      <w:proofErr w:type="spellStart"/>
      <w:r w:rsidRPr="00A52585">
        <w:rPr>
          <w:rFonts w:hint="cs"/>
          <w:rtl/>
        </w:rPr>
        <w:t>آله</w:t>
      </w:r>
      <w:proofErr w:type="spellEnd"/>
      <w:r w:rsidRPr="00A52585">
        <w:rPr>
          <w:rFonts w:hint="cs"/>
          <w:rtl/>
        </w:rPr>
        <w:t xml:space="preserve"> خير </w:t>
      </w:r>
      <w:proofErr w:type="spellStart"/>
      <w:r w:rsidRPr="00A52585">
        <w:rPr>
          <w:rFonts w:hint="cs"/>
          <w:rtl/>
        </w:rPr>
        <w:t>الآل</w:t>
      </w:r>
      <w:proofErr w:type="spellEnd"/>
      <w:r w:rsidR="00DB731D" w:rsidRPr="00A52585">
        <w:rPr>
          <w:rFonts w:hint="cs"/>
          <w:rtl/>
        </w:rPr>
        <w:t>،</w:t>
      </w:r>
      <w:r w:rsidRPr="00A52585">
        <w:rPr>
          <w:rFonts w:hint="cs"/>
          <w:rtl/>
        </w:rPr>
        <w:t xml:space="preserve"> وأصحابه أصحابِ كرائم الخصال</w:t>
      </w:r>
      <w:r w:rsidR="00DB731D" w:rsidRPr="00A52585">
        <w:rPr>
          <w:rFonts w:hint="cs"/>
          <w:rtl/>
        </w:rPr>
        <w:t>،</w:t>
      </w:r>
      <w:r w:rsidRPr="00A52585">
        <w:rPr>
          <w:rFonts w:hint="cs"/>
          <w:rtl/>
        </w:rPr>
        <w:t xml:space="preserve"> وبعد...</w:t>
      </w:r>
    </w:p>
    <w:p w14:paraId="27F57BA2" w14:textId="6690663F" w:rsidR="00777DCB" w:rsidRPr="00A52585" w:rsidRDefault="0002035C" w:rsidP="0002035C">
      <w:pPr>
        <w:spacing w:after="240"/>
        <w:rPr>
          <w:b/>
          <w:rtl/>
        </w:rPr>
      </w:pPr>
      <w:r w:rsidRPr="00A52585">
        <w:rPr>
          <w:rFonts w:hint="cs"/>
          <w:bCs/>
          <w:rtl/>
        </w:rPr>
        <w:t>[</w:t>
      </w:r>
      <w:r w:rsidR="00777DCB" w:rsidRPr="00A52585">
        <w:rPr>
          <w:rFonts w:hint="cs"/>
          <w:bCs/>
          <w:rtl/>
        </w:rPr>
        <w:t>انقشاع ظلمات الجاهلية بمبعثه صلى الله عليه وسلم</w:t>
      </w:r>
      <w:r w:rsidRPr="00A52585">
        <w:rPr>
          <w:rFonts w:hint="cs"/>
          <w:bCs/>
          <w:rtl/>
        </w:rPr>
        <w:t xml:space="preserve">]: </w:t>
      </w:r>
      <w:r w:rsidR="00777DCB" w:rsidRPr="00A52585">
        <w:rPr>
          <w:rFonts w:hint="cs"/>
          <w:rtl/>
        </w:rPr>
        <w:t>فلا يخفي على من دَرَسَ تاريخ الدين الإسلامي أنَّ الله سبحانه بعث خاتم رسله في بيئة عريقة في الوثنية</w:t>
      </w:r>
      <w:r w:rsidR="00DB731D" w:rsidRPr="00A52585">
        <w:rPr>
          <w:rFonts w:hint="cs"/>
          <w:rtl/>
        </w:rPr>
        <w:t>،</w:t>
      </w:r>
      <w:r w:rsidR="00777DCB" w:rsidRPr="00A52585">
        <w:rPr>
          <w:rFonts w:hint="cs"/>
          <w:rtl/>
        </w:rPr>
        <w:t xml:space="preserve"> وقد أحدقت بتلك البيئة أمم يدينون بالإشراك والتشبيه وأنواع من التخريف والتمويه</w:t>
      </w:r>
      <w:r w:rsidR="00DB731D" w:rsidRPr="00A52585">
        <w:rPr>
          <w:rFonts w:hint="cs"/>
          <w:rtl/>
        </w:rPr>
        <w:t>،</w:t>
      </w:r>
      <w:r w:rsidR="00777DCB" w:rsidRPr="00A52585">
        <w:rPr>
          <w:rFonts w:hint="cs"/>
          <w:rtl/>
        </w:rPr>
        <w:t xml:space="preserve"> فبمبعثه صلى الله عليه وسلم انقشعت تلك الظلمات الجاهلية</w:t>
      </w:r>
      <w:r w:rsidR="00DB731D" w:rsidRPr="00A52585">
        <w:rPr>
          <w:rFonts w:hint="cs"/>
          <w:rtl/>
        </w:rPr>
        <w:t>،</w:t>
      </w:r>
      <w:r w:rsidR="00777DCB" w:rsidRPr="00A52585">
        <w:rPr>
          <w:rFonts w:hint="cs"/>
          <w:rtl/>
        </w:rPr>
        <w:t xml:space="preserve"> واستنارت بصائر الذين آمنوا به بأنوار التعاليم الإسلامية</w:t>
      </w:r>
      <w:r w:rsidR="00DB731D" w:rsidRPr="00A52585">
        <w:rPr>
          <w:rFonts w:hint="cs"/>
          <w:rtl/>
        </w:rPr>
        <w:t>،</w:t>
      </w:r>
      <w:r w:rsidR="00777DCB" w:rsidRPr="00A52585">
        <w:rPr>
          <w:rFonts w:hint="cs"/>
          <w:rtl/>
        </w:rPr>
        <w:t xml:space="preserve"> حتى داسوا تحت أرجلهم تقاليد الوثنية</w:t>
      </w:r>
      <w:r w:rsidR="00DB731D" w:rsidRPr="00A52585">
        <w:rPr>
          <w:rFonts w:hint="cs"/>
          <w:rtl/>
        </w:rPr>
        <w:t>،</w:t>
      </w:r>
      <w:r w:rsidR="00777DCB" w:rsidRPr="00A52585">
        <w:rPr>
          <w:rFonts w:hint="cs"/>
          <w:rtl/>
        </w:rPr>
        <w:t xml:space="preserve"> ونبذوا تلك الأساطير الهمجية</w:t>
      </w:r>
      <w:r w:rsidR="00DB731D" w:rsidRPr="00A52585">
        <w:rPr>
          <w:rFonts w:hint="cs"/>
          <w:rtl/>
        </w:rPr>
        <w:t>،</w:t>
      </w:r>
      <w:r w:rsidR="00777DCB" w:rsidRPr="00A52585">
        <w:rPr>
          <w:rFonts w:hint="cs"/>
          <w:rtl/>
        </w:rPr>
        <w:t xml:space="preserve"> وخمدت عزائمُ أعداءِ الدين</w:t>
      </w:r>
      <w:r w:rsidR="00DB731D" w:rsidRPr="00A52585">
        <w:rPr>
          <w:rFonts w:hint="cs"/>
          <w:rtl/>
        </w:rPr>
        <w:t>،</w:t>
      </w:r>
      <w:r w:rsidR="00777DCB" w:rsidRPr="00A52585">
        <w:rPr>
          <w:rFonts w:hint="cs"/>
          <w:rtl/>
        </w:rPr>
        <w:t xml:space="preserve"> وفترتْ مُواصَلتُهم العَداء إلى حين.</w:t>
      </w:r>
    </w:p>
    <w:p w14:paraId="0F94C86D" w14:textId="71218829" w:rsidR="00777DCB" w:rsidRPr="00A52585" w:rsidRDefault="0002035C" w:rsidP="0002035C">
      <w:pPr>
        <w:spacing w:after="240"/>
        <w:rPr>
          <w:b/>
          <w:rtl/>
        </w:rPr>
      </w:pPr>
      <w:r w:rsidRPr="00A52585">
        <w:rPr>
          <w:rFonts w:hint="cs"/>
          <w:bCs/>
          <w:rtl/>
        </w:rPr>
        <w:t>[</w:t>
      </w:r>
      <w:r w:rsidR="00777DCB" w:rsidRPr="00A52585">
        <w:rPr>
          <w:rFonts w:hint="cs"/>
          <w:bCs/>
          <w:rtl/>
        </w:rPr>
        <w:t>تَحَيُّن الأعداء الفرص للكيد بالمسلمين</w:t>
      </w:r>
      <w:r w:rsidRPr="00A52585">
        <w:rPr>
          <w:rFonts w:hint="cs"/>
          <w:bCs/>
          <w:rtl/>
        </w:rPr>
        <w:t>]:</w:t>
      </w:r>
      <w:r w:rsidR="00777DCB" w:rsidRPr="00A52585">
        <w:rPr>
          <w:rFonts w:hint="cs"/>
          <w:bCs/>
          <w:rtl/>
        </w:rPr>
        <w:t xml:space="preserve"> </w:t>
      </w:r>
      <w:r w:rsidR="00777DCB" w:rsidRPr="00A52585">
        <w:rPr>
          <w:rFonts w:hint="cs"/>
          <w:rtl/>
        </w:rPr>
        <w:t>لكنهم كانوا يتحينون الفرص لتفريق كلمة المسلمين</w:t>
      </w:r>
      <w:r w:rsidR="00DB731D" w:rsidRPr="00A52585">
        <w:rPr>
          <w:rFonts w:hint="cs"/>
          <w:rtl/>
        </w:rPr>
        <w:t>،</w:t>
      </w:r>
      <w:r w:rsidR="00777DCB" w:rsidRPr="00A52585">
        <w:rPr>
          <w:rFonts w:hint="cs"/>
          <w:rtl/>
        </w:rPr>
        <w:t xml:space="preserve"> وتشويه تعاليم هذا الدين في الأخلاق والعمل والاعتقاد</w:t>
      </w:r>
      <w:r w:rsidR="00DB731D" w:rsidRPr="00A52585">
        <w:rPr>
          <w:rFonts w:hint="cs"/>
          <w:rtl/>
        </w:rPr>
        <w:t>،</w:t>
      </w:r>
      <w:r w:rsidR="00777DCB" w:rsidRPr="00A52585">
        <w:rPr>
          <w:rFonts w:hint="cs"/>
          <w:rtl/>
        </w:rPr>
        <w:t xml:space="preserve"> حتى تذرعوا بعد وفاته صلى الله عليه وسلم بشتى الوسائل إلى بَذْر بذور الفساد كلَّما ظنوا أن الفرصة سانحة</w:t>
      </w:r>
      <w:r w:rsidR="00DB731D" w:rsidRPr="00A52585">
        <w:rPr>
          <w:rFonts w:hint="cs"/>
          <w:rtl/>
        </w:rPr>
        <w:t>،</w:t>
      </w:r>
      <w:r w:rsidR="00777DCB" w:rsidRPr="00A52585">
        <w:rPr>
          <w:rFonts w:hint="cs"/>
          <w:rtl/>
        </w:rPr>
        <w:t xml:space="preserve"> يلبسون في كل عصر ما يرونه أنجع في مخادعة الجمهور</w:t>
      </w:r>
      <w:r w:rsidR="00DB731D" w:rsidRPr="00A52585">
        <w:rPr>
          <w:rFonts w:hint="cs"/>
          <w:rtl/>
        </w:rPr>
        <w:t>،</w:t>
      </w:r>
      <w:r w:rsidR="00777DCB" w:rsidRPr="00A52585">
        <w:rPr>
          <w:rFonts w:hint="cs"/>
          <w:rtl/>
        </w:rPr>
        <w:t xml:space="preserve"> وأغشى على بصائر الخاصة والدهماء</w:t>
      </w:r>
      <w:r w:rsidR="00DB731D" w:rsidRPr="00A52585">
        <w:rPr>
          <w:rFonts w:hint="cs"/>
          <w:rtl/>
        </w:rPr>
        <w:t>،</w:t>
      </w:r>
      <w:r w:rsidR="00777DCB" w:rsidRPr="00A52585">
        <w:rPr>
          <w:rFonts w:hint="cs"/>
          <w:rtl/>
        </w:rPr>
        <w:t xml:space="preserve"> وأشد فتكاً بهم في صميم دينهم</w:t>
      </w:r>
      <w:r w:rsidR="00DB731D" w:rsidRPr="00A52585">
        <w:rPr>
          <w:rFonts w:hint="cs"/>
          <w:rtl/>
        </w:rPr>
        <w:t>،</w:t>
      </w:r>
      <w:r w:rsidR="00777DCB" w:rsidRPr="00A52585">
        <w:rPr>
          <w:rFonts w:hint="cs"/>
          <w:rtl/>
        </w:rPr>
        <w:t xml:space="preserve"> إلى أن تمكنوا من إضلال طوائف في الأطراف</w:t>
      </w:r>
      <w:r w:rsidR="00DB731D" w:rsidRPr="00A52585">
        <w:rPr>
          <w:rFonts w:hint="cs"/>
          <w:rtl/>
        </w:rPr>
        <w:t>،</w:t>
      </w:r>
      <w:r w:rsidR="00777DCB" w:rsidRPr="00A52585">
        <w:rPr>
          <w:rFonts w:hint="cs"/>
          <w:rtl/>
        </w:rPr>
        <w:t xml:space="preserve"> ورغم هذا بقيت بيضة الإسلام</w:t>
      </w:r>
      <w:r w:rsidRPr="00A52585">
        <w:rPr>
          <w:rFonts w:hint="cs"/>
          <w:rtl/>
        </w:rPr>
        <w:t xml:space="preserve"> </w:t>
      </w:r>
      <w:r w:rsidR="00777DCB" w:rsidRPr="00A52585">
        <w:rPr>
          <w:rFonts w:hint="cs"/>
          <w:rtl/>
        </w:rPr>
        <w:t>- بحمد الله جل شأنه -</w:t>
      </w:r>
      <w:r w:rsidRPr="00A52585">
        <w:rPr>
          <w:rFonts w:hint="cs"/>
          <w:rtl/>
        </w:rPr>
        <w:t xml:space="preserve"> </w:t>
      </w:r>
      <w:r w:rsidR="00777DCB" w:rsidRPr="00A52585">
        <w:rPr>
          <w:rFonts w:hint="cs"/>
          <w:rtl/>
        </w:rPr>
        <w:t>مصونة الجانب تحت كِلاءةِ الله سبحانه ورعايته</w:t>
      </w:r>
      <w:r w:rsidR="00DB731D" w:rsidRPr="00A52585">
        <w:rPr>
          <w:rFonts w:hint="cs"/>
          <w:rtl/>
        </w:rPr>
        <w:t>،</w:t>
      </w:r>
      <w:r w:rsidR="00777DCB" w:rsidRPr="00A52585">
        <w:rPr>
          <w:rFonts w:hint="cs"/>
          <w:rtl/>
        </w:rPr>
        <w:t xml:space="preserve"> حيث لم يُمَكِّنهم من إبادة خضراء الملة</w:t>
      </w:r>
      <w:r w:rsidR="00DB731D" w:rsidRPr="00A52585">
        <w:rPr>
          <w:rFonts w:hint="cs"/>
          <w:rtl/>
        </w:rPr>
        <w:t>،</w:t>
      </w:r>
      <w:r w:rsidR="00777DCB" w:rsidRPr="00A52585">
        <w:rPr>
          <w:rFonts w:hint="cs"/>
          <w:rtl/>
        </w:rPr>
        <w:t xml:space="preserve"> ولا من إحداث أحداث جوهرية في صميم الدين الإسلامي تشتت شمل الجماعة</w:t>
      </w:r>
      <w:r w:rsidR="00DB731D" w:rsidRPr="00A52585">
        <w:rPr>
          <w:rFonts w:hint="cs"/>
          <w:rtl/>
        </w:rPr>
        <w:t>،</w:t>
      </w:r>
      <w:r w:rsidR="00777DCB" w:rsidRPr="00A52585">
        <w:rPr>
          <w:rFonts w:hint="cs"/>
          <w:rtl/>
        </w:rPr>
        <w:t xml:space="preserve"> بل بقى الإسلام في جوهره</w:t>
      </w:r>
      <w:r w:rsidRPr="00A52585">
        <w:rPr>
          <w:rFonts w:hint="cs"/>
          <w:rtl/>
        </w:rPr>
        <w:t xml:space="preserve"> </w:t>
      </w:r>
      <w:r w:rsidR="00777DCB" w:rsidRPr="00A52585">
        <w:rPr>
          <w:rFonts w:hint="cs"/>
          <w:rtl/>
        </w:rPr>
        <w:t>- بفضل الله جل جلاله -</w:t>
      </w:r>
      <w:r w:rsidRPr="00A52585">
        <w:rPr>
          <w:rFonts w:hint="cs"/>
          <w:rtl/>
        </w:rPr>
        <w:t xml:space="preserve"> </w:t>
      </w:r>
      <w:r w:rsidR="00777DCB" w:rsidRPr="00A52585">
        <w:rPr>
          <w:rFonts w:hint="cs"/>
          <w:rtl/>
        </w:rPr>
        <w:t>وَضَّاءَ المنار واضح المِنْهاج</w:t>
      </w:r>
      <w:r w:rsidR="00DB731D" w:rsidRPr="00A52585">
        <w:rPr>
          <w:rFonts w:hint="cs"/>
          <w:rtl/>
        </w:rPr>
        <w:t>،</w:t>
      </w:r>
      <w:r w:rsidR="00777DCB" w:rsidRPr="00A52585">
        <w:rPr>
          <w:rFonts w:hint="cs"/>
          <w:rtl/>
        </w:rPr>
        <w:t xml:space="preserve"> نَيِّرَ الطريقة باديَ المعالم لمن ألقى إلى تعاليمه السمع وهو شهيد</w:t>
      </w:r>
      <w:r w:rsidR="00DB731D" w:rsidRPr="00A52585">
        <w:rPr>
          <w:rFonts w:hint="cs"/>
          <w:rtl/>
        </w:rPr>
        <w:t>،</w:t>
      </w:r>
      <w:r w:rsidRPr="00A52585">
        <w:rPr>
          <w:rFonts w:hint="cs"/>
          <w:rtl/>
        </w:rPr>
        <w:t xml:space="preserve"> </w:t>
      </w:r>
      <w:r w:rsidR="00777DCB" w:rsidRPr="00A52585">
        <w:rPr>
          <w:rFonts w:hint="cs"/>
          <w:rtl/>
        </w:rPr>
        <w:t>وغاية ما تخيل الأعداء أن يتمكنوا منه أن يوقِفوا نموَّه العظيم الذي كان ظهر في الصدر الأول</w:t>
      </w:r>
      <w:r w:rsidR="00DB731D" w:rsidRPr="00A52585">
        <w:rPr>
          <w:rFonts w:hint="cs"/>
          <w:rtl/>
        </w:rPr>
        <w:t>،</w:t>
      </w:r>
      <w:r w:rsidR="00777DCB" w:rsidRPr="00A52585">
        <w:rPr>
          <w:rFonts w:hint="cs"/>
          <w:rtl/>
        </w:rPr>
        <w:t xml:space="preserve"> ويُعرقلوا رُقِيَّ معتنقيه السريعَ بعد أن بهر أبصار أولى الأبصار في أوائل انتشاره</w:t>
      </w:r>
      <w:r w:rsidR="00DB731D" w:rsidRPr="00A52585">
        <w:rPr>
          <w:rFonts w:hint="cs"/>
          <w:rtl/>
        </w:rPr>
        <w:t>،</w:t>
      </w:r>
      <w:r w:rsidR="00777DCB" w:rsidRPr="00A52585">
        <w:rPr>
          <w:rFonts w:hint="cs"/>
          <w:rtl/>
        </w:rPr>
        <w:t xml:space="preserve"> لكن أبي الله إلا أن يتم نوره</w:t>
      </w:r>
      <w:r w:rsidR="00DB731D" w:rsidRPr="00A52585">
        <w:rPr>
          <w:rFonts w:hint="cs"/>
          <w:rtl/>
        </w:rPr>
        <w:t>،</w:t>
      </w:r>
      <w:r w:rsidR="00777DCB" w:rsidRPr="00A52585">
        <w:rPr>
          <w:rFonts w:hint="cs"/>
          <w:rtl/>
        </w:rPr>
        <w:t xml:space="preserve"> وكان أخطرُ هؤلاء الأعداء على الدَّهْمَاء وأبعدهم غوراً في الإغواء أناساً ظهروا بأزياء الصالحين</w:t>
      </w:r>
      <w:r w:rsidR="00DB731D" w:rsidRPr="00A52585">
        <w:rPr>
          <w:rFonts w:hint="cs"/>
          <w:rtl/>
        </w:rPr>
        <w:t>،</w:t>
      </w:r>
      <w:r w:rsidR="00777DCB" w:rsidRPr="00A52585">
        <w:rPr>
          <w:rFonts w:hint="cs"/>
          <w:rtl/>
        </w:rPr>
        <w:t xml:space="preserve"> بعيونٍ دامعةٍ كحيلةٍ</w:t>
      </w:r>
      <w:r w:rsidR="00DB731D" w:rsidRPr="00A52585">
        <w:rPr>
          <w:rFonts w:hint="cs"/>
          <w:rtl/>
        </w:rPr>
        <w:t>،</w:t>
      </w:r>
      <w:r w:rsidR="00777DCB" w:rsidRPr="00A52585">
        <w:rPr>
          <w:rFonts w:hint="cs"/>
          <w:rtl/>
        </w:rPr>
        <w:t xml:space="preserve"> ولحى مسرحة طويلة</w:t>
      </w:r>
      <w:r w:rsidR="00DB731D" w:rsidRPr="00A52585">
        <w:rPr>
          <w:rFonts w:hint="cs"/>
          <w:rtl/>
        </w:rPr>
        <w:t>،</w:t>
      </w:r>
      <w:r w:rsidR="00777DCB" w:rsidRPr="00A52585">
        <w:rPr>
          <w:rFonts w:hint="cs"/>
          <w:rtl/>
        </w:rPr>
        <w:t xml:space="preserve"> وعمائم كالأبراج</w:t>
      </w:r>
      <w:r w:rsidR="00DB731D" w:rsidRPr="00A52585">
        <w:rPr>
          <w:rFonts w:hint="cs"/>
          <w:rtl/>
        </w:rPr>
        <w:t>،</w:t>
      </w:r>
      <w:r w:rsidR="00777DCB" w:rsidRPr="00A52585">
        <w:rPr>
          <w:rFonts w:hint="cs"/>
          <w:rtl/>
        </w:rPr>
        <w:t xml:space="preserve"> وأكمام </w:t>
      </w:r>
      <w:proofErr w:type="spellStart"/>
      <w:r w:rsidR="00777DCB" w:rsidRPr="00A52585">
        <w:rPr>
          <w:rFonts w:hint="cs"/>
          <w:rtl/>
        </w:rPr>
        <w:t>كالأخراج</w:t>
      </w:r>
      <w:proofErr w:type="spellEnd"/>
      <w:r w:rsidR="00DB731D" w:rsidRPr="00A52585">
        <w:rPr>
          <w:rFonts w:hint="cs"/>
          <w:rtl/>
        </w:rPr>
        <w:t>،</w:t>
      </w:r>
      <w:r w:rsidR="00777DCB" w:rsidRPr="00A52585">
        <w:rPr>
          <w:rFonts w:hint="cs"/>
          <w:rtl/>
        </w:rPr>
        <w:t xml:space="preserve"> يحملون سُبْحات كبيرة الحبات</w:t>
      </w:r>
      <w:r w:rsidR="00DB731D" w:rsidRPr="00A52585">
        <w:rPr>
          <w:rFonts w:hint="cs"/>
          <w:rtl/>
        </w:rPr>
        <w:t>،</w:t>
      </w:r>
      <w:r w:rsidR="00777DCB" w:rsidRPr="00A52585">
        <w:rPr>
          <w:rFonts w:hint="cs"/>
          <w:rtl/>
        </w:rPr>
        <w:t xml:space="preserve"> ويتظاهرون بمظهر الدعوة إلى سنة سيد السادات</w:t>
      </w:r>
      <w:r w:rsidR="00DB731D" w:rsidRPr="00A52585">
        <w:rPr>
          <w:rFonts w:hint="cs"/>
          <w:rtl/>
        </w:rPr>
        <w:t>،</w:t>
      </w:r>
      <w:r w:rsidR="00777DCB" w:rsidRPr="00A52585">
        <w:rPr>
          <w:rFonts w:hint="cs"/>
          <w:rtl/>
        </w:rPr>
        <w:t xml:space="preserve"> مع انطوائهم على مخازٍ ورثوها عن الأديان الباطلة</w:t>
      </w:r>
      <w:r w:rsidR="00DB731D" w:rsidRPr="00A52585">
        <w:rPr>
          <w:rFonts w:hint="cs"/>
          <w:rtl/>
        </w:rPr>
        <w:t>،</w:t>
      </w:r>
      <w:r w:rsidR="00777DCB" w:rsidRPr="00A52585">
        <w:rPr>
          <w:rFonts w:hint="cs"/>
          <w:rtl/>
        </w:rPr>
        <w:t xml:space="preserve"> والنحل الآفلة</w:t>
      </w:r>
      <w:r w:rsidR="00DB731D" w:rsidRPr="00A52585">
        <w:rPr>
          <w:rFonts w:hint="cs"/>
          <w:rtl/>
        </w:rPr>
        <w:t>،</w:t>
      </w:r>
      <w:r w:rsidR="00777DCB" w:rsidRPr="00A52585">
        <w:rPr>
          <w:rFonts w:hint="cs"/>
          <w:rtl/>
        </w:rPr>
        <w:t xml:space="preserve"> وكان من مكرهم الماكر أن خلطوا الكذب المباشر بالتزيد في تفسير مأثور أو في حديث صحَّ أصله عند الجمهور</w:t>
      </w:r>
      <w:r w:rsidR="00DB731D" w:rsidRPr="00A52585">
        <w:rPr>
          <w:rFonts w:hint="cs"/>
          <w:rtl/>
        </w:rPr>
        <w:t>،</w:t>
      </w:r>
      <w:r w:rsidR="00777DCB" w:rsidRPr="00A52585">
        <w:rPr>
          <w:rFonts w:hint="cs"/>
          <w:rtl/>
        </w:rPr>
        <w:t xml:space="preserve"> باعتبارهم ذلك أنجع في إفساد دلالة كتاب الله وسنة رسوله صلى الله عليه وسلم على أفهام أناس قرب عهدهم من الجاهلية ولم تتكامل بعد عقولهم ولا نضجت أفكارهم</w:t>
      </w:r>
      <w:r w:rsidR="00DB731D" w:rsidRPr="00A52585">
        <w:rPr>
          <w:rFonts w:hint="cs"/>
          <w:rtl/>
        </w:rPr>
        <w:t>،</w:t>
      </w:r>
      <w:r w:rsidR="00777DCB" w:rsidRPr="00A52585">
        <w:rPr>
          <w:rFonts w:hint="cs"/>
          <w:rtl/>
        </w:rPr>
        <w:t xml:space="preserve"> وكم أضلَّ رواةٌ من هذا القبيل طوائف من سذج المسلمين </w:t>
      </w:r>
      <w:r w:rsidR="00777DCB" w:rsidRPr="00A52585">
        <w:rPr>
          <w:rFonts w:hint="cs"/>
          <w:rtl/>
        </w:rPr>
        <w:lastRenderedPageBreak/>
        <w:t>منذ عهد التابعين</w:t>
      </w:r>
      <w:r w:rsidR="00DB731D" w:rsidRPr="00A52585">
        <w:rPr>
          <w:rFonts w:hint="cs"/>
          <w:rtl/>
        </w:rPr>
        <w:t>،</w:t>
      </w:r>
      <w:r w:rsidR="00777DCB" w:rsidRPr="00A52585">
        <w:rPr>
          <w:rFonts w:hint="cs"/>
          <w:rtl/>
        </w:rPr>
        <w:t xml:space="preserve"> حيث</w:t>
      </w:r>
      <w:r w:rsidRPr="00A52585">
        <w:rPr>
          <w:rFonts w:hint="cs"/>
          <w:rtl/>
        </w:rPr>
        <w:t xml:space="preserve"> </w:t>
      </w:r>
      <w:r w:rsidR="00777DCB" w:rsidRPr="00A52585">
        <w:rPr>
          <w:rFonts w:hint="cs"/>
          <w:rtl/>
        </w:rPr>
        <w:t>اندسوا بين الصالحين من رواة الأعراب ومواليهم لإدخال ما اختلقوه من الأخبار بين مرويات هؤلاء الأخيار</w:t>
      </w:r>
      <w:r w:rsidR="00DB731D" w:rsidRPr="00A52585">
        <w:rPr>
          <w:rFonts w:hint="cs"/>
          <w:rtl/>
        </w:rPr>
        <w:t>،</w:t>
      </w:r>
      <w:r w:rsidR="00777DCB" w:rsidRPr="00A52585">
        <w:rPr>
          <w:rFonts w:hint="cs"/>
          <w:rtl/>
        </w:rPr>
        <w:t xml:space="preserve"> حتى يتم إفساد دين المسلمين عليهم</w:t>
      </w:r>
      <w:r w:rsidR="00F95886" w:rsidRPr="00A52585">
        <w:rPr>
          <w:rFonts w:hint="cs"/>
          <w:rtl/>
        </w:rPr>
        <w:t>!</w:t>
      </w:r>
      <w:r w:rsidR="00777DCB" w:rsidRPr="00A52585">
        <w:rPr>
          <w:rFonts w:hint="cs"/>
          <w:rtl/>
        </w:rPr>
        <w:t xml:space="preserve">! ولكن أبي الله إلا أن يردَّ كيدهم في نحرهم حيث أقام جهابذةً يسعون في إبعاد </w:t>
      </w:r>
      <w:proofErr w:type="spellStart"/>
      <w:r w:rsidR="00777DCB" w:rsidRPr="00A52585">
        <w:rPr>
          <w:rFonts w:hint="cs"/>
          <w:rtl/>
        </w:rPr>
        <w:t>مختلقاتهم</w:t>
      </w:r>
      <w:proofErr w:type="spellEnd"/>
      <w:r w:rsidR="00777DCB" w:rsidRPr="00A52585">
        <w:rPr>
          <w:rFonts w:hint="cs"/>
          <w:rtl/>
        </w:rPr>
        <w:t xml:space="preserve"> عن مرتبة الاعتداد في جميع الطبقات</w:t>
      </w:r>
      <w:r w:rsidR="00DB731D" w:rsidRPr="00A52585">
        <w:rPr>
          <w:rFonts w:hint="cs"/>
          <w:rtl/>
        </w:rPr>
        <w:t>،</w:t>
      </w:r>
      <w:r w:rsidR="00777DCB" w:rsidRPr="00A52585">
        <w:rPr>
          <w:rFonts w:hint="cs"/>
          <w:rtl/>
        </w:rPr>
        <w:t xml:space="preserve"> على أنَّ في عقول الذين أسلموا إسلاماً صحيحاً من النور ما يشق لهم الطريق إلى تعرف دخائل المرويات من نفس تلك الرِّوايات</w:t>
      </w:r>
      <w:r w:rsidR="00DB731D" w:rsidRPr="00A52585">
        <w:rPr>
          <w:rFonts w:hint="cs"/>
          <w:rtl/>
        </w:rPr>
        <w:t>،</w:t>
      </w:r>
      <w:r w:rsidR="00777DCB" w:rsidRPr="00A52585">
        <w:rPr>
          <w:rFonts w:hint="cs"/>
          <w:rtl/>
        </w:rPr>
        <w:t xml:space="preserve"> وإن لم تخل طبقةٌ من طبقات الرواة من أغرار انخدعوا بها تعصبوا لها</w:t>
      </w:r>
      <w:r w:rsidR="00DB731D" w:rsidRPr="00A52585">
        <w:rPr>
          <w:rFonts w:hint="cs"/>
          <w:rtl/>
        </w:rPr>
        <w:t>،</w:t>
      </w:r>
      <w:r w:rsidR="00777DCB" w:rsidRPr="00A52585">
        <w:rPr>
          <w:rFonts w:hint="cs"/>
          <w:rtl/>
        </w:rPr>
        <w:t xml:space="preserve"> لأن الفاتنين كانوا رَاعَوا في رواياتهم عقول هؤلاء ومداركهم في جاهليتهم؛ تيسيراً لزلل أقدامهم وتدهورهم في هاوية إغوائهم</w:t>
      </w:r>
      <w:r w:rsidRPr="00A52585">
        <w:rPr>
          <w:rFonts w:hint="cs"/>
          <w:rtl/>
        </w:rPr>
        <w:t xml:space="preserve"> </w:t>
      </w:r>
    </w:p>
    <w:p w14:paraId="59D9B784" w14:textId="0859C397" w:rsidR="00777DCB" w:rsidRPr="00A52585" w:rsidRDefault="0002035C" w:rsidP="0002035C">
      <w:pPr>
        <w:spacing w:after="240"/>
        <w:rPr>
          <w:b/>
          <w:rtl/>
        </w:rPr>
      </w:pPr>
      <w:r w:rsidRPr="00A52585">
        <w:rPr>
          <w:rFonts w:hint="cs"/>
          <w:bCs/>
          <w:rtl/>
        </w:rPr>
        <w:t>[</w:t>
      </w:r>
      <w:r w:rsidR="00777DCB" w:rsidRPr="00A52585">
        <w:rPr>
          <w:rFonts w:hint="cs"/>
          <w:bCs/>
          <w:rtl/>
        </w:rPr>
        <w:t>انخداع سذج الرواة</w:t>
      </w:r>
      <w:r w:rsidRPr="00A52585">
        <w:rPr>
          <w:rFonts w:hint="cs"/>
          <w:bCs/>
          <w:rtl/>
        </w:rPr>
        <w:t>]:</w:t>
      </w:r>
      <w:r w:rsidR="00777DCB" w:rsidRPr="00A52585">
        <w:rPr>
          <w:rFonts w:hint="cs"/>
          <w:rtl/>
        </w:rPr>
        <w:t xml:space="preserve"> فالرُّواة السذج إذا انخدعوا بمثل هذا التمويه يكون عندهم بعض عذر</w:t>
      </w:r>
      <w:r w:rsidR="00DB731D" w:rsidRPr="00A52585">
        <w:rPr>
          <w:rFonts w:hint="cs"/>
          <w:rtl/>
        </w:rPr>
        <w:t>،</w:t>
      </w:r>
      <w:r w:rsidR="00777DCB" w:rsidRPr="00A52585">
        <w:rPr>
          <w:rFonts w:hint="cs"/>
          <w:rtl/>
        </w:rPr>
        <w:t xml:space="preserve"> ومن الذي لا ينخلع قلبه إذا سمع السنة والدعوة إلى السنة من متقشف متظاهر بالورع الكاذب على تقدير جهل السامع بما وراء الأكمة</w:t>
      </w:r>
      <w:r w:rsidR="00F95886" w:rsidRPr="00A52585">
        <w:rPr>
          <w:rFonts w:hint="cs"/>
          <w:rtl/>
        </w:rPr>
        <w:t>؟</w:t>
      </w:r>
      <w:r w:rsidR="00777DCB" w:rsidRPr="00A52585">
        <w:rPr>
          <w:rFonts w:hint="cs"/>
          <w:rtl/>
        </w:rPr>
        <w:t>! فيجب أخذ هؤلاء بالرفق لتدريجهم إلى الحق من باطلٍ تورَّطوا فيه باسم السنة</w:t>
      </w:r>
      <w:r w:rsidR="00DB731D" w:rsidRPr="00A52585">
        <w:rPr>
          <w:rFonts w:hint="cs"/>
          <w:rtl/>
        </w:rPr>
        <w:t>،</w:t>
      </w:r>
      <w:r w:rsidR="00777DCB" w:rsidRPr="00A52585">
        <w:rPr>
          <w:rFonts w:hint="cs"/>
          <w:rtl/>
        </w:rPr>
        <w:t xml:space="preserve"> ومِنْ محققي أهل السنة من يشير إلى أنَّ العامي إذا بدر منه ما يوهم ظاهره التشبيه يُرجى من فضل الله أن يسامحه حيث يعلو التنـزيهُ من الجهة ونحوها عن مداركه</w:t>
      </w:r>
      <w:r w:rsidR="00DB731D" w:rsidRPr="00A52585">
        <w:rPr>
          <w:rFonts w:hint="cs"/>
          <w:rtl/>
        </w:rPr>
        <w:t>،</w:t>
      </w:r>
      <w:r w:rsidR="00777DCB" w:rsidRPr="00A52585">
        <w:rPr>
          <w:rFonts w:hint="cs"/>
          <w:rtl/>
        </w:rPr>
        <w:t xml:space="preserve"> وأمَّا من جمع بين الرواية والدراية على زعمِه</w:t>
      </w:r>
      <w:r w:rsidR="00DB731D" w:rsidRPr="00A52585">
        <w:rPr>
          <w:rFonts w:hint="cs"/>
          <w:rtl/>
        </w:rPr>
        <w:t>،</w:t>
      </w:r>
      <w:r w:rsidR="00777DCB" w:rsidRPr="00A52585">
        <w:rPr>
          <w:rFonts w:hint="cs"/>
          <w:rtl/>
        </w:rPr>
        <w:t xml:space="preserve"> وألَّف في ذات الله وصفاته</w:t>
      </w:r>
      <w:r w:rsidR="00DB731D" w:rsidRPr="00A52585">
        <w:rPr>
          <w:rFonts w:hint="cs"/>
          <w:rtl/>
        </w:rPr>
        <w:t>،</w:t>
      </w:r>
      <w:r w:rsidR="00777DCB" w:rsidRPr="00A52585">
        <w:rPr>
          <w:rFonts w:hint="cs"/>
          <w:rtl/>
        </w:rPr>
        <w:t xml:space="preserve"> وصدر منه مثلُ هذا</w:t>
      </w:r>
      <w:r w:rsidR="00DB731D" w:rsidRPr="00A52585">
        <w:rPr>
          <w:rFonts w:hint="cs"/>
          <w:rtl/>
        </w:rPr>
        <w:t>،</w:t>
      </w:r>
      <w:r w:rsidR="00777DCB" w:rsidRPr="00A52585">
        <w:rPr>
          <w:rFonts w:hint="cs"/>
          <w:rtl/>
        </w:rPr>
        <w:t xml:space="preserve"> فلا يوجد بين علماء أهل السنة من يعذر مثله</w:t>
      </w:r>
      <w:r w:rsidR="00DB731D" w:rsidRPr="00A52585">
        <w:rPr>
          <w:rFonts w:hint="cs"/>
          <w:rtl/>
        </w:rPr>
        <w:t>،</w:t>
      </w:r>
      <w:r w:rsidR="00777DCB" w:rsidRPr="00A52585">
        <w:rPr>
          <w:rFonts w:hint="cs"/>
          <w:rtl/>
        </w:rPr>
        <w:t xml:space="preserve"> بل أطبقت كلماتهم على إلزامه مقتضى كلامه</w:t>
      </w:r>
      <w:r w:rsidR="00DB731D" w:rsidRPr="00A52585">
        <w:rPr>
          <w:rFonts w:hint="cs"/>
          <w:rtl/>
        </w:rPr>
        <w:t>،</w:t>
      </w:r>
      <w:r w:rsidR="00777DCB" w:rsidRPr="00A52585">
        <w:rPr>
          <w:rFonts w:hint="cs"/>
          <w:rtl/>
        </w:rPr>
        <w:t xml:space="preserve"> وليس لعالم عذرٌ في الميل إلى شيء من التشبيه والقرمطة؛ لظهور سقوطهما لكل ناظر</w:t>
      </w:r>
      <w:r w:rsidR="00DB731D" w:rsidRPr="00A52585">
        <w:rPr>
          <w:rFonts w:hint="cs"/>
          <w:rtl/>
        </w:rPr>
        <w:t>،</w:t>
      </w:r>
      <w:r w:rsidR="00777DCB" w:rsidRPr="00A52585">
        <w:rPr>
          <w:rFonts w:hint="cs"/>
          <w:rtl/>
        </w:rPr>
        <w:t xml:space="preserve"> قال القاضي أبو بكر بن العربي في القواصم والعواصم: </w:t>
      </w:r>
      <w:r w:rsidRPr="00A52585">
        <w:rPr>
          <w:rFonts w:hint="cs"/>
          <w:rtl/>
        </w:rPr>
        <w:t>(</w:t>
      </w:r>
      <w:r w:rsidR="00777DCB" w:rsidRPr="00A52585">
        <w:rPr>
          <w:rFonts w:hint="cs"/>
          <w:rtl/>
        </w:rPr>
        <w:t>ما لقيت طائفة إلا وكانت لي معهم وقفة عصمني الله منها بالنظر -</w:t>
      </w:r>
      <w:r w:rsidRPr="00A52585">
        <w:rPr>
          <w:rFonts w:hint="cs"/>
          <w:rtl/>
        </w:rPr>
        <w:t xml:space="preserve"> </w:t>
      </w:r>
      <w:r w:rsidR="00777DCB" w:rsidRPr="00A52585">
        <w:rPr>
          <w:rFonts w:hint="cs"/>
          <w:rtl/>
        </w:rPr>
        <w:t>بتوفيقه -</w:t>
      </w:r>
      <w:r w:rsidRPr="00A52585">
        <w:rPr>
          <w:rFonts w:hint="cs"/>
          <w:rtl/>
        </w:rPr>
        <w:t xml:space="preserve"> </w:t>
      </w:r>
      <w:r w:rsidR="00777DCB" w:rsidRPr="00A52585">
        <w:rPr>
          <w:rFonts w:hint="cs"/>
          <w:rtl/>
        </w:rPr>
        <w:t>إلا الباطنية والمشبهة فإنهما زَعْنَفَةٌ تحققتُ أنه ليس وراءهما معرفة</w:t>
      </w:r>
      <w:r w:rsidR="00DB731D" w:rsidRPr="00A52585">
        <w:rPr>
          <w:rFonts w:hint="cs"/>
          <w:rtl/>
        </w:rPr>
        <w:t>،</w:t>
      </w:r>
      <w:r w:rsidR="00777DCB" w:rsidRPr="00A52585">
        <w:rPr>
          <w:rFonts w:hint="cs"/>
          <w:rtl/>
        </w:rPr>
        <w:t xml:space="preserve"> فقذفت نفسي كلامهما من أول مرة</w:t>
      </w:r>
      <w:r w:rsidRPr="00A52585">
        <w:rPr>
          <w:rFonts w:hint="cs"/>
          <w:rtl/>
        </w:rPr>
        <w:t>)</w:t>
      </w:r>
      <w:r w:rsidR="00777DCB" w:rsidRPr="00A52585">
        <w:rPr>
          <w:rFonts w:hint="cs"/>
          <w:rtl/>
        </w:rPr>
        <w:t xml:space="preserve"> اهـ</w:t>
      </w:r>
      <w:r w:rsidR="00DB731D" w:rsidRPr="00A52585">
        <w:rPr>
          <w:rFonts w:hint="cs"/>
          <w:rtl/>
        </w:rPr>
        <w:t>،</w:t>
      </w:r>
      <w:r w:rsidR="00777DCB" w:rsidRPr="00A52585">
        <w:rPr>
          <w:rFonts w:hint="cs"/>
          <w:rtl/>
        </w:rPr>
        <w:t xml:space="preserve"> بل لا يتصور أن يميل إلى أحدهما عاقل إلا إذا كان له غاية إلحادية</w:t>
      </w:r>
      <w:r w:rsidR="00DB731D" w:rsidRPr="00A52585">
        <w:rPr>
          <w:rFonts w:hint="cs"/>
          <w:rtl/>
        </w:rPr>
        <w:t>،</w:t>
      </w:r>
      <w:r w:rsidR="00777DCB" w:rsidRPr="00A52585">
        <w:rPr>
          <w:rFonts w:hint="cs"/>
          <w:rtl/>
        </w:rPr>
        <w:t xml:space="preserve"> وأنَّى يستعجم على عالِمٍ باللسان العربي المبين ما في كتاب الله وسنة رسوله صلى الله عليه وسلم من الدلالة على تنـزيه الله جل شأنه من الجسمية والجسمانيات والمادة والماديات</w:t>
      </w:r>
      <w:r w:rsidR="00DB731D" w:rsidRPr="00A52585">
        <w:rPr>
          <w:rFonts w:hint="cs"/>
          <w:rtl/>
        </w:rPr>
        <w:t>،</w:t>
      </w:r>
      <w:r w:rsidR="00777DCB" w:rsidRPr="00A52585">
        <w:rPr>
          <w:rFonts w:hint="cs"/>
          <w:rtl/>
        </w:rPr>
        <w:t xml:space="preserve"> بخلاف العامي الذي هو قريب العهد من الجاهلية</w:t>
      </w:r>
      <w:r w:rsidR="00DB731D" w:rsidRPr="00A52585">
        <w:rPr>
          <w:rFonts w:hint="cs"/>
          <w:rtl/>
        </w:rPr>
        <w:t>،</w:t>
      </w:r>
      <w:r w:rsidR="00777DCB" w:rsidRPr="00A52585">
        <w:rPr>
          <w:rFonts w:hint="cs"/>
          <w:rtl/>
        </w:rPr>
        <w:t xml:space="preserve"> </w:t>
      </w:r>
    </w:p>
    <w:p w14:paraId="10622C75" w14:textId="615F4458" w:rsidR="00777DCB" w:rsidRPr="00A52585" w:rsidRDefault="0002035C" w:rsidP="0002035C">
      <w:pPr>
        <w:spacing w:after="240"/>
        <w:rPr>
          <w:b/>
          <w:rtl/>
        </w:rPr>
      </w:pPr>
      <w:r w:rsidRPr="00A52585">
        <w:rPr>
          <w:rFonts w:hint="cs"/>
          <w:bCs/>
          <w:rtl/>
        </w:rPr>
        <w:t>[</w:t>
      </w:r>
      <w:r w:rsidR="00777DCB" w:rsidRPr="00A52585">
        <w:rPr>
          <w:rFonts w:hint="cs"/>
          <w:bCs/>
          <w:rtl/>
        </w:rPr>
        <w:t>فضل علماء أصول الدين في حراسة الدين</w:t>
      </w:r>
      <w:r w:rsidRPr="00A52585">
        <w:rPr>
          <w:rFonts w:hint="cs"/>
          <w:bCs/>
          <w:rtl/>
        </w:rPr>
        <w:t>]:</w:t>
      </w:r>
      <w:r w:rsidR="00777DCB" w:rsidRPr="00A52585">
        <w:rPr>
          <w:rFonts w:hint="cs"/>
          <w:bCs/>
          <w:rtl/>
        </w:rPr>
        <w:t xml:space="preserve"> </w:t>
      </w:r>
      <w:r w:rsidR="00777DCB" w:rsidRPr="00A52585">
        <w:rPr>
          <w:rFonts w:hint="cs"/>
          <w:rtl/>
        </w:rPr>
        <w:t>جزى الله علماء أصول الدين عن الإسلام خيراً</w:t>
      </w:r>
      <w:r w:rsidR="00DB731D" w:rsidRPr="00A52585">
        <w:rPr>
          <w:rFonts w:hint="cs"/>
          <w:rtl/>
        </w:rPr>
        <w:t>،</w:t>
      </w:r>
      <w:r w:rsidR="00777DCB" w:rsidRPr="00A52585">
        <w:rPr>
          <w:rFonts w:hint="cs"/>
          <w:rtl/>
        </w:rPr>
        <w:t xml:space="preserve"> فإنَّ لهم فضلاً جسيماً في صيانة عقائد المسلمين بأدلة ناهضة مدى القرون أمام كل فرقة زائغة</w:t>
      </w:r>
      <w:r w:rsidR="00DB731D" w:rsidRPr="00A52585">
        <w:rPr>
          <w:rFonts w:hint="cs"/>
          <w:rtl/>
        </w:rPr>
        <w:t>،</w:t>
      </w:r>
      <w:r w:rsidR="00777DCB" w:rsidRPr="00A52585">
        <w:rPr>
          <w:rFonts w:hint="cs"/>
          <w:rtl/>
        </w:rPr>
        <w:t xml:space="preserve"> وإنما يكون التعويل في كل علمٍ على أئمته دونَ مَن سواهم؛ لأنَّ من يكون إماماً في عِلْمٍ كثيراً ما يكون بمنـزلة العامي في علم آخر</w:t>
      </w:r>
      <w:r w:rsidR="00DB731D" w:rsidRPr="00A52585">
        <w:rPr>
          <w:rFonts w:hint="cs"/>
          <w:rtl/>
        </w:rPr>
        <w:t>،</w:t>
      </w:r>
      <w:r w:rsidR="00777DCB" w:rsidRPr="00A52585">
        <w:rPr>
          <w:rFonts w:hint="cs"/>
          <w:rtl/>
        </w:rPr>
        <w:t xml:space="preserve"> فإذاً لا يُعَوَّلُ في العقائد إلا على أئمة أصول الدين لا على الرواة البعيدين </w:t>
      </w:r>
      <w:r w:rsidR="00777DCB" w:rsidRPr="00A52585">
        <w:rPr>
          <w:rFonts w:hint="cs"/>
          <w:rtl/>
        </w:rPr>
        <w:lastRenderedPageBreak/>
        <w:t>عن النظر</w:t>
      </w:r>
      <w:r w:rsidR="00DB731D" w:rsidRPr="00A52585">
        <w:rPr>
          <w:rFonts w:hint="cs"/>
          <w:rtl/>
        </w:rPr>
        <w:t>،</w:t>
      </w:r>
      <w:r w:rsidR="00777DCB" w:rsidRPr="00A52585">
        <w:rPr>
          <w:rFonts w:hint="cs"/>
          <w:rtl/>
        </w:rPr>
        <w:t xml:space="preserve"> وكم بينهم من يُرْثَى لمداركه حيث يقل عقله عن عقول الأطفال</w:t>
      </w:r>
      <w:r w:rsidR="00DB731D" w:rsidRPr="00A52585">
        <w:rPr>
          <w:rFonts w:hint="cs"/>
          <w:rtl/>
        </w:rPr>
        <w:t>،</w:t>
      </w:r>
      <w:r w:rsidR="00777DCB" w:rsidRPr="00A52585">
        <w:rPr>
          <w:rFonts w:hint="cs"/>
          <w:rtl/>
        </w:rPr>
        <w:t xml:space="preserve"> وإن بلغ في السن مبلغ الرجال. ومن طالع ما ألَّفه بعض الرواة على طول القرون من كتب في التوحيد والصفات والسنَّة والردود على أهل النظر</w:t>
      </w:r>
      <w:r w:rsidR="00DB731D" w:rsidRPr="00A52585">
        <w:rPr>
          <w:rFonts w:hint="cs"/>
          <w:rtl/>
        </w:rPr>
        <w:t>،</w:t>
      </w:r>
      <w:r w:rsidR="00777DCB" w:rsidRPr="00A52585">
        <w:rPr>
          <w:rFonts w:hint="cs"/>
          <w:rtl/>
        </w:rPr>
        <w:t xml:space="preserve"> يشكر الله سبحانه على النور الذي أفاضه على عقله حتى نبذ مثل تلك الطَّامات بأول نظرة</w:t>
      </w:r>
      <w:r w:rsidR="00DB731D" w:rsidRPr="00A52585">
        <w:rPr>
          <w:rFonts w:hint="cs"/>
          <w:rtl/>
        </w:rPr>
        <w:t>،</w:t>
      </w:r>
      <w:r w:rsidR="00777DCB" w:rsidRPr="00A52585">
        <w:rPr>
          <w:rFonts w:hint="cs"/>
          <w:rtl/>
        </w:rPr>
        <w:t xml:space="preserve"> </w:t>
      </w:r>
    </w:p>
    <w:p w14:paraId="21502E64" w14:textId="05459426" w:rsidR="00777DCB" w:rsidRPr="00A52585" w:rsidRDefault="0002035C" w:rsidP="0002035C">
      <w:pPr>
        <w:spacing w:after="240"/>
        <w:rPr>
          <w:b/>
          <w:rtl/>
        </w:rPr>
      </w:pPr>
      <w:r w:rsidRPr="00A52585">
        <w:rPr>
          <w:rFonts w:hint="cs"/>
          <w:bCs/>
          <w:rtl/>
        </w:rPr>
        <w:t>[</w:t>
      </w:r>
      <w:r w:rsidR="00777DCB" w:rsidRPr="00A52585">
        <w:rPr>
          <w:rFonts w:hint="cs"/>
          <w:bCs/>
          <w:rtl/>
        </w:rPr>
        <w:t xml:space="preserve">محاولة ابن تيمية بعث </w:t>
      </w:r>
      <w:proofErr w:type="spellStart"/>
      <w:r w:rsidR="00777DCB" w:rsidRPr="00A52585">
        <w:rPr>
          <w:rFonts w:hint="cs"/>
          <w:bCs/>
          <w:rtl/>
        </w:rPr>
        <w:t>الحشوية</w:t>
      </w:r>
      <w:proofErr w:type="spellEnd"/>
      <w:r w:rsidR="00777DCB" w:rsidRPr="00A52585">
        <w:rPr>
          <w:rFonts w:hint="cs"/>
          <w:bCs/>
          <w:rtl/>
        </w:rPr>
        <w:t xml:space="preserve"> من مرقدها</w:t>
      </w:r>
      <w:r w:rsidRPr="00A52585">
        <w:rPr>
          <w:rFonts w:hint="cs"/>
          <w:bCs/>
          <w:rtl/>
        </w:rPr>
        <w:t>]</w:t>
      </w:r>
      <w:r w:rsidRPr="00A52585">
        <w:rPr>
          <w:rFonts w:hint="cs"/>
          <w:rtl/>
        </w:rPr>
        <w:t>:</w:t>
      </w:r>
      <w:r w:rsidR="00777DCB" w:rsidRPr="00A52585">
        <w:rPr>
          <w:rFonts w:hint="cs"/>
          <w:rtl/>
        </w:rPr>
        <w:t xml:space="preserve"> وقد استمرت فتن المخدوعين من الرواة على طول القرون مجلبة لسخط الله تعالى ولاستسخاف العقلاء</w:t>
      </w:r>
      <w:r w:rsidR="00DB731D" w:rsidRPr="00A52585">
        <w:rPr>
          <w:rFonts w:hint="cs"/>
          <w:rtl/>
        </w:rPr>
        <w:t>،</w:t>
      </w:r>
      <w:r w:rsidR="00777DCB" w:rsidRPr="00A52585">
        <w:rPr>
          <w:rFonts w:hint="cs"/>
          <w:rtl/>
        </w:rPr>
        <w:t xml:space="preserve"> من غير أن يخطر ببال عاقل أن يناضل عن سخافات هؤلاء</w:t>
      </w:r>
      <w:r w:rsidR="00DB731D" w:rsidRPr="00A52585">
        <w:rPr>
          <w:rFonts w:hint="cs"/>
          <w:rtl/>
        </w:rPr>
        <w:t>،</w:t>
      </w:r>
      <w:r w:rsidR="00777DCB" w:rsidRPr="00A52585">
        <w:rPr>
          <w:rFonts w:hint="cs"/>
          <w:rtl/>
        </w:rPr>
        <w:t xml:space="preserve"> إلى أن نبغ في أواخر القرن السابع بدمشق حرَّانيٌ تجرَّدَ للدعوة إلى مذهب هؤلاء </w:t>
      </w:r>
      <w:proofErr w:type="spellStart"/>
      <w:r w:rsidR="00777DCB" w:rsidRPr="00A52585">
        <w:rPr>
          <w:rFonts w:hint="cs"/>
          <w:rtl/>
        </w:rPr>
        <w:t>الحشوية</w:t>
      </w:r>
      <w:proofErr w:type="spellEnd"/>
      <w:r w:rsidR="00777DCB" w:rsidRPr="00A52585">
        <w:rPr>
          <w:rFonts w:hint="cs"/>
          <w:rtl/>
        </w:rPr>
        <w:t xml:space="preserve"> السخفاء</w:t>
      </w:r>
      <w:r w:rsidR="00DB731D" w:rsidRPr="00A52585">
        <w:rPr>
          <w:rFonts w:hint="cs"/>
          <w:rtl/>
        </w:rPr>
        <w:t>،</w:t>
      </w:r>
      <w:r w:rsidR="00777DCB" w:rsidRPr="00A52585">
        <w:rPr>
          <w:rFonts w:hint="cs"/>
          <w:rtl/>
        </w:rPr>
        <w:t xml:space="preserve"> متظاهراً بالجمع بين العقل والنقل على حَسَبِ فهمه من الكتب</w:t>
      </w:r>
      <w:r w:rsidR="00DB731D" w:rsidRPr="00A52585">
        <w:rPr>
          <w:rFonts w:hint="cs"/>
          <w:rtl/>
        </w:rPr>
        <w:t>،</w:t>
      </w:r>
      <w:r w:rsidR="00777DCB" w:rsidRPr="00A52585">
        <w:rPr>
          <w:rFonts w:hint="cs"/>
          <w:rtl/>
        </w:rPr>
        <w:t xml:space="preserve"> بدون أستاذ يرشده في مواطن الزلل</w:t>
      </w:r>
      <w:r w:rsidR="00DB731D" w:rsidRPr="00A52585">
        <w:rPr>
          <w:rFonts w:hint="cs"/>
          <w:rtl/>
        </w:rPr>
        <w:t>،</w:t>
      </w:r>
      <w:r w:rsidR="00777DCB" w:rsidRPr="00A52585">
        <w:rPr>
          <w:rFonts w:hint="cs"/>
          <w:rtl/>
        </w:rPr>
        <w:t xml:space="preserve"> وحاشا العقل الناهض والنقل الصحيح أن يتضافرا في الدفاع عن تخريف السخفاء</w:t>
      </w:r>
      <w:r w:rsidR="00DB731D" w:rsidRPr="00A52585">
        <w:rPr>
          <w:rFonts w:hint="cs"/>
          <w:rtl/>
        </w:rPr>
        <w:t>،</w:t>
      </w:r>
      <w:r w:rsidR="00777DCB" w:rsidRPr="00A52585">
        <w:rPr>
          <w:rFonts w:hint="cs"/>
          <w:rtl/>
        </w:rPr>
        <w:t xml:space="preserve"> إلا إذا كان العقل عقل صابئ والنقل نقل صبي</w:t>
      </w:r>
      <w:r w:rsidR="00F95886" w:rsidRPr="00A52585">
        <w:rPr>
          <w:rFonts w:hint="cs"/>
          <w:rtl/>
        </w:rPr>
        <w:t>!</w:t>
      </w:r>
      <w:r w:rsidR="00777DCB" w:rsidRPr="00A52585">
        <w:rPr>
          <w:rFonts w:hint="cs"/>
          <w:rtl/>
        </w:rPr>
        <w:t>! وكم انخدع بخزعبلاته أناسٌ ليسوا من التأهل للجمع بين الروية والدراية في شيء</w:t>
      </w:r>
      <w:r w:rsidR="00DB731D" w:rsidRPr="00A52585">
        <w:rPr>
          <w:rFonts w:hint="cs"/>
          <w:rtl/>
        </w:rPr>
        <w:t>،</w:t>
      </w:r>
      <w:r w:rsidR="00777DCB" w:rsidRPr="00A52585">
        <w:rPr>
          <w:rFonts w:hint="cs"/>
          <w:rtl/>
        </w:rPr>
        <w:t xml:space="preserve"> وله مع خلطائه هؤلاء موقف في يوم القيامة لا يغبط عليه</w:t>
      </w:r>
      <w:r w:rsidR="00DB731D" w:rsidRPr="00A52585">
        <w:rPr>
          <w:rFonts w:hint="cs"/>
          <w:rtl/>
        </w:rPr>
        <w:t>،</w:t>
      </w:r>
      <w:r w:rsidR="00777DCB" w:rsidRPr="00A52585">
        <w:rPr>
          <w:rFonts w:hint="cs"/>
          <w:rtl/>
        </w:rPr>
        <w:t xml:space="preserve"> ومن درس حياته يجدها كلّها فتناً لا يثيرها حاظٍ بعقله غيرُ مصاب في دينه</w:t>
      </w:r>
      <w:r w:rsidR="00DB731D" w:rsidRPr="00A52585">
        <w:rPr>
          <w:rFonts w:hint="cs"/>
          <w:rtl/>
        </w:rPr>
        <w:t>،</w:t>
      </w:r>
      <w:r w:rsidR="00777DCB" w:rsidRPr="00A52585">
        <w:rPr>
          <w:rFonts w:hint="cs"/>
          <w:rtl/>
        </w:rPr>
        <w:t xml:space="preserve"> وأنَّي يوجد نصٌ صريحٌ منقول</w:t>
      </w:r>
      <w:r w:rsidR="00DB731D" w:rsidRPr="00A52585">
        <w:rPr>
          <w:rFonts w:hint="cs"/>
          <w:rtl/>
        </w:rPr>
        <w:t>،</w:t>
      </w:r>
      <w:r w:rsidR="00777DCB" w:rsidRPr="00A52585">
        <w:rPr>
          <w:rFonts w:hint="cs"/>
          <w:rtl/>
        </w:rPr>
        <w:t xml:space="preserve"> أو برهان صحيح معقول يثبت الجِهَة والحركة والثِّقل والمكان ونحوها لله سبحانه</w:t>
      </w:r>
      <w:r w:rsidR="00F95886" w:rsidRPr="00A52585">
        <w:rPr>
          <w:rFonts w:hint="cs"/>
          <w:rtl/>
        </w:rPr>
        <w:t>!</w:t>
      </w:r>
      <w:r w:rsidR="00777DCB" w:rsidRPr="00A52585">
        <w:rPr>
          <w:rFonts w:hint="cs"/>
          <w:rtl/>
        </w:rPr>
        <w:t>!</w:t>
      </w:r>
      <w:r w:rsidR="00F95886" w:rsidRPr="00A52585">
        <w:rPr>
          <w:rFonts w:hint="cs"/>
          <w:rtl/>
        </w:rPr>
        <w:t>؟</w:t>
      </w:r>
      <w:r w:rsidR="00777DCB" w:rsidRPr="00A52585">
        <w:rPr>
          <w:rFonts w:hint="cs"/>
          <w:rtl/>
        </w:rPr>
        <w:t xml:space="preserve"> وسيمرُّ بك سردُ بعض </w:t>
      </w:r>
      <w:proofErr w:type="spellStart"/>
      <w:r w:rsidR="00777DCB" w:rsidRPr="00A52585">
        <w:rPr>
          <w:rFonts w:hint="cs"/>
          <w:rtl/>
        </w:rPr>
        <w:t>مخازيه</w:t>
      </w:r>
      <w:proofErr w:type="spellEnd"/>
      <w:r w:rsidR="00777DCB" w:rsidRPr="00A52585">
        <w:rPr>
          <w:rFonts w:hint="cs"/>
          <w:rtl/>
        </w:rPr>
        <w:t xml:space="preserve"> مع نقضها إن شاء الله تعالى</w:t>
      </w:r>
      <w:r w:rsidR="00DB731D" w:rsidRPr="00A52585">
        <w:rPr>
          <w:rFonts w:hint="cs"/>
          <w:rtl/>
        </w:rPr>
        <w:t>،</w:t>
      </w:r>
      <w:r w:rsidR="00777DCB" w:rsidRPr="00A52585">
        <w:rPr>
          <w:rFonts w:hint="cs"/>
          <w:rtl/>
        </w:rPr>
        <w:t xml:space="preserve"> وكلُّ ما في الرجل أنَّه كان له لسان طلق</w:t>
      </w:r>
      <w:r w:rsidR="00DB731D" w:rsidRPr="00A52585">
        <w:rPr>
          <w:rFonts w:hint="cs"/>
          <w:rtl/>
        </w:rPr>
        <w:t>،</w:t>
      </w:r>
      <w:r w:rsidR="00777DCB" w:rsidRPr="00A52585">
        <w:rPr>
          <w:rFonts w:hint="cs"/>
          <w:rtl/>
        </w:rPr>
        <w:t xml:space="preserve"> وقلمٌ سيَّال</w:t>
      </w:r>
      <w:r w:rsidR="00DB731D" w:rsidRPr="00A52585">
        <w:rPr>
          <w:rFonts w:hint="cs"/>
          <w:rtl/>
        </w:rPr>
        <w:t>،</w:t>
      </w:r>
      <w:r w:rsidR="00777DCB" w:rsidRPr="00A52585">
        <w:rPr>
          <w:rFonts w:hint="cs"/>
          <w:rtl/>
        </w:rPr>
        <w:t xml:space="preserve"> وحافظةٌ جيدة</w:t>
      </w:r>
      <w:r w:rsidR="00DB731D" w:rsidRPr="00A52585">
        <w:rPr>
          <w:rFonts w:hint="cs"/>
          <w:rtl/>
        </w:rPr>
        <w:t>،</w:t>
      </w:r>
      <w:r w:rsidR="00777DCB" w:rsidRPr="00A52585">
        <w:rPr>
          <w:rFonts w:hint="cs"/>
          <w:rtl/>
        </w:rPr>
        <w:t xml:space="preserve"> قلَّبَ</w:t>
      </w:r>
      <w:r w:rsidRPr="00A52585">
        <w:rPr>
          <w:rFonts w:hint="cs"/>
          <w:rtl/>
        </w:rPr>
        <w:t xml:space="preserve"> </w:t>
      </w:r>
      <w:r w:rsidR="00777DCB" w:rsidRPr="00A52585">
        <w:rPr>
          <w:rFonts w:hint="cs"/>
          <w:rtl/>
        </w:rPr>
        <w:t>- بنفسه بدون أستاذ رشيد -</w:t>
      </w:r>
      <w:r w:rsidRPr="00A52585">
        <w:rPr>
          <w:rFonts w:hint="cs"/>
          <w:rtl/>
        </w:rPr>
        <w:t xml:space="preserve"> </w:t>
      </w:r>
      <w:r w:rsidR="00777DCB" w:rsidRPr="00A52585">
        <w:rPr>
          <w:rFonts w:hint="cs"/>
          <w:rtl/>
        </w:rPr>
        <w:t xml:space="preserve">صفحات كتب كثيرة جداً من كتب النحل التي كانت دمشق امتلأت بها بواسطة </w:t>
      </w:r>
      <w:proofErr w:type="spellStart"/>
      <w:r w:rsidR="00777DCB" w:rsidRPr="00A52585">
        <w:rPr>
          <w:rFonts w:hint="cs"/>
          <w:rtl/>
        </w:rPr>
        <w:t>الجوافل</w:t>
      </w:r>
      <w:proofErr w:type="spellEnd"/>
      <w:r w:rsidR="00777DCB" w:rsidRPr="00A52585">
        <w:rPr>
          <w:rFonts w:hint="cs"/>
          <w:rtl/>
        </w:rPr>
        <w:t xml:space="preserve"> من استيلاء المغول على بلاد الشرق</w:t>
      </w:r>
      <w:r w:rsidR="00DB731D" w:rsidRPr="00A52585">
        <w:rPr>
          <w:rFonts w:hint="cs"/>
          <w:rtl/>
        </w:rPr>
        <w:t>،</w:t>
      </w:r>
      <w:r w:rsidR="00777DCB" w:rsidRPr="00A52585">
        <w:rPr>
          <w:rFonts w:hint="cs"/>
          <w:rtl/>
        </w:rPr>
        <w:t xml:space="preserve"> فاغتر بما فهمه من تلك الكتب من الوساوس والهواجس</w:t>
      </w:r>
      <w:r w:rsidR="00DB731D" w:rsidRPr="00A52585">
        <w:rPr>
          <w:rFonts w:hint="cs"/>
          <w:rtl/>
        </w:rPr>
        <w:t>،</w:t>
      </w:r>
      <w:r w:rsidR="00777DCB" w:rsidRPr="00A52585">
        <w:rPr>
          <w:rFonts w:hint="cs"/>
          <w:rtl/>
        </w:rPr>
        <w:t xml:space="preserve"> حتى طمحت نفسه إلى أن تكون قدوةً في المعتقد والأحكام العملية</w:t>
      </w:r>
      <w:r w:rsidR="00DB731D" w:rsidRPr="00A52585">
        <w:rPr>
          <w:rFonts w:hint="cs"/>
          <w:rtl/>
        </w:rPr>
        <w:t>،</w:t>
      </w:r>
      <w:r w:rsidR="00777DCB" w:rsidRPr="00A52585">
        <w:rPr>
          <w:rFonts w:hint="cs"/>
          <w:rtl/>
        </w:rPr>
        <w:t xml:space="preserve"> ففاه في القبيلين بما لم يفه به أحد من العالمين</w:t>
      </w:r>
      <w:r w:rsidR="00DB731D" w:rsidRPr="00A52585">
        <w:rPr>
          <w:rFonts w:hint="cs"/>
          <w:rtl/>
        </w:rPr>
        <w:t>،</w:t>
      </w:r>
      <w:r w:rsidR="00777DCB" w:rsidRPr="00A52585">
        <w:rPr>
          <w:rFonts w:hint="cs"/>
          <w:rtl/>
        </w:rPr>
        <w:t xml:space="preserve"> مما هو وصمة عار وأمارة مروق في نظر الناظرين</w:t>
      </w:r>
      <w:r w:rsidR="00DB731D" w:rsidRPr="00A52585">
        <w:rPr>
          <w:rFonts w:hint="cs"/>
          <w:rtl/>
        </w:rPr>
        <w:t>،</w:t>
      </w:r>
      <w:r w:rsidR="00777DCB" w:rsidRPr="00A52585">
        <w:rPr>
          <w:rFonts w:hint="cs"/>
          <w:rtl/>
        </w:rPr>
        <w:t xml:space="preserve"> فانفض من حوله أناس كانوا تعجلوا في إطرائه بادئ بدء قبل تجريبه</w:t>
      </w:r>
      <w:r w:rsidR="00DB731D" w:rsidRPr="00A52585">
        <w:rPr>
          <w:rFonts w:hint="cs"/>
          <w:rtl/>
        </w:rPr>
        <w:t>،</w:t>
      </w:r>
      <w:r w:rsidR="00777DCB" w:rsidRPr="00A52585">
        <w:rPr>
          <w:rFonts w:hint="cs"/>
          <w:rtl/>
        </w:rPr>
        <w:t xml:space="preserve"> وتخلوا عنه واحداً إثر واحد على تعاقب فتنه المدونة في كتب التاريخ [</w:t>
      </w:r>
      <w:r w:rsidR="00777DCB" w:rsidRPr="00A52585">
        <w:rPr>
          <w:rFonts w:hint="cs"/>
          <w:sz w:val="24"/>
          <w:szCs w:val="24"/>
          <w:rtl/>
        </w:rPr>
        <w:t>وثناء بعض المتأخرين عليه لم يكن إلا عن جهل بمضلات الفتن في كلامه ووجوه الزيغ في مؤلفاته، ومنهم مَن ظنَّ أنه دام على توبته بعدما استتيب، فداوم على الثناء، ولا حجَّةَ في مثل تلك الأثنية، وأقواله الماثلة أمامنا في كتبه لا يؤيدها إلا غاوٍ غوى، نسأل الله السلامة</w:t>
      </w:r>
      <w:r w:rsidRPr="00A52585">
        <w:rPr>
          <w:rFonts w:hint="cs"/>
          <w:sz w:val="24"/>
          <w:szCs w:val="24"/>
          <w:rtl/>
        </w:rPr>
        <w:t>]</w:t>
      </w:r>
      <w:r w:rsidR="00777DCB" w:rsidRPr="00A52585">
        <w:rPr>
          <w:rFonts w:hint="cs"/>
          <w:rtl/>
        </w:rPr>
        <w:t>، ولم يبق معه إلا أهل مذهبه في الحشو من جهلَةِ المقلِّدة</w:t>
      </w:r>
      <w:r w:rsidR="00DB731D" w:rsidRPr="00A52585">
        <w:rPr>
          <w:rFonts w:hint="cs"/>
          <w:rtl/>
        </w:rPr>
        <w:t>،</w:t>
      </w:r>
      <w:r w:rsidR="00777DCB" w:rsidRPr="00A52585">
        <w:rPr>
          <w:rFonts w:hint="cs"/>
          <w:rtl/>
        </w:rPr>
        <w:t xml:space="preserve"> ومن ظنَّ أن علماء عصره صاروا كلهم إلباً واحداً ضده حَسَداً من عند أنفسهم فليتَّهِم عقله وإدراكه قبل اتهام الآخرين</w:t>
      </w:r>
      <w:r w:rsidR="00DB731D" w:rsidRPr="00A52585">
        <w:rPr>
          <w:rFonts w:hint="cs"/>
          <w:rtl/>
        </w:rPr>
        <w:t>،</w:t>
      </w:r>
      <w:r w:rsidR="00777DCB" w:rsidRPr="00A52585">
        <w:rPr>
          <w:rFonts w:hint="cs"/>
          <w:rtl/>
        </w:rPr>
        <w:t xml:space="preserve"> بعد أن درس مبلغ بشاعة </w:t>
      </w:r>
      <w:proofErr w:type="spellStart"/>
      <w:r w:rsidR="00777DCB" w:rsidRPr="00A52585">
        <w:rPr>
          <w:rFonts w:hint="cs"/>
          <w:rtl/>
        </w:rPr>
        <w:t>شواذه</w:t>
      </w:r>
      <w:proofErr w:type="spellEnd"/>
      <w:r w:rsidR="00777DCB" w:rsidRPr="00A52585">
        <w:rPr>
          <w:rFonts w:hint="cs"/>
          <w:rtl/>
        </w:rPr>
        <w:t xml:space="preserve"> في الاعتقاد والعمل وهو لم يزل </w:t>
      </w:r>
      <w:r w:rsidR="00777DCB" w:rsidRPr="00A52585">
        <w:rPr>
          <w:rFonts w:hint="cs"/>
          <w:rtl/>
        </w:rPr>
        <w:lastRenderedPageBreak/>
        <w:t xml:space="preserve">يُستتاب </w:t>
      </w:r>
      <w:proofErr w:type="spellStart"/>
      <w:r w:rsidR="00777DCB" w:rsidRPr="00A52585">
        <w:rPr>
          <w:rFonts w:hint="cs"/>
          <w:rtl/>
        </w:rPr>
        <w:t>استتابه</w:t>
      </w:r>
      <w:proofErr w:type="spellEnd"/>
      <w:r w:rsidR="00777DCB" w:rsidRPr="00A52585">
        <w:rPr>
          <w:rFonts w:hint="cs"/>
          <w:rtl/>
        </w:rPr>
        <w:t xml:space="preserve"> إثر استتابة</w:t>
      </w:r>
      <w:r w:rsidR="00DB731D" w:rsidRPr="00A52585">
        <w:rPr>
          <w:rFonts w:hint="cs"/>
          <w:rtl/>
        </w:rPr>
        <w:t>،</w:t>
      </w:r>
      <w:r w:rsidR="00777DCB" w:rsidRPr="00A52585">
        <w:rPr>
          <w:rFonts w:hint="cs"/>
          <w:rtl/>
        </w:rPr>
        <w:t xml:space="preserve"> وينقل من سجن إلى سجن إلى أن أفضى إلى ما عمل وهو مسجون</w:t>
      </w:r>
      <w:r w:rsidR="00DB731D" w:rsidRPr="00A52585">
        <w:rPr>
          <w:rFonts w:hint="cs"/>
          <w:rtl/>
        </w:rPr>
        <w:t>،</w:t>
      </w:r>
      <w:r w:rsidR="00777DCB" w:rsidRPr="00A52585">
        <w:rPr>
          <w:rFonts w:hint="cs"/>
          <w:rtl/>
        </w:rPr>
        <w:t xml:space="preserve"> فقبر هو وأهواؤه في البابين بموته وبردود العلماء عليه وما هي ببعيدة عن متناول رواد الحقائق</w:t>
      </w:r>
      <w:r w:rsidR="00DB731D" w:rsidRPr="00A52585">
        <w:rPr>
          <w:rFonts w:hint="cs"/>
          <w:rtl/>
        </w:rPr>
        <w:t>،</w:t>
      </w:r>
      <w:r w:rsidR="00777DCB" w:rsidRPr="00A52585">
        <w:rPr>
          <w:rFonts w:hint="cs"/>
          <w:rtl/>
        </w:rPr>
        <w:t xml:space="preserve"> </w:t>
      </w:r>
    </w:p>
    <w:p w14:paraId="1C107A69" w14:textId="2394A8A0" w:rsidR="00777DCB" w:rsidRPr="00A52585" w:rsidRDefault="0002035C" w:rsidP="0002035C">
      <w:pPr>
        <w:spacing w:after="240"/>
        <w:rPr>
          <w:b/>
          <w:rtl/>
        </w:rPr>
      </w:pPr>
      <w:r w:rsidRPr="00A52585">
        <w:rPr>
          <w:rFonts w:hint="cs"/>
          <w:bCs/>
          <w:rtl/>
        </w:rPr>
        <w:t>[</w:t>
      </w:r>
      <w:r w:rsidR="00777DCB" w:rsidRPr="00A52585">
        <w:rPr>
          <w:rFonts w:hint="cs"/>
          <w:bCs/>
          <w:rtl/>
        </w:rPr>
        <w:t>مسايرة ابن القيم لابن تيمية في فتنته</w:t>
      </w:r>
      <w:r w:rsidRPr="00A52585">
        <w:rPr>
          <w:rFonts w:hint="cs"/>
          <w:bCs/>
          <w:rtl/>
        </w:rPr>
        <w:t>]:</w:t>
      </w:r>
      <w:r w:rsidR="00777DCB" w:rsidRPr="00A52585">
        <w:rPr>
          <w:rFonts w:hint="cs"/>
          <w:rtl/>
        </w:rPr>
        <w:t xml:space="preserve"> وكان ابن </w:t>
      </w:r>
      <w:proofErr w:type="spellStart"/>
      <w:r w:rsidR="00777DCB" w:rsidRPr="00A52585">
        <w:rPr>
          <w:rFonts w:hint="cs"/>
          <w:rtl/>
        </w:rPr>
        <w:t>زفيل</w:t>
      </w:r>
      <w:proofErr w:type="spellEnd"/>
      <w:r w:rsidR="00777DCB" w:rsidRPr="00A52585">
        <w:rPr>
          <w:rFonts w:hint="cs"/>
          <w:rtl/>
        </w:rPr>
        <w:t xml:space="preserve"> الزرعي المعروف بابن القيم يسايره في </w:t>
      </w:r>
      <w:proofErr w:type="spellStart"/>
      <w:r w:rsidR="00777DCB" w:rsidRPr="00A52585">
        <w:rPr>
          <w:rFonts w:hint="cs"/>
          <w:rtl/>
        </w:rPr>
        <w:t>شواذه</w:t>
      </w:r>
      <w:proofErr w:type="spellEnd"/>
      <w:r w:rsidR="00777DCB" w:rsidRPr="00A52585">
        <w:rPr>
          <w:rFonts w:hint="cs"/>
          <w:rtl/>
        </w:rPr>
        <w:t xml:space="preserve"> كلها حياً وميتاً</w:t>
      </w:r>
      <w:r w:rsidR="00DB731D" w:rsidRPr="00A52585">
        <w:rPr>
          <w:rFonts w:hint="cs"/>
          <w:rtl/>
        </w:rPr>
        <w:t>،</w:t>
      </w:r>
      <w:r w:rsidR="00777DCB" w:rsidRPr="00A52585">
        <w:rPr>
          <w:rFonts w:hint="cs"/>
          <w:rtl/>
        </w:rPr>
        <w:t xml:space="preserve"> ويقلده فيها تقليداً أعمى في الحق والباطل</w:t>
      </w:r>
      <w:r w:rsidR="00DB731D" w:rsidRPr="00A52585">
        <w:rPr>
          <w:rFonts w:hint="cs"/>
          <w:rtl/>
        </w:rPr>
        <w:t>،</w:t>
      </w:r>
      <w:r w:rsidR="00777DCB" w:rsidRPr="00A52585">
        <w:rPr>
          <w:rFonts w:hint="cs"/>
          <w:rtl/>
        </w:rPr>
        <w:t xml:space="preserve"> وإن كان يتظاهر بمظهر الاستدلال لكن لم يكن استدلاله المصطنع سوى ترديد منه لتشغيب </w:t>
      </w:r>
      <w:proofErr w:type="spellStart"/>
      <w:r w:rsidR="00777DCB" w:rsidRPr="00A52585">
        <w:rPr>
          <w:rFonts w:hint="cs"/>
          <w:rtl/>
        </w:rPr>
        <w:t>قدوته</w:t>
      </w:r>
      <w:proofErr w:type="spellEnd"/>
      <w:r w:rsidR="00777DCB" w:rsidRPr="00A52585">
        <w:rPr>
          <w:rFonts w:hint="cs"/>
          <w:rtl/>
        </w:rPr>
        <w:t xml:space="preserve"> دائباً على إذاعة شواذ شيخه</w:t>
      </w:r>
      <w:r w:rsidR="00DB731D" w:rsidRPr="00A52585">
        <w:rPr>
          <w:rFonts w:hint="cs"/>
          <w:rtl/>
        </w:rPr>
        <w:t>،</w:t>
      </w:r>
      <w:r w:rsidR="00777DCB" w:rsidRPr="00A52585">
        <w:rPr>
          <w:rFonts w:hint="cs"/>
          <w:rtl/>
        </w:rPr>
        <w:t xml:space="preserve"> متوخياً في غالب مؤلفاته تلطيف لهجة أستاذه في تلك الشواذ</w:t>
      </w:r>
      <w:r w:rsidR="00DB731D" w:rsidRPr="00A52585">
        <w:rPr>
          <w:rFonts w:hint="cs"/>
          <w:rtl/>
        </w:rPr>
        <w:t>،</w:t>
      </w:r>
      <w:r w:rsidR="00777DCB" w:rsidRPr="00A52585">
        <w:rPr>
          <w:rFonts w:hint="cs"/>
          <w:rtl/>
        </w:rPr>
        <w:t xml:space="preserve"> لتنطلي وتنفق على الضعفاء</w:t>
      </w:r>
      <w:r w:rsidR="00DB731D" w:rsidRPr="00A52585">
        <w:rPr>
          <w:rFonts w:hint="cs"/>
          <w:rtl/>
        </w:rPr>
        <w:t>،</w:t>
      </w:r>
      <w:r w:rsidR="00777DCB" w:rsidRPr="00A52585">
        <w:rPr>
          <w:rFonts w:hint="cs"/>
          <w:rtl/>
        </w:rPr>
        <w:t xml:space="preserve"> وعمله كله التلبيس والمخادعة والنضال عن تلك الأهواء المخزية حتى أفنى عمره بالدندنة حول مفردات الشيخ الحراني</w:t>
      </w:r>
      <w:r w:rsidR="00DB731D" w:rsidRPr="00A52585">
        <w:rPr>
          <w:rFonts w:hint="cs"/>
          <w:rtl/>
        </w:rPr>
        <w:t>،</w:t>
      </w:r>
      <w:r w:rsidR="00777DCB" w:rsidRPr="00A52585">
        <w:rPr>
          <w:rFonts w:hint="cs"/>
          <w:rtl/>
        </w:rPr>
        <w:t xml:space="preserve"> تراه يثرثر في كل واد</w:t>
      </w:r>
      <w:r w:rsidR="00DB731D" w:rsidRPr="00A52585">
        <w:rPr>
          <w:rFonts w:hint="cs"/>
          <w:rtl/>
        </w:rPr>
        <w:t>،</w:t>
      </w:r>
      <w:r w:rsidR="00777DCB" w:rsidRPr="00A52585">
        <w:rPr>
          <w:rFonts w:hint="cs"/>
          <w:rtl/>
        </w:rPr>
        <w:t xml:space="preserve"> ويخطب بكل ناد بكلام لا محصل له عند أهل التحصيل</w:t>
      </w:r>
      <w:r w:rsidR="00DB731D" w:rsidRPr="00A52585">
        <w:rPr>
          <w:rFonts w:hint="cs"/>
          <w:rtl/>
        </w:rPr>
        <w:t>،</w:t>
      </w:r>
      <w:r w:rsidR="00777DCB" w:rsidRPr="00A52585">
        <w:rPr>
          <w:rFonts w:hint="cs"/>
          <w:rtl/>
        </w:rPr>
        <w:t xml:space="preserve"> ولم يكن له حظ من المعقول</w:t>
      </w:r>
      <w:r w:rsidR="00DB731D" w:rsidRPr="00A52585">
        <w:rPr>
          <w:rFonts w:hint="cs"/>
          <w:rtl/>
        </w:rPr>
        <w:t>،</w:t>
      </w:r>
      <w:r w:rsidR="00777DCB" w:rsidRPr="00A52585">
        <w:rPr>
          <w:rFonts w:hint="cs"/>
          <w:rtl/>
        </w:rPr>
        <w:t xml:space="preserve"> وإن كان كثير السرد لآراء أهل النظر</w:t>
      </w:r>
      <w:r w:rsidR="00DB731D" w:rsidRPr="00A52585">
        <w:rPr>
          <w:rFonts w:hint="cs"/>
          <w:rtl/>
        </w:rPr>
        <w:t>،</w:t>
      </w:r>
      <w:r w:rsidR="00777DCB" w:rsidRPr="00A52585">
        <w:rPr>
          <w:rFonts w:hint="cs"/>
          <w:rtl/>
        </w:rPr>
        <w:t xml:space="preserve"> ويظهر مبلغ تهافته واضطرابه لمن طالع </w:t>
      </w:r>
      <w:r w:rsidRPr="00A52585">
        <w:rPr>
          <w:rFonts w:hint="cs"/>
          <w:rtl/>
        </w:rPr>
        <w:t>(</w:t>
      </w:r>
      <w:r w:rsidR="00777DCB" w:rsidRPr="00A52585">
        <w:rPr>
          <w:rFonts w:hint="cs"/>
          <w:rtl/>
        </w:rPr>
        <w:t>شفاء العليل</w:t>
      </w:r>
      <w:r w:rsidRPr="00A52585">
        <w:rPr>
          <w:rFonts w:hint="cs"/>
          <w:rtl/>
        </w:rPr>
        <w:t>)</w:t>
      </w:r>
      <w:r w:rsidR="00777DCB" w:rsidRPr="00A52585">
        <w:rPr>
          <w:rFonts w:hint="cs"/>
          <w:rtl/>
        </w:rPr>
        <w:t xml:space="preserve"> له بتبصر</w:t>
      </w:r>
      <w:r w:rsidR="00DB731D" w:rsidRPr="00A52585">
        <w:rPr>
          <w:rFonts w:hint="cs"/>
          <w:rtl/>
        </w:rPr>
        <w:t>،</w:t>
      </w:r>
      <w:r w:rsidR="00777DCB" w:rsidRPr="00A52585">
        <w:rPr>
          <w:rFonts w:hint="cs"/>
          <w:rtl/>
        </w:rPr>
        <w:t xml:space="preserve"> ونونيَّته وعزوَه من الدلائل</w:t>
      </w:r>
      <w:r w:rsidR="00DB731D" w:rsidRPr="00A52585">
        <w:rPr>
          <w:rFonts w:hint="cs"/>
          <w:rtl/>
        </w:rPr>
        <w:t>،</w:t>
      </w:r>
      <w:r w:rsidR="00777DCB" w:rsidRPr="00A52585">
        <w:rPr>
          <w:rFonts w:hint="cs"/>
          <w:rtl/>
        </w:rPr>
        <w:t xml:space="preserve"> على أنه لم يكن ممن له علم بالرجال ولا ينقد الحديث حيث أثنى فيهما على أناس </w:t>
      </w:r>
      <w:proofErr w:type="spellStart"/>
      <w:r w:rsidR="00777DCB" w:rsidRPr="00A52585">
        <w:rPr>
          <w:rFonts w:hint="cs"/>
          <w:rtl/>
        </w:rPr>
        <w:t>هلكى</w:t>
      </w:r>
      <w:proofErr w:type="spellEnd"/>
      <w:r w:rsidR="00DB731D" w:rsidRPr="00A52585">
        <w:rPr>
          <w:rFonts w:hint="cs"/>
          <w:rtl/>
        </w:rPr>
        <w:t>،</w:t>
      </w:r>
      <w:r w:rsidR="00777DCB" w:rsidRPr="00A52585">
        <w:rPr>
          <w:rFonts w:hint="cs"/>
          <w:rtl/>
        </w:rPr>
        <w:t xml:space="preserve"> واستدل فيهما بأخبار غير صحيحة على صفات الله سبحانه</w:t>
      </w:r>
      <w:r w:rsidR="00DB731D" w:rsidRPr="00A52585">
        <w:rPr>
          <w:rFonts w:hint="cs"/>
          <w:rtl/>
        </w:rPr>
        <w:t>،</w:t>
      </w:r>
      <w:r w:rsidR="00777DCB" w:rsidRPr="00A52585">
        <w:rPr>
          <w:rFonts w:hint="cs"/>
          <w:rtl/>
        </w:rPr>
        <w:t xml:space="preserve"> وقد ذكره في المعجم المختص بما فيه عبرة</w:t>
      </w:r>
      <w:r w:rsidR="00DB731D" w:rsidRPr="00A52585">
        <w:rPr>
          <w:rFonts w:hint="cs"/>
          <w:rtl/>
        </w:rPr>
        <w:t>،</w:t>
      </w:r>
      <w:r w:rsidR="00777DCB" w:rsidRPr="00A52585">
        <w:rPr>
          <w:rFonts w:hint="cs"/>
          <w:rtl/>
        </w:rPr>
        <w:t xml:space="preserve"> ولم يترجم له الحسيني ولا ابن فهد ولا السيوطي في عداد الحفاظ في ذيولهم على طبقات الحفاظ</w:t>
      </w:r>
      <w:r w:rsidR="00DB731D" w:rsidRPr="00A52585">
        <w:rPr>
          <w:rFonts w:hint="cs"/>
          <w:rtl/>
        </w:rPr>
        <w:t>،</w:t>
      </w:r>
      <w:r w:rsidR="00777DCB" w:rsidRPr="00A52585">
        <w:rPr>
          <w:rFonts w:hint="cs"/>
          <w:rtl/>
        </w:rPr>
        <w:t xml:space="preserve"> وما يقع من القارئ بموقع الإعجاب من أبحاثه الحديثية في زاد المعاد وغيره فمختزل مأخوذ مما عنده من كتب قيمة لأهل العلم بالحديث</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كالمورد الهني شرح سير عبد الغني للقطب الحلبي</w:t>
      </w:r>
      <w:r w:rsidRPr="00A52585">
        <w:rPr>
          <w:rFonts w:hint="cs"/>
          <w:rtl/>
        </w:rPr>
        <w:t>)</w:t>
      </w:r>
      <w:r w:rsidR="00777DCB" w:rsidRPr="00A52585">
        <w:rPr>
          <w:rFonts w:hint="cs"/>
          <w:rtl/>
        </w:rPr>
        <w:t xml:space="preserve"> ونحوه [</w:t>
      </w:r>
      <w:r w:rsidR="00777DCB" w:rsidRPr="00A52585">
        <w:rPr>
          <w:rFonts w:hint="cs"/>
          <w:sz w:val="24"/>
          <w:szCs w:val="24"/>
          <w:rtl/>
        </w:rPr>
        <w:t>وبمقارنه كتابه (بدائع الفوائد) مع كتاب الإمام السهيلي (نتائج الفكر في النحو)، تبين أنه سطا عليه وعزا كل الفوائد التي يجتنيها من هذا الكتاب لنفسه، وفعل الشيء نفسه باختزال بعض المباحث من كتاب الفروق للإمام القرافي دون عزو أو إشارة، وفي هذا ما فيه</w:t>
      </w:r>
      <w:r w:rsidR="00F95886" w:rsidRPr="00A52585">
        <w:rPr>
          <w:rFonts w:hint="cs"/>
          <w:sz w:val="24"/>
          <w:szCs w:val="24"/>
          <w:rtl/>
        </w:rPr>
        <w:t>!</w:t>
      </w:r>
      <w:r w:rsidR="00777DCB" w:rsidRPr="00A52585">
        <w:rPr>
          <w:rFonts w:hint="cs"/>
          <w:sz w:val="24"/>
          <w:szCs w:val="24"/>
          <w:rtl/>
        </w:rPr>
        <w:t>!! (مصححه)]</w:t>
      </w:r>
      <w:r w:rsidR="00DB731D" w:rsidRPr="00A52585">
        <w:rPr>
          <w:rFonts w:hint="cs"/>
          <w:rtl/>
        </w:rPr>
        <w:t>،</w:t>
      </w:r>
      <w:r w:rsidR="00777DCB" w:rsidRPr="00A52585">
        <w:rPr>
          <w:rFonts w:hint="cs"/>
          <w:rtl/>
        </w:rPr>
        <w:t xml:space="preserve"> ولولا محلي ابن حزم وإحكامه ومصنف ابن أبي شيبة وتمهيد ابن عبد البر لما تمكن من مغالطاته وتهويلاته في أعلام الموقعين</w:t>
      </w:r>
      <w:r w:rsidR="00DB731D" w:rsidRPr="00A52585">
        <w:rPr>
          <w:rFonts w:hint="cs"/>
          <w:rtl/>
        </w:rPr>
        <w:t>،</w:t>
      </w:r>
      <w:r w:rsidR="00777DCB" w:rsidRPr="00A52585">
        <w:rPr>
          <w:rFonts w:hint="cs"/>
          <w:rtl/>
        </w:rPr>
        <w:t xml:space="preserve"> وكم استتيب وعزر مع شيخه وبعده على مخاز في الاعتقاد والعمل تستبين منها ما ينطوي عليه من المضي على صنوف الزيغ تقليداً لشيخه الزائغ وسيلقي جزاء عمله هذا في الآخرة -</w:t>
      </w:r>
      <w:r w:rsidRPr="00A52585">
        <w:rPr>
          <w:rFonts w:hint="cs"/>
          <w:rtl/>
        </w:rPr>
        <w:t xml:space="preserve"> </w:t>
      </w:r>
      <w:r w:rsidR="00777DCB" w:rsidRPr="00A52585">
        <w:rPr>
          <w:rFonts w:hint="cs"/>
          <w:rtl/>
        </w:rPr>
        <w:t>إن لم يكن ختم له بالتوبة والإنابة كما لقى بعض ذلك في الدنيا</w:t>
      </w:r>
      <w:r w:rsidRPr="00A52585">
        <w:rPr>
          <w:rFonts w:hint="cs"/>
          <w:rtl/>
        </w:rPr>
        <w:t xml:space="preserve"> </w:t>
      </w:r>
    </w:p>
    <w:p w14:paraId="3F34DDF2" w14:textId="27819378" w:rsidR="00777DCB" w:rsidRPr="00A52585" w:rsidRDefault="0002035C" w:rsidP="0002035C">
      <w:pPr>
        <w:spacing w:after="240"/>
        <w:rPr>
          <w:b/>
          <w:spacing w:val="-4"/>
          <w:rtl/>
        </w:rPr>
      </w:pPr>
      <w:r w:rsidRPr="00A52585">
        <w:rPr>
          <w:rFonts w:hint="cs"/>
          <w:bCs/>
          <w:rtl/>
        </w:rPr>
        <w:t>[</w:t>
      </w:r>
      <w:r w:rsidR="00777DCB" w:rsidRPr="00A52585">
        <w:rPr>
          <w:rFonts w:hint="cs"/>
          <w:bCs/>
          <w:rtl/>
        </w:rPr>
        <w:t>نماذج من أقوال أصحاب ابن القيم وأضاده والمتحايدين</w:t>
      </w:r>
      <w:r w:rsidRPr="00A52585">
        <w:rPr>
          <w:rFonts w:hint="cs"/>
          <w:bCs/>
          <w:rtl/>
        </w:rPr>
        <w:t>]:</w:t>
      </w:r>
      <w:r w:rsidR="00777DCB" w:rsidRPr="00A52585">
        <w:rPr>
          <w:rFonts w:hint="cs"/>
          <w:bCs/>
          <w:rtl/>
        </w:rPr>
        <w:t xml:space="preserve"> قال الذهبي في المعجم المختص</w:t>
      </w:r>
      <w:r w:rsidR="00777DCB" w:rsidRPr="00A52585">
        <w:rPr>
          <w:rFonts w:hint="cs"/>
          <w:rtl/>
        </w:rPr>
        <w:t xml:space="preserve"> عن ابن القيم هذا</w:t>
      </w:r>
      <w:r w:rsidRPr="00A52585">
        <w:rPr>
          <w:rFonts w:hint="cs"/>
          <w:rtl/>
        </w:rPr>
        <w:t>:</w:t>
      </w:r>
      <w:r w:rsidR="00777DCB" w:rsidRPr="00A52585">
        <w:rPr>
          <w:rFonts w:hint="cs"/>
          <w:rtl/>
        </w:rPr>
        <w:t xml:space="preserve"> عُني بالحديث بمتونه وبعض رجاله</w:t>
      </w:r>
      <w:r w:rsidR="00DB731D" w:rsidRPr="00A52585">
        <w:rPr>
          <w:rFonts w:hint="cs"/>
          <w:rtl/>
        </w:rPr>
        <w:t>،</w:t>
      </w:r>
      <w:r w:rsidR="00777DCB" w:rsidRPr="00A52585">
        <w:rPr>
          <w:rFonts w:hint="cs"/>
          <w:rtl/>
        </w:rPr>
        <w:t xml:space="preserve"> وكان يشتغل في الفقه ويجيد تقريره</w:t>
      </w:r>
      <w:r w:rsidR="00DB731D" w:rsidRPr="00A52585">
        <w:rPr>
          <w:rFonts w:hint="cs"/>
          <w:rtl/>
        </w:rPr>
        <w:t>،</w:t>
      </w:r>
      <w:r w:rsidR="00777DCB" w:rsidRPr="00A52585">
        <w:rPr>
          <w:rFonts w:hint="cs"/>
          <w:rtl/>
        </w:rPr>
        <w:t xml:space="preserve"> وفي النحو ويدريه</w:t>
      </w:r>
      <w:r w:rsidR="00DB731D" w:rsidRPr="00A52585">
        <w:rPr>
          <w:rFonts w:hint="cs"/>
          <w:rtl/>
        </w:rPr>
        <w:t>،</w:t>
      </w:r>
      <w:r w:rsidR="00777DCB" w:rsidRPr="00A52585">
        <w:rPr>
          <w:rFonts w:hint="cs"/>
          <w:rtl/>
        </w:rPr>
        <w:t xml:space="preserve"> وفي الأصلين</w:t>
      </w:r>
      <w:r w:rsidR="00DB731D" w:rsidRPr="00A52585">
        <w:rPr>
          <w:rFonts w:hint="cs"/>
          <w:rtl/>
        </w:rPr>
        <w:t>،</w:t>
      </w:r>
      <w:r w:rsidR="00777DCB" w:rsidRPr="00A52585">
        <w:rPr>
          <w:rFonts w:hint="cs"/>
          <w:rtl/>
        </w:rPr>
        <w:t xml:space="preserve"> وقد حبس مدة لإنكاره على شد الرحيل لزيارة قبر الخليل </w:t>
      </w:r>
      <w:r w:rsidRPr="00A52585">
        <w:rPr>
          <w:rFonts w:hint="cs"/>
          <w:rtl/>
        </w:rPr>
        <w:t>(</w:t>
      </w:r>
      <w:r w:rsidR="00777DCB" w:rsidRPr="00A52585">
        <w:rPr>
          <w:rFonts w:hint="cs"/>
          <w:rtl/>
        </w:rPr>
        <w:t>إبراهيم عليه السلام</w:t>
      </w:r>
      <w:r w:rsidRPr="00A52585">
        <w:rPr>
          <w:rFonts w:hint="cs"/>
          <w:rtl/>
        </w:rPr>
        <w:t>)</w:t>
      </w:r>
      <w:r w:rsidR="00777DCB" w:rsidRPr="00A52585">
        <w:rPr>
          <w:rFonts w:hint="cs"/>
          <w:rtl/>
        </w:rPr>
        <w:t xml:space="preserve"> ثم تصدر للاشتغال ونشر العلم لكنه معجب برأيه </w:t>
      </w:r>
      <w:proofErr w:type="gramStart"/>
      <w:r w:rsidR="00777DCB" w:rsidRPr="00A52585">
        <w:rPr>
          <w:rFonts w:hint="cs"/>
          <w:rtl/>
        </w:rPr>
        <w:t>جرئ</w:t>
      </w:r>
      <w:proofErr w:type="gramEnd"/>
      <w:r w:rsidR="00777DCB" w:rsidRPr="00A52585">
        <w:rPr>
          <w:rFonts w:hint="cs"/>
          <w:rtl/>
        </w:rPr>
        <w:t xml:space="preserve"> على الأمور اهـ</w:t>
      </w:r>
      <w:r w:rsidR="00DB731D" w:rsidRPr="00A52585">
        <w:rPr>
          <w:rFonts w:hint="cs"/>
          <w:rtl/>
        </w:rPr>
        <w:t>،</w:t>
      </w:r>
      <w:r w:rsidR="00777DCB" w:rsidRPr="00A52585">
        <w:rPr>
          <w:rFonts w:hint="cs"/>
          <w:rtl/>
        </w:rPr>
        <w:t xml:space="preserve"> </w:t>
      </w:r>
      <w:r w:rsidR="00777DCB" w:rsidRPr="00A52585">
        <w:rPr>
          <w:rFonts w:hint="cs"/>
          <w:bCs/>
          <w:rtl/>
        </w:rPr>
        <w:t>وقال ابن حجر في الدرر الكامنة</w:t>
      </w:r>
      <w:r w:rsidRPr="00A52585">
        <w:rPr>
          <w:rFonts w:hint="cs"/>
          <w:rtl/>
        </w:rPr>
        <w:t>:</w:t>
      </w:r>
      <w:r w:rsidR="00777DCB" w:rsidRPr="00A52585">
        <w:rPr>
          <w:rFonts w:hint="cs"/>
          <w:rtl/>
        </w:rPr>
        <w:t xml:space="preserve"> غلب </w:t>
      </w:r>
      <w:r w:rsidR="00777DCB" w:rsidRPr="00A52585">
        <w:rPr>
          <w:rFonts w:hint="cs"/>
          <w:rtl/>
        </w:rPr>
        <w:lastRenderedPageBreak/>
        <w:t>عليه حبُّ ابن تيمية حتى كان لا يخرج عن شيء من أقواله بل ينتصر له في جميع ذلك</w:t>
      </w:r>
      <w:r w:rsidR="00DB731D" w:rsidRPr="00A52585">
        <w:rPr>
          <w:rFonts w:hint="cs"/>
          <w:rtl/>
        </w:rPr>
        <w:t>،</w:t>
      </w:r>
      <w:r w:rsidR="00777DCB" w:rsidRPr="00A52585">
        <w:rPr>
          <w:rFonts w:hint="cs"/>
          <w:rtl/>
        </w:rPr>
        <w:t xml:space="preserve"> وهو الذي هذب كتبه ونشر علمه</w:t>
      </w:r>
      <w:r w:rsidR="00897A24" w:rsidRPr="00A52585">
        <w:rPr>
          <w:rFonts w:hint="cs"/>
          <w:rtl/>
        </w:rPr>
        <w:t>.</w:t>
      </w:r>
      <w:r w:rsidR="00777DCB" w:rsidRPr="00A52585">
        <w:rPr>
          <w:rFonts w:hint="cs"/>
          <w:rtl/>
        </w:rPr>
        <w:t>. واعتقل مع ابن تيمية بالقلعة بعد أن أهين وطيف به على جمل مضروباً بالدِّرَّة</w:t>
      </w:r>
      <w:r w:rsidR="00DB731D" w:rsidRPr="00A52585">
        <w:rPr>
          <w:rFonts w:hint="cs"/>
          <w:rtl/>
        </w:rPr>
        <w:t>،</w:t>
      </w:r>
      <w:r w:rsidR="00777DCB" w:rsidRPr="00A52585">
        <w:rPr>
          <w:rFonts w:hint="cs"/>
          <w:rtl/>
        </w:rPr>
        <w:t xml:space="preserve"> فلما مات أفرج عنه</w:t>
      </w:r>
      <w:r w:rsidR="00DB731D" w:rsidRPr="00A52585">
        <w:rPr>
          <w:rFonts w:hint="cs"/>
          <w:rtl/>
        </w:rPr>
        <w:t>،</w:t>
      </w:r>
      <w:r w:rsidR="00777DCB" w:rsidRPr="00A52585">
        <w:rPr>
          <w:rFonts w:hint="cs"/>
          <w:rtl/>
        </w:rPr>
        <w:t xml:space="preserve"> وامتحن مرة أخرى بسبب فتاوى ابن تيمية وكان ينال من علماء عصره وينالون منه اهـ.</w:t>
      </w:r>
      <w:r w:rsidR="00DB731D" w:rsidRPr="00A52585">
        <w:rPr>
          <w:rFonts w:hint="cs"/>
          <w:rtl/>
        </w:rPr>
        <w:t>،</w:t>
      </w:r>
      <w:r w:rsidR="00777DCB" w:rsidRPr="00A52585">
        <w:rPr>
          <w:rFonts w:hint="cs"/>
          <w:rtl/>
        </w:rPr>
        <w:t xml:space="preserve"> </w:t>
      </w:r>
      <w:r w:rsidR="00777DCB" w:rsidRPr="00A52585">
        <w:rPr>
          <w:rFonts w:hint="cs"/>
          <w:bCs/>
          <w:rtl/>
        </w:rPr>
        <w:t>وقال ابن كثير</w:t>
      </w:r>
      <w:r w:rsidRPr="00A52585">
        <w:rPr>
          <w:rFonts w:hint="cs"/>
          <w:rtl/>
        </w:rPr>
        <w:t>:</w:t>
      </w:r>
      <w:r w:rsidR="00777DCB" w:rsidRPr="00A52585">
        <w:rPr>
          <w:rFonts w:hint="cs"/>
          <w:rtl/>
        </w:rPr>
        <w:t xml:space="preserve"> كان يقصد للإفتاء بمسألة الطلاق حتى جرت له بسببها أمور يطول بسطها مع ابن السبكي وغيره.. وكان جماعاً للكتب فحصَّل منها ما لا يحصر حتى كان أولاده يبيعون منها بعد موته دهراً طويلاً سوى ما اصطفوه منها لأنفسهم.. وهو طويل النفس في مصنفاته </w:t>
      </w:r>
      <w:proofErr w:type="spellStart"/>
      <w:r w:rsidR="00777DCB" w:rsidRPr="00A52585">
        <w:rPr>
          <w:rFonts w:hint="cs"/>
          <w:rtl/>
        </w:rPr>
        <w:t>يتعاني</w:t>
      </w:r>
      <w:proofErr w:type="spellEnd"/>
      <w:r w:rsidR="00777DCB" w:rsidRPr="00A52585">
        <w:rPr>
          <w:rFonts w:hint="cs"/>
          <w:rtl/>
        </w:rPr>
        <w:t xml:space="preserve"> الإيضاح جهده</w:t>
      </w:r>
      <w:r w:rsidR="00DB731D" w:rsidRPr="00A52585">
        <w:rPr>
          <w:rFonts w:hint="cs"/>
          <w:rtl/>
        </w:rPr>
        <w:t>،</w:t>
      </w:r>
      <w:r w:rsidR="00777DCB" w:rsidRPr="00A52585">
        <w:rPr>
          <w:rFonts w:hint="cs"/>
          <w:rtl/>
        </w:rPr>
        <w:t xml:space="preserve"> فيسهب [</w:t>
      </w:r>
      <w:r w:rsidR="00777DCB" w:rsidRPr="00A52585">
        <w:rPr>
          <w:rFonts w:hint="cs"/>
          <w:sz w:val="24"/>
          <w:szCs w:val="24"/>
          <w:rtl/>
        </w:rPr>
        <w:t>الإسهاب</w:t>
      </w:r>
      <w:r w:rsidRPr="00A52585">
        <w:rPr>
          <w:rFonts w:hint="cs"/>
          <w:sz w:val="24"/>
          <w:szCs w:val="24"/>
          <w:rtl/>
        </w:rPr>
        <w:t>:</w:t>
      </w:r>
      <w:r w:rsidR="00777DCB" w:rsidRPr="00A52585">
        <w:rPr>
          <w:rFonts w:hint="cs"/>
          <w:sz w:val="24"/>
          <w:szCs w:val="24"/>
          <w:rtl/>
        </w:rPr>
        <w:t xml:space="preserve"> الإطناب، وهو عكس الإيجاز]</w:t>
      </w:r>
      <w:r w:rsidR="00777DCB" w:rsidRPr="00A52585">
        <w:rPr>
          <w:rFonts w:hint="cs"/>
          <w:rtl/>
        </w:rPr>
        <w:t xml:space="preserve"> جداً</w:t>
      </w:r>
      <w:r w:rsidR="00DB731D" w:rsidRPr="00A52585">
        <w:rPr>
          <w:rFonts w:hint="cs"/>
          <w:rtl/>
        </w:rPr>
        <w:t>،</w:t>
      </w:r>
      <w:r w:rsidR="00777DCB" w:rsidRPr="00A52585">
        <w:rPr>
          <w:rFonts w:hint="cs"/>
          <w:rtl/>
        </w:rPr>
        <w:t xml:space="preserve"> ومعظمها من كلام شيخه يتصرف في ذلك</w:t>
      </w:r>
      <w:r w:rsidR="00DB731D" w:rsidRPr="00A52585">
        <w:rPr>
          <w:rFonts w:hint="cs"/>
          <w:rtl/>
        </w:rPr>
        <w:t>،</w:t>
      </w:r>
      <w:r w:rsidR="00777DCB" w:rsidRPr="00A52585">
        <w:rPr>
          <w:rFonts w:hint="cs"/>
          <w:rtl/>
        </w:rPr>
        <w:t xml:space="preserve"> وله في ذلك ملكة قوية</w:t>
      </w:r>
      <w:r w:rsidR="00DB731D" w:rsidRPr="00A52585">
        <w:rPr>
          <w:rFonts w:hint="cs"/>
          <w:rtl/>
        </w:rPr>
        <w:t>،</w:t>
      </w:r>
      <w:r w:rsidR="00777DCB" w:rsidRPr="00A52585">
        <w:rPr>
          <w:rFonts w:hint="cs"/>
          <w:rtl/>
        </w:rPr>
        <w:t xml:space="preserve"> ولا يزال يدندن حول مفرداته وينصرها ويحتج لها.. وجرت له محن مع القضاة منها في ربيع الأول طلبه السبكي بسبب فتواه بجواز المسابقة بغير محلل فأنكر عليه وآل الأمر إلى أنه رجع عما كان يفتي به من ذلك. اهـ</w:t>
      </w:r>
      <w:r w:rsidR="00DB731D" w:rsidRPr="00A52585">
        <w:rPr>
          <w:rFonts w:hint="cs"/>
          <w:rtl/>
        </w:rPr>
        <w:t>،</w:t>
      </w:r>
      <w:r w:rsidR="00777DCB" w:rsidRPr="00A52585">
        <w:rPr>
          <w:rFonts w:hint="cs"/>
          <w:rtl/>
        </w:rPr>
        <w:t xml:space="preserve"> </w:t>
      </w:r>
      <w:r w:rsidR="00777DCB" w:rsidRPr="00A52585">
        <w:rPr>
          <w:rFonts w:hint="cs"/>
          <w:bCs/>
          <w:rtl/>
        </w:rPr>
        <w:t xml:space="preserve">وقال التقى </w:t>
      </w:r>
      <w:proofErr w:type="spellStart"/>
      <w:r w:rsidR="00777DCB" w:rsidRPr="00A52585">
        <w:rPr>
          <w:rFonts w:hint="cs"/>
          <w:bCs/>
          <w:rtl/>
        </w:rPr>
        <w:t>الحصني</w:t>
      </w:r>
      <w:proofErr w:type="spellEnd"/>
      <w:r w:rsidRPr="00A52585">
        <w:rPr>
          <w:rFonts w:hint="cs"/>
          <w:rtl/>
        </w:rPr>
        <w:t>:</w:t>
      </w:r>
      <w:r w:rsidR="00777DCB" w:rsidRPr="00A52585">
        <w:rPr>
          <w:rFonts w:hint="cs"/>
          <w:rtl/>
        </w:rPr>
        <w:t xml:space="preserve"> كان ابن تيمية ممن يعتقد ويفتى بأن شد الرحال إلى قبور الأنبياء حرام لا تقصر فيه الصلاة</w:t>
      </w:r>
      <w:r w:rsidR="00DB731D" w:rsidRPr="00A52585">
        <w:rPr>
          <w:rFonts w:hint="cs"/>
          <w:rtl/>
        </w:rPr>
        <w:t>،</w:t>
      </w:r>
      <w:r w:rsidR="00777DCB" w:rsidRPr="00A52585">
        <w:rPr>
          <w:rFonts w:hint="cs"/>
          <w:rtl/>
        </w:rPr>
        <w:t xml:space="preserve"> ويصرح بقبر الخليل وقبر النبي صلى الله عليهما وسلم</w:t>
      </w:r>
      <w:r w:rsidR="00DB731D" w:rsidRPr="00A52585">
        <w:rPr>
          <w:rFonts w:hint="cs"/>
          <w:rtl/>
        </w:rPr>
        <w:t>،</w:t>
      </w:r>
      <w:r w:rsidR="00777DCB" w:rsidRPr="00A52585">
        <w:rPr>
          <w:rFonts w:hint="cs"/>
          <w:rtl/>
        </w:rPr>
        <w:t xml:space="preserve"> وكان على هذا الاعتقاد تلميذه ابن قيم الجوزية الزرعي وإسماعيل بن كثير </w:t>
      </w:r>
      <w:proofErr w:type="spellStart"/>
      <w:r w:rsidR="00777DCB" w:rsidRPr="00A52585">
        <w:rPr>
          <w:rFonts w:hint="cs"/>
          <w:rtl/>
        </w:rPr>
        <w:t>الشركويني</w:t>
      </w:r>
      <w:proofErr w:type="spellEnd"/>
      <w:r w:rsidR="00DB731D" w:rsidRPr="00A52585">
        <w:rPr>
          <w:rFonts w:hint="cs"/>
          <w:rtl/>
        </w:rPr>
        <w:t>،</w:t>
      </w:r>
      <w:r w:rsidR="00777DCB" w:rsidRPr="00A52585">
        <w:rPr>
          <w:rFonts w:hint="cs"/>
          <w:rtl/>
        </w:rPr>
        <w:t xml:space="preserve"> فاتفق أن ابن قيم الجوزية سافر إلى القدس الشريف ورقى على منبر في الحرم ووعظ وقال في أثناء وعظه بعد أن ذكر المسألة</w:t>
      </w:r>
      <w:r w:rsidRPr="00A52585">
        <w:rPr>
          <w:rFonts w:hint="cs"/>
          <w:rtl/>
        </w:rPr>
        <w:t>:</w:t>
      </w:r>
      <w:r w:rsidR="00777DCB" w:rsidRPr="00A52585">
        <w:rPr>
          <w:rFonts w:hint="cs"/>
          <w:rtl/>
        </w:rPr>
        <w:t xml:space="preserve"> وها أنا راجع ولا أزور الخليل. ثم جاء إلى نابلس وعمل له مجلس وعظ وذكر المسألة بعينها حتى قال</w:t>
      </w:r>
      <w:r w:rsidRPr="00A52585">
        <w:rPr>
          <w:rFonts w:hint="cs"/>
          <w:rtl/>
        </w:rPr>
        <w:t>:</w:t>
      </w:r>
      <w:r w:rsidR="00777DCB" w:rsidRPr="00A52585">
        <w:rPr>
          <w:rFonts w:hint="cs"/>
          <w:rtl/>
        </w:rPr>
        <w:t xml:space="preserve"> فلا يزور قبر النبي صلى الله عليه وسلم فقام إليه الناس وأرادوا قتله فحماه منهم وإلى نابلس</w:t>
      </w:r>
      <w:r w:rsidR="00DB731D" w:rsidRPr="00A52585">
        <w:rPr>
          <w:rFonts w:hint="cs"/>
          <w:rtl/>
        </w:rPr>
        <w:t>،</w:t>
      </w:r>
      <w:r w:rsidR="00777DCB" w:rsidRPr="00A52585">
        <w:rPr>
          <w:rFonts w:hint="cs"/>
          <w:rtl/>
        </w:rPr>
        <w:t xml:space="preserve"> وكتب أهل القدس وأهل نابلس إلى دمشق يعرفون صورة ما وقع منه فطلبه القاضي المالكي فتردد وصعد إلى الصالحية إلى القاضي شمس الدين بن مسلم الحنبلي وأسلم على يديه فقبل توبته وحكم بإسلامه وحقن دمه ولم يعزره لأجل ابن تيمية.. ثم أحضر ابن قيم الجوزية وادعى عليه بما قاله في القدس الشريف وفي نابلس فأنكر</w:t>
      </w:r>
      <w:r w:rsidR="00DB731D" w:rsidRPr="00A52585">
        <w:rPr>
          <w:rFonts w:hint="cs"/>
          <w:rtl/>
        </w:rPr>
        <w:t>،</w:t>
      </w:r>
      <w:r w:rsidR="00777DCB" w:rsidRPr="00A52585">
        <w:rPr>
          <w:rFonts w:hint="cs"/>
          <w:rtl/>
        </w:rPr>
        <w:t xml:space="preserve"> فقامت عليه البينة بما قاله فأدب وحمل على جمل ثم أعيد في السجن ثم أحضر إلى مجلس شمس الدين المالكي وأرادوا ضرب عنقه فما كان جوابه ألا أن قال إن القاضي الحنبلي حكم بحقن دمي وبإسلامي وقبول توبتي</w:t>
      </w:r>
      <w:r w:rsidR="00DB731D" w:rsidRPr="00A52585">
        <w:rPr>
          <w:rFonts w:hint="cs"/>
          <w:rtl/>
        </w:rPr>
        <w:t>،</w:t>
      </w:r>
      <w:r w:rsidR="00777DCB" w:rsidRPr="00A52585">
        <w:rPr>
          <w:rFonts w:hint="cs"/>
          <w:rtl/>
        </w:rPr>
        <w:t xml:space="preserve"> فأعيد إلى الحبس إلى أن أحضر الحنبلي فأخبر بما قاله فأحضر وعزر وضرب بالدرة وأركب حماراً وطيف به في البلد والصالحية وردوه إلى الحبس – وجرسوا ابن القيم وابن كثير وطيف بهما في البد وعلى باب الجوزية لفتواهم في مسألة الطلاق اهـ</w:t>
      </w:r>
      <w:r w:rsidR="00DB731D" w:rsidRPr="00A52585">
        <w:rPr>
          <w:rFonts w:hint="cs"/>
          <w:rtl/>
        </w:rPr>
        <w:t>،</w:t>
      </w:r>
      <w:r w:rsidR="00777DCB" w:rsidRPr="00A52585">
        <w:rPr>
          <w:rFonts w:hint="cs"/>
          <w:rtl/>
        </w:rPr>
        <w:t xml:space="preserve"> </w:t>
      </w:r>
      <w:r w:rsidR="00777DCB" w:rsidRPr="00A52585">
        <w:rPr>
          <w:rFonts w:hint="cs"/>
          <w:bCs/>
          <w:rtl/>
        </w:rPr>
        <w:t>وقال ابن رجب</w:t>
      </w:r>
      <w:r w:rsidRPr="00A52585">
        <w:rPr>
          <w:rFonts w:hint="cs"/>
          <w:rtl/>
        </w:rPr>
        <w:t>:</w:t>
      </w:r>
      <w:r w:rsidR="00777DCB" w:rsidRPr="00A52585">
        <w:rPr>
          <w:rFonts w:hint="cs"/>
          <w:rtl/>
        </w:rPr>
        <w:t xml:space="preserve"> قد امتحن وأوذي مرات وحبس مع الشيخ تقي الدين في المدة الأخيرة بالقلعة منفرداً ولم يفرج عنه إلا بعد موت الشيخ اهـ</w:t>
      </w:r>
      <w:r w:rsidR="00DB731D" w:rsidRPr="00A52585">
        <w:rPr>
          <w:rFonts w:hint="cs"/>
          <w:rtl/>
        </w:rPr>
        <w:t>،</w:t>
      </w:r>
      <w:r w:rsidR="00777DCB" w:rsidRPr="00A52585">
        <w:rPr>
          <w:rFonts w:hint="cs"/>
          <w:rtl/>
        </w:rPr>
        <w:t xml:space="preserve"> </w:t>
      </w:r>
      <w:r w:rsidR="00777DCB" w:rsidRPr="00A52585">
        <w:rPr>
          <w:rFonts w:hint="cs"/>
          <w:spacing w:val="-4"/>
          <w:rtl/>
        </w:rPr>
        <w:t xml:space="preserve">وقد سقت هنا نماذج من كلمات </w:t>
      </w:r>
      <w:r w:rsidR="00777DCB" w:rsidRPr="00A52585">
        <w:rPr>
          <w:rFonts w:hint="cs"/>
          <w:spacing w:val="-4"/>
          <w:rtl/>
        </w:rPr>
        <w:lastRenderedPageBreak/>
        <w:t>أصحابه وأضداده والمتحايدين في حقه في هذا الكتاب</w:t>
      </w:r>
      <w:r w:rsidR="00DB731D" w:rsidRPr="00A52585">
        <w:rPr>
          <w:rFonts w:hint="cs"/>
          <w:spacing w:val="-4"/>
          <w:rtl/>
        </w:rPr>
        <w:t>،</w:t>
      </w:r>
      <w:r w:rsidR="00777DCB" w:rsidRPr="00A52585">
        <w:rPr>
          <w:rFonts w:hint="cs"/>
          <w:spacing w:val="-4"/>
          <w:rtl/>
        </w:rPr>
        <w:t xml:space="preserve"> وأرجو أن الحق لا يتعدى ما دللت عليه في حقه فيما كتبناه</w:t>
      </w:r>
      <w:r w:rsidR="00DB731D" w:rsidRPr="00A52585">
        <w:rPr>
          <w:rFonts w:hint="cs"/>
          <w:spacing w:val="-4"/>
          <w:rtl/>
        </w:rPr>
        <w:t>،</w:t>
      </w:r>
      <w:r w:rsidR="00777DCB" w:rsidRPr="00A52585">
        <w:rPr>
          <w:rFonts w:hint="cs"/>
          <w:spacing w:val="-4"/>
          <w:rtl/>
        </w:rPr>
        <w:t xml:space="preserve"> </w:t>
      </w:r>
    </w:p>
    <w:p w14:paraId="6A33518C" w14:textId="72491694" w:rsidR="00777DCB" w:rsidRPr="00A52585" w:rsidRDefault="0002035C" w:rsidP="0002035C">
      <w:pPr>
        <w:spacing w:after="240"/>
        <w:rPr>
          <w:b/>
          <w:rtl/>
        </w:rPr>
      </w:pPr>
      <w:r w:rsidRPr="00A52585">
        <w:rPr>
          <w:rFonts w:hint="cs"/>
          <w:bCs/>
          <w:spacing w:val="-4"/>
          <w:rtl/>
        </w:rPr>
        <w:t>[</w:t>
      </w:r>
      <w:r w:rsidR="00777DCB" w:rsidRPr="00A52585">
        <w:rPr>
          <w:rFonts w:hint="cs"/>
          <w:bCs/>
          <w:rtl/>
        </w:rPr>
        <w:t>أحق الناس بالرثاء</w:t>
      </w:r>
      <w:r w:rsidRPr="00A52585">
        <w:rPr>
          <w:rFonts w:hint="cs"/>
          <w:bCs/>
          <w:rtl/>
        </w:rPr>
        <w:t>]:</w:t>
      </w:r>
      <w:r w:rsidR="00777DCB" w:rsidRPr="00A52585">
        <w:rPr>
          <w:rFonts w:hint="cs"/>
          <w:rtl/>
        </w:rPr>
        <w:t xml:space="preserve"> وأحق الناس بالرثاء وأجدرهم بالترحم من أفنى عمره في سبيل العلم منصاعاً لمبتدع يرديه من غير أن يتخير أستاذاً رشيداً يهديه</w:t>
      </w:r>
      <w:r w:rsidR="00DB731D" w:rsidRPr="00A52585">
        <w:rPr>
          <w:rFonts w:hint="cs"/>
          <w:rtl/>
        </w:rPr>
        <w:t>،</w:t>
      </w:r>
      <w:r w:rsidR="00777DCB" w:rsidRPr="00A52585">
        <w:rPr>
          <w:rFonts w:hint="cs"/>
          <w:rtl/>
        </w:rPr>
        <w:t xml:space="preserve"> ومثله إذا دون أسفاراً لا يزداد بها إلا بعداً عن الله وأوزاراً</w:t>
      </w:r>
      <w:r w:rsidR="00DB731D" w:rsidRPr="00A52585">
        <w:rPr>
          <w:rFonts w:hint="cs"/>
          <w:rtl/>
        </w:rPr>
        <w:t>،</w:t>
      </w:r>
      <w:r w:rsidR="00777DCB" w:rsidRPr="00A52585">
        <w:rPr>
          <w:rFonts w:hint="cs"/>
          <w:rtl/>
        </w:rPr>
        <w:t xml:space="preserve"> وهو الذي يصبح متفانياً في شيخه الزائغ بحيث لا يسمع إلا بسمعه ولا يبصر إلا ببصره في جميع شئونه</w:t>
      </w:r>
      <w:r w:rsidR="00DB731D" w:rsidRPr="00A52585">
        <w:rPr>
          <w:rFonts w:hint="cs"/>
          <w:rtl/>
        </w:rPr>
        <w:t>،</w:t>
      </w:r>
      <w:r w:rsidR="00777DCB" w:rsidRPr="00A52585">
        <w:rPr>
          <w:rFonts w:hint="cs"/>
          <w:rtl/>
        </w:rPr>
        <w:t xml:space="preserve"> ويبقى في أحط دركات الجهل من التقليد الأعمى</w:t>
      </w:r>
      <w:r w:rsidR="00DB731D" w:rsidRPr="00A52585">
        <w:rPr>
          <w:rFonts w:hint="cs"/>
          <w:rtl/>
        </w:rPr>
        <w:t>،</w:t>
      </w:r>
      <w:r w:rsidR="00777DCB" w:rsidRPr="00A52585">
        <w:rPr>
          <w:rFonts w:hint="cs"/>
          <w:rtl/>
        </w:rPr>
        <w:t xml:space="preserve"> ولو فكر قليلاً لكان أدرك أن من السخف بمكان وضعه لشيخه في إحدى كِفتي الميزان ليوازن به جميع العلماء والفقهاء من هذه الأمة في كفته الأخرى فيزنهم ويغالبهم به فيغلبهم في علومهم</w:t>
      </w:r>
      <w:r w:rsidR="00F95886" w:rsidRPr="00A52585">
        <w:rPr>
          <w:rFonts w:hint="cs"/>
          <w:rtl/>
        </w:rPr>
        <w:t>!</w:t>
      </w:r>
      <w:r w:rsidRPr="00A52585">
        <w:rPr>
          <w:rFonts w:hint="cs"/>
          <w:rtl/>
        </w:rPr>
        <w:t xml:space="preserve"> </w:t>
      </w:r>
      <w:r w:rsidR="00777DCB" w:rsidRPr="00A52585">
        <w:rPr>
          <w:rFonts w:hint="cs"/>
          <w:rtl/>
        </w:rPr>
        <w:t>وهذا ما لا يصدر من حاظ بعقله</w:t>
      </w:r>
      <w:r w:rsidR="00DB731D" w:rsidRPr="00A52585">
        <w:rPr>
          <w:rFonts w:hint="cs"/>
          <w:rtl/>
        </w:rPr>
        <w:t>،</w:t>
      </w:r>
      <w:r w:rsidR="00777DCB" w:rsidRPr="00A52585">
        <w:rPr>
          <w:rFonts w:hint="cs"/>
          <w:rtl/>
        </w:rPr>
        <w:t xml:space="preserve"> ولا سيما بعد التفكير في تلك </w:t>
      </w:r>
      <w:proofErr w:type="spellStart"/>
      <w:r w:rsidR="00777DCB" w:rsidRPr="00A52585">
        <w:rPr>
          <w:rFonts w:hint="cs"/>
          <w:rtl/>
        </w:rPr>
        <w:t>المخازي</w:t>
      </w:r>
      <w:proofErr w:type="spellEnd"/>
      <w:r w:rsidR="00777DCB" w:rsidRPr="00A52585">
        <w:rPr>
          <w:rFonts w:hint="cs"/>
          <w:rtl/>
        </w:rPr>
        <w:t xml:space="preserve"> من </w:t>
      </w:r>
      <w:proofErr w:type="spellStart"/>
      <w:r w:rsidR="00777DCB" w:rsidRPr="00A52585">
        <w:rPr>
          <w:rFonts w:hint="cs"/>
          <w:rtl/>
        </w:rPr>
        <w:t>شواذه</w:t>
      </w:r>
      <w:proofErr w:type="spellEnd"/>
      <w:r w:rsidR="00DB731D" w:rsidRPr="00A52585">
        <w:rPr>
          <w:rFonts w:hint="cs"/>
          <w:rtl/>
        </w:rPr>
        <w:t>،</w:t>
      </w:r>
      <w:r w:rsidR="00777DCB" w:rsidRPr="00A52585">
        <w:rPr>
          <w:rFonts w:hint="cs"/>
          <w:rtl/>
        </w:rPr>
        <w:t xml:space="preserve"> نعم يمكن أن يكون عنده أو عند شيخه بعض تفوق في بعض العلوم على بعض مشايخ حارته أو أهل خطته أو قريته أو مضرب خيام عشيرته</w:t>
      </w:r>
      <w:r w:rsidR="00DB731D" w:rsidRPr="00A52585">
        <w:rPr>
          <w:rFonts w:hint="cs"/>
          <w:rtl/>
        </w:rPr>
        <w:t>،</w:t>
      </w:r>
      <w:r w:rsidR="00777DCB" w:rsidRPr="00A52585">
        <w:rPr>
          <w:rFonts w:hint="cs"/>
          <w:rtl/>
        </w:rPr>
        <w:t xml:space="preserve"> لكن لا يوجب هذا أن يصدق في ظنه في حق نفسه أو جو هذه يضيق عن واسع فهومه</w:t>
      </w:r>
      <w:r w:rsidR="00DB731D" w:rsidRPr="00A52585">
        <w:rPr>
          <w:rFonts w:hint="cs"/>
          <w:rtl/>
        </w:rPr>
        <w:t>،</w:t>
      </w:r>
      <w:r w:rsidR="00777DCB" w:rsidRPr="00A52585">
        <w:rPr>
          <w:rFonts w:hint="cs"/>
          <w:rtl/>
        </w:rPr>
        <w:t xml:space="preserve"> وعرض هذه البحار لا يتسع لزاخر علومه.</w:t>
      </w:r>
    </w:p>
    <w:p w14:paraId="4DCC5062" w14:textId="571DF610" w:rsidR="00777DCB" w:rsidRPr="00A52585" w:rsidRDefault="0002035C" w:rsidP="0002035C">
      <w:pPr>
        <w:spacing w:after="240"/>
        <w:rPr>
          <w:b/>
          <w:rtl/>
        </w:rPr>
      </w:pPr>
      <w:r w:rsidRPr="00A52585">
        <w:rPr>
          <w:rFonts w:hint="cs"/>
          <w:bCs/>
          <w:rtl/>
        </w:rPr>
        <w:t>[</w:t>
      </w:r>
      <w:r w:rsidR="00777DCB" w:rsidRPr="00A52585">
        <w:rPr>
          <w:rFonts w:hint="cs"/>
          <w:bCs/>
          <w:rtl/>
        </w:rPr>
        <w:t>أخطر ما يطغى من صنوف الاستغناء</w:t>
      </w:r>
      <w:r w:rsidRPr="00A52585">
        <w:rPr>
          <w:rFonts w:hint="cs"/>
          <w:bCs/>
          <w:rtl/>
        </w:rPr>
        <w:t>]</w:t>
      </w:r>
      <w:r w:rsidRPr="00A52585">
        <w:rPr>
          <w:rFonts w:hint="cs"/>
          <w:rtl/>
        </w:rPr>
        <w:t>:</w:t>
      </w:r>
      <w:r w:rsidR="00777DCB" w:rsidRPr="00A52585">
        <w:rPr>
          <w:rFonts w:hint="cs"/>
          <w:rtl/>
        </w:rPr>
        <w:t xml:space="preserve"> ومن الآفات </w:t>
      </w:r>
      <w:proofErr w:type="spellStart"/>
      <w:r w:rsidR="00777DCB" w:rsidRPr="00A52585">
        <w:rPr>
          <w:rFonts w:hint="cs"/>
          <w:rtl/>
        </w:rPr>
        <w:t>المردية</w:t>
      </w:r>
      <w:proofErr w:type="spellEnd"/>
      <w:r w:rsidR="00777DCB" w:rsidRPr="00A52585">
        <w:rPr>
          <w:rFonts w:hint="cs"/>
          <w:rtl/>
        </w:rPr>
        <w:t xml:space="preserve"> التي تعتري الإنسان وتقذف به إلى هاوية الخسران طغيانه حينما يرى نفسه على شيء من الاستغناء بمال أو جاه أو علم</w:t>
      </w:r>
      <w:r w:rsidR="00DB731D" w:rsidRPr="00A52585">
        <w:rPr>
          <w:rFonts w:hint="cs"/>
          <w:rtl/>
        </w:rPr>
        <w:t>،</w:t>
      </w:r>
      <w:r w:rsidR="00777DCB" w:rsidRPr="00A52585">
        <w:rPr>
          <w:rFonts w:hint="cs"/>
          <w:rtl/>
        </w:rPr>
        <w:t xml:space="preserve"> لكن المال عرض زائل والجاه الدنيوي قلما يدوم على حال</w:t>
      </w:r>
      <w:r w:rsidR="00DB731D" w:rsidRPr="00A52585">
        <w:rPr>
          <w:rFonts w:hint="cs"/>
          <w:rtl/>
        </w:rPr>
        <w:t>،</w:t>
      </w:r>
      <w:r w:rsidR="00777DCB" w:rsidRPr="00A52585">
        <w:rPr>
          <w:rFonts w:hint="cs"/>
          <w:rtl/>
        </w:rPr>
        <w:t xml:space="preserve"> وعلم الإنسان مهما اتسع فما أوتى من العلم إلا قليلاً</w:t>
      </w:r>
      <w:r w:rsidR="00DB731D" w:rsidRPr="00A52585">
        <w:rPr>
          <w:rFonts w:hint="cs"/>
          <w:rtl/>
        </w:rPr>
        <w:t>،</w:t>
      </w:r>
      <w:r w:rsidR="00777DCB" w:rsidRPr="00A52585">
        <w:rPr>
          <w:rFonts w:hint="cs"/>
          <w:rtl/>
        </w:rPr>
        <w:t xml:space="preserve"> وتلك الخلال لو </w:t>
      </w:r>
      <w:proofErr w:type="spellStart"/>
      <w:r w:rsidR="00777DCB" w:rsidRPr="00A52585">
        <w:rPr>
          <w:rFonts w:hint="cs"/>
          <w:rtl/>
        </w:rPr>
        <w:t>روعيت</w:t>
      </w:r>
      <w:proofErr w:type="spellEnd"/>
      <w:r w:rsidR="00777DCB" w:rsidRPr="00A52585">
        <w:rPr>
          <w:rFonts w:hint="cs"/>
          <w:rtl/>
        </w:rPr>
        <w:t xml:space="preserve"> حدودها لكانت أكبر عون للمرء على إحراز مرضاة الله سبحانه</w:t>
      </w:r>
      <w:r w:rsidR="00DB731D" w:rsidRPr="00A52585">
        <w:rPr>
          <w:rFonts w:hint="cs"/>
          <w:rtl/>
        </w:rPr>
        <w:t>،</w:t>
      </w:r>
      <w:r w:rsidR="00777DCB" w:rsidRPr="00A52585">
        <w:rPr>
          <w:rFonts w:hint="cs"/>
          <w:rtl/>
        </w:rPr>
        <w:t xml:space="preserve"> وأما إذا اتخذها أداة طغيان فإذ ذاك تنقلب تلك النعم مجلبة لسخط الله عز وجل ومقت الخلق</w:t>
      </w:r>
      <w:r w:rsidR="00DB731D" w:rsidRPr="00A52585">
        <w:rPr>
          <w:rFonts w:hint="cs"/>
          <w:rtl/>
        </w:rPr>
        <w:t>،</w:t>
      </w:r>
      <w:r w:rsidR="00777DCB" w:rsidRPr="00A52585">
        <w:rPr>
          <w:rFonts w:hint="cs"/>
          <w:rtl/>
        </w:rPr>
        <w:t xml:space="preserve"> فيصبح ذلك الطاغي من الأخسرين أعمالا في الدارين</w:t>
      </w:r>
      <w:r w:rsidR="00DB731D" w:rsidRPr="00A52585">
        <w:rPr>
          <w:rFonts w:hint="cs"/>
          <w:rtl/>
        </w:rPr>
        <w:t>،</w:t>
      </w:r>
      <w:r w:rsidR="00777DCB" w:rsidRPr="00A52585">
        <w:rPr>
          <w:rFonts w:hint="cs"/>
          <w:rtl/>
        </w:rPr>
        <w:t xml:space="preserve"> وليعلم أن ضرر العلم -</w:t>
      </w:r>
      <w:r w:rsidRPr="00A52585">
        <w:rPr>
          <w:rFonts w:hint="cs"/>
          <w:rtl/>
        </w:rPr>
        <w:t xml:space="preserve"> </w:t>
      </w:r>
      <w:r w:rsidR="00777DCB" w:rsidRPr="00A52585">
        <w:rPr>
          <w:rFonts w:hint="cs"/>
          <w:rtl/>
        </w:rPr>
        <w:t>إذا زاغ صاحبه -</w:t>
      </w:r>
      <w:r w:rsidRPr="00A52585">
        <w:rPr>
          <w:rFonts w:hint="cs"/>
          <w:rtl/>
        </w:rPr>
        <w:t xml:space="preserve"> </w:t>
      </w:r>
      <w:r w:rsidR="00777DCB" w:rsidRPr="00A52585">
        <w:rPr>
          <w:rFonts w:hint="cs"/>
          <w:rtl/>
        </w:rPr>
        <w:t>دونه كل ضرر</w:t>
      </w:r>
      <w:r w:rsidR="00DB731D" w:rsidRPr="00A52585">
        <w:rPr>
          <w:rFonts w:hint="cs"/>
          <w:rtl/>
        </w:rPr>
        <w:t>،</w:t>
      </w:r>
      <w:r w:rsidR="00777DCB" w:rsidRPr="00A52585">
        <w:rPr>
          <w:rFonts w:hint="cs"/>
          <w:rtl/>
        </w:rPr>
        <w:t xml:space="preserve"> فإن الطاغي بالمال يزول ضرره بزوال ماله</w:t>
      </w:r>
      <w:r w:rsidR="00DB731D" w:rsidRPr="00A52585">
        <w:rPr>
          <w:rFonts w:hint="cs"/>
          <w:rtl/>
        </w:rPr>
        <w:t>،</w:t>
      </w:r>
      <w:r w:rsidR="00777DCB" w:rsidRPr="00A52585">
        <w:rPr>
          <w:rFonts w:hint="cs"/>
          <w:rtl/>
        </w:rPr>
        <w:t xml:space="preserve"> كصاحب الجاه الذي لا يدوم جاهه</w:t>
      </w:r>
      <w:r w:rsidR="00DB731D" w:rsidRPr="00A52585">
        <w:rPr>
          <w:rFonts w:hint="cs"/>
          <w:rtl/>
        </w:rPr>
        <w:t>،</w:t>
      </w:r>
      <w:r w:rsidR="00777DCB" w:rsidRPr="00A52585">
        <w:rPr>
          <w:rFonts w:hint="cs"/>
          <w:rtl/>
        </w:rPr>
        <w:t xml:space="preserve"> وأما صاحب العلم الذي لعب به الشيطان وخلد كتبا فيما طغى به فهمه وطاش قلمه</w:t>
      </w:r>
      <w:r w:rsidR="00DB731D" w:rsidRPr="00A52585">
        <w:rPr>
          <w:rFonts w:hint="cs"/>
          <w:rtl/>
        </w:rPr>
        <w:t>،</w:t>
      </w:r>
      <w:r w:rsidR="00777DCB" w:rsidRPr="00A52585">
        <w:rPr>
          <w:rFonts w:hint="cs"/>
          <w:rtl/>
        </w:rPr>
        <w:t xml:space="preserve"> فيدوم ضرره ويتضاعف وزره ما دامت آثاره دارجة يضل بها أناس</w:t>
      </w:r>
      <w:r w:rsidR="00DB731D" w:rsidRPr="00A52585">
        <w:rPr>
          <w:rFonts w:hint="cs"/>
          <w:rtl/>
        </w:rPr>
        <w:t>،</w:t>
      </w:r>
      <w:r w:rsidR="00777DCB" w:rsidRPr="00A52585">
        <w:rPr>
          <w:rFonts w:hint="cs"/>
          <w:rtl/>
        </w:rPr>
        <w:t xml:space="preserve"> فإذا هي أخطر تلك الآفات</w:t>
      </w:r>
      <w:r w:rsidR="00DB731D" w:rsidRPr="00A52585">
        <w:rPr>
          <w:rFonts w:hint="cs"/>
          <w:rtl/>
        </w:rPr>
        <w:t>،</w:t>
      </w:r>
      <w:r w:rsidR="00777DCB" w:rsidRPr="00A52585">
        <w:rPr>
          <w:rFonts w:hint="cs"/>
          <w:rtl/>
        </w:rPr>
        <w:t xml:space="preserve"> ولا يخفف عن مؤلفها العذاب إلا بإعراض الناس عن كتبه المغوية بتنبيه أهل العلم المهتدين على ما حوته من صنوف الزيغ والضلال</w:t>
      </w:r>
      <w:r w:rsidR="00DB731D" w:rsidRPr="00A52585">
        <w:rPr>
          <w:rFonts w:hint="cs"/>
          <w:rtl/>
        </w:rPr>
        <w:t>،</w:t>
      </w:r>
      <w:r w:rsidR="00777DCB" w:rsidRPr="00A52585">
        <w:rPr>
          <w:rFonts w:hint="cs"/>
          <w:rtl/>
        </w:rPr>
        <w:t xml:space="preserve"> فكيون في الكشف عن مواطن الغواية من أمثال تلك الكتب تخفيف لعذاب مؤلفيها</w:t>
      </w:r>
      <w:r w:rsidR="00DB731D" w:rsidRPr="00A52585">
        <w:rPr>
          <w:rFonts w:hint="cs"/>
          <w:rtl/>
        </w:rPr>
        <w:t>،</w:t>
      </w:r>
      <w:r w:rsidR="00777DCB" w:rsidRPr="00A52585">
        <w:rPr>
          <w:rFonts w:hint="cs"/>
          <w:rtl/>
        </w:rPr>
        <w:t xml:space="preserve"> وصون للأمة عن </w:t>
      </w:r>
      <w:r w:rsidR="00777DCB" w:rsidRPr="00A52585">
        <w:rPr>
          <w:rFonts w:hint="cs"/>
          <w:rtl/>
        </w:rPr>
        <w:lastRenderedPageBreak/>
        <w:t xml:space="preserve">الوقوع في </w:t>
      </w:r>
      <w:proofErr w:type="spellStart"/>
      <w:r w:rsidR="00777DCB" w:rsidRPr="00A52585">
        <w:rPr>
          <w:rFonts w:hint="cs"/>
          <w:rtl/>
        </w:rPr>
        <w:t>مهاويها</w:t>
      </w:r>
      <w:proofErr w:type="spellEnd"/>
      <w:r w:rsidR="00DB731D" w:rsidRPr="00A52585">
        <w:rPr>
          <w:rFonts w:hint="cs"/>
          <w:rtl/>
        </w:rPr>
        <w:t>،</w:t>
      </w:r>
      <w:r w:rsidR="00777DCB" w:rsidRPr="00A52585">
        <w:rPr>
          <w:rFonts w:hint="cs"/>
          <w:rtl/>
        </w:rPr>
        <w:t xml:space="preserve"> وقد عنى الموفقون من علماء هذه الأمة بنقض أمثال تلك الكتب لتلك الغاية النبيلة قديماً وحديثاً ومن هلك بعد ذلك فلا يلومن إلا نفسه</w:t>
      </w:r>
      <w:r w:rsidR="00DB731D" w:rsidRPr="00A52585">
        <w:rPr>
          <w:rFonts w:hint="cs"/>
          <w:rtl/>
        </w:rPr>
        <w:t>،</w:t>
      </w:r>
      <w:r w:rsidR="00777DCB" w:rsidRPr="00A52585">
        <w:rPr>
          <w:rFonts w:hint="cs"/>
          <w:rtl/>
        </w:rPr>
        <w:t xml:space="preserve"> </w:t>
      </w:r>
    </w:p>
    <w:p w14:paraId="3234A85A" w14:textId="676725DF" w:rsidR="00777DCB" w:rsidRPr="00A52585" w:rsidRDefault="0002035C" w:rsidP="0002035C">
      <w:pPr>
        <w:spacing w:after="240"/>
        <w:rPr>
          <w:b/>
          <w:rtl/>
        </w:rPr>
      </w:pPr>
      <w:r w:rsidRPr="00A52585">
        <w:rPr>
          <w:rFonts w:hint="cs"/>
          <w:bCs/>
          <w:rtl/>
        </w:rPr>
        <w:t>[</w:t>
      </w:r>
      <w:r w:rsidR="00777DCB" w:rsidRPr="00A52585">
        <w:rPr>
          <w:rFonts w:hint="cs"/>
          <w:bCs/>
          <w:rtl/>
        </w:rPr>
        <w:t>ردود السبكي على ابن تيمية</w:t>
      </w:r>
      <w:r w:rsidR="00DB731D" w:rsidRPr="00A52585">
        <w:rPr>
          <w:rFonts w:hint="cs"/>
          <w:bCs/>
          <w:rtl/>
        </w:rPr>
        <w:t>،</w:t>
      </w:r>
      <w:r w:rsidR="00777DCB" w:rsidRPr="00A52585">
        <w:rPr>
          <w:rFonts w:hint="cs"/>
          <w:bCs/>
          <w:rtl/>
        </w:rPr>
        <w:t xml:space="preserve"> والكلام في رده على نونية ابن القيم</w:t>
      </w:r>
      <w:r w:rsidRPr="00A52585">
        <w:rPr>
          <w:rFonts w:hint="cs"/>
          <w:bCs/>
          <w:rtl/>
        </w:rPr>
        <w:t>]:</w:t>
      </w:r>
      <w:r w:rsidR="00777DCB" w:rsidRPr="00A52585">
        <w:rPr>
          <w:rFonts w:hint="cs"/>
          <w:rtl/>
        </w:rPr>
        <w:t xml:space="preserve"> وللحافظ التقي السبكي فضلٌ مشكورٌ وعمل مبرور في الرد على ابن </w:t>
      </w:r>
      <w:proofErr w:type="spellStart"/>
      <w:r w:rsidR="00777DCB" w:rsidRPr="00A52585">
        <w:rPr>
          <w:rFonts w:hint="cs"/>
          <w:rtl/>
        </w:rPr>
        <w:t>زفيل</w:t>
      </w:r>
      <w:proofErr w:type="spellEnd"/>
      <w:r w:rsidR="00777DCB" w:rsidRPr="00A52585">
        <w:rPr>
          <w:rFonts w:hint="cs"/>
          <w:rtl/>
        </w:rPr>
        <w:t xml:space="preserve"> وشيخه في </w:t>
      </w:r>
      <w:proofErr w:type="spellStart"/>
      <w:r w:rsidR="00777DCB" w:rsidRPr="00A52585">
        <w:rPr>
          <w:rFonts w:hint="cs"/>
          <w:rtl/>
        </w:rPr>
        <w:t>شواذهما</w:t>
      </w:r>
      <w:proofErr w:type="spellEnd"/>
      <w:r w:rsidR="00777DCB" w:rsidRPr="00A52585">
        <w:rPr>
          <w:rFonts w:hint="cs"/>
          <w:rtl/>
        </w:rPr>
        <w:t xml:space="preserve"> </w:t>
      </w:r>
      <w:proofErr w:type="spellStart"/>
      <w:r w:rsidR="00777DCB" w:rsidRPr="00A52585">
        <w:rPr>
          <w:rFonts w:hint="cs"/>
          <w:rtl/>
        </w:rPr>
        <w:t>المردية</w:t>
      </w:r>
      <w:proofErr w:type="spellEnd"/>
      <w:r w:rsidR="00DB731D" w:rsidRPr="00A52585">
        <w:rPr>
          <w:rFonts w:hint="cs"/>
          <w:rtl/>
        </w:rPr>
        <w:t>،</w:t>
      </w:r>
      <w:r w:rsidR="00777DCB" w:rsidRPr="00A52585">
        <w:rPr>
          <w:rFonts w:hint="cs"/>
          <w:rtl/>
        </w:rPr>
        <w:t xml:space="preserve"> ومن جملة مؤلفاته في هذا الصدد </w:t>
      </w:r>
      <w:r w:rsidRPr="00A52585">
        <w:rPr>
          <w:rFonts w:hint="cs"/>
          <w:rtl/>
        </w:rPr>
        <w:t>(</w:t>
      </w:r>
      <w:r w:rsidR="00777DCB" w:rsidRPr="00A52585">
        <w:rPr>
          <w:rFonts w:hint="cs"/>
          <w:rtl/>
        </w:rPr>
        <w:t>رده على نونية ابن القيم</w:t>
      </w:r>
      <w:r w:rsidRPr="00A52585">
        <w:rPr>
          <w:rFonts w:hint="cs"/>
          <w:rtl/>
        </w:rPr>
        <w:t>)</w:t>
      </w:r>
      <w:r w:rsidR="00DB731D" w:rsidRPr="00A52585">
        <w:rPr>
          <w:rFonts w:hint="cs"/>
          <w:rtl/>
        </w:rPr>
        <w:t>،</w:t>
      </w:r>
      <w:r w:rsidR="00777DCB" w:rsidRPr="00A52585">
        <w:rPr>
          <w:rFonts w:hint="cs"/>
          <w:rtl/>
        </w:rPr>
        <w:t xml:space="preserve"> وقد نقل السيد محمد المرتضى الزبيدي في شرح الإحياء عند الكلام على إمامي أهل السنة عن هذا الرد المسمى </w:t>
      </w:r>
      <w:r w:rsidRPr="00A52585">
        <w:rPr>
          <w:rFonts w:hint="cs"/>
          <w:rtl/>
        </w:rPr>
        <w:t>(</w:t>
      </w:r>
      <w:r w:rsidR="00777DCB" w:rsidRPr="00A52585">
        <w:rPr>
          <w:rFonts w:hint="cs"/>
          <w:bCs/>
          <w:rtl/>
        </w:rPr>
        <w:t>السيف الصقيل في الرد على ابن وفيل</w:t>
      </w:r>
      <w:r w:rsidRPr="00A52585">
        <w:rPr>
          <w:rFonts w:hint="cs"/>
          <w:rtl/>
        </w:rPr>
        <w:t>)</w:t>
      </w:r>
      <w:r w:rsidR="00777DCB" w:rsidRPr="00A52585">
        <w:rPr>
          <w:rFonts w:hint="cs"/>
          <w:rtl/>
        </w:rPr>
        <w:t xml:space="preserve"> جملة نافعة من مقدمته</w:t>
      </w:r>
      <w:r w:rsidR="00DB731D" w:rsidRPr="00A52585">
        <w:rPr>
          <w:rFonts w:hint="cs"/>
          <w:rtl/>
        </w:rPr>
        <w:t>،</w:t>
      </w:r>
      <w:r w:rsidR="00777DCB" w:rsidRPr="00A52585">
        <w:rPr>
          <w:rFonts w:hint="cs"/>
          <w:rtl/>
        </w:rPr>
        <w:t xml:space="preserve"> والتقي السبكي أوجز في رده مكتفياً بلفتِ النظر إلى كلمات الناظم الخطرة في الغالب بدون أن يناقشه فيها كثيراً</w:t>
      </w:r>
      <w:r w:rsidR="00DB731D" w:rsidRPr="00A52585">
        <w:rPr>
          <w:rFonts w:hint="cs"/>
          <w:rtl/>
        </w:rPr>
        <w:t>،</w:t>
      </w:r>
      <w:r w:rsidR="00777DCB" w:rsidRPr="00A52585">
        <w:rPr>
          <w:rFonts w:hint="cs"/>
          <w:rtl/>
        </w:rPr>
        <w:t xml:space="preserve"> باعتبار أن الاطلاع عليها يكفي بمجرده في </w:t>
      </w:r>
      <w:r w:rsidR="00777DCB" w:rsidRPr="00A52585">
        <w:rPr>
          <w:rFonts w:hint="cs"/>
          <w:spacing w:val="-4"/>
          <w:rtl/>
        </w:rPr>
        <w:t>نبذها وتضليل قائلها</w:t>
      </w:r>
      <w:r w:rsidR="00DB731D" w:rsidRPr="00A52585">
        <w:rPr>
          <w:rFonts w:hint="cs"/>
          <w:spacing w:val="-4"/>
          <w:rtl/>
        </w:rPr>
        <w:t>،</w:t>
      </w:r>
      <w:r w:rsidR="00777DCB" w:rsidRPr="00A52585">
        <w:rPr>
          <w:rFonts w:hint="cs"/>
          <w:spacing w:val="-4"/>
          <w:rtl/>
        </w:rPr>
        <w:t xml:space="preserve"> ولو كان السبكي يرى ابن القيم يستأهل المناقشة لأوسع في الرد عليه</w:t>
      </w:r>
      <w:r w:rsidR="00DB731D" w:rsidRPr="00A52585">
        <w:rPr>
          <w:rFonts w:hint="cs"/>
          <w:spacing w:val="-4"/>
          <w:rtl/>
        </w:rPr>
        <w:t>،</w:t>
      </w:r>
      <w:r w:rsidR="00777DCB" w:rsidRPr="00A52585">
        <w:rPr>
          <w:rFonts w:hint="cs"/>
          <w:spacing w:val="-4"/>
          <w:rtl/>
        </w:rPr>
        <w:t xml:space="preserve"> لأنه كان أنظر أهل عصره -</w:t>
      </w:r>
      <w:r w:rsidRPr="00A52585">
        <w:rPr>
          <w:rFonts w:hint="cs"/>
          <w:spacing w:val="-4"/>
          <w:rtl/>
        </w:rPr>
        <w:t xml:space="preserve"> </w:t>
      </w:r>
      <w:r w:rsidR="00777DCB" w:rsidRPr="00A52585">
        <w:rPr>
          <w:rFonts w:hint="cs"/>
          <w:spacing w:val="-4"/>
          <w:rtl/>
        </w:rPr>
        <w:t xml:space="preserve">كما قال </w:t>
      </w:r>
      <w:proofErr w:type="spellStart"/>
      <w:r w:rsidR="00777DCB" w:rsidRPr="00A52585">
        <w:rPr>
          <w:rFonts w:hint="cs"/>
          <w:spacing w:val="-4"/>
          <w:rtl/>
        </w:rPr>
        <w:t>الأسنوي</w:t>
      </w:r>
      <w:proofErr w:type="spellEnd"/>
      <w:r w:rsidR="00777DCB" w:rsidRPr="00A52585">
        <w:rPr>
          <w:rFonts w:hint="cs"/>
          <w:spacing w:val="-4"/>
          <w:rtl/>
        </w:rPr>
        <w:t xml:space="preserve"> وغيره من المحققين -</w:t>
      </w:r>
      <w:r w:rsidRPr="00A52585">
        <w:rPr>
          <w:rFonts w:hint="cs"/>
          <w:spacing w:val="-4"/>
          <w:rtl/>
        </w:rPr>
        <w:t xml:space="preserve"> </w:t>
      </w:r>
      <w:r w:rsidR="00777DCB" w:rsidRPr="00A52585">
        <w:rPr>
          <w:rFonts w:hint="cs"/>
          <w:spacing w:val="-4"/>
          <w:rtl/>
        </w:rPr>
        <w:t>لكنه كان يعده في غاية من الغباوة فاكتفى في غالب الأبحاث بلفت نظر عامة العلماء إلى أهوائه البشعة</w:t>
      </w:r>
      <w:r w:rsidR="00DB731D" w:rsidRPr="00A52585">
        <w:rPr>
          <w:rFonts w:hint="cs"/>
          <w:spacing w:val="-4"/>
          <w:rtl/>
        </w:rPr>
        <w:t>،</w:t>
      </w:r>
      <w:r w:rsidR="00777DCB" w:rsidRPr="00A52585">
        <w:rPr>
          <w:rFonts w:hint="cs"/>
          <w:spacing w:val="-4"/>
          <w:rtl/>
        </w:rPr>
        <w:t xml:space="preserve"> والتقي السبكي من ألطف أهل العلم لهجة وأنـزههم لساناً مع من يرد عليهم</w:t>
      </w:r>
      <w:r w:rsidR="00DB731D" w:rsidRPr="00A52585">
        <w:rPr>
          <w:rFonts w:hint="cs"/>
          <w:spacing w:val="-4"/>
          <w:rtl/>
        </w:rPr>
        <w:t>،</w:t>
      </w:r>
      <w:r w:rsidR="00777DCB" w:rsidRPr="00A52585">
        <w:rPr>
          <w:rFonts w:hint="cs"/>
          <w:spacing w:val="-4"/>
          <w:rtl/>
        </w:rPr>
        <w:t xml:space="preserve"> لكن حيث إن الناظم أسرف في ضلاله وإضلاله اضطر التقي في رده عليه إلى بعض إغلاظ في يحقه صونا لمن عسى أن ينخدع </w:t>
      </w:r>
      <w:proofErr w:type="spellStart"/>
      <w:r w:rsidR="00777DCB" w:rsidRPr="00A52585">
        <w:rPr>
          <w:rFonts w:hint="cs"/>
          <w:spacing w:val="-4"/>
          <w:rtl/>
        </w:rPr>
        <w:t>بتلبيساته</w:t>
      </w:r>
      <w:proofErr w:type="spellEnd"/>
      <w:r w:rsidR="00DB731D" w:rsidRPr="00A52585">
        <w:rPr>
          <w:rFonts w:hint="cs"/>
          <w:spacing w:val="-4"/>
          <w:rtl/>
        </w:rPr>
        <w:t>،</w:t>
      </w:r>
      <w:r w:rsidR="00777DCB" w:rsidRPr="00A52585">
        <w:rPr>
          <w:rFonts w:hint="cs"/>
          <w:spacing w:val="-4"/>
          <w:rtl/>
        </w:rPr>
        <w:t xml:space="preserve"> وقرعاً للعبد بالعصا</w:t>
      </w:r>
      <w:r w:rsidR="00DB731D" w:rsidRPr="00A52585">
        <w:rPr>
          <w:rFonts w:hint="cs"/>
          <w:spacing w:val="-4"/>
          <w:rtl/>
        </w:rPr>
        <w:t>،</w:t>
      </w:r>
      <w:r w:rsidR="00777DCB" w:rsidRPr="00A52585">
        <w:rPr>
          <w:rFonts w:hint="cs"/>
          <w:spacing w:val="-4"/>
          <w:rtl/>
        </w:rPr>
        <w:t xml:space="preserve"> وهو معذور في ذلك بل إغلاظه ليس بشيء في جنب ما تقول به ابن القيم في حق جمهور أهل الحق</w:t>
      </w:r>
      <w:r w:rsidR="00DB731D" w:rsidRPr="00A52585">
        <w:rPr>
          <w:rFonts w:hint="cs"/>
          <w:spacing w:val="-4"/>
          <w:rtl/>
        </w:rPr>
        <w:t>،</w:t>
      </w:r>
      <w:r w:rsidR="00777DCB" w:rsidRPr="00A52585">
        <w:rPr>
          <w:rFonts w:hint="cs"/>
          <w:spacing w:val="-4"/>
          <w:rtl/>
        </w:rPr>
        <w:t xml:space="preserve"> </w:t>
      </w:r>
      <w:r w:rsidR="00777DCB" w:rsidRPr="00A52585">
        <w:rPr>
          <w:rFonts w:hint="cs"/>
          <w:rtl/>
        </w:rPr>
        <w:t>ودونك نونيته التي رد عليها السبكي وهي أصدق شاهد لما قلنا</w:t>
      </w:r>
      <w:r w:rsidR="00DB731D" w:rsidRPr="00A52585">
        <w:rPr>
          <w:rFonts w:hint="cs"/>
          <w:rtl/>
        </w:rPr>
        <w:t>،</w:t>
      </w:r>
      <w:r w:rsidR="00777DCB" w:rsidRPr="00A52585">
        <w:rPr>
          <w:rFonts w:hint="cs"/>
          <w:rtl/>
        </w:rPr>
        <w:t xml:space="preserve"> ونونية ابن القيم هذه من أبشع كتبه وأبعدها غوراً في الضلال وأشنعها إغراء </w:t>
      </w:r>
      <w:proofErr w:type="spellStart"/>
      <w:r w:rsidR="00777DCB" w:rsidRPr="00A52585">
        <w:rPr>
          <w:rFonts w:hint="cs"/>
          <w:rtl/>
        </w:rPr>
        <w:t>للحشوية</w:t>
      </w:r>
      <w:proofErr w:type="spellEnd"/>
      <w:r w:rsidR="00777DCB" w:rsidRPr="00A52585">
        <w:rPr>
          <w:rFonts w:hint="cs"/>
          <w:rtl/>
        </w:rPr>
        <w:t xml:space="preserve"> ضد أهل السنة</w:t>
      </w:r>
      <w:r w:rsidR="00DB731D" w:rsidRPr="00A52585">
        <w:rPr>
          <w:rFonts w:hint="cs"/>
          <w:rtl/>
        </w:rPr>
        <w:t>،</w:t>
      </w:r>
      <w:r w:rsidR="00777DCB" w:rsidRPr="00A52585">
        <w:rPr>
          <w:rFonts w:hint="cs"/>
          <w:rtl/>
        </w:rPr>
        <w:t xml:space="preserve"> وأوقحها في الكذب على العلماء كما ترى إيضاح ذلك في مقدمة </w:t>
      </w:r>
      <w:r w:rsidRPr="00A52585">
        <w:rPr>
          <w:rFonts w:hint="cs"/>
          <w:rtl/>
        </w:rPr>
        <w:t>(</w:t>
      </w:r>
      <w:r w:rsidR="00777DCB" w:rsidRPr="00A52585">
        <w:rPr>
          <w:rFonts w:hint="cs"/>
          <w:rtl/>
        </w:rPr>
        <w:t>السيف الصقيل</w:t>
      </w:r>
      <w:r w:rsidRPr="00A52585">
        <w:rPr>
          <w:rFonts w:hint="cs"/>
          <w:rtl/>
        </w:rPr>
        <w:t>)</w:t>
      </w:r>
      <w:r w:rsidR="00777DCB" w:rsidRPr="00A52585">
        <w:rPr>
          <w:rFonts w:hint="cs"/>
          <w:rtl/>
        </w:rPr>
        <w:t xml:space="preserve"> فلا نـزاحم السبكي في شرح بشاعة طريقته فيها إلا أنا نشير هنا إلى أن ابن القيم كلما تراه يزداد تهويلا وصراخاً باسم السنة في كتابه هذا يجب أن تعلم أنه في تلك الحالة متلبس بجريمة خداع خبيث وأنه في تلك الحالة نفسها في صدد تلبيس ودس شنيعين</w:t>
      </w:r>
      <w:r w:rsidR="00DB731D" w:rsidRPr="00A52585">
        <w:rPr>
          <w:rFonts w:hint="cs"/>
          <w:rtl/>
        </w:rPr>
        <w:t>،</w:t>
      </w:r>
      <w:r w:rsidR="00777DCB" w:rsidRPr="00A52585">
        <w:rPr>
          <w:rFonts w:hint="cs"/>
          <w:rtl/>
        </w:rPr>
        <w:t xml:space="preserve"> وإنما تلك التهويلات منه لتخدير العقول عن الانتباه لما يريد أن يدسه في غضون كلامه من بدعه المخزية كما يظهر من مطالعة النونية بتبصر ويقظة</w:t>
      </w:r>
      <w:r w:rsidR="00DB731D" w:rsidRPr="00A52585">
        <w:rPr>
          <w:rFonts w:hint="cs"/>
          <w:rtl/>
        </w:rPr>
        <w:t>،</w:t>
      </w:r>
      <w:r w:rsidR="00777DCB" w:rsidRPr="00A52585">
        <w:rPr>
          <w:rFonts w:hint="cs"/>
          <w:rtl/>
        </w:rPr>
        <w:t xml:space="preserve"> وإنما اختار طريق النظم في ذلك ليسهل عليه أن يهيم في كل واد</w:t>
      </w:r>
      <w:r w:rsidR="00DB731D" w:rsidRPr="00A52585">
        <w:rPr>
          <w:rFonts w:hint="cs"/>
          <w:rtl/>
        </w:rPr>
        <w:t>،</w:t>
      </w:r>
      <w:r w:rsidR="00777DCB" w:rsidRPr="00A52585">
        <w:rPr>
          <w:rFonts w:hint="cs"/>
          <w:rtl/>
        </w:rPr>
        <w:t xml:space="preserve"> ولولا أنها طبعت مراراً وتكراراً ممن لا بغية له من طبعها غير عدد من القرش يملأ به الكرش, قام بذلك الدين أم قعد</w:t>
      </w:r>
      <w:r w:rsidR="00DB731D" w:rsidRPr="00A52585">
        <w:rPr>
          <w:rFonts w:hint="cs"/>
          <w:rtl/>
        </w:rPr>
        <w:t>،</w:t>
      </w:r>
      <w:r w:rsidR="00777DCB" w:rsidRPr="00A52585">
        <w:rPr>
          <w:rFonts w:hint="cs"/>
          <w:rtl/>
        </w:rPr>
        <w:t xml:space="preserve"> بدون أن يقوم أحد من العلماء المعاصرين بالرد عليها</w:t>
      </w:r>
      <w:r w:rsidR="00DB731D" w:rsidRPr="00A52585">
        <w:rPr>
          <w:rFonts w:hint="cs"/>
          <w:rtl/>
        </w:rPr>
        <w:t>،</w:t>
      </w:r>
      <w:r w:rsidR="00777DCB" w:rsidRPr="00A52585">
        <w:rPr>
          <w:rFonts w:hint="cs"/>
          <w:rtl/>
        </w:rPr>
        <w:t xml:space="preserve"> لكان إهمال الرد عليها أنسب</w:t>
      </w:r>
      <w:r w:rsidR="00DB731D" w:rsidRPr="00A52585">
        <w:rPr>
          <w:rFonts w:hint="cs"/>
          <w:rtl/>
        </w:rPr>
        <w:t>،</w:t>
      </w:r>
      <w:r w:rsidR="00777DCB" w:rsidRPr="00A52585">
        <w:rPr>
          <w:rFonts w:hint="cs"/>
          <w:rtl/>
        </w:rPr>
        <w:t xml:space="preserve"> لكن لم يبق بعد تكرر طبعها مع تقاعس أهل العلم عن ردها مساغ للإهمال</w:t>
      </w:r>
      <w:r w:rsidR="00DB731D" w:rsidRPr="00A52585">
        <w:rPr>
          <w:rFonts w:hint="cs"/>
          <w:rtl/>
        </w:rPr>
        <w:t>،</w:t>
      </w:r>
      <w:r w:rsidR="00777DCB" w:rsidRPr="00A52585">
        <w:rPr>
          <w:rFonts w:hint="cs"/>
          <w:rtl/>
        </w:rPr>
        <w:t xml:space="preserve"> فوجب تقويض دعائمها بنشر </w:t>
      </w:r>
      <w:r w:rsidR="00777DCB" w:rsidRPr="00A52585">
        <w:rPr>
          <w:rFonts w:hint="cs"/>
          <w:rtl/>
        </w:rPr>
        <w:lastRenderedPageBreak/>
        <w:t>كتاب السبكي مع تعليق كلمات عليه في مواضع رأيناها في حاجة إلى التعليق</w:t>
      </w:r>
      <w:r w:rsidR="00DB731D" w:rsidRPr="00A52585">
        <w:rPr>
          <w:rFonts w:hint="cs"/>
          <w:rtl/>
        </w:rPr>
        <w:t>،</w:t>
      </w:r>
      <w:r w:rsidR="00777DCB" w:rsidRPr="00A52585">
        <w:rPr>
          <w:rFonts w:hint="cs"/>
          <w:rtl/>
        </w:rPr>
        <w:t xml:space="preserve"> وقد سميت ما علقته </w:t>
      </w:r>
      <w:r w:rsidRPr="00A52585">
        <w:rPr>
          <w:rFonts w:hint="cs"/>
          <w:rtl/>
        </w:rPr>
        <w:t>(</w:t>
      </w:r>
      <w:r w:rsidR="00777DCB" w:rsidRPr="00A52585">
        <w:rPr>
          <w:rFonts w:hint="cs"/>
          <w:rtl/>
        </w:rPr>
        <w:t>تكملة الرد على نونية ابن القيم</w:t>
      </w:r>
      <w:r w:rsidRPr="00A52585">
        <w:rPr>
          <w:rFonts w:hint="cs"/>
          <w:rtl/>
        </w:rPr>
        <w:t>)</w:t>
      </w:r>
      <w:r w:rsidR="00DB731D" w:rsidRPr="00A52585">
        <w:rPr>
          <w:rFonts w:hint="cs"/>
          <w:rtl/>
        </w:rPr>
        <w:t>،</w:t>
      </w:r>
      <w:r w:rsidR="00777DCB" w:rsidRPr="00A52585">
        <w:rPr>
          <w:rFonts w:hint="cs"/>
          <w:rtl/>
        </w:rPr>
        <w:t xml:space="preserve"> والله سبحانه ولي النفع وعليه توكلت وإليه أنيب</w:t>
      </w:r>
      <w:r w:rsidR="00DB731D" w:rsidRPr="00A52585">
        <w:rPr>
          <w:rFonts w:hint="cs"/>
          <w:rtl/>
        </w:rPr>
        <w:t>،</w:t>
      </w:r>
      <w:r w:rsidR="00777DCB" w:rsidRPr="00A52585">
        <w:rPr>
          <w:rFonts w:hint="cs"/>
          <w:rtl/>
        </w:rPr>
        <w:t xml:space="preserve"> </w:t>
      </w:r>
    </w:p>
    <w:p w14:paraId="292B5BFD" w14:textId="77777777" w:rsidR="00777DCB" w:rsidRPr="00A52585" w:rsidRDefault="00777DCB" w:rsidP="0002035C">
      <w:pPr>
        <w:spacing w:after="240"/>
        <w:jc w:val="center"/>
        <w:rPr>
          <w:b/>
          <w:rtl/>
        </w:rPr>
      </w:pPr>
      <w:r w:rsidRPr="00A52585">
        <w:rPr>
          <w:rFonts w:hint="cs"/>
          <w:rtl/>
        </w:rPr>
        <w:t>***</w:t>
      </w:r>
    </w:p>
    <w:p w14:paraId="7F74C3D6" w14:textId="2D93643C" w:rsidR="00777DCB" w:rsidRPr="00A52585" w:rsidRDefault="0002035C" w:rsidP="0002035C">
      <w:pPr>
        <w:ind w:right="-58"/>
        <w:jc w:val="center"/>
        <w:rPr>
          <w:rFonts w:cs="Monotype Koufi"/>
          <w:b/>
          <w:rtl/>
          <w:lang w:bidi="ar-KW"/>
        </w:rPr>
      </w:pPr>
      <w:r w:rsidRPr="00A52585">
        <w:rPr>
          <w:rFonts w:cs="Monotype Koufi" w:hint="cs"/>
          <w:rtl/>
          <w:lang w:bidi="ar-KW"/>
        </w:rPr>
        <w:t>[</w:t>
      </w:r>
      <w:r w:rsidR="00777DCB" w:rsidRPr="00A52585">
        <w:rPr>
          <w:rFonts w:cs="Monotype Koufi" w:hint="cs"/>
          <w:rtl/>
          <w:lang w:bidi="ar-KW"/>
        </w:rPr>
        <w:t>مقدمة الكتاب للمؤلف</w:t>
      </w:r>
      <w:r w:rsidRPr="00A52585">
        <w:rPr>
          <w:rFonts w:cs="Monotype Koufi" w:hint="cs"/>
          <w:rtl/>
          <w:lang w:bidi="ar-KW"/>
        </w:rPr>
        <w:t>]</w:t>
      </w:r>
    </w:p>
    <w:p w14:paraId="3D89DB28" w14:textId="0A0E11D0" w:rsidR="00777DCB" w:rsidRPr="00A52585" w:rsidRDefault="00777DCB" w:rsidP="0002035C">
      <w:pPr>
        <w:spacing w:after="240"/>
        <w:rPr>
          <w:b/>
          <w:rtl/>
        </w:rPr>
      </w:pPr>
      <w:r w:rsidRPr="00A52585">
        <w:rPr>
          <w:rFonts w:hint="cs"/>
          <w:bCs/>
          <w:rtl/>
        </w:rPr>
        <w:t>قال الإمام الحجة أبو الحسن علي بن عبد الكافي السبكي رضي الله عنه</w:t>
      </w:r>
      <w:r w:rsidR="0002035C" w:rsidRPr="00A52585">
        <w:rPr>
          <w:rFonts w:hint="cs"/>
          <w:rtl/>
        </w:rPr>
        <w:t>:</w:t>
      </w:r>
      <w:r w:rsidRPr="00A52585">
        <w:rPr>
          <w:rFonts w:hint="cs"/>
          <w:rtl/>
        </w:rPr>
        <w:t xml:space="preserve"> يا عالماً بكل شيء</w:t>
      </w:r>
      <w:r w:rsidR="00DB731D" w:rsidRPr="00A52585">
        <w:rPr>
          <w:rFonts w:hint="cs"/>
          <w:rtl/>
        </w:rPr>
        <w:t>،</w:t>
      </w:r>
      <w:r w:rsidRPr="00A52585">
        <w:rPr>
          <w:rFonts w:hint="cs"/>
          <w:rtl/>
        </w:rPr>
        <w:t xml:space="preserve"> قادراً على كل شيء</w:t>
      </w:r>
      <w:r w:rsidR="00DB731D" w:rsidRPr="00A52585">
        <w:rPr>
          <w:rFonts w:hint="cs"/>
          <w:rtl/>
        </w:rPr>
        <w:t>،</w:t>
      </w:r>
      <w:r w:rsidRPr="00A52585">
        <w:rPr>
          <w:rFonts w:hint="cs"/>
          <w:rtl/>
        </w:rPr>
        <w:t xml:space="preserve"> أرحم عبداً جاهلاً بكل شيء</w:t>
      </w:r>
      <w:r w:rsidR="00DB731D" w:rsidRPr="00A52585">
        <w:rPr>
          <w:rFonts w:hint="cs"/>
          <w:rtl/>
        </w:rPr>
        <w:t>،</w:t>
      </w:r>
      <w:r w:rsidRPr="00A52585">
        <w:rPr>
          <w:rFonts w:hint="cs"/>
          <w:rtl/>
        </w:rPr>
        <w:t xml:space="preserve"> عاجزاً عن كل شيء</w:t>
      </w:r>
      <w:r w:rsidR="00DB731D" w:rsidRPr="00A52585">
        <w:rPr>
          <w:rFonts w:hint="cs"/>
          <w:rtl/>
        </w:rPr>
        <w:t>،</w:t>
      </w:r>
      <w:r w:rsidRPr="00A52585">
        <w:rPr>
          <w:rFonts w:hint="cs"/>
          <w:rtl/>
        </w:rPr>
        <w:t xml:space="preserve"> خُلِق ضعيفاً </w:t>
      </w:r>
      <w:proofErr w:type="spellStart"/>
      <w:r w:rsidRPr="00A52585">
        <w:rPr>
          <w:rFonts w:hint="cs"/>
          <w:rtl/>
        </w:rPr>
        <w:t>تنتوشه</w:t>
      </w:r>
      <w:proofErr w:type="spellEnd"/>
      <w:r w:rsidRPr="00A52585">
        <w:rPr>
          <w:rFonts w:hint="cs"/>
          <w:rtl/>
        </w:rPr>
        <w:t xml:space="preserve"> الآفات من جميع الجهات ويستغرقه احتياجه على ممر الأنفاس واللحظات</w:t>
      </w:r>
      <w:r w:rsidR="00DB731D" w:rsidRPr="00A52585">
        <w:rPr>
          <w:rFonts w:hint="cs"/>
          <w:rtl/>
        </w:rPr>
        <w:t>،</w:t>
      </w:r>
      <w:r w:rsidRPr="00A52585">
        <w:rPr>
          <w:rFonts w:hint="cs"/>
          <w:rtl/>
        </w:rPr>
        <w:t xml:space="preserve"> مدته في الدنيا قصيرة لو صرفها كلها في طاعة ربه</w:t>
      </w:r>
      <w:r w:rsidR="00DB731D" w:rsidRPr="00A52585">
        <w:rPr>
          <w:rFonts w:hint="cs"/>
          <w:rtl/>
        </w:rPr>
        <w:t>،</w:t>
      </w:r>
      <w:r w:rsidRPr="00A52585">
        <w:rPr>
          <w:rFonts w:hint="cs"/>
          <w:rtl/>
        </w:rPr>
        <w:t xml:space="preserve"> وعلم نافع به سلامة قلبه كان موفقاً يقتصر على خويصة نفسه وهذا يحتاج إلى مدد إلهي في دنياه في صحة جسمه وكفايته وكفاية من يتعلق به في القوت وما يتعلق به ودفع الأذى عنه</w:t>
      </w:r>
      <w:r w:rsidR="00DB731D" w:rsidRPr="00A52585">
        <w:rPr>
          <w:rFonts w:hint="cs"/>
          <w:rtl/>
        </w:rPr>
        <w:t>،</w:t>
      </w:r>
      <w:r w:rsidRPr="00A52585">
        <w:rPr>
          <w:rFonts w:hint="cs"/>
          <w:rtl/>
        </w:rPr>
        <w:t xml:space="preserve"> وفي دينه بسلامة قلبه من العقائد الفاسدة</w:t>
      </w:r>
      <w:r w:rsidR="00DB731D" w:rsidRPr="00A52585">
        <w:rPr>
          <w:rFonts w:hint="cs"/>
          <w:rtl/>
        </w:rPr>
        <w:t>،</w:t>
      </w:r>
      <w:r w:rsidRPr="00A52585">
        <w:rPr>
          <w:rFonts w:hint="cs"/>
          <w:rtl/>
        </w:rPr>
        <w:t xml:space="preserve"> وإقباله على الله تعالى وسلامة جوارحه من المعاصي وقيامها بما افترض الله عليها</w:t>
      </w:r>
      <w:r w:rsidR="00DB731D" w:rsidRPr="00A52585">
        <w:rPr>
          <w:rFonts w:hint="cs"/>
          <w:rtl/>
        </w:rPr>
        <w:t>،</w:t>
      </w:r>
      <w:r w:rsidRPr="00A52585">
        <w:rPr>
          <w:rFonts w:hint="cs"/>
          <w:rtl/>
        </w:rPr>
        <w:t xml:space="preserve"> وسلامته في قلبه وجسمه من شياطين الإنس والجن ونفسه وهواه وفي علمه فلا يشتغل من العلوم إلا بما ينفع وهو القرآن والسنة والفقه وأصول الفقه والنحو ويأخذها عن شيخ سالم العقيدة ويتجنب علم الكلام والحكمة اليونانية</w:t>
      </w:r>
      <w:r w:rsidR="00DB731D" w:rsidRPr="00A52585">
        <w:rPr>
          <w:rFonts w:hint="cs"/>
          <w:rtl/>
        </w:rPr>
        <w:t>،</w:t>
      </w:r>
      <w:r w:rsidRPr="00A52585">
        <w:rPr>
          <w:rFonts w:hint="cs"/>
          <w:rtl/>
        </w:rPr>
        <w:t xml:space="preserve"> والاجتماع بمن هو فاسد العقيدة أو النظر في كلامه</w:t>
      </w:r>
      <w:r w:rsidR="00DB731D" w:rsidRPr="00A52585">
        <w:rPr>
          <w:rFonts w:hint="cs"/>
          <w:rtl/>
        </w:rPr>
        <w:t>،</w:t>
      </w:r>
      <w:r w:rsidRPr="00A52585">
        <w:rPr>
          <w:rFonts w:hint="cs"/>
          <w:rtl/>
        </w:rPr>
        <w:t xml:space="preserve"> وليس على العقائد أضر من شيئين</w:t>
      </w:r>
      <w:r w:rsidR="0002035C" w:rsidRPr="00A52585">
        <w:rPr>
          <w:rFonts w:hint="cs"/>
          <w:rtl/>
        </w:rPr>
        <w:t>:</w:t>
      </w:r>
      <w:r w:rsidRPr="00A52585">
        <w:rPr>
          <w:rFonts w:hint="cs"/>
          <w:rtl/>
        </w:rPr>
        <w:t xml:space="preserve"> علم الكلام والحكمة اليونانية</w:t>
      </w:r>
      <w:r w:rsidR="00DB731D" w:rsidRPr="00A52585">
        <w:rPr>
          <w:rFonts w:hint="cs"/>
          <w:rtl/>
        </w:rPr>
        <w:t>،</w:t>
      </w:r>
      <w:r w:rsidRPr="00A52585">
        <w:rPr>
          <w:rFonts w:hint="cs"/>
          <w:rtl/>
        </w:rPr>
        <w:t xml:space="preserve"> وهما في الحقيقة علم واحد</w:t>
      </w:r>
      <w:r w:rsidR="00DB731D" w:rsidRPr="00A52585">
        <w:rPr>
          <w:rFonts w:hint="cs"/>
          <w:rtl/>
        </w:rPr>
        <w:t>،</w:t>
      </w:r>
      <w:r w:rsidRPr="00A52585">
        <w:rPr>
          <w:rFonts w:hint="cs"/>
          <w:rtl/>
        </w:rPr>
        <w:t xml:space="preserve"> وهو العلم الإلهي</w:t>
      </w:r>
      <w:r w:rsidR="00DB731D" w:rsidRPr="00A52585">
        <w:rPr>
          <w:rFonts w:hint="cs"/>
          <w:rtl/>
        </w:rPr>
        <w:t>،</w:t>
      </w:r>
      <w:r w:rsidRPr="00A52585">
        <w:rPr>
          <w:rFonts w:hint="cs"/>
          <w:rtl/>
        </w:rPr>
        <w:t xml:space="preserve"> لكن اليونان طلبوه بمجرد عقولهم</w:t>
      </w:r>
      <w:r w:rsidR="00DB731D" w:rsidRPr="00A52585">
        <w:rPr>
          <w:rFonts w:hint="cs"/>
          <w:rtl/>
        </w:rPr>
        <w:t>،</w:t>
      </w:r>
      <w:r w:rsidRPr="00A52585">
        <w:rPr>
          <w:rFonts w:hint="cs"/>
          <w:rtl/>
        </w:rPr>
        <w:t xml:space="preserve"> والمتكلمون طلبوه بالعقل والنقل معاً</w:t>
      </w:r>
      <w:r w:rsidR="00DB731D" w:rsidRPr="00A52585">
        <w:rPr>
          <w:rFonts w:hint="cs"/>
          <w:rtl/>
        </w:rPr>
        <w:t>،</w:t>
      </w:r>
      <w:r w:rsidRPr="00A52585">
        <w:rPr>
          <w:rFonts w:hint="cs"/>
          <w:rtl/>
        </w:rPr>
        <w:t xml:space="preserve"> وافترقوا ثلاث فرق إحداها غلب عليها جانب العقل وهم المعتزلة </w:t>
      </w:r>
      <w:r w:rsidR="0002035C" w:rsidRPr="00A52585">
        <w:rPr>
          <w:rFonts w:hint="cs"/>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وعنهم يقول أبو الحسين محمد بن أحمد </w:t>
      </w:r>
      <w:proofErr w:type="spellStart"/>
      <w:r w:rsidRPr="00A52585">
        <w:rPr>
          <w:rFonts w:hint="cs"/>
          <w:sz w:val="24"/>
          <w:szCs w:val="24"/>
          <w:rtl/>
        </w:rPr>
        <w:t>الطرائفي</w:t>
      </w:r>
      <w:proofErr w:type="spellEnd"/>
      <w:r w:rsidRPr="00A52585">
        <w:rPr>
          <w:rFonts w:hint="cs"/>
          <w:sz w:val="24"/>
          <w:szCs w:val="24"/>
          <w:rtl/>
        </w:rPr>
        <w:t xml:space="preserve"> الشافعي المتوفى سنة 377 هـ في كتاب (الرد على أهل الأهواء والبدع)</w:t>
      </w:r>
      <w:r w:rsidR="0002035C" w:rsidRPr="00A52585">
        <w:rPr>
          <w:rFonts w:hint="cs"/>
          <w:sz w:val="24"/>
          <w:szCs w:val="24"/>
          <w:rtl/>
        </w:rPr>
        <w:t>:</w:t>
      </w:r>
      <w:r w:rsidRPr="00A52585">
        <w:rPr>
          <w:rFonts w:hint="cs"/>
          <w:sz w:val="24"/>
          <w:szCs w:val="24"/>
          <w:rtl/>
        </w:rPr>
        <w:t xml:space="preserve"> وهم أرباب أنواع الكلام وأصحاب الجدل والتمييز والنظر والاستنباط والحجج على من خالفهم، والمفرقون بين علم السمع وعلم العقل والمنصفون في مناظرة الخصوم، وهم عشرون فرقة يجتمعون على أصل واحد لا يفارقونه وعليه يتولون وبه يتعادون وإنما اختلفوا في الفروع وهم سموا أنفسهم معتزلة، وذلك عندما بايع الحسن بن على عليه السلام معاوية وسلم إليه الأمر اعتزلوا الحسن ومعاوية وجميع الناس وذلك أنهم كانوا من أصحاب على -</w:t>
      </w:r>
      <w:r w:rsidR="0002035C" w:rsidRPr="00A52585">
        <w:rPr>
          <w:rFonts w:hint="cs"/>
          <w:sz w:val="24"/>
          <w:szCs w:val="24"/>
          <w:rtl/>
        </w:rPr>
        <w:t xml:space="preserve"> </w:t>
      </w:r>
      <w:r w:rsidRPr="00A52585">
        <w:rPr>
          <w:rFonts w:hint="cs"/>
          <w:sz w:val="24"/>
          <w:szCs w:val="24"/>
          <w:rtl/>
        </w:rPr>
        <w:t>ولزموا منازلهم ومساجدهم، وقالوا نشتغل بالعلم والعبادة فسموا بذلك معتزلة اهـ.</w:t>
      </w:r>
      <w:r w:rsidR="00DB731D" w:rsidRPr="00A52585">
        <w:rPr>
          <w:rFonts w:hint="cs"/>
          <w:sz w:val="24"/>
          <w:szCs w:val="24"/>
          <w:rtl/>
        </w:rPr>
        <w:t>،</w:t>
      </w:r>
      <w:r w:rsidRPr="00A52585">
        <w:rPr>
          <w:rFonts w:hint="cs"/>
          <w:sz w:val="24"/>
          <w:szCs w:val="24"/>
          <w:rtl/>
        </w:rPr>
        <w:t xml:space="preserve"> ثم ذكر أئمتهم من البصريين والبغداديين وسرد بعض آرائهم في عدة أوراق. وهو من محفوظات الظاهرية بدمشق تحت رقم 59 في التوحيد</w:t>
      </w:r>
      <w:r w:rsidR="00DB731D" w:rsidRPr="00A52585">
        <w:rPr>
          <w:rFonts w:hint="cs"/>
          <w:sz w:val="24"/>
          <w:szCs w:val="24"/>
          <w:rtl/>
        </w:rPr>
        <w:t>،</w:t>
      </w:r>
      <w:r w:rsidRPr="00A52585">
        <w:rPr>
          <w:rFonts w:hint="cs"/>
          <w:sz w:val="24"/>
          <w:szCs w:val="24"/>
          <w:rtl/>
        </w:rPr>
        <w:t xml:space="preserve"> </w:t>
      </w:r>
      <w:proofErr w:type="spellStart"/>
      <w:r w:rsidRPr="00A52585">
        <w:rPr>
          <w:rFonts w:hint="cs"/>
          <w:sz w:val="24"/>
          <w:szCs w:val="24"/>
          <w:rtl/>
        </w:rPr>
        <w:t>ولمتقدميهم</w:t>
      </w:r>
      <w:proofErr w:type="spellEnd"/>
      <w:r w:rsidRPr="00A52585">
        <w:rPr>
          <w:rFonts w:hint="cs"/>
          <w:sz w:val="24"/>
          <w:szCs w:val="24"/>
          <w:rtl/>
        </w:rPr>
        <w:t xml:space="preserve"> فضل الدفاع عن الدين الإسلامي والرد على الزنادقة والنصارى واليهود، لكن تحكيمهم للعقل وكثرة احتكاكهم بفرق الزيغ أديا بكثير منهم ولا سيما المتأخرين إلى صنوف من البدع الرديئة كما أشرت إلى ذلك في مقدمة ما كتبته على (تبيين كذب </w:t>
      </w:r>
      <w:proofErr w:type="spellStart"/>
      <w:r w:rsidRPr="00A52585">
        <w:rPr>
          <w:rFonts w:hint="cs"/>
          <w:sz w:val="24"/>
          <w:szCs w:val="24"/>
          <w:rtl/>
        </w:rPr>
        <w:t>المفترى</w:t>
      </w:r>
      <w:proofErr w:type="spellEnd"/>
      <w:r w:rsidRPr="00A52585">
        <w:rPr>
          <w:rFonts w:hint="cs"/>
          <w:sz w:val="24"/>
          <w:szCs w:val="24"/>
          <w:rtl/>
        </w:rPr>
        <w:t>)</w:t>
      </w:r>
      <w:r w:rsidR="0002035C" w:rsidRPr="00A52585">
        <w:rPr>
          <w:rFonts w:hint="cs"/>
          <w:rtl/>
        </w:rPr>
        <w:t>]</w:t>
      </w:r>
      <w:r w:rsidR="00DB731D" w:rsidRPr="00A52585">
        <w:rPr>
          <w:rFonts w:hint="cs"/>
          <w:rtl/>
        </w:rPr>
        <w:t>،</w:t>
      </w:r>
      <w:r w:rsidRPr="00A52585">
        <w:rPr>
          <w:rFonts w:hint="cs"/>
          <w:rtl/>
        </w:rPr>
        <w:t xml:space="preserve"> والثانية غلب عليها جانب النقل وهم </w:t>
      </w:r>
      <w:proofErr w:type="spellStart"/>
      <w:r w:rsidRPr="00A52585">
        <w:rPr>
          <w:rFonts w:hint="cs"/>
          <w:rtl/>
        </w:rPr>
        <w:lastRenderedPageBreak/>
        <w:t>الحشوية</w:t>
      </w:r>
      <w:proofErr w:type="spellEnd"/>
      <w:r w:rsidRPr="00A52585">
        <w:rPr>
          <w:rFonts w:hint="cs"/>
          <w:rtl/>
        </w:rPr>
        <w:t xml:space="preserve">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ومنهم أصناف المشبهة والمجسمة، وسبب تسميتهم </w:t>
      </w:r>
      <w:proofErr w:type="spellStart"/>
      <w:r w:rsidRPr="00A52585">
        <w:rPr>
          <w:rFonts w:hint="cs"/>
          <w:sz w:val="24"/>
          <w:szCs w:val="24"/>
          <w:rtl/>
        </w:rPr>
        <w:t>حشوية</w:t>
      </w:r>
      <w:proofErr w:type="spellEnd"/>
      <w:r w:rsidRPr="00A52585">
        <w:rPr>
          <w:rFonts w:hint="cs"/>
          <w:sz w:val="24"/>
          <w:szCs w:val="24"/>
          <w:rtl/>
        </w:rPr>
        <w:t xml:space="preserve"> أن طائفة منهم حضروا مجلس الحسن البصري بالبصرة وتكلموا بالسقط عنده فقال</w:t>
      </w:r>
      <w:r w:rsidR="0002035C" w:rsidRPr="00A52585">
        <w:rPr>
          <w:rFonts w:hint="cs"/>
          <w:sz w:val="24"/>
          <w:szCs w:val="24"/>
          <w:rtl/>
        </w:rPr>
        <w:t>:</w:t>
      </w:r>
      <w:r w:rsidRPr="00A52585">
        <w:rPr>
          <w:rFonts w:hint="cs"/>
          <w:sz w:val="24"/>
          <w:szCs w:val="24"/>
          <w:rtl/>
        </w:rPr>
        <w:t xml:space="preserve"> ردوا هؤلاء إلى حشا الحلقة -</w:t>
      </w:r>
      <w:r w:rsidR="0002035C" w:rsidRPr="00A52585">
        <w:rPr>
          <w:rFonts w:hint="cs"/>
          <w:sz w:val="24"/>
          <w:szCs w:val="24"/>
          <w:rtl/>
        </w:rPr>
        <w:t xml:space="preserve"> </w:t>
      </w:r>
      <w:r w:rsidRPr="00A52585">
        <w:rPr>
          <w:rFonts w:hint="cs"/>
          <w:sz w:val="24"/>
          <w:szCs w:val="24"/>
          <w:rtl/>
        </w:rPr>
        <w:t>أي جانبها -</w:t>
      </w:r>
      <w:r w:rsidR="0002035C" w:rsidRPr="00A52585">
        <w:rPr>
          <w:rFonts w:hint="cs"/>
          <w:sz w:val="24"/>
          <w:szCs w:val="24"/>
          <w:rtl/>
        </w:rPr>
        <w:t xml:space="preserve"> </w:t>
      </w:r>
      <w:r w:rsidRPr="00A52585">
        <w:rPr>
          <w:rFonts w:hint="cs"/>
          <w:sz w:val="24"/>
          <w:szCs w:val="24"/>
          <w:rtl/>
        </w:rPr>
        <w:t xml:space="preserve">فتسامع الناس ذلك وسموهم </w:t>
      </w:r>
      <w:proofErr w:type="spellStart"/>
      <w:r w:rsidRPr="00A52585">
        <w:rPr>
          <w:rFonts w:hint="cs"/>
          <w:sz w:val="24"/>
          <w:szCs w:val="24"/>
          <w:rtl/>
        </w:rPr>
        <w:t>الحشَوية</w:t>
      </w:r>
      <w:proofErr w:type="spellEnd"/>
      <w:r w:rsidR="0002035C" w:rsidRPr="00A52585">
        <w:rPr>
          <w:rFonts w:hint="cs"/>
          <w:sz w:val="24"/>
          <w:szCs w:val="24"/>
          <w:rtl/>
        </w:rPr>
        <w:t xml:space="preserve"> </w:t>
      </w:r>
      <w:r w:rsidRPr="00A52585">
        <w:rPr>
          <w:rFonts w:hint="cs"/>
          <w:sz w:val="24"/>
          <w:szCs w:val="24"/>
          <w:rtl/>
        </w:rPr>
        <w:t>- بفتح الشين، ويصح إسكانها -</w:t>
      </w:r>
      <w:r w:rsidR="0002035C" w:rsidRPr="00A52585">
        <w:rPr>
          <w:rFonts w:hint="cs"/>
          <w:sz w:val="24"/>
          <w:szCs w:val="24"/>
          <w:rtl/>
        </w:rPr>
        <w:t xml:space="preserve"> </w:t>
      </w:r>
      <w:r w:rsidRPr="00A52585">
        <w:rPr>
          <w:rFonts w:hint="cs"/>
          <w:sz w:val="24"/>
          <w:szCs w:val="24"/>
          <w:rtl/>
        </w:rPr>
        <w:t>لقولهم بالتجسيم؛ لأن الجسم محشو، راجع شفاء الغليل للشهاب الخفاجي، وذيل لب اللباب في تحرير الأنساب للشيخ المحدث أبي العباس أحمد العجمي، ومقدمة ما كتبنا، على تبين كذب المفتري</w:t>
      </w:r>
      <w:r w:rsidR="00DB731D" w:rsidRPr="00A52585">
        <w:rPr>
          <w:rFonts w:hint="cs"/>
          <w:sz w:val="24"/>
          <w:szCs w:val="24"/>
          <w:rtl/>
        </w:rPr>
        <w:t>،</w:t>
      </w:r>
      <w:r w:rsidRPr="00A52585">
        <w:rPr>
          <w:rFonts w:hint="cs"/>
          <w:sz w:val="24"/>
          <w:szCs w:val="24"/>
          <w:rtl/>
        </w:rPr>
        <w:t xml:space="preserve"> </w:t>
      </w:r>
      <w:proofErr w:type="spellStart"/>
      <w:r w:rsidRPr="00A52585">
        <w:rPr>
          <w:rFonts w:hint="cs"/>
          <w:sz w:val="24"/>
          <w:szCs w:val="24"/>
          <w:rtl/>
        </w:rPr>
        <w:t>والحشوية</w:t>
      </w:r>
      <w:proofErr w:type="spellEnd"/>
      <w:r w:rsidRPr="00A52585">
        <w:rPr>
          <w:rFonts w:hint="cs"/>
          <w:sz w:val="24"/>
          <w:szCs w:val="24"/>
          <w:rtl/>
        </w:rPr>
        <w:t xml:space="preserve"> هم الذين حادوا عن التنـزيه وتقولوا في الله بأفهامهم المعوجة وأوهامهم </w:t>
      </w:r>
      <w:proofErr w:type="spellStart"/>
      <w:r w:rsidRPr="00A52585">
        <w:rPr>
          <w:rFonts w:hint="cs"/>
          <w:sz w:val="24"/>
          <w:szCs w:val="24"/>
          <w:rtl/>
        </w:rPr>
        <w:t>الممجوجة</w:t>
      </w:r>
      <w:proofErr w:type="spellEnd"/>
      <w:r w:rsidRPr="00A52585">
        <w:rPr>
          <w:rFonts w:hint="cs"/>
          <w:sz w:val="24"/>
          <w:szCs w:val="24"/>
          <w:rtl/>
        </w:rPr>
        <w:t>، وهم مهما تظاهروا باتباع السلف إنما يتابعون السلف الطالح دون السلف الصالح، ولا سبيل إلى استنكار ما كان عليه السلف الصالح من إجراء ما ورد في الكتاب والسنة المشهورة في صفات الله سبحانه على اللسان، مع القول بتنـزيه الله سبحانه تنـزيها عاما بموجب قوله تعالى</w:t>
      </w:r>
      <w:r w:rsidR="0002035C" w:rsidRPr="00A52585">
        <w:rPr>
          <w:rFonts w:hint="cs"/>
          <w:sz w:val="24"/>
          <w:szCs w:val="24"/>
          <w:rtl/>
        </w:rPr>
        <w:t>:</w:t>
      </w:r>
      <w:r w:rsidRPr="00A52585">
        <w:rPr>
          <w:rFonts w:hint="cs"/>
          <w:sz w:val="24"/>
          <w:szCs w:val="24"/>
          <w:rtl/>
        </w:rPr>
        <w:t xml:space="preserve"> {ليس كمثله شيء} بدون خوض في المعنى ولا زيادة على الوارد ولا إبدال ما وَرَد بما لم يرد، وفي ذلك تأويل إجمالي بصرف الوارد في ذات الله سبحانه عن سمات الحدوث من غير تعيين المراد، وهم لم يخالفوا في أصل التنـزيه الخلفَ الذين يعينون معنى موافقاً للتنـزيه بما يرشدهم إليه استعمالات العرب وأدلة المقام وقرائن الحال، على أن الخلف يفوِّضون علم ما لم يظهر لهم وجهه كوضح الصبح إلى الله سبحانه</w:t>
      </w:r>
      <w:r w:rsidR="00DB731D" w:rsidRPr="00A52585">
        <w:rPr>
          <w:rFonts w:hint="cs"/>
          <w:sz w:val="24"/>
          <w:szCs w:val="24"/>
          <w:rtl/>
        </w:rPr>
        <w:t>،</w:t>
      </w:r>
      <w:r w:rsidRPr="00A52585">
        <w:rPr>
          <w:rFonts w:hint="cs"/>
          <w:sz w:val="24"/>
          <w:szCs w:val="24"/>
          <w:rtl/>
        </w:rPr>
        <w:t xml:space="preserve"> فالخلاف بين الفريقين هيِّن يسير وكلاهما منـزه، وإنما السبيل على الذين يحملون تلك الألفاظ على المعاني المتعارفة بينهم عند إطلاقها على الخلق ويستبدلون بها ألفاظاً يظنونها مرادفة لها ويستدلون بالمفاريد والمناكير والشواذ والموضوعات من الروايات. ويزيدون في الكتاب والسنة أشياء من عند </w:t>
      </w:r>
      <w:proofErr w:type="spellStart"/>
      <w:r w:rsidRPr="00A52585">
        <w:rPr>
          <w:rFonts w:hint="cs"/>
          <w:sz w:val="24"/>
          <w:szCs w:val="24"/>
          <w:rtl/>
        </w:rPr>
        <w:t>أنفسم</w:t>
      </w:r>
      <w:proofErr w:type="spellEnd"/>
      <w:r w:rsidRPr="00A52585">
        <w:rPr>
          <w:rFonts w:hint="cs"/>
          <w:sz w:val="24"/>
          <w:szCs w:val="24"/>
          <w:rtl/>
        </w:rPr>
        <w:t xml:space="preserve"> ويجعلون الفعل الوارد صفة إلى نحو ذلك، فهؤلاء يلزمون مقتضى كلامهم وهم </w:t>
      </w:r>
      <w:proofErr w:type="spellStart"/>
      <w:r w:rsidRPr="00A52585">
        <w:rPr>
          <w:rFonts w:hint="cs"/>
          <w:sz w:val="24"/>
          <w:szCs w:val="24"/>
          <w:rtl/>
        </w:rPr>
        <w:t>الحشوية</w:t>
      </w:r>
      <w:proofErr w:type="spellEnd"/>
      <w:r w:rsidR="00DB731D" w:rsidRPr="00A52585">
        <w:rPr>
          <w:rFonts w:hint="cs"/>
          <w:sz w:val="24"/>
          <w:szCs w:val="24"/>
          <w:rtl/>
        </w:rPr>
        <w:t>،</w:t>
      </w:r>
      <w:r w:rsidRPr="00A52585">
        <w:rPr>
          <w:rFonts w:hint="cs"/>
          <w:sz w:val="24"/>
          <w:szCs w:val="24"/>
          <w:rtl/>
        </w:rPr>
        <w:t xml:space="preserve"> فمن قال</w:t>
      </w:r>
      <w:r w:rsidR="0002035C" w:rsidRPr="00A52585">
        <w:rPr>
          <w:rFonts w:hint="cs"/>
          <w:sz w:val="24"/>
          <w:szCs w:val="24"/>
          <w:rtl/>
        </w:rPr>
        <w:t>:</w:t>
      </w:r>
      <w:r w:rsidRPr="00A52585">
        <w:rPr>
          <w:rFonts w:hint="cs"/>
          <w:sz w:val="24"/>
          <w:szCs w:val="24"/>
          <w:rtl/>
        </w:rPr>
        <w:t xml:space="preserve"> إنه استقر بذاته على العرش وينـزل بذاته من العرش، ويُقعِد الرسول صلى الله عليه وسلم على العرش معه في جنبه وإن كلامه القائم بذاته صوت وإن نـزوله بالحركة والنقلة وبالذات وإن له ثقلاً يثقل على حملة العرش، وأنه متمكن بالسماء أو العرش، وأن له جهة وحدَّاً وغاية ومكاناً، وأن الحوادث تقوم به وأنه يماس العرش أو أحداً من خلقه، ونحو ذلك من </w:t>
      </w:r>
      <w:proofErr w:type="spellStart"/>
      <w:r w:rsidRPr="00A52585">
        <w:rPr>
          <w:rFonts w:hint="cs"/>
          <w:sz w:val="24"/>
          <w:szCs w:val="24"/>
          <w:rtl/>
        </w:rPr>
        <w:t>المخازي</w:t>
      </w:r>
      <w:proofErr w:type="spellEnd"/>
      <w:r w:rsidRPr="00A52585">
        <w:rPr>
          <w:rFonts w:hint="cs"/>
          <w:sz w:val="24"/>
          <w:szCs w:val="24"/>
          <w:rtl/>
        </w:rPr>
        <w:t xml:space="preserve"> فلا نشك في زيغه وخروجه وبعده عما يجوز في الله سبحانه</w:t>
      </w:r>
      <w:r w:rsidR="00DB731D" w:rsidRPr="00A52585">
        <w:rPr>
          <w:rFonts w:hint="cs"/>
          <w:sz w:val="24"/>
          <w:szCs w:val="24"/>
          <w:rtl/>
        </w:rPr>
        <w:t>،</w:t>
      </w:r>
      <w:r w:rsidRPr="00A52585">
        <w:rPr>
          <w:rFonts w:hint="cs"/>
          <w:sz w:val="24"/>
          <w:szCs w:val="24"/>
          <w:rtl/>
        </w:rPr>
        <w:t xml:space="preserve"> وهذا مكشوف جداً فلا يمكن ستر مثل تلك </w:t>
      </w:r>
      <w:proofErr w:type="spellStart"/>
      <w:r w:rsidRPr="00A52585">
        <w:rPr>
          <w:rFonts w:hint="cs"/>
          <w:sz w:val="24"/>
          <w:szCs w:val="24"/>
          <w:rtl/>
        </w:rPr>
        <w:t>المخازي</w:t>
      </w:r>
      <w:proofErr w:type="spellEnd"/>
      <w:r w:rsidRPr="00A52585">
        <w:rPr>
          <w:rFonts w:hint="cs"/>
          <w:sz w:val="24"/>
          <w:szCs w:val="24"/>
          <w:rtl/>
        </w:rPr>
        <w:t xml:space="preserve"> بدعوة السلفية، والذين يدينون بها هم الذين نستنكر عقائدهم ونستسخف أحلامهم، ونذكرهم بأنهم نوابت </w:t>
      </w:r>
      <w:proofErr w:type="spellStart"/>
      <w:r w:rsidRPr="00A52585">
        <w:rPr>
          <w:rFonts w:hint="cs"/>
          <w:sz w:val="24"/>
          <w:szCs w:val="24"/>
          <w:rtl/>
        </w:rPr>
        <w:t>حشوية</w:t>
      </w:r>
      <w:proofErr w:type="spellEnd"/>
      <w:r w:rsidR="0002035C" w:rsidRPr="00A52585">
        <w:rPr>
          <w:rFonts w:hint="cs"/>
          <w:sz w:val="24"/>
          <w:szCs w:val="24"/>
          <w:rtl/>
        </w:rPr>
        <w:t>]</w:t>
      </w:r>
      <w:r w:rsidR="00DB731D" w:rsidRPr="00A52585">
        <w:rPr>
          <w:rFonts w:hint="cs"/>
          <w:rtl/>
        </w:rPr>
        <w:t>،</w:t>
      </w:r>
      <w:r w:rsidRPr="00A52585">
        <w:rPr>
          <w:rFonts w:hint="cs"/>
          <w:rtl/>
        </w:rPr>
        <w:t xml:space="preserve"> والثالثة ما غلب عليها أحدهما بل بقى الأمران مرعيين عندها على حد سواء وهم الأشعرية وجميع الفرق الثلاث في كلامها مخاطرة إما خطأ في بعضه وإما سقوط هيبة</w:t>
      </w:r>
      <w:r w:rsidR="00DB731D" w:rsidRPr="00A52585">
        <w:rPr>
          <w:rFonts w:hint="cs"/>
          <w:rtl/>
        </w:rPr>
        <w:t>،</w:t>
      </w:r>
      <w:r w:rsidRPr="00A52585">
        <w:rPr>
          <w:rFonts w:hint="cs"/>
          <w:rtl/>
        </w:rPr>
        <w:t xml:space="preserve"> والسالم من ذلك كله ما كان عليه الصحابة والتابعون وعموم الناس الباقون على الفطرة السليمة. ولهذا كان الشافعي رضي الله عنه ينهي عن الاشتغال بعلم الكلام ويأمر بالاشتغال بالفقه فهو طريق السلامة</w:t>
      </w:r>
      <w:r w:rsidR="00DB731D" w:rsidRPr="00A52585">
        <w:rPr>
          <w:rFonts w:hint="cs"/>
          <w:rtl/>
        </w:rPr>
        <w:t>،</w:t>
      </w:r>
      <w:r w:rsidRPr="00A52585">
        <w:rPr>
          <w:rFonts w:hint="cs"/>
          <w:rtl/>
        </w:rPr>
        <w:t xml:space="preserve"> ولو </w:t>
      </w:r>
      <w:proofErr w:type="gramStart"/>
      <w:r w:rsidRPr="00A52585">
        <w:rPr>
          <w:rFonts w:hint="cs"/>
          <w:rtl/>
        </w:rPr>
        <w:t>بقى</w:t>
      </w:r>
      <w:proofErr w:type="gramEnd"/>
      <w:r w:rsidRPr="00A52585">
        <w:rPr>
          <w:rFonts w:hint="cs"/>
          <w:rtl/>
        </w:rPr>
        <w:t xml:space="preserve"> الناس على ما كانوا عليه في زمن الصحابة كان الأولى للعلماء تجنب النظر في علم الكلام جملة</w:t>
      </w:r>
      <w:r w:rsidR="00DB731D" w:rsidRPr="00A52585">
        <w:rPr>
          <w:rFonts w:hint="cs"/>
          <w:rtl/>
        </w:rPr>
        <w:t>،</w:t>
      </w:r>
      <w:r w:rsidRPr="00A52585">
        <w:rPr>
          <w:rFonts w:hint="cs"/>
          <w:rtl/>
        </w:rPr>
        <w:t xml:space="preserve"> لكن حدثت بدع أوجبت للعلماء النظر فيه لمقاومة المبتدعين ودفع شبههم حذراً من أن تزيغ بها قلوب المهتدين</w:t>
      </w:r>
      <w:r w:rsidR="00DB731D" w:rsidRPr="00A52585">
        <w:rPr>
          <w:rFonts w:hint="cs"/>
          <w:rtl/>
        </w:rPr>
        <w:t>،</w:t>
      </w:r>
    </w:p>
    <w:p w14:paraId="6CA97574" w14:textId="1C5B61CB" w:rsidR="00777DCB" w:rsidRPr="00A52585" w:rsidRDefault="00777DCB" w:rsidP="0002035C">
      <w:pPr>
        <w:spacing w:after="240"/>
        <w:rPr>
          <w:b/>
          <w:rtl/>
        </w:rPr>
      </w:pPr>
      <w:r w:rsidRPr="00A52585">
        <w:rPr>
          <w:rFonts w:hint="cs"/>
          <w:bCs/>
          <w:rtl/>
        </w:rPr>
        <w:t>[الأشعرية أعدل الفرق]</w:t>
      </w:r>
      <w:r w:rsidR="0002035C" w:rsidRPr="00A52585">
        <w:rPr>
          <w:rFonts w:hint="cs"/>
          <w:bCs/>
          <w:rtl/>
        </w:rPr>
        <w:t>:</w:t>
      </w:r>
      <w:r w:rsidRPr="00A52585">
        <w:rPr>
          <w:rFonts w:hint="cs"/>
          <w:bCs/>
          <w:rtl/>
        </w:rPr>
        <w:t xml:space="preserve"> </w:t>
      </w:r>
      <w:r w:rsidRPr="00A52585">
        <w:rPr>
          <w:rFonts w:hint="cs"/>
          <w:rtl/>
        </w:rPr>
        <w:t>والفرقة الأشعرية هم المتوسطون في ذلك وهم الغالبون من الشافعية والمالكية والحنفية وفضلاء الحنابلة وسائر الناس</w:t>
      </w:r>
      <w:r w:rsidR="00DB731D" w:rsidRPr="00A52585">
        <w:rPr>
          <w:rFonts w:hint="cs"/>
          <w:rtl/>
        </w:rPr>
        <w:t>،</w:t>
      </w:r>
      <w:r w:rsidRPr="00A52585">
        <w:rPr>
          <w:rFonts w:hint="cs"/>
          <w:rtl/>
        </w:rPr>
        <w:t xml:space="preserve"> وأما المعتزلة فكانت لهم دولة في أوائل المائة الثالثة ساعدهم </w:t>
      </w:r>
      <w:r w:rsidRPr="00A52585">
        <w:rPr>
          <w:rFonts w:hint="cs"/>
          <w:rtl/>
        </w:rPr>
        <w:lastRenderedPageBreak/>
        <w:t>بعض الخلفاء ثم انخذلوا وكفى الله شرهم</w:t>
      </w:r>
      <w:r w:rsidR="00DB731D" w:rsidRPr="00A52585">
        <w:rPr>
          <w:rFonts w:hint="cs"/>
          <w:rtl/>
        </w:rPr>
        <w:t>،</w:t>
      </w:r>
      <w:r w:rsidRPr="00A52585">
        <w:rPr>
          <w:rFonts w:hint="cs"/>
          <w:rtl/>
        </w:rPr>
        <w:t xml:space="preserve"> وهاتان الطائفتان الأشعرية والمعتزلة هما </w:t>
      </w:r>
      <w:proofErr w:type="spellStart"/>
      <w:r w:rsidRPr="00A52585">
        <w:rPr>
          <w:rFonts w:hint="cs"/>
          <w:rtl/>
        </w:rPr>
        <w:t>المتقاومتان</w:t>
      </w:r>
      <w:proofErr w:type="spellEnd"/>
      <w:r w:rsidRPr="00A52585">
        <w:rPr>
          <w:rFonts w:hint="cs"/>
          <w:rtl/>
        </w:rPr>
        <w:t xml:space="preserve"> وهما فحولة المتكلمين من أهل الإسلام</w:t>
      </w:r>
      <w:r w:rsidR="00DB731D" w:rsidRPr="00A52585">
        <w:rPr>
          <w:rFonts w:hint="cs"/>
          <w:rtl/>
        </w:rPr>
        <w:t>،</w:t>
      </w:r>
      <w:r w:rsidRPr="00A52585">
        <w:rPr>
          <w:rFonts w:hint="cs"/>
          <w:rtl/>
        </w:rPr>
        <w:t xml:space="preserve"> والأشعرية أعدلهما لأنها بنت أصولها على الكتاب والسنة والعقل الصحيح</w:t>
      </w:r>
      <w:r w:rsidR="00DB731D" w:rsidRPr="00A52585">
        <w:rPr>
          <w:rFonts w:hint="cs"/>
          <w:rtl/>
        </w:rPr>
        <w:t>،</w:t>
      </w:r>
      <w:r w:rsidRPr="00A52585">
        <w:rPr>
          <w:rFonts w:hint="cs"/>
          <w:rtl/>
        </w:rPr>
        <w:t xml:space="preserve"> وأما الحكمة اليونانية فالناس </w:t>
      </w:r>
      <w:proofErr w:type="spellStart"/>
      <w:r w:rsidRPr="00A52585">
        <w:rPr>
          <w:rFonts w:hint="cs"/>
          <w:rtl/>
        </w:rPr>
        <w:t>مكفيون</w:t>
      </w:r>
      <w:proofErr w:type="spellEnd"/>
      <w:r w:rsidRPr="00A52585">
        <w:rPr>
          <w:rFonts w:hint="cs"/>
          <w:rtl/>
        </w:rPr>
        <w:t xml:space="preserve"> شرها</w:t>
      </w:r>
      <w:r w:rsidR="00DB731D" w:rsidRPr="00A52585">
        <w:rPr>
          <w:rFonts w:hint="cs"/>
          <w:rtl/>
        </w:rPr>
        <w:t>،</w:t>
      </w:r>
      <w:r w:rsidRPr="00A52585">
        <w:rPr>
          <w:rFonts w:hint="cs"/>
          <w:rtl/>
        </w:rPr>
        <w:t xml:space="preserve"> لأن أهل الإسلام كلهم يعرفون فسادها ومجانبتها للإسلام</w:t>
      </w:r>
      <w:r w:rsidR="00DB731D" w:rsidRPr="00A52585">
        <w:rPr>
          <w:rFonts w:hint="cs"/>
          <w:rtl/>
        </w:rPr>
        <w:t>،</w:t>
      </w:r>
      <w:r w:rsidRPr="00A52585">
        <w:rPr>
          <w:rFonts w:hint="cs"/>
          <w:rtl/>
        </w:rPr>
        <w:t xml:space="preserve"> وأما </w:t>
      </w:r>
      <w:proofErr w:type="spellStart"/>
      <w:r w:rsidRPr="00A52585">
        <w:rPr>
          <w:rFonts w:hint="cs"/>
          <w:rtl/>
        </w:rPr>
        <w:t>الحشوية</w:t>
      </w:r>
      <w:proofErr w:type="spellEnd"/>
      <w:r w:rsidRPr="00A52585">
        <w:rPr>
          <w:rFonts w:hint="cs"/>
          <w:rtl/>
        </w:rPr>
        <w:t xml:space="preserve"> فهي طائفة رذيلة جُهَّال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وهم طوائف كالكرَّامية </w:t>
      </w:r>
      <w:proofErr w:type="spellStart"/>
      <w:r w:rsidRPr="00A52585">
        <w:rPr>
          <w:rFonts w:hint="cs"/>
          <w:sz w:val="24"/>
          <w:szCs w:val="24"/>
          <w:rtl/>
        </w:rPr>
        <w:t>والبربهارية</w:t>
      </w:r>
      <w:proofErr w:type="spellEnd"/>
      <w:r w:rsidRPr="00A52585">
        <w:rPr>
          <w:rFonts w:hint="cs"/>
          <w:sz w:val="24"/>
          <w:szCs w:val="24"/>
          <w:rtl/>
        </w:rPr>
        <w:t xml:space="preserve"> والسالمية، ولابن الجوزي كتاب (منهاج الوصول إلى علم الأصول) وكتاب (دفع شبه التشبيه بكف التنـزيه) أجاد الرد عليهم فيهما، وسبق أن نشر الثاني، ومن جملة ما يقوله ابن الجوزي فيه</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فقد فضحوا ذاك الإمام بجهلهم</w:t>
      </w:r>
      <w:r w:rsidR="00DB731D" w:rsidRPr="00A52585">
        <w:rPr>
          <w:rFonts w:hint="cs"/>
          <w:sz w:val="24"/>
          <w:szCs w:val="24"/>
          <w:rtl/>
        </w:rPr>
        <w:t>،</w:t>
      </w:r>
      <w:r w:rsidRPr="00A52585">
        <w:rPr>
          <w:rFonts w:hint="cs"/>
          <w:sz w:val="24"/>
          <w:szCs w:val="24"/>
          <w:rtl/>
        </w:rPr>
        <w:t xml:space="preserve"> ومذهبه التنـزيه لكن هم اختلوا</w:t>
      </w:r>
      <w:r w:rsidR="0002035C" w:rsidRPr="00A52585">
        <w:rPr>
          <w:rFonts w:hint="cs"/>
          <w:sz w:val="24"/>
          <w:szCs w:val="24"/>
          <w:rtl/>
        </w:rPr>
        <w:t>)</w:t>
      </w:r>
      <w:r w:rsidRPr="00A52585">
        <w:rPr>
          <w:rFonts w:hint="cs"/>
          <w:sz w:val="24"/>
          <w:szCs w:val="24"/>
          <w:rtl/>
        </w:rPr>
        <w:t xml:space="preserve"> وهو بديعٌ في بابه حجة على من سايرهم من الحنابلة</w:t>
      </w:r>
      <w:r w:rsidR="0002035C" w:rsidRPr="00A52585">
        <w:rPr>
          <w:rFonts w:hint="cs"/>
          <w:sz w:val="24"/>
          <w:szCs w:val="24"/>
          <w:rtl/>
        </w:rPr>
        <w:t>]</w:t>
      </w:r>
      <w:r w:rsidRPr="00A52585">
        <w:rPr>
          <w:rFonts w:hint="cs"/>
          <w:rtl/>
        </w:rPr>
        <w:t xml:space="preserve"> ينتسبون إلى أحمد وأحمد مبرأ منهم. وسبب نسبتهم إليه أنه قام في دفع المعتزلة وثبت في المحنة رضي الله عنه</w:t>
      </w:r>
      <w:r w:rsidR="00DB731D" w:rsidRPr="00A52585">
        <w:rPr>
          <w:rFonts w:hint="cs"/>
          <w:rtl/>
        </w:rPr>
        <w:t>،</w:t>
      </w:r>
      <w:r w:rsidRPr="00A52585">
        <w:rPr>
          <w:rFonts w:hint="cs"/>
          <w:rtl/>
        </w:rPr>
        <w:t xml:space="preserve"> نقلت عنه كليمات ما فهمها هؤلاء الجهال فاعتقدوا هذا الاعتقاد السيئ وصار المتأخر منهم يتبع المتقدم</w:t>
      </w:r>
      <w:r w:rsidR="00DB731D" w:rsidRPr="00A52585">
        <w:rPr>
          <w:rFonts w:hint="cs"/>
          <w:rtl/>
        </w:rPr>
        <w:t>،</w:t>
      </w:r>
      <w:r w:rsidRPr="00A52585">
        <w:rPr>
          <w:rFonts w:hint="cs"/>
          <w:rtl/>
        </w:rPr>
        <w:t xml:space="preserve"> إلا من عصمه الله وما زالوا من حين نبغوا مستذلين ليس لهم رأس ولا من يناظر وإنما كانت لهم في كل وقت ثورات ويتعلقون ببعض أتباع الدول ويكفي الله شرهم</w:t>
      </w:r>
      <w:r w:rsidR="00DB731D" w:rsidRPr="00A52585">
        <w:rPr>
          <w:rFonts w:hint="cs"/>
          <w:rtl/>
        </w:rPr>
        <w:t>،</w:t>
      </w:r>
      <w:r w:rsidRPr="00A52585">
        <w:rPr>
          <w:rFonts w:hint="cs"/>
          <w:rtl/>
        </w:rPr>
        <w:t xml:space="preserve"> وما تعلقوا بأحد إلا كانت عاقبته إلى سوء , وأفسدوا اعتقاد جماعة شذوذ من الشافعية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على طول القرون لكن كفى شرهم نظار أهل الحق من الشافعية ولسنا في صدد سرد أسمائهم هنا، ونشير عرضاً إلى بعضهم فيما نعلق على هذا الكتاب</w:t>
      </w:r>
      <w:r w:rsidR="0002035C" w:rsidRPr="00A52585">
        <w:rPr>
          <w:rFonts w:hint="cs"/>
          <w:sz w:val="24"/>
          <w:szCs w:val="24"/>
          <w:rtl/>
        </w:rPr>
        <w:t>]</w:t>
      </w:r>
      <w:r w:rsidRPr="00A52585">
        <w:rPr>
          <w:rFonts w:hint="cs"/>
          <w:rtl/>
        </w:rPr>
        <w:t xml:space="preserve"> وغيرهم ولا سيما بعض المحدثين الذين نقصت عقولهم أو غلب عليها من أضلهم فاعتقدوا أنهم يقولون بالحديث</w:t>
      </w:r>
      <w:r w:rsidR="00DB731D" w:rsidRPr="00A52585">
        <w:rPr>
          <w:rFonts w:hint="cs"/>
          <w:rtl/>
        </w:rPr>
        <w:t>،</w:t>
      </w:r>
      <w:r w:rsidRPr="00A52585">
        <w:rPr>
          <w:rFonts w:hint="cs"/>
          <w:rtl/>
        </w:rPr>
        <w:t xml:space="preserve"> ولقد كان أفضل المحدثين في زمانه بدمشق ابن عساكر </w:t>
      </w:r>
      <w:r w:rsidR="0002035C" w:rsidRPr="00A52585">
        <w:rPr>
          <w:rFonts w:hint="cs"/>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وقد سبق أن نشر (تبيين كذب </w:t>
      </w:r>
      <w:proofErr w:type="spellStart"/>
      <w:r w:rsidRPr="00A52585">
        <w:rPr>
          <w:rFonts w:hint="cs"/>
          <w:sz w:val="24"/>
          <w:szCs w:val="24"/>
          <w:rtl/>
        </w:rPr>
        <w:t>المفتى</w:t>
      </w:r>
      <w:proofErr w:type="spellEnd"/>
      <w:r w:rsidRPr="00A52585">
        <w:rPr>
          <w:rFonts w:hint="cs"/>
          <w:sz w:val="24"/>
          <w:szCs w:val="24"/>
          <w:rtl/>
        </w:rPr>
        <w:t xml:space="preserve"> في الذب عن الأشعري) له مع مقدمة لنا عليه في بيان الحالة العامة عند البعثة النبوية ولمعة في نشأة الفرق وتعليقات على مواضع من الكتاب كنت كتبتها, ففيها وفي الكتاب كثيرٌ مما يتعلق </w:t>
      </w:r>
      <w:proofErr w:type="spellStart"/>
      <w:r w:rsidRPr="00A52585">
        <w:rPr>
          <w:rFonts w:hint="cs"/>
          <w:sz w:val="24"/>
          <w:szCs w:val="24"/>
          <w:rtl/>
        </w:rPr>
        <w:t>بالحشوية</w:t>
      </w:r>
      <w:proofErr w:type="spellEnd"/>
      <w:r w:rsidR="00DB731D" w:rsidRPr="00A52585">
        <w:rPr>
          <w:rFonts w:hint="cs"/>
          <w:sz w:val="24"/>
          <w:szCs w:val="24"/>
          <w:rtl/>
        </w:rPr>
        <w:t>،</w:t>
      </w:r>
      <w:r w:rsidRPr="00A52585">
        <w:rPr>
          <w:rFonts w:hint="cs"/>
          <w:sz w:val="24"/>
          <w:szCs w:val="24"/>
          <w:rtl/>
        </w:rPr>
        <w:t xml:space="preserve"> ولابن عساكر أيضاً مجلس في إثبات التنـزيه وآخر في نفي التشبيه، وكتاب في (بيان وجوه التخليط في حديث الأطيط) وكتاب في (سرد الأسانيد في حديث يوم المزيد) يبين فيها وجوه الضعف في أحاديث الأطيط وروايات يوم المزيد</w:t>
      </w:r>
      <w:r w:rsidR="0002035C" w:rsidRPr="00A52585">
        <w:rPr>
          <w:rFonts w:hint="cs"/>
          <w:sz w:val="24"/>
          <w:szCs w:val="24"/>
          <w:rtl/>
        </w:rPr>
        <w:t>]</w:t>
      </w:r>
      <w:r w:rsidRPr="00A52585">
        <w:rPr>
          <w:rFonts w:hint="cs"/>
          <w:rtl/>
        </w:rPr>
        <w:t xml:space="preserve"> يمتنع من تحديثهم ولا يمكنهم أن يحضروا مجلسه وكان ذلك أيام نور الدين الشهيد وكانوا مستذلين غاية الذلة</w:t>
      </w:r>
      <w:r w:rsidR="00DB731D" w:rsidRPr="00A52585">
        <w:rPr>
          <w:rFonts w:hint="cs"/>
          <w:rtl/>
        </w:rPr>
        <w:t>،</w:t>
      </w:r>
      <w:r w:rsidRPr="00A52585">
        <w:rPr>
          <w:rFonts w:hint="cs"/>
          <w:rtl/>
        </w:rPr>
        <w:t xml:space="preserve"> ثم جاء في أواخر المائة السابعة رجل له فضل ذكاء وإطلاع ولم يجد شيخا يهديه وهو على مذهبهم وهو جسور متجرد لتقرير مذهبه ويجد أموراً بعيدة فبجسارته يلتزمها فقال بقيام الحوادث بذات الرب سبحانه وتعالى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اتفقت فرق المسلمين سوى الكرامية وصنوف المجسمة على أن الله سبحانه منـزَّه من أن تقوم به الحوادث وأن تحل به الحوادث وأن يحل في شيء من الحوادث بل ذلك مما علم من الدين بالضرورة</w:t>
      </w:r>
      <w:r w:rsidR="00DB731D" w:rsidRPr="00A52585">
        <w:rPr>
          <w:rFonts w:hint="cs"/>
          <w:sz w:val="24"/>
          <w:szCs w:val="24"/>
          <w:rtl/>
        </w:rPr>
        <w:t>،</w:t>
      </w:r>
      <w:r w:rsidRPr="00A52585">
        <w:rPr>
          <w:rFonts w:hint="cs"/>
          <w:sz w:val="24"/>
          <w:szCs w:val="24"/>
          <w:rtl/>
        </w:rPr>
        <w:t xml:space="preserve"> ودعوى أن الله لم يزل فاعلاً متابعة منه للفلاسفة القائلين بسلب الاختيار عن الله سبحانه، وبصدور العالم منه بالإيجاب</w:t>
      </w:r>
      <w:r w:rsidR="00DB731D" w:rsidRPr="00A52585">
        <w:rPr>
          <w:rFonts w:hint="cs"/>
          <w:sz w:val="24"/>
          <w:szCs w:val="24"/>
          <w:rtl/>
        </w:rPr>
        <w:t>،</w:t>
      </w:r>
      <w:r w:rsidRPr="00A52585">
        <w:rPr>
          <w:rFonts w:hint="cs"/>
          <w:sz w:val="24"/>
          <w:szCs w:val="24"/>
          <w:rtl/>
        </w:rPr>
        <w:t xml:space="preserve"> ونسبة ذلك إلى أحمد والبخاري وغيرهما من السلف كذب صريح وتقوُّل قبيح</w:t>
      </w:r>
      <w:r w:rsidR="00DB731D" w:rsidRPr="00A52585">
        <w:rPr>
          <w:rFonts w:hint="cs"/>
          <w:sz w:val="24"/>
          <w:szCs w:val="24"/>
          <w:rtl/>
        </w:rPr>
        <w:t>،</w:t>
      </w:r>
      <w:r w:rsidRPr="00A52585">
        <w:rPr>
          <w:rFonts w:hint="cs"/>
          <w:sz w:val="24"/>
          <w:szCs w:val="24"/>
          <w:rtl/>
        </w:rPr>
        <w:t xml:space="preserve"> ودعوى أن تسلسل الحوادث في جانب الماضي غير محال لا تصدر ممن يعي ما يقول, فمن تصور حوادث لا أول لها تصوَّرَ أنه ما من حادث محقق، وأن ما دخل بالفعل تحت العد والإحصاء غير متناه، وأما </w:t>
      </w:r>
      <w:r w:rsidRPr="00A52585">
        <w:rPr>
          <w:rFonts w:hint="cs"/>
          <w:sz w:val="24"/>
          <w:szCs w:val="24"/>
          <w:rtl/>
        </w:rPr>
        <w:lastRenderedPageBreak/>
        <w:t>من قال بحوادث لا آخر لها فهو قائل بأن حوادث المستقبل لا تنتهي إلى حادث محقق إلا وبعده حادث مقدَّر، فأين دعوى عدم تناهي ما دخل تحت الوجود في جانب الماضي من دعوى عدم تناهي ما لم يدخل تحت الوجود في المستقبل</w:t>
      </w:r>
      <w:r w:rsidR="00F95886" w:rsidRPr="00A52585">
        <w:rPr>
          <w:rFonts w:hint="cs"/>
          <w:sz w:val="24"/>
          <w:szCs w:val="24"/>
          <w:rtl/>
        </w:rPr>
        <w:t>؟</w:t>
      </w:r>
      <w:r w:rsidRPr="00A52585">
        <w:rPr>
          <w:rFonts w:hint="cs"/>
          <w:sz w:val="24"/>
          <w:szCs w:val="24"/>
          <w:rtl/>
        </w:rPr>
        <w:t xml:space="preserve"> على أن القول بالقدم النوعي في العالم من لازمه</w:t>
      </w:r>
      <w:r w:rsidR="0002035C" w:rsidRPr="00A52585">
        <w:rPr>
          <w:rFonts w:hint="cs"/>
          <w:sz w:val="24"/>
          <w:szCs w:val="24"/>
          <w:rtl/>
        </w:rPr>
        <w:t>]</w:t>
      </w:r>
      <w:r w:rsidRPr="00A52585">
        <w:rPr>
          <w:rFonts w:hint="cs"/>
          <w:rtl/>
        </w:rPr>
        <w:t xml:space="preserve"> وأن الله سبحانه ما زال فاعلا وأن التسلسل ليس بمحال فيما مضى ما هو فيما سيأتي, وشق العصا</w:t>
      </w:r>
      <w:r w:rsidR="00DB731D" w:rsidRPr="00A52585">
        <w:rPr>
          <w:rFonts w:hint="cs"/>
          <w:rtl/>
        </w:rPr>
        <w:t>،</w:t>
      </w:r>
      <w:r w:rsidRPr="00A52585">
        <w:rPr>
          <w:rFonts w:hint="cs"/>
          <w:rtl/>
        </w:rPr>
        <w:t xml:space="preserve"> وشوَّش عقائد المسلمين وأغرى بينهم ,ولم يقتصر ضرره على العقائد في علم الكلام حتى تعدى وقال إن السفر لزيارة النبي صلى الله عليه وسلم معصية </w:t>
      </w:r>
      <w:r w:rsidR="0002035C" w:rsidRPr="00A52585">
        <w:rPr>
          <w:rFonts w:hint="cs"/>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وضبطت فتواه بخطه بهذا المعنى وثبت ذلك ثبوتاً شرعياً وشهد بذلك الإمام جلال الدين القزويني صاحب التلخيص والإيضاح، وألَّف قاضي قضاة المالكية تقي الدين أبو عبد الله محمد </w:t>
      </w:r>
      <w:proofErr w:type="spellStart"/>
      <w:r w:rsidRPr="00A52585">
        <w:rPr>
          <w:rFonts w:hint="cs"/>
          <w:sz w:val="24"/>
          <w:szCs w:val="24"/>
          <w:rtl/>
        </w:rPr>
        <w:t>الإخنائي</w:t>
      </w:r>
      <w:proofErr w:type="spellEnd"/>
      <w:r w:rsidRPr="00A52585">
        <w:rPr>
          <w:rFonts w:hint="cs"/>
          <w:sz w:val="24"/>
          <w:szCs w:val="24"/>
          <w:rtl/>
        </w:rPr>
        <w:t xml:space="preserve"> في الرد عليه (المقالة المرضية في الرد على من ينكر الزيارة المحمدية) كما ألَّف في الرد عليه المؤلف شفاء السقام في تلك المسألة, بل جمع الحافظ الصلاح العلائي طرق حديث الزيارة في الرد عليه أيضاً بطلب ابن </w:t>
      </w:r>
      <w:proofErr w:type="spellStart"/>
      <w:r w:rsidRPr="00A52585">
        <w:rPr>
          <w:rFonts w:hint="cs"/>
          <w:sz w:val="24"/>
          <w:szCs w:val="24"/>
          <w:rtl/>
        </w:rPr>
        <w:t>الفركاح</w:t>
      </w:r>
      <w:proofErr w:type="spellEnd"/>
      <w:r w:rsidRPr="00A52585">
        <w:rPr>
          <w:rFonts w:hint="cs"/>
          <w:sz w:val="24"/>
          <w:szCs w:val="24"/>
          <w:rtl/>
        </w:rPr>
        <w:t xml:space="preserve">، ولم يستمر على مشايعته بعد ذلك إلا مكسرو </w:t>
      </w:r>
      <w:proofErr w:type="spellStart"/>
      <w:r w:rsidRPr="00A52585">
        <w:rPr>
          <w:rFonts w:hint="cs"/>
          <w:sz w:val="24"/>
          <w:szCs w:val="24"/>
          <w:rtl/>
        </w:rPr>
        <w:t>الحشوية</w:t>
      </w:r>
      <w:proofErr w:type="spellEnd"/>
      <w:r w:rsidRPr="00A52585">
        <w:rPr>
          <w:rFonts w:hint="cs"/>
          <w:sz w:val="24"/>
          <w:szCs w:val="24"/>
          <w:rtl/>
        </w:rPr>
        <w:t xml:space="preserve"> تحت الخفاء، وكم استتيب وأخذ خطه بالتوبة ثم نقض مواثيقه. راجع (نجم المهتدي) و (دفع الشبه) و (الدرر الكامنة)</w:t>
      </w:r>
      <w:r w:rsidR="0002035C" w:rsidRPr="00A52585">
        <w:rPr>
          <w:rFonts w:hint="cs"/>
          <w:sz w:val="24"/>
          <w:szCs w:val="24"/>
          <w:rtl/>
        </w:rPr>
        <w:t>]</w:t>
      </w:r>
      <w:r w:rsidR="00DB731D" w:rsidRPr="00A52585">
        <w:rPr>
          <w:rFonts w:hint="cs"/>
          <w:rtl/>
        </w:rPr>
        <w:t>،</w:t>
      </w:r>
      <w:r w:rsidRPr="00A52585">
        <w:rPr>
          <w:rFonts w:hint="cs"/>
          <w:rtl/>
        </w:rPr>
        <w:t xml:space="preserve"> وقال إن الطلاق الثلاث لا يقع وإن من حلف بطلاق امرأته وحنث لا يقع عليه طلاق. واتفق العلماء على حبسه الحبس الطويل فحبسه السلطان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الملك الناصر محمد بن قلاوون ولم يكن له عداء شخصي نحو ابن تيمية أصلاً كما اعترف بذلك أشياع ابن تيمية لكن لما رأى توالي فتنه واتفق علماء المذاهب ضده ومعهم قاضي قضاة الحنابلة لم يسعه إلا أن يصدر مرسوماً لأهل دمشق ومرسوماً لسائر البلدان أسوة بما أصدره بمصر ضد هذا الزائغ ونصوص تلك المراسيم مدونة في (نجم المهتدي) و (عيون التواريخ) و (دفع الشبه) بألفاظ متقاربة في المعنى, وفي الاطلاع عليها عبرة بالغة، وقد تليت تلك المراسيم على المنابر نصحاً للأمة وإفهاما لها أن ذلك الرجل مجسم زائغ اعتقاداً وعملا فلا يجوز </w:t>
      </w:r>
      <w:proofErr w:type="spellStart"/>
      <w:r w:rsidRPr="00A52585">
        <w:rPr>
          <w:rFonts w:hint="cs"/>
          <w:sz w:val="24"/>
          <w:szCs w:val="24"/>
          <w:rtl/>
        </w:rPr>
        <w:t>الاغترار</w:t>
      </w:r>
      <w:proofErr w:type="spellEnd"/>
      <w:r w:rsidRPr="00A52585">
        <w:rPr>
          <w:rFonts w:hint="cs"/>
          <w:sz w:val="24"/>
          <w:szCs w:val="24"/>
          <w:rtl/>
        </w:rPr>
        <w:t xml:space="preserve"> به</w:t>
      </w:r>
      <w:r w:rsidR="0002035C" w:rsidRPr="00A52585">
        <w:rPr>
          <w:rFonts w:hint="cs"/>
          <w:sz w:val="24"/>
          <w:szCs w:val="24"/>
          <w:rtl/>
        </w:rPr>
        <w:t>]</w:t>
      </w:r>
      <w:r w:rsidRPr="00A52585">
        <w:rPr>
          <w:rFonts w:hint="cs"/>
          <w:rtl/>
        </w:rPr>
        <w:t xml:space="preserve"> ومُنع من الكتابة في الحبس وأن يدخل إليه أحد بدواة ومات في الحبس. ثم حدث من أصحابه من يُشِيع عقائده ويعلم مسائله ويلقي ذلك إلى الناس سراً ويكتمه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ويظهر من ذلك أن نونية ابن القيم لم تكن تذاع في ذلك العهد إلا سراً وكفى هذا سعياً بالفساد، ولا يحسبن القارئ أن ابن القيم ربما يكون تاب وأناب عن هذه العقيدة الزائغة التي احتوتها تلك القصيدة، فإنَّه يرى في ترجمته من طبقات الحنابلة لابن رجب أن ابن رجب سمعها من لفظ ابن القيم عام وفاته، وهذا من الدليل على أنه استمر على هذا المعتقد الباطل إلى أواخر عمره. وعدد أبياتها ستة آلاف بيت إلا واحداً وخمسين بيتاً</w:t>
      </w:r>
      <w:r w:rsidR="0002035C" w:rsidRPr="00A52585">
        <w:rPr>
          <w:rFonts w:hint="cs"/>
          <w:sz w:val="24"/>
          <w:szCs w:val="24"/>
          <w:rtl/>
        </w:rPr>
        <w:t>]</w:t>
      </w:r>
      <w:r w:rsidRPr="00A52585">
        <w:rPr>
          <w:rFonts w:hint="cs"/>
          <w:rtl/>
        </w:rPr>
        <w:t xml:space="preserve"> جهراً فعم الضرر بذلك, حتى وقفت في هذا الزمان على قصيدة نحو ستة آلاف بيت يذكر ناظمها فيها عقائده وعقائد غيره ويزعم بجهله أن عقائده عقائد أهل الحديث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وبين أهل الحديث من القدرية والخوارج وصنوف الشيعة والمجسمة من كرامية </w:t>
      </w:r>
      <w:proofErr w:type="spellStart"/>
      <w:r w:rsidRPr="00A52585">
        <w:rPr>
          <w:rFonts w:hint="cs"/>
          <w:sz w:val="24"/>
          <w:szCs w:val="24"/>
          <w:rtl/>
        </w:rPr>
        <w:t>وبربهارية</w:t>
      </w:r>
      <w:proofErr w:type="spellEnd"/>
      <w:r w:rsidRPr="00A52585">
        <w:rPr>
          <w:rFonts w:hint="cs"/>
          <w:sz w:val="24"/>
          <w:szCs w:val="24"/>
          <w:rtl/>
        </w:rPr>
        <w:t xml:space="preserve"> وسالمية رجال لا يحصيهم العدّ، كما لا يخفي على من له إلمام بعلم الرجال فليس لهم عقيدة جامعة, فيكون عزو عقيدة إلى جماعة الحديث مخادعة وتمويها على العقول، فإن كان يريد تخصيص هذا الاسم بصنوف المجسمة فهذه التسمية إنما تكون تسمية ما أنـزل الله بها من سلطان</w:t>
      </w:r>
      <w:r w:rsidR="00DB731D" w:rsidRPr="00A52585">
        <w:rPr>
          <w:rFonts w:hint="cs"/>
          <w:sz w:val="24"/>
          <w:szCs w:val="24"/>
          <w:rtl/>
        </w:rPr>
        <w:t>،</w:t>
      </w:r>
      <w:r w:rsidRPr="00A52585">
        <w:rPr>
          <w:rFonts w:hint="cs"/>
          <w:sz w:val="24"/>
          <w:szCs w:val="24"/>
          <w:rtl/>
        </w:rPr>
        <w:t xml:space="preserve"> وإنما التعويل على أهل الحديث في روايتهم الحديث فقط فيما لا يتهمون به، وأما علم أصول الدين فله أئمة معرفون وبراهين مدونة في </w:t>
      </w:r>
      <w:r w:rsidRPr="00A52585">
        <w:rPr>
          <w:rFonts w:hint="cs"/>
          <w:sz w:val="24"/>
          <w:szCs w:val="24"/>
          <w:rtl/>
        </w:rPr>
        <w:lastRenderedPageBreak/>
        <w:t xml:space="preserve">كتبهم، وأهل الحديث </w:t>
      </w:r>
      <w:proofErr w:type="spellStart"/>
      <w:r w:rsidRPr="00A52585">
        <w:rPr>
          <w:rFonts w:hint="cs"/>
          <w:sz w:val="24"/>
          <w:szCs w:val="24"/>
          <w:rtl/>
        </w:rPr>
        <w:t>المبرءون</w:t>
      </w:r>
      <w:proofErr w:type="spellEnd"/>
      <w:r w:rsidRPr="00A52585">
        <w:rPr>
          <w:rFonts w:hint="cs"/>
          <w:sz w:val="24"/>
          <w:szCs w:val="24"/>
          <w:rtl/>
        </w:rPr>
        <w:t xml:space="preserve"> من البدع يسيرون سيرهم</w:t>
      </w:r>
      <w:r w:rsidR="0002035C" w:rsidRPr="00A52585">
        <w:rPr>
          <w:rFonts w:hint="cs"/>
          <w:sz w:val="24"/>
          <w:szCs w:val="24"/>
          <w:rtl/>
        </w:rPr>
        <w:t>]</w:t>
      </w:r>
      <w:r w:rsidRPr="00A52585">
        <w:rPr>
          <w:rFonts w:hint="cs"/>
          <w:rtl/>
        </w:rPr>
        <w:t xml:space="preserve"> فوجدت هذه القصيدة تصنيفاً في علم الكلام الذي نهى العلماء عن النظر فيه لو كان حقاً</w:t>
      </w:r>
      <w:r w:rsidR="00DB731D" w:rsidRPr="00A52585">
        <w:rPr>
          <w:rFonts w:hint="cs"/>
          <w:rtl/>
        </w:rPr>
        <w:t>،</w:t>
      </w:r>
      <w:r w:rsidRPr="00A52585">
        <w:rPr>
          <w:rFonts w:hint="cs"/>
          <w:rtl/>
        </w:rPr>
        <w:t xml:space="preserve"> فكيف وهي تقرير للعقائد الباطلة وبوح بها وزيادة على ذلك وهي حمل العوام على تكفير كل من سواه وسوى طائفته فهذه ثلاثة أمور هي مجامع ما تضمنته هذه القصيدة</w:t>
      </w:r>
      <w:r w:rsidR="00DB731D" w:rsidRPr="00A52585">
        <w:rPr>
          <w:rFonts w:hint="cs"/>
          <w:rtl/>
        </w:rPr>
        <w:t>،</w:t>
      </w:r>
      <w:r w:rsidRPr="00A52585">
        <w:rPr>
          <w:rFonts w:hint="cs"/>
          <w:rtl/>
        </w:rPr>
        <w:t xml:space="preserve"> فالأول من الثلاثة حرام لأن النهي عن علم الكلام إن كان نهي تنـزيه فيما تدعو الحاجة إلى الرد على المبتدعة فيه فهو نهي تحريم فيما لا تدعو الحاجة إليه فكيف فيما هو باطل</w:t>
      </w:r>
      <w:r w:rsidR="00DB731D" w:rsidRPr="00A52585">
        <w:rPr>
          <w:rFonts w:hint="cs"/>
          <w:rtl/>
        </w:rPr>
        <w:t>،</w:t>
      </w:r>
      <w:r w:rsidRPr="00A52585">
        <w:rPr>
          <w:rFonts w:hint="cs"/>
          <w:rtl/>
        </w:rPr>
        <w:t xml:space="preserve"> والثاني من الثلاثة</w:t>
      </w:r>
      <w:r w:rsidR="0002035C" w:rsidRPr="00A52585">
        <w:rPr>
          <w:rFonts w:hint="cs"/>
          <w:rtl/>
        </w:rPr>
        <w:t>:</w:t>
      </w:r>
      <w:r w:rsidRPr="00A52585">
        <w:rPr>
          <w:rFonts w:hint="cs"/>
          <w:rtl/>
        </w:rPr>
        <w:t xml:space="preserve"> العلماء مختلفون في التكفير به إذا لم ينته إلى هذا الحد, أما مع هذه المبالغة ففي بقاء الخلاف فيه نظر</w:t>
      </w:r>
      <w:r w:rsidR="00DB731D" w:rsidRPr="00A52585">
        <w:rPr>
          <w:rFonts w:hint="cs"/>
          <w:rtl/>
        </w:rPr>
        <w:t>،</w:t>
      </w:r>
      <w:r w:rsidRPr="00A52585">
        <w:rPr>
          <w:rFonts w:hint="cs"/>
          <w:rtl/>
        </w:rPr>
        <w:t xml:space="preserve"> وأما الثالث فنحن نعلم بالقطع أن هؤلاء الطوائف الثلاثة الشافعية والمالكية والحنفية وموافقيهم من الحنابلة مسلمون ليسوا بكافرين</w:t>
      </w:r>
      <w:r w:rsidR="00DB731D" w:rsidRPr="00A52585">
        <w:rPr>
          <w:rFonts w:hint="cs"/>
          <w:rtl/>
        </w:rPr>
        <w:t>،</w:t>
      </w:r>
      <w:r w:rsidRPr="00A52585">
        <w:rPr>
          <w:rFonts w:hint="cs"/>
          <w:rtl/>
        </w:rPr>
        <w:t xml:space="preserve"> فالقول بأن جميعهم كفار وحمل الناس على ذلك كيف لا يكون كفراً وقد قال صلى الله عليه وسلم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إذا قال المسلم لأخيه يا كافر فقد باء بها أحدهما</w:t>
      </w:r>
      <w:r w:rsidR="0002035C" w:rsidRPr="00A52585">
        <w:rPr>
          <w:rFonts w:hint="cs"/>
          <w:rtl/>
        </w:rPr>
        <w:t>)</w:t>
      </w:r>
      <w:r w:rsidRPr="00A52585">
        <w:rPr>
          <w:rFonts w:hint="cs"/>
          <w:rtl/>
        </w:rPr>
        <w:t xml:space="preserve"> فالضرورة أوجبت العلم بأن بعض من كفرهم مسلم والحديث اقتضى أن يبوء بها أحدهما فيكون القائل هو الذي باء بها</w:t>
      </w:r>
      <w:r w:rsidR="00DB731D" w:rsidRPr="00A52585">
        <w:rPr>
          <w:rFonts w:hint="cs"/>
          <w:rtl/>
        </w:rPr>
        <w:t>،</w:t>
      </w:r>
      <w:r w:rsidRPr="00A52585">
        <w:rPr>
          <w:rFonts w:hint="cs"/>
          <w:rtl/>
        </w:rPr>
        <w:t xml:space="preserve"> </w:t>
      </w:r>
    </w:p>
    <w:p w14:paraId="3C0BE0DF" w14:textId="60ABA89A" w:rsidR="00777DCB" w:rsidRPr="00A52585" w:rsidRDefault="0002035C" w:rsidP="0002035C">
      <w:pPr>
        <w:spacing w:after="240"/>
        <w:rPr>
          <w:b/>
          <w:rtl/>
        </w:rPr>
      </w:pPr>
      <w:r w:rsidRPr="00A52585">
        <w:rPr>
          <w:rFonts w:hint="cs"/>
          <w:bCs/>
          <w:rtl/>
        </w:rPr>
        <w:t>[</w:t>
      </w:r>
      <w:r w:rsidR="00777DCB" w:rsidRPr="00A52585">
        <w:rPr>
          <w:rFonts w:hint="cs"/>
          <w:bCs/>
          <w:rtl/>
        </w:rPr>
        <w:t>مجامع الزيغ في نونية ابن القيم</w:t>
      </w:r>
      <w:r w:rsidRPr="00A52585">
        <w:rPr>
          <w:rFonts w:hint="cs"/>
          <w:bCs/>
          <w:rtl/>
        </w:rPr>
        <w:t>]</w:t>
      </w:r>
      <w:r w:rsidRPr="00A52585">
        <w:rPr>
          <w:rFonts w:hint="cs"/>
          <w:rtl/>
        </w:rPr>
        <w:t>:</w:t>
      </w:r>
      <w:r w:rsidR="00777DCB" w:rsidRPr="00A52585">
        <w:rPr>
          <w:rFonts w:hint="cs"/>
          <w:rtl/>
        </w:rPr>
        <w:t xml:space="preserve"> وها أنا أذكر مجامع ما تضمنته القصيدة ملخصا من غير نظم</w:t>
      </w:r>
      <w:r w:rsidR="00DB731D" w:rsidRPr="00A52585">
        <w:rPr>
          <w:rFonts w:hint="cs"/>
          <w:rtl/>
        </w:rPr>
        <w:t>،</w:t>
      </w:r>
      <w:r w:rsidR="00777DCB" w:rsidRPr="00A52585">
        <w:rPr>
          <w:rFonts w:hint="cs"/>
          <w:rtl/>
        </w:rPr>
        <w:t xml:space="preserve"> وناظمها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ابن </w:t>
      </w:r>
      <w:proofErr w:type="spellStart"/>
      <w:r w:rsidR="00777DCB" w:rsidRPr="00A52585">
        <w:rPr>
          <w:rFonts w:hint="cs"/>
          <w:sz w:val="24"/>
          <w:szCs w:val="24"/>
          <w:rtl/>
        </w:rPr>
        <w:t>زفيل</w:t>
      </w:r>
      <w:proofErr w:type="spellEnd"/>
      <w:r w:rsidR="00777DCB" w:rsidRPr="00A52585">
        <w:rPr>
          <w:rFonts w:hint="cs"/>
          <w:sz w:val="24"/>
          <w:szCs w:val="24"/>
          <w:rtl/>
        </w:rPr>
        <w:t xml:space="preserve"> الزرعي المعروف بابن قيم الجوزية كان بمتناول يده من كتب الفرق التي كانت دمشق امتلأت بها بعد نكبة بغداد ونكبة البلاد الشرقية باستيلاء المغول عليها ما يزداد به غواية إلى غوايته، وقد حشر في مؤلفاته ما لم يفهمه ولم يهضمه من أقوال أرباب النحل، شأن من خاض في المسائل النظرية الخطرة من غير أستاذ رشيد، فحصل في تفكيره ما يحصل في معدة الشره المتخوم فأصبحت مؤلفاته محشر الأقوال المتناقضة، ولم ينخدع بها إلا من ظن أن العلم هو حشد المصطلحات من غير نظام يربط بعضها بدون تمحيص الحق من الباطل</w:t>
      </w:r>
      <w:r w:rsidRPr="00A52585">
        <w:rPr>
          <w:rFonts w:hint="cs"/>
          <w:sz w:val="24"/>
          <w:szCs w:val="24"/>
          <w:rtl/>
        </w:rPr>
        <w:t>]</w:t>
      </w:r>
      <w:r w:rsidR="00777DCB" w:rsidRPr="00A52585">
        <w:rPr>
          <w:rFonts w:hint="cs"/>
          <w:rtl/>
        </w:rPr>
        <w:t xml:space="preserve"> أقل من أن أذكر كلامه لكني تأسيت في ذلك بإمام الحرمين في كتابه المسمى بنقض كتاب </w:t>
      </w:r>
      <w:proofErr w:type="spellStart"/>
      <w:r w:rsidR="00777DCB" w:rsidRPr="00A52585">
        <w:rPr>
          <w:rFonts w:hint="cs"/>
          <w:rtl/>
        </w:rPr>
        <w:t>السجزي</w:t>
      </w:r>
      <w:proofErr w:type="spellEnd"/>
      <w:r w:rsidR="00DB731D" w:rsidRPr="00A52585">
        <w:rPr>
          <w:rFonts w:hint="cs"/>
          <w:rtl/>
        </w:rPr>
        <w:t>،</w:t>
      </w:r>
      <w:r w:rsidR="00777DCB" w:rsidRPr="00A52585">
        <w:rPr>
          <w:rFonts w:hint="cs"/>
          <w:rtl/>
        </w:rPr>
        <w:t xml:space="preserve"> </w:t>
      </w:r>
      <w:proofErr w:type="spellStart"/>
      <w:r w:rsidR="00777DCB" w:rsidRPr="00A52585">
        <w:rPr>
          <w:rFonts w:hint="cs"/>
          <w:rtl/>
        </w:rPr>
        <w:t>والسجزي</w:t>
      </w:r>
      <w:proofErr w:type="spellEnd"/>
      <w:r w:rsidR="00777DCB" w:rsidRPr="00A52585">
        <w:rPr>
          <w:rFonts w:hint="cs"/>
          <w:rtl/>
        </w:rPr>
        <w:t xml:space="preserve"> هذا كان محدثا له كتاب مترجم بمختصر البيان وجده إمام الحرمين حين جاور بمكة شرفها الله</w:t>
      </w:r>
      <w:r w:rsidR="00DB731D" w:rsidRPr="00A52585">
        <w:rPr>
          <w:rFonts w:hint="cs"/>
          <w:rtl/>
        </w:rPr>
        <w:t>،</w:t>
      </w:r>
      <w:r w:rsidR="00777DCB" w:rsidRPr="00A52585">
        <w:rPr>
          <w:rFonts w:hint="cs"/>
          <w:rtl/>
        </w:rPr>
        <w:t xml:space="preserve"> اشتمل كتاب </w:t>
      </w:r>
      <w:proofErr w:type="spellStart"/>
      <w:r w:rsidR="00777DCB" w:rsidRPr="00A52585">
        <w:rPr>
          <w:rFonts w:hint="cs"/>
          <w:rtl/>
        </w:rPr>
        <w:t>السجزي</w:t>
      </w:r>
      <w:proofErr w:type="spellEnd"/>
      <w:r w:rsidR="00777DCB" w:rsidRPr="00A52585">
        <w:rPr>
          <w:rFonts w:hint="cs"/>
          <w:rtl/>
        </w:rPr>
        <w:t xml:space="preserve"> هذا على أمور منها أن القرآن حروف وأصوات. قال إمام الحرمين</w:t>
      </w:r>
      <w:r w:rsidRPr="00A52585">
        <w:rPr>
          <w:rFonts w:hint="cs"/>
          <w:rtl/>
        </w:rPr>
        <w:t>:</w:t>
      </w:r>
      <w:r w:rsidR="00777DCB" w:rsidRPr="00A52585">
        <w:rPr>
          <w:rFonts w:hint="cs"/>
          <w:rtl/>
        </w:rPr>
        <w:t xml:space="preserve"> وأبدي من غمرات جهله فصولا وسوى على قصبة سخافة عقله نصولا</w:t>
      </w:r>
      <w:r w:rsidR="00DB731D" w:rsidRPr="00A52585">
        <w:rPr>
          <w:rFonts w:hint="cs"/>
          <w:rtl/>
        </w:rPr>
        <w:t>،</w:t>
      </w:r>
      <w:r w:rsidR="00777DCB" w:rsidRPr="00A52585">
        <w:rPr>
          <w:rFonts w:hint="cs"/>
          <w:rtl/>
        </w:rPr>
        <w:t xml:space="preserve"> ومخايل الحمق في تضاعيفها مصقولة وبعثات الحقائق دونها معقولة. وقال إمام الحرمين أيضاً</w:t>
      </w:r>
      <w:r w:rsidRPr="00A52585">
        <w:rPr>
          <w:rFonts w:hint="cs"/>
          <w:rtl/>
        </w:rPr>
        <w:t>:</w:t>
      </w:r>
      <w:r w:rsidR="00777DCB" w:rsidRPr="00A52585">
        <w:rPr>
          <w:rFonts w:hint="cs"/>
          <w:rtl/>
        </w:rPr>
        <w:t xml:space="preserve"> وهذا الجاهل الغر المتمادي في الجهل المصر</w:t>
      </w:r>
      <w:r w:rsidR="00DB731D" w:rsidRPr="00A52585">
        <w:rPr>
          <w:rFonts w:hint="cs"/>
          <w:rtl/>
        </w:rPr>
        <w:t>،</w:t>
      </w:r>
      <w:r w:rsidR="00777DCB" w:rsidRPr="00A52585">
        <w:rPr>
          <w:rFonts w:hint="cs"/>
          <w:rtl/>
        </w:rPr>
        <w:t xml:space="preserve"> يتطلع إلى الرتب الرفيعة بالدأب في المطاعن في الأئمة والوقيعة. وقال إمام الحرمين أيضاً</w:t>
      </w:r>
      <w:r w:rsidRPr="00A52585">
        <w:rPr>
          <w:rFonts w:hint="cs"/>
          <w:rtl/>
        </w:rPr>
        <w:t>:</w:t>
      </w:r>
      <w:r w:rsidR="00777DCB" w:rsidRPr="00A52585">
        <w:rPr>
          <w:rFonts w:hint="cs"/>
          <w:rtl/>
        </w:rPr>
        <w:t xml:space="preserve"> صدر هذا الأحمق الباب بالمعهود من شتمه فأفِّ له </w:t>
      </w:r>
      <w:proofErr w:type="gramStart"/>
      <w:r w:rsidR="00777DCB" w:rsidRPr="00A52585">
        <w:rPr>
          <w:rFonts w:hint="cs"/>
          <w:rtl/>
        </w:rPr>
        <w:t>ولخرقه ,</w:t>
      </w:r>
      <w:proofErr w:type="gramEnd"/>
      <w:r w:rsidR="00777DCB" w:rsidRPr="00A52585">
        <w:rPr>
          <w:rFonts w:hint="cs"/>
          <w:rtl/>
        </w:rPr>
        <w:t>فقد والله سئمت البحث عن عواره وإبداء شَنَاره</w:t>
      </w:r>
      <w:r w:rsidR="00DB731D" w:rsidRPr="00A52585">
        <w:rPr>
          <w:rFonts w:hint="cs"/>
          <w:rtl/>
        </w:rPr>
        <w:t>،</w:t>
      </w:r>
      <w:r w:rsidR="00777DCB" w:rsidRPr="00A52585">
        <w:rPr>
          <w:rFonts w:hint="cs"/>
          <w:rtl/>
        </w:rPr>
        <w:t xml:space="preserve"> وقال الإمام أيضاً</w:t>
      </w:r>
      <w:r w:rsidRPr="00A52585">
        <w:rPr>
          <w:rFonts w:hint="cs"/>
          <w:rtl/>
        </w:rPr>
        <w:t>:</w:t>
      </w:r>
      <w:r w:rsidR="00777DCB" w:rsidRPr="00A52585">
        <w:rPr>
          <w:rFonts w:hint="cs"/>
          <w:rtl/>
        </w:rPr>
        <w:t xml:space="preserve"> وقد كسا هذا التيس الأئمة صفاته. وقال الإمام أيضاً</w:t>
      </w:r>
      <w:r w:rsidRPr="00A52585">
        <w:rPr>
          <w:rFonts w:hint="cs"/>
          <w:rtl/>
        </w:rPr>
        <w:t>:</w:t>
      </w:r>
      <w:r w:rsidR="00777DCB" w:rsidRPr="00A52585">
        <w:rPr>
          <w:rFonts w:hint="cs"/>
          <w:rtl/>
        </w:rPr>
        <w:t xml:space="preserve"> أبدي هذا الأحمق كلاماً </w:t>
      </w:r>
      <w:r w:rsidR="00777DCB" w:rsidRPr="00A52585">
        <w:rPr>
          <w:rFonts w:hint="cs"/>
          <w:rtl/>
        </w:rPr>
        <w:lastRenderedPageBreak/>
        <w:t>ينقض آخره أوله في الصفات وما ينبغي لمثله أن يتكلم في صفات الله تعالى على جهله وسخافة عقله. وقال الإمام أيضاً</w:t>
      </w:r>
      <w:r w:rsidRPr="00A52585">
        <w:rPr>
          <w:rFonts w:hint="cs"/>
          <w:rtl/>
        </w:rPr>
        <w:t>:</w:t>
      </w:r>
      <w:r w:rsidR="00777DCB" w:rsidRPr="00A52585">
        <w:rPr>
          <w:rFonts w:hint="cs"/>
          <w:rtl/>
        </w:rPr>
        <w:t xml:space="preserve"> قد ذكر هذا اللعين الطريد المهين الشريد فصولا, وزعم أن الأشعرية يكفرون </w:t>
      </w:r>
      <w:proofErr w:type="spellStart"/>
      <w:r w:rsidR="00777DCB" w:rsidRPr="00A52585">
        <w:rPr>
          <w:rFonts w:hint="cs"/>
          <w:rtl/>
        </w:rPr>
        <w:t>بها,فعليه</w:t>
      </w:r>
      <w:proofErr w:type="spellEnd"/>
      <w:r w:rsidR="00777DCB" w:rsidRPr="00A52585">
        <w:rPr>
          <w:rFonts w:hint="cs"/>
          <w:rtl/>
        </w:rPr>
        <w:t xml:space="preserve"> لعائن الله </w:t>
      </w:r>
      <w:proofErr w:type="spellStart"/>
      <w:r w:rsidR="00777DCB" w:rsidRPr="00A52585">
        <w:rPr>
          <w:rFonts w:hint="cs"/>
          <w:rtl/>
        </w:rPr>
        <w:t>تترى</w:t>
      </w:r>
      <w:proofErr w:type="spellEnd"/>
      <w:r w:rsidR="00777DCB" w:rsidRPr="00A52585">
        <w:rPr>
          <w:rFonts w:hint="cs"/>
          <w:rtl/>
        </w:rPr>
        <w:t xml:space="preserve"> واحدة بعد أخرى</w:t>
      </w:r>
      <w:r w:rsidR="00DB731D" w:rsidRPr="00A52585">
        <w:rPr>
          <w:rFonts w:hint="cs"/>
          <w:rtl/>
        </w:rPr>
        <w:t>،</w:t>
      </w:r>
      <w:r w:rsidR="00777DCB" w:rsidRPr="00A52585">
        <w:rPr>
          <w:rFonts w:hint="cs"/>
          <w:rtl/>
        </w:rPr>
        <w:t xml:space="preserve"> وما رأيت جاهلا أجسر على التكفير وأسرع إلى التحكم على الأئمة من هذا الأخرق</w:t>
      </w:r>
      <w:r w:rsidR="00DB731D" w:rsidRPr="00A52585">
        <w:rPr>
          <w:rFonts w:hint="cs"/>
          <w:rtl/>
        </w:rPr>
        <w:t>،</w:t>
      </w:r>
      <w:r w:rsidR="00777DCB" w:rsidRPr="00A52585">
        <w:rPr>
          <w:rFonts w:hint="cs"/>
          <w:rtl/>
        </w:rPr>
        <w:t xml:space="preserve"> وتكلم </w:t>
      </w:r>
      <w:proofErr w:type="spellStart"/>
      <w:r w:rsidR="00777DCB" w:rsidRPr="00A52585">
        <w:rPr>
          <w:rFonts w:hint="cs"/>
          <w:rtl/>
        </w:rPr>
        <w:t>السجزي</w:t>
      </w:r>
      <w:proofErr w:type="spellEnd"/>
      <w:r w:rsidR="00777DCB" w:rsidRPr="00A52585">
        <w:rPr>
          <w:rFonts w:hint="cs"/>
          <w:rtl/>
        </w:rPr>
        <w:t xml:space="preserve"> في النـزول والانتقال والزوال والانفصال والذهاب </w:t>
      </w:r>
      <w:proofErr w:type="spellStart"/>
      <w:r w:rsidR="00777DCB" w:rsidRPr="00A52585">
        <w:rPr>
          <w:rFonts w:hint="cs"/>
          <w:rtl/>
        </w:rPr>
        <w:t>والمجئ</w:t>
      </w:r>
      <w:proofErr w:type="spellEnd"/>
      <w:r w:rsidR="00777DCB" w:rsidRPr="00A52585">
        <w:rPr>
          <w:rFonts w:hint="cs"/>
          <w:rtl/>
        </w:rPr>
        <w:t xml:space="preserve"> فقال الإمام</w:t>
      </w:r>
      <w:r w:rsidRPr="00A52585">
        <w:rPr>
          <w:rFonts w:hint="cs"/>
          <w:rtl/>
        </w:rPr>
        <w:t>:</w:t>
      </w:r>
      <w:r w:rsidR="00777DCB" w:rsidRPr="00A52585">
        <w:rPr>
          <w:rFonts w:hint="cs"/>
          <w:rtl/>
        </w:rPr>
        <w:t xml:space="preserve"> ومن قال بذلك حل دمه , وتبرَّم الإمام كثيراً من كلامه معه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وعن هذا </w:t>
      </w:r>
      <w:proofErr w:type="spellStart"/>
      <w:r w:rsidR="00777DCB" w:rsidRPr="00A52585">
        <w:rPr>
          <w:rFonts w:hint="cs"/>
          <w:sz w:val="24"/>
          <w:szCs w:val="24"/>
          <w:rtl/>
        </w:rPr>
        <w:t>السجزي</w:t>
      </w:r>
      <w:proofErr w:type="spellEnd"/>
      <w:r w:rsidR="00777DCB" w:rsidRPr="00A52585">
        <w:rPr>
          <w:rFonts w:hint="cs"/>
          <w:sz w:val="24"/>
          <w:szCs w:val="24"/>
          <w:rtl/>
        </w:rPr>
        <w:t xml:space="preserve"> يقول أبو جعفر </w:t>
      </w:r>
      <w:proofErr w:type="spellStart"/>
      <w:r w:rsidR="00777DCB" w:rsidRPr="00A52585">
        <w:rPr>
          <w:rFonts w:hint="cs"/>
          <w:sz w:val="24"/>
          <w:szCs w:val="24"/>
          <w:rtl/>
        </w:rPr>
        <w:t>اللبلي</w:t>
      </w:r>
      <w:proofErr w:type="spellEnd"/>
      <w:r w:rsidR="00777DCB" w:rsidRPr="00A52585">
        <w:rPr>
          <w:rFonts w:hint="cs"/>
          <w:sz w:val="24"/>
          <w:szCs w:val="24"/>
          <w:rtl/>
        </w:rPr>
        <w:t xml:space="preserve"> الأندلسي في فهرسته</w:t>
      </w:r>
      <w:r w:rsidRPr="00A52585">
        <w:rPr>
          <w:rFonts w:hint="cs"/>
          <w:sz w:val="24"/>
          <w:szCs w:val="24"/>
          <w:rtl/>
        </w:rPr>
        <w:t>:</w:t>
      </w:r>
      <w:r w:rsidR="00777DCB" w:rsidRPr="00A52585">
        <w:rPr>
          <w:rFonts w:hint="cs"/>
          <w:sz w:val="24"/>
          <w:szCs w:val="24"/>
          <w:rtl/>
        </w:rPr>
        <w:t xml:space="preserve"> وكذلك اللعين المعروف </w:t>
      </w:r>
      <w:proofErr w:type="spellStart"/>
      <w:r w:rsidR="00777DCB" w:rsidRPr="00A52585">
        <w:rPr>
          <w:rFonts w:hint="cs"/>
          <w:sz w:val="24"/>
          <w:szCs w:val="24"/>
          <w:rtl/>
        </w:rPr>
        <w:t>بالسجزي</w:t>
      </w:r>
      <w:proofErr w:type="spellEnd"/>
      <w:r w:rsidR="00777DCB" w:rsidRPr="00A52585">
        <w:rPr>
          <w:rFonts w:hint="cs"/>
          <w:sz w:val="24"/>
          <w:szCs w:val="24"/>
          <w:rtl/>
        </w:rPr>
        <w:t xml:space="preserve"> فإنه تصدى أيضاً للوقوع في أعيان الأئمة وسرج الأمة بتأليف تالف وهو على قلة مقداره وكثرة عواره ينسب أئمة الحقائق وأحبار الأمة وبحور العلوم إلى التلبيس والمراوغة والتدليس. وهذا الرذل الخسيس أحقر من أن يُكترث به ذما ولا يضر البحر الخضم ولغة كلب </w:t>
      </w:r>
      <w:r w:rsidRPr="00A52585">
        <w:rPr>
          <w:rFonts w:hint="cs"/>
          <w:sz w:val="24"/>
          <w:szCs w:val="24"/>
          <w:rtl/>
        </w:rPr>
        <w:t>(</w:t>
      </w:r>
      <w:r w:rsidR="00777DCB" w:rsidRPr="00A52585">
        <w:rPr>
          <w:rFonts w:hint="cs"/>
          <w:sz w:val="24"/>
          <w:szCs w:val="24"/>
          <w:rtl/>
        </w:rPr>
        <w:t>ما يضر البحر أمسى زاخراً</w:t>
      </w:r>
      <w:r w:rsidR="00897A24"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أن رمــى فيـه غـلام بحجـر</w:t>
      </w:r>
      <w:r w:rsidRPr="00A52585">
        <w:rPr>
          <w:rFonts w:hint="cs"/>
          <w:sz w:val="24"/>
          <w:szCs w:val="24"/>
          <w:rtl/>
        </w:rPr>
        <w:t>)</w:t>
      </w:r>
      <w:r w:rsidR="00777DCB" w:rsidRPr="00A52585">
        <w:rPr>
          <w:rFonts w:hint="cs"/>
          <w:sz w:val="24"/>
          <w:szCs w:val="24"/>
          <w:rtl/>
        </w:rPr>
        <w:t xml:space="preserve"> فمما ذكر هذا المنافق الحائد بجهله عن الحقائق أن من مذهب الأشعرية أن النبوة عرض من الأعراض والعرض لا يبقى زمانين وإذا مات النبي زالت نبوته وانقطعت دعوته، وهذه من جملة حكاياته وتقولاته المستبعدة اهـ، وسيأتي الرد على هذا الهذيان، وقد وفاه </w:t>
      </w:r>
      <w:proofErr w:type="spellStart"/>
      <w:r w:rsidR="00777DCB" w:rsidRPr="00A52585">
        <w:rPr>
          <w:rFonts w:hint="cs"/>
          <w:sz w:val="24"/>
          <w:szCs w:val="24"/>
          <w:rtl/>
        </w:rPr>
        <w:t>اللبلي</w:t>
      </w:r>
      <w:proofErr w:type="spellEnd"/>
      <w:r w:rsidR="00777DCB" w:rsidRPr="00A52585">
        <w:rPr>
          <w:rFonts w:hint="cs"/>
          <w:sz w:val="24"/>
          <w:szCs w:val="24"/>
          <w:rtl/>
        </w:rPr>
        <w:t xml:space="preserve"> الكيل صاعاً بصاع</w:t>
      </w:r>
      <w:r w:rsidRPr="00A52585">
        <w:rPr>
          <w:rFonts w:hint="cs"/>
          <w:sz w:val="24"/>
          <w:szCs w:val="24"/>
          <w:rtl/>
        </w:rPr>
        <w:t>]</w:t>
      </w:r>
      <w:r w:rsidR="00DB731D" w:rsidRPr="00A52585">
        <w:rPr>
          <w:rFonts w:hint="cs"/>
          <w:rtl/>
        </w:rPr>
        <w:t>،</w:t>
      </w:r>
      <w:r w:rsidR="00777DCB" w:rsidRPr="00A52585">
        <w:rPr>
          <w:rFonts w:hint="cs"/>
          <w:rtl/>
        </w:rPr>
        <w:t xml:space="preserve"> وها أنا أيضاً أقتدي بالإمام في كلامي مع هذا الجاهل متبرماً لكن خشية على عقائد العوام تكلمت</w:t>
      </w:r>
      <w:r w:rsidR="00DB731D" w:rsidRPr="00A52585">
        <w:rPr>
          <w:rFonts w:hint="cs"/>
          <w:rtl/>
        </w:rPr>
        <w:t>،</w:t>
      </w:r>
      <w:r w:rsidR="00777DCB" w:rsidRPr="00A52585">
        <w:rPr>
          <w:rFonts w:hint="cs"/>
          <w:rtl/>
        </w:rPr>
        <w:t xml:space="preserve"> </w:t>
      </w:r>
      <w:proofErr w:type="spellStart"/>
      <w:r w:rsidR="00777DCB" w:rsidRPr="00A52585">
        <w:rPr>
          <w:rFonts w:hint="cs"/>
          <w:rtl/>
        </w:rPr>
        <w:t>والسجزي</w:t>
      </w:r>
      <w:proofErr w:type="spellEnd"/>
      <w:r w:rsidR="00777DCB" w:rsidRPr="00A52585">
        <w:rPr>
          <w:rFonts w:hint="cs"/>
          <w:rtl/>
        </w:rPr>
        <w:t xml:space="preserve"> الذي رد عليه الإمام أعرف ترجمته محدث لا يصل ناظم هذه القصيدة إلى عشره في الحديث, ولكن الإنسان يضطر إلى الكلام مع الجهال والمبتدعين صيانة لعقائد المسلمين وليت كلامي كان مع عالم أو مع زاهد أو متحفظ في دينه صيِّن في عرضه قاصد </w:t>
      </w:r>
      <w:proofErr w:type="spellStart"/>
      <w:r w:rsidR="00777DCB" w:rsidRPr="00A52585">
        <w:rPr>
          <w:rFonts w:hint="cs"/>
          <w:rtl/>
        </w:rPr>
        <w:t>للحق,ولكنها</w:t>
      </w:r>
      <w:proofErr w:type="spellEnd"/>
      <w:r w:rsidR="00777DCB" w:rsidRPr="00A52585">
        <w:rPr>
          <w:rFonts w:hint="cs"/>
          <w:rtl/>
        </w:rPr>
        <w:t xml:space="preserve"> بلوى, نسأل الله حسن </w:t>
      </w:r>
      <w:proofErr w:type="spellStart"/>
      <w:r w:rsidR="00777DCB" w:rsidRPr="00A52585">
        <w:rPr>
          <w:rFonts w:hint="cs"/>
          <w:rtl/>
        </w:rPr>
        <w:t>عاقبتها.وبعد</w:t>
      </w:r>
      <w:proofErr w:type="spellEnd"/>
      <w:r w:rsidR="00777DCB" w:rsidRPr="00A52585">
        <w:rPr>
          <w:rFonts w:hint="cs"/>
          <w:rtl/>
        </w:rPr>
        <w:t xml:space="preserve"> أن كنت قصدت الاقتصار على اختصار مجامعها عنَّ لي هنا أن استوعب كلماتها لأطفئ جمراتها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الغريب أن </w:t>
      </w:r>
      <w:proofErr w:type="spellStart"/>
      <w:r w:rsidR="00777DCB" w:rsidRPr="00A52585">
        <w:rPr>
          <w:rFonts w:hint="cs"/>
          <w:sz w:val="24"/>
          <w:szCs w:val="24"/>
          <w:rtl/>
        </w:rPr>
        <w:t>السجزيين</w:t>
      </w:r>
      <w:proofErr w:type="spellEnd"/>
      <w:r w:rsidR="00777DCB" w:rsidRPr="00A52585">
        <w:rPr>
          <w:rFonts w:hint="cs"/>
          <w:sz w:val="24"/>
          <w:szCs w:val="24"/>
          <w:rtl/>
        </w:rPr>
        <w:t xml:space="preserve"> مهما علت منـزلتهم في الرواية يقل بينهم جداً من يكون طاهر الذيل ناصع الجبين من فحش التشبيه ووصمة التجسيم كما لا يخفى على من بحث مؤلفاتهم بتبصر, وأرى ذلك من عدوى مرض شيخ المجسمة أبى عبد الله محمد بن كرام </w:t>
      </w:r>
      <w:proofErr w:type="spellStart"/>
      <w:r w:rsidR="00777DCB" w:rsidRPr="00A52585">
        <w:rPr>
          <w:rFonts w:hint="cs"/>
          <w:sz w:val="24"/>
          <w:szCs w:val="24"/>
          <w:rtl/>
        </w:rPr>
        <w:t>السجزي</w:t>
      </w:r>
      <w:proofErr w:type="spellEnd"/>
      <w:r w:rsidR="00777DCB" w:rsidRPr="00A52585">
        <w:rPr>
          <w:rFonts w:hint="cs"/>
          <w:sz w:val="24"/>
          <w:szCs w:val="24"/>
          <w:rtl/>
        </w:rPr>
        <w:t xml:space="preserve"> الذي بتقشفه كان سحر ألباب أهل سجستان وتاريخه في غاية من الشهرة. وهذا </w:t>
      </w:r>
      <w:proofErr w:type="spellStart"/>
      <w:r w:rsidR="00777DCB" w:rsidRPr="00A52585">
        <w:rPr>
          <w:rFonts w:hint="cs"/>
          <w:sz w:val="24"/>
          <w:szCs w:val="24"/>
          <w:rtl/>
        </w:rPr>
        <w:t>السجزي</w:t>
      </w:r>
      <w:proofErr w:type="spellEnd"/>
      <w:r w:rsidR="00777DCB" w:rsidRPr="00A52585">
        <w:rPr>
          <w:rFonts w:hint="cs"/>
          <w:sz w:val="24"/>
          <w:szCs w:val="24"/>
          <w:rtl/>
        </w:rPr>
        <w:t xml:space="preserve"> هو أبو نصر </w:t>
      </w:r>
      <w:proofErr w:type="gramStart"/>
      <w:r w:rsidR="00777DCB" w:rsidRPr="00A52585">
        <w:rPr>
          <w:rFonts w:hint="cs"/>
          <w:sz w:val="24"/>
          <w:szCs w:val="24"/>
          <w:rtl/>
        </w:rPr>
        <w:t>الوائلي,</w:t>
      </w:r>
      <w:proofErr w:type="gramEnd"/>
      <w:r w:rsidR="00777DCB" w:rsidRPr="00A52585">
        <w:rPr>
          <w:rFonts w:hint="cs"/>
          <w:sz w:val="24"/>
          <w:szCs w:val="24"/>
          <w:rtl/>
        </w:rPr>
        <w:t xml:space="preserve"> مؤلف الإبانة المتوفى سنة 444 وصاحبه السعد </w:t>
      </w:r>
      <w:proofErr w:type="spellStart"/>
      <w:r w:rsidR="00777DCB" w:rsidRPr="00A52585">
        <w:rPr>
          <w:rFonts w:hint="cs"/>
          <w:sz w:val="24"/>
          <w:szCs w:val="24"/>
          <w:rtl/>
        </w:rPr>
        <w:t>الزنجاني</w:t>
      </w:r>
      <w:proofErr w:type="spellEnd"/>
      <w:r w:rsidR="00777DCB" w:rsidRPr="00A52585">
        <w:rPr>
          <w:rFonts w:hint="cs"/>
          <w:sz w:val="24"/>
          <w:szCs w:val="24"/>
          <w:rtl/>
        </w:rPr>
        <w:t xml:space="preserve"> بمكة مثله في التشبيه مع أنهما ينتحلان مذهب الشافعي. ومن هذا الطراز الآجري صاحب كتاب الشريعة قبلهما </w:t>
      </w:r>
      <w:proofErr w:type="spellStart"/>
      <w:r w:rsidR="00777DCB" w:rsidRPr="00A52585">
        <w:rPr>
          <w:rFonts w:hint="cs"/>
          <w:sz w:val="24"/>
          <w:szCs w:val="24"/>
          <w:rtl/>
        </w:rPr>
        <w:t>ويرثىلحال</w:t>
      </w:r>
      <w:proofErr w:type="spellEnd"/>
      <w:r w:rsidR="00777DCB" w:rsidRPr="00A52585">
        <w:rPr>
          <w:rFonts w:hint="cs"/>
          <w:sz w:val="24"/>
          <w:szCs w:val="24"/>
          <w:rtl/>
        </w:rPr>
        <w:t xml:space="preserve"> من يميل إلى التشبيه مع جلالة مقداره في الحديث</w:t>
      </w:r>
      <w:r w:rsidR="00DB731D" w:rsidRPr="00A52585">
        <w:rPr>
          <w:rFonts w:hint="cs"/>
          <w:sz w:val="24"/>
          <w:szCs w:val="24"/>
          <w:rtl/>
        </w:rPr>
        <w:t>،</w:t>
      </w:r>
      <w:r w:rsidR="00777DCB" w:rsidRPr="00A52585">
        <w:rPr>
          <w:rFonts w:hint="cs"/>
          <w:sz w:val="24"/>
          <w:szCs w:val="24"/>
          <w:rtl/>
        </w:rPr>
        <w:t xml:space="preserve"> ونحن لا نعول على الرجل إلا في العلم الذي يتقنه دون سائر العلوم، فكم بين أهل الحديث من هو أنـزل منـزلة من العامي في علم أصول الدين والفقه وكذلك سائر العلماء في غير علومهم</w:t>
      </w:r>
      <w:r w:rsidR="00F95886" w:rsidRPr="00A52585">
        <w:rPr>
          <w:rFonts w:hint="cs"/>
          <w:sz w:val="24"/>
          <w:szCs w:val="24"/>
          <w:rtl/>
        </w:rPr>
        <w:t>!</w:t>
      </w:r>
      <w:r w:rsidR="00777DCB" w:rsidRPr="00A52585">
        <w:rPr>
          <w:rFonts w:hint="cs"/>
          <w:sz w:val="24"/>
          <w:szCs w:val="24"/>
          <w:rtl/>
        </w:rPr>
        <w:t>!]</w:t>
      </w:r>
      <w:r w:rsidR="00DB731D" w:rsidRPr="00A52585">
        <w:rPr>
          <w:rFonts w:hint="cs"/>
          <w:rtl/>
        </w:rPr>
        <w:t>،</w:t>
      </w:r>
      <w:r w:rsidR="00777DCB" w:rsidRPr="00A52585">
        <w:rPr>
          <w:rFonts w:hint="cs"/>
          <w:rtl/>
        </w:rPr>
        <w:t xml:space="preserve"> </w:t>
      </w:r>
    </w:p>
    <w:p w14:paraId="2EBE9D0F" w14:textId="7AE67AAB"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مناظرة خيالية بين المشبه والمنـزه </w:t>
      </w:r>
      <w:r w:rsidR="00777DCB" w:rsidRPr="00A52585">
        <w:rPr>
          <w:bCs/>
        </w:rPr>
        <w:t>…</w:t>
      </w:r>
      <w:r w:rsidR="00777DCB" w:rsidRPr="00A52585">
        <w:rPr>
          <w:rFonts w:hint="cs"/>
          <w:bCs/>
          <w:rtl/>
        </w:rPr>
        <w:t xml:space="preserve"> الخ</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جمع مجلس المذاكرة بين مثبت للصفات والعلو ومعطل</w:t>
      </w:r>
      <w:r w:rsidRPr="00A52585">
        <w:rPr>
          <w:rFonts w:hint="cs"/>
          <w:rtl/>
        </w:rPr>
        <w:t>)</w:t>
      </w:r>
      <w:r w:rsidR="00777DCB" w:rsidRPr="00A52585">
        <w:rPr>
          <w:rFonts w:hint="cs"/>
          <w:rtl/>
        </w:rPr>
        <w:t xml:space="preserve"> إلى أن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كلام المثبت أن كهيعص و حم عسق و ق و ن</w:t>
      </w:r>
      <w:r w:rsidRPr="00A52585">
        <w:rPr>
          <w:rFonts w:hint="cs"/>
          <w:rtl/>
        </w:rPr>
        <w:t>:</w:t>
      </w:r>
      <w:r w:rsidR="00777DCB" w:rsidRPr="00A52585">
        <w:rPr>
          <w:rFonts w:hint="cs"/>
          <w:rtl/>
        </w:rPr>
        <w:t xml:space="preserve"> كلام الله حقيقة وأن الله تكلم بالقرآن العربي الذي سمعه الصحابة</w:t>
      </w:r>
      <w:r w:rsidRPr="00A52585">
        <w:rPr>
          <w:rFonts w:hint="cs"/>
          <w:rtl/>
        </w:rPr>
        <w:t>)</w:t>
      </w:r>
      <w:r w:rsidR="00DB731D" w:rsidRPr="00A52585">
        <w:rPr>
          <w:rFonts w:hint="cs"/>
          <w:rtl/>
        </w:rPr>
        <w:t>،</w:t>
      </w:r>
      <w:r w:rsidR="00777DCB" w:rsidRPr="00A52585">
        <w:rPr>
          <w:rFonts w:hint="cs"/>
          <w:rtl/>
        </w:rPr>
        <w:t xml:space="preserve"> مراده بذلك أن كلام الله حرف وصوت وهذا الجاهل لا يفرق بين كلام الله واللفظ الدال عليه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بين الكلام اللفظي والكلام النفسي، وفي أوائل تفسير </w:t>
      </w:r>
      <w:r w:rsidR="00777DCB" w:rsidRPr="00A52585">
        <w:rPr>
          <w:rFonts w:hint="cs"/>
          <w:sz w:val="24"/>
          <w:szCs w:val="24"/>
          <w:rtl/>
        </w:rPr>
        <w:lastRenderedPageBreak/>
        <w:t>(روح المعاني) بسط لطيف في الكلام النفسي بحيث لا يدع شكاَ لمرتاب</w:t>
      </w:r>
      <w:r w:rsidR="00DB731D" w:rsidRPr="00A52585">
        <w:rPr>
          <w:rFonts w:hint="cs"/>
          <w:sz w:val="24"/>
          <w:szCs w:val="24"/>
          <w:rtl/>
        </w:rPr>
        <w:t>،</w:t>
      </w:r>
      <w:r w:rsidR="00777DCB" w:rsidRPr="00A52585">
        <w:rPr>
          <w:rFonts w:hint="cs"/>
          <w:sz w:val="24"/>
          <w:szCs w:val="24"/>
          <w:rtl/>
        </w:rPr>
        <w:t xml:space="preserve"> وبعد أن انتهى الألوسي فيه من الكلام في الكلام النفسي قال</w:t>
      </w:r>
      <w:r w:rsidRPr="00A52585">
        <w:rPr>
          <w:rFonts w:hint="cs"/>
          <w:sz w:val="24"/>
          <w:szCs w:val="24"/>
          <w:rtl/>
        </w:rPr>
        <w:t>:</w:t>
      </w:r>
      <w:r w:rsidR="00777DCB" w:rsidRPr="00A52585">
        <w:rPr>
          <w:rFonts w:hint="cs"/>
          <w:sz w:val="24"/>
          <w:szCs w:val="24"/>
          <w:rtl/>
        </w:rPr>
        <w:t xml:space="preserve"> ومن أحاط بذلك اندفع عنه إشكال في هذا الباب، ورأى أن تشنيع ابن تيمية وابن القيم وابن قدامة –الموفق -</w:t>
      </w:r>
      <w:r w:rsidRPr="00A52585">
        <w:rPr>
          <w:rFonts w:hint="cs"/>
          <w:sz w:val="24"/>
          <w:szCs w:val="24"/>
          <w:rtl/>
        </w:rPr>
        <w:t xml:space="preserve"> </w:t>
      </w:r>
      <w:r w:rsidR="00777DCB" w:rsidRPr="00A52585">
        <w:rPr>
          <w:rFonts w:hint="cs"/>
          <w:sz w:val="24"/>
          <w:szCs w:val="24"/>
          <w:rtl/>
        </w:rPr>
        <w:t xml:space="preserve">وابن قاضي الجبل </w:t>
      </w:r>
      <w:proofErr w:type="spellStart"/>
      <w:r w:rsidR="00777DCB" w:rsidRPr="00A52585">
        <w:rPr>
          <w:rFonts w:hint="cs"/>
          <w:sz w:val="24"/>
          <w:szCs w:val="24"/>
          <w:rtl/>
        </w:rPr>
        <w:t>والطوفي</w:t>
      </w:r>
      <w:proofErr w:type="spellEnd"/>
      <w:r w:rsidRPr="00A52585">
        <w:rPr>
          <w:rFonts w:hint="cs"/>
          <w:sz w:val="24"/>
          <w:szCs w:val="24"/>
          <w:rtl/>
        </w:rPr>
        <w:t xml:space="preserve"> </w:t>
      </w:r>
      <w:r w:rsidR="00777DCB" w:rsidRPr="00A52585">
        <w:rPr>
          <w:rFonts w:hint="cs"/>
          <w:sz w:val="24"/>
          <w:szCs w:val="24"/>
          <w:rtl/>
        </w:rPr>
        <w:t>- سليمان بن عبد القوي -</w:t>
      </w:r>
      <w:r w:rsidRPr="00A52585">
        <w:rPr>
          <w:rFonts w:hint="cs"/>
          <w:sz w:val="24"/>
          <w:szCs w:val="24"/>
          <w:rtl/>
        </w:rPr>
        <w:t xml:space="preserve"> </w:t>
      </w:r>
      <w:r w:rsidR="00777DCB" w:rsidRPr="00A52585">
        <w:rPr>
          <w:rFonts w:hint="cs"/>
          <w:sz w:val="24"/>
          <w:szCs w:val="24"/>
          <w:rtl/>
        </w:rPr>
        <w:t>وأبي نصر –</w:t>
      </w:r>
      <w:proofErr w:type="spellStart"/>
      <w:r w:rsidR="00777DCB" w:rsidRPr="00A52585">
        <w:rPr>
          <w:rFonts w:hint="cs"/>
          <w:sz w:val="24"/>
          <w:szCs w:val="24"/>
          <w:rtl/>
        </w:rPr>
        <w:t>السجزي</w:t>
      </w:r>
      <w:proofErr w:type="spellEnd"/>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وأمثالهم صرير باب أو طنين ذباب.. وقد انحرفت أفكارهم واختلطت أنظارهم فوقعوا في علماء الأمة وأكابر الأئمة، وبالغوا في التعنيف والتشنيع وتجاوزوا في التسخيف </w:t>
      </w:r>
      <w:proofErr w:type="spellStart"/>
      <w:r w:rsidR="00777DCB" w:rsidRPr="00A52585">
        <w:rPr>
          <w:rFonts w:hint="cs"/>
          <w:sz w:val="24"/>
          <w:szCs w:val="24"/>
          <w:rtl/>
        </w:rPr>
        <w:t>والتفظيع</w:t>
      </w:r>
      <w:proofErr w:type="spellEnd"/>
      <w:r w:rsidR="00777DCB" w:rsidRPr="00A52585">
        <w:rPr>
          <w:rFonts w:hint="cs"/>
          <w:sz w:val="24"/>
          <w:szCs w:val="24"/>
          <w:rtl/>
        </w:rPr>
        <w:t xml:space="preserve">, ولولا الخروج عن الصدد </w:t>
      </w:r>
      <w:proofErr w:type="spellStart"/>
      <w:r w:rsidR="00777DCB" w:rsidRPr="00A52585">
        <w:rPr>
          <w:rFonts w:hint="cs"/>
          <w:sz w:val="24"/>
          <w:szCs w:val="24"/>
          <w:rtl/>
        </w:rPr>
        <w:t>لوفيتهم</w:t>
      </w:r>
      <w:proofErr w:type="spellEnd"/>
      <w:r w:rsidR="00777DCB" w:rsidRPr="00A52585">
        <w:rPr>
          <w:rFonts w:hint="cs"/>
          <w:sz w:val="24"/>
          <w:szCs w:val="24"/>
          <w:rtl/>
        </w:rPr>
        <w:t xml:space="preserve"> الكيل صاعاًَ بصاع، </w:t>
      </w:r>
      <w:proofErr w:type="spellStart"/>
      <w:r w:rsidR="00777DCB" w:rsidRPr="00A52585">
        <w:rPr>
          <w:rFonts w:hint="cs"/>
          <w:sz w:val="24"/>
          <w:szCs w:val="24"/>
          <w:rtl/>
        </w:rPr>
        <w:t>ولتقدمت</w:t>
      </w:r>
      <w:proofErr w:type="spellEnd"/>
      <w:r w:rsidR="00777DCB" w:rsidRPr="00A52585">
        <w:rPr>
          <w:rFonts w:hint="cs"/>
          <w:sz w:val="24"/>
          <w:szCs w:val="24"/>
          <w:rtl/>
        </w:rPr>
        <w:t xml:space="preserve"> إليهم بما قدموا باعاً بباع، ولعلمتهم كيف يكون الهجاء بحروف الهجاء، ولعرفتهم إلام ينتهي المراء بلا مراء</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ولي فرس للحلم بالحلم ملجـم</w:t>
      </w:r>
      <w:r w:rsidRPr="00A52585">
        <w:rPr>
          <w:rFonts w:hint="cs"/>
          <w:sz w:val="24"/>
          <w:szCs w:val="24"/>
          <w:rtl/>
        </w:rPr>
        <w:t xml:space="preserve"> </w:t>
      </w:r>
      <w:r w:rsidR="00777DCB" w:rsidRPr="00A52585">
        <w:rPr>
          <w:rFonts w:hint="cs"/>
          <w:sz w:val="24"/>
          <w:szCs w:val="24"/>
          <w:rtl/>
        </w:rPr>
        <w:t>ولي فرس للجهل بالجهل مسرج</w:t>
      </w:r>
      <w:r w:rsidR="00DB731D" w:rsidRPr="00A52585">
        <w:rPr>
          <w:rFonts w:hint="cs"/>
          <w:sz w:val="24"/>
          <w:szCs w:val="24"/>
          <w:rtl/>
        </w:rPr>
        <w:t>،</w:t>
      </w:r>
      <w:r w:rsidR="00777DCB" w:rsidRPr="00A52585">
        <w:rPr>
          <w:rFonts w:hint="cs"/>
          <w:sz w:val="24"/>
          <w:szCs w:val="24"/>
          <w:rtl/>
        </w:rPr>
        <w:t xml:space="preserve"> فمن رام تقويمـي فإنـي مقوم</w:t>
      </w:r>
      <w:r w:rsidRPr="00A52585">
        <w:rPr>
          <w:rFonts w:hint="cs"/>
          <w:sz w:val="24"/>
          <w:szCs w:val="24"/>
          <w:rtl/>
        </w:rPr>
        <w:t xml:space="preserve"> </w:t>
      </w:r>
      <w:r w:rsidR="00777DCB" w:rsidRPr="00A52585">
        <w:rPr>
          <w:rFonts w:hint="cs"/>
          <w:sz w:val="24"/>
          <w:szCs w:val="24"/>
          <w:rtl/>
        </w:rPr>
        <w:t>ومن رام تعويجي فإنـي معـوج</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على أن العفو أقرب للتقوى والإغضاء مبنى الفتوة وعليه الفتوى، والسادة الذين تكلم فيهم هؤلاء إذا مروا باللغو مروا كراماً، وإذا خاطبهم الجاهلون قالوا سلاماً اهـ</w:t>
      </w:r>
      <w:r w:rsidRPr="00A52585">
        <w:rPr>
          <w:rFonts w:hint="cs"/>
          <w:sz w:val="24"/>
          <w:szCs w:val="24"/>
          <w:rtl/>
        </w:rPr>
        <w:t>]</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ومن قال ليس لله في الأرض كلام فقد جحد رسالة محمد صلى الله عليه وسلم</w:t>
      </w:r>
      <w:r w:rsidRPr="00A52585">
        <w:rPr>
          <w:rFonts w:hint="cs"/>
          <w:rtl/>
        </w:rPr>
        <w:t>)</w:t>
      </w:r>
      <w:r w:rsidR="00777DCB" w:rsidRPr="00A52585">
        <w:rPr>
          <w:rFonts w:hint="cs"/>
          <w:rtl/>
        </w:rPr>
        <w:t xml:space="preserve"> هذا الكلام يحتمل وجهين لا نطول بهما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لعله يريد وجود الكلام النفسي ووجود الكلام اللفظي، فنفي وجود الثاني في الأرض نفيٌ لوجود كتاب الله وشرعه في الأرض وهو كفر صراح ولا قائل بذلك من فرق المسلمين</w:t>
      </w:r>
      <w:r w:rsidR="00DB731D" w:rsidRPr="00A52585">
        <w:rPr>
          <w:rFonts w:hint="cs"/>
          <w:sz w:val="24"/>
          <w:szCs w:val="24"/>
          <w:rtl/>
        </w:rPr>
        <w:t>،</w:t>
      </w:r>
      <w:r w:rsidR="00777DCB" w:rsidRPr="00A52585">
        <w:rPr>
          <w:rFonts w:hint="cs"/>
          <w:sz w:val="24"/>
          <w:szCs w:val="24"/>
          <w:rtl/>
        </w:rPr>
        <w:t xml:space="preserve"> وأما زعم وجود الكلام النفسي القائم بالله في الأرض فقولٌ بالحلول كقول النصارى في الكلمة، وقد كفر غير واحد من أئمة السنة السالميةَ على قولهم بأنه تعالى يقرأ على لسان كل قارئ، تعالى الله عما </w:t>
      </w:r>
      <w:proofErr w:type="spellStart"/>
      <w:r w:rsidR="00777DCB" w:rsidRPr="00A52585">
        <w:rPr>
          <w:rFonts w:hint="cs"/>
          <w:sz w:val="24"/>
          <w:szCs w:val="24"/>
          <w:rtl/>
        </w:rPr>
        <w:t>يأفكون</w:t>
      </w:r>
      <w:proofErr w:type="spellEnd"/>
      <w:r w:rsidR="00777DCB" w:rsidRPr="00A52585">
        <w:rPr>
          <w:rFonts w:hint="cs"/>
          <w:sz w:val="24"/>
          <w:szCs w:val="24"/>
          <w:rtl/>
        </w:rPr>
        <w:t>، وقد ذكرنا ما يتعلق بذلك بنوع من البسط فيما علقناه على التبيين وفي (لفت اللحظ إلى ما في الاختلاف في اللفظ)]</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الله فوق سماوته</w:t>
      </w:r>
      <w:r w:rsidRPr="00A52585">
        <w:rPr>
          <w:rFonts w:hint="cs"/>
          <w:rtl/>
        </w:rPr>
        <w:t>)</w:t>
      </w:r>
      <w:r w:rsidR="00777DCB" w:rsidRPr="00A52585">
        <w:rPr>
          <w:rFonts w:hint="cs"/>
          <w:rtl/>
        </w:rPr>
        <w:t xml:space="preserve"> نقول له</w:t>
      </w:r>
      <w:r w:rsidRPr="00A52585">
        <w:rPr>
          <w:rFonts w:hint="cs"/>
          <w:rtl/>
        </w:rPr>
        <w:t>:</w:t>
      </w:r>
      <w:r w:rsidR="00777DCB" w:rsidRPr="00A52585">
        <w:rPr>
          <w:rFonts w:hint="cs"/>
          <w:rtl/>
        </w:rPr>
        <w:t xml:space="preserve"> أين قال الله أو رسوله إنه فوق </w:t>
      </w:r>
      <w:proofErr w:type="spellStart"/>
      <w:r w:rsidR="00777DCB" w:rsidRPr="00A52585">
        <w:rPr>
          <w:rFonts w:hint="cs"/>
          <w:rtl/>
        </w:rPr>
        <w:t>سمواته</w:t>
      </w:r>
      <w:proofErr w:type="spellEnd"/>
      <w:r w:rsidR="00F95886" w:rsidRPr="00A52585">
        <w:rPr>
          <w:rFonts w:hint="cs"/>
          <w:rtl/>
        </w:rPr>
        <w:t>؟</w:t>
      </w:r>
      <w:r w:rsidR="00777DCB" w:rsidRPr="00A52585">
        <w:rPr>
          <w:rFonts w:hint="cs"/>
          <w:rtl/>
        </w:rPr>
        <w:t xml:space="preserve"> وأنت قلت في صدر كلامك </w:t>
      </w:r>
      <w:r w:rsidRPr="00A52585">
        <w:rPr>
          <w:rFonts w:hint="cs"/>
          <w:rtl/>
        </w:rPr>
        <w:t>(</w:t>
      </w:r>
      <w:r w:rsidR="00777DCB" w:rsidRPr="00A52585">
        <w:rPr>
          <w:rFonts w:hint="cs"/>
          <w:rtl/>
        </w:rPr>
        <w:t>نقول ما قاله ربنا</w:t>
      </w:r>
      <w:r w:rsidRPr="00A52585">
        <w:rPr>
          <w:rFonts w:hint="cs"/>
          <w:rtl/>
        </w:rPr>
        <w:t>)</w:t>
      </w:r>
      <w:r w:rsidR="00777DCB" w:rsidRPr="00A52585">
        <w:rPr>
          <w:rFonts w:hint="cs"/>
          <w:rtl/>
        </w:rPr>
        <w:t xml:space="preserve"> وأين قال ربنا</w:t>
      </w:r>
      <w:r w:rsidRPr="00A52585">
        <w:rPr>
          <w:rFonts w:hint="cs"/>
          <w:rtl/>
        </w:rPr>
        <w:t>:</w:t>
      </w:r>
      <w:r w:rsidR="00777DCB" w:rsidRPr="00A52585">
        <w:rPr>
          <w:rFonts w:hint="cs"/>
          <w:rtl/>
        </w:rPr>
        <w:t xml:space="preserve"> إنه بائن من خلقه , ليس في مخلوقاته شيء من ذاته ولا في ذاته شيء من مخلوقاته</w:t>
      </w:r>
      <w:r w:rsidR="00DB731D" w:rsidRPr="00A52585">
        <w:rPr>
          <w:rFonts w:hint="cs"/>
          <w:rtl/>
        </w:rPr>
        <w:t>،</w:t>
      </w:r>
      <w:r w:rsidR="00777DCB" w:rsidRPr="00A52585">
        <w:rPr>
          <w:rFonts w:hint="cs"/>
          <w:rtl/>
        </w:rPr>
        <w:t xml:space="preserve"> فقد نسبت إلى قول الله ما لم يقله</w:t>
      </w:r>
      <w:r w:rsidR="00DB731D" w:rsidRPr="00A52585">
        <w:rPr>
          <w:rFonts w:hint="cs"/>
          <w:rtl/>
        </w:rPr>
        <w:t>،</w:t>
      </w:r>
      <w:r w:rsidR="00777DCB" w:rsidRPr="00A52585">
        <w:rPr>
          <w:rFonts w:hint="cs"/>
          <w:rtl/>
        </w:rPr>
        <w:t xml:space="preserve"> ومن هو المعطل الذي </w:t>
      </w:r>
      <w:proofErr w:type="spellStart"/>
      <w:r w:rsidR="00777DCB" w:rsidRPr="00A52585">
        <w:rPr>
          <w:rFonts w:hint="cs"/>
          <w:rtl/>
        </w:rPr>
        <w:t>عنيته</w:t>
      </w:r>
      <w:proofErr w:type="spellEnd"/>
      <w:r w:rsidR="00777DCB" w:rsidRPr="00A52585">
        <w:rPr>
          <w:rFonts w:hint="cs"/>
          <w:rtl/>
        </w:rPr>
        <w:t xml:space="preserve"> فإنا لا نعرف اليوم أحداً معطلا يتظاهر بين المسلمين بل ولا </w:t>
      </w:r>
      <w:proofErr w:type="spellStart"/>
      <w:r w:rsidR="00777DCB" w:rsidRPr="00A52585">
        <w:rPr>
          <w:rFonts w:hint="cs"/>
          <w:rtl/>
        </w:rPr>
        <w:t>معتزليا</w:t>
      </w:r>
      <w:proofErr w:type="spellEnd"/>
      <w:r w:rsidR="00777DCB" w:rsidRPr="00A52585">
        <w:rPr>
          <w:rFonts w:hint="cs"/>
          <w:rtl/>
        </w:rPr>
        <w:t xml:space="preserve"> ولا فيلسوفا يتظاهر بقول الفلاسفة</w:t>
      </w:r>
      <w:r w:rsidR="00777DCB" w:rsidRPr="00A52585">
        <w:rPr>
          <w:rFonts w:hint="cs"/>
          <w:vertAlign w:val="superscript"/>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بالنظر إلى عهد المؤلف، فإن العلماء كانوا قائمين بواجبهم إذ ذاك يوقفون المبتدعة الذين يحاولون الاعتداء على حريم قدس الدين عند حدِّهم، وما أُلف في الرد على هذا الزائغ وشيخه من الكتب في ذلك العصر يعد بالعشرات فضلاً عن باقي أهل الضلالة</w:t>
      </w:r>
      <w:r w:rsidR="00DB731D" w:rsidRPr="00A52585">
        <w:rPr>
          <w:rFonts w:hint="cs"/>
          <w:sz w:val="24"/>
          <w:szCs w:val="24"/>
          <w:rtl/>
        </w:rPr>
        <w:t>،</w:t>
      </w:r>
      <w:r w:rsidR="00777DCB" w:rsidRPr="00A52585">
        <w:rPr>
          <w:rFonts w:hint="cs"/>
          <w:sz w:val="24"/>
          <w:szCs w:val="24"/>
          <w:rtl/>
        </w:rPr>
        <w:t xml:space="preserve"> وأما اليوم فقلما تجد بين العلماء من يسهر على السنة النقية البيضاء والدين الحنيف، فاتسع المجال لتمويه الضلال، وأدعو الله سبحانه أن يوقظ أهل الشأن من سباتهم العميق ويرشدهم إلى حراسة الشرع من اعتداء المعتدين]</w:t>
      </w:r>
      <w:r w:rsidR="00777DCB" w:rsidRPr="00A52585">
        <w:rPr>
          <w:rFonts w:hint="cs"/>
          <w:rtl/>
        </w:rPr>
        <w:t xml:space="preserve"> فلعلك عنيت الأشعرية فإنهم القائمون اليوم من أكثر المذاهب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مما اختص به ناظم القصيدة من بين دعاة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تصوير مناظرات في مسائل يدس في غضون كلام الطرفين ما يشاء من وسائل استدراج الضعفاء إلى ضلاله</w:t>
      </w:r>
      <w:r w:rsidR="00DB731D" w:rsidRPr="00A52585">
        <w:rPr>
          <w:rFonts w:hint="cs"/>
          <w:sz w:val="24"/>
          <w:szCs w:val="24"/>
          <w:rtl/>
        </w:rPr>
        <w:t>،</w:t>
      </w:r>
      <w:r w:rsidR="00777DCB" w:rsidRPr="00A52585">
        <w:rPr>
          <w:rFonts w:hint="cs"/>
          <w:sz w:val="24"/>
          <w:szCs w:val="24"/>
          <w:rtl/>
        </w:rPr>
        <w:t xml:space="preserve"> وهذه طريقة الأقدمين من أعداء الدين بعثها من مرقدها هذا الناظم ليصل إلى إضلالهم بطريقة روائية خيالية، فمن مشى على الاستسلام له فيما يراه من مناظراته الخيالية في هذا الكتاب وفي شفاء العليل وأعلام الموقعين ونحوها فإنه معرض للانحلال، وسنكشف الستار عن وجوه تضليله وتدجيله بحول الله وتوفيقه]</w:t>
      </w:r>
      <w:r w:rsidR="00DB731D" w:rsidRPr="00A52585">
        <w:rPr>
          <w:rFonts w:hint="cs"/>
          <w:rtl/>
        </w:rPr>
        <w:t>،</w:t>
      </w:r>
      <w:r w:rsidR="00777DCB" w:rsidRPr="00A52585">
        <w:rPr>
          <w:rFonts w:hint="cs"/>
          <w:rtl/>
        </w:rPr>
        <w:t xml:space="preserve"> ثم قال: </w:t>
      </w:r>
      <w:r w:rsidRPr="00A52585">
        <w:rPr>
          <w:rFonts w:hint="cs"/>
          <w:rtl/>
        </w:rPr>
        <w:t>(</w:t>
      </w:r>
      <w:r w:rsidR="00777DCB" w:rsidRPr="00A52585">
        <w:rPr>
          <w:rFonts w:hint="cs"/>
          <w:rtl/>
        </w:rPr>
        <w:t xml:space="preserve">فلما سمع المعطل منه ذلك أمسك ثم أسرها في نفسه وخلا بشياطينه وبنى جنسه وأوحى بعضهم إلى </w:t>
      </w:r>
      <w:r w:rsidR="00777DCB" w:rsidRPr="00A52585">
        <w:rPr>
          <w:rFonts w:hint="cs"/>
          <w:rtl/>
        </w:rPr>
        <w:lastRenderedPageBreak/>
        <w:t xml:space="preserve">بعض أصناف المكر والاحتيال وراموا أمراً يستحمدون به إلى نظرائهم من أهل البدع والضلال وعقدوا مجلساً بيتوا فيه ما لا </w:t>
      </w:r>
      <w:proofErr w:type="spellStart"/>
      <w:r w:rsidR="00777DCB" w:rsidRPr="00A52585">
        <w:rPr>
          <w:rFonts w:hint="cs"/>
          <w:rtl/>
        </w:rPr>
        <w:t>يرضاه</w:t>
      </w:r>
      <w:proofErr w:type="spellEnd"/>
      <w:r w:rsidR="00777DCB" w:rsidRPr="00A52585">
        <w:rPr>
          <w:rFonts w:hint="cs"/>
          <w:rtl/>
        </w:rPr>
        <w:t xml:space="preserve"> الله من القول وراموا استدعاء المثبت ليجعلوا نـزله ما لفقوه من الكذب وتمموه فلم يتجاسروا وخذلهم المطاع فمزق ما كتبوه من المحاضر</w:t>
      </w:r>
      <w:r w:rsidR="00DB731D" w:rsidRPr="00A52585">
        <w:rPr>
          <w:rFonts w:hint="cs"/>
          <w:rtl/>
        </w:rPr>
        <w:t>،</w:t>
      </w:r>
      <w:r w:rsidR="00777DCB" w:rsidRPr="00A52585">
        <w:rPr>
          <w:rFonts w:hint="cs"/>
          <w:rtl/>
        </w:rPr>
        <w:t xml:space="preserve"> فسعى في عقد مجلس عند السلطان فلم يذعنوا فطالبهم بإحدى ثلاث</w:t>
      </w:r>
      <w:r w:rsidRPr="00A52585">
        <w:rPr>
          <w:rFonts w:hint="cs"/>
          <w:rtl/>
        </w:rPr>
        <w:t>:</w:t>
      </w:r>
      <w:r w:rsidR="00777DCB" w:rsidRPr="00A52585">
        <w:rPr>
          <w:rFonts w:hint="cs"/>
          <w:rtl/>
        </w:rPr>
        <w:t xml:space="preserve"> مناظرة فأبوا</w:t>
      </w:r>
      <w:r w:rsidR="00DB731D" w:rsidRPr="00A52585">
        <w:rPr>
          <w:rFonts w:hint="cs"/>
          <w:rtl/>
        </w:rPr>
        <w:t>،</w:t>
      </w:r>
      <w:r w:rsidR="00777DCB" w:rsidRPr="00A52585">
        <w:rPr>
          <w:rFonts w:hint="cs"/>
          <w:rtl/>
        </w:rPr>
        <w:t xml:space="preserve"> فدعاهم إلى مكاتبة فأبوا</w:t>
      </w:r>
      <w:r w:rsidR="00DB731D" w:rsidRPr="00A52585">
        <w:rPr>
          <w:rFonts w:hint="cs"/>
          <w:rtl/>
        </w:rPr>
        <w:t>،</w:t>
      </w:r>
      <w:r w:rsidR="00777DCB" w:rsidRPr="00A52585">
        <w:rPr>
          <w:rFonts w:hint="cs"/>
          <w:rtl/>
        </w:rPr>
        <w:t xml:space="preserve"> فدعاهم إلى المباهلة بين الركن والمقام فلم يجيبوا فحينئذ عقد المثبت لله مجلساً بينه وبين خصمه وما كان أهل التعطيل أولياءه إن أولياؤه إلا المتقون</w:t>
      </w:r>
      <w:r w:rsidRPr="00A52585">
        <w:rPr>
          <w:rFonts w:hint="cs"/>
          <w:rtl/>
        </w:rPr>
        <w:t>)</w:t>
      </w:r>
      <w:r w:rsidR="00DB731D" w:rsidRPr="00A52585">
        <w:rPr>
          <w:rFonts w:hint="cs"/>
          <w:rtl/>
        </w:rPr>
        <w:t>،</w:t>
      </w:r>
      <w:r w:rsidR="00777DCB" w:rsidRPr="00A52585">
        <w:rPr>
          <w:rFonts w:hint="cs"/>
          <w:rtl/>
        </w:rPr>
        <w:t xml:space="preserve"> هذا كله </w:t>
      </w:r>
      <w:proofErr w:type="spellStart"/>
      <w:r w:rsidR="00777DCB" w:rsidRPr="00A52585">
        <w:rPr>
          <w:rFonts w:hint="cs"/>
          <w:rtl/>
        </w:rPr>
        <w:t>مقصوده</w:t>
      </w:r>
      <w:proofErr w:type="spellEnd"/>
      <w:r w:rsidR="00777DCB" w:rsidRPr="00A52585">
        <w:rPr>
          <w:rFonts w:hint="cs"/>
          <w:rtl/>
        </w:rPr>
        <w:t xml:space="preserve"> به والله أعلم طوائف الأشعرية الشافعية والمالكية والحنفية الذين كانوا مقاومين لابن تيمية فهم الذين يسميهم المعطلة</w:t>
      </w:r>
      <w:r w:rsidR="00DB731D" w:rsidRPr="00A52585">
        <w:rPr>
          <w:rFonts w:hint="cs"/>
          <w:rtl/>
        </w:rPr>
        <w:t>،</w:t>
      </w:r>
      <w:r w:rsidR="00777DCB" w:rsidRPr="00A52585">
        <w:rPr>
          <w:rFonts w:hint="cs"/>
          <w:rtl/>
        </w:rPr>
        <w:t xml:space="preserve"> وكان مراده بالمثبت ابن تيمية , والعاقد للمجلس فيما بينه وبين خصمه إما ابن تيمية وإما هذا النحس المتشبع بما لم يعط</w:t>
      </w:r>
      <w:r w:rsidR="00DB731D" w:rsidRPr="00A52585">
        <w:rPr>
          <w:rFonts w:hint="cs"/>
          <w:rtl/>
        </w:rPr>
        <w:t>،</w:t>
      </w:r>
      <w:r w:rsidR="00777DCB" w:rsidRPr="00A52585">
        <w:rPr>
          <w:rFonts w:hint="cs"/>
          <w:rtl/>
        </w:rPr>
        <w:t xml:space="preserve"> </w:t>
      </w:r>
    </w:p>
    <w:p w14:paraId="619C1E51" w14:textId="4ACA5786"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أمثال مضروبة للمعطل والمشبه والموحد</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وهذه أمثال حسان مضروبة للمعطل والمشبه والموحد</w:t>
      </w:r>
      <w:r w:rsidRPr="00A52585">
        <w:rPr>
          <w:rFonts w:hint="cs"/>
          <w:rtl/>
        </w:rPr>
        <w:t>)</w:t>
      </w:r>
      <w:r w:rsidR="00DB731D" w:rsidRPr="00A52585">
        <w:rPr>
          <w:rFonts w:hint="cs"/>
          <w:rtl/>
        </w:rPr>
        <w:t>،</w:t>
      </w:r>
      <w:r w:rsidR="00777DCB" w:rsidRPr="00A52585">
        <w:rPr>
          <w:rFonts w:hint="cs"/>
          <w:rtl/>
        </w:rPr>
        <w:t xml:space="preserve"> مقصودة بالمعطل الجماعة الأشعرية</w:t>
      </w:r>
      <w:r w:rsidR="00DB731D" w:rsidRPr="00A52585">
        <w:rPr>
          <w:rFonts w:hint="cs"/>
          <w:rtl/>
        </w:rPr>
        <w:t>،</w:t>
      </w:r>
      <w:r w:rsidR="00777DCB" w:rsidRPr="00A52585">
        <w:rPr>
          <w:rFonts w:hint="cs"/>
          <w:rtl/>
        </w:rPr>
        <w:t xml:space="preserve"> وبالموحد نفسه وطائفته</w:t>
      </w:r>
      <w:r w:rsidR="00DB731D" w:rsidRPr="00A52585">
        <w:rPr>
          <w:rFonts w:hint="cs"/>
          <w:rtl/>
        </w:rPr>
        <w:t>،</w:t>
      </w:r>
      <w:r w:rsidR="00777DCB" w:rsidRPr="00A52585">
        <w:rPr>
          <w:rFonts w:hint="cs"/>
          <w:rtl/>
        </w:rPr>
        <w:t xml:space="preserve"> والمشبه لا وجود له عنده. ومقصود غرمائه بالمشبه هو وطائفته وبالموحد أنفسهم</w:t>
      </w:r>
      <w:r w:rsidR="00DB731D" w:rsidRPr="00A52585">
        <w:rPr>
          <w:rFonts w:hint="cs"/>
          <w:rtl/>
        </w:rPr>
        <w:t>،</w:t>
      </w:r>
      <w:r w:rsidR="00777DCB" w:rsidRPr="00A52585">
        <w:rPr>
          <w:rFonts w:hint="cs"/>
          <w:rtl/>
        </w:rPr>
        <w:t xml:space="preserve"> والمعطل لا وجود له الآن عندهم</w:t>
      </w:r>
      <w:r w:rsidR="00DB731D" w:rsidRPr="00A52585">
        <w:rPr>
          <w:rFonts w:hint="cs"/>
          <w:rtl/>
        </w:rPr>
        <w:t>،</w:t>
      </w:r>
      <w:r w:rsidR="00777DCB" w:rsidRPr="00A52585">
        <w:rPr>
          <w:rFonts w:hint="cs"/>
          <w:rtl/>
        </w:rPr>
        <w:t xml:space="preserve"> لأن المعطل هو المنكر للصانع</w:t>
      </w:r>
      <w:r w:rsidR="00DB731D" w:rsidRPr="00A52585">
        <w:rPr>
          <w:rFonts w:hint="cs"/>
          <w:rtl/>
        </w:rPr>
        <w:t>،</w:t>
      </w:r>
      <w:r w:rsidR="00777DCB" w:rsidRPr="00A52585">
        <w:rPr>
          <w:rFonts w:hint="cs"/>
          <w:rtl/>
        </w:rPr>
        <w:t xml:space="preserve"> والمشبه هو الذي شبهه بخلقه وهذا على ظاهره لا يوجد من يقول به لكن بما يلزم عنه</w:t>
      </w:r>
      <w:r w:rsidR="00DB731D" w:rsidRPr="00A52585">
        <w:rPr>
          <w:rFonts w:hint="cs"/>
          <w:rtl/>
        </w:rPr>
        <w:t>،</w:t>
      </w:r>
      <w:r w:rsidR="00777DCB" w:rsidRPr="00A52585">
        <w:rPr>
          <w:rFonts w:hint="cs"/>
          <w:rtl/>
        </w:rPr>
        <w:t xml:space="preserve"> ولا شك أن لزوم التشبيه له أظهر من لزوم التعطيل لغرمائه</w:t>
      </w:r>
      <w:r w:rsidR="00DB731D" w:rsidRPr="00A52585">
        <w:rPr>
          <w:rFonts w:hint="cs"/>
          <w:rtl/>
        </w:rPr>
        <w:t>،</w:t>
      </w:r>
      <w:r w:rsidR="00777DCB" w:rsidRPr="00A52585">
        <w:rPr>
          <w:rFonts w:hint="cs"/>
          <w:rtl/>
        </w:rPr>
        <w:t xml:space="preserve"> وإذا امتحن الإنسان نفسه قطع بأن الأشعري ليس بمعطل وأن هذا النحس مشبه ولا ينجيه إنكاره باللسان وقد اعترف على نفسه بأن من شبه الله بخلقه فقد كفر</w:t>
      </w:r>
      <w:r w:rsidR="00DB731D" w:rsidRPr="00A52585">
        <w:rPr>
          <w:rFonts w:hint="cs"/>
          <w:rtl/>
        </w:rPr>
        <w:t>،</w:t>
      </w:r>
      <w:r w:rsidR="00777DCB" w:rsidRPr="00A52585">
        <w:rPr>
          <w:rFonts w:hint="cs"/>
          <w:rtl/>
        </w:rPr>
        <w:t xml:space="preserve"> واندفع في ضرب الأمثلة بما لا نطول به</w:t>
      </w:r>
      <w:r w:rsidR="00DB731D" w:rsidRPr="00A52585">
        <w:rPr>
          <w:rFonts w:hint="cs"/>
          <w:rtl/>
        </w:rPr>
        <w:t>،</w:t>
      </w:r>
      <w:r w:rsidR="00777DCB" w:rsidRPr="00A52585">
        <w:rPr>
          <w:rFonts w:hint="cs"/>
          <w:rtl/>
        </w:rPr>
        <w:t xml:space="preserve"> </w:t>
      </w:r>
    </w:p>
    <w:p w14:paraId="3D43E969" w14:textId="7CAA3F2C"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من قصيدته النونية</w:t>
      </w:r>
      <w:r w:rsidRPr="00A52585">
        <w:rPr>
          <w:rFonts w:hint="cs"/>
          <w:bCs/>
          <w:rtl/>
        </w:rPr>
        <w:t>]:</w:t>
      </w:r>
      <w:r w:rsidR="00777DCB" w:rsidRPr="00A52585">
        <w:rPr>
          <w:rFonts w:hint="cs"/>
          <w:bCs/>
          <w:rtl/>
        </w:rPr>
        <w:t xml:space="preserve"> </w:t>
      </w:r>
      <w:r w:rsidR="00777DCB" w:rsidRPr="00A52585">
        <w:rPr>
          <w:rFonts w:hint="cs"/>
          <w:rtl/>
        </w:rPr>
        <w:t>قال في قصيدته التي أهدت الجري إليه وفرقت سهام النبال عليه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كنت كاذبة الذي حدثتني</w:t>
      </w:r>
      <w:r w:rsidR="00897A24" w:rsidRPr="00A52585">
        <w:rPr>
          <w:rFonts w:hint="cs"/>
          <w:rtl/>
        </w:rPr>
        <w:t>.</w:t>
      </w:r>
      <w:r w:rsidR="00777DCB" w:rsidRPr="00A52585">
        <w:rPr>
          <w:rFonts w:hint="cs"/>
          <w:rtl/>
        </w:rPr>
        <w:t>.. فعليك إثم الكاذب الفتان</w:t>
      </w:r>
      <w:r w:rsidR="00897A24" w:rsidRPr="00A52585">
        <w:rPr>
          <w:rFonts w:hint="cs"/>
          <w:rtl/>
        </w:rPr>
        <w:t>.</w:t>
      </w:r>
      <w:r w:rsidR="00777DCB" w:rsidRPr="00A52585">
        <w:rPr>
          <w:rFonts w:hint="cs"/>
          <w:rtl/>
        </w:rPr>
        <w:t xml:space="preserve">.. جهم بن صفوان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جهم بن صفوان زائغٌ باتفاق بين أهل السنة والمعتزلة، يقول بنفي الخلود في الجنة وفي النار، وتابعه ناظم القصيدة في شطر هذا المعتقد حيث يقول</w:t>
      </w:r>
      <w:r w:rsidRPr="00A52585">
        <w:rPr>
          <w:rFonts w:hint="cs"/>
          <w:sz w:val="24"/>
          <w:szCs w:val="24"/>
          <w:rtl/>
        </w:rPr>
        <w:t>:</w:t>
      </w:r>
      <w:r w:rsidR="00777DCB" w:rsidRPr="00A52585">
        <w:rPr>
          <w:rFonts w:hint="cs"/>
          <w:sz w:val="24"/>
          <w:szCs w:val="24"/>
          <w:rtl/>
        </w:rPr>
        <w:t xml:space="preserve"> لا خلود للكفار في النار، تبعاً لشيخه وهو كفر جمهور أهل الحق</w:t>
      </w:r>
      <w:r w:rsidR="00DB731D" w:rsidRPr="00A52585">
        <w:rPr>
          <w:rFonts w:hint="cs"/>
          <w:sz w:val="24"/>
          <w:szCs w:val="24"/>
          <w:rtl/>
        </w:rPr>
        <w:t>،</w:t>
      </w:r>
      <w:r w:rsidR="00777DCB" w:rsidRPr="00A52585">
        <w:rPr>
          <w:rFonts w:hint="cs"/>
          <w:sz w:val="24"/>
          <w:szCs w:val="24"/>
          <w:rtl/>
        </w:rPr>
        <w:t xml:space="preserve"> وكان جهم منبوذاً لم يبق بعد قتله من تابعه أصلاً، ومن يقال فيه من المتكلمين إنه]</w:t>
      </w:r>
      <w:r w:rsidR="00DB731D" w:rsidRPr="00A52585">
        <w:rPr>
          <w:rFonts w:hint="cs"/>
          <w:vertAlign w:val="superscript"/>
          <w:rtl/>
        </w:rPr>
        <w:t>،</w:t>
      </w:r>
      <w:r w:rsidR="00777DCB" w:rsidRPr="00A52585">
        <w:rPr>
          <w:rFonts w:hint="cs"/>
          <w:rtl/>
        </w:rPr>
        <w:t xml:space="preserve"> وشيعته الألى</w:t>
      </w:r>
      <w:r w:rsidR="00897A24" w:rsidRPr="00A52585">
        <w:rPr>
          <w:rFonts w:hint="cs"/>
          <w:rtl/>
        </w:rPr>
        <w:t>.</w:t>
      </w:r>
      <w:r w:rsidR="00777DCB" w:rsidRPr="00A52585">
        <w:rPr>
          <w:rFonts w:hint="cs"/>
          <w:rtl/>
        </w:rPr>
        <w:t>.. جحدوا صفات الخالق الديان</w:t>
      </w:r>
      <w:r w:rsidR="00897A24" w:rsidRPr="00A52585">
        <w:rPr>
          <w:rFonts w:hint="cs"/>
          <w:rtl/>
        </w:rPr>
        <w:t>.</w:t>
      </w:r>
      <w:r w:rsidR="00777DCB" w:rsidRPr="00A52585">
        <w:rPr>
          <w:rFonts w:hint="cs"/>
          <w:rtl/>
        </w:rPr>
        <w:t>.. بل عطلوا منه السـماوات العلـى</w:t>
      </w:r>
      <w:r w:rsidR="00897A24" w:rsidRPr="00A52585">
        <w:rPr>
          <w:rFonts w:hint="cs"/>
          <w:rtl/>
        </w:rPr>
        <w:t>.</w:t>
      </w:r>
      <w:r w:rsidR="00777DCB" w:rsidRPr="00A52585">
        <w:rPr>
          <w:rFonts w:hint="cs"/>
          <w:rtl/>
        </w:rPr>
        <w:t>.. والعرش أخلوه مــن الرحمـن</w:t>
      </w:r>
      <w:r w:rsidRPr="00A52585">
        <w:rPr>
          <w:rFonts w:hint="cs"/>
          <w:rtl/>
        </w:rPr>
        <w:t>)</w:t>
      </w:r>
      <w:r w:rsidR="00DB731D" w:rsidRPr="00A52585">
        <w:rPr>
          <w:rFonts w:hint="cs"/>
          <w:rtl/>
        </w:rPr>
        <w:t>،</w:t>
      </w:r>
      <w:r w:rsidR="00777DCB" w:rsidRPr="00A52585">
        <w:rPr>
          <w:rFonts w:hint="cs"/>
          <w:rtl/>
        </w:rPr>
        <w:t xml:space="preserve"> أما جهم فمضى من سنين كثيرة ولا يعرف اليوم أحد على مذهبه فعلم أن مراد هذا الناظم بالجهمية الأشعرية من الشافعية والمالكية والحنفية وفضلاء الحنابلة , فليعلم اصطلاحه وكل ما ينسبه إلى الجهمية فمراده بها هؤلاء</w:t>
      </w:r>
      <w:r w:rsidR="00DB731D" w:rsidRPr="00A52585">
        <w:rPr>
          <w:rFonts w:hint="cs"/>
          <w:rtl/>
        </w:rPr>
        <w:t>،</w:t>
      </w:r>
      <w:r w:rsidR="00777DCB" w:rsidRPr="00A52585">
        <w:rPr>
          <w:rFonts w:hint="cs"/>
          <w:rtl/>
        </w:rPr>
        <w:t xml:space="preserve"> والمعتزلة يشاركون الأشعرية في ذلك , لكن ما منهم أحد موجود في هذه البلاد وإن كان موجوداً فلا ظهور له</w:t>
      </w:r>
      <w:r w:rsidR="00DB731D" w:rsidRPr="00A52585">
        <w:rPr>
          <w:rFonts w:hint="cs"/>
          <w:rtl/>
        </w:rPr>
        <w:t>،</w:t>
      </w:r>
      <w:r w:rsidR="00777DCB" w:rsidRPr="00A52585">
        <w:rPr>
          <w:rFonts w:hint="cs"/>
          <w:rtl/>
        </w:rPr>
        <w:t xml:space="preserve"> فكل ما قال هذا الناظم عن جهم في هذه القصيدة فمراده</w:t>
      </w:r>
      <w:r w:rsidR="00DB731D" w:rsidRPr="00A52585">
        <w:rPr>
          <w:rFonts w:hint="cs"/>
          <w:rtl/>
        </w:rPr>
        <w:t>،</w:t>
      </w:r>
      <w:r w:rsidR="00777DCB" w:rsidRPr="00A52585">
        <w:rPr>
          <w:rFonts w:hint="cs"/>
          <w:rtl/>
        </w:rPr>
        <w:t xml:space="preserve"> الذي مذهبه مذهب الأشعري</w:t>
      </w:r>
      <w:r w:rsidR="00DB731D" w:rsidRPr="00A52585">
        <w:rPr>
          <w:rFonts w:hint="cs"/>
          <w:rtl/>
        </w:rPr>
        <w:t>،</w:t>
      </w:r>
      <w:r w:rsidR="00777DCB" w:rsidRPr="00A52585">
        <w:rPr>
          <w:rFonts w:hint="cs"/>
          <w:rtl/>
        </w:rPr>
        <w:t xml:space="preserve"> </w:t>
      </w:r>
    </w:p>
    <w:p w14:paraId="715E2EC4" w14:textId="6E9A1F0B" w:rsidR="00777DCB" w:rsidRPr="00A52585" w:rsidRDefault="0002035C" w:rsidP="0002035C">
      <w:pPr>
        <w:spacing w:after="240"/>
        <w:rPr>
          <w:b/>
          <w:rtl/>
        </w:rPr>
      </w:pPr>
      <w:r w:rsidRPr="00A52585">
        <w:rPr>
          <w:rFonts w:hint="cs"/>
          <w:bCs/>
          <w:rtl/>
        </w:rPr>
        <w:lastRenderedPageBreak/>
        <w:t>[</w:t>
      </w:r>
      <w:r w:rsidR="00777DCB" w:rsidRPr="00A52585">
        <w:rPr>
          <w:rFonts w:hint="cs"/>
          <w:bCs/>
          <w:rtl/>
        </w:rPr>
        <w:t>فصل</w:t>
      </w:r>
      <w:r w:rsidRPr="00A52585">
        <w:rPr>
          <w:rFonts w:hint="cs"/>
          <w:bCs/>
          <w:rtl/>
        </w:rPr>
        <w:t>:</w:t>
      </w:r>
      <w:r w:rsidR="00777DCB" w:rsidRPr="00A52585">
        <w:rPr>
          <w:rFonts w:hint="cs"/>
          <w:bCs/>
          <w:rtl/>
        </w:rPr>
        <w:t xml:space="preserve"> تخيل الناظم في أفعال العباد.. الخ</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والعبد عندهم فليس بفاعل</w:t>
      </w:r>
      <w:r w:rsidR="00897A24" w:rsidRPr="00A52585">
        <w:rPr>
          <w:rFonts w:hint="cs"/>
          <w:rtl/>
        </w:rPr>
        <w:t>.</w:t>
      </w:r>
      <w:r w:rsidR="00777DCB" w:rsidRPr="00A52585">
        <w:rPr>
          <w:rFonts w:hint="cs"/>
          <w:rtl/>
        </w:rPr>
        <w:t>.. بل فعـله كتحـرك الرجفان</w:t>
      </w:r>
      <w:r w:rsidRPr="00A52585">
        <w:rPr>
          <w:rFonts w:hint="cs"/>
          <w:rtl/>
        </w:rPr>
        <w:t>)</w:t>
      </w:r>
      <w:r w:rsidR="00DB731D" w:rsidRPr="00A52585">
        <w:rPr>
          <w:rFonts w:hint="cs"/>
          <w:rtl/>
        </w:rPr>
        <w:t>،</w:t>
      </w:r>
      <w:r w:rsidR="00777DCB" w:rsidRPr="00A52585">
        <w:rPr>
          <w:rFonts w:hint="cs"/>
          <w:rtl/>
        </w:rPr>
        <w:t xml:space="preserve"> كذب هذا الجاهل في قوله</w:t>
      </w:r>
      <w:r w:rsidRPr="00A52585">
        <w:rPr>
          <w:rFonts w:hint="cs"/>
          <w:rtl/>
        </w:rPr>
        <w:t>:</w:t>
      </w:r>
      <w:r w:rsidR="00777DCB" w:rsidRPr="00A52585">
        <w:rPr>
          <w:rFonts w:hint="cs"/>
          <w:rtl/>
        </w:rPr>
        <w:t xml:space="preserve"> إن العبد عندهم ليس بفاعل. ولكن مراده بذلك قولهم</w:t>
      </w:r>
      <w:r w:rsidRPr="00A52585">
        <w:rPr>
          <w:rFonts w:hint="cs"/>
          <w:rtl/>
        </w:rPr>
        <w:t>:</w:t>
      </w:r>
      <w:r w:rsidR="00777DCB" w:rsidRPr="00A52585">
        <w:rPr>
          <w:rFonts w:hint="cs"/>
          <w:rtl/>
        </w:rPr>
        <w:t xml:space="preserve"> إنه لا يخلق فعله</w:t>
      </w:r>
      <w:r w:rsidR="00DB731D" w:rsidRPr="00A52585">
        <w:rPr>
          <w:rFonts w:hint="cs"/>
          <w:rtl/>
        </w:rPr>
        <w:t>،</w:t>
      </w:r>
      <w:r w:rsidR="00777DCB" w:rsidRPr="00A52585">
        <w:rPr>
          <w:rFonts w:hint="cs"/>
          <w:rtl/>
        </w:rPr>
        <w:t xml:space="preserve"> وليس بخالق والله سبحانه هو خالق أفعال العباد</w:t>
      </w:r>
      <w:r w:rsidR="00DB731D" w:rsidRPr="00A52585">
        <w:rPr>
          <w:rFonts w:hint="cs"/>
          <w:rtl/>
        </w:rPr>
        <w:t>،</w:t>
      </w:r>
      <w:r w:rsidR="00777DCB" w:rsidRPr="00A52585">
        <w:rPr>
          <w:rFonts w:hint="cs"/>
          <w:rtl/>
        </w:rPr>
        <w:t xml:space="preserve"> فاعتقد هذا الجاهل</w:t>
      </w:r>
      <w:r w:rsidRPr="00A52585">
        <w:rPr>
          <w:rFonts w:hint="cs"/>
          <w:rtl/>
        </w:rPr>
        <w:t xml:space="preserve"> </w:t>
      </w:r>
      <w:r w:rsidR="00777DCB" w:rsidRPr="00A52585">
        <w:rPr>
          <w:rFonts w:hint="cs"/>
          <w:rtl/>
        </w:rPr>
        <w:t>بسبب ذلك أنهم يقولون إنه ليس بفاعل</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أقل ما يقال في هذا الناظم أنه جاهل، فإذا طالعت ما ذكره في شفاء العليل عن كسب العبد تجده ينقل عن نظامية إمام الحرمين قوله في أفعال العباد فيسايره إلى أبعد حد، ثم يتراجع فيقع في أحط دركات الجبر، ثم يقع في المعتزلة وقيعة لا مزيد عليها ثم تجده يسبقهم في </w:t>
      </w:r>
      <w:proofErr w:type="spellStart"/>
      <w:r w:rsidR="00777DCB" w:rsidRPr="00A52585">
        <w:rPr>
          <w:rFonts w:hint="cs"/>
          <w:sz w:val="24"/>
          <w:szCs w:val="24"/>
          <w:rtl/>
        </w:rPr>
        <w:t>التجرؤ</w:t>
      </w:r>
      <w:proofErr w:type="spellEnd"/>
      <w:r w:rsidR="00DB731D" w:rsidRPr="00A52585">
        <w:rPr>
          <w:rFonts w:hint="cs"/>
          <w:sz w:val="24"/>
          <w:szCs w:val="24"/>
          <w:rtl/>
        </w:rPr>
        <w:t>،</w:t>
      </w:r>
      <w:r w:rsidR="00777DCB" w:rsidRPr="00A52585">
        <w:rPr>
          <w:rFonts w:hint="cs"/>
          <w:sz w:val="24"/>
          <w:szCs w:val="24"/>
          <w:rtl/>
        </w:rPr>
        <w:t xml:space="preserve"> والحاصل أنه جمَّاع لآراء الناس من غير أن يعقلها على وجوهها، فيتخبط تخبط من به مس</w:t>
      </w:r>
      <w:r w:rsidR="00DB731D" w:rsidRPr="00A52585">
        <w:rPr>
          <w:rFonts w:hint="cs"/>
          <w:sz w:val="24"/>
          <w:szCs w:val="24"/>
          <w:rtl/>
        </w:rPr>
        <w:t>،</w:t>
      </w:r>
      <w:r w:rsidR="00777DCB" w:rsidRPr="00A52585">
        <w:rPr>
          <w:rFonts w:hint="cs"/>
          <w:sz w:val="24"/>
          <w:szCs w:val="24"/>
          <w:rtl/>
        </w:rPr>
        <w:t xml:space="preserve"> وهو يصور مناظرات خيالية بين سنى وجبري، وأخرى بين سنى وقدري في شفاء العليل يدس في خلالها أموراً ينقض بعضها بعضاً، وذلك كله من سوء فهمه وضغطه لذهنه بشتى الأنظار التي هو غير مستأهل لتحقيقها وتمحيص الحق من بينها، فتتشوه الحقائق في ذهنه وتكتسي أسمج الصور، كما هو شأن ما ينعكس في المرايا المحدبة والمقعرة, وشأن من اختلت بصيرته، نسأل الله العافية</w:t>
      </w:r>
      <w:r w:rsidRPr="00A52585">
        <w:rPr>
          <w:rFonts w:hint="cs"/>
          <w:sz w:val="24"/>
          <w:szCs w:val="24"/>
          <w:rtl/>
        </w:rPr>
        <w:t>]</w:t>
      </w:r>
      <w:r w:rsidR="00777DCB" w:rsidRPr="00A52585">
        <w:rPr>
          <w:rFonts w:hint="cs"/>
          <w:rtl/>
        </w:rPr>
        <w:t xml:space="preserve"> وكون العبد ليس بخالق حق</w:t>
      </w:r>
      <w:r w:rsidR="00DB731D" w:rsidRPr="00A52585">
        <w:rPr>
          <w:rFonts w:hint="cs"/>
          <w:rtl/>
        </w:rPr>
        <w:t>،</w:t>
      </w:r>
      <w:r w:rsidR="00777DCB" w:rsidRPr="00A52585">
        <w:rPr>
          <w:rFonts w:hint="cs"/>
          <w:rtl/>
        </w:rPr>
        <w:t xml:space="preserve"> وكونه ليس بفاعل باطل</w:t>
      </w:r>
      <w:r w:rsidR="00DB731D" w:rsidRPr="00A52585">
        <w:rPr>
          <w:rFonts w:hint="cs"/>
          <w:rtl/>
        </w:rPr>
        <w:t>،</w:t>
      </w:r>
      <w:r w:rsidR="00777DCB" w:rsidRPr="00A52585">
        <w:rPr>
          <w:rFonts w:hint="cs"/>
          <w:rtl/>
        </w:rPr>
        <w:t xml:space="preserve"> والفاعل من قام به الفعل والفعل قائم بذات العبد</w:t>
      </w:r>
      <w:r w:rsidR="00DB731D" w:rsidRPr="00A52585">
        <w:rPr>
          <w:rFonts w:hint="cs"/>
          <w:rtl/>
        </w:rPr>
        <w:t>،</w:t>
      </w:r>
      <w:r w:rsidR="00777DCB" w:rsidRPr="00A52585">
        <w:rPr>
          <w:rFonts w:hint="cs"/>
          <w:rtl/>
        </w:rPr>
        <w:t xml:space="preserve"> والخالق من أوجد الفعل ولا يوجده إلا الله. وقوله</w:t>
      </w:r>
      <w:r w:rsidRPr="00A52585">
        <w:rPr>
          <w:rFonts w:hint="cs"/>
          <w:rtl/>
        </w:rPr>
        <w:t>:</w:t>
      </w:r>
      <w:r w:rsidR="00777DCB" w:rsidRPr="00A52585">
        <w:rPr>
          <w:rFonts w:hint="cs"/>
          <w:rtl/>
        </w:rPr>
        <w:t xml:space="preserve"> كتحرك الرجفان جهل منه فإنه لم يفرق بين الجبر ومذهب الأشعري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يصليه على ما ليس من</w:t>
      </w:r>
      <w:r w:rsidRPr="00A52585">
        <w:rPr>
          <w:rFonts w:hint="cs"/>
          <w:rtl/>
        </w:rPr>
        <w:t xml:space="preserve"> </w:t>
      </w:r>
      <w:r w:rsidR="00777DCB" w:rsidRPr="00A52585">
        <w:rPr>
          <w:rFonts w:hint="cs"/>
          <w:rtl/>
        </w:rPr>
        <w:t>أفعـاله حر الحميـم الآن</w:t>
      </w:r>
      <w:r w:rsidRPr="00A52585">
        <w:rPr>
          <w:rFonts w:hint="cs"/>
          <w:rtl/>
        </w:rPr>
        <w:t>)</w:t>
      </w:r>
      <w:r w:rsidR="00777DCB" w:rsidRPr="00A52585">
        <w:rPr>
          <w:rFonts w:hint="cs"/>
          <w:rtl/>
        </w:rPr>
        <w:t xml:space="preserve"> استمر هذا الجاهل على جهله وكذبه. وكذلك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 يعاقبه على أفعاله</w:t>
      </w:r>
      <w:r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والظلم عندهم المحال لذاته</w:t>
      </w:r>
      <w:r w:rsidRPr="00A52585">
        <w:rPr>
          <w:rFonts w:hint="cs"/>
          <w:rtl/>
        </w:rPr>
        <w:t>)</w:t>
      </w:r>
      <w:r w:rsidR="00777DCB" w:rsidRPr="00A52585">
        <w:rPr>
          <w:rFonts w:hint="cs"/>
          <w:rtl/>
        </w:rPr>
        <w:t xml:space="preserve"> نعم إن الله لا يظلم مثقال ذرة </w:t>
      </w:r>
      <w:r w:rsidRPr="00A52585">
        <w:rPr>
          <w:rFonts w:hint="cs"/>
          <w:rtl/>
        </w:rPr>
        <w:t>{</w:t>
      </w:r>
      <w:r w:rsidR="00777DCB" w:rsidRPr="00A52585">
        <w:rPr>
          <w:rFonts w:hint="cs"/>
          <w:bCs/>
          <w:rtl/>
        </w:rPr>
        <w:t>وما ربك بظلام للعبيد</w:t>
      </w:r>
      <w:r w:rsidRPr="00A52585">
        <w:rPr>
          <w:rFonts w:hint="cs"/>
          <w:rtl/>
        </w:rPr>
        <w:t>}</w:t>
      </w:r>
      <w:r w:rsidR="00777DCB" w:rsidRPr="00A52585">
        <w:rPr>
          <w:rFonts w:hint="cs"/>
          <w:rtl/>
        </w:rPr>
        <w:t xml:space="preserve"> </w:t>
      </w:r>
      <w:r w:rsidRPr="00A52585">
        <w:rPr>
          <w:rFonts w:hint="cs"/>
          <w:rtl/>
        </w:rPr>
        <w:t>[</w:t>
      </w:r>
      <w:r w:rsidR="00777DCB" w:rsidRPr="00A52585">
        <w:rPr>
          <w:rFonts w:hint="cs"/>
          <w:sz w:val="24"/>
          <w:rtl/>
        </w:rPr>
        <w:t>الآية 46 من سورة فصلت</w:t>
      </w:r>
      <w:r w:rsidRPr="00A52585">
        <w:rPr>
          <w:rFonts w:hint="cs"/>
          <w:rtl/>
        </w:rPr>
        <w:t>]</w:t>
      </w:r>
      <w:r w:rsidR="00DB731D" w:rsidRPr="00A52585">
        <w:rPr>
          <w:rFonts w:hint="cs"/>
          <w:rtl/>
        </w:rPr>
        <w:t>،</w:t>
      </w:r>
      <w:r w:rsidR="00777DCB" w:rsidRPr="00A52585">
        <w:rPr>
          <w:rFonts w:hint="cs"/>
          <w:rtl/>
        </w:rPr>
        <w:t xml:space="preserve"> وكيف يتصور الظلم والكل ملكه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أني ينـزه عنه ويكون مدحاً ذلك التنـزيه</w:t>
      </w:r>
      <w:r w:rsidRPr="00A52585">
        <w:rPr>
          <w:rFonts w:hint="cs"/>
          <w:rtl/>
        </w:rPr>
        <w:t>)</w:t>
      </w:r>
      <w:r w:rsidR="00777DCB" w:rsidRPr="00A52585">
        <w:rPr>
          <w:rFonts w:hint="cs"/>
          <w:rtl/>
        </w:rPr>
        <w:t xml:space="preserve"> قلنا يا جاهل اجترأت على الله وعلى عباده فلم تفرق بين الفعل والخلق وظننت بجهلك أنهما سواء وأنه لا يعاقب على فعله</w:t>
      </w:r>
      <w:r w:rsidR="00DB731D" w:rsidRPr="00A52585">
        <w:rPr>
          <w:rFonts w:hint="cs"/>
          <w:rtl/>
        </w:rPr>
        <w:t>،</w:t>
      </w:r>
      <w:r w:rsidR="00777DCB" w:rsidRPr="00A52585">
        <w:rPr>
          <w:rFonts w:hint="cs"/>
          <w:rtl/>
        </w:rPr>
        <w:t xml:space="preserve"> وقلت</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هذا بمعقول لذي الأذهان</w:t>
      </w:r>
      <w:r w:rsidRPr="00A52585">
        <w:rPr>
          <w:rFonts w:hint="cs"/>
          <w:rtl/>
        </w:rPr>
        <w:t>)</w:t>
      </w:r>
      <w:r w:rsidR="00777DCB" w:rsidRPr="00A52585">
        <w:rPr>
          <w:rFonts w:hint="cs"/>
          <w:rtl/>
        </w:rPr>
        <w:t xml:space="preserve"> وأي ذهن لك حتى تعقل به وأنت عن تعقل أحكام الربوبية بمعزل</w:t>
      </w:r>
      <w:r w:rsidR="00F95886" w:rsidRPr="00A52585">
        <w:rPr>
          <w:rFonts w:hint="cs"/>
          <w:rtl/>
        </w:rPr>
        <w:t>؟</w:t>
      </w:r>
      <w:r w:rsidR="00777DCB" w:rsidRPr="00A52585">
        <w:rPr>
          <w:rFonts w:hint="cs"/>
          <w:rtl/>
        </w:rPr>
        <w:t xml:space="preserve"> وهل مثلك ومثل من هو أكبر منك إلا كمثل الخفاش بالنسبة إلى ضوء النهار</w:t>
      </w:r>
      <w:r w:rsidR="00F95886" w:rsidRPr="00A52585">
        <w:rPr>
          <w:rFonts w:hint="cs"/>
          <w:rtl/>
        </w:rPr>
        <w:t>؟</w:t>
      </w:r>
    </w:p>
    <w:p w14:paraId="45351C4D" w14:textId="47227FDB"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فصــــــــل</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وكذاك قالوا ما له من حكمة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ولا قائل بذلك مطلقاً بين فِرَق المسلمين، الذين علموا من الدين بالضرورة أن الله عزيز حكيم</w:t>
      </w:r>
      <w:r w:rsidR="00DB731D" w:rsidRPr="00A52585">
        <w:rPr>
          <w:rFonts w:hint="cs"/>
          <w:sz w:val="24"/>
          <w:szCs w:val="24"/>
          <w:rtl/>
        </w:rPr>
        <w:t>،</w:t>
      </w:r>
      <w:r w:rsidR="00777DCB" w:rsidRPr="00A52585">
        <w:rPr>
          <w:rFonts w:hint="cs"/>
          <w:sz w:val="24"/>
          <w:szCs w:val="24"/>
          <w:rtl/>
        </w:rPr>
        <w:t xml:space="preserve"> وأما كون أفعال الله سبحانه غير معللة بالأغراض فليس من نفي الحكمة في شيء، بل من قبيل التهيب والاحتراز من القول بأن هناك غرضاً يحمل الله سبحانه على الفعل استحصالاً لذلك الغرض الذي لا يحصل إلا بذلك الفعل</w:t>
      </w:r>
      <w:r w:rsidR="00DB731D" w:rsidRPr="00A52585">
        <w:rPr>
          <w:rFonts w:hint="cs"/>
          <w:sz w:val="24"/>
          <w:szCs w:val="24"/>
          <w:rtl/>
        </w:rPr>
        <w:t>،</w:t>
      </w:r>
      <w:r w:rsidR="00777DCB" w:rsidRPr="00A52585">
        <w:rPr>
          <w:rFonts w:hint="cs"/>
          <w:sz w:val="24"/>
          <w:szCs w:val="24"/>
          <w:rtl/>
        </w:rPr>
        <w:t xml:space="preserve"> ولا يخفى أن هذا مما يجب الاحتراز منه لعدم ورود إطلاق مثل ذلك في الكتاب والسنة، ولما في ذلك من الاستكمال بالغير</w:t>
      </w:r>
      <w:r w:rsidR="00DB731D" w:rsidRPr="00A52585">
        <w:rPr>
          <w:rFonts w:hint="cs"/>
          <w:sz w:val="24"/>
          <w:szCs w:val="24"/>
          <w:rtl/>
        </w:rPr>
        <w:t>،</w:t>
      </w:r>
      <w:r w:rsidR="00777DCB" w:rsidRPr="00A52585">
        <w:rPr>
          <w:rFonts w:hint="cs"/>
          <w:sz w:val="24"/>
          <w:szCs w:val="24"/>
          <w:rtl/>
        </w:rPr>
        <w:t xml:space="preserve"> وأما قول محققي أهل الفقه بوجود حِكمٍ فيها مصالح ترجع إلى العباد سواء عقلناها أو لم نعقلها، فليس فيه ما يوجب التهيب، بل هو محض الصواب هذا عند القائلين بأن الله فاعل بالاختيار كما هو الحق</w:t>
      </w:r>
      <w:r w:rsidR="00DB731D" w:rsidRPr="00A52585">
        <w:rPr>
          <w:rFonts w:hint="cs"/>
          <w:sz w:val="24"/>
          <w:szCs w:val="24"/>
          <w:rtl/>
        </w:rPr>
        <w:t>،</w:t>
      </w:r>
      <w:r w:rsidR="00777DCB" w:rsidRPr="00A52585">
        <w:rPr>
          <w:rFonts w:hint="cs"/>
          <w:sz w:val="24"/>
          <w:szCs w:val="24"/>
          <w:rtl/>
        </w:rPr>
        <w:t xml:space="preserve"> وأما الذين يعدونه فاعلاً بالإيجاب كالفلاسفة فلا يتصورون هناك لا غرضاً ولا حكمةً، وليس المراد هنا بالوجوب الضرورة بشرط المحمول</w:t>
      </w:r>
      <w:r w:rsidR="00DB731D" w:rsidRPr="00A52585">
        <w:rPr>
          <w:rFonts w:hint="cs"/>
          <w:sz w:val="24"/>
          <w:szCs w:val="24"/>
          <w:rtl/>
        </w:rPr>
        <w:t>،</w:t>
      </w:r>
      <w:r w:rsidR="00777DCB" w:rsidRPr="00A52585">
        <w:rPr>
          <w:rFonts w:hint="cs"/>
          <w:sz w:val="24"/>
          <w:szCs w:val="24"/>
          <w:rtl/>
        </w:rPr>
        <w:t xml:space="preserve"> ومن الغريب أن ابن القيم قائل بالإيجاب حتى تراه يدافع عن أن الحوادث </w:t>
      </w:r>
      <w:r w:rsidR="00777DCB" w:rsidRPr="00A52585">
        <w:rPr>
          <w:rFonts w:hint="cs"/>
          <w:sz w:val="24"/>
          <w:szCs w:val="24"/>
          <w:rtl/>
        </w:rPr>
        <w:lastRenderedPageBreak/>
        <w:t>لا أول لها، ومع ذلك يرى أنها معللة بالأغراض وما هذا إلا تهاتر</w:t>
      </w:r>
      <w:r w:rsidRPr="00A52585">
        <w:rPr>
          <w:rFonts w:hint="cs"/>
          <w:sz w:val="24"/>
          <w:szCs w:val="24"/>
          <w:rtl/>
        </w:rPr>
        <w:t>]</w:t>
      </w:r>
      <w:r w:rsidR="00897A24" w:rsidRPr="00A52585">
        <w:rPr>
          <w:rFonts w:hint="cs"/>
          <w:vertAlign w:val="superscript"/>
          <w:rtl/>
        </w:rPr>
        <w:t>.</w:t>
      </w:r>
      <w:r w:rsidR="00777DCB" w:rsidRPr="00A52585">
        <w:rPr>
          <w:rFonts w:hint="cs"/>
          <w:rtl/>
        </w:rPr>
        <w:t>. هي غايـة للأمر والإتقـان</w:t>
      </w:r>
      <w:r w:rsidRPr="00A52585">
        <w:rPr>
          <w:rFonts w:hint="cs"/>
          <w:rtl/>
        </w:rPr>
        <w:t>)</w:t>
      </w:r>
      <w:r w:rsidR="00DB731D" w:rsidRPr="00A52585">
        <w:rPr>
          <w:rFonts w:hint="cs"/>
          <w:rtl/>
        </w:rPr>
        <w:t>،</w:t>
      </w:r>
      <w:r w:rsidR="00777DCB" w:rsidRPr="00A52585">
        <w:rPr>
          <w:rFonts w:hint="cs"/>
          <w:rtl/>
        </w:rPr>
        <w:t xml:space="preserve"> انظر هذه الجراءة والكذب والبهت على العلماء وما قال إنهم نسبوه إلى الله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ثم غير مشيئة قد رجحت</w:t>
      </w:r>
      <w:r w:rsidRPr="00A52585">
        <w:rPr>
          <w:rFonts w:hint="cs"/>
          <w:rtl/>
        </w:rPr>
        <w:t xml:space="preserve"> </w:t>
      </w:r>
      <w:r w:rsidR="00777DCB" w:rsidRPr="00A52585">
        <w:rPr>
          <w:rFonts w:hint="cs"/>
          <w:rtl/>
        </w:rPr>
        <w:t>مثــلا على مثل بـلا رجحان</w:t>
      </w:r>
      <w:r w:rsidRPr="00A52585">
        <w:rPr>
          <w:rFonts w:hint="cs"/>
          <w:rtl/>
        </w:rPr>
        <w:t>)</w:t>
      </w:r>
      <w:r w:rsidR="00DB731D" w:rsidRPr="00A52585">
        <w:rPr>
          <w:rFonts w:hint="cs"/>
          <w:rtl/>
        </w:rPr>
        <w:t>،</w:t>
      </w:r>
      <w:r w:rsidR="00777DCB" w:rsidRPr="00A52585">
        <w:rPr>
          <w:rFonts w:hint="cs"/>
          <w:rtl/>
        </w:rPr>
        <w:t xml:space="preserve"> أبصر هذا الفدم البليد الفهم, ساء سمعا فساء إجابة, كأنه سمع كلام الأشعرية فما فهمه وظن أنهم يقولون إن الأفعال كلها سواء بالنسبة إلى كل شيء وإن المشيئة رجحت بعضها على بعض مع تساويها وإنه ما ثم غير المشيئة وجعل المشيئة هي المرجحة ولم يذكر القدرة والتبس عليه الرجحان الحاصل في الفعل بالرجحان الذي هو موجب للفعل أو باعث عليه</w:t>
      </w:r>
      <w:r w:rsidR="00DB731D" w:rsidRPr="00A52585">
        <w:rPr>
          <w:rFonts w:hint="cs"/>
          <w:rtl/>
        </w:rPr>
        <w:t>،</w:t>
      </w:r>
      <w:r w:rsidR="00777DCB" w:rsidRPr="00A52585">
        <w:rPr>
          <w:rFonts w:hint="cs"/>
          <w:rtl/>
        </w:rPr>
        <w:t xml:space="preserve"> ومن لا يكون اشتغل بشيء من العلوم كيف يتكلم في هذه الحقائق</w:t>
      </w:r>
      <w:r w:rsidR="00F95886"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هذا وما تلك المشيئة وصفه بل ذاتـه أو فعــله قـولان</w:t>
      </w:r>
      <w:r w:rsidRPr="00A52585">
        <w:rPr>
          <w:rFonts w:hint="cs"/>
          <w:rtl/>
        </w:rPr>
        <w:t>)</w:t>
      </w:r>
      <w:r w:rsidR="00DB731D" w:rsidRPr="00A52585">
        <w:rPr>
          <w:rFonts w:hint="cs"/>
          <w:rtl/>
        </w:rPr>
        <w:t>،</w:t>
      </w:r>
      <w:r w:rsidR="00777DCB" w:rsidRPr="00A52585">
        <w:rPr>
          <w:rFonts w:hint="cs"/>
          <w:rtl/>
        </w:rPr>
        <w:t xml:space="preserve"> ليتني ما شرعت في الكلام مع هذا … ينبغي أن يطالب بالقولين على هذه الصورة وبالقول بأنه ما تلك المشيئة وصفه وإنما سمع كلاماً إما من كلامهم وإما من شيخه فما فهمه هو أو ما فهمه شيخه وعبر عنه بهذه العبارة الرديئة</w:t>
      </w:r>
      <w:r w:rsidR="00DB731D" w:rsidRPr="00A52585">
        <w:rPr>
          <w:rFonts w:hint="cs"/>
          <w:rtl/>
        </w:rPr>
        <w:t>،</w:t>
      </w:r>
      <w:r w:rsidR="00777DCB" w:rsidRPr="00A52585">
        <w:rPr>
          <w:rFonts w:hint="cs"/>
          <w:rtl/>
        </w:rPr>
        <w:t xml:space="preserve"> وإن أراد بهذا البيت المعتزلة فقد خلط كلام المعتزلة بكلام الأشعرية</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وكلامه مذ كان غيراً كان مخلوقاً به</w:t>
      </w:r>
      <w:r w:rsidR="00DB731D" w:rsidRPr="00A52585">
        <w:rPr>
          <w:rFonts w:hint="cs"/>
          <w:rtl/>
        </w:rPr>
        <w:t>،</w:t>
      </w:r>
      <w:r w:rsidR="00777DCB" w:rsidRPr="00A52585">
        <w:rPr>
          <w:rFonts w:hint="cs"/>
          <w:rtl/>
        </w:rPr>
        <w:t xml:space="preserve"> هذا بالنسبة إلى المعتزلة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قالـوا وإقـرار العبـاد بأنه</w:t>
      </w:r>
      <w:r w:rsidR="00897A24" w:rsidRPr="00A52585">
        <w:rPr>
          <w:rFonts w:hint="cs"/>
          <w:rtl/>
        </w:rPr>
        <w:t>.</w:t>
      </w:r>
      <w:r w:rsidR="00777DCB" w:rsidRPr="00A52585">
        <w:rPr>
          <w:rFonts w:hint="cs"/>
          <w:rtl/>
        </w:rPr>
        <w:t xml:space="preserve">.. </w:t>
      </w:r>
      <w:proofErr w:type="spellStart"/>
      <w:r w:rsidR="00777DCB" w:rsidRPr="00A52585">
        <w:rPr>
          <w:rFonts w:hint="cs"/>
          <w:rtl/>
        </w:rPr>
        <w:t>خلاقهم</w:t>
      </w:r>
      <w:proofErr w:type="spellEnd"/>
      <w:r w:rsidR="00777DCB" w:rsidRPr="00A52585">
        <w:rPr>
          <w:rFonts w:hint="cs"/>
          <w:rtl/>
        </w:rPr>
        <w:t xml:space="preserve"> هو منتهى الإيمان</w:t>
      </w:r>
      <w:r w:rsidRPr="00A52585">
        <w:rPr>
          <w:rFonts w:hint="cs"/>
          <w:rtl/>
        </w:rPr>
        <w:t>)</w:t>
      </w:r>
      <w:r w:rsidR="00DB731D" w:rsidRPr="00A52585">
        <w:rPr>
          <w:rFonts w:hint="cs"/>
          <w:rtl/>
        </w:rPr>
        <w:t>،</w:t>
      </w:r>
      <w:r w:rsidR="00777DCB" w:rsidRPr="00A52585">
        <w:rPr>
          <w:rFonts w:hint="cs"/>
          <w:rtl/>
        </w:rPr>
        <w:t xml:space="preserve"> لم يقولوا كذلك</w:t>
      </w:r>
      <w:r w:rsidR="00DB731D" w:rsidRPr="00A52585">
        <w:rPr>
          <w:rFonts w:hint="cs"/>
          <w:rtl/>
        </w:rPr>
        <w:t>،</w:t>
      </w:r>
      <w:r w:rsidR="00777DCB" w:rsidRPr="00A52585">
        <w:rPr>
          <w:rFonts w:hint="cs"/>
          <w:rtl/>
        </w:rPr>
        <w:t xml:space="preserve"> أما أولا فلأنه لابد من الشهادتين</w:t>
      </w:r>
      <w:r w:rsidR="00DB731D" w:rsidRPr="00A52585">
        <w:rPr>
          <w:rFonts w:hint="cs"/>
          <w:rtl/>
        </w:rPr>
        <w:t>،</w:t>
      </w:r>
      <w:r w:rsidR="00777DCB" w:rsidRPr="00A52585">
        <w:rPr>
          <w:rFonts w:hint="cs"/>
          <w:rtl/>
        </w:rPr>
        <w:t xml:space="preserve"> وأما ثانيا فمنتهى الإيمان يشعر بالإيمان الكامل ولم يقل بهذا أحد</w:t>
      </w:r>
      <w:r w:rsidR="00DB731D" w:rsidRPr="00A52585">
        <w:rPr>
          <w:rFonts w:hint="cs"/>
          <w:rtl/>
        </w:rPr>
        <w:t>،</w:t>
      </w:r>
      <w:r w:rsidR="00777DCB" w:rsidRPr="00A52585">
        <w:rPr>
          <w:rFonts w:hint="cs"/>
          <w:rtl/>
        </w:rPr>
        <w:t xml:space="preserve"> وأما ثالثا فقوله </w:t>
      </w:r>
      <w:r w:rsidRPr="00A52585">
        <w:rPr>
          <w:rFonts w:hint="cs"/>
          <w:rtl/>
        </w:rPr>
        <w:t>(</w:t>
      </w:r>
      <w:r w:rsidR="00777DCB" w:rsidRPr="00A52585">
        <w:rPr>
          <w:rFonts w:hint="cs"/>
          <w:rtl/>
        </w:rPr>
        <w:t>فالناس في الإيمان شيء واحد</w:t>
      </w:r>
      <w:r w:rsidRPr="00A52585">
        <w:rPr>
          <w:rFonts w:hint="cs"/>
          <w:rtl/>
        </w:rPr>
        <w:t>)</w:t>
      </w:r>
      <w:r w:rsidR="00777DCB" w:rsidRPr="00A52585">
        <w:rPr>
          <w:rFonts w:hint="cs"/>
          <w:rtl/>
        </w:rPr>
        <w:t xml:space="preserve"> ليس مما يحسن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لأنه إن أراد أن الناس متساوون في الإيمان فهذا باطل؛ لأن من الناس من هو مؤمن ومن هو كافر، وإن أراد أن المؤمنين متساوون في الإيمان فلا يصح ذلك أيضاً فإن منهم من هو كامل الإيمان باستكمال العمل ومنهم من هو غير كامل الإيمان بإخلاله بالعمل وإن كانوا </w:t>
      </w:r>
      <w:proofErr w:type="spellStart"/>
      <w:r w:rsidR="00777DCB" w:rsidRPr="00A52585">
        <w:rPr>
          <w:rFonts w:hint="cs"/>
          <w:sz w:val="24"/>
          <w:szCs w:val="24"/>
          <w:rtl/>
        </w:rPr>
        <w:t>مستاوين</w:t>
      </w:r>
      <w:proofErr w:type="spellEnd"/>
      <w:r w:rsidR="00777DCB" w:rsidRPr="00A52585">
        <w:rPr>
          <w:rFonts w:hint="cs"/>
          <w:sz w:val="24"/>
          <w:szCs w:val="24"/>
          <w:rtl/>
        </w:rPr>
        <w:t xml:space="preserve"> في المؤمن به وفي الجزم المنافي </w:t>
      </w:r>
      <w:proofErr w:type="spellStart"/>
      <w:r w:rsidR="00777DCB" w:rsidRPr="00A52585">
        <w:rPr>
          <w:rFonts w:hint="cs"/>
          <w:sz w:val="24"/>
          <w:szCs w:val="24"/>
          <w:rtl/>
        </w:rPr>
        <w:t>لتجويز</w:t>
      </w:r>
      <w:proofErr w:type="spellEnd"/>
      <w:r w:rsidR="00777DCB" w:rsidRPr="00A52585">
        <w:rPr>
          <w:rFonts w:hint="cs"/>
          <w:sz w:val="24"/>
          <w:szCs w:val="24"/>
          <w:rtl/>
        </w:rPr>
        <w:t xml:space="preserve"> النقيض. على أن طريق حصول هذا الجزم مختلف في المؤمنين فيتفاوت إيمانهم باعتبار عدم قبوله الزوال أصلاً أو قبوله الزوال ببطء أو بسرعة، فالعامي الجازم معرض لزوال الإيمان بأدنى تشكيك والعالم الجازم بالبراهين يمكن زوال إيمانه </w:t>
      </w:r>
      <w:proofErr w:type="spellStart"/>
      <w:r w:rsidR="00777DCB" w:rsidRPr="00A52585">
        <w:rPr>
          <w:rFonts w:hint="cs"/>
          <w:sz w:val="24"/>
          <w:szCs w:val="24"/>
          <w:rtl/>
        </w:rPr>
        <w:t>بطروء</w:t>
      </w:r>
      <w:proofErr w:type="spellEnd"/>
      <w:r w:rsidR="00777DCB" w:rsidRPr="00A52585">
        <w:rPr>
          <w:rFonts w:hint="cs"/>
          <w:sz w:val="24"/>
          <w:szCs w:val="24"/>
          <w:rtl/>
        </w:rPr>
        <w:t xml:space="preserve"> شبهة، وإيمان الأنبياء لا يحتمل الزوال أصلا لأن طريق حصوله الوحي والمشاهدة]</w:t>
      </w:r>
      <w:r w:rsidR="00777DCB" w:rsidRPr="00A52585">
        <w:rPr>
          <w:rFonts w:hint="cs"/>
          <w:vertAlign w:val="superscript"/>
          <w:rtl/>
        </w:rPr>
        <w:t xml:space="preserve"> </w:t>
      </w:r>
      <w:r w:rsidR="00777DCB" w:rsidRPr="00A52585">
        <w:rPr>
          <w:rFonts w:hint="cs"/>
          <w:rtl/>
        </w:rPr>
        <w:t>وأما رابعاً فكما ذكره عن أبي جهل وغيره</w:t>
      </w:r>
      <w:r w:rsidRPr="00A52585">
        <w:rPr>
          <w:rFonts w:hint="cs"/>
          <w:vertAlign w:val="superscript"/>
          <w:rtl/>
        </w:rPr>
        <w:t xml:space="preserve"> </w:t>
      </w:r>
      <w:r w:rsidR="00777DCB" w:rsidRPr="00A52585">
        <w:rPr>
          <w:rFonts w:hint="cs"/>
          <w:rtl/>
        </w:rPr>
        <w:t>أنه لم يكن فيهم منكر للخالق</w:t>
      </w:r>
      <w:r w:rsidR="00DB731D" w:rsidRPr="00A52585">
        <w:rPr>
          <w:rFonts w:hint="cs"/>
          <w:rtl/>
        </w:rPr>
        <w:t>،</w:t>
      </w:r>
      <w:r w:rsidR="00777DCB" w:rsidRPr="00A52585">
        <w:rPr>
          <w:rFonts w:hint="cs"/>
          <w:rtl/>
        </w:rPr>
        <w:t xml:space="preserve"> يكفي في الرد عليه أن كل من سمعه يتخذه ضحكة</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لو تذكر ابن القيم قول يوسف عليه السلام [كما حكى القرآن الكريم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proofErr w:type="spellStart"/>
      <w:r w:rsidR="00777DCB" w:rsidRPr="00A52585">
        <w:rPr>
          <w:rFonts w:hint="cs"/>
          <w:sz w:val="24"/>
          <w:szCs w:val="24"/>
          <w:rtl/>
        </w:rPr>
        <w:t>أأرباب</w:t>
      </w:r>
      <w:proofErr w:type="spellEnd"/>
      <w:r w:rsidR="00777DCB" w:rsidRPr="00A52585">
        <w:rPr>
          <w:rFonts w:hint="cs"/>
          <w:sz w:val="24"/>
          <w:szCs w:val="24"/>
          <w:rtl/>
        </w:rPr>
        <w:t xml:space="preserve"> متفرقون خير أم الله الواحد القهار</w:t>
      </w:r>
      <w:r w:rsidRPr="00A52585">
        <w:rPr>
          <w:rFonts w:hint="cs"/>
          <w:sz w:val="24"/>
          <w:szCs w:val="24"/>
          <w:rtl/>
        </w:rPr>
        <w:t>}</w:t>
      </w:r>
      <w:r w:rsidR="00777DCB" w:rsidRPr="00A52585">
        <w:rPr>
          <w:rFonts w:hint="cs"/>
          <w:sz w:val="24"/>
          <w:szCs w:val="24"/>
          <w:rtl/>
        </w:rPr>
        <w:t xml:space="preserve"> وقول إبراهيم عليه السلام [كما حكى القرآن الكريم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proofErr w:type="spellStart"/>
      <w:r w:rsidR="00777DCB" w:rsidRPr="00A52585">
        <w:rPr>
          <w:rFonts w:hint="cs"/>
          <w:sz w:val="24"/>
          <w:szCs w:val="24"/>
          <w:rtl/>
        </w:rPr>
        <w:t>أإفكا</w:t>
      </w:r>
      <w:proofErr w:type="spellEnd"/>
      <w:r w:rsidR="00777DCB" w:rsidRPr="00A52585">
        <w:rPr>
          <w:rFonts w:hint="cs"/>
          <w:sz w:val="24"/>
          <w:szCs w:val="24"/>
          <w:rtl/>
        </w:rPr>
        <w:t xml:space="preserve"> آلهة دون الله تريدون</w:t>
      </w:r>
      <w:r w:rsidRPr="00A52585">
        <w:rPr>
          <w:rFonts w:hint="cs"/>
          <w:sz w:val="24"/>
          <w:szCs w:val="24"/>
          <w:rtl/>
        </w:rPr>
        <w:t>}</w:t>
      </w:r>
      <w:r w:rsidR="00777DCB" w:rsidRPr="00A52585">
        <w:rPr>
          <w:rFonts w:hint="cs"/>
          <w:sz w:val="24"/>
          <w:szCs w:val="24"/>
          <w:rtl/>
        </w:rPr>
        <w:t xml:space="preserve"> وقول الكفار حينما دعاهم الرسول صلى الله عليه وسلم إلى كلمة التوحيد [كما حكى القرآن الكريم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أجعل الآلهة إلها واحداً</w:t>
      </w:r>
      <w:r w:rsidRPr="00A52585">
        <w:rPr>
          <w:rFonts w:hint="cs"/>
          <w:sz w:val="24"/>
          <w:szCs w:val="24"/>
          <w:rtl/>
        </w:rPr>
        <w:t>}</w:t>
      </w:r>
      <w:r w:rsidR="00777DCB" w:rsidRPr="00A52585">
        <w:rPr>
          <w:rFonts w:hint="cs"/>
          <w:sz w:val="24"/>
          <w:szCs w:val="24"/>
          <w:rtl/>
        </w:rPr>
        <w:t xml:space="preserve"> وقولهم في التلبية (لبيك اللهم لبيك</w:t>
      </w:r>
      <w:r w:rsidR="00DB731D" w:rsidRPr="00A52585">
        <w:rPr>
          <w:rFonts w:hint="cs"/>
          <w:sz w:val="24"/>
          <w:szCs w:val="24"/>
          <w:rtl/>
        </w:rPr>
        <w:t>،</w:t>
      </w:r>
      <w:r w:rsidR="00777DCB" w:rsidRPr="00A52585">
        <w:rPr>
          <w:rFonts w:hint="cs"/>
          <w:sz w:val="24"/>
          <w:szCs w:val="24"/>
          <w:rtl/>
        </w:rPr>
        <w:t xml:space="preserve"> لبيك لا شريك لك إلا شريك هو لك تملكه وما ملك) لاستحيا أن يفوه بذلك وبقوله</w:t>
      </w:r>
      <w:r w:rsidRPr="00A52585">
        <w:rPr>
          <w:rFonts w:hint="cs"/>
          <w:sz w:val="24"/>
          <w:szCs w:val="24"/>
          <w:rtl/>
        </w:rPr>
        <w:t>:</w:t>
      </w:r>
      <w:r w:rsidR="00777DCB" w:rsidRPr="00A52585">
        <w:rPr>
          <w:rFonts w:hint="cs"/>
          <w:sz w:val="24"/>
          <w:szCs w:val="24"/>
          <w:rtl/>
        </w:rPr>
        <w:t xml:space="preserve"> (هل كان فيهم منكر للخالق الـرب العظيم مكون الأكوان</w:t>
      </w:r>
      <w:r w:rsidR="00897A24" w:rsidRPr="00A52585">
        <w:rPr>
          <w:rFonts w:hint="cs"/>
          <w:sz w:val="24"/>
          <w:szCs w:val="24"/>
          <w:rtl/>
        </w:rPr>
        <w:t>.</w:t>
      </w:r>
      <w:r w:rsidR="00777DCB" w:rsidRPr="00A52585">
        <w:rPr>
          <w:rFonts w:hint="cs"/>
          <w:sz w:val="24"/>
          <w:szCs w:val="24"/>
          <w:rtl/>
        </w:rPr>
        <w:t>.. فليبشروا ما فيهم مـن كافـر</w:t>
      </w:r>
      <w:r w:rsidRPr="00A52585">
        <w:rPr>
          <w:rFonts w:hint="cs"/>
          <w:sz w:val="24"/>
          <w:szCs w:val="24"/>
          <w:rtl/>
        </w:rPr>
        <w:t xml:space="preserve"> </w:t>
      </w:r>
      <w:r w:rsidR="00777DCB" w:rsidRPr="00A52585">
        <w:rPr>
          <w:rFonts w:hint="cs"/>
          <w:sz w:val="24"/>
          <w:szCs w:val="24"/>
          <w:rtl/>
        </w:rPr>
        <w:t>هم عند جهم كاملـو الإيمــان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فأين توحيد الربوبية والألوهية من توحيد </w:t>
      </w:r>
      <w:proofErr w:type="spellStart"/>
      <w:r w:rsidR="00777DCB" w:rsidRPr="00A52585">
        <w:rPr>
          <w:rFonts w:hint="cs"/>
          <w:sz w:val="24"/>
          <w:szCs w:val="24"/>
          <w:rtl/>
        </w:rPr>
        <w:t>الخالقية</w:t>
      </w:r>
      <w:proofErr w:type="spellEnd"/>
      <w:r w:rsidR="00777DCB" w:rsidRPr="00A52585">
        <w:rPr>
          <w:rFonts w:hint="cs"/>
          <w:sz w:val="24"/>
          <w:szCs w:val="24"/>
          <w:rtl/>
        </w:rPr>
        <w:t xml:space="preserve"> </w:t>
      </w:r>
      <w:proofErr w:type="spellStart"/>
      <w:r w:rsidR="00777DCB" w:rsidRPr="00A52585">
        <w:rPr>
          <w:rFonts w:hint="cs"/>
          <w:sz w:val="24"/>
          <w:szCs w:val="24"/>
          <w:rtl/>
        </w:rPr>
        <w:t>والرازقية</w:t>
      </w:r>
      <w:proofErr w:type="spellEnd"/>
      <w:r w:rsidR="00F95886" w:rsidRPr="00A52585">
        <w:rPr>
          <w:rFonts w:hint="cs"/>
          <w:sz w:val="24"/>
          <w:szCs w:val="24"/>
          <w:rtl/>
        </w:rPr>
        <w:t>؟</w:t>
      </w:r>
      <w:r w:rsidR="00777DCB" w:rsidRPr="00A52585">
        <w:rPr>
          <w:rFonts w:hint="cs"/>
          <w:sz w:val="24"/>
          <w:szCs w:val="24"/>
          <w:rtl/>
        </w:rPr>
        <w:t xml:space="preserve"> على تقدير تسليم شمول آية توحيد </w:t>
      </w:r>
      <w:proofErr w:type="spellStart"/>
      <w:r w:rsidR="00777DCB" w:rsidRPr="00A52585">
        <w:rPr>
          <w:rFonts w:hint="cs"/>
          <w:sz w:val="24"/>
          <w:szCs w:val="24"/>
          <w:rtl/>
        </w:rPr>
        <w:t>الخالقية</w:t>
      </w:r>
      <w:proofErr w:type="spellEnd"/>
      <w:r w:rsidR="00777DCB" w:rsidRPr="00A52585">
        <w:rPr>
          <w:rFonts w:hint="cs"/>
          <w:sz w:val="24"/>
          <w:szCs w:val="24"/>
          <w:rtl/>
        </w:rPr>
        <w:t xml:space="preserve"> </w:t>
      </w:r>
      <w:proofErr w:type="gramStart"/>
      <w:r w:rsidR="00777DCB" w:rsidRPr="00A52585">
        <w:rPr>
          <w:rFonts w:hint="cs"/>
          <w:sz w:val="24"/>
          <w:szCs w:val="24"/>
          <w:rtl/>
        </w:rPr>
        <w:lastRenderedPageBreak/>
        <w:t>لهم ,</w:t>
      </w:r>
      <w:proofErr w:type="gramEnd"/>
      <w:r w:rsidR="00777DCB" w:rsidRPr="00A52585">
        <w:rPr>
          <w:rFonts w:hint="cs"/>
          <w:sz w:val="24"/>
          <w:szCs w:val="24"/>
          <w:rtl/>
        </w:rPr>
        <w:t xml:space="preserve"> بل الضمير في (ولئن سألتهم) بعيد عن العموم</w:t>
      </w:r>
      <w:r w:rsidR="00DB731D" w:rsidRPr="00A52585">
        <w:rPr>
          <w:rFonts w:hint="cs"/>
          <w:sz w:val="24"/>
          <w:szCs w:val="24"/>
          <w:rtl/>
        </w:rPr>
        <w:t>،</w:t>
      </w:r>
      <w:r w:rsidR="00777DCB" w:rsidRPr="00A52585">
        <w:rPr>
          <w:rFonts w:hint="cs"/>
          <w:sz w:val="24"/>
          <w:szCs w:val="24"/>
          <w:rtl/>
        </w:rPr>
        <w:t xml:space="preserve"> ومعتقد المؤمنين</w:t>
      </w:r>
      <w:r w:rsidRPr="00A52585">
        <w:rPr>
          <w:rFonts w:hint="cs"/>
          <w:sz w:val="24"/>
          <w:szCs w:val="24"/>
          <w:rtl/>
        </w:rPr>
        <w:t>:</w:t>
      </w:r>
      <w:r w:rsidR="00777DCB" w:rsidRPr="00A52585">
        <w:rPr>
          <w:rFonts w:hint="cs"/>
          <w:sz w:val="24"/>
          <w:szCs w:val="24"/>
          <w:rtl/>
        </w:rPr>
        <w:t xml:space="preserve"> أنه لا رب ولا إله ولا خالق ولا رازق سوى الله عز وجل</w:t>
      </w:r>
      <w:r w:rsidR="00DB731D" w:rsidRPr="00A52585">
        <w:rPr>
          <w:rFonts w:hint="cs"/>
          <w:sz w:val="24"/>
          <w:szCs w:val="24"/>
          <w:rtl/>
        </w:rPr>
        <w:t>،</w:t>
      </w:r>
      <w:r w:rsidR="00777DCB" w:rsidRPr="00A52585">
        <w:rPr>
          <w:rFonts w:hint="cs"/>
          <w:sz w:val="24"/>
          <w:szCs w:val="24"/>
          <w:rtl/>
        </w:rPr>
        <w:t xml:space="preserve"> وهذا هو إيمان المؤمنين على رغم تقول الزائغين المائلين إلى الخوارج المستهجنين لمعتقد المؤمنين]</w:t>
      </w:r>
      <w:r w:rsidR="00DB731D" w:rsidRPr="00A52585">
        <w:rPr>
          <w:rFonts w:hint="cs"/>
          <w:sz w:val="24"/>
          <w:szCs w:val="24"/>
          <w:rtl/>
        </w:rPr>
        <w:t>،</w:t>
      </w:r>
    </w:p>
    <w:p w14:paraId="218B7CA2" w14:textId="28AFA231"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وقضى -</w:t>
      </w:r>
      <w:r w:rsidRPr="00A52585">
        <w:rPr>
          <w:rFonts w:hint="cs"/>
          <w:rtl/>
        </w:rPr>
        <w:t xml:space="preserve"> </w:t>
      </w:r>
      <w:r w:rsidR="00777DCB" w:rsidRPr="00A52585">
        <w:rPr>
          <w:rFonts w:hint="cs"/>
          <w:rtl/>
        </w:rPr>
        <w:t>يعني جهما -</w:t>
      </w:r>
      <w:r w:rsidRPr="00A52585">
        <w:rPr>
          <w:rFonts w:hint="cs"/>
          <w:rtl/>
        </w:rPr>
        <w:t xml:space="preserve"> </w:t>
      </w:r>
      <w:r w:rsidR="00777DCB" w:rsidRPr="00A52585">
        <w:rPr>
          <w:rFonts w:hint="cs"/>
          <w:rtl/>
        </w:rPr>
        <w:t>وشيعته</w:t>
      </w:r>
      <w:r w:rsidRPr="00A52585">
        <w:rPr>
          <w:rFonts w:hint="cs"/>
          <w:rtl/>
        </w:rPr>
        <w:t xml:space="preserve"> </w:t>
      </w:r>
      <w:r w:rsidR="00777DCB" w:rsidRPr="00A52585">
        <w:rPr>
          <w:rFonts w:hint="cs"/>
          <w:rtl/>
        </w:rPr>
        <w:t>- الذين هم الأشعرية بزعمه -</w:t>
      </w:r>
      <w:r w:rsidRPr="00A52585">
        <w:rPr>
          <w:rFonts w:hint="cs"/>
          <w:rtl/>
        </w:rPr>
        <w:t xml:space="preserve"> </w:t>
      </w:r>
      <w:r w:rsidR="00777DCB" w:rsidRPr="00A52585">
        <w:rPr>
          <w:rFonts w:hint="cs"/>
          <w:rtl/>
        </w:rPr>
        <w:t>بأن الله كان معطلا</w:t>
      </w:r>
      <w:r w:rsidR="00DB731D" w:rsidRPr="00A52585">
        <w:rPr>
          <w:rFonts w:hint="cs"/>
          <w:rtl/>
        </w:rPr>
        <w:t>،</w:t>
      </w:r>
      <w:r w:rsidR="00777DCB" w:rsidRPr="00A52585">
        <w:rPr>
          <w:rFonts w:hint="cs"/>
          <w:rtl/>
        </w:rPr>
        <w:t xml:space="preserve"> والفعل ممتنع بلا إمكان ثم استحال وصار مقدوراً له من غير أمر قام بالديان</w:t>
      </w:r>
      <w:r w:rsidRPr="00A52585">
        <w:rPr>
          <w:rFonts w:hint="cs"/>
          <w:rtl/>
        </w:rPr>
        <w:t>)</w:t>
      </w:r>
      <w:r w:rsidR="00777DCB" w:rsidRPr="00A52585">
        <w:rPr>
          <w:rFonts w:hint="cs"/>
          <w:rtl/>
        </w:rPr>
        <w:t xml:space="preserve"> </w:t>
      </w:r>
      <w:proofErr w:type="spellStart"/>
      <w:r w:rsidR="00777DCB" w:rsidRPr="00A52585">
        <w:rPr>
          <w:rFonts w:hint="cs"/>
          <w:rtl/>
        </w:rPr>
        <w:t>مقصوده</w:t>
      </w:r>
      <w:proofErr w:type="spellEnd"/>
      <w:r w:rsidR="00777DCB" w:rsidRPr="00A52585">
        <w:rPr>
          <w:rFonts w:hint="cs"/>
          <w:rtl/>
        </w:rPr>
        <w:t xml:space="preserve"> أن الله ما زال يفعل وهذا يستوجب القول بقدم العالم وهو كفر</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لكن يسقطه هذا النفي من مرتبة العقلاء إلى درك الأنعام، وهذا هو التحقيق في لازم المذهب، فيدور أمر القائل بما يستلزم الكفر لزوماً بينا بين أن يكون كافراً أو حماراً]</w:t>
      </w:r>
    </w:p>
    <w:p w14:paraId="7F391157" w14:textId="267041FB"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Pr="00A52585">
        <w:rPr>
          <w:rFonts w:hint="cs"/>
          <w:rtl/>
        </w:rPr>
        <w:t>:</w:t>
      </w:r>
      <w:r w:rsidR="00777DCB" w:rsidRPr="00A52585">
        <w:rPr>
          <w:rFonts w:hint="cs"/>
          <w:rtl/>
        </w:rPr>
        <w:t xml:space="preserve"> استنكار الناظم إعادة المعدوم </w:t>
      </w:r>
      <w:r w:rsidR="00777DCB" w:rsidRPr="00A52585">
        <w:t>…</w:t>
      </w:r>
      <w:r w:rsidR="00777DCB" w:rsidRPr="00A52585">
        <w:rPr>
          <w:rFonts w:hint="cs"/>
          <w:rtl/>
        </w:rPr>
        <w:t xml:space="preserve"> الخ</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وقضى الله بأن يجعل خلقه عدما ويقلبه وجوداً ويعيد ذا المعدوم. هذا المعاد وذلك المبدأ لذي جهم وقد نسبوه للقرآن هذا الذي قاد ابن سينا والألى قالوا مقالته إلى الكفران لم تقبل الأذهان ذا</w:t>
      </w:r>
      <w:r w:rsidR="00DB731D" w:rsidRPr="00A52585">
        <w:rPr>
          <w:rFonts w:hint="cs"/>
          <w:rtl/>
        </w:rPr>
        <w:t>،</w:t>
      </w:r>
      <w:r w:rsidR="00777DCB" w:rsidRPr="00A52585">
        <w:rPr>
          <w:rFonts w:hint="cs"/>
          <w:rtl/>
        </w:rPr>
        <w:t xml:space="preserve"> وتوهموا أن الرسول صلى الله عليه وسلم عناه بالإيمان</w:t>
      </w:r>
      <w:r w:rsidR="00DB731D" w:rsidRPr="00A52585">
        <w:rPr>
          <w:rFonts w:hint="cs"/>
          <w:rtl/>
        </w:rPr>
        <w:t>،</w:t>
      </w:r>
      <w:r w:rsidR="00777DCB" w:rsidRPr="00A52585">
        <w:rPr>
          <w:rFonts w:hint="cs"/>
          <w:rtl/>
        </w:rPr>
        <w:t xml:space="preserve"> هذا كتاب الله أنى قاله أو عبده أو صحبه أو تابع</w:t>
      </w:r>
      <w:r w:rsidR="00DB731D" w:rsidRPr="00A52585">
        <w:rPr>
          <w:rFonts w:hint="cs"/>
          <w:rtl/>
        </w:rPr>
        <w:t>،</w:t>
      </w:r>
      <w:r w:rsidR="00777DCB" w:rsidRPr="00A52585">
        <w:rPr>
          <w:rFonts w:hint="cs"/>
          <w:rtl/>
        </w:rPr>
        <w:t xml:space="preserve"> بل صرح الوحي بأنه مغير الأكوان وتحدث الأرض وتشهد </w:t>
      </w:r>
      <w:proofErr w:type="spellStart"/>
      <w:r w:rsidR="00777DCB" w:rsidRPr="00A52585">
        <w:rPr>
          <w:rFonts w:hint="cs"/>
          <w:rtl/>
        </w:rPr>
        <w:t>أفيشهد</w:t>
      </w:r>
      <w:proofErr w:type="spellEnd"/>
      <w:r w:rsidR="00777DCB" w:rsidRPr="00A52585">
        <w:rPr>
          <w:rFonts w:hint="cs"/>
          <w:rtl/>
        </w:rPr>
        <w:t xml:space="preserve"> العدم</w:t>
      </w:r>
      <w:r w:rsidRPr="00A52585">
        <w:rPr>
          <w:rFonts w:hint="cs"/>
          <w:rtl/>
        </w:rPr>
        <w:t>)</w:t>
      </w:r>
      <w:r w:rsidR="00DB731D" w:rsidRPr="00A52585">
        <w:rPr>
          <w:rFonts w:hint="cs"/>
          <w:rtl/>
        </w:rPr>
        <w:t>،</w:t>
      </w:r>
      <w:r w:rsidR="00777DCB" w:rsidRPr="00A52585">
        <w:rPr>
          <w:rFonts w:hint="cs"/>
          <w:rtl/>
        </w:rPr>
        <w:t xml:space="preserve"> أجمع المسلمون على أن الله قادر على أن يعدم الخلق ثم يعيده وعلى أن إنكار ذلك كفر وجمهور المسلمين على أن الواقع ذلك لقوله تعالى </w:t>
      </w:r>
      <w:r w:rsidRPr="00A52585">
        <w:rPr>
          <w:rFonts w:hint="cs"/>
          <w:rtl/>
        </w:rPr>
        <w:t>{</w:t>
      </w:r>
      <w:r w:rsidR="00777DCB" w:rsidRPr="00A52585">
        <w:rPr>
          <w:rFonts w:hint="cs"/>
          <w:rtl/>
        </w:rPr>
        <w:t>كل من عليها فان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26</w:t>
      </w:r>
      <w:r w:rsidRPr="00A52585">
        <w:rPr>
          <w:rFonts w:hint="cs"/>
          <w:rtl/>
        </w:rPr>
        <w:t>]</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كل شيء هالك إلا وجهه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القصص</w:t>
      </w:r>
      <w:r w:rsidRPr="00A52585">
        <w:rPr>
          <w:rFonts w:hint="cs"/>
          <w:rtl/>
        </w:rPr>
        <w:t>:</w:t>
      </w:r>
      <w:r w:rsidR="00777DCB" w:rsidRPr="00A52585">
        <w:rPr>
          <w:rFonts w:hint="cs"/>
          <w:rtl/>
        </w:rPr>
        <w:t xml:space="preserve"> 88</w:t>
      </w:r>
      <w:r w:rsidRPr="00A52585">
        <w:rPr>
          <w:rFonts w:hint="cs"/>
          <w:rtl/>
        </w:rPr>
        <w:t>]</w:t>
      </w:r>
      <w:r w:rsidR="00DB731D" w:rsidRPr="00A52585">
        <w:rPr>
          <w:rFonts w:hint="cs"/>
          <w:rtl/>
        </w:rPr>
        <w:t>،</w:t>
      </w:r>
      <w:r w:rsidR="00777DCB" w:rsidRPr="00A52585">
        <w:rPr>
          <w:rFonts w:hint="cs"/>
          <w:rtl/>
        </w:rPr>
        <w:t xml:space="preserve"> وقيل إن الأجسام تتفرق ثم تعاد وقوله </w:t>
      </w:r>
      <w:r w:rsidRPr="00A52585">
        <w:rPr>
          <w:rFonts w:hint="cs"/>
          <w:rtl/>
        </w:rPr>
        <w:t>(</w:t>
      </w:r>
      <w:proofErr w:type="spellStart"/>
      <w:r w:rsidR="00777DCB" w:rsidRPr="00A52585">
        <w:rPr>
          <w:rFonts w:hint="cs"/>
          <w:rtl/>
        </w:rPr>
        <w:t>أفيشهد</w:t>
      </w:r>
      <w:proofErr w:type="spellEnd"/>
      <w:r w:rsidR="00777DCB" w:rsidRPr="00A52585">
        <w:rPr>
          <w:rFonts w:hint="cs"/>
          <w:rtl/>
        </w:rPr>
        <w:t xml:space="preserve"> العدم</w:t>
      </w:r>
      <w:r w:rsidRPr="00A52585">
        <w:rPr>
          <w:rFonts w:hint="cs"/>
          <w:rtl/>
        </w:rPr>
        <w:t>)</w:t>
      </w:r>
      <w:r w:rsidR="00777DCB" w:rsidRPr="00A52585">
        <w:rPr>
          <w:rFonts w:hint="cs"/>
          <w:rtl/>
        </w:rPr>
        <w:t xml:space="preserve"> أنحن قلنا تشهد وهي عدم إنما تشهد بعد الإعادة فانظر كلام هذا الجاهل وقوله </w:t>
      </w:r>
      <w:r w:rsidRPr="00A52585">
        <w:rPr>
          <w:rFonts w:hint="cs"/>
          <w:rtl/>
        </w:rPr>
        <w:t>(</w:t>
      </w:r>
      <w:r w:rsidR="00777DCB" w:rsidRPr="00A52585">
        <w:rPr>
          <w:rFonts w:hint="cs"/>
          <w:rtl/>
        </w:rPr>
        <w:t>لم تقبل الأذهان ذا</w:t>
      </w:r>
      <w:r w:rsidRPr="00A52585">
        <w:rPr>
          <w:rFonts w:hint="cs"/>
          <w:rtl/>
        </w:rPr>
        <w:t>)</w:t>
      </w:r>
      <w:r w:rsidR="00777DCB" w:rsidRPr="00A52585">
        <w:rPr>
          <w:rFonts w:hint="cs"/>
          <w:rtl/>
        </w:rPr>
        <w:t xml:space="preserve"> إن كان ينكر إمكانه </w:t>
      </w:r>
      <w:r w:rsidRPr="00A52585">
        <w:rPr>
          <w:rFonts w:hint="cs"/>
          <w:rtl/>
        </w:rPr>
        <w:t>(</w:t>
      </w:r>
      <w:r w:rsidR="00777DCB" w:rsidRPr="00A52585">
        <w:rPr>
          <w:rFonts w:hint="cs"/>
          <w:rtl/>
        </w:rPr>
        <w:t>وكونه مقدوراً لله</w:t>
      </w:r>
      <w:r w:rsidRPr="00A52585">
        <w:rPr>
          <w:rFonts w:hint="cs"/>
          <w:rtl/>
        </w:rPr>
        <w:t>)</w:t>
      </w:r>
      <w:r w:rsidR="00777DCB" w:rsidRPr="00A52585">
        <w:rPr>
          <w:rFonts w:hint="cs"/>
          <w:rtl/>
        </w:rPr>
        <w:t xml:space="preserve"> فهو كافر وإن لم ينكر إلا وقوعه فهو مذهب ضعيف. ثم قال </w:t>
      </w:r>
      <w:r w:rsidRPr="00A52585">
        <w:rPr>
          <w:rFonts w:hint="cs"/>
          <w:rtl/>
        </w:rPr>
        <w:t>(</w:t>
      </w:r>
      <w:r w:rsidR="00777DCB" w:rsidRPr="00A52585">
        <w:rPr>
          <w:rFonts w:hint="cs"/>
          <w:rtl/>
        </w:rPr>
        <w:t>هذا الذي جاء الكتاب وسنة الهادي به</w:t>
      </w:r>
      <w:r w:rsidR="00DB731D" w:rsidRPr="00A52585">
        <w:rPr>
          <w:rFonts w:hint="cs"/>
          <w:rtl/>
        </w:rPr>
        <w:t>،</w:t>
      </w:r>
      <w:r w:rsidR="00777DCB" w:rsidRPr="00A52585">
        <w:rPr>
          <w:rFonts w:hint="cs"/>
          <w:rtl/>
        </w:rPr>
        <w:t xml:space="preserve"> ما قال إن الله يعدم خلقه طراً كقول الجاهل الحيران</w:t>
      </w:r>
      <w:r w:rsidRPr="00A52585">
        <w:rPr>
          <w:rFonts w:hint="cs"/>
          <w:rtl/>
        </w:rPr>
        <w:t>)</w:t>
      </w:r>
      <w:r w:rsidR="00777DCB" w:rsidRPr="00A52585">
        <w:rPr>
          <w:rFonts w:hint="cs"/>
          <w:rtl/>
        </w:rPr>
        <w:t xml:space="preserve"> أقول</w:t>
      </w:r>
      <w:r w:rsidRPr="00A52585">
        <w:rPr>
          <w:rFonts w:hint="cs"/>
          <w:rtl/>
        </w:rPr>
        <w:t>:</w:t>
      </w:r>
      <w:r w:rsidR="00777DCB" w:rsidRPr="00A52585">
        <w:rPr>
          <w:rFonts w:hint="cs"/>
          <w:rtl/>
        </w:rPr>
        <w:t xml:space="preserve"> قد قال تعالى </w:t>
      </w:r>
      <w:r w:rsidRPr="00A52585">
        <w:rPr>
          <w:rFonts w:hint="cs"/>
          <w:rtl/>
        </w:rPr>
        <w:t>{</w:t>
      </w:r>
      <w:r w:rsidR="00777DCB" w:rsidRPr="00A52585">
        <w:rPr>
          <w:rFonts w:hint="cs"/>
          <w:rtl/>
        </w:rPr>
        <w:t>كما بدأنا أول خلق نعيده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الأنبياء</w:t>
      </w:r>
      <w:r w:rsidRPr="00A52585">
        <w:rPr>
          <w:rFonts w:hint="cs"/>
          <w:rtl/>
        </w:rPr>
        <w:t>:</w:t>
      </w:r>
      <w:r w:rsidR="00777DCB" w:rsidRPr="00A52585">
        <w:rPr>
          <w:rFonts w:hint="cs"/>
          <w:rtl/>
        </w:rPr>
        <w:t xml:space="preserve"> 104</w:t>
      </w:r>
      <w:r w:rsidRPr="00A52585">
        <w:rPr>
          <w:rFonts w:hint="cs"/>
          <w:rtl/>
        </w:rPr>
        <w:t>]</w:t>
      </w:r>
      <w:r w:rsidR="00DB731D" w:rsidRPr="00A52585">
        <w:rPr>
          <w:rFonts w:hint="cs"/>
          <w:rtl/>
        </w:rPr>
        <w:t>،</w:t>
      </w:r>
      <w:r w:rsidR="00777DCB" w:rsidRPr="00A52585">
        <w:rPr>
          <w:rFonts w:hint="cs"/>
          <w:rtl/>
        </w:rPr>
        <w:t xml:space="preserve"> ولو كانت الإعادة جمع الأجزاء بعد تفريقها أو الإتيان بغيرها لم تنطبق على الآية</w:t>
      </w:r>
      <w:r w:rsidR="00DB731D" w:rsidRPr="00A52585">
        <w:rPr>
          <w:rFonts w:hint="cs"/>
          <w:rtl/>
        </w:rPr>
        <w:t>،</w:t>
      </w:r>
      <w:r w:rsidR="00777DCB" w:rsidRPr="00A52585">
        <w:rPr>
          <w:rFonts w:hint="cs"/>
          <w:rtl/>
        </w:rPr>
        <w:t xml:space="preserve"> فإن الآية تقتضي أن جميع ما بدأ به الخلق يعيده وإنما يكون كذلك إذا أعدمه ثم أعاده بعينه</w:t>
      </w:r>
      <w:r w:rsidR="00DB731D" w:rsidRPr="00A52585">
        <w:rPr>
          <w:rFonts w:hint="cs"/>
          <w:rtl/>
        </w:rPr>
        <w:t>،</w:t>
      </w:r>
      <w:r w:rsidR="00777DCB" w:rsidRPr="00A52585">
        <w:rPr>
          <w:rFonts w:hint="cs"/>
          <w:rtl/>
        </w:rPr>
        <w:t xml:space="preserve"> والله قادر على ذلك وقال تعالى </w:t>
      </w:r>
      <w:r w:rsidRPr="00A52585">
        <w:rPr>
          <w:rFonts w:hint="cs"/>
          <w:rtl/>
        </w:rPr>
        <w:t>{</w:t>
      </w:r>
      <w:r w:rsidR="00777DCB" w:rsidRPr="00A52585">
        <w:rPr>
          <w:rFonts w:hint="cs"/>
          <w:rtl/>
        </w:rPr>
        <w:t>وهو أهون عليه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الروم</w:t>
      </w:r>
      <w:r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w:t>
      </w:r>
      <w:r w:rsidR="00DB731D" w:rsidRPr="00A52585">
        <w:rPr>
          <w:rFonts w:hint="cs"/>
          <w:rtl/>
        </w:rPr>
        <w:t>،</w:t>
      </w:r>
      <w:r w:rsidR="00777DCB" w:rsidRPr="00A52585">
        <w:rPr>
          <w:rFonts w:hint="cs"/>
          <w:rtl/>
        </w:rPr>
        <w:t xml:space="preserve"> وعند هذا المتخلف ما أخرج المعاد من العدم إلى الوجود بل من صفة إلى صفة يتعالى الله عن قوله</w:t>
      </w:r>
      <w:r w:rsidR="00DB731D" w:rsidRPr="00A52585">
        <w:rPr>
          <w:rFonts w:hint="cs"/>
          <w:rtl/>
        </w:rPr>
        <w:t>،</w:t>
      </w:r>
      <w:r w:rsidR="00777DCB" w:rsidRPr="00A52585">
        <w:rPr>
          <w:rFonts w:hint="cs"/>
          <w:rtl/>
        </w:rPr>
        <w:t xml:space="preserve"> فهذا القول منه بما دل عليه من أن الإبراز من العدم إلى الوجود في الإعادة غير مقدور</w:t>
      </w:r>
      <w:r w:rsidR="00DB731D" w:rsidRPr="00A52585">
        <w:rPr>
          <w:rFonts w:hint="cs"/>
          <w:rtl/>
        </w:rPr>
        <w:t>،</w:t>
      </w:r>
      <w:r w:rsidR="00777DCB" w:rsidRPr="00A52585">
        <w:rPr>
          <w:rFonts w:hint="cs"/>
          <w:rtl/>
        </w:rPr>
        <w:t xml:space="preserve"> كفر إلا إذا تأول على الوقوع مع الموافقة على </w:t>
      </w:r>
      <w:r w:rsidR="00777DCB" w:rsidRPr="00A52585">
        <w:rPr>
          <w:rFonts w:hint="cs"/>
          <w:rtl/>
        </w:rPr>
        <w:lastRenderedPageBreak/>
        <w:t xml:space="preserve">الإمكان وليس ظاهر الكلام ففي قبول قوله إذا ادعاه نظر لأن هذا يتكرر وتكرير هذه الأمور يشبه الزندقة </w:t>
      </w:r>
    </w:p>
    <w:p w14:paraId="4B5B232D" w14:textId="3E8158D9" w:rsidR="00777DCB" w:rsidRPr="00A52585" w:rsidRDefault="0002035C" w:rsidP="0002035C">
      <w:pPr>
        <w:rPr>
          <w:b/>
          <w:rtl/>
        </w:rPr>
      </w:pPr>
      <w:r w:rsidRPr="00A52585">
        <w:rPr>
          <w:rFonts w:hint="cs"/>
          <w:bCs/>
          <w:rtl/>
        </w:rPr>
        <w:t>[</w:t>
      </w:r>
      <w:r w:rsidR="00777DCB" w:rsidRPr="00A52585">
        <w:rPr>
          <w:rFonts w:hint="cs"/>
          <w:bCs/>
          <w:rtl/>
        </w:rPr>
        <w:t>فصــل</w:t>
      </w:r>
      <w:r w:rsidRPr="00A52585">
        <w:rPr>
          <w:rFonts w:hint="cs"/>
          <w:bCs/>
          <w:rtl/>
        </w:rPr>
        <w:t>]:</w:t>
      </w:r>
      <w:r w:rsidR="00777DCB" w:rsidRPr="00A52585">
        <w:rPr>
          <w:rFonts w:hint="cs"/>
          <w:bCs/>
          <w:rtl/>
        </w:rPr>
        <w:t xml:space="preserve"> زعم الناظم قيام الحوادث</w:t>
      </w:r>
      <w:r w:rsidRPr="00A52585">
        <w:rPr>
          <w:rFonts w:hint="cs"/>
          <w:bCs/>
          <w:rtl/>
        </w:rPr>
        <w:t xml:space="preserve"> </w:t>
      </w:r>
      <w:r w:rsidR="00777DCB" w:rsidRPr="00A52585">
        <w:rPr>
          <w:rFonts w:hint="cs"/>
          <w:bCs/>
          <w:rtl/>
        </w:rPr>
        <w:t>بالله</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وقضى بأن الله ليس بفاعل فعلا يقوم</w:t>
      </w:r>
      <w:r w:rsidRPr="00A52585">
        <w:rPr>
          <w:rFonts w:hint="cs"/>
          <w:rtl/>
        </w:rPr>
        <w:t xml:space="preserve"> </w:t>
      </w:r>
      <w:r w:rsidR="00777DCB" w:rsidRPr="00A52585">
        <w:rPr>
          <w:rFonts w:hint="cs"/>
          <w:rtl/>
        </w:rPr>
        <w:t>به بلا برهان</w:t>
      </w:r>
      <w:r w:rsidRPr="00A52585">
        <w:rPr>
          <w:rFonts w:hint="cs"/>
          <w:rtl/>
        </w:rPr>
        <w:t>)</w:t>
      </w:r>
      <w:r w:rsidR="00777DCB" w:rsidRPr="00A52585">
        <w:rPr>
          <w:rFonts w:hint="cs"/>
          <w:rtl/>
        </w:rPr>
        <w:t xml:space="preserve"> مقصود الناظم أن الله يفعل فعلا في ذاته فيكون محلا للحوادث</w:t>
      </w:r>
      <w:r w:rsidR="00DB731D" w:rsidRPr="00A52585">
        <w:rPr>
          <w:rFonts w:hint="cs"/>
          <w:rtl/>
        </w:rPr>
        <w:t>،</w:t>
      </w:r>
      <w:r w:rsidR="00777DCB" w:rsidRPr="00A52585">
        <w:rPr>
          <w:rFonts w:hint="cs"/>
          <w:rtl/>
        </w:rPr>
        <w:t xml:space="preserve"> تعالى الله عن قوله</w:t>
      </w:r>
      <w:r w:rsidR="00DB731D" w:rsidRPr="00A52585">
        <w:rPr>
          <w:rFonts w:hint="cs"/>
          <w:rtl/>
        </w:rPr>
        <w:t>،</w:t>
      </w:r>
      <w:r w:rsidR="00777DCB" w:rsidRPr="00A52585">
        <w:rPr>
          <w:rFonts w:hint="cs"/>
          <w:rtl/>
        </w:rPr>
        <w:t xml:space="preserve"> فنسب إلى جهم خلاف قوله وأنه قول بلا برهان</w:t>
      </w:r>
      <w:r w:rsidR="00DB731D" w:rsidRPr="00A52585">
        <w:rPr>
          <w:rFonts w:hint="cs"/>
          <w:rtl/>
        </w:rPr>
        <w:t>،</w:t>
      </w:r>
      <w:r w:rsidR="00777DCB" w:rsidRPr="00A52585">
        <w:rPr>
          <w:rFonts w:hint="cs"/>
          <w:rtl/>
        </w:rPr>
        <w:t xml:space="preserve"> وهذا الناظم لا يعرف حقيقة البرهان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الأستاذ أبو منصور عبد القاهر البغدادي في كتاب (</w:t>
      </w:r>
      <w:r w:rsidR="00777DCB" w:rsidRPr="00A52585">
        <w:rPr>
          <w:rFonts w:hint="cs"/>
          <w:bCs/>
          <w:sz w:val="24"/>
          <w:szCs w:val="24"/>
          <w:rtl/>
        </w:rPr>
        <w:t>الأسماء والصفات</w:t>
      </w:r>
      <w:r w:rsidR="00777DCB" w:rsidRPr="00A52585">
        <w:rPr>
          <w:rFonts w:hint="cs"/>
          <w:sz w:val="24"/>
          <w:szCs w:val="24"/>
          <w:rtl/>
        </w:rPr>
        <w:t>)</w:t>
      </w:r>
      <w:r w:rsidRPr="00A52585">
        <w:rPr>
          <w:rFonts w:hint="cs"/>
          <w:sz w:val="24"/>
          <w:szCs w:val="24"/>
          <w:rtl/>
        </w:rPr>
        <w:t>:</w:t>
      </w:r>
      <w:r w:rsidR="00777DCB" w:rsidRPr="00A52585">
        <w:rPr>
          <w:rFonts w:hint="cs"/>
          <w:sz w:val="24"/>
          <w:szCs w:val="24"/>
          <w:rtl/>
        </w:rPr>
        <w:t xml:space="preserve"> إن الأشعري وأكثر المتكلمين قالوا بتكفير كل مبتدع كانت بدعته كفراً أو أدت إلى كفر، كمن زعم أن لمعبوده صورة أو أن له حداً ونهاية أو أنه يجوز عليه الحركة والسكون… ولا إشكال لذي لب في تكفير الكرامية مجسمة خراسان في قولهم إنه تعالى جسم له حد ونهاية من تحته وأنه مماس لعرشه وأنه محل الحوادث وأنه يحدث فيه قوله وإرادته اهـ، (راجع </w:t>
      </w:r>
      <w:r w:rsidR="00777DCB" w:rsidRPr="00A52585">
        <w:rPr>
          <w:rFonts w:hint="cs"/>
          <w:bCs/>
          <w:sz w:val="24"/>
          <w:szCs w:val="24"/>
          <w:rtl/>
        </w:rPr>
        <w:t xml:space="preserve">الفتاوى </w:t>
      </w:r>
      <w:proofErr w:type="spellStart"/>
      <w:r w:rsidR="00777DCB" w:rsidRPr="00A52585">
        <w:rPr>
          <w:rFonts w:hint="cs"/>
          <w:bCs/>
          <w:sz w:val="24"/>
          <w:szCs w:val="24"/>
          <w:rtl/>
        </w:rPr>
        <w:t>الحلبيات</w:t>
      </w:r>
      <w:proofErr w:type="spellEnd"/>
      <w:r w:rsidR="00777DCB" w:rsidRPr="00A52585">
        <w:rPr>
          <w:rFonts w:hint="cs"/>
          <w:sz w:val="24"/>
          <w:szCs w:val="24"/>
          <w:rtl/>
        </w:rPr>
        <w:t xml:space="preserve"> في أجوبة المؤلف عن 64 مسألة سأله عنها الشهاب </w:t>
      </w:r>
      <w:proofErr w:type="spellStart"/>
      <w:r w:rsidR="00777DCB" w:rsidRPr="00A52585">
        <w:rPr>
          <w:rFonts w:hint="cs"/>
          <w:sz w:val="24"/>
          <w:szCs w:val="24"/>
          <w:rtl/>
        </w:rPr>
        <w:t>الأذرعي</w:t>
      </w:r>
      <w:proofErr w:type="spellEnd"/>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وكثيراً ما ترى الناظم يلهج بقيام الأفعال الحادثة بالله تعالى وينطق بلوازم الجسمية والتشبيه بكل صراحة, وفي مثله قال القائل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كم تزرع التشبيه في سنخ القلوب فما انـزرع</w:t>
      </w:r>
      <w:r w:rsidR="00DB731D" w:rsidRPr="00A52585">
        <w:rPr>
          <w:rFonts w:hint="cs"/>
          <w:sz w:val="24"/>
          <w:szCs w:val="24"/>
          <w:rtl/>
        </w:rPr>
        <w:t>،</w:t>
      </w:r>
      <w:r w:rsidR="00777DCB" w:rsidRPr="00A52585">
        <w:rPr>
          <w:rFonts w:hint="cs"/>
          <w:sz w:val="24"/>
          <w:szCs w:val="24"/>
          <w:rtl/>
        </w:rPr>
        <w:t xml:space="preserve"> فهنــاك يمكن أن</w:t>
      </w:r>
      <w:r w:rsidRPr="00A52585">
        <w:rPr>
          <w:rFonts w:hint="cs"/>
          <w:sz w:val="24"/>
          <w:szCs w:val="24"/>
          <w:rtl/>
        </w:rPr>
        <w:t xml:space="preserve"> </w:t>
      </w:r>
      <w:r w:rsidR="00777DCB" w:rsidRPr="00A52585">
        <w:rPr>
          <w:rFonts w:hint="cs"/>
          <w:sz w:val="24"/>
          <w:szCs w:val="24"/>
          <w:rtl/>
        </w:rPr>
        <w:t>يصــدق ما تقـول ويستــمع</w:t>
      </w:r>
      <w:r w:rsidR="00DB731D" w:rsidRPr="00A52585">
        <w:rPr>
          <w:rFonts w:hint="cs"/>
          <w:sz w:val="24"/>
          <w:szCs w:val="24"/>
          <w:rtl/>
        </w:rPr>
        <w:t>،</w:t>
      </w:r>
      <w:r w:rsidR="00777DCB" w:rsidRPr="00A52585">
        <w:rPr>
          <w:rFonts w:hint="cs"/>
          <w:sz w:val="24"/>
          <w:szCs w:val="24"/>
          <w:rtl/>
        </w:rPr>
        <w:t xml:space="preserve"> فاهجر دمشق وأهلها واسكن ببصرى أو زرع</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وحق أمصار المسلمين أن لا تروج فيها أمثال تلك الأباطيل، وإن ترج فإنما تروج في مثل بصرى بلد ابن زكنون أو زرع بلد الناظم أو تلك القفار التي لا يشع فيها نور غير نور الشمس]</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والجبر مذهبه</w:t>
      </w:r>
      <w:r w:rsidRPr="00A52585">
        <w:rPr>
          <w:rFonts w:hint="cs"/>
          <w:rtl/>
        </w:rPr>
        <w:t>)</w:t>
      </w:r>
      <w:r w:rsidR="00777DCB" w:rsidRPr="00A52585">
        <w:rPr>
          <w:rFonts w:hint="cs"/>
          <w:rtl/>
        </w:rPr>
        <w:t xml:space="preserve"> إن أراد نفس جهم فهو ليس بموجود والكلام معه ضياع</w:t>
      </w:r>
      <w:r w:rsidR="00DB731D" w:rsidRPr="00A52585">
        <w:rPr>
          <w:rFonts w:hint="cs"/>
          <w:rtl/>
        </w:rPr>
        <w:t>،</w:t>
      </w:r>
      <w:r w:rsidR="00777DCB" w:rsidRPr="00A52585">
        <w:rPr>
          <w:rFonts w:hint="cs"/>
          <w:rtl/>
        </w:rPr>
        <w:t xml:space="preserve"> وإن أراد الأشعري فقد كذب في قوله </w:t>
      </w:r>
      <w:r w:rsidRPr="00A52585">
        <w:rPr>
          <w:rFonts w:hint="cs"/>
          <w:rtl/>
        </w:rPr>
        <w:t>(</w:t>
      </w:r>
      <w:r w:rsidR="00777DCB" w:rsidRPr="00A52585">
        <w:rPr>
          <w:rFonts w:hint="cs"/>
          <w:rtl/>
        </w:rPr>
        <w:t>إن الجبر مذهبه</w:t>
      </w:r>
      <w:r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لكنهم حملوا ذنوبهم على رب العباد</w:t>
      </w:r>
      <w:r w:rsidRPr="00A52585">
        <w:rPr>
          <w:rFonts w:hint="cs"/>
          <w:rtl/>
        </w:rPr>
        <w:t>)</w:t>
      </w:r>
      <w:r w:rsidR="00777DCB" w:rsidRPr="00A52585">
        <w:rPr>
          <w:rFonts w:hint="cs"/>
          <w:rtl/>
        </w:rPr>
        <w:t xml:space="preserve"> هذا كذب أيضاً عليهم فإن الجبرية يقولون إن الله تعالى يعذب من يشاء بذنب وبغير ذنب</w:t>
      </w:r>
      <w:r w:rsidR="00DB731D" w:rsidRPr="00A52585">
        <w:rPr>
          <w:rFonts w:hint="cs"/>
          <w:rtl/>
        </w:rPr>
        <w:t>،</w:t>
      </w:r>
      <w:r w:rsidR="00777DCB" w:rsidRPr="00A52585">
        <w:rPr>
          <w:rFonts w:hint="cs"/>
          <w:rtl/>
        </w:rPr>
        <w:t xml:space="preserve"> له ذلك </w:t>
      </w:r>
      <w:r w:rsidRPr="00A52585">
        <w:rPr>
          <w:rFonts w:hint="cs"/>
          <w:rtl/>
        </w:rPr>
        <w:t>{</w:t>
      </w:r>
      <w:r w:rsidR="00777DCB" w:rsidRPr="00A52585">
        <w:rPr>
          <w:rFonts w:hint="cs"/>
          <w:rtl/>
        </w:rPr>
        <w:t>لا يسأل عما يفعل</w:t>
      </w:r>
      <w:r w:rsidRPr="00A52585">
        <w:rPr>
          <w:rFonts w:hint="cs"/>
          <w:rtl/>
        </w:rPr>
        <w:t>}</w:t>
      </w:r>
      <w:r w:rsidR="00777DCB" w:rsidRPr="00A52585">
        <w:rPr>
          <w:rFonts w:hint="cs"/>
          <w:rtl/>
        </w:rPr>
        <w:t xml:space="preserve"> </w:t>
      </w:r>
      <w:r w:rsidRPr="00A52585">
        <w:rPr>
          <w:rFonts w:hint="cs"/>
          <w:rtl/>
        </w:rPr>
        <w:t>[</w:t>
      </w:r>
      <w:r w:rsidR="00777DCB" w:rsidRPr="00A52585">
        <w:rPr>
          <w:rFonts w:hint="cs"/>
          <w:sz w:val="24"/>
          <w:rtl/>
        </w:rPr>
        <w:t>الآية</w:t>
      </w:r>
      <w:r w:rsidRPr="00A52585">
        <w:rPr>
          <w:rFonts w:hint="cs"/>
          <w:sz w:val="24"/>
          <w:rtl/>
        </w:rPr>
        <w:t>:</w:t>
      </w:r>
      <w:r w:rsidR="00777DCB" w:rsidRPr="00A52585">
        <w:rPr>
          <w:rFonts w:hint="cs"/>
          <w:sz w:val="24"/>
          <w:rtl/>
        </w:rPr>
        <w:t xml:space="preserve"> 23 من</w:t>
      </w:r>
      <w:r w:rsidRPr="00A52585">
        <w:rPr>
          <w:rFonts w:hint="cs"/>
          <w:sz w:val="24"/>
          <w:rtl/>
        </w:rPr>
        <w:t xml:space="preserve"> </w:t>
      </w:r>
      <w:r w:rsidR="00777DCB" w:rsidRPr="00A52585">
        <w:rPr>
          <w:rFonts w:hint="cs"/>
          <w:sz w:val="24"/>
          <w:rtl/>
        </w:rPr>
        <w:t>سورة الأنبياء</w:t>
      </w:r>
      <w:r w:rsidRPr="00A52585">
        <w:rPr>
          <w:rFonts w:hint="cs"/>
          <w:rtl/>
        </w:rPr>
        <w:t>]</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وتبرأوا منها وقالوا إنها</w:t>
      </w:r>
      <w:r w:rsidR="00897A24" w:rsidRPr="00A52585">
        <w:rPr>
          <w:rFonts w:hint="cs"/>
          <w:rtl/>
        </w:rPr>
        <w:t>.</w:t>
      </w:r>
      <w:r w:rsidR="00777DCB" w:rsidRPr="00A52585">
        <w:rPr>
          <w:rFonts w:hint="cs"/>
          <w:rtl/>
        </w:rPr>
        <w:t>.. أفعاله ما حيلة الإنسان</w:t>
      </w:r>
      <w:r w:rsidRPr="00A52585">
        <w:rPr>
          <w:rFonts w:hint="cs"/>
          <w:rtl/>
        </w:rPr>
        <w:t>)</w:t>
      </w:r>
      <w:r w:rsidR="00DB731D" w:rsidRPr="00A52585">
        <w:rPr>
          <w:rFonts w:hint="cs"/>
          <w:rtl/>
        </w:rPr>
        <w:t>،</w:t>
      </w:r>
      <w:r w:rsidR="00777DCB" w:rsidRPr="00A52585">
        <w:rPr>
          <w:rFonts w:hint="cs"/>
          <w:rtl/>
        </w:rPr>
        <w:t xml:space="preserve"> ما يتبرأ منها على هذه الصورة إلا ملحد</w:t>
      </w:r>
      <w:r w:rsidR="00DB731D" w:rsidRPr="00A52585">
        <w:rPr>
          <w:rFonts w:hint="cs"/>
          <w:rtl/>
        </w:rPr>
        <w:t>،</w:t>
      </w:r>
      <w:r w:rsidR="00777DCB" w:rsidRPr="00A52585">
        <w:rPr>
          <w:rFonts w:hint="cs"/>
          <w:rtl/>
        </w:rPr>
        <w:t xml:space="preserve"> والذي يعتقد ذلك يقول إنه تعالى يفعل ما يشاء وأطال الناظم في هذا كثيراً بجهل وصبية أو تقليد لمن هو مثله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وكذاك أفعال المهيمن لم تقم أيضاً به خوفاً من الحدثان</w:t>
      </w:r>
      <w:r w:rsidR="00DB731D" w:rsidRPr="00A52585">
        <w:rPr>
          <w:rFonts w:hint="cs"/>
          <w:rtl/>
        </w:rPr>
        <w:t>،</w:t>
      </w:r>
      <w:r w:rsidR="00777DCB" w:rsidRPr="00A52585">
        <w:rPr>
          <w:rFonts w:hint="cs"/>
          <w:rtl/>
        </w:rPr>
        <w:t xml:space="preserve"> فـإذا جمعـت مقـالتـيه أنتـجا كذباً وزوراً واضح البهتـان</w:t>
      </w:r>
      <w:r w:rsidRPr="00A52585">
        <w:rPr>
          <w:rFonts w:hint="cs"/>
          <w:rtl/>
        </w:rPr>
        <w:t>)</w:t>
      </w:r>
      <w:r w:rsidR="00DB731D" w:rsidRPr="00A52585">
        <w:rPr>
          <w:rFonts w:hint="cs"/>
          <w:rtl/>
        </w:rPr>
        <w:t>،</w:t>
      </w:r>
      <w:r w:rsidR="00777DCB" w:rsidRPr="00A52585">
        <w:rPr>
          <w:rFonts w:hint="cs"/>
          <w:rtl/>
        </w:rPr>
        <w:t xml:space="preserve"> يعني أن فعل العبد فعل الله وفعل الله ما هو في ذاته أنتجا بجهله ما يقوله وهو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فهناك لا خلق ولا أمر ولا</w:t>
      </w:r>
      <w:r w:rsidR="00897A24" w:rsidRPr="00A52585">
        <w:rPr>
          <w:rFonts w:hint="cs"/>
          <w:rtl/>
        </w:rPr>
        <w:t>.</w:t>
      </w:r>
      <w:r w:rsidR="00777DCB" w:rsidRPr="00A52585">
        <w:rPr>
          <w:rFonts w:hint="cs"/>
          <w:rtl/>
        </w:rPr>
        <w:t>. وحي ولا تكليف عبد فان</w:t>
      </w:r>
      <w:r w:rsidRPr="00A52585">
        <w:rPr>
          <w:rFonts w:hint="cs"/>
          <w:rtl/>
        </w:rPr>
        <w:t>)</w:t>
      </w:r>
      <w:r w:rsidR="00DB731D" w:rsidRPr="00A52585">
        <w:rPr>
          <w:rFonts w:hint="cs"/>
          <w:rtl/>
        </w:rPr>
        <w:t>،</w:t>
      </w:r>
      <w:r w:rsidR="00777DCB" w:rsidRPr="00A52585">
        <w:rPr>
          <w:rFonts w:hint="cs"/>
          <w:rtl/>
        </w:rPr>
        <w:t xml:space="preserve"> ما هذه إلا قحة وبلادة يأخذ ما </w:t>
      </w:r>
      <w:proofErr w:type="spellStart"/>
      <w:r w:rsidR="00777DCB" w:rsidRPr="00A52585">
        <w:rPr>
          <w:rFonts w:hint="cs"/>
          <w:rtl/>
        </w:rPr>
        <w:t>يتوهمه</w:t>
      </w:r>
      <w:proofErr w:type="spellEnd"/>
      <w:r w:rsidR="00777DCB" w:rsidRPr="00A52585">
        <w:rPr>
          <w:rFonts w:hint="cs"/>
          <w:rtl/>
        </w:rPr>
        <w:t xml:space="preserve"> لازما فيستنتج وينكر على الناس إلزامه التجسيم اللازم</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فانظر إلى تعطيله الأوصاف والأفعال والأســماء للرحمن</w:t>
      </w:r>
      <w:r w:rsidRPr="00A52585">
        <w:rPr>
          <w:rFonts w:hint="cs"/>
          <w:rtl/>
        </w:rPr>
        <w:t>)</w:t>
      </w:r>
      <w:r w:rsidR="00DB731D" w:rsidRPr="00A52585">
        <w:rPr>
          <w:rFonts w:hint="cs"/>
          <w:rtl/>
        </w:rPr>
        <w:t>،</w:t>
      </w:r>
      <w:r w:rsidR="00777DCB" w:rsidRPr="00A52585">
        <w:rPr>
          <w:rFonts w:hint="cs"/>
          <w:rtl/>
        </w:rPr>
        <w:t xml:space="preserve"> يا جاهل من قال بحدوث الأفعال كيف يلزمه التعطيل</w:t>
      </w:r>
      <w:r w:rsidR="00F95886"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والناظم المسكين قائل بحوادث لا أول لها انخداعاً منه بشبه أوردها الفلاسفة في بحث الحدوث، غير متصور اتصاف الله سبحانه بصفاته العليا قبل صدور الأفعال منه تعالى</w:t>
      </w:r>
      <w:r w:rsidR="00DB731D" w:rsidRPr="00A52585">
        <w:rPr>
          <w:rFonts w:hint="cs"/>
          <w:sz w:val="24"/>
          <w:szCs w:val="24"/>
          <w:rtl/>
        </w:rPr>
        <w:t>،</w:t>
      </w:r>
      <w:r w:rsidR="00777DCB" w:rsidRPr="00A52585">
        <w:rPr>
          <w:rFonts w:hint="cs"/>
          <w:sz w:val="24"/>
          <w:szCs w:val="24"/>
          <w:rtl/>
        </w:rPr>
        <w:t xml:space="preserve"> واستنكار شيخه (كان الله ولم يكن معه شيء) مما </w:t>
      </w:r>
      <w:proofErr w:type="spellStart"/>
      <w:r w:rsidR="00777DCB" w:rsidRPr="00A52585">
        <w:rPr>
          <w:rFonts w:hint="cs"/>
          <w:sz w:val="24"/>
          <w:szCs w:val="24"/>
          <w:rtl/>
        </w:rPr>
        <w:t>استبشعه</w:t>
      </w:r>
      <w:proofErr w:type="spellEnd"/>
      <w:r w:rsidR="00777DCB" w:rsidRPr="00A52585">
        <w:rPr>
          <w:rFonts w:hint="cs"/>
          <w:sz w:val="24"/>
          <w:szCs w:val="24"/>
          <w:rtl/>
        </w:rPr>
        <w:t xml:space="preserve"> ابن حجر في فتح الباري جد </w:t>
      </w:r>
      <w:proofErr w:type="spellStart"/>
      <w:r w:rsidR="00777DCB" w:rsidRPr="00A52585">
        <w:rPr>
          <w:rFonts w:hint="cs"/>
          <w:sz w:val="24"/>
          <w:szCs w:val="24"/>
          <w:rtl/>
        </w:rPr>
        <w:t>الاستبشاع</w:t>
      </w:r>
      <w:proofErr w:type="spellEnd"/>
      <w:r w:rsidR="00DB731D" w:rsidRPr="00A52585">
        <w:rPr>
          <w:rFonts w:hint="cs"/>
          <w:sz w:val="24"/>
          <w:szCs w:val="24"/>
          <w:rtl/>
        </w:rPr>
        <w:t>،</w:t>
      </w:r>
      <w:r w:rsidR="00777DCB" w:rsidRPr="00A52585">
        <w:rPr>
          <w:rFonts w:hint="cs"/>
          <w:sz w:val="24"/>
          <w:szCs w:val="24"/>
          <w:rtl/>
        </w:rPr>
        <w:t xml:space="preserve"> وحدوث الأفعال فيما لا يزال لا يلزم منه تعطيل الصفات أصلاً، لا في زمن حدوث الأفعال ولا في غيره، وهو تعالى سريع الحساب وشديد العقاب قبل </w:t>
      </w:r>
      <w:r w:rsidR="00777DCB" w:rsidRPr="00A52585">
        <w:rPr>
          <w:rFonts w:hint="cs"/>
          <w:sz w:val="24"/>
          <w:szCs w:val="24"/>
          <w:rtl/>
        </w:rPr>
        <w:lastRenderedPageBreak/>
        <w:t>خلق الكون وقبل النشور، وهل يتصور عاقل أن يحاسب الله خلقه أو يعاقبه قبل أن يخلقهم</w:t>
      </w:r>
      <w:r w:rsidR="00F95886" w:rsidRPr="00A52585">
        <w:rPr>
          <w:rFonts w:hint="cs"/>
          <w:sz w:val="24"/>
          <w:szCs w:val="24"/>
          <w:rtl/>
        </w:rPr>
        <w:t>!</w:t>
      </w:r>
      <w:r w:rsidR="00777DCB"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وهذا يهد مزاعم الناظم الذي يجرى الصفات على مجرى واحد، فالله القادر مختار يفعل ما يشاء متى شاء</w:t>
      </w:r>
      <w:r w:rsidRPr="00A52585">
        <w:rPr>
          <w:rFonts w:hint="cs"/>
          <w:sz w:val="24"/>
          <w:szCs w:val="24"/>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ماذا الذي في ضمن ذا التعطيل</w:t>
      </w:r>
      <w:r w:rsidRPr="00A52585">
        <w:rPr>
          <w:rFonts w:hint="cs"/>
          <w:rtl/>
        </w:rPr>
        <w:t xml:space="preserve"> </w:t>
      </w:r>
      <w:r w:rsidR="00777DCB" w:rsidRPr="00A52585">
        <w:rPr>
          <w:rFonts w:hint="cs"/>
          <w:rtl/>
        </w:rPr>
        <w:t>نفي ومــن جحد ومـن كفران</w:t>
      </w:r>
      <w:r w:rsidRPr="00A52585">
        <w:rPr>
          <w:rFonts w:hint="cs"/>
          <w:rtl/>
        </w:rPr>
        <w:t>)</w:t>
      </w:r>
      <w:r w:rsidR="00DB731D" w:rsidRPr="00A52585">
        <w:rPr>
          <w:rFonts w:hint="cs"/>
          <w:rtl/>
        </w:rPr>
        <w:t>،</w:t>
      </w:r>
      <w:r w:rsidR="00777DCB" w:rsidRPr="00A52585">
        <w:rPr>
          <w:rFonts w:hint="cs"/>
          <w:rtl/>
        </w:rPr>
        <w:t xml:space="preserve"> إذا رجعنا إلى الخلاف بينك وبينه وجدناك كاذباً عليه ليس في القول بحدوث الأفعال لا نفي ولا جحود ولا كفران</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(لكنه أبدى المقالة هكذا في قالب التنـزيه للرحمن</w:t>
      </w:r>
      <w:r w:rsidR="00DB731D" w:rsidRPr="00A52585">
        <w:rPr>
          <w:rFonts w:hint="cs"/>
          <w:rtl/>
        </w:rPr>
        <w:t>،</w:t>
      </w:r>
      <w:r w:rsidR="00777DCB" w:rsidRPr="00A52585">
        <w:rPr>
          <w:rFonts w:hint="cs"/>
          <w:rtl/>
        </w:rPr>
        <w:t xml:space="preserve"> وأتى إلى الكفر العظـيم فصاغه عجــلا ليفــتن أمـة الثيران</w:t>
      </w:r>
      <w:r w:rsidRPr="00A52585">
        <w:rPr>
          <w:rFonts w:hint="cs"/>
          <w:rtl/>
        </w:rPr>
        <w:t>)</w:t>
      </w:r>
      <w:r w:rsidR="00DB731D" w:rsidRPr="00A52585">
        <w:rPr>
          <w:rFonts w:hint="cs"/>
          <w:rtl/>
        </w:rPr>
        <w:t>،</w:t>
      </w:r>
      <w:r w:rsidR="00777DCB" w:rsidRPr="00A52585">
        <w:rPr>
          <w:rFonts w:hint="cs"/>
          <w:rtl/>
        </w:rPr>
        <w:t xml:space="preserve"> الله عند لسان كل قائل. الرجل إنما قال ذلك في قالب التنـزيه ولم نعلم نحن باطنه فمن أين لك أنه قصد خلافه وصاغ الكفر عجلا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فرآه ثــيران الــورى فأصابهم كمصاب إخوتهم قديم زمان</w:t>
      </w:r>
      <w:r w:rsidRPr="00A52585">
        <w:rPr>
          <w:rFonts w:hint="cs"/>
          <w:rtl/>
        </w:rPr>
        <w:t>)</w:t>
      </w:r>
      <w:r w:rsidR="00DB731D" w:rsidRPr="00A52585">
        <w:rPr>
          <w:rFonts w:hint="cs"/>
          <w:rtl/>
        </w:rPr>
        <w:t>،</w:t>
      </w:r>
      <w:r w:rsidR="00777DCB" w:rsidRPr="00A52585">
        <w:rPr>
          <w:rFonts w:hint="cs"/>
          <w:rtl/>
        </w:rPr>
        <w:t xml:space="preserve"> إن أراد طائفة لا وجود لها فما في ذكرها من فائدة</w:t>
      </w:r>
      <w:r w:rsidR="00DB731D" w:rsidRPr="00A52585">
        <w:rPr>
          <w:rFonts w:hint="cs"/>
          <w:rtl/>
        </w:rPr>
        <w:t>،</w:t>
      </w:r>
      <w:r w:rsidR="00777DCB" w:rsidRPr="00A52585">
        <w:rPr>
          <w:rFonts w:hint="cs"/>
          <w:rtl/>
        </w:rPr>
        <w:t xml:space="preserve"> وإن أراد خصماءه من الأشعرية ونحوهم فيا لها من مصيبة جعلهم ثيراناً إخوة اليهود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عجلان قد فتنا العباد بصوته إحداهما وبحــرفه ذا الثــاني</w:t>
      </w:r>
      <w:r w:rsidRPr="00A52585">
        <w:rPr>
          <w:rFonts w:hint="cs"/>
          <w:rtl/>
        </w:rPr>
        <w:t>)</w:t>
      </w:r>
      <w:r w:rsidR="00DB731D" w:rsidRPr="00A52585">
        <w:rPr>
          <w:rFonts w:hint="cs"/>
          <w:rtl/>
        </w:rPr>
        <w:t>،</w:t>
      </w:r>
      <w:r w:rsidR="00777DCB" w:rsidRPr="00A52585">
        <w:rPr>
          <w:rFonts w:hint="cs"/>
          <w:rtl/>
        </w:rPr>
        <w:t xml:space="preserve"> وذكر أبياتا إلى آخرها</w:t>
      </w:r>
      <w:r w:rsidR="00DB731D" w:rsidRPr="00A52585">
        <w:rPr>
          <w:rFonts w:hint="cs"/>
          <w:rtl/>
        </w:rPr>
        <w:t>،</w:t>
      </w:r>
      <w:r w:rsidR="00777DCB" w:rsidRPr="00A52585">
        <w:rPr>
          <w:rFonts w:hint="cs"/>
          <w:rtl/>
        </w:rPr>
        <w:t xml:space="preserve"> والله أعلم أنه يقصد بها ربط قلوب الناس على أنه لا مسلم إلا هو وطائفته وسائر الناس كفار كاليهود الذين عبدوا العجل. فيا ترى من أحق بشبه من عبد العجل</w:t>
      </w:r>
      <w:r w:rsidR="00F95886" w:rsidRPr="00A52585">
        <w:rPr>
          <w:rFonts w:hint="cs"/>
          <w:rtl/>
        </w:rPr>
        <w:t>؟</w:t>
      </w:r>
      <w:r w:rsidR="00777DCB" w:rsidRPr="00A52585">
        <w:rPr>
          <w:rFonts w:hint="cs"/>
          <w:rtl/>
        </w:rPr>
        <w:t xml:space="preserve"> المجسم أم غيره</w:t>
      </w:r>
      <w:r w:rsidR="00F95886" w:rsidRPr="00A52585">
        <w:rPr>
          <w:rFonts w:hint="cs"/>
          <w:rtl/>
        </w:rPr>
        <w:t>؟</w:t>
      </w:r>
      <w:r w:rsidR="00777DCB" w:rsidRPr="00A52585">
        <w:rPr>
          <w:rFonts w:hint="cs"/>
          <w:rtl/>
        </w:rPr>
        <w:t xml:space="preserve"> </w:t>
      </w:r>
    </w:p>
    <w:p w14:paraId="026156D5" w14:textId="6D3BF743" w:rsidR="00777DCB" w:rsidRPr="00A52585" w:rsidRDefault="0002035C" w:rsidP="0002035C">
      <w:pPr>
        <w:spacing w:after="240"/>
        <w:rPr>
          <w:b/>
          <w:rtl/>
        </w:rPr>
      </w:pPr>
      <w:r w:rsidRPr="00A52585">
        <w:rPr>
          <w:rFonts w:hint="cs"/>
          <w:bCs/>
          <w:rtl/>
        </w:rPr>
        <w:t>[</w:t>
      </w:r>
      <w:r w:rsidR="00777DCB" w:rsidRPr="00A52585">
        <w:rPr>
          <w:rFonts w:hint="cs"/>
          <w:bCs/>
          <w:rtl/>
        </w:rPr>
        <w:t>فصـــــل</w:t>
      </w:r>
      <w:r w:rsidRPr="00A52585">
        <w:rPr>
          <w:rFonts w:hint="cs"/>
          <w:bCs/>
          <w:rtl/>
        </w:rPr>
        <w:t>]</w:t>
      </w:r>
      <w:r w:rsidRPr="00A52585">
        <w:rPr>
          <w:rFonts w:hint="cs"/>
          <w:rtl/>
        </w:rPr>
        <w:t xml:space="preserve">: </w:t>
      </w:r>
      <w:r w:rsidR="00777DCB" w:rsidRPr="00A52585">
        <w:rPr>
          <w:rFonts w:hint="cs"/>
          <w:rtl/>
        </w:rPr>
        <w:t>ثم قال</w:t>
      </w:r>
      <w:r w:rsidRPr="00A52585">
        <w:rPr>
          <w:rFonts w:hint="cs"/>
          <w:rtl/>
        </w:rPr>
        <w:t>:</w:t>
      </w:r>
      <w:r w:rsidR="00777DCB" w:rsidRPr="00A52585">
        <w:rPr>
          <w:rFonts w:hint="cs"/>
          <w:rtl/>
        </w:rPr>
        <w:t xml:space="preserve"> (يا أيها الرجل المريد نجاته اسمع مقالة ناصح معوان</w:t>
      </w:r>
      <w:r w:rsidR="00DB731D" w:rsidRPr="00A52585">
        <w:rPr>
          <w:rFonts w:hint="cs"/>
          <w:rtl/>
        </w:rPr>
        <w:t>،</w:t>
      </w:r>
      <w:r w:rsidR="00777DCB" w:rsidRPr="00A52585">
        <w:rPr>
          <w:rFonts w:hint="cs"/>
          <w:rtl/>
        </w:rPr>
        <w:t xml:space="preserve"> واضرب بسيف الوحي كل معطل ضرب المجاهد فوق كل بنان</w:t>
      </w:r>
      <w:r w:rsidR="00DB731D" w:rsidRPr="00A52585">
        <w:rPr>
          <w:rFonts w:hint="cs"/>
          <w:rtl/>
        </w:rPr>
        <w:t>،</w:t>
      </w:r>
      <w:r w:rsidR="00777DCB" w:rsidRPr="00A52585">
        <w:rPr>
          <w:rFonts w:hint="cs"/>
          <w:rtl/>
        </w:rPr>
        <w:t xml:space="preserve"> من ذا يبـارز فليقـدم</w:t>
      </w:r>
      <w:r w:rsidRPr="00A52585">
        <w:rPr>
          <w:rFonts w:hint="cs"/>
          <w:rtl/>
        </w:rPr>
        <w:t xml:space="preserve"> </w:t>
      </w:r>
      <w:r w:rsidR="00777DCB" w:rsidRPr="00A52585">
        <w:rPr>
          <w:rFonts w:hint="cs"/>
          <w:rtl/>
        </w:rPr>
        <w:t>نفـسه أو من يسابق يبد في</w:t>
      </w:r>
      <w:r w:rsidRPr="00A52585">
        <w:rPr>
          <w:rFonts w:hint="cs"/>
          <w:rtl/>
        </w:rPr>
        <w:t xml:space="preserve"> </w:t>
      </w:r>
      <w:r w:rsidR="00777DCB" w:rsidRPr="00A52585">
        <w:rPr>
          <w:rFonts w:hint="cs"/>
          <w:rtl/>
        </w:rPr>
        <w:t>الميدان</w:t>
      </w:r>
      <w:r w:rsidRPr="00A52585">
        <w:rPr>
          <w:rFonts w:hint="cs"/>
          <w:rtl/>
        </w:rPr>
        <w:t>)</w:t>
      </w:r>
      <w:r w:rsidR="00DB731D" w:rsidRPr="00A52585">
        <w:rPr>
          <w:rFonts w:hint="cs"/>
          <w:rtl/>
        </w:rPr>
        <w:t>،</w:t>
      </w:r>
      <w:r w:rsidR="00777DCB" w:rsidRPr="00A52585">
        <w:rPr>
          <w:rFonts w:hint="cs"/>
          <w:rtl/>
        </w:rPr>
        <w:t xml:space="preserve"> ويلك من </w:t>
      </w:r>
      <w:proofErr w:type="gramStart"/>
      <w:r w:rsidR="00777DCB" w:rsidRPr="00A52585">
        <w:rPr>
          <w:rFonts w:hint="cs"/>
          <w:rtl/>
        </w:rPr>
        <w:t>أنت</w:t>
      </w:r>
      <w:r w:rsidR="00F95886" w:rsidRPr="00A52585">
        <w:rPr>
          <w:rFonts w:hint="cs"/>
          <w:rtl/>
        </w:rPr>
        <w:t>؟</w:t>
      </w:r>
      <w:r w:rsidR="00777DCB" w:rsidRPr="00A52585">
        <w:rPr>
          <w:rFonts w:hint="cs"/>
          <w:rtl/>
        </w:rPr>
        <w:t>.</w:t>
      </w:r>
      <w:proofErr w:type="gramEnd"/>
      <w:r w:rsidR="00777DCB" w:rsidRPr="00A52585">
        <w:rPr>
          <w:rFonts w:hint="cs"/>
          <w:rtl/>
        </w:rPr>
        <w:t xml:space="preserve"> أو أنت تعرف المبارزة أو حضرت قط مبارزة أو ميداناً</w:t>
      </w:r>
      <w:r w:rsidR="00F95886"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(لا تخش من كيد العدو ومكرهم فقتالهم بالكذب والبهتان</w:t>
      </w:r>
      <w:r w:rsidR="00DB731D" w:rsidRPr="00A52585">
        <w:rPr>
          <w:rFonts w:hint="cs"/>
          <w:rtl/>
        </w:rPr>
        <w:t>،</w:t>
      </w:r>
      <w:r w:rsidR="00777DCB" w:rsidRPr="00A52585">
        <w:rPr>
          <w:rFonts w:hint="cs"/>
          <w:rtl/>
        </w:rPr>
        <w:t xml:space="preserve"> فجنـود أتبـاع الرسول </w:t>
      </w:r>
      <w:proofErr w:type="gramStart"/>
      <w:r w:rsidR="00777DCB" w:rsidRPr="00A52585">
        <w:rPr>
          <w:rFonts w:hint="cs"/>
          <w:rtl/>
        </w:rPr>
        <w:t>ملائك</w:t>
      </w:r>
      <w:proofErr w:type="gramEnd"/>
      <w:r w:rsidR="00DB731D" w:rsidRPr="00A52585">
        <w:rPr>
          <w:rFonts w:hint="cs"/>
          <w:rtl/>
        </w:rPr>
        <w:t>،</w:t>
      </w:r>
      <w:r w:rsidR="00777DCB" w:rsidRPr="00A52585">
        <w:rPr>
          <w:rFonts w:hint="cs"/>
          <w:rtl/>
        </w:rPr>
        <w:t xml:space="preserve"> وجنودهم فعساكـر الشيطان</w:t>
      </w:r>
      <w:r w:rsidRPr="00A52585">
        <w:rPr>
          <w:rFonts w:hint="cs"/>
          <w:rtl/>
        </w:rPr>
        <w:t>)</w:t>
      </w:r>
      <w:r w:rsidR="00DB731D" w:rsidRPr="00A52585">
        <w:rPr>
          <w:rFonts w:hint="cs"/>
          <w:rtl/>
        </w:rPr>
        <w:t>،</w:t>
      </w:r>
      <w:r w:rsidR="00777DCB" w:rsidRPr="00A52585">
        <w:rPr>
          <w:rFonts w:hint="cs"/>
          <w:rtl/>
        </w:rPr>
        <w:t xml:space="preserve"> انظر كيف يقول عن خصومه وهم هداة العالمَ إنهم عساكر الشيطان وإن قتالهم بالكذب والبهتان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فإذا رأيت عصابة الإسلام قد وافت</w:t>
      </w:r>
      <w:r w:rsidRPr="00A52585">
        <w:rPr>
          <w:rFonts w:hint="cs"/>
          <w:rtl/>
        </w:rPr>
        <w:t>)</w:t>
      </w:r>
      <w:r w:rsidR="00777DCB" w:rsidRPr="00A52585">
        <w:rPr>
          <w:rFonts w:hint="cs"/>
          <w:rtl/>
        </w:rPr>
        <w:t xml:space="preserve"> يعني عصابة طائفته فانظر دلالته على كفر غيره </w:t>
      </w:r>
      <w:r w:rsidRPr="00A52585">
        <w:rPr>
          <w:rFonts w:hint="cs"/>
          <w:rtl/>
        </w:rPr>
        <w:t>(</w:t>
      </w:r>
      <w:r w:rsidR="00777DCB" w:rsidRPr="00A52585">
        <w:rPr>
          <w:rFonts w:hint="cs"/>
          <w:rtl/>
        </w:rPr>
        <w:t>فإذا دعوك لغير حكمهما</w:t>
      </w:r>
      <w:r w:rsidRPr="00A52585">
        <w:rPr>
          <w:rFonts w:hint="cs"/>
          <w:rtl/>
        </w:rPr>
        <w:t>)</w:t>
      </w:r>
      <w:r w:rsidR="00777DCB" w:rsidRPr="00A52585">
        <w:rPr>
          <w:rFonts w:hint="cs"/>
          <w:rtl/>
        </w:rPr>
        <w:t xml:space="preserve"> يعني الكتاب والسنة </w:t>
      </w:r>
      <w:r w:rsidRPr="00A52585">
        <w:rPr>
          <w:rFonts w:hint="cs"/>
          <w:rtl/>
        </w:rPr>
        <w:t>(</w:t>
      </w:r>
      <w:r w:rsidR="00777DCB" w:rsidRPr="00A52585">
        <w:rPr>
          <w:rFonts w:hint="cs"/>
          <w:rtl/>
        </w:rPr>
        <w:t>فلا سمعا لداعي الكفر والعصيان</w:t>
      </w:r>
      <w:r w:rsidRPr="00A52585">
        <w:rPr>
          <w:rFonts w:hint="cs"/>
          <w:rtl/>
        </w:rPr>
        <w:t>)</w:t>
      </w:r>
      <w:r w:rsidR="00777DCB" w:rsidRPr="00A52585">
        <w:rPr>
          <w:rFonts w:hint="cs"/>
          <w:rtl/>
        </w:rPr>
        <w:t xml:space="preserve"> فانظر إلى إيهامه العوام أن خصومه يدعون إلى غير الكتاب والسنة. ثم قال</w:t>
      </w:r>
      <w:r w:rsidRPr="00A52585">
        <w:rPr>
          <w:rFonts w:hint="cs"/>
          <w:rtl/>
        </w:rPr>
        <w:t>:</w:t>
      </w:r>
      <w:r w:rsidR="00777DCB" w:rsidRPr="00A52585">
        <w:rPr>
          <w:rFonts w:hint="cs"/>
          <w:rtl/>
        </w:rPr>
        <w:t xml:space="preserve"> (واسمع نصيحة من له خبر بما عند الورى من كثرة الجولان</w:t>
      </w:r>
      <w:r w:rsidR="00DB731D" w:rsidRPr="00A52585">
        <w:rPr>
          <w:rFonts w:hint="cs"/>
          <w:rtl/>
        </w:rPr>
        <w:t>،</w:t>
      </w:r>
      <w:r w:rsidR="00777DCB" w:rsidRPr="00A52585">
        <w:rPr>
          <w:rFonts w:hint="cs"/>
          <w:rtl/>
        </w:rPr>
        <w:t xml:space="preserve"> مــا عندهم والله خير غير ما أخذوه عمـن جاء بالقرآن</w:t>
      </w:r>
      <w:r w:rsidRPr="00A52585">
        <w:rPr>
          <w:rFonts w:hint="cs"/>
          <w:rtl/>
        </w:rPr>
        <w:t>)</w:t>
      </w:r>
      <w:r w:rsidR="00777DCB" w:rsidRPr="00A52585">
        <w:rPr>
          <w:rFonts w:hint="cs"/>
          <w:rtl/>
        </w:rPr>
        <w:t xml:space="preserve"> نعم ولكنهم فهموه وأنت ما فهمته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والكل بعد فبــدعة أو فرية</w:t>
      </w:r>
      <w:r w:rsidR="00897A24" w:rsidRPr="00A52585">
        <w:rPr>
          <w:rFonts w:hint="cs"/>
          <w:rtl/>
        </w:rPr>
        <w:t>.</w:t>
      </w:r>
      <w:r w:rsidR="00777DCB" w:rsidRPr="00A52585">
        <w:rPr>
          <w:rFonts w:hint="cs"/>
          <w:rtl/>
        </w:rPr>
        <w:t>. أو بحث تشكيك ورأى فلان</w:t>
      </w:r>
      <w:r w:rsidRPr="00A52585">
        <w:rPr>
          <w:rFonts w:hint="cs"/>
          <w:rtl/>
        </w:rPr>
        <w:t>)</w:t>
      </w:r>
      <w:r w:rsidR="00DB731D" w:rsidRPr="00A52585">
        <w:rPr>
          <w:rFonts w:hint="cs"/>
          <w:rtl/>
        </w:rPr>
        <w:t>،</w:t>
      </w:r>
      <w:r w:rsidR="00777DCB" w:rsidRPr="00A52585">
        <w:rPr>
          <w:rFonts w:hint="cs"/>
          <w:rtl/>
        </w:rPr>
        <w:t xml:space="preserve"> كأنه يصف طائفته</w:t>
      </w:r>
      <w:r w:rsidR="00DB731D" w:rsidRPr="00A52585">
        <w:rPr>
          <w:rFonts w:hint="cs"/>
          <w:rtl/>
        </w:rPr>
        <w:t>،</w:t>
      </w:r>
      <w:r w:rsidR="00777DCB" w:rsidRPr="00A52585">
        <w:rPr>
          <w:rFonts w:hint="cs"/>
          <w:rtl/>
        </w:rPr>
        <w:t xml:space="preserve"> </w:t>
      </w:r>
    </w:p>
    <w:p w14:paraId="6B4CE8EA" w14:textId="63ADB77B" w:rsidR="00777DCB" w:rsidRPr="00A52585" w:rsidRDefault="0002035C" w:rsidP="0002035C">
      <w:pPr>
        <w:tabs>
          <w:tab w:val="right" w:pos="8306"/>
        </w:tabs>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rtl/>
        </w:rPr>
        <w:t xml:space="preserve"> عقد مجلس خيالي.. كلامه في وحدة الوجود</w:t>
      </w:r>
      <w:r w:rsidR="00DB731D" w:rsidRPr="00A52585">
        <w:rPr>
          <w:rFonts w:hint="cs"/>
          <w:rtl/>
        </w:rPr>
        <w:t>،</w:t>
      </w:r>
      <w:r w:rsidR="00777DCB" w:rsidRPr="00A52585">
        <w:rPr>
          <w:rFonts w:hint="cs"/>
          <w:rtl/>
        </w:rPr>
        <w:t xml:space="preserve"> وهذا أول عقد مجلس التحكيم قال</w:t>
      </w:r>
      <w:r w:rsidRPr="00A52585">
        <w:rPr>
          <w:rFonts w:hint="cs"/>
          <w:rtl/>
        </w:rPr>
        <w:t>:</w:t>
      </w:r>
      <w:r w:rsidR="00777DCB" w:rsidRPr="00A52585">
        <w:rPr>
          <w:rFonts w:hint="cs"/>
          <w:rtl/>
        </w:rPr>
        <w:t xml:space="preserve"> (واحكم إذاً في رفقة قد سافروا</w:t>
      </w:r>
      <w:r w:rsidR="00897A24" w:rsidRPr="00A52585">
        <w:rPr>
          <w:rFonts w:hint="cs"/>
          <w:rtl/>
        </w:rPr>
        <w:t>.</w:t>
      </w:r>
      <w:r w:rsidR="00777DCB" w:rsidRPr="00A52585">
        <w:rPr>
          <w:rFonts w:hint="cs"/>
          <w:rtl/>
        </w:rPr>
        <w:t>. يبغون فاطر هـذه</w:t>
      </w:r>
      <w:r w:rsidRPr="00A52585">
        <w:rPr>
          <w:rFonts w:hint="cs"/>
          <w:rtl/>
        </w:rPr>
        <w:t xml:space="preserve"> </w:t>
      </w:r>
      <w:r w:rsidR="00777DCB" w:rsidRPr="00A52585">
        <w:rPr>
          <w:rFonts w:hint="cs"/>
          <w:rtl/>
        </w:rPr>
        <w:t>الأكوان</w:t>
      </w:r>
      <w:r w:rsidR="00DB731D" w:rsidRPr="00A52585">
        <w:rPr>
          <w:rFonts w:hint="cs"/>
          <w:rtl/>
        </w:rPr>
        <w:t>،</w:t>
      </w:r>
      <w:r w:rsidR="00777DCB" w:rsidRPr="00A52585">
        <w:rPr>
          <w:rFonts w:hint="cs"/>
          <w:rtl/>
        </w:rPr>
        <w:t xml:space="preserve"> فترافقوا في سيرهـم وتفارقوا</w:t>
      </w:r>
      <w:r w:rsidR="00897A24" w:rsidRPr="00A52585">
        <w:rPr>
          <w:rFonts w:hint="cs"/>
          <w:rtl/>
        </w:rPr>
        <w:t>.</w:t>
      </w:r>
      <w:r w:rsidR="00777DCB" w:rsidRPr="00A52585">
        <w:rPr>
          <w:rFonts w:hint="cs"/>
          <w:rtl/>
        </w:rPr>
        <w:t>. عند افتـراق الطرق بالحيران</w:t>
      </w:r>
      <w:r w:rsidR="00DB731D" w:rsidRPr="00A52585">
        <w:rPr>
          <w:rFonts w:hint="cs"/>
          <w:rtl/>
        </w:rPr>
        <w:t>،</w:t>
      </w:r>
      <w:r w:rsidRPr="00A52585">
        <w:rPr>
          <w:rFonts w:hint="cs"/>
          <w:rtl/>
        </w:rPr>
        <w:t xml:space="preserve"> </w:t>
      </w:r>
      <w:r w:rsidR="00777DCB" w:rsidRPr="00A52585">
        <w:rPr>
          <w:rFonts w:hint="cs"/>
          <w:rtl/>
        </w:rPr>
        <w:t>فأتى فريق ثم قال وجدتــه</w:t>
      </w:r>
      <w:r w:rsidR="00897A24" w:rsidRPr="00A52585">
        <w:rPr>
          <w:rFonts w:hint="cs"/>
          <w:rtl/>
        </w:rPr>
        <w:t>.</w:t>
      </w:r>
      <w:r w:rsidR="00777DCB" w:rsidRPr="00A52585">
        <w:rPr>
          <w:rFonts w:hint="cs"/>
          <w:rtl/>
        </w:rPr>
        <w:t>.</w:t>
      </w:r>
      <w:r w:rsidRPr="00A52585">
        <w:rPr>
          <w:rFonts w:hint="cs"/>
          <w:rtl/>
        </w:rPr>
        <w:t xml:space="preserve"> </w:t>
      </w:r>
      <w:r w:rsidR="00777DCB" w:rsidRPr="00A52585">
        <w:rPr>
          <w:rFonts w:hint="cs"/>
          <w:rtl/>
        </w:rPr>
        <w:t>هذا الوجود بعينـه وعيـان</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فهو السماء بعينها وهو الغمام بعينه وهو الهواء بعينه</w:t>
      </w:r>
      <w:r w:rsidR="00DB731D" w:rsidRPr="00A52585">
        <w:rPr>
          <w:rFonts w:hint="cs"/>
          <w:rtl/>
        </w:rPr>
        <w:t>،</w:t>
      </w:r>
      <w:r w:rsidR="00777DCB" w:rsidRPr="00A52585">
        <w:rPr>
          <w:rFonts w:hint="cs"/>
          <w:rtl/>
        </w:rPr>
        <w:t xml:space="preserve"> هذى بسائطه ومنه تركبت هذى المظاهر يلبسها ويخلعها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فتكون المظاهر </w:t>
      </w:r>
      <w:r w:rsidR="00777DCB" w:rsidRPr="00A52585">
        <w:rPr>
          <w:rFonts w:hint="cs"/>
          <w:sz w:val="24"/>
          <w:szCs w:val="24"/>
          <w:rtl/>
        </w:rPr>
        <w:lastRenderedPageBreak/>
        <w:t>على ما صوَّره الناظم محلاً له تعالى، تعالى الله عن ذلك، وأما كون الشيء مجلى لشيء فلا يفيد كونه محلاً له، فإن الظاهر في المرآة مثلاً خارج عنها بذاته قطعاً بخلاف الحال في محل، فإنه حاصل فيه، فالظهور غير الحلول فإن الظهور يجامع التنـزيه بخلاف الحلول عند أشياع الشيخ الأكبر</w:t>
      </w:r>
      <w:r w:rsidR="00DB731D" w:rsidRPr="00A52585">
        <w:rPr>
          <w:rFonts w:hint="cs"/>
          <w:sz w:val="24"/>
          <w:szCs w:val="24"/>
          <w:rtl/>
        </w:rPr>
        <w:t>،</w:t>
      </w:r>
      <w:r w:rsidR="00777DCB" w:rsidRPr="00A52585">
        <w:rPr>
          <w:rFonts w:hint="cs"/>
          <w:sz w:val="24"/>
          <w:szCs w:val="24"/>
          <w:rtl/>
        </w:rPr>
        <w:t xml:space="preserve"> وأما كونه كلاًّ والكون جزءاً له على ما ذكره الناظم فعلى خلاف ما اشتهر عنهم أن العلم أعراض مجتمعة في عين واحد كالثلج مع الماء، تعالى الله عما </w:t>
      </w:r>
      <w:proofErr w:type="spellStart"/>
      <w:r w:rsidR="00777DCB" w:rsidRPr="00A52585">
        <w:rPr>
          <w:rFonts w:hint="cs"/>
          <w:sz w:val="24"/>
          <w:szCs w:val="24"/>
          <w:rtl/>
        </w:rPr>
        <w:t>يأفكون</w:t>
      </w:r>
      <w:proofErr w:type="spellEnd"/>
      <w:r w:rsidR="00DB731D" w:rsidRPr="00A52585">
        <w:rPr>
          <w:rFonts w:hint="cs"/>
          <w:sz w:val="24"/>
          <w:szCs w:val="24"/>
          <w:rtl/>
        </w:rPr>
        <w:t>،</w:t>
      </w:r>
      <w:r w:rsidR="00777DCB" w:rsidRPr="00A52585">
        <w:rPr>
          <w:rFonts w:hint="cs"/>
          <w:sz w:val="24"/>
          <w:szCs w:val="24"/>
          <w:rtl/>
        </w:rPr>
        <w:t xml:space="preserve"> والواجب تعالى عندهم هو الوجود المحض المجرد عن الماهية، القائم بذاته المتعيّن بذاته، المطلق حتى عن قيد الإطلاق، بمعنى أنه واحد شخصي موجود بوجود هو نفسه فلا يكون المطلق عندهم بمعنى الكلى حتى يرد على ذلك ما أورده السعد في شرح المقاصد من تسعة أوجه</w:t>
      </w:r>
      <w:r w:rsidR="00DB731D" w:rsidRPr="00A52585">
        <w:rPr>
          <w:rFonts w:hint="cs"/>
          <w:sz w:val="24"/>
          <w:szCs w:val="24"/>
          <w:rtl/>
        </w:rPr>
        <w:t>،</w:t>
      </w:r>
      <w:r w:rsidR="00777DCB" w:rsidRPr="00A52585">
        <w:rPr>
          <w:rFonts w:hint="cs"/>
          <w:sz w:val="24"/>
          <w:szCs w:val="24"/>
          <w:rtl/>
        </w:rPr>
        <w:t xml:space="preserve"> وأول من نطق بوحدة الوجود في الإسلام -</w:t>
      </w:r>
      <w:r w:rsidRPr="00A52585">
        <w:rPr>
          <w:rFonts w:hint="cs"/>
          <w:sz w:val="24"/>
          <w:szCs w:val="24"/>
          <w:rtl/>
        </w:rPr>
        <w:t xml:space="preserve"> </w:t>
      </w:r>
      <w:r w:rsidR="00777DCB" w:rsidRPr="00A52585">
        <w:rPr>
          <w:rFonts w:hint="cs"/>
          <w:sz w:val="24"/>
          <w:szCs w:val="24"/>
          <w:rtl/>
        </w:rPr>
        <w:t>فيما نعلم -</w:t>
      </w:r>
      <w:r w:rsidRPr="00A52585">
        <w:rPr>
          <w:rFonts w:hint="cs"/>
          <w:sz w:val="24"/>
          <w:szCs w:val="24"/>
          <w:rtl/>
        </w:rPr>
        <w:t xml:space="preserve"> </w:t>
      </w:r>
      <w:r w:rsidR="00777DCB" w:rsidRPr="00A52585">
        <w:rPr>
          <w:rFonts w:hint="cs"/>
          <w:sz w:val="24"/>
          <w:szCs w:val="24"/>
          <w:rtl/>
        </w:rPr>
        <w:t>هو جهم بن صفوان، ولذلك ذهب إلى الجبر، فكم فتح هذا الرأي من أبواب للإباحة والزندقة على شرار الخلق</w:t>
      </w:r>
      <w:r w:rsidR="00DB731D" w:rsidRPr="00A52585">
        <w:rPr>
          <w:rFonts w:hint="cs"/>
          <w:sz w:val="24"/>
          <w:szCs w:val="24"/>
          <w:rtl/>
        </w:rPr>
        <w:t>،</w:t>
      </w:r>
      <w:r w:rsidR="00777DCB" w:rsidRPr="00A52585">
        <w:rPr>
          <w:rFonts w:hint="cs"/>
          <w:sz w:val="24"/>
          <w:szCs w:val="24"/>
          <w:rtl/>
        </w:rPr>
        <w:t xml:space="preserve"> وأما القول بأن الممكن الوجود كلا موجود بالنظر إلى واجب الوجود لاحتياجه إليه بدءاً ودواماً، فليس من الخطر في شيء كالقول بأن ذلك حالة خيالية تطرأ للسالك المقبل إلى الله بكليته ثم تنجلي كما ذكره السعد في شرح </w:t>
      </w:r>
      <w:proofErr w:type="spellStart"/>
      <w:r w:rsidR="00777DCB" w:rsidRPr="00A52585">
        <w:rPr>
          <w:rFonts w:hint="cs"/>
          <w:sz w:val="24"/>
          <w:szCs w:val="24"/>
          <w:rtl/>
        </w:rPr>
        <w:t>النسفية</w:t>
      </w:r>
      <w:proofErr w:type="spellEnd"/>
      <w:r w:rsidR="00777DCB" w:rsidRPr="00A52585">
        <w:rPr>
          <w:rFonts w:hint="cs"/>
          <w:sz w:val="24"/>
          <w:szCs w:val="24"/>
          <w:rtl/>
        </w:rPr>
        <w:t>, والناظم في كثير من كتبه</w:t>
      </w:r>
      <w:r w:rsidR="00DB731D" w:rsidRPr="00A52585">
        <w:rPr>
          <w:rFonts w:hint="cs"/>
          <w:sz w:val="24"/>
          <w:szCs w:val="24"/>
          <w:rtl/>
        </w:rPr>
        <w:t>،</w:t>
      </w:r>
      <w:r w:rsidR="00777DCB" w:rsidRPr="00A52585">
        <w:rPr>
          <w:rFonts w:hint="cs"/>
          <w:sz w:val="24"/>
          <w:szCs w:val="24"/>
          <w:rtl/>
        </w:rPr>
        <w:t xml:space="preserve"> ومن الصوفية من يتصور مسألة الوجود بحيث لا يخل بالتكليف والتنـزيه ويقول إنه طور وراء طور العقل، ولا كلام لنا فيما هو وراء طور العقل</w:t>
      </w:r>
      <w:r w:rsidRPr="00A52585">
        <w:rPr>
          <w:rFonts w:hint="cs"/>
          <w:sz w:val="24"/>
          <w:szCs w:val="24"/>
          <w:rtl/>
        </w:rPr>
        <w:t>]</w:t>
      </w:r>
      <w:r w:rsidR="00777DCB" w:rsidRPr="00A52585">
        <w:rPr>
          <w:rFonts w:hint="cs"/>
          <w:rtl/>
        </w:rPr>
        <w:t xml:space="preserve"> وتكثر الموجود كالأعضاء في المحسوس أو كالقوى في النفس. هذه مقالة</w:t>
      </w:r>
      <w:r w:rsidR="00DB731D" w:rsidRPr="00A52585">
        <w:rPr>
          <w:rFonts w:hint="cs"/>
          <w:rtl/>
        </w:rPr>
        <w:t>،</w:t>
      </w:r>
      <w:r w:rsidR="00777DCB" w:rsidRPr="00A52585">
        <w:rPr>
          <w:rFonts w:hint="cs"/>
          <w:rtl/>
        </w:rPr>
        <w:t xml:space="preserve"> أو كتكثر الأنواع في جنس فيكون كلياً وجزئياته هذا الوجود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ولا وجود للكلى إلا في ضمن جزئياته، فيكون الواجب هو العالم وهو عين مذهب الطبيعيين على تصوير الناظم خذلهم الله، على أن هذا التصوير يخالف ما قرره ابن سبعين في بدء العرف فليراجع</w:t>
      </w:r>
      <w:r w:rsidR="00DB731D" w:rsidRPr="00A52585">
        <w:rPr>
          <w:rFonts w:hint="cs"/>
          <w:sz w:val="24"/>
          <w:szCs w:val="24"/>
          <w:rtl/>
        </w:rPr>
        <w:t>،</w:t>
      </w:r>
      <w:r w:rsidR="00777DCB" w:rsidRPr="00A52585">
        <w:rPr>
          <w:rFonts w:hint="cs"/>
          <w:sz w:val="24"/>
          <w:szCs w:val="24"/>
          <w:rtl/>
        </w:rPr>
        <w:t xml:space="preserve"> وترى شيخ الناظم ينسب إلى الصدر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القول بأنه الموجود المطلق لا بشرط شيء، وإلى ابن سينا القول بأنه الوجود المطلق بشرط الإطلاق فيعده نافياً للصانع باعتبار أن ما هو بشرط الإطلاق لا وجود له إلا في الأذهان، لكن الفلاسفة</w:t>
      </w:r>
      <w:r w:rsidRPr="00A52585">
        <w:rPr>
          <w:rFonts w:hint="cs"/>
          <w:sz w:val="24"/>
          <w:szCs w:val="24"/>
          <w:rtl/>
        </w:rPr>
        <w:t xml:space="preserve"> </w:t>
      </w:r>
      <w:r w:rsidR="00777DCB" w:rsidRPr="00A52585">
        <w:rPr>
          <w:rFonts w:hint="cs"/>
          <w:sz w:val="24"/>
          <w:szCs w:val="24"/>
          <w:rtl/>
        </w:rPr>
        <w:t>- ومنهم ابن سينا -</w:t>
      </w:r>
      <w:r w:rsidRPr="00A52585">
        <w:rPr>
          <w:rFonts w:hint="cs"/>
          <w:sz w:val="24"/>
          <w:szCs w:val="24"/>
          <w:rtl/>
        </w:rPr>
        <w:t xml:space="preserve"> </w:t>
      </w:r>
      <w:r w:rsidR="00777DCB" w:rsidRPr="00A52585">
        <w:rPr>
          <w:rFonts w:hint="cs"/>
          <w:sz w:val="24"/>
          <w:szCs w:val="24"/>
          <w:rtl/>
        </w:rPr>
        <w:t>يرون أن الواجب هو الوجود المقيد بقيد التجرد، بمعنى</w:t>
      </w:r>
      <w:r w:rsidRPr="00A52585">
        <w:rPr>
          <w:rFonts w:hint="cs"/>
          <w:sz w:val="24"/>
          <w:szCs w:val="24"/>
          <w:rtl/>
        </w:rPr>
        <w:t xml:space="preserve"> </w:t>
      </w:r>
      <w:proofErr w:type="spellStart"/>
      <w:r w:rsidR="00777DCB" w:rsidRPr="00A52585">
        <w:rPr>
          <w:rFonts w:hint="cs"/>
          <w:sz w:val="24"/>
          <w:szCs w:val="24"/>
          <w:rtl/>
        </w:rPr>
        <w:t>اللاعروض</w:t>
      </w:r>
      <w:proofErr w:type="spellEnd"/>
      <w:r w:rsidR="00777DCB" w:rsidRPr="00A52585">
        <w:rPr>
          <w:rFonts w:hint="cs"/>
          <w:sz w:val="24"/>
          <w:szCs w:val="24"/>
          <w:rtl/>
        </w:rPr>
        <w:t xml:space="preserve">، وهو مبدأ الكون كله، فعلم أن شيخ الناظم لم يحك كلام ابن سينا على الوجه، وتغابى عن فهمه كما سبق مثل ذلك. ورأي الصدر </w:t>
      </w:r>
      <w:proofErr w:type="spellStart"/>
      <w:r w:rsidR="00777DCB" w:rsidRPr="00A52585">
        <w:rPr>
          <w:rFonts w:hint="cs"/>
          <w:sz w:val="24"/>
          <w:szCs w:val="24"/>
          <w:rtl/>
        </w:rPr>
        <w:t>القونوي</w:t>
      </w:r>
      <w:proofErr w:type="spellEnd"/>
      <w:r w:rsidR="00777DCB" w:rsidRPr="00A52585">
        <w:rPr>
          <w:rFonts w:hint="cs"/>
          <w:sz w:val="24"/>
          <w:szCs w:val="24"/>
          <w:rtl/>
        </w:rPr>
        <w:t xml:space="preserve"> يظهر من مفتاحه</w:t>
      </w:r>
      <w:r w:rsidR="00DB731D" w:rsidRPr="00A52585">
        <w:rPr>
          <w:rFonts w:hint="cs"/>
          <w:sz w:val="24"/>
          <w:szCs w:val="24"/>
          <w:rtl/>
        </w:rPr>
        <w:t>،</w:t>
      </w:r>
      <w:r w:rsidR="00777DCB" w:rsidRPr="00A52585">
        <w:rPr>
          <w:rFonts w:hint="cs"/>
          <w:sz w:val="24"/>
          <w:szCs w:val="24"/>
          <w:rtl/>
        </w:rPr>
        <w:t xml:space="preserve"> والحاصل أن بحث وحدة الوجود بحث خطر متشعب، والموفق من وقاه الله شره، وممن توسع في رد ذلك القاضي عضد الدين في المواقف]</w:t>
      </w:r>
      <w:r w:rsidR="00777DCB" w:rsidRPr="00A52585">
        <w:rPr>
          <w:rFonts w:hint="cs"/>
          <w:rtl/>
        </w:rPr>
        <w:t xml:space="preserve"> فهذان قولان الأول نص الفصوص وما بعده قول ابن سبعين وما القولان عند العفيف التلمساني الذي هو غاية في الكفر إلا من الأغلاط في حس وفي وهم وتلك طبيعة الإنسان والكل شيء واحد</w:t>
      </w:r>
      <w:r w:rsidRPr="00A52585">
        <w:rPr>
          <w:rFonts w:hint="cs"/>
          <w:rtl/>
        </w:rPr>
        <w:t>)</w:t>
      </w:r>
      <w:r w:rsidR="00777DCB" w:rsidRPr="00A52585">
        <w:rPr>
          <w:rFonts w:hint="cs"/>
          <w:rtl/>
        </w:rPr>
        <w:t xml:space="preserve"> وأطال في أقوالهم</w:t>
      </w:r>
      <w:r w:rsidR="00DB731D" w:rsidRPr="00A52585">
        <w:rPr>
          <w:rFonts w:hint="cs"/>
          <w:rtl/>
        </w:rPr>
        <w:t>،</w:t>
      </w:r>
      <w:r w:rsidR="00777DCB" w:rsidRPr="00A52585">
        <w:rPr>
          <w:rFonts w:hint="cs"/>
          <w:rtl/>
        </w:rPr>
        <w:t xml:space="preserve"> </w:t>
      </w:r>
    </w:p>
    <w:p w14:paraId="00905A6A" w14:textId="5F6B3A20" w:rsidR="00777DCB" w:rsidRPr="00A52585" w:rsidRDefault="0002035C" w:rsidP="0002035C">
      <w:pPr>
        <w:spacing w:after="240"/>
        <w:rPr>
          <w:b/>
          <w:bCs/>
          <w:rtl/>
        </w:rPr>
      </w:pPr>
      <w:r w:rsidRPr="00A52585">
        <w:rPr>
          <w:rFonts w:hint="cs"/>
          <w:bCs/>
          <w:rtl/>
        </w:rPr>
        <w:t>[</w:t>
      </w:r>
      <w:r w:rsidR="00777DCB" w:rsidRPr="00A52585">
        <w:rPr>
          <w:rFonts w:hint="cs"/>
          <w:bCs/>
          <w:rtl/>
        </w:rPr>
        <w:t>فصــــــــل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(وأتى فريق ثم قال وجدته</w:t>
      </w:r>
      <w:r w:rsidR="00897A24" w:rsidRPr="00A52585">
        <w:rPr>
          <w:rFonts w:hint="cs"/>
          <w:bCs/>
          <w:rtl/>
        </w:rPr>
        <w:t>.</w:t>
      </w:r>
      <w:r w:rsidR="00777DCB" w:rsidRPr="00A52585">
        <w:rPr>
          <w:rFonts w:hint="cs"/>
          <w:bCs/>
          <w:rtl/>
        </w:rPr>
        <w:t xml:space="preserve">. </w:t>
      </w:r>
      <w:r w:rsidR="00777DCB" w:rsidRPr="00A52585">
        <w:rPr>
          <w:rFonts w:hint="cs"/>
          <w:rtl/>
        </w:rPr>
        <w:t>بالذات موجود بكل مكـان</w:t>
      </w:r>
      <w:r w:rsidR="00DB731D" w:rsidRPr="00A52585">
        <w:rPr>
          <w:rFonts w:hint="cs"/>
          <w:bCs/>
          <w:rtl/>
        </w:rPr>
        <w:t>،</w:t>
      </w:r>
      <w:r w:rsidR="00777DCB" w:rsidRPr="00A52585">
        <w:rPr>
          <w:rFonts w:hint="cs"/>
          <w:bCs/>
          <w:rtl/>
        </w:rPr>
        <w:t xml:space="preserve"> </w:t>
      </w:r>
      <w:r w:rsidR="00777DCB" w:rsidRPr="00A52585">
        <w:rPr>
          <w:rFonts w:hint="cs"/>
          <w:rtl/>
        </w:rPr>
        <w:t>هو كالهـواء بعينه لا عينه</w:t>
      </w:r>
      <w:r w:rsidR="00897A24" w:rsidRPr="00A52585">
        <w:rPr>
          <w:rFonts w:hint="cs"/>
          <w:bCs/>
          <w:rtl/>
        </w:rPr>
        <w:t>.</w:t>
      </w:r>
      <w:r w:rsidR="00777DCB" w:rsidRPr="00A52585">
        <w:rPr>
          <w:rFonts w:hint="cs"/>
          <w:bCs/>
          <w:rtl/>
        </w:rPr>
        <w:t xml:space="preserve">. </w:t>
      </w:r>
      <w:r w:rsidR="00777DCB" w:rsidRPr="00A52585">
        <w:rPr>
          <w:rFonts w:hint="cs"/>
          <w:rtl/>
        </w:rPr>
        <w:t xml:space="preserve">ملأ </w:t>
      </w:r>
      <w:proofErr w:type="spellStart"/>
      <w:r w:rsidR="00777DCB" w:rsidRPr="00A52585">
        <w:rPr>
          <w:rFonts w:hint="cs"/>
          <w:rtl/>
        </w:rPr>
        <w:t>الخـلا</w:t>
      </w:r>
      <w:proofErr w:type="spellEnd"/>
      <w:r w:rsidR="00777DCB" w:rsidRPr="00A52585">
        <w:rPr>
          <w:rFonts w:hint="cs"/>
          <w:rtl/>
        </w:rPr>
        <w:t xml:space="preserve"> ولا يـرى بعيــان</w:t>
      </w:r>
      <w:r w:rsidR="00DB731D" w:rsidRPr="00A52585">
        <w:rPr>
          <w:rFonts w:hint="cs"/>
          <w:rtl/>
        </w:rPr>
        <w:t>،</w:t>
      </w:r>
      <w:r w:rsidR="00777DCB" w:rsidRPr="00A52585">
        <w:rPr>
          <w:rFonts w:hint="cs"/>
          <w:bCs/>
          <w:rtl/>
        </w:rPr>
        <w:t xml:space="preserve"> </w:t>
      </w:r>
      <w:r w:rsidR="00777DCB" w:rsidRPr="00A52585">
        <w:rPr>
          <w:rFonts w:hint="cs"/>
          <w:rtl/>
        </w:rPr>
        <w:t>والقوم ما صانوه عن بئر ولا</w:t>
      </w:r>
      <w:r w:rsidR="00897A24" w:rsidRPr="00A52585">
        <w:rPr>
          <w:rFonts w:hint="cs"/>
          <w:rtl/>
        </w:rPr>
        <w:t>.</w:t>
      </w:r>
      <w:r w:rsidR="00777DCB" w:rsidRPr="00A52585">
        <w:rPr>
          <w:rFonts w:hint="cs"/>
          <w:bCs/>
          <w:rtl/>
        </w:rPr>
        <w:t xml:space="preserve">. </w:t>
      </w:r>
      <w:r w:rsidR="00777DCB" w:rsidRPr="00A52585">
        <w:rPr>
          <w:rFonts w:hint="cs"/>
          <w:rtl/>
        </w:rPr>
        <w:t>قبر ولا وحـش ولا أعطـــان</w:t>
      </w:r>
      <w:r w:rsidR="00DB731D" w:rsidRPr="00A52585">
        <w:rPr>
          <w:rFonts w:hint="cs"/>
          <w:rtl/>
        </w:rPr>
        <w:t>،</w:t>
      </w:r>
      <w:r w:rsidR="00777DCB" w:rsidRPr="00A52585">
        <w:rPr>
          <w:rFonts w:hint="cs"/>
          <w:bCs/>
          <w:rtl/>
        </w:rPr>
        <w:t xml:space="preserve"> </w:t>
      </w:r>
      <w:r w:rsidR="00777DCB" w:rsidRPr="00A52585">
        <w:rPr>
          <w:rFonts w:hint="cs"/>
          <w:rtl/>
        </w:rPr>
        <w:t>وعليهم رد الأئمـة أحمـد</w:t>
      </w:r>
      <w:r w:rsidR="00897A24" w:rsidRPr="00A52585">
        <w:rPr>
          <w:rFonts w:hint="cs"/>
          <w:rtl/>
        </w:rPr>
        <w:t>.</w:t>
      </w:r>
      <w:r w:rsidR="00777DCB" w:rsidRPr="00A52585">
        <w:rPr>
          <w:rFonts w:hint="cs"/>
          <w:rtl/>
        </w:rPr>
        <w:t>. وصحابه حابـه من كـل ذي عرفـان</w:t>
      </w:r>
      <w:r w:rsidR="00DB731D" w:rsidRPr="00A52585">
        <w:rPr>
          <w:rFonts w:hint="cs"/>
          <w:rtl/>
        </w:rPr>
        <w:t>،</w:t>
      </w:r>
      <w:r w:rsidR="00777DCB" w:rsidRPr="00A52585">
        <w:rPr>
          <w:rFonts w:hint="cs"/>
          <w:rtl/>
        </w:rPr>
        <w:t xml:space="preserve"> فهم الخصوم لكل صاحب سنة</w:t>
      </w:r>
      <w:r w:rsidR="00897A24" w:rsidRPr="00A52585">
        <w:rPr>
          <w:rFonts w:hint="cs"/>
          <w:rtl/>
        </w:rPr>
        <w:t>.</w:t>
      </w:r>
      <w:r w:rsidR="00777DCB" w:rsidRPr="00A52585">
        <w:rPr>
          <w:rFonts w:hint="cs"/>
          <w:rtl/>
        </w:rPr>
        <w:t>.. وهم الخصـوم لمنـزل القـرآن</w:t>
      </w:r>
      <w:r w:rsidRPr="00A52585">
        <w:rPr>
          <w:rFonts w:hint="cs"/>
          <w:rtl/>
        </w:rPr>
        <w:t>)</w:t>
      </w:r>
      <w:r w:rsidR="00DB731D" w:rsidRPr="00A52585">
        <w:rPr>
          <w:rFonts w:hint="cs"/>
          <w:rtl/>
        </w:rPr>
        <w:t>،</w:t>
      </w:r>
      <w:r w:rsidR="00777DCB" w:rsidRPr="00A52585">
        <w:rPr>
          <w:rFonts w:cs="Times New Roman"/>
          <w:sz w:val="24"/>
          <w:szCs w:val="24"/>
          <w:rtl/>
        </w:rPr>
        <w:t xml:space="preserve"> </w:t>
      </w:r>
      <w:r w:rsidR="00777DCB" w:rsidRPr="00A52585">
        <w:rPr>
          <w:rFonts w:hint="cs"/>
          <w:rtl/>
        </w:rPr>
        <w:t>فهؤلاء أيضا ًليس علينا منهم</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بظاهره قول بالتجسيم كقول من يقول إنه مستقر على العرش</w:t>
      </w:r>
      <w:r w:rsidR="00DB731D" w:rsidRPr="00A52585">
        <w:rPr>
          <w:rFonts w:hint="cs"/>
          <w:sz w:val="24"/>
          <w:szCs w:val="24"/>
          <w:rtl/>
        </w:rPr>
        <w:t>،</w:t>
      </w:r>
      <w:r w:rsidR="00777DCB" w:rsidRPr="00A52585">
        <w:rPr>
          <w:rFonts w:hint="cs"/>
          <w:sz w:val="24"/>
          <w:szCs w:val="24"/>
          <w:rtl/>
        </w:rPr>
        <w:t xml:space="preserve"> وإن كان مراده أنه لا يوصف بمكان دون مكان</w:t>
      </w:r>
      <w:r w:rsidR="00DB731D" w:rsidRPr="00A52585">
        <w:rPr>
          <w:rFonts w:hint="cs"/>
          <w:sz w:val="24"/>
          <w:szCs w:val="24"/>
          <w:rtl/>
        </w:rPr>
        <w:t>،</w:t>
      </w:r>
      <w:r w:rsidR="00777DCB" w:rsidRPr="00A52585">
        <w:rPr>
          <w:rFonts w:hint="cs"/>
          <w:sz w:val="24"/>
          <w:szCs w:val="24"/>
          <w:rtl/>
        </w:rPr>
        <w:t xml:space="preserve"> بل نسبته إلى الأمكنة على حد سواء لتعاليه عن الجهاد</w:t>
      </w:r>
      <w:r w:rsidR="00DB731D" w:rsidRPr="00A52585">
        <w:rPr>
          <w:rFonts w:hint="cs"/>
          <w:sz w:val="24"/>
          <w:szCs w:val="24"/>
          <w:rtl/>
        </w:rPr>
        <w:t>،</w:t>
      </w:r>
      <w:r w:rsidR="00777DCB" w:rsidRPr="00A52585">
        <w:rPr>
          <w:rFonts w:hint="cs"/>
          <w:sz w:val="24"/>
          <w:szCs w:val="24"/>
          <w:rtl/>
        </w:rPr>
        <w:t xml:space="preserve"> فهو قول متكلمي أهل السنة والمعتزلة ولعل هذا اللفظ لفظ من حكى هذا المذهب تشنيعاً</w:t>
      </w:r>
      <w:r w:rsidR="00DB731D" w:rsidRPr="00A52585">
        <w:rPr>
          <w:rFonts w:hint="cs"/>
          <w:sz w:val="24"/>
          <w:szCs w:val="24"/>
          <w:rtl/>
        </w:rPr>
        <w:t>،</w:t>
      </w:r>
      <w:r w:rsidR="00777DCB" w:rsidRPr="00A52585">
        <w:rPr>
          <w:rFonts w:hint="cs"/>
          <w:sz w:val="24"/>
          <w:szCs w:val="24"/>
          <w:rtl/>
        </w:rPr>
        <w:t xml:space="preserve"> وأما إن كان بياناً لمذهب جهم </w:t>
      </w:r>
      <w:r w:rsidR="00777DCB" w:rsidRPr="00A52585">
        <w:rPr>
          <w:rFonts w:hint="cs"/>
          <w:sz w:val="24"/>
          <w:szCs w:val="24"/>
          <w:rtl/>
        </w:rPr>
        <w:lastRenderedPageBreak/>
        <w:t>على خلل في اللفظ فهو داخل في الفريق القائل بوحدة الوجود</w:t>
      </w:r>
      <w:r w:rsidR="00DB731D" w:rsidRPr="00A52585">
        <w:rPr>
          <w:rFonts w:hint="cs"/>
          <w:sz w:val="24"/>
          <w:szCs w:val="24"/>
          <w:rtl/>
        </w:rPr>
        <w:t>،</w:t>
      </w:r>
      <w:r w:rsidR="00777DCB" w:rsidRPr="00A52585">
        <w:rPr>
          <w:rFonts w:hint="cs"/>
          <w:sz w:val="24"/>
          <w:szCs w:val="24"/>
          <w:rtl/>
        </w:rPr>
        <w:t xml:space="preserve"> فلا وجه لإفراده بكل حال</w:t>
      </w:r>
      <w:r w:rsidR="00897A24" w:rsidRPr="00A52585">
        <w:rPr>
          <w:rFonts w:hint="cs"/>
          <w:sz w:val="24"/>
          <w:szCs w:val="24"/>
          <w:rtl/>
        </w:rPr>
        <w:t>.</w:t>
      </w:r>
      <w:r w:rsidR="00777DCB" w:rsidRPr="00A52585">
        <w:rPr>
          <w:rFonts w:hint="cs"/>
          <w:sz w:val="24"/>
          <w:szCs w:val="24"/>
          <w:rtl/>
        </w:rPr>
        <w:t xml:space="preserve"> ونسبة كتاب </w:t>
      </w:r>
      <w:r w:rsidRPr="00A52585">
        <w:rPr>
          <w:rFonts w:hint="cs"/>
          <w:sz w:val="24"/>
          <w:szCs w:val="24"/>
          <w:rtl/>
        </w:rPr>
        <w:t>(</w:t>
      </w:r>
      <w:r w:rsidR="00777DCB" w:rsidRPr="00A52585">
        <w:rPr>
          <w:rFonts w:hint="cs"/>
          <w:sz w:val="24"/>
          <w:szCs w:val="24"/>
          <w:rtl/>
        </w:rPr>
        <w:t>الرد على الجهمية</w:t>
      </w:r>
      <w:r w:rsidRPr="00A52585">
        <w:rPr>
          <w:rFonts w:hint="cs"/>
          <w:sz w:val="24"/>
          <w:szCs w:val="24"/>
          <w:rtl/>
        </w:rPr>
        <w:t>)</w:t>
      </w:r>
      <w:r w:rsidR="00777DCB" w:rsidRPr="00A52585">
        <w:rPr>
          <w:rFonts w:hint="cs"/>
          <w:sz w:val="24"/>
          <w:szCs w:val="24"/>
          <w:rtl/>
        </w:rPr>
        <w:t xml:space="preserve"> الذي فيه الرد على هؤلاء إلى أحمد نسبة كاذبة</w:t>
      </w:r>
      <w:r w:rsidR="00DB731D" w:rsidRPr="00A52585">
        <w:rPr>
          <w:rFonts w:hint="cs"/>
          <w:sz w:val="24"/>
          <w:szCs w:val="24"/>
          <w:rtl/>
        </w:rPr>
        <w:t>،</w:t>
      </w:r>
      <w:r w:rsidR="00777DCB" w:rsidRPr="00A52585">
        <w:rPr>
          <w:rFonts w:hint="cs"/>
          <w:sz w:val="24"/>
          <w:szCs w:val="24"/>
          <w:rtl/>
        </w:rPr>
        <w:t xml:space="preserve"> وراويه الخضر بن المثنى مجهول</w:t>
      </w:r>
      <w:r w:rsidR="00DB731D" w:rsidRPr="00A52585">
        <w:rPr>
          <w:rFonts w:hint="cs"/>
          <w:sz w:val="24"/>
          <w:szCs w:val="24"/>
          <w:rtl/>
        </w:rPr>
        <w:t>،</w:t>
      </w:r>
      <w:r w:rsidR="00777DCB" w:rsidRPr="00A52585">
        <w:rPr>
          <w:rFonts w:hint="cs"/>
          <w:sz w:val="24"/>
          <w:szCs w:val="24"/>
          <w:rtl/>
        </w:rPr>
        <w:t xml:space="preserve"> وقد أنصف الذهبي حيث قال</w:t>
      </w:r>
      <w:r w:rsidRPr="00A52585">
        <w:rPr>
          <w:rFonts w:hint="cs"/>
          <w:sz w:val="24"/>
          <w:szCs w:val="24"/>
          <w:rtl/>
        </w:rPr>
        <w:t>:</w:t>
      </w:r>
      <w:r w:rsidR="00777DCB" w:rsidRPr="00A52585">
        <w:rPr>
          <w:rFonts w:hint="cs"/>
          <w:sz w:val="24"/>
          <w:szCs w:val="24"/>
          <w:rtl/>
        </w:rPr>
        <w:t xml:space="preserve"> وفي النفس </w:t>
      </w:r>
      <w:proofErr w:type="spellStart"/>
      <w:r w:rsidR="00777DCB" w:rsidRPr="00A52585">
        <w:rPr>
          <w:rFonts w:hint="cs"/>
          <w:sz w:val="24"/>
          <w:szCs w:val="24"/>
          <w:rtl/>
        </w:rPr>
        <w:t>شئ</w:t>
      </w:r>
      <w:proofErr w:type="spellEnd"/>
      <w:r w:rsidR="00777DCB" w:rsidRPr="00A52585">
        <w:rPr>
          <w:rFonts w:hint="cs"/>
          <w:sz w:val="24"/>
          <w:szCs w:val="24"/>
          <w:rtl/>
        </w:rPr>
        <w:t xml:space="preserve"> من صحة هذه النسبة</w:t>
      </w:r>
      <w:r w:rsidR="00897A24" w:rsidRPr="00A52585">
        <w:rPr>
          <w:rFonts w:hint="cs"/>
          <w:sz w:val="24"/>
          <w:szCs w:val="24"/>
          <w:rtl/>
        </w:rPr>
        <w:t>.</w:t>
      </w:r>
      <w:r w:rsidR="00777DCB" w:rsidRPr="00A52585">
        <w:rPr>
          <w:rFonts w:hint="cs"/>
          <w:sz w:val="24"/>
          <w:szCs w:val="24"/>
          <w:rtl/>
        </w:rPr>
        <w:t xml:space="preserve"> ويقول الناظم في عزوه</w:t>
      </w:r>
      <w:r w:rsidRPr="00A52585">
        <w:rPr>
          <w:rFonts w:hint="cs"/>
          <w:sz w:val="24"/>
          <w:szCs w:val="24"/>
          <w:rtl/>
        </w:rPr>
        <w:t>:</w:t>
      </w:r>
      <w:r w:rsidR="00777DCB" w:rsidRPr="00A52585">
        <w:rPr>
          <w:rFonts w:hint="cs"/>
          <w:sz w:val="24"/>
          <w:szCs w:val="24"/>
          <w:rtl/>
        </w:rPr>
        <w:t xml:space="preserve"> إن الخضر المذكور عرفه الخلال. لكن لو كان بمثل هذا القول تزول الجهالة لما وجد بين الرواة مجهول أصلاً</w:t>
      </w:r>
      <w:r w:rsidR="00DB731D" w:rsidRPr="00A52585">
        <w:rPr>
          <w:rFonts w:hint="cs"/>
          <w:sz w:val="24"/>
          <w:szCs w:val="24"/>
          <w:rtl/>
        </w:rPr>
        <w:t>،</w:t>
      </w:r>
      <w:r w:rsidR="00777DCB" w:rsidRPr="00A52585">
        <w:rPr>
          <w:rFonts w:hint="cs"/>
          <w:sz w:val="24"/>
          <w:szCs w:val="24"/>
          <w:rtl/>
        </w:rPr>
        <w:t xml:space="preserve"> على أن نظرنا إلى الخلال وغلامه ليس كنظر الناظم وشيخه إليهما فضلاً عمن دونهما في السند من مقلدة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بل في متن </w:t>
      </w:r>
      <w:r w:rsidRPr="00A52585">
        <w:rPr>
          <w:rFonts w:hint="cs"/>
          <w:sz w:val="24"/>
          <w:szCs w:val="24"/>
          <w:rtl/>
        </w:rPr>
        <w:t>(</w:t>
      </w:r>
      <w:r w:rsidR="00777DCB" w:rsidRPr="00A52585">
        <w:rPr>
          <w:rFonts w:hint="cs"/>
          <w:sz w:val="24"/>
          <w:szCs w:val="24"/>
          <w:rtl/>
        </w:rPr>
        <w:t>الرد على الجهمية</w:t>
      </w:r>
      <w:r w:rsidRPr="00A52585">
        <w:rPr>
          <w:rFonts w:hint="cs"/>
          <w:sz w:val="24"/>
          <w:szCs w:val="24"/>
          <w:rtl/>
        </w:rPr>
        <w:t>)</w:t>
      </w:r>
      <w:r w:rsidR="00777DCB" w:rsidRPr="00A52585">
        <w:rPr>
          <w:rFonts w:hint="cs"/>
          <w:sz w:val="24"/>
          <w:szCs w:val="24"/>
          <w:rtl/>
        </w:rPr>
        <w:t xml:space="preserve"> ما يجل مقدار أحمد عن أن يفوه بمثله جزماً</w:t>
      </w:r>
      <w:r w:rsidRPr="00A52585">
        <w:rPr>
          <w:rFonts w:hint="cs"/>
          <w:sz w:val="24"/>
          <w:szCs w:val="24"/>
          <w:rtl/>
        </w:rPr>
        <w:t>]</w:t>
      </w:r>
    </w:p>
    <w:p w14:paraId="3CE95339" w14:textId="55FFE072" w:rsidR="00777DCB" w:rsidRPr="00A52585" w:rsidRDefault="0002035C" w:rsidP="0002035C">
      <w:pPr>
        <w:spacing w:after="240"/>
        <w:rPr>
          <w:b/>
          <w:bCs/>
          <w:rtl/>
        </w:rPr>
      </w:pPr>
      <w:r w:rsidRPr="00A52585">
        <w:rPr>
          <w:rFonts w:hint="cs"/>
          <w:bCs/>
          <w:rtl/>
        </w:rPr>
        <w:t>[</w:t>
      </w:r>
      <w:r w:rsidR="00777DCB" w:rsidRPr="00A52585">
        <w:rPr>
          <w:rFonts w:hint="cs"/>
          <w:bCs/>
          <w:rtl/>
        </w:rPr>
        <w:t>فصــــــــل</w:t>
      </w:r>
      <w:r w:rsidRPr="00A52585">
        <w:rPr>
          <w:rFonts w:hint="cs"/>
          <w:b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وأتى فريق</w:t>
      </w:r>
      <w:r w:rsidRPr="00A52585">
        <w:rPr>
          <w:rFonts w:hint="cs"/>
          <w:rtl/>
        </w:rPr>
        <w:t xml:space="preserve"> </w:t>
      </w:r>
      <w:r w:rsidR="00777DCB" w:rsidRPr="00A52585">
        <w:rPr>
          <w:rFonts w:hint="cs"/>
          <w:rtl/>
        </w:rPr>
        <w:t>ثم قارب وصفه</w:t>
      </w:r>
      <w:r w:rsidR="00897A24" w:rsidRPr="00A52585">
        <w:rPr>
          <w:rFonts w:hint="cs"/>
          <w:rtl/>
        </w:rPr>
        <w:t>.</w:t>
      </w:r>
      <w:r w:rsidR="00777DCB" w:rsidRPr="00A52585">
        <w:rPr>
          <w:rFonts w:hint="cs"/>
          <w:rtl/>
        </w:rPr>
        <w:t>. هذا ولكـن جـد في الكفـران</w:t>
      </w:r>
      <w:r w:rsidR="00DB731D" w:rsidRPr="00A52585">
        <w:rPr>
          <w:rFonts w:hint="cs"/>
          <w:rtl/>
        </w:rPr>
        <w:t>،</w:t>
      </w:r>
      <w:r w:rsidR="00777DCB" w:rsidRPr="00A52585">
        <w:rPr>
          <w:rFonts w:hint="cs"/>
          <w:rtl/>
        </w:rPr>
        <w:t xml:space="preserve"> فأسـر قـول معطـل ومكذب</w:t>
      </w:r>
      <w:r w:rsidR="00897A24" w:rsidRPr="00A52585">
        <w:rPr>
          <w:rFonts w:hint="cs"/>
          <w:rtl/>
        </w:rPr>
        <w:t>.</w:t>
      </w:r>
      <w:r w:rsidR="00777DCB" w:rsidRPr="00A52585">
        <w:rPr>
          <w:rFonts w:hint="cs"/>
          <w:rtl/>
        </w:rPr>
        <w:t>. في قالـب التنـزيه للرحمــن</w:t>
      </w:r>
      <w:r w:rsidR="00DB731D" w:rsidRPr="00A52585">
        <w:rPr>
          <w:rFonts w:hint="cs"/>
          <w:rtl/>
        </w:rPr>
        <w:t>،</w:t>
      </w:r>
      <w:r w:rsidR="00777DCB" w:rsidRPr="00A52585">
        <w:rPr>
          <w:rFonts w:hint="cs"/>
          <w:rtl/>
        </w:rPr>
        <w:t xml:space="preserve"> إذا قال ليس بداخل فينــا ولا</w:t>
      </w:r>
      <w:r w:rsidR="00897A24" w:rsidRPr="00A52585">
        <w:rPr>
          <w:rFonts w:hint="cs"/>
          <w:rtl/>
        </w:rPr>
        <w:t>.</w:t>
      </w:r>
      <w:r w:rsidR="00777DCB" w:rsidRPr="00A52585">
        <w:rPr>
          <w:rFonts w:hint="cs"/>
          <w:rtl/>
        </w:rPr>
        <w:t>. هو خارج عن جملة الأكــوان</w:t>
      </w:r>
      <w:r w:rsidR="00DB731D" w:rsidRPr="00A52585">
        <w:rPr>
          <w:rFonts w:hint="cs"/>
          <w:rtl/>
        </w:rPr>
        <w:t>،</w:t>
      </w:r>
      <w:r w:rsidR="00777DCB" w:rsidRPr="00A52585">
        <w:rPr>
          <w:rFonts w:hint="cs"/>
          <w:rtl/>
        </w:rPr>
        <w:t xml:space="preserve"> بل قال ليس ببائن عنهــا ولا</w:t>
      </w:r>
      <w:r w:rsidR="00897A24" w:rsidRPr="00A52585">
        <w:rPr>
          <w:rFonts w:hint="cs"/>
          <w:rtl/>
        </w:rPr>
        <w:t>.</w:t>
      </w:r>
      <w:r w:rsidR="00777DCB" w:rsidRPr="00A52585">
        <w:rPr>
          <w:rFonts w:hint="cs"/>
          <w:rtl/>
        </w:rPr>
        <w:t>. فيهـا ولا هـو عينهـا ببيـان</w:t>
      </w:r>
      <w:r w:rsidR="00DB731D" w:rsidRPr="00A52585">
        <w:rPr>
          <w:rFonts w:hint="cs"/>
          <w:rtl/>
        </w:rPr>
        <w:t>،</w:t>
      </w:r>
      <w:r w:rsidR="00777DCB" w:rsidRPr="00A52585">
        <w:rPr>
          <w:rFonts w:hint="cs"/>
          <w:rtl/>
        </w:rPr>
        <w:t xml:space="preserve"> كلا ولا فوق </w:t>
      </w:r>
      <w:proofErr w:type="gramStart"/>
      <w:r w:rsidR="00777DCB" w:rsidRPr="00A52585">
        <w:rPr>
          <w:rFonts w:hint="cs"/>
          <w:rtl/>
        </w:rPr>
        <w:t>السموات</w:t>
      </w:r>
      <w:proofErr w:type="gramEnd"/>
      <w:r w:rsidR="00777DCB" w:rsidRPr="00A52585">
        <w:rPr>
          <w:rFonts w:hint="cs"/>
          <w:rtl/>
        </w:rPr>
        <w:t xml:space="preserve"> العلـى</w:t>
      </w:r>
      <w:r w:rsidR="00897A24" w:rsidRPr="00A52585">
        <w:rPr>
          <w:rFonts w:hint="cs"/>
          <w:rtl/>
        </w:rPr>
        <w:t>.</w:t>
      </w:r>
      <w:r w:rsidR="00777DCB" w:rsidRPr="00A52585">
        <w:rPr>
          <w:rFonts w:hint="cs"/>
          <w:rtl/>
        </w:rPr>
        <w:t>. والعرش من رب ولا رحمــان</w:t>
      </w:r>
      <w:r w:rsidR="00DB731D" w:rsidRPr="00A52585">
        <w:rPr>
          <w:rFonts w:hint="cs"/>
          <w:rtl/>
        </w:rPr>
        <w:t>،</w:t>
      </w:r>
      <w:r w:rsidR="00777DCB" w:rsidRPr="00A52585">
        <w:rPr>
          <w:rFonts w:hint="cs"/>
          <w:rtl/>
        </w:rPr>
        <w:t xml:space="preserve"> والعرش ليس عليه معبود سـوى</w:t>
      </w:r>
      <w:r w:rsidR="00897A24" w:rsidRPr="00A52585">
        <w:rPr>
          <w:rFonts w:hint="cs"/>
          <w:rtl/>
        </w:rPr>
        <w:t>.</w:t>
      </w:r>
      <w:r w:rsidR="00777DCB" w:rsidRPr="00A52585">
        <w:rPr>
          <w:rFonts w:hint="cs"/>
          <w:rtl/>
        </w:rPr>
        <w:t xml:space="preserve">. العدم الذي لا </w:t>
      </w:r>
      <w:proofErr w:type="spellStart"/>
      <w:r w:rsidR="00777DCB" w:rsidRPr="00A52585">
        <w:rPr>
          <w:rFonts w:hint="cs"/>
          <w:rtl/>
        </w:rPr>
        <w:t>شئ</w:t>
      </w:r>
      <w:proofErr w:type="spellEnd"/>
      <w:r w:rsidR="00777DCB" w:rsidRPr="00A52585">
        <w:rPr>
          <w:rFonts w:hint="cs"/>
          <w:rtl/>
        </w:rPr>
        <w:t xml:space="preserve"> في الأعيـان</w:t>
      </w:r>
      <w:r w:rsidR="00DB731D" w:rsidRPr="00A52585">
        <w:rPr>
          <w:rFonts w:hint="cs"/>
          <w:rtl/>
        </w:rPr>
        <w:t>،</w:t>
      </w:r>
      <w:r w:rsidR="00777DCB" w:rsidRPr="00A52585">
        <w:rPr>
          <w:rFonts w:hint="cs"/>
          <w:rtl/>
        </w:rPr>
        <w:t xml:space="preserve"> بل حظه من ربه حظ الثــرى</w:t>
      </w:r>
      <w:r w:rsidR="00897A24" w:rsidRPr="00A52585">
        <w:rPr>
          <w:rFonts w:hint="cs"/>
          <w:rtl/>
        </w:rPr>
        <w:t>.</w:t>
      </w:r>
      <w:r w:rsidR="00777DCB" w:rsidRPr="00A52585">
        <w:rPr>
          <w:rFonts w:hint="cs"/>
          <w:rtl/>
        </w:rPr>
        <w:t>. منـه وحظه قواعـد البنيــان</w:t>
      </w:r>
      <w:r w:rsidR="00DB731D" w:rsidRPr="00A52585">
        <w:rPr>
          <w:rFonts w:hint="cs"/>
          <w:rtl/>
        </w:rPr>
        <w:t>،</w:t>
      </w:r>
      <w:r w:rsidR="00777DCB" w:rsidRPr="00A52585">
        <w:rPr>
          <w:rFonts w:hint="cs"/>
          <w:rtl/>
        </w:rPr>
        <w:t xml:space="preserve"> لو كان فوق العرش كان كهـذه</w:t>
      </w:r>
      <w:r w:rsidR="00897A24" w:rsidRPr="00A52585">
        <w:rPr>
          <w:rFonts w:hint="cs"/>
          <w:rtl/>
        </w:rPr>
        <w:t>.</w:t>
      </w:r>
      <w:r w:rsidR="00777DCB" w:rsidRPr="00A52585">
        <w:rPr>
          <w:rFonts w:hint="cs"/>
          <w:rtl/>
        </w:rPr>
        <w:t>.</w:t>
      </w:r>
      <w:r w:rsidRPr="00A52585">
        <w:rPr>
          <w:rFonts w:hint="cs"/>
          <w:rtl/>
        </w:rPr>
        <w:t xml:space="preserve"> </w:t>
      </w:r>
      <w:r w:rsidR="00777DCB" w:rsidRPr="00A52585">
        <w:rPr>
          <w:rFonts w:hint="cs"/>
          <w:rtl/>
        </w:rPr>
        <w:t>الأجسـام سبحان العظيم الشأن</w:t>
      </w:r>
      <w:r w:rsidRPr="00A52585">
        <w:rPr>
          <w:rFonts w:hint="cs"/>
          <w:rtl/>
        </w:rPr>
        <w:t>)</w:t>
      </w:r>
      <w:r w:rsidR="00DB731D" w:rsidRPr="00A52585">
        <w:rPr>
          <w:rFonts w:hint="cs"/>
          <w:rtl/>
        </w:rPr>
        <w:t>،</w:t>
      </w:r>
      <w:r w:rsidR="00777DCB" w:rsidRPr="00A52585">
        <w:rPr>
          <w:rFonts w:hint="cs"/>
          <w:rtl/>
        </w:rPr>
        <w:t xml:space="preserve"> يعني أن هذا من قولهم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وهم أهل السنة خصوم كل مجسم وزائغ</w:t>
      </w:r>
      <w:r w:rsidR="00DB731D" w:rsidRPr="00A52585">
        <w:rPr>
          <w:rFonts w:hint="cs"/>
          <w:sz w:val="24"/>
          <w:szCs w:val="24"/>
          <w:rtl/>
        </w:rPr>
        <w:t>،</w:t>
      </w:r>
      <w:r w:rsidR="00777DCB" w:rsidRPr="00A52585">
        <w:rPr>
          <w:rFonts w:hint="cs"/>
          <w:sz w:val="24"/>
          <w:szCs w:val="24"/>
          <w:rtl/>
        </w:rPr>
        <w:t xml:space="preserve"> وهم يقولون إنه لا يقال إن الله في داخل العالم</w:t>
      </w:r>
      <w:r w:rsidR="00DB731D" w:rsidRPr="00A52585">
        <w:rPr>
          <w:rFonts w:hint="cs"/>
          <w:sz w:val="24"/>
          <w:szCs w:val="24"/>
          <w:rtl/>
        </w:rPr>
        <w:t>،</w:t>
      </w:r>
      <w:r w:rsidR="00777DCB" w:rsidRPr="00A52585">
        <w:rPr>
          <w:rFonts w:hint="cs"/>
          <w:sz w:val="24"/>
          <w:szCs w:val="24"/>
          <w:rtl/>
        </w:rPr>
        <w:t xml:space="preserve"> كما لا يقال إنه في خارج العالم</w:t>
      </w:r>
      <w:r w:rsidR="00DB731D" w:rsidRPr="00A52585">
        <w:rPr>
          <w:rFonts w:hint="cs"/>
          <w:sz w:val="24"/>
          <w:szCs w:val="24"/>
          <w:rtl/>
        </w:rPr>
        <w:t>،</w:t>
      </w:r>
      <w:r w:rsidR="00777DCB" w:rsidRPr="00A52585">
        <w:rPr>
          <w:rFonts w:hint="cs"/>
          <w:sz w:val="24"/>
          <w:szCs w:val="24"/>
          <w:rtl/>
        </w:rPr>
        <w:t xml:space="preserve"> ولا إنه مستقر على العرش لأن ذلك لم يرد في الكتاب ولا في السنة</w:t>
      </w:r>
      <w:r w:rsidR="00DB731D" w:rsidRPr="00A52585">
        <w:rPr>
          <w:rFonts w:hint="cs"/>
          <w:sz w:val="24"/>
          <w:szCs w:val="24"/>
          <w:rtl/>
        </w:rPr>
        <w:t>،</w:t>
      </w:r>
      <w:r w:rsidR="00777DCB" w:rsidRPr="00A52585">
        <w:rPr>
          <w:rFonts w:hint="cs"/>
          <w:sz w:val="24"/>
          <w:szCs w:val="24"/>
          <w:rtl/>
        </w:rPr>
        <w:t xml:space="preserve"> ولأن ذلك شأن الأجسام</w:t>
      </w:r>
      <w:r w:rsidR="00DB731D" w:rsidRPr="00A52585">
        <w:rPr>
          <w:rFonts w:hint="cs"/>
          <w:sz w:val="24"/>
          <w:szCs w:val="24"/>
          <w:rtl/>
        </w:rPr>
        <w:t>،</w:t>
      </w:r>
      <w:r w:rsidR="00777DCB" w:rsidRPr="00A52585">
        <w:rPr>
          <w:rFonts w:hint="cs"/>
          <w:sz w:val="24"/>
          <w:szCs w:val="24"/>
          <w:rtl/>
        </w:rPr>
        <w:t xml:space="preserve"> ومن جوز في معبوده الدخول والخروج والاستقرار فهو عابد وثن</w:t>
      </w:r>
      <w:r w:rsidR="00DB731D" w:rsidRPr="00A52585">
        <w:rPr>
          <w:rFonts w:hint="cs"/>
          <w:sz w:val="24"/>
          <w:szCs w:val="24"/>
          <w:rtl/>
        </w:rPr>
        <w:t>،</w:t>
      </w:r>
      <w:r w:rsidR="00777DCB" w:rsidRPr="00A52585">
        <w:rPr>
          <w:rFonts w:hint="cs"/>
          <w:sz w:val="24"/>
          <w:szCs w:val="24"/>
          <w:rtl/>
        </w:rPr>
        <w:t xml:space="preserve"> ويؤيدهم البراهين والآيات الواردة في التنـزيه</w:t>
      </w:r>
      <w:r w:rsidR="00897A24" w:rsidRPr="00A52585">
        <w:rPr>
          <w:rFonts w:hint="cs"/>
          <w:sz w:val="24"/>
          <w:szCs w:val="24"/>
          <w:rtl/>
        </w:rPr>
        <w:t>.</w:t>
      </w:r>
      <w:r w:rsidR="00777DCB" w:rsidRPr="00A52585">
        <w:rPr>
          <w:rFonts w:hint="cs"/>
          <w:sz w:val="24"/>
          <w:szCs w:val="24"/>
          <w:rtl/>
        </w:rPr>
        <w:t xml:space="preserve"> وليس للمشبهة شبه شبهة في ذلك كما سيأتي رغم أنف هذا الناظم الزائغ</w:t>
      </w:r>
      <w:r w:rsidRPr="00A52585">
        <w:rPr>
          <w:rFonts w:hint="cs"/>
          <w:sz w:val="24"/>
          <w:szCs w:val="24"/>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ولقد وجدت لفاضل منهم مقاماً قامـه في النـاس منــذ زمان</w:t>
      </w:r>
      <w:r w:rsidRPr="00A52585">
        <w:rPr>
          <w:rFonts w:hint="cs"/>
          <w:rtl/>
        </w:rPr>
        <w:t>)</w:t>
      </w:r>
      <w:r w:rsidR="00DB731D" w:rsidRPr="00A52585">
        <w:rPr>
          <w:rFonts w:hint="cs"/>
          <w:rtl/>
        </w:rPr>
        <w:t>،</w:t>
      </w:r>
      <w:r w:rsidR="00777DCB" w:rsidRPr="00A52585">
        <w:rPr>
          <w:rFonts w:hint="cs"/>
          <w:rtl/>
        </w:rPr>
        <w:t xml:space="preserve"> في قوله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تفضلوني على يونس</w:t>
      </w:r>
      <w:r w:rsidRPr="00A52585">
        <w:rPr>
          <w:rFonts w:hint="cs"/>
          <w:rtl/>
        </w:rPr>
        <w:t>)</w:t>
      </w:r>
      <w:r w:rsidR="00777DCB" w:rsidRPr="00A52585">
        <w:rPr>
          <w:rFonts w:hint="cs"/>
          <w:rtl/>
        </w:rPr>
        <w:t xml:space="preserve"> قد كان يونس في قرار البحر ومحمد صعد السماء وجاوز السبع الطباق</w:t>
      </w:r>
      <w:r w:rsidR="00DB731D" w:rsidRPr="00A52585">
        <w:rPr>
          <w:rFonts w:hint="cs"/>
          <w:rtl/>
        </w:rPr>
        <w:t>،</w:t>
      </w:r>
      <w:r w:rsidR="00777DCB" w:rsidRPr="00A52585">
        <w:rPr>
          <w:rFonts w:hint="cs"/>
          <w:rtl/>
        </w:rPr>
        <w:t xml:space="preserve"> وكلاهما في قربه من ربه سبحانه إذ ذاك مستويان</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rtl/>
        </w:rPr>
        <w:t>فاحمد إلهـك أيهــا السـني إذ</w:t>
      </w:r>
      <w:r w:rsidR="00897A24" w:rsidRPr="00A52585">
        <w:rPr>
          <w:rFonts w:hint="cs"/>
          <w:rtl/>
        </w:rPr>
        <w:t>.</w:t>
      </w:r>
      <w:r w:rsidR="00777DCB" w:rsidRPr="00A52585">
        <w:rPr>
          <w:rFonts w:hint="cs"/>
          <w:bCs/>
          <w:rtl/>
        </w:rPr>
        <w:t>.</w:t>
      </w:r>
      <w:r w:rsidRPr="00A52585">
        <w:rPr>
          <w:rFonts w:hint="cs"/>
          <w:rtl/>
        </w:rPr>
        <w:t xml:space="preserve"> </w:t>
      </w:r>
      <w:r w:rsidR="00777DCB" w:rsidRPr="00A52585">
        <w:rPr>
          <w:rFonts w:hint="cs"/>
          <w:rtl/>
        </w:rPr>
        <w:t>عافاك من تحريف ذا بهتــان</w:t>
      </w:r>
      <w:r w:rsidR="00DB731D" w:rsidRPr="00A52585">
        <w:rPr>
          <w:rFonts w:hint="cs"/>
          <w:bCs/>
          <w:rtl/>
        </w:rPr>
        <w:t>،</w:t>
      </w:r>
      <w:r w:rsidR="00777DCB" w:rsidRPr="00A52585">
        <w:rPr>
          <w:rFonts w:hint="cs"/>
          <w:bCs/>
          <w:rtl/>
        </w:rPr>
        <w:t xml:space="preserve"> </w:t>
      </w:r>
      <w:r w:rsidR="00777DCB" w:rsidRPr="00A52585">
        <w:rPr>
          <w:rFonts w:hint="cs"/>
          <w:rtl/>
        </w:rPr>
        <w:t>والله ما يرضـى بهـذا خائــف</w:t>
      </w:r>
      <w:r w:rsidR="00897A24" w:rsidRPr="00A52585">
        <w:rPr>
          <w:rFonts w:hint="cs"/>
          <w:rtl/>
        </w:rPr>
        <w:t>.</w:t>
      </w:r>
      <w:r w:rsidR="00777DCB" w:rsidRPr="00A52585">
        <w:rPr>
          <w:rFonts w:hint="cs"/>
          <w:bCs/>
          <w:rtl/>
        </w:rPr>
        <w:t>.</w:t>
      </w:r>
      <w:r w:rsidR="00777DCB" w:rsidRPr="00A52585">
        <w:rPr>
          <w:rFonts w:hint="cs"/>
          <w:rtl/>
        </w:rPr>
        <w:t xml:space="preserve"> من ربـه أمسى على الإيمـان</w:t>
      </w:r>
      <w:r w:rsidR="00DB731D" w:rsidRPr="00A52585">
        <w:rPr>
          <w:rFonts w:hint="cs"/>
          <w:bCs/>
          <w:rtl/>
        </w:rPr>
        <w:t>،</w:t>
      </w:r>
      <w:r w:rsidR="00777DCB" w:rsidRPr="00A52585">
        <w:rPr>
          <w:rFonts w:hint="cs"/>
          <w:bCs/>
          <w:rtl/>
        </w:rPr>
        <w:t xml:space="preserve"> </w:t>
      </w:r>
      <w:r w:rsidR="00777DCB" w:rsidRPr="00A52585">
        <w:rPr>
          <w:rFonts w:hint="cs"/>
          <w:rtl/>
        </w:rPr>
        <w:t>هـذا هو الإلحـاد حقـاً بــل</w:t>
      </w:r>
      <w:r w:rsidR="00897A24" w:rsidRPr="00A52585">
        <w:rPr>
          <w:rFonts w:hint="cs"/>
          <w:rtl/>
        </w:rPr>
        <w:t>.</w:t>
      </w:r>
      <w:r w:rsidR="00777DCB" w:rsidRPr="00A52585">
        <w:rPr>
          <w:rFonts w:hint="cs"/>
          <w:bCs/>
          <w:rtl/>
        </w:rPr>
        <w:t>.</w:t>
      </w:r>
      <w:r w:rsidR="00777DCB" w:rsidRPr="00A52585">
        <w:rPr>
          <w:rFonts w:hint="cs"/>
          <w:rtl/>
        </w:rPr>
        <w:t xml:space="preserve"> هو التحريف محضاً أبرد </w:t>
      </w:r>
      <w:proofErr w:type="spellStart"/>
      <w:r w:rsidR="00777DCB" w:rsidRPr="00A52585">
        <w:rPr>
          <w:rFonts w:hint="cs"/>
          <w:rtl/>
        </w:rPr>
        <w:t>الهزيان</w:t>
      </w:r>
      <w:proofErr w:type="spellEnd"/>
      <w:r w:rsidR="00DB731D" w:rsidRPr="00A52585">
        <w:rPr>
          <w:rFonts w:hint="cs"/>
          <w:bCs/>
          <w:rtl/>
        </w:rPr>
        <w:t>،</w:t>
      </w:r>
      <w:r w:rsidR="00777DCB" w:rsidRPr="00A52585">
        <w:rPr>
          <w:rFonts w:hint="cs"/>
          <w:bCs/>
          <w:rtl/>
        </w:rPr>
        <w:t xml:space="preserve"> </w:t>
      </w:r>
      <w:r w:rsidR="00777DCB" w:rsidRPr="00A52585">
        <w:rPr>
          <w:rFonts w:hint="cs"/>
          <w:rtl/>
        </w:rPr>
        <w:t>والله ما بلى المجسم قـط ذي الـ</w:t>
      </w:r>
      <w:r w:rsidR="00897A24" w:rsidRPr="00A52585">
        <w:rPr>
          <w:rFonts w:hint="cs"/>
          <w:rtl/>
        </w:rPr>
        <w:t>.</w:t>
      </w:r>
      <w:r w:rsidR="00777DCB" w:rsidRPr="00A52585">
        <w:rPr>
          <w:rFonts w:hint="cs"/>
          <w:bCs/>
          <w:rtl/>
        </w:rPr>
        <w:t>.</w:t>
      </w:r>
      <w:r w:rsidR="00777DCB" w:rsidRPr="00A52585">
        <w:rPr>
          <w:rFonts w:hint="cs"/>
          <w:rtl/>
        </w:rPr>
        <w:t xml:space="preserve"> بلوى ولا أمسى بذي الخـذلان</w:t>
      </w:r>
      <w:r w:rsidR="00DB731D" w:rsidRPr="00A52585">
        <w:rPr>
          <w:rFonts w:hint="cs"/>
          <w:bCs/>
          <w:rtl/>
        </w:rPr>
        <w:t>،</w:t>
      </w:r>
      <w:r w:rsidR="00777DCB" w:rsidRPr="00A52585">
        <w:rPr>
          <w:rFonts w:hint="cs"/>
          <w:bCs/>
          <w:rtl/>
        </w:rPr>
        <w:t xml:space="preserve"> </w:t>
      </w:r>
      <w:r w:rsidR="00777DCB" w:rsidRPr="00A52585">
        <w:rPr>
          <w:rFonts w:hint="cs"/>
          <w:rtl/>
        </w:rPr>
        <w:t>أمثال ذا التأويل أفسـد هذه الـ</w:t>
      </w:r>
      <w:r w:rsidR="00897A24" w:rsidRPr="00A52585">
        <w:rPr>
          <w:rFonts w:hint="cs"/>
          <w:rtl/>
        </w:rPr>
        <w:t>.</w:t>
      </w:r>
      <w:r w:rsidR="00777DCB" w:rsidRPr="00A52585">
        <w:rPr>
          <w:rFonts w:hint="cs"/>
          <w:bCs/>
          <w:rtl/>
        </w:rPr>
        <w:t>.</w:t>
      </w:r>
      <w:r w:rsidRPr="00A52585">
        <w:rPr>
          <w:rFonts w:hint="cs"/>
          <w:rtl/>
        </w:rPr>
        <w:t xml:space="preserve"> </w:t>
      </w:r>
      <w:r w:rsidR="00777DCB" w:rsidRPr="00A52585">
        <w:rPr>
          <w:rFonts w:hint="cs"/>
          <w:rtl/>
        </w:rPr>
        <w:t>أديان حيـن سرى إلى الأديـان</w:t>
      </w:r>
      <w:r w:rsidRPr="00A52585">
        <w:rPr>
          <w:rFonts w:hint="cs"/>
          <w:bCs/>
          <w:rtl/>
        </w:rPr>
        <w:t>)</w:t>
      </w:r>
      <w:r w:rsidR="00DB731D" w:rsidRPr="00A52585">
        <w:rPr>
          <w:rFonts w:hint="cs"/>
          <w:bCs/>
          <w:rtl/>
        </w:rPr>
        <w:t>،</w:t>
      </w:r>
      <w:r w:rsidR="00777DCB" w:rsidRPr="00A52585">
        <w:rPr>
          <w:rFonts w:hint="cs"/>
          <w:rtl/>
        </w:rPr>
        <w:t xml:space="preserve"> والفاضل الذي أشار إليه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وهنا بياض في أصل المؤلف، والمراد بذلك الفاضل هو إمام الحرمين عبد الملك بن عبدالله بن يوسف الجويني</w:t>
      </w:r>
      <w:r w:rsidR="00DB731D" w:rsidRPr="00A52585">
        <w:rPr>
          <w:rFonts w:hint="cs"/>
          <w:sz w:val="24"/>
          <w:szCs w:val="24"/>
          <w:rtl/>
        </w:rPr>
        <w:t>،</w:t>
      </w:r>
      <w:r w:rsidR="00777DCB" w:rsidRPr="00A52585">
        <w:rPr>
          <w:rFonts w:hint="cs"/>
          <w:sz w:val="24"/>
          <w:szCs w:val="24"/>
          <w:rtl/>
        </w:rPr>
        <w:t xml:space="preserve"> وقد ذكر غير واحد من أهل العلم منهم ابن فرح القرطبي في تذكرته رواية عن القاضي أبي بكر العربي عن غير واحد من أصحاب إمام الحرمين عنه ما معناه</w:t>
      </w:r>
      <w:r w:rsidRPr="00A52585">
        <w:rPr>
          <w:rFonts w:hint="cs"/>
          <w:sz w:val="24"/>
          <w:szCs w:val="24"/>
          <w:rtl/>
        </w:rPr>
        <w:t>:</w:t>
      </w:r>
      <w:r w:rsidR="00777DCB" w:rsidRPr="00A52585">
        <w:rPr>
          <w:rFonts w:hint="cs"/>
          <w:sz w:val="24"/>
          <w:szCs w:val="24"/>
          <w:rtl/>
        </w:rPr>
        <w:t xml:space="preserve"> أن ذا حاجة حضر عنده وشكا من دين ركبه، فأشار إليه بالمكث لعل الله يفرج عنه، وفي أثناء ذلك حضر غني يسأله عن الحجة في تنـزه الله سبحانه عن الجهة فقال إمام الحرمين</w:t>
      </w:r>
      <w:r w:rsidRPr="00A52585">
        <w:rPr>
          <w:rFonts w:hint="cs"/>
          <w:sz w:val="24"/>
          <w:szCs w:val="24"/>
          <w:rtl/>
        </w:rPr>
        <w:t>:</w:t>
      </w:r>
      <w:r w:rsidR="00777DCB" w:rsidRPr="00A52585">
        <w:rPr>
          <w:rFonts w:hint="cs"/>
          <w:sz w:val="24"/>
          <w:szCs w:val="24"/>
          <w:rtl/>
        </w:rPr>
        <w:t xml:space="preserve"> الأدلة على هذا كثيرة جداً، منها نهيه صلى الله عليه وسلم عن تفضيله على يونس عليه السلام، فصعب فهم وجه دلالة ذلك على الحضور، فسأله السائل عن وجه الدلالة فقال إمام الحرمين</w:t>
      </w:r>
      <w:r w:rsidRPr="00A52585">
        <w:rPr>
          <w:rFonts w:hint="cs"/>
          <w:sz w:val="24"/>
          <w:szCs w:val="24"/>
          <w:rtl/>
        </w:rPr>
        <w:t>:</w:t>
      </w:r>
      <w:r w:rsidR="00777DCB" w:rsidRPr="00A52585">
        <w:rPr>
          <w:rFonts w:hint="cs"/>
          <w:sz w:val="24"/>
          <w:szCs w:val="24"/>
          <w:rtl/>
        </w:rPr>
        <w:t xml:space="preserve"> حتى تقضي حاجة هذا -</w:t>
      </w:r>
      <w:r w:rsidRPr="00A52585">
        <w:rPr>
          <w:rFonts w:hint="cs"/>
          <w:sz w:val="24"/>
          <w:szCs w:val="24"/>
          <w:rtl/>
        </w:rPr>
        <w:t xml:space="preserve"> </w:t>
      </w:r>
      <w:r w:rsidR="00777DCB" w:rsidRPr="00A52585">
        <w:rPr>
          <w:rFonts w:hint="cs"/>
          <w:sz w:val="24"/>
          <w:szCs w:val="24"/>
          <w:rtl/>
        </w:rPr>
        <w:t xml:space="preserve">مشيراً إلى صاحب الدين – فتولى قضاء دينه، ثم أجاب </w:t>
      </w:r>
      <w:r w:rsidR="00777DCB" w:rsidRPr="00A52585">
        <w:rPr>
          <w:rFonts w:hint="cs"/>
          <w:sz w:val="24"/>
          <w:szCs w:val="24"/>
          <w:rtl/>
        </w:rPr>
        <w:lastRenderedPageBreak/>
        <w:t>الإمام قائلاً</w:t>
      </w:r>
      <w:r w:rsidRPr="00A52585">
        <w:rPr>
          <w:rFonts w:hint="cs"/>
          <w:sz w:val="24"/>
          <w:szCs w:val="24"/>
          <w:rtl/>
        </w:rPr>
        <w:t>:</w:t>
      </w:r>
      <w:r w:rsidR="00777DCB" w:rsidRPr="00A52585">
        <w:rPr>
          <w:rFonts w:hint="cs"/>
          <w:sz w:val="24"/>
          <w:szCs w:val="24"/>
          <w:rtl/>
        </w:rPr>
        <w:t xml:space="preserve"> إن هذا الحديث يدل على أن النبي صلى الله عليه وسلم وهو عند سدرة المنتهى لم يكن بأقرب إلى الله من يونس عليه السلام وهو في بطن الحوت في قعر البحر، فدل على أنه تعالى منـزه عن الجهات. وإلا لما صح النهي عن التفضيل، فاستحسنه الحاضرون غاية الاستحسان</w:t>
      </w:r>
      <w:r w:rsidR="00DB731D" w:rsidRPr="00A52585">
        <w:rPr>
          <w:rFonts w:hint="cs"/>
          <w:sz w:val="24"/>
          <w:szCs w:val="24"/>
          <w:rtl/>
        </w:rPr>
        <w:t>،</w:t>
      </w:r>
      <w:r w:rsidR="00777DCB" w:rsidRPr="00A52585">
        <w:rPr>
          <w:rFonts w:hint="cs"/>
          <w:sz w:val="24"/>
          <w:szCs w:val="24"/>
          <w:rtl/>
        </w:rPr>
        <w:t xml:space="preserve"> ولفظ البخاري (لا يقولن أحدكم إني خير من يونس بن متى) والمعنى واحد، وذكره القاضي عياض في الشفاء على لفظ المؤلف</w:t>
      </w:r>
      <w:r w:rsidR="00DB731D" w:rsidRPr="00A52585">
        <w:rPr>
          <w:rFonts w:hint="cs"/>
          <w:sz w:val="24"/>
          <w:szCs w:val="24"/>
          <w:rtl/>
        </w:rPr>
        <w:t>،</w:t>
      </w:r>
      <w:r w:rsidR="00777DCB" w:rsidRPr="00A52585">
        <w:rPr>
          <w:rFonts w:hint="cs"/>
          <w:sz w:val="24"/>
          <w:szCs w:val="24"/>
          <w:rtl/>
        </w:rPr>
        <w:t xml:space="preserve"> ومن أطلق الكفر على إثبات الجهة في غاية من الكثرة بين الأئمة. ومن الدليل على تنـزه الله سبحانه عن الجهة حديث (أقرب ما يكون العبد من ربه وهو ساجد) أخرجه النسائي وغيره]</w:t>
      </w:r>
      <w:r w:rsidR="00897A24" w:rsidRPr="00A52585">
        <w:rPr>
          <w:rFonts w:hint="cs"/>
          <w:rtl/>
        </w:rPr>
        <w:t>.</w:t>
      </w:r>
      <w:r w:rsidR="00777DCB" w:rsidRPr="00A52585">
        <w:rPr>
          <w:rFonts w:hint="cs"/>
          <w:rtl/>
        </w:rPr>
        <w:t>. وتفسيره للحديث المذكور بما قاله صحيح</w:t>
      </w:r>
      <w:r w:rsidR="00DB731D" w:rsidRPr="00A52585">
        <w:rPr>
          <w:rFonts w:hint="cs"/>
          <w:rtl/>
        </w:rPr>
        <w:t>،</w:t>
      </w:r>
      <w:r w:rsidR="00777DCB" w:rsidRPr="00A52585">
        <w:rPr>
          <w:rFonts w:hint="cs"/>
          <w:rtl/>
        </w:rPr>
        <w:t xml:space="preserve"> وقد سبقه إليه إمام دار الهجرة نجم العلماء أمير المؤمنين في الحديث</w:t>
      </w:r>
      <w:r w:rsidR="00DB731D" w:rsidRPr="00A52585">
        <w:rPr>
          <w:rFonts w:hint="cs"/>
          <w:rtl/>
        </w:rPr>
        <w:t>،</w:t>
      </w:r>
      <w:r w:rsidR="00777DCB" w:rsidRPr="00A52585">
        <w:rPr>
          <w:rFonts w:hint="cs"/>
          <w:rtl/>
        </w:rPr>
        <w:t xml:space="preserve"> عالم المدينة أبو عبد الله مالك بن أنس ؛حكى ذلك الفقيه الإمام العلامة قاضي قضاة الإسكندرية ناصر الدين بن المنير المالكي</w:t>
      </w:r>
      <w:r w:rsidR="00777DCB" w:rsidRPr="00A52585">
        <w:rPr>
          <w:rFonts w:hint="cs"/>
          <w:sz w:val="24"/>
          <w:szCs w:val="24"/>
          <w:rtl/>
        </w:rPr>
        <w:t xml:space="preserve"> </w:t>
      </w:r>
      <w:r w:rsidR="00777DCB" w:rsidRPr="00A52585">
        <w:rPr>
          <w:rFonts w:hint="cs"/>
          <w:rtl/>
        </w:rPr>
        <w:t xml:space="preserve">الفقيه المفسر النحوي الأصولي الخطيب الأديب البارع في علوم كثيرة في كتابه </w:t>
      </w:r>
      <w:r w:rsidRPr="00A52585">
        <w:rPr>
          <w:rFonts w:hint="cs"/>
          <w:rtl/>
        </w:rPr>
        <w:t>(</w:t>
      </w:r>
      <w:proofErr w:type="spellStart"/>
      <w:r w:rsidR="00777DCB" w:rsidRPr="00A52585">
        <w:rPr>
          <w:rFonts w:hint="cs"/>
          <w:rtl/>
        </w:rPr>
        <w:t>المقتفى</w:t>
      </w:r>
      <w:proofErr w:type="spellEnd"/>
      <w:r w:rsidR="00777DCB" w:rsidRPr="00A52585">
        <w:rPr>
          <w:rFonts w:hint="cs"/>
          <w:rtl/>
        </w:rPr>
        <w:t xml:space="preserve"> في شرف المصطفى</w:t>
      </w:r>
      <w:r w:rsidRPr="00A52585">
        <w:rPr>
          <w:rFonts w:hint="cs"/>
          <w:rtl/>
        </w:rPr>
        <w:t>)</w:t>
      </w:r>
      <w:r w:rsidR="00777DCB" w:rsidRPr="00A52585">
        <w:rPr>
          <w:rFonts w:hint="cs"/>
          <w:rtl/>
        </w:rPr>
        <w:t xml:space="preserve"> لما تكلم على الجهة وقرر نفيها؛ قال</w:t>
      </w:r>
      <w:r w:rsidRPr="00A52585">
        <w:rPr>
          <w:rFonts w:hint="cs"/>
          <w:rtl/>
        </w:rPr>
        <w:t>:</w:t>
      </w:r>
      <w:r w:rsidR="00777DCB" w:rsidRPr="00A52585">
        <w:rPr>
          <w:rFonts w:hint="cs"/>
          <w:rtl/>
        </w:rPr>
        <w:t xml:space="preserve"> ولهذا المعنى أشار مالك رحمه الله في قوله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تفضلوني على يونس بن متى</w:t>
      </w:r>
      <w:r w:rsidRPr="00A52585">
        <w:rPr>
          <w:rFonts w:hint="cs"/>
          <w:rtl/>
        </w:rPr>
        <w:t>)</w:t>
      </w:r>
      <w:r w:rsidR="00777DCB" w:rsidRPr="00A52585">
        <w:rPr>
          <w:rFonts w:hint="cs"/>
          <w:rtl/>
        </w:rPr>
        <w:t xml:space="preserve"> فقال مالك</w:t>
      </w:r>
      <w:r w:rsidRPr="00A52585">
        <w:rPr>
          <w:rFonts w:hint="cs"/>
          <w:rtl/>
        </w:rPr>
        <w:t>:</w:t>
      </w:r>
      <w:r w:rsidR="00777DCB" w:rsidRPr="00A52585">
        <w:rPr>
          <w:rFonts w:hint="cs"/>
          <w:rtl/>
        </w:rPr>
        <w:t xml:space="preserve"> إنما خص يونس للتنبيه على التنـزيه لأنه صلى الله عليه وسلم رفع إلى العرش</w:t>
      </w:r>
      <w:r w:rsidR="00DB731D" w:rsidRPr="00A52585">
        <w:rPr>
          <w:rFonts w:hint="cs"/>
          <w:rtl/>
        </w:rPr>
        <w:t>،</w:t>
      </w:r>
      <w:r w:rsidR="00777DCB" w:rsidRPr="00A52585">
        <w:rPr>
          <w:rFonts w:hint="cs"/>
          <w:rtl/>
        </w:rPr>
        <w:t xml:space="preserve"> ويونس عليه السلام هبط إلى قابوس البحر</w:t>
      </w:r>
      <w:r w:rsidR="00DB731D" w:rsidRPr="00A52585">
        <w:rPr>
          <w:rFonts w:hint="cs"/>
          <w:rtl/>
        </w:rPr>
        <w:t>،</w:t>
      </w:r>
      <w:r w:rsidR="00777DCB" w:rsidRPr="00A52585">
        <w:rPr>
          <w:rFonts w:hint="cs"/>
          <w:rtl/>
        </w:rPr>
        <w:t xml:space="preserve"> ونسبتهما مع ذلك من حيث الجهة إلى الحق جل جلاله نسبة واحدة! ولو كان الفضل بالمكان لكان عليه الصلاة والسلام أقرب من يونس بن متى وأفضل مكانا</w:t>
      </w:r>
      <w:r w:rsidR="00DB731D" w:rsidRPr="00A52585">
        <w:rPr>
          <w:rFonts w:hint="cs"/>
          <w:rtl/>
        </w:rPr>
        <w:t>،</w:t>
      </w:r>
      <w:r w:rsidR="00777DCB" w:rsidRPr="00A52585">
        <w:rPr>
          <w:rFonts w:hint="cs"/>
          <w:rtl/>
        </w:rPr>
        <w:t xml:space="preserve"> ولما نهى عن ذلك. ثم أخذ الفقيه ناصر الدين يبدي أن الفضل بالمكانة لأن العرش في الرفيق الأعلى</w:t>
      </w:r>
      <w:r w:rsidR="00DB731D" w:rsidRPr="00A52585">
        <w:rPr>
          <w:rFonts w:hint="cs"/>
          <w:rtl/>
        </w:rPr>
        <w:t>،</w:t>
      </w:r>
      <w:r w:rsidR="00777DCB" w:rsidRPr="00A52585">
        <w:rPr>
          <w:rFonts w:hint="cs"/>
          <w:rtl/>
        </w:rPr>
        <w:t xml:space="preserve"> فهو أفضل من السفل</w:t>
      </w:r>
      <w:r w:rsidR="00DB731D" w:rsidRPr="00A52585">
        <w:rPr>
          <w:rFonts w:hint="cs"/>
          <w:rtl/>
        </w:rPr>
        <w:t>،</w:t>
      </w:r>
      <w:r w:rsidR="00777DCB" w:rsidRPr="00A52585">
        <w:rPr>
          <w:rFonts w:hint="cs"/>
          <w:rtl/>
        </w:rPr>
        <w:t xml:space="preserve"> فالفضل بالمكانة لا بالمكان</w:t>
      </w:r>
      <w:r w:rsidR="00DB731D" w:rsidRPr="00A52585">
        <w:rPr>
          <w:rFonts w:hint="cs"/>
          <w:rtl/>
        </w:rPr>
        <w:t>،</w:t>
      </w:r>
      <w:r w:rsidR="00777DCB" w:rsidRPr="00A52585">
        <w:rPr>
          <w:rFonts w:hint="cs"/>
          <w:rtl/>
        </w:rPr>
        <w:t xml:space="preserve"> فانظر أن مالكا رضي الله عنه</w:t>
      </w:r>
      <w:r w:rsidRPr="00A52585">
        <w:rPr>
          <w:rFonts w:hint="cs"/>
          <w:rtl/>
        </w:rPr>
        <w:t xml:space="preserve"> </w:t>
      </w:r>
      <w:r w:rsidR="00777DCB" w:rsidRPr="00A52585">
        <w:rPr>
          <w:rFonts w:hint="cs"/>
          <w:rtl/>
        </w:rPr>
        <w:t>-</w:t>
      </w:r>
      <w:r w:rsidRPr="00A52585">
        <w:rPr>
          <w:rFonts w:hint="cs"/>
          <w:rtl/>
        </w:rPr>
        <w:t xml:space="preserve"> </w:t>
      </w:r>
      <w:r w:rsidR="00777DCB" w:rsidRPr="00A52585">
        <w:rPr>
          <w:rFonts w:hint="cs"/>
          <w:rtl/>
        </w:rPr>
        <w:t>وناهيك به -</w:t>
      </w:r>
      <w:r w:rsidRPr="00A52585">
        <w:rPr>
          <w:rFonts w:hint="cs"/>
          <w:rtl/>
        </w:rPr>
        <w:t xml:space="preserve"> </w:t>
      </w:r>
      <w:r w:rsidR="00777DCB" w:rsidRPr="00A52585">
        <w:rPr>
          <w:rFonts w:hint="cs"/>
          <w:rtl/>
        </w:rPr>
        <w:t>قد فسر الحديث بما قال هذا المتخلف النحس</w:t>
      </w:r>
      <w:r w:rsidR="00DB731D" w:rsidRPr="00A52585">
        <w:rPr>
          <w:rFonts w:hint="cs"/>
          <w:rtl/>
        </w:rPr>
        <w:t>،</w:t>
      </w:r>
      <w:r w:rsidR="00777DCB" w:rsidRPr="00A52585">
        <w:rPr>
          <w:rFonts w:hint="cs"/>
          <w:rtl/>
        </w:rPr>
        <w:t xml:space="preserve"> إنه إلحاد</w:t>
      </w:r>
      <w:r w:rsidR="00DB731D" w:rsidRPr="00A52585">
        <w:rPr>
          <w:rFonts w:hint="cs"/>
          <w:rtl/>
        </w:rPr>
        <w:t>،</w:t>
      </w:r>
      <w:r w:rsidR="00777DCB" w:rsidRPr="00A52585">
        <w:rPr>
          <w:rFonts w:hint="cs"/>
          <w:rtl/>
        </w:rPr>
        <w:t xml:space="preserve"> فهو الملحد عليه لعنة الله ما أوقحه وما أكثر </w:t>
      </w:r>
      <w:proofErr w:type="spellStart"/>
      <w:r w:rsidR="00777DCB" w:rsidRPr="00A52585">
        <w:rPr>
          <w:rFonts w:hint="cs"/>
          <w:rtl/>
        </w:rPr>
        <w:t>تجرأه</w:t>
      </w:r>
      <w:proofErr w:type="spellEnd"/>
      <w:r w:rsidR="00F95886" w:rsidRPr="00A52585">
        <w:rPr>
          <w:rFonts w:hint="cs"/>
          <w:rtl/>
        </w:rPr>
        <w:t>؟</w:t>
      </w:r>
      <w:r w:rsidR="00777DCB" w:rsidRPr="00A52585">
        <w:rPr>
          <w:rFonts w:hint="cs"/>
          <w:rtl/>
        </w:rPr>
        <w:t>! أخزاه الله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ترى المؤلف على ورعه البالغ يستنـزل اللعنات على الناظم في كثير من مواضع هذا الكتاب، وهو يستحق تلك اللعنات من حيث خروجه على معتقد المسلمين بتلك </w:t>
      </w:r>
      <w:proofErr w:type="spellStart"/>
      <w:r w:rsidR="00777DCB" w:rsidRPr="00A52585">
        <w:rPr>
          <w:rFonts w:hint="cs"/>
          <w:sz w:val="24"/>
          <w:szCs w:val="24"/>
          <w:rtl/>
        </w:rPr>
        <w:t>المخازي</w:t>
      </w:r>
      <w:proofErr w:type="spellEnd"/>
      <w:r w:rsidR="00777DCB" w:rsidRPr="00A52585">
        <w:rPr>
          <w:rFonts w:hint="cs"/>
          <w:sz w:val="24"/>
          <w:szCs w:val="24"/>
          <w:rtl/>
        </w:rPr>
        <w:t>، لكن الخاتمة مجهولة، فالأولى كف اللسان الآن عن اللعن. وأما استنـزال المؤلف اللعنة عليه فكان في حياة الناظم وهو يمضي على زيغه وإضلاله عامله الله بعدله]</w:t>
      </w:r>
      <w:r w:rsidR="00DB731D" w:rsidRPr="00A52585">
        <w:rPr>
          <w:rFonts w:hint="cs"/>
          <w:rtl/>
        </w:rPr>
        <w:t>،</w:t>
      </w:r>
      <w:r w:rsidRPr="00A52585">
        <w:rPr>
          <w:rFonts w:hint="cs"/>
          <w:rtl/>
        </w:rPr>
        <w:t xml:space="preserve"> </w:t>
      </w:r>
    </w:p>
    <w:p w14:paraId="5E2A8CD2" w14:textId="6E9E5B6D" w:rsidR="00777DCB" w:rsidRPr="00A52585" w:rsidRDefault="0002035C" w:rsidP="0002035C">
      <w:pPr>
        <w:spacing w:after="240"/>
        <w:rPr>
          <w:b/>
        </w:rPr>
      </w:pPr>
      <w:r w:rsidRPr="00A52585">
        <w:rPr>
          <w:rFonts w:hint="cs"/>
          <w:bCs/>
          <w:rtl/>
        </w:rPr>
        <w:t>[</w:t>
      </w:r>
      <w:r w:rsidR="00777DCB" w:rsidRPr="00A52585">
        <w:rPr>
          <w:rFonts w:hint="cs"/>
          <w:bCs/>
          <w:rtl/>
        </w:rPr>
        <w:t>فصـــل</w:t>
      </w:r>
      <w:r w:rsidRPr="00A52585">
        <w:rPr>
          <w:rFonts w:hint="cs"/>
          <w:bCs/>
          <w:rtl/>
        </w:rPr>
        <w:t>]:</w:t>
      </w:r>
      <w:r w:rsidR="00777DCB" w:rsidRPr="00A52585">
        <w:rPr>
          <w:rFonts w:hint="cs"/>
          <w:rtl/>
        </w:rPr>
        <w:t xml:space="preserve"> الفوقية الحسية </w:t>
      </w:r>
      <w:r w:rsidR="00777DCB" w:rsidRPr="00A52585">
        <w:t>…</w:t>
      </w:r>
      <w:r w:rsidR="00777DCB" w:rsidRPr="00A52585">
        <w:rPr>
          <w:rFonts w:hint="cs"/>
          <w:rtl/>
        </w:rPr>
        <w:t xml:space="preserve"> الخ</w:t>
      </w:r>
      <w:r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وأتى فريق ثم قارب وصفه</w:t>
      </w:r>
      <w:r w:rsidR="00897A24" w:rsidRPr="00A52585">
        <w:rPr>
          <w:rFonts w:hint="cs"/>
          <w:rtl/>
        </w:rPr>
        <w:t>.</w:t>
      </w:r>
      <w:r w:rsidR="00777DCB" w:rsidRPr="00A52585">
        <w:rPr>
          <w:rFonts w:hint="cs"/>
          <w:rtl/>
        </w:rPr>
        <w:t>. هذا وزاد عليه في الميزان</w:t>
      </w:r>
      <w:r w:rsidR="00DB731D" w:rsidRPr="00A52585">
        <w:rPr>
          <w:rFonts w:hint="cs"/>
          <w:rtl/>
        </w:rPr>
        <w:t>،</w:t>
      </w:r>
      <w:r w:rsidR="00777DCB" w:rsidRPr="00A52585">
        <w:rPr>
          <w:rFonts w:hint="cs"/>
          <w:rtl/>
        </w:rPr>
        <w:t xml:space="preserve"> قال اسمعوا يا قــوم لا تلهيكم</w:t>
      </w:r>
      <w:r w:rsidR="00897A24" w:rsidRPr="00A52585">
        <w:rPr>
          <w:rFonts w:hint="cs"/>
          <w:rtl/>
        </w:rPr>
        <w:t>.</w:t>
      </w:r>
      <w:r w:rsidR="00777DCB" w:rsidRPr="00A52585">
        <w:rPr>
          <w:rFonts w:hint="cs"/>
          <w:rtl/>
        </w:rPr>
        <w:t>. هذي الأماني هن شر أماني</w:t>
      </w:r>
      <w:r w:rsidR="00DB731D" w:rsidRPr="00A52585">
        <w:rPr>
          <w:rFonts w:hint="cs"/>
          <w:rtl/>
        </w:rPr>
        <w:t>،</w:t>
      </w:r>
      <w:r w:rsidR="00777DCB" w:rsidRPr="00A52585">
        <w:rPr>
          <w:rFonts w:hint="cs"/>
          <w:rtl/>
        </w:rPr>
        <w:t xml:space="preserve"> أتعبت راحلتي وفتشت</w:t>
      </w:r>
      <w:r w:rsidR="00DB731D" w:rsidRPr="00A52585">
        <w:rPr>
          <w:rFonts w:hint="cs"/>
          <w:rtl/>
        </w:rPr>
        <w:t>،</w:t>
      </w:r>
      <w:r w:rsidR="00777DCB" w:rsidRPr="00A52585">
        <w:rPr>
          <w:rFonts w:hint="cs"/>
          <w:rtl/>
        </w:rPr>
        <w:t xml:space="preserve"> ما دلني أحد عليه إلا طوائف بالحديث تمسكت تعزي مذاهبها إلى القرآن</w:t>
      </w:r>
      <w:r w:rsidR="00DB731D"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الذي تبغيه فوق عباده فوق السماء وفوق كل مكان</w:t>
      </w:r>
      <w:r w:rsidR="00DB731D" w:rsidRPr="00A52585">
        <w:rPr>
          <w:rFonts w:hint="cs"/>
          <w:rtl/>
        </w:rPr>
        <w:t>،</w:t>
      </w:r>
      <w:r w:rsidR="00777DCB" w:rsidRPr="00A52585">
        <w:rPr>
          <w:rFonts w:hint="cs"/>
          <w:rtl/>
        </w:rPr>
        <w:t xml:space="preserve"> وهو الذي حقا على العرش استوى وإليه يصعد كل قول طيب وإليه يرفع سعى ذي الشكران</w:t>
      </w:r>
      <w:r w:rsidR="00DB731D" w:rsidRPr="00A52585">
        <w:rPr>
          <w:rFonts w:hint="cs"/>
          <w:rtl/>
        </w:rPr>
        <w:t>،</w:t>
      </w:r>
      <w:r w:rsidR="00777DCB" w:rsidRPr="00A52585">
        <w:rPr>
          <w:rFonts w:hint="cs"/>
          <w:rtl/>
        </w:rPr>
        <w:t xml:space="preserve"> والروح والأملاك منه تنـزلت وإليه تعرج وإليه أيدي السائلين توجهت</w:t>
      </w:r>
      <w:r w:rsidR="00DB731D" w:rsidRPr="00A52585">
        <w:rPr>
          <w:rFonts w:hint="cs"/>
          <w:rtl/>
        </w:rPr>
        <w:t>،</w:t>
      </w:r>
      <w:r w:rsidR="00777DCB" w:rsidRPr="00A52585">
        <w:rPr>
          <w:rFonts w:hint="cs"/>
          <w:rtl/>
        </w:rPr>
        <w:t xml:space="preserve"> وإليه قد عرج الرسول صلى الله عليه وسلم وإليه قد رفع المسيح حقيقة وإليه يصعد روح كل مصدق</w:t>
      </w:r>
      <w:r w:rsidR="00DB731D" w:rsidRPr="00A52585">
        <w:rPr>
          <w:rFonts w:hint="cs"/>
          <w:rtl/>
        </w:rPr>
        <w:t>،</w:t>
      </w:r>
      <w:r w:rsidR="00777DCB" w:rsidRPr="00A52585">
        <w:rPr>
          <w:rFonts w:hint="cs"/>
          <w:rtl/>
        </w:rPr>
        <w:t xml:space="preserve"> لكن أولو التعطيل منهم أصبحوا </w:t>
      </w:r>
      <w:r w:rsidR="00777DCB" w:rsidRPr="00A52585">
        <w:rPr>
          <w:rFonts w:hint="cs"/>
          <w:rtl/>
        </w:rPr>
        <w:lastRenderedPageBreak/>
        <w:t xml:space="preserve">مرضى بداء الجهل والخذلان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والوارد في القرآن الكريم {وهو القاهر فوق عباده} [الأنعام</w:t>
      </w:r>
      <w:r w:rsidRPr="00A52585">
        <w:rPr>
          <w:rFonts w:hint="cs"/>
          <w:sz w:val="24"/>
          <w:szCs w:val="24"/>
          <w:rtl/>
        </w:rPr>
        <w:t>:</w:t>
      </w:r>
      <w:r w:rsidR="00777DCB" w:rsidRPr="00A52585">
        <w:rPr>
          <w:rFonts w:hint="cs"/>
          <w:sz w:val="24"/>
          <w:szCs w:val="24"/>
          <w:rtl/>
        </w:rPr>
        <w:t xml:space="preserve"> 18] ومن الخرق أن يظن من قوله تعالى عن القبط {وإنا فوقهم قاهرون} [الأعراف</w:t>
      </w:r>
      <w:r w:rsidRPr="00A52585">
        <w:rPr>
          <w:rFonts w:hint="cs"/>
          <w:sz w:val="24"/>
          <w:szCs w:val="24"/>
          <w:rtl/>
        </w:rPr>
        <w:t>:</w:t>
      </w:r>
      <w:r w:rsidR="00777DCB" w:rsidRPr="00A52585">
        <w:rPr>
          <w:rFonts w:hint="cs"/>
          <w:sz w:val="24"/>
          <w:szCs w:val="24"/>
          <w:rtl/>
        </w:rPr>
        <w:t xml:space="preserve"> 127] ركوب القبط على أكتاف بني إسرائيل مع إمكان ركوب جسم على جسم، وكيف يتصور ذلك في الله تعالى المنـزه عن الجسم ولوازم الجسمية؛ واعتبار ذات الله فوق عباده فوقية مكانية إلحادٌ ليس من مدلول الآية في شيء</w:t>
      </w:r>
      <w:r w:rsidR="00DB731D" w:rsidRPr="00A52585">
        <w:rPr>
          <w:rFonts w:hint="cs"/>
          <w:sz w:val="24"/>
          <w:szCs w:val="24"/>
          <w:rtl/>
        </w:rPr>
        <w:t>،</w:t>
      </w:r>
      <w:r w:rsidR="00777DCB" w:rsidRPr="00A52585">
        <w:rPr>
          <w:rFonts w:hint="cs"/>
          <w:sz w:val="24"/>
          <w:szCs w:val="24"/>
          <w:rtl/>
        </w:rPr>
        <w:t xml:space="preserve"> وكون ذاته جل جلاله فوق إحدى السماوات فوقية مكانية وفوق كل مكان فوقية مكانية مثل ما سبق في الزيغ، وأين في القرآن ما يوهم ذلك</w:t>
      </w:r>
      <w:r w:rsidR="00F95886" w:rsidRPr="00A52585">
        <w:rPr>
          <w:rFonts w:hint="cs"/>
          <w:sz w:val="24"/>
          <w:szCs w:val="24"/>
          <w:rtl/>
        </w:rPr>
        <w:t>؟</w:t>
      </w:r>
      <w:r w:rsidR="00777DCB" w:rsidRPr="00A52585">
        <w:rPr>
          <w:rFonts w:hint="cs"/>
          <w:sz w:val="24"/>
          <w:szCs w:val="24"/>
          <w:rtl/>
        </w:rPr>
        <w:t xml:space="preserve"> على أن القول الأخير موافقة منه لمن يقول</w:t>
      </w:r>
      <w:r w:rsidRPr="00A52585">
        <w:rPr>
          <w:rFonts w:hint="cs"/>
          <w:sz w:val="24"/>
          <w:szCs w:val="24"/>
          <w:rtl/>
        </w:rPr>
        <w:t>:</w:t>
      </w:r>
      <w:r w:rsidR="00777DCB" w:rsidRPr="00A52585">
        <w:rPr>
          <w:rFonts w:hint="cs"/>
          <w:sz w:val="24"/>
          <w:szCs w:val="24"/>
          <w:rtl/>
        </w:rPr>
        <w:t xml:space="preserve"> إن ذاته جل شأنه بكل مكان وكفى هذا تهاتراً، وإن كان يريد الاستواء الاستقرار تبعاً لمقاتل بن سليمان شيخ المجسمة فقد استعجمت عليه الآية الكريمة وتباعد عن بلاغتها أيما تباعد</w:t>
      </w:r>
      <w:r w:rsidR="00DB731D" w:rsidRPr="00A52585">
        <w:rPr>
          <w:rFonts w:hint="cs"/>
          <w:sz w:val="24"/>
          <w:szCs w:val="24"/>
          <w:rtl/>
        </w:rPr>
        <w:t>،</w:t>
      </w:r>
      <w:r w:rsidR="00777DCB" w:rsidRPr="00A52585">
        <w:rPr>
          <w:rFonts w:hint="cs"/>
          <w:sz w:val="24"/>
          <w:szCs w:val="24"/>
          <w:rtl/>
        </w:rPr>
        <w:t xml:space="preserve"> وقد أوضحتُ ذلك في (لفت اللحظ إلى ما في الاختلاف في اللفظ)</w:t>
      </w:r>
      <w:r w:rsidR="00DB731D" w:rsidRPr="00A52585">
        <w:rPr>
          <w:rFonts w:hint="cs"/>
          <w:sz w:val="24"/>
          <w:szCs w:val="24"/>
          <w:rtl/>
        </w:rPr>
        <w:t>،</w:t>
      </w:r>
      <w:r w:rsidR="00777DCB" w:rsidRPr="00A52585">
        <w:rPr>
          <w:rFonts w:hint="cs"/>
          <w:sz w:val="24"/>
          <w:szCs w:val="24"/>
          <w:rtl/>
        </w:rPr>
        <w:t xml:space="preserve"> ونسبة الصعود إلى الأعراض والمعاني من الدليل في أول نظر على أنه مجاز من القبول؛ وماذا من نـزول الملائكة من السموات وعروجهم إليها، وإليه تعالى قصد السائلين، لكن رفعهم الأيدي إلى السماء ليس في شيء من الدلالة على استقرار وجود ذاته في السماء وإنما ذلك لمجرد أن السماء قبلة الدعاء ومنـزل الأنوار والأمطار والخيرات والبركات {وفي السماء رزقكم} [الذاريات</w:t>
      </w:r>
      <w:r w:rsidRPr="00A52585">
        <w:rPr>
          <w:rFonts w:hint="cs"/>
          <w:sz w:val="24"/>
          <w:szCs w:val="24"/>
          <w:rtl/>
        </w:rPr>
        <w:t>:</w:t>
      </w:r>
      <w:r w:rsidR="00777DCB" w:rsidRPr="00A52585">
        <w:rPr>
          <w:rFonts w:hint="cs"/>
          <w:sz w:val="24"/>
          <w:szCs w:val="24"/>
          <w:rtl/>
        </w:rPr>
        <w:t xml:space="preserve"> 22]</w:t>
      </w:r>
      <w:r w:rsidR="00DB731D" w:rsidRPr="00A52585">
        <w:rPr>
          <w:rFonts w:hint="cs"/>
          <w:sz w:val="24"/>
          <w:szCs w:val="24"/>
          <w:rtl/>
        </w:rPr>
        <w:t>،</w:t>
      </w:r>
      <w:r w:rsidR="00777DCB" w:rsidRPr="00A52585">
        <w:rPr>
          <w:rFonts w:hint="cs"/>
          <w:sz w:val="24"/>
          <w:szCs w:val="24"/>
          <w:rtl/>
        </w:rPr>
        <w:t xml:space="preserve"> وسمت الرأس مما يتبدل آناً فأنا كما يعرف ذلك صغار التلاميذ في المدارس، فهل ذات معبود الناظم في تنقل دائم </w:t>
      </w:r>
      <w:proofErr w:type="spellStart"/>
      <w:r w:rsidR="00777DCB" w:rsidRPr="00A52585">
        <w:rPr>
          <w:rFonts w:hint="cs"/>
          <w:sz w:val="24"/>
          <w:szCs w:val="24"/>
          <w:rtl/>
        </w:rPr>
        <w:t>لايبرح</w:t>
      </w:r>
      <w:proofErr w:type="spellEnd"/>
      <w:r w:rsidR="00777DCB" w:rsidRPr="00A52585">
        <w:rPr>
          <w:rFonts w:hint="cs"/>
          <w:sz w:val="24"/>
          <w:szCs w:val="24"/>
          <w:rtl/>
        </w:rPr>
        <w:t xml:space="preserve"> سمت رأسه</w:t>
      </w:r>
      <w:r w:rsidR="00F95886" w:rsidRPr="00A52585">
        <w:rPr>
          <w:rFonts w:hint="cs"/>
          <w:sz w:val="24"/>
          <w:szCs w:val="24"/>
          <w:rtl/>
        </w:rPr>
        <w:t>؟</w:t>
      </w:r>
      <w:r w:rsidR="00777DCB" w:rsidRPr="00A52585">
        <w:rPr>
          <w:rFonts w:hint="cs"/>
          <w:sz w:val="24"/>
          <w:szCs w:val="24"/>
          <w:rtl/>
        </w:rPr>
        <w:t>! وما حال سائر الداعين في أقطار الأرض</w:t>
      </w:r>
      <w:r w:rsidR="00F95886" w:rsidRPr="00A52585">
        <w:rPr>
          <w:rFonts w:hint="cs"/>
          <w:sz w:val="24"/>
          <w:szCs w:val="24"/>
          <w:rtl/>
        </w:rPr>
        <w:t>؟</w:t>
      </w:r>
      <w:r w:rsidR="00777DCB" w:rsidRPr="00A52585">
        <w:rPr>
          <w:rFonts w:hint="cs"/>
          <w:sz w:val="24"/>
          <w:szCs w:val="24"/>
          <w:rtl/>
        </w:rPr>
        <w:t xml:space="preserve"> وهذا هو الجهل المطبق</w:t>
      </w:r>
      <w:r w:rsidR="00DB731D" w:rsidRPr="00A52585">
        <w:rPr>
          <w:rFonts w:hint="cs"/>
          <w:sz w:val="24"/>
          <w:szCs w:val="24"/>
          <w:rtl/>
        </w:rPr>
        <w:t>،</w:t>
      </w:r>
      <w:r w:rsidR="00777DCB" w:rsidRPr="00A52585">
        <w:rPr>
          <w:rFonts w:hint="cs"/>
          <w:sz w:val="24"/>
          <w:szCs w:val="24"/>
          <w:rtl/>
        </w:rPr>
        <w:t xml:space="preserve"> لم يكن إسراء النبي صلى الله عليه وسلم ليغشى مكان الله</w:t>
      </w:r>
      <w:r w:rsidRPr="00A52585">
        <w:rPr>
          <w:rFonts w:hint="cs"/>
          <w:sz w:val="24"/>
          <w:szCs w:val="24"/>
          <w:rtl/>
        </w:rPr>
        <w:t xml:space="preserve"> </w:t>
      </w:r>
      <w:r w:rsidR="00777DCB" w:rsidRPr="00A52585">
        <w:rPr>
          <w:rFonts w:hint="cs"/>
          <w:sz w:val="24"/>
          <w:szCs w:val="24"/>
          <w:rtl/>
        </w:rPr>
        <w:t>- سبحانه عن المكان -</w:t>
      </w:r>
      <w:r w:rsidRPr="00A52585">
        <w:rPr>
          <w:rFonts w:hint="cs"/>
          <w:sz w:val="24"/>
          <w:szCs w:val="24"/>
          <w:rtl/>
        </w:rPr>
        <w:t xml:space="preserve"> </w:t>
      </w:r>
      <w:r w:rsidR="00777DCB" w:rsidRPr="00A52585">
        <w:rPr>
          <w:rFonts w:hint="cs"/>
          <w:sz w:val="24"/>
          <w:szCs w:val="24"/>
          <w:rtl/>
        </w:rPr>
        <w:t>بل أسرى به ربه ليريه من آياته الكبرى كما نص على ذلك القرآن؛ ومقام عيسى عليه السلام يظهر من حديث المعراج؛ فويح الناظم ما أجهله بالسنة</w:t>
      </w:r>
      <w:r w:rsidR="00DB731D" w:rsidRPr="00A52585">
        <w:rPr>
          <w:rFonts w:hint="cs"/>
          <w:sz w:val="24"/>
          <w:szCs w:val="24"/>
          <w:rtl/>
        </w:rPr>
        <w:t>،</w:t>
      </w:r>
      <w:r w:rsidR="00777DCB" w:rsidRPr="00A52585">
        <w:rPr>
          <w:rFonts w:hint="cs"/>
          <w:sz w:val="24"/>
          <w:szCs w:val="24"/>
          <w:rtl/>
        </w:rPr>
        <w:t xml:space="preserve"> نعم يوجد بين النصارى من يزعم أن الابن رفع إلى السماء وجلس في جنب أبيه، تعالى الله عما يقول المجسمة وإخوانهم النصارى واليهود علواً كبيراً، وصعود الأرواح إلى السماء مَن الذي يراه صالحاً لاتخاذه دليلا على التجسيم</w:t>
      </w:r>
      <w:r w:rsidRPr="00A52585">
        <w:rPr>
          <w:rFonts w:hint="cs"/>
          <w:sz w:val="24"/>
          <w:szCs w:val="24"/>
          <w:rtl/>
        </w:rPr>
        <w:t>]</w:t>
      </w:r>
      <w:r w:rsidR="00777DCB" w:rsidRPr="00A52585">
        <w:rPr>
          <w:rFonts w:hint="cs"/>
          <w:rtl/>
        </w:rPr>
        <w:t xml:space="preserve"> </w:t>
      </w:r>
    </w:p>
    <w:p w14:paraId="216934CD" w14:textId="0F6BFA13" w:rsidR="00777DCB" w:rsidRPr="00A52585" w:rsidRDefault="0002035C" w:rsidP="0002035C">
      <w:pPr>
        <w:spacing w:after="240"/>
        <w:rPr>
          <w:b/>
          <w:rtl/>
        </w:rPr>
      </w:pPr>
      <w:r w:rsidRPr="00A52585">
        <w:rPr>
          <w:rFonts w:hint="cs"/>
          <w:bCs/>
          <w:rtl/>
        </w:rPr>
        <w:t>[</w:t>
      </w:r>
      <w:r w:rsidR="00777DCB" w:rsidRPr="00A52585">
        <w:rPr>
          <w:rFonts w:hint="cs"/>
          <w:bCs/>
          <w:rtl/>
        </w:rPr>
        <w:t xml:space="preserve">تسمية الناظم أهل الحق بحزب </w:t>
      </w:r>
      <w:proofErr w:type="spellStart"/>
      <w:r w:rsidR="00777DCB" w:rsidRPr="00A52585">
        <w:rPr>
          <w:rFonts w:hint="cs"/>
          <w:bCs/>
          <w:rtl/>
        </w:rPr>
        <w:t>جنكز</w:t>
      </w:r>
      <w:proofErr w:type="spellEnd"/>
      <w:r w:rsidR="00777DCB" w:rsidRPr="00A52585">
        <w:rPr>
          <w:rFonts w:hint="cs"/>
          <w:bCs/>
          <w:rtl/>
        </w:rPr>
        <w:t xml:space="preserve"> خان</w:t>
      </w:r>
      <w:r w:rsidRPr="00A52585">
        <w:rPr>
          <w:rFonts w:hint="cs"/>
          <w:bCs/>
          <w:rtl/>
        </w:rPr>
        <w:t>]</w:t>
      </w:r>
      <w:r w:rsidRPr="00A52585">
        <w:rPr>
          <w:rFonts w:hint="cs"/>
          <w:rtl/>
        </w:rPr>
        <w:t xml:space="preserve">: </w:t>
      </w:r>
      <w:r w:rsidR="00777DCB" w:rsidRPr="00A52585">
        <w:rPr>
          <w:rFonts w:hint="cs"/>
          <w:rtl/>
        </w:rPr>
        <w:t xml:space="preserve">فسألت عنهم رفقتي أصحاب جهم حزب </w:t>
      </w:r>
      <w:proofErr w:type="spellStart"/>
      <w:r w:rsidR="00777DCB" w:rsidRPr="00A52585">
        <w:rPr>
          <w:rFonts w:hint="cs"/>
          <w:rtl/>
        </w:rPr>
        <w:t>جنكسخان</w:t>
      </w:r>
      <w:proofErr w:type="spellEnd"/>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انظر هذا الحشوي كيف يجعل أهل السنة المنـزهين لله عن الجسم والجسمانيات من حزب </w:t>
      </w:r>
      <w:proofErr w:type="spellStart"/>
      <w:r w:rsidR="00777DCB" w:rsidRPr="00A52585">
        <w:rPr>
          <w:rFonts w:hint="cs"/>
          <w:sz w:val="24"/>
          <w:szCs w:val="24"/>
          <w:rtl/>
        </w:rPr>
        <w:t>جنكزخان</w:t>
      </w:r>
      <w:proofErr w:type="spellEnd"/>
      <w:r w:rsidR="00777DCB" w:rsidRPr="00A52585">
        <w:rPr>
          <w:rFonts w:hint="cs"/>
          <w:sz w:val="24"/>
          <w:szCs w:val="24"/>
          <w:rtl/>
        </w:rPr>
        <w:t xml:space="preserve"> الذي اكتسح معالم الإسلام من بلاد الصين إلى حدود الشام غرباً وإلى نهر ولجا وما والاها من بلاد </w:t>
      </w:r>
      <w:proofErr w:type="spellStart"/>
      <w:r w:rsidR="00777DCB" w:rsidRPr="00A52585">
        <w:rPr>
          <w:rFonts w:hint="cs"/>
          <w:sz w:val="24"/>
          <w:szCs w:val="24"/>
          <w:rtl/>
        </w:rPr>
        <w:t>البلغار</w:t>
      </w:r>
      <w:proofErr w:type="spellEnd"/>
      <w:r w:rsidR="00777DCB" w:rsidRPr="00A52585">
        <w:rPr>
          <w:rFonts w:hint="cs"/>
          <w:sz w:val="24"/>
          <w:szCs w:val="24"/>
          <w:rtl/>
        </w:rPr>
        <w:t xml:space="preserve"> القديم شمالاً، ذلك الكافر العريق في الكفر، المسود لتاريخ البشرية بعظائمه الهمجية. ولم تزل أعين المسلمين تفيض دمَاً على تلك الكوارث التي قضت على تلك العلوم الزاهرة وعلى هؤلاء العلماء النبهاء حراس الشريعة الغراء، حتى أصبح مثل الناظم يجد مجالا للكلام، بمثل هذه </w:t>
      </w:r>
      <w:proofErr w:type="spellStart"/>
      <w:r w:rsidR="00777DCB" w:rsidRPr="00A52585">
        <w:rPr>
          <w:rFonts w:hint="cs"/>
          <w:sz w:val="24"/>
          <w:szCs w:val="24"/>
          <w:rtl/>
        </w:rPr>
        <w:t>المخازي</w:t>
      </w:r>
      <w:proofErr w:type="spellEnd"/>
      <w:r w:rsidR="00777DCB" w:rsidRPr="00A52585">
        <w:rPr>
          <w:rFonts w:hint="cs"/>
          <w:sz w:val="24"/>
          <w:szCs w:val="24"/>
          <w:rtl/>
        </w:rPr>
        <w:t>، كأنه وشيخه كانا يحاولان القضاء على البقية الباقية من الإسلام، ومن علوم الإسلام، إتماماً لما لم يتم بأيدي المغول، لكنهما قضيا على أنفسهما ومداركهما قبل أن يقضيا على السنة باسم السنة وعلى عقول الناس باسم النظر؛ عاملهما الله سبحانه]</w:t>
      </w:r>
      <w:r w:rsidR="00777DCB" w:rsidRPr="00A52585">
        <w:rPr>
          <w:rFonts w:hint="cs"/>
          <w:rtl/>
        </w:rPr>
        <w:t xml:space="preserve"> مَن هؤلاء</w:t>
      </w:r>
      <w:r w:rsidR="00F95886" w:rsidRPr="00A52585">
        <w:rPr>
          <w:rFonts w:hint="cs"/>
          <w:rtl/>
        </w:rPr>
        <w:t>؟</w:t>
      </w:r>
      <w:r w:rsidR="00777DCB" w:rsidRPr="00A52585">
        <w:rPr>
          <w:rFonts w:hint="cs"/>
          <w:rtl/>
        </w:rPr>
        <w:t xml:space="preserve"> قال مشبهة مجسمة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يسعى الناظم بكل قواه في تهوين أمر التجسيم أسوة بشيخه، لكن القائلين بقدم الجسم طائفتان ليس بين طوائف البشر أسخف أحلاماً من كلتا الطائفتين</w:t>
      </w:r>
      <w:r w:rsidRPr="00A52585">
        <w:rPr>
          <w:rFonts w:hint="cs"/>
          <w:sz w:val="24"/>
          <w:szCs w:val="24"/>
          <w:rtl/>
        </w:rPr>
        <w:t>:</w:t>
      </w:r>
      <w:r w:rsidR="00777DCB" w:rsidRPr="00A52585">
        <w:rPr>
          <w:rFonts w:hint="cs"/>
          <w:sz w:val="24"/>
          <w:szCs w:val="24"/>
          <w:rtl/>
        </w:rPr>
        <w:t xml:space="preserve"> إحداهما الطبيعيون وقد تسمى الملاحدة والزنادقة والدهرية والمعطلة وهم القائلون بنفي الصانع، وهم كما يقول المطهر المقدسي أقل الناس عدداً وأفيلهم رأيا، وأشرهم حالا, وأوضعهم منـزلة؛ يقولون بقدم أعيان العالم والأجسام وتولد النبات والحيوان من الطبائع باختلاف الأزمنة</w:t>
      </w:r>
      <w:r w:rsidR="00DB731D" w:rsidRPr="00A52585">
        <w:rPr>
          <w:rFonts w:hint="cs"/>
          <w:sz w:val="24"/>
          <w:szCs w:val="24"/>
          <w:rtl/>
        </w:rPr>
        <w:t>،</w:t>
      </w:r>
      <w:r w:rsidR="00777DCB" w:rsidRPr="00A52585">
        <w:rPr>
          <w:rFonts w:hint="cs"/>
          <w:sz w:val="24"/>
          <w:szCs w:val="24"/>
          <w:rtl/>
        </w:rPr>
        <w:t xml:space="preserve"> والثانية</w:t>
      </w:r>
      <w:r w:rsidRPr="00A52585">
        <w:rPr>
          <w:rFonts w:hint="cs"/>
          <w:sz w:val="24"/>
          <w:szCs w:val="24"/>
          <w:rtl/>
        </w:rPr>
        <w:t>:</w:t>
      </w:r>
      <w:r w:rsidR="00777DCB" w:rsidRPr="00A52585">
        <w:rPr>
          <w:rFonts w:hint="cs"/>
          <w:sz w:val="24"/>
          <w:szCs w:val="24"/>
          <w:rtl/>
        </w:rPr>
        <w:t xml:space="preserve"> المجسمة وقد تسمى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والمشبهة على </w:t>
      </w:r>
      <w:r w:rsidR="00777DCB" w:rsidRPr="00A52585">
        <w:rPr>
          <w:rFonts w:hint="cs"/>
          <w:sz w:val="24"/>
          <w:szCs w:val="24"/>
          <w:rtl/>
        </w:rPr>
        <w:lastRenderedPageBreak/>
        <w:t>اختلاف بينهم فيما يختلقونه في الله من السخافات والحماقات، تعالى الله عما يصفون. وهم مشاركون لهؤلاء في القول بجسم قديم قدماً ذاتياً، إلا أنهم يؤلهونه ويتعبدونه بخلاف هؤلاء، سواء أطلقوا لفظ الجسم عليه أم لم يطلقوا بعد أن قالوا بمعنى الجسم الشاغل للفراغ، الذاهب في الجهات، حيث خاضوا في ذات الله سبحانه بعقولهم الضئيلة التي تعجز عن اكتناه ذوات المخلوقات؛ وإنما علمهم بالمخلوقات عبارة عما تخيلوه بشأنها من إحساسهم بأغراضها، فكيف يجترئون على تخيل الحوم حول حمى الخالق جل وعلا</w:t>
      </w:r>
      <w:r w:rsidR="00DB731D" w:rsidRPr="00A52585">
        <w:rPr>
          <w:rFonts w:hint="cs"/>
          <w:sz w:val="24"/>
          <w:szCs w:val="24"/>
          <w:rtl/>
        </w:rPr>
        <w:t>،</w:t>
      </w:r>
      <w:r w:rsidR="00777DCB" w:rsidRPr="00A52585">
        <w:rPr>
          <w:rFonts w:hint="cs"/>
          <w:sz w:val="24"/>
          <w:szCs w:val="24"/>
          <w:rtl/>
        </w:rPr>
        <w:t xml:space="preserve"> قال ابن تيمية في التأسيس في رد أساس التقديس المحفوظ في ظاهرية دمشق في ضمن المجلد رقم 25 من الكواكب </w:t>
      </w:r>
      <w:proofErr w:type="spellStart"/>
      <w:r w:rsidR="00777DCB" w:rsidRPr="00A52585">
        <w:rPr>
          <w:rFonts w:hint="cs"/>
          <w:sz w:val="24"/>
          <w:szCs w:val="24"/>
          <w:rtl/>
        </w:rPr>
        <w:t>الدراري</w:t>
      </w:r>
      <w:proofErr w:type="spellEnd"/>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وهذا الكتاب مخبأة ووكر لكتبهم في التجسيم وقد بينت ذلك فيما علقته على المصعد الأحمد (ص31)</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فمن المعلوم أن الكتاب والسنة والإجماع لم ينطق بأن الأجسام كلها محدثة وأن الله ليس بجسم، ولا قال ذلك إمام من أئمة المسلمين، فليس في تركي لهذا القول خروج عن الفطرة ولا عن الشريعة) اهـ</w:t>
      </w:r>
      <w:r w:rsidR="00DB731D" w:rsidRPr="00A52585">
        <w:rPr>
          <w:rFonts w:hint="cs"/>
          <w:sz w:val="24"/>
          <w:szCs w:val="24"/>
          <w:rtl/>
        </w:rPr>
        <w:t>،</w:t>
      </w:r>
      <w:r w:rsidR="00777DCB" w:rsidRPr="00A52585">
        <w:rPr>
          <w:rFonts w:hint="cs"/>
          <w:sz w:val="24"/>
          <w:szCs w:val="24"/>
          <w:rtl/>
        </w:rPr>
        <w:t xml:space="preserve"> وقال في موضع آخر منه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قلتم ليس هو بجسم، ولا جوهر, ولا متحيز, ولا في جهة ولا يشار إليه بحس ولا يتميز منه شيء؛ وعبرتم عن ذلك بأنه تعالى ليس بمنقسم ولا مركب وأنه لا حد له ولا غاية، تريدون بذلك أنه يمتنع عليه أن يكون له حد وقدر أو يكون له قدر لا يتناهى.. فكيف ساغ لكم هذا النفي بلا كتاب ولا سنة) اهـ، وفي ذلك عِبَر للمعتبر، وهل يتصور لمارقٍ أن يكون أصرح من هذا بين قوم مسلمين</w:t>
      </w:r>
      <w:r w:rsidR="00F95886" w:rsidRPr="00A52585">
        <w:rPr>
          <w:rFonts w:hint="cs"/>
          <w:sz w:val="24"/>
          <w:szCs w:val="24"/>
          <w:rtl/>
        </w:rPr>
        <w:t>؟</w:t>
      </w:r>
      <w:r w:rsidR="00777DCB" w:rsidRPr="00A52585">
        <w:rPr>
          <w:rFonts w:hint="cs"/>
          <w:sz w:val="24"/>
          <w:szCs w:val="24"/>
          <w:rtl/>
        </w:rPr>
        <w:t>]</w:t>
      </w:r>
      <w:r w:rsidR="00777DCB" w:rsidRPr="00A52585">
        <w:rPr>
          <w:rFonts w:hint="cs"/>
          <w:rtl/>
        </w:rPr>
        <w:t xml:space="preserve"> فلا تسمع قولهم والعنهم وأحكم بسفك دمائهم فهم أضل من اليهود والنصارى</w:t>
      </w:r>
      <w:r w:rsidR="00DB731D" w:rsidRPr="00A52585">
        <w:rPr>
          <w:rFonts w:hint="cs"/>
          <w:rtl/>
        </w:rPr>
        <w:t>،</w:t>
      </w:r>
      <w:r w:rsidR="00777DCB" w:rsidRPr="00A52585">
        <w:rPr>
          <w:rFonts w:hint="cs"/>
          <w:rtl/>
        </w:rPr>
        <w:t xml:space="preserve"> واحذر تجادلهم بـ </w:t>
      </w:r>
      <w:r w:rsidRPr="00A52585">
        <w:rPr>
          <w:rFonts w:hint="cs"/>
          <w:rtl/>
        </w:rPr>
        <w:t>(</w:t>
      </w:r>
      <w:r w:rsidR="00777DCB" w:rsidRPr="00A52585">
        <w:rPr>
          <w:rFonts w:hint="cs"/>
          <w:rtl/>
        </w:rPr>
        <w:t>قال الله وقال الرسول</w:t>
      </w:r>
      <w:r w:rsidRPr="00A52585">
        <w:rPr>
          <w:rFonts w:hint="cs"/>
          <w:rtl/>
        </w:rPr>
        <w:t>)</w:t>
      </w:r>
      <w:r w:rsidR="00777DCB" w:rsidRPr="00A52585">
        <w:rPr>
          <w:rFonts w:hint="cs"/>
          <w:rtl/>
        </w:rPr>
        <w:t xml:space="preserve"> وهم أولى به</w:t>
      </w:r>
      <w:r w:rsidR="00DB731D" w:rsidRPr="00A52585">
        <w:rPr>
          <w:rFonts w:hint="cs"/>
          <w:rtl/>
        </w:rPr>
        <w:t>،</w:t>
      </w:r>
      <w:r w:rsidR="00777DCB" w:rsidRPr="00A52585">
        <w:rPr>
          <w:rFonts w:hint="cs"/>
          <w:rtl/>
        </w:rPr>
        <w:t xml:space="preserve"> فإذا ابتليت بهم فغالطهم على التأويل للأخبار والقرآن</w:t>
      </w:r>
      <w:r w:rsidR="00DB731D" w:rsidRPr="00A52585">
        <w:rPr>
          <w:rFonts w:hint="cs"/>
          <w:rtl/>
        </w:rPr>
        <w:t>،</w:t>
      </w:r>
      <w:r w:rsidR="00777DCB" w:rsidRPr="00A52585">
        <w:rPr>
          <w:rFonts w:hint="cs"/>
          <w:rtl/>
        </w:rPr>
        <w:t xml:space="preserve"> وعلى التكذيب للآحاد</w:t>
      </w:r>
      <w:r w:rsidR="00DB731D" w:rsidRPr="00A52585">
        <w:rPr>
          <w:rFonts w:hint="cs"/>
          <w:rtl/>
        </w:rPr>
        <w:t>،</w:t>
      </w:r>
      <w:r w:rsidR="00777DCB" w:rsidRPr="00A52585">
        <w:rPr>
          <w:rFonts w:hint="cs"/>
          <w:rtl/>
        </w:rPr>
        <w:t xml:space="preserve"> هذان أصلان أوصى بهما أشياخنا أشياخهم</w:t>
      </w:r>
      <w:r w:rsidR="00DB731D" w:rsidRPr="00A52585">
        <w:rPr>
          <w:rFonts w:hint="cs"/>
          <w:rtl/>
        </w:rPr>
        <w:t>،</w:t>
      </w:r>
      <w:r w:rsidR="00777DCB" w:rsidRPr="00A52585">
        <w:rPr>
          <w:rFonts w:hint="cs"/>
          <w:rtl/>
        </w:rPr>
        <w:t xml:space="preserve"> وإذا اجتمعت بهم في مجلس فابدأ بإيراد وشغل زمان؛ لا يملكوه عليك بالآثار وتفسير القرآن</w:t>
      </w:r>
      <w:r w:rsidR="00DB731D" w:rsidRPr="00A52585">
        <w:rPr>
          <w:rFonts w:hint="cs"/>
          <w:rtl/>
        </w:rPr>
        <w:t>،</w:t>
      </w:r>
      <w:r w:rsidR="00777DCB" w:rsidRPr="00A52585">
        <w:rPr>
          <w:rFonts w:hint="cs"/>
          <w:rtl/>
        </w:rPr>
        <w:t xml:space="preserve"> فإن وافقت صرت مثلهم</w:t>
      </w:r>
      <w:r w:rsidR="00DB731D" w:rsidRPr="00A52585">
        <w:rPr>
          <w:rFonts w:hint="cs"/>
          <w:rtl/>
        </w:rPr>
        <w:t>،</w:t>
      </w:r>
      <w:r w:rsidR="00777DCB" w:rsidRPr="00A52585">
        <w:rPr>
          <w:rFonts w:hint="cs"/>
          <w:rtl/>
        </w:rPr>
        <w:t xml:space="preserve"> وإن عارضت صرت زنديقا كافراً</w:t>
      </w:r>
      <w:r w:rsidR="00DB731D" w:rsidRPr="00A52585">
        <w:rPr>
          <w:rFonts w:hint="cs"/>
          <w:rtl/>
        </w:rPr>
        <w:t>،</w:t>
      </w:r>
      <w:r w:rsidR="00777DCB" w:rsidRPr="00A52585">
        <w:rPr>
          <w:rFonts w:hint="cs"/>
          <w:rtl/>
        </w:rPr>
        <w:t xml:space="preserve"> وإن سكت يقال جاهل</w:t>
      </w:r>
      <w:r w:rsidR="00DB731D" w:rsidRPr="00A52585">
        <w:rPr>
          <w:rFonts w:hint="cs"/>
          <w:rtl/>
        </w:rPr>
        <w:t>،</w:t>
      </w:r>
      <w:r w:rsidR="00777DCB" w:rsidRPr="00A52585">
        <w:rPr>
          <w:rFonts w:hint="cs"/>
          <w:rtl/>
        </w:rPr>
        <w:t xml:space="preserve"> فابدأ ولو بالفشر والهذيان هذا الذي – والله</w:t>
      </w:r>
      <w:r w:rsidRPr="00A52585">
        <w:rPr>
          <w:rFonts w:hint="cs"/>
          <w:rtl/>
        </w:rPr>
        <w:t xml:space="preserve"> </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ثم انظر كيف يحلف كذباً على هذه المحاورة الخيالية، فهل يتصور أن يصدر منه مثل ذلك لو كان يخاف مقام ربه في ذلك اليوم الرهيب، وسيأتي ما يقضي على مزاعمه في استقرار معبودة على العرش - جلَّ إلهُ المسلمين عن مثل هذه الوثنية -</w:t>
      </w:r>
      <w:r w:rsidRPr="00A52585">
        <w:rPr>
          <w:rFonts w:hint="cs"/>
          <w:sz w:val="24"/>
          <w:szCs w:val="24"/>
          <w:rtl/>
        </w:rPr>
        <w:t xml:space="preserve"> </w:t>
      </w:r>
      <w:r w:rsidR="00777DCB" w:rsidRPr="00A52585">
        <w:rPr>
          <w:rFonts w:hint="cs"/>
          <w:sz w:val="24"/>
          <w:szCs w:val="24"/>
          <w:rtl/>
        </w:rPr>
        <w:t>كما سيأتي القضاء على مزاعمه في الحرف والصوت قضاء لا نهوض لها بعده إن شاء الله تعالى]</w:t>
      </w:r>
      <w:r w:rsidR="00777DCB" w:rsidRPr="00A52585">
        <w:rPr>
          <w:rFonts w:hint="cs"/>
          <w:rtl/>
        </w:rPr>
        <w:t xml:space="preserve"> وصانا به أشياخنا فرجعت عن سفري وقلت لصاحبي</w:t>
      </w:r>
      <w:r w:rsidRPr="00A52585">
        <w:rPr>
          <w:rFonts w:hint="cs"/>
          <w:rtl/>
        </w:rPr>
        <w:t>:</w:t>
      </w:r>
      <w:r w:rsidR="00777DCB" w:rsidRPr="00A52585">
        <w:rPr>
          <w:rFonts w:hint="cs"/>
          <w:rtl/>
        </w:rPr>
        <w:t xml:space="preserve"> عطل ركابك ما ثم شيء غير ذي الأكوان</w:t>
      </w:r>
      <w:r w:rsidR="00DB731D" w:rsidRPr="00A52585">
        <w:rPr>
          <w:rFonts w:hint="cs"/>
          <w:rtl/>
        </w:rPr>
        <w:t>،</w:t>
      </w:r>
      <w:r w:rsidR="00777DCB" w:rsidRPr="00A52585">
        <w:rPr>
          <w:rFonts w:hint="cs"/>
          <w:rtl/>
        </w:rPr>
        <w:t xml:space="preserve"> لو كان للأكوان رب خالق كان المجسم صاحب البرهان أو كان رب بائن عن ذا الورى</w:t>
      </w:r>
      <w:r w:rsidR="00DB731D" w:rsidRPr="00A52585">
        <w:rPr>
          <w:rFonts w:hint="cs"/>
          <w:rtl/>
        </w:rPr>
        <w:t>،</w:t>
      </w:r>
      <w:r w:rsidR="00777DCB" w:rsidRPr="00A52585">
        <w:rPr>
          <w:rFonts w:hint="cs"/>
          <w:rtl/>
        </w:rPr>
        <w:t xml:space="preserve"> كان المجسم صاحب الإيمان. فدع التكاليف واخلع عذارك ما ثم فوق العرش من رب</w:t>
      </w:r>
      <w:r w:rsidR="00DB731D" w:rsidRPr="00A52585">
        <w:rPr>
          <w:rFonts w:hint="cs"/>
          <w:rtl/>
        </w:rPr>
        <w:t>،</w:t>
      </w:r>
      <w:r w:rsidR="00777DCB" w:rsidRPr="00A52585">
        <w:rPr>
          <w:rFonts w:hint="cs"/>
          <w:rtl/>
        </w:rPr>
        <w:t xml:space="preserve"> ولم يتكلم الرحمن بالقرآن لو كان فوق العرش رب لزم التحيز ولو كان القرآن عين كلامه حرفاً وصوتاً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واعتقاد الصوت في كلام الله خطر جداً، وكان الإمام عز الدين بن عبد السلام ابتلي بالمبتدعة الصوتية في عهد الملك الأشرف موسى, ابن الملك العادل الأيوبي، وكان الملك الأشرف هذا يميل إليهم ويعتقد فيهم أنهم على صواب حيث كان يخالطهم منذ صغره حتى منع العز المذكور من الإفتاء بسبب هذه المسألة كما هو مشروح مفصل في مطلب الأديب لأبي بكر بن علي الحسيني السيوطي، وفي طبقات التاج ابن السبكي وطبقات التقي التميمي، وفي خلاصة الكلام في مسألة الكلام للشيخ محمد عبد اللطيف ابن العز المذكور - وقد نقلت الرسالة الأخيرة من خط </w:t>
      </w:r>
      <w:r w:rsidR="00777DCB" w:rsidRPr="00A52585">
        <w:rPr>
          <w:rFonts w:hint="cs"/>
          <w:sz w:val="24"/>
          <w:szCs w:val="24"/>
          <w:rtl/>
        </w:rPr>
        <w:lastRenderedPageBreak/>
        <w:t>المؤلف -</w:t>
      </w:r>
      <w:r w:rsidRPr="00A52585">
        <w:rPr>
          <w:rFonts w:hint="cs"/>
          <w:sz w:val="24"/>
          <w:szCs w:val="24"/>
          <w:rtl/>
        </w:rPr>
        <w:t xml:space="preserve"> </w:t>
      </w:r>
      <w:r w:rsidR="00777DCB" w:rsidRPr="00A52585">
        <w:rPr>
          <w:rFonts w:hint="cs"/>
          <w:sz w:val="24"/>
          <w:szCs w:val="24"/>
          <w:rtl/>
        </w:rPr>
        <w:t xml:space="preserve">واستمر منعه من الإفتاء إلى أن ركب الإمام الكبير جمال الدين </w:t>
      </w:r>
      <w:proofErr w:type="spellStart"/>
      <w:r w:rsidR="00777DCB" w:rsidRPr="00A52585">
        <w:rPr>
          <w:rFonts w:hint="cs"/>
          <w:sz w:val="24"/>
          <w:szCs w:val="24"/>
          <w:rtl/>
        </w:rPr>
        <w:t>الحصيري</w:t>
      </w:r>
      <w:proofErr w:type="spellEnd"/>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شارح الجامع الكبير، وشيخ الفقهاء في عصره -</w:t>
      </w:r>
      <w:r w:rsidRPr="00A52585">
        <w:rPr>
          <w:rFonts w:hint="cs"/>
          <w:sz w:val="24"/>
          <w:szCs w:val="24"/>
          <w:rtl/>
        </w:rPr>
        <w:t xml:space="preserve"> </w:t>
      </w:r>
      <w:r w:rsidR="00777DCB" w:rsidRPr="00A52585">
        <w:rPr>
          <w:rFonts w:hint="cs"/>
          <w:sz w:val="24"/>
          <w:szCs w:val="24"/>
          <w:rtl/>
        </w:rPr>
        <w:t>وتوجه إلى الملك الأشرف وأفهمه أن الحق مع العز، وقال له</w:t>
      </w:r>
      <w:r w:rsidRPr="00A52585">
        <w:rPr>
          <w:rFonts w:hint="cs"/>
          <w:sz w:val="24"/>
          <w:szCs w:val="24"/>
          <w:rtl/>
        </w:rPr>
        <w:t>:</w:t>
      </w:r>
      <w:r w:rsidR="00777DCB" w:rsidRPr="00A52585">
        <w:rPr>
          <w:rFonts w:hint="cs"/>
          <w:sz w:val="24"/>
          <w:szCs w:val="24"/>
          <w:rtl/>
        </w:rPr>
        <w:t xml:space="preserve"> إن ما في فتياه هو اعتقاد المسلمين وكل ما فيها صحيح ومن خالف ذلك فهو حمار</w:t>
      </w:r>
      <w:r w:rsidR="00DB731D" w:rsidRPr="00A52585">
        <w:rPr>
          <w:rFonts w:hint="cs"/>
          <w:sz w:val="24"/>
          <w:szCs w:val="24"/>
          <w:rtl/>
        </w:rPr>
        <w:t>،</w:t>
      </w:r>
      <w:r w:rsidR="00777DCB" w:rsidRPr="00A52585">
        <w:rPr>
          <w:rFonts w:hint="cs"/>
          <w:sz w:val="24"/>
          <w:szCs w:val="24"/>
          <w:rtl/>
        </w:rPr>
        <w:t xml:space="preserve"> وكان الجمال </w:t>
      </w:r>
      <w:proofErr w:type="spellStart"/>
      <w:r w:rsidR="00777DCB" w:rsidRPr="00A52585">
        <w:rPr>
          <w:rFonts w:hint="cs"/>
          <w:sz w:val="24"/>
          <w:szCs w:val="24"/>
          <w:rtl/>
        </w:rPr>
        <w:t>الحصيري</w:t>
      </w:r>
      <w:proofErr w:type="spellEnd"/>
      <w:r w:rsidR="00777DCB" w:rsidRPr="00A52585">
        <w:rPr>
          <w:rFonts w:hint="cs"/>
          <w:sz w:val="24"/>
          <w:szCs w:val="24"/>
          <w:rtl/>
        </w:rPr>
        <w:t xml:space="preserve"> عظيم المنـزلة عند الملك لجلالة قدره عند جماهير أهل العلم، فأطلق الإفتاء للعز ومنع الصوتية من مزاعم الحرف والصوت في كلام الله سبحانه</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[فتاوى في الرد على القائلين بالحرف والصوت]</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وأرى من النصح للمسلمين أن أنقل هنا أجوبة الإمام العز بن عبد السلام والإمام جمال الدين أبي عمرو عثمان بن الحاجب المالكي، والإمام علم الدين أبي الحسن على بن محمد السخاوي, مؤلف </w:t>
      </w:r>
      <w:r w:rsidR="00777DCB" w:rsidRPr="00A52585">
        <w:rPr>
          <w:rFonts w:hint="cs"/>
          <w:bCs/>
          <w:sz w:val="24"/>
          <w:szCs w:val="24"/>
          <w:rtl/>
        </w:rPr>
        <w:t>"جمال القراء وكمال الإقراء"</w:t>
      </w:r>
      <w:r w:rsidR="00777DCB" w:rsidRPr="00A52585">
        <w:rPr>
          <w:rFonts w:hint="cs"/>
          <w:sz w:val="24"/>
          <w:szCs w:val="24"/>
          <w:rtl/>
        </w:rPr>
        <w:t xml:space="preserve"> حينما استفتوا في هذه المسألة، ومكانتهم السامية في العلم معروفة</w:t>
      </w:r>
      <w:r w:rsidR="00DB731D" w:rsidRPr="00A52585">
        <w:rPr>
          <w:rFonts w:hint="cs"/>
          <w:sz w:val="24"/>
          <w:szCs w:val="24"/>
          <w:rtl/>
        </w:rPr>
        <w:t>،</w:t>
      </w:r>
      <w:r w:rsidR="00777DCB" w:rsidRPr="00A52585">
        <w:rPr>
          <w:rFonts w:hint="cs"/>
          <w:sz w:val="24"/>
          <w:szCs w:val="24"/>
          <w:rtl/>
        </w:rPr>
        <w:t xml:space="preserve"> ونص السؤال والأجوبة كما هو مدون في "</w:t>
      </w:r>
      <w:r w:rsidR="00777DCB" w:rsidRPr="00A52585">
        <w:rPr>
          <w:rFonts w:hint="cs"/>
          <w:bCs/>
          <w:sz w:val="24"/>
          <w:szCs w:val="24"/>
          <w:rtl/>
        </w:rPr>
        <w:t>نجم المهتدي ورجم المعتدي</w:t>
      </w:r>
      <w:r w:rsidR="00777DCB" w:rsidRPr="00A52585">
        <w:rPr>
          <w:rFonts w:hint="cs"/>
          <w:sz w:val="24"/>
          <w:szCs w:val="24"/>
          <w:rtl/>
        </w:rPr>
        <w:t>" للفخر بن المعلم القرشي كالآتي</w:t>
      </w:r>
      <w:r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صورة السؤال</w:t>
      </w:r>
      <w:r w:rsidRPr="00A52585">
        <w:rPr>
          <w:rFonts w:hint="cs"/>
          <w:sz w:val="24"/>
          <w:szCs w:val="24"/>
          <w:rtl/>
        </w:rPr>
        <w:t>):</w:t>
      </w:r>
      <w:r w:rsidR="00777DCB" w:rsidRPr="00A52585">
        <w:rPr>
          <w:rFonts w:hint="cs"/>
          <w:sz w:val="24"/>
          <w:szCs w:val="24"/>
          <w:rtl/>
        </w:rPr>
        <w:t xml:space="preserve"> ما يقول السادة الفقهاء رضي الله عنهم في كلام الله القديم القائم بذاته</w:t>
      </w:r>
      <w:r w:rsidR="00F95886" w:rsidRPr="00A52585">
        <w:rPr>
          <w:rFonts w:hint="cs"/>
          <w:sz w:val="24"/>
          <w:szCs w:val="24"/>
          <w:rtl/>
        </w:rPr>
        <w:t>؟</w:t>
      </w:r>
      <w:r w:rsidR="00777DCB" w:rsidRPr="00A52585">
        <w:rPr>
          <w:rFonts w:hint="cs"/>
          <w:sz w:val="24"/>
          <w:szCs w:val="24"/>
          <w:rtl/>
        </w:rPr>
        <w:t xml:space="preserve"> هل يجوز أن يقال إنه عين صوت القارئ وحروفه المقطعة، وعين الأشكال التي يصورها الكاتب في المصحف</w:t>
      </w:r>
      <w:r w:rsidR="00F95886" w:rsidRPr="00A52585">
        <w:rPr>
          <w:rFonts w:hint="cs"/>
          <w:sz w:val="24"/>
          <w:szCs w:val="24"/>
          <w:rtl/>
        </w:rPr>
        <w:t>؟</w:t>
      </w:r>
      <w:r w:rsidR="00777DCB" w:rsidRPr="00A52585">
        <w:rPr>
          <w:rFonts w:hint="cs"/>
          <w:sz w:val="24"/>
          <w:szCs w:val="24"/>
          <w:rtl/>
        </w:rPr>
        <w:t xml:space="preserve"> وهل يجوز أن يقال إن كلام الله القديم القائم بذاته حروف وأصوات على المعنى الظاهر فيها وإنه عين ما جعله الله معجزة لرسوله صلى الله عليه وسلم</w:t>
      </w:r>
      <w:r w:rsidR="00F95886" w:rsidRPr="00A52585">
        <w:rPr>
          <w:rFonts w:hint="cs"/>
          <w:sz w:val="24"/>
          <w:szCs w:val="24"/>
          <w:rtl/>
        </w:rPr>
        <w:t>؟</w:t>
      </w:r>
      <w:r w:rsidR="00777DCB" w:rsidRPr="00A52585">
        <w:rPr>
          <w:rFonts w:hint="cs"/>
          <w:sz w:val="24"/>
          <w:szCs w:val="24"/>
          <w:rtl/>
        </w:rPr>
        <w:t xml:space="preserve"> وما الذي يجب على من اعتقد جميع ذلك وأذاعه وغرّ به ضعفاء المسلمين</w:t>
      </w:r>
      <w:r w:rsidR="00F95886" w:rsidRPr="00A52585">
        <w:rPr>
          <w:rFonts w:hint="cs"/>
          <w:sz w:val="24"/>
          <w:szCs w:val="24"/>
          <w:rtl/>
        </w:rPr>
        <w:t>؟</w:t>
      </w:r>
      <w:r w:rsidR="00777DCB" w:rsidRPr="00A52585">
        <w:rPr>
          <w:rFonts w:hint="cs"/>
          <w:sz w:val="24"/>
          <w:szCs w:val="24"/>
          <w:rtl/>
        </w:rPr>
        <w:t xml:space="preserve"> وهل يحل للعلماء المعتبرين إذا علموا أن ذلك قد شاع أن يسكتوا عن بيان الحق في ذلك وإظهاره والرد على من أظهر ذلك واعتقد</w:t>
      </w:r>
      <w:r w:rsidR="00F95886" w:rsidRPr="00A52585">
        <w:rPr>
          <w:rFonts w:hint="cs"/>
          <w:sz w:val="24"/>
          <w:szCs w:val="24"/>
          <w:rtl/>
        </w:rPr>
        <w:t>؟</w:t>
      </w:r>
      <w:r w:rsidR="00777DCB" w:rsidRPr="00A52585">
        <w:rPr>
          <w:rFonts w:hint="cs"/>
          <w:sz w:val="24"/>
          <w:szCs w:val="24"/>
          <w:rtl/>
        </w:rPr>
        <w:t xml:space="preserve"> أفتونا مأجورين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u w:val="single"/>
          <w:rtl/>
        </w:rPr>
        <w:t>(</w:t>
      </w:r>
      <w:r w:rsidR="00777DCB" w:rsidRPr="00A52585">
        <w:rPr>
          <w:rFonts w:hint="cs"/>
          <w:sz w:val="24"/>
          <w:szCs w:val="24"/>
          <w:u w:val="single"/>
          <w:rtl/>
        </w:rPr>
        <w:t>صورة جواب الإمام عز الدين بن عبد السلام رحمه الله</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القرآن كلام الله صفة من صفاته قديم بقدمه، ليس بحروف ولا أصوات ومن زعم أن الوصف القديم هو عين أصوات القارئين وكتابة الكاتبين فقد ألحدَ في الدين وخالف إجماع المسلمين، بل إجماع العقلاء من غير أهل الدين، ولا يحل للعلماء كتمان الحق ولا ترك البدع سارية في المسلمين، ويجب على ولاة الأمر إعانة العلماء المنـزهين الموحدين، وقمع المبتدعة المشبهين المجسمين</w:t>
      </w:r>
      <w:r w:rsidR="00DB731D" w:rsidRPr="00A52585">
        <w:rPr>
          <w:rFonts w:hint="cs"/>
          <w:sz w:val="24"/>
          <w:szCs w:val="24"/>
          <w:rtl/>
        </w:rPr>
        <w:t>،</w:t>
      </w:r>
      <w:r w:rsidR="00777DCB" w:rsidRPr="00A52585">
        <w:rPr>
          <w:rFonts w:hint="cs"/>
          <w:sz w:val="24"/>
          <w:szCs w:val="24"/>
          <w:rtl/>
        </w:rPr>
        <w:t xml:space="preserve"> ومن زعم أن المعجزة قديمة فقد جهل حقيقتها</w:t>
      </w:r>
      <w:r w:rsidR="00DB731D" w:rsidRPr="00A52585">
        <w:rPr>
          <w:rFonts w:hint="cs"/>
          <w:sz w:val="24"/>
          <w:szCs w:val="24"/>
          <w:rtl/>
        </w:rPr>
        <w:t>،</w:t>
      </w:r>
      <w:r w:rsidR="00777DCB" w:rsidRPr="00A52585">
        <w:rPr>
          <w:rFonts w:hint="cs"/>
          <w:sz w:val="24"/>
          <w:szCs w:val="24"/>
          <w:rtl/>
        </w:rPr>
        <w:t xml:space="preserve"> ولا يحل لولاة الأمر تمكين أمثال هؤلاء من إفساد عقائد المسلمين، ويجب عليهم أن يلزموهم بتصحيح عقائدهم بمباحثة العلماء المعتبرين، فإن لم يفعلوا ألجئوا إلى ذلك بالحبس والضرب والتعزير، والله أعلم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كتبه عبد العزيز بن عبد السلام</w:t>
      </w:r>
      <w:r w:rsidR="00DB731D" w:rsidRPr="00A52585">
        <w:rPr>
          <w:rFonts w:hint="cs"/>
          <w:bCs/>
          <w:sz w:val="24"/>
          <w:szCs w:val="24"/>
          <w:rtl/>
        </w:rPr>
        <w:t>،</w:t>
      </w:r>
      <w:r w:rsidRPr="00A52585">
        <w:rPr>
          <w:rFonts w:hint="cs"/>
          <w:bCs/>
          <w:sz w:val="24"/>
          <w:szCs w:val="24"/>
          <w:rtl/>
        </w:rPr>
        <w:t xml:space="preserve"> </w:t>
      </w:r>
      <w:r w:rsidR="00777DCB" w:rsidRPr="00A52585">
        <w:rPr>
          <w:rFonts w:hint="cs"/>
          <w:bCs/>
          <w:sz w:val="24"/>
          <w:szCs w:val="24"/>
          <w:rtl/>
        </w:rPr>
        <w:t xml:space="preserve">و </w:t>
      </w:r>
      <w:r w:rsidRPr="00A52585">
        <w:rPr>
          <w:rFonts w:hint="cs"/>
          <w:bCs/>
          <w:sz w:val="24"/>
          <w:szCs w:val="24"/>
          <w:rtl/>
        </w:rPr>
        <w:t>(</w:t>
      </w:r>
      <w:r w:rsidR="00777DCB" w:rsidRPr="00A52585">
        <w:rPr>
          <w:rFonts w:hint="cs"/>
          <w:sz w:val="24"/>
          <w:szCs w:val="24"/>
          <w:u w:val="single"/>
          <w:rtl/>
        </w:rPr>
        <w:t>صورة جواب الإمام جمال الدين أبي عمرو عثمان بن الحاجب المالكي</w:t>
      </w:r>
      <w:r w:rsidRPr="00A52585">
        <w:rPr>
          <w:rFonts w:hint="cs"/>
          <w:sz w:val="24"/>
          <w:szCs w:val="24"/>
          <w:rtl/>
        </w:rPr>
        <w:t>):</w:t>
      </w:r>
      <w:r w:rsidR="00777DCB" w:rsidRPr="00A52585">
        <w:rPr>
          <w:rFonts w:hint="cs"/>
          <w:sz w:val="24"/>
          <w:szCs w:val="24"/>
          <w:rtl/>
        </w:rPr>
        <w:t xml:space="preserve"> 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المناظرة فيه، ولا يستقيم أن يقال</w:t>
      </w:r>
      <w:r w:rsidRPr="00A52585">
        <w:rPr>
          <w:rFonts w:hint="cs"/>
          <w:sz w:val="24"/>
          <w:szCs w:val="24"/>
          <w:rtl/>
        </w:rPr>
        <w:t>:</w:t>
      </w:r>
      <w:r w:rsidR="00777DCB" w:rsidRPr="00A52585">
        <w:rPr>
          <w:rFonts w:hint="cs"/>
          <w:sz w:val="24"/>
          <w:szCs w:val="24"/>
          <w:rtl/>
        </w:rPr>
        <w:t xml:space="preserve"> إن كلام الله تعالى القديم القائم بذاته هو الذي جعله الله معجزة </w:t>
      </w:r>
      <w:proofErr w:type="spellStart"/>
      <w:r w:rsidR="00777DCB" w:rsidRPr="00A52585">
        <w:rPr>
          <w:rFonts w:hint="cs"/>
          <w:sz w:val="24"/>
          <w:szCs w:val="24"/>
          <w:rtl/>
        </w:rPr>
        <w:t>لرسولهصلى</w:t>
      </w:r>
      <w:proofErr w:type="spellEnd"/>
      <w:r w:rsidR="00777DCB" w:rsidRPr="00A52585">
        <w:rPr>
          <w:rFonts w:hint="cs"/>
          <w:sz w:val="24"/>
          <w:szCs w:val="24"/>
          <w:rtl/>
        </w:rPr>
        <w:t xml:space="preserve"> الله عليه وسلم، فإن ذلك يعلم بأدنى نظر، 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w:t>
      </w:r>
      <w:proofErr w:type="spellStart"/>
      <w:r w:rsidR="00777DCB" w:rsidRPr="00A52585">
        <w:rPr>
          <w:rFonts w:hint="cs"/>
          <w:sz w:val="24"/>
          <w:szCs w:val="24"/>
          <w:rtl/>
        </w:rPr>
        <w:t>تأباها</w:t>
      </w:r>
      <w:proofErr w:type="spellEnd"/>
      <w:r w:rsidR="00777DCB" w:rsidRPr="00A52585">
        <w:rPr>
          <w:rFonts w:hint="cs"/>
          <w:sz w:val="24"/>
          <w:szCs w:val="24"/>
          <w:rtl/>
        </w:rPr>
        <w:t xml:space="preserve"> العقول السليمة، والله أعلم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كتب عثمان بن أبي بكر الحاجب</w:t>
      </w:r>
      <w:r w:rsidR="00DB731D" w:rsidRPr="00A52585">
        <w:rPr>
          <w:rFonts w:hint="cs"/>
          <w:bCs/>
          <w:sz w:val="24"/>
          <w:szCs w:val="24"/>
          <w:rtl/>
        </w:rPr>
        <w:t>،</w:t>
      </w:r>
      <w:r w:rsidR="00777DCB" w:rsidRPr="00A52585">
        <w:rPr>
          <w:rFonts w:hint="cs"/>
          <w:bCs/>
          <w:sz w:val="24"/>
          <w:szCs w:val="24"/>
          <w:rtl/>
        </w:rPr>
        <w:t xml:space="preserve"> و </w:t>
      </w:r>
      <w:r w:rsidRPr="00A52585">
        <w:rPr>
          <w:rFonts w:hint="cs"/>
          <w:bCs/>
          <w:sz w:val="24"/>
          <w:szCs w:val="24"/>
          <w:rtl/>
        </w:rPr>
        <w:t>(</w:t>
      </w:r>
      <w:r w:rsidR="00777DCB" w:rsidRPr="00A52585">
        <w:rPr>
          <w:rFonts w:hint="cs"/>
          <w:sz w:val="24"/>
          <w:szCs w:val="24"/>
          <w:u w:val="single"/>
          <w:rtl/>
        </w:rPr>
        <w:t>صورة جواب الإمام علم الدين أبي الحسن علي السخاوي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كلام الله عز وجل قديم صفة من صفاته ليس بمخلوق، وأصوات القراء وحروف المصاحف أمر خارج عن ذلك، ولهذا يقال</w:t>
      </w:r>
      <w:r w:rsidRPr="00A52585">
        <w:rPr>
          <w:rFonts w:hint="cs"/>
          <w:sz w:val="24"/>
          <w:szCs w:val="24"/>
          <w:rtl/>
        </w:rPr>
        <w:t>:</w:t>
      </w:r>
      <w:r w:rsidR="00777DCB" w:rsidRPr="00A52585">
        <w:rPr>
          <w:rFonts w:hint="cs"/>
          <w:sz w:val="24"/>
          <w:szCs w:val="24"/>
          <w:rtl/>
        </w:rPr>
        <w:t xml:space="preserve"> صوت قبيح وقراءة غير حسنة وخط قبيح غير جيد، ولو كان ذلك كلام الله لم يجز ذمُّه على ما ذكر؛ لأن أصوات القراء به تختلف باختلاف مخارجها والله تعالى منـزه عن ذلك</w:t>
      </w:r>
      <w:r w:rsidR="00DB731D" w:rsidRPr="00A52585">
        <w:rPr>
          <w:rFonts w:hint="cs"/>
          <w:sz w:val="24"/>
          <w:szCs w:val="24"/>
          <w:rtl/>
        </w:rPr>
        <w:t>،</w:t>
      </w:r>
      <w:r w:rsidR="00777DCB" w:rsidRPr="00A52585">
        <w:rPr>
          <w:rFonts w:hint="cs"/>
          <w:sz w:val="24"/>
          <w:szCs w:val="24"/>
          <w:rtl/>
        </w:rPr>
        <w:t xml:space="preserve"> والقرآن عندنا مكتوب في المصاحف متلو في المحاريب محفوظ في الصدور غير حال في شيء من ذلك، والمصحف عندنا معظم محترم لا يجوز للمحدث مسه، ومن استخف به أو </w:t>
      </w:r>
      <w:r w:rsidR="00777DCB" w:rsidRPr="00A52585">
        <w:rPr>
          <w:rFonts w:hint="cs"/>
          <w:sz w:val="24"/>
          <w:szCs w:val="24"/>
          <w:rtl/>
        </w:rPr>
        <w:lastRenderedPageBreak/>
        <w:t>ازدراه فهو كافر مباح الدم</w:t>
      </w:r>
      <w:r w:rsidR="00DB731D" w:rsidRPr="00A52585">
        <w:rPr>
          <w:rFonts w:hint="cs"/>
          <w:sz w:val="24"/>
          <w:szCs w:val="24"/>
          <w:rtl/>
        </w:rPr>
        <w:t>،</w:t>
      </w:r>
      <w:r w:rsidR="00777DCB" w:rsidRPr="00A52585">
        <w:rPr>
          <w:rFonts w:hint="cs"/>
          <w:sz w:val="24"/>
          <w:szCs w:val="24"/>
          <w:rtl/>
        </w:rPr>
        <w:t xml:space="preserve"> والصفة القديمة القائمة بذاته سبحانه وتعالى ليست المعجزة، لأن المعجزة ما تحدى به الرسول صلى الله عليه وسلم وطالب بالإتيان بمثله ومعلوم أنه لم يتحدهم بصفة الباري القديمة، ولا طالبهم بالإتيان بمثلها، ومن اعتقد ذلك وصرح به أو دعا إليه فهو ضال مبتدع، بل خارج عما عليه العقلاء إلى تخليط المجانين، والواجب على علماء المسلمين إذا ظهرت هذه البدعة إخمادها وتبيين الحق والله أعلم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علي السخاوي</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انظر يا رعاك الله كيف كان العلماء يتكاتفون في قمع البدع وإحقاق الحق على اختلاف مذاهبهم في تلك العصور الزاهرة، بخلاف غالب أهل العلم في زماننا هذا، فإن لهم منازع وراء اختلاف المذاهب لا يهمهم ذيوع الباطل وقد خانوا دينهم الذي ائتمنهم الله عليه، وبه يعيشون، ويوم الخائنين يوم رهيب</w:t>
      </w:r>
      <w:r w:rsidR="00DB731D" w:rsidRPr="00A52585">
        <w:rPr>
          <w:rFonts w:hint="cs"/>
          <w:sz w:val="24"/>
          <w:szCs w:val="24"/>
          <w:rtl/>
        </w:rPr>
        <w:t>،</w:t>
      </w:r>
      <w:r w:rsidR="00777DCB" w:rsidRPr="00A52585">
        <w:rPr>
          <w:rFonts w:hint="cs"/>
          <w:sz w:val="24"/>
          <w:szCs w:val="24"/>
          <w:rtl/>
        </w:rPr>
        <w:t xml:space="preserve"> وكانت تلك الفتنة بالشام في النصف الأول من القرن السابع الهجري، وقد وقع مثلها في النصف الأخير من القرن السادس بمصر، وفتنة القاهرة معروفة بفتنة ابن مرزوق وابن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وكلاهما من </w:t>
      </w:r>
      <w:proofErr w:type="spellStart"/>
      <w:r w:rsidR="00777DCB" w:rsidRPr="00A52585">
        <w:rPr>
          <w:rFonts w:hint="cs"/>
          <w:sz w:val="24"/>
          <w:szCs w:val="24"/>
          <w:rtl/>
        </w:rPr>
        <w:t>حشوية</w:t>
      </w:r>
      <w:proofErr w:type="spellEnd"/>
      <w:r w:rsidR="00777DCB" w:rsidRPr="00A52585">
        <w:rPr>
          <w:rFonts w:hint="cs"/>
          <w:sz w:val="24"/>
          <w:szCs w:val="24"/>
          <w:rtl/>
        </w:rPr>
        <w:t xml:space="preserve"> الحنابلة، وظن التاج ابن السبكي ابن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من الشافعية فترجم له في طبقاته تبعاً لابن خلكان، فلا بأس في الإشارة هنا إلى فتاوى علماء ذلك العصر في حقهما</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وصورة الاستفتاء في شأنهما</w:t>
      </w:r>
      <w:r w:rsidRPr="00A52585">
        <w:rPr>
          <w:rFonts w:hint="cs"/>
          <w:bCs/>
          <w:sz w:val="24"/>
          <w:szCs w:val="24"/>
          <w:u w:val="single"/>
          <w:rtl/>
        </w:rPr>
        <w:t>:</w:t>
      </w:r>
      <w:r w:rsidR="00777DCB" w:rsidRPr="00A52585">
        <w:rPr>
          <w:rFonts w:hint="cs"/>
          <w:bCs/>
          <w:sz w:val="24"/>
          <w:szCs w:val="24"/>
          <w:u w:val="single"/>
          <w:rtl/>
        </w:rPr>
        <w:t xml:space="preserve"> </w:t>
      </w:r>
      <w:r w:rsidR="00777DCB" w:rsidRPr="00A52585">
        <w:rPr>
          <w:rFonts w:hint="cs"/>
          <w:sz w:val="24"/>
          <w:szCs w:val="24"/>
          <w:rtl/>
        </w:rPr>
        <w:t xml:space="preserve">ما قولكم في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الذين على مذهب ابن مرزوق وابن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اللذين يعتقدان أن الله سبحانه يتكلم بحرف وصوت، تعالى الله عن ذلك، وأن أفعال العباد قديمة، هل تنفذ أحكامهم على أهل التوحيد وعامة المسلمين وهل تقبل شهادتهم على المسلمين أم لا</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u w:val="single"/>
          <w:rtl/>
        </w:rPr>
        <w:t>(</w:t>
      </w:r>
      <w:r w:rsidR="00777DCB" w:rsidRPr="00A52585">
        <w:rPr>
          <w:rFonts w:hint="cs"/>
          <w:sz w:val="24"/>
          <w:szCs w:val="24"/>
          <w:u w:val="single"/>
          <w:rtl/>
        </w:rPr>
        <w:t>جواب الإمام شهاب الدين أبي الفتح محمد بن محمود الطوسي الشافعي</w:t>
      </w:r>
      <w:r w:rsidR="00777DCB" w:rsidRPr="00A52585">
        <w:rPr>
          <w:rFonts w:hint="cs"/>
          <w:sz w:val="24"/>
          <w:szCs w:val="24"/>
          <w:rtl/>
        </w:rPr>
        <w:t xml:space="preserve"> صاحب الوقائع مع ابن نجية الحنبلي</w:t>
      </w:r>
      <w:r w:rsidRPr="00A52585">
        <w:rPr>
          <w:rFonts w:hint="cs"/>
          <w:sz w:val="24"/>
          <w:szCs w:val="24"/>
          <w:rtl/>
        </w:rPr>
        <w:t>):</w:t>
      </w:r>
      <w:r w:rsidR="00777DCB" w:rsidRPr="00A52585">
        <w:rPr>
          <w:rFonts w:hint="cs"/>
          <w:sz w:val="24"/>
          <w:szCs w:val="24"/>
          <w:rtl/>
        </w:rPr>
        <w:t xml:space="preserve"> تقبل شهادة عدو لهم على أصحابهم ولا تسمع شهاداتهم على أهل الحق من الموحدين ولا ينفذ حكم قاضيهم على الموحدين فإنهم أعداء الحق – والله أعلم. </w:t>
      </w:r>
      <w:r w:rsidR="00777DCB" w:rsidRPr="00A52585">
        <w:rPr>
          <w:rFonts w:hint="cs"/>
          <w:bCs/>
          <w:sz w:val="24"/>
          <w:szCs w:val="24"/>
          <w:rtl/>
        </w:rPr>
        <w:t>كتبه محمد الطوسي</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u w:val="single"/>
          <w:rtl/>
        </w:rPr>
        <w:t xml:space="preserve">و </w:t>
      </w:r>
      <w:r w:rsidRPr="00A52585">
        <w:rPr>
          <w:rFonts w:hint="cs"/>
          <w:sz w:val="24"/>
          <w:szCs w:val="24"/>
          <w:u w:val="single"/>
          <w:rtl/>
        </w:rPr>
        <w:t>(</w:t>
      </w:r>
      <w:r w:rsidR="00777DCB" w:rsidRPr="00A52585">
        <w:rPr>
          <w:rFonts w:hint="cs"/>
          <w:sz w:val="24"/>
          <w:szCs w:val="24"/>
          <w:u w:val="single"/>
          <w:rtl/>
        </w:rPr>
        <w:t>جواب الإمام يوسف الأرموي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ما نص عليهم أعلاه اقترفوا حوبة عظيمة يجب عليهم القفول عما اعتقدوه، وهم كفار عند أكثر المتكلمين وكيف يسوغ قبول أقوالهم</w:t>
      </w:r>
      <w:r w:rsidR="00F95886" w:rsidRPr="00A52585">
        <w:rPr>
          <w:rFonts w:hint="cs"/>
          <w:sz w:val="24"/>
          <w:szCs w:val="24"/>
          <w:rtl/>
        </w:rPr>
        <w:t>؟</w:t>
      </w:r>
      <w:r w:rsidR="00777DCB" w:rsidRPr="00A52585">
        <w:rPr>
          <w:rFonts w:hint="cs"/>
          <w:sz w:val="24"/>
          <w:szCs w:val="24"/>
          <w:rtl/>
        </w:rPr>
        <w:t xml:space="preserve"> ويجب على مَنْ إليه الأمر إحضارهم </w:t>
      </w:r>
      <w:proofErr w:type="spellStart"/>
      <w:r w:rsidR="00777DCB" w:rsidRPr="00A52585">
        <w:rPr>
          <w:rFonts w:hint="cs"/>
          <w:sz w:val="24"/>
          <w:szCs w:val="24"/>
          <w:rtl/>
        </w:rPr>
        <w:t>واستتابتهم</w:t>
      </w:r>
      <w:proofErr w:type="spellEnd"/>
      <w:r w:rsidR="00777DCB" w:rsidRPr="00A52585">
        <w:rPr>
          <w:rFonts w:hint="cs"/>
          <w:sz w:val="24"/>
          <w:szCs w:val="24"/>
          <w:rtl/>
        </w:rPr>
        <w:t xml:space="preserve"> عمَّا هم عليه، فإن تابوا وإلا قتلوا، وحكمهم في </w:t>
      </w:r>
      <w:proofErr w:type="spellStart"/>
      <w:r w:rsidR="00777DCB" w:rsidRPr="00A52585">
        <w:rPr>
          <w:rFonts w:hint="cs"/>
          <w:sz w:val="24"/>
          <w:szCs w:val="24"/>
          <w:rtl/>
        </w:rPr>
        <w:t>الاستتابة</w:t>
      </w:r>
      <w:proofErr w:type="spellEnd"/>
      <w:r w:rsidR="00777DCB" w:rsidRPr="00A52585">
        <w:rPr>
          <w:rFonts w:hint="cs"/>
          <w:sz w:val="24"/>
          <w:szCs w:val="24"/>
          <w:rtl/>
        </w:rPr>
        <w:t xml:space="preserve"> حكم المرتد في إمهاله ثلاثة أيام ولا يقتل في الحال</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كتبه يوسف الأرموي</w:t>
      </w:r>
      <w:r w:rsidR="00DB731D" w:rsidRPr="00A52585">
        <w:rPr>
          <w:rFonts w:hint="cs"/>
          <w:bCs/>
          <w:sz w:val="24"/>
          <w:szCs w:val="24"/>
          <w:rtl/>
        </w:rPr>
        <w:t>،</w:t>
      </w:r>
      <w:r w:rsidR="00777DCB" w:rsidRPr="00A52585">
        <w:rPr>
          <w:rFonts w:hint="cs"/>
          <w:bCs/>
          <w:sz w:val="24"/>
          <w:szCs w:val="24"/>
          <w:rtl/>
        </w:rPr>
        <w:t xml:space="preserve"> و </w:t>
      </w:r>
      <w:r w:rsidRPr="00A52585">
        <w:rPr>
          <w:rFonts w:hint="cs"/>
          <w:sz w:val="24"/>
          <w:szCs w:val="24"/>
          <w:u w:val="single"/>
          <w:rtl/>
        </w:rPr>
        <w:t>(</w:t>
      </w:r>
      <w:r w:rsidR="00777DCB" w:rsidRPr="00A52585">
        <w:rPr>
          <w:rFonts w:hint="cs"/>
          <w:sz w:val="24"/>
          <w:szCs w:val="24"/>
          <w:u w:val="single"/>
          <w:rtl/>
        </w:rPr>
        <w:t>جواب الخطيب أبي عبد الله محمد بن إبراهيم الحموي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 xml:space="preserve">من اعتقد أن أفعال العباد قديمة فقد قال قولا يلزم منه القول بقدم العالم ومن قال بقدم العالم فهو كافر لا تصح ولايته ولا تقبل شهادته والله أعلم، </w:t>
      </w:r>
      <w:r w:rsidR="00777DCB" w:rsidRPr="00A52585">
        <w:rPr>
          <w:rFonts w:hint="cs"/>
          <w:bCs/>
          <w:sz w:val="24"/>
          <w:szCs w:val="24"/>
          <w:rtl/>
        </w:rPr>
        <w:t>كتبه محمد بن إبراهيم الحموي</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bCs/>
          <w:sz w:val="24"/>
          <w:szCs w:val="24"/>
          <w:u w:val="single"/>
          <w:rtl/>
        </w:rPr>
        <w:t xml:space="preserve">و </w:t>
      </w:r>
      <w:r w:rsidRPr="00A52585">
        <w:rPr>
          <w:rFonts w:hint="cs"/>
          <w:bCs/>
          <w:sz w:val="24"/>
          <w:szCs w:val="24"/>
          <w:u w:val="single"/>
          <w:rtl/>
        </w:rPr>
        <w:t>(</w:t>
      </w:r>
      <w:r w:rsidR="00777DCB" w:rsidRPr="00A52585">
        <w:rPr>
          <w:rFonts w:hint="cs"/>
          <w:bCs/>
          <w:sz w:val="24"/>
          <w:szCs w:val="24"/>
          <w:u w:val="single"/>
          <w:rtl/>
        </w:rPr>
        <w:t>استفتاء آخر صورته</w:t>
      </w:r>
      <w:r w:rsidRPr="00A52585">
        <w:rPr>
          <w:rFonts w:hint="cs"/>
          <w:bCs/>
          <w:sz w:val="24"/>
          <w:szCs w:val="24"/>
          <w:u w:val="single"/>
          <w:rtl/>
        </w:rPr>
        <w:t>):</w:t>
      </w:r>
      <w:r w:rsidR="00777DCB" w:rsidRPr="00A52585">
        <w:rPr>
          <w:rFonts w:hint="cs"/>
          <w:bCs/>
          <w:sz w:val="24"/>
          <w:szCs w:val="24"/>
          <w:u w:val="single"/>
          <w:rtl/>
        </w:rPr>
        <w:t xml:space="preserve"> </w:t>
      </w:r>
      <w:r w:rsidR="00777DCB" w:rsidRPr="00A52585">
        <w:rPr>
          <w:rFonts w:hint="cs"/>
          <w:sz w:val="24"/>
          <w:szCs w:val="24"/>
          <w:rtl/>
        </w:rPr>
        <w:t xml:space="preserve">ما قول الفقهاء الأئمة قادة علماء هذه الأمة أدام الله إرشادهم ووفق إصدارهم وإيرادهم في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الذين على مذهب ابن مرزوق وابن </w:t>
      </w:r>
      <w:proofErr w:type="spellStart"/>
      <w:r w:rsidR="00777DCB" w:rsidRPr="00A52585">
        <w:rPr>
          <w:rFonts w:hint="cs"/>
          <w:sz w:val="24"/>
          <w:szCs w:val="24"/>
          <w:rtl/>
        </w:rPr>
        <w:t>الكيزاني</w:t>
      </w:r>
      <w:proofErr w:type="spellEnd"/>
      <w:r w:rsidR="00777DCB" w:rsidRPr="00A52585">
        <w:rPr>
          <w:rFonts w:hint="cs"/>
          <w:sz w:val="24"/>
          <w:szCs w:val="24"/>
          <w:rtl/>
        </w:rPr>
        <w:t>؛ اللذين يعتقدان أن الله سبحانه متكلم بحرف وصوت، وأن أفعال العباد قديمة، هل تقبل شهادتهم على أهل الحق الموحدين الأشعرية، وهل تنفذ أحكام قضائهم على الأشعرية أم لا</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u w:val="single"/>
          <w:rtl/>
        </w:rPr>
        <w:t>جواب الإمام أبي المنصور ظافر بن الحسين الأزدي المالكي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لا تقبل شهادة من يقول</w:t>
      </w:r>
      <w:r w:rsidRPr="00A52585">
        <w:rPr>
          <w:rFonts w:hint="cs"/>
          <w:sz w:val="24"/>
          <w:szCs w:val="24"/>
          <w:rtl/>
        </w:rPr>
        <w:t>:</w:t>
      </w:r>
      <w:r w:rsidR="00777DCB" w:rsidRPr="00A52585">
        <w:rPr>
          <w:rFonts w:hint="cs"/>
          <w:sz w:val="24"/>
          <w:szCs w:val="24"/>
          <w:rtl/>
        </w:rPr>
        <w:t xml:space="preserve"> إن الله تعالى يتكلم بحرف وصوت؛ لأنهم مرتكبون كبيرة هي أعظم من سائر المعاصي كالزنا وشرب الخمر لأنها كبيرة تتعلق بأصل من أصول الدين</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وكتب ظافر بن حين </w:t>
      </w:r>
      <w:proofErr w:type="spellStart"/>
      <w:r w:rsidR="00777DCB" w:rsidRPr="00A52585">
        <w:rPr>
          <w:rFonts w:hint="cs"/>
          <w:bCs/>
          <w:sz w:val="24"/>
          <w:szCs w:val="24"/>
          <w:rtl/>
        </w:rPr>
        <w:t>الأزدي</w:t>
      </w:r>
      <w:r w:rsidR="00DB731D" w:rsidRPr="00A52585">
        <w:rPr>
          <w:rFonts w:hint="cs"/>
          <w:bCs/>
          <w:sz w:val="24"/>
          <w:szCs w:val="24"/>
          <w:rtl/>
        </w:rPr>
        <w:t>،</w:t>
      </w:r>
      <w:r w:rsidR="00777DCB" w:rsidRPr="00A52585">
        <w:rPr>
          <w:rFonts w:hint="cs"/>
          <w:bCs/>
          <w:sz w:val="24"/>
          <w:szCs w:val="24"/>
          <w:rtl/>
        </w:rPr>
        <w:t>و</w:t>
      </w:r>
      <w:proofErr w:type="spellEnd"/>
      <w:r w:rsidR="00777DCB" w:rsidRPr="00A52585">
        <w:rPr>
          <w:rFonts w:hint="cs"/>
          <w:bCs/>
          <w:sz w:val="24"/>
          <w:szCs w:val="24"/>
          <w:rtl/>
        </w:rPr>
        <w:t xml:space="preserve"> </w:t>
      </w:r>
      <w:r w:rsidRPr="00A52585">
        <w:rPr>
          <w:rFonts w:hint="cs"/>
          <w:bCs/>
          <w:sz w:val="24"/>
          <w:szCs w:val="24"/>
          <w:rtl/>
        </w:rPr>
        <w:t>(</w:t>
      </w:r>
      <w:r w:rsidR="00777DCB" w:rsidRPr="00A52585">
        <w:rPr>
          <w:rFonts w:hint="cs"/>
          <w:sz w:val="24"/>
          <w:szCs w:val="24"/>
          <w:u w:val="single"/>
          <w:rtl/>
        </w:rPr>
        <w:t>جواب شارح المذهب أبي إسحاق إبراهيم العراقي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جوابي كذلك</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كتبه إبراهيم العراقي</w:t>
      </w:r>
      <w:r w:rsidR="00DB731D"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u w:val="single"/>
          <w:rtl/>
        </w:rPr>
        <w:t>جواب الخطيب محمد بن إبراهيم الحموي</w:t>
      </w:r>
      <w:r w:rsidRPr="00A52585">
        <w:rPr>
          <w:rFonts w:hint="cs"/>
          <w:sz w:val="24"/>
          <w:szCs w:val="24"/>
          <w:u w:val="single"/>
          <w:rtl/>
        </w:rPr>
        <w:t>):</w:t>
      </w:r>
      <w:r w:rsidR="00777DCB" w:rsidRPr="00A52585">
        <w:rPr>
          <w:rFonts w:hint="cs"/>
          <w:sz w:val="24"/>
          <w:szCs w:val="24"/>
          <w:rtl/>
        </w:rPr>
        <w:t xml:space="preserve"> من قال إن الله متكلم بحرف وصوت فقد قال قولاً يلزم منه أن الله جسم, ومن قال</w:t>
      </w:r>
      <w:r w:rsidRPr="00A52585">
        <w:rPr>
          <w:rFonts w:hint="cs"/>
          <w:sz w:val="24"/>
          <w:szCs w:val="24"/>
          <w:rtl/>
        </w:rPr>
        <w:t>:</w:t>
      </w:r>
      <w:r w:rsidR="00777DCB" w:rsidRPr="00A52585">
        <w:rPr>
          <w:rFonts w:hint="cs"/>
          <w:sz w:val="24"/>
          <w:szCs w:val="24"/>
          <w:rtl/>
        </w:rPr>
        <w:t xml:space="preserve"> إنه جسم فقد قال بحدوثه، ومن قال بحدوثه فقد كفر، والكافر لا تصح ولا تقبل شهادته، والله أعلم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كتبه محمد بن إبراهيم الحموي</w:t>
      </w:r>
      <w:r w:rsidR="00DB731D" w:rsidRPr="00A52585">
        <w:rPr>
          <w:rFonts w:hint="cs"/>
          <w:bCs/>
          <w:sz w:val="24"/>
          <w:szCs w:val="24"/>
          <w:rtl/>
        </w:rPr>
        <w:t>،</w:t>
      </w:r>
      <w:r w:rsidR="00777DCB" w:rsidRPr="00A52585">
        <w:rPr>
          <w:rFonts w:hint="cs"/>
          <w:bCs/>
          <w:sz w:val="24"/>
          <w:szCs w:val="24"/>
          <w:rtl/>
        </w:rPr>
        <w:t xml:space="preserve"> و </w:t>
      </w:r>
      <w:r w:rsidRPr="00A52585">
        <w:rPr>
          <w:rFonts w:hint="cs"/>
          <w:bCs/>
          <w:sz w:val="24"/>
          <w:szCs w:val="24"/>
          <w:rtl/>
        </w:rPr>
        <w:t>(</w:t>
      </w:r>
      <w:r w:rsidR="00777DCB" w:rsidRPr="00A52585">
        <w:rPr>
          <w:rFonts w:hint="cs"/>
          <w:sz w:val="24"/>
          <w:szCs w:val="24"/>
          <w:u w:val="single"/>
          <w:rtl/>
        </w:rPr>
        <w:t>جواب الشيخ جمال الدين بن رشيق المالكي</w:t>
      </w:r>
      <w:r w:rsidRPr="00A52585">
        <w:rPr>
          <w:rFonts w:hint="cs"/>
          <w:sz w:val="24"/>
          <w:szCs w:val="24"/>
          <w:u w:val="single"/>
          <w:rtl/>
        </w:rPr>
        <w:t>):</w:t>
      </w:r>
      <w:r w:rsidR="00777DCB" w:rsidRPr="00A52585">
        <w:rPr>
          <w:rFonts w:hint="cs"/>
          <w:sz w:val="24"/>
          <w:szCs w:val="24"/>
          <w:u w:val="single"/>
          <w:rtl/>
        </w:rPr>
        <w:t xml:space="preserve"> </w:t>
      </w:r>
      <w:r w:rsidR="00777DCB" w:rsidRPr="00A52585">
        <w:rPr>
          <w:rFonts w:hint="cs"/>
          <w:sz w:val="24"/>
          <w:szCs w:val="24"/>
          <w:rtl/>
        </w:rPr>
        <w:t xml:space="preserve">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 ومن هذه صفته يتعين تأديبه وزجره عما </w:t>
      </w:r>
      <w:r w:rsidR="00777DCB" w:rsidRPr="00A52585">
        <w:rPr>
          <w:rFonts w:hint="cs"/>
          <w:sz w:val="24"/>
          <w:szCs w:val="24"/>
          <w:rtl/>
        </w:rPr>
        <w:lastRenderedPageBreak/>
        <w:t xml:space="preserve">صار إليه </w:t>
      </w:r>
      <w:proofErr w:type="spellStart"/>
      <w:r w:rsidR="00777DCB" w:rsidRPr="00A52585">
        <w:rPr>
          <w:rFonts w:hint="cs"/>
          <w:sz w:val="24"/>
          <w:szCs w:val="24"/>
          <w:rtl/>
        </w:rPr>
        <w:t>بأبلغ</w:t>
      </w:r>
      <w:proofErr w:type="spellEnd"/>
      <w:r w:rsidR="00777DCB" w:rsidRPr="00A52585">
        <w:rPr>
          <w:rFonts w:hint="cs"/>
          <w:sz w:val="24"/>
          <w:szCs w:val="24"/>
          <w:rtl/>
        </w:rPr>
        <w:t xml:space="preserve"> الأدب، ومن جملته رد الشهادة وبالله التوفيق، </w:t>
      </w:r>
      <w:r w:rsidR="00777DCB" w:rsidRPr="00A52585">
        <w:rPr>
          <w:rFonts w:hint="cs"/>
          <w:bCs/>
          <w:sz w:val="24"/>
          <w:szCs w:val="24"/>
          <w:rtl/>
        </w:rPr>
        <w:t>كتب حسين بن عتيق بن رشيق</w:t>
      </w:r>
      <w:r w:rsidR="00DB731D" w:rsidRPr="00A52585">
        <w:rPr>
          <w:rFonts w:hint="cs"/>
          <w:bCs/>
          <w:sz w:val="24"/>
          <w:szCs w:val="24"/>
          <w:rtl/>
        </w:rPr>
        <w:t>،</w:t>
      </w:r>
      <w:r w:rsidR="00777DCB" w:rsidRPr="00A52585">
        <w:rPr>
          <w:rFonts w:hint="cs"/>
          <w:bCs/>
          <w:sz w:val="24"/>
          <w:szCs w:val="24"/>
          <w:rtl/>
        </w:rPr>
        <w:t xml:space="preserve"> و </w:t>
      </w:r>
      <w:r w:rsidRPr="00A52585">
        <w:rPr>
          <w:rFonts w:hint="cs"/>
          <w:bCs/>
          <w:sz w:val="24"/>
          <w:szCs w:val="24"/>
          <w:rtl/>
        </w:rPr>
        <w:t>(</w:t>
      </w:r>
      <w:r w:rsidR="00777DCB" w:rsidRPr="00A52585">
        <w:rPr>
          <w:rFonts w:hint="cs"/>
          <w:sz w:val="24"/>
          <w:szCs w:val="24"/>
          <w:u w:val="single"/>
          <w:rtl/>
        </w:rPr>
        <w:t>جواب الشيخ محيى الدين محمد بن أبي بكر الفارسي</w:t>
      </w:r>
      <w:r w:rsidRPr="00A52585">
        <w:rPr>
          <w:rFonts w:hint="cs"/>
          <w:sz w:val="24"/>
          <w:szCs w:val="24"/>
          <w:u w:val="single"/>
          <w:rtl/>
        </w:rPr>
        <w:t>):</w:t>
      </w:r>
      <w:r w:rsidR="00777DCB" w:rsidRPr="00A52585">
        <w:rPr>
          <w:rFonts w:hint="cs"/>
          <w:sz w:val="24"/>
          <w:szCs w:val="24"/>
          <w:rtl/>
        </w:rPr>
        <w:t xml:space="preserve"> من قال إن الله سبحانه متكلم بالصوت والحرف فقد أثبت الجسمية وصار بقوله مجسماً، والمجسم كافر، ومن قال إن أفعال العباد قديمة فقد كذب الله تعالى في قوله {</w:t>
      </w:r>
      <w:r w:rsidR="00777DCB" w:rsidRPr="00A52585">
        <w:rPr>
          <w:rFonts w:hint="cs"/>
          <w:bCs/>
          <w:sz w:val="24"/>
          <w:szCs w:val="24"/>
          <w:rtl/>
        </w:rPr>
        <w:t>والله خلقكم وما تعلمون</w:t>
      </w:r>
      <w:r w:rsidR="00777DCB" w:rsidRPr="00A52585">
        <w:rPr>
          <w:rFonts w:hint="cs"/>
          <w:sz w:val="24"/>
          <w:szCs w:val="24"/>
          <w:rtl/>
        </w:rPr>
        <w:t>} [الآية</w:t>
      </w:r>
      <w:r w:rsidRPr="00A52585">
        <w:rPr>
          <w:rFonts w:hint="cs"/>
          <w:sz w:val="24"/>
          <w:szCs w:val="24"/>
          <w:rtl/>
        </w:rPr>
        <w:t>:</w:t>
      </w:r>
      <w:r w:rsidR="00777DCB" w:rsidRPr="00A52585">
        <w:rPr>
          <w:rFonts w:hint="cs"/>
          <w:sz w:val="24"/>
          <w:szCs w:val="24"/>
          <w:rtl/>
        </w:rPr>
        <w:t xml:space="preserve"> 96 من سورة الصافات] ومكذب الله بصفة الإصرار كافر؛ ولا تثبت عدالتهم ولا تقبل شهادتهم ولا تجوز الصلاة خلفهم، ويجب على الإمام وعلى نوابه في الأقاليم </w:t>
      </w:r>
      <w:proofErr w:type="spellStart"/>
      <w:r w:rsidR="00777DCB" w:rsidRPr="00A52585">
        <w:rPr>
          <w:rFonts w:hint="cs"/>
          <w:sz w:val="24"/>
          <w:szCs w:val="24"/>
          <w:rtl/>
        </w:rPr>
        <w:t>استتابتهم</w:t>
      </w:r>
      <w:proofErr w:type="spellEnd"/>
      <w:r w:rsidR="00777DCB" w:rsidRPr="00A52585">
        <w:rPr>
          <w:rFonts w:hint="cs"/>
          <w:sz w:val="24"/>
          <w:szCs w:val="24"/>
          <w:rtl/>
        </w:rPr>
        <w:t>، فإن لم يرجعوا عما هم فيه من الكفر يعاقبهم على كفرهم أو يقبل الجزية منهم أذلاء، لا كاليهود والنصارى بل كفرهم أشنع وأبشع من مقالة النصارى واليهود، أما اليهود فشبهوه بالحادث صفة، وأما النصارى فقالوا إنه جوهر شريف والمجسمة يثبتون الجسم لله، تعالى الله عما يقول الظالمون علواً كبيراً</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و </w:t>
      </w:r>
      <w:r w:rsidRPr="00A52585">
        <w:rPr>
          <w:rFonts w:hint="cs"/>
          <w:bCs/>
          <w:sz w:val="24"/>
          <w:szCs w:val="24"/>
          <w:rtl/>
        </w:rPr>
        <w:t>(</w:t>
      </w:r>
      <w:r w:rsidR="00777DCB" w:rsidRPr="00A52585">
        <w:rPr>
          <w:rFonts w:hint="cs"/>
          <w:bCs/>
          <w:sz w:val="24"/>
          <w:szCs w:val="24"/>
          <w:rtl/>
        </w:rPr>
        <w:t>كتب محمد الفارسي</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وفي تلك الفتاوى ما </w:t>
      </w:r>
      <w:proofErr w:type="spellStart"/>
      <w:r w:rsidR="00777DCB" w:rsidRPr="00A52585">
        <w:rPr>
          <w:rFonts w:hint="cs"/>
          <w:sz w:val="24"/>
          <w:szCs w:val="24"/>
          <w:rtl/>
        </w:rPr>
        <w:t>ينـزجز</w:t>
      </w:r>
      <w:proofErr w:type="spellEnd"/>
      <w:r w:rsidR="00777DCB" w:rsidRPr="00A52585">
        <w:rPr>
          <w:rFonts w:hint="cs"/>
          <w:sz w:val="24"/>
          <w:szCs w:val="24"/>
          <w:rtl/>
        </w:rPr>
        <w:t xml:space="preserve"> به من يخاف مقام ربه من تلك البدع الشنيعة، وبها يعلم أيضاً أن أبا عمرو عثمان بن مرزوق الحنبلي وأبا عبد الله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الحنبلي مشتركان في إثارة البدع المذكورة بمصر، ولا مانع من أن يكون بينهما بعض اختلاف في فرع من فروع تلك البدع، ومَنْ حاول تبرئة أحدهما منها فلا </w:t>
      </w:r>
      <w:r w:rsidR="00777DCB" w:rsidRPr="00A52585">
        <w:rPr>
          <w:rFonts w:hint="cs"/>
          <w:spacing w:val="-8"/>
          <w:sz w:val="24"/>
          <w:szCs w:val="24"/>
          <w:rtl/>
        </w:rPr>
        <w:t>حجة عنده أصلاً</w:t>
      </w:r>
      <w:r w:rsidR="00DB731D" w:rsidRPr="00A52585">
        <w:rPr>
          <w:rFonts w:hint="cs"/>
          <w:spacing w:val="-8"/>
          <w:sz w:val="24"/>
          <w:szCs w:val="24"/>
          <w:rtl/>
        </w:rPr>
        <w:t>،</w:t>
      </w:r>
      <w:r w:rsidR="00777DCB" w:rsidRPr="00A52585">
        <w:rPr>
          <w:rFonts w:hint="cs"/>
          <w:spacing w:val="-8"/>
          <w:sz w:val="24"/>
          <w:szCs w:val="24"/>
          <w:rtl/>
        </w:rPr>
        <w:t xml:space="preserve"> وقد تكلف ابن رجب</w:t>
      </w:r>
      <w:r w:rsidR="00777DCB" w:rsidRPr="00A52585">
        <w:rPr>
          <w:rFonts w:hint="cs"/>
          <w:sz w:val="24"/>
          <w:szCs w:val="24"/>
          <w:rtl/>
        </w:rPr>
        <w:t xml:space="preserve"> في طبقاته تبرئة ابن مرزوق عن ذلك بدون جدوى بعد أن أقر بذلك الناصح الحنبلي </w:t>
      </w:r>
      <w:r w:rsidR="00777DCB" w:rsidRPr="00A52585">
        <w:rPr>
          <w:rFonts w:hint="cs"/>
          <w:spacing w:val="-8"/>
          <w:sz w:val="24"/>
          <w:szCs w:val="24"/>
          <w:rtl/>
        </w:rPr>
        <w:t xml:space="preserve">وابن </w:t>
      </w:r>
      <w:proofErr w:type="spellStart"/>
      <w:r w:rsidR="00777DCB" w:rsidRPr="00A52585">
        <w:rPr>
          <w:rFonts w:hint="cs"/>
          <w:spacing w:val="-8"/>
          <w:sz w:val="24"/>
          <w:szCs w:val="24"/>
          <w:rtl/>
        </w:rPr>
        <w:t>القطيعي</w:t>
      </w:r>
      <w:proofErr w:type="spellEnd"/>
      <w:r w:rsidR="00777DCB" w:rsidRPr="00A52585">
        <w:rPr>
          <w:rFonts w:hint="cs"/>
          <w:spacing w:val="-8"/>
          <w:sz w:val="24"/>
          <w:szCs w:val="24"/>
          <w:rtl/>
        </w:rPr>
        <w:t xml:space="preserve"> الحنبلي، ولو كان ابن</w:t>
      </w:r>
      <w:r w:rsidR="00777DCB" w:rsidRPr="00A52585">
        <w:rPr>
          <w:rFonts w:hint="cs"/>
          <w:sz w:val="24"/>
          <w:szCs w:val="24"/>
          <w:rtl/>
        </w:rPr>
        <w:t xml:space="preserve"> رجب رأى تلك النصوص من فتاوى علماء عصر ابن مرزوق وابن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المنقولة عن خطوطهم المحفوظة في خزانة الملك الظاهر بيبرس لما سعى في تبرئة ساحته من تلك البدعة الشنيعة</w:t>
      </w:r>
      <w:r w:rsidR="00DB731D" w:rsidRPr="00A52585">
        <w:rPr>
          <w:rFonts w:hint="cs"/>
          <w:sz w:val="24"/>
          <w:szCs w:val="24"/>
          <w:rtl/>
        </w:rPr>
        <w:t>،</w:t>
      </w:r>
      <w:r w:rsidR="00777DCB" w:rsidRPr="00A52585">
        <w:rPr>
          <w:rFonts w:hint="cs"/>
          <w:sz w:val="24"/>
          <w:szCs w:val="24"/>
          <w:rtl/>
        </w:rPr>
        <w:t xml:space="preserve"> ونسبة القول بتلك البدعة إلى ابن </w:t>
      </w:r>
      <w:proofErr w:type="spellStart"/>
      <w:r w:rsidR="00777DCB" w:rsidRPr="00A52585">
        <w:rPr>
          <w:rFonts w:hint="cs"/>
          <w:sz w:val="24"/>
          <w:szCs w:val="24"/>
          <w:rtl/>
        </w:rPr>
        <w:t>الكيزاني</w:t>
      </w:r>
      <w:proofErr w:type="spellEnd"/>
      <w:r w:rsidR="00777DCB" w:rsidRPr="00A52585">
        <w:rPr>
          <w:rFonts w:hint="cs"/>
          <w:sz w:val="24"/>
          <w:szCs w:val="24"/>
          <w:rtl/>
        </w:rPr>
        <w:t xml:space="preserve"> في </w:t>
      </w:r>
      <w:r w:rsidR="00777DCB" w:rsidRPr="00A52585">
        <w:rPr>
          <w:rFonts w:hint="cs"/>
          <w:bCs/>
          <w:sz w:val="24"/>
          <w:szCs w:val="24"/>
          <w:rtl/>
        </w:rPr>
        <w:t>مرآة الزمان</w:t>
      </w:r>
      <w:r w:rsidR="00777DCB" w:rsidRPr="00A52585">
        <w:rPr>
          <w:rFonts w:hint="cs"/>
          <w:sz w:val="24"/>
          <w:szCs w:val="24"/>
          <w:rtl/>
        </w:rPr>
        <w:t xml:space="preserve"> لسبط ابن الجوزي لا تبرئ ابن مرزوق منها، على أن ابن رجب قال بعد ذلك</w:t>
      </w:r>
      <w:r w:rsidRPr="00A52585">
        <w:rPr>
          <w:rFonts w:hint="cs"/>
          <w:sz w:val="24"/>
          <w:szCs w:val="24"/>
          <w:rtl/>
        </w:rPr>
        <w:t>:</w:t>
      </w:r>
      <w:r w:rsidR="00777DCB" w:rsidRPr="00A52585">
        <w:rPr>
          <w:rFonts w:hint="cs"/>
          <w:sz w:val="24"/>
          <w:szCs w:val="24"/>
          <w:rtl/>
        </w:rPr>
        <w:t xml:space="preserve"> ثم وجدت لأبي عمرو بن مرزوق مصنفاً في أصول الدين، ورأيته يقول فيه إن الإيمان غير مخلوق، أقواله وأفعاله وإن حركات العباد مخلوقة، لكن القديم يظهر فيها كظهور الكلام في ألفاظ العباد اهـ</w:t>
      </w:r>
      <w:r w:rsidR="00DB731D" w:rsidRPr="00A52585">
        <w:rPr>
          <w:rFonts w:hint="cs"/>
          <w:sz w:val="24"/>
          <w:szCs w:val="24"/>
          <w:rtl/>
        </w:rPr>
        <w:t>،</w:t>
      </w:r>
      <w:r w:rsidR="00777DCB" w:rsidRPr="00A52585">
        <w:rPr>
          <w:rFonts w:hint="cs"/>
          <w:sz w:val="24"/>
          <w:szCs w:val="24"/>
          <w:rtl/>
        </w:rPr>
        <w:t xml:space="preserve"> هذا طراز آخر في التخريف</w:t>
      </w:r>
      <w:r w:rsidR="00F95886" w:rsidRPr="00A52585">
        <w:rPr>
          <w:rFonts w:hint="cs"/>
          <w:sz w:val="24"/>
          <w:szCs w:val="24"/>
          <w:rtl/>
        </w:rPr>
        <w:t>!</w:t>
      </w:r>
      <w:r w:rsidR="00777DCB" w:rsidRPr="00A52585">
        <w:rPr>
          <w:rFonts w:hint="cs"/>
          <w:sz w:val="24"/>
          <w:szCs w:val="24"/>
          <w:rtl/>
        </w:rPr>
        <w:t>! يدل على أنه قائل بالحلول على مذهب السالمية؛ ومثله لا يمكن ترقيع كلامه</w:t>
      </w:r>
      <w:r w:rsidR="00DB731D" w:rsidRPr="00A52585">
        <w:rPr>
          <w:rFonts w:hint="cs"/>
          <w:sz w:val="24"/>
          <w:szCs w:val="24"/>
          <w:rtl/>
        </w:rPr>
        <w:t>،</w:t>
      </w:r>
      <w:r w:rsidR="00777DCB" w:rsidRPr="00A52585">
        <w:rPr>
          <w:rFonts w:hint="cs"/>
          <w:sz w:val="24"/>
          <w:szCs w:val="24"/>
          <w:rtl/>
        </w:rPr>
        <w:t xml:space="preserve"> ووقعت بين الفتنتين فتنة عبد الغني المقدسي الحنبلي في الصوت ونحوه كما في ذيل الروضتين لأبي شامة فليراجع هناك</w:t>
      </w:r>
      <w:r w:rsidR="00DB731D" w:rsidRPr="00A52585">
        <w:rPr>
          <w:rFonts w:hint="cs"/>
          <w:sz w:val="24"/>
          <w:szCs w:val="24"/>
          <w:rtl/>
        </w:rPr>
        <w:t>،</w:t>
      </w:r>
      <w:r w:rsidR="00777DCB" w:rsidRPr="00A52585">
        <w:rPr>
          <w:rFonts w:hint="cs"/>
          <w:sz w:val="24"/>
          <w:szCs w:val="24"/>
          <w:rtl/>
        </w:rPr>
        <w:t xml:space="preserve"> وما حدث في القرن الخامس ببغداد في عهد أبي نصر بن القشيري من فتنة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فمشهور جداً. والمحضر الذي رفعه أبو إسحاق الشيرازي والحسين بن محمد الطبري ومحمد بن أحمد الشاشي والحسين بن أحمد البغدادي وعزيزي بن عبد الملك </w:t>
      </w:r>
      <w:proofErr w:type="spellStart"/>
      <w:r w:rsidR="00777DCB" w:rsidRPr="00A52585">
        <w:rPr>
          <w:rFonts w:hint="cs"/>
          <w:sz w:val="24"/>
          <w:szCs w:val="24"/>
          <w:rtl/>
        </w:rPr>
        <w:t>شيذلة</w:t>
      </w:r>
      <w:proofErr w:type="spellEnd"/>
      <w:r w:rsidR="00777DCB" w:rsidRPr="00A52585">
        <w:rPr>
          <w:rFonts w:hint="cs"/>
          <w:sz w:val="24"/>
          <w:szCs w:val="24"/>
          <w:rtl/>
        </w:rPr>
        <w:t xml:space="preserve">، وغيرهم من أئمة العصر عن تلك الفتنة بخطوطهم إلى نظام الملك، مسجل في تبيين كذب </w:t>
      </w:r>
      <w:proofErr w:type="spellStart"/>
      <w:r w:rsidR="00777DCB" w:rsidRPr="00A52585">
        <w:rPr>
          <w:rFonts w:hint="cs"/>
          <w:sz w:val="24"/>
          <w:szCs w:val="24"/>
          <w:rtl/>
        </w:rPr>
        <w:t>المفترى</w:t>
      </w:r>
      <w:proofErr w:type="spellEnd"/>
      <w:r w:rsidR="00777DCB" w:rsidRPr="00A52585">
        <w:rPr>
          <w:rFonts w:hint="cs"/>
          <w:sz w:val="24"/>
          <w:szCs w:val="24"/>
          <w:rtl/>
        </w:rPr>
        <w:t xml:space="preserve"> لابن عساكر (ص 310) فيراجع هناك، ليُعلم مبلغ سعي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إثارة الفتن في كل قرن وذلك مما يعرق به جبين الدهر خجلاً من </w:t>
      </w:r>
      <w:proofErr w:type="spellStart"/>
      <w:r w:rsidR="00777DCB" w:rsidRPr="00A52585">
        <w:rPr>
          <w:rFonts w:hint="cs"/>
          <w:sz w:val="24"/>
          <w:szCs w:val="24"/>
          <w:rtl/>
        </w:rPr>
        <w:t>تخريفاتهم</w:t>
      </w:r>
      <w:proofErr w:type="spellEnd"/>
      <w:r w:rsidR="00777DCB" w:rsidRPr="00A52585">
        <w:rPr>
          <w:rFonts w:hint="cs"/>
          <w:sz w:val="24"/>
          <w:szCs w:val="24"/>
          <w:rtl/>
        </w:rPr>
        <w:t xml:space="preserve"> التي يتبرأ منها العقلاء كلهم</w:t>
      </w:r>
      <w:r w:rsidR="00DB731D" w:rsidRPr="00A52585">
        <w:rPr>
          <w:rFonts w:hint="cs"/>
          <w:sz w:val="24"/>
          <w:szCs w:val="24"/>
          <w:rtl/>
        </w:rPr>
        <w:t>،</w:t>
      </w:r>
      <w:r w:rsidR="00777DCB" w:rsidRPr="00A52585">
        <w:rPr>
          <w:rFonts w:hint="cs"/>
          <w:sz w:val="24"/>
          <w:szCs w:val="24"/>
          <w:rtl/>
        </w:rPr>
        <w:t xml:space="preserve"> وأما ما أحدثوه من الفتن في أوائل القرن الرابع من الدعوة إلى القول </w:t>
      </w:r>
      <w:proofErr w:type="spellStart"/>
      <w:r w:rsidR="00777DCB" w:rsidRPr="00A52585">
        <w:rPr>
          <w:rFonts w:hint="cs"/>
          <w:sz w:val="24"/>
          <w:szCs w:val="24"/>
          <w:rtl/>
        </w:rPr>
        <w:t>بإجلاس</w:t>
      </w:r>
      <w:proofErr w:type="spellEnd"/>
      <w:r w:rsidR="00777DCB" w:rsidRPr="00A52585">
        <w:rPr>
          <w:rFonts w:hint="cs"/>
          <w:sz w:val="24"/>
          <w:szCs w:val="24"/>
          <w:rtl/>
        </w:rPr>
        <w:t xml:space="preserve"> محمد صلى الله عليه وسلم على العرش في جنبه تعالى، فمدوَّن في كتب التاريخ</w:t>
      </w:r>
      <w:r w:rsidR="00DB731D" w:rsidRPr="00A52585">
        <w:rPr>
          <w:rFonts w:hint="cs"/>
          <w:sz w:val="24"/>
          <w:szCs w:val="24"/>
          <w:rtl/>
        </w:rPr>
        <w:t>،</w:t>
      </w:r>
      <w:r w:rsidR="00777DCB" w:rsidRPr="00A52585">
        <w:rPr>
          <w:rFonts w:hint="cs"/>
          <w:sz w:val="24"/>
          <w:szCs w:val="24"/>
          <w:rtl/>
        </w:rPr>
        <w:t xml:space="preserve"> والمرسوم الذي أصدره الراضي العباسي ضد </w:t>
      </w:r>
      <w:proofErr w:type="spellStart"/>
      <w:r w:rsidR="00777DCB" w:rsidRPr="00A52585">
        <w:rPr>
          <w:rFonts w:hint="cs"/>
          <w:sz w:val="24"/>
          <w:szCs w:val="24"/>
          <w:rtl/>
        </w:rPr>
        <w:t>البربهاري</w:t>
      </w:r>
      <w:proofErr w:type="spellEnd"/>
      <w:r w:rsidR="00777DCB" w:rsidRPr="00A52585">
        <w:rPr>
          <w:rFonts w:hint="cs"/>
          <w:sz w:val="24"/>
          <w:szCs w:val="24"/>
          <w:rtl/>
        </w:rPr>
        <w:t xml:space="preserve"> الداعي إلى تلك البدعة مسجل في تاريخ ابن الأثير بنصه وفصه، فليراجع القارئ الكريم هذا وذاك ليعلم نصيب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من العقل والدين وكلا الكتابين بمتناول الأيدي، فنستغني عن نقل نصوص عنهما</w:t>
      </w:r>
      <w:r w:rsidR="00DB731D" w:rsidRPr="00A52585">
        <w:rPr>
          <w:rFonts w:hint="cs"/>
          <w:sz w:val="24"/>
          <w:szCs w:val="24"/>
          <w:rtl/>
        </w:rPr>
        <w:t>،</w:t>
      </w:r>
      <w:r w:rsidR="00777DCB" w:rsidRPr="00A52585">
        <w:rPr>
          <w:rFonts w:hint="cs"/>
          <w:sz w:val="24"/>
          <w:szCs w:val="24"/>
          <w:rtl/>
        </w:rPr>
        <w:t xml:space="preserve"> وفي كل ما تقدم عبر، </w:t>
      </w:r>
      <w:proofErr w:type="spellStart"/>
      <w:r w:rsidR="00777DCB" w:rsidRPr="00A52585">
        <w:rPr>
          <w:rFonts w:hint="cs"/>
          <w:sz w:val="24"/>
          <w:szCs w:val="24"/>
          <w:rtl/>
        </w:rPr>
        <w:t>ويالها</w:t>
      </w:r>
      <w:proofErr w:type="spellEnd"/>
      <w:r w:rsidR="00777DCB" w:rsidRPr="00A52585">
        <w:rPr>
          <w:rFonts w:hint="cs"/>
          <w:sz w:val="24"/>
          <w:szCs w:val="24"/>
          <w:rtl/>
        </w:rPr>
        <w:t xml:space="preserve"> من عبر، والله سبحانه هو الهادي إلى سواء السبيل</w:t>
      </w:r>
      <w:r w:rsidR="00DB731D" w:rsidRPr="00A52585">
        <w:rPr>
          <w:rFonts w:hint="cs"/>
          <w:sz w:val="24"/>
          <w:szCs w:val="24"/>
          <w:rtl/>
        </w:rPr>
        <w:t>،</w:t>
      </w:r>
      <w:r w:rsidRPr="00A52585">
        <w:rPr>
          <w:rFonts w:hint="cs"/>
          <w:sz w:val="24"/>
          <w:szCs w:val="24"/>
          <w:rtl/>
        </w:rPr>
        <w:t>]</w:t>
      </w:r>
      <w:r w:rsidR="00777DCB" w:rsidRPr="00A52585">
        <w:rPr>
          <w:rFonts w:hint="cs"/>
          <w:rtl/>
        </w:rPr>
        <w:t xml:space="preserve"> كان ذا جثمان</w:t>
      </w:r>
      <w:r w:rsidR="00DB731D" w:rsidRPr="00A52585">
        <w:rPr>
          <w:rFonts w:hint="cs"/>
          <w:rtl/>
        </w:rPr>
        <w:t>،</w:t>
      </w:r>
      <w:r w:rsidR="00777DCB" w:rsidRPr="00A52585">
        <w:rPr>
          <w:rFonts w:hint="cs"/>
          <w:rtl/>
        </w:rPr>
        <w:t xml:space="preserve"> فإذا انتفيا ما الذي يبقى من إيمان</w:t>
      </w:r>
      <w:r w:rsidR="00F95886" w:rsidRPr="00A52585">
        <w:rPr>
          <w:rFonts w:hint="cs"/>
          <w:rtl/>
        </w:rPr>
        <w:t>؟</w:t>
      </w:r>
      <w:r w:rsidR="00777DCB" w:rsidRPr="00A52585">
        <w:rPr>
          <w:rFonts w:hint="cs"/>
          <w:rtl/>
        </w:rPr>
        <w:t xml:space="preserve"> فدع الحلال مع الحرام لأهله</w:t>
      </w:r>
      <w:r w:rsidR="00DB731D" w:rsidRPr="00A52585">
        <w:rPr>
          <w:rFonts w:hint="cs"/>
          <w:rtl/>
        </w:rPr>
        <w:t>،</w:t>
      </w:r>
      <w:r w:rsidR="00777DCB" w:rsidRPr="00A52585">
        <w:rPr>
          <w:rFonts w:hint="cs"/>
          <w:rtl/>
        </w:rPr>
        <w:t xml:space="preserve"> فهما السياج فاخرقه ثم أدخل واقطع علائقك التي قد قيدت هذا الورى لتصير حراً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انظر هذا الخبث المضاعف، يصور الناظم أن القول بعدم استقرار الإله جل شأنه على العرش </w:t>
      </w:r>
      <w:r w:rsidR="00777DCB" w:rsidRPr="00A52585">
        <w:rPr>
          <w:rFonts w:hint="cs"/>
          <w:sz w:val="24"/>
          <w:szCs w:val="24"/>
          <w:rtl/>
        </w:rPr>
        <w:lastRenderedPageBreak/>
        <w:t>استقرار تمكُّن وبعدم كون كلام الله القائم بذاته حرفاً وصوتاً حادثين في ذاته تعالى يكون انحلالاً عن الدين وانسلاخاً من التكاليف!! ولست أشك أن من يجترئ على هذا التصوير ويدور في خلده مثل هذا التفكير أمام جماهير أهل الحق المعتقدين للتنـزيه من فجر الإسلام إلى اليوم في مشارق الأرض ومغاربها على طول القرون لا يكون إلا منطوياً على الانسلاخ الذي يرمي به أهل الحق -</w:t>
      </w:r>
      <w:r w:rsidRPr="00A52585">
        <w:rPr>
          <w:rFonts w:hint="cs"/>
          <w:sz w:val="24"/>
          <w:szCs w:val="24"/>
          <w:rtl/>
        </w:rPr>
        <w:t xml:space="preserve"> </w:t>
      </w:r>
      <w:r w:rsidR="00777DCB" w:rsidRPr="00A52585">
        <w:rPr>
          <w:rFonts w:hint="cs"/>
          <w:sz w:val="24"/>
          <w:szCs w:val="24"/>
          <w:rtl/>
        </w:rPr>
        <w:t>قاتله الله ما أجزأه على الله وما أوقحه! فمن الذي نفى أن للعالم مدبراً وأن القرآن كلام الله أنـزل به الروح الأمين على قلب رسوله صلى الله عليه وسلم</w:t>
      </w:r>
      <w:r w:rsidR="00F95886" w:rsidRPr="00A52585">
        <w:rPr>
          <w:rFonts w:hint="cs"/>
          <w:sz w:val="24"/>
          <w:szCs w:val="24"/>
          <w:rtl/>
        </w:rPr>
        <w:t>؟</w:t>
      </w:r>
      <w:r w:rsidR="00777DCB" w:rsidRPr="00A52585">
        <w:rPr>
          <w:rFonts w:hint="cs"/>
          <w:sz w:val="24"/>
          <w:szCs w:val="24"/>
          <w:rtl/>
        </w:rPr>
        <w:t xml:space="preserve"> ومن الذي يجهل أن الملء والتخلية من شأن الأجسام نفياً وإثباتاً ولم يرد الملء في سنة صحيحة حتى يجوز إطلاقه عليه سبحانه</w:t>
      </w:r>
      <w:r w:rsidR="00DB731D" w:rsidRPr="00A52585">
        <w:rPr>
          <w:rFonts w:hint="cs"/>
          <w:sz w:val="24"/>
          <w:szCs w:val="24"/>
          <w:rtl/>
        </w:rPr>
        <w:t>،</w:t>
      </w:r>
      <w:r w:rsidR="00777DCB" w:rsidRPr="00A52585">
        <w:rPr>
          <w:rFonts w:hint="cs"/>
          <w:sz w:val="24"/>
          <w:szCs w:val="24"/>
          <w:rtl/>
        </w:rPr>
        <w:t xml:space="preserve"> على أن تنـزهه سبحانه عن الجسمية ولوازم الجسمية مما أجمع عليه أهل الحق، ولم يشك فيه سوى من عنده نـزعة الوثنية</w:t>
      </w:r>
      <w:r w:rsidR="00DB731D" w:rsidRPr="00A52585">
        <w:rPr>
          <w:rFonts w:hint="cs"/>
          <w:sz w:val="24"/>
          <w:szCs w:val="24"/>
          <w:rtl/>
        </w:rPr>
        <w:t>،</w:t>
      </w:r>
      <w:r w:rsidR="00777DCB" w:rsidRPr="00A52585">
        <w:rPr>
          <w:rFonts w:hint="cs"/>
          <w:sz w:val="24"/>
          <w:szCs w:val="24"/>
          <w:rtl/>
        </w:rPr>
        <w:t xml:space="preserve"> ولفظ (بائن من خلقه) لم يرد في كتاب ولا سنة، وإنما أطلق من أطلق من السلف بمعنى نفي </w:t>
      </w:r>
      <w:proofErr w:type="spellStart"/>
      <w:r w:rsidR="00777DCB" w:rsidRPr="00A52585">
        <w:rPr>
          <w:rFonts w:hint="cs"/>
          <w:sz w:val="24"/>
          <w:szCs w:val="24"/>
          <w:rtl/>
        </w:rPr>
        <w:t>الممازجة</w:t>
      </w:r>
      <w:proofErr w:type="spellEnd"/>
      <w:r w:rsidR="00777DCB" w:rsidRPr="00A52585">
        <w:rPr>
          <w:rFonts w:hint="cs"/>
          <w:sz w:val="24"/>
          <w:szCs w:val="24"/>
          <w:rtl/>
        </w:rPr>
        <w:t xml:space="preserve"> رداً على جهم لا بمعنى الابتعاد بالمسافة، تعالى الله عن ذلك، كما صرح بذلك البيهقي في الأسماء والصفات</w:t>
      </w:r>
      <w:r w:rsidR="00DB731D" w:rsidRPr="00A52585">
        <w:rPr>
          <w:rFonts w:hint="cs"/>
          <w:sz w:val="24"/>
          <w:szCs w:val="24"/>
          <w:rtl/>
        </w:rPr>
        <w:t>،</w:t>
      </w:r>
      <w:r w:rsidR="00777DCB" w:rsidRPr="00A52585">
        <w:rPr>
          <w:rFonts w:hint="cs"/>
          <w:sz w:val="24"/>
          <w:szCs w:val="24"/>
          <w:rtl/>
        </w:rPr>
        <w:t xml:space="preserve"> وأما لفظ أنه فوق العرش فلم يرد مرفوعاً إلا في بعض طرق حديث الأوعال</w:t>
      </w:r>
      <w:r w:rsidRPr="00A52585">
        <w:rPr>
          <w:rFonts w:hint="cs"/>
          <w:sz w:val="24"/>
          <w:szCs w:val="24"/>
          <w:rtl/>
        </w:rPr>
        <w:t xml:space="preserve"> </w:t>
      </w:r>
      <w:r w:rsidR="00777DCB" w:rsidRPr="00A52585">
        <w:rPr>
          <w:rFonts w:hint="cs"/>
          <w:sz w:val="24"/>
          <w:szCs w:val="24"/>
          <w:rtl/>
        </w:rPr>
        <w:t>- من رواية ابن منده في التوحيد -</w:t>
      </w:r>
      <w:r w:rsidRPr="00A52585">
        <w:rPr>
          <w:rFonts w:hint="cs"/>
          <w:sz w:val="24"/>
          <w:szCs w:val="24"/>
          <w:rtl/>
        </w:rPr>
        <w:t xml:space="preserve"> </w:t>
      </w:r>
      <w:r w:rsidR="00777DCB" w:rsidRPr="00A52585">
        <w:rPr>
          <w:rFonts w:hint="cs"/>
          <w:sz w:val="24"/>
          <w:szCs w:val="24"/>
          <w:rtl/>
        </w:rPr>
        <w:t>وعبد الله بن عميرة في سنده مجهول الحال، ولم يدرك الأحنف فضلاً عن العباس. وسماك انفرد به عن عبد الله هذا، في جميع الطرق، ويحيى بن العلاء في رواية عبد الرزاق عن سماك يقول عنه أحمد</w:t>
      </w:r>
      <w:r w:rsidRPr="00A52585">
        <w:rPr>
          <w:rFonts w:hint="cs"/>
          <w:sz w:val="24"/>
          <w:szCs w:val="24"/>
          <w:rtl/>
        </w:rPr>
        <w:t>:</w:t>
      </w:r>
      <w:r w:rsidR="00777DCB" w:rsidRPr="00A52585">
        <w:rPr>
          <w:rFonts w:hint="cs"/>
          <w:sz w:val="24"/>
          <w:szCs w:val="24"/>
          <w:rtl/>
        </w:rPr>
        <w:t xml:space="preserve"> كذاب يضع الحديث</w:t>
      </w:r>
      <w:r w:rsidR="00DB731D" w:rsidRPr="00A52585">
        <w:rPr>
          <w:rFonts w:hint="cs"/>
          <w:sz w:val="24"/>
          <w:szCs w:val="24"/>
          <w:rtl/>
        </w:rPr>
        <w:t>،</w:t>
      </w:r>
      <w:r w:rsidR="00777DCB" w:rsidRPr="00A52585">
        <w:rPr>
          <w:rFonts w:hint="cs"/>
          <w:sz w:val="24"/>
          <w:szCs w:val="24"/>
          <w:rtl/>
        </w:rPr>
        <w:t xml:space="preserve"> وتصحيح بعض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لبعض طرق حديث الأوعال لا يزيل ما به سنداً ومتناً، بل خبر الأوعال ملفق من الإسرائيليات كما نص عليه أبو بكر ابن العربي في شرح سنن الترمذي؛ وأنت تعرف مبلغ براعته في الحديث ونقده</w:t>
      </w:r>
      <w:r w:rsidR="00DB731D" w:rsidRPr="00A52585">
        <w:rPr>
          <w:rFonts w:hint="cs"/>
          <w:sz w:val="24"/>
          <w:szCs w:val="24"/>
          <w:rtl/>
        </w:rPr>
        <w:t>،</w:t>
      </w:r>
      <w:r w:rsidR="00777DCB" w:rsidRPr="00A52585">
        <w:rPr>
          <w:rFonts w:hint="cs"/>
          <w:sz w:val="24"/>
          <w:szCs w:val="24"/>
          <w:rtl/>
        </w:rPr>
        <w:t xml:space="preserve"> وتحسين الترمذي بالنظر إلى تعدد طرقه بعد سماك، وهذا مصطلح له وقوله</w:t>
      </w:r>
      <w:r w:rsidRPr="00A52585">
        <w:rPr>
          <w:rFonts w:hint="cs"/>
          <w:sz w:val="24"/>
          <w:szCs w:val="24"/>
          <w:rtl/>
        </w:rPr>
        <w:t>:</w:t>
      </w:r>
      <w:r w:rsidR="00777DCB" w:rsidRPr="00A52585">
        <w:rPr>
          <w:rFonts w:hint="cs"/>
          <w:sz w:val="24"/>
          <w:szCs w:val="24"/>
          <w:rtl/>
        </w:rPr>
        <w:t xml:space="preserve"> غريب إشارة إلى انفراد سماك عن ذلك المجهول ولا شأن للمجاهيل والوحدان والمنقطعات في إثبات الصفات أصلاً ولم يثبت عن القدمين حديث مرفوع، وقول ابن عباس لإفادة أن الكرسي صغير بالنسبة إلى العرش ككرسي قد وضع لقدمي القاعد على السرير كما قال ابن الجوزي</w:t>
      </w:r>
      <w:r w:rsidR="00DB731D" w:rsidRPr="00A52585">
        <w:rPr>
          <w:rFonts w:hint="cs"/>
          <w:sz w:val="24"/>
          <w:szCs w:val="24"/>
          <w:rtl/>
        </w:rPr>
        <w:t>،</w:t>
      </w:r>
      <w:r w:rsidR="00777DCB" w:rsidRPr="00A52585">
        <w:rPr>
          <w:rFonts w:hint="cs"/>
          <w:sz w:val="24"/>
          <w:szCs w:val="24"/>
          <w:rtl/>
        </w:rPr>
        <w:t xml:space="preserve"> ورواية من رواه بلفظ (قدميه) تحريف للرواية؛ وتقييد الرؤية بلفظ (من فوق) من كيس المجسم بدون كتاب ولا سنة</w:t>
      </w:r>
      <w:r w:rsidR="00DB731D" w:rsidRPr="00A52585">
        <w:rPr>
          <w:rFonts w:hint="cs"/>
          <w:sz w:val="24"/>
          <w:szCs w:val="24"/>
          <w:rtl/>
        </w:rPr>
        <w:t>،</w:t>
      </w:r>
      <w:r w:rsidR="00777DCB" w:rsidRPr="00A52585">
        <w:rPr>
          <w:rFonts w:hint="cs"/>
          <w:sz w:val="24"/>
          <w:szCs w:val="24"/>
          <w:rtl/>
        </w:rPr>
        <w:t xml:space="preserve"> ووصفه سبحانه بالصفات الواردة في الكتاب والسنة لم ينفه أحد من أهل الحق، كما لم ينف أحد منهم كلام الله لموسى بلا كيف</w:t>
      </w:r>
      <w:r w:rsidR="00DB731D" w:rsidRPr="00A52585">
        <w:rPr>
          <w:rFonts w:hint="cs"/>
          <w:sz w:val="24"/>
          <w:szCs w:val="24"/>
          <w:rtl/>
        </w:rPr>
        <w:t>،</w:t>
      </w:r>
      <w:r w:rsidR="00777DCB" w:rsidRPr="00A52585">
        <w:rPr>
          <w:rFonts w:hint="cs"/>
          <w:sz w:val="24"/>
          <w:szCs w:val="24"/>
          <w:rtl/>
        </w:rPr>
        <w:t xml:space="preserve"> والإقعاد معه على العرش يروى عن مجاهد بطريق ضعيفة, وتفسير المقام المحمود بالشفاعة متواتر تواتراً معنوياً. وأني ما ينسب إلى مجاهد من ذاك</w:t>
      </w:r>
      <w:r w:rsidR="00F95886" w:rsidRPr="00A52585">
        <w:rPr>
          <w:rFonts w:hint="cs"/>
          <w:sz w:val="24"/>
          <w:szCs w:val="24"/>
          <w:rtl/>
        </w:rPr>
        <w:t>؟</w:t>
      </w:r>
      <w:r w:rsidR="00777DCB" w:rsidRPr="00A52585">
        <w:rPr>
          <w:rFonts w:hint="cs"/>
          <w:sz w:val="24"/>
          <w:szCs w:val="24"/>
          <w:rtl/>
        </w:rPr>
        <w:t xml:space="preserve"> وقد صرح غير واحد من الأئمة ببطلان ما يروى عن مجاهد، ويرى بعض النصارى رفع عيسى عليه السلام وإقعاده في جنب أبيه وهذا هو مصدر هذا التخريف</w:t>
      </w:r>
      <w:r w:rsidRPr="00A52585">
        <w:rPr>
          <w:rFonts w:hint="cs"/>
          <w:sz w:val="24"/>
          <w:szCs w:val="24"/>
          <w:rtl/>
        </w:rPr>
        <w:t>]</w:t>
      </w:r>
      <w:r w:rsidR="00777DCB" w:rsidRPr="00A52585">
        <w:rPr>
          <w:rFonts w:hint="cs"/>
          <w:rtl/>
        </w:rPr>
        <w:t xml:space="preserve"> لست تحت أوامر ولا نهي ولا فرقانا</w:t>
      </w:r>
      <w:r w:rsidR="00DB731D" w:rsidRPr="00A52585">
        <w:rPr>
          <w:rFonts w:hint="cs"/>
          <w:rtl/>
        </w:rPr>
        <w:t>،</w:t>
      </w:r>
      <w:r w:rsidR="00777DCB" w:rsidRPr="00A52585">
        <w:rPr>
          <w:rFonts w:hint="cs"/>
          <w:rtl/>
        </w:rPr>
        <w:t xml:space="preserve"> لكن جعلت حجاب نفسك إذا ترى</w:t>
      </w:r>
      <w:r w:rsidR="00DB731D" w:rsidRPr="00A52585">
        <w:rPr>
          <w:rFonts w:hint="cs"/>
          <w:rtl/>
        </w:rPr>
        <w:t>،</w:t>
      </w:r>
      <w:r w:rsidR="00777DCB" w:rsidRPr="00A52585">
        <w:rPr>
          <w:rFonts w:hint="cs"/>
          <w:rtl/>
        </w:rPr>
        <w:t xml:space="preserve"> فوق السماء من ديان</w:t>
      </w:r>
      <w:r w:rsidR="00DB731D" w:rsidRPr="00A52585">
        <w:rPr>
          <w:rFonts w:hint="cs"/>
          <w:rtl/>
        </w:rPr>
        <w:t>،</w:t>
      </w:r>
      <w:r w:rsidR="00777DCB" w:rsidRPr="00A52585">
        <w:rPr>
          <w:rFonts w:hint="cs"/>
          <w:rtl/>
        </w:rPr>
        <w:t xml:space="preserve"> لو قلت ما فوق السماء مدبر والعرش تخليه من الرحمن</w:t>
      </w:r>
      <w:r w:rsidR="00DB731D" w:rsidRPr="00A52585">
        <w:rPr>
          <w:rFonts w:hint="cs"/>
          <w:rtl/>
        </w:rPr>
        <w:t>،</w:t>
      </w:r>
      <w:r w:rsidR="00777DCB" w:rsidRPr="00A52585">
        <w:rPr>
          <w:rFonts w:hint="cs"/>
          <w:rtl/>
        </w:rPr>
        <w:t xml:space="preserve"> والله ليس متكلما بالقرآن لحلك طلسمه وفزت بكنـزه وعلمت أن الناس في هذيان</w:t>
      </w:r>
      <w:r w:rsidR="00DB731D" w:rsidRPr="00A52585">
        <w:rPr>
          <w:rFonts w:hint="cs"/>
          <w:rtl/>
        </w:rPr>
        <w:t>،</w:t>
      </w:r>
      <w:r w:rsidR="00777DCB" w:rsidRPr="00A52585">
        <w:rPr>
          <w:rFonts w:hint="cs"/>
          <w:rtl/>
        </w:rPr>
        <w:t xml:space="preserve"> لكن زعمت أن ربك بائن من خلقه وأنه فوق العرش والكرسي وفوقه القدمان وأنه يسمع خلقه ويراهم من فوق وأن كلامه منه بدا وإليه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ابن المعلم القرشي</w:t>
      </w:r>
      <w:r w:rsidRPr="00A52585">
        <w:rPr>
          <w:rFonts w:hint="cs"/>
          <w:sz w:val="24"/>
          <w:szCs w:val="24"/>
          <w:rtl/>
        </w:rPr>
        <w:t>:</w:t>
      </w:r>
      <w:r w:rsidR="00777DCB" w:rsidRPr="00A52585">
        <w:rPr>
          <w:rFonts w:hint="cs"/>
          <w:sz w:val="24"/>
          <w:szCs w:val="24"/>
          <w:rtl/>
        </w:rPr>
        <w:t xml:space="preserve"> وهذا الحديث أوردوه بإسناد فيه محمد بن يحيى ابن رزين، قال أبو حاتم البستي</w:t>
      </w:r>
      <w:r w:rsidRPr="00A52585">
        <w:rPr>
          <w:rFonts w:hint="cs"/>
          <w:sz w:val="24"/>
          <w:szCs w:val="24"/>
          <w:rtl/>
        </w:rPr>
        <w:t>:</w:t>
      </w:r>
      <w:r w:rsidR="00777DCB" w:rsidRPr="00A52585">
        <w:rPr>
          <w:rFonts w:hint="cs"/>
          <w:sz w:val="24"/>
          <w:szCs w:val="24"/>
          <w:rtl/>
        </w:rPr>
        <w:t xml:space="preserve"> كان كذاباً دجالاً يضع الأحاديث اهـ، وزيادة على ما سبق سيأتي الكلام على الصوت فانتظره، ودعوى الإجماع في أن النداء صوت كذب كما سيأتي]</w:t>
      </w:r>
      <w:r w:rsidR="00777DCB" w:rsidRPr="00A52585">
        <w:rPr>
          <w:rFonts w:hint="cs"/>
          <w:rtl/>
        </w:rPr>
        <w:t xml:space="preserve"> يعود ووصفته بالسمع والبصر والإرادة والقدرة وكراهة ومحبة وحنان</w:t>
      </w:r>
      <w:r w:rsidR="00DB731D" w:rsidRPr="00A52585">
        <w:rPr>
          <w:rFonts w:hint="cs"/>
          <w:rtl/>
        </w:rPr>
        <w:t>،</w:t>
      </w:r>
      <w:r w:rsidR="00777DCB" w:rsidRPr="00A52585">
        <w:rPr>
          <w:rFonts w:hint="cs"/>
          <w:rtl/>
        </w:rPr>
        <w:t xml:space="preserve"> وأنه يعلم كل ما في الكون</w:t>
      </w:r>
      <w:r w:rsidR="00DB731D" w:rsidRPr="00A52585">
        <w:rPr>
          <w:rFonts w:hint="cs"/>
          <w:rtl/>
        </w:rPr>
        <w:t>،</w:t>
      </w:r>
      <w:r w:rsidR="00777DCB" w:rsidRPr="00A52585">
        <w:rPr>
          <w:rFonts w:hint="cs"/>
          <w:rtl/>
        </w:rPr>
        <w:t xml:space="preserve"> وأنه كلم موسى</w:t>
      </w:r>
      <w:r w:rsidR="00DB731D" w:rsidRPr="00A52585">
        <w:rPr>
          <w:rFonts w:hint="cs"/>
          <w:rtl/>
        </w:rPr>
        <w:t>،</w:t>
      </w:r>
      <w:r w:rsidR="00777DCB" w:rsidRPr="00A52585">
        <w:rPr>
          <w:rFonts w:hint="cs"/>
          <w:rtl/>
        </w:rPr>
        <w:t xml:space="preserve"> والنداء صوت بإجماع النحاة</w:t>
      </w:r>
      <w:r w:rsidR="00DB731D" w:rsidRPr="00A52585">
        <w:rPr>
          <w:rFonts w:hint="cs"/>
          <w:rtl/>
        </w:rPr>
        <w:t>،</w:t>
      </w:r>
      <w:r w:rsidR="00777DCB" w:rsidRPr="00A52585">
        <w:rPr>
          <w:rFonts w:hint="cs"/>
          <w:rtl/>
        </w:rPr>
        <w:t xml:space="preserve"> وأن محمداً صلى الله عليه وسلم </w:t>
      </w:r>
      <w:r w:rsidR="00777DCB" w:rsidRPr="00A52585">
        <w:rPr>
          <w:rFonts w:hint="cs"/>
          <w:rtl/>
        </w:rPr>
        <w:lastRenderedPageBreak/>
        <w:t xml:space="preserve">أسري به </w:t>
      </w:r>
      <w:r w:rsidRPr="00A52585">
        <w:rPr>
          <w:rFonts w:hint="cs"/>
          <w:rtl/>
        </w:rPr>
        <w:t>(</w:t>
      </w:r>
      <w:r w:rsidR="00777DCB" w:rsidRPr="00A52585">
        <w:rPr>
          <w:rFonts w:hint="cs"/>
          <w:rtl/>
        </w:rPr>
        <w:t>ليلا إليه</w:t>
      </w:r>
      <w:r w:rsidRPr="00A52585">
        <w:rPr>
          <w:rFonts w:hint="cs"/>
          <w:rtl/>
        </w:rPr>
        <w:t>)</w:t>
      </w:r>
      <w:r w:rsidR="00777DCB" w:rsidRPr="00A52585">
        <w:rPr>
          <w:rFonts w:hint="cs"/>
          <w:rtl/>
        </w:rPr>
        <w:t xml:space="preserve"> فهو منه داني وأنه يدنيه يوم القيامة حتى يرى قاعداً معه على العرش وأن لعرشه أطيطا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ويغنينا عن إبداء وجوه التخليط في حديث الأطيط ما ألَّفه الحافظ ابن عساكر في ذلك، وإبداء بعضه للطور بمعنى إبداء بعض </w:t>
      </w:r>
      <w:proofErr w:type="spellStart"/>
      <w:r w:rsidR="00777DCB" w:rsidRPr="00A52585">
        <w:rPr>
          <w:rFonts w:hint="cs"/>
          <w:sz w:val="24"/>
          <w:szCs w:val="24"/>
          <w:rtl/>
        </w:rPr>
        <w:t>آيه</w:t>
      </w:r>
      <w:proofErr w:type="spellEnd"/>
      <w:r w:rsidR="00777DCB" w:rsidRPr="00A52585">
        <w:rPr>
          <w:rFonts w:hint="cs"/>
          <w:sz w:val="24"/>
          <w:szCs w:val="24"/>
          <w:rtl/>
        </w:rPr>
        <w:t>. على أنه مما أدخل على حماد بن سلمة، تعالى الله سبحانه عن الأبعاض والأجزاء رغم أنف المجسمة، ويأتي الكلام على قبض السماوات]</w:t>
      </w:r>
      <w:r w:rsidR="00777DCB" w:rsidRPr="00A52585">
        <w:rPr>
          <w:rFonts w:hint="cs"/>
          <w:rtl/>
        </w:rPr>
        <w:t xml:space="preserve"> وأن الله أبدى بعضه للطور</w:t>
      </w:r>
      <w:r w:rsidR="00DB731D" w:rsidRPr="00A52585">
        <w:rPr>
          <w:rFonts w:hint="cs"/>
          <w:rtl/>
        </w:rPr>
        <w:t>،</w:t>
      </w:r>
      <w:r w:rsidR="00777DCB" w:rsidRPr="00A52585">
        <w:rPr>
          <w:rFonts w:hint="cs"/>
          <w:rtl/>
        </w:rPr>
        <w:t xml:space="preserve"> وأن له وجها وله يمين</w:t>
      </w:r>
      <w:r w:rsidR="00DB731D" w:rsidRPr="00A52585">
        <w:rPr>
          <w:rFonts w:hint="cs"/>
          <w:rtl/>
        </w:rPr>
        <w:t>،</w:t>
      </w:r>
      <w:r w:rsidR="00777DCB" w:rsidRPr="00A52585">
        <w:rPr>
          <w:rFonts w:hint="cs"/>
          <w:rtl/>
        </w:rPr>
        <w:t xml:space="preserve"> بل زعمت يدان</w:t>
      </w:r>
      <w:r w:rsidR="00DB731D" w:rsidRPr="00A52585">
        <w:rPr>
          <w:rFonts w:hint="cs"/>
          <w:rtl/>
        </w:rPr>
        <w:t>،</w:t>
      </w:r>
      <w:r w:rsidR="00777DCB" w:rsidRPr="00A52585">
        <w:rPr>
          <w:rFonts w:hint="cs"/>
          <w:rtl/>
        </w:rPr>
        <w:t xml:space="preserve"> وأن يديه للسبع العلى والأرض </w:t>
      </w:r>
      <w:r w:rsidRPr="00A52585">
        <w:rPr>
          <w:rFonts w:hint="cs"/>
          <w:rtl/>
        </w:rPr>
        <w:t>(</w:t>
      </w:r>
      <w:r w:rsidR="00777DCB" w:rsidRPr="00A52585">
        <w:rPr>
          <w:rFonts w:hint="cs"/>
          <w:rtl/>
        </w:rPr>
        <w:t>يوم الحشر</w:t>
      </w:r>
      <w:r w:rsidRPr="00A52585">
        <w:rPr>
          <w:rFonts w:hint="cs"/>
          <w:rtl/>
        </w:rPr>
        <w:t>)</w:t>
      </w:r>
      <w:r w:rsidR="00777DCB" w:rsidRPr="00A52585">
        <w:rPr>
          <w:rFonts w:hint="cs"/>
          <w:rtl/>
        </w:rPr>
        <w:t xml:space="preserve"> قابضتان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البخاري في تفسير 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والأرض جميعاً قبضته يوم القيامة</w:t>
      </w:r>
      <w:r w:rsidR="00777DCB" w:rsidRPr="00A52585">
        <w:rPr>
          <w:rFonts w:hint="cs"/>
          <w:sz w:val="24"/>
          <w:szCs w:val="24"/>
          <w:rtl/>
        </w:rPr>
        <w:t>} [الزمر</w:t>
      </w:r>
      <w:r w:rsidRPr="00A52585">
        <w:rPr>
          <w:rFonts w:hint="cs"/>
          <w:sz w:val="24"/>
          <w:szCs w:val="24"/>
          <w:rtl/>
        </w:rPr>
        <w:t>:</w:t>
      </w:r>
      <w:r w:rsidR="00777DCB" w:rsidRPr="00A52585">
        <w:rPr>
          <w:rFonts w:hint="cs"/>
          <w:sz w:val="24"/>
          <w:szCs w:val="24"/>
          <w:rtl/>
        </w:rPr>
        <w:t>67] إن أبا هريرة قال سمعت رسول الله صلى الله عليه وسلم يقول</w:t>
      </w:r>
      <w:r w:rsidRPr="00A52585">
        <w:rPr>
          <w:rFonts w:hint="cs"/>
          <w:sz w:val="24"/>
          <w:szCs w:val="24"/>
          <w:rtl/>
        </w:rPr>
        <w:t>:</w:t>
      </w:r>
      <w:r w:rsidR="00777DCB" w:rsidRPr="00A52585">
        <w:rPr>
          <w:rFonts w:hint="cs"/>
          <w:sz w:val="24"/>
          <w:szCs w:val="24"/>
          <w:rtl/>
        </w:rPr>
        <w:t xml:space="preserve"> "يقبض الله الأرض ويطوي السماوات بيمينه ثم يقول</w:t>
      </w:r>
      <w:r w:rsidRPr="00A52585">
        <w:rPr>
          <w:rFonts w:hint="cs"/>
          <w:sz w:val="24"/>
          <w:szCs w:val="24"/>
          <w:rtl/>
        </w:rPr>
        <w:t>:</w:t>
      </w:r>
      <w:r w:rsidR="00777DCB" w:rsidRPr="00A52585">
        <w:rPr>
          <w:rFonts w:hint="cs"/>
          <w:sz w:val="24"/>
          <w:szCs w:val="24"/>
          <w:rtl/>
        </w:rPr>
        <w:t xml:space="preserve"> أنا الملك أين ملوك الأرض" اهـ، وهذا هو أصل الحديث، وهو مروي بأسانيد كثيرة جداً وهو الموافق لكتاب الله سبحانه، واليمين</w:t>
      </w:r>
      <w:r w:rsidRPr="00A52585">
        <w:rPr>
          <w:rFonts w:hint="cs"/>
          <w:sz w:val="24"/>
          <w:szCs w:val="24"/>
          <w:rtl/>
        </w:rPr>
        <w:t>:</w:t>
      </w:r>
      <w:r w:rsidR="00777DCB" w:rsidRPr="00A52585">
        <w:rPr>
          <w:rFonts w:hint="cs"/>
          <w:sz w:val="24"/>
          <w:szCs w:val="24"/>
          <w:rtl/>
        </w:rPr>
        <w:t xml:space="preserve"> القدرة كما هو مبسوط في أساس التقديس، وحاشا أن يكون قبض الله من قبيل احتواء الأنامل على شيء، وما زاد على ذلك في الروايات من أنه يأخذ السماوات بيده اليمنى ويأخذ الأرض بشماله</w:t>
      </w:r>
      <w:r w:rsidRPr="00A52585">
        <w:rPr>
          <w:rFonts w:hint="cs"/>
          <w:sz w:val="24"/>
          <w:szCs w:val="24"/>
          <w:rtl/>
        </w:rPr>
        <w:t xml:space="preserve"> </w:t>
      </w:r>
      <w:r w:rsidR="00777DCB" w:rsidRPr="00A52585">
        <w:rPr>
          <w:rFonts w:hint="cs"/>
          <w:sz w:val="24"/>
          <w:szCs w:val="24"/>
          <w:rtl/>
        </w:rPr>
        <w:t>- وحاشا أن يكون له شمال وكلتا يديه يمين -</w:t>
      </w:r>
      <w:r w:rsidRPr="00A52585">
        <w:rPr>
          <w:rFonts w:hint="cs"/>
          <w:sz w:val="24"/>
          <w:szCs w:val="24"/>
          <w:rtl/>
        </w:rPr>
        <w:t xml:space="preserve"> </w:t>
      </w:r>
      <w:r w:rsidR="00777DCB" w:rsidRPr="00A52585">
        <w:rPr>
          <w:rFonts w:hint="cs"/>
          <w:sz w:val="24"/>
          <w:szCs w:val="24"/>
          <w:rtl/>
        </w:rPr>
        <w:t>فمن تصرفات الرواة أثناء النقل بالمعنى كما لا يخفى على أهل هذه الصناعة المستحضرين لأحاديث الباب ومبلغ اضطرابها سنداً ومتناً</w:t>
      </w:r>
      <w:r w:rsidR="00DB731D" w:rsidRPr="00A52585">
        <w:rPr>
          <w:rFonts w:hint="cs"/>
          <w:sz w:val="24"/>
          <w:szCs w:val="24"/>
          <w:rtl/>
        </w:rPr>
        <w:t>،</w:t>
      </w:r>
      <w:r w:rsidR="00777DCB" w:rsidRPr="00A52585">
        <w:rPr>
          <w:rFonts w:hint="cs"/>
          <w:sz w:val="24"/>
          <w:szCs w:val="24"/>
          <w:rtl/>
        </w:rPr>
        <w:t xml:space="preserve"> وأما حديث الحبر اليهودي في وضع أجزاء الكون على إصبع, فضحك النبي صلى الله عليه وسلم فيه لا يدل على تصديق ذلك وإن ظنه بعض الرواة تصديقاً</w:t>
      </w:r>
      <w:r w:rsidRPr="00A52585">
        <w:rPr>
          <w:rFonts w:hint="cs"/>
          <w:sz w:val="24"/>
          <w:szCs w:val="24"/>
          <w:rtl/>
        </w:rPr>
        <w:t xml:space="preserve"> </w:t>
      </w:r>
      <w:r w:rsidR="00777DCB" w:rsidRPr="00A52585">
        <w:rPr>
          <w:rFonts w:hint="cs"/>
          <w:sz w:val="24"/>
          <w:szCs w:val="24"/>
          <w:rtl/>
        </w:rPr>
        <w:t>- في بعض الطرق -</w:t>
      </w:r>
      <w:r w:rsidRPr="00A52585">
        <w:rPr>
          <w:rFonts w:hint="cs"/>
          <w:sz w:val="24"/>
          <w:szCs w:val="24"/>
          <w:rtl/>
        </w:rPr>
        <w:t xml:space="preserve"> </w:t>
      </w:r>
      <w:r w:rsidR="00777DCB" w:rsidRPr="00A52585">
        <w:rPr>
          <w:rFonts w:hint="cs"/>
          <w:sz w:val="24"/>
          <w:szCs w:val="24"/>
          <w:rtl/>
        </w:rPr>
        <w:t>بل يدل على الإنكار والاستهجان. وقد برهن ابن الجوزي في دفع الشبه وابن حجر في الفتح على أن ذلك إنكار لا تصديق رغم توهم ابن خزيمة كونه تصديقاً لزيغ مشهور في معتقده، كما سيأتي بيانه، بل نـزول 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وما قدروا الله حق قدره والأرض جميعاً قبضته يوم القيامة</w:t>
      </w:r>
      <w:r w:rsidR="00777DCB" w:rsidRPr="00A52585">
        <w:rPr>
          <w:rFonts w:hint="cs"/>
          <w:sz w:val="24"/>
          <w:szCs w:val="24"/>
          <w:rtl/>
        </w:rPr>
        <w:t>} أي تحت تصرف مالك يوم الدين لا يجرى لأحد سواه حكم في ذلك اليوم {</w:t>
      </w:r>
      <w:r w:rsidR="00777DCB" w:rsidRPr="00A52585">
        <w:rPr>
          <w:rFonts w:hint="cs"/>
          <w:bCs/>
          <w:sz w:val="24"/>
          <w:szCs w:val="24"/>
          <w:rtl/>
        </w:rPr>
        <w:t>والسماوات مطويات بيمينه</w:t>
      </w:r>
      <w:r w:rsidR="00777DCB" w:rsidRPr="00A52585">
        <w:rPr>
          <w:rFonts w:hint="cs"/>
          <w:sz w:val="24"/>
          <w:szCs w:val="24"/>
          <w:rtl/>
        </w:rPr>
        <w:t>} أي بقدرته لا حساب على سكانها بخلاف أهل الأرض فإنهم محاسبون {</w:t>
      </w:r>
      <w:r w:rsidR="00777DCB" w:rsidRPr="00A52585">
        <w:rPr>
          <w:rFonts w:hint="cs"/>
          <w:bCs/>
          <w:sz w:val="24"/>
          <w:szCs w:val="24"/>
          <w:rtl/>
        </w:rPr>
        <w:t>سبحانه وتعالى عما يشركون</w:t>
      </w:r>
      <w:r w:rsidR="00777DCB" w:rsidRPr="00A52585">
        <w:rPr>
          <w:rFonts w:hint="cs"/>
          <w:sz w:val="24"/>
          <w:szCs w:val="24"/>
          <w:rtl/>
        </w:rPr>
        <w:t>} [الزمر</w:t>
      </w:r>
      <w:r w:rsidRPr="00A52585">
        <w:rPr>
          <w:rFonts w:hint="cs"/>
          <w:sz w:val="24"/>
          <w:szCs w:val="24"/>
          <w:rtl/>
        </w:rPr>
        <w:t>:</w:t>
      </w:r>
      <w:r w:rsidR="00777DCB" w:rsidRPr="00A52585">
        <w:rPr>
          <w:rFonts w:hint="cs"/>
          <w:sz w:val="24"/>
          <w:szCs w:val="24"/>
          <w:rtl/>
        </w:rPr>
        <w:t xml:space="preserve"> 67] عقب حديث حبر اليهود دليل واضح على الإنكار وعلى أن إثباتهم الأصابع الحسية بالوجه السابق إشراك. قال الله تعالى</w:t>
      </w:r>
      <w:r w:rsidRPr="00A52585">
        <w:rPr>
          <w:rFonts w:hint="cs"/>
          <w:sz w:val="24"/>
          <w:szCs w:val="24"/>
          <w:rtl/>
        </w:rPr>
        <w:t>:</w:t>
      </w:r>
      <w:r w:rsidR="00777DCB" w:rsidRPr="00A52585">
        <w:rPr>
          <w:rFonts w:hint="cs"/>
          <w:sz w:val="24"/>
          <w:szCs w:val="24"/>
          <w:rtl/>
        </w:rPr>
        <w:t>{</w:t>
      </w:r>
      <w:r w:rsidR="00777DCB" w:rsidRPr="00A52585">
        <w:rPr>
          <w:rFonts w:hint="cs"/>
          <w:bCs/>
          <w:sz w:val="24"/>
          <w:szCs w:val="24"/>
          <w:rtl/>
        </w:rPr>
        <w:t>إن الله يمسك السماوات والأرض أن تزولا</w:t>
      </w:r>
      <w:r w:rsidR="00777DCB" w:rsidRPr="00A52585">
        <w:rPr>
          <w:rFonts w:hint="cs"/>
          <w:sz w:val="24"/>
          <w:szCs w:val="24"/>
          <w:rtl/>
        </w:rPr>
        <w:t>} [فاطر</w:t>
      </w:r>
      <w:r w:rsidRPr="00A52585">
        <w:rPr>
          <w:rFonts w:hint="cs"/>
          <w:sz w:val="24"/>
          <w:szCs w:val="24"/>
          <w:rtl/>
        </w:rPr>
        <w:t>:</w:t>
      </w:r>
      <w:r w:rsidR="00777DCB" w:rsidRPr="00A52585">
        <w:rPr>
          <w:rFonts w:hint="cs"/>
          <w:sz w:val="24"/>
          <w:szCs w:val="24"/>
          <w:rtl/>
        </w:rPr>
        <w:t>41] فمن الذي يظن أن ذلك بالمماسة</w:t>
      </w:r>
      <w:r w:rsidR="00F95886" w:rsidRPr="00A52585">
        <w:rPr>
          <w:rFonts w:hint="cs"/>
          <w:sz w:val="24"/>
          <w:szCs w:val="24"/>
          <w:rtl/>
        </w:rPr>
        <w:t>!؟</w:t>
      </w:r>
      <w:r w:rsidR="00777DCB" w:rsidRPr="00A52585">
        <w:rPr>
          <w:rFonts w:hint="cs"/>
          <w:sz w:val="24"/>
          <w:szCs w:val="24"/>
          <w:rtl/>
        </w:rPr>
        <w:t xml:space="preserve"> وكذلك القبض، وإن هذى الشيخ محمد </w:t>
      </w:r>
      <w:proofErr w:type="spellStart"/>
      <w:r w:rsidR="00777DCB" w:rsidRPr="00A52585">
        <w:rPr>
          <w:rFonts w:hint="cs"/>
          <w:sz w:val="24"/>
          <w:szCs w:val="24"/>
          <w:rtl/>
        </w:rPr>
        <w:t>المنبجي</w:t>
      </w:r>
      <w:proofErr w:type="spellEnd"/>
      <w:r w:rsidR="00777DCB" w:rsidRPr="00A52585">
        <w:rPr>
          <w:rFonts w:hint="cs"/>
          <w:sz w:val="24"/>
          <w:szCs w:val="24"/>
          <w:rtl/>
        </w:rPr>
        <w:t xml:space="preserve"> الحنبلي تلميذ الناظم في جزء (إثبات المماسة) بما شاء من صنوف الهذيان، وكل ذلك من بلايا ابن تيمية حيث لفق الروايات في هذا الصدد وقال ما شاء أن يقوله في الأجوبة المصرية، وذكر ما ورد في بعض طرق الحديث وهو (</w:t>
      </w:r>
      <w:r w:rsidR="00777DCB" w:rsidRPr="00A52585">
        <w:rPr>
          <w:rFonts w:hint="cs"/>
          <w:bCs/>
          <w:sz w:val="24"/>
          <w:szCs w:val="24"/>
          <w:rtl/>
        </w:rPr>
        <w:t>وقبض كفيه فجعل يقبضهما ويبسطهما</w:t>
      </w:r>
      <w:r w:rsidR="00777DCB" w:rsidRPr="00A52585">
        <w:rPr>
          <w:rFonts w:hint="cs"/>
          <w:sz w:val="24"/>
          <w:szCs w:val="24"/>
          <w:rtl/>
        </w:rPr>
        <w:t>) ثم قال</w:t>
      </w:r>
      <w:r w:rsidRPr="00A52585">
        <w:rPr>
          <w:rFonts w:hint="cs"/>
          <w:sz w:val="24"/>
          <w:szCs w:val="24"/>
          <w:rtl/>
        </w:rPr>
        <w:t>:</w:t>
      </w:r>
      <w:r w:rsidR="00777DCB" w:rsidRPr="00A52585">
        <w:rPr>
          <w:rFonts w:hint="cs"/>
          <w:sz w:val="24"/>
          <w:szCs w:val="24"/>
          <w:rtl/>
        </w:rPr>
        <w:t xml:space="preserve"> "وهنا شبه القبض والبسط بقبضه وبسطه" اهـ.</w:t>
      </w:r>
      <w:r w:rsidR="00DB731D" w:rsidRPr="00A52585">
        <w:rPr>
          <w:rFonts w:hint="cs"/>
          <w:sz w:val="24"/>
          <w:szCs w:val="24"/>
          <w:rtl/>
        </w:rPr>
        <w:t>،</w:t>
      </w:r>
      <w:r w:rsidR="00777DCB" w:rsidRPr="00A52585">
        <w:rPr>
          <w:rFonts w:hint="cs"/>
          <w:sz w:val="24"/>
          <w:szCs w:val="24"/>
          <w:rtl/>
        </w:rPr>
        <w:t xml:space="preserve"> وهذا تشبيه صريح من ابن تيمية {</w:t>
      </w:r>
      <w:r w:rsidR="00777DCB" w:rsidRPr="00A52585">
        <w:rPr>
          <w:rFonts w:hint="cs"/>
          <w:bCs/>
          <w:sz w:val="24"/>
          <w:szCs w:val="24"/>
          <w:rtl/>
        </w:rPr>
        <w:t>أفمن يخلق كمن لا يخلق</w:t>
      </w:r>
      <w:r w:rsidR="00777DCB" w:rsidRPr="00A52585">
        <w:rPr>
          <w:rFonts w:hint="cs"/>
          <w:sz w:val="24"/>
          <w:szCs w:val="24"/>
          <w:rtl/>
        </w:rPr>
        <w:t>} [النحل</w:t>
      </w:r>
      <w:r w:rsidRPr="00A52585">
        <w:rPr>
          <w:rFonts w:hint="cs"/>
          <w:sz w:val="24"/>
          <w:szCs w:val="24"/>
          <w:rtl/>
        </w:rPr>
        <w:t>:</w:t>
      </w:r>
      <w:r w:rsidR="00777DCB" w:rsidRPr="00A52585">
        <w:rPr>
          <w:rFonts w:hint="cs"/>
          <w:sz w:val="24"/>
          <w:szCs w:val="24"/>
          <w:rtl/>
        </w:rPr>
        <w:t>17] ومغالطة مكشوفة، واللفظ المذكور لم يقع إلا في بعض الروايات، والاضطراب في الحديث سنداً ومتناً, زيادةً ونقصاً ظاهر جداً لمن اطلع على طرقه بحيث لا يصح الاستدلال به، ولا سيما في مثل هذا المطلب</w:t>
      </w:r>
      <w:r w:rsidR="00DB731D" w:rsidRPr="00A52585">
        <w:rPr>
          <w:rFonts w:hint="cs"/>
          <w:sz w:val="24"/>
          <w:szCs w:val="24"/>
          <w:rtl/>
        </w:rPr>
        <w:t>،</w:t>
      </w:r>
      <w:r w:rsidR="00777DCB" w:rsidRPr="00A52585">
        <w:rPr>
          <w:rFonts w:hint="cs"/>
          <w:sz w:val="24"/>
          <w:szCs w:val="24"/>
          <w:rtl/>
        </w:rPr>
        <w:t xml:space="preserve"> وعلى فرض ثبوت أن النبي صلى الله عليه وسلم قبض كفيه وبسطهما أثناء الخطبة لم ينسب إليه صلى الله عليه وسلم في حديث أنه قال</w:t>
      </w:r>
      <w:r w:rsidRPr="00A52585">
        <w:rPr>
          <w:rFonts w:hint="cs"/>
          <w:sz w:val="24"/>
          <w:szCs w:val="24"/>
          <w:rtl/>
        </w:rPr>
        <w:t>:</w:t>
      </w:r>
      <w:r w:rsidR="00777DCB" w:rsidRPr="00A52585">
        <w:rPr>
          <w:rFonts w:hint="cs"/>
          <w:sz w:val="24"/>
          <w:szCs w:val="24"/>
          <w:rtl/>
        </w:rPr>
        <w:t xml:space="preserve"> هكذا يقبض ويبسط حتى يصح كلام ابن تيمية، بل البسط غير موجود فيما يروى عما يفعله سبحانه عند قيام الساعة حتى يظن به صلى الله عليه وسلم إذا قبض كفيه وبسطهما أنه أراد تشبيههما بقبض الله وبسطه، على أن الخطيب كثيراً ما تصدر منه حركات وإشارات أثناء الخطبة، وحملها على معان لم ينطق هو بها تقويل للخطيب ما لم يقله</w:t>
      </w:r>
      <w:r w:rsidR="00DB731D" w:rsidRPr="00A52585">
        <w:rPr>
          <w:rFonts w:hint="cs"/>
          <w:sz w:val="24"/>
          <w:szCs w:val="24"/>
          <w:rtl/>
        </w:rPr>
        <w:t>،</w:t>
      </w:r>
      <w:r w:rsidR="00777DCB" w:rsidRPr="00A52585">
        <w:rPr>
          <w:rFonts w:hint="cs"/>
          <w:sz w:val="24"/>
          <w:szCs w:val="24"/>
          <w:rtl/>
        </w:rPr>
        <w:t xml:space="preserve"> ومن الظاهر جداً أن الأرض تحتوي على الأنجاس والأرجاس فكيف </w:t>
      </w:r>
      <w:r w:rsidR="00777DCB" w:rsidRPr="00A52585">
        <w:rPr>
          <w:rFonts w:hint="cs"/>
          <w:sz w:val="24"/>
          <w:szCs w:val="24"/>
          <w:rtl/>
        </w:rPr>
        <w:lastRenderedPageBreak/>
        <w:t>يتصور أن يكون قبض الله كقبض أحد من خلقه حقيقةً بحيث يستلزم ذلك القبضَ على الأخباث والأرواث</w:t>
      </w:r>
      <w:r w:rsidR="00F95886" w:rsidRPr="00A52585">
        <w:rPr>
          <w:rFonts w:hint="cs"/>
          <w:sz w:val="24"/>
          <w:szCs w:val="24"/>
          <w:rtl/>
        </w:rPr>
        <w:t>؟</w:t>
      </w:r>
      <w:r w:rsidR="00777DCB" w:rsidRPr="00A52585">
        <w:rPr>
          <w:rFonts w:hint="cs"/>
          <w:sz w:val="24"/>
          <w:szCs w:val="24"/>
          <w:rtl/>
        </w:rPr>
        <w:t xml:space="preserve"> تعالى الله عن ذلك</w:t>
      </w:r>
      <w:r w:rsidR="00DB731D" w:rsidRPr="00A52585">
        <w:rPr>
          <w:rFonts w:hint="cs"/>
          <w:sz w:val="24"/>
          <w:szCs w:val="24"/>
          <w:rtl/>
        </w:rPr>
        <w:t>،</w:t>
      </w:r>
      <w:r w:rsidR="00777DCB" w:rsidRPr="00A52585">
        <w:rPr>
          <w:rFonts w:hint="cs"/>
          <w:sz w:val="24"/>
          <w:szCs w:val="24"/>
          <w:rtl/>
        </w:rPr>
        <w:t xml:space="preserve"> وهذا مما لا يتصوره من يخاف مقام ربه ولو كان جاهلاً باستحالة الجسمية على الله سبحانه. ولا نتعرض هنا لرواية كاتب الليث في الخبر، ولعل فيما ذكرنا كفاية]</w:t>
      </w:r>
      <w:r w:rsidR="00777DCB" w:rsidRPr="00A52585">
        <w:rPr>
          <w:rFonts w:hint="cs"/>
          <w:rtl/>
        </w:rPr>
        <w:t xml:space="preserve"> وأن يمينه </w:t>
      </w:r>
      <w:proofErr w:type="spellStart"/>
      <w:r w:rsidR="00777DCB" w:rsidRPr="00A52585">
        <w:rPr>
          <w:rFonts w:hint="cs"/>
          <w:rtl/>
        </w:rPr>
        <w:t>ملأى</w:t>
      </w:r>
      <w:proofErr w:type="spellEnd"/>
      <w:r w:rsidR="00777DCB" w:rsidRPr="00A52585">
        <w:rPr>
          <w:rFonts w:hint="cs"/>
          <w:rtl/>
        </w:rPr>
        <w:t xml:space="preserve"> من الخير</w:t>
      </w:r>
      <w:r w:rsidR="00DB731D" w:rsidRPr="00A52585">
        <w:rPr>
          <w:rFonts w:hint="cs"/>
          <w:rtl/>
        </w:rPr>
        <w:t>،</w:t>
      </w:r>
      <w:r w:rsidR="00777DCB" w:rsidRPr="00A52585">
        <w:rPr>
          <w:rFonts w:hint="cs"/>
          <w:rtl/>
        </w:rPr>
        <w:t xml:space="preserve"> وأن العدل في الأخرى وأن الخلق طرا عنده يهتز فوق أصابع الرحمن وأن قلب العبد بين اثنتين من أصابعه</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الأصابع في كلام الحبر]</w:t>
      </w:r>
      <w:r w:rsidRPr="00A52585">
        <w:rPr>
          <w:rFonts w:hint="cs"/>
          <w:sz w:val="24"/>
          <w:szCs w:val="24"/>
          <w:rtl/>
        </w:rPr>
        <w:t>:</w:t>
      </w:r>
      <w:r w:rsidR="00777DCB" w:rsidRPr="00A52585">
        <w:rPr>
          <w:rFonts w:hint="cs"/>
          <w:sz w:val="24"/>
          <w:szCs w:val="24"/>
          <w:rtl/>
        </w:rPr>
        <w:t xml:space="preserve"> لم يرد في حديث وضع السماوات على أصبع إضافة الأصابع إلى الرحمن أصلاً، وهذا كذب وتصرف في الحديث بالتحريف والتغيير</w:t>
      </w:r>
      <w:r w:rsidR="00DB731D" w:rsidRPr="00A52585">
        <w:rPr>
          <w:rFonts w:hint="cs"/>
          <w:sz w:val="24"/>
          <w:szCs w:val="24"/>
          <w:rtl/>
        </w:rPr>
        <w:t>،</w:t>
      </w:r>
      <w:r w:rsidR="00777DCB" w:rsidRPr="00A52585">
        <w:rPr>
          <w:rFonts w:hint="cs"/>
          <w:sz w:val="24"/>
          <w:szCs w:val="24"/>
          <w:rtl/>
        </w:rPr>
        <w:t xml:space="preserve"> قال القاضي أبو بكر بن العربي في القواصم والعواصم</w:t>
      </w:r>
      <w:r w:rsidRPr="00A52585">
        <w:rPr>
          <w:rFonts w:hint="cs"/>
          <w:sz w:val="24"/>
          <w:szCs w:val="24"/>
          <w:rtl/>
        </w:rPr>
        <w:t>:</w:t>
      </w:r>
      <w:r w:rsidR="00777DCB" w:rsidRPr="00A52585">
        <w:rPr>
          <w:rFonts w:hint="cs"/>
          <w:sz w:val="24"/>
          <w:szCs w:val="24"/>
          <w:rtl/>
        </w:rPr>
        <w:t xml:space="preserve"> وأما ذكر الأصابع فصحيح، ولكن لم ترد مضافة إليه تعالى وإنما ورد أنه يضع السماوات على أصبع والأرضين على أصبع ثم يهزهن.. الحديث، ومن أين لهم أن أصابع الوضع المطلقة هي أصابع التقليب المضافة إليه</w:t>
      </w:r>
      <w:r w:rsidR="00F95886" w:rsidRPr="00A52585">
        <w:rPr>
          <w:rFonts w:hint="cs"/>
          <w:sz w:val="24"/>
          <w:szCs w:val="24"/>
          <w:rtl/>
        </w:rPr>
        <w:t>؟</w:t>
      </w:r>
      <w:r w:rsidR="00777DCB" w:rsidRPr="00A52585">
        <w:rPr>
          <w:rFonts w:hint="cs"/>
          <w:sz w:val="24"/>
          <w:szCs w:val="24"/>
          <w:rtl/>
        </w:rPr>
        <w:t xml:space="preserve"> اهـ</w:t>
      </w:r>
      <w:r w:rsidR="00DB731D" w:rsidRPr="00A52585">
        <w:rPr>
          <w:rFonts w:hint="cs"/>
          <w:sz w:val="24"/>
          <w:szCs w:val="24"/>
          <w:rtl/>
        </w:rPr>
        <w:t>،</w:t>
      </w:r>
      <w:r w:rsidR="00777DCB" w:rsidRPr="00A52585">
        <w:rPr>
          <w:rFonts w:hint="cs"/>
          <w:sz w:val="24"/>
          <w:szCs w:val="24"/>
          <w:rtl/>
        </w:rPr>
        <w:t xml:space="preserve"> على أن قول النبي صلى الله عليه وسلم بعد أن قال الحبر ذلك {</w:t>
      </w:r>
      <w:r w:rsidR="00777DCB" w:rsidRPr="00A52585">
        <w:rPr>
          <w:rFonts w:hint="cs"/>
          <w:bCs/>
          <w:sz w:val="24"/>
          <w:szCs w:val="24"/>
          <w:rtl/>
        </w:rPr>
        <w:t>وما قدروا الله حق قدره</w:t>
      </w:r>
      <w:r w:rsidR="00777DCB" w:rsidRPr="00A52585">
        <w:rPr>
          <w:rFonts w:hint="cs"/>
          <w:sz w:val="24"/>
          <w:szCs w:val="24"/>
          <w:rtl/>
        </w:rPr>
        <w:t>} يدل على إنكار ما قاله الحبر كما قال ابن حجر في شرح البخاري رداً على ابن خزيمة</w:t>
      </w:r>
      <w:r w:rsidRPr="00A52585">
        <w:rPr>
          <w:rFonts w:hint="cs"/>
          <w:sz w:val="24"/>
          <w:szCs w:val="24"/>
          <w:rtl/>
        </w:rPr>
        <w:t xml:space="preserve"> </w:t>
      </w:r>
      <w:r w:rsidR="00777DCB" w:rsidRPr="00A52585">
        <w:rPr>
          <w:rFonts w:hint="cs"/>
          <w:sz w:val="24"/>
          <w:szCs w:val="24"/>
          <w:rtl/>
        </w:rPr>
        <w:t xml:space="preserve">- وتوحيد ابن خزيمة من أهيف الكتب، راجع تفسير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w:t>
      </w:r>
      <w:r w:rsidR="00777DCB" w:rsidRPr="00A52585">
        <w:rPr>
          <w:rFonts w:hint="cs"/>
          <w:sz w:val="24"/>
          <w:szCs w:val="24"/>
          <w:rtl/>
        </w:rPr>
        <w:t xml:space="preserve"> [الشورى</w:t>
      </w:r>
      <w:r w:rsidRPr="00A52585">
        <w:rPr>
          <w:rFonts w:hint="cs"/>
          <w:sz w:val="24"/>
          <w:szCs w:val="24"/>
          <w:rtl/>
        </w:rPr>
        <w:t>:</w:t>
      </w:r>
      <w:r w:rsidR="00777DCB" w:rsidRPr="00A52585">
        <w:rPr>
          <w:rFonts w:hint="cs"/>
          <w:sz w:val="24"/>
          <w:szCs w:val="24"/>
          <w:rtl/>
        </w:rPr>
        <w:t>11] من تفسير الفخر الرازي -</w:t>
      </w:r>
      <w:r w:rsidR="00DB731D" w:rsidRPr="00A52585">
        <w:rPr>
          <w:rFonts w:hint="cs"/>
          <w:sz w:val="24"/>
          <w:szCs w:val="24"/>
          <w:rtl/>
        </w:rPr>
        <w:t>،</w:t>
      </w:r>
      <w:r w:rsidR="00777DCB" w:rsidRPr="00A52585">
        <w:rPr>
          <w:rFonts w:hint="cs"/>
          <w:sz w:val="24"/>
          <w:szCs w:val="24"/>
          <w:rtl/>
        </w:rPr>
        <w:t xml:space="preserve"> وما أخرجه الضياء الحنبلي من حديث الخنصر فباطل بالمرة، وفيه من العلل ما بيِّن في موضعه</w:t>
      </w:r>
      <w:r w:rsidR="00DB731D" w:rsidRPr="00A52585">
        <w:rPr>
          <w:rFonts w:hint="cs"/>
          <w:sz w:val="24"/>
          <w:szCs w:val="24"/>
          <w:rtl/>
        </w:rPr>
        <w:t>،</w:t>
      </w:r>
      <w:r w:rsidR="00777DCB" w:rsidRPr="00A52585">
        <w:rPr>
          <w:rFonts w:hint="cs"/>
          <w:sz w:val="24"/>
          <w:szCs w:val="24"/>
          <w:rtl/>
        </w:rPr>
        <w:t xml:space="preserve"> وليس في حديث الترمذي رفع حديث طرف الإبهام إلى الرسول صلى الله عليه وسلم على انفراد حماد بن سلمة به، بل نسبة ذلك إلى سليمان بن حرب أو حماد، قال ابن العربي</w:t>
      </w:r>
      <w:r w:rsidRPr="00A52585">
        <w:rPr>
          <w:rFonts w:hint="cs"/>
          <w:sz w:val="24"/>
          <w:szCs w:val="24"/>
          <w:rtl/>
        </w:rPr>
        <w:t>:</w:t>
      </w:r>
      <w:r w:rsidR="00777DCB" w:rsidRPr="00A52585">
        <w:rPr>
          <w:rFonts w:hint="cs"/>
          <w:sz w:val="24"/>
          <w:szCs w:val="24"/>
          <w:rtl/>
        </w:rPr>
        <w:t xml:space="preserve"> وتمثيل سليمان بن حرب وأمثاله ما تجلى للجبل بالأنملة لا ينظر إليه لأنه كلام غير معصوم ولا واجب الاتباع؛ فالأمر هين والمخرج عنه سهل بيّن اهـ</w:t>
      </w:r>
      <w:r w:rsidR="00DB731D" w:rsidRPr="00A52585">
        <w:rPr>
          <w:rFonts w:hint="cs"/>
          <w:sz w:val="24"/>
          <w:szCs w:val="24"/>
          <w:rtl/>
        </w:rPr>
        <w:t>،</w:t>
      </w:r>
      <w:r w:rsidR="00777DCB" w:rsidRPr="00A52585">
        <w:rPr>
          <w:rFonts w:hint="cs"/>
          <w:sz w:val="24"/>
          <w:szCs w:val="24"/>
          <w:rtl/>
        </w:rPr>
        <w:t xml:space="preserve"> فيا سبحان الله ما أجهل هذا الناظم بلسان قومه</w:t>
      </w:r>
      <w:r w:rsidR="00F95886" w:rsidRPr="00A52585">
        <w:rPr>
          <w:rFonts w:hint="cs"/>
          <w:sz w:val="24"/>
          <w:szCs w:val="24"/>
          <w:rtl/>
        </w:rPr>
        <w:t>!</w:t>
      </w:r>
      <w:r w:rsidR="00777DCB" w:rsidRPr="00A52585">
        <w:rPr>
          <w:rFonts w:hint="cs"/>
          <w:sz w:val="24"/>
          <w:szCs w:val="24"/>
          <w:rtl/>
        </w:rPr>
        <w:t xml:space="preserve">! كيف يفهم من اليد معنى الجارحة ومن الضحك إبداء </w:t>
      </w:r>
      <w:proofErr w:type="spellStart"/>
      <w:r w:rsidR="00777DCB" w:rsidRPr="00A52585">
        <w:rPr>
          <w:rFonts w:hint="cs"/>
          <w:sz w:val="24"/>
          <w:szCs w:val="24"/>
          <w:rtl/>
        </w:rPr>
        <w:t>التواجذ</w:t>
      </w:r>
      <w:proofErr w:type="spellEnd"/>
      <w:r w:rsidR="00777DCB" w:rsidRPr="00A52585">
        <w:rPr>
          <w:rFonts w:hint="cs"/>
          <w:sz w:val="24"/>
          <w:szCs w:val="24"/>
          <w:rtl/>
        </w:rPr>
        <w:t>، راجع القواصم لابن العربي، ودفع الشبه لابن الجوزي، والأسماء والصفات للبيهقي</w:t>
      </w:r>
      <w:r w:rsidR="00DB731D" w:rsidRPr="00A52585">
        <w:rPr>
          <w:rFonts w:hint="cs"/>
          <w:sz w:val="24"/>
          <w:szCs w:val="24"/>
          <w:rtl/>
        </w:rPr>
        <w:t>،</w:t>
      </w:r>
      <w:r w:rsidR="00777DCB" w:rsidRPr="00A52585">
        <w:rPr>
          <w:rFonts w:hint="cs"/>
          <w:sz w:val="24"/>
          <w:szCs w:val="24"/>
          <w:rtl/>
        </w:rPr>
        <w:t xml:space="preserve"> وقد روى القاضي أبو بكر بن العربي في العارضة والقاضي عياض في الشفاء عن الإمام مالك بن أنس رضي الله عنه أنه كان يرى قطع يد من أشار بيده إلى عضو من أعضائه عند ذكر شيء</w:t>
      </w:r>
      <w:r w:rsidRPr="00A52585">
        <w:rPr>
          <w:rFonts w:hint="cs"/>
          <w:sz w:val="24"/>
          <w:szCs w:val="24"/>
          <w:rtl/>
        </w:rPr>
        <w:t xml:space="preserve"> </w:t>
      </w:r>
      <w:r w:rsidR="00777DCB" w:rsidRPr="00A52585">
        <w:rPr>
          <w:rFonts w:hint="cs"/>
          <w:sz w:val="24"/>
          <w:szCs w:val="24"/>
          <w:rtl/>
        </w:rPr>
        <w:t>ورد في الله سبحانه، حيث إن الإشارة إلى عضو عند ذاك تشبيه، تعالى الله عن ذلك</w:t>
      </w:r>
      <w:r w:rsidR="00DB731D" w:rsidRPr="00A52585">
        <w:rPr>
          <w:rFonts w:hint="cs"/>
          <w:sz w:val="24"/>
          <w:szCs w:val="24"/>
          <w:rtl/>
        </w:rPr>
        <w:t>،</w:t>
      </w:r>
      <w:r w:rsidR="00777DCB" w:rsidRPr="00A52585">
        <w:rPr>
          <w:rFonts w:hint="cs"/>
          <w:sz w:val="24"/>
          <w:szCs w:val="24"/>
          <w:rtl/>
        </w:rPr>
        <w:t xml:space="preserve"> وأما ما وقع في صحيح مسلم من حديث القبض باليمين والشمال فلم يخرجه البخاري لاضطراب عبد العزيز بن سلمة في سنده؛ لأنه يرويه مرة عن أبيه عن ابن مقسم عن ابن عمر كما وقع في رواية سعيد بن منصور، وأخرى عن أبيه عن عبيد بن عمير عن ابن عمر، كما في رواية </w:t>
      </w:r>
      <w:proofErr w:type="spellStart"/>
      <w:r w:rsidR="00777DCB" w:rsidRPr="00A52585">
        <w:rPr>
          <w:rFonts w:hint="cs"/>
          <w:sz w:val="24"/>
          <w:szCs w:val="24"/>
          <w:rtl/>
        </w:rPr>
        <w:t>القعنبي</w:t>
      </w:r>
      <w:proofErr w:type="spellEnd"/>
      <w:r w:rsidR="00777DCB" w:rsidRPr="00A52585">
        <w:rPr>
          <w:rFonts w:hint="cs"/>
          <w:sz w:val="24"/>
          <w:szCs w:val="24"/>
          <w:rtl/>
        </w:rPr>
        <w:t>، وتارة أخرى عن أبيه عن عبيد بن عمير عن عبد الله ابن عمرو بن العاص كما في رواية يحيى بن بكير، فدلت تلك الأسانيد المختلفة على أن عبد العزيز لم يضبط السند كما يجب</w:t>
      </w:r>
      <w:r w:rsidR="00DB731D" w:rsidRPr="00A52585">
        <w:rPr>
          <w:rFonts w:hint="cs"/>
          <w:sz w:val="24"/>
          <w:szCs w:val="24"/>
          <w:rtl/>
        </w:rPr>
        <w:t>،</w:t>
      </w:r>
      <w:r w:rsidR="00777DCB" w:rsidRPr="00A52585">
        <w:rPr>
          <w:rFonts w:hint="cs"/>
          <w:sz w:val="24"/>
          <w:szCs w:val="24"/>
          <w:rtl/>
        </w:rPr>
        <w:t xml:space="preserve"> وحال المتن توازي حال السند</w:t>
      </w:r>
      <w:r w:rsidR="00DB731D" w:rsidRPr="00A52585">
        <w:rPr>
          <w:rFonts w:hint="cs"/>
          <w:sz w:val="24"/>
          <w:szCs w:val="24"/>
          <w:rtl/>
        </w:rPr>
        <w:t>،</w:t>
      </w:r>
      <w:r w:rsidR="00777DCB" w:rsidRPr="00A52585">
        <w:rPr>
          <w:rFonts w:hint="cs"/>
          <w:sz w:val="24"/>
          <w:szCs w:val="24"/>
          <w:rtl/>
        </w:rPr>
        <w:t xml:space="preserve"> ومسلم حيث ترجح عنده روايته بطريق ابن مقسم بالنظر إلى متابعة يعقوب بن عبد الرحمن القاري لعبد العزيز في روايته عن سلمة عن ابن مقسم خرَّجه في صحيحه، لكن ما يحتاج إلى متابع يكون منحط الرتبة في الصحة؛ بل من أحاط بأسانيد هذا الخبر في توحيد ابن خزيمة وحلية أبي نعيم يعده مضطرب السند والمتن معاً</w:t>
      </w:r>
      <w:r w:rsidR="00DB731D" w:rsidRPr="00A52585">
        <w:rPr>
          <w:rFonts w:hint="cs"/>
          <w:sz w:val="24"/>
          <w:szCs w:val="24"/>
          <w:rtl/>
        </w:rPr>
        <w:t>،</w:t>
      </w:r>
      <w:r w:rsidR="00777DCB" w:rsidRPr="00A52585">
        <w:rPr>
          <w:rFonts w:hint="cs"/>
          <w:sz w:val="24"/>
          <w:szCs w:val="24"/>
          <w:rtl/>
        </w:rPr>
        <w:t xml:space="preserve"> على أن ما يقع في المنبر أمام الجمهور تتوفر فيه الدواعي إلى روايته فكيف ينفرد برواية مثله راو واحد</w:t>
      </w:r>
      <w:r w:rsidR="00F95886" w:rsidRPr="00A52585">
        <w:rPr>
          <w:rFonts w:hint="cs"/>
          <w:sz w:val="24"/>
          <w:szCs w:val="24"/>
          <w:rtl/>
        </w:rPr>
        <w:t>؟</w:t>
      </w:r>
      <w:r w:rsidR="00777DCB" w:rsidRPr="00A52585">
        <w:rPr>
          <w:rFonts w:hint="cs"/>
          <w:sz w:val="24"/>
          <w:szCs w:val="24"/>
          <w:rtl/>
        </w:rPr>
        <w:t>! وإن صح الاحتجاج بمثل ذلك فإنما يصح عند</w:t>
      </w:r>
      <w:r w:rsidRPr="00A52585">
        <w:rPr>
          <w:rFonts w:hint="cs"/>
          <w:sz w:val="24"/>
          <w:szCs w:val="24"/>
          <w:rtl/>
        </w:rPr>
        <w:t xml:space="preserve"> </w:t>
      </w:r>
      <w:r w:rsidR="00777DCB" w:rsidRPr="00A52585">
        <w:rPr>
          <w:rFonts w:hint="cs"/>
          <w:sz w:val="24"/>
          <w:szCs w:val="24"/>
          <w:rtl/>
        </w:rPr>
        <w:t>- عدم المعارض -</w:t>
      </w:r>
      <w:r w:rsidRPr="00A52585">
        <w:rPr>
          <w:rFonts w:hint="cs"/>
          <w:sz w:val="24"/>
          <w:szCs w:val="24"/>
          <w:rtl/>
        </w:rPr>
        <w:t xml:space="preserve"> </w:t>
      </w:r>
      <w:r w:rsidR="00777DCB" w:rsidRPr="00A52585">
        <w:rPr>
          <w:rFonts w:hint="cs"/>
          <w:sz w:val="24"/>
          <w:szCs w:val="24"/>
          <w:rtl/>
        </w:rPr>
        <w:t>في الأعمال فقط دون الاعتقاد</w:t>
      </w:r>
      <w:r w:rsidR="00DB731D" w:rsidRPr="00A52585">
        <w:rPr>
          <w:rFonts w:hint="cs"/>
          <w:sz w:val="24"/>
          <w:szCs w:val="24"/>
          <w:rtl/>
        </w:rPr>
        <w:t>،</w:t>
      </w:r>
      <w:r w:rsidR="00777DCB" w:rsidRPr="00A52585">
        <w:rPr>
          <w:rFonts w:hint="cs"/>
          <w:sz w:val="24"/>
          <w:szCs w:val="24"/>
          <w:rtl/>
        </w:rPr>
        <w:t xml:space="preserve"> على أن تلاوته صلى الله عليه وسلم قوله تعالى </w:t>
      </w:r>
      <w:r w:rsidRPr="00A52585">
        <w:rPr>
          <w:rFonts w:hint="cs"/>
          <w:sz w:val="24"/>
          <w:szCs w:val="24"/>
          <w:rtl/>
        </w:rPr>
        <w:t>{</w:t>
      </w:r>
      <w:r w:rsidR="00777DCB" w:rsidRPr="00A52585">
        <w:rPr>
          <w:rFonts w:hint="cs"/>
          <w:sz w:val="24"/>
          <w:szCs w:val="24"/>
          <w:rtl/>
        </w:rPr>
        <w:t>وما قدروا الله حق قدره</w:t>
      </w:r>
      <w:r w:rsidRPr="00A52585">
        <w:rPr>
          <w:rFonts w:hint="cs"/>
          <w:sz w:val="24"/>
          <w:szCs w:val="24"/>
          <w:rtl/>
        </w:rPr>
        <w:t>}</w:t>
      </w:r>
      <w:r w:rsidR="00777DCB" w:rsidRPr="00A52585">
        <w:rPr>
          <w:rFonts w:hint="cs"/>
          <w:sz w:val="24"/>
          <w:szCs w:val="24"/>
          <w:rtl/>
        </w:rPr>
        <w:t xml:space="preserve"> عند ذكر حديث الحبر في الصحيح تعارضه إذا لم يحمل خبر مسلم على المجاز، فيوجد بين أهل العلم من لا يستدل بمثله في الأعمال فضلاً عن الاعتقاد، ومع هذا كله لا يحتج بما دون المشهور من </w:t>
      </w:r>
      <w:r w:rsidR="00777DCB" w:rsidRPr="00A52585">
        <w:rPr>
          <w:rFonts w:hint="cs"/>
          <w:sz w:val="24"/>
          <w:szCs w:val="24"/>
          <w:rtl/>
        </w:rPr>
        <w:lastRenderedPageBreak/>
        <w:t>الأحاديث في ذات الله وصفاته عند جمهور أهل الحق؛ فكيف يحتج بذلك الحديث في باب الاعتقاد وقد بينا بعض ما فيه</w:t>
      </w:r>
      <w:r w:rsidR="00F95886" w:rsidRPr="00A52585">
        <w:rPr>
          <w:rFonts w:hint="cs"/>
          <w:sz w:val="24"/>
          <w:szCs w:val="24"/>
          <w:rtl/>
        </w:rPr>
        <w:t>؟</w:t>
      </w:r>
      <w:r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777DCB" w:rsidRPr="00A52585">
        <w:rPr>
          <w:rFonts w:hint="cs"/>
          <w:rtl/>
        </w:rPr>
        <w:t>وأنه يضحك عند تقابل الصفين من عبده أتي فيبدي نحره لعدوه</w:t>
      </w:r>
      <w:r w:rsidR="00DB731D" w:rsidRPr="00A52585">
        <w:rPr>
          <w:rFonts w:hint="cs"/>
          <w:rtl/>
        </w:rPr>
        <w:t>،</w:t>
      </w:r>
      <w:r w:rsidR="00777DCB" w:rsidRPr="00A52585">
        <w:rPr>
          <w:rFonts w:hint="cs"/>
          <w:rtl/>
        </w:rPr>
        <w:t xml:space="preserve"> ويضحك عندما يثب الفتى من فرشه لقراءة القرآن</w:t>
      </w:r>
      <w:r w:rsidR="00DB731D" w:rsidRPr="00A52585">
        <w:rPr>
          <w:rFonts w:hint="cs"/>
          <w:rtl/>
        </w:rPr>
        <w:t>،</w:t>
      </w:r>
      <w:r w:rsidR="00777DCB" w:rsidRPr="00A52585">
        <w:rPr>
          <w:rFonts w:hint="cs"/>
          <w:rtl/>
        </w:rPr>
        <w:t xml:space="preserve"> ومن قنوط عباده إذا جدبوا</w:t>
      </w:r>
      <w:r w:rsidR="00DB731D" w:rsidRPr="00A52585">
        <w:rPr>
          <w:rFonts w:hint="cs"/>
          <w:rtl/>
        </w:rPr>
        <w:t>،</w:t>
      </w:r>
      <w:r w:rsidR="00777DCB" w:rsidRPr="00A52585">
        <w:rPr>
          <w:rFonts w:hint="cs"/>
          <w:rtl/>
        </w:rPr>
        <w:t xml:space="preserve"> وأنه يرضى ويغضب</w:t>
      </w:r>
      <w:r w:rsidR="00DB731D" w:rsidRPr="00A52585">
        <w:rPr>
          <w:rFonts w:hint="cs"/>
          <w:rtl/>
        </w:rPr>
        <w:t>،</w:t>
      </w:r>
      <w:r w:rsidR="00777DCB" w:rsidRPr="00A52585">
        <w:rPr>
          <w:rFonts w:hint="cs"/>
          <w:rtl/>
        </w:rPr>
        <w:t xml:space="preserve"> وأنه يُسمع صوته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وحديث جابر المعلَّق في صحيح البخاري مع ضعفه في سياق ما بعده من حديث أبي سعيد ما يدل على أن المنادي غير الله حيث يقول</w:t>
      </w:r>
      <w:r w:rsidRPr="00A52585">
        <w:rPr>
          <w:rFonts w:hint="cs"/>
          <w:sz w:val="24"/>
          <w:szCs w:val="24"/>
          <w:rtl/>
        </w:rPr>
        <w:t>:</w:t>
      </w:r>
      <w:r w:rsidR="00777DCB" w:rsidRPr="00A52585">
        <w:rPr>
          <w:rFonts w:hint="cs"/>
          <w:sz w:val="24"/>
          <w:szCs w:val="24"/>
          <w:rtl/>
        </w:rPr>
        <w:t xml:space="preserve"> (… فينادى بصوت إن الله يأمرك..) فيكون الإسناد مجازياً. على أن الناظم ساق في حادي الأرواح بطريق الدارقطني حديثاً فيه (يبعث الله يوم القيامة منادياً بصوت…) وهذا نص من النبي صلى الله عليه وسلم على أن الإسناد في الحديث السابق مجازي، وهكذا يخرب الناظم بيته بيده وبأيدي المسلمين</w:t>
      </w:r>
      <w:r w:rsidR="00DB731D" w:rsidRPr="00A52585">
        <w:rPr>
          <w:rFonts w:hint="cs"/>
          <w:sz w:val="24"/>
          <w:szCs w:val="24"/>
          <w:rtl/>
        </w:rPr>
        <w:t>،</w:t>
      </w:r>
      <w:r w:rsidR="00777DCB" w:rsidRPr="00A52585">
        <w:rPr>
          <w:rFonts w:hint="cs"/>
          <w:sz w:val="24"/>
          <w:szCs w:val="24"/>
          <w:rtl/>
        </w:rPr>
        <w:t xml:space="preserve"> وللحافظ أبي الحسن المقدسي جزء في تبيين وجوه الضعف في أحاديث الصوت فليراجع ثمت]</w:t>
      </w:r>
      <w:r w:rsidR="00777DCB" w:rsidRPr="00A52585">
        <w:rPr>
          <w:rFonts w:hint="cs"/>
          <w:rtl/>
        </w:rPr>
        <w:t xml:space="preserve"> ويشرق نوره يوم الفصل ويكشف ساقه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وفي القرآن {يوم يكشف عن ساق} [القلم</w:t>
      </w:r>
      <w:r w:rsidRPr="00A52585">
        <w:rPr>
          <w:rFonts w:hint="cs"/>
          <w:sz w:val="24"/>
          <w:szCs w:val="24"/>
          <w:rtl/>
        </w:rPr>
        <w:t>:</w:t>
      </w:r>
      <w:r w:rsidR="00777DCB" w:rsidRPr="00A52585">
        <w:rPr>
          <w:rFonts w:hint="cs"/>
          <w:sz w:val="24"/>
          <w:szCs w:val="24"/>
          <w:rtl/>
        </w:rPr>
        <w:t xml:space="preserve"> 42] بدون ضمير، وذلك استعارة عن الشدة كما ذكره الفرَّاء وابن قتيبة وابن الجوزي</w:t>
      </w:r>
      <w:r w:rsidR="00DB731D" w:rsidRPr="00A52585">
        <w:rPr>
          <w:rFonts w:hint="cs"/>
          <w:sz w:val="24"/>
          <w:szCs w:val="24"/>
          <w:rtl/>
        </w:rPr>
        <w:t>،</w:t>
      </w:r>
      <w:r w:rsidR="00777DCB" w:rsidRPr="00A52585">
        <w:rPr>
          <w:rFonts w:hint="cs"/>
          <w:sz w:val="24"/>
          <w:szCs w:val="24"/>
          <w:rtl/>
        </w:rPr>
        <w:t xml:space="preserve"> وذكر الإسماعيلي في مستخرجه أن رواية حفص بن ميسرة (يكشف ربنا عن ساق) بدون ضمير وروايته بالضمير منكرة، راجع ما كتبناه على دفع الشبه لابن الجوزي</w:t>
      </w:r>
      <w:r w:rsidR="00DB731D" w:rsidRPr="00A52585">
        <w:rPr>
          <w:rFonts w:hint="cs"/>
          <w:sz w:val="24"/>
          <w:szCs w:val="24"/>
          <w:rtl/>
        </w:rPr>
        <w:t>،</w:t>
      </w:r>
      <w:r w:rsidR="00777DCB" w:rsidRPr="00A52585">
        <w:rPr>
          <w:rFonts w:hint="cs"/>
          <w:sz w:val="24"/>
          <w:szCs w:val="24"/>
          <w:rtl/>
        </w:rPr>
        <w:t xml:space="preserve"> ومن عادة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حمل المجاز المشهور على الحقيقة باختلاق رواية حول ذلك وإلقائها على ألسنة الرواة، وتصرفات المجسمة هنا من هذا القبيل</w:t>
      </w:r>
      <w:r w:rsidR="00DB731D" w:rsidRPr="00A52585">
        <w:rPr>
          <w:rFonts w:hint="cs"/>
          <w:sz w:val="24"/>
          <w:szCs w:val="24"/>
          <w:rtl/>
        </w:rPr>
        <w:t>،</w:t>
      </w:r>
      <w:r w:rsidR="00777DCB" w:rsidRPr="00A52585">
        <w:rPr>
          <w:rFonts w:hint="cs"/>
          <w:sz w:val="24"/>
          <w:szCs w:val="24"/>
          <w:rtl/>
        </w:rPr>
        <w:t xml:space="preserve"> وإني أنقل للقارئ بليةً من بلايا المجسمة تُفهمه إلى أي حد يصل جنون هؤلاء، وقد رأينا في بعض كتب روافضهم أن فاطمة رضي الله عنها تحمل قميص حسين عليه السلام في يوم القيامة وتقول لله سبحانه وهو جالس على عرشه</w:t>
      </w:r>
      <w:r w:rsidRPr="00A52585">
        <w:rPr>
          <w:rFonts w:hint="cs"/>
          <w:sz w:val="24"/>
          <w:szCs w:val="24"/>
          <w:rtl/>
        </w:rPr>
        <w:t>:</w:t>
      </w:r>
      <w:r w:rsidR="00777DCB" w:rsidRPr="00A52585">
        <w:rPr>
          <w:rFonts w:hint="cs"/>
          <w:sz w:val="24"/>
          <w:szCs w:val="24"/>
          <w:rtl/>
        </w:rPr>
        <w:t xml:space="preserve"> هذا ما فعلته الأمة بابني سبط الرسول صلى الله عليه وسلم، ويكشف الله سبحانه إذ ذاك عن ساقه فإذا هي مربوطة برباط ويقول ماذا أنا فاعل إزاء هذا وهم قد فعلوا بي ما ترونه</w:t>
      </w:r>
      <w:r w:rsidR="00F95886" w:rsidRPr="00A52585">
        <w:rPr>
          <w:rFonts w:hint="cs"/>
          <w:sz w:val="24"/>
          <w:szCs w:val="24"/>
          <w:rtl/>
        </w:rPr>
        <w:t>؟</w:t>
      </w:r>
      <w:r w:rsidR="00777DCB" w:rsidRPr="00A52585">
        <w:rPr>
          <w:rFonts w:hint="cs"/>
          <w:sz w:val="24"/>
          <w:szCs w:val="24"/>
          <w:rtl/>
        </w:rPr>
        <w:t xml:space="preserve"> ويعللون هذا بما فعله </w:t>
      </w:r>
      <w:proofErr w:type="spellStart"/>
      <w:r w:rsidR="00777DCB" w:rsidRPr="00A52585">
        <w:rPr>
          <w:rFonts w:hint="cs"/>
          <w:sz w:val="24"/>
          <w:szCs w:val="24"/>
          <w:rtl/>
        </w:rPr>
        <w:t>نمروذ</w:t>
      </w:r>
      <w:proofErr w:type="spellEnd"/>
      <w:r w:rsidR="00777DCB" w:rsidRPr="00A52585">
        <w:rPr>
          <w:rFonts w:hint="cs"/>
          <w:sz w:val="24"/>
          <w:szCs w:val="24"/>
          <w:rtl/>
        </w:rPr>
        <w:t xml:space="preserve"> من توجيهه الرمي إلى السماء ليقتل إله إبراهيم عليه السلام فاهمين أن سهمه أصاب ساق الله فبقيت مربوطة من أثر الجرح في ذلك اليوم!! فهل رأى القارئ كفراً أشنع من هذا وأبعد من هيبة الرب سبحانه وتقديره حق قدره وأدل على ذهاب العقول</w:t>
      </w:r>
      <w:r w:rsidR="00F95886" w:rsidRPr="00A52585">
        <w:rPr>
          <w:rFonts w:hint="cs"/>
          <w:sz w:val="24"/>
          <w:szCs w:val="24"/>
          <w:rtl/>
        </w:rPr>
        <w:t>؟</w:t>
      </w:r>
      <w:r w:rsidR="00777DCB" w:rsidRPr="00A52585">
        <w:rPr>
          <w:rFonts w:hint="cs"/>
          <w:sz w:val="24"/>
          <w:szCs w:val="24"/>
          <w:rtl/>
        </w:rPr>
        <w:t xml:space="preserve"> قاتلهم الله]</w:t>
      </w:r>
      <w:r w:rsidR="00777DCB" w:rsidRPr="00A52585">
        <w:rPr>
          <w:rFonts w:hint="cs"/>
          <w:rtl/>
        </w:rPr>
        <w:t xml:space="preserve"> ويبسط كفه ويمينه تطوي السماء وينـزل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ابن حزم في الفِصَل</w:t>
      </w:r>
      <w:r w:rsidRPr="00A52585">
        <w:rPr>
          <w:rFonts w:hint="cs"/>
          <w:sz w:val="24"/>
          <w:szCs w:val="24"/>
          <w:rtl/>
        </w:rPr>
        <w:t>:</w:t>
      </w:r>
      <w:r w:rsidR="00777DCB" w:rsidRPr="00A52585">
        <w:rPr>
          <w:rFonts w:hint="cs"/>
          <w:sz w:val="24"/>
          <w:szCs w:val="24"/>
          <w:rtl/>
        </w:rPr>
        <w:t xml:space="preserve"> إن ثلث الليل مختلف في البلاد باختلاف المطالع والمغارب يعلم ذلك ضرورة من بحث عنه، فصح ضرورة أنه فِعل يفعله ربنا في ذلك الوقت لأهل كل أفق، وأما جعل ذلك نقلةً فقد قدمنا بطلان قوله في إبطال القول بالتجسيم اهـ.</w:t>
      </w:r>
      <w:r w:rsidR="00DB731D" w:rsidRPr="00A52585">
        <w:rPr>
          <w:rFonts w:hint="cs"/>
          <w:sz w:val="24"/>
          <w:szCs w:val="24"/>
          <w:rtl/>
        </w:rPr>
        <w:t>،</w:t>
      </w:r>
      <w:r w:rsidR="00777DCB" w:rsidRPr="00A52585">
        <w:rPr>
          <w:rFonts w:hint="cs"/>
          <w:sz w:val="24"/>
          <w:szCs w:val="24"/>
          <w:rtl/>
        </w:rPr>
        <w:t xml:space="preserve"> وفي بعض طرق الحديث ما يعين أنه إسناد مجازي، ففي سنن النسائي (أن الله يأمر ملكا ينادي…) وفي شرحي البدر العيني وابن حجر على البخاري بسط واف في المسألة</w:t>
      </w:r>
      <w:r w:rsidRPr="00A52585">
        <w:rPr>
          <w:rFonts w:hint="cs"/>
          <w:sz w:val="24"/>
          <w:szCs w:val="24"/>
          <w:rtl/>
        </w:rPr>
        <w:t>]</w:t>
      </w:r>
      <w:r w:rsidR="00777DCB" w:rsidRPr="00A52585">
        <w:rPr>
          <w:rFonts w:hint="cs"/>
          <w:rtl/>
        </w:rPr>
        <w:t xml:space="preserve"> في الدجى في الثلث الأخير والثلث الثاني وأن له نـزولا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ولفظ التنـزيل {وجاء ربك} [الفجر</w:t>
      </w:r>
      <w:r w:rsidRPr="00A52585">
        <w:rPr>
          <w:rFonts w:hint="cs"/>
          <w:sz w:val="24"/>
          <w:szCs w:val="24"/>
          <w:rtl/>
        </w:rPr>
        <w:t>:</w:t>
      </w:r>
      <w:r w:rsidR="00777DCB" w:rsidRPr="00A52585">
        <w:rPr>
          <w:rFonts w:hint="cs"/>
          <w:sz w:val="24"/>
          <w:szCs w:val="24"/>
          <w:rtl/>
        </w:rPr>
        <w:t xml:space="preserve"> 22] قال أحمد</w:t>
      </w:r>
      <w:r w:rsidRPr="00A52585">
        <w:rPr>
          <w:rFonts w:hint="cs"/>
          <w:sz w:val="24"/>
          <w:szCs w:val="24"/>
          <w:rtl/>
        </w:rPr>
        <w:t>:</w:t>
      </w:r>
      <w:r w:rsidR="00777DCB" w:rsidRPr="00A52585">
        <w:rPr>
          <w:rFonts w:hint="cs"/>
          <w:sz w:val="24"/>
          <w:szCs w:val="24"/>
          <w:rtl/>
        </w:rPr>
        <w:t xml:space="preserve"> أمره، وقد بينه في قوله تعالى</w:t>
      </w:r>
      <w:r w:rsidRPr="00A52585">
        <w:rPr>
          <w:rFonts w:hint="cs"/>
          <w:sz w:val="24"/>
          <w:szCs w:val="24"/>
          <w:rtl/>
        </w:rPr>
        <w:t>:</w:t>
      </w:r>
      <w:r w:rsidR="00777DCB" w:rsidRPr="00A52585">
        <w:rPr>
          <w:rFonts w:hint="cs"/>
          <w:sz w:val="24"/>
          <w:szCs w:val="24"/>
          <w:rtl/>
        </w:rPr>
        <w:t xml:space="preserve"> {أو يأتي أمر ربك} [النحل</w:t>
      </w:r>
      <w:r w:rsidRPr="00A52585">
        <w:rPr>
          <w:rFonts w:hint="cs"/>
          <w:sz w:val="24"/>
          <w:szCs w:val="24"/>
          <w:rtl/>
        </w:rPr>
        <w:t>:</w:t>
      </w:r>
      <w:r w:rsidR="00777DCB" w:rsidRPr="00A52585">
        <w:rPr>
          <w:rFonts w:hint="cs"/>
          <w:sz w:val="24"/>
          <w:szCs w:val="24"/>
          <w:rtl/>
        </w:rPr>
        <w:t xml:space="preserve"> 33] رواه ابن حزم وأبو يعلى وابن الجوزي</w:t>
      </w:r>
      <w:r w:rsidR="00DB731D" w:rsidRPr="00A52585">
        <w:rPr>
          <w:rFonts w:hint="cs"/>
          <w:sz w:val="24"/>
          <w:szCs w:val="24"/>
          <w:rtl/>
        </w:rPr>
        <w:t>،</w:t>
      </w:r>
      <w:r w:rsidR="00777DCB" w:rsidRPr="00A52585">
        <w:rPr>
          <w:rFonts w:hint="cs"/>
          <w:sz w:val="24"/>
          <w:szCs w:val="24"/>
          <w:rtl/>
        </w:rPr>
        <w:t xml:space="preserve"> قال الخلال في السنة بسنده إلى حنبل عن عمه الإمام أحمد أنه سئل عن أحاديث النـزول والرؤية ووضع القدم ونحوها فقال</w:t>
      </w:r>
      <w:r w:rsidRPr="00A52585">
        <w:rPr>
          <w:rFonts w:hint="cs"/>
          <w:sz w:val="24"/>
          <w:szCs w:val="24"/>
          <w:rtl/>
        </w:rPr>
        <w:t>:</w:t>
      </w:r>
      <w:r w:rsidR="00777DCB" w:rsidRPr="00A52585">
        <w:rPr>
          <w:rFonts w:hint="cs"/>
          <w:sz w:val="24"/>
          <w:szCs w:val="24"/>
          <w:rtl/>
        </w:rPr>
        <w:t xml:space="preserve"> (نؤمن بها ونصدق بها ولا كيف ولا معنى)</w:t>
      </w:r>
      <w:r w:rsidRPr="00A52585">
        <w:rPr>
          <w:rFonts w:hint="cs"/>
          <w:sz w:val="24"/>
          <w:szCs w:val="24"/>
          <w:rtl/>
        </w:rPr>
        <w:t>]</w:t>
      </w:r>
      <w:r w:rsidR="00777DCB" w:rsidRPr="00A52585">
        <w:rPr>
          <w:rFonts w:hint="cs"/>
          <w:rtl/>
        </w:rPr>
        <w:t xml:space="preserve"> ثانياً يوم القيامة للقضاء وأنه يبدو جهرة لعباده حتى يرونه ويسمعون كلامه وأن له قدماً</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وضع القدم مجاز مشهور عن التسكين وعن الردع والقمع. راجع أساس البلاغة والفائق ودفع شبه التشبيه وأساس التقديس</w:t>
      </w:r>
      <w:r w:rsidR="00DB731D" w:rsidRPr="00A52585">
        <w:rPr>
          <w:rFonts w:hint="cs"/>
          <w:sz w:val="24"/>
          <w:szCs w:val="24"/>
          <w:rtl/>
        </w:rPr>
        <w:t>،</w:t>
      </w:r>
      <w:r w:rsidR="00777DCB" w:rsidRPr="00A52585">
        <w:rPr>
          <w:rFonts w:hint="cs"/>
          <w:sz w:val="24"/>
          <w:szCs w:val="24"/>
          <w:rtl/>
        </w:rPr>
        <w:t xml:space="preserve"> والأخيران مهمان جداً في الرد على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وهما </w:t>
      </w:r>
      <w:r w:rsidR="00777DCB" w:rsidRPr="00A52585">
        <w:rPr>
          <w:rFonts w:hint="cs"/>
          <w:sz w:val="24"/>
          <w:szCs w:val="24"/>
          <w:rtl/>
        </w:rPr>
        <w:lastRenderedPageBreak/>
        <w:t>مطبوعان يسهل تناولهما, ففيهما غنية عن التوسع بأكثر مما ذكر</w:t>
      </w:r>
      <w:r w:rsidRPr="00A52585">
        <w:rPr>
          <w:rFonts w:hint="cs"/>
          <w:sz w:val="24"/>
          <w:szCs w:val="24"/>
          <w:rtl/>
        </w:rPr>
        <w:t>]</w:t>
      </w:r>
      <w:r w:rsidR="00777DCB" w:rsidRPr="00A52585">
        <w:rPr>
          <w:rFonts w:hint="cs"/>
          <w:rtl/>
        </w:rPr>
        <w:t xml:space="preserve"> وأنه واضعها على النيران وأن الناس كل منهم يخاصر ربه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ابن العربي</w:t>
      </w:r>
      <w:r w:rsidRPr="00A52585">
        <w:rPr>
          <w:rFonts w:hint="cs"/>
          <w:sz w:val="24"/>
          <w:szCs w:val="24"/>
          <w:rtl/>
        </w:rPr>
        <w:t>:</w:t>
      </w:r>
      <w:r w:rsidR="00777DCB" w:rsidRPr="00A52585">
        <w:rPr>
          <w:rFonts w:hint="cs"/>
          <w:sz w:val="24"/>
          <w:szCs w:val="24"/>
          <w:rtl/>
        </w:rPr>
        <w:t xml:space="preserve"> أما حديث </w:t>
      </w:r>
      <w:proofErr w:type="spellStart"/>
      <w:r w:rsidR="00777DCB" w:rsidRPr="00A52585">
        <w:rPr>
          <w:rFonts w:hint="cs"/>
          <w:sz w:val="24"/>
          <w:szCs w:val="24"/>
          <w:rtl/>
        </w:rPr>
        <w:t>المخاصرة</w:t>
      </w:r>
      <w:proofErr w:type="spellEnd"/>
      <w:r w:rsidR="00777DCB" w:rsidRPr="00A52585">
        <w:rPr>
          <w:rFonts w:hint="cs"/>
          <w:sz w:val="24"/>
          <w:szCs w:val="24"/>
          <w:rtl/>
        </w:rPr>
        <w:t xml:space="preserve"> فضعيف، راجع العواصم</w:t>
      </w:r>
      <w:r w:rsidR="00DB731D" w:rsidRPr="00A52585">
        <w:rPr>
          <w:rFonts w:hint="cs"/>
          <w:sz w:val="24"/>
          <w:szCs w:val="24"/>
          <w:rtl/>
        </w:rPr>
        <w:t>،</w:t>
      </w:r>
      <w:r w:rsidR="00777DCB" w:rsidRPr="00A52585">
        <w:rPr>
          <w:rFonts w:hint="cs"/>
          <w:sz w:val="24"/>
          <w:szCs w:val="24"/>
          <w:rtl/>
        </w:rPr>
        <w:t xml:space="preserve"> فكم في سنن الترمذي ومسند أحمد من أحاديث ضعيفة، والناظم هو الذي يسميهما بالتجسيم، قال ابن الجوزي</w:t>
      </w:r>
      <w:r w:rsidRPr="00A52585">
        <w:rPr>
          <w:rFonts w:hint="cs"/>
          <w:sz w:val="24"/>
          <w:szCs w:val="24"/>
          <w:rtl/>
        </w:rPr>
        <w:t>:</w:t>
      </w:r>
      <w:r w:rsidR="00777DCB" w:rsidRPr="00A52585">
        <w:rPr>
          <w:rFonts w:hint="cs"/>
          <w:sz w:val="24"/>
          <w:szCs w:val="24"/>
          <w:rtl/>
        </w:rPr>
        <w:t xml:space="preserve"> هذا يرويه يوسف بن عبد الله وهو خطأ</w:t>
      </w:r>
      <w:r w:rsidRPr="00A52585">
        <w:rPr>
          <w:rFonts w:hint="cs"/>
          <w:sz w:val="24"/>
          <w:szCs w:val="24"/>
          <w:rtl/>
        </w:rPr>
        <w:t>]</w:t>
      </w:r>
      <w:r w:rsidR="00DB731D" w:rsidRPr="00A52585">
        <w:rPr>
          <w:rFonts w:hint="cs"/>
          <w:rtl/>
        </w:rPr>
        <w:t>،</w:t>
      </w:r>
      <w:r w:rsidR="00777DCB" w:rsidRPr="00A52585">
        <w:rPr>
          <w:rFonts w:hint="cs"/>
          <w:rtl/>
        </w:rPr>
        <w:t xml:space="preserve"> بالخاء والصاد والحاء والضاد وجهان محفوظان في الترمذي والمسند وغيرهما من كتب التجسيم</w:t>
      </w:r>
      <w:r w:rsidR="00DB731D" w:rsidRPr="00A52585">
        <w:rPr>
          <w:rFonts w:hint="cs"/>
          <w:rtl/>
        </w:rPr>
        <w:t>،</w:t>
      </w:r>
      <w:r w:rsidR="00777DCB" w:rsidRPr="00A52585">
        <w:rPr>
          <w:rFonts w:hint="cs"/>
          <w:rtl/>
        </w:rPr>
        <w:t xml:space="preserve"> ووصفته بصفات حي فاعل بالاختيار</w:t>
      </w:r>
      <w:r w:rsidR="00DB731D" w:rsidRPr="00A52585">
        <w:rPr>
          <w:rFonts w:hint="cs"/>
          <w:rtl/>
        </w:rPr>
        <w:t>،</w:t>
      </w:r>
      <w:r w:rsidR="00777DCB" w:rsidRPr="00A52585">
        <w:rPr>
          <w:rFonts w:hint="cs"/>
          <w:rtl/>
        </w:rPr>
        <w:t xml:space="preserve"> وذلك الأصلان أصل التفرق في الباري فكن في النفي غير جبان أو لا فلا تلعب بدينك تثبت بعض الصفات وتنفي بعضها فأنكر الجميع أو فرق بين ما أثبته ونفيته</w:t>
      </w:r>
      <w:r w:rsidR="00DB731D" w:rsidRPr="00A52585">
        <w:rPr>
          <w:rFonts w:hint="cs"/>
          <w:rtl/>
        </w:rPr>
        <w:t>،</w:t>
      </w:r>
      <w:r w:rsidR="00777DCB" w:rsidRPr="00A52585">
        <w:rPr>
          <w:rFonts w:hint="cs"/>
          <w:rtl/>
        </w:rPr>
        <w:t xml:space="preserve"> فذروا المراء وصرحوا بمذاهب القدماء وانسلخوا من الإيمان أو قاتلوا مع أمة التشبيه والتجسيم تحت لواء ذي القرآن أو لا فلا تتلاعبوا بعقولكم وكتابكم وبسائر الأديان</w:t>
      </w:r>
      <w:r w:rsidR="00DB731D" w:rsidRPr="00A52585">
        <w:rPr>
          <w:rFonts w:hint="cs"/>
          <w:rtl/>
        </w:rPr>
        <w:t>،</w:t>
      </w:r>
      <w:r w:rsidR="00777DCB" w:rsidRPr="00A52585">
        <w:rPr>
          <w:rFonts w:hint="cs"/>
          <w:rtl/>
        </w:rPr>
        <w:t xml:space="preserve"> فجميعها قد صرحت بصفاته وكلامه وعلوه والناس بين مصدق أو جاحد أو بين ذلك أو حمار</w:t>
      </w:r>
      <w:r w:rsidR="00DB731D" w:rsidRPr="00A52585">
        <w:rPr>
          <w:rFonts w:hint="cs"/>
          <w:rtl/>
        </w:rPr>
        <w:t>،</w:t>
      </w:r>
      <w:r w:rsidR="00777DCB" w:rsidRPr="00A52585">
        <w:rPr>
          <w:rFonts w:hint="cs"/>
          <w:rtl/>
        </w:rPr>
        <w:t xml:space="preserve"> فنـزه وانف الجميع ولقب مذهب الإثبات بالتجسيم واحمل على الأقران</w:t>
      </w:r>
      <w:r w:rsidR="00DB731D" w:rsidRPr="00A52585">
        <w:rPr>
          <w:rFonts w:hint="cs"/>
          <w:rtl/>
        </w:rPr>
        <w:t>،</w:t>
      </w:r>
      <w:r w:rsidR="00777DCB" w:rsidRPr="00A52585">
        <w:rPr>
          <w:rFonts w:hint="cs"/>
          <w:rtl/>
        </w:rPr>
        <w:t xml:space="preserve"> فمتى سمحت لهم بوصف واحد حملوا عليك فصرعت فلذاك أنكرنا الجميع مخافة التجسيم إن صرنا إلى القرآن ولذا خلعنا ربقة الأديان من أعنقانا ولنا ملوك قاوموا الرسل في آل فرعون وقارون وهامان </w:t>
      </w:r>
      <w:proofErr w:type="spellStart"/>
      <w:r w:rsidR="00777DCB" w:rsidRPr="00A52585">
        <w:rPr>
          <w:rFonts w:hint="cs"/>
          <w:rtl/>
        </w:rPr>
        <w:t>ونمروذ</w:t>
      </w:r>
      <w:proofErr w:type="spellEnd"/>
      <w:r w:rsidR="00777DCB" w:rsidRPr="00A52585">
        <w:rPr>
          <w:rFonts w:hint="cs"/>
          <w:rtl/>
        </w:rPr>
        <w:t xml:space="preserve"> </w:t>
      </w:r>
      <w:proofErr w:type="spellStart"/>
      <w:r w:rsidR="00777DCB" w:rsidRPr="00A52585">
        <w:rPr>
          <w:rFonts w:hint="cs"/>
          <w:rtl/>
        </w:rPr>
        <w:t>وجنكسخان</w:t>
      </w:r>
      <w:proofErr w:type="spellEnd"/>
      <w:r w:rsidR="00777DCB" w:rsidRPr="00A52585">
        <w:rPr>
          <w:rFonts w:hint="cs"/>
          <w:rtl/>
        </w:rPr>
        <w:t xml:space="preserve"> ولنا الأئمة أرسطو وشيعته ما فيهم من قال</w:t>
      </w:r>
      <w:r w:rsidRPr="00A52585">
        <w:rPr>
          <w:rFonts w:hint="cs"/>
          <w:rtl/>
        </w:rPr>
        <w:t>:</w:t>
      </w:r>
      <w:r w:rsidR="00777DCB" w:rsidRPr="00A52585">
        <w:rPr>
          <w:rFonts w:hint="cs"/>
          <w:rtl/>
        </w:rPr>
        <w:t xml:space="preserve"> إن الله فوق العرش</w:t>
      </w:r>
      <w:r w:rsidR="00DB731D" w:rsidRPr="00A52585">
        <w:rPr>
          <w:rFonts w:hint="cs"/>
          <w:rtl/>
        </w:rPr>
        <w:t>،</w:t>
      </w:r>
      <w:r w:rsidR="00777DCB" w:rsidRPr="00A52585">
        <w:rPr>
          <w:rFonts w:hint="cs"/>
          <w:rtl/>
        </w:rPr>
        <w:t xml:space="preserve"> ولا إن الله يتكلم بالوحي</w:t>
      </w:r>
      <w:r w:rsidR="00DB731D" w:rsidRPr="00A52585">
        <w:rPr>
          <w:rFonts w:hint="cs"/>
          <w:rtl/>
        </w:rPr>
        <w:t>،</w:t>
      </w:r>
      <w:r w:rsidR="00777DCB" w:rsidRPr="00A52585">
        <w:rPr>
          <w:rFonts w:hint="cs"/>
          <w:rtl/>
        </w:rPr>
        <w:t xml:space="preserve"> ولهذا رد فرعون على موسى إذ قال موسى ربنا متكلم فوق السماء وأنه ناداني</w:t>
      </w:r>
      <w:r w:rsidR="00DB731D" w:rsidRPr="00A52585">
        <w:rPr>
          <w:rFonts w:hint="cs"/>
          <w:rtl/>
        </w:rPr>
        <w:t>،</w:t>
      </w:r>
      <w:r w:rsidR="00777DCB" w:rsidRPr="00A52585">
        <w:rPr>
          <w:rFonts w:hint="cs"/>
          <w:rtl/>
        </w:rPr>
        <w:t xml:space="preserve"> وكذا ابن سينا لم يكن منكم ولا الطوسي قتل الخليفة والقضاء والفقهاء إذ هم مجسمة</w:t>
      </w:r>
      <w:r w:rsidR="00DB731D" w:rsidRPr="00A52585">
        <w:rPr>
          <w:rFonts w:hint="cs"/>
          <w:rtl/>
        </w:rPr>
        <w:t>،</w:t>
      </w:r>
      <w:r w:rsidR="00777DCB" w:rsidRPr="00A52585">
        <w:rPr>
          <w:rFonts w:hint="cs"/>
          <w:rtl/>
        </w:rPr>
        <w:t xml:space="preserve"> ولنا الملاحدة الفحول أئمة التعطيل ولنا تصانيف مثل الشفاء ورسائل إخوان الصفاء والإشارات قد صرحت بالضد مما جاء في التوراة والإنجيل والفرقان</w:t>
      </w:r>
      <w:r w:rsidR="00DB731D" w:rsidRPr="00A52585">
        <w:rPr>
          <w:rFonts w:hint="cs"/>
          <w:rtl/>
        </w:rPr>
        <w:t>،</w:t>
      </w:r>
      <w:r w:rsidR="00777DCB" w:rsidRPr="00A52585">
        <w:rPr>
          <w:rFonts w:hint="cs"/>
          <w:rtl/>
        </w:rPr>
        <w:t xml:space="preserve"> وإذا تحاكمنا فإليهم لا إلى القرآن</w:t>
      </w:r>
      <w:r w:rsidR="00DB731D" w:rsidRPr="00A52585">
        <w:rPr>
          <w:rFonts w:hint="cs"/>
          <w:rtl/>
        </w:rPr>
        <w:t>،</w:t>
      </w:r>
      <w:r w:rsidR="00777DCB" w:rsidRPr="00A52585">
        <w:rPr>
          <w:rFonts w:hint="cs"/>
          <w:rtl/>
        </w:rPr>
        <w:t xml:space="preserve"> يا ويح جهم وابن درهم ومن قال بقولهما</w:t>
      </w:r>
      <w:r w:rsidR="00DB731D" w:rsidRPr="00A52585">
        <w:rPr>
          <w:rFonts w:hint="cs"/>
          <w:rtl/>
        </w:rPr>
        <w:t>،</w:t>
      </w:r>
      <w:r w:rsidR="00777DCB" w:rsidRPr="00A52585">
        <w:rPr>
          <w:rFonts w:hint="cs"/>
          <w:rtl/>
        </w:rPr>
        <w:t xml:space="preserve"> بقيت من التشبيه فيه بقية ينفي الصفات مخافة التجسيم ويقال</w:t>
      </w:r>
      <w:r w:rsidRPr="00A52585">
        <w:rPr>
          <w:rFonts w:hint="cs"/>
          <w:rtl/>
        </w:rPr>
        <w:t>:</w:t>
      </w:r>
      <w:r w:rsidR="00777DCB" w:rsidRPr="00A52585">
        <w:rPr>
          <w:rFonts w:hint="cs"/>
          <w:rtl/>
        </w:rPr>
        <w:t xml:space="preserve"> إن الله يسمع ويرى ويعلم ويشاء وإن الفعل مقدور له والكون ينسبه إلى الحدوث ويصرخ بنفي التجسيم والله ما هذان متفقان</w:t>
      </w:r>
      <w:r w:rsidR="00DB731D" w:rsidRPr="00A52585">
        <w:rPr>
          <w:rFonts w:hint="cs"/>
          <w:rtl/>
        </w:rPr>
        <w:t>،</w:t>
      </w:r>
      <w:r w:rsidR="00777DCB" w:rsidRPr="00A52585">
        <w:rPr>
          <w:rFonts w:hint="cs"/>
          <w:rtl/>
        </w:rPr>
        <w:t xml:space="preserve"> لكننا قلنا محال كل ذا حذراً من التجسيم والإمكان</w:t>
      </w:r>
      <w:r w:rsidRPr="00A52585">
        <w:rPr>
          <w:rFonts w:hint="cs"/>
          <w:rtl/>
        </w:rPr>
        <w:t>)</w:t>
      </w:r>
      <w:r w:rsidR="00777DCB" w:rsidRPr="00A52585">
        <w:rPr>
          <w:rFonts w:hint="cs"/>
          <w:rtl/>
        </w:rPr>
        <w:t xml:space="preserve"> أهـ.</w:t>
      </w:r>
    </w:p>
    <w:p w14:paraId="5C1B4E26" w14:textId="24A27BFA" w:rsidR="00777DCB" w:rsidRPr="00A52585" w:rsidRDefault="0002035C" w:rsidP="0002035C">
      <w:pPr>
        <w:spacing w:after="240"/>
        <w:rPr>
          <w:b/>
          <w:rtl/>
        </w:rPr>
      </w:pPr>
      <w:r w:rsidRPr="00A52585">
        <w:rPr>
          <w:rFonts w:hint="cs"/>
          <w:bCs/>
          <w:rtl/>
        </w:rPr>
        <w:t>[</w:t>
      </w:r>
      <w:r w:rsidR="00777DCB" w:rsidRPr="00A52585">
        <w:rPr>
          <w:rFonts w:hint="cs"/>
          <w:bCs/>
          <w:rtl/>
        </w:rPr>
        <w:t>تصوير الناظم أهل الحق أسوأ تصوير</w:t>
      </w:r>
      <w:r w:rsidRPr="00A52585">
        <w:rPr>
          <w:rFonts w:hint="cs"/>
          <w:bCs/>
          <w:rtl/>
        </w:rPr>
        <w:t>]</w:t>
      </w:r>
      <w:r w:rsidRPr="00A52585">
        <w:rPr>
          <w:rFonts w:hint="cs"/>
          <w:rtl/>
        </w:rPr>
        <w:t>:</w:t>
      </w:r>
      <w:r w:rsidR="00777DCB" w:rsidRPr="00A52585">
        <w:rPr>
          <w:rFonts w:hint="cs"/>
          <w:rtl/>
        </w:rPr>
        <w:t xml:space="preserve"> انتهى كلام هذا الملحد تبّاً له وقطع الله دابر كلامه</w:t>
      </w:r>
      <w:r w:rsidR="00DB731D" w:rsidRPr="00A52585">
        <w:rPr>
          <w:rFonts w:hint="cs"/>
          <w:rtl/>
        </w:rPr>
        <w:t>،</w:t>
      </w:r>
      <w:r w:rsidR="00777DCB" w:rsidRPr="00A52585">
        <w:rPr>
          <w:rFonts w:hint="cs"/>
          <w:rtl/>
        </w:rPr>
        <w:t xml:space="preserve"> انظر هذا الملعون كيف أقام طوائف الشافعية والمالكية والحنفية الذين هم قدوة الإسلام وهداة الأنام في صورة الملاحدة والزنادقة المقرين على أنفسهم باتباع فرعون وهامان وأرسطو وابن سينا</w:t>
      </w:r>
      <w:r w:rsidR="00DB731D" w:rsidRPr="00A52585">
        <w:rPr>
          <w:rFonts w:hint="cs"/>
          <w:rtl/>
        </w:rPr>
        <w:t>،</w:t>
      </w:r>
      <w:r w:rsidR="00777DCB" w:rsidRPr="00A52585">
        <w:rPr>
          <w:rFonts w:hint="cs"/>
          <w:rtl/>
        </w:rPr>
        <w:t xml:space="preserve"> المقدمين كلامهم على القرآن</w:t>
      </w:r>
      <w:r w:rsidR="00DB731D" w:rsidRPr="00A52585">
        <w:rPr>
          <w:rFonts w:hint="cs"/>
          <w:rtl/>
        </w:rPr>
        <w:t>،</w:t>
      </w:r>
      <w:r w:rsidR="00777DCB" w:rsidRPr="00A52585">
        <w:rPr>
          <w:rFonts w:hint="cs"/>
          <w:rtl/>
        </w:rPr>
        <w:t xml:space="preserve"> وأنهم أتباع أصحاب </w:t>
      </w:r>
      <w:proofErr w:type="spellStart"/>
      <w:r w:rsidR="00777DCB" w:rsidRPr="00A52585">
        <w:rPr>
          <w:rFonts w:hint="cs"/>
          <w:rtl/>
        </w:rPr>
        <w:t>جنكسخان</w:t>
      </w:r>
      <w:proofErr w:type="spellEnd"/>
      <w:r w:rsidR="00DB731D" w:rsidRPr="00A52585">
        <w:rPr>
          <w:rFonts w:hint="cs"/>
          <w:rtl/>
        </w:rPr>
        <w:t>،</w:t>
      </w:r>
      <w:r w:rsidR="00777DCB" w:rsidRPr="00A52585">
        <w:rPr>
          <w:rFonts w:hint="cs"/>
          <w:rtl/>
        </w:rPr>
        <w:t xml:space="preserve"> وأن رائده</w:t>
      </w:r>
      <w:r w:rsidR="00DB731D" w:rsidRPr="00A52585">
        <w:rPr>
          <w:rFonts w:hint="cs"/>
          <w:rtl/>
        </w:rPr>
        <w:t>،</w:t>
      </w:r>
      <w:r w:rsidR="00777DCB" w:rsidRPr="00A52585">
        <w:rPr>
          <w:rFonts w:hint="cs"/>
          <w:rtl/>
        </w:rPr>
        <w:t xml:space="preserve"> لعنه الله ولعنه</w:t>
      </w:r>
      <w:r w:rsidR="00DB731D" w:rsidRPr="00A52585">
        <w:rPr>
          <w:rFonts w:hint="cs"/>
          <w:rtl/>
        </w:rPr>
        <w:t>،</w:t>
      </w:r>
      <w:r w:rsidR="00777DCB" w:rsidRPr="00A52585">
        <w:rPr>
          <w:rFonts w:hint="cs"/>
          <w:rtl/>
        </w:rPr>
        <w:t xml:space="preserve"> سألهم عما يقوله أهل الحديث فنسبوهم إلى ما نسبوهم إليه</w:t>
      </w:r>
      <w:r w:rsidR="00DB731D" w:rsidRPr="00A52585">
        <w:rPr>
          <w:rFonts w:hint="cs"/>
          <w:rtl/>
        </w:rPr>
        <w:t>،</w:t>
      </w:r>
      <w:r w:rsidR="00777DCB" w:rsidRPr="00A52585">
        <w:rPr>
          <w:rFonts w:hint="cs"/>
          <w:rtl/>
        </w:rPr>
        <w:t xml:space="preserve"> وأنه لذلك انحل عن الأديان وخلع ربقة الإيمان؛ وأبرز ذلك في صورة مقامة وخيال ليرتسم به في ذهن من يقف عليه من العوام والجهال أن الطوائف المذكورة</w:t>
      </w:r>
      <w:r w:rsidR="00DB731D" w:rsidRPr="00A52585">
        <w:rPr>
          <w:rFonts w:hint="cs"/>
          <w:rtl/>
        </w:rPr>
        <w:t>،</w:t>
      </w:r>
      <w:r w:rsidR="00777DCB" w:rsidRPr="00A52585">
        <w:rPr>
          <w:rFonts w:hint="cs"/>
          <w:rtl/>
        </w:rPr>
        <w:t xml:space="preserve"> على هذه </w:t>
      </w:r>
      <w:r w:rsidR="00777DCB" w:rsidRPr="00A52585">
        <w:rPr>
          <w:rFonts w:hint="cs"/>
          <w:rtl/>
        </w:rPr>
        <w:lastRenderedPageBreak/>
        <w:t>الصفة</w:t>
      </w:r>
      <w:r w:rsidR="00DB731D" w:rsidRPr="00A52585">
        <w:rPr>
          <w:rFonts w:hint="cs"/>
          <w:rtl/>
        </w:rPr>
        <w:t>،</w:t>
      </w:r>
      <w:r w:rsidR="00777DCB" w:rsidRPr="00A52585">
        <w:rPr>
          <w:rFonts w:hint="cs"/>
          <w:rtl/>
        </w:rPr>
        <w:t xml:space="preserve"> وإذا كانت علماء الشريعة وقادة الأمة بهذه الصفة كيف يقبل قولهم في الدين</w:t>
      </w:r>
      <w:r w:rsidR="00F95886" w:rsidRPr="00A52585">
        <w:rPr>
          <w:rFonts w:hint="cs"/>
          <w:rtl/>
        </w:rPr>
        <w:t>؟</w:t>
      </w:r>
      <w:r w:rsidR="00777DCB" w:rsidRPr="00A52585">
        <w:rPr>
          <w:rFonts w:hint="cs"/>
          <w:rtl/>
        </w:rPr>
        <w:t xml:space="preserve"> أو ماذا تكون قيمة فتاويهم عند المسلمين</w:t>
      </w:r>
      <w:r w:rsidR="00F95886" w:rsidRPr="00A52585">
        <w:rPr>
          <w:rFonts w:hint="cs"/>
          <w:rtl/>
        </w:rPr>
        <w:t>؟</w:t>
      </w:r>
      <w:r w:rsidR="00777DCB" w:rsidRPr="00A52585">
        <w:rPr>
          <w:rFonts w:hint="cs"/>
          <w:rtl/>
        </w:rPr>
        <w:t xml:space="preserve"> فما أراد هذا إلا أن يقرر عند العوام أنه لا مسلم إلا هو وطائفته التي ما برحت ذليلة حقيرة</w:t>
      </w:r>
      <w:r w:rsidR="00DB731D" w:rsidRPr="00A52585">
        <w:rPr>
          <w:rFonts w:hint="cs"/>
          <w:rtl/>
        </w:rPr>
        <w:t>،</w:t>
      </w:r>
      <w:r w:rsidR="00777DCB" w:rsidRPr="00A52585">
        <w:rPr>
          <w:rFonts w:hint="cs"/>
          <w:rtl/>
        </w:rPr>
        <w:t xml:space="preserve"> وما أدري ما يكون وراء ذلك من قصده الخبيث</w:t>
      </w:r>
      <w:r w:rsidR="00DB731D" w:rsidRPr="00A52585">
        <w:rPr>
          <w:rFonts w:hint="cs"/>
          <w:rtl/>
        </w:rPr>
        <w:t>،</w:t>
      </w:r>
      <w:r w:rsidR="00777DCB" w:rsidRPr="00A52585">
        <w:rPr>
          <w:rFonts w:hint="cs"/>
          <w:rtl/>
        </w:rPr>
        <w:t xml:space="preserve"> فإن الطعن في أئمة الدين طعن في الدين وقد يكون هذا فتح باب الزندقة ونقض الشريعة ويأبى الله ذلك والمؤمنون</w:t>
      </w:r>
      <w:r w:rsidR="00DB731D" w:rsidRPr="00A52585">
        <w:rPr>
          <w:rFonts w:hint="cs"/>
          <w:rtl/>
        </w:rPr>
        <w:t>،</w:t>
      </w:r>
      <w:r w:rsidR="00777DCB" w:rsidRPr="00A52585">
        <w:rPr>
          <w:rFonts w:hint="cs"/>
          <w:rtl/>
        </w:rPr>
        <w:t xml:space="preserve"> وجماعة من الزنادقة يكون مبدأ أمرهم خفياً حتى تنتشر ناره ويشتعل شناره</w:t>
      </w:r>
      <w:r w:rsidR="00DB731D" w:rsidRPr="00A52585">
        <w:rPr>
          <w:rFonts w:hint="cs"/>
          <w:rtl/>
        </w:rPr>
        <w:t>،</w:t>
      </w:r>
      <w:r w:rsidR="00777DCB" w:rsidRPr="00A52585">
        <w:rPr>
          <w:rFonts w:hint="cs"/>
          <w:rtl/>
        </w:rPr>
        <w:t xml:space="preserve"> نسأل الله العافية</w:t>
      </w:r>
      <w:r w:rsidR="00DB731D" w:rsidRPr="00A52585">
        <w:rPr>
          <w:rFonts w:hint="cs"/>
          <w:rtl/>
        </w:rPr>
        <w:t>،</w:t>
      </w:r>
      <w:r w:rsidR="00777DCB" w:rsidRPr="00A52585">
        <w:rPr>
          <w:rFonts w:hint="cs"/>
          <w:rtl/>
        </w:rPr>
        <w:t xml:space="preserve"> فينبغي لأئمة المسلمين وولاة أمورهم أن يأخذوا بالحزم ويحسموا مادة الشر في مبدئه قبل أن يستحكم فيصعب عليهم رفعه. ثم إن هذا الوقح لا يستحي من الله ولا من الناس</w:t>
      </w:r>
      <w:r w:rsidR="00DB731D" w:rsidRPr="00A52585">
        <w:rPr>
          <w:rFonts w:hint="cs"/>
          <w:rtl/>
        </w:rPr>
        <w:t>،</w:t>
      </w:r>
      <w:r w:rsidR="00777DCB" w:rsidRPr="00A52585">
        <w:rPr>
          <w:rFonts w:hint="cs"/>
          <w:rtl/>
        </w:rPr>
        <w:t xml:space="preserve"> ينسب إلى طوائف المسلمين ما لم يقولوه فيه وفي طائفته</w:t>
      </w:r>
      <w:r w:rsidR="00DB731D" w:rsidRPr="00A52585">
        <w:rPr>
          <w:rFonts w:hint="cs"/>
          <w:rtl/>
        </w:rPr>
        <w:t>،</w:t>
      </w:r>
      <w:r w:rsidR="00777DCB" w:rsidRPr="00A52585">
        <w:rPr>
          <w:rFonts w:hint="cs"/>
          <w:rtl/>
        </w:rPr>
        <w:t xml:space="preserve"> وأن شيوخهم </w:t>
      </w:r>
      <w:proofErr w:type="spellStart"/>
      <w:r w:rsidR="00777DCB" w:rsidRPr="00A52585">
        <w:rPr>
          <w:rFonts w:hint="cs"/>
          <w:rtl/>
        </w:rPr>
        <w:t>وصوهم</w:t>
      </w:r>
      <w:proofErr w:type="spellEnd"/>
      <w:r w:rsidR="00777DCB" w:rsidRPr="00A52585">
        <w:rPr>
          <w:rFonts w:hint="cs"/>
          <w:rtl/>
        </w:rPr>
        <w:t xml:space="preserve"> بذلك</w:t>
      </w:r>
      <w:r w:rsidR="00DB731D" w:rsidRPr="00A52585">
        <w:rPr>
          <w:rFonts w:hint="cs"/>
          <w:rtl/>
        </w:rPr>
        <w:t>،</w:t>
      </w:r>
      <w:r w:rsidR="00777DCB" w:rsidRPr="00A52585">
        <w:rPr>
          <w:rFonts w:hint="cs"/>
          <w:rtl/>
        </w:rPr>
        <w:t xml:space="preserve"> وهو يزعم بكذبه أنه متمسك بالقرآن وأين قال الله في القرآن </w:t>
      </w:r>
      <w:r w:rsidRPr="00A52585">
        <w:rPr>
          <w:rFonts w:hint="cs"/>
          <w:rtl/>
        </w:rPr>
        <w:t>(</w:t>
      </w:r>
      <w:r w:rsidR="00777DCB" w:rsidRPr="00A52585">
        <w:rPr>
          <w:rFonts w:hint="cs"/>
          <w:rtl/>
        </w:rPr>
        <w:t>إنه فوق السماء</w:t>
      </w:r>
      <w:r w:rsidRPr="00A52585">
        <w:rPr>
          <w:rFonts w:hint="cs"/>
          <w:rtl/>
        </w:rPr>
        <w:t>)</w:t>
      </w:r>
      <w:r w:rsidR="00777DCB" w:rsidRPr="00A52585">
        <w:rPr>
          <w:rFonts w:hint="cs"/>
          <w:rtl/>
        </w:rPr>
        <w:t xml:space="preserve"> وأين قال </w:t>
      </w:r>
      <w:r w:rsidRPr="00A52585">
        <w:rPr>
          <w:rFonts w:hint="cs"/>
          <w:rtl/>
        </w:rPr>
        <w:t>(</w:t>
      </w:r>
      <w:r w:rsidR="00777DCB" w:rsidRPr="00A52585">
        <w:rPr>
          <w:rFonts w:hint="cs"/>
          <w:rtl/>
        </w:rPr>
        <w:t>إنه بائن من خلقه</w:t>
      </w:r>
      <w:r w:rsidRPr="00A52585">
        <w:rPr>
          <w:rFonts w:hint="cs"/>
          <w:rtl/>
        </w:rPr>
        <w:t>)</w:t>
      </w:r>
      <w:r w:rsidR="00777DCB" w:rsidRPr="00A52585">
        <w:rPr>
          <w:rFonts w:hint="cs"/>
          <w:rtl/>
        </w:rPr>
        <w:t xml:space="preserve"> وأين قال </w:t>
      </w:r>
      <w:r w:rsidRPr="00A52585">
        <w:rPr>
          <w:rFonts w:hint="cs"/>
          <w:rtl/>
        </w:rPr>
        <w:t>(</w:t>
      </w:r>
      <w:r w:rsidR="00777DCB" w:rsidRPr="00A52585">
        <w:rPr>
          <w:rFonts w:hint="cs"/>
          <w:rtl/>
        </w:rPr>
        <w:t>إنه فوق العرش</w:t>
      </w:r>
      <w:r w:rsidRPr="00A52585">
        <w:rPr>
          <w:rFonts w:hint="cs"/>
          <w:rtl/>
        </w:rPr>
        <w:t>)</w:t>
      </w:r>
      <w:r w:rsidR="00777DCB" w:rsidRPr="00A52585">
        <w:rPr>
          <w:rFonts w:hint="cs"/>
          <w:rtl/>
        </w:rPr>
        <w:t xml:space="preserve"> بهذا اللفظ وأين قال </w:t>
      </w:r>
      <w:r w:rsidRPr="00A52585">
        <w:rPr>
          <w:rFonts w:hint="cs"/>
          <w:rtl/>
        </w:rPr>
        <w:t>(</w:t>
      </w:r>
      <w:r w:rsidR="00777DCB" w:rsidRPr="00A52585">
        <w:rPr>
          <w:rFonts w:hint="cs"/>
          <w:rtl/>
        </w:rPr>
        <w:t>إن القدمين فوق الكرسي</w:t>
      </w:r>
      <w:r w:rsidRPr="00A52585">
        <w:rPr>
          <w:rFonts w:hint="cs"/>
          <w:rtl/>
        </w:rPr>
        <w:t>)</w:t>
      </w:r>
      <w:r w:rsidR="00777DCB" w:rsidRPr="00A52585">
        <w:rPr>
          <w:rFonts w:hint="cs"/>
          <w:rtl/>
        </w:rPr>
        <w:t xml:space="preserve"> وأين قال </w:t>
      </w:r>
      <w:r w:rsidRPr="00A52585">
        <w:rPr>
          <w:rFonts w:hint="cs"/>
          <w:rtl/>
        </w:rPr>
        <w:t>(</w:t>
      </w:r>
      <w:r w:rsidR="00777DCB" w:rsidRPr="00A52585">
        <w:rPr>
          <w:rFonts w:hint="cs"/>
          <w:rtl/>
        </w:rPr>
        <w:t>إنه يسمع خلقه ويراهم من فوق</w:t>
      </w:r>
      <w:r w:rsidRPr="00A52585">
        <w:rPr>
          <w:rFonts w:hint="cs"/>
          <w:rtl/>
        </w:rPr>
        <w:t>)</w:t>
      </w:r>
      <w:r w:rsidR="00777DCB" w:rsidRPr="00A52585">
        <w:rPr>
          <w:rFonts w:hint="cs"/>
          <w:rtl/>
        </w:rPr>
        <w:t xml:space="preserve"> وأين قال </w:t>
      </w:r>
      <w:r w:rsidRPr="00A52585">
        <w:rPr>
          <w:rFonts w:hint="cs"/>
          <w:rtl/>
        </w:rPr>
        <w:t>(</w:t>
      </w:r>
      <w:r w:rsidR="00777DCB" w:rsidRPr="00A52585">
        <w:rPr>
          <w:rFonts w:hint="cs"/>
          <w:rtl/>
        </w:rPr>
        <w:t>إن محمداً قاعد معه على العرش</w:t>
      </w:r>
      <w:r w:rsidRPr="00A52585">
        <w:rPr>
          <w:rFonts w:hint="cs"/>
          <w:rtl/>
        </w:rPr>
        <w:t>)</w:t>
      </w:r>
      <w:r w:rsidR="00777DCB" w:rsidRPr="00A52585">
        <w:rPr>
          <w:rFonts w:hint="cs"/>
          <w:rtl/>
        </w:rPr>
        <w:t xml:space="preserve"> إلى بقية ما ذكره جميعه</w:t>
      </w:r>
      <w:r w:rsidR="00DB731D" w:rsidRPr="00A52585">
        <w:rPr>
          <w:rFonts w:hint="cs"/>
          <w:rtl/>
        </w:rPr>
        <w:t>،</w:t>
      </w:r>
      <w:r w:rsidR="00777DCB" w:rsidRPr="00A52585">
        <w:rPr>
          <w:rFonts w:hint="cs"/>
          <w:rtl/>
        </w:rPr>
        <w:t xml:space="preserve"> والمتبع للقرآن لا يغيره ولا يغير لفظه بل يتمسك به من غير زيادة ولا نقصان</w:t>
      </w:r>
      <w:r w:rsidR="00DB731D" w:rsidRPr="00A52585">
        <w:rPr>
          <w:rFonts w:hint="cs"/>
          <w:rtl/>
        </w:rPr>
        <w:t>،</w:t>
      </w:r>
      <w:r w:rsidR="00777DCB" w:rsidRPr="00A52585">
        <w:rPr>
          <w:rFonts w:hint="cs"/>
          <w:rtl/>
        </w:rPr>
        <w:t xml:space="preserve"> وكذلك الأحاديث الصحيحة يقف عند ألفاظها ولا يزيد في معناها ولا ينقص</w:t>
      </w:r>
      <w:r w:rsidR="00DB731D" w:rsidRPr="00A52585">
        <w:rPr>
          <w:rFonts w:hint="cs"/>
          <w:rtl/>
        </w:rPr>
        <w:t>،</w:t>
      </w:r>
      <w:r w:rsidR="00777DCB" w:rsidRPr="00A52585">
        <w:rPr>
          <w:rFonts w:hint="cs"/>
          <w:rtl/>
        </w:rPr>
        <w:t xml:space="preserve"> </w:t>
      </w:r>
    </w:p>
    <w:p w14:paraId="1E91F20E" w14:textId="0D59A7FD" w:rsidR="00777DCB" w:rsidRPr="00A52585" w:rsidRDefault="0002035C" w:rsidP="0002035C">
      <w:pPr>
        <w:spacing w:after="240"/>
        <w:rPr>
          <w:b/>
          <w:rtl/>
        </w:rPr>
      </w:pPr>
      <w:r w:rsidRPr="00A52585">
        <w:rPr>
          <w:rFonts w:hint="cs"/>
          <w:bCs/>
          <w:rtl/>
        </w:rPr>
        <w:t>[</w:t>
      </w:r>
      <w:r w:rsidR="00777DCB" w:rsidRPr="00A52585">
        <w:rPr>
          <w:rFonts w:hint="cs"/>
          <w:bCs/>
          <w:rtl/>
        </w:rPr>
        <w:t>كذب الناظم على الله ورسوله صلى الله عليه وسلم</w:t>
      </w:r>
      <w:r w:rsidRPr="00A52585">
        <w:rPr>
          <w:rFonts w:hint="cs"/>
          <w:bCs/>
          <w:rtl/>
        </w:rPr>
        <w:t>]</w:t>
      </w:r>
      <w:r w:rsidRPr="00A52585">
        <w:rPr>
          <w:rFonts w:hint="cs"/>
          <w:rtl/>
        </w:rPr>
        <w:t>:</w:t>
      </w:r>
      <w:r w:rsidR="00777DCB" w:rsidRPr="00A52585">
        <w:rPr>
          <w:rFonts w:hint="cs"/>
          <w:rtl/>
        </w:rPr>
        <w:t xml:space="preserve"> وهكذا أكثر ما ذكره لم يجيء لفظه في قرآن ولا سنة</w:t>
      </w:r>
      <w:r w:rsidR="00DB731D" w:rsidRPr="00A52585">
        <w:rPr>
          <w:rFonts w:hint="cs"/>
          <w:rtl/>
        </w:rPr>
        <w:t>،</w:t>
      </w:r>
      <w:r w:rsidR="00777DCB" w:rsidRPr="00A52585">
        <w:rPr>
          <w:rFonts w:hint="cs"/>
          <w:rtl/>
        </w:rPr>
        <w:t xml:space="preserve"> بل هو زيادة من عنده قد كذب فيها على الله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جرت سنة العلماء في تصانيفهم أن أحدهم إذا نقل عن أحد العلماء نقلاً ينص على أنه نقله بنصه أو مع شيء من التصرف بالزيادة فيه أو النقص منه، يفعلون ذلك حرصاً على صفة الأمانة، التي يهوي إلى الدرك الأسفل من الحقارة والصغار من حفظ عنه أنه أخل بها في تافه من الأمور، فهم يحرصون على</w:t>
      </w:r>
      <w:r w:rsidRPr="00A52585">
        <w:rPr>
          <w:rFonts w:hint="cs"/>
          <w:sz w:val="24"/>
          <w:szCs w:val="24"/>
          <w:rtl/>
        </w:rPr>
        <w:t xml:space="preserve"> </w:t>
      </w:r>
      <w:r w:rsidR="00777DCB" w:rsidRPr="00A52585">
        <w:rPr>
          <w:rFonts w:hint="cs"/>
          <w:sz w:val="24"/>
          <w:szCs w:val="24"/>
          <w:rtl/>
        </w:rPr>
        <w:t>تلك الصفة صفة الأمانة في النقل عن العلماء إخوانهم فاهمين أنهم لو خانوا في النقل عنهم</w:t>
      </w:r>
      <w:r w:rsidRPr="00A52585">
        <w:rPr>
          <w:rFonts w:hint="cs"/>
          <w:sz w:val="24"/>
          <w:szCs w:val="24"/>
          <w:rtl/>
        </w:rPr>
        <w:t xml:space="preserve"> </w:t>
      </w:r>
      <w:r w:rsidR="00777DCB" w:rsidRPr="00A52585">
        <w:rPr>
          <w:rFonts w:hint="cs"/>
          <w:sz w:val="24"/>
          <w:szCs w:val="24"/>
          <w:rtl/>
        </w:rPr>
        <w:t>- وهم ينقلون عنهم ديناً يدين به العباد -</w:t>
      </w:r>
      <w:r w:rsidRPr="00A52585">
        <w:rPr>
          <w:rFonts w:hint="cs"/>
          <w:sz w:val="24"/>
          <w:szCs w:val="24"/>
          <w:rtl/>
        </w:rPr>
        <w:t xml:space="preserve"> </w:t>
      </w:r>
      <w:r w:rsidR="00777DCB" w:rsidRPr="00A52585">
        <w:rPr>
          <w:rFonts w:hint="cs"/>
          <w:sz w:val="24"/>
          <w:szCs w:val="24"/>
          <w:rtl/>
        </w:rPr>
        <w:t>لهووا في هاوية من النقص لا قرار لها ولا تقوم لهم قائمة بعدها</w:t>
      </w:r>
      <w:r w:rsidR="00DB731D" w:rsidRPr="00A52585">
        <w:rPr>
          <w:rFonts w:hint="cs"/>
          <w:sz w:val="24"/>
          <w:szCs w:val="24"/>
          <w:rtl/>
        </w:rPr>
        <w:t>،</w:t>
      </w:r>
      <w:r w:rsidR="00777DCB" w:rsidRPr="00A52585">
        <w:rPr>
          <w:rFonts w:hint="cs"/>
          <w:sz w:val="24"/>
          <w:szCs w:val="24"/>
          <w:rtl/>
        </w:rPr>
        <w:t xml:space="preserve"> وهم إذا حفظوا عن واحد مما ينتسب إلى العلم شيئاً من الإخلال بتلك الأمانة سقط من نظرهم وأكنوا له في صدورهم من </w:t>
      </w:r>
      <w:proofErr w:type="spellStart"/>
      <w:r w:rsidR="00777DCB" w:rsidRPr="00A52585">
        <w:rPr>
          <w:rFonts w:hint="cs"/>
          <w:sz w:val="24"/>
          <w:szCs w:val="24"/>
          <w:rtl/>
        </w:rPr>
        <w:t>الأزدراء</w:t>
      </w:r>
      <w:proofErr w:type="spellEnd"/>
      <w:r w:rsidR="00777DCB" w:rsidRPr="00A52585">
        <w:rPr>
          <w:rFonts w:hint="cs"/>
          <w:sz w:val="24"/>
          <w:szCs w:val="24"/>
          <w:rtl/>
        </w:rPr>
        <w:t xml:space="preserve"> به كعالم ما يجعله في نظرهم كأنه مسخت إنسانيته وأصبح مخلوقاً آخر من المخلوقات التي لا يقع في النفوس أنها تكون في وقت من الأوقات مصدراً لأي معنى ينتفع به بنو الإنسان من الناحية الأدبية، هذا نظرهم لمن يخون في النقل عن رجل مثلهم ما قال الله ولا رسوله صلى الله عليه وسلم إنه معصوم</w:t>
      </w:r>
      <w:r w:rsidR="00DB731D" w:rsidRPr="00A52585">
        <w:rPr>
          <w:rFonts w:hint="cs"/>
          <w:sz w:val="24"/>
          <w:szCs w:val="24"/>
          <w:rtl/>
        </w:rPr>
        <w:t>،</w:t>
      </w:r>
      <w:r w:rsidR="00777DCB" w:rsidRPr="00A52585">
        <w:rPr>
          <w:rFonts w:hint="cs"/>
          <w:sz w:val="24"/>
          <w:szCs w:val="24"/>
          <w:rtl/>
        </w:rPr>
        <w:t xml:space="preserve"> وإذا كان الأمر كذلك في هذا فليقل لي حضرات إخواننا المساكين المغرورين بابن القيم كيف يدومون على غرورهم به وإمامٌ عظيم من أئمة المسلمين يقول عنه بعبارة صريحة فصيحة بينة لا تحتمل التأويل، لا يقولها فقط بلسانه بل يكتبها في كتاب تبقى فيه على ممر الدهور يقرؤها البعيد والقريب والصغير والكبير والعالم والجاهل والمؤمن والكافر يقول تلك الكلمة هذا الإمام النادر المثال في فضله وزهده وورعه وعلمه وهو يعلم أنه مسؤول عنها عند ربه ولي أمره في دنياه وفي أخراه</w:t>
      </w:r>
      <w:r w:rsidR="00DB731D" w:rsidRPr="00A52585">
        <w:rPr>
          <w:rFonts w:hint="cs"/>
          <w:sz w:val="24"/>
          <w:szCs w:val="24"/>
          <w:rtl/>
        </w:rPr>
        <w:t>،</w:t>
      </w:r>
      <w:r w:rsidR="00777DCB" w:rsidRPr="00A52585">
        <w:rPr>
          <w:rFonts w:hint="cs"/>
          <w:sz w:val="24"/>
          <w:szCs w:val="24"/>
          <w:rtl/>
        </w:rPr>
        <w:t xml:space="preserve"> وأي كلمة هذه الكلمة هي قوله</w:t>
      </w:r>
      <w:r w:rsidRPr="00A52585">
        <w:rPr>
          <w:rFonts w:hint="cs"/>
          <w:sz w:val="24"/>
          <w:szCs w:val="24"/>
          <w:rtl/>
        </w:rPr>
        <w:t>:</w:t>
      </w:r>
      <w:r w:rsidR="00777DCB" w:rsidRPr="00A52585">
        <w:rPr>
          <w:rFonts w:hint="cs"/>
          <w:sz w:val="24"/>
          <w:szCs w:val="24"/>
          <w:rtl/>
        </w:rPr>
        <w:t xml:space="preserve"> إن ابن القيم كذب على الله ورسوله -</w:t>
      </w:r>
      <w:r w:rsidRPr="00A52585">
        <w:rPr>
          <w:rFonts w:hint="cs"/>
          <w:sz w:val="24"/>
          <w:szCs w:val="24"/>
          <w:rtl/>
        </w:rPr>
        <w:t xml:space="preserve"> </w:t>
      </w:r>
      <w:r w:rsidR="00777DCB" w:rsidRPr="00A52585">
        <w:rPr>
          <w:rFonts w:hint="cs"/>
          <w:sz w:val="24"/>
          <w:szCs w:val="24"/>
          <w:rtl/>
        </w:rPr>
        <w:t xml:space="preserve">ليقل لي حضرات المغرورين بابن القيم كيف يكون نظرهم إليه في الحقارة </w:t>
      </w:r>
      <w:r w:rsidR="00777DCB" w:rsidRPr="00A52585">
        <w:rPr>
          <w:rFonts w:hint="cs"/>
          <w:sz w:val="24"/>
          <w:szCs w:val="24"/>
          <w:rtl/>
        </w:rPr>
        <w:lastRenderedPageBreak/>
        <w:t>والصغار وهم يسمعون إماماً كبيراً لا ينسب إمامهم إلى الخيانة في النقل عن فريق العلماء جميعاً، بل ينسبه إلى الخيانة في النقل عن الله ورسوله صلى الله عليه وسلم يقول عنه إنه يكذب عليهما ويسند إليهما ما لم يقله كتاب ولا سنة</w:t>
      </w:r>
      <w:r w:rsidR="00DB731D" w:rsidRPr="00A52585">
        <w:rPr>
          <w:rFonts w:hint="cs"/>
          <w:sz w:val="24"/>
          <w:szCs w:val="24"/>
          <w:rtl/>
        </w:rPr>
        <w:t>،</w:t>
      </w:r>
      <w:r w:rsidR="00777DCB" w:rsidRPr="00A52585">
        <w:rPr>
          <w:rFonts w:hint="cs"/>
          <w:sz w:val="24"/>
          <w:szCs w:val="24"/>
          <w:rtl/>
        </w:rPr>
        <w:t xml:space="preserve"> أمع هذا يبقون على غرورهم وإفراطهم في تعظيم ذلك الرجل الذي يقول عنه الإمام السبكي بحق</w:t>
      </w:r>
      <w:r w:rsidRPr="00A52585">
        <w:rPr>
          <w:rFonts w:hint="cs"/>
          <w:sz w:val="24"/>
          <w:szCs w:val="24"/>
          <w:rtl/>
        </w:rPr>
        <w:t>:</w:t>
      </w:r>
      <w:r w:rsidR="00777DCB" w:rsidRPr="00A52585">
        <w:rPr>
          <w:rFonts w:hint="cs"/>
          <w:sz w:val="24"/>
          <w:szCs w:val="24"/>
          <w:rtl/>
        </w:rPr>
        <w:t xml:space="preserve"> إنه ما زاد عنه الزنادقة والملاحدة والطاعنون في الشريعة.. في الخروج على الإسلام والمسلمين</w:t>
      </w:r>
      <w:r w:rsidR="00F95886" w:rsidRPr="00A52585">
        <w:rPr>
          <w:rFonts w:hint="cs"/>
          <w:sz w:val="24"/>
          <w:szCs w:val="24"/>
          <w:rtl/>
        </w:rPr>
        <w:t>؟</w:t>
      </w:r>
      <w:r w:rsidR="00777DCB" w:rsidRPr="00A52585">
        <w:rPr>
          <w:rFonts w:hint="cs"/>
          <w:sz w:val="24"/>
          <w:szCs w:val="24"/>
          <w:rtl/>
        </w:rPr>
        <w:t>!! أنا لا أتوهم بعد اطلاع هؤلاء المساكين على حال هذا الرجل أن يبقى في قلوبهم مثقال ذرة من التعظيم له والعطف عليه، كيف لا وهم مؤمنون والله يقول في كتابه الكريم عن كل من اتصف بالإيمان {لا تجد قوما يؤمنون بالله واليوم الآخر يوادون من حاد الله ورسوله ولو كانوا آباءهم أو أبناءهم أو إخوانهم أو عشيرتهم} [المجادلة</w:t>
      </w:r>
      <w:r w:rsidRPr="00A52585">
        <w:rPr>
          <w:rFonts w:hint="cs"/>
          <w:sz w:val="24"/>
          <w:szCs w:val="24"/>
          <w:rtl/>
        </w:rPr>
        <w:t>:</w:t>
      </w:r>
      <w:r w:rsidR="00777DCB" w:rsidRPr="00A52585">
        <w:rPr>
          <w:rFonts w:hint="cs"/>
          <w:sz w:val="24"/>
          <w:szCs w:val="24"/>
          <w:rtl/>
        </w:rPr>
        <w:t xml:space="preserve"> 22]</w:t>
      </w:r>
      <w:r w:rsidR="00DB731D" w:rsidRPr="00A52585">
        <w:rPr>
          <w:rFonts w:hint="cs"/>
          <w:sz w:val="24"/>
          <w:szCs w:val="24"/>
          <w:rtl/>
        </w:rPr>
        <w:t>،</w:t>
      </w:r>
      <w:r w:rsidR="00777DCB" w:rsidRPr="00A52585">
        <w:rPr>
          <w:rFonts w:hint="cs"/>
          <w:sz w:val="24"/>
          <w:szCs w:val="24"/>
          <w:rtl/>
        </w:rPr>
        <w:t xml:space="preserve"> وإني أعيذهم بالله من احترام رجل لا يزيد عنه في الخروج على الإسلام والمسلمين لا الزنادقة ولا الملاحدة ولا الطاعنون في الشريعة</w:t>
      </w:r>
      <w:r w:rsidR="00DB731D" w:rsidRPr="00A52585">
        <w:rPr>
          <w:rFonts w:hint="cs"/>
          <w:sz w:val="24"/>
          <w:szCs w:val="24"/>
          <w:rtl/>
        </w:rPr>
        <w:t>،</w:t>
      </w:r>
      <w:r w:rsidR="00777DCB" w:rsidRPr="00A52585">
        <w:rPr>
          <w:rFonts w:hint="cs"/>
          <w:sz w:val="24"/>
          <w:szCs w:val="24"/>
          <w:rtl/>
        </w:rPr>
        <w:t xml:space="preserve"> إني أرجو إخواننا المغرورين بابن القيم أن يفهموا أن كذب صاحبهم على الله ورسوله صلى الله عليه وسلم في أصول الإسلام. ليعلموا هذا جيداً ثم ليوقنوا أن الذي يكذب في الأصول هين جداً عنده أن يكذب في الفروع وإذن ترتفع بكل معناها عن ابن القيم، فلا يجوز لمسلم أن يعتمد عليه في نقل لا في أصول ديننا ولا في فروعه، وهو على هذه الحالة سيئة واحدة من سيئات شيخه الكبير إمامكم العظيم لا في هذا ولا عشر نظركم ابن تيمية، ما ثبت له يثبت لشيخه بالأولى ثم بالأولى</w:t>
      </w:r>
      <w:r w:rsidR="00DB731D" w:rsidRPr="00A52585">
        <w:rPr>
          <w:rFonts w:hint="cs"/>
          <w:sz w:val="24"/>
          <w:szCs w:val="24"/>
          <w:rtl/>
        </w:rPr>
        <w:t>،</w:t>
      </w:r>
      <w:r w:rsidR="00777DCB" w:rsidRPr="00A52585">
        <w:rPr>
          <w:rFonts w:hint="cs"/>
          <w:sz w:val="24"/>
          <w:szCs w:val="24"/>
          <w:rtl/>
        </w:rPr>
        <w:t xml:space="preserve"> وبناء على هذا أؤكد عليكم أن تنظروا إلى كل كتاب خطته براعة هذا الرجل وشيخه نظَر من لا أثر للثقة في قلبه بهما وبما يكتبانه؛ وإلا فمثلكم حينئذ مثل من يرى اللص بعينه يسرق العظائم من أموال الناس ثم في الوقت عينه يقول ما أصلحه وما اجله وما أوثق دينه</w:t>
      </w:r>
      <w:r w:rsidRPr="00A52585">
        <w:rPr>
          <w:rFonts w:hint="cs"/>
          <w:sz w:val="24"/>
          <w:szCs w:val="24"/>
          <w:rtl/>
        </w:rPr>
        <w:t>]</w:t>
      </w:r>
      <w:r w:rsidR="00777DCB" w:rsidRPr="00A52585">
        <w:rPr>
          <w:rFonts w:hint="cs"/>
          <w:rtl/>
        </w:rPr>
        <w:t xml:space="preserve"> وعلى رسوله صلى الله عليه وسلم وفهمها على خلاف الحق ونسب إلى علماء المسلمين البرآء من السوء كل قبيح</w:t>
      </w:r>
      <w:r w:rsidR="00DB731D" w:rsidRPr="00A52585">
        <w:rPr>
          <w:rFonts w:hint="cs"/>
          <w:rtl/>
        </w:rPr>
        <w:t>،</w:t>
      </w:r>
      <w:r w:rsidR="00777DCB" w:rsidRPr="00A52585">
        <w:rPr>
          <w:rFonts w:hint="cs"/>
          <w:rtl/>
        </w:rPr>
        <w:t xml:space="preserve"> وجعل ذلك طريقا للخروج من الدين والانسلاخ من الإيمان وانتهاك الحرام</w:t>
      </w:r>
      <w:r w:rsidR="00DB731D" w:rsidRPr="00A52585">
        <w:rPr>
          <w:rFonts w:hint="cs"/>
          <w:rtl/>
        </w:rPr>
        <w:t>،</w:t>
      </w:r>
      <w:r w:rsidR="00777DCB" w:rsidRPr="00A52585">
        <w:rPr>
          <w:rFonts w:hint="cs"/>
          <w:rtl/>
        </w:rPr>
        <w:t xml:space="preserve"> وعدم اعتقاد شيء فهل وصلت الزنادقة والملاحدة والطاعنون في الشريعة إلى أكثر من هذا</w:t>
      </w:r>
      <w:r w:rsidR="00F95886" w:rsidRPr="00A52585">
        <w:rPr>
          <w:rFonts w:hint="cs"/>
          <w:rtl/>
        </w:rPr>
        <w:t>؟</w:t>
      </w:r>
      <w:r w:rsidR="00777DCB" w:rsidRPr="00A52585">
        <w:rPr>
          <w:rFonts w:hint="cs"/>
          <w:rtl/>
        </w:rPr>
        <w:t xml:space="preserve"> بل هذا</w:t>
      </w:r>
      <w:r w:rsidR="00DB731D" w:rsidRPr="00A52585">
        <w:rPr>
          <w:rFonts w:hint="cs"/>
          <w:rtl/>
        </w:rPr>
        <w:t>،</w:t>
      </w:r>
      <w:r w:rsidR="00777DCB" w:rsidRPr="00A52585">
        <w:rPr>
          <w:rFonts w:hint="cs"/>
          <w:rtl/>
        </w:rPr>
        <w:t xml:space="preserve"> وإيهامه الجهال أنه هو المتمسك بالقرآن والسنة</w:t>
      </w:r>
      <w:r w:rsidR="00DB731D" w:rsidRPr="00A52585">
        <w:rPr>
          <w:rFonts w:hint="cs"/>
          <w:rtl/>
        </w:rPr>
        <w:t>،</w:t>
      </w:r>
      <w:r w:rsidR="00777DCB" w:rsidRPr="00A52585">
        <w:rPr>
          <w:rFonts w:hint="cs"/>
          <w:rtl/>
        </w:rPr>
        <w:t xml:space="preserve"> لينفق عندهم كلامه ويخفي عنهم سقامه</w:t>
      </w:r>
      <w:r w:rsidR="00DB731D" w:rsidRPr="00A52585">
        <w:rPr>
          <w:rFonts w:hint="cs"/>
          <w:rtl/>
        </w:rPr>
        <w:t>،</w:t>
      </w:r>
      <w:r w:rsidR="00777DCB" w:rsidRPr="00A52585">
        <w:rPr>
          <w:rFonts w:hint="cs"/>
          <w:rtl/>
        </w:rPr>
        <w:t xml:space="preserve"> </w:t>
      </w:r>
    </w:p>
    <w:p w14:paraId="5FFFCC4A" w14:textId="4D1F4CF7" w:rsidR="00777DCB" w:rsidRPr="00A52585" w:rsidRDefault="0002035C" w:rsidP="0002035C">
      <w:pPr>
        <w:spacing w:after="240"/>
        <w:rPr>
          <w:b/>
          <w:rtl/>
        </w:rPr>
      </w:pPr>
      <w:r w:rsidRPr="00A52585">
        <w:rPr>
          <w:rFonts w:hint="cs"/>
          <w:bCs/>
          <w:rtl/>
        </w:rPr>
        <w:t>[</w:t>
      </w:r>
      <w:r w:rsidR="00777DCB" w:rsidRPr="00A52585">
        <w:rPr>
          <w:rFonts w:hint="cs"/>
          <w:bCs/>
          <w:rtl/>
        </w:rPr>
        <w:t>فصــــــــــــــل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قدوم ركب الإيمان وعسكر القرآن</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وأتى فريق ثم قال</w:t>
      </w:r>
      <w:r w:rsidRPr="00A52585">
        <w:rPr>
          <w:rFonts w:hint="cs"/>
          <w:rtl/>
        </w:rPr>
        <w:t>:</w:t>
      </w:r>
      <w:r w:rsidR="00777DCB" w:rsidRPr="00A52585">
        <w:rPr>
          <w:rFonts w:hint="cs"/>
          <w:rtl/>
        </w:rPr>
        <w:t xml:space="preserve"> ألا اسمعوا قد جئتكم من مطلع الإيمان</w:t>
      </w:r>
      <w:r w:rsidR="00DB731D" w:rsidRPr="00A52585">
        <w:rPr>
          <w:rFonts w:hint="cs"/>
          <w:rtl/>
        </w:rPr>
        <w:t>،</w:t>
      </w:r>
      <w:r w:rsidR="00777DCB" w:rsidRPr="00A52585">
        <w:rPr>
          <w:rFonts w:hint="cs"/>
          <w:rtl/>
        </w:rPr>
        <w:t xml:space="preserve"> من أرض طيبة</w:t>
      </w:r>
      <w:r w:rsidR="00DB731D" w:rsidRPr="00A52585">
        <w:rPr>
          <w:rFonts w:hint="cs"/>
          <w:rtl/>
        </w:rPr>
        <w:t>،</w:t>
      </w:r>
      <w:r w:rsidR="00777DCB" w:rsidRPr="00A52585">
        <w:rPr>
          <w:rFonts w:hint="cs"/>
          <w:rtl/>
        </w:rPr>
        <w:t xml:space="preserve"> من مهاجر أحمد. سافرت في طلب الإله فدلني الهادي عليه</w:t>
      </w:r>
      <w:r w:rsidR="00DB731D" w:rsidRPr="00A52585">
        <w:rPr>
          <w:rFonts w:hint="cs"/>
          <w:rtl/>
        </w:rPr>
        <w:t>،</w:t>
      </w:r>
      <w:r w:rsidR="00777DCB" w:rsidRPr="00A52585">
        <w:rPr>
          <w:rFonts w:hint="cs"/>
          <w:rtl/>
        </w:rPr>
        <w:t xml:space="preserve"> ومحكم القرآن مع فطرة الرحمن وصريح عقل شهدوا بأن الله منفرد بالملك والسلطان وهو الإله الحق</w:t>
      </w:r>
      <w:r w:rsidRPr="00A52585">
        <w:rPr>
          <w:rFonts w:hint="cs"/>
          <w:rtl/>
        </w:rPr>
        <w:t>)</w:t>
      </w:r>
      <w:r w:rsidR="00DB731D" w:rsidRPr="00A52585">
        <w:rPr>
          <w:rFonts w:hint="cs"/>
          <w:rtl/>
        </w:rPr>
        <w:t>،</w:t>
      </w:r>
      <w:r w:rsidR="00777DCB" w:rsidRPr="00A52585">
        <w:rPr>
          <w:rFonts w:hint="cs"/>
          <w:rtl/>
        </w:rPr>
        <w:t xml:space="preserve"> هذا صحيح</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معبود إلا وجهه</w:t>
      </w:r>
      <w:r w:rsidRPr="00A52585">
        <w:rPr>
          <w:rFonts w:hint="cs"/>
          <w:rtl/>
        </w:rPr>
        <w:t>)</w:t>
      </w:r>
      <w:r w:rsidR="00777DCB" w:rsidRPr="00A52585">
        <w:rPr>
          <w:rFonts w:hint="cs"/>
          <w:rtl/>
        </w:rPr>
        <w:t xml:space="preserve"> هذا عندنا صحيح وأما عنده فالوجه غير الذات فكيف يصح</w:t>
      </w:r>
      <w:r w:rsidR="00F95886"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والناس بعد فمشرك أو مبتدع وكذلك شهدوا بأن </w:t>
      </w:r>
      <w:proofErr w:type="gramStart"/>
      <w:r w:rsidR="00777DCB" w:rsidRPr="00A52585">
        <w:rPr>
          <w:rFonts w:hint="cs"/>
          <w:rtl/>
        </w:rPr>
        <w:t>اله</w:t>
      </w:r>
      <w:proofErr w:type="gramEnd"/>
      <w:r w:rsidR="00777DCB" w:rsidRPr="00A52585">
        <w:rPr>
          <w:rFonts w:hint="cs"/>
          <w:rtl/>
        </w:rPr>
        <w:t xml:space="preserve"> ذو سمع وذو بصر هما صفتان</w:t>
      </w:r>
      <w:r w:rsidRPr="00A52585">
        <w:rPr>
          <w:rFonts w:hint="cs"/>
          <w:rtl/>
        </w:rPr>
        <w:t>)</w:t>
      </w:r>
      <w:r w:rsidR="00DB731D" w:rsidRPr="00A52585">
        <w:rPr>
          <w:rFonts w:hint="cs"/>
          <w:rtl/>
        </w:rPr>
        <w:t>،</w:t>
      </w:r>
      <w:r w:rsidR="00777DCB" w:rsidRPr="00A52585">
        <w:rPr>
          <w:rFonts w:hint="cs"/>
          <w:rtl/>
        </w:rPr>
        <w:t xml:space="preserve"> هذا نحن نقوله لكن لو طولب بالشهادة بأنه ذو سمع وذو بصر أين يجدها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الواجب على من يهاب مقام ربه أن لا يطلق عليه تعالى ما لم يرد إطلاقه عليه في الكتاب والسنة المشهورة مع الاقتصار على الوارد، فعلاً كان أو صفة أو مفرداً أو مجموعاً، فلا يقال له عينان ولا مستو</w:t>
      </w:r>
      <w:r w:rsidR="00DB731D" w:rsidRPr="00A52585">
        <w:rPr>
          <w:rFonts w:hint="cs"/>
          <w:sz w:val="24"/>
          <w:szCs w:val="24"/>
          <w:rtl/>
        </w:rPr>
        <w:t>،</w:t>
      </w:r>
      <w:r w:rsidR="00777DCB" w:rsidRPr="00A52585">
        <w:rPr>
          <w:rFonts w:hint="cs"/>
          <w:sz w:val="24"/>
          <w:szCs w:val="24"/>
          <w:rtl/>
        </w:rPr>
        <w:t xml:space="preserve"> فإبدال الفعل صفة، والمجموع مثنى، وإبدال اللفظ بما يظن مرادفاً له مما يجب أن </w:t>
      </w:r>
      <w:proofErr w:type="spellStart"/>
      <w:r w:rsidR="00777DCB" w:rsidRPr="00A52585">
        <w:rPr>
          <w:rFonts w:hint="cs"/>
          <w:sz w:val="24"/>
          <w:szCs w:val="24"/>
          <w:rtl/>
        </w:rPr>
        <w:t>يتهيبه</w:t>
      </w:r>
      <w:proofErr w:type="spellEnd"/>
      <w:r w:rsidR="00777DCB" w:rsidRPr="00A52585">
        <w:rPr>
          <w:rFonts w:hint="cs"/>
          <w:sz w:val="24"/>
          <w:szCs w:val="24"/>
          <w:rtl/>
        </w:rPr>
        <w:t xml:space="preserve"> كل مسلم. بل قال إمام الحرمين</w:t>
      </w:r>
      <w:r w:rsidRPr="00A52585">
        <w:rPr>
          <w:rFonts w:hint="cs"/>
          <w:sz w:val="24"/>
          <w:szCs w:val="24"/>
          <w:rtl/>
        </w:rPr>
        <w:t>:</w:t>
      </w:r>
      <w:r w:rsidR="00777DCB" w:rsidRPr="00A52585">
        <w:rPr>
          <w:rFonts w:hint="cs"/>
          <w:sz w:val="24"/>
          <w:szCs w:val="24"/>
          <w:rtl/>
        </w:rPr>
        <w:t xml:space="preserve"> أجمع المسلمون على منع تقدير صفة مجتهد فيها لله عز وجل لا يتوصل فيها إلى قطع بعقل أو سمع وأجمع المحققون على أن الظواهر </w:t>
      </w:r>
      <w:r w:rsidR="00777DCB" w:rsidRPr="00A52585">
        <w:rPr>
          <w:rFonts w:hint="cs"/>
          <w:sz w:val="24"/>
          <w:szCs w:val="24"/>
          <w:rtl/>
        </w:rPr>
        <w:lastRenderedPageBreak/>
        <w:t>يصح تخصيصها أو تركها بما لا يقطع به من أخبار الآحاد والأقيسة، وما يترك بما لا يقطع به كيف يقطع به</w:t>
      </w:r>
      <w:r w:rsidR="00F95886" w:rsidRPr="00A52585">
        <w:rPr>
          <w:rFonts w:hint="cs"/>
          <w:sz w:val="24"/>
          <w:szCs w:val="24"/>
          <w:rtl/>
        </w:rPr>
        <w:t>؟</w:t>
      </w:r>
      <w:r w:rsidR="00777DCB" w:rsidRPr="00A52585">
        <w:rPr>
          <w:rFonts w:hint="cs"/>
          <w:sz w:val="24"/>
          <w:szCs w:val="24"/>
          <w:rtl/>
        </w:rPr>
        <w:t xml:space="preserve"> اهـ]</w:t>
      </w:r>
      <w:r w:rsidR="00777DCB" w:rsidRPr="00A52585">
        <w:rPr>
          <w:rFonts w:hint="cs"/>
          <w:rtl/>
        </w:rPr>
        <w:t xml:space="preserve"> في ألفاظ القرآن والسنة ولو كان كذلك لم يكن بيننا وبين المعتزلة نـزاع فيه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وعموم قدرته يدل بأنه</w:t>
      </w:r>
      <w:r w:rsidRPr="00A52585">
        <w:rPr>
          <w:rFonts w:hint="cs"/>
          <w:rtl/>
        </w:rPr>
        <w:t xml:space="preserve"> </w:t>
      </w:r>
      <w:r w:rsidR="00777DCB" w:rsidRPr="00A52585">
        <w:rPr>
          <w:rFonts w:hint="cs"/>
          <w:rtl/>
        </w:rPr>
        <w:t>هو خالق الأفعال للحيوان</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وكم من شيء مقدور عليه لم يدخل في حيز الوجود فمن أين يدل عموم القدرة على أنه خالق أفعال الحيوان</w:t>
      </w:r>
      <w:r w:rsidR="00F95886" w:rsidRPr="00A52585">
        <w:rPr>
          <w:rFonts w:hint="cs"/>
          <w:sz w:val="24"/>
          <w:szCs w:val="24"/>
          <w:rtl/>
        </w:rPr>
        <w:t>؟</w:t>
      </w:r>
      <w:r w:rsidR="00777DCB" w:rsidRPr="00A52585">
        <w:rPr>
          <w:rFonts w:hint="cs"/>
          <w:sz w:val="24"/>
          <w:szCs w:val="24"/>
          <w:rtl/>
        </w:rPr>
        <w:t xml:space="preserve"> بل الدليل على ذلك قوله تعالى {والله خلقكم وما تعملون} [الصافات</w:t>
      </w:r>
      <w:r w:rsidRPr="00A52585">
        <w:rPr>
          <w:rFonts w:hint="cs"/>
          <w:sz w:val="24"/>
          <w:szCs w:val="24"/>
          <w:rtl/>
        </w:rPr>
        <w:t>:</w:t>
      </w:r>
      <w:r w:rsidR="00777DCB" w:rsidRPr="00A52585">
        <w:rPr>
          <w:rFonts w:hint="cs"/>
          <w:sz w:val="24"/>
          <w:szCs w:val="24"/>
          <w:rtl/>
        </w:rPr>
        <w:t xml:space="preserve"> 96] وقوله تعالى {الله خالق كل شيء} [الزمر</w:t>
      </w:r>
      <w:r w:rsidRPr="00A52585">
        <w:rPr>
          <w:rFonts w:hint="cs"/>
          <w:sz w:val="24"/>
          <w:szCs w:val="24"/>
          <w:rtl/>
        </w:rPr>
        <w:t>:</w:t>
      </w:r>
      <w:r w:rsidR="00777DCB" w:rsidRPr="00A52585">
        <w:rPr>
          <w:rFonts w:hint="cs"/>
          <w:sz w:val="24"/>
          <w:szCs w:val="24"/>
          <w:rtl/>
        </w:rPr>
        <w:t xml:space="preserve"> 62] وكم لنا من براهين عقلية على ذلك لكن الناظم بالغ الجهل ظاهر البلادة حتى في مثل هذه المسائل الظاهرة لصغار المتعلمين، وحق مثله أن يقرع إيقافاً له عند حدِّه، فالمصنف معذور إذا قال عنه إنه حمار أو تيس</w:t>
      </w:r>
      <w:r w:rsidRPr="00A52585">
        <w:rPr>
          <w:rFonts w:hint="cs"/>
          <w:sz w:val="24"/>
          <w:szCs w:val="24"/>
          <w:rtl/>
        </w:rPr>
        <w:t>]</w:t>
      </w:r>
      <w:r w:rsidR="00DB731D" w:rsidRPr="00A52585">
        <w:rPr>
          <w:rFonts w:hint="cs"/>
          <w:rtl/>
        </w:rPr>
        <w:t>،</w:t>
      </w:r>
      <w:r w:rsidR="00777DCB" w:rsidRPr="00A52585">
        <w:rPr>
          <w:rFonts w:hint="cs"/>
          <w:rtl/>
        </w:rPr>
        <w:t xml:space="preserve"> اعتقادنا أنه سبحانه خالق أفعال الحيوان ولكن كيف يدل عموم القدرة على ذلك بل لذلك أدلة أخر. واستدلال هذا الفدم بعموم القدرة من عدم شعوره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هي خلقه حقاً وأفعال لهم حقا ولا يتناقض الأمران</w:t>
      </w:r>
      <w:r w:rsidRPr="00A52585">
        <w:rPr>
          <w:rFonts w:hint="cs"/>
          <w:rtl/>
        </w:rPr>
        <w:t>)</w:t>
      </w:r>
      <w:r w:rsidR="00DB731D" w:rsidRPr="00A52585">
        <w:rPr>
          <w:rFonts w:hint="cs"/>
          <w:rtl/>
        </w:rPr>
        <w:t>،</w:t>
      </w:r>
      <w:r w:rsidR="00777DCB" w:rsidRPr="00A52585">
        <w:rPr>
          <w:rFonts w:hint="cs"/>
          <w:rtl/>
        </w:rPr>
        <w:t xml:space="preserve"> عجب قد تقدم إنكار على جهم وشيعته قولهم</w:t>
      </w:r>
      <w:r w:rsidRPr="00A52585">
        <w:rPr>
          <w:rFonts w:hint="cs"/>
          <w:rtl/>
        </w:rPr>
        <w:t>:</w:t>
      </w:r>
      <w:r w:rsidR="00777DCB" w:rsidRPr="00A52585">
        <w:rPr>
          <w:rFonts w:hint="cs"/>
          <w:rtl/>
        </w:rPr>
        <w:t xml:space="preserve"> إن العبد ليس بفاعل فما هذا التناقض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نفى عن العبد كونه فاعلاً في مذهب الجهمية يعني الأشاعرة فيما سبق وأثبته هنا مذهباً لهم، وعد اعتبار العبد فاعلاً مناقضاً لاعتبار أن الله خالق لفعل العبد! مع أن التناقض في كلامه نفسه كما شرحنا حيث نفى عنهم سابقاً ما أثبته لهم هنا. وأين التناقض بين كون الله خالقاً وبين كون العبد فاعلا</w:t>
      </w:r>
      <w:r w:rsidR="00F95886" w:rsidRPr="00A52585">
        <w:rPr>
          <w:rFonts w:hint="cs"/>
          <w:sz w:val="24"/>
          <w:szCs w:val="24"/>
          <w:rtl/>
        </w:rPr>
        <w:t>؟</w:t>
      </w:r>
      <w:r w:rsidR="00777DCB" w:rsidRPr="00A52585">
        <w:rPr>
          <w:rFonts w:hint="cs"/>
          <w:sz w:val="24"/>
          <w:szCs w:val="24"/>
          <w:rtl/>
        </w:rPr>
        <w:t>! فتدبّر]</w:t>
      </w:r>
      <w:r w:rsidR="00F95886" w:rsidRPr="00A52585">
        <w:rPr>
          <w:rFonts w:hint="cs"/>
          <w:rtl/>
        </w:rPr>
        <w:t>؟</w:t>
      </w:r>
      <w:r w:rsidR="00777DCB" w:rsidRPr="00A52585">
        <w:rPr>
          <w:rFonts w:hint="cs"/>
          <w:rtl/>
        </w:rPr>
        <w:t xml:space="preserve">! ولعله نقل </w:t>
      </w:r>
      <w:proofErr w:type="spellStart"/>
      <w:r w:rsidR="00777DCB" w:rsidRPr="00A52585">
        <w:rPr>
          <w:rFonts w:hint="cs"/>
          <w:rtl/>
        </w:rPr>
        <w:t>الكلامين</w:t>
      </w:r>
      <w:proofErr w:type="spellEnd"/>
      <w:r w:rsidR="00777DCB" w:rsidRPr="00A52585">
        <w:rPr>
          <w:rFonts w:hint="cs"/>
          <w:rtl/>
        </w:rPr>
        <w:t xml:space="preserve"> تقليداً ولم يفهم معناهما فلذلك وقع التناقض بينهما ؛ ويكونان من </w:t>
      </w:r>
      <w:proofErr w:type="spellStart"/>
      <w:r w:rsidR="00777DCB" w:rsidRPr="00A52585">
        <w:rPr>
          <w:rFonts w:hint="cs"/>
          <w:rtl/>
        </w:rPr>
        <w:t>كلامين</w:t>
      </w:r>
      <w:proofErr w:type="spellEnd"/>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فحقيقة القدر الذي حار الورى في شأنه هو قدرة الرحمن</w:t>
      </w:r>
      <w:r w:rsidR="00DB731D" w:rsidRPr="00A52585">
        <w:rPr>
          <w:rFonts w:hint="cs"/>
          <w:rtl/>
        </w:rPr>
        <w:t>،</w:t>
      </w:r>
      <w:r w:rsidR="00777DCB" w:rsidRPr="00A52585">
        <w:rPr>
          <w:rFonts w:hint="cs"/>
          <w:rtl/>
        </w:rPr>
        <w:t xml:space="preserve"> واستحسن ابن عقيل ذا من أحمد وقال شفى القلوب بلفظه</w:t>
      </w:r>
      <w:r w:rsidRPr="00A52585">
        <w:rPr>
          <w:rFonts w:hint="cs"/>
          <w:rtl/>
        </w:rPr>
        <w:t>)</w:t>
      </w:r>
      <w:r w:rsidR="00DB731D" w:rsidRPr="00A52585">
        <w:rPr>
          <w:rFonts w:hint="cs"/>
          <w:rtl/>
        </w:rPr>
        <w:t>،</w:t>
      </w:r>
      <w:r w:rsidR="00777DCB" w:rsidRPr="00A52585">
        <w:rPr>
          <w:rFonts w:hint="cs"/>
          <w:rtl/>
        </w:rPr>
        <w:t xml:space="preserve"> وقال الناظم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الجبرية والمكذبين بالقدر نظروا نظر الأعور</w:t>
      </w:r>
      <w:r w:rsidRPr="00A52585">
        <w:rPr>
          <w:rFonts w:hint="cs"/>
          <w:rtl/>
        </w:rPr>
        <w:t>)</w:t>
      </w:r>
      <w:r w:rsidR="00777DCB" w:rsidRPr="00A52585">
        <w:rPr>
          <w:rFonts w:hint="cs"/>
          <w:rtl/>
        </w:rPr>
        <w:t xml:space="preserve"> والكلام في ذلك يطول, وليس هذا من أهله , ولا هو متعلق به؛ بل كلامه فيه فضول فيما لا يعنيه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نـرجو حضرات المغترين بهذا الناظم ونلح في الرجاء أن يقفوا هنا طويلاً ليفهموا مقدار </w:t>
      </w:r>
      <w:proofErr w:type="spellStart"/>
      <w:r w:rsidR="00777DCB" w:rsidRPr="00A52585">
        <w:rPr>
          <w:rFonts w:hint="cs"/>
          <w:sz w:val="24"/>
          <w:szCs w:val="24"/>
          <w:rtl/>
        </w:rPr>
        <w:t>قدوتهم</w:t>
      </w:r>
      <w:proofErr w:type="spellEnd"/>
      <w:r w:rsidR="00777DCB" w:rsidRPr="00A52585">
        <w:rPr>
          <w:rFonts w:hint="cs"/>
          <w:sz w:val="24"/>
          <w:szCs w:val="24"/>
          <w:rtl/>
        </w:rPr>
        <w:t xml:space="preserve"> الذي لا يرضون أن يكون بجانبه أحد من علماء الأمة في العلم، فها هم أولاء يسمعون الشيخ السبكي وهو الإمام الجليل في تقواه وفضله يقرر بصراحة أن ابن القيم ليس بأهل للكلام معه في مسألة من المسائل العادية، وإني أعود فأرجوهم أن يتأملوا طويلاً في كلمة هذا الإمام الكبير رضي الله عنه]</w:t>
      </w:r>
      <w:r w:rsidR="00DB731D" w:rsidRPr="00A52585">
        <w:rPr>
          <w:rFonts w:hint="cs"/>
          <w:rtl/>
        </w:rPr>
        <w:t>،</w:t>
      </w:r>
    </w:p>
    <w:p w14:paraId="734D1E7A" w14:textId="57810A5E" w:rsidR="00777DCB" w:rsidRPr="00A52585" w:rsidRDefault="0002035C" w:rsidP="0002035C">
      <w:pPr>
        <w:spacing w:after="240"/>
        <w:rPr>
          <w:b/>
          <w:bCs/>
          <w:rtl/>
        </w:rPr>
      </w:pPr>
      <w:r w:rsidRPr="00A52585">
        <w:rPr>
          <w:rFonts w:hint="cs"/>
          <w:bCs/>
          <w:rtl/>
        </w:rPr>
        <w:t>[</w:t>
      </w:r>
      <w:r w:rsidR="00777DCB" w:rsidRPr="00A52585">
        <w:rPr>
          <w:rFonts w:hint="cs"/>
          <w:bCs/>
          <w:rtl/>
        </w:rPr>
        <w:t>فصــــــــــل</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أيكون أعطى الكمال وما له ذاك الكمال أيكون</w:t>
      </w:r>
      <w:r w:rsidRPr="00A52585">
        <w:rPr>
          <w:rFonts w:hint="cs"/>
          <w:rtl/>
        </w:rPr>
        <w:t xml:space="preserve"> </w:t>
      </w:r>
      <w:r w:rsidR="00777DCB" w:rsidRPr="00A52585">
        <w:rPr>
          <w:rFonts w:hint="cs"/>
          <w:rtl/>
        </w:rPr>
        <w:t>إنسان سميع مبصر متكلم وله الحياة والقدرة والإرادة والعلم والله قد أعطاه ذاك وليس وصفه فاعجب من البهتان بخلاف نوم العبد وجماعه وأكله وحاجة بدنه إذ تلك ملزومات كون العبد محتاجاً وتلك لوازم النقصان وكذا لوازم كونه جسداً نعم</w:t>
      </w:r>
      <w:r w:rsidR="00DB731D" w:rsidRPr="00A52585">
        <w:rPr>
          <w:rFonts w:hint="cs"/>
          <w:rtl/>
        </w:rPr>
        <w:t>،</w:t>
      </w:r>
      <w:r w:rsidR="00777DCB" w:rsidRPr="00A52585">
        <w:rPr>
          <w:rFonts w:hint="cs"/>
          <w:rtl/>
        </w:rPr>
        <w:t xml:space="preserve"> ولوازم الأحداث والإمكان يتقدس عنها وعن أعضاء ذي جثمان</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دليل اتصاف الله سبحانه بصفات الكمال من الكتاب والسنة والمعقول معروف عند أهله، وأما الطريق الذي سلكه الناظم في ذلك فليس في شيء من الأداء إلى ما يتوخاه، وإنما سلك هذا الطريق الغير النافذ ليخيل إلى العامة أن صفات الله من قبيل صفات العبد، فلا مانع من أن يكون الباري ينظر بعين ويسمع بأذن.. إلى آخر تلك </w:t>
      </w:r>
      <w:proofErr w:type="spellStart"/>
      <w:r w:rsidR="00777DCB" w:rsidRPr="00A52585">
        <w:rPr>
          <w:rFonts w:hint="cs"/>
          <w:sz w:val="24"/>
          <w:szCs w:val="24"/>
          <w:rtl/>
        </w:rPr>
        <w:t>المخازي</w:t>
      </w:r>
      <w:proofErr w:type="spellEnd"/>
      <w:r w:rsidR="00777DCB" w:rsidRPr="00A52585">
        <w:rPr>
          <w:rFonts w:hint="cs"/>
          <w:sz w:val="24"/>
          <w:szCs w:val="24"/>
          <w:rtl/>
        </w:rPr>
        <w:t xml:space="preserve"> كما هو مذهبه في إثبات الصورة له </w:t>
      </w:r>
      <w:r w:rsidR="00777DCB" w:rsidRPr="00A52585">
        <w:rPr>
          <w:rFonts w:hint="cs"/>
          <w:sz w:val="24"/>
          <w:szCs w:val="24"/>
          <w:rtl/>
        </w:rPr>
        <w:lastRenderedPageBreak/>
        <w:t>تعالى، مع أن تلك الصفات في العبد بآلات وجوارح فهي في العبد مقرونة بالنقائص والاحتياج، تعالى الله عن ذلك، فليتنبه إلى دسائس الناظم]</w:t>
      </w:r>
    </w:p>
    <w:p w14:paraId="7097283A" w14:textId="61A14EA9" w:rsidR="00777DCB" w:rsidRPr="00A52585" w:rsidRDefault="0002035C" w:rsidP="0002035C">
      <w:pPr>
        <w:spacing w:after="240"/>
        <w:rPr>
          <w:b/>
          <w:rtl/>
        </w:rPr>
      </w:pPr>
      <w:r w:rsidRPr="00A52585">
        <w:rPr>
          <w:rFonts w:hint="cs"/>
          <w:bCs/>
          <w:rtl/>
        </w:rPr>
        <w:t>[</w:t>
      </w:r>
      <w:r w:rsidR="00777DCB" w:rsidRPr="00A52585">
        <w:rPr>
          <w:rFonts w:hint="cs"/>
          <w:bCs/>
          <w:rtl/>
        </w:rPr>
        <w:t>عدم تمييز الناظم بين اللازم والملزوم</w:t>
      </w:r>
      <w:r w:rsidRPr="00A52585">
        <w:rPr>
          <w:rFonts w:hint="cs"/>
          <w:bCs/>
          <w:rtl/>
        </w:rPr>
        <w:t>]:</w:t>
      </w:r>
      <w:r w:rsidR="00777DCB" w:rsidRPr="00A52585">
        <w:rPr>
          <w:rFonts w:hint="cs"/>
          <w:bCs/>
          <w:rtl/>
        </w:rPr>
        <w:t xml:space="preserve"> </w:t>
      </w:r>
      <w:r w:rsidR="00777DCB" w:rsidRPr="00A52585">
        <w:rPr>
          <w:rFonts w:hint="cs"/>
          <w:rtl/>
        </w:rPr>
        <w:t>الجسدية والحدوث والإمكان يلزم منها ثلاثتها الاحتياج والنقص</w:t>
      </w:r>
      <w:r w:rsidR="00DB731D" w:rsidRPr="00A52585">
        <w:rPr>
          <w:rFonts w:hint="cs"/>
          <w:rtl/>
        </w:rPr>
        <w:t>،</w:t>
      </w:r>
      <w:r w:rsidR="00777DCB" w:rsidRPr="00A52585">
        <w:rPr>
          <w:rFonts w:hint="cs"/>
          <w:rtl/>
        </w:rPr>
        <w:t xml:space="preserve"> فالنوم والجماع والأكل لوازم لذلك لا ملزومات</w:t>
      </w:r>
      <w:r w:rsidRPr="00A52585">
        <w:rPr>
          <w:rFonts w:hint="cs"/>
          <w:rtl/>
        </w:rPr>
        <w:t xml:space="preserve"> </w:t>
      </w:r>
      <w:r w:rsidR="00777DCB" w:rsidRPr="00A52585">
        <w:rPr>
          <w:rFonts w:hint="cs"/>
          <w:rtl/>
        </w:rPr>
        <w:t>وتقديسه عن الأعضاء مع إثباته قدمين كيف يجتمعان</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يا حضرات المغترين بابن القيم، اعملوا معروفاً مع أنفسكم وانظروا كيف لا يميز صاحبكم اللازم من الملزوم، أيكون حاله هكذا في الجهل ويصل غروركم به إلى أن تعتقدوا أنه الإمام الذي لا يساميه بل لا يدانيه إمام]</w:t>
      </w:r>
    </w:p>
    <w:p w14:paraId="71EF274A" w14:textId="42E18380" w:rsidR="00777DCB" w:rsidRPr="00A52585" w:rsidRDefault="0002035C" w:rsidP="0002035C">
      <w:pPr>
        <w:spacing w:after="240"/>
        <w:rPr>
          <w:b/>
          <w:rtl/>
        </w:rPr>
      </w:pPr>
      <w:r w:rsidRPr="00A52585">
        <w:rPr>
          <w:rFonts w:hint="cs"/>
          <w:bCs/>
          <w:rtl/>
        </w:rPr>
        <w:t>[</w:t>
      </w:r>
      <w:r w:rsidR="00777DCB" w:rsidRPr="00A52585">
        <w:rPr>
          <w:rFonts w:hint="cs"/>
          <w:bCs/>
          <w:rtl/>
        </w:rPr>
        <w:t>تخبط الناظم في الصوت</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ربي لم يزل متكلماً</w:t>
      </w:r>
      <w:r w:rsidR="00DB731D" w:rsidRPr="00A52585">
        <w:rPr>
          <w:rFonts w:hint="cs"/>
          <w:rtl/>
        </w:rPr>
        <w:t>،</w:t>
      </w:r>
      <w:r w:rsidR="00777DCB" w:rsidRPr="00A52585">
        <w:rPr>
          <w:rFonts w:hint="cs"/>
          <w:rtl/>
        </w:rPr>
        <w:t xml:space="preserve"> هو قول ربي كله لا بعضه لفظا ومعنى</w:t>
      </w:r>
      <w:r w:rsidR="00DB731D" w:rsidRPr="00A52585">
        <w:rPr>
          <w:rFonts w:hint="cs"/>
          <w:rtl/>
        </w:rPr>
        <w:t>،</w:t>
      </w:r>
      <w:r w:rsidR="00777DCB" w:rsidRPr="00A52585">
        <w:rPr>
          <w:rFonts w:hint="cs"/>
          <w:rtl/>
        </w:rPr>
        <w:t xml:space="preserve"> ما هما خلقان</w:t>
      </w:r>
      <w:r w:rsidRPr="00A52585">
        <w:rPr>
          <w:rFonts w:hint="cs"/>
          <w:rtl/>
        </w:rPr>
        <w:t>)</w:t>
      </w:r>
      <w:r w:rsidR="00DB731D" w:rsidRPr="00A52585">
        <w:rPr>
          <w:rFonts w:hint="cs"/>
          <w:rtl/>
        </w:rPr>
        <w:t>،</w:t>
      </w:r>
      <w:r w:rsidR="00777DCB" w:rsidRPr="00A52585">
        <w:rPr>
          <w:rFonts w:hint="cs"/>
          <w:rtl/>
        </w:rPr>
        <w:t xml:space="preserve"> أمّا كونه لم يزل متكلما وقوله مع ذلك إنه لفظ وإنه غير مخلوق فكلام من لا يدري ما يقول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لأن اللفظ لا بد من أن يكون باعتبار وجوده الخارجي متعاقب الحروف فلا يتصور العاقل في مثله قدماً. نعم ليس للفظ باعتبار وجوده العلمي والنفسي تعاقب فيكون قديماً كما قال بذلك أحمد وتابعه ابن حزم, وهو الموافق لتحقيق القوم في الكلام النفسي، إلا أن وجوده أصلي بخلاف العلم فإنه بالإضافة إلى المعلوم</w:t>
      </w:r>
      <w:r w:rsidR="00DB731D" w:rsidRPr="00A52585">
        <w:rPr>
          <w:rFonts w:hint="cs"/>
          <w:sz w:val="24"/>
          <w:szCs w:val="24"/>
          <w:rtl/>
        </w:rPr>
        <w:t>،</w:t>
      </w:r>
      <w:r w:rsidR="00777DCB" w:rsidRPr="00A52585">
        <w:rPr>
          <w:rFonts w:hint="cs"/>
          <w:sz w:val="24"/>
          <w:szCs w:val="24"/>
          <w:rtl/>
        </w:rPr>
        <w:t xml:space="preserve"> والناظم ليس بقائل بما قال به أحمد كما يظهر من مواضع من نظمه فيكون قائلا بما هو غير معقول]،</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 أصوات العباد مخلوقة</w:t>
      </w:r>
      <w:r w:rsidR="00DB731D" w:rsidRPr="00A52585">
        <w:rPr>
          <w:rFonts w:hint="cs"/>
          <w:rtl/>
        </w:rPr>
        <w:t>،</w:t>
      </w:r>
      <w:r w:rsidR="00777DCB" w:rsidRPr="00A52585">
        <w:rPr>
          <w:rFonts w:hint="cs"/>
          <w:rtl/>
        </w:rPr>
        <w:t xml:space="preserve"> فإذا انتفت الوساطة كتكلم الله لموسى فالمخلوق نفس السمع لا المسموع</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لا فرق بين موسى عليه السلام وبين غيره في خلق السمع فيهما، وأما المسموع فإن كان يريد به الصوت المكيف فكذلك، وإن كان يريد </w:t>
      </w:r>
      <w:proofErr w:type="spellStart"/>
      <w:r w:rsidR="00777DCB" w:rsidRPr="00A52585">
        <w:rPr>
          <w:rFonts w:hint="cs"/>
          <w:sz w:val="24"/>
          <w:szCs w:val="24"/>
          <w:rtl/>
        </w:rPr>
        <w:t>ماهو</w:t>
      </w:r>
      <w:proofErr w:type="spellEnd"/>
      <w:r w:rsidR="00777DCB" w:rsidRPr="00A52585">
        <w:rPr>
          <w:rFonts w:hint="cs"/>
          <w:sz w:val="24"/>
          <w:szCs w:val="24"/>
          <w:rtl/>
        </w:rPr>
        <w:t xml:space="preserve"> قائم بالله فجلَّ الإله أن يقوم به عرَض سيال</w:t>
      </w:r>
      <w:r w:rsidR="00DB731D" w:rsidRPr="00A52585">
        <w:rPr>
          <w:rFonts w:hint="cs"/>
          <w:sz w:val="24"/>
          <w:szCs w:val="24"/>
          <w:rtl/>
        </w:rPr>
        <w:t>،</w:t>
      </w:r>
      <w:r w:rsidR="00777DCB" w:rsidRPr="00A52585">
        <w:rPr>
          <w:rFonts w:hint="cs"/>
          <w:sz w:val="24"/>
          <w:szCs w:val="24"/>
          <w:rtl/>
        </w:rPr>
        <w:t xml:space="preserve"> والوارد في الكتاب أنه تعالى كلم موسى –بدون ذكر الصوت أصلاً -</w:t>
      </w:r>
      <w:r w:rsidRPr="00A52585">
        <w:rPr>
          <w:rFonts w:hint="cs"/>
          <w:sz w:val="24"/>
          <w:szCs w:val="24"/>
          <w:rtl/>
        </w:rPr>
        <w:t xml:space="preserve"> </w:t>
      </w:r>
      <w:r w:rsidR="00777DCB" w:rsidRPr="00A52585">
        <w:rPr>
          <w:rFonts w:hint="cs"/>
          <w:sz w:val="24"/>
          <w:szCs w:val="24"/>
          <w:rtl/>
        </w:rPr>
        <w:t>والتكلم لا يستلزم الصوت قال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ما كان لبشر أن يكلمه الله إلا وحياً أو من وراء حجاب أو يرسل رسولا</w:t>
      </w:r>
      <w:r w:rsidR="00777DCB" w:rsidRPr="00A52585">
        <w:rPr>
          <w:rFonts w:hint="cs"/>
          <w:sz w:val="24"/>
          <w:szCs w:val="24"/>
          <w:rtl/>
        </w:rPr>
        <w:t>} [الشورى</w:t>
      </w:r>
      <w:r w:rsidRPr="00A52585">
        <w:rPr>
          <w:rFonts w:hint="cs"/>
          <w:sz w:val="24"/>
          <w:szCs w:val="24"/>
          <w:rtl/>
        </w:rPr>
        <w:t>:</w:t>
      </w:r>
      <w:r w:rsidR="00777DCB" w:rsidRPr="00A52585">
        <w:rPr>
          <w:rFonts w:hint="cs"/>
          <w:sz w:val="24"/>
          <w:szCs w:val="24"/>
          <w:rtl/>
        </w:rPr>
        <w:t xml:space="preserve"> 51] إذ لا صوت في الوحي إلى القلب والصوت في الثالث صوت الرسول دون المكلم، فليكن الكلام من وراء حجاب كذلك وهو الذي حصل لموسى. فمهما كان النبي بسماعه صوت الرسول إليه يعد أن الله كلمه فلا يكون أي مانع من أن يعد موسى كلمه ربه إذ نودي من الشجرة، فأي زائغ يتصور حلول الله في الشجرة حتى يقول</w:t>
      </w:r>
      <w:r w:rsidRPr="00A52585">
        <w:rPr>
          <w:rFonts w:hint="cs"/>
          <w:sz w:val="24"/>
          <w:szCs w:val="24"/>
          <w:rtl/>
        </w:rPr>
        <w:t>:</w:t>
      </w:r>
      <w:r w:rsidR="00777DCB" w:rsidRPr="00A52585">
        <w:rPr>
          <w:rFonts w:hint="cs"/>
          <w:sz w:val="24"/>
          <w:szCs w:val="24"/>
          <w:rtl/>
        </w:rPr>
        <w:t xml:space="preserve"> إن الذي سمعه صوتُ الله</w:t>
      </w:r>
      <w:r w:rsidR="00F95886" w:rsidRPr="00A52585">
        <w:rPr>
          <w:rFonts w:hint="cs"/>
          <w:sz w:val="24"/>
          <w:szCs w:val="24"/>
          <w:rtl/>
        </w:rPr>
        <w:t>؟</w:t>
      </w:r>
      <w:r w:rsidR="00777DCB" w:rsidRPr="00A52585">
        <w:rPr>
          <w:rFonts w:hint="cs"/>
          <w:sz w:val="24"/>
          <w:szCs w:val="24"/>
          <w:rtl/>
        </w:rPr>
        <w:t xml:space="preserve"> تعالى الله أن يكون كلامه صوتاً، والآية قاضية على جميع الأوهام في هذا البحث لمن أحسن التدبر فيها</w:t>
      </w:r>
      <w:r w:rsidRPr="00A52585">
        <w:rPr>
          <w:rFonts w:hint="cs"/>
          <w:sz w:val="24"/>
          <w:szCs w:val="24"/>
          <w:rtl/>
        </w:rPr>
        <w:t>]</w:t>
      </w:r>
      <w:r w:rsidR="00777DCB" w:rsidRPr="00A52585">
        <w:rPr>
          <w:rFonts w:hint="cs"/>
          <w:rtl/>
        </w:rPr>
        <w:t xml:space="preserve"> هذى مقالة أحمد </w:t>
      </w:r>
      <w:r w:rsidRPr="00A52585">
        <w:rPr>
          <w:rFonts w:hint="cs"/>
          <w:rtl/>
        </w:rPr>
        <w:t>(</w:t>
      </w:r>
      <w:r w:rsidR="00777DCB" w:rsidRPr="00A52585">
        <w:rPr>
          <w:rFonts w:hint="cs"/>
          <w:rtl/>
        </w:rPr>
        <w:t>يعني ابن حنبل</w:t>
      </w:r>
      <w:r w:rsidRPr="00A52585">
        <w:rPr>
          <w:rFonts w:hint="cs"/>
          <w:rtl/>
        </w:rPr>
        <w:t>)</w:t>
      </w:r>
      <w:r w:rsidR="00777DCB" w:rsidRPr="00A52585">
        <w:rPr>
          <w:rFonts w:hint="cs"/>
          <w:rtl/>
        </w:rPr>
        <w:t xml:space="preserve"> ومحمد </w:t>
      </w:r>
      <w:r w:rsidRPr="00A52585">
        <w:rPr>
          <w:rFonts w:hint="cs"/>
          <w:rtl/>
        </w:rPr>
        <w:t>(</w:t>
      </w:r>
      <w:r w:rsidR="00777DCB" w:rsidRPr="00A52585">
        <w:rPr>
          <w:rFonts w:hint="cs"/>
          <w:rtl/>
        </w:rPr>
        <w:t>يعني البخاري</w:t>
      </w:r>
      <w:r w:rsidRPr="00A52585">
        <w:rPr>
          <w:rFonts w:hint="cs"/>
          <w:rtl/>
        </w:rPr>
        <w:t>))</w:t>
      </w:r>
      <w:r w:rsidR="00DB731D" w:rsidRPr="00A52585">
        <w:rPr>
          <w:rFonts w:hint="cs"/>
          <w:rtl/>
        </w:rPr>
        <w:t>،</w:t>
      </w:r>
      <w:r w:rsidR="00777DCB" w:rsidRPr="00A52585">
        <w:rPr>
          <w:rFonts w:hint="cs"/>
          <w:rtl/>
        </w:rPr>
        <w:t xml:space="preserve"> قلنا نعم </w:t>
      </w:r>
      <w:proofErr w:type="spellStart"/>
      <w:r w:rsidR="00777DCB" w:rsidRPr="00A52585">
        <w:rPr>
          <w:rFonts w:hint="cs"/>
          <w:rtl/>
        </w:rPr>
        <w:t>نوافقه</w:t>
      </w:r>
      <w:proofErr w:type="spellEnd"/>
      <w:r w:rsidR="00777DCB" w:rsidRPr="00A52585">
        <w:rPr>
          <w:rFonts w:hint="cs"/>
          <w:rtl/>
        </w:rPr>
        <w:t xml:space="preserve"> على ذلك على قول الأشعري إن الكلام النفسي يسمع ولا يلزم أن يكون هناك حرف وصوت</w:t>
      </w:r>
      <w:r w:rsidR="00DB731D" w:rsidRPr="00A52585">
        <w:rPr>
          <w:rFonts w:hint="cs"/>
          <w:rtl/>
        </w:rPr>
        <w:t>،</w:t>
      </w:r>
      <w:r w:rsidR="00777DCB" w:rsidRPr="00A52585">
        <w:rPr>
          <w:rFonts w:hint="cs"/>
          <w:rtl/>
        </w:rPr>
        <w:t xml:space="preserve"> ومن اعترف بكلام الله تعالى وأن موسى سمعه ولم يقل إنه حرف أو صوت أو غير ذلك بل وقف عند حده وعجزه وجهله ونـزه الله تعالى عن صفات خلقه</w:t>
      </w:r>
      <w:r w:rsidR="00DB731D" w:rsidRPr="00A52585">
        <w:rPr>
          <w:rFonts w:hint="cs"/>
          <w:rtl/>
        </w:rPr>
        <w:t>،</w:t>
      </w:r>
      <w:r w:rsidR="00777DCB" w:rsidRPr="00A52585">
        <w:rPr>
          <w:rFonts w:hint="cs"/>
          <w:rtl/>
        </w:rPr>
        <w:t xml:space="preserve"> سَلِم</w:t>
      </w:r>
      <w:r w:rsidR="00DB731D" w:rsidRPr="00A52585">
        <w:rPr>
          <w:rFonts w:hint="cs"/>
          <w:rtl/>
        </w:rPr>
        <w:t>،</w:t>
      </w:r>
      <w:r w:rsidR="00777DCB" w:rsidRPr="00A52585">
        <w:rPr>
          <w:rFonts w:hint="cs"/>
          <w:rtl/>
        </w:rPr>
        <w:t xml:space="preserve"> ثم قال في بيت الأخطل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قوم قد غلط النصارى في الكلمة</w:t>
      </w:r>
      <w:r w:rsidRPr="00A52585">
        <w:rPr>
          <w:rFonts w:hint="cs"/>
          <w:rtl/>
        </w:rPr>
        <w:t>)</w:t>
      </w:r>
      <w:r w:rsidR="00DB731D" w:rsidRPr="00A52585">
        <w:rPr>
          <w:rFonts w:hint="cs"/>
          <w:rtl/>
        </w:rPr>
        <w:t>،</w:t>
      </w:r>
      <w:r w:rsidR="00777DCB" w:rsidRPr="00A52585">
        <w:rPr>
          <w:rFonts w:hint="cs"/>
          <w:rtl/>
        </w:rPr>
        <w:t xml:space="preserve"> ونظير هذا من يقول كلامه معنى قديم غير محدث والشطر مخلوق وتلك حروفه </w:t>
      </w:r>
      <w:proofErr w:type="spellStart"/>
      <w:r w:rsidR="00777DCB" w:rsidRPr="00A52585">
        <w:rPr>
          <w:rFonts w:hint="cs"/>
          <w:rtl/>
        </w:rPr>
        <w:t>ناسوته</w:t>
      </w:r>
      <w:proofErr w:type="spellEnd"/>
      <w:r w:rsidR="00777DCB" w:rsidRPr="00A52585">
        <w:rPr>
          <w:rFonts w:hint="cs"/>
          <w:rtl/>
        </w:rPr>
        <w:t xml:space="preserve"> </w:t>
      </w:r>
      <w:r w:rsidRPr="00A52585">
        <w:rPr>
          <w:rFonts w:hint="cs"/>
          <w:sz w:val="24"/>
          <w:szCs w:val="24"/>
          <w:rtl/>
        </w:rPr>
        <w:lastRenderedPageBreak/>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يفهم الناظم كلام القوم فشنع كما شاء، قاتل الله البلادة ما أفتكها. ظن الناظم أن المراد بالمعنى معنى النظم فبنى عليه ما شاء، مع أن مرادهم بالمعنى هنا هو القائم بالله الشامل للدال ومدلوله؛ باعتبار وجودهما العلمي كما نص عليه أحمد في ردِّه على ابن أبي </w:t>
      </w:r>
      <w:proofErr w:type="spellStart"/>
      <w:r w:rsidR="00777DCB" w:rsidRPr="00A52585">
        <w:rPr>
          <w:rFonts w:hint="cs"/>
          <w:sz w:val="24"/>
          <w:szCs w:val="24"/>
          <w:rtl/>
        </w:rPr>
        <w:t>دؤاد</w:t>
      </w:r>
      <w:proofErr w:type="spellEnd"/>
      <w:r w:rsidR="00777DCB" w:rsidRPr="00A52585">
        <w:rPr>
          <w:rFonts w:hint="cs"/>
          <w:sz w:val="24"/>
          <w:szCs w:val="24"/>
          <w:rtl/>
        </w:rPr>
        <w:t>، كما ذكر في كتاب السنة وغيره، فلا يكون للفظ الخارجي دخل أصلاً في القدم على مذهب إمامه نفسه</w:t>
      </w:r>
      <w:r w:rsidR="00DB731D" w:rsidRPr="00A52585">
        <w:rPr>
          <w:rFonts w:hint="cs"/>
          <w:sz w:val="24"/>
          <w:szCs w:val="24"/>
          <w:rtl/>
        </w:rPr>
        <w:t>،</w:t>
      </w:r>
      <w:r w:rsidR="00777DCB" w:rsidRPr="00A52585">
        <w:rPr>
          <w:rFonts w:hint="cs"/>
          <w:sz w:val="24"/>
          <w:szCs w:val="24"/>
          <w:rtl/>
        </w:rPr>
        <w:t xml:space="preserve"> نعم يوجد من يسير سير النصارى في الحلول بين الذين تكلموا في القرآن وهو من يقول إن الصوت من المصوت </w:t>
      </w:r>
      <w:proofErr w:type="gramStart"/>
      <w:r w:rsidR="00777DCB" w:rsidRPr="00A52585">
        <w:rPr>
          <w:rFonts w:hint="cs"/>
          <w:sz w:val="24"/>
          <w:szCs w:val="24"/>
          <w:rtl/>
        </w:rPr>
        <w:t>قديم,</w:t>
      </w:r>
      <w:proofErr w:type="gramEnd"/>
      <w:r w:rsidR="00777DCB" w:rsidRPr="00A52585">
        <w:rPr>
          <w:rFonts w:hint="cs"/>
          <w:sz w:val="24"/>
          <w:szCs w:val="24"/>
          <w:rtl/>
        </w:rPr>
        <w:t xml:space="preserve"> وإن الله تعالى قرأ على لسان كل قارئ كما ذهب إلى ذلك السالمية، تعالى الله عما يقول الظالمون. والناظم من أقرب المبتدعة إليهم]</w:t>
      </w:r>
      <w:r w:rsidR="00DB731D" w:rsidRPr="00A52585">
        <w:rPr>
          <w:rFonts w:hint="cs"/>
          <w:rtl/>
        </w:rPr>
        <w:t>،</w:t>
      </w:r>
      <w:r w:rsidR="00777DCB" w:rsidRPr="00A52585">
        <w:rPr>
          <w:rFonts w:hint="cs"/>
          <w:rtl/>
        </w:rPr>
        <w:t xml:space="preserve"> أبصر هذه الجراءة وتشبيهه أقوال العلماء بأقوال النصارى وجهله وكذبه بأن الحروف كالناسوت. والمعنى قائم بذات الرب سبحانه وتعالى والألفاظ بالقارئ لا يتحد أحدهما بالآخر ولا يحل فيه كما يقول النصارى تعالى الله عن قولهم</w:t>
      </w:r>
      <w:r w:rsidR="00DB731D" w:rsidRPr="00A52585">
        <w:rPr>
          <w:rFonts w:hint="cs"/>
          <w:rtl/>
        </w:rPr>
        <w:t>،</w:t>
      </w:r>
      <w:r w:rsidR="00777DCB" w:rsidRPr="00A52585">
        <w:rPr>
          <w:rFonts w:hint="cs"/>
          <w:rtl/>
        </w:rPr>
        <w:t xml:space="preserve"> </w:t>
      </w:r>
    </w:p>
    <w:p w14:paraId="7EC32336" w14:textId="552B168F" w:rsidR="00777DCB" w:rsidRPr="00A52585" w:rsidRDefault="0002035C" w:rsidP="0002035C">
      <w:pPr>
        <w:spacing w:after="240"/>
        <w:rPr>
          <w:b/>
          <w:rtl/>
        </w:rPr>
      </w:pPr>
      <w:r w:rsidRPr="00A52585">
        <w:rPr>
          <w:rFonts w:hint="cs"/>
          <w:bCs/>
          <w:rtl/>
        </w:rPr>
        <w:t>[</w:t>
      </w:r>
      <w:r w:rsidR="00777DCB" w:rsidRPr="00A52585">
        <w:rPr>
          <w:rFonts w:hint="cs"/>
          <w:bCs/>
          <w:rtl/>
        </w:rPr>
        <w:t>فصــــــــل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الكلام قيل بغير مشيئة</w:t>
      </w:r>
      <w:r w:rsidR="00DB731D" w:rsidRPr="00A52585">
        <w:rPr>
          <w:rFonts w:hint="cs"/>
          <w:rtl/>
        </w:rPr>
        <w:t>،</w:t>
      </w:r>
      <w:r w:rsidR="00777DCB" w:rsidRPr="00A52585">
        <w:rPr>
          <w:rFonts w:hint="cs"/>
          <w:rtl/>
        </w:rPr>
        <w:t xml:space="preserve"> وإنه معنى إما واحد وإما خمسة معان</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إنه لفظ مقترن فالسين مع الباء</w:t>
      </w:r>
      <w:r w:rsidR="00DB731D" w:rsidRPr="00A52585">
        <w:rPr>
          <w:rFonts w:hint="cs"/>
          <w:rtl/>
        </w:rPr>
        <w:t>،</w:t>
      </w:r>
      <w:r w:rsidR="00777DCB" w:rsidRPr="00A52585">
        <w:rPr>
          <w:rFonts w:hint="cs"/>
          <w:rtl/>
        </w:rPr>
        <w:t xml:space="preserve"> والذين قالوا بمشيئة صنفان أحدهما جعله خارج ذاته وهو قول الجهمية ومتأخري المعتزلة والثانية في ذاته وهم الكرامية</w:t>
      </w:r>
      <w:r w:rsidR="00DB731D" w:rsidRPr="00A52585">
        <w:rPr>
          <w:rFonts w:hint="cs"/>
          <w:rtl/>
        </w:rPr>
        <w:t>،</w:t>
      </w:r>
      <w:r w:rsidR="00777DCB" w:rsidRPr="00A52585">
        <w:rPr>
          <w:rFonts w:hint="cs"/>
          <w:rtl/>
        </w:rPr>
        <w:t xml:space="preserve"> وهم نوعان أحدهما جعله </w:t>
      </w:r>
      <w:proofErr w:type="spellStart"/>
      <w:r w:rsidR="00777DCB" w:rsidRPr="00A52585">
        <w:rPr>
          <w:rFonts w:hint="cs"/>
          <w:rtl/>
        </w:rPr>
        <w:t>مبدوءاً</w:t>
      </w:r>
      <w:proofErr w:type="spellEnd"/>
      <w:r w:rsidR="00777DCB" w:rsidRPr="00A52585">
        <w:rPr>
          <w:rFonts w:hint="cs"/>
          <w:rtl/>
        </w:rPr>
        <w:t xml:space="preserve"> به حذراً من التسلسل فلذلك قالوا له أول والأخرون كأحمد ومحمد قالوا</w:t>
      </w:r>
      <w:r w:rsidRPr="00A52585">
        <w:rPr>
          <w:rFonts w:hint="cs"/>
          <w:rtl/>
        </w:rPr>
        <w:t>:</w:t>
      </w:r>
      <w:r w:rsidR="00777DCB" w:rsidRPr="00A52585">
        <w:rPr>
          <w:rFonts w:hint="cs"/>
          <w:rtl/>
        </w:rPr>
        <w:t xml:space="preserve"> لم يزل متكلما</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افترى الناظم عليهما تمويهاً وتحميلاً على لفظ مجمل ما لا يحتمله وهما كباقي أهل السنة يقولان</w:t>
      </w:r>
      <w:r w:rsidRPr="00A52585">
        <w:rPr>
          <w:rFonts w:hint="cs"/>
          <w:sz w:val="24"/>
          <w:szCs w:val="24"/>
          <w:rtl/>
        </w:rPr>
        <w:t>:</w:t>
      </w:r>
      <w:r w:rsidR="00777DCB" w:rsidRPr="00A52585">
        <w:rPr>
          <w:rFonts w:hint="cs"/>
          <w:sz w:val="24"/>
          <w:szCs w:val="24"/>
          <w:rtl/>
        </w:rPr>
        <w:t xml:space="preserve"> إن الله متصف بصفة الكلام أزلاً كاتصافه بباقي صفاته الأزلية وهو يتكلم متى شاء، وهما بعيدان من المماحكات الزائفة، والله سبحانه سريع الحساب وشديد العقاب أزلاً، ولا يستلزم ذلك قدم البعث؛ وهو سبحانه لم تحدث له صفة بخلق الخلق؛ وهو خالق أزلا قبل أن يخلق الخلق]</w:t>
      </w:r>
      <w:r w:rsidR="00777DCB" w:rsidRPr="00A52585">
        <w:rPr>
          <w:rFonts w:hint="cs"/>
          <w:rtl/>
        </w:rPr>
        <w:t xml:space="preserve"> بمشيئة وإرادة وتعاقب الكلمات</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فيكون محلاً للحوادث، تعالى الله عن ذلك. وابن تيمية تابع الكرامية في ذلك؛ وأربي عليهم في الزيغ بدعوى القدم النوعي في الكلام، مع أنه لا وجود للكلى إلا في ضمن الأفراد، فلا معنى لوصف النوع بالقدم بعد الاعتراف بحدوث كل فرد من أفراده</w:t>
      </w:r>
      <w:r w:rsidR="00DB731D" w:rsidRPr="00A52585">
        <w:rPr>
          <w:rFonts w:hint="cs"/>
          <w:sz w:val="24"/>
          <w:szCs w:val="24"/>
          <w:rtl/>
        </w:rPr>
        <w:t>،</w:t>
      </w:r>
      <w:r w:rsidR="00777DCB" w:rsidRPr="00A52585">
        <w:rPr>
          <w:rFonts w:hint="cs"/>
          <w:sz w:val="24"/>
          <w:szCs w:val="24"/>
          <w:rtl/>
        </w:rPr>
        <w:t xml:space="preserve"> وقد أطال العلامة قاسم بن </w:t>
      </w:r>
      <w:proofErr w:type="spellStart"/>
      <w:r w:rsidR="00777DCB" w:rsidRPr="00A52585">
        <w:rPr>
          <w:rFonts w:hint="cs"/>
          <w:sz w:val="24"/>
          <w:szCs w:val="24"/>
          <w:rtl/>
        </w:rPr>
        <w:t>قطلوبغا</w:t>
      </w:r>
      <w:proofErr w:type="spellEnd"/>
      <w:r w:rsidR="00777DCB" w:rsidRPr="00A52585">
        <w:rPr>
          <w:rFonts w:hint="cs"/>
          <w:sz w:val="24"/>
          <w:szCs w:val="24"/>
          <w:rtl/>
        </w:rPr>
        <w:t xml:space="preserve"> الحافظ فيما كتبه على المسايرة الكلامَ في ذلك فلا نطيل الكلام بما هو في متناول أيدي صغار التلاميذ</w:t>
      </w:r>
      <w:r w:rsidR="00DB731D" w:rsidRPr="00A52585">
        <w:rPr>
          <w:rFonts w:hint="cs"/>
          <w:sz w:val="24"/>
          <w:szCs w:val="24"/>
          <w:rtl/>
        </w:rPr>
        <w:t>،</w:t>
      </w:r>
      <w:r w:rsidR="00777DCB" w:rsidRPr="00A52585">
        <w:rPr>
          <w:rFonts w:hint="cs"/>
          <w:sz w:val="24"/>
          <w:szCs w:val="24"/>
          <w:rtl/>
        </w:rPr>
        <w:t xml:space="preserve"> والناظم من أتبع الناس لابن تيمية في سخافاته، وقد نقل ابن رجب في طبقاته عن الذهبي في حق ابن تيمية أنه أطلق عبارات أحجم عنها الأولون والآخرون وهابوا وجسر هو عليها اهـ، فيدور أمره بين أن يكون مصاباً في عقله أو دينه؛ فتباً لمن يتخذ مثله قدوة]</w:t>
      </w:r>
      <w:r w:rsidR="00777DCB" w:rsidRPr="00A52585">
        <w:rPr>
          <w:rFonts w:hint="cs"/>
          <w:rtl/>
        </w:rPr>
        <w:t xml:space="preserve"> هذا هو الذي ابتدعه ابن تيمية والتزم به؛ حوادث لا أول لها</w:t>
      </w:r>
      <w:r w:rsidR="00DB731D" w:rsidRPr="00A52585">
        <w:rPr>
          <w:rFonts w:hint="cs"/>
          <w:rtl/>
        </w:rPr>
        <w:t>،</w:t>
      </w:r>
      <w:r w:rsidR="00777DCB" w:rsidRPr="00A52585">
        <w:rPr>
          <w:rFonts w:hint="cs"/>
          <w:rtl/>
        </w:rPr>
        <w:t xml:space="preserve"> والعجب قوله مع ذلك إنه قديم</w:t>
      </w:r>
      <w:r w:rsidR="00DB731D" w:rsidRPr="00A52585">
        <w:rPr>
          <w:rFonts w:hint="cs"/>
          <w:rtl/>
        </w:rPr>
        <w:t>،</w:t>
      </w:r>
      <w:r w:rsidR="00777DCB" w:rsidRPr="00A52585">
        <w:rPr>
          <w:rFonts w:hint="cs"/>
          <w:rtl/>
        </w:rPr>
        <w:t xml:space="preserve"> وحين النطق بالباء لم تكن السين موجودة؛ فإن قال النوع قديم وكل واحد من الحروف حادث عدنا إلى الكلام في كل واحد من حروف القرآن</w:t>
      </w:r>
      <w:r w:rsidR="00DB731D" w:rsidRPr="00A52585">
        <w:rPr>
          <w:rFonts w:hint="cs"/>
          <w:rtl/>
        </w:rPr>
        <w:t>،</w:t>
      </w:r>
      <w:r w:rsidR="00777DCB" w:rsidRPr="00A52585">
        <w:rPr>
          <w:rFonts w:hint="cs"/>
          <w:rtl/>
        </w:rPr>
        <w:t xml:space="preserve"> فيلزم حدوثها وحدوثه</w:t>
      </w:r>
      <w:r w:rsidR="00DB731D" w:rsidRPr="00A52585">
        <w:rPr>
          <w:rFonts w:hint="cs"/>
          <w:rtl/>
        </w:rPr>
        <w:t>،</w:t>
      </w:r>
      <w:r w:rsidR="00777DCB" w:rsidRPr="00A52585">
        <w:rPr>
          <w:rFonts w:hint="cs"/>
          <w:rtl/>
        </w:rPr>
        <w:t xml:space="preserve"> فالذي التزمه من قيام الحوادث بذات الرب لا ينجيه بل يرديه؛ وهذا آفة التخليط, والتطفل على العلوم, وعدم الأخذ عن الشيوخ</w:t>
      </w:r>
      <w:r w:rsidR="00DB731D" w:rsidRPr="00A52585">
        <w:rPr>
          <w:rFonts w:hint="cs"/>
          <w:rtl/>
        </w:rPr>
        <w:t>،</w:t>
      </w:r>
      <w:r w:rsidR="00777DCB" w:rsidRPr="00A52585">
        <w:rPr>
          <w:rFonts w:hint="cs"/>
          <w:rtl/>
        </w:rPr>
        <w:t xml:space="preserve"> </w:t>
      </w:r>
    </w:p>
    <w:p w14:paraId="1F2ACD06" w14:textId="7620E70B" w:rsidR="00777DCB" w:rsidRPr="00A52585" w:rsidRDefault="0002035C" w:rsidP="0002035C">
      <w:pPr>
        <w:spacing w:after="240"/>
        <w:rPr>
          <w:b/>
          <w:rtl/>
        </w:rPr>
      </w:pPr>
      <w:r w:rsidRPr="00A52585">
        <w:rPr>
          <w:rFonts w:hint="cs"/>
          <w:bCs/>
          <w:rtl/>
        </w:rPr>
        <w:lastRenderedPageBreak/>
        <w:t>[</w:t>
      </w:r>
      <w:r w:rsidR="00777DCB" w:rsidRPr="00A52585">
        <w:rPr>
          <w:rFonts w:hint="cs"/>
          <w:bCs/>
          <w:rtl/>
        </w:rPr>
        <w:t>كلام واف في أحاديث الصوت</w:t>
      </w:r>
      <w:r w:rsidRPr="00A52585">
        <w:rPr>
          <w:rFonts w:hint="cs"/>
          <w:bCs/>
          <w:rtl/>
        </w:rPr>
        <w:t>]</w:t>
      </w:r>
      <w:r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وأذكر حديثا في صحيح محمد ذاك البخاري فيه نداء الله يوم معادنا بالصوت</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إنّ كان يريد حديث جابر عن عبد الله بن أنيس (يحشر الله العباد فيناديهم بصوت يسمعه من بعد كما يسمعه من قرب..) الحديث، فهو حديث ضعيف علَّقه البخاري بقوله</w:t>
      </w:r>
      <w:r w:rsidRPr="00A52585">
        <w:rPr>
          <w:rFonts w:hint="cs"/>
          <w:sz w:val="24"/>
          <w:szCs w:val="24"/>
          <w:rtl/>
        </w:rPr>
        <w:t>:</w:t>
      </w:r>
      <w:r w:rsidR="00777DCB" w:rsidRPr="00A52585">
        <w:rPr>
          <w:rFonts w:hint="cs"/>
          <w:sz w:val="24"/>
          <w:szCs w:val="24"/>
          <w:rtl/>
        </w:rPr>
        <w:t xml:space="preserve"> ويذكر عن جابر؛ دلالة على أنه ليس من شرطه. ومداره على عبد الله بن محمد بن عقيل وهو ضعيف باتفاق، وقد انفرد عنه القاسم بن عبد </w:t>
      </w:r>
      <w:proofErr w:type="gramStart"/>
      <w:r w:rsidR="00777DCB" w:rsidRPr="00A52585">
        <w:rPr>
          <w:rFonts w:hint="cs"/>
          <w:sz w:val="24"/>
          <w:szCs w:val="24"/>
          <w:rtl/>
        </w:rPr>
        <w:t>الواحد,</w:t>
      </w:r>
      <w:proofErr w:type="gramEnd"/>
      <w:r w:rsidR="00777DCB" w:rsidRPr="00A52585">
        <w:rPr>
          <w:rFonts w:hint="cs"/>
          <w:sz w:val="24"/>
          <w:szCs w:val="24"/>
          <w:rtl/>
        </w:rPr>
        <w:t xml:space="preserve"> وعنه قالوا إنه ممن لا يحتج به</w:t>
      </w:r>
      <w:r w:rsidR="00DB731D" w:rsidRPr="00A52585">
        <w:rPr>
          <w:rFonts w:hint="cs"/>
          <w:sz w:val="24"/>
          <w:szCs w:val="24"/>
          <w:rtl/>
        </w:rPr>
        <w:t>،</w:t>
      </w:r>
      <w:r w:rsidR="00777DCB" w:rsidRPr="00A52585">
        <w:rPr>
          <w:rFonts w:hint="cs"/>
          <w:sz w:val="24"/>
          <w:szCs w:val="24"/>
          <w:rtl/>
        </w:rPr>
        <w:t xml:space="preserve"> وللحافظ أبي الحسن المقدسي جزء في تبيين وجوه الضعف في الحديث المذكور</w:t>
      </w:r>
      <w:r w:rsidR="00DB731D" w:rsidRPr="00A52585">
        <w:rPr>
          <w:rFonts w:hint="cs"/>
          <w:sz w:val="24"/>
          <w:szCs w:val="24"/>
          <w:rtl/>
        </w:rPr>
        <w:t>،</w:t>
      </w:r>
      <w:r w:rsidR="00777DCB" w:rsidRPr="00A52585">
        <w:rPr>
          <w:rFonts w:hint="cs"/>
          <w:sz w:val="24"/>
          <w:szCs w:val="24"/>
          <w:rtl/>
        </w:rPr>
        <w:t xml:space="preserve"> وأما إن كان يريد حديث أبي سعيد الخدري (يقول الله يا آدم يقول لبيك وسعديك فينادي بصوت إن الله يأمرك …) الحديث، فلفظ ينادَى فيه على صيغة المفعول جزماً بدليل "إن الله يأمرك" ولو كان على صيغة الفاعل لكان إني آمرك كما لا يخفى، على أن لفظ (صوت) انفرد به حفص بن غياث وخالفه وكيع وجرير وغيرهما فلم يذكروا الصوت. وسئل أحمد عن حفص هذا فقال</w:t>
      </w:r>
      <w:r w:rsidRPr="00A52585">
        <w:rPr>
          <w:rFonts w:hint="cs"/>
          <w:sz w:val="24"/>
          <w:szCs w:val="24"/>
          <w:rtl/>
        </w:rPr>
        <w:t>:</w:t>
      </w:r>
      <w:r w:rsidR="00777DCB" w:rsidRPr="00A52585">
        <w:rPr>
          <w:rFonts w:hint="cs"/>
          <w:sz w:val="24"/>
          <w:szCs w:val="24"/>
          <w:rtl/>
        </w:rPr>
        <w:t xml:space="preserve"> كان يخلط في </w:t>
      </w:r>
      <w:proofErr w:type="gramStart"/>
      <w:r w:rsidR="00777DCB" w:rsidRPr="00A52585">
        <w:rPr>
          <w:rFonts w:hint="cs"/>
          <w:sz w:val="24"/>
          <w:szCs w:val="24"/>
          <w:rtl/>
        </w:rPr>
        <w:t>حديثه,</w:t>
      </w:r>
      <w:proofErr w:type="gramEnd"/>
      <w:r w:rsidR="00777DCB" w:rsidRPr="00A52585">
        <w:rPr>
          <w:rFonts w:hint="cs"/>
          <w:sz w:val="24"/>
          <w:szCs w:val="24"/>
          <w:rtl/>
        </w:rPr>
        <w:t xml:space="preserve"> كما ذكره ابن الجوزي، فأين الحجة للناظم في مثله</w:t>
      </w:r>
      <w:r w:rsidR="00F95886" w:rsidRPr="00A52585">
        <w:rPr>
          <w:rFonts w:hint="cs"/>
          <w:sz w:val="24"/>
          <w:szCs w:val="24"/>
          <w:rtl/>
        </w:rPr>
        <w:t>؟</w:t>
      </w:r>
      <w:r w:rsidR="00777DCB" w:rsidRPr="00A52585">
        <w:rPr>
          <w:rFonts w:hint="cs"/>
          <w:sz w:val="24"/>
          <w:szCs w:val="24"/>
          <w:rtl/>
        </w:rPr>
        <w:t xml:space="preserve"> على أن الناظم نفسه خرج في حادي الأرواح –وفي هامشه إعلام الموقعين – (2 - 97) عن الدارقطني من حديث أبي موسى (يبعث الله يوم القيامة منادياً بصوت يسمعه أولهم وآخرهم إن الله وعدهم...) الحديث، وهذا يعين أن الإسناد مجازي على تقدير ثبوت الحديثين. فظهر بذلك أن الناظم متمسك في ذلك بالسراب؛ والمؤلف تساهل في الرد عليه؛ وفي (القواصم والعواصم) لابن العربي ما يقصم ظهر الناظم في (2 - 29) منه</w:t>
      </w:r>
      <w:r w:rsidRPr="00A52585">
        <w:rPr>
          <w:rFonts w:hint="cs"/>
          <w:sz w:val="24"/>
          <w:szCs w:val="24"/>
          <w:rtl/>
        </w:rPr>
        <w:t>]</w:t>
      </w:r>
      <w:r w:rsidR="00777DCB" w:rsidRPr="00A52585">
        <w:rPr>
          <w:rFonts w:hint="cs"/>
          <w:rtl/>
        </w:rPr>
        <w:t xml:space="preserve"> اللفظ الذي في البخاري </w:t>
      </w:r>
      <w:r w:rsidRPr="00A52585">
        <w:rPr>
          <w:rFonts w:hint="cs"/>
          <w:rtl/>
        </w:rPr>
        <w:t>(</w:t>
      </w:r>
      <w:r w:rsidR="00777DCB" w:rsidRPr="00A52585">
        <w:rPr>
          <w:rFonts w:hint="cs"/>
          <w:rtl/>
        </w:rPr>
        <w:t>فينادى بصوت</w:t>
      </w:r>
      <w:r w:rsidRPr="00A52585">
        <w:rPr>
          <w:rFonts w:hint="cs"/>
          <w:rtl/>
        </w:rPr>
        <w:t>)</w:t>
      </w:r>
      <w:r w:rsidR="00777DCB" w:rsidRPr="00A52585">
        <w:rPr>
          <w:rFonts w:hint="cs"/>
          <w:rtl/>
        </w:rPr>
        <w:t xml:space="preserve"> وهذا محتمل لأن يكون الدال مفتوحة والفعل لم يسم فاعله وأن يكون مكسورة فيكون المنادي هو الله تعالى فنقله عن البخاري نداء الله ليس بصحيح</w:t>
      </w:r>
      <w:r w:rsidR="00DB731D" w:rsidRPr="00A52585">
        <w:rPr>
          <w:rFonts w:hint="cs"/>
          <w:rtl/>
        </w:rPr>
        <w:t>،</w:t>
      </w:r>
      <w:r w:rsidR="00777DCB" w:rsidRPr="00A52585">
        <w:rPr>
          <w:rFonts w:hint="cs"/>
          <w:rtl/>
        </w:rPr>
        <w:t xml:space="preserve"> والعدالة في النقل أن ينقل المحتمل محتملا</w:t>
      </w:r>
      <w:r w:rsidR="00DB731D" w:rsidRPr="00A52585">
        <w:rPr>
          <w:rFonts w:hint="cs"/>
          <w:rtl/>
        </w:rPr>
        <w:t>،</w:t>
      </w:r>
      <w:r w:rsidR="00777DCB" w:rsidRPr="00A52585">
        <w:rPr>
          <w:rFonts w:hint="cs"/>
          <w:rtl/>
        </w:rPr>
        <w:t xml:space="preserve"> وإذا ثبت أن الدال مكسورة فلم يقول إن الصوت منه</w:t>
      </w:r>
      <w:r w:rsidR="00F95886" w:rsidRPr="00A52585">
        <w:rPr>
          <w:rFonts w:hint="cs"/>
          <w:rtl/>
        </w:rPr>
        <w:t>؟</w:t>
      </w:r>
      <w:r w:rsidR="00777DCB" w:rsidRPr="00A52585">
        <w:rPr>
          <w:rFonts w:hint="cs"/>
          <w:rtl/>
        </w:rPr>
        <w:t xml:space="preserve"> فقد يكون من بعض ملائكته أو من يشاء الله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أيصح في عقل وفي نقل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النداء طلب الإقبال عند النحاة واللغويين فيجرى مجرى القول؛ وكم في الكتاب والسنة مما يدل على القول والكلام بدون صوت؛ كما نسرد بعض ذلك عند التدليل على الكلام النفسي وقول صاحب القاموس</w:t>
      </w:r>
      <w:r w:rsidRPr="00A52585">
        <w:rPr>
          <w:rFonts w:hint="cs"/>
          <w:sz w:val="24"/>
          <w:szCs w:val="24"/>
          <w:rtl/>
        </w:rPr>
        <w:t>:</w:t>
      </w:r>
      <w:r w:rsidR="00777DCB" w:rsidRPr="00A52585">
        <w:rPr>
          <w:rFonts w:hint="cs"/>
          <w:sz w:val="24"/>
          <w:szCs w:val="24"/>
          <w:rtl/>
        </w:rPr>
        <w:t xml:space="preserve"> النداء الصوت تسامح منه، وكم له من مسامحات معروفة عند أهل العلم</w:t>
      </w:r>
      <w:r w:rsidRPr="00A52585">
        <w:rPr>
          <w:rFonts w:hint="cs"/>
          <w:sz w:val="24"/>
          <w:szCs w:val="24"/>
          <w:rtl/>
        </w:rPr>
        <w:t>]</w:t>
      </w:r>
      <w:r w:rsidR="00777DCB" w:rsidRPr="00A52585">
        <w:rPr>
          <w:rFonts w:hint="cs"/>
          <w:sz w:val="24"/>
          <w:rtl/>
        </w:rPr>
        <w:t xml:space="preserve"> </w:t>
      </w:r>
      <w:r w:rsidR="00777DCB" w:rsidRPr="00A52585">
        <w:rPr>
          <w:rFonts w:hint="cs"/>
          <w:rtl/>
        </w:rPr>
        <w:t>نداء ليس مسموعاً لنا</w:t>
      </w:r>
      <w:r w:rsidRPr="00A52585">
        <w:rPr>
          <w:rFonts w:hint="cs"/>
          <w:rtl/>
        </w:rPr>
        <w:t>)</w:t>
      </w:r>
      <w:r w:rsidR="00DB731D" w:rsidRPr="00A52585">
        <w:rPr>
          <w:rFonts w:hint="cs"/>
          <w:rtl/>
        </w:rPr>
        <w:t>،</w:t>
      </w:r>
      <w:r w:rsidR="00777DCB" w:rsidRPr="00A52585">
        <w:rPr>
          <w:rFonts w:hint="cs"/>
          <w:rtl/>
        </w:rPr>
        <w:t xml:space="preserve"> أما العقل فلا مدخل له في ذلك وأما النقل فقد قال تعالى </w:t>
      </w:r>
      <w:r w:rsidRPr="00A52585">
        <w:rPr>
          <w:rFonts w:hint="cs"/>
          <w:rtl/>
        </w:rPr>
        <w:t>{</w:t>
      </w:r>
      <w:r w:rsidR="00777DCB" w:rsidRPr="00A52585">
        <w:rPr>
          <w:rFonts w:hint="cs"/>
          <w:rtl/>
        </w:rPr>
        <w:t>إذ نادى ربه نداء خفياً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3</w:t>
      </w:r>
      <w:r w:rsidRPr="00A52585">
        <w:rPr>
          <w:rFonts w:hint="cs"/>
          <w:rtl/>
        </w:rPr>
        <w:t>]</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موصوف بذاك حقيقة هذا الحديث ومحكم القرآن</w:t>
      </w:r>
      <w:r w:rsidRPr="00A52585">
        <w:rPr>
          <w:rFonts w:hint="cs"/>
          <w:rtl/>
        </w:rPr>
        <w:t>)</w:t>
      </w:r>
      <w:r w:rsidR="00DB731D" w:rsidRPr="00A52585">
        <w:rPr>
          <w:rFonts w:hint="cs"/>
          <w:rtl/>
        </w:rPr>
        <w:t>،</w:t>
      </w:r>
      <w:r w:rsidR="00777DCB" w:rsidRPr="00A52585">
        <w:rPr>
          <w:rFonts w:hint="cs"/>
          <w:rtl/>
        </w:rPr>
        <w:t xml:space="preserve"> ليس في الحديث ومحكم القرآن أنه حقيقة</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ورواه عندكم البخاري المجسم بل رواه مجسم فوقاني</w:t>
      </w:r>
      <w:r w:rsidRPr="00A52585">
        <w:rPr>
          <w:rFonts w:hint="cs"/>
          <w:rtl/>
        </w:rPr>
        <w:t>)</w:t>
      </w:r>
      <w:r w:rsidR="00DB731D" w:rsidRPr="00A52585">
        <w:rPr>
          <w:rFonts w:hint="cs"/>
          <w:rtl/>
        </w:rPr>
        <w:t>،</w:t>
      </w:r>
      <w:r w:rsidR="00777DCB" w:rsidRPr="00A52585">
        <w:rPr>
          <w:rFonts w:hint="cs"/>
          <w:rtl/>
        </w:rPr>
        <w:t xml:space="preserve"> هذا بهت لنا في أن البخاري مجسم عندنا والله ما اعتقدنا فيه ذلك ولا في أحمد الذي عناه بالفوقاني ولكن هذا بهت لنا وإساءة على البخاري ومن فوقه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واذكر حديثا لابن مسعود صريحا إنه ذو أحرف</w:t>
      </w:r>
      <w:r w:rsidRPr="00A52585">
        <w:rPr>
          <w:rFonts w:hint="cs"/>
          <w:rtl/>
        </w:rPr>
        <w:t>)</w:t>
      </w:r>
      <w:r w:rsidR="00DB731D" w:rsidRPr="00A52585">
        <w:rPr>
          <w:rFonts w:hint="cs"/>
          <w:rtl/>
        </w:rPr>
        <w:t>،</w:t>
      </w:r>
      <w:r w:rsidR="00777DCB" w:rsidRPr="00A52585">
        <w:rPr>
          <w:rFonts w:hint="cs"/>
          <w:rtl/>
        </w:rPr>
        <w:t xml:space="preserve"> هو حديث في الترمذي</w:t>
      </w:r>
      <w:r w:rsidRPr="00A52585">
        <w:rPr>
          <w:rFonts w:hint="cs"/>
          <w:rtl/>
        </w:rPr>
        <w:t>:</w:t>
      </w:r>
      <w:r w:rsidR="00777DCB" w:rsidRPr="00A52585">
        <w:rPr>
          <w:rFonts w:hint="cs"/>
          <w:rtl/>
        </w:rPr>
        <w:t xml:space="preserve"> من قرأ حرفاً من كتاب الله فله به حسنة وقال حسن صحيح؛ ووقفه بعضهم على ابن مسعود. وعلى كل تقدير الحرف في قراءة القارئ</w:t>
      </w:r>
      <w:r w:rsidR="00DB731D" w:rsidRPr="00A52585">
        <w:rPr>
          <w:rFonts w:hint="cs"/>
          <w:rtl/>
        </w:rPr>
        <w:t>،</w:t>
      </w:r>
      <w:r w:rsidR="00777DCB" w:rsidRPr="00A52585">
        <w:rPr>
          <w:rFonts w:hint="cs"/>
          <w:rtl/>
        </w:rPr>
        <w:t xml:space="preserve"> وقد تقدم من هذا الناظم أن الصوت فعل القارئ فلا وجه لاحتجاجه هنا</w:t>
      </w:r>
      <w:r w:rsidR="00DB731D" w:rsidRPr="00A52585">
        <w:rPr>
          <w:rFonts w:hint="cs"/>
          <w:rtl/>
        </w:rPr>
        <w:t>،</w:t>
      </w:r>
      <w:r w:rsidR="00777DCB" w:rsidRPr="00A52585">
        <w:rPr>
          <w:rFonts w:hint="cs"/>
          <w:rtl/>
        </w:rPr>
        <w:t xml:space="preserve"> ولابن مسعود حديث آخر أنه على سبعة أحرف</w:t>
      </w:r>
      <w:r w:rsidR="00DB731D" w:rsidRPr="00A52585">
        <w:rPr>
          <w:rFonts w:hint="cs"/>
          <w:rtl/>
        </w:rPr>
        <w:t>،</w:t>
      </w:r>
      <w:r w:rsidR="00777DCB" w:rsidRPr="00A52585">
        <w:rPr>
          <w:rFonts w:hint="cs"/>
          <w:rtl/>
        </w:rPr>
        <w:t xml:space="preserve"> والمراد نـزوله بها</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وانظر إلى السور </w:t>
      </w:r>
      <w:r w:rsidR="00777DCB" w:rsidRPr="00A52585">
        <w:rPr>
          <w:rFonts w:hint="cs"/>
          <w:rtl/>
        </w:rPr>
        <w:lastRenderedPageBreak/>
        <w:t>التي افتتحت بأحرفها لم يأت قط بسورة إلا أتى في أثرها خبر عن القرآن</w:t>
      </w:r>
      <w:r w:rsidRPr="00A52585">
        <w:rPr>
          <w:rFonts w:hint="cs"/>
          <w:rtl/>
        </w:rPr>
        <w:t>)</w:t>
      </w:r>
      <w:r w:rsidR="00DB731D" w:rsidRPr="00A52585">
        <w:rPr>
          <w:rFonts w:hint="cs"/>
          <w:rtl/>
        </w:rPr>
        <w:t>،</w:t>
      </w:r>
      <w:r w:rsidR="00777DCB" w:rsidRPr="00A52585">
        <w:rPr>
          <w:rFonts w:hint="cs"/>
          <w:rtl/>
        </w:rPr>
        <w:t xml:space="preserve"> هذا منتقض بسورة </w:t>
      </w:r>
      <w:r w:rsidRPr="00A52585">
        <w:rPr>
          <w:rFonts w:hint="cs"/>
          <w:rtl/>
        </w:rPr>
        <w:t>(</w:t>
      </w:r>
      <w:r w:rsidR="00777DCB" w:rsidRPr="00A52585">
        <w:rPr>
          <w:rFonts w:hint="cs"/>
          <w:rtl/>
        </w:rPr>
        <w:t>كهيعص</w:t>
      </w:r>
      <w:r w:rsidRPr="00A52585">
        <w:rPr>
          <w:rFonts w:hint="cs"/>
          <w:rtl/>
        </w:rPr>
        <w:t>)</w:t>
      </w:r>
      <w:r w:rsidR="00777DCB" w:rsidRPr="00A52585">
        <w:rPr>
          <w:rFonts w:hint="cs"/>
          <w:rtl/>
        </w:rPr>
        <w:t xml:space="preserve"> والعنكبوت والروم و </w:t>
      </w:r>
      <w:r w:rsidRPr="00A52585">
        <w:rPr>
          <w:rFonts w:hint="cs"/>
          <w:rtl/>
        </w:rPr>
        <w:t>(</w:t>
      </w:r>
      <w:r w:rsidR="00777DCB" w:rsidRPr="00A52585">
        <w:rPr>
          <w:rFonts w:hint="cs"/>
          <w:rtl/>
        </w:rPr>
        <w:t>ن</w:t>
      </w:r>
      <w:r w:rsidRPr="00A52585">
        <w:rPr>
          <w:rFonts w:hint="cs"/>
          <w:rtl/>
        </w:rPr>
        <w:t>)</w:t>
      </w:r>
      <w:r w:rsidR="00777DCB" w:rsidRPr="00A52585">
        <w:rPr>
          <w:rFonts w:hint="cs"/>
          <w:rtl/>
        </w:rPr>
        <w:t xml:space="preserve"> </w:t>
      </w:r>
    </w:p>
    <w:p w14:paraId="48082324" w14:textId="7FA1C0E3"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إنه يلزم من نفي صفة الكلام نفي الرسالة)</w:t>
      </w:r>
      <w:r w:rsidR="00DB731D" w:rsidRPr="00A52585">
        <w:rPr>
          <w:rFonts w:hint="cs"/>
          <w:rtl/>
        </w:rPr>
        <w:t>،</w:t>
      </w:r>
      <w:r w:rsidR="00777DCB" w:rsidRPr="00A52585">
        <w:rPr>
          <w:rFonts w:hint="cs"/>
          <w:rtl/>
        </w:rPr>
        <w:t xml:space="preserve"> وهو جهل منه وإنْ كنا لا ننفي صفة </w:t>
      </w:r>
      <w:proofErr w:type="gramStart"/>
      <w:r w:rsidR="00777DCB" w:rsidRPr="00A52585">
        <w:rPr>
          <w:rFonts w:hint="cs"/>
          <w:rtl/>
        </w:rPr>
        <w:t>الكلام</w:t>
      </w:r>
      <w:r w:rsidR="00DB731D" w:rsidRPr="00A52585">
        <w:rPr>
          <w:rFonts w:hint="cs"/>
          <w:rtl/>
        </w:rPr>
        <w:t>،</w:t>
      </w:r>
      <w:r w:rsidR="00777DCB" w:rsidRPr="00A52585">
        <w:rPr>
          <w:rFonts w:hint="cs"/>
          <w:sz w:val="24"/>
          <w:szCs w:val="24"/>
          <w:rtl/>
        </w:rPr>
        <w:t>[</w:t>
      </w:r>
      <w:proofErr w:type="gramEnd"/>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نص الله سبحانه على أن تكليم الله سبحانه منحصر في الوحي إلى القلب وإرسال ملك يبلغ كلامه، والكلام وراء حجاب؛ وليس في واحد منها صوت للمكلِّم سبحانه فمن أين يلزم من نفي ما أثبته المجسمة من حرف وصوت نفي الرسالة</w:t>
      </w:r>
      <w:r w:rsidR="00F95886" w:rsidRPr="00A52585">
        <w:rPr>
          <w:rFonts w:hint="cs"/>
          <w:sz w:val="24"/>
          <w:szCs w:val="24"/>
          <w:rtl/>
        </w:rPr>
        <w:t>؟</w:t>
      </w:r>
      <w:r w:rsidR="00777DCB" w:rsidRPr="00A52585">
        <w:rPr>
          <w:rFonts w:hint="cs"/>
          <w:sz w:val="24"/>
          <w:szCs w:val="24"/>
          <w:rtl/>
        </w:rPr>
        <w:t>! بل عد الإله سبحانه محلاً للأعراض هو المستلزم لنفي الصانع فضلاً عن الرسالة، قاتل الله هذه الفئة السخيفة، ما أجهلهم بما يجوز في الله وما لا يجوز]</w:t>
      </w:r>
    </w:p>
    <w:p w14:paraId="7B38EC40" w14:textId="285D0C8F"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00777DCB" w:rsidRPr="00A52585">
        <w:rPr>
          <w:rFonts w:hint="cs"/>
          <w:rtl/>
        </w:rPr>
        <w:t xml:space="preserve">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إنه يلزمهم تشبيه الرب بالجماد الناقص</w:t>
      </w:r>
      <w:r w:rsidRPr="00A52585">
        <w:rPr>
          <w:rFonts w:hint="cs"/>
          <w:rtl/>
        </w:rPr>
        <w:t>)</w:t>
      </w:r>
      <w:r w:rsidR="00DB731D" w:rsidRPr="00A52585">
        <w:rPr>
          <w:rFonts w:hint="cs"/>
          <w:rtl/>
        </w:rPr>
        <w:t>،</w:t>
      </w:r>
      <w:r w:rsidR="00777DCB" w:rsidRPr="00A52585">
        <w:rPr>
          <w:rFonts w:hint="cs"/>
          <w:rtl/>
        </w:rPr>
        <w:t xml:space="preserve"> وهذا بلادة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اكتفى بوصفه بالبلادة لئلا يوقع عليه الحكم بالكفر لو كان يعقل ما يقول، لأن إثبات الحرف والصوت لله تشبيه له بالإنسان وتشبيه الله بمخلوق كفر والصوت عرض سيال محال أن يقوم بالله سبحانه بل هو متكلم بكلام نفسي ليس له صوت]</w:t>
      </w:r>
      <w:r w:rsidR="00DB731D" w:rsidRPr="00A52585">
        <w:rPr>
          <w:rFonts w:hint="cs"/>
          <w:sz w:val="24"/>
          <w:szCs w:val="24"/>
          <w:rtl/>
        </w:rPr>
        <w:t>،</w:t>
      </w:r>
      <w:r w:rsidR="00777DCB" w:rsidRPr="00A52585">
        <w:rPr>
          <w:rFonts w:hint="cs"/>
          <w:rtl/>
        </w:rPr>
        <w:t xml:space="preserve"> </w:t>
      </w:r>
    </w:p>
    <w:p w14:paraId="51CC3ABA" w14:textId="5F8A024D"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في إلزامهم أن كلام الخلق حقه وباطلة عين كلام الله سبحانه بخلقه أفعال العباد</w:t>
      </w:r>
      <w:r w:rsidRPr="00A52585">
        <w:rPr>
          <w:rFonts w:hint="cs"/>
          <w:rtl/>
        </w:rPr>
        <w:t>)</w:t>
      </w:r>
      <w:r w:rsidR="00DB731D" w:rsidRPr="00A52585">
        <w:rPr>
          <w:rFonts w:hint="cs"/>
          <w:rtl/>
        </w:rPr>
        <w:t>،</w:t>
      </w:r>
      <w:r w:rsidR="00777DCB" w:rsidRPr="00A52585">
        <w:rPr>
          <w:rFonts w:hint="cs"/>
          <w:rtl/>
        </w:rPr>
        <w:t xml:space="preserve"> ما هذا إلا … </w:t>
      </w:r>
      <w:r w:rsidR="00777DCB" w:rsidRPr="00A52585">
        <w:rPr>
          <w:rFonts w:hint="cs"/>
          <w:sz w:val="24"/>
          <w:szCs w:val="24"/>
          <w:rtl/>
        </w:rPr>
        <w:t>[وجه هذا الإلزام لا يظهر إلا لمن هو على شاكلة الناظم في تخيل ما هو غير معقول. ولو ألزم القائلين بالحرف والصوت أن التالي قد يكون لاحناً قبيحاً الأداء فلا يتصور في صفة الله سبحانه مثل ذلك، فيبطل القول بأن كلام الله حرف وصوت لكان قوله هذا ملزماً حقيقة. وأما إلزام الناظم هنا فقلب للحقيقة بل هذيان ظاهر</w:t>
      </w:r>
      <w:r w:rsidR="00DB731D" w:rsidRPr="00A52585">
        <w:rPr>
          <w:rFonts w:hint="cs"/>
          <w:sz w:val="24"/>
          <w:szCs w:val="24"/>
          <w:rtl/>
        </w:rPr>
        <w:t>،</w:t>
      </w:r>
      <w:r w:rsidR="00777DCB" w:rsidRPr="00A52585">
        <w:rPr>
          <w:rFonts w:hint="cs"/>
          <w:sz w:val="24"/>
          <w:szCs w:val="24"/>
          <w:rtl/>
        </w:rPr>
        <w:t xml:space="preserve"> وأمام هذا لم يسع المصنف إلا أن يخرج الناظم من عداد العقلاء ومن الصعب جداً على العالم خطاب من لا يفهم]</w:t>
      </w:r>
    </w:p>
    <w:p w14:paraId="22F5C591" w14:textId="78C8ACA0"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Pr="00A52585">
        <w:rPr>
          <w:rFonts w:hint="cs"/>
          <w:rtl/>
        </w:rPr>
        <w:t>:</w:t>
      </w:r>
      <w:r w:rsidR="00777DCB" w:rsidRPr="00A52585">
        <w:rPr>
          <w:rFonts w:hint="cs"/>
          <w:rtl/>
        </w:rPr>
        <w:t xml:space="preserve"> في التفريق بين الخلق والأمر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وكلاهما عند المنازع واحد</w:t>
      </w:r>
      <w:r w:rsidRPr="00A52585">
        <w:rPr>
          <w:rFonts w:hint="cs"/>
          <w:rtl/>
        </w:rPr>
        <w:t>)</w:t>
      </w:r>
      <w:r w:rsidR="00DB731D" w:rsidRPr="00A52585">
        <w:rPr>
          <w:rFonts w:hint="cs"/>
          <w:rtl/>
        </w:rPr>
        <w:t>،</w:t>
      </w:r>
      <w:r w:rsidR="00777DCB" w:rsidRPr="00A52585">
        <w:rPr>
          <w:rFonts w:hint="cs"/>
          <w:rtl/>
        </w:rPr>
        <w:t xml:space="preserve"> المنازع هم المعتزلة</w:t>
      </w:r>
      <w:r w:rsidR="00DB731D" w:rsidRPr="00A52585">
        <w:rPr>
          <w:rFonts w:hint="cs"/>
          <w:rtl/>
        </w:rPr>
        <w:t>،</w:t>
      </w:r>
      <w:r w:rsidR="00777DCB" w:rsidRPr="00A52585">
        <w:rPr>
          <w:rFonts w:hint="cs"/>
          <w:rtl/>
        </w:rPr>
        <w:t xml:space="preserve"> ولسنا منهم</w:t>
      </w:r>
      <w:r w:rsidR="00DB731D" w:rsidRPr="00A52585">
        <w:rPr>
          <w:rFonts w:hint="cs"/>
          <w:rtl/>
        </w:rPr>
        <w:t>،</w:t>
      </w:r>
      <w:r w:rsidR="00777DCB" w:rsidRPr="00A52585">
        <w:rPr>
          <w:rFonts w:hint="cs"/>
          <w:rtl/>
        </w:rPr>
        <w:t xml:space="preserve"> لكن قوله</w:t>
      </w:r>
      <w:r w:rsidRPr="00A52585">
        <w:rPr>
          <w:rFonts w:hint="cs"/>
          <w:rtl/>
        </w:rPr>
        <w:t>:</w:t>
      </w:r>
      <w:r w:rsidR="00777DCB" w:rsidRPr="00A52585">
        <w:rPr>
          <w:rFonts w:hint="cs"/>
          <w:rtl/>
        </w:rPr>
        <w:t xml:space="preserve"> إنهما عندهم واحد ليس بصحيح</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وهم يفرقون بين الأمر التكليفي والأمر التكويني، وقد ذكروا فيما ألفوه في أصول الفقه</w:t>
      </w:r>
      <w:r w:rsidR="00777DCB" w:rsidRPr="00A52585">
        <w:rPr>
          <w:rFonts w:hint="cs"/>
          <w:spacing w:val="-8"/>
          <w:sz w:val="24"/>
          <w:szCs w:val="24"/>
          <w:rtl/>
        </w:rPr>
        <w:t xml:space="preserve"> ما هو موجب الأمر </w:t>
      </w:r>
      <w:r w:rsidR="00777DCB" w:rsidRPr="00A52585">
        <w:rPr>
          <w:rFonts w:hint="cs"/>
          <w:sz w:val="24"/>
          <w:szCs w:val="24"/>
          <w:rtl/>
        </w:rPr>
        <w:t xml:space="preserve">التكليفي. </w:t>
      </w:r>
      <w:r w:rsidR="00777DCB" w:rsidRPr="00A52585">
        <w:rPr>
          <w:rFonts w:hint="cs"/>
          <w:spacing w:val="-8"/>
          <w:sz w:val="24"/>
          <w:szCs w:val="24"/>
          <w:rtl/>
        </w:rPr>
        <w:t>وقوله تعالى</w:t>
      </w:r>
      <w:r w:rsidRPr="00A52585">
        <w:rPr>
          <w:rFonts w:hint="cs"/>
          <w:spacing w:val="-8"/>
          <w:sz w:val="24"/>
          <w:szCs w:val="24"/>
          <w:rtl/>
        </w:rPr>
        <w:t>:</w:t>
      </w:r>
      <w:r w:rsidR="00777DCB" w:rsidRPr="00A52585">
        <w:rPr>
          <w:rFonts w:hint="cs"/>
          <w:spacing w:val="-8"/>
          <w:sz w:val="24"/>
          <w:szCs w:val="24"/>
          <w:rtl/>
        </w:rPr>
        <w:t xml:space="preserve"> </w:t>
      </w:r>
      <w:r w:rsidR="00777DCB" w:rsidRPr="00A52585">
        <w:rPr>
          <w:rFonts w:hint="cs"/>
          <w:sz w:val="24"/>
          <w:szCs w:val="24"/>
          <w:rtl/>
        </w:rPr>
        <w:t>{</w:t>
      </w:r>
      <w:r w:rsidR="00777DCB" w:rsidRPr="00A52585">
        <w:rPr>
          <w:rFonts w:hint="cs"/>
          <w:bCs/>
          <w:sz w:val="24"/>
          <w:szCs w:val="24"/>
          <w:rtl/>
        </w:rPr>
        <w:t>ألا له الخلق والأمر</w:t>
      </w:r>
      <w:r w:rsidR="00777DCB" w:rsidRPr="00A52585">
        <w:rPr>
          <w:rFonts w:hint="cs"/>
          <w:sz w:val="24"/>
          <w:szCs w:val="24"/>
          <w:rtl/>
        </w:rPr>
        <w:t>} [الأعراف</w:t>
      </w:r>
      <w:r w:rsidRPr="00A52585">
        <w:rPr>
          <w:rFonts w:hint="cs"/>
          <w:sz w:val="24"/>
          <w:szCs w:val="24"/>
          <w:rtl/>
        </w:rPr>
        <w:t>:</w:t>
      </w:r>
      <w:r w:rsidR="00777DCB" w:rsidRPr="00A52585">
        <w:rPr>
          <w:rFonts w:hint="cs"/>
          <w:sz w:val="24"/>
          <w:szCs w:val="24"/>
          <w:rtl/>
        </w:rPr>
        <w:t>54] يحتمل معاني ومن أجلاها أنه هو الذي خلق الخلق وإليه فقط أن يأمرهم بما يشاء وأولو الأمر إنما يستمدون الأمر من أمره تعالى، فلا يكون للآية دخل في هذا البحث أصلاً وإن كان بعضهم يلهج بذلك]</w:t>
      </w:r>
      <w:r w:rsidR="00777DCB" w:rsidRPr="00A52585">
        <w:rPr>
          <w:rFonts w:hint="cs"/>
          <w:rtl/>
        </w:rPr>
        <w:t xml:space="preserve"> </w:t>
      </w:r>
    </w:p>
    <w:p w14:paraId="49A916E7" w14:textId="46734ADE" w:rsidR="00777DCB" w:rsidRPr="00A52585" w:rsidRDefault="0002035C" w:rsidP="0002035C">
      <w:pPr>
        <w:spacing w:after="240"/>
        <w:rPr>
          <w:b/>
          <w:bCs/>
          <w:rtl/>
        </w:rPr>
      </w:pPr>
      <w:r w:rsidRPr="00A52585">
        <w:rPr>
          <w:rFonts w:hint="cs"/>
          <w:bCs/>
          <w:rtl/>
        </w:rPr>
        <w:t>[</w:t>
      </w:r>
      <w:r w:rsidR="00777DCB" w:rsidRPr="00A52585">
        <w:rPr>
          <w:rFonts w:hint="cs"/>
          <w:bCs/>
          <w:rtl/>
        </w:rPr>
        <w:t>فصـــــــل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أخبر في الكتاب بأنه منه</w:t>
      </w:r>
      <w:r w:rsidRPr="00A52585">
        <w:rPr>
          <w:rFonts w:hint="cs"/>
          <w:rtl/>
        </w:rPr>
        <w:t>)</w:t>
      </w:r>
      <w:r w:rsidR="00DB731D" w:rsidRPr="00A52585">
        <w:rPr>
          <w:rFonts w:hint="cs"/>
          <w:rtl/>
        </w:rPr>
        <w:t>،</w:t>
      </w:r>
      <w:r w:rsidR="00777DCB" w:rsidRPr="00A52585">
        <w:rPr>
          <w:rFonts w:hint="cs"/>
          <w:rtl/>
        </w:rPr>
        <w:t xml:space="preserve"> قلنا</w:t>
      </w:r>
      <w:r w:rsidRPr="00A52585">
        <w:rPr>
          <w:rFonts w:hint="cs"/>
          <w:rtl/>
        </w:rPr>
        <w:t>:</w:t>
      </w:r>
      <w:r w:rsidR="00777DCB" w:rsidRPr="00A52585">
        <w:rPr>
          <w:rFonts w:hint="cs"/>
          <w:rtl/>
        </w:rPr>
        <w:t xml:space="preserve"> الذي في الكتاب </w:t>
      </w:r>
      <w:r w:rsidRPr="00A52585">
        <w:rPr>
          <w:rFonts w:hint="cs"/>
          <w:rtl/>
        </w:rPr>
        <w:t>{</w:t>
      </w:r>
      <w:r w:rsidR="00777DCB" w:rsidRPr="00A52585">
        <w:rPr>
          <w:rFonts w:hint="cs"/>
          <w:rtl/>
        </w:rPr>
        <w:t>تنـزيل الكتاب من الله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غافر</w:t>
      </w:r>
      <w:r w:rsidRPr="00A52585">
        <w:rPr>
          <w:rFonts w:hint="cs"/>
          <w:rtl/>
        </w:rPr>
        <w:t>:</w:t>
      </w:r>
      <w:r w:rsidR="00777DCB" w:rsidRPr="00A52585">
        <w:rPr>
          <w:rFonts w:hint="cs"/>
          <w:rtl/>
        </w:rPr>
        <w:t xml:space="preserve"> 2</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ونحوه وليس فيها الكتاب منه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والمجرور بـ </w:t>
      </w:r>
      <w:r w:rsidRPr="00A52585">
        <w:rPr>
          <w:rFonts w:hint="cs"/>
          <w:rtl/>
        </w:rPr>
        <w:t>(</w:t>
      </w:r>
      <w:r w:rsidR="00777DCB" w:rsidRPr="00A52585">
        <w:rPr>
          <w:rFonts w:hint="cs"/>
          <w:rtl/>
        </w:rPr>
        <w:t>من</w:t>
      </w:r>
      <w:r w:rsidRPr="00A52585">
        <w:rPr>
          <w:rFonts w:hint="cs"/>
          <w:rtl/>
        </w:rPr>
        <w:t>)</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يريد أن ما سبق على المجرور بـ "من" إما أن يكون عيناً أو وصفا، فالعين مخلوقه تعالى، قال</w:t>
      </w:r>
      <w:r w:rsidRPr="00A52585">
        <w:rPr>
          <w:rFonts w:hint="cs"/>
          <w:sz w:val="24"/>
          <w:szCs w:val="24"/>
          <w:rtl/>
        </w:rPr>
        <w:t>:</w:t>
      </w:r>
      <w:r w:rsidR="00777DCB" w:rsidRPr="00A52585">
        <w:rPr>
          <w:rFonts w:hint="cs"/>
          <w:sz w:val="24"/>
          <w:szCs w:val="24"/>
          <w:rtl/>
        </w:rPr>
        <w:t xml:space="preserve"> والوصف قائم به تعالى لكن في العبارة ارتباك، وكذا عبارة المصنف فليحرر]</w:t>
      </w:r>
      <w:r w:rsidR="00777DCB" w:rsidRPr="00A52585">
        <w:rPr>
          <w:rFonts w:hint="cs"/>
          <w:rtl/>
        </w:rPr>
        <w:t xml:space="preserve"> نوعان</w:t>
      </w:r>
      <w:r w:rsidRPr="00A52585">
        <w:rPr>
          <w:rFonts w:hint="cs"/>
          <w:rtl/>
        </w:rPr>
        <w:t>:</w:t>
      </w:r>
      <w:r w:rsidR="00777DCB" w:rsidRPr="00A52585">
        <w:rPr>
          <w:rFonts w:hint="cs"/>
          <w:rtl/>
        </w:rPr>
        <w:t xml:space="preserve"> عين ووصف قائم بالعين</w:t>
      </w:r>
      <w:r w:rsidR="00DB731D" w:rsidRPr="00A52585">
        <w:rPr>
          <w:rFonts w:hint="cs"/>
          <w:rtl/>
        </w:rPr>
        <w:t>،</w:t>
      </w:r>
      <w:r w:rsidR="00777DCB" w:rsidRPr="00A52585">
        <w:rPr>
          <w:rFonts w:hint="cs"/>
          <w:rtl/>
        </w:rPr>
        <w:t xml:space="preserve"> فالعين خلقه والوصف قام بالمجرور</w:t>
      </w:r>
      <w:r w:rsidRPr="00A52585">
        <w:rPr>
          <w:rFonts w:hint="cs"/>
          <w:rtl/>
        </w:rPr>
        <w:t>)</w:t>
      </w:r>
      <w:r w:rsidR="00DB731D" w:rsidRPr="00A52585">
        <w:rPr>
          <w:rFonts w:hint="cs"/>
          <w:rtl/>
        </w:rPr>
        <w:t>،</w:t>
      </w:r>
      <w:r w:rsidR="00777DCB" w:rsidRPr="00A52585">
        <w:rPr>
          <w:rFonts w:hint="cs"/>
          <w:rtl/>
        </w:rPr>
        <w:t xml:space="preserve"> قوله قائم بالعين ليس بصحيح قد يكون قائماً بنفسه </w:t>
      </w:r>
      <w:r w:rsidRPr="00A52585">
        <w:rPr>
          <w:rFonts w:hint="cs"/>
          <w:rtl/>
        </w:rPr>
        <w:t>(</w:t>
      </w:r>
      <w:r w:rsidR="00777DCB" w:rsidRPr="00A52585">
        <w:rPr>
          <w:rFonts w:hint="cs"/>
          <w:rtl/>
        </w:rPr>
        <w:t>؟</w:t>
      </w:r>
      <w:r w:rsidRPr="00A52585">
        <w:rPr>
          <w:rFonts w:hint="cs"/>
          <w:rtl/>
        </w:rPr>
        <w:t>)</w:t>
      </w:r>
      <w:r w:rsidR="00DB731D" w:rsidRPr="00A52585">
        <w:rPr>
          <w:rFonts w:hint="cs"/>
          <w:rtl/>
        </w:rPr>
        <w:t>،</w:t>
      </w:r>
      <w:r w:rsidR="00777DCB" w:rsidRPr="00A52585">
        <w:rPr>
          <w:rFonts w:hint="cs"/>
          <w:rtl/>
        </w:rPr>
        <w:t xml:space="preserve"> </w:t>
      </w:r>
    </w:p>
    <w:p w14:paraId="76E083D7" w14:textId="2B814887" w:rsidR="00777DCB" w:rsidRPr="00A52585" w:rsidRDefault="0002035C" w:rsidP="0002035C">
      <w:pPr>
        <w:spacing w:after="240"/>
        <w:rPr>
          <w:b/>
          <w:rtl/>
        </w:rPr>
      </w:pPr>
      <w:r w:rsidRPr="00A52585">
        <w:rPr>
          <w:rFonts w:hint="cs"/>
          <w:bCs/>
          <w:rtl/>
        </w:rPr>
        <w:lastRenderedPageBreak/>
        <w:t>[</w:t>
      </w:r>
      <w:r w:rsidR="00777DCB" w:rsidRPr="00A52585">
        <w:rPr>
          <w:rFonts w:hint="cs"/>
          <w:bCs/>
          <w:rtl/>
        </w:rPr>
        <w:t>فصل</w:t>
      </w:r>
      <w:r w:rsidRPr="00A52585">
        <w:rPr>
          <w:rFonts w:hint="cs"/>
          <w:bCs/>
          <w:rtl/>
        </w:rPr>
        <w:t>:</w:t>
      </w:r>
      <w:r w:rsidR="00777DCB" w:rsidRPr="00A52585">
        <w:rPr>
          <w:rFonts w:hint="cs"/>
          <w:bCs/>
          <w:rtl/>
        </w:rPr>
        <w:t xml:space="preserve"> وقيعة الناظم وشيخه في ابن حزم</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وأتى ابن حزم فقال ما للناس قرآن ولا اثنان بل أربع كل يسمى بالقرآن وذاك قول بين البطلان. هذا الذي يتلى والمرسوم والمحفوظ والمعنى القديم فالشيء شيء واحد لا أربع فدهى ابن حزم ملة القرآن</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المضحك المبكي وقيعة الناظم وشيخه في ابن حزم؛ وهو إمامهما في غالب المسائل الفرعية التي شذَّ بها عن الجماعة. وأنت تراهما يطعنان فيه طعناً مراً في المسائل الاعتقادية، وهو أقرب إلى الحق منهما في غالب تلك المسائل ولا سيما في مسألة القرآن؛ وهو من المنـزهين دونهما؛ وهو عدو لدود للمجسمة؛ حتى إنهم تراهم ينبزون هذا الظاهري بالقرمطة! وفي (الفصل) أبحاث جيدة تتعلق بقمع أهل التجسيم لعلها تكون كفارة عن بعض قسوته وشذوذه ومخالفاته لجمهور العلماء</w:t>
      </w:r>
      <w:r w:rsidR="00DB731D" w:rsidRPr="00A52585">
        <w:rPr>
          <w:rFonts w:hint="cs"/>
          <w:sz w:val="24"/>
          <w:szCs w:val="24"/>
          <w:rtl/>
        </w:rPr>
        <w:t>،</w:t>
      </w:r>
      <w:r w:rsidR="00777DCB" w:rsidRPr="00A52585">
        <w:rPr>
          <w:rFonts w:hint="cs"/>
          <w:sz w:val="24"/>
          <w:szCs w:val="24"/>
          <w:rtl/>
        </w:rPr>
        <w:t xml:space="preserve"> وقول ابن حزم بكون القرآن مشتركاً بين تلك الأربعة موافق لكتاب الله، قال الله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بل هو آيات بينات في صدور الذين أوتوا العلم</w:t>
      </w:r>
      <w:r w:rsidR="00777DCB" w:rsidRPr="00A52585">
        <w:rPr>
          <w:rFonts w:hint="cs"/>
          <w:sz w:val="24"/>
          <w:szCs w:val="24"/>
          <w:rtl/>
        </w:rPr>
        <w:t>} [العنكبوت</w:t>
      </w:r>
      <w:r w:rsidRPr="00A52585">
        <w:rPr>
          <w:rFonts w:hint="cs"/>
          <w:sz w:val="24"/>
          <w:szCs w:val="24"/>
          <w:rtl/>
        </w:rPr>
        <w:t>:</w:t>
      </w:r>
      <w:r w:rsidR="00777DCB" w:rsidRPr="00A52585">
        <w:rPr>
          <w:rFonts w:hint="cs"/>
          <w:sz w:val="24"/>
          <w:szCs w:val="24"/>
          <w:rtl/>
        </w:rPr>
        <w:t>49] وقال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بل هو قرآن مجيد، في لوح محفوظ</w:t>
      </w:r>
      <w:r w:rsidR="00777DCB" w:rsidRPr="00A52585">
        <w:rPr>
          <w:rFonts w:hint="cs"/>
          <w:sz w:val="24"/>
          <w:szCs w:val="24"/>
          <w:rtl/>
        </w:rPr>
        <w:t>} [البروج22,21] وقال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وإذا صرفنا إليك نفراً من الجن يستمعون القرآن</w:t>
      </w:r>
      <w:r w:rsidR="00777DCB" w:rsidRPr="00A52585">
        <w:rPr>
          <w:rFonts w:hint="cs"/>
          <w:sz w:val="24"/>
          <w:szCs w:val="24"/>
          <w:rtl/>
        </w:rPr>
        <w:t>} [الأحقاف</w:t>
      </w:r>
      <w:r w:rsidRPr="00A52585">
        <w:rPr>
          <w:rFonts w:hint="cs"/>
          <w:sz w:val="24"/>
          <w:szCs w:val="24"/>
          <w:rtl/>
        </w:rPr>
        <w:t>:</w:t>
      </w:r>
      <w:r w:rsidR="00777DCB" w:rsidRPr="00A52585">
        <w:rPr>
          <w:rFonts w:hint="cs"/>
          <w:sz w:val="24"/>
          <w:szCs w:val="24"/>
          <w:rtl/>
        </w:rPr>
        <w:t>29]، فصدور العلماء واللوح المحفوظ ولسان الرسول صلى الله عليه وسلم مخلوقة مع ما فيها، فالقديم هو ما قام بالله سبحانه دون ما في الصدور والألواح والألسنة، وهذا في غاية من الظهور وغلط ابن حزم إنما هو في قوله بعموم المشترك هنا]</w:t>
      </w:r>
      <w:r w:rsidRPr="00A52585">
        <w:rPr>
          <w:rFonts w:hint="cs"/>
          <w:rtl/>
        </w:rPr>
        <w:t xml:space="preserve"> </w:t>
      </w:r>
      <w:r w:rsidR="00777DCB" w:rsidRPr="00A52585">
        <w:rPr>
          <w:rFonts w:hint="cs"/>
          <w:rtl/>
        </w:rPr>
        <w:t>هذا لم يفهم كلام ابن حزم</w:t>
      </w:r>
      <w:r w:rsidR="00DB731D" w:rsidRPr="00A52585">
        <w:rPr>
          <w:rFonts w:hint="cs"/>
          <w:rtl/>
        </w:rPr>
        <w:t>،</w:t>
      </w:r>
      <w:r w:rsidR="00777DCB" w:rsidRPr="00A52585">
        <w:rPr>
          <w:rFonts w:hint="cs"/>
          <w:rtl/>
        </w:rPr>
        <w:t xml:space="preserve"> مراد ابن حزم أن القرآن هو المعنى وهو واحد له وجود في نفسه ويتلى ويرسم ويحفظ فيوجد في اللفظ والخط والصدر ويطلق على الثلاثة أيضاً قرآن فاللفظ مشترك بين الأربعة</w:t>
      </w:r>
      <w:r w:rsidR="00DB731D" w:rsidRPr="00A52585">
        <w:rPr>
          <w:rFonts w:hint="cs"/>
          <w:rtl/>
        </w:rPr>
        <w:t>،</w:t>
      </w:r>
      <w:r w:rsidR="00777DCB" w:rsidRPr="00A52585">
        <w:rPr>
          <w:rFonts w:hint="cs"/>
          <w:rtl/>
        </w:rPr>
        <w:t xml:space="preserve"> ثم قال ما معناه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اللفظ يطلق على المصدر ويطلق على الملفوظ وألفاظ العباد كذلك</w:t>
      </w:r>
      <w:r w:rsidR="00DB731D" w:rsidRPr="00A52585">
        <w:rPr>
          <w:rFonts w:hint="cs"/>
          <w:rtl/>
        </w:rPr>
        <w:t>،</w:t>
      </w:r>
      <w:r w:rsidR="00777DCB" w:rsidRPr="00A52585">
        <w:rPr>
          <w:rFonts w:hint="cs"/>
          <w:rtl/>
        </w:rPr>
        <w:t xml:space="preserve"> فالأول مخلوق والثاني [</w:t>
      </w:r>
      <w:r w:rsidR="00777DCB" w:rsidRPr="00A52585">
        <w:rPr>
          <w:rFonts w:hint="cs"/>
          <w:sz w:val="24"/>
          <w:szCs w:val="24"/>
          <w:rtl/>
        </w:rPr>
        <w:t>يعني الملفوظ، فإن كان يريد وجوده العلمي في علم الله فقدمه بهذا الاعتبار موضع اتفاق، وإن كان يريد الصوت الصادر من فم اللافظ فهو حادث قطعاً، وأني يتصور القدم لعرض محسوس المبدأ والمقطع</w:t>
      </w:r>
      <w:r w:rsidR="00DB731D" w:rsidRPr="00A52585">
        <w:rPr>
          <w:rFonts w:hint="cs"/>
          <w:sz w:val="24"/>
          <w:szCs w:val="24"/>
          <w:rtl/>
        </w:rPr>
        <w:t>،</w:t>
      </w:r>
      <w:r w:rsidR="00777DCB" w:rsidRPr="00A52585">
        <w:rPr>
          <w:rFonts w:hint="cs"/>
          <w:sz w:val="24"/>
          <w:szCs w:val="24"/>
          <w:rtl/>
        </w:rPr>
        <w:t xml:space="preserve"> ومذهب الناظم اعتبار كلام الله صوتاً صادراً من الله حادثاً شخصاً, قديماً نوعاً، تعالى الله عن ذلك. ولم يقل به أحد قبل شيخ الناظم وتابعه الناظم المسكين كما يظهر من مواضع في هذا الكتاب فقوله (والثاني غير مخلوق) لا يصح بالنظر إلى الصوت وهو ظاهر والله سبحانه هو الهادي]</w:t>
      </w:r>
      <w:r w:rsidR="00777DCB" w:rsidRPr="00A52585">
        <w:rPr>
          <w:rFonts w:hint="cs"/>
          <w:rtl/>
        </w:rPr>
        <w:t xml:space="preserve"> غير مخلوق وهو القرآن وعلى ذلك حمل كلام أحمد والبخاري</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الخلاف بين أحمد والبخاري في اللفظ</w:t>
      </w:r>
      <w:r w:rsidRPr="00A52585">
        <w:rPr>
          <w:rFonts w:hint="cs"/>
          <w:sz w:val="24"/>
          <w:szCs w:val="24"/>
          <w:rtl/>
        </w:rPr>
        <w:t>]:</w:t>
      </w:r>
      <w:r w:rsidR="00777DCB" w:rsidRPr="00A52585">
        <w:rPr>
          <w:rFonts w:hint="cs"/>
          <w:sz w:val="24"/>
          <w:szCs w:val="24"/>
          <w:rtl/>
        </w:rPr>
        <w:t xml:space="preserve"> والمعروف بين أهل العلم أن البخاري كان يقول بحدوث اللفظ</w:t>
      </w:r>
      <w:r w:rsidRPr="00A52585">
        <w:rPr>
          <w:rFonts w:hint="cs"/>
          <w:sz w:val="24"/>
          <w:szCs w:val="24"/>
          <w:rtl/>
        </w:rPr>
        <w:t xml:space="preserve"> </w:t>
      </w:r>
      <w:r w:rsidR="00777DCB" w:rsidRPr="00A52585">
        <w:rPr>
          <w:rFonts w:hint="cs"/>
          <w:sz w:val="24"/>
          <w:szCs w:val="24"/>
          <w:rtl/>
        </w:rPr>
        <w:t>- يعني لفظ التالي الدال دون تعرض للمعنى المدلول عليه وضعاً أو عقلاً -</w:t>
      </w:r>
      <w:r w:rsidRPr="00A52585">
        <w:rPr>
          <w:rFonts w:hint="cs"/>
          <w:sz w:val="24"/>
          <w:szCs w:val="24"/>
          <w:rtl/>
        </w:rPr>
        <w:t xml:space="preserve"> </w:t>
      </w:r>
      <w:r w:rsidR="00777DCB" w:rsidRPr="00A52585">
        <w:rPr>
          <w:rFonts w:hint="cs"/>
          <w:sz w:val="24"/>
          <w:szCs w:val="24"/>
          <w:rtl/>
        </w:rPr>
        <w:t xml:space="preserve">وأحمد يبدع من يقول ذلك، وتبديع هذا وقول ذاك متواردان على شيء واحد، والحقُّ مع البخاري في تلك المسألة وإن كان الذهلي وأصحابه جميعاً هجروه على ذلك، راجع كتاب الجرح والتعديل لابن أبي حاتم. وليس بقليل بين أهل العلم الذين يقولون بأن المعنى المصدري أمر نسبي من قبيل الحال؛ فعندهم أن اللافظ هو العبد وهو مخلوق الله والملفوظ هو الصوت المكيف الخارج من فم العبد وهو مخلوق الله تعالى أيضاً واللفظ بالمعنى المصدري نسبة بين اللافظ والملفوظ فلا يتعلق به الخلق عندهم. وقول الناظم والمصنف بخلقه على مذهب </w:t>
      </w:r>
      <w:proofErr w:type="spellStart"/>
      <w:r w:rsidR="00777DCB" w:rsidRPr="00A52585">
        <w:rPr>
          <w:rFonts w:hint="cs"/>
          <w:sz w:val="24"/>
          <w:szCs w:val="24"/>
          <w:rtl/>
        </w:rPr>
        <w:t>نفاة</w:t>
      </w:r>
      <w:proofErr w:type="spellEnd"/>
      <w:r w:rsidR="00777DCB" w:rsidRPr="00A52585">
        <w:rPr>
          <w:rFonts w:hint="cs"/>
          <w:sz w:val="24"/>
          <w:szCs w:val="24"/>
          <w:rtl/>
        </w:rPr>
        <w:t xml:space="preserve"> الحال. وتفصيل هذا البحث فيما كتبناه على الاختلاف في اللفظ]</w:t>
      </w:r>
      <w:r w:rsidR="00777DCB" w:rsidRPr="00A52585">
        <w:rPr>
          <w:rFonts w:hint="cs"/>
          <w:rtl/>
        </w:rPr>
        <w:t xml:space="preserve"> </w:t>
      </w:r>
    </w:p>
    <w:p w14:paraId="1E2ECCD6" w14:textId="2AB6DD08" w:rsidR="00777DCB" w:rsidRPr="00A52585" w:rsidRDefault="0002035C" w:rsidP="0002035C">
      <w:pPr>
        <w:spacing w:after="240"/>
        <w:rPr>
          <w:b/>
          <w:rtl/>
        </w:rPr>
      </w:pPr>
      <w:r w:rsidRPr="00A52585">
        <w:rPr>
          <w:rFonts w:hint="cs"/>
          <w:bCs/>
          <w:rtl/>
        </w:rPr>
        <w:lastRenderedPageBreak/>
        <w:t>[</w:t>
      </w:r>
      <w:r w:rsidR="00777DCB" w:rsidRPr="00A52585">
        <w:rPr>
          <w:rFonts w:hint="cs"/>
          <w:bCs/>
          <w:rtl/>
        </w:rPr>
        <w:t>الكلام اللفظي</w:t>
      </w:r>
      <w:r w:rsidRPr="00A52585">
        <w:rPr>
          <w:rFonts w:hint="cs"/>
          <w:bCs/>
          <w:rtl/>
        </w:rPr>
        <w:t>]</w:t>
      </w:r>
      <w:r w:rsidRPr="00A52585">
        <w:rPr>
          <w:rFonts w:hint="cs"/>
          <w:rtl/>
        </w:rPr>
        <w:t>:</w:t>
      </w:r>
      <w:r w:rsidR="00777DCB" w:rsidRPr="00A52585">
        <w:rPr>
          <w:rFonts w:hint="cs"/>
          <w:rtl/>
        </w:rPr>
        <w:t xml:space="preserve"> قلنا أمّا المصدر فمخلوق بلا شك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يعني عند </w:t>
      </w:r>
      <w:proofErr w:type="spellStart"/>
      <w:r w:rsidR="00777DCB" w:rsidRPr="00A52585">
        <w:rPr>
          <w:rFonts w:hint="cs"/>
          <w:sz w:val="24"/>
          <w:szCs w:val="24"/>
          <w:rtl/>
        </w:rPr>
        <w:t>نفاة</w:t>
      </w:r>
      <w:proofErr w:type="spellEnd"/>
      <w:r w:rsidR="00777DCB" w:rsidRPr="00A52585">
        <w:rPr>
          <w:rFonts w:hint="cs"/>
          <w:sz w:val="24"/>
          <w:szCs w:val="24"/>
          <w:rtl/>
        </w:rPr>
        <w:t xml:space="preserve"> الحال، راجع شرح المواقف]</w:t>
      </w:r>
      <w:r w:rsidR="00777DCB" w:rsidRPr="00A52585">
        <w:rPr>
          <w:rFonts w:hint="cs"/>
          <w:rtl/>
        </w:rPr>
        <w:t xml:space="preserve"> وهو فعل العبد وأما الملفوظ من فم العبد فهو الصوت الخارج منه</w:t>
      </w:r>
      <w:r w:rsidR="00DB731D" w:rsidRPr="00A52585">
        <w:rPr>
          <w:rFonts w:hint="cs"/>
          <w:rtl/>
        </w:rPr>
        <w:t>،</w:t>
      </w:r>
      <w:r w:rsidR="00777DCB" w:rsidRPr="00A52585">
        <w:rPr>
          <w:rFonts w:hint="cs"/>
          <w:rtl/>
        </w:rPr>
        <w:t xml:space="preserve"> المخلوق لله تعالى</w:t>
      </w:r>
      <w:r w:rsidR="00DB731D" w:rsidRPr="00A52585">
        <w:rPr>
          <w:rFonts w:hint="cs"/>
          <w:rtl/>
        </w:rPr>
        <w:t>،</w:t>
      </w:r>
      <w:r w:rsidR="00777DCB" w:rsidRPr="00A52585">
        <w:rPr>
          <w:rFonts w:hint="cs"/>
          <w:rtl/>
        </w:rPr>
        <w:t xml:space="preserve"> وقولنا له كلام الله كما يقال إذا قرأ المحدث </w:t>
      </w:r>
      <w:r w:rsidRPr="00A52585">
        <w:rPr>
          <w:rFonts w:hint="cs"/>
          <w:rtl/>
        </w:rPr>
        <w:t>(</w:t>
      </w:r>
      <w:r w:rsidR="00777DCB" w:rsidRPr="00A52585">
        <w:rPr>
          <w:rFonts w:hint="cs"/>
          <w:rtl/>
        </w:rPr>
        <w:t>إنما الأعمال بالنيات</w:t>
      </w:r>
      <w:r w:rsidRPr="00A52585">
        <w:rPr>
          <w:rFonts w:hint="cs"/>
          <w:rtl/>
        </w:rPr>
        <w:t>):</w:t>
      </w:r>
      <w:r w:rsidR="00777DCB" w:rsidRPr="00A52585">
        <w:rPr>
          <w:rFonts w:hint="cs"/>
          <w:rtl/>
        </w:rPr>
        <w:t xml:space="preserve"> هذا كلام النبي صلى الله عليه وسلم وإذا قرئ كتاب ملَك علينا نقول</w:t>
      </w:r>
      <w:r w:rsidRPr="00A52585">
        <w:rPr>
          <w:rFonts w:hint="cs"/>
          <w:rtl/>
        </w:rPr>
        <w:t>:</w:t>
      </w:r>
      <w:r w:rsidR="00777DCB" w:rsidRPr="00A52585">
        <w:rPr>
          <w:rFonts w:hint="cs"/>
          <w:rtl/>
        </w:rPr>
        <w:t xml:space="preserve"> هذا كتاب الملك</w:t>
      </w:r>
      <w:r w:rsidR="00DB731D" w:rsidRPr="00A52585">
        <w:rPr>
          <w:rFonts w:hint="cs"/>
          <w:rtl/>
        </w:rPr>
        <w:t>،</w:t>
      </w:r>
      <w:r w:rsidR="00777DCB" w:rsidRPr="00A52585">
        <w:rPr>
          <w:rFonts w:hint="cs"/>
          <w:rtl/>
        </w:rPr>
        <w:t xml:space="preserve"> </w:t>
      </w:r>
    </w:p>
    <w:p w14:paraId="0474FFCB" w14:textId="585BB161"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في مقالة الفلاسفة والقرامطة</w:t>
      </w:r>
      <w:r w:rsidRPr="00A52585">
        <w:rPr>
          <w:rFonts w:hint="cs"/>
          <w:rtl/>
        </w:rPr>
        <w:t>:</w:t>
      </w:r>
      <w:r w:rsidR="00777DCB" w:rsidRPr="00A52585">
        <w:rPr>
          <w:rFonts w:hint="cs"/>
          <w:rtl/>
        </w:rPr>
        <w:t xml:space="preserve"> هذا لا يتعلق بنا فعليهم غضب الله</w:t>
      </w:r>
      <w:r w:rsidR="00DB731D" w:rsidRPr="00A52585">
        <w:rPr>
          <w:rFonts w:hint="cs"/>
          <w:rtl/>
        </w:rPr>
        <w:t>،</w:t>
      </w:r>
      <w:r w:rsidR="00777DCB" w:rsidRPr="00A52585">
        <w:rPr>
          <w:rFonts w:hint="cs"/>
          <w:rtl/>
        </w:rPr>
        <w:t xml:space="preserve"> ولكن غرضه أن يخلط الحق بالباطل حتى يروج</w:t>
      </w:r>
      <w:r w:rsidRPr="00A52585">
        <w:rPr>
          <w:rFonts w:hint="cs"/>
          <w:rtl/>
        </w:rPr>
        <w:t xml:space="preserve"> </w:t>
      </w:r>
      <w:r w:rsidR="00777DCB" w:rsidRPr="00A52585">
        <w:rPr>
          <w:rFonts w:hint="cs"/>
          <w:rtl/>
        </w:rPr>
        <w:t>الباطل</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2"/>
          <w:sz w:val="24"/>
          <w:szCs w:val="24"/>
          <w:rtl/>
        </w:rPr>
        <w:t>هل يعد من علماء الإسلام بل من عامة المسلمين من يروج الباطل وهو يعلم أنه باطل</w:t>
      </w:r>
      <w:r w:rsidR="00F95886" w:rsidRPr="00A52585">
        <w:rPr>
          <w:rFonts w:hint="cs"/>
          <w:spacing w:val="-2"/>
          <w:sz w:val="24"/>
          <w:szCs w:val="24"/>
          <w:rtl/>
        </w:rPr>
        <w:t>؟</w:t>
      </w:r>
      <w:r w:rsidR="00777DCB" w:rsidRPr="00A52585">
        <w:rPr>
          <w:rFonts w:hint="cs"/>
          <w:sz w:val="24"/>
          <w:szCs w:val="24"/>
          <w:rtl/>
        </w:rPr>
        <w:t>]</w:t>
      </w:r>
    </w:p>
    <w:p w14:paraId="1785BE41" w14:textId="24B10DB9" w:rsidR="00777DCB" w:rsidRPr="00A52585" w:rsidRDefault="0002035C" w:rsidP="0002035C">
      <w:pPr>
        <w:spacing w:after="240"/>
        <w:rPr>
          <w:b/>
          <w:bCs/>
          <w:rtl/>
        </w:rPr>
      </w:pPr>
      <w:r w:rsidRPr="00A52585">
        <w:rPr>
          <w:rFonts w:hint="cs"/>
          <w:bCs/>
          <w:rtl/>
        </w:rPr>
        <w:t>[</w:t>
      </w:r>
      <w:r w:rsidR="00777DCB" w:rsidRPr="00A52585">
        <w:rPr>
          <w:rFonts w:hint="cs"/>
          <w:bCs/>
          <w:rtl/>
        </w:rPr>
        <w:t>فصـــــــل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في الاتحادية</w:t>
      </w:r>
      <w:r w:rsidRPr="00A52585">
        <w:rPr>
          <w:rFonts w:hint="cs"/>
          <w:rtl/>
        </w:rPr>
        <w:t>:</w:t>
      </w:r>
      <w:r w:rsidR="00777DCB" w:rsidRPr="00A52585">
        <w:rPr>
          <w:rFonts w:hint="cs"/>
          <w:rtl/>
        </w:rPr>
        <w:t xml:space="preserve"> هو من النمط الذي قبله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هذى مقالات الطوائف كلها فاعطف على الجهمية المغل الذين خرقوا سياج العقل والقرآن شرد</w:t>
      </w:r>
      <w:r w:rsidRPr="00A52585">
        <w:rPr>
          <w:rFonts w:hint="cs"/>
          <w:rtl/>
        </w:rPr>
        <w:t xml:space="preserve"> </w:t>
      </w:r>
      <w:r w:rsidR="00777DCB" w:rsidRPr="00A52585">
        <w:rPr>
          <w:rFonts w:hint="cs"/>
          <w:rtl/>
        </w:rPr>
        <w:t>بهم من خلفهم واكسرهم</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التشريد المذكور في الآية مأمور أن يوقعه النبي صلى الله عليه وسلم بالكفار. ولينظر القارئ كيف يأمره حضرة الناظم أن يوقعه بجماعة المسلمين الأشاعرة وغيرهم من أجل أنهم لا </w:t>
      </w:r>
      <w:proofErr w:type="spellStart"/>
      <w:r w:rsidR="00777DCB" w:rsidRPr="00A52585">
        <w:rPr>
          <w:rFonts w:hint="cs"/>
          <w:sz w:val="24"/>
          <w:szCs w:val="24"/>
          <w:rtl/>
        </w:rPr>
        <w:t>يوافقونه</w:t>
      </w:r>
      <w:proofErr w:type="spellEnd"/>
      <w:r w:rsidR="00777DCB" w:rsidRPr="00A52585">
        <w:rPr>
          <w:rFonts w:hint="cs"/>
          <w:sz w:val="24"/>
          <w:szCs w:val="24"/>
          <w:rtl/>
        </w:rPr>
        <w:t xml:space="preserve"> في ضلاله</w:t>
      </w:r>
      <w:r w:rsidRPr="00A52585">
        <w:rPr>
          <w:rFonts w:hint="cs"/>
          <w:sz w:val="24"/>
          <w:szCs w:val="24"/>
          <w:rtl/>
        </w:rPr>
        <w:t>]</w:t>
      </w:r>
      <w:r w:rsidR="00777DCB" w:rsidRPr="00A52585">
        <w:rPr>
          <w:rFonts w:hint="cs"/>
          <w:sz w:val="24"/>
          <w:szCs w:val="24"/>
          <w:rtl/>
        </w:rPr>
        <w:t xml:space="preserve"> </w:t>
      </w:r>
      <w:r w:rsidR="00777DCB" w:rsidRPr="00A52585">
        <w:rPr>
          <w:rFonts w:hint="cs"/>
          <w:rtl/>
        </w:rPr>
        <w:t>ثم ذكر مذاهب المعتزلة ومذاهب الأشعرية وهما اللذان يسميهما الجهمية</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هذا الذي قد خالف المعقول والمنقول </w:t>
      </w:r>
      <w:proofErr w:type="spellStart"/>
      <w:r w:rsidR="00777DCB" w:rsidRPr="00A52585">
        <w:rPr>
          <w:rFonts w:hint="cs"/>
          <w:rtl/>
        </w:rPr>
        <w:t>والفطرات</w:t>
      </w:r>
      <w:proofErr w:type="spellEnd"/>
      <w:r w:rsidR="00777DCB" w:rsidRPr="00A52585">
        <w:rPr>
          <w:rFonts w:hint="cs"/>
          <w:rtl/>
        </w:rPr>
        <w:t xml:space="preserve"> للإنسان</w:t>
      </w:r>
      <w:r w:rsidR="00DB731D" w:rsidRPr="00A52585">
        <w:rPr>
          <w:rFonts w:hint="cs"/>
          <w:rtl/>
        </w:rPr>
        <w:t>،</w:t>
      </w:r>
      <w:r w:rsidR="00777DCB" w:rsidRPr="00A52585">
        <w:rPr>
          <w:rFonts w:hint="cs"/>
          <w:rtl/>
        </w:rPr>
        <w:t xml:space="preserve"> أما الذي قد قال إن كلامه ذو أحرف قد رتبت ببيان وكلامه بمشيئة وإرادة كالفعل منه كلاهما</w:t>
      </w:r>
      <w:r w:rsidR="00777DCB" w:rsidRPr="00A52585">
        <w:rPr>
          <w:rFonts w:hint="cs"/>
          <w:vertAlign w:val="superscript"/>
          <w:rtl/>
        </w:rPr>
        <w:t xml:space="preserve"> </w:t>
      </w:r>
      <w:r w:rsidR="00777DCB" w:rsidRPr="00A52585">
        <w:rPr>
          <w:rFonts w:hint="cs"/>
          <w:rtl/>
        </w:rPr>
        <w:t xml:space="preserve">سيان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إنما يصح في الكلام اللفظي الحادث باعتبار وجوده الخارجي؛ وأما باعتبار وجوده العلمي فقديم، كما سبق. قال أبو بكر الباقلاني في النقض الكبير</w:t>
      </w:r>
      <w:r w:rsidRPr="00A52585">
        <w:rPr>
          <w:rFonts w:hint="cs"/>
          <w:sz w:val="24"/>
          <w:szCs w:val="24"/>
          <w:rtl/>
        </w:rPr>
        <w:t>:</w:t>
      </w:r>
      <w:r w:rsidR="00777DCB" w:rsidRPr="00A52585">
        <w:rPr>
          <w:rFonts w:hint="cs"/>
          <w:sz w:val="24"/>
          <w:szCs w:val="24"/>
          <w:rtl/>
        </w:rPr>
        <w:t xml:space="preserve"> "من زعم أن السين من باسم الله بعد الباء والميم بعد السين الواقعة بعد الباء لا أول له فقد خرج عن المعقول وجحد الضرورة وأنكر البديهة، فإن اعترف بوقوع شيء فقد اعترف بأوليته، فإذا أدعى أنه لا أول له فقد سقطت محاجته وتعين لحوقه بالسفسطة. وكيف يرجى أن يرشد الدليل من يتواقح في جحد الضروري" اهـ. راجع الشامل لإمام الحرمين ونجم المهتدي لابن المعلم القرشي</w:t>
      </w:r>
      <w:r w:rsidR="00DB731D" w:rsidRPr="00A52585">
        <w:rPr>
          <w:rFonts w:hint="cs"/>
          <w:sz w:val="24"/>
          <w:szCs w:val="24"/>
          <w:rtl/>
        </w:rPr>
        <w:t>،</w:t>
      </w:r>
      <w:r w:rsidR="00777DCB" w:rsidRPr="00A52585">
        <w:rPr>
          <w:rFonts w:hint="cs"/>
          <w:sz w:val="24"/>
          <w:szCs w:val="24"/>
          <w:rtl/>
        </w:rPr>
        <w:t xml:space="preserve"> وفي شعب الإيمان </w:t>
      </w:r>
      <w:proofErr w:type="spellStart"/>
      <w:r w:rsidR="00777DCB" w:rsidRPr="00A52585">
        <w:rPr>
          <w:rFonts w:hint="cs"/>
          <w:sz w:val="24"/>
          <w:szCs w:val="24"/>
          <w:rtl/>
        </w:rPr>
        <w:t>للحليمي</w:t>
      </w:r>
      <w:proofErr w:type="spellEnd"/>
      <w:r w:rsidRPr="00A52585">
        <w:rPr>
          <w:rFonts w:hint="cs"/>
          <w:sz w:val="24"/>
          <w:szCs w:val="24"/>
          <w:rtl/>
        </w:rPr>
        <w:t>:</w:t>
      </w:r>
      <w:r w:rsidR="00777DCB" w:rsidRPr="00A52585">
        <w:rPr>
          <w:rFonts w:hint="cs"/>
          <w:sz w:val="24"/>
          <w:szCs w:val="24"/>
          <w:rtl/>
        </w:rPr>
        <w:t xml:space="preserve"> "ومن زعم أن حركة شفتيه أو صوته أو كتابته بيده في الورقة هو عين كلام الله القائم بذاته فقد زعم أن صفة الله قد حلت بذاته ومست جوارحه وسكنت قلبه، وأي فرق بين من يقول هذا وبين من يزعم من النصارى أن الكلمة اتحدت بعيسى عليه الصلاة والسلام" اهـ. ليحفظ القارئ هذا ثم أرجوه أن يقرأ قول الموفق الحنبلي صاحب المغنى في مناظرته المسجلة في المجموعة المحفوظة تحت رقم 116 بظاهرية دمشق ونصه</w:t>
      </w:r>
      <w:r w:rsidRPr="00A52585">
        <w:rPr>
          <w:rFonts w:hint="cs"/>
          <w:sz w:val="24"/>
          <w:szCs w:val="24"/>
          <w:rtl/>
        </w:rPr>
        <w:t>:</w:t>
      </w:r>
      <w:r w:rsidR="00777DCB" w:rsidRPr="00A52585">
        <w:rPr>
          <w:rFonts w:hint="cs"/>
          <w:sz w:val="24"/>
          <w:szCs w:val="24"/>
          <w:rtl/>
        </w:rPr>
        <w:t xml:space="preserve"> (قال أهل الحق</w:t>
      </w:r>
      <w:r w:rsidRPr="00A52585">
        <w:rPr>
          <w:rFonts w:hint="cs"/>
          <w:sz w:val="24"/>
          <w:szCs w:val="24"/>
          <w:rtl/>
        </w:rPr>
        <w:t>:</w:t>
      </w:r>
      <w:r w:rsidR="00777DCB" w:rsidRPr="00A52585">
        <w:rPr>
          <w:rFonts w:hint="cs"/>
          <w:sz w:val="24"/>
          <w:szCs w:val="24"/>
          <w:rtl/>
        </w:rPr>
        <w:t xml:space="preserve"> القرآن كلام الله غير مخلوق، وقالت المعتزلة هو مخلوق، ولم يكن اختلافهم إلا في هذا الموجود دون ما في نفس الباري مما لا ندري ما هو ولا نعرفه)</w:t>
      </w:r>
      <w:r w:rsidR="00F95886" w:rsidRPr="00A52585">
        <w:rPr>
          <w:rFonts w:hint="cs"/>
          <w:sz w:val="24"/>
          <w:szCs w:val="24"/>
          <w:rtl/>
        </w:rPr>
        <w:t>!</w:t>
      </w:r>
      <w:r w:rsidR="00777DCB" w:rsidRPr="00A52585">
        <w:rPr>
          <w:rFonts w:hint="cs"/>
          <w:sz w:val="24"/>
          <w:szCs w:val="24"/>
          <w:rtl/>
        </w:rPr>
        <w:t>!! وعن الموفق هذا يقول شيخ الناظم</w:t>
      </w:r>
      <w:r w:rsidRPr="00A52585">
        <w:rPr>
          <w:rFonts w:hint="cs"/>
          <w:sz w:val="24"/>
          <w:szCs w:val="24"/>
          <w:rtl/>
        </w:rPr>
        <w:t>:</w:t>
      </w:r>
      <w:r w:rsidR="00777DCB" w:rsidRPr="00A52585">
        <w:rPr>
          <w:rFonts w:hint="cs"/>
          <w:sz w:val="24"/>
          <w:szCs w:val="24"/>
          <w:rtl/>
        </w:rPr>
        <w:t xml:space="preserve"> ما حل دمشق مثله بعد الأوزاعي</w:t>
      </w:r>
      <w:r w:rsidR="00F95886" w:rsidRPr="00A52585">
        <w:rPr>
          <w:rFonts w:hint="cs"/>
          <w:sz w:val="24"/>
          <w:szCs w:val="24"/>
          <w:rtl/>
        </w:rPr>
        <w:t>!</w:t>
      </w:r>
      <w:r w:rsidR="00777DCB" w:rsidRPr="00A52585">
        <w:rPr>
          <w:rFonts w:hint="cs"/>
          <w:sz w:val="24"/>
          <w:szCs w:val="24"/>
          <w:rtl/>
        </w:rPr>
        <w:t>! وأنت ترى كلامه في المسألة، وإذا كان هذه حال الموفق فماذا تكون حال الناظم وشيخه</w:t>
      </w:r>
      <w:r w:rsidR="00F95886" w:rsidRPr="00A52585">
        <w:rPr>
          <w:rFonts w:hint="cs"/>
          <w:sz w:val="24"/>
          <w:szCs w:val="24"/>
          <w:rtl/>
        </w:rPr>
        <w:t>؟</w:t>
      </w:r>
      <w:r w:rsidR="00777DCB" w:rsidRPr="00A52585">
        <w:rPr>
          <w:rFonts w:hint="cs"/>
          <w:sz w:val="24"/>
          <w:szCs w:val="24"/>
          <w:rtl/>
        </w:rPr>
        <w:t>]</w:t>
      </w:r>
      <w:r w:rsidR="00777DCB" w:rsidRPr="00A52585">
        <w:rPr>
          <w:rFonts w:hint="cs"/>
          <w:rtl/>
        </w:rPr>
        <w:t xml:space="preserve"> فهو الذي قد قال قولا يعلم العقلاء صحته بلا نكران</w:t>
      </w:r>
      <w:r w:rsidR="00DB731D" w:rsidRPr="00A52585">
        <w:rPr>
          <w:rFonts w:hint="cs"/>
          <w:rtl/>
        </w:rPr>
        <w:t>،</w:t>
      </w:r>
      <w:r w:rsidR="00777DCB" w:rsidRPr="00A52585">
        <w:rPr>
          <w:rFonts w:hint="cs"/>
          <w:rtl/>
        </w:rPr>
        <w:t xml:space="preserve"> فلأي شيء كان ما قلتم أولى</w:t>
      </w:r>
      <w:r w:rsidR="00F95886" w:rsidRPr="00A52585">
        <w:rPr>
          <w:rFonts w:hint="cs"/>
          <w:rtl/>
        </w:rPr>
        <w:t>؟</w:t>
      </w:r>
      <w:r w:rsidR="00777DCB" w:rsidRPr="00A52585">
        <w:rPr>
          <w:rFonts w:hint="cs"/>
          <w:rtl/>
        </w:rPr>
        <w:t xml:space="preserve"> ولأي شيء كفرتم أصحاب هذا القول</w:t>
      </w:r>
      <w:r w:rsidR="00F95886" w:rsidRPr="00A52585">
        <w:rPr>
          <w:rFonts w:hint="cs"/>
          <w:rtl/>
        </w:rPr>
        <w:t>؟</w:t>
      </w:r>
      <w:r w:rsidR="00777DCB" w:rsidRPr="00A52585">
        <w:rPr>
          <w:rFonts w:hint="cs"/>
          <w:rtl/>
        </w:rPr>
        <w:t xml:space="preserve"> فدعوا الدعاوي وابحثوا معنا وارفوا </w:t>
      </w:r>
      <w:r w:rsidR="00777DCB" w:rsidRPr="00A52585">
        <w:rPr>
          <w:rFonts w:hint="cs"/>
          <w:rtl/>
        </w:rPr>
        <w:lastRenderedPageBreak/>
        <w:t>مذاهبكم إن أمكن</w:t>
      </w:r>
      <w:r w:rsidRPr="00A52585">
        <w:rPr>
          <w:rFonts w:hint="cs"/>
          <w:rtl/>
        </w:rPr>
        <w:t>)</w:t>
      </w:r>
      <w:r w:rsidR="00DB731D" w:rsidRPr="00A52585">
        <w:rPr>
          <w:rFonts w:hint="cs"/>
          <w:rtl/>
        </w:rPr>
        <w:t>،</w:t>
      </w:r>
      <w:r w:rsidR="00777DCB" w:rsidRPr="00A52585">
        <w:rPr>
          <w:rFonts w:hint="cs"/>
          <w:rtl/>
        </w:rPr>
        <w:t xml:space="preserve"> ليت شعري من هو الذي من العقلاء يعلم صحة كلام ذي أحرف مترتبة مفعول قديم ولكن هذا صبي العقل غره</w:t>
      </w:r>
      <w:r w:rsidR="00DB731D" w:rsidRPr="00A52585">
        <w:rPr>
          <w:rFonts w:hint="cs"/>
          <w:rtl/>
        </w:rPr>
        <w:t>،</w:t>
      </w:r>
      <w:r w:rsidR="00777DCB" w:rsidRPr="00A52585">
        <w:rPr>
          <w:rFonts w:hint="cs"/>
          <w:rtl/>
        </w:rPr>
        <w:t xml:space="preserve"> هجام على الحقائق بهواه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فاحكم -</w:t>
      </w:r>
      <w:r w:rsidRPr="00A52585">
        <w:rPr>
          <w:rFonts w:hint="cs"/>
          <w:rtl/>
        </w:rPr>
        <w:t xml:space="preserve"> </w:t>
      </w:r>
      <w:r w:rsidR="00777DCB" w:rsidRPr="00A52585">
        <w:rPr>
          <w:rFonts w:hint="cs"/>
          <w:rtl/>
        </w:rPr>
        <w:t>هداك الله -</w:t>
      </w:r>
      <w:r w:rsidRPr="00A52585">
        <w:rPr>
          <w:rFonts w:hint="cs"/>
          <w:rtl/>
        </w:rPr>
        <w:t xml:space="preserve"> </w:t>
      </w:r>
      <w:r w:rsidR="00777DCB" w:rsidRPr="00A52585">
        <w:rPr>
          <w:rFonts w:hint="cs"/>
          <w:rtl/>
        </w:rPr>
        <w:t>بينهم لا تنصرن سوى الحديث وأهله هم عسكر القرآن. فنقول هذا القدر قد أعيا على أهل الكلام وقاده أصلان</w:t>
      </w:r>
      <w:r w:rsidR="00DB731D"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هل فعله مفعوله أو غيره</w:t>
      </w:r>
      <w:r w:rsidR="00DB731D" w:rsidRPr="00A52585">
        <w:rPr>
          <w:rFonts w:hint="cs"/>
          <w:rtl/>
        </w:rPr>
        <w:t>،</w:t>
      </w:r>
      <w:r w:rsidR="00777DCB" w:rsidRPr="00A52585">
        <w:rPr>
          <w:rFonts w:hint="cs"/>
          <w:rtl/>
        </w:rPr>
        <w:t xml:space="preserve"> قولان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إن كان المراد بالفعل ما هو بالمعنى المصدري من قوله تعالى {</w:t>
      </w:r>
      <w:r w:rsidR="00777DCB" w:rsidRPr="00A52585">
        <w:rPr>
          <w:rFonts w:hint="cs"/>
          <w:bCs/>
          <w:sz w:val="24"/>
          <w:szCs w:val="24"/>
          <w:rtl/>
        </w:rPr>
        <w:t>فعال لما يريد</w:t>
      </w:r>
      <w:r w:rsidR="00777DCB" w:rsidRPr="00A52585">
        <w:rPr>
          <w:rFonts w:hint="cs"/>
          <w:sz w:val="24"/>
          <w:szCs w:val="24"/>
          <w:rtl/>
        </w:rPr>
        <w:t>} [هود</w:t>
      </w:r>
      <w:r w:rsidRPr="00A52585">
        <w:rPr>
          <w:rFonts w:hint="cs"/>
          <w:sz w:val="24"/>
          <w:szCs w:val="24"/>
          <w:rtl/>
        </w:rPr>
        <w:t>:</w:t>
      </w:r>
      <w:r w:rsidR="00777DCB" w:rsidRPr="00A52585">
        <w:rPr>
          <w:rFonts w:hint="cs"/>
          <w:sz w:val="24"/>
          <w:szCs w:val="24"/>
          <w:rtl/>
        </w:rPr>
        <w:t xml:space="preserve"> 107] فليس في فِرَقِ الإسلام من ينفي الفعل بهذا المعنى عن الله سبحانه، بل إثباته موضع اتفاق بين الفرق كلها. وإن كان يريد ما هو مبدأ هذا المعنى فهو صفة قديمة غير الإرادة والقدرة عند طوائف من أهل الحق وهي المسماة عندهم بصفة التكوين. وأما الأشاعرة فيرجعونها إلى القدرة؛ وللقولين حظ من النظر</w:t>
      </w:r>
      <w:r w:rsidR="00DB731D" w:rsidRPr="00A52585">
        <w:rPr>
          <w:rFonts w:hint="cs"/>
          <w:sz w:val="24"/>
          <w:szCs w:val="24"/>
          <w:rtl/>
        </w:rPr>
        <w:t>،</w:t>
      </w:r>
      <w:r w:rsidR="00777DCB" w:rsidRPr="00A52585">
        <w:rPr>
          <w:rFonts w:hint="cs"/>
          <w:sz w:val="24"/>
          <w:szCs w:val="24"/>
          <w:rtl/>
        </w:rPr>
        <w:t xml:space="preserve"> وأما إن كان المراد بالفعل الفعل الحاصل بالمصدر أعني الأثر المترتب على التكوين أو القدرة فلا شك أنه مفعول الله ومخلوقه وغير قائم به أصلا، فأفعال الله بهذا المعنى هي مخلوقاته حتماً، ودعوى قيامها بالله لا تصدر ممن يعي ما يقول</w:t>
      </w:r>
      <w:r w:rsidR="00DB731D" w:rsidRPr="00A52585">
        <w:rPr>
          <w:rFonts w:hint="cs"/>
          <w:sz w:val="24"/>
          <w:szCs w:val="24"/>
          <w:rtl/>
        </w:rPr>
        <w:t>،</w:t>
      </w:r>
      <w:r w:rsidR="00777DCB" w:rsidRPr="00A52585">
        <w:rPr>
          <w:rFonts w:hint="cs"/>
          <w:sz w:val="24"/>
          <w:szCs w:val="24"/>
          <w:rtl/>
        </w:rPr>
        <w:t xml:space="preserve"> ومن المجسمة أناس يظنون أن أفعال الله تكون بالحركة كأفعال العباد وتصدر منه بالعلاج والمزاولة، مع أن الجوارح والآلات إنما وضعت للعباد ليتوصلوا بها إلى قصدهم وهي كلها نقص وآفات، وأما من له الحول والقوة جل جلاله فإنما هو إذا أراد شيئاً قال له كن فيكون بدون آلة ولا جارحة ولا علاج ولا مزاولة يريد الشيء فيحدث. وبهذا البيان ظهر ما في كلام الناظم من الاختلال ووجوه الضلال</w:t>
      </w:r>
      <w:r w:rsidRPr="00A52585">
        <w:rPr>
          <w:rFonts w:hint="cs"/>
          <w:sz w:val="24"/>
          <w:szCs w:val="24"/>
          <w:rtl/>
        </w:rPr>
        <w:t>]</w:t>
      </w:r>
      <w:r w:rsidR="00777DCB" w:rsidRPr="00A52585">
        <w:rPr>
          <w:rFonts w:hint="cs"/>
          <w:rtl/>
        </w:rPr>
        <w:t xml:space="preserve"> والقائلون بأنه عينه فروا من الحدث في الصفات وحقيقة قولهم تعطيل الخالق عن فعله إذ فعله مفعوله لكنه ما قام به فعلى الحقيقة ما له فعل إذ المفعول منفصل عنه. والقائلون بأنه غيره طائفتان</w:t>
      </w:r>
      <w:r w:rsidRPr="00A52585">
        <w:rPr>
          <w:rFonts w:hint="cs"/>
          <w:rtl/>
        </w:rPr>
        <w:t>:</w:t>
      </w:r>
      <w:r w:rsidR="00777DCB" w:rsidRPr="00A52585">
        <w:rPr>
          <w:rFonts w:hint="cs"/>
          <w:rtl/>
        </w:rPr>
        <w:t xml:space="preserve"> إحداهما قالت قديم قائم بالذات</w:t>
      </w:r>
      <w:r w:rsidR="00DB731D" w:rsidRPr="00A52585">
        <w:rPr>
          <w:rFonts w:hint="cs"/>
          <w:rtl/>
        </w:rPr>
        <w:t>،</w:t>
      </w:r>
      <w:r w:rsidR="00777DCB" w:rsidRPr="00A52585">
        <w:rPr>
          <w:rFonts w:hint="cs"/>
          <w:rtl/>
        </w:rPr>
        <w:t xml:space="preserve"> سموه تكوينا</w:t>
      </w:r>
      <w:r w:rsidR="00DB731D" w:rsidRPr="00A52585">
        <w:rPr>
          <w:rFonts w:hint="cs"/>
          <w:rtl/>
        </w:rPr>
        <w:t>،</w:t>
      </w:r>
      <w:r w:rsidR="00777DCB" w:rsidRPr="00A52585">
        <w:rPr>
          <w:rFonts w:hint="cs"/>
          <w:rtl/>
        </w:rPr>
        <w:t xml:space="preserve"> وهم الحنفية. والآخرون رأوه حادثاً قام بالذات</w:t>
      </w:r>
      <w:r w:rsidR="00DB731D" w:rsidRPr="00A52585">
        <w:rPr>
          <w:rFonts w:hint="cs"/>
          <w:rtl/>
        </w:rPr>
        <w:t>،</w:t>
      </w:r>
      <w:r w:rsidR="00777DCB" w:rsidRPr="00A52585">
        <w:rPr>
          <w:rFonts w:hint="cs"/>
          <w:rtl/>
        </w:rPr>
        <w:t xml:space="preserve"> وهم نوعان</w:t>
      </w:r>
      <w:r w:rsidRPr="00A52585">
        <w:rPr>
          <w:rFonts w:hint="cs"/>
          <w:rtl/>
        </w:rPr>
        <w:t>:</w:t>
      </w:r>
      <w:r w:rsidR="00777DCB" w:rsidRPr="00A52585">
        <w:rPr>
          <w:rFonts w:hint="cs"/>
          <w:rtl/>
        </w:rPr>
        <w:t xml:space="preserve"> أحدهما جعله </w:t>
      </w:r>
      <w:proofErr w:type="spellStart"/>
      <w:r w:rsidR="00777DCB" w:rsidRPr="00A52585">
        <w:rPr>
          <w:rFonts w:hint="cs"/>
          <w:rtl/>
        </w:rPr>
        <w:t>مفتتحا</w:t>
      </w:r>
      <w:proofErr w:type="spellEnd"/>
      <w:r w:rsidR="00777DCB" w:rsidRPr="00A52585">
        <w:rPr>
          <w:rFonts w:hint="cs"/>
          <w:rtl/>
        </w:rPr>
        <w:t xml:space="preserve"> به حذراً من التسلسل وهو قول الكرامية</w:t>
      </w:r>
      <w:r w:rsidR="00DB731D" w:rsidRPr="00A52585">
        <w:rPr>
          <w:rFonts w:hint="cs"/>
          <w:rtl/>
        </w:rPr>
        <w:t>،</w:t>
      </w:r>
      <w:r w:rsidR="00777DCB" w:rsidRPr="00A52585">
        <w:rPr>
          <w:rFonts w:hint="cs"/>
          <w:rtl/>
        </w:rPr>
        <w:t xml:space="preserve"> والآخرون أهل الحديث كأحمد بن حنبل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نسبة القول بقيام الفعل الحادث بالله سبحانه إلى أحمد وجعفر الصادق وابن عباس رضي الله عنهم نسبة كاذبة وفرية مكشوفة</w:t>
      </w:r>
      <w:r w:rsidR="00DB731D" w:rsidRPr="00A52585">
        <w:rPr>
          <w:rFonts w:hint="cs"/>
          <w:sz w:val="24"/>
          <w:szCs w:val="24"/>
          <w:rtl/>
        </w:rPr>
        <w:t>،</w:t>
      </w:r>
      <w:r w:rsidR="00777DCB" w:rsidRPr="00A52585">
        <w:rPr>
          <w:rFonts w:hint="cs"/>
          <w:sz w:val="24"/>
          <w:szCs w:val="24"/>
          <w:rtl/>
        </w:rPr>
        <w:t xml:space="preserve"> وقول أحمد</w:t>
      </w:r>
      <w:r w:rsidRPr="00A52585">
        <w:rPr>
          <w:rFonts w:hint="cs"/>
          <w:sz w:val="24"/>
          <w:szCs w:val="24"/>
          <w:rtl/>
        </w:rPr>
        <w:t>:</w:t>
      </w:r>
      <w:r w:rsidR="00777DCB" w:rsidRPr="00A52585">
        <w:rPr>
          <w:rFonts w:hint="cs"/>
          <w:sz w:val="24"/>
          <w:szCs w:val="24"/>
          <w:rtl/>
        </w:rPr>
        <w:t xml:space="preserve"> (إن الله لم يزل متكلماً إن شاء) بمعنى أن الكلام صفة قديمة، وأنه تعالى يكلم أنبياءه متى شاء بدون حرف ولا صوت، بالوحي ومن وراء حجاب أو بإرسال رسول، "وهو متكلم خالق قبل أن يكلم الرسل ويخلق الخلق" كما صرح بذلك غلام الخلال من قدماء الحنابلة في المقنع</w:t>
      </w:r>
      <w:r w:rsidR="00DB731D" w:rsidRPr="00A52585">
        <w:rPr>
          <w:rFonts w:hint="cs"/>
          <w:sz w:val="24"/>
          <w:szCs w:val="24"/>
          <w:rtl/>
        </w:rPr>
        <w:t>،</w:t>
      </w:r>
      <w:r w:rsidR="00777DCB" w:rsidRPr="00A52585">
        <w:rPr>
          <w:rFonts w:hint="cs"/>
          <w:sz w:val="24"/>
          <w:szCs w:val="24"/>
          <w:rtl/>
        </w:rPr>
        <w:t xml:space="preserve"> وأما عثمان بن سعيد الدارمي </w:t>
      </w:r>
      <w:proofErr w:type="spellStart"/>
      <w:r w:rsidR="00777DCB" w:rsidRPr="00A52585">
        <w:rPr>
          <w:rFonts w:hint="cs"/>
          <w:sz w:val="24"/>
          <w:szCs w:val="24"/>
          <w:rtl/>
        </w:rPr>
        <w:t>السجزي</w:t>
      </w:r>
      <w:proofErr w:type="spellEnd"/>
      <w:r w:rsidR="00777DCB" w:rsidRPr="00A52585">
        <w:rPr>
          <w:rFonts w:hint="cs"/>
          <w:sz w:val="24"/>
          <w:szCs w:val="24"/>
          <w:rtl/>
        </w:rPr>
        <w:t xml:space="preserve"> مؤلف النقض على </w:t>
      </w:r>
      <w:proofErr w:type="spellStart"/>
      <w:r w:rsidR="00777DCB" w:rsidRPr="00A52585">
        <w:rPr>
          <w:rFonts w:hint="cs"/>
          <w:sz w:val="24"/>
          <w:szCs w:val="24"/>
          <w:rtl/>
        </w:rPr>
        <w:t>المريسي</w:t>
      </w:r>
      <w:proofErr w:type="spellEnd"/>
      <w:r w:rsidR="00777DCB" w:rsidRPr="00A52585">
        <w:rPr>
          <w:rFonts w:hint="cs"/>
          <w:sz w:val="24"/>
          <w:szCs w:val="24"/>
          <w:rtl/>
        </w:rPr>
        <w:t xml:space="preserve"> فكان فيما سبق لا يخوض في صفات الله سبحانه كما هو طريقة السلف، ثم انخدع بالكرامية وأصبح مجسماً مختل العقل عند تأليفه النقض المذكور، وهو حقيق بأن يكون قدوة للناظم</w:t>
      </w:r>
      <w:r w:rsidR="00DB731D" w:rsidRPr="00A52585">
        <w:rPr>
          <w:rFonts w:hint="cs"/>
          <w:sz w:val="24"/>
          <w:szCs w:val="24"/>
          <w:rtl/>
        </w:rPr>
        <w:t>،</w:t>
      </w:r>
      <w:r w:rsidR="00777DCB" w:rsidRPr="00A52585">
        <w:rPr>
          <w:rFonts w:hint="cs"/>
          <w:sz w:val="24"/>
          <w:szCs w:val="24"/>
          <w:rtl/>
        </w:rPr>
        <w:t xml:space="preserve"> ونسجل هنا على الناظم اعتقاده قيام الحوادث بذات الله سبحانه وتعالى واعتقاده أن هذه الحوادث لا أول لها. وإني ألفت نظر حضرة القارئ إلى هذه العقيدة وهل تتفق مع دعوى أنه إمام دونه كل إمام</w:t>
      </w:r>
      <w:r w:rsidR="00F95886" w:rsidRPr="00A52585">
        <w:rPr>
          <w:rFonts w:hint="cs"/>
          <w:sz w:val="24"/>
          <w:szCs w:val="24"/>
          <w:rtl/>
        </w:rPr>
        <w:t>؟</w:t>
      </w:r>
      <w:r w:rsidR="00777DCB" w:rsidRPr="00A52585">
        <w:rPr>
          <w:rFonts w:hint="cs"/>
          <w:sz w:val="24"/>
          <w:szCs w:val="24"/>
          <w:rtl/>
        </w:rPr>
        <w:t xml:space="preserve"> بل هل تتفق هذه العقيدة مع دعوى أنه في عداد المسلمين فقط</w:t>
      </w:r>
      <w:r w:rsidR="00F95886" w:rsidRPr="00A52585">
        <w:rPr>
          <w:rFonts w:hint="cs"/>
          <w:sz w:val="24"/>
          <w:szCs w:val="24"/>
          <w:rtl/>
        </w:rPr>
        <w:t>؟</w:t>
      </w:r>
      <w:r w:rsidR="00777DCB" w:rsidRPr="00A52585">
        <w:rPr>
          <w:rFonts w:hint="cs"/>
          <w:sz w:val="24"/>
          <w:szCs w:val="24"/>
          <w:rtl/>
        </w:rPr>
        <w:t>]</w:t>
      </w:r>
      <w:r w:rsidR="00777DCB" w:rsidRPr="00A52585">
        <w:rPr>
          <w:rFonts w:hint="cs"/>
          <w:rtl/>
        </w:rPr>
        <w:t xml:space="preserve"> قال</w:t>
      </w:r>
      <w:r w:rsidRPr="00A52585">
        <w:rPr>
          <w:rFonts w:hint="cs"/>
          <w:rtl/>
        </w:rPr>
        <w:t>:</w:t>
      </w:r>
      <w:r w:rsidR="00777DCB" w:rsidRPr="00A52585">
        <w:rPr>
          <w:rFonts w:hint="cs"/>
          <w:rtl/>
        </w:rPr>
        <w:t xml:space="preserve"> إن الله لم يزل متكلما إن شاء</w:t>
      </w:r>
      <w:r w:rsidR="00DB731D" w:rsidRPr="00A52585">
        <w:rPr>
          <w:rFonts w:hint="cs"/>
          <w:rtl/>
        </w:rPr>
        <w:t>،</w:t>
      </w:r>
      <w:r w:rsidR="00777DCB" w:rsidRPr="00A52585">
        <w:rPr>
          <w:rFonts w:hint="cs"/>
          <w:rtl/>
        </w:rPr>
        <w:t xml:space="preserve"> جعل الكلام صفة فعل قائمة بالذات لم يفقد من الرحمن</w:t>
      </w:r>
      <w:r w:rsidR="00DB731D" w:rsidRPr="00A52585">
        <w:rPr>
          <w:rFonts w:hint="cs"/>
          <w:rtl/>
        </w:rPr>
        <w:t>،</w:t>
      </w:r>
      <w:r w:rsidR="00777DCB" w:rsidRPr="00A52585">
        <w:rPr>
          <w:rFonts w:hint="cs"/>
          <w:rtl/>
        </w:rPr>
        <w:t xml:space="preserve"> وكذاك نص على دوام الفعل وكذا ابن عباس وجعفر الصادق و</w:t>
      </w:r>
      <w:r w:rsidRPr="00A52585">
        <w:rPr>
          <w:rFonts w:hint="cs"/>
          <w:rtl/>
        </w:rPr>
        <w:t>(</w:t>
      </w:r>
      <w:r w:rsidR="00777DCB" w:rsidRPr="00A52585">
        <w:rPr>
          <w:rFonts w:hint="cs"/>
          <w:rtl/>
        </w:rPr>
        <w:t>عثمان بن سعيد</w:t>
      </w:r>
      <w:r w:rsidRPr="00A52585">
        <w:rPr>
          <w:rFonts w:hint="cs"/>
          <w:rtl/>
        </w:rPr>
        <w:t>)</w:t>
      </w:r>
      <w:r w:rsidR="00777DCB" w:rsidRPr="00A52585">
        <w:rPr>
          <w:rFonts w:hint="cs"/>
          <w:rtl/>
        </w:rPr>
        <w:t xml:space="preserve"> الدارمي وصدق فالحياة والفعل متلازمان وكل حي فعال إلا إذا عرضت آفة أو قسر</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ليست حياة الله كحياة العباد ولا فعله تعالى كأفعالهم، وإدخال الله سبحانه في </w:t>
      </w:r>
      <w:r w:rsidR="00777DCB" w:rsidRPr="00A52585">
        <w:rPr>
          <w:rFonts w:hint="cs"/>
          <w:sz w:val="24"/>
          <w:szCs w:val="24"/>
          <w:rtl/>
        </w:rPr>
        <w:lastRenderedPageBreak/>
        <w:t>مثل هذه الكلية لا يصدر إلا ممن هو مريض القلب بمرض التشبيه، وعثمان بن سعيد هذا يصرح في نقضه المنقوض بأن كل حي فعال متحرك ويثبت لله الحركة ويظهر من ذلك كيف يتصور فعل الله، والناظم يقتدي بمثل هذا المخذول، ولعل القارئ ازداد بصيرة وعلم من هذا الكلام بأن الحوادث لا أول لها فيكون فعله لا أول له، وهذه المسألة من المسائل التي كفر علماء الإسلام الفلاسفة بها فليعرفه المغرورون بابن القيم ثم ليعرفوه</w:t>
      </w:r>
      <w:r w:rsidRPr="00A52585">
        <w:rPr>
          <w:rFonts w:hint="cs"/>
          <w:sz w:val="24"/>
          <w:szCs w:val="24"/>
          <w:rtl/>
        </w:rPr>
        <w:t>]</w:t>
      </w:r>
      <w:r w:rsidR="00777DCB" w:rsidRPr="00A52585">
        <w:rPr>
          <w:rFonts w:hint="cs"/>
          <w:rtl/>
        </w:rPr>
        <w:t xml:space="preserve"> أولست تسمع قول كل موحد </w:t>
      </w:r>
      <w:r w:rsidRPr="00A52585">
        <w:rPr>
          <w:rFonts w:hint="cs"/>
          <w:rtl/>
        </w:rPr>
        <w:t>(</w:t>
      </w:r>
      <w:r w:rsidR="00777DCB" w:rsidRPr="00A52585">
        <w:rPr>
          <w:rFonts w:hint="cs"/>
          <w:rtl/>
        </w:rPr>
        <w:t>يا دائم المعروف قديم الإحسان</w:t>
      </w:r>
      <w:r w:rsidRPr="00A52585">
        <w:rPr>
          <w:rFonts w:hint="cs"/>
          <w:rtl/>
        </w:rPr>
        <w:t>)</w:t>
      </w:r>
      <w:r w:rsidR="00777DCB" w:rsidRPr="00A52585">
        <w:rPr>
          <w:rFonts w:hint="cs"/>
          <w:rtl/>
        </w:rPr>
        <w:t xml:space="preserve"> أو ليس فعل الرب تابع وصفه وكماله</w:t>
      </w:r>
      <w:r w:rsidR="00F95886" w:rsidRPr="00A52585">
        <w:rPr>
          <w:rFonts w:hint="cs"/>
          <w:rtl/>
        </w:rPr>
        <w:t>؟</w:t>
      </w:r>
      <w:r w:rsidR="00777DCB" w:rsidRPr="00A52585">
        <w:rPr>
          <w:rFonts w:hint="cs"/>
          <w:rtl/>
        </w:rPr>
        <w:t xml:space="preserve"> </w:t>
      </w:r>
      <w:proofErr w:type="spellStart"/>
      <w:r w:rsidR="00777DCB" w:rsidRPr="00A52585">
        <w:rPr>
          <w:rFonts w:hint="cs"/>
          <w:rtl/>
        </w:rPr>
        <w:t>أفذاك</w:t>
      </w:r>
      <w:proofErr w:type="spellEnd"/>
      <w:r w:rsidR="00777DCB" w:rsidRPr="00A52585">
        <w:rPr>
          <w:rFonts w:hint="cs"/>
          <w:rtl/>
        </w:rPr>
        <w:t xml:space="preserve"> ذو حدثان</w:t>
      </w:r>
      <w:r w:rsidR="00F95886" w:rsidRPr="00A52585">
        <w:rPr>
          <w:rFonts w:hint="cs"/>
          <w:rtl/>
        </w:rPr>
        <w:t>؟</w:t>
      </w:r>
      <w:r w:rsidR="00777DCB" w:rsidRPr="00A52585">
        <w:rPr>
          <w:rFonts w:hint="cs"/>
          <w:rtl/>
        </w:rPr>
        <w:t xml:space="preserve"> وكماله سبب الفعال وخلقه أفعالهم سبب الكمال الثاني</w:t>
      </w:r>
      <w:r w:rsidR="00DB731D" w:rsidRPr="00A52585">
        <w:rPr>
          <w:rFonts w:hint="cs"/>
          <w:rtl/>
        </w:rPr>
        <w:t>،</w:t>
      </w:r>
      <w:r w:rsidR="00777DCB" w:rsidRPr="00A52585">
        <w:rPr>
          <w:rFonts w:hint="cs"/>
          <w:rtl/>
        </w:rPr>
        <w:t xml:space="preserve"> أو ما فعال الرب عين كماله</w:t>
      </w:r>
      <w:r w:rsidR="00F95886" w:rsidRPr="00A52585">
        <w:rPr>
          <w:rFonts w:hint="cs"/>
          <w:rtl/>
        </w:rPr>
        <w:t>؟</w:t>
      </w:r>
      <w:r w:rsidR="00777DCB" w:rsidRPr="00A52585">
        <w:rPr>
          <w:rFonts w:hint="cs"/>
          <w:rtl/>
        </w:rPr>
        <w:t xml:space="preserve"> </w:t>
      </w:r>
      <w:proofErr w:type="spellStart"/>
      <w:r w:rsidR="00777DCB" w:rsidRPr="00A52585">
        <w:rPr>
          <w:rFonts w:hint="cs"/>
          <w:rtl/>
        </w:rPr>
        <w:t>أفذاك</w:t>
      </w:r>
      <w:proofErr w:type="spellEnd"/>
      <w:r w:rsidR="00777DCB" w:rsidRPr="00A52585">
        <w:rPr>
          <w:rFonts w:hint="cs"/>
          <w:rtl/>
        </w:rPr>
        <w:t xml:space="preserve"> ممتنع على المنان أزلا إلى أن صار فيما لم يزل ممكنا</w:t>
      </w:r>
      <w:r w:rsidR="00F95886" w:rsidRPr="00A52585">
        <w:rPr>
          <w:rFonts w:hint="cs"/>
          <w:rtl/>
        </w:rPr>
        <w:t>؟</w:t>
      </w:r>
      <w:r w:rsidR="00777DCB" w:rsidRPr="00A52585">
        <w:rPr>
          <w:rFonts w:hint="cs"/>
          <w:rtl/>
        </w:rPr>
        <w:t xml:space="preserve"> تالله قد ضلت عقول القوم إذ قالوا بهذا. وتخلف التأثير بعد تمام موجبه محال؛ والله ربي لم يزل ذا قدرة ومشيئة وعلم وحياة وبهذه الأوصاف تمام الفعل فلأي شيء تأخر فعله مع موجب قد تم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تصريح منه بأن الله سبحانه فاعل بالإيجاب انخداعا منه بقول الفلاسفة القائلين بقدم العالم وقد أتى أهل الحق بنيانهم من القواعد؛ وإن كان الناظم المسكين بعيداً عن فهم أقوال هؤلاء وأقوال هؤلاء. ثم يناقض الناظم نفسه ويثبت لله الاختيار وهو في الحالتين غير شاعر بما يقول، تعالى الله عما يقول. وأرجو أن يفهم القارئ هنا معنى لابد من اعتقاده وهو أن القائل بأن الله فاعل بالإيجاب في ناحية ودين الإسلام كله في ناحية، وأي مسلم يستطيع أن يقول إن ربنا مرغم على فعل ما يفعله]</w:t>
      </w:r>
      <w:r w:rsidR="00DB731D" w:rsidRPr="00A52585">
        <w:rPr>
          <w:rFonts w:hint="cs"/>
          <w:rtl/>
        </w:rPr>
        <w:t>،</w:t>
      </w:r>
      <w:r w:rsidR="00777DCB" w:rsidRPr="00A52585">
        <w:rPr>
          <w:rFonts w:hint="cs"/>
          <w:rtl/>
        </w:rPr>
        <w:t xml:space="preserve"> والله عاب على المشركين عبادتهم ما ليس بخالق ولا ينطق</w:t>
      </w:r>
      <w:r w:rsidR="00DB731D" w:rsidRPr="00A52585">
        <w:rPr>
          <w:rFonts w:hint="cs"/>
          <w:rtl/>
        </w:rPr>
        <w:t>،</w:t>
      </w:r>
      <w:r w:rsidR="00777DCB" w:rsidRPr="00A52585">
        <w:rPr>
          <w:rFonts w:hint="cs"/>
          <w:rtl/>
        </w:rPr>
        <w:t xml:space="preserve"> والله إله حق دائماً</w:t>
      </w:r>
      <w:r w:rsidR="00DB731D" w:rsidRPr="00A52585">
        <w:rPr>
          <w:rFonts w:hint="cs"/>
          <w:rtl/>
        </w:rPr>
        <w:t>،</w:t>
      </w:r>
      <w:r w:rsidR="00777DCB" w:rsidRPr="00A52585">
        <w:rPr>
          <w:rFonts w:hint="cs"/>
          <w:rtl/>
        </w:rPr>
        <w:t xml:space="preserve"> </w:t>
      </w:r>
      <w:proofErr w:type="spellStart"/>
      <w:r w:rsidR="00777DCB" w:rsidRPr="00A52585">
        <w:rPr>
          <w:rFonts w:hint="cs"/>
          <w:rtl/>
        </w:rPr>
        <w:t>أفعنه</w:t>
      </w:r>
      <w:proofErr w:type="spellEnd"/>
      <w:r w:rsidR="00777DCB" w:rsidRPr="00A52585">
        <w:rPr>
          <w:rFonts w:hint="cs"/>
          <w:rtl/>
        </w:rPr>
        <w:t xml:space="preserve"> الوصفان مسلوبان أزلا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ليس منذ خلق استفاد اسم الخالق ولا بإحداثه البرية استفاد اسم الباري، له معنى الربوبية ولا مربوب ومعنى الخالق ولا مخلوق، وهكذا كما نقله الطحاوي عن فقهاء الملة لكن أين للمجسم المسكين أن يفهم هذه الحقائق</w:t>
      </w:r>
      <w:r w:rsidRPr="00A52585">
        <w:rPr>
          <w:rFonts w:hint="cs"/>
          <w:sz w:val="24"/>
          <w:szCs w:val="24"/>
          <w:rtl/>
        </w:rPr>
        <w:t>]</w:t>
      </w:r>
      <w:r w:rsidR="00777DCB" w:rsidRPr="00A52585">
        <w:rPr>
          <w:rFonts w:hint="cs"/>
          <w:rtl/>
        </w:rPr>
        <w:t xml:space="preserve"> هذا المحال إن كان رب العرش لم يزل إله الخلق</w:t>
      </w:r>
      <w:r w:rsidR="00DB731D" w:rsidRPr="00A52585">
        <w:rPr>
          <w:rFonts w:hint="cs"/>
          <w:rtl/>
        </w:rPr>
        <w:t>،</w:t>
      </w:r>
      <w:r w:rsidR="00777DCB" w:rsidRPr="00A52585">
        <w:rPr>
          <w:rFonts w:hint="cs"/>
          <w:rtl/>
        </w:rPr>
        <w:t xml:space="preserve"> فكذا لم يزل متكلما فاعلا -</w:t>
      </w:r>
      <w:r w:rsidRPr="00A52585">
        <w:rPr>
          <w:rFonts w:hint="cs"/>
          <w:rtl/>
        </w:rPr>
        <w:t xml:space="preserve"> </w:t>
      </w:r>
      <w:r w:rsidR="00777DCB" w:rsidRPr="00A52585">
        <w:rPr>
          <w:rFonts w:hint="cs"/>
          <w:rtl/>
        </w:rPr>
        <w:t>والله -</w:t>
      </w:r>
      <w:r w:rsidRPr="00A52585">
        <w:rPr>
          <w:rFonts w:hint="cs"/>
          <w:rtl/>
        </w:rPr>
        <w:t xml:space="preserve"> </w:t>
      </w:r>
      <w:r w:rsidR="00777DCB" w:rsidRPr="00A52585">
        <w:rPr>
          <w:rFonts w:hint="cs"/>
          <w:rtl/>
        </w:rPr>
        <w:t>ما في العقل ما يقضي لذا بالرد بل ليس في المعقول غير ثبوته</w:t>
      </w:r>
      <w:r w:rsidR="00DB731D" w:rsidRPr="00A52585">
        <w:rPr>
          <w:rFonts w:hint="cs"/>
          <w:rtl/>
        </w:rPr>
        <w:t>،</w:t>
      </w:r>
      <w:r w:rsidR="00777DCB" w:rsidRPr="00A52585">
        <w:rPr>
          <w:rFonts w:hint="cs"/>
          <w:rtl/>
        </w:rPr>
        <w:t xml:space="preserve"> وما دون المهيمن حادث ليس القديم سواه والله سابق كل شيء ما ربنا والخلق مقترنان والله كان وليس شيء غيره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والمسلمون جميعهم يعتقدون أن حياة الله لا افتتاح لها، وقد تقدم للناظم أنه يقول</w:t>
      </w:r>
      <w:r w:rsidRPr="00A52585">
        <w:rPr>
          <w:rFonts w:hint="cs"/>
          <w:sz w:val="24"/>
          <w:szCs w:val="24"/>
          <w:rtl/>
        </w:rPr>
        <w:t>:</w:t>
      </w:r>
      <w:r w:rsidR="00777DCB" w:rsidRPr="00A52585">
        <w:rPr>
          <w:rFonts w:hint="cs"/>
          <w:sz w:val="24"/>
          <w:szCs w:val="24"/>
          <w:rtl/>
        </w:rPr>
        <w:t xml:space="preserve"> إن كل حي فعال وإن الحياة والفعل متلازمان. ومعنى هذا أن الفعل لا افتتاح له أيضاً فإذن كيف يتفق قوله هذا السابق مع قوله هنا (كان الله وليس شيء غيره) فليعرف ذلك أهل الغرور بابن القيم ثم ليعرفوه]</w:t>
      </w:r>
      <w:r w:rsidR="00777DCB" w:rsidRPr="00A52585">
        <w:rPr>
          <w:rFonts w:hint="cs"/>
          <w:rtl/>
        </w:rPr>
        <w:t xml:space="preserve"> لسنا نقول كما يقول اليوناني بدوام هذا العالم المشهود والأرواح في أزل وليس بفان</w:t>
      </w:r>
      <w:r w:rsidRPr="00A52585">
        <w:rPr>
          <w:rFonts w:hint="cs"/>
          <w:rtl/>
        </w:rPr>
        <w:t>)</w:t>
      </w:r>
      <w:r w:rsidR="00777DCB" w:rsidRPr="00A52585">
        <w:rPr>
          <w:rFonts w:hint="cs"/>
          <w:rtl/>
        </w:rPr>
        <w:t xml:space="preserve"> واندفع في ذكر النصير الطوسي لعنه الله فهو معذور فيه</w:t>
      </w:r>
      <w:r w:rsidR="00DB731D" w:rsidRPr="00A52585">
        <w:rPr>
          <w:rFonts w:hint="cs"/>
          <w:rtl/>
        </w:rPr>
        <w:t>،</w:t>
      </w:r>
      <w:r w:rsidR="00777DCB" w:rsidRPr="00A52585">
        <w:rPr>
          <w:rFonts w:hint="cs"/>
          <w:rtl/>
        </w:rPr>
        <w:t xml:space="preserve"> لكنه لا فرق بينه وبين القائلين بقدم العالم إلا أنه لا يقول بقدم هذه الأجسام المشاهدة والأرواح. وهذه الأجسام والأرواح كالحوادث اليومية التي أجمع كل عاقل على حدوثها</w:t>
      </w:r>
      <w:r w:rsidR="00DB731D" w:rsidRPr="00A52585">
        <w:rPr>
          <w:rFonts w:hint="cs"/>
          <w:rtl/>
        </w:rPr>
        <w:t>،</w:t>
      </w:r>
      <w:r w:rsidR="00777DCB" w:rsidRPr="00A52585">
        <w:rPr>
          <w:rFonts w:hint="cs"/>
          <w:rtl/>
        </w:rPr>
        <w:t xml:space="preserve"> فلو جاء زنديق وقال إنه لم يزل أجسام وأرواح خلقاً من قبل خلق وإنه كان قبل هذه </w:t>
      </w:r>
      <w:proofErr w:type="gramStart"/>
      <w:r w:rsidR="00777DCB" w:rsidRPr="00A52585">
        <w:rPr>
          <w:rFonts w:hint="cs"/>
          <w:rtl/>
        </w:rPr>
        <w:t>السموات</w:t>
      </w:r>
      <w:proofErr w:type="gramEnd"/>
      <w:r w:rsidR="00777DCB" w:rsidRPr="00A52585">
        <w:rPr>
          <w:rFonts w:hint="cs"/>
          <w:rtl/>
        </w:rPr>
        <w:t xml:space="preserve"> سموات غيرها لا إلى نهاية</w:t>
      </w:r>
      <w:r w:rsidR="00DB731D" w:rsidRPr="00A52585">
        <w:rPr>
          <w:rFonts w:hint="cs"/>
          <w:rtl/>
        </w:rPr>
        <w:t>،</w:t>
      </w:r>
      <w:r w:rsidR="00777DCB" w:rsidRPr="00A52585">
        <w:rPr>
          <w:rFonts w:hint="cs"/>
          <w:rtl/>
        </w:rPr>
        <w:t xml:space="preserve"> وأرواح غير هذه الأرواح لا إلى نهاية لم يكن بينه وبين هذا الناظم فرق إلا أن هذه في غير ذاته تعالى؛ وما قاله الناظم</w:t>
      </w:r>
      <w:r w:rsidR="00DB731D" w:rsidRPr="00A52585">
        <w:rPr>
          <w:rFonts w:hint="cs"/>
          <w:rtl/>
        </w:rPr>
        <w:t>،</w:t>
      </w:r>
      <w:r w:rsidR="00777DCB" w:rsidRPr="00A52585">
        <w:rPr>
          <w:rFonts w:hint="cs"/>
          <w:rtl/>
        </w:rPr>
        <w:t xml:space="preserve"> بحدوثه في ذاته سبحانه وتعالى والتسلسل عنده </w:t>
      </w:r>
      <w:r w:rsidR="00777DCB" w:rsidRPr="00A52585">
        <w:rPr>
          <w:rFonts w:hint="cs"/>
          <w:rtl/>
        </w:rPr>
        <w:lastRenderedPageBreak/>
        <w:t>جائز؛ فبم ينكر على الزنديق الذي يدعي ذلك</w:t>
      </w:r>
      <w:r w:rsidR="00F95886" w:rsidRPr="00A52585">
        <w:rPr>
          <w:rFonts w:hint="cs"/>
          <w:rtl/>
        </w:rPr>
        <w:t>؟</w:t>
      </w:r>
      <w:r w:rsidR="00777DCB" w:rsidRPr="00A52585">
        <w:rPr>
          <w:rFonts w:hint="cs"/>
          <w:rtl/>
        </w:rPr>
        <w:t xml:space="preserve"> وأي فرق بين قوله وقوله</w:t>
      </w:r>
      <w:r w:rsidR="00F95886" w:rsidRPr="00A52585">
        <w:rPr>
          <w:rFonts w:hint="cs"/>
          <w:rtl/>
        </w:rPr>
        <w:t>؟</w:t>
      </w:r>
      <w:r w:rsidR="00777DCB" w:rsidRPr="00A52585">
        <w:rPr>
          <w:rFonts w:hint="cs"/>
          <w:rtl/>
        </w:rPr>
        <w:t xml:space="preserve"> فإن التزم جوازهما فأي فرق بينهما وبين جرم هذه السماء</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ولعل المصنف لم ير جزء (حوادث لا أول لها) لابن تيمية إذ قوله فيه خطر جداً</w:t>
      </w:r>
      <w:r w:rsidRPr="00A52585">
        <w:rPr>
          <w:rFonts w:hint="cs"/>
          <w:sz w:val="24"/>
          <w:szCs w:val="24"/>
          <w:rtl/>
        </w:rPr>
        <w:t>]</w:t>
      </w:r>
      <w:r w:rsidR="00777DCB" w:rsidRPr="00A52585">
        <w:rPr>
          <w:rFonts w:hint="cs"/>
          <w:rtl/>
        </w:rPr>
        <w:t xml:space="preserve"> وقوله </w:t>
      </w:r>
      <w:r w:rsidRPr="00A52585">
        <w:rPr>
          <w:rFonts w:hint="cs"/>
          <w:rtl/>
        </w:rPr>
        <w:t>(</w:t>
      </w:r>
      <w:r w:rsidR="00777DCB" w:rsidRPr="00A52585">
        <w:rPr>
          <w:rFonts w:hint="cs"/>
          <w:rtl/>
        </w:rPr>
        <w:t>تخلف التأثير بعد تمام موجبه</w:t>
      </w:r>
      <w:r w:rsidRPr="00A52585">
        <w:rPr>
          <w:rFonts w:hint="cs"/>
          <w:rtl/>
        </w:rPr>
        <w:t>)</w:t>
      </w:r>
      <w:r w:rsidR="00777DCB" w:rsidRPr="00A52585">
        <w:rPr>
          <w:rFonts w:hint="cs"/>
          <w:rtl/>
        </w:rPr>
        <w:t xml:space="preserve"> ففيه اعتراضان</w:t>
      </w:r>
      <w:r w:rsidRPr="00A52585">
        <w:rPr>
          <w:rFonts w:hint="cs"/>
          <w:rtl/>
        </w:rPr>
        <w:t>:</w:t>
      </w:r>
      <w:r w:rsidR="00777DCB" w:rsidRPr="00A52585">
        <w:rPr>
          <w:rFonts w:hint="cs"/>
          <w:rtl/>
        </w:rPr>
        <w:t xml:space="preserve"> أحدها أن المؤثر خلاف الفاعل بالاختيار والله تعالى فاعل بالاختيار والثاني قوله </w:t>
      </w:r>
      <w:r w:rsidRPr="00A52585">
        <w:rPr>
          <w:rFonts w:hint="cs"/>
          <w:rtl/>
        </w:rPr>
        <w:t>(</w:t>
      </w:r>
      <w:r w:rsidR="00777DCB" w:rsidRPr="00A52585">
        <w:rPr>
          <w:rFonts w:hint="cs"/>
          <w:rtl/>
        </w:rPr>
        <w:t>بعد تمام موجبه</w:t>
      </w:r>
      <w:r w:rsidRPr="00A52585">
        <w:rPr>
          <w:rFonts w:hint="cs"/>
          <w:rtl/>
        </w:rPr>
        <w:t>)</w:t>
      </w:r>
      <w:r w:rsidR="00777DCB" w:rsidRPr="00A52585">
        <w:rPr>
          <w:rFonts w:hint="cs"/>
          <w:rtl/>
        </w:rPr>
        <w:t xml:space="preserve"> إن أراد الإيجاب الذاتي فهو قول الفلاسفة والله فاعل بالاختيار</w:t>
      </w:r>
      <w:r w:rsidR="00DB731D" w:rsidRPr="00A52585">
        <w:rPr>
          <w:rFonts w:hint="cs"/>
          <w:rtl/>
        </w:rPr>
        <w:t>،</w:t>
      </w:r>
      <w:r w:rsidR="00777DCB" w:rsidRPr="00A52585">
        <w:rPr>
          <w:rFonts w:hint="cs"/>
          <w:rtl/>
        </w:rPr>
        <w:t xml:space="preserve"> ومن ضرورة الفعل بالاختيار تأخر الفعل عن الاختيار</w:t>
      </w:r>
      <w:r w:rsidR="00DB731D" w:rsidRPr="00A52585">
        <w:rPr>
          <w:rFonts w:hint="cs"/>
          <w:rtl/>
        </w:rPr>
        <w:t>،</w:t>
      </w:r>
      <w:r w:rsidR="00777DCB" w:rsidRPr="00A52585">
        <w:rPr>
          <w:rFonts w:hint="cs"/>
          <w:rtl/>
        </w:rPr>
        <w:t xml:space="preserve"> والتأخر يقتضي الحدوث فكيف يتخلص عن هذه اللكنة</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وإن أراد الوجوب عن الله فسياق العبارة ينافيه]</w:t>
      </w:r>
      <w:r w:rsidR="00DB731D" w:rsidRPr="00A52585">
        <w:rPr>
          <w:rFonts w:hint="cs"/>
          <w:sz w:val="24"/>
          <w:szCs w:val="24"/>
          <w:rtl/>
        </w:rPr>
        <w:t>،</w:t>
      </w:r>
      <w:r w:rsidR="00777DCB" w:rsidRPr="00A52585">
        <w:rPr>
          <w:rFonts w:hint="cs"/>
          <w:rtl/>
        </w:rPr>
        <w:t xml:space="preserve"> </w:t>
      </w:r>
    </w:p>
    <w:p w14:paraId="00E07D3D" w14:textId="4F5E9CC7"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00777DCB" w:rsidRPr="00A52585">
        <w:rPr>
          <w:rFonts w:hint="cs"/>
          <w:bCs/>
          <w:rtl/>
        </w:rPr>
        <w:t xml:space="preserve"> القول في تجويز التسلسل في الماضي</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فلئن زعمتم أن ذاك تسلسل قلنا صدقتم وهو ذو إمكان كتسلسل التأثير في مستقبل</w:t>
      </w:r>
      <w:r w:rsidR="00DB731D" w:rsidRPr="00A52585">
        <w:rPr>
          <w:rFonts w:hint="cs"/>
          <w:rtl/>
        </w:rPr>
        <w:t>،</w:t>
      </w:r>
      <w:r w:rsidR="00777DCB" w:rsidRPr="00A52585">
        <w:rPr>
          <w:rFonts w:hint="cs"/>
          <w:rtl/>
        </w:rPr>
        <w:t xml:space="preserve"> وهل بينهما فرق</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لو كان الناظم سعى في تعلم أصول الدين عند أهل العلم قبل أن يحاول الإمامة في الدين لبان له الفرق بين الماضي والمستقبل في ذلك، ولعلم أن كل ما دخل في الوجود من الحوادث متناه محصور، وأما المستقبل فلا يحدث فيه حادث محقق إلا وبعده حادث مقدر لا إلى غير نهاية بخلاف الماضي كما سبق وسيأتي كلام أبي يعلى وغيره في ذلك</w:t>
      </w:r>
      <w:r w:rsidRPr="00A52585">
        <w:rPr>
          <w:rFonts w:hint="cs"/>
          <w:sz w:val="24"/>
          <w:szCs w:val="24"/>
          <w:rtl/>
        </w:rPr>
        <w:t>]</w:t>
      </w:r>
      <w:r w:rsidR="00777DCB" w:rsidRPr="00A52585">
        <w:rPr>
          <w:rFonts w:hint="cs"/>
          <w:rtl/>
        </w:rPr>
        <w:t xml:space="preserve"> وأبو على </w:t>
      </w:r>
      <w:r w:rsidRPr="00A52585">
        <w:rPr>
          <w:rFonts w:hint="cs"/>
          <w:rtl/>
        </w:rPr>
        <w:t>[</w:t>
      </w:r>
      <w:r w:rsidR="00777DCB" w:rsidRPr="00A52585">
        <w:rPr>
          <w:rFonts w:hint="cs"/>
          <w:rtl/>
        </w:rPr>
        <w:t>الجبائي</w:t>
      </w:r>
      <w:r w:rsidRPr="00A52585">
        <w:rPr>
          <w:rFonts w:hint="cs"/>
          <w:rtl/>
        </w:rPr>
        <w:t>]</w:t>
      </w:r>
      <w:r w:rsidR="00777DCB" w:rsidRPr="00A52585">
        <w:rPr>
          <w:rFonts w:hint="cs"/>
          <w:rtl/>
        </w:rPr>
        <w:t xml:space="preserve"> وابنه </w:t>
      </w:r>
      <w:r w:rsidRPr="00A52585">
        <w:rPr>
          <w:rFonts w:hint="cs"/>
          <w:rtl/>
        </w:rPr>
        <w:t>[</w:t>
      </w:r>
      <w:r w:rsidR="00777DCB" w:rsidRPr="00A52585">
        <w:rPr>
          <w:rFonts w:hint="cs"/>
          <w:rtl/>
        </w:rPr>
        <w:t>أبو هاشم</w:t>
      </w:r>
      <w:r w:rsidRPr="00A52585">
        <w:rPr>
          <w:rFonts w:hint="cs"/>
          <w:rtl/>
        </w:rPr>
        <w:t>]</w:t>
      </w:r>
      <w:r w:rsidR="00777DCB" w:rsidRPr="00A52585">
        <w:rPr>
          <w:rFonts w:hint="cs"/>
          <w:rtl/>
        </w:rPr>
        <w:t xml:space="preserve"> والأشعري وابن الطيب </w:t>
      </w:r>
      <w:r w:rsidRPr="00A52585">
        <w:rPr>
          <w:rFonts w:hint="cs"/>
          <w:rtl/>
        </w:rPr>
        <w:t>[</w:t>
      </w:r>
      <w:r w:rsidR="00777DCB" w:rsidRPr="00A52585">
        <w:rPr>
          <w:rFonts w:hint="cs"/>
          <w:rtl/>
        </w:rPr>
        <w:t>الباقلاني</w:t>
      </w:r>
      <w:r w:rsidRPr="00A52585">
        <w:rPr>
          <w:rFonts w:hint="cs"/>
          <w:rtl/>
        </w:rPr>
        <w:t>]</w:t>
      </w:r>
      <w:r w:rsidR="00777DCB" w:rsidRPr="00A52585">
        <w:rPr>
          <w:rFonts w:hint="cs"/>
          <w:rtl/>
        </w:rPr>
        <w:t xml:space="preserve"> وجميع أرباب الكلام الباطل فرقوا وقالوا ذلك فيما لا يزال حق وفي الأزل ممتنع لأجل تناقض الأزلي والأحداث</w:t>
      </w:r>
      <w:r w:rsidR="00DB731D" w:rsidRPr="00A52585">
        <w:rPr>
          <w:rFonts w:hint="cs"/>
          <w:rtl/>
        </w:rPr>
        <w:t>،</w:t>
      </w:r>
      <w:r w:rsidR="00777DCB" w:rsidRPr="00A52585">
        <w:rPr>
          <w:rFonts w:hint="cs"/>
          <w:rtl/>
        </w:rPr>
        <w:t xml:space="preserve"> فانظر إلى التلبيس في ذا الفرق ترويجاً على العوران والعميان ما قال ذو عقل بأن ذا أزلي لذي ذهن ولا أعيان بل كل فرد فهو مسبوق بفرد ونظيره كل فرد ملحوق بفرد فالآحاد تفنى والنوع لا يفني أزلا وأبداً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عدم فناء النوع في الأزل بمعنى قدمه، وأين قدم النوع مع حدوث أفراده</w:t>
      </w:r>
      <w:r w:rsidR="00F95886" w:rsidRPr="00A52585">
        <w:rPr>
          <w:rFonts w:hint="cs"/>
          <w:sz w:val="24"/>
          <w:szCs w:val="24"/>
          <w:rtl/>
        </w:rPr>
        <w:t>؟</w:t>
      </w:r>
      <w:r w:rsidR="00777DCB" w:rsidRPr="00A52585">
        <w:rPr>
          <w:rFonts w:hint="cs"/>
          <w:sz w:val="24"/>
          <w:szCs w:val="24"/>
          <w:rtl/>
        </w:rPr>
        <w:t xml:space="preserve"> وهذا لا يصدر إلا ممن به مس بخلاف المستقبل وقد سبق بيان ذلك، وقال أبو يعلى الحنبلي في المعتمد</w:t>
      </w:r>
      <w:r w:rsidRPr="00A52585">
        <w:rPr>
          <w:rFonts w:hint="cs"/>
          <w:sz w:val="24"/>
          <w:szCs w:val="24"/>
          <w:rtl/>
        </w:rPr>
        <w:t>:</w:t>
      </w:r>
      <w:r w:rsidR="00777DCB" w:rsidRPr="00A52585">
        <w:rPr>
          <w:rFonts w:hint="cs"/>
          <w:sz w:val="24"/>
          <w:szCs w:val="24"/>
          <w:rtl/>
        </w:rPr>
        <w:t xml:space="preserve"> "والحوادث لها أول ابتدأت منه خلافا للملحدة" اهـ، وهو من أئمة الناظم فيكون هو وشيخه من الملاحدة على رأي أبي يعلى هذا فيكونان أسوأ حالاً منه في الزيغ نسأل الله السلامة</w:t>
      </w:r>
      <w:r w:rsidRPr="00A52585">
        <w:rPr>
          <w:rFonts w:hint="cs"/>
          <w:sz w:val="24"/>
          <w:szCs w:val="24"/>
          <w:rtl/>
        </w:rPr>
        <w:t>]</w:t>
      </w:r>
      <w:r w:rsidR="00777DCB" w:rsidRPr="00A52585">
        <w:rPr>
          <w:rFonts w:hint="cs"/>
          <w:rtl/>
        </w:rPr>
        <w:t xml:space="preserve"> وتعاقب </w:t>
      </w:r>
      <w:proofErr w:type="spellStart"/>
      <w:r w:rsidR="00777DCB" w:rsidRPr="00A52585">
        <w:rPr>
          <w:rFonts w:hint="cs"/>
          <w:rtl/>
        </w:rPr>
        <w:t>الآنات</w:t>
      </w:r>
      <w:proofErr w:type="spellEnd"/>
      <w:r w:rsidR="00777DCB" w:rsidRPr="00A52585">
        <w:rPr>
          <w:rFonts w:hint="cs"/>
          <w:rtl/>
        </w:rPr>
        <w:t xml:space="preserve"> ثابت في الذهن كذا في العين</w:t>
      </w:r>
      <w:r w:rsidR="00DB731D" w:rsidRPr="00A52585">
        <w:rPr>
          <w:rFonts w:hint="cs"/>
          <w:rtl/>
        </w:rPr>
        <w:t>،</w:t>
      </w:r>
      <w:r w:rsidR="00777DCB" w:rsidRPr="00A52585">
        <w:rPr>
          <w:rFonts w:hint="cs"/>
          <w:rtl/>
        </w:rPr>
        <w:t xml:space="preserve"> فإن قلتم </w:t>
      </w:r>
      <w:proofErr w:type="spellStart"/>
      <w:r w:rsidR="00777DCB" w:rsidRPr="00A52585">
        <w:rPr>
          <w:rFonts w:hint="cs"/>
          <w:rtl/>
        </w:rPr>
        <w:t>الآنات</w:t>
      </w:r>
      <w:proofErr w:type="spellEnd"/>
      <w:r w:rsidR="00777DCB" w:rsidRPr="00A52585">
        <w:rPr>
          <w:rFonts w:hint="cs"/>
          <w:rtl/>
        </w:rPr>
        <w:t xml:space="preserve"> حادثة فيقال ماذا تعنون </w:t>
      </w:r>
      <w:proofErr w:type="spellStart"/>
      <w:r w:rsidR="00777DCB" w:rsidRPr="00A52585">
        <w:rPr>
          <w:rFonts w:hint="cs"/>
          <w:rtl/>
        </w:rPr>
        <w:t>بالآنات</w:t>
      </w:r>
      <w:proofErr w:type="spellEnd"/>
      <w:r w:rsidR="00F95886" w:rsidRPr="00A52585">
        <w:rPr>
          <w:rFonts w:hint="cs"/>
          <w:rtl/>
        </w:rPr>
        <w:t>؟</w:t>
      </w:r>
      <w:r w:rsidR="00777DCB" w:rsidRPr="00A52585">
        <w:rPr>
          <w:rFonts w:hint="cs"/>
          <w:rtl/>
        </w:rPr>
        <w:t xml:space="preserve"> هل تعنون مدة من حين إحداث </w:t>
      </w:r>
      <w:proofErr w:type="gramStart"/>
      <w:r w:rsidR="00777DCB" w:rsidRPr="00A52585">
        <w:rPr>
          <w:rFonts w:hint="cs"/>
          <w:rtl/>
        </w:rPr>
        <w:t>السموات</w:t>
      </w:r>
      <w:proofErr w:type="gramEnd"/>
      <w:r w:rsidR="00F95886" w:rsidRPr="00A52585">
        <w:rPr>
          <w:rFonts w:hint="cs"/>
          <w:rtl/>
        </w:rPr>
        <w:t>؟</w:t>
      </w:r>
      <w:r w:rsidR="00777DCB" w:rsidRPr="00A52585">
        <w:rPr>
          <w:rFonts w:hint="cs"/>
          <w:rtl/>
        </w:rPr>
        <w:t xml:space="preserve"> ونظنكم تعنون ذاك ولم يكن قبلها شيء من الأكوان</w:t>
      </w:r>
      <w:r w:rsidR="00DB731D" w:rsidRPr="00A52585">
        <w:rPr>
          <w:rFonts w:hint="cs"/>
          <w:rtl/>
        </w:rPr>
        <w:t>،</w:t>
      </w:r>
      <w:r w:rsidR="00777DCB" w:rsidRPr="00A52585">
        <w:rPr>
          <w:rFonts w:hint="cs"/>
          <w:rtl/>
        </w:rPr>
        <w:t xml:space="preserve"> هل جاءكم في ذاك من أثر ومن نص ومن نظر ومن برهان</w:t>
      </w:r>
      <w:r w:rsidR="00F95886" w:rsidRPr="00A52585">
        <w:rPr>
          <w:rFonts w:hint="cs"/>
          <w:rtl/>
        </w:rPr>
        <w:t>؟</w:t>
      </w:r>
      <w:r w:rsidR="00777DCB" w:rsidRPr="00A52585">
        <w:rPr>
          <w:rFonts w:hint="cs"/>
          <w:rtl/>
        </w:rPr>
        <w:t xml:space="preserve"> إنا نحاكمكم إلى ما شئتم منها أو ليس خلق الكون في الأيام أوليس ذلكم الزمان بمدة</w:t>
      </w:r>
      <w:r w:rsidR="00DB731D" w:rsidRPr="00A52585">
        <w:rPr>
          <w:rFonts w:hint="cs"/>
          <w:rtl/>
        </w:rPr>
        <w:t>،</w:t>
      </w:r>
      <w:r w:rsidR="00777DCB" w:rsidRPr="00A52585">
        <w:rPr>
          <w:rFonts w:hint="cs"/>
          <w:rtl/>
        </w:rPr>
        <w:t xml:space="preserve"> فحقيقة الأزمان نسبة حادث لسواه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الزمان متجدد معلوم يقدر به متجدد مبهم إزالة لإبهامه عند المتكلمين، وجوهر مجرد عند بعض الفلاسفة، وعرض غير قار الذات عند جمهورهم أو هو الفلك الأعظم أو حركته أو مقدار تلك الحركة عند طوائف منهم، وقول الناظم لا يطابق واحداً منها والكلام في الزمان والمكان طويل الذيل مبسوط في موضعه، فكأن الناظم يريد أن يقول</w:t>
      </w:r>
      <w:r w:rsidRPr="00A52585">
        <w:rPr>
          <w:rFonts w:hint="cs"/>
          <w:sz w:val="24"/>
          <w:szCs w:val="24"/>
          <w:rtl/>
        </w:rPr>
        <w:t>:</w:t>
      </w:r>
      <w:r w:rsidR="00777DCB" w:rsidRPr="00A52585">
        <w:rPr>
          <w:rFonts w:hint="cs"/>
          <w:sz w:val="24"/>
          <w:szCs w:val="24"/>
          <w:rtl/>
        </w:rPr>
        <w:t xml:space="preserve"> إن الزمان كان موجوداً قبل هذه السموات بدليل تلك الأحاديث فلا مانع من وجوه حوادث لا أول لها متعاقبة في الماضي في </w:t>
      </w:r>
      <w:proofErr w:type="spellStart"/>
      <w:r w:rsidR="00777DCB" w:rsidRPr="00A52585">
        <w:rPr>
          <w:rFonts w:hint="cs"/>
          <w:sz w:val="24"/>
          <w:szCs w:val="24"/>
          <w:rtl/>
        </w:rPr>
        <w:t>آنات</w:t>
      </w:r>
      <w:proofErr w:type="spellEnd"/>
      <w:r w:rsidR="00777DCB" w:rsidRPr="00A52585">
        <w:rPr>
          <w:rFonts w:hint="cs"/>
          <w:sz w:val="24"/>
          <w:szCs w:val="24"/>
          <w:rtl/>
        </w:rPr>
        <w:t xml:space="preserve"> متعاقبة لا أول لها، وهو قول الدهرية </w:t>
      </w:r>
      <w:proofErr w:type="spellStart"/>
      <w:r w:rsidR="00777DCB" w:rsidRPr="00A52585">
        <w:rPr>
          <w:rFonts w:hint="cs"/>
          <w:sz w:val="24"/>
          <w:szCs w:val="24"/>
          <w:rtl/>
        </w:rPr>
        <w:t>نفاة</w:t>
      </w:r>
      <w:proofErr w:type="spellEnd"/>
      <w:r w:rsidR="00777DCB" w:rsidRPr="00A52585">
        <w:rPr>
          <w:rFonts w:hint="cs"/>
          <w:sz w:val="24"/>
          <w:szCs w:val="24"/>
          <w:rtl/>
        </w:rPr>
        <w:t xml:space="preserve"> الصانع</w:t>
      </w:r>
      <w:r w:rsidR="00DB731D"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فيا ترى ماذا يريد من كون العرش قبل القلم فإن كان أراد أن يجعل لله عرشاً يستقر عليه أزلا إما بقدم العرش قدما نوعيا، كما روى الدواني عن ابن تيمية أو قدما شخصياً لورود (أول ما خلق الله القلم) فحاشاه أن يستقر على عرش استقرار تمكن حادثاً كان العرش أو غير حادث. تعالى عن هذا وذاك.</w:t>
      </w:r>
      <w:r w:rsidR="00DB731D" w:rsidRPr="00A52585">
        <w:rPr>
          <w:rFonts w:hint="cs"/>
          <w:sz w:val="24"/>
          <w:szCs w:val="24"/>
          <w:rtl/>
        </w:rPr>
        <w:t>،</w:t>
      </w:r>
      <w:r w:rsidR="00777DCB" w:rsidRPr="00A52585">
        <w:rPr>
          <w:rFonts w:hint="cs"/>
          <w:sz w:val="24"/>
          <w:szCs w:val="24"/>
          <w:rtl/>
        </w:rPr>
        <w:t xml:space="preserve"> ولأهل العلم كلام واف في الأحاديث الواردة في أول ما خلق الله تعالى ولا غرض لنا يتعلق بذلك هنا، والعرش هو المخلوق الثالث عند محققي أهل العلم بالحديث]</w:t>
      </w:r>
      <w:r w:rsidR="00DB731D" w:rsidRPr="00A52585">
        <w:rPr>
          <w:rFonts w:hint="cs"/>
          <w:rtl/>
        </w:rPr>
        <w:t>،</w:t>
      </w:r>
      <w:r w:rsidR="00777DCB" w:rsidRPr="00A52585">
        <w:rPr>
          <w:rFonts w:hint="cs"/>
          <w:rtl/>
        </w:rPr>
        <w:t xml:space="preserve"> وأذكر حديث السبق بخمسين ألف سنة سابقة</w:t>
      </w:r>
      <w:r w:rsidR="00DB731D" w:rsidRPr="00A52585">
        <w:rPr>
          <w:rFonts w:hint="cs"/>
          <w:rtl/>
        </w:rPr>
        <w:t>،</w:t>
      </w:r>
      <w:r w:rsidR="00777DCB" w:rsidRPr="00A52585">
        <w:rPr>
          <w:rFonts w:hint="cs"/>
          <w:rtl/>
        </w:rPr>
        <w:t xml:space="preserve"> وعرش الرب فوق الماء من قبل السنين بمدة وزمان والحق أن العرش كان قبل القلم والذين لم يقولوا بدوام فعله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القول بدوام فعله تعالى في جانب الماضي قول بحوادث لا أول لها، وقد سبق تسخيف ذلك مرات، قال القاضي أبو يعلى الحنبلي</w:t>
      </w:r>
      <w:r w:rsidRPr="00A52585">
        <w:rPr>
          <w:rFonts w:hint="cs"/>
          <w:sz w:val="24"/>
          <w:szCs w:val="24"/>
          <w:rtl/>
        </w:rPr>
        <w:t>:</w:t>
      </w:r>
      <w:r w:rsidR="00777DCB" w:rsidRPr="00A52585">
        <w:rPr>
          <w:rFonts w:hint="cs"/>
          <w:sz w:val="24"/>
          <w:szCs w:val="24"/>
          <w:rtl/>
        </w:rPr>
        <w:t xml:space="preserve"> "لا يجوز وجود </w:t>
      </w:r>
      <w:proofErr w:type="spellStart"/>
      <w:r w:rsidR="00777DCB" w:rsidRPr="00A52585">
        <w:rPr>
          <w:rFonts w:hint="cs"/>
          <w:sz w:val="24"/>
          <w:szCs w:val="24"/>
          <w:rtl/>
        </w:rPr>
        <w:t>موجدات</w:t>
      </w:r>
      <w:proofErr w:type="spellEnd"/>
      <w:r w:rsidR="00777DCB" w:rsidRPr="00A52585">
        <w:rPr>
          <w:rFonts w:hint="cs"/>
          <w:sz w:val="24"/>
          <w:szCs w:val="24"/>
          <w:rtl/>
        </w:rPr>
        <w:t xml:space="preserve"> لا نهاية لعددها سواء كانت قديمة أو محدثة خلافا للملحدة، والدلالة عليه أن كل جملة لو ضممنا إليها خمسة أجزاء مثلا لعلم ضرورة أنها زادت، وكذلك عند النقص، وإذا كان كذلك وجب أن تكون متناهية بجواز قبول الزيادة والنقصان عليها، لأن كل ما يأتي فيه الزيادة والنقصان وجب أن يكون متناهيا من جهة العدد" اهـ، راجع المعتمد المحفوظ تحت رقم 45 من التوحيد في ظاهرية دمشق</w:t>
      </w:r>
      <w:r w:rsidR="00DB731D" w:rsidRPr="00A52585">
        <w:rPr>
          <w:rFonts w:hint="cs"/>
          <w:sz w:val="24"/>
          <w:szCs w:val="24"/>
          <w:rtl/>
        </w:rPr>
        <w:t>،</w:t>
      </w:r>
      <w:r w:rsidR="00777DCB" w:rsidRPr="00A52585">
        <w:rPr>
          <w:rFonts w:hint="cs"/>
          <w:sz w:val="24"/>
          <w:szCs w:val="24"/>
          <w:rtl/>
        </w:rPr>
        <w:t xml:space="preserve"> وهذا بالنظر إلى الماضي كما سبق، فتباً لمن يكون أسوأ حالاً في هذه المباحث من أبي يعلى المذكور حاله في دفع شبه التشبيه لابن الجوزي</w:t>
      </w:r>
      <w:r w:rsidRPr="00A52585">
        <w:rPr>
          <w:rFonts w:hint="cs"/>
          <w:sz w:val="24"/>
          <w:szCs w:val="24"/>
          <w:rtl/>
        </w:rPr>
        <w:t>]</w:t>
      </w:r>
      <w:r w:rsidR="00777DCB" w:rsidRPr="00A52585">
        <w:rPr>
          <w:rFonts w:hint="cs"/>
          <w:rtl/>
        </w:rPr>
        <w:t xml:space="preserve"> عموا</w:t>
      </w:r>
      <w:r w:rsidRPr="00A52585">
        <w:rPr>
          <w:rFonts w:hint="cs"/>
          <w:rtl/>
        </w:rPr>
        <w:t xml:space="preserve"> </w:t>
      </w:r>
      <w:r w:rsidR="00777DCB" w:rsidRPr="00A52585">
        <w:rPr>
          <w:rFonts w:hint="cs"/>
          <w:rtl/>
        </w:rPr>
        <w:t>عن القرآن والحديث ومقتضى العقول وفطرة الرحمن والبرهان وأسسوا أصل الكلام وبنوا قواعدهم عليه وقادهم قسراً إلى التعطيل</w:t>
      </w:r>
      <w:r w:rsidR="00DB731D" w:rsidRPr="00A52585">
        <w:rPr>
          <w:rFonts w:hint="cs"/>
          <w:rtl/>
        </w:rPr>
        <w:t>،</w:t>
      </w:r>
      <w:r w:rsidR="00777DCB" w:rsidRPr="00A52585">
        <w:rPr>
          <w:rFonts w:hint="cs"/>
          <w:rtl/>
        </w:rPr>
        <w:t xml:space="preserve"> نفي القيام لكل أمر حادث بالرب خوف تسلسل الأعيان فيسد ذاك عليهم بزعمهم إثبات الصانع إذا أثبتوه بخلاف الأجسام</w:t>
      </w:r>
      <w:r w:rsidR="00DB731D" w:rsidRPr="00A52585">
        <w:rPr>
          <w:rFonts w:hint="cs"/>
          <w:rtl/>
        </w:rPr>
        <w:t>،</w:t>
      </w:r>
      <w:r w:rsidR="00777DCB" w:rsidRPr="00A52585">
        <w:rPr>
          <w:rFonts w:hint="cs"/>
          <w:rtl/>
        </w:rPr>
        <w:t xml:space="preserve"> هذى نهايات أقدام الورى في ذا المقام الضيق فمن يأتي بفتح ينجي الورى من الحيرة</w:t>
      </w:r>
      <w:r w:rsidRPr="00A52585">
        <w:rPr>
          <w:rFonts w:hint="cs"/>
          <w:rtl/>
        </w:rPr>
        <w:t>)</w:t>
      </w:r>
      <w:r w:rsidR="00777DCB" w:rsidRPr="00A52585">
        <w:rPr>
          <w:rFonts w:hint="cs"/>
          <w:rtl/>
        </w:rPr>
        <w:t xml:space="preserve"> انتهى كلامه في هذا الفصل</w:t>
      </w:r>
      <w:r w:rsidR="00DB731D" w:rsidRPr="00A52585">
        <w:rPr>
          <w:rFonts w:hint="cs"/>
          <w:rtl/>
        </w:rPr>
        <w:t>،</w:t>
      </w:r>
      <w:r w:rsidR="00777DCB" w:rsidRPr="00A52585">
        <w:rPr>
          <w:rFonts w:hint="cs"/>
          <w:rtl/>
        </w:rPr>
        <w:t xml:space="preserve"> وقد صرح بقبائح منها إمكان التسلسل ومنها نسبة أكابر علماء الأشعرية إلى التلبيس ومنها نسبة ذلك إلى القرآن والسنة وأنه لم يجئ أثر ينص على العدم المتقدم وقد جاء </w:t>
      </w:r>
      <w:r w:rsidRPr="00A52585">
        <w:rPr>
          <w:rFonts w:hint="cs"/>
          <w:rtl/>
        </w:rPr>
        <w:t>(</w:t>
      </w:r>
      <w:r w:rsidR="00777DCB" w:rsidRPr="00A52585">
        <w:rPr>
          <w:rFonts w:hint="cs"/>
          <w:rtl/>
        </w:rPr>
        <w:t>كان الله ولا شيء معه</w:t>
      </w:r>
      <w:r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ابن حبان والحاكم وابن أبي شيبة عن بريدة وفي رواية (ولا شيء غيره)</w:t>
      </w:r>
      <w:r w:rsidRPr="00A52585">
        <w:rPr>
          <w:rFonts w:hint="cs"/>
          <w:sz w:val="24"/>
          <w:szCs w:val="24"/>
          <w:rtl/>
        </w:rPr>
        <w:t>]</w:t>
      </w:r>
      <w:r w:rsidR="00777DCB" w:rsidRPr="00A52585">
        <w:rPr>
          <w:rFonts w:hint="cs"/>
          <w:rtl/>
        </w:rPr>
        <w:t xml:space="preserve"> والشيء يشمل الجسم والفعل والنوع والآحاد</w:t>
      </w:r>
      <w:r w:rsidR="00DB731D" w:rsidRPr="00A52585">
        <w:rPr>
          <w:rFonts w:hint="cs"/>
          <w:rtl/>
        </w:rPr>
        <w:t>،</w:t>
      </w:r>
      <w:r w:rsidR="00777DCB" w:rsidRPr="00A52585">
        <w:rPr>
          <w:rFonts w:hint="cs"/>
          <w:rtl/>
        </w:rPr>
        <w:t xml:space="preserve"> </w:t>
      </w:r>
    </w:p>
    <w:p w14:paraId="3F31346C" w14:textId="5C91ED67" w:rsidR="00777DCB" w:rsidRPr="00A52585" w:rsidRDefault="0002035C" w:rsidP="0002035C">
      <w:pPr>
        <w:spacing w:after="240"/>
        <w:rPr>
          <w:b/>
          <w:rtl/>
        </w:rPr>
      </w:pPr>
      <w:r w:rsidRPr="00A52585">
        <w:rPr>
          <w:rFonts w:hint="cs"/>
          <w:bCs/>
          <w:rtl/>
        </w:rPr>
        <w:t>[</w:t>
      </w:r>
      <w:r w:rsidR="00777DCB" w:rsidRPr="00A52585">
        <w:rPr>
          <w:rFonts w:hint="cs"/>
          <w:bCs/>
          <w:rtl/>
        </w:rPr>
        <w:t>فصــــــــل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هذا الدليل هو الذي أرداهم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القول بأن الجسم لا يخلو من حادث في الاحتجاج على حدوث العالم وانتهائه إلى محدث واجب الوجود منـزه عن الجسمية والجسمانيات، وهو حجة الله التي آتاها إبراهيم مهما تقولت المجسمة وهذت في ذلك، وقد اعترف بتلك الحجة مثل ابن حزم مع كونه ظاهريا فما للناظم لا يتابعه في ذلك وهو يتابعه في </w:t>
      </w:r>
      <w:proofErr w:type="spellStart"/>
      <w:r w:rsidR="00777DCB" w:rsidRPr="00A52585">
        <w:rPr>
          <w:rFonts w:hint="cs"/>
          <w:sz w:val="24"/>
          <w:szCs w:val="24"/>
          <w:rtl/>
        </w:rPr>
        <w:t>شواذه</w:t>
      </w:r>
      <w:proofErr w:type="spellEnd"/>
      <w:r w:rsidR="00777DCB" w:rsidRPr="00A52585">
        <w:rPr>
          <w:rFonts w:hint="cs"/>
          <w:sz w:val="24"/>
          <w:szCs w:val="24"/>
          <w:rtl/>
        </w:rPr>
        <w:t xml:space="preserve"> الباطلة</w:t>
      </w:r>
      <w:r w:rsidR="00F95886" w:rsidRPr="00A52585">
        <w:rPr>
          <w:rFonts w:hint="cs"/>
          <w:sz w:val="24"/>
          <w:szCs w:val="24"/>
          <w:rtl/>
        </w:rPr>
        <w:t>؟</w:t>
      </w:r>
      <w:r w:rsidR="00777DCB" w:rsidRPr="00A52585">
        <w:rPr>
          <w:rFonts w:hint="cs"/>
          <w:sz w:val="24"/>
          <w:szCs w:val="24"/>
          <w:rtl/>
        </w:rPr>
        <w:t xml:space="preserve"> فلعله اتخذه قدوة في الباطل دون الحق</w:t>
      </w:r>
      <w:r w:rsidRPr="00A52585">
        <w:rPr>
          <w:rFonts w:hint="cs"/>
          <w:sz w:val="24"/>
          <w:szCs w:val="24"/>
          <w:rtl/>
        </w:rPr>
        <w:t>]</w:t>
      </w:r>
      <w:r w:rsidR="00777DCB" w:rsidRPr="00A52585">
        <w:rPr>
          <w:rFonts w:hint="cs"/>
          <w:rtl/>
        </w:rPr>
        <w:t xml:space="preserve"> ما زال أمر الناس معتدلا إلى أن دار في الأوراق فرفعت لوازمه قواعد الإيمان وتركوا حق الأدلة وهي في القرآن ودليلهم لم يأت به الله ولا رسوله صلى الله عليه وسلم بل حدث على لسان جهم وحزبه</w:t>
      </w:r>
      <w:r w:rsidRPr="00A52585">
        <w:rPr>
          <w:rFonts w:hint="cs"/>
          <w:rtl/>
        </w:rPr>
        <w:t>)</w:t>
      </w:r>
      <w:r w:rsidR="00DB731D" w:rsidRPr="00A52585">
        <w:rPr>
          <w:rFonts w:hint="cs"/>
          <w:rtl/>
        </w:rPr>
        <w:t>،</w:t>
      </w:r>
      <w:r w:rsidR="00777DCB" w:rsidRPr="00A52585">
        <w:rPr>
          <w:rFonts w:hint="cs"/>
          <w:rtl/>
        </w:rPr>
        <w:t xml:space="preserve"> ينبغي أن يقال لهذا الردي انتصب للدليل حتى يرى ما عنده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p>
    <w:p w14:paraId="5DB4F3F7" w14:textId="0017FAC7" w:rsidR="00777DCB" w:rsidRPr="00A52585" w:rsidRDefault="0002035C" w:rsidP="0002035C">
      <w:pPr>
        <w:spacing w:after="240"/>
        <w:rPr>
          <w:b/>
          <w:rtl/>
        </w:rPr>
      </w:pPr>
      <w:r w:rsidRPr="00A52585">
        <w:rPr>
          <w:rFonts w:hint="cs"/>
          <w:bCs/>
          <w:rtl/>
        </w:rPr>
        <w:lastRenderedPageBreak/>
        <w:t>[</w:t>
      </w:r>
      <w:r w:rsidR="00777DCB" w:rsidRPr="00A52585">
        <w:rPr>
          <w:rFonts w:hint="cs"/>
          <w:bCs/>
          <w:rtl/>
        </w:rPr>
        <w:t>فصــــــــل</w:t>
      </w:r>
      <w:r w:rsidRPr="00A52585">
        <w:rPr>
          <w:rFonts w:hint="cs"/>
          <w:bCs/>
          <w:rtl/>
        </w:rPr>
        <w:t>]</w:t>
      </w:r>
      <w:r w:rsidRPr="00A52585">
        <w:rPr>
          <w:rFonts w:hint="cs"/>
          <w:rtl/>
        </w:rPr>
        <w:t>:</w:t>
      </w:r>
      <w:r w:rsidR="00777DCB" w:rsidRPr="00A52585">
        <w:rPr>
          <w:rFonts w:hint="cs"/>
          <w:rtl/>
        </w:rPr>
        <w:t xml:space="preserve"> في الرد على الجهمية المعطلة القائلين بأنه ليس على العرش إله يعبد ولا فوق </w:t>
      </w:r>
      <w:proofErr w:type="gramStart"/>
      <w:r w:rsidR="00777DCB" w:rsidRPr="00A52585">
        <w:rPr>
          <w:rFonts w:hint="cs"/>
          <w:rtl/>
        </w:rPr>
        <w:t>السموات</w:t>
      </w:r>
      <w:proofErr w:type="gramEnd"/>
      <w:r w:rsidR="00777DCB" w:rsidRPr="00A52585">
        <w:rPr>
          <w:rFonts w:hint="cs"/>
          <w:rtl/>
        </w:rPr>
        <w:t xml:space="preserve"> إله يُصلَى له ويسجد</w:t>
      </w:r>
      <w:r w:rsidRPr="00A52585">
        <w:rPr>
          <w:rFonts w:hint="cs"/>
          <w:rtl/>
        </w:rPr>
        <w:t>)</w:t>
      </w:r>
      <w:r w:rsidR="00DB731D" w:rsidRPr="00A52585">
        <w:rPr>
          <w:rFonts w:hint="cs"/>
          <w:rtl/>
        </w:rPr>
        <w:t>،</w:t>
      </w:r>
      <w:r w:rsidR="00777DCB" w:rsidRPr="00A52585">
        <w:rPr>
          <w:rFonts w:hint="cs"/>
          <w:rtl/>
        </w:rPr>
        <w:t xml:space="preserve"> هذا المدبر يأخذ الكلام يقلبه كما يقلب الحقائق</w:t>
      </w:r>
      <w:r w:rsidR="00DB731D" w:rsidRPr="00A52585">
        <w:rPr>
          <w:rFonts w:hint="cs"/>
          <w:rtl/>
        </w:rPr>
        <w:t>،</w:t>
      </w:r>
      <w:r w:rsidR="00777DCB" w:rsidRPr="00A52585">
        <w:rPr>
          <w:rFonts w:hint="cs"/>
          <w:rtl/>
        </w:rPr>
        <w:t xml:space="preserve"> فإنه جعل مصب كلام خصومه إلى نفي الإله وهم أثبتوا الإله ونفوا كونه فوق العرش. وقوله </w:t>
      </w:r>
      <w:r w:rsidRPr="00A52585">
        <w:rPr>
          <w:rFonts w:hint="cs"/>
          <w:rtl/>
        </w:rPr>
        <w:t>(</w:t>
      </w:r>
      <w:r w:rsidR="00777DCB" w:rsidRPr="00A52585">
        <w:rPr>
          <w:rFonts w:hint="cs"/>
          <w:rtl/>
        </w:rPr>
        <w:t>المعطلة</w:t>
      </w:r>
      <w:r w:rsidRPr="00A52585">
        <w:rPr>
          <w:rFonts w:hint="cs"/>
          <w:rtl/>
        </w:rPr>
        <w:t>)</w:t>
      </w:r>
      <w:r w:rsidR="00777DCB" w:rsidRPr="00A52585">
        <w:rPr>
          <w:rFonts w:hint="cs"/>
          <w:rtl/>
        </w:rPr>
        <w:t xml:space="preserve"> يوهم به أنهم معطلة العالم من الصانع وهو يريد به معطلة الخالق من قيام الفعل الحادث به فما أكثر تلبيسه وتدليسه</w:t>
      </w:r>
      <w:r w:rsidR="00DB731D" w:rsidRPr="00A52585">
        <w:rPr>
          <w:rFonts w:hint="cs"/>
          <w:sz w:val="24"/>
          <w:szCs w:val="24"/>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وكيف يرضى العاقل أن يعد من العلماء</w:t>
      </w:r>
      <w:r w:rsidRPr="00A52585">
        <w:rPr>
          <w:rFonts w:hint="cs"/>
          <w:sz w:val="24"/>
          <w:szCs w:val="24"/>
          <w:rtl/>
        </w:rPr>
        <w:t xml:space="preserve"> </w:t>
      </w:r>
      <w:r w:rsidR="00777DCB" w:rsidRPr="00A52585">
        <w:rPr>
          <w:rFonts w:hint="cs"/>
          <w:sz w:val="24"/>
          <w:szCs w:val="24"/>
          <w:rtl/>
        </w:rPr>
        <w:t>- وهم أمناء الله في أرضه -</w:t>
      </w:r>
      <w:r w:rsidRPr="00A52585">
        <w:rPr>
          <w:rFonts w:hint="cs"/>
          <w:sz w:val="24"/>
          <w:szCs w:val="24"/>
          <w:rtl/>
        </w:rPr>
        <w:t xml:space="preserve"> </w:t>
      </w:r>
      <w:r w:rsidR="00777DCB" w:rsidRPr="00A52585">
        <w:rPr>
          <w:rFonts w:hint="cs"/>
          <w:sz w:val="24"/>
          <w:szCs w:val="24"/>
          <w:rtl/>
        </w:rPr>
        <w:t>رجلاً كثير الغش لأمة محمد صلى الله عليه وسلم كثرة يتعجب منها أئمة الإسلام، وليس هذا الغش في أمر من أمور الدنيا ولو كان هذا لهان الأمر ولكنه غش في صميم الإسلام فليعرف ذلك المغرورون بابن القيم ثم ليعرفوه]</w:t>
      </w:r>
      <w:r w:rsidR="00DB731D" w:rsidRPr="00A52585">
        <w:rPr>
          <w:rFonts w:hint="cs"/>
          <w:rtl/>
        </w:rPr>
        <w:t>،</w:t>
      </w:r>
      <w:r w:rsidR="00777DCB" w:rsidRPr="00A52585">
        <w:rPr>
          <w:rFonts w:hint="cs"/>
          <w:rtl/>
        </w:rPr>
        <w:t xml:space="preserve"> ومراده بالجهمية </w:t>
      </w:r>
      <w:r w:rsidRPr="00A52585">
        <w:rPr>
          <w:rFonts w:hint="cs"/>
          <w:rtl/>
        </w:rPr>
        <w:t>(</w:t>
      </w:r>
      <w:r w:rsidR="00777DCB" w:rsidRPr="00A52585">
        <w:rPr>
          <w:rFonts w:hint="cs"/>
          <w:rtl/>
        </w:rPr>
        <w:t>المعتزلة والأشعرية</w:t>
      </w:r>
      <w:r w:rsidRPr="00A52585">
        <w:rPr>
          <w:rFonts w:hint="cs"/>
          <w:rtl/>
        </w:rPr>
        <w:t>)</w:t>
      </w:r>
      <w:r w:rsidR="00777DCB" w:rsidRPr="00A52585">
        <w:rPr>
          <w:rFonts w:hint="cs"/>
          <w:rtl/>
        </w:rPr>
        <w:t xml:space="preserve"> وليس أحد من المعتزلة اليوم عندنا ظاهراً فلا كلام له إلا مع الأشعرية الذين أكثر الخلق يقتدون بهم</w:t>
      </w:r>
      <w:r w:rsidR="00DB731D" w:rsidRPr="00A52585">
        <w:rPr>
          <w:rFonts w:hint="cs"/>
          <w:rtl/>
        </w:rPr>
        <w:t>،</w:t>
      </w:r>
      <w:r w:rsidR="00777DCB" w:rsidRPr="00A52585">
        <w:rPr>
          <w:rFonts w:hint="cs"/>
          <w:rtl/>
        </w:rPr>
        <w:t xml:space="preserve"> يريد تنقيصهم والطعن فيهم</w:t>
      </w:r>
      <w:r w:rsidR="00DB731D" w:rsidRPr="00A52585">
        <w:rPr>
          <w:rFonts w:hint="cs"/>
          <w:rtl/>
        </w:rPr>
        <w:t>،</w:t>
      </w:r>
      <w:r w:rsidR="00777DCB" w:rsidRPr="00A52585">
        <w:rPr>
          <w:rFonts w:hint="cs"/>
          <w:rtl/>
        </w:rPr>
        <w:t xml:space="preserve"> ويأبى الله إلا أن يتم نوره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كان وليس شيء غيره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يناقض القول بحوادث لا أول لها ودوام الفعل في جانب الماضي، والناظر كم ينقض غزله وله هوى في إكفار الأمة بكل وسيلة، ولا أدري ماذا يكسب هذا المتهوس إذا لم يبق من الأمة مسلم سوى مكسري </w:t>
      </w:r>
      <w:proofErr w:type="spellStart"/>
      <w:r w:rsidR="00777DCB" w:rsidRPr="00A52585">
        <w:rPr>
          <w:rFonts w:hint="cs"/>
          <w:sz w:val="24"/>
          <w:szCs w:val="24"/>
          <w:rtl/>
        </w:rPr>
        <w:t>الحشوية</w:t>
      </w:r>
      <w:proofErr w:type="spellEnd"/>
      <w:r w:rsidR="00DB731D" w:rsidRPr="00A52585">
        <w:rPr>
          <w:rFonts w:hint="cs"/>
          <w:sz w:val="24"/>
          <w:szCs w:val="24"/>
          <w:rtl/>
        </w:rPr>
        <w:t>،</w:t>
      </w:r>
      <w:r w:rsidR="00777DCB" w:rsidRPr="00A52585">
        <w:rPr>
          <w:rFonts w:hint="cs"/>
          <w:sz w:val="24"/>
          <w:szCs w:val="24"/>
          <w:rtl/>
        </w:rPr>
        <w:t xml:space="preserve"> وبين الصوفية أتقياء أبرار يراعون أدق أوامر الشرع في جميع شئونهم ويرون في الوجود ما لا يتنافى مع التكاليف الشرعية كما أن بين المتصوفة زنادقة إباحية، وإجراء الكلام في حق الفريقين بمجرى واحد ليس من الإنصاف في شيء. وكفى أن ينسب إليهم بعض بدع بدون تسرع في </w:t>
      </w:r>
      <w:proofErr w:type="spellStart"/>
      <w:r w:rsidR="00777DCB" w:rsidRPr="00A52585">
        <w:rPr>
          <w:rFonts w:hint="cs"/>
          <w:sz w:val="24"/>
          <w:szCs w:val="24"/>
          <w:rtl/>
        </w:rPr>
        <w:t>إكفارهم</w:t>
      </w:r>
      <w:proofErr w:type="spellEnd"/>
      <w:r w:rsidR="00777DCB" w:rsidRPr="00A52585">
        <w:rPr>
          <w:rFonts w:hint="cs"/>
          <w:sz w:val="24"/>
          <w:szCs w:val="24"/>
          <w:rtl/>
        </w:rPr>
        <w:t>، وقال العلامة يوسف البحري من أجلة أصحاب السيد مرتضى الزبيدي فيما علقه على (المجموع في المشهود والمسموع)</w:t>
      </w:r>
      <w:r w:rsidRPr="00A52585">
        <w:rPr>
          <w:rFonts w:hint="cs"/>
          <w:sz w:val="24"/>
          <w:szCs w:val="24"/>
          <w:rtl/>
        </w:rPr>
        <w:t>:</w:t>
      </w:r>
      <w:r w:rsidR="00777DCB" w:rsidRPr="00A52585">
        <w:rPr>
          <w:rFonts w:hint="cs"/>
          <w:sz w:val="24"/>
          <w:szCs w:val="24"/>
          <w:rtl/>
        </w:rPr>
        <w:t xml:space="preserve"> إن الواجب له عز الوجوب والعظمة والكبرياء فهو منـزه عن اللواحق المادية والتعطيلات الإلحادية وإن الممكن له ذل الإمكان وحقارة الاحتياج إليه محقور مقهور محتاج إليه تعالى في وجوده وبقائه وجميع أطواره فلا ينقلب الواجب ممكنا ولا الممكن واجباً، بل الواجب خالق قادر غني والممكن مخلوق عاجز محتاج، فلا يكون أحدهما عين الآخر. وهذا بدهي وبه نـزلت الكتب السماوية وجاء به الأنبياء والمرسلون ودعوا الناس إلى اعتقاده وقامت عليه البراهين واتحدت كشوف الأولياء مع طريق النظر في هذا المطلب اهـ ثم شرح كيف يضمحل الوجود </w:t>
      </w:r>
      <w:proofErr w:type="spellStart"/>
      <w:r w:rsidR="00777DCB" w:rsidRPr="00A52585">
        <w:rPr>
          <w:rFonts w:hint="cs"/>
          <w:sz w:val="24"/>
          <w:szCs w:val="24"/>
          <w:rtl/>
        </w:rPr>
        <w:t>الإمكاني</w:t>
      </w:r>
      <w:proofErr w:type="spellEnd"/>
      <w:r w:rsidR="00777DCB" w:rsidRPr="00A52585">
        <w:rPr>
          <w:rFonts w:hint="cs"/>
          <w:sz w:val="24"/>
          <w:szCs w:val="24"/>
          <w:rtl/>
        </w:rPr>
        <w:t xml:space="preserve"> في نظر المقبل إلى الله بكليته]</w:t>
      </w:r>
      <w:r w:rsidR="00777DCB" w:rsidRPr="00A52585">
        <w:rPr>
          <w:rFonts w:hint="cs"/>
          <w:rtl/>
        </w:rPr>
        <w:t xml:space="preserve"> وخلق البرية</w:t>
      </w:r>
      <w:r w:rsidR="00DB731D" w:rsidRPr="00A52585">
        <w:rPr>
          <w:rFonts w:hint="cs"/>
          <w:rtl/>
        </w:rPr>
        <w:t>،</w:t>
      </w:r>
      <w:r w:rsidR="00777DCB" w:rsidRPr="00A52585">
        <w:rPr>
          <w:rFonts w:hint="cs"/>
          <w:rtl/>
        </w:rPr>
        <w:t xml:space="preserve"> فسل المعطل هل هي خارج ذاته أو فيها أو هو عينها لا رابع</w:t>
      </w:r>
      <w:r w:rsidR="00DB731D" w:rsidRPr="00A52585">
        <w:rPr>
          <w:rFonts w:hint="cs"/>
          <w:rtl/>
        </w:rPr>
        <w:t>،</w:t>
      </w:r>
      <w:r w:rsidR="00777DCB" w:rsidRPr="00A52585">
        <w:rPr>
          <w:rFonts w:hint="cs"/>
          <w:rtl/>
        </w:rPr>
        <w:t xml:space="preserve"> ولذلك قال محقق القوم الذي رفع القواعد هو عين الكون فهو الوجود بعينه إن لم يكن فوق الخلائق إذ ليس يعقل بعد إلا أنه فيها كمقالة النصراني فاحكم على من قال ليس بخارج ولا داخل بأنه أوقع عليه حد المعدوم</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من يعلم هذا البجباج النفاج أنواع التقابل والفرق بين الضدين والنقيضين</w:t>
      </w:r>
      <w:r w:rsidR="00F95886" w:rsidRPr="00A52585">
        <w:rPr>
          <w:rFonts w:hint="cs"/>
          <w:sz w:val="24"/>
          <w:szCs w:val="24"/>
          <w:rtl/>
        </w:rPr>
        <w:t>؟</w:t>
      </w:r>
      <w:r w:rsidR="00777DCB" w:rsidRPr="00A52585">
        <w:rPr>
          <w:rFonts w:hint="cs"/>
          <w:sz w:val="24"/>
          <w:szCs w:val="24"/>
          <w:rtl/>
        </w:rPr>
        <w:t xml:space="preserve"> ومن يفهمه أن الخروج والدخول ضدان لا نقيضان قد يرتفعان عما ليس بجسم بخلاف النقيضين</w:t>
      </w:r>
      <w:r w:rsidR="00F95886" w:rsidRPr="00A52585">
        <w:rPr>
          <w:rFonts w:hint="cs"/>
          <w:sz w:val="24"/>
          <w:szCs w:val="24"/>
          <w:rtl/>
        </w:rPr>
        <w:t>؟</w:t>
      </w:r>
      <w:r w:rsidR="00777DCB" w:rsidRPr="00A52585">
        <w:rPr>
          <w:rFonts w:hint="cs"/>
          <w:sz w:val="24"/>
          <w:szCs w:val="24"/>
          <w:rtl/>
        </w:rPr>
        <w:t>]</w:t>
      </w:r>
      <w:r w:rsidR="00777DCB" w:rsidRPr="00A52585">
        <w:rPr>
          <w:rFonts w:hint="cs"/>
          <w:rtl/>
        </w:rPr>
        <w:t xml:space="preserve"> فإن زعم أن ذلك في الجسم</w:t>
      </w:r>
      <w:r w:rsidR="00DB731D" w:rsidRPr="00A52585">
        <w:rPr>
          <w:rFonts w:hint="cs"/>
          <w:rtl/>
        </w:rPr>
        <w:t>،</w:t>
      </w:r>
      <w:r w:rsidR="00777DCB" w:rsidRPr="00A52585">
        <w:rPr>
          <w:rFonts w:hint="cs"/>
          <w:rtl/>
        </w:rPr>
        <w:t xml:space="preserve"> والرب ليس كذا فيقال هذا دعوى واصطلاح اليونان</w:t>
      </w:r>
      <w:r w:rsidRPr="00A52585">
        <w:rPr>
          <w:rFonts w:hint="cs"/>
          <w:rtl/>
        </w:rPr>
        <w:t>)</w:t>
      </w:r>
      <w:r w:rsidR="00DB731D" w:rsidRPr="00A52585">
        <w:rPr>
          <w:rFonts w:hint="cs"/>
          <w:rtl/>
        </w:rPr>
        <w:t>،</w:t>
      </w:r>
      <w:r w:rsidR="00777DCB" w:rsidRPr="00A52585">
        <w:rPr>
          <w:rFonts w:hint="cs"/>
          <w:rtl/>
        </w:rPr>
        <w:t xml:space="preserve"> إن أراد بالدعوى نفي الجسمية عن الرب وبالاصطلاح ذلك فقد أظهر ما في نفسه</w:t>
      </w:r>
      <w:r w:rsidR="00DB731D" w:rsidRPr="00A52585">
        <w:rPr>
          <w:rFonts w:hint="cs"/>
          <w:rtl/>
        </w:rPr>
        <w:t>،</w:t>
      </w:r>
      <w:r w:rsidR="00777DCB" w:rsidRPr="00A52585">
        <w:rPr>
          <w:rFonts w:hint="cs"/>
          <w:rtl/>
        </w:rPr>
        <w:t xml:space="preserve"> وإن أراد أن النفي إنما يصدق في الأجسام والظاهر أنه مراده فلا يقال فهي اصطلاح</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والشيء يصدق نفيه عن قابل وسواه ولذا </w:t>
      </w:r>
      <w:r w:rsidR="00777DCB" w:rsidRPr="00A52585">
        <w:rPr>
          <w:rFonts w:hint="cs"/>
          <w:rtl/>
        </w:rPr>
        <w:lastRenderedPageBreak/>
        <w:t>ينفي عنه الظلم المحال والنوم والسنة والطعم والولادة والزوجة</w:t>
      </w:r>
      <w:r w:rsidR="00DB731D" w:rsidRPr="00A52585">
        <w:rPr>
          <w:rFonts w:hint="cs"/>
          <w:rtl/>
        </w:rPr>
        <w:t>،</w:t>
      </w:r>
      <w:r w:rsidR="00777DCB" w:rsidRPr="00A52585">
        <w:rPr>
          <w:rFonts w:hint="cs"/>
          <w:rtl/>
        </w:rPr>
        <w:t xml:space="preserve"> والله وصف الجماد بأنه ميت أصم</w:t>
      </w:r>
      <w:r w:rsidR="00DB731D" w:rsidRPr="00A52585">
        <w:rPr>
          <w:rFonts w:hint="cs"/>
          <w:rtl/>
        </w:rPr>
        <w:t>،</w:t>
      </w:r>
      <w:r w:rsidR="00777DCB" w:rsidRPr="00A52585">
        <w:rPr>
          <w:rFonts w:hint="cs"/>
          <w:rtl/>
        </w:rPr>
        <w:t xml:space="preserve"> ونفى عنه الشعور والنطق والخلق وهو لا يقبل</w:t>
      </w:r>
      <w:r w:rsidR="00DB731D" w:rsidRPr="00A52585">
        <w:rPr>
          <w:rFonts w:hint="cs"/>
          <w:rtl/>
        </w:rPr>
        <w:t>،</w:t>
      </w:r>
      <w:r w:rsidR="00777DCB" w:rsidRPr="00A52585">
        <w:rPr>
          <w:rFonts w:hint="cs"/>
          <w:rtl/>
        </w:rPr>
        <w:t xml:space="preserve"> ولو سلم أن هذا شرط كان في الضدين لا في النقيضين ونفيكم لقبولهما يزيل الإمكان وهو كنفي قيامه بالنفس أو بالغير فإذا المعطل قال إن قيامه بالنفس أو بالغير باطل إذ ليس يقبلهما إلا جسم أو عرض فكلاكما ينفي الإله حقيقة ماذا يرد عليه من هو مثله في النفي صرفاً والفرق ليس بممكن لك والخصم يزعم أن ما هو قابل لهما كقابل لمكان فافرق أو أعط القوس باريها وخل </w:t>
      </w:r>
      <w:proofErr w:type="spellStart"/>
      <w:r w:rsidR="00777DCB" w:rsidRPr="00A52585">
        <w:rPr>
          <w:rFonts w:hint="cs"/>
          <w:rtl/>
        </w:rPr>
        <w:t>الفشرة</w:t>
      </w:r>
      <w:proofErr w:type="spellEnd"/>
      <w:r w:rsidR="00777DCB" w:rsidRPr="00A52585">
        <w:rPr>
          <w:rFonts w:hint="cs"/>
          <w:rtl/>
        </w:rPr>
        <w:t xml:space="preserve"> وكثرة الهذيان</w:t>
      </w:r>
      <w:r w:rsidRPr="00A52585">
        <w:rPr>
          <w:rFonts w:hint="cs"/>
          <w:rtl/>
        </w:rPr>
        <w:t>)</w:t>
      </w:r>
      <w:r w:rsidR="00DB731D" w:rsidRPr="00A52585">
        <w:rPr>
          <w:rFonts w:hint="cs"/>
          <w:rtl/>
        </w:rPr>
        <w:t>،</w:t>
      </w:r>
      <w:r w:rsidR="00777DCB" w:rsidRPr="00A52585">
        <w:rPr>
          <w:rFonts w:hint="cs"/>
          <w:rtl/>
        </w:rPr>
        <w:t xml:space="preserve"> فهذا فشار كبير ممن لا يعرف الضدين ولا النقيضين ولا الإمكان ولا الامتناع</w:t>
      </w:r>
      <w:r w:rsidR="00DB731D" w:rsidRPr="00A52585">
        <w:rPr>
          <w:rFonts w:hint="cs"/>
          <w:rtl/>
        </w:rPr>
        <w:t>،</w:t>
      </w:r>
      <w:r w:rsidR="00777DCB" w:rsidRPr="00A52585">
        <w:rPr>
          <w:rFonts w:hint="cs"/>
          <w:rtl/>
        </w:rPr>
        <w:t xml:space="preserve"> يا سبحان الله الدخول والخروج نقيضان أو نفي الوصف بهما يزيل الإمكان أو ينفي الإله</w:t>
      </w:r>
      <w:r w:rsidR="00F95886" w:rsidRPr="00A52585">
        <w:rPr>
          <w:rFonts w:hint="cs"/>
          <w:rtl/>
        </w:rPr>
        <w:t>؟</w:t>
      </w:r>
      <w:r w:rsidR="00777DCB" w:rsidRPr="00A52585">
        <w:rPr>
          <w:rFonts w:hint="cs"/>
          <w:rtl/>
        </w:rPr>
        <w:t xml:space="preserve"> هذا خلط</w:t>
      </w:r>
      <w:r w:rsidR="00DB731D" w:rsidRPr="00A52585">
        <w:rPr>
          <w:rFonts w:hint="cs"/>
          <w:rtl/>
        </w:rPr>
        <w:t>،</w:t>
      </w:r>
      <w:r w:rsidR="00777DCB" w:rsidRPr="00A52585">
        <w:rPr>
          <w:rFonts w:hint="cs"/>
          <w:rtl/>
        </w:rPr>
        <w:t xml:space="preserve"> </w:t>
      </w:r>
    </w:p>
    <w:p w14:paraId="02004325" w14:textId="17975D08" w:rsidR="00777DCB" w:rsidRPr="00A52585" w:rsidRDefault="0002035C" w:rsidP="0002035C">
      <w:pPr>
        <w:spacing w:after="240"/>
        <w:rPr>
          <w:b/>
          <w:rtl/>
        </w:rPr>
      </w:pPr>
      <w:r w:rsidRPr="00A52585">
        <w:rPr>
          <w:rFonts w:hint="cs"/>
          <w:bCs/>
          <w:rtl/>
        </w:rPr>
        <w:t>[</w:t>
      </w:r>
      <w:r w:rsidR="00777DCB" w:rsidRPr="00A52585">
        <w:rPr>
          <w:rFonts w:hint="cs"/>
          <w:bCs/>
          <w:rtl/>
        </w:rPr>
        <w:t>فصـــــل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في سياق هذا الدليل على وجه آخر إن نفي المعطل كون الإله خارج الأذهان بالغ في الكفر وإن أقر</w:t>
      </w:r>
      <w:r w:rsidR="00DB731D" w:rsidRPr="00A52585">
        <w:rPr>
          <w:rFonts w:hint="cs"/>
          <w:rtl/>
        </w:rPr>
        <w:t>،</w:t>
      </w:r>
      <w:r w:rsidR="00777DCB" w:rsidRPr="00A52585">
        <w:rPr>
          <w:rFonts w:hint="cs"/>
          <w:rtl/>
        </w:rPr>
        <w:t xml:space="preserve"> فإن قال إنه عين الأكوان قال بالاتحاد وجحد ربه</w:t>
      </w:r>
      <w:r w:rsidR="00DB731D" w:rsidRPr="00A52585">
        <w:rPr>
          <w:rFonts w:hint="cs"/>
          <w:rtl/>
        </w:rPr>
        <w:t>،</w:t>
      </w:r>
      <w:r w:rsidR="00777DCB" w:rsidRPr="00A52585">
        <w:rPr>
          <w:rFonts w:hint="cs"/>
          <w:rtl/>
        </w:rPr>
        <w:t xml:space="preserve"> وإن قال غيرها</w:t>
      </w:r>
      <w:r w:rsidR="00DB731D" w:rsidRPr="00A52585">
        <w:rPr>
          <w:rFonts w:hint="cs"/>
          <w:rtl/>
        </w:rPr>
        <w:t>،</w:t>
      </w:r>
      <w:r w:rsidR="00777DCB" w:rsidRPr="00A52585">
        <w:rPr>
          <w:rFonts w:hint="cs"/>
          <w:rtl/>
        </w:rPr>
        <w:t xml:space="preserve"> فإن قال الخلق في ذاته أو ذاته فيهم فهو قول النصارى</w:t>
      </w:r>
      <w:r w:rsidR="00DB731D" w:rsidRPr="00A52585">
        <w:rPr>
          <w:rFonts w:hint="cs"/>
          <w:rtl/>
        </w:rPr>
        <w:t>،</w:t>
      </w:r>
      <w:r w:rsidR="00777DCB" w:rsidRPr="00A52585">
        <w:rPr>
          <w:rFonts w:hint="cs"/>
          <w:rtl/>
        </w:rPr>
        <w:t xml:space="preserve"> وإن قال قائم بنفسه فهو وغيره مثلان أو ضدان أو غيران وعلى التقادير الثلاثة</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يلوك لسانه مصطلحات أهل المعقول من غير أن يفهم مرادهم ليظهر عند الحمقى بأنه جامع بين المعقول والمنقول، فالغيران إذا اشتركا في تمام الماهية فهما مثلان، وإلا فإن كانا وجوديين أمكن تعقل أحدهما مع الذهول عن الآخر فهما ضدان، والتباين عندهم باعتبار الصدق أو التحقق لا بمعنى البينونة المفيدة إشغال هذا حيزاً غير حيز ذاك</w:t>
      </w:r>
      <w:r w:rsidR="00DB731D" w:rsidRPr="00A52585">
        <w:rPr>
          <w:rFonts w:hint="cs"/>
          <w:sz w:val="24"/>
          <w:szCs w:val="24"/>
          <w:rtl/>
        </w:rPr>
        <w:t>،</w:t>
      </w:r>
      <w:r w:rsidR="00777DCB" w:rsidRPr="00A52585">
        <w:rPr>
          <w:rFonts w:hint="cs"/>
          <w:sz w:val="24"/>
          <w:szCs w:val="24"/>
          <w:rtl/>
        </w:rPr>
        <w:t xml:space="preserve"> والحاصل أنه جعل القسم قسيماً وحمل التباين على التباعد بالمسافة وإشغال كل حيزاً غير حيز الآخر، وحاول أن يستنتج من الدعوى المجردة ما يدعيه</w:t>
      </w:r>
      <w:r w:rsidR="00DB731D" w:rsidRPr="00A52585">
        <w:rPr>
          <w:rFonts w:hint="cs"/>
          <w:sz w:val="24"/>
          <w:szCs w:val="24"/>
          <w:rtl/>
        </w:rPr>
        <w:t>،</w:t>
      </w:r>
      <w:r w:rsidR="00777DCB" w:rsidRPr="00A52585">
        <w:rPr>
          <w:rFonts w:hint="cs"/>
          <w:sz w:val="24"/>
          <w:szCs w:val="24"/>
          <w:rtl/>
        </w:rPr>
        <w:t xml:space="preserve"> ولو كان المسكين درس الطوالع مثلاً قبل أن يخوض في هذه المباحث عند عالم كالأصبهاني لما فضح نفسه بهذيان المحمومين، وحق للمصنف أن يقول في </w:t>
      </w:r>
      <w:proofErr w:type="spellStart"/>
      <w:r w:rsidR="00777DCB" w:rsidRPr="00A52585">
        <w:rPr>
          <w:rFonts w:hint="cs"/>
          <w:sz w:val="24"/>
          <w:szCs w:val="24"/>
          <w:rtl/>
        </w:rPr>
        <w:t>ترثرة</w:t>
      </w:r>
      <w:proofErr w:type="spellEnd"/>
      <w:r w:rsidR="00777DCB" w:rsidRPr="00A52585">
        <w:rPr>
          <w:rFonts w:hint="cs"/>
          <w:sz w:val="24"/>
          <w:szCs w:val="24"/>
          <w:rtl/>
        </w:rPr>
        <w:t xml:space="preserve"> الناظم أسمع جعجعة ولا أرى طحناً؛ لأن معنى كلام الناظم</w:t>
      </w:r>
      <w:r w:rsidRPr="00A52585">
        <w:rPr>
          <w:rFonts w:hint="cs"/>
          <w:sz w:val="24"/>
          <w:szCs w:val="24"/>
          <w:rtl/>
        </w:rPr>
        <w:t>:</w:t>
      </w:r>
      <w:r w:rsidR="00777DCB" w:rsidRPr="00A52585">
        <w:rPr>
          <w:rFonts w:hint="cs"/>
          <w:sz w:val="24"/>
          <w:szCs w:val="24"/>
          <w:rtl/>
        </w:rPr>
        <w:t xml:space="preserve"> إن نفى المعطل الإله في خارج الأذهان فهو كافر، وأن أقر بوجوده بأن قال إنه عين الكون فهو اتحادي ملحد، وإن قال إنهما مثلان أو ضدان أو غيران بدون اختلاف في الجهات فهو قائل بالاتحاد أيضاً. فيا ترى هل لهذا التخريف من معنى عند أهل البصيرة</w:t>
      </w:r>
      <w:r w:rsidR="00F95886" w:rsidRPr="00A52585">
        <w:rPr>
          <w:rFonts w:hint="cs"/>
          <w:sz w:val="24"/>
          <w:szCs w:val="24"/>
          <w:rtl/>
        </w:rPr>
        <w:t>؟</w:t>
      </w:r>
      <w:r w:rsidRPr="00A52585">
        <w:rPr>
          <w:rFonts w:hint="cs"/>
          <w:sz w:val="24"/>
          <w:szCs w:val="24"/>
          <w:rtl/>
        </w:rPr>
        <w:t>]</w:t>
      </w:r>
      <w:r w:rsidR="00777DCB" w:rsidRPr="00A52585">
        <w:rPr>
          <w:rFonts w:hint="cs"/>
          <w:rtl/>
        </w:rPr>
        <w:t xml:space="preserve"> لولا التباين لم يكن شيئان فلذا قلنا إنكم باب من الاتحاد</w:t>
      </w:r>
      <w:r w:rsidRPr="00A52585">
        <w:rPr>
          <w:rFonts w:hint="cs"/>
          <w:rtl/>
        </w:rPr>
        <w:t>)</w:t>
      </w:r>
      <w:r w:rsidR="00DB731D" w:rsidRPr="00A52585">
        <w:rPr>
          <w:rFonts w:hint="cs"/>
          <w:rtl/>
        </w:rPr>
        <w:t>،</w:t>
      </w:r>
      <w:r w:rsidR="00777DCB" w:rsidRPr="00A52585">
        <w:rPr>
          <w:rFonts w:hint="cs"/>
          <w:rtl/>
        </w:rPr>
        <w:t xml:space="preserve"> أسمع جعجعة ولا أرى طحنا آخره مطالبة بأن ما ليس في حيز كيف يكون موجوداً</w:t>
      </w:r>
      <w:r w:rsidR="00DB731D" w:rsidRPr="00A52585">
        <w:rPr>
          <w:rFonts w:hint="cs"/>
          <w:rtl/>
        </w:rPr>
        <w:t>،</w:t>
      </w:r>
      <w:r w:rsidR="00777DCB" w:rsidRPr="00A52585">
        <w:rPr>
          <w:rFonts w:hint="cs"/>
          <w:rtl/>
        </w:rPr>
        <w:t xml:space="preserve"> </w:t>
      </w:r>
    </w:p>
    <w:p w14:paraId="5F1C91F2" w14:textId="0FDE4DD3" w:rsidR="00777DCB" w:rsidRPr="00A52585" w:rsidRDefault="0002035C" w:rsidP="0002035C">
      <w:pPr>
        <w:spacing w:after="240"/>
        <w:rPr>
          <w:b/>
          <w:rtl/>
        </w:rPr>
      </w:pPr>
      <w:r w:rsidRPr="00A52585">
        <w:rPr>
          <w:rFonts w:hint="cs"/>
          <w:bCs/>
          <w:rtl/>
        </w:rPr>
        <w:t>[</w:t>
      </w:r>
      <w:r w:rsidR="00777DCB" w:rsidRPr="00A52585">
        <w:rPr>
          <w:rFonts w:hint="cs"/>
          <w:bCs/>
          <w:rtl/>
        </w:rPr>
        <w:t>فصـــل</w:t>
      </w:r>
      <w:r w:rsidRPr="00A52585">
        <w:rPr>
          <w:rFonts w:hint="cs"/>
          <w:bCs/>
          <w:rtl/>
        </w:rPr>
        <w:t>:</w:t>
      </w:r>
      <w:r w:rsidR="00777DCB" w:rsidRPr="00A52585">
        <w:rPr>
          <w:rFonts w:hint="cs"/>
          <w:bCs/>
          <w:rtl/>
        </w:rPr>
        <w:t xml:space="preserve"> نصوص عن ابن تيمية في الفوقية الحسية</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ولقد أتانا عشرة أنواع من المنقول في فوقية الرحمن مع مثلها أيضاً يزيد بواحد</w:t>
      </w:r>
      <w:r w:rsidR="00DB731D" w:rsidRPr="00A52585">
        <w:rPr>
          <w:rFonts w:hint="cs"/>
          <w:rtl/>
        </w:rPr>
        <w:t>،</w:t>
      </w:r>
      <w:r w:rsidR="00777DCB" w:rsidRPr="00A52585">
        <w:rPr>
          <w:rFonts w:hint="cs"/>
          <w:rtl/>
        </w:rPr>
        <w:t xml:space="preserve"> ها نحن نسردها بلا كتمان</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شيخ الناظم يريد بالفوقية الفوقية الحسية كما صرح به فيما رد به على الرازي حيث قال</w:t>
      </w:r>
      <w:r w:rsidRPr="00A52585">
        <w:rPr>
          <w:rFonts w:hint="cs"/>
          <w:sz w:val="24"/>
          <w:szCs w:val="24"/>
          <w:rtl/>
        </w:rPr>
        <w:t>:</w:t>
      </w:r>
      <w:r w:rsidR="00777DCB" w:rsidRPr="00A52585">
        <w:rPr>
          <w:rFonts w:hint="cs"/>
          <w:sz w:val="24"/>
          <w:szCs w:val="24"/>
          <w:rtl/>
        </w:rPr>
        <w:t xml:space="preserve"> "إن العرش في اللغة السرير وذلك بالنسبة إلى ما فوقه كالسقف بالنسبة إلى ما تحته، فإذا كان القرآن جعل لله عرشاً وليس هو بالنسبة إليه كالسقف علم أنه بالنسبة إليه </w:t>
      </w:r>
      <w:r w:rsidR="00777DCB" w:rsidRPr="00A52585">
        <w:rPr>
          <w:rFonts w:hint="cs"/>
          <w:sz w:val="24"/>
          <w:szCs w:val="24"/>
          <w:rtl/>
        </w:rPr>
        <w:lastRenderedPageBreak/>
        <w:t>كالسرير بالنسبة إلى غيره وذلك يقتضي أنه فوق العرش" اهـ.</w:t>
      </w:r>
      <w:r w:rsidR="00DB731D" w:rsidRPr="00A52585">
        <w:rPr>
          <w:rFonts w:hint="cs"/>
          <w:sz w:val="24"/>
          <w:szCs w:val="24"/>
          <w:rtl/>
        </w:rPr>
        <w:t>،</w:t>
      </w:r>
      <w:r w:rsidR="00777DCB" w:rsidRPr="00A52585">
        <w:rPr>
          <w:rFonts w:hint="cs"/>
          <w:sz w:val="24"/>
          <w:szCs w:val="24"/>
          <w:rtl/>
        </w:rPr>
        <w:t xml:space="preserve"> ومثل هذه الفوقية لا يقول به إلا مجسم، ونقل البيهقي في مناقب أحمد عن رئيس الحنابلة وابن رئيسها أبي الفضل التميمي أنه قال</w:t>
      </w:r>
      <w:r w:rsidRPr="00A52585">
        <w:rPr>
          <w:rFonts w:hint="cs"/>
          <w:sz w:val="24"/>
          <w:szCs w:val="24"/>
          <w:rtl/>
        </w:rPr>
        <w:t>:</w:t>
      </w:r>
      <w:r w:rsidR="00777DCB" w:rsidRPr="00A52585">
        <w:rPr>
          <w:rFonts w:hint="cs"/>
          <w:sz w:val="24"/>
          <w:szCs w:val="24"/>
          <w:rtl/>
        </w:rPr>
        <w:t>" أنكر أحمد على من قال بالجسم وقال</w:t>
      </w:r>
      <w:r w:rsidRPr="00A52585">
        <w:rPr>
          <w:rFonts w:hint="cs"/>
          <w:sz w:val="24"/>
          <w:szCs w:val="24"/>
          <w:rtl/>
        </w:rPr>
        <w:t>:</w:t>
      </w:r>
      <w:r w:rsidR="00777DCB" w:rsidRPr="00A52585">
        <w:rPr>
          <w:rFonts w:hint="cs"/>
          <w:sz w:val="24"/>
          <w:szCs w:val="24"/>
          <w:rtl/>
        </w:rPr>
        <w:t xml:space="preserve">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يجئ في الشريعة ذلك فبطل" انتهى</w:t>
      </w:r>
      <w:r w:rsidR="00DB731D" w:rsidRPr="00A52585">
        <w:rPr>
          <w:rFonts w:hint="cs"/>
          <w:sz w:val="24"/>
          <w:szCs w:val="24"/>
          <w:rtl/>
        </w:rPr>
        <w:t>،</w:t>
      </w:r>
      <w:r w:rsidR="00777DCB" w:rsidRPr="00A52585">
        <w:rPr>
          <w:rFonts w:hint="cs"/>
          <w:sz w:val="24"/>
          <w:szCs w:val="24"/>
          <w:rtl/>
        </w:rPr>
        <w:t xml:space="preserve"> فالناظم وشيخه </w:t>
      </w:r>
      <w:proofErr w:type="spellStart"/>
      <w:r w:rsidR="00777DCB" w:rsidRPr="00A52585">
        <w:rPr>
          <w:rFonts w:hint="cs"/>
          <w:sz w:val="24"/>
          <w:szCs w:val="24"/>
          <w:rtl/>
        </w:rPr>
        <w:t>متقولان</w:t>
      </w:r>
      <w:proofErr w:type="spellEnd"/>
      <w:r w:rsidR="00777DCB" w:rsidRPr="00A52585">
        <w:rPr>
          <w:rFonts w:hint="cs"/>
          <w:sz w:val="24"/>
          <w:szCs w:val="24"/>
          <w:rtl/>
        </w:rPr>
        <w:t xml:space="preserve"> على الشرع وعلى اللغة وعلى إمامهما فضلاً عن باقي الأئمة، عاملهما الله بعدله</w:t>
      </w:r>
      <w:r w:rsidRPr="00A52585">
        <w:rPr>
          <w:rFonts w:hint="cs"/>
          <w:sz w:val="24"/>
          <w:szCs w:val="24"/>
          <w:rtl/>
        </w:rPr>
        <w:t>]</w:t>
      </w:r>
      <w:r w:rsidR="00DB731D" w:rsidRPr="00A52585">
        <w:rPr>
          <w:rFonts w:hint="cs"/>
          <w:sz w:val="24"/>
          <w:szCs w:val="24"/>
          <w:rtl/>
        </w:rPr>
        <w:t>،</w:t>
      </w:r>
      <w:r w:rsidR="00777DCB" w:rsidRPr="00A52585">
        <w:rPr>
          <w:rFonts w:hint="cs"/>
          <w:rtl/>
        </w:rPr>
        <w:t xml:space="preserve"> أخذ هذا الخَلْف السوء يذكر ما قاله شيخه في كتاب العرش وكأنه المقصود بهذا النظم فإنه أطال فيه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هذا ومن عشرين وجها يبطل التفسير بـ </w:t>
      </w:r>
      <w:r w:rsidRPr="00A52585">
        <w:rPr>
          <w:rFonts w:hint="cs"/>
          <w:rtl/>
        </w:rPr>
        <w:t>(</w:t>
      </w:r>
      <w:r w:rsidR="00777DCB" w:rsidRPr="00A52585">
        <w:rPr>
          <w:rFonts w:hint="cs"/>
          <w:rtl/>
        </w:rPr>
        <w:t>استولى</w:t>
      </w:r>
      <w:r w:rsidRPr="00A52585">
        <w:rPr>
          <w:rFonts w:hint="cs"/>
          <w:rtl/>
        </w:rPr>
        <w:t>)</w:t>
      </w:r>
      <w:r w:rsidR="00777DCB" w:rsidRPr="00A52585">
        <w:rPr>
          <w:rFonts w:hint="cs"/>
          <w:rtl/>
        </w:rPr>
        <w:t xml:space="preserve"> لذي العرفان قد أفردت بمصنف لإمام هذا الشأن بحر العالم الحراني</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هو وارث علوم صابئة حران حقاً، والمستلف من السلف ما يكسوها كسوة الخيانة والتلبيس. وعن هذا الحراني – الذي اتخذه الناظم إماماً -</w:t>
      </w:r>
      <w:r w:rsidRPr="00A52585">
        <w:rPr>
          <w:rFonts w:hint="cs"/>
          <w:sz w:val="24"/>
          <w:szCs w:val="24"/>
          <w:rtl/>
        </w:rPr>
        <w:t xml:space="preserve"> </w:t>
      </w:r>
      <w:r w:rsidR="00777DCB" w:rsidRPr="00A52585">
        <w:rPr>
          <w:rFonts w:hint="cs"/>
          <w:sz w:val="24"/>
          <w:szCs w:val="24"/>
          <w:rtl/>
        </w:rPr>
        <w:t>يقول ابن حجر في الدرر الكامنة في ترجمته</w:t>
      </w:r>
      <w:r w:rsidRPr="00A52585">
        <w:rPr>
          <w:rFonts w:hint="cs"/>
          <w:sz w:val="24"/>
          <w:szCs w:val="24"/>
          <w:rtl/>
        </w:rPr>
        <w:t>:</w:t>
      </w:r>
      <w:r w:rsidR="00777DCB" w:rsidRPr="00A52585">
        <w:rPr>
          <w:rFonts w:hint="cs"/>
          <w:sz w:val="24"/>
          <w:szCs w:val="24"/>
          <w:rtl/>
        </w:rPr>
        <w:t xml:space="preserve"> "واستشعر أنه مجتهد فصار يرد على صغير العلماء وكبيرهم، </w:t>
      </w:r>
      <w:proofErr w:type="spellStart"/>
      <w:r w:rsidR="00777DCB" w:rsidRPr="00A52585">
        <w:rPr>
          <w:rFonts w:hint="cs"/>
          <w:sz w:val="24"/>
          <w:szCs w:val="24"/>
          <w:rtl/>
        </w:rPr>
        <w:t>قديمهم</w:t>
      </w:r>
      <w:proofErr w:type="spellEnd"/>
      <w:r w:rsidR="00777DCB" w:rsidRPr="00A52585">
        <w:rPr>
          <w:rFonts w:hint="cs"/>
          <w:sz w:val="24"/>
          <w:szCs w:val="24"/>
          <w:rtl/>
        </w:rPr>
        <w:t xml:space="preserve"> وحديثهم، حتى انتهى إلى عمر بن الخطاب رضي الله عنه</w:t>
      </w:r>
      <w:r w:rsidR="00DB731D" w:rsidRPr="00A52585">
        <w:rPr>
          <w:rFonts w:hint="cs"/>
          <w:sz w:val="24"/>
          <w:szCs w:val="24"/>
          <w:rtl/>
        </w:rPr>
        <w:t>،</w:t>
      </w:r>
      <w:r w:rsidR="00777DCB" w:rsidRPr="00A52585">
        <w:rPr>
          <w:rFonts w:hint="cs"/>
          <w:sz w:val="24"/>
          <w:szCs w:val="24"/>
          <w:rtl/>
        </w:rPr>
        <w:t xml:space="preserve"> فخطأه في شيء فبلغ الشيخ إبراهيم الرقي الحنبلي فأنكر عليه فذهب إليه واعتذر واستغفر. وقال في حق على [كرم الله وجهه] أخطأ في سبعة عشر شيئاً ثم خالف فيها نص الكتاب، منها اعتداد المتوفى عنها زوجها أطول الأجلين. وكان لتعصبه لمذهب الحنابلة يقع في الأشاعرة حتى إنه سب الغزالي فقام عليه قوم كادوا يقتلونه. وذكروا أنه ذكر حديث النـزول فنـزل عن المنبر درجتين فقال</w:t>
      </w:r>
      <w:r w:rsidRPr="00A52585">
        <w:rPr>
          <w:rFonts w:hint="cs"/>
          <w:sz w:val="24"/>
          <w:szCs w:val="24"/>
          <w:rtl/>
        </w:rPr>
        <w:t>:</w:t>
      </w:r>
      <w:r w:rsidR="00777DCB" w:rsidRPr="00A52585">
        <w:rPr>
          <w:rFonts w:hint="cs"/>
          <w:sz w:val="24"/>
          <w:szCs w:val="24"/>
          <w:rtl/>
        </w:rPr>
        <w:t xml:space="preserve"> كنـزولي هذا، فنسب إلى التجسيم. وافترق الناس فيه شيعا، منهم من نسبه إلى التجسيم لما ذكر في العقيدة الحموية [التي رد عليها ابن </w:t>
      </w:r>
      <w:proofErr w:type="spellStart"/>
      <w:r w:rsidR="00777DCB" w:rsidRPr="00A52585">
        <w:rPr>
          <w:rFonts w:hint="cs"/>
          <w:sz w:val="24"/>
          <w:szCs w:val="24"/>
          <w:rtl/>
        </w:rPr>
        <w:t>جهبل</w:t>
      </w:r>
      <w:proofErr w:type="spellEnd"/>
      <w:r w:rsidR="00777DCB" w:rsidRPr="00A52585">
        <w:rPr>
          <w:rFonts w:hint="cs"/>
          <w:sz w:val="24"/>
          <w:szCs w:val="24"/>
          <w:rtl/>
        </w:rPr>
        <w:t>] والواسطية وغيرهما من ذلك، كقوله</w:t>
      </w:r>
      <w:r w:rsidRPr="00A52585">
        <w:rPr>
          <w:rFonts w:hint="cs"/>
          <w:sz w:val="24"/>
          <w:szCs w:val="24"/>
          <w:rtl/>
        </w:rPr>
        <w:t>:</w:t>
      </w:r>
      <w:r w:rsidR="00777DCB" w:rsidRPr="00A52585">
        <w:rPr>
          <w:rFonts w:hint="cs"/>
          <w:sz w:val="24"/>
          <w:szCs w:val="24"/>
          <w:rtl/>
        </w:rPr>
        <w:t xml:space="preserve"> إن اليد والقدم والساق والوجه صفات حقيقية لله وأنه مستو على العرش بذاته فقيل له يلزم من ذلك التحيز والانقسام فقال</w:t>
      </w:r>
      <w:r w:rsidRPr="00A52585">
        <w:rPr>
          <w:rFonts w:hint="cs"/>
          <w:sz w:val="24"/>
          <w:szCs w:val="24"/>
          <w:rtl/>
        </w:rPr>
        <w:t>:</w:t>
      </w:r>
      <w:r w:rsidR="00777DCB" w:rsidRPr="00A52585">
        <w:rPr>
          <w:rFonts w:hint="cs"/>
          <w:sz w:val="24"/>
          <w:szCs w:val="24"/>
          <w:rtl/>
        </w:rPr>
        <w:t xml:space="preserve"> أنا لا أسلم أن التحيز والانقسام من خواص الأجسام فألزم بأنه يقول بالتحيز في ذات الله تعالى، ومنهم من ينسبه إلى الزندقة لقوله</w:t>
      </w:r>
      <w:r w:rsidRPr="00A52585">
        <w:rPr>
          <w:rFonts w:hint="cs"/>
          <w:sz w:val="24"/>
          <w:szCs w:val="24"/>
          <w:rtl/>
        </w:rPr>
        <w:t>:</w:t>
      </w:r>
      <w:r w:rsidR="00777DCB" w:rsidRPr="00A52585">
        <w:rPr>
          <w:rFonts w:hint="cs"/>
          <w:sz w:val="24"/>
          <w:szCs w:val="24"/>
          <w:rtl/>
        </w:rPr>
        <w:t xml:space="preserve"> إن النبي صلى الله عليه وسلم لا يستغاث به. لأن في ذلك تنقيصا ومنعا من تعظيم رسول </w:t>
      </w:r>
      <w:proofErr w:type="spellStart"/>
      <w:r w:rsidR="00777DCB" w:rsidRPr="00A52585">
        <w:rPr>
          <w:rFonts w:hint="cs"/>
          <w:sz w:val="24"/>
          <w:szCs w:val="24"/>
          <w:rtl/>
        </w:rPr>
        <w:t>اللهصلى</w:t>
      </w:r>
      <w:proofErr w:type="spellEnd"/>
      <w:r w:rsidR="00777DCB" w:rsidRPr="00A52585">
        <w:rPr>
          <w:rFonts w:hint="cs"/>
          <w:sz w:val="24"/>
          <w:szCs w:val="24"/>
          <w:rtl/>
        </w:rPr>
        <w:t xml:space="preserve"> الله عليه وسلم، وكان أشد الناس عليه في ذلك النور البكري، فإنه لما عقد له المجلس بسبب ذلك، قال بعض الحاضرين</w:t>
      </w:r>
      <w:r w:rsidRPr="00A52585">
        <w:rPr>
          <w:rFonts w:hint="cs"/>
          <w:sz w:val="24"/>
          <w:szCs w:val="24"/>
          <w:rtl/>
        </w:rPr>
        <w:t>:</w:t>
      </w:r>
      <w:r w:rsidR="00777DCB" w:rsidRPr="00A52585">
        <w:rPr>
          <w:rFonts w:hint="cs"/>
          <w:sz w:val="24"/>
          <w:szCs w:val="24"/>
          <w:rtl/>
        </w:rPr>
        <w:t xml:space="preserve"> </w:t>
      </w:r>
      <w:proofErr w:type="gramStart"/>
      <w:r w:rsidR="00777DCB" w:rsidRPr="00A52585">
        <w:rPr>
          <w:rFonts w:hint="cs"/>
          <w:sz w:val="24"/>
          <w:szCs w:val="24"/>
          <w:rtl/>
        </w:rPr>
        <w:t>يعزر,</w:t>
      </w:r>
      <w:proofErr w:type="gramEnd"/>
      <w:r w:rsidR="00777DCB" w:rsidRPr="00A52585">
        <w:rPr>
          <w:rFonts w:hint="cs"/>
          <w:sz w:val="24"/>
          <w:szCs w:val="24"/>
          <w:rtl/>
        </w:rPr>
        <w:t xml:space="preserve"> فقال البكري</w:t>
      </w:r>
      <w:r w:rsidRPr="00A52585">
        <w:rPr>
          <w:rFonts w:hint="cs"/>
          <w:sz w:val="24"/>
          <w:szCs w:val="24"/>
          <w:rtl/>
        </w:rPr>
        <w:t>:</w:t>
      </w:r>
      <w:r w:rsidR="00777DCB" w:rsidRPr="00A52585">
        <w:rPr>
          <w:rFonts w:hint="cs"/>
          <w:sz w:val="24"/>
          <w:szCs w:val="24"/>
          <w:rtl/>
        </w:rPr>
        <w:t xml:space="preserve"> لا معنى لهذا القول فإنه إن كان تنقيصا يقتل وإن لم يكن تنقيصا لا يعزر. ومنهم من ينسبه إلى النفاق لقوله في على [كرم الله وجهه</w:t>
      </w:r>
      <w:r w:rsidRPr="00A52585">
        <w:rPr>
          <w:rFonts w:hint="cs"/>
          <w:sz w:val="24"/>
          <w:szCs w:val="24"/>
          <w:rtl/>
        </w:rPr>
        <w:t>]</w:t>
      </w:r>
      <w:r w:rsidR="00777DCB" w:rsidRPr="00A52585">
        <w:rPr>
          <w:rFonts w:hint="cs"/>
          <w:sz w:val="24"/>
          <w:szCs w:val="24"/>
          <w:rtl/>
        </w:rPr>
        <w:t xml:space="preserve"> ما تقدم، ولقوله إنه كان مخذولاً حيثما توجه، وإنه حاول الخلافة مراراً فلم ينلها، وإنما قاتل دون الرياسة لا للديانة، وأن عثمان رضي الله عنه كان يحب المال. ولقوله أبو بكر رضي الله عنه أسلم شيخاً لا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 وله وقائع شهيرة، وكان إذا </w:t>
      </w:r>
      <w:proofErr w:type="spellStart"/>
      <w:r w:rsidR="00777DCB" w:rsidRPr="00A52585">
        <w:rPr>
          <w:rFonts w:hint="cs"/>
          <w:sz w:val="24"/>
          <w:szCs w:val="24"/>
          <w:rtl/>
        </w:rPr>
        <w:t>حوقق</w:t>
      </w:r>
      <w:proofErr w:type="spellEnd"/>
      <w:r w:rsidR="00777DCB" w:rsidRPr="00A52585">
        <w:rPr>
          <w:rFonts w:hint="cs"/>
          <w:sz w:val="24"/>
          <w:szCs w:val="24"/>
          <w:rtl/>
        </w:rPr>
        <w:t xml:space="preserve"> وألزم يقول لم أرد هذا إنما أردت كذا فيذكر احتمالا بعيداً" اهـ.</w:t>
      </w:r>
      <w:r w:rsidR="00DB731D" w:rsidRPr="00A52585">
        <w:rPr>
          <w:rFonts w:hint="cs"/>
          <w:sz w:val="24"/>
          <w:szCs w:val="24"/>
          <w:rtl/>
        </w:rPr>
        <w:t>،</w:t>
      </w:r>
      <w:r w:rsidR="00777DCB" w:rsidRPr="00A52585">
        <w:rPr>
          <w:rFonts w:hint="cs"/>
          <w:sz w:val="24"/>
          <w:szCs w:val="24"/>
          <w:rtl/>
        </w:rPr>
        <w:t xml:space="preserve"> والدرر الكامنة من محفوظات دار الكتب المصرية وقد طبعت حديثاً بمعرفة دائرة المعارف بحيدر آباد الدكن، وليس بين هؤلاء من ذكره بالإمامة والقدوة في الدين ومن اتخذه إماما إنما تخذه إماما في الزيغ والشذوذ من غير أن يتهيب ذلك اليوم الذي يُدعى فيه كل أناس بإمامهم، فليعتبر بذلك من ظن أن ابن حجر العسقلاني في صف </w:t>
      </w:r>
      <w:proofErr w:type="spellStart"/>
      <w:r w:rsidR="00777DCB" w:rsidRPr="00A52585">
        <w:rPr>
          <w:rFonts w:hint="cs"/>
          <w:sz w:val="24"/>
          <w:szCs w:val="24"/>
          <w:rtl/>
        </w:rPr>
        <w:t>المثنين</w:t>
      </w:r>
      <w:proofErr w:type="spellEnd"/>
      <w:r w:rsidR="00777DCB" w:rsidRPr="00A52585">
        <w:rPr>
          <w:rFonts w:hint="cs"/>
          <w:sz w:val="24"/>
          <w:szCs w:val="24"/>
          <w:rtl/>
        </w:rPr>
        <w:t xml:space="preserve"> على إمامته على الإطلاق</w:t>
      </w:r>
      <w:r w:rsidR="00DB731D" w:rsidRPr="00A52585">
        <w:rPr>
          <w:rFonts w:hint="cs"/>
          <w:sz w:val="24"/>
          <w:szCs w:val="24"/>
          <w:rtl/>
        </w:rPr>
        <w:t>،</w:t>
      </w:r>
      <w:r w:rsidR="00777DCB" w:rsidRPr="00A52585">
        <w:rPr>
          <w:rFonts w:hint="cs"/>
          <w:sz w:val="24"/>
          <w:szCs w:val="24"/>
          <w:rtl/>
        </w:rPr>
        <w:t xml:space="preserve"> وهذا كلام ابن حجر في هذا الزائغ مع أنه لم يطلع على جميع </w:t>
      </w:r>
      <w:proofErr w:type="spellStart"/>
      <w:r w:rsidR="00777DCB" w:rsidRPr="00A52585">
        <w:rPr>
          <w:rFonts w:hint="cs"/>
          <w:sz w:val="24"/>
          <w:szCs w:val="24"/>
          <w:rtl/>
        </w:rPr>
        <w:t>مخازيه</w:t>
      </w:r>
      <w:proofErr w:type="spellEnd"/>
      <w:r w:rsidR="00DB731D" w:rsidRPr="00A52585">
        <w:rPr>
          <w:rFonts w:hint="cs"/>
          <w:sz w:val="24"/>
          <w:szCs w:val="24"/>
          <w:rtl/>
        </w:rPr>
        <w:t>،</w:t>
      </w:r>
      <w:r w:rsidR="00777DCB" w:rsidRPr="00A52585">
        <w:rPr>
          <w:rFonts w:hint="cs"/>
          <w:sz w:val="24"/>
          <w:szCs w:val="24"/>
          <w:rtl/>
        </w:rPr>
        <w:t xml:space="preserve"> ومن أثنى عليه من أهل السنة في مبدأ أمره قبل انكشاف الستر عن </w:t>
      </w:r>
      <w:r w:rsidR="00777DCB" w:rsidRPr="00A52585">
        <w:rPr>
          <w:rFonts w:hint="cs"/>
          <w:sz w:val="24"/>
          <w:szCs w:val="24"/>
          <w:rtl/>
        </w:rPr>
        <w:lastRenderedPageBreak/>
        <w:t xml:space="preserve">بدعه الطامة إنما أثنى عليه تشجيعاً له على العلم لما كانوا يرون فيه في مبدأ نشأته من القابلية للعلم كما كانوا يفعلون مثل ذلك مع كل </w:t>
      </w:r>
      <w:proofErr w:type="spellStart"/>
      <w:r w:rsidR="00777DCB" w:rsidRPr="00A52585">
        <w:rPr>
          <w:rFonts w:hint="cs"/>
          <w:sz w:val="24"/>
          <w:szCs w:val="24"/>
          <w:rtl/>
        </w:rPr>
        <w:t>ناشيء</w:t>
      </w:r>
      <w:proofErr w:type="spellEnd"/>
      <w:r w:rsidR="00777DCB" w:rsidRPr="00A52585">
        <w:rPr>
          <w:rFonts w:hint="cs"/>
          <w:sz w:val="24"/>
          <w:szCs w:val="24"/>
          <w:rtl/>
        </w:rPr>
        <w:t>, لكن لما تشعبت هموم ابن تيمية وتوزعت مواهبه في مختلف الأهواء وضاع صوابه بين أمواج البدع التي ارتضاها لنفسه تراجع كل من أثنى عليه من هؤلاء على توالى فتنه بين الأمة وتعاقب أهوائه المخزية وانقلبوا ضده، ولولا مغامراته في شتى العلوم التي يكفى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w:t>
      </w:r>
      <w:r w:rsidR="00DB731D" w:rsidRPr="00A52585">
        <w:rPr>
          <w:rFonts w:hint="cs"/>
          <w:sz w:val="24"/>
          <w:szCs w:val="24"/>
          <w:rtl/>
        </w:rPr>
        <w:t>،</w:t>
      </w:r>
      <w:r w:rsidR="00777DCB" w:rsidRPr="00A52585">
        <w:rPr>
          <w:rFonts w:hint="cs"/>
          <w:sz w:val="24"/>
          <w:szCs w:val="24"/>
          <w:rtl/>
        </w:rPr>
        <w:t xml:space="preserve"> ومن أمثلة ذلك أن صفيّ الدين الأرموي المشهور كان طويل النفس في التقرير إذا شرع في وجه يقرره لا يدع شبهة ولا اعتراضاً إلا وقد أشار إليه في التقرير بحيث لا يتم التقرير إلا ويعز على المعترض مقاومته، وكان حضر حينما جمعت العلماء لأجل النظر في المسألة الحموية، ولما عقد المجلس لأجل امتحان ابن تيمية عما أورده في الحموية أخذ الصفي الأرموي يقرر المسألة على طريقته البارعة ليقطع الطرق على ابن تيمية من جميع الوجوه فبدأ ابن تيمية يعجل عليه على عادته ويخرج من شيء إلى شيء على أمل أن ينفق عليه تشغيبه لكن سقط في يده حيث قال له الصفي الأرموي</w:t>
      </w:r>
      <w:r w:rsidRPr="00A52585">
        <w:rPr>
          <w:rFonts w:hint="cs"/>
          <w:sz w:val="24"/>
          <w:szCs w:val="24"/>
          <w:rtl/>
        </w:rPr>
        <w:t>:</w:t>
      </w:r>
      <w:r w:rsidR="00777DCB" w:rsidRPr="00A52585">
        <w:rPr>
          <w:rFonts w:hint="cs"/>
          <w:sz w:val="24"/>
          <w:szCs w:val="24"/>
          <w:rtl/>
        </w:rPr>
        <w:t xml:space="preserve"> ما أراك يا بن تيمية إلا كالعصفور حيث أردت أن أقبضه من مكان يفر إلى مكان آخر اهـ.، وما ابن تيمية في نظر مثل الأرموي إلا كعصفورة في العلم وإن اتخذه الجهلة الأغرار إماماً بأن نبذوا الأئمة المتبوعين وراء ظهورهم حيث راجت عليهم ثرثرته الفارغة، ولا غرو فإن كل ساقطة لاقطة والطير على أشكالها تقع</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والمسألة الحموية</w:t>
      </w:r>
      <w:r w:rsidR="00777DCB" w:rsidRPr="00A52585">
        <w:rPr>
          <w:rFonts w:hint="cs"/>
          <w:sz w:val="24"/>
          <w:szCs w:val="24"/>
          <w:rtl/>
        </w:rPr>
        <w:t xml:space="preserve"> هذه تتضمن القول بالجهة وحبس ابن تيمية بعد هذا المجلس بسبب هذه المسألة ونودي عليه في البلد وعلى أصحابه وعزلوا من وظائفهم، وهذه المسألة هي التي رد عليها العلامة ابن </w:t>
      </w:r>
      <w:proofErr w:type="spellStart"/>
      <w:r w:rsidR="00777DCB" w:rsidRPr="00A52585">
        <w:rPr>
          <w:rFonts w:hint="cs"/>
          <w:sz w:val="24"/>
          <w:szCs w:val="24"/>
          <w:rtl/>
        </w:rPr>
        <w:t>جهبل</w:t>
      </w:r>
      <w:proofErr w:type="spellEnd"/>
      <w:r w:rsidR="00777DCB" w:rsidRPr="00A52585">
        <w:rPr>
          <w:rFonts w:hint="cs"/>
          <w:sz w:val="24"/>
          <w:szCs w:val="24"/>
          <w:rtl/>
        </w:rPr>
        <w:t xml:space="preserve"> رداً مشبعاً، وقد علمت بذلك قيمة علم ابن تيمية عند البارعين من أهل العلم</w:t>
      </w:r>
      <w:r w:rsidR="00DB731D" w:rsidRPr="00A52585">
        <w:rPr>
          <w:rFonts w:hint="cs"/>
          <w:sz w:val="24"/>
          <w:szCs w:val="24"/>
          <w:rtl/>
        </w:rPr>
        <w:t>،</w:t>
      </w:r>
      <w:r w:rsidR="00777DCB" w:rsidRPr="00A52585">
        <w:rPr>
          <w:rFonts w:hint="cs"/>
          <w:sz w:val="24"/>
          <w:szCs w:val="24"/>
          <w:rtl/>
        </w:rPr>
        <w:t xml:space="preserve"> وههنا لابد من التنبيه على شيء وهو أني كنت كتبت فيما علقت على دفع الشبه لابن الجوزي في (ص47)</w:t>
      </w:r>
      <w:r w:rsidRPr="00A52585">
        <w:rPr>
          <w:rFonts w:hint="cs"/>
          <w:sz w:val="24"/>
          <w:szCs w:val="24"/>
          <w:rtl/>
        </w:rPr>
        <w:t>:</w:t>
      </w:r>
      <w:r w:rsidR="00777DCB" w:rsidRPr="00A52585">
        <w:rPr>
          <w:rFonts w:hint="cs"/>
          <w:sz w:val="24"/>
          <w:szCs w:val="24"/>
          <w:rtl/>
        </w:rPr>
        <w:t xml:space="preserve"> (بل يروى عنه نفسه أعني ابن تيمية) أنه نـزل درجة وهو يخطب على المنبر في دمشق وقال</w:t>
      </w:r>
      <w:r w:rsidRPr="00A52585">
        <w:rPr>
          <w:rFonts w:hint="cs"/>
          <w:sz w:val="24"/>
          <w:szCs w:val="24"/>
          <w:rtl/>
        </w:rPr>
        <w:t>:</w:t>
      </w:r>
      <w:r w:rsidR="00777DCB" w:rsidRPr="00A52585">
        <w:rPr>
          <w:rFonts w:hint="cs"/>
          <w:sz w:val="24"/>
          <w:szCs w:val="24"/>
          <w:rtl/>
        </w:rPr>
        <w:t xml:space="preserve"> "ينـزل الله كنـزولي هذا"، على ما أثبته ابن بطوطة من مشاهداته في رحلته. وقال الحافظ ابن حجر في (الدرر الكامنة)</w:t>
      </w:r>
      <w:r w:rsidRPr="00A52585">
        <w:rPr>
          <w:rFonts w:hint="cs"/>
          <w:sz w:val="24"/>
          <w:szCs w:val="24"/>
          <w:rtl/>
        </w:rPr>
        <w:t>:</w:t>
      </w:r>
      <w:r w:rsidR="00777DCB" w:rsidRPr="00A52585">
        <w:rPr>
          <w:rFonts w:hint="cs"/>
          <w:sz w:val="24"/>
          <w:szCs w:val="24"/>
          <w:rtl/>
        </w:rPr>
        <w:t xml:space="preserve"> ذكروا أنه ذكر حديث النـزول فنـزل عن المنبر درجتين فقال</w:t>
      </w:r>
      <w:r w:rsidRPr="00A52585">
        <w:rPr>
          <w:rFonts w:hint="cs"/>
          <w:sz w:val="24"/>
          <w:szCs w:val="24"/>
          <w:rtl/>
        </w:rPr>
        <w:t>:</w:t>
      </w:r>
      <w:r w:rsidR="00777DCB" w:rsidRPr="00A52585">
        <w:rPr>
          <w:rFonts w:hint="cs"/>
          <w:sz w:val="24"/>
          <w:szCs w:val="24"/>
          <w:rtl/>
        </w:rPr>
        <w:t xml:space="preserve"> " كنـزولي هذا " فنسب إلى التجسيم اهـ. وهنا انتهى ما علقته على الموضع المذكور</w:t>
      </w:r>
      <w:r w:rsidR="00DB731D" w:rsidRPr="00A52585">
        <w:rPr>
          <w:rFonts w:hint="cs"/>
          <w:sz w:val="24"/>
          <w:szCs w:val="24"/>
          <w:rtl/>
        </w:rPr>
        <w:t>،</w:t>
      </w:r>
      <w:r w:rsidR="00777DCB" w:rsidRPr="00A52585">
        <w:rPr>
          <w:rFonts w:hint="cs"/>
          <w:sz w:val="24"/>
          <w:szCs w:val="24"/>
          <w:rtl/>
        </w:rPr>
        <w:t xml:space="preserve"> وأما ما زاد على ذلك وهو</w:t>
      </w:r>
      <w:r w:rsidRPr="00A52585">
        <w:rPr>
          <w:rFonts w:hint="cs"/>
          <w:sz w:val="24"/>
          <w:szCs w:val="24"/>
          <w:rtl/>
        </w:rPr>
        <w:t>:</w:t>
      </w:r>
      <w:r w:rsidR="00777DCB" w:rsidRPr="00A52585">
        <w:rPr>
          <w:rFonts w:hint="cs"/>
          <w:sz w:val="24"/>
          <w:szCs w:val="24"/>
          <w:rtl/>
        </w:rPr>
        <w:t xml:space="preserve"> "ويقول بعض علماء دمشق بأنه رأى هذه الخطبة في مخطوط قديم بزيادة (لا) قبل (كنـزولي) والله أعلم". فزيادة من الأستاذ الناشر اعتماداً على ما سمعه من الشيخ بدران </w:t>
      </w:r>
      <w:proofErr w:type="spellStart"/>
      <w:r w:rsidR="00777DCB" w:rsidRPr="00A52585">
        <w:rPr>
          <w:rFonts w:hint="cs"/>
          <w:sz w:val="24"/>
          <w:szCs w:val="24"/>
          <w:rtl/>
        </w:rPr>
        <w:t>الدوماني</w:t>
      </w:r>
      <w:proofErr w:type="spellEnd"/>
      <w:r w:rsidR="00777DCB" w:rsidRPr="00A52585">
        <w:rPr>
          <w:rFonts w:hint="cs"/>
          <w:sz w:val="24"/>
          <w:szCs w:val="24"/>
          <w:rtl/>
        </w:rPr>
        <w:t xml:space="preserve"> كأنه لم يكن يعرف مبلغ </w:t>
      </w:r>
      <w:proofErr w:type="spellStart"/>
      <w:r w:rsidR="00777DCB" w:rsidRPr="00A52585">
        <w:rPr>
          <w:rFonts w:hint="cs"/>
          <w:sz w:val="24"/>
          <w:szCs w:val="24"/>
          <w:rtl/>
        </w:rPr>
        <w:t>اجترائه</w:t>
      </w:r>
      <w:proofErr w:type="spellEnd"/>
      <w:r w:rsidR="00777DCB" w:rsidRPr="00A52585">
        <w:rPr>
          <w:rFonts w:hint="cs"/>
          <w:sz w:val="24"/>
          <w:szCs w:val="24"/>
          <w:rtl/>
        </w:rPr>
        <w:t xml:space="preserve"> على المجازفات وإرسال الكلام بدون ميزان</w:t>
      </w:r>
      <w:r w:rsidR="00DB731D" w:rsidRPr="00A52585">
        <w:rPr>
          <w:rFonts w:hint="cs"/>
          <w:sz w:val="24"/>
          <w:szCs w:val="24"/>
          <w:rtl/>
        </w:rPr>
        <w:t>،</w:t>
      </w:r>
      <w:r w:rsidR="00777DCB" w:rsidRPr="00A52585">
        <w:rPr>
          <w:rFonts w:hint="cs"/>
          <w:sz w:val="24"/>
          <w:szCs w:val="24"/>
          <w:rtl/>
        </w:rPr>
        <w:t xml:space="preserve"> ولم تكن الجماعة تعتقد أن نـزول الله كنـزول ابن تيمية حتى يكون لهذا الكلام معنى ما ولأجل ما زيد في كلامي هنا نكت الشيخ خضر الشنقيطي رحمه الله على في (استحالة المعية) وأنا برئ من تلك الزيادة، سامحه الله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6617D0E6" w14:textId="788B577E" w:rsidR="00777DCB" w:rsidRPr="00A52585" w:rsidRDefault="0002035C" w:rsidP="0002035C">
      <w:pPr>
        <w:spacing w:after="240"/>
        <w:rPr>
          <w:b/>
          <w:rtl/>
        </w:rPr>
      </w:pPr>
      <w:r w:rsidRPr="00A52585">
        <w:rPr>
          <w:rFonts w:hint="cs"/>
          <w:bCs/>
          <w:rtl/>
        </w:rPr>
        <w:t>[</w:t>
      </w:r>
      <w:r w:rsidR="00777DCB" w:rsidRPr="00A52585">
        <w:rPr>
          <w:rFonts w:hint="cs"/>
          <w:bCs/>
          <w:rtl/>
        </w:rPr>
        <w:t>قول أبي حيان في ابن تيمية</w:t>
      </w:r>
      <w:r w:rsidRPr="00A52585">
        <w:rPr>
          <w:rFonts w:hint="cs"/>
          <w:bCs/>
          <w:rtl/>
        </w:rPr>
        <w:t>]</w:t>
      </w:r>
      <w:r w:rsidRPr="00A52585">
        <w:rPr>
          <w:rFonts w:hint="cs"/>
          <w:rtl/>
        </w:rPr>
        <w:t>:</w:t>
      </w:r>
      <w:r w:rsidR="00777DCB" w:rsidRPr="00A52585">
        <w:rPr>
          <w:rFonts w:hint="cs"/>
          <w:rtl/>
        </w:rPr>
        <w:t xml:space="preserve"> المصنف المذكور هو كتاب العرش لابن تيمية</w:t>
      </w:r>
      <w:r w:rsidR="00DB731D" w:rsidRPr="00A52585">
        <w:rPr>
          <w:rFonts w:hint="cs"/>
          <w:rtl/>
        </w:rPr>
        <w:t>،</w:t>
      </w:r>
      <w:r w:rsidR="00777DCB" w:rsidRPr="00A52585">
        <w:rPr>
          <w:rFonts w:hint="cs"/>
          <w:rtl/>
        </w:rPr>
        <w:t xml:space="preserve"> وهو من أقبح كتبه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استتيب مرات في أمور خطرة وهو ينقض مواثيقه وعهوده في كل مرة وأوردت هنا صورة من صيغ </w:t>
      </w:r>
      <w:proofErr w:type="spellStart"/>
      <w:r w:rsidR="00777DCB" w:rsidRPr="00A52585">
        <w:rPr>
          <w:rFonts w:hint="cs"/>
          <w:sz w:val="24"/>
          <w:szCs w:val="24"/>
          <w:rtl/>
        </w:rPr>
        <w:t>استتابته</w:t>
      </w:r>
      <w:proofErr w:type="spellEnd"/>
      <w:r w:rsidR="00777DCB" w:rsidRPr="00A52585">
        <w:rPr>
          <w:rFonts w:hint="cs"/>
          <w:sz w:val="24"/>
          <w:szCs w:val="24"/>
          <w:rtl/>
        </w:rPr>
        <w:t xml:space="preserve"> كما هي مسجلة في (نجم المهتدي) لتكون عبرة للمعتبر وهي هذه</w:t>
      </w:r>
      <w:r w:rsidRPr="00A52585">
        <w:rPr>
          <w:rFonts w:hint="cs"/>
          <w:sz w:val="24"/>
          <w:szCs w:val="24"/>
          <w:rtl/>
        </w:rPr>
        <w:t>:</w:t>
      </w:r>
      <w:r w:rsidR="00777DCB" w:rsidRPr="00A52585">
        <w:rPr>
          <w:rFonts w:hint="cs"/>
          <w:sz w:val="24"/>
          <w:szCs w:val="24"/>
          <w:rtl/>
        </w:rPr>
        <w:t xml:space="preserve"> "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تعالى {</w:t>
      </w:r>
      <w:r w:rsidR="00777DCB" w:rsidRPr="00A52585">
        <w:rPr>
          <w:rFonts w:hint="cs"/>
          <w:bCs/>
          <w:sz w:val="24"/>
          <w:szCs w:val="24"/>
          <w:rtl/>
        </w:rPr>
        <w:t>الرحمن على العرش استوى</w:t>
      </w:r>
      <w:r w:rsidR="00777DCB" w:rsidRPr="00A52585">
        <w:rPr>
          <w:rFonts w:hint="cs"/>
          <w:sz w:val="24"/>
          <w:szCs w:val="24"/>
          <w:rtl/>
        </w:rPr>
        <w:t>} [طه</w:t>
      </w:r>
      <w:r w:rsidRPr="00A52585">
        <w:rPr>
          <w:rFonts w:hint="cs"/>
          <w:sz w:val="24"/>
          <w:szCs w:val="24"/>
          <w:rtl/>
        </w:rPr>
        <w:t>:</w:t>
      </w:r>
      <w:r w:rsidR="00777DCB" w:rsidRPr="00A52585">
        <w:rPr>
          <w:rFonts w:hint="cs"/>
          <w:sz w:val="24"/>
          <w:szCs w:val="24"/>
          <w:rtl/>
        </w:rPr>
        <w:t xml:space="preserve">5] أنه </w:t>
      </w:r>
      <w:r w:rsidR="00777DCB" w:rsidRPr="00A52585">
        <w:rPr>
          <w:rFonts w:hint="cs"/>
          <w:sz w:val="24"/>
          <w:szCs w:val="24"/>
          <w:rtl/>
        </w:rPr>
        <w:lastRenderedPageBreak/>
        <w:t>على ما قال الجماعة الحاضرون وليس على حقيقته وظاهره، ولا أعلم كنه المراد به، بل لا يعلم ذلك إلا الله، والقول في النـزول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 كتبه أحمد بن تيمية، وذلك يوم الخميس سادس شهر ربيع الآخر سنة سبع وسبعمائة</w:t>
      </w:r>
      <w:r w:rsidR="00DB731D" w:rsidRPr="00A52585">
        <w:rPr>
          <w:rFonts w:hint="cs"/>
          <w:sz w:val="24"/>
          <w:szCs w:val="24"/>
          <w:rtl/>
        </w:rPr>
        <w:t>،</w:t>
      </w:r>
      <w:r w:rsidR="00777DCB" w:rsidRPr="00A52585">
        <w:rPr>
          <w:rFonts w:hint="cs"/>
          <w:sz w:val="24"/>
          <w:szCs w:val="24"/>
          <w:rtl/>
        </w:rPr>
        <w:t xml:space="preserve"> وكل ما كتبته وقلته في هذه الورقة فأنا مختار في ذلك غير مكره، كتبه أحمد بن تيمية حسبنا الله ونعم الوكيل "</w:t>
      </w:r>
      <w:r w:rsidR="00DB731D" w:rsidRPr="00A52585">
        <w:rPr>
          <w:rFonts w:hint="cs"/>
          <w:sz w:val="24"/>
          <w:szCs w:val="24"/>
          <w:rtl/>
        </w:rPr>
        <w:t>،</w:t>
      </w:r>
      <w:r w:rsidR="00777DCB" w:rsidRPr="00A52585">
        <w:rPr>
          <w:rFonts w:hint="cs"/>
          <w:sz w:val="24"/>
          <w:szCs w:val="24"/>
          <w:rtl/>
        </w:rPr>
        <w:t xml:space="preserve"> وبأعلى ذلك بخط قاضي القضاة بدر الدين بن جماعة ما صورته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اعترف عندي بكل ما كتبه بخطه في التاريخ المذكور، كتبه محمد بن إبراهيم الشافعي</w:t>
      </w:r>
      <w:r w:rsidR="00DB731D" w:rsidRPr="00A52585">
        <w:rPr>
          <w:rFonts w:hint="cs"/>
          <w:sz w:val="24"/>
          <w:szCs w:val="24"/>
          <w:rtl/>
        </w:rPr>
        <w:t>،</w:t>
      </w:r>
      <w:r w:rsidR="00777DCB" w:rsidRPr="00A52585">
        <w:rPr>
          <w:rFonts w:hint="cs"/>
          <w:sz w:val="24"/>
          <w:szCs w:val="24"/>
          <w:rtl/>
        </w:rPr>
        <w:t xml:space="preserve"> وبحاشية الخط</w:t>
      </w:r>
      <w:r w:rsidRPr="00A52585">
        <w:rPr>
          <w:rFonts w:hint="cs"/>
          <w:sz w:val="24"/>
          <w:szCs w:val="24"/>
          <w:rtl/>
        </w:rPr>
        <w:t>:</w:t>
      </w:r>
      <w:r w:rsidR="00777DCB" w:rsidRPr="00A52585">
        <w:rPr>
          <w:rFonts w:hint="cs"/>
          <w:sz w:val="24"/>
          <w:szCs w:val="24"/>
          <w:rtl/>
        </w:rPr>
        <w:t xml:space="preserve"> اعترف بكل ما كتب بخطه، كتبه عبد الغني بن محمد الحنبلي، وبآخر خط ابن تيمية رسوم شهادات هذه صورتها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كتب المذكور بخطه أعلاه بحضوري واعترف بمضمونه، كتبه أحمد بن الرفعة</w:t>
      </w:r>
      <w:r w:rsidR="00DB731D" w:rsidRPr="00A52585">
        <w:rPr>
          <w:rFonts w:hint="cs"/>
          <w:sz w:val="24"/>
          <w:szCs w:val="24"/>
          <w:rtl/>
        </w:rPr>
        <w:t>،</w:t>
      </w:r>
      <w:r w:rsidR="00777DCB" w:rsidRPr="00A52585">
        <w:rPr>
          <w:rFonts w:hint="cs"/>
          <w:sz w:val="24"/>
          <w:szCs w:val="24"/>
          <w:rtl/>
        </w:rPr>
        <w:t xml:space="preserve"> صورة خط آخر</w:t>
      </w:r>
      <w:r w:rsidRPr="00A52585">
        <w:rPr>
          <w:rFonts w:hint="cs"/>
          <w:sz w:val="24"/>
          <w:szCs w:val="24"/>
          <w:rtl/>
        </w:rPr>
        <w:t>:</w:t>
      </w:r>
      <w:r w:rsidR="00777DCB" w:rsidRPr="00A52585">
        <w:rPr>
          <w:rFonts w:hint="cs"/>
          <w:sz w:val="24"/>
          <w:szCs w:val="24"/>
          <w:rtl/>
        </w:rPr>
        <w:t xml:space="preserve"> أقر بذلك، كتبه عبد العزيز </w:t>
      </w:r>
      <w:proofErr w:type="spellStart"/>
      <w:r w:rsidR="00777DCB" w:rsidRPr="00A52585">
        <w:rPr>
          <w:rFonts w:hint="cs"/>
          <w:sz w:val="24"/>
          <w:szCs w:val="24"/>
          <w:rtl/>
        </w:rPr>
        <w:t>النمراوي</w:t>
      </w:r>
      <w:proofErr w:type="spellEnd"/>
      <w:r w:rsidR="00DB731D" w:rsidRPr="00A52585">
        <w:rPr>
          <w:rFonts w:hint="cs"/>
          <w:sz w:val="24"/>
          <w:szCs w:val="24"/>
          <w:rtl/>
        </w:rPr>
        <w:t>،</w:t>
      </w:r>
      <w:r w:rsidR="00777DCB" w:rsidRPr="00A52585">
        <w:rPr>
          <w:rFonts w:hint="cs"/>
          <w:sz w:val="24"/>
          <w:szCs w:val="24"/>
          <w:rtl/>
        </w:rPr>
        <w:t xml:space="preserve"> صورة خط آخر</w:t>
      </w:r>
      <w:r w:rsidRPr="00A52585">
        <w:rPr>
          <w:rFonts w:hint="cs"/>
          <w:sz w:val="24"/>
          <w:szCs w:val="24"/>
          <w:rtl/>
        </w:rPr>
        <w:t>:</w:t>
      </w:r>
      <w:r w:rsidR="00777DCB" w:rsidRPr="00A52585">
        <w:rPr>
          <w:rFonts w:hint="cs"/>
          <w:sz w:val="24"/>
          <w:szCs w:val="24"/>
          <w:rtl/>
        </w:rPr>
        <w:t xml:space="preserve"> أقر بذلك كله بتاريخه، على بن محمد بن خطاب الباجي الشافعي</w:t>
      </w:r>
      <w:r w:rsidR="00DB731D" w:rsidRPr="00A52585">
        <w:rPr>
          <w:rFonts w:hint="cs"/>
          <w:sz w:val="24"/>
          <w:szCs w:val="24"/>
          <w:rtl/>
        </w:rPr>
        <w:t>،</w:t>
      </w:r>
      <w:r w:rsidR="00777DCB" w:rsidRPr="00A52585">
        <w:rPr>
          <w:rFonts w:hint="cs"/>
          <w:sz w:val="24"/>
          <w:szCs w:val="24"/>
          <w:rtl/>
        </w:rPr>
        <w:t xml:space="preserve"> صورة خط آخر</w:t>
      </w:r>
      <w:r w:rsidRPr="00A52585">
        <w:rPr>
          <w:rFonts w:hint="cs"/>
          <w:sz w:val="24"/>
          <w:szCs w:val="24"/>
          <w:rtl/>
        </w:rPr>
        <w:t>:</w:t>
      </w:r>
      <w:r w:rsidR="00777DCB" w:rsidRPr="00A52585">
        <w:rPr>
          <w:rFonts w:hint="cs"/>
          <w:sz w:val="24"/>
          <w:szCs w:val="24"/>
          <w:rtl/>
        </w:rPr>
        <w:t xml:space="preserve"> جرى ذلك بحضوري في تاريخه، كتبه الحسن بن أحمد بن محمد الحسيني</w:t>
      </w:r>
      <w:r w:rsidR="00DB731D" w:rsidRPr="00A52585">
        <w:rPr>
          <w:rFonts w:hint="cs"/>
          <w:sz w:val="24"/>
          <w:szCs w:val="24"/>
          <w:rtl/>
        </w:rPr>
        <w:t>،</w:t>
      </w:r>
      <w:r w:rsidR="00777DCB" w:rsidRPr="00A52585">
        <w:rPr>
          <w:rFonts w:hint="cs"/>
          <w:sz w:val="24"/>
          <w:szCs w:val="24"/>
          <w:rtl/>
        </w:rPr>
        <w:t xml:space="preserve"> وبالحاشية أيضاً ما مثاله</w:t>
      </w:r>
      <w:r w:rsidRPr="00A52585">
        <w:rPr>
          <w:rFonts w:hint="cs"/>
          <w:sz w:val="24"/>
          <w:szCs w:val="24"/>
          <w:rtl/>
        </w:rPr>
        <w:t>:</w:t>
      </w:r>
      <w:r w:rsidR="00777DCB" w:rsidRPr="00A52585">
        <w:rPr>
          <w:rFonts w:hint="cs"/>
          <w:sz w:val="24"/>
          <w:szCs w:val="24"/>
          <w:rtl/>
        </w:rPr>
        <w:t xml:space="preserve"> كتب المذكور أعلاه بخطه واعترف به، كتبه عبد الله بن جماعة</w:t>
      </w:r>
      <w:r w:rsidR="00DB731D" w:rsidRPr="00A52585">
        <w:rPr>
          <w:rFonts w:hint="cs"/>
          <w:sz w:val="24"/>
          <w:szCs w:val="24"/>
          <w:rtl/>
        </w:rPr>
        <w:t>،</w:t>
      </w:r>
      <w:r w:rsidR="00777DCB" w:rsidRPr="00A52585">
        <w:rPr>
          <w:rFonts w:hint="cs"/>
          <w:sz w:val="24"/>
          <w:szCs w:val="24"/>
          <w:rtl/>
        </w:rPr>
        <w:t xml:space="preserve"> مثال آخر</w:t>
      </w:r>
      <w:r w:rsidRPr="00A52585">
        <w:rPr>
          <w:rFonts w:hint="cs"/>
          <w:sz w:val="24"/>
          <w:szCs w:val="24"/>
          <w:rtl/>
        </w:rPr>
        <w:t>:</w:t>
      </w:r>
      <w:r w:rsidR="00777DCB" w:rsidRPr="00A52585">
        <w:rPr>
          <w:rFonts w:hint="cs"/>
          <w:sz w:val="24"/>
          <w:szCs w:val="24"/>
          <w:rtl/>
        </w:rPr>
        <w:t xml:space="preserve"> أقر بذلك وكتبه بحضوري، محمد بن عثمان </w:t>
      </w:r>
      <w:proofErr w:type="spellStart"/>
      <w:r w:rsidR="00777DCB" w:rsidRPr="00A52585">
        <w:rPr>
          <w:rFonts w:hint="cs"/>
          <w:sz w:val="24"/>
          <w:szCs w:val="24"/>
          <w:rtl/>
        </w:rPr>
        <w:t>البوريجي</w:t>
      </w:r>
      <w:proofErr w:type="spellEnd"/>
      <w:r w:rsidR="00DB731D" w:rsidRPr="00A52585">
        <w:rPr>
          <w:rFonts w:hint="cs"/>
          <w:sz w:val="24"/>
          <w:szCs w:val="24"/>
          <w:rtl/>
        </w:rPr>
        <w:t>،</w:t>
      </w:r>
      <w:r w:rsidR="00777DCB" w:rsidRPr="00A52585">
        <w:rPr>
          <w:rFonts w:hint="cs"/>
          <w:sz w:val="24"/>
          <w:szCs w:val="24"/>
          <w:rtl/>
        </w:rPr>
        <w:t xml:space="preserve"> وكل هؤلاء من كبار أهل العلم في ذلك العصر، وابن الرفعة وحده له (المطلب العالي في شرح وسيط الغزالي) في أربعين مجلداً وفي ذلك عبر</w:t>
      </w:r>
      <w:r w:rsidR="00DB731D" w:rsidRPr="00A52585">
        <w:rPr>
          <w:rFonts w:hint="cs"/>
          <w:sz w:val="24"/>
          <w:szCs w:val="24"/>
          <w:rtl/>
        </w:rPr>
        <w:t>،</w:t>
      </w:r>
      <w:r w:rsidR="00777DCB" w:rsidRPr="00A52585">
        <w:rPr>
          <w:rFonts w:hint="cs"/>
          <w:sz w:val="24"/>
          <w:szCs w:val="24"/>
          <w:rtl/>
        </w:rPr>
        <w:t xml:space="preserve"> ولولا أن ابن تيمية كان يدعو العامة إلى اعتقاد ضد ما في صيغة </w:t>
      </w:r>
      <w:proofErr w:type="spellStart"/>
      <w:r w:rsidR="00777DCB" w:rsidRPr="00A52585">
        <w:rPr>
          <w:rFonts w:hint="cs"/>
          <w:sz w:val="24"/>
          <w:szCs w:val="24"/>
          <w:rtl/>
        </w:rPr>
        <w:t>الاستتابة</w:t>
      </w:r>
      <w:proofErr w:type="spellEnd"/>
      <w:r w:rsidR="00777DCB" w:rsidRPr="00A52585">
        <w:rPr>
          <w:rFonts w:hint="cs"/>
          <w:sz w:val="24"/>
          <w:szCs w:val="24"/>
          <w:rtl/>
        </w:rPr>
        <w:t xml:space="preserve"> هذه بكل ما أوتي من حول وحيلة لما </w:t>
      </w:r>
      <w:proofErr w:type="spellStart"/>
      <w:r w:rsidR="00777DCB" w:rsidRPr="00A52585">
        <w:rPr>
          <w:rFonts w:hint="cs"/>
          <w:sz w:val="24"/>
          <w:szCs w:val="24"/>
          <w:rtl/>
        </w:rPr>
        <w:t>استتابه</w:t>
      </w:r>
      <w:proofErr w:type="spellEnd"/>
      <w:r w:rsidR="00777DCB" w:rsidRPr="00A52585">
        <w:rPr>
          <w:rFonts w:hint="cs"/>
          <w:sz w:val="24"/>
          <w:szCs w:val="24"/>
          <w:rtl/>
        </w:rPr>
        <w:t xml:space="preserve"> أهل العلم بتلك الصيغة وما اقترحوا عليه أن يكتب بخطه ما يؤاخذ به إن لم يقف عند شرطه، وبعد أن كتب تلك الصيغة بخطه توج خطه قاضي القضاة البدر ابن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هي عادة أئمة الضلال، وعاد إلى دعوته الضالة ورجع إلى عادته القديمة في الإضلال وكم له من فتن في مختلف التواريخ في سني 698، 705، 718، 721،722، 726 وهي مدونة في كتب التواريخ وفي كتب خاصة، ومجرد تصور </w:t>
      </w:r>
      <w:proofErr w:type="spellStart"/>
      <w:r w:rsidR="00777DCB" w:rsidRPr="00A52585">
        <w:rPr>
          <w:rFonts w:hint="cs"/>
          <w:sz w:val="24"/>
          <w:szCs w:val="24"/>
          <w:rtl/>
        </w:rPr>
        <w:t>شواذه</w:t>
      </w:r>
      <w:proofErr w:type="spellEnd"/>
      <w:r w:rsidR="00777DCB" w:rsidRPr="00A52585">
        <w:rPr>
          <w:rFonts w:hint="cs"/>
          <w:sz w:val="24"/>
          <w:szCs w:val="24"/>
          <w:rtl/>
        </w:rPr>
        <w:t xml:space="preserve"> التي ألممنا ببعضها في هذا الكتاب يدل المسترشد المنصف على ما ينطوي عليه من الزيغ وإضلال الأمة، والله سبحانه ينتقم منه</w:t>
      </w:r>
      <w:r w:rsidR="00DB731D" w:rsidRPr="00A52585">
        <w:rPr>
          <w:rFonts w:hint="cs"/>
          <w:sz w:val="24"/>
          <w:szCs w:val="24"/>
          <w:rtl/>
        </w:rPr>
        <w:t>،</w:t>
      </w:r>
      <w:r w:rsidR="00777DCB" w:rsidRPr="00A52585">
        <w:rPr>
          <w:rFonts w:hint="cs"/>
          <w:sz w:val="24"/>
          <w:szCs w:val="24"/>
          <w:rtl/>
        </w:rPr>
        <w:t xml:space="preserve"> والغريب أن أتباع هذا الرجل يسيرون وراءه ويتشبهون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نـراهم بأعيننا ونسمعهم بآذاننا، طهر الله الأرض منهم وأراح العباد من شرهم]</w:t>
      </w:r>
      <w:r w:rsidR="00DB731D" w:rsidRPr="00A52585">
        <w:rPr>
          <w:rFonts w:hint="cs"/>
          <w:rtl/>
        </w:rPr>
        <w:t>،</w:t>
      </w:r>
      <w:r w:rsidR="00777DCB" w:rsidRPr="00A52585">
        <w:rPr>
          <w:rFonts w:hint="cs"/>
          <w:rtl/>
        </w:rPr>
        <w:t xml:space="preserve"> ولما وقف عليه الشيخ أبو حيان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أبو حيان الأندلسي الحافظ في تفسير قوله تعالى {وسع كرسيه السموات والأرض} [البقرة</w:t>
      </w:r>
      <w:r w:rsidRPr="00A52585">
        <w:rPr>
          <w:rFonts w:hint="cs"/>
          <w:sz w:val="24"/>
          <w:szCs w:val="24"/>
          <w:rtl/>
        </w:rPr>
        <w:t>:</w:t>
      </w:r>
      <w:r w:rsidR="00777DCB" w:rsidRPr="00A52585">
        <w:rPr>
          <w:rFonts w:hint="cs"/>
          <w:sz w:val="24"/>
          <w:szCs w:val="24"/>
          <w:rtl/>
        </w:rPr>
        <w:t xml:space="preserve"> 255]</w:t>
      </w:r>
      <w:r w:rsidRPr="00A52585">
        <w:rPr>
          <w:rFonts w:hint="cs"/>
          <w:sz w:val="24"/>
          <w:szCs w:val="24"/>
          <w:rtl/>
        </w:rPr>
        <w:t>:</w:t>
      </w:r>
      <w:r w:rsidR="00777DCB" w:rsidRPr="00A52585">
        <w:rPr>
          <w:rFonts w:hint="cs"/>
          <w:sz w:val="24"/>
          <w:szCs w:val="24"/>
          <w:rtl/>
        </w:rPr>
        <w:t xml:space="preserve"> "وقد قرأت في كتاب لأحمد بن تيمية هذا الذي عاصرناه وهو بخطه سماه كتاب العرش</w:t>
      </w:r>
      <w:r w:rsidRPr="00A52585">
        <w:rPr>
          <w:rFonts w:hint="cs"/>
          <w:sz w:val="24"/>
          <w:szCs w:val="24"/>
          <w:rtl/>
        </w:rPr>
        <w:t>:</w:t>
      </w:r>
      <w:r w:rsidR="00777DCB" w:rsidRPr="00A52585">
        <w:rPr>
          <w:rFonts w:hint="cs"/>
          <w:sz w:val="24"/>
          <w:szCs w:val="24"/>
          <w:rtl/>
        </w:rPr>
        <w:t xml:space="preserve"> "إن الله يجلس على الكرسي وقد أخلى مكانا يقعد معه فيه رسول </w:t>
      </w:r>
      <w:proofErr w:type="spellStart"/>
      <w:r w:rsidR="00777DCB" w:rsidRPr="00A52585">
        <w:rPr>
          <w:rFonts w:hint="cs"/>
          <w:sz w:val="24"/>
          <w:szCs w:val="24"/>
          <w:rtl/>
        </w:rPr>
        <w:t>اللهصلى</w:t>
      </w:r>
      <w:proofErr w:type="spellEnd"/>
      <w:r w:rsidR="00777DCB" w:rsidRPr="00A52585">
        <w:rPr>
          <w:rFonts w:hint="cs"/>
          <w:sz w:val="24"/>
          <w:szCs w:val="24"/>
          <w:rtl/>
        </w:rPr>
        <w:t xml:space="preserve"> الله عليه وسلم"، تحيَّل عليه محمد بن عبد الحق وكان من تحيله أنه أظهر أنه داعية له حتى أخذ منه الكتاب وقرأنا ذلك فيه"</w:t>
      </w:r>
      <w:r w:rsidR="00DB731D" w:rsidRPr="00A52585">
        <w:rPr>
          <w:rFonts w:hint="cs"/>
          <w:sz w:val="24"/>
          <w:szCs w:val="24"/>
          <w:rtl/>
        </w:rPr>
        <w:t>،</w:t>
      </w:r>
      <w:r w:rsidR="00777DCB" w:rsidRPr="00A52585">
        <w:rPr>
          <w:rFonts w:hint="cs"/>
          <w:sz w:val="24"/>
          <w:szCs w:val="24"/>
          <w:rtl/>
        </w:rPr>
        <w:t xml:space="preserve"> كما ترى في النسخ المخطوطة من تفسير أبي حيان؛ وليست هذه الجملة بموجودة في تفسير البحر المطبوع، وقد أخبرني مصحح طبعه بمطبعة السعادة أنه </w:t>
      </w:r>
      <w:proofErr w:type="spellStart"/>
      <w:r w:rsidR="00777DCB" w:rsidRPr="00A52585">
        <w:rPr>
          <w:rFonts w:hint="cs"/>
          <w:sz w:val="24"/>
          <w:szCs w:val="24"/>
          <w:rtl/>
        </w:rPr>
        <w:t>استفظعها</w:t>
      </w:r>
      <w:proofErr w:type="spellEnd"/>
      <w:r w:rsidR="00777DCB" w:rsidRPr="00A52585">
        <w:rPr>
          <w:rFonts w:hint="cs"/>
          <w:sz w:val="24"/>
          <w:szCs w:val="24"/>
          <w:rtl/>
        </w:rPr>
        <w:t xml:space="preserve"> جداً </w:t>
      </w:r>
      <w:r w:rsidR="00777DCB" w:rsidRPr="00A52585">
        <w:rPr>
          <w:rFonts w:hint="cs"/>
          <w:sz w:val="24"/>
          <w:szCs w:val="24"/>
          <w:rtl/>
        </w:rPr>
        <w:lastRenderedPageBreak/>
        <w:t>وأكبر أن ينسب مثلها إلى مسلم، فحذفها عند الطبع لئلا يستغلها أعداء الدين، ورجاني أن أسجل ذلك هنا استدراكاً لما كان منه ونصيحة للمسلمين</w:t>
      </w:r>
      <w:r w:rsidR="00DB731D" w:rsidRPr="00A52585">
        <w:rPr>
          <w:rFonts w:hint="cs"/>
          <w:sz w:val="24"/>
          <w:szCs w:val="24"/>
          <w:rtl/>
        </w:rPr>
        <w:t>،</w:t>
      </w:r>
      <w:r w:rsidR="00777DCB" w:rsidRPr="00A52585">
        <w:rPr>
          <w:rFonts w:hint="cs"/>
          <w:sz w:val="24"/>
          <w:szCs w:val="24"/>
          <w:rtl/>
        </w:rPr>
        <w:t xml:space="preserve"> وقد علمت العواتق في خدورهن حكاية هجر أبي حيان لابن تيمية لهذا السبب بعد أن كان تسرع في إطرائه، وإطراؤه مدون في (الدر الوافر) لابن ناصر الدين الدمشقي، وأما تقول بعض المداهنين بأنه إنما كان هجره لوقوعه في سيبويه حيث قال</w:t>
      </w:r>
      <w:r w:rsidRPr="00A52585">
        <w:rPr>
          <w:rFonts w:hint="cs"/>
          <w:sz w:val="24"/>
          <w:szCs w:val="24"/>
          <w:rtl/>
        </w:rPr>
        <w:t>:</w:t>
      </w:r>
      <w:r w:rsidR="00777DCB" w:rsidRPr="00A52585">
        <w:rPr>
          <w:rFonts w:hint="cs"/>
          <w:sz w:val="24"/>
          <w:szCs w:val="24"/>
          <w:rtl/>
        </w:rPr>
        <w:t xml:space="preserve"> أكان سيبويه نبي النحو وقد غلط في كيت وكيت، فرجمٌ بالغيب أمام تصريح أبي حيان صاحب القصة</w:t>
      </w:r>
      <w:r w:rsidR="00DB731D" w:rsidRPr="00A52585">
        <w:rPr>
          <w:rFonts w:hint="cs"/>
          <w:sz w:val="24"/>
          <w:szCs w:val="24"/>
          <w:rtl/>
        </w:rPr>
        <w:t>،</w:t>
      </w:r>
      <w:r w:rsidR="00777DCB" w:rsidRPr="00A52585">
        <w:rPr>
          <w:rFonts w:hint="cs"/>
          <w:sz w:val="24"/>
          <w:szCs w:val="24"/>
          <w:rtl/>
        </w:rPr>
        <w:t xml:space="preserve"> نعم هذا تهور وقلة أدب من ابن تيمية، وما هي قيمة نحوه في جانب استبحار سيبويه وأبي حيان في النحو، وإن كان لكل]</w:t>
      </w:r>
      <w:r w:rsidR="00777DCB" w:rsidRPr="00A52585">
        <w:rPr>
          <w:rFonts w:hint="cs"/>
          <w:rtl/>
        </w:rPr>
        <w:t xml:space="preserve"> ما زال يلعنه حتى مات بعد أن كان يعظمه.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منا استوى في سبع آيات بغير لام ولو كانت بمعنى استولى لجاءت في موضع</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ويقال لهذا المتعلم بل لو كان (استوى) بمعنى (جلس) لأتى لفظ (جلس) في أحد المواضع السبعة</w:t>
      </w:r>
      <w:r w:rsidR="00DB731D" w:rsidRPr="00A52585">
        <w:rPr>
          <w:rFonts w:hint="cs"/>
          <w:sz w:val="24"/>
          <w:szCs w:val="24"/>
          <w:rtl/>
        </w:rPr>
        <w:t>،</w:t>
      </w:r>
      <w:r w:rsidR="00777DCB" w:rsidRPr="00A52585">
        <w:rPr>
          <w:rFonts w:hint="cs"/>
          <w:sz w:val="24"/>
          <w:szCs w:val="24"/>
          <w:rtl/>
        </w:rPr>
        <w:t xml:space="preserve"> ومما يقصر المسافة في الرد على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التي تدعى التمسك بالظاهر أن قوله تعالى</w:t>
      </w:r>
      <w:r w:rsidRPr="00A52585">
        <w:rPr>
          <w:rFonts w:hint="cs"/>
          <w:sz w:val="24"/>
          <w:szCs w:val="24"/>
          <w:rtl/>
        </w:rPr>
        <w:t>:</w:t>
      </w:r>
      <w:r w:rsidR="00777DCB" w:rsidRPr="00A52585">
        <w:rPr>
          <w:rFonts w:hint="cs"/>
          <w:sz w:val="24"/>
          <w:szCs w:val="24"/>
          <w:rtl/>
        </w:rPr>
        <w:t xml:space="preserve"> {ثم استوى} [الأعراف</w:t>
      </w:r>
      <w:r w:rsidRPr="00A52585">
        <w:rPr>
          <w:rFonts w:hint="cs"/>
          <w:sz w:val="24"/>
          <w:szCs w:val="24"/>
          <w:rtl/>
        </w:rPr>
        <w:t>:</w:t>
      </w:r>
      <w:r w:rsidR="00777DCB" w:rsidRPr="00A52585">
        <w:rPr>
          <w:rFonts w:hint="cs"/>
          <w:sz w:val="24"/>
          <w:szCs w:val="24"/>
          <w:rtl/>
        </w:rPr>
        <w:t xml:space="preserve"> 53] صيغة فعل مقرونة بما يدل على التراخي، وذلك يدل على أن الاستواء فعل له تعالى متقيد بالزمن وبالتراخي شأن سائر الأفعال وعد ذلك صفة إخراج للكلام عن ظاهره وهذا ظاهر جداً، ولم يرد (المستوي) في عداد أسماء الله الحسنى لا في الكتاب ولا في السنة حتى يصح إطلاقه على الذات العلية على أن يكون صفة أو علماً</w:t>
      </w:r>
      <w:r w:rsidR="00DB731D" w:rsidRPr="00A52585">
        <w:rPr>
          <w:rFonts w:hint="cs"/>
          <w:sz w:val="24"/>
          <w:szCs w:val="24"/>
          <w:rtl/>
        </w:rPr>
        <w:t>،</w:t>
      </w:r>
      <w:r w:rsidR="00777DCB" w:rsidRPr="00A52585">
        <w:rPr>
          <w:rFonts w:hint="cs"/>
          <w:sz w:val="24"/>
          <w:szCs w:val="24"/>
          <w:rtl/>
        </w:rPr>
        <w:t xml:space="preserve"> وقد أجمعت الأمة على أن الله تعالى لا تحدث له صفة فلا مجال لعد ذلك صفة، وقد ذكرتُ وجه حسن الاستعارة التمثيلية في الآية (في لفت اللحظ إلى ما في الاختلاف في اللفظ) ولعل القارئ المنصف يكاد يعد ذلك متعيناً ولا حاجة إلى إعادة من هناك، فليراجع ثمت]</w:t>
      </w:r>
      <w:r w:rsidR="00777DCB" w:rsidRPr="00A52585">
        <w:rPr>
          <w:rFonts w:hint="cs"/>
          <w:rtl/>
        </w:rPr>
        <w:t xml:space="preserve"> وهذا الذي قاله ليس بلازم فالمجاز قد يطرد وحسنه أن لفظ استوى أعذب وأخصر وليس هذا من الاطراد الذي يجعله بعض الأصوليين من علامة الحقيقة</w:t>
      </w:r>
      <w:r w:rsidR="00DB731D" w:rsidRPr="00A52585">
        <w:rPr>
          <w:rFonts w:hint="cs"/>
          <w:rtl/>
        </w:rPr>
        <w:t>،</w:t>
      </w:r>
      <w:r w:rsidR="00777DCB" w:rsidRPr="00A52585">
        <w:rPr>
          <w:rFonts w:hint="cs"/>
          <w:rtl/>
        </w:rPr>
        <w:t xml:space="preserve"> فإن ذلك هو الاطراد في جميع موارد الاستعمال والذي حصل هنا اطراد استعمالها في آيات فأين أحدهما من الآخر</w:t>
      </w:r>
      <w:r w:rsidR="00F95886" w:rsidRPr="00A52585">
        <w:rPr>
          <w:rFonts w:hint="cs"/>
          <w:rtl/>
        </w:rPr>
        <w:t>؟</w:t>
      </w:r>
      <w:r w:rsidR="00777DCB" w:rsidRPr="00A52585">
        <w:rPr>
          <w:rFonts w:hint="cs"/>
          <w:rtl/>
        </w:rPr>
        <w:t>! ثم إن استوى وزنه افتعل فالسين فيه أصلية واستولى وزنه استفعل فالسين فيه زائدة ومعناه من الولاية فهما مادتان متغايرتان في اللفظ والمعنى</w:t>
      </w:r>
      <w:r w:rsidR="00DB731D" w:rsidRPr="00A52585">
        <w:rPr>
          <w:rFonts w:hint="cs"/>
          <w:rtl/>
        </w:rPr>
        <w:t>،</w:t>
      </w:r>
      <w:r w:rsidR="00777DCB" w:rsidRPr="00A52585">
        <w:rPr>
          <w:rFonts w:hint="cs"/>
          <w:rtl/>
        </w:rPr>
        <w:t xml:space="preserve"> والاستيلاء قد يكون بحق وقد يكون بباطل والاستواء لا يكون إلا بحق؛ والاستواء صفة للمستوي في نفسه بالكمال والاعتدال</w:t>
      </w:r>
      <w:r w:rsidR="00DB731D" w:rsidRPr="00A52585">
        <w:rPr>
          <w:rFonts w:hint="cs"/>
          <w:rtl/>
        </w:rPr>
        <w:t>،</w:t>
      </w:r>
      <w:r w:rsidR="00777DCB" w:rsidRPr="00A52585">
        <w:rPr>
          <w:rFonts w:hint="cs"/>
          <w:rtl/>
        </w:rPr>
        <w:t xml:space="preserve"> والاستيلاء صفة متعدية إلى غيره فلا يصح أن يقال استولى حتى يقول على كذا</w:t>
      </w:r>
      <w:r w:rsidR="00DB731D" w:rsidRPr="00A52585">
        <w:rPr>
          <w:rFonts w:hint="cs"/>
          <w:rtl/>
        </w:rPr>
        <w:t>،</w:t>
      </w:r>
      <w:r w:rsidR="00777DCB" w:rsidRPr="00A52585">
        <w:rPr>
          <w:rFonts w:hint="cs"/>
          <w:rtl/>
        </w:rPr>
        <w:t xml:space="preserve"> ويصح أن يقول استوى ويتم الكلام. فلو قال استولى لم يحصل المقصود</w:t>
      </w:r>
      <w:r w:rsidR="00DB731D" w:rsidRPr="00A52585">
        <w:rPr>
          <w:rFonts w:hint="cs"/>
          <w:rtl/>
        </w:rPr>
        <w:t>،</w:t>
      </w:r>
      <w:r w:rsidR="00777DCB" w:rsidRPr="00A52585">
        <w:rPr>
          <w:rFonts w:hint="cs"/>
          <w:rtl/>
        </w:rPr>
        <w:t xml:space="preserve"> ومراد المتكلم الذي يفسر الاستواء بالاستيلاء التنبيه على صرف اللفظ عن الظاهر الموهم للتشبيه واللفظ المجاز لو عبر عنه باللفظ الحقيقي لاختل المعنى؛ وقد يريد المتكلم أن الاستواء من صفات الأفعال كالاستيلاء </w:t>
      </w:r>
      <w:proofErr w:type="spellStart"/>
      <w:r w:rsidR="00777DCB" w:rsidRPr="00A52585">
        <w:rPr>
          <w:rFonts w:hint="cs"/>
          <w:rtl/>
        </w:rPr>
        <w:t>المتمحض</w:t>
      </w:r>
      <w:proofErr w:type="spellEnd"/>
      <w:r w:rsidR="00777DCB" w:rsidRPr="00A52585">
        <w:rPr>
          <w:rFonts w:hint="cs"/>
          <w:rtl/>
        </w:rPr>
        <w:t xml:space="preserve"> للفعل من كل وجه ويكون السبب في لفظ الاستواء عذوبتها واختصارها فقط دون ما ذكرناه؛ ولكن ما ذكرناه أحسن وأمكن مع مراعاة معنى الاستيلاء. وانظر قول الشاعر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قد استوى قيس على العراق</w:t>
      </w:r>
      <w:r w:rsidR="00897A24" w:rsidRPr="00A52585">
        <w:rPr>
          <w:rFonts w:hint="cs"/>
          <w:rtl/>
        </w:rPr>
        <w:t>.</w:t>
      </w:r>
      <w:r w:rsidR="00777DCB" w:rsidRPr="00A52585">
        <w:rPr>
          <w:rFonts w:hint="cs"/>
          <w:rtl/>
        </w:rPr>
        <w:t>. من غير سيف ودم مهراق</w:t>
      </w:r>
      <w:r w:rsidRPr="00A52585">
        <w:rPr>
          <w:rFonts w:hint="cs"/>
          <w:rtl/>
        </w:rPr>
        <w:t>)</w:t>
      </w:r>
      <w:r w:rsidR="00DB731D" w:rsidRPr="00A52585">
        <w:rPr>
          <w:rFonts w:hint="cs"/>
          <w:rtl/>
        </w:rPr>
        <w:t>،</w:t>
      </w:r>
      <w:r w:rsidR="00777DCB" w:rsidRPr="00A52585">
        <w:rPr>
          <w:rFonts w:hint="cs"/>
          <w:rtl/>
        </w:rPr>
        <w:t xml:space="preserve"> ولو أتى بالاستيلاء لم يكن له هذه الطلاوة والحسن</w:t>
      </w:r>
      <w:r w:rsidR="00DB731D" w:rsidRPr="00A52585">
        <w:rPr>
          <w:rFonts w:hint="cs"/>
          <w:rtl/>
        </w:rPr>
        <w:t>،</w:t>
      </w:r>
      <w:r w:rsidR="00777DCB" w:rsidRPr="00A52585">
        <w:rPr>
          <w:rFonts w:hint="cs"/>
          <w:rtl/>
        </w:rPr>
        <w:t xml:space="preserve"> والمراد بالاستواء كمال الملك هو مراد القائلين بالاستيلاء</w:t>
      </w:r>
      <w:r w:rsidR="00DB731D" w:rsidRPr="00A52585">
        <w:rPr>
          <w:rFonts w:hint="cs"/>
          <w:rtl/>
        </w:rPr>
        <w:t>،</w:t>
      </w:r>
      <w:r w:rsidR="00777DCB" w:rsidRPr="00A52585">
        <w:rPr>
          <w:rFonts w:hint="cs"/>
          <w:rtl/>
        </w:rPr>
        <w:t xml:space="preserve"> ولفظ الاستيلاء قاصر عن تأدية هذا المعنى</w:t>
      </w:r>
      <w:r w:rsidR="00DB731D" w:rsidRPr="00A52585">
        <w:rPr>
          <w:rFonts w:hint="cs"/>
          <w:rtl/>
        </w:rPr>
        <w:t>،</w:t>
      </w:r>
      <w:r w:rsidR="00777DCB" w:rsidRPr="00A52585">
        <w:rPr>
          <w:rFonts w:hint="cs"/>
          <w:rtl/>
        </w:rPr>
        <w:t xml:space="preserve"> فالاستواء في اللغة له معنيان أحدهما </w:t>
      </w:r>
      <w:r w:rsidR="00777DCB" w:rsidRPr="00A52585">
        <w:rPr>
          <w:rFonts w:hint="cs"/>
          <w:rtl/>
        </w:rPr>
        <w:lastRenderedPageBreak/>
        <w:t>استيلاء بحق وكمال فيفيد ثلاثة معان ولفظ الاستيلاء لا يفيد إلا معنى واحداً. فإذا قال المتكلم في تفسير الاستواء الاستيلاء مراده المعاني الثلاثة وهو أكر يمكن في حق الله سبحانه وتعالى فالمقدم على هذا التأويل لم يرتكب محذوراً ولا وصف الله تعالى بما لا يجوز عليه والمفروض المنـزه لا يقدم على التفسير بذلك لاحتمال أن يكون المراد خلافه وقصور أفهامنا عن وصف الحق سبحانه وتعالى مع تنـزيهه عن صفات الأجسام قطعاً. والمعنى الثاني للاستيلاء في اللغة الجلوس والقعود</w:t>
      </w:r>
      <w:r w:rsidR="00DB731D" w:rsidRPr="00A52585">
        <w:rPr>
          <w:rFonts w:hint="cs"/>
          <w:rtl/>
        </w:rPr>
        <w:t>،</w:t>
      </w:r>
      <w:r w:rsidR="00777DCB" w:rsidRPr="00A52585">
        <w:rPr>
          <w:rFonts w:hint="cs"/>
          <w:rtl/>
        </w:rPr>
        <w:t xml:space="preserve"> ومعناه مفهوم من صفات الأجسام لا يعقل منه في اللغة غير ذلك والله تعالى منـزه عنها</w:t>
      </w:r>
      <w:r w:rsidR="00DB731D" w:rsidRPr="00A52585">
        <w:rPr>
          <w:rFonts w:hint="cs"/>
          <w:rtl/>
        </w:rPr>
        <w:t>،</w:t>
      </w:r>
      <w:r w:rsidR="00777DCB" w:rsidRPr="00A52585">
        <w:rPr>
          <w:rFonts w:hint="cs"/>
          <w:rtl/>
        </w:rPr>
        <w:t xml:space="preserve"> ومن أطلق القعود وقال إنه لم يرد صفات الأجسام قال شيئاً لم تشهد به اللغة فيكون باطلا وهو كالمقر </w:t>
      </w:r>
      <w:proofErr w:type="spellStart"/>
      <w:r w:rsidR="00777DCB" w:rsidRPr="00A52585">
        <w:rPr>
          <w:rFonts w:hint="cs"/>
          <w:rtl/>
        </w:rPr>
        <w:t>بالتجسم</w:t>
      </w:r>
      <w:proofErr w:type="spellEnd"/>
      <w:r w:rsidR="00777DCB" w:rsidRPr="00A52585">
        <w:rPr>
          <w:rFonts w:hint="cs"/>
          <w:rtl/>
        </w:rPr>
        <w:t xml:space="preserve"> المنكر له فيؤاخذ بإقراره ولا يفيد إنكاره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والإقرار </w:t>
      </w:r>
      <w:proofErr w:type="spellStart"/>
      <w:r w:rsidR="00777DCB" w:rsidRPr="00A52585">
        <w:rPr>
          <w:rFonts w:hint="cs"/>
          <w:sz w:val="24"/>
          <w:szCs w:val="24"/>
          <w:rtl/>
        </w:rPr>
        <w:t>بتجويز</w:t>
      </w:r>
      <w:proofErr w:type="spellEnd"/>
      <w:r w:rsidR="00777DCB" w:rsidRPr="00A52585">
        <w:rPr>
          <w:rFonts w:hint="cs"/>
          <w:sz w:val="24"/>
          <w:szCs w:val="24"/>
          <w:rtl/>
        </w:rPr>
        <w:t xml:space="preserve"> الجسمية بكل صراحة موجود في كلام شيخه فيما رد به على الفخر الرازي كما سبق، بل لصاحب الفرج بعد الشدة الشيخ محمد]</w:t>
      </w:r>
      <w:r w:rsidR="00DB731D" w:rsidRPr="00A52585">
        <w:rPr>
          <w:rFonts w:hint="cs"/>
          <w:rtl/>
        </w:rPr>
        <w:t>،</w:t>
      </w:r>
      <w:r w:rsidR="00777DCB" w:rsidRPr="00A52585">
        <w:rPr>
          <w:rFonts w:hint="cs"/>
          <w:rtl/>
        </w:rPr>
        <w:t xml:space="preserve"> واعلم أن الله تعالى كامل الملك أزلا وأبداً</w:t>
      </w:r>
      <w:r w:rsidR="00DB731D" w:rsidRPr="00A52585">
        <w:rPr>
          <w:rFonts w:hint="cs"/>
          <w:rtl/>
        </w:rPr>
        <w:t>،</w:t>
      </w:r>
      <w:r w:rsidR="00777DCB" w:rsidRPr="00A52585">
        <w:rPr>
          <w:rFonts w:hint="cs"/>
          <w:rtl/>
        </w:rPr>
        <w:t xml:space="preserve"> ولكن العرش وما تحته حادث</w:t>
      </w:r>
      <w:r w:rsidR="00DB731D" w:rsidRPr="00A52585">
        <w:rPr>
          <w:rFonts w:hint="cs"/>
          <w:rtl/>
        </w:rPr>
        <w:t>،</w:t>
      </w:r>
      <w:r w:rsidR="00777DCB" w:rsidRPr="00A52585">
        <w:rPr>
          <w:rFonts w:hint="cs"/>
          <w:rtl/>
        </w:rPr>
        <w:t xml:space="preserve"> فإن قوله </w:t>
      </w:r>
      <w:r w:rsidRPr="00A52585">
        <w:rPr>
          <w:rFonts w:hint="cs"/>
          <w:rtl/>
        </w:rPr>
        <w:t>{</w:t>
      </w:r>
      <w:r w:rsidR="00777DCB" w:rsidRPr="00A52585">
        <w:rPr>
          <w:rFonts w:hint="cs"/>
          <w:rtl/>
        </w:rPr>
        <w:t>ثم استوى على العرش</w:t>
      </w:r>
      <w:r w:rsidRPr="00A52585">
        <w:rPr>
          <w:rFonts w:hint="cs"/>
          <w:rtl/>
        </w:rPr>
        <w:t>}</w:t>
      </w:r>
      <w:r w:rsidR="00777DCB" w:rsidRPr="00A52585">
        <w:rPr>
          <w:rFonts w:hint="cs"/>
          <w:rtl/>
        </w:rPr>
        <w:t xml:space="preserve"> لحدوث العرش لا لحدوث الاستواء</w:t>
      </w:r>
      <w:r w:rsidR="00DB731D" w:rsidRPr="00A52585">
        <w:rPr>
          <w:rFonts w:hint="cs"/>
          <w:rtl/>
        </w:rPr>
        <w:t>،</w:t>
      </w:r>
      <w:r w:rsidR="00777DCB" w:rsidRPr="00A52585">
        <w:rPr>
          <w:rFonts w:hint="cs"/>
          <w:rtl/>
        </w:rPr>
        <w:t xml:space="preserve"> </w:t>
      </w:r>
    </w:p>
    <w:p w14:paraId="3AB5EC2F" w14:textId="1813C7A2" w:rsidR="00777DCB" w:rsidRPr="00A52585" w:rsidRDefault="0002035C" w:rsidP="0002035C">
      <w:pPr>
        <w:spacing w:after="240"/>
        <w:rPr>
          <w:b/>
          <w:rtl/>
        </w:rPr>
      </w:pPr>
      <w:r w:rsidRPr="00A52585">
        <w:rPr>
          <w:rFonts w:hint="cs"/>
          <w:bCs/>
          <w:rtl/>
        </w:rPr>
        <w:t>[</w:t>
      </w:r>
      <w:r w:rsidR="00777DCB" w:rsidRPr="00A52585">
        <w:rPr>
          <w:rFonts w:hint="cs"/>
          <w:bCs/>
          <w:rtl/>
        </w:rPr>
        <w:t>فصــــــــل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وثانيها لفظ العلي والأعلى</w:t>
      </w:r>
      <w:r w:rsidRPr="00A52585">
        <w:rPr>
          <w:rFonts w:hint="cs"/>
          <w:rtl/>
        </w:rPr>
        <w:t xml:space="preserve"> </w:t>
      </w:r>
      <w:r w:rsidR="00777DCB" w:rsidRPr="00A52585">
        <w:rPr>
          <w:rFonts w:hint="cs"/>
          <w:rtl/>
        </w:rPr>
        <w:t>والعلو بمطلقه عام ونفيه نقص وعلوه فوق الخليقة كلها فطرت عليه الخلق</w:t>
      </w:r>
      <w:r w:rsidRPr="00A52585">
        <w:rPr>
          <w:rFonts w:hint="cs"/>
          <w:rtl/>
        </w:rPr>
        <w:t>)</w:t>
      </w:r>
      <w:r w:rsidR="00777DCB" w:rsidRPr="00A52585">
        <w:rPr>
          <w:rFonts w:hint="cs"/>
          <w:rtl/>
        </w:rPr>
        <w:t xml:space="preserve"> فيقال أسماء الله قديمة فإن لزم من العلى والأعلى كونه فوق جسم لزم قدم العالم. والذي فطرت عليه والبديهة التعظيم إلى أعلى غاية</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العلو ومشتقاته من صفات التنـزيه تعالى الله عما يصف به المجسمة، والحمل على علو المكان نـزعة وثنية. قال ابن تيمية في التأسيس</w:t>
      </w:r>
      <w:r w:rsidRPr="00A52585">
        <w:rPr>
          <w:rFonts w:hint="cs"/>
          <w:sz w:val="24"/>
          <w:szCs w:val="24"/>
          <w:rtl/>
        </w:rPr>
        <w:t>:</w:t>
      </w:r>
      <w:r w:rsidR="00777DCB" w:rsidRPr="00A52585">
        <w:rPr>
          <w:rFonts w:hint="cs"/>
          <w:sz w:val="24"/>
          <w:szCs w:val="24"/>
          <w:rtl/>
        </w:rPr>
        <w:t xml:space="preserve"> "والباري سبحانه وتعالى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هن قبلية حقيقية وكذلك العلو على العالم قد يقال إنه يكون بمجرد الرتبة كما يقال العالم فوق الجاهل وعلو الله على العالم ليس بمجرد ذلك بل هو عال عليه علواً حقيقياً وهو العلو المعروف والتقدم المعروف" اهـ.</w:t>
      </w:r>
      <w:r w:rsidR="00DB731D" w:rsidRPr="00A52585">
        <w:rPr>
          <w:rFonts w:hint="cs"/>
          <w:sz w:val="24"/>
          <w:szCs w:val="24"/>
          <w:rtl/>
        </w:rPr>
        <w:t>،</w:t>
      </w:r>
      <w:r w:rsidR="00777DCB" w:rsidRPr="00A52585">
        <w:rPr>
          <w:rFonts w:hint="cs"/>
          <w:sz w:val="24"/>
          <w:szCs w:val="24"/>
          <w:rtl/>
        </w:rPr>
        <w:t xml:space="preserve"> فهل يشك عاقل أن ابن تيمية يريد بذلك الفوقية الحسية والعلو الحسي، تعالى الله عما </w:t>
      </w:r>
      <w:proofErr w:type="spellStart"/>
      <w:r w:rsidR="00777DCB" w:rsidRPr="00A52585">
        <w:rPr>
          <w:rFonts w:hint="cs"/>
          <w:sz w:val="24"/>
          <w:szCs w:val="24"/>
          <w:rtl/>
        </w:rPr>
        <w:t>يأفكون</w:t>
      </w:r>
      <w:proofErr w:type="spellEnd"/>
      <w:r w:rsidR="00777DCB" w:rsidRPr="00A52585">
        <w:rPr>
          <w:rFonts w:hint="cs"/>
          <w:sz w:val="24"/>
          <w:szCs w:val="24"/>
          <w:rtl/>
        </w:rPr>
        <w:t>، واستعمال العلو ومشتقاته في اللغة العربية بمعنى علو الشأن في غاية من الشهرة رغم تقول المجسمة]</w:t>
      </w:r>
    </w:p>
    <w:p w14:paraId="70329EBD" w14:textId="4817C3F1" w:rsidR="00777DCB" w:rsidRPr="00A52585" w:rsidRDefault="0002035C" w:rsidP="0002035C">
      <w:pPr>
        <w:spacing w:after="240"/>
        <w:rPr>
          <w:b/>
          <w:rtl/>
        </w:rPr>
      </w:pPr>
      <w:r w:rsidRPr="00A52585">
        <w:rPr>
          <w:rFonts w:hint="cs"/>
          <w:bCs/>
          <w:rtl/>
        </w:rPr>
        <w:t>[</w:t>
      </w:r>
      <w:r w:rsidR="00777DCB" w:rsidRPr="00A52585">
        <w:rPr>
          <w:rFonts w:hint="cs"/>
          <w:bCs/>
          <w:rtl/>
        </w:rPr>
        <w:t>فصـــــل</w:t>
      </w:r>
      <w:r w:rsidRPr="00A52585">
        <w:rPr>
          <w:rFonts w:hint="cs"/>
          <w:bCs/>
          <w:rtl/>
        </w:rPr>
        <w:t>:</w:t>
      </w:r>
      <w:r w:rsidR="00777DCB" w:rsidRPr="00A52585">
        <w:rPr>
          <w:rFonts w:hint="cs"/>
          <w:bCs/>
          <w:rtl/>
        </w:rPr>
        <w:t xml:space="preserve"> كلمة ابن تيمية في العلو والفوقية والرد عليه</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وثالثها صريح الفوق مصحوبا بمن وبدونها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ينص شيخه في كتابه المذكور على أن المراد بالفوقية الفوقية الحسية فكأنه لم يتل في كتاب الله {يد الله فوق أيديهم} [الفتح</w:t>
      </w:r>
      <w:r w:rsidRPr="00A52585">
        <w:rPr>
          <w:rFonts w:hint="cs"/>
          <w:sz w:val="24"/>
          <w:szCs w:val="24"/>
          <w:rtl/>
        </w:rPr>
        <w:t>:</w:t>
      </w:r>
      <w:r w:rsidR="00777DCB" w:rsidRPr="00A52585">
        <w:rPr>
          <w:rFonts w:hint="cs"/>
          <w:sz w:val="24"/>
          <w:szCs w:val="24"/>
          <w:rtl/>
        </w:rPr>
        <w:t xml:space="preserve"> 10] و {وفوق كل ذي علم عليم} [يوسف</w:t>
      </w:r>
      <w:r w:rsidRPr="00A52585">
        <w:rPr>
          <w:rFonts w:hint="cs"/>
          <w:sz w:val="24"/>
          <w:szCs w:val="24"/>
          <w:rtl/>
        </w:rPr>
        <w:t>:</w:t>
      </w:r>
      <w:r w:rsidR="00777DCB" w:rsidRPr="00A52585">
        <w:rPr>
          <w:rFonts w:hint="cs"/>
          <w:sz w:val="24"/>
          <w:szCs w:val="24"/>
          <w:rtl/>
        </w:rPr>
        <w:t xml:space="preserve"> 76] والمراد بالفوقية فوقية العزة والقهر والتنـزه. (والله فوق ذلك) في حديث الترمذي بمعنى أنه يعلو عن مدارك البشر بدليل ما في سنن الترمذي أيضاً من حديث (لو دليتم)</w:t>
      </w:r>
      <w:r w:rsidR="00DB731D" w:rsidRPr="00A52585">
        <w:rPr>
          <w:rFonts w:hint="cs"/>
          <w:sz w:val="24"/>
          <w:szCs w:val="24"/>
          <w:rtl/>
        </w:rPr>
        <w:t>،</w:t>
      </w:r>
      <w:r w:rsidR="00777DCB" w:rsidRPr="00A52585">
        <w:rPr>
          <w:rFonts w:hint="cs"/>
          <w:sz w:val="24"/>
          <w:szCs w:val="24"/>
          <w:rtl/>
        </w:rPr>
        <w:t xml:space="preserve"> قال ابن </w:t>
      </w:r>
      <w:proofErr w:type="spellStart"/>
      <w:r w:rsidR="00777DCB" w:rsidRPr="00A52585">
        <w:rPr>
          <w:rFonts w:hint="cs"/>
          <w:sz w:val="24"/>
          <w:szCs w:val="24"/>
          <w:rtl/>
        </w:rPr>
        <w:t>جهبل</w:t>
      </w:r>
      <w:proofErr w:type="spellEnd"/>
      <w:r w:rsidRPr="00A52585">
        <w:rPr>
          <w:rFonts w:hint="cs"/>
          <w:sz w:val="24"/>
          <w:szCs w:val="24"/>
          <w:rtl/>
        </w:rPr>
        <w:t>:</w:t>
      </w:r>
      <w:r w:rsidR="00777DCB" w:rsidRPr="00A52585">
        <w:rPr>
          <w:rFonts w:hint="cs"/>
          <w:sz w:val="24"/>
          <w:szCs w:val="24"/>
          <w:rtl/>
        </w:rPr>
        <w:t xml:space="preserve"> الفوقية ترد لمعنيين</w:t>
      </w:r>
      <w:r w:rsidRPr="00A52585">
        <w:rPr>
          <w:rFonts w:hint="cs"/>
          <w:sz w:val="24"/>
          <w:szCs w:val="24"/>
          <w:rtl/>
        </w:rPr>
        <w:t>:</w:t>
      </w:r>
      <w:r w:rsidR="00777DCB" w:rsidRPr="00A52585">
        <w:rPr>
          <w:rFonts w:hint="cs"/>
          <w:sz w:val="24"/>
          <w:szCs w:val="24"/>
          <w:rtl/>
        </w:rPr>
        <w:t xml:space="preserve"> أحدهما نسبة جسم إلى جسم بأن يكون أحدهما أعلى والآخر </w:t>
      </w:r>
      <w:r w:rsidR="00777DCB" w:rsidRPr="00A52585">
        <w:rPr>
          <w:rFonts w:hint="cs"/>
          <w:sz w:val="24"/>
          <w:szCs w:val="24"/>
          <w:rtl/>
        </w:rPr>
        <w:lastRenderedPageBreak/>
        <w:t>أسفل بمعنى أن أسفل الأعلى من جانب رأس الأسفل، وهذا لا يقول به من لا يجسم، وثانيهما بمعنى المرتبة كما يقال الخليفة فوق السلطان والسلطان فوق الأمير، وكما يقال</w:t>
      </w:r>
      <w:r w:rsidRPr="00A52585">
        <w:rPr>
          <w:rFonts w:hint="cs"/>
          <w:sz w:val="24"/>
          <w:szCs w:val="24"/>
          <w:rtl/>
        </w:rPr>
        <w:t>:</w:t>
      </w:r>
      <w:r w:rsidR="00777DCB" w:rsidRPr="00A52585">
        <w:rPr>
          <w:rFonts w:hint="cs"/>
          <w:sz w:val="24"/>
          <w:szCs w:val="24"/>
          <w:rtl/>
        </w:rPr>
        <w:t xml:space="preserve"> جلس فلان فوق فلان, والعلم فوق العمل, والصياغة فوق الدباغة. قال تعالى</w:t>
      </w:r>
      <w:r w:rsidRPr="00A52585">
        <w:rPr>
          <w:rFonts w:hint="cs"/>
          <w:sz w:val="24"/>
          <w:szCs w:val="24"/>
          <w:rtl/>
        </w:rPr>
        <w:t>:</w:t>
      </w:r>
      <w:r w:rsidR="00777DCB" w:rsidRPr="00A52585">
        <w:rPr>
          <w:rFonts w:hint="cs"/>
          <w:sz w:val="24"/>
          <w:szCs w:val="24"/>
          <w:rtl/>
        </w:rPr>
        <w:t xml:space="preserve"> {ورفعنا بعضهم فوق بعض درجات} [الزخرف</w:t>
      </w:r>
      <w:r w:rsidRPr="00A52585">
        <w:rPr>
          <w:rFonts w:hint="cs"/>
          <w:sz w:val="24"/>
          <w:szCs w:val="24"/>
          <w:rtl/>
        </w:rPr>
        <w:t>:</w:t>
      </w:r>
      <w:r w:rsidR="00777DCB" w:rsidRPr="00A52585">
        <w:rPr>
          <w:rFonts w:hint="cs"/>
          <w:sz w:val="24"/>
          <w:szCs w:val="24"/>
          <w:rtl/>
        </w:rPr>
        <w:t xml:space="preserve"> 32] ولم يطلع أحدهم فوق أكتاف الآخر وقال تعالى عن القبط {وإنا فوقهم قاهرون} [الأعراف</w:t>
      </w:r>
      <w:r w:rsidRPr="00A52585">
        <w:rPr>
          <w:rFonts w:hint="cs"/>
          <w:sz w:val="24"/>
          <w:szCs w:val="24"/>
          <w:rtl/>
        </w:rPr>
        <w:t>:</w:t>
      </w:r>
      <w:r w:rsidR="00777DCB" w:rsidRPr="00A52585">
        <w:rPr>
          <w:rFonts w:hint="cs"/>
          <w:sz w:val="24"/>
          <w:szCs w:val="24"/>
          <w:rtl/>
        </w:rPr>
        <w:t xml:space="preserve"> 127] وما ركبت القبط أكتاف بني إسرائيل ولا ظهورهم اهـ.</w:t>
      </w:r>
      <w:r w:rsidR="00DB731D" w:rsidRPr="00A52585">
        <w:rPr>
          <w:rFonts w:hint="cs"/>
          <w:sz w:val="24"/>
          <w:szCs w:val="24"/>
          <w:rtl/>
        </w:rPr>
        <w:t>،</w:t>
      </w:r>
      <w:r w:rsidR="00777DCB" w:rsidRPr="00A52585">
        <w:rPr>
          <w:rFonts w:hint="cs"/>
          <w:sz w:val="24"/>
          <w:szCs w:val="24"/>
          <w:rtl/>
        </w:rPr>
        <w:t xml:space="preserve"> فظهر بذلك بطلان التمسك بكلمة فوق في الآيات والأحاديث في إثبات الجهة له تعالى الله عن مزاعم المجسمة]</w:t>
      </w:r>
      <w:r w:rsidR="00777DCB" w:rsidRPr="00A52585">
        <w:rPr>
          <w:rFonts w:hint="cs"/>
          <w:rtl/>
        </w:rPr>
        <w:t xml:space="preserve"> أحدهما قابل للتأويل والأصل الحقيقة والمجرور لا يقبل التأويل وأصخ لفائدة جليل قدرها إن الكلام إذا أتى بسياقه يبدي المراد أضحى كنص قاطع</w:t>
      </w:r>
      <w:r w:rsidRPr="00A52585">
        <w:rPr>
          <w:rFonts w:hint="cs"/>
          <w:rtl/>
        </w:rPr>
        <w:t>)</w:t>
      </w:r>
      <w:r w:rsidR="00DB731D" w:rsidRPr="00A52585">
        <w:rPr>
          <w:rFonts w:hint="cs"/>
          <w:rtl/>
        </w:rPr>
        <w:t>،</w:t>
      </w:r>
      <w:r w:rsidR="00777DCB" w:rsidRPr="00A52585">
        <w:rPr>
          <w:rFonts w:hint="cs"/>
          <w:rtl/>
        </w:rPr>
        <w:t xml:space="preserve"> فيقال المجرور أولى بالتأويل لأن قوله تعالى </w:t>
      </w:r>
      <w:r w:rsidRPr="00A52585">
        <w:rPr>
          <w:rFonts w:hint="cs"/>
          <w:rtl/>
        </w:rPr>
        <w:t>{</w:t>
      </w:r>
      <w:r w:rsidR="00777DCB" w:rsidRPr="00A52585">
        <w:rPr>
          <w:rFonts w:hint="cs"/>
          <w:rtl/>
        </w:rPr>
        <w:t>يخافون ربهم من فوقهم</w:t>
      </w:r>
      <w:r w:rsidRPr="00A52585">
        <w:rPr>
          <w:rFonts w:hint="cs"/>
          <w:rtl/>
        </w:rPr>
        <w:t>}</w:t>
      </w:r>
      <w:r w:rsidR="00777DCB" w:rsidRPr="00A52585">
        <w:rPr>
          <w:rFonts w:hint="cs"/>
          <w:rtl/>
        </w:rPr>
        <w:t xml:space="preserve"> [النحل</w:t>
      </w:r>
      <w:r w:rsidRPr="00A52585">
        <w:rPr>
          <w:rFonts w:hint="cs"/>
          <w:rtl/>
        </w:rPr>
        <w:t>:</w:t>
      </w:r>
      <w:r w:rsidR="00777DCB" w:rsidRPr="00A52585">
        <w:rPr>
          <w:rFonts w:hint="cs"/>
          <w:rtl/>
        </w:rPr>
        <w:t>50] يحتمل أن المراد خوفاً من فوقهم وليس في سياق الكلام ما يبدي المراد الذي ادّعاه فأين الفائدة</w:t>
      </w:r>
      <w:r w:rsidR="00F95886" w:rsidRPr="00A52585">
        <w:rPr>
          <w:rFonts w:hint="cs"/>
          <w:rtl/>
        </w:rPr>
        <w:t>؟</w:t>
      </w:r>
      <w:r w:rsidR="00777DCB" w:rsidRPr="00A52585">
        <w:rPr>
          <w:rFonts w:hint="cs"/>
          <w:rtl/>
        </w:rPr>
        <w:t xml:space="preserve"> والفوقية بمعنى القهر وعلو القدر متفق عليها والجهة هي عين النـزاع ويلزم منها قدم الجهة</w:t>
      </w:r>
      <w:r w:rsidR="00DB731D" w:rsidRPr="00A52585">
        <w:rPr>
          <w:rFonts w:hint="cs"/>
          <w:rtl/>
        </w:rPr>
        <w:t>،</w:t>
      </w:r>
      <w:r w:rsidR="00777DCB" w:rsidRPr="00A52585">
        <w:rPr>
          <w:rFonts w:hint="cs"/>
          <w:rtl/>
        </w:rPr>
        <w:t xml:space="preserve"> </w:t>
      </w:r>
    </w:p>
    <w:p w14:paraId="6100A66E" w14:textId="5172AC92" w:rsidR="00777DCB" w:rsidRPr="00A52585" w:rsidRDefault="0002035C" w:rsidP="0002035C">
      <w:pPr>
        <w:spacing w:after="240"/>
        <w:rPr>
          <w:b/>
          <w:rtl/>
        </w:rPr>
      </w:pPr>
      <w:r w:rsidRPr="00A52585">
        <w:rPr>
          <w:rFonts w:hint="cs"/>
          <w:bCs/>
          <w:rtl/>
        </w:rPr>
        <w:t>[</w:t>
      </w:r>
      <w:r w:rsidR="00777DCB" w:rsidRPr="00A52585">
        <w:rPr>
          <w:rFonts w:hint="cs"/>
          <w:bCs/>
          <w:rtl/>
        </w:rPr>
        <w:t>فصـــــــل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ورابعها عروج الروح والملائكة في سورتي السجدة والمعارج قالوا هما بزمان وعندي يوم واحد عروجهم فيه إلى الديان فالألف مسافة نـزولهم وصعودهم إلى السماء الدنيا والخمسون ألف من العرش إلى الحضيض الأسفل</w:t>
      </w:r>
      <w:r w:rsidRPr="00A52585">
        <w:rPr>
          <w:rFonts w:hint="cs"/>
          <w:rtl/>
        </w:rPr>
        <w:t>)</w:t>
      </w:r>
      <w:r w:rsidR="00DB731D" w:rsidRPr="00A52585">
        <w:rPr>
          <w:rFonts w:hint="cs"/>
          <w:rtl/>
        </w:rPr>
        <w:t>،</w:t>
      </w:r>
      <w:r w:rsidR="00777DCB" w:rsidRPr="00A52585">
        <w:rPr>
          <w:rFonts w:hint="cs"/>
          <w:rtl/>
        </w:rPr>
        <w:t xml:space="preserve"> فيقال له في الآيتين </w:t>
      </w:r>
      <w:r w:rsidRPr="00A52585">
        <w:rPr>
          <w:rFonts w:hint="cs"/>
          <w:rtl/>
        </w:rPr>
        <w:t>{</w:t>
      </w:r>
      <w:r w:rsidR="00777DCB" w:rsidRPr="00A52585">
        <w:rPr>
          <w:rFonts w:hint="cs"/>
          <w:rtl/>
        </w:rPr>
        <w:t>إليه</w:t>
      </w:r>
      <w:r w:rsidRPr="00A52585">
        <w:rPr>
          <w:rFonts w:hint="cs"/>
          <w:rtl/>
        </w:rPr>
        <w:t>}</w:t>
      </w:r>
      <w:r w:rsidR="00777DCB" w:rsidRPr="00A52585">
        <w:rPr>
          <w:rFonts w:hint="cs"/>
          <w:rtl/>
        </w:rPr>
        <w:t xml:space="preserve"> فعلى قوله يكون الله في مكانين أحدهما في السطح التحتاني من السماء الدنيا لأنه نهاية الألف والثاني في العرش. ثم إن المسافة إذا فصلت على أن بين السماء والأرض خمسمائة عام وكذا ثخانة كل سماء وما بين كل سماء وسماء لا يبلغ هذا المقدار وهذا لا يتعلق بغرضنا</w:t>
      </w:r>
      <w:r w:rsidR="00DB731D" w:rsidRPr="00A52585">
        <w:rPr>
          <w:rFonts w:hint="cs"/>
          <w:rtl/>
        </w:rPr>
        <w:t>،</w:t>
      </w:r>
      <w:r w:rsidR="00777DCB" w:rsidRPr="00A52585">
        <w:rPr>
          <w:rFonts w:hint="cs"/>
          <w:rtl/>
        </w:rPr>
        <w:t xml:space="preserve"> والمتعلق بغرضنا إلزامه بظاهر قوله </w:t>
      </w:r>
      <w:r w:rsidRPr="00A52585">
        <w:rPr>
          <w:rFonts w:hint="cs"/>
          <w:rtl/>
        </w:rPr>
        <w:t>{</w:t>
      </w:r>
      <w:r w:rsidR="00777DCB" w:rsidRPr="00A52585">
        <w:rPr>
          <w:rFonts w:hint="cs"/>
          <w:rtl/>
        </w:rPr>
        <w:t>إليه</w:t>
      </w:r>
      <w:r w:rsidRPr="00A52585">
        <w:rPr>
          <w:rFonts w:hint="cs"/>
          <w:rtl/>
        </w:rPr>
        <w:t>}</w:t>
      </w:r>
      <w:r w:rsidR="00777DCB" w:rsidRPr="00A52585">
        <w:rPr>
          <w:rFonts w:hint="cs"/>
          <w:rtl/>
        </w:rPr>
        <w:t xml:space="preserve"> مع التزامه أن الغاية في المكان. وكون ما بين السماء والأرض خمسمائة عام روي بطرق ضعيفة وفي الترمذي من رواية العباس في حديث الأوعال إما واحدة وإما اثنتان أو ثلاث وسبعون سنة وهو يوافق قول أهل الهيئة وهذا يرجح أنهما يومان</w:t>
      </w:r>
      <w:r w:rsidRPr="00A52585">
        <w:rPr>
          <w:rFonts w:hint="cs"/>
          <w:rtl/>
        </w:rPr>
        <w:t>:</w:t>
      </w:r>
      <w:r w:rsidR="00777DCB" w:rsidRPr="00A52585">
        <w:rPr>
          <w:rFonts w:hint="cs"/>
          <w:rtl/>
        </w:rPr>
        <w:t xml:space="preserve"> أحدهما في الدنيا إلى العرش ألف سنة والثاني يوم القيامة خمسون ألف سنة من الشدة وقد جاء أن في الجنة مائة درجة بين كل درجتين مائة عام في رواية؛ وفي رواية كما بين السماء والأرض </w:t>
      </w:r>
      <w:r w:rsidRPr="00A52585">
        <w:rPr>
          <w:rFonts w:hint="cs"/>
          <w:rtl/>
        </w:rPr>
        <w:t>(</w:t>
      </w:r>
      <w:r w:rsidR="00777DCB" w:rsidRPr="00A52585">
        <w:rPr>
          <w:rFonts w:hint="cs"/>
          <w:rtl/>
        </w:rPr>
        <w:t>وكلاهما في الترمذي والفردوس أعلى الجنة وفوقه العرش فهذه المسافة أكثر من عشرة آلاف سنة</w:t>
      </w:r>
      <w:r w:rsidRPr="00A52585">
        <w:rPr>
          <w:rFonts w:hint="cs"/>
          <w:rtl/>
        </w:rPr>
        <w:t>)</w:t>
      </w:r>
      <w:r w:rsidR="00DB731D" w:rsidRPr="00A52585">
        <w:rPr>
          <w:rFonts w:hint="cs"/>
          <w:vertAlign w:val="superscript"/>
          <w:rtl/>
        </w:rPr>
        <w:t>،</w:t>
      </w:r>
      <w:r w:rsidR="00777DCB" w:rsidRPr="00A52585">
        <w:rPr>
          <w:rFonts w:hint="cs"/>
          <w:rtl/>
        </w:rPr>
        <w:t xml:space="preserve"> </w:t>
      </w:r>
    </w:p>
    <w:p w14:paraId="70FDA7D8" w14:textId="339D15D7"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وخامسها صعود كلامنا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ابن </w:t>
      </w:r>
      <w:proofErr w:type="spellStart"/>
      <w:r w:rsidR="00777DCB" w:rsidRPr="00A52585">
        <w:rPr>
          <w:rFonts w:hint="cs"/>
          <w:sz w:val="24"/>
          <w:szCs w:val="24"/>
          <w:rtl/>
        </w:rPr>
        <w:t>جهبل</w:t>
      </w:r>
      <w:proofErr w:type="spellEnd"/>
      <w:r w:rsidRPr="00A52585">
        <w:rPr>
          <w:rFonts w:hint="cs"/>
          <w:sz w:val="24"/>
          <w:szCs w:val="24"/>
          <w:rtl/>
        </w:rPr>
        <w:t>:</w:t>
      </w:r>
      <w:r w:rsidR="00777DCB" w:rsidRPr="00A52585">
        <w:rPr>
          <w:rFonts w:hint="cs"/>
          <w:sz w:val="24"/>
          <w:szCs w:val="24"/>
          <w:rtl/>
        </w:rPr>
        <w:t xml:space="preserve"> الصعود كيف يكون حقيقة في الكلام</w:t>
      </w:r>
      <w:r w:rsidR="00F95886" w:rsidRPr="00A52585">
        <w:rPr>
          <w:rFonts w:hint="cs"/>
          <w:sz w:val="24"/>
          <w:szCs w:val="24"/>
          <w:rtl/>
        </w:rPr>
        <w:t>؟</w:t>
      </w:r>
      <w:r w:rsidR="00777DCB" w:rsidRPr="00A52585">
        <w:rPr>
          <w:rFonts w:hint="cs"/>
          <w:sz w:val="24"/>
          <w:szCs w:val="24"/>
          <w:rtl/>
        </w:rPr>
        <w:t xml:space="preserve"> مع أن الصعود في الحقيقة من صفات الأجسام فليس المراد إلا القبول اهـ وهذا ظاهر جداً</w:t>
      </w:r>
      <w:r w:rsidRPr="00A52585">
        <w:rPr>
          <w:rFonts w:hint="cs"/>
          <w:sz w:val="24"/>
          <w:szCs w:val="24"/>
          <w:rtl/>
        </w:rPr>
        <w:t>]</w:t>
      </w:r>
      <w:r w:rsidR="00777DCB" w:rsidRPr="00A52585">
        <w:rPr>
          <w:rFonts w:hint="cs"/>
          <w:rtl/>
        </w:rPr>
        <w:t xml:space="preserve"> والصدقة والحفظة والسعي والمعراج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ابن </w:t>
      </w:r>
      <w:proofErr w:type="spellStart"/>
      <w:r w:rsidR="00777DCB" w:rsidRPr="00A52585">
        <w:rPr>
          <w:rFonts w:hint="cs"/>
          <w:sz w:val="24"/>
          <w:szCs w:val="24"/>
          <w:rtl/>
        </w:rPr>
        <w:t>جهبل</w:t>
      </w:r>
      <w:proofErr w:type="spellEnd"/>
      <w:r w:rsidRPr="00A52585">
        <w:rPr>
          <w:rFonts w:hint="cs"/>
          <w:sz w:val="24"/>
          <w:szCs w:val="24"/>
          <w:rtl/>
        </w:rPr>
        <w:t>:</w:t>
      </w:r>
      <w:r w:rsidR="00777DCB" w:rsidRPr="00A52585">
        <w:rPr>
          <w:rFonts w:hint="cs"/>
          <w:sz w:val="24"/>
          <w:szCs w:val="24"/>
          <w:rtl/>
        </w:rPr>
        <w:t xml:space="preserve"> لم يرد في حديث المعراج أن الله فوق السماء أو فوق العرش حقيقة </w:t>
      </w:r>
      <w:r w:rsidR="00777DCB" w:rsidRPr="00A52585">
        <w:rPr>
          <w:rFonts w:hint="cs"/>
          <w:sz w:val="24"/>
          <w:szCs w:val="24"/>
          <w:rtl/>
        </w:rPr>
        <w:lastRenderedPageBreak/>
        <w:t>ولا كلمة واحدة من ذلك وهو لم يسرد حديث المعراج ولا بين وجه الدلالة منه حتى نجيب عنه. فلو بين وجه الدلالة لعرفنا كيف الجواب اهـ]</w:t>
      </w:r>
      <w:r w:rsidR="00777DCB" w:rsidRPr="00A52585">
        <w:rPr>
          <w:rFonts w:hint="cs"/>
          <w:rtl/>
        </w:rPr>
        <w:t xml:space="preserve"> وعيسى وروح المؤمنين ودعاء المضطر ودعاء المظلوم</w:t>
      </w:r>
      <w:r w:rsidRPr="00A52585">
        <w:rPr>
          <w:rFonts w:hint="cs"/>
          <w:rtl/>
        </w:rPr>
        <w:t>)</w:t>
      </w:r>
      <w:r w:rsidR="00DB731D" w:rsidRPr="00A52585">
        <w:rPr>
          <w:rFonts w:hint="cs"/>
          <w:rtl/>
        </w:rPr>
        <w:t>،</w:t>
      </w:r>
      <w:r w:rsidR="00777DCB" w:rsidRPr="00A52585">
        <w:rPr>
          <w:rFonts w:hint="cs"/>
          <w:rtl/>
        </w:rPr>
        <w:t xml:space="preserve"> وقال في المعراج</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وقد دنا منه إلى أن قدرت قوسان</w:t>
      </w:r>
      <w:r w:rsidRPr="00A52585">
        <w:rPr>
          <w:rFonts w:hint="cs"/>
          <w:rtl/>
        </w:rPr>
        <w:t>)</w:t>
      </w:r>
      <w:r w:rsidR="00DB731D" w:rsidRPr="00A52585">
        <w:rPr>
          <w:rFonts w:hint="cs"/>
          <w:rtl/>
        </w:rPr>
        <w:t>،</w:t>
      </w:r>
      <w:r w:rsidR="00777DCB" w:rsidRPr="00A52585">
        <w:rPr>
          <w:rFonts w:hint="cs"/>
          <w:rtl/>
        </w:rPr>
        <w:t xml:space="preserve"> وقد علم كل واحد اختلاف المفسرين في قوله تعالى </w:t>
      </w:r>
      <w:r w:rsidRPr="00A52585">
        <w:rPr>
          <w:rFonts w:hint="cs"/>
          <w:rtl/>
        </w:rPr>
        <w:t>{</w:t>
      </w:r>
      <w:r w:rsidR="00777DCB" w:rsidRPr="00A52585">
        <w:rPr>
          <w:rFonts w:hint="cs"/>
          <w:rtl/>
        </w:rPr>
        <w:t>ثم دنا فتدلى</w:t>
      </w:r>
      <w:r w:rsidRPr="00A52585">
        <w:rPr>
          <w:rFonts w:hint="cs"/>
          <w:rtl/>
        </w:rPr>
        <w:t>}</w:t>
      </w:r>
      <w:r w:rsidR="00777DCB" w:rsidRPr="00A52585">
        <w:rPr>
          <w:rFonts w:hint="cs"/>
          <w:rtl/>
        </w:rPr>
        <w:t xml:space="preserve"> [النجم</w:t>
      </w:r>
      <w:r w:rsidRPr="00A52585">
        <w:rPr>
          <w:rFonts w:hint="cs"/>
          <w:rtl/>
        </w:rPr>
        <w:t>:</w:t>
      </w:r>
      <w:r w:rsidR="00777DCB" w:rsidRPr="00A52585">
        <w:rPr>
          <w:rFonts w:hint="cs"/>
          <w:rtl/>
        </w:rPr>
        <w:t xml:space="preserve"> 8] فكيف يستدل به</w:t>
      </w:r>
      <w:r w:rsidR="00F95886" w:rsidRPr="00A52585">
        <w:rPr>
          <w:rFonts w:hint="cs"/>
          <w:rtl/>
        </w:rPr>
        <w:t>؟</w:t>
      </w:r>
      <w:r w:rsidR="00777DCB" w:rsidRPr="00A52585">
        <w:rPr>
          <w:rFonts w:hint="cs"/>
          <w:rtl/>
        </w:rPr>
        <w:t xml:space="preserve"> وعيسى في السماء الرابعة ليس على العرش</w:t>
      </w:r>
      <w:r w:rsidR="00DB731D" w:rsidRPr="00A52585">
        <w:rPr>
          <w:rFonts w:hint="cs"/>
          <w:rtl/>
        </w:rPr>
        <w:t>،</w:t>
      </w:r>
      <w:r w:rsidR="00777DCB" w:rsidRPr="00A52585">
        <w:rPr>
          <w:rFonts w:hint="cs"/>
          <w:rtl/>
        </w:rPr>
        <w:t xml:space="preserve"> ورفع الصدقة والكلام وشبههما من المعاني ليس بالانتقال من مكان إلى مكان لأن المعاني لا تنتقل</w:t>
      </w:r>
      <w:r w:rsidR="00DB731D" w:rsidRPr="00A52585">
        <w:rPr>
          <w:rFonts w:hint="cs"/>
          <w:rtl/>
        </w:rPr>
        <w:t>،</w:t>
      </w:r>
      <w:r w:rsidR="00777DCB" w:rsidRPr="00A52585">
        <w:rPr>
          <w:rFonts w:hint="cs"/>
          <w:rtl/>
        </w:rPr>
        <w:t xml:space="preserve"> </w:t>
      </w:r>
    </w:p>
    <w:p w14:paraId="4E1CFA29" w14:textId="56A224F5" w:rsidR="00777DCB" w:rsidRPr="00A52585" w:rsidRDefault="0002035C" w:rsidP="0002035C">
      <w:pPr>
        <w:spacing w:after="240"/>
        <w:rPr>
          <w:b/>
          <w:rtl/>
        </w:rPr>
      </w:pPr>
      <w:r w:rsidRPr="00A52585">
        <w:rPr>
          <w:rFonts w:hint="cs"/>
          <w:bCs/>
          <w:rtl/>
        </w:rPr>
        <w:t>[</w:t>
      </w:r>
      <w:r w:rsidR="00777DCB" w:rsidRPr="00A52585">
        <w:rPr>
          <w:rFonts w:hint="cs"/>
          <w:bCs/>
          <w:rtl/>
        </w:rPr>
        <w:t>فصـــــل</w:t>
      </w:r>
      <w:r w:rsidRPr="00A52585">
        <w:rPr>
          <w:rFonts w:hint="cs"/>
          <w:bCs/>
          <w:rtl/>
        </w:rPr>
        <w:t>:</w:t>
      </w:r>
      <w:r w:rsidR="00777DCB" w:rsidRPr="00A52585">
        <w:rPr>
          <w:rFonts w:hint="cs"/>
          <w:bCs/>
          <w:rtl/>
        </w:rPr>
        <w:t xml:space="preserve"> حديث النـزول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وسادسها وسابعها النـزول</w:t>
      </w:r>
      <w:r w:rsidRPr="00A52585">
        <w:rPr>
          <w:rFonts w:hint="cs"/>
          <w:rtl/>
        </w:rPr>
        <w:t xml:space="preserve"> </w:t>
      </w:r>
      <w:r w:rsidR="00777DCB" w:rsidRPr="00A52585">
        <w:rPr>
          <w:rFonts w:hint="cs"/>
          <w:rtl/>
        </w:rPr>
        <w:t>والتنـزيل</w:t>
      </w:r>
      <w:r w:rsidRPr="00A52585">
        <w:rPr>
          <w:rFonts w:hint="cs"/>
          <w:rtl/>
        </w:rPr>
        <w:t>)</w:t>
      </w:r>
      <w:r w:rsidR="00DB731D" w:rsidRPr="00A52585">
        <w:rPr>
          <w:rFonts w:hint="cs"/>
          <w:rtl/>
        </w:rPr>
        <w:t>،</w:t>
      </w:r>
      <w:r w:rsidR="00777DCB" w:rsidRPr="00A52585">
        <w:rPr>
          <w:rFonts w:hint="cs"/>
          <w:rtl/>
        </w:rPr>
        <w:t xml:space="preserve"> وتنـزيل القرآن لنـزول جبريل به من جهة العلو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قاتل الله الجهل ما أفتكه</w:t>
      </w:r>
      <w:r w:rsidR="00F95886" w:rsidRPr="00A52585">
        <w:rPr>
          <w:rFonts w:hint="cs"/>
          <w:sz w:val="24"/>
          <w:szCs w:val="24"/>
          <w:rtl/>
        </w:rPr>
        <w:t>!</w:t>
      </w:r>
      <w:r w:rsidR="00777DCB" w:rsidRPr="00A52585">
        <w:rPr>
          <w:rFonts w:hint="cs"/>
          <w:sz w:val="24"/>
          <w:szCs w:val="24"/>
          <w:rtl/>
        </w:rPr>
        <w:t xml:space="preserve">! فمن الذي يجهل استمرار الثلث الأخير من الليل في البلاد باختلاف المطالع حتى يحمل النـزول إلى السماء الدنيا على النـزول الحسي، وقد حمل حماد بن زيد النـزول في الحديث على معنى الإقبال. ومن أهل العلم من حمل الحديث على أن الإسناد فيه مجازي من قبيل الإسناد إلى السبب </w:t>
      </w:r>
      <w:proofErr w:type="gramStart"/>
      <w:r w:rsidR="00777DCB" w:rsidRPr="00A52585">
        <w:rPr>
          <w:rFonts w:hint="cs"/>
          <w:sz w:val="24"/>
          <w:szCs w:val="24"/>
          <w:rtl/>
        </w:rPr>
        <w:t>الآمر,</w:t>
      </w:r>
      <w:proofErr w:type="gramEnd"/>
      <w:r w:rsidR="00777DCB" w:rsidRPr="00A52585">
        <w:rPr>
          <w:rFonts w:hint="cs"/>
          <w:sz w:val="24"/>
          <w:szCs w:val="24"/>
          <w:rtl/>
        </w:rPr>
        <w:t xml:space="preserve"> ويؤيده حديث أبي هريرة في سنن النسائي وفيه (ثم يأمر مناديا يقول هل من داع فيستجاب له) وليس في استطاعة من يخاف الله غير أن يفوض معنى النـزول إلى الله مع التنـزيه أو أن يحمل الحديث على المجاز في الطرف أو في الإسناد، بل الأخير هو المتعين لحديث النسائي المذكور فيخرج حديث النـزول من عداد أحاديث الصفات بالمرة عند من فكر وتدبر تعالى الله عن النقلة التي يقول بها المجسمة]</w:t>
      </w:r>
    </w:p>
    <w:p w14:paraId="48B5D7ED" w14:textId="2DE507F2" w:rsidR="00777DCB" w:rsidRPr="00A52585" w:rsidRDefault="0002035C" w:rsidP="0002035C">
      <w:pPr>
        <w:spacing w:after="240"/>
        <w:rPr>
          <w:b/>
          <w:rtl/>
        </w:rPr>
      </w:pPr>
      <w:r w:rsidRPr="00A52585">
        <w:rPr>
          <w:rFonts w:hint="cs"/>
          <w:bCs/>
          <w:rtl/>
        </w:rPr>
        <w:t>[</w:t>
      </w:r>
      <w:r w:rsidR="00777DCB" w:rsidRPr="00A52585">
        <w:rPr>
          <w:rFonts w:hint="cs"/>
          <w:bCs/>
          <w:rtl/>
        </w:rPr>
        <w:t>فصــــل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proofErr w:type="spellStart"/>
      <w:r w:rsidR="00777DCB" w:rsidRPr="00A52585">
        <w:rPr>
          <w:rFonts w:hint="cs"/>
          <w:rtl/>
        </w:rPr>
        <w:t>وثامنها</w:t>
      </w:r>
      <w:proofErr w:type="spellEnd"/>
      <w:r w:rsidR="00777DCB" w:rsidRPr="00A52585">
        <w:rPr>
          <w:rFonts w:hint="cs"/>
          <w:rtl/>
        </w:rPr>
        <w:t xml:space="preserve"> رفيع الدرجات وفعيل بمعنى المفعول</w:t>
      </w:r>
      <w:r w:rsidRPr="00A52585">
        <w:rPr>
          <w:rFonts w:hint="cs"/>
          <w:rtl/>
        </w:rPr>
        <w:t>)</w:t>
      </w:r>
      <w:r w:rsidR="00DB731D" w:rsidRPr="00A52585">
        <w:rPr>
          <w:rFonts w:hint="cs"/>
          <w:rtl/>
        </w:rPr>
        <w:t>،</w:t>
      </w:r>
      <w:r w:rsidR="00777DCB" w:rsidRPr="00A52585">
        <w:rPr>
          <w:rFonts w:hint="cs"/>
          <w:rtl/>
        </w:rPr>
        <w:t xml:space="preserve"> ما بقي من تخلف هذا النَّحس إلا أن يجعل لله سلماً يصعد وينـزل في درجاته</w:t>
      </w:r>
      <w:r w:rsidR="00DB731D" w:rsidRPr="00A52585">
        <w:rPr>
          <w:rFonts w:hint="cs"/>
          <w:rtl/>
        </w:rPr>
        <w:t>،</w:t>
      </w:r>
      <w:r w:rsidR="00777DCB" w:rsidRPr="00A52585">
        <w:rPr>
          <w:rFonts w:hint="cs"/>
          <w:rtl/>
        </w:rPr>
        <w:t xml:space="preserve"> تعالى الله عما يقول. يحمل على اللفظ فوقَ ما يحتمله ويفهم منه غير مراده فسحقاً له</w:t>
      </w:r>
      <w:r w:rsidR="00DB731D" w:rsidRPr="00A52585">
        <w:rPr>
          <w:rFonts w:hint="cs"/>
          <w:rtl/>
        </w:rPr>
        <w:t>،</w:t>
      </w:r>
      <w:r w:rsidR="00777DCB" w:rsidRPr="00A52585">
        <w:rPr>
          <w:rFonts w:hint="cs"/>
          <w:rtl/>
        </w:rPr>
        <w:t xml:space="preserve"> </w:t>
      </w:r>
    </w:p>
    <w:p w14:paraId="0329818F" w14:textId="497EFFEC"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فصـــــــل</w:t>
      </w:r>
      <w:r w:rsidRPr="00A52585">
        <w:rPr>
          <w:rFonts w:hint="cs"/>
          <w:bCs/>
          <w:rtl/>
        </w:rPr>
        <w:t>]</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وتاسعها فوق السماء</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يريد حديث الرقية وفي لفظ الناظم تغيير للفظ الحديث وسيأتي بيان ذلك والرد عليه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6A5BF1FC" w14:textId="54294861" w:rsidR="00777DCB" w:rsidRPr="00A52585" w:rsidRDefault="0002035C" w:rsidP="0002035C">
      <w:pPr>
        <w:spacing w:after="240"/>
        <w:rPr>
          <w:b/>
          <w:rtl/>
        </w:rPr>
      </w:pPr>
      <w:r w:rsidRPr="00A52585">
        <w:rPr>
          <w:rFonts w:hint="cs"/>
          <w:bCs/>
          <w:rtl/>
        </w:rPr>
        <w:t>[</w:t>
      </w:r>
      <w:r w:rsidR="00777DCB" w:rsidRPr="00A52585">
        <w:rPr>
          <w:rFonts w:hint="cs"/>
          <w:bCs/>
          <w:rtl/>
        </w:rPr>
        <w:t>فصـــــل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وعاشرها الملائكة الذين هم عند الرحمن وكُتّاب رحمته عنده فوق العرش وسائر الأشياء ليست كذلك</w:t>
      </w:r>
      <w:r w:rsidRPr="00A52585">
        <w:rPr>
          <w:rFonts w:hint="cs"/>
          <w:rtl/>
        </w:rPr>
        <w:t>)</w:t>
      </w:r>
      <w:r w:rsidR="00DB731D" w:rsidRPr="00A52585">
        <w:rPr>
          <w:rFonts w:hint="cs"/>
          <w:rtl/>
        </w:rPr>
        <w:t>،</w:t>
      </w:r>
      <w:r w:rsidR="00777DCB" w:rsidRPr="00A52585">
        <w:rPr>
          <w:rFonts w:hint="cs"/>
          <w:rtl/>
        </w:rPr>
        <w:t xml:space="preserve"> من هم الملائكة الذين هم معه في المكان وجبريل يتأخر عن المكان الذي وصل إليه النبي صلى الله عليه وسلم</w:t>
      </w:r>
      <w:r w:rsidR="00F95886" w:rsidRPr="00A52585">
        <w:rPr>
          <w:rFonts w:hint="cs"/>
          <w:rtl/>
        </w:rPr>
        <w:t>؟</w:t>
      </w:r>
      <w:r w:rsidR="00777DCB" w:rsidRPr="00A52585">
        <w:rPr>
          <w:rFonts w:hint="cs"/>
          <w:rtl/>
        </w:rPr>
        <w:t xml:space="preserve"> </w:t>
      </w:r>
    </w:p>
    <w:p w14:paraId="645F42BD" w14:textId="1484A5FE" w:rsidR="00777DCB" w:rsidRPr="00A52585" w:rsidRDefault="0002035C" w:rsidP="0002035C">
      <w:pPr>
        <w:spacing w:after="240"/>
        <w:rPr>
          <w:b/>
          <w:rtl/>
        </w:rPr>
      </w:pPr>
      <w:r w:rsidRPr="00A52585">
        <w:rPr>
          <w:rFonts w:hint="cs"/>
          <w:bCs/>
          <w:rtl/>
        </w:rPr>
        <w:t>[</w:t>
      </w:r>
      <w:r w:rsidR="00777DCB" w:rsidRPr="00A52585">
        <w:rPr>
          <w:rFonts w:hint="cs"/>
          <w:bCs/>
          <w:rtl/>
        </w:rPr>
        <w:t>فصــــل</w:t>
      </w:r>
      <w:r w:rsidRPr="00A52585">
        <w:rPr>
          <w:rFonts w:hint="cs"/>
          <w:bCs/>
          <w:rtl/>
        </w:rPr>
        <w:t>:</w:t>
      </w:r>
      <w:r w:rsidR="00777DCB" w:rsidRPr="00A52585">
        <w:rPr>
          <w:rFonts w:hint="cs"/>
          <w:bCs/>
          <w:rtl/>
        </w:rPr>
        <w:t xml:space="preserve"> الإشارة إلى رفع الأيدي إلى السماء</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وحادي عشرها إشارة النبي صلى الله عليه وسلم</w:t>
      </w:r>
      <w:r w:rsidRPr="00A52585">
        <w:rPr>
          <w:rFonts w:hint="cs"/>
          <w:rtl/>
        </w:rPr>
        <w:t xml:space="preserve"> </w:t>
      </w:r>
      <w:r w:rsidR="00777DCB" w:rsidRPr="00A52585">
        <w:rPr>
          <w:rFonts w:hint="cs"/>
          <w:rtl/>
        </w:rPr>
        <w:t xml:space="preserve">بأصبعه في الموقف لله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أين في الحديث ذكر الإشارة إلى الله</w:t>
      </w:r>
      <w:r w:rsidR="00F95886" w:rsidRPr="00A52585">
        <w:rPr>
          <w:rFonts w:hint="cs"/>
          <w:sz w:val="24"/>
          <w:szCs w:val="24"/>
          <w:rtl/>
        </w:rPr>
        <w:t>؟</w:t>
      </w:r>
      <w:r w:rsidR="00777DCB" w:rsidRPr="00A52585">
        <w:rPr>
          <w:rFonts w:hint="cs"/>
          <w:sz w:val="24"/>
          <w:szCs w:val="24"/>
          <w:rtl/>
        </w:rPr>
        <w:t xml:space="preserve"> هكذا تكون أمانة مثل الناظم وشيخه في النقل</w:t>
      </w:r>
      <w:r w:rsidR="00F95886" w:rsidRPr="00A52585">
        <w:rPr>
          <w:rFonts w:hint="cs"/>
          <w:sz w:val="24"/>
          <w:szCs w:val="24"/>
          <w:rtl/>
        </w:rPr>
        <w:t>؟</w:t>
      </w:r>
      <w:r w:rsidR="00777DCB" w:rsidRPr="00A52585">
        <w:rPr>
          <w:rFonts w:hint="cs"/>
          <w:sz w:val="24"/>
          <w:szCs w:val="24"/>
          <w:rtl/>
        </w:rPr>
        <w:t xml:space="preserve"> وهل صدر منه صلى الله عليه وسلم في خطبة عرفات سوى أن رفع أصبعه ثم نكبها إليهم وهل في ذلك </w:t>
      </w:r>
      <w:r w:rsidR="00777DCB" w:rsidRPr="00A52585">
        <w:rPr>
          <w:rFonts w:hint="cs"/>
          <w:sz w:val="24"/>
          <w:szCs w:val="24"/>
          <w:rtl/>
        </w:rPr>
        <w:lastRenderedPageBreak/>
        <w:t>دلالة على أن رفعه كان ليشير به إلى جهة الله سبحانه</w:t>
      </w:r>
      <w:r w:rsidR="00F95886" w:rsidRPr="00A52585">
        <w:rPr>
          <w:rFonts w:hint="cs"/>
          <w:sz w:val="24"/>
          <w:szCs w:val="24"/>
          <w:rtl/>
        </w:rPr>
        <w:t>؟</w:t>
      </w:r>
      <w:r w:rsidR="00777DCB" w:rsidRPr="00A52585">
        <w:rPr>
          <w:rFonts w:hint="cs"/>
          <w:sz w:val="24"/>
          <w:szCs w:val="24"/>
          <w:rtl/>
        </w:rPr>
        <w:t xml:space="preserve"> تعالى الله عن ذلك. والخطيب يرفع يده وينكبها كيف يشاء في أثناء خطبته. وجعل ذلك حجة في شيء لا يصدر إلا ممن في قلبه مرض على أن الأرض كرية فالواقف في شرق الأرض تكون </w:t>
      </w:r>
      <w:proofErr w:type="spellStart"/>
      <w:r w:rsidR="00777DCB" w:rsidRPr="00A52585">
        <w:rPr>
          <w:rFonts w:hint="cs"/>
          <w:sz w:val="24"/>
          <w:szCs w:val="24"/>
          <w:rtl/>
        </w:rPr>
        <w:t>إخمصه</w:t>
      </w:r>
      <w:proofErr w:type="spellEnd"/>
      <w:r w:rsidR="00777DCB" w:rsidRPr="00A52585">
        <w:rPr>
          <w:rFonts w:hint="cs"/>
          <w:sz w:val="24"/>
          <w:szCs w:val="24"/>
          <w:rtl/>
        </w:rPr>
        <w:t xml:space="preserve"> في مقابلة </w:t>
      </w:r>
      <w:proofErr w:type="spellStart"/>
      <w:r w:rsidR="00777DCB" w:rsidRPr="00A52585">
        <w:rPr>
          <w:rFonts w:hint="cs"/>
          <w:sz w:val="24"/>
          <w:szCs w:val="24"/>
          <w:rtl/>
        </w:rPr>
        <w:t>إخمص</w:t>
      </w:r>
      <w:proofErr w:type="spellEnd"/>
      <w:r w:rsidR="00777DCB" w:rsidRPr="00A52585">
        <w:rPr>
          <w:rFonts w:hint="cs"/>
          <w:sz w:val="24"/>
          <w:szCs w:val="24"/>
          <w:rtl/>
        </w:rPr>
        <w:t xml:space="preserve"> الواقف في غرب الأرض، ومن ضرورة ذلك أن يكون سمتا رأسيهما إلى جهتين متعاكستين فتكون إشارة أحدهما إلى جهة تعاكس الجهة التي يشير إليها الآخر، وهكذا. وكرية الأرض منصوصة في الكتاب والسنة كما في فصل ابن جزم والمنكر لذلك ليس بمنكر لقول أهل الهيئة فقط، ولا للمحسوس فقط. ونسي الناظم الاستدلال في هذا الصدد بالإشارة في التشهد!]</w:t>
      </w:r>
      <w:r w:rsidR="00DB731D" w:rsidRPr="00A52585">
        <w:rPr>
          <w:rFonts w:hint="cs"/>
          <w:rtl/>
        </w:rPr>
        <w:t>،</w:t>
      </w:r>
      <w:r w:rsidR="00777DCB" w:rsidRPr="00A52585">
        <w:rPr>
          <w:rFonts w:hint="cs"/>
          <w:rtl/>
        </w:rPr>
        <w:t xml:space="preserve"> جوابه</w:t>
      </w:r>
      <w:r w:rsidRPr="00A52585">
        <w:rPr>
          <w:rFonts w:hint="cs"/>
          <w:rtl/>
        </w:rPr>
        <w:t>:</w:t>
      </w:r>
      <w:r w:rsidR="00777DCB" w:rsidRPr="00A52585">
        <w:rPr>
          <w:rFonts w:hint="cs"/>
          <w:rtl/>
        </w:rPr>
        <w:t xml:space="preserve"> إن القلب متوجه إلى الرب العالي قدراً, وقهراً على كل شيء ؛ والإشارة إلى جهة العلو التي هي محل ملكه, وسلطانه, وملائكته, والعليين عن خلقه</w:t>
      </w:r>
      <w:r w:rsidR="00DB731D" w:rsidRPr="00A52585">
        <w:rPr>
          <w:rFonts w:hint="cs"/>
          <w:rtl/>
        </w:rPr>
        <w:t>،</w:t>
      </w:r>
      <w:r w:rsidR="00777DCB" w:rsidRPr="00A52585">
        <w:rPr>
          <w:rFonts w:hint="cs"/>
          <w:rtl/>
        </w:rPr>
        <w:t xml:space="preserve"> وقبلة دعائه, ومنـزل وحيه؛ وهكذا رفع الأيدي في الدعاء</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ورفع الأيدي إلى السماء لأجل أن السماء منـزل البركات والخيرات لأن الأنوار إنما تنـزل منها والأمطار، وإذا ألف الإنسان حصول الخيرات من جانبٍ مال طبعه إليه؛ فهذا المعنى هو الذي أوجب رفع الأيدي إلى السماء وقال الله تعالى </w:t>
      </w:r>
      <w:r w:rsidRPr="00A52585">
        <w:rPr>
          <w:rFonts w:hint="cs"/>
          <w:sz w:val="24"/>
          <w:szCs w:val="24"/>
          <w:rtl/>
        </w:rPr>
        <w:t>{</w:t>
      </w:r>
      <w:r w:rsidR="00777DCB" w:rsidRPr="00A52585">
        <w:rPr>
          <w:rFonts w:hint="cs"/>
          <w:sz w:val="24"/>
          <w:szCs w:val="24"/>
          <w:rtl/>
        </w:rPr>
        <w:t>وفي السماء رزقكم وما توعدون} [الذاريات</w:t>
      </w:r>
      <w:r w:rsidRPr="00A52585">
        <w:rPr>
          <w:rFonts w:hint="cs"/>
          <w:sz w:val="24"/>
          <w:szCs w:val="24"/>
          <w:rtl/>
        </w:rPr>
        <w:t>:</w:t>
      </w:r>
      <w:r w:rsidR="00777DCB" w:rsidRPr="00A52585">
        <w:rPr>
          <w:rFonts w:hint="cs"/>
          <w:sz w:val="24"/>
          <w:szCs w:val="24"/>
          <w:rtl/>
        </w:rPr>
        <w:t xml:space="preserve"> 22] ذكره ابن </w:t>
      </w:r>
      <w:proofErr w:type="spellStart"/>
      <w:r w:rsidR="00777DCB" w:rsidRPr="00A52585">
        <w:rPr>
          <w:rFonts w:hint="cs"/>
          <w:sz w:val="24"/>
          <w:szCs w:val="24"/>
          <w:rtl/>
        </w:rPr>
        <w:t>جهبل</w:t>
      </w:r>
      <w:proofErr w:type="spellEnd"/>
      <w:r w:rsidR="00777DCB" w:rsidRPr="00A52585">
        <w:rPr>
          <w:rFonts w:hint="cs"/>
          <w:sz w:val="24"/>
          <w:szCs w:val="24"/>
          <w:rtl/>
        </w:rPr>
        <w:t xml:space="preserve"> فيما رد به على العقيدة الحموية لابن تيمية</w:t>
      </w:r>
      <w:r w:rsidR="00DB731D" w:rsidRPr="00A52585">
        <w:rPr>
          <w:rFonts w:hint="cs"/>
          <w:sz w:val="24"/>
          <w:szCs w:val="24"/>
          <w:rtl/>
        </w:rPr>
        <w:t>،</w:t>
      </w:r>
      <w:r w:rsidR="00777DCB" w:rsidRPr="00A52585">
        <w:rPr>
          <w:rFonts w:hint="cs"/>
          <w:sz w:val="24"/>
          <w:szCs w:val="24"/>
          <w:rtl/>
        </w:rPr>
        <w:t xml:space="preserve"> وهذا الرد يحق أن يكتب بماء الذهب، ومن حاول الرد عليه من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فقد وقع على رأسه وكتاب ابن </w:t>
      </w:r>
      <w:proofErr w:type="spellStart"/>
      <w:r w:rsidR="00777DCB" w:rsidRPr="00A52585">
        <w:rPr>
          <w:rFonts w:hint="cs"/>
          <w:sz w:val="24"/>
          <w:szCs w:val="24"/>
          <w:rtl/>
        </w:rPr>
        <w:t>جهبل</w:t>
      </w:r>
      <w:proofErr w:type="spellEnd"/>
      <w:r w:rsidR="00777DCB" w:rsidRPr="00A52585">
        <w:rPr>
          <w:rFonts w:hint="cs"/>
          <w:sz w:val="24"/>
          <w:szCs w:val="24"/>
          <w:rtl/>
        </w:rPr>
        <w:t xml:space="preserve"> حقه أن يُفرد بالطبع من طبقات ابن السبكي، ونسخة مخطوطة من كتاب ابن </w:t>
      </w:r>
      <w:proofErr w:type="spellStart"/>
      <w:r w:rsidR="00777DCB" w:rsidRPr="00A52585">
        <w:rPr>
          <w:rFonts w:hint="cs"/>
          <w:sz w:val="24"/>
          <w:szCs w:val="24"/>
          <w:rtl/>
        </w:rPr>
        <w:t>جهبل</w:t>
      </w:r>
      <w:proofErr w:type="spellEnd"/>
      <w:r w:rsidR="00777DCB" w:rsidRPr="00A52585">
        <w:rPr>
          <w:rFonts w:hint="cs"/>
          <w:sz w:val="24"/>
          <w:szCs w:val="24"/>
          <w:rtl/>
        </w:rPr>
        <w:t xml:space="preserve"> هذا توجد بمكتبة (</w:t>
      </w:r>
      <w:proofErr w:type="spellStart"/>
      <w:r w:rsidR="00777DCB" w:rsidRPr="00A52585">
        <w:rPr>
          <w:rFonts w:hint="cs"/>
          <w:sz w:val="24"/>
          <w:szCs w:val="24"/>
          <w:rtl/>
        </w:rPr>
        <w:t>لاله</w:t>
      </w:r>
      <w:proofErr w:type="spellEnd"/>
      <w:r w:rsidR="00777DCB" w:rsidRPr="00A52585">
        <w:rPr>
          <w:rFonts w:hint="cs"/>
          <w:sz w:val="24"/>
          <w:szCs w:val="24"/>
          <w:rtl/>
        </w:rPr>
        <w:t xml:space="preserve"> لي) </w:t>
      </w:r>
      <w:proofErr w:type="spellStart"/>
      <w:r w:rsidR="00777DCB" w:rsidRPr="00A52585">
        <w:rPr>
          <w:rFonts w:hint="cs"/>
          <w:sz w:val="24"/>
          <w:szCs w:val="24"/>
          <w:rtl/>
        </w:rPr>
        <w:t>باصطنبول</w:t>
      </w:r>
      <w:proofErr w:type="spellEnd"/>
      <w:r w:rsidR="00777DCB" w:rsidRPr="00A52585">
        <w:rPr>
          <w:rFonts w:hint="cs"/>
          <w:sz w:val="24"/>
          <w:szCs w:val="24"/>
          <w:rtl/>
        </w:rPr>
        <w:t>]</w:t>
      </w:r>
      <w:r w:rsidR="00777DCB" w:rsidRPr="00A52585">
        <w:rPr>
          <w:rFonts w:hint="cs"/>
          <w:rtl/>
        </w:rPr>
        <w:t xml:space="preserve"> </w:t>
      </w:r>
    </w:p>
    <w:p w14:paraId="3590369C" w14:textId="40678B26"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وثاني عشرها وصفه تعالى بالظاهر وفسر في الحديث </w:t>
      </w:r>
      <w:r w:rsidRPr="00A52585">
        <w:rPr>
          <w:rFonts w:hint="cs"/>
          <w:rtl/>
        </w:rPr>
        <w:t>(</w:t>
      </w:r>
      <w:r w:rsidR="00777DCB" w:rsidRPr="00A52585">
        <w:rPr>
          <w:rFonts w:hint="cs"/>
          <w:rtl/>
        </w:rPr>
        <w:t>أنت الظاهر فليس فوقك شيء</w:t>
      </w:r>
      <w:r w:rsidRPr="00A52585">
        <w:rPr>
          <w:rFonts w:hint="cs"/>
          <w:rtl/>
        </w:rPr>
        <w:t>)</w:t>
      </w:r>
      <w:r w:rsidR="00DB731D" w:rsidRPr="00A52585">
        <w:rPr>
          <w:rFonts w:hint="cs"/>
          <w:rtl/>
        </w:rPr>
        <w:t>،</w:t>
      </w:r>
      <w:r w:rsidR="00777DCB" w:rsidRPr="00A52585">
        <w:rPr>
          <w:rFonts w:hint="cs"/>
          <w:rtl/>
        </w:rPr>
        <w:t xml:space="preserve"> يقال لهذا المدبر إن كان الظاهر يقتضي الفوقية الحسية فاسم الباطن يقتضي التحتية الحسية -</w:t>
      </w:r>
      <w:r w:rsidRPr="00A52585">
        <w:rPr>
          <w:rFonts w:hint="cs"/>
          <w:rtl/>
        </w:rPr>
        <w:t xml:space="preserve"> </w:t>
      </w:r>
      <w:r w:rsidR="00777DCB" w:rsidRPr="00A52585">
        <w:rPr>
          <w:rFonts w:hint="cs"/>
          <w:rtl/>
        </w:rPr>
        <w:t>تعالى الله</w:t>
      </w:r>
      <w:r w:rsidR="00DB731D" w:rsidRPr="00A52585">
        <w:rPr>
          <w:rFonts w:hint="cs"/>
          <w:rtl/>
        </w:rPr>
        <w:t>،</w:t>
      </w:r>
      <w:r w:rsidR="00777DCB" w:rsidRPr="00A52585">
        <w:rPr>
          <w:rFonts w:hint="cs"/>
          <w:rtl/>
        </w:rPr>
        <w:t xml:space="preserve"> </w:t>
      </w:r>
    </w:p>
    <w:p w14:paraId="788BD25D" w14:textId="29E092BB" w:rsidR="00777DCB" w:rsidRPr="00A52585" w:rsidRDefault="0002035C" w:rsidP="0002035C">
      <w:pPr>
        <w:spacing w:after="240"/>
        <w:rPr>
          <w:b/>
          <w:rtl/>
        </w:rPr>
      </w:pPr>
      <w:r w:rsidRPr="00A52585">
        <w:rPr>
          <w:rFonts w:hint="cs"/>
          <w:bCs/>
          <w:rtl/>
        </w:rPr>
        <w:t>[</w:t>
      </w:r>
      <w:r w:rsidR="00777DCB" w:rsidRPr="00A52585">
        <w:rPr>
          <w:rFonts w:hint="cs"/>
          <w:bCs/>
          <w:rtl/>
        </w:rPr>
        <w:t>فصــــــل</w:t>
      </w:r>
      <w:r w:rsidRPr="00A52585">
        <w:rPr>
          <w:rFonts w:hint="cs"/>
          <w:bCs/>
          <w:rtl/>
        </w:rPr>
        <w:t>:</w:t>
      </w:r>
      <w:r w:rsidR="00777DCB" w:rsidRPr="00A52585">
        <w:rPr>
          <w:rFonts w:hint="cs"/>
          <w:bCs/>
          <w:rtl/>
        </w:rPr>
        <w:t xml:space="preserve"> دعوى الناظم في الرؤية بدون مقابلة</w:t>
      </w:r>
      <w:r w:rsidRPr="00A52585">
        <w:rPr>
          <w:rFonts w:hint="cs"/>
          <w:bCs/>
          <w:rtl/>
        </w:rPr>
        <w:t>]:</w:t>
      </w:r>
      <w:r w:rsidR="00777DCB" w:rsidRPr="00A52585">
        <w:rPr>
          <w:rFonts w:hint="cs"/>
          <w:b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وثالث عشرها إخباره أنا نـراه في الجنة وهل نـراه إلا من فوقنا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"إذ رؤية لا في مقابلة من الرائي محال ليس في الإمكان"، وهذا صريح في أنه لا يرى رؤية لا يكون المرئي فيها في مقابلة الرائي فلا يكون؛ أصرح من هذا في القول بالتجسيم</w:t>
      </w:r>
      <w:r w:rsidR="00DB731D" w:rsidRPr="00A52585">
        <w:rPr>
          <w:rFonts w:hint="cs"/>
          <w:sz w:val="24"/>
          <w:szCs w:val="24"/>
          <w:rtl/>
        </w:rPr>
        <w:t>،</w:t>
      </w:r>
      <w:r w:rsidR="00777DCB" w:rsidRPr="00A52585">
        <w:rPr>
          <w:rFonts w:hint="cs"/>
          <w:sz w:val="24"/>
          <w:szCs w:val="24"/>
          <w:rtl/>
        </w:rPr>
        <w:t xml:space="preserve"> ومن جملة ما يهذي به الناظم في شفاء العليل (159)</w:t>
      </w:r>
      <w:r w:rsidRPr="00A52585">
        <w:rPr>
          <w:rFonts w:hint="cs"/>
          <w:sz w:val="24"/>
          <w:szCs w:val="24"/>
          <w:rtl/>
        </w:rPr>
        <w:t>:</w:t>
      </w:r>
      <w:r w:rsidR="00777DCB" w:rsidRPr="00A52585">
        <w:rPr>
          <w:rFonts w:hint="cs"/>
          <w:sz w:val="24"/>
          <w:szCs w:val="24"/>
          <w:rtl/>
        </w:rPr>
        <w:t xml:space="preserve"> "كيف يصح عند ذي عقل، مرئي يرى بالأبصار عيانا لا فوق الرائي ولا تحته ولا عن يمينه ولا عن شماله ولا خلفه ولا أمامه" أهـ وهذا مثل ما هنا. وهو من أبعد الناس عن نفي الرؤية فيكون مجسما صريحاً.، ورؤية الله كما يرى القمر في ليلة البدر يقول عنها ابن قتيبة في (الاختلاف في اللفظ) لم يقع التشبيه فيها على حالات القمر من التدوير والمسير والحدود وغير ذلك وإنما وقع التشبيه في أن إدراكه يوم القيامة كإدراكنا القمر ليلة البدر لا يختلف في ذلك كما لا يختلف في هذا، والعرب تضرب بالقمر المثل في الشهرة والظهور اهـ.</w:t>
      </w:r>
      <w:r w:rsidR="00DB731D" w:rsidRPr="00A52585">
        <w:rPr>
          <w:rFonts w:hint="cs"/>
          <w:sz w:val="24"/>
          <w:szCs w:val="24"/>
          <w:rtl/>
        </w:rPr>
        <w:t>،</w:t>
      </w:r>
      <w:r w:rsidR="00777DCB" w:rsidRPr="00A52585">
        <w:rPr>
          <w:rFonts w:hint="cs"/>
          <w:sz w:val="24"/>
          <w:szCs w:val="24"/>
          <w:rtl/>
        </w:rPr>
        <w:t xml:space="preserve"> فعار على الناظم وشيخه أن يغيب عنهما ما لم يغب عن مثل ابن قتيبة، لكن الهوى يعمي ويصم. وكلامهما ينبئ عن تشبيه المرئي بالمرئي؛ بل عادة ابن تيمية تهوين شأن التشبيه حتى تجده يقول فيما رد به على الرازي (24 -</w:t>
      </w:r>
      <w:r w:rsidRPr="00A52585">
        <w:rPr>
          <w:rFonts w:hint="cs"/>
          <w:sz w:val="24"/>
          <w:szCs w:val="24"/>
          <w:rtl/>
        </w:rPr>
        <w:t xml:space="preserve"> </w:t>
      </w:r>
      <w:r w:rsidR="00777DCB" w:rsidRPr="00A52585">
        <w:rPr>
          <w:rFonts w:hint="cs"/>
          <w:sz w:val="24"/>
          <w:szCs w:val="24"/>
          <w:rtl/>
        </w:rPr>
        <w:t xml:space="preserve">الكواكب) "ليس في كتاب الله ولا سنة رسوله صلى الله عليه وسلم ولا كلام أحد من الصحابة والتابعين ولا الأكابر من أتباع التابعين ذم </w:t>
      </w:r>
      <w:r w:rsidR="00777DCB" w:rsidRPr="00A52585">
        <w:rPr>
          <w:rFonts w:hint="cs"/>
          <w:sz w:val="24"/>
          <w:szCs w:val="24"/>
          <w:rtl/>
        </w:rPr>
        <w:lastRenderedPageBreak/>
        <w:t xml:space="preserve">المشبهة وذم التشبيه ونفي مذهب التشبيه ونحو ذلك وإنما اشتهر ذم هذا من جهة الجهمية </w:t>
      </w:r>
      <w:proofErr w:type="spellStart"/>
      <w:r w:rsidR="00777DCB" w:rsidRPr="00A52585">
        <w:rPr>
          <w:rFonts w:hint="cs"/>
          <w:sz w:val="24"/>
          <w:szCs w:val="24"/>
          <w:rtl/>
        </w:rPr>
        <w:t>اهـ"كأنه</w:t>
      </w:r>
      <w:proofErr w:type="spellEnd"/>
      <w:r w:rsidR="00777DCB" w:rsidRPr="00A52585">
        <w:rPr>
          <w:rFonts w:hint="cs"/>
          <w:sz w:val="24"/>
          <w:szCs w:val="24"/>
          <w:rtl/>
        </w:rPr>
        <w:t xml:space="preserve"> لم يتل قوله تعالى </w:t>
      </w:r>
      <w:r w:rsidRPr="00A52585">
        <w:rPr>
          <w:rFonts w:hint="cs"/>
          <w:sz w:val="24"/>
          <w:szCs w:val="24"/>
          <w:rtl/>
        </w:rPr>
        <w:t>{</w:t>
      </w:r>
      <w:r w:rsidR="00777DCB" w:rsidRPr="00A52585">
        <w:rPr>
          <w:rFonts w:hint="cs"/>
          <w:sz w:val="24"/>
          <w:szCs w:val="24"/>
          <w:rtl/>
        </w:rPr>
        <w:t>ليس كمثله شيء} [الشورى</w:t>
      </w:r>
      <w:r w:rsidRPr="00A52585">
        <w:rPr>
          <w:rFonts w:hint="cs"/>
          <w:sz w:val="24"/>
          <w:szCs w:val="24"/>
          <w:rtl/>
        </w:rPr>
        <w:t>:</w:t>
      </w:r>
      <w:r w:rsidR="00777DCB" w:rsidRPr="00A52585">
        <w:rPr>
          <w:rFonts w:hint="cs"/>
          <w:sz w:val="24"/>
          <w:szCs w:val="24"/>
          <w:rtl/>
        </w:rPr>
        <w:t>11] وقوله تعالى</w:t>
      </w:r>
      <w:r w:rsidRPr="00A52585">
        <w:rPr>
          <w:rFonts w:hint="cs"/>
          <w:sz w:val="24"/>
          <w:szCs w:val="24"/>
          <w:rtl/>
        </w:rPr>
        <w:t>:</w:t>
      </w:r>
      <w:r w:rsidR="00777DCB" w:rsidRPr="00A52585">
        <w:rPr>
          <w:rFonts w:hint="cs"/>
          <w:sz w:val="24"/>
          <w:szCs w:val="24"/>
          <w:rtl/>
        </w:rPr>
        <w:t xml:space="preserve"> {أفمن يخلق كمن لا يخلق</w:t>
      </w:r>
      <w:r w:rsidRPr="00A52585">
        <w:rPr>
          <w:rFonts w:hint="cs"/>
          <w:sz w:val="24"/>
          <w:szCs w:val="24"/>
          <w:rtl/>
        </w:rPr>
        <w:t>} [</w:t>
      </w:r>
      <w:r w:rsidR="00777DCB" w:rsidRPr="00A52585">
        <w:rPr>
          <w:rFonts w:hint="cs"/>
          <w:sz w:val="24"/>
          <w:szCs w:val="24"/>
          <w:rtl/>
        </w:rPr>
        <w:t>النحل</w:t>
      </w:r>
      <w:r w:rsidRPr="00A52585">
        <w:rPr>
          <w:rFonts w:hint="cs"/>
          <w:sz w:val="24"/>
          <w:szCs w:val="24"/>
          <w:rtl/>
        </w:rPr>
        <w:t>:</w:t>
      </w:r>
      <w:r w:rsidR="00777DCB" w:rsidRPr="00A52585">
        <w:rPr>
          <w:rFonts w:hint="cs"/>
          <w:sz w:val="24"/>
          <w:szCs w:val="24"/>
          <w:rtl/>
        </w:rPr>
        <w:t>17] وهو الذي يروي عن ابن راهويه في موضع آخر من ذلك الكتاب (من وصف الله فشبه صفاته بصفات أحد من خلقه فهو كافر بالله العظيم)؛ ويروي أيضاً مثله عن نعيم بن حماد في موضع آخر وهو من أئمتهم بل يروي عن الإمام أحمد نفسه (لا يشبهه شيء من خلقه) في موضع آخر من كتابه المذكور؛ وهذا مما يدل على وقاحته البالغة وقلة دينه، وهل أدل على قلة عقل الرجل من تناقضه في كتاب واحد</w:t>
      </w:r>
      <w:r w:rsidR="00F95886" w:rsidRPr="00A52585">
        <w:rPr>
          <w:rFonts w:hint="cs"/>
          <w:sz w:val="24"/>
          <w:szCs w:val="24"/>
          <w:rtl/>
        </w:rPr>
        <w:t>؟</w:t>
      </w:r>
      <w:r w:rsidR="00777DCB" w:rsidRPr="00A52585">
        <w:rPr>
          <w:rFonts w:hint="cs"/>
          <w:sz w:val="24"/>
          <w:szCs w:val="24"/>
          <w:rtl/>
        </w:rPr>
        <w:t xml:space="preserve"> والله ينتقم منه</w:t>
      </w:r>
      <w:r w:rsidRPr="00A52585">
        <w:rPr>
          <w:rFonts w:hint="cs"/>
          <w:sz w:val="24"/>
          <w:szCs w:val="24"/>
          <w:rtl/>
        </w:rPr>
        <w:t>]</w:t>
      </w:r>
      <w:r w:rsidR="00777DCB" w:rsidRPr="00A52585">
        <w:rPr>
          <w:rFonts w:hint="cs"/>
          <w:rtl/>
        </w:rPr>
        <w:t xml:space="preserve"> ودعوى سواها مكابرة ولذا قال محقق منكم للمعتزلة ما بيننا خلف فاحملوا معنا على المجسمة إذ قالوا يرى كما يرى القمران فيلزمهم العلو وليس فوق العرش رب هذا الذي والله مودع كتبهم</w:t>
      </w:r>
      <w:r w:rsidRPr="00A52585">
        <w:rPr>
          <w:rFonts w:hint="cs"/>
          <w:rtl/>
        </w:rPr>
        <w:t>)</w:t>
      </w:r>
      <w:r w:rsidR="00DB731D" w:rsidRPr="00A52585">
        <w:rPr>
          <w:rFonts w:hint="cs"/>
          <w:rtl/>
        </w:rPr>
        <w:t>،</w:t>
      </w:r>
      <w:r w:rsidR="00777DCB" w:rsidRPr="00A52585">
        <w:rPr>
          <w:rFonts w:hint="cs"/>
          <w:rtl/>
        </w:rPr>
        <w:t xml:space="preserve"> ينبغي أن يحضر هذا النحس ويلزم بأن يخرج من كتبهم أنه ليس فوق العرش رب ولن يجده في كتبهم أبداً وتوهمه أنه لا يرى إلا من فوق لقصور عقله. ونقله اتفاقنا مع المعتزلة لعدم فهمه؛ بل بيننا وبينهم </w:t>
      </w:r>
      <w:proofErr w:type="gramStart"/>
      <w:r w:rsidR="00777DCB" w:rsidRPr="00A52585">
        <w:rPr>
          <w:rFonts w:hint="cs"/>
          <w:rtl/>
        </w:rPr>
        <w:t>وفاق,</w:t>
      </w:r>
      <w:proofErr w:type="gramEnd"/>
      <w:r w:rsidR="00777DCB" w:rsidRPr="00A52585">
        <w:rPr>
          <w:rFonts w:hint="cs"/>
          <w:rtl/>
        </w:rPr>
        <w:t xml:space="preserve"> وخلاف؛ فقوله</w:t>
      </w:r>
      <w:r w:rsidRPr="00A52585">
        <w:rPr>
          <w:rFonts w:hint="cs"/>
          <w:rtl/>
        </w:rPr>
        <w:t>:</w:t>
      </w:r>
      <w:r w:rsidR="00777DCB" w:rsidRPr="00A52585">
        <w:rPr>
          <w:rFonts w:hint="cs"/>
          <w:rtl/>
        </w:rPr>
        <w:t xml:space="preserve"> ما بيننا وبينكم خلف كذب علينا</w:t>
      </w:r>
      <w:r w:rsidR="00DB731D" w:rsidRPr="00A52585">
        <w:rPr>
          <w:rFonts w:hint="cs"/>
          <w:rtl/>
        </w:rPr>
        <w:t>،</w:t>
      </w:r>
      <w:r w:rsidR="00777DCB" w:rsidRPr="00A52585">
        <w:rPr>
          <w:rFonts w:hint="cs"/>
          <w:rtl/>
        </w:rPr>
        <w:t xml:space="preserve"> </w:t>
      </w:r>
    </w:p>
    <w:p w14:paraId="271235DE" w14:textId="4189C2A5" w:rsidR="00777DCB" w:rsidRPr="00A52585" w:rsidRDefault="0002035C" w:rsidP="0002035C">
      <w:pPr>
        <w:spacing w:after="240"/>
        <w:rPr>
          <w:b/>
          <w:rtl/>
        </w:rPr>
      </w:pPr>
      <w:r w:rsidRPr="00A52585">
        <w:rPr>
          <w:rFonts w:hint="cs"/>
          <w:bCs/>
          <w:rtl/>
        </w:rPr>
        <w:t>[</w:t>
      </w:r>
      <w:r w:rsidR="00777DCB" w:rsidRPr="00A52585">
        <w:rPr>
          <w:rFonts w:hint="cs"/>
          <w:bCs/>
          <w:rtl/>
        </w:rPr>
        <w:t>فصـــــــل</w:t>
      </w:r>
      <w:r w:rsidRPr="00A52585">
        <w:rPr>
          <w:rFonts w:hint="cs"/>
          <w:bCs/>
          <w:rtl/>
        </w:rPr>
        <w:t>:</w:t>
      </w:r>
      <w:r w:rsidR="00777DCB" w:rsidRPr="00A52585">
        <w:rPr>
          <w:rFonts w:hint="cs"/>
          <w:bCs/>
          <w:rtl/>
        </w:rPr>
        <w:t xml:space="preserve"> بسط الكلام في السؤال بـ </w:t>
      </w:r>
      <w:r w:rsidRPr="00A52585">
        <w:rPr>
          <w:rFonts w:hint="cs"/>
          <w:bCs/>
          <w:rtl/>
        </w:rPr>
        <w:t>(</w:t>
      </w:r>
      <w:r w:rsidR="00777DCB" w:rsidRPr="00A52585">
        <w:rPr>
          <w:rFonts w:hint="cs"/>
          <w:bCs/>
          <w:rtl/>
        </w:rPr>
        <w:t>أين</w:t>
      </w:r>
      <w:r w:rsidRPr="00A52585">
        <w:rPr>
          <w:rFonts w:hint="cs"/>
          <w:bCs/>
          <w:rtl/>
        </w:rPr>
        <w:t>)</w:t>
      </w:r>
      <w:r w:rsidR="00777DCB" w:rsidRPr="00A52585">
        <w:rPr>
          <w:rFonts w:hint="cs"/>
          <w:bCs/>
          <w:rtl/>
        </w:rPr>
        <w:t xml:space="preserve"> في حديث الجارية</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ورابع عشرها أين الله في كلام النبي صلى الله عليه وسلم في حديث معاوية بن الحكم وفي تقريره لمن سأله رواه أبو رزين</w:t>
      </w:r>
      <w:r w:rsidRPr="00A52585">
        <w:rPr>
          <w:rFonts w:hint="cs"/>
          <w:rtl/>
        </w:rPr>
        <w:t>)</w:t>
      </w:r>
      <w:r w:rsidR="00DB731D" w:rsidRPr="00A52585">
        <w:rPr>
          <w:rFonts w:hint="cs"/>
          <w:rtl/>
        </w:rPr>
        <w:t>،</w:t>
      </w:r>
      <w:r w:rsidR="00777DCB" w:rsidRPr="00A52585">
        <w:rPr>
          <w:rFonts w:hint="cs"/>
          <w:rtl/>
        </w:rPr>
        <w:t xml:space="preserve"> أقول</w:t>
      </w:r>
      <w:r w:rsidRPr="00A52585">
        <w:rPr>
          <w:rFonts w:hint="cs"/>
          <w:rtl/>
        </w:rPr>
        <w:t>:</w:t>
      </w:r>
      <w:r w:rsidR="00777DCB" w:rsidRPr="00A52585">
        <w:rPr>
          <w:rFonts w:hint="cs"/>
          <w:rtl/>
        </w:rPr>
        <w:t xml:space="preserve"> أما القول فقوله صلى الله عليه وسلم للجارية </w:t>
      </w:r>
      <w:r w:rsidRPr="00A52585">
        <w:rPr>
          <w:rFonts w:hint="cs"/>
          <w:rtl/>
        </w:rPr>
        <w:t>(</w:t>
      </w:r>
      <w:r w:rsidR="00777DCB" w:rsidRPr="00A52585">
        <w:rPr>
          <w:rFonts w:hint="cs"/>
          <w:rtl/>
        </w:rPr>
        <w:t>أين الله</w:t>
      </w:r>
      <w:r w:rsidR="00F95886" w:rsidRPr="00A52585">
        <w:rPr>
          <w:rFonts w:hint="cs"/>
          <w:rtl/>
        </w:rPr>
        <w:t>؟</w:t>
      </w:r>
      <w:r w:rsidR="00777DCB" w:rsidRPr="00A52585">
        <w:rPr>
          <w:rFonts w:hint="cs"/>
          <w:rtl/>
        </w:rPr>
        <w:t xml:space="preserve"> قالت في السماء</w:t>
      </w:r>
      <w:r w:rsidRPr="00A52585">
        <w:rPr>
          <w:rFonts w:hint="cs"/>
          <w:rtl/>
        </w:rPr>
        <w:t>)</w:t>
      </w:r>
      <w:r w:rsidR="00777DCB" w:rsidRPr="00A52585">
        <w:rPr>
          <w:rFonts w:hint="cs"/>
          <w:rtl/>
        </w:rPr>
        <w:t xml:space="preserve"> وقد تكلم الناس عليه قديماً وحديثاً؛ والكلام عليه معروف ولا يقبله ذهن هذا الرجل لأنه مشاء على بدعه لا يقبل غيرها!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وراوي هذا الحديث عن ابن الحكم هو عطاء بن يسار وقد اختلفت ألفاظه فيه ففي لفظ له " فمد النبي صلى الله عليه وسلم يده إليها وأشار إليها مستفهما من في السماء.. " الحديث،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w:t>
      </w:r>
      <w:r w:rsidR="00DB731D" w:rsidRPr="00A52585">
        <w:rPr>
          <w:rFonts w:hint="cs"/>
          <w:sz w:val="24"/>
          <w:szCs w:val="24"/>
          <w:rtl/>
        </w:rPr>
        <w:t>،</w:t>
      </w:r>
      <w:r w:rsidR="00777DCB" w:rsidRPr="00A52585">
        <w:rPr>
          <w:rFonts w:hint="cs"/>
          <w:sz w:val="24"/>
          <w:szCs w:val="24"/>
          <w:rtl/>
        </w:rPr>
        <w:t xml:space="preserve"> ومثل هذا الحديث يصح الأخذ به فيما يتعلق بالعمل دون الاعتقاد، ولذا أخرجه مسلم في باب تحريم الكلام في الصلاة</w:t>
      </w:r>
      <w:r w:rsidRPr="00A52585">
        <w:rPr>
          <w:rFonts w:hint="cs"/>
          <w:sz w:val="24"/>
          <w:szCs w:val="24"/>
          <w:rtl/>
        </w:rPr>
        <w:t xml:space="preserve"> </w:t>
      </w:r>
      <w:r w:rsidR="00777DCB" w:rsidRPr="00A52585">
        <w:rPr>
          <w:rFonts w:hint="cs"/>
          <w:sz w:val="24"/>
          <w:szCs w:val="24"/>
          <w:rtl/>
        </w:rPr>
        <w:t>- دون كتاب الإيمان -</w:t>
      </w:r>
      <w:r w:rsidRPr="00A52585">
        <w:rPr>
          <w:rFonts w:hint="cs"/>
          <w:sz w:val="24"/>
          <w:szCs w:val="24"/>
          <w:rtl/>
        </w:rPr>
        <w:t xml:space="preserve"> </w:t>
      </w:r>
      <w:r w:rsidR="00777DCB" w:rsidRPr="00A52585">
        <w:rPr>
          <w:rFonts w:hint="cs"/>
          <w:sz w:val="24"/>
          <w:szCs w:val="24"/>
          <w:rtl/>
        </w:rPr>
        <w:t>حيث اشتمل على تشميت العاطس في الصلاة ومنع النبي صلى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بدون أي إشارة إلى أنه اختصر الحديث. وليس في رواية الليثي عن مالك لفظ (فإنها مؤمنة)</w:t>
      </w:r>
      <w:r w:rsidR="00DB731D" w:rsidRPr="00A52585">
        <w:rPr>
          <w:rFonts w:hint="cs"/>
          <w:sz w:val="24"/>
          <w:szCs w:val="24"/>
          <w:rtl/>
        </w:rPr>
        <w:t>،</w:t>
      </w:r>
      <w:r w:rsidR="00777DCB" w:rsidRPr="00A52585">
        <w:rPr>
          <w:rFonts w:hint="cs"/>
          <w:sz w:val="24"/>
          <w:szCs w:val="24"/>
          <w:rtl/>
        </w:rPr>
        <w:t xml:space="preserve"> وأما عدم صحة الاحتجاج به في إثبات المكان له تعالى فللبراهين القائمة في تنـزه الله سبحانه عن المكان والمكانيات والزمان والزمانيات. قال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قل لمن ما في السموات والأرض قل لله</w:t>
      </w:r>
      <w:r w:rsidR="00777DCB" w:rsidRPr="00A52585">
        <w:rPr>
          <w:rFonts w:hint="cs"/>
          <w:sz w:val="24"/>
          <w:szCs w:val="24"/>
          <w:rtl/>
        </w:rPr>
        <w:t>} [الأنعام</w:t>
      </w:r>
      <w:r w:rsidRPr="00A52585">
        <w:rPr>
          <w:rFonts w:hint="cs"/>
          <w:sz w:val="24"/>
          <w:szCs w:val="24"/>
          <w:rtl/>
        </w:rPr>
        <w:t>:</w:t>
      </w:r>
      <w:r w:rsidR="00777DCB" w:rsidRPr="00A52585">
        <w:rPr>
          <w:rFonts w:hint="cs"/>
          <w:sz w:val="24"/>
          <w:szCs w:val="24"/>
          <w:rtl/>
        </w:rPr>
        <w:t>12] وهذا مشعر بأن المكان وكل ما فيه ملك لله تعالى، وقال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وله ما سكن في الليل والنهار</w:t>
      </w:r>
      <w:r w:rsidR="00777DCB" w:rsidRPr="00A52585">
        <w:rPr>
          <w:rFonts w:hint="cs"/>
          <w:sz w:val="24"/>
          <w:szCs w:val="24"/>
          <w:rtl/>
        </w:rPr>
        <w:t>} [الأنعام</w:t>
      </w:r>
      <w:r w:rsidRPr="00A52585">
        <w:rPr>
          <w:rFonts w:hint="cs"/>
          <w:sz w:val="24"/>
          <w:szCs w:val="24"/>
          <w:rtl/>
        </w:rPr>
        <w:t>:</w:t>
      </w:r>
      <w:r w:rsidR="00777DCB" w:rsidRPr="00A52585">
        <w:rPr>
          <w:rFonts w:hint="cs"/>
          <w:sz w:val="24"/>
          <w:szCs w:val="24"/>
          <w:rtl/>
        </w:rPr>
        <w:t>13] وذلك يدل على أن الزمان وكل ما فيه ملك لله تعالى، فهاتان الآيتان تدلان على أن المكان والمكانيات والزمان والزمانيات كلها ملك لله تعالى وذلك يدل على تنـزيهه سبحانه عن المكان والزمان، كما في" أساس التقديس" للفخر الرازي</w:t>
      </w:r>
      <w:r w:rsidR="00DB731D" w:rsidRPr="00A52585">
        <w:rPr>
          <w:rFonts w:hint="cs"/>
          <w:sz w:val="24"/>
          <w:szCs w:val="24"/>
          <w:rtl/>
        </w:rPr>
        <w:t>،</w:t>
      </w:r>
      <w:r w:rsidR="00777DCB" w:rsidRPr="00A52585">
        <w:rPr>
          <w:rFonts w:hint="cs"/>
          <w:sz w:val="24"/>
          <w:szCs w:val="24"/>
          <w:rtl/>
        </w:rPr>
        <w:t xml:space="preserve"> ولأن الحديث فيه اضطراب سنداً ومتناً ر غم تصحيح الذهبي وتهويله؛ راجع طرقه في كتاب العلو للذهبي وشروح الموطأ وتوحيد ابن خزيمة حتى تعلم مبلغ الاضطراب فيه سنداً ومتناً</w:t>
      </w:r>
      <w:r w:rsidR="00DB731D" w:rsidRPr="00A52585">
        <w:rPr>
          <w:rFonts w:hint="cs"/>
          <w:sz w:val="24"/>
          <w:szCs w:val="24"/>
          <w:rtl/>
        </w:rPr>
        <w:t>،</w:t>
      </w:r>
      <w:r w:rsidR="00777DCB" w:rsidRPr="00A52585">
        <w:rPr>
          <w:rFonts w:hint="cs"/>
          <w:sz w:val="24"/>
          <w:szCs w:val="24"/>
          <w:rtl/>
        </w:rPr>
        <w:t xml:space="preserve"> وحمل ذلك على تعدد القصة لا </w:t>
      </w:r>
      <w:proofErr w:type="spellStart"/>
      <w:r w:rsidR="00777DCB" w:rsidRPr="00A52585">
        <w:rPr>
          <w:rFonts w:hint="cs"/>
          <w:sz w:val="24"/>
          <w:szCs w:val="24"/>
          <w:rtl/>
        </w:rPr>
        <w:t>يرضاه</w:t>
      </w:r>
      <w:proofErr w:type="spellEnd"/>
      <w:r w:rsidR="00777DCB" w:rsidRPr="00A52585">
        <w:rPr>
          <w:rFonts w:hint="cs"/>
          <w:sz w:val="24"/>
          <w:szCs w:val="24"/>
          <w:rtl/>
        </w:rPr>
        <w:t xml:space="preserve"> </w:t>
      </w:r>
      <w:r w:rsidR="00777DCB" w:rsidRPr="00A52585">
        <w:rPr>
          <w:rFonts w:hint="cs"/>
          <w:sz w:val="24"/>
          <w:szCs w:val="24"/>
          <w:rtl/>
        </w:rPr>
        <w:lastRenderedPageBreak/>
        <w:t>أهل الغوص في الحديث والنظر معاً في مثل هذا المطلب، فالروايات على رجل مبهم محمولة على ابن الحكم، ولم يصح حديث كعب بن مالك ولا حديث يروى عن امرأة، فمالك يرويه عن عمر بن الحكم غير مقر بأن يكون غلطاً فيه، ومسلم عن معاوية بن الحكم ولفظهما كما سبقت الإشارة إليه مع نقص لفظ (فإنها مؤمنة) في رواية مالك</w:t>
      </w:r>
      <w:r w:rsidR="00DB731D" w:rsidRPr="00A52585">
        <w:rPr>
          <w:rFonts w:hint="cs"/>
          <w:sz w:val="24"/>
          <w:szCs w:val="24"/>
          <w:rtl/>
        </w:rPr>
        <w:t>،</w:t>
      </w:r>
      <w:r w:rsidR="00777DCB" w:rsidRPr="00A52585">
        <w:rPr>
          <w:rFonts w:hint="cs"/>
          <w:sz w:val="24"/>
          <w:szCs w:val="24"/>
          <w:rtl/>
        </w:rPr>
        <w:t xml:space="preserve"> ولفظ ابن شهاب في موطأ مالك عن أنصاري -</w:t>
      </w:r>
      <w:r w:rsidRPr="00A52585">
        <w:rPr>
          <w:rFonts w:hint="cs"/>
          <w:sz w:val="24"/>
          <w:szCs w:val="24"/>
          <w:rtl/>
        </w:rPr>
        <w:t xml:space="preserve"> </w:t>
      </w:r>
      <w:r w:rsidR="00777DCB" w:rsidRPr="00A52585">
        <w:rPr>
          <w:rFonts w:hint="cs"/>
          <w:sz w:val="24"/>
          <w:szCs w:val="24"/>
          <w:rtl/>
        </w:rPr>
        <w:t>وهو صاحب القصة في الرواية الأولى – (فقال لها رسول الله صلى الله عليه وسلم</w:t>
      </w:r>
      <w:r w:rsidRPr="00A52585">
        <w:rPr>
          <w:rFonts w:hint="cs"/>
          <w:sz w:val="24"/>
          <w:szCs w:val="24"/>
          <w:rtl/>
        </w:rPr>
        <w:t>:</w:t>
      </w:r>
      <w:r w:rsidR="00777DCB" w:rsidRPr="00A52585">
        <w:rPr>
          <w:rFonts w:hint="cs"/>
          <w:sz w:val="24"/>
          <w:szCs w:val="24"/>
          <w:rtl/>
        </w:rPr>
        <w:t xml:space="preserve"> أتشهدين أن لا إله إلا الله</w:t>
      </w:r>
      <w:r w:rsidR="00F95886" w:rsidRPr="00A52585">
        <w:rPr>
          <w:rFonts w:hint="cs"/>
          <w:sz w:val="24"/>
          <w:szCs w:val="24"/>
          <w:rtl/>
        </w:rPr>
        <w:t>؟</w:t>
      </w:r>
      <w:r w:rsidR="00777DCB" w:rsidRPr="00A52585">
        <w:rPr>
          <w:rFonts w:hint="cs"/>
          <w:sz w:val="24"/>
          <w:szCs w:val="24"/>
          <w:rtl/>
        </w:rPr>
        <w:t xml:space="preserve"> قالت</w:t>
      </w:r>
      <w:r w:rsidRPr="00A52585">
        <w:rPr>
          <w:rFonts w:hint="cs"/>
          <w:sz w:val="24"/>
          <w:szCs w:val="24"/>
          <w:rtl/>
        </w:rPr>
        <w:t>:</w:t>
      </w:r>
      <w:r w:rsidR="00777DCB" w:rsidRPr="00A52585">
        <w:rPr>
          <w:rFonts w:hint="cs"/>
          <w:sz w:val="24"/>
          <w:szCs w:val="24"/>
          <w:rtl/>
        </w:rPr>
        <w:t xml:space="preserve"> نعم، قال</w:t>
      </w:r>
      <w:r w:rsidRPr="00A52585">
        <w:rPr>
          <w:rFonts w:hint="cs"/>
          <w:sz w:val="24"/>
          <w:szCs w:val="24"/>
          <w:rtl/>
        </w:rPr>
        <w:t>:</w:t>
      </w:r>
      <w:r w:rsidR="00777DCB" w:rsidRPr="00A52585">
        <w:rPr>
          <w:rFonts w:hint="cs"/>
          <w:sz w:val="24"/>
          <w:szCs w:val="24"/>
          <w:rtl/>
        </w:rPr>
        <w:t xml:space="preserve"> أتشهدين أن محمداً رسول الله</w:t>
      </w:r>
      <w:r w:rsidR="00F95886" w:rsidRPr="00A52585">
        <w:rPr>
          <w:rFonts w:hint="cs"/>
          <w:sz w:val="24"/>
          <w:szCs w:val="24"/>
          <w:rtl/>
        </w:rPr>
        <w:t>؟</w:t>
      </w:r>
      <w:r w:rsidR="00777DCB" w:rsidRPr="00A52585">
        <w:rPr>
          <w:rFonts w:hint="cs"/>
          <w:sz w:val="24"/>
          <w:szCs w:val="24"/>
          <w:rtl/>
        </w:rPr>
        <w:t xml:space="preserve"> قالت</w:t>
      </w:r>
      <w:r w:rsidRPr="00A52585">
        <w:rPr>
          <w:rFonts w:hint="cs"/>
          <w:sz w:val="24"/>
          <w:szCs w:val="24"/>
          <w:rtl/>
        </w:rPr>
        <w:t>:</w:t>
      </w:r>
      <w:r w:rsidR="00777DCB" w:rsidRPr="00A52585">
        <w:rPr>
          <w:rFonts w:hint="cs"/>
          <w:sz w:val="24"/>
          <w:szCs w:val="24"/>
          <w:rtl/>
        </w:rPr>
        <w:t xml:space="preserve"> نعم) وأين هذا من ذاك</w:t>
      </w:r>
      <w:r w:rsidR="00F95886" w:rsidRPr="00A52585">
        <w:rPr>
          <w:rFonts w:hint="cs"/>
          <w:sz w:val="24"/>
          <w:szCs w:val="24"/>
          <w:rtl/>
        </w:rPr>
        <w:t>؟</w:t>
      </w:r>
      <w:r w:rsidR="00777DCB" w:rsidRPr="00A52585">
        <w:rPr>
          <w:rFonts w:hint="cs"/>
          <w:sz w:val="24"/>
          <w:szCs w:val="24"/>
          <w:rtl/>
        </w:rPr>
        <w:t xml:space="preserve"> وستعرف حال الذهبي في أواخر الكتاب فلا تلتفت إلى تهويله وتحريفه في هذا الباب فلعل لفظ (أين الله) تغيير بعض الرواة على حسب فهمه؛ والرواية بالمعنى شائعة في الطبقات كلها. وإذا وقعت الرواية بالمعنى من غير فقيه فهناك الطامة، وصاحب القصة لم يكن من فقهاء الصحابة ولا له سوى هذا الحديث في التحقيق، بل كان أعرابياً يتكلم في الصلاة</w:t>
      </w:r>
      <w:r w:rsidR="00DB731D" w:rsidRPr="00A52585">
        <w:rPr>
          <w:rFonts w:hint="cs"/>
          <w:sz w:val="24"/>
          <w:szCs w:val="24"/>
          <w:rtl/>
        </w:rPr>
        <w:t>،</w:t>
      </w:r>
      <w:r w:rsidR="00777DCB" w:rsidRPr="00A52585">
        <w:rPr>
          <w:rFonts w:hint="cs"/>
          <w:sz w:val="24"/>
          <w:szCs w:val="24"/>
          <w:rtl/>
        </w:rPr>
        <w:t xml:space="preserve"> على أن (أين) تكون للسؤال عن المكان وللسؤال عن المكانة حقيقة في الأول ومجازاً في الثاني أو حقيقة فيهما</w:t>
      </w:r>
      <w:r w:rsidR="00DB731D" w:rsidRPr="00A52585">
        <w:rPr>
          <w:rFonts w:hint="cs"/>
          <w:sz w:val="24"/>
          <w:szCs w:val="24"/>
          <w:rtl/>
        </w:rPr>
        <w:t>،</w:t>
      </w:r>
      <w:r w:rsidR="00777DCB" w:rsidRPr="00A52585">
        <w:rPr>
          <w:rFonts w:hint="cs"/>
          <w:sz w:val="24"/>
          <w:szCs w:val="24"/>
          <w:rtl/>
        </w:rPr>
        <w:t xml:space="preserve"> قال أبو بكر ابن العربي في شرح حديث أبي رزين في العارضة</w:t>
      </w:r>
      <w:r w:rsidRPr="00A52585">
        <w:rPr>
          <w:rFonts w:hint="cs"/>
          <w:sz w:val="24"/>
          <w:szCs w:val="24"/>
          <w:rtl/>
        </w:rPr>
        <w:t>:</w:t>
      </w:r>
      <w:r w:rsidR="00777DCB" w:rsidRPr="00A52585">
        <w:rPr>
          <w:rFonts w:hint="cs"/>
          <w:sz w:val="24"/>
          <w:szCs w:val="24"/>
          <w:rtl/>
        </w:rPr>
        <w:t xml:space="preserve"> المراد بالسؤال </w:t>
      </w:r>
      <w:proofErr w:type="spellStart"/>
      <w:r w:rsidR="00777DCB" w:rsidRPr="00A52585">
        <w:rPr>
          <w:rFonts w:hint="cs"/>
          <w:sz w:val="24"/>
          <w:szCs w:val="24"/>
          <w:rtl/>
        </w:rPr>
        <w:t>بأين</w:t>
      </w:r>
      <w:proofErr w:type="spellEnd"/>
      <w:r w:rsidR="00777DCB" w:rsidRPr="00A52585">
        <w:rPr>
          <w:rFonts w:hint="cs"/>
          <w:sz w:val="24"/>
          <w:szCs w:val="24"/>
          <w:rtl/>
        </w:rPr>
        <w:t xml:space="preserve"> عنه تعالى المكانة، فإن المكان يستحيل عليه، وأين مستعملة فيه، وقيل إن استعمالها في المكان حقيقة وفي المكانة مجاز وقيل هما حقيقتان، وكل جار على أصل التحقيق مستعمل على كل لسان وعند كل فريق اهـ</w:t>
      </w:r>
      <w:r w:rsidR="00DB731D" w:rsidRPr="00A52585">
        <w:rPr>
          <w:rFonts w:hint="cs"/>
          <w:sz w:val="24"/>
          <w:szCs w:val="24"/>
          <w:rtl/>
        </w:rPr>
        <w:t>،</w:t>
      </w:r>
      <w:r w:rsidR="00777DCB" w:rsidRPr="00A52585">
        <w:rPr>
          <w:rFonts w:hint="cs"/>
          <w:sz w:val="24"/>
          <w:szCs w:val="24"/>
          <w:rtl/>
        </w:rPr>
        <w:t xml:space="preserve"> وقال أبو الوليد الباجي في المنتقى</w:t>
      </w:r>
      <w:r w:rsidRPr="00A52585">
        <w:rPr>
          <w:rFonts w:hint="cs"/>
          <w:sz w:val="24"/>
          <w:szCs w:val="24"/>
          <w:rtl/>
        </w:rPr>
        <w:t>:</w:t>
      </w:r>
      <w:r w:rsidR="00777DCB" w:rsidRPr="00A52585">
        <w:rPr>
          <w:rFonts w:hint="cs"/>
          <w:sz w:val="24"/>
          <w:szCs w:val="24"/>
          <w:rtl/>
        </w:rPr>
        <w:t xml:space="preserve"> يقال مكان فلان في السماء بمعنى علو حاله ورفعته وشرفه، فلعل الجارية تريد وصفه بالعلو، وبذلك يوصف كل من شأنه العلو اهـ</w:t>
      </w:r>
      <w:r w:rsidR="00DB731D" w:rsidRPr="00A52585">
        <w:rPr>
          <w:rFonts w:hint="cs"/>
          <w:sz w:val="24"/>
          <w:szCs w:val="24"/>
          <w:rtl/>
        </w:rPr>
        <w:t>،</w:t>
      </w:r>
      <w:r w:rsidR="00777DCB" w:rsidRPr="00A52585">
        <w:rPr>
          <w:rFonts w:hint="cs"/>
          <w:sz w:val="24"/>
          <w:szCs w:val="24"/>
          <w:rtl/>
        </w:rPr>
        <w:t xml:space="preserve"> فيكون معنى (أين الله) ما هي مكانة الله عندك ومعنى (في السماء) أنه تعالى في غاية من علو الشأن، يتحد هذا المعنى]</w:t>
      </w:r>
      <w:r w:rsidR="00777DCB" w:rsidRPr="00A52585">
        <w:rPr>
          <w:rFonts w:hint="cs"/>
          <w:rtl/>
        </w:rPr>
        <w:t xml:space="preserve"> وأما حديث أبي رزين ففي سنن الترمذي عنه قال</w:t>
      </w:r>
      <w:r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يا رسول الله</w:t>
      </w:r>
      <w:r w:rsidR="00DB731D" w:rsidRPr="00A52585">
        <w:rPr>
          <w:rFonts w:hint="cs"/>
          <w:rtl/>
        </w:rPr>
        <w:t>،</w:t>
      </w:r>
      <w:r w:rsidR="00777DCB" w:rsidRPr="00A52585">
        <w:rPr>
          <w:rFonts w:hint="cs"/>
          <w:rtl/>
        </w:rPr>
        <w:t xml:space="preserve"> أين كان ربنا قبل أن يخلق خلقه</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كان في عماء ما تحته هواء وما فوقه هواء, وخلق عرشه على الماء</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وأما حديث أبي رزين ففي سنده حماد بن سلمة مختلط، وكان يدخل في حديثه ربيباه ما شاءا؛ وليس في استطاعة ابن عدي ولا غيره إبعاد هذه الوصمة عنه، ويعلى بن عطاء تفرد به عن وكيع بن حدس أو عدس، وهو مجهول الصفة، وهو تفرد عن أبي رزين، ولا شأن للمنفردات والوحدان في إثبات الصفات فضلا عن المجاهيل وعمن به اختلاط، فليتق الله من يحاول أن يثبت به صفة لله. وقد سئم أهل العلم من كثرة ما يرد بطريق حماد بن سلمة من الروايات الساقطة في صفات الله سبحانه. وقد روى أبو بشر الدولابي الحافظ عن ابن شجاع عن إبراهيم بن عبد الرحمن بن مهدي أنه قال</w:t>
      </w:r>
      <w:r w:rsidRPr="00A52585">
        <w:rPr>
          <w:rFonts w:hint="cs"/>
          <w:sz w:val="24"/>
          <w:szCs w:val="24"/>
          <w:rtl/>
        </w:rPr>
        <w:t>:</w:t>
      </w:r>
      <w:r w:rsidR="00777DCB" w:rsidRPr="00A52585">
        <w:rPr>
          <w:rFonts w:hint="cs"/>
          <w:sz w:val="24"/>
          <w:szCs w:val="24"/>
          <w:rtl/>
        </w:rPr>
        <w:t xml:space="preserve"> " كان حماد بن سلمة لا يعرف بهذه الأحاديث حتى خرج خرجة إلى عبدان فجاء وهو يرويها، فلا أحسب إلا شيطانا خرج إليه في البحر فألقاها إليه اهـ "</w:t>
      </w:r>
      <w:r w:rsidR="00DB731D" w:rsidRPr="00A52585">
        <w:rPr>
          <w:rFonts w:hint="cs"/>
          <w:sz w:val="24"/>
          <w:szCs w:val="24"/>
          <w:rtl/>
        </w:rPr>
        <w:t>،</w:t>
      </w:r>
      <w:r w:rsidR="00777DCB" w:rsidRPr="00A52585">
        <w:rPr>
          <w:rFonts w:hint="cs"/>
          <w:sz w:val="24"/>
          <w:szCs w:val="24"/>
          <w:rtl/>
        </w:rPr>
        <w:t xml:space="preserve"> وماذا يجدي تحمس ابن عدي في الدفاع عنه والرد على محمد بن شجاع الإمام افتراءً منه عليه</w:t>
      </w:r>
      <w:r w:rsidR="00F95886" w:rsidRPr="00A52585">
        <w:rPr>
          <w:rFonts w:hint="cs"/>
          <w:sz w:val="24"/>
          <w:szCs w:val="24"/>
          <w:rtl/>
        </w:rPr>
        <w:t>؟</w:t>
      </w:r>
      <w:r w:rsidR="00777DCB" w:rsidRPr="00A52585">
        <w:rPr>
          <w:rFonts w:hint="cs"/>
          <w:sz w:val="24"/>
          <w:szCs w:val="24"/>
          <w:rtl/>
        </w:rPr>
        <w:t xml:space="preserve"> وابن شجاع هذا مات في صلاة العصر وهو ساجد ولا مغمز في علمه وثقته وورعه إلا أنه كان يقف في القرآن ولا يقول إنه مخلوق أو غير مخلوق لعدم ورود هذا وذاك نصاً في الكتاب والسنة، وألف كتاباً في الرد على المشبهة وهذا ذنب لا يغتفر عندهم</w:t>
      </w:r>
      <w:r w:rsidR="00DB731D" w:rsidRPr="00A52585">
        <w:rPr>
          <w:rFonts w:hint="cs"/>
          <w:sz w:val="24"/>
          <w:szCs w:val="24"/>
          <w:rtl/>
        </w:rPr>
        <w:t>،</w:t>
      </w:r>
      <w:r w:rsidR="00777DCB" w:rsidRPr="00A52585">
        <w:rPr>
          <w:rFonts w:hint="cs"/>
          <w:sz w:val="24"/>
          <w:szCs w:val="24"/>
          <w:rtl/>
        </w:rPr>
        <w:t xml:space="preserve"> وإنما يدل هذا التحمس على </w:t>
      </w:r>
      <w:proofErr w:type="spellStart"/>
      <w:r w:rsidR="00777DCB" w:rsidRPr="00A52585">
        <w:rPr>
          <w:rFonts w:hint="cs"/>
          <w:sz w:val="24"/>
          <w:szCs w:val="24"/>
          <w:rtl/>
        </w:rPr>
        <w:t>خبيئ</w:t>
      </w:r>
      <w:proofErr w:type="spellEnd"/>
      <w:r w:rsidR="00777DCB" w:rsidRPr="00A52585">
        <w:rPr>
          <w:rFonts w:hint="cs"/>
          <w:sz w:val="24"/>
          <w:szCs w:val="24"/>
          <w:rtl/>
        </w:rPr>
        <w:t xml:space="preserve"> لابن عدي الذي لم يتعلم من العربية ما يقوم به لسانه ويصونه من اللحون الفاضحة، وأنَّي لمثله أن يقوم فكرة حتى يتخذ قدوة</w:t>
      </w:r>
      <w:r w:rsidR="00F95886" w:rsidRPr="00A52585">
        <w:rPr>
          <w:rFonts w:hint="cs"/>
          <w:sz w:val="24"/>
          <w:szCs w:val="24"/>
          <w:rtl/>
        </w:rPr>
        <w:t>؟</w:t>
      </w:r>
      <w:r w:rsidR="00777DCB" w:rsidRPr="00A52585">
        <w:rPr>
          <w:rFonts w:hint="cs"/>
          <w:sz w:val="24"/>
          <w:szCs w:val="24"/>
          <w:rtl/>
        </w:rPr>
        <w:t xml:space="preserve"> وكان ابن شجاع يحذر الرواة من الأخذ بروايات تالفة أدخلها </w:t>
      </w:r>
      <w:proofErr w:type="spellStart"/>
      <w:r w:rsidR="00777DCB" w:rsidRPr="00A52585">
        <w:rPr>
          <w:rFonts w:hint="cs"/>
          <w:sz w:val="24"/>
          <w:szCs w:val="24"/>
          <w:rtl/>
        </w:rPr>
        <w:t>الوضاعون</w:t>
      </w:r>
      <w:proofErr w:type="spellEnd"/>
      <w:r w:rsidR="00777DCB" w:rsidRPr="00A52585">
        <w:rPr>
          <w:rFonts w:hint="cs"/>
          <w:sz w:val="24"/>
          <w:szCs w:val="24"/>
          <w:rtl/>
        </w:rPr>
        <w:t xml:space="preserve"> على بعض شيوخ الرواية فيرد عليه عثمان بن سعيد الدارمي المجسم قائلا كيف يجد </w:t>
      </w:r>
      <w:proofErr w:type="spellStart"/>
      <w:r w:rsidR="00777DCB" w:rsidRPr="00A52585">
        <w:rPr>
          <w:rFonts w:hint="cs"/>
          <w:sz w:val="24"/>
          <w:szCs w:val="24"/>
          <w:rtl/>
        </w:rPr>
        <w:t>الوضاعون</w:t>
      </w:r>
      <w:proofErr w:type="spellEnd"/>
      <w:r w:rsidR="00777DCB" w:rsidRPr="00A52585">
        <w:rPr>
          <w:rFonts w:hint="cs"/>
          <w:sz w:val="24"/>
          <w:szCs w:val="24"/>
          <w:rtl/>
        </w:rPr>
        <w:t xml:space="preserve"> سبيلا إلى الإدخال على شيوخ في الرواية</w:t>
      </w:r>
      <w:r w:rsidR="00F95886" w:rsidRPr="00A52585">
        <w:rPr>
          <w:rFonts w:hint="cs"/>
          <w:sz w:val="24"/>
          <w:szCs w:val="24"/>
          <w:rtl/>
        </w:rPr>
        <w:t>؟</w:t>
      </w:r>
      <w:r w:rsidR="00777DCB" w:rsidRPr="00A52585">
        <w:rPr>
          <w:rFonts w:hint="cs"/>
          <w:sz w:val="24"/>
          <w:szCs w:val="24"/>
          <w:rtl/>
        </w:rPr>
        <w:t xml:space="preserve"> وابن عدي يعكس الأمر ويجعل الذي يدخل عليهم </w:t>
      </w:r>
      <w:r w:rsidR="00777DCB" w:rsidRPr="00A52585">
        <w:rPr>
          <w:rFonts w:hint="cs"/>
          <w:sz w:val="24"/>
          <w:szCs w:val="24"/>
          <w:rtl/>
        </w:rPr>
        <w:lastRenderedPageBreak/>
        <w:t xml:space="preserve">هو ابن شجاع بدون أي دليل وبدون سوق أي سند كما هو شأن </w:t>
      </w:r>
      <w:proofErr w:type="spellStart"/>
      <w:r w:rsidR="00777DCB" w:rsidRPr="00A52585">
        <w:rPr>
          <w:rFonts w:hint="cs"/>
          <w:sz w:val="24"/>
          <w:szCs w:val="24"/>
          <w:rtl/>
        </w:rPr>
        <w:t>المتقولين</w:t>
      </w:r>
      <w:proofErr w:type="spellEnd"/>
      <w:r w:rsidR="00777DCB" w:rsidRPr="00A52585">
        <w:rPr>
          <w:rFonts w:hint="cs"/>
          <w:sz w:val="24"/>
          <w:szCs w:val="24"/>
          <w:rtl/>
        </w:rPr>
        <w:t xml:space="preserve">؛ وله مع ثقات الرواة وأئمة الأمة في الفقه الذين تكلم فيهم موقف في يوم القيامة، لا يغبط عليه.، والعقيلي على تعنته لم يذكره في كتابه وحديث إجراء الخيل كان ذائعاً بين شيوخ الرواية من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حتى يشكو من ذلك ابن قتيبة مرَّ الشكوى في (الاختلاف في اللفظ) وهو معاصر لابن شجاع، وكذلك خرجه أبو على </w:t>
      </w:r>
      <w:proofErr w:type="spellStart"/>
      <w:r w:rsidR="00777DCB" w:rsidRPr="00A52585">
        <w:rPr>
          <w:rFonts w:hint="cs"/>
          <w:sz w:val="24"/>
          <w:szCs w:val="24"/>
          <w:rtl/>
        </w:rPr>
        <w:t>الأهوازي</w:t>
      </w:r>
      <w:proofErr w:type="spellEnd"/>
      <w:r w:rsidR="00777DCB" w:rsidRPr="00A52585">
        <w:rPr>
          <w:rFonts w:hint="cs"/>
          <w:sz w:val="24"/>
          <w:szCs w:val="24"/>
          <w:rtl/>
        </w:rPr>
        <w:t xml:space="preserve"> بسنده بطريق حماد بن سلمة. وقول الحاكم (أنبأنا إسماعيل بن محمد الشعراني أنه قال</w:t>
      </w:r>
      <w:r w:rsidRPr="00A52585">
        <w:rPr>
          <w:rFonts w:hint="cs"/>
          <w:sz w:val="24"/>
          <w:szCs w:val="24"/>
          <w:rtl/>
        </w:rPr>
        <w:t>:</w:t>
      </w:r>
      <w:r w:rsidR="00777DCB" w:rsidRPr="00A52585">
        <w:rPr>
          <w:rFonts w:hint="cs"/>
          <w:sz w:val="24"/>
          <w:szCs w:val="24"/>
          <w:rtl/>
        </w:rPr>
        <w:t xml:space="preserve"> بلغت عن محمد بن شجاع عن حبان بن هلال عن حماد بن سلمة) لا يمكن اتخاذه حجة في كون هذا الخبر مروياً عن حماد بن سلمة بطريق ابن شجاع منفرداً به لأن بين الشعراني وبين ابن شجاع نحو مائة سنة فلا يقل الساقط من الرجال من بينهم عن نحو ثلاثة</w:t>
      </w:r>
      <w:r w:rsidR="00F95886" w:rsidRPr="00A52585">
        <w:rPr>
          <w:rFonts w:hint="cs"/>
          <w:sz w:val="24"/>
          <w:szCs w:val="24"/>
          <w:rtl/>
        </w:rPr>
        <w:t>!</w:t>
      </w:r>
      <w:r w:rsidR="00777DCB" w:rsidRPr="00A52585">
        <w:rPr>
          <w:rFonts w:hint="cs"/>
          <w:sz w:val="24"/>
          <w:szCs w:val="24"/>
          <w:rtl/>
        </w:rPr>
        <w:t xml:space="preserve">! هكذا يفضح الله من يتطاول على الأئمة. راجع ما علقناه على تبيين كذب </w:t>
      </w:r>
      <w:proofErr w:type="spellStart"/>
      <w:r w:rsidR="00777DCB" w:rsidRPr="00A52585">
        <w:rPr>
          <w:rFonts w:hint="cs"/>
          <w:sz w:val="24"/>
          <w:szCs w:val="24"/>
          <w:rtl/>
        </w:rPr>
        <w:t>المفترى</w:t>
      </w:r>
      <w:proofErr w:type="spellEnd"/>
      <w:r w:rsidR="00777DCB" w:rsidRPr="00A52585">
        <w:rPr>
          <w:rFonts w:hint="cs"/>
          <w:sz w:val="24"/>
          <w:szCs w:val="24"/>
          <w:rtl/>
        </w:rPr>
        <w:t xml:space="preserve"> في (ص 369)</w:t>
      </w:r>
      <w:r w:rsidR="00DB731D" w:rsidRPr="00A52585">
        <w:rPr>
          <w:rFonts w:hint="cs"/>
          <w:sz w:val="24"/>
          <w:szCs w:val="24"/>
          <w:rtl/>
        </w:rPr>
        <w:t>،</w:t>
      </w:r>
      <w:r w:rsidR="00777DCB" w:rsidRPr="00A52585">
        <w:rPr>
          <w:rFonts w:hint="cs"/>
          <w:sz w:val="24"/>
          <w:szCs w:val="24"/>
          <w:rtl/>
        </w:rPr>
        <w:t xml:space="preserve"> ومن اطلع على كتاب (نقض عثمان بن سعيد على </w:t>
      </w:r>
      <w:proofErr w:type="spellStart"/>
      <w:r w:rsidR="00777DCB" w:rsidRPr="00A52585">
        <w:rPr>
          <w:rFonts w:hint="cs"/>
          <w:sz w:val="24"/>
          <w:szCs w:val="24"/>
          <w:rtl/>
        </w:rPr>
        <w:t>الجهمي</w:t>
      </w:r>
      <w:proofErr w:type="spellEnd"/>
      <w:r w:rsidR="00777DCB" w:rsidRPr="00A52585">
        <w:rPr>
          <w:rFonts w:hint="cs"/>
          <w:sz w:val="24"/>
          <w:szCs w:val="24"/>
          <w:rtl/>
        </w:rPr>
        <w:t xml:space="preserve"> العنيد) الجاري طبعه يعرف سبب مقت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لهذا الإمام الجليل؛ بل يكفي في معرفة حال حماد ابن سلمة الاطلاع على كتب الموضوعات المبسوطة، في باب التوحيد منها </w:t>
      </w:r>
      <w:proofErr w:type="gramStart"/>
      <w:r w:rsidR="00777DCB" w:rsidRPr="00A52585">
        <w:rPr>
          <w:rFonts w:hint="cs"/>
          <w:sz w:val="24"/>
          <w:szCs w:val="24"/>
          <w:rtl/>
        </w:rPr>
        <w:t>خاصة,</w:t>
      </w:r>
      <w:proofErr w:type="gramEnd"/>
      <w:r w:rsidR="00777DCB" w:rsidRPr="00A52585">
        <w:rPr>
          <w:rFonts w:hint="cs"/>
          <w:sz w:val="24"/>
          <w:szCs w:val="24"/>
          <w:rtl/>
        </w:rPr>
        <w:t xml:space="preserve"> فيرى فيها القارئ أخباراً تالفة رويت بطريقه بكثرة بل ما سرده ابن عدي نفسه في الكامل في ترجمة حماد هذا من الأحاديث التالفة المروية بطريقه كاف في معرفة سقوط ما يروى بطريقه في الصفات بل سقوط ابن عدى المتحمس دونه</w:t>
      </w:r>
      <w:r w:rsidR="00DB731D" w:rsidRPr="00A52585">
        <w:rPr>
          <w:rFonts w:hint="cs"/>
          <w:sz w:val="24"/>
          <w:szCs w:val="24"/>
          <w:rtl/>
        </w:rPr>
        <w:t>،</w:t>
      </w:r>
      <w:r w:rsidR="00777DCB" w:rsidRPr="00A52585">
        <w:rPr>
          <w:rFonts w:hint="cs"/>
          <w:sz w:val="24"/>
          <w:szCs w:val="24"/>
          <w:rtl/>
        </w:rPr>
        <w:t xml:space="preserve"> منها روايته عن قتادة عن عكرمة.. (أن محمداً رأى ربه في صورة شاب أمرد..) وفي لفظ (..جعداً أمرد عليه حلة خضراء…) إلى غير ذلك من الألفاظ الفاضحة، وقد روى ابن عساكر بطريق أبي القاسم السمرقندي عن قتادة (الأعمى)</w:t>
      </w:r>
      <w:r w:rsidRPr="00A52585">
        <w:rPr>
          <w:rFonts w:hint="cs"/>
          <w:sz w:val="24"/>
          <w:szCs w:val="24"/>
          <w:rtl/>
        </w:rPr>
        <w:t>:</w:t>
      </w:r>
      <w:r w:rsidR="00777DCB" w:rsidRPr="00A52585">
        <w:rPr>
          <w:rFonts w:hint="cs"/>
          <w:sz w:val="24"/>
          <w:szCs w:val="24"/>
          <w:rtl/>
        </w:rPr>
        <w:t xml:space="preserve"> إني ما حفظت عن عكرمة إلا بيت شعر، وهذا دليل على أنه لم يرض روايته الحديث، وأما ما يروى عن أحمد من سماع قتادة عن عكرمة عدة أحاديث فلا يثبت عن أحمد لأنه بريق رواة من المجسمة القائلين بإقعاد الله رسوله صلى الله عليه وسلم في جنبه على العرش، تعالى الله عن ذلك، وقد توسع الفخر بن المعلم القرشي في رد ما يروي عن عكرمة في هذا الصدد ثم قال</w:t>
      </w:r>
      <w:r w:rsidRPr="00A52585">
        <w:rPr>
          <w:rFonts w:hint="cs"/>
          <w:sz w:val="24"/>
          <w:szCs w:val="24"/>
          <w:rtl/>
        </w:rPr>
        <w:t>:</w:t>
      </w:r>
      <w:r w:rsidR="00777DCB" w:rsidRPr="00A52585">
        <w:rPr>
          <w:rFonts w:hint="cs"/>
          <w:sz w:val="24"/>
          <w:szCs w:val="24"/>
          <w:rtl/>
        </w:rPr>
        <w:t>" فمعاذ الله أن يرى ربه على صورة أصلا فكيف على صورة قد ذكر مثلها أو أكثرها عن المسيخ الدجال " اهـ.</w:t>
      </w:r>
      <w:r w:rsidR="00DB731D" w:rsidRPr="00A52585">
        <w:rPr>
          <w:rFonts w:hint="cs"/>
          <w:sz w:val="24"/>
          <w:szCs w:val="24"/>
          <w:rtl/>
        </w:rPr>
        <w:t>،</w:t>
      </w:r>
      <w:r w:rsidR="00777DCB" w:rsidRPr="00A52585">
        <w:rPr>
          <w:rFonts w:hint="cs"/>
          <w:sz w:val="24"/>
          <w:szCs w:val="24"/>
          <w:rtl/>
        </w:rPr>
        <w:t xml:space="preserve"> فمن التهور البالغ قول ابن صدقة (من لم يؤمن بحديث عكرمة فهو زنديق) بل من يقول به هو الزنديق، </w:t>
      </w:r>
      <w:proofErr w:type="spellStart"/>
      <w:r w:rsidR="00777DCB" w:rsidRPr="00A52585">
        <w:rPr>
          <w:rFonts w:hint="cs"/>
          <w:sz w:val="24"/>
          <w:szCs w:val="24"/>
          <w:rtl/>
        </w:rPr>
        <w:t>ويأسف</w:t>
      </w:r>
      <w:proofErr w:type="spellEnd"/>
      <w:r w:rsidR="00777DCB" w:rsidRPr="00A52585">
        <w:rPr>
          <w:rFonts w:hint="cs"/>
          <w:sz w:val="24"/>
          <w:szCs w:val="24"/>
          <w:rtl/>
        </w:rPr>
        <w:t xml:space="preserve"> المرء أن يرى بعض تلك الروايات التالفة مدوناً في كتاب (أخبار الصفات) للدارقطني. وابن المعلم القرشي يؤكد أنه مدسوس في كتاب الدارقطني وليس ببعيد بالنظر إلى أن راويه عنه العشاري والراوي عنه ابن كادش، وستعرف قيمتهما في أواخر ما علقناه على هذا الكتاب</w:t>
      </w:r>
      <w:r w:rsidR="00DB731D" w:rsidRPr="00A52585">
        <w:rPr>
          <w:rFonts w:hint="cs"/>
          <w:sz w:val="24"/>
          <w:szCs w:val="24"/>
          <w:rtl/>
        </w:rPr>
        <w:t>،</w:t>
      </w:r>
      <w:r w:rsidR="00777DCB" w:rsidRPr="00A52585">
        <w:rPr>
          <w:rFonts w:hint="cs"/>
          <w:sz w:val="24"/>
          <w:szCs w:val="24"/>
          <w:rtl/>
        </w:rPr>
        <w:t xml:space="preserve"> ويظهر مما رفعه أبو إسحاق الشيرازي وأصحابه إلى نظام الملك من المحضر – في فتنة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ببغداد ضد ابن القشيري -</w:t>
      </w:r>
      <w:r w:rsidRPr="00A52585">
        <w:rPr>
          <w:rFonts w:hint="cs"/>
          <w:sz w:val="24"/>
          <w:szCs w:val="24"/>
          <w:rtl/>
        </w:rPr>
        <w:t xml:space="preserve"> </w:t>
      </w:r>
      <w:r w:rsidR="00777DCB" w:rsidRPr="00A52585">
        <w:rPr>
          <w:rFonts w:hint="cs"/>
          <w:sz w:val="24"/>
          <w:szCs w:val="24"/>
          <w:rtl/>
        </w:rPr>
        <w:t xml:space="preserve">اتخاذ رواية حماد هذه دينا؛ فليراجع المحضر المذكور في (تبيين كذب المفتري) لابن عساكر (ص 310) وفيه ما نصه " …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 تعالى الله عما يشركون. وفي مرسوم الخليفة العباسي الراضي الذي أصدره في فتنة </w:t>
      </w:r>
      <w:proofErr w:type="spellStart"/>
      <w:r w:rsidR="00777DCB" w:rsidRPr="00A52585">
        <w:rPr>
          <w:rFonts w:hint="cs"/>
          <w:sz w:val="24"/>
          <w:szCs w:val="24"/>
          <w:rtl/>
        </w:rPr>
        <w:t>البربهاري</w:t>
      </w:r>
      <w:proofErr w:type="spellEnd"/>
      <w:r w:rsidR="00777DCB" w:rsidRPr="00A52585">
        <w:rPr>
          <w:rFonts w:hint="cs"/>
          <w:sz w:val="24"/>
          <w:szCs w:val="24"/>
          <w:rtl/>
        </w:rPr>
        <w:t xml:space="preserve"> ما نصه " … وتارة إنكم تزعمون أن صورة وجوهكم القبيحة السمجة على مثال رب العالمين وهيئتكم الرذلة على هيئته وتذكرون الكف والأصابع والرجل والنعلين المذهبين والشعر القطط والصعود إلى السماء والنـزول إلى الدنيا، تعالى الله عما يقول الظالمون والجاحدون علواً كبيراً … "]</w:t>
      </w:r>
      <w:r w:rsidR="00DB731D" w:rsidRPr="00A52585">
        <w:rPr>
          <w:rFonts w:hint="cs"/>
          <w:sz w:val="24"/>
          <w:szCs w:val="24"/>
          <w:rtl/>
        </w:rPr>
        <w:t>،</w:t>
      </w:r>
      <w:r w:rsidR="00777DCB" w:rsidRPr="00A52585">
        <w:rPr>
          <w:rFonts w:hint="cs"/>
          <w:sz w:val="24"/>
          <w:szCs w:val="24"/>
          <w:rtl/>
        </w:rPr>
        <w:t xml:space="preserve"> [قال أبو بكر ابن العربي في العارضة</w:t>
      </w:r>
      <w:r w:rsidRPr="00A52585">
        <w:rPr>
          <w:rFonts w:hint="cs"/>
          <w:sz w:val="24"/>
          <w:szCs w:val="24"/>
          <w:rtl/>
        </w:rPr>
        <w:t>:</w:t>
      </w:r>
      <w:r w:rsidR="00777DCB" w:rsidRPr="00A52585">
        <w:rPr>
          <w:rFonts w:hint="cs"/>
          <w:sz w:val="24"/>
          <w:szCs w:val="24"/>
          <w:rtl/>
        </w:rPr>
        <w:t xml:space="preserve"> والذي عندي أنه أراد بالعرش الخلق كله و(على الماء) بمعنى يمسكه بقدرته لا بعمد ترافده ولا أساس يعاضده، فإنها كانت تكون مفتقرة إلى أمثالها إلى غير نهاية وذلك غير محصول فترده أدلة العقول اهـ.</w:t>
      </w:r>
      <w:r w:rsidR="00DB731D" w:rsidRPr="00A52585">
        <w:rPr>
          <w:rFonts w:hint="cs"/>
          <w:sz w:val="24"/>
          <w:szCs w:val="24"/>
          <w:rtl/>
        </w:rPr>
        <w:t>،</w:t>
      </w:r>
      <w:r w:rsidR="00777DCB" w:rsidRPr="00A52585">
        <w:rPr>
          <w:rFonts w:hint="cs"/>
          <w:sz w:val="24"/>
          <w:szCs w:val="24"/>
          <w:rtl/>
        </w:rPr>
        <w:t xml:space="preserve"> وهو معنى </w:t>
      </w:r>
      <w:r w:rsidR="00777DCB" w:rsidRPr="00A52585">
        <w:rPr>
          <w:rFonts w:hint="cs"/>
          <w:sz w:val="24"/>
          <w:szCs w:val="24"/>
          <w:rtl/>
        </w:rPr>
        <w:lastRenderedPageBreak/>
        <w:t>بديع جداً لمن ألقى السمع وهو شهيد، واستعمال العرش بمعنى الملك شائع. راجع كتاب "أصول الدين" لعبد القاهر البغدادي</w:t>
      </w:r>
      <w:r w:rsidRPr="00A52585">
        <w:rPr>
          <w:rFonts w:hint="cs"/>
          <w:sz w:val="24"/>
          <w:szCs w:val="24"/>
          <w:rtl/>
        </w:rPr>
        <w:t>]</w:t>
      </w:r>
      <w:r w:rsidR="00DB731D" w:rsidRPr="00A52585">
        <w:rPr>
          <w:rFonts w:hint="cs"/>
          <w:rtl/>
        </w:rPr>
        <w:t>،</w:t>
      </w:r>
      <w:r w:rsidR="00777DCB" w:rsidRPr="00A52585">
        <w:rPr>
          <w:rFonts w:hint="cs"/>
          <w:rtl/>
        </w:rPr>
        <w:t xml:space="preserve"> قال الترمذي</w:t>
      </w:r>
      <w:r w:rsidRPr="00A52585">
        <w:rPr>
          <w:rFonts w:hint="cs"/>
          <w:rtl/>
        </w:rPr>
        <w:t>:</w:t>
      </w:r>
      <w:r w:rsidR="00777DCB" w:rsidRPr="00A52585">
        <w:rPr>
          <w:rFonts w:hint="cs"/>
          <w:rtl/>
        </w:rPr>
        <w:t xml:space="preserve"> قال أحمد يعني ابن منيع راوي الحديث قال يزيد يعني ابن هارون شيخ أحمد</w:t>
      </w:r>
      <w:r w:rsidRPr="00A52585">
        <w:rPr>
          <w:rFonts w:hint="cs"/>
          <w:rtl/>
        </w:rPr>
        <w:t>:</w:t>
      </w:r>
      <w:r w:rsidR="00777DCB" w:rsidRPr="00A52585">
        <w:rPr>
          <w:rFonts w:hint="cs"/>
          <w:rtl/>
        </w:rPr>
        <w:t xml:space="preserve"> العماء أي ليس معه شيء. انتهى كلام الترمذي</w:t>
      </w:r>
      <w:r w:rsidR="00DB731D" w:rsidRPr="00A52585">
        <w:rPr>
          <w:rFonts w:hint="cs"/>
          <w:rtl/>
        </w:rPr>
        <w:t>،</w:t>
      </w:r>
      <w:r w:rsidR="00777DCB" w:rsidRPr="00A52585">
        <w:rPr>
          <w:rFonts w:hint="cs"/>
          <w:rtl/>
        </w:rPr>
        <w:t xml:space="preserve"> وفي رواية </w:t>
      </w:r>
      <w:r w:rsidRPr="00A52585">
        <w:rPr>
          <w:rFonts w:hint="cs"/>
          <w:rtl/>
        </w:rPr>
        <w:t>(</w:t>
      </w:r>
      <w:r w:rsidR="00777DCB" w:rsidRPr="00A52585">
        <w:rPr>
          <w:rFonts w:hint="cs"/>
          <w:rtl/>
        </w:rPr>
        <w:t>كان في عما</w:t>
      </w:r>
      <w:r w:rsidRPr="00A52585">
        <w:rPr>
          <w:rFonts w:hint="cs"/>
          <w:rtl/>
        </w:rPr>
        <w:t>)</w:t>
      </w:r>
      <w:r w:rsidR="00777DCB" w:rsidRPr="00A52585">
        <w:rPr>
          <w:rFonts w:hint="cs"/>
          <w:rtl/>
        </w:rPr>
        <w:t xml:space="preserve"> بالقصر؛ ومعناه ليس معه شيء وقيل هو كل أمر لا يدركه عقول بني آدم ولا يبلغ كنهه الوصف والفطن. قال ابن الأثير</w:t>
      </w:r>
      <w:r w:rsidRPr="00A52585">
        <w:rPr>
          <w:rFonts w:hint="cs"/>
          <w:rtl/>
        </w:rPr>
        <w:t>:</w:t>
      </w:r>
      <w:r w:rsidR="00777DCB" w:rsidRPr="00A52585">
        <w:rPr>
          <w:rFonts w:hint="cs"/>
          <w:rtl/>
        </w:rPr>
        <w:t xml:space="preserve"> ولا بد في قوله </w:t>
      </w:r>
      <w:r w:rsidRPr="00A52585">
        <w:rPr>
          <w:rFonts w:hint="cs"/>
          <w:rtl/>
        </w:rPr>
        <w:t>(</w:t>
      </w:r>
      <w:r w:rsidR="00777DCB" w:rsidRPr="00A52585">
        <w:rPr>
          <w:rFonts w:hint="cs"/>
          <w:rtl/>
        </w:rPr>
        <w:t>أين كان ربنا</w:t>
      </w:r>
      <w:r w:rsidRPr="00A52585">
        <w:rPr>
          <w:rFonts w:hint="cs"/>
          <w:rtl/>
        </w:rPr>
        <w:t>)</w:t>
      </w:r>
      <w:r w:rsidR="00777DCB" w:rsidRPr="00A52585">
        <w:rPr>
          <w:rFonts w:hint="cs"/>
          <w:rtl/>
        </w:rPr>
        <w:t xml:space="preserve"> من مضاف محذوف فيكون التقدير أين كان عرش ربنا ويدل عليه قوله تعالى </w:t>
      </w:r>
      <w:r w:rsidRPr="00A52585">
        <w:rPr>
          <w:rFonts w:hint="cs"/>
          <w:rtl/>
        </w:rPr>
        <w:t>{</w:t>
      </w:r>
      <w:r w:rsidR="00777DCB" w:rsidRPr="00A52585">
        <w:rPr>
          <w:rFonts w:hint="cs"/>
          <w:rtl/>
        </w:rPr>
        <w:t>وكان عرشه على الماء</w:t>
      </w:r>
      <w:r w:rsidRPr="00A52585">
        <w:rPr>
          <w:rFonts w:hint="cs"/>
          <w:rtl/>
        </w:rPr>
        <w:t>}</w:t>
      </w:r>
      <w:r w:rsidR="00777DCB" w:rsidRPr="00A52585">
        <w:rPr>
          <w:rFonts w:hint="cs"/>
          <w:rtl/>
        </w:rPr>
        <w:t xml:space="preserve"> [هود</w:t>
      </w:r>
      <w:r w:rsidRPr="00A52585">
        <w:rPr>
          <w:rFonts w:hint="cs"/>
          <w:rtl/>
        </w:rPr>
        <w:t>:</w:t>
      </w:r>
      <w:r w:rsidR="00777DCB" w:rsidRPr="00A52585">
        <w:rPr>
          <w:rFonts w:hint="cs"/>
          <w:rtl/>
        </w:rPr>
        <w:t>7]. قال الأزهري</w:t>
      </w:r>
      <w:r w:rsidRPr="00A52585">
        <w:rPr>
          <w:rFonts w:hint="cs"/>
          <w:rtl/>
        </w:rPr>
        <w:t>:</w:t>
      </w:r>
      <w:r w:rsidR="00777DCB" w:rsidRPr="00A52585">
        <w:rPr>
          <w:rFonts w:hint="cs"/>
          <w:rtl/>
        </w:rPr>
        <w:t xml:space="preserve"> نحن نؤمن به ولا نكيفه بصفة؛ أي نجري اللفظ على ظاهره من غير تأويل. وقوله من غير أن نكيفه بصفة صريح في التنـزيه؛ والعلماء في المتشابهات يؤمنون بها إما بأن يتأولوها وإما بأن يسكتوا مع التنـزيه. وهذا المدبر يصدق بعضها ببعض ليقوي الشبهة ويمكن الريبة من قلوب الناس؛ لعنه الله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ولعن كل من اتبع المتشابه ابتغاء الفتنة وابتغاء تأويله، وأنت قد جربت أن الإمام السبكي رحمه الله لا يستنـزل اللعنات على الناظم إلا عند كلماته الخطرة جداً. عامله الله بعدله</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p>
    <w:p w14:paraId="00A957B3" w14:textId="0C6D0D3D" w:rsidR="00777DCB" w:rsidRPr="00A52585" w:rsidRDefault="0002035C" w:rsidP="0002035C">
      <w:pPr>
        <w:spacing w:after="240"/>
        <w:rPr>
          <w:b/>
          <w:rtl/>
        </w:rPr>
      </w:pPr>
      <w:r w:rsidRPr="00A52585">
        <w:rPr>
          <w:rFonts w:hint="cs"/>
          <w:bCs/>
          <w:rtl/>
        </w:rPr>
        <w:t>[</w:t>
      </w:r>
      <w:r w:rsidR="00777DCB" w:rsidRPr="00A52585">
        <w:rPr>
          <w:rFonts w:hint="cs"/>
          <w:bCs/>
          <w:rtl/>
        </w:rPr>
        <w:t>فصــــل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وخامس عشرها الإجماع من رسل الله</w:t>
      </w:r>
      <w:r w:rsidR="00DB731D"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فيا للعار والشنار على من يهون إجماع </w:t>
      </w:r>
      <w:proofErr w:type="spellStart"/>
      <w:r w:rsidR="00777DCB" w:rsidRPr="00A52585">
        <w:rPr>
          <w:rFonts w:hint="cs"/>
          <w:sz w:val="24"/>
          <w:szCs w:val="24"/>
          <w:rtl/>
        </w:rPr>
        <w:t>المسملين</w:t>
      </w:r>
      <w:proofErr w:type="spellEnd"/>
      <w:r w:rsidR="00777DCB" w:rsidRPr="00A52585">
        <w:rPr>
          <w:rFonts w:hint="cs"/>
          <w:sz w:val="24"/>
          <w:szCs w:val="24"/>
          <w:rtl/>
        </w:rPr>
        <w:t xml:space="preserve"> فيما يستدلون به عليه من المسائل الفرعية كيف يزعم إجماع رسل الله على محال</w:t>
      </w:r>
      <w:r w:rsidR="00F95886" w:rsidRPr="00A52585">
        <w:rPr>
          <w:rFonts w:hint="cs"/>
          <w:sz w:val="24"/>
          <w:szCs w:val="24"/>
          <w:rtl/>
        </w:rPr>
        <w:t>؟</w:t>
      </w:r>
      <w:r w:rsidR="00777DCB" w:rsidRPr="00A52585">
        <w:rPr>
          <w:rFonts w:hint="cs"/>
          <w:sz w:val="24"/>
          <w:szCs w:val="24"/>
          <w:rtl/>
        </w:rPr>
        <w:t xml:space="preserve"> وتجد في الكتب المنسوبة إلى الشيخ عبد القادر كثيراً مما يرده علماء أصول الدين في الاعتقاد كما تجد فيها كثيراً من الأحاديث الملفقة الموضوعة فلا يعول على مثل تلك الكتب في مثل هذا المطلب</w:t>
      </w:r>
      <w:r w:rsidR="00DB731D" w:rsidRPr="00A52585">
        <w:rPr>
          <w:rFonts w:hint="cs"/>
          <w:sz w:val="24"/>
          <w:szCs w:val="24"/>
          <w:rtl/>
        </w:rPr>
        <w:t>،</w:t>
      </w:r>
      <w:r w:rsidR="00777DCB" w:rsidRPr="00A52585">
        <w:rPr>
          <w:rFonts w:hint="cs"/>
          <w:sz w:val="24"/>
          <w:szCs w:val="24"/>
          <w:rtl/>
        </w:rPr>
        <w:t xml:space="preserve"> وقد قال ابن حجر المكي في فتاويه إن ذكر الجهة ونحوها مدسوس في كتب الشيخ عبد القادر، وذكر مثله اليافعي قبله في "نشر المحاسن"، وكذلك النجم الأصفهاني قبل اليافعي، وهم لا يعتدون بروايات أمثال الذهبي والناظم وشيخه وابن رجب عنه في هذا الصدد, لأنهم أظناء عندهم فيما يتعلق بالجهة</w:t>
      </w:r>
      <w:r w:rsidR="00DB731D" w:rsidRPr="00A52585">
        <w:rPr>
          <w:rFonts w:hint="cs"/>
          <w:sz w:val="24"/>
          <w:szCs w:val="24"/>
          <w:rtl/>
        </w:rPr>
        <w:t>،</w:t>
      </w:r>
      <w:r w:rsidR="00777DCB" w:rsidRPr="00A52585">
        <w:rPr>
          <w:rFonts w:hint="cs"/>
          <w:sz w:val="24"/>
          <w:szCs w:val="24"/>
          <w:rtl/>
        </w:rPr>
        <w:t xml:space="preserve"> ومن المقرر عند أهل السنة أن أهل البدع لا تقبل رواياتهم فيما يؤيدون به بدعهم، فالقائلون بصلاح الشيخ عبد القادر - وهم الجمهور -</w:t>
      </w:r>
      <w:r w:rsidRPr="00A52585">
        <w:rPr>
          <w:rFonts w:hint="cs"/>
          <w:sz w:val="24"/>
          <w:szCs w:val="24"/>
          <w:rtl/>
        </w:rPr>
        <w:t xml:space="preserve"> </w:t>
      </w:r>
      <w:r w:rsidR="00777DCB" w:rsidRPr="00A52585">
        <w:rPr>
          <w:rFonts w:hint="cs"/>
          <w:sz w:val="24"/>
          <w:szCs w:val="24"/>
          <w:rtl/>
        </w:rPr>
        <w:t xml:space="preserve">يبرئونه من تلك البدع ويعدونها مدسوسة في كتبه ولا يوجد بين أهل الحق من يعترف له بالصلاح مع فرض ثبوت تلك </w:t>
      </w:r>
      <w:proofErr w:type="spellStart"/>
      <w:r w:rsidR="00777DCB" w:rsidRPr="00A52585">
        <w:rPr>
          <w:rFonts w:hint="cs"/>
          <w:sz w:val="24"/>
          <w:szCs w:val="24"/>
          <w:rtl/>
        </w:rPr>
        <w:t>المخازي</w:t>
      </w:r>
      <w:proofErr w:type="spellEnd"/>
      <w:r w:rsidR="00777DCB" w:rsidRPr="00A52585">
        <w:rPr>
          <w:rFonts w:hint="cs"/>
          <w:sz w:val="24"/>
          <w:szCs w:val="24"/>
          <w:rtl/>
        </w:rPr>
        <w:t xml:space="preserve"> عنه، فعلى فرض ثبوتها عنه فلا حب ولا كرامة</w:t>
      </w:r>
      <w:r w:rsidR="00DB731D" w:rsidRPr="00A52585">
        <w:rPr>
          <w:rFonts w:hint="cs"/>
          <w:sz w:val="24"/>
          <w:szCs w:val="24"/>
          <w:rtl/>
        </w:rPr>
        <w:t>،</w:t>
      </w:r>
      <w:r w:rsidR="00777DCB" w:rsidRPr="00A52585">
        <w:rPr>
          <w:rFonts w:hint="cs"/>
          <w:sz w:val="24"/>
          <w:szCs w:val="24"/>
          <w:rtl/>
        </w:rPr>
        <w:t xml:space="preserve"> ومخارق حفيده عبد السلام المتربي لديه تدعو الباحث إلى غاية من الاحتياط في حقه، وقد أشار الحافظ أبو شامة المقدسي في "ذيل الروضتين" إلى ما جرى بينه وبين أبي الفرج ابن الجوزي الحنبلي والوزير العالم ابن يونس الحنبلي. نسأل الله السلامة</w:t>
      </w:r>
      <w:r w:rsidR="00DB731D" w:rsidRPr="00A52585">
        <w:rPr>
          <w:rFonts w:hint="cs"/>
          <w:sz w:val="24"/>
          <w:szCs w:val="24"/>
          <w:rtl/>
        </w:rPr>
        <w:t>،</w:t>
      </w:r>
      <w:r w:rsidR="00777DCB" w:rsidRPr="00A52585">
        <w:rPr>
          <w:rFonts w:hint="cs"/>
          <w:sz w:val="24"/>
          <w:szCs w:val="24"/>
          <w:rtl/>
        </w:rPr>
        <w:t xml:space="preserve"> وبين المتصوفة من يلهج كثيراً بمرتبة الإطلاق ومراتب </w:t>
      </w:r>
      <w:proofErr w:type="spellStart"/>
      <w:r w:rsidR="00777DCB" w:rsidRPr="00A52585">
        <w:rPr>
          <w:rFonts w:hint="cs"/>
          <w:sz w:val="24"/>
          <w:szCs w:val="24"/>
          <w:rtl/>
        </w:rPr>
        <w:t>التنـزل</w:t>
      </w:r>
      <w:proofErr w:type="spellEnd"/>
      <w:r w:rsidR="00777DCB" w:rsidRPr="00A52585">
        <w:rPr>
          <w:rFonts w:hint="cs"/>
          <w:sz w:val="24"/>
          <w:szCs w:val="24"/>
          <w:rtl/>
        </w:rPr>
        <w:t xml:space="preserve"> في المظاهر أخذاً من مذهب السالمية لكن أئمة أصول الدين ليسوا على تصديق التجلي في الصور الذي يقول به هؤلاء بل يعدون ذلك والحلول على حد سواء. فمن حاول الجمع بين أقوال المتكلمين والمتصوفة والحكماء </w:t>
      </w:r>
      <w:proofErr w:type="spellStart"/>
      <w:r w:rsidR="00777DCB" w:rsidRPr="00A52585">
        <w:rPr>
          <w:rFonts w:hint="cs"/>
          <w:sz w:val="24"/>
          <w:szCs w:val="24"/>
          <w:rtl/>
        </w:rPr>
        <w:t>والحشوية</w:t>
      </w:r>
      <w:proofErr w:type="spellEnd"/>
      <w:r w:rsidR="00777DCB" w:rsidRPr="00A52585">
        <w:rPr>
          <w:rFonts w:hint="cs"/>
          <w:sz w:val="24"/>
          <w:szCs w:val="24"/>
          <w:rtl/>
        </w:rPr>
        <w:t xml:space="preserve"> في ذلك كالبرهان الكوراني فإنما حاول </w:t>
      </w:r>
      <w:proofErr w:type="gramStart"/>
      <w:r w:rsidR="00777DCB" w:rsidRPr="00A52585">
        <w:rPr>
          <w:rFonts w:hint="cs"/>
          <w:sz w:val="24"/>
          <w:szCs w:val="24"/>
          <w:rtl/>
        </w:rPr>
        <w:t>المحال,</w:t>
      </w:r>
      <w:proofErr w:type="gramEnd"/>
      <w:r w:rsidR="00777DCB" w:rsidRPr="00A52585">
        <w:rPr>
          <w:rFonts w:hint="cs"/>
          <w:sz w:val="24"/>
          <w:szCs w:val="24"/>
          <w:rtl/>
        </w:rPr>
        <w:t xml:space="preserve"> والانسلاخ من قيد العقل والنقل معاً. نسأل الله العافية</w:t>
      </w:r>
      <w:r w:rsidR="00DB731D" w:rsidRPr="00A52585">
        <w:rPr>
          <w:rFonts w:hint="cs"/>
          <w:sz w:val="24"/>
          <w:szCs w:val="24"/>
          <w:rtl/>
        </w:rPr>
        <w:t>،</w:t>
      </w:r>
      <w:r w:rsidR="00777DCB" w:rsidRPr="00A52585">
        <w:rPr>
          <w:rFonts w:hint="cs"/>
          <w:sz w:val="24"/>
          <w:szCs w:val="24"/>
          <w:rtl/>
        </w:rPr>
        <w:t xml:space="preserve"> وليس بقليل بين الأئمة من جاهر </w:t>
      </w:r>
      <w:proofErr w:type="spellStart"/>
      <w:r w:rsidR="00777DCB" w:rsidRPr="00A52585">
        <w:rPr>
          <w:rFonts w:hint="cs"/>
          <w:sz w:val="24"/>
          <w:szCs w:val="24"/>
          <w:rtl/>
        </w:rPr>
        <w:t>بإكفار</w:t>
      </w:r>
      <w:proofErr w:type="spellEnd"/>
      <w:r w:rsidR="00777DCB" w:rsidRPr="00A52585">
        <w:rPr>
          <w:rFonts w:hint="cs"/>
          <w:sz w:val="24"/>
          <w:szCs w:val="24"/>
          <w:rtl/>
        </w:rPr>
        <w:t xml:space="preserve"> القائلين بالجهة كما نقلت نص ذلك من شرح مشكاة المصابيح للعلامة ناصر السنة </w:t>
      </w:r>
      <w:proofErr w:type="gramStart"/>
      <w:r w:rsidR="00777DCB" w:rsidRPr="00A52585">
        <w:rPr>
          <w:rFonts w:hint="cs"/>
          <w:sz w:val="24"/>
          <w:szCs w:val="24"/>
          <w:rtl/>
        </w:rPr>
        <w:t>علي</w:t>
      </w:r>
      <w:proofErr w:type="gramEnd"/>
      <w:r w:rsidR="00777DCB" w:rsidRPr="00A52585">
        <w:rPr>
          <w:rFonts w:hint="cs"/>
          <w:sz w:val="24"/>
          <w:szCs w:val="24"/>
          <w:rtl/>
        </w:rPr>
        <w:t xml:space="preserve"> القاري فيما علقته على "دفع شبه التشبيه " لابن الجوزي (ص 57)]</w:t>
      </w:r>
      <w:r w:rsidR="00DB731D" w:rsidRPr="00A52585">
        <w:rPr>
          <w:rFonts w:hint="cs"/>
          <w:rtl/>
        </w:rPr>
        <w:t>،</w:t>
      </w:r>
      <w:r w:rsidR="00777DCB" w:rsidRPr="00A52585">
        <w:rPr>
          <w:rFonts w:hint="cs"/>
          <w:rtl/>
        </w:rPr>
        <w:t xml:space="preserve"> </w:t>
      </w:r>
      <w:r w:rsidR="00777DCB" w:rsidRPr="00A52585">
        <w:rPr>
          <w:rFonts w:hint="cs"/>
          <w:rtl/>
        </w:rPr>
        <w:lastRenderedPageBreak/>
        <w:t xml:space="preserve">حكى إجماعهــم عبد القادر وأبو الوليد </w:t>
      </w:r>
      <w:r w:rsidRPr="00A52585">
        <w:rPr>
          <w:rFonts w:hint="cs"/>
          <w:rtl/>
        </w:rPr>
        <w:t>(</w:t>
      </w:r>
      <w:r w:rsidR="00777DCB" w:rsidRPr="00A52585">
        <w:rPr>
          <w:rFonts w:hint="cs"/>
          <w:rtl/>
        </w:rPr>
        <w:t>ابن رشد الفيلسوف</w:t>
      </w:r>
      <w:r w:rsidRPr="00A52585">
        <w:rPr>
          <w:rFonts w:hint="cs"/>
          <w:rtl/>
        </w:rPr>
        <w:t>)</w:t>
      </w:r>
      <w:r w:rsidR="00777DCB" w:rsidRPr="00A52585">
        <w:rPr>
          <w:rFonts w:hint="cs"/>
          <w:rtl/>
        </w:rPr>
        <w:t xml:space="preserve"> وأبو العباس الحراني </w:t>
      </w:r>
      <w:r w:rsidRPr="00A52585">
        <w:rPr>
          <w:rFonts w:hint="cs"/>
          <w:rtl/>
        </w:rPr>
        <w:t>(</w:t>
      </w:r>
      <w:r w:rsidR="00777DCB" w:rsidRPr="00A52585">
        <w:rPr>
          <w:rFonts w:hint="cs"/>
          <w:rtl/>
        </w:rPr>
        <w:t>ابن تيمية</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يوجد من يذكره بلقب شيخ الإسلام -</w:t>
      </w:r>
      <w:r w:rsidRPr="00A52585">
        <w:rPr>
          <w:rFonts w:hint="cs"/>
          <w:sz w:val="24"/>
          <w:szCs w:val="24"/>
          <w:rtl/>
        </w:rPr>
        <w:t xml:space="preserve"> </w:t>
      </w:r>
      <w:r w:rsidR="00777DCB" w:rsidRPr="00A52585">
        <w:rPr>
          <w:rFonts w:hint="cs"/>
          <w:sz w:val="24"/>
          <w:szCs w:val="24"/>
          <w:rtl/>
        </w:rPr>
        <w:t>وللمبتدعة افتتان بهذا التلقيب لزعمائهم -</w:t>
      </w:r>
      <w:r w:rsidRPr="00A52585">
        <w:rPr>
          <w:rFonts w:hint="cs"/>
          <w:sz w:val="24"/>
          <w:szCs w:val="24"/>
          <w:rtl/>
        </w:rPr>
        <w:t xml:space="preserve"> </w:t>
      </w:r>
      <w:r w:rsidR="00777DCB" w:rsidRPr="00A52585">
        <w:rPr>
          <w:rFonts w:hint="cs"/>
          <w:sz w:val="24"/>
          <w:szCs w:val="24"/>
          <w:rtl/>
        </w:rPr>
        <w:t>إيهاماً للضعفاء في العلم أن ما يدعو إليه هذا الزائغ هو الإسلام الصحيح. ويخاف على من يستمر على تلقيبه به بعد أن عرف مخالفاته لشرع الإسلام. ومن ذكره بهذا اللقب من أهل السنة إنما ذكره قبل أن يجاهر ذلك المبتدع ببدعه المعروفة، وأما من استمر على هذا التلقيب من المتأخرين فإنما استمر جهلا ببدعه التي نقلناها من أوثق المصادر أو ظناً منه أنه تاب وأناب وحافظ على عهوده. وقد توسعنا في بيان ذلك فيما علقناه على ذيول طبقات الحفاظ، على ترجمة العلاء البخاري فليراجع هناك، ولعل في كتبنا ولا سيما في هذا الكتاب ما يقنع المنصف في أمر هذا الزائغ</w:t>
      </w:r>
      <w:r w:rsidR="00DB731D" w:rsidRPr="00A52585">
        <w:rPr>
          <w:rFonts w:hint="cs"/>
          <w:sz w:val="24"/>
          <w:szCs w:val="24"/>
          <w:rtl/>
        </w:rPr>
        <w:t>،</w:t>
      </w:r>
      <w:r w:rsidR="00777DCB" w:rsidRPr="00A52585">
        <w:rPr>
          <w:rFonts w:hint="cs"/>
          <w:sz w:val="24"/>
          <w:szCs w:val="24"/>
          <w:rtl/>
        </w:rPr>
        <w:t xml:space="preserve"> ومما قال المصنف في حقه في فتاويه (2/210) في أثناء رده على فتيا له في الوقف</w:t>
      </w:r>
      <w:r w:rsidRPr="00A52585">
        <w:rPr>
          <w:rFonts w:hint="cs"/>
          <w:sz w:val="24"/>
          <w:szCs w:val="24"/>
          <w:rtl/>
        </w:rPr>
        <w:t>:</w:t>
      </w:r>
      <w:r w:rsidR="00777DCB" w:rsidRPr="00A52585">
        <w:rPr>
          <w:rFonts w:hint="cs"/>
          <w:sz w:val="24"/>
          <w:szCs w:val="24"/>
          <w:rtl/>
        </w:rPr>
        <w:t xml:space="preserve"> "وهذا الرجل كنت رددت عليه في حياته في إنكاره السفر لزيارة المصطفى صلى الله عليه وسلم وفي إنكاره وقوع الطلاق إذا حلف به ثم ظهر لي من حاله ما يقتضي أنه ليس ممن يعتمد عليه في نقل ينفرد به لمسارعته إلى النقل لفهمه -</w:t>
      </w:r>
      <w:r w:rsidRPr="00A52585">
        <w:rPr>
          <w:rFonts w:hint="cs"/>
          <w:sz w:val="24"/>
          <w:szCs w:val="24"/>
          <w:rtl/>
        </w:rPr>
        <w:t xml:space="preserve"> </w:t>
      </w:r>
      <w:r w:rsidR="00777DCB" w:rsidRPr="00A52585">
        <w:rPr>
          <w:rFonts w:hint="cs"/>
          <w:sz w:val="24"/>
          <w:szCs w:val="24"/>
          <w:rtl/>
        </w:rPr>
        <w:t>كما في هذه المسألة -</w:t>
      </w:r>
      <w:r w:rsidRPr="00A52585">
        <w:rPr>
          <w:rFonts w:hint="cs"/>
          <w:sz w:val="24"/>
          <w:szCs w:val="24"/>
          <w:rtl/>
        </w:rPr>
        <w:t xml:space="preserve"> </w:t>
      </w:r>
      <w:r w:rsidR="00777DCB" w:rsidRPr="00A52585">
        <w:rPr>
          <w:rFonts w:hint="cs"/>
          <w:sz w:val="24"/>
          <w:szCs w:val="24"/>
          <w:rtl/>
        </w:rPr>
        <w:t>ولا في بحث ينشئه لخلطه المقصود بغيره وخروجه عن الحد جداً، وهو كان مكثراً من الحفظ ولم يتهذب بشيخ ولم يرتض في العلوم بل يأخذها بذهنه مع جسارة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ولم يكن لنا غرض في ذكره بعد موته لأن تلك أمة قد خلت ولكن له أتباع ينعقون ولا يعون ونحن نتبرم بالكلام معهم ومع أمثالهم ولكن للناس ضرورات إلى الجواب في بعض المسائل كهذه المسألة.. " اهـ. وهذا مما يزيدك معرفة بالرجل</w:t>
      </w:r>
      <w:r w:rsidR="00DB731D" w:rsidRPr="00A52585">
        <w:rPr>
          <w:rFonts w:hint="cs"/>
          <w:sz w:val="24"/>
          <w:szCs w:val="24"/>
          <w:rtl/>
        </w:rPr>
        <w:t>،</w:t>
      </w:r>
      <w:r w:rsidR="00777DCB" w:rsidRPr="00A52585">
        <w:rPr>
          <w:rFonts w:hint="cs"/>
          <w:sz w:val="24"/>
          <w:szCs w:val="24"/>
          <w:rtl/>
        </w:rPr>
        <w:t xml:space="preserve"> ومن جملة </w:t>
      </w:r>
      <w:proofErr w:type="spellStart"/>
      <w:r w:rsidR="00777DCB" w:rsidRPr="00A52585">
        <w:rPr>
          <w:rFonts w:hint="cs"/>
          <w:sz w:val="24"/>
          <w:szCs w:val="24"/>
          <w:rtl/>
        </w:rPr>
        <w:t>هذيانات</w:t>
      </w:r>
      <w:proofErr w:type="spellEnd"/>
      <w:r w:rsidR="00777DCB" w:rsidRPr="00A52585">
        <w:rPr>
          <w:rFonts w:hint="cs"/>
          <w:sz w:val="24"/>
          <w:szCs w:val="24"/>
          <w:rtl/>
        </w:rPr>
        <w:t xml:space="preserve"> هذا الزائغ قوله في (المحصل) للفخر الرازي</w:t>
      </w:r>
      <w:r w:rsidRPr="00A52585">
        <w:rPr>
          <w:rFonts w:hint="cs"/>
          <w:sz w:val="24"/>
          <w:szCs w:val="24"/>
          <w:rtl/>
        </w:rPr>
        <w:t>:</w:t>
      </w:r>
      <w:r w:rsidR="00777DCB" w:rsidRPr="00A52585">
        <w:rPr>
          <w:rFonts w:hint="cs"/>
          <w:sz w:val="24"/>
          <w:szCs w:val="24"/>
          <w:rtl/>
        </w:rPr>
        <w:t xml:space="preserve"> (محصل في أصول الدين حاصله</w:t>
      </w:r>
      <w:r w:rsidR="00897A24" w:rsidRPr="00A52585">
        <w:rPr>
          <w:rFonts w:hint="cs"/>
          <w:sz w:val="24"/>
          <w:szCs w:val="24"/>
          <w:rtl/>
        </w:rPr>
        <w:t>.</w:t>
      </w:r>
      <w:r w:rsidR="00777DCB" w:rsidRPr="00A52585">
        <w:rPr>
          <w:rFonts w:hint="cs"/>
          <w:sz w:val="24"/>
          <w:szCs w:val="24"/>
          <w:rtl/>
        </w:rPr>
        <w:t>. من بعد تحصيله أصل بلا دين</w:t>
      </w:r>
      <w:r w:rsidR="00DB731D" w:rsidRPr="00A52585">
        <w:rPr>
          <w:rFonts w:hint="cs"/>
          <w:sz w:val="24"/>
          <w:szCs w:val="24"/>
          <w:rtl/>
        </w:rPr>
        <w:t>،</w:t>
      </w:r>
      <w:r w:rsidR="00777DCB" w:rsidRPr="00A52585">
        <w:rPr>
          <w:rFonts w:hint="cs"/>
          <w:sz w:val="24"/>
          <w:szCs w:val="24"/>
          <w:rtl/>
        </w:rPr>
        <w:t xml:space="preserve"> أصل الضلالات والشك المبـين فما</w:t>
      </w:r>
      <w:r w:rsidR="00897A24" w:rsidRPr="00A52585">
        <w:rPr>
          <w:rFonts w:hint="cs"/>
          <w:sz w:val="24"/>
          <w:szCs w:val="24"/>
          <w:rtl/>
        </w:rPr>
        <w:t>.</w:t>
      </w:r>
      <w:r w:rsidR="00777DCB" w:rsidRPr="00A52585">
        <w:rPr>
          <w:rFonts w:hint="cs"/>
          <w:sz w:val="24"/>
          <w:szCs w:val="24"/>
          <w:rtl/>
        </w:rPr>
        <w:t>. فيه فأكثـره وحـي الشـياطـين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هذا رأي الرجل في معتقد أهل السنة ولأهل العلم ردود عليه وكنتُ قلت في معارضته</w:t>
      </w:r>
      <w:r w:rsidRPr="00A52585">
        <w:rPr>
          <w:rFonts w:hint="cs"/>
          <w:sz w:val="24"/>
          <w:szCs w:val="24"/>
          <w:rtl/>
        </w:rPr>
        <w:t>:</w:t>
      </w:r>
      <w:r w:rsidR="00777DCB" w:rsidRPr="00A52585">
        <w:rPr>
          <w:rFonts w:hint="cs"/>
          <w:sz w:val="24"/>
          <w:szCs w:val="24"/>
          <w:rtl/>
        </w:rPr>
        <w:t xml:space="preserve"> (محصل في أصول الدين حصله</w:t>
      </w:r>
      <w:r w:rsidR="00897A24" w:rsidRPr="00A52585">
        <w:rPr>
          <w:rFonts w:hint="cs"/>
          <w:sz w:val="24"/>
          <w:szCs w:val="24"/>
          <w:rtl/>
        </w:rPr>
        <w:t>.</w:t>
      </w:r>
      <w:r w:rsidR="00777DCB" w:rsidRPr="00A52585">
        <w:rPr>
          <w:rFonts w:hint="cs"/>
          <w:sz w:val="24"/>
          <w:szCs w:val="24"/>
          <w:rtl/>
        </w:rPr>
        <w:t>. أس الهداية والحـق الصراح فمن</w:t>
      </w:r>
      <w:r w:rsidR="00897A24" w:rsidRPr="00A52585">
        <w:rPr>
          <w:rFonts w:hint="cs"/>
          <w:sz w:val="24"/>
          <w:szCs w:val="24"/>
          <w:rtl/>
        </w:rPr>
        <w:t>.</w:t>
      </w:r>
      <w:r w:rsidR="00777DCB" w:rsidRPr="00A52585">
        <w:rPr>
          <w:rFonts w:hint="cs"/>
          <w:sz w:val="24"/>
          <w:szCs w:val="24"/>
          <w:rtl/>
        </w:rPr>
        <w:t>. من اهتدى فغدا محصن الدين</w:t>
      </w:r>
      <w:r w:rsidR="00897A24" w:rsidRPr="00A52585">
        <w:rPr>
          <w:rFonts w:hint="cs"/>
          <w:sz w:val="24"/>
          <w:szCs w:val="24"/>
          <w:rtl/>
        </w:rPr>
        <w:t>.</w:t>
      </w:r>
      <w:r w:rsidR="00777DCB" w:rsidRPr="00A52585">
        <w:rPr>
          <w:rFonts w:hint="cs"/>
          <w:sz w:val="24"/>
          <w:szCs w:val="24"/>
          <w:rtl/>
        </w:rPr>
        <w:t>. يرتاب فيه قفا إثـر الشياطين</w:t>
      </w:r>
      <w:r w:rsidRPr="00A52585">
        <w:rPr>
          <w:rFonts w:hint="cs"/>
          <w:sz w:val="24"/>
          <w:szCs w:val="24"/>
          <w:rtl/>
        </w:rPr>
        <w:t>)</w:t>
      </w:r>
      <w:r w:rsidR="00777DCB" w:rsidRPr="00A52585">
        <w:rPr>
          <w:rFonts w:hint="cs"/>
          <w:sz w:val="24"/>
          <w:szCs w:val="24"/>
          <w:rtl/>
        </w:rPr>
        <w:t xml:space="preserve"> كما قلت فيما سبق في معارضة بعضهم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كان تنـزيه الإله تجهماً</w:t>
      </w:r>
      <w:r w:rsidR="00897A24" w:rsidRPr="00A52585">
        <w:rPr>
          <w:rFonts w:hint="cs"/>
          <w:sz w:val="24"/>
          <w:szCs w:val="24"/>
          <w:rtl/>
        </w:rPr>
        <w:t>.</w:t>
      </w:r>
      <w:r w:rsidR="00777DCB" w:rsidRPr="00A52585">
        <w:rPr>
          <w:rFonts w:hint="cs"/>
          <w:sz w:val="24"/>
          <w:szCs w:val="24"/>
          <w:rtl/>
        </w:rPr>
        <w:t>. فالمؤمنون جميعهم جهمي</w:t>
      </w:r>
      <w:r w:rsidR="00897A24" w:rsidRPr="00A52585">
        <w:rPr>
          <w:rFonts w:hint="cs"/>
          <w:sz w:val="24"/>
          <w:szCs w:val="24"/>
          <w:rtl/>
        </w:rPr>
        <w:t>.</w:t>
      </w:r>
      <w:r w:rsidR="00777DCB" w:rsidRPr="00A52585">
        <w:rPr>
          <w:rFonts w:hint="cs"/>
          <w:sz w:val="24"/>
          <w:szCs w:val="24"/>
          <w:rtl/>
        </w:rPr>
        <w:t>. جل الإله عن الحوادث أن تحلـ</w:t>
      </w:r>
      <w:r w:rsidR="00897A24" w:rsidRPr="00A52585">
        <w:rPr>
          <w:rFonts w:hint="cs"/>
          <w:sz w:val="24"/>
          <w:szCs w:val="24"/>
          <w:rtl/>
        </w:rPr>
        <w:t>.</w:t>
      </w:r>
      <w:r w:rsidR="00777DCB" w:rsidRPr="00A52585">
        <w:rPr>
          <w:rFonts w:hint="cs"/>
          <w:sz w:val="24"/>
          <w:szCs w:val="24"/>
          <w:rtl/>
        </w:rPr>
        <w:t>. ــل به وعن جهة وعن كم</w:t>
      </w:r>
      <w:r w:rsidR="00897A24" w:rsidRPr="00A52585">
        <w:rPr>
          <w:rFonts w:hint="cs"/>
          <w:sz w:val="24"/>
          <w:szCs w:val="24"/>
          <w:rtl/>
        </w:rPr>
        <w:t>.</w:t>
      </w:r>
      <w:r w:rsidR="00777DCB" w:rsidRPr="00A52585">
        <w:rPr>
          <w:rFonts w:hint="cs"/>
          <w:sz w:val="24"/>
          <w:szCs w:val="24"/>
          <w:rtl/>
        </w:rPr>
        <w:t>. بخـلاف زعم زعيمكم سفها</w:t>
      </w:r>
      <w:r w:rsidRPr="00A52585">
        <w:rPr>
          <w:rFonts w:hint="cs"/>
          <w:sz w:val="24"/>
          <w:szCs w:val="24"/>
          <w:rtl/>
        </w:rPr>
        <w:t xml:space="preserve"> </w:t>
      </w:r>
      <w:r w:rsidR="00777DCB" w:rsidRPr="00A52585">
        <w:rPr>
          <w:rFonts w:hint="cs"/>
          <w:sz w:val="24"/>
          <w:szCs w:val="24"/>
          <w:rtl/>
        </w:rPr>
        <w:t>فإن</w:t>
      </w:r>
      <w:r w:rsidR="00897A24" w:rsidRPr="00A52585">
        <w:rPr>
          <w:rFonts w:hint="cs"/>
          <w:sz w:val="24"/>
          <w:szCs w:val="24"/>
          <w:rtl/>
        </w:rPr>
        <w:t>.</w:t>
      </w:r>
      <w:r w:rsidR="00777DCB" w:rsidRPr="00A52585">
        <w:rPr>
          <w:rFonts w:hint="cs"/>
          <w:sz w:val="24"/>
          <w:szCs w:val="24"/>
          <w:rtl/>
        </w:rPr>
        <w:t>. تـابعتموه فكلكـم</w:t>
      </w:r>
      <w:r w:rsidRPr="00A52585">
        <w:rPr>
          <w:rFonts w:hint="cs"/>
          <w:sz w:val="24"/>
          <w:szCs w:val="24"/>
          <w:rtl/>
        </w:rPr>
        <w:t xml:space="preserve"> </w:t>
      </w:r>
      <w:r w:rsidR="00777DCB" w:rsidRPr="00A52585">
        <w:rPr>
          <w:rFonts w:hint="cs"/>
          <w:sz w:val="24"/>
          <w:szCs w:val="24"/>
          <w:rtl/>
        </w:rPr>
        <w:t>تيمـي</w:t>
      </w:r>
      <w:r w:rsidR="00DB731D" w:rsidRPr="00A52585">
        <w:rPr>
          <w:rFonts w:hint="cs"/>
          <w:sz w:val="24"/>
          <w:szCs w:val="24"/>
          <w:rtl/>
        </w:rPr>
        <w:t>،</w:t>
      </w:r>
      <w:r w:rsidR="00777DCB" w:rsidRPr="00A52585">
        <w:rPr>
          <w:rFonts w:hint="cs"/>
          <w:sz w:val="24"/>
          <w:szCs w:val="24"/>
          <w:rtl/>
        </w:rPr>
        <w:t xml:space="preserve"> والله سبحانه ولي الهداية</w:t>
      </w:r>
      <w:r w:rsidRPr="00A52585">
        <w:rPr>
          <w:rFonts w:hint="cs"/>
          <w:sz w:val="24"/>
          <w:szCs w:val="24"/>
          <w:rtl/>
        </w:rPr>
        <w:t>]</w:t>
      </w:r>
      <w:r w:rsidR="00777DCB" w:rsidRPr="00A52585">
        <w:rPr>
          <w:rFonts w:hint="cs"/>
          <w:rtl/>
        </w:rPr>
        <w:t xml:space="preserve"> وله اطلاع</w:t>
      </w:r>
      <w:r w:rsidR="00DB731D" w:rsidRPr="00A52585">
        <w:rPr>
          <w:rFonts w:hint="cs"/>
          <w:rtl/>
        </w:rPr>
        <w:t>،</w:t>
      </w:r>
      <w:r w:rsidR="00777DCB" w:rsidRPr="00A52585">
        <w:rPr>
          <w:rFonts w:hint="cs"/>
          <w:rtl/>
        </w:rPr>
        <w:t xml:space="preserve"> لم يكن من قبله لسواه من متكلم</w:t>
      </w:r>
      <w:r w:rsidRPr="00A52585">
        <w:rPr>
          <w:rFonts w:hint="cs"/>
          <w:rtl/>
        </w:rPr>
        <w:t>)</w:t>
      </w:r>
      <w:r w:rsidR="00DB731D" w:rsidRPr="00A52585">
        <w:rPr>
          <w:rFonts w:hint="cs"/>
          <w:rtl/>
        </w:rPr>
        <w:t>،</w:t>
      </w:r>
      <w:r w:rsidR="00777DCB" w:rsidRPr="00A52585">
        <w:rPr>
          <w:rFonts w:hint="cs"/>
          <w:rtl/>
        </w:rPr>
        <w:t xml:space="preserve"> ونحن نقطع أيضاً بإجماعهم </w:t>
      </w:r>
      <w:r w:rsidRPr="00A52585">
        <w:rPr>
          <w:rFonts w:hint="cs"/>
          <w:rtl/>
        </w:rPr>
        <w:t>(</w:t>
      </w:r>
      <w:r w:rsidR="00777DCB" w:rsidRPr="00A52585">
        <w:rPr>
          <w:rFonts w:hint="cs"/>
          <w:rtl/>
        </w:rPr>
        <w:t>على التنـزيه</w:t>
      </w:r>
      <w:r w:rsidRPr="00A52585">
        <w:rPr>
          <w:rFonts w:hint="cs"/>
          <w:rtl/>
        </w:rPr>
        <w:t>)</w:t>
      </w:r>
      <w:r w:rsidR="00777DCB" w:rsidRPr="00A52585">
        <w:rPr>
          <w:rFonts w:hint="cs"/>
          <w:rtl/>
        </w:rPr>
        <w:t xml:space="preserve"> أما يستحي من ينقل إجماع الرسل على إثبات الجهة والفوقية الحسية لله تعالى</w:t>
      </w:r>
      <w:r w:rsidR="00F95886" w:rsidRPr="00A52585">
        <w:rPr>
          <w:rFonts w:hint="cs"/>
          <w:rtl/>
        </w:rPr>
        <w:t>؟</w:t>
      </w:r>
      <w:r w:rsidR="00777DCB" w:rsidRPr="00A52585">
        <w:rPr>
          <w:rFonts w:hint="cs"/>
          <w:rtl/>
        </w:rPr>
        <w:t xml:space="preserve"> وعلماء الشريعة ينكرونها</w:t>
      </w:r>
      <w:r w:rsidR="00F95886" w:rsidRPr="00A52585">
        <w:rPr>
          <w:rFonts w:hint="cs"/>
          <w:rtl/>
        </w:rPr>
        <w:t>؟</w:t>
      </w:r>
      <w:r w:rsidR="00777DCB" w:rsidRPr="00A52585">
        <w:rPr>
          <w:rFonts w:hint="cs"/>
          <w:rtl/>
        </w:rPr>
        <w:t xml:space="preserve"> أما تخاف منهم أن يقولوا له إنك كذبت على الرسل</w:t>
      </w:r>
      <w:r w:rsidR="00F95886" w:rsidRPr="00A52585">
        <w:rPr>
          <w:rFonts w:hint="cs"/>
          <w:rtl/>
        </w:rPr>
        <w:t>؟</w:t>
      </w:r>
    </w:p>
    <w:p w14:paraId="7B961D87" w14:textId="22BF7279"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وسادس عشرها إجماع أهل العلم ابن عباس ومجاهد ومقاتل والكلبي ورفيع وأبو عبيدة والأشعري والبغوي ومالك والشافعي والنعمان ويعقوب وأحمد وابن المبارك وابن خزيمة وقال يقتل من ينكره وحكي ابن عبد البر إجماع أهل العلم أن الله فوق العرش وابن وهب وحرب الكرماني وحكى الإجماع ابن أبي زيد </w:t>
      </w:r>
      <w:proofErr w:type="spellStart"/>
      <w:r w:rsidR="00777DCB" w:rsidRPr="00A52585">
        <w:rPr>
          <w:rFonts w:hint="cs"/>
          <w:rtl/>
        </w:rPr>
        <w:t>والكرجي</w:t>
      </w:r>
      <w:proofErr w:type="spellEnd"/>
      <w:r w:rsidR="00777DCB" w:rsidRPr="00A52585">
        <w:rPr>
          <w:rFonts w:hint="cs"/>
          <w:rtl/>
        </w:rPr>
        <w:t xml:space="preserve"> في التصنيف الذي شرحه وتفسير عبد بن حميد والنسائي وعثمان الدارمي وابن أصرم وعبد الله بن أحمد والأثرم </w:t>
      </w:r>
      <w:r w:rsidRPr="00A52585">
        <w:rPr>
          <w:rFonts w:hint="cs"/>
          <w:rtl/>
        </w:rPr>
        <w:t>(</w:t>
      </w:r>
      <w:r w:rsidR="00777DCB" w:rsidRPr="00A52585">
        <w:rPr>
          <w:rFonts w:hint="cs"/>
          <w:rtl/>
        </w:rPr>
        <w:t>وأبو حاتم وابنه ومحمد بن أبي شيبة</w:t>
      </w:r>
      <w:r w:rsidRPr="00A52585">
        <w:rPr>
          <w:rFonts w:hint="cs"/>
          <w:rtl/>
        </w:rPr>
        <w:t>)</w:t>
      </w:r>
      <w:r w:rsidR="00777DCB" w:rsidRPr="00A52585">
        <w:rPr>
          <w:rFonts w:hint="cs"/>
          <w:rtl/>
        </w:rPr>
        <w:t xml:space="preserve"> وابن أبي داود </w:t>
      </w:r>
      <w:r w:rsidR="00777DCB" w:rsidRPr="00A52585">
        <w:rPr>
          <w:rFonts w:hint="cs"/>
          <w:rtl/>
        </w:rPr>
        <w:lastRenderedPageBreak/>
        <w:t xml:space="preserve">وابن أسباط وسفيان وحماد بن زيد وحماد بن سلمة والبخاري والطبري </w:t>
      </w:r>
      <w:proofErr w:type="spellStart"/>
      <w:r w:rsidR="00777DCB" w:rsidRPr="00A52585">
        <w:rPr>
          <w:rFonts w:hint="cs"/>
          <w:rtl/>
        </w:rPr>
        <w:t>واللالكائي</w:t>
      </w:r>
      <w:proofErr w:type="spellEnd"/>
      <w:r w:rsidR="00777DCB" w:rsidRPr="00A52585">
        <w:rPr>
          <w:rFonts w:hint="cs"/>
          <w:rtl/>
        </w:rPr>
        <w:t xml:space="preserve"> الشافعي وإسماعيل التيمي والطبراني </w:t>
      </w:r>
      <w:proofErr w:type="spellStart"/>
      <w:r w:rsidR="00777DCB" w:rsidRPr="00A52585">
        <w:rPr>
          <w:rFonts w:hint="cs"/>
          <w:rtl/>
        </w:rPr>
        <w:t>والطلمنكي</w:t>
      </w:r>
      <w:proofErr w:type="spellEnd"/>
      <w:r w:rsidR="00777DCB" w:rsidRPr="00A52585">
        <w:rPr>
          <w:rFonts w:hint="cs"/>
          <w:rtl/>
        </w:rPr>
        <w:t xml:space="preserve"> والطحاوي والباقلاني وابن كلاب والطبري في التفسير والداني وابن سريج وأبو الخير العمراني صاحب البيان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الناظم يروي عن إمامه أحمد بن حنبل في أعلام الموقعين أن من ادعى الإجماع فهو كاذب. فكيف ساغ له أن يروي هنا الإجماع على الفوقية على خلاف البراهين العقلية والنقلية القائمة</w:t>
      </w:r>
      <w:r w:rsidR="00DB731D" w:rsidRPr="00A52585">
        <w:rPr>
          <w:rFonts w:hint="cs"/>
          <w:sz w:val="24"/>
          <w:szCs w:val="24"/>
          <w:rtl/>
        </w:rPr>
        <w:t>،</w:t>
      </w:r>
      <w:r w:rsidR="00777DCB" w:rsidRPr="00A52585">
        <w:rPr>
          <w:rFonts w:hint="cs"/>
          <w:sz w:val="24"/>
          <w:szCs w:val="24"/>
          <w:rtl/>
        </w:rPr>
        <w:t xml:space="preserve"> فابن عباس ومجاهد لم يرو عنهما ما يوهم ذلك إلا أناس </w:t>
      </w:r>
      <w:proofErr w:type="spellStart"/>
      <w:r w:rsidR="00777DCB" w:rsidRPr="00A52585">
        <w:rPr>
          <w:rFonts w:hint="cs"/>
          <w:sz w:val="24"/>
          <w:szCs w:val="24"/>
          <w:rtl/>
        </w:rPr>
        <w:t>هلكى</w:t>
      </w:r>
      <w:proofErr w:type="spellEnd"/>
      <w:r w:rsidR="00777DCB" w:rsidRPr="00A52585">
        <w:rPr>
          <w:rFonts w:hint="cs"/>
          <w:sz w:val="24"/>
          <w:szCs w:val="24"/>
          <w:rtl/>
        </w:rPr>
        <w:t xml:space="preserve"> لا تقبل أقوالهم في حيض النساء فضلا عن المسائل الاعتقادية، ومقاتل بن سليمان المروزي شيخ أهل التجسيم في عصره وقد أفسد جماعة من </w:t>
      </w:r>
      <w:proofErr w:type="spellStart"/>
      <w:r w:rsidR="00777DCB" w:rsidRPr="00A52585">
        <w:rPr>
          <w:rFonts w:hint="cs"/>
          <w:sz w:val="24"/>
          <w:szCs w:val="24"/>
          <w:rtl/>
        </w:rPr>
        <w:t>المراوزة</w:t>
      </w:r>
      <w:proofErr w:type="spellEnd"/>
      <w:r w:rsidR="00777DCB" w:rsidRPr="00A52585">
        <w:rPr>
          <w:rFonts w:hint="cs"/>
          <w:sz w:val="24"/>
          <w:szCs w:val="24"/>
          <w:rtl/>
        </w:rPr>
        <w:t>. والكلبي هالك عند أهل النقد، وأبو العالية رفيع الرياحي فسر الاستواء بالارتفاع، كما ذكره ابن جرير بطريق أبي جعفر الرازي، وهو متكلم فيه حتى عند الناظم</w:t>
      </w:r>
      <w:r w:rsidR="00DB731D" w:rsidRPr="00A52585">
        <w:rPr>
          <w:rFonts w:hint="cs"/>
          <w:sz w:val="24"/>
          <w:szCs w:val="24"/>
          <w:rtl/>
        </w:rPr>
        <w:t>،</w:t>
      </w:r>
      <w:r w:rsidR="00777DCB" w:rsidRPr="00A52585">
        <w:rPr>
          <w:rFonts w:hint="cs"/>
          <w:sz w:val="24"/>
          <w:szCs w:val="24"/>
          <w:rtl/>
        </w:rPr>
        <w:t xml:space="preserve"> وروى </w:t>
      </w:r>
      <w:proofErr w:type="spellStart"/>
      <w:r w:rsidR="00777DCB" w:rsidRPr="00A52585">
        <w:rPr>
          <w:rFonts w:hint="cs"/>
          <w:sz w:val="24"/>
          <w:szCs w:val="24"/>
          <w:rtl/>
        </w:rPr>
        <w:t>الفريابي</w:t>
      </w:r>
      <w:proofErr w:type="spellEnd"/>
      <w:r w:rsidR="00777DCB" w:rsidRPr="00A52585">
        <w:rPr>
          <w:rFonts w:hint="cs"/>
          <w:sz w:val="24"/>
          <w:szCs w:val="24"/>
          <w:rtl/>
        </w:rPr>
        <w:t xml:space="preserve"> عن مجاهد تفسير استوى بقوله</w:t>
      </w:r>
      <w:r w:rsidRPr="00A52585">
        <w:rPr>
          <w:rFonts w:hint="cs"/>
          <w:sz w:val="24"/>
          <w:szCs w:val="24"/>
          <w:rtl/>
        </w:rPr>
        <w:t>:</w:t>
      </w:r>
      <w:r w:rsidR="00777DCB" w:rsidRPr="00A52585">
        <w:rPr>
          <w:rFonts w:hint="cs"/>
          <w:sz w:val="24"/>
          <w:szCs w:val="24"/>
          <w:rtl/>
        </w:rPr>
        <w:t xml:space="preserve"> علا بطريق ورقاء عن ابن أبي نجيح عنه. والكلام فيهما مشهور. ولذا ذكر هذا وذاك البخاري من غير سند، ومع ذلك أين الدلالة في ذا وذاك على الفوقية المكانية</w:t>
      </w:r>
      <w:r w:rsidR="00F95886" w:rsidRPr="00A52585">
        <w:rPr>
          <w:rFonts w:hint="cs"/>
          <w:sz w:val="24"/>
          <w:szCs w:val="24"/>
          <w:rtl/>
        </w:rPr>
        <w:t>؟</w:t>
      </w:r>
      <w:r w:rsidR="00777DCB" w:rsidRPr="00A52585">
        <w:rPr>
          <w:rFonts w:hint="cs"/>
          <w:sz w:val="24"/>
          <w:szCs w:val="24"/>
          <w:rtl/>
        </w:rPr>
        <w:t xml:space="preserve"> وأبو عبيدة معمر بن المثني الشعوبي ماذا تكون قيمة كلامه في مثل هذه الأبحاث</w:t>
      </w:r>
      <w:r w:rsidR="00F95886" w:rsidRPr="00A52585">
        <w:rPr>
          <w:rFonts w:hint="cs"/>
          <w:sz w:val="24"/>
          <w:szCs w:val="24"/>
          <w:rtl/>
        </w:rPr>
        <w:t>؟</w:t>
      </w:r>
      <w:r w:rsidR="00777DCB" w:rsidRPr="00A52585">
        <w:rPr>
          <w:rFonts w:hint="cs"/>
          <w:sz w:val="24"/>
          <w:szCs w:val="24"/>
          <w:rtl/>
        </w:rPr>
        <w:t xml:space="preserve"> والأشعري إن كنتم تعتقدون فيه أنه قائل بالفوقية المكانية فما سبب طعن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كلهم فيه</w:t>
      </w:r>
      <w:r w:rsidR="00F95886" w:rsidRPr="00A52585">
        <w:rPr>
          <w:rFonts w:hint="cs"/>
          <w:sz w:val="24"/>
          <w:szCs w:val="24"/>
          <w:rtl/>
        </w:rPr>
        <w:t>؟</w:t>
      </w:r>
      <w:r w:rsidR="00777DCB" w:rsidRPr="00A52585">
        <w:rPr>
          <w:rFonts w:hint="cs"/>
          <w:sz w:val="24"/>
          <w:szCs w:val="24"/>
          <w:rtl/>
        </w:rPr>
        <w:t xml:space="preserve"> وإنما له رأيان</w:t>
      </w:r>
      <w:r w:rsidRPr="00A52585">
        <w:rPr>
          <w:rFonts w:hint="cs"/>
          <w:sz w:val="24"/>
          <w:szCs w:val="24"/>
          <w:rtl/>
        </w:rPr>
        <w:t>:</w:t>
      </w:r>
      <w:r w:rsidR="00777DCB" w:rsidRPr="00A52585">
        <w:rPr>
          <w:rFonts w:hint="cs"/>
          <w:sz w:val="24"/>
          <w:szCs w:val="24"/>
          <w:rtl/>
        </w:rPr>
        <w:t xml:space="preserve"> أحدهما عدم الخوض في الصفات مع إثبات ما ثبت في</w:t>
      </w:r>
      <w:r w:rsidRPr="00A52585">
        <w:rPr>
          <w:rFonts w:hint="cs"/>
          <w:sz w:val="24"/>
          <w:szCs w:val="24"/>
          <w:rtl/>
        </w:rPr>
        <w:t xml:space="preserve"> </w:t>
      </w:r>
      <w:r w:rsidR="00777DCB" w:rsidRPr="00A52585">
        <w:rPr>
          <w:rFonts w:hint="cs"/>
          <w:sz w:val="24"/>
          <w:szCs w:val="24"/>
          <w:rtl/>
        </w:rPr>
        <w:t xml:space="preserve">الكتاب والسنة بدون تشبيه ولا تمثيل؛ والآخر تأويل ما يجب تأويله بما يوافق التنـزيه إذا عنّ ضرورة. وليس في هذا ولا في ذاك القول بالفوقية المكانية، وتأليف "الإبانة" كان في أوائل رجوعه عن الاعتزال لتدريج </w:t>
      </w:r>
      <w:proofErr w:type="spellStart"/>
      <w:r w:rsidR="00777DCB" w:rsidRPr="00A52585">
        <w:rPr>
          <w:rFonts w:hint="cs"/>
          <w:sz w:val="24"/>
          <w:szCs w:val="24"/>
          <w:rtl/>
        </w:rPr>
        <w:t>البربهاري</w:t>
      </w:r>
      <w:proofErr w:type="spellEnd"/>
      <w:r w:rsidR="00777DCB" w:rsidRPr="00A52585">
        <w:rPr>
          <w:rFonts w:hint="cs"/>
          <w:sz w:val="24"/>
          <w:szCs w:val="24"/>
          <w:rtl/>
        </w:rPr>
        <w:t xml:space="preserve"> إلى معتقد أهل السنة، ومن ظن أنها آخر مؤلفاته فقد ظن باطلاً. وقد تلاحقت أقلام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بالتصرف فيها ولا سيما بعد فتن بغداد فلا تعويل على ما فيها مما يخالف نصوص أئمة المذهب من أصحابه وأصحاب أصحابه</w:t>
      </w:r>
      <w:r w:rsidR="00DB731D" w:rsidRPr="00A52585">
        <w:rPr>
          <w:rFonts w:hint="cs"/>
          <w:sz w:val="24"/>
          <w:szCs w:val="24"/>
          <w:rtl/>
        </w:rPr>
        <w:t>،</w:t>
      </w:r>
      <w:r w:rsidR="00777DCB" w:rsidRPr="00A52585">
        <w:rPr>
          <w:rFonts w:hint="cs"/>
          <w:sz w:val="24"/>
          <w:szCs w:val="24"/>
          <w:rtl/>
        </w:rPr>
        <w:t xml:space="preserve"> وابن درباس غير مأمون في روايتها]</w:t>
      </w:r>
      <w:r w:rsidR="00DB731D" w:rsidRPr="00A52585">
        <w:rPr>
          <w:rFonts w:hint="cs"/>
          <w:rtl/>
        </w:rPr>
        <w:t>،</w:t>
      </w:r>
      <w:r w:rsidR="00777DCB" w:rsidRPr="00A52585">
        <w:rPr>
          <w:rFonts w:hint="cs"/>
          <w:rtl/>
        </w:rPr>
        <w:t xml:space="preserve"> وسواهم والله قطاع الطريق أئمة تدعو إلى النيران ما في الذين حكيت عنهم آنفاً من حنبلي واحد بضمان</w:t>
      </w:r>
      <w:r w:rsidR="00DB731D" w:rsidRPr="00A52585">
        <w:rPr>
          <w:rFonts w:hint="cs"/>
          <w:rtl/>
        </w:rPr>
        <w:t>،</w:t>
      </w:r>
      <w:r w:rsidR="00777DCB" w:rsidRPr="00A52585">
        <w:rPr>
          <w:rFonts w:hint="cs"/>
          <w:rtl/>
        </w:rPr>
        <w:t xml:space="preserve"> بل كلهم والله شيعة أحمد</w:t>
      </w:r>
      <w:r w:rsidR="00DB731D" w:rsidRPr="00A52585">
        <w:rPr>
          <w:rFonts w:hint="cs"/>
          <w:rtl/>
        </w:rPr>
        <w:t>،</w:t>
      </w:r>
      <w:r w:rsidR="00777DCB" w:rsidRPr="00A52585">
        <w:rPr>
          <w:rFonts w:hint="cs"/>
          <w:rtl/>
        </w:rPr>
        <w:t xml:space="preserve"> فأصوله وأصولهم سيان</w:t>
      </w:r>
      <w:r w:rsidR="00DB731D" w:rsidRPr="00A52585">
        <w:rPr>
          <w:rFonts w:hint="cs"/>
          <w:rtl/>
        </w:rPr>
        <w:t>،</w:t>
      </w:r>
      <w:r w:rsidR="00777DCB" w:rsidRPr="00A52585">
        <w:rPr>
          <w:rFonts w:hint="cs"/>
          <w:rtl/>
        </w:rPr>
        <w:t xml:space="preserve"> أتظنهم لفظية </w:t>
      </w:r>
      <w:proofErr w:type="spellStart"/>
      <w:r w:rsidR="00777DCB" w:rsidRPr="00A52585">
        <w:rPr>
          <w:rFonts w:hint="cs"/>
          <w:rtl/>
        </w:rPr>
        <w:t>جهلية</w:t>
      </w:r>
      <w:proofErr w:type="spellEnd"/>
      <w:r w:rsidR="00777DCB" w:rsidRPr="00A52585">
        <w:rPr>
          <w:rFonts w:hint="cs"/>
          <w:rtl/>
        </w:rPr>
        <w:t xml:space="preserve"> هم أهل العقول فتقذفون أولاء بل أضعافهم من سادة العلماء كل زمان بالجهل والتشبيه والتجسيم والتبديع والتضليل والبهتان</w:t>
      </w:r>
      <w:r w:rsidR="00DB731D" w:rsidRPr="00A52585">
        <w:rPr>
          <w:rFonts w:hint="cs"/>
          <w:rtl/>
        </w:rPr>
        <w:t>،</w:t>
      </w:r>
      <w:r w:rsidR="00777DCB" w:rsidRPr="00A52585">
        <w:rPr>
          <w:rFonts w:hint="cs"/>
          <w:rtl/>
        </w:rPr>
        <w:t xml:space="preserve"> يا قومنا الله في إسلامكم لا تفسدوه لنخوة الشيطان</w:t>
      </w:r>
      <w:r w:rsidR="00DB731D" w:rsidRPr="00A52585">
        <w:rPr>
          <w:rFonts w:hint="cs"/>
          <w:rtl/>
        </w:rPr>
        <w:t>،</w:t>
      </w:r>
      <w:r w:rsidR="00777DCB" w:rsidRPr="00A52585">
        <w:rPr>
          <w:rFonts w:hint="cs"/>
          <w:rtl/>
        </w:rPr>
        <w:t xml:space="preserve"> يا قومنا اعتبروا بمصارع من مضى في هذه الأزمان لم يغن عنهم كذبهم ومحالهم وقتالهم بالزور والتدليس عند الناس والحكام والسلطان وبدا لهم أنهم على البطلان ما عندهم شكاية ما يشتكي إلا عاجز</w:t>
      </w:r>
      <w:r w:rsidR="00DB731D" w:rsidRPr="00A52585">
        <w:rPr>
          <w:rFonts w:hint="cs"/>
          <w:rtl/>
        </w:rPr>
        <w:t>،</w:t>
      </w:r>
      <w:r w:rsidR="00777DCB" w:rsidRPr="00A52585">
        <w:rPr>
          <w:rFonts w:hint="cs"/>
          <w:rtl/>
        </w:rPr>
        <w:t xml:space="preserve"> لبستم معنى النصوص وقولنا أسأتم الظن بأئمة الإسلام ما ذنبهم ما الذنب إلا للنصوص لديكم إذا جسمت</w:t>
      </w:r>
      <w:r w:rsidRPr="00A52585">
        <w:rPr>
          <w:rFonts w:hint="cs"/>
          <w:rtl/>
        </w:rPr>
        <w:t>)</w:t>
      </w:r>
      <w:r w:rsidR="00DB731D" w:rsidRPr="00A52585">
        <w:rPr>
          <w:rFonts w:hint="cs"/>
          <w:rtl/>
        </w:rPr>
        <w:t>،</w:t>
      </w:r>
      <w:r w:rsidR="00777DCB" w:rsidRPr="00A52585">
        <w:rPr>
          <w:rFonts w:hint="cs"/>
          <w:rtl/>
        </w:rPr>
        <w:t xml:space="preserve"> انتهى كلام هذا المدبر</w:t>
      </w:r>
      <w:r w:rsidR="00DB731D" w:rsidRPr="00A52585">
        <w:rPr>
          <w:rFonts w:hint="cs"/>
          <w:rtl/>
        </w:rPr>
        <w:t>،</w:t>
      </w:r>
      <w:r w:rsidR="00777DCB" w:rsidRPr="00A52585">
        <w:rPr>
          <w:rFonts w:hint="cs"/>
          <w:rtl/>
        </w:rPr>
        <w:t xml:space="preserve"> وقد تقدم النقل عن مالك رحمه الله بخلاف ما قاله ولكنه اغتر هنا بما رواه الحسن بن إسماعيل الضراب في كتابه الذي صنفه في فضائل مالك رضي الله عنه بأسانيده إلى مالك رضي الله عنه أنه أتاه رجل فقال</w:t>
      </w:r>
      <w:r w:rsidRPr="00A52585">
        <w:rPr>
          <w:rFonts w:hint="cs"/>
          <w:rtl/>
        </w:rPr>
        <w:t>:</w:t>
      </w:r>
      <w:r w:rsidR="00777DCB" w:rsidRPr="00A52585">
        <w:rPr>
          <w:rFonts w:hint="cs"/>
          <w:rtl/>
        </w:rPr>
        <w:t xml:space="preserve"> يا أبا عبد الله</w:t>
      </w:r>
      <w:r w:rsidR="00DB731D" w:rsidRPr="00A52585">
        <w:rPr>
          <w:rFonts w:hint="cs"/>
          <w:rtl/>
        </w:rPr>
        <w:t>،</w:t>
      </w:r>
      <w:r w:rsidR="00777DCB" w:rsidRPr="00A52585">
        <w:rPr>
          <w:rFonts w:hint="cs"/>
          <w:rtl/>
        </w:rPr>
        <w:t xml:space="preserve"> الرحمن على العرش استوى</w:t>
      </w:r>
      <w:r w:rsidR="00DB731D" w:rsidRPr="00A52585">
        <w:rPr>
          <w:rFonts w:hint="cs"/>
          <w:rtl/>
        </w:rPr>
        <w:t>،</w:t>
      </w:r>
      <w:r w:rsidR="00777DCB" w:rsidRPr="00A52585">
        <w:rPr>
          <w:rFonts w:hint="cs"/>
          <w:rtl/>
        </w:rPr>
        <w:t xml:space="preserve"> كيف استوى</w:t>
      </w:r>
      <w:r w:rsidR="00F95886" w:rsidRPr="00A52585">
        <w:rPr>
          <w:rFonts w:hint="cs"/>
          <w:rtl/>
        </w:rPr>
        <w:t>؟</w:t>
      </w:r>
      <w:r w:rsidR="00777DCB" w:rsidRPr="00A52585">
        <w:rPr>
          <w:rFonts w:hint="cs"/>
          <w:rtl/>
        </w:rPr>
        <w:t xml:space="preserve"> فأمسك عنه مالك حتى علاه الرحضاء ثم قال</w:t>
      </w:r>
      <w:r w:rsidRPr="00A52585">
        <w:rPr>
          <w:rFonts w:hint="cs"/>
          <w:rtl/>
        </w:rPr>
        <w:t>:</w:t>
      </w:r>
      <w:r w:rsidR="00777DCB" w:rsidRPr="00A52585">
        <w:rPr>
          <w:rFonts w:hint="cs"/>
          <w:rtl/>
        </w:rPr>
        <w:t xml:space="preserve"> الكيف منه غير معقول والاستواء فيه غير مجهول والإيمان به واجب والسؤال عنه بدعة وإني لأحسبك ضالا</w:t>
      </w:r>
      <w:r w:rsidR="00DB731D" w:rsidRPr="00A52585">
        <w:rPr>
          <w:rFonts w:hint="cs"/>
          <w:rtl/>
        </w:rPr>
        <w:t>،</w:t>
      </w:r>
      <w:r w:rsidR="00777DCB" w:rsidRPr="00A52585">
        <w:rPr>
          <w:rFonts w:hint="cs"/>
          <w:rtl/>
        </w:rPr>
        <w:t xml:space="preserve"> ثم أمر به فأخرج. وفي رواية</w:t>
      </w:r>
      <w:r w:rsidRPr="00A52585">
        <w:rPr>
          <w:rFonts w:hint="cs"/>
          <w:rtl/>
        </w:rPr>
        <w:t>:</w:t>
      </w:r>
      <w:r w:rsidR="00777DCB" w:rsidRPr="00A52585">
        <w:rPr>
          <w:rFonts w:hint="cs"/>
          <w:rtl/>
        </w:rPr>
        <w:t xml:space="preserve"> فإني أخاف أن يكون شيطانا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قال أبو بكر بن العربي في القواصم والعواصم</w:t>
      </w:r>
      <w:r w:rsidRPr="00A52585">
        <w:rPr>
          <w:rFonts w:hint="cs"/>
          <w:sz w:val="24"/>
          <w:szCs w:val="24"/>
          <w:rtl/>
        </w:rPr>
        <w:t>:</w:t>
      </w:r>
      <w:r w:rsidR="00777DCB" w:rsidRPr="00A52585">
        <w:rPr>
          <w:rFonts w:hint="cs"/>
          <w:sz w:val="24"/>
          <w:szCs w:val="24"/>
          <w:rtl/>
        </w:rPr>
        <w:t xml:space="preserve"> المطلوب هنا ثلاثة معان</w:t>
      </w:r>
      <w:r w:rsidRPr="00A52585">
        <w:rPr>
          <w:rFonts w:hint="cs"/>
          <w:sz w:val="24"/>
          <w:szCs w:val="24"/>
          <w:rtl/>
        </w:rPr>
        <w:t>:</w:t>
      </w:r>
      <w:r w:rsidR="00777DCB" w:rsidRPr="00A52585">
        <w:rPr>
          <w:rFonts w:hint="cs"/>
          <w:sz w:val="24"/>
          <w:szCs w:val="24"/>
          <w:rtl/>
        </w:rPr>
        <w:t xml:space="preserve"> معنى الرحمن ومعنى استوى ومعنى العرش، فالرحمن معلوم والعرش في العربية جاء لمعان ولفظ استوى معه محتمل خمسة عشر معنى في اللغة، فأيها تريدون أو أيها تدعون ظاهراً منها، ولم قلتم إن العرش ههنا المراد به مخلوق مخصوص فادعيتموه على العربية والشريعة… فقوله تعالى</w:t>
      </w:r>
      <w:r w:rsidRPr="00A52585">
        <w:rPr>
          <w:rFonts w:hint="cs"/>
          <w:sz w:val="24"/>
          <w:szCs w:val="24"/>
          <w:rtl/>
        </w:rPr>
        <w:t>:</w:t>
      </w:r>
      <w:r w:rsidR="00777DCB" w:rsidRPr="00A52585">
        <w:rPr>
          <w:rFonts w:hint="cs"/>
          <w:sz w:val="24"/>
          <w:szCs w:val="24"/>
          <w:rtl/>
        </w:rPr>
        <w:t xml:space="preserve"> {الرحمن على العرش استوى} [طه</w:t>
      </w:r>
      <w:r w:rsidRPr="00A52585">
        <w:rPr>
          <w:rFonts w:hint="cs"/>
          <w:sz w:val="24"/>
          <w:szCs w:val="24"/>
          <w:rtl/>
        </w:rPr>
        <w:t>:</w:t>
      </w:r>
      <w:r w:rsidR="00777DCB" w:rsidRPr="00A52585">
        <w:rPr>
          <w:rFonts w:hint="cs"/>
          <w:sz w:val="24"/>
          <w:szCs w:val="24"/>
          <w:rtl/>
        </w:rPr>
        <w:t>5] إن علمنا معناه آمنا قولاً ومعنى، وإن لم نعلم معناه قلنا كما قال مالك</w:t>
      </w:r>
      <w:r w:rsidRPr="00A52585">
        <w:rPr>
          <w:rFonts w:hint="cs"/>
          <w:sz w:val="24"/>
          <w:szCs w:val="24"/>
          <w:rtl/>
        </w:rPr>
        <w:t>:</w:t>
      </w:r>
      <w:r w:rsidR="00777DCB" w:rsidRPr="00A52585">
        <w:rPr>
          <w:rFonts w:hint="cs"/>
          <w:sz w:val="24"/>
          <w:szCs w:val="24"/>
          <w:rtl/>
        </w:rPr>
        <w:t xml:space="preserve"> الاستواء معلوم والكيف مجهول والسؤال عنه والسؤال عنه بدعة، فكيف لو رأى من يفسر تعلقه بالله لا يقال إنه بدعة بل أشد من البدعة عنده، فكيف لو سمع من يقول</w:t>
      </w:r>
      <w:r w:rsidRPr="00A52585">
        <w:rPr>
          <w:rFonts w:hint="cs"/>
          <w:sz w:val="24"/>
          <w:szCs w:val="24"/>
          <w:rtl/>
        </w:rPr>
        <w:t>:</w:t>
      </w:r>
      <w:r w:rsidR="00777DCB" w:rsidRPr="00A52585">
        <w:rPr>
          <w:rFonts w:hint="cs"/>
          <w:sz w:val="24"/>
          <w:szCs w:val="24"/>
          <w:rtl/>
        </w:rPr>
        <w:t xml:space="preserve"> إن الله فوقه، فكيف بمن يعين فوقية الذات فكيف بمن يقول إنه يحاذيه ويليه تبا له اهـ راجع (24 - 26) في الجزء الثاني من الكتاب المذكور</w:t>
      </w:r>
      <w:r w:rsidR="00DB731D" w:rsidRPr="00A52585">
        <w:rPr>
          <w:rFonts w:hint="cs"/>
          <w:sz w:val="24"/>
          <w:szCs w:val="24"/>
          <w:rtl/>
        </w:rPr>
        <w:t>،</w:t>
      </w:r>
      <w:r w:rsidR="00777DCB" w:rsidRPr="00A52585">
        <w:rPr>
          <w:rFonts w:hint="cs"/>
          <w:sz w:val="24"/>
          <w:szCs w:val="24"/>
          <w:rtl/>
        </w:rPr>
        <w:t xml:space="preserve"> وقد توسع ابن المعلم المحدث في (نجم المهتدي) في بيان محتملات الآية الخمسة عشرة التي أشار إليها أبو بكر ابن العربي فليراجع هناك</w:t>
      </w:r>
      <w:r w:rsidRPr="00A52585">
        <w:rPr>
          <w:rFonts w:hint="cs"/>
          <w:sz w:val="24"/>
          <w:szCs w:val="24"/>
          <w:rtl/>
        </w:rPr>
        <w:t>]</w:t>
      </w:r>
      <w:r w:rsidR="00777DCB" w:rsidRPr="00A52585">
        <w:rPr>
          <w:rFonts w:hint="cs"/>
          <w:sz w:val="24"/>
          <w:szCs w:val="24"/>
          <w:rtl/>
        </w:rPr>
        <w:t xml:space="preserve"> </w:t>
      </w:r>
    </w:p>
    <w:p w14:paraId="48F7CA64" w14:textId="516C3265" w:rsidR="00777DCB" w:rsidRPr="00A52585" w:rsidRDefault="0002035C" w:rsidP="0002035C">
      <w:pPr>
        <w:spacing w:after="240"/>
        <w:rPr>
          <w:b/>
          <w:rtl/>
        </w:rPr>
      </w:pPr>
      <w:r w:rsidRPr="00A52585">
        <w:rPr>
          <w:rFonts w:hint="cs"/>
          <w:bCs/>
          <w:rtl/>
        </w:rPr>
        <w:t>[</w:t>
      </w:r>
      <w:r w:rsidR="00777DCB" w:rsidRPr="00A52585">
        <w:rPr>
          <w:rFonts w:hint="cs"/>
          <w:bCs/>
          <w:rtl/>
        </w:rPr>
        <w:t>رد المصنف على الناظم في الفوقية</w:t>
      </w:r>
      <w:r w:rsidRPr="00A52585">
        <w:rPr>
          <w:rFonts w:hint="cs"/>
          <w:rtl/>
        </w:rPr>
        <w:t>]:</w:t>
      </w:r>
      <w:r w:rsidR="00777DCB" w:rsidRPr="00A52585">
        <w:rPr>
          <w:rFonts w:hint="cs"/>
          <w:rtl/>
        </w:rPr>
        <w:t xml:space="preserve"> وهذا الكلام صحيح إن صح عن مالك</w:t>
      </w:r>
      <w:r w:rsidR="00DB731D" w:rsidRPr="00A52585">
        <w:rPr>
          <w:rFonts w:hint="cs"/>
          <w:rtl/>
        </w:rPr>
        <w:t>،</w:t>
      </w:r>
      <w:r w:rsidR="00777DCB" w:rsidRPr="00A52585">
        <w:rPr>
          <w:rFonts w:hint="cs"/>
          <w:rtl/>
        </w:rPr>
        <w:t xml:space="preserve"> فإنه ليس فيه إلا الإيمان بآية استوى على العرش كما نطق به القرآن وأن كيفيته غير معقولة</w:t>
      </w:r>
      <w:r w:rsidR="00DB731D" w:rsidRPr="00A52585">
        <w:rPr>
          <w:rFonts w:hint="cs"/>
          <w:rtl/>
        </w:rPr>
        <w:t>،</w:t>
      </w:r>
      <w:r w:rsidR="00777DCB" w:rsidRPr="00A52585">
        <w:rPr>
          <w:rFonts w:hint="cs"/>
          <w:rtl/>
        </w:rPr>
        <w:t xml:space="preserve"> والسائل عنها ضال مبتدع شيطان</w:t>
      </w:r>
      <w:r w:rsidR="00DB731D" w:rsidRPr="00A52585">
        <w:rPr>
          <w:rFonts w:hint="cs"/>
          <w:rtl/>
        </w:rPr>
        <w:t>،</w:t>
      </w:r>
      <w:r w:rsidR="00777DCB" w:rsidRPr="00A52585">
        <w:rPr>
          <w:rFonts w:hint="cs"/>
          <w:rtl/>
        </w:rPr>
        <w:t xml:space="preserve"> وفي ذلك قطع بأن الاستواء ليس</w:t>
      </w:r>
      <w:r w:rsidR="00777DCB" w:rsidRPr="00A52585">
        <w:rPr>
          <w:rFonts w:hint="cs"/>
        </w:rPr>
        <w:t xml:space="preserve"> </w:t>
      </w:r>
      <w:r w:rsidR="00777DCB" w:rsidRPr="00A52585">
        <w:rPr>
          <w:rFonts w:hint="cs"/>
          <w:rtl/>
        </w:rPr>
        <w:t>على ظاهره المعلوم عند الناس من أنه القعود</w:t>
      </w:r>
      <w:r w:rsidR="00DB731D" w:rsidRPr="00A52585">
        <w:rPr>
          <w:rFonts w:hint="cs"/>
          <w:rtl/>
        </w:rPr>
        <w:t>،</w:t>
      </w:r>
      <w:r w:rsidR="00777DCB" w:rsidRPr="00A52585">
        <w:rPr>
          <w:rFonts w:hint="cs"/>
          <w:rtl/>
        </w:rPr>
        <w:t xml:space="preserve"> فإن ذلك معقول وليس فيه تصريح بفوقية الذات؛ ولا يلزم من قولنا استوى على العرش أن يكون هو على العرش إلا بعد أن نثبت أن الاستواء هو القعود والجلوس كما في المخلوق</w:t>
      </w:r>
      <w:r w:rsidR="00DB731D" w:rsidRPr="00A52585">
        <w:rPr>
          <w:rFonts w:hint="cs"/>
          <w:rtl/>
        </w:rPr>
        <w:t>،</w:t>
      </w:r>
      <w:r w:rsidR="00777DCB" w:rsidRPr="00A52585">
        <w:rPr>
          <w:rFonts w:hint="cs"/>
          <w:rtl/>
        </w:rPr>
        <w:t xml:space="preserve"> وجل الله عن ذلك. فهذا الرجل لم يفهم كلام غيره من العلماء الكثيرين الذي حكى عنهم كلهم. وإنما يؤثر عنهم كلام مقتد بالكتاب يراد به معنى صحيح مع التنـزيه</w:t>
      </w:r>
      <w:r w:rsidR="00DB731D" w:rsidRPr="00A52585">
        <w:rPr>
          <w:rFonts w:hint="cs"/>
          <w:rtl/>
        </w:rPr>
        <w:t>،</w:t>
      </w:r>
      <w:r w:rsidR="00777DCB" w:rsidRPr="00A52585">
        <w:rPr>
          <w:rFonts w:hint="cs"/>
          <w:rtl/>
        </w:rPr>
        <w:t xml:space="preserve"> وما لا يوهم التشبيه ولا يقتضيه</w:t>
      </w:r>
      <w:r w:rsidR="00DB731D" w:rsidRPr="00A52585">
        <w:rPr>
          <w:rFonts w:hint="cs"/>
          <w:rtl/>
        </w:rPr>
        <w:t>،</w:t>
      </w:r>
      <w:r w:rsidR="00777DCB" w:rsidRPr="00A52585">
        <w:rPr>
          <w:rFonts w:hint="cs"/>
          <w:rtl/>
        </w:rPr>
        <w:t xml:space="preserve"> </w:t>
      </w:r>
    </w:p>
    <w:p w14:paraId="651C3791" w14:textId="3A2F2B8B" w:rsidR="00777DCB" w:rsidRPr="00A52585" w:rsidRDefault="0002035C" w:rsidP="0002035C">
      <w:pPr>
        <w:spacing w:after="240"/>
        <w:rPr>
          <w:b/>
          <w:rtl/>
        </w:rPr>
      </w:pPr>
      <w:r w:rsidRPr="00A52585">
        <w:rPr>
          <w:rFonts w:hint="cs"/>
          <w:bCs/>
          <w:rtl/>
        </w:rPr>
        <w:t>[</w:t>
      </w:r>
      <w:r w:rsidR="00777DCB" w:rsidRPr="00A52585">
        <w:rPr>
          <w:rFonts w:hint="cs"/>
          <w:bCs/>
          <w:rtl/>
        </w:rPr>
        <w:t>روايات الضراب عن مالك</w:t>
      </w:r>
      <w:r w:rsidRPr="00A52585">
        <w:rPr>
          <w:rFonts w:hint="cs"/>
          <w:bCs/>
          <w:rtl/>
        </w:rPr>
        <w:t>]</w:t>
      </w:r>
      <w:r w:rsidRPr="00A52585">
        <w:rPr>
          <w:rFonts w:hint="cs"/>
          <w:rtl/>
        </w:rPr>
        <w:t>:</w:t>
      </w:r>
      <w:r w:rsidR="00777DCB" w:rsidRPr="00A52585">
        <w:rPr>
          <w:rFonts w:hint="cs"/>
          <w:rtl/>
        </w:rPr>
        <w:t xml:space="preserve"> وقد روى الضراب في هذا الكتاب قال حدثنا عمر بن الربيع ثنا أبو أسامة ثنا ابن أبي زيد عن أبيه عن حبيب كاتب مالك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وعلى روايته في تفسير النـزول عن مالك عول القاضي عياض في المشارق، وقد تكلم في حبيب هذا أهل النقد، إلا أن مالكاً رضي الله عنه كان شديد الانتقاد للرجال، وقوله هو القول الفصل في رجال المدينة، فلا يطمئن القلب إلى أن يكون كاتبه وقارئ موطئه على جمهور </w:t>
      </w:r>
      <w:proofErr w:type="spellStart"/>
      <w:r w:rsidR="00777DCB" w:rsidRPr="00A52585">
        <w:rPr>
          <w:rFonts w:hint="cs"/>
          <w:sz w:val="24"/>
          <w:szCs w:val="24"/>
          <w:rtl/>
        </w:rPr>
        <w:t>المتقلين</w:t>
      </w:r>
      <w:proofErr w:type="spellEnd"/>
      <w:r w:rsidR="00777DCB" w:rsidRPr="00A52585">
        <w:rPr>
          <w:rFonts w:hint="cs"/>
          <w:sz w:val="24"/>
          <w:szCs w:val="24"/>
          <w:rtl/>
        </w:rPr>
        <w:t xml:space="preserve"> من مالك غير مرضي عنده]</w:t>
      </w:r>
      <w:r w:rsidR="00777DCB" w:rsidRPr="00A52585">
        <w:rPr>
          <w:rFonts w:hint="cs"/>
          <w:rtl/>
        </w:rPr>
        <w:t xml:space="preserve"> قال</w:t>
      </w:r>
      <w:r w:rsidRPr="00A52585">
        <w:rPr>
          <w:rFonts w:hint="cs"/>
          <w:rtl/>
        </w:rPr>
        <w:t>:</w:t>
      </w:r>
      <w:r w:rsidR="00777DCB" w:rsidRPr="00A52585">
        <w:rPr>
          <w:rFonts w:hint="cs"/>
          <w:rtl/>
        </w:rPr>
        <w:t xml:space="preserve"> سئل مالك بن أنس عن قول النبي صلى الله عليه وسلم </w:t>
      </w:r>
      <w:r w:rsidRPr="00A52585">
        <w:rPr>
          <w:rFonts w:hint="cs"/>
          <w:rtl/>
        </w:rPr>
        <w:t>(</w:t>
      </w:r>
      <w:r w:rsidR="00777DCB" w:rsidRPr="00A52585">
        <w:rPr>
          <w:rFonts w:hint="cs"/>
          <w:rtl/>
        </w:rPr>
        <w:t>ينـزل ربنا تبارك وتعالى إلى السماء كل ليلة</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ينـزل أمره كل سحر وأما هو فهو دائم لا يزول وهو بكل مكان</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وظاهر هذا الكلام غير مراد قطعاً، بل المراد أنه لا يوصف بمكان دون مكان حيث تنـزه عن الأمكنة. ومن هذا القبيل ما يروى عن بعضهم أن علمه بكل مكان، وحاشا أن يكون المراد بهما حلول ذاته أو صفته في الأمكنة، تعالى الله عما يظن به الجاهلون. وأما قول الترمذي في حديث لهبط على الله (وفسر بعض أهل العلم هذا الحديث فقالوا</w:t>
      </w:r>
      <w:r w:rsidRPr="00A52585">
        <w:rPr>
          <w:rFonts w:hint="cs"/>
          <w:sz w:val="24"/>
          <w:szCs w:val="24"/>
          <w:rtl/>
        </w:rPr>
        <w:t>:</w:t>
      </w:r>
      <w:r w:rsidR="00777DCB" w:rsidRPr="00A52585">
        <w:rPr>
          <w:rFonts w:hint="cs"/>
          <w:sz w:val="24"/>
          <w:szCs w:val="24"/>
          <w:rtl/>
        </w:rPr>
        <w:t xml:space="preserve"> إنما هبط على علم الله وقدرته وسلطانه، وقدرته وسلطانه في كل مكان وهو على العرش كما وصف في كتابه) فقد تعقبه ابن العربي في العارضة وقال</w:t>
      </w:r>
      <w:r w:rsidRPr="00A52585">
        <w:rPr>
          <w:rFonts w:hint="cs"/>
          <w:sz w:val="24"/>
          <w:szCs w:val="24"/>
          <w:rtl/>
        </w:rPr>
        <w:t>:</w:t>
      </w:r>
      <w:r w:rsidR="00777DCB" w:rsidRPr="00A52585">
        <w:rPr>
          <w:rFonts w:hint="cs"/>
          <w:sz w:val="24"/>
          <w:szCs w:val="24"/>
          <w:rtl/>
        </w:rPr>
        <w:t xml:space="preserve"> إن علم الله لا يحل في مكان ولا ينتسب إلى جهة، كما أنه سبحانه كذلك لكنه يعلم كل شيء في كل موضع وعلى كل حال فما كان فهو بعلم الله لا يشذ عنه شيء ولا يعزب عن علمه موجود ولا </w:t>
      </w:r>
      <w:r w:rsidR="00777DCB" w:rsidRPr="00A52585">
        <w:rPr>
          <w:rFonts w:hint="cs"/>
          <w:sz w:val="24"/>
          <w:szCs w:val="24"/>
          <w:rtl/>
        </w:rPr>
        <w:lastRenderedPageBreak/>
        <w:t>معدوم. والمقصود من الخبر أن نسبة الباري من الجهات إلى فوق كنسبته إلى تحت إذ لا ينسب إلى الكون في واحدة منهما بذاته اهـ</w:t>
      </w:r>
      <w:r w:rsidR="00DB731D" w:rsidRPr="00A52585">
        <w:rPr>
          <w:rFonts w:hint="cs"/>
          <w:sz w:val="24"/>
          <w:szCs w:val="24"/>
          <w:rtl/>
        </w:rPr>
        <w:t>،</w:t>
      </w:r>
      <w:r w:rsidR="00777DCB" w:rsidRPr="00A52585">
        <w:rPr>
          <w:rFonts w:hint="cs"/>
          <w:sz w:val="24"/>
          <w:szCs w:val="24"/>
          <w:rtl/>
        </w:rPr>
        <w:t xml:space="preserve"> وما يرويه سريج بن النعمان عن عبد الله بن نافع عن مالك أنه كان يقول</w:t>
      </w:r>
      <w:r w:rsidRPr="00A52585">
        <w:rPr>
          <w:rFonts w:hint="cs"/>
          <w:sz w:val="24"/>
          <w:szCs w:val="24"/>
          <w:rtl/>
        </w:rPr>
        <w:t>:</w:t>
      </w:r>
      <w:r w:rsidR="00777DCB" w:rsidRPr="00A52585">
        <w:rPr>
          <w:rFonts w:hint="cs"/>
          <w:sz w:val="24"/>
          <w:szCs w:val="24"/>
          <w:rtl/>
        </w:rPr>
        <w:t xml:space="preserve"> الله في السماء وعلمه في كل مكان. لا يثبت، قال أحمد</w:t>
      </w:r>
      <w:r w:rsidRPr="00A52585">
        <w:rPr>
          <w:rFonts w:hint="cs"/>
          <w:sz w:val="24"/>
          <w:szCs w:val="24"/>
          <w:rtl/>
        </w:rPr>
        <w:t>:</w:t>
      </w:r>
      <w:r w:rsidR="00777DCB" w:rsidRPr="00A52585">
        <w:rPr>
          <w:rFonts w:hint="cs"/>
          <w:sz w:val="24"/>
          <w:szCs w:val="24"/>
          <w:rtl/>
        </w:rPr>
        <w:t xml:space="preserve"> عبد الله بن نافع الصائغ لم يكن صاحب حديث وكان ضعيفاً فيه، قال ابن عدي</w:t>
      </w:r>
      <w:r w:rsidRPr="00A52585">
        <w:rPr>
          <w:rFonts w:hint="cs"/>
          <w:sz w:val="24"/>
          <w:szCs w:val="24"/>
          <w:rtl/>
        </w:rPr>
        <w:t>:</w:t>
      </w:r>
      <w:r w:rsidR="00777DCB" w:rsidRPr="00A52585">
        <w:rPr>
          <w:rFonts w:hint="cs"/>
          <w:sz w:val="24"/>
          <w:szCs w:val="24"/>
          <w:rtl/>
        </w:rPr>
        <w:t xml:space="preserve"> يروي غرائب عن مالك، قال ابن فرحون</w:t>
      </w:r>
      <w:r w:rsidRPr="00A52585">
        <w:rPr>
          <w:rFonts w:hint="cs"/>
          <w:sz w:val="24"/>
          <w:szCs w:val="24"/>
          <w:rtl/>
        </w:rPr>
        <w:t>:</w:t>
      </w:r>
      <w:r w:rsidR="00777DCB" w:rsidRPr="00A52585">
        <w:rPr>
          <w:rFonts w:hint="cs"/>
          <w:sz w:val="24"/>
          <w:szCs w:val="24"/>
          <w:rtl/>
        </w:rPr>
        <w:t xml:space="preserve"> كان أصم أمياً لا يكتب، راجع ترجمة سريج وابن ناف في كتب الضعفاء وبمثل هذا السند لا ينسب إلى مثل مالك مثل هذا. وقد تواتر عنه عدم الخوض في الصفات وفيما ليس تحته عمل كما كان عليه عمل أهل المدينة على ما في شرح السنة </w:t>
      </w:r>
      <w:proofErr w:type="spellStart"/>
      <w:r w:rsidR="00777DCB" w:rsidRPr="00A52585">
        <w:rPr>
          <w:rFonts w:hint="cs"/>
          <w:sz w:val="24"/>
          <w:szCs w:val="24"/>
          <w:rtl/>
        </w:rPr>
        <w:t>للالكائي</w:t>
      </w:r>
      <w:proofErr w:type="spellEnd"/>
      <w:r w:rsidR="00777DCB" w:rsidRPr="00A52585">
        <w:rPr>
          <w:rFonts w:hint="cs"/>
          <w:sz w:val="24"/>
          <w:szCs w:val="24"/>
          <w:rtl/>
        </w:rPr>
        <w:t xml:space="preserve"> وغيره]</w:t>
      </w:r>
      <w:r w:rsidR="00DB731D" w:rsidRPr="00A52585">
        <w:rPr>
          <w:rFonts w:hint="cs"/>
          <w:rtl/>
        </w:rPr>
        <w:t>،</w:t>
      </w:r>
      <w:r w:rsidR="00777DCB" w:rsidRPr="00A52585">
        <w:rPr>
          <w:rFonts w:hint="cs"/>
          <w:rtl/>
        </w:rPr>
        <w:t xml:space="preserve"> وروى الضراب أيضاً في هذا الكتاب بإسناده إلى عبد الرحمن بن القاسم قال سئل مالك عمن يحدث الحديث الذي قالوا</w:t>
      </w:r>
      <w:r w:rsidRPr="00A52585">
        <w:rPr>
          <w:rFonts w:hint="cs"/>
          <w:rtl/>
        </w:rPr>
        <w:t>:</w:t>
      </w:r>
      <w:r w:rsidR="00777DCB" w:rsidRPr="00A52585">
        <w:rPr>
          <w:rFonts w:hint="cs"/>
          <w:rtl/>
        </w:rPr>
        <w:t xml:space="preserve"> إن الله خلق آدم على صورته</w:t>
      </w:r>
      <w:r w:rsidR="00DB731D" w:rsidRPr="00A52585">
        <w:rPr>
          <w:rFonts w:hint="cs"/>
          <w:rtl/>
        </w:rPr>
        <w:t>،</w:t>
      </w:r>
      <w:r w:rsidR="00777DCB" w:rsidRPr="00A52585">
        <w:rPr>
          <w:rFonts w:hint="cs"/>
          <w:rtl/>
        </w:rPr>
        <w:t xml:space="preserve"> وإن الله يكشف عن ساقه يوم القيامة</w:t>
      </w:r>
      <w:r w:rsidR="00DB731D" w:rsidRPr="00A52585">
        <w:rPr>
          <w:rFonts w:hint="cs"/>
          <w:rtl/>
        </w:rPr>
        <w:t>،</w:t>
      </w:r>
      <w:r w:rsidR="00777DCB" w:rsidRPr="00A52585">
        <w:rPr>
          <w:rFonts w:hint="cs"/>
          <w:rtl/>
        </w:rPr>
        <w:t xml:space="preserve"> وإنه يدخل يده في جهنم حتى يخرج من أراد</w:t>
      </w:r>
      <w:r w:rsidR="00DB731D" w:rsidRPr="00A52585">
        <w:rPr>
          <w:rFonts w:hint="cs"/>
          <w:rtl/>
        </w:rPr>
        <w:t>،</w:t>
      </w:r>
      <w:r w:rsidR="00777DCB" w:rsidRPr="00A52585">
        <w:rPr>
          <w:rFonts w:hint="cs"/>
          <w:rtl/>
        </w:rPr>
        <w:t xml:space="preserve"> فأنكر ذلك إنكاراً شديداً ونهى أن يتحدث بها أحد</w:t>
      </w:r>
      <w:r w:rsidR="00DB731D" w:rsidRPr="00A52585">
        <w:rPr>
          <w:rFonts w:hint="cs"/>
          <w:rtl/>
        </w:rPr>
        <w:t>،</w:t>
      </w:r>
      <w:r w:rsidR="00777DCB" w:rsidRPr="00A52585">
        <w:rPr>
          <w:rFonts w:hint="cs"/>
          <w:rtl/>
        </w:rPr>
        <w:t xml:space="preserve"> فقيل له</w:t>
      </w:r>
      <w:r w:rsidRPr="00A52585">
        <w:rPr>
          <w:rFonts w:hint="cs"/>
          <w:rtl/>
        </w:rPr>
        <w:t>:</w:t>
      </w:r>
      <w:r w:rsidR="00777DCB" w:rsidRPr="00A52585">
        <w:rPr>
          <w:rFonts w:hint="cs"/>
          <w:rtl/>
        </w:rPr>
        <w:t xml:space="preserve"> إن ناساً من أهل العلم يتحدثون بها</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من هم</w:t>
      </w:r>
      <w:r w:rsidR="00F95886" w:rsidRPr="00A52585">
        <w:rPr>
          <w:rFonts w:hint="cs"/>
          <w:rtl/>
        </w:rPr>
        <w:t>؟</w:t>
      </w:r>
      <w:r w:rsidR="00777DCB" w:rsidRPr="00A52585">
        <w:rPr>
          <w:rFonts w:hint="cs"/>
          <w:rtl/>
        </w:rPr>
        <w:t xml:space="preserve"> قيل</w:t>
      </w:r>
      <w:r w:rsidRPr="00A52585">
        <w:rPr>
          <w:rFonts w:hint="cs"/>
          <w:rtl/>
        </w:rPr>
        <w:t>:</w:t>
      </w:r>
      <w:r w:rsidR="00777DCB" w:rsidRPr="00A52585">
        <w:rPr>
          <w:rFonts w:hint="cs"/>
          <w:rtl/>
        </w:rPr>
        <w:t xml:space="preserve"> ابن عجلان عن أبي الزناد</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لم يكن ابن عجلان يعرف هذا الأشياء ولم يكن عالما وذكر أبا الزناد فقال لم يزل عاملا لهؤلاء حتى مات وكان صاحب عمل يتبعهم</w:t>
      </w:r>
      <w:r w:rsidR="00DB731D" w:rsidRPr="00A52585">
        <w:rPr>
          <w:rFonts w:hint="cs"/>
          <w:rtl/>
        </w:rPr>
        <w:t>،</w:t>
      </w:r>
      <w:r w:rsidR="00777DCB" w:rsidRPr="00A52585">
        <w:rPr>
          <w:rFonts w:hint="cs"/>
          <w:rtl/>
        </w:rPr>
        <w:t xml:space="preserve"> ورواه الضراب أيضاً من طريق ابن وهب عن مالك. وروى أيضاً عن طريق الوليد بن مسلم قال سألت </w:t>
      </w:r>
      <w:proofErr w:type="gramStart"/>
      <w:r w:rsidR="00777DCB" w:rsidRPr="00A52585">
        <w:rPr>
          <w:rFonts w:hint="cs"/>
          <w:rtl/>
        </w:rPr>
        <w:t>مالكاً,</w:t>
      </w:r>
      <w:proofErr w:type="gramEnd"/>
      <w:r w:rsidR="00777DCB" w:rsidRPr="00A52585">
        <w:rPr>
          <w:rFonts w:hint="cs"/>
          <w:rtl/>
        </w:rPr>
        <w:t xml:space="preserve"> والأوزاعي وسفيان وليثاً عن هذه الأحاديث التي فيها ذكر الرؤية فقالوا</w:t>
      </w:r>
      <w:r w:rsidRPr="00A52585">
        <w:rPr>
          <w:rFonts w:hint="cs"/>
          <w:rtl/>
        </w:rPr>
        <w:t>:</w:t>
      </w:r>
      <w:r w:rsidR="00777DCB" w:rsidRPr="00A52585">
        <w:rPr>
          <w:rFonts w:hint="cs"/>
          <w:rtl/>
        </w:rPr>
        <w:t xml:space="preserve"> ارووها كما جاءت! فانظر كلام مالك وكلام غيره</w:t>
      </w:r>
      <w:r w:rsidR="00DB731D" w:rsidRPr="00A52585">
        <w:rPr>
          <w:rFonts w:hint="cs"/>
          <w:rtl/>
        </w:rPr>
        <w:t>،</w:t>
      </w:r>
      <w:r w:rsidR="00777DCB" w:rsidRPr="00A52585">
        <w:rPr>
          <w:rFonts w:hint="cs"/>
          <w:rtl/>
        </w:rPr>
        <w:t xml:space="preserve"> لم يصرحوا ولم يبيحوا إلا روايتها؛ لا اعتقاد ظاهرها الموهم للتشبيه. ومالك شدد في روايتها إلا ما يعلم صحته فيروى مع التنـزيه كالقرآن</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قال أبو بكر ابن العربي في العارضة</w:t>
      </w:r>
      <w:r w:rsidRPr="00A52585">
        <w:rPr>
          <w:rFonts w:hint="cs"/>
          <w:sz w:val="24"/>
          <w:szCs w:val="24"/>
          <w:rtl/>
        </w:rPr>
        <w:t>:</w:t>
      </w:r>
      <w:r w:rsidR="00777DCB" w:rsidRPr="00A52585">
        <w:rPr>
          <w:rFonts w:hint="cs"/>
          <w:sz w:val="24"/>
          <w:szCs w:val="24"/>
          <w:rtl/>
        </w:rPr>
        <w:t xml:space="preserve"> روي عن مالك وغيره أنه إذا روي هذه الأحاديث (أحاديث القبض ونحوه) لو أحد مثل بجارحة قطعت اهـ]</w:t>
      </w:r>
      <w:r w:rsidR="00DB731D" w:rsidRPr="00A52585">
        <w:rPr>
          <w:rFonts w:hint="cs"/>
          <w:sz w:val="24"/>
          <w:szCs w:val="24"/>
          <w:rtl/>
        </w:rPr>
        <w:t>،</w:t>
      </w:r>
      <w:r w:rsidR="00777DCB" w:rsidRPr="00A52585">
        <w:rPr>
          <w:rFonts w:hint="cs"/>
          <w:rtl/>
        </w:rPr>
        <w:t xml:space="preserve"> وهذا النحس وأمثاله يروون في ذلك </w:t>
      </w:r>
      <w:proofErr w:type="spellStart"/>
      <w:r w:rsidR="00777DCB" w:rsidRPr="00A52585">
        <w:rPr>
          <w:rFonts w:hint="cs"/>
          <w:rtl/>
        </w:rPr>
        <w:t>الجفلاء</w:t>
      </w:r>
      <w:proofErr w:type="spellEnd"/>
      <w:r w:rsidR="00777DCB" w:rsidRPr="00A52585">
        <w:rPr>
          <w:rFonts w:hint="cs"/>
          <w:rtl/>
        </w:rPr>
        <w:t xml:space="preserve"> لأن لهم بدعة لا يبغون عنها حولا</w:t>
      </w:r>
      <w:r w:rsidR="00DB731D" w:rsidRPr="00A52585">
        <w:rPr>
          <w:rFonts w:hint="cs"/>
          <w:rtl/>
        </w:rPr>
        <w:t>،</w:t>
      </w:r>
      <w:r w:rsidR="00777DCB" w:rsidRPr="00A52585">
        <w:rPr>
          <w:rFonts w:hint="cs"/>
          <w:rtl/>
        </w:rPr>
        <w:t xml:space="preserve"> وكل هؤلاء الذين نقل عنهم كلامه إما متأول أراد به قائله معنى صحيحاً غير ما أراد هذا المبتدع</w:t>
      </w:r>
      <w:r w:rsidR="00DB731D" w:rsidRPr="00A52585">
        <w:rPr>
          <w:rFonts w:hint="cs"/>
          <w:rtl/>
        </w:rPr>
        <w:t>،</w:t>
      </w:r>
      <w:r w:rsidR="00777DCB" w:rsidRPr="00A52585">
        <w:rPr>
          <w:rFonts w:hint="cs"/>
          <w:rtl/>
        </w:rPr>
        <w:t xml:space="preserve"> وإما مختلق عليه وحقه أن يسبر. فمن سمى من المتأخرين لم يكن له بصر بالحقائق فزل كما زل شيوخ هذا المبتدع وقادته ممن لم يكن قدوة</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من </w:t>
      </w:r>
      <w:proofErr w:type="spellStart"/>
      <w:r w:rsidR="00777DCB" w:rsidRPr="00A52585">
        <w:rPr>
          <w:rFonts w:hint="cs"/>
          <w:sz w:val="24"/>
          <w:szCs w:val="24"/>
          <w:rtl/>
        </w:rPr>
        <w:t>حشوية</w:t>
      </w:r>
      <w:proofErr w:type="spellEnd"/>
      <w:r w:rsidR="00777DCB" w:rsidRPr="00A52585">
        <w:rPr>
          <w:rFonts w:hint="cs"/>
          <w:sz w:val="24"/>
          <w:szCs w:val="24"/>
          <w:rtl/>
        </w:rPr>
        <w:t xml:space="preserve"> الحنابلة قال العفيف اليافعي في (مرهم العلل المعضلة في دفع الشبه والرد على المعتزلة) في الجزء الثالث منه</w:t>
      </w:r>
      <w:r w:rsidRPr="00A52585">
        <w:rPr>
          <w:rFonts w:hint="cs"/>
          <w:sz w:val="24"/>
          <w:szCs w:val="24"/>
          <w:rtl/>
        </w:rPr>
        <w:t>:</w:t>
      </w:r>
      <w:r w:rsidR="00777DCB" w:rsidRPr="00A52585">
        <w:rPr>
          <w:rFonts w:hint="cs"/>
          <w:sz w:val="24"/>
          <w:szCs w:val="24"/>
          <w:rtl/>
        </w:rPr>
        <w:t xml:space="preserve"> "ومتأخرو الحنابلة غلوا في دينهم غلواً فاحشاً وتسفهوا سفهاً عظيماً وجسموا تجسيما قبيحا وشبهوا الله بخلقه تشبيها شنيعاً وجعلوا له من عباده أمثالا كثيرة حتى قال أبو بكر بن العربي في العواصم</w:t>
      </w:r>
      <w:r w:rsidRPr="00A52585">
        <w:rPr>
          <w:rFonts w:hint="cs"/>
          <w:sz w:val="24"/>
          <w:szCs w:val="24"/>
          <w:rtl/>
        </w:rPr>
        <w:t>:</w:t>
      </w:r>
      <w:r w:rsidR="00777DCB" w:rsidRPr="00A52585">
        <w:rPr>
          <w:rFonts w:hint="cs"/>
          <w:sz w:val="24"/>
          <w:szCs w:val="24"/>
          <w:rtl/>
        </w:rPr>
        <w:t xml:space="preserve"> أخبرني من أثق به من مشيختي أن القاضي أبا يعلي الحنبلي كان إذا ذكر الله سبحانه يقول فيما ورد من هذه الظواهر في صفاته تعالى</w:t>
      </w:r>
      <w:r w:rsidRPr="00A52585">
        <w:rPr>
          <w:rFonts w:hint="cs"/>
          <w:sz w:val="24"/>
          <w:szCs w:val="24"/>
          <w:rtl/>
        </w:rPr>
        <w:t>:</w:t>
      </w:r>
      <w:r w:rsidR="00777DCB" w:rsidRPr="00A52585">
        <w:rPr>
          <w:rFonts w:hint="cs"/>
          <w:sz w:val="24"/>
          <w:szCs w:val="24"/>
          <w:rtl/>
        </w:rPr>
        <w:t xml:space="preserve"> (ألزموني ما شئتم، فإني ألتزمه إلا اللحية والعورة). قال بعض أئمة أهل الحق</w:t>
      </w:r>
      <w:r w:rsidRPr="00A52585">
        <w:rPr>
          <w:rFonts w:hint="cs"/>
          <w:sz w:val="24"/>
          <w:szCs w:val="24"/>
          <w:rtl/>
        </w:rPr>
        <w:t>:</w:t>
      </w:r>
      <w:r w:rsidR="00777DCB" w:rsidRPr="00A52585">
        <w:rPr>
          <w:rFonts w:hint="cs"/>
          <w:sz w:val="24"/>
          <w:szCs w:val="24"/>
          <w:rtl/>
        </w:rPr>
        <w:t xml:space="preserve"> وهذا كفر قبيح واستهزاء بالله تعالى شنيع وقائله جاهل به تعالى </w:t>
      </w:r>
      <w:proofErr w:type="spellStart"/>
      <w:r w:rsidR="00777DCB" w:rsidRPr="00A52585">
        <w:rPr>
          <w:rFonts w:hint="cs"/>
          <w:sz w:val="24"/>
          <w:szCs w:val="24"/>
          <w:rtl/>
        </w:rPr>
        <w:t>لايقتدى</w:t>
      </w:r>
      <w:proofErr w:type="spellEnd"/>
      <w:r w:rsidR="00777DCB" w:rsidRPr="00A52585">
        <w:rPr>
          <w:rFonts w:hint="cs"/>
          <w:sz w:val="24"/>
          <w:szCs w:val="24"/>
          <w:rtl/>
        </w:rPr>
        <w:t xml:space="preserve"> به ولا يتلفت إليه ولا متبع لإمامه الذي ينتسب إليه ويتستر به بل هو شريك للمشركين في عبادة الأصنام، فإنه ما عبد الله ولا عرفه، وإنما صور صنما في نفسه، فتعالى الله عما يقول الملحدون والجاحدون علواً كبيراً اهـ "</w:t>
      </w:r>
      <w:r w:rsidR="00DB731D" w:rsidRPr="00A52585">
        <w:rPr>
          <w:rFonts w:hint="cs"/>
          <w:sz w:val="24"/>
          <w:szCs w:val="24"/>
          <w:rtl/>
        </w:rPr>
        <w:t>،</w:t>
      </w:r>
      <w:r w:rsidR="00777DCB" w:rsidRPr="00A52585">
        <w:rPr>
          <w:rFonts w:hint="cs"/>
          <w:sz w:val="24"/>
          <w:szCs w:val="24"/>
          <w:rtl/>
        </w:rPr>
        <w:t xml:space="preserve"> ومثل ما نقله ابن العربي عن أبي يعلى هذا منقول في كتب الملل والنحل عن داود </w:t>
      </w:r>
      <w:proofErr w:type="spellStart"/>
      <w:r w:rsidR="00777DCB" w:rsidRPr="00A52585">
        <w:rPr>
          <w:rFonts w:hint="cs"/>
          <w:sz w:val="24"/>
          <w:szCs w:val="24"/>
          <w:rtl/>
        </w:rPr>
        <w:t>الجواربي</w:t>
      </w:r>
      <w:proofErr w:type="spellEnd"/>
      <w:r w:rsidR="00777DCB" w:rsidRPr="00A52585">
        <w:rPr>
          <w:rFonts w:hint="cs"/>
          <w:sz w:val="24"/>
          <w:szCs w:val="24"/>
          <w:rtl/>
        </w:rPr>
        <w:t xml:space="preserve">؛ تعالى </w:t>
      </w:r>
      <w:r w:rsidR="00777DCB" w:rsidRPr="00A52585">
        <w:rPr>
          <w:rFonts w:hint="cs"/>
          <w:sz w:val="24"/>
          <w:szCs w:val="24"/>
          <w:rtl/>
        </w:rPr>
        <w:lastRenderedPageBreak/>
        <w:t>الله عن ذلك.</w:t>
      </w:r>
      <w:r w:rsidR="00DB731D" w:rsidRPr="00A52585">
        <w:rPr>
          <w:rFonts w:hint="cs"/>
          <w:sz w:val="24"/>
          <w:szCs w:val="24"/>
          <w:rtl/>
        </w:rPr>
        <w:t>،</w:t>
      </w:r>
      <w:r w:rsidR="00777DCB" w:rsidRPr="00A52585">
        <w:rPr>
          <w:rFonts w:hint="cs"/>
          <w:sz w:val="24"/>
          <w:szCs w:val="24"/>
          <w:rtl/>
        </w:rPr>
        <w:t xml:space="preserve"> ثم قال اليافعي</w:t>
      </w:r>
      <w:r w:rsidRPr="00A52585">
        <w:rPr>
          <w:rFonts w:hint="cs"/>
          <w:sz w:val="24"/>
          <w:szCs w:val="24"/>
          <w:rtl/>
        </w:rPr>
        <w:t>:</w:t>
      </w:r>
      <w:r w:rsidR="00777DCB" w:rsidRPr="00A52585">
        <w:rPr>
          <w:rFonts w:hint="cs"/>
          <w:sz w:val="24"/>
          <w:szCs w:val="24"/>
          <w:rtl/>
        </w:rPr>
        <w:t xml:space="preserve"> "ولقد أحسن ابن الجوزي من الحنابلة حيث صنف كتابا في الرد عليهم, ونقل عنهم أنهم أثبتوا لله صورة كصورة الآدمي في </w:t>
      </w:r>
      <w:proofErr w:type="spellStart"/>
      <w:r w:rsidR="00777DCB" w:rsidRPr="00A52585">
        <w:rPr>
          <w:rFonts w:hint="cs"/>
          <w:sz w:val="24"/>
          <w:szCs w:val="24"/>
          <w:rtl/>
        </w:rPr>
        <w:t>أبعاضها,وقال</w:t>
      </w:r>
      <w:proofErr w:type="spellEnd"/>
      <w:r w:rsidR="00777DCB" w:rsidRPr="00A52585">
        <w:rPr>
          <w:rFonts w:hint="cs"/>
          <w:sz w:val="24"/>
          <w:szCs w:val="24"/>
          <w:rtl/>
        </w:rPr>
        <w:t xml:space="preserve"> في </w:t>
      </w:r>
      <w:proofErr w:type="spellStart"/>
      <w:r w:rsidR="00777DCB" w:rsidRPr="00A52585">
        <w:rPr>
          <w:rFonts w:hint="cs"/>
          <w:sz w:val="24"/>
          <w:szCs w:val="24"/>
          <w:rtl/>
        </w:rPr>
        <w:t>كتابه</w:t>
      </w:r>
      <w:r w:rsidRPr="00A52585">
        <w:rPr>
          <w:rFonts w:hint="cs"/>
          <w:sz w:val="24"/>
          <w:szCs w:val="24"/>
          <w:rtl/>
        </w:rPr>
        <w:t>:</w:t>
      </w:r>
      <w:r w:rsidR="00777DCB" w:rsidRPr="00A52585">
        <w:rPr>
          <w:rFonts w:hint="cs"/>
          <w:sz w:val="24"/>
          <w:szCs w:val="24"/>
          <w:rtl/>
        </w:rPr>
        <w:t>هؤلاء</w:t>
      </w:r>
      <w:proofErr w:type="spellEnd"/>
      <w:r w:rsidR="00777DCB" w:rsidRPr="00A52585">
        <w:rPr>
          <w:rFonts w:hint="cs"/>
          <w:sz w:val="24"/>
          <w:szCs w:val="24"/>
          <w:rtl/>
        </w:rPr>
        <w:t xml:space="preserve"> قد كسوا هذا المذهب شينا </w:t>
      </w:r>
      <w:proofErr w:type="spellStart"/>
      <w:r w:rsidR="00777DCB" w:rsidRPr="00A52585">
        <w:rPr>
          <w:rFonts w:hint="cs"/>
          <w:sz w:val="24"/>
          <w:szCs w:val="24"/>
          <w:rtl/>
        </w:rPr>
        <w:t>قبيحاحتى</w:t>
      </w:r>
      <w:proofErr w:type="spellEnd"/>
      <w:r w:rsidR="00777DCB" w:rsidRPr="00A52585">
        <w:rPr>
          <w:rFonts w:hint="cs"/>
          <w:sz w:val="24"/>
          <w:szCs w:val="24"/>
          <w:rtl/>
        </w:rPr>
        <w:t xml:space="preserve"> صار لا يقال عن حنبلي إلا </w:t>
      </w:r>
      <w:proofErr w:type="spellStart"/>
      <w:r w:rsidR="00777DCB" w:rsidRPr="00A52585">
        <w:rPr>
          <w:rFonts w:hint="cs"/>
          <w:sz w:val="24"/>
          <w:szCs w:val="24"/>
          <w:rtl/>
        </w:rPr>
        <w:t>مجسم,قال</w:t>
      </w:r>
      <w:r w:rsidRPr="00A52585">
        <w:rPr>
          <w:rFonts w:hint="cs"/>
          <w:sz w:val="24"/>
          <w:szCs w:val="24"/>
          <w:rtl/>
        </w:rPr>
        <w:t>:</w:t>
      </w:r>
      <w:r w:rsidR="00777DCB" w:rsidRPr="00A52585">
        <w:rPr>
          <w:rFonts w:hint="cs"/>
          <w:sz w:val="24"/>
          <w:szCs w:val="24"/>
          <w:rtl/>
        </w:rPr>
        <w:t>وهؤلاء</w:t>
      </w:r>
      <w:proofErr w:type="spellEnd"/>
      <w:r w:rsidR="00777DCB" w:rsidRPr="00A52585">
        <w:rPr>
          <w:rFonts w:hint="cs"/>
          <w:sz w:val="24"/>
          <w:szCs w:val="24"/>
          <w:rtl/>
        </w:rPr>
        <w:t xml:space="preserve"> متلاعبون وما عرفوا الله ولا عندهم من الإسلام خبر ولا </w:t>
      </w:r>
      <w:proofErr w:type="spellStart"/>
      <w:r w:rsidR="00777DCB" w:rsidRPr="00A52585">
        <w:rPr>
          <w:rFonts w:hint="cs"/>
          <w:sz w:val="24"/>
          <w:szCs w:val="24"/>
          <w:rtl/>
        </w:rPr>
        <w:t>يحدثون,فإنهم</w:t>
      </w:r>
      <w:proofErr w:type="spellEnd"/>
      <w:r w:rsidR="00777DCB" w:rsidRPr="00A52585">
        <w:rPr>
          <w:rFonts w:hint="cs"/>
          <w:sz w:val="24"/>
          <w:szCs w:val="24"/>
          <w:rtl/>
        </w:rPr>
        <w:t xml:space="preserve"> يكابرون العقول وكأنهم يحدثون الصبيان </w:t>
      </w:r>
      <w:proofErr w:type="spellStart"/>
      <w:r w:rsidR="00777DCB" w:rsidRPr="00A52585">
        <w:rPr>
          <w:rFonts w:hint="cs"/>
          <w:sz w:val="24"/>
          <w:szCs w:val="24"/>
          <w:rtl/>
        </w:rPr>
        <w:t>والأطفال,قال</w:t>
      </w:r>
      <w:r w:rsidRPr="00A52585">
        <w:rPr>
          <w:rFonts w:hint="cs"/>
          <w:sz w:val="24"/>
          <w:szCs w:val="24"/>
          <w:rtl/>
        </w:rPr>
        <w:t>:</w:t>
      </w:r>
      <w:r w:rsidR="00777DCB" w:rsidRPr="00A52585">
        <w:rPr>
          <w:rFonts w:hint="cs"/>
          <w:sz w:val="24"/>
          <w:szCs w:val="24"/>
          <w:rtl/>
        </w:rPr>
        <w:t>وكلامهم</w:t>
      </w:r>
      <w:proofErr w:type="spellEnd"/>
      <w:r w:rsidR="00777DCB" w:rsidRPr="00A52585">
        <w:rPr>
          <w:rFonts w:hint="cs"/>
          <w:sz w:val="24"/>
          <w:szCs w:val="24"/>
          <w:rtl/>
        </w:rPr>
        <w:t xml:space="preserve"> صريح في التشبيه وقد تبعهم خلق من العوام وفضحوا التابع </w:t>
      </w:r>
      <w:proofErr w:type="spellStart"/>
      <w:r w:rsidR="00777DCB" w:rsidRPr="00A52585">
        <w:rPr>
          <w:rFonts w:hint="cs"/>
          <w:sz w:val="24"/>
          <w:szCs w:val="24"/>
          <w:rtl/>
        </w:rPr>
        <w:t>والمتبوع..انتهى</w:t>
      </w:r>
      <w:proofErr w:type="spellEnd"/>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والكتاب الذي أشار إليه اليافعي هو (دفع شبه التشبيه) وهو مطبوع فليراجع</w:t>
      </w:r>
      <w:r w:rsidRPr="00A52585">
        <w:rPr>
          <w:rFonts w:hint="cs"/>
          <w:sz w:val="24"/>
          <w:szCs w:val="24"/>
          <w:rtl/>
        </w:rPr>
        <w:t>]</w:t>
      </w:r>
      <w:r w:rsidR="00777DCB" w:rsidRPr="00A52585">
        <w:rPr>
          <w:rFonts w:hint="cs"/>
          <w:rtl/>
        </w:rPr>
        <w:t xml:space="preserve"> </w:t>
      </w:r>
    </w:p>
    <w:p w14:paraId="068C9C55" w14:textId="7B51C26B" w:rsidR="00777DCB" w:rsidRPr="00A52585" w:rsidRDefault="0002035C" w:rsidP="0002035C">
      <w:pPr>
        <w:spacing w:after="240"/>
        <w:rPr>
          <w:b/>
          <w:rtl/>
        </w:rPr>
      </w:pPr>
      <w:r w:rsidRPr="00A52585">
        <w:rPr>
          <w:rFonts w:hint="cs"/>
          <w:bCs/>
          <w:rtl/>
        </w:rPr>
        <w:t>[</w:t>
      </w:r>
      <w:r w:rsidR="00777DCB" w:rsidRPr="00A52585">
        <w:rPr>
          <w:rFonts w:hint="cs"/>
          <w:bCs/>
          <w:rtl/>
        </w:rPr>
        <w:t>فصــــــــــل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وسابع عشرها إخباره سبحانه في القرآن عن موسى</w:t>
      </w:r>
      <w:r w:rsidR="00DB731D" w:rsidRPr="00A52585">
        <w:rPr>
          <w:rFonts w:hint="cs"/>
          <w:rtl/>
        </w:rPr>
        <w:t>،</w:t>
      </w:r>
      <w:r w:rsidR="00777DCB" w:rsidRPr="00A52585">
        <w:rPr>
          <w:rFonts w:hint="cs"/>
          <w:rtl/>
        </w:rPr>
        <w:t xml:space="preserve"> وفرعون أنكر التكليم والفوقية العليا</w:t>
      </w:r>
      <w:r w:rsidR="00DB731D" w:rsidRPr="00A52585">
        <w:rPr>
          <w:rFonts w:hint="cs"/>
          <w:rtl/>
        </w:rPr>
        <w:t>،</w:t>
      </w:r>
      <w:r w:rsidR="00777DCB" w:rsidRPr="00A52585">
        <w:rPr>
          <w:rFonts w:hint="cs"/>
          <w:rtl/>
        </w:rPr>
        <w:t xml:space="preserve"> ولنا مئتا دليل على أنه فوق السماء </w:t>
      </w:r>
      <w:r w:rsidRPr="00A52585">
        <w:rPr>
          <w:rFonts w:hint="cs"/>
          <w:rtl/>
        </w:rPr>
        <w:t>{</w:t>
      </w:r>
      <w:r w:rsidR="00777DCB" w:rsidRPr="00A52585">
        <w:rPr>
          <w:rFonts w:hint="cs"/>
          <w:rtl/>
        </w:rPr>
        <w:t>فلا وربك لا يؤمنون حتى يحكموك</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65] - بالله - هل حدثتكم قط أنفسكم بذا فسلوا أنفسكم عن الإيمان</w:t>
      </w:r>
      <w:r w:rsidR="00DB731D" w:rsidRPr="00A52585">
        <w:rPr>
          <w:rFonts w:hint="cs"/>
          <w:rtl/>
        </w:rPr>
        <w:t>،</w:t>
      </w:r>
      <w:r w:rsidR="00777DCB" w:rsidRPr="00A52585">
        <w:rPr>
          <w:rFonts w:hint="cs"/>
          <w:rtl/>
        </w:rPr>
        <w:t xml:space="preserve"> لكن رب العالمين وجنده ورسوله صلى الله عليه وسلم المبعوث بالفرقان هم يشهدون بأنكم أعداء من ذا شأنه أبداً بكل زمان ولأي شيء كان أحمد خصمكم أعني ابن حنبل الرضي الشيباني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وإنما خصوم أحمد هم الذين انتموا إليه كذبا وخالفوه في التنـزيه، وقال الحافظ ابن شاهين</w:t>
      </w:r>
      <w:r w:rsidRPr="00A52585">
        <w:rPr>
          <w:rFonts w:hint="cs"/>
          <w:sz w:val="24"/>
          <w:szCs w:val="24"/>
          <w:rtl/>
        </w:rPr>
        <w:t>:</w:t>
      </w:r>
      <w:r w:rsidR="00777DCB" w:rsidRPr="00A52585">
        <w:rPr>
          <w:rFonts w:hint="cs"/>
          <w:sz w:val="24"/>
          <w:szCs w:val="24"/>
          <w:rtl/>
        </w:rPr>
        <w:t xml:space="preserve"> (رجلان صالحان بليا بأصحاب سوء</w:t>
      </w:r>
      <w:r w:rsidRPr="00A52585">
        <w:rPr>
          <w:rFonts w:hint="cs"/>
          <w:sz w:val="24"/>
          <w:szCs w:val="24"/>
          <w:rtl/>
        </w:rPr>
        <w:t>:</w:t>
      </w:r>
      <w:r w:rsidR="00777DCB" w:rsidRPr="00A52585">
        <w:rPr>
          <w:rFonts w:hint="cs"/>
          <w:sz w:val="24"/>
          <w:szCs w:val="24"/>
          <w:rtl/>
        </w:rPr>
        <w:t xml:space="preserve"> جعفر بن محمد الصادق وأحمد بن حنبل) رواه ابن عساكر بطريق أبي ذر الهروي راوية الجامع الصحيح؛ يريد الروافض والمجسمة]</w:t>
      </w:r>
      <w:r w:rsidR="00DB731D" w:rsidRPr="00A52585">
        <w:rPr>
          <w:rFonts w:hint="cs"/>
          <w:rtl/>
        </w:rPr>
        <w:t>،</w:t>
      </w:r>
      <w:r w:rsidR="00777DCB" w:rsidRPr="00A52585">
        <w:rPr>
          <w:rFonts w:hint="cs"/>
          <w:rtl/>
        </w:rPr>
        <w:t xml:space="preserve"> ولأي شيء كان أيضاً خصمكم شيخ الوجود العالم الحراني</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وكلماته فيما رد به على الرازي في المجلد رقم 25 من الكواكب </w:t>
      </w:r>
      <w:proofErr w:type="spellStart"/>
      <w:r w:rsidR="00777DCB" w:rsidRPr="00A52585">
        <w:rPr>
          <w:rFonts w:hint="cs"/>
          <w:sz w:val="24"/>
          <w:szCs w:val="24"/>
          <w:rtl/>
        </w:rPr>
        <w:t>الدراري</w:t>
      </w:r>
      <w:proofErr w:type="spellEnd"/>
      <w:r w:rsidR="00777DCB" w:rsidRPr="00A52585">
        <w:rPr>
          <w:rFonts w:hint="cs"/>
          <w:sz w:val="24"/>
          <w:szCs w:val="24"/>
          <w:rtl/>
        </w:rPr>
        <w:t xml:space="preserve"> بظاهرية دمشق حيث قال</w:t>
      </w:r>
      <w:r w:rsidRPr="00A52585">
        <w:rPr>
          <w:rFonts w:hint="cs"/>
          <w:sz w:val="24"/>
          <w:szCs w:val="24"/>
          <w:rtl/>
        </w:rPr>
        <w:t>:</w:t>
      </w:r>
      <w:r w:rsidR="00777DCB" w:rsidRPr="00A52585">
        <w:rPr>
          <w:rFonts w:hint="cs"/>
          <w:sz w:val="24"/>
          <w:szCs w:val="24"/>
          <w:rtl/>
        </w:rPr>
        <w:t xml:space="preserve"> "لو شاء لاستقر على ظهر بعوضة فاستقلت به بقدرته فكيف على عرش عظيم" آية من آيات خرقه وحمقه، فليصادق من شاء من الخرقي مثله على عدائه لأهل الحق</w:t>
      </w:r>
      <w:r w:rsidR="00DB731D" w:rsidRPr="00A52585">
        <w:rPr>
          <w:rFonts w:hint="cs"/>
          <w:sz w:val="24"/>
          <w:szCs w:val="24"/>
          <w:rtl/>
        </w:rPr>
        <w:t>،</w:t>
      </w:r>
      <w:r w:rsidR="00777DCB" w:rsidRPr="00A52585">
        <w:rPr>
          <w:rFonts w:hint="cs"/>
          <w:sz w:val="24"/>
          <w:szCs w:val="24"/>
          <w:rtl/>
        </w:rPr>
        <w:t xml:space="preserve"> والمراسيم الملكية الصادرة في حقه بعد محاكمته أمام جماعة كبار العلماء في عصره مسجلة في كتب التاريخ وكتب خاصة مثل عيون التواريخ ونجم المهتدي ودفع الشبه وغيرها،</w:t>
      </w:r>
      <w:r w:rsidR="00DB731D" w:rsidRPr="00A52585">
        <w:rPr>
          <w:rFonts w:hint="cs"/>
          <w:sz w:val="24"/>
          <w:szCs w:val="24"/>
          <w:rtl/>
        </w:rPr>
        <w:t>،</w:t>
      </w:r>
      <w:r w:rsidR="00777DCB" w:rsidRPr="00A52585">
        <w:rPr>
          <w:rFonts w:hint="cs"/>
          <w:sz w:val="24"/>
          <w:szCs w:val="24"/>
          <w:rtl/>
        </w:rPr>
        <w:t xml:space="preserve"> ولا بأس أن أسجل هنا صورة منها بالنقل من خط الحافظ شمس الدين بن طولون وهي كما رأيتها بخطه رحمه الله</w:t>
      </w:r>
      <w:r w:rsidRPr="00A52585">
        <w:rPr>
          <w:rFonts w:hint="cs"/>
          <w:sz w:val="24"/>
          <w:szCs w:val="24"/>
          <w:rtl/>
        </w:rPr>
        <w:t>:</w:t>
      </w:r>
      <w:r w:rsidR="00777DCB" w:rsidRPr="00A52585">
        <w:rPr>
          <w:rFonts w:hint="cs"/>
          <w:sz w:val="24"/>
          <w:szCs w:val="24"/>
          <w:rtl/>
        </w:rPr>
        <w:t xml:space="preserve"> "نسخة مثال شريف سلطاني ملكي تاريخه ثامن عشري رمضان سنة 705</w:t>
      </w:r>
      <w:r w:rsidR="00DB731D" w:rsidRPr="00A52585">
        <w:rPr>
          <w:rFonts w:hint="cs"/>
          <w:sz w:val="24"/>
          <w:szCs w:val="24"/>
          <w:rtl/>
        </w:rPr>
        <w:t>،</w:t>
      </w:r>
      <w:r w:rsidR="00777DCB" w:rsidRPr="00A52585">
        <w:rPr>
          <w:rFonts w:hint="cs"/>
          <w:sz w:val="24"/>
          <w:szCs w:val="24"/>
          <w:rtl/>
        </w:rPr>
        <w:t xml:space="preserve"> الحمد لله الذي تنـزه عن الشبيه والنظير، وتعالى عن المثال فقال</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ليس كمثله شيء وهو السميع البصير</w:t>
      </w:r>
      <w:r w:rsidR="00777DCB" w:rsidRPr="00A52585">
        <w:rPr>
          <w:rFonts w:hint="cs"/>
          <w:sz w:val="24"/>
          <w:szCs w:val="24"/>
          <w:rtl/>
        </w:rPr>
        <w:t>} [الشورى</w:t>
      </w:r>
      <w:r w:rsidRPr="00A52585">
        <w:rPr>
          <w:rFonts w:hint="cs"/>
          <w:sz w:val="24"/>
          <w:szCs w:val="24"/>
          <w:rtl/>
        </w:rPr>
        <w:t>:</w:t>
      </w:r>
      <w:r w:rsidR="00777DCB" w:rsidRPr="00A52585">
        <w:rPr>
          <w:rFonts w:hint="cs"/>
          <w:sz w:val="24"/>
          <w:szCs w:val="24"/>
          <w:rtl/>
        </w:rPr>
        <w:t>11] نحمده على أن ألهمنا العمل بالسنة والكتاب ورفع في أيامنا أسباب الشك والارتياب، ونشهد أن لا إله إلا الله وحده لا شريك له شهادة من يرجو بإخلاصه حسن العقبى والمصير ونـزه خالقه عن التحيز في جهة لقوله تعالى {</w:t>
      </w:r>
      <w:r w:rsidR="00777DCB" w:rsidRPr="00A52585">
        <w:rPr>
          <w:rFonts w:hint="cs"/>
          <w:bCs/>
          <w:sz w:val="24"/>
          <w:szCs w:val="24"/>
          <w:rtl/>
        </w:rPr>
        <w:t>وهو معكم أينما كنتم والله بما تعلمون بصير</w:t>
      </w:r>
      <w:r w:rsidR="00777DCB" w:rsidRPr="00A52585">
        <w:rPr>
          <w:rFonts w:hint="cs"/>
          <w:sz w:val="24"/>
          <w:szCs w:val="24"/>
          <w:rtl/>
        </w:rPr>
        <w:t>} [الحديد</w:t>
      </w:r>
      <w:r w:rsidRPr="00A52585">
        <w:rPr>
          <w:rFonts w:hint="cs"/>
          <w:sz w:val="24"/>
          <w:szCs w:val="24"/>
          <w:rtl/>
        </w:rPr>
        <w:t>:</w:t>
      </w:r>
      <w:r w:rsidR="00777DCB" w:rsidRPr="00A52585">
        <w:rPr>
          <w:rFonts w:hint="cs"/>
          <w:sz w:val="24"/>
          <w:szCs w:val="24"/>
          <w:rtl/>
        </w:rPr>
        <w:t>4] ونشهد أن محمداً عبده ورسوله الذي نهج سبيل النجاة بما سلك طريق مرضاته وأمر بالتفكر في آلائه ونهى عن التفكر في ذاته -</w:t>
      </w:r>
      <w:r w:rsidRPr="00A52585">
        <w:rPr>
          <w:rFonts w:hint="cs"/>
          <w:sz w:val="24"/>
          <w:szCs w:val="24"/>
          <w:rtl/>
        </w:rPr>
        <w:t xml:space="preserve"> </w:t>
      </w:r>
      <w:r w:rsidR="00777DCB" w:rsidRPr="00A52585">
        <w:rPr>
          <w:rFonts w:hint="cs"/>
          <w:sz w:val="24"/>
          <w:szCs w:val="24"/>
          <w:rtl/>
        </w:rPr>
        <w:t xml:space="preserve">صلى الله عليه وعلى </w:t>
      </w:r>
      <w:proofErr w:type="spellStart"/>
      <w:r w:rsidR="00777DCB" w:rsidRPr="00A52585">
        <w:rPr>
          <w:rFonts w:hint="cs"/>
          <w:sz w:val="24"/>
          <w:szCs w:val="24"/>
          <w:rtl/>
        </w:rPr>
        <w:t>آله</w:t>
      </w:r>
      <w:proofErr w:type="spellEnd"/>
      <w:r w:rsidR="00777DCB" w:rsidRPr="00A52585">
        <w:rPr>
          <w:rFonts w:hint="cs"/>
          <w:sz w:val="24"/>
          <w:szCs w:val="24"/>
          <w:rtl/>
        </w:rPr>
        <w:t xml:space="preserve"> وأصحابه الذين علا بهم منار الإيمان، ورفع وشيد بهم قواعد الشرع وما شرع، وأخمد بهم كلمة من حاد عن الحق ومال إلى البدع</w:t>
      </w:r>
      <w:r w:rsidR="00DB731D" w:rsidRPr="00A52585">
        <w:rPr>
          <w:rFonts w:hint="cs"/>
          <w:sz w:val="24"/>
          <w:szCs w:val="24"/>
          <w:rtl/>
        </w:rPr>
        <w:t>،</w:t>
      </w:r>
      <w:r w:rsidR="00777DCB" w:rsidRPr="00A52585">
        <w:rPr>
          <w:rFonts w:hint="cs"/>
          <w:sz w:val="24"/>
          <w:szCs w:val="24"/>
          <w:rtl/>
        </w:rPr>
        <w:t xml:space="preserve"> وبعد، فإن العقائد الشرعية وقواعد الإسلام المرعية وأركان الإيمان العلية ومذاهب الدين المرضية هي الأساس الذي يبنى عليه والموئل الذي يرجع كل أحد إليه والطريق الذي من سلكها فقد فاز فوزاً عظيماً، ومن زاغ عنها فقد استوجب عذابا أليما، فلهذا يجب أن تنفذ أحكامها ويؤكد دوامها وتصان عقائد هذه </w:t>
      </w:r>
      <w:r w:rsidR="00777DCB" w:rsidRPr="00A52585">
        <w:rPr>
          <w:rFonts w:hint="cs"/>
          <w:sz w:val="24"/>
          <w:szCs w:val="24"/>
          <w:rtl/>
        </w:rPr>
        <w:lastRenderedPageBreak/>
        <w:t xml:space="preserve">الملة عن الاختلاف وتزان بالائتلاف وتخمد </w:t>
      </w:r>
      <w:proofErr w:type="spellStart"/>
      <w:r w:rsidR="00777DCB" w:rsidRPr="00A52585">
        <w:rPr>
          <w:rFonts w:hint="cs"/>
          <w:sz w:val="24"/>
          <w:szCs w:val="24"/>
          <w:rtl/>
        </w:rPr>
        <w:t>نوائر</w:t>
      </w:r>
      <w:proofErr w:type="spellEnd"/>
      <w:r w:rsidR="00777DCB" w:rsidRPr="00A52585">
        <w:rPr>
          <w:rFonts w:hint="cs"/>
          <w:sz w:val="24"/>
          <w:szCs w:val="24"/>
          <w:rtl/>
        </w:rPr>
        <w:t xml:space="preserve"> البدع ويفرق من فرقها ما اجتمع</w:t>
      </w:r>
      <w:r w:rsidR="00DB731D" w:rsidRPr="00A52585">
        <w:rPr>
          <w:rFonts w:hint="cs"/>
          <w:sz w:val="24"/>
          <w:szCs w:val="24"/>
          <w:rtl/>
        </w:rPr>
        <w:t>،</w:t>
      </w:r>
      <w:r w:rsidR="00777DCB" w:rsidRPr="00A52585">
        <w:rPr>
          <w:rFonts w:hint="cs"/>
          <w:sz w:val="24"/>
          <w:szCs w:val="24"/>
          <w:rtl/>
        </w:rPr>
        <w:t xml:space="preserve"> وكان التقي ابن تيمية في هذه المدة قد بسط لسان قلمه ومد عنان كلمه وتحدث في مسائل الصفات والذات، ونص في كلامه على أمور منكرات وتكلم فيما سكت عنه الصحابة والتابعون وفاه بما تجنبه السلف الصالحون وأتى في ذلك بما أنكره أئمة الإسلام وانعقد علي خلافه إجماع العلماء والحكام، وشهُر من فتاويه ما استخف به عقول العباد وخالف في ذلك فقهاء عصره وعلماء شامه ومصره وبعث برسائل إلى كل مكان وسمى فتاواه بأسماء ما أنـزل الله بها من سلطان فلما اتصل بنا أنه صرح في حق الله بالحرف والصوت والتجسيم، قمنا في الله مشفقين من هذا النبأ العظيم. وأنكرنا هذه البدعة وعز علينا أن يشيع عمن تضم ممالكنا هذه السمعة، وكرهنا ما فاه به المبطلون، وتلونا قوله سبحانه وتعالى عما يصفون، فإنه جل جلاله تنـزه في ذاته وصفاته عن التعديل والنظير</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لا تدركه الأبصار وهو يدرك الأبصار وهو اللطيف الخبير</w:t>
      </w:r>
      <w:r w:rsidR="00777DCB" w:rsidRPr="00A52585">
        <w:rPr>
          <w:rFonts w:hint="cs"/>
          <w:sz w:val="24"/>
          <w:szCs w:val="24"/>
          <w:rtl/>
        </w:rPr>
        <w:t>} [الأنعام</w:t>
      </w:r>
      <w:r w:rsidRPr="00A52585">
        <w:rPr>
          <w:rFonts w:hint="cs"/>
          <w:sz w:val="24"/>
          <w:szCs w:val="24"/>
          <w:rtl/>
        </w:rPr>
        <w:t>:</w:t>
      </w:r>
      <w:r w:rsidR="00777DCB" w:rsidRPr="00A52585">
        <w:rPr>
          <w:rFonts w:hint="cs"/>
          <w:sz w:val="24"/>
          <w:szCs w:val="24"/>
          <w:rtl/>
        </w:rPr>
        <w:t xml:space="preserve"> 103] وتقدمت مراسيمنا باستدعاء التقي ابن تيمية إلى أبوابنا عندما سارت فتاواه في شامنا ومصرنا، وصرح فيها بألفاظ ما سمعها ذو فهم إلا وتلا {</w:t>
      </w:r>
      <w:r w:rsidR="00777DCB" w:rsidRPr="00A52585">
        <w:rPr>
          <w:rFonts w:hint="cs"/>
          <w:bCs/>
          <w:sz w:val="24"/>
          <w:szCs w:val="24"/>
          <w:rtl/>
        </w:rPr>
        <w:t>لقد جئت شيئاً نكراً</w:t>
      </w:r>
      <w:r w:rsidR="00777DCB" w:rsidRPr="00A52585">
        <w:rPr>
          <w:rFonts w:hint="cs"/>
          <w:sz w:val="24"/>
          <w:szCs w:val="24"/>
          <w:rtl/>
        </w:rPr>
        <w:t>} [الكهف</w:t>
      </w:r>
      <w:r w:rsidRPr="00A52585">
        <w:rPr>
          <w:rFonts w:hint="cs"/>
          <w:sz w:val="24"/>
          <w:szCs w:val="24"/>
          <w:rtl/>
        </w:rPr>
        <w:t>:</w:t>
      </w:r>
      <w:r w:rsidR="00777DCB" w:rsidRPr="00A52585">
        <w:rPr>
          <w:rFonts w:hint="cs"/>
          <w:sz w:val="24"/>
          <w:szCs w:val="24"/>
          <w:rtl/>
        </w:rPr>
        <w:t>74]</w:t>
      </w:r>
      <w:r w:rsidR="00DB731D" w:rsidRPr="00A52585">
        <w:rPr>
          <w:rFonts w:hint="cs"/>
          <w:sz w:val="24"/>
          <w:szCs w:val="24"/>
          <w:rtl/>
        </w:rPr>
        <w:t>،</w:t>
      </w:r>
      <w:r w:rsidR="00777DCB" w:rsidRPr="00A52585">
        <w:rPr>
          <w:rFonts w:hint="cs"/>
          <w:sz w:val="24"/>
          <w:szCs w:val="24"/>
          <w:rtl/>
        </w:rPr>
        <w:t xml:space="preserve"> ولما وصل إلينا تقدمنا بجمع أولى العقد والحل وذوي التحقيق والنقل وحضر قضاة الإسلام وحكام الأنام وعلماء الدين، وفقهاء المسلمين وعقدوا له مجلس شرع في ملأ من الأئمة وجمع، فثبت عند ذلك جميع ما نسب إليه بمقتضى خط يده الدال على سوء معتقده، وانفصل ذلك الجمع وهم عليه وعلى عقيدته منكرون وآخذوه بما شهد به قلمه قائلين {</w:t>
      </w:r>
      <w:r w:rsidR="00777DCB" w:rsidRPr="00A52585">
        <w:rPr>
          <w:rFonts w:hint="cs"/>
          <w:bCs/>
          <w:sz w:val="24"/>
          <w:szCs w:val="24"/>
          <w:rtl/>
        </w:rPr>
        <w:t>ستكتب شهادتهم ويسألون</w:t>
      </w:r>
      <w:r w:rsidR="00777DCB" w:rsidRPr="00A52585">
        <w:rPr>
          <w:rFonts w:hint="cs"/>
          <w:sz w:val="24"/>
          <w:szCs w:val="24"/>
          <w:rtl/>
        </w:rPr>
        <w:t>} [الزخرف</w:t>
      </w:r>
      <w:r w:rsidRPr="00A52585">
        <w:rPr>
          <w:rFonts w:hint="cs"/>
          <w:sz w:val="24"/>
          <w:szCs w:val="24"/>
          <w:rtl/>
        </w:rPr>
        <w:t>:</w:t>
      </w:r>
      <w:r w:rsidR="00777DCB" w:rsidRPr="00A52585">
        <w:rPr>
          <w:rFonts w:hint="cs"/>
          <w:sz w:val="24"/>
          <w:szCs w:val="24"/>
          <w:rtl/>
        </w:rPr>
        <w:t>19] وبلغنا أنه استتيب مراراً فيما تقدم وأخره الشرع لما تعرض إليه وأقدم ثم عاد بعد منعه ولم تدخل تلك النواهي في سمعه، ولما ثبت عليه ذلك في مجلس الحكم العزيز المالكي حكم الشرع الشريف أنه يسجن هذا المذكور ويمنع من التصرف والظهور</w:t>
      </w:r>
      <w:r w:rsidR="00DB731D" w:rsidRPr="00A52585">
        <w:rPr>
          <w:rFonts w:hint="cs"/>
          <w:sz w:val="24"/>
          <w:szCs w:val="24"/>
          <w:rtl/>
        </w:rPr>
        <w:t>،</w:t>
      </w:r>
      <w:r w:rsidR="00777DCB" w:rsidRPr="00A52585">
        <w:rPr>
          <w:rFonts w:hint="cs"/>
          <w:sz w:val="24"/>
          <w:szCs w:val="24"/>
          <w:rtl/>
        </w:rPr>
        <w:t xml:space="preserve"> ومن يومنا هذا نأمر بأن لا يسلك أحد مسلك المذكور من المسالك، وننهي عن التشبه به في اعتقاده مثل ذلك، أو يعود له في هذا القول متبعاً أو لهذه الألفاظ مستمعاً, وأن يسرى في التجسيم مسراه، أو يفوه بحد العلو مخصصا كما فاه أو يتحدث إنسان في صوت أو حرف أو يوسع القول في ذات أو وصف أو ينطق بتجسيم أو يحيد عن الصراط المستقيم أو يخرج عن رأى الأئمة وينفرد به عن علماء الأمة أو يحيز الله تعالى في جهة أو يتعرض إلى حيث وكيف، فليس لمن يعتقد هذا المجموع عندنا إلا السيف، فليقف كل واحد على هذا الحد، ولله الأمر من قبل ومن بعد</w:t>
      </w:r>
      <w:r w:rsidR="00DB731D" w:rsidRPr="00A52585">
        <w:rPr>
          <w:rFonts w:hint="cs"/>
          <w:sz w:val="24"/>
          <w:szCs w:val="24"/>
          <w:rtl/>
        </w:rPr>
        <w:t>،</w:t>
      </w:r>
      <w:r w:rsidR="00777DCB" w:rsidRPr="00A52585">
        <w:rPr>
          <w:rFonts w:hint="cs"/>
          <w:sz w:val="24"/>
          <w:szCs w:val="24"/>
          <w:rtl/>
        </w:rPr>
        <w:t xml:space="preserve"> وليلزم كل الحنابلة بالرجوع عما أنكره الأئمة من هذه العقيدة والخروج من هذه </w:t>
      </w:r>
      <w:proofErr w:type="spellStart"/>
      <w:r w:rsidR="00777DCB" w:rsidRPr="00A52585">
        <w:rPr>
          <w:rFonts w:hint="cs"/>
          <w:sz w:val="24"/>
          <w:szCs w:val="24"/>
          <w:rtl/>
        </w:rPr>
        <w:t>التشبهات</w:t>
      </w:r>
      <w:proofErr w:type="spellEnd"/>
      <w:r w:rsidR="00777DCB" w:rsidRPr="00A52585">
        <w:rPr>
          <w:rFonts w:hint="cs"/>
          <w:sz w:val="24"/>
          <w:szCs w:val="24"/>
          <w:rtl/>
        </w:rPr>
        <w:t xml:space="preserve"> الشريدة ولزوم ما أمر الله به والتمسك بأهل المذاهب الحميدة، فإنه من خرج عن أمر الله فقد ضل سواء السبيل، وليس له غير السجن الطويل مستقراً ومقيلاً</w:t>
      </w:r>
      <w:r w:rsidR="00DB731D" w:rsidRPr="00A52585">
        <w:rPr>
          <w:rFonts w:hint="cs"/>
          <w:sz w:val="24"/>
          <w:szCs w:val="24"/>
          <w:rtl/>
        </w:rPr>
        <w:t>،</w:t>
      </w:r>
      <w:r w:rsidR="00777DCB" w:rsidRPr="00A52585">
        <w:rPr>
          <w:rFonts w:hint="cs"/>
          <w:sz w:val="24"/>
          <w:szCs w:val="24"/>
          <w:rtl/>
        </w:rPr>
        <w:t xml:space="preserve"> فقد رسمنا أن ينادى في دمشق المحروسة والبلاد الشامية وتلك الجهات مع النهي الشديد والتخويف والتهديد أن لا يتبع التقي ابن تيمية في هذا الأمر الذي أوضحناه، ومن تابعه منهم تركناه في مثل مكانه وأحللناه ووضعناه عن عيون الأمة كما وضعناه، ومن أعرض عن الامتناع وأبى إلا الدفاع أمرنا بعزلهم من مدارسهم ومناصبهم وإسقاطهم من مراتبهم، وأن لا يكون لهم في بلادنا حكم ولا قضاء ولا إمامة ولا شهادة ولا ولاية ولا إقامة، فإننا أزلنا دعوة هذا المبتدع من البلاد وأبطلنا عقيدته التي ضل بها العباد أو كاد، ولتثبت المحاضر الشرعية على الحنابلة بالرجوع عن ذلك ولتسير إلينا المحاضر بعد إثباتها على قضاة الممالك، فقد أعذرنا حيث أنذرنا، وأنصفنا حيث حذرنا، وليقرأ مرسومنا هذا على المنابر ليكون أبلغ واعظ وزاجر وأجمل ناه وآمر، والاعتماد على الخط الشريف أعلاه، الحمد لله، صلى الله على سيدنا محمد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00DB731D" w:rsidRPr="00A52585">
        <w:rPr>
          <w:rFonts w:hint="cs"/>
          <w:sz w:val="24"/>
          <w:szCs w:val="24"/>
          <w:rtl/>
        </w:rPr>
        <w:t>،</w:t>
      </w:r>
      <w:r w:rsidR="00777DCB" w:rsidRPr="00A52585">
        <w:rPr>
          <w:rFonts w:hint="cs"/>
          <w:sz w:val="24"/>
          <w:szCs w:val="24"/>
          <w:rtl/>
        </w:rPr>
        <w:t xml:space="preserve"> انتهى ما رأيته بخط الحافظ ابن طولون في المجموعة </w:t>
      </w:r>
      <w:proofErr w:type="spellStart"/>
      <w:r w:rsidR="00777DCB" w:rsidRPr="00A52585">
        <w:rPr>
          <w:rFonts w:hint="cs"/>
          <w:sz w:val="24"/>
          <w:szCs w:val="24"/>
          <w:rtl/>
        </w:rPr>
        <w:t>الحسيبية</w:t>
      </w:r>
      <w:proofErr w:type="spellEnd"/>
      <w:r w:rsidR="00777DCB" w:rsidRPr="00A52585">
        <w:rPr>
          <w:rFonts w:hint="cs"/>
          <w:sz w:val="24"/>
          <w:szCs w:val="24"/>
          <w:rtl/>
        </w:rPr>
        <w:t xml:space="preserve"> التي كان فيها "الدرة المضية" و"المقالة في </w:t>
      </w:r>
      <w:r w:rsidR="00777DCB" w:rsidRPr="00A52585">
        <w:rPr>
          <w:rFonts w:hint="cs"/>
          <w:sz w:val="24"/>
          <w:szCs w:val="24"/>
          <w:rtl/>
        </w:rPr>
        <w:lastRenderedPageBreak/>
        <w:t xml:space="preserve">الرد على من ينكر الزيارة المحمدية" للتقي </w:t>
      </w:r>
      <w:proofErr w:type="spellStart"/>
      <w:r w:rsidR="00777DCB" w:rsidRPr="00A52585">
        <w:rPr>
          <w:rFonts w:hint="cs"/>
          <w:sz w:val="24"/>
          <w:szCs w:val="24"/>
          <w:rtl/>
        </w:rPr>
        <w:t>الأخنائي</w:t>
      </w:r>
      <w:proofErr w:type="spellEnd"/>
      <w:r w:rsidR="00777DCB" w:rsidRPr="00A52585">
        <w:rPr>
          <w:rFonts w:hint="cs"/>
          <w:sz w:val="24"/>
          <w:szCs w:val="24"/>
          <w:rtl/>
        </w:rPr>
        <w:t xml:space="preserve"> و"الاعتبار في بقاء الجنة والنار" و"دفع شبه من شبه وتمرد" وغيرها، ونص المرسوم المقروء على الجمهور على منبر جامع القاهرة بعد صلاة الجمعة وعلى منبر جامع الفسطاط بعد العصر سلخ رمضان مدون في "نجم المهتدي" لابن المعلم القرشي</w:t>
      </w:r>
      <w:r w:rsidR="00DB731D" w:rsidRPr="00A52585">
        <w:rPr>
          <w:rFonts w:hint="cs"/>
          <w:sz w:val="24"/>
          <w:szCs w:val="24"/>
          <w:rtl/>
        </w:rPr>
        <w:t>،</w:t>
      </w:r>
      <w:r w:rsidR="00777DCB" w:rsidRPr="00A52585">
        <w:rPr>
          <w:rFonts w:hint="cs"/>
          <w:sz w:val="24"/>
          <w:szCs w:val="24"/>
          <w:rtl/>
        </w:rPr>
        <w:t xml:space="preserve"> وما قرئ على منبر جامع دمشق بعد وصول ابن </w:t>
      </w:r>
      <w:proofErr w:type="spellStart"/>
      <w:r w:rsidR="00777DCB" w:rsidRPr="00A52585">
        <w:rPr>
          <w:rFonts w:hint="cs"/>
          <w:sz w:val="24"/>
          <w:szCs w:val="24"/>
          <w:rtl/>
        </w:rPr>
        <w:t>صصري</w:t>
      </w:r>
      <w:proofErr w:type="spellEnd"/>
      <w:r w:rsidR="00777DCB" w:rsidRPr="00A52585">
        <w:rPr>
          <w:rFonts w:hint="cs"/>
          <w:sz w:val="24"/>
          <w:szCs w:val="24"/>
          <w:rtl/>
        </w:rPr>
        <w:t xml:space="preserve"> القاضي من مصر به في اليوم السادس عشر من شهر ذي القعدة سنة سبعمائة وخمس مدون في "دفع الشبه" للتقي </w:t>
      </w:r>
      <w:proofErr w:type="spellStart"/>
      <w:r w:rsidR="00777DCB" w:rsidRPr="00A52585">
        <w:rPr>
          <w:rFonts w:hint="cs"/>
          <w:sz w:val="24"/>
          <w:szCs w:val="24"/>
          <w:rtl/>
        </w:rPr>
        <w:t>الحصني</w:t>
      </w:r>
      <w:proofErr w:type="spellEnd"/>
      <w:r w:rsidR="00777DCB" w:rsidRPr="00A52585">
        <w:rPr>
          <w:rFonts w:hint="cs"/>
          <w:sz w:val="24"/>
          <w:szCs w:val="24"/>
          <w:rtl/>
        </w:rPr>
        <w:t>. وما نقلناه هنا من المراسيم التي قرئت على منابر البلاد الشامية وألفاظ تلك المراسيم كلها متقاربة في المعنى وفي ذلك كله عبر بالغة، فماذا علينا من عداء مثل هذا الفاتن المفتون</w:t>
      </w:r>
      <w:r w:rsidR="00DB731D" w:rsidRPr="00A52585">
        <w:rPr>
          <w:rFonts w:hint="cs"/>
          <w:sz w:val="24"/>
          <w:szCs w:val="24"/>
          <w:rtl/>
        </w:rPr>
        <w:t>،</w:t>
      </w:r>
      <w:r w:rsidR="00777DCB" w:rsidRPr="00A52585">
        <w:rPr>
          <w:rFonts w:hint="cs"/>
          <w:sz w:val="24"/>
          <w:szCs w:val="24"/>
          <w:rtl/>
        </w:rPr>
        <w:t xml:space="preserve"> ومن أحاط علماً بما نقلناه في هذا الكتاب وغيره من نصوص عباراته وتأكد من الأصول صدق النقل واستمر على مشايعته وعلى عده شيخ الإسلام فعليه مقت الله وغضبه، ومن اشتبه في شيء مما نقلناه فنحن على استعداد أن نسهل عليه سبيل الاطلاع على الأصول إن كان لا يكفيه ما يراه بنفسه في منهاجه ومعقوله ونحوهما من كتبه المطبوعة والله سبحانه هو الهادي إلى سواء السبيل</w:t>
      </w:r>
      <w:r w:rsidRPr="00A52585">
        <w:rPr>
          <w:rFonts w:hint="cs"/>
          <w:sz w:val="24"/>
          <w:szCs w:val="24"/>
          <w:rtl/>
        </w:rPr>
        <w:t>]</w:t>
      </w:r>
      <w:r w:rsidR="00DB731D" w:rsidRPr="00A52585">
        <w:rPr>
          <w:rFonts w:hint="cs"/>
          <w:sz w:val="24"/>
          <w:szCs w:val="24"/>
          <w:rtl/>
        </w:rPr>
        <w:t>،</w:t>
      </w:r>
      <w:r w:rsidR="00777DCB" w:rsidRPr="00A52585">
        <w:rPr>
          <w:rFonts w:hint="cs"/>
          <w:rtl/>
        </w:rPr>
        <w:t xml:space="preserve"> وبالغ هذا الخبيث في </w:t>
      </w:r>
      <w:proofErr w:type="spellStart"/>
      <w:r w:rsidR="00777DCB" w:rsidRPr="00A52585">
        <w:rPr>
          <w:rFonts w:hint="cs"/>
          <w:rtl/>
        </w:rPr>
        <w:t>الأقذاع</w:t>
      </w:r>
      <w:proofErr w:type="spellEnd"/>
      <w:r w:rsidR="00777DCB" w:rsidRPr="00A52585">
        <w:rPr>
          <w:rFonts w:hint="cs"/>
          <w:rtl/>
        </w:rPr>
        <w:t xml:space="preserve"> والسفاهة بما هو صفته ونسي قول فرعون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كما حكي القرآن الكريم</w:t>
      </w:r>
      <w:r w:rsidRPr="00A52585">
        <w:rPr>
          <w:rFonts w:hint="cs"/>
          <w:rtl/>
        </w:rPr>
        <w:t>]{</w:t>
      </w:r>
      <w:r w:rsidR="00777DCB" w:rsidRPr="00A52585">
        <w:rPr>
          <w:rFonts w:hint="cs"/>
          <w:bCs/>
          <w:rtl/>
        </w:rPr>
        <w:t>ما علمت لكم من إله غيري</w:t>
      </w:r>
      <w:r w:rsidRPr="00A52585">
        <w:rPr>
          <w:rFonts w:hint="cs"/>
          <w:rtl/>
        </w:rPr>
        <w:t>}</w:t>
      </w:r>
      <w:r w:rsidR="00777DCB" w:rsidRPr="00A52585">
        <w:rPr>
          <w:rFonts w:hint="cs"/>
          <w:rtl/>
        </w:rPr>
        <w:t xml:space="preserve"> [القصص</w:t>
      </w:r>
      <w:r w:rsidRPr="00A52585">
        <w:rPr>
          <w:rFonts w:hint="cs"/>
          <w:rtl/>
        </w:rPr>
        <w:t>:</w:t>
      </w:r>
      <w:r w:rsidR="00777DCB" w:rsidRPr="00A52585">
        <w:rPr>
          <w:rFonts w:hint="cs"/>
          <w:rtl/>
        </w:rPr>
        <w:t xml:space="preserve"> 38] وتجرأ على علماء المسلمين بما لو نقلناه لطال ولا يحتمل الإبطال</w:t>
      </w:r>
      <w:r w:rsidR="00DB731D" w:rsidRPr="00A52585">
        <w:rPr>
          <w:rFonts w:hint="cs"/>
          <w:rtl/>
        </w:rPr>
        <w:t>،</w:t>
      </w:r>
      <w:r w:rsidR="00777DCB" w:rsidRPr="00A52585">
        <w:rPr>
          <w:rFonts w:hint="cs"/>
          <w:rtl/>
        </w:rPr>
        <w:t xml:space="preserve"> </w:t>
      </w:r>
    </w:p>
    <w:p w14:paraId="5B561682" w14:textId="43950053"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وثامن عشرها تنـزيهه سبحانه عن موجب النقصان</w:t>
      </w:r>
      <w:r w:rsidR="00DB731D" w:rsidRPr="00A52585">
        <w:rPr>
          <w:rFonts w:hint="cs"/>
          <w:rtl/>
        </w:rPr>
        <w:t>،</w:t>
      </w:r>
      <w:r w:rsidR="00777DCB" w:rsidRPr="00A52585">
        <w:rPr>
          <w:rFonts w:hint="cs"/>
          <w:rtl/>
        </w:rPr>
        <w:t xml:space="preserve"> فلأي شيء لم ينـزه نفسه عن الفوقية</w:t>
      </w:r>
      <w:r w:rsidRPr="00A52585">
        <w:rPr>
          <w:rFonts w:hint="cs"/>
          <w:rtl/>
        </w:rPr>
        <w:t>)</w:t>
      </w:r>
      <w:r w:rsidR="00DB731D" w:rsidRPr="00A52585">
        <w:rPr>
          <w:rFonts w:hint="cs"/>
          <w:rtl/>
        </w:rPr>
        <w:t>،</w:t>
      </w:r>
      <w:r w:rsidR="00777DCB" w:rsidRPr="00A52585">
        <w:rPr>
          <w:rFonts w:hint="cs"/>
          <w:rtl/>
        </w:rPr>
        <w:t xml:space="preserve"> فنقول قد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ليس كمثله شيء</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11]</w:t>
      </w:r>
      <w:r w:rsidR="00DB731D" w:rsidRPr="00A52585">
        <w:rPr>
          <w:rFonts w:hint="cs"/>
          <w:rtl/>
        </w:rPr>
        <w:t>،</w:t>
      </w:r>
      <w:r w:rsidR="00777DCB" w:rsidRPr="00A52585">
        <w:rPr>
          <w:rFonts w:hint="cs"/>
          <w:rtl/>
        </w:rPr>
        <w:t xml:space="preserve"> </w:t>
      </w:r>
    </w:p>
    <w:p w14:paraId="10AA6AD2" w14:textId="0C5674E7" w:rsidR="00777DCB" w:rsidRPr="00A52585" w:rsidRDefault="0002035C" w:rsidP="0002035C">
      <w:pPr>
        <w:spacing w:after="240"/>
        <w:rPr>
          <w:b/>
          <w:rtl/>
        </w:rPr>
      </w:pPr>
      <w:r w:rsidRPr="00A52585">
        <w:rPr>
          <w:rFonts w:hint="cs"/>
          <w:bCs/>
          <w:rtl/>
        </w:rPr>
        <w:t>[</w:t>
      </w:r>
      <w:r w:rsidR="00777DCB" w:rsidRPr="00A52585">
        <w:rPr>
          <w:rFonts w:hint="cs"/>
          <w:bCs/>
          <w:rtl/>
        </w:rPr>
        <w:t>فصــــــــــل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وتاسع عشرها إلزام المعطل لأي شيء لم يصرح النبي صلى الله عليه وسلم بنفس هذا</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ما للنقائص من آخر، فهل تدون مجلدات في نفي كل نقيصة عنه تعالى بالرواية عن </w:t>
      </w:r>
      <w:proofErr w:type="spellStart"/>
      <w:r w:rsidR="00777DCB" w:rsidRPr="00A52585">
        <w:rPr>
          <w:rFonts w:hint="cs"/>
          <w:sz w:val="24"/>
          <w:szCs w:val="24"/>
          <w:rtl/>
        </w:rPr>
        <w:t>النبيصلى</w:t>
      </w:r>
      <w:proofErr w:type="spellEnd"/>
      <w:r w:rsidR="00777DCB" w:rsidRPr="00A52585">
        <w:rPr>
          <w:rFonts w:hint="cs"/>
          <w:sz w:val="24"/>
          <w:szCs w:val="24"/>
          <w:rtl/>
        </w:rPr>
        <w:t xml:space="preserve"> الله عليه وسلم؛ وكفى قوله تعالى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w:t>
      </w:r>
      <w:r w:rsidR="00777DCB" w:rsidRPr="00A52585">
        <w:rPr>
          <w:rFonts w:hint="cs"/>
          <w:sz w:val="24"/>
          <w:szCs w:val="24"/>
          <w:rtl/>
        </w:rPr>
        <w:t xml:space="preserve"> [الشورى</w:t>
      </w:r>
      <w:r w:rsidRPr="00A52585">
        <w:rPr>
          <w:rFonts w:hint="cs"/>
          <w:sz w:val="24"/>
          <w:szCs w:val="24"/>
          <w:rtl/>
        </w:rPr>
        <w:t>:</w:t>
      </w:r>
      <w:r w:rsidR="00777DCB" w:rsidRPr="00A52585">
        <w:rPr>
          <w:rFonts w:hint="cs"/>
          <w:sz w:val="24"/>
          <w:szCs w:val="24"/>
          <w:rtl/>
        </w:rPr>
        <w:t xml:space="preserve"> 11] والمحتاج إلى الإثبات هو المثبت دون المنفي، وكلمة هذا الرجل هذه تقول إن الله تعالى مثبت له من النقائص ملايين الملايين مما لم ينص النبي صلى الله عليه وسلم على نفيه بلفظ خاص، وهل يقول هذا عاقل فضلا عن فاضل فضلا عن إمام يعتقد تابعوه أنه وحيد الأمة فضلا وعلما</w:t>
      </w:r>
      <w:r w:rsidR="00F95886"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ثم استمر هذا السفيه على سفهه</w:t>
      </w:r>
      <w:r w:rsidR="00DB731D" w:rsidRPr="00A52585">
        <w:rPr>
          <w:rFonts w:hint="cs"/>
          <w:rtl/>
        </w:rPr>
        <w:t>،</w:t>
      </w:r>
      <w:r w:rsidR="00777DCB" w:rsidRPr="00A52585">
        <w:rPr>
          <w:rFonts w:hint="cs"/>
          <w:rtl/>
        </w:rPr>
        <w:t xml:space="preserve"> </w:t>
      </w:r>
    </w:p>
    <w:p w14:paraId="74D0BBD9" w14:textId="078E022F" w:rsidR="00777DCB" w:rsidRPr="00A52585" w:rsidRDefault="0002035C" w:rsidP="0002035C">
      <w:pPr>
        <w:spacing w:after="240"/>
        <w:rPr>
          <w:b/>
          <w:rtl/>
        </w:rPr>
      </w:pPr>
      <w:r w:rsidRPr="00A52585">
        <w:rPr>
          <w:rFonts w:hint="cs"/>
          <w:bCs/>
          <w:rtl/>
        </w:rPr>
        <w:t>[</w:t>
      </w:r>
      <w:r w:rsidR="00777DCB" w:rsidRPr="00A52585">
        <w:rPr>
          <w:rFonts w:hint="cs"/>
          <w:bCs/>
          <w:rtl/>
        </w:rPr>
        <w:t>فصـــــــــــل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والعشرون نصوص الاستواء</w:t>
      </w:r>
      <w:r w:rsidR="00777DCB" w:rsidRPr="00A52585">
        <w:rPr>
          <w:rFonts w:hint="cs"/>
          <w:vertAlign w:val="superscript"/>
          <w:rtl/>
        </w:rPr>
        <w:t xml:space="preserve"> </w:t>
      </w:r>
      <w:r w:rsidR="00777DCB" w:rsidRPr="00A52585">
        <w:rPr>
          <w:rFonts w:hint="cs"/>
          <w:rtl/>
        </w:rPr>
        <w:t xml:space="preserve">سبع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ألفت نظر القارئ الكريم إلى أن الاستواء لم يذكر في تلك الآيات إلا بصيغة الفعل المقرونة بأداة التراخي في بعضها، وذلك نص على أن الاستواء فعل من أفعال الله سبحانه لا صفة ذات له تعالى، وجل الإله أن تحدث له صفة بعد أن لم تكن. ومن قال إنه مستو نطق بما لم يأذن الله به كائنا من كان ومن زاد وقال استوى بذاته بمعنى استقر فهو عابد وثن خيالي إن لم يكن عامياً</w:t>
      </w:r>
      <w:r w:rsidRPr="00A52585">
        <w:rPr>
          <w:rFonts w:hint="cs"/>
          <w:sz w:val="24"/>
          <w:szCs w:val="24"/>
          <w:rtl/>
        </w:rPr>
        <w:t>]</w:t>
      </w:r>
      <w:r w:rsidR="00DB731D" w:rsidRPr="00A52585">
        <w:rPr>
          <w:rFonts w:hint="cs"/>
          <w:rtl/>
        </w:rPr>
        <w:t>،</w:t>
      </w:r>
      <w:r w:rsidR="00777DCB" w:rsidRPr="00A52585">
        <w:rPr>
          <w:rFonts w:hint="cs"/>
          <w:rtl/>
        </w:rPr>
        <w:t xml:space="preserve"> والفوق ثلاث والعلو خمسة والنـزول أكثر من سبعين نصا</w:t>
      </w:r>
      <w:r w:rsidR="00DB731D" w:rsidRPr="00A52585">
        <w:rPr>
          <w:rFonts w:hint="cs"/>
          <w:rtl/>
        </w:rPr>
        <w:t>،</w:t>
      </w:r>
      <w:r w:rsidR="00777DCB" w:rsidRPr="00A52585">
        <w:rPr>
          <w:rFonts w:hint="cs"/>
          <w:rtl/>
        </w:rPr>
        <w:t xml:space="preserve"> والسماء منفطر به لم يسمح المتأخرون بنقله جبنا وضعفاً بل قاله المتقدمون</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 xml:space="preserve">هذا الرجل كما قال الله تعالى </w:t>
      </w:r>
      <w:r w:rsidRPr="00A52585">
        <w:rPr>
          <w:rFonts w:hint="cs"/>
          <w:rtl/>
        </w:rPr>
        <w:t>{</w:t>
      </w:r>
      <w:r w:rsidR="00777DCB" w:rsidRPr="00A52585">
        <w:rPr>
          <w:rFonts w:hint="cs"/>
          <w:rtl/>
        </w:rPr>
        <w:t>فيتبعون ما تشابه منه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وروى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تفسيره ألفاظاً وهي (</w:t>
      </w:r>
      <w:proofErr w:type="spellStart"/>
      <w:r w:rsidR="00777DCB" w:rsidRPr="00A52585">
        <w:rPr>
          <w:rFonts w:hint="cs"/>
          <w:sz w:val="24"/>
          <w:szCs w:val="24"/>
          <w:rtl/>
        </w:rPr>
        <w:t>ممتليء</w:t>
      </w:r>
      <w:proofErr w:type="spellEnd"/>
      <w:r w:rsidR="00777DCB" w:rsidRPr="00A52585">
        <w:rPr>
          <w:rFonts w:hint="cs"/>
          <w:sz w:val="24"/>
          <w:szCs w:val="24"/>
          <w:rtl/>
        </w:rPr>
        <w:t xml:space="preserve"> به) و (مثقلة به) و (مثقلة به موقرة) و (</w:t>
      </w:r>
      <w:proofErr w:type="spellStart"/>
      <w:r w:rsidR="00777DCB" w:rsidRPr="00A52585">
        <w:rPr>
          <w:rFonts w:hint="cs"/>
          <w:sz w:val="24"/>
          <w:szCs w:val="24"/>
          <w:rtl/>
        </w:rPr>
        <w:t>يئط</w:t>
      </w:r>
      <w:proofErr w:type="spellEnd"/>
      <w:r w:rsidR="00777DCB" w:rsidRPr="00A52585">
        <w:rPr>
          <w:rFonts w:hint="cs"/>
          <w:sz w:val="24"/>
          <w:szCs w:val="24"/>
          <w:rtl/>
        </w:rPr>
        <w:t xml:space="preserve"> من ثقل </w:t>
      </w:r>
      <w:r w:rsidR="00777DCB" w:rsidRPr="00A52585">
        <w:rPr>
          <w:rFonts w:hint="cs"/>
          <w:sz w:val="24"/>
          <w:szCs w:val="24"/>
          <w:rtl/>
        </w:rPr>
        <w:lastRenderedPageBreak/>
        <w:t>الذات) وركبوا لها أسانيد. فمن أثبت لله سبحانه ثقلا لم يدع ما لم يفه به في التجسيم</w:t>
      </w:r>
      <w:r w:rsidR="00DB731D" w:rsidRPr="00A52585">
        <w:rPr>
          <w:rFonts w:hint="cs"/>
          <w:sz w:val="24"/>
          <w:szCs w:val="24"/>
          <w:rtl/>
        </w:rPr>
        <w:t>،</w:t>
      </w:r>
      <w:r w:rsidR="00777DCB" w:rsidRPr="00A52585">
        <w:rPr>
          <w:rFonts w:hint="cs"/>
          <w:sz w:val="24"/>
          <w:szCs w:val="24"/>
          <w:rtl/>
        </w:rPr>
        <w:t xml:space="preserve"> والناظم استنكر إمساك المتأخرين عن ذلك حتى باح بما في نفسه، ويحاول شيخه أن يجعل قول كعب الأحبار في ذلك مما يمكن أن يكون سمعه من الصحابة، فحاشاهم عن ذلك</w:t>
      </w:r>
      <w:r w:rsidR="00DB731D" w:rsidRPr="00A52585">
        <w:rPr>
          <w:rFonts w:hint="cs"/>
          <w:sz w:val="24"/>
          <w:szCs w:val="24"/>
          <w:rtl/>
        </w:rPr>
        <w:t>،</w:t>
      </w:r>
      <w:r w:rsidR="00777DCB" w:rsidRPr="00A52585">
        <w:rPr>
          <w:rFonts w:hint="cs"/>
          <w:sz w:val="24"/>
          <w:szCs w:val="24"/>
          <w:rtl/>
        </w:rPr>
        <w:t xml:space="preserve"> وفي جزء </w:t>
      </w:r>
      <w:proofErr w:type="spellStart"/>
      <w:r w:rsidR="00777DCB" w:rsidRPr="00A52585">
        <w:rPr>
          <w:rFonts w:hint="cs"/>
          <w:sz w:val="24"/>
          <w:szCs w:val="24"/>
          <w:rtl/>
        </w:rPr>
        <w:t>المنبجي</w:t>
      </w:r>
      <w:proofErr w:type="spellEnd"/>
      <w:r w:rsidR="00777DCB" w:rsidRPr="00A52585">
        <w:rPr>
          <w:rFonts w:hint="cs"/>
          <w:sz w:val="24"/>
          <w:szCs w:val="24"/>
          <w:rtl/>
        </w:rPr>
        <w:t xml:space="preserve"> تلميذ الناظم في هذا الصدد مخاز</w:t>
      </w:r>
      <w:r w:rsidR="00DB731D" w:rsidRPr="00A52585">
        <w:rPr>
          <w:rFonts w:hint="cs"/>
          <w:sz w:val="24"/>
          <w:szCs w:val="24"/>
          <w:rtl/>
        </w:rPr>
        <w:t>،</w:t>
      </w:r>
      <w:r w:rsidR="00777DCB" w:rsidRPr="00A52585">
        <w:rPr>
          <w:rFonts w:hint="cs"/>
          <w:sz w:val="24"/>
          <w:szCs w:val="24"/>
          <w:rtl/>
        </w:rPr>
        <w:t xml:space="preserve"> ومن علم الحالة العامة عند مبعث النبي صلى الله عليه وسلم من عراقة البيئة في الوثنية ومنازع الأمم المحدقة بها في التشبيه والتجسيم كما أشرت إلى بعض ذلك في مقدمة "تبيين كذب المفتري" لا يصعب عليه معرفة وجه اندساس أعداء الدين بين الجمهور من عهد التابعين, لبعث ما عندهم من صنوف الزيغ بين أعراب الرواة وبسطاء مواليهم حتى وجدت تلك الأساطير من يذيعها بين الأمة خلفاً عن سلف، قاتلهم الله، ولولا قيام علماء أصول الدين في كل قرن بكشف الستار عن وجوه هؤلاء المخذولين لاستفحل أمرهم؛ وله الحمد في الأخرة والأولى</w:t>
      </w:r>
      <w:r w:rsidR="00DB731D" w:rsidRPr="00A52585">
        <w:rPr>
          <w:rFonts w:hint="cs"/>
          <w:sz w:val="24"/>
          <w:szCs w:val="24"/>
          <w:rtl/>
        </w:rPr>
        <w:t>،</w:t>
      </w:r>
      <w:r w:rsidR="00777DCB" w:rsidRPr="00A52585">
        <w:rPr>
          <w:rFonts w:hint="cs"/>
          <w:sz w:val="24"/>
          <w:szCs w:val="24"/>
          <w:rtl/>
        </w:rPr>
        <w:t xml:space="preserve"> وهذا الناظم وشيخه قد جدد الكرة بسلاح جديد بتلبيس معتقدهما الزائغ بلباس النظر والتفلسف تارة على طريقة صاحب "المعتبر" أبي البركات البغدادي اليهودي وبلباس الرواية والأثر تارة أخرى؛ وأمرهما كما ترى مكشوف مفضوح في الحالتين بفضل الله وتوفيقه ولا عذر للمنخدعين بهما بعد ما سردناه في هذا الكتاب</w:t>
      </w:r>
      <w:r w:rsidRPr="00A52585">
        <w:rPr>
          <w:rFonts w:hint="cs"/>
          <w:sz w:val="24"/>
          <w:szCs w:val="24"/>
          <w:rtl/>
        </w:rPr>
        <w:t>]</w:t>
      </w:r>
      <w:r w:rsidR="00777DCB" w:rsidRPr="00A52585">
        <w:rPr>
          <w:rFonts w:hint="cs"/>
          <w:sz w:val="24"/>
          <w:szCs w:val="24"/>
          <w:rtl/>
        </w:rPr>
        <w:t xml:space="preserve"> </w:t>
      </w:r>
    </w:p>
    <w:p w14:paraId="06C37191" w14:textId="218A4145" w:rsidR="00777DCB" w:rsidRPr="00A52585" w:rsidRDefault="0002035C" w:rsidP="0002035C">
      <w:pPr>
        <w:spacing w:after="240"/>
        <w:rPr>
          <w:b/>
          <w:rtl/>
        </w:rPr>
      </w:pPr>
      <w:r w:rsidRPr="00A52585">
        <w:rPr>
          <w:rFonts w:hint="cs"/>
          <w:bCs/>
          <w:rtl/>
        </w:rPr>
        <w:t>[</w:t>
      </w:r>
      <w:r w:rsidR="00777DCB" w:rsidRPr="00A52585">
        <w:rPr>
          <w:rFonts w:hint="cs"/>
          <w:bCs/>
          <w:rtl/>
        </w:rPr>
        <w:t>فصـــــــــــل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والحادي والعشرون إتيان رب العرش ومجيئه</w:t>
      </w:r>
      <w:r w:rsidR="00777DCB" w:rsidRPr="00A52585">
        <w:rPr>
          <w:rFonts w:hint="cs"/>
          <w:vertAlign w:val="superscript"/>
          <w:rtl/>
        </w:rPr>
        <w:t xml:space="preserve"> </w:t>
      </w:r>
      <w:r w:rsidRPr="00A52585">
        <w:rPr>
          <w:rFonts w:hint="cs"/>
          <w:rtl/>
        </w:rPr>
        <w:t>[</w:t>
      </w:r>
      <w:r w:rsidR="00777DCB" w:rsidRPr="00A52585">
        <w:rPr>
          <w:rFonts w:hint="cs"/>
          <w:sz w:val="24"/>
          <w:szCs w:val="24"/>
          <w:rtl/>
        </w:rPr>
        <w:t>قال ابن حزم</w:t>
      </w:r>
      <w:r w:rsidRPr="00A52585">
        <w:rPr>
          <w:rFonts w:hint="cs"/>
          <w:sz w:val="24"/>
          <w:szCs w:val="24"/>
          <w:rtl/>
        </w:rPr>
        <w:t>:</w:t>
      </w:r>
      <w:r w:rsidR="00777DCB" w:rsidRPr="00A52585">
        <w:rPr>
          <w:rFonts w:hint="cs"/>
          <w:sz w:val="24"/>
          <w:szCs w:val="24"/>
          <w:rtl/>
        </w:rPr>
        <w:t xml:space="preserve"> روينا عن الإمام أحمد في قوله تعالى </w:t>
      </w:r>
      <w:r w:rsidRPr="00A52585">
        <w:rPr>
          <w:rFonts w:hint="cs"/>
          <w:sz w:val="24"/>
          <w:szCs w:val="24"/>
          <w:rtl/>
        </w:rPr>
        <w:t>{</w:t>
      </w:r>
      <w:r w:rsidR="00777DCB" w:rsidRPr="00A52585">
        <w:rPr>
          <w:rFonts w:hint="cs"/>
          <w:sz w:val="24"/>
          <w:szCs w:val="24"/>
          <w:rtl/>
        </w:rPr>
        <w:t>وجاء ربك</w:t>
      </w:r>
      <w:r w:rsidRPr="00A52585">
        <w:rPr>
          <w:rFonts w:hint="cs"/>
          <w:sz w:val="24"/>
          <w:szCs w:val="24"/>
          <w:rtl/>
        </w:rPr>
        <w:t>}</w:t>
      </w:r>
      <w:r w:rsidR="00777DCB" w:rsidRPr="00A52585">
        <w:rPr>
          <w:rFonts w:hint="cs"/>
          <w:sz w:val="24"/>
          <w:szCs w:val="24"/>
          <w:rtl/>
        </w:rPr>
        <w:t xml:space="preserve"> [الفجر</w:t>
      </w:r>
      <w:r w:rsidRPr="00A52585">
        <w:rPr>
          <w:rFonts w:hint="cs"/>
          <w:sz w:val="24"/>
          <w:szCs w:val="24"/>
          <w:rtl/>
        </w:rPr>
        <w:t>:</w:t>
      </w:r>
      <w:r w:rsidR="00777DCB" w:rsidRPr="00A52585">
        <w:rPr>
          <w:rFonts w:hint="cs"/>
          <w:sz w:val="24"/>
          <w:szCs w:val="24"/>
          <w:rtl/>
        </w:rPr>
        <w:t xml:space="preserve">23] إنما معناه وجاء أمر ربك كقوله تعالى </w:t>
      </w:r>
      <w:r w:rsidRPr="00A52585">
        <w:rPr>
          <w:rFonts w:hint="cs"/>
          <w:sz w:val="24"/>
          <w:szCs w:val="24"/>
          <w:rtl/>
        </w:rPr>
        <w:t>{</w:t>
      </w:r>
      <w:r w:rsidR="00777DCB" w:rsidRPr="00A52585">
        <w:rPr>
          <w:rFonts w:hint="cs"/>
          <w:sz w:val="24"/>
          <w:szCs w:val="24"/>
          <w:rtl/>
        </w:rPr>
        <w:t>هل ينظرون إلا أن تأتيهم الملائكة أو يأتي أمر ربك</w:t>
      </w:r>
      <w:r w:rsidRPr="00A52585">
        <w:rPr>
          <w:rFonts w:hint="cs"/>
          <w:sz w:val="24"/>
          <w:szCs w:val="24"/>
          <w:rtl/>
        </w:rPr>
        <w:t>} [</w:t>
      </w:r>
      <w:r w:rsidR="00777DCB" w:rsidRPr="00A52585">
        <w:rPr>
          <w:rFonts w:hint="cs"/>
          <w:sz w:val="24"/>
          <w:szCs w:val="24"/>
          <w:rtl/>
        </w:rPr>
        <w:t>النحل</w:t>
      </w:r>
      <w:r w:rsidRPr="00A52585">
        <w:rPr>
          <w:rFonts w:hint="cs"/>
          <w:sz w:val="24"/>
          <w:szCs w:val="24"/>
          <w:rtl/>
        </w:rPr>
        <w:t>:</w:t>
      </w:r>
      <w:r w:rsidR="00777DCB" w:rsidRPr="00A52585">
        <w:rPr>
          <w:rFonts w:hint="cs"/>
          <w:sz w:val="24"/>
          <w:szCs w:val="24"/>
          <w:rtl/>
        </w:rPr>
        <w:t xml:space="preserve"> 33] والقرآن يفسر بعضه بعضاً. وهكذا نقله ابن الجوزي في تفسيره "زاد المسير"؛ وقال البيهقي في "مناقب أحمد" أنبأنا الحاكم قال حدثنا أبو عمرو بن السماك قال حدثنا حنبل بن إسحاق قال سمعت عمي أبا عبد الله يعني أحمد يقول</w:t>
      </w:r>
      <w:r w:rsidRPr="00A52585">
        <w:rPr>
          <w:rFonts w:hint="cs"/>
          <w:sz w:val="24"/>
          <w:szCs w:val="24"/>
          <w:rtl/>
        </w:rPr>
        <w:t>:</w:t>
      </w:r>
      <w:r w:rsidR="00777DCB" w:rsidRPr="00A52585">
        <w:rPr>
          <w:rFonts w:hint="cs"/>
          <w:sz w:val="24"/>
          <w:szCs w:val="24"/>
          <w:rtl/>
        </w:rPr>
        <w:t xml:space="preserve"> احتجوا على يومئذ – يعني يوم نوظر في دار أمير المؤمنين -</w:t>
      </w:r>
      <w:r w:rsidRPr="00A52585">
        <w:rPr>
          <w:rFonts w:hint="cs"/>
          <w:sz w:val="24"/>
          <w:szCs w:val="24"/>
          <w:rtl/>
        </w:rPr>
        <w:t xml:space="preserve"> </w:t>
      </w:r>
      <w:r w:rsidR="00777DCB" w:rsidRPr="00A52585">
        <w:rPr>
          <w:rFonts w:hint="cs"/>
          <w:sz w:val="24"/>
          <w:szCs w:val="24"/>
          <w:rtl/>
        </w:rPr>
        <w:t xml:space="preserve">فقالوا </w:t>
      </w:r>
      <w:proofErr w:type="spellStart"/>
      <w:r w:rsidR="00777DCB" w:rsidRPr="00A52585">
        <w:rPr>
          <w:rFonts w:hint="cs"/>
          <w:sz w:val="24"/>
          <w:szCs w:val="24"/>
          <w:rtl/>
        </w:rPr>
        <w:t>تجيىء</w:t>
      </w:r>
      <w:proofErr w:type="spellEnd"/>
      <w:r w:rsidR="00777DCB" w:rsidRPr="00A52585">
        <w:rPr>
          <w:rFonts w:hint="cs"/>
          <w:sz w:val="24"/>
          <w:szCs w:val="24"/>
          <w:rtl/>
        </w:rPr>
        <w:t xml:space="preserve"> سورة البقرة يوم القيامة </w:t>
      </w:r>
      <w:proofErr w:type="spellStart"/>
      <w:r w:rsidR="00777DCB" w:rsidRPr="00A52585">
        <w:rPr>
          <w:rFonts w:hint="cs"/>
          <w:sz w:val="24"/>
          <w:szCs w:val="24"/>
          <w:rtl/>
        </w:rPr>
        <w:t>وتجيىء</w:t>
      </w:r>
      <w:proofErr w:type="spellEnd"/>
      <w:r w:rsidR="00777DCB" w:rsidRPr="00A52585">
        <w:rPr>
          <w:rFonts w:hint="cs"/>
          <w:sz w:val="24"/>
          <w:szCs w:val="24"/>
          <w:rtl/>
        </w:rPr>
        <w:t xml:space="preserve"> سورة تبارك فقلت لهم إنما هو الثواب قال الله تعالى </w:t>
      </w:r>
      <w:r w:rsidRPr="00A52585">
        <w:rPr>
          <w:rFonts w:hint="cs"/>
          <w:sz w:val="24"/>
          <w:szCs w:val="24"/>
          <w:rtl/>
        </w:rPr>
        <w:t>{</w:t>
      </w:r>
      <w:r w:rsidR="00777DCB" w:rsidRPr="00A52585">
        <w:rPr>
          <w:rFonts w:hint="cs"/>
          <w:sz w:val="24"/>
          <w:szCs w:val="24"/>
          <w:rtl/>
        </w:rPr>
        <w:t>وجاء ربك</w:t>
      </w:r>
      <w:r w:rsidRPr="00A52585">
        <w:rPr>
          <w:rFonts w:hint="cs"/>
          <w:sz w:val="24"/>
          <w:szCs w:val="24"/>
          <w:rtl/>
        </w:rPr>
        <w:t>}</w:t>
      </w:r>
      <w:r w:rsidR="00777DCB" w:rsidRPr="00A52585">
        <w:rPr>
          <w:rFonts w:hint="cs"/>
          <w:sz w:val="24"/>
          <w:szCs w:val="24"/>
          <w:rtl/>
        </w:rPr>
        <w:t xml:space="preserve"> [الفجر</w:t>
      </w:r>
      <w:r w:rsidRPr="00A52585">
        <w:rPr>
          <w:rFonts w:hint="cs"/>
          <w:sz w:val="24"/>
          <w:szCs w:val="24"/>
          <w:rtl/>
        </w:rPr>
        <w:t>:</w:t>
      </w:r>
      <w:r w:rsidR="00777DCB" w:rsidRPr="00A52585">
        <w:rPr>
          <w:rFonts w:hint="cs"/>
          <w:sz w:val="24"/>
          <w:szCs w:val="24"/>
          <w:rtl/>
        </w:rPr>
        <w:t xml:space="preserve"> 23] إنما تأتي قدرته، وإنما القرآن أمثال ومواعظ، قال البيهقي وفيه دليل على أنه كان لا يعتقد في المجيئ الذي ورد به الكتاب والنـزول الذي وردت به السنة انتقالا من مكان إلا مكان </w:t>
      </w:r>
      <w:proofErr w:type="spellStart"/>
      <w:r w:rsidR="00777DCB" w:rsidRPr="00A52585">
        <w:rPr>
          <w:rFonts w:hint="cs"/>
          <w:sz w:val="24"/>
          <w:szCs w:val="24"/>
          <w:rtl/>
        </w:rPr>
        <w:t>كمجئ</w:t>
      </w:r>
      <w:proofErr w:type="spellEnd"/>
      <w:r w:rsidR="00777DCB" w:rsidRPr="00A52585">
        <w:rPr>
          <w:rFonts w:hint="cs"/>
          <w:sz w:val="24"/>
          <w:szCs w:val="24"/>
          <w:rtl/>
        </w:rPr>
        <w:t xml:space="preserve"> ذوات الجسام ونـزولها، وإنما هو عبارة عن ظهور آيات قدرته، فإنهم لما زعموا أن القرآن لو كان كلام الله وصفة من صفات ذاته لم يجز عليه المجيئ والإتيان فأجابهم أبو عبد الله بأنه إنما يجيئ ثواب قراءته التي يريد إظهارها يومئذ. فعبر عن إظهاره إياها بمجيئه اهـ</w:t>
      </w:r>
      <w:r w:rsidR="00DB731D" w:rsidRPr="00A52585">
        <w:rPr>
          <w:rFonts w:hint="cs"/>
          <w:sz w:val="24"/>
          <w:szCs w:val="24"/>
          <w:rtl/>
        </w:rPr>
        <w:t>،</w:t>
      </w:r>
      <w:r w:rsidR="00777DCB" w:rsidRPr="00A52585">
        <w:rPr>
          <w:rFonts w:hint="cs"/>
          <w:sz w:val="24"/>
          <w:szCs w:val="24"/>
          <w:rtl/>
        </w:rPr>
        <w:t xml:space="preserve"> وقال اليافعي بعد أن ساق ذلك</w:t>
      </w:r>
      <w:r w:rsidRPr="00A52585">
        <w:rPr>
          <w:rFonts w:hint="cs"/>
          <w:sz w:val="24"/>
          <w:szCs w:val="24"/>
          <w:rtl/>
        </w:rPr>
        <w:t>:</w:t>
      </w:r>
      <w:r w:rsidR="00777DCB" w:rsidRPr="00A52585">
        <w:rPr>
          <w:rFonts w:hint="cs"/>
          <w:sz w:val="24"/>
          <w:szCs w:val="24"/>
          <w:rtl/>
        </w:rPr>
        <w:t xml:space="preserve"> قال العلماء وقد يقتضي الحذف من التعظيم والتفخيم ما لا يقتضيه الذكر، وشواهده من الكتاب كثيرة كقوله تعالى </w:t>
      </w:r>
      <w:r w:rsidRPr="00A52585">
        <w:rPr>
          <w:rFonts w:hint="cs"/>
          <w:sz w:val="24"/>
          <w:szCs w:val="24"/>
          <w:rtl/>
        </w:rPr>
        <w:t>{</w:t>
      </w:r>
      <w:r w:rsidR="00777DCB" w:rsidRPr="00A52585">
        <w:rPr>
          <w:rFonts w:hint="cs"/>
          <w:sz w:val="24"/>
          <w:szCs w:val="24"/>
          <w:rtl/>
        </w:rPr>
        <w:t>إنما جزاء الذي يحاربون الله ورسوله</w:t>
      </w:r>
      <w:r w:rsidRPr="00A52585">
        <w:rPr>
          <w:rFonts w:hint="cs"/>
          <w:sz w:val="24"/>
          <w:szCs w:val="24"/>
          <w:rtl/>
        </w:rPr>
        <w:t>}</w:t>
      </w:r>
      <w:r w:rsidR="00777DCB" w:rsidRPr="00A52585">
        <w:rPr>
          <w:rFonts w:hint="cs"/>
          <w:sz w:val="24"/>
          <w:szCs w:val="24"/>
          <w:rtl/>
        </w:rPr>
        <w:t xml:space="preserve"> [المائدة</w:t>
      </w:r>
      <w:r w:rsidRPr="00A52585">
        <w:rPr>
          <w:rFonts w:hint="cs"/>
          <w:sz w:val="24"/>
          <w:szCs w:val="24"/>
          <w:rtl/>
        </w:rPr>
        <w:t>:</w:t>
      </w:r>
      <w:r w:rsidR="00777DCB" w:rsidRPr="00A52585">
        <w:rPr>
          <w:rFonts w:hint="cs"/>
          <w:sz w:val="24"/>
          <w:szCs w:val="24"/>
          <w:rtl/>
        </w:rPr>
        <w:t xml:space="preserve"> 33] و </w:t>
      </w:r>
      <w:r w:rsidRPr="00A52585">
        <w:rPr>
          <w:rFonts w:hint="cs"/>
          <w:sz w:val="24"/>
          <w:szCs w:val="24"/>
          <w:rtl/>
        </w:rPr>
        <w:t>{</w:t>
      </w:r>
      <w:r w:rsidR="00777DCB" w:rsidRPr="00A52585">
        <w:rPr>
          <w:rFonts w:hint="cs"/>
          <w:sz w:val="24"/>
          <w:szCs w:val="24"/>
          <w:rtl/>
        </w:rPr>
        <w:t>إن الذين يؤذون الله ورسوله</w:t>
      </w:r>
      <w:r w:rsidRPr="00A52585">
        <w:rPr>
          <w:rFonts w:hint="cs"/>
          <w:sz w:val="24"/>
          <w:szCs w:val="24"/>
          <w:rtl/>
        </w:rPr>
        <w:t>}</w:t>
      </w:r>
      <w:r w:rsidR="00777DCB" w:rsidRPr="00A52585">
        <w:rPr>
          <w:rFonts w:hint="cs"/>
          <w:sz w:val="24"/>
          <w:szCs w:val="24"/>
          <w:rtl/>
        </w:rPr>
        <w:t xml:space="preserve"> [الأحزاب</w:t>
      </w:r>
      <w:r w:rsidRPr="00A52585">
        <w:rPr>
          <w:rFonts w:hint="cs"/>
          <w:sz w:val="24"/>
          <w:szCs w:val="24"/>
          <w:rtl/>
        </w:rPr>
        <w:t>:</w:t>
      </w:r>
      <w:r w:rsidR="00777DCB" w:rsidRPr="00A52585">
        <w:rPr>
          <w:rFonts w:hint="cs"/>
          <w:sz w:val="24"/>
          <w:szCs w:val="24"/>
          <w:rtl/>
        </w:rPr>
        <w:t xml:space="preserve">57] وقد أجمع المسلمون على تقدسه تعالى عن التأذي والضرر، أي يحاربون عباد الله وأولياءه ويوضحه قوله تعالى </w:t>
      </w:r>
      <w:r w:rsidRPr="00A52585">
        <w:rPr>
          <w:rFonts w:hint="cs"/>
          <w:sz w:val="24"/>
          <w:szCs w:val="24"/>
          <w:rtl/>
        </w:rPr>
        <w:t>{</w:t>
      </w:r>
      <w:r w:rsidR="00777DCB" w:rsidRPr="00A52585">
        <w:rPr>
          <w:rFonts w:hint="cs"/>
          <w:sz w:val="24"/>
          <w:szCs w:val="24"/>
          <w:rtl/>
        </w:rPr>
        <w:t>فأتى الله بنيانهم</w:t>
      </w:r>
      <w:r w:rsidRPr="00A52585">
        <w:rPr>
          <w:rFonts w:hint="cs"/>
          <w:sz w:val="24"/>
          <w:szCs w:val="24"/>
          <w:rtl/>
        </w:rPr>
        <w:t>}</w:t>
      </w:r>
      <w:r w:rsidR="00777DCB" w:rsidRPr="00A52585">
        <w:rPr>
          <w:rFonts w:hint="cs"/>
          <w:sz w:val="24"/>
          <w:szCs w:val="24"/>
          <w:rtl/>
        </w:rPr>
        <w:t xml:space="preserve"> [النحل</w:t>
      </w:r>
      <w:r w:rsidRPr="00A52585">
        <w:rPr>
          <w:rFonts w:hint="cs"/>
          <w:sz w:val="24"/>
          <w:szCs w:val="24"/>
          <w:rtl/>
        </w:rPr>
        <w:t>:</w:t>
      </w:r>
      <w:r w:rsidR="00777DCB" w:rsidRPr="00A52585">
        <w:rPr>
          <w:rFonts w:hint="cs"/>
          <w:sz w:val="24"/>
          <w:szCs w:val="24"/>
          <w:rtl/>
        </w:rPr>
        <w:t>26] ليس المراد الإتيان بذاته بالاتفاق وإنما هو أمره ويشهد له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أتاها أمرنا ليلا أو نهاراً</w:t>
      </w:r>
      <w:r w:rsidRPr="00A52585">
        <w:rPr>
          <w:rFonts w:hint="cs"/>
          <w:sz w:val="24"/>
          <w:szCs w:val="24"/>
          <w:rtl/>
        </w:rPr>
        <w:t>}</w:t>
      </w:r>
      <w:r w:rsidR="00777DCB" w:rsidRPr="00A52585">
        <w:rPr>
          <w:rFonts w:hint="cs"/>
          <w:sz w:val="24"/>
          <w:szCs w:val="24"/>
          <w:rtl/>
        </w:rPr>
        <w:t xml:space="preserve"> [يونس</w:t>
      </w:r>
      <w:r w:rsidRPr="00A52585">
        <w:rPr>
          <w:rFonts w:hint="cs"/>
          <w:sz w:val="24"/>
          <w:szCs w:val="24"/>
          <w:rtl/>
        </w:rPr>
        <w:t>:</w:t>
      </w:r>
      <w:r w:rsidR="00777DCB" w:rsidRPr="00A52585">
        <w:rPr>
          <w:rFonts w:hint="cs"/>
          <w:sz w:val="24"/>
          <w:szCs w:val="24"/>
          <w:rtl/>
        </w:rPr>
        <w:t xml:space="preserve">24] اهـ. والناظم وشيخه يدعيان الانتماء إلى أحمد ولا يتابعانه في التنـزيه كما رأيت نصوص أهل العلم عن أحمد؛ فلا ينخدعن الموفق بثرثرتهما </w:t>
      </w:r>
      <w:proofErr w:type="gramStart"/>
      <w:r w:rsidR="00777DCB" w:rsidRPr="00A52585">
        <w:rPr>
          <w:rFonts w:hint="cs"/>
          <w:sz w:val="24"/>
          <w:szCs w:val="24"/>
          <w:rtl/>
        </w:rPr>
        <w:t>المفضوحة,</w:t>
      </w:r>
      <w:proofErr w:type="gramEnd"/>
      <w:r w:rsidR="00777DCB" w:rsidRPr="00A52585">
        <w:rPr>
          <w:rFonts w:hint="cs"/>
          <w:sz w:val="24"/>
          <w:szCs w:val="24"/>
          <w:rtl/>
        </w:rPr>
        <w:t xml:space="preserve"> وتهويلهما المصطنع وإنما ذلك وقاحة منهما قاتلهما الله، ما أجرأهما على الله تعالى]</w:t>
      </w:r>
      <w:r w:rsidR="00777DCB" w:rsidRPr="00A52585">
        <w:rPr>
          <w:rFonts w:hint="cs"/>
          <w:rtl/>
        </w:rPr>
        <w:t xml:space="preserve"> من أين يأتي لا يأتي إلا من العلو</w:t>
      </w:r>
      <w:r w:rsidRPr="00A52585">
        <w:rPr>
          <w:rFonts w:hint="cs"/>
          <w:rtl/>
        </w:rPr>
        <w:t>)</w:t>
      </w:r>
      <w:r w:rsidR="00DB731D" w:rsidRPr="00A52585">
        <w:rPr>
          <w:rFonts w:hint="cs"/>
          <w:rtl/>
        </w:rPr>
        <w:t>،</w:t>
      </w:r>
      <w:r w:rsidR="00777DCB" w:rsidRPr="00A52585">
        <w:rPr>
          <w:rFonts w:hint="cs"/>
          <w:rtl/>
        </w:rPr>
        <w:t xml:space="preserve"> ما كفاه إثبات الفوقية حتى أثبت الحركة في الإتيان</w:t>
      </w:r>
      <w:r w:rsidR="00DB731D" w:rsidRPr="00A52585">
        <w:rPr>
          <w:rFonts w:hint="cs"/>
          <w:rtl/>
        </w:rPr>
        <w:t>،</w:t>
      </w:r>
      <w:r w:rsidR="00777DCB" w:rsidRPr="00A52585">
        <w:rPr>
          <w:rFonts w:hint="cs"/>
          <w:rtl/>
        </w:rPr>
        <w:t xml:space="preserve"> </w:t>
      </w:r>
    </w:p>
    <w:p w14:paraId="12E8735D" w14:textId="6B686864" w:rsidR="00777DCB" w:rsidRPr="00A52585" w:rsidRDefault="0002035C" w:rsidP="0002035C">
      <w:pPr>
        <w:spacing w:after="240"/>
        <w:rPr>
          <w:b/>
          <w:rtl/>
        </w:rPr>
      </w:pPr>
      <w:r w:rsidRPr="00A52585">
        <w:rPr>
          <w:rFonts w:hint="cs"/>
          <w:bCs/>
          <w:rtl/>
        </w:rPr>
        <w:lastRenderedPageBreak/>
        <w:t>[</w:t>
      </w:r>
      <w:r w:rsidR="00777DCB" w:rsidRPr="00A52585">
        <w:rPr>
          <w:rFonts w:hint="cs"/>
          <w:bCs/>
          <w:rtl/>
        </w:rPr>
        <w:t>فصـــــــــــــل</w:t>
      </w:r>
      <w:r w:rsidRPr="00A52585">
        <w:rPr>
          <w:rFonts w:hint="cs"/>
          <w:bCs/>
          <w:rtl/>
        </w:rPr>
        <w:t>]:</w:t>
      </w:r>
      <w:r w:rsidR="00777DCB" w:rsidRPr="00A52585">
        <w:rPr>
          <w:rFonts w:hint="cs"/>
          <w:rtl/>
        </w:rPr>
        <w:t xml:space="preserve"> في الإشارة إلى ذلك من السنة</w:t>
      </w:r>
      <w:r w:rsidRPr="00A52585">
        <w:rPr>
          <w:rFonts w:hint="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لما قضى الله ربنا الخليقة</w:t>
      </w:r>
      <w:r w:rsidRPr="00A52585">
        <w:rPr>
          <w:rFonts w:hint="cs"/>
          <w:rtl/>
        </w:rPr>
        <w:t xml:space="preserve"> </w:t>
      </w:r>
      <w:r w:rsidR="00777DCB" w:rsidRPr="00A52585">
        <w:rPr>
          <w:rFonts w:hint="cs"/>
          <w:rtl/>
        </w:rPr>
        <w:t>كتبت يداه كتاب ذي إحسان</w:t>
      </w:r>
      <w:r w:rsidRPr="00A52585">
        <w:rPr>
          <w:rFonts w:hint="cs"/>
          <w:rtl/>
        </w:rPr>
        <w:t>)</w:t>
      </w:r>
      <w:r w:rsidR="00DB731D" w:rsidRPr="00A52585">
        <w:rPr>
          <w:rFonts w:hint="cs"/>
          <w:rtl/>
        </w:rPr>
        <w:t>،</w:t>
      </w:r>
      <w:r w:rsidR="00777DCB" w:rsidRPr="00A52585">
        <w:rPr>
          <w:rFonts w:hint="cs"/>
          <w:rtl/>
        </w:rPr>
        <w:t xml:space="preserve"> أين لفظ كتبت يداه</w:t>
      </w:r>
      <w:r w:rsidR="00F95886"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قد أجمع أهل الحق على أنه لا يجوز إثبات صفة الله سبحانه بدون دليل يفيد العلم؛ ولهم في ذلك أدلة ناصعة قال أبو سليمان الخطابي في (الناصحة)</w:t>
      </w:r>
      <w:r w:rsidRPr="00A52585">
        <w:rPr>
          <w:rFonts w:hint="cs"/>
          <w:sz w:val="24"/>
          <w:szCs w:val="24"/>
          <w:rtl/>
        </w:rPr>
        <w:t>:</w:t>
      </w:r>
      <w:r w:rsidR="00777DCB" w:rsidRPr="00A52585">
        <w:rPr>
          <w:rFonts w:hint="cs"/>
          <w:sz w:val="24"/>
          <w:szCs w:val="24"/>
          <w:rtl/>
        </w:rPr>
        <w:t xml:space="preserve"> لا يجوز أن يعتمد في الصفات إلا على الأحاديث المشهورة التي قد ثبتت صحة أسانيدها وعدالة ناقليها اهـ.</w:t>
      </w:r>
      <w:r w:rsidR="00DB731D" w:rsidRPr="00A52585">
        <w:rPr>
          <w:rFonts w:hint="cs"/>
          <w:sz w:val="24"/>
          <w:szCs w:val="24"/>
          <w:rtl/>
        </w:rPr>
        <w:t>،</w:t>
      </w:r>
      <w:r w:rsidR="00777DCB" w:rsidRPr="00A52585">
        <w:rPr>
          <w:rFonts w:hint="cs"/>
          <w:sz w:val="24"/>
          <w:szCs w:val="24"/>
          <w:rtl/>
        </w:rPr>
        <w:t xml:space="preserve"> ثم أقام النكير على قوم من أهل الحديث تعلقوا برواية المفاريد والشواذ في الصفات، ونكتفي بهذه الإشارة هنا. ولم يقع كتبت يداه</w:t>
      </w:r>
      <w:r w:rsidRPr="00A52585">
        <w:rPr>
          <w:rFonts w:hint="cs"/>
          <w:sz w:val="24"/>
          <w:szCs w:val="24"/>
          <w:rtl/>
        </w:rPr>
        <w:t xml:space="preserve"> </w:t>
      </w:r>
      <w:r w:rsidR="00777DCB" w:rsidRPr="00A52585">
        <w:rPr>
          <w:rFonts w:hint="cs"/>
          <w:sz w:val="24"/>
          <w:szCs w:val="24"/>
          <w:rtl/>
        </w:rPr>
        <w:t xml:space="preserve">في الصحيح عند ذكر حديث "سبقت رحمتي غضبي"، وأما ما في ابن ماجه فبطريق ابن عجلان وقد ضعفه البخاري ولم يكن مالك </w:t>
      </w:r>
      <w:proofErr w:type="spellStart"/>
      <w:r w:rsidR="00777DCB" w:rsidRPr="00A52585">
        <w:rPr>
          <w:rFonts w:hint="cs"/>
          <w:sz w:val="24"/>
          <w:szCs w:val="24"/>
          <w:rtl/>
        </w:rPr>
        <w:t>يرضاه</w:t>
      </w:r>
      <w:proofErr w:type="spellEnd"/>
      <w:r w:rsidR="00777DCB" w:rsidRPr="00A52585">
        <w:rPr>
          <w:rFonts w:hint="cs"/>
          <w:sz w:val="24"/>
          <w:szCs w:val="24"/>
          <w:rtl/>
        </w:rPr>
        <w:t xml:space="preserve"> في الصفات فلا حجة في رواية مثله على أن لفظه (كتب ربكم على نفسه بيده قبل أن يخلق الخلق رحمتي سبقت غضبي) قال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كتب ربكم على نفسه الرحمة</w:t>
      </w:r>
      <w:r w:rsidRPr="00A52585">
        <w:rPr>
          <w:rFonts w:hint="cs"/>
          <w:sz w:val="24"/>
          <w:szCs w:val="24"/>
          <w:rtl/>
        </w:rPr>
        <w:t>}</w:t>
      </w:r>
      <w:r w:rsidR="00777DCB" w:rsidRPr="00A52585">
        <w:rPr>
          <w:rFonts w:hint="cs"/>
          <w:sz w:val="24"/>
          <w:szCs w:val="24"/>
          <w:rtl/>
        </w:rPr>
        <w:t xml:space="preserve"> [الأنعام</w:t>
      </w:r>
      <w:r w:rsidRPr="00A52585">
        <w:rPr>
          <w:rFonts w:hint="cs"/>
          <w:sz w:val="24"/>
          <w:szCs w:val="24"/>
          <w:rtl/>
        </w:rPr>
        <w:t>:</w:t>
      </w:r>
      <w:r w:rsidR="00777DCB" w:rsidRPr="00A52585">
        <w:rPr>
          <w:rFonts w:hint="cs"/>
          <w:sz w:val="24"/>
          <w:szCs w:val="24"/>
          <w:rtl/>
        </w:rPr>
        <w:t xml:space="preserve"> 54] فكتب إذا تعدى بلفظ على يكون بمعنى أوجب، فيكون معنى الحديث أوجب على نفسه بذاته لا بإيجاب أحد سواه، واستعمال (بيده) بمعنى بذاته شائع كثير، والإيجاب على النفس بمعنى الوعد والوجوب عن الله لا الوجوب على الله. فليس هناك خط ولا مخطوط، ومن الدليل على ما قلنا </w:t>
      </w:r>
      <w:proofErr w:type="gramStart"/>
      <w:r w:rsidR="00777DCB" w:rsidRPr="00A52585">
        <w:rPr>
          <w:rFonts w:hint="cs"/>
          <w:sz w:val="24"/>
          <w:szCs w:val="24"/>
          <w:rtl/>
        </w:rPr>
        <w:t>أن</w:t>
      </w:r>
      <w:proofErr w:type="gramEnd"/>
      <w:r w:rsidR="00777DCB" w:rsidRPr="00A52585">
        <w:rPr>
          <w:rFonts w:hint="cs"/>
          <w:sz w:val="24"/>
          <w:szCs w:val="24"/>
          <w:rtl/>
        </w:rPr>
        <w:t xml:space="preserve"> الخط حادث مخلوق فكيف يتصور أن يكون قبل الخلق فلا تغفل مع الغافلين]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ولقـــد أشار نبينا في خطبـة</w:t>
      </w:r>
      <w:r w:rsidR="00897A24" w:rsidRPr="00A52585">
        <w:rPr>
          <w:rFonts w:hint="cs"/>
          <w:rtl/>
        </w:rPr>
        <w:t>.</w:t>
      </w:r>
      <w:r w:rsidR="00777DCB" w:rsidRPr="00A52585">
        <w:rPr>
          <w:rFonts w:hint="cs"/>
          <w:rtl/>
        </w:rPr>
        <w:t>. نحـو السمــاء بأصبـع وبنان</w:t>
      </w:r>
      <w:r w:rsidRPr="00A52585">
        <w:rPr>
          <w:rFonts w:hint="cs"/>
          <w:rtl/>
        </w:rPr>
        <w:t>)</w:t>
      </w:r>
      <w:r w:rsidR="00DB731D" w:rsidRPr="00A52585">
        <w:rPr>
          <w:rFonts w:hint="cs"/>
          <w:rtl/>
        </w:rPr>
        <w:t>،</w:t>
      </w:r>
      <w:r w:rsidR="00777DCB" w:rsidRPr="00A52585">
        <w:rPr>
          <w:rFonts w:hint="cs"/>
          <w:rtl/>
        </w:rPr>
        <w:t xml:space="preserve"> تقدم جوابه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ولقد أتى في رقية المرضى نص بأن الله فوق سمائه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ولفظ الحديث (ربنا الله الذي في السماء تقدس اسمك) يدور هذا اللفظ بين أن يكون بمعنى أنه تقدس اسمه في السماء لأن أهل السماء كلهم منـزهون بخلاف أهل الأرض وبين أن يكون بمعنى أنه في السماء واستحالة الثاني تعين الأول والناظم غير اللفظ وادعي أنه نص تحريفا للكلم. على أن في سنده زيادة ابن محمد وهو منكر الحديث. والناظم يستدل بالمنكر في الصفات مع تغيير نص الرواية. والحديث مخرج في سنن أبي داود]</w:t>
      </w:r>
      <w:r w:rsidR="00DB731D" w:rsidRPr="00A52585">
        <w:rPr>
          <w:rFonts w:hint="cs"/>
          <w:rtl/>
        </w:rPr>
        <w:t>،</w:t>
      </w:r>
      <w:r w:rsidR="00777DCB" w:rsidRPr="00A52585">
        <w:rPr>
          <w:rFonts w:hint="cs"/>
          <w:rtl/>
        </w:rPr>
        <w:t xml:space="preserve"> وخبر رواه العباس أن الله فوق العرش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رواية عبد الرزاق (والله فوق ذلك) ولفظ فوق العرش إنما وقع في بعض الروايات كما سبق. على أن الحديث انفرد به سماك؛ وشيخه عبد الله بن عميرة لم يدرك الأحنف كما نص عليه البخاري فضلا عن أن يدرك عباسا مع كونه مجهول الصفة، وتحسين الترمذي باعتبار أنه </w:t>
      </w:r>
      <w:proofErr w:type="gramStart"/>
      <w:r w:rsidR="00777DCB" w:rsidRPr="00A52585">
        <w:rPr>
          <w:rFonts w:hint="cs"/>
          <w:sz w:val="24"/>
          <w:szCs w:val="24"/>
          <w:rtl/>
        </w:rPr>
        <w:t>مروى</w:t>
      </w:r>
      <w:proofErr w:type="gramEnd"/>
      <w:r w:rsidR="00777DCB" w:rsidRPr="00A52585">
        <w:rPr>
          <w:rFonts w:hint="cs"/>
          <w:sz w:val="24"/>
          <w:szCs w:val="24"/>
          <w:rtl/>
        </w:rPr>
        <w:t xml:space="preserve"> عن سماك بطرق لا بمعنى أنه محتج به حيث قال حسن غريب ثم ذكر وقفه عن شريك عن سماك فتكون في رفعه علة أيضاً، ويحيى بن العلاء في مسند عبد الرزاق متروك، هكذا تكون حجج الناظم في السنة لا يبالي أن يكون الحديث من المفاريد أو أن يكون فيه منكر أو مجهول أو انقطاع. دعنا من تخريج الضياء وقد عرف الناس مذهبه في الصفات وقال ابن العربي في العارضة عن حديث الأوعال هذا</w:t>
      </w:r>
      <w:r w:rsidRPr="00A52585">
        <w:rPr>
          <w:rFonts w:hint="cs"/>
          <w:sz w:val="24"/>
          <w:szCs w:val="24"/>
          <w:rtl/>
        </w:rPr>
        <w:t>:</w:t>
      </w:r>
      <w:r w:rsidR="00777DCB" w:rsidRPr="00A52585">
        <w:rPr>
          <w:rFonts w:hint="cs"/>
          <w:sz w:val="24"/>
          <w:szCs w:val="24"/>
          <w:rtl/>
        </w:rPr>
        <w:t xml:space="preserve"> وروى غير ذلك ولم يصح شيء منه وإنما هي أمور تلفقت من أهل الكتاب ليس لها أصل في الصحة وقد روي أن النبي صلى الله عليه وسلم انشد قول أمية ابن أبي الصلت</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رجـل وثـور تحـت رجل يمينه</w:t>
      </w:r>
      <w:r w:rsidRPr="00A52585">
        <w:rPr>
          <w:rFonts w:hint="cs"/>
          <w:sz w:val="24"/>
          <w:szCs w:val="24"/>
          <w:rtl/>
        </w:rPr>
        <w:t>]</w:t>
      </w:r>
      <w:r w:rsidR="00DB731D" w:rsidRPr="00A52585">
        <w:rPr>
          <w:rFonts w:hint="cs"/>
          <w:sz w:val="24"/>
          <w:szCs w:val="24"/>
          <w:rtl/>
        </w:rPr>
        <w:t>،</w:t>
      </w:r>
      <w:r w:rsidR="00777DCB" w:rsidRPr="00A52585">
        <w:rPr>
          <w:rFonts w:hint="cs"/>
          <w:rtl/>
        </w:rPr>
        <w:t xml:space="preserve"> واذكر حديث حصين بن المنذر الثقة الرضى أعنى أبا عمران</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غلط الناظم في اسم والد حصين كما يظهر من الكتب المؤلفة في الصحابة، وإسلام حصين صاحب القصة مختلف فيه ووصفه بالثقة الرضى مطلقا مجازفة وأقل ما يقال فيه إنه لم يكن ثقة ولا رضى حين المحادثة على تقدير ثبوت الخبر. ولسنا في صدد استقصاء جهالات الناظم. ويريد بحديث حصين ما رواه أحمد بن منيع عن أبي معاوية عن شبيب بن شيبة عن الحسن عن عمران ابن حصين قال </w:t>
      </w:r>
      <w:proofErr w:type="spellStart"/>
      <w:r w:rsidR="00777DCB" w:rsidRPr="00A52585">
        <w:rPr>
          <w:rFonts w:hint="cs"/>
          <w:sz w:val="24"/>
          <w:szCs w:val="24"/>
          <w:rtl/>
        </w:rPr>
        <w:t>قال</w:t>
      </w:r>
      <w:proofErr w:type="spellEnd"/>
      <w:r w:rsidR="00777DCB" w:rsidRPr="00A52585">
        <w:rPr>
          <w:rFonts w:hint="cs"/>
          <w:sz w:val="24"/>
          <w:szCs w:val="24"/>
          <w:rtl/>
        </w:rPr>
        <w:t xml:space="preserve"> النبي صلى الله عليه وسلم لأبي</w:t>
      </w:r>
      <w:r w:rsidRPr="00A52585">
        <w:rPr>
          <w:rFonts w:hint="cs"/>
          <w:sz w:val="24"/>
          <w:szCs w:val="24"/>
          <w:rtl/>
        </w:rPr>
        <w:t>:</w:t>
      </w:r>
      <w:r w:rsidR="00777DCB" w:rsidRPr="00A52585">
        <w:rPr>
          <w:rFonts w:hint="cs"/>
          <w:sz w:val="24"/>
          <w:szCs w:val="24"/>
          <w:rtl/>
        </w:rPr>
        <w:t xml:space="preserve"> " كم تعبد اليوم إلهاً</w:t>
      </w:r>
      <w:r w:rsidR="00F95886" w:rsidRPr="00A52585">
        <w:rPr>
          <w:rFonts w:hint="cs"/>
          <w:sz w:val="24"/>
          <w:szCs w:val="24"/>
          <w:rtl/>
        </w:rPr>
        <w:t>؟</w:t>
      </w:r>
      <w:r w:rsidR="00777DCB" w:rsidRPr="00A52585">
        <w:rPr>
          <w:rFonts w:hint="cs"/>
          <w:sz w:val="24"/>
          <w:szCs w:val="24"/>
          <w:rtl/>
        </w:rPr>
        <w:t xml:space="preserve"> فقال ستة في الأرض </w:t>
      </w:r>
      <w:r w:rsidR="00777DCB" w:rsidRPr="00A52585">
        <w:rPr>
          <w:rFonts w:hint="cs"/>
          <w:sz w:val="24"/>
          <w:szCs w:val="24"/>
          <w:rtl/>
        </w:rPr>
        <w:lastRenderedPageBreak/>
        <w:t>وواحدا في السماء، قال</w:t>
      </w:r>
      <w:r w:rsidRPr="00A52585">
        <w:rPr>
          <w:rFonts w:hint="cs"/>
          <w:sz w:val="24"/>
          <w:szCs w:val="24"/>
          <w:rtl/>
        </w:rPr>
        <w:t>:</w:t>
      </w:r>
      <w:r w:rsidR="00777DCB" w:rsidRPr="00A52585">
        <w:rPr>
          <w:rFonts w:hint="cs"/>
          <w:sz w:val="24"/>
          <w:szCs w:val="24"/>
          <w:rtl/>
        </w:rPr>
        <w:t xml:space="preserve"> فأيهم تعده لرغبتك ورهبتك</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الذي في السماء. قال يا حصين، أما إنك لو أسلمت علمتك كلمتين ينفعانك، فلما أسلم قال يا رسول الله علمني الكلمتين، قال</w:t>
      </w:r>
      <w:r w:rsidRPr="00A52585">
        <w:rPr>
          <w:rFonts w:hint="cs"/>
          <w:sz w:val="24"/>
          <w:szCs w:val="24"/>
          <w:rtl/>
        </w:rPr>
        <w:t>:</w:t>
      </w:r>
      <w:r w:rsidR="00777DCB" w:rsidRPr="00A52585">
        <w:rPr>
          <w:rFonts w:hint="cs"/>
          <w:sz w:val="24"/>
          <w:szCs w:val="24"/>
          <w:rtl/>
        </w:rPr>
        <w:t xml:space="preserve"> " قل اللهم ألهمني رشدي </w:t>
      </w:r>
      <w:proofErr w:type="spellStart"/>
      <w:r w:rsidR="00777DCB" w:rsidRPr="00A52585">
        <w:rPr>
          <w:rFonts w:hint="cs"/>
          <w:sz w:val="24"/>
          <w:szCs w:val="24"/>
          <w:rtl/>
        </w:rPr>
        <w:t>وأعذني</w:t>
      </w:r>
      <w:proofErr w:type="spellEnd"/>
      <w:r w:rsidR="00777DCB" w:rsidRPr="00A52585">
        <w:rPr>
          <w:rFonts w:hint="cs"/>
          <w:sz w:val="24"/>
          <w:szCs w:val="24"/>
          <w:rtl/>
        </w:rPr>
        <w:t xml:space="preserve"> من شر نفسي". وأخرجه عثمان بن سعيد </w:t>
      </w:r>
      <w:proofErr w:type="spellStart"/>
      <w:r w:rsidR="00777DCB" w:rsidRPr="00A52585">
        <w:rPr>
          <w:rFonts w:hint="cs"/>
          <w:sz w:val="24"/>
          <w:szCs w:val="24"/>
          <w:rtl/>
        </w:rPr>
        <w:t>السجزي</w:t>
      </w:r>
      <w:proofErr w:type="spellEnd"/>
      <w:r w:rsidR="00777DCB" w:rsidRPr="00A52585">
        <w:rPr>
          <w:rFonts w:hint="cs"/>
          <w:sz w:val="24"/>
          <w:szCs w:val="24"/>
          <w:rtl/>
        </w:rPr>
        <w:t xml:space="preserve"> الدارمي عن ابن منيع إلى " الذي في السماء " فقط في كتاب النقض محتجا به على إثبات الحد والنهاية والمكان له تعالى حتى قال</w:t>
      </w:r>
      <w:r w:rsidRPr="00A52585">
        <w:rPr>
          <w:rFonts w:hint="cs"/>
          <w:sz w:val="24"/>
          <w:szCs w:val="24"/>
          <w:rtl/>
        </w:rPr>
        <w:t>:</w:t>
      </w:r>
      <w:r w:rsidR="00777DCB" w:rsidRPr="00A52585">
        <w:rPr>
          <w:rFonts w:hint="cs"/>
          <w:sz w:val="24"/>
          <w:szCs w:val="24"/>
          <w:rtl/>
        </w:rPr>
        <w:t xml:space="preserve"> فلم ينكر النبي صلى الله عليه وسلم على الكافر إذ عرف أن إله العالمين في السماء فحصين الخزاعي في كفره يومئذ كان أعلم بالله من </w:t>
      </w:r>
      <w:proofErr w:type="spellStart"/>
      <w:r w:rsidR="00777DCB" w:rsidRPr="00A52585">
        <w:rPr>
          <w:rFonts w:hint="cs"/>
          <w:sz w:val="24"/>
          <w:szCs w:val="24"/>
          <w:rtl/>
        </w:rPr>
        <w:t>المريسي</w:t>
      </w:r>
      <w:proofErr w:type="spellEnd"/>
      <w:r w:rsidR="00777DCB" w:rsidRPr="00A52585">
        <w:rPr>
          <w:rFonts w:hint="cs"/>
          <w:sz w:val="24"/>
          <w:szCs w:val="24"/>
          <w:rtl/>
        </w:rPr>
        <w:t xml:space="preserve"> وأصحابه…. وقد اتفقت الكلمة من المسلمين والكافرين أن الله في السماء وحدوه بذلك… وكل أحد بالله وبمكانه أعلم من الجهمية اهـ " راجع معقول ابن تيمية في هامش منهاجه (2 - 30) تجده ينقل ذلك عنه بنصه وفصه بدون استنكار. والناظم أتبع له من ظله في كل صغير وكبير </w:t>
      </w:r>
      <w:r w:rsidRPr="00A52585">
        <w:rPr>
          <w:rFonts w:hint="cs"/>
          <w:sz w:val="24"/>
          <w:szCs w:val="24"/>
          <w:rtl/>
        </w:rPr>
        <w:t>{</w:t>
      </w:r>
      <w:r w:rsidR="00777DCB" w:rsidRPr="00A52585">
        <w:rPr>
          <w:rFonts w:hint="cs"/>
          <w:sz w:val="24"/>
          <w:szCs w:val="24"/>
          <w:rtl/>
        </w:rPr>
        <w:t>ومن لم يجعل الله له نوراً فما له من نور</w:t>
      </w:r>
      <w:r w:rsidRPr="00A52585">
        <w:rPr>
          <w:rFonts w:hint="cs"/>
          <w:sz w:val="24"/>
          <w:szCs w:val="24"/>
          <w:rtl/>
        </w:rPr>
        <w:t>}</w:t>
      </w:r>
      <w:r w:rsidR="00777DCB" w:rsidRPr="00A52585">
        <w:rPr>
          <w:rFonts w:hint="cs"/>
          <w:sz w:val="24"/>
          <w:szCs w:val="24"/>
          <w:rtl/>
        </w:rPr>
        <w:t xml:space="preserve"> [النور</w:t>
      </w:r>
      <w:r w:rsidRPr="00A52585">
        <w:rPr>
          <w:rFonts w:hint="cs"/>
          <w:sz w:val="24"/>
          <w:szCs w:val="24"/>
          <w:rtl/>
        </w:rPr>
        <w:t>:</w:t>
      </w:r>
      <w:r w:rsidR="00777DCB" w:rsidRPr="00A52585">
        <w:rPr>
          <w:rFonts w:hint="cs"/>
          <w:sz w:val="24"/>
          <w:szCs w:val="24"/>
          <w:rtl/>
        </w:rPr>
        <w:t>40] وعثمان الدارمي هذا مجسم قح كما ترى وهو إمام الناظم وشيخه. وإسلام عمران بن حصين أيام خيبر وهذه المحادثة وقعت قبل الهجرة وحصين مشرك ولا يكون من التقرير في شيء ما يشاهده النبي صلى الله عليه وسلم</w:t>
      </w:r>
      <w:r w:rsidRPr="00A52585">
        <w:rPr>
          <w:rFonts w:hint="cs"/>
          <w:sz w:val="24"/>
          <w:szCs w:val="24"/>
          <w:rtl/>
        </w:rPr>
        <w:t xml:space="preserve"> </w:t>
      </w:r>
      <w:r w:rsidR="00777DCB" w:rsidRPr="00A52585">
        <w:rPr>
          <w:rFonts w:hint="cs"/>
          <w:sz w:val="24"/>
          <w:szCs w:val="24"/>
          <w:rtl/>
        </w:rPr>
        <w:t>في المشرك وسكت عليه، وكيف يتصور عاقل أنه أقره على ما يدعيه الناظم</w:t>
      </w:r>
      <w:r w:rsidR="00F95886" w:rsidRPr="00A52585">
        <w:rPr>
          <w:rFonts w:hint="cs"/>
          <w:sz w:val="24"/>
          <w:szCs w:val="24"/>
          <w:rtl/>
        </w:rPr>
        <w:t>؟</w:t>
      </w:r>
      <w:r w:rsidR="00777DCB" w:rsidRPr="00A52585">
        <w:rPr>
          <w:rFonts w:hint="cs"/>
          <w:sz w:val="24"/>
          <w:szCs w:val="24"/>
          <w:rtl/>
        </w:rPr>
        <w:t xml:space="preserve"> إذ من المحال أن يقره على ستة في الأرض، على أن عرضه الإسلام يدل على استنكار ما قاله حصين وعلى أنه كان على شر وضلال فيما قال؛ وشبيب بن شيبة ضعفه النسائي وغيره وبمثل هذا السند لا يستدل في الأعمال فضلا عن الاستدلال به في المعتقد. وأما ما أخرجه ابن خزيمة في التوحيد فبلفظ آخر زيد فيه كلمة إنقاذاً للموقف لكن في سنده عمران بن خالد وحاله أسوأ من أن يقال</w:t>
      </w:r>
      <w:r w:rsidRPr="00A52585">
        <w:rPr>
          <w:rFonts w:hint="cs"/>
          <w:sz w:val="24"/>
          <w:szCs w:val="24"/>
          <w:rtl/>
        </w:rPr>
        <w:t>:</w:t>
      </w:r>
      <w:r w:rsidR="00777DCB" w:rsidRPr="00A52585">
        <w:rPr>
          <w:rFonts w:hint="cs"/>
          <w:sz w:val="24"/>
          <w:szCs w:val="24"/>
          <w:rtl/>
        </w:rPr>
        <w:t xml:space="preserve"> إنه ضعيف, بل هو مكشوف الأمر والروايتان مختلفتان فلا تجمعان ولا تلفقان ولا ينقذ هذا الموقف بمثل ذلك الترقيع، فليتق الناظم رب العالمين من أن يسوق في صفات الله سبحانه أمثال تلك الروايات]</w:t>
      </w:r>
      <w:r w:rsidR="00777DCB" w:rsidRPr="00A52585">
        <w:rPr>
          <w:rFonts w:hint="cs"/>
          <w:rtl/>
        </w:rPr>
        <w:t xml:space="preserve"> إذ قال</w:t>
      </w:r>
      <w:r w:rsidRPr="00A52585">
        <w:rPr>
          <w:rFonts w:hint="cs"/>
          <w:rtl/>
        </w:rPr>
        <w:t>:</w:t>
      </w:r>
      <w:r w:rsidR="00777DCB" w:rsidRPr="00A52585">
        <w:rPr>
          <w:rFonts w:hint="cs"/>
          <w:rtl/>
        </w:rPr>
        <w:t xml:space="preserve"> ربي في السماء لرغبتي ولرهبتي أدعوه كل أوان</w:t>
      </w:r>
      <w:r w:rsidR="00DB731D" w:rsidRPr="00A52585">
        <w:rPr>
          <w:rFonts w:hint="cs"/>
          <w:rtl/>
        </w:rPr>
        <w:t>،</w:t>
      </w:r>
      <w:r w:rsidR="00777DCB" w:rsidRPr="00A52585">
        <w:rPr>
          <w:rFonts w:hint="cs"/>
          <w:rtl/>
        </w:rPr>
        <w:t xml:space="preserve"> فأقره الهادي البشير صلى الله عليه وسلم ولم يقل أنت المجسم قائل مكان واذكر شهادته لمن قال ربي في السماء بالإيمان وشهادة المعطل له بالكفران</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وليس في رواية يحيى الليثي عن مالك لفظ (فإنها مؤمنة) في حديث </w:t>
      </w:r>
      <w:proofErr w:type="spellStart"/>
      <w:r w:rsidR="00777DCB" w:rsidRPr="00A52585">
        <w:rPr>
          <w:rFonts w:hint="cs"/>
          <w:sz w:val="24"/>
          <w:szCs w:val="24"/>
          <w:rtl/>
        </w:rPr>
        <w:t>الجارية.وقد</w:t>
      </w:r>
      <w:proofErr w:type="spellEnd"/>
      <w:r w:rsidR="00777DCB" w:rsidRPr="00A52585">
        <w:rPr>
          <w:rFonts w:hint="cs"/>
          <w:sz w:val="24"/>
          <w:szCs w:val="24"/>
          <w:rtl/>
        </w:rPr>
        <w:t xml:space="preserve"> سبق بيان اضطراب هذا الحديث سنداً ومتناً وعدم صلاحية مثله للاحتجاج إلا في الأعمال دون المطالب الاعتقادية. وقد حمل الشريف الجرجاني لفظ (أين) في الحديث على السؤال الاستكشافي. ومن أهل العلم من قال إن العامي الذي يعلو عن مداركه التنـزيه عن المكان يؤخذ بالرفق ويعذر لهذا الحديث بخلاف من عنده بعض إلمام بالعلم، وجعل ابن رشد الحفيد لصاحب البرهان شأنا غير شأن العامي في ذلك، وقد سبق بسط ذلك كله]</w:t>
      </w:r>
      <w:r w:rsidR="00DB731D" w:rsidRPr="00A52585">
        <w:rPr>
          <w:rFonts w:hint="cs"/>
          <w:rtl/>
        </w:rPr>
        <w:t>،</w:t>
      </w:r>
      <w:r w:rsidR="00777DCB" w:rsidRPr="00A52585">
        <w:rPr>
          <w:rFonts w:hint="cs"/>
          <w:rtl/>
        </w:rPr>
        <w:t xml:space="preserve"> وحديث الأطيط</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الذهبي في كتاب العلو</w:t>
      </w:r>
      <w:r w:rsidRPr="00A52585">
        <w:rPr>
          <w:rFonts w:hint="cs"/>
          <w:sz w:val="24"/>
          <w:szCs w:val="24"/>
          <w:rtl/>
        </w:rPr>
        <w:t>:</w:t>
      </w:r>
      <w:r w:rsidR="00777DCB" w:rsidRPr="00A52585">
        <w:rPr>
          <w:rFonts w:hint="cs"/>
          <w:sz w:val="24"/>
          <w:szCs w:val="24"/>
          <w:rtl/>
        </w:rPr>
        <w:t xml:space="preserve"> لفظ الأطيط لم يأت به نص ثابت اهـ. وقد ألف الحافظ أبو القاسم بن عساكر جزءاً سماه (بيان التخليط في حديث الأطيط) بيّن فيه وجوه التخليط في روايات الأطيط فلا حاجة لتكلف التأويل بعد ثبوت بطلان تلك الروايات]</w:t>
      </w:r>
      <w:r w:rsidR="00DB731D" w:rsidRPr="00A52585">
        <w:rPr>
          <w:rFonts w:hint="cs"/>
          <w:rtl/>
        </w:rPr>
        <w:t>،</w:t>
      </w:r>
      <w:r w:rsidR="00777DCB" w:rsidRPr="00A52585">
        <w:rPr>
          <w:rFonts w:hint="cs"/>
          <w:rtl/>
        </w:rPr>
        <w:t xml:space="preserve"> وحديث النـزول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سبق بيان ما فيه كفاية في هذا الصدد فلا نعيد الكلام بدون موجب</w:t>
      </w:r>
      <w:r w:rsidRPr="00A52585">
        <w:rPr>
          <w:rFonts w:hint="cs"/>
          <w:sz w:val="24"/>
          <w:szCs w:val="24"/>
          <w:rtl/>
        </w:rPr>
        <w:t>]</w:t>
      </w:r>
      <w:r w:rsidR="00777DCB" w:rsidRPr="00A52585">
        <w:rPr>
          <w:rFonts w:hint="cs"/>
          <w:rtl/>
        </w:rPr>
        <w:t xml:space="preserve"> وحديث ابن رواحة</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يشير به إلى ما ينسب إلى عبد الله بن رواحة رضي الله عنه من أنه أنشد</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شهدت بأن وعد الله حقِّ</w:t>
      </w:r>
      <w:r w:rsidR="00897A24" w:rsidRPr="00A52585">
        <w:rPr>
          <w:rFonts w:hint="cs"/>
          <w:sz w:val="24"/>
          <w:szCs w:val="24"/>
          <w:rtl/>
        </w:rPr>
        <w:t>.</w:t>
      </w:r>
      <w:r w:rsidR="00777DCB" w:rsidRPr="00A52585">
        <w:rPr>
          <w:rFonts w:hint="cs"/>
          <w:sz w:val="24"/>
          <w:szCs w:val="24"/>
          <w:rtl/>
        </w:rPr>
        <w:t xml:space="preserve">. وأن النار مثوى </w:t>
      </w:r>
      <w:proofErr w:type="spellStart"/>
      <w:r w:rsidR="00777DCB" w:rsidRPr="00A52585">
        <w:rPr>
          <w:rFonts w:hint="cs"/>
          <w:sz w:val="24"/>
          <w:szCs w:val="24"/>
          <w:rtl/>
        </w:rPr>
        <w:t>الكافرينا</w:t>
      </w:r>
      <w:proofErr w:type="spellEnd"/>
      <w:r w:rsidR="00DB731D" w:rsidRPr="00A52585">
        <w:rPr>
          <w:rFonts w:hint="cs"/>
          <w:sz w:val="24"/>
          <w:szCs w:val="24"/>
          <w:rtl/>
        </w:rPr>
        <w:t>،</w:t>
      </w:r>
      <w:r w:rsidR="00777DCB" w:rsidRPr="00A52585">
        <w:rPr>
          <w:rFonts w:hint="cs"/>
          <w:sz w:val="24"/>
          <w:szCs w:val="24"/>
          <w:rtl/>
        </w:rPr>
        <w:t xml:space="preserve"> وأنَّ العـرش فـوق الماء طاف</w:t>
      </w:r>
      <w:r w:rsidR="00897A24" w:rsidRPr="00A52585">
        <w:rPr>
          <w:rFonts w:hint="cs"/>
          <w:sz w:val="24"/>
          <w:szCs w:val="24"/>
          <w:rtl/>
        </w:rPr>
        <w:t>.</w:t>
      </w:r>
      <w:r w:rsidR="00777DCB" w:rsidRPr="00A52585">
        <w:rPr>
          <w:rFonts w:hint="cs"/>
          <w:sz w:val="24"/>
          <w:szCs w:val="24"/>
          <w:rtl/>
        </w:rPr>
        <w:t xml:space="preserve">. وفـوق العـرش رب </w:t>
      </w:r>
      <w:proofErr w:type="spellStart"/>
      <w:r w:rsidR="00777DCB" w:rsidRPr="00A52585">
        <w:rPr>
          <w:rFonts w:hint="cs"/>
          <w:sz w:val="24"/>
          <w:szCs w:val="24"/>
          <w:rtl/>
        </w:rPr>
        <w:t>العالمينا</w:t>
      </w:r>
      <w:proofErr w:type="spellEnd"/>
      <w:r w:rsidRPr="00A52585">
        <w:rPr>
          <w:rFonts w:hint="cs"/>
          <w:sz w:val="24"/>
          <w:szCs w:val="24"/>
          <w:rtl/>
        </w:rPr>
        <w:t>)</w:t>
      </w:r>
      <w:r w:rsidR="00777DCB" w:rsidRPr="00A52585">
        <w:rPr>
          <w:rFonts w:hint="cs"/>
          <w:sz w:val="24"/>
          <w:szCs w:val="24"/>
          <w:rtl/>
        </w:rPr>
        <w:t xml:space="preserve"> إيهاما لامرأته أنه يتلو القرآن دفعاً لما اتهمته به من نيله جارية له حتى قالت زوجته آمنت بالله وكذبت عيني اهـ</w:t>
      </w:r>
      <w:r w:rsidR="00DB731D" w:rsidRPr="00A52585">
        <w:rPr>
          <w:rFonts w:hint="cs"/>
          <w:sz w:val="24"/>
          <w:szCs w:val="24"/>
          <w:rtl/>
        </w:rPr>
        <w:t>،</w:t>
      </w:r>
      <w:r w:rsidR="00777DCB" w:rsidRPr="00A52585">
        <w:rPr>
          <w:rFonts w:hint="cs"/>
          <w:sz w:val="24"/>
          <w:szCs w:val="24"/>
          <w:rtl/>
        </w:rPr>
        <w:t xml:space="preserve"> وهذه قصة تذكر في كتب المحاضرات والمسامرات دون كتب الحديث المعتمدة ولم ترد في كتب أهل الحديث بسند </w:t>
      </w:r>
      <w:r w:rsidR="00777DCB" w:rsidRPr="00A52585">
        <w:rPr>
          <w:rFonts w:hint="cs"/>
          <w:sz w:val="24"/>
          <w:szCs w:val="24"/>
          <w:rtl/>
        </w:rPr>
        <w:lastRenderedPageBreak/>
        <w:t>متصل ولو من وجه واحد]</w:t>
      </w:r>
      <w:r w:rsidR="00DB731D" w:rsidRPr="00A52585">
        <w:rPr>
          <w:rFonts w:hint="cs"/>
          <w:rtl/>
        </w:rPr>
        <w:t>،</w:t>
      </w:r>
      <w:r w:rsidR="00777DCB" w:rsidRPr="00A52585">
        <w:rPr>
          <w:rFonts w:hint="cs"/>
          <w:rtl/>
        </w:rPr>
        <w:t xml:space="preserve"> والمعراج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نحيل الناظم في حديث المعراج الذي يريد أن يستدل به هنا على ما كتبه هو نفسه في زاد المعاد في الأوهام الواقعة في حديث شريك في المعراج وقد بسط أهل العلم أغلاطه فيه]</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 xml:space="preserve">وقريظة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يعني ما يروى عنه صلى الله عليه وسلم أنه قال لسعد بن معاذ حين حكم في بني قريظة بأن يقتل مقاتلتهم وتسبى ذراريهم</w:t>
      </w:r>
      <w:r w:rsidRPr="00A52585">
        <w:rPr>
          <w:rFonts w:hint="cs"/>
          <w:sz w:val="24"/>
          <w:szCs w:val="24"/>
          <w:rtl/>
        </w:rPr>
        <w:t>:</w:t>
      </w:r>
      <w:r w:rsidR="00777DCB" w:rsidRPr="00A52585">
        <w:rPr>
          <w:rFonts w:hint="cs"/>
          <w:sz w:val="24"/>
          <w:szCs w:val="24"/>
          <w:rtl/>
        </w:rPr>
        <w:t xml:space="preserve"> " لقد حكمت فيهم بحكم الملك من فوق سبعة أرقعة " وفي سنده النسائي محمد بن صالح التمار ليس بقوي. قال أبو بكر ابن العربي في القواصم</w:t>
      </w:r>
      <w:r w:rsidRPr="00A52585">
        <w:rPr>
          <w:rFonts w:hint="cs"/>
          <w:sz w:val="24"/>
          <w:szCs w:val="24"/>
          <w:rtl/>
        </w:rPr>
        <w:t>:</w:t>
      </w:r>
      <w:r w:rsidR="00777DCB" w:rsidRPr="00A52585">
        <w:rPr>
          <w:rFonts w:hint="cs"/>
          <w:sz w:val="24"/>
          <w:szCs w:val="24"/>
          <w:rtl/>
        </w:rPr>
        <w:t xml:space="preserve"> لم يصح اهـ على أن حكم الله يطلع عليه الملائكة باطلاعهم على اللوح المحفوظ فيكون معنى كون حكمه في السماء كون حكمه في اللوح المحفوظ الذي هو في السماء]</w:t>
      </w:r>
      <w:r w:rsidR="00777DCB" w:rsidRPr="00A52585">
        <w:rPr>
          <w:rFonts w:hint="cs"/>
          <w:rtl/>
        </w:rPr>
        <w:t>، وصعود الروح</w:t>
      </w:r>
      <w:r w:rsidRPr="00A52585">
        <w:rPr>
          <w:rFonts w:hint="cs"/>
          <w:vertAlign w:val="superscript"/>
          <w:rtl/>
        </w:rPr>
        <w:t xml:space="preserve"> </w:t>
      </w:r>
      <w:r w:rsidR="00777DCB" w:rsidRPr="00A52585">
        <w:rPr>
          <w:rFonts w:hint="cs"/>
          <w:rtl/>
        </w:rPr>
        <w:t>عند الموت</w:t>
      </w:r>
      <w:r w:rsidR="00DB731D"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أخرجه أحمد وابن خزيمة وفيه لفظ " حتى تنتهي إلى السماء التي فيها الرب. وليس السند إليهما كالسند إلى الأصول الستة، وقد أعرض عن تخريجه أصحاب الأصول الستة. وهذا اللفظ منكر والظاهر أنه من تغيير بعض الرواة وقد أجمع المسلمون على أن الله سبحانه لا تحويه السماء ولا الأرض وأنه منـزه عن المكان. قال الخطيب البغدادي في الفقيه والمتفقه</w:t>
      </w:r>
      <w:r w:rsidRPr="00A52585">
        <w:rPr>
          <w:rFonts w:hint="cs"/>
          <w:sz w:val="24"/>
          <w:szCs w:val="24"/>
          <w:rtl/>
        </w:rPr>
        <w:t>:</w:t>
      </w:r>
      <w:r w:rsidR="00777DCB" w:rsidRPr="00A52585">
        <w:rPr>
          <w:rFonts w:hint="cs"/>
          <w:sz w:val="24"/>
          <w:szCs w:val="24"/>
          <w:rtl/>
        </w:rPr>
        <w:t xml:space="preserve"> إذا روى الثقة المأمون خبراً متصل الإسناد رد بأمور أحدها أن يخالف موجبات العقول فيعلم بطلانه لأن الشرع إنما يرد </w:t>
      </w:r>
      <w:proofErr w:type="spellStart"/>
      <w:r w:rsidR="00777DCB" w:rsidRPr="00A52585">
        <w:rPr>
          <w:rFonts w:hint="cs"/>
          <w:sz w:val="24"/>
          <w:szCs w:val="24"/>
          <w:rtl/>
        </w:rPr>
        <w:t>بمجوزات</w:t>
      </w:r>
      <w:proofErr w:type="spellEnd"/>
      <w:r w:rsidR="00777DCB" w:rsidRPr="00A52585">
        <w:rPr>
          <w:rFonts w:hint="cs"/>
          <w:sz w:val="24"/>
          <w:szCs w:val="24"/>
          <w:rtl/>
        </w:rPr>
        <w:t xml:space="preserve"> العقول وأما بخلاف العقول فلا اهـ. وأما هذا فمخالف للكتاب والسنة والمعقول في آن واحد]</w:t>
      </w:r>
      <w:r w:rsidR="00DB731D" w:rsidRPr="00A52585">
        <w:rPr>
          <w:rFonts w:hint="cs"/>
          <w:rtl/>
        </w:rPr>
        <w:t>،</w:t>
      </w:r>
      <w:r w:rsidR="00777DCB" w:rsidRPr="00A52585">
        <w:rPr>
          <w:rFonts w:hint="cs"/>
          <w:rtl/>
        </w:rPr>
        <w:t xml:space="preserve"> وسخط الله على المرأة التي تهجر زوجها</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ولفظ مسلم "كان الذي في السماء ساخطا عليها " وليس في هذا اللفظ التصريح بما يرمى إليه الناظم، ومثل هذا الحديث من أخبار الآحاد يحمل على المحكمات. وليس في الحديث ذكر الرب سبحانه وحمله عليه تقول وعلى فرض حمله عليه ليس معنى كونه في السماء الاستقرار والتمكن فيها باتفاق بل معنى ذلك علو الشأن، كما سبق</w:t>
      </w:r>
      <w:r w:rsidRPr="00A52585">
        <w:rPr>
          <w:rFonts w:hint="cs"/>
          <w:sz w:val="24"/>
          <w:szCs w:val="24"/>
          <w:rtl/>
        </w:rPr>
        <w:t>]</w:t>
      </w:r>
      <w:r w:rsidR="00777DCB" w:rsidRPr="00A52585">
        <w:rPr>
          <w:rFonts w:hint="cs"/>
          <w:rtl/>
        </w:rPr>
        <w:t xml:space="preserve"> وحديث جابر في أهل الجنة إذا بنور ساطع فإذا هو الرحمن</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ابن ماجه بطريق </w:t>
      </w:r>
      <w:proofErr w:type="spellStart"/>
      <w:r w:rsidR="00777DCB" w:rsidRPr="00A52585">
        <w:rPr>
          <w:rFonts w:hint="cs"/>
          <w:sz w:val="24"/>
          <w:szCs w:val="24"/>
          <w:rtl/>
        </w:rPr>
        <w:t>العباداني</w:t>
      </w:r>
      <w:proofErr w:type="spellEnd"/>
      <w:r w:rsidR="00777DCB" w:rsidRPr="00A52585">
        <w:rPr>
          <w:rFonts w:hint="cs"/>
          <w:sz w:val="24"/>
          <w:szCs w:val="24"/>
          <w:rtl/>
        </w:rPr>
        <w:t xml:space="preserve"> وهو منكر الحديث؛ وفضل الرقاشي ممن لا يكتب حديثه وأورده ابن الجوزي في الموضوعات وأقر الذهبي بكونه ضعيف الإسناد وبمثله يحتج الناظم!]</w:t>
      </w:r>
      <w:r w:rsidR="00777DCB" w:rsidRPr="00A52585">
        <w:rPr>
          <w:rFonts w:hint="cs"/>
          <w:rtl/>
        </w:rPr>
        <w:t xml:space="preserve"> وحديث فضل يوم الجمعة</w:t>
      </w:r>
      <w:r w:rsidR="00DB731D" w:rsidRPr="00A52585">
        <w:rPr>
          <w:rFonts w:hint="cs"/>
          <w:vertAlign w:val="superscript"/>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غير صالح للاحتجاج بالمرة ولا سيما في مثل هذا المطلب. ولابن عساكر الحافظ جزء سماه (القول في جملة الأسانيد الواردة في حديث يوم المزيد) وبين فيه وجوه الوهي </w:t>
      </w:r>
      <w:proofErr w:type="gramStart"/>
      <w:r w:rsidR="00777DCB" w:rsidRPr="00A52585">
        <w:rPr>
          <w:rFonts w:hint="cs"/>
          <w:sz w:val="24"/>
          <w:szCs w:val="24"/>
          <w:rtl/>
        </w:rPr>
        <w:t>فيها,</w:t>
      </w:r>
      <w:proofErr w:type="gramEnd"/>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إن لهذا الحديث عن أنس عدة طرق في جميعها مقال. وفي بعض طرق الحديث ما يخيل إلى الناظر أنه في احتفاء بأحد رجالات العرب تعالى الله عما اختلقه أعداء الدين وركبوا له أسانيد ما أنـزل الله بها من سلطان]</w:t>
      </w:r>
      <w:r w:rsidR="00DB731D" w:rsidRPr="00A52585">
        <w:rPr>
          <w:rFonts w:hint="cs"/>
          <w:rtl/>
        </w:rPr>
        <w:t>،</w:t>
      </w:r>
      <w:r w:rsidR="00777DCB" w:rsidRPr="00A52585">
        <w:rPr>
          <w:rFonts w:hint="cs"/>
          <w:rtl/>
        </w:rPr>
        <w:t xml:space="preserve"> وأمين من في السماء</w:t>
      </w:r>
      <w:r w:rsidR="00DB731D" w:rsidRPr="00A52585">
        <w:rPr>
          <w:rFonts w:hint="cs"/>
          <w:vertAlign w:val="superscript"/>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أمين من في الأرض من المؤمنين وأمين سكان السماوات كلهم فماذا في هذا الحديث مما يرمي إليه الناظم]</w:t>
      </w:r>
      <w:r w:rsidR="00DB731D" w:rsidRPr="00A52585">
        <w:rPr>
          <w:rFonts w:hint="cs"/>
          <w:sz w:val="24"/>
          <w:szCs w:val="24"/>
          <w:rtl/>
        </w:rPr>
        <w:t>،</w:t>
      </w:r>
      <w:r w:rsidR="00777DCB" w:rsidRPr="00A52585">
        <w:rPr>
          <w:rFonts w:hint="cs"/>
          <w:rtl/>
        </w:rPr>
        <w:t xml:space="preserve"> واذكر حديث أبي رزين</w:t>
      </w:r>
      <w:r w:rsidR="00DB731D" w:rsidRPr="00A52585">
        <w:rPr>
          <w:rFonts w:hint="cs"/>
          <w:rtl/>
        </w:rPr>
        <w:t>،</w:t>
      </w:r>
      <w:r w:rsidR="00777DCB" w:rsidRPr="00A52585">
        <w:rPr>
          <w:rFonts w:hint="cs"/>
          <w:rtl/>
        </w:rPr>
        <w:t xml:space="preserve"> وبطوله ساقه ابن إمامنا والطبراني وأبو بكر بن زهير</w:t>
      </w:r>
      <w:r w:rsidR="00DB731D"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سبق الكلام في حديث أبي رزين، ونود أن نعلم هل كان الناظم يعتقد صحة جميع ما في كتاب السنة المنسوب إلى عبد الله بن أحمد، فإذا ذاك يسقط التابع والمتبوع، وجل مقدار أحمد أن يصح عنه جميع ما في الكتاب المذكور</w:t>
      </w:r>
      <w:r w:rsidR="00DB731D" w:rsidRPr="00A52585">
        <w:rPr>
          <w:rFonts w:hint="cs"/>
          <w:sz w:val="24"/>
          <w:szCs w:val="24"/>
          <w:rtl/>
        </w:rPr>
        <w:t>،</w:t>
      </w:r>
      <w:r w:rsidR="00777DCB" w:rsidRPr="00A52585">
        <w:rPr>
          <w:rFonts w:hint="cs"/>
          <w:sz w:val="24"/>
          <w:szCs w:val="24"/>
          <w:rtl/>
        </w:rPr>
        <w:t xml:space="preserve"> ومن طالعه من أهل العلم لا يتردد أنه ليس بكتاب يحتج بجميع ما فيه. ومن جملة ما فيه</w:t>
      </w:r>
      <w:r w:rsidRPr="00A52585">
        <w:rPr>
          <w:rFonts w:hint="cs"/>
          <w:sz w:val="24"/>
          <w:szCs w:val="24"/>
          <w:rtl/>
        </w:rPr>
        <w:t>:</w:t>
      </w:r>
      <w:r w:rsidR="00777DCB" w:rsidRPr="00A52585">
        <w:rPr>
          <w:rFonts w:hint="cs"/>
          <w:sz w:val="24"/>
          <w:szCs w:val="24"/>
          <w:rtl/>
        </w:rPr>
        <w:t xml:space="preserve"> رآه على كرسي من ذهب يحمله أربعة</w:t>
      </w:r>
      <w:r w:rsidRPr="00A52585">
        <w:rPr>
          <w:rFonts w:hint="cs"/>
          <w:sz w:val="24"/>
          <w:szCs w:val="24"/>
          <w:rtl/>
        </w:rPr>
        <w:t>:</w:t>
      </w:r>
      <w:r w:rsidR="00777DCB" w:rsidRPr="00A52585">
        <w:rPr>
          <w:rFonts w:hint="cs"/>
          <w:sz w:val="24"/>
          <w:szCs w:val="24"/>
          <w:rtl/>
        </w:rPr>
        <w:t xml:space="preserve"> ملك في صورة رجل، وملك في صورة أسد وملك في صورة ثور وملك في صورة نسر، في روضة خضراء دونه فراش من ذهب. ومنها</w:t>
      </w:r>
      <w:r w:rsidRPr="00A52585">
        <w:rPr>
          <w:rFonts w:hint="cs"/>
          <w:sz w:val="24"/>
          <w:szCs w:val="24"/>
          <w:rtl/>
        </w:rPr>
        <w:t>:</w:t>
      </w:r>
      <w:r w:rsidR="00777DCB" w:rsidRPr="00A52585">
        <w:rPr>
          <w:rFonts w:hint="cs"/>
          <w:sz w:val="24"/>
          <w:szCs w:val="24"/>
          <w:rtl/>
        </w:rPr>
        <w:t xml:space="preserve"> كلمه بصوت يشبه الرعد. ومنها</w:t>
      </w:r>
      <w:r w:rsidRPr="00A52585">
        <w:rPr>
          <w:rFonts w:hint="cs"/>
          <w:sz w:val="24"/>
          <w:szCs w:val="24"/>
          <w:rtl/>
        </w:rPr>
        <w:t>:</w:t>
      </w:r>
      <w:r w:rsidR="00777DCB" w:rsidRPr="00A52585">
        <w:rPr>
          <w:rFonts w:hint="cs"/>
          <w:sz w:val="24"/>
          <w:szCs w:val="24"/>
          <w:rtl/>
        </w:rPr>
        <w:t xml:space="preserve"> أوحي الله إلى الجبال إني نازل على </w:t>
      </w:r>
      <w:r w:rsidR="00777DCB" w:rsidRPr="00A52585">
        <w:rPr>
          <w:rFonts w:hint="cs"/>
          <w:sz w:val="24"/>
          <w:szCs w:val="24"/>
          <w:rtl/>
        </w:rPr>
        <w:lastRenderedPageBreak/>
        <w:t>جبل منك، ومنها</w:t>
      </w:r>
      <w:r w:rsidRPr="00A52585">
        <w:rPr>
          <w:rFonts w:hint="cs"/>
          <w:sz w:val="24"/>
          <w:szCs w:val="24"/>
          <w:rtl/>
        </w:rPr>
        <w:t>:</w:t>
      </w:r>
      <w:r w:rsidR="00777DCB" w:rsidRPr="00A52585">
        <w:rPr>
          <w:rFonts w:hint="cs"/>
          <w:sz w:val="24"/>
          <w:szCs w:val="24"/>
          <w:rtl/>
        </w:rPr>
        <w:t xml:space="preserve"> أن الرحمن ليثقل على حملة العرش من أول النهار إذا قام المشركون حتى إذا قام المسبحون خفف عن حملة العرش ومنها </w:t>
      </w:r>
      <w:r w:rsidRPr="00A52585">
        <w:rPr>
          <w:rFonts w:hint="cs"/>
          <w:sz w:val="24"/>
          <w:szCs w:val="24"/>
          <w:rtl/>
        </w:rPr>
        <w:t>{</w:t>
      </w:r>
      <w:r w:rsidR="00777DCB" w:rsidRPr="00A52585">
        <w:rPr>
          <w:rFonts w:hint="cs"/>
          <w:sz w:val="24"/>
          <w:szCs w:val="24"/>
          <w:rtl/>
        </w:rPr>
        <w:t>السماء منفطر به</w:t>
      </w:r>
      <w:r w:rsidRPr="00A52585">
        <w:rPr>
          <w:rFonts w:hint="cs"/>
          <w:sz w:val="24"/>
          <w:szCs w:val="24"/>
          <w:rtl/>
        </w:rPr>
        <w:t>}</w:t>
      </w:r>
      <w:r w:rsidR="00777DCB" w:rsidRPr="00A52585">
        <w:rPr>
          <w:rFonts w:hint="cs"/>
          <w:sz w:val="24"/>
          <w:szCs w:val="24"/>
          <w:rtl/>
        </w:rPr>
        <w:t xml:space="preserve"> [المزمل</w:t>
      </w:r>
      <w:r w:rsidRPr="00A52585">
        <w:rPr>
          <w:rFonts w:hint="cs"/>
          <w:sz w:val="24"/>
          <w:szCs w:val="24"/>
          <w:rtl/>
        </w:rPr>
        <w:t>:</w:t>
      </w:r>
      <w:r w:rsidR="00777DCB" w:rsidRPr="00A52585">
        <w:rPr>
          <w:rFonts w:hint="cs"/>
          <w:sz w:val="24"/>
          <w:szCs w:val="24"/>
          <w:rtl/>
        </w:rPr>
        <w:t>18] مثقل وممتلئ به. ومنها</w:t>
      </w:r>
      <w:r w:rsidRPr="00A52585">
        <w:rPr>
          <w:rFonts w:hint="cs"/>
          <w:sz w:val="24"/>
          <w:szCs w:val="24"/>
          <w:rtl/>
        </w:rPr>
        <w:t>:</w:t>
      </w:r>
      <w:r w:rsidR="00777DCB" w:rsidRPr="00A52585">
        <w:rPr>
          <w:rFonts w:hint="cs"/>
          <w:sz w:val="24"/>
          <w:szCs w:val="24"/>
          <w:rtl/>
        </w:rPr>
        <w:t xml:space="preserve"> انه ليقعد عليه فما يفضل منه إلا قيد أربع أصابع. ومنها فأصبح ربك يطوف في الأرض.. إلى آخر ما تجده في النسخة المطبوعة من كتاب السنة</w:t>
      </w:r>
      <w:r w:rsidR="00DB731D" w:rsidRPr="00A52585">
        <w:rPr>
          <w:rFonts w:hint="cs"/>
          <w:sz w:val="24"/>
          <w:szCs w:val="24"/>
          <w:rtl/>
        </w:rPr>
        <w:t>،</w:t>
      </w:r>
      <w:r w:rsidR="00777DCB" w:rsidRPr="00A52585">
        <w:rPr>
          <w:rFonts w:hint="cs"/>
          <w:sz w:val="24"/>
          <w:szCs w:val="24"/>
          <w:rtl/>
        </w:rPr>
        <w:t xml:space="preserve"> وقوله " نازل على جبل منك " يذكرنا ما أخرجه أبو إسماعيل الهروي في الفاروق عن كعب</w:t>
      </w:r>
      <w:r w:rsidRPr="00A52585">
        <w:rPr>
          <w:rFonts w:hint="cs"/>
          <w:sz w:val="24"/>
          <w:szCs w:val="24"/>
          <w:rtl/>
        </w:rPr>
        <w:t>:</w:t>
      </w:r>
      <w:r w:rsidR="00777DCB" w:rsidRPr="00A52585">
        <w:rPr>
          <w:rFonts w:hint="cs"/>
          <w:sz w:val="24"/>
          <w:szCs w:val="24"/>
          <w:rtl/>
        </w:rPr>
        <w:t xml:space="preserve"> إن الله نظر إلى الأرض فقال إني واطئ على بعضك فاستبقت له الجبال وتضعضعت الصخرة فشكر لها ذلك فوضع عليها قدمه فقال هذا مقامي… اهـ.</w:t>
      </w:r>
      <w:r w:rsidR="00DB731D" w:rsidRPr="00A52585">
        <w:rPr>
          <w:rFonts w:hint="cs"/>
          <w:sz w:val="24"/>
          <w:szCs w:val="24"/>
          <w:rtl/>
        </w:rPr>
        <w:t>،</w:t>
      </w:r>
      <w:r w:rsidR="00777DCB" w:rsidRPr="00A52585">
        <w:rPr>
          <w:rFonts w:hint="cs"/>
          <w:sz w:val="24"/>
          <w:szCs w:val="24"/>
          <w:rtl/>
        </w:rPr>
        <w:t xml:space="preserve"> وهذا الهروي المخرف يروي في ذم الكلام عن بعض قادته أنه لا تحل ذبائح الأشعرية لأنهم ليسوا بمسلمين ولا بأهل كتاب اهـ، والله ينتقم منه</w:t>
      </w:r>
      <w:r w:rsidR="00DB731D" w:rsidRPr="00A52585">
        <w:rPr>
          <w:rFonts w:hint="cs"/>
          <w:sz w:val="24"/>
          <w:szCs w:val="24"/>
          <w:rtl/>
        </w:rPr>
        <w:t>،</w:t>
      </w:r>
      <w:r w:rsidR="00777DCB" w:rsidRPr="00A52585">
        <w:rPr>
          <w:rFonts w:hint="cs"/>
          <w:sz w:val="24"/>
          <w:szCs w:val="24"/>
          <w:rtl/>
        </w:rPr>
        <w:t xml:space="preserve"> وأما الطبراني فمن المعروف عند أهل النقد أنه من الذين يروون الحديث الموضوع والضعيف بدون بيان كونه موضوعاً أو ضعيفاً, بل ينسب إليه تصحيح حديث عكرمة في الرؤية على صورة شاب أمرد… فلا حب ولا كرامة]</w:t>
      </w:r>
      <w:r w:rsidR="00DB731D" w:rsidRPr="00A52585">
        <w:rPr>
          <w:rFonts w:hint="cs"/>
          <w:rtl/>
        </w:rPr>
        <w:t>،</w:t>
      </w:r>
      <w:r w:rsidR="00777DCB" w:rsidRPr="00A52585">
        <w:rPr>
          <w:rFonts w:hint="cs"/>
          <w:rtl/>
        </w:rPr>
        <w:t xml:space="preserve"> واذكر كلام مجاهد في قوله تعالى </w:t>
      </w:r>
      <w:r w:rsidRPr="00A52585">
        <w:rPr>
          <w:rFonts w:hint="cs"/>
          <w:rtl/>
        </w:rPr>
        <w:t>{</w:t>
      </w:r>
      <w:r w:rsidR="00777DCB" w:rsidRPr="00A52585">
        <w:rPr>
          <w:rFonts w:hint="cs"/>
          <w:rtl/>
        </w:rPr>
        <w:t>أقم الصلاة …</w:t>
      </w:r>
      <w:r w:rsidRPr="00A52585">
        <w:rPr>
          <w:rFonts w:hint="cs"/>
          <w:rtl/>
        </w:rPr>
        <w:t>}</w:t>
      </w:r>
      <w:r w:rsidR="00777DCB" w:rsidRPr="00A52585">
        <w:rPr>
          <w:rFonts w:hint="cs"/>
          <w:rtl/>
        </w:rPr>
        <w:t xml:space="preserve"> في سبحان في ذكر تفسير المقام لأحمد</w:t>
      </w:r>
      <w:r w:rsidR="00DB731D" w:rsidRPr="00A52585">
        <w:rPr>
          <w:rFonts w:hint="cs"/>
          <w:rtl/>
        </w:rPr>
        <w:t>،</w:t>
      </w:r>
      <w:r w:rsidR="00777DCB" w:rsidRPr="00A52585">
        <w:rPr>
          <w:rFonts w:hint="cs"/>
          <w:rtl/>
        </w:rPr>
        <w:t xml:space="preserve"> إن كان تجسيماً</w:t>
      </w:r>
      <w:r w:rsidR="00DB731D" w:rsidRPr="00A52585">
        <w:rPr>
          <w:rFonts w:hint="cs"/>
          <w:rtl/>
        </w:rPr>
        <w:t>،</w:t>
      </w:r>
      <w:r w:rsidR="00777DCB" w:rsidRPr="00A52585">
        <w:rPr>
          <w:rFonts w:hint="cs"/>
          <w:rtl/>
        </w:rPr>
        <w:t xml:space="preserve"> فإن مجاهداً هو شيخهم بل شيخه الفوقاني وقد أتي ذكر الجلوس به</w:t>
      </w:r>
      <w:r w:rsidRPr="00A52585">
        <w:rPr>
          <w:rFonts w:hint="cs"/>
          <w:rtl/>
        </w:rPr>
        <w:t>)</w:t>
      </w:r>
      <w:r w:rsidR="00DB731D" w:rsidRPr="00A52585">
        <w:rPr>
          <w:rFonts w:hint="cs"/>
          <w:rtl/>
        </w:rPr>
        <w:t>،</w:t>
      </w:r>
      <w:r w:rsidR="00777DCB" w:rsidRPr="00A52585">
        <w:rPr>
          <w:rFonts w:hint="cs"/>
          <w:rtl/>
        </w:rPr>
        <w:t xml:space="preserve"> هذه الأحاديث كلها قد ذكرها الأئمة وذكروا تأويلاتها من قديم الزمان وإلى الآن</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مروي عنه بطرق ضعيفة وتفسيره بالشفاعة متواتر معنى عن النبي صلى الله عليه وسلم فأني يناهضه قول تابعي على تقدير ثوبته عنه</w:t>
      </w:r>
      <w:r w:rsidR="00F95886" w:rsidRPr="00A52585">
        <w:rPr>
          <w:rFonts w:hint="cs"/>
          <w:sz w:val="24"/>
          <w:szCs w:val="24"/>
          <w:rtl/>
        </w:rPr>
        <w:t>؟</w:t>
      </w:r>
      <w:r w:rsidR="00777DCB" w:rsidRPr="00A52585">
        <w:rPr>
          <w:rFonts w:hint="cs"/>
          <w:sz w:val="24"/>
          <w:szCs w:val="24"/>
          <w:rtl/>
        </w:rPr>
        <w:t xml:space="preserve"> ومن يقول عن الله سبحانه قد أخلى مكانا للنبي صلى الله عليه وسلم في عرشه فيقعده عليه في جنب ذاته فلا نشك في زيغه وضلاله واختلال عقله رغم تقول جماعة </w:t>
      </w:r>
      <w:proofErr w:type="spellStart"/>
      <w:r w:rsidR="00777DCB" w:rsidRPr="00A52585">
        <w:rPr>
          <w:rFonts w:hint="cs"/>
          <w:sz w:val="24"/>
          <w:szCs w:val="24"/>
          <w:rtl/>
        </w:rPr>
        <w:t>البربهارية</w:t>
      </w:r>
      <w:proofErr w:type="spellEnd"/>
      <w:r w:rsidR="00777DCB" w:rsidRPr="00A52585">
        <w:rPr>
          <w:rFonts w:hint="cs"/>
          <w:sz w:val="24"/>
          <w:szCs w:val="24"/>
          <w:rtl/>
        </w:rPr>
        <w:t xml:space="preserve"> من </w:t>
      </w:r>
      <w:proofErr w:type="spellStart"/>
      <w:r w:rsidR="00777DCB" w:rsidRPr="00A52585">
        <w:rPr>
          <w:rFonts w:hint="cs"/>
          <w:sz w:val="24"/>
          <w:szCs w:val="24"/>
          <w:rtl/>
        </w:rPr>
        <w:t>الحشوية</w:t>
      </w:r>
      <w:proofErr w:type="spellEnd"/>
      <w:r w:rsidR="00777DCB" w:rsidRPr="00A52585">
        <w:rPr>
          <w:rFonts w:hint="cs"/>
          <w:sz w:val="24"/>
          <w:szCs w:val="24"/>
          <w:rtl/>
        </w:rPr>
        <w:t>. وكم آذوا ابن جرير حتى أدخل في تفسيره بعض شيء من ذلك مع أنه القائل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سبحان من ليس له أنيس</w:t>
      </w:r>
      <w:r w:rsidR="00897A24" w:rsidRPr="00A52585">
        <w:rPr>
          <w:rFonts w:hint="cs"/>
          <w:sz w:val="24"/>
          <w:szCs w:val="24"/>
          <w:rtl/>
        </w:rPr>
        <w:t>.</w:t>
      </w:r>
      <w:r w:rsidR="00777DCB" w:rsidRPr="00A52585">
        <w:rPr>
          <w:rFonts w:hint="cs"/>
          <w:sz w:val="24"/>
          <w:szCs w:val="24"/>
          <w:rtl/>
        </w:rPr>
        <w:t>.. ولا له في عـرشه جلـيس</w:t>
      </w:r>
      <w:r w:rsidRPr="00A52585">
        <w:rPr>
          <w:rFonts w:hint="cs"/>
          <w:sz w:val="24"/>
          <w:szCs w:val="24"/>
          <w:rtl/>
        </w:rPr>
        <w:t>)</w:t>
      </w:r>
      <w:r w:rsidR="00777DCB" w:rsidRPr="00A52585">
        <w:rPr>
          <w:rFonts w:hint="cs"/>
          <w:sz w:val="24"/>
          <w:szCs w:val="24"/>
          <w:rtl/>
        </w:rPr>
        <w:t xml:space="preserve"> ولو ورد مثل ذلك بسند صحيح لرد وعد أن هذا سند مركب، فكيف وهو لم يرفع إلى النبي صلى الله عليه وسلم أصلاً بل نسب إلى مجاهد بن جبر، نعم لا مانع من أن يكون الله سبحانه يقعده على عرش أعده لرسوله صلى الله عليه وسلم في القيامة إظهاراً لمنـزلته لا أنه يقعد ويقعده في جنبه، تعالى الله عن ذلك. إذ هو محال يرد بمثله خبر الآحاد على تقدير وروده مرفوعاَ فكيف ولم يرد ذلك في المرفوع حتى قال الذهبي</w:t>
      </w:r>
      <w:r w:rsidRPr="00A52585">
        <w:rPr>
          <w:rFonts w:hint="cs"/>
          <w:sz w:val="24"/>
          <w:szCs w:val="24"/>
          <w:rtl/>
        </w:rPr>
        <w:t>:</w:t>
      </w:r>
      <w:r w:rsidR="00777DCB" w:rsidRPr="00A52585">
        <w:rPr>
          <w:rFonts w:hint="cs"/>
          <w:sz w:val="24"/>
          <w:szCs w:val="24"/>
          <w:rtl/>
        </w:rPr>
        <w:t xml:space="preserve"> لم يثبت في قعود نبينا صلى الله عليه وسلم على العرش نص، بل في الباب حديث واه. وقال أيضاً</w:t>
      </w:r>
      <w:r w:rsidRPr="00A52585">
        <w:rPr>
          <w:rFonts w:hint="cs"/>
          <w:sz w:val="24"/>
          <w:szCs w:val="24"/>
          <w:rtl/>
        </w:rPr>
        <w:t>:</w:t>
      </w:r>
      <w:r w:rsidR="00777DCB" w:rsidRPr="00A52585">
        <w:rPr>
          <w:rFonts w:hint="cs"/>
          <w:sz w:val="24"/>
          <w:szCs w:val="24"/>
          <w:rtl/>
        </w:rPr>
        <w:t xml:space="preserve"> ويروي مرفوعاً وهو باطل</w:t>
      </w:r>
      <w:r w:rsidR="00DB731D" w:rsidRPr="00A52585">
        <w:rPr>
          <w:rFonts w:hint="cs"/>
          <w:sz w:val="24"/>
          <w:szCs w:val="24"/>
          <w:rtl/>
        </w:rPr>
        <w:t>،</w:t>
      </w:r>
      <w:r w:rsidR="00777DCB" w:rsidRPr="00A52585">
        <w:rPr>
          <w:rFonts w:hint="cs"/>
          <w:sz w:val="24"/>
          <w:szCs w:val="24"/>
          <w:rtl/>
        </w:rPr>
        <w:t xml:space="preserve"> فما ذكره ابن عطية من التأويل وسايره </w:t>
      </w:r>
      <w:proofErr w:type="spellStart"/>
      <w:r w:rsidR="00777DCB" w:rsidRPr="00A52585">
        <w:rPr>
          <w:rFonts w:hint="cs"/>
          <w:sz w:val="24"/>
          <w:szCs w:val="24"/>
          <w:rtl/>
        </w:rPr>
        <w:t>الآلوسي</w:t>
      </w:r>
      <w:proofErr w:type="spellEnd"/>
      <w:r w:rsidR="00777DCB" w:rsidRPr="00A52585">
        <w:rPr>
          <w:rFonts w:hint="cs"/>
          <w:sz w:val="24"/>
          <w:szCs w:val="24"/>
          <w:rtl/>
        </w:rPr>
        <w:t xml:space="preserve"> فليس في محله لأن أصحاب الاستقراء لم يجدوه مرفوعاً حتى نحتاج إلى محاولة التأويل بما </w:t>
      </w:r>
      <w:proofErr w:type="spellStart"/>
      <w:r w:rsidR="00777DCB" w:rsidRPr="00A52585">
        <w:rPr>
          <w:rFonts w:hint="cs"/>
          <w:sz w:val="24"/>
          <w:szCs w:val="24"/>
          <w:rtl/>
        </w:rPr>
        <w:t>يمجه</w:t>
      </w:r>
      <w:proofErr w:type="spellEnd"/>
      <w:r w:rsidR="00777DCB" w:rsidRPr="00A52585">
        <w:rPr>
          <w:rFonts w:hint="cs"/>
          <w:sz w:val="24"/>
          <w:szCs w:val="24"/>
          <w:rtl/>
        </w:rPr>
        <w:t xml:space="preserve"> الذوق، ومن ظن أنه يوجد في مسند الفردوس ما يصح في ذلك لم يعرف الديلمي ولا مسنده وأرسل الكلام جزافاً</w:t>
      </w:r>
      <w:r w:rsidR="00DB731D" w:rsidRPr="00A52585">
        <w:rPr>
          <w:rFonts w:hint="cs"/>
          <w:sz w:val="24"/>
          <w:szCs w:val="24"/>
          <w:rtl/>
        </w:rPr>
        <w:t>،</w:t>
      </w:r>
      <w:r w:rsidR="00777DCB" w:rsidRPr="00A52585">
        <w:rPr>
          <w:rFonts w:hint="cs"/>
          <w:sz w:val="24"/>
          <w:szCs w:val="24"/>
          <w:rtl/>
        </w:rPr>
        <w:t xml:space="preserve"> جزى الله الواحدي خيراً حيث رد تلك </w:t>
      </w:r>
      <w:proofErr w:type="spellStart"/>
      <w:r w:rsidR="00777DCB" w:rsidRPr="00A52585">
        <w:rPr>
          <w:rFonts w:hint="cs"/>
          <w:sz w:val="24"/>
          <w:szCs w:val="24"/>
          <w:rtl/>
        </w:rPr>
        <w:t>الأخلوقة</w:t>
      </w:r>
      <w:proofErr w:type="spellEnd"/>
      <w:r w:rsidR="00777DCB" w:rsidRPr="00A52585">
        <w:rPr>
          <w:rFonts w:hint="cs"/>
          <w:sz w:val="24"/>
          <w:szCs w:val="24"/>
          <w:rtl/>
        </w:rPr>
        <w:t xml:space="preserve"> رداً مشبعاً وكذا ابن المعلم القرشي</w:t>
      </w:r>
      <w:r w:rsidR="00DB731D" w:rsidRPr="00A52585">
        <w:rPr>
          <w:rFonts w:hint="cs"/>
          <w:sz w:val="24"/>
          <w:szCs w:val="24"/>
          <w:rtl/>
        </w:rPr>
        <w:t>،</w:t>
      </w:r>
      <w:r w:rsidR="00777DCB" w:rsidRPr="00A52585">
        <w:rPr>
          <w:rFonts w:hint="cs"/>
          <w:sz w:val="24"/>
          <w:szCs w:val="24"/>
          <w:rtl/>
        </w:rPr>
        <w:t xml:space="preserve"> وأما ما يروى عن أبي داود أنه قال من أنكر هذا الحديث فهو عندنا متهم، فبطريق النقاش صاحب "شفاء الصدور" وهو كذاب عند أهل النقد</w:t>
      </w:r>
      <w:r w:rsidR="00DB731D" w:rsidRPr="00A52585">
        <w:rPr>
          <w:rFonts w:hint="cs"/>
          <w:sz w:val="24"/>
          <w:szCs w:val="24"/>
          <w:rtl/>
        </w:rPr>
        <w:t>،</w:t>
      </w:r>
      <w:r w:rsidR="00777DCB" w:rsidRPr="00A52585">
        <w:rPr>
          <w:rFonts w:hint="cs"/>
          <w:sz w:val="24"/>
          <w:szCs w:val="24"/>
          <w:rtl/>
        </w:rPr>
        <w:t xml:space="preserve"> وقال ابن عبد البر إن لمجاهد قولين مهجورين عند أهل العلم أحدهما تأويل المقام المحمود بهذا </w:t>
      </w:r>
      <w:proofErr w:type="spellStart"/>
      <w:r w:rsidR="00777DCB" w:rsidRPr="00A52585">
        <w:rPr>
          <w:rFonts w:hint="cs"/>
          <w:sz w:val="24"/>
          <w:szCs w:val="24"/>
          <w:rtl/>
        </w:rPr>
        <w:t>الإجلاس</w:t>
      </w:r>
      <w:proofErr w:type="spellEnd"/>
      <w:r w:rsidR="00777DCB" w:rsidRPr="00A52585">
        <w:rPr>
          <w:rFonts w:hint="cs"/>
          <w:sz w:val="24"/>
          <w:szCs w:val="24"/>
          <w:rtl/>
        </w:rPr>
        <w:t xml:space="preserve"> والثاني تأويل </w:t>
      </w:r>
      <w:r w:rsidRPr="00A52585">
        <w:rPr>
          <w:rFonts w:hint="cs"/>
          <w:sz w:val="24"/>
          <w:szCs w:val="24"/>
          <w:rtl/>
        </w:rPr>
        <w:t>{</w:t>
      </w:r>
      <w:r w:rsidR="00777DCB" w:rsidRPr="00A52585">
        <w:rPr>
          <w:rFonts w:hint="cs"/>
          <w:sz w:val="24"/>
          <w:szCs w:val="24"/>
          <w:rtl/>
        </w:rPr>
        <w:t>إلى ربها ناظرة</w:t>
      </w:r>
      <w:r w:rsidRPr="00A52585">
        <w:rPr>
          <w:rFonts w:hint="cs"/>
          <w:sz w:val="24"/>
          <w:szCs w:val="24"/>
          <w:rtl/>
        </w:rPr>
        <w:t xml:space="preserve">} </w:t>
      </w:r>
      <w:r w:rsidR="00777DCB" w:rsidRPr="00A52585">
        <w:rPr>
          <w:rFonts w:hint="cs"/>
          <w:sz w:val="24"/>
          <w:szCs w:val="24"/>
          <w:rtl/>
        </w:rPr>
        <w:t>[القيامة</w:t>
      </w:r>
      <w:r w:rsidRPr="00A52585">
        <w:rPr>
          <w:rFonts w:hint="cs"/>
          <w:sz w:val="24"/>
          <w:szCs w:val="24"/>
          <w:rtl/>
        </w:rPr>
        <w:t>:</w:t>
      </w:r>
      <w:r w:rsidR="00777DCB" w:rsidRPr="00A52585">
        <w:rPr>
          <w:rFonts w:hint="cs"/>
          <w:sz w:val="24"/>
          <w:szCs w:val="24"/>
          <w:rtl/>
        </w:rPr>
        <w:t>23] بانتظار الثواب</w:t>
      </w:r>
      <w:r w:rsidR="00DB731D" w:rsidRPr="00A52585">
        <w:rPr>
          <w:rFonts w:hint="cs"/>
          <w:sz w:val="24"/>
          <w:szCs w:val="24"/>
          <w:rtl/>
        </w:rPr>
        <w:t>،</w:t>
      </w:r>
      <w:r w:rsidR="00777DCB" w:rsidRPr="00A52585">
        <w:rPr>
          <w:rFonts w:hint="cs"/>
          <w:sz w:val="24"/>
          <w:szCs w:val="24"/>
          <w:rtl/>
        </w:rPr>
        <w:t xml:space="preserve"> وفتنة أبي محمد </w:t>
      </w:r>
      <w:proofErr w:type="spellStart"/>
      <w:r w:rsidR="00777DCB" w:rsidRPr="00A52585">
        <w:rPr>
          <w:rFonts w:hint="cs"/>
          <w:sz w:val="24"/>
          <w:szCs w:val="24"/>
          <w:rtl/>
        </w:rPr>
        <w:t>البربهاري</w:t>
      </w:r>
      <w:proofErr w:type="spellEnd"/>
      <w:r w:rsidR="00777DCB" w:rsidRPr="00A52585">
        <w:rPr>
          <w:rFonts w:hint="cs"/>
          <w:sz w:val="24"/>
          <w:szCs w:val="24"/>
          <w:rtl/>
        </w:rPr>
        <w:t xml:space="preserve">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من قول بعض النصارى بأن عيسى عليه السلام رفع إلى السماء وقعد في جنب أبيه، تعالى الله عن ذلك فحاولوا أن يجعلوا للنبي صلى الله عليه </w:t>
      </w:r>
      <w:r w:rsidR="00777DCB" w:rsidRPr="00A52585">
        <w:rPr>
          <w:rFonts w:hint="cs"/>
          <w:sz w:val="24"/>
          <w:szCs w:val="24"/>
          <w:rtl/>
        </w:rPr>
        <w:lastRenderedPageBreak/>
        <w:t>وسلم مثل ما جعله النصارى لعيسى عليه السلام كسابقة لهم، تعالى الله عن ذلك، فعليك أن تتهم من يقول إني أتهم من ينفي حديث الإقعاد في جنب الله عز وجل</w:t>
      </w:r>
      <w:r w:rsidRPr="00A52585">
        <w:rPr>
          <w:rFonts w:hint="cs"/>
          <w:sz w:val="24"/>
          <w:szCs w:val="24"/>
          <w:rtl/>
        </w:rPr>
        <w:t>]</w:t>
      </w:r>
      <w:r w:rsidR="00777DCB" w:rsidRPr="00A52585">
        <w:rPr>
          <w:rFonts w:hint="cs"/>
          <w:rtl/>
        </w:rPr>
        <w:t xml:space="preserve"> </w:t>
      </w:r>
    </w:p>
    <w:p w14:paraId="7A9E6649" w14:textId="3D3F9506" w:rsidR="00777DCB" w:rsidRPr="00A52585" w:rsidRDefault="0002035C" w:rsidP="0002035C">
      <w:pPr>
        <w:spacing w:after="240"/>
        <w:rPr>
          <w:b/>
          <w:rtl/>
        </w:rPr>
      </w:pPr>
      <w:r w:rsidRPr="00A52585">
        <w:rPr>
          <w:rFonts w:hint="cs"/>
          <w:bCs/>
          <w:rtl/>
        </w:rPr>
        <w:t>[</w:t>
      </w:r>
      <w:r w:rsidR="00777DCB" w:rsidRPr="00A52585">
        <w:rPr>
          <w:rFonts w:hint="cs"/>
          <w:bCs/>
          <w:rtl/>
        </w:rPr>
        <w:t>فصـــــــل</w:t>
      </w:r>
      <w:r w:rsidRPr="00A52585">
        <w:rPr>
          <w:rFonts w:hint="cs"/>
          <w:bCs/>
          <w:rtl/>
        </w:rPr>
        <w:t>]</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جناية التأويل على ما جاء به الرسول</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من كلام العرب ما يفهم منه مراد المتكلم بمجرد سماعه بدون احتياج إلى التدبر, ومنه ما لا يفهم المراد منه إلا بعد التأمل فيما يؤول إليه ذلك الكلام</w:t>
      </w:r>
      <w:r w:rsidR="00DB731D" w:rsidRPr="00A52585">
        <w:rPr>
          <w:rFonts w:hint="cs"/>
          <w:sz w:val="24"/>
          <w:szCs w:val="24"/>
          <w:rtl/>
        </w:rPr>
        <w:t>،</w:t>
      </w:r>
      <w:r w:rsidR="00777DCB" w:rsidRPr="00A52585">
        <w:rPr>
          <w:rFonts w:hint="cs"/>
          <w:sz w:val="24"/>
          <w:szCs w:val="24"/>
          <w:rtl/>
        </w:rPr>
        <w:t xml:space="preserve"> والتأويل تبيين ما يؤول إليه الكلام بعد التدبر فمن نفى التأويل جملة وتفصيلاً فقد جهل الكتاب والسنة ومناحي كلام العرب في التخاطب</w:t>
      </w:r>
      <w:r w:rsidR="00DB731D" w:rsidRPr="00A52585">
        <w:rPr>
          <w:rFonts w:hint="cs"/>
          <w:sz w:val="24"/>
          <w:szCs w:val="24"/>
          <w:rtl/>
        </w:rPr>
        <w:t>،</w:t>
      </w:r>
      <w:r w:rsidR="00777DCB" w:rsidRPr="00A52585">
        <w:rPr>
          <w:rFonts w:hint="cs"/>
          <w:sz w:val="24"/>
          <w:szCs w:val="24"/>
          <w:rtl/>
        </w:rPr>
        <w:t xml:space="preserve"> وأبو يعلى الحنبلي المسكين -</w:t>
      </w:r>
      <w:r w:rsidRPr="00A52585">
        <w:rPr>
          <w:rFonts w:hint="cs"/>
          <w:sz w:val="24"/>
          <w:szCs w:val="24"/>
          <w:rtl/>
        </w:rPr>
        <w:t xml:space="preserve"> </w:t>
      </w:r>
      <w:r w:rsidR="00777DCB" w:rsidRPr="00A52585">
        <w:rPr>
          <w:rFonts w:hint="cs"/>
          <w:sz w:val="24"/>
          <w:szCs w:val="24"/>
          <w:rtl/>
        </w:rPr>
        <w:t>من أئمة الناظم -</w:t>
      </w:r>
      <w:r w:rsidRPr="00A52585">
        <w:rPr>
          <w:rFonts w:hint="cs"/>
          <w:sz w:val="24"/>
          <w:szCs w:val="24"/>
          <w:rtl/>
        </w:rPr>
        <w:t xml:space="preserve"> </w:t>
      </w:r>
      <w:r w:rsidR="00777DCB" w:rsidRPr="00A52585">
        <w:rPr>
          <w:rFonts w:hint="cs"/>
          <w:sz w:val="24"/>
          <w:szCs w:val="24"/>
          <w:rtl/>
        </w:rPr>
        <w:t>ألف كتابا سماه (إبطال التأويلات في أخبار الصفات) أتى فيه بكل طامة حتى قال عنه أبو محمد رزق الله التميمي الحنبلي</w:t>
      </w:r>
      <w:r w:rsidRPr="00A52585">
        <w:rPr>
          <w:rFonts w:hint="cs"/>
          <w:sz w:val="24"/>
          <w:szCs w:val="24"/>
          <w:rtl/>
        </w:rPr>
        <w:t>:</w:t>
      </w:r>
      <w:r w:rsidR="00777DCB" w:rsidRPr="00A52585">
        <w:rPr>
          <w:rFonts w:hint="cs"/>
          <w:sz w:val="24"/>
          <w:szCs w:val="24"/>
          <w:rtl/>
        </w:rPr>
        <w:t xml:space="preserve"> لقد بال أبو يعلى على الحنابلة بولة لا يغسلها ماء البحار. كما ذكره سبط ابن الجوزي في مرآة الزمان. ولفظ ابن الأثير في الكامل أفظع وأما لفظ ابن الجوزي في دفع الشبه فرواية بالمعنى</w:t>
      </w:r>
      <w:r w:rsidR="00DB731D" w:rsidRPr="00A52585">
        <w:rPr>
          <w:rFonts w:hint="cs"/>
          <w:sz w:val="24"/>
          <w:szCs w:val="24"/>
          <w:rtl/>
        </w:rPr>
        <w:t>،</w:t>
      </w:r>
      <w:r w:rsidR="00777DCB" w:rsidRPr="00A52585">
        <w:rPr>
          <w:rFonts w:hint="cs"/>
          <w:sz w:val="24"/>
          <w:szCs w:val="24"/>
          <w:rtl/>
        </w:rPr>
        <w:t xml:space="preserve"> وقد ذكر أبو الفرج ابن الجوزي الحنبلي في "دفع شبه التشبيه" كثيراً من </w:t>
      </w:r>
      <w:proofErr w:type="spellStart"/>
      <w:r w:rsidR="00777DCB" w:rsidRPr="00A52585">
        <w:rPr>
          <w:rFonts w:hint="cs"/>
          <w:sz w:val="24"/>
          <w:szCs w:val="24"/>
          <w:rtl/>
        </w:rPr>
        <w:t>مخازيه</w:t>
      </w:r>
      <w:proofErr w:type="spellEnd"/>
      <w:r w:rsidR="00777DCB" w:rsidRPr="00A52585">
        <w:rPr>
          <w:rFonts w:hint="cs"/>
          <w:sz w:val="24"/>
          <w:szCs w:val="24"/>
          <w:rtl/>
        </w:rPr>
        <w:t>، بل في "تأسيس" ابن تيمية نقول كثيرة من كتاب (إبطال التأويلات) منها إثبات الحد له تعالى من الجانب الأسفل، تعالى الله عن ذلك</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ويأسف</w:t>
      </w:r>
      <w:proofErr w:type="spellEnd"/>
      <w:r w:rsidR="00777DCB" w:rsidRPr="00A52585">
        <w:rPr>
          <w:rFonts w:hint="cs"/>
          <w:sz w:val="24"/>
          <w:szCs w:val="24"/>
          <w:rtl/>
        </w:rPr>
        <w:t xml:space="preserve"> الأنسان كل الأسف أن يضل مثل أبي يعلى هذا الضلال وما ذلك إلا من عدوى خلطائه، فلو كان والده الذي كان من أخص أصحاب أبي بكر الرازي الجصاص رأى ما آل إليه أمر ابنه اليتيم عنه لبكى بكاء مراً وتبرأ منه ومن عقائده</w:t>
      </w:r>
      <w:r w:rsidR="00DB731D" w:rsidRPr="00A52585">
        <w:rPr>
          <w:rFonts w:hint="cs"/>
          <w:sz w:val="24"/>
          <w:szCs w:val="24"/>
          <w:rtl/>
        </w:rPr>
        <w:t>،</w:t>
      </w:r>
      <w:r w:rsidR="00777DCB" w:rsidRPr="00A52585">
        <w:rPr>
          <w:rFonts w:hint="cs"/>
          <w:sz w:val="24"/>
          <w:szCs w:val="24"/>
          <w:rtl/>
        </w:rPr>
        <w:t xml:space="preserve"> ومما زاد في ويلات الكتاب اعتداده بكل خبر, غير مميز بين المختلق وغيره</w:t>
      </w:r>
      <w:r w:rsidR="00DB731D" w:rsidRPr="00A52585">
        <w:rPr>
          <w:rFonts w:hint="cs"/>
          <w:sz w:val="24"/>
          <w:szCs w:val="24"/>
          <w:rtl/>
        </w:rPr>
        <w:t>،</w:t>
      </w:r>
      <w:r w:rsidR="00777DCB" w:rsidRPr="00A52585">
        <w:rPr>
          <w:rFonts w:hint="cs"/>
          <w:sz w:val="24"/>
          <w:szCs w:val="24"/>
          <w:rtl/>
        </w:rPr>
        <w:t xml:space="preserve"> ولأبي يعلى هذا كتاب "المعتمد في المعتقد" وهو قريب إلى السنة ونـرجو أن يكون هذا آخر مؤلفاته ليكون قاضياً على ما سلف منه، وإلا فيا للعار والشنار من مسايرة الأشرار</w:t>
      </w:r>
      <w:r w:rsidR="00DB731D" w:rsidRPr="00A52585">
        <w:rPr>
          <w:rFonts w:hint="cs"/>
          <w:sz w:val="24"/>
          <w:szCs w:val="24"/>
          <w:rtl/>
        </w:rPr>
        <w:t>،</w:t>
      </w:r>
      <w:r w:rsidR="00777DCB" w:rsidRPr="00A52585">
        <w:rPr>
          <w:rFonts w:hint="cs"/>
          <w:sz w:val="24"/>
          <w:szCs w:val="24"/>
          <w:rtl/>
        </w:rPr>
        <w:t xml:space="preserve"> فمن أول في كل موضع فهو قرمطي كافر، ومن أبي التأويل في كل آية وحديث فهو حجري زائغ كابن </w:t>
      </w:r>
      <w:proofErr w:type="spellStart"/>
      <w:r w:rsidR="00777DCB" w:rsidRPr="00A52585">
        <w:rPr>
          <w:rFonts w:hint="cs"/>
          <w:sz w:val="24"/>
          <w:szCs w:val="24"/>
          <w:rtl/>
        </w:rPr>
        <w:t>الفاعوس</w:t>
      </w:r>
      <w:proofErr w:type="spellEnd"/>
      <w:r w:rsidR="00777DCB" w:rsidRPr="00A52585">
        <w:rPr>
          <w:rFonts w:hint="cs"/>
          <w:sz w:val="24"/>
          <w:szCs w:val="24"/>
          <w:rtl/>
        </w:rPr>
        <w:t xml:space="preserve"> الحنبلي الذي لقب بالحجري حيث كان يقول إن الحجر الأسود يمين الله حقيقة</w:t>
      </w:r>
      <w:r w:rsidR="00DB731D" w:rsidRPr="00A52585">
        <w:rPr>
          <w:rFonts w:hint="cs"/>
          <w:sz w:val="24"/>
          <w:szCs w:val="24"/>
          <w:rtl/>
        </w:rPr>
        <w:t>،</w:t>
      </w:r>
      <w:r w:rsidR="00777DCB" w:rsidRPr="00A52585">
        <w:rPr>
          <w:rFonts w:hint="cs"/>
          <w:sz w:val="24"/>
          <w:szCs w:val="24"/>
          <w:rtl/>
        </w:rPr>
        <w:t xml:space="preserve"> قال أبو بكر بن العربي عن الظاهرية</w:t>
      </w:r>
      <w:r w:rsidRPr="00A52585">
        <w:rPr>
          <w:rFonts w:hint="cs"/>
          <w:sz w:val="24"/>
          <w:szCs w:val="24"/>
          <w:rtl/>
        </w:rPr>
        <w:t>:</w:t>
      </w:r>
      <w:r w:rsidR="00777DCB" w:rsidRPr="00A52585">
        <w:rPr>
          <w:rFonts w:hint="cs"/>
          <w:sz w:val="24"/>
          <w:szCs w:val="24"/>
          <w:rtl/>
        </w:rPr>
        <w:t xml:space="preserve"> (قالوا الظواهر أصل لا يجوز لنا</w:t>
      </w:r>
      <w:r w:rsidR="00897A24" w:rsidRPr="00A52585">
        <w:rPr>
          <w:rFonts w:hint="cs"/>
          <w:sz w:val="24"/>
          <w:szCs w:val="24"/>
          <w:rtl/>
        </w:rPr>
        <w:t>.</w:t>
      </w:r>
      <w:r w:rsidR="00777DCB" w:rsidRPr="00A52585">
        <w:rPr>
          <w:rFonts w:hint="cs"/>
          <w:sz w:val="24"/>
          <w:szCs w:val="24"/>
          <w:rtl/>
        </w:rPr>
        <w:t>. عنها العدول إلى رأي ولا نظر</w:t>
      </w:r>
      <w:r w:rsidR="00DB731D" w:rsidRPr="00A52585">
        <w:rPr>
          <w:rFonts w:hint="cs"/>
          <w:sz w:val="24"/>
          <w:szCs w:val="24"/>
          <w:rtl/>
        </w:rPr>
        <w:t>،</w:t>
      </w:r>
      <w:r w:rsidR="00777DCB" w:rsidRPr="00A52585">
        <w:rPr>
          <w:rFonts w:hint="cs"/>
          <w:sz w:val="24"/>
          <w:szCs w:val="24"/>
          <w:rtl/>
        </w:rPr>
        <w:t xml:space="preserve"> بينوا عن الخلق لستــم منهم أبداً</w:t>
      </w:r>
      <w:r w:rsidR="00897A24" w:rsidRPr="00A52585">
        <w:rPr>
          <w:rFonts w:hint="cs"/>
          <w:sz w:val="24"/>
          <w:szCs w:val="24"/>
          <w:rtl/>
        </w:rPr>
        <w:t>.</w:t>
      </w:r>
      <w:r w:rsidR="00777DCB" w:rsidRPr="00A52585">
        <w:rPr>
          <w:rFonts w:hint="cs"/>
          <w:sz w:val="24"/>
          <w:szCs w:val="24"/>
          <w:rtl/>
        </w:rPr>
        <w:t>.. ما للأنـام ومعلـوف مــن البقر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قال ابن عقيل الحنبلي</w:t>
      </w:r>
      <w:r w:rsidRPr="00A52585">
        <w:rPr>
          <w:rFonts w:hint="cs"/>
          <w:sz w:val="24"/>
          <w:szCs w:val="24"/>
          <w:rtl/>
        </w:rPr>
        <w:t>:</w:t>
      </w:r>
      <w:r w:rsidR="00777DCB" w:rsidRPr="00A52585">
        <w:rPr>
          <w:rFonts w:hint="cs"/>
          <w:sz w:val="24"/>
          <w:szCs w:val="24"/>
          <w:rtl/>
        </w:rPr>
        <w:t xml:space="preserve"> "هلك الإسلام بين طائفتين</w:t>
      </w:r>
      <w:r w:rsidRPr="00A52585">
        <w:rPr>
          <w:rFonts w:hint="cs"/>
          <w:sz w:val="24"/>
          <w:szCs w:val="24"/>
          <w:rtl/>
        </w:rPr>
        <w:t>:</w:t>
      </w:r>
      <w:r w:rsidR="00777DCB" w:rsidRPr="00A52585">
        <w:rPr>
          <w:rFonts w:hint="cs"/>
          <w:sz w:val="24"/>
          <w:szCs w:val="24"/>
          <w:rtl/>
        </w:rPr>
        <w:t xml:space="preserve"> الباطنية والظاهرية والحق بين المنـزلتين وهو أن نأخذ بالظاهر ما لم يصرفنا عنه دليل ونـرفض كل باطن لا يشهد به دليل من أدلة الشرع "</w:t>
      </w:r>
      <w:r w:rsidR="00DB731D" w:rsidRPr="00A52585">
        <w:rPr>
          <w:rFonts w:hint="cs"/>
          <w:sz w:val="24"/>
          <w:szCs w:val="24"/>
          <w:rtl/>
        </w:rPr>
        <w:t>،</w:t>
      </w:r>
      <w:r w:rsidR="00777DCB" w:rsidRPr="00A52585">
        <w:rPr>
          <w:rFonts w:hint="cs"/>
          <w:sz w:val="24"/>
          <w:szCs w:val="24"/>
          <w:rtl/>
        </w:rPr>
        <w:t xml:space="preserve"> وللغزالي جزء لطيف سماه "قانون التأويل" وهو يقول فيه عند البحث فيما إذا كان بين المعقول والمنقول تصادم في أول النظر وظاهر الفكر</w:t>
      </w:r>
      <w:r w:rsidRPr="00A52585">
        <w:rPr>
          <w:rFonts w:hint="cs"/>
          <w:sz w:val="24"/>
          <w:szCs w:val="24"/>
          <w:rtl/>
        </w:rPr>
        <w:t>:</w:t>
      </w:r>
      <w:r w:rsidR="00777DCB" w:rsidRPr="00A52585">
        <w:rPr>
          <w:rFonts w:hint="cs"/>
          <w:sz w:val="24"/>
          <w:szCs w:val="24"/>
          <w:rtl/>
        </w:rPr>
        <w:t xml:space="preserve"> "والخائضون فيه تحزبوا إلى مفرط بتجريد النظر إلى المنقول وإلى مفرط بتجريد النظر إلى المعقول وإلى متوسط طمع في الجمع والتلفيق. والمتوسطون انقسموا إلى من جعل المعقول أصلا والمنقول تابعاً وإلى من جعل المنقول أصلا والمعقول تابعاً وإلى من جعل كل واحد أصلا "</w:t>
      </w:r>
      <w:r w:rsidR="00DB731D" w:rsidRPr="00A52585">
        <w:rPr>
          <w:rFonts w:hint="cs"/>
          <w:sz w:val="24"/>
          <w:szCs w:val="24"/>
          <w:rtl/>
        </w:rPr>
        <w:t>،</w:t>
      </w:r>
      <w:r w:rsidR="00777DCB" w:rsidRPr="00A52585">
        <w:rPr>
          <w:rFonts w:hint="cs"/>
          <w:sz w:val="24"/>
          <w:szCs w:val="24"/>
          <w:rtl/>
        </w:rPr>
        <w:t xml:space="preserve"> ثم شرح هؤلاء الأصناف الخمسة شرحاً جيداً لا يستغني عنه باحث، حفظنا الله سبحانه من الإفراط والتفريط وسلك بنا سواء السبيل</w:t>
      </w:r>
      <w:r w:rsidR="00DB731D" w:rsidRPr="00A52585">
        <w:rPr>
          <w:rFonts w:hint="cs"/>
          <w:sz w:val="24"/>
          <w:szCs w:val="24"/>
          <w:rtl/>
        </w:rPr>
        <w:t>،</w:t>
      </w:r>
      <w:r w:rsidR="00777DCB" w:rsidRPr="00A52585">
        <w:rPr>
          <w:rFonts w:hint="cs"/>
          <w:sz w:val="24"/>
          <w:szCs w:val="24"/>
          <w:rtl/>
        </w:rPr>
        <w:t xml:space="preserve"> وفي الاطلاع على جزء الغزالي هذا فوائد في هذا الصدد</w:t>
      </w:r>
      <w:r w:rsidR="00DB731D" w:rsidRPr="00A52585">
        <w:rPr>
          <w:rFonts w:hint="cs"/>
          <w:sz w:val="24"/>
          <w:szCs w:val="24"/>
          <w:rtl/>
        </w:rPr>
        <w:t>،</w:t>
      </w:r>
      <w:r w:rsidR="00777DCB" w:rsidRPr="00A52585">
        <w:rPr>
          <w:rFonts w:hint="cs"/>
          <w:sz w:val="24"/>
          <w:szCs w:val="24"/>
          <w:rtl/>
        </w:rPr>
        <w:t xml:space="preserve"> وأما قول ابن حجر في فتح الباري " إنه لم ينقل عن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ولا عن أحد من الصحابة بطريق صحيح التصريح بوجوب تأويل شيء من ذلك -</w:t>
      </w:r>
      <w:r w:rsidRPr="00A52585">
        <w:rPr>
          <w:rFonts w:hint="cs"/>
          <w:sz w:val="24"/>
          <w:szCs w:val="24"/>
          <w:rtl/>
        </w:rPr>
        <w:t xml:space="preserve"> </w:t>
      </w:r>
      <w:r w:rsidR="00777DCB" w:rsidRPr="00A52585">
        <w:rPr>
          <w:rFonts w:hint="cs"/>
          <w:sz w:val="24"/>
          <w:szCs w:val="24"/>
          <w:rtl/>
        </w:rPr>
        <w:t>يعني المتشابهات -</w:t>
      </w:r>
      <w:r w:rsidRPr="00A52585">
        <w:rPr>
          <w:rFonts w:hint="cs"/>
          <w:sz w:val="24"/>
          <w:szCs w:val="24"/>
          <w:rtl/>
        </w:rPr>
        <w:t xml:space="preserve"> </w:t>
      </w:r>
      <w:r w:rsidR="00777DCB" w:rsidRPr="00A52585">
        <w:rPr>
          <w:rFonts w:hint="cs"/>
          <w:sz w:val="24"/>
          <w:szCs w:val="24"/>
          <w:rtl/>
        </w:rPr>
        <w:t xml:space="preserve">ولا المنع من ذكره ومن المحال أن يأمر الله نبيه صلى الله عليه وسلم بتبليغ ما أنـزل إليه ربه وينـزل عليه </w:t>
      </w:r>
      <w:r w:rsidRPr="00A52585">
        <w:rPr>
          <w:rFonts w:hint="cs"/>
          <w:sz w:val="24"/>
          <w:szCs w:val="24"/>
          <w:rtl/>
        </w:rPr>
        <w:t>{</w:t>
      </w:r>
      <w:r w:rsidR="00777DCB" w:rsidRPr="00A52585">
        <w:rPr>
          <w:rFonts w:hint="cs"/>
          <w:bCs/>
          <w:sz w:val="24"/>
          <w:szCs w:val="24"/>
          <w:rtl/>
        </w:rPr>
        <w:t>اليوم أكملت لكم دينكم</w:t>
      </w:r>
      <w:r w:rsidRPr="00A52585">
        <w:rPr>
          <w:rFonts w:hint="cs"/>
          <w:sz w:val="24"/>
          <w:szCs w:val="24"/>
          <w:rtl/>
        </w:rPr>
        <w:t>}</w:t>
      </w:r>
      <w:r w:rsidR="00777DCB" w:rsidRPr="00A52585">
        <w:rPr>
          <w:rFonts w:hint="cs"/>
          <w:sz w:val="24"/>
          <w:szCs w:val="24"/>
          <w:rtl/>
        </w:rPr>
        <w:t xml:space="preserve"> [المائدة</w:t>
      </w:r>
      <w:r w:rsidRPr="00A52585">
        <w:rPr>
          <w:rFonts w:hint="cs"/>
          <w:sz w:val="24"/>
          <w:szCs w:val="24"/>
          <w:rtl/>
        </w:rPr>
        <w:t>:</w:t>
      </w:r>
      <w:r w:rsidR="00777DCB" w:rsidRPr="00A52585">
        <w:rPr>
          <w:rFonts w:hint="cs"/>
          <w:sz w:val="24"/>
          <w:szCs w:val="24"/>
          <w:rtl/>
        </w:rPr>
        <w:t xml:space="preserve">3] ثم يترك هذا الباب فلا يميز ما يجوز نسبته إليه تعالى وما لا يجوز مع حثه على التبليغ عنه بقوله صلى الله عليه وسلم (ليبلغ الشاهد الغائب) حتى نقلوا أقواله وأفعاله وأحواله وما فعل بحضرته فدل على أنهم اتفقوا على الإيمان بها </w:t>
      </w:r>
      <w:r w:rsidR="00777DCB" w:rsidRPr="00A52585">
        <w:rPr>
          <w:rFonts w:hint="cs"/>
          <w:sz w:val="24"/>
          <w:szCs w:val="24"/>
          <w:rtl/>
        </w:rPr>
        <w:lastRenderedPageBreak/>
        <w:t>على الوجه الذي أراده الله تعالى منها ووجب تنـزيهه عن مشابهة المخلوقات بقوله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 xml:space="preserve">} </w:t>
      </w:r>
      <w:r w:rsidR="00777DCB" w:rsidRPr="00A52585">
        <w:rPr>
          <w:rFonts w:hint="cs"/>
          <w:sz w:val="24"/>
          <w:szCs w:val="24"/>
          <w:rtl/>
        </w:rPr>
        <w:t>[الشورى</w:t>
      </w:r>
      <w:r w:rsidRPr="00A52585">
        <w:rPr>
          <w:rFonts w:hint="cs"/>
          <w:sz w:val="24"/>
          <w:szCs w:val="24"/>
          <w:rtl/>
        </w:rPr>
        <w:t>:</w:t>
      </w:r>
      <w:r w:rsidR="00777DCB" w:rsidRPr="00A52585">
        <w:rPr>
          <w:rFonts w:hint="cs"/>
          <w:sz w:val="24"/>
          <w:szCs w:val="24"/>
          <w:rtl/>
        </w:rPr>
        <w:t>11] فمن أوجب خلاف ذلك بعدهم فقد خالف سبيلهم وبالله التوفيق اهـ "</w:t>
      </w:r>
      <w:r w:rsidR="00DB731D" w:rsidRPr="00A52585">
        <w:rPr>
          <w:rFonts w:hint="cs"/>
          <w:sz w:val="24"/>
          <w:szCs w:val="24"/>
          <w:rtl/>
        </w:rPr>
        <w:t>،</w:t>
      </w:r>
      <w:r w:rsidR="00777DCB" w:rsidRPr="00A52585">
        <w:rPr>
          <w:rFonts w:hint="cs"/>
          <w:sz w:val="24"/>
          <w:szCs w:val="24"/>
          <w:rtl/>
        </w:rPr>
        <w:t xml:space="preserve"> فليس مما يستطيع </w:t>
      </w:r>
      <w:proofErr w:type="spellStart"/>
      <w:r w:rsidR="00777DCB" w:rsidRPr="00A52585">
        <w:rPr>
          <w:rFonts w:hint="cs"/>
          <w:sz w:val="24"/>
          <w:szCs w:val="24"/>
          <w:rtl/>
        </w:rPr>
        <w:t>الحشوى</w:t>
      </w:r>
      <w:proofErr w:type="spellEnd"/>
      <w:r w:rsidR="00777DCB" w:rsidRPr="00A52585">
        <w:rPr>
          <w:rFonts w:hint="cs"/>
          <w:sz w:val="24"/>
          <w:szCs w:val="24"/>
          <w:rtl/>
        </w:rPr>
        <w:t xml:space="preserve"> أن يتخذه سنداً في ترويج مزاعم المشبهة -</w:t>
      </w:r>
      <w:r w:rsidRPr="00A52585">
        <w:rPr>
          <w:rFonts w:hint="cs"/>
          <w:sz w:val="24"/>
          <w:szCs w:val="24"/>
          <w:rtl/>
        </w:rPr>
        <w:t xml:space="preserve"> </w:t>
      </w:r>
      <w:r w:rsidR="00777DCB" w:rsidRPr="00A52585">
        <w:rPr>
          <w:rFonts w:hint="cs"/>
          <w:sz w:val="24"/>
          <w:szCs w:val="24"/>
          <w:rtl/>
        </w:rPr>
        <w:t>رغم محاولة بعضهم ذلك -</w:t>
      </w:r>
      <w:r w:rsidRPr="00A52585">
        <w:rPr>
          <w:rFonts w:hint="cs"/>
          <w:sz w:val="24"/>
          <w:szCs w:val="24"/>
          <w:rtl/>
        </w:rPr>
        <w:t xml:space="preserve"> </w:t>
      </w:r>
      <w:r w:rsidR="00777DCB" w:rsidRPr="00A52585">
        <w:rPr>
          <w:rFonts w:hint="cs"/>
          <w:sz w:val="24"/>
          <w:szCs w:val="24"/>
          <w:rtl/>
        </w:rPr>
        <w:t>لأنَّ في سياق كلامه ما يحتم التفويض مع التنـزيه وهو مذهب جمهور السلف، وليس أحد من أهل العلم يمنع من إجراء المتشابه في الكتاب والسنة المشهورة على اللسان بدون خوض في المعنى. فمن خاض وحمل على ما ينافي التنـزيه فهو الذي خالف سبيلهم، بل الصحابة كلهم أجمعوا على تنـزيه الله سبحانه عن مشابهة المخلوقات في ذاته وصفاته وأفعاله ومن ضرورة ذلك صرف الألفاظ المستعملة في الخلق عن معانيها المتعرفة بينهم إلى معان تتسامى عنها عند نسبة تلك الألفاظ إلى الله سبحانه على مقتضى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ليس كمثله شيء</w:t>
      </w:r>
      <w:r w:rsidRPr="00A52585">
        <w:rPr>
          <w:rFonts w:hint="cs"/>
          <w:sz w:val="24"/>
          <w:szCs w:val="24"/>
          <w:rtl/>
        </w:rPr>
        <w:t>}</w:t>
      </w:r>
      <w:r w:rsidR="00777DCB" w:rsidRPr="00A52585">
        <w:rPr>
          <w:rFonts w:hint="cs"/>
          <w:sz w:val="24"/>
          <w:szCs w:val="24"/>
          <w:rtl/>
        </w:rPr>
        <w:t xml:space="preserve"> وهو تأويل إجمالي</w:t>
      </w:r>
      <w:r w:rsidR="00DB731D" w:rsidRPr="00A52585">
        <w:rPr>
          <w:rFonts w:hint="cs"/>
          <w:sz w:val="24"/>
          <w:szCs w:val="24"/>
          <w:rtl/>
        </w:rPr>
        <w:t>،</w:t>
      </w:r>
      <w:r w:rsidR="00777DCB" w:rsidRPr="00A52585">
        <w:rPr>
          <w:rFonts w:hint="cs"/>
          <w:sz w:val="24"/>
          <w:szCs w:val="24"/>
          <w:rtl/>
        </w:rPr>
        <w:t xml:space="preserve"> وأما تعيين تلك المعاني المتسامية تفصيلاً بقرائن قائمة فمما يختلف مبلغ انتباه أهل العلم إليه على اختلاف ما آتاهم الله من الفهم، فمن بان له وجه الكلام كوضح الصبح يسلك طريق التبيين بل يدخل هذا المتشابه في حقه في عداد المحكم -</w:t>
      </w:r>
      <w:r w:rsidRPr="00A52585">
        <w:rPr>
          <w:rFonts w:hint="cs"/>
          <w:sz w:val="24"/>
          <w:szCs w:val="24"/>
          <w:rtl/>
        </w:rPr>
        <w:t xml:space="preserve"> </w:t>
      </w:r>
      <w:r w:rsidR="00777DCB" w:rsidRPr="00A52585">
        <w:rPr>
          <w:rFonts w:hint="cs"/>
          <w:sz w:val="24"/>
          <w:szCs w:val="24"/>
          <w:rtl/>
        </w:rPr>
        <w:t>وذلك كالنظري بالنسبة إلى الحدسي وكم من نظري مستصعب عند أناس يكون حدسياً مكشوفاً عند أناس آخرين -</w:t>
      </w:r>
      <w:r w:rsidR="00DB731D" w:rsidRPr="00A52585">
        <w:rPr>
          <w:rFonts w:hint="cs"/>
          <w:sz w:val="24"/>
          <w:szCs w:val="24"/>
          <w:rtl/>
        </w:rPr>
        <w:t>،</w:t>
      </w:r>
      <w:r w:rsidR="00777DCB" w:rsidRPr="00A52585">
        <w:rPr>
          <w:rFonts w:hint="cs"/>
          <w:sz w:val="24"/>
          <w:szCs w:val="24"/>
          <w:rtl/>
        </w:rPr>
        <w:t xml:space="preserve"> فأحاديث النـزول مثلاً إبعادها عن معان توجب التشبيه والنقلة موضع اتفاق بين أهل الحق سلفاً وخلفاً، وحملها على المجاز في الطرف أو على الإسناد المجازي استعمال عربي صحيح وموافق للتنـزيه</w:t>
      </w:r>
      <w:r w:rsidR="00DB731D" w:rsidRPr="00A52585">
        <w:rPr>
          <w:rFonts w:hint="cs"/>
          <w:sz w:val="24"/>
          <w:szCs w:val="24"/>
          <w:rtl/>
        </w:rPr>
        <w:t>،</w:t>
      </w:r>
      <w:r w:rsidR="00777DCB" w:rsidRPr="00A52585">
        <w:rPr>
          <w:rFonts w:hint="cs"/>
          <w:sz w:val="24"/>
          <w:szCs w:val="24"/>
          <w:rtl/>
        </w:rPr>
        <w:t xml:space="preserve"> وقد يترجح عند بعضهم الأول وعند بعضهم الثاني، ولكن الذي صح عنده رواية الإنـزال أو اطلع على صحة حديث أبي هريرة في سنن النسائي (إن الله عز وجل يمهل حتى يمضى شطر الليل ثم يأمر مناديا يقول هل من داع فيستجاب له) يجزم بإرادة الإسناد المجازي في باقي الروايات فيخرج حديث النـزول في نظره من عداد المتشابه ويدخل في عداد المحكم حيث رده إليه</w:t>
      </w:r>
      <w:r w:rsidR="00DB731D" w:rsidRPr="00A52585">
        <w:rPr>
          <w:rFonts w:hint="cs"/>
          <w:sz w:val="24"/>
          <w:szCs w:val="24"/>
          <w:rtl/>
        </w:rPr>
        <w:t>،</w:t>
      </w:r>
      <w:r w:rsidR="00777DCB" w:rsidRPr="00A52585">
        <w:rPr>
          <w:rFonts w:hint="cs"/>
          <w:sz w:val="24"/>
          <w:szCs w:val="24"/>
          <w:rtl/>
        </w:rPr>
        <w:t xml:space="preserve"> قال الإمام المجتهد ابن دقيق العيد</w:t>
      </w:r>
      <w:r w:rsidRPr="00A52585">
        <w:rPr>
          <w:rFonts w:hint="cs"/>
          <w:sz w:val="24"/>
          <w:szCs w:val="24"/>
          <w:rtl/>
        </w:rPr>
        <w:t>:</w:t>
      </w:r>
      <w:r w:rsidR="00777DCB" w:rsidRPr="00A52585">
        <w:rPr>
          <w:rFonts w:hint="cs"/>
          <w:sz w:val="24"/>
          <w:szCs w:val="24"/>
          <w:rtl/>
        </w:rPr>
        <w:t xml:space="preserve"> " إن كان التأويل من المجاز البين الشايع فالحق سلوكه من غير توقف، أو من المجاز البعيد الشاذ فالحق تركه، وإن استوى الأمران فالاختلاف في جوازه وعدم جوازه مسألة فقهية اجتهادية والأمر فيها ليس بالخطر بالنسبة للفريقين اهـ "</w:t>
      </w:r>
      <w:r w:rsidR="00DB731D" w:rsidRPr="00A52585">
        <w:rPr>
          <w:rFonts w:hint="cs"/>
          <w:sz w:val="24"/>
          <w:szCs w:val="24"/>
          <w:rtl/>
        </w:rPr>
        <w:t>،</w:t>
      </w:r>
      <w:r w:rsidR="00777DCB" w:rsidRPr="00A52585">
        <w:rPr>
          <w:rFonts w:hint="cs"/>
          <w:sz w:val="24"/>
          <w:szCs w:val="24"/>
          <w:rtl/>
        </w:rPr>
        <w:t xml:space="preserve"> وهذا كلام نفيس جداً ينبئ عن علم جم، وصراحة في بيان الحق، وتوسط حكيم بخلاف كلام الذين يسعون في إرضاء الطوائف بكلام معقد متشابه يفتح باب التقول لمن بعدهم من الزائغين في المتشابهات، وأين هؤلاء من ابن دقيق العيد في التروي والأمانة والصراحة والتحقيق والجمع بين الأصلين والفقه والحديث</w:t>
      </w:r>
      <w:r w:rsidR="00F95886" w:rsidRPr="00A52585">
        <w:rPr>
          <w:rFonts w:hint="cs"/>
          <w:sz w:val="24"/>
          <w:szCs w:val="24"/>
          <w:rtl/>
        </w:rPr>
        <w:t>؟</w:t>
      </w:r>
      <w:r w:rsidR="00777DCB" w:rsidRPr="00A52585">
        <w:rPr>
          <w:rFonts w:hint="cs"/>
          <w:sz w:val="24"/>
          <w:szCs w:val="24"/>
          <w:rtl/>
        </w:rPr>
        <w:t xml:space="preserve"> وعن ابن دقيق العيد هذا يقول ابن المعلم</w:t>
      </w:r>
      <w:r w:rsidRPr="00A52585">
        <w:rPr>
          <w:rFonts w:hint="cs"/>
          <w:sz w:val="24"/>
          <w:szCs w:val="24"/>
          <w:rtl/>
        </w:rPr>
        <w:t>:</w:t>
      </w:r>
      <w:r w:rsidR="00777DCB" w:rsidRPr="00A52585">
        <w:rPr>
          <w:rFonts w:hint="cs"/>
          <w:sz w:val="24"/>
          <w:szCs w:val="24"/>
          <w:rtl/>
        </w:rPr>
        <w:t xml:space="preserve"> (كان مبارزاً لأهل البدع من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والصوتية والقائلين بالجهة… منكراً عليهم بيده ولسانه ولفظه وجنانه يغري ويؤلب عليهم ولا يدع لهم رأساً قائمة إلا اقتطعها ولا شجرة يخشى شرها إلا اقتلعها)</w:t>
      </w:r>
      <w:r w:rsidR="00DB731D" w:rsidRPr="00A52585">
        <w:rPr>
          <w:rFonts w:hint="cs"/>
          <w:sz w:val="24"/>
          <w:szCs w:val="24"/>
          <w:rtl/>
        </w:rPr>
        <w:t>،</w:t>
      </w:r>
      <w:r w:rsidR="00777DCB" w:rsidRPr="00A52585">
        <w:rPr>
          <w:rFonts w:hint="cs"/>
          <w:sz w:val="24"/>
          <w:szCs w:val="24"/>
          <w:rtl/>
        </w:rPr>
        <w:t xml:space="preserve"> فتبين من ذلك أن المسلم في سعة من التفويض والتأويل فالأول في حينه أسلم والثاني بشرطه أحكم. فلا يتصور أن ينقل التصريح بوجوب التأويل التفصيلي عن الصحابة لأنه لو نقل لوجب التأويل التفصيلي على العالم والجاهل على حد سواء وهذا مما يبرأ منه الشرع الحنيف</w:t>
      </w:r>
      <w:r w:rsidR="00DB731D" w:rsidRPr="00A52585">
        <w:rPr>
          <w:rFonts w:hint="cs"/>
          <w:sz w:val="24"/>
          <w:szCs w:val="24"/>
          <w:rtl/>
        </w:rPr>
        <w:t>،</w:t>
      </w:r>
      <w:r w:rsidR="00777DCB" w:rsidRPr="00A52585">
        <w:rPr>
          <w:rFonts w:hint="cs"/>
          <w:sz w:val="24"/>
          <w:szCs w:val="24"/>
          <w:rtl/>
        </w:rPr>
        <w:t xml:space="preserve"> وقد كانت الصحابة رضي الله عنهم لا يخوضون في المعضلات حرصاً منهم على معتقد الذين قرب عهدهم بالجاهلية وتدريباً لهم على الأعمال النافعة دون المماحكات الفارغة، لأن الخوض فيها يضر ولا ينفع في شخص وفي وقت دون وقت -</w:t>
      </w:r>
      <w:r w:rsidRPr="00A52585">
        <w:rPr>
          <w:rFonts w:hint="cs"/>
          <w:sz w:val="24"/>
          <w:szCs w:val="24"/>
          <w:rtl/>
        </w:rPr>
        <w:t xml:space="preserve"> </w:t>
      </w:r>
      <w:r w:rsidR="00777DCB" w:rsidRPr="00A52585">
        <w:rPr>
          <w:rFonts w:hint="cs"/>
          <w:sz w:val="24"/>
          <w:szCs w:val="24"/>
          <w:rtl/>
        </w:rPr>
        <w:t xml:space="preserve">وعمل </w:t>
      </w:r>
      <w:proofErr w:type="spellStart"/>
      <w:r w:rsidR="00777DCB" w:rsidRPr="00A52585">
        <w:rPr>
          <w:rFonts w:hint="cs"/>
          <w:sz w:val="24"/>
          <w:szCs w:val="24"/>
          <w:rtl/>
        </w:rPr>
        <w:t>الفاروقرضي</w:t>
      </w:r>
      <w:proofErr w:type="spellEnd"/>
      <w:r w:rsidR="00777DCB" w:rsidRPr="00A52585">
        <w:rPr>
          <w:rFonts w:hint="cs"/>
          <w:sz w:val="24"/>
          <w:szCs w:val="24"/>
          <w:rtl/>
        </w:rPr>
        <w:t xml:space="preserve"> الله عنه في </w:t>
      </w:r>
      <w:proofErr w:type="spellStart"/>
      <w:r w:rsidR="00777DCB" w:rsidRPr="00A52585">
        <w:rPr>
          <w:rFonts w:hint="cs"/>
          <w:sz w:val="24"/>
          <w:szCs w:val="24"/>
          <w:rtl/>
        </w:rPr>
        <w:t>صبيغ</w:t>
      </w:r>
      <w:proofErr w:type="spellEnd"/>
      <w:r w:rsidR="00777DCB" w:rsidRPr="00A52585">
        <w:rPr>
          <w:rFonts w:hint="cs"/>
          <w:sz w:val="24"/>
          <w:szCs w:val="24"/>
          <w:rtl/>
        </w:rPr>
        <w:t xml:space="preserve"> معروف -</w:t>
      </w:r>
      <w:r w:rsidRPr="00A52585">
        <w:rPr>
          <w:rFonts w:hint="cs"/>
          <w:sz w:val="24"/>
          <w:szCs w:val="24"/>
          <w:rtl/>
        </w:rPr>
        <w:t xml:space="preserve"> </w:t>
      </w:r>
      <w:r w:rsidR="00777DCB" w:rsidRPr="00A52585">
        <w:rPr>
          <w:rFonts w:hint="cs"/>
          <w:sz w:val="24"/>
          <w:szCs w:val="24"/>
          <w:rtl/>
        </w:rPr>
        <w:t>ولم يتقاعس الصحابة عن الإجابة عند حدوث ضرورة كما فعل ابن عباس رضي الله عنهما مع نافع بن الأزرق فلا يكون المؤوِل بشرطه مخالفاً للصحابة رضي الله عنهم بل مقتديا بهم</w:t>
      </w:r>
      <w:r w:rsidR="00DB731D" w:rsidRPr="00A52585">
        <w:rPr>
          <w:rFonts w:hint="cs"/>
          <w:sz w:val="24"/>
          <w:szCs w:val="24"/>
          <w:rtl/>
        </w:rPr>
        <w:t>،</w:t>
      </w:r>
      <w:r w:rsidR="00777DCB" w:rsidRPr="00A52585">
        <w:rPr>
          <w:rFonts w:hint="cs"/>
          <w:sz w:val="24"/>
          <w:szCs w:val="24"/>
          <w:rtl/>
        </w:rPr>
        <w:t xml:space="preserve"> وقد سرد المحدث النظار الفخر بن المعلم القرشي الشافعي في (نجم المهتدي) في باب خاص منه نماذج كثيرة من التأويلات المروية </w:t>
      </w:r>
      <w:r w:rsidR="00777DCB" w:rsidRPr="00A52585">
        <w:rPr>
          <w:rFonts w:hint="cs"/>
          <w:sz w:val="24"/>
          <w:szCs w:val="24"/>
          <w:rtl/>
        </w:rPr>
        <w:lastRenderedPageBreak/>
        <w:t xml:space="preserve">عن الصحابة والتابعين وقد اكتظت كتب التفسير بالرواية بما روي عنهم في هذا الصدد، وكانت الصحابة يفهمون بسليقتهم كلام الله وكلام </w:t>
      </w:r>
      <w:proofErr w:type="spellStart"/>
      <w:r w:rsidR="00777DCB" w:rsidRPr="00A52585">
        <w:rPr>
          <w:rFonts w:hint="cs"/>
          <w:sz w:val="24"/>
          <w:szCs w:val="24"/>
          <w:rtl/>
        </w:rPr>
        <w:t>رسولهصلى</w:t>
      </w:r>
      <w:proofErr w:type="spellEnd"/>
      <w:r w:rsidR="00777DCB" w:rsidRPr="00A52585">
        <w:rPr>
          <w:rFonts w:hint="cs"/>
          <w:sz w:val="24"/>
          <w:szCs w:val="24"/>
          <w:rtl/>
        </w:rPr>
        <w:t xml:space="preserve"> الله عليه وسلم ولم يكن يصعب عليهم فهم ما يستعصي فهمه على كثير ممن تأخر زمنه عن زمن الوحي، ولم يقع في كلام أحد منهم شيء ينافي</w:t>
      </w:r>
      <w:r w:rsidRPr="00A52585">
        <w:rPr>
          <w:rFonts w:hint="cs"/>
          <w:sz w:val="24"/>
          <w:szCs w:val="24"/>
          <w:rtl/>
        </w:rPr>
        <w:t xml:space="preserve"> </w:t>
      </w:r>
      <w:r w:rsidR="00777DCB" w:rsidRPr="00A52585">
        <w:rPr>
          <w:rFonts w:hint="cs"/>
          <w:sz w:val="24"/>
          <w:szCs w:val="24"/>
          <w:rtl/>
        </w:rPr>
        <w:t>التنـزيه أصلاً</w:t>
      </w:r>
      <w:r w:rsidR="00DB731D" w:rsidRPr="00A52585">
        <w:rPr>
          <w:rFonts w:hint="cs"/>
          <w:sz w:val="24"/>
          <w:szCs w:val="24"/>
          <w:rtl/>
        </w:rPr>
        <w:t>،</w:t>
      </w:r>
      <w:r w:rsidR="00777DCB" w:rsidRPr="00A52585">
        <w:rPr>
          <w:rFonts w:hint="cs"/>
          <w:sz w:val="24"/>
          <w:szCs w:val="24"/>
          <w:rtl/>
        </w:rPr>
        <w:t xml:space="preserve"> وأما ما وقع في بعض الروايات مما يوهم ذلك فمن تغيير أعراب الرواة وأعاجمهم؛ والرواية بالمعنى من غير فقهاء الرواة في حاجة إلى التنقيب والنظر وحيث كان غالب ألفاظ الروايات ألفاظ الرواة -</w:t>
      </w:r>
      <w:r w:rsidRPr="00A52585">
        <w:rPr>
          <w:rFonts w:hint="cs"/>
          <w:sz w:val="24"/>
          <w:szCs w:val="24"/>
          <w:rtl/>
        </w:rPr>
        <w:t xml:space="preserve"> </w:t>
      </w:r>
      <w:r w:rsidR="00777DCB" w:rsidRPr="00A52585">
        <w:rPr>
          <w:rFonts w:hint="cs"/>
          <w:sz w:val="24"/>
          <w:szCs w:val="24"/>
          <w:rtl/>
        </w:rPr>
        <w:t>على حسب فهمهم المعاني -</w:t>
      </w:r>
      <w:r w:rsidRPr="00A52585">
        <w:rPr>
          <w:rFonts w:hint="cs"/>
          <w:sz w:val="24"/>
          <w:szCs w:val="24"/>
          <w:rtl/>
        </w:rPr>
        <w:t xml:space="preserve"> </w:t>
      </w:r>
      <w:r w:rsidR="00777DCB" w:rsidRPr="00A52585">
        <w:rPr>
          <w:rFonts w:hint="cs"/>
          <w:sz w:val="24"/>
          <w:szCs w:val="24"/>
          <w:rtl/>
        </w:rPr>
        <w:t>لا يعول محققو علماء العربية في اللغة على ألفاظ الحديث المروي بالمعنى فكيف يتصور أن يتخذ علماء أصول الدين ألفاظ هؤلاء الرواة -</w:t>
      </w:r>
      <w:r w:rsidRPr="00A52585">
        <w:rPr>
          <w:rFonts w:hint="cs"/>
          <w:sz w:val="24"/>
          <w:szCs w:val="24"/>
          <w:rtl/>
        </w:rPr>
        <w:t xml:space="preserve"> </w:t>
      </w:r>
      <w:r w:rsidR="00777DCB" w:rsidRPr="00A52585">
        <w:rPr>
          <w:rFonts w:hint="cs"/>
          <w:sz w:val="24"/>
          <w:szCs w:val="24"/>
          <w:rtl/>
        </w:rPr>
        <w:t>على حسب أفهامهم -</w:t>
      </w:r>
      <w:r w:rsidRPr="00A52585">
        <w:rPr>
          <w:rFonts w:hint="cs"/>
          <w:sz w:val="24"/>
          <w:szCs w:val="24"/>
          <w:rtl/>
        </w:rPr>
        <w:t xml:space="preserve"> </w:t>
      </w:r>
      <w:r w:rsidR="00777DCB" w:rsidRPr="00A52585">
        <w:rPr>
          <w:rFonts w:hint="cs"/>
          <w:sz w:val="24"/>
          <w:szCs w:val="24"/>
          <w:rtl/>
        </w:rPr>
        <w:t>حجة في دين الله من غير نظر فيما إذا كان مخالفاً للتنـزيه والبراهين القائمة</w:t>
      </w:r>
      <w:r w:rsidR="00F95886" w:rsidRPr="00A52585">
        <w:rPr>
          <w:rFonts w:hint="cs"/>
          <w:sz w:val="24"/>
          <w:szCs w:val="24"/>
          <w:rtl/>
        </w:rPr>
        <w:t>؟</w:t>
      </w:r>
      <w:r w:rsidR="00777DCB" w:rsidRPr="00A52585">
        <w:rPr>
          <w:rFonts w:hint="cs"/>
          <w:sz w:val="24"/>
          <w:szCs w:val="24"/>
          <w:rtl/>
        </w:rPr>
        <w:t xml:space="preserve"> والحاصل أن التفويض مع التنـزيه مذهب جمهور السلف لانتفاء الضرورة في عهدهم والتأويل مع التنـزيه مذهب جمهور الخلف حيث عن لهم ضرورة التأويل لكثرة الساعين في الإضلال في زمنهم، وليس بين الفريقين خلاف حقيقي لأن كليهما منـزه. ومن أهل العلم من توسط بين هؤلاء وهؤلاء كما أشرت إليه</w:t>
      </w:r>
      <w:r w:rsidR="00DB731D" w:rsidRPr="00A52585">
        <w:rPr>
          <w:rFonts w:hint="cs"/>
          <w:sz w:val="24"/>
          <w:szCs w:val="24"/>
          <w:rtl/>
        </w:rPr>
        <w:t>،</w:t>
      </w:r>
      <w:r w:rsidR="00777DCB" w:rsidRPr="00A52585">
        <w:rPr>
          <w:rFonts w:hint="cs"/>
          <w:sz w:val="24"/>
          <w:szCs w:val="24"/>
          <w:rtl/>
        </w:rPr>
        <w:t xml:space="preserve"> وأما المشبهة فتراهم يقولون</w:t>
      </w:r>
      <w:r w:rsidRPr="00A52585">
        <w:rPr>
          <w:rFonts w:hint="cs"/>
          <w:sz w:val="24"/>
          <w:szCs w:val="24"/>
          <w:rtl/>
        </w:rPr>
        <w:t>:</w:t>
      </w:r>
      <w:r w:rsidR="00777DCB" w:rsidRPr="00A52585">
        <w:rPr>
          <w:rFonts w:hint="cs"/>
          <w:sz w:val="24"/>
          <w:szCs w:val="24"/>
          <w:rtl/>
        </w:rPr>
        <w:t xml:space="preserve"> نحن لا تؤول بل نحمل آيات الصفات وأخبارها على ظاهرها وهم في قولهم هذا غير منتبهين إلى أن استعمال اللفظ في الله سبحانه بالمعنى المراد عند استعماله في الخلق تشبيه </w:t>
      </w:r>
      <w:proofErr w:type="gramStart"/>
      <w:r w:rsidR="00777DCB" w:rsidRPr="00A52585">
        <w:rPr>
          <w:rFonts w:hint="cs"/>
          <w:sz w:val="24"/>
          <w:szCs w:val="24"/>
          <w:rtl/>
        </w:rPr>
        <w:t>صريح,</w:t>
      </w:r>
      <w:proofErr w:type="gramEnd"/>
      <w:r w:rsidR="00777DCB" w:rsidRPr="00A52585">
        <w:rPr>
          <w:rFonts w:hint="cs"/>
          <w:sz w:val="24"/>
          <w:szCs w:val="24"/>
          <w:rtl/>
        </w:rPr>
        <w:t xml:space="preserve"> وحمله على معنى سواه تأويل. على أن الأخبار المحتج بها في الصفات إنما هي الصحاح المشاهير دون الوحدان والمفاريد والمناكير والمنقطعات والضعاف والموضوعات؛ مع أنهم يسوقون جميعها في مساق واحد في كتب يسمونها التوحيد أو الصفات أو السنة أو العلو أو نحوها</w:t>
      </w:r>
      <w:r w:rsidR="00DB731D" w:rsidRPr="00A52585">
        <w:rPr>
          <w:rFonts w:hint="cs"/>
          <w:sz w:val="24"/>
          <w:szCs w:val="24"/>
          <w:rtl/>
        </w:rPr>
        <w:t>،</w:t>
      </w:r>
      <w:r w:rsidR="00777DCB" w:rsidRPr="00A52585">
        <w:rPr>
          <w:rFonts w:hint="cs"/>
          <w:sz w:val="24"/>
          <w:szCs w:val="24"/>
          <w:rtl/>
        </w:rPr>
        <w:t xml:space="preserve"> ومن الأدلة القاطعة على رد مزاعم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دعوى التمسك بالظاهر في اعتقاد الجلوس على العرش خاصة 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وإذا سألت عبادي عني فإني قريب</w:t>
      </w:r>
      <w:r w:rsidR="00777DCB" w:rsidRPr="00A52585">
        <w:rPr>
          <w:rFonts w:hint="cs"/>
          <w:sz w:val="24"/>
          <w:szCs w:val="24"/>
          <w:rtl/>
        </w:rPr>
        <w:t>} [البقرة</w:t>
      </w:r>
      <w:r w:rsidRPr="00A52585">
        <w:rPr>
          <w:rFonts w:hint="cs"/>
          <w:sz w:val="24"/>
          <w:szCs w:val="24"/>
          <w:rtl/>
        </w:rPr>
        <w:t>:</w:t>
      </w:r>
      <w:r w:rsidR="00777DCB" w:rsidRPr="00A52585">
        <w:rPr>
          <w:rFonts w:hint="cs"/>
          <w:sz w:val="24"/>
          <w:szCs w:val="24"/>
          <w:rtl/>
        </w:rPr>
        <w:t>186] وقوله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ونحن أقرب إليه من حبل الوريد</w:t>
      </w:r>
      <w:r w:rsidR="00777DCB" w:rsidRPr="00A52585">
        <w:rPr>
          <w:rFonts w:hint="cs"/>
          <w:sz w:val="24"/>
          <w:szCs w:val="24"/>
          <w:rtl/>
        </w:rPr>
        <w:t>} [ق</w:t>
      </w:r>
      <w:r w:rsidRPr="00A52585">
        <w:rPr>
          <w:rFonts w:hint="cs"/>
          <w:sz w:val="24"/>
          <w:szCs w:val="24"/>
          <w:rtl/>
        </w:rPr>
        <w:t>:</w:t>
      </w:r>
      <w:r w:rsidR="00777DCB" w:rsidRPr="00A52585">
        <w:rPr>
          <w:rFonts w:hint="cs"/>
          <w:sz w:val="24"/>
          <w:szCs w:val="24"/>
          <w:rtl/>
        </w:rPr>
        <w:t>16] وقوله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واسجد واقترب</w:t>
      </w:r>
      <w:r w:rsidR="00777DCB" w:rsidRPr="00A52585">
        <w:rPr>
          <w:rFonts w:hint="cs"/>
          <w:sz w:val="24"/>
          <w:szCs w:val="24"/>
          <w:rtl/>
        </w:rPr>
        <w:t>} [العلق</w:t>
      </w:r>
      <w:r w:rsidRPr="00A52585">
        <w:rPr>
          <w:rFonts w:hint="cs"/>
          <w:sz w:val="24"/>
          <w:szCs w:val="24"/>
          <w:rtl/>
        </w:rPr>
        <w:t>:</w:t>
      </w:r>
      <w:r w:rsidR="00777DCB" w:rsidRPr="00A52585">
        <w:rPr>
          <w:rFonts w:hint="cs"/>
          <w:sz w:val="24"/>
          <w:szCs w:val="24"/>
          <w:rtl/>
        </w:rPr>
        <w:t>19] وقوله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ألا إنه بكل شيء محيط</w:t>
      </w:r>
      <w:r w:rsidR="00777DCB" w:rsidRPr="00A52585">
        <w:rPr>
          <w:rFonts w:hint="cs"/>
          <w:sz w:val="24"/>
          <w:szCs w:val="24"/>
          <w:rtl/>
        </w:rPr>
        <w:t>} [فصلت</w:t>
      </w:r>
      <w:r w:rsidRPr="00A52585">
        <w:rPr>
          <w:rFonts w:hint="cs"/>
          <w:sz w:val="24"/>
          <w:szCs w:val="24"/>
          <w:rtl/>
        </w:rPr>
        <w:t>:</w:t>
      </w:r>
      <w:r w:rsidR="00777DCB" w:rsidRPr="00A52585">
        <w:rPr>
          <w:rFonts w:hint="cs"/>
          <w:sz w:val="24"/>
          <w:szCs w:val="24"/>
          <w:rtl/>
        </w:rPr>
        <w:t>54] وقوله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وهو معكم أينما كنتم</w:t>
      </w:r>
      <w:r w:rsidR="00777DCB" w:rsidRPr="00A52585">
        <w:rPr>
          <w:rFonts w:hint="cs"/>
          <w:sz w:val="24"/>
          <w:szCs w:val="24"/>
          <w:rtl/>
        </w:rPr>
        <w:t>} [الحديد</w:t>
      </w:r>
      <w:r w:rsidRPr="00A52585">
        <w:rPr>
          <w:rFonts w:hint="cs"/>
          <w:sz w:val="24"/>
          <w:szCs w:val="24"/>
          <w:rtl/>
        </w:rPr>
        <w:t>:</w:t>
      </w:r>
      <w:r w:rsidR="00777DCB" w:rsidRPr="00A52585">
        <w:rPr>
          <w:rFonts w:hint="cs"/>
          <w:sz w:val="24"/>
          <w:szCs w:val="24"/>
          <w:rtl/>
        </w:rPr>
        <w:t>4] إلى غير ذلك مما لا يحصى في الكتاب والسنة والمشهورة مما ينافي الجلوس على العرش</w:t>
      </w:r>
      <w:r w:rsidR="00DB731D" w:rsidRPr="00A52585">
        <w:rPr>
          <w:rFonts w:hint="cs"/>
          <w:sz w:val="24"/>
          <w:szCs w:val="24"/>
          <w:rtl/>
        </w:rPr>
        <w:t>،</w:t>
      </w:r>
      <w:r w:rsidR="00777DCB" w:rsidRPr="00A52585">
        <w:rPr>
          <w:rFonts w:hint="cs"/>
          <w:sz w:val="24"/>
          <w:szCs w:val="24"/>
          <w:rtl/>
        </w:rPr>
        <w:t xml:space="preserve"> وأهل السنة يرونها أدلة على تنـزه الله سبحانه عن المكان كما هو الحق، فلا يبقى </w:t>
      </w:r>
      <w:proofErr w:type="spellStart"/>
      <w:r w:rsidR="00777DCB" w:rsidRPr="00A52585">
        <w:rPr>
          <w:rFonts w:hint="cs"/>
          <w:sz w:val="24"/>
          <w:szCs w:val="24"/>
          <w:rtl/>
        </w:rPr>
        <w:t>للحشوية</w:t>
      </w:r>
      <w:proofErr w:type="spellEnd"/>
      <w:r w:rsidR="00777DCB" w:rsidRPr="00A52585">
        <w:rPr>
          <w:rFonts w:hint="cs"/>
          <w:sz w:val="24"/>
          <w:szCs w:val="24"/>
          <w:rtl/>
        </w:rPr>
        <w:t xml:space="preserve"> أن يعملوا شيئاً إزاء أمثال تلك النصوص غير محاولة تأويلها مجازفة أو العدول عن القول بالاستقرار المكاني فأين التمسك بالظاهر في هاتين الحالتين</w:t>
      </w:r>
      <w:r w:rsidR="00F95886" w:rsidRPr="00A52585">
        <w:rPr>
          <w:rFonts w:hint="cs"/>
          <w:sz w:val="24"/>
          <w:szCs w:val="24"/>
          <w:rtl/>
        </w:rPr>
        <w:t>؟</w:t>
      </w:r>
      <w:r w:rsidR="00777DCB" w:rsidRPr="00A52585">
        <w:rPr>
          <w:rFonts w:hint="cs"/>
          <w:sz w:val="24"/>
          <w:szCs w:val="24"/>
          <w:rtl/>
        </w:rPr>
        <w:t xml:space="preserve"> وهكذا سائر مزاعمهم، على أن من عرف أقسام النظم باعتبار الوضوح والخفاء وأقر بكون آيات الصفات وأخبارها من المتشابه كيف يتصور في هذا المقام ظاهراً يحمل المتشابه عليه</w:t>
      </w:r>
      <w:r w:rsidR="00F95886" w:rsidRPr="00A52585">
        <w:rPr>
          <w:rFonts w:hint="cs"/>
          <w:sz w:val="24"/>
          <w:szCs w:val="24"/>
          <w:rtl/>
        </w:rPr>
        <w:t>؟</w:t>
      </w:r>
      <w:r w:rsidR="00777DCB" w:rsidRPr="00A52585">
        <w:rPr>
          <w:rFonts w:hint="cs"/>
          <w:sz w:val="24"/>
          <w:szCs w:val="24"/>
          <w:rtl/>
        </w:rPr>
        <w:t xml:space="preserve"> وإنما حقه أن يحمل المتشابه في الصفات على محكم قوله تعالى</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ليس كمثله شيء</w:t>
      </w:r>
      <w:r w:rsidRPr="00A52585">
        <w:rPr>
          <w:rFonts w:hint="cs"/>
          <w:sz w:val="24"/>
          <w:szCs w:val="24"/>
          <w:rtl/>
        </w:rPr>
        <w:t>}</w:t>
      </w:r>
      <w:r w:rsidR="00777DCB" w:rsidRPr="00A52585">
        <w:rPr>
          <w:rFonts w:hint="cs"/>
          <w:sz w:val="24"/>
          <w:szCs w:val="24"/>
          <w:rtl/>
        </w:rPr>
        <w:t xml:space="preserve"> [الشورى</w:t>
      </w:r>
      <w:r w:rsidRPr="00A52585">
        <w:rPr>
          <w:rFonts w:hint="cs"/>
          <w:sz w:val="24"/>
          <w:szCs w:val="24"/>
          <w:rtl/>
        </w:rPr>
        <w:t>:</w:t>
      </w:r>
      <w:r w:rsidR="00777DCB" w:rsidRPr="00A52585">
        <w:rPr>
          <w:rFonts w:hint="cs"/>
          <w:sz w:val="24"/>
          <w:szCs w:val="24"/>
          <w:rtl/>
        </w:rPr>
        <w:t>11] بالتأويل الإجمالي</w:t>
      </w:r>
      <w:r w:rsidR="00DB731D" w:rsidRPr="00A52585">
        <w:rPr>
          <w:rFonts w:hint="cs"/>
          <w:sz w:val="24"/>
          <w:szCs w:val="24"/>
          <w:rtl/>
        </w:rPr>
        <w:t>،</w:t>
      </w:r>
      <w:r w:rsidR="00777DCB" w:rsidRPr="00A52585">
        <w:rPr>
          <w:rFonts w:hint="cs"/>
          <w:sz w:val="24"/>
          <w:szCs w:val="24"/>
          <w:rtl/>
        </w:rPr>
        <w:t xml:space="preserve"> ومن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من يزعم أن الآية المذكورة متشابهة ليتنكب الحمل المذكور، بل منهم من بلغ به الكفر إلى حد أن يقول</w:t>
      </w:r>
      <w:r w:rsidRPr="00A52585">
        <w:rPr>
          <w:rFonts w:hint="cs"/>
          <w:sz w:val="24"/>
          <w:szCs w:val="24"/>
          <w:rtl/>
        </w:rPr>
        <w:t>:</w:t>
      </w:r>
      <w:r w:rsidR="00777DCB" w:rsidRPr="00A52585">
        <w:rPr>
          <w:rFonts w:hint="cs"/>
          <w:sz w:val="24"/>
          <w:szCs w:val="24"/>
          <w:rtl/>
        </w:rPr>
        <w:t xml:space="preserve"> (له ساق كساقي هذه والمراد بالآية نفي المماثلة في الإلهية لا في كل أمر) كما تجد ذلك في ترجمة العبدري الظاهري في تاريخ ابن عساكر</w:t>
      </w:r>
      <w:r w:rsidR="00DB731D" w:rsidRPr="00A52585">
        <w:rPr>
          <w:rFonts w:hint="cs"/>
          <w:sz w:val="24"/>
          <w:szCs w:val="24"/>
          <w:rtl/>
        </w:rPr>
        <w:t>،</w:t>
      </w:r>
      <w:r w:rsidR="00777DCB" w:rsidRPr="00A52585">
        <w:rPr>
          <w:rFonts w:hint="cs"/>
          <w:sz w:val="24"/>
          <w:szCs w:val="24"/>
          <w:rtl/>
        </w:rPr>
        <w:t xml:space="preserve"> وهذا كفر بواح</w:t>
      </w:r>
      <w:r w:rsidR="00F95886" w:rsidRPr="00A52585">
        <w:rPr>
          <w:rFonts w:hint="cs"/>
          <w:sz w:val="24"/>
          <w:szCs w:val="24"/>
          <w:rtl/>
        </w:rPr>
        <w:t>!</w:t>
      </w:r>
      <w:r w:rsidR="00777DCB" w:rsidRPr="00A52585">
        <w:rPr>
          <w:rFonts w:hint="cs"/>
          <w:sz w:val="24"/>
          <w:szCs w:val="24"/>
          <w:rtl/>
        </w:rPr>
        <w:t>! فتلاوة المشبه الآية المذكورة لا تفيد بمجردها التنـزيه بالمعنى الذي يفهمه أهل الحق من الآية فلا تغفل ولا تنخدع</w:t>
      </w:r>
      <w:r w:rsidR="00DB731D" w:rsidRPr="00A52585">
        <w:rPr>
          <w:rFonts w:hint="cs"/>
          <w:sz w:val="24"/>
          <w:szCs w:val="24"/>
          <w:rtl/>
        </w:rPr>
        <w:t>،</w:t>
      </w:r>
      <w:r w:rsidR="00777DCB" w:rsidRPr="00A52585">
        <w:rPr>
          <w:rFonts w:hint="cs"/>
          <w:sz w:val="24"/>
          <w:szCs w:val="24"/>
          <w:rtl/>
        </w:rPr>
        <w:t xml:space="preserve"> فمن المضحك المبكي تمسكهم مرة في نفي العلم بالتأويل بقوله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وما يعلم تأويله إلا الله</w:t>
      </w:r>
      <w:r w:rsidRPr="00A52585">
        <w:rPr>
          <w:rFonts w:hint="cs"/>
          <w:bCs/>
          <w:sz w:val="24"/>
          <w:szCs w:val="24"/>
          <w:rtl/>
        </w:rPr>
        <w:t>}</w:t>
      </w:r>
      <w:r w:rsidR="00777DCB" w:rsidRPr="00A52585">
        <w:rPr>
          <w:rFonts w:hint="cs"/>
          <w:sz w:val="24"/>
          <w:szCs w:val="24"/>
          <w:rtl/>
        </w:rPr>
        <w:t xml:space="preserve"> [آل عمران</w:t>
      </w:r>
      <w:r w:rsidRPr="00A52585">
        <w:rPr>
          <w:rFonts w:hint="cs"/>
          <w:sz w:val="24"/>
          <w:szCs w:val="24"/>
          <w:rtl/>
        </w:rPr>
        <w:t>:</w:t>
      </w:r>
      <w:r w:rsidR="00777DCB" w:rsidRPr="00A52585">
        <w:rPr>
          <w:rFonts w:hint="cs"/>
          <w:sz w:val="24"/>
          <w:szCs w:val="24"/>
          <w:rtl/>
        </w:rPr>
        <w:t xml:space="preserve">7] باعتبار الوقف على الاسم الكريم مع دعوى الحمل على الظاهر، وزعمهم أخرى أن التأويل بمعنى التفسير مع الوقف على </w:t>
      </w:r>
      <w:r w:rsidRPr="00A52585">
        <w:rPr>
          <w:rFonts w:hint="cs"/>
          <w:sz w:val="24"/>
          <w:szCs w:val="24"/>
          <w:rtl/>
        </w:rPr>
        <w:t>{</w:t>
      </w:r>
      <w:r w:rsidR="00777DCB" w:rsidRPr="00A52585">
        <w:rPr>
          <w:rFonts w:hint="cs"/>
          <w:bCs/>
          <w:sz w:val="24"/>
          <w:szCs w:val="24"/>
          <w:rtl/>
        </w:rPr>
        <w:t>والراسخون في العلم</w:t>
      </w:r>
      <w:r w:rsidR="00777DCB" w:rsidRPr="00A52585">
        <w:rPr>
          <w:rFonts w:hint="cs"/>
          <w:sz w:val="24"/>
          <w:szCs w:val="24"/>
          <w:rtl/>
        </w:rPr>
        <w:t>} [آل عمران</w:t>
      </w:r>
      <w:r w:rsidRPr="00A52585">
        <w:rPr>
          <w:rFonts w:hint="cs"/>
          <w:sz w:val="24"/>
          <w:szCs w:val="24"/>
          <w:rtl/>
        </w:rPr>
        <w:t>:</w:t>
      </w:r>
      <w:r w:rsidR="00777DCB" w:rsidRPr="00A52585">
        <w:rPr>
          <w:rFonts w:hint="cs"/>
          <w:sz w:val="24"/>
          <w:szCs w:val="24"/>
          <w:rtl/>
        </w:rPr>
        <w:t xml:space="preserve">7] مدعين أنهم يعلمون تأويل المتشابه باعتبار أنهم من الراسخين في العلم </w:t>
      </w:r>
      <w:proofErr w:type="spellStart"/>
      <w:r w:rsidR="00777DCB" w:rsidRPr="00A52585">
        <w:rPr>
          <w:rFonts w:hint="cs"/>
          <w:sz w:val="24"/>
          <w:szCs w:val="24"/>
          <w:rtl/>
        </w:rPr>
        <w:t>ومجترئين</w:t>
      </w:r>
      <w:proofErr w:type="spellEnd"/>
      <w:r w:rsidR="00777DCB" w:rsidRPr="00A52585">
        <w:rPr>
          <w:rFonts w:hint="cs"/>
          <w:sz w:val="24"/>
          <w:szCs w:val="24"/>
          <w:rtl/>
        </w:rPr>
        <w:t xml:space="preserve"> على النطق بكلمات في المتشابهات لا ينطق بمثلها من يخاف مقام ربه</w:t>
      </w:r>
      <w:r w:rsidR="00DB731D" w:rsidRPr="00A52585">
        <w:rPr>
          <w:rFonts w:hint="cs"/>
          <w:sz w:val="24"/>
          <w:szCs w:val="24"/>
          <w:rtl/>
        </w:rPr>
        <w:t>،</w:t>
      </w:r>
      <w:r w:rsidR="00777DCB" w:rsidRPr="00A52585">
        <w:rPr>
          <w:rFonts w:hint="cs"/>
          <w:sz w:val="24"/>
          <w:szCs w:val="24"/>
          <w:rtl/>
        </w:rPr>
        <w:t xml:space="preserve"> وأما أهل الحق فلا يدعون معرفة جميع التأويل بل يفوضون علمه إلى الله ويردون المتشابه إلى المحكم </w:t>
      </w:r>
      <w:r w:rsidR="00777DCB" w:rsidRPr="00A52585">
        <w:rPr>
          <w:rFonts w:hint="cs"/>
          <w:sz w:val="24"/>
          <w:szCs w:val="24"/>
          <w:rtl/>
        </w:rPr>
        <w:lastRenderedPageBreak/>
        <w:t>جملة وتفصيلا ولا يحملون لفظ التأويل في تلك الآية على خلاف معناه المعلوم من السياق، بل يحمل بعض المحققين منهم النفي في الآية -</w:t>
      </w:r>
      <w:r w:rsidRPr="00A52585">
        <w:rPr>
          <w:rFonts w:hint="cs"/>
          <w:sz w:val="24"/>
          <w:szCs w:val="24"/>
          <w:rtl/>
        </w:rPr>
        <w:t xml:space="preserve"> </w:t>
      </w:r>
      <w:r w:rsidR="00777DCB" w:rsidRPr="00A52585">
        <w:rPr>
          <w:rFonts w:hint="cs"/>
          <w:sz w:val="24"/>
          <w:szCs w:val="24"/>
          <w:rtl/>
        </w:rPr>
        <w:t>بالوقف على لفظة {</w:t>
      </w:r>
      <w:r w:rsidR="00777DCB" w:rsidRPr="00A52585">
        <w:rPr>
          <w:rFonts w:hint="cs"/>
          <w:bCs/>
          <w:sz w:val="24"/>
          <w:szCs w:val="24"/>
          <w:rtl/>
        </w:rPr>
        <w:t>الله</w:t>
      </w:r>
      <w:r w:rsidR="00777DCB" w:rsidRPr="00A52585">
        <w:rPr>
          <w:rFonts w:hint="cs"/>
          <w:sz w:val="24"/>
          <w:szCs w:val="24"/>
          <w:rtl/>
        </w:rPr>
        <w:t>} كما هو المؤيد دراية ورواية -</w:t>
      </w:r>
      <w:r w:rsidRPr="00A52585">
        <w:rPr>
          <w:rFonts w:hint="cs"/>
          <w:sz w:val="24"/>
          <w:szCs w:val="24"/>
          <w:rtl/>
        </w:rPr>
        <w:t xml:space="preserve"> </w:t>
      </w:r>
      <w:r w:rsidR="00777DCB" w:rsidRPr="00A52585">
        <w:rPr>
          <w:rFonts w:hint="cs"/>
          <w:sz w:val="24"/>
          <w:szCs w:val="24"/>
          <w:rtl/>
        </w:rPr>
        <w:t>على سلب العموم دون عموم السلب؛ بالنظر إلى أن التأويل مصدر مضاف؛ فيكون من ألفاظ العموم؛ فبانصباب النفي على العموم يكون المعنى</w:t>
      </w:r>
      <w:r w:rsidRPr="00A52585">
        <w:rPr>
          <w:rFonts w:hint="cs"/>
          <w:sz w:val="24"/>
          <w:szCs w:val="24"/>
          <w:rtl/>
        </w:rPr>
        <w:t>:</w:t>
      </w:r>
      <w:r w:rsidR="00777DCB" w:rsidRPr="00A52585">
        <w:rPr>
          <w:rFonts w:hint="cs"/>
          <w:sz w:val="24"/>
          <w:szCs w:val="24"/>
          <w:rtl/>
        </w:rPr>
        <w:t xml:space="preserve"> ما يعلم غيره تعالى بنفسه جميع التأويل وهذا لا يمانع معرفة الرسول صلى الله عليه وسلم جميع التأويل بتعليم الله سبحانه وحياً</w:t>
      </w:r>
      <w:r w:rsidR="00DB731D" w:rsidRPr="00A52585">
        <w:rPr>
          <w:rFonts w:hint="cs"/>
          <w:sz w:val="24"/>
          <w:szCs w:val="24"/>
          <w:rtl/>
        </w:rPr>
        <w:t>،</w:t>
      </w:r>
      <w:r w:rsidR="00777DCB" w:rsidRPr="00A52585">
        <w:rPr>
          <w:rFonts w:hint="cs"/>
          <w:sz w:val="24"/>
          <w:szCs w:val="24"/>
          <w:rtl/>
        </w:rPr>
        <w:t xml:space="preserve"> ولا يمنع أهل العلم من الأمة من السعي في معرفة ما دون الجميع من التأويل كما هو حكم رفع الإيجاب الكلي، ومنهج كثير من السلف الذين اختاروا الوقف على لفظة {</w:t>
      </w:r>
      <w:r w:rsidR="00777DCB" w:rsidRPr="00A52585">
        <w:rPr>
          <w:rFonts w:hint="cs"/>
          <w:bCs/>
          <w:sz w:val="24"/>
          <w:szCs w:val="24"/>
          <w:rtl/>
        </w:rPr>
        <w:t>الله</w:t>
      </w:r>
      <w:r w:rsidR="00777DCB" w:rsidRPr="00A52585">
        <w:rPr>
          <w:rFonts w:hint="cs"/>
          <w:sz w:val="24"/>
          <w:szCs w:val="24"/>
          <w:rtl/>
        </w:rPr>
        <w:t>} فضلاً عن الخلف وبهذا تعرف قيمة ما أطال به ابن تيمية الكلام في تفسير سورة الإخلاص متظاهراً بالمسايرة مع الخلف مخادعة منه في صدد توهين الوقف على لفظة {</w:t>
      </w:r>
      <w:r w:rsidR="00777DCB" w:rsidRPr="00A52585">
        <w:rPr>
          <w:rFonts w:hint="cs"/>
          <w:bCs/>
          <w:sz w:val="24"/>
          <w:szCs w:val="24"/>
          <w:rtl/>
        </w:rPr>
        <w:t>الله</w:t>
      </w:r>
      <w:r w:rsidR="00777DCB" w:rsidRPr="00A52585">
        <w:rPr>
          <w:rFonts w:hint="cs"/>
          <w:sz w:val="24"/>
          <w:szCs w:val="24"/>
          <w:rtl/>
        </w:rPr>
        <w:t xml:space="preserve">} مع إخراج التأويل عن معناه ليتمكن من حمل المتشابهات على معتقد </w:t>
      </w:r>
      <w:proofErr w:type="spellStart"/>
      <w:r w:rsidR="00777DCB" w:rsidRPr="00A52585">
        <w:rPr>
          <w:rFonts w:hint="cs"/>
          <w:sz w:val="24"/>
          <w:szCs w:val="24"/>
          <w:rtl/>
        </w:rPr>
        <w:t>الحشوية</w:t>
      </w:r>
      <w:proofErr w:type="spellEnd"/>
      <w:r w:rsidR="00DB731D" w:rsidRPr="00A52585">
        <w:rPr>
          <w:rFonts w:hint="cs"/>
          <w:sz w:val="24"/>
          <w:szCs w:val="24"/>
          <w:rtl/>
        </w:rPr>
        <w:t>،</w:t>
      </w:r>
      <w:r w:rsidR="00777DCB" w:rsidRPr="00A52585">
        <w:rPr>
          <w:rFonts w:hint="cs"/>
          <w:sz w:val="24"/>
          <w:szCs w:val="24"/>
          <w:rtl/>
        </w:rPr>
        <w:t xml:space="preserve"> فإذا تدبرت كلامه الطويل هناك تحت نور هذا البيان تجده يضمحل ويذهب هباء ومن الطريف تأويل التأويل ممن ينكر التأويل ويدعي الأخذ بالظاهر</w:t>
      </w:r>
      <w:r w:rsidR="00DB731D" w:rsidRPr="00A52585">
        <w:rPr>
          <w:rFonts w:hint="cs"/>
          <w:sz w:val="24"/>
          <w:szCs w:val="24"/>
          <w:rtl/>
        </w:rPr>
        <w:t>،</w:t>
      </w:r>
      <w:r w:rsidR="00777DCB" w:rsidRPr="00A52585">
        <w:rPr>
          <w:rFonts w:hint="cs"/>
          <w:sz w:val="24"/>
          <w:szCs w:val="24"/>
          <w:rtl/>
        </w:rPr>
        <w:t xml:space="preserve"> ثم إني أوصى الشحيح بدينه أن لا يتلفت إلى كلام مثل البرهان الكوراني (وله أمثال) ممن ضاع صوابه بين نـزعات متضاربة من </w:t>
      </w:r>
      <w:proofErr w:type="spellStart"/>
      <w:r w:rsidR="00777DCB" w:rsidRPr="00A52585">
        <w:rPr>
          <w:rFonts w:hint="cs"/>
          <w:sz w:val="24"/>
          <w:szCs w:val="24"/>
          <w:rtl/>
        </w:rPr>
        <w:t>حشوية</w:t>
      </w:r>
      <w:proofErr w:type="spellEnd"/>
      <w:r w:rsidR="00777DCB" w:rsidRPr="00A52585">
        <w:rPr>
          <w:rFonts w:hint="cs"/>
          <w:sz w:val="24"/>
          <w:szCs w:val="24"/>
          <w:rtl/>
        </w:rPr>
        <w:t xml:space="preserve"> وتصوف وفلسفة وكلام حيث أطلق عنان الهذيان في التلفيق بينها من غير أن يستبحر في علم منها؛ والكلام بعد </w:t>
      </w:r>
      <w:proofErr w:type="spellStart"/>
      <w:r w:rsidR="00777DCB" w:rsidRPr="00A52585">
        <w:rPr>
          <w:rFonts w:hint="cs"/>
          <w:sz w:val="24"/>
          <w:szCs w:val="24"/>
          <w:rtl/>
        </w:rPr>
        <w:t>الاستطراف</w:t>
      </w:r>
      <w:proofErr w:type="spellEnd"/>
      <w:r w:rsidR="00777DCB" w:rsidRPr="00A52585">
        <w:rPr>
          <w:rFonts w:hint="cs"/>
          <w:sz w:val="24"/>
          <w:szCs w:val="24"/>
          <w:rtl/>
        </w:rPr>
        <w:t xml:space="preserve"> المجرد موقع في التخريف ومصداق ذلك في (الأمم لإيقاظ الهمم) له في (ص23 - 26) منه؛ فما يرويه فيه عن كتب تنسب إلى الأشعري على خلاف ما هو مدون في كتب أصحابه وأصحاب أصحابه ليس بموضع تعويل لمنافاته لنقل الكافة ولإبادة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لكتبه في فتن بغداد ولتصرفهم في البقية الباقية التي يذيعونها بما يخالف نقل الكافة ولعدم روايتها سمعاً بطريق أهل السنة، كما بينت ذلك في موضع آخر. وأما ما يرويه عن عبد الغني المقدسي بسنده عن الشافعي من الاعتقاد فباطل موضوع وفي سنده العشاري وأبو العز بن كادش وسيأتي حالهما في أواخر الكتاب وعبد الغني نفسه ليس ممن يقبل قوله في الصفات. راجع ذيل الروضتين. فلا يعول على مثل هذا السند إلا مثل الكوراني</w:t>
      </w:r>
      <w:r w:rsidR="00DB731D" w:rsidRPr="00A52585">
        <w:rPr>
          <w:rFonts w:hint="cs"/>
          <w:sz w:val="24"/>
          <w:szCs w:val="24"/>
          <w:rtl/>
        </w:rPr>
        <w:t>،</w:t>
      </w:r>
      <w:r w:rsidR="00777DCB" w:rsidRPr="00A52585">
        <w:rPr>
          <w:rFonts w:hint="cs"/>
          <w:sz w:val="24"/>
          <w:szCs w:val="24"/>
          <w:rtl/>
        </w:rPr>
        <w:t xml:space="preserve"> وقول الكوراني بالتجلي في الصور مجون في مجون وجنون ليس فوقه جنون، وقال أبو بكر ابن العربي في القواصم والعواصم (2 - 28) فيمن يحمل حديث (… فيأتيهم في صورة ثم يأتيهم في صورة أخرى …) على التبدل والانتقال والتحول</w:t>
      </w:r>
      <w:r w:rsidRPr="00A52585">
        <w:rPr>
          <w:rFonts w:hint="cs"/>
          <w:sz w:val="24"/>
          <w:szCs w:val="24"/>
          <w:rtl/>
        </w:rPr>
        <w:t>:</w:t>
      </w:r>
      <w:r w:rsidR="00777DCB" w:rsidRPr="00A52585">
        <w:rPr>
          <w:rFonts w:hint="cs"/>
          <w:sz w:val="24"/>
          <w:szCs w:val="24"/>
          <w:rtl/>
        </w:rPr>
        <w:t xml:space="preserve"> إنه ليس من أهل القبلة بل حكم بخروجه أصلاً وفرعاً من الملة. وحمل الصورة على ظاهرها فضيحة ليس فوقها فضيحة -</w:t>
      </w:r>
      <w:r w:rsidRPr="00A52585">
        <w:rPr>
          <w:rFonts w:hint="cs"/>
          <w:sz w:val="24"/>
          <w:szCs w:val="24"/>
          <w:rtl/>
        </w:rPr>
        <w:t xml:space="preserve"> </w:t>
      </w:r>
      <w:r w:rsidR="00777DCB" w:rsidRPr="00A52585">
        <w:rPr>
          <w:rFonts w:hint="cs"/>
          <w:sz w:val="24"/>
          <w:szCs w:val="24"/>
          <w:rtl/>
        </w:rPr>
        <w:t>والله هو الهادي</w:t>
      </w:r>
      <w:r w:rsidRPr="00A52585">
        <w:rPr>
          <w:rFonts w:hint="cs"/>
          <w:sz w:val="24"/>
          <w:szCs w:val="24"/>
          <w:rtl/>
        </w:rPr>
        <w:t>]</w:t>
      </w:r>
      <w:r w:rsidR="00DB731D" w:rsidRPr="00A52585">
        <w:rPr>
          <w:rFonts w:hint="cs"/>
          <w:sz w:val="24"/>
          <w:rtl/>
        </w:rPr>
        <w:t>،</w:t>
      </w:r>
      <w:r w:rsidR="00777DCB" w:rsidRPr="00A52585">
        <w:rPr>
          <w:rFonts w:hint="cs"/>
          <w:rtl/>
        </w:rPr>
        <w:t xml:space="preserve"> فذكر أن التأويل أصل كل بلية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والتأويل الصحيح هو تفسيره وظهور معناه كقول عائشة يتأول القرآن وحقيقة التأويل معناه الرجوع إلى الحقيقة لا خلف بني أئمة التفسير في هذا</w:t>
      </w:r>
      <w:r w:rsidR="00DB731D" w:rsidRPr="00A52585">
        <w:rPr>
          <w:rFonts w:hint="cs"/>
          <w:rtl/>
        </w:rPr>
        <w:t>،</w:t>
      </w:r>
      <w:r w:rsidR="00777DCB" w:rsidRPr="00A52585">
        <w:rPr>
          <w:rFonts w:hint="cs"/>
          <w:rtl/>
        </w:rPr>
        <w:t xml:space="preserve"> تأويله هو عندهم تفسيره بالظاهر ما قال منهم قط شخص واحد تأويله صرف عن الرجحان ولا نفي الحقيقة</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وحمل التأويل على معنى التفسير في باب المتشابهات تحريف للكلم عن مواضعه. وملاحظة ظاهر للمتشابه جهل </w:t>
      </w:r>
      <w:proofErr w:type="spellStart"/>
      <w:r w:rsidR="00777DCB" w:rsidRPr="00A52585">
        <w:rPr>
          <w:rFonts w:hint="cs"/>
          <w:sz w:val="24"/>
          <w:szCs w:val="24"/>
          <w:rtl/>
        </w:rPr>
        <w:t>يأباه</w:t>
      </w:r>
      <w:proofErr w:type="spellEnd"/>
      <w:r w:rsidR="00777DCB" w:rsidRPr="00A52585">
        <w:rPr>
          <w:rFonts w:hint="cs"/>
          <w:sz w:val="24"/>
          <w:szCs w:val="24"/>
          <w:rtl/>
        </w:rPr>
        <w:t xml:space="preserve"> كثير من العامة فضلاً عن الخاصة؛ وقد رضي الناظم لنفسه بهذا الجهل وأنى يتصور ظاهر في متشابه</w:t>
      </w:r>
      <w:r w:rsidR="00F95886" w:rsidRPr="00A52585">
        <w:rPr>
          <w:rFonts w:hint="cs"/>
          <w:sz w:val="24"/>
          <w:szCs w:val="24"/>
          <w:rtl/>
        </w:rPr>
        <w:t>؟</w:t>
      </w:r>
      <w:r w:rsidR="00777DCB" w:rsidRPr="00A52585">
        <w:rPr>
          <w:rFonts w:hint="cs"/>
          <w:sz w:val="24"/>
          <w:szCs w:val="24"/>
          <w:rtl/>
        </w:rPr>
        <w:t xml:space="preserve"> فالظاهر في اللغة يقابل الخفي فلا يتصور حيث لا يكون المدلول عليه واضحاً فلا يعقل أن يلاحظ هذا المعنى في المتشابه الذي هو غاية في الخفاء، وأما في أصول الفقه فهو بمعنى الراجح من الاحتمالين بالوضع أو بالدليل وهو من أقسام الوضوح المقابل للخفاء الذي من أقسامه المتشابه فلا يتصور اجتماعهما في لفظ</w:t>
      </w:r>
      <w:r w:rsidR="00DB731D" w:rsidRPr="00A52585">
        <w:rPr>
          <w:rFonts w:hint="cs"/>
          <w:sz w:val="24"/>
          <w:szCs w:val="24"/>
          <w:rtl/>
        </w:rPr>
        <w:t>،</w:t>
      </w:r>
      <w:r w:rsidR="00777DCB" w:rsidRPr="00A52585">
        <w:rPr>
          <w:rFonts w:hint="cs"/>
          <w:sz w:val="24"/>
          <w:szCs w:val="24"/>
          <w:rtl/>
        </w:rPr>
        <w:t xml:space="preserve"> ويطلق الظاهر أيضاً على ما يدل على المراد بإحدى الدلالات المعتبرة عند أهل اللسان فيكون مقابلا للباطن </w:t>
      </w:r>
      <w:r w:rsidR="00777DCB" w:rsidRPr="00A52585">
        <w:rPr>
          <w:rFonts w:hint="cs"/>
          <w:sz w:val="24"/>
          <w:szCs w:val="24"/>
          <w:rtl/>
        </w:rPr>
        <w:lastRenderedPageBreak/>
        <w:t>الذي ابتدعه القرامطة، ولا شأن لهذا المعنى في هذا المبحث</w:t>
      </w:r>
      <w:r w:rsidR="00DB731D" w:rsidRPr="00A52585">
        <w:rPr>
          <w:rFonts w:hint="cs"/>
          <w:sz w:val="24"/>
          <w:szCs w:val="24"/>
          <w:rtl/>
        </w:rPr>
        <w:t>،</w:t>
      </w:r>
      <w:r w:rsidR="00777DCB" w:rsidRPr="00A52585">
        <w:rPr>
          <w:rFonts w:hint="cs"/>
          <w:sz w:val="24"/>
          <w:szCs w:val="24"/>
          <w:rtl/>
        </w:rPr>
        <w:t xml:space="preserve"> وقد يطلق الظاهر بمعنى المستفيض المشهور وهو مراد من يقول من أهل السنة (بإجراء أخبار الصفات على ظاهرها) حيث يريد إجراء اللفظ المستفيض عن النبي صلى الله عليه وسلم في صفات الله على اللسان كما ورد مع التفويض أو التأويل على ما سبق، وهذا المعنى هو المراد في قول الفقهاء (هذا ظاهر الرواية) يعنون أنه المروي عن صاحب المذهب بطريق الاستفاضة والشهرة</w:t>
      </w:r>
      <w:r w:rsidR="00DB731D" w:rsidRPr="00A52585">
        <w:rPr>
          <w:rFonts w:hint="cs"/>
          <w:sz w:val="24"/>
          <w:szCs w:val="24"/>
          <w:rtl/>
        </w:rPr>
        <w:t>،</w:t>
      </w:r>
      <w:r w:rsidR="00777DCB" w:rsidRPr="00A52585">
        <w:rPr>
          <w:rFonts w:hint="cs"/>
          <w:sz w:val="24"/>
          <w:szCs w:val="24"/>
          <w:rtl/>
        </w:rPr>
        <w:t xml:space="preserve"> وفيما علقت على الاختلاف في اللفظ (ص45)</w:t>
      </w:r>
      <w:r w:rsidRPr="00A52585">
        <w:rPr>
          <w:rFonts w:hint="cs"/>
          <w:sz w:val="24"/>
          <w:szCs w:val="24"/>
          <w:rtl/>
        </w:rPr>
        <w:t>:</w:t>
      </w:r>
      <w:r w:rsidR="00777DCB" w:rsidRPr="00A52585">
        <w:rPr>
          <w:rFonts w:hint="cs"/>
          <w:sz w:val="24"/>
          <w:szCs w:val="24"/>
          <w:rtl/>
        </w:rPr>
        <w:t xml:space="preserve"> " أما ما يروى عن بعض السلف من إجراء أحاديث الصفات وإمرارها على ظاهرها فليس بمعنى الظاهر المصطلح في أصول الفقه الذي يبقى حين ترجح الاحتمال الآخر بالدليل كالنجم عند شروق الشمس ولا بمعنى ما يظهر للعامة من اللفظ، بل بالمعنى المقابل للغريب الذي ينفرد بلفظه راو في إحدى الطبقات فيكون بمعنى تجويز إمرار اللفظ على اللسان وإجرائه عليه إذا كان اللفظ مرويا بطريق الظهور والشهرة في جميع الطبقات كما وقع إطلاق الظاهر بهذا المعنى في كلام الإمام مالك رضي الله عنه وغيره؛ وقد يغالط بعضهم في ذلك فيضل ويضل فلزم التنبيه على ذلك اهـ "]</w:t>
      </w:r>
      <w:r w:rsidR="00777DCB" w:rsidRPr="00A52585">
        <w:rPr>
          <w:rFonts w:hint="cs"/>
          <w:rtl/>
        </w:rPr>
        <w:t xml:space="preserve"> قال الله تعالى في المتشابه </w:t>
      </w:r>
      <w:r w:rsidRPr="00A52585">
        <w:rPr>
          <w:rFonts w:hint="cs"/>
          <w:rtl/>
        </w:rPr>
        <w:t>{</w:t>
      </w:r>
      <w:r w:rsidR="00777DCB" w:rsidRPr="00A52585">
        <w:rPr>
          <w:rFonts w:hint="cs"/>
          <w:bCs/>
          <w:rtl/>
        </w:rPr>
        <w:t>ابتغاء الفتنة وابتغاء تأويله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7] فكيف يكون تأويله تفسيره بالظاهر والمتشابه لا ظاهر له وقوله ما قال منهم أحد إن التأويل صرف عن الرجحان</w:t>
      </w:r>
      <w:r w:rsidRPr="00A52585">
        <w:rPr>
          <w:rFonts w:hint="cs"/>
          <w:rtl/>
        </w:rPr>
        <w:t>:</w:t>
      </w:r>
      <w:r w:rsidR="00777DCB" w:rsidRPr="00A52585">
        <w:rPr>
          <w:rFonts w:hint="cs"/>
          <w:rtl/>
        </w:rPr>
        <w:t xml:space="preserve"> كذب بل خلق قالوا ذلك ويطلق التأويل أيضاً على تدبر القرآن وتفهم معناه</w:t>
      </w:r>
      <w:r w:rsidR="00DB731D" w:rsidRPr="00A52585">
        <w:rPr>
          <w:rFonts w:hint="cs"/>
          <w:rtl/>
        </w:rPr>
        <w:t>،</w:t>
      </w:r>
      <w:r w:rsidR="00777DCB" w:rsidRPr="00A52585">
        <w:rPr>
          <w:rFonts w:hint="cs"/>
          <w:rtl/>
        </w:rPr>
        <w:t xml:space="preserve"> </w:t>
      </w:r>
    </w:p>
    <w:p w14:paraId="29C704DE" w14:textId="466F38BE" w:rsidR="00777DCB" w:rsidRPr="00A52585" w:rsidRDefault="0002035C" w:rsidP="0002035C">
      <w:pPr>
        <w:spacing w:after="240"/>
        <w:rPr>
          <w:b/>
          <w:rtl/>
        </w:rPr>
      </w:pPr>
      <w:r w:rsidRPr="00A52585">
        <w:rPr>
          <w:rFonts w:hint="cs"/>
          <w:bCs/>
          <w:rtl/>
        </w:rPr>
        <w:t>[</w:t>
      </w:r>
      <w:r w:rsidR="00777DCB" w:rsidRPr="00A52585">
        <w:rPr>
          <w:rFonts w:hint="cs"/>
          <w:bCs/>
          <w:rtl/>
        </w:rPr>
        <w:t>فصــــــــــل</w:t>
      </w:r>
      <w:r w:rsidRPr="00A52585">
        <w:rPr>
          <w:rFonts w:hint="cs"/>
          <w:bCs/>
          <w:rtl/>
        </w:rPr>
        <w:t>]</w:t>
      </w:r>
      <w:r w:rsidRPr="00A52585">
        <w:rPr>
          <w:rFonts w:hint="cs"/>
          <w:rtl/>
        </w:rPr>
        <w:t>:</w:t>
      </w:r>
      <w:r w:rsidR="00777DCB" w:rsidRPr="00A52585">
        <w:rPr>
          <w:rFonts w:hint="cs"/>
          <w:rtl/>
        </w:rPr>
        <w:t xml:space="preserve"> فيما يلزم مدعي التأويل</w:t>
      </w:r>
      <w:r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دليل صارف واحتمال الفظ وتعيين المقصود</w:t>
      </w:r>
      <w:r w:rsidRPr="00A52585">
        <w:rPr>
          <w:rFonts w:hint="cs"/>
          <w:rtl/>
        </w:rPr>
        <w:t>)</w:t>
      </w:r>
      <w:r w:rsidR="00DB731D" w:rsidRPr="00A52585">
        <w:rPr>
          <w:rFonts w:hint="cs"/>
          <w:rtl/>
        </w:rPr>
        <w:t>،</w:t>
      </w:r>
      <w:r w:rsidR="00777DCB" w:rsidRPr="00A52585">
        <w:rPr>
          <w:rFonts w:hint="cs"/>
          <w:rtl/>
        </w:rPr>
        <w:t xml:space="preserve"> هذا كثرة كلام في أمر سهل مفروغ منه</w:t>
      </w:r>
      <w:r w:rsidR="00DB731D" w:rsidRPr="00A52585">
        <w:rPr>
          <w:rFonts w:hint="cs"/>
          <w:rtl/>
        </w:rPr>
        <w:t>،</w:t>
      </w:r>
      <w:r w:rsidR="00777DCB" w:rsidRPr="00A52585">
        <w:rPr>
          <w:rFonts w:hint="cs"/>
          <w:rtl/>
        </w:rPr>
        <w:t xml:space="preserve"> </w:t>
      </w:r>
    </w:p>
    <w:p w14:paraId="53128659" w14:textId="6332C8F4" w:rsidR="00777DCB" w:rsidRPr="00A52585" w:rsidRDefault="0002035C" w:rsidP="0002035C">
      <w:pPr>
        <w:spacing w:after="240"/>
        <w:rPr>
          <w:b/>
          <w:rtl/>
        </w:rPr>
      </w:pPr>
      <w:r w:rsidRPr="00A52585">
        <w:rPr>
          <w:rFonts w:hint="cs"/>
          <w:bCs/>
          <w:rtl/>
        </w:rPr>
        <w:t>[</w:t>
      </w:r>
      <w:r w:rsidR="00777DCB" w:rsidRPr="00A52585">
        <w:rPr>
          <w:rFonts w:hint="cs"/>
          <w:bCs/>
          <w:rtl/>
        </w:rPr>
        <w:t>فصــــــــــل</w:t>
      </w:r>
      <w:r w:rsidRPr="00A52585">
        <w:rPr>
          <w:rFonts w:hint="cs"/>
          <w:bCs/>
          <w:rtl/>
        </w:rPr>
        <w:t>]</w:t>
      </w:r>
      <w:r w:rsidRPr="00A52585">
        <w:rPr>
          <w:rFonts w:hint="cs"/>
          <w:rtl/>
        </w:rPr>
        <w:t>:</w:t>
      </w:r>
      <w:r w:rsidR="00777DCB" w:rsidRPr="00A52585">
        <w:rPr>
          <w:rFonts w:hint="cs"/>
          <w:rtl/>
        </w:rPr>
        <w:t xml:space="preserve"> في طريقة ابن سينا وذويه من الملاحدة في التأويل</w:t>
      </w:r>
      <w:r w:rsidRPr="00A52585">
        <w:rPr>
          <w:rFonts w:hint="cs"/>
          <w:rtl/>
        </w:rPr>
        <w:t>:</w:t>
      </w:r>
      <w:r w:rsidR="00777DCB" w:rsidRPr="00A52585">
        <w:rPr>
          <w:rFonts w:hint="cs"/>
          <w:rtl/>
        </w:rPr>
        <w:t xml:space="preserve"> ذكر ابن سينا والملاحدة هنا للتنفير وإلا لما جاء بابن سينا والملاحدة معنا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ويقول تأويلي كتأويل الفوقية والصفات والعلو تأويله أشد من تأويل القيامة وحدوث العالم</w:t>
      </w:r>
      <w:r w:rsidRPr="00A52585">
        <w:rPr>
          <w:rFonts w:hint="cs"/>
          <w:rtl/>
        </w:rPr>
        <w:t>)</w:t>
      </w:r>
      <w:r w:rsidR="00DB731D" w:rsidRPr="00A52585">
        <w:rPr>
          <w:rFonts w:hint="cs"/>
          <w:rtl/>
        </w:rPr>
        <w:t>،</w:t>
      </w:r>
      <w:r w:rsidR="00777DCB" w:rsidRPr="00A52585">
        <w:rPr>
          <w:rFonts w:hint="cs"/>
          <w:rtl/>
        </w:rPr>
        <w:t xml:space="preserve"> ليس مقصود هذا الناظم إلا أن يفظع مقالات خصومه من الفقهاء وأهل العلم ويجعلها في قلوب العامة أقبح من مقالات الفلاسفة لتشتد نفرتهم عنها ؛ واندفع في مخارق وسفه ودعاوى لا حقيقة لها</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الغزالي مخالفته لما عليه أهل الحق في نحو عشرين مسألة أكفره بثلاث منها وبدعه في الباقي في كتاب "التهافت"، فقدم العالم وإنكار الحشر الجسماني ومسألة العلم بالجزئيات هي المكفرات عنده، لكن الناظم وشيخه قائلان بالقدم النوعي ولا يقولان بإعادة الأجزاء المعدمة بل ولا بجمع الأجزاء المفرقة</w:t>
      </w:r>
      <w:r w:rsidRPr="00A52585">
        <w:rPr>
          <w:rFonts w:hint="cs"/>
          <w:sz w:val="24"/>
          <w:szCs w:val="24"/>
          <w:rtl/>
        </w:rPr>
        <w:t xml:space="preserve"> </w:t>
      </w:r>
      <w:r w:rsidR="00777DCB" w:rsidRPr="00A52585">
        <w:rPr>
          <w:rFonts w:hint="cs"/>
          <w:sz w:val="24"/>
          <w:szCs w:val="24"/>
          <w:rtl/>
        </w:rPr>
        <w:t>- راجع تفسير سورة الإخلاص لشيخه -</w:t>
      </w:r>
      <w:r w:rsidRPr="00A52585">
        <w:rPr>
          <w:rFonts w:hint="cs"/>
          <w:sz w:val="24"/>
          <w:szCs w:val="24"/>
          <w:rtl/>
        </w:rPr>
        <w:t xml:space="preserve"> </w:t>
      </w:r>
      <w:r w:rsidR="00777DCB" w:rsidRPr="00A52585">
        <w:rPr>
          <w:rFonts w:hint="cs"/>
          <w:sz w:val="24"/>
          <w:szCs w:val="24"/>
          <w:rtl/>
        </w:rPr>
        <w:t>وقولهما في العلم بالمتجددات معروف -</w:t>
      </w:r>
      <w:r w:rsidRPr="00A52585">
        <w:rPr>
          <w:rFonts w:hint="cs"/>
          <w:sz w:val="24"/>
          <w:szCs w:val="24"/>
          <w:rtl/>
        </w:rPr>
        <w:t xml:space="preserve"> </w:t>
      </w:r>
      <w:r w:rsidR="00777DCB" w:rsidRPr="00A52585">
        <w:rPr>
          <w:rFonts w:hint="cs"/>
          <w:sz w:val="24"/>
          <w:szCs w:val="24"/>
          <w:rtl/>
        </w:rPr>
        <w:t>راجع ما سننقله من مفردات ابن تيمية من "ذخائر القصر" -</w:t>
      </w:r>
      <w:r w:rsidRPr="00A52585">
        <w:rPr>
          <w:rFonts w:hint="cs"/>
          <w:sz w:val="24"/>
          <w:szCs w:val="24"/>
          <w:rtl/>
        </w:rPr>
        <w:t xml:space="preserve"> </w:t>
      </w:r>
      <w:r w:rsidR="00777DCB" w:rsidRPr="00A52585">
        <w:rPr>
          <w:rFonts w:hint="cs"/>
          <w:sz w:val="24"/>
          <w:szCs w:val="24"/>
          <w:rtl/>
        </w:rPr>
        <w:t>فهما من أوقع الناس في شبكة التفلسف عن جهل</w:t>
      </w:r>
      <w:r w:rsidR="00DB731D" w:rsidRPr="00A52585">
        <w:rPr>
          <w:rFonts w:hint="cs"/>
          <w:sz w:val="24"/>
          <w:szCs w:val="24"/>
          <w:rtl/>
        </w:rPr>
        <w:t>،</w:t>
      </w:r>
      <w:r w:rsidR="00777DCB" w:rsidRPr="00A52585">
        <w:rPr>
          <w:rFonts w:hint="cs"/>
          <w:sz w:val="24"/>
          <w:szCs w:val="24"/>
          <w:rtl/>
        </w:rPr>
        <w:t xml:space="preserve"> على أن قول ابن رشد في "تهافت التهافت" و"مناهج الأدلة" وقول الرازي في "المطالب العالية" وقول الدواني في "شرح العضدية" مما يثير اهتمام الباحث بتلك المسائل. وقد صرح ابن سيناء في بعض كتبه بأن العقل لا يدرك غير الحشر الروحاني وأما البعث الجسماني فطريق معرفته وحي الرسل وليس في هذا إنكار للبعث الجسماني</w:t>
      </w:r>
      <w:r w:rsidRPr="00A52585">
        <w:rPr>
          <w:rFonts w:hint="cs"/>
          <w:sz w:val="24"/>
          <w:szCs w:val="24"/>
          <w:rtl/>
        </w:rPr>
        <w:t>]</w:t>
      </w:r>
      <w:r w:rsidR="00777DCB" w:rsidRPr="00A52585">
        <w:rPr>
          <w:rFonts w:hint="cs"/>
          <w:sz w:val="24"/>
          <w:szCs w:val="24"/>
          <w:rtl/>
        </w:rPr>
        <w:t xml:space="preserve"> </w:t>
      </w:r>
    </w:p>
    <w:p w14:paraId="08B8EC09" w14:textId="7680D1D6" w:rsidR="00777DCB" w:rsidRPr="00A52585" w:rsidRDefault="0002035C" w:rsidP="0002035C">
      <w:pPr>
        <w:spacing w:after="240"/>
        <w:rPr>
          <w:b/>
          <w:sz w:val="24"/>
          <w:szCs w:val="24"/>
          <w:rtl/>
        </w:rPr>
      </w:pPr>
      <w:r w:rsidRPr="00A52585">
        <w:rPr>
          <w:rFonts w:hint="cs"/>
          <w:bCs/>
          <w:rtl/>
        </w:rPr>
        <w:lastRenderedPageBreak/>
        <w:t>[</w:t>
      </w:r>
      <w:r w:rsidR="00777DCB" w:rsidRPr="00A52585">
        <w:rPr>
          <w:rFonts w:hint="cs"/>
          <w:bCs/>
          <w:rtl/>
        </w:rPr>
        <w:t>فصــــــــــل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هذا وثَمَّ بلية مستورة ورث المحرف من اليهود وأتى إلى حزب الهدى وأعطاهم شبه اليهود قال استوى استولى وذا من جهله عشرون وجها تبطله أفردت </w:t>
      </w:r>
      <w:proofErr w:type="spellStart"/>
      <w:r w:rsidR="00777DCB" w:rsidRPr="00A52585">
        <w:rPr>
          <w:rFonts w:hint="cs"/>
          <w:rtl/>
        </w:rPr>
        <w:t>بتصنف</w:t>
      </w:r>
      <w:proofErr w:type="spellEnd"/>
      <w:r w:rsidR="00777DCB" w:rsidRPr="00A52585">
        <w:rPr>
          <w:rFonts w:hint="cs"/>
          <w:rtl/>
        </w:rPr>
        <w:t xml:space="preserve"> حبر عالم رباني وشبه النون التي زادتها اليهود في حطة بلام تعطيل الجهمية</w:t>
      </w:r>
      <w:r w:rsidRPr="00A52585">
        <w:rPr>
          <w:rFonts w:hint="cs"/>
          <w:rtl/>
        </w:rPr>
        <w:t>)</w:t>
      </w:r>
      <w:r w:rsidR="00DB731D" w:rsidRPr="00A52585">
        <w:rPr>
          <w:rFonts w:hint="cs"/>
          <w:rtl/>
        </w:rPr>
        <w:t>،</w:t>
      </w:r>
      <w:r w:rsidR="00777DCB" w:rsidRPr="00A52585">
        <w:rPr>
          <w:rFonts w:hint="cs"/>
          <w:rtl/>
        </w:rPr>
        <w:t xml:space="preserve"> وهذا من الخرافات</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سبق إبطال جميع تلك الوجوه، والمصنف ذكر فيما سبق وجه حسن استعمال استوى مجازاً عن استولى بحيث لا يدع لقائل مقالاً، على أن الاستعارة التمثيلية في هذا المقام أقعد وأوقع فيكون المجاز على هذا التقدير في المركب دون أن يسري في مفرداته كما هو مدون في محله وقد أشرت إلى اختيار ذلك فيما علقته على" الاختلاف في اللفظ" لابن قتيبة (ص 41)]</w:t>
      </w:r>
      <w:r w:rsidR="00DB731D" w:rsidRPr="00A52585">
        <w:rPr>
          <w:rFonts w:hint="cs"/>
          <w:sz w:val="24"/>
          <w:szCs w:val="24"/>
          <w:rtl/>
        </w:rPr>
        <w:t>،</w:t>
      </w:r>
    </w:p>
    <w:p w14:paraId="3943D7BB" w14:textId="33C110C4" w:rsidR="00777DCB" w:rsidRPr="00A52585" w:rsidRDefault="0002035C" w:rsidP="0002035C">
      <w:pPr>
        <w:spacing w:after="240"/>
        <w:rPr>
          <w:b/>
          <w:rtl/>
        </w:rPr>
      </w:pPr>
      <w:r w:rsidRPr="00A52585">
        <w:rPr>
          <w:rFonts w:hint="cs"/>
          <w:bCs/>
          <w:rtl/>
        </w:rPr>
        <w:t>[</w:t>
      </w:r>
      <w:r w:rsidR="00777DCB" w:rsidRPr="00A52585">
        <w:rPr>
          <w:rFonts w:hint="cs"/>
          <w:bCs/>
          <w:rtl/>
        </w:rPr>
        <w:t>فصــــــــــل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ومن العجائب قولهم فرعون مذهبه العلو وفرعون قال إن موسى كاذب إذ ادعى فوقية الرحمن</w:t>
      </w:r>
      <w:r w:rsidRPr="00A52585">
        <w:rPr>
          <w:rFonts w:hint="cs"/>
          <w:rtl/>
        </w:rPr>
        <w:t>)</w:t>
      </w:r>
      <w:r w:rsidR="00DB731D" w:rsidRPr="00A52585">
        <w:rPr>
          <w:rFonts w:hint="cs"/>
          <w:rtl/>
        </w:rPr>
        <w:t>،</w:t>
      </w:r>
      <w:r w:rsidR="00777DCB" w:rsidRPr="00A52585">
        <w:rPr>
          <w:rFonts w:hint="cs"/>
          <w:rtl/>
        </w:rPr>
        <w:t xml:space="preserve"> أين ادعى موسى فوقية الرحمن</w:t>
      </w:r>
      <w:r w:rsidR="00F95886" w:rsidRPr="00A52585">
        <w:rPr>
          <w:rFonts w:hint="cs"/>
          <w:rtl/>
        </w:rPr>
        <w:t>؟</w:t>
      </w:r>
    </w:p>
    <w:p w14:paraId="7AB7FF31" w14:textId="1CDF453C" w:rsidR="00777DCB" w:rsidRPr="00A52585" w:rsidRDefault="0002035C" w:rsidP="0002035C">
      <w:pPr>
        <w:spacing w:after="240"/>
        <w:rPr>
          <w:b/>
          <w:rtl/>
        </w:rPr>
      </w:pPr>
      <w:r w:rsidRPr="00A52585">
        <w:rPr>
          <w:rFonts w:hint="cs"/>
          <w:bCs/>
          <w:rtl/>
        </w:rPr>
        <w:t>[</w:t>
      </w:r>
      <w:r w:rsidR="00777DCB" w:rsidRPr="00A52585">
        <w:rPr>
          <w:rFonts w:hint="cs"/>
          <w:bCs/>
          <w:rtl/>
        </w:rPr>
        <w:t>فصـــــــــــل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تركيب استوى مع حرف الاستعلاء نص في العلو بوضع كل لسان</w:t>
      </w:r>
      <w:r w:rsidRPr="00A52585">
        <w:rPr>
          <w:rFonts w:hint="cs"/>
          <w:rtl/>
        </w:rPr>
        <w:t>)</w:t>
      </w:r>
      <w:r w:rsidR="00DB731D" w:rsidRPr="00A52585">
        <w:rPr>
          <w:rFonts w:hint="cs"/>
          <w:rtl/>
        </w:rPr>
        <w:t>،</w:t>
      </w:r>
      <w:r w:rsidR="00777DCB" w:rsidRPr="00A52585">
        <w:rPr>
          <w:rFonts w:hint="cs"/>
          <w:rtl/>
        </w:rPr>
        <w:t xml:space="preserve"> نص في العلو أما في الذات فلا</w:t>
      </w:r>
      <w:r w:rsidR="00DB731D" w:rsidRPr="00A52585">
        <w:rPr>
          <w:rFonts w:hint="cs"/>
          <w:rtl/>
        </w:rPr>
        <w:t>،</w:t>
      </w:r>
      <w:r w:rsidR="00777DCB" w:rsidRPr="00A52585">
        <w:rPr>
          <w:rFonts w:hint="cs"/>
          <w:rtl/>
        </w:rPr>
        <w:t xml:space="preserve"> فقولك</w:t>
      </w:r>
      <w:r w:rsidRPr="00A52585">
        <w:rPr>
          <w:rFonts w:hint="cs"/>
          <w:rtl/>
        </w:rPr>
        <w:t>:</w:t>
      </w:r>
      <w:r w:rsidR="00777DCB" w:rsidRPr="00A52585">
        <w:rPr>
          <w:rFonts w:hint="cs"/>
          <w:rtl/>
        </w:rPr>
        <w:t xml:space="preserve"> استوى قيس على العراق لا يستلزم أن يكون إذ ذاك في العراق بل ملكه فيها وعليها</w:t>
      </w:r>
      <w:r w:rsidR="00DB731D" w:rsidRPr="00A52585">
        <w:rPr>
          <w:rFonts w:hint="cs"/>
          <w:rtl/>
        </w:rPr>
        <w:t>،</w:t>
      </w:r>
      <w:r w:rsidR="00777DCB" w:rsidRPr="00A52585">
        <w:rPr>
          <w:rFonts w:hint="cs"/>
          <w:rtl/>
        </w:rPr>
        <w:t xml:space="preserve"> </w:t>
      </w:r>
    </w:p>
    <w:p w14:paraId="7FC5E7F8" w14:textId="2718021F"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كله دعاوى وفقاقيع فارغة</w:t>
      </w:r>
      <w:r w:rsidR="00DB731D" w:rsidRPr="00A52585">
        <w:rPr>
          <w:rFonts w:hint="cs"/>
          <w:rtl/>
        </w:rPr>
        <w:t>،</w:t>
      </w:r>
    </w:p>
    <w:p w14:paraId="666107F5" w14:textId="6A5B8A18"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 xml:space="preserve"> </w:t>
      </w:r>
      <w:r w:rsidR="00777DCB" w:rsidRPr="00A52585">
        <w:rPr>
          <w:rFonts w:hint="cs"/>
          <w:rtl/>
        </w:rPr>
        <w:t>فيه إنكار المجردات</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القول بتجرد الروح مما ذهب إليه إمام الهدى أبو منصور الماتريدي </w:t>
      </w:r>
      <w:proofErr w:type="spellStart"/>
      <w:r w:rsidR="00777DCB" w:rsidRPr="00A52585">
        <w:rPr>
          <w:rFonts w:hint="cs"/>
          <w:sz w:val="24"/>
          <w:szCs w:val="24"/>
          <w:rtl/>
        </w:rPr>
        <w:t>والحليمي</w:t>
      </w:r>
      <w:proofErr w:type="spellEnd"/>
      <w:r w:rsidR="00777DCB" w:rsidRPr="00A52585">
        <w:rPr>
          <w:rFonts w:hint="cs"/>
          <w:sz w:val="24"/>
          <w:szCs w:val="24"/>
          <w:rtl/>
        </w:rPr>
        <w:t xml:space="preserve"> والراغب والغزالي والبيضاوي وغيرهم من كبار علماء السنة، وبه يزول كثير من الإشكالات، وإن خفيت أدلة ذلك على جمهور المتكلمين فضلاً عن مكسري </w:t>
      </w:r>
      <w:proofErr w:type="spellStart"/>
      <w:r w:rsidR="00777DCB" w:rsidRPr="00A52585">
        <w:rPr>
          <w:rFonts w:hint="cs"/>
          <w:sz w:val="24"/>
          <w:szCs w:val="24"/>
          <w:rtl/>
        </w:rPr>
        <w:t>الحشوية</w:t>
      </w:r>
      <w:proofErr w:type="spellEnd"/>
      <w:r w:rsidR="00777DCB" w:rsidRPr="00A52585">
        <w:rPr>
          <w:rFonts w:hint="cs"/>
          <w:sz w:val="24"/>
          <w:szCs w:val="24"/>
          <w:rtl/>
        </w:rPr>
        <w:t>]</w:t>
      </w:r>
      <w:r w:rsidR="00DB731D" w:rsidRPr="00A52585">
        <w:rPr>
          <w:rFonts w:hint="cs"/>
          <w:sz w:val="24"/>
          <w:szCs w:val="24"/>
          <w:rtl/>
        </w:rPr>
        <w:t>،</w:t>
      </w:r>
    </w:p>
    <w:p w14:paraId="337B2D61" w14:textId="7AA454D4"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سوى فيه بينهم وبين المنافقين والقرامطة وجعل المجسمة مقابل الجميع</w:t>
      </w:r>
      <w:r w:rsidR="00DB731D" w:rsidRPr="00A52585">
        <w:rPr>
          <w:rFonts w:hint="cs"/>
          <w:rtl/>
        </w:rPr>
        <w:t>،</w:t>
      </w:r>
      <w:r w:rsidR="00777DCB" w:rsidRPr="00A52585">
        <w:rPr>
          <w:rFonts w:hint="cs"/>
          <w:rtl/>
        </w:rPr>
        <w:t xml:space="preserve"> وأن ما ثم إلا التجسيم أو التعطيل وقد تقدم مثله</w:t>
      </w:r>
      <w:r w:rsidR="00DB731D" w:rsidRPr="00A52585">
        <w:rPr>
          <w:rFonts w:hint="cs"/>
          <w:rtl/>
        </w:rPr>
        <w:t>،</w:t>
      </w:r>
      <w:r w:rsidR="00777DCB" w:rsidRPr="00A52585">
        <w:rPr>
          <w:rFonts w:hint="cs"/>
          <w:rtl/>
        </w:rPr>
        <w:t xml:space="preserve"> وإنما زاد التكرير </w:t>
      </w:r>
      <w:proofErr w:type="spellStart"/>
      <w:r w:rsidR="00777DCB" w:rsidRPr="00A52585">
        <w:rPr>
          <w:rFonts w:hint="cs"/>
          <w:rtl/>
        </w:rPr>
        <w:t>والتفظيع</w:t>
      </w:r>
      <w:proofErr w:type="spellEnd"/>
      <w:r w:rsidR="00777DCB" w:rsidRPr="00A52585">
        <w:rPr>
          <w:rFonts w:hint="cs"/>
          <w:rtl/>
        </w:rPr>
        <w:t xml:space="preserve"> ليزرع الريبة في القلوب</w:t>
      </w:r>
      <w:r w:rsidR="00DB731D" w:rsidRPr="00A52585">
        <w:rPr>
          <w:rFonts w:hint="cs"/>
          <w:rtl/>
        </w:rPr>
        <w:t>،</w:t>
      </w:r>
      <w:r w:rsidR="00777DCB" w:rsidRPr="00A52585">
        <w:rPr>
          <w:rFonts w:hint="cs"/>
          <w:rtl/>
        </w:rPr>
        <w:t xml:space="preserve"> </w:t>
      </w:r>
    </w:p>
    <w:p w14:paraId="1788A0E2" w14:textId="4834BB6C"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الاستواء ونحوه والمشيئة ونحوها كلاهما من صفات الأجسام -</w:t>
      </w:r>
      <w:r w:rsidRPr="00A52585">
        <w:rPr>
          <w:rFonts w:hint="cs"/>
          <w:rtl/>
        </w:rPr>
        <w:t xml:space="preserve"> </w:t>
      </w:r>
      <w:r w:rsidR="00777DCB" w:rsidRPr="00A52585">
        <w:rPr>
          <w:rFonts w:hint="cs"/>
          <w:rtl/>
        </w:rPr>
        <w:t>وطلب الفرق بينهما -</w:t>
      </w:r>
      <w:r w:rsidRPr="00A52585">
        <w:rPr>
          <w:rFonts w:hint="cs"/>
          <w:rtl/>
        </w:rPr>
        <w:t xml:space="preserve"> </w:t>
      </w:r>
      <w:r w:rsidR="00777DCB" w:rsidRPr="00A52585">
        <w:rPr>
          <w:rFonts w:hint="cs"/>
          <w:rtl/>
        </w:rPr>
        <w:t>والله لو نشرت شيوخك كلها لم يقدروا أبداً على فرقان</w:t>
      </w:r>
      <w:r w:rsidRPr="00A52585">
        <w:rPr>
          <w:rFonts w:hint="cs"/>
          <w:rtl/>
        </w:rPr>
        <w:t>)</w:t>
      </w:r>
      <w:r w:rsidR="00DB731D" w:rsidRPr="00A52585">
        <w:rPr>
          <w:rFonts w:hint="cs"/>
          <w:rtl/>
        </w:rPr>
        <w:t>،</w:t>
      </w:r>
      <w:r w:rsidR="00777DCB" w:rsidRPr="00A52585">
        <w:rPr>
          <w:rFonts w:hint="cs"/>
          <w:rtl/>
        </w:rPr>
        <w:t xml:space="preserve"> انظر هذا الجلف الجاري على ما لا يعلم</w:t>
      </w:r>
      <w:r w:rsidR="00DB731D" w:rsidRPr="00A52585">
        <w:rPr>
          <w:rFonts w:hint="cs"/>
          <w:rtl/>
        </w:rPr>
        <w:t>،</w:t>
      </w:r>
      <w:r w:rsidR="00777DCB" w:rsidRPr="00A52585">
        <w:rPr>
          <w:rFonts w:hint="cs"/>
          <w:rtl/>
        </w:rPr>
        <w:t xml:space="preserve"> وكل عاقل يعلم أن الاستواء بمعنى القعود أقرب إلى صفات الأجسام من المشيئة والقدرة</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زعيمهم في الفرق هذه الصفات بالعقل والقرآن فيقال إن نفى العقل التجسيم فانفوها وانسلخوا من القرآن وإن أثبته فلم الفرار</w:t>
      </w:r>
      <w:r w:rsidR="00F95886" w:rsidRPr="00A52585">
        <w:rPr>
          <w:rFonts w:hint="cs"/>
          <w:rtl/>
        </w:rPr>
        <w:t>؟</w:t>
      </w:r>
      <w:r w:rsidR="00777DCB" w:rsidRPr="00A52585">
        <w:rPr>
          <w:rFonts w:hint="cs"/>
          <w:rtl/>
        </w:rPr>
        <w:t xml:space="preserve"> وإن نفاه في وصف وأثبته في وصف فما الفرق</w:t>
      </w:r>
      <w:r w:rsidR="00F95886" w:rsidRPr="00A52585">
        <w:rPr>
          <w:rFonts w:hint="cs"/>
          <w:rtl/>
        </w:rPr>
        <w:t>؟</w:t>
      </w:r>
      <w:r w:rsidR="00777DCB" w:rsidRPr="00A52585">
        <w:rPr>
          <w:rFonts w:hint="cs"/>
          <w:rtl/>
        </w:rPr>
        <w:t xml:space="preserve"> انظر هل بعد هذا الكلام شيء </w:t>
      </w:r>
      <w:r w:rsidR="00777DCB" w:rsidRPr="00A52585">
        <w:rPr>
          <w:rFonts w:hint="cs"/>
          <w:rtl/>
        </w:rPr>
        <w:lastRenderedPageBreak/>
        <w:t xml:space="preserve">في التجسيم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وشيخه أصرح منه وأجهر صوتاً في ذلك حيث يقول فيما رد به على أساس التقديس</w:t>
      </w:r>
      <w:r w:rsidRPr="00A52585">
        <w:rPr>
          <w:rFonts w:hint="cs"/>
          <w:sz w:val="24"/>
          <w:szCs w:val="24"/>
          <w:rtl/>
        </w:rPr>
        <w:t>:</w:t>
      </w:r>
      <w:r w:rsidR="00777DCB" w:rsidRPr="00A52585">
        <w:rPr>
          <w:rFonts w:hint="cs"/>
          <w:sz w:val="24"/>
          <w:szCs w:val="24"/>
          <w:rtl/>
        </w:rPr>
        <w:t xml:space="preserve"> "ومن المعلوم بالاضطرار أن اسم الواحد في كلام الله لم يقصد به سلب الصفات -</w:t>
      </w:r>
      <w:r w:rsidRPr="00A52585">
        <w:rPr>
          <w:rFonts w:hint="cs"/>
          <w:sz w:val="24"/>
          <w:szCs w:val="24"/>
          <w:rtl/>
        </w:rPr>
        <w:t xml:space="preserve"> </w:t>
      </w:r>
      <w:r w:rsidR="00777DCB" w:rsidRPr="00A52585">
        <w:rPr>
          <w:rFonts w:hint="cs"/>
          <w:sz w:val="24"/>
          <w:szCs w:val="24"/>
          <w:rtl/>
        </w:rPr>
        <w:t xml:space="preserve">يريد ما يشمل </w:t>
      </w:r>
      <w:proofErr w:type="spellStart"/>
      <w:r w:rsidR="00777DCB" w:rsidRPr="00A52585">
        <w:rPr>
          <w:rFonts w:hint="cs"/>
          <w:sz w:val="24"/>
          <w:szCs w:val="24"/>
          <w:rtl/>
        </w:rPr>
        <w:t>المجئ</w:t>
      </w:r>
      <w:proofErr w:type="spellEnd"/>
      <w:r w:rsidR="00777DCB" w:rsidRPr="00A52585">
        <w:rPr>
          <w:rFonts w:hint="cs"/>
          <w:sz w:val="24"/>
          <w:szCs w:val="24"/>
          <w:rtl/>
        </w:rPr>
        <w:t xml:space="preserve"> ونحوه -</w:t>
      </w:r>
      <w:r w:rsidRPr="00A52585">
        <w:rPr>
          <w:rFonts w:hint="cs"/>
          <w:sz w:val="24"/>
          <w:szCs w:val="24"/>
          <w:rtl/>
        </w:rPr>
        <w:t xml:space="preserve"> </w:t>
      </w:r>
      <w:r w:rsidR="00777DCB" w:rsidRPr="00A52585">
        <w:rPr>
          <w:rFonts w:hint="cs"/>
          <w:sz w:val="24"/>
          <w:szCs w:val="24"/>
          <w:rtl/>
        </w:rPr>
        <w:t>ولا سلب إدراكه بالحواس ولا نفي الحد والقدر ونحو ذلك من المعاني التي ابتدع نفيها الجهمية وأتباعهم، ولا يوجد نفيها في كتاب ولا سنة" اهـ.</w:t>
      </w:r>
      <w:r w:rsidR="00DB731D" w:rsidRPr="00A52585">
        <w:rPr>
          <w:rFonts w:hint="cs"/>
          <w:sz w:val="24"/>
          <w:szCs w:val="24"/>
          <w:rtl/>
        </w:rPr>
        <w:t>،</w:t>
      </w:r>
      <w:r w:rsidR="00777DCB" w:rsidRPr="00A52585">
        <w:rPr>
          <w:rFonts w:hint="cs"/>
          <w:sz w:val="24"/>
          <w:szCs w:val="24"/>
          <w:rtl/>
        </w:rPr>
        <w:t xml:space="preserve"> وهذا صريح جداً لعلك لا تحوجني إلى شرح ذلك، راجع الكواكب </w:t>
      </w:r>
      <w:proofErr w:type="spellStart"/>
      <w:r w:rsidR="00777DCB" w:rsidRPr="00A52585">
        <w:rPr>
          <w:rFonts w:hint="cs"/>
          <w:sz w:val="24"/>
          <w:szCs w:val="24"/>
          <w:rtl/>
        </w:rPr>
        <w:t>الدراري</w:t>
      </w:r>
      <w:proofErr w:type="spellEnd"/>
      <w:r w:rsidR="00777DCB" w:rsidRPr="00A52585">
        <w:rPr>
          <w:rFonts w:hint="cs"/>
          <w:sz w:val="24"/>
          <w:szCs w:val="24"/>
          <w:rtl/>
        </w:rPr>
        <w:t xml:space="preserve"> لابن زكنون الحنبلي المحفوظ بظاهرية دمشق ففي المجلد رقم 24و25و26 منه رده على أساس التقديس، وفيه فوق ما تقدم التصريح بأنه يمكنه التزام قدم بعض الأجسام يريد الباري سبحانه، فهل يتصور أن ينطق مبتدع مارق </w:t>
      </w:r>
      <w:proofErr w:type="spellStart"/>
      <w:r w:rsidR="00777DCB" w:rsidRPr="00A52585">
        <w:rPr>
          <w:rFonts w:hint="cs"/>
          <w:sz w:val="24"/>
          <w:szCs w:val="24"/>
          <w:rtl/>
        </w:rPr>
        <w:t>بأصرح</w:t>
      </w:r>
      <w:proofErr w:type="spellEnd"/>
      <w:r w:rsidR="00777DCB" w:rsidRPr="00A52585">
        <w:rPr>
          <w:rFonts w:hint="cs"/>
          <w:sz w:val="24"/>
          <w:szCs w:val="24"/>
          <w:rtl/>
        </w:rPr>
        <w:t xml:space="preserve"> من هذا في وسط المسلمين</w:t>
      </w:r>
      <w:r w:rsidR="00F95886" w:rsidRPr="00A52585">
        <w:rPr>
          <w:rFonts w:hint="cs"/>
          <w:sz w:val="24"/>
          <w:szCs w:val="24"/>
          <w:rtl/>
        </w:rPr>
        <w:t>؟</w:t>
      </w:r>
      <w:r w:rsidR="00777DCB" w:rsidRPr="00A52585">
        <w:rPr>
          <w:rFonts w:hint="cs"/>
          <w:sz w:val="24"/>
          <w:szCs w:val="24"/>
          <w:rtl/>
        </w:rPr>
        <w:t>! والناظم متقلد مذهبه بدون تفكير والله سبحانه ينتقم منهما بما أثارا من الفتن بين العوام]</w:t>
      </w:r>
      <w:r w:rsidR="00F95886" w:rsidRPr="00A52585">
        <w:rPr>
          <w:rFonts w:hint="cs"/>
          <w:sz w:val="24"/>
          <w:szCs w:val="24"/>
          <w:rtl/>
        </w:rPr>
        <w:t>؟</w:t>
      </w:r>
      <w:r w:rsidR="00777DCB" w:rsidRPr="00A52585">
        <w:rPr>
          <w:rFonts w:hint="cs"/>
          <w:sz w:val="24"/>
          <w:szCs w:val="24"/>
          <w:rtl/>
        </w:rPr>
        <w:t xml:space="preserve"> </w:t>
      </w:r>
    </w:p>
    <w:p w14:paraId="6F90ABE1" w14:textId="4689B9E6"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كله سفاهة</w:t>
      </w:r>
      <w:r w:rsidR="00DB731D" w:rsidRPr="00A52585">
        <w:rPr>
          <w:rFonts w:hint="cs"/>
          <w:rtl/>
        </w:rPr>
        <w:t>،</w:t>
      </w:r>
      <w:r w:rsidR="00777DCB" w:rsidRPr="00A52585">
        <w:rPr>
          <w:rFonts w:hint="cs"/>
          <w:rtl/>
        </w:rPr>
        <w:t xml:space="preserve"> </w:t>
      </w:r>
    </w:p>
    <w:p w14:paraId="1C1ED645" w14:textId="742D2D20"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حكى مذاهب خصومه بأقبح ما يكون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جربت هذا كله ووقعت في تلك الشباك وكنت ذا طيران حتى أتاح لي الإله بفضله من ليس تجزيه يدي ولساني حبر أتى من أرض حران فيا أهلاً بمن قد جاء من حران</w:t>
      </w:r>
      <w:r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وكم أضلَّ من خلطائه ولهم معه موقف يوم القيامة لا يغبط عليه، وهو الذي جاهر بقيام الحوادث بذاته تعالى - بعزو ذلك إلى أئمة أبرياء من مثل هذا الإلحاد -</w:t>
      </w:r>
      <w:r w:rsidRPr="00A52585">
        <w:rPr>
          <w:rFonts w:hint="cs"/>
          <w:sz w:val="24"/>
          <w:szCs w:val="24"/>
          <w:rtl/>
        </w:rPr>
        <w:t xml:space="preserve"> </w:t>
      </w:r>
      <w:r w:rsidR="00777DCB" w:rsidRPr="00A52585">
        <w:rPr>
          <w:rFonts w:hint="cs"/>
          <w:sz w:val="24"/>
          <w:szCs w:val="24"/>
          <w:rtl/>
        </w:rPr>
        <w:t>وبالقدم النوعي، وبالجهة والحركة والثقل وتجويز الجسمية والاستقرار في جانب الله سبحانه مع التطاول على كثير من الأئمة والشذوذ عما عليه جمهور أهل العلم في كثير من المسائل الفرعية، والرد على كبير العلماء وصغيرهم حتى الصحابة، وتلبيس ذلك بمذهب السلف خيانة وكذباً</w:t>
      </w:r>
      <w:r w:rsidR="00DB731D" w:rsidRPr="00A52585">
        <w:rPr>
          <w:rFonts w:hint="cs"/>
          <w:sz w:val="24"/>
          <w:szCs w:val="24"/>
          <w:rtl/>
        </w:rPr>
        <w:t>،</w:t>
      </w:r>
      <w:r w:rsidR="00777DCB" w:rsidRPr="00A52585">
        <w:rPr>
          <w:rFonts w:hint="cs"/>
          <w:sz w:val="24"/>
          <w:szCs w:val="24"/>
          <w:rtl/>
        </w:rPr>
        <w:t xml:space="preserve"> ومما يجب التنبه إليه أن من وجوه تحيل الناظم وشيخه ومن على شاكلتهما من المتشبعين بما لم يعطوا تتبع ما دون ضد الأئمة المتبوعين من مؤاخذات في مسائل, واتخاذ تل المؤاخذات وسيلة للتهجم عليهم كلما شاءوا لأجل أن يظهروا بمظهر أنهم من السعة في العلم بحيث تضيق علوم الأئمة عن علومهم ويجب هجر آراء هؤلاء إلى أهوائهم</w:t>
      </w:r>
      <w:r w:rsidR="00DB731D" w:rsidRPr="00A52585">
        <w:rPr>
          <w:rFonts w:hint="cs"/>
          <w:sz w:val="24"/>
          <w:szCs w:val="24"/>
          <w:rtl/>
        </w:rPr>
        <w:t>،</w:t>
      </w:r>
      <w:r w:rsidR="00777DCB" w:rsidRPr="00A52585">
        <w:rPr>
          <w:rFonts w:hint="cs"/>
          <w:sz w:val="24"/>
          <w:szCs w:val="24"/>
          <w:rtl/>
        </w:rPr>
        <w:t xml:space="preserve"> هذا شأنهم في أئمة علوم الشرع وهكذا صنيعهم مع علماء باقي العلوم بدون تفرغ العلم، ولا شك أن كل عالم مهما علت منـزلته في علمه لابد وأن تقع منه هفوات تكون مدونة في كتاب لأحد نقاد هذا العلم المتفرغين للتمحيص فيه خاصة؛ إذ لا عصمة لغير الأنبياء عليهم السلام، فمن تعود أن يجمع تلك المؤاخذات من مظانها كالباب الخاص في مصنف أبي شيبة في مخالفات أبي حنيفة لأحاديث صحيحة صريحة في نظر صاحب المصنف، وكتاب إبراهيم ابن علية في مالك وكتاب محمد بن عبد الحكم في حق الشافعي، وكتاب </w:t>
      </w:r>
      <w:proofErr w:type="spellStart"/>
      <w:r w:rsidR="00777DCB" w:rsidRPr="00A52585">
        <w:rPr>
          <w:rFonts w:hint="cs"/>
          <w:sz w:val="24"/>
          <w:szCs w:val="24"/>
          <w:rtl/>
        </w:rPr>
        <w:t>الكياهراسي</w:t>
      </w:r>
      <w:proofErr w:type="spellEnd"/>
      <w:r w:rsidR="00777DCB" w:rsidRPr="00A52585">
        <w:rPr>
          <w:rFonts w:hint="cs"/>
          <w:sz w:val="24"/>
          <w:szCs w:val="24"/>
          <w:rtl/>
        </w:rPr>
        <w:t xml:space="preserve"> في مفردات أحمد وكتاب </w:t>
      </w:r>
      <w:proofErr w:type="spellStart"/>
      <w:r w:rsidR="00777DCB" w:rsidRPr="00A52585">
        <w:rPr>
          <w:rFonts w:hint="cs"/>
          <w:sz w:val="24"/>
          <w:szCs w:val="24"/>
          <w:rtl/>
        </w:rPr>
        <w:t>الأهوازي</w:t>
      </w:r>
      <w:proofErr w:type="spellEnd"/>
      <w:r w:rsidR="00777DCB" w:rsidRPr="00A52585">
        <w:rPr>
          <w:rFonts w:hint="cs"/>
          <w:sz w:val="24"/>
          <w:szCs w:val="24"/>
          <w:rtl/>
        </w:rPr>
        <w:t xml:space="preserve"> في الأشعري ونحوها، وأخذ يتحامل على الأئمة بتوجيه تلك المؤاخذات إليهم متظاهراً بأنها من بنات أفكاره داساً في غضون كلامه ما شاء من الأباطيل يظن به من لا بصر به بالحقائق من العامة أن له من العلم ما يجعله فوق الأئمة فهما وتحقيقا وإحاطة مع أنه لابس ثوبي زور. وقد رُدَّ على غالب تلك المؤاخذات في كتب خاصة بحيث لا تقوم لها قائمة لكن الذي يجهل ذلك ينخدع بخزعبلاته ويقع في المهالك إذا تقاعس علماء أهل الحق عن البحث والتنقيب والرد على الشذاذ بمثل أسلحتهم كما يجب. والله سبحانه يتولى هدانا بمنه وكرمه وأيقظنا جميعا من رقدتنا وألهمنا طريق حراسة مذاهب أهل الحق في الأصول والفروع وأشعرنا عظم المسئولية في الآخرة </w:t>
      </w:r>
      <w:proofErr w:type="spellStart"/>
      <w:r w:rsidR="00777DCB" w:rsidRPr="00A52585">
        <w:rPr>
          <w:rFonts w:hint="cs"/>
          <w:sz w:val="24"/>
          <w:szCs w:val="24"/>
          <w:rtl/>
        </w:rPr>
        <w:t>ووقانا</w:t>
      </w:r>
      <w:proofErr w:type="spellEnd"/>
      <w:r w:rsidR="00777DCB" w:rsidRPr="00A52585">
        <w:rPr>
          <w:rFonts w:hint="cs"/>
          <w:sz w:val="24"/>
          <w:szCs w:val="24"/>
          <w:rtl/>
        </w:rPr>
        <w:t xml:space="preserve"> شر التساهل في ذلك إنه سميع </w:t>
      </w:r>
      <w:r w:rsidR="00777DCB" w:rsidRPr="00A52585">
        <w:rPr>
          <w:rFonts w:hint="cs"/>
          <w:sz w:val="24"/>
          <w:szCs w:val="24"/>
          <w:rtl/>
        </w:rPr>
        <w:lastRenderedPageBreak/>
        <w:t>مجيب</w:t>
      </w:r>
      <w:r w:rsidR="00DB731D" w:rsidRPr="00A52585">
        <w:rPr>
          <w:rFonts w:hint="cs"/>
          <w:sz w:val="24"/>
          <w:szCs w:val="24"/>
          <w:rtl/>
        </w:rPr>
        <w:t>،</w:t>
      </w:r>
      <w:r w:rsidR="00777DCB" w:rsidRPr="00A52585">
        <w:rPr>
          <w:rFonts w:hint="cs"/>
          <w:sz w:val="24"/>
          <w:szCs w:val="24"/>
          <w:rtl/>
        </w:rPr>
        <w:t xml:space="preserve"> قال الحافظ ابن طولون في "ذخائر القصر في تراجم نبلاء العصر" عند ذكره سبب انتقال الشيخ عبد النافع بن عراق من المذهب الحنبلي إلى المذهب الشافعي بعد أن جعله والده </w:t>
      </w:r>
      <w:proofErr w:type="spellStart"/>
      <w:r w:rsidR="00777DCB" w:rsidRPr="00A52585">
        <w:rPr>
          <w:rFonts w:hint="cs"/>
          <w:sz w:val="24"/>
          <w:szCs w:val="24"/>
          <w:rtl/>
        </w:rPr>
        <w:t>حنبليا</w:t>
      </w:r>
      <w:proofErr w:type="spellEnd"/>
      <w:r w:rsidRPr="00A52585">
        <w:rPr>
          <w:rFonts w:hint="cs"/>
          <w:sz w:val="24"/>
          <w:szCs w:val="24"/>
          <w:rtl/>
        </w:rPr>
        <w:t>:</w:t>
      </w:r>
      <w:r w:rsidR="00777DCB" w:rsidRPr="00A52585">
        <w:rPr>
          <w:rFonts w:hint="cs"/>
          <w:sz w:val="24"/>
          <w:szCs w:val="24"/>
          <w:rtl/>
        </w:rPr>
        <w:t xml:space="preserve"> "قال الحافظ صلاح الدين العلائي [وقلَّ من أفضله عليه من متأخري الشافعية في الجمع بين الفقه والحديث كما يجب]</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ذكر المسائل التي خالف فيها ابن تيمية الناس في الأصول والفروع</w:t>
      </w:r>
      <w:r w:rsidR="00777DCB" w:rsidRPr="00A52585">
        <w:rPr>
          <w:rFonts w:hint="cs"/>
          <w:sz w:val="24"/>
          <w:szCs w:val="24"/>
          <w:rtl/>
        </w:rPr>
        <w:t>. فمنها ما خالف فيها الإجماع، ومنها ما خالف فيها الراجح في المذهب</w:t>
      </w:r>
      <w:r w:rsidRPr="00A52585">
        <w:rPr>
          <w:rFonts w:hint="cs"/>
          <w:sz w:val="24"/>
          <w:szCs w:val="24"/>
          <w:rtl/>
        </w:rPr>
        <w:t>:</w:t>
      </w:r>
      <w:r w:rsidR="00777DCB" w:rsidRPr="00A52585">
        <w:rPr>
          <w:rFonts w:hint="cs"/>
          <w:sz w:val="24"/>
          <w:szCs w:val="24"/>
          <w:rtl/>
        </w:rPr>
        <w:t xml:space="preserve"> فمن ذلك يمين الطلاق قال بأنه لا يقع عند وقوع المحلوف عليه بل عليه فيها كفارة يمين، ولم يقل قبله بالكفارة فيها واحد من فقهاء المسلمين </w:t>
      </w:r>
      <w:proofErr w:type="spellStart"/>
      <w:r w:rsidR="00777DCB" w:rsidRPr="00A52585">
        <w:rPr>
          <w:rFonts w:hint="cs"/>
          <w:sz w:val="24"/>
          <w:szCs w:val="24"/>
          <w:rtl/>
        </w:rPr>
        <w:t>ألبتة</w:t>
      </w:r>
      <w:proofErr w:type="spellEnd"/>
      <w:r w:rsidR="00777DCB" w:rsidRPr="00A52585">
        <w:rPr>
          <w:rFonts w:hint="cs"/>
          <w:sz w:val="24"/>
          <w:szCs w:val="24"/>
          <w:rtl/>
        </w:rPr>
        <w:t xml:space="preserve"> ودام افتاؤه بذلك زماناً طويلاً، وعظم الخطب ووقع في تقليده جم غفير من العوام وعم البلاء، وأن طلاق الحائض لا يقع وكذلك الطلاق في طهر جامع فيه زوجته، وأن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وأن الصلاة إذا تركت عمداً لا يشرع قضاؤها، وأن الحائض تطوف في البيت من غير كفارة وهو مباح لها، وإن المكوس حلال لمن أقطعها، وإذا أخذت من التجار أجزأتهم عن الزكاة وإن لم يكن باسم الزكاة ولا على رسمها، وأن </w:t>
      </w:r>
      <w:proofErr w:type="spellStart"/>
      <w:r w:rsidR="00777DCB" w:rsidRPr="00A52585">
        <w:rPr>
          <w:rFonts w:hint="cs"/>
          <w:sz w:val="24"/>
          <w:szCs w:val="24"/>
          <w:rtl/>
        </w:rPr>
        <w:t>المايعات</w:t>
      </w:r>
      <w:proofErr w:type="spellEnd"/>
      <w:r w:rsidR="00777DCB" w:rsidRPr="00A52585">
        <w:rPr>
          <w:rFonts w:hint="cs"/>
          <w:sz w:val="24"/>
          <w:szCs w:val="24"/>
          <w:rtl/>
        </w:rPr>
        <w:t xml:space="preserve"> لا تنجس بموت الفأرة ونحوها فيها، وأن الجنب يصلي تطوعه بالليل بالتيمم ولا يؤخره إلى أن يغتسل عند الفجر وإن كان بالبلد. وقد رأيتُ من يفعل ذلك ممن قلده فمنعته منه، وسمعته حين سئل عن رجل قدم فراشاً لأمير فيجنب بالليل في السفر ويخاف إن اغتسل عند الفجر أن يتهمه أستاذه فأفتاه بصلاة الصبح بالتيمم وهو قادر على الغسل [ومسألة أبي يوسف غير هذه]، وسئل عن شرط الواقف قال</w:t>
      </w:r>
      <w:r w:rsidRPr="00A52585">
        <w:rPr>
          <w:rFonts w:hint="cs"/>
          <w:sz w:val="24"/>
          <w:szCs w:val="24"/>
          <w:rtl/>
        </w:rPr>
        <w:t>:</w:t>
      </w:r>
      <w:r w:rsidR="00777DCB" w:rsidRPr="00A52585">
        <w:rPr>
          <w:rFonts w:hint="cs"/>
          <w:sz w:val="24"/>
          <w:szCs w:val="24"/>
          <w:rtl/>
        </w:rPr>
        <w:t xml:space="preserve"> غير معتبر بالكلية بل الوقف على الشافعية يصرف إلى الحنفية وعلى الفقهاء إلى الصوفية وبالعكس، وكان يفعل هكذا في مدرسته فيعطي منها الجند والعوام ولا يحضر درساً على اصطلاح الفقهاء وشرط الواقف بل يحضر فيها ميعاداً يوم الثلاثاء ويحضره العوام ويستغني بذلك عن الدرس، وسئل عن جواز بيع أمهات الأولاد فرجحه وأفتى به</w:t>
      </w:r>
      <w:r w:rsidR="00DB731D" w:rsidRPr="00A52585">
        <w:rPr>
          <w:rFonts w:hint="cs"/>
          <w:sz w:val="24"/>
          <w:szCs w:val="24"/>
          <w:rtl/>
        </w:rPr>
        <w:t>،</w:t>
      </w:r>
      <w:r w:rsidR="00777DCB" w:rsidRPr="00A52585">
        <w:rPr>
          <w:rFonts w:hint="cs"/>
          <w:sz w:val="24"/>
          <w:szCs w:val="24"/>
          <w:rtl/>
        </w:rPr>
        <w:t xml:space="preserve"> ومن المسائل المنفرد بها في الأصول مسألة الحسن والقبح التي يقول بها المعتزلة [بل أربى عليهم بتحكيم العقل في الخلود راجع المعتمد لأبي الحسين البصري المعتزلي في المسألة وكلام ابن تيمية فيها حتى تعلم مبلغ مجازفته وتهوره] فقال بها ونصرها وصنف فيها وجعلها دين الله بل ألزم كل ما يبني عليه كالموازنة في الأعمال [فيالته حينما حكم العقل حكم العقل السليم ولم يحكم عقل نفسه الظاهر اختلاله جداً بما فاه به في ذات الله وصفاته، تعالى الله عما يقول الجاهلون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وأما مقالاته في أصول الدين فمنها أن الله سبحانه محلُّ للحوادث، تعالى الله عما يقول علواً كبيراً، وأنه مركب مفتقر إلى (اليد والعين والوجه والساق ونحوها) افتقار الكل إلى الجزء، وإن القرآن محدث في ذاته تعالى، وأن العالم قديم بالنوع ولم يزل مع الله مخلوق دائماً فجعله موجباً بالذات لا فاعلاً بالاختيار - سبحانه ما أحلمه -</w:t>
      </w:r>
      <w:r w:rsidRPr="00A52585">
        <w:rPr>
          <w:rFonts w:hint="cs"/>
          <w:sz w:val="24"/>
          <w:szCs w:val="24"/>
          <w:rtl/>
        </w:rPr>
        <w:t xml:space="preserve"> </w:t>
      </w:r>
      <w:r w:rsidR="00777DCB" w:rsidRPr="00A52585">
        <w:rPr>
          <w:rFonts w:hint="cs"/>
          <w:sz w:val="24"/>
          <w:szCs w:val="24"/>
          <w:rtl/>
        </w:rPr>
        <w:t>ومنها قوله بالجسمية والجهة والانتقال -</w:t>
      </w:r>
      <w:r w:rsidRPr="00A52585">
        <w:rPr>
          <w:rFonts w:hint="cs"/>
          <w:sz w:val="24"/>
          <w:szCs w:val="24"/>
          <w:rtl/>
        </w:rPr>
        <w:t xml:space="preserve"> </w:t>
      </w:r>
      <w:r w:rsidR="00777DCB" w:rsidRPr="00A52585">
        <w:rPr>
          <w:rFonts w:hint="cs"/>
          <w:sz w:val="24"/>
          <w:szCs w:val="24"/>
          <w:rtl/>
        </w:rPr>
        <w:t>وهو منـزه عن ذلك -</w:t>
      </w:r>
      <w:r w:rsidRPr="00A52585">
        <w:rPr>
          <w:rFonts w:hint="cs"/>
          <w:sz w:val="24"/>
          <w:szCs w:val="24"/>
          <w:rtl/>
        </w:rPr>
        <w:t xml:space="preserve"> </w:t>
      </w:r>
      <w:r w:rsidR="00777DCB" w:rsidRPr="00A52585">
        <w:rPr>
          <w:rFonts w:hint="cs"/>
          <w:sz w:val="24"/>
          <w:szCs w:val="24"/>
          <w:rtl/>
        </w:rPr>
        <w:t xml:space="preserve">وصرح في بعض تصانيفه بأن الله بقدر العرش لا أكبر ولا أصغر تعالى الله عن ذلك، وصنف جزءاً في أن علم الله لا يتعلق بما لا </w:t>
      </w:r>
      <w:proofErr w:type="spellStart"/>
      <w:r w:rsidR="00777DCB" w:rsidRPr="00A52585">
        <w:rPr>
          <w:rFonts w:hint="cs"/>
          <w:sz w:val="24"/>
          <w:szCs w:val="24"/>
          <w:rtl/>
        </w:rPr>
        <w:t>يتناهي</w:t>
      </w:r>
      <w:proofErr w:type="spellEnd"/>
      <w:r w:rsidR="00777DCB" w:rsidRPr="00A52585">
        <w:rPr>
          <w:rFonts w:hint="cs"/>
          <w:sz w:val="24"/>
          <w:szCs w:val="24"/>
          <w:rtl/>
        </w:rPr>
        <w:t xml:space="preserve"> كنعيم أهل الجنة, وأنه لا يحيط بغير المتناهي وهي التي زلق فيها الإمام [يعني ابن الجويني في البرهان] ومنها أن الأنبياء غير معصومين وأن نبينا عليه وعليهم الصلاة والسلام ليس له جاه ولا يتوسل به أحد إلا وأن يكون مخطئاً، وصنَّف في ذلك عدة أوراق، وأن إنشاء السفر لزيارة نبينا صلى الله عليه وسلم معصية لا</w:t>
      </w:r>
      <w:r w:rsidRPr="00A52585">
        <w:rPr>
          <w:rFonts w:hint="cs"/>
          <w:sz w:val="24"/>
          <w:szCs w:val="24"/>
          <w:rtl/>
        </w:rPr>
        <w:t xml:space="preserve"> </w:t>
      </w:r>
      <w:r w:rsidR="00777DCB" w:rsidRPr="00A52585">
        <w:rPr>
          <w:rFonts w:hint="cs"/>
          <w:sz w:val="24"/>
          <w:szCs w:val="24"/>
          <w:rtl/>
        </w:rPr>
        <w:t>تقصر فيها الصلاة وبالغ في ذلك، ولم يقل به أحد من المسلمين قبله، وإن عذاب أهل النار ينقطع ولا يتأبد [وجزء التقي السبكي في الرد عليه مطبوع]</w:t>
      </w:r>
      <w:r w:rsidR="00DB731D" w:rsidRPr="00A52585">
        <w:rPr>
          <w:rFonts w:hint="cs"/>
          <w:sz w:val="24"/>
          <w:szCs w:val="24"/>
          <w:rtl/>
        </w:rPr>
        <w:t>،</w:t>
      </w:r>
      <w:r w:rsidR="00777DCB" w:rsidRPr="00A52585">
        <w:rPr>
          <w:rFonts w:hint="cs"/>
          <w:sz w:val="24"/>
          <w:szCs w:val="24"/>
          <w:rtl/>
        </w:rPr>
        <w:t xml:space="preserve"> ومن أفراده أيضاً أن التوراة والإنجيل لم تبدل ألفاظهما بل هي باقية على ما أنـزلت وإنما وقع التحريف </w:t>
      </w:r>
      <w:r w:rsidR="00777DCB" w:rsidRPr="00A52585">
        <w:rPr>
          <w:rFonts w:hint="cs"/>
          <w:sz w:val="24"/>
          <w:szCs w:val="24"/>
          <w:rtl/>
        </w:rPr>
        <w:lastRenderedPageBreak/>
        <w:t>في تأويلهما وله فيه مصنف [هذا يخالف كتاب الله والتاريخ الصحيح، وما في البخاري عن ابن عباس من الكلام الطويل في ذلك بين صدره وعجزه كلام مدرج، ما أسنده أحد وفيه الإيهام فلا يصح أن يتمسك به أحد على خلاف كتاب الله وخلاف ما صح عن ابن عباس نفسه في البخاري نفسه] آخَرُ ما رأيت وأستغفر الله من كتابة مثل هذا فضلا عن اعتقاده" انتهى ما نقله ابن طولون عن الصلاح العلائي</w:t>
      </w:r>
      <w:r w:rsidR="00DB731D" w:rsidRPr="00A52585">
        <w:rPr>
          <w:rFonts w:hint="cs"/>
          <w:sz w:val="24"/>
          <w:szCs w:val="24"/>
          <w:rtl/>
        </w:rPr>
        <w:t>،</w:t>
      </w:r>
      <w:r w:rsidR="00777DCB" w:rsidRPr="00A52585">
        <w:rPr>
          <w:rFonts w:hint="cs"/>
          <w:sz w:val="24"/>
          <w:szCs w:val="24"/>
          <w:rtl/>
        </w:rPr>
        <w:t xml:space="preserve"> وصاحب هذه الطامات هو الذي يرحب به الناظم ويتخذه قدوة فتباً لهذا التابع وهذا المتبوع</w:t>
      </w:r>
      <w:r w:rsidR="00DB731D" w:rsidRPr="00A52585">
        <w:rPr>
          <w:rFonts w:hint="cs"/>
          <w:sz w:val="24"/>
          <w:szCs w:val="24"/>
          <w:rtl/>
        </w:rPr>
        <w:t>،</w:t>
      </w:r>
      <w:r w:rsidR="00777DCB" w:rsidRPr="00A52585">
        <w:rPr>
          <w:rFonts w:hint="cs"/>
          <w:sz w:val="24"/>
          <w:szCs w:val="24"/>
          <w:rtl/>
        </w:rPr>
        <w:t xml:space="preserve"> ومما ذكره ابن رجب في مفرداته ارتفاع الحدث بالمياه المعتصرة كماء الورد ونحوه، وجواز المسح على كل ما يحتاج في نـزعه من الرجل إلى معالجة باليد أو بالرجل الأخرى، وعدم توقيت المسح على الخفين مع الحاجة، وجواز التيمم خشية فوت الوقت لغير المعذور وفوت الجمعة والعيدين وأنه لا حدَّ لأقل الحيض ولا لأكثره ولا لسن </w:t>
      </w:r>
      <w:proofErr w:type="spellStart"/>
      <w:r w:rsidR="00777DCB" w:rsidRPr="00A52585">
        <w:rPr>
          <w:rFonts w:hint="cs"/>
          <w:sz w:val="24"/>
          <w:szCs w:val="24"/>
          <w:rtl/>
        </w:rPr>
        <w:t>الإياس</w:t>
      </w:r>
      <w:proofErr w:type="spellEnd"/>
      <w:r w:rsidR="00777DCB" w:rsidRPr="00A52585">
        <w:rPr>
          <w:rFonts w:hint="cs"/>
          <w:sz w:val="24"/>
          <w:szCs w:val="24"/>
          <w:rtl/>
        </w:rPr>
        <w:t>، وأنَّ قصر الصلاة يجوز في قصير السفر وطويله، وأن البكر لا تستبرئ ولو كانت كبيرة وأنه لا يشترط الوضوء لسجود التلاوة، وأنه يجوز المسابقة بلا محلل، واستبراء المختلعة بحيضة وكذا الموطوءة بشبهة والمطلقة آخر ثلاث تطليقات وغيرها اهـ</w:t>
      </w:r>
      <w:r w:rsidR="00DB731D" w:rsidRPr="00A52585">
        <w:rPr>
          <w:rFonts w:hint="cs"/>
          <w:sz w:val="24"/>
          <w:szCs w:val="24"/>
          <w:rtl/>
        </w:rPr>
        <w:t>،</w:t>
      </w:r>
      <w:r w:rsidR="00777DCB" w:rsidRPr="00A52585">
        <w:rPr>
          <w:rFonts w:hint="cs"/>
          <w:sz w:val="24"/>
          <w:szCs w:val="24"/>
          <w:rtl/>
        </w:rPr>
        <w:t xml:space="preserve"> فكم له من شواذ نحو ما تقدم</w:t>
      </w:r>
      <w:r w:rsidR="00DB731D" w:rsidRPr="00A52585">
        <w:rPr>
          <w:rFonts w:hint="cs"/>
          <w:sz w:val="24"/>
          <w:szCs w:val="24"/>
          <w:rtl/>
        </w:rPr>
        <w:t>،</w:t>
      </w:r>
      <w:r w:rsidR="00777DCB" w:rsidRPr="00A52585">
        <w:rPr>
          <w:rFonts w:hint="cs"/>
          <w:sz w:val="24"/>
          <w:szCs w:val="24"/>
          <w:rtl/>
        </w:rPr>
        <w:t xml:space="preserve"> وقد ذكر ابن حجر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الفتاوى الحديثية كثيراً من شواذ ابن تيمية وقال عنه</w:t>
      </w:r>
      <w:r w:rsidRPr="00A52585">
        <w:rPr>
          <w:rFonts w:hint="cs"/>
          <w:sz w:val="24"/>
          <w:szCs w:val="24"/>
          <w:rtl/>
        </w:rPr>
        <w:t>:</w:t>
      </w:r>
      <w:r w:rsidR="00777DCB" w:rsidRPr="00A52585">
        <w:rPr>
          <w:rFonts w:hint="cs"/>
          <w:sz w:val="24"/>
          <w:szCs w:val="24"/>
          <w:rtl/>
        </w:rPr>
        <w:t xml:space="preserve"> "عبد خذله الله وأخزاه وأصمه وأعماه"</w:t>
      </w:r>
      <w:r w:rsidR="00DB731D" w:rsidRPr="00A52585">
        <w:rPr>
          <w:rFonts w:hint="cs"/>
          <w:sz w:val="24"/>
          <w:szCs w:val="24"/>
          <w:rtl/>
        </w:rPr>
        <w:t>،</w:t>
      </w:r>
      <w:r w:rsidR="00777DCB" w:rsidRPr="00A52585">
        <w:rPr>
          <w:rFonts w:hint="cs"/>
          <w:sz w:val="24"/>
          <w:szCs w:val="24"/>
          <w:rtl/>
        </w:rPr>
        <w:t xml:space="preserve"> وقد حاول الشيخ نعمان الألوسي - بإشارة صديق خان الذي كان له به صلة مادية متينة -</w:t>
      </w:r>
      <w:r w:rsidRPr="00A52585">
        <w:rPr>
          <w:rFonts w:hint="cs"/>
          <w:sz w:val="24"/>
          <w:szCs w:val="24"/>
          <w:rtl/>
        </w:rPr>
        <w:t xml:space="preserve"> </w:t>
      </w:r>
      <w:r w:rsidR="00777DCB" w:rsidRPr="00A52585">
        <w:rPr>
          <w:rFonts w:hint="cs"/>
          <w:sz w:val="24"/>
          <w:szCs w:val="24"/>
          <w:rtl/>
        </w:rPr>
        <w:t xml:space="preserve">الرد عليه في (جلاء العينين) متوخياً تبرئة ساحة ابن تيمية من غالب تلك الشواذ، لكن سقط في يده حيث فضحت هذه المرحلة من الدعاية لابن تيمية بطبع كتب له فيما بعد تصرح بما نفي هو عنه، بل ربما تطبع له كتب أخرى مثل (التأسيس في رد أساس التقديس) بالنظر إلى أن بعض صنائع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نقله حديثاً فيخربون بيوتهم بأيديهم وأيدي المسلمين</w:t>
      </w:r>
      <w:r w:rsidR="00DB731D" w:rsidRPr="00A52585">
        <w:rPr>
          <w:rFonts w:hint="cs"/>
          <w:sz w:val="24"/>
          <w:szCs w:val="24"/>
          <w:rtl/>
        </w:rPr>
        <w:t>،</w:t>
      </w:r>
      <w:r w:rsidR="00777DCB" w:rsidRPr="00A52585">
        <w:rPr>
          <w:rFonts w:hint="cs"/>
          <w:sz w:val="24"/>
          <w:szCs w:val="24"/>
          <w:rtl/>
        </w:rPr>
        <w:t xml:space="preserve"> وفيما ذكرناه كفاية في لفت النظر إلى نماذج من مفرداته</w:t>
      </w:r>
      <w:r w:rsidR="00DB731D" w:rsidRPr="00A52585">
        <w:rPr>
          <w:rFonts w:hint="cs"/>
          <w:sz w:val="24"/>
          <w:szCs w:val="24"/>
          <w:rtl/>
        </w:rPr>
        <w:t>،</w:t>
      </w:r>
      <w:r w:rsidR="00777DCB" w:rsidRPr="00A52585">
        <w:rPr>
          <w:rFonts w:hint="cs"/>
          <w:sz w:val="24"/>
          <w:szCs w:val="24"/>
          <w:rtl/>
        </w:rPr>
        <w:t xml:space="preserve"> والشيخ نعمان المذكور ناقض نفسه حيث يناقض كلامه في الكتاب المذكور ما سطره هو في (غالية المواعظ)، لكن قاتل الله المادة ما دخلت في شيء إلا أفسدته؛ وهو ليس بأمين على طبع تفسير والده ولو قابله أحدهم بالنسخة المحفوظة اليوم بمكتبة راغب باشا </w:t>
      </w:r>
      <w:proofErr w:type="spellStart"/>
      <w:r w:rsidR="00777DCB" w:rsidRPr="00A52585">
        <w:rPr>
          <w:rFonts w:hint="cs"/>
          <w:sz w:val="24"/>
          <w:szCs w:val="24"/>
          <w:rtl/>
        </w:rPr>
        <w:t>باصطنبول</w:t>
      </w:r>
      <w:proofErr w:type="spellEnd"/>
      <w:r w:rsidRPr="00A52585">
        <w:rPr>
          <w:rFonts w:hint="cs"/>
          <w:sz w:val="24"/>
          <w:szCs w:val="24"/>
          <w:rtl/>
        </w:rPr>
        <w:t xml:space="preserve"> </w:t>
      </w:r>
      <w:r w:rsidR="00777DCB" w:rsidRPr="00A52585">
        <w:rPr>
          <w:rFonts w:hint="cs"/>
          <w:sz w:val="24"/>
          <w:szCs w:val="24"/>
          <w:rtl/>
        </w:rPr>
        <w:t>- هي النسخة التي كان المؤلف أهداها إلى السلطان عبد المجيد خان– لوجد ما يطمئن إليه، نسأل الله السلامة</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p>
    <w:p w14:paraId="660ECE89" w14:textId="2AF73846"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ومن العجائب قولهم </w:t>
      </w:r>
      <w:proofErr w:type="spellStart"/>
      <w:r w:rsidR="00777DCB" w:rsidRPr="00A52585">
        <w:rPr>
          <w:rFonts w:hint="cs"/>
          <w:rtl/>
        </w:rPr>
        <w:t>حشوية</w:t>
      </w:r>
      <w:proofErr w:type="spellEnd"/>
      <w:r w:rsidR="00777DCB" w:rsidRPr="00A52585">
        <w:rPr>
          <w:rFonts w:hint="cs"/>
          <w:vertAlign w:val="superscript"/>
          <w:rtl/>
        </w:rPr>
        <w:t xml:space="preserve"> </w:t>
      </w:r>
      <w:r w:rsidR="00777DCB" w:rsidRPr="00A52585">
        <w:rPr>
          <w:rFonts w:hint="cs"/>
          <w:rtl/>
        </w:rPr>
        <w:t>سمى به ابن عبيد</w:t>
      </w:r>
      <w:r w:rsidRPr="00A52585">
        <w:rPr>
          <w:rFonts w:hint="cs"/>
          <w:rtl/>
        </w:rPr>
        <w:t>)</w:t>
      </w:r>
      <w:r w:rsidR="00777DCB" w:rsidRPr="00A52585">
        <w:rPr>
          <w:rFonts w:hint="cs"/>
          <w:rtl/>
        </w:rPr>
        <w:t xml:space="preserve"> فيه سفه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فهل تلقيب عمرو بن عبيد لابن عمر رضي الله عنه بالحشوي إفكا وزوراً على تقدير ثبوت ذلك عنه يمنع من تلقيب الحسن البصري لطوائف</w:t>
      </w:r>
      <w:r w:rsidRPr="00A52585">
        <w:rPr>
          <w:rFonts w:hint="cs"/>
          <w:sz w:val="24"/>
          <w:szCs w:val="24"/>
          <w:rtl/>
        </w:rPr>
        <w:t>]</w:t>
      </w:r>
      <w:r w:rsidR="00777DCB" w:rsidRPr="00A52585">
        <w:rPr>
          <w:rFonts w:hint="cs"/>
          <w:sz w:val="24"/>
          <w:szCs w:val="24"/>
          <w:rtl/>
        </w:rPr>
        <w:t xml:space="preserve"> </w:t>
      </w:r>
    </w:p>
    <w:p w14:paraId="611643D2" w14:textId="7EB8F2AE" w:rsidR="00777DCB" w:rsidRPr="00A52585" w:rsidRDefault="0002035C" w:rsidP="0002035C">
      <w:pPr>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كم ذا مجسمة</w:t>
      </w:r>
      <w:r w:rsidR="00DB731D" w:rsidRPr="00A52585">
        <w:rPr>
          <w:rFonts w:hint="cs"/>
          <w:rtl/>
        </w:rPr>
        <w:t>،</w:t>
      </w:r>
      <w:r w:rsidR="00777DCB" w:rsidRPr="00A52585">
        <w:rPr>
          <w:rFonts w:hint="cs"/>
          <w:rtl/>
        </w:rPr>
        <w:t xml:space="preserve"> وإذا سببتم بالمحال فسبنا بأدلة وحجاج ذي برهان فحقيقة التجسيم إن </w:t>
      </w:r>
      <w:proofErr w:type="spellStart"/>
      <w:r w:rsidR="00777DCB" w:rsidRPr="00A52585">
        <w:rPr>
          <w:rFonts w:hint="cs"/>
          <w:rtl/>
        </w:rPr>
        <w:t>يك</w:t>
      </w:r>
      <w:proofErr w:type="spellEnd"/>
      <w:r w:rsidR="00777DCB" w:rsidRPr="00A52585">
        <w:rPr>
          <w:rFonts w:hint="cs"/>
          <w:rtl/>
        </w:rPr>
        <w:t xml:space="preserve"> عندكم وصف الإله بصفاته العليا فتحملوا عنا الشهادة واشهدوا في كل مجتمع وكل مكان أنا مجسمة بفضل الله وليشهد بذلك معكم الثقلان</w:t>
      </w:r>
      <w:r w:rsidRPr="00A52585">
        <w:rPr>
          <w:rFonts w:hint="cs"/>
          <w:rtl/>
        </w:rPr>
        <w:t>)</w:t>
      </w:r>
      <w:r w:rsidR="00DB731D" w:rsidRPr="00A52585">
        <w:rPr>
          <w:rFonts w:hint="cs"/>
          <w:rtl/>
        </w:rPr>
        <w:t>،</w:t>
      </w:r>
      <w:r w:rsidR="00777DCB" w:rsidRPr="00A52585">
        <w:rPr>
          <w:rFonts w:hint="cs"/>
          <w:rtl/>
        </w:rPr>
        <w:t xml:space="preserve"> نقول له أنت أبديت لنا اعتقادك ووصفت بأمور يمتحن فيها كل عاقل منصف إذا عرضت على خال من الأعراض كلها من امرأة أو صبي أو أعجمي أو عربي عامي وعموم الناس هل يفهمون من الاستواء والقعود والنـزول </w:t>
      </w:r>
      <w:proofErr w:type="spellStart"/>
      <w:r w:rsidR="00777DCB" w:rsidRPr="00A52585">
        <w:rPr>
          <w:rFonts w:hint="cs"/>
          <w:rtl/>
        </w:rPr>
        <w:t>والمجئ</w:t>
      </w:r>
      <w:proofErr w:type="spellEnd"/>
      <w:r w:rsidR="00777DCB" w:rsidRPr="00A52585">
        <w:rPr>
          <w:rFonts w:hint="cs"/>
          <w:rtl/>
        </w:rPr>
        <w:t xml:space="preserve"> والإتيان والوجه واليد </w:t>
      </w:r>
      <w:r w:rsidR="00777DCB" w:rsidRPr="00A52585">
        <w:rPr>
          <w:rFonts w:hint="cs"/>
          <w:rtl/>
        </w:rPr>
        <w:lastRenderedPageBreak/>
        <w:t xml:space="preserve">والساق والقدم والجنب والعين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ليس بخاف على ملمٍّ باللغة العربية وبمناحي الكلام في اللسان العربي المبين أن لكل كلمة مع صاحبتها شأناً ليس لها مع كلمة أخرى، فمن جمع ما فرقه الله سبحانه في كتابه من الصفات العليا أو فرق ما جمعه فقد خان الله حيث جعل صفات الله سبحانه عرضة لتقولات </w:t>
      </w:r>
      <w:proofErr w:type="spellStart"/>
      <w:r w:rsidR="00777DCB" w:rsidRPr="00A52585">
        <w:rPr>
          <w:rFonts w:hint="cs"/>
          <w:sz w:val="24"/>
          <w:szCs w:val="24"/>
          <w:rtl/>
        </w:rPr>
        <w:t>المتقولين</w:t>
      </w:r>
      <w:proofErr w:type="spellEnd"/>
      <w:r w:rsidR="00777DCB" w:rsidRPr="00A52585">
        <w:rPr>
          <w:rFonts w:hint="cs"/>
          <w:sz w:val="24"/>
          <w:szCs w:val="24"/>
          <w:rtl/>
        </w:rPr>
        <w:t xml:space="preserve"> من أصحاب الأهواء؛ وكذلك ما ورد في السنة من الصفات والأفعال. وكم بين المجسمة من ألف فيما يسمونه التوحيد أو السنة أو الصفات أبواباً في اليد والعين والساعد والأصبع واليمين والذراع والكف والجنب والقدم والحقو والصدر ونحوها؛ جمعاً لما تفرق في الروايات المختلفة لمختلف الرواة لهوى في نفوسهم، وليس تفريق المجموع وجمع المفرق في هذا الباب من شأن من يخافه سبحانه، وأنت علمت معاني تلك الصفات على مذهب أهل الحق]</w:t>
      </w:r>
      <w:r w:rsidR="00DB731D" w:rsidRPr="00A52585">
        <w:rPr>
          <w:rFonts w:hint="cs"/>
          <w:rtl/>
        </w:rPr>
        <w:t>،</w:t>
      </w:r>
      <w:r w:rsidR="00777DCB" w:rsidRPr="00A52585">
        <w:rPr>
          <w:rFonts w:hint="cs"/>
          <w:rtl/>
        </w:rPr>
        <w:t xml:space="preserve"> والانتقال في الدرجات وغير ذلك مما قد ذكرته معنى </w:t>
      </w:r>
      <w:proofErr w:type="gramStart"/>
      <w:r w:rsidR="00777DCB" w:rsidRPr="00A52585">
        <w:rPr>
          <w:rFonts w:hint="cs"/>
          <w:rtl/>
        </w:rPr>
        <w:t>الجسم,</w:t>
      </w:r>
      <w:proofErr w:type="gramEnd"/>
      <w:r w:rsidR="00777DCB" w:rsidRPr="00A52585">
        <w:rPr>
          <w:rFonts w:hint="cs"/>
          <w:rtl/>
        </w:rPr>
        <w:t xml:space="preserve"> ويرسم ذلك في نفسه أو لا</w:t>
      </w:r>
      <w:r w:rsidR="00F95886" w:rsidRPr="00A52585">
        <w:rPr>
          <w:rFonts w:hint="cs"/>
          <w:rtl/>
        </w:rPr>
        <w:t>؟</w:t>
      </w:r>
      <w:r w:rsidR="00777DCB" w:rsidRPr="00A52585">
        <w:rPr>
          <w:rFonts w:hint="cs"/>
          <w:rtl/>
        </w:rPr>
        <w:t xml:space="preserve"> فإن قال إنه لا يفهم منها إلا معنى الجسم فيكفيك إثماً عند الله إضلال مثل هؤلاء وحملهم على اعتقاد التجسيم الذي تزعم أنت بلسانك أنك لا تقول به. فالمحقق منك إضلال أكثر العالم</w:t>
      </w:r>
      <w:r w:rsidR="00DB731D" w:rsidRPr="00A52585">
        <w:rPr>
          <w:rFonts w:hint="cs"/>
          <w:rtl/>
        </w:rPr>
        <w:t>،</w:t>
      </w:r>
      <w:r w:rsidR="00777DCB" w:rsidRPr="00A52585">
        <w:rPr>
          <w:rFonts w:hint="cs"/>
          <w:rtl/>
        </w:rPr>
        <w:t xml:space="preserve"> وأما أنت في نفسك فإن كذبت في إنكارك فقد جمعت إلى فساد الاعتقاد الكذب</w:t>
      </w:r>
      <w:r w:rsidR="00DB731D" w:rsidRPr="00A52585">
        <w:rPr>
          <w:rFonts w:hint="cs"/>
          <w:rtl/>
        </w:rPr>
        <w:t>،</w:t>
      </w:r>
      <w:r w:rsidR="00777DCB" w:rsidRPr="00A52585">
        <w:rPr>
          <w:rFonts w:hint="cs"/>
          <w:rtl/>
        </w:rPr>
        <w:t xml:space="preserve"> وإن صدقت في زعمك فقد لبست عليك نفسك وخيلت لك فرقا أو كان عندك فرق الله أعلم به</w:t>
      </w:r>
      <w:r w:rsidR="00DB731D" w:rsidRPr="00A52585">
        <w:rPr>
          <w:rFonts w:hint="cs"/>
          <w:rtl/>
        </w:rPr>
        <w:t>،</w:t>
      </w:r>
      <w:r w:rsidR="00777DCB" w:rsidRPr="00A52585">
        <w:rPr>
          <w:rFonts w:hint="cs"/>
          <w:rtl/>
        </w:rPr>
        <w:t xml:space="preserve"> هذا في الباطن الذي أمره إلى الله في الآخرة؛ وأما في الدنيا فإن في قبول قولك عندنا نظراً فإن قبل أو لم يقبل -</w:t>
      </w:r>
      <w:r w:rsidRPr="00A52585">
        <w:rPr>
          <w:rFonts w:hint="cs"/>
          <w:rtl/>
        </w:rPr>
        <w:t xml:space="preserve"> </w:t>
      </w:r>
      <w:r w:rsidR="00777DCB" w:rsidRPr="00A52585">
        <w:rPr>
          <w:rFonts w:hint="cs"/>
          <w:rtl/>
        </w:rPr>
        <w:t>وإن كنا لم نقل بالتكفير ولا بالقتل -</w:t>
      </w:r>
      <w:r w:rsidRPr="00A52585">
        <w:rPr>
          <w:rFonts w:hint="cs"/>
          <w:rtl/>
        </w:rPr>
        <w:t xml:space="preserve"> </w:t>
      </w:r>
      <w:r w:rsidR="00777DCB" w:rsidRPr="00A52585">
        <w:rPr>
          <w:rFonts w:hint="cs"/>
          <w:rtl/>
        </w:rPr>
        <w:t>فلا أقل من القدر الذي ينكف به ضررك عن المسلمين. وهذه الأشياء التي ذكرناها هي عند أهل اللغة أجزاء لا أوصاف</w:t>
      </w:r>
      <w:r w:rsidR="00DB731D" w:rsidRPr="00A52585">
        <w:rPr>
          <w:rFonts w:hint="cs"/>
          <w:rtl/>
        </w:rPr>
        <w:t>،</w:t>
      </w:r>
      <w:r w:rsidR="00777DCB" w:rsidRPr="00A52585">
        <w:rPr>
          <w:rFonts w:hint="cs"/>
          <w:rtl/>
        </w:rPr>
        <w:t xml:space="preserve"> فهي صريحة في التركيب؛ والتركيب للأجسام. فذكرك لفظ الأوصاف تلبيس وكل أهل اللغة لا يفهمون من الوجه والعين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 ذكر من السلف أن العين واليد صفتان تبرأ بهذا اللفظ عن القول بالجارحة بل يكون قائلا بأن المراد بالعين معنى قائم بالله وكذلك اليد لكن لا أعيّن ذلك المعنى المراد بأن أقول إنه الرؤية أو الحفظ، والقدرة أو النعمة أو العناية الخاصة لكون تعيين المراد من بين المحتملات الموافقة للتنـزيه تحكماً على مراد الله؛ وتسميته لهما صفتين تدل على أنه جازم بأنهما ليستا من قبيل أجزاء الذات تعالى الله عن ذلك</w:t>
      </w:r>
      <w:r w:rsidR="00DB731D" w:rsidRPr="00A52585">
        <w:rPr>
          <w:rFonts w:hint="cs"/>
          <w:sz w:val="24"/>
          <w:szCs w:val="24"/>
          <w:rtl/>
        </w:rPr>
        <w:t>،</w:t>
      </w:r>
      <w:r w:rsidR="00777DCB" w:rsidRPr="00A52585">
        <w:rPr>
          <w:rFonts w:hint="cs"/>
          <w:sz w:val="24"/>
          <w:szCs w:val="24"/>
          <w:rtl/>
        </w:rPr>
        <w:t xml:space="preserve"> ومن قال وله يد بها يبطش وعين بها يرى جعلهما من قبيل الجوارح وخالف السلف الصالح</w:t>
      </w:r>
      <w:r w:rsidR="00DB731D" w:rsidRPr="00A52585">
        <w:rPr>
          <w:rFonts w:hint="cs"/>
          <w:sz w:val="24"/>
          <w:szCs w:val="24"/>
          <w:rtl/>
        </w:rPr>
        <w:t>،</w:t>
      </w:r>
      <w:r w:rsidR="00777DCB" w:rsidRPr="00A52585">
        <w:rPr>
          <w:rFonts w:hint="cs"/>
          <w:sz w:val="24"/>
          <w:szCs w:val="24"/>
          <w:rtl/>
        </w:rPr>
        <w:t xml:space="preserve"> وقد قال الترمذي عند الكلام على حديث (يمين الرحمن </w:t>
      </w:r>
      <w:proofErr w:type="spellStart"/>
      <w:r w:rsidR="00777DCB" w:rsidRPr="00A52585">
        <w:rPr>
          <w:rFonts w:hint="cs"/>
          <w:sz w:val="24"/>
          <w:szCs w:val="24"/>
          <w:rtl/>
        </w:rPr>
        <w:t>ملأى</w:t>
      </w:r>
      <w:proofErr w:type="spellEnd"/>
      <w:r w:rsidR="00777DCB" w:rsidRPr="00A52585">
        <w:rPr>
          <w:rFonts w:hint="cs"/>
          <w:sz w:val="24"/>
          <w:szCs w:val="24"/>
          <w:rtl/>
        </w:rPr>
        <w:t xml:space="preserve"> سخاء…)</w:t>
      </w:r>
      <w:r w:rsidRPr="00A52585">
        <w:rPr>
          <w:rFonts w:hint="cs"/>
          <w:sz w:val="24"/>
          <w:szCs w:val="24"/>
          <w:rtl/>
        </w:rPr>
        <w:t>:</w:t>
      </w:r>
      <w:r w:rsidR="00777DCB" w:rsidRPr="00A52585">
        <w:rPr>
          <w:rFonts w:hint="cs"/>
          <w:sz w:val="24"/>
          <w:szCs w:val="24"/>
          <w:rtl/>
        </w:rPr>
        <w:t xml:space="preserve"> "وهذا حديث قد روته الأئمة نؤمن به كما جاء من غير أن يفسر أو يتوهم، هكذا قال غير واحد من الأئمة منهم الثوري ومالك بن أنس وابن عيينة وابن المبارك أنه تروي هذه الأشياء ويؤمن بها فلا يقال كيف" اهـ.</w:t>
      </w:r>
      <w:r w:rsidR="00DB731D" w:rsidRPr="00A52585">
        <w:rPr>
          <w:rFonts w:hint="cs"/>
          <w:sz w:val="24"/>
          <w:szCs w:val="24"/>
          <w:rtl/>
        </w:rPr>
        <w:t>،</w:t>
      </w:r>
      <w:r w:rsidR="00777DCB" w:rsidRPr="00A52585">
        <w:rPr>
          <w:rFonts w:hint="cs"/>
          <w:sz w:val="24"/>
          <w:szCs w:val="24"/>
          <w:rtl/>
        </w:rPr>
        <w:t xml:space="preserve"> وأين هذا من عمل الناظم وشيخه</w:t>
      </w:r>
      <w:r w:rsidR="00F95886" w:rsidRPr="00A52585">
        <w:rPr>
          <w:rFonts w:hint="cs"/>
          <w:sz w:val="24"/>
          <w:szCs w:val="24"/>
          <w:rtl/>
        </w:rPr>
        <w:t>؟</w:t>
      </w:r>
      <w:r w:rsidR="00777DCB" w:rsidRPr="00A52585">
        <w:rPr>
          <w:rFonts w:hint="cs"/>
          <w:sz w:val="24"/>
          <w:szCs w:val="24"/>
          <w:rtl/>
        </w:rPr>
        <w:t xml:space="preserve"> نعم قد يقع في كلامهما ذكر الوجه والعين واليد وغيرها بأنها صفات، لكن السياق والسباق في كلامهما يناديان أنهما أرادا بها أجزاء الذات لا المعاني القائمة بالله سبحانه كما يقول السلف، واصطلحا في الصفة على معنى يجامع الجزء على خلاف المعروف بين أهل العلم وإلا لما بقي وجه لتشددهما ضد أهل الحق</w:t>
      </w:r>
      <w:r w:rsidR="00DB731D" w:rsidRPr="00A52585">
        <w:rPr>
          <w:rFonts w:hint="cs"/>
          <w:sz w:val="24"/>
          <w:szCs w:val="24"/>
          <w:rtl/>
        </w:rPr>
        <w:t>،</w:t>
      </w:r>
      <w:r w:rsidR="00777DCB" w:rsidRPr="00A52585">
        <w:rPr>
          <w:rFonts w:hint="cs"/>
          <w:sz w:val="24"/>
          <w:szCs w:val="24"/>
          <w:rtl/>
        </w:rPr>
        <w:t xml:space="preserve"> وشيخ الناظم يقول في الأجوبة المصرية</w:t>
      </w:r>
      <w:r w:rsidRPr="00A52585">
        <w:rPr>
          <w:rFonts w:hint="cs"/>
          <w:sz w:val="24"/>
          <w:szCs w:val="24"/>
          <w:rtl/>
        </w:rPr>
        <w:t>:</w:t>
      </w:r>
      <w:r w:rsidR="00777DCB" w:rsidRPr="00A52585">
        <w:rPr>
          <w:rFonts w:hint="cs"/>
          <w:sz w:val="24"/>
          <w:szCs w:val="24"/>
          <w:rtl/>
        </w:rPr>
        <w:t xml:space="preserve"> "إن الله يقبض </w:t>
      </w:r>
      <w:proofErr w:type="gramStart"/>
      <w:r w:rsidR="00777DCB" w:rsidRPr="00A52585">
        <w:rPr>
          <w:rFonts w:hint="cs"/>
          <w:sz w:val="24"/>
          <w:szCs w:val="24"/>
          <w:rtl/>
        </w:rPr>
        <w:t>السموات</w:t>
      </w:r>
      <w:proofErr w:type="gramEnd"/>
      <w:r w:rsidR="00777DCB" w:rsidRPr="00A52585">
        <w:rPr>
          <w:rFonts w:hint="cs"/>
          <w:sz w:val="24"/>
          <w:szCs w:val="24"/>
          <w:rtl/>
        </w:rPr>
        <w:t xml:space="preserve"> والأرض باليدين اللتين هما اليدان" فماذا يجدي بعد هذا التصريح أن يسميها صفات</w:t>
      </w:r>
      <w:r w:rsidR="00F95886" w:rsidRPr="00A52585">
        <w:rPr>
          <w:rFonts w:hint="cs"/>
          <w:sz w:val="24"/>
          <w:szCs w:val="24"/>
          <w:rtl/>
        </w:rPr>
        <w:t>؟</w:t>
      </w:r>
      <w:r w:rsidR="00777DCB" w:rsidRPr="00A52585">
        <w:rPr>
          <w:rFonts w:hint="cs"/>
          <w:sz w:val="24"/>
          <w:szCs w:val="24"/>
          <w:rtl/>
        </w:rPr>
        <w:t xml:space="preserve"> والله سبحانه هو الهادي</w:t>
      </w:r>
      <w:r w:rsidR="00DB731D" w:rsidRPr="00A52585">
        <w:rPr>
          <w:rFonts w:hint="cs"/>
          <w:sz w:val="24"/>
          <w:szCs w:val="24"/>
          <w:rtl/>
        </w:rPr>
        <w:t>،</w:t>
      </w:r>
      <w:r w:rsidR="00777DCB" w:rsidRPr="00A52585">
        <w:rPr>
          <w:rFonts w:hint="cs"/>
          <w:sz w:val="24"/>
          <w:szCs w:val="24"/>
          <w:rtl/>
        </w:rPr>
        <w:t xml:space="preserve"> وأهل العلم من الخلف يحملون القبض على أنه مجاز عن إخراج السموات من </w:t>
      </w:r>
      <w:proofErr w:type="gramStart"/>
      <w:r w:rsidR="00777DCB" w:rsidRPr="00A52585">
        <w:rPr>
          <w:rFonts w:hint="cs"/>
          <w:sz w:val="24"/>
          <w:szCs w:val="24"/>
          <w:rtl/>
        </w:rPr>
        <w:t>الإظلال,</w:t>
      </w:r>
      <w:proofErr w:type="gramEnd"/>
      <w:r w:rsidR="00777DCB" w:rsidRPr="00A52585">
        <w:rPr>
          <w:rFonts w:hint="cs"/>
          <w:sz w:val="24"/>
          <w:szCs w:val="24"/>
          <w:rtl/>
        </w:rPr>
        <w:t xml:space="preserve"> والأرض من الإقلال, وإيقافهما عن أن تكونا صالحتين لتناسل المتناسلين كما يشير إلى ذلك البيضاوي، وهو القابض </w:t>
      </w:r>
      <w:r w:rsidR="00777DCB" w:rsidRPr="00A52585">
        <w:rPr>
          <w:rFonts w:hint="cs"/>
          <w:sz w:val="24"/>
          <w:szCs w:val="24"/>
          <w:rtl/>
        </w:rPr>
        <w:lastRenderedPageBreak/>
        <w:t>الباسط أي الموقف عن المسير متى شاء والمجري للأمور كما يشاء. راجع العارضة في شرح الأسماء الحسنى</w:t>
      </w:r>
      <w:r w:rsidR="00DB731D" w:rsidRPr="00A52585">
        <w:rPr>
          <w:rFonts w:hint="cs"/>
          <w:sz w:val="24"/>
          <w:szCs w:val="24"/>
          <w:rtl/>
        </w:rPr>
        <w:t>،</w:t>
      </w:r>
      <w:r w:rsidR="00777DCB" w:rsidRPr="00A52585">
        <w:rPr>
          <w:rFonts w:hint="cs"/>
          <w:sz w:val="24"/>
          <w:szCs w:val="24"/>
          <w:rtl/>
        </w:rPr>
        <w:t xml:space="preserve"> والسلف يفوضون مع التنـزيه، وأما حمل القبض على القبض الحسي فقول بالتجسيم والجارحة، تعالى الله عن ذلك</w:t>
      </w:r>
      <w:r w:rsidRPr="00A52585">
        <w:rPr>
          <w:rFonts w:hint="cs"/>
          <w:sz w:val="24"/>
          <w:szCs w:val="24"/>
          <w:rtl/>
        </w:rPr>
        <w:t>]</w:t>
      </w:r>
      <w:r w:rsidR="00DB731D" w:rsidRPr="00A52585">
        <w:rPr>
          <w:rFonts w:hint="cs"/>
          <w:rtl/>
        </w:rPr>
        <w:t>،</w:t>
      </w:r>
      <w:r w:rsidR="00777DCB" w:rsidRPr="00A52585">
        <w:rPr>
          <w:rFonts w:hint="cs"/>
          <w:rtl/>
        </w:rPr>
        <w:t xml:space="preserve"> والجنب والقدم إلا الأجزاء؛ ولا يفهم من الاستواء بمعنى القعود إلا أنه هيئة وضع المتمكن في المكان ولا </w:t>
      </w:r>
      <w:r w:rsidR="00777DCB" w:rsidRPr="00A52585">
        <w:rPr>
          <w:rFonts w:hint="cs"/>
          <w:spacing w:val="-4"/>
          <w:rtl/>
        </w:rPr>
        <w:t xml:space="preserve">من </w:t>
      </w:r>
      <w:proofErr w:type="spellStart"/>
      <w:r w:rsidR="00777DCB" w:rsidRPr="00A52585">
        <w:rPr>
          <w:rFonts w:hint="cs"/>
          <w:spacing w:val="-4"/>
          <w:rtl/>
        </w:rPr>
        <w:t>المجئ</w:t>
      </w:r>
      <w:proofErr w:type="spellEnd"/>
      <w:r w:rsidR="00777DCB" w:rsidRPr="00A52585">
        <w:rPr>
          <w:rFonts w:hint="cs"/>
          <w:spacing w:val="-4"/>
          <w:rtl/>
        </w:rPr>
        <w:t xml:space="preserve"> والإتيان والنـزول إلا الحركة الخاصة بالجسم. وأما المشيئة والعلم والقدرة ونحوها فهي صفات ذات وهي فينا ذات أمرين أحدهما عرض قائم بالجسم</w:t>
      </w:r>
      <w:r w:rsidR="00DB731D" w:rsidRPr="00A52585">
        <w:rPr>
          <w:rFonts w:hint="cs"/>
          <w:spacing w:val="-4"/>
          <w:rtl/>
        </w:rPr>
        <w:t>،</w:t>
      </w:r>
      <w:r w:rsidR="00777DCB" w:rsidRPr="00A52585">
        <w:rPr>
          <w:rFonts w:hint="cs"/>
          <w:spacing w:val="-4"/>
          <w:rtl/>
        </w:rPr>
        <w:t xml:space="preserve"> والله تعالى منـزه عنه</w:t>
      </w:r>
      <w:r w:rsidR="00DB731D" w:rsidRPr="00A52585">
        <w:rPr>
          <w:rFonts w:hint="cs"/>
          <w:spacing w:val="-4"/>
          <w:rtl/>
        </w:rPr>
        <w:t>،</w:t>
      </w:r>
      <w:r w:rsidR="00777DCB" w:rsidRPr="00A52585">
        <w:rPr>
          <w:rFonts w:hint="cs"/>
          <w:spacing w:val="-4"/>
          <w:rtl/>
        </w:rPr>
        <w:t xml:space="preserve"> والثاني المعاني المتعلقة بالمراد والمعلوم والمقدور </w:t>
      </w:r>
      <w:r w:rsidR="00777DCB" w:rsidRPr="00A52585">
        <w:rPr>
          <w:rFonts w:hint="cs"/>
          <w:spacing w:val="-8"/>
          <w:rtl/>
        </w:rPr>
        <w:t xml:space="preserve">وهي الموصوف بها الرب سبحانه وتعالى وليست مختصة بالأجسام فظهر </w:t>
      </w:r>
      <w:r w:rsidR="00777DCB" w:rsidRPr="00A52585">
        <w:rPr>
          <w:rFonts w:hint="cs"/>
          <w:spacing w:val="-4"/>
          <w:rtl/>
        </w:rPr>
        <w:t>الفرق</w:t>
      </w:r>
      <w:r w:rsidR="00DB731D" w:rsidRPr="00A52585">
        <w:rPr>
          <w:rFonts w:hint="cs"/>
          <w:rtl/>
        </w:rPr>
        <w:t>،</w:t>
      </w:r>
      <w:r w:rsidR="00777DCB" w:rsidRPr="00A52585">
        <w:rPr>
          <w:rFonts w:hint="cs"/>
          <w:rtl/>
        </w:rPr>
        <w:t xml:space="preserve"> </w:t>
      </w:r>
    </w:p>
    <w:p w14:paraId="2E34B844" w14:textId="2D1D271E"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وارد القلوط</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لفظة عامية لا ينطق بها من العوام إلا من هو بالغ الوقاحة، فضلاً عن أهل العلم، فنأبى شرح هذه الكلمة القذرة المنتنة]</w:t>
      </w:r>
      <w:r w:rsidR="00DB731D" w:rsidRPr="00A52585">
        <w:rPr>
          <w:rFonts w:hint="cs"/>
          <w:sz w:val="24"/>
          <w:szCs w:val="24"/>
          <w:rtl/>
        </w:rPr>
        <w:t>،</w:t>
      </w:r>
      <w:r w:rsidR="00777DCB" w:rsidRPr="00A52585">
        <w:rPr>
          <w:rFonts w:hint="cs"/>
          <w:rtl/>
        </w:rPr>
        <w:t xml:space="preserve"> فأتى ببضعة عشر بيتا من هذا القبيل فهل سمع أحد بأن هذا كلام أهل العلم</w:t>
      </w:r>
      <w:r w:rsidR="00DB731D" w:rsidRPr="00A52585">
        <w:rPr>
          <w:rFonts w:hint="cs"/>
          <w:rtl/>
        </w:rPr>
        <w:t>،</w:t>
      </w:r>
      <w:r w:rsidR="00777DCB" w:rsidRPr="00A52585">
        <w:rPr>
          <w:rFonts w:hint="cs"/>
          <w:rtl/>
        </w:rPr>
        <w:t xml:space="preserve"> وما دعاني إلى الوقوف على هذا </w:t>
      </w:r>
      <w:proofErr w:type="gramStart"/>
      <w:r w:rsidR="00777DCB" w:rsidRPr="00A52585">
        <w:rPr>
          <w:rFonts w:hint="cs"/>
          <w:rtl/>
        </w:rPr>
        <w:t>الوسخ</w:t>
      </w:r>
      <w:r w:rsidR="00F95886" w:rsidRPr="00A52585">
        <w:rPr>
          <w:rFonts w:hint="cs"/>
          <w:rtl/>
        </w:rPr>
        <w:t>؟</w:t>
      </w:r>
      <w:r w:rsidR="00777DCB" w:rsidRPr="00A52585">
        <w:rPr>
          <w:rFonts w:hint="cs"/>
          <w:rtl/>
        </w:rPr>
        <w:t>.</w:t>
      </w:r>
      <w:proofErr w:type="gramEnd"/>
      <w:r w:rsidR="00777DCB" w:rsidRPr="00A52585">
        <w:rPr>
          <w:rFonts w:hint="cs"/>
          <w:rtl/>
        </w:rPr>
        <w:t xml:space="preserve"> ينبغي أن يأتي له </w:t>
      </w:r>
      <w:r w:rsidRPr="00A52585">
        <w:rPr>
          <w:rFonts w:hint="cs"/>
          <w:rtl/>
        </w:rPr>
        <w:t>(</w:t>
      </w:r>
      <w:proofErr w:type="gramStart"/>
      <w:r w:rsidR="00777DCB" w:rsidRPr="00A52585">
        <w:rPr>
          <w:rFonts w:hint="cs"/>
          <w:rtl/>
        </w:rPr>
        <w:t>مجلى</w:t>
      </w:r>
      <w:proofErr w:type="gramEnd"/>
      <w:r w:rsidRPr="00A52585">
        <w:rPr>
          <w:rFonts w:hint="cs"/>
          <w:rtl/>
        </w:rPr>
        <w:t>)</w:t>
      </w:r>
      <w:r w:rsidR="00777DCB" w:rsidRPr="00A52585">
        <w:rPr>
          <w:rFonts w:hint="cs"/>
          <w:rtl/>
        </w:rPr>
        <w:t xml:space="preserve"> مثله يتكلم معه</w:t>
      </w:r>
      <w:r w:rsidR="00897A24" w:rsidRPr="00A52585">
        <w:rPr>
          <w:rFonts w:hint="cs"/>
          <w:rtl/>
        </w:rPr>
        <w:t>.</w:t>
      </w:r>
      <w:r w:rsidR="00777DCB" w:rsidRPr="00A52585">
        <w:rPr>
          <w:rFonts w:hint="cs"/>
          <w:rtl/>
        </w:rPr>
        <w:t>.</w:t>
      </w:r>
    </w:p>
    <w:p w14:paraId="378DCE8A" w14:textId="38CF86FF"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فيه أكثر من تسعين بيتا … وقال في أواخره</w:t>
      </w:r>
      <w:r w:rsidRPr="00A52585">
        <w:rPr>
          <w:rFonts w:hint="cs"/>
          <w:rtl/>
        </w:rPr>
        <w:t>:</w:t>
      </w:r>
      <w:r w:rsidR="00777DCB" w:rsidRPr="00A52585">
        <w:rPr>
          <w:rFonts w:hint="cs"/>
          <w:rtl/>
        </w:rPr>
        <w:t xml:space="preserve"> (من قال بالتعطيل فهو مكذب</w:t>
      </w:r>
      <w:r w:rsidR="00897A24" w:rsidRPr="00A52585">
        <w:rPr>
          <w:rFonts w:hint="cs"/>
          <w:rtl/>
        </w:rPr>
        <w:t>.</w:t>
      </w:r>
      <w:r w:rsidR="00777DCB" w:rsidRPr="00A52585">
        <w:rPr>
          <w:rFonts w:hint="cs"/>
          <w:rtl/>
        </w:rPr>
        <w:t>. بجميع رسل الله والفرقان</w:t>
      </w:r>
      <w:r w:rsidR="00DB731D" w:rsidRPr="00A52585">
        <w:rPr>
          <w:rFonts w:hint="cs"/>
          <w:rtl/>
        </w:rPr>
        <w:t>،</w:t>
      </w:r>
      <w:r w:rsidR="00777DCB" w:rsidRPr="00A52585">
        <w:rPr>
          <w:rFonts w:hint="cs"/>
          <w:rtl/>
        </w:rPr>
        <w:t xml:space="preserve"> إن المعطل لا إله له</w:t>
      </w:r>
      <w:r w:rsidR="00897A24" w:rsidRPr="00A52585">
        <w:rPr>
          <w:rFonts w:hint="cs"/>
          <w:rtl/>
        </w:rPr>
        <w:t>.</w:t>
      </w:r>
      <w:r w:rsidR="00777DCB" w:rsidRPr="00A52585">
        <w:rPr>
          <w:rFonts w:hint="cs"/>
          <w:rtl/>
        </w:rPr>
        <w:t>. سوى المنحوت في الأذهان</w:t>
      </w:r>
      <w:r w:rsidR="00DB731D" w:rsidRPr="00A52585">
        <w:rPr>
          <w:rFonts w:hint="cs"/>
          <w:rtl/>
        </w:rPr>
        <w:t>،</w:t>
      </w:r>
      <w:r w:rsidR="00777DCB" w:rsidRPr="00A52585">
        <w:rPr>
          <w:rFonts w:hint="cs"/>
          <w:rtl/>
        </w:rPr>
        <w:t xml:space="preserve"> وكذا إله المشركين نحتته </w:t>
      </w:r>
      <w:proofErr w:type="spellStart"/>
      <w:r w:rsidR="00777DCB" w:rsidRPr="00A52585">
        <w:rPr>
          <w:rFonts w:hint="cs"/>
          <w:rtl/>
        </w:rPr>
        <w:t>الأي</w:t>
      </w:r>
      <w:proofErr w:type="spellEnd"/>
      <w:r w:rsidR="00777DCB" w:rsidRPr="00A52585">
        <w:rPr>
          <w:rFonts w:hint="cs"/>
          <w:rtl/>
        </w:rPr>
        <w:t>ـ</w:t>
      </w:r>
      <w:r w:rsidR="00897A24" w:rsidRPr="00A52585">
        <w:rPr>
          <w:rFonts w:hint="cs"/>
          <w:rtl/>
        </w:rPr>
        <w:t>.</w:t>
      </w:r>
      <w:r w:rsidR="00777DCB" w:rsidRPr="00A52585">
        <w:rPr>
          <w:rFonts w:hint="cs"/>
          <w:rtl/>
        </w:rPr>
        <w:t>. ــدي هما في نحتهم سيان</w:t>
      </w:r>
      <w:r w:rsidR="00DB731D" w:rsidRPr="00A52585">
        <w:rPr>
          <w:rFonts w:hint="cs"/>
          <w:rtl/>
        </w:rPr>
        <w:t>،</w:t>
      </w:r>
      <w:r w:rsidR="00777DCB" w:rsidRPr="00A52585">
        <w:rPr>
          <w:rFonts w:hint="cs"/>
          <w:rtl/>
        </w:rPr>
        <w:t xml:space="preserve"> لكـن إلـه المرسلـين هـو الذي</w:t>
      </w:r>
      <w:r w:rsidR="00897A24" w:rsidRPr="00A52585">
        <w:rPr>
          <w:rFonts w:hint="cs"/>
          <w:rtl/>
        </w:rPr>
        <w:t>.</w:t>
      </w:r>
      <w:r w:rsidR="00777DCB" w:rsidRPr="00A52585">
        <w:rPr>
          <w:rFonts w:hint="cs"/>
          <w:rtl/>
        </w:rPr>
        <w:t>. فوق السماء مكون</w:t>
      </w:r>
      <w:r w:rsidRPr="00A52585">
        <w:rPr>
          <w:rFonts w:hint="cs"/>
          <w:rtl/>
        </w:rPr>
        <w:t xml:space="preserve"> </w:t>
      </w:r>
      <w:r w:rsidR="00777DCB" w:rsidRPr="00A52585">
        <w:rPr>
          <w:rFonts w:hint="cs"/>
          <w:rtl/>
        </w:rPr>
        <w:t>الأكــوان</w:t>
      </w:r>
      <w:r w:rsidRPr="00A52585">
        <w:rPr>
          <w:rFonts w:hint="cs"/>
          <w:rtl/>
        </w:rPr>
        <w:t>)</w:t>
      </w:r>
      <w:r w:rsidR="00DB731D" w:rsidRPr="00A52585">
        <w:rPr>
          <w:rFonts w:hint="cs"/>
          <w:rtl/>
        </w:rPr>
        <w:t>،</w:t>
      </w:r>
      <w:r w:rsidR="00777DCB" w:rsidRPr="00A52585">
        <w:rPr>
          <w:rFonts w:hint="cs"/>
          <w:rtl/>
        </w:rPr>
        <w:t xml:space="preserve"> وهذا الرجل يسمي خصومه معطلة؛ لأنهم نفوا الصانع الذي يقول هو به ويصفه بتلك الصفات بزعمه؛ ويجعلهم يعبدون إلهاً آخر ويكفرهم كالمشركين العابدين للأصنام</w:t>
      </w:r>
      <w:r w:rsidR="00DB731D" w:rsidRPr="00A52585">
        <w:rPr>
          <w:rFonts w:hint="cs"/>
          <w:rtl/>
        </w:rPr>
        <w:t>،</w:t>
      </w:r>
      <w:r w:rsidR="00777DCB" w:rsidRPr="00A52585">
        <w:rPr>
          <w:rFonts w:hint="cs"/>
          <w:rtl/>
        </w:rPr>
        <w:t xml:space="preserve"> </w:t>
      </w:r>
      <w:proofErr w:type="spellStart"/>
      <w:r w:rsidR="00777DCB" w:rsidRPr="00A52585">
        <w:rPr>
          <w:rFonts w:hint="cs"/>
          <w:rtl/>
        </w:rPr>
        <w:t>فياخيبة</w:t>
      </w:r>
      <w:proofErr w:type="spellEnd"/>
      <w:r w:rsidR="00777DCB" w:rsidRPr="00A52585">
        <w:rPr>
          <w:rFonts w:hint="cs"/>
          <w:rtl/>
        </w:rPr>
        <w:t xml:space="preserve"> المسلمين إن كان يكفر بعضهم بعضاً</w:t>
      </w:r>
      <w:r w:rsidR="00DB731D" w:rsidRPr="00A52585">
        <w:rPr>
          <w:rFonts w:hint="cs"/>
          <w:rtl/>
        </w:rPr>
        <w:t>،</w:t>
      </w:r>
      <w:r w:rsidR="00777DCB" w:rsidRPr="00A52585">
        <w:rPr>
          <w:rFonts w:hint="cs"/>
          <w:rtl/>
        </w:rPr>
        <w:t xml:space="preserve"> ولم لا يقول هذا الجاهل إن الكل يقرون بالله </w:t>
      </w:r>
      <w:proofErr w:type="spellStart"/>
      <w:r w:rsidR="00777DCB" w:rsidRPr="00A52585">
        <w:rPr>
          <w:rFonts w:hint="cs"/>
          <w:rtl/>
        </w:rPr>
        <w:t>ووحدانيته</w:t>
      </w:r>
      <w:proofErr w:type="spellEnd"/>
      <w:r w:rsidR="00777DCB" w:rsidRPr="00A52585">
        <w:rPr>
          <w:rFonts w:hint="cs"/>
          <w:rtl/>
        </w:rPr>
        <w:t xml:space="preserve"> ويغلط بعضهم في وصفه ولا يخرجهم ذلك الغلط عن الإسلام</w:t>
      </w:r>
      <w:r w:rsidR="00F95886" w:rsidRPr="00A52585">
        <w:rPr>
          <w:rFonts w:hint="cs"/>
          <w:rtl/>
        </w:rPr>
        <w:t>؟</w:t>
      </w:r>
      <w:r w:rsidR="00777DCB" w:rsidRPr="00A52585">
        <w:rPr>
          <w:rFonts w:hint="cs"/>
          <w:rtl/>
        </w:rPr>
        <w:t xml:space="preserve"> وإن كان ولابد من الإخراج فمن أولى به</w:t>
      </w:r>
      <w:r w:rsidR="00F95886" w:rsidRPr="00A52585">
        <w:rPr>
          <w:rFonts w:hint="cs"/>
          <w:rtl/>
        </w:rPr>
        <w:t>؟</w:t>
      </w:r>
      <w:r w:rsidR="00777DCB" w:rsidRPr="00A52585">
        <w:rPr>
          <w:rFonts w:hint="cs"/>
          <w:rtl/>
        </w:rPr>
        <w:t xml:space="preserve"> ومن أولى بعبادة ما نحته ذهنه</w:t>
      </w:r>
      <w:r w:rsidR="00F95886" w:rsidRPr="00A52585">
        <w:rPr>
          <w:rFonts w:hint="cs"/>
          <w:rtl/>
        </w:rPr>
        <w:t>؟</w:t>
      </w:r>
      <w:r w:rsidR="00777DCB" w:rsidRPr="00A52585">
        <w:rPr>
          <w:rFonts w:hint="cs"/>
          <w:rtl/>
        </w:rPr>
        <w:t xml:space="preserve"> من ركب أجزاء مقصودة معقولة أو من قال أعبد إلهاً واحداً أنا عاجز عن معرفته وعن كنه ذاته فهو كما وصف به نفسه</w:t>
      </w:r>
      <w:r w:rsidR="00DB731D" w:rsidRPr="00A52585">
        <w:rPr>
          <w:rFonts w:hint="cs"/>
          <w:rtl/>
        </w:rPr>
        <w:t>،</w:t>
      </w:r>
      <w:r w:rsidR="00777DCB" w:rsidRPr="00A52585">
        <w:rPr>
          <w:rFonts w:hint="cs"/>
          <w:rtl/>
        </w:rPr>
        <w:t xml:space="preserve"> وفوق ما يصف به عباده</w:t>
      </w:r>
      <w:r w:rsidR="00DB731D" w:rsidRPr="00A52585">
        <w:rPr>
          <w:rFonts w:hint="cs"/>
          <w:rtl/>
        </w:rPr>
        <w:t>،</w:t>
      </w:r>
      <w:r w:rsidR="00777DCB" w:rsidRPr="00A52585">
        <w:rPr>
          <w:rFonts w:hint="cs"/>
          <w:rtl/>
        </w:rPr>
        <w:t xml:space="preserve"> وعقلي يقصر عن سبحات وجهه وعلمي يضل في علمه ويتضاءل دون عظمته وملكوت سلطانه وقدرته وقهره لا شريك له سبحانه وتعالى </w:t>
      </w:r>
      <w:r w:rsidRPr="00A52585">
        <w:rPr>
          <w:rFonts w:hint="cs"/>
          <w:rtl/>
        </w:rPr>
        <w:t>{</w:t>
      </w:r>
      <w:r w:rsidR="00777DCB" w:rsidRPr="00A52585">
        <w:rPr>
          <w:rFonts w:hint="cs"/>
          <w:bCs/>
          <w:rtl/>
        </w:rPr>
        <w:t>ليس كمثله شيء وهو السميع البصير</w:t>
      </w:r>
      <w:r w:rsidRPr="00A52585">
        <w:rPr>
          <w:rFonts w:hint="cs"/>
          <w:bCs/>
          <w:rtl/>
        </w:rPr>
        <w:t>}</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11] كل ما تصوره الذهن فالله بخلافه لو اجتمعت عقول العالمين كلها لم تبلغ معرفة حقيقة ذاته ولا كنه صفاته</w:t>
      </w:r>
      <w:r w:rsidR="00DB731D" w:rsidRPr="00A52585">
        <w:rPr>
          <w:rFonts w:hint="cs"/>
          <w:rtl/>
        </w:rPr>
        <w:t>،</w:t>
      </w:r>
      <w:r w:rsidR="00777DCB" w:rsidRPr="00A52585">
        <w:rPr>
          <w:rFonts w:hint="cs"/>
          <w:rtl/>
        </w:rPr>
        <w:t xml:space="preserve"> وإنما علموا منها ما دلهم على التوحيد وأمر السيد العبيد وأنعم عليهم بالرسول أرشدهم إلى ما فيه صلاحهم وأنـزل عليهم كتاباً كلفهم فيه بتكاليف إن عملوا بها وصلوا إلى دار السلام فلا ينبغي لهم الاشتغال بغيرها -</w:t>
      </w:r>
      <w:r w:rsidRPr="00A52585">
        <w:rPr>
          <w:rFonts w:hint="cs"/>
          <w:rtl/>
        </w:rPr>
        <w:t xml:space="preserve"> </w:t>
      </w:r>
      <w:r w:rsidR="00777DCB" w:rsidRPr="00A52585">
        <w:rPr>
          <w:rFonts w:hint="cs"/>
          <w:rtl/>
        </w:rPr>
        <w:t>فاشتغالهم بغيرها فضول -</w:t>
      </w:r>
      <w:r w:rsidRPr="00A52585">
        <w:rPr>
          <w:rFonts w:hint="cs"/>
          <w:rtl/>
        </w:rPr>
        <w:t xml:space="preserve"> </w:t>
      </w:r>
      <w:r w:rsidR="00777DCB" w:rsidRPr="00A52585">
        <w:rPr>
          <w:rFonts w:hint="cs"/>
          <w:rtl/>
        </w:rPr>
        <w:t xml:space="preserve">وإن فكروا </w:t>
      </w:r>
      <w:proofErr w:type="spellStart"/>
      <w:r w:rsidR="00777DCB" w:rsidRPr="00A52585">
        <w:rPr>
          <w:rFonts w:hint="cs"/>
          <w:rtl/>
        </w:rPr>
        <w:t>فكروا</w:t>
      </w:r>
      <w:proofErr w:type="spellEnd"/>
      <w:r w:rsidR="00777DCB" w:rsidRPr="00A52585">
        <w:rPr>
          <w:rFonts w:hint="cs"/>
          <w:rtl/>
        </w:rPr>
        <w:t xml:space="preserve"> في آلائه لا في ذاته</w:t>
      </w:r>
      <w:r w:rsidR="00DB731D" w:rsidRPr="00A52585">
        <w:rPr>
          <w:rFonts w:hint="cs"/>
          <w:rtl/>
        </w:rPr>
        <w:t>،</w:t>
      </w:r>
      <w:r w:rsidR="00777DCB" w:rsidRPr="00A52585">
        <w:rPr>
          <w:rFonts w:hint="cs"/>
          <w:rtl/>
        </w:rPr>
        <w:t xml:space="preserve"> فإن هناك تضل العقول. وانظر إلى هذه الصفات التي يثبتها هذا المبتدع لم </w:t>
      </w:r>
      <w:r w:rsidR="00777DCB" w:rsidRPr="00A52585">
        <w:rPr>
          <w:rFonts w:hint="cs"/>
          <w:rtl/>
        </w:rPr>
        <w:lastRenderedPageBreak/>
        <w:t>تجئ قط في الغالب مقصودة وإنما في ضمن كلام يقصد منه أمر آخر؛ وجاءت لتقرير ذلك الأمر</w:t>
      </w:r>
      <w:r w:rsidR="00DB731D" w:rsidRPr="00A52585">
        <w:rPr>
          <w:rFonts w:hint="cs"/>
          <w:rtl/>
        </w:rPr>
        <w:t>،</w:t>
      </w:r>
      <w:r w:rsidR="00777DCB" w:rsidRPr="00A52585">
        <w:rPr>
          <w:rFonts w:hint="cs"/>
          <w:rtl/>
        </w:rPr>
        <w:t xml:space="preserve"> وقد فهمها الصحابة, ولذلك لم يسألوا عنها النبي صلى الله عليه وسلم لأنها كانت معقولة عندهم بوضع اللسان وقرائن الأحوال وسياق الكلام وسبب النـزول؛ ومضت </w:t>
      </w:r>
      <w:proofErr w:type="spellStart"/>
      <w:r w:rsidR="00777DCB" w:rsidRPr="00A52585">
        <w:rPr>
          <w:rFonts w:hint="cs"/>
          <w:rtl/>
        </w:rPr>
        <w:t>الأعصار</w:t>
      </w:r>
      <w:proofErr w:type="spellEnd"/>
      <w:r w:rsidR="00777DCB" w:rsidRPr="00A52585">
        <w:rPr>
          <w:rFonts w:hint="cs"/>
          <w:rtl/>
        </w:rPr>
        <w:t xml:space="preserve"> الثلاثة التي هي خيار القرون على ذلك حتى حدثت البدع والأهواء؛ فيجيء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w:t>
      </w:r>
      <w:proofErr w:type="gramStart"/>
      <w:r w:rsidR="00777DCB" w:rsidRPr="00A52585">
        <w:rPr>
          <w:rFonts w:hint="cs"/>
          <w:rtl/>
        </w:rPr>
        <w:t>غيره,</w:t>
      </w:r>
      <w:proofErr w:type="gramEnd"/>
      <w:r w:rsidR="00777DCB" w:rsidRPr="00A52585">
        <w:rPr>
          <w:rFonts w:hint="cs"/>
          <w:rtl/>
        </w:rPr>
        <w:t xml:space="preserve"> إما بسياق قبله أو بسياق بعده</w:t>
      </w:r>
      <w:r w:rsidR="00DB731D" w:rsidRPr="00A52585">
        <w:rPr>
          <w:rFonts w:hint="cs"/>
          <w:rtl/>
        </w:rPr>
        <w:t>،</w:t>
      </w:r>
      <w:r w:rsidR="00777DCB" w:rsidRPr="00A52585">
        <w:rPr>
          <w:rFonts w:hint="cs"/>
          <w:rtl/>
        </w:rPr>
        <w:t xml:space="preserve"> أو بأن يكون المحدث عنه معنى آخر والمحدث به ويكون ذلك مذكوراً على جهة الوصف المقوي لمعنى ما سبق الكلام لأجله. وما مثل المشتغلين بذلك وبالكلام إلا مثل سرية أتاها كتاب السلطان يأمرهم بما يعتمدونه في الغزاة التي ندبهم لها ويوصيهم بأمور مهمة لما بين أيديهم وينهاهم عن أمور وينبههم على مكان لعدوهم وعدوه حتى يحترزوا عن غوائلها فأخذوا يتأملون في ذلك الكتاب ويفكرون فيمن كتبه وفي حروفه ومتى كتب وأين كان السلطان حين كتبه وعلم عليه</w:t>
      </w:r>
      <w:r w:rsidR="00DB731D" w:rsidRPr="00A52585">
        <w:rPr>
          <w:rFonts w:hint="cs"/>
          <w:rtl/>
        </w:rPr>
        <w:t>،</w:t>
      </w:r>
      <w:r w:rsidR="00777DCB" w:rsidRPr="00A52585">
        <w:rPr>
          <w:rFonts w:hint="cs"/>
          <w:rtl/>
        </w:rPr>
        <w:t xml:space="preserve"> وهل كان في القلعة أو في غيرها وربما كان فيهم من لم ير السلطان قط فصار يسأل عن صفته وشغلوا الزمان بذلك وبسؤال حامل الكتاب عنه وبالفكرة فيه واشتغلوا به عما هم بصدده من الجهاد الذي أمرهم به وعن تلك الأمور التي </w:t>
      </w:r>
      <w:proofErr w:type="spellStart"/>
      <w:r w:rsidR="00777DCB" w:rsidRPr="00A52585">
        <w:rPr>
          <w:rFonts w:hint="cs"/>
          <w:rtl/>
        </w:rPr>
        <w:t>وصاهم</w:t>
      </w:r>
      <w:proofErr w:type="spellEnd"/>
      <w:r w:rsidR="00777DCB" w:rsidRPr="00A52585">
        <w:rPr>
          <w:rFonts w:hint="cs"/>
          <w:rtl/>
        </w:rPr>
        <w:t xml:space="preserve"> بها في الكتاب وأمرهم بها ونهاهم عنها وما كفاهم ذلك حتى أداهم اختلافهم في صفة السلطان وفي أين كان لمّا كتب, ومن كتب الكتاب عنه إلى أن قال كل فريق منهم عن الآخر الذي وصفه بخلاف ما وصفه به رفيقه إنه أنكر السلطان وقال إنه لا سلطان له فهل يكون لهؤلاء عقل</w:t>
      </w:r>
      <w:r w:rsidR="00DB731D" w:rsidRPr="00A52585">
        <w:rPr>
          <w:rFonts w:hint="cs"/>
          <w:rtl/>
        </w:rPr>
        <w:t>،</w:t>
      </w:r>
      <w:r w:rsidR="00777DCB" w:rsidRPr="00A52585">
        <w:rPr>
          <w:rFonts w:hint="cs"/>
          <w:rtl/>
        </w:rPr>
        <w:t xml:space="preserve"> اللهم إنا نسألك أن لا تضل عقولنا ولا تزيغ قلوبنا بعد إذ هديتنا وتحفظ علينا ديننا يا مقلب القلوب يا مقلب القلوب ثبت قلبي على دينك</w:t>
      </w:r>
      <w:r w:rsidR="00DB731D" w:rsidRPr="00A52585">
        <w:rPr>
          <w:rFonts w:hint="cs"/>
          <w:rtl/>
        </w:rPr>
        <w:t>،</w:t>
      </w:r>
      <w:r w:rsidR="00777DCB" w:rsidRPr="00A52585">
        <w:rPr>
          <w:rFonts w:hint="cs"/>
          <w:rtl/>
        </w:rPr>
        <w:t xml:space="preserve"> </w:t>
      </w:r>
    </w:p>
    <w:p w14:paraId="563942B2" w14:textId="6C84ED8C"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أكثر من مائة بيت كلها إغراء بخصومه والله ينتقم لهم منه. ثم إنه يناقض قوله فينكر على خصومه تكفيره فلم لا ينكر على نفسه تكفيرهم بعين ما كفروه به.</w:t>
      </w:r>
    </w:p>
    <w:p w14:paraId="6DC09A33" w14:textId="60FC4DBF"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مختصر في معناه</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قريب منه</w:t>
      </w:r>
      <w:r w:rsidR="00DB731D" w:rsidRPr="00A52585">
        <w:rPr>
          <w:rFonts w:hint="cs"/>
          <w:rtl/>
        </w:rPr>
        <w:t>،</w:t>
      </w:r>
      <w:r w:rsidR="00777DCB" w:rsidRPr="00A52585">
        <w:rPr>
          <w:rFonts w:hint="cs"/>
          <w:rtl/>
        </w:rPr>
        <w:t xml:space="preserve"> </w:t>
      </w:r>
    </w:p>
    <w:p w14:paraId="10E89A2E" w14:textId="22CE5789"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اسمع سراً عجيباً</w:t>
      </w:r>
      <w:r w:rsidRPr="00A52585">
        <w:rPr>
          <w:rFonts w:hint="cs"/>
          <w:rtl/>
        </w:rPr>
        <w:t xml:space="preserve"> </w:t>
      </w:r>
      <w:proofErr w:type="spellStart"/>
      <w:r w:rsidR="00777DCB" w:rsidRPr="00A52585">
        <w:rPr>
          <w:rFonts w:hint="cs"/>
          <w:rtl/>
        </w:rPr>
        <w:t>كا</w:t>
      </w:r>
      <w:proofErr w:type="spellEnd"/>
      <w:r w:rsidR="00897A24" w:rsidRPr="00A52585">
        <w:rPr>
          <w:rFonts w:hint="cs"/>
          <w:rtl/>
        </w:rPr>
        <w:t>.</w:t>
      </w:r>
      <w:r w:rsidR="00777DCB" w:rsidRPr="00A52585">
        <w:rPr>
          <w:rFonts w:hint="cs"/>
          <w:rtl/>
        </w:rPr>
        <w:t>. ن مكتوماً منذ زمان</w:t>
      </w:r>
      <w:r w:rsidR="00DB731D" w:rsidRPr="00A52585">
        <w:rPr>
          <w:rFonts w:hint="cs"/>
          <w:rtl/>
        </w:rPr>
        <w:t>،</w:t>
      </w:r>
      <w:r w:rsidR="00777DCB" w:rsidRPr="00A52585">
        <w:rPr>
          <w:rFonts w:hint="cs"/>
          <w:rtl/>
        </w:rPr>
        <w:t xml:space="preserve"> جيم وجيم ثم جيم معها</w:t>
      </w:r>
      <w:r w:rsidR="00897A24" w:rsidRPr="00A52585">
        <w:rPr>
          <w:rFonts w:hint="cs"/>
          <w:rtl/>
        </w:rPr>
        <w:t>.</w:t>
      </w:r>
      <w:r w:rsidR="00777DCB" w:rsidRPr="00A52585">
        <w:rPr>
          <w:rFonts w:hint="cs"/>
          <w:rtl/>
        </w:rPr>
        <w:t>.. مقرونة مع أحرف بوزان</w:t>
      </w:r>
      <w:r w:rsidR="00DB731D" w:rsidRPr="00A52585">
        <w:rPr>
          <w:rFonts w:hint="cs"/>
          <w:rtl/>
        </w:rPr>
        <w:t>،</w:t>
      </w:r>
      <w:r w:rsidR="00777DCB" w:rsidRPr="00A52585">
        <w:rPr>
          <w:rFonts w:hint="cs"/>
          <w:rtl/>
        </w:rPr>
        <w:t xml:space="preserve"> فيها لدى الأقوام طلسم متى</w:t>
      </w:r>
      <w:r w:rsidR="00897A24" w:rsidRPr="00A52585">
        <w:rPr>
          <w:rFonts w:hint="cs"/>
          <w:rtl/>
        </w:rPr>
        <w:t>.</w:t>
      </w:r>
      <w:r w:rsidR="00777DCB" w:rsidRPr="00A52585">
        <w:rPr>
          <w:rFonts w:hint="cs"/>
          <w:rtl/>
        </w:rPr>
        <w:t>.. تحلله تحلل ذروة العرفان</w:t>
      </w:r>
      <w:r w:rsidR="00DB731D" w:rsidRPr="00A52585">
        <w:rPr>
          <w:rFonts w:hint="cs"/>
          <w:rtl/>
        </w:rPr>
        <w:t>،</w:t>
      </w:r>
      <w:r w:rsidR="00777DCB" w:rsidRPr="00A52585">
        <w:rPr>
          <w:rFonts w:hint="cs"/>
          <w:rtl/>
        </w:rPr>
        <w:t xml:space="preserve"> فإذا رأيت الثور فيه تقارن الـ</w:t>
      </w:r>
      <w:r w:rsidR="00897A24" w:rsidRPr="00A52585">
        <w:rPr>
          <w:rFonts w:hint="cs"/>
          <w:rtl/>
        </w:rPr>
        <w:t>.</w:t>
      </w:r>
      <w:r w:rsidR="00777DCB" w:rsidRPr="00A52585">
        <w:rPr>
          <w:rFonts w:hint="cs"/>
          <w:rtl/>
        </w:rPr>
        <w:t xml:space="preserve">. </w:t>
      </w:r>
      <w:proofErr w:type="spellStart"/>
      <w:r w:rsidR="00777DCB" w:rsidRPr="00A52585">
        <w:rPr>
          <w:rFonts w:hint="cs"/>
          <w:rtl/>
        </w:rPr>
        <w:t>جيمات</w:t>
      </w:r>
      <w:proofErr w:type="spellEnd"/>
      <w:r w:rsidR="00777DCB" w:rsidRPr="00A52585">
        <w:rPr>
          <w:rFonts w:hint="cs"/>
          <w:rtl/>
        </w:rPr>
        <w:t xml:space="preserve"> بالتثليث شر قران</w:t>
      </w:r>
      <w:r w:rsidR="00DB731D" w:rsidRPr="00A52585">
        <w:rPr>
          <w:rFonts w:hint="cs"/>
          <w:rtl/>
        </w:rPr>
        <w:t>،</w:t>
      </w:r>
      <w:r w:rsidR="00777DCB" w:rsidRPr="00A52585">
        <w:rPr>
          <w:rFonts w:hint="cs"/>
          <w:rtl/>
        </w:rPr>
        <w:t xml:space="preserve"> </w:t>
      </w:r>
      <w:r w:rsidR="00777DCB" w:rsidRPr="00A52585">
        <w:rPr>
          <w:rFonts w:hint="cs"/>
          <w:spacing w:val="-10"/>
          <w:rtl/>
        </w:rPr>
        <w:t>دلت على أن النحوس جميعها سهـ</w:t>
      </w:r>
      <w:r w:rsidR="00897A24" w:rsidRPr="00A52585">
        <w:rPr>
          <w:rFonts w:hint="cs"/>
          <w:rtl/>
        </w:rPr>
        <w:t>.</w:t>
      </w:r>
      <w:r w:rsidR="00777DCB" w:rsidRPr="00A52585">
        <w:rPr>
          <w:rFonts w:hint="cs"/>
          <w:rtl/>
        </w:rPr>
        <w:t xml:space="preserve">. ـم الذي قد فاز </w:t>
      </w:r>
      <w:proofErr w:type="spellStart"/>
      <w:r w:rsidR="00777DCB" w:rsidRPr="00A52585">
        <w:rPr>
          <w:rFonts w:hint="cs"/>
          <w:rtl/>
        </w:rPr>
        <w:t>بالخذلان</w:t>
      </w:r>
      <w:proofErr w:type="spellEnd"/>
      <w:r w:rsidR="00DB731D" w:rsidRPr="00A52585">
        <w:rPr>
          <w:rFonts w:hint="cs"/>
          <w:rtl/>
        </w:rPr>
        <w:t>،</w:t>
      </w:r>
      <w:r w:rsidR="00777DCB" w:rsidRPr="00A52585">
        <w:rPr>
          <w:rFonts w:hint="cs"/>
          <w:rtl/>
        </w:rPr>
        <w:t xml:space="preserve"> جبر وإرجاء </w:t>
      </w:r>
      <w:r w:rsidR="00777DCB" w:rsidRPr="00A52585">
        <w:rPr>
          <w:rFonts w:hint="cs"/>
          <w:rtl/>
        </w:rPr>
        <w:lastRenderedPageBreak/>
        <w:t>وجيم تجهـ</w:t>
      </w:r>
      <w:r w:rsidR="00897A24" w:rsidRPr="00A52585">
        <w:rPr>
          <w:rFonts w:hint="cs"/>
          <w:rtl/>
        </w:rPr>
        <w:t>.</w:t>
      </w:r>
      <w:r w:rsidR="00777DCB" w:rsidRPr="00A52585">
        <w:rPr>
          <w:rFonts w:hint="cs"/>
          <w:rtl/>
        </w:rPr>
        <w:t>. ـم فتأمل المجموع في الميزان</w:t>
      </w:r>
      <w:r w:rsidR="00DB731D" w:rsidRPr="00A52585">
        <w:rPr>
          <w:rFonts w:hint="cs"/>
          <w:rtl/>
        </w:rPr>
        <w:t>،</w:t>
      </w:r>
      <w:r w:rsidR="00777DCB" w:rsidRPr="00A52585">
        <w:rPr>
          <w:rFonts w:hint="cs"/>
          <w:rtl/>
        </w:rPr>
        <w:t xml:space="preserve"> فأحكـم لطالعها لمن حصلت له</w:t>
      </w:r>
      <w:r w:rsidR="00897A24" w:rsidRPr="00A52585">
        <w:rPr>
          <w:rFonts w:hint="cs"/>
          <w:rtl/>
        </w:rPr>
        <w:t>.</w:t>
      </w:r>
      <w:r w:rsidR="00777DCB" w:rsidRPr="00A52585">
        <w:rPr>
          <w:rFonts w:hint="cs"/>
          <w:rtl/>
        </w:rPr>
        <w:t>. بخلاصـــه مــن ربقـة الإيمان</w:t>
      </w:r>
      <w:r w:rsidRPr="00A52585">
        <w:rPr>
          <w:rFonts w:hint="cs"/>
          <w:rtl/>
        </w:rPr>
        <w:t>)</w:t>
      </w:r>
      <w:r w:rsidR="00DB731D" w:rsidRPr="00A52585">
        <w:rPr>
          <w:rFonts w:hint="cs"/>
          <w:rtl/>
        </w:rPr>
        <w:t>،</w:t>
      </w:r>
      <w:r w:rsidR="00777DCB" w:rsidRPr="00A52585">
        <w:rPr>
          <w:rFonts w:hint="cs"/>
          <w:rtl/>
        </w:rPr>
        <w:t xml:space="preserve"> وأخذ يذكر مفاسد المذاهب الثلاثة </w:t>
      </w:r>
      <w:r w:rsidRPr="00A52585">
        <w:rPr>
          <w:rFonts w:hint="cs"/>
          <w:rtl/>
        </w:rPr>
        <w:t>(</w:t>
      </w:r>
      <w:r w:rsidR="00777DCB" w:rsidRPr="00A52585">
        <w:rPr>
          <w:rFonts w:hint="cs"/>
          <w:rtl/>
        </w:rPr>
        <w:t>وقياد الجبر إلى الكف والبهتان والإرجاء كذلك بالجد في العصيان وشتم الرسل ومن أتوا من عنده والسجود للصنم</w:t>
      </w:r>
      <w:r w:rsidR="00DB731D" w:rsidRPr="00A52585">
        <w:rPr>
          <w:rFonts w:hint="cs"/>
          <w:rtl/>
        </w:rPr>
        <w:t>،</w:t>
      </w:r>
      <w:r w:rsidR="00777DCB" w:rsidRPr="00A52585">
        <w:rPr>
          <w:rFonts w:hint="cs"/>
          <w:rtl/>
        </w:rPr>
        <w:t xml:space="preserve"> فإذا أضفت إلى </w:t>
      </w:r>
      <w:proofErr w:type="spellStart"/>
      <w:r w:rsidR="00777DCB" w:rsidRPr="00A52585">
        <w:rPr>
          <w:rFonts w:hint="cs"/>
          <w:rtl/>
        </w:rPr>
        <w:t>الجيمين</w:t>
      </w:r>
      <w:proofErr w:type="spellEnd"/>
      <w:r w:rsidR="00777DCB" w:rsidRPr="00A52585">
        <w:rPr>
          <w:rFonts w:hint="cs"/>
          <w:rtl/>
        </w:rPr>
        <w:t xml:space="preserve"> جيم تجهم أين الصفات والجهم أصلها جميعا والوارثون له أصحابها لا شيعة الإيمان لكن نجا أهل الحديث المحض أتباع الرسول وتابعوا القرآن</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والجبر الذي يريده الناظم هو قول الأشعري إن العبد كاسب والرب سبحانه هو الخالق وحده، وأين الجبر في ذلك</w:t>
      </w:r>
      <w:r w:rsidR="00F95886" w:rsidRPr="00A52585">
        <w:rPr>
          <w:rFonts w:hint="cs"/>
          <w:sz w:val="24"/>
          <w:szCs w:val="24"/>
          <w:rtl/>
        </w:rPr>
        <w:t>؟</w:t>
      </w:r>
      <w:r w:rsidR="00777DCB" w:rsidRPr="00A52585">
        <w:rPr>
          <w:rFonts w:hint="cs"/>
          <w:sz w:val="24"/>
          <w:szCs w:val="24"/>
          <w:rtl/>
        </w:rPr>
        <w:t xml:space="preserve"> نعم جهم بن صفوان كان يقول بالجبر، لكن ليس له من يتابعه بعده، وأما الإرجاء الذي يريده فهو القول بأن الإيمان هو الاعتقاد الجازم كما نص عليه الحديث الصحيح (الإيمان أن تؤمن بالله …) ومن جعل الأعمال من أركان الإيمان حقيقة فقد تابع الخوارج من حيث يعلم أو لا يعلم -</w:t>
      </w:r>
      <w:r w:rsidRPr="00A52585">
        <w:rPr>
          <w:rFonts w:hint="cs"/>
          <w:sz w:val="24"/>
          <w:szCs w:val="24"/>
          <w:rtl/>
        </w:rPr>
        <w:t xml:space="preserve"> </w:t>
      </w:r>
      <w:r w:rsidR="00777DCB" w:rsidRPr="00A52585">
        <w:rPr>
          <w:rFonts w:hint="cs"/>
          <w:sz w:val="24"/>
          <w:szCs w:val="24"/>
          <w:rtl/>
        </w:rPr>
        <w:t>راجع (ص 27 - 28) -</w:t>
      </w:r>
      <w:r w:rsidRPr="00A52585">
        <w:rPr>
          <w:rFonts w:hint="cs"/>
          <w:sz w:val="24"/>
          <w:szCs w:val="24"/>
          <w:rtl/>
        </w:rPr>
        <w:t xml:space="preserve"> </w:t>
      </w:r>
      <w:r w:rsidR="00777DCB" w:rsidRPr="00A52585">
        <w:rPr>
          <w:rFonts w:hint="cs"/>
          <w:sz w:val="24"/>
          <w:szCs w:val="24"/>
          <w:rtl/>
        </w:rPr>
        <w:t>وأما التجهم الذي يذكره فمراده به نفي حلول الحوادث في الله سبحانه وتنـزيهه تعالى عن قيام الحوادث به سبحانه كما هو مذهب أهل الحق فظهر أنه ينبز بتلك الألقاب السيئة جمهور أهل الحق افتراء منه عليهم, وإلا فلا وجود للجبرية حقيقة ولا للإرجاء بالمعنى البدعي ولا للجهمية في عصر الناظم والله سبحانه ينتقم منه</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p>
    <w:p w14:paraId="466F8FBB" w14:textId="2A3D2290"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وسل المعطل ماذا يقول لربه</w:t>
      </w:r>
      <w:r w:rsidRPr="00A52585">
        <w:rPr>
          <w:rFonts w:hint="cs"/>
          <w:rtl/>
        </w:rPr>
        <w:t>)</w:t>
      </w:r>
      <w:r w:rsidR="00DB731D" w:rsidRPr="00A52585">
        <w:rPr>
          <w:rFonts w:hint="cs"/>
          <w:rtl/>
        </w:rPr>
        <w:t>،</w:t>
      </w:r>
      <w:r w:rsidR="00777DCB" w:rsidRPr="00A52585">
        <w:rPr>
          <w:rFonts w:hint="cs"/>
          <w:rtl/>
        </w:rPr>
        <w:t xml:space="preserve"> وساق ما يقولونه كله بقبح وأنهم يخاطبون به الله يوم القيامة</w:t>
      </w:r>
      <w:r w:rsidR="00DB731D" w:rsidRPr="00A52585">
        <w:rPr>
          <w:rFonts w:hint="cs"/>
          <w:rtl/>
        </w:rPr>
        <w:t>،</w:t>
      </w:r>
      <w:r w:rsidR="00777DCB" w:rsidRPr="00A52585">
        <w:rPr>
          <w:rFonts w:hint="cs"/>
          <w:rtl/>
        </w:rPr>
        <w:t xml:space="preserve"> وعن طائفته ما يولونه ومخاطبتهم به وهاتان طائفتان من المسلمين يعرفون عظمة الله تعالى</w:t>
      </w:r>
      <w:r w:rsidR="00DB731D" w:rsidRPr="00A52585">
        <w:rPr>
          <w:rFonts w:hint="cs"/>
          <w:rtl/>
        </w:rPr>
        <w:t>،</w:t>
      </w:r>
      <w:r w:rsidR="00777DCB" w:rsidRPr="00A52585">
        <w:rPr>
          <w:rFonts w:hint="cs"/>
          <w:rtl/>
        </w:rPr>
        <w:t xml:space="preserve"> وكل أحد قد بذل جهده وطاقته فيما اعتقده ويخاف ويفرق. ويوم القيامة يكون أشد خوفاً يوم لا يتكلم إلا </w:t>
      </w:r>
      <w:proofErr w:type="gramStart"/>
      <w:r w:rsidR="00777DCB" w:rsidRPr="00A52585">
        <w:rPr>
          <w:rFonts w:hint="cs"/>
          <w:rtl/>
        </w:rPr>
        <w:t>الرسل,</w:t>
      </w:r>
      <w:proofErr w:type="gramEnd"/>
      <w:r w:rsidR="00777DCB" w:rsidRPr="00A52585">
        <w:rPr>
          <w:rFonts w:hint="cs"/>
          <w:rtl/>
        </w:rPr>
        <w:t xml:space="preserve"> ويود كل من دونهم أن ينجو كفافاً</w:t>
      </w:r>
      <w:r w:rsidR="00DB731D" w:rsidRPr="00A52585">
        <w:rPr>
          <w:rFonts w:hint="cs"/>
          <w:rtl/>
        </w:rPr>
        <w:t>،</w:t>
      </w:r>
      <w:r w:rsidR="00777DCB" w:rsidRPr="00A52585">
        <w:rPr>
          <w:rFonts w:hint="cs"/>
          <w:rtl/>
        </w:rPr>
        <w:t xml:space="preserve"> فتصوير مخاطبة الله تعالى بذلك في ذلك الموقف العظيم إنما يصدر عن قلب فارغ.</w:t>
      </w:r>
    </w:p>
    <w:p w14:paraId="40E9DB8A" w14:textId="788B605D"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 xml:space="preserve">: </w:t>
      </w:r>
      <w:r w:rsidR="00777DCB" w:rsidRPr="00A52585">
        <w:rPr>
          <w:rFonts w:hint="cs"/>
          <w:rtl/>
        </w:rPr>
        <w:t>في تحميل أهل الإثبات للمعطلين شهادة تؤدي عند رب العالمين</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يا أيها الباغي على أتباعه قد حملوك شهادة فاشهد بها إن كنت مقبولا لدى الرحمن فاشهد عليهم إن سئلت بأنهم قالوا إله العرش والأكوان فوق السموات العلى حقاً على العرش استوى والأمر ينـزل منه وإليه يصعد ما يشاء وإليه صعد الرسول صلى الله عليه وسلم وعيسى ابن مريم والأملاك تصعد دائماً من هنا إليه وروح العبد بعد الموت وأنه متكلم بالقرآن سمع الأمين كلامه منه هو قول رب العالمين حقيقة لفظا ومعنى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قد سبق إبطال القول بالفوقية الحسية والنـزول الحسي والجلوس على العرش ونحوها مما هو معتقد المجسمة إبطالا لا مزيد عليه. وقوله هنا في الكلام إعادة لزعمه الحرف والصوت في كلام الله وقد سبق إبطال ذلك أيضاً</w:t>
      </w:r>
      <w:r w:rsidR="00DB731D" w:rsidRPr="00A52585">
        <w:rPr>
          <w:rFonts w:hint="cs"/>
          <w:sz w:val="24"/>
          <w:szCs w:val="24"/>
          <w:rtl/>
        </w:rPr>
        <w:t>،</w:t>
      </w:r>
      <w:r w:rsidR="00777DCB" w:rsidRPr="00A52585">
        <w:rPr>
          <w:rFonts w:hint="cs"/>
          <w:sz w:val="24"/>
          <w:szCs w:val="24"/>
          <w:rtl/>
        </w:rPr>
        <w:t xml:space="preserve"> ومن الغريب أن يؤلف مثل الموفق بن قدامة (الصراط المستقيم في إثبات الحرف القديم) وكفي ما سبق في </w:t>
      </w:r>
      <w:proofErr w:type="gramStart"/>
      <w:r w:rsidR="00777DCB" w:rsidRPr="00A52585">
        <w:rPr>
          <w:rFonts w:hint="cs"/>
          <w:sz w:val="24"/>
          <w:szCs w:val="24"/>
          <w:rtl/>
        </w:rPr>
        <w:t>إبطاله,</w:t>
      </w:r>
      <w:proofErr w:type="gramEnd"/>
      <w:r w:rsidR="00777DCB" w:rsidRPr="00A52585">
        <w:rPr>
          <w:rFonts w:hint="cs"/>
          <w:sz w:val="24"/>
          <w:szCs w:val="24"/>
          <w:rtl/>
        </w:rPr>
        <w:t xml:space="preserve"> وابن بطة صاحب "الإبانة" فضح نفسه بأن يزيد في رواية حديث موسى عليه السلام (من ذا العبراني الذي يكلمني من الشجرة</w:t>
      </w:r>
      <w:r w:rsidR="00F95886" w:rsidRPr="00A52585">
        <w:rPr>
          <w:rFonts w:hint="cs"/>
          <w:sz w:val="24"/>
          <w:szCs w:val="24"/>
          <w:rtl/>
        </w:rPr>
        <w:t>؟</w:t>
      </w:r>
      <w:r w:rsidR="00777DCB" w:rsidRPr="00A52585">
        <w:rPr>
          <w:rFonts w:hint="cs"/>
          <w:sz w:val="24"/>
          <w:szCs w:val="24"/>
          <w:rtl/>
        </w:rPr>
        <w:t>) ليجعل كلام الله من قبيل كلام الخلق فجمع بين الاختلاق وسوء المعتقد</w:t>
      </w:r>
      <w:r w:rsidR="00DB731D" w:rsidRPr="00A52585">
        <w:rPr>
          <w:rFonts w:hint="cs"/>
          <w:sz w:val="24"/>
          <w:szCs w:val="24"/>
          <w:rtl/>
        </w:rPr>
        <w:t>،</w:t>
      </w:r>
      <w:r w:rsidR="00777DCB" w:rsidRPr="00A52585">
        <w:rPr>
          <w:rFonts w:hint="cs"/>
          <w:sz w:val="24"/>
          <w:szCs w:val="24"/>
          <w:rtl/>
        </w:rPr>
        <w:t xml:space="preserve"> وابن بطة هذا من أئمة </w:t>
      </w:r>
      <w:r w:rsidR="00777DCB" w:rsidRPr="00A52585">
        <w:rPr>
          <w:rFonts w:hint="cs"/>
          <w:sz w:val="24"/>
          <w:szCs w:val="24"/>
          <w:rtl/>
        </w:rPr>
        <w:lastRenderedPageBreak/>
        <w:t xml:space="preserve">الناظم، ولست في صدد استقصاء أهل الكذب والزيغ من أئمته، وبين هذا المتأخر زمناً وعلما كلمات جوفاء في تزويق مزاعم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تلك المسائل، ومن ظن به أنه أتى بشيء جديد غير الجمع بين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والتصوف السالمي </w:t>
      </w:r>
      <w:proofErr w:type="spellStart"/>
      <w:r w:rsidR="00777DCB" w:rsidRPr="00A52585">
        <w:rPr>
          <w:rFonts w:hint="cs"/>
          <w:sz w:val="24"/>
          <w:szCs w:val="24"/>
          <w:rtl/>
        </w:rPr>
        <w:t>الهاذي</w:t>
      </w:r>
      <w:proofErr w:type="spellEnd"/>
      <w:r w:rsidR="00777DCB" w:rsidRPr="00A52585">
        <w:rPr>
          <w:rFonts w:hint="cs"/>
          <w:sz w:val="24"/>
          <w:szCs w:val="24"/>
          <w:rtl/>
        </w:rPr>
        <w:t xml:space="preserve"> بالتجلي في الصور فقد ولى فهمه وأدبر علمه. وكم من مصاب في عقله ودينه يتكلم في هذه الأبحاث بدون علم ولا فهم ولا تقى، نسأل الله المعافاة</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وأنهم وصفوا الإله بكل ما جاء في القرآن وأن قول الرسول صلى الله عليه وسلم نص يفيد علم اليقين</w:t>
      </w:r>
      <w:r w:rsidRPr="00A52585">
        <w:rPr>
          <w:rFonts w:hint="cs"/>
          <w:rtl/>
        </w:rPr>
        <w:t>)</w:t>
      </w:r>
      <w:r w:rsidR="00DB731D" w:rsidRPr="00A52585">
        <w:rPr>
          <w:rFonts w:hint="cs"/>
          <w:rtl/>
        </w:rPr>
        <w:t>،</w:t>
      </w:r>
      <w:r w:rsidR="00777DCB" w:rsidRPr="00A52585">
        <w:rPr>
          <w:rFonts w:hint="cs"/>
          <w:rtl/>
        </w:rPr>
        <w:t xml:space="preserve"> فمن ينازع في ذلك</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قول الرسول القطعي الثبوت والقطعي الدلالة نص يفيد علم اليقين من غير خلاف. وأما ما هو ظني الدلالة منه فلا، كما تقرر في الأصول</w:t>
      </w:r>
      <w:r w:rsidR="00DB731D" w:rsidRPr="00A52585">
        <w:rPr>
          <w:rFonts w:hint="cs"/>
          <w:sz w:val="24"/>
          <w:szCs w:val="24"/>
          <w:rtl/>
        </w:rPr>
        <w:t>،</w:t>
      </w:r>
      <w:r w:rsidR="00777DCB" w:rsidRPr="00A52585">
        <w:rPr>
          <w:rFonts w:hint="cs"/>
          <w:sz w:val="24"/>
          <w:szCs w:val="24"/>
          <w:rtl/>
        </w:rPr>
        <w:t xml:space="preserve"> ودعوى إفادة خبر الآحاد العلم من هواجس الظاهرية إلا إذا كان </w:t>
      </w:r>
      <w:proofErr w:type="spellStart"/>
      <w:r w:rsidR="00777DCB" w:rsidRPr="00A52585">
        <w:rPr>
          <w:rFonts w:hint="cs"/>
          <w:sz w:val="24"/>
          <w:szCs w:val="24"/>
          <w:rtl/>
        </w:rPr>
        <w:t>محتفاً</w:t>
      </w:r>
      <w:proofErr w:type="spellEnd"/>
      <w:r w:rsidR="00777DCB" w:rsidRPr="00A52585">
        <w:rPr>
          <w:rFonts w:hint="cs"/>
          <w:sz w:val="24"/>
          <w:szCs w:val="24"/>
          <w:rtl/>
        </w:rPr>
        <w:t xml:space="preserve"> بقرائن، وقد بيَّنا الحق في ذلك في تعليقاتنا المهمة على شروط الأئمة فليراجع هناك</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والحشوية</w:t>
      </w:r>
      <w:proofErr w:type="spellEnd"/>
      <w:r w:rsidR="00777DCB" w:rsidRPr="00A52585">
        <w:rPr>
          <w:rFonts w:hint="cs"/>
          <w:sz w:val="24"/>
          <w:szCs w:val="24"/>
          <w:rtl/>
        </w:rPr>
        <w:t xml:space="preserve"> يحشرون في كتبهم في المعتقد المنقطعات والوحدان وروايات المجاهيل والضعفاء والوضاعين ويقولون عنها إنها قول الرسول صلى الله عليه وسلم مع إنها مما لا يحتج به في باب الاعتقاد أصلاً بل لا يتمسك بها في باب الأعمال أيضاً</w:t>
      </w:r>
      <w:r w:rsidR="00DB731D" w:rsidRPr="00A52585">
        <w:rPr>
          <w:rFonts w:hint="cs"/>
          <w:sz w:val="24"/>
          <w:szCs w:val="24"/>
          <w:rtl/>
        </w:rPr>
        <w:t>،</w:t>
      </w:r>
      <w:r w:rsidR="00777DCB" w:rsidRPr="00A52585">
        <w:rPr>
          <w:rFonts w:hint="cs"/>
          <w:sz w:val="24"/>
          <w:szCs w:val="24"/>
          <w:rtl/>
        </w:rPr>
        <w:t xml:space="preserve"> وتوثيق مثل ابن حبان لرجل لا يخرجه من الجهالة عند من يعرف مصطلح ابن حبان في التوثيق. وإنما الحجة في باب الاعتقاد هي الكتاب المنـزل والصحاح المشاهير من الحديث</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وإن أراد الآحاد أو الذي جوزت اللغة احتمال لفظه فحكمه عليه بإفادة علم اليقين جهل منه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وإنهم قابلوا التعطيل والتمثيل بالنكران أن المعطل والممثل ما هما متيقنين عبادة الرحمن ذا عابد المعدوم لا سبحانه أبداً وهذا عابد الأوثان وأنهم يتأولون حقيقة التأويل وأن تأويلاتهم صرف عن المرجوح للرجحان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صرف اللفظ عن الاحتمال المرجوح إلى الراجح مما لا معنى له لأن اللفظ منصرف بنفسه إلى الراجح من الاحتمالين، واللفظ ظاهر بالنسبة إلى الراجح مطلقاً سواء كان بالوضع أو بالدليل كما ذكره أبو الخطاب في "التمهيد" في أصول الحنابلة</w:t>
      </w:r>
      <w:r w:rsidR="00DB731D" w:rsidRPr="00A52585">
        <w:rPr>
          <w:rFonts w:hint="cs"/>
          <w:sz w:val="24"/>
          <w:szCs w:val="24"/>
          <w:rtl/>
        </w:rPr>
        <w:t>،</w:t>
      </w:r>
      <w:r w:rsidR="00777DCB" w:rsidRPr="00A52585">
        <w:rPr>
          <w:rFonts w:hint="cs"/>
          <w:sz w:val="24"/>
          <w:szCs w:val="24"/>
          <w:rtl/>
        </w:rPr>
        <w:t xml:space="preserve"> فما يرى مرجوحاً بالنظر إلى الوضع فقط قد يكون راجحاً بالنظر إلى الدليل، فيكون اللفظ حينذاك ظاهراً في احتمال قد ترجح بالدليل حيث لا يكون هذا الاحتمال مرجوحاً عند قيام الدليل على الرجحان</w:t>
      </w:r>
      <w:r w:rsidR="00DB731D" w:rsidRPr="00A52585">
        <w:rPr>
          <w:rFonts w:hint="cs"/>
          <w:sz w:val="24"/>
          <w:szCs w:val="24"/>
          <w:rtl/>
        </w:rPr>
        <w:t>،</w:t>
      </w:r>
      <w:r w:rsidR="00777DCB" w:rsidRPr="00A52585">
        <w:rPr>
          <w:rFonts w:hint="cs"/>
          <w:sz w:val="24"/>
          <w:szCs w:val="24"/>
          <w:rtl/>
        </w:rPr>
        <w:t xml:space="preserve"> فقولهم بالظهور في جانب الوضع إنما هو بالنظر إلى حالة عدم قيام دليل مرجح للاحتمال المقابل</w:t>
      </w:r>
      <w:r w:rsidR="00DB731D" w:rsidRPr="00A52585">
        <w:rPr>
          <w:rFonts w:hint="cs"/>
          <w:sz w:val="24"/>
          <w:szCs w:val="24"/>
          <w:rtl/>
        </w:rPr>
        <w:t>،</w:t>
      </w:r>
      <w:r w:rsidR="00777DCB" w:rsidRPr="00A52585">
        <w:rPr>
          <w:rFonts w:hint="cs"/>
          <w:sz w:val="24"/>
          <w:szCs w:val="24"/>
          <w:rtl/>
        </w:rPr>
        <w:t xml:space="preserve"> والحاصل أن الظاهر بالوضع هو ما لا يقارنه دليل يرجح الاحتمال الآخر. فلا ظاهر بالوضع عند ترجح الاحتمال الثاني بالدليل</w:t>
      </w:r>
      <w:r w:rsidR="00DB731D" w:rsidRPr="00A52585">
        <w:rPr>
          <w:rFonts w:hint="cs"/>
          <w:sz w:val="24"/>
          <w:szCs w:val="24"/>
          <w:rtl/>
        </w:rPr>
        <w:t>،</w:t>
      </w:r>
      <w:r w:rsidR="00777DCB" w:rsidRPr="00A52585">
        <w:rPr>
          <w:rFonts w:hint="cs"/>
          <w:sz w:val="24"/>
          <w:szCs w:val="24"/>
          <w:rtl/>
        </w:rPr>
        <w:t xml:space="preserve"> فإطلاق الظاهر على ما بالوضع عند قيام الدليل المرجح للاحتمال الثاني ما هو إلا تسامح فليعرف ذلك</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وأنهم حملوا النصوص على الحقيقة لا على المجاز إلا إذا اضطروا للمجاز بحس أو برهان وأنهم لا يكفرونكم بما قلتم من الكفران إذ أنتم أهل الجهالة عندهم لستم أولى كفر ولا إيمان</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وهذا بظاهره قول بالمنـزلة بين المنـزلتين كما هو معتقد المعتزلة الذين هم من أبغض خلق الله إليه. وإخراج أهل الحق من الإيمان محض هذيان</w:t>
      </w:r>
      <w:r w:rsidRPr="00A52585">
        <w:rPr>
          <w:rFonts w:hint="cs"/>
          <w:sz w:val="24"/>
          <w:szCs w:val="24"/>
          <w:rtl/>
        </w:rPr>
        <w:t>]</w:t>
      </w:r>
      <w:r w:rsidR="00DB731D" w:rsidRPr="00A52585">
        <w:rPr>
          <w:rFonts w:hint="cs"/>
          <w:rtl/>
        </w:rPr>
        <w:t>،</w:t>
      </w:r>
      <w:r w:rsidR="00777DCB" w:rsidRPr="00A52585">
        <w:rPr>
          <w:rFonts w:hint="cs"/>
          <w:rtl/>
        </w:rPr>
        <w:t xml:space="preserve"> فالبالغ المكلف الذي بلغته الدعوة إما كافر وإما مؤمن فكيف ينتفيان عنه والجهل ليس عذراً في ذلك</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لا تفرقون حقيقة الكفران بل لا تفرقون حقيقة الإيمان إلا ذا عاندتم ورددتم قول الرسول صلى الله عليه وسلم لأجل قول فلان فهناك أنتم أكفر الثقلين وأشهد عليهم أنهم فاعلون حقيقة والجبر عندهم محال هكذا </w:t>
      </w:r>
      <w:r w:rsidR="00777DCB" w:rsidRPr="00A52585">
        <w:rPr>
          <w:rFonts w:hint="cs"/>
          <w:rtl/>
        </w:rPr>
        <w:lastRenderedPageBreak/>
        <w:t>نفي القضاء</w:t>
      </w:r>
      <w:r w:rsidRPr="00A52585">
        <w:rPr>
          <w:rFonts w:hint="cs"/>
          <w:rtl/>
        </w:rPr>
        <w:t>)</w:t>
      </w:r>
      <w:r w:rsidR="00DB731D" w:rsidRPr="00A52585">
        <w:rPr>
          <w:rFonts w:hint="cs"/>
          <w:rtl/>
        </w:rPr>
        <w:t>،</w:t>
      </w:r>
      <w:r w:rsidR="00777DCB" w:rsidRPr="00A52585">
        <w:rPr>
          <w:rFonts w:hint="cs"/>
          <w:rtl/>
        </w:rPr>
        <w:t xml:space="preserve"> قد أشهد على نفسه بالفوقية وباللفظ والله يعلم ما تصوره قلبه منهما وبمعنى التأويل وأين هذا من التابعين الذين قيل فيهم ما منهم إلا من يخاف النفاق على نفسه كانوا مع صحة الاعتقاد والاجتهاد في العمل يخافون النفاق</w:t>
      </w:r>
      <w:r w:rsidR="00DB731D" w:rsidRPr="00A52585">
        <w:rPr>
          <w:rFonts w:hint="cs"/>
          <w:rtl/>
        </w:rPr>
        <w:t>،</w:t>
      </w:r>
      <w:r w:rsidR="00777DCB" w:rsidRPr="00A52585">
        <w:rPr>
          <w:rFonts w:hint="cs"/>
          <w:rtl/>
        </w:rPr>
        <w:t xml:space="preserve"> ونحن اليوم مع البعد</w:t>
      </w:r>
      <w:r w:rsidRPr="00A52585">
        <w:rPr>
          <w:rFonts w:hint="cs"/>
          <w:rtl/>
        </w:rPr>
        <w:t xml:space="preserve"> </w:t>
      </w:r>
      <w:r w:rsidR="00777DCB" w:rsidRPr="00A52585">
        <w:rPr>
          <w:rFonts w:hint="cs"/>
          <w:rtl/>
        </w:rPr>
        <w:t>- وشتان ما بيننا وبينهم -</w:t>
      </w:r>
      <w:r w:rsidRPr="00A52585">
        <w:rPr>
          <w:rFonts w:hint="cs"/>
          <w:rtl/>
        </w:rPr>
        <w:t xml:space="preserve"> </w:t>
      </w:r>
      <w:r w:rsidR="00777DCB" w:rsidRPr="00A52585">
        <w:rPr>
          <w:rFonts w:hint="cs"/>
          <w:rtl/>
        </w:rPr>
        <w:t>بيننا من يتجاسر هذه الجسارة ويدل هذا الادلال</w:t>
      </w:r>
      <w:r w:rsidR="00DB731D" w:rsidRPr="00A52585">
        <w:rPr>
          <w:rFonts w:hint="cs"/>
          <w:rtl/>
        </w:rPr>
        <w:t>،</w:t>
      </w:r>
      <w:r w:rsidR="00777DCB" w:rsidRPr="00A52585">
        <w:rPr>
          <w:rFonts w:hint="cs"/>
          <w:rtl/>
        </w:rPr>
        <w:t xml:space="preserve"> </w:t>
      </w:r>
    </w:p>
    <w:p w14:paraId="66981878" w14:textId="1B4A94BC"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في عهود المثبتين مع الله رب العالمين</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يا ناصر الإسلام اشرح لدينك صدر كل موحد وانصر به حزب الهدى </w:t>
      </w:r>
      <w:proofErr w:type="spellStart"/>
      <w:r w:rsidR="00777DCB" w:rsidRPr="00A52585">
        <w:rPr>
          <w:rFonts w:hint="cs"/>
          <w:rtl/>
        </w:rPr>
        <w:t>فوحق</w:t>
      </w:r>
      <w:proofErr w:type="spellEnd"/>
      <w:r w:rsidR="00777DCB" w:rsidRPr="00A52585">
        <w:rPr>
          <w:rFonts w:hint="cs"/>
          <w:rtl/>
        </w:rPr>
        <w:t xml:space="preserve"> نعمتك التي وليتني وأريتني البدع المضلة لأجاهد لك عداك ما أبقيتني </w:t>
      </w:r>
      <w:proofErr w:type="spellStart"/>
      <w:r w:rsidR="00777DCB" w:rsidRPr="00A52585">
        <w:rPr>
          <w:rFonts w:hint="cs"/>
          <w:rtl/>
        </w:rPr>
        <w:t>ولأجعلن</w:t>
      </w:r>
      <w:proofErr w:type="spellEnd"/>
      <w:r w:rsidR="00777DCB" w:rsidRPr="00A52585">
        <w:rPr>
          <w:rFonts w:hint="cs"/>
          <w:rtl/>
        </w:rPr>
        <w:t xml:space="preserve"> لحومهم ودماءهم في يوم نصرك أعظم القربان</w:t>
      </w:r>
      <w:r w:rsidRPr="00A52585">
        <w:rPr>
          <w:rFonts w:hint="cs"/>
          <w:rtl/>
        </w:rPr>
        <w:t>)</w:t>
      </w:r>
      <w:r w:rsidR="00DB731D" w:rsidRPr="00A52585">
        <w:rPr>
          <w:rFonts w:hint="cs"/>
          <w:rtl/>
        </w:rPr>
        <w:t>،</w:t>
      </w:r>
      <w:r w:rsidR="00777DCB" w:rsidRPr="00A52585">
        <w:rPr>
          <w:rFonts w:hint="cs"/>
          <w:rtl/>
        </w:rPr>
        <w:t xml:space="preserve"> هذا يقتضي أنه يعتقد كفرهم وسفك دمائهم</w:t>
      </w:r>
      <w:r w:rsidR="00DB731D" w:rsidRPr="00A52585">
        <w:rPr>
          <w:rFonts w:hint="cs"/>
          <w:rtl/>
        </w:rPr>
        <w:t>،</w:t>
      </w:r>
      <w:r w:rsidR="00777DCB" w:rsidRPr="00A52585">
        <w:rPr>
          <w:rFonts w:hint="cs"/>
          <w:rtl/>
        </w:rPr>
        <w:t xml:space="preserve"> وقد حملهم في الفصل الذي قبل هذا شهادة أنه لا يكفرهم فيناقض كلامه. وقال هناك إنهم جهال لا كفار ولا مؤمنون فلعله يرى أنهم كالبهائم؛ لكنه صرح هنا بأنهم أعداء الله وغير الكافر ليس عدو الله</w:t>
      </w:r>
      <w:r w:rsidR="00DB731D" w:rsidRPr="00A52585">
        <w:rPr>
          <w:rFonts w:hint="cs"/>
          <w:rtl/>
        </w:rPr>
        <w:t>،</w:t>
      </w:r>
      <w:r w:rsidR="00777DCB" w:rsidRPr="00A52585">
        <w:rPr>
          <w:rFonts w:hint="cs"/>
          <w:rtl/>
        </w:rPr>
        <w:t xml:space="preserve"> </w:t>
      </w:r>
    </w:p>
    <w:p w14:paraId="73EF9D8A" w14:textId="13BCF404"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افتراؤهم المثلث على الأشعرية</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إنا تحملنا الشهادة بالـ</w:t>
      </w:r>
      <w:r w:rsidR="00897A24" w:rsidRPr="00A52585">
        <w:rPr>
          <w:rFonts w:hint="cs"/>
          <w:rtl/>
        </w:rPr>
        <w:t>.</w:t>
      </w:r>
      <w:r w:rsidR="00777DCB" w:rsidRPr="00A52585">
        <w:rPr>
          <w:rFonts w:hint="cs"/>
          <w:rtl/>
        </w:rPr>
        <w:t>. ـذي قلتم نؤديها لدى الرحمن</w:t>
      </w:r>
      <w:r w:rsidR="00DB731D" w:rsidRPr="00A52585">
        <w:rPr>
          <w:rFonts w:hint="cs"/>
          <w:rtl/>
        </w:rPr>
        <w:t>،</w:t>
      </w:r>
      <w:r w:rsidR="00777DCB" w:rsidRPr="00A52585">
        <w:rPr>
          <w:rFonts w:hint="cs"/>
          <w:rtl/>
        </w:rPr>
        <w:t xml:space="preserve"> ما عندكم في الأرض قرآن</w:t>
      </w:r>
      <w:r w:rsidR="00897A24" w:rsidRPr="00A52585">
        <w:rPr>
          <w:rFonts w:hint="cs"/>
          <w:rtl/>
        </w:rPr>
        <w:t>.</w:t>
      </w:r>
      <w:r w:rsidR="00777DCB" w:rsidRPr="00A52585">
        <w:rPr>
          <w:rFonts w:hint="cs"/>
          <w:rtl/>
        </w:rPr>
        <w:t>. كلام الله حقاً يا أولى العدوان</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تلك الثلاثة هي أقانيم اختلاقهم على الأشعري وأصحابه، لهج بها أبو نصر الوائلي </w:t>
      </w:r>
      <w:proofErr w:type="spellStart"/>
      <w:r w:rsidR="00777DCB" w:rsidRPr="00A52585">
        <w:rPr>
          <w:rFonts w:hint="cs"/>
          <w:sz w:val="24"/>
          <w:szCs w:val="24"/>
          <w:rtl/>
        </w:rPr>
        <w:t>السجزي</w:t>
      </w:r>
      <w:proofErr w:type="spellEnd"/>
      <w:r w:rsidR="00777DCB" w:rsidRPr="00A52585">
        <w:rPr>
          <w:rFonts w:hint="cs"/>
          <w:sz w:val="24"/>
          <w:szCs w:val="24"/>
          <w:rtl/>
        </w:rPr>
        <w:t xml:space="preserve"> صاحب "الإبانة" وابن مت صاحب "ذم الكلام" ومن تابعهما في البهت على أئمة الدين. ومن قال إن القرآن القائم بالله في الأرض فهو حلولي زائغ وهذا ظاهر جداً</w:t>
      </w:r>
      <w:r w:rsidRPr="00A52585">
        <w:rPr>
          <w:rFonts w:hint="cs"/>
          <w:sz w:val="24"/>
          <w:szCs w:val="24"/>
          <w:rtl/>
        </w:rPr>
        <w:t>]</w:t>
      </w:r>
      <w:r w:rsidR="00DB731D" w:rsidRPr="00A52585">
        <w:rPr>
          <w:rFonts w:hint="cs"/>
          <w:sz w:val="24"/>
          <w:rtl/>
        </w:rPr>
        <w:t>،</w:t>
      </w:r>
      <w:r w:rsidR="00777DCB" w:rsidRPr="00A52585">
        <w:rPr>
          <w:rFonts w:hint="cs"/>
          <w:rtl/>
        </w:rPr>
        <w:t xml:space="preserve"> كلا ولا فوق السموات العلى رب مطاع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نعم هم لا يعتقدون صنماً متمكناً بمكان, وإنما يؤمنون بإله العالمين الذي ليس كمثله شيء، وله الأسماء الحسنى، تعالى الله عما يقول الجاهلون من الجاهلية بعد الإسلام</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 xml:space="preserve">ولا في القبر عندكم من يرسل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وقال إمام الحرمين فيما رد به على </w:t>
      </w:r>
      <w:proofErr w:type="spellStart"/>
      <w:r w:rsidR="00777DCB" w:rsidRPr="00A52585">
        <w:rPr>
          <w:rFonts w:hint="cs"/>
          <w:sz w:val="24"/>
          <w:szCs w:val="24"/>
          <w:rtl/>
        </w:rPr>
        <w:t>السجزي</w:t>
      </w:r>
      <w:proofErr w:type="spellEnd"/>
      <w:r w:rsidR="00777DCB" w:rsidRPr="00A52585">
        <w:rPr>
          <w:rFonts w:hint="cs"/>
          <w:sz w:val="24"/>
          <w:szCs w:val="24"/>
          <w:rtl/>
        </w:rPr>
        <w:t>، السابق ذكره في مقدمة المصنف</w:t>
      </w:r>
      <w:r w:rsidRPr="00A52585">
        <w:rPr>
          <w:rFonts w:hint="cs"/>
          <w:sz w:val="24"/>
          <w:szCs w:val="24"/>
          <w:rtl/>
        </w:rPr>
        <w:t>:</w:t>
      </w:r>
      <w:r w:rsidR="00777DCB" w:rsidRPr="00A52585">
        <w:rPr>
          <w:rFonts w:hint="cs"/>
          <w:sz w:val="24"/>
          <w:szCs w:val="24"/>
          <w:rtl/>
        </w:rPr>
        <w:t xml:space="preserve"> "ما كنت أظن أن هذا الجاهل يبلغ حمقه وخرقه هذا المبلغ [وهو زعمه أن من مذهب الأشعرية أن النبوة عرض لا يبقى زمانين وإذا مات النبي زالت نبوته</w:t>
      </w:r>
      <w:r w:rsidRPr="00A52585">
        <w:rPr>
          <w:rFonts w:hint="cs"/>
          <w:sz w:val="24"/>
          <w:szCs w:val="24"/>
          <w:rtl/>
        </w:rPr>
        <w:t>]</w:t>
      </w:r>
      <w:r w:rsidR="00777DCB" w:rsidRPr="00A52585">
        <w:rPr>
          <w:rFonts w:hint="cs"/>
          <w:sz w:val="24"/>
          <w:szCs w:val="24"/>
          <w:rtl/>
        </w:rPr>
        <w:t xml:space="preserve"> وهذا الذي حكاه لم يقل به قائل ولم ينقله قبله ناقل ولو سئل هذا الأحمق عن النبوة وحقيقتها ومعناها لتبلد في غمه وتردد في غيه ولم يتمسك إلا بدهش الحيرة كما نسب إليها غيره فليست النبوة عرضا من الأعراض باتفاق من المحققين وإطباق من المحصلين -</w:t>
      </w:r>
      <w:r w:rsidRPr="00A52585">
        <w:rPr>
          <w:rFonts w:hint="cs"/>
          <w:sz w:val="24"/>
          <w:szCs w:val="24"/>
          <w:rtl/>
        </w:rPr>
        <w:t xml:space="preserve"> </w:t>
      </w:r>
      <w:r w:rsidR="00777DCB" w:rsidRPr="00A52585">
        <w:rPr>
          <w:rFonts w:hint="cs"/>
          <w:sz w:val="24"/>
          <w:szCs w:val="24"/>
          <w:rtl/>
        </w:rPr>
        <w:t>ثم ذكر الدليل على أن النبوة ليست عرضاً ثم قال -</w:t>
      </w:r>
      <w:r w:rsidRPr="00A52585">
        <w:rPr>
          <w:rFonts w:hint="cs"/>
          <w:sz w:val="24"/>
          <w:szCs w:val="24"/>
          <w:rtl/>
        </w:rPr>
        <w:t xml:space="preserve"> </w:t>
      </w:r>
      <w:r w:rsidR="00777DCB" w:rsidRPr="00A52585">
        <w:rPr>
          <w:rFonts w:hint="cs"/>
          <w:sz w:val="24"/>
          <w:szCs w:val="24"/>
          <w:rtl/>
        </w:rPr>
        <w:t xml:space="preserve">فبطل المصير إلى أن النبوة عرض ووجب القضاء بأن النبوة هي حكم الله تعالى برسالة رسول وإخباره عن سفارته وأمره إياه بتبليغ الشرائع وشرع الحكام وقد حكم الله تعالى بنبوة الأنبياء عليهم السلام في حياتهم وبعد مماتهم وكونهم مرسلين، وعلم ذلك منهم في السابقة والعاقبة فهذا مذهب أهل الحق ودينهم، فعلى من يصفهم بغير ذلك لعنة الله ولعنة الملائكة والناس أجمعين". انتهى ما ذكره إمام الحرمين وهو نص ما نقله </w:t>
      </w:r>
      <w:proofErr w:type="spellStart"/>
      <w:r w:rsidR="00777DCB" w:rsidRPr="00A52585">
        <w:rPr>
          <w:rFonts w:hint="cs"/>
          <w:sz w:val="24"/>
          <w:szCs w:val="24"/>
          <w:rtl/>
        </w:rPr>
        <w:t>اللبلى</w:t>
      </w:r>
      <w:proofErr w:type="spellEnd"/>
      <w:r w:rsidR="00777DCB" w:rsidRPr="00A52585">
        <w:rPr>
          <w:rFonts w:hint="cs"/>
          <w:sz w:val="24"/>
          <w:szCs w:val="24"/>
          <w:rtl/>
        </w:rPr>
        <w:t xml:space="preserve"> عنه</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فالروح عندكم عرض قائم بجسم الحي</w:t>
      </w:r>
      <w:r w:rsidRPr="00A52585">
        <w:rPr>
          <w:rFonts w:hint="cs"/>
          <w:rtl/>
        </w:rPr>
        <w:t xml:space="preserve"> </w:t>
      </w:r>
      <w:r w:rsidR="00777DCB" w:rsidRPr="00A52585">
        <w:rPr>
          <w:rFonts w:hint="cs"/>
          <w:rtl/>
        </w:rPr>
        <w:t>وكذا صفات الحي قائمة به مشروطة بالحياة</w:t>
      </w:r>
      <w:r w:rsidR="00DB731D" w:rsidRPr="00A52585">
        <w:rPr>
          <w:rFonts w:hint="cs"/>
          <w:rtl/>
        </w:rPr>
        <w:t>،</w:t>
      </w:r>
      <w:r w:rsidR="00777DCB" w:rsidRPr="00A52585">
        <w:rPr>
          <w:rFonts w:hint="cs"/>
          <w:rtl/>
        </w:rPr>
        <w:t xml:space="preserve"> فإذا انتفت الحياة انتفى مشروطها ورسالة المبعوث </w:t>
      </w:r>
      <w:r w:rsidR="00777DCB" w:rsidRPr="00A52585">
        <w:rPr>
          <w:rFonts w:hint="cs"/>
          <w:rtl/>
        </w:rPr>
        <w:lastRenderedPageBreak/>
        <w:t>مشروطة بها كصفاته بالعلم والإيمان فإذا انتفت تلك الحياة فكل مشروط بها عدم</w:t>
      </w:r>
      <w:r w:rsidRPr="00A52585">
        <w:rPr>
          <w:rFonts w:hint="cs"/>
          <w:rtl/>
        </w:rPr>
        <w:t>)</w:t>
      </w:r>
      <w:r w:rsidR="00DB731D" w:rsidRPr="00A52585">
        <w:rPr>
          <w:rFonts w:hint="cs"/>
          <w:rtl/>
        </w:rPr>
        <w:t>،</w:t>
      </w:r>
      <w:r w:rsidR="00777DCB" w:rsidRPr="00A52585">
        <w:rPr>
          <w:rFonts w:hint="cs"/>
          <w:rtl/>
        </w:rPr>
        <w:t xml:space="preserve"> قوله ما في الأرض قرآن شهادة زور. ونحن نطلق القرآن على ما في المصحف؛ وهو إن كان لا يطلقه عليه لزمه ما ألزمنا؛ وإن كان يقول إنه في المصحف حقيقة فهو قد قال فيما تقدم إن الصوت من العبد مخلوق فالخط بطريق الأولى. وعندنا أن القرآن مكتوب في المصاحف ولهذا يحرم على المحدث حمل المصحف ومتلو بالألسنة ومحفوظ في الصدور</w:t>
      </w:r>
      <w:r w:rsidR="00DB731D" w:rsidRPr="00A52585">
        <w:rPr>
          <w:rFonts w:hint="cs"/>
          <w:rtl/>
        </w:rPr>
        <w:t>،</w:t>
      </w:r>
      <w:r w:rsidR="00777DCB" w:rsidRPr="00A52585">
        <w:rPr>
          <w:rFonts w:hint="cs"/>
          <w:rtl/>
        </w:rPr>
        <w:t xml:space="preserve"> </w:t>
      </w:r>
    </w:p>
    <w:p w14:paraId="4A7BB131" w14:textId="745C65AA"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حياة الأنبياء</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ولأجـل هذا رام ناصر قــو</w:t>
      </w:r>
      <w:r w:rsidR="00897A24" w:rsidRPr="00A52585">
        <w:rPr>
          <w:rFonts w:hint="cs"/>
          <w:rtl/>
        </w:rPr>
        <w:t>.</w:t>
      </w:r>
      <w:r w:rsidR="00777DCB" w:rsidRPr="00A52585">
        <w:rPr>
          <w:rFonts w:hint="cs"/>
          <w:rtl/>
        </w:rPr>
        <w:t>. لكم ترقيعه يا كثرة الخلقان</w:t>
      </w:r>
      <w:r w:rsidR="00DB731D" w:rsidRPr="00A52585">
        <w:rPr>
          <w:rFonts w:hint="cs"/>
          <w:rtl/>
        </w:rPr>
        <w:t>،</w:t>
      </w:r>
      <w:r w:rsidR="00777DCB" w:rsidRPr="00A52585">
        <w:rPr>
          <w:rFonts w:hint="cs"/>
          <w:rtl/>
        </w:rPr>
        <w:t xml:space="preserve"> قال الرسول بقبره حي</w:t>
      </w:r>
      <w:r w:rsidR="00DB731D" w:rsidRPr="00A52585">
        <w:rPr>
          <w:rFonts w:hint="cs"/>
          <w:rtl/>
        </w:rPr>
        <w:t>،</w:t>
      </w:r>
      <w:r w:rsidR="00777DCB" w:rsidRPr="00A52585">
        <w:rPr>
          <w:rFonts w:hint="cs"/>
          <w:rtl/>
        </w:rPr>
        <w:t xml:space="preserve"> وذكر أربعين نبياً في إنكار ذلك وقد صنف البيهقي جزءاً في حياة الأنبياء ولكن هذا المدبر بعيد عن التوفيق</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الناظم وشيخه ينفيان التوسل بالنبي صلى الله عليه وسلم باعتبار تفرقتهما بين حالتيه صلى الله عليه وسلم حال حياته وحال وفاته؛ وبإخراجهما للحديث الصحيح في التوسل عن دلالته الصريحة بالرأي عن هوى. وقد أقام قاضي قضاة الشافعية العلامة علاء الدين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الشافعي النكير على ابن تيمية بعنف في هذه المسألة في كتابه (شرح التعرف) وهو من محفوظات التيمورية، وعد ذلك مأخوذاً من اليهود مع أنه كان من </w:t>
      </w:r>
      <w:proofErr w:type="spellStart"/>
      <w:r w:rsidR="00777DCB" w:rsidRPr="00A52585">
        <w:rPr>
          <w:rFonts w:hint="cs"/>
          <w:sz w:val="24"/>
          <w:szCs w:val="24"/>
          <w:rtl/>
        </w:rPr>
        <w:t>المثنين</w:t>
      </w:r>
      <w:proofErr w:type="spellEnd"/>
      <w:r w:rsidR="00777DCB" w:rsidRPr="00A52585">
        <w:rPr>
          <w:rFonts w:hint="cs"/>
          <w:sz w:val="24"/>
          <w:szCs w:val="24"/>
          <w:rtl/>
        </w:rPr>
        <w:t xml:space="preserve"> عليه قبل هذه الحادثة، وفي الاطلاع على شرح التعرف هذا تنوير للمسألة. وقد أغنانا عن بسط ذلك هنا ما نقله التقي </w:t>
      </w:r>
      <w:proofErr w:type="spellStart"/>
      <w:r w:rsidR="00777DCB" w:rsidRPr="00A52585">
        <w:rPr>
          <w:rFonts w:hint="cs"/>
          <w:sz w:val="24"/>
          <w:szCs w:val="24"/>
          <w:rtl/>
        </w:rPr>
        <w:t>الحصني</w:t>
      </w:r>
      <w:proofErr w:type="spellEnd"/>
      <w:r w:rsidR="00777DCB" w:rsidRPr="00A52585">
        <w:rPr>
          <w:rFonts w:hint="cs"/>
          <w:sz w:val="24"/>
          <w:szCs w:val="24"/>
          <w:rtl/>
        </w:rPr>
        <w:t xml:space="preserve"> منه في كتاب (دفع الشبه) وهو مطبوع. وفي كتاب "الروح" للناظم كثير مما ينافي ما ذكره هنا، والتناقض شأن من أصيب في عقله أو دينه، نسأل الله السلامة والمعافاة. وأما كلمة ابن حزم في الفصل فاغترار منه بتقولات الرواة من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حق الأشعري كما بينت ذلك فيما علقته على "تبيين كذب المفتري" لابن عساكر</w:t>
      </w:r>
      <w:r w:rsidR="00DB731D" w:rsidRPr="00A52585">
        <w:rPr>
          <w:rFonts w:hint="cs"/>
          <w:sz w:val="24"/>
          <w:szCs w:val="24"/>
          <w:rtl/>
        </w:rPr>
        <w:t>،</w:t>
      </w:r>
      <w:r w:rsidR="00777DCB" w:rsidRPr="00A52585">
        <w:rPr>
          <w:rFonts w:hint="cs"/>
          <w:sz w:val="24"/>
          <w:szCs w:val="24"/>
          <w:rtl/>
        </w:rPr>
        <w:t xml:space="preserve"> وقد بلغ بالناظم وشيخه الغلو في هذا الصدر إلى تحريم شد الرحل لزيارة النبي صلى الله عليه وسلم وعد السفر لأجل ذلك سفر معصية لا تقصر فيه الصلاة فأصدر الشاميون فتيا في ابن تيمية وكتب عليها البرهان ابن </w:t>
      </w:r>
      <w:proofErr w:type="spellStart"/>
      <w:r w:rsidR="00777DCB" w:rsidRPr="00A52585">
        <w:rPr>
          <w:rFonts w:hint="cs"/>
          <w:sz w:val="24"/>
          <w:szCs w:val="24"/>
          <w:rtl/>
        </w:rPr>
        <w:t>الفركاح</w:t>
      </w:r>
      <w:proofErr w:type="spellEnd"/>
      <w:r w:rsidR="00777DCB" w:rsidRPr="00A52585">
        <w:rPr>
          <w:rFonts w:hint="cs"/>
          <w:sz w:val="24"/>
          <w:szCs w:val="24"/>
          <w:rtl/>
        </w:rPr>
        <w:t xml:space="preserve"> الفزاري نحو أربعين سطرا بأشياء إلى أن قال بتكفيره </w:t>
      </w:r>
      <w:proofErr w:type="spellStart"/>
      <w:r w:rsidR="00777DCB" w:rsidRPr="00A52585">
        <w:rPr>
          <w:rFonts w:hint="cs"/>
          <w:sz w:val="24"/>
          <w:szCs w:val="24"/>
          <w:rtl/>
        </w:rPr>
        <w:t>ووافقه</w:t>
      </w:r>
      <w:proofErr w:type="spellEnd"/>
      <w:r w:rsidR="00777DCB" w:rsidRPr="00A52585">
        <w:rPr>
          <w:rFonts w:hint="cs"/>
          <w:sz w:val="24"/>
          <w:szCs w:val="24"/>
          <w:rtl/>
        </w:rPr>
        <w:t xml:space="preserve"> على ذلك الشهاب بن </w:t>
      </w:r>
      <w:proofErr w:type="spellStart"/>
      <w:r w:rsidR="00777DCB" w:rsidRPr="00A52585">
        <w:rPr>
          <w:rFonts w:hint="cs"/>
          <w:sz w:val="24"/>
          <w:szCs w:val="24"/>
          <w:rtl/>
        </w:rPr>
        <w:t>جهبل</w:t>
      </w:r>
      <w:proofErr w:type="spellEnd"/>
      <w:r w:rsidR="00777DCB" w:rsidRPr="00A52585">
        <w:rPr>
          <w:rFonts w:hint="cs"/>
          <w:sz w:val="24"/>
          <w:szCs w:val="24"/>
          <w:rtl/>
        </w:rPr>
        <w:t>، وكتب تحت خطه كذلك المالكي، ثم عرضت الفتيا لقاضي قضاة الشافعية بمصر البدر بن جماعة فكتب على ظاهر الفتوى</w:t>
      </w:r>
      <w:r w:rsidRPr="00A52585">
        <w:rPr>
          <w:rFonts w:hint="cs"/>
          <w:sz w:val="24"/>
          <w:szCs w:val="24"/>
          <w:rtl/>
        </w:rPr>
        <w:t>:</w:t>
      </w:r>
      <w:r w:rsidR="00777DCB" w:rsidRPr="00A52585">
        <w:rPr>
          <w:rFonts w:hint="cs"/>
          <w:sz w:val="24"/>
          <w:szCs w:val="24"/>
          <w:rtl/>
        </w:rPr>
        <w:t xml:space="preserve"> الحمد لله، هذا المنقول باطنها جواب عن السؤال عن قوله إن زيارة الأنبياء والصالحين بدعة وما ذكره من نحو ذلك وانه لا يرخص بالسفر لزيارة الأنبياء باطل مردود عليه، وقد نقل جماعة من العلماء أن زيارة النبي صلى الله عليه وسلم</w:t>
      </w:r>
      <w:r w:rsidRPr="00A52585">
        <w:rPr>
          <w:rFonts w:hint="cs"/>
          <w:sz w:val="24"/>
          <w:szCs w:val="24"/>
          <w:rtl/>
        </w:rPr>
        <w:t xml:space="preserve"> </w:t>
      </w:r>
      <w:r w:rsidR="00777DCB" w:rsidRPr="00A52585">
        <w:rPr>
          <w:rFonts w:hint="cs"/>
          <w:sz w:val="24"/>
          <w:szCs w:val="24"/>
          <w:rtl/>
        </w:rPr>
        <w:t>فضيلة وسنة مجمع عليها، وهذا المفتي المذكور -</w:t>
      </w:r>
      <w:r w:rsidRPr="00A52585">
        <w:rPr>
          <w:rFonts w:hint="cs"/>
          <w:sz w:val="24"/>
          <w:szCs w:val="24"/>
          <w:rtl/>
        </w:rPr>
        <w:t xml:space="preserve"> </w:t>
      </w:r>
      <w:r w:rsidR="00777DCB" w:rsidRPr="00A52585">
        <w:rPr>
          <w:rFonts w:hint="cs"/>
          <w:sz w:val="24"/>
          <w:szCs w:val="24"/>
          <w:rtl/>
        </w:rPr>
        <w:t>يعني ابن تيمية -</w:t>
      </w:r>
      <w:r w:rsidRPr="00A52585">
        <w:rPr>
          <w:rFonts w:hint="cs"/>
          <w:sz w:val="24"/>
          <w:szCs w:val="24"/>
          <w:rtl/>
        </w:rPr>
        <w:t xml:space="preserve"> </w:t>
      </w:r>
      <w:r w:rsidR="00777DCB" w:rsidRPr="00A52585">
        <w:rPr>
          <w:rFonts w:hint="cs"/>
          <w:sz w:val="24"/>
          <w:szCs w:val="24"/>
          <w:rtl/>
        </w:rPr>
        <w:t>ينبغي أن يزجر عن مثل هذه الفتاوى الغريبة، ويحبس إذا لم يمتنع من ذلك ويشهد أمره ليحتفظ الناس من الاقتداء به</w:t>
      </w:r>
      <w:r w:rsidR="00DB731D" w:rsidRPr="00A52585">
        <w:rPr>
          <w:rFonts w:hint="cs"/>
          <w:sz w:val="24"/>
          <w:szCs w:val="24"/>
          <w:rtl/>
        </w:rPr>
        <w:t>،</w:t>
      </w:r>
      <w:r w:rsidR="00777DCB" w:rsidRPr="00A52585">
        <w:rPr>
          <w:rFonts w:hint="cs"/>
          <w:sz w:val="24"/>
          <w:szCs w:val="24"/>
          <w:rtl/>
        </w:rPr>
        <w:t xml:space="preserve"> وكتب محمد بن إبراهيم بن سعد الله بن جماعة الشافعي</w:t>
      </w:r>
      <w:r w:rsidR="00DB731D" w:rsidRPr="00A52585">
        <w:rPr>
          <w:rFonts w:hint="cs"/>
          <w:sz w:val="24"/>
          <w:szCs w:val="24"/>
          <w:rtl/>
        </w:rPr>
        <w:t>،</w:t>
      </w:r>
      <w:r w:rsidR="00777DCB" w:rsidRPr="00A52585">
        <w:rPr>
          <w:rFonts w:hint="cs"/>
          <w:sz w:val="24"/>
          <w:szCs w:val="24"/>
          <w:rtl/>
        </w:rPr>
        <w:t xml:space="preserve"> وكذلك يقول محمد بن الجريري الأنصاري الحنفي لكن يحبس الآن جزما مطلقا</w:t>
      </w:r>
      <w:r w:rsidR="00DB731D" w:rsidRPr="00A52585">
        <w:rPr>
          <w:rFonts w:hint="cs"/>
          <w:sz w:val="24"/>
          <w:szCs w:val="24"/>
          <w:rtl/>
        </w:rPr>
        <w:t>،</w:t>
      </w:r>
      <w:r w:rsidR="00777DCB" w:rsidRPr="00A52585">
        <w:rPr>
          <w:rFonts w:hint="cs"/>
          <w:sz w:val="24"/>
          <w:szCs w:val="24"/>
          <w:rtl/>
        </w:rPr>
        <w:t xml:space="preserve"> وكذلك يقول محمد بن أبي بكر المالكي ويبالغ في زجره حسبما تندفع تلك المفسدة وغيرها من المفاسد</w:t>
      </w:r>
      <w:r w:rsidR="00DB731D" w:rsidRPr="00A52585">
        <w:rPr>
          <w:rFonts w:hint="cs"/>
          <w:sz w:val="24"/>
          <w:szCs w:val="24"/>
          <w:rtl/>
        </w:rPr>
        <w:t>،</w:t>
      </w:r>
      <w:r w:rsidR="00777DCB" w:rsidRPr="00A52585">
        <w:rPr>
          <w:rFonts w:hint="cs"/>
          <w:sz w:val="24"/>
          <w:szCs w:val="24"/>
          <w:rtl/>
        </w:rPr>
        <w:t xml:space="preserve"> وكذلك يقول أحمد بن عمر المقدسي الحنبلي، راجع دفعه الشبه (45 - 47) وهؤلاء الأربعة هم قضاة المذاهب الأربعة بمصر أيام تلك الفتنة في سنة 726. والنهي عن شد الرحل إلى غير المساجد الثلاثة في الحديث باعتبار أنه لا مضاعفة لثواب المصلي في غيرها ولا علاقة له أصلا بمثل زيارة القبور، وهذا ظاهر جداً فمعنى الحديث النهي عن شد الرحل إلى مساجد غير المساجد الثلاثة التي يضاعف فيها الثواب حيث </w:t>
      </w:r>
      <w:r w:rsidR="00777DCB" w:rsidRPr="00A52585">
        <w:rPr>
          <w:rFonts w:hint="cs"/>
          <w:sz w:val="24"/>
          <w:szCs w:val="24"/>
          <w:rtl/>
        </w:rPr>
        <w:lastRenderedPageBreak/>
        <w:t>لا داعي إلى تجشم المشاق. والاستثناء المفرغ يقدر فيه المستثنى منه بقدر أدنى ما يصحح الاستثناء. لأن التقدير ضرورة فلا يزيد على القدر الضروري في تصحيح الكلام -</w:t>
      </w:r>
      <w:r w:rsidRPr="00A52585">
        <w:rPr>
          <w:rFonts w:hint="cs"/>
          <w:sz w:val="24"/>
          <w:szCs w:val="24"/>
          <w:rtl/>
        </w:rPr>
        <w:t xml:space="preserve"> </w:t>
      </w:r>
      <w:r w:rsidR="00777DCB" w:rsidRPr="00A52585">
        <w:rPr>
          <w:rFonts w:hint="cs"/>
          <w:sz w:val="24"/>
          <w:szCs w:val="24"/>
          <w:rtl/>
        </w:rPr>
        <w:t>وما زاد على ذلك ليس مما يعتبره أهل العلم. كما لا يخفي على أن شد الرحل لأجل العلم أو الجهاد أو التجارة أو الاعتبار أو استعادة الصحة ونحو هذا لا يتصور أن يتناوله النهي في الحديث فلا يصح تقدير المستثنى منه من أعم ما يتناول المستثنى. ومن تصور خلاف ذلك فقد غلط غلطاً فاحشاً واستعجم عليه الحديث</w:t>
      </w:r>
      <w:r w:rsidR="00DB731D" w:rsidRPr="00A52585">
        <w:rPr>
          <w:rFonts w:hint="cs"/>
          <w:sz w:val="24"/>
          <w:szCs w:val="24"/>
          <w:rtl/>
        </w:rPr>
        <w:t>،</w:t>
      </w:r>
      <w:r w:rsidR="00777DCB" w:rsidRPr="00A52585">
        <w:rPr>
          <w:rFonts w:hint="cs"/>
          <w:sz w:val="24"/>
          <w:szCs w:val="24"/>
          <w:rtl/>
        </w:rPr>
        <w:t xml:space="preserve"> والأحاديث في زيارته صلى الله عليه وسلم في غاية من الكثرة وقد جمع طرقها الحافظ صلاح الدين العلائي في جزء كما سبق. وعلى العمل بموجبها استمرت الأمة إلى أن شذ ابن تيمية عن جماعة المسلمين في ذلك، قال على القاري في شرح الشفا</w:t>
      </w:r>
      <w:r w:rsidRPr="00A52585">
        <w:rPr>
          <w:rFonts w:hint="cs"/>
          <w:sz w:val="24"/>
          <w:szCs w:val="24"/>
          <w:rtl/>
        </w:rPr>
        <w:t>:</w:t>
      </w:r>
      <w:r w:rsidR="00777DCB" w:rsidRPr="00A52585">
        <w:rPr>
          <w:rFonts w:hint="cs"/>
          <w:sz w:val="24"/>
          <w:szCs w:val="24"/>
          <w:rtl/>
        </w:rPr>
        <w:t xml:space="preserve"> "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 اهـ "</w:t>
      </w:r>
      <w:r w:rsidR="00DB731D" w:rsidRPr="00A52585">
        <w:rPr>
          <w:rFonts w:hint="cs"/>
          <w:sz w:val="24"/>
          <w:szCs w:val="24"/>
          <w:rtl/>
        </w:rPr>
        <w:t>،</w:t>
      </w:r>
      <w:r w:rsidR="00777DCB" w:rsidRPr="00A52585">
        <w:rPr>
          <w:rFonts w:hint="cs"/>
          <w:sz w:val="24"/>
          <w:szCs w:val="24"/>
          <w:rtl/>
        </w:rPr>
        <w:t xml:space="preserve"> فسعيه في منع الناس من </w:t>
      </w:r>
      <w:proofErr w:type="spellStart"/>
      <w:r w:rsidR="00777DCB" w:rsidRPr="00A52585">
        <w:rPr>
          <w:rFonts w:hint="cs"/>
          <w:sz w:val="24"/>
          <w:szCs w:val="24"/>
          <w:rtl/>
        </w:rPr>
        <w:t>زيارتهصلى</w:t>
      </w:r>
      <w:proofErr w:type="spellEnd"/>
      <w:r w:rsidR="00777DCB" w:rsidRPr="00A52585">
        <w:rPr>
          <w:rFonts w:hint="cs"/>
          <w:sz w:val="24"/>
          <w:szCs w:val="24"/>
          <w:rtl/>
        </w:rPr>
        <w:t xml:space="preserve"> الله عليه وسلم يدل على ضغينة كامنة فيه نحو </w:t>
      </w:r>
      <w:proofErr w:type="spellStart"/>
      <w:r w:rsidR="00777DCB" w:rsidRPr="00A52585">
        <w:rPr>
          <w:rFonts w:hint="cs"/>
          <w:sz w:val="24"/>
          <w:szCs w:val="24"/>
          <w:rtl/>
        </w:rPr>
        <w:t>الرسولصلى</w:t>
      </w:r>
      <w:proofErr w:type="spellEnd"/>
      <w:r w:rsidR="00777DCB" w:rsidRPr="00A52585">
        <w:rPr>
          <w:rFonts w:hint="cs"/>
          <w:sz w:val="24"/>
          <w:szCs w:val="24"/>
          <w:rtl/>
        </w:rPr>
        <w:t xml:space="preserve"> الله عليه وسلم. وكيف يتصور الإشراك بسبب الزيارة والتوسل في المسلمين الذين يعتقدون في </w:t>
      </w:r>
      <w:proofErr w:type="spellStart"/>
      <w:r w:rsidR="00777DCB" w:rsidRPr="00A52585">
        <w:rPr>
          <w:rFonts w:hint="cs"/>
          <w:sz w:val="24"/>
          <w:szCs w:val="24"/>
          <w:rtl/>
        </w:rPr>
        <w:t>حقهصلى</w:t>
      </w:r>
      <w:proofErr w:type="spellEnd"/>
      <w:r w:rsidR="00777DCB" w:rsidRPr="00A52585">
        <w:rPr>
          <w:rFonts w:hint="cs"/>
          <w:sz w:val="24"/>
          <w:szCs w:val="24"/>
          <w:rtl/>
        </w:rPr>
        <w:t xml:space="preserve"> الله عليه وسلم " أنه عبده ورسوله " وينطقون بذلك في صلواتهم نحو عشرين مرة في كل يوم على أقل تقدير إدامة لذكرى ذلك. ولم يزل أهل العلم ينهون العوام عن البدع في كل </w:t>
      </w:r>
      <w:proofErr w:type="gramStart"/>
      <w:r w:rsidR="00777DCB" w:rsidRPr="00A52585">
        <w:rPr>
          <w:rFonts w:hint="cs"/>
          <w:sz w:val="24"/>
          <w:szCs w:val="24"/>
          <w:rtl/>
        </w:rPr>
        <w:t>شئونهم,</w:t>
      </w:r>
      <w:proofErr w:type="gramEnd"/>
      <w:r w:rsidR="00777DCB" w:rsidRPr="00A52585">
        <w:rPr>
          <w:rFonts w:hint="cs"/>
          <w:sz w:val="24"/>
          <w:szCs w:val="24"/>
          <w:rtl/>
        </w:rPr>
        <w:t xml:space="preserve"> ويرشدونهم إلى السنة في الزيارة وغيرها إذا صدرت منهم بدعة في </w:t>
      </w:r>
      <w:proofErr w:type="spellStart"/>
      <w:r w:rsidR="00777DCB" w:rsidRPr="00A52585">
        <w:rPr>
          <w:rFonts w:hint="cs"/>
          <w:sz w:val="24"/>
          <w:szCs w:val="24"/>
          <w:rtl/>
        </w:rPr>
        <w:t>شئ</w:t>
      </w:r>
      <w:proofErr w:type="spellEnd"/>
      <w:r w:rsidR="00777DCB" w:rsidRPr="00A52585">
        <w:rPr>
          <w:rFonts w:hint="cs"/>
          <w:sz w:val="24"/>
          <w:szCs w:val="24"/>
          <w:rtl/>
        </w:rPr>
        <w:t xml:space="preserve">؛ ولم يعدوهم في يوم من الأيام مشركين بسبب الزيارة أو </w:t>
      </w:r>
      <w:proofErr w:type="spellStart"/>
      <w:r w:rsidR="00777DCB" w:rsidRPr="00A52585">
        <w:rPr>
          <w:rFonts w:hint="cs"/>
          <w:sz w:val="24"/>
          <w:szCs w:val="24"/>
          <w:rtl/>
        </w:rPr>
        <w:t>التوسل.كيف</w:t>
      </w:r>
      <w:proofErr w:type="spellEnd"/>
      <w:r w:rsidR="00777DCB" w:rsidRPr="00A52585">
        <w:rPr>
          <w:rFonts w:hint="cs"/>
          <w:sz w:val="24"/>
          <w:szCs w:val="24"/>
          <w:rtl/>
        </w:rPr>
        <w:t xml:space="preserve"> وقد أنقذهم الله من الشرك وأدخل في قلوبهم الإيمان. وأول من رماهم بالإشراك بتلك الوسيلة هو ابن </w:t>
      </w:r>
      <w:proofErr w:type="spellStart"/>
      <w:proofErr w:type="gramStart"/>
      <w:r w:rsidR="00777DCB" w:rsidRPr="00A52585">
        <w:rPr>
          <w:rFonts w:hint="cs"/>
          <w:sz w:val="24"/>
          <w:szCs w:val="24"/>
          <w:rtl/>
        </w:rPr>
        <w:t>تيمية,</w:t>
      </w:r>
      <w:proofErr w:type="gramEnd"/>
      <w:r w:rsidR="00777DCB" w:rsidRPr="00A52585">
        <w:rPr>
          <w:rFonts w:hint="cs"/>
          <w:sz w:val="24"/>
          <w:szCs w:val="24"/>
          <w:rtl/>
        </w:rPr>
        <w:t>وجرى</w:t>
      </w:r>
      <w:proofErr w:type="spellEnd"/>
      <w:r w:rsidR="00777DCB" w:rsidRPr="00A52585">
        <w:rPr>
          <w:rFonts w:hint="cs"/>
          <w:sz w:val="24"/>
          <w:szCs w:val="24"/>
          <w:rtl/>
        </w:rPr>
        <w:t xml:space="preserve"> خلفه من أراد استباحة أموال المسلمين ودماءهم لحاجة في النفس. ولم يخف ابن تيمية من الله في رواية عد السفر لزيارة النبي صلى الله عليه وسلم سفر معصية لا تقصر فيه الصلاة عن الإمام أبي الوفاء بن عقيل الحنبلي, وحاشاه عن ذلك - راجع كتاب التذكرة له تجد فيه مبلغ عنايته بزيارة </w:t>
      </w:r>
      <w:proofErr w:type="spellStart"/>
      <w:r w:rsidR="00777DCB" w:rsidRPr="00A52585">
        <w:rPr>
          <w:rFonts w:hint="cs"/>
          <w:sz w:val="24"/>
          <w:szCs w:val="24"/>
          <w:rtl/>
        </w:rPr>
        <w:t>المصطفىصلى</w:t>
      </w:r>
      <w:proofErr w:type="spellEnd"/>
      <w:r w:rsidR="00777DCB" w:rsidRPr="00A52585">
        <w:rPr>
          <w:rFonts w:hint="cs"/>
          <w:sz w:val="24"/>
          <w:szCs w:val="24"/>
          <w:rtl/>
        </w:rPr>
        <w:t xml:space="preserve"> الله عليه وسلم والتوسل به كما هو مذهب الحنابلة -</w:t>
      </w:r>
      <w:r w:rsidRPr="00A52585">
        <w:rPr>
          <w:rFonts w:hint="cs"/>
          <w:sz w:val="24"/>
          <w:szCs w:val="24"/>
          <w:rtl/>
        </w:rPr>
        <w:t xml:space="preserve"> </w:t>
      </w:r>
      <w:r w:rsidR="00777DCB" w:rsidRPr="00A52585">
        <w:rPr>
          <w:rFonts w:hint="cs"/>
          <w:sz w:val="24"/>
          <w:szCs w:val="24"/>
          <w:rtl/>
        </w:rPr>
        <w:t>وإنما قوله بذلك في السفر إلى المشاهد المعروفة في العراق لما قارن ذلك من البدع في عهده وفي نظره</w:t>
      </w:r>
      <w:r w:rsidR="00DB731D" w:rsidRPr="00A52585">
        <w:rPr>
          <w:rFonts w:hint="cs"/>
          <w:sz w:val="24"/>
          <w:szCs w:val="24"/>
          <w:rtl/>
        </w:rPr>
        <w:t>،</w:t>
      </w:r>
      <w:r w:rsidR="00777DCB" w:rsidRPr="00A52585">
        <w:rPr>
          <w:rFonts w:hint="cs"/>
          <w:sz w:val="24"/>
          <w:szCs w:val="24"/>
          <w:rtl/>
        </w:rPr>
        <w:t xml:space="preserve"> وإليك نص عبارته في التذكرة المحفوظة بظاهرية دمشق تحت رقم 87 في الفقه الحنبلي</w:t>
      </w:r>
      <w:r w:rsidRPr="00A52585">
        <w:rPr>
          <w:rFonts w:hint="cs"/>
          <w:sz w:val="24"/>
          <w:szCs w:val="24"/>
          <w:rtl/>
        </w:rPr>
        <w:t>:</w:t>
      </w:r>
      <w:r w:rsidR="00777DCB" w:rsidRPr="00A52585">
        <w:rPr>
          <w:rFonts w:hint="cs"/>
          <w:sz w:val="24"/>
          <w:szCs w:val="24"/>
          <w:rtl/>
        </w:rPr>
        <w:t xml:space="preserve"> " </w:t>
      </w:r>
      <w:r w:rsidR="00777DCB" w:rsidRPr="00A52585">
        <w:rPr>
          <w:rFonts w:hint="cs"/>
          <w:bCs/>
          <w:sz w:val="24"/>
          <w:szCs w:val="24"/>
          <w:rtl/>
        </w:rPr>
        <w:t>فصل</w:t>
      </w:r>
      <w:r w:rsidRPr="00A52585">
        <w:rPr>
          <w:rFonts w:hint="cs"/>
          <w:sz w:val="24"/>
          <w:szCs w:val="24"/>
          <w:rtl/>
        </w:rPr>
        <w:t>:</w:t>
      </w:r>
      <w:r w:rsidR="00777DCB" w:rsidRPr="00A52585">
        <w:rPr>
          <w:rFonts w:hint="cs"/>
          <w:sz w:val="24"/>
          <w:szCs w:val="24"/>
          <w:rtl/>
        </w:rPr>
        <w:t xml:space="preserve"> ويستحب له قدوم مدينة الرسول صلوات الله عليه فيأتي مسجده فيقول عند دخوله باسم الله اللهم صل على محمد وآل محمد وافتح لي أبواب رحمتك وكف عني أبواب عذابك، الحمد لله الذي بلغ بنا هذا المشهد وجعلنا لذلك أهلا، الحمد لله رب العالمين. ثم تأتي حائط القبر فلا تمسه ولا تلصق به صدرك، لأن ذلك عادة اليهود واجعل القبر تلقاء وجهك وقم مما يلي المنبر وقل السلام عليك أيها النبي ورحمة الله وبركاته اللهم صل على محمد وعلى آل محمد.. إلى آخر ما تقوله في التشهد الأخير، ثم تقول اللهم أعط محمداً الوسيلة والفضيلة والدرجة الرفيعة والمقام المحمود الذي وعدته، اللهم صل على روحه في الأرواح وجسده في الأجساد كما بلغ رسالاتك وتلا آياتك وصدع بأمرك حتى أتاه اليقين، اللهم إنك قلت في كتابك لنبيك صلى الله عليه وسلم </w:t>
      </w:r>
      <w:r w:rsidRPr="00A52585">
        <w:rPr>
          <w:rFonts w:hint="cs"/>
          <w:sz w:val="24"/>
          <w:szCs w:val="24"/>
          <w:rtl/>
        </w:rPr>
        <w:t>{</w:t>
      </w:r>
      <w:r w:rsidR="00777DCB" w:rsidRPr="00A52585">
        <w:rPr>
          <w:rFonts w:hint="cs"/>
          <w:sz w:val="24"/>
          <w:szCs w:val="24"/>
          <w:rtl/>
        </w:rPr>
        <w:t>ولو أنهم إذ ظلموا أنفسهم جاءوك فاستغفروا الله واستغفر لهم الرسول لوجدوا الله توابا رحيما</w:t>
      </w:r>
      <w:r w:rsidRPr="00A52585">
        <w:rPr>
          <w:rFonts w:hint="cs"/>
          <w:sz w:val="24"/>
          <w:szCs w:val="24"/>
          <w:rtl/>
        </w:rPr>
        <w:t>}</w:t>
      </w:r>
      <w:r w:rsidR="00777DCB" w:rsidRPr="00A52585">
        <w:rPr>
          <w:rFonts w:hint="cs"/>
          <w:sz w:val="24"/>
          <w:szCs w:val="24"/>
          <w:rtl/>
        </w:rPr>
        <w:t xml:space="preserve"> [النساء</w:t>
      </w:r>
      <w:r w:rsidRPr="00A52585">
        <w:rPr>
          <w:rFonts w:hint="cs"/>
          <w:sz w:val="24"/>
          <w:szCs w:val="24"/>
          <w:rtl/>
        </w:rPr>
        <w:t>:</w:t>
      </w:r>
      <w:r w:rsidR="00777DCB" w:rsidRPr="00A52585">
        <w:rPr>
          <w:rFonts w:hint="cs"/>
          <w:sz w:val="24"/>
          <w:szCs w:val="24"/>
          <w:rtl/>
        </w:rPr>
        <w:t xml:space="preserve">64] وإني قد أتيت نبيك تائبا مستغفراً فأسالك أن توجب لي المغفرة كما أوجبتها لمن أتاه في حياته، اللهم إني أتوجه إليك بنبيك صلى الله عليه نبي الرحمة، يا رسول الله إني أتوجه بك إلى ربي ليغفر لي ذنوبي، اللهم إني أسألك بحقه أن تغفر لي ذنوبي، اللهم اجعل محمداً أول الشافعين وأنجح السائلين وأكرم الأولين والآخرين اللهم كما آمنا به ولم نـره وصدقناه ولم نلقه فأدخلنا مدخله واحشرنا في زمرته </w:t>
      </w:r>
      <w:r w:rsidR="00777DCB" w:rsidRPr="00A52585">
        <w:rPr>
          <w:rFonts w:hint="cs"/>
          <w:sz w:val="24"/>
          <w:szCs w:val="24"/>
          <w:rtl/>
        </w:rPr>
        <w:lastRenderedPageBreak/>
        <w:t xml:space="preserve">وأوردنا حوضه واسقنا بكأسه مشربا صافيا رويا سائغاً هنيا </w:t>
      </w:r>
      <w:proofErr w:type="spellStart"/>
      <w:r w:rsidR="00777DCB" w:rsidRPr="00A52585">
        <w:rPr>
          <w:rFonts w:hint="cs"/>
          <w:sz w:val="24"/>
          <w:szCs w:val="24"/>
          <w:rtl/>
        </w:rPr>
        <w:t>لانظمأ</w:t>
      </w:r>
      <w:proofErr w:type="spellEnd"/>
      <w:r w:rsidR="00777DCB" w:rsidRPr="00A52585">
        <w:rPr>
          <w:rFonts w:hint="cs"/>
          <w:sz w:val="24"/>
          <w:szCs w:val="24"/>
          <w:rtl/>
        </w:rPr>
        <w:t xml:space="preserve"> بعده أبدا غير خزايا ولا ناكثين ولا مارقين ولا مغضوبا علينا ولا ضالين واجعلنا من أهل شفاعته. ثم تقدم عن يمينك فقل السلام عليك يا أبا بكر الصديق، السلام عليك يا عمر الفاروق، اللهم اجزهما عن نبيهما وعن الإسلام خيراً، اللهم</w:t>
      </w:r>
      <w:r w:rsidRPr="00A52585">
        <w:rPr>
          <w:rFonts w:hint="cs"/>
          <w:sz w:val="24"/>
          <w:szCs w:val="24"/>
          <w:rtl/>
        </w:rPr>
        <w:t>{</w:t>
      </w:r>
      <w:r w:rsidR="00777DCB" w:rsidRPr="00A52585">
        <w:rPr>
          <w:rFonts w:hint="cs"/>
          <w:sz w:val="24"/>
          <w:szCs w:val="24"/>
          <w:rtl/>
        </w:rPr>
        <w:t>اغفر لنا ولإخواننا الذين سبقونا بالإيمان …</w:t>
      </w:r>
      <w:r w:rsidRPr="00A52585">
        <w:rPr>
          <w:rFonts w:hint="cs"/>
          <w:sz w:val="24"/>
          <w:szCs w:val="24"/>
          <w:rtl/>
        </w:rPr>
        <w:t>}</w:t>
      </w:r>
      <w:r w:rsidR="00777DCB" w:rsidRPr="00A52585">
        <w:rPr>
          <w:rFonts w:hint="cs"/>
          <w:sz w:val="24"/>
          <w:szCs w:val="24"/>
          <w:rtl/>
        </w:rPr>
        <w:t xml:space="preserve"> [الحشر</w:t>
      </w:r>
      <w:r w:rsidRPr="00A52585">
        <w:rPr>
          <w:rFonts w:hint="cs"/>
          <w:sz w:val="24"/>
          <w:szCs w:val="24"/>
          <w:rtl/>
        </w:rPr>
        <w:t>:</w:t>
      </w:r>
      <w:r w:rsidR="00777DCB" w:rsidRPr="00A52585">
        <w:rPr>
          <w:rFonts w:hint="cs"/>
          <w:sz w:val="24"/>
          <w:szCs w:val="24"/>
          <w:rtl/>
        </w:rPr>
        <w:t xml:space="preserve"> 10] وتصلى بين القبر والمنبر في الروضة وإن أحببت تمسح بالمنبر وبالحنانة وهو الجذع الذي كان يخطب </w:t>
      </w:r>
      <w:proofErr w:type="spellStart"/>
      <w:r w:rsidR="00777DCB" w:rsidRPr="00A52585">
        <w:rPr>
          <w:rFonts w:hint="cs"/>
          <w:sz w:val="24"/>
          <w:szCs w:val="24"/>
          <w:rtl/>
        </w:rPr>
        <w:t>عليهصلى</w:t>
      </w:r>
      <w:proofErr w:type="spellEnd"/>
      <w:r w:rsidR="00777DCB" w:rsidRPr="00A52585">
        <w:rPr>
          <w:rFonts w:hint="cs"/>
          <w:sz w:val="24"/>
          <w:szCs w:val="24"/>
          <w:rtl/>
        </w:rPr>
        <w:t xml:space="preserve"> الله عليه وسلم فلما اعتزل عنه حن إليه كحنين الناقة، وتأتي مسجد قباء فتصلي لأن النبي صلى الله عليه وسلم كان يقصده فيصلي فيه، وإن أمكنك فأت قبور الشهداء وزرهم وأكثر من الدعاء في تلك المشاهد حتى كأنك تنظر إلى مواقفهم واصنع عند الخروج ما صنعت عند الدخول "</w:t>
      </w:r>
      <w:r w:rsidR="00DB731D" w:rsidRPr="00A52585">
        <w:rPr>
          <w:rFonts w:hint="cs"/>
          <w:sz w:val="24"/>
          <w:szCs w:val="24"/>
          <w:rtl/>
        </w:rPr>
        <w:t>،</w:t>
      </w:r>
      <w:r w:rsidR="00777DCB" w:rsidRPr="00A52585">
        <w:rPr>
          <w:rFonts w:hint="cs"/>
          <w:sz w:val="24"/>
          <w:szCs w:val="24"/>
          <w:rtl/>
        </w:rPr>
        <w:t xml:space="preserve"> ويقال عن كتاب الفنون لابن عقيل الحنبلي هذا إنه في ثمانمائة مجلد ويقول الذهبي عنه إنه لم يصنف في الدنيا أكبر من هذا الكتاب. ومن هو نظير ابن عقيل هذا بين الحنابلة في الجمع والتحقيق</w:t>
      </w:r>
      <w:r w:rsidR="00F95886" w:rsidRPr="00A52585">
        <w:rPr>
          <w:rFonts w:hint="cs"/>
          <w:sz w:val="24"/>
          <w:szCs w:val="24"/>
          <w:rtl/>
        </w:rPr>
        <w:t>؟</w:t>
      </w:r>
      <w:r w:rsidR="00777DCB" w:rsidRPr="00A52585">
        <w:rPr>
          <w:rFonts w:hint="cs"/>
          <w:sz w:val="24"/>
          <w:szCs w:val="24"/>
          <w:rtl/>
        </w:rPr>
        <w:t xml:space="preserve"> وأنت رأيت نص عبارته في المسألة على خلاف ما يعزو إليه ابن تيمية</w:t>
      </w:r>
      <w:r w:rsidR="00DB731D" w:rsidRPr="00A52585">
        <w:rPr>
          <w:rFonts w:hint="cs"/>
          <w:sz w:val="24"/>
          <w:szCs w:val="24"/>
          <w:rtl/>
        </w:rPr>
        <w:t>،</w:t>
      </w:r>
      <w:r w:rsidR="00777DCB" w:rsidRPr="00A52585">
        <w:rPr>
          <w:rFonts w:hint="cs"/>
          <w:sz w:val="24"/>
          <w:szCs w:val="24"/>
          <w:rtl/>
        </w:rPr>
        <w:t xml:space="preserve"> وجزء البيهقي في حياة الأنبياء مطبوع فاستغنينا به عن الكلام في ذلك</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06497A99" w14:textId="3D3E802A" w:rsidR="00777DCB" w:rsidRPr="00A52585" w:rsidRDefault="0002035C" w:rsidP="0002035C">
      <w:pPr>
        <w:spacing w:after="240"/>
        <w:rPr>
          <w:b/>
          <w:rtl/>
        </w:rPr>
      </w:pPr>
      <w:r w:rsidRPr="00A52585">
        <w:rPr>
          <w:rFonts w:hint="cs"/>
          <w:bCs/>
          <w:rtl/>
        </w:rPr>
        <w:t>[</w:t>
      </w:r>
      <w:r w:rsidR="00777DCB" w:rsidRPr="00A52585">
        <w:rPr>
          <w:rFonts w:hint="cs"/>
          <w:bCs/>
          <w:rtl/>
        </w:rPr>
        <w:t>فصــــــــل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فإن احتججتم بالشهيد</w:t>
      </w:r>
      <w:r w:rsidRPr="00A52585">
        <w:rPr>
          <w:rFonts w:hint="cs"/>
          <w:rtl/>
        </w:rPr>
        <w:t>)</w:t>
      </w:r>
      <w:r w:rsidR="00DB731D" w:rsidRPr="00A52585">
        <w:rPr>
          <w:rFonts w:hint="cs"/>
          <w:rtl/>
        </w:rPr>
        <w:t>،</w:t>
      </w:r>
      <w:r w:rsidR="00777DCB" w:rsidRPr="00A52585">
        <w:rPr>
          <w:rFonts w:hint="cs"/>
          <w:rtl/>
        </w:rPr>
        <w:t xml:space="preserve"> وذكر غيره أشياء من حججنا</w:t>
      </w:r>
      <w:r w:rsidR="00DB731D" w:rsidRPr="00A52585">
        <w:rPr>
          <w:rFonts w:hint="cs"/>
          <w:rtl/>
        </w:rPr>
        <w:t>،</w:t>
      </w:r>
      <w:r w:rsidR="00777DCB" w:rsidRPr="00A52585">
        <w:rPr>
          <w:rFonts w:hint="cs"/>
          <w:rtl/>
        </w:rPr>
        <w:t xml:space="preserve"> </w:t>
      </w:r>
    </w:p>
    <w:p w14:paraId="4BF0F23C" w14:textId="3C37AEAB"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 في الجواب</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الشهيد حياته منصوصة مع النهي عن أن تدعوه ميتا</w:t>
      </w:r>
      <w:r w:rsidR="00DB731D" w:rsidRPr="00A52585">
        <w:rPr>
          <w:rFonts w:hint="cs"/>
          <w:rtl/>
        </w:rPr>
        <w:t>،</w:t>
      </w:r>
      <w:r w:rsidR="00777DCB" w:rsidRPr="00A52585">
        <w:rPr>
          <w:rFonts w:hint="cs"/>
          <w:rtl/>
        </w:rPr>
        <w:t xml:space="preserve"> ونساؤه حل لنا من بعده وماله مقسوم وهو من ذلك حي فارح قلتم فالرسل أولى</w:t>
      </w:r>
      <w:r w:rsidRPr="00A52585">
        <w:rPr>
          <w:rFonts w:hint="cs"/>
          <w:rtl/>
        </w:rPr>
        <w:t>)</w:t>
      </w:r>
      <w:r w:rsidR="00DB731D" w:rsidRPr="00A52585">
        <w:rPr>
          <w:rFonts w:hint="cs"/>
          <w:rtl/>
        </w:rPr>
        <w:t>،</w:t>
      </w:r>
      <w:r w:rsidR="00777DCB" w:rsidRPr="00A52585">
        <w:rPr>
          <w:rFonts w:hint="cs"/>
          <w:rtl/>
        </w:rPr>
        <w:t xml:space="preserve"> فانظر إلى قلب الدليل عليهم ما قلب شيئاً قلب الله قلبه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ورؤيته موسى مصليا في قبره في القلب منه حسيكة هل قاله</w:t>
      </w:r>
      <w:r w:rsidR="00F95886" w:rsidRPr="00A52585">
        <w:rPr>
          <w:rFonts w:hint="cs"/>
          <w:rtl/>
        </w:rPr>
        <w:t>؟</w:t>
      </w:r>
      <w:r w:rsidR="00777DCB" w:rsidRPr="00A52585">
        <w:rPr>
          <w:rFonts w:hint="cs"/>
          <w:rtl/>
        </w:rPr>
        <w:t xml:space="preserve"> ولذلك أعرض البخاري عنه عمداً والدارقطني أعله ورأى أنه موقوف على أنس لكن تقلد مسلماً</w:t>
      </w:r>
      <w:r w:rsidR="00DB731D" w:rsidRPr="00A52585">
        <w:rPr>
          <w:rFonts w:hint="cs"/>
          <w:rtl/>
        </w:rPr>
        <w:t>،</w:t>
      </w:r>
      <w:r w:rsidR="00777DCB" w:rsidRPr="00A52585">
        <w:rPr>
          <w:rFonts w:hint="cs"/>
          <w:rtl/>
        </w:rPr>
        <w:t xml:space="preserve"> لكن هذا ليس مختصاً به روى ابن حبان صلاة العصر في قبر الذي مات مؤمنا فتمثل الشمس التي قد كان يرعاها لأجل الصلاة عند الغروب يخاف فوت صلاته فيقول للملكين تدعاني حتى أصلي العصر قالا ستفعل ذلك بعد الآن</w:t>
      </w:r>
      <w:r w:rsidR="00DB731D" w:rsidRPr="00A52585">
        <w:rPr>
          <w:rFonts w:hint="cs"/>
          <w:rtl/>
        </w:rPr>
        <w:t>،</w:t>
      </w:r>
      <w:r w:rsidR="00777DCB" w:rsidRPr="00A52585">
        <w:rPr>
          <w:rFonts w:hint="cs"/>
          <w:rtl/>
        </w:rPr>
        <w:t xml:space="preserve"> هذا مع الموت المحقق لا الذي حكيت لنا بثبوته القولان</w:t>
      </w:r>
      <w:r w:rsidR="00DB731D" w:rsidRPr="00A52585">
        <w:rPr>
          <w:rFonts w:hint="cs"/>
          <w:rtl/>
        </w:rPr>
        <w:t>،</w:t>
      </w:r>
      <w:r w:rsidR="00777DCB" w:rsidRPr="00A52585">
        <w:rPr>
          <w:rFonts w:hint="cs"/>
          <w:rtl/>
        </w:rPr>
        <w:t xml:space="preserve"> وثابت </w:t>
      </w:r>
      <w:proofErr w:type="spellStart"/>
      <w:r w:rsidR="00777DCB" w:rsidRPr="00A52585">
        <w:rPr>
          <w:rFonts w:hint="cs"/>
          <w:rtl/>
        </w:rPr>
        <w:t>البناني</w:t>
      </w:r>
      <w:proofErr w:type="spellEnd"/>
      <w:r w:rsidR="00777DCB" w:rsidRPr="00A52585">
        <w:rPr>
          <w:rFonts w:hint="cs"/>
          <w:rtl/>
        </w:rPr>
        <w:t xml:space="preserve"> دعا أن لا يزال مصليا في قبره وحديث ذكر حياتهم بقبورهم لما يصح</w:t>
      </w:r>
      <w:r w:rsidR="00DB731D" w:rsidRPr="00A52585">
        <w:rPr>
          <w:rFonts w:hint="cs"/>
          <w:rtl/>
        </w:rPr>
        <w:t>،</w:t>
      </w:r>
      <w:r w:rsidR="00777DCB" w:rsidRPr="00A52585">
        <w:rPr>
          <w:rFonts w:hint="cs"/>
          <w:rtl/>
        </w:rPr>
        <w:t xml:space="preserve"> وظاهر النكران ونحن نقول إنهم أحياء عند ربهم كالشهيد</w:t>
      </w:r>
      <w:r w:rsidRPr="00A52585">
        <w:rPr>
          <w:rFonts w:hint="cs"/>
          <w:rtl/>
        </w:rPr>
        <w:t>)</w:t>
      </w:r>
      <w:r w:rsidR="00777DCB" w:rsidRPr="00A52585">
        <w:rPr>
          <w:rFonts w:hint="cs"/>
          <w:rtl/>
        </w:rPr>
        <w:t>. يعني وننكر حياتهم في قبورهم</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هذي نهايات لأقدام الورى في ذا المقام الضنك والحق فيه ليس تحمله عقول بني الزمان لغلظة الأذهان ولجهلهم بالروح هل في عقولهم أن الروح في أعلى الرفيق مقيمة بجنان</w:t>
      </w:r>
      <w:r w:rsidR="00DB731D" w:rsidRPr="00A52585">
        <w:rPr>
          <w:rFonts w:hint="cs"/>
          <w:rtl/>
        </w:rPr>
        <w:t>،</w:t>
      </w:r>
      <w:r w:rsidR="00777DCB" w:rsidRPr="00A52585">
        <w:rPr>
          <w:rFonts w:hint="cs"/>
          <w:rtl/>
        </w:rPr>
        <w:t xml:space="preserve"> وترد أوقات السلام عليه وأجواف الطير الخضر مسكنها لدى الجنات</w:t>
      </w:r>
      <w:r w:rsidR="00DB731D" w:rsidRPr="00A52585">
        <w:rPr>
          <w:rFonts w:hint="cs"/>
          <w:rtl/>
        </w:rPr>
        <w:t>،</w:t>
      </w:r>
      <w:r w:rsidR="00777DCB" w:rsidRPr="00A52585">
        <w:rPr>
          <w:rFonts w:hint="cs"/>
          <w:rtl/>
        </w:rPr>
        <w:t xml:space="preserve"> من ليس يحمل عقله هذا فاعذره على النكران للروح شأن غير ذي الأكوان</w:t>
      </w:r>
      <w:r w:rsidR="00DB731D" w:rsidRPr="00A52585">
        <w:rPr>
          <w:rFonts w:hint="cs"/>
          <w:rtl/>
        </w:rPr>
        <w:t>،</w:t>
      </w:r>
      <w:r w:rsidR="00777DCB" w:rsidRPr="00A52585">
        <w:rPr>
          <w:rFonts w:hint="cs"/>
          <w:rtl/>
        </w:rPr>
        <w:t xml:space="preserve"> وهو الذي حار الورى فيه فلم يعرفه غير الفرد في الأزمان</w:t>
      </w:r>
      <w:r w:rsidR="00DB731D" w:rsidRPr="00A52585">
        <w:rPr>
          <w:rFonts w:hint="cs"/>
          <w:rtl/>
        </w:rPr>
        <w:t>،</w:t>
      </w:r>
      <w:r w:rsidR="00777DCB" w:rsidRPr="00A52585">
        <w:rPr>
          <w:rFonts w:hint="cs"/>
          <w:rtl/>
        </w:rPr>
        <w:t xml:space="preserve"> هذا وأمر فوق ذا لو قلته بادرت بالإنكار والعدوان فلذلك أمسكت العنان ولو أرى ذاك الرفيق جريت في الميدان</w:t>
      </w:r>
      <w:r w:rsidR="00DB731D" w:rsidRPr="00A52585">
        <w:rPr>
          <w:rFonts w:hint="cs"/>
          <w:rtl/>
        </w:rPr>
        <w:t>،</w:t>
      </w:r>
      <w:r w:rsidR="00777DCB" w:rsidRPr="00A52585">
        <w:rPr>
          <w:rFonts w:hint="cs"/>
          <w:rtl/>
        </w:rPr>
        <w:t xml:space="preserve"> وقولي إنها مخلوقة وليست كما قال أهل الإفك لا داخلة فينا ولا خارجة عنا – والله – لا الرحمن أثبتم ولا أرواحكم</w:t>
      </w:r>
      <w:r w:rsidR="00DB731D" w:rsidRPr="00A52585">
        <w:rPr>
          <w:rFonts w:hint="cs"/>
          <w:rtl/>
        </w:rPr>
        <w:t>،</w:t>
      </w:r>
      <w:r w:rsidR="00777DCB" w:rsidRPr="00A52585">
        <w:rPr>
          <w:rFonts w:hint="cs"/>
          <w:rtl/>
        </w:rPr>
        <w:t xml:space="preserve"> عطلتم الأبدان من أرواحها والعرش عطلتم من </w:t>
      </w:r>
      <w:r w:rsidR="00777DCB" w:rsidRPr="00A52585">
        <w:rPr>
          <w:rFonts w:hint="cs"/>
          <w:rtl/>
        </w:rPr>
        <w:lastRenderedPageBreak/>
        <w:t>الرحمن</w:t>
      </w:r>
      <w:r w:rsidRPr="00A52585">
        <w:rPr>
          <w:rFonts w:hint="cs"/>
          <w:rtl/>
        </w:rPr>
        <w:t>)</w:t>
      </w:r>
      <w:r w:rsidR="00DB731D" w:rsidRPr="00A52585">
        <w:rPr>
          <w:rFonts w:hint="cs"/>
          <w:rtl/>
        </w:rPr>
        <w:t>،</w:t>
      </w:r>
      <w:r w:rsidR="00777DCB" w:rsidRPr="00A52585">
        <w:rPr>
          <w:rFonts w:hint="cs"/>
          <w:rtl/>
        </w:rPr>
        <w:t xml:space="preserve"> استشكال معرفة الروح صحيح؛ لكنه ما أظنه يفهمه وإنما قاله تقليداً وإنكاره حياة الأنبياء ليس له عليه حامل صحيح</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وعن أنس مرفوعا (الأنبياء أحياء في قبورهم يصلون) رواه أبو يعلي الموصلي والبزار. قال الهيثمي</w:t>
      </w:r>
      <w:r w:rsidRPr="00A52585">
        <w:rPr>
          <w:rFonts w:hint="cs"/>
          <w:sz w:val="24"/>
          <w:szCs w:val="24"/>
          <w:rtl/>
        </w:rPr>
        <w:t>:</w:t>
      </w:r>
      <w:r w:rsidR="00777DCB" w:rsidRPr="00A52585">
        <w:rPr>
          <w:rFonts w:hint="cs"/>
          <w:sz w:val="24"/>
          <w:szCs w:val="24"/>
          <w:rtl/>
        </w:rPr>
        <w:t xml:space="preserve"> ورجال أبي يعلي ثقات. والحياة </w:t>
      </w:r>
      <w:proofErr w:type="spellStart"/>
      <w:r w:rsidR="00777DCB" w:rsidRPr="00A52585">
        <w:rPr>
          <w:rFonts w:hint="cs"/>
          <w:sz w:val="24"/>
          <w:szCs w:val="24"/>
          <w:rtl/>
        </w:rPr>
        <w:t>البرزخية</w:t>
      </w:r>
      <w:proofErr w:type="spellEnd"/>
      <w:r w:rsidR="00777DCB" w:rsidRPr="00A52585">
        <w:rPr>
          <w:rFonts w:hint="cs"/>
          <w:sz w:val="24"/>
          <w:szCs w:val="24"/>
          <w:rtl/>
        </w:rPr>
        <w:t xml:space="preserve"> الثابتة للأنبياء فوق الحياة الثابتة للشهداء ويغنينا عن الكلام في حياة الأنبياء جزء البيهقي المطبوع. نعم انقطعت حاجتهم إلى الأكل والشرب من مآكل هذه الدار ومشاربها، ولذلك صح وصفهم </w:t>
      </w:r>
      <w:proofErr w:type="gramStart"/>
      <w:r w:rsidR="00777DCB" w:rsidRPr="00A52585">
        <w:rPr>
          <w:rFonts w:hint="cs"/>
          <w:sz w:val="24"/>
          <w:szCs w:val="24"/>
          <w:rtl/>
        </w:rPr>
        <w:t>بالموت{</w:t>
      </w:r>
      <w:proofErr w:type="gramEnd"/>
      <w:r w:rsidR="00777DCB" w:rsidRPr="00A52585">
        <w:rPr>
          <w:rFonts w:hint="cs"/>
          <w:sz w:val="24"/>
          <w:szCs w:val="24"/>
          <w:rtl/>
        </w:rPr>
        <w:t>إنك ميت وإنهم ميتون</w:t>
      </w:r>
      <w:r w:rsidRPr="00A52585">
        <w:rPr>
          <w:rFonts w:hint="cs"/>
          <w:sz w:val="24"/>
          <w:szCs w:val="24"/>
          <w:rtl/>
        </w:rPr>
        <w:t>} [</w:t>
      </w:r>
      <w:r w:rsidR="00777DCB" w:rsidRPr="00A52585">
        <w:rPr>
          <w:rFonts w:hint="cs"/>
          <w:sz w:val="24"/>
          <w:szCs w:val="24"/>
          <w:rtl/>
        </w:rPr>
        <w:t>الزمر</w:t>
      </w:r>
      <w:r w:rsidRPr="00A52585">
        <w:rPr>
          <w:rFonts w:hint="cs"/>
          <w:sz w:val="24"/>
          <w:szCs w:val="24"/>
          <w:rtl/>
        </w:rPr>
        <w:t>:</w:t>
      </w:r>
      <w:r w:rsidR="00777DCB" w:rsidRPr="00A52585">
        <w:rPr>
          <w:rFonts w:hint="cs"/>
          <w:sz w:val="24"/>
          <w:szCs w:val="24"/>
          <w:rtl/>
        </w:rPr>
        <w:t xml:space="preserve">30]. وحامل الناظم على إنكار حياتهم </w:t>
      </w:r>
      <w:proofErr w:type="spellStart"/>
      <w:r w:rsidR="00777DCB" w:rsidRPr="00A52585">
        <w:rPr>
          <w:rFonts w:hint="cs"/>
          <w:sz w:val="24"/>
          <w:szCs w:val="24"/>
          <w:rtl/>
        </w:rPr>
        <w:t>البرزخية</w:t>
      </w:r>
      <w:proofErr w:type="spellEnd"/>
      <w:r w:rsidR="00777DCB" w:rsidRPr="00A52585">
        <w:rPr>
          <w:rFonts w:hint="cs"/>
          <w:sz w:val="24"/>
          <w:szCs w:val="24"/>
          <w:rtl/>
        </w:rPr>
        <w:t xml:space="preserve"> هو التذرع بذلك إلى تحريم التوسل بهم عن هوى وفي "دفع الشبه" للتقي </w:t>
      </w:r>
      <w:proofErr w:type="spellStart"/>
      <w:r w:rsidR="00777DCB" w:rsidRPr="00A52585">
        <w:rPr>
          <w:rFonts w:hint="cs"/>
          <w:sz w:val="24"/>
          <w:szCs w:val="24"/>
          <w:rtl/>
        </w:rPr>
        <w:t>الحصني</w:t>
      </w:r>
      <w:proofErr w:type="spellEnd"/>
      <w:r w:rsidR="00777DCB" w:rsidRPr="00A52585">
        <w:rPr>
          <w:rFonts w:hint="cs"/>
          <w:sz w:val="24"/>
          <w:szCs w:val="24"/>
          <w:rtl/>
        </w:rPr>
        <w:t xml:space="preserve"> و"وفاء الوفاء" للنور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وغيرهما أحاديث وآثار كثيرة في الندب إليه، وليس هذا موضع سرد لتلك الأحاديث وله موضع آخر. وفي "المطالب العالية" للرازي وفي "شرح المقاصد" </w:t>
      </w:r>
      <w:proofErr w:type="spellStart"/>
      <w:r w:rsidR="00777DCB" w:rsidRPr="00A52585">
        <w:rPr>
          <w:rFonts w:hint="cs"/>
          <w:sz w:val="24"/>
          <w:szCs w:val="24"/>
          <w:rtl/>
        </w:rPr>
        <w:t>للتفتازاني</w:t>
      </w:r>
      <w:proofErr w:type="spellEnd"/>
      <w:r w:rsidR="00777DCB" w:rsidRPr="00A52585">
        <w:rPr>
          <w:rFonts w:hint="cs"/>
          <w:sz w:val="24"/>
          <w:szCs w:val="24"/>
          <w:rtl/>
        </w:rPr>
        <w:t xml:space="preserve"> وفيما علقه الشريف الجرجاني </w:t>
      </w:r>
      <w:proofErr w:type="spellStart"/>
      <w:r w:rsidR="00777DCB" w:rsidRPr="00A52585">
        <w:rPr>
          <w:rFonts w:hint="cs"/>
          <w:sz w:val="24"/>
          <w:szCs w:val="24"/>
          <w:rtl/>
        </w:rPr>
        <w:t>على"شرح</w:t>
      </w:r>
      <w:proofErr w:type="spellEnd"/>
      <w:r w:rsidR="00777DCB" w:rsidRPr="00A52585">
        <w:rPr>
          <w:rFonts w:hint="cs"/>
          <w:sz w:val="24"/>
          <w:szCs w:val="24"/>
          <w:rtl/>
        </w:rPr>
        <w:t xml:space="preserve"> المطالع" ما يسكن إليه صدور المقتدين بأئمة أصول الدين من البيان في هذه المسألة. وكنت بسطت المسألة قبل سنين متطاولة في (إرغام المريد) الذي كنت ألفته سنة 1320 ولا بأس في أن أورد هنا بعض ما كنت نقلته فيه، مما قاله الفخر الرازي والسعد </w:t>
      </w:r>
      <w:proofErr w:type="spellStart"/>
      <w:r w:rsidR="00777DCB" w:rsidRPr="00A52585">
        <w:rPr>
          <w:rFonts w:hint="cs"/>
          <w:sz w:val="24"/>
          <w:szCs w:val="24"/>
          <w:rtl/>
        </w:rPr>
        <w:t>التفتازاني</w:t>
      </w:r>
      <w:proofErr w:type="spellEnd"/>
      <w:r w:rsidR="00777DCB" w:rsidRPr="00A52585">
        <w:rPr>
          <w:rFonts w:hint="cs"/>
          <w:sz w:val="24"/>
          <w:szCs w:val="24"/>
          <w:rtl/>
        </w:rPr>
        <w:t>، والشريف الجرجاني في هذا الصدد فإنهم أئمة في أصول الدين يميزون بين الحق والباطل والتوحيد والإشراك حق التمييز، ولا يرميهم أحد من أهل الحق بنـزعة تخالف مذهب أهل الحق في هذه المسألة. ومن الغريب رمي أهل التجسيم لأهل الحق بالإشراك بوسيلة التوسل. وفيما ننقله عن أئمة أصول الدين في هذا الصدد قمع من يرمي أهل الحق بدائه. وهم من أبعد الناس عن الإشراك بخلاف من يقول بالجهة والتحيز وسائر لوازم الجسمية تعالى الله عن ذلك</w:t>
      </w:r>
      <w:r w:rsidR="00DB731D" w:rsidRPr="00A52585">
        <w:rPr>
          <w:rFonts w:hint="cs"/>
          <w:sz w:val="24"/>
          <w:szCs w:val="24"/>
          <w:rtl/>
        </w:rPr>
        <w:t>،</w:t>
      </w:r>
      <w:r w:rsidR="00777DCB" w:rsidRPr="00A52585">
        <w:rPr>
          <w:rFonts w:hint="cs"/>
          <w:sz w:val="24"/>
          <w:szCs w:val="24"/>
          <w:rtl/>
        </w:rPr>
        <w:t xml:space="preserve"> قال الإمام فخر الدين الرازي بعد بسط مقدمات في الفصل الثامن عشر من كتابه "المطالب العالية" وهو من أمتع مؤلفاته في علم أصول الدين</w:t>
      </w:r>
      <w:r w:rsidRPr="00A52585">
        <w:rPr>
          <w:rFonts w:hint="cs"/>
          <w:sz w:val="24"/>
          <w:szCs w:val="24"/>
          <w:rtl/>
        </w:rPr>
        <w:t>:</w:t>
      </w:r>
      <w:r w:rsidR="00777DCB" w:rsidRPr="00A52585">
        <w:rPr>
          <w:rFonts w:hint="cs"/>
          <w:sz w:val="24"/>
          <w:szCs w:val="24"/>
          <w:rtl/>
        </w:rPr>
        <w:t xml:space="preserve"> " وإذا عرفت هذه المقدمات فنقول إن الإنسان إذا ذهب إلى قبر إنسان قوي النفس كامل الجوهر شديد التأثير ووقف هناك ساعة وتأثرت نفسه من تلك التربة حصل لنفس الزائر تعلق بتلك التربة وقد عرفت أن لنفس الميت تعلقا بتلك التربة أيضاً؛ فحينئذ يحصل لنفس هذا الزائر الحي ولنفس ذلك الإنسان الميت ملاقاة بسبب اجتماعهما على تلك التربة فصارت هاتان النفسان شبيهتين بمرآتين </w:t>
      </w:r>
      <w:proofErr w:type="spellStart"/>
      <w:r w:rsidR="00777DCB" w:rsidRPr="00A52585">
        <w:rPr>
          <w:rFonts w:hint="cs"/>
          <w:sz w:val="24"/>
          <w:szCs w:val="24"/>
          <w:rtl/>
        </w:rPr>
        <w:t>صقيلتين</w:t>
      </w:r>
      <w:proofErr w:type="spellEnd"/>
      <w:r w:rsidR="00777DCB" w:rsidRPr="00A52585">
        <w:rPr>
          <w:rFonts w:hint="cs"/>
          <w:sz w:val="24"/>
          <w:szCs w:val="24"/>
          <w:rtl/>
        </w:rPr>
        <w:t xml:space="preserve"> وضعتا بحيث ينعكس الشعاع من واحدة منهما إلى الأخرى فكل ما حصل في نفس هذا الزائر الحي من المعارف البرهانية والعلوم الكسبية والأخلاق الفاضلة من الخضوع لله تعالى والرضى بقضاء الله، ينعكس منه نور إلى روح ذلك الإنسان الميت وكل ما حصل في نفس ذلك الإنسان الميت من العلوم المشرفة والآثار العلوية الكاملة فإنه ينعكس منه نور إلى روح هذا الزائر الحي، وبهذا الطريق تصير تلك الزيارة سببا لحصول المنفعة الكبرى والبهجة العظمى لروح الزائر ولروح المزور، فهذا هو السبب الأصلي في مشروعية الزيارة، ولا يبعد أن يحصل فيها أسرار أخرى أدق وأحق مما ذكرناه، وتمام العلم بالحقائق ليس إلا عند الله اهـ "</w:t>
      </w:r>
      <w:r w:rsidR="00DB731D" w:rsidRPr="00A52585">
        <w:rPr>
          <w:rFonts w:hint="cs"/>
          <w:sz w:val="24"/>
          <w:szCs w:val="24"/>
          <w:rtl/>
        </w:rPr>
        <w:t>،</w:t>
      </w:r>
      <w:r w:rsidR="00777DCB" w:rsidRPr="00A52585">
        <w:rPr>
          <w:rFonts w:hint="cs"/>
          <w:sz w:val="24"/>
          <w:szCs w:val="24"/>
          <w:rtl/>
        </w:rPr>
        <w:t xml:space="preserve"> وأما بقاء النفس مدركة لبعض الجزئيات فقد بينها الرازي في الفصل الخامس عشر من الكتاب المذكور وقال الرازي أيضاً في تفسيره</w:t>
      </w:r>
      <w:r w:rsidRPr="00A52585">
        <w:rPr>
          <w:rFonts w:hint="cs"/>
          <w:sz w:val="24"/>
          <w:szCs w:val="24"/>
          <w:rtl/>
        </w:rPr>
        <w:t>:</w:t>
      </w:r>
      <w:r w:rsidR="00777DCB" w:rsidRPr="00A52585">
        <w:rPr>
          <w:rFonts w:hint="cs"/>
          <w:sz w:val="24"/>
          <w:szCs w:val="24"/>
          <w:rtl/>
        </w:rPr>
        <w:t xml:space="preserve"> " إن الأرواح البشرية الخالية عن العلائق الجسمانية، المشتاقة إلى الاتصال بالعالم العلوي، بعد خروجها من ظلمة الأجساد تذهب إلى عالم الملائكة ومنازل القدس، ويظهر منها آثار في أحوال هذا العالم فهي المدبرات أمراً، أليس الإنسان قد يرى أستاذه في المنام ويسأله عن مشكلة فيرشده إليها اهـ "</w:t>
      </w:r>
      <w:r w:rsidR="00DB731D" w:rsidRPr="00A52585">
        <w:rPr>
          <w:rFonts w:hint="cs"/>
          <w:sz w:val="24"/>
          <w:szCs w:val="24"/>
          <w:rtl/>
        </w:rPr>
        <w:t>،</w:t>
      </w:r>
      <w:r w:rsidR="00777DCB" w:rsidRPr="00A52585">
        <w:rPr>
          <w:rFonts w:hint="cs"/>
          <w:sz w:val="24"/>
          <w:szCs w:val="24"/>
          <w:rtl/>
        </w:rPr>
        <w:t xml:space="preserve"> وقال العلامة سعد الدين </w:t>
      </w:r>
      <w:proofErr w:type="spellStart"/>
      <w:r w:rsidR="00777DCB" w:rsidRPr="00A52585">
        <w:rPr>
          <w:rFonts w:hint="cs"/>
          <w:sz w:val="24"/>
          <w:szCs w:val="24"/>
          <w:rtl/>
        </w:rPr>
        <w:t>التفتازاني</w:t>
      </w:r>
      <w:proofErr w:type="spellEnd"/>
      <w:r w:rsidR="00777DCB" w:rsidRPr="00A52585">
        <w:rPr>
          <w:rFonts w:hint="cs"/>
          <w:sz w:val="24"/>
          <w:szCs w:val="24"/>
          <w:rtl/>
        </w:rPr>
        <w:t xml:space="preserve"> في شرح المقاصد عند إثبات إدراك بعض الجزئيات للميت رداً على الفلاسفة</w:t>
      </w:r>
      <w:r w:rsidRPr="00A52585">
        <w:rPr>
          <w:rFonts w:hint="cs"/>
          <w:sz w:val="24"/>
          <w:szCs w:val="24"/>
          <w:rtl/>
        </w:rPr>
        <w:t>:</w:t>
      </w:r>
      <w:r w:rsidR="00777DCB" w:rsidRPr="00A52585">
        <w:rPr>
          <w:rFonts w:hint="cs"/>
          <w:sz w:val="24"/>
          <w:szCs w:val="24"/>
          <w:rtl/>
        </w:rPr>
        <w:t xml:space="preserve"> " لما كان إدراك الجزئيات مشروطاً عند الفلاسفة </w:t>
      </w:r>
      <w:r w:rsidR="00777DCB" w:rsidRPr="00A52585">
        <w:rPr>
          <w:rFonts w:hint="cs"/>
          <w:sz w:val="24"/>
          <w:szCs w:val="24"/>
          <w:rtl/>
        </w:rPr>
        <w:lastRenderedPageBreak/>
        <w:t xml:space="preserve">بحصول الصورة في الآلات فعند مفارقة النفس وبطلان الآلات لا تبقى مدركة للجزئيات؛ ضرورة انتفاء المشروط بانتفاء الشرط؛ وعندنا لما لم تكن الآلات شرطاً في إدراك الجزئيات إما لأنه ليس بحصول الصورة لا في النفس ولا في الحس وإما لأنه لا يمتنع ارتسام صورة الجزئي في النفس بل الظاهر من قواعد الإسلام أنه يكون للنفس بعد المفارقة إدراكات متجددة جزئية واطلاع على بعض جزئيات أحوال الأحياء، ولا سيما الذين كان بينهم وبين الميت تعارف في الدنيا؛ ولهذا ينتفع بزيارة القبور والاستغاثة بنفوس الأخيار من الأموات في استنـزال الخيرات واستدفاع الملمات؛ فإن للنفس بعد المفارقة تعلقا بالبدن وبالتربة التي دفنت فيها، فإذا زار الحي تلك التربة وتوجهت تلقاء نفس الميت حصل بين النفسين ملاقاة </w:t>
      </w:r>
      <w:proofErr w:type="spellStart"/>
      <w:r w:rsidR="00777DCB" w:rsidRPr="00A52585">
        <w:rPr>
          <w:rFonts w:hint="cs"/>
          <w:sz w:val="24"/>
          <w:szCs w:val="24"/>
          <w:rtl/>
        </w:rPr>
        <w:t>وإفاضات</w:t>
      </w:r>
      <w:proofErr w:type="spellEnd"/>
      <w:r w:rsidR="00777DCB" w:rsidRPr="00A52585">
        <w:rPr>
          <w:rFonts w:hint="cs"/>
          <w:sz w:val="24"/>
          <w:szCs w:val="24"/>
          <w:rtl/>
        </w:rPr>
        <w:t xml:space="preserve"> اهـ "</w:t>
      </w:r>
      <w:r w:rsidR="00DB731D" w:rsidRPr="00A52585">
        <w:rPr>
          <w:rFonts w:hint="cs"/>
          <w:sz w:val="24"/>
          <w:szCs w:val="24"/>
          <w:rtl/>
        </w:rPr>
        <w:t>،</w:t>
      </w:r>
      <w:r w:rsidR="00777DCB" w:rsidRPr="00A52585">
        <w:rPr>
          <w:rFonts w:hint="cs"/>
          <w:sz w:val="24"/>
          <w:szCs w:val="24"/>
          <w:rtl/>
        </w:rPr>
        <w:t xml:space="preserve"> وقال العلامة الشريف الجرجاني في أوائل حاشية "شرح المطالع" معلقاً على ما ذكره شارح المطالع في صدد بيان الحكمة في التوسل والصلاة على النبي </w:t>
      </w:r>
      <w:proofErr w:type="spellStart"/>
      <w:r w:rsidR="00777DCB" w:rsidRPr="00A52585">
        <w:rPr>
          <w:rFonts w:hint="cs"/>
          <w:sz w:val="24"/>
          <w:szCs w:val="24"/>
          <w:rtl/>
        </w:rPr>
        <w:t>وآله</w:t>
      </w:r>
      <w:proofErr w:type="spellEnd"/>
      <w:r w:rsidR="00777DCB" w:rsidRPr="00A52585">
        <w:rPr>
          <w:rFonts w:hint="cs"/>
          <w:sz w:val="24"/>
          <w:szCs w:val="24"/>
          <w:rtl/>
        </w:rPr>
        <w:t xml:space="preserve">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w:t>
      </w:r>
      <w:r w:rsidR="00777DCB" w:rsidRPr="00A52585">
        <w:rPr>
          <w:rFonts w:hint="cs"/>
          <w:sz w:val="24"/>
          <w:szCs w:val="24"/>
          <w:rtl/>
        </w:rPr>
        <w:t xml:space="preserve"> " فإن قيل هذا التوسل إنما يتصور إذا كانوا متعلقين بالأبدان وأما إذا تجردوا عنها فلا إذ لا جهة مقتضية للمناسبة، قلنا يكفيه أنهم كانوا متعلقين بها متوجهين إلى تكميل النفوس الناقصة بهمة عالية فإن أثر ذلك باق فيهم ولذلك كانت زيارة مراقدهم مدة لفيضان أنوار كثيرة منهم على الزائرين كما يشاهده أصحاب البصائر اهـ " ورأيت بخط الحافظ الضياء المقدسي الحنبلي في كتابه -</w:t>
      </w:r>
      <w:r w:rsidRPr="00A52585">
        <w:rPr>
          <w:rFonts w:hint="cs"/>
          <w:sz w:val="24"/>
          <w:szCs w:val="24"/>
          <w:rtl/>
        </w:rPr>
        <w:t xml:space="preserve"> </w:t>
      </w:r>
      <w:r w:rsidR="00777DCB" w:rsidRPr="00A52585">
        <w:rPr>
          <w:rFonts w:hint="cs"/>
          <w:sz w:val="24"/>
          <w:szCs w:val="24"/>
          <w:rtl/>
        </w:rPr>
        <w:t>الحكايات المنثورة -</w:t>
      </w:r>
      <w:r w:rsidRPr="00A52585">
        <w:rPr>
          <w:rFonts w:hint="cs"/>
          <w:sz w:val="24"/>
          <w:szCs w:val="24"/>
          <w:rtl/>
        </w:rPr>
        <w:t xml:space="preserve"> </w:t>
      </w:r>
      <w:r w:rsidR="00777DCB" w:rsidRPr="00A52585">
        <w:rPr>
          <w:rFonts w:hint="cs"/>
          <w:sz w:val="24"/>
          <w:szCs w:val="24"/>
          <w:rtl/>
        </w:rPr>
        <w:t xml:space="preserve">المحفوظ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(1 - 123) بسنده إلى </w:t>
      </w:r>
      <w:proofErr w:type="spellStart"/>
      <w:r w:rsidR="00777DCB" w:rsidRPr="00A52585">
        <w:rPr>
          <w:rFonts w:hint="cs"/>
          <w:sz w:val="24"/>
          <w:szCs w:val="24"/>
          <w:rtl/>
        </w:rPr>
        <w:t>الشافعيرضي</w:t>
      </w:r>
      <w:proofErr w:type="spellEnd"/>
      <w:r w:rsidR="00777DCB" w:rsidRPr="00A52585">
        <w:rPr>
          <w:rFonts w:hint="cs"/>
          <w:sz w:val="24"/>
          <w:szCs w:val="24"/>
          <w:rtl/>
        </w:rPr>
        <w:t xml:space="preserve"> الله عنه قال</w:t>
      </w:r>
      <w:r w:rsidRPr="00A52585">
        <w:rPr>
          <w:rFonts w:hint="cs"/>
          <w:sz w:val="24"/>
          <w:szCs w:val="24"/>
          <w:rtl/>
        </w:rPr>
        <w:t>:</w:t>
      </w:r>
      <w:r w:rsidR="00777DCB" w:rsidRPr="00A52585">
        <w:rPr>
          <w:rFonts w:hint="cs"/>
          <w:sz w:val="24"/>
          <w:szCs w:val="24"/>
          <w:rtl/>
        </w:rPr>
        <w:t xml:space="preserve"> "إني لأتبرك بأبي حنيفة وأجيء إلى قبره كل يوم -</w:t>
      </w:r>
      <w:r w:rsidRPr="00A52585">
        <w:rPr>
          <w:rFonts w:hint="cs"/>
          <w:sz w:val="24"/>
          <w:szCs w:val="24"/>
          <w:rtl/>
        </w:rPr>
        <w:t xml:space="preserve"> </w:t>
      </w:r>
      <w:r w:rsidR="00777DCB" w:rsidRPr="00A52585">
        <w:rPr>
          <w:rFonts w:hint="cs"/>
          <w:sz w:val="24"/>
          <w:szCs w:val="24"/>
          <w:rtl/>
        </w:rPr>
        <w:t>يعني زائراً -</w:t>
      </w:r>
      <w:r w:rsidRPr="00A52585">
        <w:rPr>
          <w:rFonts w:hint="cs"/>
          <w:sz w:val="24"/>
          <w:szCs w:val="24"/>
          <w:rtl/>
        </w:rPr>
        <w:t xml:space="preserve"> </w:t>
      </w:r>
      <w:r w:rsidR="00777DCB" w:rsidRPr="00A52585">
        <w:rPr>
          <w:rFonts w:hint="cs"/>
          <w:sz w:val="24"/>
          <w:szCs w:val="24"/>
          <w:rtl/>
        </w:rPr>
        <w:t>فإذا عرضت لي حاجة صليت ركعتين وجئت إلى قبره وسألت الله تعالى الحاجة عنده فما تبعد عني حتى تقضي اهـ "</w:t>
      </w:r>
      <w:r w:rsidR="00DB731D" w:rsidRPr="00A52585">
        <w:rPr>
          <w:rFonts w:hint="cs"/>
          <w:sz w:val="24"/>
          <w:szCs w:val="24"/>
          <w:rtl/>
        </w:rPr>
        <w:t>،</w:t>
      </w:r>
      <w:r w:rsidR="00777DCB" w:rsidRPr="00A52585">
        <w:rPr>
          <w:rFonts w:hint="cs"/>
          <w:sz w:val="24"/>
          <w:szCs w:val="24"/>
          <w:rtl/>
        </w:rPr>
        <w:t xml:space="preserve"> فمن الذي يستطيع أن يعد هؤلاء </w:t>
      </w:r>
      <w:proofErr w:type="spellStart"/>
      <w:r w:rsidR="00777DCB" w:rsidRPr="00A52585">
        <w:rPr>
          <w:rFonts w:hint="cs"/>
          <w:sz w:val="24"/>
          <w:szCs w:val="24"/>
          <w:rtl/>
        </w:rPr>
        <w:t>قبوريين</w:t>
      </w:r>
      <w:proofErr w:type="spellEnd"/>
      <w:r w:rsidR="00777DCB" w:rsidRPr="00A52585">
        <w:rPr>
          <w:rFonts w:hint="cs"/>
          <w:sz w:val="24"/>
          <w:szCs w:val="24"/>
          <w:rtl/>
        </w:rPr>
        <w:t xml:space="preserve"> يتعبدون الضرائح</w:t>
      </w:r>
      <w:r w:rsidR="00F95886" w:rsidRPr="00A52585">
        <w:rPr>
          <w:rFonts w:hint="cs"/>
          <w:sz w:val="24"/>
          <w:szCs w:val="24"/>
          <w:rtl/>
        </w:rPr>
        <w:t>؟</w:t>
      </w:r>
      <w:r w:rsidR="00777DCB" w:rsidRPr="00A52585">
        <w:rPr>
          <w:rFonts w:hint="cs"/>
          <w:sz w:val="24"/>
          <w:szCs w:val="24"/>
          <w:rtl/>
        </w:rPr>
        <w:t>!</w:t>
      </w:r>
      <w:r w:rsidRPr="00A52585">
        <w:rPr>
          <w:rFonts w:hint="cs"/>
          <w:sz w:val="24"/>
          <w:szCs w:val="24"/>
          <w:rtl/>
        </w:rPr>
        <w:t>]</w:t>
      </w:r>
      <w:r w:rsidR="00DB731D" w:rsidRPr="00A52585">
        <w:rPr>
          <w:rFonts w:hint="cs"/>
          <w:sz w:val="24"/>
          <w:szCs w:val="24"/>
          <w:rtl/>
        </w:rPr>
        <w:t>،</w:t>
      </w:r>
      <w:r w:rsidRPr="00A52585">
        <w:rPr>
          <w:rFonts w:hint="cs"/>
          <w:sz w:val="24"/>
          <w:rtl/>
        </w:rPr>
        <w:t xml:space="preserve"> </w:t>
      </w:r>
    </w:p>
    <w:p w14:paraId="7589B98A" w14:textId="728D9E97" w:rsidR="00777DCB" w:rsidRPr="00A52585" w:rsidRDefault="0002035C" w:rsidP="0002035C">
      <w:pPr>
        <w:spacing w:after="240"/>
        <w:rPr>
          <w:b/>
          <w:rtl/>
        </w:rPr>
      </w:pPr>
      <w:r w:rsidRPr="00A52585">
        <w:rPr>
          <w:rFonts w:hint="cs"/>
          <w:rtl/>
        </w:rPr>
        <w:t>[</w:t>
      </w:r>
      <w:r w:rsidR="00777DCB" w:rsidRPr="00A52585">
        <w:rPr>
          <w:rFonts w:hint="cs"/>
          <w:rtl/>
        </w:rPr>
        <w:t>فصـــــــــل</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معناه منجنيق المعطلة ما يدعونه من التركيب</w:t>
      </w:r>
      <w:r w:rsidR="00DB731D" w:rsidRPr="00A52585">
        <w:rPr>
          <w:rFonts w:hint="cs"/>
          <w:rtl/>
        </w:rPr>
        <w:t>،</w:t>
      </w:r>
      <w:r w:rsidR="00777DCB" w:rsidRPr="00A52585">
        <w:rPr>
          <w:rFonts w:hint="cs"/>
          <w:rtl/>
        </w:rPr>
        <w:t xml:space="preserve"> وللتركيب ستة معان أحدها</w:t>
      </w:r>
      <w:r w:rsidRPr="00A52585">
        <w:rPr>
          <w:rFonts w:hint="cs"/>
          <w:rtl/>
        </w:rPr>
        <w:t>:</w:t>
      </w:r>
      <w:r w:rsidR="00777DCB" w:rsidRPr="00A52585">
        <w:rPr>
          <w:rFonts w:hint="cs"/>
          <w:rtl/>
        </w:rPr>
        <w:t xml:space="preserve"> التركيب من متباين كتركيب الحيوان من هذه الأعضاء وتركيب الأعضاء من الأركان الأربعة</w:t>
      </w:r>
      <w:r w:rsidR="00DB731D" w:rsidRPr="00A52585">
        <w:rPr>
          <w:rFonts w:hint="cs"/>
          <w:rtl/>
        </w:rPr>
        <w:t>،</w:t>
      </w:r>
      <w:r w:rsidR="00777DCB" w:rsidRPr="00A52585">
        <w:rPr>
          <w:rFonts w:hint="cs"/>
          <w:rtl/>
        </w:rPr>
        <w:t xml:space="preserve"> الثاني</w:t>
      </w:r>
      <w:r w:rsidRPr="00A52585">
        <w:rPr>
          <w:rFonts w:hint="cs"/>
          <w:rtl/>
        </w:rPr>
        <w:t>:</w:t>
      </w:r>
      <w:r w:rsidR="00777DCB" w:rsidRPr="00A52585">
        <w:rPr>
          <w:rFonts w:hint="cs"/>
          <w:rtl/>
        </w:rPr>
        <w:t xml:space="preserve"> تركيب الجوار من اثنين يفترقان</w:t>
      </w:r>
      <w:r w:rsidR="00DB731D" w:rsidRPr="00A52585">
        <w:rPr>
          <w:rFonts w:hint="cs"/>
          <w:rtl/>
        </w:rPr>
        <w:t>،</w:t>
      </w:r>
      <w:r w:rsidR="00777DCB" w:rsidRPr="00A52585">
        <w:rPr>
          <w:rFonts w:hint="cs"/>
          <w:rtl/>
        </w:rPr>
        <w:t xml:space="preserve"> الثالث</w:t>
      </w:r>
      <w:r w:rsidRPr="00A52585">
        <w:rPr>
          <w:rFonts w:hint="cs"/>
          <w:rtl/>
        </w:rPr>
        <w:t>:</w:t>
      </w:r>
      <w:r w:rsidR="00777DCB" w:rsidRPr="00A52585">
        <w:rPr>
          <w:rFonts w:hint="cs"/>
          <w:rtl/>
        </w:rPr>
        <w:t xml:space="preserve"> التركيب من متماثل يدعى الجواهر الفردة</w:t>
      </w:r>
      <w:r w:rsidR="00DB731D" w:rsidRPr="00A52585">
        <w:rPr>
          <w:rFonts w:hint="cs"/>
          <w:rtl/>
        </w:rPr>
        <w:t>،</w:t>
      </w:r>
      <w:r w:rsidR="00777DCB" w:rsidRPr="00A52585">
        <w:rPr>
          <w:rFonts w:hint="cs"/>
          <w:rtl/>
        </w:rPr>
        <w:t xml:space="preserve"> الرابع</w:t>
      </w:r>
      <w:r w:rsidRPr="00A52585">
        <w:rPr>
          <w:rFonts w:hint="cs"/>
          <w:rtl/>
        </w:rPr>
        <w:t>:</w:t>
      </w:r>
      <w:r w:rsidR="00777DCB" w:rsidRPr="00A52585">
        <w:rPr>
          <w:rFonts w:hint="cs"/>
          <w:rtl/>
        </w:rPr>
        <w:t xml:space="preserve"> الجسم المركب من </w:t>
      </w:r>
      <w:proofErr w:type="spellStart"/>
      <w:r w:rsidR="00777DCB" w:rsidRPr="00A52585">
        <w:rPr>
          <w:rFonts w:hint="cs"/>
          <w:rtl/>
        </w:rPr>
        <w:t>هيولى</w:t>
      </w:r>
      <w:proofErr w:type="spellEnd"/>
      <w:r w:rsidR="00777DCB" w:rsidRPr="00A52585">
        <w:rPr>
          <w:rFonts w:hint="cs"/>
          <w:rtl/>
        </w:rPr>
        <w:t xml:space="preserve"> وصورة عند الفيلسوف والجواهر الفرد ليس ممكنا</w:t>
      </w:r>
      <w:r w:rsidR="00DB731D" w:rsidRPr="00A52585">
        <w:rPr>
          <w:rFonts w:hint="cs"/>
          <w:rtl/>
        </w:rPr>
        <w:t>،</w:t>
      </w:r>
      <w:r w:rsidR="00777DCB" w:rsidRPr="00A52585">
        <w:rPr>
          <w:rFonts w:hint="cs"/>
          <w:rtl/>
        </w:rPr>
        <w:t xml:space="preserve"> الخامس</w:t>
      </w:r>
      <w:r w:rsidRPr="00A52585">
        <w:rPr>
          <w:rFonts w:hint="cs"/>
          <w:rtl/>
        </w:rPr>
        <w:t>:</w:t>
      </w:r>
      <w:r w:rsidR="00777DCB" w:rsidRPr="00A52585">
        <w:rPr>
          <w:rFonts w:hint="cs"/>
          <w:rtl/>
        </w:rPr>
        <w:t xml:space="preserve"> التركيب من ذات وأوصاف سموه تركيبا وليس بتركيب</w:t>
      </w:r>
      <w:r w:rsidR="00DB731D" w:rsidRPr="00A52585">
        <w:rPr>
          <w:rFonts w:hint="cs"/>
          <w:rtl/>
        </w:rPr>
        <w:t>،</w:t>
      </w:r>
      <w:r w:rsidR="00777DCB" w:rsidRPr="00A52585">
        <w:rPr>
          <w:rFonts w:hint="cs"/>
          <w:rtl/>
        </w:rPr>
        <w:t xml:space="preserve"> السادس</w:t>
      </w:r>
      <w:r w:rsidRPr="00A52585">
        <w:rPr>
          <w:rFonts w:hint="cs"/>
          <w:rtl/>
        </w:rPr>
        <w:t>:</w:t>
      </w:r>
      <w:r w:rsidR="00777DCB" w:rsidRPr="00A52585">
        <w:rPr>
          <w:rFonts w:hint="cs"/>
          <w:rtl/>
        </w:rPr>
        <w:t xml:space="preserve"> التركيب من ماهية ووجودها</w:t>
      </w:r>
      <w:r w:rsidR="00DB731D" w:rsidRPr="00A52585">
        <w:rPr>
          <w:rFonts w:hint="cs"/>
          <w:rtl/>
        </w:rPr>
        <w:t>،</w:t>
      </w:r>
      <w:r w:rsidR="00777DCB" w:rsidRPr="00A52585">
        <w:rPr>
          <w:rFonts w:hint="cs"/>
          <w:rtl/>
        </w:rPr>
        <w:t xml:space="preserve"> واختلفوا هل الذات الوجود أو غيره فيكون تركيباً محالاً أو يفرق بين الواجب والممكن حتى أتى من أرض </w:t>
      </w:r>
      <w:proofErr w:type="spellStart"/>
      <w:r w:rsidR="00777DCB" w:rsidRPr="00A52585">
        <w:rPr>
          <w:rFonts w:hint="cs"/>
          <w:rtl/>
        </w:rPr>
        <w:t>آمد</w:t>
      </w:r>
      <w:proofErr w:type="spellEnd"/>
      <w:r w:rsidR="00777DCB" w:rsidRPr="00A52585">
        <w:rPr>
          <w:rFonts w:hint="cs"/>
          <w:rtl/>
        </w:rPr>
        <w:t xml:space="preserve"> ثور كبير</w:t>
      </w:r>
      <w:r w:rsidR="00DB731D" w:rsidRPr="00A52585">
        <w:rPr>
          <w:rFonts w:hint="cs"/>
          <w:rtl/>
        </w:rPr>
        <w:t>،</w:t>
      </w:r>
      <w:r w:rsidR="00777DCB" w:rsidRPr="00A52585">
        <w:rPr>
          <w:rFonts w:hint="cs"/>
          <w:rtl/>
        </w:rPr>
        <w:t xml:space="preserve"> بل حقير الشأن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سيف الدين الآمدي المعروف بين الفرق ببالغ الذكاء ذنبه عند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أنه نشأ حشوياً ثم هداه الله إلى مذهب الأشاعرة؛ ولأجل ذلك يرى متقشفو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من تمام ورعهم اختلاق حكايات في حقه ويسعى ابن تيمية جهده في مناقشته في معقولة، ويقوم الذهبي بحظه في الاختلاق عليه في ميزانه. </w:t>
      </w:r>
      <w:proofErr w:type="spellStart"/>
      <w:r w:rsidR="00777DCB" w:rsidRPr="00A52585">
        <w:rPr>
          <w:rFonts w:hint="cs"/>
          <w:sz w:val="24"/>
          <w:szCs w:val="24"/>
          <w:rtl/>
        </w:rPr>
        <w:t>وتآليفه</w:t>
      </w:r>
      <w:proofErr w:type="spellEnd"/>
      <w:r w:rsidR="00777DCB" w:rsidRPr="00A52585">
        <w:rPr>
          <w:rFonts w:hint="cs"/>
          <w:sz w:val="24"/>
          <w:szCs w:val="24"/>
          <w:rtl/>
        </w:rPr>
        <w:t xml:space="preserve"> الخالدة في أصول الدين وأصول الفقه والجدل هي آية كونه ثوراً كبيراً في نظر الناظم فليعتبر</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قال الصواب الوقف فقصاراه أن شك في الله</w:t>
      </w:r>
      <w:r w:rsidRPr="00A52585">
        <w:rPr>
          <w:rFonts w:hint="cs"/>
          <w:rtl/>
        </w:rPr>
        <w:t>)</w:t>
      </w:r>
      <w:r w:rsidR="00DB731D" w:rsidRPr="00A52585">
        <w:rPr>
          <w:rFonts w:hint="cs"/>
          <w:rtl/>
        </w:rPr>
        <w:t>،</w:t>
      </w:r>
      <w:r w:rsidR="00777DCB" w:rsidRPr="00A52585">
        <w:rPr>
          <w:rFonts w:hint="cs"/>
          <w:rtl/>
        </w:rPr>
        <w:t xml:space="preserve"> جوابه أنه لم يشك في الله وإنما شك في الوجود هل هو زائد أو لا. ولا يجوز أن يقال له ثور ولا أنه حقير الشأن</w:t>
      </w:r>
      <w:r w:rsidR="00DB731D" w:rsidRPr="00A52585">
        <w:rPr>
          <w:rFonts w:hint="cs"/>
          <w:rtl/>
        </w:rPr>
        <w:t>،</w:t>
      </w:r>
      <w:r w:rsidR="00777DCB" w:rsidRPr="00A52585">
        <w:rPr>
          <w:rFonts w:hint="cs"/>
          <w:rtl/>
        </w:rPr>
        <w:t xml:space="preserve"> وقد اعترف في التركيبين الأخيرين </w:t>
      </w:r>
      <w:r w:rsidR="00777DCB" w:rsidRPr="00A52585">
        <w:rPr>
          <w:rFonts w:hint="cs"/>
          <w:spacing w:val="-6"/>
          <w:rtl/>
        </w:rPr>
        <w:t xml:space="preserve">بالامتناع؛ فيسأل من أهل </w:t>
      </w:r>
      <w:r w:rsidR="00777DCB" w:rsidRPr="00A52585">
        <w:rPr>
          <w:rFonts w:hint="cs"/>
          <w:rtl/>
        </w:rPr>
        <w:t>اللغة</w:t>
      </w:r>
      <w:r w:rsidR="00777DCB" w:rsidRPr="00A52585">
        <w:rPr>
          <w:rFonts w:hint="cs"/>
          <w:spacing w:val="-6"/>
          <w:rtl/>
        </w:rPr>
        <w:t xml:space="preserve"> هل القدم و</w:t>
      </w:r>
      <w:r w:rsidR="00777DCB" w:rsidRPr="00A52585">
        <w:rPr>
          <w:rFonts w:hint="cs"/>
          <w:rtl/>
        </w:rPr>
        <w:t>اليد</w:t>
      </w:r>
      <w:r w:rsidR="00777DCB" w:rsidRPr="00A52585">
        <w:rPr>
          <w:rFonts w:hint="cs"/>
          <w:spacing w:val="-6"/>
          <w:rtl/>
        </w:rPr>
        <w:t xml:space="preserve"> </w:t>
      </w:r>
      <w:r w:rsidR="00777DCB" w:rsidRPr="00A52585">
        <w:rPr>
          <w:rFonts w:hint="cs"/>
          <w:spacing w:val="-6"/>
          <w:rtl/>
        </w:rPr>
        <w:lastRenderedPageBreak/>
        <w:t>والجنب أعضاء</w:t>
      </w:r>
      <w:r w:rsidR="00777DCB" w:rsidRPr="00A52585">
        <w:rPr>
          <w:rFonts w:hint="cs"/>
          <w:rtl/>
        </w:rPr>
        <w:t xml:space="preserve"> أو صفات</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فإن اعترف بعد السؤال من أهل اللغة بأنها أعضاء يكون المركب منها من القسم الأول فيكون عابد جسم ذي أعضاء وإن لم يعترف بأنها أعضاء بل قال إنها مجازات عن صفات ثابتة له تعالى فقد ترك مذهبه وكان جهاده في غير عدو. ولكن أنّى يعترف بأنها مجازات مع الغلو المشهود في نحلته</w:t>
      </w:r>
      <w:r w:rsidR="00F95886" w:rsidRPr="00A52585">
        <w:rPr>
          <w:rFonts w:hint="cs"/>
          <w:sz w:val="24"/>
          <w:szCs w:val="24"/>
          <w:rtl/>
        </w:rPr>
        <w:t>؟</w:t>
      </w:r>
      <w:r w:rsidR="00777DCB" w:rsidRPr="00A52585">
        <w:rPr>
          <w:rFonts w:hint="cs"/>
          <w:sz w:val="24"/>
          <w:szCs w:val="24"/>
          <w:rtl/>
        </w:rPr>
        <w:t xml:space="preserve"> ومن ألطف النكت الجارية مجرى </w:t>
      </w:r>
      <w:proofErr w:type="spellStart"/>
      <w:r w:rsidR="00777DCB" w:rsidRPr="00A52585">
        <w:rPr>
          <w:rFonts w:hint="cs"/>
          <w:sz w:val="24"/>
          <w:szCs w:val="24"/>
          <w:rtl/>
        </w:rPr>
        <w:t>الإلزامات</w:t>
      </w:r>
      <w:proofErr w:type="spellEnd"/>
      <w:r w:rsidR="00777DCB" w:rsidRPr="00A52585">
        <w:rPr>
          <w:rFonts w:hint="cs"/>
          <w:sz w:val="24"/>
          <w:szCs w:val="24"/>
          <w:rtl/>
        </w:rPr>
        <w:t xml:space="preserve"> الظاهرة على المجسمة ما ذكره الفخر الرازي في تفسيره (7 - 148) حيث قال</w:t>
      </w:r>
      <w:r w:rsidRPr="00A52585">
        <w:rPr>
          <w:rFonts w:hint="cs"/>
          <w:sz w:val="24"/>
          <w:szCs w:val="24"/>
          <w:rtl/>
        </w:rPr>
        <w:t>:</w:t>
      </w:r>
      <w:r w:rsidR="00777DCB" w:rsidRPr="00A52585">
        <w:rPr>
          <w:rFonts w:hint="cs"/>
          <w:sz w:val="24"/>
          <w:szCs w:val="24"/>
          <w:rtl/>
        </w:rPr>
        <w:t xml:space="preserve"> إن من قال إنه مركب من الأعضاء والأجزاء فإما أن يثبت الأعضاء التي ورد ذكرها في القرآن ولا يزيد عليها وإما أن يزيد عليها، فإن كان الأول لزمه إثبات صورة لا يمكن أن يزاد عليها في القبح لأنه يلزمه إثبات وجه بحيث لا يوجد منه إلا مجرد رقعة الوجه لقوله تعالى </w:t>
      </w:r>
      <w:r w:rsidRPr="00A52585">
        <w:rPr>
          <w:rFonts w:hint="cs"/>
          <w:sz w:val="24"/>
          <w:szCs w:val="24"/>
          <w:rtl/>
        </w:rPr>
        <w:t>{</w:t>
      </w:r>
      <w:r w:rsidR="00777DCB" w:rsidRPr="00A52585">
        <w:rPr>
          <w:rFonts w:hint="cs"/>
          <w:sz w:val="24"/>
          <w:szCs w:val="24"/>
          <w:rtl/>
        </w:rPr>
        <w:t>كل شيء هالك إلا وجهه</w:t>
      </w:r>
      <w:r w:rsidRPr="00A52585">
        <w:rPr>
          <w:rFonts w:hint="cs"/>
          <w:sz w:val="24"/>
          <w:szCs w:val="24"/>
          <w:rtl/>
        </w:rPr>
        <w:t>}</w:t>
      </w:r>
      <w:r w:rsidR="00777DCB" w:rsidRPr="00A52585">
        <w:rPr>
          <w:rFonts w:hint="cs"/>
          <w:sz w:val="24"/>
          <w:szCs w:val="24"/>
          <w:rtl/>
        </w:rPr>
        <w:t xml:space="preserve"> [القصص</w:t>
      </w:r>
      <w:r w:rsidRPr="00A52585">
        <w:rPr>
          <w:rFonts w:hint="cs"/>
          <w:sz w:val="24"/>
          <w:szCs w:val="24"/>
          <w:rtl/>
        </w:rPr>
        <w:t>:</w:t>
      </w:r>
      <w:r w:rsidR="00777DCB" w:rsidRPr="00A52585">
        <w:rPr>
          <w:rFonts w:hint="cs"/>
          <w:sz w:val="24"/>
          <w:szCs w:val="24"/>
          <w:rtl/>
        </w:rPr>
        <w:t>88] ويلزمه أن يثبت في تلك الرقعة عيونا كثيرة لقوله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تجرى بأعيننا</w:t>
      </w:r>
      <w:r w:rsidRPr="00A52585">
        <w:rPr>
          <w:rFonts w:hint="cs"/>
          <w:sz w:val="24"/>
          <w:szCs w:val="24"/>
          <w:rtl/>
        </w:rPr>
        <w:t>}</w:t>
      </w:r>
      <w:r w:rsidR="00777DCB" w:rsidRPr="00A52585">
        <w:rPr>
          <w:rFonts w:hint="cs"/>
          <w:sz w:val="24"/>
          <w:szCs w:val="24"/>
          <w:rtl/>
        </w:rPr>
        <w:t xml:space="preserve"> [القمر</w:t>
      </w:r>
      <w:r w:rsidRPr="00A52585">
        <w:rPr>
          <w:rFonts w:hint="cs"/>
          <w:sz w:val="24"/>
          <w:szCs w:val="24"/>
          <w:rtl/>
        </w:rPr>
        <w:t>:</w:t>
      </w:r>
      <w:r w:rsidR="00777DCB" w:rsidRPr="00A52585">
        <w:rPr>
          <w:rFonts w:hint="cs"/>
          <w:sz w:val="24"/>
          <w:szCs w:val="24"/>
          <w:rtl/>
        </w:rPr>
        <w:t xml:space="preserve">14] وأن يثبت له جنبا واحداً لقوله تعالى </w:t>
      </w:r>
      <w:r w:rsidRPr="00A52585">
        <w:rPr>
          <w:rFonts w:hint="cs"/>
          <w:sz w:val="24"/>
          <w:szCs w:val="24"/>
          <w:rtl/>
        </w:rPr>
        <w:t>{</w:t>
      </w:r>
      <w:r w:rsidR="00777DCB" w:rsidRPr="00A52585">
        <w:rPr>
          <w:rFonts w:hint="cs"/>
          <w:sz w:val="24"/>
          <w:szCs w:val="24"/>
          <w:rtl/>
        </w:rPr>
        <w:t>يا حسرتا على ما فرطت في جنب الله</w:t>
      </w:r>
      <w:r w:rsidRPr="00A52585">
        <w:rPr>
          <w:rFonts w:hint="cs"/>
          <w:sz w:val="24"/>
          <w:szCs w:val="24"/>
          <w:rtl/>
        </w:rPr>
        <w:t>}</w:t>
      </w:r>
      <w:r w:rsidR="00777DCB" w:rsidRPr="00A52585">
        <w:rPr>
          <w:rFonts w:hint="cs"/>
          <w:sz w:val="24"/>
          <w:szCs w:val="24"/>
          <w:rtl/>
        </w:rPr>
        <w:t xml:space="preserve"> [الزمر</w:t>
      </w:r>
      <w:r w:rsidRPr="00A52585">
        <w:rPr>
          <w:rFonts w:hint="cs"/>
          <w:sz w:val="24"/>
          <w:szCs w:val="24"/>
          <w:rtl/>
        </w:rPr>
        <w:t>:</w:t>
      </w:r>
      <w:r w:rsidR="00777DCB" w:rsidRPr="00A52585">
        <w:rPr>
          <w:rFonts w:hint="cs"/>
          <w:sz w:val="24"/>
          <w:szCs w:val="24"/>
          <w:rtl/>
        </w:rPr>
        <w:t xml:space="preserve"> 56] وإن يثبت على ذلك الجنب أيدي كثيرة لقوله تعالى </w:t>
      </w:r>
      <w:r w:rsidRPr="00A52585">
        <w:rPr>
          <w:rFonts w:hint="cs"/>
          <w:sz w:val="24"/>
          <w:szCs w:val="24"/>
          <w:rtl/>
        </w:rPr>
        <w:t>{</w:t>
      </w:r>
      <w:r w:rsidR="00777DCB" w:rsidRPr="00A52585">
        <w:rPr>
          <w:rFonts w:hint="cs"/>
          <w:sz w:val="24"/>
          <w:szCs w:val="24"/>
          <w:rtl/>
        </w:rPr>
        <w:t>مما عملت أيدينا</w:t>
      </w:r>
      <w:r w:rsidRPr="00A52585">
        <w:rPr>
          <w:rFonts w:hint="cs"/>
          <w:sz w:val="24"/>
          <w:szCs w:val="24"/>
          <w:rtl/>
        </w:rPr>
        <w:t>}</w:t>
      </w:r>
      <w:r w:rsidR="00777DCB" w:rsidRPr="00A52585">
        <w:rPr>
          <w:rFonts w:hint="cs"/>
          <w:sz w:val="24"/>
          <w:szCs w:val="24"/>
          <w:rtl/>
        </w:rPr>
        <w:t xml:space="preserve"> [يس</w:t>
      </w:r>
      <w:r w:rsidRPr="00A52585">
        <w:rPr>
          <w:rFonts w:hint="cs"/>
          <w:sz w:val="24"/>
          <w:szCs w:val="24"/>
          <w:rtl/>
        </w:rPr>
        <w:t>:</w:t>
      </w:r>
      <w:r w:rsidR="00777DCB" w:rsidRPr="00A52585">
        <w:rPr>
          <w:rFonts w:hint="cs"/>
          <w:sz w:val="24"/>
          <w:szCs w:val="24"/>
          <w:rtl/>
        </w:rPr>
        <w:t xml:space="preserve">71] وبتقدير أن يكون له يدان فإنه يجب أن يكون كلاهما على جانب واحد لقوله صلى الله عليه وسلم (وكلتا يديه يمين) وأن يثبت له ساقا واحدا لقوله تعالى </w:t>
      </w:r>
      <w:r w:rsidRPr="00A52585">
        <w:rPr>
          <w:rFonts w:hint="cs"/>
          <w:sz w:val="24"/>
          <w:szCs w:val="24"/>
          <w:rtl/>
        </w:rPr>
        <w:t>{</w:t>
      </w:r>
      <w:r w:rsidR="00777DCB" w:rsidRPr="00A52585">
        <w:rPr>
          <w:rFonts w:hint="cs"/>
          <w:sz w:val="24"/>
          <w:szCs w:val="24"/>
          <w:rtl/>
        </w:rPr>
        <w:t>يوم يكشف عن ساق</w:t>
      </w:r>
      <w:r w:rsidRPr="00A52585">
        <w:rPr>
          <w:rFonts w:hint="cs"/>
          <w:sz w:val="24"/>
          <w:szCs w:val="24"/>
          <w:rtl/>
        </w:rPr>
        <w:t>}</w:t>
      </w:r>
      <w:r w:rsidR="00777DCB" w:rsidRPr="00A52585">
        <w:rPr>
          <w:rFonts w:hint="cs"/>
          <w:sz w:val="24"/>
          <w:szCs w:val="24"/>
          <w:rtl/>
        </w:rPr>
        <w:t xml:space="preserve"> [القلم</w:t>
      </w:r>
      <w:r w:rsidRPr="00A52585">
        <w:rPr>
          <w:rFonts w:hint="cs"/>
          <w:sz w:val="24"/>
          <w:szCs w:val="24"/>
          <w:rtl/>
        </w:rPr>
        <w:t>:</w:t>
      </w:r>
      <w:r w:rsidR="00777DCB" w:rsidRPr="00A52585">
        <w:rPr>
          <w:rFonts w:hint="cs"/>
          <w:sz w:val="24"/>
          <w:szCs w:val="24"/>
          <w:rtl/>
        </w:rPr>
        <w:t xml:space="preserve"> 42]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 فكيف يقول العاقل إن رب العالمين موصوف بهذه الصورة</w:t>
      </w:r>
      <w:r w:rsidR="00F95886" w:rsidRPr="00A52585">
        <w:rPr>
          <w:rFonts w:hint="cs"/>
          <w:sz w:val="24"/>
          <w:szCs w:val="24"/>
          <w:rtl/>
        </w:rPr>
        <w:t>؟</w:t>
      </w:r>
      <w:r w:rsidR="00777DCB" w:rsidRPr="00A52585">
        <w:rPr>
          <w:rFonts w:hint="cs"/>
          <w:sz w:val="24"/>
          <w:szCs w:val="24"/>
          <w:rtl/>
        </w:rPr>
        <w:t xml:space="preserve">! وإن كان الثاني وهو </w:t>
      </w:r>
      <w:proofErr w:type="gramStart"/>
      <w:r w:rsidR="00777DCB" w:rsidRPr="00A52585">
        <w:rPr>
          <w:rFonts w:hint="cs"/>
          <w:sz w:val="24"/>
          <w:szCs w:val="24"/>
          <w:rtl/>
        </w:rPr>
        <w:t>أن لا</w:t>
      </w:r>
      <w:proofErr w:type="gramEnd"/>
      <w:r w:rsidR="00777DCB" w:rsidRPr="00A52585">
        <w:rPr>
          <w:rFonts w:hint="cs"/>
          <w:sz w:val="24"/>
          <w:szCs w:val="24"/>
          <w:rtl/>
        </w:rPr>
        <w:t xml:space="preserve"> يقتصر على الأعضاء المذكورة في القرآن بل يزيد وينقص على وفق التأويلات فحينئذ يبطل مذهبه في الحمل على مجرد الظواهر ولابد له من قبول دلائل العقل اهـ</w:t>
      </w:r>
      <w:r w:rsidRPr="00A52585">
        <w:rPr>
          <w:rFonts w:hint="cs"/>
          <w:sz w:val="24"/>
          <w:szCs w:val="24"/>
          <w:rtl/>
        </w:rPr>
        <w:t>]</w:t>
      </w:r>
      <w:r w:rsidR="00777DCB" w:rsidRPr="00A52585">
        <w:rPr>
          <w:rFonts w:hint="cs"/>
          <w:sz w:val="24"/>
          <w:szCs w:val="24"/>
          <w:rtl/>
        </w:rPr>
        <w:t xml:space="preserve"> </w:t>
      </w:r>
    </w:p>
    <w:p w14:paraId="3F9FE9DB" w14:textId="30A6471E"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ودلالة الأسماء مطابقة وتضمن والتزام فالمطابقة يفهم منها ذات الإله والوصف والتضمن دلالته على أحدهما واللازم دلالته على الصفة التي اشتق الاسم منها كالرحمن</w:t>
      </w:r>
      <w:r w:rsidR="00DB731D" w:rsidRPr="00A52585">
        <w:rPr>
          <w:rFonts w:hint="cs"/>
          <w:rtl/>
        </w:rPr>
        <w:t>،</w:t>
      </w:r>
      <w:r w:rsidR="00777DCB" w:rsidRPr="00A52585">
        <w:rPr>
          <w:rFonts w:hint="cs"/>
          <w:rtl/>
        </w:rPr>
        <w:t xml:space="preserve"> فالذات والرحمة مدلولاه تضمنا ودلالته على الحياة بالالتزام</w:t>
      </w:r>
      <w:r w:rsidRPr="00A52585">
        <w:rPr>
          <w:rFonts w:hint="cs"/>
          <w:rtl/>
        </w:rPr>
        <w:t>)</w:t>
      </w:r>
      <w:r w:rsidR="00DB731D" w:rsidRPr="00A52585">
        <w:rPr>
          <w:rFonts w:hint="cs"/>
          <w:rtl/>
        </w:rPr>
        <w:t>،</w:t>
      </w:r>
      <w:r w:rsidR="00777DCB" w:rsidRPr="00A52585">
        <w:rPr>
          <w:rFonts w:hint="cs"/>
          <w:rtl/>
        </w:rPr>
        <w:t xml:space="preserve"> مقصودة بهذا المبالغة في القول بالتركيب في المعنى وإن أنكره باللفظ فيما تقدم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لأن كلام أهل العربية في الدلالات الثلاث (دلالة اللفظ على تمام ما وضع له مطابقة وعلى جزئه تضمن وعلى الخارج اللازم التزام) </w:t>
      </w:r>
      <w:proofErr w:type="spellStart"/>
      <w:r w:rsidR="00777DCB" w:rsidRPr="00A52585">
        <w:rPr>
          <w:rFonts w:hint="cs"/>
          <w:sz w:val="24"/>
          <w:szCs w:val="24"/>
          <w:rtl/>
        </w:rPr>
        <w:t>والاجتراء</w:t>
      </w:r>
      <w:proofErr w:type="spellEnd"/>
      <w:r w:rsidR="00777DCB" w:rsidRPr="00A52585">
        <w:rPr>
          <w:rFonts w:hint="cs"/>
          <w:sz w:val="24"/>
          <w:szCs w:val="24"/>
          <w:rtl/>
        </w:rPr>
        <w:t xml:space="preserve"> على إجراء ذلك في الأسماء المقدسة مبالغة في القول بالتركيب في المعنى بإثبات الجزء في دلالتها كما قال المصنف. على أن ابن حزم قطع على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سبيل التقول بالمرة بأن قال إن الأسماء الحسنى أسماء أعلام للذات العلية لا تدل على الصفات باعتبار أن الله سماها أسماء. فضاقوا ذرعا من كلامه هذا جداً وليس هذا موضع توسع لبيان ما له وما عليه، وكفى للبصير مجرد الإشارة إليه</w:t>
      </w:r>
      <w:r w:rsidRPr="00A52585">
        <w:rPr>
          <w:rFonts w:hint="cs"/>
          <w:sz w:val="24"/>
          <w:szCs w:val="24"/>
          <w:rtl/>
        </w:rPr>
        <w:t>]</w:t>
      </w:r>
      <w:r w:rsidR="00DB731D" w:rsidRPr="00A52585">
        <w:rPr>
          <w:rFonts w:hint="cs"/>
          <w:sz w:val="24"/>
          <w:szCs w:val="24"/>
          <w:rtl/>
        </w:rPr>
        <w:t>،</w:t>
      </w:r>
      <w:r w:rsidR="00777DCB" w:rsidRPr="00A52585">
        <w:rPr>
          <w:rFonts w:hint="cs"/>
          <w:rtl/>
        </w:rPr>
        <w:t xml:space="preserve"> ومدلول الرحمن في اللغة ذو الرحمة وهو شيء واحد لا مركب وإن كان يقتضي أن له رحمة وكذا ضارب</w:t>
      </w:r>
      <w:r w:rsidR="00DB731D" w:rsidRPr="00A52585">
        <w:rPr>
          <w:rFonts w:hint="cs"/>
          <w:rtl/>
        </w:rPr>
        <w:t>،</w:t>
      </w:r>
      <w:r w:rsidR="00777DCB" w:rsidRPr="00A52585">
        <w:rPr>
          <w:rFonts w:hint="cs"/>
          <w:rtl/>
        </w:rPr>
        <w:t xml:space="preserve"> مدلول شيء له الضرب ولا نقول بأن الضرب بعض مدلوله وإن كان قاله بعض الأصوليين من جهة تركيب العقل ما دل عليه اللفظ لا من جهة أن الواضع وضعه لهما كما أشعر به كلام هذا الفَدْم. واستعماله في الأسماء المقدسة جرأة جرأتها عقيدة سوء ميالة إلى معنى التركيب</w:t>
      </w:r>
      <w:r w:rsidR="00DB731D" w:rsidRPr="00A52585">
        <w:rPr>
          <w:rFonts w:hint="cs"/>
          <w:rtl/>
        </w:rPr>
        <w:t>،</w:t>
      </w:r>
      <w:r w:rsidR="00777DCB" w:rsidRPr="00A52585">
        <w:rPr>
          <w:rFonts w:hint="cs"/>
          <w:rtl/>
        </w:rPr>
        <w:t xml:space="preserve"> </w:t>
      </w:r>
    </w:p>
    <w:p w14:paraId="74DB40CF" w14:textId="6D93A877" w:rsidR="00777DCB" w:rsidRPr="00A52585" w:rsidRDefault="0002035C" w:rsidP="0002035C">
      <w:pPr>
        <w:spacing w:after="240"/>
        <w:rPr>
          <w:b/>
          <w:rtl/>
        </w:rPr>
      </w:pPr>
      <w:r w:rsidRPr="00A52585">
        <w:rPr>
          <w:rFonts w:hint="cs"/>
          <w:bCs/>
          <w:rtl/>
        </w:rPr>
        <w:lastRenderedPageBreak/>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الملحدون ثلاثة</w:t>
      </w:r>
      <w:r w:rsidRPr="00A52585">
        <w:rPr>
          <w:rFonts w:hint="cs"/>
          <w:rtl/>
        </w:rPr>
        <w:t>:</w:t>
      </w:r>
      <w:r w:rsidR="00777DCB" w:rsidRPr="00A52585">
        <w:rPr>
          <w:rFonts w:hint="cs"/>
          <w:rtl/>
        </w:rPr>
        <w:t xml:space="preserve"> المشركون وإخوانهم الاتحادية</w:t>
      </w:r>
      <w:r w:rsidR="00DB731D" w:rsidRPr="00A52585">
        <w:rPr>
          <w:rFonts w:hint="cs"/>
          <w:rtl/>
        </w:rPr>
        <w:t>،</w:t>
      </w:r>
      <w:r w:rsidR="00777DCB" w:rsidRPr="00A52585">
        <w:rPr>
          <w:rFonts w:hint="cs"/>
          <w:rtl/>
        </w:rPr>
        <w:t xml:space="preserve"> والثاني</w:t>
      </w:r>
      <w:r w:rsidRPr="00A52585">
        <w:rPr>
          <w:rFonts w:hint="cs"/>
          <w:rtl/>
        </w:rPr>
        <w:t>:</w:t>
      </w:r>
      <w:r w:rsidR="00777DCB" w:rsidRPr="00A52585">
        <w:rPr>
          <w:rFonts w:hint="cs"/>
          <w:rtl/>
        </w:rPr>
        <w:t xml:space="preserve"> المعطلة يقولون ما ثم غير الاسم عطل حرف ثم أول وافقها واقذف بتجسيم وبالكفران للمثبتين</w:t>
      </w:r>
      <w:r w:rsidR="00DB731D" w:rsidRPr="00A52585">
        <w:rPr>
          <w:rFonts w:hint="cs"/>
          <w:rtl/>
        </w:rPr>
        <w:t>،</w:t>
      </w:r>
      <w:r w:rsidR="00777DCB" w:rsidRPr="00A52585">
        <w:rPr>
          <w:rFonts w:hint="cs"/>
          <w:rtl/>
        </w:rPr>
        <w:t xml:space="preserve"> فإن احتجوا عليك فقل مجاز فإن غلبت عن المجاز فقل الألفاظ لا تفيد اليقين فإن غلبت عن تقريره فقل العقل مقدم على النقل</w:t>
      </w:r>
      <w:r w:rsidR="00DB731D" w:rsidRPr="00A52585">
        <w:rPr>
          <w:rFonts w:hint="cs"/>
          <w:rtl/>
        </w:rPr>
        <w:t>،</w:t>
      </w:r>
      <w:r w:rsidR="00777DCB" w:rsidRPr="00A52585">
        <w:rPr>
          <w:rFonts w:hint="cs"/>
          <w:rtl/>
        </w:rPr>
        <w:t xml:space="preserve"> والثالث</w:t>
      </w:r>
      <w:r w:rsidRPr="00A52585">
        <w:rPr>
          <w:rFonts w:hint="cs"/>
          <w:rtl/>
        </w:rPr>
        <w:t>:</w:t>
      </w:r>
      <w:r w:rsidR="00777DCB" w:rsidRPr="00A52585">
        <w:rPr>
          <w:rFonts w:hint="cs"/>
          <w:rtl/>
        </w:rPr>
        <w:t xml:space="preserve"> منكر الخالق الصانع لا يوحشنك غربة بين الورى قل لي متى سلم الرسول وصحبه وتظن أنك وارث لهم ولا جاهدت في الله حق جهاده</w:t>
      </w:r>
      <w:r w:rsidRPr="00A52585">
        <w:rPr>
          <w:rFonts w:hint="cs"/>
          <w:rtl/>
        </w:rPr>
        <w:t>)</w:t>
      </w:r>
      <w:r w:rsidR="00DB731D" w:rsidRPr="00A52585">
        <w:rPr>
          <w:rFonts w:hint="cs"/>
          <w:rtl/>
        </w:rPr>
        <w:t>،</w:t>
      </w:r>
      <w:r w:rsidR="00777DCB" w:rsidRPr="00A52585">
        <w:rPr>
          <w:rFonts w:hint="cs"/>
          <w:rtl/>
        </w:rPr>
        <w:t xml:space="preserve"> هذا الرجل قال قبل ذلك إنه لم ينكر أحد الخالق وقد ناقض هنا وجعل القسم الثاني من الملحدة خصماءه ووصفهم بما قال</w:t>
      </w:r>
      <w:r w:rsidR="00DB731D" w:rsidRPr="00A52585">
        <w:rPr>
          <w:rFonts w:hint="cs"/>
          <w:rtl/>
        </w:rPr>
        <w:t>،</w:t>
      </w:r>
      <w:r w:rsidR="00777DCB" w:rsidRPr="00A52585">
        <w:rPr>
          <w:rFonts w:hint="cs"/>
          <w:rtl/>
        </w:rPr>
        <w:t xml:space="preserve"> وهم هداة الأمة.</w:t>
      </w:r>
    </w:p>
    <w:p w14:paraId="1A5245A1" w14:textId="33FE8A91"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في النوع الثاني من توحيد المرسلين المخالف لتوحيد المعطلين والمشركين</w:t>
      </w:r>
      <w:r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أن لا تعبد غير الله</w:t>
      </w:r>
      <w:r w:rsidR="00DB731D" w:rsidRPr="00A52585">
        <w:rPr>
          <w:rFonts w:hint="cs"/>
          <w:rtl/>
        </w:rPr>
        <w:t>،</w:t>
      </w:r>
      <w:r w:rsidR="00777DCB" w:rsidRPr="00A52585">
        <w:rPr>
          <w:rFonts w:hint="cs"/>
          <w:rtl/>
        </w:rPr>
        <w:t xml:space="preserve"> فالمشركون اتخذوا أنداداً يحبونهم كحب الله</w:t>
      </w:r>
      <w:r w:rsidR="00DB731D" w:rsidRPr="00A52585">
        <w:rPr>
          <w:rFonts w:hint="cs"/>
          <w:rtl/>
        </w:rPr>
        <w:t>،</w:t>
      </w:r>
      <w:r w:rsidR="00777DCB" w:rsidRPr="00A52585">
        <w:rPr>
          <w:rFonts w:hint="cs"/>
          <w:rtl/>
        </w:rPr>
        <w:t xml:space="preserve"> ولقد رأينا من فريق يدعي الإسلام شركا جعلوا له شركاء سووهم به في الحب بل زادوا لهم حبا -</w:t>
      </w:r>
      <w:r w:rsidRPr="00A52585">
        <w:rPr>
          <w:rFonts w:hint="cs"/>
          <w:rtl/>
        </w:rPr>
        <w:t xml:space="preserve"> </w:t>
      </w:r>
      <w:r w:rsidR="00777DCB" w:rsidRPr="00A52585">
        <w:rPr>
          <w:rFonts w:hint="cs"/>
          <w:rtl/>
        </w:rPr>
        <w:t>والله -</w:t>
      </w:r>
      <w:r w:rsidRPr="00A52585">
        <w:rPr>
          <w:rFonts w:hint="cs"/>
          <w:rtl/>
        </w:rPr>
        <w:t xml:space="preserve"> </w:t>
      </w:r>
      <w:r w:rsidR="00777DCB" w:rsidRPr="00A52585">
        <w:rPr>
          <w:rFonts w:hint="cs"/>
          <w:rtl/>
        </w:rPr>
        <w:t>ما غضبوا إذا انتهكت محارم ربهم حتى إذا ما قيل في الوثن الذي يدعونه ما فيه من نقصان فأجارك الرحمن من غضب ومن حرب ومن شتم ومن عدوان وضرب وتعزير وسب وتسجان</w:t>
      </w:r>
      <w:r w:rsidR="00DB731D" w:rsidRPr="00A52585">
        <w:rPr>
          <w:rFonts w:hint="cs"/>
          <w:rtl/>
        </w:rPr>
        <w:t>،</w:t>
      </w:r>
      <w:r w:rsidR="00777DCB" w:rsidRPr="00A52585">
        <w:rPr>
          <w:rFonts w:hint="cs"/>
          <w:rtl/>
        </w:rPr>
        <w:t xml:space="preserve"> قالوا تنقصت الأكابر والأمر -</w:t>
      </w:r>
      <w:r w:rsidRPr="00A52585">
        <w:rPr>
          <w:rFonts w:hint="cs"/>
          <w:rtl/>
        </w:rPr>
        <w:t xml:space="preserve"> </w:t>
      </w:r>
      <w:r w:rsidR="00777DCB" w:rsidRPr="00A52585">
        <w:rPr>
          <w:rFonts w:hint="cs"/>
          <w:rtl/>
        </w:rPr>
        <w:t>والله العظيم -</w:t>
      </w:r>
      <w:r w:rsidRPr="00A52585">
        <w:rPr>
          <w:rFonts w:hint="cs"/>
          <w:rtl/>
        </w:rPr>
        <w:t xml:space="preserve"> </w:t>
      </w:r>
      <w:r w:rsidR="00777DCB" w:rsidRPr="00A52585">
        <w:rPr>
          <w:rFonts w:hint="cs"/>
          <w:rtl/>
        </w:rPr>
        <w:t>يزيد فوق الوصف</w:t>
      </w:r>
      <w:r w:rsidR="00DB731D" w:rsidRPr="00A52585">
        <w:rPr>
          <w:rFonts w:hint="cs"/>
          <w:rtl/>
        </w:rPr>
        <w:t>،</w:t>
      </w:r>
      <w:r w:rsidR="00777DCB" w:rsidRPr="00A52585">
        <w:rPr>
          <w:rFonts w:hint="cs"/>
          <w:rtl/>
        </w:rPr>
        <w:t xml:space="preserve"> وإذا ذكرت الله توحيداً رأيت وجوههم مكسوفة الألوان</w:t>
      </w:r>
      <w:r w:rsidR="00DB731D" w:rsidRPr="00A52585">
        <w:rPr>
          <w:rFonts w:hint="cs"/>
          <w:rtl/>
        </w:rPr>
        <w:t>،</w:t>
      </w:r>
      <w:r w:rsidR="00777DCB" w:rsidRPr="00A52585">
        <w:rPr>
          <w:rFonts w:hint="cs"/>
          <w:rtl/>
        </w:rPr>
        <w:t xml:space="preserve"> وإذا ذكرت بمدحة شركاءهم يستبشرون – والله – ما شموا روائح دينه</w:t>
      </w:r>
      <w:r w:rsidRPr="00A52585">
        <w:rPr>
          <w:rFonts w:hint="cs"/>
          <w:rtl/>
        </w:rPr>
        <w:t>)</w:t>
      </w:r>
      <w:r w:rsidR="00777DCB" w:rsidRPr="00A52585">
        <w:rPr>
          <w:rFonts w:hint="cs"/>
          <w:rtl/>
        </w:rPr>
        <w:t>. انتهى ثناؤه على المسلمين قبحه الله</w:t>
      </w:r>
      <w:r w:rsidR="00DB731D" w:rsidRPr="00A52585">
        <w:rPr>
          <w:rFonts w:hint="cs"/>
          <w:rtl/>
        </w:rPr>
        <w:t>،</w:t>
      </w:r>
      <w:r w:rsidR="00777DCB" w:rsidRPr="00A52585">
        <w:rPr>
          <w:rFonts w:hint="cs"/>
          <w:rtl/>
        </w:rPr>
        <w:t xml:space="preserve"> </w:t>
      </w:r>
    </w:p>
    <w:p w14:paraId="6145F1DA" w14:textId="72225AB8"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في صفة العسكرين وتقابل الصفين واستدارة رحى الحرب العوان وتصاول الأقران</w:t>
      </w:r>
      <w:r w:rsidRPr="00A52585">
        <w:rPr>
          <w:rFonts w:hint="cs"/>
          <w:rtl/>
        </w:rPr>
        <w:t>)</w:t>
      </w:r>
      <w:r w:rsidR="00DB731D" w:rsidRPr="00A52585">
        <w:rPr>
          <w:rFonts w:hint="cs"/>
          <w:rtl/>
        </w:rPr>
        <w:t>،</w:t>
      </w:r>
      <w:r w:rsidR="00777DCB" w:rsidRPr="00A52585">
        <w:rPr>
          <w:rFonts w:hint="cs"/>
          <w:rtl/>
        </w:rPr>
        <w:t xml:space="preserve"> أبصر كيف يوقع الملعون العداوة بين المسلمين</w:t>
      </w:r>
      <w:r w:rsidR="00DB731D" w:rsidRPr="00A52585">
        <w:rPr>
          <w:rFonts w:hint="cs"/>
          <w:rtl/>
        </w:rPr>
        <w:t>،</w:t>
      </w:r>
      <w:r w:rsidR="00777DCB" w:rsidRPr="00A52585">
        <w:rPr>
          <w:rFonts w:hint="cs"/>
          <w:rtl/>
        </w:rPr>
        <w:t xml:space="preserve"> فذكر جماعة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وخيار عسكرهم فذاك الأشعري الفدم</w:t>
      </w:r>
      <w:r w:rsidRPr="00A52585">
        <w:rPr>
          <w:rFonts w:hint="cs"/>
          <w:rtl/>
        </w:rPr>
        <w:t>)</w:t>
      </w:r>
      <w:r w:rsidR="00777DCB" w:rsidRPr="00A52585">
        <w:rPr>
          <w:rFonts w:hint="cs"/>
          <w:rtl/>
        </w:rPr>
        <w:t xml:space="preserve"> أو القرم </w:t>
      </w:r>
      <w:r w:rsidRPr="00A52585">
        <w:rPr>
          <w:rFonts w:hint="cs"/>
          <w:rtl/>
        </w:rPr>
        <w:t>(</w:t>
      </w:r>
      <w:r w:rsidR="00777DCB" w:rsidRPr="00A52585">
        <w:rPr>
          <w:rFonts w:hint="cs"/>
          <w:rtl/>
        </w:rPr>
        <w:t>ذاك مقدم الفرسان</w:t>
      </w:r>
      <w:r w:rsidRPr="00A52585">
        <w:rPr>
          <w:rFonts w:hint="cs"/>
          <w:rtl/>
        </w:rPr>
        <w:t>)</w:t>
      </w:r>
      <w:r w:rsidR="00DB731D" w:rsidRPr="00A52585">
        <w:rPr>
          <w:rFonts w:hint="cs"/>
          <w:rtl/>
        </w:rPr>
        <w:t>،</w:t>
      </w:r>
      <w:r w:rsidR="00777DCB" w:rsidRPr="00A52585">
        <w:rPr>
          <w:rFonts w:hint="cs"/>
          <w:rtl/>
        </w:rPr>
        <w:t xml:space="preserve"> سواء أقال الفدم أو القرم قد جعله من عسكر الملحدين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لكنكم ما أنتم على إثباته صفوا الجيوش وعبئوها وابرزوا للحرب واقتربوا من الفرسان فهم إلى لقياكم بالشوق كي يوفوا بنذرهم من القربان</w:t>
      </w:r>
      <w:r w:rsidR="00DB731D" w:rsidRPr="00A52585">
        <w:rPr>
          <w:rFonts w:hint="cs"/>
          <w:rtl/>
        </w:rPr>
        <w:t>،</w:t>
      </w:r>
      <w:r w:rsidR="00777DCB" w:rsidRPr="00A52585">
        <w:rPr>
          <w:rFonts w:hint="cs"/>
          <w:rtl/>
        </w:rPr>
        <w:t xml:space="preserve"> تباً لكم لو تستحون لكنتم خلف الخدور كأضعف النسوان</w:t>
      </w:r>
      <w:r w:rsidR="00DB731D" w:rsidRPr="00A52585">
        <w:rPr>
          <w:rFonts w:hint="cs"/>
          <w:rtl/>
        </w:rPr>
        <w:t>،</w:t>
      </w:r>
      <w:r w:rsidR="00777DCB" w:rsidRPr="00A52585">
        <w:rPr>
          <w:rFonts w:hint="cs"/>
          <w:rtl/>
        </w:rPr>
        <w:t xml:space="preserve"> من أين أنتم والحديث وأهله ما عندكم إلا الدعاوي والشكاوي وشهادات على البهتان هذا الذي والله نلنا منكم قبح الإله مناصبا ومآكلا قامت على البهتان والعدوان</w:t>
      </w:r>
      <w:r w:rsidRPr="00A52585">
        <w:rPr>
          <w:rFonts w:hint="cs"/>
          <w:rtl/>
        </w:rPr>
        <w:t>)</w:t>
      </w:r>
      <w:r w:rsidR="00DB731D" w:rsidRPr="00A52585">
        <w:rPr>
          <w:rFonts w:hint="cs"/>
          <w:rtl/>
        </w:rPr>
        <w:t>،</w:t>
      </w:r>
      <w:r w:rsidR="00777DCB" w:rsidRPr="00A52585">
        <w:rPr>
          <w:rFonts w:hint="cs"/>
          <w:rtl/>
        </w:rPr>
        <w:t xml:space="preserve"> أيكون أقبح من هذا الإغراء</w:t>
      </w:r>
      <w:r w:rsidR="00DB731D" w:rsidRPr="00A52585">
        <w:rPr>
          <w:rFonts w:hint="cs"/>
          <w:rtl/>
        </w:rPr>
        <w:t>،</w:t>
      </w:r>
      <w:r w:rsidR="00777DCB" w:rsidRPr="00A52585">
        <w:rPr>
          <w:rFonts w:hint="cs"/>
          <w:rtl/>
        </w:rPr>
        <w:t xml:space="preserve"> </w:t>
      </w:r>
    </w:p>
    <w:p w14:paraId="535C1328" w14:textId="1E61CB2D"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الهدنة بين المعطلة والاتحادية حزب </w:t>
      </w:r>
      <w:proofErr w:type="spellStart"/>
      <w:r w:rsidR="00777DCB" w:rsidRPr="00A52585">
        <w:rPr>
          <w:rFonts w:hint="cs"/>
          <w:rtl/>
        </w:rPr>
        <w:t>جنكسخان</w:t>
      </w:r>
      <w:proofErr w:type="spellEnd"/>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يا قوم صالحتم </w:t>
      </w:r>
      <w:proofErr w:type="spellStart"/>
      <w:r w:rsidR="00777DCB" w:rsidRPr="00A52585">
        <w:rPr>
          <w:rFonts w:hint="cs"/>
          <w:rtl/>
        </w:rPr>
        <w:t>نفاة</w:t>
      </w:r>
      <w:proofErr w:type="spellEnd"/>
      <w:r w:rsidR="00777DCB" w:rsidRPr="00A52585">
        <w:rPr>
          <w:rFonts w:hint="cs"/>
          <w:rtl/>
        </w:rPr>
        <w:t xml:space="preserve"> الذات ولأجل ذا كنتم مخانيثاً لهم</w:t>
      </w:r>
      <w:r w:rsidRPr="00A52585">
        <w:rPr>
          <w:rFonts w:hint="cs"/>
          <w:rtl/>
        </w:rPr>
        <w:t>)</w:t>
      </w:r>
      <w:r w:rsidR="00DB731D" w:rsidRPr="00A52585">
        <w:rPr>
          <w:rFonts w:hint="cs"/>
          <w:rtl/>
        </w:rPr>
        <w:t>،</w:t>
      </w:r>
      <w:r w:rsidR="00777DCB" w:rsidRPr="00A52585">
        <w:rPr>
          <w:rFonts w:hint="cs"/>
          <w:rtl/>
        </w:rPr>
        <w:t xml:space="preserve"> ينبغي أن يعرض عن كلام هذا المتخلف.</w:t>
      </w:r>
    </w:p>
    <w:p w14:paraId="0E57D301" w14:textId="3BEF6CFA"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في مصارع المعطلة بأسنة الموحدين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وإذا أردت ترى مصارع من خلا من أمة التعطيل وترى </w:t>
      </w:r>
      <w:proofErr w:type="spellStart"/>
      <w:r w:rsidR="00777DCB" w:rsidRPr="00A52585">
        <w:rPr>
          <w:rFonts w:hint="cs"/>
          <w:rtl/>
        </w:rPr>
        <w:t>وترى</w:t>
      </w:r>
      <w:proofErr w:type="spellEnd"/>
      <w:r w:rsidR="00777DCB" w:rsidRPr="00A52585">
        <w:rPr>
          <w:rFonts w:hint="cs"/>
          <w:rtl/>
        </w:rPr>
        <w:t xml:space="preserve"> </w:t>
      </w:r>
      <w:proofErr w:type="spellStart"/>
      <w:r w:rsidR="00777DCB" w:rsidRPr="00A52585">
        <w:rPr>
          <w:rFonts w:hint="cs"/>
          <w:rtl/>
        </w:rPr>
        <w:t>وترى</w:t>
      </w:r>
      <w:proofErr w:type="spellEnd"/>
      <w:r w:rsidR="00777DCB" w:rsidRPr="00A52585">
        <w:rPr>
          <w:rFonts w:hint="cs"/>
          <w:rtl/>
        </w:rPr>
        <w:t xml:space="preserve"> فاقرأ تصانيف الإمام حقيقة شيخ الوجود العالم الرباني أعني أبا العباس</w:t>
      </w:r>
      <w:r w:rsidRPr="00A52585">
        <w:rPr>
          <w:rFonts w:hint="cs"/>
          <w:sz w:val="24"/>
          <w:szCs w:val="24"/>
          <w:rtl/>
        </w:rPr>
        <w:t xml:space="preserve"> [</w:t>
      </w:r>
      <w:r w:rsidR="00777DCB" w:rsidRPr="00A52585">
        <w:rPr>
          <w:rFonts w:hint="cs"/>
          <w:sz w:val="24"/>
          <w:szCs w:val="24"/>
          <w:rtl/>
        </w:rPr>
        <w:t xml:space="preserve">قال </w:t>
      </w:r>
      <w:r w:rsidR="00777DCB" w:rsidRPr="00A52585">
        <w:rPr>
          <w:rFonts w:hint="cs"/>
          <w:sz w:val="24"/>
          <w:szCs w:val="24"/>
          <w:rtl/>
        </w:rPr>
        <w:lastRenderedPageBreak/>
        <w:t>المحقق</w:t>
      </w:r>
      <w:r w:rsidRPr="00A52585">
        <w:rPr>
          <w:rFonts w:hint="cs"/>
          <w:sz w:val="24"/>
          <w:szCs w:val="24"/>
          <w:rtl/>
        </w:rPr>
        <w:t xml:space="preserve">: </w:t>
      </w:r>
      <w:r w:rsidR="00777DCB" w:rsidRPr="00A52585">
        <w:rPr>
          <w:rFonts w:hint="cs"/>
          <w:sz w:val="24"/>
          <w:szCs w:val="24"/>
          <w:rtl/>
        </w:rPr>
        <w:t>وعن هذا الشيخ الذي يطريه الناظم يقول صاحب الدرة المضية</w:t>
      </w:r>
      <w:r w:rsidRPr="00A52585">
        <w:rPr>
          <w:rFonts w:hint="cs"/>
          <w:sz w:val="24"/>
          <w:szCs w:val="24"/>
          <w:rtl/>
        </w:rPr>
        <w:t>:</w:t>
      </w:r>
      <w:r w:rsidR="00777DCB" w:rsidRPr="00A52585">
        <w:rPr>
          <w:rFonts w:hint="cs"/>
          <w:sz w:val="24"/>
          <w:szCs w:val="24"/>
          <w:rtl/>
        </w:rPr>
        <w:t xml:space="preserve"> " قد أحدث ابن تيمية ما أحدث في أصول العقائد ونقض من دعائم الإسلام الأركان والمعاقد، بعد أن كان متستراً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والتراكيب في الذات المقدسة, وبأن الافتقار إلى الجزء ليس بمحال, وقال بحلول الحوادث بذات الله تعالى وأن القرآن محدث تكلم الله بعد أن لم يكن وأنه يتكلم ويسكت ويحدث في ذاته الإرادات بحسب المخلوقات، وتعدى في ذلك إلى استلزام قدم العالم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w:t>
      </w:r>
      <w:proofErr w:type="spellStart"/>
      <w:r w:rsidR="00777DCB" w:rsidRPr="00A52585">
        <w:rPr>
          <w:rFonts w:hint="cs"/>
          <w:sz w:val="24"/>
          <w:szCs w:val="24"/>
          <w:rtl/>
        </w:rPr>
        <w:t>حوققوا</w:t>
      </w:r>
      <w:proofErr w:type="spellEnd"/>
      <w:r w:rsidR="00777DCB" w:rsidRPr="00A52585">
        <w:rPr>
          <w:rFonts w:hint="cs"/>
          <w:sz w:val="24"/>
          <w:szCs w:val="24"/>
          <w:rtl/>
        </w:rPr>
        <w:t xml:space="preserve"> في ذلك أنكروه. وأما ما أحدثه في الفروع فأمر قد عمت به البلوى.. وقد بث دعاته في أقطار الأرض لنشر دعوته الخبيثة وأضل بذلك جماعة من العوام ومن العرب والفلاحين.. ولبس عليهم.. اهـ "</w:t>
      </w:r>
      <w:r w:rsidR="00DB731D" w:rsidRPr="00A52585">
        <w:rPr>
          <w:rFonts w:hint="cs"/>
          <w:sz w:val="24"/>
          <w:szCs w:val="24"/>
          <w:rtl/>
        </w:rPr>
        <w:t>،</w:t>
      </w:r>
      <w:r w:rsidR="00777DCB" w:rsidRPr="00A52585">
        <w:rPr>
          <w:rFonts w:hint="cs"/>
          <w:sz w:val="24"/>
          <w:szCs w:val="24"/>
          <w:rtl/>
        </w:rPr>
        <w:t xml:space="preserve"> والدرة المضية هذه مطبوعة ضمن المجموعة </w:t>
      </w:r>
      <w:proofErr w:type="spellStart"/>
      <w:r w:rsidR="00777DCB" w:rsidRPr="00A52585">
        <w:rPr>
          <w:rFonts w:hint="cs"/>
          <w:sz w:val="24"/>
          <w:szCs w:val="24"/>
          <w:rtl/>
        </w:rPr>
        <w:t>السبكية</w:t>
      </w:r>
      <w:proofErr w:type="spellEnd"/>
      <w:r w:rsidR="00777DCB" w:rsidRPr="00A52585">
        <w:rPr>
          <w:rFonts w:hint="cs"/>
          <w:sz w:val="24"/>
          <w:szCs w:val="24"/>
          <w:rtl/>
        </w:rPr>
        <w:t xml:space="preserve"> ونسخة مخطوطة منها موجودة في مكتبة أيا صوفيا في </w:t>
      </w:r>
      <w:proofErr w:type="spellStart"/>
      <w:r w:rsidR="00777DCB" w:rsidRPr="00A52585">
        <w:rPr>
          <w:rFonts w:hint="cs"/>
          <w:sz w:val="24"/>
          <w:szCs w:val="24"/>
          <w:rtl/>
        </w:rPr>
        <w:t>اصطنبول</w:t>
      </w:r>
      <w:proofErr w:type="spellEnd"/>
      <w:r w:rsidR="00777DCB" w:rsidRPr="00A52585">
        <w:rPr>
          <w:rFonts w:hint="cs"/>
          <w:sz w:val="24"/>
          <w:szCs w:val="24"/>
          <w:rtl/>
        </w:rPr>
        <w:t xml:space="preserve">. ومثل هذا الضال المضل اتخذه الناظم قدوة في فتنه عاملهما الله تعالى بعدله. ولم يكن بغض علماء أهل الحق لهما إلا بغضا في الله شأنهم مع كل زائغ، ومن حمل ذلك على الحسد لم يعرف سيرة الرادين عليه ولا مبلغ زيغ الناظم وشيخه فمثل هذا القول </w:t>
      </w:r>
      <w:proofErr w:type="spellStart"/>
      <w:r w:rsidR="00777DCB" w:rsidRPr="00A52585">
        <w:rPr>
          <w:rFonts w:hint="cs"/>
          <w:sz w:val="24"/>
          <w:szCs w:val="24"/>
          <w:rtl/>
        </w:rPr>
        <w:t>ينبيء</w:t>
      </w:r>
      <w:proofErr w:type="spellEnd"/>
      <w:r w:rsidR="00777DCB" w:rsidRPr="00A52585">
        <w:rPr>
          <w:rFonts w:hint="cs"/>
          <w:sz w:val="24"/>
          <w:szCs w:val="24"/>
          <w:rtl/>
        </w:rPr>
        <w:t xml:space="preserve"> عن جهل قائله أو زيغه</w:t>
      </w:r>
      <w:r w:rsidRPr="00A52585">
        <w:rPr>
          <w:rFonts w:hint="cs"/>
          <w:sz w:val="24"/>
          <w:szCs w:val="24"/>
          <w:rtl/>
        </w:rPr>
        <w:t>]</w:t>
      </w:r>
      <w:r w:rsidR="00DB731D" w:rsidRPr="00A52585">
        <w:rPr>
          <w:rFonts w:hint="cs"/>
          <w:rtl/>
        </w:rPr>
        <w:t>،</w:t>
      </w:r>
      <w:r w:rsidR="00777DCB" w:rsidRPr="00A52585">
        <w:rPr>
          <w:rFonts w:hint="cs"/>
          <w:rtl/>
        </w:rPr>
        <w:t xml:space="preserve"> واقرأ</w:t>
      </w:r>
      <w:r w:rsidRPr="00A52585">
        <w:rPr>
          <w:rFonts w:hint="cs"/>
          <w:rtl/>
        </w:rPr>
        <w:t xml:space="preserve"> </w:t>
      </w:r>
      <w:r w:rsidR="00777DCB" w:rsidRPr="00A52585">
        <w:rPr>
          <w:rFonts w:hint="cs"/>
          <w:rtl/>
        </w:rPr>
        <w:t>كتاب العقل</w:t>
      </w:r>
      <w:r w:rsidR="00DB731D" w:rsidRPr="00A52585">
        <w:rPr>
          <w:rFonts w:hint="cs"/>
          <w:rtl/>
        </w:rPr>
        <w:t>،</w:t>
      </w:r>
      <w:r w:rsidR="00777DCB" w:rsidRPr="00A52585">
        <w:rPr>
          <w:rFonts w:hint="cs"/>
          <w:rtl/>
        </w:rPr>
        <w:t xml:space="preserve"> والنقل</w:t>
      </w:r>
      <w:r w:rsidR="00DB731D" w:rsidRPr="00A52585">
        <w:rPr>
          <w:rFonts w:hint="cs"/>
          <w:rtl/>
        </w:rPr>
        <w:t>،</w:t>
      </w:r>
      <w:r w:rsidR="00777DCB" w:rsidRPr="00A52585">
        <w:rPr>
          <w:rFonts w:hint="cs"/>
          <w:rtl/>
        </w:rPr>
        <w:t xml:space="preserve"> والمنهاج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مطبوع في هامش منهاجه، وأما "التأسيس في رد أساس التقديس" فقد فضح ابن تيمية به نفسه وهو في ضمن الكواكب </w:t>
      </w:r>
      <w:proofErr w:type="spellStart"/>
      <w:r w:rsidR="00777DCB" w:rsidRPr="00A52585">
        <w:rPr>
          <w:rFonts w:hint="cs"/>
          <w:sz w:val="24"/>
          <w:szCs w:val="24"/>
          <w:rtl/>
        </w:rPr>
        <w:t>الدراري</w:t>
      </w:r>
      <w:proofErr w:type="spellEnd"/>
      <w:r w:rsidR="00777DCB" w:rsidRPr="00A52585">
        <w:rPr>
          <w:rFonts w:hint="cs"/>
          <w:sz w:val="24"/>
          <w:szCs w:val="24"/>
          <w:rtl/>
        </w:rPr>
        <w:t xml:space="preserve"> لابن زكنون الحنبلي في المجلدات (رقم 24 و25 و26) بظاهرية دمشق وقد سبق أن وصفت الكواكب فيما علقته على المصعد الأحمد لابن الجزري فلو قام بطبع التأسيس أحدهم لما بقى من أهل البسيطة أحد لم يعلم دخائل ابن تيمية. وقد نقلت منه نصوصا كثيرة فيما علقت على هذا الكتاب كما سبق في مواضع على أن مبلغ زيغه ظاهر من الكتابين المذكورين لمن ألقى السمع وهو شهيد، ويتبجح بهما هذا الزائغ كتبجحه بالتأسيس، هكذا شأن مقلدة الزائغين يثنون على الزيغ ويزدادون غواية. وقد أشرت إلى بعض ما في منهاجه ومعقولة في " الإشفاق على أحكام الطلاق " فليراجع هناك</w:t>
      </w:r>
      <w:r w:rsidRPr="00A52585">
        <w:rPr>
          <w:rFonts w:hint="cs"/>
          <w:sz w:val="24"/>
          <w:szCs w:val="24"/>
          <w:rtl/>
        </w:rPr>
        <w:t>]</w:t>
      </w:r>
      <w:r w:rsidR="00DB731D" w:rsidRPr="00A52585">
        <w:rPr>
          <w:rFonts w:hint="cs"/>
          <w:sz w:val="24"/>
          <w:rtl/>
        </w:rPr>
        <w:t>،</w:t>
      </w:r>
      <w:r w:rsidR="00777DCB" w:rsidRPr="00A52585">
        <w:rPr>
          <w:rFonts w:hint="cs"/>
          <w:rtl/>
        </w:rPr>
        <w:t xml:space="preserve"> والتأسيس وغيرها وقرأت أكثرها عليه فزادني -</w:t>
      </w:r>
      <w:r w:rsidRPr="00A52585">
        <w:rPr>
          <w:rFonts w:hint="cs"/>
          <w:rtl/>
        </w:rPr>
        <w:t xml:space="preserve"> </w:t>
      </w:r>
      <w:r w:rsidR="00777DCB" w:rsidRPr="00A52585">
        <w:rPr>
          <w:rFonts w:hint="cs"/>
          <w:rtl/>
        </w:rPr>
        <w:t>والله -</w:t>
      </w:r>
      <w:r w:rsidRPr="00A52585">
        <w:rPr>
          <w:rFonts w:hint="cs"/>
          <w:rtl/>
        </w:rPr>
        <w:t xml:space="preserve"> </w:t>
      </w:r>
      <w:r w:rsidR="00777DCB" w:rsidRPr="00A52585">
        <w:rPr>
          <w:rFonts w:hint="cs"/>
          <w:rtl/>
        </w:rPr>
        <w:t>في علم وفي إيمان</w:t>
      </w:r>
      <w:r w:rsidR="00DB731D" w:rsidRPr="00A52585">
        <w:rPr>
          <w:rFonts w:hint="cs"/>
          <w:rtl/>
        </w:rPr>
        <w:t>،</w:t>
      </w:r>
      <w:r w:rsidR="00777DCB" w:rsidRPr="00A52585">
        <w:rPr>
          <w:rFonts w:hint="cs"/>
          <w:rtl/>
        </w:rPr>
        <w:t xml:space="preserve"> هذا ولو حدثت أنه قبلي يموت لكان غير الشأن وله المقامات الشهيرة أبدى فضائحهم وبين جهلهم وأصارهم تحت نعال أهل الحق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كلا بل فضح نفسه وأذنابه وقادته وأصارهم تحت نعال أهل الحق بجهله وخرقه ولم يزل ينقل من محبس إلى محبس ومن هوان إلى هوان حتى أفضى إلى ما عمل وخلف </w:t>
      </w:r>
      <w:proofErr w:type="spellStart"/>
      <w:r w:rsidR="00777DCB" w:rsidRPr="00A52585">
        <w:rPr>
          <w:rFonts w:hint="cs"/>
          <w:sz w:val="24"/>
          <w:szCs w:val="24"/>
          <w:rtl/>
        </w:rPr>
        <w:t>شواذه</w:t>
      </w:r>
      <w:proofErr w:type="spellEnd"/>
      <w:r w:rsidR="00777DCB" w:rsidRPr="00A52585">
        <w:rPr>
          <w:rFonts w:hint="cs"/>
          <w:sz w:val="24"/>
          <w:szCs w:val="24"/>
          <w:rtl/>
        </w:rPr>
        <w:t xml:space="preserve"> وصمة الأبد، لكن قاتل الله الوقاحة تحاول قلب الحقائق</w:t>
      </w:r>
      <w:r w:rsidRPr="00A52585">
        <w:rPr>
          <w:rFonts w:hint="cs"/>
          <w:sz w:val="24"/>
          <w:szCs w:val="24"/>
          <w:rtl/>
        </w:rPr>
        <w:t>]</w:t>
      </w:r>
      <w:r w:rsidR="00DB731D" w:rsidRPr="00A52585">
        <w:rPr>
          <w:rFonts w:hint="cs"/>
          <w:sz w:val="24"/>
          <w:szCs w:val="24"/>
          <w:rtl/>
        </w:rPr>
        <w:t>،</w:t>
      </w:r>
      <w:r w:rsidR="00777DCB" w:rsidRPr="00A52585">
        <w:rPr>
          <w:rFonts w:hint="cs"/>
          <w:rtl/>
        </w:rPr>
        <w:t xml:space="preserve"> كانت نواصينا بأيديهم فصارت نواصيهم بأيدينا وغدت ملوكهم مماليكاً والفدم يوحشنا وليس هنا كم فحضوره </w:t>
      </w:r>
      <w:proofErr w:type="spellStart"/>
      <w:r w:rsidR="00777DCB" w:rsidRPr="00A52585">
        <w:rPr>
          <w:rFonts w:hint="cs"/>
          <w:rtl/>
        </w:rPr>
        <w:t>ومغيبه</w:t>
      </w:r>
      <w:proofErr w:type="spellEnd"/>
      <w:r w:rsidR="00777DCB" w:rsidRPr="00A52585">
        <w:rPr>
          <w:rFonts w:hint="cs"/>
          <w:rtl/>
        </w:rPr>
        <w:t xml:space="preserve"> سيان</w:t>
      </w:r>
      <w:r w:rsidRPr="00A52585">
        <w:rPr>
          <w:rFonts w:hint="cs"/>
          <w:rtl/>
        </w:rPr>
        <w:t>)</w:t>
      </w:r>
      <w:r w:rsidR="00DB731D" w:rsidRPr="00A52585">
        <w:rPr>
          <w:rFonts w:hint="cs"/>
          <w:rtl/>
        </w:rPr>
        <w:t>،</w:t>
      </w:r>
      <w:r w:rsidR="00777DCB" w:rsidRPr="00A52585">
        <w:rPr>
          <w:rFonts w:hint="cs"/>
          <w:rtl/>
        </w:rPr>
        <w:t xml:space="preserve"> وهذا الفصل تسعون بيتا ماذا تضمن من الكذب الذي يدل على أن قائله خرق جلباب الحياء</w:t>
      </w:r>
      <w:r w:rsidR="00DB731D" w:rsidRPr="00A52585">
        <w:rPr>
          <w:rFonts w:hint="cs"/>
          <w:rtl/>
        </w:rPr>
        <w:t>،</w:t>
      </w:r>
      <w:r w:rsidR="00777DCB" w:rsidRPr="00A52585">
        <w:rPr>
          <w:rFonts w:hint="cs"/>
          <w:rtl/>
        </w:rPr>
        <w:t xml:space="preserve"> </w:t>
      </w:r>
    </w:p>
    <w:p w14:paraId="5A468F4D" w14:textId="1903EBAC"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يزيد على مائة وعشرين بيتا مما يهيج ويوقع العداوة وليس فيه قط إفادة</w:t>
      </w:r>
      <w:r w:rsidR="00DB731D" w:rsidRPr="00A52585">
        <w:rPr>
          <w:rFonts w:hint="cs"/>
          <w:rtl/>
        </w:rPr>
        <w:t>،</w:t>
      </w:r>
      <w:r w:rsidR="00777DCB" w:rsidRPr="00A52585">
        <w:rPr>
          <w:rFonts w:hint="cs"/>
          <w:rtl/>
        </w:rPr>
        <w:t xml:space="preserve"> </w:t>
      </w:r>
    </w:p>
    <w:p w14:paraId="5FF450D1" w14:textId="57FFDAEC" w:rsidR="00777DCB" w:rsidRPr="00A52585" w:rsidRDefault="0002035C" w:rsidP="0002035C">
      <w:pPr>
        <w:spacing w:after="240"/>
        <w:rPr>
          <w:b/>
          <w:sz w:val="24"/>
          <w:szCs w:val="24"/>
          <w:rtl/>
        </w:rPr>
      </w:pPr>
      <w:r w:rsidRPr="00A52585">
        <w:rPr>
          <w:rFonts w:hint="cs"/>
          <w:bCs/>
          <w:rtl/>
        </w:rPr>
        <w:lastRenderedPageBreak/>
        <w:t>[</w:t>
      </w:r>
      <w:r w:rsidR="00777DCB" w:rsidRPr="00A52585">
        <w:rPr>
          <w:rFonts w:hint="cs"/>
          <w:bCs/>
          <w:rtl/>
        </w:rPr>
        <w:t>فصـــــــــل</w:t>
      </w:r>
      <w:r w:rsidRPr="00A52585">
        <w:rPr>
          <w:rFonts w:hint="cs"/>
          <w:bCs/>
          <w:rtl/>
        </w:rPr>
        <w:t>]:</w:t>
      </w:r>
      <w:r w:rsidR="00777DCB" w:rsidRPr="00A52585">
        <w:rPr>
          <w:rFonts w:hint="cs"/>
          <w:rtl/>
        </w:rPr>
        <w:t xml:space="preserve"> في كسر الطاغوت الذي نفوا به الصفات</w:t>
      </w:r>
      <w:r w:rsidRPr="00A52585">
        <w:rPr>
          <w:rFonts w:hint="cs"/>
          <w:rtl/>
        </w:rPr>
        <w:t>:</w:t>
      </w:r>
      <w:r w:rsidR="00777DCB" w:rsidRPr="00A52585">
        <w:rPr>
          <w:rFonts w:hint="cs"/>
          <w:rtl/>
        </w:rPr>
        <w:t xml:space="preserve"> ثمانية وثمانون بيتا كلها تهييج وإشلاء وسفاهة.</w:t>
      </w:r>
      <w:r w:rsidR="00DB731D" w:rsidRPr="00A52585">
        <w:rPr>
          <w:rFonts w:hint="cs"/>
          <w:rtl/>
        </w:rPr>
        <w:t>،</w:t>
      </w:r>
      <w:r w:rsidR="00777DCB" w:rsidRPr="00A52585">
        <w:rPr>
          <w:rFonts w:hint="cs"/>
          <w:rtl/>
        </w:rPr>
        <w:t xml:space="preserve"> من جملتها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فتعين الإلزام حينئذ على قول الرسول ومحكم القرآن</w:t>
      </w:r>
      <w:r w:rsidR="00DB731D" w:rsidRPr="00A52585">
        <w:rPr>
          <w:rFonts w:hint="cs"/>
          <w:rtl/>
        </w:rPr>
        <w:t>،</w:t>
      </w:r>
      <w:r w:rsidR="00777DCB" w:rsidRPr="00A52585">
        <w:rPr>
          <w:rFonts w:hint="cs"/>
          <w:rtl/>
        </w:rPr>
        <w:t xml:space="preserve"> وجعلتـم أتباعـه </w:t>
      </w:r>
      <w:proofErr w:type="spellStart"/>
      <w:r w:rsidR="00777DCB" w:rsidRPr="00A52585">
        <w:rPr>
          <w:rFonts w:hint="cs"/>
          <w:rtl/>
        </w:rPr>
        <w:t>مانسترا</w:t>
      </w:r>
      <w:proofErr w:type="spellEnd"/>
      <w:r w:rsidR="00777DCB" w:rsidRPr="00A52585">
        <w:rPr>
          <w:rFonts w:hint="cs"/>
          <w:rtl/>
        </w:rPr>
        <w:t xml:space="preserve"> خوفـاً من التصريــح بالكفران</w:t>
      </w:r>
      <w:r w:rsidR="00DB731D" w:rsidRPr="00A52585">
        <w:rPr>
          <w:rFonts w:hint="cs"/>
          <w:rtl/>
        </w:rPr>
        <w:t>،</w:t>
      </w:r>
      <w:r w:rsidR="00777DCB" w:rsidRPr="00A52585">
        <w:rPr>
          <w:rFonts w:hint="cs"/>
          <w:rtl/>
        </w:rPr>
        <w:t xml:space="preserve"> والله ما قلنا</w:t>
      </w:r>
      <w:r w:rsidRPr="00A52585">
        <w:rPr>
          <w:rFonts w:hint="cs"/>
          <w:rtl/>
        </w:rPr>
        <w:t xml:space="preserve"> </w:t>
      </w:r>
      <w:r w:rsidR="00777DCB" w:rsidRPr="00A52585">
        <w:rPr>
          <w:rFonts w:hint="cs"/>
          <w:rtl/>
        </w:rPr>
        <w:t>سوى ما قاله فجعلتمونا جنة والقصد مفهوم فنحن وقاية القرآن</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اتق الله لا تحلف به كذباً</w:t>
      </w:r>
      <w:r w:rsidR="00F95886" w:rsidRPr="00A52585">
        <w:rPr>
          <w:rFonts w:hint="cs"/>
          <w:sz w:val="24"/>
          <w:szCs w:val="24"/>
          <w:rtl/>
        </w:rPr>
        <w:t>!</w:t>
      </w:r>
      <w:r w:rsidR="00777DCB" w:rsidRPr="00A52585">
        <w:rPr>
          <w:rFonts w:hint="cs"/>
          <w:sz w:val="24"/>
          <w:szCs w:val="24"/>
          <w:rtl/>
        </w:rPr>
        <w:t xml:space="preserve">! هذا الكذب المكشوف أين قال الله أو قال رسوله صلى الله عليه وسلم إن الله متمكن على العرش تمكن استقرار أو إن من لم يقل ذلك معطل ملحد وإنه في جهة العلو من رءوس العباد أو إنه تكلم بحرف وصوت إلى آخر تلك </w:t>
      </w:r>
      <w:proofErr w:type="spellStart"/>
      <w:r w:rsidR="00777DCB" w:rsidRPr="00A52585">
        <w:rPr>
          <w:rFonts w:hint="cs"/>
          <w:sz w:val="24"/>
          <w:szCs w:val="24"/>
          <w:rtl/>
        </w:rPr>
        <w:t>المخازي</w:t>
      </w:r>
      <w:proofErr w:type="spellEnd"/>
      <w:r w:rsidR="00777DCB" w:rsidRPr="00A52585">
        <w:rPr>
          <w:rFonts w:hint="cs"/>
          <w:sz w:val="24"/>
          <w:szCs w:val="24"/>
          <w:rtl/>
        </w:rPr>
        <w:t xml:space="preserve"> أو أين قال الله أو قال رسوله صلى الله عليه وسلم إن المنـزهين لله من المادة والماديات والجسم والجسمانيات من حزب </w:t>
      </w:r>
      <w:proofErr w:type="spellStart"/>
      <w:r w:rsidR="00777DCB" w:rsidRPr="00A52585">
        <w:rPr>
          <w:rFonts w:hint="cs"/>
          <w:sz w:val="24"/>
          <w:szCs w:val="24"/>
          <w:rtl/>
        </w:rPr>
        <w:t>جنكزخان</w:t>
      </w:r>
      <w:proofErr w:type="spellEnd"/>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ما يحسن أن يتخيل أحد في مسلم أنه يقصد الرد على القرآن والرسول</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لو نشرت لكم أشياخكم عجزوا</w:t>
      </w:r>
      <w:r w:rsidR="00DB731D" w:rsidRPr="00A52585">
        <w:rPr>
          <w:rFonts w:hint="cs"/>
          <w:rtl/>
        </w:rPr>
        <w:t>،</w:t>
      </w:r>
      <w:r w:rsidR="00777DCB" w:rsidRPr="00A52585">
        <w:rPr>
          <w:rFonts w:hint="cs"/>
          <w:rtl/>
        </w:rPr>
        <w:t xml:space="preserve"> إن كنتم فحولاً فابرزوا ودعوا الشكاوي حيلة النسوان</w:t>
      </w:r>
      <w:r w:rsidR="00DB731D" w:rsidRPr="00A52585">
        <w:rPr>
          <w:rFonts w:hint="cs"/>
          <w:rtl/>
        </w:rPr>
        <w:t>،</w:t>
      </w:r>
      <w:r w:rsidR="00777DCB" w:rsidRPr="00A52585">
        <w:rPr>
          <w:rFonts w:hint="cs"/>
          <w:rtl/>
        </w:rPr>
        <w:t xml:space="preserve"> وإذا اشتكيتم فاجعلوا الشكوى إلى الوحيين لا القاضي ولا السلطان</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إن كان يريد بهما الكتاب والسنة فقد ظهر ظهوراً لا مزيد عليه بما بسطناه في هذا الكتاب من تحاكمنا إليهما أننا على الحق وخصومنا على الزيغ والضلال المبين. وإن كان يريد بهما وحي شياطين الجن ووحي شياطين الإنس على ما هو الظاهر من </w:t>
      </w:r>
      <w:proofErr w:type="spellStart"/>
      <w:r w:rsidR="00777DCB" w:rsidRPr="00A52585">
        <w:rPr>
          <w:rFonts w:hint="cs"/>
          <w:sz w:val="24"/>
          <w:szCs w:val="24"/>
          <w:rtl/>
        </w:rPr>
        <w:t>تلبيساته</w:t>
      </w:r>
      <w:proofErr w:type="spellEnd"/>
      <w:r w:rsidR="00777DCB" w:rsidRPr="00A52585">
        <w:rPr>
          <w:rFonts w:hint="cs"/>
          <w:sz w:val="24"/>
          <w:szCs w:val="24"/>
          <w:rtl/>
        </w:rPr>
        <w:t xml:space="preserve"> فلسنا نتحاكم معه إلى الطواغيت </w:t>
      </w:r>
      <w:r w:rsidRPr="00A52585">
        <w:rPr>
          <w:rFonts w:hint="cs"/>
          <w:sz w:val="24"/>
          <w:szCs w:val="24"/>
          <w:rtl/>
        </w:rPr>
        <w:t>{</w:t>
      </w:r>
      <w:r w:rsidR="00777DCB" w:rsidRPr="00A52585">
        <w:rPr>
          <w:rFonts w:hint="cs"/>
          <w:sz w:val="24"/>
          <w:szCs w:val="24"/>
          <w:rtl/>
        </w:rPr>
        <w:t>وسيعلم الذين ظلموا أي منقلب</w:t>
      </w:r>
      <w:r w:rsidRPr="00A52585">
        <w:rPr>
          <w:rFonts w:hint="cs"/>
          <w:sz w:val="24"/>
          <w:szCs w:val="24"/>
          <w:rtl/>
        </w:rPr>
        <w:t>} [</w:t>
      </w:r>
      <w:r w:rsidR="00777DCB" w:rsidRPr="00A52585">
        <w:rPr>
          <w:rFonts w:hint="cs"/>
          <w:sz w:val="24"/>
          <w:szCs w:val="24"/>
          <w:rtl/>
        </w:rPr>
        <w:t>الشعراء</w:t>
      </w:r>
      <w:r w:rsidRPr="00A52585">
        <w:rPr>
          <w:rFonts w:hint="cs"/>
          <w:sz w:val="24"/>
          <w:szCs w:val="24"/>
          <w:rtl/>
        </w:rPr>
        <w:t>:</w:t>
      </w:r>
      <w:r w:rsidR="00777DCB" w:rsidRPr="00A52585">
        <w:rPr>
          <w:rFonts w:hint="cs"/>
          <w:sz w:val="24"/>
          <w:szCs w:val="24"/>
          <w:rtl/>
        </w:rPr>
        <w:t xml:space="preserve"> 227] ولا بأس أن أهمس في أذنه وآذان أشياعه أنه لم يبق في غالب البلاد سلطان لأحكام الشرع يخاف الفاتنون جانبه بسبب تلك الفتن الدامية التي كانت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يثيرونها على طول القرون في أخطر أيام الإسلام حتى تركوا الشرع لا سلطان له إلا على قلوب المسلمين حقاً وأصبح الإسلام بالحالة التي نـراها والله سبحانه وتعالى ينتقم من هؤلاء الفاتنين الدائبين على السعي في تفريق كلمة المسلمين وتوهين سلطان الدين وأعاد إلى الدين سلطانه، إنه قريب مجيب</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3ACD4595" w14:textId="2147C193"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 xml:space="preserve">: </w:t>
      </w:r>
      <w:r w:rsidR="00777DCB" w:rsidRPr="00A52585">
        <w:rPr>
          <w:rFonts w:hint="cs"/>
          <w:rtl/>
        </w:rPr>
        <w:t>في مبدأ العداوة بين الموحدين والمعطلين</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قوم تدرون العداوة بيننا من أجل ماذا</w:t>
      </w:r>
      <w:r w:rsidR="00F95886" w:rsidRPr="00A52585">
        <w:rPr>
          <w:rFonts w:hint="cs"/>
          <w:rtl/>
        </w:rPr>
        <w:t>؟</w:t>
      </w:r>
      <w:r w:rsidR="00777DCB" w:rsidRPr="00A52585">
        <w:rPr>
          <w:rFonts w:hint="cs"/>
          <w:rtl/>
        </w:rPr>
        <w:t xml:space="preserve"> إنا تحيزنا إلى القرآن والنقل الصحيح والعقل الصريح فاشتد ذاك الحرب بين فريقنا وفريقكم وتأصلت تلك العداوة من يوم أمر إبليس بالسجود فأتى التلاميذ الوقاح فانظر إلى ميراثهم ذا الشيخ هذا الذي ألقى العداوة بيننا</w:t>
      </w:r>
      <w:r w:rsidRPr="00A52585">
        <w:rPr>
          <w:rFonts w:hint="cs"/>
          <w:rtl/>
        </w:rPr>
        <w:t>)</w:t>
      </w:r>
      <w:r w:rsidR="00DB731D" w:rsidRPr="00A52585">
        <w:rPr>
          <w:rFonts w:hint="cs"/>
          <w:rtl/>
        </w:rPr>
        <w:t>،</w:t>
      </w:r>
      <w:r w:rsidR="00777DCB" w:rsidRPr="00A52585">
        <w:rPr>
          <w:rFonts w:hint="cs"/>
          <w:rtl/>
        </w:rPr>
        <w:t xml:space="preserve"> </w:t>
      </w:r>
    </w:p>
    <w:p w14:paraId="6FF32EEE" w14:textId="4931D56A" w:rsidR="00777DCB" w:rsidRPr="00A52585" w:rsidRDefault="0002035C" w:rsidP="0002035C">
      <w:pPr>
        <w:spacing w:after="240"/>
        <w:rPr>
          <w:b/>
          <w:sz w:val="24"/>
          <w:szCs w:val="24"/>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أن التعطيل أساس الزندقة</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من قال إن الله ليس بفاعل فعلا يقوم به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كم يكرر الناظم قيام الفعل به تعالى وهو الذي دعاه وشيخه إلى القول بحوادث لا أول لها وهذا من الخطورة بمكان، قال الإمام أبو منصور عبد القاهر في" أصول الدين"</w:t>
      </w:r>
      <w:r w:rsidRPr="00A52585">
        <w:rPr>
          <w:rFonts w:hint="cs"/>
          <w:sz w:val="24"/>
          <w:szCs w:val="24"/>
          <w:rtl/>
        </w:rPr>
        <w:t>:</w:t>
      </w:r>
      <w:r w:rsidR="00777DCB" w:rsidRPr="00A52585">
        <w:rPr>
          <w:rFonts w:hint="cs"/>
          <w:sz w:val="24"/>
          <w:szCs w:val="24"/>
          <w:rtl/>
        </w:rPr>
        <w:t>" وأما جسمية خراسان من الكرامية فتكفيرهم واجب لقولهم بأن الله له حد ونهاية من جهة السفل، ومنها يماس عرشه ولقولهم بأن الله محل للحوادث إنما يرى الشيء برؤية تحدث فيه ويدرك ما يسمعه بإدراك يحدث فهي ولو لا حدوث الإدراك به لم يكن مدركا لصوت ولا مدركا لمرئي. وقد أفسدوا بإجازة حلول الحوادث في ذات الله تعالى لأنفسهم دلالة الموحدين على حدوث الأجسام بحلول الحوادث اهـ". وأنت عرفت مذهب الناظم في تلك المسائل</w:t>
      </w:r>
      <w:r w:rsidRPr="00A52585">
        <w:rPr>
          <w:rFonts w:hint="cs"/>
          <w:sz w:val="24"/>
          <w:szCs w:val="24"/>
          <w:rtl/>
        </w:rPr>
        <w:t>]</w:t>
      </w:r>
      <w:r w:rsidR="00DB731D" w:rsidRPr="00A52585">
        <w:rPr>
          <w:rFonts w:hint="cs"/>
          <w:sz w:val="24"/>
          <w:rtl/>
        </w:rPr>
        <w:t>،</w:t>
      </w:r>
      <w:r w:rsidR="00777DCB" w:rsidRPr="00A52585">
        <w:rPr>
          <w:rFonts w:hint="cs"/>
          <w:rtl/>
        </w:rPr>
        <w:t xml:space="preserve"> وليس أمره قائماً به وليس فوق عباده</w:t>
      </w:r>
      <w:r w:rsidR="00DB731D" w:rsidRPr="00A52585">
        <w:rPr>
          <w:rFonts w:hint="cs"/>
          <w:rtl/>
        </w:rPr>
        <w:t>،</w:t>
      </w:r>
      <w:r w:rsidR="00777DCB" w:rsidRPr="00A52585">
        <w:rPr>
          <w:rFonts w:hint="cs"/>
          <w:rtl/>
        </w:rPr>
        <w:t xml:space="preserve"> فثلاثة لا تبقي من الإيمان حبة </w:t>
      </w:r>
      <w:r w:rsidR="00777DCB" w:rsidRPr="00A52585">
        <w:rPr>
          <w:rFonts w:hint="cs"/>
          <w:rtl/>
        </w:rPr>
        <w:lastRenderedPageBreak/>
        <w:t>خردل وقد استراح من القرآن والرسول وشريعة الإسلام وتمام ذاك جحوده للصفات وتمامه الإرجاء وتمامه قوله في المعاد</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ثم قال</w:t>
      </w:r>
      <w:r w:rsidRPr="00A52585">
        <w:rPr>
          <w:rFonts w:hint="cs"/>
          <w:sz w:val="24"/>
          <w:szCs w:val="24"/>
          <w:rtl/>
        </w:rPr>
        <w:t>:</w:t>
      </w:r>
      <w:r w:rsidR="00777DCB" w:rsidRPr="00A52585">
        <w:rPr>
          <w:rFonts w:hint="cs"/>
          <w:sz w:val="24"/>
          <w:szCs w:val="24"/>
          <w:rtl/>
        </w:rPr>
        <w:t xml:space="preserve"> (وتمام هذا قولكم بفناء دار الخلد فالداران فانيتان) مع أن الناظم يقول في كثير من كتبه بنفي الخلود للكفار في النار وبهذا حكم على نفسه بالكفر. انظر كلامه فيمن لا يرى قيام الحوادث بالله والفوقية المكانية له تعالى. وجَعْل العمل جزءاً من الإيمان حقيقة مؤد إلى تكفير مرتكبي الكبائر كما هو مذهب الخوارج. ونفي قيام الأفعال الحادثة به تعالى بعده نفي الصفات والله ينتقم منه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5F5C5D71" w14:textId="64B9FDAD"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 xml:space="preserve">: </w:t>
      </w:r>
      <w:r w:rsidR="00777DCB" w:rsidRPr="00A52585">
        <w:rPr>
          <w:rFonts w:hint="cs"/>
          <w:rtl/>
        </w:rPr>
        <w:t>في بهت أهل الشرك والتعطيل</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قالوا تنقصتم رسول الله</w:t>
      </w:r>
      <w:r w:rsidR="00DB731D" w:rsidRPr="00A52585">
        <w:rPr>
          <w:rFonts w:hint="cs"/>
          <w:rtl/>
        </w:rPr>
        <w:t>،</w:t>
      </w:r>
      <w:r w:rsidR="00777DCB" w:rsidRPr="00A52585">
        <w:rPr>
          <w:rFonts w:hint="cs"/>
          <w:rtl/>
        </w:rPr>
        <w:t xml:space="preserve"> </w:t>
      </w:r>
      <w:proofErr w:type="gramStart"/>
      <w:r w:rsidR="00777DCB" w:rsidRPr="00A52585">
        <w:rPr>
          <w:rFonts w:hint="cs"/>
          <w:rtl/>
        </w:rPr>
        <w:t>واعجبا</w:t>
      </w:r>
      <w:proofErr w:type="gramEnd"/>
      <w:r w:rsidR="00DB731D" w:rsidRPr="00A52585">
        <w:rPr>
          <w:rFonts w:hint="cs"/>
          <w:rtl/>
        </w:rPr>
        <w:t>،</w:t>
      </w:r>
      <w:r w:rsidR="00777DCB" w:rsidRPr="00A52585">
        <w:rPr>
          <w:rFonts w:hint="cs"/>
          <w:rtl/>
        </w:rPr>
        <w:t xml:space="preserve"> ونظيره قول النصارى إنا تنقصنا المسيح</w:t>
      </w:r>
      <w:r w:rsidRPr="00A52585">
        <w:rPr>
          <w:rFonts w:hint="cs"/>
          <w:rtl/>
        </w:rPr>
        <w:t>)</w:t>
      </w:r>
      <w:r w:rsidR="00DB731D" w:rsidRPr="00A52585">
        <w:rPr>
          <w:rFonts w:hint="cs"/>
          <w:rtl/>
        </w:rPr>
        <w:t>،</w:t>
      </w:r>
      <w:r w:rsidR="00777DCB" w:rsidRPr="00A52585">
        <w:rPr>
          <w:rFonts w:hint="cs"/>
          <w:rtl/>
        </w:rPr>
        <w:t xml:space="preserve"> هذه الفصول كلها كما ترى</w:t>
      </w:r>
      <w:r w:rsidR="00DB731D" w:rsidRPr="00A52585">
        <w:rPr>
          <w:rFonts w:hint="cs"/>
          <w:rtl/>
        </w:rPr>
        <w:t>،</w:t>
      </w:r>
      <w:r w:rsidR="00777DCB" w:rsidRPr="00A52585">
        <w:rPr>
          <w:rFonts w:hint="cs"/>
          <w:rtl/>
        </w:rPr>
        <w:t xml:space="preserve"> </w:t>
      </w:r>
    </w:p>
    <w:p w14:paraId="757990FD" w14:textId="3C94125D"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ولنا الحقيقة من كلام إلهنا ونصيبكم منه المجاز الثاني وخيامنا مضروبة بمشاعر الوحيين وخيامكم مضروبة في التيه فالمكان كل ملدد حيران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أهل السنة هم الذين جمعوا بين الكتاب والسنة وآثار السلف والبراهين العقلية التي هي من حجج الله سبحانه، من غير إهمال شيء منها، مراعين مراتب الأدلة ووجوه الدلالة. وإنما مذهب السلف عدم الخوض في الصفات مع التنـزيه العام وهم من أبعد الناس عن حمل ما في كتاب الله وما صح في السنة على ما يوهم التشبيه فإذا تكلموا إنما يتكلمون بما يوافق التنـزيه وهم الذين يقولون فيما صح لفظه</w:t>
      </w:r>
      <w:r w:rsidRPr="00A52585">
        <w:rPr>
          <w:rFonts w:hint="cs"/>
          <w:sz w:val="24"/>
          <w:szCs w:val="24"/>
          <w:rtl/>
        </w:rPr>
        <w:t>:</w:t>
      </w:r>
      <w:r w:rsidR="00777DCB" w:rsidRPr="00A52585">
        <w:rPr>
          <w:rFonts w:hint="cs"/>
          <w:sz w:val="24"/>
          <w:szCs w:val="24"/>
          <w:rtl/>
        </w:rPr>
        <w:t xml:space="preserve"> " أمروه كما جاء بدون تفسيره بل تفسيره. قراءته بلا كيف ولا معنى " كما تواتر ذلك عن السلف ولا سيما عن أحمد. وقد ذكرنا بعض نصوص لهم في ذلك. وأما أصحاب الناظم فهم الذين جمعوا بين الإسرائيليات والجاهليات وأنواع الخرافات والأخبار الموضوعات كما يظهر من كتبهم في العلو والسنة والتوحيد والنحل. أين في الصحاح والسنن (ينـزل بذاته) و (يستوي على العرش استواء استقرار وجلوس) و (يتحرك) و(يتكلم بصوت)</w:t>
      </w:r>
      <w:r w:rsidR="00F95886" w:rsidRPr="00A52585">
        <w:rPr>
          <w:rFonts w:hint="cs"/>
          <w:sz w:val="24"/>
          <w:szCs w:val="24"/>
          <w:rtl/>
        </w:rPr>
        <w:t>؟</w:t>
      </w:r>
      <w:r w:rsidR="00777DCB" w:rsidRPr="00A52585">
        <w:rPr>
          <w:rFonts w:hint="cs"/>
          <w:sz w:val="24"/>
          <w:szCs w:val="24"/>
          <w:rtl/>
        </w:rPr>
        <w:t xml:space="preserve"> فلو وقفوا حيث وقف الكتاب والسنة والبرهان العقلي وأبوا الخوض في الصفات بعقولهم الضئيلة لكانوا على الهدى لكنهم حادوا وزادوا. قاتلهم الله ما أوقحهم وأشنع أفكهم على أهل الحق</w:t>
      </w:r>
      <w:r w:rsidRPr="00A52585">
        <w:rPr>
          <w:rFonts w:hint="cs"/>
          <w:sz w:val="24"/>
          <w:szCs w:val="24"/>
          <w:rtl/>
        </w:rPr>
        <w:t>]</w:t>
      </w:r>
      <w:r w:rsidR="00DB731D" w:rsidRPr="00A52585">
        <w:rPr>
          <w:rFonts w:hint="cs"/>
          <w:sz w:val="24"/>
          <w:rtl/>
        </w:rPr>
        <w:t>،</w:t>
      </w:r>
      <w:r w:rsidR="00777DCB" w:rsidRPr="00A52585">
        <w:rPr>
          <w:rFonts w:hint="cs"/>
          <w:rtl/>
        </w:rPr>
        <w:t xml:space="preserve"> هذه شهادتهم على محصولهم عند الممات والله يشهد أنهم أيضاً كذا ولنا المسانيد والصحاح ولكم تصانيف الكلام ونقول</w:t>
      </w:r>
      <w:r w:rsidRPr="00A52585">
        <w:rPr>
          <w:rFonts w:hint="cs"/>
          <w:rtl/>
        </w:rPr>
        <w:t>:</w:t>
      </w:r>
      <w:r w:rsidR="00777DCB" w:rsidRPr="00A52585">
        <w:rPr>
          <w:rFonts w:hint="cs"/>
          <w:rtl/>
        </w:rPr>
        <w:t xml:space="preserve"> قال الله قال رسوله في كل تصنيف وكل مكان لكن تقولون</w:t>
      </w:r>
      <w:r w:rsidRPr="00A52585">
        <w:rPr>
          <w:rFonts w:hint="cs"/>
          <w:rtl/>
        </w:rPr>
        <w:t>:</w:t>
      </w:r>
      <w:r w:rsidR="00777DCB" w:rsidRPr="00A52585">
        <w:rPr>
          <w:rFonts w:hint="cs"/>
          <w:rtl/>
        </w:rPr>
        <w:t xml:space="preserve"> قال أرسطو وقال ابن الخطيب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هو الإمام فخر الدين الرازي، سيف الله المسلول على المجسمة وهو من أبغض أهل العلم إليهم لأنه تمكن ببيانه الواضح وبرهانه الدامغ من إزالة شرور المجسمة من بلاد الشرق كما أجهز على المجسمة الذين أووا إلى الشام بكتابه (أساس التقديس). وهو كتاب يحق أن يكتب بماء </w:t>
      </w:r>
      <w:proofErr w:type="gramStart"/>
      <w:r w:rsidR="00777DCB" w:rsidRPr="00A52585">
        <w:rPr>
          <w:rFonts w:hint="cs"/>
          <w:sz w:val="24"/>
          <w:szCs w:val="24"/>
          <w:rtl/>
        </w:rPr>
        <w:t>الذهب,</w:t>
      </w:r>
      <w:proofErr w:type="gramEnd"/>
      <w:r w:rsidR="00777DCB" w:rsidRPr="00A52585">
        <w:rPr>
          <w:rFonts w:hint="cs"/>
          <w:sz w:val="24"/>
          <w:szCs w:val="24"/>
          <w:rtl/>
        </w:rPr>
        <w:t xml:space="preserve"> وأن يجعل من كتب الدراسة في بلاد تشيع فيها مخازي المشبهة وهو كاف في قمعهم. والله سبحانه </w:t>
      </w:r>
      <w:proofErr w:type="spellStart"/>
      <w:r w:rsidR="00777DCB" w:rsidRPr="00A52585">
        <w:rPr>
          <w:rFonts w:hint="cs"/>
          <w:sz w:val="24"/>
          <w:szCs w:val="24"/>
          <w:rtl/>
        </w:rPr>
        <w:t>يكافيه</w:t>
      </w:r>
      <w:proofErr w:type="spellEnd"/>
      <w:r w:rsidR="00777DCB" w:rsidRPr="00A52585">
        <w:rPr>
          <w:rFonts w:hint="cs"/>
          <w:sz w:val="24"/>
          <w:szCs w:val="24"/>
          <w:rtl/>
        </w:rPr>
        <w:t xml:space="preserve"> على ذلك. وتفسيره الكبير من أهم الكتب في الرد على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وفي ذلك ما يكون كفارة لما بدر منه من بعض أغلاط، سامحه الله وأعلى منـزلته في الجنة</w:t>
      </w:r>
      <w:r w:rsidRPr="00A52585">
        <w:rPr>
          <w:rFonts w:hint="cs"/>
          <w:sz w:val="24"/>
          <w:szCs w:val="24"/>
          <w:rtl/>
        </w:rPr>
        <w:t>]</w:t>
      </w:r>
      <w:r w:rsidR="00DB731D" w:rsidRPr="00A52585">
        <w:rPr>
          <w:rFonts w:hint="cs"/>
          <w:sz w:val="24"/>
          <w:rtl/>
        </w:rPr>
        <w:t>،</w:t>
      </w:r>
      <w:r w:rsidR="00777DCB" w:rsidRPr="00A52585">
        <w:rPr>
          <w:rFonts w:hint="cs"/>
          <w:rtl/>
        </w:rPr>
        <w:t xml:space="preserve"> وقال ذو العرفان شيخ لكم يدعى ابن سينا</w:t>
      </w:r>
      <w:r w:rsidR="00DB731D" w:rsidRPr="00A52585">
        <w:rPr>
          <w:rFonts w:hint="cs"/>
          <w:rtl/>
        </w:rPr>
        <w:t>،</w:t>
      </w:r>
      <w:r w:rsidR="00777DCB" w:rsidRPr="00A52585">
        <w:rPr>
          <w:rFonts w:hint="cs"/>
          <w:rtl/>
        </w:rPr>
        <w:t xml:space="preserve"> وخيار ما تأتون قال</w:t>
      </w:r>
      <w:r w:rsidRPr="00A52585">
        <w:rPr>
          <w:rFonts w:hint="cs"/>
          <w:rtl/>
        </w:rPr>
        <w:t>:</w:t>
      </w:r>
      <w:r w:rsidR="00777DCB" w:rsidRPr="00A52585">
        <w:rPr>
          <w:rFonts w:hint="cs"/>
          <w:rtl/>
        </w:rPr>
        <w:t xml:space="preserve"> الأشعري وتشهدون عليه بالبهتان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ومذهبه هو ما في كتب أصحابه وأصحاب أصحابه كأبي منصور عبد القاهر البغدادي والقشيري وابن الجويني ونحوهم. وقد أفنى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مؤلفات الإمام في فتن </w:t>
      </w:r>
      <w:proofErr w:type="gramStart"/>
      <w:r w:rsidR="00777DCB" w:rsidRPr="00A52585">
        <w:rPr>
          <w:rFonts w:hint="cs"/>
          <w:sz w:val="24"/>
          <w:szCs w:val="24"/>
          <w:rtl/>
        </w:rPr>
        <w:t>بغداد,</w:t>
      </w:r>
      <w:proofErr w:type="gramEnd"/>
      <w:r w:rsidR="00777DCB" w:rsidRPr="00A52585">
        <w:rPr>
          <w:rFonts w:hint="cs"/>
          <w:sz w:val="24"/>
          <w:szCs w:val="24"/>
          <w:rtl/>
        </w:rPr>
        <w:t xml:space="preserve"> وتصرفوا فيما بالأيدي </w:t>
      </w:r>
      <w:r w:rsidR="00777DCB" w:rsidRPr="00A52585">
        <w:rPr>
          <w:rFonts w:hint="cs"/>
          <w:sz w:val="24"/>
          <w:szCs w:val="24"/>
          <w:rtl/>
        </w:rPr>
        <w:lastRenderedPageBreak/>
        <w:t>من كتبه, ودسوا ما شاءوا، قاتلهم الله</w:t>
      </w:r>
      <w:r w:rsidRPr="00A52585">
        <w:rPr>
          <w:rFonts w:hint="cs"/>
          <w:sz w:val="24"/>
          <w:szCs w:val="24"/>
          <w:rtl/>
        </w:rPr>
        <w:t>]</w:t>
      </w:r>
      <w:r w:rsidR="00DB731D" w:rsidRPr="00A52585">
        <w:rPr>
          <w:rFonts w:hint="cs"/>
          <w:sz w:val="24"/>
          <w:rtl/>
        </w:rPr>
        <w:t>،</w:t>
      </w:r>
      <w:r w:rsidR="00777DCB" w:rsidRPr="00A52585">
        <w:rPr>
          <w:rFonts w:hint="cs"/>
          <w:rtl/>
        </w:rPr>
        <w:t xml:space="preserve"> والكفر عندكم خلاف شيوخكم ووفاقهم فحقيقة الإيمان</w:t>
      </w:r>
      <w:r w:rsidRPr="00A52585">
        <w:rPr>
          <w:rFonts w:hint="cs"/>
          <w:rtl/>
        </w:rPr>
        <w:t>)</w:t>
      </w:r>
      <w:r w:rsidR="00DB731D" w:rsidRPr="00A52585">
        <w:rPr>
          <w:rFonts w:hint="cs"/>
          <w:rtl/>
        </w:rPr>
        <w:t>،</w:t>
      </w:r>
      <w:r w:rsidR="00777DCB" w:rsidRPr="00A52585">
        <w:rPr>
          <w:rFonts w:hint="cs"/>
          <w:rtl/>
        </w:rPr>
        <w:t xml:space="preserve"> انتهى</w:t>
      </w:r>
      <w:r w:rsidR="00DB731D" w:rsidRPr="00A52585">
        <w:rPr>
          <w:rFonts w:hint="cs"/>
          <w:rtl/>
        </w:rPr>
        <w:t>،</w:t>
      </w:r>
      <w:r w:rsidR="00777DCB" w:rsidRPr="00A52585">
        <w:rPr>
          <w:rFonts w:hint="cs"/>
          <w:rtl/>
        </w:rPr>
        <w:t xml:space="preserve"> يكفيه أن ينسب القائلين عند موتهم بالعجز عن حقيقة الإدراك إلى الكفر وهي كلمة الصِّدَّيق الأكبر </w:t>
      </w:r>
      <w:r w:rsidRPr="00A52585">
        <w:rPr>
          <w:rFonts w:hint="cs"/>
          <w:rtl/>
        </w:rPr>
        <w:t>(</w:t>
      </w:r>
      <w:r w:rsidR="00777DCB" w:rsidRPr="00A52585">
        <w:rPr>
          <w:rFonts w:hint="cs"/>
          <w:rtl/>
        </w:rPr>
        <w:t>إن العجز عن حقيقة الإدراك إدراك</w:t>
      </w:r>
      <w:r w:rsidRPr="00A52585">
        <w:rPr>
          <w:rFonts w:hint="cs"/>
          <w:rtl/>
        </w:rPr>
        <w:t>)</w:t>
      </w:r>
      <w:r w:rsidR="00DB731D" w:rsidRPr="00A52585">
        <w:rPr>
          <w:rFonts w:hint="cs"/>
          <w:rtl/>
        </w:rPr>
        <w:t>،</w:t>
      </w:r>
      <w:r w:rsidR="00777DCB" w:rsidRPr="00A52585">
        <w:rPr>
          <w:rFonts w:hint="cs"/>
          <w:rtl/>
        </w:rPr>
        <w:t xml:space="preserve"> </w:t>
      </w:r>
    </w:p>
    <w:p w14:paraId="53BC2B0D" w14:textId="21EFFC40"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00777DCB" w:rsidRPr="00A52585">
        <w:rPr>
          <w:rFonts w:hint="cs"/>
          <w:rtl/>
        </w:rPr>
        <w:t xml:space="preserve"> أنكر فيه على خصومه تكفيرهم إياه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اسمع إذن يا منصفا حكميهما وانظر إذن هل يستوي الحكمان</w:t>
      </w:r>
      <w:r w:rsidR="00DB731D" w:rsidRPr="00A52585">
        <w:rPr>
          <w:rFonts w:hint="cs"/>
          <w:rtl/>
        </w:rPr>
        <w:t>،</w:t>
      </w:r>
      <w:r w:rsidR="00777DCB" w:rsidRPr="00A52585">
        <w:rPr>
          <w:rFonts w:hint="cs"/>
          <w:rtl/>
        </w:rPr>
        <w:t xml:space="preserve"> هم عندنا قسمان أهل جهالة ومعاند فالمعاند كافر والجاهل نوعان أحدهما متمكن من العلم فهو فاسق وفي كفره قولان</w:t>
      </w:r>
      <w:r w:rsidR="00DB731D" w:rsidRPr="00A52585">
        <w:rPr>
          <w:rFonts w:hint="cs"/>
          <w:rtl/>
        </w:rPr>
        <w:t>،</w:t>
      </w:r>
      <w:r w:rsidR="00777DCB" w:rsidRPr="00A52585">
        <w:rPr>
          <w:rFonts w:hint="cs"/>
          <w:rtl/>
        </w:rPr>
        <w:t xml:space="preserve"> والوقف عندي فيهم لست الذي بالكفر أنعتهم ولا الإيمان</w:t>
      </w:r>
      <w:r w:rsidR="00DB731D" w:rsidRPr="00A52585">
        <w:rPr>
          <w:rFonts w:hint="cs"/>
          <w:rtl/>
        </w:rPr>
        <w:t>،</w:t>
      </w:r>
      <w:r w:rsidR="00777DCB" w:rsidRPr="00A52585">
        <w:rPr>
          <w:rFonts w:hint="cs"/>
          <w:rtl/>
        </w:rPr>
        <w:t xml:space="preserve"> والله أعلم بالبطانة منهم لكنهم </w:t>
      </w:r>
      <w:proofErr w:type="spellStart"/>
      <w:r w:rsidR="00777DCB" w:rsidRPr="00A52585">
        <w:rPr>
          <w:rFonts w:hint="cs"/>
          <w:rtl/>
        </w:rPr>
        <w:t>مستوجبون</w:t>
      </w:r>
      <w:proofErr w:type="spellEnd"/>
      <w:r w:rsidR="00777DCB" w:rsidRPr="00A52585">
        <w:rPr>
          <w:rFonts w:hint="cs"/>
          <w:rtl/>
        </w:rPr>
        <w:t xml:space="preserve"> عقابه قطعاً لأجل البغي والعدوان</w:t>
      </w:r>
      <w:r w:rsidR="00DB731D" w:rsidRPr="00A52585">
        <w:rPr>
          <w:rFonts w:hint="cs"/>
          <w:rtl/>
        </w:rPr>
        <w:t>،</w:t>
      </w:r>
      <w:r w:rsidR="00777DCB" w:rsidRPr="00A52585">
        <w:rPr>
          <w:rFonts w:hint="cs"/>
          <w:rtl/>
        </w:rPr>
        <w:t xml:space="preserve"> والنوع الثاني عاجز عن بلوغ الحق مع قصد وإيمان وهم ضربان أحدهما قوم دهاهم حسن ظنهم بشيوخهم فمعذورون إن لم يظلموا أو يكفروا والآخرين طالبون للحق لكن صدهم عن علمه شيئان أحدهما طلب الحقائق من سوى أبوابها فأولاء بين الذنب والأجرين فانظر إلى أحكامنا فيهم وأحكامهم فينا</w:t>
      </w:r>
      <w:r w:rsidRPr="00A52585">
        <w:rPr>
          <w:rFonts w:hint="cs"/>
          <w:rtl/>
        </w:rPr>
        <w:t>)</w:t>
      </w:r>
      <w:r w:rsidR="00DB731D" w:rsidRPr="00A52585">
        <w:rPr>
          <w:rFonts w:hint="cs"/>
          <w:rtl/>
        </w:rPr>
        <w:t>،</w:t>
      </w:r>
      <w:r w:rsidR="00777DCB" w:rsidRPr="00A52585">
        <w:rPr>
          <w:rFonts w:hint="cs"/>
          <w:rtl/>
        </w:rPr>
        <w:t xml:space="preserve"> انتهى كلامه</w:t>
      </w:r>
      <w:r w:rsidR="00DB731D" w:rsidRPr="00A52585">
        <w:rPr>
          <w:rFonts w:hint="cs"/>
          <w:rtl/>
        </w:rPr>
        <w:t>،</w:t>
      </w:r>
      <w:r w:rsidR="00777DCB" w:rsidRPr="00A52585">
        <w:rPr>
          <w:rFonts w:hint="cs"/>
          <w:rtl/>
        </w:rPr>
        <w:t xml:space="preserve"> وهو كلام من يعتقد أن خصومه خارجون بتكفيره. وخصومه يقولون لا نكفر أحداً من أهل القبلة</w:t>
      </w:r>
      <w:r w:rsidR="00DB731D" w:rsidRPr="00A52585">
        <w:rPr>
          <w:rFonts w:hint="cs"/>
          <w:rtl/>
        </w:rPr>
        <w:t>،</w:t>
      </w:r>
      <w:r w:rsidR="00777DCB" w:rsidRPr="00A52585">
        <w:rPr>
          <w:rFonts w:hint="cs"/>
          <w:rtl/>
        </w:rPr>
        <w:t xml:space="preserve"> </w:t>
      </w:r>
    </w:p>
    <w:p w14:paraId="74CC7659" w14:textId="4F9FBB1A"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أذان أهل السنة بصريحها جهراً على رءوس منابر الإسلام</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شبهتم الرحمن بالأوثان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من قال إن كلام معبوده حرف وصت قائمان به فهو الذي نحت عجلا جسداً له خوار يحمل أشياعه على تعبده، قال أبو بكر ابن العربي في العارضة</w:t>
      </w:r>
      <w:r w:rsidRPr="00A52585">
        <w:rPr>
          <w:rFonts w:hint="cs"/>
          <w:sz w:val="24"/>
          <w:szCs w:val="24"/>
          <w:rtl/>
        </w:rPr>
        <w:t>:</w:t>
      </w:r>
      <w:r w:rsidR="00777DCB" w:rsidRPr="00A52585">
        <w:rPr>
          <w:rFonts w:hint="cs"/>
          <w:sz w:val="24"/>
          <w:szCs w:val="24"/>
          <w:rtl/>
        </w:rPr>
        <w:t xml:space="preserve"> " لا يحل لمسلم أن يعتقد أن كلام الله صوت وحرف لا من طريق العقل ولا من طريق الشرع. فأما طريق العقل فلأنه الصوت والحرف مخلوقان محصوران، وكلام الله يجل عن ذلك كله. وأما من طريق الشرع فلأنه لم يرد في كلام الله صوت وحرف من طريق صحيحة؛ ولهذا لم نجد طريقاً صحيحة لحديث ابن أنيس وابن مسعود اهـ"</w:t>
      </w:r>
      <w:r w:rsidR="00DB731D" w:rsidRPr="00A52585">
        <w:rPr>
          <w:rFonts w:hint="cs"/>
          <w:sz w:val="24"/>
          <w:szCs w:val="24"/>
          <w:rtl/>
        </w:rPr>
        <w:t>،</w:t>
      </w:r>
      <w:r w:rsidR="00777DCB" w:rsidRPr="00A52585">
        <w:rPr>
          <w:rFonts w:hint="cs"/>
          <w:sz w:val="24"/>
          <w:szCs w:val="24"/>
          <w:rtl/>
        </w:rPr>
        <w:t xml:space="preserve"> وأنت تعلم مبلغ استبحار ابن العربي في الحديث. و"جزء الصوت" للحافظ أبي الحسن المقدسي لا يدع أي متمسك في الروايات في هذا الصدد لهؤلاء الزائغين. ومن رأى نصوص فتاوى العز بن عبد السلام وابن الحاجب والجمال </w:t>
      </w:r>
      <w:proofErr w:type="spellStart"/>
      <w:r w:rsidR="00777DCB" w:rsidRPr="00A52585">
        <w:rPr>
          <w:rFonts w:hint="cs"/>
          <w:sz w:val="24"/>
          <w:szCs w:val="24"/>
          <w:rtl/>
        </w:rPr>
        <w:t>الحصيري</w:t>
      </w:r>
      <w:proofErr w:type="spellEnd"/>
      <w:r w:rsidR="00777DCB" w:rsidRPr="00A52585">
        <w:rPr>
          <w:rFonts w:hint="cs"/>
          <w:sz w:val="24"/>
          <w:szCs w:val="24"/>
          <w:rtl/>
        </w:rPr>
        <w:t xml:space="preserve"> والعلم السخاوي ومن قبلهم ومن بعدهم من أهل الحق كما هو مدون في نجم المهتدي ودفع الشبه وغيرهما يعلم مبلغ الخطورة في دعوى أن كلام الله حرف وصوت قائمان به تعالى. وقد سبق نقل بعض النصوص منها ولا تصح نسبة الصوت إلى الله إلا نسبة ملك وخلق؛ لكنّ هؤلاء السخفاء رغم تضافر البراهين ضدهم ودثور الآثار التي يريدون البناء عليها يعاندون </w:t>
      </w:r>
      <w:proofErr w:type="gramStart"/>
      <w:r w:rsidR="00777DCB" w:rsidRPr="00A52585">
        <w:rPr>
          <w:rFonts w:hint="cs"/>
          <w:sz w:val="24"/>
          <w:szCs w:val="24"/>
          <w:rtl/>
        </w:rPr>
        <w:t>الحق,</w:t>
      </w:r>
      <w:proofErr w:type="gramEnd"/>
      <w:r w:rsidR="00777DCB" w:rsidRPr="00A52585">
        <w:rPr>
          <w:rFonts w:hint="cs"/>
          <w:sz w:val="24"/>
          <w:szCs w:val="24"/>
          <w:rtl/>
        </w:rPr>
        <w:t xml:space="preserve"> ويظنون أن كلام الله من قبيل كلام البشر الذي هو كيفية اهتزازية تحصل للهواء من ضغطه باللهاة واللسان؛ تعالى الله عن ذلك. ويدور أمرهم بين التشبيه بالصنم أو التشبيه بابن آدم </w:t>
      </w:r>
      <w:r w:rsidRPr="00A52585">
        <w:rPr>
          <w:rFonts w:hint="cs"/>
          <w:sz w:val="24"/>
          <w:szCs w:val="24"/>
          <w:rtl/>
        </w:rPr>
        <w:t>{</w:t>
      </w:r>
      <w:r w:rsidR="00777DCB" w:rsidRPr="00A52585">
        <w:rPr>
          <w:rFonts w:hint="cs"/>
          <w:sz w:val="24"/>
          <w:szCs w:val="24"/>
          <w:rtl/>
        </w:rPr>
        <w:t>أولئك كالأنعام بل هم أضل</w:t>
      </w:r>
      <w:r w:rsidRPr="00A52585">
        <w:rPr>
          <w:rFonts w:hint="cs"/>
          <w:sz w:val="24"/>
          <w:szCs w:val="24"/>
          <w:rtl/>
        </w:rPr>
        <w:t>}</w:t>
      </w:r>
      <w:r w:rsidR="00777DCB" w:rsidRPr="00A52585">
        <w:rPr>
          <w:rFonts w:hint="cs"/>
          <w:sz w:val="24"/>
          <w:szCs w:val="24"/>
          <w:rtl/>
        </w:rPr>
        <w:t xml:space="preserve"> [الأعراف</w:t>
      </w:r>
      <w:r w:rsidRPr="00A52585">
        <w:rPr>
          <w:rFonts w:hint="cs"/>
          <w:sz w:val="24"/>
          <w:szCs w:val="24"/>
          <w:rtl/>
        </w:rPr>
        <w:t>:</w:t>
      </w:r>
      <w:r w:rsidR="00777DCB" w:rsidRPr="00A52585">
        <w:rPr>
          <w:rFonts w:hint="cs"/>
          <w:sz w:val="24"/>
          <w:szCs w:val="24"/>
          <w:rtl/>
        </w:rPr>
        <w:t xml:space="preserve"> 179]</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في عدم الكلام هم أهل تعطيل وتشبيه معاً بالجامدات تسعون وجها يبطل المعنى الذي قلتم هو النفس للقرآن</w:t>
      </w:r>
      <w:r w:rsidRPr="00A52585">
        <w:rPr>
          <w:rFonts w:hint="cs"/>
          <w:rtl/>
        </w:rPr>
        <w:t>)</w:t>
      </w:r>
      <w:r w:rsidR="00DB731D" w:rsidRPr="00A52585">
        <w:rPr>
          <w:rFonts w:hint="cs"/>
          <w:rtl/>
        </w:rPr>
        <w:t>،</w:t>
      </w:r>
      <w:r w:rsidR="00777DCB" w:rsidRPr="00A52585">
        <w:rPr>
          <w:rFonts w:hint="cs"/>
          <w:rtl/>
        </w:rPr>
        <w:t xml:space="preserve"> ولا وجه واحد</w:t>
      </w:r>
      <w:r w:rsidR="00DB731D" w:rsidRPr="00A52585">
        <w:rPr>
          <w:rFonts w:hint="cs"/>
          <w:rtl/>
        </w:rPr>
        <w:t>،</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صح عن أحمد فيما جاوب به المتوكل وغيره كما هو مذكور في كتاب "السنة" و"عيون التواريخ" وغيرهما أنه كان يقول القرآن من علم </w:t>
      </w:r>
      <w:r w:rsidR="00777DCB" w:rsidRPr="00A52585">
        <w:rPr>
          <w:rFonts w:hint="cs"/>
          <w:sz w:val="24"/>
          <w:szCs w:val="24"/>
          <w:rtl/>
        </w:rPr>
        <w:lastRenderedPageBreak/>
        <w:t xml:space="preserve">الله وعلم الله غير مخلوق فالقرآن غير مخلوق. وهذا دليل على أنه كان يريد بالقرآن ما هو قائم بالله، وتابعه ابن حزم في "الفصل"، فقوله تعالى </w:t>
      </w:r>
      <w:r w:rsidRPr="00A52585">
        <w:rPr>
          <w:rFonts w:hint="cs"/>
          <w:sz w:val="24"/>
          <w:szCs w:val="24"/>
          <w:rtl/>
        </w:rPr>
        <w:t>{</w:t>
      </w:r>
      <w:r w:rsidR="00777DCB" w:rsidRPr="00A52585">
        <w:rPr>
          <w:rFonts w:hint="cs"/>
          <w:sz w:val="24"/>
          <w:szCs w:val="24"/>
          <w:rtl/>
        </w:rPr>
        <w:t>فأسرها يوسف في نفسه ولم يبدها لهم قال أنتم شر مكانا</w:t>
      </w:r>
      <w:r w:rsidRPr="00A52585">
        <w:rPr>
          <w:rFonts w:hint="cs"/>
          <w:sz w:val="24"/>
          <w:szCs w:val="24"/>
          <w:rtl/>
        </w:rPr>
        <w:t>} [</w:t>
      </w:r>
      <w:r w:rsidR="00777DCB" w:rsidRPr="00A52585">
        <w:rPr>
          <w:rFonts w:hint="cs"/>
          <w:sz w:val="24"/>
          <w:szCs w:val="24"/>
          <w:rtl/>
        </w:rPr>
        <w:t>يوسف</w:t>
      </w:r>
      <w:r w:rsidRPr="00A52585">
        <w:rPr>
          <w:rFonts w:hint="cs"/>
          <w:sz w:val="24"/>
          <w:szCs w:val="24"/>
          <w:rtl/>
        </w:rPr>
        <w:t>:</w:t>
      </w:r>
      <w:r w:rsidR="00777DCB" w:rsidRPr="00A52585">
        <w:rPr>
          <w:rFonts w:hint="cs"/>
          <w:sz w:val="24"/>
          <w:szCs w:val="24"/>
          <w:rtl/>
        </w:rPr>
        <w:t>77] فقال إما بدل من أسر أو استئناف بياني وعلى التقديرين تدل الآية على أن للنفس كلاما لقوله في نفسه (كما حكى القرآن الكريم){أنتم شر مكانا}؛ وكذلك قوله تعالى</w:t>
      </w:r>
      <w:r w:rsidRPr="00A52585">
        <w:rPr>
          <w:rFonts w:hint="cs"/>
          <w:sz w:val="24"/>
          <w:szCs w:val="24"/>
          <w:rtl/>
        </w:rPr>
        <w:t>:</w:t>
      </w:r>
      <w:r w:rsidR="00777DCB" w:rsidRPr="00A52585">
        <w:rPr>
          <w:rFonts w:hint="cs"/>
          <w:sz w:val="24"/>
          <w:szCs w:val="24"/>
          <w:rtl/>
        </w:rPr>
        <w:t xml:space="preserve"> {أم يحسبون أنا لا نسمع سرهم ونجواهم} [الزخرف</w:t>
      </w:r>
      <w:r w:rsidRPr="00A52585">
        <w:rPr>
          <w:rFonts w:hint="cs"/>
          <w:sz w:val="24"/>
          <w:szCs w:val="24"/>
          <w:rtl/>
        </w:rPr>
        <w:t>:</w:t>
      </w:r>
      <w:r w:rsidR="00777DCB" w:rsidRPr="00A52585">
        <w:rPr>
          <w:rFonts w:hint="cs"/>
          <w:sz w:val="24"/>
          <w:szCs w:val="24"/>
          <w:rtl/>
        </w:rPr>
        <w:t xml:space="preserve"> 80] وفي الحديث "السر ما أسره ابن آدم في نفسه" وقوله تعالى </w:t>
      </w:r>
      <w:r w:rsidRPr="00A52585">
        <w:rPr>
          <w:rFonts w:hint="cs"/>
          <w:sz w:val="24"/>
          <w:szCs w:val="24"/>
          <w:rtl/>
        </w:rPr>
        <w:t>{</w:t>
      </w:r>
      <w:r w:rsidR="00777DCB" w:rsidRPr="00A52585">
        <w:rPr>
          <w:rFonts w:hint="cs"/>
          <w:sz w:val="24"/>
          <w:szCs w:val="24"/>
          <w:rtl/>
        </w:rPr>
        <w:t>… يقولون لو كان لنا من الأمر شيء ما قتلنا ههنا</w:t>
      </w:r>
      <w:r w:rsidRPr="00A52585">
        <w:rPr>
          <w:rFonts w:hint="cs"/>
          <w:sz w:val="24"/>
          <w:szCs w:val="24"/>
          <w:rtl/>
        </w:rPr>
        <w:t>}</w:t>
      </w:r>
      <w:r w:rsidR="00777DCB" w:rsidRPr="00A52585">
        <w:rPr>
          <w:rFonts w:hint="cs"/>
          <w:sz w:val="24"/>
          <w:szCs w:val="24"/>
          <w:rtl/>
        </w:rPr>
        <w:t xml:space="preserve"> [آل عمران</w:t>
      </w:r>
      <w:r w:rsidRPr="00A52585">
        <w:rPr>
          <w:rFonts w:hint="cs"/>
          <w:sz w:val="24"/>
          <w:szCs w:val="24"/>
          <w:rtl/>
        </w:rPr>
        <w:t>:</w:t>
      </w:r>
      <w:r w:rsidR="00777DCB" w:rsidRPr="00A52585">
        <w:rPr>
          <w:rFonts w:hint="cs"/>
          <w:sz w:val="24"/>
          <w:szCs w:val="24"/>
          <w:rtl/>
        </w:rPr>
        <w:t xml:space="preserve"> 154] أي يقولون في أنفسهم بدليل السياق وقوله تعالى </w:t>
      </w:r>
      <w:r w:rsidRPr="00A52585">
        <w:rPr>
          <w:rFonts w:hint="cs"/>
          <w:sz w:val="24"/>
          <w:szCs w:val="24"/>
          <w:rtl/>
        </w:rPr>
        <w:t>{</w:t>
      </w:r>
      <w:r w:rsidR="00777DCB" w:rsidRPr="00A52585">
        <w:rPr>
          <w:rFonts w:hint="cs"/>
          <w:sz w:val="24"/>
          <w:szCs w:val="24"/>
          <w:rtl/>
        </w:rPr>
        <w:t>واذكر ربك في نفسك</w:t>
      </w:r>
      <w:r w:rsidRPr="00A52585">
        <w:rPr>
          <w:rFonts w:hint="cs"/>
          <w:sz w:val="24"/>
          <w:szCs w:val="24"/>
          <w:rtl/>
        </w:rPr>
        <w:t>} [</w:t>
      </w:r>
      <w:r w:rsidR="00777DCB" w:rsidRPr="00A52585">
        <w:rPr>
          <w:rFonts w:hint="cs"/>
          <w:sz w:val="24"/>
          <w:szCs w:val="24"/>
          <w:rtl/>
        </w:rPr>
        <w:t>الأعراف</w:t>
      </w:r>
      <w:r w:rsidRPr="00A52585">
        <w:rPr>
          <w:rFonts w:hint="cs"/>
          <w:sz w:val="24"/>
          <w:szCs w:val="24"/>
          <w:rtl/>
        </w:rPr>
        <w:t>:</w:t>
      </w:r>
      <w:r w:rsidR="00777DCB" w:rsidRPr="00A52585">
        <w:rPr>
          <w:rFonts w:hint="cs"/>
          <w:sz w:val="24"/>
          <w:szCs w:val="24"/>
          <w:rtl/>
        </w:rPr>
        <w:t xml:space="preserve"> 205]</w:t>
      </w:r>
      <w:r w:rsidR="00DB731D" w:rsidRPr="00A52585">
        <w:rPr>
          <w:rFonts w:hint="cs"/>
          <w:sz w:val="24"/>
          <w:szCs w:val="24"/>
          <w:rtl/>
        </w:rPr>
        <w:t>،</w:t>
      </w:r>
      <w:r w:rsidR="00777DCB" w:rsidRPr="00A52585">
        <w:rPr>
          <w:rFonts w:hint="cs"/>
          <w:sz w:val="24"/>
          <w:szCs w:val="24"/>
          <w:rtl/>
        </w:rPr>
        <w:t xml:space="preserve"> كل ذلك من أدلة الكلام النفسي؛ وحديث أم سلمة في الطبراني في رجل سأل النبي صلى الله عليه وسلم قائلا</w:t>
      </w:r>
      <w:r w:rsidRPr="00A52585">
        <w:rPr>
          <w:rFonts w:hint="cs"/>
          <w:sz w:val="24"/>
          <w:szCs w:val="24"/>
          <w:rtl/>
        </w:rPr>
        <w:t>:</w:t>
      </w:r>
      <w:r w:rsidR="00777DCB" w:rsidRPr="00A52585">
        <w:rPr>
          <w:rFonts w:hint="cs"/>
          <w:sz w:val="24"/>
          <w:szCs w:val="24"/>
          <w:rtl/>
        </w:rPr>
        <w:t xml:space="preserve"> (إني لأحدث نفسي بالشيء لو تكلمت به لأحبطت أجري) فقال صلى الله عليه وسلم</w:t>
      </w:r>
      <w:r w:rsidRPr="00A52585">
        <w:rPr>
          <w:rFonts w:hint="cs"/>
          <w:sz w:val="24"/>
          <w:szCs w:val="24"/>
          <w:rtl/>
        </w:rPr>
        <w:t>:</w:t>
      </w:r>
      <w:r w:rsidR="00777DCB" w:rsidRPr="00A52585">
        <w:rPr>
          <w:rFonts w:hint="cs"/>
          <w:sz w:val="24"/>
          <w:szCs w:val="24"/>
          <w:rtl/>
        </w:rPr>
        <w:t xml:space="preserve"> لا يلقى ذلك الكلام إلا مؤمن. وما في الحديث القدسي (فإن ذكرني في نفسه ذكرته في نفسي) من أدلة الكلام النفسي أيضاً وقد أقر الذهبي بحجية الأخير في ذلك في كتاب "العلو" له. ومن الدليل على ذلك أيضاً قوله تعالى </w:t>
      </w:r>
      <w:r w:rsidRPr="00A52585">
        <w:rPr>
          <w:rFonts w:hint="cs"/>
          <w:sz w:val="24"/>
          <w:szCs w:val="24"/>
          <w:rtl/>
        </w:rPr>
        <w:t>{</w:t>
      </w:r>
      <w:r w:rsidR="00777DCB" w:rsidRPr="00A52585">
        <w:rPr>
          <w:rFonts w:hint="cs"/>
          <w:sz w:val="24"/>
          <w:szCs w:val="24"/>
          <w:rtl/>
        </w:rPr>
        <w:t>ويقولون في أنفسهم</w:t>
      </w:r>
      <w:r w:rsidRPr="00A52585">
        <w:rPr>
          <w:rFonts w:hint="cs"/>
          <w:sz w:val="24"/>
          <w:szCs w:val="24"/>
          <w:rtl/>
        </w:rPr>
        <w:t>}</w:t>
      </w:r>
      <w:r w:rsidR="00777DCB" w:rsidRPr="00A52585">
        <w:rPr>
          <w:rFonts w:hint="cs"/>
          <w:sz w:val="24"/>
          <w:szCs w:val="24"/>
          <w:rtl/>
        </w:rPr>
        <w:t xml:space="preserve"> [المجادلة</w:t>
      </w:r>
      <w:r w:rsidRPr="00A52585">
        <w:rPr>
          <w:rFonts w:hint="cs"/>
          <w:sz w:val="24"/>
          <w:szCs w:val="24"/>
          <w:rtl/>
        </w:rPr>
        <w:t>:</w:t>
      </w:r>
      <w:r w:rsidR="00777DCB" w:rsidRPr="00A52585">
        <w:rPr>
          <w:rFonts w:hint="cs"/>
          <w:sz w:val="24"/>
          <w:szCs w:val="24"/>
          <w:rtl/>
        </w:rPr>
        <w:t xml:space="preserve">8] فقوله تعالى </w:t>
      </w:r>
      <w:r w:rsidRPr="00A52585">
        <w:rPr>
          <w:rFonts w:hint="cs"/>
          <w:sz w:val="24"/>
          <w:szCs w:val="24"/>
          <w:rtl/>
        </w:rPr>
        <w:t>{</w:t>
      </w:r>
      <w:r w:rsidR="00777DCB" w:rsidRPr="00A52585">
        <w:rPr>
          <w:rFonts w:hint="cs"/>
          <w:sz w:val="24"/>
          <w:szCs w:val="24"/>
          <w:rtl/>
        </w:rPr>
        <w:t>بألسنتهم</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بأفواههم</w:t>
      </w:r>
      <w:r w:rsidRPr="00A52585">
        <w:rPr>
          <w:rFonts w:hint="cs"/>
          <w:sz w:val="24"/>
          <w:szCs w:val="24"/>
          <w:rtl/>
        </w:rPr>
        <w:t>}</w:t>
      </w:r>
      <w:r w:rsidR="00777DCB" w:rsidRPr="00A52585">
        <w:rPr>
          <w:rFonts w:hint="cs"/>
          <w:sz w:val="24"/>
          <w:szCs w:val="24"/>
          <w:rtl/>
        </w:rPr>
        <w:t xml:space="preserve"> في قوله تعالى </w:t>
      </w:r>
      <w:r w:rsidRPr="00A52585">
        <w:rPr>
          <w:rFonts w:hint="cs"/>
          <w:sz w:val="24"/>
          <w:szCs w:val="24"/>
          <w:rtl/>
        </w:rPr>
        <w:t>{</w:t>
      </w:r>
      <w:r w:rsidR="00777DCB" w:rsidRPr="00A52585">
        <w:rPr>
          <w:rFonts w:hint="cs"/>
          <w:sz w:val="24"/>
          <w:szCs w:val="24"/>
          <w:rtl/>
        </w:rPr>
        <w:t>يقولون بألسنتهم ما ليس في قلوبهم</w:t>
      </w:r>
      <w:r w:rsidRPr="00A52585">
        <w:rPr>
          <w:rFonts w:hint="cs"/>
          <w:sz w:val="24"/>
          <w:szCs w:val="24"/>
          <w:rtl/>
        </w:rPr>
        <w:t>} [</w:t>
      </w:r>
      <w:r w:rsidR="00777DCB" w:rsidRPr="00A52585">
        <w:rPr>
          <w:rFonts w:hint="cs"/>
          <w:sz w:val="24"/>
          <w:szCs w:val="24"/>
          <w:rtl/>
        </w:rPr>
        <w:t>الفتح</w:t>
      </w:r>
      <w:r w:rsidRPr="00A52585">
        <w:rPr>
          <w:rFonts w:hint="cs"/>
          <w:sz w:val="24"/>
          <w:szCs w:val="24"/>
          <w:rtl/>
        </w:rPr>
        <w:t>:</w:t>
      </w:r>
      <w:r w:rsidR="00777DCB" w:rsidRPr="00A52585">
        <w:rPr>
          <w:rFonts w:hint="cs"/>
          <w:sz w:val="24"/>
          <w:szCs w:val="24"/>
          <w:rtl/>
        </w:rPr>
        <w:t xml:space="preserve"> 11] و </w:t>
      </w:r>
      <w:r w:rsidRPr="00A52585">
        <w:rPr>
          <w:rFonts w:hint="cs"/>
          <w:sz w:val="24"/>
          <w:szCs w:val="24"/>
          <w:rtl/>
        </w:rPr>
        <w:t>{</w:t>
      </w:r>
      <w:r w:rsidR="00777DCB" w:rsidRPr="00A52585">
        <w:rPr>
          <w:rFonts w:hint="cs"/>
          <w:sz w:val="24"/>
          <w:szCs w:val="24"/>
          <w:rtl/>
        </w:rPr>
        <w:t>يقولون بأفواههم ما ليس في قلوبهم</w:t>
      </w:r>
      <w:r w:rsidRPr="00A52585">
        <w:rPr>
          <w:rFonts w:hint="cs"/>
          <w:sz w:val="24"/>
          <w:szCs w:val="24"/>
          <w:rtl/>
        </w:rPr>
        <w:t>} [</w:t>
      </w:r>
      <w:r w:rsidR="00777DCB" w:rsidRPr="00A52585">
        <w:rPr>
          <w:rFonts w:hint="cs"/>
          <w:sz w:val="24"/>
          <w:szCs w:val="24"/>
          <w:rtl/>
        </w:rPr>
        <w:t>آل عمران</w:t>
      </w:r>
      <w:r w:rsidRPr="00A52585">
        <w:rPr>
          <w:rFonts w:hint="cs"/>
          <w:sz w:val="24"/>
          <w:szCs w:val="24"/>
          <w:rtl/>
        </w:rPr>
        <w:t>:</w:t>
      </w:r>
      <w:r w:rsidR="00777DCB" w:rsidRPr="00A52585">
        <w:rPr>
          <w:rFonts w:hint="cs"/>
          <w:sz w:val="24"/>
          <w:szCs w:val="24"/>
          <w:rtl/>
        </w:rPr>
        <w:t xml:space="preserve"> 167] لم يجعل القول باللسان مجازاً حتى يظن المجازية في القول في النفس تمسكا بلفظ </w:t>
      </w:r>
      <w:r w:rsidRPr="00A52585">
        <w:rPr>
          <w:rFonts w:hint="cs"/>
          <w:sz w:val="24"/>
          <w:szCs w:val="24"/>
          <w:rtl/>
        </w:rPr>
        <w:t>{</w:t>
      </w:r>
      <w:r w:rsidR="00777DCB" w:rsidRPr="00A52585">
        <w:rPr>
          <w:rFonts w:hint="cs"/>
          <w:sz w:val="24"/>
          <w:szCs w:val="24"/>
          <w:rtl/>
        </w:rPr>
        <w:t xml:space="preserve">في أنفسهم} كما توهم بعض أهل الأهواء. وقول عمر الفاروق (زورت في نفسي كلاما) أشهر من نار على علم؛ فمن رد أن يكون كلام في النفس رد على تلك الأدلة الصريحة. والحامل لأهل الحق على القول بالكلام النفسي هو إجماع التابعين على القول بأن القرآن كلام الله غير مخلوق؛ فخرَّجوا إجماعهم هذا على هذا الوجه المعقول وإلا لما صح قولهم. وتسفيه أحلام التابعين جميعاً لا يصدر إلا عن مجازف. فالفرق بين ما هو قائم بالخلق والمعنى القائم بالله سبحانه هو المخلص الوحيد في هذه المسألة؛ فاللفظي حديث والنفسي قديم كما أشار إلى هذا وإلى ذاك إمام الأئمة أبو حنيفة وتابعه أهل الحق. ويتضح بهذا البيان الواضح أن قول بعض زهاد </w:t>
      </w:r>
      <w:proofErr w:type="spellStart"/>
      <w:r w:rsidR="00777DCB" w:rsidRPr="00A52585">
        <w:rPr>
          <w:rFonts w:hint="cs"/>
          <w:sz w:val="24"/>
          <w:szCs w:val="24"/>
          <w:rtl/>
        </w:rPr>
        <w:t>الحشوية</w:t>
      </w:r>
      <w:proofErr w:type="spellEnd"/>
      <w:r w:rsidR="00777DCB" w:rsidRPr="00A52585">
        <w:rPr>
          <w:rFonts w:hint="cs"/>
          <w:sz w:val="24"/>
          <w:szCs w:val="24"/>
          <w:rtl/>
        </w:rPr>
        <w:t xml:space="preserve"> في هذا البحث</w:t>
      </w:r>
      <w:r w:rsidRPr="00A52585">
        <w:rPr>
          <w:rFonts w:hint="cs"/>
          <w:sz w:val="24"/>
          <w:szCs w:val="24"/>
          <w:rtl/>
        </w:rPr>
        <w:t>:</w:t>
      </w:r>
      <w:r w:rsidR="00777DCB" w:rsidRPr="00A52585">
        <w:rPr>
          <w:rFonts w:hint="cs"/>
          <w:sz w:val="24"/>
          <w:szCs w:val="24"/>
          <w:rtl/>
        </w:rPr>
        <w:t xml:space="preserve"> " نحن نستدل في الحرف والصوت بقوله تعالى </w:t>
      </w:r>
      <w:r w:rsidRPr="00A52585">
        <w:rPr>
          <w:rFonts w:hint="cs"/>
          <w:sz w:val="24"/>
          <w:szCs w:val="24"/>
          <w:rtl/>
        </w:rPr>
        <w:t>{</w:t>
      </w:r>
      <w:r w:rsidR="00777DCB" w:rsidRPr="00A52585">
        <w:rPr>
          <w:rFonts w:hint="cs"/>
          <w:sz w:val="24"/>
          <w:szCs w:val="24"/>
          <w:rtl/>
        </w:rPr>
        <w:t>كهيعص</w:t>
      </w:r>
      <w:r w:rsidRPr="00A52585">
        <w:rPr>
          <w:rFonts w:hint="cs"/>
          <w:sz w:val="24"/>
          <w:szCs w:val="24"/>
          <w:rtl/>
        </w:rPr>
        <w:t>} [</w:t>
      </w:r>
      <w:r w:rsidR="00777DCB" w:rsidRPr="00A52585">
        <w:rPr>
          <w:rFonts w:hint="cs"/>
          <w:sz w:val="24"/>
          <w:szCs w:val="24"/>
          <w:rtl/>
        </w:rPr>
        <w:t>مريم</w:t>
      </w:r>
      <w:r w:rsidRPr="00A52585">
        <w:rPr>
          <w:rFonts w:hint="cs"/>
          <w:sz w:val="24"/>
          <w:szCs w:val="24"/>
          <w:rtl/>
        </w:rPr>
        <w:t>:</w:t>
      </w:r>
      <w:r w:rsidR="00777DCB" w:rsidRPr="00A52585">
        <w:rPr>
          <w:rFonts w:hint="cs"/>
          <w:sz w:val="24"/>
          <w:szCs w:val="24"/>
          <w:rtl/>
        </w:rPr>
        <w:t xml:space="preserve">1] ونحوه وقول النبي صلى الله عليه وسلم (يجمع الله الخلائق يوم القيامة …) وخصومنا يستدلون بقول الأخطل النصراني (إن البيان لفي الفؤاد) بتحريف البيان إلى الكلام " هراء بعيد عن الحقيقة بعد الأرض عن السماء وهراء لا يصدر إلا من السفهاء. ومثل هذا السفه حمل بعض الشافعية أن يشترط في مدرسة بناها بدمشق </w:t>
      </w:r>
      <w:proofErr w:type="gramStart"/>
      <w:r w:rsidR="00777DCB" w:rsidRPr="00A52585">
        <w:rPr>
          <w:rFonts w:hint="cs"/>
          <w:sz w:val="24"/>
          <w:szCs w:val="24"/>
          <w:rtl/>
        </w:rPr>
        <w:t>أن لا</w:t>
      </w:r>
      <w:proofErr w:type="gramEnd"/>
      <w:r w:rsidR="00777DCB" w:rsidRPr="00A52585">
        <w:rPr>
          <w:rFonts w:hint="cs"/>
          <w:sz w:val="24"/>
          <w:szCs w:val="24"/>
          <w:rtl/>
        </w:rPr>
        <w:t xml:space="preserve"> يطأ أرضها يهودي ولا نصراني ولا حشوي حنبلي كما في "الدارس في تاريخ المدارس" وقانا الله شر الغلو</w:t>
      </w:r>
      <w:r w:rsidRPr="00A52585">
        <w:rPr>
          <w:rFonts w:hint="cs"/>
          <w:sz w:val="24"/>
          <w:szCs w:val="24"/>
          <w:rtl/>
        </w:rPr>
        <w:t>]</w:t>
      </w:r>
      <w:r w:rsidR="00777DCB" w:rsidRPr="00A52585">
        <w:rPr>
          <w:rFonts w:hint="cs"/>
          <w:sz w:val="24"/>
          <w:szCs w:val="24"/>
          <w:rtl/>
        </w:rPr>
        <w:t xml:space="preserve"> </w:t>
      </w:r>
      <w:r w:rsidRPr="00A52585">
        <w:rPr>
          <w:rFonts w:hint="cs"/>
          <w:rtl/>
        </w:rPr>
        <w:t>(</w:t>
      </w:r>
      <w:r w:rsidR="00777DCB" w:rsidRPr="00A52585">
        <w:rPr>
          <w:rFonts w:hint="cs"/>
          <w:rtl/>
        </w:rPr>
        <w:t>وتسعون إلى آخره ساقطة من المطبوع</w:t>
      </w:r>
      <w:r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وإليه قد عرج الرسول حقيقة</w:t>
      </w:r>
      <w:r w:rsidRPr="00A52585">
        <w:rPr>
          <w:rFonts w:hint="cs"/>
          <w:rtl/>
        </w:rPr>
        <w:t>)</w:t>
      </w:r>
      <w:r w:rsidR="00DB731D" w:rsidRPr="00A52585">
        <w:rPr>
          <w:rFonts w:hint="cs"/>
          <w:rtl/>
        </w:rPr>
        <w:t>،</w:t>
      </w:r>
      <w:r w:rsidR="00777DCB" w:rsidRPr="00A52585">
        <w:rPr>
          <w:rFonts w:hint="cs"/>
          <w:rtl/>
        </w:rPr>
        <w:t xml:space="preserve"> أين في القرآن إليه</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والله أكبر من أشار رسوله حقاً إليه بأصبع وبنان</w:t>
      </w:r>
      <w:r w:rsidRPr="00A52585">
        <w:rPr>
          <w:rFonts w:hint="cs"/>
          <w:rtl/>
        </w:rPr>
        <w:t>)</w:t>
      </w:r>
      <w:r w:rsidR="00DB731D" w:rsidRPr="00A52585">
        <w:rPr>
          <w:rFonts w:hint="cs"/>
          <w:rtl/>
        </w:rPr>
        <w:t>،</w:t>
      </w:r>
      <w:r w:rsidR="00777DCB" w:rsidRPr="00A52585">
        <w:rPr>
          <w:rFonts w:hint="cs"/>
          <w:rtl/>
        </w:rPr>
        <w:t xml:space="preserve"> أين في الحديث إليه</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والله فوق العرش والكرسي</w:t>
      </w:r>
      <w:r w:rsidRPr="00A52585">
        <w:rPr>
          <w:rFonts w:hint="cs"/>
          <w:rtl/>
        </w:rPr>
        <w:t>)</w:t>
      </w:r>
      <w:r w:rsidR="00DB731D" w:rsidRPr="00A52585">
        <w:rPr>
          <w:rFonts w:hint="cs"/>
          <w:rtl/>
        </w:rPr>
        <w:t>،</w:t>
      </w:r>
      <w:r w:rsidR="00777DCB" w:rsidRPr="00A52585">
        <w:rPr>
          <w:rFonts w:hint="cs"/>
          <w:rtl/>
        </w:rPr>
        <w:t xml:space="preserve"> أين في القرآن إن الله فوق العرش</w:t>
      </w:r>
      <w:r w:rsidR="00F95886" w:rsidRPr="00A52585">
        <w:rPr>
          <w:rFonts w:hint="cs"/>
          <w:rtl/>
        </w:rPr>
        <w:t>؟</w:t>
      </w:r>
      <w:r w:rsidR="00777DCB" w:rsidRPr="00A52585">
        <w:rPr>
          <w:rFonts w:hint="cs"/>
          <w:rtl/>
        </w:rPr>
        <w:t xml:space="preserve"> </w:t>
      </w:r>
    </w:p>
    <w:p w14:paraId="62E5325C" w14:textId="1195E6D4"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تلازم التعطيل والشرك</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واعلم بأن الشرك والتعطيل مذ كانا هما لا شك مصطحبان أبداً فكل معطل هو مشرك</w:t>
      </w:r>
      <w:r w:rsidRPr="00A52585">
        <w:rPr>
          <w:rFonts w:hint="cs"/>
          <w:rtl/>
        </w:rPr>
        <w:t>)</w:t>
      </w:r>
      <w:r w:rsidR="00DB731D" w:rsidRPr="00A52585">
        <w:rPr>
          <w:rFonts w:hint="cs"/>
          <w:rtl/>
        </w:rPr>
        <w:t>،</w:t>
      </w:r>
      <w:r w:rsidR="00777DCB" w:rsidRPr="00A52585">
        <w:rPr>
          <w:rFonts w:hint="cs"/>
          <w:rtl/>
        </w:rPr>
        <w:t xml:space="preserve"> سواء أراد بالتعطيل الإنكار للذات أو إنكار الصفات أو بعضها هو مباين للشرك</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والناس في ذا ثلاث طوائف</w:t>
      </w:r>
      <w:r w:rsidRPr="00A52585">
        <w:rPr>
          <w:rFonts w:hint="cs"/>
          <w:rtl/>
        </w:rPr>
        <w:t>:</w:t>
      </w:r>
      <w:r w:rsidR="00777DCB" w:rsidRPr="00A52585">
        <w:rPr>
          <w:rFonts w:hint="cs"/>
          <w:rtl/>
        </w:rPr>
        <w:t xml:space="preserve"> إحدى الطوائف مشرك بإلهه فإذا دعاه دعا إلهاً ثاني</w:t>
      </w:r>
      <w:r w:rsidR="00DB731D" w:rsidRPr="00A52585">
        <w:rPr>
          <w:rFonts w:hint="cs"/>
          <w:rtl/>
        </w:rPr>
        <w:t>،</w:t>
      </w:r>
      <w:r w:rsidR="00777DCB" w:rsidRPr="00A52585">
        <w:rPr>
          <w:rFonts w:hint="cs"/>
          <w:rtl/>
        </w:rPr>
        <w:t xml:space="preserve"> </w:t>
      </w:r>
      <w:r w:rsidR="00777DCB" w:rsidRPr="00A52585">
        <w:rPr>
          <w:rFonts w:hint="cs"/>
          <w:rtl/>
        </w:rPr>
        <w:lastRenderedPageBreak/>
        <w:t>وثانيها</w:t>
      </w:r>
      <w:r w:rsidRPr="00A52585">
        <w:rPr>
          <w:rFonts w:hint="cs"/>
          <w:rtl/>
        </w:rPr>
        <w:t>:</w:t>
      </w:r>
      <w:r w:rsidR="00777DCB" w:rsidRPr="00A52585">
        <w:rPr>
          <w:rFonts w:hint="cs"/>
          <w:rtl/>
        </w:rPr>
        <w:t xml:space="preserve"> جاحد يدعو سوى الرحمن</w:t>
      </w:r>
      <w:r w:rsidR="00DB731D" w:rsidRPr="00A52585">
        <w:rPr>
          <w:rFonts w:hint="cs"/>
          <w:rtl/>
        </w:rPr>
        <w:t>،</w:t>
      </w:r>
      <w:r w:rsidR="00777DCB" w:rsidRPr="00A52585">
        <w:rPr>
          <w:rFonts w:hint="cs"/>
          <w:rtl/>
        </w:rPr>
        <w:t xml:space="preserve"> هو جاحد للرب يدعو غيره شركا وتعطيلا له قدمان</w:t>
      </w:r>
      <w:r w:rsidRPr="00A52585">
        <w:rPr>
          <w:rFonts w:hint="cs"/>
          <w:rtl/>
        </w:rPr>
        <w:t>)</w:t>
      </w:r>
      <w:r w:rsidR="00DB731D" w:rsidRPr="00A52585">
        <w:rPr>
          <w:rFonts w:hint="cs"/>
          <w:rtl/>
        </w:rPr>
        <w:t>،</w:t>
      </w:r>
      <w:r w:rsidR="00777DCB" w:rsidRPr="00A52585">
        <w:rPr>
          <w:rFonts w:hint="cs"/>
          <w:rtl/>
        </w:rPr>
        <w:t xml:space="preserve"> هذا ما يستقيم يا هذا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وثالث هذه الأقسام خير الخلق فمعطل الأوصاف ذو شرك كذا ذو الشرك فهو معطل الرحمن</w:t>
      </w:r>
      <w:r w:rsidRPr="00A52585">
        <w:rPr>
          <w:rFonts w:hint="cs"/>
          <w:rtl/>
        </w:rPr>
        <w:t>)</w:t>
      </w:r>
      <w:r w:rsidR="00DB731D" w:rsidRPr="00A52585">
        <w:rPr>
          <w:rFonts w:hint="cs"/>
          <w:rtl/>
        </w:rPr>
        <w:t>،</w:t>
      </w:r>
      <w:r w:rsidR="00777DCB" w:rsidRPr="00A52585">
        <w:rPr>
          <w:rFonts w:hint="cs"/>
          <w:rtl/>
        </w:rPr>
        <w:t xml:space="preserve"> </w:t>
      </w:r>
    </w:p>
    <w:p w14:paraId="0DC9E158" w14:textId="1A0A8A77"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 أخو التعطيل شـر من</w:t>
      </w:r>
      <w:r w:rsidR="00897A24" w:rsidRPr="00A52585">
        <w:rPr>
          <w:rFonts w:hint="cs"/>
          <w:rtl/>
        </w:rPr>
        <w:t>.</w:t>
      </w:r>
      <w:r w:rsidR="00777DCB" w:rsidRPr="00A52585">
        <w:rPr>
          <w:rFonts w:hint="cs"/>
          <w:rtl/>
        </w:rPr>
        <w:t>. أخي الإشراك بالمعقول والبرهان</w:t>
      </w:r>
      <w:r w:rsidRPr="00A52585">
        <w:rPr>
          <w:rFonts w:hint="cs"/>
          <w:rtl/>
        </w:rPr>
        <w:t>)</w:t>
      </w:r>
      <w:r w:rsidR="00DB731D" w:rsidRPr="00A52585">
        <w:rPr>
          <w:rFonts w:hint="cs"/>
          <w:rtl/>
        </w:rPr>
        <w:t>،</w:t>
      </w:r>
      <w:r w:rsidR="00777DCB" w:rsidRPr="00A52585">
        <w:rPr>
          <w:rFonts w:hint="cs"/>
          <w:rtl/>
        </w:rPr>
        <w:t xml:space="preserve"> والله لا معقول ولا برهان وأخذ يبينه بما لا يصح وإن كان فيه شيء كثير من الصحيح لا يحصل به </w:t>
      </w:r>
      <w:proofErr w:type="spellStart"/>
      <w:r w:rsidR="00777DCB" w:rsidRPr="00A52585">
        <w:rPr>
          <w:rFonts w:hint="cs"/>
          <w:rtl/>
        </w:rPr>
        <w:t>مقصوده</w:t>
      </w:r>
      <w:proofErr w:type="spellEnd"/>
      <w:r w:rsidR="00777DCB" w:rsidRPr="00A52585">
        <w:rPr>
          <w:rFonts w:hint="cs"/>
          <w:rtl/>
        </w:rPr>
        <w:t xml:space="preserve"> بل يلبس به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لكن أخــو التعطيل ليــس لديه إلا النفي أين النفي من إيمان</w:t>
      </w:r>
      <w:r w:rsidRPr="00A52585">
        <w:rPr>
          <w:rFonts w:hint="cs"/>
          <w:rtl/>
        </w:rPr>
        <w:t>)</w:t>
      </w:r>
      <w:r w:rsidR="00DB731D" w:rsidRPr="00A52585">
        <w:rPr>
          <w:rFonts w:hint="cs"/>
          <w:rtl/>
        </w:rPr>
        <w:t>،</w:t>
      </w:r>
      <w:r w:rsidR="00777DCB" w:rsidRPr="00A52585">
        <w:rPr>
          <w:rFonts w:hint="cs"/>
          <w:rtl/>
        </w:rPr>
        <w:t xml:space="preserve"> </w:t>
      </w:r>
    </w:p>
    <w:p w14:paraId="14D6B25B" w14:textId="2EE2448E" w:rsidR="00777DCB" w:rsidRPr="00A52585" w:rsidRDefault="0002035C" w:rsidP="0002035C">
      <w:pPr>
        <w:pStyle w:val="a4"/>
        <w:widowControl w:val="0"/>
        <w:bidi/>
        <w:spacing w:after="240"/>
        <w:jc w:val="both"/>
        <w:rPr>
          <w:rFonts w:ascii="Traditional Arabic" w:hAnsi="Traditional Arabic" w:cs="Traditional Arabic"/>
          <w:rtl/>
        </w:rPr>
      </w:pPr>
      <w:r w:rsidRPr="00A52585">
        <w:rPr>
          <w:rFonts w:ascii="Traditional Arabic" w:hAnsi="Traditional Arabic" w:cs="Traditional Arabic"/>
          <w:bCs/>
          <w:sz w:val="32"/>
          <w:szCs w:val="32"/>
          <w:rtl/>
        </w:rPr>
        <w:t>[</w:t>
      </w:r>
      <w:r w:rsidR="00777DCB" w:rsidRPr="00A52585">
        <w:rPr>
          <w:rFonts w:ascii="Traditional Arabic" w:hAnsi="Traditional Arabic" w:cs="Traditional Arabic"/>
          <w:bCs/>
          <w:sz w:val="32"/>
          <w:szCs w:val="32"/>
          <w:rtl/>
        </w:rPr>
        <w:t>فصـــــــــل</w:t>
      </w:r>
      <w:r w:rsidRPr="00A52585">
        <w:rPr>
          <w:rFonts w:ascii="Traditional Arabic" w:hAnsi="Traditional Arabic" w:cs="Traditional Arabic"/>
          <w:bCs/>
          <w:sz w:val="32"/>
          <w:szCs w:val="32"/>
          <w:rtl/>
        </w:rPr>
        <w:t>]:</w:t>
      </w:r>
      <w:r w:rsidRPr="00A52585">
        <w:rPr>
          <w:rFonts w:ascii="Traditional Arabic" w:hAnsi="Traditional Arabic" w:cs="Traditional Arabic"/>
          <w:sz w:val="32"/>
          <w:szCs w:val="32"/>
          <w:rtl/>
        </w:rPr>
        <w:t xml:space="preserve"> </w:t>
      </w:r>
      <w:r w:rsidR="00777DCB" w:rsidRPr="00A52585">
        <w:rPr>
          <w:rFonts w:ascii="Traditional Arabic" w:hAnsi="Traditional Arabic" w:cs="Traditional Arabic"/>
          <w:sz w:val="32"/>
          <w:szCs w:val="32"/>
          <w:rtl/>
        </w:rPr>
        <w:t>في مثل المشرك والمعطل</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قال</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"أين الذي قد قال في ملك عظيم لســت فينا قــط ذا سلـطان"</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فذكر ثمانية أبيات من هذا الخطاب الذي قد خرق حجاب الهيبة ثم قال</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هذا وثان قال أنت </w:t>
      </w:r>
      <w:proofErr w:type="spellStart"/>
      <w:r w:rsidR="00777DCB" w:rsidRPr="00A52585">
        <w:rPr>
          <w:rFonts w:ascii="Traditional Arabic" w:hAnsi="Traditional Arabic" w:cs="Traditional Arabic"/>
          <w:sz w:val="32"/>
          <w:szCs w:val="32"/>
          <w:rtl/>
        </w:rPr>
        <w:t>مليكنا</w:t>
      </w:r>
      <w:proofErr w:type="spellEnd"/>
      <w:r w:rsidR="00777DCB" w:rsidRPr="00A52585">
        <w:rPr>
          <w:rFonts w:ascii="Traditional Arabic" w:hAnsi="Traditional Arabic" w:cs="Traditional Arabic"/>
          <w:sz w:val="32"/>
          <w:szCs w:val="32"/>
          <w:rtl/>
        </w:rPr>
        <w:t xml:space="preserve"> إذ حزت أوصاف الكمال ولقد جلست على سرير الملك متصفا بتدبير عظيم </w:t>
      </w:r>
      <w:proofErr w:type="spellStart"/>
      <w:r w:rsidR="00777DCB" w:rsidRPr="00A52585">
        <w:rPr>
          <w:rFonts w:ascii="Traditional Arabic" w:hAnsi="Traditional Arabic" w:cs="Traditional Arabic"/>
          <w:sz w:val="32"/>
          <w:szCs w:val="32"/>
          <w:rtl/>
        </w:rPr>
        <w:t>الشان</w:t>
      </w:r>
      <w:proofErr w:type="spellEnd"/>
      <w:r w:rsidRPr="00A52585">
        <w:rPr>
          <w:rFonts w:ascii="Traditional Arabic" w:hAnsi="Traditional Arabic" w:cs="Traditional Arabic"/>
          <w:sz w:val="32"/>
          <w:szCs w:val="32"/>
          <w:rtl/>
        </w:rPr>
        <w:t>)</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هذا تصريح بالجلوس</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r w:rsidRPr="00A52585">
        <w:rPr>
          <w:rFonts w:ascii="Traditional Arabic" w:hAnsi="Traditional Arabic" w:cs="Traditional Arabic"/>
          <w:rtl/>
        </w:rPr>
        <w:t>[</w:t>
      </w:r>
      <w:r w:rsidR="00777DCB" w:rsidRPr="00A52585">
        <w:rPr>
          <w:rFonts w:ascii="Traditional Arabic" w:hAnsi="Traditional Arabic" w:cs="Traditional Arabic"/>
          <w:rtl/>
        </w:rPr>
        <w:t>قال المحقق</w:t>
      </w:r>
      <w:r w:rsidRPr="00A52585">
        <w:rPr>
          <w:rFonts w:ascii="Traditional Arabic" w:hAnsi="Traditional Arabic" w:cs="Traditional Arabic"/>
          <w:rtl/>
        </w:rPr>
        <w:t xml:space="preserve">: </w:t>
      </w:r>
      <w:r w:rsidR="00777DCB" w:rsidRPr="00A52585">
        <w:rPr>
          <w:rFonts w:ascii="Traditional Arabic" w:hAnsi="Traditional Arabic" w:cs="Traditional Arabic"/>
          <w:rtl/>
        </w:rPr>
        <w:t xml:space="preserve">يعجب المصنف كيف يصرح الناظم بالجلوس. ولأحد تلامذته الأخصاء جزء في إثبات المماسة رداً على من ينـزه الله سبحانه عن ذلك. وما ينطوي عليه هؤلاء أفظع بكثير من فلتات لسانهم؛ فلو كانوا بين قوم على معتقدهم لكنت تراهم يصرحون بكل ما تكن صدورهم. قال ذلك التلميذ أعني محمداً </w:t>
      </w:r>
      <w:proofErr w:type="spellStart"/>
      <w:r w:rsidR="00777DCB" w:rsidRPr="00A52585">
        <w:rPr>
          <w:rFonts w:ascii="Traditional Arabic" w:hAnsi="Traditional Arabic" w:cs="Traditional Arabic"/>
          <w:rtl/>
        </w:rPr>
        <w:t>المنبجي</w:t>
      </w:r>
      <w:proofErr w:type="spellEnd"/>
      <w:r w:rsidR="00777DCB" w:rsidRPr="00A52585">
        <w:rPr>
          <w:rFonts w:ascii="Traditional Arabic" w:hAnsi="Traditional Arabic" w:cs="Traditional Arabic"/>
          <w:rtl/>
        </w:rPr>
        <w:t xml:space="preserve"> صاحب "الفرج بعد الشدة" في الجزء المذكور</w:t>
      </w:r>
      <w:r w:rsidRPr="00A52585">
        <w:rPr>
          <w:rFonts w:ascii="Traditional Arabic" w:hAnsi="Traditional Arabic" w:cs="Traditional Arabic"/>
          <w:rtl/>
        </w:rPr>
        <w:t>:</w:t>
      </w:r>
      <w:r w:rsidR="00777DCB" w:rsidRPr="00A52585">
        <w:rPr>
          <w:rFonts w:ascii="Traditional Arabic" w:hAnsi="Traditional Arabic" w:cs="Traditional Arabic"/>
          <w:rtl/>
        </w:rPr>
        <w:t xml:space="preserve"> قال الخلال في كتاب "السنة" حدثنا أحمد بن الحسين الرقي حدثنا إبراهيم بن المنذر حدثنا محمد بن فليح حدثني أبي عن سعيد بن الحارث عن عبيد بن حنين قال</w:t>
      </w:r>
      <w:r w:rsidRPr="00A52585">
        <w:rPr>
          <w:rFonts w:ascii="Traditional Arabic" w:hAnsi="Traditional Arabic" w:cs="Traditional Arabic"/>
          <w:rtl/>
        </w:rPr>
        <w:t>:</w:t>
      </w:r>
      <w:r w:rsidR="00777DCB" w:rsidRPr="00A52585">
        <w:rPr>
          <w:rFonts w:ascii="Traditional Arabic" w:hAnsi="Traditional Arabic" w:cs="Traditional Arabic"/>
          <w:rtl/>
        </w:rPr>
        <w:t xml:space="preserve"> بينما أنا جالس في</w:t>
      </w:r>
      <w:r w:rsidRPr="00A52585">
        <w:rPr>
          <w:rFonts w:ascii="Traditional Arabic" w:hAnsi="Traditional Arabic" w:cs="Traditional Arabic"/>
          <w:rtl/>
        </w:rPr>
        <w:t xml:space="preserve"> </w:t>
      </w:r>
      <w:r w:rsidR="00777DCB" w:rsidRPr="00A52585">
        <w:rPr>
          <w:rFonts w:ascii="Traditional Arabic" w:hAnsi="Traditional Arabic" w:cs="Traditional Arabic"/>
          <w:rtl/>
        </w:rPr>
        <w:t>المسجد إذ جاءني قتادة بن النعمان يحدث وثاب إليه الناس، فقال سمعت رسول الله صلى الله عليه وسلم يقول</w:t>
      </w:r>
      <w:r w:rsidRPr="00A52585">
        <w:rPr>
          <w:rFonts w:ascii="Traditional Arabic" w:hAnsi="Traditional Arabic" w:cs="Traditional Arabic"/>
          <w:rtl/>
        </w:rPr>
        <w:t>:</w:t>
      </w:r>
      <w:r w:rsidR="00777DCB" w:rsidRPr="00A52585">
        <w:rPr>
          <w:rFonts w:ascii="Traditional Arabic" w:hAnsi="Traditional Arabic" w:cs="Traditional Arabic"/>
          <w:rtl/>
        </w:rPr>
        <w:t xml:space="preserve"> " إن الله لما فرغ من خلقه استوى على عرشه واستلقى ووضع إحدى رجليه على الأخرى وقال إنها لا تصلح لبشر "</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قال الحافظ الذهبي وغيره إسناده على شرط البخاري ومسلم اهـ.، ولعلك علمت بذلك قيمة كتاب "السنة" للخلال، وفي ذلك الجزء من </w:t>
      </w:r>
      <w:proofErr w:type="spellStart"/>
      <w:r w:rsidR="00777DCB" w:rsidRPr="00A52585">
        <w:rPr>
          <w:rFonts w:ascii="Traditional Arabic" w:hAnsi="Traditional Arabic" w:cs="Traditional Arabic"/>
          <w:rtl/>
        </w:rPr>
        <w:t>المخازي</w:t>
      </w:r>
      <w:proofErr w:type="spellEnd"/>
      <w:r w:rsidR="00777DCB" w:rsidRPr="00A52585">
        <w:rPr>
          <w:rFonts w:ascii="Traditional Arabic" w:hAnsi="Traditional Arabic" w:cs="Traditional Arabic"/>
          <w:rtl/>
        </w:rPr>
        <w:t xml:space="preserve"> ما يضاهي ما نقلناه آنفاً، ولابن بدران </w:t>
      </w:r>
      <w:proofErr w:type="spellStart"/>
      <w:r w:rsidR="00777DCB" w:rsidRPr="00A52585">
        <w:rPr>
          <w:rFonts w:ascii="Traditional Arabic" w:hAnsi="Traditional Arabic" w:cs="Traditional Arabic"/>
          <w:rtl/>
        </w:rPr>
        <w:t>الدشتي</w:t>
      </w:r>
      <w:proofErr w:type="spellEnd"/>
      <w:r w:rsidR="00777DCB" w:rsidRPr="00A52585">
        <w:rPr>
          <w:rFonts w:ascii="Traditional Arabic" w:hAnsi="Traditional Arabic" w:cs="Traditional Arabic"/>
          <w:rtl/>
        </w:rPr>
        <w:t xml:space="preserve"> جزء في إثبات الحد والجلوس لله سبحانه؛ ويسوق فيه الحديث المذكور بطرق كما ذكرت ذلك فيما علقت على "ذيول طبقات الحفاظ" قاتلهم الله ما أجرأهم على الله. ولعلك علمت بذلك أيضاً قيمة تهويلهم بأنهم يتابعون السنة كما علمت قيمة تصحيحهم للروايات المطابقة لزيغهم</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r w:rsidR="00777DCB" w:rsidRPr="00A52585">
        <w:rPr>
          <w:rFonts w:ascii="Traditional Arabic" w:hAnsi="Traditional Arabic" w:cs="Traditional Arabic"/>
          <w:bCs/>
          <w:rtl/>
        </w:rPr>
        <w:t>" تنبيه "</w:t>
      </w:r>
      <w:r w:rsidR="00777DCB" w:rsidRPr="00A52585">
        <w:rPr>
          <w:rFonts w:ascii="Traditional Arabic" w:hAnsi="Traditional Arabic" w:cs="Traditional Arabic"/>
          <w:rtl/>
        </w:rPr>
        <w:t xml:space="preserve"> الذهبي يبعد عن رشده ويفقد صوابه إذا جاء دور الكلام على أحاديث في </w:t>
      </w:r>
      <w:proofErr w:type="gramStart"/>
      <w:r w:rsidR="00777DCB" w:rsidRPr="00A52585">
        <w:rPr>
          <w:rFonts w:ascii="Traditional Arabic" w:hAnsi="Traditional Arabic" w:cs="Traditional Arabic"/>
          <w:rtl/>
        </w:rPr>
        <w:t>الصفات,</w:t>
      </w:r>
      <w:proofErr w:type="gramEnd"/>
      <w:r w:rsidR="00777DCB" w:rsidRPr="00A52585">
        <w:rPr>
          <w:rFonts w:ascii="Traditional Arabic" w:hAnsi="Traditional Arabic" w:cs="Traditional Arabic"/>
          <w:rtl/>
        </w:rPr>
        <w:t xml:space="preserve"> أو في فضائل النبي صلى الله عليه </w:t>
      </w:r>
      <w:proofErr w:type="spellStart"/>
      <w:r w:rsidR="00777DCB" w:rsidRPr="00A52585">
        <w:rPr>
          <w:rFonts w:ascii="Traditional Arabic" w:hAnsi="Traditional Arabic" w:cs="Traditional Arabic"/>
          <w:rtl/>
        </w:rPr>
        <w:t>وآله</w:t>
      </w:r>
      <w:proofErr w:type="spellEnd"/>
      <w:r w:rsidR="00777DCB" w:rsidRPr="00A52585">
        <w:rPr>
          <w:rFonts w:ascii="Traditional Arabic" w:hAnsi="Traditional Arabic" w:cs="Traditional Arabic"/>
          <w:rtl/>
        </w:rPr>
        <w:t xml:space="preserve"> وسلم, أو أهل بيته عليهم السلام. وكذلك حينما يترجم لشافعي من </w:t>
      </w:r>
      <w:proofErr w:type="gramStart"/>
      <w:r w:rsidR="00777DCB" w:rsidRPr="00A52585">
        <w:rPr>
          <w:rFonts w:ascii="Traditional Arabic" w:hAnsi="Traditional Arabic" w:cs="Traditional Arabic"/>
          <w:rtl/>
        </w:rPr>
        <w:t>الأشاعرة,</w:t>
      </w:r>
      <w:proofErr w:type="gramEnd"/>
      <w:r w:rsidR="00777DCB" w:rsidRPr="00A52585">
        <w:rPr>
          <w:rFonts w:ascii="Traditional Arabic" w:hAnsi="Traditional Arabic" w:cs="Traditional Arabic"/>
          <w:rtl/>
        </w:rPr>
        <w:t xml:space="preserve"> أو حنفي مطلقا؛ رغم تظاهره بالإنصاف والبعد عن التعصب في كثير من المواضع على سعة علمه في الحديث ورجاله. فهل يتصور من عالم يعقل ما يقول </w:t>
      </w:r>
      <w:proofErr w:type="gramStart"/>
      <w:r w:rsidR="00777DCB" w:rsidRPr="00A52585">
        <w:rPr>
          <w:rFonts w:ascii="Traditional Arabic" w:hAnsi="Traditional Arabic" w:cs="Traditional Arabic"/>
          <w:rtl/>
        </w:rPr>
        <w:t>أن</w:t>
      </w:r>
      <w:proofErr w:type="gramEnd"/>
      <w:r w:rsidR="00777DCB" w:rsidRPr="00A52585">
        <w:rPr>
          <w:rFonts w:ascii="Traditional Arabic" w:hAnsi="Traditional Arabic" w:cs="Traditional Arabic"/>
          <w:rtl/>
        </w:rPr>
        <w:t xml:space="preserve"> يصحح مثل هذا الحديث الذي بطلانه أظهر من الشمس في ضحوة النهار</w:t>
      </w:r>
      <w:r w:rsidR="00F95886" w:rsidRPr="00A52585">
        <w:rPr>
          <w:rFonts w:ascii="Traditional Arabic" w:hAnsi="Traditional Arabic" w:cs="Traditional Arabic"/>
          <w:rtl/>
        </w:rPr>
        <w:t>؟</w:t>
      </w:r>
      <w:r w:rsidR="00777DCB" w:rsidRPr="00A52585">
        <w:rPr>
          <w:rFonts w:ascii="Traditional Arabic" w:hAnsi="Traditional Arabic" w:cs="Traditional Arabic"/>
          <w:rtl/>
        </w:rPr>
        <w:t xml:space="preserve"> فطالب الحق لا يعير سمعاً لأقواله فيما ذكرناه. وهو شافعي الفروع إلا أنه مجسم اعتقاداً رغم تبريه منه في كثير من المواضع؛ وعنده نـزعة خارجية وإن كان أهون شراً بكثير من الناظم وشيخه في ذلك كله. ومن لا يكون متساهلاً في أمر دينه، لا يثق بكلام مثله فيما ذكرناه بعد أن عرف </w:t>
      </w:r>
      <w:proofErr w:type="spellStart"/>
      <w:r w:rsidR="00777DCB" w:rsidRPr="00A52585">
        <w:rPr>
          <w:rFonts w:ascii="Traditional Arabic" w:hAnsi="Traditional Arabic" w:cs="Traditional Arabic"/>
          <w:rtl/>
        </w:rPr>
        <w:t>دخائله</w:t>
      </w:r>
      <w:proofErr w:type="spellEnd"/>
      <w:r w:rsidR="00777DCB" w:rsidRPr="00A52585">
        <w:rPr>
          <w:rFonts w:ascii="Traditional Arabic" w:hAnsi="Traditional Arabic" w:cs="Traditional Arabic"/>
          <w:rtl/>
        </w:rPr>
        <w:t xml:space="preserve">. والتاج ابن السبكي أطراه غاية الإطراء حيثما ترجم له في طبقات الشافعية الكبرى أداءً لحق التلمذة </w:t>
      </w:r>
      <w:proofErr w:type="gramStart"/>
      <w:r w:rsidR="00777DCB" w:rsidRPr="00A52585">
        <w:rPr>
          <w:rFonts w:ascii="Traditional Arabic" w:hAnsi="Traditional Arabic" w:cs="Traditional Arabic"/>
          <w:rtl/>
        </w:rPr>
        <w:t>عليه,</w:t>
      </w:r>
      <w:proofErr w:type="gramEnd"/>
      <w:r w:rsidR="00777DCB" w:rsidRPr="00A52585">
        <w:rPr>
          <w:rFonts w:ascii="Traditional Arabic" w:hAnsi="Traditional Arabic" w:cs="Traditional Arabic"/>
          <w:rtl/>
        </w:rPr>
        <w:t xml:space="preserve"> لكن لم يمنعه ذلك من الإشارة إلى ما ينطوي عليه من البدع والأهواء في مواضع من كتابه حيث قال في الكتاب المذكور (1 - 197)</w:t>
      </w:r>
      <w:r w:rsidRPr="00A52585">
        <w:rPr>
          <w:rFonts w:ascii="Traditional Arabic" w:hAnsi="Traditional Arabic" w:cs="Traditional Arabic"/>
          <w:rtl/>
        </w:rPr>
        <w:t>:</w:t>
      </w:r>
      <w:r w:rsidR="00777DCB" w:rsidRPr="00A52585">
        <w:rPr>
          <w:rFonts w:ascii="Traditional Arabic" w:hAnsi="Traditional Arabic" w:cs="Traditional Arabic"/>
          <w:rtl/>
        </w:rPr>
        <w:t xml:space="preserve"> "وأما تاريخ شيخنا الذهبي فإنه على حسنه وجمعه مشحون بالتعصب المفرط، لا آخذه الله. فلقد أكثر الوقيعة في أهل الدين -</w:t>
      </w:r>
      <w:r w:rsidRPr="00A52585">
        <w:rPr>
          <w:rFonts w:ascii="Traditional Arabic" w:hAnsi="Traditional Arabic" w:cs="Traditional Arabic"/>
          <w:rtl/>
        </w:rPr>
        <w:t xml:space="preserve"> </w:t>
      </w:r>
      <w:r w:rsidR="00777DCB" w:rsidRPr="00A52585">
        <w:rPr>
          <w:rFonts w:ascii="Traditional Arabic" w:hAnsi="Traditional Arabic" w:cs="Traditional Arabic"/>
          <w:rtl/>
        </w:rPr>
        <w:t>أعني الفقراء الذين هم صفوة الخلق -</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(2 - 249) من الكتاب المذكور</w:t>
      </w:r>
      <w:r w:rsidRPr="00A52585">
        <w:rPr>
          <w:rFonts w:ascii="Traditional Arabic" w:hAnsi="Traditional Arabic" w:cs="Traditional Arabic"/>
          <w:rtl/>
        </w:rPr>
        <w:t>:</w:t>
      </w:r>
      <w:r w:rsidR="00777DCB" w:rsidRPr="00A52585">
        <w:rPr>
          <w:rFonts w:ascii="Traditional Arabic" w:hAnsi="Traditional Arabic" w:cs="Traditional Arabic"/>
          <w:rtl/>
        </w:rPr>
        <w:t>" وتأتي أنت تتسكع في ظلم التجسيم الذي تدعي أنك برئ منه؛ وأنت من أعظم الدعاة إليه وتزعم أنك تعرف هذا الفن (يعني علم أصول الدين) وأنت لا تفهم منه نقيراً ولا قطميراً اهـ"</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r w:rsidRPr="00A52585">
        <w:rPr>
          <w:rFonts w:ascii="Traditional Arabic" w:hAnsi="Traditional Arabic" w:cs="Traditional Arabic"/>
          <w:rtl/>
        </w:rPr>
        <w:t>[</w:t>
      </w:r>
      <w:r w:rsidR="00777DCB" w:rsidRPr="00A52585">
        <w:rPr>
          <w:rFonts w:ascii="Traditional Arabic" w:hAnsi="Traditional Arabic" w:cs="Traditional Arabic"/>
          <w:bCs/>
          <w:rtl/>
        </w:rPr>
        <w:t xml:space="preserve">حال الذهبي </w:t>
      </w:r>
      <w:r w:rsidR="00777DCB" w:rsidRPr="00A52585">
        <w:rPr>
          <w:rFonts w:ascii="Traditional Arabic" w:hAnsi="Traditional Arabic" w:cs="Traditional Arabic"/>
          <w:bCs/>
        </w:rPr>
        <w:t>–</w:t>
      </w:r>
      <w:r w:rsidR="00777DCB" w:rsidRPr="00A52585">
        <w:rPr>
          <w:rFonts w:ascii="Traditional Arabic" w:hAnsi="Traditional Arabic" w:cs="Traditional Arabic"/>
          <w:bCs/>
          <w:rtl/>
        </w:rPr>
        <w:t xml:space="preserve"> ما له وما عليه</w:t>
      </w:r>
      <w:r w:rsidRPr="00A52585">
        <w:rPr>
          <w:rFonts w:ascii="Traditional Arabic" w:hAnsi="Traditional Arabic" w:cs="Traditional Arabic"/>
          <w:bCs/>
          <w:rtl/>
        </w:rPr>
        <w:t>]</w:t>
      </w:r>
      <w:r w:rsidR="00DB731D" w:rsidRPr="00A52585">
        <w:rPr>
          <w:rFonts w:ascii="Traditional Arabic" w:hAnsi="Traditional Arabic" w:cs="Traditional Arabic"/>
          <w:bCs/>
          <w:rtl/>
        </w:rPr>
        <w:t>،</w:t>
      </w:r>
      <w:r w:rsidR="00777DCB" w:rsidRPr="00A52585">
        <w:rPr>
          <w:rFonts w:ascii="Traditional Arabic" w:hAnsi="Traditional Arabic" w:cs="Traditional Arabic"/>
          <w:bCs/>
          <w:rtl/>
        </w:rPr>
        <w:t xml:space="preserve"> </w:t>
      </w:r>
      <w:r w:rsidR="00777DCB" w:rsidRPr="00A52585">
        <w:rPr>
          <w:rFonts w:ascii="Traditional Arabic" w:hAnsi="Traditional Arabic" w:cs="Traditional Arabic"/>
          <w:rtl/>
        </w:rPr>
        <w:t>وقال أيضاً في ترجمة ابن جرير ناقلا عن الحافظ صلاح الدين العلائي أنه قال عن الذهبي ما نصه</w:t>
      </w:r>
      <w:r w:rsidRPr="00A52585">
        <w:rPr>
          <w:rFonts w:ascii="Traditional Arabic" w:hAnsi="Traditional Arabic" w:cs="Traditional Arabic"/>
          <w:rtl/>
        </w:rPr>
        <w:t>:</w:t>
      </w:r>
      <w:r w:rsidR="00777DCB" w:rsidRPr="00A52585">
        <w:rPr>
          <w:rFonts w:ascii="Traditional Arabic" w:hAnsi="Traditional Arabic" w:cs="Traditional Arabic"/>
          <w:rtl/>
        </w:rPr>
        <w:t xml:space="preserve"> " لا أشك في دينه وورعه وتحريه فيما يقوله عن الناس ولكنه غلب عليه مذهب الإثبات ومنافرة التأويل والغفلة عن التنـزيه حتى أثر ذلك في طبعه انحرافا شديداً عن أهل التنـزيه وميلا قويا إلى أهل الإثبات. فإذا ترجم واحداً منهم يطنب في وصفه بجميع ما قيل فهي من </w:t>
      </w:r>
      <w:r w:rsidR="00777DCB" w:rsidRPr="00A52585">
        <w:rPr>
          <w:rFonts w:ascii="Traditional Arabic" w:hAnsi="Traditional Arabic" w:cs="Traditional Arabic"/>
          <w:rtl/>
        </w:rPr>
        <w:lastRenderedPageBreak/>
        <w:t>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ونحو ذلك وسببه المخالفة في العقائد، انتهى"</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قال التاج ابن السبكي عقب ما تقدم ما نصه</w:t>
      </w:r>
      <w:r w:rsidRPr="00A52585">
        <w:rPr>
          <w:rFonts w:ascii="Traditional Arabic" w:hAnsi="Traditional Arabic" w:cs="Traditional Arabic"/>
          <w:rtl/>
        </w:rPr>
        <w:t>:</w:t>
      </w:r>
      <w:r w:rsidR="00777DCB" w:rsidRPr="00A52585">
        <w:rPr>
          <w:rFonts w:ascii="Traditional Arabic" w:hAnsi="Traditional Arabic" w:cs="Traditional Arabic"/>
          <w:rtl/>
        </w:rPr>
        <w:t xml:space="preserve"> " والحال في شيخنا الذهبي أزيد مما وصف. وهو شيخنا ومعلمنا غير أن الحق أحق أن يتبع وقد وصل من التعصب المفرط إلى حد يسخر منه؛ وأنا أخشى عليه يوم القيامة عند من لعل أدناه عنده أوجه منه؛ فالله المسئول أن يخفف عنه وأن يلهمهم العفو عنه وأن يشفعهم فيه. والذي أدركنا عليه المشايخ النهي عن النظر في كلامه وعدم اعتبار قوله ولم يكن يستجرى أن يظهر كتبه التاريخية إلا لمن يغلب على ظنه أنه لا ينقل عنه ما يعاب عليه. وأما قول العلائي عن [دينه وورعه وتحريه فيما يقوله</w:t>
      </w:r>
      <w:r w:rsidRPr="00A52585">
        <w:rPr>
          <w:rFonts w:ascii="Traditional Arabic" w:hAnsi="Traditional Arabic" w:cs="Traditional Arabic"/>
          <w:rtl/>
        </w:rPr>
        <w:t>]</w:t>
      </w:r>
      <w:r w:rsidR="00777DCB" w:rsidRPr="00A52585">
        <w:rPr>
          <w:rFonts w:ascii="Traditional Arabic" w:hAnsi="Traditional Arabic" w:cs="Traditional Arabic"/>
          <w:rtl/>
        </w:rPr>
        <w:t xml:space="preserve"> فقد كنت أعتقد ذلك وأقول عند هذه الأشياء ربما اعتقدها دينا، ومنها أمور أقطع بأنه يعرف بأنها كذب وأقطع بأنه لا يختلقها وأقطع بأنه يحب وضعها في كتبه لتنشر وأقطع بأنه يحب أن يعتقد سامعها صحتها بغضا للمتحدث فيه وتنفيراً للناس عنه مع قلة معرفته بمدلولات الألفاظ ومع اعتقاده (أن ذلك) مما يوجب نصر العقيدة التي يعتقدها هو حقاً، ومع عدم ممارسته لعلوم الشريعة؛ غير أني لما أكثرت بعد موته النظر في كلامه عند الاحتياج إلى النظر فيه توقفت في تحريه فيما يقوله ولا أزيد على هذا غير الإحالة على كلامه " … إلى آخر ما قاله فليراجع باقي كلامه من أراد المزيد على ما نقلنا</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وقال التاج أيضاً في طبقاته وهو يترجم لإمام الحرمين ما نصه</w:t>
      </w:r>
      <w:r w:rsidRPr="00A52585">
        <w:rPr>
          <w:rFonts w:ascii="Traditional Arabic" w:hAnsi="Traditional Arabic" w:cs="Traditional Arabic"/>
          <w:rtl/>
        </w:rPr>
        <w:t>:</w:t>
      </w:r>
      <w:r w:rsidR="00777DCB" w:rsidRPr="00A52585">
        <w:rPr>
          <w:rFonts w:ascii="Traditional Arabic" w:hAnsi="Traditional Arabic" w:cs="Traditional Arabic"/>
          <w:rtl/>
        </w:rPr>
        <w:t xml:space="preserve"> " وقد كان الذهبي لا يدري "شرح البرهان"، ولا هذه الصناعة،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وهي عقلية ترى الخرافات حقا تودع في المصنفات ويبنى عليها ما يتخذه عباد الله دينا. ورجل هذا حاله أي قدر يكون قدره عند أولى النهي، الذين عرفوا </w:t>
      </w:r>
      <w:proofErr w:type="spellStart"/>
      <w:r w:rsidR="00777DCB" w:rsidRPr="00A52585">
        <w:rPr>
          <w:rFonts w:ascii="Traditional Arabic" w:hAnsi="Traditional Arabic" w:cs="Traditional Arabic"/>
          <w:rtl/>
        </w:rPr>
        <w:t>دخائله</w:t>
      </w:r>
      <w:proofErr w:type="spellEnd"/>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ولسنا نطيل النقل للقارئ في شأن سقوط كلام هذا الرجل في علماء الحنفية والمالكية والشافعية وهم قادة الأمة وأدلاؤها إذا ادلهم ليل المشكلات. وكفى القارئ في هذا الرجل قول ابن السبكي السابق (والذي أدركنا عليه المشايخ النهي عن النظر في كلامه وعدم اعتبار قوله) فإن هذا معناه القضاء على الرجل وإسقاطه من عداد العلماء الذين يحترم قولهم، ليتأمل القارئ طويلا في قول التاج ابن السبكي السابق أيضاً (ولم يكن يستجرى أن يظهر كتبه التاريخية إلا لمن يغلب على ظنه أن لا ينقل عنه ما يعاب عليه) فإن هذا معناه أن الرجل كان يعلم حق العلم أنه قال في تلك الكتب ما يوقن أنه ليس بحق، ولذلك كان يحرص على أن لا يطلع الناس عليه لئلا يفتضح بأكاذيبه البعيدة عما عليه العلماء الذين يكتب عنهم. وأرجو وألح في الرجاء </w:t>
      </w:r>
      <w:proofErr w:type="gramStart"/>
      <w:r w:rsidR="00777DCB" w:rsidRPr="00A52585">
        <w:rPr>
          <w:rFonts w:ascii="Traditional Arabic" w:hAnsi="Traditional Arabic" w:cs="Traditional Arabic"/>
          <w:rtl/>
        </w:rPr>
        <w:t>أن لا</w:t>
      </w:r>
      <w:proofErr w:type="gramEnd"/>
      <w:r w:rsidR="00777DCB" w:rsidRPr="00A52585">
        <w:rPr>
          <w:rFonts w:ascii="Traditional Arabic" w:hAnsi="Traditional Arabic" w:cs="Traditional Arabic"/>
          <w:rtl/>
        </w:rPr>
        <w:t xml:space="preserve"> يغفل القارئ عن قول صاحب الطبقات السابق في هذا الرجل من أنه (كان قليل المعرفة بمدلولات الألفاظ) ومن من العقلاء يرضى أن يسقط نفسه فيعد من زمرة العلماء رجلا يصل به الجهل إلى درجة قلة المعرفة بمدلولات الألفاظ</w:t>
      </w:r>
      <w:r w:rsidR="00F95886" w:rsidRPr="00A52585">
        <w:rPr>
          <w:rFonts w:ascii="Traditional Arabic" w:hAnsi="Traditional Arabic" w:cs="Traditional Arabic"/>
          <w:rtl/>
        </w:rPr>
        <w:t>؟</w:t>
      </w:r>
      <w:r w:rsidR="00777DCB" w:rsidRPr="00A52585">
        <w:rPr>
          <w:rFonts w:ascii="Traditional Arabic" w:hAnsi="Traditional Arabic" w:cs="Traditional Arabic"/>
          <w:rtl/>
        </w:rPr>
        <w:t xml:space="preserve"> كما أرجو القارئ أيضاً وأشدد في هذا الرجاء أن يلتفت لقول صاحب جمع الجوامع (إن الذهبي لم يمارس علوم الشريعة) ومن فقد رشده وضاع صوابه حتى يستطيع أن يعد من العلماء رجلا لم يمارس الشريعة فليعلم حق العلم ليراعي حق الرعاية. ولا ينسى القارئ أن ما تقدم شهادة تلميذ هو إمام؛ فهو أعرف بشيخه. ولعل هذا يكفي في دفع ما ربما يقوله بعض المغرورين بالذهبي أو ينقله عن بعض المغرورين</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وقد أشرت إلى حاله في مواضع مما علقت به على "ذيول طبقات الحفاظ" و"زغل العلم"</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ومما يزيدك بصيرة في هذا الباب اجتراء الذهبي على حذف لفظ (إن صحت الحكاية عنه) من كلام البيهقي في الأسماء والصفات (ص 303) عندما نقل كلامه في كتاب العلو (ص126) في صدد نسبة القول بأن الله في السماء، إلى أبي حنيفة ليخيل إلى السامع أن سند هذه الرواية لا مغمز فيه مع أن نوحاً الجامع ربيب مقاتل بن سليمان المجسم، في السند هالك مثل زوج أمه، وكذلك نعيم بن حماد ربيب نوح، وقد ذكره كثير من أئمة أصول الدين في عداد المجسمة فأين التعويل على رواية مجسم فيما يحتج به لمذهبه</w:t>
      </w:r>
      <w:r w:rsidR="00F95886" w:rsidRPr="00A52585">
        <w:rPr>
          <w:rFonts w:ascii="Traditional Arabic" w:hAnsi="Traditional Arabic" w:cs="Traditional Arabic"/>
          <w:rtl/>
        </w:rPr>
        <w:t>؟</w:t>
      </w:r>
      <w:r w:rsidR="00777DCB" w:rsidRPr="00A52585">
        <w:rPr>
          <w:rFonts w:ascii="Traditional Arabic" w:hAnsi="Traditional Arabic" w:cs="Traditional Arabic"/>
          <w:rtl/>
        </w:rPr>
        <w:t xml:space="preserve"> وليس بقليل ما ذكره الذهبي في حقهما في ميزان الاعتدال. على أنه لو سبق التفاف نحو عشرة آلاف شخص حول بدعة امرأة أتت من </w:t>
      </w:r>
      <w:proofErr w:type="spellStart"/>
      <w:r w:rsidR="00777DCB" w:rsidRPr="00A52585">
        <w:rPr>
          <w:rFonts w:ascii="Traditional Arabic" w:hAnsi="Traditional Arabic" w:cs="Traditional Arabic"/>
          <w:rtl/>
        </w:rPr>
        <w:t>ترمذ</w:t>
      </w:r>
      <w:proofErr w:type="spellEnd"/>
      <w:r w:rsidR="00777DCB" w:rsidRPr="00A52585">
        <w:rPr>
          <w:rFonts w:ascii="Traditional Arabic" w:hAnsi="Traditional Arabic" w:cs="Traditional Arabic"/>
          <w:rtl/>
        </w:rPr>
        <w:t xml:space="preserve"> إلى الكوفة للدعوة إلى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الذي يحوي كل هائف. وقد ضعفه بلديه الحافظ العسال، وقد أشار البيهقي بقوله (إن صحت الحكاية) إلى ما في الرواية من وجوه الخلل.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ولأبي حنيفة كلمة في "الفقه الأبسط" رواية أبي مطيع عنه وهي (من قال لا أعرف ربي في السماء أو في الأرض كفر) وعلل الأصحاب ذلك بأن هذا القائل جوز المكان في حقه تعالى وهو كفر</w:t>
      </w:r>
      <w:r w:rsidR="00F95886" w:rsidRPr="00A52585">
        <w:rPr>
          <w:rFonts w:ascii="Traditional Arabic" w:hAnsi="Traditional Arabic" w:cs="Traditional Arabic"/>
          <w:rtl/>
        </w:rPr>
        <w:t>؟</w:t>
      </w:r>
      <w:r w:rsidR="00777DCB" w:rsidRPr="00A52585">
        <w:rPr>
          <w:rFonts w:ascii="Traditional Arabic" w:hAnsi="Traditional Arabic" w:cs="Traditional Arabic"/>
          <w:rtl/>
        </w:rPr>
        <w:t xml:space="preserve"> وما طبع في الهند باسم "شرح الفقه الأكبر" للماتريدي إنما هو شرح أبي الليث على "الفقه الأبسط" مع سقم النسخة الهندية. وبدار الكتب المصرية نسخة </w:t>
      </w:r>
      <w:r w:rsidR="00777DCB" w:rsidRPr="00A52585">
        <w:rPr>
          <w:rFonts w:ascii="Traditional Arabic" w:hAnsi="Traditional Arabic" w:cs="Traditional Arabic"/>
          <w:rtl/>
        </w:rPr>
        <w:lastRenderedPageBreak/>
        <w:t>خطية جيدة من شرح أبي الليث. وقد زاد أبو إسماعيل الهروي في الفروق على تلك الكلمة ما شاء من كيسه مما يوافق مذهبه في التجسيم كذباً وزوراً بسند مركب، ونقل الذهبي في كتاب "العلو" جملة ذلك بدون أن يذكر سند الهروي في روايته تعمية وترويجاً للباطل، وكذا فعل الناظم في عزوه -</w:t>
      </w:r>
      <w:r w:rsidRPr="00A52585">
        <w:rPr>
          <w:rFonts w:ascii="Traditional Arabic" w:hAnsi="Traditional Arabic" w:cs="Traditional Arabic"/>
          <w:rtl/>
        </w:rPr>
        <w:t xml:space="preserve"> </w:t>
      </w:r>
      <w:r w:rsidR="00777DCB" w:rsidRPr="00A52585">
        <w:rPr>
          <w:rFonts w:ascii="Traditional Arabic" w:hAnsi="Traditional Arabic" w:cs="Traditional Arabic"/>
          <w:rtl/>
        </w:rPr>
        <w:t xml:space="preserve">راجع "شرح أبي الليث" و"شرح </w:t>
      </w:r>
      <w:proofErr w:type="spellStart"/>
      <w:r w:rsidR="00777DCB" w:rsidRPr="00A52585">
        <w:rPr>
          <w:rFonts w:ascii="Traditional Arabic" w:hAnsi="Traditional Arabic" w:cs="Traditional Arabic"/>
          <w:rtl/>
        </w:rPr>
        <w:t>البزدوي</w:t>
      </w:r>
      <w:proofErr w:type="spellEnd"/>
      <w:r w:rsidR="00777DCB" w:rsidRPr="00A52585">
        <w:rPr>
          <w:rFonts w:ascii="Traditional Arabic" w:hAnsi="Traditional Arabic" w:cs="Traditional Arabic"/>
          <w:rtl/>
        </w:rPr>
        <w:t xml:space="preserve">" و"إشارات المرام في عبارات الإمام" للبياضي، و"دفع الشبه" للتقي </w:t>
      </w:r>
      <w:proofErr w:type="spellStart"/>
      <w:r w:rsidR="00777DCB" w:rsidRPr="00A52585">
        <w:rPr>
          <w:rFonts w:ascii="Traditional Arabic" w:hAnsi="Traditional Arabic" w:cs="Traditional Arabic"/>
          <w:rtl/>
        </w:rPr>
        <w:t>الحصني</w:t>
      </w:r>
      <w:proofErr w:type="spellEnd"/>
      <w:r w:rsidR="00777DCB" w:rsidRPr="00A52585">
        <w:rPr>
          <w:rFonts w:ascii="Traditional Arabic" w:hAnsi="Traditional Arabic" w:cs="Traditional Arabic"/>
          <w:rtl/>
        </w:rPr>
        <w:t xml:space="preserve"> و"شرح الفقه الأكبر" لعلي القارئ فيما نقله عن ابن عبد السلام. ولم يراقب الله من زاد على الكلمة السابقة ما أشرنا إليه كما وقع في بعض نسخ الكتاب المذكور من عهد ذلك الهروي.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sidRPr="00A52585">
        <w:rPr>
          <w:rFonts w:ascii="Traditional Arabic" w:hAnsi="Traditional Arabic" w:cs="Traditional Arabic"/>
          <w:rtl/>
        </w:rPr>
        <w:t>:</w:t>
      </w:r>
      <w:r w:rsidR="00777DCB" w:rsidRPr="00A52585">
        <w:rPr>
          <w:rFonts w:ascii="Traditional Arabic" w:hAnsi="Traditional Arabic" w:cs="Traditional Arabic"/>
          <w:rtl/>
        </w:rPr>
        <w:t xml:space="preserve"> حديث الشفاعة في أحمد إلى أحمد المصطفى بسنده الأبيات (آخرها كما في بدائع الفوائد لابن القيم 4 - 39)</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r w:rsidRPr="00A52585">
        <w:rPr>
          <w:rFonts w:ascii="Traditional Arabic" w:hAnsi="Traditional Arabic" w:cs="Traditional Arabic"/>
          <w:rtl/>
        </w:rPr>
        <w:t>(</w:t>
      </w:r>
      <w:r w:rsidR="00777DCB" w:rsidRPr="00A52585">
        <w:rPr>
          <w:rFonts w:ascii="Traditional Arabic" w:hAnsi="Traditional Arabic" w:cs="Traditional Arabic"/>
          <w:rtl/>
        </w:rPr>
        <w:t>فلا تنكـروا أنه قاعد</w:t>
      </w:r>
      <w:r w:rsidR="00897A24" w:rsidRPr="00A52585">
        <w:rPr>
          <w:rFonts w:ascii="Traditional Arabic" w:hAnsi="Traditional Arabic" w:cs="Traditional Arabic"/>
          <w:rtl/>
        </w:rPr>
        <w:t>.</w:t>
      </w:r>
      <w:r w:rsidR="00777DCB" w:rsidRPr="00A52585">
        <w:rPr>
          <w:rFonts w:ascii="Traditional Arabic" w:hAnsi="Traditional Arabic" w:cs="Traditional Arabic"/>
          <w:rtl/>
        </w:rPr>
        <w:t>.</w:t>
      </w:r>
      <w:r w:rsidRPr="00A52585">
        <w:rPr>
          <w:rFonts w:ascii="Traditional Arabic" w:hAnsi="Traditional Arabic" w:cs="Traditional Arabic"/>
          <w:rtl/>
        </w:rPr>
        <w:t xml:space="preserve"> </w:t>
      </w:r>
      <w:r w:rsidR="00777DCB" w:rsidRPr="00A52585">
        <w:rPr>
          <w:rFonts w:ascii="Traditional Arabic" w:hAnsi="Traditional Arabic" w:cs="Traditional Arabic"/>
          <w:rtl/>
        </w:rPr>
        <w:t>ولا تجحدوا أنه يقعد</w:t>
      </w:r>
      <w:r w:rsidRPr="00A52585">
        <w:rPr>
          <w:rFonts w:ascii="Traditional Arabic" w:hAnsi="Traditional Arabic" w:cs="Traditional Arabic"/>
          <w:rtl/>
        </w:rPr>
        <w:t>)</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فأحمد بن سلامة الحنبلي شيخ الذهبي مات سنة 678 والذهبي ابن خمس، ويحيى بن أسعد بن بوش الحنبلي الخباز المتوفى سنة 593 وأحمد بن سلامة ابن أربع كان أمياً لا يكتب، وأبو العز بن كادش أحمد بن عبيد الله المتوفى سنة 526 من أصحاب العشاري اعترف بالوضع ويقال ثم تاب، راجع "الميزان". وحكم مثله عند أهل النقد معروف، وأبو طالب محمد بن علي العشاري الحنبلي المتوفى سنة 452 مغفل يتقن ما يلقن، وقد راجت عليه العقيدة المنسوبة إلى الشافعي كذبا، وكل ذلك باعتراف الذهبي نفسه في "الميزان" وغيره، فهل يصح عزو تلك الأبيات إلى الدارقطني بمثل هذا السند</w:t>
      </w:r>
      <w:r w:rsidR="00F95886" w:rsidRPr="00A52585">
        <w:rPr>
          <w:rFonts w:ascii="Traditional Arabic" w:hAnsi="Traditional Arabic" w:cs="Traditional Arabic"/>
          <w:rtl/>
        </w:rPr>
        <w:t>؟</w:t>
      </w:r>
      <w:r w:rsidR="00777DCB" w:rsidRPr="00A52585">
        <w:rPr>
          <w:rFonts w:ascii="Traditional Arabic" w:hAnsi="Traditional Arabic" w:cs="Traditional Arabic"/>
          <w:rtl/>
        </w:rPr>
        <w:t xml:space="preserve"> وقال الذهبي أيضاً في "العبر" في ترجمة أبي يعلى الحنبلي</w:t>
      </w:r>
      <w:r w:rsidRPr="00A52585">
        <w:rPr>
          <w:rFonts w:ascii="Traditional Arabic" w:hAnsi="Traditional Arabic" w:cs="Traditional Arabic"/>
          <w:rtl/>
        </w:rPr>
        <w:t>:</w:t>
      </w:r>
      <w:r w:rsidR="00777DCB" w:rsidRPr="00A52585">
        <w:rPr>
          <w:rFonts w:ascii="Traditional Arabic" w:hAnsi="Traditional Arabic" w:cs="Traditional Arabic"/>
          <w:rtl/>
        </w:rPr>
        <w:t xml:space="preserve"> (صاحب التصانيف وفقيه العصر كان إماما لا يدرك قراره ولا يشق غباره وجميع الطائفة معترفون بفضله </w:t>
      </w:r>
      <w:proofErr w:type="spellStart"/>
      <w:r w:rsidR="00777DCB" w:rsidRPr="00A52585">
        <w:rPr>
          <w:rFonts w:ascii="Traditional Arabic" w:hAnsi="Traditional Arabic" w:cs="Traditional Arabic"/>
          <w:rtl/>
        </w:rPr>
        <w:t>ومغترفون</w:t>
      </w:r>
      <w:proofErr w:type="spellEnd"/>
      <w:r w:rsidR="00777DCB" w:rsidRPr="00A52585">
        <w:rPr>
          <w:rFonts w:ascii="Traditional Arabic" w:hAnsi="Traditional Arabic" w:cs="Traditional Arabic"/>
          <w:rtl/>
        </w:rPr>
        <w:t xml:space="preserve"> من بحره). وأنت علمت حال أبي يعلى مما ذكره ابن الجوزي في "دفع الشبه"، ومما نقلناه عن كتبه في هذا الكتاب ومما ذكره ابن الأثير في "الكامل" في حوادث سنة 429. وترى الذهبي كثيراً ما يقول في رد ما أخرجه الحاكم في المستدرك في فضائله صلى الله عليه وسلم وأهل بيته عليهم السلام</w:t>
      </w:r>
      <w:r w:rsidRPr="00A52585">
        <w:rPr>
          <w:rFonts w:ascii="Traditional Arabic" w:hAnsi="Traditional Arabic" w:cs="Traditional Arabic"/>
          <w:rtl/>
        </w:rPr>
        <w:t>:</w:t>
      </w:r>
      <w:r w:rsidR="00777DCB" w:rsidRPr="00A52585">
        <w:rPr>
          <w:rFonts w:ascii="Traditional Arabic" w:hAnsi="Traditional Arabic" w:cs="Traditional Arabic"/>
          <w:rtl/>
        </w:rPr>
        <w:t xml:space="preserve"> أظنه باطلا. بدون ذكر أي حجة، وقد ذكر ابن الوردي في "تاريخه" أنه آذى كثيراً من الأحياء بتدوين ما كان يسمعه من أحداث يجتمعون به</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وفيما ذكرنا كفاية في معرفة حال الذهبي نسأل الله السلامة، ومع ذلك هو أهون شراً من الناظم وشيخه كما سبق. وله رسالة إلى ابن تيمية ينصحه فيها ويمنعه من المغالاة، وسبق نشرها مع زغل العلم له. وترى الذهبي مع ثنائه البالغ في حق ابن تيمية في كثير من كتبه يقول عنه</w:t>
      </w:r>
      <w:r w:rsidRPr="00A52585">
        <w:rPr>
          <w:rFonts w:ascii="Traditional Arabic" w:hAnsi="Traditional Arabic" w:cs="Traditional Arabic"/>
          <w:rtl/>
        </w:rPr>
        <w:t>:</w:t>
      </w:r>
      <w:r w:rsidR="00777DCB" w:rsidRPr="00A52585">
        <w:rPr>
          <w:rFonts w:ascii="Traditional Arabic" w:hAnsi="Traditional Arabic" w:cs="Traditional Arabic"/>
          <w:rtl/>
        </w:rPr>
        <w:t xml:space="preserve"> "وقد أوذيت من الفريقين من أصحابه وأضداده وأنا مخالف له في مسائل أصلية وفرعية اهـ كما في "الدرر الكامنة"، ويقول عنه أيضاً</w:t>
      </w:r>
      <w:r w:rsidRPr="00A52585">
        <w:rPr>
          <w:rFonts w:ascii="Traditional Arabic" w:hAnsi="Traditional Arabic" w:cs="Traditional Arabic"/>
          <w:rtl/>
        </w:rPr>
        <w:t>:</w:t>
      </w:r>
      <w:r w:rsidR="00777DCB" w:rsidRPr="00A52585">
        <w:rPr>
          <w:rFonts w:ascii="Traditional Arabic" w:hAnsi="Traditional Arabic" w:cs="Traditional Arabic"/>
          <w:rtl/>
        </w:rPr>
        <w:t xml:space="preserve"> إنه أطلق عبارات أحجم عنها الأولون والآخرون وهابوا وجسر هو عليها اهـ " نقله ابن رجب عنه في طبقاته. ويقول عنه أيضاً في زغل العلم (ص17). وقد تعبت في وزنه وتفتيشه حتى مللت في سنين متطاولة، فما وجدت الذي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وما دفع الله عنه وعن أتباعه أكثر، وما جرى عليهم إلا بعض ما يستحقون فلا تكن في ريب من ذلك اهـ "</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ويقول عنه أيضاً في (ص23) من زغل العلم</w:t>
      </w:r>
      <w:r w:rsidRPr="00A52585">
        <w:rPr>
          <w:rFonts w:ascii="Traditional Arabic" w:hAnsi="Traditional Arabic" w:cs="Traditional Arabic"/>
          <w:rtl/>
        </w:rPr>
        <w:t>:</w:t>
      </w:r>
      <w:r w:rsidR="00777DCB" w:rsidRPr="00A52585">
        <w:rPr>
          <w:rFonts w:ascii="Traditional Arabic" w:hAnsi="Traditional Arabic" w:cs="Traditional Arabic"/>
          <w:rtl/>
        </w:rPr>
        <w:t xml:space="preserve"> " …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مضلا محققا بارعا عند طوائف من عقلاء الفضلاء، وحامل راية الإسلام، وحامي حوزة الدين ومحيى السنة عند عموم عوام أصحابه اهـ ". وهذه الكلمات نقلها السخاوي عنه أيضاً في (الإعلان بالتوبيخ) ومن الخطأ الفاحش عزوها إلى (قمع المعارض) للسيوطي </w:t>
      </w:r>
      <w:proofErr w:type="spellStart"/>
      <w:r w:rsidR="00777DCB" w:rsidRPr="00A52585">
        <w:rPr>
          <w:rFonts w:ascii="Traditional Arabic" w:hAnsi="Traditional Arabic" w:cs="Traditional Arabic"/>
          <w:rtl/>
        </w:rPr>
        <w:t>اغتراراً</w:t>
      </w:r>
      <w:proofErr w:type="spellEnd"/>
      <w:r w:rsidR="00777DCB" w:rsidRPr="00A52585">
        <w:rPr>
          <w:rFonts w:ascii="Traditional Arabic" w:hAnsi="Traditional Arabic" w:cs="Traditional Arabic"/>
          <w:rtl/>
        </w:rPr>
        <w:t xml:space="preserve"> بوضع رقم التعليق في (القول الجلي) غلطا عند كلمة (قمع المعارض) مع تصحيف (زغل العلم) إلى (رجل العلم) بعد أسطر في الطبعتين مع أن أصل التعليق كان على (زغل العلم) المصحف إلى (رجل العلم) كما نبهت على ذلك فيما علقته على الزغل المطبوع وإن لم ينفع تنبيهي عند أناس لا يوقظهم من سباتهم العميق غير نفخة الصور. ونسبة (زغل العلم) إلى الذهبي ليست بموضع ريبة أصلا، وهو من المخطوطات المحفوظة في التيمورية بدار الكتب المصرية. وسنأتي إن شاء الله تعالى في آخر الكتاب بصورة رسالة الذهبي التي بعث بها إلى ابن تيمية ينصحه في </w:t>
      </w:r>
      <w:proofErr w:type="spellStart"/>
      <w:r w:rsidR="00777DCB" w:rsidRPr="00A52585">
        <w:rPr>
          <w:rFonts w:ascii="Traditional Arabic" w:hAnsi="Traditional Arabic" w:cs="Traditional Arabic"/>
          <w:rtl/>
        </w:rPr>
        <w:t>شواذه</w:t>
      </w:r>
      <w:proofErr w:type="spellEnd"/>
      <w:r w:rsidR="00777DCB" w:rsidRPr="00A52585">
        <w:rPr>
          <w:rFonts w:ascii="Traditional Arabic" w:hAnsi="Traditional Arabic" w:cs="Traditional Arabic"/>
          <w:rtl/>
        </w:rPr>
        <w:t xml:space="preserve"> ويكفي ما ذكرناه هنا في تبيين نظر الذهبي لابن تيمية مع أنه من أهل مذهبه المنخدعين به فنسجل للذهبي هذه الحسنات كتسجيلنا لسيئاته المذكورة مراعاة للعدل فيما له وفيما عليه وإيقاظا للمغترين به، والله ولي الهداية</w:t>
      </w:r>
      <w:r w:rsidRPr="00A52585">
        <w:rPr>
          <w:rFonts w:ascii="Traditional Arabic" w:hAnsi="Traditional Arabic" w:cs="Traditional Arabic"/>
          <w:rtl/>
        </w:rPr>
        <w:t>]</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وفي المطبوع وقد استويت</w:t>
      </w:r>
      <w:r w:rsidRPr="00A52585">
        <w:rPr>
          <w:rFonts w:ascii="Traditional Arabic" w:hAnsi="Traditional Arabic" w:cs="Traditional Arabic"/>
          <w:sz w:val="32"/>
          <w:szCs w:val="32"/>
          <w:rtl/>
        </w:rPr>
        <w:t>)</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قال</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إن المعطل بالعداوة معلن</w:t>
      </w:r>
      <w:r w:rsidRPr="00A52585">
        <w:rPr>
          <w:rFonts w:ascii="Traditional Arabic" w:hAnsi="Traditional Arabic" w:cs="Traditional Arabic"/>
          <w:sz w:val="32"/>
          <w:szCs w:val="32"/>
          <w:rtl/>
        </w:rPr>
        <w:t xml:space="preserve"> </w:t>
      </w:r>
      <w:r w:rsidR="00777DCB" w:rsidRPr="00A52585">
        <w:rPr>
          <w:rFonts w:ascii="Traditional Arabic" w:hAnsi="Traditional Arabic" w:cs="Traditional Arabic"/>
          <w:sz w:val="32"/>
          <w:szCs w:val="32"/>
          <w:rtl/>
        </w:rPr>
        <w:t>والمشركون أخف في الكفران</w:t>
      </w:r>
      <w:r w:rsidRPr="00A52585">
        <w:rPr>
          <w:rFonts w:ascii="Traditional Arabic" w:hAnsi="Traditional Arabic" w:cs="Traditional Arabic"/>
          <w:sz w:val="32"/>
          <w:szCs w:val="32"/>
          <w:rtl/>
        </w:rPr>
        <w:t>)</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ما لمن يعتقد في المسلمين هذا إلا السيف</w:t>
      </w:r>
      <w:r w:rsidR="00DB731D" w:rsidRPr="00A52585">
        <w:rPr>
          <w:rFonts w:ascii="Traditional Arabic" w:hAnsi="Traditional Arabic" w:cs="Traditional Arabic"/>
          <w:sz w:val="32"/>
          <w:szCs w:val="32"/>
          <w:rtl/>
        </w:rPr>
        <w:t>،</w:t>
      </w:r>
      <w:r w:rsidR="00777DCB" w:rsidRPr="00A52585">
        <w:rPr>
          <w:rFonts w:ascii="Traditional Arabic" w:hAnsi="Traditional Arabic" w:cs="Traditional Arabic"/>
          <w:rtl/>
        </w:rPr>
        <w:t xml:space="preserve"> </w:t>
      </w:r>
      <w:r w:rsidRPr="00A52585">
        <w:rPr>
          <w:rFonts w:ascii="Traditional Arabic" w:hAnsi="Traditional Arabic" w:cs="Traditional Arabic"/>
          <w:rtl/>
        </w:rPr>
        <w:t>[</w:t>
      </w:r>
      <w:r w:rsidR="00777DCB" w:rsidRPr="00A52585">
        <w:rPr>
          <w:rFonts w:ascii="Traditional Arabic" w:hAnsi="Traditional Arabic" w:cs="Traditional Arabic"/>
          <w:rtl/>
        </w:rPr>
        <w:t>قال المحقق</w:t>
      </w:r>
      <w:r w:rsidRPr="00A52585">
        <w:rPr>
          <w:rFonts w:ascii="Traditional Arabic" w:hAnsi="Traditional Arabic" w:cs="Traditional Arabic"/>
          <w:rtl/>
        </w:rPr>
        <w:t xml:space="preserve">: </w:t>
      </w:r>
      <w:r w:rsidR="00777DCB" w:rsidRPr="00A52585">
        <w:rPr>
          <w:rFonts w:ascii="Traditional Arabic" w:hAnsi="Traditional Arabic" w:cs="Traditional Arabic"/>
          <w:rtl/>
        </w:rPr>
        <w:t xml:space="preserve">لأن ذلك زندقة مكشوفة ومروقا ظاهر وإصرار على اعتقاد الإيمان كفرا. قبحه الله كيف يعتقد في المشركين أنهم أخف في الكفر من المؤمنين المنـزهين. والشيخ الإمام </w:t>
      </w:r>
      <w:proofErr w:type="spellStart"/>
      <w:r w:rsidR="00777DCB" w:rsidRPr="00A52585">
        <w:rPr>
          <w:rFonts w:ascii="Traditional Arabic" w:hAnsi="Traditional Arabic" w:cs="Traditional Arabic"/>
          <w:rtl/>
        </w:rPr>
        <w:t>المصنفرضي</w:t>
      </w:r>
      <w:proofErr w:type="spellEnd"/>
      <w:r w:rsidR="00777DCB" w:rsidRPr="00A52585">
        <w:rPr>
          <w:rFonts w:ascii="Traditional Arabic" w:hAnsi="Traditional Arabic" w:cs="Traditional Arabic"/>
          <w:rtl/>
        </w:rPr>
        <w:t xml:space="preserve"> الله عنه رجل معروف بالورع البالغ واللسان العفيف والقول النـزيه لا تكاد تسمع منه في مصنفاته كلمة تشم منها رائحة الشدة، ولينظر القارئ حاله هذا مع قوله في ابن القيم (ما له إلا السيف) إنه إن فكر في هذا قليلا علم العلم القاطع </w:t>
      </w:r>
      <w:r w:rsidR="00777DCB" w:rsidRPr="00A52585">
        <w:rPr>
          <w:rFonts w:ascii="Traditional Arabic" w:hAnsi="Traditional Arabic" w:cs="Traditional Arabic"/>
          <w:rtl/>
        </w:rPr>
        <w:lastRenderedPageBreak/>
        <w:t>أن هذا الناظم بلغ في كفره مبلغا لا يجوز السكوت عليه ولا يحسن لمؤمن أن يغضي عنه ولا أن يتساهل فيه</w:t>
      </w:r>
      <w:r w:rsidRPr="00A52585">
        <w:rPr>
          <w:rFonts w:ascii="Traditional Arabic" w:hAnsi="Traditional Arabic" w:cs="Traditional Arabic"/>
          <w:rtl/>
        </w:rPr>
        <w:t>]</w:t>
      </w:r>
      <w:r w:rsidR="00DB731D" w:rsidRPr="00A52585">
        <w:rPr>
          <w:rFonts w:ascii="Traditional Arabic" w:hAnsi="Traditional Arabic" w:cs="Traditional Arabic"/>
          <w:rtl/>
        </w:rPr>
        <w:t>،</w:t>
      </w:r>
      <w:r w:rsidR="00777DCB" w:rsidRPr="00A52585">
        <w:rPr>
          <w:rFonts w:ascii="Traditional Arabic" w:hAnsi="Traditional Arabic" w:cs="Traditional Arabic"/>
          <w:rtl/>
        </w:rPr>
        <w:t xml:space="preserve"> </w:t>
      </w:r>
    </w:p>
    <w:p w14:paraId="0B85082E" w14:textId="23913708"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أسبق الناس دخولا إلى الجنة</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وروى ابن ماجه أن أولهم يصافحه إله العرش ذو الإحسان فاروق دين الله</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قاتله الله، حديث موضوع يستدل به. وشأن هذا الخبر في السقوط فوق أن يقال بين رجاله ضعيف بل بينهم ضعيف ومنكر الحديث وآخر قدري خلا استحالة المتن. وابن كثير أهون شراً من الناظم حيث أنكره جداً في جامع المسانيد (قال </w:t>
      </w:r>
      <w:proofErr w:type="spellStart"/>
      <w:r w:rsidR="00777DCB" w:rsidRPr="00A52585">
        <w:rPr>
          <w:rFonts w:hint="cs"/>
          <w:sz w:val="24"/>
          <w:szCs w:val="24"/>
          <w:rtl/>
        </w:rPr>
        <w:t>المنبجي</w:t>
      </w:r>
      <w:proofErr w:type="spellEnd"/>
      <w:r w:rsidR="00777DCB" w:rsidRPr="00A52585">
        <w:rPr>
          <w:rFonts w:hint="cs"/>
          <w:sz w:val="24"/>
          <w:szCs w:val="24"/>
          <w:rtl/>
        </w:rPr>
        <w:t xml:space="preserve"> الحنبلي في إثبات المماسة)</w:t>
      </w:r>
      <w:r w:rsidRPr="00A52585">
        <w:rPr>
          <w:rFonts w:hint="cs"/>
          <w:sz w:val="24"/>
          <w:szCs w:val="24"/>
          <w:rtl/>
        </w:rPr>
        <w:t>:</w:t>
      </w:r>
      <w:r w:rsidR="00777DCB" w:rsidRPr="00A52585">
        <w:rPr>
          <w:rFonts w:hint="cs"/>
          <w:sz w:val="24"/>
          <w:szCs w:val="24"/>
          <w:rtl/>
        </w:rPr>
        <w:t xml:space="preserve"> قال ابن تيمية والمعروف عند أئمة أهل السنة وعلماء أهل الحديث أنهم لا يمتنعون عن وصف الله أنه يمس ما شاء من خلقه بل يروون في ذلك الآثار ويردون على من نفاه. انتهى ذكره في الأجوبة المصرية) قاتله الله، ما أجرأه على الله</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09978C41" w14:textId="1954085E"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عدد الجنات</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سبحانه من غرست يداه جنة </w:t>
      </w:r>
      <w:proofErr w:type="spellStart"/>
      <w:r w:rsidR="00777DCB" w:rsidRPr="00A52585">
        <w:rPr>
          <w:rFonts w:hint="cs"/>
          <w:rtl/>
        </w:rPr>
        <w:t>الفرودس</w:t>
      </w:r>
      <w:proofErr w:type="spellEnd"/>
      <w:r w:rsidR="00777DCB" w:rsidRPr="00A52585">
        <w:rPr>
          <w:rFonts w:hint="cs"/>
          <w:rtl/>
        </w:rPr>
        <w:t xml:space="preserve"> ويداه أيضاً أتقنت لبنائها</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خلق الله آدم بعناية خاصة وبدون سببية والد وأم؛ هذا المعنى المجازي يعقله كل من عنده ذوق العربية. وأما الخبر الذي يشير إليه الناظم ففي سنده ابن على زيد بن جدعان لا يحتج به</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 xml:space="preserve">هي في الجنان كآدم لكنما </w:t>
      </w:r>
      <w:proofErr w:type="spellStart"/>
      <w:r w:rsidR="00777DCB" w:rsidRPr="00A52585">
        <w:rPr>
          <w:rFonts w:hint="cs"/>
          <w:rtl/>
        </w:rPr>
        <w:t>الجهمي</w:t>
      </w:r>
      <w:proofErr w:type="spellEnd"/>
      <w:r w:rsidR="00777DCB" w:rsidRPr="00A52585">
        <w:rPr>
          <w:rFonts w:hint="cs"/>
          <w:rtl/>
        </w:rPr>
        <w:t xml:space="preserve"> ليس لديه من ذا الفضل شيء فهو ذو نكران</w:t>
      </w:r>
      <w:r w:rsidRPr="00A52585">
        <w:rPr>
          <w:rFonts w:hint="cs"/>
          <w:rtl/>
        </w:rPr>
        <w:t>)</w:t>
      </w:r>
      <w:r w:rsidR="00777DCB" w:rsidRPr="00A52585">
        <w:rPr>
          <w:rFonts w:hint="cs"/>
          <w:rtl/>
        </w:rPr>
        <w:t xml:space="preserve"> إنما ينكر العضو والجارحة فإن كنت أنت تثبتها فاعرف</w:t>
      </w:r>
      <w:r w:rsidR="00DB731D" w:rsidRPr="00A52585">
        <w:rPr>
          <w:rFonts w:hint="cs"/>
          <w:rtl/>
        </w:rPr>
        <w:t>،</w:t>
      </w:r>
      <w:r w:rsidR="00777DCB" w:rsidRPr="00A52585">
        <w:rPr>
          <w:rFonts w:hint="cs"/>
          <w:rtl/>
        </w:rPr>
        <w:t xml:space="preserve"> </w:t>
      </w:r>
      <w:proofErr w:type="spellStart"/>
      <w:r w:rsidR="00777DCB" w:rsidRPr="00A52585">
        <w:rPr>
          <w:rFonts w:hint="cs"/>
          <w:rtl/>
        </w:rPr>
        <w:t>قال</w:t>
      </w:r>
      <w:r w:rsidRPr="00A52585">
        <w:rPr>
          <w:rFonts w:hint="cs"/>
          <w:rtl/>
        </w:rPr>
        <w:t>:</w:t>
      </w:r>
      <w:r w:rsidR="00777DCB" w:rsidRPr="00A52585">
        <w:rPr>
          <w:rFonts w:hint="cs"/>
          <w:rtl/>
        </w:rPr>
        <w:t>"ولد</w:t>
      </w:r>
      <w:proofErr w:type="spellEnd"/>
      <w:r w:rsidR="00777DCB" w:rsidRPr="00A52585">
        <w:rPr>
          <w:rFonts w:hint="cs"/>
          <w:rtl/>
        </w:rPr>
        <w:t xml:space="preserve"> عقوق عق والده ولم يثبت بذا فضلا عن الشيطان"</w:t>
      </w:r>
      <w:r w:rsidR="00DB731D" w:rsidRPr="00A52585">
        <w:rPr>
          <w:rFonts w:hint="cs"/>
          <w:rtl/>
        </w:rPr>
        <w:t>،</w:t>
      </w:r>
      <w:r w:rsidR="00777DCB" w:rsidRPr="00A52585">
        <w:rPr>
          <w:rFonts w:hint="cs"/>
          <w:rtl/>
        </w:rPr>
        <w:t xml:space="preserve"> ما يستحيي يكذب على الناس</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ولقد روى حقا أبو الدرداء ذاك عويمر أثراً عظيم الشأن يهتز قلب العبد عند سماعه طربا بقدر حلاوة الإيمان ما مثله أبداً يقال برأيه فيه النـزول ثلاث ساعات</w:t>
      </w:r>
      <w:r w:rsidRPr="00A52585">
        <w:rPr>
          <w:rFonts w:hint="cs"/>
          <w:rtl/>
        </w:rPr>
        <w:t>:</w:t>
      </w:r>
      <w:r w:rsidR="00777DCB" w:rsidRPr="00A52585">
        <w:rPr>
          <w:rFonts w:hint="cs"/>
          <w:rtl/>
        </w:rPr>
        <w:t xml:space="preserve"> فإحداهن ينظر في الكتاب</w:t>
      </w:r>
      <w:r w:rsidR="00DB731D" w:rsidRPr="00A52585">
        <w:rPr>
          <w:rFonts w:hint="cs"/>
          <w:rtl/>
        </w:rPr>
        <w:t>،</w:t>
      </w:r>
      <w:r w:rsidR="00777DCB" w:rsidRPr="00A52585">
        <w:rPr>
          <w:rFonts w:hint="cs"/>
          <w:rtl/>
        </w:rPr>
        <w:t xml:space="preserve"> الثاني</w:t>
      </w:r>
      <w:r w:rsidRPr="00A52585">
        <w:rPr>
          <w:rFonts w:hint="cs"/>
          <w:rtl/>
        </w:rPr>
        <w:t>:</w:t>
      </w:r>
      <w:r w:rsidR="00777DCB" w:rsidRPr="00A52585">
        <w:rPr>
          <w:rFonts w:hint="cs"/>
          <w:rtl/>
        </w:rPr>
        <w:t xml:space="preserve"> يمحو ويثبت ما يشاء بحكمة</w:t>
      </w:r>
      <w:r w:rsidR="00DB731D" w:rsidRPr="00A52585">
        <w:rPr>
          <w:rFonts w:hint="cs"/>
          <w:rtl/>
        </w:rPr>
        <w:t>،</w:t>
      </w:r>
      <w:r w:rsidR="00777DCB" w:rsidRPr="00A52585">
        <w:rPr>
          <w:rFonts w:hint="cs"/>
          <w:rtl/>
        </w:rPr>
        <w:t xml:space="preserve"> والساعة الأخرى إلى عدن أهله هم صفوة الرحمن والساعة الأخرى إلى هذه السماء يقول هل من تائب ندمان</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الخبر الموقوف ليس بثابت عن أبي الدرداء فضلا عن ثبوت رفعه إليه صلى الله عليه وسلم. وفي سنده زيادة بن محمد الأنصاري، قال البخاري هو منكر الحديث وقال ابن حبان يروي المناكير عن المشاهير فاستحق الترك. نقله ابن الجوزي. ولعلك علمت بذلك مبلغ قيمة ما يحتج به هذا البجباج النفاج</w:t>
      </w:r>
      <w:r w:rsidRPr="00A52585">
        <w:rPr>
          <w:rFonts w:hint="cs"/>
          <w:sz w:val="24"/>
          <w:szCs w:val="24"/>
          <w:rtl/>
        </w:rPr>
        <w:t>]</w:t>
      </w:r>
      <w:r w:rsidR="00DB731D" w:rsidRPr="00A52585">
        <w:rPr>
          <w:rFonts w:hint="cs"/>
          <w:sz w:val="24"/>
          <w:rtl/>
        </w:rPr>
        <w:t>،</w:t>
      </w:r>
      <w:r w:rsidR="00777DCB" w:rsidRPr="00A52585">
        <w:rPr>
          <w:rFonts w:hint="cs"/>
          <w:rtl/>
        </w:rPr>
        <w:t xml:space="preserve"> الظاهر أنه ما ساق أبواباً في صفة الجنة إلا ليذكر هذا </w:t>
      </w:r>
      <w:proofErr w:type="gramStart"/>
      <w:r w:rsidR="00777DCB" w:rsidRPr="00A52585">
        <w:rPr>
          <w:rFonts w:hint="cs"/>
          <w:rtl/>
        </w:rPr>
        <w:t>الحديث ؛</w:t>
      </w:r>
      <w:proofErr w:type="gramEnd"/>
      <w:r w:rsidR="00777DCB" w:rsidRPr="00A52585">
        <w:rPr>
          <w:rFonts w:hint="cs"/>
          <w:rtl/>
        </w:rPr>
        <w:t xml:space="preserve"> وأيضاً ليسكت الناس بسماع صفات الجنة؛ فيقبلون على هذه القصيدة, ويعكفون عليها فيفتنهم. أسأل الله العافية ويحق له اسم الحشوي لأن الباطل محشو في هذه القصيدة </w:t>
      </w:r>
      <w:proofErr w:type="spellStart"/>
      <w:r w:rsidR="00777DCB" w:rsidRPr="00A52585">
        <w:rPr>
          <w:rFonts w:hint="cs"/>
          <w:rtl/>
        </w:rPr>
        <w:t>اللحناء</w:t>
      </w:r>
      <w:proofErr w:type="spellEnd"/>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وروى ابن ماجه مسنداً عن جابر بينا هم في عيشهم إذا بنور ساطع رفعوا رءوسهم فرأوه نور الواحد وإذا بربهم تعالى فوقهم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قال الذهبي</w:t>
      </w:r>
      <w:r w:rsidRPr="00A52585">
        <w:rPr>
          <w:rFonts w:hint="cs"/>
          <w:sz w:val="24"/>
          <w:szCs w:val="24"/>
          <w:rtl/>
        </w:rPr>
        <w:t>:</w:t>
      </w:r>
      <w:r w:rsidR="00777DCB" w:rsidRPr="00A52585">
        <w:rPr>
          <w:rFonts w:hint="cs"/>
          <w:sz w:val="24"/>
          <w:szCs w:val="24"/>
          <w:rtl/>
        </w:rPr>
        <w:t xml:space="preserve"> إسناده </w:t>
      </w:r>
      <w:proofErr w:type="gramStart"/>
      <w:r w:rsidR="00777DCB" w:rsidRPr="00A52585">
        <w:rPr>
          <w:rFonts w:hint="cs"/>
          <w:sz w:val="24"/>
          <w:szCs w:val="24"/>
          <w:rtl/>
        </w:rPr>
        <w:t>ضعيف ,</w:t>
      </w:r>
      <w:proofErr w:type="gramEnd"/>
      <w:r w:rsidR="00777DCB" w:rsidRPr="00A52585">
        <w:rPr>
          <w:rFonts w:hint="cs"/>
          <w:sz w:val="24"/>
          <w:szCs w:val="24"/>
          <w:rtl/>
        </w:rPr>
        <w:t xml:space="preserve"> وقال ابن الجوزي</w:t>
      </w:r>
      <w:r w:rsidRPr="00A52585">
        <w:rPr>
          <w:rFonts w:hint="cs"/>
          <w:sz w:val="24"/>
          <w:szCs w:val="24"/>
          <w:rtl/>
        </w:rPr>
        <w:t>:</w:t>
      </w:r>
      <w:r w:rsidR="00777DCB" w:rsidRPr="00A52585">
        <w:rPr>
          <w:rFonts w:hint="cs"/>
          <w:sz w:val="24"/>
          <w:szCs w:val="24"/>
          <w:rtl/>
        </w:rPr>
        <w:t xml:space="preserve"> موضوع , وقال العقيلي</w:t>
      </w:r>
      <w:r w:rsidRPr="00A52585">
        <w:rPr>
          <w:rFonts w:hint="cs"/>
          <w:sz w:val="24"/>
          <w:szCs w:val="24"/>
          <w:rtl/>
        </w:rPr>
        <w:t>:</w:t>
      </w:r>
      <w:r w:rsidR="00777DCB" w:rsidRPr="00A52585">
        <w:rPr>
          <w:rFonts w:hint="cs"/>
          <w:sz w:val="24"/>
          <w:szCs w:val="24"/>
          <w:rtl/>
        </w:rPr>
        <w:t xml:space="preserve"> أبو عاصم </w:t>
      </w:r>
      <w:proofErr w:type="spellStart"/>
      <w:r w:rsidR="00777DCB" w:rsidRPr="00A52585">
        <w:rPr>
          <w:rFonts w:hint="cs"/>
          <w:sz w:val="24"/>
          <w:szCs w:val="24"/>
          <w:rtl/>
        </w:rPr>
        <w:t>العباداني</w:t>
      </w:r>
      <w:proofErr w:type="spellEnd"/>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في سنده -</w:t>
      </w:r>
      <w:r w:rsidRPr="00A52585">
        <w:rPr>
          <w:rFonts w:hint="cs"/>
          <w:sz w:val="24"/>
          <w:szCs w:val="24"/>
          <w:rtl/>
        </w:rPr>
        <w:t xml:space="preserve"> </w:t>
      </w:r>
      <w:r w:rsidR="00777DCB" w:rsidRPr="00A52585">
        <w:rPr>
          <w:rFonts w:hint="cs"/>
          <w:sz w:val="24"/>
          <w:szCs w:val="24"/>
          <w:rtl/>
        </w:rPr>
        <w:t>منكر الحديث لا يتابع عليه. وأما فضل الرقاشي في السند فممن لا يكتب حديثه. وبمثل هذا الخبر يحتج الناظم في تكييف الرؤية</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قد جاء للتسليم وقال السلام عليكم جهراً</w:t>
      </w:r>
      <w:r w:rsidR="00DB731D" w:rsidRPr="00A52585">
        <w:rPr>
          <w:rFonts w:hint="cs"/>
          <w:rtl/>
        </w:rPr>
        <w:t>،</w:t>
      </w:r>
      <w:r w:rsidR="00777DCB" w:rsidRPr="00A52585">
        <w:rPr>
          <w:rFonts w:hint="cs"/>
          <w:rtl/>
        </w:rPr>
        <w:t xml:space="preserve"> ومصداقه </w:t>
      </w:r>
      <w:r w:rsidRPr="00A52585">
        <w:rPr>
          <w:rFonts w:hint="cs"/>
          <w:rtl/>
        </w:rPr>
        <w:t>{</w:t>
      </w:r>
      <w:r w:rsidR="00777DCB" w:rsidRPr="00A52585">
        <w:rPr>
          <w:rFonts w:hint="cs"/>
          <w:rtl/>
        </w:rPr>
        <w:t>سلام قولا من رب رحيم</w:t>
      </w:r>
      <w:r w:rsidRPr="00A52585">
        <w:rPr>
          <w:rFonts w:hint="cs"/>
          <w:rtl/>
        </w:rPr>
        <w:t>} [</w:t>
      </w:r>
      <w:r w:rsidR="00777DCB" w:rsidRPr="00A52585">
        <w:rPr>
          <w:rFonts w:hint="cs"/>
          <w:rtl/>
        </w:rPr>
        <w:t>يس</w:t>
      </w:r>
      <w:r w:rsidRPr="00A52585">
        <w:rPr>
          <w:rFonts w:hint="cs"/>
          <w:rtl/>
        </w:rPr>
        <w:t>:</w:t>
      </w:r>
      <w:r w:rsidR="00777DCB" w:rsidRPr="00A52585">
        <w:rPr>
          <w:rFonts w:hint="cs"/>
          <w:rtl/>
        </w:rPr>
        <w:t xml:space="preserve"> 58] من رد ذا </w:t>
      </w:r>
      <w:r w:rsidR="00777DCB" w:rsidRPr="00A52585">
        <w:rPr>
          <w:rFonts w:hint="cs"/>
          <w:rtl/>
        </w:rPr>
        <w:lastRenderedPageBreak/>
        <w:t>فعلى رسول الله رد</w:t>
      </w:r>
      <w:r w:rsidRPr="00A52585">
        <w:rPr>
          <w:rFonts w:hint="cs"/>
          <w:rtl/>
        </w:rPr>
        <w:t>)</w:t>
      </w:r>
      <w:r w:rsidR="00777DCB" w:rsidRPr="00A52585">
        <w:rPr>
          <w:rFonts w:hint="cs"/>
          <w:rtl/>
        </w:rPr>
        <w:t xml:space="preserve">. الذي يحمله على محمل صحيح لا </w:t>
      </w:r>
      <w:proofErr w:type="gramStart"/>
      <w:r w:rsidR="00777DCB" w:rsidRPr="00A52585">
        <w:rPr>
          <w:rFonts w:hint="cs"/>
          <w:rtl/>
        </w:rPr>
        <w:t>يرده,</w:t>
      </w:r>
      <w:proofErr w:type="gramEnd"/>
      <w:r w:rsidR="00777DCB" w:rsidRPr="00A52585">
        <w:rPr>
          <w:rFonts w:hint="cs"/>
          <w:rtl/>
        </w:rPr>
        <w:t xml:space="preserve"> والذي يحمله على صفات الأجسام هو الذي يرد ما يجب</w:t>
      </w:r>
      <w:r w:rsidR="00DB731D" w:rsidRPr="00A52585">
        <w:rPr>
          <w:rFonts w:hint="cs"/>
          <w:rtl/>
        </w:rPr>
        <w:t>،</w:t>
      </w:r>
      <w:r w:rsidR="00777DCB" w:rsidRPr="00A52585">
        <w:rPr>
          <w:rFonts w:hint="cs"/>
          <w:rtl/>
        </w:rPr>
        <w:t xml:space="preserve"> </w:t>
      </w:r>
    </w:p>
    <w:p w14:paraId="15EC4E4A" w14:textId="58B16FF4"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في يـــــوم المزيـــــد</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فيرون ربهم تعالى جهرة ويحاضر الرحمن واحدهم محاضرة الحبيب يقول يا بن فلان</w:t>
      </w:r>
      <w:r w:rsidR="00DB731D" w:rsidRPr="00A52585">
        <w:rPr>
          <w:rFonts w:hint="cs"/>
          <w:rtl/>
        </w:rPr>
        <w:t>،</w:t>
      </w:r>
      <w:r w:rsidR="00777DCB" w:rsidRPr="00A52585">
        <w:rPr>
          <w:rFonts w:hint="cs"/>
          <w:rtl/>
        </w:rPr>
        <w:t xml:space="preserve"> هل تذكر اليوم الذي قد كنت فيه مبارزاً بالذنب قالوا يحق لنا وقد كنا إذاً جلساء رب العرش</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جمع طرقه أبو بكر بن أبي داود ذلك الكذاب الزائغ؛ وسبق بيان أن ابن عساكر ألف جزءاً في توهين طرقه فتذكّر. ولفظ الجلساء لم يقع إلا في بعض الطرق الواهية لحديث يوم المزيد. راجع جزء ابن عساكر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25843AF6" w14:textId="388698C4"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كله فيما للعبد عند ربه في الآخرة. ولو كان مفرداً بالتصنيف كان حسنا</w:t>
      </w:r>
      <w:r w:rsidR="00DB731D" w:rsidRPr="00A52585">
        <w:rPr>
          <w:rFonts w:hint="cs"/>
          <w:rtl/>
        </w:rPr>
        <w:t>،</w:t>
      </w:r>
      <w:r w:rsidR="00777DCB" w:rsidRPr="00A52585">
        <w:rPr>
          <w:rFonts w:hint="cs"/>
          <w:rtl/>
        </w:rPr>
        <w:t xml:space="preserve"> ولكن إدخاله في قصيدة انتصب فيها للحكم بين الحشوي وخصومه وإسعار الحرب بينهم لأي معنى</w:t>
      </w:r>
      <w:r w:rsidR="00F95886" w:rsidRPr="00A52585">
        <w:rPr>
          <w:rFonts w:hint="cs"/>
          <w:rtl/>
        </w:rPr>
        <w:t>؟</w:t>
      </w:r>
    </w:p>
    <w:p w14:paraId="5CD6AD2E" w14:textId="27E1D66A"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رجع فيه إلى ما كان عليه مما في </w:t>
      </w:r>
      <w:proofErr w:type="gramStart"/>
      <w:r w:rsidR="00777DCB" w:rsidRPr="00A52585">
        <w:rPr>
          <w:rFonts w:hint="cs"/>
          <w:rtl/>
        </w:rPr>
        <w:t>نفسه,</w:t>
      </w:r>
      <w:proofErr w:type="gramEnd"/>
      <w:r w:rsidR="00777DCB" w:rsidRPr="00A52585">
        <w:rPr>
          <w:rFonts w:hint="cs"/>
          <w:rtl/>
        </w:rPr>
        <w:t xml:space="preserve"> وذكر خصومه؛ وفصول معه ذكر فيها فرق المعادين له.</w:t>
      </w:r>
    </w:p>
    <w:p w14:paraId="32BEB84B" w14:textId="6BC790C3" w:rsidR="00777DCB" w:rsidRPr="00A52585" w:rsidRDefault="0002035C" w:rsidP="0002035C">
      <w:pPr>
        <w:spacing w:after="240"/>
        <w:rPr>
          <w:b/>
          <w:rtl/>
        </w:rPr>
      </w:pPr>
      <w:r w:rsidRPr="00A52585">
        <w:rPr>
          <w:rFonts w:hint="cs"/>
          <w:bCs/>
          <w:rtl/>
        </w:rPr>
        <w:t>[</w:t>
      </w:r>
      <w:r w:rsidR="00777DCB" w:rsidRPr="00A52585">
        <w:rPr>
          <w:rFonts w:hint="cs"/>
          <w:bCs/>
          <w:rtl/>
        </w:rPr>
        <w:t>فصـــــــــل</w:t>
      </w:r>
      <w:r w:rsidRPr="00A52585">
        <w:rPr>
          <w:rFonts w:hint="cs"/>
          <w:bCs/>
          <w:rtl/>
        </w:rPr>
        <w:t>]</w:t>
      </w:r>
      <w:r w:rsidRPr="00A52585">
        <w:rPr>
          <w:rFonts w:hint="cs"/>
          <w:rtl/>
        </w:rPr>
        <w:t>:</w:t>
      </w:r>
      <w:r w:rsidR="00777DCB" w:rsidRPr="00A52585">
        <w:rPr>
          <w:rFonts w:hint="cs"/>
          <w:rtl/>
        </w:rPr>
        <w:t xml:space="preserve"> ختم به الكتاب؛ فيه شيء يسير؛ ولكن هذا آخر كلامنا في ذلك والله المستعان</w:t>
      </w:r>
      <w:r w:rsidR="00DB731D" w:rsidRPr="00A52585">
        <w:rPr>
          <w:rFonts w:hint="cs"/>
          <w:rtl/>
        </w:rPr>
        <w:t>،</w:t>
      </w:r>
      <w:r w:rsidR="00777DCB" w:rsidRPr="00A52585">
        <w:rPr>
          <w:rFonts w:hint="cs"/>
          <w:rtl/>
        </w:rPr>
        <w:t xml:space="preserve"> قال المؤلف شرعت فيه يوم السبت الرابع والعشرين من صفر سن 749 وفرغت منه يوم السبت مستهل ربيع الأول من السنة</w:t>
      </w:r>
      <w:r w:rsidR="00DB731D" w:rsidRPr="00A52585">
        <w:rPr>
          <w:rFonts w:hint="cs"/>
          <w:rtl/>
        </w:rPr>
        <w:t>،</w:t>
      </w:r>
      <w:r w:rsidR="00777DCB" w:rsidRPr="00A52585">
        <w:rPr>
          <w:rFonts w:hint="cs"/>
          <w:rtl/>
        </w:rPr>
        <w:t xml:space="preserve"> والحمد لله وحده وصلى الله على سيدنا محمد </w:t>
      </w:r>
      <w:proofErr w:type="spellStart"/>
      <w:r w:rsidR="00777DCB" w:rsidRPr="00A52585">
        <w:rPr>
          <w:rFonts w:hint="cs"/>
          <w:rtl/>
        </w:rPr>
        <w:t>وآله</w:t>
      </w:r>
      <w:proofErr w:type="spellEnd"/>
      <w:r w:rsidR="00777DCB" w:rsidRPr="00A52585">
        <w:rPr>
          <w:rFonts w:hint="cs"/>
          <w:rtl/>
        </w:rPr>
        <w:t xml:space="preserve"> وصحبه وسلم. حسبنا الله ونعم الوكيل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تم السيف الصقيل</w:t>
      </w:r>
      <w:r w:rsidRPr="00A52585">
        <w:rPr>
          <w:rFonts w:hint="cs"/>
          <w:rtl/>
        </w:rPr>
        <w:t>)</w:t>
      </w:r>
    </w:p>
    <w:p w14:paraId="59B0F561" w14:textId="224003BB" w:rsidR="00777DCB" w:rsidRPr="00A52585" w:rsidRDefault="0002035C" w:rsidP="0002035C">
      <w:pPr>
        <w:pStyle w:val="a4"/>
        <w:widowControl w:val="0"/>
        <w:bidi/>
        <w:spacing w:after="240" w:line="276" w:lineRule="auto"/>
        <w:jc w:val="both"/>
        <w:rPr>
          <w:rFonts w:ascii="Traditional Arabic" w:hAnsi="Traditional Arabic" w:cs="Traditional Arabic"/>
          <w:sz w:val="32"/>
          <w:szCs w:val="32"/>
          <w:rtl/>
        </w:rPr>
      </w:pPr>
      <w:r w:rsidRPr="00A52585">
        <w:rPr>
          <w:rFonts w:ascii="Traditional Arabic" w:hAnsi="Traditional Arabic" w:cs="Traditional Arabic"/>
          <w:bCs/>
          <w:sz w:val="32"/>
          <w:szCs w:val="32"/>
          <w:rtl/>
        </w:rPr>
        <w:t>[</w:t>
      </w:r>
      <w:r w:rsidR="00777DCB" w:rsidRPr="00A52585">
        <w:rPr>
          <w:rFonts w:ascii="Traditional Arabic" w:hAnsi="Traditional Arabic" w:cs="Traditional Arabic"/>
          <w:bCs/>
          <w:sz w:val="32"/>
          <w:szCs w:val="32"/>
          <w:rtl/>
        </w:rPr>
        <w:t>خاتمة السيف الصقيل للكوثري</w:t>
      </w:r>
      <w:r w:rsidRPr="00A52585">
        <w:rPr>
          <w:rFonts w:ascii="Traditional Arabic" w:hAnsi="Traditional Arabic" w:cs="Traditional Arabic"/>
          <w:bCs/>
          <w:sz w:val="32"/>
          <w:szCs w:val="32"/>
          <w:rtl/>
        </w:rPr>
        <w:t>]:</w:t>
      </w:r>
      <w:r w:rsidR="00777DCB" w:rsidRPr="00A52585">
        <w:rPr>
          <w:rFonts w:ascii="Traditional Arabic" w:hAnsi="Traditional Arabic" w:cs="Traditional Arabic"/>
          <w:sz w:val="32"/>
          <w:szCs w:val="32"/>
          <w:rtl/>
        </w:rPr>
        <w:t xml:space="preserve"> فيكون تأليف السبكي لهذا الكتاب قبل وفاة ابن القيم بنحو سنتين. هذا وكنا وعدنا عند الكلام على الذهبي أن نأتي في آخر الكتاب بصورة رسالة بعث بها الذهبي إلى ابن تيمية يحذره فيها عواقب إصراره على الشذوذ عن جمهور العلماء في مسائل أصلية وفرعية. وقد ظفرنا بها بخط التقي ابن قاضي شهبة منقولا عن خط البرهان ابن جماعة المنقول من خط الحافظ أبي سعيد الصلاح العلائي المنسوخ من خط الشمس الذهبي نفسه. وخط التقي ابن قاضي شهبة معروف وتوجد كتب بخطه في دار الكتب المصرية والخزانة الظاهرية بدمشق منها قطعة من طبقات الشافعية بدار الكتب المصرية، ومنها ما انتقاه من التاريخ الكبير للذهبي مما يتعلق بتراجم الشافعية بالخزانة الظاهرية. ففي إمكان الباحث الذي لا يعرف خط ابن قاضي شهبة أن يتأكد من خطه بالمقارنة بين الصورة </w:t>
      </w:r>
      <w:proofErr w:type="spellStart"/>
      <w:r w:rsidR="00777DCB" w:rsidRPr="00A52585">
        <w:rPr>
          <w:rFonts w:ascii="Traditional Arabic" w:hAnsi="Traditional Arabic" w:cs="Traditional Arabic"/>
          <w:sz w:val="32"/>
          <w:szCs w:val="32"/>
          <w:rtl/>
        </w:rPr>
        <w:t>الزنكوغرافية</w:t>
      </w:r>
      <w:proofErr w:type="spellEnd"/>
      <w:r w:rsidR="00777DCB" w:rsidRPr="00A52585">
        <w:rPr>
          <w:rFonts w:ascii="Traditional Arabic" w:hAnsi="Traditional Arabic" w:cs="Traditional Arabic"/>
          <w:sz w:val="32"/>
          <w:szCs w:val="32"/>
          <w:rtl/>
        </w:rPr>
        <w:t xml:space="preserve"> المنشورة هنا، المأخوذة عن الرسالة المذكورة المحفوظة </w:t>
      </w:r>
      <w:r w:rsidR="00777DCB" w:rsidRPr="00A52585">
        <w:rPr>
          <w:rFonts w:ascii="Traditional Arabic" w:hAnsi="Traditional Arabic" w:cs="Traditional Arabic"/>
          <w:sz w:val="32"/>
          <w:szCs w:val="32"/>
          <w:rtl/>
        </w:rPr>
        <w:lastRenderedPageBreak/>
        <w:t xml:space="preserve">بدار الكتب </w:t>
      </w:r>
      <w:proofErr w:type="gramStart"/>
      <w:r w:rsidR="00777DCB" w:rsidRPr="00A52585">
        <w:rPr>
          <w:rFonts w:ascii="Traditional Arabic" w:hAnsi="Traditional Arabic" w:cs="Traditional Arabic"/>
          <w:sz w:val="32"/>
          <w:szCs w:val="32"/>
          <w:rtl/>
        </w:rPr>
        <w:t>المصرية,</w:t>
      </w:r>
      <w:proofErr w:type="gramEnd"/>
      <w:r w:rsidR="00777DCB" w:rsidRPr="00A52585">
        <w:rPr>
          <w:rFonts w:ascii="Traditional Arabic" w:hAnsi="Traditional Arabic" w:cs="Traditional Arabic"/>
          <w:sz w:val="32"/>
          <w:szCs w:val="32"/>
          <w:rtl/>
        </w:rPr>
        <w:t xml:space="preserve"> وبين خطه المحفوظ في الدار والخزانة المذكورتين. وإلى تلك الرسالة أشار السخاوي حيث قال في "الإعلان بالتوبيخ"</w:t>
      </w:r>
      <w:r w:rsidRPr="00A52585">
        <w:rPr>
          <w:rFonts w:ascii="Traditional Arabic" w:hAnsi="Traditional Arabic" w:cs="Traditional Arabic"/>
          <w:sz w:val="32"/>
          <w:szCs w:val="32"/>
          <w:rtl/>
        </w:rPr>
        <w:t>:</w:t>
      </w:r>
      <w:r w:rsidR="00777DCB" w:rsidRPr="00A52585">
        <w:rPr>
          <w:rFonts w:ascii="Traditional Arabic" w:hAnsi="Traditional Arabic" w:cs="Traditional Arabic"/>
          <w:sz w:val="32"/>
          <w:szCs w:val="32"/>
          <w:rtl/>
        </w:rPr>
        <w:t xml:space="preserve"> " ورأيت له رسالة كتبها لابن تيمية هي في دفع نسبته لمزيد تعصبه مفيدة "؛ وذلك في صدد الدفاع عن الذهبي رداً على من ينسبه لفرط التعصب كما ذكرت في صدر الرسالة عند نشرها مع الزغل قبل سنين.</w:t>
      </w:r>
    </w:p>
    <w:p w14:paraId="74C265CC" w14:textId="67BA1C6C" w:rsidR="00777DCB" w:rsidRPr="00A52585" w:rsidRDefault="0002035C" w:rsidP="0002035C">
      <w:pPr>
        <w:spacing w:after="240"/>
        <w:rPr>
          <w:b/>
        </w:rPr>
      </w:pPr>
      <w:r w:rsidRPr="00A52585">
        <w:rPr>
          <w:rFonts w:hint="cs"/>
          <w:bCs/>
          <w:rtl/>
        </w:rPr>
        <w:t>[</w:t>
      </w:r>
      <w:r w:rsidR="00777DCB" w:rsidRPr="00A52585">
        <w:rPr>
          <w:rFonts w:hint="cs"/>
          <w:bCs/>
          <w:rtl/>
        </w:rPr>
        <w:t>مقدمة رسالة الذهبي إلى ابن تيمية</w:t>
      </w:r>
      <w:r w:rsidRPr="00A52585">
        <w:rPr>
          <w:rFonts w:hint="cs"/>
          <w:bCs/>
          <w:rtl/>
        </w:rPr>
        <w:t xml:space="preserve">]: </w:t>
      </w:r>
      <w:r w:rsidR="00777DCB" w:rsidRPr="00A52585">
        <w:rPr>
          <w:rFonts w:hint="cs"/>
          <w:rtl/>
        </w:rPr>
        <w:t xml:space="preserve">وقبل الرسالة لابد من ذكر مقدمة هنا ليكون القارئ على بينة من أمر ابن تيمية؛ وهي أن ابن تيمية هذا ولد بحران ببيت علم من </w:t>
      </w:r>
      <w:proofErr w:type="gramStart"/>
      <w:r w:rsidR="00777DCB" w:rsidRPr="00A52585">
        <w:rPr>
          <w:rFonts w:hint="cs"/>
          <w:rtl/>
        </w:rPr>
        <w:t>الحنابلة,</w:t>
      </w:r>
      <w:proofErr w:type="gramEnd"/>
      <w:r w:rsidR="00777DCB" w:rsidRPr="00A52585">
        <w:rPr>
          <w:rFonts w:hint="cs"/>
          <w:rtl/>
        </w:rPr>
        <w:t xml:space="preserve"> وقد أتى به والده الشيخ عبد الحليم مع ذويه من هناك إلى الشام خوفاً من المغول، وكان أبوه رجلا هادئاً أكرمه علماء الشام ورجال الحكومة حتى ولوه عدة وظائف علمية مساعدة له. وبعد أن مات والده ولوا ابن تيمية هذا وظائف والده بل حضروا درسه تشجيعاً له على المضي في وظائف والده وأثنوا عليه خيراً كما هو شأنهم مع كل </w:t>
      </w:r>
      <w:proofErr w:type="spellStart"/>
      <w:r w:rsidR="00777DCB" w:rsidRPr="00A52585">
        <w:rPr>
          <w:rFonts w:hint="cs"/>
          <w:rtl/>
        </w:rPr>
        <w:t>ناشيء</w:t>
      </w:r>
      <w:proofErr w:type="spellEnd"/>
      <w:r w:rsidR="00777DCB" w:rsidRPr="00A52585">
        <w:rPr>
          <w:rFonts w:hint="cs"/>
          <w:rtl/>
        </w:rPr>
        <w:t xml:space="preserve"> حقيق بالرعاية. وعطفهم هذا كان ناشئاً من مهاجرة ذويه من وجه المغول يصحبهم أحد بني العباس -</w:t>
      </w:r>
      <w:r w:rsidRPr="00A52585">
        <w:rPr>
          <w:rFonts w:hint="cs"/>
          <w:rtl/>
        </w:rPr>
        <w:t xml:space="preserve"> </w:t>
      </w:r>
      <w:r w:rsidR="00777DCB" w:rsidRPr="00A52585">
        <w:rPr>
          <w:rFonts w:hint="cs"/>
          <w:rtl/>
        </w:rPr>
        <w:t>وهو الذي تولى الخلافة بمصر فيما بعد -</w:t>
      </w:r>
      <w:r w:rsidRPr="00A52585">
        <w:rPr>
          <w:rFonts w:hint="cs"/>
          <w:rtl/>
        </w:rPr>
        <w:t xml:space="preserve"> </w:t>
      </w:r>
      <w:r w:rsidR="00777DCB" w:rsidRPr="00A52585">
        <w:rPr>
          <w:rFonts w:hint="cs"/>
          <w:rtl/>
        </w:rPr>
        <w:t xml:space="preserve">ومن وفاة والده بدون مال ولا تراث بحيث لو عين الآخرون في وظائفه للقي عياله البؤس والشقاء. وكان جملة </w:t>
      </w:r>
      <w:proofErr w:type="spellStart"/>
      <w:r w:rsidR="00777DCB" w:rsidRPr="00A52585">
        <w:rPr>
          <w:rFonts w:hint="cs"/>
          <w:rtl/>
        </w:rPr>
        <w:t>المثنين</w:t>
      </w:r>
      <w:proofErr w:type="spellEnd"/>
      <w:r w:rsidR="00777DCB" w:rsidRPr="00A52585">
        <w:rPr>
          <w:rFonts w:hint="cs"/>
          <w:rtl/>
        </w:rPr>
        <w:t xml:space="preserve"> عليه التاج الفزاري المعروف </w:t>
      </w:r>
      <w:proofErr w:type="spellStart"/>
      <w:r w:rsidR="00777DCB" w:rsidRPr="00A52585">
        <w:rPr>
          <w:rFonts w:hint="cs"/>
          <w:rtl/>
        </w:rPr>
        <w:t>بالفركاح</w:t>
      </w:r>
      <w:proofErr w:type="spellEnd"/>
      <w:r w:rsidR="00777DCB" w:rsidRPr="00A52585">
        <w:rPr>
          <w:rFonts w:hint="cs"/>
          <w:rtl/>
        </w:rPr>
        <w:t xml:space="preserve"> وابنه البرهان والجلال والكمال </w:t>
      </w:r>
      <w:proofErr w:type="spellStart"/>
      <w:r w:rsidR="00777DCB" w:rsidRPr="00A52585">
        <w:rPr>
          <w:rFonts w:hint="cs"/>
          <w:rtl/>
        </w:rPr>
        <w:t>الزملكاني</w:t>
      </w:r>
      <w:proofErr w:type="spellEnd"/>
      <w:r w:rsidR="00777DCB" w:rsidRPr="00A52585">
        <w:rPr>
          <w:rFonts w:hint="cs"/>
          <w:rtl/>
        </w:rPr>
        <w:t xml:space="preserve"> ومحمد بن الجريري الأنصاري والعلا </w:t>
      </w:r>
      <w:proofErr w:type="spellStart"/>
      <w:r w:rsidR="00777DCB" w:rsidRPr="00A52585">
        <w:rPr>
          <w:rFonts w:hint="cs"/>
          <w:rtl/>
        </w:rPr>
        <w:t>القونوي</w:t>
      </w:r>
      <w:proofErr w:type="spellEnd"/>
      <w:r w:rsidR="00777DCB" w:rsidRPr="00A52585">
        <w:rPr>
          <w:rFonts w:hint="cs"/>
          <w:rtl/>
        </w:rPr>
        <w:t xml:space="preserve"> وغيرهم. لكن ثناء هؤلاء غر ابن تيمية -</w:t>
      </w:r>
      <w:r w:rsidRPr="00A52585">
        <w:rPr>
          <w:rFonts w:hint="cs"/>
          <w:rtl/>
        </w:rPr>
        <w:t xml:space="preserve"> </w:t>
      </w:r>
      <w:r w:rsidR="00777DCB" w:rsidRPr="00A52585">
        <w:rPr>
          <w:rFonts w:hint="cs"/>
          <w:rtl/>
        </w:rPr>
        <w:t>ولم ينتبه إلى الباعث على ثنائهم -</w:t>
      </w:r>
      <w:r w:rsidRPr="00A52585">
        <w:rPr>
          <w:rFonts w:hint="cs"/>
          <w:rtl/>
        </w:rPr>
        <w:t xml:space="preserve"> </w:t>
      </w:r>
      <w:r w:rsidR="00777DCB" w:rsidRPr="00A52585">
        <w:rPr>
          <w:rFonts w:hint="cs"/>
          <w:rtl/>
        </w:rPr>
        <w:t xml:space="preserve">فبدأ يذيع بدعا بين حين وآخر؛ وأهل العلم يتسامحون معه في الأوائل باعتبار أن تلك الكلمات ربما تكون فلتات لا ينطوي هو عليها، لكن خاب ظنهم وعلموا أنه فاتن بالمعنى الصحيح فتخلوا عنه واحداً إثر واحد على توالي فتنه، كما سبق. والذهبي كان من أشياعه ومتابعيه إلا في مسائل، لكنه لما وجد أن فتنه تأخذ كل مأخذ ولم يبق معه سوى مقلدة </w:t>
      </w:r>
      <w:proofErr w:type="spellStart"/>
      <w:r w:rsidR="00777DCB" w:rsidRPr="00A52585">
        <w:rPr>
          <w:rFonts w:hint="cs"/>
          <w:rtl/>
        </w:rPr>
        <w:t>الحشوية</w:t>
      </w:r>
      <w:proofErr w:type="spellEnd"/>
      <w:r w:rsidR="00777DCB" w:rsidRPr="00A52585">
        <w:rPr>
          <w:rFonts w:hint="cs"/>
          <w:rtl/>
        </w:rPr>
        <w:t xml:space="preserve"> والمنخدعين به وهم شباب بدأ يسعى في تهدئة الفتنة، مرة يكتب إلى أضداده لأجل أن يخففوا لهجتهم معه – كما فعل مع السبكي على رواية ابن رجب ولم نطلع على غير صدر الجواب على تقدير صحة ذلك الصدر -</w:t>
      </w:r>
      <w:r w:rsidRPr="00A52585">
        <w:rPr>
          <w:rFonts w:hint="cs"/>
          <w:rtl/>
        </w:rPr>
        <w:t xml:space="preserve"> </w:t>
      </w:r>
      <w:r w:rsidR="00777DCB" w:rsidRPr="00A52585">
        <w:rPr>
          <w:rFonts w:hint="cs"/>
          <w:rtl/>
        </w:rPr>
        <w:t>ومرة يكتب هذه الرسالة إلى ابن تيمية نفسه</w:t>
      </w:r>
      <w:r w:rsidR="00DB731D" w:rsidRPr="00A52585">
        <w:rPr>
          <w:rFonts w:hint="cs"/>
          <w:rtl/>
        </w:rPr>
        <w:t>،</w:t>
      </w:r>
      <w:r w:rsidR="00777DCB" w:rsidRPr="00A52585">
        <w:rPr>
          <w:rFonts w:hint="cs"/>
          <w:rtl/>
        </w:rPr>
        <w:t xml:space="preserve"> </w:t>
      </w:r>
    </w:p>
    <w:p w14:paraId="60C841F6" w14:textId="5EFE1C9C" w:rsidR="00777DCB" w:rsidRPr="00A52585" w:rsidRDefault="0002035C" w:rsidP="0002035C">
      <w:pPr>
        <w:spacing w:after="240"/>
        <w:rPr>
          <w:b/>
          <w:rtl/>
        </w:rPr>
      </w:pPr>
      <w:r w:rsidRPr="00A52585">
        <w:rPr>
          <w:rFonts w:hint="cs"/>
          <w:bCs/>
          <w:rtl/>
        </w:rPr>
        <w:t>[</w:t>
      </w:r>
      <w:r w:rsidR="00777DCB" w:rsidRPr="00A52585">
        <w:rPr>
          <w:rFonts w:hint="cs"/>
          <w:bCs/>
          <w:rtl/>
        </w:rPr>
        <w:t>نص الرسالة</w:t>
      </w:r>
      <w:r w:rsidRPr="00A52585">
        <w:rPr>
          <w:rFonts w:hint="cs"/>
          <w:bCs/>
          <w:rtl/>
        </w:rPr>
        <w:t>]</w:t>
      </w:r>
      <w:r w:rsidRPr="00A52585">
        <w:rPr>
          <w:rFonts w:hint="cs"/>
          <w:rtl/>
        </w:rPr>
        <w:t>:</w:t>
      </w:r>
      <w:r w:rsidR="00777DCB" w:rsidRPr="00A52585">
        <w:rPr>
          <w:rFonts w:hint="cs"/>
          <w:rtl/>
        </w:rPr>
        <w:t xml:space="preserve"> ولا تخلو قراءة هذا الخط من بعض صعوبة على بعض القراء فإليك الرسالة الحروف المعتادة مع عنوانها</w:t>
      </w:r>
      <w:r w:rsidRPr="00A52585">
        <w:rPr>
          <w:rFonts w:hint="cs"/>
          <w:rtl/>
        </w:rPr>
        <w:t>:</w:t>
      </w:r>
      <w:r w:rsidR="00777DCB" w:rsidRPr="00A52585">
        <w:rPr>
          <w:rFonts w:hint="cs"/>
          <w:rtl/>
        </w:rPr>
        <w:t xml:space="preserve"> رسالة كتب بها الشيخ شمس الدين أبو عبد الله الذهبي إلى الشيخ تقي الدين ابن تيمية كتبتها </w:t>
      </w:r>
      <w:r w:rsidR="00777DCB" w:rsidRPr="00A52585">
        <w:rPr>
          <w:rFonts w:hint="cs"/>
          <w:sz w:val="24"/>
          <w:szCs w:val="24"/>
          <w:rtl/>
        </w:rPr>
        <w:t xml:space="preserve">- والكاتب هو التقي ابن قاضي شهبة وقد ذكر في طبقات الشافعية أنه اطلع على مجاميع وفوائد بخط </w:t>
      </w:r>
      <w:r w:rsidR="00777DCB" w:rsidRPr="00A52585">
        <w:rPr>
          <w:rFonts w:hint="cs"/>
          <w:sz w:val="24"/>
          <w:szCs w:val="24"/>
          <w:rtl/>
        </w:rPr>
        <w:lastRenderedPageBreak/>
        <w:t>البرهان ابن جماعة -</w:t>
      </w:r>
      <w:r w:rsidR="00777DCB" w:rsidRPr="00A52585">
        <w:rPr>
          <w:rFonts w:hint="cs"/>
          <w:sz w:val="24"/>
          <w:rtl/>
        </w:rPr>
        <w:t xml:space="preserve"> </w:t>
      </w:r>
      <w:r w:rsidR="00777DCB" w:rsidRPr="00A52585">
        <w:rPr>
          <w:rFonts w:hint="cs"/>
          <w:rtl/>
        </w:rPr>
        <w:t>من خط قاضي القضاة برهان الدين بن جماعة رحمه الله وكتبها هو من خط الشيخ الحافظ أبي سعيد بن العلائي وهو كتبها من خط مرسلها الشيخ شمس الدين</w:t>
      </w:r>
      <w:r w:rsidR="00DB731D" w:rsidRPr="00A52585">
        <w:rPr>
          <w:rFonts w:hint="cs"/>
          <w:rtl/>
        </w:rPr>
        <w:t>،</w:t>
      </w:r>
      <w:r w:rsidR="00777DCB" w:rsidRPr="00A52585">
        <w:rPr>
          <w:rFonts w:hint="cs"/>
          <w:rtl/>
        </w:rPr>
        <w:t xml:space="preserve"> الحمد لله على ذلتي</w:t>
      </w:r>
      <w:r w:rsidR="00DB731D" w:rsidRPr="00A52585">
        <w:rPr>
          <w:rFonts w:hint="cs"/>
          <w:rtl/>
        </w:rPr>
        <w:t>،</w:t>
      </w:r>
      <w:r w:rsidR="00777DCB" w:rsidRPr="00A52585">
        <w:rPr>
          <w:rFonts w:hint="cs"/>
          <w:rtl/>
        </w:rPr>
        <w:t xml:space="preserve"> يا رب ارحمني وأقلني عثرتي. واحفظ عليَّ إيماني. واحزناه على قلة حزني</w:t>
      </w:r>
      <w:r w:rsidR="00DB731D" w:rsidRPr="00A52585">
        <w:rPr>
          <w:rFonts w:hint="cs"/>
          <w:rtl/>
        </w:rPr>
        <w:t>،</w:t>
      </w:r>
      <w:r w:rsidR="00777DCB" w:rsidRPr="00A52585">
        <w:rPr>
          <w:rFonts w:hint="cs"/>
          <w:rtl/>
        </w:rPr>
        <w:t xml:space="preserve"> </w:t>
      </w:r>
      <w:proofErr w:type="spellStart"/>
      <w:r w:rsidR="00777DCB" w:rsidRPr="00A52585">
        <w:rPr>
          <w:rFonts w:hint="cs"/>
          <w:rtl/>
        </w:rPr>
        <w:t>وا</w:t>
      </w:r>
      <w:proofErr w:type="spellEnd"/>
      <w:r w:rsidR="00777DCB" w:rsidRPr="00A52585">
        <w:rPr>
          <w:rFonts w:hint="cs"/>
          <w:rtl/>
        </w:rPr>
        <w:t xml:space="preserve"> أسفاه على السنة وذهاب أهلها. </w:t>
      </w:r>
      <w:proofErr w:type="spellStart"/>
      <w:r w:rsidR="00777DCB" w:rsidRPr="00A52585">
        <w:rPr>
          <w:rFonts w:hint="cs"/>
          <w:rtl/>
        </w:rPr>
        <w:t>واشوقاه</w:t>
      </w:r>
      <w:proofErr w:type="spellEnd"/>
      <w:r w:rsidR="00777DCB" w:rsidRPr="00A52585">
        <w:rPr>
          <w:rFonts w:hint="cs"/>
          <w:rtl/>
        </w:rPr>
        <w:t xml:space="preserve"> إلى إخوان مؤمنين يعاونونني على البكاء. واحزناه على فقد أناس كانوا مصابيح العلم وأهل التقوى وكنوز الخيرات. آه على وجود درهم حلال وأخ </w:t>
      </w:r>
      <w:proofErr w:type="spellStart"/>
      <w:r w:rsidR="00777DCB" w:rsidRPr="00A52585">
        <w:rPr>
          <w:rFonts w:hint="cs"/>
          <w:rtl/>
        </w:rPr>
        <w:t>مونس</w:t>
      </w:r>
      <w:proofErr w:type="spellEnd"/>
      <w:r w:rsidR="00777DCB" w:rsidRPr="00A52585">
        <w:rPr>
          <w:rFonts w:hint="cs"/>
          <w:rtl/>
        </w:rPr>
        <w:t>. طوبى لمن شغله عيبه عن عيوب الناس</w:t>
      </w:r>
      <w:r w:rsidR="00DB731D" w:rsidRPr="00A52585">
        <w:rPr>
          <w:rFonts w:hint="cs"/>
          <w:rtl/>
        </w:rPr>
        <w:t>،</w:t>
      </w:r>
      <w:r w:rsidR="00777DCB" w:rsidRPr="00A52585">
        <w:rPr>
          <w:rFonts w:hint="cs"/>
          <w:rtl/>
        </w:rPr>
        <w:t xml:space="preserve"> وتباً لمن شغله عيوب الناس عن عيبه. إلى كم ترى القذاة في عين أخيك وتنسى الجذع في </w:t>
      </w:r>
      <w:proofErr w:type="gramStart"/>
      <w:r w:rsidR="00777DCB" w:rsidRPr="00A52585">
        <w:rPr>
          <w:rFonts w:hint="cs"/>
          <w:rtl/>
        </w:rPr>
        <w:t>عينك!.</w:t>
      </w:r>
      <w:proofErr w:type="gramEnd"/>
      <w:r w:rsidR="00777DCB" w:rsidRPr="00A52585">
        <w:rPr>
          <w:rFonts w:hint="cs"/>
          <w:rtl/>
        </w:rPr>
        <w:t xml:space="preserve"> إلى كم تمدح نفسك وشقاشقك </w:t>
      </w:r>
      <w:proofErr w:type="gramStart"/>
      <w:r w:rsidR="00777DCB" w:rsidRPr="00A52585">
        <w:rPr>
          <w:rFonts w:hint="cs"/>
          <w:rtl/>
        </w:rPr>
        <w:t>وعباراتك,</w:t>
      </w:r>
      <w:proofErr w:type="gramEnd"/>
      <w:r w:rsidR="00777DCB" w:rsidRPr="00A52585">
        <w:rPr>
          <w:rFonts w:hint="cs"/>
          <w:rtl/>
        </w:rPr>
        <w:t xml:space="preserve"> وتذم العلماء وتتبع عورات الناس؛ مع علمك بنهي الرسول صلى الله عليه وسلم </w:t>
      </w:r>
      <w:r w:rsidRPr="00A52585">
        <w:rPr>
          <w:rFonts w:hint="cs"/>
          <w:rtl/>
        </w:rPr>
        <w:t>(</w:t>
      </w:r>
      <w:r w:rsidR="00777DCB" w:rsidRPr="00A52585">
        <w:rPr>
          <w:rFonts w:hint="cs"/>
          <w:rtl/>
        </w:rPr>
        <w:t>لا تذكروا موتاكم إلا بخير</w:t>
      </w:r>
      <w:r w:rsidR="00DB731D" w:rsidRPr="00A52585">
        <w:rPr>
          <w:rFonts w:hint="cs"/>
          <w:rtl/>
        </w:rPr>
        <w:t>،</w:t>
      </w:r>
      <w:r w:rsidR="00777DCB" w:rsidRPr="00A52585">
        <w:rPr>
          <w:rFonts w:hint="cs"/>
          <w:rtl/>
        </w:rPr>
        <w:t xml:space="preserve"> فإنهم قد أفضوا إلى ما قدموا</w:t>
      </w:r>
      <w:r w:rsidRPr="00A52585">
        <w:rPr>
          <w:rFonts w:hint="cs"/>
          <w:rtl/>
        </w:rPr>
        <w:t>)</w:t>
      </w:r>
      <w:r w:rsidR="00777DCB" w:rsidRPr="00A52585">
        <w:rPr>
          <w:rFonts w:hint="cs"/>
          <w:rtl/>
        </w:rPr>
        <w:t xml:space="preserve"> بل أعرف أنك تقول لي لتنصر نفسك</w:t>
      </w:r>
      <w:r w:rsidRPr="00A52585">
        <w:rPr>
          <w:rFonts w:hint="cs"/>
          <w:rtl/>
        </w:rPr>
        <w:t>:</w:t>
      </w:r>
      <w:r w:rsidR="00777DCB" w:rsidRPr="00A52585">
        <w:rPr>
          <w:rFonts w:hint="cs"/>
          <w:rtl/>
        </w:rPr>
        <w:t xml:space="preserve"> إنما الوقيعة في هؤلاء الذين ما شموا رائحة الإسلام ولا عرفوا ما جاء به محمد</w:t>
      </w:r>
      <w:r w:rsidRPr="00A52585">
        <w:rPr>
          <w:rFonts w:hint="cs"/>
          <w:rtl/>
        </w:rPr>
        <w:t xml:space="preserve"> </w:t>
      </w:r>
      <w:r w:rsidR="00777DCB" w:rsidRPr="00A52585">
        <w:rPr>
          <w:rFonts w:hint="cs"/>
          <w:rtl/>
        </w:rPr>
        <w:t>صلى الله عليه وسلم وهو جهاد. بلى</w:t>
      </w:r>
      <w:r w:rsidRPr="00A52585">
        <w:rPr>
          <w:rFonts w:hint="cs"/>
          <w:rtl/>
        </w:rPr>
        <w:t xml:space="preserve"> </w:t>
      </w:r>
      <w:r w:rsidR="00777DCB" w:rsidRPr="00A52585">
        <w:rPr>
          <w:rFonts w:hint="cs"/>
          <w:rtl/>
        </w:rPr>
        <w:t>- والله -</w:t>
      </w:r>
      <w:r w:rsidRPr="00A52585">
        <w:rPr>
          <w:rFonts w:hint="cs"/>
          <w:rtl/>
        </w:rPr>
        <w:t xml:space="preserve"> </w:t>
      </w:r>
      <w:r w:rsidR="00777DCB" w:rsidRPr="00A52585">
        <w:rPr>
          <w:rFonts w:hint="cs"/>
          <w:rtl/>
        </w:rPr>
        <w:t xml:space="preserve">عرفوا خيراً كثيراً مما إذا عمل به العبد فقد </w:t>
      </w:r>
      <w:proofErr w:type="gramStart"/>
      <w:r w:rsidR="00777DCB" w:rsidRPr="00A52585">
        <w:rPr>
          <w:rFonts w:hint="cs"/>
          <w:rtl/>
        </w:rPr>
        <w:t>فاز,</w:t>
      </w:r>
      <w:proofErr w:type="gramEnd"/>
      <w:r w:rsidR="00777DCB" w:rsidRPr="00A52585">
        <w:rPr>
          <w:rFonts w:hint="cs"/>
          <w:rtl/>
        </w:rPr>
        <w:t xml:space="preserve"> وجهلوا شيئاً كثيراً مما لا يعنيهم</w:t>
      </w:r>
      <w:r w:rsidR="00DB731D" w:rsidRPr="00A52585">
        <w:rPr>
          <w:rFonts w:hint="cs"/>
          <w:rtl/>
        </w:rPr>
        <w:t>،</w:t>
      </w:r>
      <w:r w:rsidR="00777DCB" w:rsidRPr="00A52585">
        <w:rPr>
          <w:rFonts w:hint="cs"/>
          <w:rtl/>
        </w:rPr>
        <w:t xml:space="preserve"> ومن حسن إسلام المرء تركه ما لا يعنيه. يا رجل بالله عليك كف عنا فإنك محجاج عليم اللسان لا تقر ولا تنام. إياكم </w:t>
      </w:r>
      <w:proofErr w:type="spellStart"/>
      <w:r w:rsidR="00777DCB" w:rsidRPr="00A52585">
        <w:rPr>
          <w:rFonts w:hint="cs"/>
          <w:rtl/>
        </w:rPr>
        <w:t>والغلوطات</w:t>
      </w:r>
      <w:proofErr w:type="spellEnd"/>
      <w:r w:rsidR="00777DCB" w:rsidRPr="00A52585">
        <w:rPr>
          <w:rFonts w:hint="cs"/>
          <w:rtl/>
        </w:rPr>
        <w:t xml:space="preserve"> في الدين كره نبيك صلى الله عليه وسلم المسائل وعابها ونهى عن كثرة السؤال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أخوف ما أخاف على أمتي كل منافق عليم اللسان</w:t>
      </w:r>
      <w:r w:rsidRPr="00A52585">
        <w:rPr>
          <w:rFonts w:hint="cs"/>
          <w:rtl/>
        </w:rPr>
        <w:t>)</w:t>
      </w:r>
      <w:r w:rsidR="00777DCB" w:rsidRPr="00A52585">
        <w:rPr>
          <w:rFonts w:hint="cs"/>
          <w:rtl/>
        </w:rPr>
        <w:t xml:space="preserve"> وكثرة الكلام بغير زلل تقسي القلوب إذا كان في الحلال والحرام</w:t>
      </w:r>
      <w:r w:rsidR="00DB731D" w:rsidRPr="00A52585">
        <w:rPr>
          <w:rFonts w:hint="cs"/>
          <w:rtl/>
        </w:rPr>
        <w:t>،</w:t>
      </w:r>
      <w:r w:rsidR="00777DCB" w:rsidRPr="00A52585">
        <w:rPr>
          <w:rFonts w:hint="cs"/>
          <w:rtl/>
        </w:rPr>
        <w:t xml:space="preserve"> فكيف إذا كان في عبارات </w:t>
      </w:r>
      <w:proofErr w:type="spellStart"/>
      <w:proofErr w:type="gramStart"/>
      <w:r w:rsidR="00777DCB" w:rsidRPr="00A52585">
        <w:rPr>
          <w:rFonts w:hint="cs"/>
          <w:rtl/>
        </w:rPr>
        <w:t>اليونسية</w:t>
      </w:r>
      <w:proofErr w:type="spellEnd"/>
      <w:r w:rsidR="00777DCB" w:rsidRPr="00A52585">
        <w:rPr>
          <w:rFonts w:hint="cs"/>
          <w:rtl/>
        </w:rPr>
        <w:t>,</w:t>
      </w:r>
      <w:proofErr w:type="gramEnd"/>
      <w:r w:rsidR="00777DCB" w:rsidRPr="00A52585">
        <w:rPr>
          <w:rFonts w:hint="cs"/>
          <w:rtl/>
        </w:rPr>
        <w:t xml:space="preserve"> والفلاسفة, وتلك </w:t>
      </w:r>
      <w:proofErr w:type="spellStart"/>
      <w:r w:rsidR="00777DCB" w:rsidRPr="00A52585">
        <w:rPr>
          <w:rFonts w:hint="cs"/>
          <w:rtl/>
        </w:rPr>
        <w:t>الكفريات</w:t>
      </w:r>
      <w:proofErr w:type="spellEnd"/>
      <w:r w:rsidR="00777DCB" w:rsidRPr="00A52585">
        <w:rPr>
          <w:rFonts w:hint="cs"/>
          <w:rtl/>
        </w:rPr>
        <w:t xml:space="preserve"> التي تعمي القلوب. والله قد صرنا ضُحْكة في الوجود فإلى كم تنبش دقائق </w:t>
      </w:r>
      <w:proofErr w:type="spellStart"/>
      <w:r w:rsidR="00777DCB" w:rsidRPr="00A52585">
        <w:rPr>
          <w:rFonts w:hint="cs"/>
          <w:rtl/>
        </w:rPr>
        <w:t>الكفريات</w:t>
      </w:r>
      <w:proofErr w:type="spellEnd"/>
      <w:r w:rsidR="00777DCB" w:rsidRPr="00A52585">
        <w:rPr>
          <w:rFonts w:hint="cs"/>
          <w:rtl/>
        </w:rPr>
        <w:t xml:space="preserve"> الفلسفية لنـرد بعقولنا</w:t>
      </w:r>
      <w:r w:rsidR="00F95886" w:rsidRPr="00A52585">
        <w:rPr>
          <w:rFonts w:hint="cs"/>
          <w:rtl/>
        </w:rPr>
        <w:t>؟</w:t>
      </w:r>
      <w:r w:rsidR="00777DCB" w:rsidRPr="00A52585">
        <w:rPr>
          <w:rFonts w:hint="cs"/>
          <w:rtl/>
        </w:rPr>
        <w:t xml:space="preserve"> يا رجل قد بلعت </w:t>
      </w:r>
      <w:r w:rsidRPr="00A52585">
        <w:rPr>
          <w:rFonts w:hint="cs"/>
          <w:rtl/>
        </w:rPr>
        <w:t>(</w:t>
      </w:r>
      <w:r w:rsidR="00777DCB" w:rsidRPr="00A52585">
        <w:rPr>
          <w:rFonts w:hint="cs"/>
          <w:rtl/>
        </w:rPr>
        <w:t>سموم</w:t>
      </w:r>
      <w:r w:rsidRPr="00A52585">
        <w:rPr>
          <w:rFonts w:hint="cs"/>
          <w:rtl/>
        </w:rPr>
        <w:t>)</w:t>
      </w:r>
      <w:r w:rsidR="00777DCB" w:rsidRPr="00A52585">
        <w:rPr>
          <w:rFonts w:hint="cs"/>
          <w:rtl/>
        </w:rPr>
        <w:t xml:space="preserve"> الفلاسفة وتصنيفاتهم مرات</w:t>
      </w:r>
      <w:r w:rsidR="00DB731D" w:rsidRPr="00A52585">
        <w:rPr>
          <w:rFonts w:hint="cs"/>
          <w:rtl/>
        </w:rPr>
        <w:t>،</w:t>
      </w:r>
      <w:r w:rsidR="00777DCB" w:rsidRPr="00A52585">
        <w:rPr>
          <w:rFonts w:hint="cs"/>
          <w:rtl/>
        </w:rPr>
        <w:t xml:space="preserve"> وكثرة استعمال السموم يدمن عليه الجسم وتكمن والله في البدن. </w:t>
      </w:r>
      <w:proofErr w:type="spellStart"/>
      <w:r w:rsidR="00777DCB" w:rsidRPr="00A52585">
        <w:rPr>
          <w:rFonts w:hint="cs"/>
          <w:rtl/>
        </w:rPr>
        <w:t>واشوقاه</w:t>
      </w:r>
      <w:proofErr w:type="spellEnd"/>
      <w:r w:rsidR="00777DCB" w:rsidRPr="00A52585">
        <w:rPr>
          <w:rFonts w:hint="cs"/>
          <w:rtl/>
        </w:rPr>
        <w:t xml:space="preserve"> إلى مجلس فيه تلاوة </w:t>
      </w:r>
      <w:proofErr w:type="gramStart"/>
      <w:r w:rsidR="00777DCB" w:rsidRPr="00A52585">
        <w:rPr>
          <w:rFonts w:hint="cs"/>
          <w:rtl/>
        </w:rPr>
        <w:t>بتدبر,</w:t>
      </w:r>
      <w:proofErr w:type="gramEnd"/>
      <w:r w:rsidR="00777DCB" w:rsidRPr="00A52585">
        <w:rPr>
          <w:rFonts w:hint="cs"/>
          <w:rtl/>
        </w:rPr>
        <w:t xml:space="preserve"> وخشية بتذكر, وصمت بتفكر؛ وآها لمجلس يذكر فيه الأبرار فعند ذكر الصالحين تنـزل الرحمة. بلى عند ذكر الصالحين يذكرون بالازدراء واللعنة. كان سيف الحجاج ولسان ابن حزم شقيقين فواخيتهما. بالله خلونا من ذكر بدعة الخميس وأكل الحبوب وجدوا في ذكر بدع كنا نعدها من أساس الضلال قد صارت هي محض السنة وأساس التوحيد ومن لم يعرفها فهو كافر أو حمار</w:t>
      </w:r>
      <w:r w:rsidR="00DB731D" w:rsidRPr="00A52585">
        <w:rPr>
          <w:rFonts w:hint="cs"/>
          <w:rtl/>
        </w:rPr>
        <w:t>،</w:t>
      </w:r>
      <w:r w:rsidR="00777DCB" w:rsidRPr="00A52585">
        <w:rPr>
          <w:rFonts w:hint="cs"/>
          <w:rtl/>
        </w:rPr>
        <w:t xml:space="preserve"> ومن لم يكفر فهو أكفر من فرعون. وتعد النصارى مثلنا</w:t>
      </w:r>
      <w:r w:rsidR="00DB731D" w:rsidRPr="00A52585">
        <w:rPr>
          <w:rFonts w:hint="cs"/>
          <w:rtl/>
        </w:rPr>
        <w:t>،</w:t>
      </w:r>
      <w:r w:rsidR="00777DCB" w:rsidRPr="00A52585">
        <w:rPr>
          <w:rFonts w:hint="cs"/>
          <w:rtl/>
        </w:rPr>
        <w:t xml:space="preserve"> والله في</w:t>
      </w:r>
      <w:r w:rsidRPr="00A52585">
        <w:rPr>
          <w:rFonts w:hint="cs"/>
          <w:rtl/>
        </w:rPr>
        <w:t xml:space="preserve"> </w:t>
      </w:r>
      <w:r w:rsidR="00777DCB" w:rsidRPr="00A52585">
        <w:rPr>
          <w:rFonts w:hint="cs"/>
          <w:rtl/>
        </w:rPr>
        <w:t xml:space="preserve">القلوب شكرك إن سلم لك إيمانك بالشهادتين فأنت سعيد. يا خيبة من اتبعك فإنه معرض للزندقة والانحلال لا سيما إذا كان قليل العلم والدين </w:t>
      </w:r>
      <w:proofErr w:type="spellStart"/>
      <w:r w:rsidR="00777DCB" w:rsidRPr="00A52585">
        <w:rPr>
          <w:rFonts w:hint="cs"/>
          <w:rtl/>
        </w:rPr>
        <w:t>باطوليا</w:t>
      </w:r>
      <w:proofErr w:type="spellEnd"/>
      <w:r w:rsidR="00777DCB" w:rsidRPr="00A52585">
        <w:rPr>
          <w:rFonts w:hint="cs"/>
          <w:rtl/>
        </w:rPr>
        <w:t xml:space="preserve"> شهوانيا. لكنه ينفعك ويجاهد عندك بيده ولسانه وفي الباطن عدو لك بحاله وقلبه. فهل معظم أتباعك إلا قعيد مربوط خفيف </w:t>
      </w:r>
      <w:proofErr w:type="gramStart"/>
      <w:r w:rsidR="00777DCB" w:rsidRPr="00A52585">
        <w:rPr>
          <w:rFonts w:hint="cs"/>
          <w:rtl/>
        </w:rPr>
        <w:t>العقل,</w:t>
      </w:r>
      <w:proofErr w:type="gramEnd"/>
      <w:r w:rsidR="00777DCB" w:rsidRPr="00A52585">
        <w:rPr>
          <w:rFonts w:hint="cs"/>
          <w:rtl/>
        </w:rPr>
        <w:t xml:space="preserve"> أو عامي كذاب بليد الذهن, أو غريب واجم قوي المكر أو ناشف صالح عديم الفهم</w:t>
      </w:r>
      <w:r w:rsidR="00F95886" w:rsidRPr="00A52585">
        <w:rPr>
          <w:rFonts w:hint="cs"/>
          <w:rtl/>
        </w:rPr>
        <w:t>؟</w:t>
      </w:r>
      <w:r w:rsidR="00777DCB" w:rsidRPr="00A52585">
        <w:rPr>
          <w:rFonts w:hint="cs"/>
          <w:rtl/>
        </w:rPr>
        <w:t xml:space="preserve"> فإن لم </w:t>
      </w:r>
      <w:r w:rsidR="00777DCB" w:rsidRPr="00A52585">
        <w:rPr>
          <w:rFonts w:hint="cs"/>
          <w:rtl/>
        </w:rPr>
        <w:lastRenderedPageBreak/>
        <w:t>تصدقني ففتشهم وزنهم بالعدل. يا مسلم أقدم حمار شهوتك لمدح نفسك</w:t>
      </w:r>
      <w:r w:rsidR="00DB731D" w:rsidRPr="00A52585">
        <w:rPr>
          <w:rFonts w:hint="cs"/>
          <w:rtl/>
        </w:rPr>
        <w:t>،</w:t>
      </w:r>
      <w:r w:rsidR="00777DCB" w:rsidRPr="00A52585">
        <w:rPr>
          <w:rFonts w:hint="cs"/>
          <w:rtl/>
        </w:rPr>
        <w:t xml:space="preserve"> إلى كم تصادقها وتعادى الأخيار. إلى كم تصادقها وتزدري الأبرار. إلى كم تعظمها وتصغر العباد. إلى متى تخالها وتمقت الزهاد. إلى متى تمدح كلامك بكيفية لا تمدح -</w:t>
      </w:r>
      <w:r w:rsidRPr="00A52585">
        <w:rPr>
          <w:rFonts w:hint="cs"/>
          <w:rtl/>
        </w:rPr>
        <w:t xml:space="preserve"> </w:t>
      </w:r>
      <w:r w:rsidR="00777DCB" w:rsidRPr="00A52585">
        <w:rPr>
          <w:rFonts w:hint="cs"/>
          <w:rtl/>
        </w:rPr>
        <w:t>والله -</w:t>
      </w:r>
      <w:r w:rsidRPr="00A52585">
        <w:rPr>
          <w:rFonts w:hint="cs"/>
          <w:rtl/>
        </w:rPr>
        <w:t xml:space="preserve"> </w:t>
      </w:r>
      <w:r w:rsidR="00777DCB" w:rsidRPr="00A52585">
        <w:rPr>
          <w:rFonts w:hint="cs"/>
          <w:rtl/>
        </w:rPr>
        <w:t xml:space="preserve">بها أحاديث الصحيحين. يا ليت أحاديث الصحيحين تسلم منك بل في كل وقت تغير عليها بالتضعيف والإهدار أو بالتأويل والإنكار. أما آن لك أن </w:t>
      </w:r>
      <w:proofErr w:type="spellStart"/>
      <w:r w:rsidR="00777DCB" w:rsidRPr="00A52585">
        <w:rPr>
          <w:rFonts w:hint="cs"/>
          <w:rtl/>
        </w:rPr>
        <w:t>ترعوي</w:t>
      </w:r>
      <w:proofErr w:type="spellEnd"/>
      <w:r w:rsidR="00F95886" w:rsidRPr="00A52585">
        <w:rPr>
          <w:rFonts w:hint="cs"/>
          <w:rtl/>
        </w:rPr>
        <w:t>؟</w:t>
      </w:r>
      <w:r w:rsidR="00777DCB" w:rsidRPr="00A52585">
        <w:rPr>
          <w:rFonts w:hint="cs"/>
          <w:rtl/>
        </w:rPr>
        <w:t xml:space="preserve"> أما حان لك أن تتوب وتنيب</w:t>
      </w:r>
      <w:r w:rsidR="00F95886" w:rsidRPr="00A52585">
        <w:rPr>
          <w:rFonts w:hint="cs"/>
          <w:rtl/>
        </w:rPr>
        <w:t>؟</w:t>
      </w:r>
      <w:r w:rsidR="00777DCB" w:rsidRPr="00A52585">
        <w:rPr>
          <w:rFonts w:hint="cs"/>
          <w:rtl/>
        </w:rPr>
        <w:t xml:space="preserve"> أما أنت في عشر السبعين وقد قرب الرحيل. بلى -</w:t>
      </w:r>
      <w:r w:rsidRPr="00A52585">
        <w:rPr>
          <w:rFonts w:hint="cs"/>
          <w:rtl/>
        </w:rPr>
        <w:t xml:space="preserve"> </w:t>
      </w:r>
      <w:r w:rsidR="00777DCB" w:rsidRPr="00A52585">
        <w:rPr>
          <w:rFonts w:hint="cs"/>
          <w:rtl/>
        </w:rPr>
        <w:t xml:space="preserve">والله – ما أذكر أنك تذكر الموت بل تزدري بمن يذكر الموت؛ فما أظنك تقبل على </w:t>
      </w:r>
      <w:proofErr w:type="gramStart"/>
      <w:r w:rsidR="00777DCB" w:rsidRPr="00A52585">
        <w:rPr>
          <w:rFonts w:hint="cs"/>
          <w:rtl/>
        </w:rPr>
        <w:t>قولي,</w:t>
      </w:r>
      <w:proofErr w:type="gramEnd"/>
      <w:r w:rsidR="00777DCB" w:rsidRPr="00A52585">
        <w:rPr>
          <w:rFonts w:hint="cs"/>
          <w:rtl/>
        </w:rPr>
        <w:t xml:space="preserve"> ولا تصغي إلى وعظي؛ بل لك همة كبيرة في نقض هذه الورقة بمجدات وتقطع لي أذناب الكلام ولا تزال تنتصر حتى أقول</w:t>
      </w:r>
      <w:r w:rsidRPr="00A52585">
        <w:rPr>
          <w:rFonts w:hint="cs"/>
          <w:rtl/>
        </w:rPr>
        <w:t>:</w:t>
      </w:r>
      <w:r w:rsidR="00777DCB" w:rsidRPr="00A52585">
        <w:rPr>
          <w:rFonts w:hint="cs"/>
          <w:rtl/>
        </w:rPr>
        <w:t xml:space="preserve"> </w:t>
      </w:r>
      <w:proofErr w:type="spellStart"/>
      <w:r w:rsidR="00777DCB" w:rsidRPr="00A52585">
        <w:rPr>
          <w:rFonts w:hint="cs"/>
          <w:rtl/>
        </w:rPr>
        <w:t>وألبتة</w:t>
      </w:r>
      <w:proofErr w:type="spellEnd"/>
      <w:r w:rsidR="00777DCB" w:rsidRPr="00A52585">
        <w:rPr>
          <w:rFonts w:hint="cs"/>
          <w:rtl/>
        </w:rPr>
        <w:t xml:space="preserve"> سكت. فإذا كان هذا حالك عندي وأنا الشفوق المحب الواد فكيف حالك عند أعدائك. وأعداؤك – والله -</w:t>
      </w:r>
      <w:r w:rsidRPr="00A52585">
        <w:rPr>
          <w:rFonts w:hint="cs"/>
          <w:rtl/>
        </w:rPr>
        <w:t xml:space="preserve"> </w:t>
      </w:r>
      <w:r w:rsidR="00777DCB" w:rsidRPr="00A52585">
        <w:rPr>
          <w:rFonts w:hint="cs"/>
          <w:rtl/>
        </w:rPr>
        <w:t xml:space="preserve">فيهم صلحاء وعقلاء وفضلاء كما أن أولياءك فيهم فجرة وكذبة وجهلة وبطلة وعور وبقر. قد رضيت منك بأن تسبني علانية وتنتفع بمقالتي سراً </w:t>
      </w:r>
      <w:r w:rsidRPr="00A52585">
        <w:rPr>
          <w:rFonts w:hint="cs"/>
          <w:rtl/>
        </w:rPr>
        <w:t>(</w:t>
      </w:r>
      <w:r w:rsidR="00777DCB" w:rsidRPr="00A52585">
        <w:rPr>
          <w:rFonts w:hint="cs"/>
          <w:rtl/>
        </w:rPr>
        <w:t xml:space="preserve">فرحم الله </w:t>
      </w:r>
      <w:proofErr w:type="spellStart"/>
      <w:r w:rsidR="00777DCB" w:rsidRPr="00A52585">
        <w:rPr>
          <w:rFonts w:hint="cs"/>
          <w:rtl/>
        </w:rPr>
        <w:t>امرءاً</w:t>
      </w:r>
      <w:proofErr w:type="spellEnd"/>
      <w:r w:rsidR="00777DCB" w:rsidRPr="00A52585">
        <w:rPr>
          <w:rFonts w:hint="cs"/>
          <w:rtl/>
        </w:rPr>
        <w:t xml:space="preserve"> أهدى إليَّ عيوبي</w:t>
      </w:r>
      <w:r w:rsidRPr="00A52585">
        <w:rPr>
          <w:rFonts w:hint="cs"/>
          <w:rtl/>
        </w:rPr>
        <w:t>)</w:t>
      </w:r>
      <w:r w:rsidR="00777DCB" w:rsidRPr="00A52585">
        <w:rPr>
          <w:rFonts w:hint="cs"/>
          <w:rtl/>
        </w:rPr>
        <w:t xml:space="preserve"> فإني كثير العيوب غزير الذنوب. الويل لي إن أنا لا أتوب</w:t>
      </w:r>
      <w:r w:rsidR="00DB731D" w:rsidRPr="00A52585">
        <w:rPr>
          <w:rFonts w:hint="cs"/>
          <w:rtl/>
        </w:rPr>
        <w:t>،</w:t>
      </w:r>
      <w:r w:rsidR="00777DCB" w:rsidRPr="00A52585">
        <w:rPr>
          <w:rFonts w:hint="cs"/>
          <w:rtl/>
        </w:rPr>
        <w:t xml:space="preserve"> </w:t>
      </w:r>
      <w:proofErr w:type="spellStart"/>
      <w:r w:rsidR="00777DCB" w:rsidRPr="00A52585">
        <w:rPr>
          <w:rFonts w:hint="cs"/>
          <w:rtl/>
        </w:rPr>
        <w:t>ووافضيحتي</w:t>
      </w:r>
      <w:proofErr w:type="spellEnd"/>
      <w:r w:rsidR="00777DCB" w:rsidRPr="00A52585">
        <w:rPr>
          <w:rFonts w:hint="cs"/>
          <w:rtl/>
        </w:rPr>
        <w:t xml:space="preserve"> من علام الغيوب ودوائي عفو الله ومسامحته وتوفيقه وهدايته والحمد لله رب العالمين وصلى الله على سيدنا محمد خاتم النبيين وعلى </w:t>
      </w:r>
      <w:proofErr w:type="spellStart"/>
      <w:r w:rsidR="00777DCB" w:rsidRPr="00A52585">
        <w:rPr>
          <w:rFonts w:hint="cs"/>
          <w:rtl/>
        </w:rPr>
        <w:t>آله</w:t>
      </w:r>
      <w:proofErr w:type="spellEnd"/>
      <w:r w:rsidR="00777DCB" w:rsidRPr="00A52585">
        <w:rPr>
          <w:rFonts w:hint="cs"/>
          <w:rtl/>
        </w:rPr>
        <w:t xml:space="preserve"> وصحبه أجمعين</w:t>
      </w:r>
      <w:r w:rsidR="00DB731D" w:rsidRPr="00A52585">
        <w:rPr>
          <w:rFonts w:hint="cs"/>
          <w:rtl/>
        </w:rPr>
        <w:t>،</w:t>
      </w:r>
      <w:r w:rsidR="00777DCB" w:rsidRPr="00A52585">
        <w:rPr>
          <w:rFonts w:hint="cs"/>
          <w:rtl/>
        </w:rPr>
        <w:t xml:space="preserve"> وهنا انتهت صورة رسالة الذهبي إلى ابن تيمية وفيها عبر بالغة. وليكن هذا آخر تكملة الرد على نونية ابن القيم وبها يكون إن شاء الله تعالى تبديد الظلام المخيم من نونية ابن القيم</w:t>
      </w:r>
      <w:r w:rsidR="00DB731D" w:rsidRPr="00A52585">
        <w:rPr>
          <w:rFonts w:hint="cs"/>
          <w:rtl/>
        </w:rPr>
        <w:t>،</w:t>
      </w:r>
      <w:r w:rsidR="00777DCB" w:rsidRPr="00A52585">
        <w:rPr>
          <w:rFonts w:hint="cs"/>
          <w:rtl/>
        </w:rPr>
        <w:t xml:space="preserve"> </w:t>
      </w:r>
    </w:p>
    <w:p w14:paraId="7D976822" w14:textId="4449169D" w:rsidR="00777DCB" w:rsidRPr="00A52585" w:rsidRDefault="0002035C" w:rsidP="0002035C">
      <w:pPr>
        <w:spacing w:after="240"/>
        <w:rPr>
          <w:b/>
          <w:rtl/>
        </w:rPr>
      </w:pPr>
      <w:r w:rsidRPr="00A52585">
        <w:rPr>
          <w:rFonts w:hint="cs"/>
          <w:bCs/>
          <w:rtl/>
        </w:rPr>
        <w:t>[</w:t>
      </w:r>
      <w:r w:rsidR="00777DCB" w:rsidRPr="00A52585">
        <w:rPr>
          <w:rFonts w:hint="cs"/>
          <w:bCs/>
          <w:rtl/>
        </w:rPr>
        <w:t>لماذا يقال للناظم ابن القيم</w:t>
      </w:r>
      <w:r w:rsidRPr="00A52585">
        <w:rPr>
          <w:rFonts w:hint="cs"/>
          <w:bCs/>
          <w:rtl/>
        </w:rPr>
        <w:t>]:</w:t>
      </w:r>
      <w:r w:rsidR="00777DCB" w:rsidRPr="00A52585">
        <w:rPr>
          <w:rFonts w:hint="cs"/>
          <w:bCs/>
          <w:rtl/>
        </w:rPr>
        <w:t xml:space="preserve"> </w:t>
      </w:r>
      <w:r w:rsidR="00777DCB" w:rsidRPr="00A52585">
        <w:rPr>
          <w:rFonts w:hint="cs"/>
          <w:rtl/>
        </w:rPr>
        <w:t xml:space="preserve">وقد عرف الناظم بابن القيم حيث كان أبوه قيم المدرسة الجوزية الحنبلية التي أنشأها محيى الدين ابن الحافظ أبي الفرج ابن الجوزي الحنبلي بسوق القمح المعروفة اليوم </w:t>
      </w:r>
      <w:proofErr w:type="spellStart"/>
      <w:r w:rsidR="00777DCB" w:rsidRPr="00A52585">
        <w:rPr>
          <w:rFonts w:hint="cs"/>
          <w:rtl/>
        </w:rPr>
        <w:t>بالبزورية</w:t>
      </w:r>
      <w:proofErr w:type="spellEnd"/>
      <w:r w:rsidR="00777DCB" w:rsidRPr="00A52585">
        <w:rPr>
          <w:rFonts w:hint="cs"/>
          <w:rtl/>
        </w:rPr>
        <w:t xml:space="preserve"> بدمشق</w:t>
      </w:r>
      <w:r w:rsidR="00DB731D" w:rsidRPr="00A52585">
        <w:rPr>
          <w:rFonts w:hint="cs"/>
          <w:rtl/>
        </w:rPr>
        <w:t>،</w:t>
      </w:r>
      <w:r w:rsidR="00777DCB" w:rsidRPr="00A52585">
        <w:rPr>
          <w:rFonts w:hint="cs"/>
          <w:rtl/>
        </w:rPr>
        <w:t xml:space="preserve"> والغالب أن يقال له ابن قيم الجوزية لئلا يلتبس بابن القيم الكبير المصري الراوي عن الفخر الفارسي فإنه معمر مقدم</w:t>
      </w:r>
      <w:r w:rsidR="00DB731D" w:rsidRPr="00A52585">
        <w:rPr>
          <w:rFonts w:hint="cs"/>
          <w:rtl/>
        </w:rPr>
        <w:t>،</w:t>
      </w:r>
      <w:r w:rsidR="00777DCB" w:rsidRPr="00A52585">
        <w:rPr>
          <w:rFonts w:hint="cs"/>
          <w:rtl/>
        </w:rPr>
        <w:t xml:space="preserve"> وبذلك يعلم أن من يقول عنه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ابن القيم الجوزي</w:t>
      </w:r>
      <w:r w:rsidRPr="00A52585">
        <w:rPr>
          <w:rFonts w:hint="cs"/>
          <w:rtl/>
        </w:rPr>
        <w:t>)</w:t>
      </w:r>
      <w:r w:rsidR="00777DCB" w:rsidRPr="00A52585">
        <w:rPr>
          <w:rFonts w:hint="cs"/>
          <w:rtl/>
        </w:rPr>
        <w:t xml:space="preserve"> واهم وهماً قبيحاً وإنما هو </w:t>
      </w:r>
      <w:r w:rsidRPr="00A52585">
        <w:rPr>
          <w:rFonts w:hint="cs"/>
          <w:rtl/>
        </w:rPr>
        <w:t>(</w:t>
      </w:r>
      <w:r w:rsidR="00777DCB" w:rsidRPr="00A52585">
        <w:rPr>
          <w:rFonts w:hint="cs"/>
          <w:rtl/>
        </w:rPr>
        <w:t>ابن قيم الجوزية</w:t>
      </w:r>
      <w:r w:rsidRPr="00A52585">
        <w:rPr>
          <w:rFonts w:hint="cs"/>
          <w:rtl/>
        </w:rPr>
        <w:t>)</w:t>
      </w:r>
      <w:r w:rsidR="00777DCB" w:rsidRPr="00A52585">
        <w:rPr>
          <w:rFonts w:hint="cs"/>
          <w:rtl/>
        </w:rPr>
        <w:t xml:space="preserve"> كما قلنا</w:t>
      </w:r>
      <w:r w:rsidR="00DB731D" w:rsidRPr="00A52585">
        <w:rPr>
          <w:rFonts w:hint="cs"/>
          <w:rtl/>
        </w:rPr>
        <w:t>،</w:t>
      </w:r>
      <w:r w:rsidR="00777DCB" w:rsidRPr="00A52585">
        <w:rPr>
          <w:rFonts w:hint="cs"/>
          <w:rtl/>
        </w:rPr>
        <w:t xml:space="preserve"> ويجد القارئ الكريم في كتابنا هذا الرد على ابن تيمية كما يجد فيه الرد على ابن القيم باعتبار أن الثاني إنما يردد صدى الأول في أبحاثه كلها دون أن تكون له شخصية خاصة؛ بل هو ظل الأول في كل آرائه وجميع أهوائه </w:t>
      </w:r>
      <w:proofErr w:type="spellStart"/>
      <w:r w:rsidR="00777DCB" w:rsidRPr="00A52585">
        <w:rPr>
          <w:rFonts w:hint="cs"/>
          <w:rtl/>
        </w:rPr>
        <w:t>فانتظمهما</w:t>
      </w:r>
      <w:proofErr w:type="spellEnd"/>
      <w:r w:rsidR="00777DCB" w:rsidRPr="00A52585">
        <w:rPr>
          <w:rFonts w:hint="cs"/>
          <w:rtl/>
        </w:rPr>
        <w:t xml:space="preserve"> الرد. ولعل فيما رددنا به عليهما كفاية للمنصف وقطعاً لعذر كل متعسف. وأما من تعود أن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عنـزة وإن طارت</w:t>
      </w:r>
      <w:r w:rsidRPr="00A52585">
        <w:rPr>
          <w:rFonts w:hint="cs"/>
          <w:rtl/>
        </w:rPr>
        <w:t>)</w:t>
      </w:r>
      <w:r w:rsidR="00DB731D" w:rsidRPr="00A52585">
        <w:rPr>
          <w:rFonts w:hint="cs"/>
          <w:rtl/>
        </w:rPr>
        <w:t>،</w:t>
      </w:r>
      <w:r w:rsidR="00777DCB" w:rsidRPr="00A52585">
        <w:rPr>
          <w:rFonts w:hint="cs"/>
          <w:rtl/>
        </w:rPr>
        <w:t xml:space="preserve"> فليس خطابي معه </w:t>
      </w:r>
      <w:r w:rsidRPr="00A52585">
        <w:rPr>
          <w:rFonts w:hint="cs"/>
          <w:rtl/>
        </w:rPr>
        <w:t>{</w:t>
      </w:r>
      <w:r w:rsidR="00777DCB" w:rsidRPr="00A52585">
        <w:rPr>
          <w:rFonts w:hint="cs"/>
          <w:rtl/>
        </w:rPr>
        <w:t>والله يقول الحق ويهدي السبيل</w:t>
      </w:r>
      <w:r w:rsidRPr="00A52585">
        <w:rPr>
          <w:rFonts w:hint="cs"/>
          <w:rtl/>
        </w:rPr>
        <w:t>}</w:t>
      </w:r>
      <w:r w:rsidR="00DB731D" w:rsidRPr="00A52585">
        <w:rPr>
          <w:rFonts w:hint="cs"/>
          <w:rtl/>
        </w:rPr>
        <w:t>،</w:t>
      </w:r>
      <w:r w:rsidR="00777DCB" w:rsidRPr="00A52585">
        <w:rPr>
          <w:rFonts w:hint="cs"/>
          <w:rtl/>
        </w:rPr>
        <w:t xml:space="preserve"> وكان فراغي من إعادة النظر في الكتاب ضحوة يوم الخميس المصادف لليوم الثالث من رجب سنة 1356</w:t>
      </w:r>
      <w:r w:rsidR="00DB731D" w:rsidRPr="00A52585">
        <w:rPr>
          <w:rFonts w:hint="cs"/>
          <w:rtl/>
        </w:rPr>
        <w:t>،</w:t>
      </w:r>
      <w:r w:rsidR="00777DCB" w:rsidRPr="00A52585">
        <w:rPr>
          <w:rFonts w:hint="cs"/>
          <w:rtl/>
        </w:rPr>
        <w:t xml:space="preserve"> وأسأل الله سبحانه أن ينفع به المسلمين, وأن يجعله ذخراً لي يوم الدين يوم لا ينفع مال ولا بنون إلا من أتى الله بقلب سليم؛ إنه المجيب البر التواب </w:t>
      </w:r>
      <w:r w:rsidR="00777DCB" w:rsidRPr="00A52585">
        <w:rPr>
          <w:rFonts w:hint="cs"/>
          <w:rtl/>
        </w:rPr>
        <w:lastRenderedPageBreak/>
        <w:t>الرحيم</w:t>
      </w:r>
      <w:r w:rsidR="00DB731D" w:rsidRPr="00A52585">
        <w:rPr>
          <w:rFonts w:hint="cs"/>
          <w:rtl/>
        </w:rPr>
        <w:t>،</w:t>
      </w:r>
      <w:r w:rsidR="00777DCB" w:rsidRPr="00A52585">
        <w:rPr>
          <w:rFonts w:hint="cs"/>
          <w:rtl/>
        </w:rPr>
        <w:t xml:space="preserve"> وأنا الفقير إلى عفو الله ومسامحته محمد زاهد بن الحسن بن علي الكوثري</w:t>
      </w:r>
      <w:r w:rsidR="00DB731D" w:rsidRPr="00A52585">
        <w:rPr>
          <w:rFonts w:hint="cs"/>
          <w:rtl/>
        </w:rPr>
        <w:t>،</w:t>
      </w:r>
      <w:r w:rsidR="00777DCB" w:rsidRPr="00A52585">
        <w:rPr>
          <w:rFonts w:hint="cs"/>
          <w:rtl/>
        </w:rPr>
        <w:t xml:space="preserve"> خادم العلم بدار السلطنة العثمانية سابقاً عفا الله عن سيئاته, ورفع منـزلته, ومنازل ذويه في الآخرة, وأغدق عليه, وعلى قرابته, ومشايخه سحب رحمته, ورضوانه, وغفر لهم, ولسائر المسلمين أجمعين</w:t>
      </w:r>
      <w:r w:rsidR="00DB731D" w:rsidRPr="00A52585">
        <w:rPr>
          <w:rFonts w:hint="cs"/>
          <w:rtl/>
        </w:rPr>
        <w:t>،</w:t>
      </w:r>
      <w:r w:rsidR="00777DCB" w:rsidRPr="00A52585">
        <w:rPr>
          <w:rFonts w:hint="cs"/>
          <w:rtl/>
        </w:rPr>
        <w:t xml:space="preserve"> وصلى الله على سيدنا محمد </w:t>
      </w:r>
      <w:proofErr w:type="spellStart"/>
      <w:r w:rsidR="00777DCB" w:rsidRPr="00A52585">
        <w:rPr>
          <w:rFonts w:hint="cs"/>
          <w:rtl/>
        </w:rPr>
        <w:t>وآله</w:t>
      </w:r>
      <w:proofErr w:type="spellEnd"/>
      <w:r w:rsidR="00777DCB" w:rsidRPr="00A52585">
        <w:rPr>
          <w:rFonts w:hint="cs"/>
          <w:rtl/>
        </w:rPr>
        <w:t xml:space="preserve"> وصحبه وسلم</w:t>
      </w:r>
      <w:r w:rsidR="00DB731D" w:rsidRPr="00A52585">
        <w:rPr>
          <w:rFonts w:hint="cs"/>
          <w:rtl/>
        </w:rPr>
        <w:t>،</w:t>
      </w:r>
      <w:r w:rsidR="00777DCB" w:rsidRPr="00A52585">
        <w:rPr>
          <w:rFonts w:hint="cs"/>
          <w:rtl/>
        </w:rPr>
        <w:t xml:space="preserve"> وآخر دعوانا أن الحمد لله رب العالمين</w:t>
      </w:r>
      <w:r w:rsidR="00DB731D" w:rsidRPr="00A52585">
        <w:rPr>
          <w:rFonts w:hint="cs"/>
          <w:rtl/>
        </w:rPr>
        <w:t>،</w:t>
      </w:r>
      <w:r w:rsidR="00777DCB" w:rsidRPr="00A52585">
        <w:rPr>
          <w:rFonts w:hint="cs"/>
          <w:rtl/>
        </w:rPr>
        <w:t xml:space="preserve"> </w:t>
      </w:r>
    </w:p>
    <w:p w14:paraId="3482E487" w14:textId="77777777" w:rsidR="00777DCB" w:rsidRPr="00A52585" w:rsidRDefault="00777DCB" w:rsidP="0002035C">
      <w:pPr>
        <w:spacing w:after="240"/>
        <w:jc w:val="center"/>
        <w:rPr>
          <w:b/>
          <w:rtl/>
        </w:rPr>
      </w:pPr>
      <w:r w:rsidRPr="00A52585">
        <w:rPr>
          <w:rFonts w:hint="cs"/>
          <w:rtl/>
        </w:rPr>
        <w:t xml:space="preserve">*** </w:t>
      </w:r>
    </w:p>
    <w:p w14:paraId="1C85D268" w14:textId="77777777" w:rsidR="00777DCB" w:rsidRPr="00A52585" w:rsidRDefault="00777DCB" w:rsidP="0002035C">
      <w:pPr>
        <w:spacing w:after="240"/>
        <w:jc w:val="center"/>
        <w:rPr>
          <w:b/>
          <w:rtl/>
        </w:rPr>
      </w:pPr>
    </w:p>
    <w:p w14:paraId="54E59E92" w14:textId="77777777" w:rsidR="00777DCB" w:rsidRPr="00A52585" w:rsidRDefault="00777DCB" w:rsidP="0002035C">
      <w:pPr>
        <w:spacing w:after="240"/>
        <w:jc w:val="center"/>
        <w:rPr>
          <w:b/>
          <w:rtl/>
        </w:rPr>
      </w:pPr>
    </w:p>
    <w:p w14:paraId="08012920" w14:textId="77777777" w:rsidR="00777DCB" w:rsidRPr="00A52585" w:rsidRDefault="00777DCB" w:rsidP="0002035C">
      <w:pPr>
        <w:spacing w:after="240"/>
        <w:jc w:val="center"/>
        <w:rPr>
          <w:b/>
          <w:rtl/>
        </w:rPr>
      </w:pPr>
    </w:p>
    <w:p w14:paraId="2F935B30" w14:textId="77777777" w:rsidR="00777DCB" w:rsidRPr="00A52585" w:rsidRDefault="00777DCB" w:rsidP="0002035C">
      <w:pPr>
        <w:spacing w:after="240"/>
        <w:jc w:val="center"/>
        <w:rPr>
          <w:b/>
          <w:rtl/>
        </w:rPr>
      </w:pPr>
    </w:p>
    <w:p w14:paraId="431DFA82" w14:textId="77777777" w:rsidR="00777DCB" w:rsidRPr="00A52585" w:rsidRDefault="00777DCB" w:rsidP="0002035C">
      <w:pPr>
        <w:spacing w:after="240"/>
        <w:jc w:val="center"/>
        <w:rPr>
          <w:b/>
          <w:rtl/>
        </w:rPr>
      </w:pPr>
    </w:p>
    <w:p w14:paraId="70201E4C" w14:textId="77777777" w:rsidR="00777DCB" w:rsidRPr="00A52585" w:rsidRDefault="00777DCB" w:rsidP="0002035C">
      <w:pPr>
        <w:spacing w:after="240"/>
        <w:jc w:val="center"/>
        <w:rPr>
          <w:b/>
          <w:rtl/>
        </w:rPr>
      </w:pPr>
    </w:p>
    <w:p w14:paraId="1B3737FB" w14:textId="77777777" w:rsidR="00777DCB" w:rsidRPr="00A52585" w:rsidRDefault="00777DCB" w:rsidP="0002035C">
      <w:pPr>
        <w:spacing w:after="240"/>
        <w:jc w:val="center"/>
        <w:rPr>
          <w:b/>
          <w:rtl/>
        </w:rPr>
      </w:pPr>
    </w:p>
    <w:p w14:paraId="306B6117" w14:textId="77777777" w:rsidR="00777DCB" w:rsidRPr="00A52585" w:rsidRDefault="00777DCB" w:rsidP="0002035C">
      <w:pPr>
        <w:spacing w:after="240"/>
        <w:jc w:val="center"/>
        <w:rPr>
          <w:b/>
          <w:rtl/>
        </w:rPr>
      </w:pPr>
    </w:p>
    <w:p w14:paraId="22787F15" w14:textId="77777777" w:rsidR="00777DCB" w:rsidRPr="00A52585" w:rsidRDefault="00777DCB" w:rsidP="0002035C">
      <w:pPr>
        <w:spacing w:after="240"/>
        <w:jc w:val="center"/>
        <w:rPr>
          <w:b/>
          <w:rtl/>
        </w:rPr>
      </w:pPr>
    </w:p>
    <w:p w14:paraId="03B0064D" w14:textId="77777777" w:rsidR="00777DCB" w:rsidRPr="00A52585" w:rsidRDefault="00777DCB" w:rsidP="0002035C">
      <w:pPr>
        <w:spacing w:after="240"/>
        <w:jc w:val="center"/>
        <w:rPr>
          <w:b/>
          <w:rtl/>
        </w:rPr>
      </w:pPr>
    </w:p>
    <w:p w14:paraId="12EE57E5" w14:textId="77777777" w:rsidR="00777DCB" w:rsidRPr="00A52585" w:rsidRDefault="00777DCB" w:rsidP="0002035C">
      <w:pPr>
        <w:spacing w:after="240"/>
        <w:jc w:val="center"/>
        <w:rPr>
          <w:b/>
          <w:rtl/>
        </w:rPr>
      </w:pPr>
    </w:p>
    <w:p w14:paraId="5CAEAE34" w14:textId="77777777" w:rsidR="00777DCB" w:rsidRPr="00A52585" w:rsidRDefault="00777DCB" w:rsidP="0002035C">
      <w:pPr>
        <w:spacing w:after="240"/>
        <w:jc w:val="center"/>
        <w:rPr>
          <w:b/>
          <w:rtl/>
        </w:rPr>
      </w:pPr>
    </w:p>
    <w:p w14:paraId="345DDBB4"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sz w:val="40"/>
          <w:szCs w:val="40"/>
          <w:rtl/>
          <w:lang w:bidi="ar-KW"/>
        </w:rPr>
      </w:pPr>
    </w:p>
    <w:p w14:paraId="0FC267ED" w14:textId="61D776F2"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sz w:val="40"/>
          <w:szCs w:val="40"/>
          <w:rtl/>
          <w:lang w:bidi="ar-KW"/>
        </w:rPr>
      </w:pPr>
      <w:r w:rsidRPr="00A52585">
        <w:rPr>
          <w:rFonts w:cs="Monotype Koufi" w:hint="cs"/>
          <w:sz w:val="40"/>
          <w:szCs w:val="40"/>
          <w:rtl/>
          <w:lang w:bidi="ar-KW"/>
        </w:rPr>
        <w:lastRenderedPageBreak/>
        <w:t>(</w:t>
      </w:r>
      <w:r w:rsidR="00777DCB" w:rsidRPr="00A52585">
        <w:rPr>
          <w:rFonts w:cs="Monotype Koufi" w:hint="cs"/>
          <w:sz w:val="40"/>
          <w:szCs w:val="40"/>
          <w:rtl/>
          <w:lang w:bidi="ar-KW"/>
        </w:rPr>
        <w:t>3</w:t>
      </w:r>
      <w:r w:rsidRPr="00A52585">
        <w:rPr>
          <w:rFonts w:cs="Monotype Koufi" w:hint="cs"/>
          <w:sz w:val="40"/>
          <w:szCs w:val="40"/>
          <w:rtl/>
          <w:lang w:bidi="ar-KW"/>
        </w:rPr>
        <w:t>)</w:t>
      </w:r>
    </w:p>
    <w:p w14:paraId="3019B947"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sz w:val="40"/>
          <w:szCs w:val="40"/>
          <w:rtl/>
          <w:lang w:bidi="ar-KW"/>
        </w:rPr>
      </w:pPr>
      <w:r w:rsidRPr="00A52585">
        <w:rPr>
          <w:rFonts w:cs="Monotype Koufi" w:hint="cs"/>
          <w:sz w:val="40"/>
          <w:szCs w:val="40"/>
          <w:rtl/>
          <w:lang w:bidi="ar-KW"/>
        </w:rPr>
        <w:t xml:space="preserve">كتاب دفع شبه من شبه وتمرد للإمام تقي الدين </w:t>
      </w:r>
      <w:proofErr w:type="spellStart"/>
      <w:r w:rsidRPr="00A52585">
        <w:rPr>
          <w:rFonts w:cs="Monotype Koufi" w:hint="cs"/>
          <w:sz w:val="40"/>
          <w:szCs w:val="40"/>
          <w:rtl/>
          <w:lang w:bidi="ar-KW"/>
        </w:rPr>
        <w:t>الحصني</w:t>
      </w:r>
      <w:proofErr w:type="spellEnd"/>
    </w:p>
    <w:p w14:paraId="65E5ABE3"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sz w:val="40"/>
          <w:szCs w:val="40"/>
          <w:rtl/>
          <w:lang w:bidi="ar-KW"/>
        </w:rPr>
      </w:pPr>
      <w:r w:rsidRPr="00A52585">
        <w:rPr>
          <w:rFonts w:cs="Monotype Koufi" w:hint="cs"/>
          <w:sz w:val="40"/>
          <w:szCs w:val="40"/>
          <w:rtl/>
          <w:lang w:bidi="ar-KW"/>
        </w:rPr>
        <w:t>تحقيق الشيخ عبد الواحد مصطفى</w:t>
      </w:r>
    </w:p>
    <w:p w14:paraId="37000E2A"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sz w:val="40"/>
          <w:szCs w:val="40"/>
          <w:lang w:bidi="ar-KW"/>
        </w:rPr>
      </w:pPr>
    </w:p>
    <w:p w14:paraId="182C2DEA" w14:textId="77777777" w:rsidR="00777DCB" w:rsidRPr="00A52585" w:rsidRDefault="00777DCB" w:rsidP="0002035C">
      <w:pPr>
        <w:spacing w:after="240"/>
        <w:rPr>
          <w:rtl/>
        </w:rPr>
      </w:pPr>
    </w:p>
    <w:p w14:paraId="71EA1683" w14:textId="5CDD8B2C" w:rsidR="00777DCB" w:rsidRPr="00A52585" w:rsidRDefault="0002035C" w:rsidP="0002035C">
      <w:pPr>
        <w:spacing w:after="240"/>
        <w:rPr>
          <w:b/>
          <w:bCs/>
        </w:rPr>
      </w:pPr>
      <w:r w:rsidRPr="00A52585">
        <w:rPr>
          <w:rFonts w:hint="cs"/>
          <w:bCs/>
          <w:rtl/>
        </w:rPr>
        <w:t>[</w:t>
      </w:r>
      <w:r w:rsidR="00777DCB" w:rsidRPr="00A52585">
        <w:rPr>
          <w:rFonts w:hint="cs"/>
          <w:bCs/>
          <w:rtl/>
        </w:rPr>
        <w:t>مقدمة الكتاب</w:t>
      </w:r>
      <w:r w:rsidRPr="00A52585">
        <w:rPr>
          <w:rFonts w:hint="cs"/>
          <w:bCs/>
          <w:rtl/>
        </w:rPr>
        <w:t>]</w:t>
      </w:r>
      <w:r w:rsidRPr="00A52585">
        <w:rPr>
          <w:rFonts w:hint="cs"/>
          <w:rtl/>
        </w:rPr>
        <w:t>:</w:t>
      </w:r>
      <w:r w:rsidR="00777DCB" w:rsidRPr="00A52585">
        <w:rPr>
          <w:rFonts w:hint="cs"/>
          <w:rtl/>
        </w:rPr>
        <w:t xml:space="preserve"> بسم الله الرحمن الرحيم</w:t>
      </w:r>
      <w:r w:rsidR="00DB731D" w:rsidRPr="00A52585">
        <w:rPr>
          <w:rFonts w:hint="cs"/>
          <w:rtl/>
        </w:rPr>
        <w:t>،</w:t>
      </w:r>
      <w:r w:rsidR="00777DCB" w:rsidRPr="00A52585">
        <w:rPr>
          <w:rFonts w:hint="cs"/>
          <w:rtl/>
        </w:rPr>
        <w:t xml:space="preserve"> والحَمْدُ لله رَبِّ العَالمين</w:t>
      </w:r>
      <w:r w:rsidR="00DB731D" w:rsidRPr="00A52585">
        <w:rPr>
          <w:rFonts w:hint="cs"/>
          <w:rtl/>
        </w:rPr>
        <w:t>،</w:t>
      </w:r>
      <w:r w:rsidR="00777DCB" w:rsidRPr="00A52585">
        <w:rPr>
          <w:rFonts w:hint="cs"/>
          <w:rtl/>
        </w:rPr>
        <w:t xml:space="preserve"> وصلى الله على سَيِّد الأولِينَ والآخرين</w:t>
      </w:r>
      <w:r w:rsidR="00DB731D" w:rsidRPr="00A52585">
        <w:rPr>
          <w:rFonts w:hint="cs"/>
          <w:rtl/>
        </w:rPr>
        <w:t>،</w:t>
      </w:r>
      <w:r w:rsidR="00777DCB" w:rsidRPr="00A52585">
        <w:rPr>
          <w:rFonts w:hint="cs"/>
          <w:rtl/>
        </w:rPr>
        <w:t xml:space="preserve"> وأكْرَمِ السَّابقين واللاَّحِقين</w:t>
      </w:r>
      <w:r w:rsidR="00DB731D" w:rsidRPr="00A52585">
        <w:rPr>
          <w:rFonts w:hint="cs"/>
          <w:rtl/>
        </w:rPr>
        <w:t>،</w:t>
      </w:r>
      <w:r w:rsidR="00777DCB" w:rsidRPr="00A52585">
        <w:rPr>
          <w:rFonts w:hint="cs"/>
          <w:rtl/>
        </w:rPr>
        <w:t xml:space="preserve"> وسَلَّم وَمَجَّد وكرَّم</w:t>
      </w:r>
      <w:r w:rsidR="00DB731D" w:rsidRPr="00A52585">
        <w:rPr>
          <w:rFonts w:hint="cs"/>
          <w:rtl/>
        </w:rPr>
        <w:t>،</w:t>
      </w:r>
      <w:r w:rsidR="00777DCB" w:rsidRPr="00A52585">
        <w:rPr>
          <w:rFonts w:hint="cs"/>
          <w:rtl/>
        </w:rPr>
        <w:t xml:space="preserve"> سبحان مَنْ به الضُّر والنَّفْع</w:t>
      </w:r>
      <w:r w:rsidR="00DB731D" w:rsidRPr="00A52585">
        <w:rPr>
          <w:rFonts w:hint="cs"/>
          <w:rtl/>
        </w:rPr>
        <w:t>،</w:t>
      </w:r>
      <w:r w:rsidR="00777DCB" w:rsidRPr="00A52585">
        <w:rPr>
          <w:rFonts w:hint="cs"/>
          <w:rtl/>
        </w:rPr>
        <w:t xml:space="preserve"> والوَصْل والقَطْع</w:t>
      </w:r>
      <w:r w:rsidR="00DB731D" w:rsidRPr="00A52585">
        <w:rPr>
          <w:rFonts w:hint="cs"/>
          <w:rtl/>
        </w:rPr>
        <w:t>،</w:t>
      </w:r>
      <w:r w:rsidR="00777DCB" w:rsidRPr="00A52585">
        <w:rPr>
          <w:rFonts w:hint="cs"/>
          <w:rtl/>
        </w:rPr>
        <w:t xml:space="preserve"> والتَّفْرِقَة والجمَع</w:t>
      </w:r>
      <w:r w:rsidR="00DB731D" w:rsidRPr="00A52585">
        <w:rPr>
          <w:rFonts w:hint="cs"/>
          <w:rtl/>
        </w:rPr>
        <w:t>،</w:t>
      </w:r>
      <w:r w:rsidR="00777DCB" w:rsidRPr="00A52585">
        <w:rPr>
          <w:rFonts w:hint="cs"/>
          <w:rtl/>
        </w:rPr>
        <w:t xml:space="preserve"> والعطاء والمنع</w:t>
      </w:r>
      <w:r w:rsidR="00DB731D" w:rsidRPr="00A52585">
        <w:rPr>
          <w:rFonts w:hint="cs"/>
          <w:rtl/>
        </w:rPr>
        <w:t>،</w:t>
      </w:r>
      <w:r w:rsidR="00777DCB" w:rsidRPr="00A52585">
        <w:rPr>
          <w:rFonts w:hint="cs"/>
          <w:rtl/>
        </w:rPr>
        <w:t xml:space="preserve"> وَفّق مَنْ أحبَّ لِتَنْزِيهه فحمى مِنْه موضع نظره مِنْه وكذا السَّمع</w:t>
      </w:r>
      <w:r w:rsidR="00DB731D" w:rsidRPr="00A52585">
        <w:rPr>
          <w:rFonts w:hint="cs"/>
          <w:rtl/>
        </w:rPr>
        <w:t>،</w:t>
      </w:r>
      <w:r w:rsidR="00777DCB" w:rsidRPr="00A52585">
        <w:rPr>
          <w:rFonts w:hint="cs"/>
          <w:rtl/>
        </w:rPr>
        <w:t xml:space="preserve"> وخذل مَنْ أبْغَضَ فجَرى لشقاوته على ما </w:t>
      </w:r>
      <w:proofErr w:type="spellStart"/>
      <w:r w:rsidR="00777DCB" w:rsidRPr="00A52585">
        <w:rPr>
          <w:rFonts w:hint="cs"/>
          <w:rtl/>
        </w:rPr>
        <w:t>اعتاده</w:t>
      </w:r>
      <w:proofErr w:type="spellEnd"/>
      <w:r w:rsidR="00777DCB" w:rsidRPr="00A52585">
        <w:rPr>
          <w:rFonts w:hint="cs"/>
          <w:rtl/>
        </w:rPr>
        <w:t xml:space="preserve"> وألِفَه من رديء الطبع</w:t>
      </w:r>
      <w:r w:rsidR="00DB731D" w:rsidRPr="00A52585">
        <w:rPr>
          <w:rFonts w:hint="cs"/>
          <w:rtl/>
        </w:rPr>
        <w:t>،</w:t>
      </w:r>
      <w:r w:rsidR="00777DCB" w:rsidRPr="00A52585">
        <w:rPr>
          <w:rFonts w:hint="cs"/>
          <w:rtl/>
        </w:rPr>
        <w:t xml:space="preserve"> فهَبَّ على الأول نَسِيمُ إسْعَاده</w:t>
      </w:r>
      <w:r w:rsidR="00DB731D" w:rsidRPr="00A52585">
        <w:rPr>
          <w:rFonts w:hint="cs"/>
          <w:rtl/>
        </w:rPr>
        <w:t>،</w:t>
      </w:r>
      <w:r w:rsidR="00777DCB" w:rsidRPr="00A52585">
        <w:rPr>
          <w:rFonts w:hint="cs"/>
          <w:rtl/>
        </w:rPr>
        <w:t xml:space="preserve"> وعلى الثاني رِيْحُ إبْعَاده</w:t>
      </w:r>
      <w:r w:rsidR="00DB731D" w:rsidRPr="00A52585">
        <w:rPr>
          <w:rFonts w:hint="cs"/>
          <w:rtl/>
        </w:rPr>
        <w:t>،</w:t>
      </w:r>
      <w:r w:rsidR="00777DCB" w:rsidRPr="00A52585">
        <w:rPr>
          <w:rFonts w:hint="cs"/>
          <w:rtl/>
        </w:rPr>
        <w:t xml:space="preserve"> لِصَدْعِ قلبه بتَمْوِيه العَدو</w:t>
      </w:r>
      <w:r w:rsidR="00DB731D" w:rsidRPr="00A52585">
        <w:rPr>
          <w:rFonts w:hint="cs"/>
          <w:rtl/>
        </w:rPr>
        <w:t>،</w:t>
      </w:r>
      <w:r w:rsidR="00777DCB" w:rsidRPr="00A52585">
        <w:rPr>
          <w:rFonts w:hint="cs"/>
          <w:rtl/>
        </w:rPr>
        <w:t xml:space="preserve"> فيَاله مِنْ صَدع</w:t>
      </w:r>
      <w:r w:rsidR="00DB731D" w:rsidRPr="00A52585">
        <w:rPr>
          <w:rFonts w:hint="cs"/>
          <w:rtl/>
        </w:rPr>
        <w:t>،</w:t>
      </w:r>
      <w:r w:rsidR="00777DCB" w:rsidRPr="00A52585">
        <w:rPr>
          <w:rFonts w:hint="cs"/>
          <w:rtl/>
        </w:rPr>
        <w:t xml:space="preserve"> تَقَدَّسَ وتَمَجَّدَ بِعِزِّ كِبْرِيائه وجَلاله</w:t>
      </w:r>
      <w:r w:rsidR="00DB731D" w:rsidRPr="00A52585">
        <w:rPr>
          <w:rFonts w:hint="cs"/>
          <w:rtl/>
        </w:rPr>
        <w:t>،</w:t>
      </w:r>
      <w:r w:rsidR="00777DCB" w:rsidRPr="00A52585">
        <w:rPr>
          <w:rFonts w:hint="cs"/>
          <w:rtl/>
        </w:rPr>
        <w:t xml:space="preserve"> وتَفَرَّد بأوصَافِ عَظَمَته وكَمَالِه</w:t>
      </w:r>
      <w:r w:rsidR="00DB731D" w:rsidRPr="00A52585">
        <w:rPr>
          <w:rFonts w:hint="cs"/>
          <w:rtl/>
        </w:rPr>
        <w:t>،</w:t>
      </w:r>
      <w:r w:rsidR="00777DCB" w:rsidRPr="00A52585">
        <w:rPr>
          <w:rFonts w:hint="cs"/>
          <w:rtl/>
        </w:rPr>
        <w:t xml:space="preserve"> كما عَمَّ بجوده وأفضاله ونواله</w:t>
      </w:r>
      <w:r w:rsidR="00DB731D" w:rsidRPr="00A52585">
        <w:rPr>
          <w:rFonts w:hint="cs"/>
          <w:rtl/>
        </w:rPr>
        <w:t>،</w:t>
      </w:r>
      <w:r w:rsidR="00777DCB" w:rsidRPr="00A52585">
        <w:rPr>
          <w:rFonts w:hint="cs"/>
          <w:rtl/>
        </w:rPr>
        <w:t xml:space="preserve"> تَقَدَّسَ وتَبَاركَ عن مُشَابَهَةِ العَبِيد</w:t>
      </w:r>
      <w:r w:rsidR="00DB731D" w:rsidRPr="00A52585">
        <w:rPr>
          <w:rFonts w:hint="cs"/>
          <w:rtl/>
        </w:rPr>
        <w:t>،</w:t>
      </w:r>
      <w:r w:rsidR="00777DCB" w:rsidRPr="00A52585">
        <w:rPr>
          <w:rFonts w:hint="cs"/>
          <w:rtl/>
        </w:rPr>
        <w:t xml:space="preserve"> وتَنَزَّه عن صِفَات الحدوث</w:t>
      </w:r>
      <w:r w:rsidR="00DB731D" w:rsidRPr="00A52585">
        <w:rPr>
          <w:rFonts w:hint="cs"/>
          <w:rtl/>
        </w:rPr>
        <w:t>،</w:t>
      </w:r>
      <w:r w:rsidR="00777DCB" w:rsidRPr="00A52585">
        <w:rPr>
          <w:rFonts w:hint="cs"/>
          <w:rtl/>
        </w:rPr>
        <w:t xml:space="preserve"> فَمَنْ شبَّه فقد شَابَه السَّامِرة وأبا جهل والوليد</w:t>
      </w:r>
      <w:r w:rsidR="00DB731D" w:rsidRPr="00A52585">
        <w:rPr>
          <w:rFonts w:hint="cs"/>
          <w:rtl/>
        </w:rPr>
        <w:t>،</w:t>
      </w:r>
      <w:r w:rsidR="00777DCB" w:rsidRPr="00A52585">
        <w:rPr>
          <w:rFonts w:hint="cs"/>
          <w:rtl/>
        </w:rPr>
        <w:t xml:space="preserve"> ومَنْ عَطَّل ما ثَبَتَ له مِنْ صِفَاته بالأدِلِة القاطعة</w:t>
      </w:r>
      <w:r w:rsidR="00DB731D" w:rsidRPr="00A52585">
        <w:rPr>
          <w:rFonts w:hint="cs"/>
          <w:rtl/>
        </w:rPr>
        <w:t>،</w:t>
      </w:r>
      <w:r w:rsidR="00777DCB" w:rsidRPr="00A52585">
        <w:rPr>
          <w:rFonts w:hint="cs"/>
          <w:rtl/>
        </w:rPr>
        <w:t xml:space="preserve"> فهو عن الحَقِّ مَائِلٌ ومَحِيْد</w:t>
      </w:r>
      <w:r w:rsidR="00DB731D" w:rsidRPr="00A52585">
        <w:rPr>
          <w:rFonts w:hint="cs"/>
          <w:rtl/>
        </w:rPr>
        <w:t>،</w:t>
      </w:r>
      <w:r w:rsidR="00777DCB" w:rsidRPr="00A52585">
        <w:rPr>
          <w:rFonts w:hint="cs"/>
          <w:rtl/>
        </w:rPr>
        <w:t xml:space="preserve"> وكِلا القِسْمَين سَفِيهٌ وشَقِيٌ وغَيْرُ رَشِيد</w:t>
      </w:r>
      <w:r w:rsidR="00DB731D" w:rsidRPr="00A52585">
        <w:rPr>
          <w:rFonts w:hint="cs"/>
          <w:rtl/>
        </w:rPr>
        <w:t>،</w:t>
      </w:r>
      <w:r w:rsidR="00777DCB" w:rsidRPr="00A52585">
        <w:rPr>
          <w:rFonts w:hint="cs"/>
          <w:rtl/>
        </w:rPr>
        <w:t xml:space="preserve"> ومن ورائهما عَذَابٌ شَدِيد</w:t>
      </w:r>
      <w:r w:rsidR="00DB731D" w:rsidRPr="00A52585">
        <w:rPr>
          <w:rFonts w:hint="cs"/>
          <w:rtl/>
        </w:rPr>
        <w:t>،</w:t>
      </w:r>
      <w:r w:rsidR="00777DCB" w:rsidRPr="00A52585">
        <w:rPr>
          <w:rFonts w:hint="cs"/>
          <w:rtl/>
        </w:rPr>
        <w:t xml:space="preserve"> ونَال خِلَع الرّضوان في دَار الأمَان مَنْ نَزَّه مع تَزَايُد الكَرامَات</w:t>
      </w:r>
      <w:r w:rsidR="00DB731D" w:rsidRPr="00A52585">
        <w:rPr>
          <w:rFonts w:hint="cs"/>
          <w:rtl/>
        </w:rPr>
        <w:t>،</w:t>
      </w:r>
      <w:r w:rsidR="00777DCB" w:rsidRPr="00A52585">
        <w:rPr>
          <w:rFonts w:hint="cs"/>
          <w:rtl/>
        </w:rPr>
        <w:t xml:space="preserve"> ولدَيْهِ مَزِيد</w:t>
      </w:r>
      <w:r w:rsidR="00DB731D" w:rsidRPr="00A52585">
        <w:rPr>
          <w:rFonts w:hint="cs"/>
          <w:rtl/>
        </w:rPr>
        <w:t>،</w:t>
      </w:r>
      <w:r w:rsidR="00777DCB" w:rsidRPr="00A52585">
        <w:rPr>
          <w:rFonts w:hint="cs"/>
          <w:rtl/>
        </w:rPr>
        <w:t xml:space="preserve"> فشتان بين مَنْ هو رَاتِعٌ في رِيَاضِ السَّلامة</w:t>
      </w:r>
      <w:r w:rsidR="00DB731D" w:rsidRPr="00A52585">
        <w:rPr>
          <w:rFonts w:hint="cs"/>
          <w:rtl/>
        </w:rPr>
        <w:t>،</w:t>
      </w:r>
      <w:r w:rsidR="00777DCB" w:rsidRPr="00A52585">
        <w:rPr>
          <w:rFonts w:hint="cs"/>
          <w:rtl/>
        </w:rPr>
        <w:t xml:space="preserve"> ونُزُل الكَرَامِة في دار المُقَامَةِ</w:t>
      </w:r>
      <w:r w:rsidR="00DB731D" w:rsidRPr="00A52585">
        <w:rPr>
          <w:rFonts w:hint="cs"/>
          <w:rtl/>
        </w:rPr>
        <w:t>،</w:t>
      </w:r>
      <w:r w:rsidR="00777DCB" w:rsidRPr="00A52585">
        <w:rPr>
          <w:rFonts w:hint="cs"/>
          <w:rtl/>
        </w:rPr>
        <w:t xml:space="preserve"> وَبَيْن المَطْرود </w:t>
      </w:r>
      <w:proofErr w:type="spellStart"/>
      <w:r w:rsidR="00777DCB" w:rsidRPr="00A52585">
        <w:rPr>
          <w:rFonts w:hint="cs"/>
          <w:rtl/>
        </w:rPr>
        <w:t>الَمْبعود</w:t>
      </w:r>
      <w:proofErr w:type="spellEnd"/>
      <w:r w:rsidR="00DB731D" w:rsidRPr="00A52585">
        <w:rPr>
          <w:rFonts w:hint="cs"/>
          <w:rtl/>
        </w:rPr>
        <w:t>،</w:t>
      </w:r>
      <w:r w:rsidR="00777DCB" w:rsidRPr="00A52585">
        <w:rPr>
          <w:rFonts w:hint="cs"/>
          <w:rtl/>
        </w:rPr>
        <w:t xml:space="preserve"> وقد حَقَّ عَلَيه الوَعِيد</w:t>
      </w:r>
      <w:r w:rsidR="00DB731D" w:rsidRPr="00A52585">
        <w:rPr>
          <w:rFonts w:hint="cs"/>
          <w:rtl/>
        </w:rPr>
        <w:t>،</w:t>
      </w:r>
      <w:r w:rsidR="00777DCB" w:rsidRPr="00A52585">
        <w:rPr>
          <w:rFonts w:hint="cs"/>
          <w:rtl/>
        </w:rPr>
        <w:t xml:space="preserve"> </w:t>
      </w:r>
    </w:p>
    <w:p w14:paraId="3C6E9BBF" w14:textId="0D783FD8" w:rsidR="00777DCB" w:rsidRPr="00A52585" w:rsidRDefault="0002035C" w:rsidP="0002035C">
      <w:pPr>
        <w:spacing w:after="240"/>
        <w:rPr>
          <w:b/>
          <w:rtl/>
        </w:rPr>
      </w:pPr>
      <w:r w:rsidRPr="00A52585">
        <w:rPr>
          <w:rFonts w:hint="cs"/>
          <w:bCs/>
          <w:rtl/>
        </w:rPr>
        <w:t>[</w:t>
      </w:r>
      <w:r w:rsidR="00777DCB" w:rsidRPr="00A52585">
        <w:rPr>
          <w:rFonts w:hint="cs"/>
          <w:bCs/>
          <w:rtl/>
        </w:rPr>
        <w:t>سبب وضع هذا المؤلَف</w:t>
      </w:r>
      <w:r w:rsidRPr="00A52585">
        <w:rPr>
          <w:rFonts w:hint="cs"/>
          <w:bCs/>
          <w:rtl/>
        </w:rPr>
        <w:t>]</w:t>
      </w:r>
      <w:r w:rsidR="00DB731D" w:rsidRPr="00A52585">
        <w:rPr>
          <w:rFonts w:hint="cs"/>
          <w:bCs/>
          <w:rtl/>
        </w:rPr>
        <w:t>،</w:t>
      </w:r>
      <w:r w:rsidR="00777DCB" w:rsidRPr="00A52585">
        <w:rPr>
          <w:rFonts w:hint="cs"/>
          <w:bCs/>
          <w:rtl/>
        </w:rPr>
        <w:t xml:space="preserve"> </w:t>
      </w:r>
      <w:r w:rsidR="00777DCB" w:rsidRPr="00A52585">
        <w:rPr>
          <w:rFonts w:hint="cs"/>
          <w:rtl/>
        </w:rPr>
        <w:t>وبعد</w:t>
      </w:r>
      <w:r w:rsidRPr="00A52585">
        <w:rPr>
          <w:rFonts w:hint="cs"/>
          <w:rtl/>
        </w:rPr>
        <w:t>:</w:t>
      </w:r>
      <w:r w:rsidR="00777DCB" w:rsidRPr="00A52585">
        <w:rPr>
          <w:rFonts w:hint="cs"/>
          <w:rtl/>
        </w:rPr>
        <w:t xml:space="preserve"> فإن سبب وضعي لهذه الأحرف اليسيرة ما دهمني من الحيرة من أقوام أخباث السريرة</w:t>
      </w:r>
      <w:r w:rsidR="00DB731D" w:rsidRPr="00A52585">
        <w:rPr>
          <w:rFonts w:hint="cs"/>
          <w:rtl/>
        </w:rPr>
        <w:t>،</w:t>
      </w:r>
      <w:r w:rsidR="00777DCB" w:rsidRPr="00A52585">
        <w:rPr>
          <w:rFonts w:hint="cs"/>
          <w:rtl/>
        </w:rPr>
        <w:t xml:space="preserve"> يظهرون الانتماء إلى مذهب السيد</w:t>
      </w:r>
      <w:r w:rsidR="00777DCB" w:rsidRPr="00A52585">
        <w:rPr>
          <w:rFonts w:hint="cs"/>
          <w:vertAlign w:val="superscript"/>
          <w:rtl/>
        </w:rPr>
        <w:t xml:space="preserve"> </w:t>
      </w:r>
      <w:r w:rsidR="00777DCB" w:rsidRPr="00A52585">
        <w:rPr>
          <w:rFonts w:hint="cs"/>
          <w:rtl/>
        </w:rPr>
        <w:t>الجليل الإمام أحمد</w:t>
      </w:r>
      <w:r w:rsidR="00DB731D" w:rsidRPr="00A52585">
        <w:rPr>
          <w:rFonts w:hint="cs"/>
          <w:rtl/>
        </w:rPr>
        <w:t>،</w:t>
      </w:r>
      <w:r w:rsidR="00777DCB" w:rsidRPr="00A52585">
        <w:rPr>
          <w:rFonts w:hint="cs"/>
          <w:rtl/>
        </w:rPr>
        <w:t xml:space="preserve"> وهم على خلاف ذلك</w:t>
      </w:r>
      <w:r w:rsidR="00DB731D" w:rsidRPr="00A52585">
        <w:rPr>
          <w:rFonts w:hint="cs"/>
          <w:rtl/>
        </w:rPr>
        <w:t>،</w:t>
      </w:r>
      <w:r w:rsidR="00777DCB" w:rsidRPr="00A52585">
        <w:rPr>
          <w:rFonts w:hint="cs"/>
          <w:rtl/>
        </w:rPr>
        <w:t xml:space="preserve"> والفرد الصمد</w:t>
      </w:r>
      <w:r w:rsidR="00F95886" w:rsidRPr="00A52585">
        <w:rPr>
          <w:rFonts w:hint="cs"/>
          <w:rtl/>
        </w:rPr>
        <w:t>!</w:t>
      </w:r>
      <w:r w:rsidR="00777DCB" w:rsidRPr="00A52585">
        <w:rPr>
          <w:rFonts w:hint="cs"/>
          <w:rtl/>
        </w:rPr>
        <w:t xml:space="preserve"> والعجب أنهم يعظمونه في الملأ ويتكاتمون إضلاله مع بقية الأئمة</w:t>
      </w:r>
      <w:r w:rsidR="00F95886" w:rsidRPr="00A52585">
        <w:rPr>
          <w:rFonts w:hint="cs"/>
          <w:rtl/>
        </w:rPr>
        <w:t>!</w:t>
      </w:r>
      <w:r w:rsidR="00777DCB" w:rsidRPr="00A52585">
        <w:rPr>
          <w:rFonts w:hint="cs"/>
          <w:rtl/>
        </w:rPr>
        <w:t xml:space="preserve"> وهم أكفر ممن تمرد وجحد</w:t>
      </w:r>
      <w:r w:rsidR="00DB731D" w:rsidRPr="00A52585">
        <w:rPr>
          <w:rFonts w:hint="cs"/>
          <w:rtl/>
        </w:rPr>
        <w:t>،</w:t>
      </w:r>
      <w:r w:rsidR="00777DCB" w:rsidRPr="00A52585">
        <w:rPr>
          <w:rFonts w:hint="cs"/>
          <w:rtl/>
        </w:rPr>
        <w:t xml:space="preserve"> ويربطون عقول العوام وضعفاء الطلبة بالتمويه الشيطاني وإظهار التعبد والتقشف</w:t>
      </w:r>
      <w:r w:rsidR="00DB731D" w:rsidRPr="00A52585">
        <w:rPr>
          <w:rFonts w:hint="cs"/>
          <w:rtl/>
        </w:rPr>
        <w:t>،</w:t>
      </w:r>
      <w:r w:rsidR="00777DCB" w:rsidRPr="00A52585">
        <w:rPr>
          <w:rFonts w:hint="cs"/>
          <w:rtl/>
        </w:rPr>
        <w:t xml:space="preserve"> وقراءة الأحاديث</w:t>
      </w:r>
      <w:r w:rsidR="00DB731D" w:rsidRPr="00A52585">
        <w:rPr>
          <w:rFonts w:hint="cs"/>
          <w:rtl/>
        </w:rPr>
        <w:t>،</w:t>
      </w:r>
      <w:r w:rsidR="00777DCB" w:rsidRPr="00A52585">
        <w:rPr>
          <w:rFonts w:hint="cs"/>
          <w:rtl/>
        </w:rPr>
        <w:t xml:space="preserve"> ويعتنون بالمسند</w:t>
      </w:r>
      <w:r w:rsidR="00DB731D" w:rsidRPr="00A52585">
        <w:rPr>
          <w:rFonts w:hint="cs"/>
          <w:rtl/>
        </w:rPr>
        <w:t>،</w:t>
      </w:r>
      <w:r w:rsidR="00777DCB" w:rsidRPr="00A52585">
        <w:rPr>
          <w:rFonts w:hint="cs"/>
          <w:rtl/>
        </w:rPr>
        <w:t xml:space="preserve"> كل ذلك خزعبلة منهم وتمويه</w:t>
      </w:r>
      <w:r w:rsidR="00DB731D" w:rsidRPr="00A52585">
        <w:rPr>
          <w:rFonts w:hint="cs"/>
          <w:rtl/>
        </w:rPr>
        <w:t>،</w:t>
      </w:r>
      <w:r w:rsidR="00777DCB" w:rsidRPr="00A52585">
        <w:rPr>
          <w:rFonts w:hint="cs"/>
          <w:rtl/>
        </w:rPr>
        <w:t xml:space="preserve"> وقد انكشف أمرهم حتى لبعض العوام</w:t>
      </w:r>
      <w:r w:rsidR="00DB731D" w:rsidRPr="00A52585">
        <w:rPr>
          <w:rFonts w:hint="cs"/>
          <w:rtl/>
        </w:rPr>
        <w:t>،</w:t>
      </w:r>
      <w:r w:rsidR="00777DCB" w:rsidRPr="00A52585">
        <w:rPr>
          <w:rFonts w:hint="cs"/>
          <w:rtl/>
        </w:rPr>
        <w:t xml:space="preserve"> </w:t>
      </w:r>
      <w:r w:rsidR="00777DCB" w:rsidRPr="00A52585">
        <w:rPr>
          <w:rFonts w:hint="cs"/>
          <w:rtl/>
        </w:rPr>
        <w:lastRenderedPageBreak/>
        <w:t>وبهذه الأحرف يظهر الأمر إن شاء الله تعالى لكل أحد إلا لمن أراد الله</w:t>
      </w:r>
      <w:r w:rsidR="00777DCB" w:rsidRPr="00A52585">
        <w:rPr>
          <w:rFonts w:hint="cs"/>
          <w:vertAlign w:val="superscript"/>
          <w:rtl/>
        </w:rPr>
        <w:t xml:space="preserve"> </w:t>
      </w:r>
      <w:r w:rsidR="00777DCB" w:rsidRPr="00A52585">
        <w:rPr>
          <w:rFonts w:hint="cs"/>
          <w:rtl/>
        </w:rPr>
        <w:t>عز وجل إضلاله وبقاءه في العذاب السرمد</w:t>
      </w:r>
      <w:r w:rsidR="00DB731D" w:rsidRPr="00A52585">
        <w:rPr>
          <w:rFonts w:hint="cs"/>
          <w:rtl/>
        </w:rPr>
        <w:t>،</w:t>
      </w:r>
      <w:r w:rsidR="00777DCB" w:rsidRPr="00A52585">
        <w:rPr>
          <w:rFonts w:hint="cs"/>
          <w:rtl/>
        </w:rPr>
        <w:t xml:space="preserve"> </w:t>
      </w:r>
    </w:p>
    <w:p w14:paraId="7A59C779" w14:textId="2E998638" w:rsidR="00777DCB" w:rsidRPr="00A52585" w:rsidRDefault="0002035C" w:rsidP="0002035C">
      <w:pPr>
        <w:spacing w:after="240"/>
        <w:rPr>
          <w:b/>
          <w:rtl/>
        </w:rPr>
      </w:pPr>
      <w:r w:rsidRPr="00A52585">
        <w:rPr>
          <w:rFonts w:hint="cs"/>
          <w:bCs/>
          <w:rtl/>
        </w:rPr>
        <w:t>[</w:t>
      </w:r>
      <w:r w:rsidR="00777DCB" w:rsidRPr="00A52585">
        <w:rPr>
          <w:rFonts w:hint="cs"/>
          <w:bCs/>
          <w:rtl/>
        </w:rPr>
        <w:t>تكذيب الخوارج بآيات القرآن في بقاء النار</w:t>
      </w:r>
      <w:r w:rsidRPr="00A52585">
        <w:rPr>
          <w:rFonts w:hint="cs"/>
          <w:bCs/>
          <w:rtl/>
        </w:rPr>
        <w:t>]:</w:t>
      </w:r>
      <w:r w:rsidR="00777DCB" w:rsidRPr="00A52585">
        <w:rPr>
          <w:rFonts w:hint="cs"/>
          <w:bCs/>
          <w:rtl/>
        </w:rPr>
        <w:t xml:space="preserve"> </w:t>
      </w:r>
      <w:r w:rsidR="00777DCB" w:rsidRPr="00A52585">
        <w:rPr>
          <w:rFonts w:hint="cs"/>
          <w:rtl/>
        </w:rPr>
        <w:t>ومن قال بعدم ذلك فقد تجرأ على كلام الغفور. قال الله تعالى</w:t>
      </w:r>
      <w:r w:rsidRPr="00A52585">
        <w:rPr>
          <w:rFonts w:hint="cs"/>
          <w:rtl/>
        </w:rPr>
        <w:t>:</w:t>
      </w:r>
      <w:r w:rsidR="00777DCB" w:rsidRPr="00A52585">
        <w:rPr>
          <w:rFonts w:hint="cs"/>
          <w:rtl/>
        </w:rPr>
        <w:t xml:space="preserve"> {والَّذِين كَفَرُوا لَهُمْ نَارُ جَهَنَّمَ لا يُقْضَي عَلَيهمِّ فَيَمُوتُوا وَلا يُخَفَّفُ عَنْهُم مِنْ عَذابِها كَذلِك نجْزِي كُلَّ كَفُور} </w:t>
      </w:r>
      <w:r w:rsidRPr="00A52585">
        <w:rPr>
          <w:rFonts w:hint="cs"/>
          <w:rtl/>
        </w:rPr>
        <w:t>[</w:t>
      </w:r>
      <w:r w:rsidR="00777DCB" w:rsidRPr="00A52585">
        <w:rPr>
          <w:rFonts w:hint="cs"/>
          <w:rtl/>
        </w:rPr>
        <w:t>فاطر</w:t>
      </w:r>
      <w:r w:rsidRPr="00A52585">
        <w:rPr>
          <w:rFonts w:hint="cs"/>
          <w:rtl/>
        </w:rPr>
        <w:t>:</w:t>
      </w:r>
      <w:r w:rsidR="00777DCB" w:rsidRPr="00A52585">
        <w:rPr>
          <w:rFonts w:hint="cs"/>
          <w:rtl/>
        </w:rPr>
        <w:t xml:space="preserve"> 36</w:t>
      </w:r>
      <w:r w:rsidRPr="00A52585">
        <w:rPr>
          <w:rFonts w:hint="cs"/>
          <w:rtl/>
        </w:rPr>
        <w:t>]</w:t>
      </w:r>
      <w:r w:rsidR="00DB731D" w:rsidRPr="00A52585">
        <w:rPr>
          <w:rFonts w:hint="cs"/>
          <w:rtl/>
        </w:rPr>
        <w:t>،</w:t>
      </w:r>
      <w:r w:rsidR="00777DCB" w:rsidRPr="00A52585">
        <w:rPr>
          <w:rFonts w:hint="cs"/>
          <w:rtl/>
        </w:rPr>
        <w:t xml:space="preserve"> وعلى العليم الحكيم في قوله تعالى</w:t>
      </w:r>
      <w:r w:rsidRPr="00A52585">
        <w:rPr>
          <w:rFonts w:hint="cs"/>
          <w:rtl/>
        </w:rPr>
        <w:t>:</w:t>
      </w:r>
      <w:r w:rsidR="00777DCB" w:rsidRPr="00A52585">
        <w:rPr>
          <w:rFonts w:hint="cs"/>
          <w:rtl/>
        </w:rPr>
        <w:t xml:space="preserve"> {يُرِيدُونَ أنَ يَخْرُجُوا مِنَ النَّارِ وَمَا هُمْ بِخَارِجِينَ مِنْهَا ولَهُمْ عَذَابٌ مُقِيم}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37</w:t>
      </w:r>
      <w:r w:rsidRPr="00A52585">
        <w:rPr>
          <w:rFonts w:hint="cs"/>
          <w:rtl/>
        </w:rPr>
        <w:t>]</w:t>
      </w:r>
      <w:r w:rsidR="00DB731D" w:rsidRPr="00A52585">
        <w:rPr>
          <w:rFonts w:hint="cs"/>
          <w:rtl/>
        </w:rPr>
        <w:t>،</w:t>
      </w:r>
      <w:r w:rsidR="00777DCB" w:rsidRPr="00A52585">
        <w:rPr>
          <w:rFonts w:hint="cs"/>
          <w:rtl/>
        </w:rPr>
        <w:t xml:space="preserve"> والآيات في ذلك كثيرة</w:t>
      </w:r>
      <w:r w:rsidR="00DB731D" w:rsidRPr="00A52585">
        <w:rPr>
          <w:rFonts w:hint="cs"/>
          <w:rtl/>
        </w:rPr>
        <w:t>،</w:t>
      </w:r>
      <w:r w:rsidR="00777DCB" w:rsidRPr="00A52585">
        <w:rPr>
          <w:rFonts w:hint="cs"/>
          <w:rtl/>
        </w:rPr>
        <w:t xml:space="preserve"> خصوصاً وعموماً</w:t>
      </w:r>
      <w:r w:rsidR="00DB731D" w:rsidRPr="00A52585">
        <w:rPr>
          <w:rFonts w:hint="cs"/>
          <w:rtl/>
        </w:rPr>
        <w:t>،</w:t>
      </w:r>
      <w:r w:rsidR="00777DCB" w:rsidRPr="00A52585">
        <w:rPr>
          <w:rFonts w:hint="cs"/>
          <w:rtl/>
        </w:rPr>
        <w:t xml:space="preserve"> ومنها</w:t>
      </w:r>
      <w:r w:rsidRPr="00A52585">
        <w:rPr>
          <w:rFonts w:hint="cs"/>
          <w:rtl/>
        </w:rPr>
        <w:t>:</w:t>
      </w:r>
      <w:r w:rsidR="00777DCB" w:rsidRPr="00A52585">
        <w:rPr>
          <w:rFonts w:hint="cs"/>
          <w:rtl/>
        </w:rPr>
        <w:t xml:space="preserve"> قوله تعالى</w:t>
      </w:r>
      <w:r w:rsidRPr="00A52585">
        <w:rPr>
          <w:rFonts w:hint="cs"/>
          <w:rtl/>
        </w:rPr>
        <w:t>:</w:t>
      </w:r>
      <w:r w:rsidR="00777DCB" w:rsidRPr="00A52585">
        <w:rPr>
          <w:rFonts w:hint="cs"/>
          <w:rtl/>
        </w:rPr>
        <w:t xml:space="preserve"> {رَبَّنَا اصْرِفْ عَنَّا عَذَابَ جَهَنَّمَ إِنَّ عَذَابَهَا كَانَ غَرَامَاً} </w:t>
      </w:r>
      <w:r w:rsidRPr="00A52585">
        <w:rPr>
          <w:rFonts w:hint="cs"/>
          <w:rtl/>
        </w:rPr>
        <w:t>[</w:t>
      </w:r>
      <w:r w:rsidR="00777DCB" w:rsidRPr="00A52585">
        <w:rPr>
          <w:rFonts w:hint="cs"/>
          <w:rtl/>
        </w:rPr>
        <w:t>الفرقان</w:t>
      </w:r>
      <w:r w:rsidRPr="00A52585">
        <w:rPr>
          <w:rFonts w:hint="cs"/>
          <w:rtl/>
        </w:rPr>
        <w:t>:</w:t>
      </w:r>
      <w:r w:rsidR="00777DCB" w:rsidRPr="00A52585">
        <w:rPr>
          <w:rFonts w:hint="cs"/>
          <w:rtl/>
        </w:rPr>
        <w:t xml:space="preserve"> 65</w:t>
      </w:r>
      <w:r w:rsidRPr="00A52585">
        <w:rPr>
          <w:rFonts w:hint="cs"/>
          <w:rtl/>
        </w:rPr>
        <w:t>]</w:t>
      </w:r>
      <w:r w:rsidR="00DB731D" w:rsidRPr="00A52585">
        <w:rPr>
          <w:rFonts w:hint="cs"/>
          <w:rtl/>
        </w:rPr>
        <w:t>،</w:t>
      </w:r>
      <w:r w:rsidR="00777DCB" w:rsidRPr="00A52585">
        <w:rPr>
          <w:rFonts w:hint="cs"/>
          <w:rtl/>
        </w:rPr>
        <w:t xml:space="preserve"> والغرام</w:t>
      </w:r>
      <w:r w:rsidRPr="00A52585">
        <w:rPr>
          <w:rFonts w:hint="cs"/>
          <w:rtl/>
        </w:rPr>
        <w:t>:</w:t>
      </w:r>
      <w:r w:rsidR="00777DCB" w:rsidRPr="00A52585">
        <w:rPr>
          <w:rFonts w:hint="cs"/>
          <w:rtl/>
        </w:rPr>
        <w:t xml:space="preserve"> المستمر الذي لا ينقطع</w:t>
      </w:r>
      <w:r w:rsidR="00DB731D" w:rsidRPr="00A52585">
        <w:rPr>
          <w:rFonts w:hint="cs"/>
          <w:rtl/>
        </w:rPr>
        <w:t>،</w:t>
      </w:r>
      <w:r w:rsidR="00777DCB" w:rsidRPr="00A52585">
        <w:rPr>
          <w:rFonts w:hint="cs"/>
          <w:rtl/>
        </w:rPr>
        <w:t xml:space="preserve"> فلو انقطع قدر نَفَسٍ لا يُسمى غراماً</w:t>
      </w:r>
      <w:r w:rsidR="00DB731D" w:rsidRPr="00A52585">
        <w:rPr>
          <w:rFonts w:hint="cs"/>
          <w:rtl/>
        </w:rPr>
        <w:t>،</w:t>
      </w:r>
      <w:r w:rsidR="00777DCB" w:rsidRPr="00A52585">
        <w:rPr>
          <w:rFonts w:hint="cs"/>
          <w:rtl/>
        </w:rPr>
        <w:t xml:space="preserve"> ومن ذلك قوله تعالى</w:t>
      </w:r>
      <w:r w:rsidRPr="00A52585">
        <w:rPr>
          <w:rFonts w:hint="cs"/>
          <w:rtl/>
        </w:rPr>
        <w:t>:</w:t>
      </w:r>
      <w:r w:rsidR="00777DCB" w:rsidRPr="00A52585">
        <w:rPr>
          <w:rFonts w:hint="cs"/>
          <w:rtl/>
        </w:rPr>
        <w:t xml:space="preserve"> {وَجَاءَ رَبُّكَ}</w:t>
      </w:r>
      <w:r w:rsidR="00777DCB" w:rsidRPr="00A52585">
        <w:rPr>
          <w:rFonts w:hint="cs"/>
          <w:vertAlign w:val="superscript"/>
          <w:rtl/>
        </w:rPr>
        <w:t xml:space="preserve"> </w:t>
      </w:r>
      <w:r w:rsidRPr="00A52585">
        <w:rPr>
          <w:rFonts w:hint="cs"/>
          <w:rtl/>
        </w:rPr>
        <w:t>[</w:t>
      </w:r>
      <w:r w:rsidR="00777DCB" w:rsidRPr="00A52585">
        <w:rPr>
          <w:rFonts w:hint="cs"/>
          <w:rtl/>
        </w:rPr>
        <w:t>الفجر</w:t>
      </w:r>
      <w:r w:rsidRPr="00A52585">
        <w:rPr>
          <w:rFonts w:hint="cs"/>
          <w:rtl/>
        </w:rPr>
        <w:t>:</w:t>
      </w:r>
      <w:r w:rsidR="00777DCB" w:rsidRPr="00A52585">
        <w:rPr>
          <w:rFonts w:hint="cs"/>
          <w:rtl/>
        </w:rPr>
        <w:t xml:space="preserve"> 22</w:t>
      </w:r>
      <w:r w:rsidRPr="00A52585">
        <w:rPr>
          <w:rFonts w:hint="cs"/>
          <w:rtl/>
        </w:rPr>
        <w:t>]</w:t>
      </w:r>
      <w:r w:rsidR="00DB731D" w:rsidRPr="00A52585">
        <w:rPr>
          <w:rFonts w:hint="cs"/>
          <w:rtl/>
        </w:rPr>
        <w:t>،</w:t>
      </w:r>
      <w:r w:rsidR="00777DCB" w:rsidRPr="00A52585">
        <w:rPr>
          <w:rFonts w:hint="cs"/>
          <w:rtl/>
        </w:rPr>
        <w:t xml:space="preserve"> قال الإمام أحمد</w:t>
      </w:r>
      <w:r w:rsidRPr="00A52585">
        <w:rPr>
          <w:rFonts w:hint="cs"/>
          <w:rtl/>
        </w:rPr>
        <w:t>:</w:t>
      </w:r>
      <w:r w:rsidR="00777DCB" w:rsidRPr="00A52585">
        <w:rPr>
          <w:rFonts w:hint="cs"/>
          <w:rtl/>
        </w:rPr>
        <w:t xml:space="preserve"> معناه جاء أمر ربك</w:t>
      </w:r>
      <w:r w:rsidR="00DB731D" w:rsidRPr="00A52585">
        <w:rPr>
          <w:rFonts w:hint="cs"/>
          <w:rtl/>
        </w:rPr>
        <w:t>،</w:t>
      </w:r>
      <w:r w:rsidR="00777DCB" w:rsidRPr="00A52585">
        <w:rPr>
          <w:rFonts w:hint="cs"/>
          <w:rtl/>
        </w:rPr>
        <w:t xml:space="preserve"> قال القاضي أبو </w:t>
      </w:r>
      <w:r w:rsidR="00777DCB" w:rsidRPr="00A52585">
        <w:rPr>
          <w:rFonts w:hint="cs"/>
          <w:sz w:val="24"/>
          <w:szCs w:val="24"/>
          <w:rtl/>
        </w:rPr>
        <w:t xml:space="preserve">يعلي </w:t>
      </w:r>
      <w:r w:rsidRPr="00A52585">
        <w:rPr>
          <w:rFonts w:hint="cs"/>
          <w:sz w:val="24"/>
          <w:szCs w:val="24"/>
          <w:rtl/>
        </w:rPr>
        <w:t>[</w:t>
      </w:r>
      <w:r w:rsidR="00777DCB" w:rsidRPr="00A52585">
        <w:rPr>
          <w:rFonts w:hint="cs"/>
          <w:sz w:val="24"/>
          <w:szCs w:val="24"/>
          <w:rtl/>
        </w:rPr>
        <w:t>هو القاضي أبو يعلي محمد بن الحسين بن محمد بن خلف بن الفراء الحنبلي توفى سنة 458هـ نقلت عنه فظائع في التشبيه والتجسيم، ونقل هو عن الإمام أحمد ما يبعد أن يصح عنه كل البعد. وهو غير الحافظ أبي يعلي أحمد بن علي الموصلي صاحب المسند</w:t>
      </w:r>
      <w:r w:rsidRPr="00A52585">
        <w:rPr>
          <w:rFonts w:hint="cs"/>
          <w:sz w:val="24"/>
          <w:szCs w:val="24"/>
          <w:rtl/>
        </w:rPr>
        <w:t>]</w:t>
      </w:r>
      <w:r w:rsidRPr="00A52585">
        <w:rPr>
          <w:rFonts w:hint="cs"/>
          <w:sz w:val="24"/>
          <w:rtl/>
        </w:rPr>
        <w:t>:</w:t>
      </w:r>
      <w:r w:rsidR="00777DCB" w:rsidRPr="00A52585">
        <w:rPr>
          <w:rFonts w:hint="cs"/>
          <w:rtl/>
        </w:rPr>
        <w:t xml:space="preserve"> قال الإمام أحمد</w:t>
      </w:r>
      <w:r w:rsidRPr="00A52585">
        <w:rPr>
          <w:rFonts w:hint="cs"/>
          <w:rtl/>
        </w:rPr>
        <w:t>:</w:t>
      </w:r>
      <w:r w:rsidR="00777DCB" w:rsidRPr="00A52585">
        <w:rPr>
          <w:rFonts w:hint="cs"/>
          <w:rtl/>
        </w:rPr>
        <w:t xml:space="preserve"> المراد به قدرته وأمره</w:t>
      </w:r>
      <w:r w:rsidR="00DB731D" w:rsidRPr="00A52585">
        <w:rPr>
          <w:rFonts w:hint="cs"/>
          <w:rtl/>
        </w:rPr>
        <w:t>،</w:t>
      </w:r>
      <w:r w:rsidR="00777DCB" w:rsidRPr="00A52585">
        <w:rPr>
          <w:rFonts w:hint="cs"/>
          <w:rtl/>
        </w:rPr>
        <w:t xml:space="preserve"> وقد بينه في قوله تعالى</w:t>
      </w:r>
      <w:r w:rsidRPr="00A52585">
        <w:rPr>
          <w:rFonts w:hint="cs"/>
          <w:rtl/>
        </w:rPr>
        <w:t>:</w:t>
      </w:r>
      <w:r w:rsidR="00777DCB" w:rsidRPr="00A52585">
        <w:rPr>
          <w:rFonts w:hint="cs"/>
          <w:rtl/>
        </w:rPr>
        <w:t xml:space="preserve"> {أَوْ يَأْتَيِ أَمْرُ رَبِّك} </w:t>
      </w:r>
      <w:r w:rsidRPr="00A52585">
        <w:rPr>
          <w:rFonts w:hint="cs"/>
          <w:rtl/>
        </w:rPr>
        <w:t>[</w:t>
      </w:r>
      <w:proofErr w:type="spellStart"/>
      <w:r w:rsidR="00777DCB" w:rsidRPr="00A52585">
        <w:rPr>
          <w:rFonts w:hint="cs"/>
          <w:rtl/>
        </w:rPr>
        <w:t>النحلل</w:t>
      </w:r>
      <w:proofErr w:type="spellEnd"/>
      <w:r w:rsidRPr="00A52585">
        <w:rPr>
          <w:rFonts w:hint="cs"/>
          <w:rtl/>
        </w:rPr>
        <w:t>:</w:t>
      </w:r>
      <w:r w:rsidR="00777DCB" w:rsidRPr="00A52585">
        <w:rPr>
          <w:rFonts w:hint="cs"/>
          <w:rtl/>
        </w:rPr>
        <w:t xml:space="preserve"> 33</w:t>
      </w:r>
      <w:r w:rsidRPr="00A52585">
        <w:rPr>
          <w:rFonts w:hint="cs"/>
          <w:rtl/>
        </w:rPr>
        <w:t>]</w:t>
      </w:r>
      <w:r w:rsidR="00DB731D" w:rsidRPr="00A52585">
        <w:rPr>
          <w:rFonts w:hint="cs"/>
          <w:rtl/>
        </w:rPr>
        <w:t>،</w:t>
      </w:r>
      <w:r w:rsidR="00777DCB" w:rsidRPr="00A52585">
        <w:rPr>
          <w:rFonts w:hint="cs"/>
          <w:rtl/>
        </w:rPr>
        <w:t xml:space="preserve"> يشير إلى حمل المطلق على المقيد وهو كثير في القرآن والسنة</w:t>
      </w:r>
      <w:r w:rsidR="00DB731D" w:rsidRPr="00A52585">
        <w:rPr>
          <w:rFonts w:hint="cs"/>
          <w:rtl/>
        </w:rPr>
        <w:t>،</w:t>
      </w:r>
      <w:r w:rsidR="00777DCB" w:rsidRPr="00A52585">
        <w:rPr>
          <w:rFonts w:hint="cs"/>
          <w:rtl/>
        </w:rPr>
        <w:t xml:space="preserve"> وفي كلام علماء الأمة</w:t>
      </w:r>
      <w:r w:rsidR="00DB731D" w:rsidRPr="00A52585">
        <w:rPr>
          <w:rFonts w:hint="cs"/>
          <w:rtl/>
        </w:rPr>
        <w:t>،</w:t>
      </w:r>
      <w:r w:rsidR="00777DCB" w:rsidRPr="00A52585">
        <w:rPr>
          <w:rFonts w:hint="cs"/>
          <w:rtl/>
        </w:rPr>
        <w:t xml:space="preserve"> لأنه لا يجوز عليه الانتقال سبحانه وتعالى</w:t>
      </w:r>
      <w:r w:rsidR="00DB731D" w:rsidRPr="00A52585">
        <w:rPr>
          <w:rFonts w:hint="cs"/>
          <w:rtl/>
        </w:rPr>
        <w:t>،</w:t>
      </w:r>
      <w:r w:rsidR="00777DCB" w:rsidRPr="00A52585">
        <w:rPr>
          <w:rFonts w:hint="cs"/>
          <w:rtl/>
        </w:rPr>
        <w:t xml:space="preserve"> ومثله حديث النّزول</w:t>
      </w:r>
      <w:r w:rsidR="00DB731D" w:rsidRPr="00A52585">
        <w:rPr>
          <w:rFonts w:hint="cs"/>
          <w:rtl/>
        </w:rPr>
        <w:t>،</w:t>
      </w:r>
      <w:r w:rsidR="00777DCB" w:rsidRPr="00A52585">
        <w:rPr>
          <w:rFonts w:hint="cs"/>
          <w:rtl/>
        </w:rPr>
        <w:t xml:space="preserve"> وممن صرح بذلك الإمام الأوزاعي والإمام مالك لأن الانتقال والحركة من صفات الحدث والله عز وجل قد نَزَّه نفسه عن ذلك</w:t>
      </w:r>
      <w:r w:rsidR="00DB731D" w:rsidRPr="00A52585">
        <w:rPr>
          <w:rFonts w:hint="cs"/>
          <w:rtl/>
        </w:rPr>
        <w:t>،</w:t>
      </w:r>
      <w:r w:rsidR="00777DCB" w:rsidRPr="00A52585">
        <w:rPr>
          <w:rFonts w:hint="cs"/>
          <w:rtl/>
        </w:rPr>
        <w:t xml:space="preserve"> ومن ذلك قوله تعالى</w:t>
      </w:r>
      <w:r w:rsidRPr="00A52585">
        <w:rPr>
          <w:rFonts w:hint="cs"/>
          <w:rtl/>
        </w:rPr>
        <w:t>:</w:t>
      </w:r>
      <w:r w:rsidR="00777DCB" w:rsidRPr="00A52585">
        <w:rPr>
          <w:rFonts w:hint="cs"/>
          <w:rtl/>
        </w:rPr>
        <w:t xml:space="preserve"> {اسْتَوىَ عَلَى الْعَرْش}</w:t>
      </w:r>
      <w:r w:rsidR="00777DCB" w:rsidRPr="00A52585">
        <w:rPr>
          <w:rFonts w:hint="cs"/>
          <w:vertAlign w:val="superscript"/>
          <w:rtl/>
        </w:rPr>
        <w:t xml:space="preserve"> </w:t>
      </w:r>
      <w:r w:rsidRPr="00A52585">
        <w:rPr>
          <w:rFonts w:hint="cs"/>
          <w:sz w:val="24"/>
          <w:szCs w:val="24"/>
          <w:rtl/>
        </w:rPr>
        <w:t>[</w:t>
      </w:r>
      <w:r w:rsidR="00777DCB" w:rsidRPr="00A52585">
        <w:rPr>
          <w:rFonts w:hint="cs"/>
          <w:spacing w:val="-6"/>
          <w:sz w:val="24"/>
          <w:szCs w:val="24"/>
          <w:rtl/>
        </w:rPr>
        <w:t>الآيات</w:t>
      </w:r>
      <w:r w:rsidRPr="00A52585">
        <w:rPr>
          <w:rFonts w:hint="cs"/>
          <w:spacing w:val="-6"/>
          <w:sz w:val="24"/>
          <w:szCs w:val="24"/>
          <w:rtl/>
        </w:rPr>
        <w:t>:</w:t>
      </w:r>
      <w:r w:rsidR="00777DCB" w:rsidRPr="00A52585">
        <w:rPr>
          <w:rFonts w:hint="cs"/>
          <w:spacing w:val="-6"/>
          <w:sz w:val="24"/>
          <w:szCs w:val="24"/>
          <w:rtl/>
        </w:rPr>
        <w:t>54من سورة الأعراف،3 من سورة يونس، 2 من سورة الرعد</w:t>
      </w:r>
      <w:r w:rsidR="00777DCB" w:rsidRPr="00A52585">
        <w:rPr>
          <w:rFonts w:hint="cs"/>
          <w:spacing w:val="-14"/>
          <w:sz w:val="24"/>
          <w:szCs w:val="24"/>
          <w:rtl/>
        </w:rPr>
        <w:t>، 59 من سورة</w:t>
      </w:r>
      <w:r w:rsidR="00777DCB" w:rsidRPr="00A52585">
        <w:rPr>
          <w:rFonts w:hint="cs"/>
          <w:spacing w:val="-6"/>
          <w:sz w:val="24"/>
          <w:szCs w:val="24"/>
          <w:rtl/>
        </w:rPr>
        <w:t xml:space="preserve"> الفرقان، </w:t>
      </w:r>
      <w:r w:rsidR="00777DCB" w:rsidRPr="00A52585">
        <w:rPr>
          <w:rFonts w:hint="cs"/>
          <w:spacing w:val="-14"/>
          <w:sz w:val="24"/>
          <w:szCs w:val="24"/>
          <w:rtl/>
        </w:rPr>
        <w:t>4من سورة</w:t>
      </w:r>
      <w:r w:rsidR="00777DCB" w:rsidRPr="00A52585">
        <w:rPr>
          <w:rFonts w:hint="cs"/>
          <w:spacing w:val="-6"/>
          <w:sz w:val="24"/>
          <w:szCs w:val="24"/>
          <w:rtl/>
        </w:rPr>
        <w:t xml:space="preserve"> السجدة، 4من سورة الحديد. أما الآية 5 من</w:t>
      </w:r>
      <w:r w:rsidR="00777DCB" w:rsidRPr="00A52585">
        <w:rPr>
          <w:rFonts w:hint="cs"/>
          <w:sz w:val="24"/>
          <w:szCs w:val="24"/>
          <w:rtl/>
        </w:rPr>
        <w:t xml:space="preserve"> سورة طه فهي {الرحمن على العرش استوى}</w:t>
      </w:r>
      <w:r w:rsidRPr="00A52585">
        <w:rPr>
          <w:rFonts w:hint="cs"/>
          <w:sz w:val="24"/>
          <w:szCs w:val="24"/>
          <w:rtl/>
        </w:rPr>
        <w:t>]</w:t>
      </w:r>
      <w:r w:rsidR="00DB731D" w:rsidRPr="00A52585">
        <w:rPr>
          <w:rFonts w:hint="cs"/>
          <w:sz w:val="24"/>
          <w:rtl/>
        </w:rPr>
        <w:t>،</w:t>
      </w:r>
      <w:r w:rsidR="00777DCB" w:rsidRPr="00A52585">
        <w:rPr>
          <w:rFonts w:hint="cs"/>
          <w:rtl/>
        </w:rPr>
        <w:t xml:space="preserve"> فإذا سأل العامي عن ذلك فيقال له</w:t>
      </w:r>
      <w:r w:rsidRPr="00A52585">
        <w:rPr>
          <w:rFonts w:hint="cs"/>
          <w:rtl/>
        </w:rPr>
        <w:t>:</w:t>
      </w:r>
      <w:r w:rsidR="00777DCB" w:rsidRPr="00A52585">
        <w:rPr>
          <w:rFonts w:hint="cs"/>
          <w:rtl/>
        </w:rPr>
        <w:t xml:space="preserve"> الاستواء معلوم</w:t>
      </w:r>
      <w:r w:rsidR="00DB731D" w:rsidRPr="00A52585">
        <w:rPr>
          <w:rFonts w:hint="cs"/>
          <w:rtl/>
        </w:rPr>
        <w:t>،</w:t>
      </w:r>
      <w:r w:rsidR="00777DCB" w:rsidRPr="00A52585">
        <w:rPr>
          <w:rFonts w:hint="cs"/>
          <w:rtl/>
        </w:rPr>
        <w:t xml:space="preserve"> والكيف مجهول</w:t>
      </w:r>
      <w:r w:rsidR="00DB731D" w:rsidRPr="00A52585">
        <w:rPr>
          <w:rFonts w:hint="cs"/>
          <w:rtl/>
        </w:rPr>
        <w:t>،</w:t>
      </w:r>
      <w:r w:rsidR="00777DCB" w:rsidRPr="00A52585">
        <w:rPr>
          <w:rFonts w:hint="cs"/>
          <w:rtl/>
        </w:rPr>
        <w:t xml:space="preserve"> والإيمان به واجب</w:t>
      </w:r>
      <w:r w:rsidR="00DB731D" w:rsidRPr="00A52585">
        <w:rPr>
          <w:rFonts w:hint="cs"/>
          <w:rtl/>
        </w:rPr>
        <w:t>،</w:t>
      </w:r>
      <w:r w:rsidR="00777DCB" w:rsidRPr="00A52585">
        <w:rPr>
          <w:rFonts w:hint="cs"/>
          <w:rtl/>
        </w:rPr>
        <w:t xml:space="preserve"> والسؤال عنه بدعة. وسنوضح ذلك إن شاء الله تعالى</w:t>
      </w:r>
      <w:r w:rsidR="00DB731D" w:rsidRPr="00A52585">
        <w:rPr>
          <w:rFonts w:hint="cs"/>
          <w:rtl/>
        </w:rPr>
        <w:t>،</w:t>
      </w:r>
      <w:r w:rsidR="00777DCB" w:rsidRPr="00A52585">
        <w:rPr>
          <w:rFonts w:hint="cs"/>
          <w:rtl/>
        </w:rPr>
        <w:t xml:space="preserve"> وإنما أجاب الإمام ربيعة</w:t>
      </w:r>
      <w:r w:rsidRPr="00A52585">
        <w:rPr>
          <w:rFonts w:hint="cs"/>
          <w:rtl/>
        </w:rPr>
        <w:t xml:space="preserve"> </w:t>
      </w:r>
      <w:r w:rsidR="00777DCB" w:rsidRPr="00A52585">
        <w:rPr>
          <w:rFonts w:hint="cs"/>
          <w:rtl/>
        </w:rPr>
        <w:t>بذلك وتبعه تلميذه مالك</w:t>
      </w:r>
      <w:r w:rsidR="00DB731D" w:rsidRPr="00A52585">
        <w:rPr>
          <w:rFonts w:hint="cs"/>
          <w:rtl/>
        </w:rPr>
        <w:t>،</w:t>
      </w:r>
      <w:r w:rsidR="00777DCB" w:rsidRPr="00A52585">
        <w:rPr>
          <w:rFonts w:hint="cs"/>
          <w:rtl/>
        </w:rPr>
        <w:t xml:space="preserve"> لأن الاستواء بالمعنى الذي يفهمه العوام من صفات الحد</w:t>
      </w:r>
      <w:r w:rsidR="00777DCB" w:rsidRPr="00A52585">
        <w:rPr>
          <w:rFonts w:hint="cs"/>
          <w:spacing w:val="-16"/>
          <w:rtl/>
        </w:rPr>
        <w:t>ث</w:t>
      </w:r>
      <w:r w:rsidR="00777DCB" w:rsidRPr="00A52585">
        <w:rPr>
          <w:rFonts w:hint="cs"/>
          <w:spacing w:val="-16"/>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سيأتي الكلام بتوسع على تأويل الاستواء</w:t>
      </w:r>
      <w:r w:rsidRPr="00A52585">
        <w:rPr>
          <w:rFonts w:hint="cs"/>
          <w:sz w:val="24"/>
          <w:szCs w:val="24"/>
          <w:rtl/>
        </w:rPr>
        <w:t>]</w:t>
      </w:r>
      <w:r w:rsidR="00DB731D" w:rsidRPr="00A52585">
        <w:rPr>
          <w:rFonts w:hint="cs"/>
          <w:sz w:val="24"/>
          <w:szCs w:val="24"/>
          <w:rtl/>
        </w:rPr>
        <w:t>،</w:t>
      </w:r>
      <w:r w:rsidR="00777DCB" w:rsidRPr="00A52585">
        <w:rPr>
          <w:rFonts w:hint="cs"/>
          <w:rtl/>
        </w:rPr>
        <w:t xml:space="preserve"> وهو سبحانه وتعالى نَزَّه نفسه عن ذلك بقوله </w:t>
      </w:r>
      <w:proofErr w:type="gramStart"/>
      <w:r w:rsidR="00777DCB" w:rsidRPr="00A52585">
        <w:rPr>
          <w:rFonts w:hint="cs"/>
          <w:rtl/>
        </w:rPr>
        <w:t>تعالى</w:t>
      </w:r>
      <w:r w:rsidRPr="00A52585">
        <w:rPr>
          <w:rFonts w:hint="cs"/>
          <w:rtl/>
        </w:rPr>
        <w:t>:</w:t>
      </w:r>
      <w:r w:rsidR="00777DCB" w:rsidRPr="00A52585">
        <w:rPr>
          <w:rFonts w:hint="cs"/>
          <w:rtl/>
        </w:rPr>
        <w:t>{</w:t>
      </w:r>
      <w:proofErr w:type="gramEnd"/>
      <w:r w:rsidR="00777DCB" w:rsidRPr="00A52585">
        <w:rPr>
          <w:rFonts w:hint="cs"/>
          <w:rtl/>
        </w:rPr>
        <w:t xml:space="preserve">ليس كمثله شيء}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فمتى وقع التشبيه بِزِنَة ذرة جاء الكفر بالقرآن</w:t>
      </w:r>
      <w:r w:rsidR="00DB731D" w:rsidRPr="00A52585">
        <w:rPr>
          <w:rFonts w:hint="cs"/>
          <w:rtl/>
        </w:rPr>
        <w:t>،</w:t>
      </w:r>
      <w:r w:rsidR="00777DCB" w:rsidRPr="00A52585">
        <w:rPr>
          <w:rFonts w:hint="cs"/>
          <w:rtl/>
        </w:rPr>
        <w:t xml:space="preserve"> قال الأئمة</w:t>
      </w:r>
      <w:r w:rsidRPr="00A52585">
        <w:rPr>
          <w:rFonts w:hint="cs"/>
          <w:rtl/>
        </w:rPr>
        <w:t>:</w:t>
      </w:r>
      <w:r w:rsidR="00777DCB" w:rsidRPr="00A52585">
        <w:rPr>
          <w:rFonts w:hint="cs"/>
          <w:rtl/>
        </w:rPr>
        <w:t xml:space="preserve"> وإنما قيل السؤال عنه بدعة لأن كثيراً ممن يُنْسَب إلى الفقه والعلم لا يدركون الغوامض في غير المتشابه</w:t>
      </w:r>
      <w:r w:rsidR="00DB731D" w:rsidRPr="00A52585">
        <w:rPr>
          <w:rFonts w:hint="cs"/>
          <w:rtl/>
        </w:rPr>
        <w:t>،</w:t>
      </w:r>
      <w:r w:rsidR="00777DCB" w:rsidRPr="00A52585">
        <w:rPr>
          <w:rFonts w:hint="cs"/>
          <w:rtl/>
        </w:rPr>
        <w:t xml:space="preserve"> فكيف بالمتشابه!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كأن الشيخ يقصد بالغامض هنا واحداً من القسمين الآخرين اللذين أضافهما الإمام أبو إسحاق الشاطبي للمتشابه </w:t>
      </w:r>
      <w:r w:rsidR="00777DCB" w:rsidRPr="00A52585">
        <w:rPr>
          <w:sz w:val="24"/>
          <w:szCs w:val="24"/>
        </w:rPr>
        <w:t>–</w:t>
      </w:r>
      <w:r w:rsidR="00777DCB" w:rsidRPr="00A52585">
        <w:rPr>
          <w:rFonts w:hint="cs"/>
          <w:sz w:val="24"/>
          <w:szCs w:val="24"/>
          <w:rtl/>
        </w:rPr>
        <w:t xml:space="preserve"> أو كليهما </w:t>
      </w:r>
      <w:r w:rsidR="00777DCB" w:rsidRPr="00A52585">
        <w:rPr>
          <w:sz w:val="24"/>
          <w:szCs w:val="24"/>
        </w:rPr>
        <w:t>–</w:t>
      </w:r>
      <w:r w:rsidR="00777DCB" w:rsidRPr="00A52585">
        <w:rPr>
          <w:rFonts w:hint="cs"/>
          <w:sz w:val="24"/>
          <w:szCs w:val="24"/>
          <w:rtl/>
        </w:rPr>
        <w:t xml:space="preserve"> أعني التشابه الإضافي، والتشابه في المناط</w:t>
      </w:r>
      <w:r w:rsidR="00DB731D" w:rsidRPr="00A52585">
        <w:rPr>
          <w:rFonts w:hint="cs"/>
          <w:sz w:val="24"/>
          <w:szCs w:val="24"/>
          <w:rtl/>
        </w:rPr>
        <w:t>،</w:t>
      </w:r>
      <w:r w:rsidR="00777DCB" w:rsidRPr="00A52585">
        <w:rPr>
          <w:rFonts w:hint="cs"/>
          <w:sz w:val="24"/>
          <w:szCs w:val="24"/>
          <w:rtl/>
        </w:rPr>
        <w:t xml:space="preserve"> قال الشاطبي</w:t>
      </w:r>
      <w:r w:rsidRPr="00A52585">
        <w:rPr>
          <w:rFonts w:hint="cs"/>
          <w:sz w:val="24"/>
          <w:szCs w:val="24"/>
          <w:rtl/>
        </w:rPr>
        <w:t>:</w:t>
      </w:r>
      <w:r w:rsidR="00777DCB" w:rsidRPr="00A52585">
        <w:rPr>
          <w:rFonts w:hint="cs"/>
          <w:sz w:val="24"/>
          <w:szCs w:val="24"/>
          <w:rtl/>
        </w:rPr>
        <w:t xml:space="preserve"> والثاني </w:t>
      </w:r>
      <w:r w:rsidR="00777DCB" w:rsidRPr="00A52585">
        <w:rPr>
          <w:sz w:val="24"/>
          <w:szCs w:val="24"/>
        </w:rPr>
        <w:t>–</w:t>
      </w:r>
      <w:r w:rsidR="00777DCB" w:rsidRPr="00A52585">
        <w:rPr>
          <w:rFonts w:hint="cs"/>
          <w:sz w:val="24"/>
          <w:szCs w:val="24"/>
          <w:rtl/>
        </w:rPr>
        <w:t xml:space="preserve"> يعني من أقسام المتشابه - وهو الإضافي ليس بداخل في صريح الآية (آية آل عمران) وإن كان في المعنى داخلا فيه، لأنه لم يصر متشابها من حيث وضع في الشريعة، من جهة أنه قد حصل بيانه في نفس الأمر ولكن الناظر </w:t>
      </w:r>
      <w:r w:rsidR="00777DCB" w:rsidRPr="00A52585">
        <w:rPr>
          <w:rFonts w:hint="cs"/>
          <w:sz w:val="24"/>
          <w:szCs w:val="24"/>
          <w:rtl/>
        </w:rPr>
        <w:lastRenderedPageBreak/>
        <w:t>قصر في الاجتهاد أو زاغ عن طريق البيان إتباعا للهوى فلا يصح أن ينسب الاشتباه إلى الأدلة وإنما ينسب إلى الناظرين التقصير أو الجهل بمواقع الأدلة إلى أن قال</w:t>
      </w:r>
      <w:r w:rsidRPr="00A52585">
        <w:rPr>
          <w:rFonts w:hint="cs"/>
          <w:sz w:val="24"/>
          <w:szCs w:val="24"/>
          <w:rtl/>
        </w:rPr>
        <w:t>:</w:t>
      </w:r>
      <w:r w:rsidR="00777DCB" w:rsidRPr="00A52585">
        <w:rPr>
          <w:rFonts w:hint="cs"/>
          <w:sz w:val="24"/>
          <w:szCs w:val="24"/>
          <w:rtl/>
        </w:rPr>
        <w:t xml:space="preserve"> وأما الثالث فالتشابه فيه ليس بعائد على الأدلة وإنما هو عائد على مناط الأدلة فالنهي عن أكل الميتة واضح والإذن في أكل الذكية كذلك، فإذا اختلطت الميتة بالذكية حصل الاشتباه في المأكول لا في الدليل على تحليله أو تحريمه … وهكذا سائر ما دخل في هذا النوع مما يكون محل الاشتباه المناط لا نفس الدليل أ هـ من الموافقات (3</w:t>
      </w:r>
      <w:r w:rsidRPr="00A52585">
        <w:rPr>
          <w:rFonts w:hint="cs"/>
          <w:sz w:val="24"/>
          <w:szCs w:val="24"/>
          <w:rtl/>
        </w:rPr>
        <w:t>:</w:t>
      </w:r>
      <w:r w:rsidR="00777DCB" w:rsidRPr="00A52585">
        <w:rPr>
          <w:rFonts w:hint="cs"/>
          <w:sz w:val="24"/>
          <w:szCs w:val="24"/>
          <w:rtl/>
        </w:rPr>
        <w:t xml:space="preserve"> 55،56) المسألة الثالثة من الفصل الأول في الإحكام والتشابه ط دار الفكر</w:t>
      </w:r>
      <w:r w:rsidR="00DB731D" w:rsidRPr="00A52585">
        <w:rPr>
          <w:rFonts w:hint="cs"/>
          <w:sz w:val="24"/>
          <w:szCs w:val="24"/>
          <w:rtl/>
        </w:rPr>
        <w:t>،</w:t>
      </w:r>
      <w:r w:rsidR="00777DCB" w:rsidRPr="00A52585">
        <w:rPr>
          <w:rFonts w:hint="cs"/>
          <w:sz w:val="24"/>
          <w:szCs w:val="24"/>
          <w:rtl/>
        </w:rPr>
        <w:t xml:space="preserve"> أما التشابه الحقيقي المقابل للإحكام في آية آل عمران</w:t>
      </w:r>
      <w:r w:rsidRPr="00A52585">
        <w:rPr>
          <w:rFonts w:hint="cs"/>
          <w:sz w:val="24"/>
          <w:szCs w:val="24"/>
          <w:rtl/>
        </w:rPr>
        <w:t>:</w:t>
      </w:r>
      <w:r w:rsidR="00777DCB" w:rsidRPr="00A52585">
        <w:rPr>
          <w:rFonts w:hint="cs"/>
          <w:sz w:val="24"/>
          <w:szCs w:val="24"/>
          <w:rtl/>
        </w:rPr>
        <w:t xml:space="preserve"> {هو الذي أنزل عليك الكتاب منه آيات محكمات هن أم الكتاب وأخر متشابهات فأما الذين في قلوبهم مرض فيتبعون ما تشابه منه ابتغاء الفتنة وابتغاء تأويله، وما يعلم تأويله إلا الله والراسخون في العلم يقولون آمنا به كل من عند ربنا وما يتذكر إلا أولوا الألباب} آل عمران آية 7</w:t>
      </w:r>
      <w:r w:rsidR="00DB731D" w:rsidRPr="00A52585">
        <w:rPr>
          <w:rFonts w:hint="cs"/>
          <w:sz w:val="24"/>
          <w:szCs w:val="24"/>
          <w:rtl/>
        </w:rPr>
        <w:t>،</w:t>
      </w:r>
      <w:r w:rsidR="00777DCB" w:rsidRPr="00A52585">
        <w:rPr>
          <w:rFonts w:hint="cs"/>
          <w:sz w:val="24"/>
          <w:szCs w:val="24"/>
          <w:rtl/>
        </w:rPr>
        <w:t xml:space="preserve"> فيمكننا القول بأن المحكم</w:t>
      </w:r>
      <w:r w:rsidRPr="00A52585">
        <w:rPr>
          <w:rFonts w:hint="cs"/>
          <w:sz w:val="24"/>
          <w:szCs w:val="24"/>
          <w:rtl/>
        </w:rPr>
        <w:t>:</w:t>
      </w:r>
      <w:r w:rsidR="00777DCB" w:rsidRPr="00A52585">
        <w:rPr>
          <w:rFonts w:hint="cs"/>
          <w:sz w:val="24"/>
          <w:szCs w:val="24"/>
          <w:rtl/>
        </w:rPr>
        <w:t xml:space="preserve"> هو ما كان راجح الدلالة بنفسه أو ما نزل منزلته- من </w:t>
      </w:r>
      <w:proofErr w:type="spellStart"/>
      <w:r w:rsidR="00777DCB" w:rsidRPr="00A52585">
        <w:rPr>
          <w:rFonts w:hint="cs"/>
          <w:sz w:val="24"/>
          <w:szCs w:val="24"/>
          <w:rtl/>
        </w:rPr>
        <w:t>المؤولات</w:t>
      </w:r>
      <w:proofErr w:type="spellEnd"/>
      <w:r w:rsidR="00777DCB" w:rsidRPr="00A52585">
        <w:rPr>
          <w:rFonts w:hint="cs"/>
          <w:sz w:val="24"/>
          <w:szCs w:val="24"/>
          <w:rtl/>
        </w:rPr>
        <w:t xml:space="preserve"> تأويلا قريبا لا يصعب إدراكه على العامة فضلا عن الخاصة، والمتشابه</w:t>
      </w:r>
      <w:r w:rsidRPr="00A52585">
        <w:rPr>
          <w:rFonts w:hint="cs"/>
          <w:sz w:val="24"/>
          <w:szCs w:val="24"/>
          <w:rtl/>
        </w:rPr>
        <w:t>:</w:t>
      </w:r>
      <w:r w:rsidR="00777DCB" w:rsidRPr="00A52585">
        <w:rPr>
          <w:rFonts w:hint="cs"/>
          <w:sz w:val="24"/>
          <w:szCs w:val="24"/>
          <w:rtl/>
        </w:rPr>
        <w:t xml:space="preserve"> ما ليس كذلك ويتضح من التأمل في الآية الكريمة الآتي</w:t>
      </w:r>
      <w:r w:rsidRPr="00A52585">
        <w:rPr>
          <w:rFonts w:hint="cs"/>
          <w:sz w:val="24"/>
          <w:szCs w:val="24"/>
          <w:rtl/>
        </w:rPr>
        <w:t>:</w:t>
      </w:r>
      <w:r w:rsidR="00777DCB" w:rsidRPr="00A52585">
        <w:rPr>
          <w:rFonts w:hint="cs"/>
          <w:sz w:val="24"/>
          <w:szCs w:val="24"/>
          <w:rtl/>
        </w:rPr>
        <w:t xml:space="preserve"> أ- أن كل آية من آيات القرآن الكريم إما محكمة وإما متشابهة ولا يوجد وصف ثالث، </w:t>
      </w:r>
      <w:r w:rsidR="00777DCB" w:rsidRPr="00A52585">
        <w:rPr>
          <w:rFonts w:hint="cs"/>
          <w:spacing w:val="-4"/>
          <w:sz w:val="24"/>
          <w:szCs w:val="24"/>
          <w:rtl/>
        </w:rPr>
        <w:t>ب- أن الآيات المحكمة واضحة المعنى تتعاصى على الزائغين وهي معظم آيات القرآن الكريم</w:t>
      </w:r>
      <w:r w:rsidR="00DB731D"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sz w:val="24"/>
          <w:szCs w:val="24"/>
          <w:rtl/>
        </w:rPr>
        <w:t>ج- أن الآيات المتشابهة خفية المعنى يتبعها كل زائغ لإحداث الفتنة بأن يفسرها بمعان باطلة تطابق هواه وترضي قلبه المريض</w:t>
      </w:r>
      <w:r w:rsidR="00DB731D" w:rsidRPr="00A52585">
        <w:rPr>
          <w:rFonts w:hint="cs"/>
          <w:sz w:val="24"/>
          <w:szCs w:val="24"/>
          <w:rtl/>
        </w:rPr>
        <w:t>،</w:t>
      </w:r>
      <w:r w:rsidR="00777DCB" w:rsidRPr="00A52585">
        <w:rPr>
          <w:rFonts w:hint="cs"/>
          <w:sz w:val="24"/>
          <w:szCs w:val="24"/>
          <w:rtl/>
        </w:rPr>
        <w:t xml:space="preserve"> وهذه الآيات المتشابهة قليلة جداً في القرآن الكريم بالنسبة إلى الآيات المحكمة</w:t>
      </w:r>
      <w:r w:rsidRPr="00A52585">
        <w:rPr>
          <w:rFonts w:hint="cs"/>
          <w:sz w:val="24"/>
          <w:szCs w:val="24"/>
          <w:rtl/>
        </w:rPr>
        <w:t>]</w:t>
      </w:r>
      <w:r w:rsidR="00777DCB" w:rsidRPr="00A52585">
        <w:rPr>
          <w:rFonts w:hint="cs"/>
          <w:sz w:val="24"/>
          <w:rtl/>
        </w:rPr>
        <w:t xml:space="preserve"> </w:t>
      </w:r>
      <w:r w:rsidR="00777DCB" w:rsidRPr="00A52585">
        <w:rPr>
          <w:rFonts w:hint="cs"/>
          <w:rtl/>
        </w:rPr>
        <w:t xml:space="preserve">وآيات المتشابه وأحاديثه لا يعلمه إلا الله سبحانه وتعالى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على وجه القطع كما سيأتي بيانه</w:t>
      </w:r>
      <w:r w:rsidRPr="00A52585">
        <w:rPr>
          <w:rFonts w:hint="cs"/>
          <w:sz w:val="24"/>
          <w:szCs w:val="24"/>
          <w:rtl/>
        </w:rPr>
        <w:t>]</w:t>
      </w:r>
      <w:r w:rsidR="00DB731D" w:rsidRPr="00A52585">
        <w:rPr>
          <w:rFonts w:hint="cs"/>
          <w:sz w:val="24"/>
          <w:szCs w:val="24"/>
          <w:rtl/>
        </w:rPr>
        <w:t>،</w:t>
      </w:r>
      <w:r w:rsidR="00777DCB" w:rsidRPr="00A52585">
        <w:rPr>
          <w:rFonts w:hint="cs"/>
          <w:rtl/>
        </w:rPr>
        <w:t xml:space="preserve"> والقرآن والسنة طافحان بتنزيهه عز وجل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وستأتي أمثلة كثيرة لذلك </w:t>
      </w:r>
      <w:r w:rsidR="00777DCB" w:rsidRPr="00A52585">
        <w:rPr>
          <w:rFonts w:hint="cs"/>
          <w:bCs/>
          <w:spacing w:val="-4"/>
          <w:sz w:val="24"/>
          <w:szCs w:val="24"/>
          <w:rtl/>
        </w:rPr>
        <w:t>فالتنزيه التام المطلق هو الإطار الوحيد الذي تصح فيه العبادة</w:t>
      </w:r>
      <w:r w:rsidRPr="00A52585">
        <w:rPr>
          <w:rFonts w:hint="cs"/>
          <w:bCs/>
          <w:spacing w:val="-4"/>
          <w:sz w:val="24"/>
          <w:szCs w:val="24"/>
          <w:rtl/>
        </w:rPr>
        <w:t>]</w:t>
      </w:r>
      <w:r w:rsidR="00DB731D" w:rsidRPr="00A52585">
        <w:rPr>
          <w:rFonts w:hint="cs"/>
          <w:bCs/>
          <w:spacing w:val="-4"/>
          <w:sz w:val="24"/>
          <w:szCs w:val="24"/>
          <w:rtl/>
        </w:rPr>
        <w:t>،</w:t>
      </w:r>
      <w:r w:rsidR="00777DCB" w:rsidRPr="00A52585">
        <w:rPr>
          <w:rFonts w:hint="cs"/>
          <w:rtl/>
        </w:rPr>
        <w:t xml:space="preserve"> ومن أسمائه</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القُدُّوس</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وفي ذلك المبالغة في التنزيه ونفي خيال التشبيه</w:t>
      </w:r>
      <w:r w:rsidR="00DB731D" w:rsidRPr="00A52585">
        <w:rPr>
          <w:rFonts w:hint="cs"/>
          <w:rtl/>
        </w:rPr>
        <w:t>،</w:t>
      </w:r>
      <w:r w:rsidR="00777DCB" w:rsidRPr="00A52585">
        <w:rPr>
          <w:rFonts w:hint="cs"/>
          <w:rtl/>
        </w:rPr>
        <w:t xml:space="preserve"> وكذا في قوله تعالى</w:t>
      </w:r>
      <w:r w:rsidRPr="00A52585">
        <w:rPr>
          <w:rFonts w:hint="cs"/>
          <w:rtl/>
        </w:rPr>
        <w:t>:</w:t>
      </w:r>
      <w:r w:rsidR="00777DCB" w:rsidRPr="00A52585">
        <w:rPr>
          <w:rFonts w:hint="cs"/>
          <w:rtl/>
        </w:rPr>
        <w:t xml:space="preserve"> {قُلْ هُوَ الله أحد}إلى آخره</w:t>
      </w:r>
      <w:r w:rsidR="00DB731D" w:rsidRPr="00A52585">
        <w:rPr>
          <w:rFonts w:hint="cs"/>
          <w:rtl/>
        </w:rPr>
        <w:t>،</w:t>
      </w:r>
      <w:r w:rsidR="00777DCB" w:rsidRPr="00A52585">
        <w:rPr>
          <w:rFonts w:hint="cs"/>
          <w:rtl/>
        </w:rPr>
        <w:t xml:space="preserve"> لما فيها من نفي الجنسية </w:t>
      </w:r>
      <w:proofErr w:type="spellStart"/>
      <w:r w:rsidR="00777DCB" w:rsidRPr="00A52585">
        <w:rPr>
          <w:rFonts w:hint="cs"/>
          <w:rtl/>
        </w:rPr>
        <w:t>والبعضية</w:t>
      </w:r>
      <w:proofErr w:type="spellEnd"/>
      <w:r w:rsidR="00DB731D" w:rsidRPr="00A52585">
        <w:rPr>
          <w:rFonts w:hint="cs"/>
          <w:rtl/>
        </w:rPr>
        <w:t>،</w:t>
      </w:r>
      <w:r w:rsidR="00777DCB" w:rsidRPr="00A52585">
        <w:rPr>
          <w:rFonts w:hint="cs"/>
          <w:rtl/>
        </w:rPr>
        <w:t xml:space="preserve"> وغير ذلك مما فيه مبالغة في تنزيهه سبحانه وتعالى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pacing w:val="-8"/>
          <w:sz w:val="24"/>
          <w:szCs w:val="24"/>
          <w:rtl/>
        </w:rPr>
        <w:t>تنزيه الله سبحانه عن السوء وكذا تعظيمه غاية العظمة أمران متلازمان لا ينفك أحدهما عن</w:t>
      </w:r>
      <w:r w:rsidR="00777DCB" w:rsidRPr="00A52585">
        <w:rPr>
          <w:rFonts w:hint="cs"/>
          <w:sz w:val="24"/>
          <w:szCs w:val="24"/>
          <w:rtl/>
        </w:rPr>
        <w:t xml:space="preserve"> الآخر، وهما المدخل إلى الإيمان بالله تعالى والخضوع له والأساس والقاعدة التي تبنى عليها كل أمور الاعتقاد الخاصة بالله سبحانه من لدن آدم عليه السلام وحتى قيام الساعة وكل الأديان الباطلة التي انحرفت بأتباعها عن دين الله القويم – الإسلام – إنما أدخلها عليهم الشيطان بنسبتهم بعض النقائص إلى الله سبحانه، مع زعم بعضهم أنها ليست نقائص ولا تنقص من تعظيمهم لله</w:t>
      </w:r>
      <w:r w:rsidR="00DB731D" w:rsidRPr="00A52585">
        <w:rPr>
          <w:rFonts w:hint="cs"/>
          <w:sz w:val="24"/>
          <w:szCs w:val="24"/>
          <w:rtl/>
        </w:rPr>
        <w:t>،</w:t>
      </w:r>
      <w:r w:rsidR="00777DCB" w:rsidRPr="00A52585">
        <w:rPr>
          <w:rFonts w:hint="cs"/>
          <w:sz w:val="24"/>
          <w:szCs w:val="24"/>
          <w:rtl/>
        </w:rPr>
        <w:t xml:space="preserve"> لذا أفاض القرآن وكذا السُّنة في دلائل التعظيم والتنزيه القاطعة وكررها بكل الصور والأمثلة كي تستنير بها العقول وتمتلأ بها القلوب فتقطع الطريق على وساوس الشيطان</w:t>
      </w:r>
      <w:r w:rsidR="00DB731D" w:rsidRPr="00A52585">
        <w:rPr>
          <w:rFonts w:hint="cs"/>
          <w:sz w:val="24"/>
          <w:szCs w:val="24"/>
          <w:rtl/>
        </w:rPr>
        <w:t>،</w:t>
      </w:r>
      <w:r w:rsidR="00777DCB" w:rsidRPr="00A52585">
        <w:rPr>
          <w:rFonts w:hint="cs"/>
          <w:sz w:val="24"/>
          <w:szCs w:val="24"/>
          <w:rtl/>
        </w:rPr>
        <w:t xml:space="preserve"> وكل نص من الكتاب أو السنة يوهم ظاهره نسبة </w:t>
      </w:r>
      <w:proofErr w:type="spellStart"/>
      <w:r w:rsidR="00777DCB" w:rsidRPr="00A52585">
        <w:rPr>
          <w:rFonts w:hint="cs"/>
          <w:sz w:val="24"/>
          <w:szCs w:val="24"/>
          <w:rtl/>
        </w:rPr>
        <w:t>شئٍ</w:t>
      </w:r>
      <w:proofErr w:type="spellEnd"/>
      <w:r w:rsidR="00777DCB" w:rsidRPr="00A52585">
        <w:rPr>
          <w:rFonts w:hint="cs"/>
          <w:sz w:val="24"/>
          <w:szCs w:val="24"/>
          <w:rtl/>
        </w:rPr>
        <w:t xml:space="preserve"> من النقص إلى الله سبحانه فحكمه الإيمان بنصه وتلاوة لفظه دون أي زيادة أو نقصان أو تبديل أو تغيير حتى لا يعطى الشيطان مدخلا للوسوسة، مع امتلاء القلب بالتعظيم والتنزيه له سبحانه عن أي نقص، مع اعتقاد انصرافه عن هذا الظاهر وترك البحث في تفصيل المراد منه للراسخين في العلم</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61466C09" w14:textId="70EC6985" w:rsidR="00777DCB" w:rsidRPr="00A52585" w:rsidRDefault="0002035C" w:rsidP="0002035C">
      <w:pPr>
        <w:spacing w:after="240"/>
        <w:rPr>
          <w:b/>
          <w:rtl/>
        </w:rPr>
      </w:pPr>
      <w:r w:rsidRPr="00A52585">
        <w:rPr>
          <w:rFonts w:hint="cs"/>
          <w:bCs/>
          <w:rtl/>
        </w:rPr>
        <w:t>[</w:t>
      </w:r>
      <w:r w:rsidR="00777DCB" w:rsidRPr="00A52585">
        <w:rPr>
          <w:rFonts w:hint="cs"/>
          <w:bCs/>
          <w:rtl/>
        </w:rPr>
        <w:t>الإمام أحمد وكبار أصحابه من المنزهين المعظمين لله</w:t>
      </w:r>
      <w:r w:rsidRPr="00A52585">
        <w:rPr>
          <w:rFonts w:hint="cs"/>
          <w:bCs/>
          <w:rtl/>
        </w:rPr>
        <w:t>]</w:t>
      </w:r>
      <w:r w:rsidRPr="00A52585">
        <w:rPr>
          <w:rFonts w:hint="cs"/>
          <w:bCs/>
          <w:rtl/>
          <w:lang w:bidi="ar-KW"/>
        </w:rPr>
        <w:t>:</w:t>
      </w:r>
      <w:r w:rsidR="00777DCB" w:rsidRPr="00A52585">
        <w:rPr>
          <w:rFonts w:hint="cs"/>
          <w:bCs/>
          <w:rtl/>
          <w:lang w:bidi="ar-KW"/>
        </w:rPr>
        <w:t xml:space="preserve"> </w:t>
      </w:r>
      <w:r w:rsidR="00777DCB" w:rsidRPr="00A52585">
        <w:rPr>
          <w:rFonts w:hint="cs"/>
          <w:rtl/>
        </w:rPr>
        <w:t>وكان الإمام أحمد رضي الله عنه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أمروا الأحاديث كما جاءت</w:t>
      </w:r>
      <w:r w:rsidRPr="00A52585">
        <w:rPr>
          <w:rFonts w:hint="cs"/>
          <w:rtl/>
        </w:rPr>
        <w:t>)</w:t>
      </w:r>
      <w:r w:rsidR="00777DCB" w:rsidRPr="00A52585">
        <w:rPr>
          <w:rFonts w:hint="cs"/>
          <w:rtl/>
        </w:rPr>
        <w:t>)</w:t>
      </w:r>
      <w:r w:rsidR="00777DCB" w:rsidRPr="00A52585">
        <w:rPr>
          <w:rFonts w:hint="cs"/>
          <w:sz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روى البخاري ومسلم عن أبي هريرة رضي الله عنه أن رسول الله </w:t>
      </w:r>
      <w:r w:rsidR="00777DCB" w:rsidRPr="00A52585">
        <w:rPr>
          <w:rFonts w:hint="cs"/>
          <w:sz w:val="24"/>
          <w:szCs w:val="24"/>
          <w:rtl/>
        </w:rPr>
        <w:lastRenderedPageBreak/>
        <w:t>صلى الله عليه وسلم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لا يزال الناس يتساءلون حتى يقال هذا</w:t>
      </w:r>
      <w:r w:rsidRPr="00A52585">
        <w:rPr>
          <w:rFonts w:hint="cs"/>
          <w:sz w:val="24"/>
          <w:szCs w:val="24"/>
          <w:rtl/>
        </w:rPr>
        <w:t>:</w:t>
      </w:r>
      <w:r w:rsidR="00777DCB" w:rsidRPr="00A52585">
        <w:rPr>
          <w:rFonts w:hint="cs"/>
          <w:sz w:val="24"/>
          <w:szCs w:val="24"/>
          <w:rtl/>
        </w:rPr>
        <w:t xml:space="preserve"> خلق الله الخلق، فمن خلق الله</w:t>
      </w:r>
      <w:r w:rsidR="00F95886" w:rsidRPr="00A52585">
        <w:rPr>
          <w:rFonts w:hint="cs"/>
          <w:sz w:val="24"/>
          <w:szCs w:val="24"/>
          <w:rtl/>
        </w:rPr>
        <w:t>؟</w:t>
      </w:r>
      <w:r w:rsidR="00777DCB" w:rsidRPr="00A52585">
        <w:rPr>
          <w:rFonts w:hint="cs"/>
          <w:sz w:val="24"/>
          <w:szCs w:val="24"/>
          <w:rtl/>
        </w:rPr>
        <w:t xml:space="preserve"> فمن وجد من ذلك شيئاً فليقل</w:t>
      </w:r>
      <w:r w:rsidRPr="00A52585">
        <w:rPr>
          <w:rFonts w:hint="cs"/>
          <w:sz w:val="24"/>
          <w:szCs w:val="24"/>
          <w:rtl/>
        </w:rPr>
        <w:t>:</w:t>
      </w:r>
      <w:r w:rsidR="00777DCB" w:rsidRPr="00A52585">
        <w:rPr>
          <w:rFonts w:hint="cs"/>
          <w:sz w:val="24"/>
          <w:szCs w:val="24"/>
          <w:rtl/>
        </w:rPr>
        <w:t xml:space="preserve"> آمنت بالله " وفي رواية أخرى "</w:t>
      </w:r>
      <w:r w:rsidRPr="00A52585">
        <w:rPr>
          <w:rFonts w:hint="cs"/>
          <w:sz w:val="24"/>
          <w:szCs w:val="24"/>
          <w:rtl/>
        </w:rPr>
        <w:t xml:space="preserve"> </w:t>
      </w:r>
      <w:proofErr w:type="spellStart"/>
      <w:r w:rsidR="00777DCB" w:rsidRPr="00A52585">
        <w:rPr>
          <w:rFonts w:hint="cs"/>
          <w:sz w:val="24"/>
          <w:szCs w:val="24"/>
          <w:rtl/>
        </w:rPr>
        <w:t>فليستعذ</w:t>
      </w:r>
      <w:proofErr w:type="spellEnd"/>
      <w:r w:rsidR="00777DCB" w:rsidRPr="00A52585">
        <w:rPr>
          <w:rFonts w:hint="cs"/>
          <w:sz w:val="24"/>
          <w:szCs w:val="24"/>
          <w:rtl/>
        </w:rPr>
        <w:t xml:space="preserve"> بالله ولينته " واللفظ لمسلم قال الإمام المازري</w:t>
      </w:r>
      <w:r w:rsidRPr="00A52585">
        <w:rPr>
          <w:rFonts w:hint="cs"/>
          <w:sz w:val="24"/>
          <w:szCs w:val="24"/>
          <w:rtl/>
        </w:rPr>
        <w:t>:</w:t>
      </w:r>
      <w:r w:rsidR="00777DCB" w:rsidRPr="00A52585">
        <w:rPr>
          <w:rFonts w:hint="cs"/>
          <w:sz w:val="24"/>
          <w:szCs w:val="24"/>
          <w:rtl/>
        </w:rPr>
        <w:t xml:space="preserve"> " … الخواطر على قسمين فأما التي ليست بمستقرة ولا اجتلبتها شبهة طرأت فهي التي تدفع بالإعراض عنها وعلى هذا يحمل الحديث وعلى مثلها ينطلق اسم الوسوسة… " أهـ لذا كان الإمام أحمد وغيره من السلف يقولون (أمروا الأحاديث كما جاءت) كما سيأتي في الأصل</w:t>
      </w:r>
      <w:r w:rsidRPr="00A52585">
        <w:rPr>
          <w:rFonts w:hint="cs"/>
          <w:sz w:val="24"/>
          <w:szCs w:val="24"/>
          <w:rtl/>
        </w:rPr>
        <w:t>]</w:t>
      </w:r>
      <w:r w:rsidR="00DB731D" w:rsidRPr="00A52585">
        <w:rPr>
          <w:rFonts w:hint="cs"/>
          <w:rtl/>
        </w:rPr>
        <w:t>،</w:t>
      </w:r>
      <w:r w:rsidR="00777DCB" w:rsidRPr="00A52585">
        <w:rPr>
          <w:rFonts w:hint="cs"/>
          <w:rtl/>
        </w:rPr>
        <w:t xml:space="preserve"> وعلى ما قال جرى كبار أصحابه كإبراهيم الحربي </w:t>
      </w:r>
      <w:r w:rsidRPr="00A52585">
        <w:rPr>
          <w:rFonts w:hint="cs"/>
          <w:sz w:val="24"/>
          <w:szCs w:val="24"/>
          <w:rtl/>
        </w:rPr>
        <w:t>[</w:t>
      </w:r>
      <w:r w:rsidR="00777DCB" w:rsidRPr="00A52585">
        <w:rPr>
          <w:rFonts w:hint="cs"/>
          <w:sz w:val="24"/>
          <w:szCs w:val="24"/>
          <w:rtl/>
        </w:rPr>
        <w:t>هو الإمام الحافظ المشهور أبو إسحاق إبراهيم بن إسحاق البغدادي ولد سنة 198هـ تفقه على الإمام أحمد فكان من جملة أصحابه كان إماما في العلم رأسا في الزهد عارفاً بالفقه بصيرًا بالأحكام حافظا للحديث مميزا لعلله قيما بالأدب جماعاً للغة، صنف غريب الحديث وغيره توفى في ذي الحجة سنة 285 هـ</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 xml:space="preserve">وأبي داود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أبو داود السجستاني سليمان بن الأشعث صاحب كتاب (السنن)، و (الناسخ والمنسوخ)، و(القدر)، و(المراسيل) وغير ذلك، ولد سنة 202هـ وتوفى سنة 275هـ قال إبراهيم الحربي</w:t>
      </w:r>
      <w:r w:rsidRPr="00A52585">
        <w:rPr>
          <w:rFonts w:hint="cs"/>
          <w:sz w:val="24"/>
          <w:szCs w:val="24"/>
          <w:rtl/>
        </w:rPr>
        <w:t>:</w:t>
      </w:r>
      <w:r w:rsidR="00777DCB" w:rsidRPr="00A52585">
        <w:rPr>
          <w:rFonts w:hint="cs"/>
          <w:sz w:val="24"/>
          <w:szCs w:val="24"/>
          <w:rtl/>
        </w:rPr>
        <w:t xml:space="preserve"> ألين لأبي داود الحديث كما ألين لداود الحديد، وقال ابن حبان</w:t>
      </w:r>
      <w:r w:rsidRPr="00A52585">
        <w:rPr>
          <w:rFonts w:hint="cs"/>
          <w:sz w:val="24"/>
          <w:szCs w:val="24"/>
          <w:rtl/>
        </w:rPr>
        <w:t>:</w:t>
      </w:r>
      <w:r w:rsidR="00777DCB" w:rsidRPr="00A52585">
        <w:rPr>
          <w:rFonts w:hint="cs"/>
          <w:sz w:val="24"/>
          <w:szCs w:val="24"/>
          <w:rtl/>
        </w:rPr>
        <w:t xml:space="preserve"> أبو داود أحد أئمة الدنيا فقها وعلما وحفظا ونسكا وورعا وإتقاناً وجمع وصنف وذبَّ عن السنن</w:t>
      </w:r>
      <w:r w:rsidRPr="00A52585">
        <w:rPr>
          <w:rFonts w:hint="cs"/>
          <w:sz w:val="24"/>
          <w:szCs w:val="24"/>
          <w:rtl/>
        </w:rPr>
        <w:t>]</w:t>
      </w:r>
      <w:r w:rsidR="00777DCB" w:rsidRPr="00A52585">
        <w:rPr>
          <w:rFonts w:hint="cs"/>
          <w:rtl/>
        </w:rPr>
        <w:t xml:space="preserve"> والأثرم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أبو بكر أحمد بن محمد بن هانئ الأثرم الطائي البغدادي الإسكافي الفقيه الحافظ صاحب الإمام أحمد بن حنبل، قال إبراهيم الأصبهاني</w:t>
      </w:r>
      <w:r w:rsidRPr="00A52585">
        <w:rPr>
          <w:rFonts w:hint="cs"/>
          <w:sz w:val="24"/>
          <w:szCs w:val="24"/>
          <w:rtl/>
        </w:rPr>
        <w:t>:</w:t>
      </w:r>
      <w:r w:rsidR="00777DCB" w:rsidRPr="00A52585">
        <w:rPr>
          <w:rFonts w:hint="cs"/>
          <w:sz w:val="24"/>
          <w:szCs w:val="24"/>
          <w:rtl/>
        </w:rPr>
        <w:t xml:space="preserve"> كان أحفظ من أبي زرعة الرازي وأتقن وقال الخلال</w:t>
      </w:r>
      <w:r w:rsidRPr="00A52585">
        <w:rPr>
          <w:rFonts w:hint="cs"/>
          <w:sz w:val="24"/>
          <w:szCs w:val="24"/>
          <w:rtl/>
        </w:rPr>
        <w:t>:</w:t>
      </w:r>
      <w:r w:rsidR="00777DCB" w:rsidRPr="00A52585">
        <w:rPr>
          <w:rFonts w:hint="cs"/>
          <w:sz w:val="24"/>
          <w:szCs w:val="24"/>
          <w:rtl/>
        </w:rPr>
        <w:t xml:space="preserve"> كان يعرف الحديث ويحفظه ويعلم الأبواب والمسند وقال غيره</w:t>
      </w:r>
      <w:r w:rsidRPr="00A52585">
        <w:rPr>
          <w:rFonts w:hint="cs"/>
          <w:sz w:val="24"/>
          <w:szCs w:val="24"/>
          <w:rtl/>
        </w:rPr>
        <w:t>:</w:t>
      </w:r>
      <w:r w:rsidR="00777DCB" w:rsidRPr="00A52585">
        <w:rPr>
          <w:rFonts w:hint="cs"/>
          <w:sz w:val="24"/>
          <w:szCs w:val="24"/>
          <w:rtl/>
        </w:rPr>
        <w:t xml:space="preserve"> له كتاب في العلل ذكره ابن حبان في الثقات وقال</w:t>
      </w:r>
      <w:r w:rsidRPr="00A52585">
        <w:rPr>
          <w:rFonts w:hint="cs"/>
          <w:sz w:val="24"/>
          <w:szCs w:val="24"/>
          <w:rtl/>
        </w:rPr>
        <w:t>:</w:t>
      </w:r>
      <w:r w:rsidR="00777DCB" w:rsidRPr="00A52585">
        <w:rPr>
          <w:rFonts w:hint="cs"/>
          <w:sz w:val="24"/>
          <w:szCs w:val="24"/>
          <w:rtl/>
        </w:rPr>
        <w:t xml:space="preserve"> كان من خيار عباد الله</w:t>
      </w:r>
      <w:r w:rsidRPr="00A52585">
        <w:rPr>
          <w:rFonts w:hint="cs"/>
          <w:sz w:val="24"/>
          <w:szCs w:val="24"/>
          <w:rtl/>
        </w:rPr>
        <w:t>]</w:t>
      </w:r>
      <w:r w:rsidR="00DB731D" w:rsidRPr="00A52585">
        <w:rPr>
          <w:rFonts w:hint="cs"/>
          <w:sz w:val="24"/>
          <w:szCs w:val="24"/>
          <w:rtl/>
        </w:rPr>
        <w:t>،</w:t>
      </w:r>
      <w:r w:rsidR="00777DCB" w:rsidRPr="00A52585">
        <w:rPr>
          <w:rFonts w:hint="cs"/>
          <w:rtl/>
        </w:rPr>
        <w:t xml:space="preserve"> ومن كبار أتباعه أبو الحسين المنادي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الحافظ أبو الحسين أحمد بن جعفر المنادى البغدادي ولد سنة (257)هـ</w:t>
      </w:r>
      <w:r w:rsidRPr="00A52585">
        <w:rPr>
          <w:rFonts w:hint="cs"/>
          <w:sz w:val="24"/>
          <w:szCs w:val="24"/>
          <w:rtl/>
        </w:rPr>
        <w:t xml:space="preserve"> </w:t>
      </w:r>
      <w:r w:rsidR="00777DCB" w:rsidRPr="00A52585">
        <w:rPr>
          <w:rFonts w:hint="cs"/>
          <w:sz w:val="24"/>
          <w:szCs w:val="24"/>
          <w:rtl/>
        </w:rPr>
        <w:t>وتوفى سنة (336) هـ قال عنه الداني</w:t>
      </w:r>
      <w:r w:rsidRPr="00A52585">
        <w:rPr>
          <w:rFonts w:hint="cs"/>
          <w:sz w:val="24"/>
          <w:szCs w:val="24"/>
          <w:rtl/>
        </w:rPr>
        <w:t>:</w:t>
      </w:r>
      <w:r w:rsidR="00777DCB" w:rsidRPr="00A52585">
        <w:rPr>
          <w:rFonts w:hint="cs"/>
          <w:sz w:val="24"/>
          <w:szCs w:val="24"/>
          <w:rtl/>
        </w:rPr>
        <w:t xml:space="preserve"> مقرئ جليل غاية في الإتقان، فصيح اللسان عالم بالآثار نهاية في علم العربية صاحب سنة ثقة مأمون</w:t>
      </w:r>
      <w:r w:rsidRPr="00A52585">
        <w:rPr>
          <w:rFonts w:hint="cs"/>
          <w:sz w:val="24"/>
          <w:szCs w:val="24"/>
          <w:rtl/>
        </w:rPr>
        <w:t>]</w:t>
      </w:r>
      <w:r w:rsidR="00DB731D" w:rsidRPr="00A52585">
        <w:rPr>
          <w:rFonts w:hint="cs"/>
          <w:sz w:val="24"/>
          <w:szCs w:val="24"/>
          <w:rtl/>
        </w:rPr>
        <w:t>،</w:t>
      </w:r>
      <w:r w:rsidR="00777DCB" w:rsidRPr="00A52585">
        <w:rPr>
          <w:rFonts w:hint="cs"/>
          <w:rtl/>
        </w:rPr>
        <w:t xml:space="preserve"> وكان من المحققين وكذلك أبو الحسن التميمي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الفقيه المحدّث</w:t>
      </w:r>
      <w:r w:rsidRPr="00A52585">
        <w:rPr>
          <w:rFonts w:hint="cs"/>
          <w:sz w:val="24"/>
          <w:szCs w:val="24"/>
          <w:rtl/>
        </w:rPr>
        <w:t>:</w:t>
      </w:r>
      <w:r w:rsidR="00777DCB" w:rsidRPr="00A52585">
        <w:rPr>
          <w:rFonts w:hint="cs"/>
          <w:sz w:val="24"/>
          <w:szCs w:val="24"/>
          <w:rtl/>
        </w:rPr>
        <w:t xml:space="preserve"> عبد العزيز بن الحارث بن أسد أبو الحسن التميمي</w:t>
      </w:r>
      <w:r w:rsidR="00DB731D" w:rsidRPr="00A52585">
        <w:rPr>
          <w:rFonts w:hint="cs"/>
          <w:sz w:val="24"/>
          <w:szCs w:val="24"/>
          <w:rtl/>
        </w:rPr>
        <w:t>،</w:t>
      </w:r>
      <w:r w:rsidR="00777DCB" w:rsidRPr="00A52585">
        <w:rPr>
          <w:rFonts w:hint="cs"/>
          <w:sz w:val="24"/>
          <w:szCs w:val="24"/>
          <w:rtl/>
        </w:rPr>
        <w:t xml:space="preserve"> صنف في الأصول والفروع والفرائض وقيل إنه حج ثلاثة وعشرين حجة</w:t>
      </w:r>
      <w:r w:rsidR="00DB731D" w:rsidRPr="00A52585">
        <w:rPr>
          <w:rFonts w:hint="cs"/>
          <w:sz w:val="24"/>
          <w:szCs w:val="24"/>
          <w:rtl/>
        </w:rPr>
        <w:t>،</w:t>
      </w:r>
      <w:r w:rsidR="00777DCB" w:rsidRPr="00A52585">
        <w:rPr>
          <w:rFonts w:hint="cs"/>
          <w:sz w:val="24"/>
          <w:szCs w:val="24"/>
          <w:rtl/>
        </w:rPr>
        <w:t xml:space="preserve"> من أولاده أبو الفضل وأبو الفرج وغيرهما، أما رزق الله بن عبد الوهاب صاحب الترجمة التالية لهذه فهو حفيده</w:t>
      </w:r>
      <w:r w:rsidR="00DB731D" w:rsidRPr="00A52585">
        <w:rPr>
          <w:rFonts w:hint="cs"/>
          <w:sz w:val="24"/>
          <w:szCs w:val="24"/>
          <w:rtl/>
        </w:rPr>
        <w:t>،</w:t>
      </w:r>
      <w:r w:rsidR="00777DCB" w:rsidRPr="00A52585">
        <w:rPr>
          <w:rFonts w:hint="cs"/>
          <w:sz w:val="24"/>
          <w:szCs w:val="24"/>
          <w:rtl/>
        </w:rPr>
        <w:t xml:space="preserve"> ولد أبو الحسن التميمي سنة 317هـ وتوفى سنة 371هـ، لكنه اتهم بوضع حديثين في مسند الإمام أحمد ليسا منه، وليت المؤلف لم يذكره اكتفاء بمن ذكرهم من الأكابر</w:t>
      </w:r>
      <w:r w:rsidRPr="00A52585">
        <w:rPr>
          <w:rFonts w:hint="cs"/>
          <w:sz w:val="24"/>
          <w:szCs w:val="24"/>
          <w:rtl/>
        </w:rPr>
        <w:t>]</w:t>
      </w:r>
      <w:r w:rsidR="00DB731D" w:rsidRPr="00A52585">
        <w:rPr>
          <w:rFonts w:hint="cs"/>
          <w:sz w:val="24"/>
          <w:szCs w:val="24"/>
          <w:rtl/>
        </w:rPr>
        <w:t>،</w:t>
      </w:r>
      <w:r w:rsidR="00777DCB" w:rsidRPr="00A52585">
        <w:rPr>
          <w:rFonts w:hint="cs"/>
          <w:rtl/>
        </w:rPr>
        <w:t xml:space="preserve"> وأبو محمد بن رزق الله بن عبد الوهاب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الكبير رزق الله بن عبد الوهاب بن عبد العزيز بن الحارث أبو محمد التميمي البغدادي الفقيه الواعظ الأصولي اللغوي المفسِّر المحدِّث شيخ الحنابلة في عصره</w:t>
      </w:r>
      <w:r w:rsidR="00DB731D" w:rsidRPr="00A52585">
        <w:rPr>
          <w:rFonts w:hint="cs"/>
          <w:sz w:val="24"/>
          <w:szCs w:val="24"/>
          <w:rtl/>
        </w:rPr>
        <w:t>،</w:t>
      </w:r>
      <w:r w:rsidR="00777DCB" w:rsidRPr="00A52585">
        <w:rPr>
          <w:rFonts w:hint="cs"/>
          <w:sz w:val="24"/>
          <w:szCs w:val="24"/>
          <w:rtl/>
        </w:rPr>
        <w:t xml:space="preserve"> ولد سنة 400هـ وتوفى سنة 488هـ أستاذ أبي الوفاء ابن عقيل</w:t>
      </w:r>
      <w:r w:rsidR="00DB731D" w:rsidRPr="00A52585">
        <w:rPr>
          <w:rFonts w:hint="cs"/>
          <w:sz w:val="24"/>
          <w:szCs w:val="24"/>
          <w:rtl/>
        </w:rPr>
        <w:t>،</w:t>
      </w:r>
      <w:r w:rsidR="00777DCB" w:rsidRPr="00A52585">
        <w:rPr>
          <w:rFonts w:hint="cs"/>
          <w:sz w:val="24"/>
          <w:szCs w:val="24"/>
          <w:rtl/>
        </w:rPr>
        <w:t xml:space="preserve"> ترجم له ابن العماد في شذرات الذهب 3/384 فقال</w:t>
      </w:r>
      <w:r w:rsidRPr="00A52585">
        <w:rPr>
          <w:rFonts w:hint="cs"/>
          <w:sz w:val="24"/>
          <w:szCs w:val="24"/>
          <w:rtl/>
        </w:rPr>
        <w:t>:</w:t>
      </w:r>
      <w:r w:rsidR="00777DCB" w:rsidRPr="00A52585">
        <w:rPr>
          <w:rFonts w:hint="cs"/>
          <w:sz w:val="24"/>
          <w:szCs w:val="24"/>
          <w:rtl/>
        </w:rPr>
        <w:t xml:space="preserve"> (الفقيه الواعظ شيخ الحنابلة قرأ القرآن على أبي الحسن الحمامي وتقدم في الفقه والأصول والتفسير والعربية واللغة وحدث عن أبي الحسين ابن المتيم وأبي عمر بن مهدي والكبار وتوفى في نصف جمادى الأولى عن ثمان وثمانين سنة قال أبو علي بن سكرة</w:t>
      </w:r>
      <w:r w:rsidRPr="00A52585">
        <w:rPr>
          <w:rFonts w:hint="cs"/>
          <w:sz w:val="24"/>
          <w:szCs w:val="24"/>
          <w:rtl/>
        </w:rPr>
        <w:t>:</w:t>
      </w:r>
      <w:r w:rsidR="00777DCB" w:rsidRPr="00A52585">
        <w:rPr>
          <w:rFonts w:hint="cs"/>
          <w:sz w:val="24"/>
          <w:szCs w:val="24"/>
          <w:rtl/>
        </w:rPr>
        <w:t xml:space="preserve"> قرأت عليه ختمة لقالون وكان كبير بغداد وجليلها وكان يقول</w:t>
      </w:r>
      <w:r w:rsidRPr="00A52585">
        <w:rPr>
          <w:rFonts w:hint="cs"/>
          <w:sz w:val="24"/>
          <w:szCs w:val="24"/>
          <w:rtl/>
        </w:rPr>
        <w:t>:</w:t>
      </w:r>
      <w:r w:rsidR="00777DCB" w:rsidRPr="00A52585">
        <w:rPr>
          <w:rFonts w:hint="cs"/>
          <w:sz w:val="24"/>
          <w:szCs w:val="24"/>
          <w:rtl/>
        </w:rPr>
        <w:t xml:space="preserve"> " كل الطوائف تدعيني</w:t>
      </w:r>
      <w:r w:rsidRPr="00A52585">
        <w:rPr>
          <w:rFonts w:hint="cs"/>
          <w:sz w:val="24"/>
          <w:szCs w:val="24"/>
          <w:rtl/>
        </w:rPr>
        <w:t xml:space="preserve"> </w:t>
      </w:r>
      <w:r w:rsidR="00777DCB" w:rsidRPr="00A52585">
        <w:rPr>
          <w:rFonts w:hint="cs"/>
          <w:sz w:val="24"/>
          <w:szCs w:val="24"/>
          <w:rtl/>
        </w:rPr>
        <w:t>" قاله في (العبر) وقال ابن عقيل في فنونه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ومن كبار مشايخي أبو محمد التميمي شيخ زمانه كان حسنة العالم وماشطة بغداد " وقال</w:t>
      </w:r>
      <w:r w:rsidRPr="00A52585">
        <w:rPr>
          <w:rFonts w:hint="cs"/>
          <w:sz w:val="24"/>
          <w:szCs w:val="24"/>
          <w:rtl/>
        </w:rPr>
        <w:t>:</w:t>
      </w:r>
      <w:r w:rsidR="00777DCB" w:rsidRPr="00A52585">
        <w:rPr>
          <w:rFonts w:hint="cs"/>
          <w:sz w:val="24"/>
          <w:szCs w:val="24"/>
          <w:rtl/>
        </w:rPr>
        <w:t xml:space="preserve"> " كان سيد الجماعة من أصحاب أحمد بيتاً ورياسة وحشمة أبو محمد التميمي وكان أحلى الناس عبارة في النظر وأجراهم قلما في الفتيا وأحسنهم وعظاً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w:t>
      </w:r>
      <w:r w:rsidR="00777DCB" w:rsidRPr="00A52585">
        <w:rPr>
          <w:rFonts w:hint="cs"/>
          <w:sz w:val="24"/>
          <w:szCs w:val="24"/>
          <w:rtl/>
        </w:rPr>
        <w:t xml:space="preserve"> أهـ</w:t>
      </w:r>
      <w:r w:rsidRPr="00A52585">
        <w:rPr>
          <w:rFonts w:hint="cs"/>
          <w:sz w:val="24"/>
          <w:szCs w:val="24"/>
          <w:rtl/>
        </w:rPr>
        <w:t>]</w:t>
      </w:r>
      <w:r w:rsidR="00DB731D" w:rsidRPr="00A52585">
        <w:rPr>
          <w:rFonts w:hint="cs"/>
          <w:sz w:val="24"/>
          <w:szCs w:val="24"/>
          <w:rtl/>
        </w:rPr>
        <w:t>،</w:t>
      </w:r>
      <w:r w:rsidR="00777DCB" w:rsidRPr="00A52585">
        <w:rPr>
          <w:rFonts w:hint="cs"/>
          <w:rtl/>
        </w:rPr>
        <w:t xml:space="preserve"> وغيرهم من أساطين </w:t>
      </w:r>
      <w:r w:rsidR="00777DCB" w:rsidRPr="00A52585">
        <w:rPr>
          <w:rFonts w:hint="cs"/>
          <w:rtl/>
        </w:rPr>
        <w:lastRenderedPageBreak/>
        <w:t>الأئمة في مذهب الإمام أحمد</w:t>
      </w:r>
      <w:r w:rsidR="00DB731D" w:rsidRPr="00A52585">
        <w:rPr>
          <w:rFonts w:hint="cs"/>
          <w:rtl/>
        </w:rPr>
        <w:t>،</w:t>
      </w:r>
      <w:r w:rsidR="00777DCB" w:rsidRPr="00A52585">
        <w:rPr>
          <w:rFonts w:hint="cs"/>
          <w:rtl/>
        </w:rPr>
        <w:t xml:space="preserve"> وجروا على ما قاله في حالة العافية وفي حالة الابتلاء. فقال تحت السياط</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فيكف أقول ما لم يقل</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وقال في آية الاستواء</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كما أراد</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فمن قال عنه أنه قال في الاستواء أنه من صفات الذات أو صفات الفعل أو أنه قال </w:t>
      </w:r>
      <w:proofErr w:type="gramStart"/>
      <w:r w:rsidR="00777DCB" w:rsidRPr="00A52585">
        <w:rPr>
          <w:rFonts w:hint="cs"/>
          <w:rtl/>
        </w:rPr>
        <w:t>أن</w:t>
      </w:r>
      <w:proofErr w:type="gramEnd"/>
      <w:r w:rsidR="00777DCB" w:rsidRPr="00A52585">
        <w:rPr>
          <w:rFonts w:hint="cs"/>
          <w:rtl/>
        </w:rPr>
        <w:t xml:space="preserve"> ظاهره مراد</w:t>
      </w:r>
      <w:r w:rsidR="00DB731D" w:rsidRPr="00A52585">
        <w:rPr>
          <w:rFonts w:hint="cs"/>
          <w:rtl/>
        </w:rPr>
        <w:t>،</w:t>
      </w:r>
      <w:r w:rsidR="00777DCB" w:rsidRPr="00A52585">
        <w:rPr>
          <w:rFonts w:hint="cs"/>
          <w:rtl/>
        </w:rPr>
        <w:t xml:space="preserve"> فقد افترى عليه </w:t>
      </w:r>
      <w:proofErr w:type="spellStart"/>
      <w:r w:rsidR="00777DCB" w:rsidRPr="00A52585">
        <w:rPr>
          <w:rFonts w:hint="cs"/>
          <w:rtl/>
        </w:rPr>
        <w:t>وحسيبه</w:t>
      </w:r>
      <w:proofErr w:type="spellEnd"/>
      <w:r w:rsidR="00777DCB" w:rsidRPr="00A52585">
        <w:rPr>
          <w:rFonts w:hint="cs"/>
          <w:rtl/>
        </w:rPr>
        <w:t xml:space="preserve"> الله عز وجل فيما نسب إليه مما فيه إلحاقه عز وجل بخلقه الذي هو كفر بواح</w:t>
      </w:r>
      <w:r w:rsidR="00DB731D" w:rsidRPr="00A52585">
        <w:rPr>
          <w:rFonts w:hint="cs"/>
          <w:rtl/>
        </w:rPr>
        <w:t>،</w:t>
      </w:r>
      <w:r w:rsidR="00777DCB" w:rsidRPr="00A52585">
        <w:rPr>
          <w:rFonts w:hint="cs"/>
          <w:rtl/>
        </w:rPr>
        <w:t xml:space="preserve"> لمخالفته كلامه فيما نزه نفسه به سبحانه وتعالى عما يصفون</w:t>
      </w:r>
      <w:r w:rsidR="00DB731D" w:rsidRPr="00A52585">
        <w:rPr>
          <w:rFonts w:hint="cs"/>
          <w:rtl/>
        </w:rPr>
        <w:t>،</w:t>
      </w:r>
      <w:r w:rsidR="00777DCB" w:rsidRPr="00A52585">
        <w:rPr>
          <w:rFonts w:hint="cs"/>
          <w:rtl/>
        </w:rPr>
        <w:t xml:space="preserve"> </w:t>
      </w:r>
    </w:p>
    <w:p w14:paraId="65AB7181" w14:textId="21376811" w:rsidR="00777DCB" w:rsidRPr="00A52585" w:rsidRDefault="0002035C" w:rsidP="0002035C">
      <w:pPr>
        <w:spacing w:after="240"/>
        <w:rPr>
          <w:b/>
          <w:rtl/>
          <w:lang w:bidi="ar-KW"/>
        </w:rPr>
      </w:pPr>
      <w:r w:rsidRPr="00A52585">
        <w:rPr>
          <w:rFonts w:hint="cs"/>
          <w:bCs/>
          <w:rtl/>
        </w:rPr>
        <w:t>[</w:t>
      </w:r>
      <w:r w:rsidR="00777DCB" w:rsidRPr="00A52585">
        <w:rPr>
          <w:rFonts w:hint="cs"/>
          <w:bCs/>
          <w:rtl/>
        </w:rPr>
        <w:t>بعض كبار المجسمة المنتسبين للإمام أحمد وغيرهم</w:t>
      </w:r>
      <w:r w:rsidRPr="00A52585">
        <w:rPr>
          <w:rFonts w:hint="cs"/>
          <w:bCs/>
          <w:rtl/>
        </w:rPr>
        <w:t>]:</w:t>
      </w:r>
      <w:r w:rsidR="00777DCB" w:rsidRPr="00A52585">
        <w:rPr>
          <w:rFonts w:hint="cs"/>
          <w:bCs/>
          <w:rtl/>
        </w:rPr>
        <w:t xml:space="preserve"> </w:t>
      </w:r>
      <w:r w:rsidR="00777DCB" w:rsidRPr="00A52585">
        <w:rPr>
          <w:rFonts w:hint="cs"/>
          <w:rtl/>
        </w:rPr>
        <w:t xml:space="preserve">ومنهم ابن حامد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عنه الإمام الكوثري في تعليقه على (دفع شبه التشبيه) لابن الجوزي</w:t>
      </w:r>
      <w:r w:rsidRPr="00A52585">
        <w:rPr>
          <w:rFonts w:hint="cs"/>
          <w:sz w:val="24"/>
          <w:szCs w:val="24"/>
          <w:rtl/>
        </w:rPr>
        <w:t>:</w:t>
      </w:r>
      <w:r w:rsidRPr="00A52585">
        <w:rPr>
          <w:rFonts w:hint="cs"/>
          <w:sz w:val="24"/>
          <w:szCs w:val="24"/>
          <w:rtl/>
          <w:lang w:bidi="ar-KW"/>
        </w:rPr>
        <w:t xml:space="preserve"> </w:t>
      </w:r>
      <w:r w:rsidR="00777DCB" w:rsidRPr="00A52585">
        <w:rPr>
          <w:rFonts w:hint="cs"/>
          <w:sz w:val="24"/>
          <w:szCs w:val="24"/>
          <w:rtl/>
        </w:rPr>
        <w:t>هو شيخ الحنابلة أبو عبد الله الحسن بن حامد بن علي البغدادي الورّاق المتوفى سنة ثلاث وأربعمائة، كان من أكبر مصنفيهم له (شرح أصول الدين) فيه طامات سيورد المصنف بعضها ولديه تخرج القاضي أبو يعلي الحنبلي أهـ</w:t>
      </w:r>
      <w:r w:rsidRPr="00A52585">
        <w:rPr>
          <w:rFonts w:hint="cs"/>
          <w:sz w:val="24"/>
          <w:szCs w:val="24"/>
          <w:rtl/>
        </w:rPr>
        <w:t>]</w:t>
      </w:r>
      <w:r w:rsidR="00DB731D" w:rsidRPr="00A52585">
        <w:rPr>
          <w:rFonts w:hint="cs"/>
          <w:sz w:val="24"/>
          <w:szCs w:val="24"/>
          <w:rtl/>
        </w:rPr>
        <w:t>،</w:t>
      </w:r>
      <w:r w:rsidR="00777DCB" w:rsidRPr="00A52585">
        <w:rPr>
          <w:rFonts w:hint="cs"/>
          <w:sz w:val="36"/>
          <w:szCs w:val="36"/>
          <w:rtl/>
        </w:rPr>
        <w:t xml:space="preserve"> </w:t>
      </w:r>
      <w:r w:rsidR="00777DCB" w:rsidRPr="00A52585">
        <w:rPr>
          <w:rFonts w:hint="cs"/>
          <w:rtl/>
        </w:rPr>
        <w:t>والقاضي تلميذه</w:t>
      </w:r>
      <w:r w:rsidR="00777DCB" w:rsidRPr="00A52585">
        <w:rPr>
          <w:rFonts w:hint="cs"/>
        </w:rPr>
        <w:t xml:space="preserve"> </w:t>
      </w:r>
      <w:proofErr w:type="spellStart"/>
      <w:r w:rsidR="00777DCB" w:rsidRPr="00A52585">
        <w:rPr>
          <w:rFonts w:hint="cs"/>
          <w:rtl/>
        </w:rPr>
        <w:t>والزاغوني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أبو الحسن على بن عبيد الله بن نصير </w:t>
      </w:r>
      <w:proofErr w:type="spellStart"/>
      <w:r w:rsidR="00777DCB" w:rsidRPr="00A52585">
        <w:rPr>
          <w:rFonts w:hint="cs"/>
          <w:sz w:val="24"/>
          <w:szCs w:val="24"/>
          <w:rtl/>
        </w:rPr>
        <w:t>الزاغوني</w:t>
      </w:r>
      <w:proofErr w:type="spellEnd"/>
      <w:r w:rsidR="00777DCB" w:rsidRPr="00A52585">
        <w:rPr>
          <w:rFonts w:hint="cs"/>
          <w:sz w:val="24"/>
          <w:szCs w:val="24"/>
          <w:rtl/>
        </w:rPr>
        <w:t xml:space="preserve"> فقيه حنبلي ولد سنة 455هـ وتوفى 527هـ وهو من مشايخ الإمام ابن الجوزي</w:t>
      </w:r>
      <w:r w:rsidRPr="00A52585">
        <w:rPr>
          <w:rFonts w:hint="cs"/>
          <w:sz w:val="24"/>
          <w:szCs w:val="24"/>
          <w:rtl/>
        </w:rPr>
        <w:t>]</w:t>
      </w:r>
      <w:r w:rsidR="00DB731D" w:rsidRPr="00A52585">
        <w:rPr>
          <w:rFonts w:hint="cs"/>
          <w:sz w:val="24"/>
          <w:szCs w:val="24"/>
          <w:rtl/>
        </w:rPr>
        <w:t>،</w:t>
      </w:r>
      <w:r w:rsidR="00777DCB" w:rsidRPr="00A52585">
        <w:rPr>
          <w:rFonts w:hint="cs"/>
          <w:rtl/>
        </w:rPr>
        <w:t xml:space="preserve"> وهؤلاء ممن ينتمي إلى الإمام أحمد وتبعهم على ذلك الجهلة بالإمام أحمد وبما هو معتمده مما ذكرت بعضه</w:t>
      </w:r>
      <w:r w:rsidR="00777DCB" w:rsidRPr="00A52585">
        <w:rPr>
          <w:rFonts w:hint="cs"/>
          <w:vertAlign w:val="superscript"/>
          <w:rtl/>
        </w:rPr>
        <w:t xml:space="preserve"> </w:t>
      </w:r>
      <w:r w:rsidR="00777DCB" w:rsidRPr="00A52585">
        <w:rPr>
          <w:rFonts w:hint="cs"/>
          <w:rtl/>
        </w:rPr>
        <w:t>وبالغوا في الافتراء إما لجهلهم</w:t>
      </w:r>
      <w:r w:rsidR="00DB731D" w:rsidRPr="00A52585">
        <w:rPr>
          <w:rFonts w:hint="cs"/>
          <w:rtl/>
        </w:rPr>
        <w:t>،</w:t>
      </w:r>
      <w:r w:rsidR="00777DCB" w:rsidRPr="00A52585">
        <w:rPr>
          <w:rFonts w:hint="cs"/>
          <w:rtl/>
        </w:rPr>
        <w:t xml:space="preserve"> وإما لضغينة في قلوبهم</w:t>
      </w:r>
      <w:r w:rsidR="00DB731D" w:rsidRPr="00A52585">
        <w:rPr>
          <w:rFonts w:hint="cs"/>
          <w:rtl/>
        </w:rPr>
        <w:t>،</w:t>
      </w:r>
      <w:r w:rsidRPr="00A52585">
        <w:rPr>
          <w:rFonts w:hint="cs"/>
          <w:rtl/>
        </w:rPr>
        <w:t xml:space="preserve"> </w:t>
      </w:r>
      <w:r w:rsidR="00777DCB" w:rsidRPr="00A52585">
        <w:rPr>
          <w:rFonts w:hint="cs"/>
          <w:rtl/>
        </w:rPr>
        <w:t xml:space="preserve">كالمغيرة بن سعيد وأبي محمد </w:t>
      </w:r>
      <w:proofErr w:type="spellStart"/>
      <w:r w:rsidR="00777DCB" w:rsidRPr="00A52585">
        <w:rPr>
          <w:rFonts w:hint="cs"/>
          <w:rtl/>
        </w:rPr>
        <w:t>الكرامي</w:t>
      </w:r>
      <w:proofErr w:type="spellEnd"/>
      <w:r w:rsidR="00777DCB" w:rsidRPr="00A52585">
        <w:rPr>
          <w:rFonts w:hint="cs"/>
          <w:rtl/>
        </w:rPr>
        <w:t>، لأنهم أفراخ السامرة في التشبيه</w:t>
      </w:r>
      <w:r w:rsidR="00DB731D" w:rsidRPr="00A52585">
        <w:rPr>
          <w:rFonts w:hint="cs"/>
          <w:rtl/>
        </w:rPr>
        <w:t>،</w:t>
      </w:r>
      <w:r w:rsidR="00777DCB" w:rsidRPr="00A52585">
        <w:rPr>
          <w:rFonts w:hint="cs"/>
          <w:rtl/>
        </w:rPr>
        <w:t xml:space="preserve"> ويهود في التجسيم</w:t>
      </w:r>
      <w:r w:rsidR="00DB731D" w:rsidRPr="00A52585">
        <w:rPr>
          <w:rFonts w:hint="cs"/>
          <w:rtl/>
        </w:rPr>
        <w:t>،</w:t>
      </w:r>
      <w:r w:rsidR="00777DCB" w:rsidRPr="00A52585">
        <w:rPr>
          <w:rFonts w:hint="cs"/>
          <w:rtl/>
        </w:rPr>
        <w:t xml:space="preserve"> وحرق المغيرة ومعه خمسة من أتباعه كما أذكره من بعد</w:t>
      </w:r>
      <w:r w:rsidR="00DB731D" w:rsidRPr="00A52585">
        <w:rPr>
          <w:rFonts w:hint="cs"/>
          <w:rtl/>
        </w:rPr>
        <w:t>،</w:t>
      </w:r>
      <w:r w:rsidRPr="00A52585">
        <w:rPr>
          <w:rFonts w:hint="cs"/>
          <w:rtl/>
        </w:rPr>
        <w:t xml:space="preserve"> </w:t>
      </w:r>
      <w:r w:rsidR="00777DCB" w:rsidRPr="00A52585">
        <w:rPr>
          <w:rFonts w:hint="cs"/>
          <w:rtl/>
        </w:rPr>
        <w:t>قال ابن حامد في قوله تعالى</w:t>
      </w:r>
      <w:r w:rsidRPr="00A52585">
        <w:rPr>
          <w:rFonts w:hint="cs"/>
          <w:rtl/>
        </w:rPr>
        <w:t>:</w:t>
      </w:r>
      <w:r w:rsidR="00777DCB" w:rsidRPr="00A52585">
        <w:rPr>
          <w:rFonts w:hint="cs"/>
          <w:rtl/>
        </w:rPr>
        <w:t xml:space="preserve"> {وَيَبَقْىَ وَجْهُ رَبِّكَ}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27</w:t>
      </w:r>
      <w:r w:rsidRPr="00A52585">
        <w:rPr>
          <w:rFonts w:hint="cs"/>
          <w:rtl/>
        </w:rPr>
        <w:t>]</w:t>
      </w:r>
      <w:r w:rsidR="00DB731D" w:rsidRPr="00A52585">
        <w:rPr>
          <w:rFonts w:hint="cs"/>
          <w:rtl/>
        </w:rPr>
        <w:t>،</w:t>
      </w:r>
      <w:r w:rsidR="00777DCB" w:rsidRPr="00A52585">
        <w:rPr>
          <w:rFonts w:hint="cs"/>
          <w:rtl/>
        </w:rPr>
        <w:t xml:space="preserve"> وفي قوله تعالى</w:t>
      </w:r>
      <w:r w:rsidRPr="00A52585">
        <w:rPr>
          <w:rFonts w:hint="cs"/>
          <w:rtl/>
        </w:rPr>
        <w:t>:</w:t>
      </w:r>
      <w:r w:rsidR="00777DCB" w:rsidRPr="00A52585">
        <w:rPr>
          <w:rFonts w:hint="cs"/>
          <w:rtl/>
        </w:rPr>
        <w:t xml:space="preserve"> {كَلُّ شَيءٍ هَالِكٌ إِلاّ وَجْهَه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القصص</w:t>
      </w:r>
      <w:r w:rsidRPr="00A52585">
        <w:rPr>
          <w:rFonts w:hint="cs"/>
          <w:rtl/>
        </w:rPr>
        <w:t>:</w:t>
      </w:r>
      <w:r w:rsidR="00777DCB" w:rsidRPr="00A52585">
        <w:rPr>
          <w:rFonts w:hint="cs"/>
          <w:rtl/>
        </w:rPr>
        <w:t xml:space="preserve"> 88</w:t>
      </w:r>
      <w:r w:rsidRPr="00A52585">
        <w:rPr>
          <w:rFonts w:hint="cs"/>
          <w:rtl/>
        </w:rPr>
        <w:t>]</w:t>
      </w:r>
      <w:r w:rsidR="00DB731D" w:rsidRPr="00A52585">
        <w:rPr>
          <w:rFonts w:hint="cs"/>
          <w:rtl/>
        </w:rPr>
        <w:t>،</w:t>
      </w:r>
      <w:r w:rsidR="00777DCB" w:rsidRPr="00A52585">
        <w:rPr>
          <w:rFonts w:hint="cs"/>
          <w:rtl/>
        </w:rPr>
        <w:t xml:space="preserve"> نثبت لله وجها ولا نثبت رأساً</w:t>
      </w:r>
      <w:r w:rsidR="00DB731D" w:rsidRPr="00A52585">
        <w:rPr>
          <w:rFonts w:hint="cs"/>
          <w:vertAlign w:val="superscript"/>
          <w:rtl/>
        </w:rPr>
        <w:t>،</w:t>
      </w:r>
      <w:r w:rsidR="00777DCB" w:rsidRPr="00A52585">
        <w:rPr>
          <w:rFonts w:hint="cs"/>
          <w:rtl/>
        </w:rPr>
        <w:t xml:space="preserve"> وقال غيره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يموت إلا وجهه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وليس بعد هذا كفر وذكروا أشياء يقشعر الجسد من ذكر بعضها</w:t>
      </w:r>
      <w:r w:rsidR="00DB731D" w:rsidRPr="00A52585">
        <w:rPr>
          <w:rFonts w:hint="cs"/>
          <w:rtl/>
        </w:rPr>
        <w:t>،</w:t>
      </w:r>
      <w:r w:rsidR="00777DCB" w:rsidRPr="00A52585">
        <w:rPr>
          <w:rFonts w:hint="cs"/>
          <w:rtl/>
        </w:rPr>
        <w:t xml:space="preserve"> </w:t>
      </w:r>
    </w:p>
    <w:p w14:paraId="7D2E52B4" w14:textId="3F4E04E1" w:rsidR="00777DCB" w:rsidRPr="00A52585" w:rsidRDefault="0002035C" w:rsidP="0002035C">
      <w:pPr>
        <w:spacing w:after="240"/>
        <w:rPr>
          <w:b/>
          <w:rtl/>
        </w:rPr>
      </w:pPr>
      <w:r w:rsidRPr="00A52585">
        <w:rPr>
          <w:rFonts w:hint="cs"/>
          <w:bCs/>
          <w:rtl/>
        </w:rPr>
        <w:t>[</w:t>
      </w:r>
      <w:r w:rsidR="00777DCB" w:rsidRPr="00A52585">
        <w:rPr>
          <w:rFonts w:hint="cs"/>
          <w:bCs/>
          <w:rtl/>
        </w:rPr>
        <w:t>رد الإمام ابن الجوزي الحنبلي على المجسمة مخالفي المذهب</w:t>
      </w:r>
      <w:r w:rsidRPr="00A52585">
        <w:rPr>
          <w:rFonts w:hint="cs"/>
          <w:bCs/>
          <w:rtl/>
        </w:rPr>
        <w:t>]:</w:t>
      </w:r>
      <w:r w:rsidR="00777DCB" w:rsidRPr="00A52585">
        <w:rPr>
          <w:rFonts w:hint="cs"/>
          <w:bCs/>
          <w:rtl/>
        </w:rPr>
        <w:t xml:space="preserve"> </w:t>
      </w:r>
      <w:r w:rsidR="00777DCB" w:rsidRPr="00A52585">
        <w:rPr>
          <w:rFonts w:hint="cs"/>
          <w:rtl/>
        </w:rPr>
        <w:t xml:space="preserve">قال أبو الفرج ابن الجوزي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أ- هو الإمام العلامة الحافظ جمال الدين أبو الفرج عبد الرحمن بن أبي الحسن القرشي التميمي البكري البغدادي المعروف بابن الجوزي له مؤلفات عظيمة يقول الإمام الذهبي</w:t>
      </w:r>
      <w:r w:rsidRPr="00A52585">
        <w:rPr>
          <w:rFonts w:hint="cs"/>
          <w:spacing w:val="-6"/>
          <w:sz w:val="24"/>
          <w:szCs w:val="24"/>
          <w:rtl/>
        </w:rPr>
        <w:t>:</w:t>
      </w:r>
      <w:r w:rsidR="00777DCB" w:rsidRPr="00A52585">
        <w:rPr>
          <w:rFonts w:hint="cs"/>
          <w:spacing w:val="-6"/>
          <w:sz w:val="24"/>
          <w:szCs w:val="24"/>
          <w:rtl/>
        </w:rPr>
        <w:t xml:space="preserve"> ما علمت أحداً من العلماء صنف ما صنف هذا الرجل ولد سنة 510 هـ بالبصر</w:t>
      </w:r>
      <w:r w:rsidR="00777DCB" w:rsidRPr="00A52585">
        <w:rPr>
          <w:rFonts w:hint="cs"/>
          <w:spacing w:val="-16"/>
          <w:sz w:val="24"/>
          <w:szCs w:val="24"/>
          <w:rtl/>
        </w:rPr>
        <w:t xml:space="preserve">ة وتوفي في </w:t>
      </w:r>
      <w:r w:rsidR="00777DCB" w:rsidRPr="00A52585">
        <w:rPr>
          <w:rFonts w:hint="cs"/>
          <w:spacing w:val="-6"/>
          <w:sz w:val="24"/>
          <w:szCs w:val="24"/>
          <w:rtl/>
        </w:rPr>
        <w:t xml:space="preserve">ليلة السابع </w:t>
      </w:r>
      <w:r w:rsidR="00777DCB" w:rsidRPr="00A52585">
        <w:rPr>
          <w:rFonts w:hint="cs"/>
          <w:spacing w:val="-14"/>
          <w:sz w:val="24"/>
          <w:szCs w:val="24"/>
          <w:rtl/>
        </w:rPr>
        <w:t>من شهر</w:t>
      </w:r>
      <w:r w:rsidR="00777DCB" w:rsidRPr="00A52585">
        <w:rPr>
          <w:rFonts w:hint="cs"/>
          <w:spacing w:val="-6"/>
          <w:sz w:val="24"/>
          <w:szCs w:val="24"/>
          <w:rtl/>
        </w:rPr>
        <w:t xml:space="preserve"> رمضان</w:t>
      </w:r>
      <w:r w:rsidR="00777DCB" w:rsidRPr="00A52585">
        <w:rPr>
          <w:rFonts w:hint="cs"/>
          <w:spacing w:val="-14"/>
          <w:sz w:val="24"/>
          <w:szCs w:val="24"/>
          <w:rtl/>
        </w:rPr>
        <w:t xml:space="preserve"> سنة 597هـ</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 xml:space="preserve">ب- الإمام تقي الدين </w:t>
      </w:r>
      <w:proofErr w:type="spellStart"/>
      <w:r w:rsidR="00777DCB" w:rsidRPr="00A52585">
        <w:rPr>
          <w:rFonts w:hint="cs"/>
          <w:sz w:val="24"/>
          <w:szCs w:val="24"/>
          <w:rtl/>
        </w:rPr>
        <w:t>الحصني</w:t>
      </w:r>
      <w:proofErr w:type="spellEnd"/>
      <w:r w:rsidR="00777DCB" w:rsidRPr="00A52585">
        <w:rPr>
          <w:rFonts w:hint="cs"/>
          <w:sz w:val="24"/>
          <w:szCs w:val="24"/>
          <w:rtl/>
        </w:rPr>
        <w:t xml:space="preserve"> ينقل هنا من كتابه المسمى</w:t>
      </w:r>
      <w:r w:rsidRPr="00A52585">
        <w:rPr>
          <w:rFonts w:hint="cs"/>
          <w:sz w:val="24"/>
          <w:szCs w:val="24"/>
          <w:rtl/>
        </w:rPr>
        <w:t>:</w:t>
      </w:r>
      <w:r w:rsidR="00777DCB" w:rsidRPr="00A52585">
        <w:rPr>
          <w:rFonts w:hint="cs"/>
          <w:sz w:val="24"/>
          <w:szCs w:val="24"/>
          <w:rtl/>
        </w:rPr>
        <w:t xml:space="preserve"> " دفع شبه </w:t>
      </w:r>
      <w:proofErr w:type="spellStart"/>
      <w:r w:rsidR="00777DCB" w:rsidRPr="00A52585">
        <w:rPr>
          <w:rFonts w:hint="cs"/>
          <w:sz w:val="24"/>
          <w:szCs w:val="24"/>
          <w:rtl/>
        </w:rPr>
        <w:t>التشبية</w:t>
      </w:r>
      <w:proofErr w:type="spellEnd"/>
      <w:r w:rsidR="00777DCB" w:rsidRPr="00A52585">
        <w:rPr>
          <w:rFonts w:hint="cs"/>
          <w:sz w:val="24"/>
          <w:szCs w:val="24"/>
          <w:rtl/>
        </w:rPr>
        <w:t xml:space="preserve"> بأكف التنزيه"</w:t>
      </w:r>
      <w:r w:rsidRPr="00A52585">
        <w:rPr>
          <w:rFonts w:hint="cs"/>
          <w:sz w:val="24"/>
          <w:szCs w:val="24"/>
          <w:rtl/>
        </w:rPr>
        <w:t xml:space="preserve"> </w:t>
      </w:r>
      <w:r w:rsidR="00777DCB" w:rsidRPr="00A52585">
        <w:rPr>
          <w:rFonts w:hint="cs"/>
          <w:sz w:val="24"/>
          <w:szCs w:val="24"/>
          <w:rtl/>
        </w:rPr>
        <w:t>وقد نسبه له كل من ترجم له</w:t>
      </w:r>
      <w:r w:rsidR="00DB731D" w:rsidRPr="00A52585">
        <w:rPr>
          <w:rFonts w:hint="cs"/>
          <w:sz w:val="24"/>
          <w:szCs w:val="24"/>
          <w:rtl/>
        </w:rPr>
        <w:t>،</w:t>
      </w:r>
      <w:r w:rsidR="00777DCB" w:rsidRPr="00A52585">
        <w:rPr>
          <w:rFonts w:hint="cs"/>
          <w:sz w:val="24"/>
          <w:szCs w:val="24"/>
          <w:rtl/>
        </w:rPr>
        <w:t xml:space="preserve"> وقد طبع هذا الكتاب في المرة الأولى في القاهرة بإشراف وتحقيق الإمام العلامة محمد زاهد الكوثري رحمه الله تعالى وصور عن هذه الطبعة طبعات كثيرة في مصر، مع الحذف أو الإضافة أو تعديل في التعليقات</w:t>
      </w:r>
      <w:r w:rsidR="00F95886" w:rsidRPr="00A52585">
        <w:rPr>
          <w:rFonts w:hint="cs"/>
          <w:sz w:val="24"/>
          <w:szCs w:val="24"/>
          <w:rtl/>
        </w:rPr>
        <w:t>!</w:t>
      </w:r>
      <w:r w:rsidR="00777DCB" w:rsidRPr="00A52585">
        <w:rPr>
          <w:rFonts w:hint="cs"/>
          <w:sz w:val="24"/>
          <w:szCs w:val="24"/>
          <w:rtl/>
        </w:rPr>
        <w:t xml:space="preserve">! وطبع الطبعة الثانية في دار الإمام النووي بعمان </w:t>
      </w:r>
      <w:r w:rsidR="00777DCB" w:rsidRPr="00A52585">
        <w:rPr>
          <w:sz w:val="24"/>
          <w:szCs w:val="24"/>
        </w:rPr>
        <w:t>–</w:t>
      </w:r>
      <w:r w:rsidR="00777DCB" w:rsidRPr="00A52585">
        <w:rPr>
          <w:rFonts w:hint="cs"/>
          <w:sz w:val="24"/>
          <w:szCs w:val="24"/>
          <w:rtl/>
        </w:rPr>
        <w:t xml:space="preserve"> الأردن- بتحقيق واعتناء الشيخ حسن السقاف وطبع في بيروت لبنان تحت اسم</w:t>
      </w:r>
      <w:r w:rsidRPr="00A52585">
        <w:rPr>
          <w:rFonts w:hint="cs"/>
          <w:sz w:val="24"/>
          <w:szCs w:val="24"/>
          <w:rtl/>
        </w:rPr>
        <w:t xml:space="preserve">: </w:t>
      </w:r>
      <w:r w:rsidR="00777DCB" w:rsidRPr="00A52585">
        <w:rPr>
          <w:rFonts w:hint="cs"/>
          <w:sz w:val="24"/>
          <w:szCs w:val="24"/>
          <w:rtl/>
        </w:rPr>
        <w:t>" الباز الأشهب المنقض على مخالفي المذهب"</w:t>
      </w:r>
      <w:r w:rsidRPr="00A52585">
        <w:rPr>
          <w:rFonts w:hint="cs"/>
          <w:sz w:val="24"/>
          <w:szCs w:val="24"/>
          <w:rtl/>
        </w:rPr>
        <w:t xml:space="preserve"> </w:t>
      </w:r>
      <w:r w:rsidR="00777DCB" w:rsidRPr="00A52585">
        <w:rPr>
          <w:rFonts w:hint="cs"/>
          <w:sz w:val="24"/>
          <w:szCs w:val="24"/>
          <w:rtl/>
        </w:rPr>
        <w:t xml:space="preserve">وكان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قد بنى كلامه في الربع الأول من كتابه- وقبل توسعة الكتاب- على كتاب ابن الجوزي (دفع شبه التشبيه) لذا أكثر </w:t>
      </w:r>
      <w:proofErr w:type="spellStart"/>
      <w:r w:rsidR="00777DCB" w:rsidRPr="00A52585">
        <w:rPr>
          <w:rFonts w:hint="cs"/>
          <w:sz w:val="24"/>
          <w:szCs w:val="24"/>
          <w:rtl/>
        </w:rPr>
        <w:t>النقول</w:t>
      </w:r>
      <w:proofErr w:type="spellEnd"/>
      <w:r w:rsidR="00777DCB" w:rsidRPr="00A52585">
        <w:rPr>
          <w:rFonts w:hint="cs"/>
          <w:sz w:val="24"/>
          <w:szCs w:val="24"/>
          <w:rtl/>
        </w:rPr>
        <w:t xml:space="preserve"> منه</w:t>
      </w:r>
      <w:r w:rsidRPr="00A52585">
        <w:rPr>
          <w:rFonts w:hint="cs"/>
          <w:sz w:val="24"/>
          <w:szCs w:val="24"/>
          <w:rtl/>
        </w:rPr>
        <w:t>]</w:t>
      </w:r>
      <w:r w:rsidRPr="00A52585">
        <w:rPr>
          <w:rFonts w:hint="cs"/>
          <w:sz w:val="24"/>
          <w:rtl/>
        </w:rPr>
        <w:t>:</w:t>
      </w:r>
      <w:r w:rsidR="00777DCB" w:rsidRPr="00A52585">
        <w:rPr>
          <w:rFonts w:hint="cs"/>
          <w:rtl/>
        </w:rPr>
        <w:t xml:space="preserve"> رأيت من تكلم من أصحابنا في الأصول بما لا يصلح</w:t>
      </w:r>
      <w:r w:rsidR="00DB731D" w:rsidRPr="00A52585">
        <w:rPr>
          <w:rFonts w:hint="cs"/>
          <w:rtl/>
        </w:rPr>
        <w:t>،</w:t>
      </w:r>
      <w:r w:rsidR="00777DCB" w:rsidRPr="00A52585">
        <w:rPr>
          <w:rFonts w:hint="cs"/>
          <w:rtl/>
        </w:rPr>
        <w:t xml:space="preserve"> وانتدب للتصنيف </w:t>
      </w:r>
      <w:r w:rsidR="00777DCB" w:rsidRPr="00A52585">
        <w:rPr>
          <w:rFonts w:hint="cs"/>
          <w:rtl/>
        </w:rPr>
        <w:lastRenderedPageBreak/>
        <w:t>وهم ثلاثة</w:t>
      </w:r>
      <w:r w:rsidRPr="00A52585">
        <w:rPr>
          <w:rFonts w:hint="cs"/>
          <w:rtl/>
        </w:rPr>
        <w:t>:</w:t>
      </w:r>
      <w:r w:rsidR="00777DCB" w:rsidRPr="00A52585">
        <w:rPr>
          <w:rFonts w:hint="cs"/>
          <w:rtl/>
        </w:rPr>
        <w:t xml:space="preserve"> ابن حامد صاحبه القاضي </w:t>
      </w:r>
      <w:r w:rsidR="00777DCB" w:rsidRPr="00A52585">
        <w:rPr>
          <w:rFonts w:hint="cs"/>
          <w:spacing w:val="-6"/>
          <w:rtl/>
        </w:rPr>
        <w:t xml:space="preserve">وابن </w:t>
      </w:r>
      <w:proofErr w:type="spellStart"/>
      <w:r w:rsidR="00777DCB" w:rsidRPr="00A52585">
        <w:rPr>
          <w:rFonts w:hint="cs"/>
          <w:spacing w:val="-6"/>
          <w:rtl/>
        </w:rPr>
        <w:t>الزاغوني</w:t>
      </w:r>
      <w:proofErr w:type="spellEnd"/>
      <w:r w:rsidR="00777DCB" w:rsidRPr="00A52585">
        <w:rPr>
          <w:rFonts w:hint="cs"/>
          <w:spacing w:val="-6"/>
          <w:rtl/>
        </w:rPr>
        <w:t xml:space="preserve"> صنفوا</w:t>
      </w:r>
      <w:r w:rsidRPr="00A52585">
        <w:rPr>
          <w:rFonts w:hint="cs"/>
          <w:spacing w:val="-14"/>
          <w:rtl/>
        </w:rPr>
        <w:t xml:space="preserve"> </w:t>
      </w:r>
      <w:r w:rsidR="00777DCB" w:rsidRPr="00A52585">
        <w:rPr>
          <w:rFonts w:hint="cs"/>
          <w:spacing w:val="-14"/>
          <w:rtl/>
        </w:rPr>
        <w:t>كتبا</w:t>
      </w:r>
      <w:r w:rsidRPr="00A52585">
        <w:rPr>
          <w:rFonts w:hint="cs"/>
          <w:spacing w:val="-14"/>
          <w:rtl/>
        </w:rPr>
        <w:t xml:space="preserve"> </w:t>
      </w:r>
      <w:r w:rsidR="00777DCB" w:rsidRPr="00A52585">
        <w:rPr>
          <w:rFonts w:hint="cs"/>
          <w:spacing w:val="-14"/>
          <w:rtl/>
        </w:rPr>
        <w:t>شا</w:t>
      </w:r>
      <w:r w:rsidR="00777DCB" w:rsidRPr="00A52585">
        <w:rPr>
          <w:rFonts w:hint="cs"/>
          <w:spacing w:val="-6"/>
          <w:rtl/>
        </w:rPr>
        <w:t>نوا</w:t>
      </w:r>
      <w:r w:rsidRPr="00A52585">
        <w:rPr>
          <w:rFonts w:hint="cs"/>
          <w:spacing w:val="-6"/>
          <w:rtl/>
        </w:rPr>
        <w:t xml:space="preserve"> </w:t>
      </w:r>
      <w:r w:rsidR="00777DCB" w:rsidRPr="00A52585">
        <w:rPr>
          <w:rFonts w:hint="cs"/>
          <w:spacing w:val="-16"/>
          <w:rtl/>
        </w:rPr>
        <w:t xml:space="preserve">بها </w:t>
      </w:r>
      <w:r w:rsidR="00777DCB" w:rsidRPr="00A52585">
        <w:rPr>
          <w:rFonts w:hint="cs"/>
          <w:spacing w:val="-6"/>
          <w:rtl/>
        </w:rPr>
        <w:t>المذهب</w:t>
      </w:r>
      <w:r w:rsidR="00DB731D" w:rsidRPr="00A52585">
        <w:rPr>
          <w:rFonts w:hint="cs"/>
          <w:spacing w:val="-6"/>
          <w:rtl/>
        </w:rPr>
        <w:t>،</w:t>
      </w:r>
      <w:r w:rsidR="00777DCB" w:rsidRPr="00A52585">
        <w:rPr>
          <w:rFonts w:hint="cs"/>
          <w:spacing w:val="-6"/>
          <w:rtl/>
        </w:rPr>
        <w:t xml:space="preserve"> ورأ</w:t>
      </w:r>
      <w:r w:rsidR="00777DCB" w:rsidRPr="00A52585">
        <w:rPr>
          <w:rFonts w:hint="cs"/>
          <w:spacing w:val="-12"/>
          <w:rtl/>
        </w:rPr>
        <w:t>تهم</w:t>
      </w:r>
      <w:r w:rsidR="00777DCB" w:rsidRPr="00A52585">
        <w:rPr>
          <w:rFonts w:hint="cs"/>
          <w:spacing w:val="-6"/>
          <w:rtl/>
        </w:rPr>
        <w:t xml:space="preserve"> </w:t>
      </w:r>
      <w:r w:rsidR="00777DCB" w:rsidRPr="00A52585">
        <w:rPr>
          <w:rFonts w:hint="cs"/>
          <w:spacing w:val="-14"/>
          <w:rtl/>
        </w:rPr>
        <w:t>قد نز</w:t>
      </w:r>
      <w:r w:rsidR="00777DCB" w:rsidRPr="00A52585">
        <w:rPr>
          <w:rFonts w:hint="cs"/>
          <w:spacing w:val="-6"/>
          <w:rtl/>
        </w:rPr>
        <w:t xml:space="preserve">لوا </w:t>
      </w:r>
      <w:r w:rsidR="00777DCB" w:rsidRPr="00A52585">
        <w:rPr>
          <w:rFonts w:hint="cs"/>
          <w:spacing w:val="-16"/>
          <w:rtl/>
        </w:rPr>
        <w:t>إلى مرتبة</w:t>
      </w:r>
      <w:r w:rsidR="00777DCB" w:rsidRPr="00A52585">
        <w:rPr>
          <w:rFonts w:hint="cs"/>
          <w:spacing w:val="-6"/>
          <w:rtl/>
        </w:rPr>
        <w:t xml:space="preserve"> العوام</w:t>
      </w:r>
      <w:r w:rsidR="00DB731D" w:rsidRPr="00A52585">
        <w:rPr>
          <w:rFonts w:hint="cs"/>
          <w:spacing w:val="-6"/>
          <w:rtl/>
        </w:rPr>
        <w:t>،</w:t>
      </w:r>
      <w:r w:rsidR="00777DCB" w:rsidRPr="00A52585">
        <w:rPr>
          <w:rFonts w:hint="cs"/>
          <w:rtl/>
        </w:rPr>
        <w:t xml:space="preserve"> فحملوا </w:t>
      </w:r>
      <w:r w:rsidR="00777DCB" w:rsidRPr="00A52585">
        <w:rPr>
          <w:rFonts w:hint="cs"/>
          <w:spacing w:val="-6"/>
          <w:rtl/>
        </w:rPr>
        <w:t xml:space="preserve">الصفات على مقتضى الحس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لأن العوام لم تتمرس على إعمال عقولهم وضبط أفكارهم فجمدوا على تخيل وتصور المحسوسات فقط ولا تأنس نفوسهم بإدراك أمور تجل عن أن ينالها حس أو خيال</w:t>
      </w:r>
      <w:r w:rsidR="00DB731D" w:rsidRPr="00A52585">
        <w:rPr>
          <w:rFonts w:hint="cs"/>
          <w:sz w:val="24"/>
          <w:szCs w:val="24"/>
          <w:rtl/>
        </w:rPr>
        <w:t>،</w:t>
      </w:r>
      <w:r w:rsidR="00777DCB" w:rsidRPr="00A52585">
        <w:rPr>
          <w:rFonts w:hint="cs"/>
          <w:sz w:val="24"/>
          <w:szCs w:val="24"/>
          <w:rtl/>
        </w:rPr>
        <w:t xml:space="preserve"> وقد شرح ذلك الإمام أبو محمد عبد الجليل القصري وذكر سببين لضلال الخلق فقال</w:t>
      </w:r>
      <w:r w:rsidRPr="00A52585">
        <w:rPr>
          <w:rFonts w:hint="cs"/>
          <w:sz w:val="24"/>
          <w:szCs w:val="24"/>
          <w:rtl/>
        </w:rPr>
        <w:t>:</w:t>
      </w:r>
      <w:r w:rsidR="00777DCB" w:rsidRPr="00A52585">
        <w:rPr>
          <w:rFonts w:hint="cs"/>
          <w:sz w:val="24"/>
          <w:szCs w:val="24"/>
          <w:rtl/>
        </w:rPr>
        <w:t xml:space="preserve"> من أجل التباس صفات الخلق عليهم بصفات الخالق، ومن أجل غيبة الآخرة وحضور الدنيا</w:t>
      </w:r>
      <w:r w:rsidRPr="00A52585">
        <w:rPr>
          <w:rFonts w:hint="cs"/>
          <w:sz w:val="24"/>
          <w:szCs w:val="24"/>
          <w:rtl/>
        </w:rPr>
        <w:t>:</w:t>
      </w:r>
      <w:r w:rsidR="00777DCB" w:rsidRPr="00A52585">
        <w:rPr>
          <w:rFonts w:hint="cs"/>
          <w:sz w:val="24"/>
          <w:szCs w:val="24"/>
          <w:rtl/>
        </w:rPr>
        <w:t xml:space="preserve"> لأنه لما نظر الروح على ثقب الحواس إلى معلومات المحسوسات في هذا العالم رسخت صورها في خياله</w:t>
      </w:r>
      <w:r w:rsidRPr="00A52585">
        <w:rPr>
          <w:rFonts w:hint="cs"/>
          <w:sz w:val="24"/>
          <w:szCs w:val="24"/>
          <w:rtl/>
        </w:rPr>
        <w:t xml:space="preserve"> </w:t>
      </w:r>
      <w:r w:rsidR="00777DCB" w:rsidRPr="00A52585">
        <w:rPr>
          <w:rFonts w:hint="cs"/>
          <w:sz w:val="24"/>
          <w:szCs w:val="24"/>
          <w:rtl/>
        </w:rPr>
        <w:t>وتنتقش منطبعة في ذاته فإذا ذكر له مذكور من صفات الباري حمله على ما عهد لأنه لم يعهد إلا ذلك، مثل اليد إذا ذكر له حمله على الجارحة أو البصر أو الوجه أو أي مذكور ذكر له من علم أو غيره حمله على ما عهد وكذلك الآخرة لما كانت غائبة والدنيا حاضرة سبق الحاضر إلى نظر الخلق فاشتغلوا به عن الغائب أهـ بتصرف من (شعب الإيمان) للقصرى ط العلمية ص 60-61</w:t>
      </w:r>
      <w:r w:rsidRPr="00A52585">
        <w:rPr>
          <w:rFonts w:hint="cs"/>
          <w:sz w:val="24"/>
          <w:szCs w:val="24"/>
          <w:rtl/>
        </w:rPr>
        <w:t>]</w:t>
      </w:r>
      <w:r w:rsidR="00DB731D" w:rsidRPr="00A52585">
        <w:rPr>
          <w:rFonts w:hint="cs"/>
          <w:sz w:val="24"/>
          <w:szCs w:val="24"/>
          <w:rtl/>
        </w:rPr>
        <w:t>،</w:t>
      </w:r>
      <w:r w:rsidR="00777DCB" w:rsidRPr="00A52585">
        <w:rPr>
          <w:rFonts w:hint="cs"/>
          <w:spacing w:val="-6"/>
          <w:rtl/>
        </w:rPr>
        <w:t xml:space="preserve"> فسمعوا أن الله سبحانه وتعالى خلق آدم </w:t>
      </w:r>
      <w:r w:rsidR="00777DCB" w:rsidRPr="00A52585">
        <w:rPr>
          <w:rFonts w:hint="cs"/>
          <w:spacing w:val="-12"/>
          <w:rtl/>
        </w:rPr>
        <w:t>على صورته</w:t>
      </w:r>
      <w:r w:rsidR="00777DCB" w:rsidRPr="00A52585">
        <w:rPr>
          <w:rFonts w:hint="cs"/>
          <w:spacing w:val="-6"/>
          <w:rtl/>
        </w:rPr>
        <w:t xml:space="preserve"> فأثبتوا </w:t>
      </w:r>
      <w:r w:rsidR="00777DCB" w:rsidRPr="00A52585">
        <w:rPr>
          <w:rFonts w:hint="cs"/>
          <w:spacing w:val="-16"/>
          <w:rtl/>
        </w:rPr>
        <w:t>له صورة ووجها</w:t>
      </w:r>
      <w:r w:rsidR="00777DCB" w:rsidRPr="00A52585">
        <w:rPr>
          <w:rFonts w:hint="cs"/>
          <w:spacing w:val="-6"/>
          <w:rtl/>
        </w:rPr>
        <w:t xml:space="preserve"> زائدا على الذات </w:t>
      </w:r>
      <w:r w:rsidR="00777DCB" w:rsidRPr="00A52585">
        <w:rPr>
          <w:rFonts w:hint="cs"/>
          <w:spacing w:val="-18"/>
          <w:rtl/>
        </w:rPr>
        <w:t>وعينين</w:t>
      </w:r>
      <w:r w:rsidR="00777DCB" w:rsidRPr="00A52585">
        <w:rPr>
          <w:rFonts w:hint="cs"/>
          <w:spacing w:val="-14"/>
          <w:rtl/>
        </w:rPr>
        <w:t xml:space="preserve"> وفما </w:t>
      </w:r>
      <w:r w:rsidR="00777DCB" w:rsidRPr="00A52585">
        <w:rPr>
          <w:rFonts w:hint="cs"/>
          <w:spacing w:val="-6"/>
          <w:rtl/>
        </w:rPr>
        <w:t>ولهوات وأضراسًا ويدين وأصابعًا وكفا وخنصرا وإبهاما وصدرا وفخذا وساقين ورجلين</w:t>
      </w:r>
      <w:r w:rsidR="00DB731D" w:rsidRPr="00A52585">
        <w:rPr>
          <w:rFonts w:hint="cs"/>
          <w:spacing w:val="-6"/>
          <w:rtl/>
        </w:rPr>
        <w:t>،</w:t>
      </w:r>
      <w:r w:rsidR="00777DCB" w:rsidRPr="00A52585">
        <w:rPr>
          <w:rFonts w:hint="cs"/>
          <w:spacing w:val="-6"/>
          <w:rtl/>
        </w:rPr>
        <w:t xml:space="preserve"> </w:t>
      </w:r>
      <w:r w:rsidR="00777DCB" w:rsidRPr="00A52585">
        <w:rPr>
          <w:rFonts w:hint="cs"/>
          <w:rtl/>
        </w:rPr>
        <w:t>وقالوا</w:t>
      </w:r>
      <w:r w:rsidRPr="00A52585">
        <w:rPr>
          <w:rFonts w:hint="cs"/>
          <w:rtl/>
        </w:rPr>
        <w:t>:</w:t>
      </w:r>
      <w:r w:rsidR="00777DCB" w:rsidRPr="00A52585">
        <w:rPr>
          <w:rFonts w:hint="cs"/>
          <w:rtl/>
        </w:rPr>
        <w:t xml:space="preserve"> ما سمعنا بذكر الرأس</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يجوز أن يمس ويمس</w:t>
      </w:r>
      <w:r w:rsidR="00DB731D" w:rsidRPr="00A52585">
        <w:rPr>
          <w:rFonts w:hint="cs"/>
          <w:rtl/>
        </w:rPr>
        <w:t>،</w:t>
      </w:r>
      <w:r w:rsidR="00777DCB" w:rsidRPr="00A52585">
        <w:rPr>
          <w:rFonts w:hint="cs"/>
          <w:rtl/>
        </w:rPr>
        <w:t xml:space="preserve"> ويدني العبد من ذاته</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ويتنفس</w:t>
      </w:r>
      <w:r w:rsidR="00DB731D" w:rsidRPr="00A52585">
        <w:rPr>
          <w:rFonts w:hint="cs"/>
          <w:rtl/>
        </w:rPr>
        <w:t>،</w:t>
      </w:r>
      <w:r w:rsidR="00777DCB" w:rsidRPr="00A52585">
        <w:rPr>
          <w:rFonts w:hint="cs"/>
          <w:rtl/>
        </w:rPr>
        <w:t xml:space="preserve"> ثم إنهم يرضون العوام بقولهم لا كما نعقل</w:t>
      </w:r>
      <w:r w:rsidR="00DB731D" w:rsidRPr="00A52585">
        <w:rPr>
          <w:rFonts w:hint="cs"/>
          <w:rtl/>
        </w:rPr>
        <w:t>،</w:t>
      </w:r>
      <w:r w:rsidR="00777DCB" w:rsidRPr="00A52585">
        <w:rPr>
          <w:rFonts w:hint="cs"/>
          <w:rtl/>
        </w:rPr>
        <w:t xml:space="preserve"> وقد أخذوا بالظاهر في الأسماء والإضافات فسموا الصفات تسمية مبتدعة لا دليل لهم في ذلك من النقل ولا من العقل ولم يلتفتوا إلى النصوص </w:t>
      </w:r>
      <w:proofErr w:type="spellStart"/>
      <w:r w:rsidR="00777DCB" w:rsidRPr="00A52585">
        <w:rPr>
          <w:rFonts w:hint="cs"/>
          <w:rtl/>
        </w:rPr>
        <w:t>الصارفة</w:t>
      </w:r>
      <w:proofErr w:type="spellEnd"/>
      <w:r w:rsidR="00777DCB" w:rsidRPr="00A52585">
        <w:rPr>
          <w:rFonts w:hint="cs"/>
          <w:rtl/>
        </w:rPr>
        <w:t xml:space="preserve"> عن الظواهر إلى المعاني الواجبة لله</w:t>
      </w:r>
      <w:r w:rsidRPr="00A52585">
        <w:rPr>
          <w:rFonts w:hint="cs"/>
          <w:rtl/>
        </w:rPr>
        <w:t xml:space="preserve"> </w:t>
      </w:r>
      <w:r w:rsidR="00777DCB" w:rsidRPr="00A52585">
        <w:rPr>
          <w:rFonts w:hint="cs"/>
          <w:rtl/>
        </w:rPr>
        <w:t>سبحانه وتعالى</w:t>
      </w:r>
      <w:r w:rsidR="00DB731D" w:rsidRPr="00A52585">
        <w:rPr>
          <w:rFonts w:hint="cs"/>
          <w:rtl/>
        </w:rPr>
        <w:t>،</w:t>
      </w:r>
      <w:r w:rsidR="00777DCB" w:rsidRPr="00A52585">
        <w:rPr>
          <w:rFonts w:hint="cs"/>
          <w:rtl/>
        </w:rPr>
        <w:t xml:space="preserve"> ولا إلغاء ما يوجبه الظواهر من سمات الحدث</w:t>
      </w:r>
      <w:r w:rsidR="00DB731D" w:rsidRPr="00A52585">
        <w:rPr>
          <w:rFonts w:hint="cs"/>
          <w:rtl/>
        </w:rPr>
        <w:t>،</w:t>
      </w:r>
      <w:r w:rsidR="00777DCB" w:rsidRPr="00A52585">
        <w:rPr>
          <w:rFonts w:hint="cs"/>
          <w:rtl/>
        </w:rPr>
        <w:t xml:space="preserve"> ولم يقنعوا أن يقولوا صفة فعل حتى قالوا صفة ذات</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صفات الأفعال هي عبارة عن </w:t>
      </w:r>
      <w:proofErr w:type="spellStart"/>
      <w:r w:rsidR="00777DCB" w:rsidRPr="00A52585">
        <w:rPr>
          <w:rFonts w:hint="cs"/>
          <w:sz w:val="24"/>
          <w:szCs w:val="24"/>
          <w:rtl/>
        </w:rPr>
        <w:t>التعلقات</w:t>
      </w:r>
      <w:proofErr w:type="spellEnd"/>
      <w:r w:rsidR="00777DCB" w:rsidRPr="00A52585">
        <w:rPr>
          <w:rFonts w:hint="cs"/>
          <w:sz w:val="24"/>
          <w:szCs w:val="24"/>
          <w:rtl/>
        </w:rPr>
        <w:t xml:space="preserve"> </w:t>
      </w:r>
      <w:proofErr w:type="spellStart"/>
      <w:r w:rsidR="00777DCB" w:rsidRPr="00A52585">
        <w:rPr>
          <w:rFonts w:hint="cs"/>
          <w:sz w:val="24"/>
          <w:szCs w:val="24"/>
          <w:rtl/>
        </w:rPr>
        <w:t>التنجيزية</w:t>
      </w:r>
      <w:proofErr w:type="spellEnd"/>
      <w:r w:rsidR="00777DCB" w:rsidRPr="00A52585">
        <w:rPr>
          <w:rFonts w:hint="cs"/>
          <w:sz w:val="24"/>
          <w:szCs w:val="24"/>
          <w:rtl/>
        </w:rPr>
        <w:t xml:space="preserve"> أي </w:t>
      </w:r>
      <w:proofErr w:type="spellStart"/>
      <w:r w:rsidR="00777DCB" w:rsidRPr="00A52585">
        <w:rPr>
          <w:rFonts w:hint="cs"/>
          <w:sz w:val="24"/>
          <w:szCs w:val="24"/>
          <w:rtl/>
        </w:rPr>
        <w:t>التعلقات</w:t>
      </w:r>
      <w:proofErr w:type="spellEnd"/>
      <w:r w:rsidR="00777DCB" w:rsidRPr="00A52585">
        <w:rPr>
          <w:rFonts w:hint="cs"/>
          <w:sz w:val="24"/>
          <w:szCs w:val="24"/>
          <w:rtl/>
        </w:rPr>
        <w:t xml:space="preserve"> بالفعل للقدرة كإيجاد زيد وإعدام عمرو بالفعل وكلها حادثة لأنها جائزة وكل جائز حادث، فصفات الأفعال حادثة وليست من الصفات القائمة بذاته تعالى انظر تهذيب شرح السنوسية للفاضل سعيد فوده ص91 ويقول الإمام فخر الدين الرازي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 أهـ انظر له (شرح أسماء الله الحسنى)</w:t>
      </w:r>
      <w:r w:rsidRPr="00A52585">
        <w:rPr>
          <w:rFonts w:hint="cs"/>
          <w:sz w:val="24"/>
          <w:szCs w:val="24"/>
          <w:rtl/>
        </w:rPr>
        <w:t>]</w:t>
      </w:r>
      <w:r w:rsidR="00DB731D" w:rsidRPr="00A52585">
        <w:rPr>
          <w:rFonts w:hint="cs"/>
          <w:sz w:val="24"/>
          <w:szCs w:val="24"/>
          <w:rtl/>
        </w:rPr>
        <w:t>،</w:t>
      </w:r>
      <w:r w:rsidR="00777DCB" w:rsidRPr="00A52585">
        <w:rPr>
          <w:rFonts w:hint="cs"/>
          <w:rtl/>
        </w:rPr>
        <w:t xml:space="preserve"> ثم لمّا أثبتوا أنها صفات</w:t>
      </w:r>
      <w:r w:rsidR="00DB731D"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لا نحملها على ما توجبه اللغة</w:t>
      </w:r>
      <w:r w:rsidR="00DB731D" w:rsidRPr="00A52585">
        <w:rPr>
          <w:rFonts w:hint="cs"/>
          <w:rtl/>
        </w:rPr>
        <w:t>،</w:t>
      </w:r>
      <w:r w:rsidR="00777DCB" w:rsidRPr="00A52585">
        <w:rPr>
          <w:rFonts w:hint="cs"/>
          <w:rtl/>
        </w:rPr>
        <w:t xml:space="preserve"> مثل اليد على النعمة أو </w:t>
      </w:r>
      <w:r w:rsidR="00777DCB" w:rsidRPr="00A52585">
        <w:rPr>
          <w:rFonts w:hint="cs"/>
          <w:spacing w:val="-6"/>
          <w:rtl/>
        </w:rPr>
        <w:t xml:space="preserve">القدرة ولا المجيء على معنى البر واللطف ولا الساق على الشدة ونحو ذلك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والقوة بمعنى القدرة يقول الإمام أبو محمد عبد الله بن محمد بن علي القرشي</w:t>
      </w:r>
      <w:r w:rsidRPr="00A52585">
        <w:rPr>
          <w:rFonts w:hint="cs"/>
          <w:sz w:val="24"/>
          <w:szCs w:val="24"/>
          <w:rtl/>
        </w:rPr>
        <w:t xml:space="preserve">: </w:t>
      </w:r>
      <w:r w:rsidR="00777DCB" w:rsidRPr="00A52585">
        <w:rPr>
          <w:rFonts w:hint="cs"/>
          <w:sz w:val="24"/>
          <w:szCs w:val="24"/>
          <w:rtl/>
        </w:rPr>
        <w:t>" يد الله فوق أيديهم</w:t>
      </w:r>
      <w:r w:rsidRPr="00A52585">
        <w:rPr>
          <w:rFonts w:hint="cs"/>
          <w:sz w:val="24"/>
          <w:szCs w:val="24"/>
          <w:rtl/>
        </w:rPr>
        <w:t>:</w:t>
      </w:r>
      <w:r w:rsidR="00777DCB" w:rsidRPr="00A52585">
        <w:rPr>
          <w:rFonts w:hint="cs"/>
          <w:sz w:val="24"/>
          <w:szCs w:val="24"/>
          <w:rtl/>
        </w:rPr>
        <w:t xml:space="preserve"> ليست يد الجارحة وإنما هي يد القوة إذ الباري سبحانه منزه عن ذلك، وإنما لما كانت اليد محلا للبطش والقوة كان مراده </w:t>
      </w:r>
      <w:r w:rsidR="00777DCB" w:rsidRPr="00A52585">
        <w:rPr>
          <w:rFonts w:hint="cs"/>
          <w:bCs/>
          <w:sz w:val="24"/>
          <w:szCs w:val="24"/>
          <w:u w:val="single"/>
          <w:rtl/>
        </w:rPr>
        <w:t xml:space="preserve">لمعناها لا لذاتها إذ اليد الشلاء لا منفعة فيها </w:t>
      </w:r>
      <w:r w:rsidR="00777DCB" w:rsidRPr="00A52585">
        <w:rPr>
          <w:rFonts w:hint="cs"/>
          <w:sz w:val="24"/>
          <w:szCs w:val="24"/>
          <w:rtl/>
        </w:rPr>
        <w:t>فلما تقرر ذلك خاطب عبيده بما يفهمونه من القوة والمنعة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ثم تحدث رضي الله عنه عن تعدد تأويلات (اليد) باختلاف السياق والقرائن فقال رحمه الله</w:t>
      </w:r>
      <w:r w:rsidRPr="00A52585">
        <w:rPr>
          <w:rFonts w:hint="cs"/>
          <w:sz w:val="24"/>
          <w:szCs w:val="24"/>
          <w:rtl/>
        </w:rPr>
        <w:t xml:space="preserve">: </w:t>
      </w:r>
      <w:r w:rsidR="00777DCB" w:rsidRPr="00A52585">
        <w:rPr>
          <w:rFonts w:hint="cs"/>
          <w:sz w:val="24"/>
          <w:szCs w:val="24"/>
          <w:rtl/>
        </w:rPr>
        <w:t>" فإن قيل</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فقد ثنى اليد في موضع آخر فقال</w:t>
      </w:r>
      <w:r w:rsidRPr="00A52585">
        <w:rPr>
          <w:rFonts w:hint="cs"/>
          <w:spacing w:val="-6"/>
          <w:sz w:val="24"/>
          <w:szCs w:val="24"/>
          <w:rtl/>
        </w:rPr>
        <w:t>:</w:t>
      </w:r>
      <w:r w:rsidR="00777DCB" w:rsidRPr="00A52585">
        <w:rPr>
          <w:rFonts w:hint="cs"/>
          <w:spacing w:val="-6"/>
          <w:sz w:val="24"/>
          <w:szCs w:val="24"/>
          <w:rtl/>
        </w:rPr>
        <w:t xml:space="preserve"> (ما منعك أن تسجد لما خلقت بيدي استكبرت أم كنت من العالين) وقال في الجمع</w:t>
      </w:r>
      <w:r w:rsidRPr="00A52585">
        <w:rPr>
          <w:rFonts w:hint="cs"/>
          <w:spacing w:val="-6"/>
          <w:sz w:val="24"/>
          <w:szCs w:val="24"/>
          <w:rtl/>
        </w:rPr>
        <w:t>:</w:t>
      </w:r>
      <w:r w:rsidR="00777DCB" w:rsidRPr="00A52585">
        <w:rPr>
          <w:rFonts w:hint="cs"/>
          <w:spacing w:val="-6"/>
          <w:sz w:val="24"/>
          <w:szCs w:val="24"/>
          <w:rtl/>
        </w:rPr>
        <w:t xml:space="preserve"> (أو لم يروا أنا خلقنا لهم مما عملت أيدينا أنعاما فهم لها ما لكون وذللناها لهم فمنها ركوبهم ومنها يأكلون ولهم فيها منافع ومشارب أفلا يشكرون) وأنتــم قلتم أن المــراد باليد</w:t>
      </w:r>
      <w:r w:rsidRPr="00A52585">
        <w:rPr>
          <w:rFonts w:hint="cs"/>
          <w:spacing w:val="-6"/>
          <w:sz w:val="24"/>
          <w:szCs w:val="24"/>
          <w:rtl/>
        </w:rPr>
        <w:t>:</w:t>
      </w:r>
      <w:r w:rsidR="00777DCB" w:rsidRPr="00A52585">
        <w:rPr>
          <w:rFonts w:hint="cs"/>
          <w:spacing w:val="-6"/>
          <w:sz w:val="24"/>
          <w:szCs w:val="24"/>
          <w:rtl/>
        </w:rPr>
        <w:t xml:space="preserve"> القوة</w:t>
      </w:r>
      <w:r w:rsidRPr="00A52585">
        <w:rPr>
          <w:rFonts w:hint="cs"/>
          <w:spacing w:val="-6"/>
          <w:sz w:val="24"/>
          <w:szCs w:val="24"/>
          <w:rtl/>
        </w:rPr>
        <w:t>:</w:t>
      </w:r>
      <w:r w:rsidR="00777DCB" w:rsidRPr="00A52585">
        <w:rPr>
          <w:rFonts w:hint="cs"/>
          <w:spacing w:val="-6"/>
          <w:sz w:val="24"/>
          <w:szCs w:val="24"/>
          <w:rtl/>
        </w:rPr>
        <w:t xml:space="preserve"> والقوة </w:t>
      </w:r>
      <w:r w:rsidR="00777DCB" w:rsidRPr="00A52585">
        <w:rPr>
          <w:rFonts w:hint="cs"/>
          <w:spacing w:val="-6"/>
          <w:sz w:val="24"/>
          <w:szCs w:val="24"/>
          <w:rtl/>
        </w:rPr>
        <w:lastRenderedPageBreak/>
        <w:t>شيء واحــد فكيف يتثنـى</w:t>
      </w:r>
      <w:r w:rsidRPr="00A52585">
        <w:rPr>
          <w:rFonts w:hint="cs"/>
          <w:spacing w:val="-6"/>
          <w:sz w:val="24"/>
          <w:szCs w:val="24"/>
          <w:rtl/>
        </w:rPr>
        <w:t xml:space="preserve"> </w:t>
      </w:r>
      <w:r w:rsidR="00777DCB" w:rsidRPr="00A52585">
        <w:rPr>
          <w:rFonts w:hint="cs"/>
          <w:spacing w:val="-6"/>
          <w:sz w:val="24"/>
          <w:szCs w:val="24"/>
          <w:rtl/>
        </w:rPr>
        <w:t>ويجمع</w:t>
      </w:r>
      <w:r w:rsidR="00F95886" w:rsidRPr="00A52585">
        <w:rPr>
          <w:rFonts w:hint="cs"/>
          <w:spacing w:val="-6"/>
          <w:sz w:val="24"/>
          <w:szCs w:val="24"/>
          <w:rtl/>
        </w:rPr>
        <w:t>؟</w:t>
      </w:r>
      <w:r w:rsidR="00777DCB" w:rsidRPr="00A52585">
        <w:rPr>
          <w:rFonts w:hint="cs"/>
          <w:spacing w:val="-6"/>
          <w:sz w:val="24"/>
          <w:szCs w:val="24"/>
          <w:rtl/>
        </w:rPr>
        <w:t xml:space="preserve"> فالجواب عن ذلك</w:t>
      </w:r>
      <w:r w:rsidRPr="00A52585">
        <w:rPr>
          <w:rFonts w:hint="cs"/>
          <w:spacing w:val="-6"/>
          <w:sz w:val="24"/>
          <w:szCs w:val="24"/>
          <w:rtl/>
        </w:rPr>
        <w:t>:</w:t>
      </w:r>
      <w:r w:rsidR="00777DCB" w:rsidRPr="00A52585">
        <w:rPr>
          <w:rFonts w:hint="cs"/>
          <w:spacing w:val="-6"/>
          <w:sz w:val="24"/>
          <w:szCs w:val="24"/>
          <w:rtl/>
        </w:rPr>
        <w:t xml:space="preserve"> </w:t>
      </w:r>
      <w:r w:rsidRPr="00A52585">
        <w:rPr>
          <w:rFonts w:hint="cs"/>
          <w:sz w:val="24"/>
          <w:szCs w:val="24"/>
          <w:rtl/>
        </w:rPr>
        <w:t>[</w:t>
      </w:r>
      <w:r w:rsidR="00777DCB" w:rsidRPr="00A52585">
        <w:rPr>
          <w:rFonts w:hint="cs"/>
          <w:sz w:val="24"/>
          <w:szCs w:val="24"/>
          <w:rtl/>
        </w:rPr>
        <w:t>أ</w:t>
      </w:r>
      <w:r w:rsidRPr="00A52585">
        <w:rPr>
          <w:rFonts w:hint="cs"/>
          <w:sz w:val="24"/>
          <w:szCs w:val="24"/>
          <w:rtl/>
        </w:rPr>
        <w:t>]</w:t>
      </w:r>
      <w:r w:rsidR="00777DCB" w:rsidRPr="00A52585">
        <w:rPr>
          <w:rFonts w:hint="cs"/>
          <w:sz w:val="24"/>
          <w:szCs w:val="24"/>
          <w:rtl/>
        </w:rPr>
        <w:t xml:space="preserve"> أنه حيث أفرد أراد الاتصاف بالقوة على كل ذي قوة من سائر المخلوقات كما بين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ب</w:t>
      </w:r>
      <w:r w:rsidRPr="00A52585">
        <w:rPr>
          <w:rFonts w:hint="cs"/>
          <w:sz w:val="24"/>
          <w:szCs w:val="24"/>
          <w:rtl/>
        </w:rPr>
        <w:t>]</w:t>
      </w:r>
      <w:r w:rsidR="00777DCB" w:rsidRPr="00A52585">
        <w:rPr>
          <w:rFonts w:hint="cs"/>
          <w:sz w:val="24"/>
          <w:szCs w:val="24"/>
          <w:rtl/>
        </w:rPr>
        <w:t xml:space="preserve"> وحيث ثنى في آية آدم عليه السلام فقال (لما خلقت بيدي) وذلك أنه لمّا قسم ذرية آدم عليه السلام إلى قسمين في السعادة والشقاوة </w:t>
      </w:r>
      <w:r w:rsidRPr="00A52585">
        <w:rPr>
          <w:rFonts w:hint="cs"/>
          <w:sz w:val="24"/>
          <w:szCs w:val="24"/>
          <w:rtl/>
        </w:rPr>
        <w:t>[</w:t>
      </w:r>
      <w:r w:rsidR="00777DCB" w:rsidRPr="00A52585">
        <w:rPr>
          <w:rFonts w:hint="cs"/>
          <w:sz w:val="24"/>
          <w:szCs w:val="24"/>
          <w:rtl/>
        </w:rPr>
        <w:t>بين</w:t>
      </w:r>
      <w:r w:rsidRPr="00A52585">
        <w:rPr>
          <w:rFonts w:hint="cs"/>
          <w:sz w:val="24"/>
          <w:szCs w:val="24"/>
          <w:rtl/>
        </w:rPr>
        <w:t>]</w:t>
      </w:r>
      <w:r w:rsidR="00777DCB" w:rsidRPr="00A52585">
        <w:rPr>
          <w:rFonts w:hint="cs"/>
          <w:sz w:val="24"/>
          <w:szCs w:val="24"/>
          <w:rtl/>
        </w:rPr>
        <w:t xml:space="preserve"> أن كلا منهما بتقديره وأطلق التثنية باعتبار القسمين المخلوقين فثنى باعتبار </w:t>
      </w:r>
      <w:proofErr w:type="spellStart"/>
      <w:r w:rsidR="00777DCB" w:rsidRPr="00A52585">
        <w:rPr>
          <w:rFonts w:hint="cs"/>
          <w:sz w:val="24"/>
          <w:szCs w:val="24"/>
          <w:rtl/>
        </w:rPr>
        <w:t>المخلوقية</w:t>
      </w:r>
      <w:proofErr w:type="spellEnd"/>
      <w:r w:rsidR="00777DCB" w:rsidRPr="00A52585">
        <w:rPr>
          <w:rFonts w:hint="cs"/>
          <w:sz w:val="24"/>
          <w:szCs w:val="24"/>
          <w:rtl/>
        </w:rPr>
        <w:t xml:space="preserve"> لا باعتبار أصل الخلق</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ج</w:t>
      </w:r>
      <w:r w:rsidRPr="00A52585">
        <w:rPr>
          <w:rFonts w:hint="cs"/>
          <w:sz w:val="24"/>
          <w:szCs w:val="24"/>
          <w:rtl/>
        </w:rPr>
        <w:t>]</w:t>
      </w:r>
      <w:r w:rsidR="00777DCB" w:rsidRPr="00A52585">
        <w:rPr>
          <w:rFonts w:hint="cs"/>
          <w:sz w:val="24"/>
          <w:szCs w:val="24"/>
          <w:rtl/>
        </w:rPr>
        <w:t xml:space="preserve"> وكذلك يفهم من الجمع في الآية الأخرى حيث تعددت المخلوقات من سائر </w:t>
      </w:r>
      <w:proofErr w:type="spellStart"/>
      <w:r w:rsidR="00777DCB" w:rsidRPr="00A52585">
        <w:rPr>
          <w:rFonts w:hint="cs"/>
          <w:sz w:val="24"/>
          <w:szCs w:val="24"/>
          <w:rtl/>
        </w:rPr>
        <w:t>الانتفاعات</w:t>
      </w:r>
      <w:proofErr w:type="spellEnd"/>
      <w:r w:rsidR="00777DCB" w:rsidRPr="00A52585">
        <w:rPr>
          <w:rFonts w:hint="cs"/>
          <w:sz w:val="24"/>
          <w:szCs w:val="24"/>
          <w:rtl/>
        </w:rPr>
        <w:t xml:space="preserve"> كما قال (لكم فيها دفء ومنافع ومنها تأكلون، ولكم فيها جمال حين تريحون وحين تسرحون وتحمل </w:t>
      </w:r>
      <w:r w:rsidR="00777DCB" w:rsidRPr="00A52585">
        <w:rPr>
          <w:sz w:val="24"/>
          <w:szCs w:val="24"/>
        </w:rPr>
        <w:t>…</w:t>
      </w:r>
      <w:r w:rsidR="00777DCB" w:rsidRPr="00A52585">
        <w:rPr>
          <w:rFonts w:hint="cs"/>
          <w:sz w:val="24"/>
          <w:szCs w:val="24"/>
          <w:rtl/>
        </w:rPr>
        <w:t>) لما فيه من المنة بخلق الأنعام، وههنا عدد المنافع</w:t>
      </w:r>
      <w:r w:rsidRPr="00A52585">
        <w:rPr>
          <w:rFonts w:hint="cs"/>
          <w:sz w:val="24"/>
          <w:szCs w:val="24"/>
          <w:rtl/>
        </w:rPr>
        <w:t>:</w:t>
      </w:r>
      <w:r w:rsidR="00777DCB" w:rsidRPr="00A52585">
        <w:rPr>
          <w:rFonts w:hint="cs"/>
          <w:sz w:val="24"/>
          <w:szCs w:val="24"/>
          <w:rtl/>
        </w:rPr>
        <w:t xml:space="preserve"> التذليل والركوب والأكل والشرب وغير ذلك وجمع باعتبار المنافع المخلوقات كأنها من أيدٍ عملت ذلك، لا باعتبار أصل الخلق "</w:t>
      </w:r>
      <w:r w:rsidRPr="00A52585">
        <w:rPr>
          <w:rFonts w:hint="cs"/>
          <w:sz w:val="24"/>
          <w:szCs w:val="24"/>
          <w:rtl/>
        </w:rPr>
        <w:t xml:space="preserve"> </w:t>
      </w:r>
      <w:r w:rsidR="00777DCB" w:rsidRPr="00A52585">
        <w:rPr>
          <w:rFonts w:hint="cs"/>
          <w:sz w:val="24"/>
          <w:szCs w:val="24"/>
          <w:rtl/>
        </w:rPr>
        <w:t>أهـ ما نقله عنه الإمام فخر الدين بن المعلم القرشي في ترجمته من كتاب (نجم المهتدي ورجم المعتدي) أعان الله على إخراجه</w:t>
      </w:r>
      <w:r w:rsidR="00DB731D" w:rsidRPr="00A52585">
        <w:rPr>
          <w:rFonts w:hint="cs"/>
          <w:sz w:val="24"/>
          <w:szCs w:val="24"/>
          <w:rtl/>
        </w:rPr>
        <w:t>،</w:t>
      </w:r>
      <w:r w:rsidR="00777DCB" w:rsidRPr="00A52585">
        <w:rPr>
          <w:rFonts w:hint="cs"/>
          <w:sz w:val="24"/>
          <w:szCs w:val="24"/>
          <w:rtl/>
        </w:rPr>
        <w:t xml:space="preserve"> هذا هو فهم العلماء الربانيين لكلام الله وكلام رسوله، وعلى هذا المنوال تفهم سائر الظواهر بما يتفق مع تنزيه الله وتعظيمه في إطار سياق الكلام والقرائن الدالة على المفهوم وطبقا للغة العرب واتساع كلامهم كما شرحه إمامنا الشافعي وغيره</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pacing w:val="-6"/>
          <w:sz w:val="24"/>
          <w:szCs w:val="24"/>
          <w:rtl/>
        </w:rPr>
        <w:t>فإن قصر الفهم عن استنباط المعنى</w:t>
      </w:r>
      <w:r w:rsidR="00777DCB" w:rsidRPr="00A52585">
        <w:rPr>
          <w:rFonts w:hint="cs"/>
          <w:spacing w:val="-6"/>
          <w:sz w:val="24"/>
          <w:szCs w:val="24"/>
          <w:rtl/>
        </w:rPr>
        <w:t xml:space="preserve"> وليس كل العلماء</w:t>
      </w:r>
      <w:r w:rsidRPr="00A52585">
        <w:rPr>
          <w:rFonts w:hint="cs"/>
          <w:spacing w:val="-6"/>
          <w:sz w:val="24"/>
          <w:szCs w:val="24"/>
          <w:rtl/>
        </w:rPr>
        <w:t xml:space="preserve"> </w:t>
      </w:r>
      <w:r w:rsidR="00777DCB" w:rsidRPr="00A52585">
        <w:rPr>
          <w:rFonts w:hint="cs"/>
          <w:spacing w:val="-6"/>
          <w:sz w:val="24"/>
          <w:szCs w:val="24"/>
          <w:rtl/>
        </w:rPr>
        <w:t xml:space="preserve">(فضلا عن غيرهم) في مستوى واحد في الفهم، </w:t>
      </w:r>
      <w:r w:rsidR="00777DCB" w:rsidRPr="00A52585">
        <w:rPr>
          <w:rFonts w:hint="cs"/>
          <w:bCs/>
          <w:spacing w:val="-6"/>
          <w:sz w:val="24"/>
          <w:szCs w:val="24"/>
          <w:rtl/>
        </w:rPr>
        <w:t>فليسلم لله بالتنزيه التام الكامل والتعظيم المطلق ثم يقول</w:t>
      </w:r>
      <w:r w:rsidRPr="00A52585">
        <w:rPr>
          <w:rFonts w:hint="cs"/>
          <w:bCs/>
          <w:spacing w:val="-6"/>
          <w:sz w:val="24"/>
          <w:szCs w:val="24"/>
          <w:rtl/>
        </w:rPr>
        <w:t>:</w:t>
      </w:r>
      <w:r w:rsidR="00777DCB" w:rsidRPr="00A52585">
        <w:rPr>
          <w:rFonts w:hint="cs"/>
          <w:bCs/>
          <w:spacing w:val="-6"/>
          <w:sz w:val="24"/>
          <w:szCs w:val="24"/>
          <w:rtl/>
        </w:rPr>
        <w:t xml:space="preserve"> (آمنت بكلام الله على مراد الله)</w:t>
      </w:r>
      <w:r w:rsidR="00DB731D" w:rsidRPr="00A52585">
        <w:rPr>
          <w:rFonts w:hint="cs"/>
          <w:bCs/>
          <w:spacing w:val="-6"/>
          <w:sz w:val="24"/>
          <w:szCs w:val="24"/>
          <w:rtl/>
        </w:rPr>
        <w:t>،</w:t>
      </w:r>
      <w:r w:rsidR="00777DCB" w:rsidRPr="00A52585">
        <w:rPr>
          <w:rFonts w:hint="cs"/>
          <w:bCs/>
          <w:spacing w:val="-6"/>
          <w:sz w:val="24"/>
          <w:szCs w:val="24"/>
          <w:rtl/>
        </w:rPr>
        <w:t xml:space="preserve"> </w:t>
      </w:r>
      <w:r w:rsidR="00777DCB" w:rsidRPr="00A52585">
        <w:rPr>
          <w:rFonts w:hint="cs"/>
          <w:sz w:val="24"/>
          <w:szCs w:val="24"/>
          <w:rtl/>
        </w:rPr>
        <w:t>وليس بعد هذين الأمرين سوى إضافة النقائص إلى الله- تعالى عما يقولون- وهو كفر كما قال ابن الجوزي والمؤلف رحمهما الله، ولا ينفع المشبه أو المجسم احتجاجه بأن الله سبحانه قال كذا، لأنه لا يملك الدليل على أن الله أراد بقوله المعنى المرفوض بل الدليل قائم على التنزيه</w:t>
      </w:r>
      <w:r w:rsidRPr="00A52585">
        <w:rPr>
          <w:rFonts w:hint="cs"/>
          <w:spacing w:val="-6"/>
          <w:sz w:val="24"/>
          <w:szCs w:val="24"/>
          <w:rtl/>
        </w:rPr>
        <w:t>]</w:t>
      </w:r>
      <w:r w:rsidR="00DB731D" w:rsidRPr="00A52585">
        <w:rPr>
          <w:rFonts w:hint="cs"/>
          <w:spacing w:val="-6"/>
          <w:sz w:val="24"/>
          <w:szCs w:val="24"/>
          <w:rtl/>
        </w:rPr>
        <w:t>،</w:t>
      </w:r>
      <w:r w:rsidR="00777DCB" w:rsidRPr="00A52585">
        <w:rPr>
          <w:rFonts w:hint="cs"/>
          <w:spacing w:val="-6"/>
          <w:rtl/>
        </w:rPr>
        <w:t xml:space="preserve"> </w:t>
      </w:r>
      <w:r w:rsidR="00777DCB" w:rsidRPr="00A52585">
        <w:rPr>
          <w:rFonts w:hint="cs"/>
          <w:rtl/>
        </w:rPr>
        <w:t>بل قالوا</w:t>
      </w:r>
      <w:r w:rsidRPr="00A52585">
        <w:rPr>
          <w:rFonts w:hint="cs"/>
          <w:rtl/>
        </w:rPr>
        <w:t>:</w:t>
      </w:r>
      <w:r w:rsidR="00777DCB" w:rsidRPr="00A52585">
        <w:rPr>
          <w:rFonts w:hint="cs"/>
          <w:rtl/>
        </w:rPr>
        <w:t xml:space="preserve"> نحملها على ظواهرها المتعارف والظاهر هو المعهود من نعوت الآدميين</w:t>
      </w:r>
      <w:r w:rsidR="00DB731D" w:rsidRPr="00A52585">
        <w:rPr>
          <w:rFonts w:hint="cs"/>
          <w:rtl/>
        </w:rPr>
        <w:t>،</w:t>
      </w:r>
      <w:r w:rsidR="00777DCB" w:rsidRPr="00A52585">
        <w:rPr>
          <w:rFonts w:hint="cs"/>
          <w:rtl/>
        </w:rPr>
        <w:t xml:space="preserve"> والشيء إنما يحمل على حقيقته إذا أمكن فإن صرف صارف حمل على المجاز</w:t>
      </w:r>
      <w:r w:rsidR="00DB731D" w:rsidRPr="00A52585">
        <w:rPr>
          <w:rFonts w:hint="cs"/>
          <w:rtl/>
        </w:rPr>
        <w:t>،</w:t>
      </w:r>
      <w:r w:rsidR="00777DCB" w:rsidRPr="00A52585">
        <w:rPr>
          <w:rFonts w:hint="cs"/>
          <w:rtl/>
        </w:rPr>
        <w:t xml:space="preserve"> </w:t>
      </w:r>
      <w:r w:rsidRPr="00A52585">
        <w:rPr>
          <w:rFonts w:hint="cs"/>
          <w:sz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يقوم حجة الإسلام الغزالي في كتابه (المحبة) ج4 من الإحياء</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pacing w:val="-6"/>
          <w:sz w:val="24"/>
          <w:szCs w:val="24"/>
          <w:rtl/>
        </w:rPr>
        <w:t xml:space="preserve">وواضع اللغة إنما وضع هذه </w:t>
      </w:r>
      <w:proofErr w:type="spellStart"/>
      <w:r w:rsidR="00777DCB" w:rsidRPr="00A52585">
        <w:rPr>
          <w:rFonts w:hint="cs"/>
          <w:spacing w:val="-6"/>
          <w:sz w:val="24"/>
          <w:szCs w:val="24"/>
          <w:rtl/>
        </w:rPr>
        <w:t>الأسامي</w:t>
      </w:r>
      <w:proofErr w:type="spellEnd"/>
      <w:r w:rsidR="00777DCB" w:rsidRPr="00A52585">
        <w:rPr>
          <w:rFonts w:hint="cs"/>
          <w:spacing w:val="-6"/>
          <w:sz w:val="24"/>
          <w:szCs w:val="24"/>
          <w:rtl/>
        </w:rPr>
        <w:t xml:space="preserve"> أولا للخلق، فإن الخلق أسبق إلى العقول والأفهام من الخالق</w:t>
      </w:r>
      <w:r w:rsidR="00777DCB" w:rsidRPr="00A52585">
        <w:rPr>
          <w:rFonts w:hint="cs"/>
          <w:sz w:val="24"/>
          <w:szCs w:val="24"/>
          <w:rtl/>
        </w:rPr>
        <w:t xml:space="preserve"> </w:t>
      </w:r>
      <w:r w:rsidR="00777DCB" w:rsidRPr="00A52585">
        <w:rPr>
          <w:rFonts w:hint="cs"/>
          <w:spacing w:val="-6"/>
          <w:sz w:val="24"/>
          <w:szCs w:val="24"/>
          <w:rtl/>
        </w:rPr>
        <w:t>فكان استعمالها في حق الخالق بطريق الا</w:t>
      </w:r>
      <w:r w:rsidR="00777DCB" w:rsidRPr="00A52585">
        <w:rPr>
          <w:rFonts w:hint="cs"/>
          <w:sz w:val="24"/>
          <w:szCs w:val="24"/>
          <w:rtl/>
        </w:rPr>
        <w:t>ستعارة والتجوز والنقل "</w:t>
      </w:r>
      <w:r w:rsidRPr="00A52585">
        <w:rPr>
          <w:rFonts w:hint="cs"/>
          <w:sz w:val="24"/>
          <w:szCs w:val="24"/>
          <w:rtl/>
        </w:rPr>
        <w:t xml:space="preserve"> </w:t>
      </w:r>
      <w:r w:rsidR="00777DCB" w:rsidRPr="00A52585">
        <w:rPr>
          <w:rFonts w:hint="cs"/>
          <w:sz w:val="24"/>
          <w:szCs w:val="24"/>
          <w:rtl/>
        </w:rPr>
        <w:t xml:space="preserve">أهـ (4/318-319)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لما </w:t>
      </w:r>
      <w:r w:rsidR="00777DCB" w:rsidRPr="00A52585">
        <w:rPr>
          <w:rFonts w:hint="cs"/>
          <w:spacing w:val="-6"/>
          <w:sz w:val="24"/>
          <w:szCs w:val="24"/>
          <w:rtl/>
        </w:rPr>
        <w:t>كانت رحلة الإنسان مع حياته الدنيا تبدأ من لحظة مجيئه- وقبل أن يتم عقله ويبلغ رشده- مع ما تدركه حواسه من معارف جسمانية، وكانت هذ</w:t>
      </w:r>
      <w:r w:rsidR="00777DCB" w:rsidRPr="00A52585">
        <w:rPr>
          <w:rFonts w:hint="cs"/>
          <w:sz w:val="24"/>
          <w:szCs w:val="24"/>
          <w:rtl/>
        </w:rPr>
        <w:t xml:space="preserve">ه المعارف والصور الحسية هي أثبت الأشياء في عقله وأقربها إلى فهمه، مما أدى إلى أن تكون هذه الصور والأمور الحسية هي الأسبق في وضع ألفاظ تعبر عنها وتختزن معها في ذاكرته ومع تطور عقل الإنسان </w:t>
      </w:r>
      <w:proofErr w:type="spellStart"/>
      <w:r w:rsidR="00777DCB" w:rsidRPr="00A52585">
        <w:rPr>
          <w:rFonts w:hint="cs"/>
          <w:sz w:val="24"/>
          <w:szCs w:val="24"/>
          <w:rtl/>
        </w:rPr>
        <w:t>وطروء</w:t>
      </w:r>
      <w:proofErr w:type="spellEnd"/>
      <w:r w:rsidR="00777DCB" w:rsidRPr="00A52585">
        <w:rPr>
          <w:rFonts w:hint="cs"/>
          <w:sz w:val="24"/>
          <w:szCs w:val="24"/>
          <w:rtl/>
        </w:rPr>
        <w:t xml:space="preserve"> معاني جديدة على فهمه نتيجة إعماله فكره من ناحية وما نقل إليه من أنوار النبوة من ناحية أخرى، وخاصة ما يخص المعاني العقلية أو الغيبية مما لا تدركه حواسه وليس لهذه المعاني عبارات موضوعة كان استعارة الألفاظ من موضوعات اللغة- أي الألفاظ السابق وضعها للصور والإدراكات الحسية </w:t>
      </w:r>
      <w:r w:rsidR="00777DCB" w:rsidRPr="00A52585">
        <w:rPr>
          <w:sz w:val="24"/>
          <w:szCs w:val="24"/>
        </w:rPr>
        <w:t>–</w:t>
      </w:r>
      <w:r w:rsidR="00777DCB" w:rsidRPr="00A52585">
        <w:rPr>
          <w:rFonts w:hint="cs"/>
          <w:sz w:val="24"/>
          <w:szCs w:val="24"/>
          <w:rtl/>
        </w:rPr>
        <w:t xml:space="preserve"> ضرورة كل ناطق بتلك اللغة</w:t>
      </w:r>
      <w:r w:rsidR="00DB731D" w:rsidRPr="00A52585">
        <w:rPr>
          <w:rFonts w:hint="cs"/>
          <w:sz w:val="24"/>
          <w:szCs w:val="24"/>
          <w:rtl/>
        </w:rPr>
        <w:t>،</w:t>
      </w:r>
      <w:r w:rsidR="00777DCB" w:rsidRPr="00A52585">
        <w:rPr>
          <w:rFonts w:hint="cs"/>
          <w:sz w:val="24"/>
          <w:szCs w:val="24"/>
          <w:rtl/>
        </w:rPr>
        <w:t xml:space="preserve"> ويقول حجة الإسلام الغزالي في (إلجام العوام)</w:t>
      </w:r>
      <w:r w:rsidRPr="00A52585">
        <w:rPr>
          <w:rFonts w:hint="cs"/>
          <w:sz w:val="24"/>
          <w:szCs w:val="24"/>
          <w:rtl/>
        </w:rPr>
        <w:t xml:space="preserve">: </w:t>
      </w:r>
      <w:r w:rsidR="00777DCB" w:rsidRPr="00A52585">
        <w:rPr>
          <w:rFonts w:hint="cs"/>
          <w:sz w:val="24"/>
          <w:szCs w:val="24"/>
          <w:rtl/>
        </w:rPr>
        <w:t xml:space="preserve">" كما أنا لا </w:t>
      </w:r>
      <w:r w:rsidR="00777DCB" w:rsidRPr="00A52585">
        <w:rPr>
          <w:rFonts w:hint="cs"/>
          <w:spacing w:val="-6"/>
          <w:sz w:val="24"/>
          <w:szCs w:val="24"/>
          <w:rtl/>
        </w:rPr>
        <w:t>نستغني عن أن نقول (صورة هذه المسألة كذا، وهي تخالف صورة المسألة الأخرى) وهي مستعارة من الصور الجسمانية لكن واضع اللغة لما لم يضع لهيئة المسألة وخصوص ترتيبها اسماً ناصًّا، إما لأنه لم يفهم المسألة أو فهم لكن لم تحضره أو حضرته لكن لم يضع لها نصا خاصا اعتماداً على إمكان الاستعارة أو لأنه علم أنه عاجز عـن أن يضع لكل معنى لفظاً خاصاً ناصًّا، لأن المعاني غير متناهية العدد</w:t>
      </w:r>
      <w:r w:rsidR="00777DCB" w:rsidRPr="00A52585">
        <w:rPr>
          <w:rFonts w:hint="cs"/>
          <w:sz w:val="24"/>
          <w:szCs w:val="24"/>
          <w:rtl/>
        </w:rPr>
        <w:t xml:space="preserve"> والموضوعات (يقصد الألفاظ المستخدمة في اللغة) بالقطع يجب أن تتناهى فتبقى معان لا نهاية لها يجب أن يستعار اسمها من الموضوع</w:t>
      </w:r>
      <w:r w:rsidR="00DB731D" w:rsidRPr="00A52585">
        <w:rPr>
          <w:rFonts w:hint="cs"/>
          <w:sz w:val="24"/>
          <w:szCs w:val="24"/>
          <w:rtl/>
        </w:rPr>
        <w:t>،</w:t>
      </w:r>
      <w:r w:rsidR="00777DCB" w:rsidRPr="00A52585">
        <w:rPr>
          <w:rFonts w:hint="cs"/>
          <w:sz w:val="24"/>
          <w:szCs w:val="24"/>
          <w:rtl/>
        </w:rPr>
        <w:t xml:space="preserve"> فاكتفى بوضع البعض وسائر اللغات أشد قصوراً </w:t>
      </w:r>
      <w:r w:rsidR="00777DCB" w:rsidRPr="00A52585">
        <w:rPr>
          <w:rFonts w:hint="cs"/>
          <w:sz w:val="24"/>
          <w:szCs w:val="24"/>
          <w:rtl/>
        </w:rPr>
        <w:lastRenderedPageBreak/>
        <w:t xml:space="preserve">من لغة العرب، فهذا وأمثاله من الضرورة </w:t>
      </w:r>
      <w:r w:rsidR="00777DCB" w:rsidRPr="00A52585">
        <w:rPr>
          <w:rFonts w:hint="cs"/>
          <w:spacing w:val="-6"/>
          <w:sz w:val="24"/>
          <w:szCs w:val="24"/>
          <w:rtl/>
        </w:rPr>
        <w:t>يدعو إلى الاستعارة لمن يتكلم بلـغة قــوم إذ لا يمكـنه أن يخــرج عـن لغتـهم كيف ونحن نجوز</w:t>
      </w:r>
      <w:r w:rsidRPr="00A52585">
        <w:rPr>
          <w:rFonts w:hint="cs"/>
          <w:spacing w:val="-6"/>
          <w:sz w:val="24"/>
          <w:szCs w:val="24"/>
          <w:rtl/>
        </w:rPr>
        <w:t xml:space="preserve"> </w:t>
      </w:r>
      <w:r w:rsidR="00777DCB" w:rsidRPr="00A52585">
        <w:rPr>
          <w:rFonts w:hint="cs"/>
          <w:spacing w:val="-6"/>
          <w:sz w:val="24"/>
          <w:szCs w:val="24"/>
          <w:rtl/>
        </w:rPr>
        <w:t xml:space="preserve">الاستعارة </w:t>
      </w:r>
      <w:r w:rsidR="00777DCB" w:rsidRPr="00A52585">
        <w:rPr>
          <w:rFonts w:hint="cs"/>
          <w:sz w:val="24"/>
          <w:szCs w:val="24"/>
          <w:rtl/>
        </w:rPr>
        <w:t>حيث لا ضرورة اعتماداً على القرائن، فإنا لا نفرق بين أن يقول القائل</w:t>
      </w:r>
      <w:r w:rsidRPr="00A52585">
        <w:rPr>
          <w:rFonts w:hint="cs"/>
          <w:sz w:val="24"/>
          <w:szCs w:val="24"/>
          <w:rtl/>
        </w:rPr>
        <w:t>:</w:t>
      </w:r>
      <w:r w:rsidR="00777DCB" w:rsidRPr="00A52585">
        <w:rPr>
          <w:rFonts w:hint="cs"/>
          <w:sz w:val="24"/>
          <w:szCs w:val="24"/>
          <w:rtl/>
        </w:rPr>
        <w:t xml:space="preserve"> (جلس زيد فوق عمرو)</w:t>
      </w:r>
      <w:r w:rsidR="00DB731D" w:rsidRPr="00A52585">
        <w:rPr>
          <w:rFonts w:hint="cs"/>
          <w:sz w:val="24"/>
          <w:szCs w:val="24"/>
          <w:rtl/>
        </w:rPr>
        <w:t>،</w:t>
      </w:r>
      <w:r w:rsidR="00777DCB" w:rsidRPr="00A52585">
        <w:rPr>
          <w:rFonts w:hint="cs"/>
          <w:sz w:val="24"/>
          <w:szCs w:val="24"/>
          <w:rtl/>
        </w:rPr>
        <w:t xml:space="preserve"> وبين أن يقول (جلس أقرب منه إلى الصدر) و(إن بغداد في ولاية الخليفة) أو (في يده) إذا كان الكلام مع العقلاء وليس في الإمكان حفظ الألفاظ عن إفهام الصبيان والجهال فالاشتغال بالاحتراز عن ذلك ركاكة في الكلام وسخافة في العقل وثقل في اللفظ أهـ ص 71-72ط العلمية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وأيضاً فإن انتشار التشبيه والاستعارة وأنواع المجاز المختلفة يقدم التعبير الدقيق والتصوير الواضح للمعاني الكثيرة في عبارات مختصرة قليلة الألفاظ توصل المعاني المرادة من المتكلم إلى السامع في أقل وقت وفي سياق هذه العبارات من القرائن ما يلفت نظره إلى المعنى المقصود بل يكتفي المتكلم في أحيان كثيرة بالقرائن (الحالية) المفهومة من موضوع الحديث أو حال المتكلم أو السامع فالحقيقة تدل على معناها بنفسها وتتبادر إلى فهم السامع عند عدم وجود قرينة </w:t>
      </w:r>
      <w:proofErr w:type="spellStart"/>
      <w:r w:rsidR="00777DCB" w:rsidRPr="00A52585">
        <w:rPr>
          <w:rFonts w:hint="cs"/>
          <w:sz w:val="24"/>
          <w:szCs w:val="24"/>
          <w:rtl/>
        </w:rPr>
        <w:t>صارفة</w:t>
      </w:r>
      <w:proofErr w:type="spellEnd"/>
      <w:r w:rsidR="00777DCB" w:rsidRPr="00A52585">
        <w:rPr>
          <w:rFonts w:hint="cs"/>
          <w:sz w:val="24"/>
          <w:szCs w:val="24"/>
          <w:rtl/>
        </w:rPr>
        <w:t xml:space="preserve"> بمجرد سماع الألفاظ، والمجاز لا يدل على معناه إلا بوجود القرينة المانعة من إرادة المعنى الحقيقي وتتفاوت الأفهام في ملاحظة هذه القرينة والتنبه لها، لذا كان المجاز بأنواعه من معايير تذوق اللغات ورقيها</w:t>
      </w:r>
      <w:r w:rsidR="00DB731D" w:rsidRPr="00A52585">
        <w:rPr>
          <w:rFonts w:hint="cs"/>
          <w:sz w:val="24"/>
          <w:szCs w:val="24"/>
          <w:rtl/>
        </w:rPr>
        <w:t>،</w:t>
      </w:r>
      <w:r w:rsidR="00777DCB" w:rsidRPr="00A52585">
        <w:rPr>
          <w:rFonts w:hint="cs"/>
          <w:sz w:val="24"/>
          <w:szCs w:val="24"/>
          <w:rtl/>
        </w:rPr>
        <w:t xml:space="preserve"> ويقول الدكتور عبد العظيم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في كتابه (المجاز في اللغة وفي القرآن الكريم) 2/936</w:t>
      </w:r>
      <w:r w:rsidRPr="00A52585">
        <w:rPr>
          <w:rFonts w:hint="cs"/>
          <w:sz w:val="24"/>
          <w:szCs w:val="24"/>
          <w:rtl/>
        </w:rPr>
        <w:t xml:space="preserve">: </w:t>
      </w:r>
      <w:r w:rsidR="00777DCB" w:rsidRPr="00A52585">
        <w:rPr>
          <w:rFonts w:hint="cs"/>
          <w:sz w:val="24"/>
          <w:szCs w:val="24"/>
          <w:rtl/>
        </w:rPr>
        <w:t xml:space="preserve">"المجاز موجود في كل اللغات وإن أرسطو قبل الميلاد بأكثر من أربعة قرون كان قد تكلم على المجاز والنقل والاستعارة والتشبيه والفرق بين الاستعارة والتشبيه </w:t>
      </w:r>
      <w:proofErr w:type="spellStart"/>
      <w:r w:rsidR="00777DCB" w:rsidRPr="00A52585">
        <w:rPr>
          <w:rFonts w:hint="cs"/>
          <w:sz w:val="24"/>
          <w:szCs w:val="24"/>
          <w:rtl/>
        </w:rPr>
        <w:t>وأوربا</w:t>
      </w:r>
      <w:proofErr w:type="spellEnd"/>
      <w:r w:rsidR="00777DCB" w:rsidRPr="00A52585">
        <w:rPr>
          <w:rFonts w:hint="cs"/>
          <w:sz w:val="24"/>
          <w:szCs w:val="24"/>
          <w:rtl/>
        </w:rPr>
        <w:t xml:space="preserve"> في نهضتها الأدبية واللغوية الحديثة اعتمدت على أدب اليونان القدماء وحذت حذوهم ردحا من الزمن وآداب الأمم حافلة بصور رائعة من المجاز لا ينكرها إلا معاند هنودا وفرسا وروماناً وغيرهم </w:t>
      </w:r>
      <w:proofErr w:type="spellStart"/>
      <w:r w:rsidR="00777DCB" w:rsidRPr="00A52585">
        <w:rPr>
          <w:rFonts w:hint="cs"/>
          <w:sz w:val="24"/>
          <w:szCs w:val="24"/>
          <w:rtl/>
        </w:rPr>
        <w:t>وغيرهم</w:t>
      </w:r>
      <w:proofErr w:type="spellEnd"/>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"أجل</w:t>
      </w:r>
      <w:r w:rsidRPr="00A52585">
        <w:rPr>
          <w:rFonts w:hint="cs"/>
          <w:sz w:val="24"/>
          <w:szCs w:val="24"/>
          <w:rtl/>
        </w:rPr>
        <w:t>:</w:t>
      </w:r>
      <w:r w:rsidR="00777DCB" w:rsidRPr="00A52585">
        <w:rPr>
          <w:rFonts w:hint="cs"/>
          <w:sz w:val="24"/>
          <w:szCs w:val="24"/>
          <w:rtl/>
        </w:rPr>
        <w:t xml:space="preserve"> إن المجاز عام في كل لغة وإن اختصت العربية بكثرة البحث فيه حتى اشتهر فيها وذاع أمره"</w:t>
      </w:r>
      <w:r w:rsidRPr="00A52585">
        <w:rPr>
          <w:rFonts w:hint="cs"/>
          <w:sz w:val="24"/>
          <w:szCs w:val="24"/>
          <w:rtl/>
        </w:rPr>
        <w:t xml:space="preserve"> </w:t>
      </w:r>
      <w:r w:rsidR="00777DCB" w:rsidRPr="00A52585">
        <w:rPr>
          <w:rFonts w:hint="cs"/>
          <w:sz w:val="24"/>
          <w:szCs w:val="24"/>
          <w:rtl/>
        </w:rPr>
        <w:t xml:space="preserve">أهـ المقصود منه فالعرب قد استعملت في أساليبها بعض الكلام فيما وضع له وبعضه في غير ما وضع له وجاء القرآن الكريم بلسان عربي مبين معجز لكل بلغاء وفصحاء العرب فيما نبغوا فيه، فبلغ القدح المعلى في إيراد المعنويات في صورة </w:t>
      </w:r>
      <w:proofErr w:type="spellStart"/>
      <w:r w:rsidR="00777DCB" w:rsidRPr="00A52585">
        <w:rPr>
          <w:rFonts w:hint="cs"/>
          <w:sz w:val="24"/>
          <w:szCs w:val="24"/>
          <w:rtl/>
        </w:rPr>
        <w:t>المحسات</w:t>
      </w:r>
      <w:proofErr w:type="spellEnd"/>
      <w:r w:rsidR="00777DCB" w:rsidRPr="00A52585">
        <w:rPr>
          <w:rFonts w:hint="cs"/>
          <w:sz w:val="24"/>
          <w:szCs w:val="24"/>
          <w:rtl/>
        </w:rPr>
        <w:t xml:space="preserve"> لتزداد تمكنا في النفس باستخدام أساليب المجاز وصور التشبيه الرائعة وشرع العلماء في القــرن الثاني الهجري مع البدايات المبكرة للتصنيف في العلوم يفرقون بين الاستعمالين ويضعون المصطلحات المختلفة</w:t>
      </w:r>
      <w:r w:rsidR="00777DCB" w:rsidRPr="00A52585">
        <w:rPr>
          <w:rFonts w:hint="cs"/>
          <w:spacing w:val="-6"/>
          <w:sz w:val="24"/>
          <w:szCs w:val="24"/>
          <w:rtl/>
        </w:rPr>
        <w:t xml:space="preserve"> الدالة عليهما ومنها (الحقيقة والمجاز) حتى إذا بدأ القرن الثالث الهجري كان المصطلحان قد شاعا وأقرتهما جماهير العلماء</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pacing w:val="-4"/>
          <w:sz w:val="24"/>
          <w:szCs w:val="24"/>
          <w:rtl/>
        </w:rPr>
        <w:t>فالحاصل أن القرآن الكريم والسنة المطهرة</w:t>
      </w:r>
      <w:r w:rsidR="00777DCB" w:rsidRPr="00A52585">
        <w:rPr>
          <w:rFonts w:hint="cs"/>
          <w:sz w:val="24"/>
          <w:szCs w:val="24"/>
          <w:rtl/>
        </w:rPr>
        <w:t xml:space="preserve"> حافلان بأنواع المجازات فإذا وردت ألفاظ موهمة للتشبيه وجب صرفها عن المعنى المستحيل على الله سبحانه، يقول أبو حامد الغزالي بعد أن ضرب أمثلة للعبارات الموهمة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فكذلك هذه الظواهر الموهمة انقلبت عن الإيهام بسبب تلك القرائن الكثيرة التي بعضها هي المعارف، والواحدة منها معرفتهم أنهم لم يؤمروا بعبادة الأصنام وأن من عبد جسما فقد عبد صنما كان الجسم صغيراً أو كبيراً قبيحاً أو </w:t>
      </w:r>
      <w:r w:rsidR="00777DCB" w:rsidRPr="00A52585">
        <w:rPr>
          <w:rFonts w:hint="cs"/>
          <w:spacing w:val="-4"/>
          <w:sz w:val="24"/>
          <w:szCs w:val="24"/>
          <w:rtl/>
        </w:rPr>
        <w:t>جميلا سافلا أو عاليا، على الأرض أو على العرش</w:t>
      </w:r>
      <w:r w:rsidR="00DB731D" w:rsidRPr="00A52585">
        <w:rPr>
          <w:rFonts w:hint="cs"/>
          <w:spacing w:val="-4"/>
          <w:sz w:val="24"/>
          <w:szCs w:val="24"/>
          <w:rtl/>
        </w:rPr>
        <w:t>،</w:t>
      </w:r>
      <w:r w:rsidR="00777DCB" w:rsidRPr="00A52585">
        <w:rPr>
          <w:rFonts w:hint="cs"/>
          <w:spacing w:val="-4"/>
          <w:sz w:val="24"/>
          <w:szCs w:val="24"/>
          <w:rtl/>
        </w:rPr>
        <w:t xml:space="preserve"> وكان نفي الجسمية ونفي لوازمها معلوما لكافتهم على القطع بإعلام رسول الله صلى الله عليه وسلم المبالغة في التنزيه بقوله </w:t>
      </w:r>
      <w:r w:rsidRPr="00A52585">
        <w:rPr>
          <w:rFonts w:hint="cs"/>
          <w:spacing w:val="-4"/>
          <w:sz w:val="24"/>
          <w:szCs w:val="24"/>
          <w:rtl/>
        </w:rPr>
        <w:t>{</w:t>
      </w:r>
      <w:r w:rsidR="00777DCB" w:rsidRPr="00A52585">
        <w:rPr>
          <w:rFonts w:hint="cs"/>
          <w:spacing w:val="-4"/>
          <w:sz w:val="24"/>
          <w:szCs w:val="24"/>
          <w:rtl/>
        </w:rPr>
        <w:t>ليس كمثله شيء</w:t>
      </w:r>
      <w:r w:rsidRPr="00A52585">
        <w:rPr>
          <w:rFonts w:hint="cs"/>
          <w:spacing w:val="-4"/>
          <w:sz w:val="24"/>
          <w:szCs w:val="24"/>
          <w:rtl/>
        </w:rPr>
        <w:t>}</w:t>
      </w:r>
      <w:r w:rsidR="00777DCB" w:rsidRPr="00A52585">
        <w:rPr>
          <w:rFonts w:hint="cs"/>
          <w:spacing w:val="-4"/>
          <w:sz w:val="24"/>
          <w:szCs w:val="24"/>
          <w:rtl/>
        </w:rPr>
        <w:t xml:space="preserve"> الشورى 11 وسورة الإخلاص وقوله </w:t>
      </w:r>
      <w:r w:rsidRPr="00A52585">
        <w:rPr>
          <w:rFonts w:hint="cs"/>
          <w:spacing w:val="-4"/>
          <w:sz w:val="24"/>
          <w:szCs w:val="24"/>
          <w:rtl/>
        </w:rPr>
        <w:t>{</w:t>
      </w:r>
      <w:r w:rsidR="00777DCB" w:rsidRPr="00A52585">
        <w:rPr>
          <w:rFonts w:hint="cs"/>
          <w:spacing w:val="-4"/>
          <w:sz w:val="24"/>
          <w:szCs w:val="24"/>
          <w:rtl/>
        </w:rPr>
        <w:t>فلا تجعلوا لله أندادا</w:t>
      </w:r>
      <w:r w:rsidRPr="00A52585">
        <w:rPr>
          <w:rFonts w:hint="cs"/>
          <w:spacing w:val="-4"/>
          <w:sz w:val="24"/>
          <w:szCs w:val="24"/>
          <w:rtl/>
        </w:rPr>
        <w:t>}</w:t>
      </w:r>
      <w:r w:rsidR="00777DCB" w:rsidRPr="00A52585">
        <w:rPr>
          <w:rFonts w:hint="cs"/>
          <w:spacing w:val="-4"/>
          <w:sz w:val="24"/>
          <w:szCs w:val="24"/>
          <w:rtl/>
        </w:rPr>
        <w:t xml:space="preserve"> البقرة 22 وبألفاظ كثيرة لا حصر لها مع قرائن قاطعة لا يمكن حكايتها، وعُلِم ذلك، علماً لا ريب فيه وكان ذلك كافيا في تعريفهم استحالة (يد) هي عضو مركب من لحم وعظم وكذا في سائر الظواهر لأنها لا تدل إلا على الجسمية وعوارضها لو أطلق على جسم، ولو أطلق على غير الجسم على صورة أنه ما أريد به ظاهره بل معنى آخر مما يجوز على الله تعالى ربما يتعين ذلك المعنى وربما لا يتعين فهذا مما يزيل الإشكال</w:t>
      </w:r>
      <w:r w:rsidRPr="00A52585">
        <w:rPr>
          <w:rFonts w:hint="cs"/>
          <w:spacing w:val="-4"/>
          <w:sz w:val="24"/>
          <w:szCs w:val="24"/>
          <w:rtl/>
        </w:rPr>
        <w:t xml:space="preserve"> </w:t>
      </w:r>
      <w:r w:rsidR="00777DCB" w:rsidRPr="00A52585">
        <w:rPr>
          <w:rFonts w:hint="cs"/>
          <w:spacing w:val="-4"/>
          <w:sz w:val="24"/>
          <w:szCs w:val="24"/>
          <w:rtl/>
        </w:rPr>
        <w:t>" أهـ إلجام العوام ص 70-71 ط العلمية</w:t>
      </w:r>
      <w:r w:rsidRPr="00A52585">
        <w:rPr>
          <w:rFonts w:hint="cs"/>
          <w:spacing w:val="-4"/>
          <w:sz w:val="24"/>
          <w:szCs w:val="24"/>
          <w:rtl/>
        </w:rPr>
        <w:t>]</w:t>
      </w:r>
      <w:r w:rsidR="00DB731D" w:rsidRPr="00A52585">
        <w:rPr>
          <w:rFonts w:hint="cs"/>
          <w:spacing w:val="-4"/>
          <w:sz w:val="24"/>
          <w:szCs w:val="24"/>
          <w:rtl/>
        </w:rPr>
        <w:t>،</w:t>
      </w:r>
      <w:r w:rsidR="00777DCB" w:rsidRPr="00A52585">
        <w:rPr>
          <w:rFonts w:hint="cs"/>
          <w:rtl/>
        </w:rPr>
        <w:t xml:space="preserve"> وهم يتحرجون من </w:t>
      </w:r>
      <w:r w:rsidR="00777DCB" w:rsidRPr="00A52585">
        <w:rPr>
          <w:rFonts w:hint="cs"/>
          <w:rtl/>
        </w:rPr>
        <w:lastRenderedPageBreak/>
        <w:t>التشبيه</w:t>
      </w:r>
      <w:r w:rsidR="00DB731D" w:rsidRPr="00A52585">
        <w:rPr>
          <w:rFonts w:hint="cs"/>
          <w:rtl/>
        </w:rPr>
        <w:t>،</w:t>
      </w:r>
      <w:r w:rsidR="00777DCB" w:rsidRPr="00A52585">
        <w:rPr>
          <w:rFonts w:hint="cs"/>
          <w:rtl/>
        </w:rPr>
        <w:t xml:space="preserve"> ويأنفون من إضافته إليهم ويقولون</w:t>
      </w:r>
      <w:r w:rsidRPr="00A52585">
        <w:rPr>
          <w:rFonts w:hint="cs"/>
          <w:rtl/>
        </w:rPr>
        <w:t>:</w:t>
      </w:r>
      <w:r w:rsidR="00777DCB" w:rsidRPr="00A52585">
        <w:rPr>
          <w:rFonts w:hint="cs"/>
          <w:rtl/>
        </w:rPr>
        <w:t xml:space="preserve"> نحن أهل السنة</w:t>
      </w:r>
      <w:r w:rsidR="00DB731D" w:rsidRPr="00A52585">
        <w:rPr>
          <w:rFonts w:hint="cs"/>
          <w:rtl/>
        </w:rPr>
        <w:t>،</w:t>
      </w:r>
      <w:r w:rsidR="00777DCB" w:rsidRPr="00A52585">
        <w:rPr>
          <w:rFonts w:hint="cs"/>
          <w:rtl/>
        </w:rPr>
        <w:t xml:space="preserve"> وكلامهم صريح في التشبيه</w:t>
      </w:r>
      <w:r w:rsidR="00DB731D" w:rsidRPr="00A52585">
        <w:rPr>
          <w:rFonts w:hint="cs"/>
          <w:rtl/>
        </w:rPr>
        <w:t>،</w:t>
      </w:r>
      <w:r w:rsidR="00777DCB" w:rsidRPr="00A52585">
        <w:rPr>
          <w:rFonts w:hint="cs"/>
          <w:rtl/>
        </w:rPr>
        <w:t xml:space="preserve"> وقد تبعهم خلق من العوام على ذلك لجهلهم ونقص عقولهم وكفروا تقليدا</w:t>
      </w:r>
      <w:r w:rsidR="00DB731D" w:rsidRPr="00A52585">
        <w:rPr>
          <w:rFonts w:hint="cs"/>
          <w:rtl/>
        </w:rPr>
        <w:t>،</w:t>
      </w:r>
      <w:r w:rsidR="00777DCB" w:rsidRPr="00A52585">
        <w:rPr>
          <w:rFonts w:hint="cs"/>
          <w:rtl/>
        </w:rPr>
        <w:t xml:space="preserve"> وقد نصحت للتابع والمتبوع</w:t>
      </w:r>
      <w:r w:rsidR="00DB731D" w:rsidRPr="00A52585">
        <w:rPr>
          <w:rFonts w:hint="cs"/>
          <w:rtl/>
        </w:rPr>
        <w:t>،</w:t>
      </w:r>
      <w:r w:rsidR="00777DCB" w:rsidRPr="00A52585">
        <w:rPr>
          <w:rFonts w:hint="cs"/>
          <w:rtl/>
        </w:rPr>
        <w:t xml:space="preserve"> والله أعلم</w:t>
      </w:r>
      <w:r w:rsidR="00DB731D" w:rsidRPr="00A52585">
        <w:rPr>
          <w:rFonts w:hint="cs"/>
          <w:rtl/>
        </w:rPr>
        <w:t>،</w:t>
      </w:r>
      <w:r w:rsidR="00777DCB" w:rsidRPr="00A52585">
        <w:rPr>
          <w:rFonts w:hint="cs"/>
          <w:rtl/>
        </w:rPr>
        <w:t xml:space="preserve"> ثم قال هم على وجه التوبيخ</w:t>
      </w:r>
      <w:r w:rsidRPr="00A52585">
        <w:rPr>
          <w:rFonts w:hint="cs"/>
          <w:rtl/>
        </w:rPr>
        <w:t>:</w:t>
      </w:r>
      <w:r w:rsidR="00777DCB" w:rsidRPr="00A52585">
        <w:rPr>
          <w:rFonts w:hint="cs"/>
          <w:rtl/>
        </w:rPr>
        <w:t xml:space="preserve"> يا أصحابنا أنتم أصحاب نقل واتباع وإمامكم الكبير أحمد بن حنبل يقول</w:t>
      </w:r>
      <w:r w:rsidRPr="00A52585">
        <w:rPr>
          <w:rFonts w:hint="cs"/>
          <w:rtl/>
        </w:rPr>
        <w:t>:</w:t>
      </w:r>
      <w:r w:rsidR="00777DCB" w:rsidRPr="00A52585">
        <w:rPr>
          <w:rFonts w:hint="cs"/>
          <w:rtl/>
        </w:rPr>
        <w:t xml:space="preserve"> كيف أقول ما لم يقل</w:t>
      </w:r>
      <w:r w:rsidR="00DB731D" w:rsidRPr="00A52585">
        <w:rPr>
          <w:rFonts w:hint="cs"/>
          <w:rtl/>
        </w:rPr>
        <w:t>،</w:t>
      </w:r>
      <w:r w:rsidR="00777DCB" w:rsidRPr="00A52585">
        <w:rPr>
          <w:rFonts w:hint="cs"/>
          <w:rtl/>
        </w:rPr>
        <w:t xml:space="preserve"> هل بلغكم أنه قال أن الاستواء من صفة الذات المقدسة أو صفة الفعل</w:t>
      </w:r>
      <w:r w:rsidR="00F95886" w:rsidRPr="00A52585">
        <w:rPr>
          <w:rFonts w:hint="cs"/>
          <w:rtl/>
        </w:rPr>
        <w:t>؟!</w:t>
      </w:r>
      <w:r w:rsidR="00777DCB" w:rsidRPr="00A52585">
        <w:rPr>
          <w:rFonts w:hint="cs"/>
          <w:rtl/>
        </w:rPr>
        <w:t xml:space="preserve"> فمن أين أقدمتم على هذه الأشياء</w:t>
      </w:r>
      <w:r w:rsidR="00F95886" w:rsidRPr="00A52585">
        <w:rPr>
          <w:rFonts w:hint="cs"/>
          <w:rtl/>
        </w:rPr>
        <w:t>؟!</w:t>
      </w:r>
      <w:r w:rsidR="00777DCB" w:rsidRPr="00A52585">
        <w:rPr>
          <w:rFonts w:hint="cs"/>
          <w:rtl/>
        </w:rPr>
        <w:t xml:space="preserve"> وهذا كله ابتداع قبيح بمن ينكر البدعة</w:t>
      </w:r>
      <w:r w:rsidR="00DB731D" w:rsidRPr="00A52585">
        <w:rPr>
          <w:rFonts w:hint="cs"/>
          <w:rtl/>
        </w:rPr>
        <w:t>،</w:t>
      </w:r>
      <w:r w:rsidR="00777DCB" w:rsidRPr="00A52585">
        <w:rPr>
          <w:rFonts w:hint="cs"/>
          <w:rtl/>
        </w:rPr>
        <w:t xml:space="preserve"> ثم قلتم في الأحاديث</w:t>
      </w:r>
      <w:r w:rsidRPr="00A52585">
        <w:rPr>
          <w:rFonts w:hint="cs"/>
          <w:rtl/>
        </w:rPr>
        <w:t>:</w:t>
      </w:r>
      <w:r w:rsidR="00777DCB" w:rsidRPr="00A52585">
        <w:rPr>
          <w:rFonts w:hint="cs"/>
          <w:rtl/>
        </w:rPr>
        <w:t xml:space="preserve"> تحمل على ظاهرها</w:t>
      </w:r>
      <w:r w:rsidR="00DB731D" w:rsidRPr="00A52585">
        <w:rPr>
          <w:rFonts w:hint="cs"/>
          <w:rtl/>
        </w:rPr>
        <w:t>،</w:t>
      </w:r>
      <w:r w:rsidR="00777DCB" w:rsidRPr="00A52585">
        <w:rPr>
          <w:rFonts w:hint="cs"/>
          <w:rtl/>
        </w:rPr>
        <w:t xml:space="preserve"> وظاهر القدم الجارحة وإنما يقال</w:t>
      </w:r>
      <w:r w:rsidRPr="00A52585">
        <w:rPr>
          <w:rFonts w:hint="cs"/>
          <w:rtl/>
        </w:rPr>
        <w:t>:</w:t>
      </w:r>
      <w:r w:rsidR="00777DCB" w:rsidRPr="00A52585">
        <w:rPr>
          <w:rFonts w:hint="cs"/>
          <w:rtl/>
        </w:rPr>
        <w:t xml:space="preserve"> تمر كما جاءت ولا تقاس بشيء فمن قال استوى بذاته فقد أجراه مجرى </w:t>
      </w:r>
      <w:proofErr w:type="spellStart"/>
      <w:r w:rsidR="00777DCB" w:rsidRPr="00A52585">
        <w:rPr>
          <w:rFonts w:hint="cs"/>
          <w:rtl/>
        </w:rPr>
        <w:t>الحسيات</w:t>
      </w:r>
      <w:proofErr w:type="spellEnd"/>
      <w:r w:rsidR="00DB731D" w:rsidRPr="00A52585">
        <w:rPr>
          <w:rFonts w:hint="cs"/>
          <w:rtl/>
        </w:rPr>
        <w:t>،</w:t>
      </w:r>
      <w:r w:rsidR="00777DCB" w:rsidRPr="00A52585">
        <w:rPr>
          <w:rFonts w:hint="cs"/>
          <w:rtl/>
        </w:rPr>
        <w:t xml:space="preserve"> وذلك عين التشبيه. فاصرفوا بالعقول الصحيحة</w:t>
      </w:r>
      <w:r w:rsidRPr="00A52585">
        <w:rPr>
          <w:rFonts w:hint="cs"/>
          <w:rtl/>
        </w:rPr>
        <w:t xml:space="preserve"> </w:t>
      </w:r>
      <w:r w:rsidR="00777DCB" w:rsidRPr="00A52585">
        <w:rPr>
          <w:rFonts w:hint="cs"/>
          <w:rtl/>
        </w:rPr>
        <w:t>عنه سبحانه ما لا يليق به من تشبيه أو تجسيم</w:t>
      </w:r>
      <w:r w:rsidR="00777DCB" w:rsidRPr="00A52585">
        <w:rPr>
          <w:rFonts w:hint="cs"/>
          <w:vertAlign w:val="superscript"/>
        </w:rPr>
        <w:t xml:space="preserve"> </w:t>
      </w:r>
      <w:r w:rsidR="00777DCB" w:rsidRPr="00A52585">
        <w:rPr>
          <w:rFonts w:hint="cs"/>
          <w:rtl/>
        </w:rPr>
        <w:t xml:space="preserve">وأمروا الأحاديث كما جاءت من غير زيادة ولا نقص </w:t>
      </w:r>
      <w:r w:rsidRPr="00A52585">
        <w:rPr>
          <w:rFonts w:hint="cs"/>
          <w:sz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لأن عبودية المخلوق لله سبح</w:t>
      </w:r>
      <w:r w:rsidR="00777DCB" w:rsidRPr="00A52585">
        <w:rPr>
          <w:rFonts w:hint="cs"/>
          <w:sz w:val="24"/>
          <w:szCs w:val="24"/>
          <w:rtl/>
        </w:rPr>
        <w:t>انه مبنية بالأساس على الإقرار الكامل والشعور التام بالعظمة المطلقة- التي لا تتناهي ولا تحد-</w:t>
      </w:r>
      <w:r w:rsidRPr="00A52585">
        <w:rPr>
          <w:rFonts w:hint="cs"/>
          <w:sz w:val="24"/>
          <w:szCs w:val="24"/>
          <w:rtl/>
        </w:rPr>
        <w:t xml:space="preserve"> </w:t>
      </w:r>
      <w:r w:rsidR="00777DCB" w:rsidRPr="00A52585">
        <w:rPr>
          <w:rFonts w:hint="cs"/>
          <w:sz w:val="24"/>
          <w:szCs w:val="24"/>
          <w:rtl/>
        </w:rPr>
        <w:t xml:space="preserve">للذات الإلهية المقدسة والتنزيه الكامل لله عن أدنى شائبة نقص وهذا </w:t>
      </w:r>
      <w:r w:rsidR="00777DCB" w:rsidRPr="00A52585">
        <w:rPr>
          <w:rFonts w:hint="cs"/>
          <w:bCs/>
          <w:sz w:val="24"/>
          <w:szCs w:val="24"/>
          <w:rtl/>
        </w:rPr>
        <w:t>التعظيم المطلق</w:t>
      </w:r>
      <w:r w:rsidR="00777DCB" w:rsidRPr="00A52585">
        <w:rPr>
          <w:rFonts w:hint="cs"/>
          <w:sz w:val="24"/>
          <w:szCs w:val="24"/>
          <w:rtl/>
        </w:rPr>
        <w:t xml:space="preserve"> يمنع العبد من </w:t>
      </w:r>
      <w:proofErr w:type="spellStart"/>
      <w:r w:rsidR="00777DCB" w:rsidRPr="00A52585">
        <w:rPr>
          <w:rFonts w:hint="cs"/>
          <w:sz w:val="24"/>
          <w:szCs w:val="24"/>
          <w:rtl/>
        </w:rPr>
        <w:t>تجويزه</w:t>
      </w:r>
      <w:proofErr w:type="spellEnd"/>
      <w:r w:rsidR="00777DCB" w:rsidRPr="00A52585">
        <w:rPr>
          <w:rFonts w:hint="cs"/>
          <w:sz w:val="24"/>
          <w:szCs w:val="24"/>
          <w:rtl/>
        </w:rPr>
        <w:t xml:space="preserve"> نسبة أي نقص من أي نوع لله سبحانه وتعالى بل هو ينتج الوجل والخشية من الله كما قال تعالى</w:t>
      </w:r>
      <w:r w:rsidRPr="00A52585">
        <w:rPr>
          <w:rFonts w:hint="cs"/>
          <w:sz w:val="24"/>
          <w:szCs w:val="24"/>
          <w:rtl/>
        </w:rPr>
        <w:t>:{</w:t>
      </w:r>
      <w:r w:rsidR="00777DCB" w:rsidRPr="00A52585">
        <w:rPr>
          <w:rFonts w:hint="cs"/>
          <w:sz w:val="24"/>
          <w:szCs w:val="24"/>
          <w:rtl/>
        </w:rPr>
        <w:t>إنما المؤمنون الذين إذا ذكر الله وجلت قلوبهم</w:t>
      </w:r>
      <w:r w:rsidRPr="00A52585">
        <w:rPr>
          <w:rFonts w:hint="cs"/>
          <w:sz w:val="24"/>
          <w:szCs w:val="24"/>
          <w:rtl/>
        </w:rPr>
        <w:t>}</w:t>
      </w:r>
      <w:r w:rsidR="00777DCB" w:rsidRPr="00A52585">
        <w:rPr>
          <w:rFonts w:hint="cs"/>
          <w:sz w:val="24"/>
          <w:szCs w:val="24"/>
          <w:rtl/>
        </w:rPr>
        <w:t xml:space="preserve"> الآية 2 من سورة الأنفال</w:t>
      </w:r>
      <w:r w:rsidR="00DB731D" w:rsidRPr="00A52585">
        <w:rPr>
          <w:rFonts w:hint="cs"/>
          <w:sz w:val="24"/>
          <w:szCs w:val="24"/>
          <w:rtl/>
        </w:rPr>
        <w:t>،</w:t>
      </w:r>
      <w:r w:rsidR="00777DCB" w:rsidRPr="00A52585">
        <w:rPr>
          <w:rFonts w:hint="cs"/>
          <w:sz w:val="24"/>
          <w:szCs w:val="24"/>
          <w:rtl/>
        </w:rPr>
        <w:t xml:space="preserve"> وهذا الوجل والخشية يمنعان العبد من محاولة تصور الذات الإلهية أو اكتناه حقيقتها- كما سيأتي- كما يصرفان الذهن عن فهم الآيات والأحاديث المتشابهة على ظواهرها لتَضَمُّن هذه</w:t>
      </w:r>
      <w:r w:rsidRPr="00A52585">
        <w:rPr>
          <w:rFonts w:hint="cs"/>
          <w:sz w:val="24"/>
          <w:szCs w:val="24"/>
          <w:rtl/>
        </w:rPr>
        <w:t xml:space="preserve"> </w:t>
      </w:r>
      <w:r w:rsidR="00777DCB" w:rsidRPr="00A52585">
        <w:rPr>
          <w:rFonts w:hint="cs"/>
          <w:sz w:val="24"/>
          <w:szCs w:val="24"/>
          <w:rtl/>
        </w:rPr>
        <w:t xml:space="preserve">الآيات والأحاديث ألفاظاً تستخدم في التعبير عن الأجسام والمحسوسات، لأن ذلك ينتج لا محال نسبة النقائص المرتبطة بهذه الأجسام أو المحسوسات إلى الله سبحانه وتعالى، ويصير تعظيم العبد لربه </w:t>
      </w:r>
      <w:r w:rsidR="00777DCB" w:rsidRPr="00A52585">
        <w:rPr>
          <w:rFonts w:hint="cs"/>
          <w:bCs/>
          <w:sz w:val="24"/>
          <w:szCs w:val="24"/>
          <w:rtl/>
        </w:rPr>
        <w:t>تعظيماً جزئيا</w:t>
      </w:r>
      <w:r w:rsidR="00777DCB" w:rsidRPr="00A52585">
        <w:rPr>
          <w:rFonts w:hint="cs"/>
          <w:sz w:val="24"/>
          <w:szCs w:val="24"/>
          <w:rtl/>
        </w:rPr>
        <w:t xml:space="preserve"> وتنزيهه له </w:t>
      </w:r>
      <w:r w:rsidR="00777DCB" w:rsidRPr="00A52585">
        <w:rPr>
          <w:rFonts w:hint="cs"/>
          <w:bCs/>
          <w:sz w:val="24"/>
          <w:szCs w:val="24"/>
          <w:rtl/>
        </w:rPr>
        <w:t>تنزيها ناقصاً</w:t>
      </w:r>
      <w:r w:rsidR="00DB731D" w:rsidRPr="00A52585">
        <w:rPr>
          <w:rFonts w:hint="cs"/>
          <w:sz w:val="24"/>
          <w:szCs w:val="24"/>
          <w:rtl/>
        </w:rPr>
        <w:t>،</w:t>
      </w:r>
      <w:r w:rsidR="00777DCB" w:rsidRPr="00A52585">
        <w:rPr>
          <w:rFonts w:hint="cs"/>
          <w:sz w:val="24"/>
          <w:szCs w:val="24"/>
          <w:rtl/>
        </w:rPr>
        <w:t xml:space="preserve"> وإن زعم العبد أن هذا الوصف </w:t>
      </w:r>
      <w:r w:rsidR="00777DCB" w:rsidRPr="00A52585">
        <w:rPr>
          <w:sz w:val="24"/>
          <w:szCs w:val="24"/>
        </w:rPr>
        <w:t>–</w:t>
      </w:r>
      <w:r w:rsidR="00777DCB" w:rsidRPr="00A52585">
        <w:rPr>
          <w:rFonts w:hint="cs"/>
          <w:sz w:val="24"/>
          <w:szCs w:val="24"/>
          <w:rtl/>
        </w:rPr>
        <w:t xml:space="preserve"> كما يراه هو </w:t>
      </w:r>
      <w:r w:rsidR="00777DCB" w:rsidRPr="00A52585">
        <w:rPr>
          <w:sz w:val="24"/>
          <w:szCs w:val="24"/>
        </w:rPr>
        <w:t>–</w:t>
      </w:r>
      <w:r w:rsidR="00777DCB" w:rsidRPr="00A52585">
        <w:rPr>
          <w:rFonts w:hint="cs"/>
          <w:sz w:val="24"/>
          <w:szCs w:val="24"/>
          <w:rtl/>
        </w:rPr>
        <w:t xml:space="preserve"> ليس نقصا بل هو كمال، فذلك لا ينجيه من الكفر فقد كفر </w:t>
      </w:r>
      <w:proofErr w:type="spellStart"/>
      <w:r w:rsidR="00777DCB" w:rsidRPr="00A52585">
        <w:rPr>
          <w:rFonts w:hint="cs"/>
          <w:sz w:val="24"/>
          <w:szCs w:val="24"/>
          <w:rtl/>
        </w:rPr>
        <w:t>النصاري</w:t>
      </w:r>
      <w:proofErr w:type="spellEnd"/>
      <w:r w:rsidR="00777DCB" w:rsidRPr="00A52585">
        <w:rPr>
          <w:rFonts w:hint="cs"/>
          <w:sz w:val="24"/>
          <w:szCs w:val="24"/>
          <w:rtl/>
        </w:rPr>
        <w:t xml:space="preserve"> بزعمهم أن المسيح عليه السلام</w:t>
      </w:r>
      <w:r w:rsidRPr="00A52585">
        <w:rPr>
          <w:rFonts w:hint="cs"/>
          <w:sz w:val="24"/>
          <w:szCs w:val="24"/>
          <w:rtl/>
        </w:rPr>
        <w:t>:</w:t>
      </w:r>
      <w:r w:rsidR="00777DCB" w:rsidRPr="00A52585">
        <w:rPr>
          <w:rFonts w:hint="cs"/>
          <w:sz w:val="24"/>
          <w:szCs w:val="24"/>
          <w:rtl/>
        </w:rPr>
        <w:t xml:space="preserve"> ابن الله سبحانه وتعالى عما يقولون، حتى وإن قالوا</w:t>
      </w:r>
      <w:r w:rsidRPr="00A52585">
        <w:rPr>
          <w:rFonts w:hint="cs"/>
          <w:sz w:val="24"/>
          <w:szCs w:val="24"/>
          <w:rtl/>
        </w:rPr>
        <w:t>:</w:t>
      </w:r>
      <w:r w:rsidR="00777DCB" w:rsidRPr="00A52585">
        <w:rPr>
          <w:rFonts w:hint="cs"/>
          <w:sz w:val="24"/>
          <w:szCs w:val="24"/>
          <w:rtl/>
        </w:rPr>
        <w:t xml:space="preserve"> (إن البنوة ليست على حقيقتها وإنما هي صفة ثابتة وردت في الإنجيل فنحن نجعلها صفة) والفيصل في ذلك هو </w:t>
      </w:r>
      <w:r w:rsidR="00777DCB" w:rsidRPr="00A52585">
        <w:rPr>
          <w:rFonts w:hint="cs"/>
          <w:bCs/>
          <w:sz w:val="24"/>
          <w:szCs w:val="24"/>
          <w:rtl/>
        </w:rPr>
        <w:t>العقل الصحيح</w:t>
      </w:r>
      <w:r w:rsidR="00777DCB" w:rsidRPr="00A52585">
        <w:rPr>
          <w:rFonts w:hint="cs"/>
          <w:sz w:val="24"/>
          <w:szCs w:val="24"/>
          <w:rtl/>
        </w:rPr>
        <w:t xml:space="preserve"> الذي استدل به سيد </w:t>
      </w:r>
      <w:proofErr w:type="spellStart"/>
      <w:r w:rsidR="00777DCB" w:rsidRPr="00A52585">
        <w:rPr>
          <w:rFonts w:hint="cs"/>
          <w:sz w:val="24"/>
          <w:szCs w:val="24"/>
          <w:rtl/>
        </w:rPr>
        <w:t>الخلقصلى</w:t>
      </w:r>
      <w:proofErr w:type="spellEnd"/>
      <w:r w:rsidR="00777DCB" w:rsidRPr="00A52585">
        <w:rPr>
          <w:rFonts w:hint="cs"/>
          <w:sz w:val="24"/>
          <w:szCs w:val="24"/>
          <w:rtl/>
        </w:rPr>
        <w:t xml:space="preserve"> الله عليه وسلم في الحديث الذي رواه الترمذي وغيره بإسناد حسن في تفسير سورة</w:t>
      </w:r>
      <w:r w:rsidRPr="00A52585">
        <w:rPr>
          <w:rFonts w:hint="cs"/>
          <w:sz w:val="24"/>
          <w:szCs w:val="24"/>
          <w:rtl/>
        </w:rPr>
        <w:t>{</w:t>
      </w:r>
      <w:r w:rsidR="00777DCB" w:rsidRPr="00A52585">
        <w:rPr>
          <w:rFonts w:hint="cs"/>
          <w:sz w:val="24"/>
          <w:szCs w:val="24"/>
          <w:rtl/>
        </w:rPr>
        <w:t>قل هو الله أحد</w:t>
      </w:r>
      <w:r w:rsidRPr="00A52585">
        <w:rPr>
          <w:rFonts w:hint="cs"/>
          <w:sz w:val="24"/>
          <w:szCs w:val="24"/>
          <w:rtl/>
        </w:rPr>
        <w:t xml:space="preserve">}: </w:t>
      </w:r>
      <w:r w:rsidR="00777DCB" w:rsidRPr="00A52585">
        <w:rPr>
          <w:rFonts w:hint="cs"/>
          <w:sz w:val="24"/>
          <w:szCs w:val="24"/>
          <w:rtl/>
        </w:rPr>
        <w:t>" لأنه ما من مولود إلا سيموت وما من ميت إلا سيورث، والله سبحانه لا يموت ولا يورث"</w:t>
      </w:r>
      <w:r w:rsidRPr="00A52585">
        <w:rPr>
          <w:rFonts w:hint="cs"/>
          <w:sz w:val="24"/>
          <w:szCs w:val="24"/>
          <w:rtl/>
        </w:rPr>
        <w:t xml:space="preserve"> </w:t>
      </w:r>
      <w:r w:rsidR="00777DCB" w:rsidRPr="00A52585">
        <w:rPr>
          <w:rFonts w:hint="cs"/>
          <w:sz w:val="24"/>
          <w:szCs w:val="24"/>
          <w:rtl/>
        </w:rPr>
        <w:t>فهذا الاستدلال عقلي بحت لا يفلح من جحده وأنكره لهذا وصف الله سبحانه المشركين في غير ما موضع بأنهم لا يعقلون كما أقروا على أنفسهم في الآخرة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وقالوا لو كنا نسمع أو نعقل ما كنا في أصحاب السعير</w:t>
      </w:r>
      <w:r w:rsidRPr="00A52585">
        <w:rPr>
          <w:rFonts w:hint="cs"/>
          <w:sz w:val="24"/>
          <w:szCs w:val="24"/>
          <w:rtl/>
        </w:rPr>
        <w:t>}</w:t>
      </w:r>
      <w:r w:rsidR="00777DCB" w:rsidRPr="00A52585">
        <w:rPr>
          <w:rFonts w:hint="cs"/>
          <w:sz w:val="24"/>
          <w:szCs w:val="24"/>
          <w:rtl/>
        </w:rPr>
        <w:t xml:space="preserve"> آية 10 من سورة الملك</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ولما ردَّ القرآن على المشرك في إنكاره البعث</w:t>
      </w:r>
      <w:r w:rsidRPr="00A52585">
        <w:rPr>
          <w:rFonts w:hint="cs"/>
          <w:sz w:val="24"/>
          <w:szCs w:val="24"/>
          <w:rtl/>
        </w:rPr>
        <w:t>:</w:t>
      </w:r>
      <w:r w:rsidR="00777DCB" w:rsidRPr="00A52585">
        <w:rPr>
          <w:rFonts w:hint="cs"/>
          <w:sz w:val="24"/>
          <w:szCs w:val="24"/>
          <w:rtl/>
        </w:rPr>
        <w:t xml:space="preserve"> {وضرب لنا مثلا ونسى خلقه قال من يحيى العظام وهي رميم، قل يحييها الذي أنشأها أول مرة وهو بكل خلق عليم} الآيتان 78،79 من سورة يس فاستدل بالخلق أول مرة على الإعادة، والعقل الصحيح يحكم بصحة هذا الدليل، ومن جحد حكم العقل هذا هالك لا محالة يقول الإمام فخر الدين بن المعلم القرشي في (نجم المهتدي)</w:t>
      </w:r>
      <w:r w:rsidRPr="00A52585">
        <w:rPr>
          <w:rFonts w:hint="cs"/>
          <w:sz w:val="24"/>
          <w:szCs w:val="24"/>
          <w:rtl/>
        </w:rPr>
        <w:t xml:space="preserve">: </w:t>
      </w:r>
      <w:r w:rsidR="00777DCB" w:rsidRPr="00A52585">
        <w:rPr>
          <w:rFonts w:hint="cs"/>
          <w:sz w:val="24"/>
          <w:szCs w:val="24"/>
          <w:rtl/>
        </w:rPr>
        <w:t xml:space="preserve">"مع أن الشرع قد عدَّل العقل وقبل شهادته واستدل به في </w:t>
      </w:r>
      <w:r w:rsidR="00777DCB" w:rsidRPr="00A52585">
        <w:rPr>
          <w:rFonts w:hint="cs"/>
          <w:spacing w:val="-8"/>
          <w:sz w:val="24"/>
          <w:szCs w:val="24"/>
          <w:rtl/>
        </w:rPr>
        <w:t>مواضع من</w:t>
      </w:r>
      <w:r w:rsidR="00777DCB" w:rsidRPr="00A52585">
        <w:rPr>
          <w:rFonts w:hint="cs"/>
          <w:sz w:val="24"/>
          <w:szCs w:val="24"/>
          <w:rtl/>
        </w:rPr>
        <w:t xml:space="preserve"> كتابه الكريم، كالاستدلال= بالإنشاء على الإعادة وكقوله تعالى</w:t>
      </w:r>
      <w:r w:rsidRPr="00A52585">
        <w:rPr>
          <w:rFonts w:hint="cs"/>
          <w:sz w:val="24"/>
          <w:szCs w:val="24"/>
          <w:rtl/>
        </w:rPr>
        <w:t>{</w:t>
      </w:r>
      <w:r w:rsidR="00777DCB" w:rsidRPr="00A52585">
        <w:rPr>
          <w:rFonts w:hint="cs"/>
          <w:sz w:val="24"/>
          <w:szCs w:val="24"/>
          <w:rtl/>
        </w:rPr>
        <w:t xml:space="preserve">لو كان فيهما آلهة إلا الله لفسدتا} وقوله تعالى {وما كان معه من إله إذا لذهب كل إله بما خلق ولعلا بعضهم على بعض} وقوله تعالى {أو لم ينظروا في ملكوت السماوات والأرض وما خلق الله من شيء} فيا خيبة من رد شاهداً قبله الله وأسقط </w:t>
      </w:r>
      <w:r w:rsidR="00777DCB" w:rsidRPr="00A52585">
        <w:rPr>
          <w:rFonts w:hint="cs"/>
          <w:sz w:val="24"/>
          <w:szCs w:val="24"/>
          <w:rtl/>
        </w:rPr>
        <w:lastRenderedPageBreak/>
        <w:t>دليلا نصبه الله "</w:t>
      </w:r>
      <w:r w:rsidRPr="00A52585">
        <w:rPr>
          <w:rFonts w:hint="cs"/>
          <w:sz w:val="24"/>
          <w:szCs w:val="24"/>
          <w:rtl/>
        </w:rPr>
        <w:t xml:space="preserve"> </w:t>
      </w:r>
      <w:r w:rsidR="00777DCB" w:rsidRPr="00A52585">
        <w:rPr>
          <w:rFonts w:hint="cs"/>
          <w:sz w:val="24"/>
          <w:szCs w:val="24"/>
          <w:rtl/>
        </w:rPr>
        <w:t>أهـ لوحة 305</w:t>
      </w:r>
      <w:r w:rsidR="00DB731D" w:rsidRPr="00A52585">
        <w:rPr>
          <w:rFonts w:hint="cs"/>
          <w:sz w:val="24"/>
          <w:szCs w:val="24"/>
          <w:rtl/>
        </w:rPr>
        <w:t>،</w:t>
      </w:r>
      <w:r w:rsidR="00777DCB" w:rsidRPr="00A52585">
        <w:rPr>
          <w:rFonts w:hint="cs"/>
          <w:sz w:val="24"/>
          <w:szCs w:val="24"/>
          <w:rtl/>
        </w:rPr>
        <w:t xml:space="preserve"> ويقول الشيخ عبد الرحمن حسن </w:t>
      </w:r>
      <w:proofErr w:type="spellStart"/>
      <w:r w:rsidR="00777DCB" w:rsidRPr="00A52585">
        <w:rPr>
          <w:rFonts w:hint="cs"/>
          <w:sz w:val="24"/>
          <w:szCs w:val="24"/>
          <w:rtl/>
        </w:rPr>
        <w:t>حبنكة</w:t>
      </w:r>
      <w:proofErr w:type="spellEnd"/>
      <w:r w:rsidR="00777DCB" w:rsidRPr="00A52585">
        <w:rPr>
          <w:rFonts w:hint="cs"/>
          <w:sz w:val="24"/>
          <w:szCs w:val="24"/>
          <w:rtl/>
        </w:rPr>
        <w:t xml:space="preserve"> الميداني في كتابه (ضوابط المعرفة) تحت عنوان</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(العقل والتفكير)</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اهتمت شريعة الله بشأن العقل والتفكر الموصل إلى الفهم الصحيح اهتماماً عظيماً، </w:t>
      </w:r>
      <w:r w:rsidR="00777DCB" w:rsidRPr="00A52585">
        <w:rPr>
          <w:rFonts w:hint="cs"/>
          <w:spacing w:val="-6"/>
          <w:sz w:val="24"/>
          <w:szCs w:val="24"/>
          <w:rtl/>
        </w:rPr>
        <w:t>وتواردت نصوص الكتاب والسنة على تمجيدهما والحث عليهما، وذمت الذين يعطلون عقولهم عمّا خلقت من أجله من تفكر سليم وعقل صحيح، وذمّت الذين لا يأخذون بوسائل الفهم المتينة وضوابطه الرصينة، والذين يكتفون بالتقليد الأعمى وما أشبهه من حجج واهيات، ويستمسكون بالباطل ويصرّون عليه؛ ولو قدّمت لهم الحجج القاطعات والبراهين الساطعات، على أن الحقّ في غير ما هم عليه، وأن ما هم عليه من أمرٍ باطلٌ يجب رفضه ومقاومته لا الأخذ به والانتصار له</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وهذه طائفة من البيانات القرآنيّة في هذا المجال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w:t>
      </w:r>
      <w:r w:rsidRPr="00A52585">
        <w:rPr>
          <w:rFonts w:hint="cs"/>
          <w:sz w:val="24"/>
          <w:szCs w:val="24"/>
          <w:rtl/>
        </w:rPr>
        <w:t>)</w:t>
      </w:r>
      <w:r w:rsidR="00777DCB" w:rsidRPr="00A52585">
        <w:rPr>
          <w:rFonts w:hint="cs"/>
          <w:sz w:val="24"/>
          <w:szCs w:val="24"/>
          <w:rtl/>
        </w:rPr>
        <w:t xml:space="preserve"> نهى القرآن الكريم عن اتباع ما ليس للإنسان به علم صحيح مستند إلى فهم سليم، وجعل وسائل المعرفة لديه مسؤولة يوم القيامة عن وظائفها التي خلقت للقيام بها في الدنيا، فقال الله تعالى في سورة (الإسراء 36)</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وَلاَ تَقْفُ مَا لَيْسَ لَكَ بِهِ عِلمٌ إنَّ السَّمعَ وَالْبَصَرَ وَالفُؤَادَ كُلُّ أوْلَئكَ كَانَ عَنْهُ مَسْئُولاً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 xml:space="preserve">ب- ومن الدَّعوة القرآنية إلى التفكر قول الله تعالى يعلِّم رسوله </w:t>
      </w:r>
      <w:r w:rsidR="00777DCB" w:rsidRPr="00A52585">
        <w:rPr>
          <w:rFonts w:hint="cs"/>
          <w:spacing w:val="-16"/>
          <w:sz w:val="24"/>
          <w:szCs w:val="24"/>
          <w:rtl/>
        </w:rPr>
        <w:t>ما يقول للمشركين في سورة (سبأ 46)</w:t>
      </w:r>
      <w:r w:rsidRPr="00A52585">
        <w:rPr>
          <w:rFonts w:hint="cs"/>
          <w:spacing w:val="-16"/>
          <w:sz w:val="24"/>
          <w:szCs w:val="24"/>
          <w:rtl/>
        </w:rPr>
        <w:t>:</w:t>
      </w:r>
      <w:r w:rsidR="00777DCB" w:rsidRPr="00A52585">
        <w:rPr>
          <w:rFonts w:hint="cs"/>
          <w:spacing w:val="-6"/>
          <w:sz w:val="24"/>
          <w:szCs w:val="24"/>
          <w:rtl/>
        </w:rPr>
        <w:t xml:space="preserve"> </w:t>
      </w:r>
      <w:r w:rsidRPr="00A52585">
        <w:rPr>
          <w:rFonts w:hint="cs"/>
          <w:sz w:val="24"/>
          <w:szCs w:val="24"/>
          <w:rtl/>
        </w:rPr>
        <w:t>{</w:t>
      </w:r>
      <w:r w:rsidR="00777DCB" w:rsidRPr="00A52585">
        <w:rPr>
          <w:rFonts w:hint="cs"/>
          <w:sz w:val="24"/>
          <w:szCs w:val="24"/>
          <w:rtl/>
        </w:rPr>
        <w:t xml:space="preserve">قُل إنَّمَا أَعِظُكُم بِوَاحِدَةٍ أَن تَقُومُوا لله مَثَنى </w:t>
      </w:r>
      <w:proofErr w:type="spellStart"/>
      <w:r w:rsidR="00777DCB" w:rsidRPr="00A52585">
        <w:rPr>
          <w:rFonts w:hint="cs"/>
          <w:sz w:val="24"/>
          <w:szCs w:val="24"/>
          <w:rtl/>
        </w:rPr>
        <w:t>وَفُرَدَى</w:t>
      </w:r>
      <w:proofErr w:type="spellEnd"/>
      <w:r w:rsidR="00777DCB" w:rsidRPr="00A52585">
        <w:rPr>
          <w:rFonts w:hint="cs"/>
          <w:sz w:val="24"/>
          <w:szCs w:val="24"/>
          <w:rtl/>
        </w:rPr>
        <w:t xml:space="preserve"> ثُمَّ تَتَفَكَّرُواْ مَا بِصَاحِبِكُم مِن جِنَّةٍ إن هُوَ إلا نَذِيرٌ لَّكُم بَيْنَ يَدَى عَذَابٍ شَدِيدٍ</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تعالى في سورة (الأنعام 50)</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 هَلْ يَستَوِي الأعْمَى وَالبَصِيرُ أفَلاَ تَتَفَكَّرُونَ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تعالى في سورة (الروم 8)</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أَوَلَمْ يَتَفَكَّرُواْ فيِ أنفُسِهِم مَّا خَلَقَ اللهُ السَّمَوَاتِ والأَرْضَ وَمَا بَيْنَهُمَا إِلاَّ بِالحَقِ وَأجَلٍ مُّسَمّىً وَإنَّ كَثِيراً مِنَ النَّاسِ </w:t>
      </w:r>
      <w:proofErr w:type="spellStart"/>
      <w:r w:rsidR="00777DCB" w:rsidRPr="00A52585">
        <w:rPr>
          <w:rFonts w:hint="cs"/>
          <w:sz w:val="24"/>
          <w:szCs w:val="24"/>
          <w:rtl/>
        </w:rPr>
        <w:t>بِلِقَائ</w:t>
      </w:r>
      <w:proofErr w:type="spellEnd"/>
      <w:r w:rsidR="00777DCB" w:rsidRPr="00A52585">
        <w:rPr>
          <w:rFonts w:hint="cs"/>
          <w:sz w:val="24"/>
          <w:szCs w:val="24"/>
          <w:rtl/>
        </w:rPr>
        <w:t xml:space="preserve"> رَبِّهِمْ لَكَفِرُونَ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تعالى في سورة (الحشر 21)</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وَتِلْكَ الأمْثَالُ نَضرِبُهَا للِنَّاسِ لَعَلَّهُمْ يَتَفَكَّرُونَ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وهكذا نجد ثمانية عشر نصّاً قرآنيّاً في التفكر والدعوة إليه</w:t>
      </w:r>
      <w:r w:rsidR="00DB731D" w:rsidRPr="00A52585">
        <w:rPr>
          <w:rFonts w:hint="cs"/>
          <w:sz w:val="24"/>
          <w:szCs w:val="24"/>
          <w:rtl/>
        </w:rPr>
        <w:t>،</w:t>
      </w:r>
      <w:r w:rsidR="00777DCB" w:rsidRPr="00A52585">
        <w:rPr>
          <w:rFonts w:hint="cs"/>
          <w:sz w:val="24"/>
          <w:szCs w:val="24"/>
          <w:rtl/>
        </w:rPr>
        <w:t xml:space="preserve"> ج- وأمّا العقل والدعوة إليه وبيان ضرورة الأخذ به وذمّ المجانبين له، فقد جاءت هذه في آيات من القرآن الكريم بلغت قرابة الخمسين آية، منها قول الله تعالى في سورة (الأنفال 22)</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إِنَّ شَرَّ </w:t>
      </w:r>
      <w:proofErr w:type="spellStart"/>
      <w:r w:rsidR="00777DCB" w:rsidRPr="00A52585">
        <w:rPr>
          <w:rFonts w:hint="cs"/>
          <w:sz w:val="24"/>
          <w:szCs w:val="24"/>
          <w:rtl/>
        </w:rPr>
        <w:t>الدَّوَآبِّ</w:t>
      </w:r>
      <w:proofErr w:type="spellEnd"/>
      <w:r w:rsidR="00777DCB" w:rsidRPr="00A52585">
        <w:rPr>
          <w:rFonts w:hint="cs"/>
          <w:sz w:val="24"/>
          <w:szCs w:val="24"/>
          <w:rtl/>
        </w:rPr>
        <w:t xml:space="preserve"> عِندَ اللهِ الصُّمُّ البُكْمُ الَّذِينَ لا يَعْقِلُونَ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سبحانه في سورة (الأنعام 32)</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وَلَلدَّارُ الأَخِرَةُ لِلَّذِينَ يَتَّقُونَ أفَلاَ تَعْقِلُونَ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 جلّ وعلا في سورة (البقرة 242)</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كَذَلِكَ يُبَيِّنُ اللهُ لَكُمْ </w:t>
      </w:r>
      <w:proofErr w:type="spellStart"/>
      <w:r w:rsidR="00777DCB" w:rsidRPr="00A52585">
        <w:rPr>
          <w:rFonts w:hint="cs"/>
          <w:sz w:val="24"/>
          <w:szCs w:val="24"/>
          <w:rtl/>
        </w:rPr>
        <w:t>ءَايَتِهِ</w:t>
      </w:r>
      <w:proofErr w:type="spellEnd"/>
      <w:r w:rsidR="00777DCB" w:rsidRPr="00A52585">
        <w:rPr>
          <w:rFonts w:hint="cs"/>
          <w:sz w:val="24"/>
          <w:szCs w:val="24"/>
          <w:rtl/>
        </w:rPr>
        <w:t xml:space="preserve"> لَعَلَّكُمْ تَعْقِلُونَ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د- وقد حثّ القرآن الكريم على الفقه، ونعى على الذين لا يفقهون وذمّ طريقتهم، والفقه هو الفهم الصحيح لحقائق الأمور، فمن ذلك قول الله تعالى في سورة (الأنعام 65)</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أنُظرْ كَيْفَ نُصَرِّفُ </w:t>
      </w:r>
      <w:proofErr w:type="spellStart"/>
      <w:r w:rsidR="00777DCB" w:rsidRPr="00A52585">
        <w:rPr>
          <w:rFonts w:hint="cs"/>
          <w:sz w:val="24"/>
          <w:szCs w:val="24"/>
          <w:rtl/>
        </w:rPr>
        <w:t>الأيَتِ</w:t>
      </w:r>
      <w:proofErr w:type="spellEnd"/>
      <w:r w:rsidR="00777DCB" w:rsidRPr="00A52585">
        <w:rPr>
          <w:rFonts w:hint="cs"/>
          <w:sz w:val="24"/>
          <w:szCs w:val="24"/>
          <w:rtl/>
        </w:rPr>
        <w:t xml:space="preserve"> لَعَلَّهُمْ يَفْقَهُونَ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ومما جاء في ذمّ الذين لا يفقهون، معطِّلين أجهزة الفقه التي منحهم الله إياها، وأن طريقتهم هذه ستأخذ بأيديهم إلى جهنم، قول الله عزّ وجلّ في سورة (الأعراف 179)</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وَلَقَدْ ذَرَأنَا لِجَهَنَّمَ كَثِيرًا مِّنَ الجِنِّ وَالإنسِ لَهُمْ قُلُوبٌ لاَّ يَفْقَهُونَ بِهَا وَلَهُمْ أعْيُنٌ لاَّ يُبْصِروُنَ بِهَا وَلَهُمْ آذّانٌ لاَّ يَسْمَعُونَ بِهَا أوْلئكَ كَالأَنْعَمِ بَلْ هُمْ أضَلُّ أُوْلئكَ هُمْ </w:t>
      </w:r>
      <w:proofErr w:type="spellStart"/>
      <w:r w:rsidR="00777DCB" w:rsidRPr="00A52585">
        <w:rPr>
          <w:rFonts w:hint="cs"/>
          <w:sz w:val="24"/>
          <w:szCs w:val="24"/>
          <w:rtl/>
        </w:rPr>
        <w:t>الغَفِلُونَ</w:t>
      </w:r>
      <w:proofErr w:type="spellEnd"/>
      <w:r w:rsidRPr="00A52585">
        <w:rPr>
          <w:rFonts w:hint="cs"/>
          <w:sz w:val="24"/>
          <w:szCs w:val="24"/>
          <w:rtl/>
        </w:rPr>
        <w:t xml:space="preserve">} </w:t>
      </w:r>
      <w:r w:rsidR="00777DCB" w:rsidRPr="00A52585">
        <w:rPr>
          <w:rFonts w:hint="cs"/>
          <w:sz w:val="24"/>
          <w:szCs w:val="24"/>
          <w:rtl/>
        </w:rPr>
        <w:t>" أهـ</w:t>
      </w:r>
      <w:r w:rsidR="00DB731D" w:rsidRPr="00A52585">
        <w:rPr>
          <w:rFonts w:hint="cs"/>
          <w:sz w:val="24"/>
          <w:szCs w:val="24"/>
          <w:rtl/>
        </w:rPr>
        <w:t>،</w:t>
      </w:r>
      <w:r w:rsidR="00777DCB" w:rsidRPr="00A52585">
        <w:rPr>
          <w:rFonts w:hint="cs"/>
          <w:sz w:val="24"/>
          <w:szCs w:val="24"/>
          <w:rtl/>
        </w:rPr>
        <w:t xml:space="preserve"> وقد تبين من الآيات السابقة قيمة العقل في القرآن الكريم وكذا قيمة التفكر أو التفكير الذي هو استخدام هذا العقل في الجمع بين المعلومات والمدركات والتصورات الحسية المباشرة رابطا بينها بالعلاقات المنطقية (</w:t>
      </w:r>
      <w:proofErr w:type="spellStart"/>
      <w:r w:rsidR="00777DCB" w:rsidRPr="00A52585">
        <w:rPr>
          <w:rFonts w:hint="cs"/>
          <w:sz w:val="24"/>
          <w:szCs w:val="24"/>
          <w:rtl/>
        </w:rPr>
        <w:t>البدهيات</w:t>
      </w:r>
      <w:proofErr w:type="spellEnd"/>
      <w:r w:rsidR="00777DCB" w:rsidRPr="00A52585">
        <w:rPr>
          <w:rFonts w:hint="cs"/>
          <w:sz w:val="24"/>
          <w:szCs w:val="24"/>
          <w:rtl/>
        </w:rPr>
        <w:t xml:space="preserve"> العقلية) وبما يؤدي إلى </w:t>
      </w:r>
      <w:r w:rsidR="00777DCB" w:rsidRPr="00A52585">
        <w:rPr>
          <w:rFonts w:hint="cs"/>
          <w:spacing w:val="-4"/>
          <w:sz w:val="24"/>
          <w:szCs w:val="24"/>
          <w:rtl/>
        </w:rPr>
        <w:t>استخراج معلومات جديدة</w:t>
      </w:r>
      <w:r w:rsidR="00777DCB" w:rsidRPr="00A52585">
        <w:rPr>
          <w:rFonts w:hint="cs"/>
          <w:sz w:val="24"/>
          <w:szCs w:val="24"/>
          <w:rtl/>
        </w:rPr>
        <w:t xml:space="preserve"> أرقى وأشمل من أن ينالها الإدراك الحسي وبما يؤدي إلى حل مشكلاته وتحقيق أهدافه وعلى رأسها كيف يعرف مراد الله منه وكيف يتعرض لنفحات رحمته وهدايته فيفوز بسعادة الدارين وهذا الفوز مرتبط بقدر تحرره من قيود حسِّه وهواه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فلو أنكم قلتم</w:t>
      </w:r>
      <w:r w:rsidRPr="00A52585">
        <w:rPr>
          <w:rFonts w:hint="cs"/>
          <w:rtl/>
        </w:rPr>
        <w:t>:</w:t>
      </w:r>
      <w:r w:rsidR="00777DCB" w:rsidRPr="00A52585">
        <w:rPr>
          <w:rFonts w:hint="cs"/>
          <w:rtl/>
        </w:rPr>
        <w:t xml:space="preserve"> نقرأ الأحاديث ونسكت لما أنكر أحد عليكم</w:t>
      </w:r>
      <w:r w:rsidR="00DB731D" w:rsidRPr="00A52585">
        <w:rPr>
          <w:rFonts w:hint="cs"/>
          <w:rtl/>
        </w:rPr>
        <w:t>،</w:t>
      </w:r>
      <w:r w:rsidR="00777DCB" w:rsidRPr="00A52585">
        <w:rPr>
          <w:rFonts w:hint="cs"/>
          <w:rtl/>
        </w:rPr>
        <w:t xml:space="preserve"> فلا تدخلوا في مذهب هذا الرجل الصالح السلفي - أعني الإمام أحمد - ما ليس منه فلقد كسوتم هذا المذهب شينا قبيحا حتى صار لا يقال عن حنبلي إلا مجسم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الإمام تاج الدين السبكي </w:t>
      </w:r>
      <w:r w:rsidR="00777DCB" w:rsidRPr="00A52585">
        <w:rPr>
          <w:rFonts w:hint="cs"/>
          <w:sz w:val="24"/>
          <w:szCs w:val="24"/>
          <w:rtl/>
        </w:rPr>
        <w:lastRenderedPageBreak/>
        <w:t xml:space="preserve">في كتابه قاعدة في الجرح والتعديل وقاعدة في المؤرخين بتحقيق الشيخ عبد الفتاح أبو </w:t>
      </w:r>
      <w:proofErr w:type="spellStart"/>
      <w:r w:rsidR="00777DCB" w:rsidRPr="00A52585">
        <w:rPr>
          <w:rFonts w:hint="cs"/>
          <w:sz w:val="24"/>
          <w:szCs w:val="24"/>
          <w:rtl/>
        </w:rPr>
        <w:t>عذة</w:t>
      </w:r>
      <w:proofErr w:type="spellEnd"/>
      <w:r w:rsidR="00777DCB" w:rsidRPr="00A52585">
        <w:rPr>
          <w:rFonts w:hint="cs"/>
          <w:sz w:val="24"/>
          <w:szCs w:val="24"/>
          <w:rtl/>
        </w:rPr>
        <w:t xml:space="preserve"> ص 49-50</w:t>
      </w:r>
      <w:r w:rsidRPr="00A52585">
        <w:rPr>
          <w:rFonts w:hint="cs"/>
          <w:sz w:val="24"/>
          <w:szCs w:val="24"/>
          <w:rtl/>
        </w:rPr>
        <w:t>:</w:t>
      </w:r>
      <w:r w:rsidR="00777DCB" w:rsidRPr="00A52585">
        <w:rPr>
          <w:rFonts w:hint="cs"/>
          <w:sz w:val="24"/>
          <w:szCs w:val="24"/>
          <w:rtl/>
        </w:rPr>
        <w:t xml:space="preserve"> بعد أن تحدث عن فرقة الخطابية المجسمة ما نصه</w:t>
      </w:r>
      <w:r w:rsidRPr="00A52585">
        <w:rPr>
          <w:rFonts w:hint="cs"/>
          <w:sz w:val="24"/>
          <w:szCs w:val="24"/>
          <w:rtl/>
        </w:rPr>
        <w:t xml:space="preserve">: </w:t>
      </w:r>
      <w:r w:rsidR="00777DCB" w:rsidRPr="00A52585">
        <w:rPr>
          <w:rFonts w:hint="cs"/>
          <w:sz w:val="24"/>
          <w:szCs w:val="24"/>
          <w:rtl/>
        </w:rPr>
        <w:t>" ثم يَعتَزُون إلى الإمام أحمد بن حنبل رضي الله عنه</w:t>
      </w:r>
      <w:r w:rsidR="00DB731D" w:rsidRPr="00A52585">
        <w:rPr>
          <w:rFonts w:hint="cs"/>
          <w:sz w:val="24"/>
          <w:szCs w:val="24"/>
          <w:rtl/>
        </w:rPr>
        <w:t>،</w:t>
      </w:r>
      <w:r w:rsidR="00777DCB" w:rsidRPr="00A52585">
        <w:rPr>
          <w:rFonts w:hint="cs"/>
          <w:sz w:val="24"/>
          <w:szCs w:val="24"/>
          <w:rtl/>
        </w:rPr>
        <w:t xml:space="preserve"> وهو منهم برئ ولكنه كما قال بعض العارفين، ورأيته بخط الشيخ تقي الدين بن الصلاح</w:t>
      </w:r>
      <w:r w:rsidRPr="00A52585">
        <w:rPr>
          <w:rFonts w:hint="cs"/>
          <w:sz w:val="24"/>
          <w:szCs w:val="24"/>
          <w:rtl/>
        </w:rPr>
        <w:t>:</w:t>
      </w:r>
      <w:r w:rsidR="00777DCB" w:rsidRPr="00A52585">
        <w:rPr>
          <w:rFonts w:hint="cs"/>
          <w:sz w:val="24"/>
          <w:szCs w:val="24"/>
          <w:rtl/>
        </w:rPr>
        <w:t xml:space="preserve"> إمامان ابتلاهما الله بأصحابهما وهما بريئان منهم، أحمد بن حنبل، ابتُلي بالمجسِّمة، وجعفر الصادق ابتلي بالرافضة " اهـ</w:t>
      </w:r>
      <w:r w:rsidRPr="00A52585">
        <w:rPr>
          <w:rFonts w:hint="cs"/>
          <w:sz w:val="24"/>
          <w:szCs w:val="24"/>
          <w:rtl/>
        </w:rPr>
        <w:t>]</w:t>
      </w:r>
      <w:r w:rsidR="00DB731D" w:rsidRPr="00A52585">
        <w:rPr>
          <w:rFonts w:hint="cs"/>
          <w:rtl/>
        </w:rPr>
        <w:t>،</w:t>
      </w:r>
      <w:r w:rsidR="00777DCB" w:rsidRPr="00A52585">
        <w:rPr>
          <w:rFonts w:hint="cs"/>
          <w:rtl/>
        </w:rPr>
        <w:t xml:space="preserve"> ثم زينتم مذهبكم بالعصبية ليزيد وقد علمتم أن صاحب المذهب أجاز لعنته</w:t>
      </w:r>
      <w:r w:rsidR="00DB731D" w:rsidRPr="00A52585">
        <w:rPr>
          <w:rFonts w:hint="cs"/>
          <w:rtl/>
        </w:rPr>
        <w:t>،</w:t>
      </w:r>
      <w:r w:rsidR="00777DCB" w:rsidRPr="00A52585">
        <w:rPr>
          <w:rFonts w:hint="cs"/>
          <w:rtl/>
        </w:rPr>
        <w:t xml:space="preserve"> وقد كان أبو محمد التميمي يقول في بعض أئمتكم</w:t>
      </w:r>
      <w:r w:rsidR="00777DCB" w:rsidRPr="00A52585">
        <w:rPr>
          <w:rFonts w:hint="cs"/>
          <w:rtl/>
          <w:lang w:bidi="ar-KW"/>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يشير إلى القاضي أبي يعلي الفراء</w:t>
      </w:r>
      <w:r w:rsidRPr="00A52585">
        <w:rPr>
          <w:rFonts w:hint="cs"/>
          <w:sz w:val="24"/>
          <w:szCs w:val="24"/>
          <w:rtl/>
        </w:rPr>
        <w:t>]</w:t>
      </w:r>
      <w:r w:rsidRPr="00A52585">
        <w:rPr>
          <w:rFonts w:hint="cs"/>
          <w:rtl/>
        </w:rPr>
        <w:t>:</w:t>
      </w:r>
      <w:r w:rsidR="00777DCB" w:rsidRPr="00A52585">
        <w:rPr>
          <w:rFonts w:hint="cs"/>
          <w:rtl/>
        </w:rPr>
        <w:t xml:space="preserve"> لقد شان المذهب شينا قبيحا لا يغسل إلى يوم القيامة </w:t>
      </w:r>
      <w:proofErr w:type="spellStart"/>
      <w:r w:rsidR="00777DCB" w:rsidRPr="00A52585">
        <w:rPr>
          <w:rFonts w:hint="cs"/>
          <w:rtl/>
        </w:rPr>
        <w:t>أ.ه</w:t>
      </w:r>
      <w:proofErr w:type="spellEnd"/>
      <w:r w:rsidR="00777DCB" w:rsidRPr="00A52585">
        <w:rPr>
          <w:rFonts w:hint="cs"/>
          <w:rtl/>
        </w:rPr>
        <w:t xml:space="preserve">ـ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انتهى كلام الإمام ابن الجوزي من دفع شبه التشبيه له (ص97-102) طبعة دار الإمام النووي - عمان وطبعة مصر (ص 26-29)</w:t>
      </w:r>
      <w:r w:rsidRPr="00A52585">
        <w:rPr>
          <w:rFonts w:hint="cs"/>
          <w:sz w:val="24"/>
          <w:szCs w:val="24"/>
          <w:rtl/>
        </w:rPr>
        <w:t>]</w:t>
      </w:r>
      <w:r w:rsidR="00DB731D" w:rsidRPr="00A52585">
        <w:rPr>
          <w:rFonts w:hint="cs"/>
          <w:sz w:val="24"/>
          <w:szCs w:val="24"/>
          <w:rtl/>
        </w:rPr>
        <w:t>،</w:t>
      </w:r>
      <w:r w:rsidR="00777DCB" w:rsidRPr="00A52585">
        <w:rPr>
          <w:rFonts w:hint="cs"/>
          <w:rtl/>
        </w:rPr>
        <w:t xml:space="preserve"> فالحاصل من كلام ابن حامد والقاضي </w:t>
      </w:r>
      <w:proofErr w:type="spellStart"/>
      <w:r w:rsidR="00777DCB" w:rsidRPr="00A52585">
        <w:rPr>
          <w:rFonts w:hint="cs"/>
          <w:rtl/>
        </w:rPr>
        <w:t>والزاغوني</w:t>
      </w:r>
      <w:proofErr w:type="spellEnd"/>
      <w:r w:rsidR="00777DCB" w:rsidRPr="00A52585">
        <w:rPr>
          <w:rFonts w:hint="cs"/>
          <w:rtl/>
        </w:rPr>
        <w:t xml:space="preserve"> من التشبيه والصفات التي لا تليق بجناب الحق سبحانه وتعالى</w:t>
      </w:r>
      <w:r w:rsidR="00DB731D" w:rsidRPr="00A52585">
        <w:rPr>
          <w:rFonts w:hint="cs"/>
          <w:rtl/>
        </w:rPr>
        <w:t>،</w:t>
      </w:r>
      <w:r w:rsidR="00777DCB" w:rsidRPr="00A52585">
        <w:rPr>
          <w:rFonts w:hint="cs"/>
          <w:rtl/>
        </w:rPr>
        <w:t xml:space="preserve"> وهي نزعة يهودية في التجسيم ونزعة سامرية في التشبيه</w:t>
      </w:r>
      <w:r w:rsidR="00DB731D" w:rsidRPr="00A52585">
        <w:rPr>
          <w:rFonts w:hint="cs"/>
          <w:rtl/>
        </w:rPr>
        <w:t>،</w:t>
      </w:r>
      <w:r w:rsidR="00777DCB" w:rsidRPr="00A52585">
        <w:rPr>
          <w:rFonts w:hint="cs"/>
          <w:rtl/>
        </w:rPr>
        <w:t xml:space="preserve"> وكذا نزعة نصرانية</w:t>
      </w:r>
      <w:r w:rsidR="00DB731D" w:rsidRPr="00A52585">
        <w:rPr>
          <w:rFonts w:hint="cs"/>
          <w:rtl/>
        </w:rPr>
        <w:t>،</w:t>
      </w:r>
      <w:r w:rsidR="00777DCB" w:rsidRPr="00A52585">
        <w:rPr>
          <w:rFonts w:hint="cs"/>
          <w:rtl/>
        </w:rPr>
        <w:t xml:space="preserve"> فإنه لما قيل في عيسى عليه السلام أنه روح الله سبحانه وتعالى</w:t>
      </w:r>
      <w:r w:rsidR="00DB731D" w:rsidRPr="00A52585">
        <w:rPr>
          <w:rFonts w:hint="cs"/>
          <w:rtl/>
        </w:rPr>
        <w:t>،</w:t>
      </w:r>
      <w:r w:rsidR="00777DCB" w:rsidRPr="00A52585">
        <w:rPr>
          <w:rFonts w:hint="cs"/>
          <w:rtl/>
        </w:rPr>
        <w:t xml:space="preserve"> اعتقدت النصارى أن لله سبحانه وتعالى صفة هي روح ولجت في مريم عليها السلام</w:t>
      </w:r>
      <w:r w:rsidR="00DB731D" w:rsidRPr="00A52585">
        <w:rPr>
          <w:rFonts w:hint="cs"/>
          <w:rtl/>
        </w:rPr>
        <w:t>،</w:t>
      </w:r>
      <w:r w:rsidR="00777DCB" w:rsidRPr="00A52585">
        <w:rPr>
          <w:rFonts w:hint="cs"/>
          <w:rtl/>
        </w:rPr>
        <w:t xml:space="preserve"> وهؤلاء وقع لهم الغلط من سوء فهمهم</w:t>
      </w:r>
      <w:r w:rsidR="00DB731D" w:rsidRPr="00A52585">
        <w:rPr>
          <w:rFonts w:hint="cs"/>
          <w:rtl/>
        </w:rPr>
        <w:t>،</w:t>
      </w:r>
      <w:r w:rsidR="00777DCB" w:rsidRPr="00A52585">
        <w:rPr>
          <w:rFonts w:hint="cs"/>
          <w:rtl/>
        </w:rPr>
        <w:t xml:space="preserve"> وما ذاك إلا أنهم سموا الأخبار أخبار صفات وإنما هي إضافات</w:t>
      </w:r>
      <w:r w:rsidR="00DB731D" w:rsidRPr="00A52585">
        <w:rPr>
          <w:rFonts w:hint="cs"/>
          <w:rtl/>
        </w:rPr>
        <w:t>،</w:t>
      </w:r>
      <w:r w:rsidR="00777DCB" w:rsidRPr="00A52585">
        <w:rPr>
          <w:rFonts w:hint="cs"/>
          <w:rtl/>
        </w:rPr>
        <w:t xml:space="preserve"> وليس كل مضاف صفة فإنه سبحانه وتعالى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وَنَفَخْتُ فِيهِ مِن رُوحِي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الآية 29 من سورة الحجر</w:t>
      </w:r>
      <w:r w:rsidR="00DB731D" w:rsidRPr="00A52585">
        <w:rPr>
          <w:rFonts w:hint="cs"/>
          <w:rtl/>
        </w:rPr>
        <w:t>،</w:t>
      </w:r>
      <w:r w:rsidR="00777DCB" w:rsidRPr="00A52585">
        <w:rPr>
          <w:rFonts w:hint="cs"/>
          <w:rtl/>
        </w:rPr>
        <w:t xml:space="preserve"> والآية 72 من سورة ص</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وليس لله صفة تسمى روحاً</w:t>
      </w:r>
      <w:r w:rsidR="00DB731D" w:rsidRPr="00A52585">
        <w:rPr>
          <w:rFonts w:hint="cs"/>
          <w:rtl/>
        </w:rPr>
        <w:t>،</w:t>
      </w:r>
      <w:r w:rsidR="00777DCB" w:rsidRPr="00A52585">
        <w:rPr>
          <w:rFonts w:hint="cs"/>
          <w:rtl/>
        </w:rPr>
        <w:t xml:space="preserve"> فقد ابتدع من سمى المضاف صفة</w:t>
      </w:r>
      <w:r w:rsidR="00DB731D" w:rsidRPr="00A52585">
        <w:rPr>
          <w:rFonts w:hint="cs"/>
          <w:rtl/>
        </w:rPr>
        <w:t>،</w:t>
      </w:r>
      <w:r w:rsidR="00777DCB" w:rsidRPr="00A52585">
        <w:rPr>
          <w:rFonts w:hint="cs"/>
          <w:rtl/>
        </w:rPr>
        <w:t xml:space="preserve"> ونادى على نفسه بالجهل وسوء الفهم</w:t>
      </w:r>
      <w:r w:rsidR="00DB731D" w:rsidRPr="00A52585">
        <w:rPr>
          <w:rFonts w:hint="cs"/>
          <w:rtl/>
        </w:rPr>
        <w:t>،</w:t>
      </w:r>
      <w:r w:rsidR="00777DCB" w:rsidRPr="00A52585">
        <w:rPr>
          <w:rFonts w:hint="cs"/>
          <w:rtl/>
        </w:rPr>
        <w:t xml:space="preserve"> ثم إنهم في مواضع يؤولون بالتشهي</w:t>
      </w:r>
      <w:r w:rsidR="00DB731D" w:rsidRPr="00A52585">
        <w:rPr>
          <w:rFonts w:hint="cs"/>
          <w:rtl/>
        </w:rPr>
        <w:t>،</w:t>
      </w:r>
      <w:r w:rsidR="00777DCB" w:rsidRPr="00A52585">
        <w:rPr>
          <w:rFonts w:hint="cs"/>
          <w:rtl/>
        </w:rPr>
        <w:t xml:space="preserve"> وفي مواضع أغراضهم الفاسدة يجرون الأحاديث على مقتضى العرف والحس</w:t>
      </w:r>
      <w:r w:rsidR="00DB731D" w:rsidRPr="00A52585">
        <w:rPr>
          <w:rFonts w:hint="cs"/>
          <w:rtl/>
        </w:rPr>
        <w:t>،</w:t>
      </w:r>
      <w:r w:rsidR="00777DCB" w:rsidRPr="00A52585">
        <w:rPr>
          <w:rFonts w:hint="cs"/>
          <w:rtl/>
        </w:rPr>
        <w:t xml:space="preserve"> ويقولون</w:t>
      </w:r>
      <w:r w:rsidRPr="00A52585">
        <w:rPr>
          <w:rFonts w:hint="cs"/>
          <w:rtl/>
        </w:rPr>
        <w:t>:</w:t>
      </w:r>
      <w:r w:rsidR="00777DCB" w:rsidRPr="00A52585">
        <w:rPr>
          <w:rFonts w:hint="cs"/>
          <w:rtl/>
        </w:rPr>
        <w:t xml:space="preserve"> </w:t>
      </w:r>
      <w:proofErr w:type="spellStart"/>
      <w:r w:rsidR="00777DCB" w:rsidRPr="00A52585">
        <w:rPr>
          <w:rFonts w:hint="cs"/>
          <w:rtl/>
        </w:rPr>
        <w:t>يترل</w:t>
      </w:r>
      <w:proofErr w:type="spellEnd"/>
      <w:r w:rsidR="00777DCB" w:rsidRPr="00A52585">
        <w:rPr>
          <w:rFonts w:hint="cs"/>
          <w:rtl/>
        </w:rPr>
        <w:t xml:space="preserve"> بذاته وينتقل ويتحرك ويجلس على العرش بذاته</w:t>
      </w:r>
      <w:r w:rsidR="00DB731D" w:rsidRPr="00A52585">
        <w:rPr>
          <w:rFonts w:hint="cs"/>
          <w:rtl/>
        </w:rPr>
        <w:t>،</w:t>
      </w:r>
      <w:r w:rsidR="00777DCB" w:rsidRPr="00A52585">
        <w:rPr>
          <w:rFonts w:hint="cs"/>
          <w:rtl/>
        </w:rPr>
        <w:t xml:space="preserve"> ثم يقولون</w:t>
      </w:r>
      <w:r w:rsidRPr="00A52585">
        <w:rPr>
          <w:rFonts w:hint="cs"/>
          <w:rtl/>
        </w:rPr>
        <w:t>:</w:t>
      </w:r>
      <w:r w:rsidR="00777DCB" w:rsidRPr="00A52585">
        <w:rPr>
          <w:rFonts w:hint="cs"/>
          <w:rtl/>
        </w:rPr>
        <w:t xml:space="preserve"> لا كما يعقل</w:t>
      </w:r>
      <w:r w:rsidR="00F95886" w:rsidRPr="00A52585">
        <w:rPr>
          <w:rFonts w:hint="cs"/>
          <w:rtl/>
        </w:rPr>
        <w:t>!!</w:t>
      </w:r>
      <w:r w:rsidR="00777DCB" w:rsidRPr="00A52585">
        <w:rPr>
          <w:rFonts w:hint="cs"/>
          <w:rtl/>
        </w:rPr>
        <w:t xml:space="preserve"> يغالطون بذلك من يسمع من عامي وسيء الفهم</w:t>
      </w:r>
      <w:r w:rsidR="00DB731D" w:rsidRPr="00A52585">
        <w:rPr>
          <w:rFonts w:hint="cs"/>
          <w:rtl/>
        </w:rPr>
        <w:t>،</w:t>
      </w:r>
      <w:r w:rsidR="00777DCB" w:rsidRPr="00A52585">
        <w:rPr>
          <w:rFonts w:hint="cs"/>
          <w:rtl/>
        </w:rPr>
        <w:t xml:space="preserve"> وذلك عين التناقض</w:t>
      </w:r>
      <w:r w:rsidR="00DB731D" w:rsidRPr="00A52585">
        <w:rPr>
          <w:rFonts w:hint="cs"/>
          <w:rtl/>
        </w:rPr>
        <w:t>،</w:t>
      </w:r>
      <w:r w:rsidR="00777DCB" w:rsidRPr="00A52585">
        <w:rPr>
          <w:rFonts w:hint="cs"/>
          <w:rtl/>
        </w:rPr>
        <w:t xml:space="preserve"> ومكابرة في الحس والعقل</w:t>
      </w:r>
      <w:r w:rsidR="00DB731D" w:rsidRPr="00A52585">
        <w:rPr>
          <w:rFonts w:hint="cs"/>
          <w:rtl/>
        </w:rPr>
        <w:t>،</w:t>
      </w:r>
      <w:r w:rsidR="00777DCB" w:rsidRPr="00A52585">
        <w:rPr>
          <w:rFonts w:hint="cs"/>
          <w:rtl/>
        </w:rPr>
        <w:t xml:space="preserve"> لأنه كلام متهافت يدفع آخره أوله وأوله آخره</w:t>
      </w:r>
      <w:r w:rsidR="00DB731D" w:rsidRPr="00A52585">
        <w:rPr>
          <w:rFonts w:hint="cs"/>
          <w:rtl/>
        </w:rPr>
        <w:t>،</w:t>
      </w:r>
      <w:r w:rsidR="00777DCB" w:rsidRPr="00A52585">
        <w:rPr>
          <w:rFonts w:hint="cs"/>
          <w:rtl/>
        </w:rPr>
        <w:t xml:space="preserve"> وفي كلامهم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ننـزهه غير أن لا ننفي عنه حقيقة النزول</w:t>
      </w:r>
      <w:r w:rsidRPr="00A52585">
        <w:rPr>
          <w:rFonts w:hint="cs"/>
          <w:rtl/>
        </w:rPr>
        <w:t>)</w:t>
      </w:r>
      <w:r w:rsidR="00777DCB" w:rsidRPr="00A52585">
        <w:rPr>
          <w:rFonts w:hint="cs"/>
          <w:rtl/>
        </w:rPr>
        <w:t>) وهو كلام من لا يتعقل ما يقول</w:t>
      </w:r>
      <w:r w:rsidR="00DB731D" w:rsidRPr="00A52585">
        <w:rPr>
          <w:rFonts w:hint="cs"/>
          <w:rtl/>
        </w:rPr>
        <w:t>،</w:t>
      </w:r>
      <w:r w:rsidR="00777DCB" w:rsidRPr="00A52585">
        <w:rPr>
          <w:rFonts w:hint="cs"/>
          <w:rtl/>
        </w:rPr>
        <w:t xml:space="preserve"> ومثله قول بعضهم</w:t>
      </w:r>
      <w:r w:rsidRPr="00A52585">
        <w:rPr>
          <w:rFonts w:hint="cs"/>
          <w:rtl/>
        </w:rPr>
        <w:t>:</w:t>
      </w:r>
      <w:r w:rsidR="00777DCB" w:rsidRPr="00A52585">
        <w:rPr>
          <w:rFonts w:hint="cs"/>
          <w:rtl/>
        </w:rPr>
        <w:t xml:space="preserve"> المفهوم من قوله تعالى</w:t>
      </w:r>
      <w:r w:rsidRPr="00A52585">
        <w:rPr>
          <w:rFonts w:hint="cs"/>
          <w:rtl/>
        </w:rPr>
        <w:t>:</w:t>
      </w:r>
      <w:r w:rsidR="00777DCB" w:rsidRPr="00A52585">
        <w:rPr>
          <w:rFonts w:hint="cs"/>
          <w:rtl/>
        </w:rPr>
        <w:t xml:space="preserve"> {هُوَ الحَيَّ} </w:t>
      </w:r>
      <w:r w:rsidRPr="00A52585">
        <w:rPr>
          <w:rFonts w:hint="cs"/>
          <w:rtl/>
        </w:rPr>
        <w:t>[</w:t>
      </w:r>
      <w:r w:rsidR="00777DCB" w:rsidRPr="00A52585">
        <w:rPr>
          <w:rFonts w:hint="cs"/>
          <w:rtl/>
        </w:rPr>
        <w:t>الآية 255 من سورة البقرة، والآية 2 من سورة آل عمران، والآية 65 من سورة غافر</w:t>
      </w:r>
      <w:r w:rsidRPr="00A52585">
        <w:rPr>
          <w:rFonts w:hint="cs"/>
          <w:rtl/>
        </w:rPr>
        <w:t>]</w:t>
      </w:r>
      <w:r w:rsidR="00DB731D" w:rsidRPr="00A52585">
        <w:rPr>
          <w:rFonts w:hint="cs"/>
          <w:rtl/>
        </w:rPr>
        <w:t>،</w:t>
      </w:r>
      <w:r w:rsidR="00777DCB" w:rsidRPr="00A52585">
        <w:rPr>
          <w:rFonts w:hint="cs"/>
          <w:rtl/>
        </w:rPr>
        <w:t xml:space="preserve"> في حقه هو المفهوم في حقنا</w:t>
      </w:r>
      <w:r w:rsidR="00DB731D" w:rsidRPr="00A52585">
        <w:rPr>
          <w:rFonts w:hint="cs"/>
          <w:rtl/>
        </w:rPr>
        <w:t>،</w:t>
      </w:r>
      <w:r w:rsidR="00777DCB" w:rsidRPr="00A52585">
        <w:rPr>
          <w:rFonts w:hint="cs"/>
          <w:rtl/>
        </w:rPr>
        <w:t xml:space="preserve"> إلا أنه ليس كمثله شيء</w:t>
      </w:r>
      <w:r w:rsidR="00DB731D" w:rsidRPr="00A52585">
        <w:rPr>
          <w:rFonts w:hint="cs"/>
          <w:rtl/>
        </w:rPr>
        <w:t>،</w:t>
      </w:r>
      <w:r w:rsidR="00777DCB" w:rsidRPr="00A52585">
        <w:rPr>
          <w:rFonts w:hint="cs"/>
          <w:rtl/>
        </w:rPr>
        <w:t xml:space="preserve"> فانظر أرشدك الله كيف حكم بالتشبيه المساوي ثم عقبه بهذا التناقض الصريح</w:t>
      </w:r>
      <w:r w:rsidR="00DB731D" w:rsidRPr="00A52585">
        <w:rPr>
          <w:rFonts w:hint="cs"/>
          <w:rtl/>
        </w:rPr>
        <w:t>،</w:t>
      </w:r>
      <w:r w:rsidR="00777DCB" w:rsidRPr="00A52585">
        <w:rPr>
          <w:rFonts w:hint="cs"/>
          <w:rtl/>
        </w:rPr>
        <w:t xml:space="preserve"> وهذا لا يرضى أن يقوله من له أدنى </w:t>
      </w:r>
      <w:proofErr w:type="spellStart"/>
      <w:r w:rsidR="00777DCB" w:rsidRPr="00A52585">
        <w:rPr>
          <w:rFonts w:hint="cs"/>
          <w:rtl/>
        </w:rPr>
        <w:t>أدنى</w:t>
      </w:r>
      <w:proofErr w:type="spellEnd"/>
      <w:r w:rsidR="00777DCB" w:rsidRPr="00A52585">
        <w:rPr>
          <w:rFonts w:hint="cs"/>
          <w:rtl/>
        </w:rPr>
        <w:t xml:space="preserve"> رويه</w:t>
      </w:r>
      <w:r w:rsidR="00DB731D" w:rsidRPr="00A52585">
        <w:rPr>
          <w:rFonts w:hint="cs"/>
          <w:rtl/>
        </w:rPr>
        <w:t>،</w:t>
      </w:r>
      <w:r w:rsidR="00777DCB" w:rsidRPr="00A52585">
        <w:rPr>
          <w:rFonts w:hint="cs"/>
          <w:rtl/>
        </w:rPr>
        <w:t xml:space="preserve"> ولهم مثل هذه التناقضات ما لا يحصى</w:t>
      </w:r>
      <w:r w:rsidR="00DB731D" w:rsidRPr="00A52585">
        <w:rPr>
          <w:rFonts w:hint="cs"/>
          <w:rtl/>
        </w:rPr>
        <w:t>،</w:t>
      </w:r>
      <w:r w:rsidR="00777DCB" w:rsidRPr="00A52585">
        <w:rPr>
          <w:rFonts w:hint="cs"/>
          <w:rtl/>
        </w:rPr>
        <w:t xml:space="preserve"> ومن التناقض الواضح دعواهم أنه مستقر على العرش مع قولهم في قوله تعالى</w:t>
      </w:r>
      <w:r w:rsidRPr="00A52585">
        <w:rPr>
          <w:rFonts w:hint="cs"/>
          <w:rtl/>
        </w:rPr>
        <w:t>:</w:t>
      </w:r>
      <w:r w:rsidR="00777DCB" w:rsidRPr="00A52585">
        <w:rPr>
          <w:rFonts w:hint="cs"/>
          <w:rtl/>
        </w:rPr>
        <w:t xml:space="preserve"> {أَأَمِنْتُم مَن في السَّمَاءِ} </w:t>
      </w:r>
      <w:r w:rsidRPr="00A52585">
        <w:rPr>
          <w:rFonts w:hint="cs"/>
          <w:rtl/>
        </w:rPr>
        <w:t>[</w:t>
      </w:r>
      <w:r w:rsidR="00777DCB" w:rsidRPr="00A52585">
        <w:rPr>
          <w:rFonts w:hint="cs"/>
          <w:rtl/>
        </w:rPr>
        <w:t>الملك</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أن من قال أنه ليس في السماء فهو كافر</w:t>
      </w:r>
      <w:r w:rsidR="00DB731D" w:rsidRPr="00A52585">
        <w:rPr>
          <w:rFonts w:hint="cs"/>
          <w:rtl/>
        </w:rPr>
        <w:t>،</w:t>
      </w:r>
      <w:r w:rsidR="00777DCB" w:rsidRPr="00A52585">
        <w:rPr>
          <w:rFonts w:hint="cs"/>
          <w:rtl/>
        </w:rPr>
        <w:t xml:space="preserve"> ومن المحال أن يكون الشيء الواحد في حيزين في أوان واحد وفي زمن واحد</w:t>
      </w:r>
      <w:r w:rsidR="00DB731D" w:rsidRPr="00A52585">
        <w:rPr>
          <w:rFonts w:hint="cs"/>
          <w:rtl/>
        </w:rPr>
        <w:t>،</w:t>
      </w:r>
      <w:r w:rsidR="00777DCB" w:rsidRPr="00A52585">
        <w:rPr>
          <w:rFonts w:hint="cs"/>
          <w:rtl/>
        </w:rPr>
        <w:t xml:space="preserve"> ومن المعلوم أن (</w:t>
      </w:r>
      <w:r w:rsidRPr="00A52585">
        <w:rPr>
          <w:rFonts w:hint="cs"/>
          <w:rtl/>
        </w:rPr>
        <w:t>(</w:t>
      </w:r>
      <w:r w:rsidR="00777DCB" w:rsidRPr="00A52585">
        <w:rPr>
          <w:rFonts w:hint="cs"/>
          <w:rtl/>
        </w:rPr>
        <w:t>في</w:t>
      </w:r>
      <w:r w:rsidRPr="00A52585">
        <w:rPr>
          <w:rFonts w:hint="cs"/>
          <w:rtl/>
        </w:rPr>
        <w:t>)</w:t>
      </w:r>
      <w:r w:rsidR="00777DCB" w:rsidRPr="00A52585">
        <w:rPr>
          <w:rFonts w:hint="cs"/>
          <w:rtl/>
        </w:rPr>
        <w:t>) للظرفية ويلزم منه أنه سبحانه وتعالى مظروف تعالى عن ذلك</w:t>
      </w:r>
      <w:r w:rsidR="00DB731D" w:rsidRPr="00A52585">
        <w:rPr>
          <w:rFonts w:hint="cs"/>
          <w:rtl/>
        </w:rPr>
        <w:t>،</w:t>
      </w:r>
      <w:r w:rsidR="00777DCB" w:rsidRPr="00A52585">
        <w:rPr>
          <w:rFonts w:hint="cs"/>
          <w:rtl/>
        </w:rPr>
        <w:t xml:space="preserve"> </w:t>
      </w:r>
    </w:p>
    <w:p w14:paraId="7527B25B" w14:textId="77777777" w:rsidR="00777DCB" w:rsidRPr="00A52585" w:rsidRDefault="00777DCB" w:rsidP="0002035C">
      <w:pPr>
        <w:spacing w:after="240"/>
        <w:jc w:val="center"/>
        <w:rPr>
          <w:b/>
          <w:rtl/>
        </w:rPr>
      </w:pPr>
      <w:r w:rsidRPr="00A52585">
        <w:rPr>
          <w:rFonts w:hint="cs"/>
          <w:rtl/>
        </w:rPr>
        <w:lastRenderedPageBreak/>
        <w:t>*******</w:t>
      </w:r>
    </w:p>
    <w:p w14:paraId="0EF24DB7" w14:textId="24D3B3FA"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 في نفي الجهة عن الله سبحانه</w:t>
      </w:r>
      <w:r w:rsidRPr="00A52585">
        <w:rPr>
          <w:rFonts w:hint="cs"/>
          <w:bCs/>
          <w:rtl/>
        </w:rPr>
        <w:t>]</w:t>
      </w:r>
    </w:p>
    <w:p w14:paraId="009C1451" w14:textId="445FD17D" w:rsidR="00777DCB" w:rsidRPr="00A52585" w:rsidRDefault="0002035C" w:rsidP="0002035C">
      <w:pPr>
        <w:spacing w:after="240"/>
        <w:rPr>
          <w:b/>
          <w:bCs/>
          <w:rtl/>
        </w:rPr>
      </w:pPr>
      <w:r w:rsidRPr="00A52585">
        <w:rPr>
          <w:rFonts w:hint="cs"/>
          <w:bCs/>
          <w:rtl/>
        </w:rPr>
        <w:t>[</w:t>
      </w:r>
      <w:r w:rsidR="00777DCB" w:rsidRPr="00A52585">
        <w:rPr>
          <w:rFonts w:hint="cs"/>
          <w:bCs/>
          <w:rtl/>
        </w:rPr>
        <w:t>نصوص يدل ظاهرها على الكون السفلي</w:t>
      </w:r>
      <w:r w:rsidRPr="00A52585">
        <w:rPr>
          <w:rFonts w:hint="cs"/>
          <w:bCs/>
          <w:rtl/>
        </w:rPr>
        <w:t>]:</w:t>
      </w:r>
      <w:r w:rsidR="00777DCB" w:rsidRPr="00A52585">
        <w:rPr>
          <w:rFonts w:hint="cs"/>
          <w:bCs/>
          <w:rtl/>
        </w:rPr>
        <w:t xml:space="preserve"> </w:t>
      </w:r>
      <w:r w:rsidR="00777DCB" w:rsidRPr="00A52585">
        <w:rPr>
          <w:rFonts w:hint="cs"/>
          <w:rtl/>
        </w:rPr>
        <w:t>[1-] وفي البخاري من حديث أنس رضي الله عنه أنه عليه الصلاة والسلام رأى نخامة في القبلة فشق ذلك عليه حتى رؤي في وجهه</w:t>
      </w:r>
      <w:r w:rsidR="00DB731D" w:rsidRPr="00A52585">
        <w:rPr>
          <w:rFonts w:hint="cs"/>
          <w:rtl/>
        </w:rPr>
        <w:t>،</w:t>
      </w:r>
      <w:r w:rsidR="00777DCB" w:rsidRPr="00A52585">
        <w:rPr>
          <w:rFonts w:hint="cs"/>
          <w:rtl/>
        </w:rPr>
        <w:t xml:space="preserve"> فقام فحكّه بيده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أحدكم إذا قام في صلاته فإنه يناجي ربه</w:t>
      </w:r>
      <w:r w:rsidRPr="00A52585">
        <w:rPr>
          <w:rFonts w:hint="cs"/>
          <w:rtl/>
        </w:rPr>
        <w:t>)</w:t>
      </w:r>
      <w:r w:rsidR="00777DCB" w:rsidRPr="00A52585">
        <w:rPr>
          <w:rFonts w:hint="cs"/>
          <w:rtl/>
        </w:rPr>
        <w:t>) أو</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ربه بينه وبين القبلة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صحيح البخاري، كتاب الصلاة باب</w:t>
      </w:r>
      <w:r w:rsidRPr="00A52585">
        <w:rPr>
          <w:rFonts w:hint="cs"/>
          <w:sz w:val="24"/>
          <w:szCs w:val="24"/>
          <w:rtl/>
        </w:rPr>
        <w:t>:</w:t>
      </w:r>
      <w:r w:rsidR="00777DCB" w:rsidRPr="00A52585">
        <w:rPr>
          <w:rFonts w:hint="cs"/>
          <w:sz w:val="24"/>
          <w:szCs w:val="24"/>
          <w:rtl/>
        </w:rPr>
        <w:t xml:space="preserve"> حك البزاق باليد من المسجد جزء من حديث رقم (405) وقد نقل شيخ الإسلام ابن حجر قول الإمام الخطابي في تأويل الحديث</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معناه أن توجهه إلى القبلة مفض بالقصد منه إلى ربه فصار في التقدير</w:t>
      </w:r>
      <w:r w:rsidRPr="00A52585">
        <w:rPr>
          <w:rFonts w:hint="cs"/>
          <w:sz w:val="24"/>
          <w:szCs w:val="24"/>
          <w:rtl/>
        </w:rPr>
        <w:t>:</w:t>
      </w:r>
      <w:r w:rsidR="00777DCB" w:rsidRPr="00A52585">
        <w:rPr>
          <w:rFonts w:hint="cs"/>
          <w:sz w:val="24"/>
          <w:szCs w:val="24"/>
          <w:rtl/>
        </w:rPr>
        <w:t xml:space="preserve"> كأن </w:t>
      </w:r>
      <w:proofErr w:type="spellStart"/>
      <w:r w:rsidR="00777DCB" w:rsidRPr="00A52585">
        <w:rPr>
          <w:rFonts w:hint="cs"/>
          <w:sz w:val="24"/>
          <w:szCs w:val="24"/>
          <w:rtl/>
        </w:rPr>
        <w:t>مقصوده</w:t>
      </w:r>
      <w:proofErr w:type="spellEnd"/>
      <w:r w:rsidR="00777DCB" w:rsidRPr="00A52585">
        <w:rPr>
          <w:rFonts w:hint="cs"/>
          <w:sz w:val="24"/>
          <w:szCs w:val="24"/>
          <w:rtl/>
        </w:rPr>
        <w:t xml:space="preserve"> بينه وبين قبلته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8"/>
          <w:sz w:val="24"/>
          <w:szCs w:val="24"/>
          <w:rtl/>
        </w:rPr>
        <w:t>وفي أحد روايات الحديث (</w:t>
      </w:r>
      <w:r w:rsidR="00777DCB" w:rsidRPr="00A52585">
        <w:rPr>
          <w:spacing w:val="-8"/>
          <w:sz w:val="24"/>
          <w:szCs w:val="24"/>
        </w:rPr>
        <w:t>…</w:t>
      </w:r>
      <w:r w:rsidR="00777DCB" w:rsidRPr="00A52585">
        <w:rPr>
          <w:rFonts w:hint="cs"/>
          <w:spacing w:val="-8"/>
          <w:sz w:val="24"/>
          <w:szCs w:val="24"/>
          <w:rtl/>
        </w:rPr>
        <w:t xml:space="preserve"> فإن الله تلقاء وجهه) يقول الإمام فخر الدين ابن المعلم القرشي</w:t>
      </w:r>
      <w:r w:rsidR="00777DCB" w:rsidRPr="00A52585">
        <w:rPr>
          <w:rFonts w:hint="cs"/>
          <w:sz w:val="24"/>
          <w:szCs w:val="24"/>
          <w:rtl/>
        </w:rPr>
        <w:t xml:space="preserve"> في كتابه (نجم المهتدي)</w:t>
      </w:r>
      <w:r w:rsidRPr="00A52585">
        <w:rPr>
          <w:rFonts w:hint="cs"/>
          <w:sz w:val="24"/>
          <w:szCs w:val="24"/>
          <w:rtl/>
        </w:rPr>
        <w:t xml:space="preserve">: </w:t>
      </w:r>
      <w:r w:rsidR="00777DCB" w:rsidRPr="00A52585">
        <w:rPr>
          <w:rFonts w:hint="cs"/>
          <w:sz w:val="24"/>
          <w:szCs w:val="24"/>
          <w:rtl/>
        </w:rPr>
        <w:t>" وقوله (فإن الله تلقاء وجهه) فإن رحمة الله أو ثواب الله قبل وجهه فلا يحسن بالأدب أن يهدي الملك العظيم إليك هدية فتقابلها بأن تتفل في مقابلتها بل يقبح ذلك</w:t>
      </w:r>
      <w:r w:rsidR="00DB731D" w:rsidRPr="00A52585">
        <w:rPr>
          <w:rFonts w:hint="cs"/>
          <w:sz w:val="24"/>
          <w:szCs w:val="24"/>
          <w:rtl/>
        </w:rPr>
        <w:t>،</w:t>
      </w:r>
      <w:r w:rsidR="00777DCB" w:rsidRPr="00A52585">
        <w:rPr>
          <w:rFonts w:hint="cs"/>
          <w:sz w:val="24"/>
          <w:szCs w:val="24"/>
          <w:rtl/>
        </w:rPr>
        <w:t xml:space="preserve"> ويؤيد هذا التأويل ما رواه الترمذي عن أبي ذر عن النبي صلى الله عليه وسلم قال</w:t>
      </w:r>
      <w:r w:rsidRPr="00A52585">
        <w:rPr>
          <w:rFonts w:hint="cs"/>
          <w:sz w:val="24"/>
          <w:szCs w:val="24"/>
          <w:rtl/>
        </w:rPr>
        <w:t>:</w:t>
      </w:r>
      <w:r w:rsidR="00777DCB" w:rsidRPr="00A52585">
        <w:rPr>
          <w:rFonts w:hint="cs"/>
          <w:sz w:val="24"/>
          <w:szCs w:val="24"/>
          <w:rtl/>
        </w:rPr>
        <w:t xml:space="preserve"> (إذا قام أحدكم إلى الصلاة فلا يمسح الحصى فإن الرحمة تواجهه) "</w:t>
      </w:r>
      <w:r w:rsidRPr="00A52585">
        <w:rPr>
          <w:rFonts w:hint="cs"/>
          <w:sz w:val="24"/>
          <w:szCs w:val="24"/>
          <w:rtl/>
        </w:rPr>
        <w:t xml:space="preserve"> </w:t>
      </w:r>
      <w:r w:rsidR="00777DCB" w:rsidRPr="00A52585">
        <w:rPr>
          <w:rFonts w:hint="cs"/>
          <w:sz w:val="24"/>
          <w:szCs w:val="24"/>
          <w:rtl/>
        </w:rPr>
        <w:t>أهـ لوحة 224 أخرج الترمذي هذا الحديث في (الصلاة) باب ما جاء في كراهية مسح الحصى في الصلاة وأخرجه أيضاً النسائي وأبو داود وابن ماجه وابن خزيمة في صحيحه وابن حبان في صحيحه وغيرهم وقال الترمذي عنه</w:t>
      </w:r>
      <w:r w:rsidRPr="00A52585">
        <w:rPr>
          <w:rFonts w:hint="cs"/>
          <w:sz w:val="24"/>
          <w:szCs w:val="24"/>
          <w:rtl/>
        </w:rPr>
        <w:t xml:space="preserve">: </w:t>
      </w:r>
      <w:r w:rsidR="00777DCB" w:rsidRPr="00A52585">
        <w:rPr>
          <w:rFonts w:hint="cs"/>
          <w:sz w:val="24"/>
          <w:szCs w:val="24"/>
          <w:rtl/>
        </w:rPr>
        <w:t>" حديث أبي ذر حديث حسن "</w:t>
      </w:r>
      <w:r w:rsidRPr="00A52585">
        <w:rPr>
          <w:rFonts w:hint="cs"/>
          <w:sz w:val="24"/>
          <w:szCs w:val="24"/>
          <w:rtl/>
        </w:rPr>
        <w:t xml:space="preserve"> </w:t>
      </w:r>
      <w:r w:rsidR="00777DCB" w:rsidRPr="00A52585">
        <w:rPr>
          <w:rFonts w:hint="cs"/>
          <w:sz w:val="24"/>
          <w:szCs w:val="24"/>
          <w:rtl/>
        </w:rPr>
        <w:t>وحسنه أيضاً السيوطي ورواه عن أبي ذر</w:t>
      </w:r>
      <w:r w:rsidRPr="00A52585">
        <w:rPr>
          <w:rFonts w:hint="cs"/>
          <w:sz w:val="24"/>
          <w:szCs w:val="24"/>
          <w:rtl/>
        </w:rPr>
        <w:t>:</w:t>
      </w:r>
      <w:r w:rsidR="00777DCB" w:rsidRPr="00A52585">
        <w:rPr>
          <w:rFonts w:hint="cs"/>
          <w:sz w:val="24"/>
          <w:szCs w:val="24"/>
          <w:rtl/>
        </w:rPr>
        <w:t xml:space="preserve"> أبو الأحوص مولي بني ليث أو غفار ذكره الذهبي في (الرواة المتكلم فيهم بما لا يوجب الرد) وللحديث شواهد في الصحيح</w:t>
      </w:r>
      <w:r w:rsidR="00DB731D" w:rsidRPr="00A52585">
        <w:rPr>
          <w:rFonts w:hint="cs"/>
          <w:sz w:val="24"/>
          <w:szCs w:val="24"/>
          <w:rtl/>
        </w:rPr>
        <w:t>،</w:t>
      </w:r>
      <w:r w:rsidR="00777DCB" w:rsidRPr="00A52585">
        <w:rPr>
          <w:rFonts w:hint="cs"/>
          <w:sz w:val="24"/>
          <w:szCs w:val="24"/>
          <w:rtl/>
        </w:rPr>
        <w:t xml:space="preserve"> وفي بعض روايات الحديث (الحصباء) يقول العلامة الزرقاني في شرحه للموطأ 1/318ط</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مسح الحصباء</w:t>
      </w:r>
      <w:r w:rsidRPr="00A52585">
        <w:rPr>
          <w:rFonts w:hint="cs"/>
          <w:sz w:val="24"/>
          <w:szCs w:val="24"/>
          <w:rtl/>
        </w:rPr>
        <w:t>:</w:t>
      </w:r>
      <w:r w:rsidR="00777DCB" w:rsidRPr="00A52585">
        <w:rPr>
          <w:rFonts w:hint="cs"/>
          <w:sz w:val="24"/>
          <w:szCs w:val="24"/>
          <w:rtl/>
        </w:rPr>
        <w:t xml:space="preserve"> تسوية موضع السجود لأنهم كانوا يفرشون المسجد بالحصى، وترك المسح </w:t>
      </w:r>
      <w:r w:rsidR="00777DCB" w:rsidRPr="00A52585">
        <w:rPr>
          <w:rFonts w:hint="cs"/>
          <w:spacing w:val="-6"/>
          <w:sz w:val="24"/>
          <w:szCs w:val="24"/>
          <w:rtl/>
        </w:rPr>
        <w:t>للتواضع ولعدم الانشغال عن الصلاة قال الحافظ زين الدين العراقي</w:t>
      </w:r>
      <w:r w:rsidRPr="00A52585">
        <w:rPr>
          <w:rFonts w:hint="cs"/>
          <w:spacing w:val="-6"/>
          <w:sz w:val="24"/>
          <w:szCs w:val="24"/>
          <w:rtl/>
        </w:rPr>
        <w:t>:</w:t>
      </w:r>
      <w:r w:rsidR="00777DCB" w:rsidRPr="00A52585">
        <w:rPr>
          <w:rFonts w:hint="cs"/>
          <w:spacing w:val="-6"/>
          <w:sz w:val="24"/>
          <w:szCs w:val="24"/>
          <w:rtl/>
        </w:rPr>
        <w:t xml:space="preserve"> قدم التعليل في قوله (فإن الرحمة تواجهه) زيادة في تأكيد النهي وتنبيهًا على عظم ثواب ترك العبث في الصلاة وإعلاماً للمصلي</w:t>
      </w:r>
      <w:r w:rsidR="00777DCB" w:rsidRPr="00A52585">
        <w:rPr>
          <w:rFonts w:hint="cs"/>
          <w:sz w:val="24"/>
          <w:szCs w:val="24"/>
          <w:rtl/>
        </w:rPr>
        <w:t xml:space="preserve"> بعظم ما </w:t>
      </w:r>
      <w:proofErr w:type="spellStart"/>
      <w:r w:rsidR="00777DCB" w:rsidRPr="00A52585">
        <w:rPr>
          <w:rFonts w:hint="cs"/>
          <w:sz w:val="24"/>
          <w:szCs w:val="24"/>
          <w:rtl/>
        </w:rPr>
        <w:t>يواجهه</w:t>
      </w:r>
      <w:proofErr w:type="spellEnd"/>
      <w:r w:rsidR="00777DCB" w:rsidRPr="00A52585">
        <w:rPr>
          <w:rFonts w:hint="cs"/>
          <w:sz w:val="24"/>
          <w:szCs w:val="24"/>
          <w:rtl/>
        </w:rPr>
        <w:t xml:space="preserve"> فيها فكأنه يقول</w:t>
      </w:r>
      <w:r w:rsidRPr="00A52585">
        <w:rPr>
          <w:rFonts w:hint="cs"/>
          <w:sz w:val="24"/>
          <w:szCs w:val="24"/>
          <w:rtl/>
        </w:rPr>
        <w:t>:</w:t>
      </w:r>
      <w:r w:rsidR="00777DCB" w:rsidRPr="00A52585">
        <w:rPr>
          <w:rFonts w:hint="cs"/>
          <w:sz w:val="24"/>
          <w:szCs w:val="24"/>
          <w:rtl/>
        </w:rPr>
        <w:t xml:space="preserve"> لا ينبغي لعاقل يلقى تلك النعمة الخطيرة بهذه الفعلة الحقيرة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00777DCB" w:rsidRPr="00A52585">
        <w:rPr>
          <w:rFonts w:hint="cs"/>
          <w:rtl/>
        </w:rPr>
        <w:t xml:space="preserve"> [2-] وفيه من حديث ابن عمر رضي الله عنه أنه عليه الصلاة والسلام رأى نخامة في جدار القبلة فحكه</w:t>
      </w:r>
      <w:r w:rsidR="00DB731D" w:rsidRPr="00A52585">
        <w:rPr>
          <w:rFonts w:hint="cs"/>
          <w:rtl/>
        </w:rPr>
        <w:t>،</w:t>
      </w:r>
      <w:r w:rsidR="00777DCB" w:rsidRPr="00A52585">
        <w:rPr>
          <w:rFonts w:hint="cs"/>
          <w:rtl/>
        </w:rPr>
        <w:t xml:space="preserve"> ثم أقبل على الناس</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إِذَا كَانَ أَحَدُكُمْ يُصَلِّي فَلاَ يَبْصُقُ قَبِلَ وَجْهِهِ</w:t>
      </w:r>
      <w:r w:rsidR="00DB731D" w:rsidRPr="00A52585">
        <w:rPr>
          <w:rFonts w:hint="cs"/>
          <w:rtl/>
        </w:rPr>
        <w:t>،</w:t>
      </w:r>
      <w:r w:rsidR="00777DCB" w:rsidRPr="00A52585">
        <w:rPr>
          <w:rFonts w:hint="cs"/>
          <w:rtl/>
        </w:rPr>
        <w:t xml:space="preserve"> فَإِنَّ الله تعالى قِبَل وَجْهِهِ إِذَا صَلَّى</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صحيح البخاري حديث رقم (406)</w:t>
      </w:r>
      <w:r w:rsidRPr="00A52585">
        <w:rPr>
          <w:rFonts w:hint="cs"/>
          <w:sz w:val="24"/>
          <w:szCs w:val="24"/>
          <w:rtl/>
        </w:rPr>
        <w:t>]</w:t>
      </w:r>
      <w:r w:rsidR="00DB731D" w:rsidRPr="00A52585">
        <w:rPr>
          <w:rFonts w:hint="cs"/>
          <w:sz w:val="24"/>
          <w:szCs w:val="24"/>
          <w:rtl/>
        </w:rPr>
        <w:t>،</w:t>
      </w:r>
      <w:r w:rsidR="00777DCB" w:rsidRPr="00A52585">
        <w:rPr>
          <w:rFonts w:hint="cs"/>
          <w:rtl/>
        </w:rPr>
        <w:t xml:space="preserve"> [3-] وفي صحيح مسلم وغيره من حديث أبي هريرة رضي الله عنه أنه عليه الصلاة والسلام رأى نخامة في القبلة</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مَا بَالُ أَحَدِكُمْ يَقُومْ يَسْتَقْبِلَ رَبَّهُ فَيَتَنَخَّعُ </w:t>
      </w:r>
      <w:r w:rsidR="00777DCB" w:rsidRPr="00A52585">
        <w:rPr>
          <w:rFonts w:hint="cs"/>
          <w:spacing w:val="-4"/>
          <w:rtl/>
        </w:rPr>
        <w:t>أَمامَه</w:t>
      </w:r>
      <w:r w:rsidR="00DB731D" w:rsidRPr="00A52585">
        <w:rPr>
          <w:rFonts w:hint="cs"/>
          <w:spacing w:val="-4"/>
          <w:rtl/>
        </w:rPr>
        <w:t>،</w:t>
      </w:r>
      <w:r w:rsidR="00777DCB" w:rsidRPr="00A52585">
        <w:rPr>
          <w:rFonts w:hint="cs"/>
          <w:spacing w:val="-4"/>
          <w:rtl/>
        </w:rPr>
        <w:t xml:space="preserve"> أيحب أَحدُكُم أَن</w:t>
      </w:r>
      <w:r w:rsidR="00777DCB" w:rsidRPr="00A52585">
        <w:rPr>
          <w:rFonts w:hint="cs"/>
          <w:rtl/>
        </w:rPr>
        <w:t xml:space="preserve"> يُسْتَقْبَلَ فَيُتَنَخَّعَ فيِ وَجْهِه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[4-] وفي الصحيحين من حديث أبي موسى الأشعري رضي الله عنه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أيها الناس أربعوا على أنفسكم</w:t>
      </w:r>
      <w:r w:rsidR="00DB731D" w:rsidRPr="00A52585">
        <w:rPr>
          <w:rFonts w:hint="cs"/>
          <w:rtl/>
        </w:rPr>
        <w:t>،</w:t>
      </w:r>
      <w:r w:rsidR="00777DCB" w:rsidRPr="00A52585">
        <w:rPr>
          <w:rFonts w:hint="cs"/>
          <w:rtl/>
        </w:rPr>
        <w:t xml:space="preserve"> إنكم ليس تدعون أصم ولا غائب</w:t>
      </w:r>
      <w:r w:rsidR="00DB731D" w:rsidRPr="00A52585">
        <w:rPr>
          <w:rFonts w:hint="cs"/>
          <w:rtl/>
        </w:rPr>
        <w:t>،</w:t>
      </w:r>
      <w:r w:rsidR="00777DCB" w:rsidRPr="00A52585">
        <w:rPr>
          <w:rFonts w:hint="cs"/>
          <w:rtl/>
        </w:rPr>
        <w:t xml:space="preserve"> إنكم تدعون سميعاً قريباً</w:t>
      </w:r>
      <w:r w:rsidR="00DB731D" w:rsidRPr="00A52585">
        <w:rPr>
          <w:rFonts w:hint="cs"/>
          <w:rtl/>
        </w:rPr>
        <w:t>،</w:t>
      </w:r>
      <w:r w:rsidR="00777DCB" w:rsidRPr="00A52585">
        <w:rPr>
          <w:rFonts w:hint="cs"/>
          <w:rtl/>
        </w:rPr>
        <w:t xml:space="preserve"> وهو معكم</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صحيح مسلم، كتاب الصلاة- باب النهي عن البصاق في المسجد جزء من حديث رقم (1206)</w:t>
      </w:r>
      <w:r w:rsidRPr="00A52585">
        <w:rPr>
          <w:rFonts w:hint="cs"/>
          <w:sz w:val="24"/>
          <w:szCs w:val="24"/>
          <w:rtl/>
        </w:rPr>
        <w:t>]</w:t>
      </w:r>
      <w:r w:rsidR="00DB731D" w:rsidRPr="00A52585">
        <w:rPr>
          <w:rFonts w:hint="cs"/>
          <w:sz w:val="24"/>
          <w:rtl/>
        </w:rPr>
        <w:t>،</w:t>
      </w:r>
      <w:r w:rsidR="00777DCB" w:rsidRPr="00A52585">
        <w:rPr>
          <w:rFonts w:hint="cs"/>
          <w:rtl/>
        </w:rPr>
        <w:t xml:space="preserve"> وفي رواية</w:t>
      </w:r>
      <w:r w:rsidRPr="00A52585">
        <w:rPr>
          <w:rFonts w:hint="cs"/>
          <w:rtl/>
        </w:rPr>
        <w:t>:</w:t>
      </w:r>
      <w:r w:rsidR="00777DCB" w:rsidRPr="00A52585">
        <w:rPr>
          <w:rFonts w:hint="cs"/>
          <w:rtl/>
        </w:rPr>
        <w:t xml:space="preserve"> </w:t>
      </w:r>
      <w:r w:rsidR="00777DCB" w:rsidRPr="00A52585">
        <w:rPr>
          <w:rFonts w:hint="cs"/>
          <w:rtl/>
        </w:rPr>
        <w:lastRenderedPageBreak/>
        <w:t>(</w:t>
      </w:r>
      <w:r w:rsidRPr="00A52585">
        <w:rPr>
          <w:rFonts w:hint="cs"/>
          <w:rtl/>
        </w:rPr>
        <w:t>(</w:t>
      </w:r>
      <w:r w:rsidR="00777DCB" w:rsidRPr="00A52585">
        <w:rPr>
          <w:rFonts w:hint="cs"/>
          <w:rtl/>
        </w:rPr>
        <w:t>والذَّي تَدْعُونَ أَقْرَبُ إلىِ أَحَدِكُم مِن عُنُقِ رَاحِلَةِ أَحَدِكُمْ</w:t>
      </w:r>
      <w:r w:rsidRPr="00A52585">
        <w:rPr>
          <w:rFonts w:hint="cs"/>
          <w:rtl/>
        </w:rPr>
        <w:t>)</w:t>
      </w:r>
      <w:r w:rsidR="00777DCB" w:rsidRPr="00A52585">
        <w:rPr>
          <w:rFonts w:hint="cs"/>
          <w:rtl/>
        </w:rPr>
        <w:t xml:space="preserve">) </w:t>
      </w:r>
      <w:r w:rsidR="00777DCB" w:rsidRPr="00A52585">
        <w:rPr>
          <w:rFonts w:hint="cs"/>
          <w:sz w:val="24"/>
          <w:szCs w:val="24"/>
          <w:rtl/>
        </w:rPr>
        <w:t>[صحيح مسلم</w:t>
      </w:r>
      <w:r w:rsidRPr="00A52585">
        <w:rPr>
          <w:rFonts w:hint="cs"/>
          <w:sz w:val="24"/>
          <w:szCs w:val="24"/>
          <w:rtl/>
        </w:rPr>
        <w:t>:</w:t>
      </w:r>
      <w:r w:rsidR="00777DCB" w:rsidRPr="00A52585">
        <w:rPr>
          <w:rFonts w:hint="cs"/>
          <w:sz w:val="24"/>
          <w:szCs w:val="24"/>
          <w:rtl/>
        </w:rPr>
        <w:t xml:space="preserve"> حديث رقم (6738)</w:t>
      </w:r>
      <w:r w:rsidRPr="00A52585">
        <w:rPr>
          <w:rFonts w:hint="cs"/>
          <w:sz w:val="24"/>
          <w:szCs w:val="24"/>
          <w:rtl/>
        </w:rPr>
        <w:t>]</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5-] وفي الصحيح</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أنا عند ظن عبدي بي</w:t>
      </w:r>
      <w:r w:rsidR="00DB731D" w:rsidRPr="00A52585">
        <w:rPr>
          <w:rFonts w:hint="cs"/>
          <w:rtl/>
        </w:rPr>
        <w:t>،</w:t>
      </w:r>
      <w:r w:rsidR="00777DCB" w:rsidRPr="00A52585">
        <w:rPr>
          <w:rFonts w:hint="cs"/>
          <w:rtl/>
        </w:rPr>
        <w:t xml:space="preserve"> وأنا معه حين يذكرني</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 مسلم في صحيحه عن أبي هريرة رضي الله عنه قال</w:t>
      </w:r>
      <w:r w:rsidRPr="00A52585">
        <w:rPr>
          <w:rFonts w:hint="cs"/>
          <w:sz w:val="24"/>
          <w:szCs w:val="24"/>
          <w:rtl/>
        </w:rPr>
        <w:t>:</w:t>
      </w:r>
      <w:r w:rsidR="00777DCB" w:rsidRPr="00A52585">
        <w:rPr>
          <w:rFonts w:hint="cs"/>
          <w:sz w:val="24"/>
          <w:szCs w:val="24"/>
          <w:rtl/>
        </w:rPr>
        <w:t xml:space="preserve"> قال رسول الله صلى الله عليه وسلم</w:t>
      </w:r>
      <w:r w:rsidRPr="00A52585">
        <w:rPr>
          <w:rFonts w:hint="cs"/>
          <w:sz w:val="24"/>
          <w:szCs w:val="24"/>
          <w:rtl/>
        </w:rPr>
        <w:t>:</w:t>
      </w:r>
      <w:r w:rsidR="00777DCB" w:rsidRPr="00A52585">
        <w:rPr>
          <w:rFonts w:hint="cs"/>
          <w:sz w:val="24"/>
          <w:szCs w:val="24"/>
          <w:rtl/>
        </w:rPr>
        <w:t xml:space="preserve"> " يقول الله عزَّ وجلَّ</w:t>
      </w:r>
      <w:r w:rsidRPr="00A52585">
        <w:rPr>
          <w:rFonts w:hint="cs"/>
          <w:sz w:val="24"/>
          <w:szCs w:val="24"/>
          <w:rtl/>
        </w:rPr>
        <w:t>:</w:t>
      </w:r>
      <w:r w:rsidR="00777DCB" w:rsidRPr="00A52585">
        <w:rPr>
          <w:rFonts w:hint="cs"/>
          <w:sz w:val="24"/>
          <w:szCs w:val="24"/>
          <w:rtl/>
        </w:rPr>
        <w:t xml:space="preserve"> أنا عند حُسن ظنَّ عبدي بي، وأنا معه حين يذكرني إن ذكرني في نفسه ذكرته في نفسي، وإن ذكرني في </w:t>
      </w:r>
      <w:proofErr w:type="spellStart"/>
      <w:r w:rsidR="00777DCB" w:rsidRPr="00A52585">
        <w:rPr>
          <w:rFonts w:hint="cs"/>
          <w:sz w:val="24"/>
          <w:szCs w:val="24"/>
          <w:rtl/>
        </w:rPr>
        <w:t>ملإ</w:t>
      </w:r>
      <w:proofErr w:type="spellEnd"/>
      <w:r w:rsidR="00777DCB" w:rsidRPr="00A52585">
        <w:rPr>
          <w:rFonts w:hint="cs"/>
          <w:sz w:val="24"/>
          <w:szCs w:val="24"/>
          <w:rtl/>
        </w:rPr>
        <w:t xml:space="preserve"> ذكرته في </w:t>
      </w:r>
      <w:proofErr w:type="spellStart"/>
      <w:r w:rsidR="00777DCB" w:rsidRPr="00A52585">
        <w:rPr>
          <w:rFonts w:hint="cs"/>
          <w:sz w:val="24"/>
          <w:szCs w:val="24"/>
          <w:rtl/>
        </w:rPr>
        <w:t>ملإ</w:t>
      </w:r>
      <w:proofErr w:type="spellEnd"/>
      <w:r w:rsidR="00777DCB" w:rsidRPr="00A52585">
        <w:rPr>
          <w:rFonts w:hint="cs"/>
          <w:sz w:val="24"/>
          <w:szCs w:val="24"/>
          <w:rtl/>
        </w:rPr>
        <w:t xml:space="preserve"> هم خير منهم، وإن تقرب إلىَّ شبراً تقربت إليه ذراعاً، وإن تقرب إلىَّ ذراعاً تقربت إليه باعاً، وإن أتاني يمشي أتيته هرولة "</w:t>
      </w:r>
      <w:r w:rsidRPr="00A52585">
        <w:rPr>
          <w:rFonts w:hint="cs"/>
          <w:sz w:val="24"/>
          <w:szCs w:val="24"/>
          <w:rtl/>
        </w:rPr>
        <w:t xml:space="preserve"> </w:t>
      </w:r>
      <w:r w:rsidR="00777DCB" w:rsidRPr="00A52585">
        <w:rPr>
          <w:rFonts w:hint="cs"/>
          <w:sz w:val="24"/>
          <w:szCs w:val="24"/>
          <w:rtl/>
        </w:rPr>
        <w:t>كتاب الدعوات – باب الحثّ على ذكر الله تعالى وكذلك البخاري في صحيحه كتاب التوحيد – باب ذكر النبي صلى الله عليه وسلم وروايته عن ربه، والترمذي في سننه كتاب الدعوات – باب حسن الظن بالله يقول الإمام النووي في شرحه للحديث</w:t>
      </w:r>
      <w:r w:rsidRPr="00A52585">
        <w:rPr>
          <w:rFonts w:hint="cs"/>
          <w:sz w:val="24"/>
          <w:szCs w:val="24"/>
          <w:rtl/>
        </w:rPr>
        <w:t>:</w:t>
      </w:r>
      <w:r w:rsidR="00777DCB" w:rsidRPr="00A52585">
        <w:rPr>
          <w:rFonts w:hint="cs"/>
          <w:sz w:val="24"/>
          <w:szCs w:val="24"/>
          <w:rtl/>
        </w:rPr>
        <w:t xml:space="preserve"> هذا الحديث من أحاديث الصفات ويستحيل إرادة ظاهره، وقد سبق الكلام في أحاديث الصفات مرات ومعناه</w:t>
      </w:r>
      <w:r w:rsidRPr="00A52585">
        <w:rPr>
          <w:rFonts w:hint="cs"/>
          <w:sz w:val="24"/>
          <w:szCs w:val="24"/>
          <w:rtl/>
        </w:rPr>
        <w:t>:</w:t>
      </w:r>
      <w:r w:rsidR="00777DCB" w:rsidRPr="00A52585">
        <w:rPr>
          <w:rFonts w:hint="cs"/>
          <w:sz w:val="24"/>
          <w:szCs w:val="24"/>
          <w:rtl/>
        </w:rPr>
        <w:t xml:space="preserve"> من تقرب إلىّ بطاعتي تقربت إليه برحمتي والتوفيق والإعانة، وإن زاد زدت، فإن أتاني يمشي وأسرع في طاعتي أتيته هرولة أي صببت عليه الرحمة وسبقته بها ولم أحوجه إلى المشي الكثير في الوصول إلى المقصود والمراد أن جزاءه يكون تضعيفه على حَسَب تقربه أ هـ…ط دار الغد العربي</w:t>
      </w:r>
      <w:r w:rsidR="00DB731D" w:rsidRPr="00A52585">
        <w:rPr>
          <w:rFonts w:hint="cs"/>
          <w:sz w:val="24"/>
          <w:szCs w:val="24"/>
          <w:rtl/>
        </w:rPr>
        <w:t>،</w:t>
      </w:r>
      <w:r w:rsidR="00777DCB" w:rsidRPr="00A52585">
        <w:rPr>
          <w:rFonts w:hint="cs"/>
          <w:sz w:val="24"/>
          <w:szCs w:val="24"/>
          <w:rtl/>
        </w:rPr>
        <w:t xml:space="preserve"> ويقول الإمام أبو السعادات بن الأثير في (جامع الأصول) عقب إيراده للحديث</w:t>
      </w:r>
      <w:r w:rsidRPr="00A52585">
        <w:rPr>
          <w:rFonts w:hint="cs"/>
          <w:sz w:val="24"/>
          <w:szCs w:val="24"/>
          <w:rtl/>
        </w:rPr>
        <w:t>:</w:t>
      </w:r>
      <w:r w:rsidR="00777DCB" w:rsidRPr="00A52585">
        <w:rPr>
          <w:rFonts w:hint="cs"/>
          <w:sz w:val="24"/>
          <w:szCs w:val="24"/>
          <w:rtl/>
        </w:rPr>
        <w:t xml:space="preserve"> المراد بقرب العبد من الله</w:t>
      </w:r>
      <w:r w:rsidRPr="00A52585">
        <w:rPr>
          <w:rFonts w:hint="cs"/>
          <w:sz w:val="24"/>
          <w:szCs w:val="24"/>
          <w:rtl/>
        </w:rPr>
        <w:t>:</w:t>
      </w:r>
      <w:r w:rsidR="00777DCB" w:rsidRPr="00A52585">
        <w:rPr>
          <w:rFonts w:hint="cs"/>
          <w:sz w:val="24"/>
          <w:szCs w:val="24"/>
          <w:rtl/>
        </w:rPr>
        <w:t xml:space="preserve"> القرب بالذكر والعمل الصالح لا قرب الذات والمكان فإن ذلك من صفات الأجسام والله يتعالى عن ذلك ويتقدس والمراد بقرب الله من العبد</w:t>
      </w:r>
      <w:r w:rsidRPr="00A52585">
        <w:rPr>
          <w:rFonts w:hint="cs"/>
          <w:sz w:val="24"/>
          <w:szCs w:val="24"/>
          <w:rtl/>
        </w:rPr>
        <w:t>:</w:t>
      </w:r>
      <w:r w:rsidR="00777DCB" w:rsidRPr="00A52585">
        <w:rPr>
          <w:rFonts w:hint="cs"/>
          <w:sz w:val="24"/>
          <w:szCs w:val="24"/>
          <w:rtl/>
        </w:rPr>
        <w:t xml:space="preserve"> قُرب نعمه وألطافه به وبره وإحسانه إليه وفيض مواهبه عليه وترادف مننه عنده أهـ</w:t>
      </w:r>
      <w:r w:rsidRPr="00A52585">
        <w:rPr>
          <w:rFonts w:hint="cs"/>
          <w:sz w:val="24"/>
          <w:szCs w:val="24"/>
          <w:rtl/>
        </w:rPr>
        <w:t>]</w:t>
      </w:r>
      <w:r w:rsidR="00DB731D" w:rsidRPr="00A52585">
        <w:rPr>
          <w:rFonts w:hint="cs"/>
          <w:rtl/>
        </w:rPr>
        <w:t>،</w:t>
      </w:r>
      <w:r w:rsidR="00777DCB" w:rsidRPr="00A52585">
        <w:rPr>
          <w:rFonts w:hint="cs"/>
          <w:rtl/>
        </w:rPr>
        <w:t xml:space="preserve"> [6-] وحديث المريض</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أما لوعدته لوجدتني عنده</w:t>
      </w:r>
      <w:r w:rsidRPr="00A52585">
        <w:rPr>
          <w:rFonts w:hint="cs"/>
          <w:rtl/>
        </w:rPr>
        <w:t>)</w:t>
      </w:r>
      <w:r w:rsidR="00777DCB" w:rsidRPr="00A52585">
        <w:rPr>
          <w:rFonts w:hint="cs"/>
          <w:rtl/>
        </w:rPr>
        <w:t xml:space="preserve">) </w:t>
      </w:r>
      <w:r w:rsidRPr="00A52585">
        <w:rPr>
          <w:rFonts w:hint="cs"/>
          <w:rtl/>
        </w:rPr>
        <w:t>[</w:t>
      </w:r>
      <w:r w:rsidR="00777DCB" w:rsidRPr="00A52585">
        <w:rPr>
          <w:rFonts w:hint="cs"/>
          <w:szCs w:val="24"/>
          <w:rtl/>
        </w:rPr>
        <w:t>قال المحقق</w:t>
      </w:r>
      <w:r w:rsidRPr="00A52585">
        <w:rPr>
          <w:rFonts w:hint="cs"/>
          <w:szCs w:val="24"/>
          <w:rtl/>
        </w:rPr>
        <w:t>:</w:t>
      </w:r>
      <w:r w:rsidR="00777DCB" w:rsidRPr="00A52585">
        <w:rPr>
          <w:rFonts w:hint="cs"/>
          <w:szCs w:val="24"/>
          <w:rtl/>
        </w:rPr>
        <w:t xml:space="preserve"> أخرج مسلم في صحيحه عن أبي هريرة رضي الله عنه قال</w:t>
      </w:r>
      <w:r w:rsidRPr="00A52585">
        <w:rPr>
          <w:rFonts w:hint="cs"/>
          <w:szCs w:val="24"/>
          <w:rtl/>
        </w:rPr>
        <w:t>:</w:t>
      </w:r>
      <w:r w:rsidR="00777DCB" w:rsidRPr="00A52585">
        <w:rPr>
          <w:rFonts w:hint="cs"/>
          <w:szCs w:val="24"/>
          <w:rtl/>
        </w:rPr>
        <w:t xml:space="preserve"> قال رسول الله صلى الله عليه وسلم</w:t>
      </w:r>
      <w:r w:rsidRPr="00A52585">
        <w:rPr>
          <w:rFonts w:hint="cs"/>
          <w:szCs w:val="24"/>
          <w:rtl/>
        </w:rPr>
        <w:t xml:space="preserve">: </w:t>
      </w:r>
      <w:r w:rsidR="00777DCB" w:rsidRPr="00A52585">
        <w:rPr>
          <w:rFonts w:hint="cs"/>
          <w:szCs w:val="24"/>
          <w:rtl/>
        </w:rPr>
        <w:t>"إنَّ الله عزَّ وجلَّ يقول يوم القيامة</w:t>
      </w:r>
      <w:r w:rsidRPr="00A52585">
        <w:rPr>
          <w:rFonts w:hint="cs"/>
          <w:szCs w:val="24"/>
          <w:rtl/>
        </w:rPr>
        <w:t>:</w:t>
      </w:r>
      <w:r w:rsidR="00777DCB" w:rsidRPr="00A52585">
        <w:rPr>
          <w:rFonts w:hint="cs"/>
          <w:szCs w:val="24"/>
          <w:rtl/>
        </w:rPr>
        <w:t xml:space="preserve"> يا ابن آدم مرضتُ فلم تَعدني قال</w:t>
      </w:r>
      <w:r w:rsidRPr="00A52585">
        <w:rPr>
          <w:rFonts w:hint="cs"/>
          <w:szCs w:val="24"/>
          <w:rtl/>
        </w:rPr>
        <w:t>:</w:t>
      </w:r>
      <w:r w:rsidR="00777DCB" w:rsidRPr="00A52585">
        <w:rPr>
          <w:rFonts w:hint="cs"/>
          <w:szCs w:val="24"/>
          <w:rtl/>
        </w:rPr>
        <w:t xml:space="preserve"> يا رب كيف أعودك وأنت رب العالمين</w:t>
      </w:r>
      <w:r w:rsidR="00F95886" w:rsidRPr="00A52585">
        <w:rPr>
          <w:rFonts w:hint="cs"/>
          <w:szCs w:val="24"/>
          <w:rtl/>
        </w:rPr>
        <w:t>؟</w:t>
      </w:r>
      <w:r w:rsidR="00777DCB" w:rsidRPr="00A52585">
        <w:rPr>
          <w:rFonts w:hint="cs"/>
          <w:szCs w:val="24"/>
          <w:rtl/>
        </w:rPr>
        <w:t xml:space="preserve"> قال</w:t>
      </w:r>
      <w:r w:rsidRPr="00A52585">
        <w:rPr>
          <w:rFonts w:hint="cs"/>
          <w:szCs w:val="24"/>
          <w:rtl/>
        </w:rPr>
        <w:t>:</w:t>
      </w:r>
      <w:r w:rsidR="00777DCB" w:rsidRPr="00A52585">
        <w:rPr>
          <w:rFonts w:hint="cs"/>
          <w:szCs w:val="24"/>
          <w:rtl/>
        </w:rPr>
        <w:t xml:space="preserve"> أما علمت أنَّ عبدي فلاناً مرض فلم تعده</w:t>
      </w:r>
      <w:r w:rsidR="00F95886" w:rsidRPr="00A52585">
        <w:rPr>
          <w:rFonts w:hint="cs"/>
          <w:szCs w:val="24"/>
          <w:rtl/>
        </w:rPr>
        <w:t>؟</w:t>
      </w:r>
      <w:r w:rsidR="00777DCB" w:rsidRPr="00A52585">
        <w:rPr>
          <w:rFonts w:hint="cs"/>
          <w:szCs w:val="24"/>
          <w:rtl/>
        </w:rPr>
        <w:t xml:space="preserve"> أما علمت أنك لو عدته لوجدتني عنده</w:t>
      </w:r>
      <w:r w:rsidR="00F95886" w:rsidRPr="00A52585">
        <w:rPr>
          <w:rFonts w:hint="cs"/>
          <w:szCs w:val="24"/>
          <w:rtl/>
        </w:rPr>
        <w:t>؟</w:t>
      </w:r>
      <w:r w:rsidR="00777DCB" w:rsidRPr="00A52585">
        <w:rPr>
          <w:rFonts w:hint="cs"/>
          <w:szCs w:val="24"/>
          <w:rtl/>
        </w:rPr>
        <w:t xml:space="preserve"> يا ابن آدم </w:t>
      </w:r>
      <w:proofErr w:type="spellStart"/>
      <w:r w:rsidR="00777DCB" w:rsidRPr="00A52585">
        <w:rPr>
          <w:rFonts w:hint="cs"/>
          <w:szCs w:val="24"/>
          <w:rtl/>
        </w:rPr>
        <w:t>استطعمتك</w:t>
      </w:r>
      <w:proofErr w:type="spellEnd"/>
      <w:r w:rsidR="00777DCB" w:rsidRPr="00A52585">
        <w:rPr>
          <w:rFonts w:hint="cs"/>
          <w:szCs w:val="24"/>
          <w:rtl/>
        </w:rPr>
        <w:t xml:space="preserve"> فلم تطعمني قال</w:t>
      </w:r>
      <w:r w:rsidRPr="00A52585">
        <w:rPr>
          <w:rFonts w:hint="cs"/>
          <w:szCs w:val="24"/>
          <w:rtl/>
        </w:rPr>
        <w:t>:</w:t>
      </w:r>
      <w:r w:rsidR="00777DCB" w:rsidRPr="00A52585">
        <w:rPr>
          <w:rFonts w:hint="cs"/>
          <w:szCs w:val="24"/>
          <w:rtl/>
        </w:rPr>
        <w:t xml:space="preserve"> يا رب وكيف أطعمك وأنت رب العالمين</w:t>
      </w:r>
      <w:r w:rsidR="00F95886" w:rsidRPr="00A52585">
        <w:rPr>
          <w:rFonts w:hint="cs"/>
          <w:szCs w:val="24"/>
          <w:rtl/>
        </w:rPr>
        <w:t>؟</w:t>
      </w:r>
      <w:r w:rsidR="00777DCB" w:rsidRPr="00A52585">
        <w:rPr>
          <w:rFonts w:hint="cs"/>
          <w:szCs w:val="24"/>
          <w:rtl/>
        </w:rPr>
        <w:t xml:space="preserve"> قال أما علمت أنه </w:t>
      </w:r>
      <w:proofErr w:type="spellStart"/>
      <w:r w:rsidR="00777DCB" w:rsidRPr="00A52585">
        <w:rPr>
          <w:rFonts w:hint="cs"/>
          <w:szCs w:val="24"/>
          <w:rtl/>
        </w:rPr>
        <w:t>استطعمك</w:t>
      </w:r>
      <w:proofErr w:type="spellEnd"/>
      <w:r w:rsidR="00777DCB" w:rsidRPr="00A52585">
        <w:rPr>
          <w:rFonts w:hint="cs"/>
          <w:szCs w:val="24"/>
          <w:rtl/>
        </w:rPr>
        <w:t xml:space="preserve"> عبدي فلان فلم تطعمه</w:t>
      </w:r>
      <w:r w:rsidR="00F95886" w:rsidRPr="00A52585">
        <w:rPr>
          <w:rFonts w:hint="cs"/>
          <w:szCs w:val="24"/>
          <w:rtl/>
        </w:rPr>
        <w:t>؟</w:t>
      </w:r>
      <w:r w:rsidR="00777DCB" w:rsidRPr="00A52585">
        <w:rPr>
          <w:rFonts w:hint="cs"/>
          <w:szCs w:val="24"/>
          <w:rtl/>
        </w:rPr>
        <w:t xml:space="preserve"> أما علمت أنك لو أطعمته لوجدت ذلك عندي</w:t>
      </w:r>
      <w:r w:rsidR="00F95886" w:rsidRPr="00A52585">
        <w:rPr>
          <w:rFonts w:hint="cs"/>
          <w:szCs w:val="24"/>
          <w:rtl/>
        </w:rPr>
        <w:t>؟</w:t>
      </w:r>
      <w:r w:rsidR="00777DCB" w:rsidRPr="00A52585">
        <w:rPr>
          <w:rFonts w:hint="cs"/>
          <w:szCs w:val="24"/>
          <w:rtl/>
        </w:rPr>
        <w:t xml:space="preserve"> يا ابن آدم استسقيتك فلم تسقني قال</w:t>
      </w:r>
      <w:r w:rsidRPr="00A52585">
        <w:rPr>
          <w:rFonts w:hint="cs"/>
          <w:szCs w:val="24"/>
          <w:rtl/>
        </w:rPr>
        <w:t>:</w:t>
      </w:r>
      <w:r w:rsidR="00777DCB" w:rsidRPr="00A52585">
        <w:rPr>
          <w:rFonts w:hint="cs"/>
          <w:szCs w:val="24"/>
          <w:rtl/>
        </w:rPr>
        <w:t xml:space="preserve"> يا رب كيف أسقيك وأنت رب العالمين</w:t>
      </w:r>
      <w:r w:rsidR="00F95886" w:rsidRPr="00A52585">
        <w:rPr>
          <w:rFonts w:hint="cs"/>
          <w:szCs w:val="24"/>
          <w:rtl/>
        </w:rPr>
        <w:t>؟</w:t>
      </w:r>
      <w:r w:rsidR="00777DCB" w:rsidRPr="00A52585">
        <w:rPr>
          <w:rFonts w:hint="cs"/>
          <w:szCs w:val="24"/>
          <w:rtl/>
        </w:rPr>
        <w:t xml:space="preserve"> قال</w:t>
      </w:r>
      <w:r w:rsidRPr="00A52585">
        <w:rPr>
          <w:rFonts w:hint="cs"/>
          <w:szCs w:val="24"/>
          <w:rtl/>
        </w:rPr>
        <w:t>:</w:t>
      </w:r>
      <w:r w:rsidR="00777DCB" w:rsidRPr="00A52585">
        <w:rPr>
          <w:rFonts w:hint="cs"/>
          <w:szCs w:val="24"/>
          <w:rtl/>
        </w:rPr>
        <w:t xml:space="preserve"> استسقاك عبدي فلان تسقه أما أنك لو سقيته وجدت ذلك عندي"</w:t>
      </w:r>
      <w:r w:rsidRPr="00A52585">
        <w:rPr>
          <w:rFonts w:hint="cs"/>
          <w:szCs w:val="24"/>
          <w:rtl/>
        </w:rPr>
        <w:t xml:space="preserve"> </w:t>
      </w:r>
      <w:r w:rsidR="00777DCB" w:rsidRPr="00A52585">
        <w:rPr>
          <w:rFonts w:hint="cs"/>
          <w:szCs w:val="24"/>
          <w:rtl/>
        </w:rPr>
        <w:t>كتاب الأدب- باب فضل عيادة المريض يقول الإمام النووي في شرحه للحديث</w:t>
      </w:r>
      <w:r w:rsidRPr="00A52585">
        <w:rPr>
          <w:rFonts w:hint="cs"/>
          <w:szCs w:val="24"/>
          <w:rtl/>
        </w:rPr>
        <w:t>:</w:t>
      </w:r>
      <w:r w:rsidR="00777DCB" w:rsidRPr="00A52585">
        <w:rPr>
          <w:rFonts w:hint="cs"/>
          <w:szCs w:val="24"/>
          <w:rtl/>
        </w:rPr>
        <w:t xml:space="preserve"> قال العلماء إنما أضاف المرض إليه سبحانه وتعالى والمراد العبد تشريفاً للعبد وتقريباً له، قالوا</w:t>
      </w:r>
      <w:r w:rsidRPr="00A52585">
        <w:rPr>
          <w:rFonts w:hint="cs"/>
          <w:szCs w:val="24"/>
          <w:rtl/>
        </w:rPr>
        <w:t>:</w:t>
      </w:r>
      <w:r w:rsidR="00777DCB" w:rsidRPr="00A52585">
        <w:rPr>
          <w:rFonts w:hint="cs"/>
          <w:szCs w:val="24"/>
          <w:rtl/>
        </w:rPr>
        <w:t xml:space="preserve"> ومعنى (وجدتني عنده) أي وجدت ثوابي وكرامتي، ويدل عليه قوله تعالى في تمام الحديث (لو أطعمته لوجدت ذلك عندي، لو سقيته لوجدت ذلك عندي) ويستفاد من هذا الحديث عدة فوائد جليلة</w:t>
      </w:r>
      <w:r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الأولى</w:t>
      </w:r>
      <w:r w:rsidRPr="00A52585">
        <w:rPr>
          <w:rFonts w:hint="cs"/>
          <w:szCs w:val="24"/>
          <w:rtl/>
        </w:rPr>
        <w:t>):</w:t>
      </w:r>
      <w:r w:rsidR="00777DCB" w:rsidRPr="00A52585">
        <w:rPr>
          <w:rFonts w:hint="cs"/>
          <w:szCs w:val="24"/>
          <w:rtl/>
        </w:rPr>
        <w:t xml:space="preserve"> أنه إثبات قاطع لظاهرة </w:t>
      </w:r>
      <w:r w:rsidR="00777DCB" w:rsidRPr="00A52585">
        <w:rPr>
          <w:rFonts w:hint="cs"/>
          <w:bCs/>
          <w:szCs w:val="24"/>
          <w:rtl/>
        </w:rPr>
        <w:t>التبادر</w:t>
      </w:r>
      <w:r w:rsidR="00777DCB" w:rsidRPr="00A52585">
        <w:rPr>
          <w:rFonts w:hint="cs"/>
          <w:szCs w:val="24"/>
          <w:rtl/>
        </w:rPr>
        <w:t xml:space="preserve">، وهو أن يسبق إلى الفهم معنى اللفظ المعهود في الذهن بمجرد سماع ذلك اللفظ خاليا عن القرائن وهذا المعنى هو ما يطلق عليه علماء البلاغة (حقيقة) وأي معنى سواه دلت عليه </w:t>
      </w:r>
      <w:r w:rsidR="00777DCB" w:rsidRPr="00A52585">
        <w:rPr>
          <w:rFonts w:hint="cs"/>
          <w:bCs/>
          <w:szCs w:val="24"/>
          <w:rtl/>
        </w:rPr>
        <w:t>القرينة</w:t>
      </w:r>
      <w:r w:rsidR="00777DCB" w:rsidRPr="00A52585">
        <w:rPr>
          <w:rFonts w:hint="cs"/>
          <w:szCs w:val="24"/>
          <w:rtl/>
        </w:rPr>
        <w:t xml:space="preserve"> فهو (مجاز) فقد سبق إلى فهم العبد من الكلام ظاهره المستحيل على الله، لذا فقد سأل ربَّه مضمنا سؤاله القرينة الدالة على التنزيه والنافية لهذا المعنى </w:t>
      </w:r>
      <w:proofErr w:type="spellStart"/>
      <w:r w:rsidR="00777DCB" w:rsidRPr="00A52585">
        <w:rPr>
          <w:rFonts w:hint="cs"/>
          <w:szCs w:val="24"/>
          <w:rtl/>
        </w:rPr>
        <w:t>الحقيقى</w:t>
      </w:r>
      <w:proofErr w:type="spellEnd"/>
      <w:r w:rsidR="00777DCB" w:rsidRPr="00A52585">
        <w:rPr>
          <w:rFonts w:hint="cs"/>
          <w:szCs w:val="24"/>
          <w:rtl/>
        </w:rPr>
        <w:t xml:space="preserve"> المتبادر إلى ذهنه (كيف أعودك وأنت ربُّ العالمين</w:t>
      </w:r>
      <w:r w:rsidR="00F95886" w:rsidRPr="00A52585">
        <w:rPr>
          <w:rFonts w:hint="cs"/>
          <w:szCs w:val="24"/>
          <w:rtl/>
        </w:rPr>
        <w:t>؟</w:t>
      </w:r>
      <w:r w:rsidR="00777DCB" w:rsidRPr="00A52585">
        <w:rPr>
          <w:rFonts w:hint="cs"/>
          <w:szCs w:val="24"/>
          <w:rtl/>
        </w:rPr>
        <w:t>)، (كيف أطعمك وأنت ربُّ العالمين</w:t>
      </w:r>
      <w:r w:rsidR="00F95886" w:rsidRPr="00A52585">
        <w:rPr>
          <w:rFonts w:hint="cs"/>
          <w:szCs w:val="24"/>
          <w:rtl/>
        </w:rPr>
        <w:t>؟</w:t>
      </w:r>
      <w:r w:rsidR="00777DCB" w:rsidRPr="00A52585">
        <w:rPr>
          <w:rFonts w:hint="cs"/>
          <w:szCs w:val="24"/>
          <w:rtl/>
        </w:rPr>
        <w:t>)، (كيف أسقيك وأنت رب العالمين</w:t>
      </w:r>
      <w:r w:rsidR="00F95886" w:rsidRPr="00A52585">
        <w:rPr>
          <w:rFonts w:hint="cs"/>
          <w:szCs w:val="24"/>
          <w:rtl/>
        </w:rPr>
        <w:t>؟</w:t>
      </w:r>
      <w:r w:rsidR="00777DCB" w:rsidRPr="00A52585">
        <w:rPr>
          <w:rFonts w:hint="cs"/>
          <w:szCs w:val="24"/>
          <w:rtl/>
        </w:rPr>
        <w:t>)</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الثانية</w:t>
      </w:r>
      <w:r w:rsidRPr="00A52585">
        <w:rPr>
          <w:rFonts w:hint="cs"/>
          <w:szCs w:val="24"/>
          <w:rtl/>
        </w:rPr>
        <w:t>):</w:t>
      </w:r>
      <w:r w:rsidR="00777DCB" w:rsidRPr="00A52585">
        <w:rPr>
          <w:rFonts w:hint="cs"/>
          <w:szCs w:val="24"/>
          <w:rtl/>
        </w:rPr>
        <w:t xml:space="preserve"> أن قرينة التنزيه معلومة لكل أحد في الآخرة بعد كشف الحجب، أما في الدنيا فقد تغيب قليلا عن بعض المؤمنين وخاصة العوام</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الثالثة</w:t>
      </w:r>
      <w:r w:rsidRPr="00A52585">
        <w:rPr>
          <w:rFonts w:hint="cs"/>
          <w:szCs w:val="24"/>
          <w:rtl/>
        </w:rPr>
        <w:t>):</w:t>
      </w:r>
      <w:r w:rsidR="00777DCB" w:rsidRPr="00A52585">
        <w:rPr>
          <w:rFonts w:hint="cs"/>
          <w:szCs w:val="24"/>
          <w:rtl/>
        </w:rPr>
        <w:t xml:space="preserve"> أن الله سبحانه قد علمنا التأويل حين أجاب على أسئلة العبد (أما علمت أن عبدي…) وأرشدنا إلى كيفيته للوصول إلى المعنى المقصود </w:t>
      </w:r>
      <w:r w:rsidR="00777DCB" w:rsidRPr="00A52585">
        <w:rPr>
          <w:rFonts w:hint="cs"/>
          <w:szCs w:val="24"/>
          <w:rtl/>
        </w:rPr>
        <w:lastRenderedPageBreak/>
        <w:t>في النص، وإنما تتفاوت أقدار العلماء الربانيين في ملاحظة القرائن التي تقود إلى المعنى المراد</w:t>
      </w:r>
      <w:r w:rsidR="00DB731D" w:rsidRPr="00A52585">
        <w:rPr>
          <w:rFonts w:hint="cs"/>
          <w:szCs w:val="24"/>
          <w:rtl/>
        </w:rPr>
        <w:t>،</w:t>
      </w:r>
      <w:r w:rsidR="00777DCB" w:rsidRPr="00A52585">
        <w:rPr>
          <w:rFonts w:hint="cs"/>
          <w:szCs w:val="24"/>
          <w:rtl/>
        </w:rPr>
        <w:t xml:space="preserve"> انظر كتاب (نجم المهتدي) للإمام ابن المعلم القرشي، باب (أدلة التأويل من جهة النقل)</w:t>
      </w:r>
      <w:r w:rsidRPr="00A52585">
        <w:rPr>
          <w:rFonts w:hint="cs"/>
          <w:szCs w:val="24"/>
          <w:rtl/>
        </w:rPr>
        <w:t>]</w:t>
      </w:r>
      <w:r w:rsidR="00DB731D" w:rsidRPr="00A52585">
        <w:rPr>
          <w:rFonts w:hint="cs"/>
          <w:szCs w:val="24"/>
          <w:rtl/>
        </w:rPr>
        <w:t>،</w:t>
      </w:r>
      <w:r w:rsidR="00777DCB" w:rsidRPr="00A52585">
        <w:rPr>
          <w:rFonts w:hint="cs"/>
          <w:rtl/>
        </w:rPr>
        <w:t xml:space="preserve"> [7-] وقال تعالى</w:t>
      </w:r>
      <w:r w:rsidRPr="00A52585">
        <w:rPr>
          <w:rFonts w:hint="cs"/>
          <w:rtl/>
        </w:rPr>
        <w:t>:</w:t>
      </w:r>
      <w:r w:rsidR="00777DCB" w:rsidRPr="00A52585">
        <w:rPr>
          <w:rFonts w:hint="cs"/>
          <w:rtl/>
        </w:rPr>
        <w:t xml:space="preserve"> {ونادَيْناه مِنْ جَانِبِ الطُورِ الأَيْمَنِ} [الآية 52، من سورة مريم</w:t>
      </w:r>
      <w:r w:rsidRPr="00A52585">
        <w:rPr>
          <w:rFonts w:hint="cs"/>
          <w:rtl/>
        </w:rPr>
        <w:t>]</w:t>
      </w:r>
      <w:r w:rsidR="00DB731D" w:rsidRPr="00A52585">
        <w:rPr>
          <w:rFonts w:hint="cs"/>
          <w:rtl/>
        </w:rPr>
        <w:t>،</w:t>
      </w:r>
      <w:r w:rsidR="00777DCB" w:rsidRPr="00A52585">
        <w:rPr>
          <w:rFonts w:hint="cs"/>
          <w:rtl/>
        </w:rPr>
        <w:t xml:space="preserve"> [8-] وقال تعالى</w:t>
      </w:r>
      <w:r w:rsidRPr="00A52585">
        <w:rPr>
          <w:rFonts w:hint="cs"/>
          <w:rtl/>
        </w:rPr>
        <w:t>:</w:t>
      </w:r>
      <w:r w:rsidR="00777DCB" w:rsidRPr="00A52585">
        <w:rPr>
          <w:rFonts w:hint="cs"/>
          <w:rtl/>
        </w:rPr>
        <w:t xml:space="preserve"> {نودي من شاطئ الوادي الأيمن في البقعة المباركة من الشجرة أن أيا موسى إني أنا الله رب العالمين} </w:t>
      </w:r>
      <w:r w:rsidRPr="00A52585">
        <w:rPr>
          <w:rFonts w:hint="cs"/>
          <w:rtl/>
        </w:rPr>
        <w:t>[</w:t>
      </w:r>
      <w:r w:rsidR="00777DCB" w:rsidRPr="00A52585">
        <w:rPr>
          <w:rFonts w:hint="cs"/>
          <w:rtl/>
        </w:rPr>
        <w:t>الآية 30 من سورة القصص</w:t>
      </w:r>
      <w:r w:rsidRPr="00A52585">
        <w:rPr>
          <w:rFonts w:hint="cs"/>
          <w:rtl/>
        </w:rPr>
        <w:t>]</w:t>
      </w:r>
      <w:r w:rsidR="00DB731D" w:rsidRPr="00A52585">
        <w:rPr>
          <w:rFonts w:hint="cs"/>
          <w:rtl/>
        </w:rPr>
        <w:t>،</w:t>
      </w:r>
      <w:r w:rsidR="00777DCB" w:rsidRPr="00A52585">
        <w:rPr>
          <w:rFonts w:hint="cs"/>
          <w:rtl/>
        </w:rPr>
        <w:t xml:space="preserve"> [9-] وقال تعالى {فَأَيْنَمَا تُوَلُّوا فَثَمَّ وَجْهُ الله</w:t>
      </w:r>
      <w:r w:rsidRPr="00A52585">
        <w:rPr>
          <w:rFonts w:hint="cs"/>
          <w:vertAlign w:val="superscript"/>
          <w:rtl/>
        </w:rPr>
        <w:t>}</w:t>
      </w:r>
      <w:r w:rsidR="00777DCB" w:rsidRPr="00A52585">
        <w:rPr>
          <w:rFonts w:hint="cs"/>
          <w:rtl/>
        </w:rPr>
        <w:t xml:space="preserve"> </w:t>
      </w:r>
      <w:r w:rsidRPr="00A52585">
        <w:rPr>
          <w:rFonts w:hint="cs"/>
          <w:rtl/>
        </w:rPr>
        <w:t>[</w:t>
      </w:r>
      <w:r w:rsidR="00777DCB" w:rsidRPr="00A52585">
        <w:rPr>
          <w:rFonts w:hint="cs"/>
          <w:rtl/>
        </w:rPr>
        <w:t>الآية 115 من سورة البقرة</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pacing w:val="-20"/>
          <w:rtl/>
        </w:rPr>
        <w:t>[10-]</w:t>
      </w:r>
      <w:r w:rsidR="00777DCB" w:rsidRPr="00A52585">
        <w:rPr>
          <w:rFonts w:hint="cs"/>
          <w:rtl/>
        </w:rPr>
        <w:t xml:space="preserve"> وفي الترمذي في حديث العنان</w:t>
      </w:r>
      <w:r w:rsidR="00DB731D" w:rsidRPr="00A52585">
        <w:rPr>
          <w:rFonts w:hint="cs"/>
          <w:rtl/>
        </w:rPr>
        <w:t>،</w:t>
      </w:r>
      <w:r w:rsidR="00777DCB" w:rsidRPr="00A52585">
        <w:rPr>
          <w:rFonts w:hint="cs"/>
          <w:rtl/>
        </w:rPr>
        <w:t xml:space="preserve"> وفيه </w:t>
      </w:r>
      <w:r w:rsidR="00777DCB" w:rsidRPr="00A52585">
        <w:rPr>
          <w:rFonts w:hint="cs"/>
          <w:spacing w:val="-20"/>
          <w:rtl/>
        </w:rPr>
        <w:t>ذكر الأرضين</w:t>
      </w:r>
      <w:r w:rsidR="00777DCB" w:rsidRPr="00A52585">
        <w:rPr>
          <w:rFonts w:hint="cs"/>
          <w:rtl/>
        </w:rPr>
        <w:t xml:space="preserve"> السبع وأن بين كل أرض كما بين السماء والأرض</w:t>
      </w:r>
      <w:r w:rsidR="00DB731D" w:rsidRPr="00A52585">
        <w:rPr>
          <w:rFonts w:hint="cs"/>
          <w:rtl/>
        </w:rPr>
        <w:t>،</w:t>
      </w:r>
      <w:r w:rsidR="00777DCB" w:rsidRPr="00A52585">
        <w:rPr>
          <w:rFonts w:hint="cs"/>
          <w:rtl/>
        </w:rPr>
        <w:t xml:space="preserve"> ثم 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والَّذِي نَفْسِي بَيِدِهِ لَوْ دُلِّى أَحَدُكُمْ بِحَبْلٍ لَوَقَعَ عَلَى الله سُبْحَانَه وَتَعَالَى</w:t>
      </w:r>
      <w:r w:rsidRPr="00A52585">
        <w:rPr>
          <w:rFonts w:hint="cs"/>
          <w:rtl/>
        </w:rPr>
        <w:t>)</w:t>
      </w:r>
      <w:r w:rsidR="00777DCB" w:rsidRPr="00A52585">
        <w:rPr>
          <w:rFonts w:hint="cs"/>
          <w:rtl/>
          <w:lang w:bidi="ar-KW"/>
        </w:rPr>
        <w:t xml:space="preserve">) </w:t>
      </w:r>
      <w:r w:rsidRPr="00A52585">
        <w:rPr>
          <w:rFonts w:hint="cs"/>
          <w:rtl/>
        </w:rPr>
        <w:t>[</w:t>
      </w:r>
      <w:r w:rsidR="00777DCB" w:rsidRPr="00A52585">
        <w:rPr>
          <w:rFonts w:hint="cs"/>
          <w:szCs w:val="24"/>
          <w:rtl/>
        </w:rPr>
        <w:t>قال المحقق</w:t>
      </w:r>
      <w:r w:rsidRPr="00A52585">
        <w:rPr>
          <w:rFonts w:hint="cs"/>
          <w:szCs w:val="24"/>
          <w:rtl/>
        </w:rPr>
        <w:t>:</w:t>
      </w:r>
      <w:r w:rsidR="00777DCB" w:rsidRPr="00A52585">
        <w:rPr>
          <w:rFonts w:hint="cs"/>
          <w:szCs w:val="24"/>
          <w:rtl/>
        </w:rPr>
        <w:t xml:space="preserve"> نص الحديث عند الترمذي</w:t>
      </w:r>
      <w:r w:rsidRPr="00A52585">
        <w:rPr>
          <w:rFonts w:hint="cs"/>
          <w:szCs w:val="24"/>
          <w:rtl/>
        </w:rPr>
        <w:t xml:space="preserve">: </w:t>
      </w:r>
      <w:r w:rsidR="00777DCB" w:rsidRPr="00A52585">
        <w:rPr>
          <w:rFonts w:hint="cs"/>
          <w:szCs w:val="24"/>
          <w:rtl/>
        </w:rPr>
        <w:t>" … والذي نفس محمد بيده لو أنكم دليتم بحبل إلى الأرض السفلي لهبط على الله "</w:t>
      </w:r>
      <w:r w:rsidRPr="00A52585">
        <w:rPr>
          <w:rFonts w:hint="cs"/>
          <w:szCs w:val="24"/>
          <w:rtl/>
        </w:rPr>
        <w:t xml:space="preserve"> </w:t>
      </w:r>
      <w:r w:rsidR="00777DCB" w:rsidRPr="00A52585">
        <w:rPr>
          <w:rFonts w:hint="cs"/>
          <w:szCs w:val="24"/>
          <w:rtl/>
        </w:rPr>
        <w:t>ثم قرأ</w:t>
      </w:r>
      <w:r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هو الأول والآخر والظاهر والباطن وهو بكل شيء عليم</w:t>
      </w:r>
      <w:r w:rsidRPr="00A52585">
        <w:rPr>
          <w:rFonts w:hint="cs"/>
          <w:szCs w:val="24"/>
          <w:rtl/>
        </w:rPr>
        <w:t>} [</w:t>
      </w:r>
      <w:r w:rsidR="00777DCB" w:rsidRPr="00A52585">
        <w:rPr>
          <w:rFonts w:hint="cs"/>
          <w:szCs w:val="24"/>
          <w:rtl/>
        </w:rPr>
        <w:t>الحديد</w:t>
      </w:r>
      <w:r w:rsidRPr="00A52585">
        <w:rPr>
          <w:rFonts w:hint="cs"/>
          <w:szCs w:val="24"/>
          <w:rtl/>
        </w:rPr>
        <w:t>:</w:t>
      </w:r>
      <w:r w:rsidR="00777DCB" w:rsidRPr="00A52585">
        <w:rPr>
          <w:rFonts w:hint="cs"/>
          <w:szCs w:val="24"/>
          <w:rtl/>
        </w:rPr>
        <w:t>3] وقد رواه أيضاً عن الحسن عن أبي هريرة أحمد في مسنده والطبراني في معجمه والبيهقي في (الأسماء والصفات)</w:t>
      </w:r>
      <w:r w:rsidR="00DB731D" w:rsidRPr="00A52585">
        <w:rPr>
          <w:rFonts w:hint="cs"/>
          <w:szCs w:val="24"/>
          <w:rtl/>
        </w:rPr>
        <w:t>،</w:t>
      </w:r>
      <w:r w:rsidR="00777DCB" w:rsidRPr="00A52585">
        <w:rPr>
          <w:rFonts w:hint="cs"/>
          <w:szCs w:val="24"/>
          <w:rtl/>
        </w:rPr>
        <w:t xml:space="preserve"> انظر سنن الترمذي كتاب (التفسير) باب (ومن سورة الحديد) من حديث قتادة قال</w:t>
      </w:r>
      <w:r w:rsidRPr="00A52585">
        <w:rPr>
          <w:rFonts w:hint="cs"/>
          <w:szCs w:val="24"/>
          <w:rtl/>
        </w:rPr>
        <w:t>:</w:t>
      </w:r>
      <w:r w:rsidR="00777DCB" w:rsidRPr="00A52585">
        <w:rPr>
          <w:rFonts w:hint="cs"/>
          <w:szCs w:val="24"/>
          <w:rtl/>
        </w:rPr>
        <w:t xml:space="preserve"> حدث الحسن -يعني البصري- عن أبي هريرة، وقال الترمذي</w:t>
      </w:r>
      <w:r w:rsidRPr="00A52585">
        <w:rPr>
          <w:rFonts w:hint="cs"/>
          <w:szCs w:val="24"/>
          <w:rtl/>
        </w:rPr>
        <w:t>:</w:t>
      </w:r>
      <w:r w:rsidR="00777DCB" w:rsidRPr="00A52585">
        <w:rPr>
          <w:rFonts w:hint="cs"/>
          <w:szCs w:val="24"/>
          <w:rtl/>
        </w:rPr>
        <w:t xml:space="preserve"> هذا حديث غريب من هذا الوجه، قال</w:t>
      </w:r>
      <w:r w:rsidRPr="00A52585">
        <w:rPr>
          <w:rFonts w:hint="cs"/>
          <w:szCs w:val="24"/>
          <w:rtl/>
        </w:rPr>
        <w:t>:</w:t>
      </w:r>
      <w:r w:rsidR="00777DCB" w:rsidRPr="00A52585">
        <w:rPr>
          <w:rFonts w:hint="cs"/>
          <w:szCs w:val="24"/>
          <w:rtl/>
        </w:rPr>
        <w:t xml:space="preserve"> ويروي عن أيوب ويونس بن عبيد وعلى بن زيد قالوا</w:t>
      </w:r>
      <w:r w:rsidRPr="00A52585">
        <w:rPr>
          <w:rFonts w:hint="cs"/>
          <w:szCs w:val="24"/>
          <w:rtl/>
        </w:rPr>
        <w:t>:</w:t>
      </w:r>
      <w:r w:rsidR="00777DCB" w:rsidRPr="00A52585">
        <w:rPr>
          <w:rFonts w:hint="cs"/>
          <w:szCs w:val="24"/>
          <w:rtl/>
        </w:rPr>
        <w:t xml:space="preserve"> لم يسمع الحسن من أبي هريرة</w:t>
      </w:r>
      <w:r w:rsidR="00DB731D" w:rsidRPr="00A52585">
        <w:rPr>
          <w:rFonts w:hint="cs"/>
          <w:szCs w:val="24"/>
          <w:rtl/>
        </w:rPr>
        <w:t>،</w:t>
      </w:r>
      <w:r w:rsidR="00777DCB" w:rsidRPr="00A52585">
        <w:rPr>
          <w:rFonts w:hint="cs"/>
          <w:szCs w:val="24"/>
          <w:rtl/>
        </w:rPr>
        <w:t xml:space="preserve"> </w:t>
      </w:r>
      <w:r w:rsidR="00777DCB" w:rsidRPr="00A52585">
        <w:rPr>
          <w:rFonts w:hint="cs"/>
          <w:spacing w:val="-6"/>
          <w:szCs w:val="24"/>
          <w:rtl/>
        </w:rPr>
        <w:t>قلت الصحيح أنه سمع من أبي هريرة وأشار إليه ضمنا الإمام</w:t>
      </w:r>
      <w:r w:rsidR="00777DCB" w:rsidRPr="00A52585">
        <w:rPr>
          <w:rFonts w:hint="cs"/>
          <w:szCs w:val="24"/>
          <w:rtl/>
        </w:rPr>
        <w:t xml:space="preserve"> البخاري في تاريخه وأكده الحافظ </w:t>
      </w:r>
      <w:r w:rsidR="00777DCB" w:rsidRPr="00A52585">
        <w:rPr>
          <w:rFonts w:hint="cs"/>
          <w:spacing w:val="-6"/>
          <w:szCs w:val="24"/>
          <w:rtl/>
        </w:rPr>
        <w:t>ابن حجر في التهذيب في ترجمة الحسن، وفي فتح الباري 9/354ط السلفية</w:t>
      </w:r>
      <w:r w:rsidR="00777DCB" w:rsidRPr="00A52585">
        <w:rPr>
          <w:rFonts w:hint="cs"/>
          <w:szCs w:val="24"/>
          <w:rtl/>
        </w:rPr>
        <w:t xml:space="preserve"> </w:t>
      </w:r>
      <w:r w:rsidR="00777DCB" w:rsidRPr="00A52585">
        <w:rPr>
          <w:rFonts w:hint="cs"/>
          <w:spacing w:val="-6"/>
          <w:szCs w:val="24"/>
          <w:rtl/>
        </w:rPr>
        <w:t>وصرح الحسن نفسه بسماعه من أبي</w:t>
      </w:r>
      <w:r w:rsidR="00777DCB" w:rsidRPr="00A52585">
        <w:rPr>
          <w:rFonts w:hint="cs"/>
          <w:szCs w:val="24"/>
          <w:rtl/>
        </w:rPr>
        <w:t xml:space="preserve"> هريرة وروى بلفظ حدثنا مرات عديدة أحصى منها الشيخ أحمد شاكر ستة مواضع ذكرها في بحث قيم أثبت فيه سماع الحسن من أبي هريرة بلا شك أو ريب انظره في تخريجه لأحاديث المسند ج12 ص 107- 118 عند تخريجه للحديث رقم (7138)، وأكد ذلك أيضاً العلامة المحدث السيد عبد الله الغماري في تعليقه على (المقاصد الحسنة) للسخاوي فقال</w:t>
      </w:r>
      <w:r w:rsidRPr="00A52585">
        <w:rPr>
          <w:rFonts w:hint="cs"/>
          <w:szCs w:val="24"/>
          <w:rtl/>
        </w:rPr>
        <w:t xml:space="preserve">: </w:t>
      </w:r>
      <w:r w:rsidR="00777DCB" w:rsidRPr="00A52585">
        <w:rPr>
          <w:rFonts w:hint="cs"/>
          <w:szCs w:val="24"/>
          <w:rtl/>
        </w:rPr>
        <w:t>" بل سمع منه كما صرح به الحسن نفسه في أحاديث بأسانيد جياد منها حديث في فضل سورة الدخان "</w:t>
      </w:r>
      <w:r w:rsidRPr="00A52585">
        <w:rPr>
          <w:rFonts w:hint="cs"/>
          <w:szCs w:val="24"/>
          <w:rtl/>
        </w:rPr>
        <w:t xml:space="preserve"> </w:t>
      </w:r>
      <w:r w:rsidR="00777DCB" w:rsidRPr="00A52585">
        <w:rPr>
          <w:rFonts w:hint="cs"/>
          <w:szCs w:val="24"/>
          <w:rtl/>
        </w:rPr>
        <w:t xml:space="preserve">أ هـ ص 345 وهذا الحديث رجاله ثقات وإذ قد ثبت سماع الحسن من أبي هريرة فإسناد الحديث قوي صالح للاحتجاج، وعلى سبيل </w:t>
      </w:r>
      <w:proofErr w:type="spellStart"/>
      <w:r w:rsidR="00777DCB" w:rsidRPr="00A52585">
        <w:rPr>
          <w:rFonts w:hint="cs"/>
          <w:szCs w:val="24"/>
          <w:rtl/>
        </w:rPr>
        <w:t>التنزل</w:t>
      </w:r>
      <w:proofErr w:type="spellEnd"/>
      <w:r w:rsidR="00777DCB" w:rsidRPr="00A52585">
        <w:rPr>
          <w:rFonts w:hint="cs"/>
          <w:szCs w:val="24"/>
          <w:rtl/>
        </w:rPr>
        <w:t xml:space="preserve"> لو </w:t>
      </w:r>
      <w:r w:rsidR="00777DCB" w:rsidRPr="00A52585">
        <w:rPr>
          <w:rFonts w:hint="cs"/>
          <w:spacing w:val="-6"/>
          <w:szCs w:val="24"/>
          <w:rtl/>
        </w:rPr>
        <w:t>سلمنا أن الحسن لم يسمع من أبي هريرة</w:t>
      </w:r>
      <w:r w:rsidR="00777DCB" w:rsidRPr="00A52585">
        <w:rPr>
          <w:rFonts w:hint="cs"/>
          <w:szCs w:val="24"/>
          <w:rtl/>
        </w:rPr>
        <w:t xml:space="preserve"> فقد روى البيهقي في الأسماء والصفات رواية أخرى متابعة عن أبي ذر –بسند فيه انقطاع- قال</w:t>
      </w:r>
      <w:r w:rsidRPr="00A52585">
        <w:rPr>
          <w:rFonts w:hint="cs"/>
          <w:szCs w:val="24"/>
          <w:rtl/>
        </w:rPr>
        <w:t>:</w:t>
      </w:r>
      <w:r w:rsidR="00777DCB" w:rsidRPr="00A52585">
        <w:rPr>
          <w:rFonts w:hint="cs"/>
          <w:szCs w:val="24"/>
          <w:rtl/>
        </w:rPr>
        <w:t xml:space="preserve"> قال رسول الله صلى الله عليه وسلم</w:t>
      </w:r>
      <w:r w:rsidRPr="00A52585">
        <w:rPr>
          <w:rFonts w:hint="cs"/>
          <w:szCs w:val="24"/>
          <w:rtl/>
        </w:rPr>
        <w:t xml:space="preserve">: </w:t>
      </w:r>
      <w:r w:rsidR="00777DCB" w:rsidRPr="00A52585">
        <w:rPr>
          <w:rFonts w:hint="cs"/>
          <w:szCs w:val="24"/>
          <w:rtl/>
        </w:rPr>
        <w:t xml:space="preserve">"ما بين الأرض إلى السماء مسيرة خمسمائة سنة وغلظ السماء الدنيا مسيرة </w:t>
      </w:r>
      <w:r w:rsidR="00777DCB" w:rsidRPr="00A52585">
        <w:rPr>
          <w:rFonts w:hint="cs"/>
          <w:spacing w:val="-8"/>
          <w:szCs w:val="24"/>
          <w:rtl/>
        </w:rPr>
        <w:t>خمسمائة سنة</w:t>
      </w:r>
      <w:r w:rsidR="00777DCB" w:rsidRPr="00A52585">
        <w:rPr>
          <w:rFonts w:hint="cs"/>
          <w:szCs w:val="24"/>
          <w:rtl/>
        </w:rPr>
        <w:t xml:space="preserve"> وما بين كل سماء إلى السماء التي تليها مسيرة خمسمائة سنة، والأرضين مثل ذلك وما بين </w:t>
      </w:r>
      <w:r w:rsidR="00777DCB" w:rsidRPr="00A52585">
        <w:rPr>
          <w:rFonts w:hint="cs"/>
          <w:spacing w:val="-8"/>
          <w:szCs w:val="24"/>
          <w:rtl/>
        </w:rPr>
        <w:t>السماء السابعة</w:t>
      </w:r>
      <w:r w:rsidR="00777DCB" w:rsidRPr="00A52585">
        <w:rPr>
          <w:rFonts w:hint="cs"/>
          <w:szCs w:val="24"/>
          <w:rtl/>
        </w:rPr>
        <w:t xml:space="preserve"> </w:t>
      </w:r>
      <w:r w:rsidR="00777DCB" w:rsidRPr="00A52585">
        <w:rPr>
          <w:rFonts w:hint="cs"/>
          <w:spacing w:val="-6"/>
          <w:szCs w:val="24"/>
          <w:rtl/>
        </w:rPr>
        <w:t>إلى العرش مثل جميع ذلك ولو حفرتم لصاحبكم ثم دليتموه لوجدتم</w:t>
      </w:r>
      <w:r w:rsidR="00777DCB" w:rsidRPr="00A52585">
        <w:rPr>
          <w:rFonts w:hint="cs"/>
          <w:szCs w:val="24"/>
          <w:rtl/>
        </w:rPr>
        <w:t xml:space="preserve"> الله </w:t>
      </w:r>
      <w:r w:rsidR="00777DCB" w:rsidRPr="00A52585">
        <w:rPr>
          <w:rFonts w:hint="cs"/>
          <w:spacing w:val="-4"/>
          <w:szCs w:val="24"/>
          <w:rtl/>
        </w:rPr>
        <w:t>عز وجل</w:t>
      </w:r>
      <w:r w:rsidR="00777DCB" w:rsidRPr="00A52585">
        <w:rPr>
          <w:rFonts w:hint="cs"/>
          <w:szCs w:val="24"/>
          <w:rtl/>
        </w:rPr>
        <w:t>"</w:t>
      </w:r>
      <w:r w:rsidR="00DB731D" w:rsidRPr="00A52585">
        <w:rPr>
          <w:rFonts w:hint="cs"/>
          <w:szCs w:val="24"/>
          <w:rtl/>
        </w:rPr>
        <w:t>،</w:t>
      </w:r>
      <w:r w:rsidR="00777DCB" w:rsidRPr="00A52585">
        <w:rPr>
          <w:rFonts w:hint="cs"/>
          <w:szCs w:val="24"/>
          <w:rtl/>
        </w:rPr>
        <w:t xml:space="preserve"> فالحديث بمجموع طرقه ثابت فهو حسن لغيره على أقل تقدير</w:t>
      </w:r>
      <w:r w:rsidR="00DB731D" w:rsidRPr="00A52585">
        <w:rPr>
          <w:rFonts w:hint="cs"/>
          <w:szCs w:val="24"/>
          <w:rtl/>
        </w:rPr>
        <w:t>،</w:t>
      </w:r>
      <w:r w:rsidR="00777DCB" w:rsidRPr="00A52585">
        <w:rPr>
          <w:rFonts w:hint="cs"/>
          <w:szCs w:val="24"/>
          <w:rtl/>
        </w:rPr>
        <w:t xml:space="preserve"> يقول الإمام البيهقي في (الأسماء والصفات) بعد ذكره لحديث أبي هريرة</w:t>
      </w:r>
      <w:r w:rsidRPr="00A52585">
        <w:rPr>
          <w:rFonts w:hint="cs"/>
          <w:szCs w:val="24"/>
          <w:rtl/>
        </w:rPr>
        <w:t xml:space="preserve">: </w:t>
      </w:r>
      <w:r w:rsidR="00777DCB" w:rsidRPr="00A52585">
        <w:rPr>
          <w:rFonts w:hint="cs"/>
          <w:szCs w:val="24"/>
          <w:rtl/>
        </w:rPr>
        <w:t>"والذي روى في آخر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sidRPr="00A52585">
        <w:rPr>
          <w:rFonts w:hint="cs"/>
          <w:szCs w:val="24"/>
          <w:rtl/>
        </w:rPr>
        <w:t xml:space="preserve">: </w:t>
      </w:r>
      <w:r w:rsidR="00777DCB" w:rsidRPr="00A52585">
        <w:rPr>
          <w:rFonts w:hint="cs"/>
          <w:szCs w:val="24"/>
          <w:rtl/>
        </w:rPr>
        <w:t>" أنت الظاهر فليس فوقك شيء وأنت الباطن فليس دونك شيء)، وإذا لم يكن فوقه شيء ولا دونه شيء لم يكن في مكان"</w:t>
      </w:r>
      <w:r w:rsidRPr="00A52585">
        <w:rPr>
          <w:rFonts w:hint="cs"/>
          <w:szCs w:val="24"/>
          <w:rtl/>
        </w:rPr>
        <w:t xml:space="preserve"> </w:t>
      </w:r>
      <w:r w:rsidR="00777DCB" w:rsidRPr="00A52585">
        <w:rPr>
          <w:rFonts w:hint="cs"/>
          <w:szCs w:val="24"/>
          <w:rtl/>
        </w:rPr>
        <w:t>أ هـ، ص 400ط الكردي</w:t>
      </w:r>
      <w:r w:rsidR="00DB731D" w:rsidRPr="00A52585">
        <w:rPr>
          <w:rFonts w:hint="cs"/>
          <w:szCs w:val="24"/>
          <w:rtl/>
        </w:rPr>
        <w:t>،</w:t>
      </w:r>
      <w:r w:rsidR="00777DCB" w:rsidRPr="00A52585">
        <w:rPr>
          <w:rFonts w:hint="cs"/>
          <w:szCs w:val="24"/>
          <w:rtl/>
        </w:rPr>
        <w:t xml:space="preserve"> ويقول الإمام أبو بكر بن العربي في العارضة</w:t>
      </w:r>
      <w:r w:rsidRPr="00A52585">
        <w:rPr>
          <w:rFonts w:hint="cs"/>
          <w:szCs w:val="24"/>
          <w:rtl/>
        </w:rPr>
        <w:t>:</w:t>
      </w:r>
      <w:r w:rsidR="00777DCB" w:rsidRPr="00A52585">
        <w:rPr>
          <w:rFonts w:hint="cs"/>
          <w:szCs w:val="24"/>
          <w:rtl/>
        </w:rPr>
        <w:t xml:space="preserve"> " والمقصود من الخبر أن نسبة الباري من الجهات إلى فوق كنسبته إلى تحت، إذ لا ينسب إلى الكون في واحدة منها بذاته " أ هـ</w:t>
      </w:r>
      <w:r w:rsidRPr="00A52585">
        <w:rPr>
          <w:rFonts w:hint="cs"/>
          <w:szCs w:val="24"/>
          <w:rtl/>
        </w:rPr>
        <w:t>]</w:t>
      </w:r>
      <w:r w:rsidR="00DB731D" w:rsidRPr="00A52585">
        <w:rPr>
          <w:rFonts w:hint="cs"/>
          <w:szCs w:val="24"/>
          <w:rtl/>
        </w:rPr>
        <w:t>،</w:t>
      </w:r>
      <w:r w:rsidRPr="00A52585">
        <w:rPr>
          <w:rFonts w:hint="cs"/>
          <w:szCs w:val="24"/>
          <w:rtl/>
        </w:rPr>
        <w:t xml:space="preserve"> </w:t>
      </w:r>
      <w:r w:rsidR="00777DCB" w:rsidRPr="00A52585">
        <w:rPr>
          <w:rFonts w:hint="cs"/>
          <w:rtl/>
        </w:rPr>
        <w:t xml:space="preserve">ومثل هذه </w:t>
      </w:r>
      <w:r w:rsidR="00777DCB" w:rsidRPr="00A52585">
        <w:rPr>
          <w:rFonts w:hint="cs"/>
          <w:rtl/>
        </w:rPr>
        <w:lastRenderedPageBreak/>
        <w:t>الأدلة كثير</w:t>
      </w:r>
      <w:r w:rsidR="00DB731D" w:rsidRPr="00A52585">
        <w:rPr>
          <w:rFonts w:hint="cs"/>
          <w:rtl/>
        </w:rPr>
        <w:t>،</w:t>
      </w:r>
      <w:r w:rsidR="00777DCB" w:rsidRPr="00A52585">
        <w:rPr>
          <w:rFonts w:hint="cs"/>
          <w:rtl/>
        </w:rPr>
        <w:t xml:space="preserve"> وكلها قاضية بالكون السفلي دون العلوي </w:t>
      </w:r>
      <w:r w:rsidRPr="00A52585">
        <w:rPr>
          <w:rFonts w:hint="cs"/>
          <w:rtl/>
        </w:rPr>
        <w:t>[</w:t>
      </w:r>
      <w:r w:rsidR="00777DCB" w:rsidRPr="00A52585">
        <w:rPr>
          <w:rFonts w:hint="cs"/>
          <w:szCs w:val="24"/>
          <w:rtl/>
        </w:rPr>
        <w:t>قال المحقق</w:t>
      </w:r>
      <w:r w:rsidRPr="00A52585">
        <w:rPr>
          <w:rFonts w:hint="cs"/>
          <w:szCs w:val="24"/>
          <w:rtl/>
        </w:rPr>
        <w:t>:</w:t>
      </w:r>
      <w:r w:rsidR="00777DCB" w:rsidRPr="00A52585">
        <w:rPr>
          <w:rFonts w:hint="cs"/>
          <w:szCs w:val="24"/>
          <w:rtl/>
        </w:rPr>
        <w:t xml:space="preserve"> [</w:t>
      </w:r>
      <w:r w:rsidR="00777DCB" w:rsidRPr="00A52585">
        <w:rPr>
          <w:rFonts w:hint="cs"/>
          <w:bCs/>
          <w:szCs w:val="24"/>
          <w:rtl/>
        </w:rPr>
        <w:t>ومن الأدلة أيضاً غير ما ذكره المؤلف</w:t>
      </w:r>
      <w:r w:rsidR="00777DCB" w:rsidRPr="00A52585">
        <w:rPr>
          <w:rFonts w:hint="cs"/>
          <w:szCs w:val="24"/>
          <w:rtl/>
        </w:rPr>
        <w:t>]</w:t>
      </w:r>
      <w:r w:rsidRPr="00A52585">
        <w:rPr>
          <w:rFonts w:hint="cs"/>
          <w:szCs w:val="24"/>
          <w:rtl/>
        </w:rPr>
        <w:t>:</w:t>
      </w:r>
      <w:r w:rsidR="00777DCB" w:rsidRPr="00A52585">
        <w:rPr>
          <w:rFonts w:hint="cs"/>
          <w:szCs w:val="24"/>
          <w:rtl/>
        </w:rPr>
        <w:t xml:space="preserve"> 1- قوله تعالى</w:t>
      </w:r>
      <w:r w:rsidRPr="00A52585">
        <w:rPr>
          <w:rFonts w:hint="cs"/>
          <w:szCs w:val="24"/>
          <w:rtl/>
        </w:rPr>
        <w:t>:</w:t>
      </w:r>
      <w:r w:rsidR="00777DCB" w:rsidRPr="00A52585">
        <w:rPr>
          <w:rFonts w:hint="cs"/>
          <w:szCs w:val="24"/>
          <w:rtl/>
        </w:rPr>
        <w:t xml:space="preserve"> {إن الله مع الذين اتقوا والذين هم محسنون</w:t>
      </w:r>
      <w:r w:rsidRPr="00A52585">
        <w:rPr>
          <w:rFonts w:hint="cs"/>
          <w:szCs w:val="24"/>
          <w:rtl/>
        </w:rPr>
        <w:t>}</w:t>
      </w:r>
      <w:r w:rsidR="00777DCB" w:rsidRPr="00A52585">
        <w:rPr>
          <w:rFonts w:hint="cs"/>
          <w:szCs w:val="24"/>
          <w:rtl/>
        </w:rPr>
        <w:t xml:space="preserve"> (النحل</w:t>
      </w:r>
      <w:r w:rsidRPr="00A52585">
        <w:rPr>
          <w:rFonts w:hint="cs"/>
          <w:szCs w:val="24"/>
          <w:rtl/>
        </w:rPr>
        <w:t>:</w:t>
      </w:r>
      <w:r w:rsidR="00777DCB" w:rsidRPr="00A52585">
        <w:rPr>
          <w:rFonts w:hint="cs"/>
          <w:szCs w:val="24"/>
          <w:rtl/>
        </w:rPr>
        <w:t xml:space="preserve"> 128)</w:t>
      </w:r>
      <w:r w:rsidR="00DB731D" w:rsidRPr="00A52585">
        <w:rPr>
          <w:rFonts w:hint="cs"/>
          <w:szCs w:val="24"/>
          <w:rtl/>
        </w:rPr>
        <w:t>،</w:t>
      </w:r>
      <w:r w:rsidR="00777DCB" w:rsidRPr="00A52585">
        <w:rPr>
          <w:rFonts w:hint="cs"/>
          <w:szCs w:val="24"/>
          <w:rtl/>
        </w:rPr>
        <w:t xml:space="preserve"> 2- قوله تعالى</w:t>
      </w:r>
      <w:r w:rsidRPr="00A52585">
        <w:rPr>
          <w:rFonts w:hint="cs"/>
          <w:szCs w:val="24"/>
          <w:rtl/>
        </w:rPr>
        <w:t>:</w:t>
      </w:r>
      <w:r w:rsidR="00777DCB" w:rsidRPr="00A52585">
        <w:rPr>
          <w:rFonts w:hint="cs"/>
          <w:szCs w:val="24"/>
          <w:rtl/>
        </w:rPr>
        <w:t xml:space="preserve"> {… وإن الله لمع المحسنين</w:t>
      </w:r>
      <w:r w:rsidRPr="00A52585">
        <w:rPr>
          <w:rFonts w:hint="cs"/>
          <w:szCs w:val="24"/>
          <w:rtl/>
        </w:rPr>
        <w:t>}</w:t>
      </w:r>
      <w:r w:rsidR="00777DCB" w:rsidRPr="00A52585">
        <w:rPr>
          <w:rFonts w:hint="cs"/>
          <w:szCs w:val="24"/>
          <w:rtl/>
        </w:rPr>
        <w:t xml:space="preserve"> (العنكبوت</w:t>
      </w:r>
      <w:r w:rsidRPr="00A52585">
        <w:rPr>
          <w:rFonts w:hint="cs"/>
          <w:szCs w:val="24"/>
          <w:rtl/>
        </w:rPr>
        <w:t>:</w:t>
      </w:r>
      <w:r w:rsidR="00777DCB" w:rsidRPr="00A52585">
        <w:rPr>
          <w:rFonts w:hint="cs"/>
          <w:szCs w:val="24"/>
          <w:rtl/>
        </w:rPr>
        <w:t xml:space="preserve"> 69)</w:t>
      </w:r>
      <w:r w:rsidR="00DB731D" w:rsidRPr="00A52585">
        <w:rPr>
          <w:rFonts w:hint="cs"/>
          <w:szCs w:val="24"/>
          <w:rtl/>
        </w:rPr>
        <w:t>،</w:t>
      </w:r>
      <w:r w:rsidR="00777DCB" w:rsidRPr="00A52585">
        <w:rPr>
          <w:rFonts w:hint="cs"/>
          <w:szCs w:val="24"/>
          <w:rtl/>
        </w:rPr>
        <w:t xml:space="preserve"> 3- قوله تعالى</w:t>
      </w:r>
      <w:r w:rsidRPr="00A52585">
        <w:rPr>
          <w:rFonts w:hint="cs"/>
          <w:szCs w:val="24"/>
          <w:rtl/>
        </w:rPr>
        <w:t>:</w:t>
      </w:r>
      <w:r w:rsidR="00777DCB" w:rsidRPr="00A52585">
        <w:rPr>
          <w:rFonts w:hint="cs"/>
          <w:szCs w:val="24"/>
          <w:rtl/>
        </w:rPr>
        <w:t xml:space="preserve"> {… وهو معكم أينما كنتم</w:t>
      </w:r>
      <w:r w:rsidRPr="00A52585">
        <w:rPr>
          <w:rFonts w:hint="cs"/>
          <w:szCs w:val="24"/>
          <w:rtl/>
        </w:rPr>
        <w:t>}</w:t>
      </w:r>
      <w:r w:rsidR="00777DCB" w:rsidRPr="00A52585">
        <w:rPr>
          <w:rFonts w:hint="cs"/>
          <w:szCs w:val="24"/>
          <w:rtl/>
        </w:rPr>
        <w:t xml:space="preserve"> (الحديد</w:t>
      </w:r>
      <w:r w:rsidRPr="00A52585">
        <w:rPr>
          <w:rFonts w:hint="cs"/>
          <w:szCs w:val="24"/>
          <w:rtl/>
        </w:rPr>
        <w:t>:</w:t>
      </w:r>
      <w:r w:rsidR="00777DCB" w:rsidRPr="00A52585">
        <w:rPr>
          <w:rFonts w:hint="cs"/>
          <w:szCs w:val="24"/>
          <w:rtl/>
        </w:rPr>
        <w:t xml:space="preserve"> 4)</w:t>
      </w:r>
      <w:r w:rsidR="00DB731D" w:rsidRPr="00A52585">
        <w:rPr>
          <w:rFonts w:hint="cs"/>
          <w:szCs w:val="24"/>
          <w:rtl/>
        </w:rPr>
        <w:t>،</w:t>
      </w:r>
      <w:r w:rsidR="00777DCB" w:rsidRPr="00A52585">
        <w:rPr>
          <w:rFonts w:hint="cs"/>
          <w:szCs w:val="24"/>
          <w:rtl/>
        </w:rPr>
        <w:t xml:space="preserve"> 4- قوله تعالى</w:t>
      </w:r>
      <w:r w:rsidRPr="00A52585">
        <w:rPr>
          <w:rFonts w:hint="cs"/>
          <w:szCs w:val="24"/>
          <w:rtl/>
        </w:rPr>
        <w:t>:</w:t>
      </w:r>
      <w:r w:rsidR="00777DCB" w:rsidRPr="00A52585">
        <w:rPr>
          <w:rFonts w:hint="cs"/>
          <w:szCs w:val="24"/>
          <w:rtl/>
        </w:rPr>
        <w:t xml:space="preserve"> {ما يكون من نجوى ثلاثة إلا هو رابعهم ولا خمسة إلا هو سادسهم ولا أدنى من ذلك ولا أكثر إلا هو معهم أين ما كانوا…</w:t>
      </w:r>
      <w:r w:rsidRPr="00A52585">
        <w:rPr>
          <w:rFonts w:hint="cs"/>
          <w:szCs w:val="24"/>
          <w:rtl/>
        </w:rPr>
        <w:t>}</w:t>
      </w:r>
      <w:r w:rsidR="00777DCB" w:rsidRPr="00A52585">
        <w:rPr>
          <w:rFonts w:hint="cs"/>
          <w:szCs w:val="24"/>
          <w:rtl/>
        </w:rPr>
        <w:t xml:space="preserve"> (المجادلة</w:t>
      </w:r>
      <w:r w:rsidRPr="00A52585">
        <w:rPr>
          <w:rFonts w:hint="cs"/>
          <w:szCs w:val="24"/>
          <w:rtl/>
        </w:rPr>
        <w:t>:</w:t>
      </w:r>
      <w:r w:rsidR="00777DCB" w:rsidRPr="00A52585">
        <w:rPr>
          <w:rFonts w:hint="cs"/>
          <w:szCs w:val="24"/>
          <w:rtl/>
        </w:rPr>
        <w:t xml:space="preserve"> 7)</w:t>
      </w:r>
      <w:r w:rsidR="00DB731D" w:rsidRPr="00A52585">
        <w:rPr>
          <w:rFonts w:hint="cs"/>
          <w:szCs w:val="24"/>
          <w:rtl/>
        </w:rPr>
        <w:t>،</w:t>
      </w:r>
      <w:r w:rsidR="00777DCB" w:rsidRPr="00A52585">
        <w:rPr>
          <w:rFonts w:hint="cs"/>
          <w:szCs w:val="24"/>
          <w:rtl/>
        </w:rPr>
        <w:t xml:space="preserve"> 5- قوله تعالى</w:t>
      </w:r>
      <w:r w:rsidRPr="00A52585">
        <w:rPr>
          <w:rFonts w:hint="cs"/>
          <w:szCs w:val="24"/>
          <w:rtl/>
        </w:rPr>
        <w:t>:</w:t>
      </w:r>
      <w:r w:rsidR="00777DCB" w:rsidRPr="00A52585">
        <w:rPr>
          <w:rFonts w:hint="cs"/>
          <w:szCs w:val="24"/>
          <w:rtl/>
        </w:rPr>
        <w:t xml:space="preserve"> {وإذا سألك عبادي عني فإني قريب</w:t>
      </w:r>
      <w:r w:rsidRPr="00A52585">
        <w:rPr>
          <w:rFonts w:hint="cs"/>
          <w:szCs w:val="24"/>
          <w:rtl/>
        </w:rPr>
        <w:t>}</w:t>
      </w:r>
      <w:r w:rsidR="00777DCB" w:rsidRPr="00A52585">
        <w:rPr>
          <w:rFonts w:hint="cs"/>
          <w:szCs w:val="24"/>
          <w:rtl/>
        </w:rPr>
        <w:t xml:space="preserve"> (البقرة</w:t>
      </w:r>
      <w:r w:rsidRPr="00A52585">
        <w:rPr>
          <w:rFonts w:hint="cs"/>
          <w:szCs w:val="24"/>
          <w:rtl/>
        </w:rPr>
        <w:t>:</w:t>
      </w:r>
      <w:r w:rsidR="00777DCB" w:rsidRPr="00A52585">
        <w:rPr>
          <w:rFonts w:hint="cs"/>
          <w:szCs w:val="24"/>
          <w:rtl/>
        </w:rPr>
        <w:t xml:space="preserve"> 186)</w:t>
      </w:r>
      <w:r w:rsidR="00DB731D" w:rsidRPr="00A52585">
        <w:rPr>
          <w:rFonts w:hint="cs"/>
          <w:szCs w:val="24"/>
          <w:rtl/>
        </w:rPr>
        <w:t>،</w:t>
      </w:r>
      <w:r w:rsidR="00777DCB" w:rsidRPr="00A52585">
        <w:rPr>
          <w:rFonts w:hint="cs"/>
          <w:szCs w:val="24"/>
          <w:rtl/>
        </w:rPr>
        <w:t xml:space="preserve"> 6- قوله تعالى</w:t>
      </w:r>
      <w:r w:rsidRPr="00A52585">
        <w:rPr>
          <w:rFonts w:hint="cs"/>
          <w:szCs w:val="24"/>
          <w:rtl/>
        </w:rPr>
        <w:t>:</w:t>
      </w:r>
      <w:r w:rsidR="00777DCB" w:rsidRPr="00A52585">
        <w:rPr>
          <w:rFonts w:hint="cs"/>
          <w:szCs w:val="24"/>
          <w:rtl/>
        </w:rPr>
        <w:t xml:space="preserve"> {ونحن أقرب إليه من حبل الوريد</w:t>
      </w:r>
      <w:r w:rsidRPr="00A52585">
        <w:rPr>
          <w:rFonts w:hint="cs"/>
          <w:szCs w:val="24"/>
          <w:rtl/>
        </w:rPr>
        <w:t>}</w:t>
      </w:r>
      <w:r w:rsidR="00777DCB" w:rsidRPr="00A52585">
        <w:rPr>
          <w:rFonts w:hint="cs"/>
          <w:szCs w:val="24"/>
          <w:rtl/>
        </w:rPr>
        <w:t xml:space="preserve"> (ق</w:t>
      </w:r>
      <w:r w:rsidRPr="00A52585">
        <w:rPr>
          <w:rFonts w:hint="cs"/>
          <w:szCs w:val="24"/>
          <w:rtl/>
        </w:rPr>
        <w:t>:</w:t>
      </w:r>
      <w:r w:rsidR="00777DCB" w:rsidRPr="00A52585">
        <w:rPr>
          <w:rFonts w:hint="cs"/>
          <w:szCs w:val="24"/>
          <w:rtl/>
        </w:rPr>
        <w:t xml:space="preserve"> 16)</w:t>
      </w:r>
      <w:r w:rsidR="00DB731D" w:rsidRPr="00A52585">
        <w:rPr>
          <w:rFonts w:hint="cs"/>
          <w:szCs w:val="24"/>
          <w:rtl/>
        </w:rPr>
        <w:t>،</w:t>
      </w:r>
      <w:r w:rsidR="00777DCB" w:rsidRPr="00A52585">
        <w:rPr>
          <w:rFonts w:hint="cs"/>
          <w:szCs w:val="24"/>
          <w:rtl/>
        </w:rPr>
        <w:t xml:space="preserve"> 7- قوله تعالى</w:t>
      </w:r>
      <w:r w:rsidRPr="00A52585">
        <w:rPr>
          <w:rFonts w:hint="cs"/>
          <w:szCs w:val="24"/>
          <w:rtl/>
        </w:rPr>
        <w:t>:</w:t>
      </w:r>
      <w:r w:rsidR="00777DCB" w:rsidRPr="00A52585">
        <w:rPr>
          <w:rFonts w:hint="cs"/>
          <w:szCs w:val="24"/>
          <w:rtl/>
        </w:rPr>
        <w:t xml:space="preserve"> {ونحن أقرب إليه منكم ولكن لا تبصرون</w:t>
      </w:r>
      <w:r w:rsidRPr="00A52585">
        <w:rPr>
          <w:rFonts w:hint="cs"/>
          <w:szCs w:val="24"/>
          <w:rtl/>
        </w:rPr>
        <w:t>}</w:t>
      </w:r>
      <w:r w:rsidR="00777DCB" w:rsidRPr="00A52585">
        <w:rPr>
          <w:rFonts w:hint="cs"/>
          <w:szCs w:val="24"/>
          <w:rtl/>
        </w:rPr>
        <w:t xml:space="preserve"> (الواقعة</w:t>
      </w:r>
      <w:r w:rsidRPr="00A52585">
        <w:rPr>
          <w:rFonts w:hint="cs"/>
          <w:szCs w:val="24"/>
          <w:rtl/>
        </w:rPr>
        <w:t>:</w:t>
      </w:r>
      <w:r w:rsidR="00777DCB" w:rsidRPr="00A52585">
        <w:rPr>
          <w:rFonts w:hint="cs"/>
          <w:szCs w:val="24"/>
          <w:rtl/>
        </w:rPr>
        <w:t xml:space="preserve"> 85)</w:t>
      </w:r>
      <w:r w:rsidR="00DB731D" w:rsidRPr="00A52585">
        <w:rPr>
          <w:rFonts w:hint="cs"/>
          <w:szCs w:val="24"/>
          <w:rtl/>
        </w:rPr>
        <w:t>،</w:t>
      </w:r>
      <w:r w:rsidR="00777DCB" w:rsidRPr="00A52585">
        <w:rPr>
          <w:rFonts w:hint="cs"/>
          <w:szCs w:val="24"/>
          <w:rtl/>
        </w:rPr>
        <w:t xml:space="preserve"> 8- قوله تعالى</w:t>
      </w:r>
      <w:r w:rsidRPr="00A52585">
        <w:rPr>
          <w:rFonts w:hint="cs"/>
          <w:szCs w:val="24"/>
          <w:rtl/>
        </w:rPr>
        <w:t>:</w:t>
      </w:r>
      <w:r w:rsidR="00777DCB" w:rsidRPr="00A52585">
        <w:rPr>
          <w:rFonts w:hint="cs"/>
          <w:szCs w:val="24"/>
          <w:rtl/>
        </w:rPr>
        <w:t xml:space="preserve"> {… واسجد واقترب</w:t>
      </w:r>
      <w:r w:rsidRPr="00A52585">
        <w:rPr>
          <w:rFonts w:hint="cs"/>
          <w:szCs w:val="24"/>
          <w:rtl/>
        </w:rPr>
        <w:t>}</w:t>
      </w:r>
      <w:r w:rsidR="00777DCB" w:rsidRPr="00A52585">
        <w:rPr>
          <w:rFonts w:hint="cs"/>
          <w:szCs w:val="24"/>
          <w:rtl/>
        </w:rPr>
        <w:t xml:space="preserve"> (العلق</w:t>
      </w:r>
      <w:r w:rsidRPr="00A52585">
        <w:rPr>
          <w:rFonts w:hint="cs"/>
          <w:szCs w:val="24"/>
          <w:rtl/>
        </w:rPr>
        <w:t>:</w:t>
      </w:r>
      <w:r w:rsidR="00777DCB" w:rsidRPr="00A52585">
        <w:rPr>
          <w:rFonts w:hint="cs"/>
          <w:szCs w:val="24"/>
          <w:rtl/>
        </w:rPr>
        <w:t xml:space="preserve"> 19)</w:t>
      </w:r>
      <w:r w:rsidR="00DB731D" w:rsidRPr="00A52585">
        <w:rPr>
          <w:rFonts w:hint="cs"/>
          <w:szCs w:val="24"/>
          <w:rtl/>
        </w:rPr>
        <w:t>،</w:t>
      </w:r>
      <w:r w:rsidR="00777DCB" w:rsidRPr="00A52585">
        <w:rPr>
          <w:rFonts w:hint="cs"/>
          <w:szCs w:val="24"/>
          <w:rtl/>
        </w:rPr>
        <w:t xml:space="preserve"> 9- الحديث القدسي الشريف</w:t>
      </w:r>
      <w:r w:rsidRPr="00A52585">
        <w:rPr>
          <w:rFonts w:hint="cs"/>
          <w:szCs w:val="24"/>
          <w:rtl/>
        </w:rPr>
        <w:t xml:space="preserve">: </w:t>
      </w:r>
      <w:r w:rsidR="00777DCB" w:rsidRPr="00A52585">
        <w:rPr>
          <w:rFonts w:hint="cs"/>
          <w:szCs w:val="24"/>
          <w:rtl/>
        </w:rPr>
        <w:t>"أنا جليس من ذكرني "</w:t>
      </w:r>
      <w:r w:rsidR="00DB731D" w:rsidRPr="00A52585">
        <w:rPr>
          <w:rFonts w:hint="cs"/>
          <w:szCs w:val="24"/>
          <w:rtl/>
        </w:rPr>
        <w:t>،</w:t>
      </w:r>
      <w:r w:rsidR="00777DCB" w:rsidRPr="00A52585">
        <w:rPr>
          <w:rFonts w:hint="cs"/>
          <w:szCs w:val="24"/>
          <w:rtl/>
        </w:rPr>
        <w:t xml:space="preserve"> 10- الحديث الشريف</w:t>
      </w:r>
      <w:r w:rsidRPr="00A52585">
        <w:rPr>
          <w:rFonts w:hint="cs"/>
          <w:szCs w:val="24"/>
          <w:rtl/>
        </w:rPr>
        <w:t xml:space="preserve">: </w:t>
      </w:r>
      <w:r w:rsidR="00777DCB" w:rsidRPr="00A52585">
        <w:rPr>
          <w:rFonts w:hint="cs"/>
          <w:szCs w:val="24"/>
          <w:rtl/>
        </w:rPr>
        <w:t>"قلوب العباد بين أصبعين من أصابع الرحمن يقلبها كيف شاء "</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قلت</w:t>
      </w:r>
      <w:r w:rsidRPr="00A52585">
        <w:rPr>
          <w:rFonts w:hint="cs"/>
          <w:szCs w:val="24"/>
          <w:rtl/>
        </w:rPr>
        <w:t>):</w:t>
      </w:r>
      <w:r w:rsidR="00777DCB" w:rsidRPr="00A52585">
        <w:rPr>
          <w:rFonts w:hint="cs"/>
          <w:szCs w:val="24"/>
          <w:rtl/>
        </w:rPr>
        <w:t xml:space="preserve"> وهذه القلوب في الأرض بغير شك</w:t>
      </w:r>
      <w:r w:rsidR="00DB731D" w:rsidRPr="00A52585">
        <w:rPr>
          <w:rFonts w:hint="cs"/>
          <w:szCs w:val="24"/>
          <w:rtl/>
        </w:rPr>
        <w:t>،</w:t>
      </w:r>
      <w:r w:rsidR="00777DCB" w:rsidRPr="00A52585">
        <w:rPr>
          <w:rFonts w:hint="cs"/>
          <w:szCs w:val="24"/>
          <w:rtl/>
        </w:rPr>
        <w:t xml:space="preserve"> 11- الحديث الشريف</w:t>
      </w:r>
      <w:r w:rsidRPr="00A52585">
        <w:rPr>
          <w:rFonts w:hint="cs"/>
          <w:szCs w:val="24"/>
          <w:rtl/>
        </w:rPr>
        <w:t xml:space="preserve">: </w:t>
      </w:r>
      <w:r w:rsidR="00777DCB" w:rsidRPr="00A52585">
        <w:rPr>
          <w:rFonts w:hint="cs"/>
          <w:szCs w:val="24"/>
          <w:rtl/>
        </w:rPr>
        <w:t>"أقرب ما يكون العبد من ربه وهو ساجد "</w:t>
      </w:r>
      <w:r w:rsidR="00DB731D" w:rsidRPr="00A52585">
        <w:rPr>
          <w:rFonts w:hint="cs"/>
          <w:szCs w:val="24"/>
          <w:rtl/>
        </w:rPr>
        <w:t>،</w:t>
      </w:r>
      <w:r w:rsidR="00777DCB" w:rsidRPr="00A52585">
        <w:rPr>
          <w:rFonts w:hint="cs"/>
          <w:szCs w:val="24"/>
          <w:rtl/>
        </w:rPr>
        <w:t xml:space="preserve"> 12- الحديث الشريف</w:t>
      </w:r>
      <w:r w:rsidRPr="00A52585">
        <w:rPr>
          <w:rFonts w:hint="cs"/>
          <w:szCs w:val="24"/>
          <w:rtl/>
        </w:rPr>
        <w:t xml:space="preserve">: </w:t>
      </w:r>
      <w:r w:rsidR="00777DCB" w:rsidRPr="00A52585">
        <w:rPr>
          <w:rFonts w:hint="cs"/>
          <w:szCs w:val="24"/>
          <w:rtl/>
        </w:rPr>
        <w:t>" احفظ الله تجده تجاهك … "</w:t>
      </w:r>
      <w:r w:rsidR="00DB731D" w:rsidRPr="00A52585">
        <w:rPr>
          <w:rFonts w:hint="cs"/>
          <w:szCs w:val="24"/>
          <w:rtl/>
        </w:rPr>
        <w:t>،</w:t>
      </w:r>
      <w:r w:rsidR="00777DCB" w:rsidRPr="00A52585">
        <w:rPr>
          <w:rFonts w:hint="cs"/>
          <w:szCs w:val="24"/>
          <w:rtl/>
        </w:rPr>
        <w:t xml:space="preserve"> فهذه اثنا عشر نصا بالإضافة إلى النصوص العشرة التي ساقها المؤلف رضي الله عنه -ويوجد غيرها– وكلها قاضية بكون الله في الأرض حتى أن الآية الكريمة</w:t>
      </w:r>
      <w:r w:rsidRPr="00A52585">
        <w:rPr>
          <w:rFonts w:hint="cs"/>
          <w:szCs w:val="24"/>
          <w:rtl/>
        </w:rPr>
        <w:t xml:space="preserve"> </w:t>
      </w:r>
      <w:r w:rsidR="00777DCB" w:rsidRPr="00A52585">
        <w:rPr>
          <w:rFonts w:hint="cs"/>
          <w:szCs w:val="24"/>
          <w:rtl/>
        </w:rPr>
        <w:t>"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sidRPr="00A52585">
        <w:rPr>
          <w:rFonts w:hint="cs"/>
          <w:szCs w:val="24"/>
          <w:rtl/>
        </w:rPr>
        <w:t xml:space="preserve"> </w:t>
      </w:r>
      <w:r w:rsidR="00777DCB" w:rsidRPr="00A52585">
        <w:rPr>
          <w:rFonts w:hint="cs"/>
          <w:szCs w:val="24"/>
          <w:rtl/>
        </w:rPr>
        <w:t>(الحديد</w:t>
      </w:r>
      <w:r w:rsidRPr="00A52585">
        <w:rPr>
          <w:rFonts w:hint="cs"/>
          <w:szCs w:val="24"/>
          <w:rtl/>
        </w:rPr>
        <w:t>:</w:t>
      </w:r>
      <w:r w:rsidR="00777DCB" w:rsidRPr="00A52585">
        <w:rPr>
          <w:rFonts w:hint="cs"/>
          <w:szCs w:val="24"/>
          <w:rtl/>
        </w:rPr>
        <w:t xml:space="preserve"> 4) ذكرت أن الله سبحانه استوى على العرش ثم نصت على أنه معنا أينما كنا في نفس الآية</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bCs/>
          <w:szCs w:val="24"/>
          <w:rtl/>
        </w:rPr>
        <w:t>كيف نتعامل مع النصوص</w:t>
      </w:r>
      <w:r w:rsidR="00F95886" w:rsidRPr="00A52585">
        <w:rPr>
          <w:rFonts w:hint="cs"/>
          <w:bCs/>
          <w:szCs w:val="24"/>
          <w:rtl/>
        </w:rPr>
        <w:t>؟</w:t>
      </w:r>
      <w:r w:rsidRPr="00A52585">
        <w:rPr>
          <w:rFonts w:hint="cs"/>
          <w:bCs/>
          <w:szCs w:val="24"/>
          <w:rtl/>
        </w:rPr>
        <w:t>]:</w:t>
      </w:r>
      <w:r w:rsidR="00777DCB" w:rsidRPr="00A52585">
        <w:rPr>
          <w:rFonts w:hint="cs"/>
          <w:bCs/>
          <w:szCs w:val="24"/>
          <w:rtl/>
        </w:rPr>
        <w:t xml:space="preserve"> (أ) المسلك الأول</w:t>
      </w:r>
      <w:r w:rsidRPr="00A52585">
        <w:rPr>
          <w:rFonts w:hint="cs"/>
          <w:bCs/>
          <w:szCs w:val="24"/>
          <w:rtl/>
        </w:rPr>
        <w:t>:</w:t>
      </w:r>
      <w:r w:rsidR="00777DCB" w:rsidRPr="00A52585">
        <w:rPr>
          <w:rFonts w:hint="cs"/>
          <w:szCs w:val="24"/>
          <w:rtl/>
        </w:rPr>
        <w:t xml:space="preserve"> الأخذ بظواهر النصوص ويلزمنا حينئذ إما الترجيح بين أدلة الكون السفلي وأدلة الكون العلوي أو الجمع بينها</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bCs/>
          <w:szCs w:val="24"/>
          <w:rtl/>
        </w:rPr>
        <w:t>أولا</w:t>
      </w:r>
      <w:r w:rsidRPr="00A52585">
        <w:rPr>
          <w:rFonts w:hint="cs"/>
          <w:bCs/>
          <w:szCs w:val="24"/>
          <w:rtl/>
        </w:rPr>
        <w:t>):</w:t>
      </w:r>
      <w:r w:rsidR="00777DCB" w:rsidRPr="00A52585">
        <w:rPr>
          <w:rFonts w:hint="cs"/>
          <w:szCs w:val="24"/>
          <w:rtl/>
        </w:rPr>
        <w:t xml:space="preserve"> الترجيح بين الأدلة</w:t>
      </w:r>
      <w:r w:rsidRPr="00A52585">
        <w:rPr>
          <w:rFonts w:hint="cs"/>
          <w:szCs w:val="24"/>
          <w:rtl/>
        </w:rPr>
        <w:t>:</w:t>
      </w:r>
      <w:r w:rsidR="00777DCB" w:rsidRPr="00A52585">
        <w:rPr>
          <w:rFonts w:hint="cs"/>
          <w:szCs w:val="24"/>
          <w:rtl/>
        </w:rPr>
        <w:t xml:space="preserve"> وبالنظر إلى أن النصوص الدالة على الكون السفلي أكثر من النصوص الأخرى فيكون الله سبحانه موجوداً في الأرض بذاته – تعالى عن ذلك – وهذا لا نقول به لمنافاته للتنزيه</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bCs/>
          <w:szCs w:val="24"/>
          <w:rtl/>
        </w:rPr>
        <w:t>ثانياً</w:t>
      </w:r>
      <w:r w:rsidRPr="00A52585">
        <w:rPr>
          <w:rFonts w:hint="cs"/>
          <w:bCs/>
          <w:szCs w:val="24"/>
          <w:rtl/>
        </w:rPr>
        <w:t>):</w:t>
      </w:r>
      <w:r w:rsidR="00777DCB" w:rsidRPr="00A52585">
        <w:rPr>
          <w:rFonts w:hint="cs"/>
          <w:szCs w:val="24"/>
          <w:rtl/>
        </w:rPr>
        <w:t xml:space="preserve"> الجمع بين النصوص الدالة على الكون العلوي والسفلي</w:t>
      </w:r>
      <w:r w:rsidRPr="00A52585">
        <w:rPr>
          <w:rFonts w:hint="cs"/>
          <w:szCs w:val="24"/>
          <w:rtl/>
        </w:rPr>
        <w:t>:</w:t>
      </w:r>
      <w:r w:rsidR="00777DCB" w:rsidRPr="00A52585">
        <w:rPr>
          <w:rFonts w:hint="cs"/>
          <w:szCs w:val="24"/>
          <w:rtl/>
        </w:rPr>
        <w:t xml:space="preserve"> فيكون الله سبحانه موجوداً بذاته في كل مكان –في أرضنا والأرض السابعة وفي السماء وفوق العرش… -كظواهر الآيات</w:t>
      </w:r>
      <w:r w:rsidRPr="00A52585">
        <w:rPr>
          <w:rFonts w:hint="cs"/>
          <w:szCs w:val="24"/>
          <w:rtl/>
        </w:rPr>
        <w:t>:</w:t>
      </w:r>
      <w:r w:rsidR="00777DCB" w:rsidRPr="00A52585">
        <w:rPr>
          <w:rFonts w:hint="cs"/>
          <w:szCs w:val="24"/>
          <w:rtl/>
        </w:rPr>
        <w:t xml:space="preserve"> {وهو الله في السموات وفي الأرض}</w:t>
      </w:r>
      <w:r w:rsidRPr="00A52585">
        <w:rPr>
          <w:rFonts w:hint="cs"/>
          <w:szCs w:val="24"/>
          <w:rtl/>
        </w:rPr>
        <w:t xml:space="preserve"> </w:t>
      </w:r>
      <w:r w:rsidR="00777DCB" w:rsidRPr="00A52585">
        <w:rPr>
          <w:rFonts w:hint="cs"/>
          <w:szCs w:val="24"/>
          <w:rtl/>
        </w:rPr>
        <w:t>(الأنعام</w:t>
      </w:r>
      <w:r w:rsidRPr="00A52585">
        <w:rPr>
          <w:rFonts w:hint="cs"/>
          <w:szCs w:val="24"/>
          <w:rtl/>
        </w:rPr>
        <w:t>:</w:t>
      </w:r>
      <w:r w:rsidR="00777DCB" w:rsidRPr="00A52585">
        <w:rPr>
          <w:rFonts w:hint="cs"/>
          <w:szCs w:val="24"/>
          <w:rtl/>
        </w:rPr>
        <w:t xml:space="preserve">3)، </w:t>
      </w:r>
      <w:r w:rsidRPr="00A52585">
        <w:rPr>
          <w:rFonts w:hint="cs"/>
          <w:szCs w:val="24"/>
          <w:rtl/>
        </w:rPr>
        <w:t>{</w:t>
      </w:r>
      <w:r w:rsidR="00777DCB" w:rsidRPr="00A52585">
        <w:rPr>
          <w:rFonts w:hint="cs"/>
          <w:szCs w:val="24"/>
          <w:rtl/>
        </w:rPr>
        <w:t>وهو الذي في السماء إله وفي الأرض إله}</w:t>
      </w:r>
      <w:r w:rsidRPr="00A52585">
        <w:rPr>
          <w:rFonts w:hint="cs"/>
          <w:szCs w:val="24"/>
          <w:rtl/>
        </w:rPr>
        <w:t xml:space="preserve"> </w:t>
      </w:r>
      <w:r w:rsidR="00777DCB" w:rsidRPr="00A52585">
        <w:rPr>
          <w:rFonts w:hint="cs"/>
          <w:szCs w:val="24"/>
          <w:rtl/>
        </w:rPr>
        <w:t>(الزخرف</w:t>
      </w:r>
      <w:r w:rsidRPr="00A52585">
        <w:rPr>
          <w:rFonts w:hint="cs"/>
          <w:szCs w:val="24"/>
          <w:rtl/>
        </w:rPr>
        <w:t>:</w:t>
      </w:r>
      <w:r w:rsidR="00777DCB" w:rsidRPr="00A52585">
        <w:rPr>
          <w:rFonts w:hint="cs"/>
          <w:szCs w:val="24"/>
          <w:rtl/>
        </w:rPr>
        <w:t xml:space="preserve"> 84)، </w:t>
      </w:r>
      <w:r w:rsidRPr="00A52585">
        <w:rPr>
          <w:rFonts w:hint="cs"/>
          <w:szCs w:val="24"/>
          <w:rtl/>
        </w:rPr>
        <w:t>{</w:t>
      </w:r>
      <w:r w:rsidR="00777DCB" w:rsidRPr="00A52585">
        <w:rPr>
          <w:rFonts w:hint="cs"/>
          <w:szCs w:val="24"/>
          <w:rtl/>
        </w:rPr>
        <w:t>…ألا إنه بكل شيء محيط} (فصلت</w:t>
      </w:r>
      <w:r w:rsidRPr="00A52585">
        <w:rPr>
          <w:rFonts w:hint="cs"/>
          <w:spacing w:val="-6"/>
          <w:szCs w:val="24"/>
          <w:rtl/>
        </w:rPr>
        <w:t>:</w:t>
      </w:r>
      <w:r w:rsidR="00777DCB" w:rsidRPr="00A52585">
        <w:rPr>
          <w:rFonts w:hint="cs"/>
          <w:spacing w:val="-6"/>
          <w:szCs w:val="24"/>
          <w:rtl/>
        </w:rPr>
        <w:t xml:space="preserve"> 54) وهذا أيضاً لا نقول به لمنافاته للتنزيه</w:t>
      </w:r>
      <w:r w:rsidR="00DB731D" w:rsidRPr="00A52585">
        <w:rPr>
          <w:rFonts w:hint="cs"/>
          <w:spacing w:val="-6"/>
          <w:szCs w:val="24"/>
          <w:rtl/>
        </w:rPr>
        <w:t>،</w:t>
      </w:r>
      <w:r w:rsidR="00777DCB" w:rsidRPr="00A52585">
        <w:rPr>
          <w:rFonts w:hint="cs"/>
          <w:spacing w:val="-6"/>
          <w:szCs w:val="24"/>
          <w:rtl/>
        </w:rPr>
        <w:t xml:space="preserve"> </w:t>
      </w:r>
      <w:r w:rsidR="00777DCB" w:rsidRPr="00A52585">
        <w:rPr>
          <w:rFonts w:hint="cs"/>
          <w:bCs/>
          <w:szCs w:val="24"/>
          <w:rtl/>
        </w:rPr>
        <w:t>(ب) المسلك الثاني</w:t>
      </w:r>
      <w:r w:rsidRPr="00A52585">
        <w:rPr>
          <w:rFonts w:hint="cs"/>
          <w:bCs/>
          <w:szCs w:val="24"/>
          <w:rtl/>
        </w:rPr>
        <w:t>:</w:t>
      </w:r>
      <w:r w:rsidR="00777DCB" w:rsidRPr="00A52585">
        <w:rPr>
          <w:rFonts w:hint="cs"/>
          <w:bCs/>
          <w:szCs w:val="24"/>
          <w:rtl/>
        </w:rPr>
        <w:t xml:space="preserve"> التنزيه وهو مذهب أهل الحق</w:t>
      </w:r>
      <w:r w:rsidRPr="00A52585">
        <w:rPr>
          <w:rFonts w:hint="cs"/>
          <w:bCs/>
          <w:szCs w:val="24"/>
          <w:rtl/>
        </w:rPr>
        <w:t>:</w:t>
      </w:r>
      <w:r w:rsidR="00777DCB" w:rsidRPr="00A52585">
        <w:rPr>
          <w:rFonts w:hint="cs"/>
          <w:bCs/>
          <w:szCs w:val="24"/>
          <w:rtl/>
        </w:rPr>
        <w:t xml:space="preserve"> </w:t>
      </w:r>
      <w:r w:rsidR="00777DCB" w:rsidRPr="00A52585">
        <w:rPr>
          <w:rFonts w:hint="cs"/>
          <w:szCs w:val="24"/>
          <w:rtl/>
        </w:rPr>
        <w:t>وهو أن الله سبحانه منزه عن المكان والحدود والتحيز وما إلى ذلك فهو سبحانه كان موجوداً وليس ثمة عرش ولا سماء ولا أرض – قال عليه السلام</w:t>
      </w:r>
      <w:r w:rsidRPr="00A52585">
        <w:rPr>
          <w:rFonts w:hint="cs"/>
          <w:szCs w:val="24"/>
          <w:rtl/>
        </w:rPr>
        <w:t xml:space="preserve">: </w:t>
      </w:r>
      <w:r w:rsidR="00777DCB" w:rsidRPr="00A52585">
        <w:rPr>
          <w:rFonts w:hint="cs"/>
          <w:szCs w:val="24"/>
          <w:rtl/>
        </w:rPr>
        <w:t>"كان الله ولا شيء غيره "</w:t>
      </w:r>
      <w:r w:rsidRPr="00A52585">
        <w:rPr>
          <w:rFonts w:hint="cs"/>
          <w:szCs w:val="24"/>
          <w:rtl/>
        </w:rPr>
        <w:t xml:space="preserve"> </w:t>
      </w:r>
      <w:r w:rsidR="00777DCB" w:rsidRPr="00A52585">
        <w:rPr>
          <w:rFonts w:hint="cs"/>
          <w:szCs w:val="24"/>
          <w:rtl/>
        </w:rPr>
        <w:t>أخرجه البخاري – ولم تحدث له سبحانه صفة بعد خلقها، وهو الآن على ما عليه كان</w:t>
      </w:r>
      <w:r w:rsidR="00DB731D" w:rsidRPr="00A52585">
        <w:rPr>
          <w:rFonts w:hint="cs"/>
          <w:szCs w:val="24"/>
          <w:rtl/>
        </w:rPr>
        <w:t>،</w:t>
      </w:r>
      <w:r w:rsidR="00777DCB" w:rsidRPr="00A52585">
        <w:rPr>
          <w:rFonts w:hint="cs"/>
          <w:szCs w:val="24"/>
          <w:rtl/>
        </w:rPr>
        <w:t xml:space="preserve"> وإذا كانت النصوص الدالة على الكون السفلي مصروفة عن ظاهرها بقرينة تنزيه الله وتعظيمه وتفسر المعية أو </w:t>
      </w:r>
      <w:proofErr w:type="spellStart"/>
      <w:r w:rsidR="00777DCB" w:rsidRPr="00A52585">
        <w:rPr>
          <w:rFonts w:hint="cs"/>
          <w:szCs w:val="24"/>
          <w:rtl/>
        </w:rPr>
        <w:t>الأقربية</w:t>
      </w:r>
      <w:proofErr w:type="spellEnd"/>
      <w:r w:rsidR="00777DCB" w:rsidRPr="00A52585">
        <w:rPr>
          <w:rFonts w:hint="cs"/>
          <w:szCs w:val="24"/>
          <w:rtl/>
        </w:rPr>
        <w:t xml:space="preserve"> المذكورة في النصوص بمعية العلم أو النصرة والتأييد وكذلك </w:t>
      </w:r>
      <w:proofErr w:type="spellStart"/>
      <w:r w:rsidR="00777DCB" w:rsidRPr="00A52585">
        <w:rPr>
          <w:rFonts w:hint="cs"/>
          <w:szCs w:val="24"/>
          <w:rtl/>
        </w:rPr>
        <w:t>الأقربية</w:t>
      </w:r>
      <w:proofErr w:type="spellEnd"/>
      <w:r w:rsidR="00777DCB" w:rsidRPr="00A52585">
        <w:rPr>
          <w:rFonts w:hint="cs"/>
          <w:szCs w:val="24"/>
          <w:rtl/>
        </w:rPr>
        <w:t xml:space="preserve"> وغيرها حسب القرائن الواردة في نفس النصوص، فكذلك النصوص الواردة في الكون العلوي</w:t>
      </w:r>
      <w:r w:rsidRPr="00A52585">
        <w:rPr>
          <w:rFonts w:hint="cs"/>
          <w:szCs w:val="24"/>
          <w:rtl/>
        </w:rPr>
        <w:t>:</w:t>
      </w:r>
      <w:r w:rsidR="00777DCB" w:rsidRPr="00A52585">
        <w:rPr>
          <w:rFonts w:hint="cs"/>
          <w:szCs w:val="24"/>
          <w:rtl/>
        </w:rPr>
        <w:t xml:space="preserve"> (في السماء) أو (على العرش) مصروفة والتقدير بالقرائن الواردة في نفس النصوص</w:t>
      </w:r>
      <w:r w:rsidR="00DB731D" w:rsidRPr="00A52585">
        <w:rPr>
          <w:rFonts w:hint="cs"/>
          <w:szCs w:val="24"/>
          <w:rtl/>
        </w:rPr>
        <w:t>،</w:t>
      </w:r>
      <w:r w:rsidR="00777DCB" w:rsidRPr="00A52585">
        <w:rPr>
          <w:rFonts w:hint="cs"/>
          <w:szCs w:val="24"/>
          <w:rtl/>
        </w:rPr>
        <w:t xml:space="preserve"> يقول الإمام شهاب الدين بن </w:t>
      </w:r>
      <w:proofErr w:type="spellStart"/>
      <w:r w:rsidR="00777DCB" w:rsidRPr="00A52585">
        <w:rPr>
          <w:rFonts w:hint="cs"/>
          <w:szCs w:val="24"/>
          <w:rtl/>
        </w:rPr>
        <w:t>جهبل</w:t>
      </w:r>
      <w:proofErr w:type="spellEnd"/>
      <w:r w:rsidR="00777DCB" w:rsidRPr="00A52585">
        <w:rPr>
          <w:rFonts w:hint="cs"/>
          <w:szCs w:val="24"/>
          <w:rtl/>
        </w:rPr>
        <w:t xml:space="preserve"> في رده على (الفتوى الحموية) لابن تيميه عن استدلال ابن تيمية بقوله تعالى</w:t>
      </w:r>
      <w:r w:rsidRPr="00A52585">
        <w:rPr>
          <w:rFonts w:hint="cs"/>
          <w:szCs w:val="24"/>
          <w:rtl/>
        </w:rPr>
        <w:t>:</w:t>
      </w:r>
      <w:r w:rsidR="00777DCB" w:rsidRPr="00A52585">
        <w:rPr>
          <w:rFonts w:hint="cs"/>
          <w:szCs w:val="24"/>
          <w:rtl/>
        </w:rPr>
        <w:t xml:space="preserve"> {يخافون ربهم من فوقهم}</w:t>
      </w:r>
      <w:r w:rsidRPr="00A52585">
        <w:rPr>
          <w:rFonts w:hint="cs"/>
          <w:szCs w:val="24"/>
          <w:rtl/>
        </w:rPr>
        <w:t xml:space="preserve">: </w:t>
      </w:r>
      <w:r w:rsidR="00777DCB" w:rsidRPr="00A52585">
        <w:rPr>
          <w:rFonts w:hint="cs"/>
          <w:szCs w:val="24"/>
          <w:rtl/>
        </w:rPr>
        <w:t>"الفوقية ترد لمعنيين</w:t>
      </w:r>
      <w:r w:rsidRPr="00A52585">
        <w:rPr>
          <w:rFonts w:hint="cs"/>
          <w:szCs w:val="24"/>
          <w:rtl/>
        </w:rPr>
        <w:t>:</w:t>
      </w:r>
      <w:r w:rsidR="00777DCB" w:rsidRPr="00A52585">
        <w:rPr>
          <w:rFonts w:hint="cs"/>
          <w:szCs w:val="24"/>
          <w:rtl/>
        </w:rPr>
        <w:t xml:space="preserve"> أحدهما</w:t>
      </w:r>
      <w:r w:rsidRPr="00A52585">
        <w:rPr>
          <w:rFonts w:hint="cs"/>
          <w:szCs w:val="24"/>
          <w:rtl/>
        </w:rPr>
        <w:t>:</w:t>
      </w:r>
      <w:r w:rsidR="00777DCB" w:rsidRPr="00A52585">
        <w:rPr>
          <w:rFonts w:hint="cs"/>
          <w:szCs w:val="24"/>
          <w:rtl/>
        </w:rPr>
        <w:t xml:space="preserve"> نسبة جسم إلى جسم، بأن يكون أحدهما أعلى والآخر أسفل بمعنى أن أسفـل الأعلى من جانب رأس الأسفل وهذا لا يقول به من لا يجسم </w:t>
      </w:r>
      <w:r w:rsidRPr="00A52585">
        <w:rPr>
          <w:rFonts w:hint="cs"/>
          <w:szCs w:val="24"/>
          <w:rtl/>
        </w:rPr>
        <w:t>[</w:t>
      </w:r>
      <w:r w:rsidR="00777DCB" w:rsidRPr="00A52585">
        <w:rPr>
          <w:rFonts w:hint="cs"/>
          <w:szCs w:val="24"/>
          <w:rtl/>
        </w:rPr>
        <w:t>و] بتقدير أن يكون هو المراد وأنه تعالى ليس بجسم فلم لا يجوز أن يكون (من فوقهم) صلة لـ (يخافون) ويكون تقدير الكلام</w:t>
      </w:r>
      <w:r w:rsidRPr="00A52585">
        <w:rPr>
          <w:rFonts w:hint="cs"/>
          <w:szCs w:val="24"/>
          <w:rtl/>
        </w:rPr>
        <w:t>:</w:t>
      </w:r>
      <w:r w:rsidR="00777DCB" w:rsidRPr="00A52585">
        <w:rPr>
          <w:rFonts w:hint="cs"/>
          <w:szCs w:val="24"/>
          <w:rtl/>
        </w:rPr>
        <w:t xml:space="preserve"> يخافون من فوقهم ربَّهم أي أن الخوف من جهة العلو وأن العذاب يأتي من تلك الجهة</w:t>
      </w:r>
      <w:r w:rsidR="00DB731D" w:rsidRPr="00A52585">
        <w:rPr>
          <w:rFonts w:hint="cs"/>
          <w:szCs w:val="24"/>
          <w:rtl/>
        </w:rPr>
        <w:t>،</w:t>
      </w:r>
      <w:r w:rsidR="00777DCB" w:rsidRPr="00A52585">
        <w:rPr>
          <w:rFonts w:hint="cs"/>
          <w:szCs w:val="24"/>
          <w:rtl/>
        </w:rPr>
        <w:t xml:space="preserve"> وثانيهما</w:t>
      </w:r>
      <w:r w:rsidRPr="00A52585">
        <w:rPr>
          <w:rFonts w:hint="cs"/>
          <w:szCs w:val="24"/>
          <w:rtl/>
        </w:rPr>
        <w:t>:</w:t>
      </w:r>
      <w:r w:rsidR="00777DCB" w:rsidRPr="00A52585">
        <w:rPr>
          <w:rFonts w:hint="cs"/>
          <w:szCs w:val="24"/>
          <w:rtl/>
        </w:rPr>
        <w:t xml:space="preserve"> بمعنى المرتبة، كما يقال (الخليفة فوق السلطان) </w:t>
      </w:r>
      <w:r w:rsidR="00777DCB" w:rsidRPr="00A52585">
        <w:rPr>
          <w:rFonts w:hint="cs"/>
          <w:szCs w:val="24"/>
          <w:rtl/>
        </w:rPr>
        <w:lastRenderedPageBreak/>
        <w:t>و(السلطان فوق الأمير) وكما يقال جلس فلان فوق فلان، والعلم فوق العمل، والصياغة فوق الدباغة وقد وقع ذلك في قوله تعالى حيث قال</w:t>
      </w:r>
      <w:r w:rsidRPr="00A52585">
        <w:rPr>
          <w:rFonts w:hint="cs"/>
          <w:szCs w:val="24"/>
          <w:rtl/>
        </w:rPr>
        <w:t>:</w:t>
      </w:r>
      <w:r w:rsidR="00777DCB" w:rsidRPr="00A52585">
        <w:rPr>
          <w:rFonts w:hint="cs"/>
          <w:szCs w:val="24"/>
          <w:rtl/>
        </w:rPr>
        <w:t xml:space="preserve"> {ورفعنا بعضهم فوق بعض درجات} (الزخرف</w:t>
      </w:r>
      <w:r w:rsidRPr="00A52585">
        <w:rPr>
          <w:rFonts w:hint="cs"/>
          <w:szCs w:val="24"/>
          <w:rtl/>
        </w:rPr>
        <w:t>:</w:t>
      </w:r>
      <w:r w:rsidR="00777DCB" w:rsidRPr="00A52585">
        <w:rPr>
          <w:rFonts w:hint="cs"/>
          <w:szCs w:val="24"/>
          <w:rtl/>
        </w:rPr>
        <w:t xml:space="preserve"> 3) ولم يطلع أحدهم على أكتاف الآخر، ومن ذلك قوله تعالى</w:t>
      </w:r>
      <w:r w:rsidRPr="00A52585">
        <w:rPr>
          <w:rFonts w:hint="cs"/>
          <w:szCs w:val="24"/>
          <w:rtl/>
        </w:rPr>
        <w:t>:</w:t>
      </w:r>
      <w:r w:rsidR="00777DCB" w:rsidRPr="00A52585">
        <w:rPr>
          <w:rFonts w:hint="cs"/>
          <w:szCs w:val="24"/>
          <w:rtl/>
        </w:rPr>
        <w:t xml:space="preserve"> {وإنا فوقهم قاهرون} (الأعراف</w:t>
      </w:r>
      <w:r w:rsidRPr="00A52585">
        <w:rPr>
          <w:rFonts w:hint="cs"/>
          <w:szCs w:val="24"/>
          <w:rtl/>
        </w:rPr>
        <w:t>:</w:t>
      </w:r>
      <w:r w:rsidR="00777DCB" w:rsidRPr="00A52585">
        <w:rPr>
          <w:rFonts w:hint="cs"/>
          <w:szCs w:val="24"/>
          <w:rtl/>
        </w:rPr>
        <w:t xml:space="preserve"> 127) وما ركبت القبط أكتاف بني إسرائيل ولا ظهورهم أ هـ (الحقائق الجلية) ص 54 </w:t>
      </w:r>
      <w:r w:rsidRPr="00A52585">
        <w:rPr>
          <w:rFonts w:hint="cs"/>
          <w:szCs w:val="24"/>
          <w:rtl/>
        </w:rPr>
        <w:t>(</w:t>
      </w:r>
      <w:r w:rsidR="00777DCB" w:rsidRPr="00A52585">
        <w:rPr>
          <w:rFonts w:hint="cs"/>
          <w:szCs w:val="24"/>
          <w:rtl/>
        </w:rPr>
        <w:t>قلت</w:t>
      </w:r>
      <w:r w:rsidRPr="00A52585">
        <w:rPr>
          <w:rFonts w:hint="cs"/>
          <w:szCs w:val="24"/>
          <w:rtl/>
        </w:rPr>
        <w:t>):</w:t>
      </w:r>
      <w:r w:rsidR="00777DCB" w:rsidRPr="00A52585">
        <w:rPr>
          <w:rFonts w:hint="cs"/>
          <w:szCs w:val="24"/>
          <w:rtl/>
        </w:rPr>
        <w:t xml:space="preserve"> ووقع ذلك أيضاً في قوله تعالى مخاطباً المؤمنين</w:t>
      </w:r>
      <w:r w:rsidRPr="00A52585">
        <w:rPr>
          <w:rFonts w:hint="cs"/>
          <w:szCs w:val="24"/>
          <w:rtl/>
        </w:rPr>
        <w:t>:</w:t>
      </w:r>
      <w:r w:rsidR="00777DCB" w:rsidRPr="00A52585">
        <w:rPr>
          <w:rFonts w:hint="cs"/>
          <w:szCs w:val="24"/>
          <w:rtl/>
        </w:rPr>
        <w:t xml:space="preserve"> {فلا تهنوا وتدعوا إلى السلم وأنتم الأعلون والله معكم </w:t>
      </w:r>
      <w:r w:rsidR="00777DCB" w:rsidRPr="00A52585">
        <w:rPr>
          <w:szCs w:val="24"/>
        </w:rPr>
        <w:t>…</w:t>
      </w:r>
      <w:r w:rsidRPr="00A52585">
        <w:rPr>
          <w:rFonts w:hint="cs"/>
          <w:szCs w:val="24"/>
          <w:rtl/>
        </w:rPr>
        <w:t>}</w:t>
      </w:r>
      <w:r w:rsidR="00777DCB" w:rsidRPr="00A52585">
        <w:rPr>
          <w:rFonts w:hint="cs"/>
          <w:szCs w:val="24"/>
          <w:rtl/>
        </w:rPr>
        <w:t xml:space="preserve"> (الآية 35، من سورة محمد)</w:t>
      </w:r>
      <w:r w:rsidR="00DB731D" w:rsidRPr="00A52585">
        <w:rPr>
          <w:rFonts w:hint="cs"/>
          <w:szCs w:val="24"/>
          <w:rtl/>
        </w:rPr>
        <w:t>،</w:t>
      </w:r>
      <w:r w:rsidR="00777DCB" w:rsidRPr="00A52585">
        <w:rPr>
          <w:rFonts w:hint="cs"/>
          <w:szCs w:val="24"/>
          <w:rtl/>
        </w:rPr>
        <w:t xml:space="preserve"> يقول الإمام الكوثري في تعليقه على (السيف الصقيل)</w:t>
      </w:r>
      <w:r w:rsidRPr="00A52585">
        <w:rPr>
          <w:rFonts w:hint="cs"/>
          <w:szCs w:val="24"/>
          <w:rtl/>
        </w:rPr>
        <w:t>:</w:t>
      </w:r>
      <w:r w:rsidR="00777DCB" w:rsidRPr="00A52585">
        <w:rPr>
          <w:rFonts w:hint="cs"/>
          <w:szCs w:val="24"/>
          <w:rtl/>
        </w:rPr>
        <w:t xml:space="preserve"> تعقيبا على حديث الجارية</w:t>
      </w:r>
      <w:r w:rsidRPr="00A52585">
        <w:rPr>
          <w:rFonts w:hint="cs"/>
          <w:szCs w:val="24"/>
          <w:rtl/>
        </w:rPr>
        <w:t>:</w:t>
      </w:r>
      <w:r w:rsidR="00777DCB" w:rsidRPr="00A52585">
        <w:rPr>
          <w:rFonts w:hint="cs"/>
          <w:szCs w:val="24"/>
          <w:rtl/>
        </w:rPr>
        <w:t xml:space="preserve"> "وأما عدم صحة الاحتجاج به في إثبات المكان له تعالى فللبراهين القائمة في تنزه الله سبحانه عن المكان والمكانيات والزمان والزمانيات قال الله تعالى</w:t>
      </w:r>
      <w:r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قل لمن ما في السموات والأرض قل لله} (الأنعام</w:t>
      </w:r>
      <w:r w:rsidRPr="00A52585">
        <w:rPr>
          <w:rFonts w:hint="cs"/>
          <w:szCs w:val="24"/>
          <w:rtl/>
        </w:rPr>
        <w:t>:</w:t>
      </w:r>
      <w:r w:rsidR="00777DCB" w:rsidRPr="00A52585">
        <w:rPr>
          <w:rFonts w:hint="cs"/>
          <w:szCs w:val="24"/>
          <w:rtl/>
        </w:rPr>
        <w:t xml:space="preserve"> 12) وهذا مشعر بأن المكان وكل ما فيه ملك لله تعالى وقال تعالى</w:t>
      </w:r>
      <w:r w:rsidRPr="00A52585">
        <w:rPr>
          <w:rFonts w:hint="cs"/>
          <w:szCs w:val="24"/>
          <w:rtl/>
        </w:rPr>
        <w:t>:</w:t>
      </w:r>
      <w:r w:rsidR="00777DCB" w:rsidRPr="00A52585">
        <w:rPr>
          <w:rFonts w:hint="cs"/>
          <w:szCs w:val="24"/>
          <w:rtl/>
        </w:rPr>
        <w:t xml:space="preserve"> {وله ما سكن في الليل والنهار} (الأنعام</w:t>
      </w:r>
      <w:r w:rsidRPr="00A52585">
        <w:rPr>
          <w:rFonts w:hint="cs"/>
          <w:szCs w:val="24"/>
          <w:rtl/>
        </w:rPr>
        <w:t>:</w:t>
      </w:r>
      <w:r w:rsidR="00777DCB" w:rsidRPr="00A52585">
        <w:rPr>
          <w:rFonts w:hint="cs"/>
          <w:szCs w:val="24"/>
          <w:rtl/>
        </w:rPr>
        <w:t xml:space="preserve"> 13) وذلك يدل على أن الزمان وكل ما فيه ملك لله تعالى</w:t>
      </w:r>
      <w:r w:rsidR="00DB731D" w:rsidRPr="00A52585">
        <w:rPr>
          <w:rFonts w:hint="cs"/>
          <w:szCs w:val="24"/>
          <w:rtl/>
        </w:rPr>
        <w:t>،</w:t>
      </w:r>
      <w:r w:rsidR="00777DCB" w:rsidRPr="00A52585">
        <w:rPr>
          <w:rFonts w:hint="cs"/>
          <w:szCs w:val="24"/>
          <w:rtl/>
        </w:rPr>
        <w:t xml:space="preserve"> فهاتان الآيتان تدلان على أن المكان والمكانيات والزمان والزمانيات كلها ملك لله تعالى، وذلك يدل على تنزيهه سبحانه عن المكان والزمان كما في (أساس التقديس) للفخر الرازي أ هـ ص 107ط زهران</w:t>
      </w:r>
      <w:r w:rsidR="00DB731D" w:rsidRPr="00A52585">
        <w:rPr>
          <w:rFonts w:hint="cs"/>
          <w:szCs w:val="24"/>
          <w:rtl/>
        </w:rPr>
        <w:t>،</w:t>
      </w:r>
      <w:r w:rsidR="00777DCB" w:rsidRPr="00A52585">
        <w:rPr>
          <w:rFonts w:hint="cs"/>
          <w:szCs w:val="24"/>
          <w:rtl/>
        </w:rPr>
        <w:t xml:space="preserve"> وقد استنبط إمام الحرمين عبد الملك الجويني تنزه الله سبحانه عن الجهة من نهيه صلى الله عليه وسلم عن تفضيله على يونس بن متى عليه السلام، ولفظ البخاري (لا يقولن أحدكم إني خير من يونس بن متى) يقول الإمام الجويني</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إن هذا الحديث يدل على أن النبي صلى الله عليه وسلم وهو عند سدرة المنتهي لم يكن بأقرب إلى الله من يونس عليه السلام وهو في بطن الحوت في قعر البحر، فدل ذلك على أنه تعالى منزه عن الجهات وإلا لما صح النهي عن التفضيل</w:t>
      </w:r>
      <w:r w:rsidRPr="00A52585">
        <w:rPr>
          <w:rFonts w:hint="cs"/>
          <w:szCs w:val="24"/>
          <w:rtl/>
        </w:rPr>
        <w:t xml:space="preserve"> </w:t>
      </w:r>
      <w:r w:rsidR="00777DCB" w:rsidRPr="00A52585">
        <w:rPr>
          <w:rFonts w:hint="cs"/>
          <w:szCs w:val="24"/>
          <w:rtl/>
        </w:rPr>
        <w:t>" أ هـ انظر السيف الصقيل ص 40 ط زهران وتابعه على ذلك الفهم واستحسنه الكثير من أئمة أهل الحق منهم القاضي ابن العربي والقاضي عياض والقرطبي والسبكي والكوثري</w:t>
      </w:r>
      <w:r w:rsidRPr="00A52585">
        <w:rPr>
          <w:rFonts w:hint="cs"/>
          <w:szCs w:val="24"/>
          <w:rtl/>
        </w:rPr>
        <w:t>]</w:t>
      </w:r>
      <w:r w:rsidR="00DB731D" w:rsidRPr="00A52585">
        <w:rPr>
          <w:rFonts w:hint="cs"/>
          <w:szCs w:val="24"/>
          <w:rtl/>
        </w:rPr>
        <w:t>،</w:t>
      </w:r>
      <w:r w:rsidR="00777DCB" w:rsidRPr="00A52585">
        <w:rPr>
          <w:rFonts w:hint="cs"/>
          <w:szCs w:val="24"/>
          <w:rtl/>
        </w:rPr>
        <w:t xml:space="preserve"> </w:t>
      </w:r>
    </w:p>
    <w:p w14:paraId="7EC408B1" w14:textId="31C503D6" w:rsidR="00777DCB" w:rsidRPr="00A52585" w:rsidRDefault="0002035C" w:rsidP="0002035C">
      <w:pPr>
        <w:spacing w:after="240"/>
        <w:rPr>
          <w:rtl/>
        </w:rPr>
      </w:pPr>
      <w:r w:rsidRPr="00A52585">
        <w:rPr>
          <w:rFonts w:hint="cs"/>
          <w:bCs/>
          <w:rtl/>
        </w:rPr>
        <w:t>[</w:t>
      </w:r>
      <w:r w:rsidR="00777DCB" w:rsidRPr="00A52585">
        <w:rPr>
          <w:rFonts w:hint="cs"/>
          <w:bCs/>
          <w:rtl/>
        </w:rPr>
        <w:t xml:space="preserve">فصل في </w:t>
      </w:r>
      <w:proofErr w:type="gramStart"/>
      <w:r w:rsidR="00777DCB" w:rsidRPr="00A52585">
        <w:rPr>
          <w:rFonts w:hint="cs"/>
          <w:bCs/>
          <w:rtl/>
        </w:rPr>
        <w:t>معانى</w:t>
      </w:r>
      <w:proofErr w:type="gramEnd"/>
      <w:r w:rsidR="00777DCB" w:rsidRPr="00A52585">
        <w:rPr>
          <w:rFonts w:hint="cs"/>
          <w:bCs/>
          <w:rtl/>
        </w:rPr>
        <w:t xml:space="preserve"> الاستواء والكلام عن المكان</w:t>
      </w:r>
      <w:r w:rsidRPr="00A52585">
        <w:rPr>
          <w:rFonts w:hint="cs"/>
          <w:bCs/>
          <w:rtl/>
        </w:rPr>
        <w:t>]:</w:t>
      </w:r>
      <w:r w:rsidR="00777DCB" w:rsidRPr="00A52585">
        <w:rPr>
          <w:rFonts w:hint="cs"/>
          <w:bCs/>
          <w:rtl/>
        </w:rPr>
        <w:t xml:space="preserve"> </w:t>
      </w:r>
      <w:r w:rsidR="00777DCB" w:rsidRPr="00A52585">
        <w:rPr>
          <w:rFonts w:hint="cs"/>
          <w:rtl/>
        </w:rPr>
        <w:t>واعلم أن الاستواء في اللغة على وجوه</w:t>
      </w:r>
      <w:r w:rsidR="00DB731D" w:rsidRPr="00A52585">
        <w:rPr>
          <w:rFonts w:hint="cs"/>
          <w:rtl/>
        </w:rPr>
        <w:t>،</w:t>
      </w:r>
      <w:r w:rsidR="00777DCB" w:rsidRPr="00A52585">
        <w:rPr>
          <w:rFonts w:hint="cs"/>
          <w:rtl/>
        </w:rPr>
        <w:t xml:space="preserve"> وأصله افتعال من السوي</w:t>
      </w:r>
      <w:r w:rsidR="00DB731D" w:rsidRPr="00A52585">
        <w:rPr>
          <w:rFonts w:hint="cs"/>
          <w:rtl/>
        </w:rPr>
        <w:t>،</w:t>
      </w:r>
      <w:r w:rsidR="00777DCB" w:rsidRPr="00A52585">
        <w:rPr>
          <w:rFonts w:hint="cs"/>
          <w:rtl/>
        </w:rPr>
        <w:t xml:space="preserve"> ومعناه - أي الاستواء - العدل والوسط</w:t>
      </w:r>
      <w:r w:rsidR="00DB731D" w:rsidRPr="00A52585">
        <w:rPr>
          <w:rFonts w:hint="cs"/>
          <w:rtl/>
        </w:rPr>
        <w:t>،</w:t>
      </w:r>
      <w:r w:rsidR="00777DCB" w:rsidRPr="00A52585">
        <w:rPr>
          <w:rFonts w:hint="cs"/>
          <w:rtl/>
        </w:rPr>
        <w:t xml:space="preserve"> وله وجوه في الاستعمال</w:t>
      </w:r>
      <w:r w:rsidRPr="00A52585">
        <w:rPr>
          <w:rFonts w:hint="cs"/>
          <w:rtl/>
        </w:rPr>
        <w:t>:</w:t>
      </w:r>
      <w:r w:rsidR="00777DCB" w:rsidRPr="00A52585">
        <w:rPr>
          <w:rFonts w:hint="cs"/>
          <w:rtl/>
        </w:rPr>
        <w:t xml:space="preserve"> </w:t>
      </w:r>
    </w:p>
    <w:p w14:paraId="418E6104" w14:textId="00D10774" w:rsidR="00777DCB" w:rsidRPr="00A52585" w:rsidRDefault="00777DCB" w:rsidP="0002035C">
      <w:pPr>
        <w:spacing w:after="240"/>
      </w:pPr>
      <w:r w:rsidRPr="00A52585">
        <w:rPr>
          <w:rFonts w:hint="cs"/>
          <w:rtl/>
        </w:rPr>
        <w:t>[1-] منها</w:t>
      </w:r>
      <w:r w:rsidR="0002035C" w:rsidRPr="00A52585">
        <w:rPr>
          <w:rFonts w:hint="cs"/>
          <w:rtl/>
        </w:rPr>
        <w:t xml:space="preserve"> </w:t>
      </w:r>
      <w:r w:rsidRPr="00A52585">
        <w:rPr>
          <w:rFonts w:hint="cs"/>
          <w:u w:val="single"/>
          <w:rtl/>
        </w:rPr>
        <w:t>الاعتدال</w:t>
      </w:r>
      <w:r w:rsidR="0002035C" w:rsidRPr="00A52585">
        <w:rPr>
          <w:rFonts w:hint="cs"/>
          <w:rtl/>
        </w:rPr>
        <w:t>:</w:t>
      </w:r>
      <w:r w:rsidRPr="00A52585">
        <w:rPr>
          <w:rFonts w:hint="cs"/>
          <w:rtl/>
        </w:rPr>
        <w:t xml:space="preserve"> قال بعض بني تميم استوى ظالم العشيرة والمظلوم أي اعتدلا </w:t>
      </w:r>
      <w:r w:rsidR="0002035C" w:rsidRPr="00A52585">
        <w:rPr>
          <w:rFonts w:hint="cs"/>
          <w:rtl/>
        </w:rPr>
        <w:t>[</w:t>
      </w:r>
      <w:r w:rsidRPr="00A52585">
        <w:rPr>
          <w:rFonts w:hint="cs"/>
          <w:szCs w:val="24"/>
          <w:rtl/>
        </w:rPr>
        <w:t>قال المحقق</w:t>
      </w:r>
      <w:r w:rsidR="0002035C" w:rsidRPr="00A52585">
        <w:rPr>
          <w:rFonts w:hint="cs"/>
          <w:szCs w:val="24"/>
          <w:rtl/>
        </w:rPr>
        <w:t>:</w:t>
      </w:r>
      <w:r w:rsidRPr="00A52585">
        <w:rPr>
          <w:rFonts w:hint="cs"/>
          <w:szCs w:val="24"/>
          <w:rtl/>
        </w:rPr>
        <w:t xml:space="preserve"> ويكون معنى الاستواء في الآية الكريمة {الرحمن على العرش استوى} طه</w:t>
      </w:r>
      <w:r w:rsidR="0002035C" w:rsidRPr="00A52585">
        <w:rPr>
          <w:rFonts w:hint="cs"/>
          <w:szCs w:val="24"/>
          <w:rtl/>
        </w:rPr>
        <w:t>:</w:t>
      </w:r>
      <w:r w:rsidRPr="00A52585">
        <w:rPr>
          <w:rFonts w:hint="cs"/>
          <w:szCs w:val="24"/>
          <w:rtl/>
        </w:rPr>
        <w:t xml:space="preserve"> 5 استوى العرش – الذي هو أعظم المخلوقات – وغيره بالنسبة لعلو الله وعظمته وقدرته</w:t>
      </w:r>
      <w:r w:rsidR="00DB731D" w:rsidRPr="00A52585">
        <w:rPr>
          <w:rFonts w:hint="cs"/>
          <w:szCs w:val="24"/>
          <w:rtl/>
        </w:rPr>
        <w:t>،</w:t>
      </w:r>
      <w:r w:rsidRPr="00A52585">
        <w:rPr>
          <w:rFonts w:hint="cs"/>
          <w:szCs w:val="24"/>
          <w:rtl/>
        </w:rPr>
        <w:t xml:space="preserve"> ويكون معنى {على العرش} أي فوق العرش بقهره كما قال {وهو القاهر فوق عباده} الأنعام</w:t>
      </w:r>
      <w:r w:rsidR="0002035C" w:rsidRPr="00A52585">
        <w:rPr>
          <w:rFonts w:hint="cs"/>
          <w:szCs w:val="24"/>
          <w:rtl/>
        </w:rPr>
        <w:t>:</w:t>
      </w:r>
      <w:r w:rsidRPr="00A52585">
        <w:rPr>
          <w:rFonts w:hint="cs"/>
          <w:szCs w:val="24"/>
          <w:rtl/>
        </w:rPr>
        <w:t xml:space="preserve"> 18،وقال {وإنا فوقهم قاهرون} الأعراف</w:t>
      </w:r>
      <w:r w:rsidR="0002035C" w:rsidRPr="00A52585">
        <w:rPr>
          <w:rFonts w:hint="cs"/>
          <w:szCs w:val="24"/>
          <w:rtl/>
        </w:rPr>
        <w:t>:</w:t>
      </w:r>
      <w:r w:rsidRPr="00A52585">
        <w:rPr>
          <w:rFonts w:hint="cs"/>
          <w:szCs w:val="24"/>
          <w:rtl/>
        </w:rPr>
        <w:t xml:space="preserve"> 127</w:t>
      </w:r>
      <w:r w:rsidR="00DB731D" w:rsidRPr="00A52585">
        <w:rPr>
          <w:rFonts w:hint="cs"/>
          <w:szCs w:val="24"/>
          <w:rtl/>
        </w:rPr>
        <w:t>،</w:t>
      </w:r>
      <w:r w:rsidRPr="00A52585">
        <w:rPr>
          <w:rFonts w:hint="cs"/>
          <w:szCs w:val="24"/>
          <w:rtl/>
        </w:rPr>
        <w:t xml:space="preserve"> وتأويل الاستواء هنا بالاعتدال وإن كان جيداً- كما يقول ابن المعلم- فهو بالنسبة إلى آية طه فقط، وأما في الآيات الستة الأخرى والتي فيها {ثم استوى على العرش} فلا يليق لما يؤدي إليه من ركاكة المعنى، وما روى عن ابن عباس في تفسير الآية {ثم استوى على العرش}</w:t>
      </w:r>
      <w:r w:rsidR="0002035C" w:rsidRPr="00A52585">
        <w:rPr>
          <w:rFonts w:hint="cs"/>
          <w:szCs w:val="24"/>
          <w:rtl/>
        </w:rPr>
        <w:t xml:space="preserve">: </w:t>
      </w:r>
      <w:r w:rsidRPr="00A52585">
        <w:rPr>
          <w:rFonts w:hint="cs"/>
          <w:szCs w:val="24"/>
          <w:rtl/>
        </w:rPr>
        <w:t>"استوى عنده الخلائق القريب والبعيد وصاروا عنده سواء"</w:t>
      </w:r>
      <w:r w:rsidR="0002035C" w:rsidRPr="00A52585">
        <w:rPr>
          <w:rFonts w:hint="cs"/>
          <w:szCs w:val="24"/>
          <w:rtl/>
        </w:rPr>
        <w:t xml:space="preserve"> </w:t>
      </w:r>
      <w:r w:rsidRPr="00A52585">
        <w:rPr>
          <w:rFonts w:hint="cs"/>
          <w:szCs w:val="24"/>
          <w:rtl/>
        </w:rPr>
        <w:t>فلا يصح عنه لشدة ضعف سنده كما أوضحه الإمام البيهقي في (الأسماء والصفات) فذكره ضمن تأويلات أخرى ضعيفة ثم قال</w:t>
      </w:r>
      <w:r w:rsidR="0002035C" w:rsidRPr="00A52585">
        <w:rPr>
          <w:rFonts w:hint="cs"/>
          <w:szCs w:val="24"/>
          <w:rtl/>
        </w:rPr>
        <w:t xml:space="preserve">: </w:t>
      </w:r>
      <w:r w:rsidRPr="00A52585">
        <w:rPr>
          <w:rFonts w:hint="cs"/>
          <w:szCs w:val="24"/>
          <w:rtl/>
        </w:rPr>
        <w:t xml:space="preserve">"وفيه أيضاً ركاكة ومثله لا يليق بقول ابن عباس رضي الله عنه عنهما، إذا كان الاستواء بمعنى استواء الخلائق عنده </w:t>
      </w:r>
      <w:proofErr w:type="spellStart"/>
      <w:r w:rsidRPr="00A52585">
        <w:rPr>
          <w:rFonts w:hint="cs"/>
          <w:szCs w:val="24"/>
          <w:rtl/>
        </w:rPr>
        <w:t>فإيش</w:t>
      </w:r>
      <w:proofErr w:type="spellEnd"/>
      <w:r w:rsidRPr="00A52585">
        <w:rPr>
          <w:rFonts w:hint="cs"/>
          <w:szCs w:val="24"/>
          <w:rtl/>
        </w:rPr>
        <w:t xml:space="preserve"> المعنى في قوله {على العرش}</w:t>
      </w:r>
      <w:r w:rsidR="00F95886" w:rsidRPr="00A52585">
        <w:rPr>
          <w:rFonts w:hint="cs"/>
          <w:szCs w:val="24"/>
          <w:rtl/>
        </w:rPr>
        <w:t>؟</w:t>
      </w:r>
      <w:r w:rsidRPr="00A52585">
        <w:rPr>
          <w:rFonts w:hint="cs"/>
          <w:szCs w:val="24"/>
          <w:rtl/>
        </w:rPr>
        <w:t xml:space="preserve"> أهـ انظر المحكم والمتشابه ص 758-759، نجم المهتدي 530 (مخطوط)</w:t>
      </w:r>
      <w:r w:rsidR="0002035C" w:rsidRPr="00A52585">
        <w:rPr>
          <w:rFonts w:hint="cs"/>
          <w:szCs w:val="24"/>
          <w:rtl/>
        </w:rPr>
        <w:t>]</w:t>
      </w:r>
      <w:r w:rsidR="00DB731D" w:rsidRPr="00A52585">
        <w:rPr>
          <w:rFonts w:hint="cs"/>
          <w:szCs w:val="24"/>
          <w:rtl/>
        </w:rPr>
        <w:t>،</w:t>
      </w:r>
      <w:r w:rsidRPr="00A52585">
        <w:rPr>
          <w:rFonts w:hint="cs"/>
          <w:szCs w:val="24"/>
          <w:rtl/>
        </w:rPr>
        <w:t xml:space="preserve"> </w:t>
      </w:r>
    </w:p>
    <w:p w14:paraId="0E2CBF6E" w14:textId="1A06CFC2" w:rsidR="00777DCB" w:rsidRPr="00A52585" w:rsidRDefault="00777DCB" w:rsidP="0002035C">
      <w:pPr>
        <w:spacing w:after="240"/>
        <w:rPr>
          <w:b/>
        </w:rPr>
      </w:pPr>
      <w:r w:rsidRPr="00A52585">
        <w:rPr>
          <w:rFonts w:hint="cs"/>
          <w:spacing w:val="-6"/>
          <w:rtl/>
        </w:rPr>
        <w:lastRenderedPageBreak/>
        <w:t xml:space="preserve">[2-] ومنها </w:t>
      </w:r>
      <w:r w:rsidRPr="00A52585">
        <w:rPr>
          <w:rFonts w:hint="cs"/>
          <w:spacing w:val="-6"/>
          <w:u w:val="single"/>
          <w:rtl/>
        </w:rPr>
        <w:t>إتمام الشيء</w:t>
      </w:r>
      <w:r w:rsidR="0002035C" w:rsidRPr="00A52585">
        <w:rPr>
          <w:rFonts w:hint="cs"/>
          <w:spacing w:val="-6"/>
          <w:u w:val="single"/>
          <w:rtl/>
        </w:rPr>
        <w:t>:</w:t>
      </w:r>
      <w:r w:rsidRPr="00A52585">
        <w:rPr>
          <w:rFonts w:hint="cs"/>
          <w:vertAlign w:val="superscript"/>
          <w:rtl/>
        </w:rPr>
        <w:t xml:space="preserve"> </w:t>
      </w:r>
      <w:r w:rsidRPr="00A52585">
        <w:rPr>
          <w:rFonts w:hint="cs"/>
          <w:rtl/>
        </w:rPr>
        <w:t>ومنه قوله تعالى</w:t>
      </w:r>
      <w:r w:rsidR="0002035C" w:rsidRPr="00A52585">
        <w:rPr>
          <w:rFonts w:hint="cs"/>
          <w:rtl/>
        </w:rPr>
        <w:t xml:space="preserve">: </w:t>
      </w:r>
      <w:r w:rsidRPr="00A52585">
        <w:rPr>
          <w:rFonts w:hint="cs"/>
          <w:rtl/>
        </w:rPr>
        <w:t xml:space="preserve">{ولما بلغ أشده واستوى} </w:t>
      </w:r>
      <w:r w:rsidR="0002035C" w:rsidRPr="00A52585">
        <w:rPr>
          <w:rFonts w:hint="cs"/>
          <w:rtl/>
        </w:rPr>
        <w:t>[</w:t>
      </w:r>
      <w:r w:rsidRPr="00A52585">
        <w:rPr>
          <w:rFonts w:hint="cs"/>
          <w:szCs w:val="24"/>
          <w:rtl/>
        </w:rPr>
        <w:t>قال المحقق</w:t>
      </w:r>
      <w:r w:rsidR="0002035C" w:rsidRPr="00A52585">
        <w:rPr>
          <w:rFonts w:hint="cs"/>
          <w:szCs w:val="24"/>
          <w:rtl/>
        </w:rPr>
        <w:t>:</w:t>
      </w:r>
      <w:r w:rsidRPr="00A52585">
        <w:rPr>
          <w:rFonts w:hint="cs"/>
          <w:szCs w:val="24"/>
          <w:rtl/>
        </w:rPr>
        <w:t xml:space="preserve"> جزء من الآية 14، من سورة القصص ويكون معنى قوله تعالى {على العرش استوى}</w:t>
      </w:r>
      <w:r w:rsidR="0002035C" w:rsidRPr="00A52585">
        <w:rPr>
          <w:rFonts w:hint="cs"/>
          <w:szCs w:val="24"/>
          <w:rtl/>
        </w:rPr>
        <w:t>:</w:t>
      </w:r>
      <w:r w:rsidRPr="00A52585">
        <w:rPr>
          <w:rFonts w:hint="cs"/>
          <w:szCs w:val="24"/>
          <w:rtl/>
        </w:rPr>
        <w:t xml:space="preserve"> استتم خَلْقه بالعرش فلم يخلق خارج العرش شيئاً وجميع ما خلق ويخلق دنيا وأخرى لا يخرج عن دائرة العرش لأنه حاوٍ لجميع الكائنات ومع ذلك فلا يزن في </w:t>
      </w:r>
      <w:proofErr w:type="spellStart"/>
      <w:r w:rsidRPr="00A52585">
        <w:rPr>
          <w:rFonts w:hint="cs"/>
          <w:szCs w:val="24"/>
          <w:rtl/>
        </w:rPr>
        <w:t>مقدوراته</w:t>
      </w:r>
      <w:proofErr w:type="spellEnd"/>
      <w:r w:rsidRPr="00A52585">
        <w:rPr>
          <w:rFonts w:hint="cs"/>
          <w:szCs w:val="24"/>
          <w:rtl/>
        </w:rPr>
        <w:t xml:space="preserve"> تعالى ذرة فأنَّي يكون مستَقَراً</w:t>
      </w:r>
      <w:r w:rsidR="00F95886" w:rsidRPr="00A52585">
        <w:rPr>
          <w:rFonts w:hint="cs"/>
          <w:szCs w:val="24"/>
          <w:rtl/>
        </w:rPr>
        <w:t>؟</w:t>
      </w:r>
      <w:r w:rsidRPr="00A52585">
        <w:rPr>
          <w:rFonts w:hint="cs"/>
          <w:szCs w:val="24"/>
          <w:rtl/>
        </w:rPr>
        <w:t>! قال تعالى {ولما بلغ أشده واستوى} وقال</w:t>
      </w:r>
      <w:r w:rsidR="0002035C" w:rsidRPr="00A52585">
        <w:rPr>
          <w:rFonts w:hint="cs"/>
          <w:szCs w:val="24"/>
          <w:rtl/>
        </w:rPr>
        <w:t xml:space="preserve"> {</w:t>
      </w:r>
      <w:r w:rsidRPr="00A52585">
        <w:rPr>
          <w:rFonts w:hint="cs"/>
          <w:szCs w:val="24"/>
          <w:rtl/>
        </w:rPr>
        <w:t>كزرع أخرج شطئه فآزره فاستغلظ فاستوى على سوقه</w:t>
      </w:r>
      <w:r w:rsidR="0002035C" w:rsidRPr="00A52585">
        <w:rPr>
          <w:rFonts w:hint="cs"/>
          <w:szCs w:val="24"/>
          <w:rtl/>
        </w:rPr>
        <w:t xml:space="preserve">} </w:t>
      </w:r>
      <w:r w:rsidRPr="00A52585">
        <w:rPr>
          <w:rFonts w:hint="cs"/>
          <w:szCs w:val="24"/>
          <w:rtl/>
        </w:rPr>
        <w:t>الفتح</w:t>
      </w:r>
      <w:r w:rsidR="0002035C" w:rsidRPr="00A52585">
        <w:rPr>
          <w:rFonts w:hint="cs"/>
          <w:szCs w:val="24"/>
          <w:rtl/>
        </w:rPr>
        <w:t>:</w:t>
      </w:r>
      <w:r w:rsidRPr="00A52585">
        <w:rPr>
          <w:rFonts w:hint="cs"/>
          <w:szCs w:val="24"/>
          <w:rtl/>
        </w:rPr>
        <w:t xml:space="preserve"> 29 أي استتم ذلك الزرع وقوى</w:t>
      </w:r>
      <w:r w:rsidR="00DB731D" w:rsidRPr="00A52585">
        <w:rPr>
          <w:rFonts w:hint="cs"/>
          <w:szCs w:val="24"/>
          <w:rtl/>
        </w:rPr>
        <w:t>،</w:t>
      </w:r>
      <w:r w:rsidRPr="00A52585">
        <w:rPr>
          <w:rFonts w:hint="cs"/>
          <w:szCs w:val="24"/>
          <w:rtl/>
        </w:rPr>
        <w:t xml:space="preserve"> فعلى هذا التقدير يكون فاعل (استوى) ضميراً عائداً على المصدر المفهوم من لفظ (خلق) في أول كل آية من الآيات الست أما الآية السابعة {الله الذي رفع السماوات بغير عمد ترونها ثم استوى على العرش} الرعد2</w:t>
      </w:r>
      <w:r w:rsidR="0002035C" w:rsidRPr="00A52585">
        <w:rPr>
          <w:rFonts w:hint="cs"/>
          <w:szCs w:val="24"/>
          <w:rtl/>
        </w:rPr>
        <w:t xml:space="preserve"> </w:t>
      </w:r>
      <w:r w:rsidRPr="00A52585">
        <w:rPr>
          <w:rFonts w:hint="cs"/>
          <w:szCs w:val="24"/>
          <w:rtl/>
        </w:rPr>
        <w:t>فيعود الضمير على مصدر (رفع)</w:t>
      </w:r>
      <w:r w:rsidR="00DB731D" w:rsidRPr="00A52585">
        <w:rPr>
          <w:rFonts w:hint="cs"/>
          <w:szCs w:val="24"/>
          <w:rtl/>
        </w:rPr>
        <w:t>،</w:t>
      </w:r>
      <w:r w:rsidRPr="00A52585">
        <w:rPr>
          <w:rFonts w:hint="cs"/>
          <w:szCs w:val="24"/>
          <w:rtl/>
        </w:rPr>
        <w:t xml:space="preserve"> وهذا جائز لغة قال تعالى {… على أن لا تعدلوا، اعدلوا هو أقرب للتقوى} (الآية8 من سورة المائدة</w:t>
      </w:r>
      <w:r w:rsidR="0002035C" w:rsidRPr="00A52585">
        <w:rPr>
          <w:rFonts w:hint="cs"/>
          <w:szCs w:val="24"/>
          <w:rtl/>
        </w:rPr>
        <w:t>)</w:t>
      </w:r>
      <w:r w:rsidRPr="00A52585">
        <w:rPr>
          <w:rFonts w:hint="cs"/>
          <w:szCs w:val="24"/>
          <w:rtl/>
        </w:rPr>
        <w:t xml:space="preserve"> فالضمير {هو} يعود على العدل المفهوم من فعل الأمر {اعدلوا}</w:t>
      </w:r>
      <w:r w:rsidR="00DB731D" w:rsidRPr="00A52585">
        <w:rPr>
          <w:rFonts w:hint="cs"/>
          <w:szCs w:val="24"/>
          <w:rtl/>
        </w:rPr>
        <w:t>،</w:t>
      </w:r>
      <w:r w:rsidRPr="00A52585">
        <w:rPr>
          <w:rFonts w:hint="cs"/>
          <w:szCs w:val="24"/>
          <w:rtl/>
        </w:rPr>
        <w:t xml:space="preserve"> و {على}</w:t>
      </w:r>
      <w:r w:rsidR="0002035C" w:rsidRPr="00A52585">
        <w:rPr>
          <w:rFonts w:hint="cs"/>
          <w:szCs w:val="24"/>
          <w:rtl/>
        </w:rPr>
        <w:t xml:space="preserve"> </w:t>
      </w:r>
      <w:r w:rsidRPr="00A52585">
        <w:rPr>
          <w:rFonts w:hint="cs"/>
          <w:szCs w:val="24"/>
          <w:rtl/>
        </w:rPr>
        <w:t>بمعنى الباء في قوله {على العرش} فيكون المعنى</w:t>
      </w:r>
      <w:r w:rsidR="0002035C" w:rsidRPr="00A52585">
        <w:rPr>
          <w:rFonts w:hint="cs"/>
          <w:szCs w:val="24"/>
          <w:rtl/>
        </w:rPr>
        <w:t>:</w:t>
      </w:r>
      <w:r w:rsidRPr="00A52585">
        <w:rPr>
          <w:rFonts w:hint="cs"/>
          <w:szCs w:val="24"/>
          <w:rtl/>
        </w:rPr>
        <w:t xml:space="preserve"> استتم واستكمل الخلق بالعرش فلم يخلق شيئاً فوق العرش وإتيان</w:t>
      </w:r>
      <w:r w:rsidR="0002035C" w:rsidRPr="00A52585">
        <w:rPr>
          <w:rFonts w:hint="cs"/>
          <w:szCs w:val="24"/>
          <w:rtl/>
        </w:rPr>
        <w:t xml:space="preserve"> </w:t>
      </w:r>
      <w:r w:rsidRPr="00A52585">
        <w:rPr>
          <w:rFonts w:hint="cs"/>
          <w:szCs w:val="24"/>
          <w:rtl/>
        </w:rPr>
        <w:t>{على} بمعنى (الباء) وارد في كتاب الله قال تعالى {حقيق على أن لا أقول على الله إلا الحق} الأعراف</w:t>
      </w:r>
      <w:r w:rsidR="0002035C" w:rsidRPr="00A52585">
        <w:rPr>
          <w:rFonts w:hint="cs"/>
          <w:szCs w:val="24"/>
          <w:rtl/>
        </w:rPr>
        <w:t>:</w:t>
      </w:r>
      <w:r w:rsidRPr="00A52585">
        <w:rPr>
          <w:rFonts w:hint="cs"/>
          <w:szCs w:val="24"/>
          <w:rtl/>
        </w:rPr>
        <w:t xml:space="preserve"> 105 فقوله {على أن} هنا معناه {بأن} وقد قرئ في بعض القراءات {حقيق بي} ذكر هذا التأويل الإمام أبو طاهر القزويني ونقله عنه العلامة محمد الخضر الشنقيطي في (استحالة المعية بالذات) 360-363 وقال عنه أنه من أحسن التأويلات ومخرج من كل شبهة واردة في الآية ونقله وارتضاه أيضاً الإمام الحافظ ابن حجر العسقلاني في (فتح الباري) واختاره وارتضاه دون سواه ابن حزم رحمه الله في كتابه (الفصل) وهو التأويل الخامس الذي ذكره الدكتور إبراهيم عبد الرحمن في (المحكم والمتشابه) ص 749-751 وهو التأويل الثاني عند ابن المعلم القرشي في (نجم المهتدي) ورقة 528 بالمخطوط</w:t>
      </w:r>
      <w:r w:rsidR="0002035C" w:rsidRPr="00A52585">
        <w:rPr>
          <w:rFonts w:hint="cs"/>
          <w:szCs w:val="24"/>
          <w:rtl/>
        </w:rPr>
        <w:t>]</w:t>
      </w:r>
      <w:r w:rsidR="00DB731D" w:rsidRPr="00A52585">
        <w:rPr>
          <w:rFonts w:hint="cs"/>
          <w:szCs w:val="24"/>
          <w:rtl/>
        </w:rPr>
        <w:t>،</w:t>
      </w:r>
      <w:r w:rsidR="0002035C" w:rsidRPr="00A52585">
        <w:rPr>
          <w:rFonts w:hint="cs"/>
          <w:szCs w:val="24"/>
          <w:rtl/>
        </w:rPr>
        <w:t xml:space="preserve"> </w:t>
      </w:r>
    </w:p>
    <w:p w14:paraId="65B8A4CB" w14:textId="436B8694" w:rsidR="00777DCB" w:rsidRPr="00A52585" w:rsidRDefault="00777DCB" w:rsidP="0002035C">
      <w:pPr>
        <w:spacing w:after="240"/>
        <w:rPr>
          <w:b/>
          <w:rtl/>
        </w:rPr>
      </w:pPr>
      <w:r w:rsidRPr="00A52585">
        <w:rPr>
          <w:rFonts w:hint="cs"/>
          <w:rtl/>
        </w:rPr>
        <w:t xml:space="preserve">[3-] ومنها </w:t>
      </w:r>
      <w:r w:rsidRPr="00A52585">
        <w:rPr>
          <w:rFonts w:hint="cs"/>
          <w:u w:val="single"/>
          <w:rtl/>
        </w:rPr>
        <w:t>القصد إلى الشيء</w:t>
      </w:r>
      <w:r w:rsidR="0002035C" w:rsidRPr="00A52585">
        <w:rPr>
          <w:rFonts w:hint="cs"/>
          <w:u w:val="single"/>
          <w:rtl/>
        </w:rPr>
        <w:t>:</w:t>
      </w:r>
      <w:r w:rsidRPr="00A52585">
        <w:rPr>
          <w:rFonts w:hint="cs"/>
          <w:rtl/>
        </w:rPr>
        <w:t xml:space="preserve"> ومنه قوله تعالى</w:t>
      </w:r>
      <w:r w:rsidR="0002035C" w:rsidRPr="00A52585">
        <w:rPr>
          <w:rFonts w:hint="cs"/>
          <w:rtl/>
        </w:rPr>
        <w:t>:</w:t>
      </w:r>
      <w:r w:rsidRPr="00A52585">
        <w:rPr>
          <w:rFonts w:hint="cs"/>
          <w:rtl/>
        </w:rPr>
        <w:t xml:space="preserve"> {ثم استوى إلى السماء} أي قصد خلقها </w:t>
      </w:r>
      <w:r w:rsidR="0002035C" w:rsidRPr="00A52585">
        <w:rPr>
          <w:rFonts w:hint="cs"/>
          <w:sz w:val="24"/>
          <w:szCs w:val="24"/>
          <w:rtl/>
        </w:rPr>
        <w:t>[</w:t>
      </w:r>
      <w:r w:rsidRPr="00A52585">
        <w:rPr>
          <w:rFonts w:hint="cs"/>
          <w:sz w:val="24"/>
          <w:szCs w:val="24"/>
          <w:rtl/>
        </w:rPr>
        <w:t>الآية 11، من سورة فصلت</w:t>
      </w:r>
      <w:r w:rsidR="00DB731D" w:rsidRPr="00A52585">
        <w:rPr>
          <w:rFonts w:hint="cs"/>
          <w:sz w:val="24"/>
          <w:szCs w:val="24"/>
          <w:rtl/>
        </w:rPr>
        <w:t>،</w:t>
      </w:r>
      <w:r w:rsidRPr="00A52585">
        <w:rPr>
          <w:rFonts w:hint="cs"/>
          <w:sz w:val="24"/>
          <w:szCs w:val="24"/>
          <w:rtl/>
        </w:rPr>
        <w:t xml:space="preserve"> ويكون المعنى كما بينه الإمام أبو نصر عبد الرحيم القشيري</w:t>
      </w:r>
      <w:r w:rsidR="0002035C" w:rsidRPr="00A52585">
        <w:rPr>
          <w:rFonts w:hint="cs"/>
          <w:sz w:val="24"/>
          <w:szCs w:val="24"/>
          <w:rtl/>
        </w:rPr>
        <w:t xml:space="preserve">: </w:t>
      </w:r>
      <w:r w:rsidRPr="00A52585">
        <w:rPr>
          <w:rFonts w:hint="cs"/>
          <w:sz w:val="24"/>
          <w:szCs w:val="24"/>
          <w:rtl/>
        </w:rPr>
        <w:t>"ثم استوى على العرش)</w:t>
      </w:r>
      <w:r w:rsidR="0002035C" w:rsidRPr="00A52585">
        <w:rPr>
          <w:rFonts w:hint="cs"/>
          <w:sz w:val="24"/>
          <w:szCs w:val="24"/>
          <w:rtl/>
        </w:rPr>
        <w:t xml:space="preserve">: </w:t>
      </w:r>
      <w:r w:rsidRPr="00A52585">
        <w:rPr>
          <w:rFonts w:hint="cs"/>
          <w:sz w:val="24"/>
          <w:szCs w:val="24"/>
          <w:rtl/>
        </w:rPr>
        <w:t>"أقبل على خلقه وقصد إليه"</w:t>
      </w:r>
      <w:r w:rsidR="0002035C" w:rsidRPr="00A52585">
        <w:rPr>
          <w:rFonts w:hint="cs"/>
          <w:sz w:val="24"/>
          <w:szCs w:val="24"/>
          <w:rtl/>
        </w:rPr>
        <w:t xml:space="preserve"> </w:t>
      </w:r>
      <w:r w:rsidRPr="00A52585">
        <w:rPr>
          <w:rFonts w:hint="cs"/>
          <w:sz w:val="24"/>
          <w:szCs w:val="24"/>
          <w:rtl/>
        </w:rPr>
        <w:t>وأشار إليه من قبله الأستاذ أبو إسحاق الإسفراييني وانظر نجم المهتدي ورقة 529، 530 حيث يقول ابن المعلم القرشي بعد ذكره هذا التأويل العاشر عنده</w:t>
      </w:r>
      <w:r w:rsidR="0002035C" w:rsidRPr="00A52585">
        <w:rPr>
          <w:rFonts w:hint="cs"/>
          <w:sz w:val="24"/>
          <w:szCs w:val="24"/>
          <w:rtl/>
        </w:rPr>
        <w:t xml:space="preserve">: </w:t>
      </w:r>
      <w:r w:rsidRPr="00A52585">
        <w:rPr>
          <w:rFonts w:hint="cs"/>
          <w:sz w:val="24"/>
          <w:szCs w:val="24"/>
          <w:rtl/>
        </w:rPr>
        <w:t>"قلت يدل على تأويله الاستواء بالقصد قول الشاعر</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ثـم استويتـم لنــا ترمــون أنكبـــنا</w:t>
      </w:r>
      <w:r w:rsidR="0002035C" w:rsidRPr="00A52585">
        <w:rPr>
          <w:rFonts w:hint="cs"/>
          <w:sz w:val="24"/>
          <w:szCs w:val="24"/>
          <w:rtl/>
        </w:rPr>
        <w:t xml:space="preserve"> </w:t>
      </w:r>
      <w:r w:rsidRPr="00A52585">
        <w:rPr>
          <w:rFonts w:hint="cs"/>
          <w:sz w:val="24"/>
          <w:szCs w:val="24"/>
          <w:rtl/>
        </w:rPr>
        <w:t>بغيا وفي البغي إن لم ينتهوا النكل</w:t>
      </w:r>
      <w:r w:rsidR="0002035C" w:rsidRPr="00A52585">
        <w:rPr>
          <w:rFonts w:hint="cs"/>
          <w:sz w:val="24"/>
          <w:szCs w:val="24"/>
          <w:rtl/>
        </w:rPr>
        <w:t>)</w:t>
      </w:r>
      <w:r w:rsidRPr="00A52585">
        <w:rPr>
          <w:rFonts w:hint="cs"/>
          <w:sz w:val="24"/>
          <w:szCs w:val="24"/>
          <w:rtl/>
        </w:rPr>
        <w:t xml:space="preserve"> أهـ</w:t>
      </w:r>
      <w:r w:rsidR="00DB731D" w:rsidRPr="00A52585">
        <w:rPr>
          <w:rFonts w:hint="cs"/>
          <w:sz w:val="24"/>
          <w:szCs w:val="24"/>
          <w:rtl/>
        </w:rPr>
        <w:t>،</w:t>
      </w:r>
      <w:r w:rsidRPr="00A52585">
        <w:rPr>
          <w:rFonts w:hint="cs"/>
          <w:sz w:val="24"/>
          <w:szCs w:val="24"/>
          <w:rtl/>
        </w:rPr>
        <w:t xml:space="preserve"> قال الإمام الزركشي في (البرهان في علوم القرآن)</w:t>
      </w:r>
      <w:r w:rsidR="0002035C" w:rsidRPr="00A52585">
        <w:rPr>
          <w:rFonts w:hint="cs"/>
          <w:sz w:val="24"/>
          <w:szCs w:val="24"/>
          <w:rtl/>
        </w:rPr>
        <w:t>:</w:t>
      </w:r>
      <w:r w:rsidRPr="00A52585">
        <w:rPr>
          <w:rFonts w:hint="cs"/>
          <w:sz w:val="24"/>
          <w:szCs w:val="24"/>
          <w:rtl/>
        </w:rPr>
        <w:t xml:space="preserve"> "قال الأستاذ</w:t>
      </w:r>
      <w:r w:rsidR="0002035C" w:rsidRPr="00A52585">
        <w:rPr>
          <w:rFonts w:hint="cs"/>
          <w:sz w:val="24"/>
          <w:szCs w:val="24"/>
          <w:rtl/>
        </w:rPr>
        <w:t>:</w:t>
      </w:r>
      <w:r w:rsidRPr="00A52585">
        <w:rPr>
          <w:rFonts w:hint="cs"/>
          <w:sz w:val="24"/>
          <w:szCs w:val="24"/>
          <w:rtl/>
        </w:rPr>
        <w:t xml:space="preserve"> والصواب ما قاله الفراء والأشعري وجماعة من أهل المعاني أن معنى قوله (استوى) أقبل على خلق العرش وعمد إلى خلقه فسماه استواء كقوله {ثم استوى إلى السماء وهي دخان} أي قصد وعمد إلى خلق السماء، فكذا هاهنا قال</w:t>
      </w:r>
      <w:r w:rsidR="0002035C" w:rsidRPr="00A52585">
        <w:rPr>
          <w:rFonts w:hint="cs"/>
          <w:sz w:val="24"/>
          <w:szCs w:val="24"/>
          <w:rtl/>
        </w:rPr>
        <w:t>:</w:t>
      </w:r>
      <w:r w:rsidRPr="00A52585">
        <w:rPr>
          <w:rFonts w:hint="cs"/>
          <w:sz w:val="24"/>
          <w:szCs w:val="24"/>
          <w:rtl/>
        </w:rPr>
        <w:t xml:space="preserve"> وهذا القول مرضى عند العلماء ليس فيه تعطيل ولا تشبيه "</w:t>
      </w:r>
      <w:r w:rsidR="00DB731D" w:rsidRPr="00A52585">
        <w:rPr>
          <w:rFonts w:hint="cs"/>
          <w:sz w:val="24"/>
          <w:szCs w:val="24"/>
          <w:rtl/>
        </w:rPr>
        <w:t>،</w:t>
      </w:r>
      <w:r w:rsidRPr="00A52585">
        <w:rPr>
          <w:rFonts w:hint="cs"/>
          <w:sz w:val="24"/>
          <w:szCs w:val="24"/>
          <w:rtl/>
        </w:rPr>
        <w:t xml:space="preserve"> رجح الأستاذ الدكتور إبراهيم عبد الرحمن أن الأستاذ المشار إليه في النقل السابق هو إسماعيل الضرير المفسر </w:t>
      </w:r>
      <w:proofErr w:type="spellStart"/>
      <w:r w:rsidRPr="00A52585">
        <w:rPr>
          <w:rFonts w:hint="cs"/>
          <w:sz w:val="24"/>
          <w:szCs w:val="24"/>
          <w:rtl/>
        </w:rPr>
        <w:t>المقريء</w:t>
      </w:r>
      <w:proofErr w:type="spellEnd"/>
      <w:r w:rsidRPr="00A52585">
        <w:rPr>
          <w:rFonts w:hint="cs"/>
          <w:sz w:val="24"/>
          <w:szCs w:val="24"/>
          <w:rtl/>
        </w:rPr>
        <w:t xml:space="preserve"> المحدث وهذا التأويل هو السادس في (المحكم والمتشابه) ثم نقل العلامة الدكتور إبراهيم عبد الرحمن تضعيف بعض العلماء لهذا التأويل بقولهم</w:t>
      </w:r>
      <w:r w:rsidR="0002035C" w:rsidRPr="00A52585">
        <w:rPr>
          <w:rFonts w:hint="cs"/>
          <w:sz w:val="24"/>
          <w:szCs w:val="24"/>
          <w:rtl/>
        </w:rPr>
        <w:t xml:space="preserve"> </w:t>
      </w:r>
      <w:r w:rsidRPr="00A52585">
        <w:rPr>
          <w:rFonts w:hint="cs"/>
          <w:sz w:val="24"/>
          <w:szCs w:val="24"/>
          <w:rtl/>
        </w:rPr>
        <w:t>"وهو بعيد إذ ذلك تعدي بـ (إلى) كالقصد دون (على) كالاستيلاء"</w:t>
      </w:r>
      <w:r w:rsidR="00DB731D" w:rsidRPr="00A52585">
        <w:rPr>
          <w:rFonts w:hint="cs"/>
          <w:sz w:val="24"/>
          <w:szCs w:val="24"/>
          <w:rtl/>
        </w:rPr>
        <w:t>،</w:t>
      </w:r>
      <w:r w:rsidRPr="00A52585">
        <w:rPr>
          <w:rFonts w:hint="cs"/>
          <w:sz w:val="24"/>
          <w:szCs w:val="24"/>
          <w:rtl/>
        </w:rPr>
        <w:t xml:space="preserve"> ورد عليهم بقوله</w:t>
      </w:r>
      <w:r w:rsidR="0002035C" w:rsidRPr="00A52585">
        <w:rPr>
          <w:rFonts w:hint="cs"/>
          <w:sz w:val="24"/>
          <w:szCs w:val="24"/>
          <w:rtl/>
        </w:rPr>
        <w:t xml:space="preserve">: </w:t>
      </w:r>
      <w:r w:rsidRPr="00A52585">
        <w:rPr>
          <w:rFonts w:hint="cs"/>
          <w:sz w:val="24"/>
          <w:szCs w:val="24"/>
          <w:rtl/>
        </w:rPr>
        <w:t xml:space="preserve">"ولكنك خبير بأن الفراء رحمه الله قد أفاد فيما مر أن الاستواء بمعنى الإقبال بالقصد </w:t>
      </w:r>
      <w:proofErr w:type="spellStart"/>
      <w:r w:rsidRPr="00A52585">
        <w:rPr>
          <w:rFonts w:hint="cs"/>
          <w:sz w:val="24"/>
          <w:szCs w:val="24"/>
          <w:rtl/>
        </w:rPr>
        <w:t>كهو</w:t>
      </w:r>
      <w:proofErr w:type="spellEnd"/>
      <w:r w:rsidRPr="00A52585">
        <w:rPr>
          <w:rFonts w:hint="cs"/>
          <w:sz w:val="24"/>
          <w:szCs w:val="24"/>
          <w:rtl/>
        </w:rPr>
        <w:t>- يشير إلى المعنى الآخر</w:t>
      </w:r>
      <w:r w:rsidR="0002035C" w:rsidRPr="00A52585">
        <w:rPr>
          <w:rFonts w:hint="cs"/>
          <w:sz w:val="24"/>
          <w:szCs w:val="24"/>
          <w:rtl/>
        </w:rPr>
        <w:t>:</w:t>
      </w:r>
      <w:r w:rsidRPr="00A52585">
        <w:rPr>
          <w:rFonts w:hint="cs"/>
          <w:sz w:val="24"/>
          <w:szCs w:val="24"/>
          <w:rtl/>
        </w:rPr>
        <w:t xml:space="preserve"> الاستيلاء –كلاهما </w:t>
      </w:r>
      <w:proofErr w:type="spellStart"/>
      <w:r w:rsidRPr="00A52585">
        <w:rPr>
          <w:rFonts w:hint="cs"/>
          <w:sz w:val="24"/>
          <w:szCs w:val="24"/>
          <w:rtl/>
        </w:rPr>
        <w:t>يتعدي</w:t>
      </w:r>
      <w:proofErr w:type="spellEnd"/>
      <w:r w:rsidRPr="00A52585">
        <w:rPr>
          <w:rFonts w:hint="cs"/>
          <w:sz w:val="24"/>
          <w:szCs w:val="24"/>
          <w:rtl/>
        </w:rPr>
        <w:t xml:space="preserve"> بـ(على) تعديه بـ (إلى) </w:t>
      </w:r>
      <w:r w:rsidRPr="00A52585">
        <w:rPr>
          <w:rFonts w:hint="cs"/>
          <w:sz w:val="24"/>
          <w:szCs w:val="24"/>
          <w:rtl/>
        </w:rPr>
        <w:lastRenderedPageBreak/>
        <w:t>فهذا التضعيف إذن هو الضعيف"</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قد ذكر العلامة الخضر الشنقيطي أيضاً أن (على) تأتي بمعني (الباء) وبمعنى (إلى) ثم قال</w:t>
      </w:r>
      <w:r w:rsidR="0002035C" w:rsidRPr="00A52585">
        <w:rPr>
          <w:rFonts w:hint="cs"/>
          <w:sz w:val="24"/>
          <w:szCs w:val="24"/>
          <w:rtl/>
        </w:rPr>
        <w:t xml:space="preserve">: </w:t>
      </w:r>
      <w:r w:rsidRPr="00A52585">
        <w:rPr>
          <w:rFonts w:hint="cs"/>
          <w:sz w:val="24"/>
          <w:szCs w:val="24"/>
          <w:rtl/>
        </w:rPr>
        <w:t>"وحروف الجر وتعاقبها في كلام العرب غير محصور"</w:t>
      </w:r>
      <w:r w:rsidR="0002035C" w:rsidRPr="00A52585">
        <w:rPr>
          <w:rFonts w:hint="cs"/>
          <w:sz w:val="24"/>
          <w:szCs w:val="24"/>
          <w:rtl/>
        </w:rPr>
        <w:t xml:space="preserve"> </w:t>
      </w:r>
      <w:r w:rsidRPr="00A52585">
        <w:rPr>
          <w:rFonts w:hint="cs"/>
          <w:sz w:val="24"/>
          <w:szCs w:val="24"/>
          <w:rtl/>
        </w:rPr>
        <w:t>أهـ استحالة المعية بالذات ص 363</w:t>
      </w:r>
      <w:r w:rsidR="0002035C" w:rsidRPr="00A52585">
        <w:rPr>
          <w:rFonts w:hint="cs"/>
          <w:sz w:val="24"/>
          <w:szCs w:val="24"/>
          <w:rtl/>
        </w:rPr>
        <w:t>]</w:t>
      </w:r>
      <w:r w:rsidR="00DB731D" w:rsidRPr="00A52585">
        <w:rPr>
          <w:rFonts w:hint="cs"/>
          <w:sz w:val="24"/>
          <w:szCs w:val="24"/>
          <w:rtl/>
        </w:rPr>
        <w:t>،</w:t>
      </w:r>
      <w:r w:rsidRPr="00A52585">
        <w:rPr>
          <w:rFonts w:hint="cs"/>
          <w:szCs w:val="24"/>
          <w:rtl/>
        </w:rPr>
        <w:t xml:space="preserve"> </w:t>
      </w:r>
    </w:p>
    <w:p w14:paraId="7796E4AC" w14:textId="14A1F07D" w:rsidR="00777DCB" w:rsidRPr="00A52585" w:rsidRDefault="00777DCB" w:rsidP="0002035C">
      <w:pPr>
        <w:spacing w:after="240"/>
        <w:rPr>
          <w:b/>
          <w:rtl/>
        </w:rPr>
      </w:pPr>
      <w:r w:rsidRPr="00A52585">
        <w:rPr>
          <w:rFonts w:hint="cs"/>
          <w:rtl/>
        </w:rPr>
        <w:t xml:space="preserve">[4-] ومنها </w:t>
      </w:r>
      <w:r w:rsidRPr="00A52585">
        <w:rPr>
          <w:rFonts w:hint="cs"/>
          <w:u w:val="single"/>
          <w:rtl/>
        </w:rPr>
        <w:t>الاستيلاء على الشيء</w:t>
      </w:r>
      <w:r w:rsidR="0002035C" w:rsidRPr="00A52585">
        <w:rPr>
          <w:rFonts w:hint="cs"/>
          <w:rtl/>
        </w:rPr>
        <w:t>:</w:t>
      </w:r>
      <w:r w:rsidRPr="00A52585">
        <w:rPr>
          <w:rFonts w:hint="cs"/>
          <w:rtl/>
        </w:rPr>
        <w:t xml:space="preserve"> ومنه قول الشاعر</w:t>
      </w:r>
      <w:r w:rsidR="0002035C" w:rsidRPr="00A52585">
        <w:rPr>
          <w:rFonts w:hint="cs"/>
          <w:rtl/>
        </w:rPr>
        <w:t>:</w:t>
      </w:r>
      <w:r w:rsidRPr="00A52585">
        <w:rPr>
          <w:rFonts w:hint="cs"/>
          <w:rtl/>
        </w:rPr>
        <w:t xml:space="preserve"> ثم استوى بشر على العراق</w:t>
      </w:r>
      <w:r w:rsidR="00DB731D" w:rsidRPr="00A52585">
        <w:rPr>
          <w:rFonts w:hint="cs"/>
          <w:rtl/>
        </w:rPr>
        <w:t>،</w:t>
      </w:r>
      <w:r w:rsidRPr="00A52585">
        <w:rPr>
          <w:rFonts w:hint="cs"/>
          <w:rtl/>
        </w:rPr>
        <w:t xml:space="preserve"> وقال آخر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إذا ما غزا قوماً أبــاح حريمهـــم</w:t>
      </w:r>
      <w:r w:rsidR="0002035C" w:rsidRPr="00A52585">
        <w:rPr>
          <w:rFonts w:hint="cs"/>
          <w:rtl/>
        </w:rPr>
        <w:t xml:space="preserve"> </w:t>
      </w:r>
      <w:r w:rsidRPr="00A52585">
        <w:rPr>
          <w:rFonts w:hint="cs"/>
          <w:rtl/>
        </w:rPr>
        <w:t>وأضحى على ما كدَّه فقد استوى</w:t>
      </w:r>
      <w:r w:rsidR="0002035C" w:rsidRPr="00A52585">
        <w:rPr>
          <w:rFonts w:hint="cs"/>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szCs w:val="24"/>
          <w:rtl/>
        </w:rPr>
        <w:t>قال المحقق</w:t>
      </w:r>
      <w:r w:rsidR="0002035C" w:rsidRPr="00A52585">
        <w:rPr>
          <w:rFonts w:hint="cs"/>
          <w:szCs w:val="24"/>
          <w:rtl/>
        </w:rPr>
        <w:t>:</w:t>
      </w:r>
      <w:r w:rsidRPr="00A52585">
        <w:rPr>
          <w:rFonts w:hint="cs"/>
          <w:szCs w:val="24"/>
          <w:rtl/>
        </w:rPr>
        <w:t xml:space="preserve"> قال صاحب (المواقف) رحمه الله في تفسير الاستواء في الآية الكريمة {الرحمن على العرش استوى</w:t>
      </w:r>
      <w:r w:rsidR="0002035C" w:rsidRPr="00A52585">
        <w:rPr>
          <w:rFonts w:hint="cs"/>
          <w:szCs w:val="24"/>
          <w:rtl/>
        </w:rPr>
        <w:t xml:space="preserve">}: </w:t>
      </w:r>
      <w:r w:rsidRPr="00A52585">
        <w:rPr>
          <w:rFonts w:hint="cs"/>
          <w:szCs w:val="24"/>
          <w:rtl/>
        </w:rPr>
        <w:t xml:space="preserve">"اختلف </w:t>
      </w:r>
      <w:r w:rsidRPr="00A52585">
        <w:rPr>
          <w:rFonts w:hint="cs"/>
          <w:spacing w:val="-6"/>
          <w:szCs w:val="24"/>
          <w:rtl/>
        </w:rPr>
        <w:t>الأصحاب فيه، فقال الأكثرون هو (الاستيلاء) ويعود إلى القدرة قال الشاعر</w:t>
      </w:r>
      <w:r w:rsidR="0002035C" w:rsidRPr="00A52585">
        <w:rPr>
          <w:rFonts w:hint="cs"/>
          <w:spacing w:val="-6"/>
          <w:szCs w:val="24"/>
          <w:rtl/>
        </w:rPr>
        <w:t>:</w:t>
      </w:r>
      <w:r w:rsidRPr="00A52585">
        <w:rPr>
          <w:rFonts w:hint="cs"/>
          <w:spacing w:val="-6"/>
          <w:szCs w:val="24"/>
          <w:rtl/>
        </w:rPr>
        <w:t xml:space="preserve"> </w:t>
      </w:r>
      <w:r w:rsidR="0002035C" w:rsidRPr="00A52585">
        <w:rPr>
          <w:rFonts w:hint="cs"/>
          <w:spacing w:val="-6"/>
          <w:szCs w:val="24"/>
          <w:rtl/>
        </w:rPr>
        <w:t>(</w:t>
      </w:r>
      <w:r w:rsidRPr="00A52585">
        <w:rPr>
          <w:rFonts w:hint="cs"/>
          <w:szCs w:val="24"/>
          <w:rtl/>
        </w:rPr>
        <w:t>قد استوى عمرو على العراق</w:t>
      </w:r>
      <w:r w:rsidR="0002035C" w:rsidRPr="00A52585">
        <w:rPr>
          <w:rFonts w:hint="cs"/>
          <w:szCs w:val="24"/>
          <w:rtl/>
        </w:rPr>
        <w:t xml:space="preserve"> </w:t>
      </w:r>
      <w:r w:rsidRPr="00A52585">
        <w:rPr>
          <w:rFonts w:hint="cs"/>
          <w:szCs w:val="24"/>
          <w:rtl/>
        </w:rPr>
        <w:t>مـن غـير سيف ودم مهــراق</w:t>
      </w:r>
      <w:r w:rsidR="0002035C" w:rsidRPr="00A52585">
        <w:rPr>
          <w:rFonts w:hint="cs"/>
          <w:szCs w:val="24"/>
          <w:rtl/>
        </w:rPr>
        <w:t>)</w:t>
      </w:r>
      <w:r w:rsidR="00DB731D" w:rsidRPr="00A52585">
        <w:rPr>
          <w:rFonts w:hint="cs"/>
          <w:szCs w:val="24"/>
          <w:rtl/>
        </w:rPr>
        <w:t>،</w:t>
      </w:r>
      <w:r w:rsidRPr="00A52585">
        <w:rPr>
          <w:rFonts w:hint="cs"/>
          <w:szCs w:val="24"/>
          <w:rtl/>
        </w:rPr>
        <w:t xml:space="preserve"> أي استولى وقال الآخر</w:t>
      </w:r>
      <w:r w:rsidR="0002035C"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szCs w:val="24"/>
          <w:rtl/>
        </w:rPr>
        <w:t>فلما علــونا واستويـنا عليهم</w:t>
      </w:r>
      <w:r w:rsidR="0002035C" w:rsidRPr="00A52585">
        <w:rPr>
          <w:rFonts w:hint="cs"/>
          <w:szCs w:val="24"/>
          <w:rtl/>
        </w:rPr>
        <w:t xml:space="preserve"> </w:t>
      </w:r>
      <w:r w:rsidRPr="00A52585">
        <w:rPr>
          <w:rFonts w:hint="cs"/>
          <w:szCs w:val="24"/>
          <w:rtl/>
        </w:rPr>
        <w:t>تركناهم صرعي لنسر وطائر</w:t>
      </w:r>
      <w:r w:rsidR="0002035C" w:rsidRPr="00A52585">
        <w:rPr>
          <w:rFonts w:hint="cs"/>
          <w:szCs w:val="24"/>
          <w:rtl/>
        </w:rPr>
        <w:t>)</w:t>
      </w:r>
      <w:r w:rsidR="00DB731D" w:rsidRPr="00A52585">
        <w:rPr>
          <w:rFonts w:hint="cs"/>
          <w:szCs w:val="24"/>
          <w:rtl/>
        </w:rPr>
        <w:t>،</w:t>
      </w:r>
      <w:r w:rsidRPr="00A52585">
        <w:rPr>
          <w:rFonts w:hint="cs"/>
          <w:szCs w:val="24"/>
          <w:rtl/>
        </w:rPr>
        <w:t xml:space="preserve"> أي</w:t>
      </w:r>
      <w:r w:rsidR="0002035C" w:rsidRPr="00A52585">
        <w:rPr>
          <w:rFonts w:hint="cs"/>
          <w:szCs w:val="24"/>
          <w:rtl/>
        </w:rPr>
        <w:t>:</w:t>
      </w:r>
      <w:r w:rsidRPr="00A52585">
        <w:rPr>
          <w:rFonts w:hint="cs"/>
          <w:szCs w:val="24"/>
          <w:rtl/>
        </w:rPr>
        <w:t xml:space="preserve"> استولينا "</w:t>
      </w:r>
      <w:r w:rsidR="00DB731D" w:rsidRPr="00A52585">
        <w:rPr>
          <w:rFonts w:hint="cs"/>
          <w:szCs w:val="24"/>
          <w:rtl/>
        </w:rPr>
        <w:t>،</w:t>
      </w:r>
      <w:r w:rsidRPr="00A52585">
        <w:rPr>
          <w:rFonts w:hint="cs"/>
          <w:szCs w:val="24"/>
          <w:rtl/>
        </w:rPr>
        <w:t xml:space="preserve"> ثم ذكر اعتراضين على هذا التفسير وأجاب عنهما بما حاصله</w:t>
      </w:r>
      <w:r w:rsidR="0002035C" w:rsidRPr="00A52585">
        <w:rPr>
          <w:rFonts w:hint="cs"/>
          <w:szCs w:val="24"/>
          <w:rtl/>
        </w:rPr>
        <w:t>:</w:t>
      </w:r>
      <w:r w:rsidRPr="00A52585">
        <w:rPr>
          <w:rFonts w:hint="cs"/>
          <w:szCs w:val="24"/>
          <w:rtl/>
        </w:rPr>
        <w:t xml:space="preserve"> </w:t>
      </w:r>
      <w:r w:rsidRPr="00A52585">
        <w:rPr>
          <w:rFonts w:hint="cs"/>
          <w:bCs/>
          <w:szCs w:val="24"/>
          <w:rtl/>
        </w:rPr>
        <w:t>الاعتراض الأول</w:t>
      </w:r>
      <w:r w:rsidR="0002035C" w:rsidRPr="00A52585">
        <w:rPr>
          <w:rFonts w:hint="cs"/>
          <w:szCs w:val="24"/>
          <w:rtl/>
        </w:rPr>
        <w:t>:</w:t>
      </w:r>
      <w:r w:rsidRPr="00A52585">
        <w:rPr>
          <w:rFonts w:hint="cs"/>
          <w:szCs w:val="24"/>
          <w:rtl/>
        </w:rPr>
        <w:t xml:space="preserve"> الاستيلاء يشعر بالاضطراب والمقاومة والمغالبة من جانب ما تم الاستيلاء عليه وهذا مستحيل في حقه تعالى فلا شيء يمكن أن يقاومه أو يغالبه تعالى</w:t>
      </w:r>
      <w:r w:rsidR="00DB731D" w:rsidRPr="00A52585">
        <w:rPr>
          <w:rFonts w:hint="cs"/>
          <w:szCs w:val="24"/>
          <w:rtl/>
        </w:rPr>
        <w:t>،</w:t>
      </w:r>
      <w:r w:rsidRPr="00A52585">
        <w:rPr>
          <w:rFonts w:hint="cs"/>
          <w:szCs w:val="24"/>
          <w:rtl/>
        </w:rPr>
        <w:t xml:space="preserve"> والإجابة عليه</w:t>
      </w:r>
      <w:r w:rsidR="0002035C" w:rsidRPr="00A52585">
        <w:rPr>
          <w:rFonts w:hint="cs"/>
          <w:szCs w:val="24"/>
          <w:rtl/>
        </w:rPr>
        <w:t>:</w:t>
      </w:r>
      <w:r w:rsidRPr="00A52585">
        <w:rPr>
          <w:rFonts w:hint="cs"/>
          <w:szCs w:val="24"/>
          <w:rtl/>
        </w:rPr>
        <w:t xml:space="preserve"> أنا لا نسلم أن الاستيلاء يشعر بذلك ألا ترى أنه لفظ (الغالب) في قوله تعالى </w:t>
      </w:r>
      <w:r w:rsidR="0002035C" w:rsidRPr="00A52585">
        <w:rPr>
          <w:rFonts w:hint="cs"/>
          <w:szCs w:val="24"/>
          <w:rtl/>
        </w:rPr>
        <w:t>{</w:t>
      </w:r>
      <w:r w:rsidRPr="00A52585">
        <w:rPr>
          <w:rFonts w:hint="cs"/>
          <w:szCs w:val="24"/>
          <w:rtl/>
        </w:rPr>
        <w:t>والله غالب على أمره</w:t>
      </w:r>
      <w:r w:rsidR="0002035C" w:rsidRPr="00A52585">
        <w:rPr>
          <w:rFonts w:hint="cs"/>
          <w:szCs w:val="24"/>
          <w:rtl/>
        </w:rPr>
        <w:t>}</w:t>
      </w:r>
      <w:r w:rsidRPr="00A52585">
        <w:rPr>
          <w:rFonts w:hint="cs"/>
          <w:szCs w:val="24"/>
          <w:rtl/>
        </w:rPr>
        <w:t xml:space="preserve"> 21</w:t>
      </w:r>
      <w:r w:rsidR="0002035C" w:rsidRPr="00A52585">
        <w:rPr>
          <w:rFonts w:hint="cs"/>
          <w:szCs w:val="24"/>
          <w:rtl/>
        </w:rPr>
        <w:t>:</w:t>
      </w:r>
      <w:r w:rsidRPr="00A52585">
        <w:rPr>
          <w:rFonts w:hint="cs"/>
          <w:szCs w:val="24"/>
          <w:rtl/>
        </w:rPr>
        <w:t xml:space="preserve"> يوسف لم يشعر بهذه المعاني لما سبق تنبيه السامع إلى أن قدرته تعالى خارج نطاق التنظير أو المقارنة بقدرات أي شيء سواه</w:t>
      </w:r>
      <w:r w:rsidR="00DB731D" w:rsidRPr="00A52585">
        <w:rPr>
          <w:rFonts w:hint="cs"/>
          <w:szCs w:val="24"/>
          <w:rtl/>
        </w:rPr>
        <w:t>،</w:t>
      </w:r>
      <w:r w:rsidRPr="00A52585">
        <w:rPr>
          <w:rFonts w:hint="cs"/>
          <w:szCs w:val="24"/>
          <w:rtl/>
        </w:rPr>
        <w:t xml:space="preserve"> </w:t>
      </w:r>
      <w:r w:rsidRPr="00A52585">
        <w:rPr>
          <w:rFonts w:hint="cs"/>
          <w:bCs/>
          <w:szCs w:val="24"/>
          <w:rtl/>
        </w:rPr>
        <w:t>الاعتراض الثاني</w:t>
      </w:r>
      <w:r w:rsidR="0002035C" w:rsidRPr="00A52585">
        <w:rPr>
          <w:rFonts w:hint="cs"/>
          <w:szCs w:val="24"/>
          <w:rtl/>
        </w:rPr>
        <w:t>:</w:t>
      </w:r>
      <w:r w:rsidRPr="00A52585">
        <w:rPr>
          <w:rFonts w:hint="cs"/>
          <w:szCs w:val="24"/>
          <w:rtl/>
        </w:rPr>
        <w:t xml:space="preserve"> ما فائدة تخصيص العرش مع أن استيلاءه يعم الكل</w:t>
      </w:r>
      <w:r w:rsidR="00F95886" w:rsidRPr="00A52585">
        <w:rPr>
          <w:rFonts w:hint="cs"/>
          <w:szCs w:val="24"/>
          <w:rtl/>
        </w:rPr>
        <w:t>؟</w:t>
      </w:r>
      <w:r w:rsidRPr="00A52585">
        <w:rPr>
          <w:rFonts w:hint="cs"/>
          <w:szCs w:val="24"/>
          <w:rtl/>
        </w:rPr>
        <w:t xml:space="preserve"> والإجابة عليه</w:t>
      </w:r>
      <w:r w:rsidR="0002035C" w:rsidRPr="00A52585">
        <w:rPr>
          <w:rFonts w:hint="cs"/>
          <w:szCs w:val="24"/>
          <w:rtl/>
        </w:rPr>
        <w:t>:</w:t>
      </w:r>
      <w:r w:rsidRPr="00A52585">
        <w:rPr>
          <w:rFonts w:hint="cs"/>
          <w:szCs w:val="24"/>
          <w:rtl/>
        </w:rPr>
        <w:t xml:space="preserve"> الفائدة هي الإشعار بالأعلى على الأدنى، إذ مقرر في الأوهام أن العرش أعظم الخلق فإذا استولى عليه كان مستوليا على غيره قطعاً انظر (شرح المواقف) للسيد الشريف </w:t>
      </w:r>
      <w:proofErr w:type="spellStart"/>
      <w:r w:rsidRPr="00A52585">
        <w:rPr>
          <w:rFonts w:hint="cs"/>
          <w:szCs w:val="24"/>
          <w:rtl/>
        </w:rPr>
        <w:t>الجرحاني</w:t>
      </w:r>
      <w:proofErr w:type="spellEnd"/>
      <w:r w:rsidRPr="00A52585">
        <w:rPr>
          <w:rFonts w:hint="cs"/>
          <w:szCs w:val="24"/>
          <w:rtl/>
        </w:rPr>
        <w:t xml:space="preserve"> الموقف الخامس الإلهيات ص 173 ط مكتبة الأزهر</w:t>
      </w:r>
      <w:r w:rsidR="00DB731D" w:rsidRPr="00A52585">
        <w:rPr>
          <w:rFonts w:hint="cs"/>
          <w:szCs w:val="24"/>
          <w:rtl/>
        </w:rPr>
        <w:t>،</w:t>
      </w:r>
      <w:r w:rsidRPr="00A52585">
        <w:rPr>
          <w:rFonts w:hint="cs"/>
          <w:szCs w:val="24"/>
          <w:rtl/>
        </w:rPr>
        <w:t xml:space="preserve"> فالاستواء مجاز عن الاستيلاء لكن لفظ (استوى) أعذب وأخصر من لفظ استولى</w:t>
      </w:r>
      <w:r w:rsidR="0002035C" w:rsidRPr="00A52585">
        <w:rPr>
          <w:rFonts w:hint="cs"/>
          <w:szCs w:val="24"/>
          <w:rtl/>
        </w:rPr>
        <w:t xml:space="preserve"> </w:t>
      </w:r>
      <w:r w:rsidRPr="00A52585">
        <w:rPr>
          <w:rFonts w:hint="cs"/>
          <w:szCs w:val="24"/>
          <w:rtl/>
        </w:rPr>
        <w:t>يقول الإمام تقي الدين السبكي في (السيف الصقيل)</w:t>
      </w:r>
      <w:r w:rsidR="0002035C" w:rsidRPr="00A52585">
        <w:rPr>
          <w:rFonts w:hint="cs"/>
          <w:szCs w:val="24"/>
          <w:rtl/>
        </w:rPr>
        <w:t xml:space="preserve">: </w:t>
      </w:r>
      <w:r w:rsidRPr="00A52585">
        <w:rPr>
          <w:rFonts w:hint="cs"/>
          <w:szCs w:val="24"/>
          <w:rtl/>
        </w:rPr>
        <w:t>"والمراد بالاستواء</w:t>
      </w:r>
      <w:r w:rsidR="0002035C" w:rsidRPr="00A52585">
        <w:rPr>
          <w:rFonts w:hint="cs"/>
          <w:szCs w:val="24"/>
          <w:rtl/>
        </w:rPr>
        <w:t>:</w:t>
      </w:r>
      <w:r w:rsidRPr="00A52585">
        <w:rPr>
          <w:rFonts w:hint="cs"/>
          <w:szCs w:val="24"/>
          <w:rtl/>
        </w:rPr>
        <w:t xml:space="preserve"> كمال الملك هو مراد القائلين بالاستيلاء، ولفظ الاستيلاء قاصر عن تأدية هذا المعنى فالاستواء في اللغة له معنيان، أحدهما</w:t>
      </w:r>
      <w:r w:rsidR="0002035C" w:rsidRPr="00A52585">
        <w:rPr>
          <w:rFonts w:hint="cs"/>
          <w:szCs w:val="24"/>
          <w:rtl/>
        </w:rPr>
        <w:t>:</w:t>
      </w:r>
      <w:r w:rsidRPr="00A52585">
        <w:rPr>
          <w:rFonts w:hint="cs"/>
          <w:szCs w:val="24"/>
          <w:rtl/>
        </w:rPr>
        <w:t xml:space="preserve"> استيلاء بحق وكمال، فيفيد ثلاثة معان، ولفظ الاستيلاء لا يفيد إلا معنى واحداً</w:t>
      </w:r>
      <w:r w:rsidR="00DB731D" w:rsidRPr="00A52585">
        <w:rPr>
          <w:rFonts w:hint="cs"/>
          <w:szCs w:val="24"/>
          <w:rtl/>
        </w:rPr>
        <w:t>،</w:t>
      </w:r>
      <w:r w:rsidRPr="00A52585">
        <w:rPr>
          <w:rFonts w:hint="cs"/>
          <w:szCs w:val="24"/>
          <w:rtl/>
        </w:rPr>
        <w:t xml:space="preserve"> فإذا قال المتكلم في تفسير الاستواء</w:t>
      </w:r>
      <w:r w:rsidR="0002035C" w:rsidRPr="00A52585">
        <w:rPr>
          <w:rFonts w:hint="cs"/>
          <w:szCs w:val="24"/>
          <w:rtl/>
        </w:rPr>
        <w:t>:</w:t>
      </w:r>
      <w:r w:rsidRPr="00A52585">
        <w:rPr>
          <w:rFonts w:hint="cs"/>
          <w:szCs w:val="24"/>
          <w:rtl/>
        </w:rPr>
        <w:t xml:space="preserve"> الاستيلاء، فمراده المعاني الثلاثة وهو أمر يمكن في حق الله سبحانه وتعالى فالمقدم على هذا التـأويل لم يرتكب محذوراً ولا وصف الله تعالى بما لا يجـــوز عليه، والمفوض المنزه لا يقدم على التفسير بذلك لاحتمال أن يكون المراد خلافه وقصور أفهامنا عن وصف الحق سبحانه وتعالى مع تنزيهه عن صفات الأجسام قطعاً أهـ ص 86-87</w:t>
      </w:r>
      <w:r w:rsidR="00DB731D" w:rsidRPr="00A52585">
        <w:rPr>
          <w:rFonts w:hint="cs"/>
          <w:szCs w:val="24"/>
          <w:rtl/>
        </w:rPr>
        <w:t>،</w:t>
      </w:r>
      <w:r w:rsidRPr="00A52585">
        <w:rPr>
          <w:rFonts w:hint="cs"/>
          <w:szCs w:val="24"/>
          <w:rtl/>
        </w:rPr>
        <w:t xml:space="preserve"> يقول العلامة الدكتور إبراهيم عبد الرحمن في (المحكم </w:t>
      </w:r>
      <w:proofErr w:type="spellStart"/>
      <w:r w:rsidRPr="00A52585">
        <w:rPr>
          <w:rFonts w:hint="cs"/>
          <w:szCs w:val="24"/>
          <w:rtl/>
        </w:rPr>
        <w:t>والمتشابة</w:t>
      </w:r>
      <w:proofErr w:type="spellEnd"/>
      <w:r w:rsidRPr="00A52585">
        <w:rPr>
          <w:rFonts w:hint="cs"/>
          <w:szCs w:val="24"/>
          <w:rtl/>
        </w:rPr>
        <w:t>) ص743 الاستيلاء على العرش كناية عن هيمنة الله على جميع ملكه بالكلية عرشاً وفرشا قال صاحب الكشاف رحمه الله (العرش سرير الملك والاستيلاء عليه كناية عن الملك لأنه من توابع الملك وروادفه، فإنه يقال</w:t>
      </w:r>
      <w:r w:rsidR="0002035C" w:rsidRPr="00A52585">
        <w:rPr>
          <w:rFonts w:hint="cs"/>
          <w:szCs w:val="24"/>
          <w:rtl/>
        </w:rPr>
        <w:t>:</w:t>
      </w:r>
      <w:r w:rsidRPr="00A52585">
        <w:rPr>
          <w:rFonts w:hint="cs"/>
          <w:szCs w:val="24"/>
          <w:rtl/>
        </w:rPr>
        <w:t xml:space="preserve"> استوى فلان على العرش قصداً للإخبار عنه بأنه ملك وإن لم يقعد على العرش ألبته والتعبير عن -الشيء بطريق الكناية أبلغ وأوقع من الإيضاح بذكره لأنك مع الكناية كمدعي الشيء بالبينة) أهـ</w:t>
      </w:r>
      <w:r w:rsidR="00DB731D" w:rsidRPr="00A52585">
        <w:rPr>
          <w:rFonts w:hint="cs"/>
          <w:szCs w:val="24"/>
          <w:rtl/>
        </w:rPr>
        <w:t>،</w:t>
      </w:r>
      <w:r w:rsidRPr="00A52585">
        <w:rPr>
          <w:rFonts w:hint="cs"/>
          <w:szCs w:val="24"/>
          <w:rtl/>
        </w:rPr>
        <w:t xml:space="preserve"> ويقول الفخر الرازي رحمه الله في (أساس التقديس) ص 154-155</w:t>
      </w:r>
      <w:r w:rsidR="0002035C" w:rsidRPr="00A52585">
        <w:rPr>
          <w:rFonts w:hint="cs"/>
          <w:szCs w:val="24"/>
          <w:rtl/>
        </w:rPr>
        <w:t>:</w:t>
      </w:r>
      <w:r w:rsidRPr="00A52585">
        <w:rPr>
          <w:rFonts w:hint="cs"/>
          <w:szCs w:val="24"/>
          <w:rtl/>
        </w:rPr>
        <w:t xml:space="preserve"> "</w:t>
      </w:r>
      <w:r w:rsidR="0002035C" w:rsidRPr="00A52585">
        <w:rPr>
          <w:rFonts w:hint="cs"/>
          <w:szCs w:val="24"/>
          <w:rtl/>
        </w:rPr>
        <w:t xml:space="preserve"> </w:t>
      </w:r>
      <w:r w:rsidRPr="00A52585">
        <w:rPr>
          <w:rFonts w:hint="cs"/>
          <w:szCs w:val="24"/>
          <w:rtl/>
        </w:rPr>
        <w:t>ما قبل آية (طه) وما بعدها مذكور لبيان كمال قدرة الله تعالى وغاية عظمته في الإلهية وكمال التصرف، لأن قوله {تنزيلا ممن خلق الأرض والسماوات العلى} لاشك أن المفهوم منه بيان كمال قدرة الله تعالى وكمال إلهيته، وقوله {له ما في السماوات وما في الأرض وما بينهما وما تحت الثرى} بيان أيضاً لكمال ملكه وإلهيته وإذا كان الأمر كذلك وجب أن يكون قوله {الرحمن على العرش استوى</w:t>
      </w:r>
      <w:r w:rsidR="0002035C" w:rsidRPr="00A52585">
        <w:rPr>
          <w:rFonts w:hint="cs"/>
          <w:szCs w:val="24"/>
          <w:rtl/>
        </w:rPr>
        <w:t>}</w:t>
      </w:r>
      <w:r w:rsidRPr="00A52585">
        <w:rPr>
          <w:rFonts w:hint="cs"/>
          <w:szCs w:val="24"/>
          <w:rtl/>
        </w:rPr>
        <w:t xml:space="preserve"> كذلك، وإلا لزم أن يكون ذلك كلاما أجنبيا عما قبله وعما بعده وذلك غير جائز فأما إذا حملناه على كمال استيلائه </w:t>
      </w:r>
      <w:r w:rsidRPr="00A52585">
        <w:rPr>
          <w:rFonts w:hint="cs"/>
          <w:szCs w:val="24"/>
          <w:rtl/>
        </w:rPr>
        <w:lastRenderedPageBreak/>
        <w:t>على العرش الذي هو أعظم المخلوقات والموجودات المحدثة كان ذلك موافقاً لما قبل هذه الآية ولما بعدها فكان هذا الوجه أولى</w:t>
      </w:r>
      <w:r w:rsidR="0002035C" w:rsidRPr="00A52585">
        <w:rPr>
          <w:rFonts w:hint="cs"/>
          <w:szCs w:val="24"/>
          <w:rtl/>
        </w:rPr>
        <w:t xml:space="preserve"> </w:t>
      </w:r>
      <w:r w:rsidRPr="00A52585">
        <w:rPr>
          <w:rFonts w:hint="cs"/>
          <w:szCs w:val="24"/>
          <w:rtl/>
        </w:rPr>
        <w:t>" أهـ</w:t>
      </w:r>
      <w:r w:rsidR="0002035C" w:rsidRPr="00A52585">
        <w:rPr>
          <w:rFonts w:hint="cs"/>
          <w:szCs w:val="24"/>
          <w:rtl/>
        </w:rPr>
        <w:t>]</w:t>
      </w:r>
      <w:r w:rsidR="00DB731D" w:rsidRPr="00A52585">
        <w:rPr>
          <w:rFonts w:hint="cs"/>
          <w:szCs w:val="24"/>
          <w:rtl/>
        </w:rPr>
        <w:t>،</w:t>
      </w:r>
      <w:r w:rsidRPr="00A52585">
        <w:rPr>
          <w:rFonts w:hint="cs"/>
          <w:szCs w:val="24"/>
          <w:rtl/>
        </w:rPr>
        <w:t xml:space="preserve"> </w:t>
      </w:r>
    </w:p>
    <w:p w14:paraId="72CF8E05" w14:textId="45FE9F85" w:rsidR="00777DCB" w:rsidRPr="00A52585" w:rsidRDefault="00777DCB" w:rsidP="0002035C">
      <w:pPr>
        <w:spacing w:after="240"/>
        <w:rPr>
          <w:b/>
          <w:bCs/>
          <w:rtl/>
        </w:rPr>
      </w:pPr>
      <w:r w:rsidRPr="00A52585">
        <w:rPr>
          <w:rFonts w:hint="cs"/>
          <w:rtl/>
        </w:rPr>
        <w:t xml:space="preserve">[5-] ومنها </w:t>
      </w:r>
      <w:r w:rsidRPr="00A52585">
        <w:rPr>
          <w:rFonts w:hint="cs"/>
          <w:u w:val="single"/>
          <w:rtl/>
        </w:rPr>
        <w:t>بمعنى استقـر</w:t>
      </w:r>
      <w:r w:rsidR="0002035C" w:rsidRPr="00A52585">
        <w:rPr>
          <w:rFonts w:hint="cs"/>
          <w:rtl/>
        </w:rPr>
        <w:t>:</w:t>
      </w:r>
      <w:r w:rsidRPr="00A52585">
        <w:rPr>
          <w:rFonts w:hint="cs"/>
          <w:rtl/>
        </w:rPr>
        <w:t xml:space="preserve"> </w:t>
      </w:r>
      <w:r w:rsidRPr="00A52585">
        <w:rPr>
          <w:rFonts w:hint="cs"/>
          <w:spacing w:val="-6"/>
          <w:rtl/>
        </w:rPr>
        <w:t>ومنـــه قولــــه تعالى</w:t>
      </w:r>
      <w:r w:rsidR="0002035C" w:rsidRPr="00A52585">
        <w:rPr>
          <w:rFonts w:hint="cs"/>
          <w:rtl/>
        </w:rPr>
        <w:t>:</w:t>
      </w:r>
      <w:r w:rsidRPr="00A52585">
        <w:rPr>
          <w:rFonts w:hint="cs"/>
          <w:rtl/>
        </w:rPr>
        <w:t xml:space="preserve"> {واستــوت علـــــى الجودي} </w:t>
      </w:r>
      <w:r w:rsidR="0002035C" w:rsidRPr="00A52585">
        <w:rPr>
          <w:rFonts w:hint="cs"/>
          <w:rtl/>
        </w:rPr>
        <w:t>[</w:t>
      </w:r>
      <w:r w:rsidRPr="00A52585">
        <w:rPr>
          <w:rFonts w:hint="cs"/>
          <w:rtl/>
        </w:rPr>
        <w:t>الآية رقم 44 من سورة</w:t>
      </w:r>
      <w:r w:rsidR="0002035C" w:rsidRPr="00A52585">
        <w:rPr>
          <w:rFonts w:hint="cs"/>
          <w:rtl/>
        </w:rPr>
        <w:t xml:space="preserve"> </w:t>
      </w:r>
      <w:r w:rsidRPr="00A52585">
        <w:rPr>
          <w:rFonts w:hint="cs"/>
          <w:rtl/>
        </w:rPr>
        <w:t>هود</w:t>
      </w:r>
      <w:r w:rsidR="0002035C" w:rsidRPr="00A52585">
        <w:rPr>
          <w:rFonts w:hint="cs"/>
          <w:rtl/>
        </w:rPr>
        <w:t>]</w:t>
      </w:r>
      <w:r w:rsidR="00DB731D" w:rsidRPr="00A52585">
        <w:rPr>
          <w:rFonts w:hint="cs"/>
          <w:rtl/>
        </w:rPr>
        <w:t>،</w:t>
      </w:r>
      <w:r w:rsidRPr="00A52585">
        <w:rPr>
          <w:rFonts w:hint="cs"/>
          <w:rtl/>
        </w:rPr>
        <w:t xml:space="preserve"> وهذه صفة المخلوق الحادث</w:t>
      </w:r>
      <w:r w:rsidR="00DB731D" w:rsidRPr="00A52585">
        <w:rPr>
          <w:rFonts w:hint="cs"/>
          <w:rtl/>
        </w:rPr>
        <w:t>،</w:t>
      </w:r>
      <w:r w:rsidRPr="00A52585">
        <w:rPr>
          <w:rFonts w:hint="cs"/>
          <w:rtl/>
        </w:rPr>
        <w:t xml:space="preserve"> كقوله تعالى</w:t>
      </w:r>
      <w:r w:rsidR="0002035C" w:rsidRPr="00A52585">
        <w:rPr>
          <w:rFonts w:hint="cs"/>
          <w:rtl/>
        </w:rPr>
        <w:t>:</w:t>
      </w:r>
      <w:r w:rsidRPr="00A52585">
        <w:rPr>
          <w:rFonts w:hint="cs"/>
          <w:rtl/>
        </w:rPr>
        <w:t xml:space="preserve"> {وجعل لكم من الفلك والأنعام ما تركبون لتستووا على ظهوره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الآية رقم 13 من سورة الزخرف</w:t>
      </w:r>
      <w:r w:rsidR="0002035C" w:rsidRPr="00A52585">
        <w:rPr>
          <w:rFonts w:hint="cs"/>
          <w:rtl/>
        </w:rPr>
        <w:t>]</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وهو المعنى الحقيقي المتبادر من لفظ (الاستواء) في اللغة وبقية المعاني </w:t>
      </w:r>
      <w:proofErr w:type="spellStart"/>
      <w:r w:rsidRPr="00A52585">
        <w:rPr>
          <w:rFonts w:hint="cs"/>
          <w:sz w:val="24"/>
          <w:szCs w:val="24"/>
          <w:rtl/>
        </w:rPr>
        <w:t>المذكوة</w:t>
      </w:r>
      <w:proofErr w:type="spellEnd"/>
      <w:r w:rsidRPr="00A52585">
        <w:rPr>
          <w:rFonts w:hint="cs"/>
          <w:sz w:val="24"/>
          <w:szCs w:val="24"/>
          <w:rtl/>
        </w:rPr>
        <w:t xml:space="preserve"> لهذا اللفظ </w:t>
      </w:r>
      <w:r w:rsidRPr="00A52585">
        <w:rPr>
          <w:rFonts w:hint="cs"/>
          <w:spacing w:val="-6"/>
          <w:sz w:val="24"/>
          <w:szCs w:val="24"/>
          <w:rtl/>
        </w:rPr>
        <w:t>هي صور بلاغية مقتبسة من هذا المعنى الحقيقي يقول الإمام تقي الدين السبكي في السيف</w:t>
      </w:r>
      <w:r w:rsidRPr="00A52585">
        <w:rPr>
          <w:rFonts w:hint="cs"/>
          <w:sz w:val="24"/>
          <w:szCs w:val="24"/>
          <w:rtl/>
        </w:rPr>
        <w:t xml:space="preserve"> الصقيل</w:t>
      </w:r>
      <w:r w:rsidR="0002035C" w:rsidRPr="00A52585">
        <w:rPr>
          <w:rFonts w:hint="cs"/>
          <w:sz w:val="24"/>
          <w:szCs w:val="24"/>
          <w:rtl/>
        </w:rPr>
        <w:t>:</w:t>
      </w:r>
      <w:r w:rsidRPr="00A52585">
        <w:rPr>
          <w:rFonts w:hint="cs"/>
          <w:sz w:val="24"/>
          <w:szCs w:val="24"/>
          <w:rtl/>
        </w:rPr>
        <w:t xml:space="preserve"> " والمعنى الثاني للاستواء في اللغة (الجلوس والقعود) ومعناه مفهوم من صفات الأجسام لا يعقل منه في اللغة غير ذلك والله منزه عنها، ومن أطلق القعود وقال إنه لم يرد صفات الأجسام قال شيئاً لم تشهد به اللغة فيكون باطلا، وهو كالمقر بالتجسيم المنكر له فيؤاخذ بإقراره ولا يفيد إنكاره</w:t>
      </w:r>
      <w:r w:rsidR="00DB731D" w:rsidRPr="00A52585">
        <w:rPr>
          <w:rFonts w:hint="cs"/>
          <w:sz w:val="24"/>
          <w:szCs w:val="24"/>
          <w:rtl/>
        </w:rPr>
        <w:t>،</w:t>
      </w:r>
      <w:r w:rsidRPr="00A52585">
        <w:rPr>
          <w:rFonts w:hint="cs"/>
          <w:sz w:val="24"/>
          <w:szCs w:val="24"/>
          <w:rtl/>
        </w:rPr>
        <w:t xml:space="preserve"> واعلم أن الله تعالى كامل الملك أزلا وأبداً ولكن العرش وما تحته حادث فان، وقوله {ثم استوى عل العرش} لحدوث العرش لا لحدوث الاستواء"</w:t>
      </w:r>
      <w:r w:rsidR="0002035C" w:rsidRPr="00A52585">
        <w:rPr>
          <w:rFonts w:hint="cs"/>
          <w:sz w:val="24"/>
          <w:szCs w:val="24"/>
          <w:rtl/>
        </w:rPr>
        <w:t xml:space="preserve"> </w:t>
      </w:r>
      <w:r w:rsidRPr="00A52585">
        <w:rPr>
          <w:rFonts w:hint="cs"/>
          <w:sz w:val="24"/>
          <w:szCs w:val="24"/>
          <w:rtl/>
        </w:rPr>
        <w:t>أهـ ص 87</w:t>
      </w:r>
      <w:r w:rsidR="00DB731D" w:rsidRPr="00A52585">
        <w:rPr>
          <w:rFonts w:hint="cs"/>
          <w:sz w:val="24"/>
          <w:szCs w:val="24"/>
          <w:rtl/>
        </w:rPr>
        <w:t>،</w:t>
      </w:r>
      <w:r w:rsidRPr="00A52585">
        <w:rPr>
          <w:rFonts w:hint="cs"/>
          <w:sz w:val="24"/>
          <w:szCs w:val="24"/>
          <w:rtl/>
        </w:rPr>
        <w:t xml:space="preserve"> وقد ورد تفسير (الاستواء) بـ (الاستقرار والجلوس) في خبر موضوع على ابن عباس رواه الإمام البيهقي في (الأسماء والصفات) عن محمد بن مروان عن الكلبي عن أبي صالح- وهذه سلسلة الكذب- عن ابن عباس رضي الله عنهما</w:t>
      </w:r>
      <w:r w:rsidR="0002035C" w:rsidRPr="00A52585">
        <w:rPr>
          <w:rFonts w:hint="cs"/>
          <w:sz w:val="24"/>
          <w:szCs w:val="24"/>
          <w:rtl/>
        </w:rPr>
        <w:t xml:space="preserve">: </w:t>
      </w:r>
      <w:r w:rsidRPr="00A52585">
        <w:rPr>
          <w:rFonts w:hint="cs"/>
          <w:sz w:val="24"/>
          <w:szCs w:val="24"/>
          <w:rtl/>
        </w:rPr>
        <w:t>"ثم استوى على العرش"</w:t>
      </w:r>
      <w:r w:rsidR="0002035C" w:rsidRPr="00A52585">
        <w:rPr>
          <w:rFonts w:hint="cs"/>
          <w:sz w:val="24"/>
          <w:szCs w:val="24"/>
          <w:rtl/>
        </w:rPr>
        <w:t xml:space="preserve"> </w:t>
      </w:r>
      <w:r w:rsidRPr="00A52585">
        <w:rPr>
          <w:rFonts w:hint="cs"/>
          <w:sz w:val="24"/>
          <w:szCs w:val="24"/>
          <w:rtl/>
        </w:rPr>
        <w:t>يقول</w:t>
      </w:r>
      <w:r w:rsidR="0002035C" w:rsidRPr="00A52585">
        <w:rPr>
          <w:rFonts w:hint="cs"/>
          <w:sz w:val="24"/>
          <w:szCs w:val="24"/>
          <w:rtl/>
        </w:rPr>
        <w:t>:</w:t>
      </w:r>
      <w:r w:rsidRPr="00A52585">
        <w:rPr>
          <w:rFonts w:hint="cs"/>
          <w:sz w:val="24"/>
          <w:szCs w:val="24"/>
          <w:rtl/>
        </w:rPr>
        <w:t xml:space="preserve"> (استقر على العرش) ويقال (امتلأ به) ويقال (قائم على العرش) وهو السرير)"</w:t>
      </w:r>
      <w:r w:rsidR="0002035C" w:rsidRPr="00A52585">
        <w:rPr>
          <w:rFonts w:hint="cs"/>
          <w:sz w:val="24"/>
          <w:szCs w:val="24"/>
          <w:rtl/>
        </w:rPr>
        <w:t xml:space="preserve"> </w:t>
      </w:r>
      <w:r w:rsidRPr="00A52585">
        <w:rPr>
          <w:rFonts w:hint="cs"/>
          <w:sz w:val="24"/>
          <w:szCs w:val="24"/>
          <w:rtl/>
        </w:rPr>
        <w:t>أهـ ثم بيَّن الإمام البيهقي بطلان هذا الخبر يقول المفسر النيسابوري رحمه الله في تفسير الآية [54] من سورة الأعراف إن قوله تعالى</w:t>
      </w:r>
      <w:r w:rsidR="0002035C" w:rsidRPr="00A52585">
        <w:rPr>
          <w:rFonts w:hint="cs"/>
          <w:sz w:val="24"/>
          <w:szCs w:val="24"/>
          <w:rtl/>
        </w:rPr>
        <w:t xml:space="preserve">: </w:t>
      </w:r>
      <w:r w:rsidRPr="00A52585">
        <w:rPr>
          <w:rFonts w:hint="cs"/>
          <w:sz w:val="24"/>
          <w:szCs w:val="24"/>
          <w:rtl/>
        </w:rPr>
        <w:t>"إن ربكم الله الذي خلق السماوات والأرض"</w:t>
      </w:r>
      <w:r w:rsidR="0002035C" w:rsidRPr="00A52585">
        <w:rPr>
          <w:rFonts w:hint="cs"/>
          <w:sz w:val="24"/>
          <w:szCs w:val="24"/>
          <w:rtl/>
        </w:rPr>
        <w:t xml:space="preserve"> </w:t>
      </w:r>
      <w:r w:rsidRPr="00A52585">
        <w:rPr>
          <w:rFonts w:hint="cs"/>
          <w:sz w:val="24"/>
          <w:szCs w:val="24"/>
          <w:rtl/>
        </w:rPr>
        <w:t xml:space="preserve">تدل على قدرته وحكمته، وكذا قوله تعالى {يغشي الليل والنهار} الآية فلو كان المراد من (الاستواء) هو (الاستقرار) كان أجنبيا عما قبله وعما بعده لأنه ليس من صفات المدح، إذ لو استقر عليه بق وبعوض صدق عليه أنه استقر على العرش فإذن المراد بالاستواء كمال قدرته في تدبير الملك والملكوت حتى تصير هذه الكلمة مناسبة لما قبلها ولما بعدها أهـ من تفسيره (8/107) والغريب أن هذا المعنى الباطل-الاستقرار </w:t>
      </w:r>
      <w:r w:rsidRPr="00A52585">
        <w:rPr>
          <w:rFonts w:hint="cs"/>
          <w:spacing w:val="-8"/>
          <w:sz w:val="24"/>
          <w:szCs w:val="24"/>
          <w:rtl/>
        </w:rPr>
        <w:t>والجلوس- الذي لا يليق بعظمة الذات الإلهية هو المعنى الوحيد الذي ارتضاه ابن تيمية ورفض جميع</w:t>
      </w:r>
      <w:r w:rsidRPr="00A52585">
        <w:rPr>
          <w:rFonts w:hint="cs"/>
          <w:sz w:val="24"/>
          <w:szCs w:val="24"/>
          <w:rtl/>
        </w:rPr>
        <w:t xml:space="preserve"> المعاني الأخرى التي لا تتعارض مع التنزيه مختلقا ذرائع أوهى من خيوط العنكبوت فلا حول ولا قوة إلا بالله العلي العظيم انظر كلامه في (تفسير سورة الإخلاص) ص230-235ط السلفية بالهند</w:t>
      </w:r>
      <w:r w:rsidR="0002035C" w:rsidRPr="00A52585">
        <w:rPr>
          <w:rFonts w:hint="cs"/>
          <w:sz w:val="24"/>
          <w:szCs w:val="24"/>
          <w:rtl/>
        </w:rPr>
        <w:t>]</w:t>
      </w:r>
      <w:r w:rsidR="00DB731D" w:rsidRPr="00A52585">
        <w:rPr>
          <w:rFonts w:hint="cs"/>
          <w:sz w:val="24"/>
          <w:szCs w:val="24"/>
          <w:rtl/>
        </w:rPr>
        <w:t>،</w:t>
      </w:r>
      <w:r w:rsidR="0002035C" w:rsidRPr="00A52585">
        <w:rPr>
          <w:rFonts w:hint="cs"/>
          <w:rtl/>
        </w:rPr>
        <w:t xml:space="preserve"> </w:t>
      </w:r>
      <w:r w:rsidRPr="00A52585">
        <w:rPr>
          <w:rFonts w:hint="cs"/>
          <w:rtl/>
        </w:rPr>
        <w:t>وهو نَزَّه نفسه تعالى عن ذلك في كتابه العزيز في غير ما موضع وقطع المادة في ذلك أن المسألة علمية</w:t>
      </w:r>
      <w:r w:rsidR="00DB731D" w:rsidRPr="00A52585">
        <w:rPr>
          <w:rFonts w:hint="cs"/>
          <w:rtl/>
        </w:rPr>
        <w:t>،</w:t>
      </w:r>
      <w:r w:rsidRPr="00A52585">
        <w:rPr>
          <w:rFonts w:hint="cs"/>
          <w:rtl/>
        </w:rPr>
        <w:t xml:space="preserve"> وكفى الله المؤمنين القتال والجدال </w:t>
      </w:r>
      <w:r w:rsidR="0002035C" w:rsidRPr="00A52585">
        <w:rPr>
          <w:rFonts w:hint="cs"/>
          <w:rtl/>
        </w:rPr>
        <w:t>[</w:t>
      </w:r>
      <w:r w:rsidRPr="00A52585">
        <w:rPr>
          <w:rFonts w:hint="cs"/>
          <w:szCs w:val="24"/>
          <w:rtl/>
        </w:rPr>
        <w:t>قال المحقق</w:t>
      </w:r>
      <w:r w:rsidR="0002035C" w:rsidRPr="00A52585">
        <w:rPr>
          <w:rFonts w:hint="cs"/>
          <w:szCs w:val="24"/>
          <w:rtl/>
        </w:rPr>
        <w:t>:</w:t>
      </w:r>
      <w:r w:rsidRPr="00A52585">
        <w:rPr>
          <w:rFonts w:hint="cs"/>
          <w:szCs w:val="24"/>
          <w:rtl/>
        </w:rPr>
        <w:t xml:space="preserve"> </w:t>
      </w:r>
      <w:r w:rsidRPr="00A52585">
        <w:rPr>
          <w:rFonts w:hint="cs"/>
          <w:bCs/>
          <w:szCs w:val="24"/>
          <w:rtl/>
        </w:rPr>
        <w:t>ويبقى هناك العديد من التأويلات القوية للاستواء</w:t>
      </w:r>
      <w:r w:rsidRPr="00A52585">
        <w:rPr>
          <w:rFonts w:hint="cs"/>
          <w:szCs w:val="24"/>
          <w:rtl/>
        </w:rPr>
        <w:t xml:space="preserve"> على العرش الموافقة للتنزيه ولتعظيم الله </w:t>
      </w:r>
      <w:r w:rsidRPr="00A52585">
        <w:rPr>
          <w:rFonts w:hint="cs"/>
          <w:spacing w:val="-4"/>
          <w:szCs w:val="24"/>
          <w:rtl/>
        </w:rPr>
        <w:t>سبحانه والمطابقة في نفس الوقت لسياق الآيات الوارد فيها الاستواء ولقواعد اللغة نختار منها أربعة</w:t>
      </w:r>
      <w:r w:rsidR="0002035C" w:rsidRPr="00A52585">
        <w:rPr>
          <w:rFonts w:hint="cs"/>
          <w:spacing w:val="-4"/>
          <w:szCs w:val="24"/>
          <w:rtl/>
        </w:rPr>
        <w:t>:</w:t>
      </w:r>
      <w:r w:rsidRPr="00A52585">
        <w:rPr>
          <w:rFonts w:hint="cs"/>
          <w:szCs w:val="24"/>
          <w:rtl/>
        </w:rPr>
        <w:t xml:space="preserve"> </w:t>
      </w:r>
      <w:r w:rsidR="0002035C" w:rsidRPr="00A52585">
        <w:rPr>
          <w:rFonts w:hint="cs"/>
          <w:szCs w:val="24"/>
          <w:rtl/>
        </w:rPr>
        <w:t>[</w:t>
      </w:r>
      <w:r w:rsidRPr="00A52585">
        <w:rPr>
          <w:rFonts w:hint="cs"/>
          <w:bCs/>
          <w:szCs w:val="24"/>
          <w:rtl/>
        </w:rPr>
        <w:t>التأويل الأول</w:t>
      </w:r>
      <w:r w:rsidR="0002035C" w:rsidRPr="00A52585">
        <w:rPr>
          <w:rFonts w:hint="cs"/>
          <w:bCs/>
          <w:szCs w:val="24"/>
          <w:rtl/>
        </w:rPr>
        <w:t>]:</w:t>
      </w:r>
      <w:r w:rsidRPr="00A52585">
        <w:rPr>
          <w:rFonts w:hint="cs"/>
          <w:bCs/>
          <w:szCs w:val="24"/>
          <w:rtl/>
        </w:rPr>
        <w:t xml:space="preserve"> </w:t>
      </w:r>
      <w:r w:rsidRPr="00A52585">
        <w:rPr>
          <w:rFonts w:hint="cs"/>
          <w:szCs w:val="24"/>
          <w:rtl/>
        </w:rPr>
        <w:t>يقول د إبراهيم عبد الرحمن</w:t>
      </w:r>
      <w:r w:rsidR="0002035C" w:rsidRPr="00A52585">
        <w:rPr>
          <w:rFonts w:hint="cs"/>
          <w:szCs w:val="24"/>
          <w:rtl/>
        </w:rPr>
        <w:t xml:space="preserve">: </w:t>
      </w:r>
      <w:r w:rsidRPr="00A52585">
        <w:rPr>
          <w:rFonts w:hint="cs"/>
          <w:szCs w:val="24"/>
          <w:rtl/>
        </w:rPr>
        <w:t>"يحمل كل تركيب أضيفت فيه هذه المادة إليه تعالى – يقصد الإضافة المعنوية- على الاستعارة التمثيلية، بأن يشبه شأنه تعالى في تدبيره لأمر ملكه ونفاذ سلطانه على كافة خلقه بحال الملك العظيم المستوى على عرش مملكته النافذ السلطان على من فيها، ولله المثل الأعلى وهو العزيز الحكيم"</w:t>
      </w:r>
      <w:r w:rsidR="0002035C" w:rsidRPr="00A52585">
        <w:rPr>
          <w:rFonts w:hint="cs"/>
          <w:szCs w:val="24"/>
          <w:rtl/>
        </w:rPr>
        <w:t xml:space="preserve"> </w:t>
      </w:r>
      <w:r w:rsidRPr="00A52585">
        <w:rPr>
          <w:rFonts w:hint="cs"/>
          <w:szCs w:val="24"/>
          <w:rtl/>
        </w:rPr>
        <w:t>أهـ</w:t>
      </w:r>
      <w:r w:rsidR="00DB731D" w:rsidRPr="00A52585">
        <w:rPr>
          <w:rFonts w:hint="cs"/>
          <w:szCs w:val="24"/>
          <w:rtl/>
        </w:rPr>
        <w:t>،</w:t>
      </w:r>
      <w:r w:rsidRPr="00A52585">
        <w:rPr>
          <w:rFonts w:hint="cs"/>
          <w:szCs w:val="24"/>
          <w:rtl/>
        </w:rPr>
        <w:t xml:space="preserve"> وهذا هو أقوى التأويلات كما ذكر فضيلته وكذلك العلامة الشيخ زاهد الكوثري في تعليقه على كتابي (الأسماء والصفات) ص 225، و(الاختلاف في اللفظ) ص41 </w:t>
      </w:r>
      <w:r w:rsidRPr="00A52585">
        <w:rPr>
          <w:rFonts w:hint="cs"/>
          <w:szCs w:val="24"/>
          <w:rtl/>
        </w:rPr>
        <w:lastRenderedPageBreak/>
        <w:t xml:space="preserve">وكذلك الإمام (سلامة </w:t>
      </w:r>
      <w:proofErr w:type="spellStart"/>
      <w:r w:rsidRPr="00A52585">
        <w:rPr>
          <w:rFonts w:hint="cs"/>
          <w:szCs w:val="24"/>
          <w:rtl/>
        </w:rPr>
        <w:t>العزامي</w:t>
      </w:r>
      <w:proofErr w:type="spellEnd"/>
      <w:r w:rsidRPr="00A52585">
        <w:rPr>
          <w:rFonts w:hint="cs"/>
          <w:szCs w:val="24"/>
          <w:rtl/>
        </w:rPr>
        <w:t>) في (البراهين الساطعة) ص 249</w:t>
      </w:r>
      <w:r w:rsidR="0002035C" w:rsidRPr="00A52585">
        <w:rPr>
          <w:rFonts w:hint="cs"/>
          <w:szCs w:val="24"/>
          <w:rtl/>
        </w:rPr>
        <w:t>:</w:t>
      </w:r>
      <w:r w:rsidRPr="00A52585">
        <w:rPr>
          <w:rFonts w:hint="cs"/>
          <w:szCs w:val="24"/>
          <w:rtl/>
        </w:rPr>
        <w:t>255</w:t>
      </w:r>
      <w:r w:rsidR="00DB731D" w:rsidRPr="00A52585">
        <w:rPr>
          <w:rFonts w:hint="cs"/>
          <w:szCs w:val="24"/>
          <w:rtl/>
        </w:rPr>
        <w:t>،</w:t>
      </w:r>
      <w:r w:rsidRPr="00A52585">
        <w:rPr>
          <w:rFonts w:hint="cs"/>
          <w:szCs w:val="24"/>
          <w:rtl/>
        </w:rPr>
        <w:t xml:space="preserve"> والاستعارة التمثيلية – كما يقول علماء البيان-</w:t>
      </w:r>
      <w:r w:rsidR="0002035C" w:rsidRPr="00A52585">
        <w:rPr>
          <w:rFonts w:hint="cs"/>
          <w:szCs w:val="24"/>
          <w:rtl/>
        </w:rPr>
        <w:t xml:space="preserve"> </w:t>
      </w:r>
      <w:r w:rsidRPr="00A52585">
        <w:rPr>
          <w:rFonts w:hint="cs"/>
          <w:szCs w:val="24"/>
          <w:rtl/>
        </w:rPr>
        <w:t>"تركيب استعمل في غير ما وضع له لعلاقة المشابهة مع قرينة مانعة من إرادة معناه الأصلي"</w:t>
      </w:r>
      <w:r w:rsidR="0002035C" w:rsidRPr="00A52585">
        <w:rPr>
          <w:rFonts w:hint="cs"/>
          <w:szCs w:val="24"/>
          <w:rtl/>
        </w:rPr>
        <w:t xml:space="preserve"> </w:t>
      </w:r>
      <w:r w:rsidRPr="00A52585">
        <w:rPr>
          <w:rFonts w:hint="cs"/>
          <w:szCs w:val="24"/>
          <w:rtl/>
        </w:rPr>
        <w:t>وهل هناك قرينة أقوى من تنزيه الله سبحانه عن الجسمية ولوازمها</w:t>
      </w:r>
      <w:r w:rsidR="00F95886" w:rsidRPr="00A52585">
        <w:rPr>
          <w:rFonts w:hint="cs"/>
          <w:szCs w:val="24"/>
          <w:rtl/>
        </w:rPr>
        <w:t>؟</w:t>
      </w:r>
      <w:r w:rsidRPr="00A52585">
        <w:rPr>
          <w:rFonts w:hint="cs"/>
          <w:szCs w:val="24"/>
          <w:rtl/>
        </w:rPr>
        <w:t xml:space="preserve"> ومن أمثله الاستعارة التمثيلية ما يقال لمن يأتي بالقول الفصل</w:t>
      </w:r>
      <w:r w:rsidR="0002035C" w:rsidRPr="00A52585">
        <w:rPr>
          <w:rFonts w:hint="cs"/>
          <w:szCs w:val="24"/>
          <w:rtl/>
        </w:rPr>
        <w:t>:</w:t>
      </w:r>
      <w:r w:rsidRPr="00A52585">
        <w:rPr>
          <w:rFonts w:hint="cs"/>
          <w:szCs w:val="24"/>
          <w:rtl/>
        </w:rPr>
        <w:t xml:space="preserve"> (قطعت جهيزة قول كل خطيب) من غير أن يكون هناك جهيزة ولا خطيب وإنما هو تشبيه حال بحال، أو كقول أحدهم لمن رآه يعزم على الأمر مرة ويعدل من عزمه أخرى (مالي أراك تقدم رجْلا وتؤخر أخرى</w:t>
      </w:r>
      <w:r w:rsidR="00F95886" w:rsidRPr="00A52585">
        <w:rPr>
          <w:rFonts w:hint="cs"/>
          <w:szCs w:val="24"/>
          <w:rtl/>
        </w:rPr>
        <w:t>؟</w:t>
      </w:r>
      <w:r w:rsidRPr="00A52585">
        <w:rPr>
          <w:rFonts w:hint="cs"/>
          <w:szCs w:val="24"/>
          <w:rtl/>
        </w:rPr>
        <w:t xml:space="preserve">) ولا رِجْل هناك ولا تقديم لها ولا تأخير وإنما هو معنى الإقدام والإحجام أورده في هذه الصورة الحسية يقول الإمام سلامة </w:t>
      </w:r>
      <w:proofErr w:type="spellStart"/>
      <w:r w:rsidRPr="00A52585">
        <w:rPr>
          <w:rFonts w:hint="cs"/>
          <w:szCs w:val="24"/>
          <w:rtl/>
        </w:rPr>
        <w:t>العزامي</w:t>
      </w:r>
      <w:proofErr w:type="spellEnd"/>
      <w:r w:rsidR="0002035C" w:rsidRPr="00A52585">
        <w:rPr>
          <w:rFonts w:hint="cs"/>
          <w:szCs w:val="24"/>
          <w:rtl/>
        </w:rPr>
        <w:t xml:space="preserve">: </w:t>
      </w:r>
      <w:r w:rsidRPr="00A52585">
        <w:rPr>
          <w:rFonts w:hint="cs"/>
          <w:szCs w:val="24"/>
          <w:rtl/>
        </w:rPr>
        <w:t>"وكان مما سبق قبل نزول القرآن أن من روادف الملك الجلوس على السرير والاستواء على عرش المملكة ثم شاع التجوز بهذا التركيب عن تولى المملكة والقيام بالتصرف فيها حتى صار يقال</w:t>
      </w:r>
      <w:r w:rsidR="0002035C" w:rsidRPr="00A52585">
        <w:rPr>
          <w:rFonts w:hint="cs"/>
          <w:szCs w:val="24"/>
          <w:rtl/>
        </w:rPr>
        <w:t>:</w:t>
      </w:r>
      <w:r w:rsidRPr="00A52585">
        <w:rPr>
          <w:rFonts w:hint="cs"/>
          <w:szCs w:val="24"/>
          <w:rtl/>
        </w:rPr>
        <w:t xml:space="preserve"> استوى على عرش المملكة الفلانية، إذا تولى ملكها ويقال</w:t>
      </w:r>
      <w:r w:rsidR="0002035C" w:rsidRPr="00A52585">
        <w:rPr>
          <w:rFonts w:hint="cs"/>
          <w:szCs w:val="24"/>
          <w:rtl/>
        </w:rPr>
        <w:t>:</w:t>
      </w:r>
      <w:r w:rsidRPr="00A52585">
        <w:rPr>
          <w:rFonts w:hint="cs"/>
          <w:szCs w:val="24"/>
          <w:rtl/>
        </w:rPr>
        <w:t xml:space="preserve"> ثل عرشه، إذا زال عنــه الملك</w:t>
      </w:r>
      <w:r w:rsidR="0002035C" w:rsidRPr="00A52585">
        <w:rPr>
          <w:rFonts w:hint="cs"/>
          <w:szCs w:val="24"/>
          <w:rtl/>
        </w:rPr>
        <w:t xml:space="preserve"> </w:t>
      </w:r>
      <w:r w:rsidRPr="00A52585">
        <w:rPr>
          <w:rFonts w:hint="cs"/>
          <w:szCs w:val="24"/>
          <w:rtl/>
        </w:rPr>
        <w:t>وكثر ذلك حتى أصبح لا يكاد يلتفت الذهــن إلى المعنـى الأصلي الأولى المنقول منه، فإذا سمع العربي</w:t>
      </w:r>
      <w:r w:rsidR="0002035C" w:rsidRPr="00A52585">
        <w:rPr>
          <w:rFonts w:hint="cs"/>
          <w:szCs w:val="24"/>
          <w:rtl/>
        </w:rPr>
        <w:t>:</w:t>
      </w:r>
      <w:r w:rsidRPr="00A52585">
        <w:rPr>
          <w:rFonts w:hint="cs"/>
          <w:szCs w:val="24"/>
          <w:rtl/>
        </w:rPr>
        <w:t xml:space="preserve"> (استوى فلان على عرش العراق أو على عرش مصر) لم يخطر بباله قعود على عرش ولا جلوس على سرير بل يسبق فهمه إلى المعنى المراد بهذا التركيب… إلى أن قال</w:t>
      </w:r>
      <w:r w:rsidR="0002035C" w:rsidRPr="00A52585">
        <w:rPr>
          <w:rFonts w:hint="cs"/>
          <w:szCs w:val="24"/>
          <w:rtl/>
        </w:rPr>
        <w:t xml:space="preserve">: </w:t>
      </w:r>
      <w:r w:rsidRPr="00A52585">
        <w:rPr>
          <w:rFonts w:hint="cs"/>
          <w:szCs w:val="24"/>
          <w:rtl/>
        </w:rPr>
        <w:t xml:space="preserve">" وكان مما شاع </w:t>
      </w:r>
      <w:r w:rsidRPr="00A52585">
        <w:rPr>
          <w:rFonts w:hint="cs"/>
          <w:spacing w:val="-6"/>
          <w:szCs w:val="24"/>
          <w:rtl/>
        </w:rPr>
        <w:t>بينهم – يقصد العرب- الشرك على أنواع متنوعة وأشكال مختلفة، بل الشرك كان شائعاً بين</w:t>
      </w:r>
      <w:r w:rsidRPr="00A52585">
        <w:rPr>
          <w:rFonts w:hint="cs"/>
          <w:szCs w:val="24"/>
          <w:rtl/>
        </w:rPr>
        <w:t xml:space="preserve"> أصناف البشر كلها، وكان منهم الإشراك به تعالى في </w:t>
      </w:r>
      <w:proofErr w:type="spellStart"/>
      <w:r w:rsidRPr="00A52585">
        <w:rPr>
          <w:rFonts w:hint="cs"/>
          <w:szCs w:val="24"/>
          <w:rtl/>
        </w:rPr>
        <w:t>الخالقية</w:t>
      </w:r>
      <w:proofErr w:type="spellEnd"/>
      <w:r w:rsidRPr="00A52585">
        <w:rPr>
          <w:rFonts w:hint="cs"/>
          <w:szCs w:val="24"/>
          <w:rtl/>
        </w:rPr>
        <w:t xml:space="preserve"> فيقولون بخالقين أو أكثر، ومنهم من يشرك به في الملك فيقولون إن له ملك السماوات، وأما الأرض ففيها معه شركاء يتصرفون في الملك</w:t>
      </w:r>
      <w:r w:rsidR="00DB731D" w:rsidRPr="00A52585">
        <w:rPr>
          <w:rFonts w:hint="cs"/>
          <w:szCs w:val="24"/>
          <w:rtl/>
        </w:rPr>
        <w:t>،</w:t>
      </w:r>
      <w:r w:rsidRPr="00A52585">
        <w:rPr>
          <w:rFonts w:hint="cs"/>
          <w:szCs w:val="24"/>
          <w:rtl/>
        </w:rPr>
        <w:t xml:space="preserve"> فهدم الله هذا وهذا فقال</w:t>
      </w:r>
      <w:r w:rsidR="0002035C" w:rsidRPr="00A52585">
        <w:rPr>
          <w:rFonts w:hint="cs"/>
          <w:szCs w:val="24"/>
          <w:rtl/>
        </w:rPr>
        <w:t>:</w:t>
      </w:r>
      <w:r w:rsidRPr="00A52585">
        <w:rPr>
          <w:rFonts w:hint="cs"/>
          <w:szCs w:val="24"/>
          <w:rtl/>
        </w:rPr>
        <w:t xml:space="preserve"> (إن ربكم الله الذي خلق السماوات والأرض في ستة أيام ثم استوى على العرش…</w:t>
      </w:r>
      <w:r w:rsidR="0002035C" w:rsidRPr="00A52585">
        <w:rPr>
          <w:rFonts w:hint="cs"/>
          <w:szCs w:val="24"/>
          <w:rtl/>
        </w:rPr>
        <w:t>)</w:t>
      </w:r>
      <w:r w:rsidRPr="00A52585">
        <w:rPr>
          <w:rFonts w:hint="cs"/>
          <w:szCs w:val="24"/>
          <w:rtl/>
        </w:rPr>
        <w:t xml:space="preserve"> الأعراف (53) فبين بالجملة الأولى</w:t>
      </w:r>
      <w:r w:rsidR="0002035C" w:rsidRPr="00A52585">
        <w:rPr>
          <w:rFonts w:hint="cs"/>
          <w:szCs w:val="24"/>
          <w:rtl/>
        </w:rPr>
        <w:t>:</w:t>
      </w:r>
      <w:r w:rsidRPr="00A52585">
        <w:rPr>
          <w:rFonts w:hint="cs"/>
          <w:szCs w:val="24"/>
          <w:rtl/>
        </w:rPr>
        <w:t xml:space="preserve"> أنه الواحد في خلق العوالم كلها لا خالق معه ولا شريك له في الخلق، ثم بين بالجملة الثانية</w:t>
      </w:r>
      <w:r w:rsidR="0002035C" w:rsidRPr="00A52585">
        <w:rPr>
          <w:rFonts w:hint="cs"/>
          <w:szCs w:val="24"/>
          <w:rtl/>
        </w:rPr>
        <w:t>:</w:t>
      </w:r>
      <w:r w:rsidRPr="00A52585">
        <w:rPr>
          <w:rFonts w:hint="cs"/>
          <w:szCs w:val="24"/>
          <w:rtl/>
        </w:rPr>
        <w:t xml:space="preserve"> أنه المنفرد بالملك لا شريك له في ملكه لا في العوالم العليا ولا في العوالم السفلى ولذلك ختم الآية بهذه الجملة الشريفة الآتية في أروع أسلوب وأعذب بيان وهي قوله تعالى {ألا له الخلق والأمر} مقدما الخبر لإفادة </w:t>
      </w:r>
      <w:proofErr w:type="spellStart"/>
      <w:r w:rsidRPr="00A52585">
        <w:rPr>
          <w:rFonts w:hint="cs"/>
          <w:szCs w:val="24"/>
          <w:rtl/>
        </w:rPr>
        <w:t>الحصر،والمعنى</w:t>
      </w:r>
      <w:proofErr w:type="spellEnd"/>
      <w:r w:rsidRPr="00A52585">
        <w:rPr>
          <w:rFonts w:hint="cs"/>
          <w:szCs w:val="24"/>
          <w:rtl/>
        </w:rPr>
        <w:t xml:space="preserve"> </w:t>
      </w:r>
      <w:r w:rsidR="0002035C" w:rsidRPr="00A52585">
        <w:rPr>
          <w:rFonts w:hint="cs"/>
          <w:szCs w:val="24"/>
          <w:rtl/>
        </w:rPr>
        <w:t>[</w:t>
      </w:r>
      <w:r w:rsidRPr="00A52585">
        <w:rPr>
          <w:rFonts w:hint="cs"/>
          <w:szCs w:val="24"/>
          <w:rtl/>
        </w:rPr>
        <w:t>أن الخلق له لا لسواه</w:t>
      </w:r>
      <w:r w:rsidR="0002035C" w:rsidRPr="00A52585">
        <w:rPr>
          <w:rFonts w:hint="cs"/>
          <w:szCs w:val="24"/>
          <w:rtl/>
        </w:rPr>
        <w:t>]</w:t>
      </w:r>
      <w:r w:rsidRPr="00A52585">
        <w:rPr>
          <w:rFonts w:hint="cs"/>
          <w:szCs w:val="24"/>
          <w:rtl/>
        </w:rPr>
        <w:t xml:space="preserve"> وهو إجمال الجملة الأولى، و </w:t>
      </w:r>
      <w:r w:rsidR="0002035C" w:rsidRPr="00A52585">
        <w:rPr>
          <w:rFonts w:hint="cs"/>
          <w:szCs w:val="24"/>
          <w:rtl/>
        </w:rPr>
        <w:t>[</w:t>
      </w:r>
      <w:r w:rsidRPr="00A52585">
        <w:rPr>
          <w:rFonts w:hint="cs"/>
          <w:szCs w:val="24"/>
          <w:rtl/>
        </w:rPr>
        <w:t>أن الأمر له لا لغيره</w:t>
      </w:r>
      <w:r w:rsidR="0002035C" w:rsidRPr="00A52585">
        <w:rPr>
          <w:rFonts w:hint="cs"/>
          <w:szCs w:val="24"/>
          <w:rtl/>
        </w:rPr>
        <w:t>]</w:t>
      </w:r>
      <w:r w:rsidRPr="00A52585">
        <w:rPr>
          <w:rFonts w:hint="cs"/>
          <w:szCs w:val="24"/>
          <w:rtl/>
        </w:rPr>
        <w:t xml:space="preserve"> وهو معنى الجملة الثانية، والأمر من لوازم الملك كما لا يخفي</w:t>
      </w:r>
      <w:r w:rsidR="00DB731D" w:rsidRPr="00A52585">
        <w:rPr>
          <w:rFonts w:hint="cs"/>
          <w:szCs w:val="24"/>
          <w:rtl/>
        </w:rPr>
        <w:t>،</w:t>
      </w:r>
      <w:r w:rsidRPr="00A52585">
        <w:rPr>
          <w:rFonts w:hint="cs"/>
          <w:szCs w:val="24"/>
          <w:rtl/>
        </w:rPr>
        <w:t xml:space="preserve"> </w:t>
      </w:r>
      <w:r w:rsidRPr="00A52585">
        <w:rPr>
          <w:rFonts w:hint="cs"/>
          <w:bCs/>
          <w:szCs w:val="24"/>
          <w:rtl/>
        </w:rPr>
        <w:t>فحاصل الكلام أن ربكم هو الخالق لا خالق سواه وهو المَلِك المتفرد بالمُلْك لا مَلِك سواه، وظاهر أن المُلْك الذي هو التصرف من المَلِك كما يشاء في الأشياء الموجودة إنما هو بعد إيجادها على ما شاء لها من أقدار وأشكال وصفات ولهذا أتي بـ (ثم)"</w:t>
      </w:r>
      <w:r w:rsidR="0002035C" w:rsidRPr="00A52585">
        <w:rPr>
          <w:rFonts w:hint="cs"/>
          <w:bCs/>
          <w:szCs w:val="24"/>
          <w:rtl/>
        </w:rPr>
        <w:t xml:space="preserve"> </w:t>
      </w:r>
      <w:r w:rsidRPr="00A52585">
        <w:rPr>
          <w:rFonts w:hint="cs"/>
          <w:szCs w:val="24"/>
          <w:rtl/>
        </w:rPr>
        <w:t>أهـ المقصود منه يشير الإمام بذلك إلى تأخر الاستواء عن خلق السماوات والأرض، انظر البراهين الساطعة 251-253</w:t>
      </w:r>
      <w:r w:rsidR="00DB731D"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bCs/>
          <w:szCs w:val="24"/>
          <w:rtl/>
        </w:rPr>
        <w:t>التأويل الثاني</w:t>
      </w:r>
      <w:r w:rsidR="0002035C" w:rsidRPr="00A52585">
        <w:rPr>
          <w:rFonts w:hint="cs"/>
          <w:bCs/>
          <w:szCs w:val="24"/>
          <w:rtl/>
        </w:rPr>
        <w:t>]:</w:t>
      </w:r>
      <w:r w:rsidRPr="00A52585">
        <w:rPr>
          <w:rFonts w:hint="cs"/>
          <w:bCs/>
          <w:szCs w:val="24"/>
          <w:rtl/>
        </w:rPr>
        <w:t xml:space="preserve"> </w:t>
      </w:r>
      <w:r w:rsidRPr="00A52585">
        <w:rPr>
          <w:rFonts w:hint="cs"/>
          <w:szCs w:val="24"/>
          <w:rtl/>
        </w:rPr>
        <w:t>العرش كناية عن نفس المُلْك، يقال (ثل عرشه) أي</w:t>
      </w:r>
      <w:r w:rsidR="0002035C" w:rsidRPr="00A52585">
        <w:rPr>
          <w:rFonts w:hint="cs"/>
          <w:szCs w:val="24"/>
          <w:rtl/>
        </w:rPr>
        <w:t>:</w:t>
      </w:r>
      <w:r w:rsidRPr="00A52585">
        <w:rPr>
          <w:rFonts w:hint="cs"/>
          <w:szCs w:val="24"/>
          <w:rtl/>
        </w:rPr>
        <w:t xml:space="preserve"> انتقض ملكه وفسد، وإذا استقام له ملكه واطرد أمره وحكمه قالوا</w:t>
      </w:r>
      <w:r w:rsidR="0002035C" w:rsidRPr="00A52585">
        <w:rPr>
          <w:rFonts w:hint="cs"/>
          <w:szCs w:val="24"/>
          <w:rtl/>
        </w:rPr>
        <w:t>:</w:t>
      </w:r>
      <w:r w:rsidRPr="00A52585">
        <w:rPr>
          <w:rFonts w:hint="cs"/>
          <w:szCs w:val="24"/>
          <w:rtl/>
        </w:rPr>
        <w:t xml:space="preserve"> (استوى على عرشه واستقر على سرير ملكه)، ذكر ذلك الإمام القفال يقول الإمام الرازي في تفسيره لآية الأعراف</w:t>
      </w:r>
      <w:r w:rsidR="0002035C" w:rsidRPr="00A52585">
        <w:rPr>
          <w:rFonts w:hint="cs"/>
          <w:szCs w:val="24"/>
          <w:rtl/>
        </w:rPr>
        <w:t xml:space="preserve">: </w:t>
      </w:r>
      <w:r w:rsidRPr="00A52585">
        <w:rPr>
          <w:rFonts w:hint="cs"/>
          <w:szCs w:val="24"/>
          <w:rtl/>
        </w:rPr>
        <w:t>"ونظيره قولهم للرجل الطويل</w:t>
      </w:r>
      <w:r w:rsidR="0002035C" w:rsidRPr="00A52585">
        <w:rPr>
          <w:rFonts w:hint="cs"/>
          <w:szCs w:val="24"/>
          <w:rtl/>
        </w:rPr>
        <w:t>:</w:t>
      </w:r>
      <w:r w:rsidRPr="00A52585">
        <w:rPr>
          <w:rFonts w:hint="cs"/>
          <w:szCs w:val="24"/>
          <w:rtl/>
        </w:rPr>
        <w:t xml:space="preserve"> (فلان طويل النجاد)، وللرجل الذي يكثر الضيافة (كثير الرماد)، وللرجل الشيخ (فلان اشتعل رأسه شيباً) وليس المراد في شيء من هذه الألفاظ إجراءها على ظواهرها إنما المراد منها تعريف المقصود على سبيل الكناية، فكذا ههنا يذكر الاستواء على العرش والمراد نفاذ القدرة وجريان المشيئة</w:t>
      </w:r>
      <w:r w:rsidR="00DB731D" w:rsidRPr="00A52585">
        <w:rPr>
          <w:rFonts w:hint="cs"/>
          <w:szCs w:val="24"/>
          <w:rtl/>
        </w:rPr>
        <w:t>،</w:t>
      </w:r>
      <w:r w:rsidRPr="00A52585">
        <w:rPr>
          <w:rFonts w:hint="cs"/>
          <w:szCs w:val="24"/>
          <w:rtl/>
        </w:rPr>
        <w:t xml:space="preserve"> وقد نقل الفخر الرازي عن الإمــام القفال شرحاً وافــيا لذلك التأويل ومنه</w:t>
      </w:r>
      <w:r w:rsidR="0002035C" w:rsidRPr="00A52585">
        <w:rPr>
          <w:rFonts w:hint="cs"/>
          <w:szCs w:val="24"/>
          <w:rtl/>
        </w:rPr>
        <w:t xml:space="preserve">: </w:t>
      </w:r>
      <w:r w:rsidRPr="00A52585">
        <w:rPr>
          <w:rFonts w:hint="cs"/>
          <w:szCs w:val="24"/>
          <w:rtl/>
        </w:rPr>
        <w:t xml:space="preserve">"… إنه تعالى أخبر أنه خلق السماوات والأرض كما أراد وشاء من غير منازع ولا مدافِع ثم أخبر بعده أنه استوى على العرش أي حصل له تدبير المخلوقات على ما شاء وأراد فكان قوله ه </w:t>
      </w:r>
      <w:r w:rsidR="0002035C" w:rsidRPr="00A52585">
        <w:rPr>
          <w:rFonts w:hint="cs"/>
          <w:szCs w:val="24"/>
          <w:rtl/>
        </w:rPr>
        <w:t>{</w:t>
      </w:r>
      <w:r w:rsidRPr="00A52585">
        <w:rPr>
          <w:rFonts w:hint="cs"/>
          <w:szCs w:val="24"/>
          <w:rtl/>
        </w:rPr>
        <w:t>ثم استوى على العرش}</w:t>
      </w:r>
      <w:r w:rsidR="0002035C" w:rsidRPr="00A52585">
        <w:rPr>
          <w:rFonts w:hint="cs"/>
          <w:szCs w:val="24"/>
          <w:rtl/>
        </w:rPr>
        <w:t xml:space="preserve"> </w:t>
      </w:r>
      <w:r w:rsidRPr="00A52585">
        <w:rPr>
          <w:rFonts w:hint="cs"/>
          <w:szCs w:val="24"/>
          <w:rtl/>
        </w:rPr>
        <w:t>أي بعد أن خلقها استوى على عرش الملك والجلال… "</w:t>
      </w:r>
      <w:r w:rsidR="0002035C" w:rsidRPr="00A52585">
        <w:rPr>
          <w:rFonts w:hint="cs"/>
          <w:szCs w:val="24"/>
          <w:rtl/>
        </w:rPr>
        <w:t xml:space="preserve"> </w:t>
      </w:r>
      <w:r w:rsidRPr="00A52585">
        <w:rPr>
          <w:rFonts w:hint="cs"/>
          <w:szCs w:val="24"/>
          <w:rtl/>
        </w:rPr>
        <w:t xml:space="preserve">والدليل على أن هذا هو المراد قوله في سورة يونس </w:t>
      </w:r>
      <w:r w:rsidR="0002035C" w:rsidRPr="00A52585">
        <w:rPr>
          <w:rFonts w:hint="cs"/>
          <w:szCs w:val="24"/>
          <w:rtl/>
        </w:rPr>
        <w:t>{</w:t>
      </w:r>
      <w:r w:rsidRPr="00A52585">
        <w:rPr>
          <w:rFonts w:hint="cs"/>
          <w:szCs w:val="24"/>
          <w:rtl/>
        </w:rPr>
        <w:t xml:space="preserve">إن ربكم الله الذي </w:t>
      </w:r>
      <w:r w:rsidRPr="00A52585">
        <w:rPr>
          <w:rFonts w:hint="cs"/>
          <w:szCs w:val="24"/>
          <w:rtl/>
        </w:rPr>
        <w:lastRenderedPageBreak/>
        <w:t>خلق السماوات والأرض في ستة أيام ثم استوى على العرش يدبر الأمر</w:t>
      </w:r>
      <w:r w:rsidR="0002035C" w:rsidRPr="00A52585">
        <w:rPr>
          <w:rFonts w:hint="cs"/>
          <w:szCs w:val="24"/>
          <w:rtl/>
        </w:rPr>
        <w:t>} [</w:t>
      </w:r>
      <w:r w:rsidRPr="00A52585">
        <w:rPr>
          <w:rFonts w:hint="cs"/>
          <w:szCs w:val="24"/>
          <w:rtl/>
        </w:rPr>
        <w:t>آية3] فقوله (يدبر الأمر) جرى مجرى التفسير لقوله (استوى على العرش)… أهـ المقصود منه انظر مفاتيح الغيب تفسير الآية 53 من سورة الأعراف، وانظر كذلك (المحكم والمتشابه) 2/746-747 للدكتور إبراهيم عبد الرحمن</w:t>
      </w:r>
      <w:r w:rsidR="00DB731D"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szCs w:val="24"/>
          <w:rtl/>
        </w:rPr>
        <w:t>قلت</w:t>
      </w:r>
      <w:r w:rsidR="0002035C" w:rsidRPr="00A52585">
        <w:rPr>
          <w:rFonts w:hint="cs"/>
          <w:szCs w:val="24"/>
          <w:rtl/>
        </w:rPr>
        <w:t>):</w:t>
      </w:r>
      <w:r w:rsidRPr="00A52585">
        <w:rPr>
          <w:rFonts w:hint="cs"/>
          <w:szCs w:val="24"/>
          <w:rtl/>
        </w:rPr>
        <w:t xml:space="preserve"> ولا يرد على هذا ما ذهب إليه بعض علماء اللغة من أن الكناية تستعمل في المعنى الثاني لكن مع جواز إرادة المعنى الأول ولو في محل آخر وباستعمال آخر بخلاف المجاز يقول الإمام العلامة سعد الدين </w:t>
      </w:r>
      <w:proofErr w:type="spellStart"/>
      <w:r w:rsidRPr="00A52585">
        <w:rPr>
          <w:rFonts w:hint="cs"/>
          <w:szCs w:val="24"/>
          <w:rtl/>
        </w:rPr>
        <w:t>التفتازاني</w:t>
      </w:r>
      <w:proofErr w:type="spellEnd"/>
      <w:r w:rsidR="0002035C" w:rsidRPr="00A52585">
        <w:rPr>
          <w:rFonts w:hint="cs"/>
          <w:szCs w:val="24"/>
          <w:rtl/>
        </w:rPr>
        <w:t xml:space="preserve">: </w:t>
      </w:r>
      <w:r w:rsidRPr="00A52585">
        <w:rPr>
          <w:rFonts w:hint="cs"/>
          <w:szCs w:val="24"/>
          <w:rtl/>
        </w:rPr>
        <w:t xml:space="preserve">" </w:t>
      </w:r>
      <w:r w:rsidRPr="00A52585">
        <w:rPr>
          <w:szCs w:val="24"/>
        </w:rPr>
        <w:t>…</w:t>
      </w:r>
      <w:r w:rsidRPr="00A52585">
        <w:rPr>
          <w:rFonts w:hint="cs"/>
          <w:szCs w:val="24"/>
          <w:rtl/>
        </w:rPr>
        <w:t xml:space="preserve"> وأما عند علماء البيان فلأن الكناية لفظ قصد بمعناه معنى ثانٍ ملزوم له أتى لفظ استعمل في معناه الموضوع له لكن لا ليتعلق به الإثبات والنفي ويرجع إليه الصدق والكذب، بل لينقل منه إلى ملزومه فيكون هو مناط الإثبات والنفي ومرجع الصدق والكذب، كما يقال (فلان طويل النجاد) قصدًا بطول النجاد إلى طول القامة فيصح الكلام وإن لم يكن له نجاد قط، بل وإن استحال المعنى الحقيقي كما في قوله تعالى</w:t>
      </w:r>
      <w:r w:rsidR="0002035C"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szCs w:val="24"/>
          <w:rtl/>
        </w:rPr>
        <w:t xml:space="preserve">والسماوات مطويات بيمينه} </w:t>
      </w:r>
      <w:r w:rsidR="0002035C" w:rsidRPr="00A52585">
        <w:rPr>
          <w:rFonts w:hint="cs"/>
          <w:szCs w:val="24"/>
          <w:rtl/>
        </w:rPr>
        <w:t>[</w:t>
      </w:r>
      <w:r w:rsidRPr="00A52585">
        <w:rPr>
          <w:rFonts w:hint="cs"/>
          <w:szCs w:val="24"/>
          <w:rtl/>
        </w:rPr>
        <w:t>الزمر</w:t>
      </w:r>
      <w:r w:rsidR="0002035C" w:rsidRPr="00A52585">
        <w:rPr>
          <w:rFonts w:hint="cs"/>
          <w:szCs w:val="24"/>
          <w:rtl/>
        </w:rPr>
        <w:t>:</w:t>
      </w:r>
      <w:r w:rsidRPr="00A52585">
        <w:rPr>
          <w:rFonts w:hint="cs"/>
          <w:szCs w:val="24"/>
          <w:rtl/>
        </w:rPr>
        <w:t xml:space="preserve"> 67</w:t>
      </w:r>
      <w:r w:rsidR="0002035C" w:rsidRPr="00A52585">
        <w:rPr>
          <w:rFonts w:hint="cs"/>
          <w:szCs w:val="24"/>
          <w:rtl/>
        </w:rPr>
        <w:t>]</w:t>
      </w:r>
      <w:r w:rsidRPr="00A52585">
        <w:rPr>
          <w:rFonts w:hint="cs"/>
          <w:szCs w:val="24"/>
          <w:rtl/>
        </w:rPr>
        <w:t xml:space="preserve"> وقوله تعالى </w:t>
      </w:r>
      <w:r w:rsidR="0002035C" w:rsidRPr="00A52585">
        <w:rPr>
          <w:rFonts w:hint="cs"/>
          <w:szCs w:val="24"/>
          <w:rtl/>
        </w:rPr>
        <w:t>{</w:t>
      </w:r>
      <w:r w:rsidRPr="00A52585">
        <w:rPr>
          <w:rFonts w:hint="cs"/>
          <w:szCs w:val="24"/>
          <w:rtl/>
        </w:rPr>
        <w:t>الرحمن على العرش استوى</w:t>
      </w:r>
      <w:r w:rsidR="0002035C"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szCs w:val="24"/>
          <w:rtl/>
        </w:rPr>
        <w:t>طه</w:t>
      </w:r>
      <w:r w:rsidR="0002035C" w:rsidRPr="00A52585">
        <w:rPr>
          <w:rFonts w:hint="cs"/>
          <w:szCs w:val="24"/>
          <w:rtl/>
        </w:rPr>
        <w:t>:</w:t>
      </w:r>
      <w:r w:rsidRPr="00A52585">
        <w:rPr>
          <w:rFonts w:hint="cs"/>
          <w:szCs w:val="24"/>
          <w:rtl/>
        </w:rPr>
        <w:t xml:space="preserve"> 5</w:t>
      </w:r>
      <w:r w:rsidR="0002035C" w:rsidRPr="00A52585">
        <w:rPr>
          <w:rFonts w:hint="cs"/>
          <w:szCs w:val="24"/>
          <w:rtl/>
        </w:rPr>
        <w:t>]</w:t>
      </w:r>
      <w:r w:rsidRPr="00A52585">
        <w:rPr>
          <w:rFonts w:hint="cs"/>
          <w:szCs w:val="24"/>
          <w:rtl/>
        </w:rPr>
        <w:t xml:space="preserve"> وأمثال ذلك، فإن هذه كلها كنايات عند المحققين من غير لزوم كذب لأن استعمال اللفظ في معناه الحقيقي وطلب دلالته عليه إنما هو لقصد الانتقال منه إلى ملزومه "</w:t>
      </w:r>
      <w:r w:rsidR="0002035C" w:rsidRPr="00A52585">
        <w:rPr>
          <w:rFonts w:hint="cs"/>
          <w:szCs w:val="24"/>
          <w:rtl/>
        </w:rPr>
        <w:t xml:space="preserve"> </w:t>
      </w:r>
      <w:r w:rsidRPr="00A52585">
        <w:rPr>
          <w:rFonts w:hint="cs"/>
          <w:szCs w:val="24"/>
          <w:rtl/>
        </w:rPr>
        <w:t>أهـ انظر (شرح التلويح على التوضيح) له ج1 ص131 ط دار الكتب العلمية</w:t>
      </w:r>
      <w:r w:rsidR="00DB731D" w:rsidRPr="00A52585">
        <w:rPr>
          <w:rFonts w:hint="cs"/>
          <w:szCs w:val="24"/>
          <w:rtl/>
        </w:rPr>
        <w:t>،</w:t>
      </w:r>
      <w:r w:rsidRPr="00A52585">
        <w:rPr>
          <w:rFonts w:hint="cs"/>
          <w:szCs w:val="24"/>
          <w:rtl/>
        </w:rPr>
        <w:t xml:space="preserve"> </w:t>
      </w:r>
      <w:r w:rsidR="0002035C" w:rsidRPr="00A52585">
        <w:rPr>
          <w:rFonts w:hint="cs"/>
          <w:szCs w:val="24"/>
          <w:rtl/>
        </w:rPr>
        <w:t>[</w:t>
      </w:r>
      <w:r w:rsidRPr="00A52585">
        <w:rPr>
          <w:rFonts w:hint="cs"/>
          <w:bCs/>
          <w:szCs w:val="24"/>
          <w:rtl/>
        </w:rPr>
        <w:t>التأويل الثالث</w:t>
      </w:r>
      <w:r w:rsidR="0002035C" w:rsidRPr="00A52585">
        <w:rPr>
          <w:rFonts w:hint="cs"/>
          <w:bCs/>
          <w:szCs w:val="24"/>
          <w:rtl/>
        </w:rPr>
        <w:t>]:</w:t>
      </w:r>
      <w:r w:rsidRPr="00A52585">
        <w:rPr>
          <w:rFonts w:hint="cs"/>
          <w:bCs/>
          <w:szCs w:val="24"/>
          <w:rtl/>
        </w:rPr>
        <w:t xml:space="preserve"> </w:t>
      </w:r>
      <w:r w:rsidRPr="00A52585">
        <w:rPr>
          <w:rFonts w:hint="cs"/>
          <w:spacing w:val="-20"/>
          <w:szCs w:val="24"/>
          <w:rtl/>
        </w:rPr>
        <w:t>يقول د إبراهيم عبد الرحمن</w:t>
      </w:r>
      <w:r w:rsidR="0002035C" w:rsidRPr="00A52585">
        <w:rPr>
          <w:rFonts w:hint="cs"/>
          <w:spacing w:val="-20"/>
          <w:szCs w:val="24"/>
          <w:rtl/>
        </w:rPr>
        <w:t>:</w:t>
      </w:r>
      <w:r w:rsidRPr="00A52585">
        <w:rPr>
          <w:rFonts w:hint="cs"/>
          <w:szCs w:val="24"/>
          <w:rtl/>
        </w:rPr>
        <w:t xml:space="preserve"> أن يكون من الاعتدال بمعنى القيام بالعدل في الخلق والتدبير أهـ</w:t>
      </w:r>
      <w:r w:rsidR="00DB731D" w:rsidRPr="00A52585">
        <w:rPr>
          <w:rFonts w:hint="cs"/>
          <w:szCs w:val="24"/>
          <w:rtl/>
        </w:rPr>
        <w:t>،</w:t>
      </w:r>
      <w:r w:rsidRPr="00A52585">
        <w:rPr>
          <w:rFonts w:hint="cs"/>
          <w:szCs w:val="24"/>
          <w:rtl/>
        </w:rPr>
        <w:t xml:space="preserve"> يقول الإمام ابن اللبان في كتابه (رد الآيات المتشابهات إلى الآيات المحكمات)</w:t>
      </w:r>
      <w:r w:rsidR="0002035C" w:rsidRPr="00A52585">
        <w:rPr>
          <w:rFonts w:hint="cs"/>
          <w:szCs w:val="24"/>
          <w:rtl/>
        </w:rPr>
        <w:t xml:space="preserve">: </w:t>
      </w:r>
      <w:r w:rsidRPr="00A52585">
        <w:rPr>
          <w:rFonts w:hint="cs"/>
          <w:szCs w:val="24"/>
          <w:rtl/>
        </w:rPr>
        <w:t>"قد قررنا (استوى) افتعل من السواء وأصله (العدل) وحقيقة الاستواء المنسوب إلى ربنا في كتابه بمعنى العدل، أي</w:t>
      </w:r>
      <w:r w:rsidR="0002035C" w:rsidRPr="00A52585">
        <w:rPr>
          <w:rFonts w:hint="cs"/>
          <w:szCs w:val="24"/>
          <w:rtl/>
        </w:rPr>
        <w:t>:</w:t>
      </w:r>
      <w:r w:rsidRPr="00A52585">
        <w:rPr>
          <w:rFonts w:hint="cs"/>
          <w:szCs w:val="24"/>
          <w:rtl/>
        </w:rPr>
        <w:t xml:space="preserve"> أقام العدل وأصله من قوله تعالى {شهد الله أنه لا إله إلا هو والملائكة وأولوا العلم قائماً بالقسط}</w:t>
      </w:r>
      <w:r w:rsidR="0002035C" w:rsidRPr="00A52585">
        <w:rPr>
          <w:rFonts w:hint="cs"/>
          <w:szCs w:val="24"/>
          <w:rtl/>
        </w:rPr>
        <w:t xml:space="preserve"> </w:t>
      </w:r>
      <w:r w:rsidRPr="00A52585">
        <w:rPr>
          <w:rFonts w:hint="cs"/>
          <w:szCs w:val="24"/>
          <w:rtl/>
        </w:rPr>
        <w:t xml:space="preserve">والعدل هو استواؤه ويرجع معناه إلى أنه أعطى </w:t>
      </w:r>
      <w:proofErr w:type="spellStart"/>
      <w:r w:rsidRPr="00A52585">
        <w:rPr>
          <w:rFonts w:hint="cs"/>
          <w:szCs w:val="24"/>
          <w:rtl/>
        </w:rPr>
        <w:t>بعزته</w:t>
      </w:r>
      <w:proofErr w:type="spellEnd"/>
      <w:r w:rsidRPr="00A52585">
        <w:rPr>
          <w:rFonts w:hint="cs"/>
          <w:szCs w:val="24"/>
          <w:rtl/>
        </w:rPr>
        <w:t xml:space="preserve"> كل شيء خلقه موزوناً بحكمته للتعرف إلى خلقه </w:t>
      </w:r>
      <w:proofErr w:type="spellStart"/>
      <w:r w:rsidRPr="00A52585">
        <w:rPr>
          <w:rFonts w:hint="cs"/>
          <w:szCs w:val="24"/>
          <w:rtl/>
        </w:rPr>
        <w:t>بوحدانيته</w:t>
      </w:r>
      <w:proofErr w:type="spellEnd"/>
      <w:r w:rsidRPr="00A52585">
        <w:rPr>
          <w:rFonts w:hint="cs"/>
          <w:szCs w:val="24"/>
          <w:rtl/>
        </w:rPr>
        <w:t xml:space="preserve"> ولذلك قرنه بقوله {لا إله إلا هو العزيز الحكيم} والاستواء المذكور في كتابه استواءان</w:t>
      </w:r>
      <w:r w:rsidR="0002035C" w:rsidRPr="00A52585">
        <w:rPr>
          <w:rFonts w:hint="cs"/>
          <w:szCs w:val="24"/>
          <w:rtl/>
        </w:rPr>
        <w:t>:</w:t>
      </w:r>
      <w:r w:rsidRPr="00A52585">
        <w:rPr>
          <w:rFonts w:hint="cs"/>
          <w:szCs w:val="24"/>
          <w:rtl/>
        </w:rPr>
        <w:t xml:space="preserve"> استواء سماوي، واستواء عرشي…"</w:t>
      </w:r>
      <w:r w:rsidR="0002035C" w:rsidRPr="00A52585">
        <w:rPr>
          <w:rFonts w:hint="cs"/>
          <w:szCs w:val="24"/>
          <w:rtl/>
        </w:rPr>
        <w:t xml:space="preserve"> </w:t>
      </w:r>
      <w:r w:rsidRPr="00A52585">
        <w:rPr>
          <w:rFonts w:hint="cs"/>
          <w:szCs w:val="24"/>
          <w:rtl/>
        </w:rPr>
        <w:t>إلى أن قال</w:t>
      </w:r>
      <w:r w:rsidR="0002035C" w:rsidRPr="00A52585">
        <w:rPr>
          <w:rFonts w:hint="cs"/>
          <w:szCs w:val="24"/>
          <w:rtl/>
        </w:rPr>
        <w:t xml:space="preserve">: </w:t>
      </w:r>
      <w:r w:rsidRPr="00A52585">
        <w:rPr>
          <w:rFonts w:hint="cs"/>
          <w:szCs w:val="24"/>
          <w:rtl/>
        </w:rPr>
        <w:t xml:space="preserve">"وأما الاستواء </w:t>
      </w:r>
      <w:proofErr w:type="spellStart"/>
      <w:r w:rsidRPr="00A52585">
        <w:rPr>
          <w:rFonts w:hint="cs"/>
          <w:szCs w:val="24"/>
          <w:rtl/>
        </w:rPr>
        <w:t>العرشي</w:t>
      </w:r>
      <w:proofErr w:type="spellEnd"/>
      <w:r w:rsidRPr="00A52585">
        <w:rPr>
          <w:rFonts w:hint="cs"/>
          <w:szCs w:val="24"/>
          <w:rtl/>
        </w:rPr>
        <w:t xml:space="preserve"> فهو أنه تعالى قام بالقسط معتَرَفاً </w:t>
      </w:r>
      <w:proofErr w:type="spellStart"/>
      <w:r w:rsidRPr="00A52585">
        <w:rPr>
          <w:rFonts w:hint="cs"/>
          <w:szCs w:val="24"/>
          <w:rtl/>
        </w:rPr>
        <w:t>بوحدانيته</w:t>
      </w:r>
      <w:proofErr w:type="spellEnd"/>
      <w:r w:rsidRPr="00A52585">
        <w:rPr>
          <w:rFonts w:hint="cs"/>
          <w:szCs w:val="24"/>
          <w:rtl/>
        </w:rPr>
        <w:t xml:space="preserve"> في عالمين</w:t>
      </w:r>
      <w:r w:rsidR="0002035C" w:rsidRPr="00A52585">
        <w:rPr>
          <w:rFonts w:hint="cs"/>
          <w:szCs w:val="24"/>
          <w:rtl/>
        </w:rPr>
        <w:t>:</w:t>
      </w:r>
      <w:r w:rsidRPr="00A52585">
        <w:rPr>
          <w:rFonts w:hint="cs"/>
          <w:szCs w:val="24"/>
          <w:rtl/>
        </w:rPr>
        <w:t xml:space="preserve"> عالم الخلق وعالم الأمر وهو عالم التدبير </w:t>
      </w:r>
      <w:r w:rsidR="0002035C" w:rsidRPr="00A52585">
        <w:rPr>
          <w:rFonts w:hint="cs"/>
          <w:szCs w:val="24"/>
          <w:rtl/>
        </w:rPr>
        <w:t>{</w:t>
      </w:r>
      <w:r w:rsidRPr="00A52585">
        <w:rPr>
          <w:rFonts w:hint="cs"/>
          <w:szCs w:val="24"/>
          <w:rtl/>
        </w:rPr>
        <w:t>ألا له الخلق والأمر</w:t>
      </w:r>
      <w:r w:rsidR="0002035C" w:rsidRPr="00A52585">
        <w:rPr>
          <w:rFonts w:hint="cs"/>
          <w:szCs w:val="24"/>
          <w:rtl/>
        </w:rPr>
        <w:t xml:space="preserve">} </w:t>
      </w:r>
      <w:r w:rsidRPr="00A52585">
        <w:rPr>
          <w:rFonts w:hint="cs"/>
          <w:szCs w:val="24"/>
          <w:rtl/>
        </w:rPr>
        <w:t xml:space="preserve">فكان استواؤه للتدبير بعد انتهاء عالم الخلق لقوله </w:t>
      </w:r>
      <w:r w:rsidR="0002035C" w:rsidRPr="00A52585">
        <w:rPr>
          <w:rFonts w:hint="cs"/>
          <w:szCs w:val="24"/>
          <w:rtl/>
        </w:rPr>
        <w:t>{</w:t>
      </w:r>
      <w:r w:rsidRPr="00A52585">
        <w:rPr>
          <w:rFonts w:hint="cs"/>
          <w:szCs w:val="24"/>
          <w:rtl/>
        </w:rPr>
        <w:t>الله الذي خلق السماوات والأرض وما بينهما في ستة أيام ثم استوى على العرش يدبر الأمر ما من شفيع إلا من بعد إذنه</w:t>
      </w:r>
      <w:r w:rsidR="0002035C" w:rsidRPr="00A52585">
        <w:rPr>
          <w:rFonts w:hint="cs"/>
          <w:szCs w:val="24"/>
          <w:rtl/>
        </w:rPr>
        <w:t xml:space="preserve">} </w:t>
      </w:r>
      <w:r w:rsidRPr="00A52585">
        <w:rPr>
          <w:rFonts w:hint="cs"/>
          <w:szCs w:val="24"/>
          <w:rtl/>
        </w:rPr>
        <w:t xml:space="preserve">وبهذا تم سِرُّ تعدية الاستواء </w:t>
      </w:r>
      <w:proofErr w:type="spellStart"/>
      <w:r w:rsidRPr="00A52585">
        <w:rPr>
          <w:rFonts w:hint="cs"/>
          <w:szCs w:val="24"/>
          <w:rtl/>
        </w:rPr>
        <w:t>العرشي</w:t>
      </w:r>
      <w:proofErr w:type="spellEnd"/>
      <w:r w:rsidRPr="00A52585">
        <w:rPr>
          <w:rFonts w:hint="cs"/>
          <w:szCs w:val="24"/>
          <w:rtl/>
        </w:rPr>
        <w:t xml:space="preserve"> بعلى لأن التدبير للأمر لابد فيه من استعلاء واستيلاء"</w:t>
      </w:r>
      <w:r w:rsidR="0002035C" w:rsidRPr="00A52585">
        <w:rPr>
          <w:rFonts w:hint="cs"/>
          <w:szCs w:val="24"/>
          <w:rtl/>
        </w:rPr>
        <w:t xml:space="preserve"> </w:t>
      </w:r>
      <w:r w:rsidRPr="00A52585">
        <w:rPr>
          <w:rFonts w:hint="cs"/>
          <w:szCs w:val="24"/>
          <w:rtl/>
        </w:rPr>
        <w:t>أهـ المقصود منه ص 41</w:t>
      </w:r>
      <w:r w:rsidR="00DB731D" w:rsidRPr="00A52585">
        <w:rPr>
          <w:rFonts w:hint="cs"/>
          <w:szCs w:val="24"/>
          <w:rtl/>
        </w:rPr>
        <w:t>،</w:t>
      </w:r>
      <w:r w:rsidRPr="00A52585">
        <w:rPr>
          <w:rFonts w:hint="cs"/>
          <w:szCs w:val="24"/>
          <w:rtl/>
        </w:rPr>
        <w:t xml:space="preserve"> </w:t>
      </w:r>
      <w:r w:rsidR="0002035C" w:rsidRPr="00A52585">
        <w:rPr>
          <w:rFonts w:hint="cs"/>
          <w:bCs/>
          <w:szCs w:val="24"/>
          <w:rtl/>
        </w:rPr>
        <w:t>[</w:t>
      </w:r>
      <w:r w:rsidRPr="00A52585">
        <w:rPr>
          <w:rFonts w:hint="cs"/>
          <w:bCs/>
          <w:szCs w:val="24"/>
          <w:rtl/>
        </w:rPr>
        <w:t>التأويل الرابع</w:t>
      </w:r>
      <w:r w:rsidR="0002035C" w:rsidRPr="00A52585">
        <w:rPr>
          <w:rFonts w:hint="cs"/>
          <w:bCs/>
          <w:szCs w:val="24"/>
          <w:rtl/>
        </w:rPr>
        <w:t>]</w:t>
      </w:r>
      <w:r w:rsidR="0002035C" w:rsidRPr="00A52585">
        <w:rPr>
          <w:rFonts w:hint="cs"/>
          <w:szCs w:val="24"/>
          <w:rtl/>
        </w:rPr>
        <w:t>:</w:t>
      </w:r>
      <w:r w:rsidRPr="00A52585">
        <w:rPr>
          <w:rFonts w:hint="cs"/>
          <w:szCs w:val="24"/>
          <w:rtl/>
        </w:rPr>
        <w:t xml:space="preserve"> يقول د إبراهيم عبد الرحمن</w:t>
      </w:r>
      <w:r w:rsidR="0002035C" w:rsidRPr="00A52585">
        <w:rPr>
          <w:rFonts w:hint="cs"/>
          <w:szCs w:val="24"/>
          <w:rtl/>
        </w:rPr>
        <w:t>:</w:t>
      </w:r>
      <w:r w:rsidRPr="00A52585">
        <w:rPr>
          <w:rFonts w:hint="cs"/>
          <w:szCs w:val="24"/>
          <w:rtl/>
        </w:rPr>
        <w:t xml:space="preserve"> ما حكاه البخاري عن مجاهد تعليقاً فقال</w:t>
      </w:r>
      <w:r w:rsidR="0002035C" w:rsidRPr="00A52585">
        <w:rPr>
          <w:rFonts w:hint="cs"/>
          <w:szCs w:val="24"/>
          <w:rtl/>
        </w:rPr>
        <w:t>:</w:t>
      </w:r>
      <w:r w:rsidRPr="00A52585">
        <w:rPr>
          <w:rFonts w:hint="cs"/>
          <w:szCs w:val="24"/>
          <w:rtl/>
        </w:rPr>
        <w:t xml:space="preserve"> (قال مجاهد</w:t>
      </w:r>
      <w:r w:rsidR="0002035C" w:rsidRPr="00A52585">
        <w:rPr>
          <w:rFonts w:hint="cs"/>
          <w:szCs w:val="24"/>
          <w:rtl/>
        </w:rPr>
        <w:t>:</w:t>
      </w:r>
      <w:r w:rsidRPr="00A52585">
        <w:rPr>
          <w:rFonts w:hint="cs"/>
          <w:szCs w:val="24"/>
          <w:rtl/>
        </w:rPr>
        <w:t xml:space="preserve"> استوى</w:t>
      </w:r>
      <w:r w:rsidR="0002035C" w:rsidRPr="00A52585">
        <w:rPr>
          <w:rFonts w:hint="cs"/>
          <w:szCs w:val="24"/>
          <w:rtl/>
        </w:rPr>
        <w:t>:</w:t>
      </w:r>
      <w:r w:rsidRPr="00A52585">
        <w:rPr>
          <w:rFonts w:hint="cs"/>
          <w:szCs w:val="24"/>
          <w:rtl/>
        </w:rPr>
        <w:t xml:space="preserve"> علا على العرش) كتاب التوحيد 4/280) وقصده والله أعلم العلو بالمنزلة والسلطان لا بالجهة والمكان أي علت منزلته تعالى على منزلة العرش الذي هو أكبر الخلق- وعلى غيره إذن بطريق الأولى – علوا لا يقادره قدره بدلالة (ثم)، وإنما قلنا ذلك لضرورة ما عرفت من البرهان الذي يبعد أشد البعد أن يخفى أمره علـى علمـاء السلف الأفضلين من أمثال مجاهد رحمه الله على استحالة الجهة والمكان عليه تعالى وممن نص على إرادة هذا المعنى من الاستواء كذلك أبو الحسن الطبري رحمه الله … "</w:t>
      </w:r>
      <w:r w:rsidR="0002035C" w:rsidRPr="00A52585">
        <w:rPr>
          <w:rFonts w:hint="cs"/>
          <w:szCs w:val="24"/>
          <w:rtl/>
        </w:rPr>
        <w:t xml:space="preserve"> </w:t>
      </w:r>
      <w:r w:rsidRPr="00A52585">
        <w:rPr>
          <w:rFonts w:hint="cs"/>
          <w:szCs w:val="24"/>
          <w:rtl/>
        </w:rPr>
        <w:t>ثم نقل فضيلته كلام الإمام البيهقي في هذا التأويل وأنه رأي فريق من الأشاعرة بمعنى علو المنزلة والسلطان انظر المحكم والمتشابه 2/752-754 وقد ذكر هذا التأويل أيضاً الإمام ابن المعلم القرشي في كتابه الجليل (نجم المهتدي) لوحة 530 من المخطوط فقال</w:t>
      </w:r>
      <w:r w:rsidR="0002035C" w:rsidRPr="00A52585">
        <w:rPr>
          <w:rFonts w:hint="cs"/>
          <w:szCs w:val="24"/>
          <w:rtl/>
        </w:rPr>
        <w:t xml:space="preserve">: </w:t>
      </w:r>
      <w:r w:rsidRPr="00A52585">
        <w:rPr>
          <w:rFonts w:hint="cs"/>
          <w:szCs w:val="24"/>
          <w:rtl/>
        </w:rPr>
        <w:t xml:space="preserve">"ذكره الشيخ الإمام محمد بن عمر القرطبي وهو أن الاستواء بمعنى العلو بالعظمة والعزة، وأن صفاته تعالى أرفع من صفات العرش على جلالة قدره، وهو قول أبي جعفر </w:t>
      </w:r>
      <w:proofErr w:type="spellStart"/>
      <w:r w:rsidRPr="00A52585">
        <w:rPr>
          <w:rFonts w:hint="cs"/>
          <w:szCs w:val="24"/>
          <w:rtl/>
        </w:rPr>
        <w:t>التيمائي</w:t>
      </w:r>
      <w:proofErr w:type="spellEnd"/>
      <w:r w:rsidRPr="00A52585">
        <w:rPr>
          <w:rFonts w:hint="cs"/>
          <w:szCs w:val="24"/>
          <w:rtl/>
        </w:rPr>
        <w:t xml:space="preserve"> وأبي المنصور </w:t>
      </w:r>
      <w:r w:rsidR="0002035C" w:rsidRPr="00A52585">
        <w:rPr>
          <w:rFonts w:hint="cs"/>
          <w:szCs w:val="24"/>
          <w:rtl/>
        </w:rPr>
        <w:t>(</w:t>
      </w:r>
      <w:r w:rsidRPr="00A52585">
        <w:rPr>
          <w:rFonts w:hint="cs"/>
          <w:szCs w:val="24"/>
          <w:rtl/>
        </w:rPr>
        <w:t>قلت</w:t>
      </w:r>
      <w:r w:rsidR="0002035C" w:rsidRPr="00A52585">
        <w:rPr>
          <w:rFonts w:hint="cs"/>
          <w:szCs w:val="24"/>
          <w:rtl/>
        </w:rPr>
        <w:t>):</w:t>
      </w:r>
      <w:r w:rsidRPr="00A52585">
        <w:rPr>
          <w:rFonts w:hint="cs"/>
          <w:szCs w:val="24"/>
          <w:rtl/>
        </w:rPr>
        <w:t xml:space="preserve"> شرح هذا التأويل أن يقال</w:t>
      </w:r>
      <w:r w:rsidR="0002035C" w:rsidRPr="00A52585">
        <w:rPr>
          <w:rFonts w:hint="cs"/>
          <w:szCs w:val="24"/>
          <w:rtl/>
        </w:rPr>
        <w:t>:</w:t>
      </w:r>
      <w:r w:rsidRPr="00A52585">
        <w:rPr>
          <w:rFonts w:hint="cs"/>
          <w:szCs w:val="24"/>
          <w:rtl/>
        </w:rPr>
        <w:t xml:space="preserve"> خلق السموات </w:t>
      </w:r>
      <w:r w:rsidRPr="00A52585">
        <w:rPr>
          <w:rFonts w:hint="cs"/>
          <w:szCs w:val="24"/>
          <w:rtl/>
        </w:rPr>
        <w:lastRenderedPageBreak/>
        <w:t>والأرض التي خلقها أكبر من خلق الناس وعظمته تقتضي ذلك، بل العرش الذي تقررت عظمته عندكم لا تذكر عظمته وعلوه بالنسبة إلى عظمة الباري وعلوه وعزته ونظير هذا ما ذكر من أحد التأويلات في قوله (لا أقسم بيوم القيامة)، (فلا أقسم بالشفق)</w:t>
      </w:r>
      <w:r w:rsidR="0002035C" w:rsidRPr="00A52585">
        <w:rPr>
          <w:rFonts w:hint="cs"/>
          <w:szCs w:val="24"/>
          <w:rtl/>
        </w:rPr>
        <w:t>:</w:t>
      </w:r>
      <w:r w:rsidRPr="00A52585">
        <w:rPr>
          <w:rFonts w:hint="cs"/>
          <w:szCs w:val="24"/>
          <w:rtl/>
        </w:rPr>
        <w:t xml:space="preserve"> لا أقسم بهذه المخلوقات وإن كانت عظيمة عندكم، بل أطرحها وأقسم بربها فإن عظمتها ليست بشيء بالنسبة إلى عظمة ربها "</w:t>
      </w:r>
      <w:r w:rsidR="0002035C" w:rsidRPr="00A52585">
        <w:rPr>
          <w:rFonts w:hint="cs"/>
          <w:szCs w:val="24"/>
          <w:rtl/>
        </w:rPr>
        <w:t xml:space="preserve"> </w:t>
      </w:r>
      <w:r w:rsidRPr="00A52585">
        <w:rPr>
          <w:rFonts w:hint="cs"/>
          <w:szCs w:val="24"/>
          <w:rtl/>
        </w:rPr>
        <w:t>أهـ وهذا التأويل هو الثالث عشر في (نجم المهتدي)</w:t>
      </w:r>
      <w:r w:rsidR="0002035C" w:rsidRPr="00A52585">
        <w:rPr>
          <w:rFonts w:hint="cs"/>
          <w:szCs w:val="24"/>
          <w:rtl/>
        </w:rPr>
        <w:t>]</w:t>
      </w:r>
      <w:r w:rsidR="00DB731D" w:rsidRPr="00A52585">
        <w:rPr>
          <w:rFonts w:hint="cs"/>
          <w:rtl/>
        </w:rPr>
        <w:t>،</w:t>
      </w:r>
      <w:r w:rsidRPr="00A52585">
        <w:rPr>
          <w:rFonts w:hint="cs"/>
          <w:rtl/>
        </w:rPr>
        <w:t xml:space="preserve"> قال أبو الفرج ابن الجوزي</w:t>
      </w:r>
      <w:r w:rsidR="0002035C" w:rsidRPr="00A52585">
        <w:rPr>
          <w:rFonts w:hint="cs"/>
          <w:rtl/>
        </w:rPr>
        <w:t>:</w:t>
      </w:r>
      <w:r w:rsidRPr="00A52585">
        <w:rPr>
          <w:rFonts w:hint="cs"/>
          <w:rtl/>
        </w:rPr>
        <w:t xml:space="preserve"> وجميع السلف على إمرار هذه الآية كما جاءت من غير تفسير ولا تأويل</w:t>
      </w:r>
      <w:r w:rsidR="00DB731D" w:rsidRPr="00A52585">
        <w:rPr>
          <w:rFonts w:hint="cs"/>
          <w:rtl/>
        </w:rPr>
        <w:t>،</w:t>
      </w:r>
      <w:r w:rsidRPr="00A52585">
        <w:rPr>
          <w:rFonts w:hint="cs"/>
          <w:rtl/>
        </w:rPr>
        <w:t xml:space="preserve"> قال عبد الله بن وهب</w:t>
      </w:r>
      <w:r w:rsidR="0002035C" w:rsidRPr="00A52585">
        <w:rPr>
          <w:rFonts w:hint="cs"/>
          <w:rtl/>
        </w:rPr>
        <w:t>:</w:t>
      </w:r>
      <w:r w:rsidRPr="00A52585">
        <w:rPr>
          <w:rFonts w:hint="cs"/>
          <w:rtl/>
        </w:rPr>
        <w:t xml:space="preserve"> كنا عند مالك بن أنس فدخل رجل فقال</w:t>
      </w:r>
      <w:r w:rsidR="0002035C" w:rsidRPr="00A52585">
        <w:rPr>
          <w:rFonts w:hint="cs"/>
          <w:rtl/>
        </w:rPr>
        <w:t>:</w:t>
      </w:r>
      <w:r w:rsidRPr="00A52585">
        <w:rPr>
          <w:rFonts w:hint="cs"/>
          <w:rtl/>
        </w:rPr>
        <w:t xml:space="preserve"> يا أبا عبد الله {الرحمن على العرش استوى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طه</w:t>
      </w:r>
      <w:r w:rsidR="0002035C" w:rsidRPr="00A52585">
        <w:rPr>
          <w:rFonts w:hint="cs"/>
          <w:rtl/>
        </w:rPr>
        <w:t>:</w:t>
      </w:r>
      <w:r w:rsidRPr="00A52585">
        <w:rPr>
          <w:rFonts w:hint="cs"/>
          <w:rtl/>
        </w:rPr>
        <w:t xml:space="preserve"> 5</w:t>
      </w:r>
      <w:r w:rsidR="0002035C" w:rsidRPr="00A52585">
        <w:rPr>
          <w:rFonts w:hint="cs"/>
          <w:rtl/>
        </w:rPr>
        <w:t>]</w:t>
      </w:r>
      <w:r w:rsidR="00DB731D" w:rsidRPr="00A52585">
        <w:rPr>
          <w:rFonts w:hint="cs"/>
          <w:rtl/>
        </w:rPr>
        <w:t>،</w:t>
      </w:r>
      <w:r w:rsidR="0002035C" w:rsidRPr="00A52585">
        <w:rPr>
          <w:rFonts w:hint="cs"/>
          <w:rtl/>
        </w:rPr>
        <w:t xml:space="preserve"> </w:t>
      </w:r>
      <w:r w:rsidRPr="00A52585">
        <w:rPr>
          <w:rFonts w:hint="cs"/>
          <w:rtl/>
        </w:rPr>
        <w:t>كيف استواؤه</w:t>
      </w:r>
      <w:r w:rsidR="00F95886" w:rsidRPr="00A52585">
        <w:rPr>
          <w:rFonts w:hint="cs"/>
          <w:rtl/>
        </w:rPr>
        <w:t>؟</w:t>
      </w:r>
      <w:r w:rsidRPr="00A52585">
        <w:rPr>
          <w:rFonts w:hint="cs"/>
          <w:rtl/>
        </w:rPr>
        <w:t xml:space="preserve"> فأطرق مالك وأخذته الرَّحضَاء</w:t>
      </w:r>
      <w:r w:rsidR="00DB731D" w:rsidRPr="00A52585">
        <w:rPr>
          <w:rFonts w:hint="cs"/>
          <w:rtl/>
        </w:rPr>
        <w:t>،</w:t>
      </w:r>
      <w:r w:rsidRPr="00A52585">
        <w:rPr>
          <w:rFonts w:hint="cs"/>
          <w:rtl/>
        </w:rPr>
        <w:t xml:space="preserve"> ثم رفع رأسه فقال</w:t>
      </w:r>
      <w:r w:rsidR="0002035C" w:rsidRPr="00A52585">
        <w:rPr>
          <w:rFonts w:hint="cs"/>
          <w:rtl/>
        </w:rPr>
        <w:t>:</w:t>
      </w:r>
      <w:r w:rsidRPr="00A52585">
        <w:rPr>
          <w:rFonts w:hint="cs"/>
          <w:rtl/>
        </w:rPr>
        <w:t xml:space="preserve"> الرحمن على العرش استوى</w:t>
      </w:r>
      <w:r w:rsidR="00DB731D" w:rsidRPr="00A52585">
        <w:rPr>
          <w:rFonts w:hint="cs"/>
          <w:rtl/>
        </w:rPr>
        <w:t>،</w:t>
      </w:r>
      <w:r w:rsidRPr="00A52585">
        <w:rPr>
          <w:rFonts w:hint="cs"/>
          <w:rtl/>
        </w:rPr>
        <w:t xml:space="preserve"> كما وصف نفسه</w:t>
      </w:r>
      <w:r w:rsidR="00DB731D" w:rsidRPr="00A52585">
        <w:rPr>
          <w:rFonts w:hint="cs"/>
          <w:rtl/>
        </w:rPr>
        <w:t>،</w:t>
      </w:r>
      <w:r w:rsidRPr="00A52585">
        <w:rPr>
          <w:rFonts w:hint="cs"/>
          <w:rtl/>
        </w:rPr>
        <w:t xml:space="preserve"> ولا يقال له كيف</w:t>
      </w:r>
      <w:r w:rsidR="00DB731D" w:rsidRPr="00A52585">
        <w:rPr>
          <w:rFonts w:hint="cs"/>
          <w:rtl/>
        </w:rPr>
        <w:t>،</w:t>
      </w:r>
      <w:r w:rsidRPr="00A52585">
        <w:rPr>
          <w:rFonts w:hint="cs"/>
          <w:rtl/>
        </w:rPr>
        <w:t xml:space="preserve"> وكيف عنه مرفوع وأنت رجل سوء صاحب بدعة أخرجوه فأخرج</w:t>
      </w:r>
      <w:r w:rsidR="00DB731D" w:rsidRPr="00A52585">
        <w:rPr>
          <w:rFonts w:hint="cs"/>
          <w:rtl/>
        </w:rPr>
        <w:t>،</w:t>
      </w:r>
      <w:r w:rsidRPr="00A52585">
        <w:rPr>
          <w:rFonts w:hint="cs"/>
          <w:rtl/>
        </w:rPr>
        <w:t xml:space="preserve"> وكان ابن حامد يقول</w:t>
      </w:r>
      <w:r w:rsidR="0002035C" w:rsidRPr="00A52585">
        <w:rPr>
          <w:rFonts w:hint="cs"/>
          <w:rtl/>
        </w:rPr>
        <w:t>:</w:t>
      </w:r>
      <w:r w:rsidRPr="00A52585">
        <w:rPr>
          <w:rFonts w:hint="cs"/>
          <w:rtl/>
        </w:rPr>
        <w:t xml:space="preserve"> المراد بالاستواء القعود. وزاد بعضهم</w:t>
      </w:r>
      <w:r w:rsidR="0002035C" w:rsidRPr="00A52585">
        <w:rPr>
          <w:rFonts w:hint="cs"/>
          <w:rtl/>
        </w:rPr>
        <w:t>:</w:t>
      </w:r>
      <w:r w:rsidRPr="00A52585">
        <w:rPr>
          <w:rFonts w:hint="cs"/>
          <w:rtl/>
        </w:rPr>
        <w:t xml:space="preserve"> استوى على العرش بذاته فزاد هذه الزيادة</w:t>
      </w:r>
      <w:r w:rsidR="00DB731D" w:rsidRPr="00A52585">
        <w:rPr>
          <w:rFonts w:hint="cs"/>
          <w:rtl/>
        </w:rPr>
        <w:t>،</w:t>
      </w:r>
      <w:r w:rsidRPr="00A52585">
        <w:rPr>
          <w:rFonts w:hint="cs"/>
          <w:rtl/>
        </w:rPr>
        <w:t xml:space="preserve"> وهي جرأة على الله عز وجل بما لم يقل</w:t>
      </w:r>
      <w:r w:rsidR="00DB731D" w:rsidRPr="00A52585">
        <w:rPr>
          <w:rFonts w:hint="cs"/>
          <w:rtl/>
        </w:rPr>
        <w:t>،</w:t>
      </w:r>
      <w:r w:rsidRPr="00A52585">
        <w:rPr>
          <w:rFonts w:hint="cs"/>
          <w:rtl/>
        </w:rPr>
        <w:t xml:space="preserve"> قال أبو الفرج</w:t>
      </w:r>
      <w:r w:rsidR="0002035C" w:rsidRPr="00A52585">
        <w:rPr>
          <w:rFonts w:hint="cs"/>
          <w:rtl/>
        </w:rPr>
        <w:t>:</w:t>
      </w:r>
      <w:r w:rsidRPr="00A52585">
        <w:rPr>
          <w:rFonts w:hint="cs"/>
          <w:rtl/>
        </w:rPr>
        <w:t xml:space="preserve"> وقد ذهبت طائفة من أصحابنا إلى أن الله تعالى على عرشه ما ملأه وأنه يقعد نبيه معه على العرش</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والعجب من قول هذا</w:t>
      </w:r>
      <w:r w:rsidR="0002035C" w:rsidRPr="00A52585">
        <w:rPr>
          <w:rFonts w:hint="cs"/>
          <w:rtl/>
        </w:rPr>
        <w:t>:</w:t>
      </w:r>
      <w:r w:rsidRPr="00A52585">
        <w:rPr>
          <w:rFonts w:hint="cs"/>
          <w:rtl/>
        </w:rPr>
        <w:t xml:space="preserve"> ما نحن مجسمة. وهو تشبيه محض تعالى الله عز وجل عن المحل والحيز لاستغنائه عنهما</w:t>
      </w:r>
      <w:r w:rsidR="00DB731D" w:rsidRPr="00A52585">
        <w:rPr>
          <w:rFonts w:hint="cs"/>
          <w:rtl/>
        </w:rPr>
        <w:t>،</w:t>
      </w:r>
      <w:r w:rsidRPr="00A52585">
        <w:rPr>
          <w:rFonts w:hint="cs"/>
          <w:rtl/>
        </w:rPr>
        <w:t xml:space="preserve"> وذلك مستحيل في حقه عز وجل</w:t>
      </w:r>
      <w:r w:rsidR="00DB731D" w:rsidRPr="00A52585">
        <w:rPr>
          <w:rFonts w:hint="cs"/>
          <w:rtl/>
        </w:rPr>
        <w:t>،</w:t>
      </w:r>
      <w:r w:rsidRPr="00A52585">
        <w:rPr>
          <w:rFonts w:hint="cs"/>
          <w:rtl/>
        </w:rPr>
        <w:t xml:space="preserve"> ولأن المحل والحيز من لوازم الأجرام</w:t>
      </w:r>
      <w:r w:rsidR="00DB731D" w:rsidRPr="00A52585">
        <w:rPr>
          <w:rFonts w:hint="cs"/>
          <w:rtl/>
        </w:rPr>
        <w:t>،</w:t>
      </w:r>
      <w:r w:rsidRPr="00A52585">
        <w:rPr>
          <w:rFonts w:hint="cs"/>
          <w:rtl/>
        </w:rPr>
        <w:t xml:space="preserve"> لا نزاع في ذلك وهو سبحانه وتعالى مُنَزَّه عن ذلك شرعاً وعقلاً</w:t>
      </w:r>
      <w:r w:rsidR="00DB731D" w:rsidRPr="00A52585">
        <w:rPr>
          <w:rFonts w:hint="cs"/>
          <w:rtl/>
        </w:rPr>
        <w:t>،</w:t>
      </w:r>
      <w:r w:rsidRPr="00A52585">
        <w:rPr>
          <w:rFonts w:hint="cs"/>
          <w:rtl/>
        </w:rPr>
        <w:t xml:space="preserve"> بل هو أزَليٌّ لم يُسبق بعَدَم بخلاف الحادث</w:t>
      </w:r>
      <w:r w:rsidR="00DB731D" w:rsidRPr="00A52585">
        <w:rPr>
          <w:rFonts w:hint="cs"/>
          <w:rtl/>
        </w:rPr>
        <w:t>،</w:t>
      </w:r>
      <w:r w:rsidRPr="00A52585">
        <w:rPr>
          <w:rFonts w:hint="cs"/>
          <w:rtl/>
        </w:rPr>
        <w:t xml:space="preserve"> ومن المعلوم أن الاستواء إذا</w:t>
      </w:r>
      <w:r w:rsidR="0002035C" w:rsidRPr="00A52585">
        <w:rPr>
          <w:rFonts w:hint="cs"/>
          <w:rtl/>
        </w:rPr>
        <w:t xml:space="preserve"> </w:t>
      </w:r>
      <w:r w:rsidRPr="00A52585">
        <w:rPr>
          <w:rFonts w:hint="cs"/>
          <w:rtl/>
        </w:rPr>
        <w:t>كان بمعنى الاستقرار أو القعود لابد فيه من المماسة</w:t>
      </w:r>
      <w:r w:rsidR="00DB731D" w:rsidRPr="00A52585">
        <w:rPr>
          <w:rFonts w:hint="cs"/>
          <w:rtl/>
        </w:rPr>
        <w:t>،</w:t>
      </w:r>
      <w:r w:rsidRPr="00A52585">
        <w:rPr>
          <w:rFonts w:hint="cs"/>
          <w:rtl/>
        </w:rPr>
        <w:t xml:space="preserve"> والمماسة إنما تقع بين جسمين أو جِرْمَين</w:t>
      </w:r>
      <w:r w:rsidR="00DB731D" w:rsidRPr="00A52585">
        <w:rPr>
          <w:rFonts w:hint="cs"/>
          <w:rtl/>
        </w:rPr>
        <w:t>،</w:t>
      </w:r>
      <w:r w:rsidRPr="00A52585">
        <w:rPr>
          <w:rFonts w:hint="cs"/>
          <w:rtl/>
        </w:rPr>
        <w:t xml:space="preserve"> والقائل بهذا شَبَّه وجَسَّم</w:t>
      </w:r>
      <w:r w:rsidR="00DB731D" w:rsidRPr="00A52585">
        <w:rPr>
          <w:rFonts w:hint="cs"/>
          <w:rtl/>
        </w:rPr>
        <w:t>،</w:t>
      </w:r>
      <w:r w:rsidRPr="00A52585">
        <w:rPr>
          <w:rFonts w:hint="cs"/>
          <w:rtl/>
        </w:rPr>
        <w:t xml:space="preserve"> وما أبقى في التجسيم والتشبيه بقية</w:t>
      </w:r>
      <w:r w:rsidR="00F95886" w:rsidRPr="00A52585">
        <w:rPr>
          <w:rFonts w:hint="cs"/>
          <w:rtl/>
        </w:rPr>
        <w:t>!!</w:t>
      </w:r>
      <w:r w:rsidRPr="00A52585">
        <w:rPr>
          <w:rFonts w:hint="cs"/>
          <w:rtl/>
        </w:rPr>
        <w:t xml:space="preserve"> كما أبطل دلالة {ليس كمثله شيء} </w:t>
      </w:r>
      <w:r w:rsidR="0002035C" w:rsidRPr="00A52585">
        <w:rPr>
          <w:rFonts w:hint="cs"/>
          <w:rtl/>
        </w:rPr>
        <w:t>[</w:t>
      </w:r>
      <w:r w:rsidRPr="00A52585">
        <w:rPr>
          <w:rFonts w:hint="cs"/>
          <w:rtl/>
        </w:rPr>
        <w:t>الشورى</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ومن المعلوم في قوله تعالى</w:t>
      </w:r>
      <w:r w:rsidR="0002035C" w:rsidRPr="00A52585">
        <w:rPr>
          <w:rFonts w:hint="cs"/>
          <w:rtl/>
        </w:rPr>
        <w:t>:</w:t>
      </w:r>
      <w:r w:rsidRPr="00A52585">
        <w:rPr>
          <w:rFonts w:hint="cs"/>
          <w:rtl/>
        </w:rPr>
        <w:t xml:space="preserve"> {لتستووا على ظهوره</w:t>
      </w:r>
      <w:r w:rsidR="0002035C" w:rsidRPr="00A52585">
        <w:rPr>
          <w:rFonts w:hint="cs"/>
          <w:rtl/>
        </w:rPr>
        <w:t>} [</w:t>
      </w:r>
      <w:r w:rsidRPr="00A52585">
        <w:rPr>
          <w:rFonts w:hint="cs"/>
          <w:rtl/>
        </w:rPr>
        <w:t>الزخرف</w:t>
      </w:r>
      <w:r w:rsidR="0002035C" w:rsidRPr="00A52585">
        <w:rPr>
          <w:rFonts w:hint="cs"/>
          <w:rtl/>
        </w:rPr>
        <w:t>:</w:t>
      </w:r>
      <w:r w:rsidRPr="00A52585">
        <w:rPr>
          <w:rFonts w:hint="cs"/>
          <w:rtl/>
        </w:rPr>
        <w:t xml:space="preserve"> 13</w:t>
      </w:r>
      <w:r w:rsidR="0002035C" w:rsidRPr="00A52585">
        <w:rPr>
          <w:rFonts w:hint="cs"/>
          <w:rtl/>
        </w:rPr>
        <w:t>]</w:t>
      </w:r>
      <w:r w:rsidR="00DB731D" w:rsidRPr="00A52585">
        <w:rPr>
          <w:rFonts w:hint="cs"/>
          <w:rtl/>
        </w:rPr>
        <w:t>،</w:t>
      </w:r>
      <w:r w:rsidRPr="00A52585">
        <w:rPr>
          <w:rFonts w:hint="cs"/>
          <w:rtl/>
        </w:rPr>
        <w:t xml:space="preserve"> أنه الاستقرار على الأنعام والسفن</w:t>
      </w:r>
      <w:r w:rsidR="00DB731D" w:rsidRPr="00A52585">
        <w:rPr>
          <w:rFonts w:hint="cs"/>
          <w:rtl/>
        </w:rPr>
        <w:t>،</w:t>
      </w:r>
      <w:r w:rsidRPr="00A52585">
        <w:rPr>
          <w:rFonts w:hint="cs"/>
          <w:rtl/>
        </w:rPr>
        <w:t xml:space="preserve"> وذلك من صفات الآدميين</w:t>
      </w:r>
      <w:r w:rsidR="00DB731D" w:rsidRPr="00A52585">
        <w:rPr>
          <w:rFonts w:hint="cs"/>
          <w:rtl/>
        </w:rPr>
        <w:t>،</w:t>
      </w:r>
      <w:r w:rsidRPr="00A52585">
        <w:rPr>
          <w:rFonts w:hint="cs"/>
          <w:rtl/>
        </w:rPr>
        <w:t xml:space="preserve"> فمن جعل الاستواء على العرش بمعنى الاستقرار والتمكن فقد ساوى بينه عز وجل وبين خلقه وذلك من الأمور الواضحة التي لا يقف في تصورها بليد فضلاً عمَّنَ هو حَسَنُ التّصور جيد الفهم والذوق</w:t>
      </w:r>
      <w:r w:rsidR="00DB731D" w:rsidRPr="00A52585">
        <w:rPr>
          <w:rFonts w:hint="cs"/>
          <w:rtl/>
        </w:rPr>
        <w:t>،</w:t>
      </w:r>
      <w:r w:rsidRPr="00A52585">
        <w:rPr>
          <w:rFonts w:hint="cs"/>
          <w:rtl/>
        </w:rPr>
        <w:t xml:space="preserve"> وحينئذ فلا يقف في تكذيبه {ليس كمثله شيء}</w:t>
      </w:r>
      <w:r w:rsidRPr="00A52585">
        <w:rPr>
          <w:rFonts w:hint="cs"/>
          <w:vertAlign w:val="superscript"/>
          <w:rtl/>
        </w:rPr>
        <w:t xml:space="preserve"> </w:t>
      </w:r>
      <w:r w:rsidRPr="00A52585">
        <w:rPr>
          <w:rFonts w:hint="cs"/>
          <w:rtl/>
        </w:rPr>
        <w:t>وذلك كفر محقق</w:t>
      </w:r>
      <w:r w:rsidR="00DB731D" w:rsidRPr="00A52585">
        <w:rPr>
          <w:rFonts w:hint="cs"/>
          <w:rtl/>
        </w:rPr>
        <w:t>،</w:t>
      </w:r>
      <w:r w:rsidRPr="00A52585">
        <w:rPr>
          <w:rFonts w:hint="cs"/>
          <w:rtl/>
        </w:rPr>
        <w:t xml:space="preserve"> ثم من المعلوم أن الاستواء من الألفاظ الموضوعة بالاشتراك</w:t>
      </w:r>
      <w:r w:rsidR="00DB731D" w:rsidRPr="00A52585">
        <w:rPr>
          <w:rFonts w:hint="cs"/>
          <w:rtl/>
        </w:rPr>
        <w:t>،</w:t>
      </w:r>
      <w:r w:rsidRPr="00A52585">
        <w:rPr>
          <w:rFonts w:hint="cs"/>
          <w:rtl/>
        </w:rPr>
        <w:t xml:space="preserve"> وهو من قبيل المجمل فدعواه أنه بمعنى الاستقرار في غاية الجهل</w:t>
      </w:r>
      <w:r w:rsidR="00DB731D" w:rsidRPr="00A52585">
        <w:rPr>
          <w:rFonts w:hint="cs"/>
          <w:rtl/>
        </w:rPr>
        <w:t>،</w:t>
      </w:r>
      <w:r w:rsidRPr="00A52585">
        <w:rPr>
          <w:rFonts w:hint="cs"/>
          <w:rtl/>
        </w:rPr>
        <w:t xml:space="preserve"> لجعله المشترك دليلاً على أحد أقسامه خَاصّة</w:t>
      </w:r>
      <w:r w:rsidR="00DB731D" w:rsidRPr="00A52585">
        <w:rPr>
          <w:rFonts w:hint="cs"/>
          <w:rtl/>
        </w:rPr>
        <w:t>،</w:t>
      </w:r>
      <w:r w:rsidRPr="00A52585">
        <w:rPr>
          <w:rFonts w:hint="cs"/>
          <w:rtl/>
        </w:rPr>
        <w:t xml:space="preserve"> فالحمار مع بلادته لا يرضى لنفسه أن يكون ضحكة لجعله القسم قسيماً</w:t>
      </w:r>
      <w:r w:rsidR="00DB731D" w:rsidRPr="00A52585">
        <w:rPr>
          <w:rFonts w:hint="cs"/>
          <w:rtl/>
        </w:rPr>
        <w:t>،</w:t>
      </w:r>
      <w:r w:rsidRPr="00A52585">
        <w:rPr>
          <w:rFonts w:hint="cs"/>
          <w:rtl/>
        </w:rPr>
        <w:t xml:space="preserve"> فمن تأمَّل هؤلاء الحمقى وجدهم على جَهْلٍ مرَكَّب</w:t>
      </w:r>
      <w:r w:rsidR="00DB731D" w:rsidRPr="00A52585">
        <w:rPr>
          <w:rFonts w:hint="cs"/>
          <w:rtl/>
        </w:rPr>
        <w:t>،</w:t>
      </w:r>
      <w:r w:rsidRPr="00A52585">
        <w:rPr>
          <w:rFonts w:hint="cs"/>
          <w:rtl/>
        </w:rPr>
        <w:t xml:space="preserve"> يحتجون بالأدلة المجملة التي لا دليل فيها قطعاً عند أهل العلم</w:t>
      </w:r>
      <w:r w:rsidR="00DB731D" w:rsidRPr="00A52585">
        <w:rPr>
          <w:rFonts w:hint="cs"/>
          <w:rtl/>
        </w:rPr>
        <w:t>،</w:t>
      </w:r>
      <w:r w:rsidRPr="00A52585">
        <w:rPr>
          <w:rFonts w:hint="cs"/>
          <w:rtl/>
        </w:rPr>
        <w:t xml:space="preserve"> ويتركون الأدلة التي ظاهرها في غاية الظهور في الدليل على خلاف دعواهم</w:t>
      </w:r>
      <w:r w:rsidR="00DB731D" w:rsidRPr="00A52585">
        <w:rPr>
          <w:rFonts w:hint="cs"/>
          <w:rtl/>
        </w:rPr>
        <w:t>،</w:t>
      </w:r>
      <w:r w:rsidRPr="00A52585">
        <w:rPr>
          <w:rFonts w:hint="cs"/>
          <w:rtl/>
        </w:rPr>
        <w:t xml:space="preserve"> بل بعضها نصوص كما قدمته في حديث النخامة وغيرها</w:t>
      </w:r>
      <w:r w:rsidR="00DB731D" w:rsidRPr="00A52585">
        <w:rPr>
          <w:rFonts w:hint="cs"/>
          <w:rtl/>
        </w:rPr>
        <w:t>،</w:t>
      </w:r>
      <w:r w:rsidRPr="00A52585">
        <w:rPr>
          <w:rFonts w:hint="cs"/>
          <w:rtl/>
        </w:rPr>
        <w:t xml:space="preserve"> فتنبه لذلك لتبقى على بصيرة من جهل أولئك</w:t>
      </w:r>
      <w:r w:rsidR="00DB731D" w:rsidRPr="00A52585">
        <w:rPr>
          <w:rFonts w:hint="cs"/>
          <w:rtl/>
        </w:rPr>
        <w:t>،</w:t>
      </w:r>
      <w:r w:rsidRPr="00A52585">
        <w:rPr>
          <w:rFonts w:hint="cs"/>
          <w:rtl/>
        </w:rPr>
        <w:t xml:space="preserve"> ومن المعلوم أنه عز وجل واجب الوجود كان ولا زمان ولا مكان وهما - أعنى </w:t>
      </w:r>
      <w:r w:rsidRPr="00A52585">
        <w:rPr>
          <w:rFonts w:hint="cs"/>
          <w:rtl/>
        </w:rPr>
        <w:lastRenderedPageBreak/>
        <w:t>الزمان والمكان - مخلوقان</w:t>
      </w:r>
      <w:r w:rsidR="00DB731D" w:rsidRPr="00A52585">
        <w:rPr>
          <w:rFonts w:hint="cs"/>
          <w:rtl/>
        </w:rPr>
        <w:t>،</w:t>
      </w:r>
      <w:r w:rsidRPr="00A52585">
        <w:rPr>
          <w:rFonts w:hint="cs"/>
          <w:rtl/>
        </w:rPr>
        <w:t xml:space="preserve"> وبالضرورة أن من هو في مكان فهو محيط به ويكون مقدراً ومحدوداً</w:t>
      </w:r>
      <w:r w:rsidR="00DB731D" w:rsidRPr="00A52585">
        <w:rPr>
          <w:rFonts w:hint="cs"/>
          <w:rtl/>
        </w:rPr>
        <w:t>،</w:t>
      </w:r>
      <w:r w:rsidRPr="00A52585">
        <w:rPr>
          <w:rFonts w:hint="cs"/>
          <w:rtl/>
        </w:rPr>
        <w:t xml:space="preserve"> وهو سبحانه وتعالى متره عن التقدير والتحديد</w:t>
      </w:r>
      <w:r w:rsidR="00DB731D" w:rsidRPr="00A52585">
        <w:rPr>
          <w:rFonts w:hint="cs"/>
          <w:rtl/>
        </w:rPr>
        <w:t>،</w:t>
      </w:r>
      <w:r w:rsidRPr="00A52585">
        <w:rPr>
          <w:rFonts w:hint="cs"/>
          <w:rtl/>
        </w:rPr>
        <w:t xml:space="preserve"> وعن أن </w:t>
      </w:r>
      <w:proofErr w:type="spellStart"/>
      <w:r w:rsidRPr="00A52585">
        <w:rPr>
          <w:rFonts w:hint="cs"/>
          <w:rtl/>
        </w:rPr>
        <w:t>يحويه</w:t>
      </w:r>
      <w:proofErr w:type="spellEnd"/>
      <w:r w:rsidRPr="00A52585">
        <w:rPr>
          <w:rFonts w:hint="cs"/>
          <w:rtl/>
        </w:rPr>
        <w:t xml:space="preserve"> شيء وأن يحدث له صفة</w:t>
      </w:r>
      <w:r w:rsidR="00DB731D" w:rsidRPr="00A52585">
        <w:rPr>
          <w:rFonts w:hint="cs"/>
          <w:rtl/>
        </w:rPr>
        <w:t>،</w:t>
      </w:r>
      <w:r w:rsidRPr="00A52585">
        <w:rPr>
          <w:rFonts w:hint="cs"/>
          <w:rtl/>
        </w:rPr>
        <w:t xml:space="preserve"> تعالى الله عما يصفون وعما يقولون علواً كبيراً</w:t>
      </w:r>
      <w:r w:rsidR="00DB731D" w:rsidRPr="00A52585">
        <w:rPr>
          <w:rFonts w:hint="cs"/>
          <w:rtl/>
        </w:rPr>
        <w:t>،</w:t>
      </w:r>
      <w:r w:rsidRPr="00A52585">
        <w:rPr>
          <w:rFonts w:hint="cs"/>
          <w:rtl/>
        </w:rPr>
        <w:t xml:space="preserve"> فإن قيل</w:t>
      </w:r>
      <w:r w:rsidR="0002035C" w:rsidRPr="00A52585">
        <w:rPr>
          <w:rFonts w:hint="cs"/>
          <w:rtl/>
        </w:rPr>
        <w:t>:</w:t>
      </w:r>
      <w:r w:rsidRPr="00A52585">
        <w:rPr>
          <w:rFonts w:hint="cs"/>
          <w:rtl/>
        </w:rPr>
        <w:t xml:space="preserve"> ففي الصحيحين من حديث شريك بن أبي نَمِر عن أنس رضي الله عنه أنه ذكر المعراج</w:t>
      </w:r>
      <w:r w:rsidR="00DB731D" w:rsidRPr="00A52585">
        <w:rPr>
          <w:rFonts w:hint="cs"/>
          <w:rtl/>
        </w:rPr>
        <w:t>،</w:t>
      </w:r>
      <w:r w:rsidRPr="00A52585">
        <w:rPr>
          <w:rFonts w:hint="cs"/>
          <w:rtl/>
        </w:rPr>
        <w:t xml:space="preserve"> وفيه</w:t>
      </w:r>
      <w:r w:rsidR="0002035C" w:rsidRPr="00A52585">
        <w:rPr>
          <w:rFonts w:hint="cs"/>
          <w:rtl/>
        </w:rPr>
        <w:t xml:space="preserve">: </w:t>
      </w:r>
      <w:r w:rsidRPr="00A52585">
        <w:rPr>
          <w:rFonts w:hint="cs"/>
          <w:rtl/>
        </w:rPr>
        <w:t>(</w:t>
      </w:r>
      <w:r w:rsidR="0002035C" w:rsidRPr="00A52585">
        <w:rPr>
          <w:rFonts w:hint="cs"/>
          <w:rtl/>
        </w:rPr>
        <w:t>(</w:t>
      </w:r>
      <w:r w:rsidRPr="00A52585">
        <w:rPr>
          <w:rFonts w:hint="cs"/>
          <w:rtl/>
        </w:rPr>
        <w:t>فَعَلا</w:t>
      </w:r>
      <w:r w:rsidR="0002035C" w:rsidRPr="00A52585">
        <w:rPr>
          <w:rFonts w:hint="cs"/>
          <w:rtl/>
        </w:rPr>
        <w:t xml:space="preserve"> </w:t>
      </w:r>
      <w:r w:rsidRPr="00A52585">
        <w:rPr>
          <w:rFonts w:hint="cs"/>
          <w:rtl/>
        </w:rPr>
        <w:t>به الجبار تعالى</w:t>
      </w:r>
      <w:r w:rsidR="00DB731D" w:rsidRPr="00A52585">
        <w:rPr>
          <w:rFonts w:hint="cs"/>
          <w:rtl/>
        </w:rPr>
        <w:t>،</w:t>
      </w:r>
      <w:r w:rsidRPr="00A52585">
        <w:rPr>
          <w:rFonts w:hint="cs"/>
          <w:rtl/>
        </w:rPr>
        <w:t xml:space="preserve"> فقال وهو في مكانه</w:t>
      </w:r>
      <w:r w:rsidR="0002035C" w:rsidRPr="00A52585">
        <w:rPr>
          <w:rFonts w:hint="cs"/>
          <w:rtl/>
        </w:rPr>
        <w:t>:</w:t>
      </w:r>
      <w:r w:rsidRPr="00A52585">
        <w:rPr>
          <w:rFonts w:hint="cs"/>
          <w:rtl/>
        </w:rPr>
        <w:t xml:space="preserve"> يا رب خَفِّف عنَّا …</w:t>
      </w:r>
      <w:r w:rsidR="0002035C" w:rsidRPr="00A52585">
        <w:rPr>
          <w:rFonts w:hint="cs"/>
          <w:rtl/>
        </w:rPr>
        <w:t>)</w:t>
      </w:r>
      <w:r w:rsidRPr="00A52585">
        <w:rPr>
          <w:rFonts w:hint="cs"/>
          <w:rtl/>
        </w:rPr>
        <w:t>)</w:t>
      </w:r>
      <w:r w:rsidR="0002035C" w:rsidRPr="00A52585">
        <w:rPr>
          <w:rFonts w:hint="cs"/>
          <w:rtl/>
        </w:rPr>
        <w:t xml:space="preserve"> </w:t>
      </w:r>
      <w:r w:rsidRPr="00A52585">
        <w:rPr>
          <w:rFonts w:hint="cs"/>
          <w:rtl/>
        </w:rPr>
        <w:t>الحديث</w:t>
      </w:r>
      <w:r w:rsidR="00DB731D" w:rsidRPr="00A52585">
        <w:rPr>
          <w:rFonts w:hint="cs"/>
          <w:rtl/>
        </w:rPr>
        <w:t>،</w:t>
      </w:r>
      <w:r w:rsidRPr="00A52585">
        <w:rPr>
          <w:rFonts w:hint="cs"/>
          <w:rtl/>
        </w:rPr>
        <w:t xml:space="preserve"> فالجواب</w:t>
      </w:r>
      <w:r w:rsidR="0002035C" w:rsidRPr="00A52585">
        <w:rPr>
          <w:rFonts w:hint="cs"/>
          <w:rtl/>
        </w:rPr>
        <w:t>:</w:t>
      </w:r>
      <w:r w:rsidRPr="00A52585">
        <w:rPr>
          <w:rFonts w:hint="cs"/>
          <w:rtl/>
        </w:rPr>
        <w:t xml:space="preserve"> أن الحافظ أبا سليمان الخطابي قال</w:t>
      </w:r>
      <w:r w:rsidR="0002035C" w:rsidRPr="00A52585">
        <w:rPr>
          <w:rFonts w:hint="cs"/>
          <w:rtl/>
        </w:rPr>
        <w:t xml:space="preserve">: </w:t>
      </w:r>
      <w:r w:rsidRPr="00A52585">
        <w:rPr>
          <w:rFonts w:hint="cs"/>
          <w:rtl/>
        </w:rPr>
        <w:t>إنَّ هذه لفظة تفرَّد بها شريك ولم يذكرها غيره</w:t>
      </w:r>
      <w:r w:rsidR="00DB731D" w:rsidRPr="00A52585">
        <w:rPr>
          <w:rFonts w:hint="cs"/>
          <w:rtl/>
        </w:rPr>
        <w:t>،</w:t>
      </w:r>
      <w:r w:rsidRPr="00A52585">
        <w:rPr>
          <w:rFonts w:hint="cs"/>
          <w:rtl/>
        </w:rPr>
        <w:t xml:space="preserve"> وهو كثير التفرّد بمناكير الألفاظ</w:t>
      </w:r>
      <w:r w:rsidR="00DB731D" w:rsidRPr="00A52585">
        <w:rPr>
          <w:rFonts w:hint="cs"/>
          <w:rtl/>
        </w:rPr>
        <w:t>،</w:t>
      </w:r>
      <w:r w:rsidRPr="00A52585">
        <w:rPr>
          <w:rFonts w:hint="cs"/>
          <w:rtl/>
        </w:rPr>
        <w:t xml:space="preserve"> والمكان لا يضاف إلى الله سبحانه وتعالى إنما هو مكان النبي صلى الله عليه وسلم ومقامه الأول الذي أقيم فيه</w:t>
      </w:r>
      <w:r w:rsidR="00DB731D" w:rsidRPr="00A52585">
        <w:rPr>
          <w:rFonts w:hint="cs"/>
          <w:rtl/>
        </w:rPr>
        <w:t>،</w:t>
      </w:r>
      <w:r w:rsidRPr="00A52585">
        <w:rPr>
          <w:rFonts w:hint="cs"/>
          <w:rtl/>
        </w:rPr>
        <w:t xml:space="preserve"> وفي هذا الحديث (</w:t>
      </w:r>
      <w:r w:rsidR="0002035C" w:rsidRPr="00A52585">
        <w:rPr>
          <w:rFonts w:hint="cs"/>
          <w:rtl/>
        </w:rPr>
        <w:t>(</w:t>
      </w:r>
      <w:r w:rsidRPr="00A52585">
        <w:rPr>
          <w:rFonts w:hint="cs"/>
          <w:rtl/>
        </w:rPr>
        <w:t>فأستأذن</w:t>
      </w:r>
      <w:r w:rsidR="0002035C" w:rsidRPr="00A52585">
        <w:rPr>
          <w:rFonts w:hint="cs"/>
          <w:vertAlign w:val="superscript"/>
          <w:rtl/>
        </w:rPr>
        <w:t xml:space="preserve"> </w:t>
      </w:r>
      <w:r w:rsidRPr="00A52585">
        <w:rPr>
          <w:rFonts w:hint="cs"/>
          <w:rtl/>
        </w:rPr>
        <w:t>على ربي وهو في داره</w:t>
      </w:r>
      <w:r w:rsidR="0002035C" w:rsidRPr="00A52585">
        <w:rPr>
          <w:rFonts w:hint="cs"/>
          <w:rtl/>
        </w:rPr>
        <w:t>)</w:t>
      </w:r>
      <w:r w:rsidRPr="00A52585">
        <w:rPr>
          <w:rFonts w:hint="cs"/>
          <w:rtl/>
        </w:rPr>
        <w:t>) يوهم مكاناً</w:t>
      </w:r>
      <w:r w:rsidR="00DB731D" w:rsidRPr="00A52585">
        <w:rPr>
          <w:rFonts w:hint="cs"/>
          <w:rtl/>
        </w:rPr>
        <w:t>،</w:t>
      </w:r>
      <w:r w:rsidRPr="00A52585">
        <w:rPr>
          <w:rFonts w:hint="cs"/>
          <w:rtl/>
        </w:rPr>
        <w:t xml:space="preserve"> وإنما المعنى في داره التي دورها لأوليائه</w:t>
      </w:r>
      <w:r w:rsidR="00DB731D" w:rsidRPr="00A52585">
        <w:rPr>
          <w:rFonts w:hint="cs"/>
          <w:rtl/>
        </w:rPr>
        <w:t>،</w:t>
      </w:r>
      <w:r w:rsidRPr="00A52585">
        <w:rPr>
          <w:rFonts w:hint="cs"/>
          <w:rtl/>
        </w:rPr>
        <w:t xml:space="preserve"> وقد قال القاضي أبو يعلى في كتابه (</w:t>
      </w:r>
      <w:r w:rsidR="0002035C" w:rsidRPr="00A52585">
        <w:rPr>
          <w:rFonts w:hint="cs"/>
          <w:rtl/>
        </w:rPr>
        <w:t>(</w:t>
      </w:r>
      <w:r w:rsidRPr="00A52585">
        <w:rPr>
          <w:rFonts w:hint="cs"/>
          <w:rtl/>
        </w:rPr>
        <w:t>المعتمد</w:t>
      </w:r>
      <w:r w:rsidR="0002035C" w:rsidRPr="00A52585">
        <w:rPr>
          <w:rFonts w:hint="cs"/>
          <w:rtl/>
        </w:rPr>
        <w:t>)</w:t>
      </w:r>
      <w:r w:rsidRPr="00A52585">
        <w:rPr>
          <w:rFonts w:hint="cs"/>
          <w:rtl/>
        </w:rPr>
        <w:t>) أنّ الله سبحانه وتعالى</w:t>
      </w:r>
      <w:r w:rsidR="0002035C" w:rsidRPr="00A52585">
        <w:rPr>
          <w:rFonts w:hint="cs"/>
          <w:rtl/>
        </w:rPr>
        <w:t xml:space="preserve"> </w:t>
      </w:r>
      <w:r w:rsidRPr="00A52585">
        <w:rPr>
          <w:rFonts w:hint="cs"/>
          <w:rtl/>
        </w:rPr>
        <w:t>وتقدس لا يوصف بمكان</w:t>
      </w:r>
      <w:r w:rsidRPr="00A52585">
        <w:rPr>
          <w:rFonts w:hint="cs"/>
          <w:rtl/>
          <w:lang w:bidi="ar-KW"/>
        </w:rPr>
        <w:t xml:space="preserve"> </w:t>
      </w:r>
      <w:r w:rsidR="0002035C" w:rsidRPr="00A52585">
        <w:rPr>
          <w:rFonts w:hint="cs"/>
          <w:sz w:val="24"/>
          <w:szCs w:val="24"/>
          <w:rtl/>
          <w:lang w:bidi="ar-KW"/>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ذكر العلامة الكوثري أنه يرجو أن يكون كتاب (المعتمد) هذا هو آخر ما صنفه أبو يعلي فإن امتحانه في الصفات كان قبل وفاته بثلاثين عاماً]</w:t>
      </w:r>
      <w:r w:rsidR="00DB731D" w:rsidRPr="00A52585">
        <w:rPr>
          <w:rFonts w:hint="cs"/>
          <w:rtl/>
          <w:lang w:bidi="ar-KW"/>
        </w:rPr>
        <w:t>،</w:t>
      </w:r>
      <w:r w:rsidRPr="00A52585">
        <w:rPr>
          <w:rFonts w:hint="cs"/>
          <w:rtl/>
          <w:lang w:bidi="ar-KW"/>
        </w:rPr>
        <w:t xml:space="preserve"> </w:t>
      </w:r>
      <w:r w:rsidRPr="00A52585">
        <w:rPr>
          <w:rFonts w:hint="cs"/>
          <w:rtl/>
        </w:rPr>
        <w:t>فإن قيل يلزم من كلامكم نفي الجهات ونفيها يُحيل وجوده</w:t>
      </w:r>
      <w:r w:rsidR="00F95886" w:rsidRPr="00A52585">
        <w:rPr>
          <w:rFonts w:hint="cs"/>
          <w:rtl/>
        </w:rPr>
        <w:t>؟</w:t>
      </w:r>
      <w:r w:rsidRPr="00A52585">
        <w:rPr>
          <w:rFonts w:hint="cs"/>
          <w:rtl/>
        </w:rPr>
        <w:t xml:space="preserve"> فالجواب</w:t>
      </w:r>
      <w:r w:rsidR="0002035C" w:rsidRPr="00A52585">
        <w:rPr>
          <w:rFonts w:hint="cs"/>
          <w:rtl/>
        </w:rPr>
        <w:t>:</w:t>
      </w:r>
      <w:r w:rsidRPr="00A52585">
        <w:rPr>
          <w:rFonts w:hint="cs"/>
          <w:rtl/>
        </w:rPr>
        <w:t xml:space="preserve"> أن هذا سؤال ساقط فيه تمويه على الأغبياء الذين يُحْرون الجهات المتعلقة بالآدميين بالنسبة إلى الله عز وجل تعالى عن ذلك</w:t>
      </w:r>
      <w:r w:rsidR="00DB731D" w:rsidRPr="00A52585">
        <w:rPr>
          <w:rFonts w:hint="cs"/>
          <w:rtl/>
        </w:rPr>
        <w:t>،</w:t>
      </w:r>
      <w:r w:rsidRPr="00A52585">
        <w:rPr>
          <w:rFonts w:hint="cs"/>
          <w:rtl/>
        </w:rPr>
        <w:t xml:space="preserve"> وأيضاً إن كان الموجود يقبل الاتصال والانفصال فمسلَّم</w:t>
      </w:r>
      <w:r w:rsidR="00DB731D" w:rsidRPr="00A52585">
        <w:rPr>
          <w:rFonts w:hint="cs"/>
          <w:rtl/>
        </w:rPr>
        <w:t>،</w:t>
      </w:r>
      <w:r w:rsidRPr="00A52585">
        <w:rPr>
          <w:rFonts w:hint="cs"/>
          <w:rtl/>
        </w:rPr>
        <w:t xml:space="preserve"> فأما إذا لم يقبلهما فليس خُلُوّه من طرفي النقيض بمحال</w:t>
      </w:r>
      <w:r w:rsidR="00DB731D" w:rsidRPr="00A52585">
        <w:rPr>
          <w:rFonts w:hint="cs"/>
          <w:rtl/>
        </w:rPr>
        <w:t>،</w:t>
      </w:r>
      <w:r w:rsidRPr="00A52585">
        <w:rPr>
          <w:rFonts w:hint="cs"/>
          <w:rtl/>
        </w:rPr>
        <w:t xml:space="preserve"> ويوضح هذا أنك لو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كل موجود لا يخلوا أن يكون عالماً أو جاهلاً</w:t>
      </w:r>
      <w:r w:rsidR="00DB731D" w:rsidRPr="00A52585">
        <w:rPr>
          <w:rFonts w:hint="cs"/>
          <w:rtl/>
        </w:rPr>
        <w:t>،</w:t>
      </w:r>
      <w:r w:rsidRPr="00A52585">
        <w:rPr>
          <w:rFonts w:hint="cs"/>
          <w:rtl/>
        </w:rPr>
        <w:t xml:space="preserve"> قلنا</w:t>
      </w:r>
      <w:r w:rsidR="0002035C" w:rsidRPr="00A52585">
        <w:rPr>
          <w:rFonts w:hint="cs"/>
          <w:rtl/>
        </w:rPr>
        <w:t>:</w:t>
      </w:r>
      <w:r w:rsidRPr="00A52585">
        <w:rPr>
          <w:rFonts w:hint="cs"/>
          <w:rtl/>
        </w:rPr>
        <w:t xml:space="preserve"> إن كان ذلك الموجود يقبل الضدين فنعم</w:t>
      </w:r>
      <w:r w:rsidR="00DB731D" w:rsidRPr="00A52585">
        <w:rPr>
          <w:rFonts w:hint="cs"/>
          <w:rtl/>
        </w:rPr>
        <w:t>،</w:t>
      </w:r>
      <w:r w:rsidRPr="00A52585">
        <w:rPr>
          <w:rFonts w:hint="cs"/>
          <w:rtl/>
        </w:rPr>
        <w:t xml:space="preserve"> فأما إذا لم يقبلهما كالحائط مثلاً فإنه لا يقبل العلم ولا الجهل</w:t>
      </w:r>
      <w:r w:rsidR="00DB731D" w:rsidRPr="00A52585">
        <w:rPr>
          <w:rFonts w:hint="cs"/>
          <w:rtl/>
        </w:rPr>
        <w:t>،</w:t>
      </w:r>
      <w:r w:rsidRPr="00A52585">
        <w:rPr>
          <w:rFonts w:hint="cs"/>
          <w:rtl/>
        </w:rPr>
        <w:t xml:space="preserve"> ونحن نُنَزِّه الذي ليس كمثله شيء سبحانه وتعالى كما نزَّه نفسه عن كل ما يدل على الحدث</w:t>
      </w:r>
      <w:r w:rsidR="00DB731D" w:rsidRPr="00A52585">
        <w:rPr>
          <w:rFonts w:hint="cs"/>
          <w:rtl/>
        </w:rPr>
        <w:t>،</w:t>
      </w:r>
      <w:r w:rsidRPr="00A52585">
        <w:rPr>
          <w:rFonts w:hint="cs"/>
          <w:rtl/>
        </w:rPr>
        <w:t xml:space="preserve"> وما ليس كمثله شيء لا يتصوره وَهْم ولا يتخيَّله خيال</w:t>
      </w:r>
      <w:r w:rsidR="00DB731D" w:rsidRPr="00A52585">
        <w:rPr>
          <w:rFonts w:hint="cs"/>
          <w:rtl/>
        </w:rPr>
        <w:t>،</w:t>
      </w:r>
      <w:r w:rsidRPr="00A52585">
        <w:rPr>
          <w:rFonts w:hint="cs"/>
          <w:rtl/>
        </w:rPr>
        <w:t xml:space="preserve"> والتصور والخيال إنما هما من نتائج المحسوسات والمخلوقات</w:t>
      </w:r>
      <w:r w:rsidR="00DB731D" w:rsidRPr="00A52585">
        <w:rPr>
          <w:rFonts w:hint="cs"/>
          <w:rtl/>
        </w:rPr>
        <w:t>،</w:t>
      </w:r>
      <w:r w:rsidRPr="00A52585">
        <w:rPr>
          <w:rFonts w:hint="cs"/>
          <w:rtl/>
        </w:rPr>
        <w:t xml:space="preserve"> تعالى عن ذلك علوَّا كبيرًا</w:t>
      </w:r>
      <w:r w:rsidR="00DB731D" w:rsidRPr="00A52585">
        <w:rPr>
          <w:rFonts w:hint="cs"/>
          <w:rtl/>
        </w:rPr>
        <w:t>،</w:t>
      </w:r>
      <w:r w:rsidRPr="00A52585">
        <w:rPr>
          <w:rFonts w:hint="cs"/>
          <w:rtl/>
        </w:rPr>
        <w:t xml:space="preserve"> ومن هنا وقع الغلط واستدراج العدو فأهلك خَلْقَاً</w:t>
      </w:r>
      <w:r w:rsidR="00DB731D" w:rsidRPr="00A52585">
        <w:rPr>
          <w:rFonts w:hint="cs"/>
          <w:rtl/>
        </w:rPr>
        <w:t>،</w:t>
      </w:r>
      <w:r w:rsidRPr="00A52585">
        <w:rPr>
          <w:rFonts w:hint="cs"/>
          <w:rtl/>
        </w:rPr>
        <w:t xml:space="preserve"> وقد تَنَبَّه خلق لهذه الغائلة فسَلَّموا وصرفوا عنه عقولهم إلى تَنْزِيهه سبحانه وتعالى فسَلِمُوا</w:t>
      </w:r>
      <w:r w:rsidR="00DB731D" w:rsidRPr="00A52585">
        <w:rPr>
          <w:rFonts w:hint="cs"/>
          <w:rtl/>
        </w:rPr>
        <w:t>،</w:t>
      </w:r>
      <w:r w:rsidRPr="00A52585">
        <w:rPr>
          <w:rFonts w:hint="cs"/>
          <w:rtl/>
        </w:rPr>
        <w:t xml:space="preserve"> </w:t>
      </w:r>
    </w:p>
    <w:p w14:paraId="1F88599E" w14:textId="77777777" w:rsidR="00777DCB" w:rsidRPr="00A52585" w:rsidRDefault="00777DCB" w:rsidP="0002035C">
      <w:pPr>
        <w:spacing w:after="240"/>
        <w:jc w:val="center"/>
        <w:rPr>
          <w:b/>
          <w:bCs/>
          <w:rtl/>
        </w:rPr>
      </w:pPr>
      <w:r w:rsidRPr="00A52585">
        <w:rPr>
          <w:rFonts w:hint="cs"/>
          <w:bCs/>
          <w:rtl/>
        </w:rPr>
        <w:t>*******</w:t>
      </w:r>
    </w:p>
    <w:p w14:paraId="4CE2C95B" w14:textId="5C3E3326"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أحاديث يحتجون بظاهرها على إثبات التجسيم والانفعالات النفسية</w:t>
      </w:r>
      <w:r w:rsidRPr="00A52585">
        <w:rPr>
          <w:rFonts w:hint="cs"/>
          <w:bCs/>
          <w:rtl/>
        </w:rPr>
        <w:t>]</w:t>
      </w:r>
    </w:p>
    <w:p w14:paraId="3353826C" w14:textId="77777777" w:rsidR="00777DCB" w:rsidRPr="00A52585" w:rsidRDefault="00777DCB" w:rsidP="0002035C">
      <w:pPr>
        <w:spacing w:after="240"/>
        <w:rPr>
          <w:b/>
          <w:bCs/>
          <w:rtl/>
        </w:rPr>
      </w:pPr>
    </w:p>
    <w:p w14:paraId="25BF4553" w14:textId="32DA92BC" w:rsidR="00777DCB" w:rsidRPr="00A52585" w:rsidRDefault="0002035C" w:rsidP="0002035C">
      <w:pPr>
        <w:spacing w:after="240"/>
        <w:rPr>
          <w:b/>
          <w:rtl/>
        </w:rPr>
      </w:pPr>
      <w:r w:rsidRPr="00A52585">
        <w:rPr>
          <w:rFonts w:hint="cs"/>
          <w:bCs/>
          <w:rtl/>
        </w:rPr>
        <w:t>[</w:t>
      </w:r>
      <w:r w:rsidR="00777DCB" w:rsidRPr="00A52585">
        <w:rPr>
          <w:rFonts w:hint="cs"/>
          <w:bCs/>
          <w:rtl/>
        </w:rPr>
        <w:t>أ-] حديث الصورة</w:t>
      </w:r>
      <w:r w:rsidRPr="00A52585">
        <w:rPr>
          <w:rFonts w:hint="cs"/>
          <w:bCs/>
          <w:rtl/>
        </w:rPr>
        <w:t>:</w:t>
      </w:r>
      <w:r w:rsidR="00777DCB" w:rsidRPr="00A52585">
        <w:rPr>
          <w:rFonts w:hint="cs"/>
          <w:bCs/>
          <w:rtl/>
        </w:rPr>
        <w:t xml:space="preserve"> </w:t>
      </w:r>
      <w:r w:rsidR="00777DCB" w:rsidRPr="00A52585">
        <w:rPr>
          <w:rFonts w:hint="cs"/>
          <w:rtl/>
        </w:rPr>
        <w:t>ومن الأحاديث التي يحتجون بها حديث عبد الرحمن بن عائش عن النبي صلى الله عليه وسلم أنه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رأيت ربي في أحسن صورة</w:t>
      </w:r>
      <w:r w:rsidR="00DB731D" w:rsidRPr="00A52585">
        <w:rPr>
          <w:rFonts w:hint="cs"/>
          <w:rtl/>
        </w:rPr>
        <w:t>،</w:t>
      </w:r>
      <w:r w:rsidR="00777DCB" w:rsidRPr="00A52585">
        <w:rPr>
          <w:rFonts w:hint="cs"/>
          <w:rtl/>
        </w:rPr>
        <w:t xml:space="preserve"> فقال لي فيما يختصم الملأ الأعلى يا محمد</w:t>
      </w:r>
      <w:r w:rsidR="00F95886" w:rsidRPr="00A52585">
        <w:rPr>
          <w:rFonts w:hint="cs"/>
          <w:rtl/>
        </w:rPr>
        <w:t>؟</w:t>
      </w:r>
      <w:r w:rsidR="00777DCB" w:rsidRPr="00A52585">
        <w:rPr>
          <w:rFonts w:hint="cs"/>
          <w:rtl/>
        </w:rPr>
        <w:t xml:space="preserve"> </w:t>
      </w:r>
      <w:r w:rsidRPr="00A52585">
        <w:rPr>
          <w:rFonts w:hint="cs"/>
          <w:rtl/>
        </w:rPr>
        <w:lastRenderedPageBreak/>
        <w:t>(</w:t>
      </w:r>
      <w:r w:rsidR="00777DCB" w:rsidRPr="00A52585">
        <w:rPr>
          <w:rFonts w:hint="cs"/>
          <w:rtl/>
        </w:rPr>
        <w:t>قلت</w:t>
      </w:r>
      <w:r w:rsidRPr="00A52585">
        <w:rPr>
          <w:rFonts w:hint="cs"/>
          <w:rtl/>
        </w:rPr>
        <w:t>):</w:t>
      </w:r>
      <w:r w:rsidR="00777DCB" w:rsidRPr="00A52585">
        <w:rPr>
          <w:rFonts w:hint="cs"/>
          <w:rtl/>
        </w:rPr>
        <w:t xml:space="preserve"> أنت أعلم يا رب. فوضع كفيه بين كتفي فوجدت بردهما بين ثديي</w:t>
      </w:r>
      <w:r w:rsidR="00DB731D" w:rsidRPr="00A52585">
        <w:rPr>
          <w:rFonts w:hint="cs"/>
          <w:rtl/>
        </w:rPr>
        <w:t>،</w:t>
      </w:r>
      <w:r w:rsidR="00777DCB" w:rsidRPr="00A52585">
        <w:rPr>
          <w:rFonts w:hint="cs"/>
          <w:rtl/>
        </w:rPr>
        <w:t xml:space="preserve"> فعلمت ما في السموات والأرض</w:t>
      </w:r>
      <w:r w:rsidRPr="00A52585">
        <w:rPr>
          <w:rFonts w:hint="cs"/>
          <w:rtl/>
        </w:rPr>
        <w:t>)</w:t>
      </w:r>
      <w:r w:rsidR="00777DCB" w:rsidRPr="00A52585">
        <w:rPr>
          <w:rFonts w:hint="cs"/>
          <w:rtl/>
        </w:rPr>
        <w:t xml:space="preserve">) </w:t>
      </w:r>
      <w:r w:rsidRPr="00A52585">
        <w:rPr>
          <w:rFonts w:hint="cs"/>
          <w:szCs w:val="24"/>
          <w:rtl/>
        </w:rPr>
        <w:t>[</w:t>
      </w:r>
      <w:r w:rsidR="00777DCB" w:rsidRPr="00A52585">
        <w:rPr>
          <w:rFonts w:hint="cs"/>
          <w:szCs w:val="24"/>
          <w:rtl/>
        </w:rPr>
        <w:t>قال المحقق</w:t>
      </w:r>
      <w:r w:rsidRPr="00A52585">
        <w:rPr>
          <w:rFonts w:hint="cs"/>
          <w:szCs w:val="24"/>
          <w:rtl/>
        </w:rPr>
        <w:t xml:space="preserve">: </w:t>
      </w:r>
      <w:r w:rsidR="00777DCB" w:rsidRPr="00A52585">
        <w:rPr>
          <w:rFonts w:hint="cs"/>
          <w:szCs w:val="24"/>
          <w:rtl/>
        </w:rPr>
        <w:t>رواه الترمذي في سننه وقال</w:t>
      </w:r>
      <w:r w:rsidRPr="00A52585">
        <w:rPr>
          <w:rFonts w:hint="cs"/>
          <w:szCs w:val="24"/>
          <w:rtl/>
        </w:rPr>
        <w:t>:</w:t>
      </w:r>
      <w:r w:rsidR="00777DCB" w:rsidRPr="00A52585">
        <w:rPr>
          <w:rFonts w:hint="cs"/>
          <w:szCs w:val="24"/>
          <w:rtl/>
        </w:rPr>
        <w:t xml:space="preserve"> حسن صحيح والطبراني في الكبير والخطيب البغدادي في تاريخه وابن الجوزي في الموضوعات (1/125) والسيوطي في (اللآلئ المصنوعة في الأحاديث الموضوعة) (1/31) وذكره الذهبي في السير وقال عنه</w:t>
      </w:r>
      <w:r w:rsidRPr="00A52585">
        <w:rPr>
          <w:rFonts w:hint="cs"/>
          <w:szCs w:val="24"/>
          <w:rtl/>
        </w:rPr>
        <w:t xml:space="preserve">: </w:t>
      </w:r>
      <w:r w:rsidR="00777DCB" w:rsidRPr="00A52585">
        <w:rPr>
          <w:rFonts w:hint="cs"/>
          <w:szCs w:val="24"/>
          <w:rtl/>
        </w:rPr>
        <w:t>"… وهو خبر منكر نسأل الله السلامة في الدين"</w:t>
      </w:r>
      <w:r w:rsidRPr="00A52585">
        <w:rPr>
          <w:rFonts w:hint="cs"/>
          <w:szCs w:val="24"/>
          <w:rtl/>
        </w:rPr>
        <w:t xml:space="preserve"> </w:t>
      </w:r>
      <w:r w:rsidR="00777DCB" w:rsidRPr="00A52585">
        <w:rPr>
          <w:rFonts w:hint="cs"/>
          <w:szCs w:val="24"/>
          <w:rtl/>
        </w:rPr>
        <w:t>أهـ</w:t>
      </w:r>
      <w:r w:rsidR="00DB731D" w:rsidRPr="00A52585">
        <w:rPr>
          <w:rFonts w:hint="cs"/>
          <w:szCs w:val="24"/>
          <w:rtl/>
        </w:rPr>
        <w:t>،</w:t>
      </w:r>
      <w:r w:rsidR="00777DCB" w:rsidRPr="00A52585">
        <w:rPr>
          <w:rFonts w:hint="cs"/>
          <w:szCs w:val="24"/>
          <w:rtl/>
        </w:rPr>
        <w:t xml:space="preserve"> </w:t>
      </w:r>
      <w:r w:rsidR="00777DCB" w:rsidRPr="00A52585">
        <w:rPr>
          <w:rFonts w:hint="cs"/>
          <w:spacing w:val="-6"/>
          <w:szCs w:val="24"/>
          <w:rtl/>
        </w:rPr>
        <w:t>ورواه البيهقي في (الأسماء والصفات)</w:t>
      </w:r>
      <w:r w:rsidR="00777DCB" w:rsidRPr="00A52585">
        <w:rPr>
          <w:rFonts w:hint="cs"/>
          <w:szCs w:val="24"/>
          <w:rtl/>
        </w:rPr>
        <w:t xml:space="preserve"> ثم قال</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 xml:space="preserve">وقد روي من وجه آخر وكلها ضعيف " ونقل </w:t>
      </w:r>
      <w:r w:rsidR="00777DCB" w:rsidRPr="00A52585">
        <w:rPr>
          <w:rFonts w:hint="cs"/>
          <w:spacing w:val="-6"/>
          <w:szCs w:val="24"/>
          <w:rtl/>
        </w:rPr>
        <w:t>قبل ذلك بسنده عن البخاري أن سنده مضطرب أهـ ص 300 وقال عنه الإمام محمد بن نصر المرو</w:t>
      </w:r>
      <w:r w:rsidR="00777DCB" w:rsidRPr="00A52585">
        <w:rPr>
          <w:rFonts w:hint="cs"/>
          <w:szCs w:val="24"/>
          <w:rtl/>
        </w:rPr>
        <w:t>زي</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هذا حديث اضطرب الرواة في إسناده وليس يثبت عند أهل المعرفة "</w:t>
      </w:r>
      <w:r w:rsidRPr="00A52585">
        <w:rPr>
          <w:rFonts w:hint="cs"/>
          <w:szCs w:val="24"/>
          <w:rtl/>
        </w:rPr>
        <w:t xml:space="preserve"> </w:t>
      </w:r>
      <w:r w:rsidR="00777DCB" w:rsidRPr="00A52585">
        <w:rPr>
          <w:rFonts w:hint="cs"/>
          <w:szCs w:val="24"/>
          <w:rtl/>
        </w:rPr>
        <w:t>أهـ وقال عنه الإمام أحمد</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هذا ليس بشيء</w:t>
      </w:r>
      <w:r w:rsidRPr="00A52585">
        <w:rPr>
          <w:rFonts w:hint="cs"/>
          <w:szCs w:val="24"/>
          <w:rtl/>
        </w:rPr>
        <w:t xml:space="preserve"> </w:t>
      </w:r>
      <w:r w:rsidR="00777DCB" w:rsidRPr="00A52585">
        <w:rPr>
          <w:rFonts w:hint="cs"/>
          <w:szCs w:val="24"/>
          <w:rtl/>
        </w:rPr>
        <w:t>" وانظر تعليق السيد حسن السقاف على (دفع شبه التشبيه) لابن الجوزي</w:t>
      </w:r>
      <w:r w:rsidR="00DB731D" w:rsidRPr="00A52585">
        <w:rPr>
          <w:rFonts w:hint="cs"/>
          <w:szCs w:val="24"/>
          <w:rtl/>
        </w:rPr>
        <w:t>،</w:t>
      </w:r>
      <w:r w:rsidR="00777DCB" w:rsidRPr="00A52585">
        <w:rPr>
          <w:rFonts w:hint="cs"/>
          <w:szCs w:val="24"/>
          <w:rtl/>
        </w:rPr>
        <w:t xml:space="preserve"> ورواية الترمذي في سننه كتاب (تفسير القرآن) في تفسير سورة (ص) بثلاث روايات أصحها حديث رقم (3235) من طريق عبد الرحمن بن عائش عن معاذ بن جبل رضي الله عنه وفيه "</w:t>
      </w:r>
      <w:r w:rsidRPr="00A52585">
        <w:rPr>
          <w:rFonts w:hint="cs"/>
          <w:szCs w:val="24"/>
          <w:rtl/>
        </w:rPr>
        <w:t xml:space="preserve"> </w:t>
      </w:r>
      <w:r w:rsidR="00777DCB" w:rsidRPr="00A52585">
        <w:rPr>
          <w:szCs w:val="24"/>
        </w:rPr>
        <w:t>…</w:t>
      </w:r>
      <w:r w:rsidR="00777DCB" w:rsidRPr="00A52585">
        <w:rPr>
          <w:rFonts w:hint="cs"/>
          <w:szCs w:val="24"/>
          <w:rtl/>
        </w:rPr>
        <w:t xml:space="preserve"> إنّي قمت من الليل فتوضأت وصليت ما قدر لي فنعست في صلاتي حتى استثقلت فإذا أنا بربِّي تبارك وتعالى </w:t>
      </w:r>
      <w:r w:rsidR="00777DCB" w:rsidRPr="00A52585">
        <w:rPr>
          <w:rFonts w:hint="cs"/>
          <w:spacing w:val="-4"/>
          <w:szCs w:val="24"/>
          <w:rtl/>
        </w:rPr>
        <w:t>في أحسن صورة فقال</w:t>
      </w:r>
      <w:r w:rsidRPr="00A52585">
        <w:rPr>
          <w:rFonts w:hint="cs"/>
          <w:spacing w:val="-4"/>
          <w:szCs w:val="24"/>
          <w:rtl/>
        </w:rPr>
        <w:t>:</w:t>
      </w:r>
      <w:r w:rsidR="00777DCB" w:rsidRPr="00A52585">
        <w:rPr>
          <w:rFonts w:hint="cs"/>
          <w:spacing w:val="-4"/>
          <w:szCs w:val="24"/>
          <w:rtl/>
        </w:rPr>
        <w:t xml:space="preserve"> </w:t>
      </w:r>
      <w:r w:rsidR="00777DCB" w:rsidRPr="00A52585">
        <w:rPr>
          <w:rFonts w:hint="cs"/>
          <w:spacing w:val="-8"/>
          <w:szCs w:val="24"/>
          <w:rtl/>
        </w:rPr>
        <w:t>يا محمد قلت</w:t>
      </w:r>
      <w:r w:rsidR="00777DCB" w:rsidRPr="00A52585">
        <w:rPr>
          <w:rFonts w:hint="cs"/>
          <w:spacing w:val="-4"/>
          <w:szCs w:val="24"/>
          <w:rtl/>
        </w:rPr>
        <w:t xml:space="preserve"> لبيك رَبِّ، قال</w:t>
      </w:r>
      <w:r w:rsidRPr="00A52585">
        <w:rPr>
          <w:rFonts w:hint="cs"/>
          <w:spacing w:val="-4"/>
          <w:szCs w:val="24"/>
          <w:rtl/>
        </w:rPr>
        <w:t>:</w:t>
      </w:r>
      <w:r w:rsidR="00777DCB" w:rsidRPr="00A52585">
        <w:rPr>
          <w:rFonts w:hint="cs"/>
          <w:spacing w:val="-4"/>
          <w:szCs w:val="24"/>
          <w:rtl/>
        </w:rPr>
        <w:t xml:space="preserve"> فيم يختصم </w:t>
      </w:r>
      <w:r w:rsidR="00777DCB" w:rsidRPr="00A52585">
        <w:rPr>
          <w:rFonts w:hint="cs"/>
          <w:spacing w:val="-8"/>
          <w:szCs w:val="24"/>
          <w:rtl/>
        </w:rPr>
        <w:t>الملأ الأعلى</w:t>
      </w:r>
      <w:r w:rsidR="00F95886" w:rsidRPr="00A52585">
        <w:rPr>
          <w:rFonts w:hint="cs"/>
          <w:spacing w:val="-4"/>
          <w:szCs w:val="24"/>
          <w:rtl/>
        </w:rPr>
        <w:t>؟</w:t>
      </w:r>
      <w:r w:rsidR="00777DCB" w:rsidRPr="00A52585">
        <w:rPr>
          <w:rFonts w:hint="cs"/>
          <w:spacing w:val="-4"/>
          <w:szCs w:val="24"/>
          <w:rtl/>
        </w:rPr>
        <w:t xml:space="preserve"> </w:t>
      </w:r>
      <w:r w:rsidRPr="00A52585">
        <w:rPr>
          <w:rFonts w:hint="cs"/>
          <w:spacing w:val="-4"/>
          <w:szCs w:val="24"/>
          <w:rtl/>
        </w:rPr>
        <w:t>(</w:t>
      </w:r>
      <w:r w:rsidR="00777DCB" w:rsidRPr="00A52585">
        <w:rPr>
          <w:rFonts w:hint="cs"/>
          <w:spacing w:val="-4"/>
          <w:szCs w:val="24"/>
          <w:rtl/>
        </w:rPr>
        <w:t>قلت</w:t>
      </w:r>
      <w:r w:rsidRPr="00A52585">
        <w:rPr>
          <w:rFonts w:hint="cs"/>
          <w:spacing w:val="-4"/>
          <w:szCs w:val="24"/>
          <w:rtl/>
        </w:rPr>
        <w:t>):</w:t>
      </w:r>
      <w:r w:rsidR="00777DCB" w:rsidRPr="00A52585">
        <w:rPr>
          <w:rFonts w:hint="cs"/>
          <w:spacing w:val="-4"/>
          <w:szCs w:val="24"/>
          <w:rtl/>
        </w:rPr>
        <w:t xml:space="preserve"> </w:t>
      </w:r>
      <w:r w:rsidR="00777DCB" w:rsidRPr="00A52585">
        <w:rPr>
          <w:rFonts w:hint="cs"/>
          <w:spacing w:val="-8"/>
          <w:szCs w:val="24"/>
          <w:rtl/>
        </w:rPr>
        <w:t>لا أدري</w:t>
      </w:r>
      <w:r w:rsidR="00777DCB" w:rsidRPr="00A52585">
        <w:rPr>
          <w:rFonts w:hint="cs"/>
          <w:spacing w:val="-4"/>
          <w:szCs w:val="24"/>
          <w:rtl/>
        </w:rPr>
        <w:t xml:space="preserve"> قالها ثلاثا</w:t>
      </w:r>
      <w:r w:rsidR="00DB731D" w:rsidRPr="00A52585">
        <w:rPr>
          <w:rFonts w:hint="cs"/>
          <w:spacing w:val="-4"/>
          <w:szCs w:val="24"/>
          <w:rtl/>
        </w:rPr>
        <w:t>،</w:t>
      </w:r>
      <w:r w:rsidR="00777DCB" w:rsidRPr="00A52585">
        <w:rPr>
          <w:rFonts w:hint="cs"/>
          <w:spacing w:val="-4"/>
          <w:szCs w:val="24"/>
          <w:rtl/>
        </w:rPr>
        <w:t xml:space="preserve"> </w:t>
      </w:r>
      <w:r w:rsidR="00777DCB" w:rsidRPr="00A52585">
        <w:rPr>
          <w:rFonts w:hint="cs"/>
          <w:szCs w:val="24"/>
          <w:rtl/>
        </w:rPr>
        <w:t>قال</w:t>
      </w:r>
      <w:r w:rsidRPr="00A52585">
        <w:rPr>
          <w:rFonts w:hint="cs"/>
          <w:szCs w:val="24"/>
          <w:rtl/>
        </w:rPr>
        <w:t>:</w:t>
      </w:r>
      <w:r w:rsidR="00777DCB" w:rsidRPr="00A52585">
        <w:rPr>
          <w:rFonts w:hint="cs"/>
          <w:szCs w:val="24"/>
          <w:rtl/>
        </w:rPr>
        <w:t xml:space="preserve"> فرأيته وضع كفَّه بين </w:t>
      </w:r>
      <w:proofErr w:type="spellStart"/>
      <w:r w:rsidR="00777DCB" w:rsidRPr="00A52585">
        <w:rPr>
          <w:rFonts w:hint="cs"/>
          <w:szCs w:val="24"/>
          <w:rtl/>
        </w:rPr>
        <w:t>كتفىَّ</w:t>
      </w:r>
      <w:proofErr w:type="spellEnd"/>
      <w:r w:rsidR="00777DCB" w:rsidRPr="00A52585">
        <w:rPr>
          <w:rFonts w:hint="cs"/>
          <w:szCs w:val="24"/>
          <w:rtl/>
        </w:rPr>
        <w:t xml:space="preserve"> حتى وجدت برد أنامله بين ثديي فتجلَّى لي كل شيء وعرفت </w:t>
      </w:r>
      <w:r w:rsidR="00777DCB" w:rsidRPr="00A52585">
        <w:rPr>
          <w:szCs w:val="24"/>
        </w:rPr>
        <w:t>…</w:t>
      </w:r>
      <w:r w:rsidRPr="00A52585">
        <w:rPr>
          <w:rFonts w:hint="cs"/>
          <w:szCs w:val="24"/>
          <w:rtl/>
        </w:rPr>
        <w:t xml:space="preserve"> </w:t>
      </w:r>
      <w:r w:rsidR="00777DCB" w:rsidRPr="00A52585">
        <w:rPr>
          <w:rFonts w:hint="cs"/>
          <w:szCs w:val="24"/>
          <w:rtl/>
        </w:rPr>
        <w:t>" الحديث</w:t>
      </w:r>
      <w:r w:rsidR="00DB731D" w:rsidRPr="00A52585">
        <w:rPr>
          <w:rFonts w:hint="cs"/>
          <w:szCs w:val="24"/>
          <w:rtl/>
        </w:rPr>
        <w:t>،</w:t>
      </w:r>
      <w:r w:rsidR="00777DCB" w:rsidRPr="00A52585">
        <w:rPr>
          <w:rFonts w:hint="cs"/>
          <w:szCs w:val="24"/>
          <w:rtl/>
        </w:rPr>
        <w:t xml:space="preserve"> قال الترمذي</w:t>
      </w:r>
      <w:r w:rsidRPr="00A52585">
        <w:rPr>
          <w:rFonts w:hint="cs"/>
          <w:szCs w:val="24"/>
          <w:rtl/>
        </w:rPr>
        <w:t>:</w:t>
      </w:r>
      <w:r w:rsidR="00777DCB" w:rsidRPr="00A52585">
        <w:rPr>
          <w:rFonts w:hint="cs"/>
          <w:szCs w:val="24"/>
          <w:rtl/>
        </w:rPr>
        <w:t xml:space="preserve"> هذا حديث النص على أن ذلك رؤيا منام</w:t>
      </w:r>
      <w:r w:rsidR="00DB731D" w:rsidRPr="00A52585">
        <w:rPr>
          <w:rFonts w:hint="cs"/>
          <w:szCs w:val="24"/>
          <w:rtl/>
        </w:rPr>
        <w:t>،</w:t>
      </w:r>
      <w:r w:rsidR="00777DCB" w:rsidRPr="00A52585">
        <w:rPr>
          <w:rFonts w:hint="cs"/>
          <w:szCs w:val="24"/>
          <w:rtl/>
        </w:rPr>
        <w:t xml:space="preserve"> وقد تكلم الإمام البيهقي في (الأسماء والصفات) على هذا السند وضعفه وكذا العلامة زاهد الكوثري في تعليقه على (الأسماء والصفات) وبافتراض صحة سند الحديث فثابت أن ذلك رؤيا منام ويقول الإمام ابن الجوزي عن ذلك</w:t>
      </w:r>
      <w:r w:rsidRPr="00A52585">
        <w:rPr>
          <w:rFonts w:hint="cs"/>
          <w:szCs w:val="24"/>
          <w:rtl/>
        </w:rPr>
        <w:t>:</w:t>
      </w:r>
      <w:r w:rsidR="00777DCB" w:rsidRPr="00A52585">
        <w:rPr>
          <w:rFonts w:hint="cs"/>
          <w:szCs w:val="24"/>
          <w:rtl/>
        </w:rPr>
        <w:t xml:space="preserve"> " رؤيا المنام</w:t>
      </w:r>
      <w:r w:rsidRPr="00A52585">
        <w:rPr>
          <w:rFonts w:hint="cs"/>
          <w:szCs w:val="24"/>
          <w:rtl/>
        </w:rPr>
        <w:t>:</w:t>
      </w:r>
      <w:r w:rsidR="00777DCB" w:rsidRPr="00A52585">
        <w:rPr>
          <w:rFonts w:hint="cs"/>
          <w:szCs w:val="24"/>
          <w:rtl/>
        </w:rPr>
        <w:t xml:space="preserve"> وهم والأوهام لا تكون حائق، وإن الإنسان يرى كأنه يطير أو كأنه صار بهيمة وقد رأى أقوام في منامهم الحق سبحانه على ما ذكرنا</w:t>
      </w:r>
      <w:r w:rsidRPr="00A52585">
        <w:rPr>
          <w:rFonts w:hint="cs"/>
          <w:szCs w:val="24"/>
          <w:rtl/>
        </w:rPr>
        <w:t xml:space="preserve"> </w:t>
      </w:r>
      <w:r w:rsidR="00777DCB" w:rsidRPr="00A52585">
        <w:rPr>
          <w:rFonts w:hint="cs"/>
          <w:szCs w:val="24"/>
          <w:rtl/>
        </w:rPr>
        <w:t>" أهـ ونقل العلامة الكوثري عن الحافظ ابن حجر في هذا المقام</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ولا التفات إلى من تعقب كلامه بقوله في الحديث الصحيح (إن رؤيا الأنبياء وحي) فلا يحتاج إلى تعبير لأنه كلام من لم يمعن النظر في هذا المحل، فقد تقدم في كتاب التعبير أن بعض رؤية الأنبياء يقبل التعبير</w:t>
      </w:r>
      <w:r w:rsidRPr="00A52585">
        <w:rPr>
          <w:rFonts w:hint="cs"/>
          <w:szCs w:val="24"/>
          <w:rtl/>
        </w:rPr>
        <w:t xml:space="preserve"> </w:t>
      </w:r>
      <w:r w:rsidR="00777DCB" w:rsidRPr="00A52585">
        <w:rPr>
          <w:rFonts w:hint="cs"/>
          <w:szCs w:val="24"/>
          <w:rtl/>
        </w:rPr>
        <w:t>" أهـ</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قلت</w:t>
      </w:r>
      <w:r w:rsidRPr="00A52585">
        <w:rPr>
          <w:rFonts w:hint="cs"/>
          <w:szCs w:val="24"/>
          <w:rtl/>
        </w:rPr>
        <w:t>):</w:t>
      </w:r>
      <w:r w:rsidR="00777DCB" w:rsidRPr="00A52585">
        <w:rPr>
          <w:rFonts w:hint="cs"/>
          <w:szCs w:val="24"/>
          <w:rtl/>
        </w:rPr>
        <w:t xml:space="preserve"> يشير رضي الله عنه إلى العديد من الأحاديث في كتاب (التعبير) من صحيح البخاري والتي تذكر بعض رؤى رسول الله صلى الله عليه وسلم وتأويلاته لها فمنها</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بينا أن نائم أتيت بقدح لبن فشربت منه</w:t>
      </w:r>
      <w:r w:rsidRPr="00A52585">
        <w:rPr>
          <w:rFonts w:hint="cs"/>
          <w:szCs w:val="24"/>
          <w:rtl/>
        </w:rPr>
        <w:t xml:space="preserve"> </w:t>
      </w:r>
      <w:r w:rsidR="00777DCB" w:rsidRPr="00A52585">
        <w:rPr>
          <w:rFonts w:hint="cs"/>
          <w:szCs w:val="24"/>
          <w:rtl/>
        </w:rPr>
        <w:t>فأعطيت فضلى عمر بن الخطاب " فقال من حوله</w:t>
      </w:r>
      <w:r w:rsidRPr="00A52585">
        <w:rPr>
          <w:rFonts w:hint="cs"/>
          <w:szCs w:val="24"/>
          <w:rtl/>
        </w:rPr>
        <w:t>:</w:t>
      </w:r>
      <w:r w:rsidR="00777DCB" w:rsidRPr="00A52585">
        <w:rPr>
          <w:rFonts w:hint="cs"/>
          <w:szCs w:val="24"/>
          <w:rtl/>
        </w:rPr>
        <w:t xml:space="preserve"> فما أولت ذلك يا رسول الله</w:t>
      </w:r>
      <w:r w:rsidR="00F95886" w:rsidRPr="00A52585">
        <w:rPr>
          <w:rFonts w:hint="cs"/>
          <w:szCs w:val="24"/>
          <w:rtl/>
        </w:rPr>
        <w:t>؟</w:t>
      </w:r>
      <w:r w:rsidR="00777DCB" w:rsidRPr="00A52585">
        <w:rPr>
          <w:rFonts w:hint="cs"/>
          <w:szCs w:val="24"/>
          <w:rtl/>
        </w:rPr>
        <w:t xml:space="preserve"> قال</w:t>
      </w:r>
      <w:r w:rsidRPr="00A52585">
        <w:rPr>
          <w:rFonts w:hint="cs"/>
          <w:szCs w:val="24"/>
          <w:rtl/>
        </w:rPr>
        <w:t>:</w:t>
      </w:r>
      <w:r w:rsidR="00777DCB" w:rsidRPr="00A52585">
        <w:rPr>
          <w:rFonts w:hint="cs"/>
          <w:szCs w:val="24"/>
          <w:rtl/>
        </w:rPr>
        <w:t xml:space="preserve"> " العلم "</w:t>
      </w:r>
      <w:r w:rsidR="00DB731D" w:rsidRPr="00A52585">
        <w:rPr>
          <w:rFonts w:hint="cs"/>
          <w:szCs w:val="24"/>
          <w:rtl/>
        </w:rPr>
        <w:t>،</w:t>
      </w:r>
      <w:r w:rsidR="00777DCB" w:rsidRPr="00A52585">
        <w:rPr>
          <w:rFonts w:hint="cs"/>
          <w:szCs w:val="24"/>
          <w:rtl/>
        </w:rPr>
        <w:t xml:space="preserve"> ورؤيته عمر يجرّ قميصه وأوَّله بالدين، ورؤيته سواران من ذهب فنفخهما أولهما بالكذابّيْن وغير ذلك</w:t>
      </w:r>
      <w:r w:rsidR="00DB731D" w:rsidRPr="00A52585">
        <w:rPr>
          <w:rFonts w:hint="cs"/>
          <w:szCs w:val="24"/>
          <w:rtl/>
        </w:rPr>
        <w:t>،</w:t>
      </w:r>
      <w:r w:rsidR="00777DCB" w:rsidRPr="00A52585">
        <w:rPr>
          <w:rFonts w:hint="cs"/>
          <w:szCs w:val="24"/>
          <w:rtl/>
        </w:rPr>
        <w:t xml:space="preserve"> وقد نقل الحافظ ابن حجر في (فتح الباري) كلام حجة الإسلام الغزالي في تأويل رؤيا المؤمن لرسول الله صلى الله عليه وسلم في النوم ثم تأويل رؤيا المؤمن للحق سبحانه في النوم وكذا كلام أبي القاسم القشيري في كتاب (التعبير) في شرحه حديث رقم (6993) فتح الباري 18/521-522طدار الغد العربي قال ابن حجر عن حديث "</w:t>
      </w:r>
      <w:r w:rsidRPr="00A52585">
        <w:rPr>
          <w:rFonts w:hint="cs"/>
          <w:szCs w:val="24"/>
          <w:rtl/>
        </w:rPr>
        <w:t xml:space="preserve"> </w:t>
      </w:r>
      <w:r w:rsidR="00777DCB" w:rsidRPr="00A52585">
        <w:rPr>
          <w:rFonts w:hint="cs"/>
          <w:szCs w:val="24"/>
          <w:rtl/>
        </w:rPr>
        <w:t>من رآني في المنام فسيراني في اليقظة</w:t>
      </w:r>
      <w:r w:rsidRPr="00A52585">
        <w:rPr>
          <w:rFonts w:hint="cs"/>
          <w:szCs w:val="24"/>
          <w:rtl/>
        </w:rPr>
        <w:t xml:space="preserve"> </w:t>
      </w:r>
      <w:r w:rsidR="00777DCB" w:rsidRPr="00A52585">
        <w:rPr>
          <w:rFonts w:hint="cs"/>
          <w:szCs w:val="24"/>
          <w:rtl/>
        </w:rPr>
        <w:t>"</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وقال الغزالي</w:t>
      </w:r>
      <w:r w:rsidRPr="00A52585">
        <w:rPr>
          <w:rFonts w:hint="cs"/>
          <w:szCs w:val="24"/>
          <w:rtl/>
        </w:rPr>
        <w:t>:</w:t>
      </w:r>
      <w:r w:rsidR="00777DCB" w:rsidRPr="00A52585">
        <w:rPr>
          <w:rFonts w:hint="cs"/>
          <w:szCs w:val="24"/>
          <w:rtl/>
        </w:rPr>
        <w:t xml:space="preserve"> ليس معنى قوله</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رآني</w:t>
      </w:r>
      <w:r w:rsidRPr="00A52585">
        <w:rPr>
          <w:rFonts w:hint="cs"/>
          <w:szCs w:val="24"/>
          <w:rtl/>
        </w:rPr>
        <w:t xml:space="preserve"> </w:t>
      </w:r>
      <w:r w:rsidR="00777DCB" w:rsidRPr="00A52585">
        <w:rPr>
          <w:rFonts w:hint="cs"/>
          <w:szCs w:val="24"/>
          <w:rtl/>
        </w:rPr>
        <w:t xml:space="preserve">" أنه رأى جسمي وبدني، وإنما المراد أنه رأى مثالاً، صار ذلك المثال آلة </w:t>
      </w:r>
      <w:proofErr w:type="spellStart"/>
      <w:r w:rsidR="00777DCB" w:rsidRPr="00A52585">
        <w:rPr>
          <w:rFonts w:hint="cs"/>
          <w:szCs w:val="24"/>
          <w:rtl/>
        </w:rPr>
        <w:t>يتأدى</w:t>
      </w:r>
      <w:proofErr w:type="spellEnd"/>
      <w:r w:rsidR="00777DCB" w:rsidRPr="00A52585">
        <w:rPr>
          <w:rFonts w:hint="cs"/>
          <w:szCs w:val="24"/>
          <w:rtl/>
        </w:rPr>
        <w:t xml:space="preserve"> بها المعنى الذي في نفسي إليه، وكذلك قوله</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فسيراني في اليقظة</w:t>
      </w:r>
      <w:r w:rsidRPr="00A52585">
        <w:rPr>
          <w:rFonts w:hint="cs"/>
          <w:szCs w:val="24"/>
          <w:rtl/>
        </w:rPr>
        <w:t xml:space="preserve"> </w:t>
      </w:r>
      <w:r w:rsidR="00777DCB" w:rsidRPr="00A52585">
        <w:rPr>
          <w:rFonts w:hint="cs"/>
          <w:szCs w:val="24"/>
          <w:rtl/>
        </w:rPr>
        <w:t>" ليس المراد أنه يرى جسمي وبدني، قال</w:t>
      </w:r>
      <w:r w:rsidRPr="00A52585">
        <w:rPr>
          <w:rFonts w:hint="cs"/>
          <w:szCs w:val="24"/>
          <w:rtl/>
        </w:rPr>
        <w:t>:</w:t>
      </w:r>
      <w:r w:rsidR="00777DCB" w:rsidRPr="00A52585">
        <w:rPr>
          <w:rFonts w:hint="cs"/>
          <w:szCs w:val="24"/>
          <w:rtl/>
        </w:rPr>
        <w:t xml:space="preserve"> والآلة تارة تكون حقيقة وتارة تكون خيالية، والنفس غير المثال المتخيل، فما رآه من الشكل ليس هو روح المصطفى ولا شخصه بل هو مثال له على التحقيق، قال</w:t>
      </w:r>
      <w:r w:rsidRPr="00A52585">
        <w:rPr>
          <w:rFonts w:hint="cs"/>
          <w:szCs w:val="24"/>
          <w:rtl/>
        </w:rPr>
        <w:t>:</w:t>
      </w:r>
      <w:r w:rsidR="00777DCB" w:rsidRPr="00A52585">
        <w:rPr>
          <w:rFonts w:hint="cs"/>
          <w:szCs w:val="24"/>
          <w:rtl/>
        </w:rPr>
        <w:t xml:space="preserve"> ومثل ذلك من يرى الله سبحانه وتعالى في المنام فإن ذاته منزهة عن الشكل والصورة ولكن تنتهي تعريفاته إلى </w:t>
      </w:r>
      <w:r w:rsidR="00777DCB" w:rsidRPr="00A52585">
        <w:rPr>
          <w:rFonts w:hint="cs"/>
          <w:spacing w:val="-6"/>
          <w:szCs w:val="24"/>
          <w:rtl/>
        </w:rPr>
        <w:t xml:space="preserve">العبد، بواسطة مثال محسوس من نور أو غيره، ويكون </w:t>
      </w:r>
      <w:r w:rsidR="00777DCB" w:rsidRPr="00A52585">
        <w:rPr>
          <w:rFonts w:hint="cs"/>
          <w:spacing w:val="-6"/>
          <w:szCs w:val="24"/>
          <w:rtl/>
        </w:rPr>
        <w:lastRenderedPageBreak/>
        <w:t>ذلك المثال حقاًّ في كونه واسطة في التعريف،</w:t>
      </w:r>
      <w:r w:rsidR="00777DCB" w:rsidRPr="00A52585">
        <w:rPr>
          <w:rFonts w:hint="cs"/>
          <w:szCs w:val="24"/>
          <w:rtl/>
        </w:rPr>
        <w:t xml:space="preserve"> فيقول الرائي رأيت الله تعالى في المنام، لا يعني أني رأيت ذات الله تعالى كما يقول في حق غيره</w:t>
      </w:r>
      <w:r w:rsidR="00DB731D" w:rsidRPr="00A52585">
        <w:rPr>
          <w:rFonts w:hint="cs"/>
          <w:szCs w:val="24"/>
          <w:rtl/>
        </w:rPr>
        <w:t>،</w:t>
      </w:r>
      <w:r w:rsidR="00777DCB" w:rsidRPr="00A52585">
        <w:rPr>
          <w:rFonts w:hint="cs"/>
          <w:szCs w:val="24"/>
          <w:rtl/>
        </w:rPr>
        <w:t xml:space="preserve"> وقال أبو القاسم القشيري ما حاصله</w:t>
      </w:r>
      <w:r w:rsidRPr="00A52585">
        <w:rPr>
          <w:rFonts w:hint="cs"/>
          <w:szCs w:val="24"/>
          <w:rtl/>
        </w:rPr>
        <w:t>:</w:t>
      </w:r>
      <w:r w:rsidR="00777DCB" w:rsidRPr="00A52585">
        <w:rPr>
          <w:rFonts w:hint="cs"/>
          <w:szCs w:val="24"/>
          <w:rtl/>
        </w:rPr>
        <w:t xml:space="preserve"> إن رؤياه على غير صفته لا تستلزم إلا أن يكون هو، فإنه لو رأى الله على وصف يتعالى عنه وهو يعتقد أنه منزه عن ذلك، لا يقدح في رؤيته بل يكون لتلك الرؤيا ضرب من التأويل كما قال الواسطي من رأى ربه على صورة شيخ كان إشارة إلى وقار الرائي وغير ذلك</w:t>
      </w:r>
      <w:r w:rsidRPr="00A52585">
        <w:rPr>
          <w:rFonts w:hint="cs"/>
          <w:szCs w:val="24"/>
          <w:rtl/>
        </w:rPr>
        <w:t xml:space="preserve"> </w:t>
      </w:r>
      <w:r w:rsidR="00777DCB" w:rsidRPr="00A52585">
        <w:rPr>
          <w:rFonts w:hint="cs"/>
          <w:szCs w:val="24"/>
          <w:rtl/>
        </w:rPr>
        <w:t>"</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قلت</w:t>
      </w:r>
      <w:r w:rsidRPr="00A52585">
        <w:rPr>
          <w:rFonts w:hint="cs"/>
          <w:szCs w:val="24"/>
          <w:rtl/>
        </w:rPr>
        <w:t>):</w:t>
      </w:r>
      <w:r w:rsidR="00777DCB" w:rsidRPr="00A52585">
        <w:rPr>
          <w:rFonts w:hint="cs"/>
          <w:szCs w:val="24"/>
          <w:rtl/>
        </w:rPr>
        <w:t xml:space="preserve"> فليس في رؤية الله سبحانه في النوم ما يثبت لله صورة سواء كان الرائي نبيا أو أحد عوام المؤمنين</w:t>
      </w:r>
      <w:r w:rsidR="00DB731D" w:rsidRPr="00A52585">
        <w:rPr>
          <w:rFonts w:hint="cs"/>
          <w:szCs w:val="24"/>
          <w:rtl/>
        </w:rPr>
        <w:t>،</w:t>
      </w:r>
      <w:r w:rsidR="00777DCB" w:rsidRPr="00A52585">
        <w:rPr>
          <w:rFonts w:hint="cs"/>
          <w:szCs w:val="24"/>
          <w:rtl/>
        </w:rPr>
        <w:t xml:space="preserve"> </w:t>
      </w:r>
      <w:r w:rsidR="00777DCB" w:rsidRPr="00A52585">
        <w:rPr>
          <w:rFonts w:hint="cs"/>
          <w:spacing w:val="-8"/>
          <w:szCs w:val="24"/>
          <w:rtl/>
        </w:rPr>
        <w:t xml:space="preserve">وفي نص الحديث (فوضع كفَّه بين </w:t>
      </w:r>
      <w:proofErr w:type="spellStart"/>
      <w:r w:rsidR="00777DCB" w:rsidRPr="00A52585">
        <w:rPr>
          <w:rFonts w:hint="cs"/>
          <w:spacing w:val="-8"/>
          <w:szCs w:val="24"/>
          <w:rtl/>
        </w:rPr>
        <w:t>كتفى</w:t>
      </w:r>
      <w:proofErr w:type="spellEnd"/>
      <w:r w:rsidR="00777DCB" w:rsidRPr="00A52585">
        <w:rPr>
          <w:rFonts w:hint="cs"/>
          <w:spacing w:val="-8"/>
          <w:szCs w:val="24"/>
          <w:rtl/>
        </w:rPr>
        <w:t>) وفي رواية (يده) وانتهز ابن تيمية الفرصة كعادته وزعم</w:t>
      </w:r>
      <w:r w:rsidR="00777DCB" w:rsidRPr="00A52585">
        <w:rPr>
          <w:rFonts w:hint="cs"/>
          <w:szCs w:val="24"/>
          <w:rtl/>
        </w:rPr>
        <w:t xml:space="preserve"> أن إرسال العذبة بين الكتفين كان لهذا </w:t>
      </w:r>
      <w:proofErr w:type="spellStart"/>
      <w:r w:rsidR="00777DCB" w:rsidRPr="00A52585">
        <w:rPr>
          <w:rFonts w:hint="cs"/>
          <w:szCs w:val="24"/>
          <w:rtl/>
        </w:rPr>
        <w:t>السببانظر</w:t>
      </w:r>
      <w:proofErr w:type="spellEnd"/>
      <w:r w:rsidR="00777DCB" w:rsidRPr="00A52585">
        <w:rPr>
          <w:rFonts w:hint="cs"/>
          <w:szCs w:val="24"/>
          <w:rtl/>
        </w:rPr>
        <w:t xml:space="preserve"> (الخصائص الكبرى) للسيوطي 3/199 ط، دار الكتب الحديثة، ويقول العلامة الكوثري</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فمن الغريب ما يزعمه ابن تيمية أن إرسال العذبة بين الكتفين لذلك، وهذا تجسيم صريح منه كما ذكر ابن حجر المكي في شرح الشمائل</w:t>
      </w:r>
      <w:r w:rsidR="00777DCB" w:rsidRPr="00A52585">
        <w:rPr>
          <w:szCs w:val="24"/>
        </w:rPr>
        <w:t>…</w:t>
      </w:r>
      <w:r w:rsidRPr="00A52585">
        <w:rPr>
          <w:rFonts w:hint="cs"/>
          <w:szCs w:val="24"/>
          <w:rtl/>
        </w:rPr>
        <w:t xml:space="preserve"> </w:t>
      </w:r>
      <w:r w:rsidR="00777DCB" w:rsidRPr="00A52585">
        <w:rPr>
          <w:rFonts w:hint="cs"/>
          <w:szCs w:val="24"/>
          <w:rtl/>
        </w:rPr>
        <w:t>" من تعليقه على (الأسماء والصفات) ص301 ط الكردي</w:t>
      </w:r>
      <w:r w:rsidR="00DB731D" w:rsidRPr="00A52585">
        <w:rPr>
          <w:rFonts w:hint="cs"/>
          <w:szCs w:val="24"/>
          <w:rtl/>
        </w:rPr>
        <w:t>،</w:t>
      </w:r>
      <w:r w:rsidR="00777DCB" w:rsidRPr="00A52585">
        <w:rPr>
          <w:rFonts w:hint="cs"/>
          <w:szCs w:val="24"/>
          <w:rtl/>
        </w:rPr>
        <w:t xml:space="preserve"> وعن تنزيه الله سبحانه عن الصورة يقول الإمام أبو القاسم القشيري</w:t>
      </w:r>
      <w:r w:rsidRPr="00A52585">
        <w:rPr>
          <w:rFonts w:hint="cs"/>
          <w:szCs w:val="24"/>
          <w:rtl/>
        </w:rPr>
        <w:t>:</w:t>
      </w:r>
      <w:r w:rsidR="00777DCB" w:rsidRPr="00A52585">
        <w:rPr>
          <w:rFonts w:hint="cs"/>
          <w:szCs w:val="24"/>
          <w:rtl/>
        </w:rPr>
        <w:t xml:space="preserve"> "</w:t>
      </w:r>
      <w:r w:rsidRPr="00A52585">
        <w:rPr>
          <w:rFonts w:hint="cs"/>
          <w:szCs w:val="24"/>
          <w:rtl/>
        </w:rPr>
        <w:t xml:space="preserve"> </w:t>
      </w:r>
      <w:r w:rsidR="00777DCB" w:rsidRPr="00A52585">
        <w:rPr>
          <w:rFonts w:hint="cs"/>
          <w:szCs w:val="24"/>
          <w:rtl/>
        </w:rPr>
        <w:t>قوله جل ذكره {لقد خلقنا الإنسان في أحسن تقويم</w:t>
      </w:r>
      <w:r w:rsidRPr="00A52585">
        <w:rPr>
          <w:rFonts w:hint="cs"/>
          <w:szCs w:val="24"/>
          <w:rtl/>
        </w:rPr>
        <w:t>}:</w:t>
      </w:r>
      <w:r w:rsidR="00777DCB" w:rsidRPr="00A52585">
        <w:rPr>
          <w:rFonts w:hint="cs"/>
          <w:szCs w:val="24"/>
          <w:rtl/>
        </w:rPr>
        <w:t xml:space="preserve"> في اعتدال قامته وحسن تركيب أعضائه وهذا يدل على أن الحق سبحانه ليس له صورة ولا هيئة، لأن كل صفة اشترك فيها الخلق والحق فالمبالغة للحقِّ، كالعلم</w:t>
      </w:r>
      <w:r w:rsidRPr="00A52585">
        <w:rPr>
          <w:rFonts w:hint="cs"/>
          <w:szCs w:val="24"/>
          <w:rtl/>
        </w:rPr>
        <w:t>:</w:t>
      </w:r>
      <w:r w:rsidR="00777DCB" w:rsidRPr="00A52585">
        <w:rPr>
          <w:rFonts w:hint="cs"/>
          <w:szCs w:val="24"/>
          <w:rtl/>
        </w:rPr>
        <w:t xml:space="preserve"> فالأعلم الله، والقدرة</w:t>
      </w:r>
      <w:r w:rsidRPr="00A52585">
        <w:rPr>
          <w:rFonts w:hint="cs"/>
          <w:szCs w:val="24"/>
          <w:rtl/>
        </w:rPr>
        <w:t>:</w:t>
      </w:r>
      <w:r w:rsidR="00777DCB" w:rsidRPr="00A52585">
        <w:rPr>
          <w:rFonts w:hint="cs"/>
          <w:szCs w:val="24"/>
          <w:rtl/>
        </w:rPr>
        <w:t xml:space="preserve"> فالأقدر الله</w:t>
      </w:r>
      <w:r w:rsidR="00DB731D" w:rsidRPr="00A52585">
        <w:rPr>
          <w:rFonts w:hint="cs"/>
          <w:szCs w:val="24"/>
          <w:rtl/>
        </w:rPr>
        <w:t>،</w:t>
      </w:r>
      <w:r w:rsidR="00777DCB" w:rsidRPr="00A52585">
        <w:rPr>
          <w:rFonts w:hint="cs"/>
          <w:szCs w:val="24"/>
          <w:rtl/>
        </w:rPr>
        <w:t xml:space="preserve"> فلو اشترك الخلق والخالق في التركيب والصورة لكان الأحسن في الصورة الله</w:t>
      </w:r>
      <w:r w:rsidR="00DB731D" w:rsidRPr="00A52585">
        <w:rPr>
          <w:rFonts w:hint="cs"/>
          <w:szCs w:val="24"/>
          <w:rtl/>
        </w:rPr>
        <w:t>،</w:t>
      </w:r>
      <w:r w:rsidR="00777DCB" w:rsidRPr="00A52585">
        <w:rPr>
          <w:rFonts w:hint="cs"/>
          <w:szCs w:val="24"/>
          <w:rtl/>
        </w:rPr>
        <w:t xml:space="preserve"> فلما قال</w:t>
      </w:r>
      <w:r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لقد خلقنا الإنسان في أحسن تقويم</w:t>
      </w:r>
      <w:r w:rsidRPr="00A52585">
        <w:rPr>
          <w:rFonts w:hint="cs"/>
          <w:szCs w:val="24"/>
          <w:rtl/>
        </w:rPr>
        <w:t>}</w:t>
      </w:r>
      <w:r w:rsidR="00777DCB" w:rsidRPr="00A52585">
        <w:rPr>
          <w:rFonts w:hint="cs"/>
          <w:szCs w:val="24"/>
          <w:rtl/>
        </w:rPr>
        <w:t xml:space="preserve"> علم أن الحق سبحانه منزّه عن التقويم وعن الصورة</w:t>
      </w:r>
      <w:r w:rsidRPr="00A52585">
        <w:rPr>
          <w:rFonts w:hint="cs"/>
          <w:szCs w:val="24"/>
          <w:rtl/>
        </w:rPr>
        <w:t xml:space="preserve"> </w:t>
      </w:r>
      <w:r w:rsidR="00777DCB" w:rsidRPr="00A52585">
        <w:rPr>
          <w:rFonts w:hint="cs"/>
          <w:szCs w:val="24"/>
          <w:rtl/>
        </w:rPr>
        <w:t>" أهـ انظر لطائف الإشارات 3/746 تحقيق د إبراهيم بسيوني ط الهيئة المصرية العامة للكتاب</w:t>
      </w:r>
      <w:r w:rsidR="00DB731D" w:rsidRPr="00A52585">
        <w:rPr>
          <w:rFonts w:hint="cs"/>
          <w:szCs w:val="24"/>
          <w:rtl/>
        </w:rPr>
        <w:t>،</w:t>
      </w:r>
      <w:r w:rsidR="00777DCB" w:rsidRPr="00A52585">
        <w:rPr>
          <w:rFonts w:hint="cs"/>
          <w:szCs w:val="24"/>
          <w:rtl/>
        </w:rPr>
        <w:t xml:space="preserve"> </w:t>
      </w:r>
      <w:r w:rsidRPr="00A52585">
        <w:rPr>
          <w:rFonts w:hint="cs"/>
          <w:szCs w:val="24"/>
          <w:rtl/>
        </w:rPr>
        <w:t>(</w:t>
      </w:r>
      <w:r w:rsidR="00777DCB" w:rsidRPr="00A52585">
        <w:rPr>
          <w:rFonts w:hint="cs"/>
          <w:szCs w:val="24"/>
          <w:rtl/>
        </w:rPr>
        <w:t>قلت</w:t>
      </w:r>
      <w:r w:rsidRPr="00A52585">
        <w:rPr>
          <w:rFonts w:hint="cs"/>
          <w:szCs w:val="24"/>
          <w:rtl/>
        </w:rPr>
        <w:t>):</w:t>
      </w:r>
      <w:r w:rsidR="00777DCB" w:rsidRPr="00A52585">
        <w:rPr>
          <w:rFonts w:hint="cs"/>
          <w:szCs w:val="24"/>
          <w:rtl/>
        </w:rPr>
        <w:t xml:space="preserve"> وهذا الرد يشمل تنزيه الله عن الصورة والتركيب والجوارح والأعضاء جميعا</w:t>
      </w:r>
      <w:r w:rsidRPr="00A52585">
        <w:rPr>
          <w:rFonts w:hint="cs"/>
          <w:szCs w:val="24"/>
          <w:rtl/>
        </w:rPr>
        <w:t>]</w:t>
      </w:r>
      <w:r w:rsidR="00DB731D" w:rsidRPr="00A52585">
        <w:rPr>
          <w:rFonts w:hint="cs"/>
          <w:szCs w:val="24"/>
          <w:rtl/>
        </w:rPr>
        <w:t>،</w:t>
      </w:r>
      <w:r w:rsidRPr="00A52585">
        <w:rPr>
          <w:rFonts w:hint="cs"/>
          <w:szCs w:val="24"/>
          <w:rtl/>
        </w:rPr>
        <w:t xml:space="preserve"> </w:t>
      </w:r>
      <w:r w:rsidR="00777DCB" w:rsidRPr="00A52585">
        <w:rPr>
          <w:rFonts w:hint="cs"/>
          <w:rtl/>
        </w:rPr>
        <w:t>وهذا الحديث قال الإمام أحمد فيه</w:t>
      </w:r>
      <w:r w:rsidRPr="00A52585">
        <w:rPr>
          <w:rFonts w:hint="cs"/>
          <w:rtl/>
        </w:rPr>
        <w:t>:</w:t>
      </w:r>
      <w:r w:rsidR="00777DCB" w:rsidRPr="00A52585">
        <w:rPr>
          <w:rFonts w:hint="cs"/>
          <w:rtl/>
        </w:rPr>
        <w:t xml:space="preserve"> أن طرقه مضطربة. وقال </w:t>
      </w:r>
      <w:proofErr w:type="spellStart"/>
      <w:r w:rsidR="00777DCB" w:rsidRPr="00A52585">
        <w:rPr>
          <w:rFonts w:hint="cs"/>
          <w:rtl/>
        </w:rPr>
        <w:t>الدراقطني</w:t>
      </w:r>
      <w:proofErr w:type="spellEnd"/>
      <w:r w:rsidRPr="00A52585">
        <w:rPr>
          <w:rFonts w:hint="cs"/>
          <w:rtl/>
        </w:rPr>
        <w:t>:</w:t>
      </w:r>
      <w:r w:rsidR="00777DCB" w:rsidRPr="00A52585">
        <w:rPr>
          <w:rFonts w:hint="cs"/>
          <w:rtl/>
        </w:rPr>
        <w:t xml:space="preserve"> كل أسانيده مضطربة</w:t>
      </w:r>
      <w:r w:rsidR="00DB731D" w:rsidRPr="00A52585">
        <w:rPr>
          <w:rFonts w:hint="cs"/>
          <w:rtl/>
        </w:rPr>
        <w:t>،</w:t>
      </w:r>
      <w:r w:rsidR="00777DCB" w:rsidRPr="00A52585">
        <w:rPr>
          <w:rFonts w:hint="cs"/>
          <w:rtl/>
        </w:rPr>
        <w:t xml:space="preserve"> ليس </w:t>
      </w:r>
      <w:r w:rsidR="00777DCB" w:rsidRPr="00A52585">
        <w:rPr>
          <w:rFonts w:hint="cs"/>
          <w:spacing w:val="-20"/>
          <w:rtl/>
        </w:rPr>
        <w:t>فيها صحيح. وقال</w:t>
      </w:r>
      <w:r w:rsidR="00777DCB" w:rsidRPr="00A52585">
        <w:rPr>
          <w:rFonts w:hint="cs"/>
          <w:rtl/>
        </w:rPr>
        <w:t xml:space="preserve"> البيهقي</w:t>
      </w:r>
      <w:r w:rsidRPr="00A52585">
        <w:rPr>
          <w:rFonts w:hint="cs"/>
          <w:rtl/>
        </w:rPr>
        <w:t>:</w:t>
      </w:r>
      <w:r w:rsidR="00777DCB" w:rsidRPr="00A52585">
        <w:rPr>
          <w:rFonts w:hint="cs"/>
          <w:rtl/>
        </w:rPr>
        <w:t xml:space="preserve"> روُي من أوجه كلها ضعيفة</w:t>
      </w:r>
      <w:r w:rsidR="00DB731D" w:rsidRPr="00A52585">
        <w:rPr>
          <w:rFonts w:hint="cs"/>
          <w:rtl/>
        </w:rPr>
        <w:t>،</w:t>
      </w:r>
      <w:r w:rsidR="00777DCB" w:rsidRPr="00A52585">
        <w:rPr>
          <w:rFonts w:hint="cs"/>
          <w:rtl/>
        </w:rPr>
        <w:t xml:space="preserve"> وأحسن طرقه يدل على أن ذلك كان في النوم ويدل على ذلك أن روي من حديث أبي هريرة رضي الله عنه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أتاني آت في أحسن صورة</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فيم يختصم الملأ الأعلى</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لا أدري</w:t>
      </w:r>
      <w:r w:rsidR="00DB731D" w:rsidRPr="00A52585">
        <w:rPr>
          <w:rFonts w:hint="cs"/>
          <w:rtl/>
        </w:rPr>
        <w:t>،</w:t>
      </w:r>
      <w:r w:rsidR="00777DCB" w:rsidRPr="00A52585">
        <w:rPr>
          <w:rFonts w:hint="cs"/>
          <w:rtl/>
        </w:rPr>
        <w:t xml:space="preserve"> فوضع كفه بين كتفي فوجدت بردها بين ثديي</w:t>
      </w:r>
      <w:r w:rsidR="00DB731D" w:rsidRPr="00A52585">
        <w:rPr>
          <w:rFonts w:hint="cs"/>
          <w:rtl/>
        </w:rPr>
        <w:t>،</w:t>
      </w:r>
      <w:r w:rsidR="00777DCB" w:rsidRPr="00A52585">
        <w:rPr>
          <w:rFonts w:hint="cs"/>
          <w:rtl/>
        </w:rPr>
        <w:t xml:space="preserve"> فعرفت كل شيء يسألني عنه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وروي من حديث ثوبان رضي الله عنه قال</w:t>
      </w:r>
      <w:r w:rsidRPr="00A52585">
        <w:rPr>
          <w:rFonts w:hint="cs"/>
          <w:rtl/>
        </w:rPr>
        <w:t>:</w:t>
      </w:r>
      <w:r w:rsidR="00777DCB" w:rsidRPr="00A52585">
        <w:rPr>
          <w:rFonts w:hint="cs"/>
          <w:rtl/>
        </w:rPr>
        <w:t xml:space="preserve"> خرج علينا رسول الله صلى الله عليه وسلم بعد صلاة الصبح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ربي أتاني الليلة في أحسن صورة فقال لي</w:t>
      </w:r>
      <w:r w:rsidRPr="00A52585">
        <w:rPr>
          <w:rFonts w:hint="cs"/>
          <w:rtl/>
        </w:rPr>
        <w:t>:</w:t>
      </w:r>
      <w:r w:rsidR="00777DCB" w:rsidRPr="00A52585">
        <w:rPr>
          <w:rFonts w:hint="cs"/>
          <w:rtl/>
        </w:rPr>
        <w:t xml:space="preserve"> يا محمد فيم يختصم الملأ الأعلى</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لا أعلم يا رب. فوضع كفه بين كتفي حتى وجدت برد أنامله في صدري فتجلى لي ما بين السماء والأرض</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وروي من وجوه كثيرة</w:t>
      </w:r>
      <w:r w:rsidR="00DB731D" w:rsidRPr="00A52585">
        <w:rPr>
          <w:rFonts w:hint="cs"/>
          <w:rtl/>
        </w:rPr>
        <w:t>،</w:t>
      </w:r>
      <w:r w:rsidR="00777DCB" w:rsidRPr="00A52585">
        <w:rPr>
          <w:rFonts w:hint="cs"/>
          <w:rtl/>
        </w:rPr>
        <w:t xml:space="preserve"> فهي أحاديث مختلفة وليس فيها ما يثبت مع أن عبد الرحمن لم يسمعه من النبي صلى الله عليه وسلم</w:t>
      </w:r>
      <w:r w:rsidR="00DB731D" w:rsidRPr="00A52585">
        <w:rPr>
          <w:rFonts w:hint="cs"/>
          <w:rtl/>
        </w:rPr>
        <w:t>،</w:t>
      </w:r>
      <w:r w:rsidR="00777DCB" w:rsidRPr="00A52585">
        <w:rPr>
          <w:rFonts w:hint="cs"/>
          <w:rtl/>
        </w:rPr>
        <w:t xml:space="preserve"> وعلى وجه </w:t>
      </w:r>
      <w:proofErr w:type="spellStart"/>
      <w:r w:rsidR="00777DCB" w:rsidRPr="00A52585">
        <w:rPr>
          <w:rFonts w:hint="cs"/>
          <w:rtl/>
        </w:rPr>
        <w:t>التَّنَزّل</w:t>
      </w:r>
      <w:proofErr w:type="spellEnd"/>
      <w:r w:rsidR="00777DCB" w:rsidRPr="00A52585">
        <w:rPr>
          <w:rFonts w:hint="cs"/>
          <w:rtl/>
        </w:rPr>
        <w:t xml:space="preserve"> فالمعنى راجع إلى رسول الله صلى الله عليه وسلم فالمعنى رأيته وأنا على أحسن صورة</w:t>
      </w:r>
      <w:r w:rsidR="00DB731D" w:rsidRPr="00A52585">
        <w:rPr>
          <w:rFonts w:hint="cs"/>
          <w:rtl/>
        </w:rPr>
        <w:t>،</w:t>
      </w:r>
      <w:r w:rsidR="00777DCB" w:rsidRPr="00A52585">
        <w:rPr>
          <w:rFonts w:hint="cs"/>
          <w:rtl/>
        </w:rPr>
        <w:t xml:space="preserve"> وإن قلنا يرجع إلى الله سبحانه وتعالى فالمعنى رأيته على أحسن صفاته أي من الإقبال والرضى ونحو ذلك لأن الصورة يعبر بها ويراد الصفة كما في حديث (</w:t>
      </w:r>
      <w:r w:rsidRPr="00A52585">
        <w:rPr>
          <w:rFonts w:hint="cs"/>
          <w:rtl/>
        </w:rPr>
        <w:t>(</w:t>
      </w:r>
      <w:r w:rsidR="00777DCB" w:rsidRPr="00A52585">
        <w:rPr>
          <w:rFonts w:hint="cs"/>
          <w:rtl/>
        </w:rPr>
        <w:t>خلق الله تعالى آدم على صورته</w:t>
      </w:r>
      <w:r w:rsidRPr="00A52585">
        <w:rPr>
          <w:rFonts w:hint="cs"/>
          <w:rtl/>
        </w:rPr>
        <w:t>)</w:t>
      </w:r>
      <w:r w:rsidR="00777DCB" w:rsidRPr="00A52585">
        <w:rPr>
          <w:rFonts w:hint="cs"/>
          <w:rtl/>
        </w:rPr>
        <w:t xml:space="preserve">) </w:t>
      </w:r>
      <w:r w:rsidRPr="00A52585">
        <w:rPr>
          <w:rFonts w:hint="cs"/>
          <w:sz w:val="24"/>
          <w:szCs w:val="24"/>
          <w:rtl/>
          <w:lang w:bidi="ar-KW"/>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متفق عليه. رواه البخاري في كتاب أحاديث الأنبياء، باب </w:t>
      </w:r>
      <w:r w:rsidRPr="00A52585">
        <w:rPr>
          <w:rFonts w:hint="cs"/>
          <w:sz w:val="24"/>
          <w:szCs w:val="24"/>
          <w:rtl/>
        </w:rPr>
        <w:t>{</w:t>
      </w:r>
      <w:r w:rsidR="00777DCB" w:rsidRPr="00A52585">
        <w:rPr>
          <w:rFonts w:hint="cs"/>
          <w:sz w:val="24"/>
          <w:szCs w:val="24"/>
          <w:rtl/>
        </w:rPr>
        <w:t>خلق آدم وذريته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وفي كتاب الاستئذان باب (بدء </w:t>
      </w:r>
      <w:r w:rsidR="00777DCB" w:rsidRPr="00A52585">
        <w:rPr>
          <w:rFonts w:hint="cs"/>
          <w:sz w:val="24"/>
          <w:szCs w:val="24"/>
          <w:rtl/>
        </w:rPr>
        <w:lastRenderedPageBreak/>
        <w:t>السلام). ورواه مسلم في كتاب (صفة الجنة والنار) باب (يدخل الجنة أقوام أفئدتهم مثل أفئدة الطير)]</w:t>
      </w:r>
      <w:r w:rsidR="00DB731D" w:rsidRPr="00A52585">
        <w:rPr>
          <w:rFonts w:hint="cs"/>
          <w:rtl/>
        </w:rPr>
        <w:t>،</w:t>
      </w:r>
      <w:r w:rsidR="00777DCB" w:rsidRPr="00A52585">
        <w:rPr>
          <w:rFonts w:hint="cs"/>
          <w:rtl/>
        </w:rPr>
        <w:t xml:space="preserve"> تقول هذه صورة هذا الأمر أي صفته</w:t>
      </w:r>
      <w:r w:rsidR="00DB731D" w:rsidRPr="00A52585">
        <w:rPr>
          <w:rFonts w:hint="cs"/>
          <w:rtl/>
        </w:rPr>
        <w:t>،</w:t>
      </w:r>
      <w:r w:rsidR="00777DCB" w:rsidRPr="00A52585">
        <w:rPr>
          <w:rFonts w:hint="cs"/>
          <w:rtl/>
        </w:rPr>
        <w:t xml:space="preserve"> فيكون المعنى خلق آدم على صفته من الحياة والعلم والقدرة والسمع والبصر والإرادة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تعالى</w:t>
      </w:r>
      <w:r w:rsidRPr="00A52585">
        <w:rPr>
          <w:rFonts w:hint="cs"/>
          <w:sz w:val="24"/>
          <w:szCs w:val="24"/>
          <w:rtl/>
        </w:rPr>
        <w:t>:</w:t>
      </w:r>
      <w:r w:rsidR="00777DCB" w:rsidRPr="00A52585">
        <w:rPr>
          <w:rFonts w:hint="cs"/>
          <w:sz w:val="24"/>
          <w:szCs w:val="24"/>
          <w:rtl/>
        </w:rPr>
        <w:t xml:space="preserve"> {الله الذي جعل لكم الأرض قراراً والسماء بناء وصوركم فأحسن صوركم ورزقكم من الطيبات، ذلكم الله ربكم فتبارك الله رب العالمين} غافر</w:t>
      </w:r>
      <w:r w:rsidRPr="00A52585">
        <w:rPr>
          <w:rFonts w:hint="cs"/>
          <w:sz w:val="24"/>
          <w:szCs w:val="24"/>
          <w:rtl/>
        </w:rPr>
        <w:t>:</w:t>
      </w:r>
      <w:r w:rsidR="00777DCB" w:rsidRPr="00A52585">
        <w:rPr>
          <w:rFonts w:hint="cs"/>
          <w:sz w:val="24"/>
          <w:szCs w:val="24"/>
          <w:rtl/>
        </w:rPr>
        <w:t>64 امتن سبحانه وتعالى علينا بالصورة الحسنة وجعلها آية عظمى من آياته تلى مباشرة آية قرار الأرض وبناء السماء وجعلها نعمة تسبق في الترتيب جميع الطيبات التي رزقنا بها سبحانه وتعالى</w:t>
      </w:r>
      <w:r w:rsidR="00DB731D" w:rsidRPr="00A52585">
        <w:rPr>
          <w:rFonts w:hint="cs"/>
          <w:sz w:val="24"/>
          <w:szCs w:val="24"/>
          <w:rtl/>
        </w:rPr>
        <w:t>،</w:t>
      </w:r>
      <w:r w:rsidR="00777DCB" w:rsidRPr="00A52585">
        <w:rPr>
          <w:rFonts w:hint="cs"/>
          <w:sz w:val="24"/>
          <w:szCs w:val="24"/>
          <w:rtl/>
        </w:rPr>
        <w:t xml:space="preserve"> وإذا كان كذلك فما جزاء من كفر بهذه النعمة وازدراها وتصدي لها بالعبث والتشويه أو أهانها باللطم والتقبيح وما شابه ذلك</w:t>
      </w:r>
      <w:r w:rsidR="00F95886" w:rsidRPr="00A52585">
        <w:rPr>
          <w:rFonts w:hint="cs"/>
          <w:sz w:val="24"/>
          <w:szCs w:val="24"/>
          <w:rtl/>
        </w:rPr>
        <w:t>؟</w:t>
      </w:r>
      <w:r w:rsidR="00777DCB" w:rsidRPr="00A52585">
        <w:rPr>
          <w:rFonts w:hint="cs"/>
          <w:sz w:val="24"/>
          <w:szCs w:val="24"/>
          <w:rtl/>
        </w:rPr>
        <w:t xml:space="preserve"> ألم</w:t>
      </w:r>
      <w:r w:rsidRPr="00A52585">
        <w:rPr>
          <w:rFonts w:hint="cs"/>
          <w:sz w:val="24"/>
          <w:szCs w:val="24"/>
          <w:rtl/>
        </w:rPr>
        <w:t xml:space="preserve"> </w:t>
      </w:r>
      <w:r w:rsidR="00777DCB" w:rsidRPr="00A52585">
        <w:rPr>
          <w:rFonts w:hint="cs"/>
          <w:sz w:val="24"/>
          <w:szCs w:val="24"/>
          <w:rtl/>
        </w:rPr>
        <w:t>يسبق لإبليس الملعون ازدراء خلقة آدم من قبل فطرده الله من رحمته إلى الأبد</w:t>
      </w:r>
      <w:r w:rsidR="00F95886" w:rsidRPr="00A52585">
        <w:rPr>
          <w:rFonts w:hint="cs"/>
          <w:sz w:val="24"/>
          <w:szCs w:val="24"/>
          <w:rtl/>
        </w:rPr>
        <w:t>؟</w:t>
      </w:r>
      <w:r w:rsidR="00777DCB" w:rsidRPr="00A52585">
        <w:rPr>
          <w:rFonts w:hint="cs"/>
          <w:sz w:val="24"/>
          <w:szCs w:val="24"/>
          <w:rtl/>
        </w:rPr>
        <w:t xml:space="preserve"> قال تعالى</w:t>
      </w:r>
      <w:r w:rsidRPr="00A52585">
        <w:rPr>
          <w:rFonts w:hint="cs"/>
          <w:sz w:val="24"/>
          <w:szCs w:val="24"/>
          <w:rtl/>
        </w:rPr>
        <w:t>:</w:t>
      </w:r>
      <w:r w:rsidR="00777DCB" w:rsidRPr="00A52585">
        <w:rPr>
          <w:rFonts w:hint="cs"/>
          <w:sz w:val="24"/>
          <w:szCs w:val="24"/>
          <w:rtl/>
        </w:rPr>
        <w:t xml:space="preserve"> {قال يا إبليس ما منعك أن تسجد لما خلقت بيدي أستكبرت أم كنت من العالمين قال أنا خير منه خلقتني من نار وخلقته من طين</w:t>
      </w:r>
      <w:r w:rsidR="00DB731D" w:rsidRPr="00A52585">
        <w:rPr>
          <w:rFonts w:hint="cs"/>
          <w:sz w:val="24"/>
          <w:szCs w:val="24"/>
          <w:rtl/>
        </w:rPr>
        <w:t>،</w:t>
      </w:r>
      <w:r w:rsidR="00777DCB" w:rsidRPr="00A52585">
        <w:rPr>
          <w:rFonts w:hint="cs"/>
          <w:sz w:val="24"/>
          <w:szCs w:val="24"/>
          <w:rtl/>
        </w:rPr>
        <w:t xml:space="preserve"> قال فاخرج منها فإنك رجيم وإن عليك لعنتي إلى يوم الدين} سورة ص</w:t>
      </w:r>
      <w:r w:rsidRPr="00A52585">
        <w:rPr>
          <w:rFonts w:hint="cs"/>
          <w:sz w:val="24"/>
          <w:szCs w:val="24"/>
          <w:rtl/>
        </w:rPr>
        <w:t>:</w:t>
      </w:r>
      <w:r w:rsidR="00777DCB" w:rsidRPr="00A52585">
        <w:rPr>
          <w:rFonts w:hint="cs"/>
          <w:sz w:val="24"/>
          <w:szCs w:val="24"/>
          <w:rtl/>
        </w:rPr>
        <w:t>75-78</w:t>
      </w:r>
      <w:r w:rsidR="00DB731D" w:rsidRPr="00A52585">
        <w:rPr>
          <w:rFonts w:hint="cs"/>
          <w:sz w:val="24"/>
          <w:szCs w:val="24"/>
          <w:rtl/>
        </w:rPr>
        <w:t>،</w:t>
      </w:r>
      <w:r w:rsidR="00777DCB" w:rsidRPr="00A52585">
        <w:rPr>
          <w:rFonts w:hint="cs"/>
          <w:sz w:val="24"/>
          <w:szCs w:val="24"/>
          <w:rtl/>
        </w:rPr>
        <w:t xml:space="preserve"> وقال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 قال لم أكن لأسجد لبشر خلقته من صلصال من </w:t>
      </w:r>
      <w:proofErr w:type="spellStart"/>
      <w:r w:rsidR="00777DCB" w:rsidRPr="00A52585">
        <w:rPr>
          <w:rFonts w:hint="cs"/>
          <w:sz w:val="24"/>
          <w:szCs w:val="24"/>
          <w:rtl/>
        </w:rPr>
        <w:t>حمإ</w:t>
      </w:r>
      <w:proofErr w:type="spellEnd"/>
      <w:r w:rsidR="00777DCB" w:rsidRPr="00A52585">
        <w:rPr>
          <w:rFonts w:hint="cs"/>
          <w:sz w:val="24"/>
          <w:szCs w:val="24"/>
          <w:rtl/>
        </w:rPr>
        <w:t xml:space="preserve"> مسنون قال فاخرج منها فإنك رجيم وإن عليك اللعنة إلى يوم الدين} الحجر</w:t>
      </w:r>
      <w:r w:rsidRPr="00A52585">
        <w:rPr>
          <w:rFonts w:hint="cs"/>
          <w:sz w:val="24"/>
          <w:szCs w:val="24"/>
          <w:rtl/>
        </w:rPr>
        <w:t>:</w:t>
      </w:r>
      <w:r w:rsidR="00777DCB" w:rsidRPr="00A52585">
        <w:rPr>
          <w:rFonts w:hint="cs"/>
          <w:sz w:val="24"/>
          <w:szCs w:val="24"/>
          <w:rtl/>
        </w:rPr>
        <w:t xml:space="preserve"> 33-35 يقول الإمام البيضاوي في تفسيره</w:t>
      </w:r>
      <w:r w:rsidRPr="00A52585">
        <w:rPr>
          <w:rFonts w:hint="cs"/>
          <w:sz w:val="24"/>
          <w:szCs w:val="24"/>
          <w:rtl/>
        </w:rPr>
        <w:t xml:space="preserve">: </w:t>
      </w:r>
      <w:r w:rsidR="00777DCB" w:rsidRPr="00A52585">
        <w:rPr>
          <w:rFonts w:hint="cs"/>
          <w:sz w:val="24"/>
          <w:szCs w:val="24"/>
          <w:rtl/>
        </w:rPr>
        <w:t>"(لما خلقت بيدي) خلقته بنفسي من غير توسط كأب وأم والتثنية لما في خلقه من مزيد القدرة واختلاف الفعل، وقرئ على التوحيد، وترتيب الإنكار عليه للإشعار بأنه المستدعي للتعظيم…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ومن هنا نفهم حديث سيد الخلق صلى الله عليه وسلم</w:t>
      </w:r>
      <w:r w:rsidRPr="00A52585">
        <w:rPr>
          <w:rFonts w:hint="cs"/>
          <w:sz w:val="24"/>
          <w:szCs w:val="24"/>
          <w:rtl/>
        </w:rPr>
        <w:t xml:space="preserve">: </w:t>
      </w:r>
      <w:r w:rsidR="00777DCB" w:rsidRPr="00A52585">
        <w:rPr>
          <w:rFonts w:hint="cs"/>
          <w:sz w:val="24"/>
          <w:szCs w:val="24"/>
          <w:rtl/>
        </w:rPr>
        <w:t>"إذا قاتل أحدكم فليتق الوجه فإن الله تعالى خلق آدم على صورته"</w:t>
      </w:r>
      <w:r w:rsidRPr="00A52585">
        <w:rPr>
          <w:rFonts w:hint="cs"/>
          <w:sz w:val="24"/>
          <w:szCs w:val="24"/>
          <w:rtl/>
        </w:rPr>
        <w:t xml:space="preserve"> </w:t>
      </w:r>
      <w:r w:rsidR="00777DCB" w:rsidRPr="00A52585">
        <w:rPr>
          <w:rFonts w:hint="cs"/>
          <w:sz w:val="24"/>
          <w:szCs w:val="24"/>
          <w:rtl/>
        </w:rPr>
        <w:t>رواه مسلم أي على صورة الأخ المضروب، وإذا كان إبليس لعنه الله قد طرد من رحمة الله باحتقاره لهذه الصورة التي كرمها الله وشرفها وبرفضه السجود لها وعدم الاعتداد بهذا التكريم والتشريف فخليق بالمسلم أن يتجنب ما فعله الملعون الخبيث</w:t>
      </w:r>
      <w:r w:rsidR="00DB731D" w:rsidRPr="00A52585">
        <w:rPr>
          <w:rFonts w:hint="cs"/>
          <w:sz w:val="24"/>
          <w:szCs w:val="24"/>
          <w:rtl/>
        </w:rPr>
        <w:t>،</w:t>
      </w:r>
      <w:r w:rsidR="00777DCB" w:rsidRPr="00A52585">
        <w:rPr>
          <w:rFonts w:hint="cs"/>
          <w:sz w:val="24"/>
          <w:szCs w:val="24"/>
          <w:rtl/>
        </w:rPr>
        <w:t xml:space="preserve"> ومن هنا نفهم أن عبارة (على صورة الرحمن) هي من فهم الراوي حيث رواه بالمعنى وليس من قول سيد الخلق صلى الله عليه وسلم</w:t>
      </w:r>
      <w:r w:rsidR="00DB731D" w:rsidRPr="00A52585">
        <w:rPr>
          <w:rFonts w:hint="cs"/>
          <w:sz w:val="24"/>
          <w:szCs w:val="24"/>
          <w:rtl/>
        </w:rPr>
        <w:t>،</w:t>
      </w:r>
      <w:r w:rsidR="00777DCB" w:rsidRPr="00A52585">
        <w:rPr>
          <w:rFonts w:hint="cs"/>
          <w:sz w:val="24"/>
          <w:szCs w:val="24"/>
          <w:rtl/>
        </w:rPr>
        <w:t xml:space="preserve"> أو على معنى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الصورة التي خلقها الرحمن</w:t>
      </w:r>
      <w:r w:rsidRPr="00A52585">
        <w:rPr>
          <w:rFonts w:hint="cs"/>
          <w:sz w:val="24"/>
          <w:szCs w:val="24"/>
          <w:rtl/>
        </w:rPr>
        <w:t>)</w:t>
      </w:r>
      <w:r w:rsidR="00777DCB" w:rsidRPr="00A52585">
        <w:rPr>
          <w:rFonts w:hint="cs"/>
          <w:sz w:val="24"/>
          <w:szCs w:val="24"/>
          <w:rtl/>
        </w:rPr>
        <w:t xml:space="preserve"> فالإسناد هنا للملكية كما يقال بيت الله وجند الله</w:t>
      </w:r>
      <w:r w:rsidRPr="00A52585">
        <w:rPr>
          <w:rFonts w:hint="cs"/>
          <w:sz w:val="24"/>
          <w:szCs w:val="24"/>
          <w:rtl/>
        </w:rPr>
        <w:t>]</w:t>
      </w:r>
      <w:r w:rsidR="00DB731D" w:rsidRPr="00A52585">
        <w:rPr>
          <w:rFonts w:hint="cs"/>
          <w:rtl/>
        </w:rPr>
        <w:t>،</w:t>
      </w:r>
      <w:r w:rsidR="00777DCB" w:rsidRPr="00A52585">
        <w:rPr>
          <w:rFonts w:hint="cs"/>
          <w:rtl/>
        </w:rPr>
        <w:t xml:space="preserve"> مع أن هذا الحديث فيه علل</w:t>
      </w:r>
      <w:r w:rsidRPr="00A52585">
        <w:rPr>
          <w:rFonts w:hint="cs"/>
          <w:rtl/>
        </w:rPr>
        <w:t>:</w:t>
      </w:r>
      <w:r w:rsidR="00777DCB" w:rsidRPr="00A52585">
        <w:rPr>
          <w:rFonts w:hint="cs"/>
          <w:rtl/>
        </w:rPr>
        <w:t xml:space="preserve"> منها أن الثوري والأعمش اختلفا فيه فأرسله الثوري ورفعه الأعمش</w:t>
      </w:r>
      <w:r w:rsidR="00DB731D" w:rsidRPr="00A52585">
        <w:rPr>
          <w:rFonts w:hint="cs"/>
          <w:rtl/>
        </w:rPr>
        <w:t>،</w:t>
      </w:r>
      <w:r w:rsidR="00777DCB" w:rsidRPr="00A52585">
        <w:rPr>
          <w:rFonts w:hint="cs"/>
          <w:rtl/>
        </w:rPr>
        <w:t xml:space="preserve"> ومنها أن الأعمش كان يدلس ولم يذكر أنه سمع الحديث من حبيب بن أبي ثابت. ومنها أن حبيباً كان يدلس ولم يُعلم أنه سمعه من عطاء. وهذا كله يوجب وَهنًا في الحديث</w:t>
      </w:r>
      <w:r w:rsidR="00DB731D" w:rsidRPr="00A52585">
        <w:rPr>
          <w:rFonts w:hint="cs"/>
          <w:rtl/>
        </w:rPr>
        <w:t>،</w:t>
      </w:r>
      <w:r w:rsidR="00777DCB" w:rsidRPr="00A52585">
        <w:rPr>
          <w:rFonts w:hint="cs"/>
          <w:rtl/>
        </w:rPr>
        <w:t xml:space="preserve"> ومع ذلك فالضمير يصح عوده إلى آدم عليه السلام</w:t>
      </w:r>
      <w:r w:rsidR="00DB731D" w:rsidRPr="00A52585">
        <w:rPr>
          <w:rFonts w:hint="cs"/>
          <w:rtl/>
        </w:rPr>
        <w:t>،</w:t>
      </w:r>
      <w:r w:rsidR="00777DCB" w:rsidRPr="00A52585">
        <w:rPr>
          <w:rFonts w:hint="cs"/>
          <w:rtl/>
        </w:rPr>
        <w:t xml:space="preserve"> فالمعنى أن الله عز وجل خلق آدم على صورته التي خلقه عليها تاماًّ لم ينقله من نطفة إلى علقه كبنيه قاله الإمام أبو سليمان الخطابي</w:t>
      </w:r>
      <w:r w:rsidR="00DB731D" w:rsidRPr="00A52585">
        <w:rPr>
          <w:rFonts w:hint="cs"/>
          <w:rtl/>
        </w:rPr>
        <w:t>،</w:t>
      </w:r>
      <w:r w:rsidR="00777DCB" w:rsidRPr="00A52585">
        <w:rPr>
          <w:rFonts w:hint="cs"/>
          <w:rtl/>
        </w:rPr>
        <w:t xml:space="preserve"> وذكره ثعلب ي </w:t>
      </w:r>
      <w:proofErr w:type="spellStart"/>
      <w:r w:rsidR="00777DCB" w:rsidRPr="00A52585">
        <w:rPr>
          <w:rFonts w:hint="cs"/>
          <w:rtl/>
        </w:rPr>
        <w:t>أماليه</w:t>
      </w:r>
      <w:proofErr w:type="spellEnd"/>
      <w:r w:rsidR="00DB731D" w:rsidRPr="00A52585">
        <w:rPr>
          <w:rFonts w:hint="cs"/>
          <w:rtl/>
        </w:rPr>
        <w:t>،</w:t>
      </w:r>
      <w:r w:rsidR="00777DCB" w:rsidRPr="00A52585">
        <w:rPr>
          <w:rFonts w:hint="cs"/>
          <w:rtl/>
        </w:rPr>
        <w:t xml:space="preserve"> وقيل إن الضمير يعود على بعض بني آدم. وخَلْق من العلماء سكتوا عن تفسير هذا الحديث</w:t>
      </w:r>
      <w:r w:rsidR="00DB731D" w:rsidRPr="00A52585">
        <w:rPr>
          <w:rFonts w:hint="cs"/>
          <w:rtl/>
        </w:rPr>
        <w:t>،</w:t>
      </w:r>
      <w:r w:rsidR="00777DCB" w:rsidRPr="00A52585">
        <w:rPr>
          <w:rFonts w:hint="cs"/>
          <w:rtl/>
        </w:rPr>
        <w:t xml:space="preserve"> فالمشبه لا مُتَمَسَّك له بهذه الأحاديث لما ذكرناه</w:t>
      </w:r>
      <w:r w:rsidR="00DB731D" w:rsidRPr="00A52585">
        <w:rPr>
          <w:rFonts w:hint="cs"/>
          <w:rtl/>
        </w:rPr>
        <w:t>،</w:t>
      </w:r>
      <w:r w:rsidR="00777DCB" w:rsidRPr="00A52585">
        <w:rPr>
          <w:rFonts w:hint="cs"/>
          <w:rtl/>
        </w:rPr>
        <w:t xml:space="preserve"> وتمسكه بها يدل على جهله وزندقته عافانا الله عز وجل من ذلك</w:t>
      </w:r>
      <w:r w:rsidR="00DB731D" w:rsidRPr="00A52585">
        <w:rPr>
          <w:rFonts w:hint="cs"/>
          <w:rtl/>
        </w:rPr>
        <w:t>،</w:t>
      </w:r>
      <w:r w:rsidR="00777DCB" w:rsidRPr="00A52585">
        <w:rPr>
          <w:rFonts w:hint="cs"/>
          <w:rtl/>
        </w:rPr>
        <w:t xml:space="preserve"> </w:t>
      </w:r>
    </w:p>
    <w:p w14:paraId="35D33DB2" w14:textId="09D8A305" w:rsidR="00777DCB" w:rsidRPr="00A52585" w:rsidRDefault="0002035C" w:rsidP="0002035C">
      <w:pPr>
        <w:pStyle w:val="ab"/>
        <w:widowControl w:val="0"/>
        <w:spacing w:line="276" w:lineRule="auto"/>
        <w:jc w:val="both"/>
        <w:rPr>
          <w:bCs/>
          <w:rtl/>
        </w:rPr>
      </w:pPr>
      <w:r w:rsidRPr="00A52585">
        <w:rPr>
          <w:bCs/>
          <w:rtl/>
        </w:rPr>
        <w:t>[</w:t>
      </w:r>
      <w:r w:rsidR="00777DCB" w:rsidRPr="00A52585">
        <w:rPr>
          <w:bCs/>
          <w:rtl/>
        </w:rPr>
        <w:t>ب- حديث القدم</w:t>
      </w:r>
      <w:r w:rsidRPr="00A52585">
        <w:rPr>
          <w:bCs/>
          <w:rtl/>
        </w:rPr>
        <w:t>]:</w:t>
      </w:r>
      <w:r w:rsidR="00777DCB" w:rsidRPr="00A52585">
        <w:rPr>
          <w:bCs/>
          <w:rtl/>
        </w:rPr>
        <w:t xml:space="preserve"> </w:t>
      </w:r>
      <w:r w:rsidR="00777DCB" w:rsidRPr="00A52585">
        <w:rPr>
          <w:rtl/>
        </w:rPr>
        <w:t>ومن ذلك حديث القدم</w:t>
      </w:r>
      <w:r w:rsidRPr="00A52585">
        <w:rPr>
          <w:rtl/>
        </w:rPr>
        <w:t>:</w:t>
      </w:r>
      <w:r w:rsidR="00777DCB" w:rsidRPr="00A52585">
        <w:rPr>
          <w:rtl/>
        </w:rPr>
        <w:t xml:space="preserve"> (</w:t>
      </w:r>
      <w:r w:rsidRPr="00A52585">
        <w:rPr>
          <w:rtl/>
        </w:rPr>
        <w:t>(</w:t>
      </w:r>
      <w:r w:rsidR="00777DCB" w:rsidRPr="00A52585">
        <w:rPr>
          <w:rtl/>
        </w:rPr>
        <w:t>لا تزال جهنم تقول هل من مزيد حتى يضع رب العزة فيها قدمه …</w:t>
      </w:r>
      <w:r w:rsidRPr="00A52585">
        <w:rPr>
          <w:rtl/>
        </w:rPr>
        <w:t>)</w:t>
      </w:r>
      <w:r w:rsidR="00777DCB" w:rsidRPr="00A52585">
        <w:rPr>
          <w:rtl/>
        </w:rPr>
        <w:t>) الحديث</w:t>
      </w:r>
      <w:r w:rsidR="00777DCB" w:rsidRPr="00A52585">
        <w:rPr>
          <w:vertAlign w:val="superscript"/>
          <w:rtl/>
        </w:rPr>
        <w:t xml:space="preserve"> </w:t>
      </w:r>
      <w:r w:rsidRPr="00A52585">
        <w:rPr>
          <w:szCs w:val="24"/>
          <w:rtl/>
        </w:rPr>
        <w:t>[</w:t>
      </w:r>
      <w:r w:rsidR="00777DCB" w:rsidRPr="00A52585">
        <w:rPr>
          <w:szCs w:val="24"/>
          <w:rtl/>
        </w:rPr>
        <w:t>قال المحقق</w:t>
      </w:r>
      <w:r w:rsidRPr="00A52585">
        <w:rPr>
          <w:szCs w:val="24"/>
          <w:rtl/>
        </w:rPr>
        <w:t xml:space="preserve">: </w:t>
      </w:r>
      <w:r w:rsidR="00777DCB" w:rsidRPr="00A52585">
        <w:rPr>
          <w:rFonts w:ascii="Traditional Arabic" w:hAnsi="Traditional Arabic"/>
          <w:szCs w:val="24"/>
          <w:rtl/>
        </w:rPr>
        <w:t>متفق عليه. رواه البخاري في كتاب التوحيد باب</w:t>
      </w:r>
      <w:r w:rsidRPr="00A52585">
        <w:rPr>
          <w:rFonts w:ascii="Traditional Arabic" w:hAnsi="Traditional Arabic"/>
          <w:szCs w:val="24"/>
          <w:rtl/>
        </w:rPr>
        <w:t>:</w:t>
      </w:r>
      <w:r w:rsidR="00777DCB" w:rsidRPr="00A52585">
        <w:rPr>
          <w:rFonts w:ascii="Traditional Arabic" w:hAnsi="Traditional Arabic"/>
          <w:szCs w:val="24"/>
          <w:rtl/>
        </w:rPr>
        <w:t xml:space="preserve"> قول الله تعالى</w:t>
      </w:r>
      <w:r w:rsidRPr="00A52585">
        <w:rPr>
          <w:rFonts w:ascii="Traditional Arabic" w:hAnsi="Traditional Arabic"/>
          <w:szCs w:val="24"/>
          <w:rtl/>
        </w:rPr>
        <w:t>:</w:t>
      </w:r>
      <w:r w:rsidR="00777DCB" w:rsidRPr="00A52585">
        <w:rPr>
          <w:rFonts w:ascii="Traditional Arabic" w:hAnsi="Traditional Arabic"/>
          <w:szCs w:val="24"/>
          <w:rtl/>
        </w:rPr>
        <w:t xml:space="preserve"> </w:t>
      </w:r>
      <w:r w:rsidRPr="00A52585">
        <w:rPr>
          <w:rFonts w:ascii="Traditional Arabic" w:hAnsi="Traditional Arabic"/>
          <w:szCs w:val="24"/>
          <w:rtl/>
        </w:rPr>
        <w:t>{</w:t>
      </w:r>
      <w:r w:rsidR="00777DCB" w:rsidRPr="00A52585">
        <w:rPr>
          <w:rFonts w:ascii="Traditional Arabic" w:hAnsi="Traditional Arabic"/>
          <w:szCs w:val="24"/>
          <w:rtl/>
        </w:rPr>
        <w:t xml:space="preserve">وهو العزيز الحكيم} وفي الأيمان </w:t>
      </w:r>
      <w:r w:rsidR="00777DCB" w:rsidRPr="00A52585">
        <w:rPr>
          <w:rFonts w:ascii="Traditional Arabic" w:hAnsi="Traditional Arabic"/>
          <w:szCs w:val="24"/>
          <w:rtl/>
        </w:rPr>
        <w:lastRenderedPageBreak/>
        <w:t>والنذور باب</w:t>
      </w:r>
      <w:r w:rsidRPr="00A52585">
        <w:rPr>
          <w:rFonts w:ascii="Traditional Arabic" w:hAnsi="Traditional Arabic"/>
          <w:szCs w:val="24"/>
          <w:rtl/>
        </w:rPr>
        <w:t>:</w:t>
      </w:r>
      <w:r w:rsidR="00777DCB" w:rsidRPr="00A52585">
        <w:rPr>
          <w:rFonts w:ascii="Traditional Arabic" w:hAnsi="Traditional Arabic"/>
          <w:szCs w:val="24"/>
          <w:rtl/>
        </w:rPr>
        <w:t xml:space="preserve"> الحلف بعزة الله وصفاته وكلماته ورواه مسلم في كتاب صفة الجنة والنار باب</w:t>
      </w:r>
      <w:r w:rsidRPr="00A52585">
        <w:rPr>
          <w:rFonts w:ascii="Traditional Arabic" w:hAnsi="Traditional Arabic"/>
          <w:szCs w:val="24"/>
          <w:rtl/>
        </w:rPr>
        <w:t>:</w:t>
      </w:r>
      <w:r w:rsidR="00777DCB" w:rsidRPr="00A52585">
        <w:rPr>
          <w:rFonts w:ascii="Traditional Arabic" w:hAnsi="Traditional Arabic"/>
          <w:szCs w:val="24"/>
          <w:rtl/>
        </w:rPr>
        <w:t xml:space="preserve"> النار يدخلها الجبارون والجنة يدخلها الضعفاء</w:t>
      </w:r>
      <w:r w:rsidR="00DB731D" w:rsidRPr="00A52585">
        <w:rPr>
          <w:rFonts w:ascii="Traditional Arabic" w:hAnsi="Traditional Arabic"/>
          <w:szCs w:val="24"/>
          <w:rtl/>
        </w:rPr>
        <w:t>،</w:t>
      </w:r>
      <w:r w:rsidR="00777DCB" w:rsidRPr="00A52585">
        <w:rPr>
          <w:rFonts w:ascii="Traditional Arabic" w:hAnsi="Traditional Arabic"/>
          <w:szCs w:val="24"/>
          <w:rtl/>
        </w:rPr>
        <w:t xml:space="preserve"> والنسائي في السنن الكبرى في كتاب النعوت. والترمذي في تفسير سورة ق</w:t>
      </w:r>
      <w:r w:rsidR="00DB731D" w:rsidRPr="00A52585">
        <w:rPr>
          <w:rFonts w:ascii="Traditional Arabic" w:hAnsi="Traditional Arabic"/>
          <w:szCs w:val="24"/>
          <w:rtl/>
        </w:rPr>
        <w:t>،</w:t>
      </w:r>
      <w:r w:rsidR="00777DCB" w:rsidRPr="00A52585">
        <w:rPr>
          <w:rFonts w:ascii="Traditional Arabic" w:hAnsi="Traditional Arabic"/>
          <w:szCs w:val="24"/>
          <w:rtl/>
        </w:rPr>
        <w:t xml:space="preserve"> وأورده العلامة المحدث السيد عبد الله الغماري في كتابه (الفوائد المقصودة في بيان الأحاديث الشاذة المردودة) فليرجع إليه. قال ابن </w:t>
      </w:r>
      <w:proofErr w:type="spellStart"/>
      <w:r w:rsidR="00777DCB" w:rsidRPr="00A52585">
        <w:rPr>
          <w:rFonts w:ascii="Traditional Arabic" w:hAnsi="Traditional Arabic"/>
          <w:szCs w:val="24"/>
          <w:rtl/>
        </w:rPr>
        <w:t>الزاغوني</w:t>
      </w:r>
      <w:proofErr w:type="spellEnd"/>
      <w:r w:rsidR="00777DCB" w:rsidRPr="00A52585">
        <w:rPr>
          <w:rFonts w:ascii="Traditional Arabic" w:hAnsi="Traditional Arabic"/>
          <w:szCs w:val="24"/>
          <w:rtl/>
        </w:rPr>
        <w:t xml:space="preserve"> (المجسم)</w:t>
      </w:r>
      <w:r w:rsidRPr="00A52585">
        <w:rPr>
          <w:rFonts w:ascii="Traditional Arabic" w:hAnsi="Traditional Arabic"/>
          <w:szCs w:val="24"/>
          <w:rtl/>
        </w:rPr>
        <w:t xml:space="preserve">: </w:t>
      </w:r>
      <w:r w:rsidR="00777DCB" w:rsidRPr="00A52585">
        <w:rPr>
          <w:rFonts w:ascii="Traditional Arabic" w:hAnsi="Traditional Arabic"/>
          <w:szCs w:val="24"/>
          <w:rtl/>
        </w:rPr>
        <w:t>" إنما وضع قدمه في النار ليخبرهم أن أصنامهم تحترق وأنا لا أحترق "</w:t>
      </w:r>
      <w:r w:rsidRPr="00A52585">
        <w:rPr>
          <w:rFonts w:ascii="Traditional Arabic" w:hAnsi="Traditional Arabic"/>
          <w:szCs w:val="24"/>
          <w:rtl/>
        </w:rPr>
        <w:t xml:space="preserve"> </w:t>
      </w:r>
      <w:proofErr w:type="spell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ـ. قال ابن الجوزي تعقيبا عليه</w:t>
      </w:r>
      <w:r w:rsidRPr="00A52585">
        <w:rPr>
          <w:rFonts w:ascii="Traditional Arabic" w:hAnsi="Traditional Arabic"/>
          <w:szCs w:val="24"/>
          <w:rtl/>
        </w:rPr>
        <w:t xml:space="preserve">: </w:t>
      </w:r>
      <w:r w:rsidR="00777DCB" w:rsidRPr="00A52585">
        <w:rPr>
          <w:rFonts w:ascii="Traditional Arabic" w:hAnsi="Traditional Arabic"/>
          <w:szCs w:val="24"/>
          <w:rtl/>
        </w:rPr>
        <w:t>" هذا إثبات تبعيض وهو من أقبح الاعتقادات "</w:t>
      </w:r>
      <w:r w:rsidRPr="00A52585">
        <w:rPr>
          <w:rFonts w:ascii="Traditional Arabic" w:hAnsi="Traditional Arabic"/>
          <w:szCs w:val="24"/>
          <w:rtl/>
        </w:rPr>
        <w:t xml:space="preserve"> </w:t>
      </w:r>
      <w:proofErr w:type="spell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 xml:space="preserve">ـ وسيأتي في تعليقنا ما يثبت قول ابن تيمية أيضاً </w:t>
      </w:r>
      <w:proofErr w:type="spellStart"/>
      <w:r w:rsidR="00777DCB" w:rsidRPr="00A52585">
        <w:rPr>
          <w:rFonts w:ascii="Traditional Arabic" w:hAnsi="Traditional Arabic"/>
          <w:szCs w:val="24"/>
          <w:rtl/>
        </w:rPr>
        <w:t>بالتبيعض</w:t>
      </w:r>
      <w:proofErr w:type="spellEnd"/>
      <w:r w:rsidR="00777DCB" w:rsidRPr="00A52585">
        <w:rPr>
          <w:rFonts w:ascii="Traditional Arabic" w:hAnsi="Traditional Arabic"/>
          <w:szCs w:val="24"/>
          <w:rtl/>
        </w:rPr>
        <w:t xml:space="preserve"> وتركب الحق </w:t>
      </w:r>
      <w:r w:rsidR="00777DCB" w:rsidRPr="00A52585">
        <w:rPr>
          <w:rFonts w:ascii="Traditional Arabic" w:hAnsi="Traditional Arabic"/>
          <w:szCs w:val="24"/>
        </w:rPr>
        <w:t>–</w:t>
      </w:r>
      <w:r w:rsidR="00777DCB" w:rsidRPr="00A52585">
        <w:rPr>
          <w:rFonts w:ascii="Traditional Arabic" w:hAnsi="Traditional Arabic"/>
          <w:szCs w:val="24"/>
          <w:rtl/>
        </w:rPr>
        <w:t xml:space="preserve"> تعالى عما يقول- من أجزاء</w:t>
      </w:r>
      <w:r w:rsidRPr="00A52585">
        <w:rPr>
          <w:rFonts w:ascii="Traditional Arabic" w:hAnsi="Traditional Arabic"/>
          <w:szCs w:val="24"/>
          <w:rtl/>
        </w:rPr>
        <w:t>]</w:t>
      </w:r>
      <w:r w:rsidR="00DB731D" w:rsidRPr="00A52585">
        <w:rPr>
          <w:rtl/>
        </w:rPr>
        <w:t>،</w:t>
      </w:r>
      <w:r w:rsidR="00777DCB" w:rsidRPr="00A52585">
        <w:rPr>
          <w:rtl/>
        </w:rPr>
        <w:t xml:space="preserve"> وهذا يرجع إلى المحكم</w:t>
      </w:r>
      <w:r w:rsidR="00DB731D" w:rsidRPr="00A52585">
        <w:rPr>
          <w:rtl/>
        </w:rPr>
        <w:t>،</w:t>
      </w:r>
      <w:r w:rsidR="00777DCB" w:rsidRPr="00A52585">
        <w:rPr>
          <w:rtl/>
        </w:rPr>
        <w:t xml:space="preserve"> قال الله تعالى</w:t>
      </w:r>
      <w:r w:rsidRPr="00A52585">
        <w:rPr>
          <w:rtl/>
        </w:rPr>
        <w:t>:</w:t>
      </w:r>
      <w:r w:rsidR="00777DCB" w:rsidRPr="00A52585">
        <w:rPr>
          <w:rtl/>
        </w:rPr>
        <w:t xml:space="preserve"> {وبشر الذين آمنوا وعملوا الصالحات أن لهم قدم صدق عند ربهم</w:t>
      </w:r>
      <w:r w:rsidRPr="00A52585">
        <w:rPr>
          <w:rtl/>
        </w:rPr>
        <w:t>}</w:t>
      </w:r>
      <w:r w:rsidR="00777DCB" w:rsidRPr="00A52585">
        <w:rPr>
          <w:rtl/>
        </w:rPr>
        <w:t xml:space="preserve"> </w:t>
      </w:r>
      <w:r w:rsidRPr="00A52585">
        <w:rPr>
          <w:rtl/>
        </w:rPr>
        <w:t>[</w:t>
      </w:r>
      <w:r w:rsidR="00777DCB" w:rsidRPr="00A52585">
        <w:rPr>
          <w:rtl/>
        </w:rPr>
        <w:t>يونس</w:t>
      </w:r>
      <w:r w:rsidRPr="00A52585">
        <w:rPr>
          <w:rtl/>
        </w:rPr>
        <w:t>:</w:t>
      </w:r>
      <w:r w:rsidR="00777DCB" w:rsidRPr="00A52585">
        <w:rPr>
          <w:rtl/>
        </w:rPr>
        <w:t xml:space="preserve"> 2</w:t>
      </w:r>
      <w:r w:rsidRPr="00A52585">
        <w:rPr>
          <w:rtl/>
        </w:rPr>
        <w:t>]</w:t>
      </w:r>
      <w:r w:rsidR="00DB731D" w:rsidRPr="00A52585">
        <w:rPr>
          <w:rtl/>
        </w:rPr>
        <w:t>،</w:t>
      </w:r>
      <w:r w:rsidR="00777DCB" w:rsidRPr="00A52585">
        <w:rPr>
          <w:rtl/>
        </w:rPr>
        <w:t xml:space="preserve"> وقال الحسن البصري</w:t>
      </w:r>
      <w:r w:rsidRPr="00A52585">
        <w:rPr>
          <w:rtl/>
        </w:rPr>
        <w:t>:</w:t>
      </w:r>
      <w:r w:rsidR="00777DCB" w:rsidRPr="00A52585">
        <w:rPr>
          <w:rtl/>
        </w:rPr>
        <w:t xml:space="preserve"> القدم في الحديث هم الذين قدمهم الله تعالى من شرار خلقه وأثبتهم لها</w:t>
      </w:r>
      <w:r w:rsidR="00DB731D" w:rsidRPr="00A52585">
        <w:rPr>
          <w:rtl/>
        </w:rPr>
        <w:t>،</w:t>
      </w:r>
      <w:r w:rsidR="00777DCB" w:rsidRPr="00A52585">
        <w:rPr>
          <w:rtl/>
        </w:rPr>
        <w:t xml:space="preserve"> وقال البيهقي عن النضر بن شميل</w:t>
      </w:r>
      <w:r w:rsidRPr="00A52585">
        <w:rPr>
          <w:rtl/>
        </w:rPr>
        <w:t>:</w:t>
      </w:r>
      <w:r w:rsidR="00777DCB" w:rsidRPr="00A52585">
        <w:rPr>
          <w:rtl/>
        </w:rPr>
        <w:t xml:space="preserve"> القدم هنا</w:t>
      </w:r>
      <w:r w:rsidRPr="00A52585">
        <w:rPr>
          <w:rtl/>
        </w:rPr>
        <w:t>:</w:t>
      </w:r>
      <w:r w:rsidR="00777DCB" w:rsidRPr="00A52585">
        <w:rPr>
          <w:rtl/>
        </w:rPr>
        <w:t xml:space="preserve"> الكفار الذين سبق في علم الله أنهم من أهل النار</w:t>
      </w:r>
      <w:r w:rsidR="00DB731D" w:rsidRPr="00A52585">
        <w:rPr>
          <w:rtl/>
        </w:rPr>
        <w:t>،</w:t>
      </w:r>
      <w:r w:rsidR="00777DCB" w:rsidRPr="00A52585">
        <w:rPr>
          <w:rtl/>
        </w:rPr>
        <w:t xml:space="preserve"> وقال الأزهري</w:t>
      </w:r>
      <w:r w:rsidRPr="00A52585">
        <w:rPr>
          <w:rtl/>
        </w:rPr>
        <w:t>:</w:t>
      </w:r>
      <w:r w:rsidR="00777DCB" w:rsidRPr="00A52585">
        <w:rPr>
          <w:rtl/>
        </w:rPr>
        <w:t xml:space="preserve"> القدم الذين تقدم القول بتخليدهم في النار</w:t>
      </w:r>
      <w:r w:rsidR="00DB731D" w:rsidRPr="00A52585">
        <w:rPr>
          <w:rtl/>
        </w:rPr>
        <w:t>،</w:t>
      </w:r>
      <w:r w:rsidR="00777DCB" w:rsidRPr="00A52585">
        <w:rPr>
          <w:rtl/>
        </w:rPr>
        <w:t xml:space="preserve"> وقال ابن الأعرابي</w:t>
      </w:r>
      <w:r w:rsidRPr="00A52585">
        <w:rPr>
          <w:rtl/>
        </w:rPr>
        <w:t>:</w:t>
      </w:r>
      <w:r w:rsidR="00777DCB" w:rsidRPr="00A52585">
        <w:rPr>
          <w:rtl/>
        </w:rPr>
        <w:t xml:space="preserve"> القدم المتقدم. وكل قادم عليها يسمى قدماً. والقدم</w:t>
      </w:r>
      <w:r w:rsidRPr="00A52585">
        <w:rPr>
          <w:rtl/>
        </w:rPr>
        <w:t>:</w:t>
      </w:r>
      <w:r w:rsidR="00777DCB" w:rsidRPr="00A52585">
        <w:rPr>
          <w:rtl/>
        </w:rPr>
        <w:t xml:space="preserve"> جمع قادم</w:t>
      </w:r>
      <w:r w:rsidR="00DB731D" w:rsidRPr="00A52585">
        <w:rPr>
          <w:rtl/>
        </w:rPr>
        <w:t>،</w:t>
      </w:r>
      <w:r w:rsidR="00777DCB" w:rsidRPr="00A52585">
        <w:rPr>
          <w:rtl/>
        </w:rPr>
        <w:t xml:space="preserve"> كما يقال</w:t>
      </w:r>
      <w:r w:rsidRPr="00A52585">
        <w:rPr>
          <w:rtl/>
        </w:rPr>
        <w:t>:</w:t>
      </w:r>
      <w:r w:rsidR="00777DCB" w:rsidRPr="00A52585">
        <w:rPr>
          <w:rtl/>
        </w:rPr>
        <w:t xml:space="preserve"> غيب وغائب</w:t>
      </w:r>
      <w:r w:rsidR="00DB731D" w:rsidRPr="00A52585">
        <w:rPr>
          <w:rtl/>
        </w:rPr>
        <w:t>،</w:t>
      </w:r>
      <w:r w:rsidR="00777DCB" w:rsidRPr="00A52585">
        <w:rPr>
          <w:rtl/>
        </w:rPr>
        <w:t xml:space="preserve"> وروى الدارقطني</w:t>
      </w:r>
      <w:r w:rsidRPr="00A52585">
        <w:rPr>
          <w:rtl/>
        </w:rPr>
        <w:t>:</w:t>
      </w:r>
      <w:r w:rsidR="00777DCB" w:rsidRPr="00A52585">
        <w:rPr>
          <w:rtl/>
        </w:rPr>
        <w:t xml:space="preserve"> حتى يضع قدمه أو رجله. وفي هذا دلالة على تغيير الرواة بالظن مع أن الرجل في اللغة هي الجماعة</w:t>
      </w:r>
      <w:r w:rsidR="00DB731D" w:rsidRPr="00A52585">
        <w:rPr>
          <w:rtl/>
        </w:rPr>
        <w:t>،</w:t>
      </w:r>
      <w:r w:rsidR="00777DCB" w:rsidRPr="00A52585">
        <w:rPr>
          <w:rtl/>
        </w:rPr>
        <w:t xml:space="preserve"> ألا تراهم يقولون</w:t>
      </w:r>
      <w:r w:rsidRPr="00A52585">
        <w:rPr>
          <w:rtl/>
        </w:rPr>
        <w:t>:</w:t>
      </w:r>
      <w:r w:rsidR="00777DCB" w:rsidRPr="00A52585">
        <w:rPr>
          <w:rtl/>
        </w:rPr>
        <w:t xml:space="preserve"> رجل من جراد</w:t>
      </w:r>
      <w:r w:rsidR="00DB731D" w:rsidRPr="00A52585">
        <w:rPr>
          <w:rtl/>
        </w:rPr>
        <w:t>،</w:t>
      </w:r>
      <w:r w:rsidR="00777DCB" w:rsidRPr="00A52585">
        <w:rPr>
          <w:rtl/>
        </w:rPr>
        <w:t xml:space="preserve"> فيكون المعنى يدخلها جماعة يشبهون الجراد في الكثرة</w:t>
      </w:r>
      <w:r w:rsidR="00DB731D" w:rsidRPr="00A52585">
        <w:rPr>
          <w:rtl/>
        </w:rPr>
        <w:t>،</w:t>
      </w:r>
      <w:r w:rsidR="00777DCB" w:rsidRPr="00A52585">
        <w:rPr>
          <w:rtl/>
        </w:rPr>
        <w:t xml:space="preserve"> قال ابن عقيل</w:t>
      </w:r>
      <w:r w:rsidRPr="00A52585">
        <w:rPr>
          <w:rtl/>
        </w:rPr>
        <w:t>:</w:t>
      </w:r>
      <w:r w:rsidR="00777DCB" w:rsidRPr="00A52585">
        <w:rPr>
          <w:rtl/>
        </w:rPr>
        <w:t xml:space="preserve"> تعالى الله أن يكون له صفة تشغل الأمكنة</w:t>
      </w:r>
      <w:r w:rsidR="00DB731D" w:rsidRPr="00A52585">
        <w:rPr>
          <w:rtl/>
        </w:rPr>
        <w:t>،</w:t>
      </w:r>
      <w:r w:rsidR="00777DCB" w:rsidRPr="00A52585">
        <w:rPr>
          <w:rtl/>
        </w:rPr>
        <w:t xml:space="preserve"> هذا عين التجسيم وليس الحق بذي أجزاء وأبعاض</w:t>
      </w:r>
      <w:r w:rsidR="00DB731D" w:rsidRPr="00A52585">
        <w:rPr>
          <w:rtl/>
        </w:rPr>
        <w:t>،</w:t>
      </w:r>
      <w:r w:rsidR="00777DCB" w:rsidRPr="00A52585">
        <w:rPr>
          <w:rtl/>
        </w:rPr>
        <w:t xml:space="preserve"> فما أَسْخَف هذا الاعتقاد وأبعده عن المكون تعالى الله عن تخايل الجسمية</w:t>
      </w:r>
      <w:r w:rsidR="00DB731D" w:rsidRPr="00A52585">
        <w:rPr>
          <w:rtl/>
        </w:rPr>
        <w:t>،</w:t>
      </w:r>
      <w:r w:rsidR="00777DCB" w:rsidRPr="00A52585">
        <w:rPr>
          <w:rtl/>
        </w:rPr>
        <w:t xml:space="preserve"> وذكر كلاماً مطولاً بالغ في التَنْزِيه وتعظيم الله تعالى </w:t>
      </w:r>
      <w:r w:rsidR="00777DCB" w:rsidRPr="00A52585">
        <w:rPr>
          <w:szCs w:val="24"/>
          <w:rtl/>
        </w:rPr>
        <w:t>[قال المحقق</w:t>
      </w:r>
      <w:r w:rsidRPr="00A52585">
        <w:rPr>
          <w:szCs w:val="24"/>
          <w:rtl/>
        </w:rPr>
        <w:t xml:space="preserve">: </w:t>
      </w:r>
      <w:r w:rsidR="00777DCB" w:rsidRPr="00A52585">
        <w:rPr>
          <w:rFonts w:ascii="Traditional Arabic" w:hAnsi="Traditional Arabic"/>
          <w:szCs w:val="24"/>
          <w:rtl/>
        </w:rPr>
        <w:t>يقول السيد المحدث المفيد عبد الله بن محمد بن الصديق الغماري في كتابه (الفوائد المقصودة في بيان الأحاديث الشاذة المردودة)</w:t>
      </w:r>
      <w:r w:rsidRPr="00A52585">
        <w:rPr>
          <w:rFonts w:ascii="Traditional Arabic" w:hAnsi="Traditional Arabic"/>
          <w:szCs w:val="24"/>
          <w:rtl/>
        </w:rPr>
        <w:t xml:space="preserve">: </w:t>
      </w:r>
      <w:r w:rsidR="00777DCB" w:rsidRPr="00A52585">
        <w:rPr>
          <w:rFonts w:ascii="Traditional Arabic" w:hAnsi="Traditional Arabic"/>
          <w:szCs w:val="24"/>
          <w:rtl/>
        </w:rPr>
        <w:t>" الحديث الخامس عشر ثبت في الصحيحين عن أنس عن النبي صلى الله عليه وسلم قال</w:t>
      </w:r>
      <w:r w:rsidRPr="00A52585">
        <w:rPr>
          <w:rFonts w:ascii="Traditional Arabic" w:hAnsi="Traditional Arabic"/>
          <w:szCs w:val="24"/>
          <w:rtl/>
        </w:rPr>
        <w:t>:</w:t>
      </w:r>
      <w:r w:rsidR="00777DCB" w:rsidRPr="00A52585">
        <w:rPr>
          <w:rFonts w:ascii="Traditional Arabic" w:hAnsi="Traditional Arabic"/>
          <w:szCs w:val="24"/>
          <w:rtl/>
        </w:rPr>
        <w:t xml:space="preserve"> يلقي في النار، وتقول</w:t>
      </w:r>
      <w:r w:rsidRPr="00A52585">
        <w:rPr>
          <w:rFonts w:ascii="Traditional Arabic" w:hAnsi="Traditional Arabic"/>
          <w:szCs w:val="24"/>
          <w:rtl/>
        </w:rPr>
        <w:t>:</w:t>
      </w:r>
      <w:r w:rsidR="00777DCB" w:rsidRPr="00A52585">
        <w:rPr>
          <w:rFonts w:ascii="Traditional Arabic" w:hAnsi="Traditional Arabic"/>
          <w:szCs w:val="24"/>
          <w:rtl/>
        </w:rPr>
        <w:t xml:space="preserve"> هل من مزيد</w:t>
      </w:r>
      <w:r w:rsidR="00F95886" w:rsidRPr="00A52585">
        <w:rPr>
          <w:rFonts w:ascii="Traditional Arabic" w:hAnsi="Traditional Arabic"/>
          <w:szCs w:val="24"/>
          <w:rtl/>
        </w:rPr>
        <w:t>؟</w:t>
      </w:r>
      <w:r w:rsidR="00777DCB" w:rsidRPr="00A52585">
        <w:rPr>
          <w:rFonts w:ascii="Traditional Arabic" w:hAnsi="Traditional Arabic"/>
          <w:szCs w:val="24"/>
          <w:rtl/>
        </w:rPr>
        <w:t xml:space="preserve"> حتى يضع قدمه فتقول</w:t>
      </w:r>
      <w:r w:rsidRPr="00A52585">
        <w:rPr>
          <w:rFonts w:ascii="Traditional Arabic" w:hAnsi="Traditional Arabic"/>
          <w:szCs w:val="24"/>
          <w:rtl/>
        </w:rPr>
        <w:t>:</w:t>
      </w:r>
      <w:r w:rsidR="00777DCB" w:rsidRPr="00A52585">
        <w:rPr>
          <w:rFonts w:ascii="Traditional Arabic" w:hAnsi="Traditional Arabic"/>
          <w:szCs w:val="24"/>
          <w:rtl/>
        </w:rPr>
        <w:t xml:space="preserve"> قط </w:t>
      </w:r>
      <w:proofErr w:type="spellStart"/>
      <w:r w:rsidR="00777DCB" w:rsidRPr="00A52585">
        <w:rPr>
          <w:rFonts w:ascii="Traditional Arabic" w:hAnsi="Traditional Arabic"/>
          <w:szCs w:val="24"/>
          <w:rtl/>
        </w:rPr>
        <w:t>قط</w:t>
      </w:r>
      <w:proofErr w:type="spellEnd"/>
      <w:r w:rsidR="00DB731D" w:rsidRPr="00A52585">
        <w:rPr>
          <w:rFonts w:ascii="Traditional Arabic" w:hAnsi="Traditional Arabic"/>
          <w:szCs w:val="24"/>
          <w:rtl/>
        </w:rPr>
        <w:t>،</w:t>
      </w:r>
      <w:r w:rsidR="00777DCB" w:rsidRPr="00A52585">
        <w:rPr>
          <w:rFonts w:ascii="Traditional Arabic" w:hAnsi="Traditional Arabic"/>
          <w:szCs w:val="24"/>
          <w:rtl/>
        </w:rPr>
        <w:t xml:space="preserve"> وفيهما أيضاً عن أبي هريرة قال</w:t>
      </w:r>
      <w:r w:rsidRPr="00A52585">
        <w:rPr>
          <w:rFonts w:ascii="Traditional Arabic" w:hAnsi="Traditional Arabic"/>
          <w:szCs w:val="24"/>
          <w:rtl/>
        </w:rPr>
        <w:t>:</w:t>
      </w:r>
      <w:r w:rsidR="00777DCB" w:rsidRPr="00A52585">
        <w:rPr>
          <w:rFonts w:ascii="Traditional Arabic" w:hAnsi="Traditional Arabic"/>
          <w:szCs w:val="24"/>
          <w:rtl/>
        </w:rPr>
        <w:t xml:space="preserve"> </w:t>
      </w:r>
      <w:r w:rsidRPr="00A52585">
        <w:rPr>
          <w:rFonts w:ascii="Traditional Arabic" w:hAnsi="Traditional Arabic"/>
          <w:szCs w:val="24"/>
          <w:rtl/>
        </w:rPr>
        <w:t>(</w:t>
      </w:r>
      <w:r w:rsidR="00777DCB" w:rsidRPr="00A52585">
        <w:rPr>
          <w:rFonts w:ascii="Traditional Arabic" w:hAnsi="Traditional Arabic"/>
          <w:szCs w:val="24"/>
          <w:rtl/>
        </w:rPr>
        <w:t>فأما النار فلا تمتلئ حتى يضع رجله، فتقول</w:t>
      </w:r>
      <w:r w:rsidRPr="00A52585">
        <w:rPr>
          <w:rFonts w:ascii="Traditional Arabic" w:hAnsi="Traditional Arabic"/>
          <w:szCs w:val="24"/>
          <w:rtl/>
        </w:rPr>
        <w:t>:</w:t>
      </w:r>
      <w:r w:rsidR="00777DCB" w:rsidRPr="00A52585">
        <w:rPr>
          <w:rFonts w:ascii="Traditional Arabic" w:hAnsi="Traditional Arabic"/>
          <w:szCs w:val="24"/>
          <w:rtl/>
        </w:rPr>
        <w:t xml:space="preserve"> قط </w:t>
      </w:r>
      <w:proofErr w:type="spellStart"/>
      <w:r w:rsidR="00777DCB" w:rsidRPr="00A52585">
        <w:rPr>
          <w:rFonts w:ascii="Traditional Arabic" w:hAnsi="Traditional Arabic"/>
          <w:szCs w:val="24"/>
          <w:rtl/>
        </w:rPr>
        <w:t>قط</w:t>
      </w:r>
      <w:proofErr w:type="spellEnd"/>
      <w:r w:rsidR="00777DCB" w:rsidRPr="00A52585">
        <w:rPr>
          <w:rFonts w:ascii="Traditional Arabic" w:hAnsi="Traditional Arabic"/>
          <w:szCs w:val="24"/>
          <w:rtl/>
        </w:rPr>
        <w:t>، فهنالك تمتلئ ويزوي بعضها إلى بعض)</w:t>
      </w:r>
      <w:r w:rsidR="00DB731D" w:rsidRPr="00A52585">
        <w:rPr>
          <w:rFonts w:ascii="Traditional Arabic" w:hAnsi="Traditional Arabic"/>
          <w:szCs w:val="24"/>
          <w:rtl/>
        </w:rPr>
        <w:t>،</w:t>
      </w:r>
      <w:r w:rsidR="00777DCB" w:rsidRPr="00A52585">
        <w:rPr>
          <w:rFonts w:ascii="Traditional Arabic" w:hAnsi="Traditional Arabic"/>
          <w:szCs w:val="24"/>
          <w:rtl/>
        </w:rPr>
        <w:t xml:space="preserve"> روى هذا الحديث بالروايتين أبو إسماعيل الهروي في كتاب الأربعين، فترجم للرواية الأخيرة بقوله</w:t>
      </w:r>
      <w:r w:rsidRPr="00A52585">
        <w:rPr>
          <w:rFonts w:ascii="Traditional Arabic" w:hAnsi="Traditional Arabic"/>
          <w:szCs w:val="24"/>
          <w:rtl/>
        </w:rPr>
        <w:t>:</w:t>
      </w:r>
      <w:r w:rsidR="00777DCB" w:rsidRPr="00A52585">
        <w:rPr>
          <w:rFonts w:ascii="Traditional Arabic" w:hAnsi="Traditional Arabic"/>
          <w:szCs w:val="24"/>
          <w:rtl/>
        </w:rPr>
        <w:t xml:space="preserve"> باب الدليل على أن القدم هو الرجل، وهذا من شذوذ هذا الرجل، يتمسك في إثبات صفات لله تعالى بخبر آحاد محتمل للتأويل</w:t>
      </w:r>
      <w:r w:rsidR="00DB731D" w:rsidRPr="00A52585">
        <w:rPr>
          <w:rFonts w:ascii="Traditional Arabic" w:hAnsi="Traditional Arabic"/>
          <w:szCs w:val="24"/>
          <w:rtl/>
        </w:rPr>
        <w:t>،</w:t>
      </w:r>
      <w:r w:rsidR="00777DCB" w:rsidRPr="00A52585">
        <w:rPr>
          <w:rFonts w:ascii="Traditional Arabic" w:hAnsi="Traditional Arabic"/>
          <w:szCs w:val="24"/>
          <w:rtl/>
        </w:rPr>
        <w:t xml:space="preserve"> </w:t>
      </w:r>
      <w:r w:rsidR="00777DCB" w:rsidRPr="00A52585">
        <w:rPr>
          <w:rFonts w:ascii="Traditional Arabic" w:hAnsi="Traditional Arabic"/>
          <w:bCs/>
          <w:szCs w:val="24"/>
          <w:rtl/>
        </w:rPr>
        <w:t>ونقول في الرد عليه</w:t>
      </w:r>
      <w:r w:rsidRPr="00A52585">
        <w:rPr>
          <w:rFonts w:ascii="Traditional Arabic" w:hAnsi="Traditional Arabic"/>
          <w:szCs w:val="24"/>
          <w:rtl/>
        </w:rPr>
        <w:t>:</w:t>
      </w:r>
      <w:r w:rsidR="00777DCB" w:rsidRPr="00A52585">
        <w:rPr>
          <w:rFonts w:ascii="Traditional Arabic" w:hAnsi="Traditional Arabic"/>
          <w:szCs w:val="24"/>
          <w:rtl/>
        </w:rPr>
        <w:t xml:space="preserve"> أولاً</w:t>
      </w:r>
      <w:r w:rsidRPr="00A52585">
        <w:rPr>
          <w:rFonts w:ascii="Traditional Arabic" w:hAnsi="Traditional Arabic"/>
          <w:szCs w:val="24"/>
          <w:rtl/>
        </w:rPr>
        <w:t>:</w:t>
      </w:r>
      <w:r w:rsidR="00777DCB" w:rsidRPr="00A52585">
        <w:rPr>
          <w:rFonts w:ascii="Traditional Arabic" w:hAnsi="Traditional Arabic"/>
          <w:szCs w:val="24"/>
          <w:rtl/>
        </w:rPr>
        <w:t xml:space="preserve"> هذا الحديث أتى بزيادة عما في القرآن، فإن الله تعالى قال</w:t>
      </w:r>
      <w:r w:rsidRPr="00A52585">
        <w:rPr>
          <w:rFonts w:ascii="Traditional Arabic" w:hAnsi="Traditional Arabic"/>
          <w:szCs w:val="24"/>
          <w:rtl/>
        </w:rPr>
        <w:t>:</w:t>
      </w:r>
      <w:r w:rsidR="00777DCB" w:rsidRPr="00A52585">
        <w:rPr>
          <w:rFonts w:ascii="Traditional Arabic" w:hAnsi="Traditional Arabic"/>
          <w:szCs w:val="24"/>
          <w:rtl/>
        </w:rPr>
        <w:t xml:space="preserve"> (يوم نقول لجهنم هل امتلأت وتقول هل من مزيد) وهذا الحديث وإن كان صحيحا، ليس في قوة القرآن فلا يجوز أن يقطع بما فيه من الزيادة، ويجعل صفة لله تعالى</w:t>
      </w:r>
      <w:r w:rsidR="00DB731D" w:rsidRPr="00A52585">
        <w:rPr>
          <w:rFonts w:ascii="Traditional Arabic" w:hAnsi="Traditional Arabic"/>
          <w:szCs w:val="24"/>
          <w:rtl/>
        </w:rPr>
        <w:t>،</w:t>
      </w:r>
      <w:r w:rsidR="00777DCB" w:rsidRPr="00A52585">
        <w:rPr>
          <w:rFonts w:ascii="Traditional Arabic" w:hAnsi="Traditional Arabic"/>
          <w:szCs w:val="24"/>
          <w:rtl/>
        </w:rPr>
        <w:t xml:space="preserve"> ثانياً</w:t>
      </w:r>
      <w:r w:rsidRPr="00A52585">
        <w:rPr>
          <w:rFonts w:ascii="Traditional Arabic" w:hAnsi="Traditional Arabic"/>
          <w:szCs w:val="24"/>
          <w:rtl/>
        </w:rPr>
        <w:t>:</w:t>
      </w:r>
      <w:r w:rsidR="00777DCB" w:rsidRPr="00A52585">
        <w:rPr>
          <w:rFonts w:ascii="Traditional Arabic" w:hAnsi="Traditional Arabic"/>
          <w:szCs w:val="24"/>
          <w:rtl/>
        </w:rPr>
        <w:t xml:space="preserve"> ذكر ابن الجوزي أن الرواية التي جاءت بلفظ الرجل تحريف من بعض الرواة، لظنه أن المراد بالقدم الجارحة، فرواها بالمعنى فأخطأ أهـ</w:t>
      </w:r>
      <w:r w:rsidR="00DB731D" w:rsidRPr="00A52585">
        <w:rPr>
          <w:rFonts w:ascii="Traditional Arabic" w:hAnsi="Traditional Arabic"/>
          <w:szCs w:val="24"/>
          <w:rtl/>
        </w:rPr>
        <w:t>،</w:t>
      </w:r>
      <w:r w:rsidR="00777DCB" w:rsidRPr="00A52585">
        <w:rPr>
          <w:rFonts w:ascii="Traditional Arabic" w:hAnsi="Traditional Arabic"/>
          <w:szCs w:val="24"/>
          <w:rtl/>
        </w:rPr>
        <w:t xml:space="preserve"> وحيث أن الرواية بالمعنى محتملة في الحديث، فلا يجوز أن نضيفها إلى الله تعالى</w:t>
      </w:r>
      <w:r w:rsidR="00DB731D" w:rsidRPr="00A52585">
        <w:rPr>
          <w:rFonts w:ascii="Traditional Arabic" w:hAnsi="Traditional Arabic"/>
          <w:szCs w:val="24"/>
          <w:rtl/>
        </w:rPr>
        <w:t>،</w:t>
      </w:r>
      <w:r w:rsidR="00777DCB" w:rsidRPr="00A52585">
        <w:rPr>
          <w:rFonts w:ascii="Traditional Arabic" w:hAnsi="Traditional Arabic"/>
          <w:szCs w:val="24"/>
          <w:rtl/>
        </w:rPr>
        <w:t xml:space="preserve"> ثالثاً</w:t>
      </w:r>
      <w:r w:rsidRPr="00A52585">
        <w:rPr>
          <w:rFonts w:ascii="Traditional Arabic" w:hAnsi="Traditional Arabic"/>
          <w:szCs w:val="24"/>
          <w:rtl/>
        </w:rPr>
        <w:t>:</w:t>
      </w:r>
      <w:r w:rsidR="00777DCB" w:rsidRPr="00A52585">
        <w:rPr>
          <w:rFonts w:ascii="Traditional Arabic" w:hAnsi="Traditional Arabic"/>
          <w:szCs w:val="24"/>
          <w:rtl/>
        </w:rPr>
        <w:t xml:space="preserve"> أن الحديث مؤول بوجوه كثيرة، مبسوطة في فتح الباري وغيره</w:t>
      </w:r>
      <w:r w:rsidR="00DB731D" w:rsidRPr="00A52585">
        <w:rPr>
          <w:rFonts w:ascii="Traditional Arabic" w:hAnsi="Traditional Arabic"/>
          <w:szCs w:val="24"/>
          <w:rtl/>
        </w:rPr>
        <w:t>،</w:t>
      </w:r>
      <w:r w:rsidR="00777DCB" w:rsidRPr="00A52585">
        <w:rPr>
          <w:rFonts w:ascii="Traditional Arabic" w:hAnsi="Traditional Arabic"/>
          <w:szCs w:val="24"/>
          <w:rtl/>
        </w:rPr>
        <w:t xml:space="preserve"> رابعاً</w:t>
      </w:r>
      <w:r w:rsidRPr="00A52585">
        <w:rPr>
          <w:rFonts w:ascii="Traditional Arabic" w:hAnsi="Traditional Arabic"/>
          <w:szCs w:val="24"/>
          <w:rtl/>
        </w:rPr>
        <w:t>:</w:t>
      </w:r>
      <w:r w:rsidR="00777DCB" w:rsidRPr="00A52585">
        <w:rPr>
          <w:rFonts w:ascii="Traditional Arabic" w:hAnsi="Traditional Arabic"/>
          <w:szCs w:val="24"/>
          <w:rtl/>
        </w:rPr>
        <w:t xml:space="preserve"> قال أبو الوفاء ابن عقيل</w:t>
      </w:r>
      <w:r w:rsidRPr="00A52585">
        <w:rPr>
          <w:rFonts w:ascii="Traditional Arabic" w:hAnsi="Traditional Arabic"/>
          <w:szCs w:val="24"/>
          <w:rtl/>
        </w:rPr>
        <w:t>:</w:t>
      </w:r>
      <w:r w:rsidR="00777DCB" w:rsidRPr="00A52585">
        <w:rPr>
          <w:rFonts w:ascii="Traditional Arabic" w:hAnsi="Traditional Arabic"/>
          <w:szCs w:val="24"/>
          <w:rtl/>
        </w:rPr>
        <w:t xml:space="preserve"> تعالى الله عن أنه لا يعمل أمره في النار، حتى يستعين عليها بشيء من ذاته أو صفاته، وهو القائل للنار (كوني برداً وسلاما)، فمن يأمر نارا أججها غيره، أن تنقلب عن طبعها وهو الإحراق فتنقلب، كيف يحتاج في نار يؤججها هو إلى استعانة</w:t>
      </w:r>
      <w:r w:rsidR="00F95886" w:rsidRPr="00A52585">
        <w:rPr>
          <w:rFonts w:ascii="Traditional Arabic" w:hAnsi="Traditional Arabic"/>
          <w:szCs w:val="24"/>
          <w:rtl/>
        </w:rPr>
        <w:t>؟</w:t>
      </w:r>
      <w:r w:rsidR="00777DCB" w:rsidRPr="00A52585">
        <w:rPr>
          <w:rFonts w:ascii="Traditional Arabic" w:hAnsi="Traditional Arabic"/>
          <w:szCs w:val="24"/>
          <w:rtl/>
        </w:rPr>
        <w:t xml:space="preserve"> أهـ</w:t>
      </w:r>
      <w:r w:rsidR="00DB731D" w:rsidRPr="00A52585">
        <w:rPr>
          <w:rFonts w:ascii="Traditional Arabic" w:hAnsi="Traditional Arabic"/>
          <w:szCs w:val="24"/>
          <w:rtl/>
        </w:rPr>
        <w:t>،</w:t>
      </w:r>
      <w:r w:rsidR="00777DCB" w:rsidRPr="00A52585">
        <w:rPr>
          <w:rFonts w:ascii="Traditional Arabic" w:hAnsi="Traditional Arabic"/>
          <w:szCs w:val="24"/>
          <w:rtl/>
        </w:rPr>
        <w:t xml:space="preserve"> فكيف مع هذا الإشكال يجزم </w:t>
      </w:r>
      <w:proofErr w:type="spellStart"/>
      <w:r w:rsidR="00777DCB" w:rsidRPr="00A52585">
        <w:rPr>
          <w:rFonts w:ascii="Traditional Arabic" w:hAnsi="Traditional Arabic"/>
          <w:szCs w:val="24"/>
          <w:rtl/>
        </w:rPr>
        <w:t>الهروى</w:t>
      </w:r>
      <w:proofErr w:type="spellEnd"/>
      <w:r w:rsidR="00777DCB" w:rsidRPr="00A52585">
        <w:rPr>
          <w:rFonts w:ascii="Traditional Arabic" w:hAnsi="Traditional Arabic"/>
          <w:szCs w:val="24"/>
          <w:rtl/>
        </w:rPr>
        <w:t xml:space="preserve"> بإثبات القدم والرجل صفة لله تعالى</w:t>
      </w:r>
      <w:r w:rsidR="00F95886" w:rsidRPr="00A52585">
        <w:rPr>
          <w:rFonts w:ascii="Traditional Arabic" w:hAnsi="Traditional Arabic"/>
          <w:szCs w:val="24"/>
          <w:rtl/>
        </w:rPr>
        <w:t>؟</w:t>
      </w:r>
      <w:r w:rsidR="00777DCB" w:rsidRPr="00A52585">
        <w:rPr>
          <w:rFonts w:ascii="Traditional Arabic" w:hAnsi="Traditional Arabic"/>
          <w:szCs w:val="24"/>
          <w:rtl/>
        </w:rPr>
        <w:t xml:space="preserve"> وصفات الله عز وجل لا تثبت إلا بدليل قطعي كالقرآن أو السنة الصحيحة المقطوع بها، ولا يكون لاحتمال التأويل فيها مجال</w:t>
      </w:r>
      <w:r w:rsidR="00DB731D" w:rsidRPr="00A52585">
        <w:rPr>
          <w:rFonts w:ascii="Traditional Arabic" w:hAnsi="Traditional Arabic"/>
          <w:szCs w:val="24"/>
          <w:rtl/>
        </w:rPr>
        <w:t>،</w:t>
      </w:r>
      <w:r w:rsidR="00777DCB" w:rsidRPr="00A52585">
        <w:rPr>
          <w:rFonts w:ascii="Traditional Arabic" w:hAnsi="Traditional Arabic"/>
          <w:szCs w:val="24"/>
          <w:rtl/>
        </w:rPr>
        <w:t xml:space="preserve"> الخلاصة</w:t>
      </w:r>
      <w:r w:rsidRPr="00A52585">
        <w:rPr>
          <w:rFonts w:ascii="Traditional Arabic" w:hAnsi="Traditional Arabic"/>
          <w:szCs w:val="24"/>
          <w:rtl/>
        </w:rPr>
        <w:t>:</w:t>
      </w:r>
      <w:r w:rsidR="00777DCB" w:rsidRPr="00A52585">
        <w:rPr>
          <w:rFonts w:ascii="Traditional Arabic" w:hAnsi="Traditional Arabic"/>
          <w:szCs w:val="24"/>
          <w:rtl/>
        </w:rPr>
        <w:t xml:space="preserve"> أن الحديث صحيح بأن النار تقول هل من مزيد</w:t>
      </w:r>
      <w:r w:rsidR="00F95886" w:rsidRPr="00A52585">
        <w:rPr>
          <w:rFonts w:ascii="Traditional Arabic" w:hAnsi="Traditional Arabic"/>
          <w:szCs w:val="24"/>
          <w:rtl/>
        </w:rPr>
        <w:t>؟</w:t>
      </w:r>
      <w:r w:rsidR="00777DCB" w:rsidRPr="00A52585">
        <w:rPr>
          <w:rFonts w:ascii="Traditional Arabic" w:hAnsi="Traditional Arabic"/>
          <w:szCs w:val="24"/>
          <w:rtl/>
        </w:rPr>
        <w:t xml:space="preserve"> حتى يضع الرب فيها قدمه، لكن لا يجوز أن نجزم بأن القدم صفة لله تعالى، لأنها محتملة للتأويل، ولا ينسب صفة لله إلا ما كان مقطوعا به</w:t>
      </w:r>
      <w:r w:rsidR="00DB731D" w:rsidRPr="00A52585">
        <w:rPr>
          <w:rFonts w:ascii="Traditional Arabic" w:hAnsi="Traditional Arabic"/>
          <w:szCs w:val="24"/>
          <w:rtl/>
        </w:rPr>
        <w:t>،</w:t>
      </w:r>
      <w:r w:rsidR="00777DCB" w:rsidRPr="00A52585">
        <w:rPr>
          <w:rFonts w:ascii="Traditional Arabic" w:hAnsi="Traditional Arabic"/>
          <w:szCs w:val="24"/>
          <w:rtl/>
        </w:rPr>
        <w:t xml:space="preserve"> فمن يثبت القدم لله، ثم يزعم تنزيه الله عن الجوارح فهو متناقض، لأنه أثبت جارحة ثم نفاها " أهـ ص 111 إلى ص 113</w:t>
      </w:r>
      <w:r w:rsidRPr="00A52585">
        <w:rPr>
          <w:rFonts w:ascii="Traditional Arabic" w:hAnsi="Traditional Arabic"/>
          <w:szCs w:val="24"/>
          <w:rtl/>
        </w:rPr>
        <w:t>]</w:t>
      </w:r>
      <w:r w:rsidR="00DB731D" w:rsidRPr="00A52585">
        <w:rPr>
          <w:rtl/>
        </w:rPr>
        <w:t>،</w:t>
      </w:r>
      <w:r w:rsidR="00777DCB" w:rsidRPr="00A52585">
        <w:rPr>
          <w:rtl/>
        </w:rPr>
        <w:t xml:space="preserve"> وقد تمسك بهذا الحديث ابن </w:t>
      </w:r>
      <w:r w:rsidR="00777DCB" w:rsidRPr="00A52585">
        <w:rPr>
          <w:rtl/>
        </w:rPr>
        <w:lastRenderedPageBreak/>
        <w:t>حامد المشبه فأثبت لله سبحانه وتعالى صفات</w:t>
      </w:r>
      <w:r w:rsidR="00DB731D" w:rsidRPr="00A52585">
        <w:rPr>
          <w:rtl/>
        </w:rPr>
        <w:t>،</w:t>
      </w:r>
      <w:r w:rsidR="00777DCB" w:rsidRPr="00A52585">
        <w:rPr>
          <w:rtl/>
        </w:rPr>
        <w:t xml:space="preserve"> وزاد فروى من حديث ابن</w:t>
      </w:r>
      <w:r w:rsidRPr="00A52585">
        <w:rPr>
          <w:rtl/>
        </w:rPr>
        <w:t xml:space="preserve"> </w:t>
      </w:r>
      <w:r w:rsidR="00777DCB" w:rsidRPr="00A52585">
        <w:rPr>
          <w:rtl/>
        </w:rPr>
        <w:t>عباس رضي الله عنهما أنه عليه الصلاة والسلام قال</w:t>
      </w:r>
      <w:r w:rsidRPr="00A52585">
        <w:rPr>
          <w:rtl/>
        </w:rPr>
        <w:t>:</w:t>
      </w:r>
      <w:r w:rsidR="00777DCB" w:rsidRPr="00A52585">
        <w:rPr>
          <w:rtl/>
        </w:rPr>
        <w:t xml:space="preserve"> (</w:t>
      </w:r>
      <w:r w:rsidRPr="00A52585">
        <w:rPr>
          <w:rtl/>
        </w:rPr>
        <w:t>(</w:t>
      </w:r>
      <w:r w:rsidR="00777DCB" w:rsidRPr="00A52585">
        <w:rPr>
          <w:rtl/>
        </w:rPr>
        <w:t>لما أسري بي رأيت الرحمن على صورة شاب أمرد نور يتلألأ وقد نُهيت عن صفته لكم</w:t>
      </w:r>
      <w:r w:rsidR="00DB731D" w:rsidRPr="00A52585">
        <w:rPr>
          <w:rtl/>
        </w:rPr>
        <w:t>،</w:t>
      </w:r>
      <w:r w:rsidR="00777DCB" w:rsidRPr="00A52585">
        <w:rPr>
          <w:rtl/>
        </w:rPr>
        <w:t xml:space="preserve"> فسألت ربي أن يكرمني برؤيته فإذا هو كأنه عروس حين كشف عنه حجابه مستو على عرشه</w:t>
      </w:r>
      <w:r w:rsidRPr="00A52585">
        <w:rPr>
          <w:rtl/>
        </w:rPr>
        <w:t>)</w:t>
      </w:r>
      <w:r w:rsidR="00777DCB" w:rsidRPr="00A52585">
        <w:rPr>
          <w:rtl/>
        </w:rPr>
        <w:t>)</w:t>
      </w:r>
      <w:r w:rsidR="00777DCB" w:rsidRPr="00A52585">
        <w:rPr>
          <w:rFonts w:hint="cs"/>
        </w:rPr>
        <w:t xml:space="preserve"> </w:t>
      </w:r>
      <w:r w:rsidR="00777DCB" w:rsidRPr="00A52585">
        <w:rPr>
          <w:rtl/>
        </w:rPr>
        <w:t>وهذا الحديث من وضعه وكذبه وافترائه وجرأته على الله عز وجل وعلى رسوله صلى الله عليه وسلم</w:t>
      </w:r>
      <w:r w:rsidR="00DB731D" w:rsidRPr="00A52585">
        <w:rPr>
          <w:rtl/>
        </w:rPr>
        <w:t>،</w:t>
      </w:r>
      <w:r w:rsidR="00777DCB" w:rsidRPr="00A52585">
        <w:rPr>
          <w:rtl/>
        </w:rPr>
        <w:t xml:space="preserve"> ومَنْ أعظم فرية ممن شبه الله عز وجل بأمرد وعروس </w:t>
      </w:r>
      <w:r w:rsidR="00777DCB" w:rsidRPr="00A52585">
        <w:rPr>
          <w:szCs w:val="24"/>
          <w:rtl/>
        </w:rPr>
        <w:t>[قال المحقق</w:t>
      </w:r>
      <w:r w:rsidRPr="00A52585">
        <w:rPr>
          <w:szCs w:val="24"/>
          <w:rtl/>
        </w:rPr>
        <w:t xml:space="preserve">: </w:t>
      </w:r>
      <w:r w:rsidR="00777DCB" w:rsidRPr="00A52585">
        <w:rPr>
          <w:rFonts w:ascii="Traditional Arabic" w:hAnsi="Traditional Arabic"/>
          <w:szCs w:val="24"/>
          <w:rtl/>
        </w:rPr>
        <w:t>حديث موضوع</w:t>
      </w:r>
      <w:r w:rsidR="00DB731D" w:rsidRPr="00A52585">
        <w:rPr>
          <w:rFonts w:ascii="Traditional Arabic" w:hAnsi="Traditional Arabic"/>
          <w:szCs w:val="24"/>
          <w:rtl/>
        </w:rPr>
        <w:t>،</w:t>
      </w:r>
      <w:r w:rsidR="00777DCB" w:rsidRPr="00A52585">
        <w:rPr>
          <w:rFonts w:ascii="Traditional Arabic" w:hAnsi="Traditional Arabic"/>
          <w:szCs w:val="24"/>
          <w:rtl/>
        </w:rPr>
        <w:t xml:space="preserve"> وقد جمع السيد المحدث المقيد عبد العزيز بن محمد بن الصديق الغماري جزءًا في هذا الحديث سماه</w:t>
      </w:r>
      <w:r w:rsidRPr="00A52585">
        <w:rPr>
          <w:rFonts w:ascii="Traditional Arabic" w:hAnsi="Traditional Arabic"/>
          <w:szCs w:val="24"/>
          <w:rtl/>
        </w:rPr>
        <w:t>:</w:t>
      </w:r>
      <w:r w:rsidR="00777DCB" w:rsidRPr="00A52585">
        <w:rPr>
          <w:rFonts w:ascii="Traditional Arabic" w:hAnsi="Traditional Arabic"/>
          <w:szCs w:val="24"/>
          <w:rtl/>
        </w:rPr>
        <w:t xml:space="preserve"> (القول الأسدّ في بيان حال حديث رأيت ربي في صورة شاب </w:t>
      </w:r>
      <w:r w:rsidR="00777DCB" w:rsidRPr="00A52585">
        <w:rPr>
          <w:rFonts w:ascii="Traditional Arabic" w:hAnsi="Traditional Arabic"/>
          <w:spacing w:val="-4"/>
          <w:szCs w:val="24"/>
          <w:rtl/>
        </w:rPr>
        <w:t>أمرد) بين فيه طرقه وعللها</w:t>
      </w:r>
      <w:r w:rsidR="00777DCB" w:rsidRPr="00A52585">
        <w:rPr>
          <w:rFonts w:ascii="Traditional Arabic" w:hAnsi="Traditional Arabic"/>
          <w:szCs w:val="24"/>
          <w:rtl/>
        </w:rPr>
        <w:t xml:space="preserve"> ثم قال</w:t>
      </w:r>
      <w:r w:rsidRPr="00A52585">
        <w:rPr>
          <w:rFonts w:ascii="Traditional Arabic" w:hAnsi="Traditional Arabic"/>
          <w:szCs w:val="24"/>
          <w:rtl/>
        </w:rPr>
        <w:t xml:space="preserve">: </w:t>
      </w:r>
      <w:r w:rsidR="00777DCB" w:rsidRPr="00A52585">
        <w:rPr>
          <w:rFonts w:ascii="Traditional Arabic" w:hAnsi="Traditional Arabic"/>
          <w:szCs w:val="24"/>
        </w:rPr>
        <w:t xml:space="preserve">" </w:t>
      </w:r>
      <w:r w:rsidR="00777DCB" w:rsidRPr="00A52585">
        <w:rPr>
          <w:rFonts w:ascii="Traditional Arabic" w:hAnsi="Traditional Arabic"/>
          <w:szCs w:val="24"/>
          <w:rtl/>
        </w:rPr>
        <w:t>فهذا ما وقعت عليه من ألفاظ هذا الحديث وطرقه وقد بينت حال كل طريق وفصلت الكلام في ذلك جهد المستطاع وعلى قدر ما سمح به الوقت وكذلك المراجع في الحديث والرجال</w:t>
      </w:r>
      <w:r w:rsidR="00DB731D" w:rsidRPr="00A52585">
        <w:rPr>
          <w:rFonts w:ascii="Traditional Arabic" w:hAnsi="Traditional Arabic"/>
          <w:szCs w:val="24"/>
          <w:rtl/>
        </w:rPr>
        <w:t>،</w:t>
      </w:r>
      <w:r w:rsidR="00777DCB" w:rsidRPr="00A52585">
        <w:rPr>
          <w:rFonts w:ascii="Traditional Arabic" w:hAnsi="Traditional Arabic"/>
          <w:szCs w:val="24"/>
          <w:rtl/>
        </w:rPr>
        <w:t xml:space="preserve"> وقد علمت من ذلك كله أن الحديث موضوع واه باطل سندا </w:t>
      </w:r>
      <w:proofErr w:type="spellStart"/>
      <w:r w:rsidR="00777DCB" w:rsidRPr="00A52585">
        <w:rPr>
          <w:rFonts w:ascii="Traditional Arabic" w:hAnsi="Traditional Arabic"/>
          <w:szCs w:val="24"/>
          <w:rtl/>
        </w:rPr>
        <w:t>ومتنافلا</w:t>
      </w:r>
      <w:proofErr w:type="spellEnd"/>
      <w:r w:rsidR="00777DCB" w:rsidRPr="00A52585">
        <w:rPr>
          <w:rFonts w:ascii="Traditional Arabic" w:hAnsi="Traditional Arabic"/>
          <w:szCs w:val="24"/>
          <w:rtl/>
        </w:rPr>
        <w:t xml:space="preserve"> يجوز القول به والتعويل عليه كما وقع لبعض أهل العلم "</w:t>
      </w:r>
      <w:r w:rsidRPr="00A52585">
        <w:rPr>
          <w:rFonts w:ascii="Traditional Arabic" w:hAnsi="Traditional Arabic"/>
          <w:szCs w:val="24"/>
          <w:rtl/>
        </w:rPr>
        <w:t xml:space="preserve"> </w:t>
      </w:r>
      <w:r w:rsidR="00777DCB" w:rsidRPr="00A52585">
        <w:rPr>
          <w:rFonts w:ascii="Traditional Arabic" w:hAnsi="Traditional Arabic"/>
          <w:szCs w:val="24"/>
          <w:rtl/>
        </w:rPr>
        <w:t>أهـ</w:t>
      </w:r>
      <w:r w:rsidR="00DB731D" w:rsidRPr="00A52585">
        <w:rPr>
          <w:rFonts w:ascii="Traditional Arabic" w:hAnsi="Traditional Arabic"/>
          <w:szCs w:val="24"/>
          <w:rtl/>
        </w:rPr>
        <w:t>،</w:t>
      </w:r>
      <w:r w:rsidR="00777DCB" w:rsidRPr="00A52585">
        <w:rPr>
          <w:rFonts w:ascii="Traditional Arabic" w:hAnsi="Traditional Arabic"/>
          <w:szCs w:val="24"/>
          <w:rtl/>
        </w:rPr>
        <w:t xml:space="preserve"> انظر (مجموعة الحديث الصديقية) ص 229 إلى ص 250</w:t>
      </w:r>
      <w:r w:rsidRPr="00A52585">
        <w:rPr>
          <w:rFonts w:ascii="Traditional Arabic" w:hAnsi="Traditional Arabic"/>
          <w:szCs w:val="24"/>
          <w:rtl/>
        </w:rPr>
        <w:t>]</w:t>
      </w:r>
      <w:r w:rsidR="00DB731D" w:rsidRPr="00A52585">
        <w:rPr>
          <w:rtl/>
        </w:rPr>
        <w:t>،</w:t>
      </w:r>
      <w:r w:rsidR="00777DCB" w:rsidRPr="00A52585">
        <w:rPr>
          <w:rtl/>
        </w:rPr>
        <w:t xml:space="preserve"> وكان بعض أئمة الحنابلة يتوجع ويقول</w:t>
      </w:r>
      <w:r w:rsidRPr="00A52585">
        <w:rPr>
          <w:rtl/>
        </w:rPr>
        <w:t>:</w:t>
      </w:r>
      <w:r w:rsidR="00777DCB" w:rsidRPr="00A52585">
        <w:rPr>
          <w:rtl/>
        </w:rPr>
        <w:t xml:space="preserve"> ليت هذا - ابن حامد - ومن ضاهاه لم ينسبوا إلى أنهم من أتباع الإمام أحمد</w:t>
      </w:r>
      <w:r w:rsidR="00DB731D" w:rsidRPr="00A52585">
        <w:rPr>
          <w:rtl/>
        </w:rPr>
        <w:t>،</w:t>
      </w:r>
      <w:r w:rsidR="00777DCB" w:rsidRPr="00A52585">
        <w:rPr>
          <w:rtl/>
        </w:rPr>
        <w:t xml:space="preserve"> فقد أدخلوا بأقوالهم </w:t>
      </w:r>
      <w:proofErr w:type="spellStart"/>
      <w:r w:rsidR="00777DCB" w:rsidRPr="00A52585">
        <w:rPr>
          <w:rtl/>
        </w:rPr>
        <w:t>المفتراة</w:t>
      </w:r>
      <w:proofErr w:type="spellEnd"/>
      <w:r w:rsidR="00777DCB" w:rsidRPr="00A52585">
        <w:rPr>
          <w:rtl/>
        </w:rPr>
        <w:t xml:space="preserve"> التعرض إلى الإمام أحمد بالتشبيه والتجسيم وحاشاه من ذلك</w:t>
      </w:r>
      <w:r w:rsidR="00DB731D" w:rsidRPr="00A52585">
        <w:rPr>
          <w:rtl/>
        </w:rPr>
        <w:t>،</w:t>
      </w:r>
      <w:r w:rsidR="00777DCB" w:rsidRPr="00A52585">
        <w:rPr>
          <w:rtl/>
        </w:rPr>
        <w:t xml:space="preserve"> بل هو من أعظم المنَزِّهة لله عز وجل</w:t>
      </w:r>
      <w:r w:rsidR="00777DCB" w:rsidRPr="00A52585">
        <w:rPr>
          <w:vertAlign w:val="superscript"/>
          <w:rtl/>
        </w:rPr>
        <w:t xml:space="preserve"> </w:t>
      </w:r>
      <w:r w:rsidRPr="00A52585">
        <w:rPr>
          <w:szCs w:val="24"/>
          <w:rtl/>
        </w:rPr>
        <w:t>[</w:t>
      </w:r>
      <w:r w:rsidR="00777DCB" w:rsidRPr="00A52585">
        <w:rPr>
          <w:szCs w:val="24"/>
          <w:rtl/>
        </w:rPr>
        <w:t>قال المحقق</w:t>
      </w:r>
      <w:r w:rsidRPr="00A52585">
        <w:rPr>
          <w:szCs w:val="24"/>
          <w:rtl/>
        </w:rPr>
        <w:t>:</w:t>
      </w:r>
      <w:r w:rsidR="00777DCB" w:rsidRPr="00A52585">
        <w:rPr>
          <w:szCs w:val="24"/>
          <w:rtl/>
        </w:rPr>
        <w:t xml:space="preserve"> </w:t>
      </w:r>
      <w:r w:rsidR="00777DCB" w:rsidRPr="00A52585">
        <w:rPr>
          <w:rFonts w:ascii="Traditional Arabic" w:hAnsi="Traditional Arabic"/>
          <w:szCs w:val="24"/>
          <w:rtl/>
        </w:rPr>
        <w:t>وقد سبق إثبات ذلك من أقواله]</w:t>
      </w:r>
      <w:r w:rsidR="00777DCB" w:rsidRPr="00A52585">
        <w:rPr>
          <w:rtl/>
        </w:rPr>
        <w:t xml:space="preserve"> {وقد خاب من افترى} </w:t>
      </w:r>
      <w:r w:rsidRPr="00A52585">
        <w:rPr>
          <w:rtl/>
        </w:rPr>
        <w:t>[</w:t>
      </w:r>
      <w:r w:rsidR="00777DCB" w:rsidRPr="00A52585">
        <w:rPr>
          <w:rtl/>
        </w:rPr>
        <w:t>طه</w:t>
      </w:r>
      <w:r w:rsidRPr="00A52585">
        <w:rPr>
          <w:rtl/>
        </w:rPr>
        <w:t>:</w:t>
      </w:r>
      <w:r w:rsidR="00777DCB" w:rsidRPr="00A52585">
        <w:rPr>
          <w:rtl/>
        </w:rPr>
        <w:t xml:space="preserve"> 61</w:t>
      </w:r>
      <w:r w:rsidRPr="00A52585">
        <w:rPr>
          <w:rtl/>
        </w:rPr>
        <w:t>]</w:t>
      </w:r>
      <w:r w:rsidR="00DB731D" w:rsidRPr="00A52585">
        <w:rPr>
          <w:rtl/>
        </w:rPr>
        <w:t>،</w:t>
      </w:r>
      <w:r w:rsidR="00777DCB" w:rsidRPr="00A52585">
        <w:rPr>
          <w:rtl/>
        </w:rPr>
        <w:t xml:space="preserve"> وقال بعض أئمة الحنابلة المنَزِّهين</w:t>
      </w:r>
      <w:r w:rsidRPr="00A52585">
        <w:rPr>
          <w:rtl/>
        </w:rPr>
        <w:t>:</w:t>
      </w:r>
      <w:r w:rsidR="00777DCB" w:rsidRPr="00A52585">
        <w:rPr>
          <w:rtl/>
        </w:rPr>
        <w:t xml:space="preserve"> مَنْ أثبت لله سبحانه وتعالى هذه الصفات بالمعنى المحسوس فما عنده من الإسلام خبر</w:t>
      </w:r>
      <w:r w:rsidR="00DB731D" w:rsidRPr="00A52585">
        <w:rPr>
          <w:rtl/>
        </w:rPr>
        <w:t>،</w:t>
      </w:r>
      <w:r w:rsidR="00777DCB" w:rsidRPr="00A52585">
        <w:rPr>
          <w:rtl/>
        </w:rPr>
        <w:t xml:space="preserve"> تقدس الله عز وجل عما يقولون علواً كبيراً</w:t>
      </w:r>
      <w:r w:rsidR="00DB731D" w:rsidRPr="00A52585">
        <w:rPr>
          <w:rtl/>
        </w:rPr>
        <w:t>،</w:t>
      </w:r>
      <w:r w:rsidR="00777DCB" w:rsidRPr="00A52585">
        <w:rPr>
          <w:rtl/>
        </w:rPr>
        <w:t xml:space="preserve"> وخوضهم في ذلك كلام من لم يعرف الله</w:t>
      </w:r>
      <w:r w:rsidRPr="00A52585">
        <w:rPr>
          <w:rtl/>
        </w:rPr>
        <w:t xml:space="preserve"> </w:t>
      </w:r>
      <w:r w:rsidR="00777DCB" w:rsidRPr="00A52585">
        <w:rPr>
          <w:rtl/>
        </w:rPr>
        <w:t>عز وجل</w:t>
      </w:r>
      <w:r w:rsidR="00DB731D" w:rsidRPr="00A52585">
        <w:rPr>
          <w:rtl/>
        </w:rPr>
        <w:t>،</w:t>
      </w:r>
      <w:r w:rsidR="00777DCB" w:rsidRPr="00A52585">
        <w:rPr>
          <w:rtl/>
        </w:rPr>
        <w:t xml:space="preserve"> وكذا خوضهم في الأحاديث خوض مَنْ لا يعرف كلام الله تعالى ولا كلام أهل اللغة</w:t>
      </w:r>
      <w:r w:rsidR="00DB731D" w:rsidRPr="00A52585">
        <w:rPr>
          <w:rtl/>
        </w:rPr>
        <w:t>،</w:t>
      </w:r>
      <w:r w:rsidR="00777DCB" w:rsidRPr="00A52585">
        <w:rPr>
          <w:rtl/>
        </w:rPr>
        <w:t xml:space="preserve"> فيجرونها على المتعارف عند الخلق</w:t>
      </w:r>
      <w:r w:rsidR="00DB731D" w:rsidRPr="00A52585">
        <w:rPr>
          <w:rtl/>
        </w:rPr>
        <w:t>،</w:t>
      </w:r>
      <w:r w:rsidR="00777DCB" w:rsidRPr="00A52585">
        <w:rPr>
          <w:rtl/>
        </w:rPr>
        <w:t xml:space="preserve"> فيقعـون في الكفر في جهة الحق</w:t>
      </w:r>
      <w:r w:rsidR="00DB731D" w:rsidRPr="00A52585">
        <w:rPr>
          <w:rtl/>
        </w:rPr>
        <w:t>،</w:t>
      </w:r>
      <w:r w:rsidR="00777DCB" w:rsidRPr="00A52585">
        <w:rPr>
          <w:rtl/>
        </w:rPr>
        <w:t xml:space="preserve"> </w:t>
      </w:r>
    </w:p>
    <w:p w14:paraId="03F2A684" w14:textId="210C6135" w:rsidR="00777DCB" w:rsidRPr="00A52585" w:rsidRDefault="0002035C" w:rsidP="0002035C">
      <w:pPr>
        <w:spacing w:after="240"/>
        <w:rPr>
          <w:b/>
          <w:bCs/>
          <w:rtl/>
        </w:rPr>
      </w:pPr>
      <w:r w:rsidRPr="00A52585">
        <w:rPr>
          <w:rFonts w:hint="cs"/>
          <w:bCs/>
          <w:rtl/>
        </w:rPr>
        <w:t>[</w:t>
      </w:r>
      <w:r w:rsidR="00777DCB" w:rsidRPr="00A52585">
        <w:rPr>
          <w:rFonts w:hint="cs"/>
          <w:bCs/>
          <w:rtl/>
        </w:rPr>
        <w:t xml:space="preserve">جـ </w:t>
      </w:r>
      <w:r w:rsidR="00777DCB" w:rsidRPr="00A52585">
        <w:rPr>
          <w:bCs/>
        </w:rPr>
        <w:t>–</w:t>
      </w:r>
      <w:r w:rsidR="00777DCB" w:rsidRPr="00A52585">
        <w:rPr>
          <w:rFonts w:hint="cs"/>
          <w:bCs/>
          <w:rtl/>
        </w:rPr>
        <w:t xml:space="preserve"> حديث العجب والضحك</w:t>
      </w:r>
      <w:r w:rsidRPr="00A52585">
        <w:rPr>
          <w:rFonts w:hint="cs"/>
          <w:bCs/>
          <w:rtl/>
        </w:rPr>
        <w:t>]:</w:t>
      </w:r>
      <w:r w:rsidR="00777DCB" w:rsidRPr="00A52585">
        <w:rPr>
          <w:rFonts w:hint="cs"/>
          <w:bCs/>
          <w:rtl/>
        </w:rPr>
        <w:t xml:space="preserve"> </w:t>
      </w:r>
      <w:r w:rsidR="00777DCB" w:rsidRPr="00A52585">
        <w:rPr>
          <w:rFonts w:hint="cs"/>
          <w:rtl/>
        </w:rPr>
        <w:t>ونوضح ذلك إيضاحاً مُبَيّناً يدركه أبلد العوام فضلاً عن أذكياء الطلبة وأخيار العلماء الذين جعل الله عز وجل قلوبهم معادن المعاني المرادة وكنوزها</w:t>
      </w:r>
      <w:r w:rsidRPr="00A52585">
        <w:rPr>
          <w:rFonts w:hint="cs"/>
          <w:rtl/>
        </w:rPr>
        <w:t>:</w:t>
      </w:r>
      <w:r w:rsidR="00777DCB" w:rsidRPr="00A52585">
        <w:rPr>
          <w:rFonts w:hint="cs"/>
          <w:rtl/>
        </w:rPr>
        <w:t xml:space="preserve"> فمن ذلك ما في الصحيحين من حديث أبي هريرة رضي الله عنه في حديث الضيف وفيه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لقد عجب الله من صنيعكما الليلة</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ذكر الإمام مسلم أن هذا الصحابي هو أبو طلحة وأنزل الله فيه وفي زوجته الآية الكريمة {ويؤثرون على أنفسهم ولو كان بهم خصاصة..</w:t>
      </w:r>
      <w:r w:rsidRPr="00A52585">
        <w:rPr>
          <w:rFonts w:hint="cs"/>
          <w:sz w:val="24"/>
          <w:szCs w:val="24"/>
          <w:rtl/>
        </w:rPr>
        <w:t>}</w:t>
      </w:r>
      <w:r w:rsidR="00777DCB" w:rsidRPr="00A52585">
        <w:rPr>
          <w:rFonts w:hint="cs"/>
          <w:sz w:val="24"/>
          <w:szCs w:val="24"/>
          <w:rtl/>
        </w:rPr>
        <w:t xml:space="preserve"> الآية 9 من سورة الحشر]</w:t>
      </w:r>
      <w:r w:rsidR="00DB731D" w:rsidRPr="00A52585">
        <w:rPr>
          <w:rFonts w:hint="cs"/>
          <w:sz w:val="24"/>
          <w:szCs w:val="24"/>
          <w:rtl/>
        </w:rPr>
        <w:t>،</w:t>
      </w:r>
      <w:r w:rsidR="00777DCB" w:rsidRPr="00A52585">
        <w:rPr>
          <w:rFonts w:hint="cs"/>
          <w:rtl/>
        </w:rPr>
        <w:t xml:space="preserve"> وفي أفراد البخاري من حديث أبي هريرة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عجب ربك من قوم جيء بهم في السلاسل حتى يدخلهم الجنة</w:t>
      </w:r>
      <w:r w:rsidRPr="00A52585">
        <w:rPr>
          <w:rFonts w:hint="cs"/>
          <w:vertAlign w:val="superscript"/>
          <w:rtl/>
        </w:rPr>
        <w:t>)</w:t>
      </w:r>
      <w:r w:rsidR="00777DCB" w:rsidRPr="00A52585">
        <w:rPr>
          <w:rFonts w:hint="cs"/>
          <w:rtl/>
        </w:rPr>
        <w:t>) [</w:t>
      </w:r>
      <w:r w:rsidR="00777DCB" w:rsidRPr="00A52585">
        <w:rPr>
          <w:rFonts w:hint="cs"/>
          <w:sz w:val="24"/>
          <w:szCs w:val="24"/>
          <w:rtl/>
        </w:rPr>
        <w:t xml:space="preserve">أخرجه البخاري في كتاب الجهاد </w:t>
      </w:r>
      <w:r w:rsidR="00777DCB" w:rsidRPr="00A52585">
        <w:rPr>
          <w:sz w:val="24"/>
          <w:szCs w:val="24"/>
        </w:rPr>
        <w:t>–</w:t>
      </w:r>
      <w:r w:rsidR="00777DCB" w:rsidRPr="00A52585">
        <w:rPr>
          <w:rFonts w:hint="cs"/>
          <w:sz w:val="24"/>
          <w:szCs w:val="24"/>
          <w:rtl/>
        </w:rPr>
        <w:t xml:space="preserve"> باب الأسارى في السلاسل]</w:t>
      </w:r>
      <w:r w:rsidR="00777DCB" w:rsidRPr="00A52585">
        <w:rPr>
          <w:rFonts w:hint="cs"/>
          <w:rtl/>
        </w:rPr>
        <w:t xml:space="preserve"> قال ابن الأنباري</w:t>
      </w:r>
      <w:r w:rsidRPr="00A52585">
        <w:rPr>
          <w:rFonts w:hint="cs"/>
          <w:rtl/>
        </w:rPr>
        <w:t>:</w:t>
      </w:r>
      <w:r w:rsidR="00777DCB" w:rsidRPr="00A52585">
        <w:rPr>
          <w:rFonts w:hint="cs"/>
          <w:rtl/>
        </w:rPr>
        <w:t xml:space="preserve"> معنى عجب ربك</w:t>
      </w:r>
      <w:r w:rsidRPr="00A52585">
        <w:rPr>
          <w:rFonts w:hint="cs"/>
          <w:rtl/>
        </w:rPr>
        <w:t>:</w:t>
      </w:r>
      <w:r w:rsidR="00777DCB" w:rsidRPr="00A52585">
        <w:rPr>
          <w:rFonts w:hint="cs"/>
          <w:rtl/>
        </w:rPr>
        <w:t xml:space="preserve"> زادهم إنعاماً وإحساناً. فعبر بالعجب عن ذلك</w:t>
      </w:r>
      <w:r w:rsidR="00DB731D" w:rsidRPr="00A52585">
        <w:rPr>
          <w:rFonts w:hint="cs"/>
          <w:rtl/>
        </w:rPr>
        <w:t>،</w:t>
      </w:r>
      <w:r w:rsidR="00777DCB" w:rsidRPr="00A52585">
        <w:rPr>
          <w:rFonts w:hint="cs"/>
          <w:rtl/>
        </w:rPr>
        <w:t xml:space="preserve"> قال الأئمة</w:t>
      </w:r>
      <w:r w:rsidRPr="00A52585">
        <w:rPr>
          <w:rFonts w:hint="cs"/>
          <w:rtl/>
        </w:rPr>
        <w:t>:</w:t>
      </w:r>
      <w:r w:rsidR="00777DCB" w:rsidRPr="00A52585">
        <w:rPr>
          <w:rFonts w:hint="cs"/>
          <w:rtl/>
        </w:rPr>
        <w:t xml:space="preserve"> لأن العجب إنما يكون من شيء يدهم الإنسان فيستعظمه مما لا يعلمه وذلك إنما يكون في المخلوق</w:t>
      </w:r>
      <w:r w:rsidR="00DB731D" w:rsidRPr="00A52585">
        <w:rPr>
          <w:rFonts w:hint="cs"/>
          <w:rtl/>
        </w:rPr>
        <w:t>،</w:t>
      </w:r>
      <w:r w:rsidR="00777DCB" w:rsidRPr="00A52585">
        <w:rPr>
          <w:rFonts w:hint="cs"/>
          <w:rtl/>
        </w:rPr>
        <w:t xml:space="preserve"> وأما الخالق فلا يليق به ذلك</w:t>
      </w:r>
      <w:r w:rsidR="00DB731D" w:rsidRPr="00A52585">
        <w:rPr>
          <w:rFonts w:hint="cs"/>
          <w:rtl/>
        </w:rPr>
        <w:t>،</w:t>
      </w:r>
      <w:r w:rsidR="00777DCB" w:rsidRPr="00A52585">
        <w:rPr>
          <w:rFonts w:hint="cs"/>
          <w:rtl/>
        </w:rPr>
        <w:t xml:space="preserve"> فمعناه</w:t>
      </w:r>
      <w:r w:rsidRPr="00A52585">
        <w:rPr>
          <w:rFonts w:hint="cs"/>
          <w:rtl/>
        </w:rPr>
        <w:t>:</w:t>
      </w:r>
      <w:r w:rsidR="00777DCB" w:rsidRPr="00A52585">
        <w:rPr>
          <w:rFonts w:hint="cs"/>
          <w:rtl/>
        </w:rPr>
        <w:t xml:space="preserve"> عظم قدر ذلك الشيء عنده لأن المتعجب من الشيء يعظم قدره عنده</w:t>
      </w:r>
      <w:r w:rsidR="00DB731D" w:rsidRPr="00A52585">
        <w:rPr>
          <w:rFonts w:hint="cs"/>
          <w:rtl/>
        </w:rPr>
        <w:t>،</w:t>
      </w:r>
      <w:r w:rsidR="00777DCB" w:rsidRPr="00A52585">
        <w:rPr>
          <w:rFonts w:hint="cs"/>
          <w:rtl/>
        </w:rPr>
        <w:t xml:space="preserve"> فالمعنى في حديث الضيف</w:t>
      </w:r>
      <w:r w:rsidRPr="00A52585">
        <w:rPr>
          <w:rFonts w:hint="cs"/>
          <w:rtl/>
        </w:rPr>
        <w:t>:</w:t>
      </w:r>
      <w:r w:rsidR="00777DCB" w:rsidRPr="00A52585">
        <w:rPr>
          <w:rFonts w:hint="cs"/>
          <w:rtl/>
        </w:rPr>
        <w:t xml:space="preserve"> عظم قدره وقدر زوجته عنده حتى نَوَّه بذكرهما </w:t>
      </w:r>
      <w:r w:rsidR="00777DCB" w:rsidRPr="00A52585">
        <w:rPr>
          <w:rFonts w:hint="cs"/>
          <w:rtl/>
        </w:rPr>
        <w:lastRenderedPageBreak/>
        <w:t>في أعظم كتبه</w:t>
      </w:r>
      <w:r w:rsidR="00DB731D" w:rsidRPr="00A52585">
        <w:rPr>
          <w:rFonts w:hint="cs"/>
          <w:rtl/>
        </w:rPr>
        <w:t>،</w:t>
      </w:r>
      <w:r w:rsidR="00777DCB" w:rsidRPr="00A52585">
        <w:rPr>
          <w:rFonts w:hint="cs"/>
          <w:rtl/>
        </w:rPr>
        <w:t xml:space="preserve"> وعظم قدر المجيء بهم في السلاسل حتى أدخلهم الجنة وجعلهم من أوليائه وأنصار دينه</w:t>
      </w:r>
      <w:r w:rsidR="00DB731D" w:rsidRPr="00A52585">
        <w:rPr>
          <w:rFonts w:hint="cs"/>
          <w:rtl/>
        </w:rPr>
        <w:t>،</w:t>
      </w:r>
      <w:r w:rsidR="00777DCB" w:rsidRPr="00A52585">
        <w:rPr>
          <w:rFonts w:hint="cs"/>
          <w:rtl/>
        </w:rPr>
        <w:t xml:space="preserve"> ومن ذلك حديث</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أفرح بتوبة عبده</w:t>
      </w:r>
      <w:r w:rsidRPr="00A52585">
        <w:rPr>
          <w:rFonts w:hint="cs"/>
          <w:rtl/>
        </w:rPr>
        <w:t>)</w:t>
      </w:r>
      <w:r w:rsidR="00777DCB" w:rsidRPr="00A52585">
        <w:rPr>
          <w:rFonts w:hint="cs"/>
          <w:rtl/>
        </w:rPr>
        <w:t>) ومعناه أرضى بها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متفق عليه ولفظ البخاري عن أنس مرفوعا (الله أفرح بتوبة عبده من أحدكم سقط على بعيره وقد أضله في أرض فلاة) صحيح البخاري كتاب الدعوات</w:t>
      </w:r>
      <w:r w:rsidR="00DB731D" w:rsidRPr="00A52585">
        <w:rPr>
          <w:rFonts w:hint="cs"/>
          <w:sz w:val="24"/>
          <w:szCs w:val="24"/>
          <w:rtl/>
        </w:rPr>
        <w:t>،</w:t>
      </w:r>
      <w:r w:rsidR="00777DCB" w:rsidRPr="00A52585">
        <w:rPr>
          <w:rFonts w:hint="cs"/>
          <w:sz w:val="24"/>
          <w:szCs w:val="24"/>
          <w:rtl/>
        </w:rPr>
        <w:t xml:space="preserve"> وفي صحيح مسلم- كتاب التوبة باب في الحض على التوبة</w:t>
      </w:r>
      <w:r w:rsidR="00DB731D" w:rsidRPr="00A52585">
        <w:rPr>
          <w:rFonts w:hint="cs"/>
          <w:sz w:val="24"/>
          <w:szCs w:val="24"/>
          <w:rtl/>
        </w:rPr>
        <w:t>،</w:t>
      </w:r>
      <w:r w:rsidR="00777DCB" w:rsidRPr="00A52585">
        <w:rPr>
          <w:rFonts w:hint="cs"/>
          <w:sz w:val="24"/>
          <w:szCs w:val="24"/>
          <w:rtl/>
        </w:rPr>
        <w:t xml:space="preserve"> ورواه أيضاً الترمذي والنسائي في السنن الكبرى]</w:t>
      </w:r>
      <w:r w:rsidR="00777DCB" w:rsidRPr="00A52585">
        <w:rPr>
          <w:rFonts w:hint="cs"/>
          <w:rtl/>
        </w:rPr>
        <w:t xml:space="preserve"> ومنه قوله تعالى</w:t>
      </w:r>
      <w:r w:rsidRPr="00A52585">
        <w:rPr>
          <w:rFonts w:hint="cs"/>
          <w:rtl/>
        </w:rPr>
        <w:t>:</w:t>
      </w:r>
      <w:r w:rsidR="00777DCB" w:rsidRPr="00A52585">
        <w:rPr>
          <w:rFonts w:hint="cs"/>
          <w:rtl/>
        </w:rPr>
        <w:t xml:space="preserve"> {كُلُّ حِزْبٍ بِمَا لَدَيْهِمْ فَرِحُونَ</w:t>
      </w:r>
      <w:r w:rsidRPr="00A52585">
        <w:rPr>
          <w:rFonts w:hint="cs"/>
          <w:vertAlign w:val="superscript"/>
          <w:rtl/>
        </w:rPr>
        <w:t>}</w:t>
      </w:r>
      <w:r w:rsidR="00777DCB" w:rsidRPr="00A52585">
        <w:rPr>
          <w:rFonts w:hint="cs"/>
          <w:rtl/>
        </w:rPr>
        <w:t xml:space="preserve"> </w:t>
      </w:r>
      <w:r w:rsidRPr="00A52585">
        <w:rPr>
          <w:rFonts w:hint="cs"/>
          <w:rtl/>
        </w:rPr>
        <w:t>[</w:t>
      </w:r>
      <w:r w:rsidR="00777DCB" w:rsidRPr="00A52585">
        <w:rPr>
          <w:rFonts w:hint="cs"/>
          <w:rtl/>
        </w:rPr>
        <w:t>الروم</w:t>
      </w:r>
      <w:r w:rsidRPr="00A52585">
        <w:rPr>
          <w:rFonts w:hint="cs"/>
          <w:rtl/>
        </w:rPr>
        <w:t>:</w:t>
      </w:r>
      <w:r w:rsidR="00777DCB" w:rsidRPr="00A52585">
        <w:rPr>
          <w:rFonts w:hint="cs"/>
          <w:rtl/>
        </w:rPr>
        <w:t xml:space="preserve"> 32</w:t>
      </w:r>
      <w:r w:rsidRPr="00A52585">
        <w:rPr>
          <w:rFonts w:hint="cs"/>
          <w:rtl/>
        </w:rPr>
        <w:t>]</w:t>
      </w:r>
      <w:r w:rsidR="00DB731D" w:rsidRPr="00A52585">
        <w:rPr>
          <w:rFonts w:hint="cs"/>
          <w:rtl/>
        </w:rPr>
        <w:t>،</w:t>
      </w:r>
      <w:r w:rsidR="00777DCB" w:rsidRPr="00A52585">
        <w:rPr>
          <w:rFonts w:hint="cs"/>
          <w:rtl/>
        </w:rPr>
        <w:t xml:space="preserve"> أي راضون</w:t>
      </w:r>
      <w:r w:rsidR="00DB731D" w:rsidRPr="00A52585">
        <w:rPr>
          <w:rFonts w:hint="cs"/>
          <w:rtl/>
        </w:rPr>
        <w:t>،</w:t>
      </w:r>
      <w:r w:rsidR="00777DCB" w:rsidRPr="00A52585">
        <w:rPr>
          <w:rFonts w:hint="cs"/>
          <w:rtl/>
        </w:rPr>
        <w:t xml:space="preserve"> ونحو ذلك مما هو كثير في القرآن</w:t>
      </w:r>
      <w:r w:rsidR="00DB731D" w:rsidRPr="00A52585">
        <w:rPr>
          <w:rFonts w:hint="cs"/>
          <w:rtl/>
        </w:rPr>
        <w:t>،</w:t>
      </w:r>
      <w:r w:rsidR="00777DCB" w:rsidRPr="00A52585">
        <w:rPr>
          <w:rFonts w:hint="cs"/>
          <w:rtl/>
        </w:rPr>
        <w:t xml:space="preserve"> وكذا الأحاديث</w:t>
      </w:r>
      <w:r w:rsidR="00DB731D" w:rsidRPr="00A52585">
        <w:rPr>
          <w:rFonts w:hint="cs"/>
          <w:rtl/>
        </w:rPr>
        <w:t>،</w:t>
      </w:r>
      <w:r w:rsidR="00777DCB" w:rsidRPr="00A52585">
        <w:rPr>
          <w:rFonts w:hint="cs"/>
          <w:rtl/>
        </w:rPr>
        <w:t xml:space="preserve"> </w:t>
      </w:r>
    </w:p>
    <w:p w14:paraId="0EEAC90F" w14:textId="1822F8D1" w:rsidR="00777DCB" w:rsidRPr="00A52585" w:rsidRDefault="0002035C" w:rsidP="0002035C">
      <w:pPr>
        <w:spacing w:after="240"/>
        <w:rPr>
          <w:b/>
          <w:bCs/>
          <w:rtl/>
        </w:rPr>
      </w:pPr>
      <w:r w:rsidRPr="00A52585">
        <w:rPr>
          <w:rFonts w:hint="cs"/>
          <w:bCs/>
          <w:rtl/>
        </w:rPr>
        <w:t>[</w:t>
      </w:r>
      <w:r w:rsidR="00777DCB" w:rsidRPr="00A52585">
        <w:rPr>
          <w:rFonts w:hint="cs"/>
          <w:bCs/>
          <w:rtl/>
        </w:rPr>
        <w:t>د- حديث النزول وكُفر من جعل للذات الإلهية صفات حادثة</w:t>
      </w:r>
      <w:r w:rsidRPr="00A52585">
        <w:rPr>
          <w:rFonts w:hint="cs"/>
          <w:bCs/>
          <w:rtl/>
        </w:rPr>
        <w:t>]:</w:t>
      </w:r>
      <w:r w:rsidR="00777DCB" w:rsidRPr="00A52585">
        <w:rPr>
          <w:rFonts w:hint="cs"/>
          <w:bCs/>
          <w:rtl/>
        </w:rPr>
        <w:t xml:space="preserve"> </w:t>
      </w:r>
      <w:r w:rsidR="00777DCB" w:rsidRPr="00A52585">
        <w:rPr>
          <w:rFonts w:hint="cs"/>
          <w:rtl/>
        </w:rPr>
        <w:t>ومنها حديث النّزُول</w:t>
      </w:r>
      <w:r w:rsidRPr="00A52585">
        <w:rPr>
          <w:rFonts w:hint="cs"/>
          <w:rtl/>
        </w:rPr>
        <w:t>:</w:t>
      </w:r>
      <w:r w:rsidR="00777DCB" w:rsidRPr="00A52585">
        <w:rPr>
          <w:rFonts w:hint="cs"/>
          <w:rtl/>
        </w:rPr>
        <w:t xml:space="preserve"> وهو في الصحيحين من حديث أبي هريرة رضي الله عنه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يَنْزِل ربنا كل ليلة إلى السماء الدنيا حين يبقى ثلث الليل الآخر، يقول</w:t>
      </w:r>
      <w:r w:rsidRPr="00A52585">
        <w:rPr>
          <w:rFonts w:hint="cs"/>
          <w:rtl/>
        </w:rPr>
        <w:t>:</w:t>
      </w:r>
      <w:r w:rsidR="00777DCB" w:rsidRPr="00A52585">
        <w:rPr>
          <w:rFonts w:hint="cs"/>
          <w:rtl/>
        </w:rPr>
        <w:t xml:space="preserve"> من يدعوني فأستجيب له..</w:t>
      </w:r>
      <w:r w:rsidRPr="00A52585">
        <w:rPr>
          <w:rFonts w:hint="cs"/>
          <w:sz w:val="24"/>
          <w:szCs w:val="24"/>
          <w:rtl/>
        </w:rPr>
        <w:t>)</w:t>
      </w:r>
      <w:r w:rsidR="00777DCB" w:rsidRPr="00A52585">
        <w:rPr>
          <w:rFonts w:hint="cs"/>
          <w:rtl/>
        </w:rPr>
        <w:t>) إلى آخره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مواضع منها</w:t>
      </w:r>
      <w:r w:rsidRPr="00A52585">
        <w:rPr>
          <w:rFonts w:hint="cs"/>
          <w:sz w:val="24"/>
          <w:szCs w:val="24"/>
          <w:rtl/>
        </w:rPr>
        <w:t>:</w:t>
      </w:r>
      <w:r w:rsidR="00777DCB" w:rsidRPr="00A52585">
        <w:rPr>
          <w:rFonts w:hint="cs"/>
          <w:sz w:val="24"/>
          <w:szCs w:val="24"/>
          <w:rtl/>
        </w:rPr>
        <w:t xml:space="preserve"> كتاب التوحيد، باب</w:t>
      </w:r>
      <w:r w:rsidRPr="00A52585">
        <w:rPr>
          <w:rFonts w:hint="cs"/>
          <w:sz w:val="24"/>
          <w:szCs w:val="24"/>
          <w:rtl/>
        </w:rPr>
        <w:t>:</w:t>
      </w:r>
      <w:r w:rsidR="00777DCB" w:rsidRPr="00A52585">
        <w:rPr>
          <w:rFonts w:hint="cs"/>
          <w:sz w:val="24"/>
          <w:szCs w:val="24"/>
          <w:rtl/>
        </w:rPr>
        <w:t xml:space="preserve"> قول الله تعالى</w:t>
      </w:r>
      <w:r w:rsidRPr="00A52585">
        <w:rPr>
          <w:rFonts w:hint="cs"/>
          <w:sz w:val="24"/>
          <w:szCs w:val="24"/>
          <w:rtl/>
        </w:rPr>
        <w:t xml:space="preserve"> {</w:t>
      </w:r>
      <w:r w:rsidR="00777DCB" w:rsidRPr="00A52585">
        <w:rPr>
          <w:rFonts w:hint="cs"/>
          <w:sz w:val="24"/>
          <w:szCs w:val="24"/>
          <w:rtl/>
        </w:rPr>
        <w:t>يريدون أن يبدلوا كلام الله</w:t>
      </w:r>
      <w:r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رواه مسلم في كتاب الصلاة، باب</w:t>
      </w:r>
      <w:r w:rsidRPr="00A52585">
        <w:rPr>
          <w:rFonts w:hint="cs"/>
          <w:sz w:val="24"/>
          <w:szCs w:val="24"/>
          <w:rtl/>
        </w:rPr>
        <w:t>:</w:t>
      </w:r>
      <w:r w:rsidR="00777DCB" w:rsidRPr="00A52585">
        <w:rPr>
          <w:rFonts w:hint="cs"/>
          <w:sz w:val="24"/>
          <w:szCs w:val="24"/>
          <w:rtl/>
        </w:rPr>
        <w:t xml:space="preserve"> الترغيب في الدعاء والذكر في آخر الليل والإجابة فيه. ورواه الترمذي وأبو داود وابن ماجة والنسائي في الكبرى وغيرهم</w:t>
      </w:r>
      <w:r w:rsidRPr="00A52585">
        <w:rPr>
          <w:rFonts w:hint="cs"/>
          <w:sz w:val="24"/>
          <w:szCs w:val="24"/>
          <w:rtl/>
        </w:rPr>
        <w:t>]</w:t>
      </w:r>
      <w:r w:rsidR="00DB731D" w:rsidRPr="00A52585">
        <w:rPr>
          <w:rFonts w:hint="cs"/>
          <w:rtl/>
        </w:rPr>
        <w:t>،</w:t>
      </w:r>
      <w:r w:rsidR="00777DCB" w:rsidRPr="00A52585">
        <w:rPr>
          <w:rFonts w:hint="cs"/>
          <w:rtl/>
        </w:rPr>
        <w:t xml:space="preserve"> وهذا الحديث رواه عشرون نفساً من الصحابة رضي الله عنهم</w:t>
      </w:r>
      <w:r w:rsidR="00DB731D" w:rsidRPr="00A52585">
        <w:rPr>
          <w:rFonts w:hint="cs"/>
          <w:rtl/>
        </w:rPr>
        <w:t>،</w:t>
      </w:r>
      <w:r w:rsidR="00777DCB" w:rsidRPr="00A52585">
        <w:rPr>
          <w:rFonts w:hint="cs"/>
          <w:rtl/>
        </w:rPr>
        <w:t xml:space="preserve"> وقد تقدم أنه تستحيل على الله عز وجل الحركة والتنقل والتغير</w:t>
      </w:r>
      <w:r w:rsidR="00DB731D" w:rsidRPr="00A52585">
        <w:rPr>
          <w:rFonts w:hint="cs"/>
          <w:rtl/>
        </w:rPr>
        <w:t>،</w:t>
      </w:r>
      <w:r w:rsidR="00777DCB" w:rsidRPr="00A52585">
        <w:rPr>
          <w:rFonts w:hint="cs"/>
          <w:rtl/>
        </w:rPr>
        <w:t xml:space="preserve"> لأن ذلك من صفات الحدث</w:t>
      </w:r>
      <w:r w:rsidR="00DB731D" w:rsidRPr="00A52585">
        <w:rPr>
          <w:rFonts w:hint="cs"/>
          <w:rtl/>
        </w:rPr>
        <w:t>،</w:t>
      </w:r>
      <w:r w:rsidR="00777DCB" w:rsidRPr="00A52585">
        <w:rPr>
          <w:rFonts w:hint="cs"/>
          <w:rtl/>
        </w:rPr>
        <w:t xml:space="preserve"> فمن قال ذلك في حقه تعالى فقد ألحقه بالمخلوق</w:t>
      </w:r>
      <w:r w:rsidR="00DB731D" w:rsidRPr="00A52585">
        <w:rPr>
          <w:rFonts w:hint="cs"/>
          <w:rtl/>
        </w:rPr>
        <w:t>،</w:t>
      </w:r>
      <w:r w:rsidR="00777DCB" w:rsidRPr="00A52585">
        <w:rPr>
          <w:rFonts w:hint="cs"/>
          <w:rtl/>
        </w:rPr>
        <w:t xml:space="preserve"> وذلك كفر صريح لمخالفته القرآن في تَنْزِيهه لنفسه سبحانه وتعالى</w:t>
      </w:r>
      <w:r w:rsidR="00DB731D" w:rsidRPr="00A52585">
        <w:rPr>
          <w:rFonts w:hint="cs"/>
          <w:vertAlign w:val="superscript"/>
          <w:rtl/>
        </w:rPr>
        <w:t>،</w:t>
      </w:r>
      <w:r w:rsidR="00777DCB" w:rsidRPr="00A52585">
        <w:rPr>
          <w:rFonts w:hint="cs"/>
          <w:rtl/>
        </w:rPr>
        <w:t xml:space="preserve"> ومن العجب العجيب أن يقرأ أحدكم قوله تعالى</w:t>
      </w:r>
      <w:r w:rsidRPr="00A52585">
        <w:rPr>
          <w:rFonts w:hint="cs"/>
          <w:rtl/>
        </w:rPr>
        <w:t>:</w:t>
      </w:r>
      <w:r w:rsidR="00777DCB" w:rsidRPr="00A52585">
        <w:rPr>
          <w:rFonts w:hint="cs"/>
          <w:rtl/>
        </w:rPr>
        <w:t xml:space="preserve"> {وَأَنْزَلْنَا الْحَدِيدَ}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25</w:t>
      </w:r>
      <w:r w:rsidRPr="00A52585">
        <w:rPr>
          <w:rFonts w:hint="cs"/>
          <w:rtl/>
        </w:rPr>
        <w:t>]</w:t>
      </w:r>
      <w:r w:rsidR="00DB731D" w:rsidRPr="00A52585">
        <w:rPr>
          <w:rFonts w:hint="cs"/>
          <w:rtl/>
        </w:rPr>
        <w:t>،</w:t>
      </w:r>
      <w:r w:rsidR="00777DCB" w:rsidRPr="00A52585">
        <w:rPr>
          <w:rFonts w:hint="cs"/>
          <w:rtl/>
        </w:rPr>
        <w:t xml:space="preserve"> مع أن معدنه في الأرض وقوله تعالى</w:t>
      </w:r>
      <w:r w:rsidRPr="00A52585">
        <w:rPr>
          <w:rFonts w:hint="cs"/>
          <w:rtl/>
        </w:rPr>
        <w:t>:</w:t>
      </w:r>
      <w:r w:rsidR="00777DCB" w:rsidRPr="00A52585">
        <w:rPr>
          <w:rFonts w:hint="cs"/>
          <w:rtl/>
        </w:rPr>
        <w:t xml:space="preserve"> {وَأَنْزَلَ لَكُم مِنَ الأَنْعَامِ ثـمَانِيَةَ أَزْوَاجٍ</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6</w:t>
      </w:r>
      <w:r w:rsidRPr="00A52585">
        <w:rPr>
          <w:rFonts w:hint="cs"/>
          <w:rtl/>
        </w:rPr>
        <w:t>]</w:t>
      </w:r>
      <w:r w:rsidR="00DB731D" w:rsidRPr="00A52585">
        <w:rPr>
          <w:rFonts w:hint="cs"/>
          <w:rtl/>
        </w:rPr>
        <w:t>،</w:t>
      </w:r>
      <w:r w:rsidR="00777DCB" w:rsidRPr="00A52585">
        <w:rPr>
          <w:rFonts w:hint="cs"/>
          <w:rtl/>
        </w:rPr>
        <w:t xml:space="preserve"> </w:t>
      </w:r>
      <w:proofErr w:type="spellStart"/>
      <w:r w:rsidR="00777DCB" w:rsidRPr="00A52585">
        <w:rPr>
          <w:rFonts w:hint="cs"/>
          <w:rtl/>
        </w:rPr>
        <w:t>فيالله</w:t>
      </w:r>
      <w:proofErr w:type="spellEnd"/>
      <w:r w:rsidR="00777DCB" w:rsidRPr="00A52585">
        <w:rPr>
          <w:rFonts w:hint="cs"/>
          <w:rtl/>
        </w:rPr>
        <w:t xml:space="preserve"> العجب من شخص لم يعرف نزول الجُمَل كيف يتكلم في تفصيلها وقد قال تعالى</w:t>
      </w:r>
      <w:r w:rsidRPr="00A52585">
        <w:rPr>
          <w:rFonts w:hint="cs"/>
          <w:rtl/>
        </w:rPr>
        <w:t>:</w:t>
      </w:r>
      <w:r w:rsidR="00777DCB" w:rsidRPr="00A52585">
        <w:rPr>
          <w:rFonts w:hint="cs"/>
          <w:rtl/>
        </w:rPr>
        <w:t xml:space="preserve"> {وَأَنْزَلْنَا إِلَيْكَ الْكِتَابَ}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48</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{قَدْ أَنْزَلَ الله إِلَيْكُمْ ذِكْرَاً</w:t>
      </w:r>
      <w:r w:rsidRPr="00A52585">
        <w:rPr>
          <w:rFonts w:hint="cs"/>
          <w:rtl/>
        </w:rPr>
        <w:t>}</w:t>
      </w:r>
      <w:r w:rsidR="00777DCB" w:rsidRPr="00A52585">
        <w:rPr>
          <w:rFonts w:hint="cs"/>
          <w:rtl/>
        </w:rPr>
        <w:t xml:space="preserve"> فنسب الإنزال إلى هاتين الغايتين إليه سبحانه وتعالى. وقد قال تعالى</w:t>
      </w:r>
      <w:r w:rsidRPr="00A52585">
        <w:rPr>
          <w:rFonts w:hint="cs"/>
          <w:rtl/>
        </w:rPr>
        <w:t>:</w:t>
      </w:r>
      <w:r w:rsidR="00777DCB" w:rsidRPr="00A52585">
        <w:rPr>
          <w:rFonts w:hint="cs"/>
          <w:rtl/>
        </w:rPr>
        <w:t xml:space="preserve"> {مَن يُضْلِلِ الله}</w:t>
      </w:r>
      <w:r w:rsidRPr="00A52585">
        <w:rPr>
          <w:rFonts w:hint="cs"/>
          <w:rtl/>
        </w:rPr>
        <w:t xml:space="preserve"> </w:t>
      </w:r>
      <w:r w:rsidR="00777DCB" w:rsidRPr="00A52585">
        <w:rPr>
          <w:rFonts w:hint="cs"/>
          <w:rtl/>
        </w:rPr>
        <w:t>أي ببدعته</w:t>
      </w:r>
      <w:r w:rsidR="00DB731D" w:rsidRPr="00A52585">
        <w:rPr>
          <w:rFonts w:hint="cs"/>
          <w:rtl/>
        </w:rPr>
        <w:t>،</w:t>
      </w:r>
      <w:r w:rsidR="00777DCB" w:rsidRPr="00A52585">
        <w:rPr>
          <w:rFonts w:hint="cs"/>
          <w:rtl/>
        </w:rPr>
        <w:t xml:space="preserve"> {فَلاَ هَادِيَ لَهُ وَيَذَرُهُمْ فيِ طُغْيَانِهِم يَعْمَهُون} </w:t>
      </w:r>
      <w:r w:rsidRPr="00A52585">
        <w:rPr>
          <w:rFonts w:hint="cs"/>
          <w:rtl/>
        </w:rPr>
        <w:t>[</w:t>
      </w:r>
      <w:r w:rsidR="00777DCB" w:rsidRPr="00A52585">
        <w:rPr>
          <w:rFonts w:hint="cs"/>
          <w:rtl/>
        </w:rPr>
        <w:t>الأعراف</w:t>
      </w:r>
      <w:r w:rsidRPr="00A52585">
        <w:rPr>
          <w:rFonts w:hint="cs"/>
          <w:rtl/>
        </w:rPr>
        <w:t>:</w:t>
      </w:r>
      <w:r w:rsidR="00777DCB" w:rsidRPr="00A52585">
        <w:rPr>
          <w:rFonts w:hint="cs"/>
          <w:rtl/>
        </w:rPr>
        <w:t xml:space="preserve"> 186</w:t>
      </w:r>
      <w:r w:rsidRPr="00A52585">
        <w:rPr>
          <w:rFonts w:hint="cs"/>
          <w:rtl/>
        </w:rPr>
        <w:t>]</w:t>
      </w:r>
      <w:r w:rsidR="00DB731D" w:rsidRPr="00A52585">
        <w:rPr>
          <w:rFonts w:hint="cs"/>
          <w:rtl/>
        </w:rPr>
        <w:t>،</w:t>
      </w:r>
      <w:r w:rsidR="00777DCB" w:rsidRPr="00A52585">
        <w:rPr>
          <w:rFonts w:hint="cs"/>
          <w:rtl/>
        </w:rPr>
        <w:t xml:space="preserve"> والعمه في البصيرة كما أن العمى في البصر</w:t>
      </w:r>
      <w:r w:rsidR="00DB731D" w:rsidRPr="00A52585">
        <w:rPr>
          <w:rFonts w:hint="cs"/>
          <w:rtl/>
        </w:rPr>
        <w:t>،</w:t>
      </w:r>
      <w:r w:rsidR="00777DCB" w:rsidRPr="00A52585">
        <w:rPr>
          <w:rFonts w:hint="cs"/>
          <w:rtl/>
        </w:rPr>
        <w:t xml:space="preserve"> والعمه في البصيرة منه الهلكة </w:t>
      </w:r>
      <w:proofErr w:type="spellStart"/>
      <w:r w:rsidR="00777DCB" w:rsidRPr="00A52585">
        <w:rPr>
          <w:rFonts w:hint="cs"/>
          <w:rtl/>
        </w:rPr>
        <w:t>أعاذنا</w:t>
      </w:r>
      <w:proofErr w:type="spellEnd"/>
      <w:r w:rsidR="00777DCB" w:rsidRPr="00A52585">
        <w:rPr>
          <w:rFonts w:hint="cs"/>
          <w:rtl/>
        </w:rPr>
        <w:t xml:space="preserve"> الله تعالى من ذلك</w:t>
      </w:r>
      <w:r w:rsidR="00DB731D" w:rsidRPr="00A52585">
        <w:rPr>
          <w:rFonts w:hint="cs"/>
          <w:rtl/>
        </w:rPr>
        <w:t>،</w:t>
      </w:r>
      <w:r w:rsidR="00777DCB" w:rsidRPr="00A52585">
        <w:rPr>
          <w:rFonts w:hint="cs"/>
          <w:rtl/>
        </w:rPr>
        <w:t xml:space="preserve"> وروى أبو عيسى الترمذي عن مالك بن أنس وسفيان بن عيينة وابن المبارك أنهم قالوا</w:t>
      </w:r>
      <w:r w:rsidRPr="00A52585">
        <w:rPr>
          <w:rFonts w:hint="cs"/>
          <w:rtl/>
        </w:rPr>
        <w:t>:</w:t>
      </w:r>
      <w:r w:rsidR="00777DCB" w:rsidRPr="00A52585">
        <w:rPr>
          <w:rFonts w:hint="cs"/>
          <w:rtl/>
        </w:rPr>
        <w:t xml:space="preserve"> أمروا هذه الأحاديث بلا كيف</w:t>
      </w:r>
      <w:r w:rsidR="00777DCB" w:rsidRPr="00A52585">
        <w:rPr>
          <w:rFonts w:hint="cs"/>
          <w:vertAlign w:val="superscript"/>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روى الإمام الترمذي في سننه (كتاب التفسير) باب رقم 6 حديث رقم (3045) قال</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قال رسول الله صلى الله عليه وسلم</w:t>
      </w:r>
      <w:r w:rsidRPr="00A52585">
        <w:rPr>
          <w:rFonts w:hint="cs"/>
          <w:sz w:val="24"/>
          <w:szCs w:val="24"/>
          <w:rtl/>
        </w:rPr>
        <w:t>:</w:t>
      </w:r>
      <w:r w:rsidR="00777DCB" w:rsidRPr="00A52585">
        <w:rPr>
          <w:rFonts w:hint="cs"/>
          <w:sz w:val="24"/>
          <w:szCs w:val="24"/>
          <w:rtl/>
        </w:rPr>
        <w:t xml:space="preserve"> يمين الرحمن </w:t>
      </w:r>
      <w:proofErr w:type="spellStart"/>
      <w:r w:rsidR="00777DCB" w:rsidRPr="00A52585">
        <w:rPr>
          <w:rFonts w:hint="cs"/>
          <w:sz w:val="24"/>
          <w:szCs w:val="24"/>
          <w:rtl/>
        </w:rPr>
        <w:t>ملأى</w:t>
      </w:r>
      <w:proofErr w:type="spellEnd"/>
      <w:r w:rsidR="00777DCB" w:rsidRPr="00A52585">
        <w:rPr>
          <w:rFonts w:hint="cs"/>
          <w:sz w:val="24"/>
          <w:szCs w:val="24"/>
          <w:rtl/>
        </w:rPr>
        <w:t xml:space="preserve"> سحاء لا </w:t>
      </w:r>
      <w:proofErr w:type="spellStart"/>
      <w:r w:rsidR="00777DCB" w:rsidRPr="00A52585">
        <w:rPr>
          <w:rFonts w:hint="cs"/>
          <w:sz w:val="24"/>
          <w:szCs w:val="24"/>
          <w:rtl/>
        </w:rPr>
        <w:t>يغيضها</w:t>
      </w:r>
      <w:proofErr w:type="spellEnd"/>
      <w:r w:rsidR="00777DCB" w:rsidRPr="00A52585">
        <w:rPr>
          <w:rFonts w:hint="cs"/>
          <w:sz w:val="24"/>
          <w:szCs w:val="24"/>
          <w:rtl/>
        </w:rPr>
        <w:t xml:space="preserve"> الليل والنهار قال</w:t>
      </w:r>
      <w:r w:rsidRPr="00A52585">
        <w:rPr>
          <w:rFonts w:hint="cs"/>
          <w:sz w:val="24"/>
          <w:szCs w:val="24"/>
          <w:rtl/>
        </w:rPr>
        <w:t>:</w:t>
      </w:r>
      <w:r w:rsidR="00777DCB" w:rsidRPr="00A52585">
        <w:rPr>
          <w:rFonts w:hint="cs"/>
          <w:sz w:val="24"/>
          <w:szCs w:val="24"/>
          <w:rtl/>
        </w:rPr>
        <w:t xml:space="preserve"> أرأيتم ما أنفق منذ خلق السموات والأرض</w:t>
      </w:r>
      <w:r w:rsidR="00F95886" w:rsidRPr="00A52585">
        <w:rPr>
          <w:rFonts w:hint="cs"/>
          <w:sz w:val="24"/>
          <w:szCs w:val="24"/>
          <w:rtl/>
        </w:rPr>
        <w:t>؟</w:t>
      </w:r>
      <w:r w:rsidR="00777DCB" w:rsidRPr="00A52585">
        <w:rPr>
          <w:rFonts w:hint="cs"/>
          <w:sz w:val="24"/>
          <w:szCs w:val="24"/>
          <w:rtl/>
        </w:rPr>
        <w:t xml:space="preserve"> فإنه لم يغض ما في يمينه (وعرشه على الماء) وبيده الأخرى الميزان يرفع ويخفض. قال أبو عيسى</w:t>
      </w:r>
      <w:r w:rsidRPr="00A52585">
        <w:rPr>
          <w:rFonts w:hint="cs"/>
          <w:sz w:val="24"/>
          <w:szCs w:val="24"/>
          <w:rtl/>
        </w:rPr>
        <w:t>:</w:t>
      </w:r>
      <w:r w:rsidR="00777DCB" w:rsidRPr="00A52585">
        <w:rPr>
          <w:rFonts w:hint="cs"/>
          <w:sz w:val="24"/>
          <w:szCs w:val="24"/>
          <w:rtl/>
        </w:rPr>
        <w:t xml:space="preserve"> هذا حديث حسن صحيح</w:t>
      </w:r>
      <w:r w:rsidR="00DB731D" w:rsidRPr="00A52585">
        <w:rPr>
          <w:rFonts w:hint="cs"/>
          <w:sz w:val="24"/>
          <w:szCs w:val="24"/>
          <w:rtl/>
        </w:rPr>
        <w:t>،</w:t>
      </w:r>
      <w:r w:rsidR="00777DCB" w:rsidRPr="00A52585">
        <w:rPr>
          <w:rFonts w:hint="cs"/>
          <w:sz w:val="24"/>
          <w:szCs w:val="24"/>
          <w:rtl/>
        </w:rPr>
        <w:t xml:space="preserve"> وتفسـير هـذه الآية</w:t>
      </w:r>
      <w:r w:rsidRPr="00A52585">
        <w:rPr>
          <w:rFonts w:hint="cs"/>
          <w:sz w:val="24"/>
          <w:szCs w:val="24"/>
          <w:rtl/>
        </w:rPr>
        <w:t>:</w:t>
      </w:r>
      <w:r w:rsidR="00777DCB" w:rsidRPr="00A52585">
        <w:rPr>
          <w:rFonts w:hint="cs"/>
          <w:sz w:val="24"/>
          <w:szCs w:val="24"/>
          <w:rtl/>
        </w:rPr>
        <w:t xml:space="preserve"> (وقالت اليهـود يـد الله مغلولة غلت أيديهم ولعنــوا بما قالوا بل يداه</w:t>
      </w:r>
      <w:r w:rsidRPr="00A52585">
        <w:rPr>
          <w:rFonts w:hint="cs"/>
          <w:sz w:val="24"/>
          <w:szCs w:val="24"/>
          <w:rtl/>
        </w:rPr>
        <w:t xml:space="preserve"> </w:t>
      </w:r>
      <w:r w:rsidR="00777DCB" w:rsidRPr="00A52585">
        <w:rPr>
          <w:rFonts w:hint="cs"/>
          <w:sz w:val="24"/>
          <w:szCs w:val="24"/>
          <w:rtl/>
        </w:rPr>
        <w:t xml:space="preserve">مبسوطتان ينفق كيف يشاء) وهذا حديث قد روته الأئمة نؤمن به كما جاء </w:t>
      </w:r>
      <w:r w:rsidR="00777DCB" w:rsidRPr="00A52585">
        <w:rPr>
          <w:rFonts w:hint="cs"/>
          <w:bCs/>
          <w:sz w:val="24"/>
          <w:szCs w:val="24"/>
          <w:rtl/>
        </w:rPr>
        <w:t>من غير أن يفسر أو يتوهم</w:t>
      </w:r>
      <w:r w:rsidR="00777DCB" w:rsidRPr="00A52585">
        <w:rPr>
          <w:rFonts w:hint="cs"/>
          <w:sz w:val="24"/>
          <w:szCs w:val="24"/>
          <w:rtl/>
        </w:rPr>
        <w:t xml:space="preserve"> هكذا قال غير </w:t>
      </w:r>
      <w:r w:rsidR="00777DCB" w:rsidRPr="00A52585">
        <w:rPr>
          <w:rFonts w:hint="cs"/>
          <w:sz w:val="24"/>
          <w:szCs w:val="24"/>
          <w:rtl/>
        </w:rPr>
        <w:lastRenderedPageBreak/>
        <w:t xml:space="preserve">واحد من الأئمة الثوري ومالك بن أنس وابن عيينة وابن المبارك إنه تروى هذه الأشياء </w:t>
      </w:r>
      <w:r w:rsidR="00777DCB" w:rsidRPr="00A52585">
        <w:rPr>
          <w:rFonts w:hint="cs"/>
          <w:bCs/>
          <w:sz w:val="24"/>
          <w:szCs w:val="24"/>
          <w:rtl/>
        </w:rPr>
        <w:t>ويؤمن بها فلا يقال كيف</w:t>
      </w:r>
      <w:r w:rsidR="00777DCB" w:rsidRPr="00A52585">
        <w:rPr>
          <w:rFonts w:hint="cs"/>
          <w:sz w:val="24"/>
          <w:szCs w:val="24"/>
          <w:rtl/>
        </w:rPr>
        <w:t xml:space="preserve">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يقول محقق سنن الترمذي أ. إبراهيم عطوة</w:t>
      </w:r>
      <w:r w:rsidRPr="00A52585">
        <w:rPr>
          <w:rFonts w:hint="cs"/>
          <w:sz w:val="24"/>
          <w:szCs w:val="24"/>
          <w:rtl/>
        </w:rPr>
        <w:t>:</w:t>
      </w:r>
      <w:r w:rsidR="00777DCB" w:rsidRPr="00A52585">
        <w:rPr>
          <w:rFonts w:hint="cs"/>
          <w:sz w:val="24"/>
          <w:szCs w:val="24"/>
          <w:rtl/>
        </w:rPr>
        <w:t xml:space="preserve"> 1- </w:t>
      </w:r>
      <w:proofErr w:type="spellStart"/>
      <w:r w:rsidR="00777DCB" w:rsidRPr="00A52585">
        <w:rPr>
          <w:rFonts w:hint="cs"/>
          <w:sz w:val="24"/>
          <w:szCs w:val="24"/>
          <w:rtl/>
        </w:rPr>
        <w:t>ملأى</w:t>
      </w:r>
      <w:proofErr w:type="spellEnd"/>
      <w:r w:rsidR="00777DCB" w:rsidRPr="00A52585">
        <w:rPr>
          <w:rFonts w:hint="cs"/>
          <w:sz w:val="24"/>
          <w:szCs w:val="24"/>
          <w:rtl/>
        </w:rPr>
        <w:t xml:space="preserve"> سحاء</w:t>
      </w:r>
      <w:r w:rsidRPr="00A52585">
        <w:rPr>
          <w:rFonts w:hint="cs"/>
          <w:sz w:val="24"/>
          <w:szCs w:val="24"/>
          <w:rtl/>
        </w:rPr>
        <w:t>:</w:t>
      </w:r>
      <w:r w:rsidR="00777DCB" w:rsidRPr="00A52585">
        <w:rPr>
          <w:rFonts w:hint="cs"/>
          <w:sz w:val="24"/>
          <w:szCs w:val="24"/>
          <w:rtl/>
        </w:rPr>
        <w:t xml:space="preserve"> يعني لا ينقصها عطاء، وسحاء تصب العطاء ويملؤها ماله لا ينقصها العطاء الدائم في الليل والنهار</w:t>
      </w:r>
      <w:r w:rsidR="00DB731D" w:rsidRPr="00A52585">
        <w:rPr>
          <w:rFonts w:hint="cs"/>
          <w:sz w:val="24"/>
          <w:szCs w:val="24"/>
          <w:rtl/>
        </w:rPr>
        <w:t>،</w:t>
      </w:r>
      <w:r w:rsidR="00777DCB" w:rsidRPr="00A52585">
        <w:rPr>
          <w:rFonts w:hint="cs"/>
          <w:sz w:val="24"/>
          <w:szCs w:val="24"/>
          <w:rtl/>
        </w:rPr>
        <w:t xml:space="preserve"> 2- وبيده الميزان يرفع ويخفض</w:t>
      </w:r>
      <w:r w:rsidRPr="00A52585">
        <w:rPr>
          <w:rFonts w:hint="cs"/>
          <w:sz w:val="24"/>
          <w:szCs w:val="24"/>
          <w:rtl/>
        </w:rPr>
        <w:t>:</w:t>
      </w:r>
      <w:r w:rsidR="00777DCB" w:rsidRPr="00A52585">
        <w:rPr>
          <w:rFonts w:hint="cs"/>
          <w:sz w:val="24"/>
          <w:szCs w:val="24"/>
          <w:rtl/>
        </w:rPr>
        <w:t xml:space="preserve"> هذا عبارة عن التقدير والتدبير الصادر عن إرادة الله، فعبر عن القدرة والإرادة باليدين تتصرفان بحسب العلم</w:t>
      </w:r>
      <w:r w:rsidR="00DB731D" w:rsidRPr="00A52585">
        <w:rPr>
          <w:rFonts w:hint="cs"/>
          <w:sz w:val="24"/>
          <w:szCs w:val="24"/>
          <w:rtl/>
        </w:rPr>
        <w:t>،</w:t>
      </w:r>
      <w:r w:rsidR="00777DCB" w:rsidRPr="00A52585">
        <w:rPr>
          <w:rFonts w:hint="cs"/>
          <w:sz w:val="24"/>
          <w:szCs w:val="24"/>
          <w:rtl/>
        </w:rPr>
        <w:t xml:space="preserve"> كما نلاحظ دقة تعبير الإمام الترمذي "</w:t>
      </w:r>
      <w:r w:rsidRPr="00A52585">
        <w:rPr>
          <w:rFonts w:hint="cs"/>
          <w:sz w:val="24"/>
          <w:szCs w:val="24"/>
          <w:rtl/>
        </w:rPr>
        <w:t xml:space="preserve"> </w:t>
      </w:r>
      <w:r w:rsidR="00777DCB" w:rsidRPr="00A52585">
        <w:rPr>
          <w:rFonts w:hint="cs"/>
          <w:bCs/>
          <w:sz w:val="24"/>
          <w:szCs w:val="24"/>
          <w:rtl/>
        </w:rPr>
        <w:t>من غير أن يفسر أو يتوهم</w:t>
      </w:r>
      <w:r w:rsidRPr="00A52585">
        <w:rPr>
          <w:rFonts w:hint="cs"/>
          <w:sz w:val="24"/>
          <w:szCs w:val="24"/>
          <w:rtl/>
        </w:rPr>
        <w:t xml:space="preserve"> </w:t>
      </w:r>
      <w:r w:rsidR="00777DCB" w:rsidRPr="00A52585">
        <w:rPr>
          <w:rFonts w:hint="cs"/>
          <w:sz w:val="24"/>
          <w:szCs w:val="24"/>
          <w:rtl/>
        </w:rPr>
        <w:t>" وما نقله عن الأئمة المذكورين "</w:t>
      </w:r>
      <w:r w:rsidRPr="00A52585">
        <w:rPr>
          <w:rFonts w:hint="cs"/>
          <w:sz w:val="24"/>
          <w:szCs w:val="24"/>
          <w:rtl/>
        </w:rPr>
        <w:t xml:space="preserve"> </w:t>
      </w:r>
      <w:r w:rsidR="00777DCB" w:rsidRPr="00A52585">
        <w:rPr>
          <w:rFonts w:hint="cs"/>
          <w:bCs/>
          <w:sz w:val="24"/>
          <w:szCs w:val="24"/>
          <w:rtl/>
        </w:rPr>
        <w:t>فلا يقال (كيف)</w:t>
      </w:r>
      <w:r w:rsidRPr="00A52585">
        <w:rPr>
          <w:rFonts w:hint="cs"/>
          <w:bCs/>
          <w:sz w:val="24"/>
          <w:szCs w:val="24"/>
          <w:rtl/>
        </w:rPr>
        <w:t xml:space="preserve"> </w:t>
      </w:r>
      <w:r w:rsidR="00777DCB" w:rsidRPr="00A52585">
        <w:rPr>
          <w:rFonts w:hint="cs"/>
          <w:sz w:val="24"/>
          <w:szCs w:val="24"/>
          <w:rtl/>
        </w:rPr>
        <w:t xml:space="preserve">" مما يمنع بتاتاً أي تصور أو تخيل قائم على </w:t>
      </w:r>
      <w:proofErr w:type="spellStart"/>
      <w:r w:rsidR="00777DCB" w:rsidRPr="00A52585">
        <w:rPr>
          <w:rFonts w:hint="cs"/>
          <w:sz w:val="24"/>
          <w:szCs w:val="24"/>
          <w:rtl/>
        </w:rPr>
        <w:t>الحسِّيات</w:t>
      </w:r>
      <w:proofErr w:type="spellEnd"/>
      <w:r w:rsidR="00777DCB" w:rsidRPr="00A52585">
        <w:rPr>
          <w:rFonts w:hint="cs"/>
          <w:sz w:val="24"/>
          <w:szCs w:val="24"/>
          <w:rtl/>
        </w:rPr>
        <w:t xml:space="preserve"> فالحواسّ لم تدرك إلا بعض ما أحاط بها من المخلوقات، والعقول لم تفحص ولم تتخيل إلا ما قدمته الحواس لها من معلومات وصور. لذا قال الإمام على كرم الله وجهه</w:t>
      </w:r>
      <w:r w:rsidRPr="00A52585">
        <w:rPr>
          <w:rFonts w:hint="cs"/>
          <w:sz w:val="24"/>
          <w:szCs w:val="24"/>
          <w:rtl/>
        </w:rPr>
        <w:t>:</w:t>
      </w:r>
      <w:r w:rsidR="00777DCB" w:rsidRPr="00A52585">
        <w:rPr>
          <w:rFonts w:hint="cs"/>
          <w:sz w:val="24"/>
          <w:szCs w:val="24"/>
          <w:rtl/>
        </w:rPr>
        <w:t xml:space="preserve"> (المعرفة</w:t>
      </w:r>
      <w:r w:rsidRPr="00A52585">
        <w:rPr>
          <w:rFonts w:hint="cs"/>
          <w:sz w:val="24"/>
          <w:szCs w:val="24"/>
          <w:rtl/>
        </w:rPr>
        <w:t>:</w:t>
      </w:r>
      <w:r w:rsidR="00777DCB" w:rsidRPr="00A52585">
        <w:rPr>
          <w:rFonts w:hint="cs"/>
          <w:sz w:val="24"/>
          <w:szCs w:val="24"/>
          <w:rtl/>
        </w:rPr>
        <w:t xml:space="preserve"> أن تعرف أن ما يتصور في وهمك فالله خالقه) وقال ابن عطاء</w:t>
      </w:r>
      <w:r w:rsidRPr="00A52585">
        <w:rPr>
          <w:rFonts w:hint="cs"/>
          <w:sz w:val="24"/>
          <w:szCs w:val="24"/>
          <w:rtl/>
        </w:rPr>
        <w:t>:</w:t>
      </w:r>
      <w:r w:rsidR="00777DCB" w:rsidRPr="00A52585">
        <w:rPr>
          <w:rFonts w:hint="cs"/>
          <w:sz w:val="24"/>
          <w:szCs w:val="24"/>
          <w:rtl/>
        </w:rPr>
        <w:t xml:space="preserve"> العقل آلة للعبودية لا للإشراف على الربوبية]،</w:t>
      </w:r>
      <w:r w:rsidR="00777DCB" w:rsidRPr="00A52585">
        <w:rPr>
          <w:rFonts w:hint="cs"/>
          <w:rtl/>
        </w:rPr>
        <w:t xml:space="preserve"> قال الأئمة</w:t>
      </w:r>
      <w:r w:rsidRPr="00A52585">
        <w:rPr>
          <w:rFonts w:hint="cs"/>
          <w:rtl/>
        </w:rPr>
        <w:t>:</w:t>
      </w:r>
      <w:r w:rsidR="00777DCB" w:rsidRPr="00A52585">
        <w:rPr>
          <w:rFonts w:hint="cs"/>
          <w:rtl/>
        </w:rPr>
        <w:t xml:space="preserve"> وواجب على الخلق اعتقاد التَنْزِيه وامتناع تجويز النقلة والحركة</w:t>
      </w:r>
      <w:r w:rsidR="00DB731D" w:rsidRPr="00A52585">
        <w:rPr>
          <w:rFonts w:hint="cs"/>
          <w:rtl/>
        </w:rPr>
        <w:t>،</w:t>
      </w:r>
      <w:r w:rsidR="00777DCB" w:rsidRPr="00A52585">
        <w:rPr>
          <w:rFonts w:hint="cs"/>
          <w:rtl/>
        </w:rPr>
        <w:t xml:space="preserve"> فإن النَّزُول الذي هو انتقال من مكان إلى آخر يفتقر إلى الجسمية في المكان العالي والمكان السافل ضرورة</w:t>
      </w:r>
      <w:r w:rsidR="00DB731D" w:rsidRPr="00A52585">
        <w:rPr>
          <w:rFonts w:hint="cs"/>
          <w:rtl/>
        </w:rPr>
        <w:t>،</w:t>
      </w:r>
      <w:r w:rsidR="00777DCB" w:rsidRPr="00A52585">
        <w:rPr>
          <w:rFonts w:hint="cs"/>
          <w:rtl/>
        </w:rPr>
        <w:t xml:space="preserve"> كما في قوله تعالى</w:t>
      </w:r>
      <w:r w:rsidRPr="00A52585">
        <w:rPr>
          <w:rFonts w:hint="cs"/>
          <w:rtl/>
        </w:rPr>
        <w:t>:</w:t>
      </w:r>
      <w:r w:rsidR="00777DCB" w:rsidRPr="00A52585">
        <w:rPr>
          <w:rFonts w:hint="cs"/>
          <w:rtl/>
        </w:rPr>
        <w:t xml:space="preserve"> {يَخَافُونَ رَبَّهُمْ مِن فَوْقِهْمِ} </w:t>
      </w:r>
      <w:r w:rsidRPr="00A52585">
        <w:rPr>
          <w:rFonts w:hint="cs"/>
          <w:rtl/>
        </w:rPr>
        <w:t>[</w:t>
      </w:r>
      <w:r w:rsidR="00777DCB" w:rsidRPr="00A52585">
        <w:rPr>
          <w:rFonts w:hint="cs"/>
          <w:rtl/>
        </w:rPr>
        <w:t>النحل</w:t>
      </w:r>
      <w:r w:rsidRPr="00A52585">
        <w:rPr>
          <w:rFonts w:hint="cs"/>
          <w:rtl/>
        </w:rPr>
        <w:t>:</w:t>
      </w:r>
      <w:r w:rsidR="00777DCB" w:rsidRPr="00A52585">
        <w:rPr>
          <w:rFonts w:hint="cs"/>
          <w:rtl/>
        </w:rPr>
        <w:t xml:space="preserve"> 50</w:t>
      </w:r>
      <w:r w:rsidRPr="00A52585">
        <w:rPr>
          <w:rFonts w:hint="cs"/>
          <w:rtl/>
        </w:rPr>
        <w:t>]</w:t>
      </w:r>
      <w:r w:rsidR="00DB731D" w:rsidRPr="00A52585">
        <w:rPr>
          <w:rFonts w:hint="cs"/>
          <w:rtl/>
        </w:rPr>
        <w:t>،</w:t>
      </w:r>
      <w:r w:rsidR="00777DCB" w:rsidRPr="00A52585">
        <w:rPr>
          <w:rFonts w:hint="cs"/>
          <w:rtl/>
        </w:rPr>
        <w:t xml:space="preserve"> فإن الفوقية باعتبار المكان لا يكون بالضرورة إلاَّ في الأجرام والأجسام مركبة كانت أو بسيطة</w:t>
      </w:r>
      <w:r w:rsidR="00DB731D" w:rsidRPr="00A52585">
        <w:rPr>
          <w:rFonts w:hint="cs"/>
          <w:rtl/>
        </w:rPr>
        <w:t>،</w:t>
      </w:r>
      <w:r w:rsidR="00777DCB" w:rsidRPr="00A52585">
        <w:rPr>
          <w:rFonts w:hint="cs"/>
          <w:rtl/>
        </w:rPr>
        <w:t xml:space="preserve"> والرب سبحانه وتعالى مُنَزَّه عن ذلك إذ هو من صفات الحدث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pacing w:val="-6"/>
          <w:sz w:val="24"/>
          <w:szCs w:val="24"/>
          <w:rtl/>
        </w:rPr>
        <w:t>روى الإمام أحمد في مسنده (4/22،217) والبزار (4/44 كشف الأستار) والطبراني (9/51)</w:t>
      </w:r>
      <w:r w:rsidR="00777DCB" w:rsidRPr="00A52585">
        <w:rPr>
          <w:rFonts w:hint="cs"/>
          <w:sz w:val="24"/>
          <w:szCs w:val="24"/>
          <w:rtl/>
        </w:rPr>
        <w:t xml:space="preserve"> عن سيــدنا عثمان بن أبي العـاص الثقفي مرفوعا</w:t>
      </w:r>
      <w:r w:rsidRPr="00A52585">
        <w:rPr>
          <w:rFonts w:hint="cs"/>
          <w:sz w:val="24"/>
          <w:szCs w:val="24"/>
          <w:rtl/>
        </w:rPr>
        <w:t>:</w:t>
      </w:r>
      <w:r w:rsidR="00777DCB" w:rsidRPr="00A52585">
        <w:rPr>
          <w:rFonts w:hint="cs"/>
          <w:sz w:val="24"/>
          <w:szCs w:val="24"/>
          <w:rtl/>
        </w:rPr>
        <w:t xml:space="preserve"> "تفتح أبواب السماء نصف الليل فينادي مناد</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 xml:space="preserve">هل من داع فيستجاب له. هل من سائل </w:t>
      </w:r>
      <w:r w:rsidR="00777DCB" w:rsidRPr="00A52585">
        <w:rPr>
          <w:rFonts w:hint="cs"/>
          <w:spacing w:val="-8"/>
          <w:sz w:val="24"/>
          <w:szCs w:val="24"/>
          <w:rtl/>
        </w:rPr>
        <w:t>فيعطى</w:t>
      </w:r>
      <w:r w:rsidR="00F95886" w:rsidRPr="00A52585">
        <w:rPr>
          <w:rFonts w:hint="cs"/>
          <w:spacing w:val="-8"/>
          <w:sz w:val="24"/>
          <w:szCs w:val="24"/>
          <w:rtl/>
        </w:rPr>
        <w:t>؟</w:t>
      </w:r>
      <w:r w:rsidR="00777DCB" w:rsidRPr="00A52585">
        <w:rPr>
          <w:rFonts w:hint="cs"/>
          <w:spacing w:val="-8"/>
          <w:sz w:val="24"/>
          <w:szCs w:val="24"/>
          <w:rtl/>
        </w:rPr>
        <w:t xml:space="preserve"> هل من مكروب فيفرج عنه</w:t>
      </w:r>
      <w:r w:rsidR="00F95886" w:rsidRPr="00A52585">
        <w:rPr>
          <w:rFonts w:hint="cs"/>
          <w:spacing w:val="-8"/>
          <w:sz w:val="24"/>
          <w:szCs w:val="24"/>
          <w:rtl/>
        </w:rPr>
        <w:t>؟</w:t>
      </w:r>
      <w:r w:rsidR="00777DCB" w:rsidRPr="00A52585">
        <w:rPr>
          <w:rFonts w:hint="cs"/>
          <w:spacing w:val="-8"/>
          <w:sz w:val="24"/>
          <w:szCs w:val="24"/>
          <w:rtl/>
        </w:rPr>
        <w:t xml:space="preserve"> فلا يبقى مسلم يدعو بدعوة </w:t>
      </w:r>
      <w:r w:rsidR="00777DCB" w:rsidRPr="00A52585">
        <w:rPr>
          <w:rFonts w:hint="cs"/>
          <w:sz w:val="24"/>
          <w:szCs w:val="24"/>
          <w:rtl/>
        </w:rPr>
        <w:t>إلاّ استجاب الله عز وجل له إلا زانية تسعى بفرجها أو عشاراً"</w:t>
      </w:r>
      <w:r w:rsidRPr="00A52585">
        <w:rPr>
          <w:rFonts w:hint="cs"/>
          <w:sz w:val="24"/>
          <w:szCs w:val="24"/>
          <w:rtl/>
        </w:rPr>
        <w:t xml:space="preserve"> </w:t>
      </w:r>
      <w:r w:rsidR="00777DCB" w:rsidRPr="00A52585">
        <w:rPr>
          <w:rFonts w:hint="cs"/>
          <w:sz w:val="24"/>
          <w:szCs w:val="24"/>
          <w:rtl/>
        </w:rPr>
        <w:t xml:space="preserve">وهو صحيح </w:t>
      </w:r>
      <w:r w:rsidR="00777DCB" w:rsidRPr="00A52585">
        <w:rPr>
          <w:rFonts w:hint="cs"/>
          <w:spacing w:val="-6"/>
          <w:sz w:val="24"/>
          <w:szCs w:val="24"/>
          <w:rtl/>
        </w:rPr>
        <w:t>الإسناد وانظر (مجمع الزوائد) (10/209) وفيه</w:t>
      </w:r>
      <w:r w:rsidRPr="00A52585">
        <w:rPr>
          <w:rFonts w:hint="cs"/>
          <w:spacing w:val="-6"/>
          <w:sz w:val="24"/>
          <w:szCs w:val="24"/>
          <w:rtl/>
        </w:rPr>
        <w:t>:</w:t>
      </w:r>
      <w:r w:rsidR="00777DCB" w:rsidRPr="00A52585">
        <w:rPr>
          <w:rFonts w:hint="cs"/>
          <w:spacing w:val="-6"/>
          <w:sz w:val="24"/>
          <w:szCs w:val="24"/>
          <w:rtl/>
        </w:rPr>
        <w:t xml:space="preserve"> رواه الطبراني</w:t>
      </w:r>
      <w:r w:rsidRPr="00A52585">
        <w:rPr>
          <w:rFonts w:hint="cs"/>
          <w:spacing w:val="-6"/>
          <w:sz w:val="24"/>
          <w:szCs w:val="24"/>
          <w:rtl/>
        </w:rPr>
        <w:t>:</w:t>
      </w:r>
      <w:r w:rsidR="00777DCB" w:rsidRPr="00A52585">
        <w:rPr>
          <w:rFonts w:hint="cs"/>
          <w:spacing w:val="-6"/>
          <w:sz w:val="24"/>
          <w:szCs w:val="24"/>
          <w:rtl/>
        </w:rPr>
        <w:t xml:space="preserve"> ورجاله رجال الصحيح، كما ذكره</w:t>
      </w:r>
      <w:r w:rsidR="00777DCB" w:rsidRPr="00A52585">
        <w:rPr>
          <w:rFonts w:hint="cs"/>
          <w:sz w:val="24"/>
          <w:szCs w:val="24"/>
          <w:rtl/>
        </w:rPr>
        <w:t xml:space="preserve"> الحافظ الهيثمي أيضاً قبل ذلك (مجمع الزوائد) (3/88) وروى النسائي في السنن الكبرى (6/124 برقم 10316) وعمل اليوم والليلة (ص 340 برقم 482 بتحقيق فاروق حماده) من حديث أبي سعيد وأبي هريرة مرفوعا</w:t>
      </w:r>
      <w:r w:rsidRPr="00A52585">
        <w:rPr>
          <w:rFonts w:hint="cs"/>
          <w:sz w:val="24"/>
          <w:szCs w:val="24"/>
          <w:rtl/>
        </w:rPr>
        <w:t xml:space="preserve">: </w:t>
      </w:r>
      <w:r w:rsidR="00777DCB" w:rsidRPr="00A52585">
        <w:rPr>
          <w:rFonts w:hint="cs"/>
          <w:sz w:val="24"/>
          <w:szCs w:val="24"/>
          <w:rtl/>
        </w:rPr>
        <w:t>" إن الله عز وجل يمهل حتى يمضي شطر الليل الأول ثم يأمر مناديا ينادي يقول</w:t>
      </w:r>
      <w:r w:rsidRPr="00A52585">
        <w:rPr>
          <w:rFonts w:hint="cs"/>
          <w:sz w:val="24"/>
          <w:szCs w:val="24"/>
          <w:rtl/>
        </w:rPr>
        <w:t>:</w:t>
      </w:r>
      <w:r w:rsidR="00777DCB" w:rsidRPr="00A52585">
        <w:rPr>
          <w:rFonts w:hint="cs"/>
          <w:sz w:val="24"/>
          <w:szCs w:val="24"/>
          <w:rtl/>
        </w:rPr>
        <w:t xml:space="preserve"> هل من داع يستجاب له</w:t>
      </w:r>
      <w:r w:rsidR="00F95886" w:rsidRPr="00A52585">
        <w:rPr>
          <w:rFonts w:hint="cs"/>
          <w:sz w:val="24"/>
          <w:szCs w:val="24"/>
          <w:rtl/>
        </w:rPr>
        <w:t>؟</w:t>
      </w:r>
      <w:r w:rsidR="00777DCB" w:rsidRPr="00A52585">
        <w:rPr>
          <w:rFonts w:hint="cs"/>
          <w:sz w:val="24"/>
          <w:szCs w:val="24"/>
          <w:rtl/>
        </w:rPr>
        <w:t xml:space="preserve"> هل من مستغفر يغفر له</w:t>
      </w:r>
      <w:r w:rsidR="00F95886" w:rsidRPr="00A52585">
        <w:rPr>
          <w:rFonts w:hint="cs"/>
          <w:sz w:val="24"/>
          <w:szCs w:val="24"/>
          <w:rtl/>
        </w:rPr>
        <w:t>؟</w:t>
      </w:r>
      <w:r w:rsidR="00777DCB" w:rsidRPr="00A52585">
        <w:rPr>
          <w:rFonts w:hint="cs"/>
          <w:sz w:val="24"/>
          <w:szCs w:val="24"/>
          <w:rtl/>
        </w:rPr>
        <w:t xml:space="preserve"> هل من سائل يعطي</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وأشار الإمام القرطبي في تفسيره إلى صحة هذا الحديث (4/39). فقال</w:t>
      </w:r>
      <w:r w:rsidRPr="00A52585">
        <w:rPr>
          <w:rFonts w:hint="cs"/>
          <w:sz w:val="24"/>
          <w:szCs w:val="24"/>
          <w:rtl/>
        </w:rPr>
        <w:t xml:space="preserve">: </w:t>
      </w:r>
      <w:r w:rsidR="00777DCB" w:rsidRPr="00A52585">
        <w:rPr>
          <w:rFonts w:hint="cs"/>
          <w:sz w:val="24"/>
          <w:szCs w:val="24"/>
          <w:rtl/>
        </w:rPr>
        <w:t xml:space="preserve">" صححه أبو محمد </w:t>
      </w:r>
      <w:r w:rsidR="00777DCB" w:rsidRPr="00A52585">
        <w:rPr>
          <w:rFonts w:hint="cs"/>
          <w:spacing w:val="-6"/>
          <w:sz w:val="24"/>
          <w:szCs w:val="24"/>
          <w:rtl/>
        </w:rPr>
        <w:t>عبد الحق قال</w:t>
      </w:r>
      <w:r w:rsidRPr="00A52585">
        <w:rPr>
          <w:rFonts w:hint="cs"/>
          <w:spacing w:val="-6"/>
          <w:sz w:val="24"/>
          <w:szCs w:val="24"/>
          <w:rtl/>
        </w:rPr>
        <w:t>:</w:t>
      </w:r>
      <w:r w:rsidR="00777DCB" w:rsidRPr="00A52585">
        <w:rPr>
          <w:rFonts w:hint="cs"/>
          <w:spacing w:val="-6"/>
          <w:sz w:val="24"/>
          <w:szCs w:val="24"/>
          <w:rtl/>
        </w:rPr>
        <w:t xml:space="preserve"> وهذا يرفع الإشكال </w:t>
      </w:r>
      <w:r w:rsidR="00777DCB" w:rsidRPr="00A52585">
        <w:rPr>
          <w:rFonts w:hint="cs"/>
          <w:spacing w:val="-16"/>
          <w:sz w:val="24"/>
          <w:szCs w:val="24"/>
          <w:rtl/>
        </w:rPr>
        <w:t xml:space="preserve">ويزيل كل </w:t>
      </w:r>
      <w:r w:rsidR="00777DCB" w:rsidRPr="00A52585">
        <w:rPr>
          <w:rFonts w:hint="cs"/>
          <w:spacing w:val="-6"/>
          <w:sz w:val="24"/>
          <w:szCs w:val="24"/>
          <w:rtl/>
        </w:rPr>
        <w:t>احتمال والسنة</w:t>
      </w:r>
      <w:r w:rsidR="00777DCB" w:rsidRPr="00A52585">
        <w:rPr>
          <w:rFonts w:hint="cs"/>
          <w:spacing w:val="-12"/>
          <w:sz w:val="24"/>
          <w:szCs w:val="24"/>
          <w:rtl/>
        </w:rPr>
        <w:t xml:space="preserve"> يفسر بعضها بعضاً </w:t>
      </w:r>
      <w:r w:rsidR="00777DCB" w:rsidRPr="00A52585">
        <w:rPr>
          <w:rFonts w:hint="cs"/>
          <w:spacing w:val="-6"/>
          <w:sz w:val="24"/>
          <w:szCs w:val="24"/>
          <w:rtl/>
        </w:rPr>
        <w:t>وكذلك الآيا</w:t>
      </w:r>
      <w:r w:rsidR="00777DCB" w:rsidRPr="00A52585">
        <w:rPr>
          <w:rFonts w:hint="cs"/>
          <w:spacing w:val="-12"/>
          <w:sz w:val="24"/>
          <w:szCs w:val="24"/>
          <w:rtl/>
        </w:rPr>
        <w:t xml:space="preserve">ت، ولا سبيل </w:t>
      </w:r>
      <w:r w:rsidR="00777DCB" w:rsidRPr="00A52585">
        <w:rPr>
          <w:rFonts w:hint="cs"/>
          <w:spacing w:val="-6"/>
          <w:sz w:val="24"/>
          <w:szCs w:val="24"/>
          <w:rtl/>
        </w:rPr>
        <w:t xml:space="preserve">إلى حمله على صفات الذات المقدسة، فإن الحديث فيه التصريح بتجدد النزول واختصاصه ببعض الأوقات والساعات وصفات الرب سبحانه </w:t>
      </w:r>
      <w:r w:rsidR="00777DCB" w:rsidRPr="00A52585">
        <w:rPr>
          <w:rFonts w:hint="cs"/>
          <w:spacing w:val="-12"/>
          <w:sz w:val="24"/>
          <w:szCs w:val="24"/>
          <w:rtl/>
        </w:rPr>
        <w:t>يجب</w:t>
      </w:r>
      <w:r w:rsidR="00777DCB" w:rsidRPr="00A52585">
        <w:rPr>
          <w:rFonts w:hint="cs"/>
          <w:spacing w:val="-6"/>
          <w:sz w:val="24"/>
          <w:szCs w:val="24"/>
          <w:rtl/>
        </w:rPr>
        <w:t xml:space="preserve"> اتصافها</w:t>
      </w:r>
      <w:r w:rsidR="00777DCB" w:rsidRPr="00A52585">
        <w:rPr>
          <w:rFonts w:hint="cs"/>
          <w:sz w:val="24"/>
          <w:szCs w:val="24"/>
          <w:rtl/>
        </w:rPr>
        <w:t xml:space="preserve"> بالقدم </w:t>
      </w:r>
      <w:r w:rsidR="00777DCB" w:rsidRPr="00A52585">
        <w:rPr>
          <w:rFonts w:hint="cs"/>
          <w:spacing w:val="-12"/>
          <w:sz w:val="24"/>
          <w:szCs w:val="24"/>
          <w:rtl/>
        </w:rPr>
        <w:t>وتنزيهها عن</w:t>
      </w:r>
      <w:r w:rsidR="00777DCB" w:rsidRPr="00A52585">
        <w:rPr>
          <w:rFonts w:hint="cs"/>
          <w:sz w:val="24"/>
          <w:szCs w:val="24"/>
          <w:rtl/>
        </w:rPr>
        <w:t xml:space="preserve"> الحدوث والتجدد بالزمان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انتهى بتصرف من تعليق الشيخ حسن السقاف على كتاب (دفع شبه التشبيه) للإمام الحافظ ابن الجوزي ص 192، 193، 194</w:t>
      </w:r>
      <w:r w:rsidRPr="00A52585">
        <w:rPr>
          <w:rFonts w:hint="cs"/>
          <w:sz w:val="24"/>
          <w:szCs w:val="24"/>
          <w:rtl/>
        </w:rPr>
        <w:t>]</w:t>
      </w:r>
      <w:r w:rsidR="00DB731D" w:rsidRPr="00A52585">
        <w:rPr>
          <w:rFonts w:hint="cs"/>
          <w:sz w:val="24"/>
          <w:szCs w:val="24"/>
          <w:rtl/>
        </w:rPr>
        <w:t>،</w:t>
      </w:r>
      <w:r w:rsidR="00777DCB" w:rsidRPr="00A52585">
        <w:rPr>
          <w:rFonts w:hint="cs"/>
          <w:rtl/>
        </w:rPr>
        <w:t xml:space="preserve"> وقال ابن حامد الراسم نفسه بالحنبلي</w:t>
      </w:r>
      <w:r w:rsidRPr="00A52585">
        <w:rPr>
          <w:rFonts w:hint="cs"/>
          <w:rtl/>
        </w:rPr>
        <w:t>:</w:t>
      </w:r>
      <w:r w:rsidR="00777DCB" w:rsidRPr="00A52585">
        <w:rPr>
          <w:rFonts w:hint="cs"/>
          <w:rtl/>
        </w:rPr>
        <w:t xml:space="preserve"> هو على العرش بذاته</w:t>
      </w:r>
      <w:r w:rsidR="00DB731D" w:rsidRPr="00A52585">
        <w:rPr>
          <w:rFonts w:hint="cs"/>
          <w:rtl/>
        </w:rPr>
        <w:t>،</w:t>
      </w:r>
      <w:r w:rsidR="00777DCB" w:rsidRPr="00A52585">
        <w:rPr>
          <w:rFonts w:hint="cs"/>
          <w:rtl/>
        </w:rPr>
        <w:t xml:space="preserve"> وينْزِل من مكانه الذي هو فيه فينزل وينتقل. ولما سمع تلميذه القاضي هذا منه </w:t>
      </w:r>
      <w:proofErr w:type="spellStart"/>
      <w:r w:rsidR="00777DCB" w:rsidRPr="00A52585">
        <w:rPr>
          <w:rFonts w:hint="cs"/>
          <w:rtl/>
        </w:rPr>
        <w:t>استبشعه</w:t>
      </w:r>
      <w:proofErr w:type="spellEnd"/>
      <w:r w:rsidR="00777DCB" w:rsidRPr="00A52585">
        <w:rPr>
          <w:rFonts w:hint="cs"/>
          <w:rtl/>
        </w:rPr>
        <w:t xml:space="preserve"> فقال</w:t>
      </w:r>
      <w:r w:rsidRPr="00A52585">
        <w:rPr>
          <w:rFonts w:hint="cs"/>
          <w:rtl/>
        </w:rPr>
        <w:t>:</w:t>
      </w:r>
      <w:r w:rsidR="00777DCB" w:rsidRPr="00A52585">
        <w:rPr>
          <w:rFonts w:hint="cs"/>
          <w:rtl/>
        </w:rPr>
        <w:t xml:space="preserve"> النَّزُول صفة ذاتية</w:t>
      </w:r>
      <w:r w:rsidR="00DB731D" w:rsidRPr="00A52585">
        <w:rPr>
          <w:rFonts w:hint="cs"/>
          <w:rtl/>
        </w:rPr>
        <w:t>،</w:t>
      </w:r>
      <w:r w:rsidR="00777DCB" w:rsidRPr="00A52585">
        <w:rPr>
          <w:rFonts w:hint="cs"/>
          <w:rtl/>
        </w:rPr>
        <w:t xml:space="preserve"> ولا نقول</w:t>
      </w:r>
      <w:r w:rsidRPr="00A52585">
        <w:rPr>
          <w:rFonts w:hint="cs"/>
          <w:rtl/>
        </w:rPr>
        <w:t>:</w:t>
      </w:r>
      <w:r w:rsidR="00777DCB" w:rsidRPr="00A52585">
        <w:rPr>
          <w:rFonts w:hint="cs"/>
          <w:rtl/>
        </w:rPr>
        <w:t xml:space="preserve"> نزوله انتقال. أراد أن يغالط الأغبياء بذلك. وقال غيره</w:t>
      </w:r>
      <w:r w:rsidRPr="00A52585">
        <w:rPr>
          <w:rFonts w:hint="cs"/>
          <w:rtl/>
        </w:rPr>
        <w:t>:</w:t>
      </w:r>
      <w:r w:rsidR="00777DCB" w:rsidRPr="00A52585">
        <w:rPr>
          <w:rFonts w:hint="cs"/>
          <w:rtl/>
        </w:rPr>
        <w:t xml:space="preserve"> يتحرك إذا أنزل</w:t>
      </w:r>
      <w:r w:rsidR="00DB731D" w:rsidRPr="00A52585">
        <w:rPr>
          <w:rFonts w:hint="cs"/>
          <w:rtl/>
        </w:rPr>
        <w:t>،</w:t>
      </w:r>
      <w:r w:rsidR="00777DCB" w:rsidRPr="00A52585">
        <w:rPr>
          <w:rFonts w:hint="cs"/>
          <w:rtl/>
        </w:rPr>
        <w:t xml:space="preserve"> وحكوا هذه المقالة عن الإمام أحمد فُجُوراً منهم</w:t>
      </w:r>
      <w:r w:rsidR="00DB731D" w:rsidRPr="00A52585">
        <w:rPr>
          <w:rFonts w:hint="cs"/>
          <w:rtl/>
        </w:rPr>
        <w:t>،</w:t>
      </w:r>
      <w:r w:rsidR="00777DCB" w:rsidRPr="00A52585">
        <w:rPr>
          <w:rFonts w:hint="cs"/>
          <w:rtl/>
        </w:rPr>
        <w:t xml:space="preserve"> بل هو كذب محض على هذا السيد السلفي المَنزِّه</w:t>
      </w:r>
      <w:r w:rsidR="00DB731D" w:rsidRPr="00A52585">
        <w:rPr>
          <w:rFonts w:hint="cs"/>
          <w:rtl/>
        </w:rPr>
        <w:t>،</w:t>
      </w:r>
      <w:r w:rsidR="00777DCB" w:rsidRPr="00A52585">
        <w:rPr>
          <w:rFonts w:hint="cs"/>
          <w:rtl/>
        </w:rPr>
        <w:t xml:space="preserve"> فإن النَّزُول إذا كان صفة لذاته لزم تجددها كل ليلة وتعددها</w:t>
      </w:r>
      <w:r w:rsidR="00DB731D" w:rsidRPr="00A52585">
        <w:rPr>
          <w:rFonts w:hint="cs"/>
          <w:rtl/>
        </w:rPr>
        <w:t>،</w:t>
      </w:r>
      <w:r w:rsidR="00777DCB" w:rsidRPr="00A52585">
        <w:rPr>
          <w:rFonts w:hint="cs"/>
          <w:rtl/>
        </w:rPr>
        <w:t xml:space="preserve"> والإجماع منعقد على أن صفته قديمة فلا تجــدد</w:t>
      </w:r>
      <w:r w:rsidR="00DB731D" w:rsidRPr="00A52585">
        <w:rPr>
          <w:rFonts w:hint="cs"/>
          <w:rtl/>
        </w:rPr>
        <w:t>،</w:t>
      </w:r>
      <w:r w:rsidR="00777DCB" w:rsidRPr="00A52585">
        <w:rPr>
          <w:rFonts w:hint="cs"/>
          <w:rtl/>
        </w:rPr>
        <w:t xml:space="preserve"> ولا تعدد تعالى </w:t>
      </w:r>
      <w:r w:rsidR="00777DCB" w:rsidRPr="00A52585">
        <w:rPr>
          <w:rFonts w:hint="cs"/>
          <w:rtl/>
        </w:rPr>
        <w:lastRenderedPageBreak/>
        <w:t>الله عما يصفون</w:t>
      </w:r>
      <w:r w:rsidR="00DB731D" w:rsidRPr="00A52585">
        <w:rPr>
          <w:rFonts w:hint="cs"/>
          <w:rtl/>
        </w:rPr>
        <w:t>،</w:t>
      </w:r>
      <w:r w:rsidR="00777DCB" w:rsidRPr="00A52585">
        <w:rPr>
          <w:rFonts w:hint="cs"/>
          <w:rtl/>
        </w:rPr>
        <w:t xml:space="preserve"> وقد بالغ في الكفر من أَلْحَق صفة الحق بالخلق وأدرج نفسه في جريدة السامرة واليهود الذين هم أشد عداوة للذين آمنوا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ولذلك أدلة</w:t>
      </w:r>
      <w:r w:rsidRPr="00A52585">
        <w:rPr>
          <w:rFonts w:hint="cs"/>
          <w:sz w:val="24"/>
          <w:szCs w:val="24"/>
          <w:rtl/>
        </w:rPr>
        <w:t xml:space="preserve"> </w:t>
      </w:r>
      <w:r w:rsidR="00777DCB" w:rsidRPr="00A52585">
        <w:rPr>
          <w:rFonts w:hint="cs"/>
          <w:sz w:val="24"/>
          <w:szCs w:val="24"/>
          <w:rtl/>
        </w:rPr>
        <w:t>كثيرة ذكر بعضها شارح (التجريد) رحمه الله فقال</w:t>
      </w:r>
      <w:r w:rsidRPr="00A52585">
        <w:rPr>
          <w:rFonts w:hint="cs"/>
          <w:sz w:val="24"/>
          <w:szCs w:val="24"/>
          <w:rtl/>
        </w:rPr>
        <w:t xml:space="preserve">: </w:t>
      </w:r>
      <w:r w:rsidR="00777DCB" w:rsidRPr="00A52585">
        <w:rPr>
          <w:rFonts w:hint="cs"/>
          <w:sz w:val="24"/>
          <w:szCs w:val="24"/>
          <w:rtl/>
        </w:rPr>
        <w:t>" الأول</w:t>
      </w:r>
      <w:r w:rsidRPr="00A52585">
        <w:rPr>
          <w:rFonts w:hint="cs"/>
          <w:sz w:val="24"/>
          <w:szCs w:val="24"/>
          <w:rtl/>
        </w:rPr>
        <w:t>:</w:t>
      </w:r>
      <w:r w:rsidR="00777DCB" w:rsidRPr="00A52585">
        <w:rPr>
          <w:rFonts w:hint="cs"/>
          <w:sz w:val="24"/>
          <w:szCs w:val="24"/>
          <w:rtl/>
        </w:rPr>
        <w:t xml:space="preserve"> أنه لو جاز اتصافه بالحادث لجاز النقصان عليه، وهو باطل بالإجماع. ووجه اللزوم أن ذلك الحادث إن كان من صفات الكمال كان الخلو عنه مع جواز الاتصاف به نقصا بالاتفاق وقد خلا عنه قبل حدوثه. وإن لم يكن من صفات الكمال امتنع اتصاف الواجب به للاتفاق على أن ما يتصف هو تعالى به يلزم أن يكون صفة كمال "</w:t>
      </w:r>
      <w:r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777DCB" w:rsidRPr="00A52585">
        <w:rPr>
          <w:rFonts w:hint="cs"/>
          <w:sz w:val="24"/>
          <w:szCs w:val="24"/>
          <w:rtl/>
        </w:rPr>
        <w:t xml:space="preserve"> نقل ذلك وأثنى عليه د. إبراهيم عبد الرحمن في (المحكم والمتشابه) 2/617</w:t>
      </w:r>
      <w:r w:rsidR="00DB731D" w:rsidRPr="00A52585">
        <w:rPr>
          <w:rFonts w:hint="cs"/>
          <w:sz w:val="24"/>
          <w:szCs w:val="24"/>
          <w:rtl/>
        </w:rPr>
        <w:t>،</w:t>
      </w:r>
      <w:r w:rsidR="00777DCB" w:rsidRPr="00A52585">
        <w:rPr>
          <w:rFonts w:hint="cs"/>
          <w:sz w:val="24"/>
          <w:szCs w:val="24"/>
          <w:rtl/>
        </w:rPr>
        <w:t xml:space="preserve"> ويقول الإمام عبد الجليل القصري في (شعب الإيمان)</w:t>
      </w:r>
      <w:r w:rsidRPr="00A52585">
        <w:rPr>
          <w:rFonts w:hint="cs"/>
          <w:sz w:val="24"/>
          <w:szCs w:val="24"/>
          <w:rtl/>
        </w:rPr>
        <w:t xml:space="preserve">: </w:t>
      </w:r>
      <w:r w:rsidR="00777DCB" w:rsidRPr="00A52585">
        <w:rPr>
          <w:rFonts w:hint="cs"/>
          <w:sz w:val="24"/>
          <w:szCs w:val="24"/>
          <w:rtl/>
        </w:rPr>
        <w:t>" الأصل العاشر العلم بأنه قديم الصفات</w:t>
      </w:r>
      <w:r w:rsidRPr="00A52585">
        <w:rPr>
          <w:rFonts w:hint="cs"/>
          <w:sz w:val="24"/>
          <w:szCs w:val="24"/>
          <w:rtl/>
        </w:rPr>
        <w:t>:</w:t>
      </w:r>
      <w:r w:rsidR="00777DCB" w:rsidRPr="00A52585">
        <w:rPr>
          <w:rFonts w:hint="cs"/>
          <w:sz w:val="24"/>
          <w:szCs w:val="24"/>
          <w:rtl/>
        </w:rPr>
        <w:t xml:space="preserve"> أما دليله من القرآن فقوله جل جلاله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وكان الله على كل شيء قديراً} [27</w:t>
      </w:r>
      <w:r w:rsidRPr="00A52585">
        <w:rPr>
          <w:rFonts w:hint="cs"/>
          <w:sz w:val="24"/>
          <w:szCs w:val="24"/>
          <w:rtl/>
        </w:rPr>
        <w:t>:</w:t>
      </w:r>
      <w:r w:rsidR="00777DCB" w:rsidRPr="00A52585">
        <w:rPr>
          <w:rFonts w:hint="cs"/>
          <w:sz w:val="24"/>
          <w:szCs w:val="24"/>
          <w:rtl/>
        </w:rPr>
        <w:t xml:space="preserve"> الأحزاب</w:t>
      </w:r>
      <w:r w:rsidRPr="00A52585">
        <w:rPr>
          <w:rFonts w:hint="cs"/>
          <w:sz w:val="24"/>
          <w:szCs w:val="24"/>
          <w:rtl/>
        </w:rPr>
        <w:t>]</w:t>
      </w:r>
      <w:r w:rsidR="00777DCB" w:rsidRPr="00A52585">
        <w:rPr>
          <w:rFonts w:hint="cs"/>
          <w:sz w:val="24"/>
          <w:szCs w:val="24"/>
          <w:rtl/>
        </w:rPr>
        <w:t xml:space="preserve"> (وقوله)</w:t>
      </w:r>
      <w:r w:rsidRPr="00A52585">
        <w:rPr>
          <w:rFonts w:hint="cs"/>
          <w:sz w:val="24"/>
          <w:szCs w:val="24"/>
          <w:rtl/>
        </w:rPr>
        <w:t>:</w:t>
      </w:r>
      <w:r w:rsidR="00777DCB" w:rsidRPr="00A52585">
        <w:rPr>
          <w:rFonts w:hint="cs"/>
          <w:sz w:val="24"/>
          <w:szCs w:val="24"/>
          <w:rtl/>
        </w:rPr>
        <w:t xml:space="preserve"> {وكان الله بكل شيء عليما} [40</w:t>
      </w:r>
      <w:r w:rsidRPr="00A52585">
        <w:rPr>
          <w:rFonts w:hint="cs"/>
          <w:sz w:val="24"/>
          <w:szCs w:val="24"/>
          <w:rtl/>
        </w:rPr>
        <w:t>:</w:t>
      </w:r>
      <w:r w:rsidR="00777DCB" w:rsidRPr="00A52585">
        <w:rPr>
          <w:rFonts w:hint="cs"/>
          <w:sz w:val="24"/>
          <w:szCs w:val="24"/>
          <w:rtl/>
        </w:rPr>
        <w:t>الأجزاب] (وكقوله)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وكان الله سميعاً بصيراً</w:t>
      </w:r>
      <w:r w:rsidRPr="00A52585">
        <w:rPr>
          <w:rFonts w:hint="cs"/>
          <w:sz w:val="24"/>
          <w:szCs w:val="24"/>
          <w:rtl/>
        </w:rPr>
        <w:t>}</w:t>
      </w:r>
      <w:r w:rsidR="00777DCB" w:rsidRPr="00A52585">
        <w:rPr>
          <w:rFonts w:hint="cs"/>
          <w:sz w:val="24"/>
          <w:szCs w:val="24"/>
          <w:rtl/>
        </w:rPr>
        <w:t xml:space="preserve"> [134</w:t>
      </w:r>
      <w:r w:rsidRPr="00A52585">
        <w:rPr>
          <w:rFonts w:hint="cs"/>
          <w:sz w:val="24"/>
          <w:szCs w:val="24"/>
          <w:rtl/>
        </w:rPr>
        <w:t>:</w:t>
      </w:r>
      <w:r w:rsidR="00777DCB" w:rsidRPr="00A52585">
        <w:rPr>
          <w:rFonts w:hint="cs"/>
          <w:sz w:val="24"/>
          <w:szCs w:val="24"/>
          <w:rtl/>
        </w:rPr>
        <w:t xml:space="preserve"> النساء]</w:t>
      </w:r>
      <w:r w:rsidR="00897A24" w:rsidRPr="00A52585">
        <w:rPr>
          <w:rFonts w:hint="cs"/>
          <w:sz w:val="24"/>
          <w:szCs w:val="24"/>
          <w:rtl/>
        </w:rPr>
        <w:t>.</w:t>
      </w:r>
      <w:r w:rsidR="00777DCB" w:rsidRPr="00A52585">
        <w:rPr>
          <w:rFonts w:hint="cs"/>
          <w:sz w:val="24"/>
          <w:szCs w:val="24"/>
          <w:rtl/>
        </w:rPr>
        <w:t xml:space="preserve"> (وكقوله)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وكان الله سميعاً عليما</w:t>
      </w:r>
      <w:r w:rsidRPr="00A52585">
        <w:rPr>
          <w:rFonts w:hint="cs"/>
          <w:sz w:val="24"/>
          <w:szCs w:val="24"/>
          <w:rtl/>
        </w:rPr>
        <w:t>}</w:t>
      </w:r>
      <w:r w:rsidR="00777DCB" w:rsidRPr="00A52585">
        <w:rPr>
          <w:rFonts w:hint="cs"/>
          <w:sz w:val="24"/>
          <w:szCs w:val="24"/>
          <w:rtl/>
        </w:rPr>
        <w:t xml:space="preserve"> [148</w:t>
      </w:r>
      <w:r w:rsidRPr="00A52585">
        <w:rPr>
          <w:rFonts w:hint="cs"/>
          <w:sz w:val="24"/>
          <w:szCs w:val="24"/>
          <w:rtl/>
        </w:rPr>
        <w:t>:</w:t>
      </w:r>
      <w:r w:rsidR="00777DCB" w:rsidRPr="00A52585">
        <w:rPr>
          <w:rFonts w:hint="cs"/>
          <w:sz w:val="24"/>
          <w:szCs w:val="24"/>
          <w:rtl/>
        </w:rPr>
        <w:t xml:space="preserve"> النساء]</w:t>
      </w:r>
      <w:r w:rsidR="00DB731D" w:rsidRPr="00A52585">
        <w:rPr>
          <w:rFonts w:hint="cs"/>
          <w:sz w:val="24"/>
          <w:szCs w:val="24"/>
          <w:rtl/>
        </w:rPr>
        <w:t>،</w:t>
      </w:r>
      <w:r w:rsidR="00777DCB" w:rsidRPr="00A52585">
        <w:rPr>
          <w:rFonts w:hint="cs"/>
          <w:sz w:val="24"/>
          <w:szCs w:val="24"/>
          <w:rtl/>
        </w:rPr>
        <w:t xml:space="preserve"> وأمثال هذا لا يحصى فمعنى كان في هذه الآيات وما أشبهها</w:t>
      </w:r>
      <w:r w:rsidRPr="00A52585">
        <w:rPr>
          <w:rFonts w:hint="cs"/>
          <w:sz w:val="24"/>
          <w:szCs w:val="24"/>
          <w:rtl/>
        </w:rPr>
        <w:t>:</w:t>
      </w:r>
      <w:r w:rsidR="00777DCB" w:rsidRPr="00A52585">
        <w:rPr>
          <w:rFonts w:hint="cs"/>
          <w:sz w:val="24"/>
          <w:szCs w:val="24"/>
          <w:rtl/>
        </w:rPr>
        <w:t xml:space="preserve"> كان الله في أزله ولا يجوز أن تصرف فيقال</w:t>
      </w:r>
      <w:r w:rsidRPr="00A52585">
        <w:rPr>
          <w:rFonts w:hint="cs"/>
          <w:sz w:val="24"/>
          <w:szCs w:val="24"/>
          <w:rtl/>
        </w:rPr>
        <w:t>:</w:t>
      </w:r>
      <w:r w:rsidR="00777DCB" w:rsidRPr="00A52585">
        <w:rPr>
          <w:rFonts w:hint="cs"/>
          <w:sz w:val="24"/>
          <w:szCs w:val="24"/>
          <w:rtl/>
        </w:rPr>
        <w:t xml:space="preserve"> كان يكون</w:t>
      </w:r>
      <w:r w:rsidR="00DB731D" w:rsidRPr="00A52585">
        <w:rPr>
          <w:rFonts w:hint="cs"/>
          <w:sz w:val="24"/>
          <w:szCs w:val="24"/>
          <w:rtl/>
        </w:rPr>
        <w:t>،</w:t>
      </w:r>
      <w:r w:rsidR="00777DCB" w:rsidRPr="00A52585">
        <w:rPr>
          <w:rFonts w:hint="cs"/>
          <w:sz w:val="24"/>
          <w:szCs w:val="24"/>
          <w:rtl/>
        </w:rPr>
        <w:t xml:space="preserve"> ولذلك أطلق بعض العلماء في كان فقال</w:t>
      </w:r>
      <w:r w:rsidRPr="00A52585">
        <w:rPr>
          <w:rFonts w:hint="cs"/>
          <w:sz w:val="24"/>
          <w:szCs w:val="24"/>
          <w:rtl/>
        </w:rPr>
        <w:t>:</w:t>
      </w:r>
      <w:r w:rsidR="00777DCB" w:rsidRPr="00A52585">
        <w:rPr>
          <w:rFonts w:hint="cs"/>
          <w:sz w:val="24"/>
          <w:szCs w:val="24"/>
          <w:rtl/>
        </w:rPr>
        <w:t xml:space="preserve"> كان هو الله. أشار به إلى أنه القديم جل جلاله</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ودليله من العقل</w:t>
      </w:r>
      <w:r w:rsidRPr="00A52585">
        <w:rPr>
          <w:rFonts w:hint="cs"/>
          <w:spacing w:val="-6"/>
          <w:sz w:val="24"/>
          <w:szCs w:val="24"/>
          <w:rtl/>
        </w:rPr>
        <w:t>:</w:t>
      </w:r>
      <w:r w:rsidR="00777DCB" w:rsidRPr="00A52585">
        <w:rPr>
          <w:rFonts w:hint="cs"/>
          <w:spacing w:val="-6"/>
          <w:sz w:val="24"/>
          <w:szCs w:val="24"/>
          <w:rtl/>
        </w:rPr>
        <w:t xml:space="preserve"> أن الله جل جلاله حين أوجد الأفعال والموجودات لو لم يتقدم له العلم بوجودها والقدرة عليها والكلام المخاطب لها بالتكوين والإرادة وجميع الأوصاف الموجبة له رتبة الربوبية والملك لما صح منه وجود الأفعال. لأن وجود فعل من عاجز جاهل ضعيف غير قوي ولا مريد محال</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 xml:space="preserve">وقد وجدت الأفعال فقد صح قدم الصفات قبلها وإذا صح قدم الصفات قبلها استحال عليه </w:t>
      </w:r>
      <w:proofErr w:type="spellStart"/>
      <w:r w:rsidR="00777DCB" w:rsidRPr="00A52585">
        <w:rPr>
          <w:rFonts w:hint="cs"/>
          <w:sz w:val="24"/>
          <w:szCs w:val="24"/>
          <w:rtl/>
        </w:rPr>
        <w:t>طرئان</w:t>
      </w:r>
      <w:proofErr w:type="spellEnd"/>
      <w:r w:rsidR="00777DCB" w:rsidRPr="00A52585">
        <w:rPr>
          <w:rFonts w:hint="cs"/>
          <w:sz w:val="24"/>
          <w:szCs w:val="24"/>
          <w:rtl/>
        </w:rPr>
        <w:t xml:space="preserve"> </w:t>
      </w:r>
      <w:proofErr w:type="spellStart"/>
      <w:r w:rsidR="00777DCB" w:rsidRPr="00A52585">
        <w:rPr>
          <w:rFonts w:hint="cs"/>
          <w:sz w:val="24"/>
          <w:szCs w:val="24"/>
          <w:rtl/>
        </w:rPr>
        <w:t>الحواث</w:t>
      </w:r>
      <w:proofErr w:type="spellEnd"/>
      <w:r w:rsidR="00777DCB" w:rsidRPr="00A52585">
        <w:rPr>
          <w:rFonts w:hint="cs"/>
          <w:sz w:val="24"/>
          <w:szCs w:val="24"/>
          <w:rtl/>
        </w:rPr>
        <w:t xml:space="preserve"> في صفاته لأنه لو طرأت عليه لازداد علما وقدرة وبصراً وسمعاً وغير ذلك من أوصــافـه فكـان يكمـل بعد النقصان وعند </w:t>
      </w:r>
      <w:proofErr w:type="spellStart"/>
      <w:r w:rsidR="00777DCB" w:rsidRPr="00A52585">
        <w:rPr>
          <w:rFonts w:hint="cs"/>
          <w:sz w:val="24"/>
          <w:szCs w:val="24"/>
          <w:rtl/>
        </w:rPr>
        <w:t>طروئها</w:t>
      </w:r>
      <w:proofErr w:type="spellEnd"/>
      <w:r w:rsidR="00777DCB" w:rsidRPr="00A52585">
        <w:rPr>
          <w:rFonts w:hint="cs"/>
          <w:sz w:val="24"/>
          <w:szCs w:val="24"/>
          <w:rtl/>
        </w:rPr>
        <w:t xml:space="preserve"> عليه كان يشتغل بالفكر والروية واكتساب</w:t>
      </w:r>
      <w:r w:rsidRPr="00A52585">
        <w:rPr>
          <w:rFonts w:hint="cs"/>
          <w:sz w:val="24"/>
          <w:szCs w:val="24"/>
          <w:rtl/>
        </w:rPr>
        <w:t xml:space="preserve"> </w:t>
      </w:r>
      <w:r w:rsidR="00777DCB" w:rsidRPr="00A52585">
        <w:rPr>
          <w:rFonts w:hint="cs"/>
          <w:sz w:val="24"/>
          <w:szCs w:val="24"/>
          <w:rtl/>
        </w:rPr>
        <w:t>الفضائل فيشغله شأن عن شأن</w:t>
      </w:r>
      <w:r w:rsidR="00DB731D" w:rsidRPr="00A52585">
        <w:rPr>
          <w:rFonts w:hint="cs"/>
          <w:sz w:val="24"/>
          <w:szCs w:val="24"/>
          <w:rtl/>
        </w:rPr>
        <w:t>،</w:t>
      </w:r>
      <w:r w:rsidR="00777DCB" w:rsidRPr="00A52585">
        <w:rPr>
          <w:rFonts w:hint="cs"/>
          <w:sz w:val="24"/>
          <w:szCs w:val="24"/>
          <w:rtl/>
        </w:rPr>
        <w:t xml:space="preserve"> ولو أشغله تدبير أهل بلدة من البلدان أو جسد واحد من أجساد الحيوان عن تدبير شيء من الأكوان لبهت وتحير</w:t>
      </w:r>
      <w:r w:rsidR="00DB731D" w:rsidRPr="00A52585">
        <w:rPr>
          <w:rFonts w:hint="cs"/>
          <w:sz w:val="24"/>
          <w:szCs w:val="24"/>
          <w:rtl/>
        </w:rPr>
        <w:t>،</w:t>
      </w:r>
      <w:r w:rsidR="00777DCB" w:rsidRPr="00A52585">
        <w:rPr>
          <w:rFonts w:hint="cs"/>
          <w:sz w:val="24"/>
          <w:szCs w:val="24"/>
          <w:rtl/>
        </w:rPr>
        <w:t xml:space="preserve"> فبطل الملك والحدثان وكان يكون له في تكميل نفسه شغل شاغل على ممر الدهور والأزمان</w:t>
      </w:r>
      <w:r w:rsidR="00DB731D" w:rsidRPr="00A52585">
        <w:rPr>
          <w:rFonts w:hint="cs"/>
          <w:sz w:val="24"/>
          <w:szCs w:val="24"/>
          <w:rtl/>
        </w:rPr>
        <w:t>،</w:t>
      </w:r>
      <w:r w:rsidR="00777DCB" w:rsidRPr="00A52585">
        <w:rPr>
          <w:rFonts w:hint="cs"/>
          <w:sz w:val="24"/>
          <w:szCs w:val="24"/>
          <w:rtl/>
        </w:rPr>
        <w:t xml:space="preserve"> سبحان ربك رب العزة عما يقول المعتزلة وجميع أهل الإفك والبهتان</w:t>
      </w:r>
      <w:r w:rsidR="00DB731D" w:rsidRPr="00A52585">
        <w:rPr>
          <w:rFonts w:hint="cs"/>
          <w:sz w:val="24"/>
          <w:szCs w:val="24"/>
          <w:rtl/>
        </w:rPr>
        <w:t>،</w:t>
      </w:r>
      <w:r w:rsidR="00777DCB" w:rsidRPr="00A52585">
        <w:rPr>
          <w:rFonts w:hint="cs"/>
          <w:sz w:val="24"/>
          <w:szCs w:val="24"/>
          <w:rtl/>
        </w:rPr>
        <w:t xml:space="preserve"> وإنما الحق الذي لا يجوز غيره أن تعلم أن صفات الباري سبحانه قديمة بقدم ذاته لم يحدثها هو لنفسه ولا حدثت عليه بل كان بها من غير افتتاح وجود ولا تزداد ولا تنقص كما كانت عليه ولا تفارقه أبداً ولا تحل في شيء أبداً بل هو منفرد بأوصافه عن جميع خلقه</w:t>
      </w:r>
      <w:r w:rsidR="00DB731D" w:rsidRPr="00A52585">
        <w:rPr>
          <w:rFonts w:hint="cs"/>
          <w:sz w:val="24"/>
          <w:szCs w:val="24"/>
          <w:rtl/>
        </w:rPr>
        <w:t>،</w:t>
      </w:r>
      <w:r w:rsidR="00777DCB" w:rsidRPr="00A52585">
        <w:rPr>
          <w:rFonts w:hint="cs"/>
          <w:sz w:val="24"/>
          <w:szCs w:val="24"/>
          <w:rtl/>
        </w:rPr>
        <w:t xml:space="preserve"> ولا يخلق منها بمعنى التبعيض شيئاً بل الأشياء كلها فاضلها ومفضولها أرواحها وأجسامها مخلوقة لا من شيء</w:t>
      </w:r>
      <w:r w:rsidR="00DB731D" w:rsidRPr="00A52585">
        <w:rPr>
          <w:rFonts w:hint="cs"/>
          <w:sz w:val="24"/>
          <w:szCs w:val="24"/>
          <w:rtl/>
        </w:rPr>
        <w:t>،</w:t>
      </w:r>
      <w:r w:rsidR="00777DCB" w:rsidRPr="00A52585">
        <w:rPr>
          <w:rFonts w:hint="cs"/>
          <w:sz w:val="24"/>
          <w:szCs w:val="24"/>
          <w:rtl/>
        </w:rPr>
        <w:t xml:space="preserve"> والله جل جلاله ليس من شيء ولا منه </w:t>
      </w:r>
      <w:r w:rsidR="00777DCB" w:rsidRPr="00A52585">
        <w:rPr>
          <w:sz w:val="24"/>
          <w:szCs w:val="24"/>
        </w:rPr>
        <w:t>–</w:t>
      </w:r>
      <w:r w:rsidR="00777DCB" w:rsidRPr="00A52585">
        <w:rPr>
          <w:rFonts w:hint="cs"/>
          <w:sz w:val="24"/>
          <w:szCs w:val="24"/>
          <w:rtl/>
        </w:rPr>
        <w:t xml:space="preserve"> على معنى التبعيض- شيء ولا هو مثل شيء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ص 289-291ط العلمية</w:t>
      </w:r>
      <w:r w:rsidR="00DB731D" w:rsidRPr="00A52585">
        <w:rPr>
          <w:rFonts w:hint="cs"/>
          <w:sz w:val="24"/>
          <w:szCs w:val="24"/>
          <w:rtl/>
        </w:rPr>
        <w:t>،</w:t>
      </w:r>
      <w:r w:rsidR="00777DCB" w:rsidRPr="00A52585">
        <w:rPr>
          <w:rFonts w:hint="cs"/>
          <w:sz w:val="24"/>
          <w:szCs w:val="24"/>
          <w:rtl/>
        </w:rPr>
        <w:t xml:space="preserve"> وابن تيمية قائل بهذه البدعة المكفرة المخرجة من الملة ونص عليها وأكدها في مواضع كثيرة من كتبه ومنها</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فإن قلتم بقيام الحوادث بالرب قلنا لكم</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نعم</w:t>
      </w:r>
      <w:r w:rsidR="00777DCB" w:rsidRPr="00A52585">
        <w:rPr>
          <w:rFonts w:hint="cs"/>
          <w:sz w:val="24"/>
          <w:szCs w:val="24"/>
          <w:rtl/>
        </w:rPr>
        <w:t xml:space="preserve"> وهذا قولنا الذي دل عليه الشرع والعقل</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منهاج السنة 1/224 يقول الإمام الكوثري في تعليقه على (السيف الصقيل)</w:t>
      </w:r>
      <w:r w:rsidRPr="00A52585">
        <w:rPr>
          <w:rFonts w:hint="cs"/>
          <w:sz w:val="24"/>
          <w:szCs w:val="24"/>
          <w:rtl/>
        </w:rPr>
        <w:t xml:space="preserve">: </w:t>
      </w:r>
      <w:r w:rsidR="00777DCB" w:rsidRPr="00A52585">
        <w:rPr>
          <w:rFonts w:hint="cs"/>
          <w:sz w:val="24"/>
          <w:szCs w:val="24"/>
          <w:rtl/>
        </w:rPr>
        <w:t xml:space="preserve">"اتفقت فرق المسلمين سوى الكرامية وصنوف المجسمة على أن الله سبحانه منزه من أن تقوم به الحوادث وأن تحل به الحوادث وأن يحل في شيء من الحوادث، بل ذلك </w:t>
      </w:r>
      <w:r w:rsidR="00777DCB" w:rsidRPr="00A52585">
        <w:rPr>
          <w:rFonts w:hint="cs"/>
          <w:bCs/>
          <w:sz w:val="24"/>
          <w:szCs w:val="24"/>
          <w:rtl/>
        </w:rPr>
        <w:t>مما علم من الدين بالضرورة</w:t>
      </w:r>
      <w:r w:rsidR="00777DCB" w:rsidRPr="00A52585">
        <w:rPr>
          <w:rFonts w:hint="cs"/>
          <w:sz w:val="24"/>
          <w:szCs w:val="24"/>
          <w:rtl/>
        </w:rPr>
        <w:t xml:space="preserve">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ص 16</w:t>
      </w:r>
      <w:r w:rsidRPr="00A52585">
        <w:rPr>
          <w:rFonts w:hint="cs"/>
          <w:sz w:val="24"/>
          <w:szCs w:val="24"/>
          <w:rtl/>
        </w:rPr>
        <w:t>]</w:t>
      </w:r>
      <w:r w:rsidR="00777DCB" w:rsidRPr="00A52585">
        <w:rPr>
          <w:rFonts w:hint="cs"/>
          <w:rtl/>
        </w:rPr>
        <w:t xml:space="preserve"> </w:t>
      </w:r>
    </w:p>
    <w:p w14:paraId="602FF347" w14:textId="4E3CB769" w:rsidR="00777DCB" w:rsidRPr="00A52585" w:rsidRDefault="0002035C" w:rsidP="0002035C">
      <w:pPr>
        <w:pStyle w:val="ab"/>
        <w:widowControl w:val="0"/>
        <w:spacing w:line="276" w:lineRule="auto"/>
        <w:jc w:val="both"/>
        <w:rPr>
          <w:rtl/>
        </w:rPr>
      </w:pPr>
      <w:r w:rsidRPr="00A52585">
        <w:rPr>
          <w:bCs/>
          <w:rtl/>
        </w:rPr>
        <w:t>[</w:t>
      </w:r>
      <w:r w:rsidR="00777DCB" w:rsidRPr="00A52585">
        <w:rPr>
          <w:bCs/>
          <w:rtl/>
        </w:rPr>
        <w:t>هـ</w:t>
      </w:r>
      <w:r w:rsidRPr="00A52585">
        <w:rPr>
          <w:bCs/>
          <w:rtl/>
        </w:rPr>
        <w:t>:</w:t>
      </w:r>
      <w:r w:rsidR="00777DCB" w:rsidRPr="00A52585">
        <w:rPr>
          <w:bCs/>
          <w:rtl/>
        </w:rPr>
        <w:t xml:space="preserve"> حديث الأصابع وبيان أن</w:t>
      </w:r>
      <w:r w:rsidRPr="00A52585">
        <w:rPr>
          <w:bCs/>
          <w:rtl/>
        </w:rPr>
        <w:t>:</w:t>
      </w:r>
      <w:r w:rsidR="00777DCB" w:rsidRPr="00A52585">
        <w:rPr>
          <w:bCs/>
          <w:rtl/>
        </w:rPr>
        <w:t xml:space="preserve"> التشبيه والتجسيم من أنواع الشرك</w:t>
      </w:r>
      <w:r w:rsidRPr="00A52585">
        <w:rPr>
          <w:bCs/>
          <w:rtl/>
        </w:rPr>
        <w:t>]:</w:t>
      </w:r>
      <w:r w:rsidR="00777DCB" w:rsidRPr="00A52585">
        <w:rPr>
          <w:bCs/>
          <w:rtl/>
        </w:rPr>
        <w:t xml:space="preserve"> </w:t>
      </w:r>
      <w:r w:rsidR="00777DCB" w:rsidRPr="00A52585">
        <w:rPr>
          <w:rtl/>
        </w:rPr>
        <w:t>ومنها حديث الأصابع</w:t>
      </w:r>
      <w:r w:rsidRPr="00A52585">
        <w:rPr>
          <w:rtl/>
        </w:rPr>
        <w:t>:</w:t>
      </w:r>
      <w:r w:rsidR="00777DCB" w:rsidRPr="00A52585">
        <w:rPr>
          <w:rtl/>
        </w:rPr>
        <w:t xml:space="preserve"> وهو في </w:t>
      </w:r>
      <w:r w:rsidR="00777DCB" w:rsidRPr="00A52585">
        <w:rPr>
          <w:rtl/>
        </w:rPr>
        <w:lastRenderedPageBreak/>
        <w:t>الصحيحين من حديث ابن مسعود رضي الله عنه قال</w:t>
      </w:r>
      <w:r w:rsidRPr="00A52585">
        <w:rPr>
          <w:rtl/>
        </w:rPr>
        <w:t>:</w:t>
      </w:r>
      <w:r w:rsidR="00777DCB" w:rsidRPr="00A52585">
        <w:rPr>
          <w:rtl/>
        </w:rPr>
        <w:t xml:space="preserve"> (</w:t>
      </w:r>
      <w:r w:rsidRPr="00A52585">
        <w:rPr>
          <w:rtl/>
        </w:rPr>
        <w:t>(</w:t>
      </w:r>
      <w:r w:rsidR="00777DCB" w:rsidRPr="00A52585">
        <w:rPr>
          <w:rtl/>
        </w:rPr>
        <w:t>جاء حبر إلى رسول الله صلى الله عليه وسلم</w:t>
      </w:r>
      <w:r w:rsidRPr="00A52585">
        <w:rPr>
          <w:rtl/>
        </w:rPr>
        <w:t>:</w:t>
      </w:r>
      <w:r w:rsidR="00777DCB" w:rsidRPr="00A52585">
        <w:rPr>
          <w:rtl/>
        </w:rPr>
        <w:t xml:space="preserve"> فقال يا محمد</w:t>
      </w:r>
      <w:r w:rsidR="00DB731D" w:rsidRPr="00A52585">
        <w:rPr>
          <w:rtl/>
        </w:rPr>
        <w:t>،</w:t>
      </w:r>
      <w:r w:rsidR="00777DCB" w:rsidRPr="00A52585">
        <w:rPr>
          <w:rtl/>
        </w:rPr>
        <w:t xml:space="preserve"> إن الله يضع السماء على إصبع والأرضين على إصبع والجبال على إصبع والشجر والأنهار على إصبع وسائر الخلق على إصبع. وفي لفظ</w:t>
      </w:r>
      <w:r w:rsidRPr="00A52585">
        <w:rPr>
          <w:rtl/>
        </w:rPr>
        <w:t>:</w:t>
      </w:r>
      <w:r w:rsidR="00777DCB" w:rsidRPr="00A52585">
        <w:rPr>
          <w:rtl/>
        </w:rPr>
        <w:t xml:space="preserve"> والماء والثرى على إصبع</w:t>
      </w:r>
      <w:r w:rsidR="00DB731D" w:rsidRPr="00A52585">
        <w:rPr>
          <w:rtl/>
        </w:rPr>
        <w:t>،</w:t>
      </w:r>
      <w:r w:rsidR="00777DCB" w:rsidRPr="00A52585">
        <w:rPr>
          <w:rtl/>
        </w:rPr>
        <w:t xml:space="preserve"> ثم يهزهن</w:t>
      </w:r>
      <w:r w:rsidR="00DB731D" w:rsidRPr="00A52585">
        <w:rPr>
          <w:rtl/>
        </w:rPr>
        <w:t>،</w:t>
      </w:r>
      <w:r w:rsidR="00777DCB" w:rsidRPr="00A52585">
        <w:rPr>
          <w:rtl/>
        </w:rPr>
        <w:t xml:space="preserve"> فضحك رسول الله صلى الله عليه وسلم</w:t>
      </w:r>
      <w:r w:rsidR="00DB731D" w:rsidRPr="00A52585">
        <w:rPr>
          <w:rtl/>
        </w:rPr>
        <w:t>،</w:t>
      </w:r>
      <w:r w:rsidR="00777DCB" w:rsidRPr="00A52585">
        <w:rPr>
          <w:rtl/>
        </w:rPr>
        <w:t xml:space="preserve"> وقال</w:t>
      </w:r>
      <w:r w:rsidRPr="00A52585">
        <w:rPr>
          <w:rtl/>
        </w:rPr>
        <w:t>:</w:t>
      </w:r>
      <w:r w:rsidR="00777DCB" w:rsidRPr="00A52585">
        <w:rPr>
          <w:rtl/>
        </w:rPr>
        <w:t xml:space="preserve"> {وَمَا قَدَرُوا الله حَقّ قَدْرِه} </w:t>
      </w:r>
      <w:r w:rsidRPr="00A52585">
        <w:rPr>
          <w:rtl/>
        </w:rPr>
        <w:t>[</w:t>
      </w:r>
      <w:r w:rsidR="00777DCB" w:rsidRPr="00A52585">
        <w:rPr>
          <w:rtl/>
        </w:rPr>
        <w:t>الزمر</w:t>
      </w:r>
      <w:r w:rsidRPr="00A52585">
        <w:rPr>
          <w:rtl/>
        </w:rPr>
        <w:t>:</w:t>
      </w:r>
      <w:r w:rsidR="00777DCB" w:rsidRPr="00A52585">
        <w:rPr>
          <w:rtl/>
        </w:rPr>
        <w:t xml:space="preserve"> 67</w:t>
      </w:r>
      <w:r w:rsidRPr="00A52585">
        <w:rPr>
          <w:rtl/>
        </w:rPr>
        <w:t>])</w:t>
      </w:r>
      <w:r w:rsidR="00777DCB" w:rsidRPr="00A52585">
        <w:rPr>
          <w:rtl/>
        </w:rPr>
        <w:t>) وفي لفظ (</w:t>
      </w:r>
      <w:r w:rsidRPr="00A52585">
        <w:rPr>
          <w:rtl/>
        </w:rPr>
        <w:t>(</w:t>
      </w:r>
      <w:r w:rsidR="00777DCB" w:rsidRPr="00A52585">
        <w:rPr>
          <w:rtl/>
        </w:rPr>
        <w:t>فضحك رسول الله صلى الله عليه وسلم تعجباً وتصديقاً له</w:t>
      </w:r>
      <w:r w:rsidRPr="00A52585">
        <w:rPr>
          <w:rtl/>
        </w:rPr>
        <w:t>)</w:t>
      </w:r>
      <w:r w:rsidR="00777DCB" w:rsidRPr="00A52585">
        <w:rPr>
          <w:rtl/>
        </w:rPr>
        <w:t xml:space="preserve">) </w:t>
      </w:r>
      <w:r w:rsidRPr="00A52585">
        <w:rPr>
          <w:szCs w:val="24"/>
          <w:rtl/>
        </w:rPr>
        <w:t>[</w:t>
      </w:r>
      <w:r w:rsidR="00777DCB" w:rsidRPr="00A52585">
        <w:rPr>
          <w:szCs w:val="24"/>
          <w:rtl/>
        </w:rPr>
        <w:t>قال المحقق</w:t>
      </w:r>
      <w:r w:rsidRPr="00A52585">
        <w:rPr>
          <w:szCs w:val="24"/>
          <w:rtl/>
        </w:rPr>
        <w:t>:</w:t>
      </w:r>
      <w:r w:rsidR="00777DCB" w:rsidRPr="00A52585">
        <w:rPr>
          <w:szCs w:val="24"/>
          <w:rtl/>
        </w:rPr>
        <w:t xml:space="preserve"> </w:t>
      </w:r>
      <w:proofErr w:type="spellStart"/>
      <w:r w:rsidR="00777DCB" w:rsidRPr="00A52585">
        <w:rPr>
          <w:rFonts w:ascii="Traditional Arabic" w:hAnsi="Traditional Arabic"/>
          <w:szCs w:val="24"/>
          <w:rtl/>
        </w:rPr>
        <w:t>روه</w:t>
      </w:r>
      <w:proofErr w:type="spellEnd"/>
      <w:r w:rsidR="00777DCB" w:rsidRPr="00A52585">
        <w:rPr>
          <w:rFonts w:ascii="Traditional Arabic" w:hAnsi="Traditional Arabic"/>
          <w:szCs w:val="24"/>
          <w:rtl/>
        </w:rPr>
        <w:t xml:space="preserve"> البخاري في كتاب التفسير- تفسير سورة الزمر باب</w:t>
      </w:r>
      <w:r w:rsidRPr="00A52585">
        <w:rPr>
          <w:rFonts w:ascii="Traditional Arabic" w:hAnsi="Traditional Arabic"/>
          <w:szCs w:val="24"/>
          <w:rtl/>
        </w:rPr>
        <w:t>:</w:t>
      </w:r>
      <w:r w:rsidR="00777DCB" w:rsidRPr="00A52585">
        <w:rPr>
          <w:rFonts w:ascii="Traditional Arabic" w:hAnsi="Traditional Arabic"/>
          <w:szCs w:val="24"/>
          <w:rtl/>
        </w:rPr>
        <w:t xml:space="preserve"> قوله تعالى </w:t>
      </w:r>
      <w:r w:rsidRPr="00A52585">
        <w:rPr>
          <w:rFonts w:ascii="Traditional Arabic" w:hAnsi="Traditional Arabic"/>
          <w:szCs w:val="24"/>
          <w:rtl/>
        </w:rPr>
        <w:t>{</w:t>
      </w:r>
      <w:r w:rsidR="00777DCB" w:rsidRPr="00A52585">
        <w:rPr>
          <w:rFonts w:ascii="Traditional Arabic" w:hAnsi="Traditional Arabic"/>
          <w:szCs w:val="24"/>
          <w:rtl/>
        </w:rPr>
        <w:t>وما قدروا الله حق قدره</w:t>
      </w:r>
      <w:r w:rsidRPr="00A52585">
        <w:rPr>
          <w:rFonts w:ascii="Traditional Arabic" w:hAnsi="Traditional Arabic"/>
          <w:szCs w:val="24"/>
          <w:rtl/>
        </w:rPr>
        <w:t>}</w:t>
      </w:r>
      <w:r w:rsidR="00777DCB" w:rsidRPr="00A52585">
        <w:rPr>
          <w:rFonts w:ascii="Traditional Arabic" w:hAnsi="Traditional Arabic"/>
          <w:szCs w:val="24"/>
          <w:rtl/>
        </w:rPr>
        <w:t xml:space="preserve"> وفي ثلاثة مواضع أخر ورواه مسلم في كتاب (صفة القيامة والجنة والنار) والترمذي في كتاب (التفسير)</w:t>
      </w:r>
      <w:r w:rsidRPr="00A52585">
        <w:rPr>
          <w:rFonts w:ascii="Traditional Arabic" w:hAnsi="Traditional Arabic"/>
          <w:szCs w:val="24"/>
          <w:rtl/>
        </w:rPr>
        <w:t>]</w:t>
      </w:r>
      <w:r w:rsidR="00DB731D" w:rsidRPr="00A52585">
        <w:rPr>
          <w:rtl/>
        </w:rPr>
        <w:t>،</w:t>
      </w:r>
      <w:r w:rsidR="00777DCB" w:rsidRPr="00A52585">
        <w:rPr>
          <w:rtl/>
        </w:rPr>
        <w:t xml:space="preserve"> قال الأئمة ومنهم أبو سليمان الخطابي</w:t>
      </w:r>
      <w:r w:rsidRPr="00A52585">
        <w:rPr>
          <w:rtl/>
        </w:rPr>
        <w:t>:</w:t>
      </w:r>
      <w:r w:rsidR="00777DCB" w:rsidRPr="00A52585">
        <w:rPr>
          <w:rtl/>
        </w:rPr>
        <w:t xml:space="preserve"> لا نثبت لله سبحانه وتعالى صفة إلاّ بالكتاب أو خبر مقطوع بصحته يستند إلى أصل في الكتاب أو في السنة المقطوع بصحتها </w:t>
      </w:r>
      <w:r w:rsidR="00777DCB" w:rsidRPr="00A52585">
        <w:rPr>
          <w:szCs w:val="24"/>
          <w:rtl/>
        </w:rPr>
        <w:t>[قال المحقق</w:t>
      </w:r>
      <w:r w:rsidRPr="00A52585">
        <w:rPr>
          <w:szCs w:val="24"/>
          <w:rtl/>
        </w:rPr>
        <w:t>:</w:t>
      </w:r>
      <w:r w:rsidR="00777DCB" w:rsidRPr="00A52585">
        <w:rPr>
          <w:szCs w:val="24"/>
          <w:rtl/>
        </w:rPr>
        <w:t xml:space="preserve"> </w:t>
      </w:r>
      <w:r w:rsidR="00777DCB" w:rsidRPr="00A52585">
        <w:rPr>
          <w:rFonts w:ascii="Traditional Arabic" w:hAnsi="Traditional Arabic"/>
          <w:szCs w:val="24"/>
          <w:rtl/>
        </w:rPr>
        <w:t>وهكذا كل أمور العقيدة في الإسلام لا تبنى إلا على اليقين الكامل الذي لا يخالطه أي شك أو احتمال لأمر سواه، وقد ذم الله المشركين على اتباعهم الظن في عقائدهم دون اليقين الكامل، لذا ذهب جمهور الأمة إلى عدم الأخذ بأحاديث الآحاد- الصحيحة الإسناد- في العقيدة بل يعمل بها في فروع الشريعة فقط إلا ما كان على الصفة التي أوضحها الإمام الخطابي أي يستند إلى أصل في القرآن أو السنة المتواترة]</w:t>
      </w:r>
      <w:r w:rsidR="00DB731D" w:rsidRPr="00A52585">
        <w:rPr>
          <w:rtl/>
        </w:rPr>
        <w:t>،</w:t>
      </w:r>
      <w:r w:rsidR="00777DCB" w:rsidRPr="00A52585">
        <w:rPr>
          <w:rtl/>
        </w:rPr>
        <w:t xml:space="preserve"> وما كان بخلاف ذلك فالواجب التوقف عن إطلاق ذلك ويُتَأوّل على ما يليق بمعاني الأصول المتفق عليها من أقوال أهل العلم مع نفي التشبيه</w:t>
      </w:r>
      <w:r w:rsidR="00DB731D" w:rsidRPr="00A52585">
        <w:rPr>
          <w:rtl/>
        </w:rPr>
        <w:t>،</w:t>
      </w:r>
      <w:r w:rsidR="00777DCB" w:rsidRPr="00A52585">
        <w:rPr>
          <w:rtl/>
        </w:rPr>
        <w:t xml:space="preserve"> وقال غيره</w:t>
      </w:r>
      <w:r w:rsidRPr="00A52585">
        <w:rPr>
          <w:rtl/>
        </w:rPr>
        <w:t>:</w:t>
      </w:r>
      <w:r w:rsidR="00777DCB" w:rsidRPr="00A52585">
        <w:rPr>
          <w:rtl/>
        </w:rPr>
        <w:t xml:space="preserve"> قد نفى الله تعالى التشبيه عنه في قوله تعالى {سُبْحَانَهُ} بعد قوله تعالى</w:t>
      </w:r>
      <w:r w:rsidRPr="00A52585">
        <w:rPr>
          <w:rtl/>
        </w:rPr>
        <w:t>:</w:t>
      </w:r>
      <w:r w:rsidR="00777DCB" w:rsidRPr="00A52585">
        <w:rPr>
          <w:rtl/>
        </w:rPr>
        <w:t xml:space="preserve"> {وَمَا قَدَرُوا الله حَقَّ قَدْرِهَ والأَرْضُ جَمِيعاً قَبْضَتُهُ يَوْمَ الْقِيَامَةِ والسَّمَوَاتِ مَطْوِيَّاتٌ بِيَمِينِهِ} نَزَّه نفسه بقوله</w:t>
      </w:r>
      <w:r w:rsidRPr="00A52585">
        <w:rPr>
          <w:rtl/>
        </w:rPr>
        <w:t>:</w:t>
      </w:r>
      <w:r w:rsidR="00777DCB" w:rsidRPr="00A52585">
        <w:rPr>
          <w:rtl/>
        </w:rPr>
        <w:t xml:space="preserve"> {سُبْحَانَهُ} دفعاً لما يتبادر إليه الفهم باعتبار المحسوسات</w:t>
      </w:r>
      <w:r w:rsidR="00DB731D" w:rsidRPr="00A52585">
        <w:rPr>
          <w:rtl/>
        </w:rPr>
        <w:t>،</w:t>
      </w:r>
      <w:r w:rsidR="00777DCB" w:rsidRPr="00A52585">
        <w:rPr>
          <w:rtl/>
        </w:rPr>
        <w:t xml:space="preserve"> </w:t>
      </w:r>
      <w:r w:rsidR="00777DCB" w:rsidRPr="00A52585">
        <w:rPr>
          <w:spacing w:val="-8"/>
          <w:rtl/>
        </w:rPr>
        <w:t>قال الأئمة</w:t>
      </w:r>
      <w:r w:rsidRPr="00A52585">
        <w:rPr>
          <w:spacing w:val="-8"/>
          <w:rtl/>
        </w:rPr>
        <w:t>:</w:t>
      </w:r>
      <w:r w:rsidR="00777DCB" w:rsidRPr="00A52585">
        <w:rPr>
          <w:spacing w:val="-8"/>
          <w:rtl/>
        </w:rPr>
        <w:t xml:space="preserve"> معناه</w:t>
      </w:r>
      <w:r w:rsidRPr="00A52585">
        <w:rPr>
          <w:spacing w:val="-8"/>
          <w:rtl/>
        </w:rPr>
        <w:t>:</w:t>
      </w:r>
      <w:r w:rsidR="00777DCB" w:rsidRPr="00A52585">
        <w:rPr>
          <w:spacing w:val="-8"/>
          <w:rtl/>
        </w:rPr>
        <w:t xml:space="preserve"> ما عرفوه حق معرفته. وقال المبرد</w:t>
      </w:r>
      <w:r w:rsidRPr="00A52585">
        <w:rPr>
          <w:spacing w:val="-8"/>
          <w:rtl/>
        </w:rPr>
        <w:t>:</w:t>
      </w:r>
      <w:r w:rsidR="00777DCB" w:rsidRPr="00A52585">
        <w:rPr>
          <w:spacing w:val="-8"/>
          <w:rtl/>
        </w:rPr>
        <w:t xml:space="preserve"> ما عظموه حق عظمته</w:t>
      </w:r>
      <w:r w:rsidR="00DB731D" w:rsidRPr="00A52585">
        <w:rPr>
          <w:spacing w:val="-8"/>
          <w:rtl/>
        </w:rPr>
        <w:t>،</w:t>
      </w:r>
      <w:r w:rsidR="00777DCB" w:rsidRPr="00A52585">
        <w:rPr>
          <w:spacing w:val="-8"/>
          <w:rtl/>
        </w:rPr>
        <w:t xml:space="preserve"> </w:t>
      </w:r>
      <w:r w:rsidR="00777DCB" w:rsidRPr="00A52585">
        <w:rPr>
          <w:rtl/>
        </w:rPr>
        <w:t>وقبضة الله عز وجل عبارة عن قدرته وإحاطته بجميع مخلوقاته</w:t>
      </w:r>
      <w:r w:rsidR="00DB731D" w:rsidRPr="00A52585">
        <w:rPr>
          <w:rtl/>
        </w:rPr>
        <w:t>،</w:t>
      </w:r>
      <w:r w:rsidR="00777DCB" w:rsidRPr="00A52585">
        <w:rPr>
          <w:rtl/>
        </w:rPr>
        <w:t xml:space="preserve"> واليمين في كلام العرب بمعنى الملك والقدرة</w:t>
      </w:r>
      <w:r w:rsidR="00DB731D" w:rsidRPr="00A52585">
        <w:rPr>
          <w:rtl/>
        </w:rPr>
        <w:t>،</w:t>
      </w:r>
      <w:r w:rsidR="00777DCB" w:rsidRPr="00A52585">
        <w:rPr>
          <w:rtl/>
        </w:rPr>
        <w:t xml:space="preserve"> كما قال تعالى</w:t>
      </w:r>
      <w:r w:rsidRPr="00A52585">
        <w:rPr>
          <w:rtl/>
        </w:rPr>
        <w:t>:</w:t>
      </w:r>
      <w:r w:rsidR="00777DCB" w:rsidRPr="00A52585">
        <w:rPr>
          <w:rtl/>
        </w:rPr>
        <w:t xml:space="preserve"> {لأَخَذْنَا مِنْهُ بِالْيَمِينِ</w:t>
      </w:r>
      <w:r w:rsidRPr="00A52585">
        <w:rPr>
          <w:vertAlign w:val="superscript"/>
          <w:rtl/>
        </w:rPr>
        <w:t>}</w:t>
      </w:r>
      <w:r w:rsidR="00777DCB" w:rsidRPr="00A52585">
        <w:rPr>
          <w:rtl/>
        </w:rPr>
        <w:t xml:space="preserve"> </w:t>
      </w:r>
      <w:r w:rsidRPr="00A52585">
        <w:rPr>
          <w:rtl/>
        </w:rPr>
        <w:t>[</w:t>
      </w:r>
      <w:r w:rsidR="00777DCB" w:rsidRPr="00A52585">
        <w:rPr>
          <w:rtl/>
        </w:rPr>
        <w:t>الحاقة</w:t>
      </w:r>
      <w:r w:rsidRPr="00A52585">
        <w:rPr>
          <w:rtl/>
        </w:rPr>
        <w:t>:</w:t>
      </w:r>
      <w:r w:rsidR="00777DCB" w:rsidRPr="00A52585">
        <w:rPr>
          <w:rtl/>
        </w:rPr>
        <w:t xml:space="preserve"> 45</w:t>
      </w:r>
      <w:r w:rsidRPr="00A52585">
        <w:rPr>
          <w:rtl/>
        </w:rPr>
        <w:t>]</w:t>
      </w:r>
      <w:r w:rsidR="00DB731D" w:rsidRPr="00A52585">
        <w:rPr>
          <w:rtl/>
        </w:rPr>
        <w:t>،</w:t>
      </w:r>
      <w:r w:rsidR="00777DCB" w:rsidRPr="00A52585">
        <w:rPr>
          <w:rtl/>
        </w:rPr>
        <w:t xml:space="preserve"> أي بالقوة والقدرة</w:t>
      </w:r>
      <w:r w:rsidR="00DB731D" w:rsidRPr="00A52585">
        <w:rPr>
          <w:rtl/>
        </w:rPr>
        <w:t>،</w:t>
      </w:r>
      <w:r w:rsidR="00777DCB" w:rsidRPr="00A52585">
        <w:rPr>
          <w:rtl/>
        </w:rPr>
        <w:t xml:space="preserve"> </w:t>
      </w:r>
      <w:r w:rsidR="00777DCB" w:rsidRPr="00A52585">
        <w:rPr>
          <w:spacing w:val="-6"/>
          <w:rtl/>
        </w:rPr>
        <w:t>قال الفراء</w:t>
      </w:r>
      <w:r w:rsidRPr="00A52585">
        <w:rPr>
          <w:spacing w:val="-6"/>
          <w:rtl/>
        </w:rPr>
        <w:t>:</w:t>
      </w:r>
      <w:r w:rsidR="00777DCB" w:rsidRPr="00A52585">
        <w:rPr>
          <w:spacing w:val="-6"/>
          <w:rtl/>
        </w:rPr>
        <w:t xml:space="preserve"> اليمين القوة والقدرة</w:t>
      </w:r>
      <w:r w:rsidR="00DB731D" w:rsidRPr="00A52585">
        <w:rPr>
          <w:spacing w:val="-6"/>
          <w:rtl/>
        </w:rPr>
        <w:t>،</w:t>
      </w:r>
      <w:r w:rsidR="00777DCB" w:rsidRPr="00A52585">
        <w:rPr>
          <w:spacing w:val="-6"/>
          <w:rtl/>
        </w:rPr>
        <w:t xml:space="preserve"> وأشعار العرب في ذلك كثيرة جداً أكثر من أن تذكر وأشهر</w:t>
      </w:r>
      <w:r w:rsidR="00777DCB" w:rsidRPr="00A52585">
        <w:rPr>
          <w:rtl/>
        </w:rPr>
        <w:t xml:space="preserve"> من أن تنشر وتبرز وتظهر</w:t>
      </w:r>
      <w:r w:rsidR="00DB731D" w:rsidRPr="00A52585">
        <w:rPr>
          <w:rtl/>
        </w:rPr>
        <w:t>،</w:t>
      </w:r>
      <w:r w:rsidR="00777DCB" w:rsidRPr="00A52585">
        <w:rPr>
          <w:rtl/>
        </w:rPr>
        <w:t xml:space="preserve"> وفي الحديث</w:t>
      </w:r>
      <w:r w:rsidRPr="00A52585">
        <w:rPr>
          <w:rtl/>
        </w:rPr>
        <w:t>:</w:t>
      </w:r>
      <w:r w:rsidR="00777DCB" w:rsidRPr="00A52585">
        <w:rPr>
          <w:rtl/>
        </w:rPr>
        <w:t xml:space="preserve"> (</w:t>
      </w:r>
      <w:r w:rsidRPr="00A52585">
        <w:rPr>
          <w:rtl/>
        </w:rPr>
        <w:t>(</w:t>
      </w:r>
      <w:r w:rsidR="00777DCB" w:rsidRPr="00A52585">
        <w:rPr>
          <w:rtl/>
        </w:rPr>
        <w:t>الَحَجُر الأَسْوَدُ يَمِينُ الله تَعَالَى</w:t>
      </w:r>
      <w:r w:rsidRPr="00A52585">
        <w:rPr>
          <w:rtl/>
        </w:rPr>
        <w:t>)</w:t>
      </w:r>
      <w:r w:rsidR="00777DCB" w:rsidRPr="00A52585">
        <w:rPr>
          <w:rtl/>
        </w:rPr>
        <w:t xml:space="preserve">) </w:t>
      </w:r>
      <w:r w:rsidR="00777DCB" w:rsidRPr="00A52585">
        <w:rPr>
          <w:szCs w:val="24"/>
          <w:rtl/>
        </w:rPr>
        <w:t>[قال المحقق</w:t>
      </w:r>
      <w:r w:rsidRPr="00A52585">
        <w:rPr>
          <w:szCs w:val="24"/>
          <w:rtl/>
        </w:rPr>
        <w:t>:</w:t>
      </w:r>
      <w:r w:rsidR="00777DCB" w:rsidRPr="00A52585">
        <w:rPr>
          <w:szCs w:val="24"/>
          <w:rtl/>
        </w:rPr>
        <w:t xml:space="preserve"> </w:t>
      </w:r>
      <w:r w:rsidR="00777DCB" w:rsidRPr="00A52585">
        <w:rPr>
          <w:rFonts w:ascii="Traditional Arabic" w:hAnsi="Traditional Arabic"/>
          <w:szCs w:val="24"/>
          <w:rtl/>
        </w:rPr>
        <w:t>رواه الطبراني في معجمه وأبو عبيد القاسم بن سلام وابن أبي الفوارس والأزرقي في تاريخه مرفوعاً كما بينه العلامة العجلوني في (كشف الخفاء) ثم قال</w:t>
      </w:r>
      <w:r w:rsidRPr="00A52585">
        <w:rPr>
          <w:rFonts w:ascii="Traditional Arabic" w:hAnsi="Traditional Arabic"/>
          <w:szCs w:val="24"/>
          <w:rtl/>
        </w:rPr>
        <w:t>:</w:t>
      </w:r>
      <w:r w:rsidR="00777DCB" w:rsidRPr="00A52585">
        <w:rPr>
          <w:rFonts w:ascii="Traditional Arabic" w:hAnsi="Traditional Arabic"/>
          <w:szCs w:val="24"/>
          <w:rtl/>
        </w:rPr>
        <w:t>"</w:t>
      </w:r>
      <w:r w:rsidRPr="00A52585">
        <w:rPr>
          <w:rFonts w:ascii="Traditional Arabic" w:hAnsi="Traditional Arabic"/>
          <w:szCs w:val="24"/>
          <w:rtl/>
        </w:rPr>
        <w:t xml:space="preserve"> </w:t>
      </w:r>
      <w:r w:rsidR="00777DCB" w:rsidRPr="00A52585">
        <w:rPr>
          <w:rFonts w:ascii="Traditional Arabic" w:hAnsi="Traditional Arabic"/>
          <w:szCs w:val="24"/>
          <w:rtl/>
        </w:rPr>
        <w:t>ورواه القضاعي أيضاً عن ابن عباس رضي الله عنه موقوفا عليه لكنه صحيح بلفظ (الركن يمين الله عز وجل يصافح بها خلقه، والذي نفس ابن عباس بيده ما من مسلم يسأل الله عنده شيئاً إلا أعطاه إياه) ومثله مما لا مجال للرأي فيه وله شواهد، فالحديث حسن وإن كان ضعيفاً بحسب أصله كما قال بعضهم. "</w:t>
      </w:r>
      <w:r w:rsidRPr="00A52585">
        <w:rPr>
          <w:rFonts w:ascii="Traditional Arabic" w:hAnsi="Traditional Arabic"/>
          <w:szCs w:val="24"/>
          <w:rtl/>
        </w:rPr>
        <w:t xml:space="preserve"> </w:t>
      </w:r>
      <w:r w:rsidR="00777DCB" w:rsidRPr="00A52585">
        <w:rPr>
          <w:rFonts w:ascii="Traditional Arabic" w:hAnsi="Traditional Arabic"/>
          <w:szCs w:val="24"/>
          <w:rtl/>
        </w:rPr>
        <w:t>ثم قال"</w:t>
      </w:r>
      <w:r w:rsidRPr="00A52585">
        <w:rPr>
          <w:rFonts w:ascii="Traditional Arabic" w:hAnsi="Traditional Arabic"/>
          <w:szCs w:val="24"/>
          <w:rtl/>
        </w:rPr>
        <w:t xml:space="preserve"> </w:t>
      </w:r>
      <w:r w:rsidR="00777DCB" w:rsidRPr="00A52585">
        <w:rPr>
          <w:rFonts w:ascii="Traditional Arabic" w:hAnsi="Traditional Arabic"/>
          <w:szCs w:val="24"/>
          <w:rtl/>
        </w:rPr>
        <w:t>ومعناه كما قال المحب الطبري أن كل ملك إذا قدم عليه قبلت يمينه ولما كان الحاج والمعتمر يسن لهما تقبيله نزل منزلة يمين الملك على سبيل التمثيل ولله المثل الأعلى، ولذلك من صافحه كان له عند الله عهد كما أن الملك يعطي العهد بالمصافحة</w:t>
      </w:r>
      <w:r w:rsidRPr="00A52585">
        <w:rPr>
          <w:rFonts w:ascii="Traditional Arabic" w:hAnsi="Traditional Arabic"/>
          <w:szCs w:val="24"/>
          <w:rtl/>
        </w:rPr>
        <w:t xml:space="preserve"> </w:t>
      </w:r>
      <w:r w:rsidR="00777DCB" w:rsidRPr="00A52585">
        <w:rPr>
          <w:rFonts w:ascii="Traditional Arabic" w:hAnsi="Traditional Arabic"/>
          <w:szCs w:val="24"/>
          <w:rtl/>
        </w:rPr>
        <w:t xml:space="preserve">" </w:t>
      </w:r>
      <w:proofErr w:type="spell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 xml:space="preserve">ـ حديث رقم 1109 ص 417 –418 </w:t>
      </w:r>
      <w:r w:rsidRPr="00A52585">
        <w:rPr>
          <w:rFonts w:ascii="Traditional Arabic" w:hAnsi="Traditional Arabic"/>
          <w:szCs w:val="24"/>
          <w:rtl/>
        </w:rPr>
        <w:t>(</w:t>
      </w:r>
      <w:r w:rsidR="00777DCB" w:rsidRPr="00A52585">
        <w:rPr>
          <w:rFonts w:ascii="Traditional Arabic" w:hAnsi="Traditional Arabic"/>
          <w:szCs w:val="24"/>
          <w:rtl/>
        </w:rPr>
        <w:t>قلت</w:t>
      </w:r>
      <w:r w:rsidRPr="00A52585">
        <w:rPr>
          <w:rFonts w:ascii="Traditional Arabic" w:hAnsi="Traditional Arabic"/>
          <w:szCs w:val="24"/>
          <w:rtl/>
        </w:rPr>
        <w:t>):</w:t>
      </w:r>
      <w:r w:rsidR="00777DCB" w:rsidRPr="00A52585">
        <w:rPr>
          <w:rFonts w:ascii="Traditional Arabic" w:hAnsi="Traditional Arabic"/>
          <w:szCs w:val="24"/>
          <w:rtl/>
        </w:rPr>
        <w:t xml:space="preserve"> هذا الحديث مما أوله الإمام أحمد بن حنبل كما سبق، ومع ذلك فقد زعم ابن </w:t>
      </w:r>
      <w:proofErr w:type="spellStart"/>
      <w:r w:rsidR="00777DCB" w:rsidRPr="00A52585">
        <w:rPr>
          <w:rFonts w:ascii="Traditional Arabic" w:hAnsi="Traditional Arabic"/>
          <w:szCs w:val="24"/>
          <w:rtl/>
        </w:rPr>
        <w:t>الفاعوس</w:t>
      </w:r>
      <w:proofErr w:type="spellEnd"/>
      <w:r w:rsidR="00777DCB" w:rsidRPr="00A52585">
        <w:rPr>
          <w:rFonts w:ascii="Traditional Arabic" w:hAnsi="Traditional Arabic"/>
          <w:szCs w:val="24"/>
          <w:rtl/>
        </w:rPr>
        <w:t xml:space="preserve"> الحنبلي أن الحجر الأسود يمين الله حقيقة، مما دعا الإمام الحافظ أبو بكر بن </w:t>
      </w:r>
      <w:proofErr w:type="spellStart"/>
      <w:r w:rsidR="00777DCB" w:rsidRPr="00A52585">
        <w:rPr>
          <w:rFonts w:ascii="Traditional Arabic" w:hAnsi="Traditional Arabic"/>
          <w:szCs w:val="24"/>
          <w:rtl/>
        </w:rPr>
        <w:t>الخاضبة</w:t>
      </w:r>
      <w:proofErr w:type="spellEnd"/>
      <w:r w:rsidR="00777DCB" w:rsidRPr="00A52585">
        <w:rPr>
          <w:rFonts w:ascii="Traditional Arabic" w:hAnsi="Traditional Arabic"/>
          <w:szCs w:val="24"/>
          <w:rtl/>
        </w:rPr>
        <w:t xml:space="preserve"> إلى تلقيبه بـ(الحجري) وذلك يؤكد أن هؤلاء المجسمة في الحقيقة ليسوا بأتباع للإمام أحمد رضي الله عنه بل هم مجسمة </w:t>
      </w:r>
      <w:r w:rsidR="00777DCB" w:rsidRPr="00A52585">
        <w:rPr>
          <w:rFonts w:ascii="Traditional Arabic" w:hAnsi="Traditional Arabic"/>
          <w:szCs w:val="24"/>
          <w:rtl/>
        </w:rPr>
        <w:lastRenderedPageBreak/>
        <w:t>خوارج يتسترون وراء المذهب الحنبلي]</w:t>
      </w:r>
      <w:r w:rsidR="00DB731D" w:rsidRPr="00A52585">
        <w:rPr>
          <w:rtl/>
        </w:rPr>
        <w:t>،</w:t>
      </w:r>
      <w:r w:rsidR="00777DCB" w:rsidRPr="00A52585">
        <w:rPr>
          <w:rtl/>
        </w:rPr>
        <w:t xml:space="preserve"> وقـال تعالى</w:t>
      </w:r>
      <w:r w:rsidRPr="00A52585">
        <w:rPr>
          <w:rtl/>
        </w:rPr>
        <w:t xml:space="preserve">: </w:t>
      </w:r>
      <w:r w:rsidR="00777DCB" w:rsidRPr="00A52585">
        <w:rPr>
          <w:rtl/>
        </w:rPr>
        <w:t xml:space="preserve">{يَدُ الله فَـوْقَ أَيْدِيهِـم} </w:t>
      </w:r>
      <w:r w:rsidRPr="00A52585">
        <w:rPr>
          <w:rtl/>
        </w:rPr>
        <w:t>[</w:t>
      </w:r>
      <w:r w:rsidR="00777DCB" w:rsidRPr="00A52585">
        <w:rPr>
          <w:rtl/>
        </w:rPr>
        <w:t>الفتح</w:t>
      </w:r>
      <w:r w:rsidRPr="00A52585">
        <w:rPr>
          <w:rtl/>
        </w:rPr>
        <w:t>:</w:t>
      </w:r>
      <w:r w:rsidR="00777DCB" w:rsidRPr="00A52585">
        <w:rPr>
          <w:rtl/>
        </w:rPr>
        <w:t xml:space="preserve"> 10</w:t>
      </w:r>
      <w:r w:rsidRPr="00A52585">
        <w:rPr>
          <w:rtl/>
        </w:rPr>
        <w:t>]</w:t>
      </w:r>
      <w:r w:rsidR="00DB731D" w:rsidRPr="00A52585">
        <w:rPr>
          <w:rtl/>
        </w:rPr>
        <w:t>،</w:t>
      </w:r>
      <w:r w:rsidR="00777DCB" w:rsidRPr="00A52585">
        <w:rPr>
          <w:rtl/>
        </w:rPr>
        <w:t xml:space="preserve"> وقال أبو الوفاء ابن عقيل - من أصحاب الإمام أحمد - </w:t>
      </w:r>
      <w:r w:rsidRPr="00A52585">
        <w:rPr>
          <w:szCs w:val="24"/>
          <w:rtl/>
        </w:rPr>
        <w:t>[</w:t>
      </w:r>
      <w:r w:rsidR="00777DCB" w:rsidRPr="00A52585">
        <w:rPr>
          <w:szCs w:val="24"/>
          <w:rtl/>
        </w:rPr>
        <w:t>قال المحقق</w:t>
      </w:r>
      <w:r w:rsidRPr="00A52585">
        <w:rPr>
          <w:szCs w:val="24"/>
          <w:rtl/>
        </w:rPr>
        <w:t>:</w:t>
      </w:r>
      <w:r w:rsidR="00777DCB" w:rsidRPr="00A52585">
        <w:rPr>
          <w:szCs w:val="24"/>
          <w:rtl/>
        </w:rPr>
        <w:t xml:space="preserve"> </w:t>
      </w:r>
      <w:r w:rsidR="00777DCB" w:rsidRPr="00A52585">
        <w:rPr>
          <w:rFonts w:ascii="Traditional Arabic" w:hAnsi="Traditional Arabic"/>
          <w:szCs w:val="24"/>
          <w:rtl/>
        </w:rPr>
        <w:t>هو</w:t>
      </w:r>
      <w:r w:rsidRPr="00A52585">
        <w:rPr>
          <w:rFonts w:ascii="Traditional Arabic" w:hAnsi="Traditional Arabic"/>
          <w:szCs w:val="24"/>
          <w:rtl/>
        </w:rPr>
        <w:t>:</w:t>
      </w:r>
      <w:r w:rsidR="00777DCB" w:rsidRPr="00A52585">
        <w:rPr>
          <w:rFonts w:ascii="Traditional Arabic" w:hAnsi="Traditional Arabic"/>
          <w:szCs w:val="24"/>
          <w:rtl/>
        </w:rPr>
        <w:t xml:space="preserve"> </w:t>
      </w:r>
      <w:r w:rsidR="00777DCB" w:rsidRPr="00A52585">
        <w:rPr>
          <w:rFonts w:ascii="Traditional Arabic" w:hAnsi="Traditional Arabic"/>
          <w:spacing w:val="-4"/>
          <w:szCs w:val="24"/>
          <w:rtl/>
        </w:rPr>
        <w:t>أبو الوفاء علي بن عقيل بن محمد بن عقيل بن أحمد البغدادي الظفري المقري الفقيه الحنبلي الأصولي الواعظ المتكلم. أحد الأعلام وشيخ الإسلام ولد سنة 431هـ له كتاب (الفنون) مائتا مجلد فيه فوائد جليلة في الوعظ والتفسير والفقه والأصلين والنحو واللغة والشعر والتاريخ والحكايات وفيه مناظراته ومجالسه وخواطره ونتائج فكره، قال الذهبي</w:t>
      </w:r>
      <w:r w:rsidRPr="00A52585">
        <w:rPr>
          <w:rFonts w:ascii="Traditional Arabic" w:hAnsi="Traditional Arabic"/>
          <w:spacing w:val="-4"/>
          <w:szCs w:val="24"/>
          <w:rtl/>
        </w:rPr>
        <w:t>:</w:t>
      </w:r>
      <w:r w:rsidR="00777DCB" w:rsidRPr="00A52585">
        <w:rPr>
          <w:rFonts w:ascii="Traditional Arabic" w:hAnsi="Traditional Arabic"/>
          <w:spacing w:val="-4"/>
          <w:szCs w:val="24"/>
          <w:rtl/>
        </w:rPr>
        <w:t xml:space="preserve"> لم يصنف في الدنيا أكبر من هذا الكتاب وله كتاب (الفصول) في الفقه و(عمدة الأدلة) و(المفردات) و(الإرشاد) في أصول الدين و (الواضح) في أصول الفقه و(الانتصار لأهل الحديث) مجلد و (نفي التشبيه) و(مسائل مشكلة) في آيات من القرآن، وأحاديث سئل عنها فأجاب، و (تهذيب النفي) وغير ذلك. </w:t>
      </w:r>
      <w:r w:rsidR="00777DCB" w:rsidRPr="00A52585">
        <w:rPr>
          <w:rFonts w:ascii="Traditional Arabic" w:hAnsi="Traditional Arabic"/>
          <w:szCs w:val="24"/>
          <w:rtl/>
        </w:rPr>
        <w:t>له مسائل كثيرة ينفرد بها ويخالف المذهب الحنبلي، توفى رضي الله عنه عام 513ه</w:t>
      </w:r>
      <w:r w:rsidRPr="00A52585">
        <w:rPr>
          <w:rFonts w:ascii="Traditional Arabic" w:hAnsi="Traditional Arabic"/>
          <w:szCs w:val="24"/>
          <w:rtl/>
        </w:rPr>
        <w:t>]</w:t>
      </w:r>
      <w:r w:rsidR="00777DCB" w:rsidRPr="00A52585">
        <w:rPr>
          <w:rFonts w:ascii="Traditional Arabic" w:hAnsi="Traditional Arabic"/>
          <w:szCs w:val="24"/>
          <w:rtl/>
        </w:rPr>
        <w:t xml:space="preserve"> ـ</w:t>
      </w:r>
      <w:r w:rsidR="00777DCB" w:rsidRPr="00A52585">
        <w:rPr>
          <w:rtl/>
        </w:rPr>
        <w:t xml:space="preserve">: {مَا قَدَرُوا الله حَقَّ قَدْرِه} </w:t>
      </w:r>
      <w:r w:rsidRPr="00A52585">
        <w:rPr>
          <w:rtl/>
        </w:rPr>
        <w:t>[</w:t>
      </w:r>
      <w:r w:rsidR="00777DCB" w:rsidRPr="00A52585">
        <w:rPr>
          <w:rtl/>
        </w:rPr>
        <w:t>الزمر</w:t>
      </w:r>
      <w:r w:rsidRPr="00A52585">
        <w:rPr>
          <w:rtl/>
        </w:rPr>
        <w:t>:</w:t>
      </w:r>
      <w:r w:rsidR="00777DCB" w:rsidRPr="00A52585">
        <w:rPr>
          <w:rtl/>
        </w:rPr>
        <w:t xml:space="preserve"> 67</w:t>
      </w:r>
      <w:r w:rsidRPr="00A52585">
        <w:rPr>
          <w:rtl/>
        </w:rPr>
        <w:t>]</w:t>
      </w:r>
      <w:r w:rsidR="00DB731D" w:rsidRPr="00A52585">
        <w:rPr>
          <w:rtl/>
        </w:rPr>
        <w:t>،</w:t>
      </w:r>
      <w:r w:rsidR="00777DCB" w:rsidRPr="00A52585">
        <w:rPr>
          <w:rtl/>
        </w:rPr>
        <w:t xml:space="preserve"> إذ جعلوا صفاته تتساعد وتتعاضد على حمل مخلوقاته</w:t>
      </w:r>
      <w:r w:rsidR="00DB731D" w:rsidRPr="00A52585">
        <w:rPr>
          <w:rtl/>
        </w:rPr>
        <w:t>،</w:t>
      </w:r>
      <w:r w:rsidR="00777DCB" w:rsidRPr="00A52585">
        <w:rPr>
          <w:rtl/>
        </w:rPr>
        <w:t xml:space="preserve"> وإنما ذكر الشرك في الآية رداً عليهم</w:t>
      </w:r>
      <w:r w:rsidR="00DB731D" w:rsidRPr="00A52585">
        <w:rPr>
          <w:rtl/>
        </w:rPr>
        <w:t>،</w:t>
      </w:r>
      <w:r w:rsidR="00777DCB" w:rsidRPr="00A52585">
        <w:rPr>
          <w:rtl/>
        </w:rPr>
        <w:t xml:space="preserve"> وفي معنى هذا الحديث قوله عليه الصلاة والسلام</w:t>
      </w:r>
      <w:r w:rsidRPr="00A52585">
        <w:rPr>
          <w:rtl/>
        </w:rPr>
        <w:t>:</w:t>
      </w:r>
      <w:r w:rsidR="00777DCB" w:rsidRPr="00A52585">
        <w:rPr>
          <w:rtl/>
        </w:rPr>
        <w:t xml:space="preserve"> (</w:t>
      </w:r>
      <w:r w:rsidRPr="00A52585">
        <w:rPr>
          <w:rtl/>
        </w:rPr>
        <w:t>(</w:t>
      </w:r>
      <w:r w:rsidR="00777DCB" w:rsidRPr="00A52585">
        <w:rPr>
          <w:rtl/>
        </w:rPr>
        <w:t>إِنَّ قُلُوبَ بَنيِ آَدَمَ بَيْنَ أُصْبُعَينِ مِنْ أَصَابِعِ الرَّحْمَنِ يُقَلِّبُهَا</w:t>
      </w:r>
      <w:r w:rsidRPr="00A52585">
        <w:rPr>
          <w:rtl/>
        </w:rPr>
        <w:t>)</w:t>
      </w:r>
      <w:r w:rsidR="00777DCB" w:rsidRPr="00A52585">
        <w:rPr>
          <w:rtl/>
        </w:rPr>
        <w:t xml:space="preserve">) </w:t>
      </w:r>
      <w:r w:rsidR="00777DCB" w:rsidRPr="00A52585">
        <w:rPr>
          <w:szCs w:val="24"/>
          <w:rtl/>
        </w:rPr>
        <w:t>[قال المحقق</w:t>
      </w:r>
      <w:r w:rsidRPr="00A52585">
        <w:rPr>
          <w:szCs w:val="24"/>
          <w:rtl/>
        </w:rPr>
        <w:t>:</w:t>
      </w:r>
      <w:r w:rsidR="00777DCB" w:rsidRPr="00A52585">
        <w:rPr>
          <w:szCs w:val="24"/>
          <w:rtl/>
        </w:rPr>
        <w:t xml:space="preserve"> </w:t>
      </w:r>
      <w:r w:rsidR="00777DCB" w:rsidRPr="00A52585">
        <w:rPr>
          <w:rFonts w:ascii="Traditional Arabic" w:hAnsi="Traditional Arabic"/>
          <w:szCs w:val="24"/>
          <w:rtl/>
        </w:rPr>
        <w:t>أخرجه مسلم في القدر، باب</w:t>
      </w:r>
      <w:r w:rsidRPr="00A52585">
        <w:rPr>
          <w:rFonts w:ascii="Traditional Arabic" w:hAnsi="Traditional Arabic"/>
          <w:szCs w:val="24"/>
          <w:rtl/>
        </w:rPr>
        <w:t>:</w:t>
      </w:r>
      <w:r w:rsidR="00777DCB" w:rsidRPr="00A52585">
        <w:rPr>
          <w:rFonts w:ascii="Traditional Arabic" w:hAnsi="Traditional Arabic"/>
          <w:szCs w:val="24"/>
          <w:rtl/>
        </w:rPr>
        <w:t xml:space="preserve"> تصريف الله تعالى القلوب كيف شاء والترمذي في القدر، باب ما جاء أن القلوب بين أصبعي الرحمن]</w:t>
      </w:r>
      <w:r w:rsidR="00777DCB" w:rsidRPr="00A52585">
        <w:rPr>
          <w:rtl/>
        </w:rPr>
        <w:t xml:space="preserve"> وفي ذلك إشارة إلى أن القلوب مقهورة لمقلبها </w:t>
      </w:r>
      <w:r w:rsidR="00777DCB" w:rsidRPr="00A52585">
        <w:rPr>
          <w:szCs w:val="24"/>
          <w:rtl/>
        </w:rPr>
        <w:t>[</w:t>
      </w:r>
      <w:r w:rsidR="00777DCB" w:rsidRPr="00A52585">
        <w:rPr>
          <w:rFonts w:ascii="Traditional Arabic" w:hAnsi="Traditional Arabic"/>
          <w:szCs w:val="24"/>
          <w:rtl/>
        </w:rPr>
        <w:t xml:space="preserve">ذكر شيخنا العلامة الدكتور/ إبراهيم عبد الرحمن في كتابه (المحكم والمتشابه) الأقوال </w:t>
      </w:r>
      <w:r w:rsidR="00777DCB" w:rsidRPr="00A52585">
        <w:rPr>
          <w:rFonts w:ascii="Traditional Arabic" w:hAnsi="Traditional Arabic"/>
          <w:spacing w:val="-2"/>
          <w:szCs w:val="24"/>
          <w:rtl/>
        </w:rPr>
        <w:t>المختلفة في شرح الحديث بهامش</w:t>
      </w:r>
      <w:r w:rsidR="00777DCB" w:rsidRPr="00A52585">
        <w:rPr>
          <w:rFonts w:ascii="Traditional Arabic" w:hAnsi="Traditional Arabic"/>
          <w:szCs w:val="24"/>
          <w:rtl/>
        </w:rPr>
        <w:t xml:space="preserve"> صفحات 628-631 وقال بأعلى الصفحة رداً على قول لابن تيمية "</w:t>
      </w:r>
      <w:r w:rsidRPr="00A52585">
        <w:rPr>
          <w:rFonts w:ascii="Traditional Arabic" w:hAnsi="Traditional Arabic"/>
          <w:szCs w:val="24"/>
          <w:rtl/>
        </w:rPr>
        <w:t xml:space="preserve"> </w:t>
      </w:r>
      <w:r w:rsidR="00777DCB" w:rsidRPr="00A52585">
        <w:rPr>
          <w:rFonts w:ascii="Traditional Arabic" w:hAnsi="Traditional Arabic"/>
          <w:szCs w:val="24"/>
          <w:rtl/>
        </w:rPr>
        <w:t>قلنا</w:t>
      </w:r>
      <w:r w:rsidRPr="00A52585">
        <w:rPr>
          <w:rFonts w:ascii="Traditional Arabic" w:hAnsi="Traditional Arabic"/>
          <w:szCs w:val="24"/>
          <w:rtl/>
        </w:rPr>
        <w:t>:</w:t>
      </w:r>
      <w:r w:rsidR="00777DCB" w:rsidRPr="00A52585">
        <w:rPr>
          <w:rFonts w:ascii="Traditional Arabic" w:hAnsi="Traditional Arabic"/>
          <w:szCs w:val="24"/>
          <w:rtl/>
        </w:rPr>
        <w:t xml:space="preserve"> بعد قولنا كذلك في لفظة الصفات بما تقدم وتسليم أن ضحكه صلى الله عليه وسلم عند سماع قول اليهودي كان تعجبا منه وتصديقا له، فمن أين أن ذلك التصديق كان لما تزعمون من الحقيقة حتى يدل على مدعاكم</w:t>
      </w:r>
      <w:r w:rsidR="00F95886" w:rsidRPr="00A52585">
        <w:rPr>
          <w:rFonts w:ascii="Traditional Arabic" w:hAnsi="Traditional Arabic"/>
          <w:szCs w:val="24"/>
          <w:rtl/>
        </w:rPr>
        <w:t>؟</w:t>
      </w:r>
      <w:r w:rsidR="00777DCB" w:rsidRPr="00A52585">
        <w:rPr>
          <w:rFonts w:ascii="Traditional Arabic" w:hAnsi="Traditional Arabic"/>
          <w:szCs w:val="24"/>
          <w:rtl/>
        </w:rPr>
        <w:t xml:space="preserve"> ولم لا يكون الأمر هو على نحو ما قاله صاحب </w:t>
      </w:r>
      <w:proofErr w:type="spellStart"/>
      <w:r w:rsidR="00777DCB" w:rsidRPr="00A52585">
        <w:rPr>
          <w:rFonts w:ascii="Traditional Arabic" w:hAnsi="Traditional Arabic"/>
          <w:szCs w:val="24"/>
          <w:rtl/>
        </w:rPr>
        <w:t>المفهم</w:t>
      </w:r>
      <w:proofErr w:type="spellEnd"/>
      <w:r w:rsidR="00777DCB" w:rsidRPr="00A52585">
        <w:rPr>
          <w:rFonts w:ascii="Traditional Arabic" w:hAnsi="Traditional Arabic"/>
          <w:szCs w:val="24"/>
          <w:rtl/>
        </w:rPr>
        <w:t xml:space="preserve"> رحمه الله من أنّا (لو سلمنا أن النبي صلى الله عليه وسلم صرح بتصديقه لم يكن ذلك تصديقاً له في المعنى، بل في اللفظ الذي نقله من كتابه عن نبيه ونقطع بأن ظاهره غير مراد) أي وإنما المراد هو ما نقول به من المجاز… " أهـ. وقال صاحب (الكشاف) في تفسير الآية الكريمة {والأرض جميعاً قبضته يوم القيامة والسماوات مطويات بيمينه}</w:t>
      </w:r>
      <w:r w:rsidRPr="00A52585">
        <w:rPr>
          <w:rFonts w:ascii="Traditional Arabic" w:hAnsi="Traditional Arabic"/>
          <w:szCs w:val="24"/>
          <w:rtl/>
        </w:rPr>
        <w:t>:</w:t>
      </w:r>
      <w:r w:rsidR="00777DCB" w:rsidRPr="00A52585">
        <w:rPr>
          <w:rFonts w:ascii="Traditional Arabic" w:hAnsi="Traditional Arabic"/>
          <w:szCs w:val="24"/>
          <w:rtl/>
        </w:rPr>
        <w:t xml:space="preserve"> "</w:t>
      </w:r>
      <w:r w:rsidRPr="00A52585">
        <w:rPr>
          <w:rFonts w:ascii="Traditional Arabic" w:hAnsi="Traditional Arabic"/>
          <w:szCs w:val="24"/>
          <w:rtl/>
        </w:rPr>
        <w:t xml:space="preserve"> </w:t>
      </w:r>
      <w:r w:rsidR="00777DCB" w:rsidRPr="00A52585">
        <w:rPr>
          <w:rFonts w:ascii="Traditional Arabic" w:hAnsi="Traditional Arabic"/>
          <w:szCs w:val="24"/>
          <w:rtl/>
        </w:rPr>
        <w:t>والغرض من هذا الكلام إذا أخذته كما هو بجملته ومجموعه تصوير عظمته والتوقيف على كنه جلاله لا غير، من غير ذهاب بالقبضة ولا باليمين إلى جهة حقيقة أو جهة مجاز</w:t>
      </w:r>
      <w:r w:rsidRPr="00A52585">
        <w:rPr>
          <w:rFonts w:ascii="Traditional Arabic" w:hAnsi="Traditional Arabic"/>
          <w:szCs w:val="24"/>
          <w:rtl/>
        </w:rPr>
        <w:t xml:space="preserve"> </w:t>
      </w:r>
      <w:r w:rsidR="00777DCB" w:rsidRPr="00A52585">
        <w:rPr>
          <w:rFonts w:ascii="Traditional Arabic" w:hAnsi="Traditional Arabic"/>
          <w:szCs w:val="24"/>
          <w:rtl/>
        </w:rPr>
        <w:t>" أي المجاز المرسل كما قاله ابن السبكي ثم ذكر الزمخشري حديث ابن مسعود السابق ذكره ثم قال</w:t>
      </w:r>
      <w:r w:rsidRPr="00A52585">
        <w:rPr>
          <w:rFonts w:ascii="Traditional Arabic" w:hAnsi="Traditional Arabic"/>
          <w:szCs w:val="24"/>
          <w:rtl/>
        </w:rPr>
        <w:t>:</w:t>
      </w:r>
      <w:r w:rsidR="00777DCB" w:rsidRPr="00A52585">
        <w:rPr>
          <w:rFonts w:ascii="Traditional Arabic" w:hAnsi="Traditional Arabic"/>
          <w:szCs w:val="24"/>
          <w:rtl/>
        </w:rPr>
        <w:t xml:space="preserve"> " وإنما ضحك أفصح العرب صلى الله عليه وسلم وتعجب لأنه لم يفهم منه إلا ما يفهمه علماء البيان من غير تصور إمساك ولا أصبع ولا هز ولا شيء من ذلك، ولكن فهمه وقع أول شيء وآخره على الزبدة والخلاصة التي هي الدلالة على القدرة وأن الأفعال العظام التي تتحير فيها الأفهام والأذهان ولا </w:t>
      </w:r>
      <w:proofErr w:type="spellStart"/>
      <w:r w:rsidR="00777DCB" w:rsidRPr="00A52585">
        <w:rPr>
          <w:rFonts w:ascii="Traditional Arabic" w:hAnsi="Traditional Arabic"/>
          <w:szCs w:val="24"/>
          <w:rtl/>
        </w:rPr>
        <w:t>تكتنهها</w:t>
      </w:r>
      <w:proofErr w:type="spellEnd"/>
      <w:r w:rsidR="00777DCB" w:rsidRPr="00A52585">
        <w:rPr>
          <w:rFonts w:ascii="Traditional Arabic" w:hAnsi="Traditional Arabic"/>
          <w:szCs w:val="24"/>
          <w:rtl/>
        </w:rPr>
        <w:t xml:space="preserve"> الأوهام هينة عليه هوانا لا يوصل السامع إلى الوقوف عليه إلا إجراء العبارة في مثل هذه الطريقة من التخييل ولا ترى باب في علم البيان أدق ولا أرق ولا ألطف من هذا الباب ولا أنفع وأعون على تعاطي تأويل المتشابهات من كلام الله تعالى في القرآن وسائر الكتب السماوية وكلام الأنبياء …الخ</w:t>
      </w:r>
      <w:r w:rsidRPr="00A52585">
        <w:rPr>
          <w:rFonts w:ascii="Traditional Arabic" w:hAnsi="Traditional Arabic"/>
          <w:szCs w:val="24"/>
          <w:rtl/>
        </w:rPr>
        <w:t xml:space="preserve"> </w:t>
      </w:r>
      <w:r w:rsidR="00777DCB" w:rsidRPr="00A52585">
        <w:rPr>
          <w:rFonts w:ascii="Traditional Arabic" w:hAnsi="Traditional Arabic"/>
          <w:szCs w:val="24"/>
          <w:rtl/>
        </w:rPr>
        <w:t>" نقل كلامه بطوله العلامة الدكتور/ إبراهيم عبد الرحمن مقراً له ثم قال</w:t>
      </w:r>
      <w:r w:rsidRPr="00A52585">
        <w:rPr>
          <w:rFonts w:ascii="Traditional Arabic" w:hAnsi="Traditional Arabic"/>
          <w:szCs w:val="24"/>
          <w:rtl/>
        </w:rPr>
        <w:t>:</w:t>
      </w:r>
      <w:r w:rsidR="00777DCB" w:rsidRPr="00A52585">
        <w:rPr>
          <w:rFonts w:ascii="Traditional Arabic" w:hAnsi="Traditional Arabic"/>
          <w:szCs w:val="24"/>
          <w:rtl/>
        </w:rPr>
        <w:t>" أما ما اختار – يشير إلى الزمخشري – فيعني به الاستعارة التمثيلية … الخ</w:t>
      </w:r>
      <w:r w:rsidRPr="00A52585">
        <w:rPr>
          <w:rFonts w:ascii="Traditional Arabic" w:hAnsi="Traditional Arabic"/>
          <w:szCs w:val="24"/>
          <w:rtl/>
        </w:rPr>
        <w:t xml:space="preserve"> </w:t>
      </w:r>
      <w:r w:rsidR="00777DCB" w:rsidRPr="00A52585">
        <w:rPr>
          <w:rFonts w:ascii="Traditional Arabic" w:hAnsi="Traditional Arabic"/>
          <w:szCs w:val="24"/>
          <w:rtl/>
        </w:rPr>
        <w:t xml:space="preserve">" </w:t>
      </w:r>
      <w:proofErr w:type="spell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ـ انظر المحكم والمتشابه (2 / 713-715) أقول</w:t>
      </w:r>
      <w:r w:rsidRPr="00A52585">
        <w:rPr>
          <w:rFonts w:ascii="Traditional Arabic" w:hAnsi="Traditional Arabic"/>
          <w:szCs w:val="24"/>
          <w:rtl/>
        </w:rPr>
        <w:t>:</w:t>
      </w:r>
      <w:r w:rsidR="00777DCB" w:rsidRPr="00A52585">
        <w:rPr>
          <w:rFonts w:ascii="Traditional Arabic" w:hAnsi="Traditional Arabic"/>
          <w:szCs w:val="24"/>
          <w:rtl/>
        </w:rPr>
        <w:t xml:space="preserve"> كل هذا يوضح أنه مع افتراض صحة فهم الراوي وأن ضحك رسول الله صلى الله عليه وسلم كان تصديقا فهو تصديق بقدرة الله وجلال عظمته فقط]</w:t>
      </w:r>
      <w:r w:rsidR="00DB731D" w:rsidRPr="00A52585">
        <w:rPr>
          <w:szCs w:val="24"/>
          <w:rtl/>
        </w:rPr>
        <w:t>،</w:t>
      </w:r>
      <w:r w:rsidR="00777DCB" w:rsidRPr="00A52585">
        <w:rPr>
          <w:rtl/>
        </w:rPr>
        <w:t xml:space="preserve"> وقال الخطابي</w:t>
      </w:r>
      <w:r w:rsidRPr="00A52585">
        <w:rPr>
          <w:rtl/>
        </w:rPr>
        <w:t>:</w:t>
      </w:r>
      <w:r w:rsidR="00777DCB" w:rsidRPr="00A52585">
        <w:rPr>
          <w:rtl/>
        </w:rPr>
        <w:t xml:space="preserve"> واليهود مشبهة</w:t>
      </w:r>
      <w:r w:rsidR="00DB731D" w:rsidRPr="00A52585">
        <w:rPr>
          <w:rtl/>
        </w:rPr>
        <w:t>،</w:t>
      </w:r>
      <w:r w:rsidR="00777DCB" w:rsidRPr="00A52585">
        <w:rPr>
          <w:rtl/>
        </w:rPr>
        <w:t xml:space="preserve"> ونزول الآية دليل على إنكار الرسول عليهم</w:t>
      </w:r>
      <w:r w:rsidR="00DB731D" w:rsidRPr="00A52585">
        <w:rPr>
          <w:rtl/>
        </w:rPr>
        <w:t>،</w:t>
      </w:r>
      <w:r w:rsidR="00777DCB" w:rsidRPr="00A52585">
        <w:rPr>
          <w:rtl/>
        </w:rPr>
        <w:t xml:space="preserve"> ولهذا ضحك عليه الصلاة والسلام على وجه الإنكار</w:t>
      </w:r>
      <w:r w:rsidR="00DB731D" w:rsidRPr="00A52585">
        <w:rPr>
          <w:rtl/>
        </w:rPr>
        <w:t>،</w:t>
      </w:r>
      <w:r w:rsidR="00777DCB" w:rsidRPr="00A52585">
        <w:rPr>
          <w:rtl/>
        </w:rPr>
        <w:t xml:space="preserve"> وليس معنى الأصابع معنى الجارحة لعدم ثبوته بل مطلق الاسم في ذلك على ما جاء به الكتاب من غير تكييف ولا تشبيه</w:t>
      </w:r>
      <w:r w:rsidR="00DB731D" w:rsidRPr="00A52585">
        <w:rPr>
          <w:rtl/>
        </w:rPr>
        <w:t>،</w:t>
      </w:r>
      <w:r w:rsidR="00777DCB" w:rsidRPr="00A52585">
        <w:rPr>
          <w:rtl/>
        </w:rPr>
        <w:t xml:space="preserve"> وقال غيره</w:t>
      </w:r>
      <w:r w:rsidRPr="00A52585">
        <w:rPr>
          <w:rtl/>
        </w:rPr>
        <w:t>:</w:t>
      </w:r>
      <w:r w:rsidR="00777DCB" w:rsidRPr="00A52585">
        <w:rPr>
          <w:rtl/>
        </w:rPr>
        <w:t xml:space="preserve"> من حمل الأصابع على الجارحة فقد رد على الله عز وجل في قوله تَعَالَىَ وأدخل نفسه في أهل الشرك لقوله تعالى</w:t>
      </w:r>
      <w:r w:rsidRPr="00A52585">
        <w:rPr>
          <w:rtl/>
        </w:rPr>
        <w:t>:</w:t>
      </w:r>
      <w:r w:rsidR="00777DCB" w:rsidRPr="00A52585">
        <w:rPr>
          <w:rtl/>
        </w:rPr>
        <w:t xml:space="preserve"> {سُبْحَانَهُ وَتَعَالَى عَمَّا يُشْرِكُونْ</w:t>
      </w:r>
      <w:r w:rsidRPr="00A52585">
        <w:rPr>
          <w:rFonts w:hint="cs"/>
          <w:vertAlign w:val="superscript"/>
          <w:rtl/>
        </w:rPr>
        <w:t>}</w:t>
      </w:r>
      <w:r w:rsidR="00777DCB" w:rsidRPr="00A52585">
        <w:rPr>
          <w:rtl/>
        </w:rPr>
        <w:t xml:space="preserve"> </w:t>
      </w:r>
      <w:r w:rsidRPr="00A52585">
        <w:rPr>
          <w:rtl/>
        </w:rPr>
        <w:lastRenderedPageBreak/>
        <w:t>[</w:t>
      </w:r>
      <w:r w:rsidR="00777DCB" w:rsidRPr="00A52585">
        <w:rPr>
          <w:rtl/>
        </w:rPr>
        <w:t>الزمر</w:t>
      </w:r>
      <w:r w:rsidRPr="00A52585">
        <w:rPr>
          <w:rtl/>
        </w:rPr>
        <w:t>:</w:t>
      </w:r>
      <w:r w:rsidR="00777DCB" w:rsidRPr="00A52585">
        <w:rPr>
          <w:rtl/>
        </w:rPr>
        <w:t xml:space="preserve"> 67</w:t>
      </w:r>
      <w:r w:rsidRPr="00A52585">
        <w:rPr>
          <w:rtl/>
        </w:rPr>
        <w:t>]</w:t>
      </w:r>
      <w:r w:rsidR="00DB731D" w:rsidRPr="00A52585">
        <w:rPr>
          <w:rtl/>
        </w:rPr>
        <w:t>،</w:t>
      </w:r>
      <w:r w:rsidR="00777DCB" w:rsidRPr="00A52585">
        <w:rPr>
          <w:rtl/>
        </w:rPr>
        <w:t xml:space="preserve"> </w:t>
      </w:r>
      <w:r w:rsidR="00777DCB" w:rsidRPr="00A52585">
        <w:rPr>
          <w:szCs w:val="24"/>
          <w:rtl/>
        </w:rPr>
        <w:t>[</w:t>
      </w:r>
      <w:r w:rsidR="00777DCB" w:rsidRPr="00A52585">
        <w:rPr>
          <w:rFonts w:ascii="Traditional Arabic" w:hAnsi="Traditional Arabic"/>
          <w:szCs w:val="24"/>
          <w:rtl/>
        </w:rPr>
        <w:t>وذلك لما رواه البيهقي في الأسماء والصفات بسنده قال</w:t>
      </w:r>
      <w:r w:rsidRPr="00A52585">
        <w:rPr>
          <w:rFonts w:ascii="Traditional Arabic" w:hAnsi="Traditional Arabic"/>
          <w:szCs w:val="24"/>
          <w:rtl/>
        </w:rPr>
        <w:t xml:space="preserve">: </w:t>
      </w:r>
      <w:r w:rsidR="00777DCB" w:rsidRPr="00A52585">
        <w:rPr>
          <w:rFonts w:ascii="Traditional Arabic" w:hAnsi="Traditional Arabic"/>
          <w:szCs w:val="24"/>
          <w:rtl/>
        </w:rPr>
        <w:t xml:space="preserve">"عن ابن عباس رضي الله عنهما قال (إن اليهود </w:t>
      </w:r>
      <w:proofErr w:type="spellStart"/>
      <w:r w:rsidR="00777DCB" w:rsidRPr="00A52585">
        <w:rPr>
          <w:rFonts w:ascii="Traditional Arabic" w:hAnsi="Traditional Arabic"/>
          <w:szCs w:val="24"/>
          <w:rtl/>
        </w:rPr>
        <w:t>والنصاري</w:t>
      </w:r>
      <w:proofErr w:type="spellEnd"/>
      <w:r w:rsidR="00777DCB" w:rsidRPr="00A52585">
        <w:rPr>
          <w:rFonts w:ascii="Traditional Arabic" w:hAnsi="Traditional Arabic"/>
          <w:szCs w:val="24"/>
          <w:rtl/>
        </w:rPr>
        <w:t xml:space="preserve"> وصفوا الرب عز وجل فأنزل الله عز وجل على نبيه صلى الله عليه وسلم</w:t>
      </w:r>
      <w:r w:rsidRPr="00A52585">
        <w:rPr>
          <w:rFonts w:ascii="Traditional Arabic" w:hAnsi="Traditional Arabic"/>
          <w:szCs w:val="24"/>
          <w:rtl/>
        </w:rPr>
        <w:t xml:space="preserve"> </w:t>
      </w:r>
      <w:r w:rsidR="00777DCB" w:rsidRPr="00A52585">
        <w:rPr>
          <w:rFonts w:ascii="Traditional Arabic" w:hAnsi="Traditional Arabic"/>
          <w:szCs w:val="24"/>
          <w:rtl/>
        </w:rPr>
        <w:t>"وما قدروا الله حق قدره"</w:t>
      </w:r>
      <w:r w:rsidRPr="00A52585">
        <w:rPr>
          <w:rFonts w:ascii="Traditional Arabic" w:hAnsi="Traditional Arabic"/>
          <w:szCs w:val="24"/>
          <w:rtl/>
        </w:rPr>
        <w:t xml:space="preserve"> </w:t>
      </w:r>
      <w:r w:rsidR="00777DCB" w:rsidRPr="00A52585">
        <w:rPr>
          <w:rFonts w:ascii="Traditional Arabic" w:hAnsi="Traditional Arabic"/>
          <w:szCs w:val="24"/>
          <w:rtl/>
        </w:rPr>
        <w:t>ثم بين للناس عظمته فقال {والأرض جميعاً قبضته يوم القيامة والسماوات مطويات بيمينه سبحانه وتعالى عما يشركون} فجعل وصفهم ذلك شركا) هذا الأثر عن ابن عباس إن صح يؤكد ما قاله أبو سليمان رحمه الله "</w:t>
      </w:r>
      <w:r w:rsidRPr="00A52585">
        <w:rPr>
          <w:rFonts w:ascii="Traditional Arabic" w:hAnsi="Traditional Arabic"/>
          <w:szCs w:val="24"/>
          <w:rtl/>
        </w:rPr>
        <w:t xml:space="preserve"> </w:t>
      </w:r>
      <w:proofErr w:type="spell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 xml:space="preserve">ـ ص 339 </w:t>
      </w:r>
      <w:r w:rsidRPr="00A52585">
        <w:rPr>
          <w:rFonts w:ascii="Traditional Arabic" w:hAnsi="Traditional Arabic"/>
          <w:szCs w:val="24"/>
          <w:rtl/>
        </w:rPr>
        <w:t>(</w:t>
      </w:r>
      <w:r w:rsidR="00777DCB" w:rsidRPr="00A52585">
        <w:rPr>
          <w:rFonts w:ascii="Traditional Arabic" w:hAnsi="Traditional Arabic"/>
          <w:szCs w:val="24"/>
          <w:rtl/>
        </w:rPr>
        <w:t>قلت</w:t>
      </w:r>
      <w:r w:rsidRPr="00A52585">
        <w:rPr>
          <w:rFonts w:ascii="Traditional Arabic" w:hAnsi="Traditional Arabic"/>
          <w:szCs w:val="24"/>
          <w:rtl/>
        </w:rPr>
        <w:t>):</w:t>
      </w:r>
      <w:r w:rsidR="00777DCB" w:rsidRPr="00A52585">
        <w:rPr>
          <w:rFonts w:ascii="Traditional Arabic" w:hAnsi="Traditional Arabic"/>
          <w:szCs w:val="24"/>
          <w:rtl/>
        </w:rPr>
        <w:t xml:space="preserve"> وإسناده حسن إن شاء الله كما يتبين من مراجعته </w:t>
      </w:r>
      <w:proofErr w:type="spellStart"/>
      <w:r w:rsidR="00777DCB" w:rsidRPr="00A52585">
        <w:rPr>
          <w:rFonts w:ascii="Traditional Arabic" w:hAnsi="Traditional Arabic"/>
          <w:szCs w:val="24"/>
          <w:rtl/>
        </w:rPr>
        <w:t>والمقصود.بوصفه</w:t>
      </w:r>
      <w:proofErr w:type="spellEnd"/>
      <w:r w:rsidR="00777DCB" w:rsidRPr="00A52585">
        <w:rPr>
          <w:rFonts w:ascii="Traditional Arabic" w:hAnsi="Traditional Arabic"/>
          <w:szCs w:val="24"/>
          <w:rtl/>
        </w:rPr>
        <w:t xml:space="preserve"> هو تخيله وتصوره كالمخلوقات المحسوسة لنا جسم ذو أبعاد وأجزاء كما هو ثابت في كتبهم المحرّفة وقد صح عن ابن عباس رضي الله عنهما في تفسير قوله تعالى</w:t>
      </w:r>
      <w:r w:rsidRPr="00A52585">
        <w:rPr>
          <w:rFonts w:ascii="Traditional Arabic" w:hAnsi="Traditional Arabic"/>
          <w:szCs w:val="24"/>
          <w:rtl/>
        </w:rPr>
        <w:t>:</w:t>
      </w:r>
      <w:r w:rsidR="00777DCB" w:rsidRPr="00A52585">
        <w:rPr>
          <w:rFonts w:ascii="Traditional Arabic" w:hAnsi="Traditional Arabic"/>
          <w:szCs w:val="24"/>
          <w:rtl/>
        </w:rPr>
        <w:t xml:space="preserve"> {وما يؤمن أكثرهم بالله إلا وهم مشركون} أنهم هم الذين شبهوا الله سبحانه وتعالى بخلقه، رواه الطبري عنه وسيأتي بعد</w:t>
      </w:r>
      <w:r w:rsidR="00DB731D" w:rsidRPr="00A52585">
        <w:rPr>
          <w:rFonts w:ascii="Traditional Arabic" w:hAnsi="Traditional Arabic"/>
          <w:szCs w:val="24"/>
          <w:rtl/>
        </w:rPr>
        <w:t>،</w:t>
      </w:r>
      <w:r w:rsidR="00777DCB" w:rsidRPr="00A52585">
        <w:rPr>
          <w:rFonts w:ascii="Traditional Arabic" w:hAnsi="Traditional Arabic"/>
          <w:szCs w:val="24"/>
          <w:rtl/>
        </w:rPr>
        <w:t xml:space="preserve"> يقول السيوطي في تفسير الآية </w:t>
      </w:r>
      <w:r w:rsidRPr="00A52585">
        <w:rPr>
          <w:rFonts w:ascii="Traditional Arabic" w:hAnsi="Traditional Arabic"/>
          <w:szCs w:val="24"/>
          <w:rtl/>
        </w:rPr>
        <w:t>{</w:t>
      </w:r>
      <w:r w:rsidR="00777DCB" w:rsidRPr="00A52585">
        <w:rPr>
          <w:rFonts w:ascii="Traditional Arabic" w:hAnsi="Traditional Arabic"/>
          <w:szCs w:val="24"/>
          <w:rtl/>
        </w:rPr>
        <w:t>وما قدروا الله حق قدره</w:t>
      </w:r>
      <w:r w:rsidRPr="00A52585">
        <w:rPr>
          <w:rFonts w:ascii="Traditional Arabic" w:hAnsi="Traditional Arabic"/>
          <w:szCs w:val="24"/>
          <w:rtl/>
        </w:rPr>
        <w:t>}</w:t>
      </w:r>
      <w:r w:rsidR="00777DCB" w:rsidRPr="00A52585">
        <w:rPr>
          <w:rFonts w:ascii="Traditional Arabic" w:hAnsi="Traditional Arabic"/>
          <w:szCs w:val="24"/>
          <w:rtl/>
        </w:rPr>
        <w:t xml:space="preserve"> الآية</w:t>
      </w:r>
      <w:r w:rsidRPr="00A52585">
        <w:rPr>
          <w:rFonts w:ascii="Traditional Arabic" w:hAnsi="Traditional Arabic"/>
          <w:szCs w:val="24"/>
          <w:rtl/>
        </w:rPr>
        <w:t xml:space="preserve"> </w:t>
      </w:r>
      <w:r w:rsidR="00777DCB" w:rsidRPr="00A52585">
        <w:rPr>
          <w:rFonts w:ascii="Traditional Arabic" w:hAnsi="Traditional Arabic"/>
          <w:szCs w:val="24"/>
          <w:rtl/>
        </w:rPr>
        <w:t>في تفسيره (الدر المنثور)</w:t>
      </w:r>
      <w:r w:rsidRPr="00A52585">
        <w:rPr>
          <w:rFonts w:ascii="Traditional Arabic" w:hAnsi="Traditional Arabic"/>
          <w:szCs w:val="24"/>
          <w:rtl/>
        </w:rPr>
        <w:t xml:space="preserve">: </w:t>
      </w:r>
      <w:r w:rsidR="00777DCB" w:rsidRPr="00A52585">
        <w:rPr>
          <w:rFonts w:ascii="Traditional Arabic" w:hAnsi="Traditional Arabic"/>
          <w:szCs w:val="24"/>
          <w:rtl/>
        </w:rPr>
        <w:t>" وأخرج ابن جرير وابن المنذر وابن أبي حاتم وأبو الشيخ في العظمة عن سعيد بن جبير قال</w:t>
      </w:r>
      <w:r w:rsidRPr="00A52585">
        <w:rPr>
          <w:rFonts w:ascii="Traditional Arabic" w:hAnsi="Traditional Arabic"/>
          <w:szCs w:val="24"/>
          <w:rtl/>
        </w:rPr>
        <w:t>:</w:t>
      </w:r>
      <w:r w:rsidR="00777DCB" w:rsidRPr="00A52585">
        <w:rPr>
          <w:rFonts w:ascii="Traditional Arabic" w:hAnsi="Traditional Arabic"/>
          <w:szCs w:val="24"/>
          <w:rtl/>
        </w:rPr>
        <w:t xml:space="preserve"> تكلمت اليهود في صفة الرب فقالوا ما لم يعلموه وما لم يروه فأنزل الله </w:t>
      </w:r>
      <w:r w:rsidRPr="00A52585">
        <w:rPr>
          <w:rFonts w:ascii="Traditional Arabic" w:hAnsi="Traditional Arabic"/>
          <w:szCs w:val="24"/>
          <w:rtl/>
        </w:rPr>
        <w:t>{</w:t>
      </w:r>
      <w:r w:rsidR="00777DCB" w:rsidRPr="00A52585">
        <w:rPr>
          <w:rFonts w:ascii="Traditional Arabic" w:hAnsi="Traditional Arabic"/>
          <w:szCs w:val="24"/>
          <w:rtl/>
        </w:rPr>
        <w:t>وما قدروا الله حق قدره</w:t>
      </w:r>
      <w:r w:rsidRPr="00A52585">
        <w:rPr>
          <w:rFonts w:ascii="Traditional Arabic" w:hAnsi="Traditional Arabic"/>
          <w:szCs w:val="24"/>
          <w:rtl/>
        </w:rPr>
        <w:t>}</w:t>
      </w:r>
      <w:r w:rsidR="00897A24" w:rsidRPr="00A52585">
        <w:rPr>
          <w:rFonts w:ascii="Traditional Arabic" w:hAnsi="Traditional Arabic"/>
          <w:szCs w:val="24"/>
          <w:rtl/>
        </w:rPr>
        <w:t>.</w:t>
      </w:r>
      <w:r w:rsidR="00777DCB" w:rsidRPr="00A52585">
        <w:rPr>
          <w:rFonts w:ascii="Traditional Arabic" w:hAnsi="Traditional Arabic"/>
          <w:szCs w:val="24"/>
          <w:rtl/>
        </w:rPr>
        <w:t xml:space="preserve"> وأخرج ابن أبي حاتم عن الحسن قال</w:t>
      </w:r>
      <w:r w:rsidRPr="00A52585">
        <w:rPr>
          <w:rFonts w:ascii="Traditional Arabic" w:hAnsi="Traditional Arabic"/>
          <w:szCs w:val="24"/>
          <w:rtl/>
        </w:rPr>
        <w:t>:</w:t>
      </w:r>
      <w:r w:rsidR="00777DCB" w:rsidRPr="00A52585">
        <w:rPr>
          <w:rFonts w:ascii="Traditional Arabic" w:hAnsi="Traditional Arabic"/>
          <w:szCs w:val="24"/>
          <w:rtl/>
        </w:rPr>
        <w:t xml:space="preserve"> اليهود نظروا في خلق السماوات والأرض والملائكة فلما زاغوا أخذوا يقدرونه فأنزل الله </w:t>
      </w:r>
      <w:r w:rsidRPr="00A52585">
        <w:rPr>
          <w:rFonts w:ascii="Traditional Arabic" w:hAnsi="Traditional Arabic"/>
          <w:szCs w:val="24"/>
          <w:rtl/>
        </w:rPr>
        <w:t>{</w:t>
      </w:r>
      <w:r w:rsidR="00777DCB" w:rsidRPr="00A52585">
        <w:rPr>
          <w:rFonts w:ascii="Traditional Arabic" w:hAnsi="Traditional Arabic"/>
          <w:szCs w:val="24"/>
          <w:rtl/>
        </w:rPr>
        <w:t>وما قدروا الله حق قدره</w:t>
      </w:r>
      <w:r w:rsidRPr="00A52585">
        <w:rPr>
          <w:rFonts w:ascii="Traditional Arabic" w:hAnsi="Traditional Arabic"/>
          <w:szCs w:val="24"/>
          <w:rtl/>
        </w:rPr>
        <w:t xml:space="preserve">} </w:t>
      </w:r>
      <w:r w:rsidR="00777DCB" w:rsidRPr="00A52585">
        <w:rPr>
          <w:rFonts w:ascii="Traditional Arabic" w:hAnsi="Traditional Arabic"/>
          <w:szCs w:val="24"/>
          <w:rtl/>
        </w:rPr>
        <w:t>"</w:t>
      </w:r>
      <w:r w:rsidRPr="00A52585">
        <w:rPr>
          <w:rFonts w:ascii="Traditional Arabic" w:hAnsi="Traditional Arabic"/>
          <w:szCs w:val="24"/>
          <w:rtl/>
        </w:rPr>
        <w:t xml:space="preserve"> </w:t>
      </w:r>
      <w:proofErr w:type="spellStart"/>
      <w:proofErr w:type="gramStart"/>
      <w:r w:rsidR="00777DCB" w:rsidRPr="00A52585">
        <w:rPr>
          <w:rFonts w:ascii="Traditional Arabic" w:hAnsi="Traditional Arabic"/>
          <w:szCs w:val="24"/>
          <w:rtl/>
        </w:rPr>
        <w:t>أ.ه</w:t>
      </w:r>
      <w:proofErr w:type="spellEnd"/>
      <w:r w:rsidR="00777DCB" w:rsidRPr="00A52585">
        <w:rPr>
          <w:rFonts w:ascii="Traditional Arabic" w:hAnsi="Traditional Arabic"/>
          <w:szCs w:val="24"/>
          <w:rtl/>
        </w:rPr>
        <w:t>ـ</w:t>
      </w:r>
      <w:proofErr w:type="gramEnd"/>
      <w:r w:rsidR="00DB731D" w:rsidRPr="00A52585">
        <w:rPr>
          <w:rFonts w:ascii="Traditional Arabic" w:hAnsi="Traditional Arabic"/>
          <w:szCs w:val="24"/>
          <w:rtl/>
        </w:rPr>
        <w:t>،</w:t>
      </w:r>
      <w:r w:rsidR="00777DCB" w:rsidRPr="00A52585">
        <w:rPr>
          <w:rFonts w:ascii="Traditional Arabic" w:hAnsi="Traditional Arabic"/>
          <w:szCs w:val="24"/>
          <w:rtl/>
        </w:rPr>
        <w:t xml:space="preserve"> وقد أخرج هذا الأثر أبو الشيخ في كتاب العظمة 1/360 بإسناد حسن وفي آخره</w:t>
      </w:r>
      <w:r w:rsidRPr="00A52585">
        <w:rPr>
          <w:rFonts w:ascii="Traditional Arabic" w:hAnsi="Traditional Arabic"/>
          <w:szCs w:val="24"/>
          <w:rtl/>
        </w:rPr>
        <w:t xml:space="preserve"> </w:t>
      </w:r>
      <w:r w:rsidR="00777DCB" w:rsidRPr="00A52585">
        <w:rPr>
          <w:rFonts w:ascii="Traditional Arabic" w:hAnsi="Traditional Arabic"/>
          <w:szCs w:val="24"/>
          <w:rtl/>
        </w:rPr>
        <w:t>"</w:t>
      </w:r>
      <w:r w:rsidRPr="00A52585">
        <w:rPr>
          <w:rFonts w:ascii="Traditional Arabic" w:hAnsi="Traditional Arabic"/>
          <w:szCs w:val="24"/>
          <w:rtl/>
        </w:rPr>
        <w:t xml:space="preserve"> </w:t>
      </w:r>
      <w:r w:rsidR="00777DCB" w:rsidRPr="00A52585">
        <w:rPr>
          <w:rFonts w:ascii="Traditional Arabic" w:hAnsi="Traditional Arabic"/>
          <w:szCs w:val="24"/>
          <w:rtl/>
        </w:rPr>
        <w:t>ثم بين عظمته للناس فقال</w:t>
      </w:r>
      <w:r w:rsidRPr="00A52585">
        <w:rPr>
          <w:rFonts w:ascii="Traditional Arabic" w:hAnsi="Traditional Arabic"/>
          <w:szCs w:val="24"/>
          <w:rtl/>
        </w:rPr>
        <w:t>:</w:t>
      </w:r>
      <w:r w:rsidR="00777DCB" w:rsidRPr="00A52585">
        <w:rPr>
          <w:rFonts w:ascii="Traditional Arabic" w:hAnsi="Traditional Arabic"/>
          <w:szCs w:val="24"/>
          <w:rtl/>
        </w:rPr>
        <w:t xml:space="preserve"> </w:t>
      </w:r>
      <w:r w:rsidRPr="00A52585">
        <w:rPr>
          <w:rFonts w:ascii="Traditional Arabic" w:hAnsi="Traditional Arabic"/>
          <w:szCs w:val="24"/>
          <w:rtl/>
        </w:rPr>
        <w:t>(</w:t>
      </w:r>
      <w:r w:rsidR="00777DCB" w:rsidRPr="00A52585">
        <w:rPr>
          <w:rFonts w:ascii="Traditional Arabic" w:hAnsi="Traditional Arabic"/>
          <w:szCs w:val="24"/>
          <w:rtl/>
        </w:rPr>
        <w:t xml:space="preserve">والأرض جميعاً </w:t>
      </w:r>
      <w:r w:rsidR="00777DCB" w:rsidRPr="00A52585">
        <w:rPr>
          <w:rFonts w:ascii="Traditional Arabic" w:hAnsi="Traditional Arabic"/>
          <w:szCs w:val="24"/>
        </w:rPr>
        <w:t>…</w:t>
      </w:r>
      <w:r w:rsidR="00777DCB" w:rsidRPr="00A52585">
        <w:rPr>
          <w:rFonts w:ascii="Traditional Arabic" w:hAnsi="Traditional Arabic"/>
          <w:szCs w:val="24"/>
          <w:rtl/>
        </w:rPr>
        <w:t xml:space="preserve"> الآية</w:t>
      </w:r>
      <w:r w:rsidRPr="00A52585">
        <w:rPr>
          <w:rFonts w:ascii="Traditional Arabic" w:hAnsi="Traditional Arabic"/>
          <w:szCs w:val="24"/>
          <w:rtl/>
        </w:rPr>
        <w:t>)</w:t>
      </w:r>
      <w:r w:rsidR="00777DCB" w:rsidRPr="00A52585">
        <w:rPr>
          <w:rFonts w:ascii="Traditional Arabic" w:hAnsi="Traditional Arabic"/>
          <w:szCs w:val="24"/>
          <w:rtl/>
        </w:rPr>
        <w:t xml:space="preserve"> فجعل صفتهم التي وصفوا الله تبارك وتعالى شركا. كتاب العظمة 1/360</w:t>
      </w:r>
      <w:r w:rsidRPr="00A52585">
        <w:rPr>
          <w:rFonts w:ascii="Traditional Arabic" w:hAnsi="Traditional Arabic"/>
          <w:szCs w:val="24"/>
          <w:rtl/>
        </w:rPr>
        <w:t>]</w:t>
      </w:r>
      <w:r w:rsidR="00DB731D" w:rsidRPr="00A52585">
        <w:rPr>
          <w:szCs w:val="24"/>
          <w:rtl/>
        </w:rPr>
        <w:t>،</w:t>
      </w:r>
      <w:r w:rsidRPr="00A52585">
        <w:rPr>
          <w:szCs w:val="24"/>
          <w:rtl/>
        </w:rPr>
        <w:t xml:space="preserve"> </w:t>
      </w:r>
      <w:r w:rsidR="00777DCB" w:rsidRPr="00A52585">
        <w:rPr>
          <w:rtl/>
        </w:rPr>
        <w:t xml:space="preserve">وهو عز وجل يذكر في كتابه المبين </w:t>
      </w:r>
      <w:proofErr w:type="spellStart"/>
      <w:r w:rsidR="00777DCB" w:rsidRPr="00A52585">
        <w:rPr>
          <w:rtl/>
        </w:rPr>
        <w:t>التحرس</w:t>
      </w:r>
      <w:proofErr w:type="spellEnd"/>
      <w:r w:rsidR="00777DCB" w:rsidRPr="00A52585">
        <w:rPr>
          <w:rtl/>
        </w:rPr>
        <w:t xml:space="preserve"> عما لا يليق به دفعاً ورداًّ لأعدائه</w:t>
      </w:r>
      <w:r w:rsidR="00DB731D" w:rsidRPr="00A52585">
        <w:rPr>
          <w:rtl/>
        </w:rPr>
        <w:t>،</w:t>
      </w:r>
      <w:r w:rsidR="00777DCB" w:rsidRPr="00A52585">
        <w:rPr>
          <w:rtl/>
        </w:rPr>
        <w:t xml:space="preserve"> كقوله تعالى</w:t>
      </w:r>
      <w:r w:rsidRPr="00A52585">
        <w:rPr>
          <w:rtl/>
        </w:rPr>
        <w:t>:</w:t>
      </w:r>
      <w:r w:rsidR="00777DCB" w:rsidRPr="00A52585">
        <w:rPr>
          <w:rtl/>
        </w:rPr>
        <w:t xml:space="preserve"> {وَقَالُوا اتَّخَذَ الله وَلَدَاً سُبْحَانَه} </w:t>
      </w:r>
      <w:r w:rsidRPr="00A52585">
        <w:rPr>
          <w:rtl/>
        </w:rPr>
        <w:t>[</w:t>
      </w:r>
      <w:r w:rsidR="00777DCB" w:rsidRPr="00A52585">
        <w:rPr>
          <w:rtl/>
        </w:rPr>
        <w:t>البقرة</w:t>
      </w:r>
      <w:r w:rsidRPr="00A52585">
        <w:rPr>
          <w:rtl/>
        </w:rPr>
        <w:t>:</w:t>
      </w:r>
      <w:r w:rsidR="00777DCB" w:rsidRPr="00A52585">
        <w:rPr>
          <w:rtl/>
        </w:rPr>
        <w:t xml:space="preserve"> 116</w:t>
      </w:r>
      <w:r w:rsidRPr="00A52585">
        <w:rPr>
          <w:rtl/>
        </w:rPr>
        <w:t>]</w:t>
      </w:r>
      <w:r w:rsidR="00DB731D" w:rsidRPr="00A52585">
        <w:rPr>
          <w:rtl/>
        </w:rPr>
        <w:t>،</w:t>
      </w:r>
      <w:r w:rsidR="00777DCB" w:rsidRPr="00A52585">
        <w:rPr>
          <w:rtl/>
        </w:rPr>
        <w:t xml:space="preserve"> وقال تعالى</w:t>
      </w:r>
      <w:r w:rsidRPr="00A52585">
        <w:rPr>
          <w:rtl/>
        </w:rPr>
        <w:t>:</w:t>
      </w:r>
      <w:r w:rsidR="00777DCB" w:rsidRPr="00A52585">
        <w:rPr>
          <w:rtl/>
        </w:rPr>
        <w:t xml:space="preserve"> {وَخَرَقَوُا لَهُ بَنِينَ وَبَناَتٍ بِغَيْرِ عِلْمٍ سُبْحَانَه} </w:t>
      </w:r>
      <w:r w:rsidRPr="00A52585">
        <w:rPr>
          <w:rtl/>
        </w:rPr>
        <w:t>[</w:t>
      </w:r>
      <w:r w:rsidR="00777DCB" w:rsidRPr="00A52585">
        <w:rPr>
          <w:rtl/>
        </w:rPr>
        <w:t>الأنعام</w:t>
      </w:r>
      <w:r w:rsidRPr="00A52585">
        <w:rPr>
          <w:rtl/>
        </w:rPr>
        <w:t>:</w:t>
      </w:r>
      <w:r w:rsidR="00777DCB" w:rsidRPr="00A52585">
        <w:rPr>
          <w:rtl/>
        </w:rPr>
        <w:t xml:space="preserve"> 100</w:t>
      </w:r>
      <w:r w:rsidRPr="00A52585">
        <w:rPr>
          <w:rtl/>
        </w:rPr>
        <w:t>]</w:t>
      </w:r>
      <w:r w:rsidR="00DB731D" w:rsidRPr="00A52585">
        <w:rPr>
          <w:rtl/>
        </w:rPr>
        <w:t>،</w:t>
      </w:r>
      <w:r w:rsidR="00777DCB" w:rsidRPr="00A52585">
        <w:rPr>
          <w:rtl/>
        </w:rPr>
        <w:t xml:space="preserve"> ونحو ذلك</w:t>
      </w:r>
      <w:r w:rsidR="00DB731D" w:rsidRPr="00A52585">
        <w:rPr>
          <w:rtl/>
        </w:rPr>
        <w:t>،</w:t>
      </w:r>
      <w:r w:rsidR="00777DCB" w:rsidRPr="00A52585">
        <w:rPr>
          <w:rtl/>
        </w:rPr>
        <w:t xml:space="preserve"> </w:t>
      </w:r>
      <w:proofErr w:type="spellStart"/>
      <w:r w:rsidR="00777DCB" w:rsidRPr="00A52585">
        <w:rPr>
          <w:rtl/>
        </w:rPr>
        <w:t>وآكد</w:t>
      </w:r>
      <w:proofErr w:type="spellEnd"/>
      <w:r w:rsidR="00777DCB" w:rsidRPr="00A52585">
        <w:rPr>
          <w:rtl/>
        </w:rPr>
        <w:t xml:space="preserve"> من ذلك قوله</w:t>
      </w:r>
      <w:r w:rsidRPr="00A52585">
        <w:rPr>
          <w:rtl/>
        </w:rPr>
        <w:t>:</w:t>
      </w:r>
      <w:r w:rsidR="00777DCB" w:rsidRPr="00A52585">
        <w:rPr>
          <w:rtl/>
        </w:rPr>
        <w:t xml:space="preserve"> {وأنه تَعَالَى جَدُّ رَبِّنَا مَا تَّخَذَ صَاحِبَةً وَلا وَلَدَا}</w:t>
      </w:r>
      <w:r w:rsidR="00777DCB" w:rsidRPr="00A52585">
        <w:rPr>
          <w:vertAlign w:val="superscript"/>
          <w:rtl/>
        </w:rPr>
        <w:t xml:space="preserve"> </w:t>
      </w:r>
      <w:r w:rsidRPr="00A52585">
        <w:rPr>
          <w:rtl/>
        </w:rPr>
        <w:t>[</w:t>
      </w:r>
      <w:r w:rsidR="00777DCB" w:rsidRPr="00A52585">
        <w:rPr>
          <w:rtl/>
        </w:rPr>
        <w:t>الجن</w:t>
      </w:r>
      <w:r w:rsidRPr="00A52585">
        <w:rPr>
          <w:rtl/>
        </w:rPr>
        <w:t>:</w:t>
      </w:r>
      <w:r w:rsidR="00777DCB" w:rsidRPr="00A52585">
        <w:rPr>
          <w:rtl/>
        </w:rPr>
        <w:t xml:space="preserve"> 3</w:t>
      </w:r>
      <w:r w:rsidRPr="00A52585">
        <w:rPr>
          <w:rtl/>
        </w:rPr>
        <w:t>]</w:t>
      </w:r>
      <w:r w:rsidR="00DB731D" w:rsidRPr="00A52585">
        <w:rPr>
          <w:rtl/>
        </w:rPr>
        <w:t>،</w:t>
      </w:r>
      <w:r w:rsidR="00777DCB" w:rsidRPr="00A52585">
        <w:rPr>
          <w:rtl/>
        </w:rPr>
        <w:t xml:space="preserve"> قدم تنـزيهه عز وجل أولا في هذه الآية والقرآن طافح بذلك</w:t>
      </w:r>
      <w:r w:rsidR="00DB731D" w:rsidRPr="00A52585">
        <w:rPr>
          <w:rtl/>
        </w:rPr>
        <w:t>،</w:t>
      </w:r>
      <w:r w:rsidR="00777DCB" w:rsidRPr="00A52585">
        <w:rPr>
          <w:rtl/>
        </w:rPr>
        <w:t xml:space="preserve"> </w:t>
      </w:r>
    </w:p>
    <w:p w14:paraId="2A94D8CA" w14:textId="7CC701B9" w:rsidR="00777DCB" w:rsidRPr="00A52585" w:rsidRDefault="0002035C" w:rsidP="0002035C">
      <w:pPr>
        <w:spacing w:after="240"/>
        <w:rPr>
          <w:b/>
          <w:rtl/>
        </w:rPr>
      </w:pPr>
      <w:r w:rsidRPr="00A52585">
        <w:rPr>
          <w:rFonts w:hint="cs"/>
          <w:bCs/>
          <w:rtl/>
        </w:rPr>
        <w:t>[</w:t>
      </w:r>
      <w:r w:rsidR="00777DCB" w:rsidRPr="00A52585">
        <w:rPr>
          <w:rFonts w:hint="cs"/>
          <w:bCs/>
          <w:rtl/>
        </w:rPr>
        <w:t>ز</w:t>
      </w:r>
      <w:r w:rsidRPr="00A52585">
        <w:rPr>
          <w:rFonts w:hint="cs"/>
          <w:bCs/>
          <w:rtl/>
        </w:rPr>
        <w:t>:</w:t>
      </w:r>
      <w:r w:rsidR="00777DCB" w:rsidRPr="00A52585">
        <w:rPr>
          <w:rFonts w:hint="cs"/>
          <w:bCs/>
          <w:rtl/>
        </w:rPr>
        <w:t xml:space="preserve"> حديث </w:t>
      </w:r>
      <w:proofErr w:type="spellStart"/>
      <w:r w:rsidR="00777DCB" w:rsidRPr="00A52585">
        <w:rPr>
          <w:rFonts w:hint="cs"/>
          <w:bCs/>
          <w:rtl/>
        </w:rPr>
        <w:t>العندية</w:t>
      </w:r>
      <w:proofErr w:type="spellEnd"/>
      <w:r w:rsidRPr="00A52585">
        <w:rPr>
          <w:rFonts w:hint="cs"/>
          <w:bCs/>
          <w:rtl/>
        </w:rPr>
        <w:t>]:</w:t>
      </w:r>
      <w:r w:rsidR="00777DCB" w:rsidRPr="00A52585">
        <w:rPr>
          <w:rFonts w:hint="cs"/>
          <w:bCs/>
          <w:rtl/>
        </w:rPr>
        <w:t xml:space="preserve"> </w:t>
      </w:r>
      <w:r w:rsidR="00777DCB" w:rsidRPr="00A52585">
        <w:rPr>
          <w:rFonts w:hint="cs"/>
          <w:rtl/>
        </w:rPr>
        <w:t>ومنها ما رواه الشيخان من حديث أبي هريرة رضي الله عنه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لما قضى الله الخلق كتب في كتاب فهو عنده فوق العرش</w:t>
      </w:r>
      <w:r w:rsidRPr="00A52585">
        <w:rPr>
          <w:rFonts w:hint="cs"/>
          <w:rtl/>
        </w:rPr>
        <w:t>:</w:t>
      </w:r>
      <w:r w:rsidR="00777DCB" w:rsidRPr="00A52585">
        <w:rPr>
          <w:rFonts w:hint="cs"/>
          <w:rtl/>
        </w:rPr>
        <w:t xml:space="preserve"> إن رحمتي غلبت غضبي</w:t>
      </w:r>
      <w:r w:rsidRPr="00A52585">
        <w:rPr>
          <w:rFonts w:hint="cs"/>
          <w:rtl/>
        </w:rPr>
        <w:t>)</w:t>
      </w:r>
      <w:r w:rsidR="00777DCB" w:rsidRPr="00A52585">
        <w:rPr>
          <w:rFonts w:hint="cs"/>
          <w:rtl/>
        </w:rPr>
        <w:t>) وفي لفظ</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سبقت</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كتاب (بدء الخلق) باب</w:t>
      </w:r>
      <w:r w:rsidRPr="00A52585">
        <w:rPr>
          <w:rFonts w:hint="cs"/>
          <w:sz w:val="24"/>
          <w:szCs w:val="24"/>
          <w:rtl/>
        </w:rPr>
        <w:t>:</w:t>
      </w:r>
      <w:r w:rsidR="00777DCB" w:rsidRPr="00A52585">
        <w:rPr>
          <w:rFonts w:hint="cs"/>
          <w:sz w:val="24"/>
          <w:szCs w:val="24"/>
          <w:rtl/>
        </w:rPr>
        <w:t xml:space="preserve"> ما جاء في قول الله تعالى {وهو الذي يبدأ الخلق ثم يعيده</w:t>
      </w:r>
      <w:r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ومسلم في كتاب (التوبة) باب</w:t>
      </w:r>
      <w:r w:rsidRPr="00A52585">
        <w:rPr>
          <w:rFonts w:hint="cs"/>
          <w:sz w:val="24"/>
          <w:szCs w:val="24"/>
          <w:rtl/>
        </w:rPr>
        <w:t>:</w:t>
      </w:r>
      <w:r w:rsidR="00777DCB" w:rsidRPr="00A52585">
        <w:rPr>
          <w:rFonts w:hint="cs"/>
          <w:sz w:val="24"/>
          <w:szCs w:val="24"/>
          <w:rtl/>
        </w:rPr>
        <w:t xml:space="preserve"> في سعة رحمة الله تعالى وأنها سبقت غضبه. والنسائي في السنن الكبرى في كتاب (النعوت)</w:t>
      </w:r>
      <w:r w:rsidRPr="00A52585">
        <w:rPr>
          <w:rFonts w:hint="cs"/>
          <w:sz w:val="24"/>
          <w:szCs w:val="24"/>
          <w:rtl/>
        </w:rPr>
        <w:t>]</w:t>
      </w:r>
      <w:r w:rsidR="00777DCB" w:rsidRPr="00A52585">
        <w:rPr>
          <w:rFonts w:hint="cs"/>
          <w:sz w:val="24"/>
          <w:szCs w:val="24"/>
          <w:rtl/>
        </w:rPr>
        <w:t>،</w:t>
      </w:r>
      <w:r w:rsidR="00777DCB" w:rsidRPr="00A52585">
        <w:rPr>
          <w:rFonts w:hint="cs"/>
          <w:rtl/>
        </w:rPr>
        <w:t xml:space="preserve"> قال القاضي المُشَبِّه تلميذ ابن حامد</w:t>
      </w:r>
      <w:r w:rsidRPr="00A52585">
        <w:rPr>
          <w:rFonts w:hint="cs"/>
          <w:rtl/>
        </w:rPr>
        <w:t>:</w:t>
      </w:r>
      <w:r w:rsidR="00777DCB" w:rsidRPr="00A52585">
        <w:rPr>
          <w:rFonts w:hint="cs"/>
          <w:rtl/>
        </w:rPr>
        <w:t xml:space="preserve"> ظاهر قوله (</w:t>
      </w:r>
      <w:r w:rsidRPr="00A52585">
        <w:rPr>
          <w:rFonts w:hint="cs"/>
          <w:rtl/>
        </w:rPr>
        <w:t>(</w:t>
      </w:r>
      <w:r w:rsidR="00777DCB" w:rsidRPr="00A52585">
        <w:rPr>
          <w:rFonts w:hint="cs"/>
          <w:rtl/>
        </w:rPr>
        <w:t>عنده</w:t>
      </w:r>
      <w:r w:rsidRPr="00A52585">
        <w:rPr>
          <w:rFonts w:hint="cs"/>
          <w:rtl/>
        </w:rPr>
        <w:t>)</w:t>
      </w:r>
      <w:r w:rsidR="00777DCB" w:rsidRPr="00A52585">
        <w:rPr>
          <w:rFonts w:hint="cs"/>
          <w:rtl/>
        </w:rPr>
        <w:t>) القرب من الذات</w:t>
      </w:r>
      <w:r w:rsidR="00DB731D" w:rsidRPr="00A52585">
        <w:rPr>
          <w:rFonts w:hint="cs"/>
          <w:rtl/>
        </w:rPr>
        <w:t>،</w:t>
      </w:r>
      <w:r w:rsidR="00777DCB" w:rsidRPr="00A52585">
        <w:rPr>
          <w:rFonts w:hint="cs"/>
          <w:rtl/>
        </w:rPr>
        <w:t xml:space="preserve"> وما قاله يستدعي القرب بالمساحة</w:t>
      </w:r>
      <w:r w:rsidR="00DB731D" w:rsidRPr="00A52585">
        <w:rPr>
          <w:rFonts w:hint="cs"/>
          <w:rtl/>
        </w:rPr>
        <w:t>،</w:t>
      </w:r>
      <w:r w:rsidR="00777DCB" w:rsidRPr="00A52585">
        <w:rPr>
          <w:rFonts w:hint="cs"/>
          <w:rtl/>
        </w:rPr>
        <w:t xml:space="preserve"> وذلك من صفات الأجسام</w:t>
      </w:r>
      <w:r w:rsidR="00DB731D" w:rsidRPr="00A52585">
        <w:rPr>
          <w:rFonts w:hint="cs"/>
          <w:rtl/>
        </w:rPr>
        <w:t>،</w:t>
      </w:r>
      <w:r w:rsidR="00777DCB" w:rsidRPr="00A52585">
        <w:rPr>
          <w:rFonts w:hint="cs"/>
          <w:rtl/>
        </w:rPr>
        <w:t xml:space="preserve"> وقد عمي عن قوله تعالى</w:t>
      </w:r>
      <w:r w:rsidRPr="00A52585">
        <w:rPr>
          <w:rFonts w:hint="cs"/>
          <w:rtl/>
        </w:rPr>
        <w:t>:</w:t>
      </w:r>
      <w:r w:rsidR="00777DCB" w:rsidRPr="00A52585">
        <w:rPr>
          <w:rFonts w:hint="cs"/>
          <w:rtl/>
        </w:rPr>
        <w:t xml:space="preserve"> {مُسَوَّمْةً عِنْدَ رَبِّكَ} </w:t>
      </w:r>
      <w:r w:rsidRPr="00A52585">
        <w:rPr>
          <w:rFonts w:hint="cs"/>
          <w:rtl/>
        </w:rPr>
        <w:t>[</w:t>
      </w:r>
      <w:r w:rsidR="00777DCB" w:rsidRPr="00A52585">
        <w:rPr>
          <w:rFonts w:hint="cs"/>
          <w:rtl/>
        </w:rPr>
        <w:t>هود</w:t>
      </w:r>
      <w:r w:rsidRPr="00A52585">
        <w:rPr>
          <w:rFonts w:hint="cs"/>
          <w:rtl/>
        </w:rPr>
        <w:t>:</w:t>
      </w:r>
      <w:r w:rsidR="00777DCB" w:rsidRPr="00A52585">
        <w:rPr>
          <w:rFonts w:hint="cs"/>
          <w:rtl/>
        </w:rPr>
        <w:t xml:space="preserve"> 83</w:t>
      </w:r>
      <w:r w:rsidRPr="00A52585">
        <w:rPr>
          <w:rFonts w:hint="cs"/>
          <w:rtl/>
        </w:rPr>
        <w:t>]</w:t>
      </w:r>
      <w:r w:rsidR="00DB731D" w:rsidRPr="00A52585">
        <w:rPr>
          <w:rFonts w:hint="cs"/>
          <w:rtl/>
        </w:rPr>
        <w:t>،</w:t>
      </w:r>
      <w:r w:rsidR="00777DCB" w:rsidRPr="00A52585">
        <w:rPr>
          <w:rFonts w:hint="cs"/>
          <w:rtl/>
        </w:rPr>
        <w:t xml:space="preserve"> ومن المعلوم أنك تقول</w:t>
      </w:r>
      <w:r w:rsidRPr="00A52585">
        <w:rPr>
          <w:rFonts w:hint="cs"/>
          <w:rtl/>
        </w:rPr>
        <w:t>:</w:t>
      </w:r>
      <w:r w:rsidR="00777DCB" w:rsidRPr="00A52585">
        <w:rPr>
          <w:rFonts w:hint="cs"/>
          <w:rtl/>
        </w:rPr>
        <w:t xml:space="preserve"> عندي فوق الغرفة كتاب كذا. وهو في موضع شاسع نازل عن الغرفة بمسافة بعيدة</w:t>
      </w:r>
      <w:r w:rsidR="00DB731D" w:rsidRPr="00A52585">
        <w:rPr>
          <w:rFonts w:hint="cs"/>
          <w:rtl/>
        </w:rPr>
        <w:t>،</w:t>
      </w:r>
      <w:r w:rsidR="00777DCB" w:rsidRPr="00A52585">
        <w:rPr>
          <w:rFonts w:hint="cs"/>
          <w:rtl/>
        </w:rPr>
        <w:t xml:space="preserve"> ثم إن هذا القاضي روى عن الشعبي أنه قال أن الله قد ملأ العرش حتى أن له أطيط كأطيط الرحل</w:t>
      </w:r>
      <w:r w:rsidR="00DB731D" w:rsidRPr="00A52585">
        <w:rPr>
          <w:rFonts w:hint="cs"/>
          <w:rtl/>
        </w:rPr>
        <w:t>،</w:t>
      </w:r>
      <w:r w:rsidR="00777DCB" w:rsidRPr="00A52585">
        <w:rPr>
          <w:rFonts w:hint="cs"/>
          <w:rtl/>
        </w:rPr>
        <w:t xml:space="preserve"> وهو كذب على الشعبي</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ثم استوى على العرش</w:t>
      </w:r>
      <w:r w:rsidR="00DB731D" w:rsidRPr="00A52585">
        <w:rPr>
          <w:rFonts w:hint="cs"/>
          <w:rtl/>
        </w:rPr>
        <w:t>،</w:t>
      </w:r>
      <w:r w:rsidR="00777DCB" w:rsidRPr="00A52585">
        <w:rPr>
          <w:rFonts w:hint="cs"/>
          <w:rtl/>
        </w:rPr>
        <w:t xml:space="preserve"> قعد عليه وقال ابن </w:t>
      </w:r>
      <w:proofErr w:type="spellStart"/>
      <w:r w:rsidR="00777DCB" w:rsidRPr="00A52585">
        <w:rPr>
          <w:rFonts w:hint="cs"/>
          <w:rtl/>
        </w:rPr>
        <w:t>الزاغوني</w:t>
      </w:r>
      <w:proofErr w:type="spellEnd"/>
      <w:r w:rsidRPr="00A52585">
        <w:rPr>
          <w:rFonts w:hint="cs"/>
          <w:rtl/>
        </w:rPr>
        <w:t>:</w:t>
      </w:r>
      <w:r w:rsidR="00777DCB" w:rsidRPr="00A52585">
        <w:rPr>
          <w:rFonts w:hint="cs"/>
          <w:rtl/>
        </w:rPr>
        <w:t xml:space="preserve"> خرج عن الاستواء أربع أصابع</w:t>
      </w:r>
      <w:r w:rsidR="00DB731D" w:rsidRPr="00A52585">
        <w:rPr>
          <w:rFonts w:hint="cs"/>
          <w:rtl/>
        </w:rPr>
        <w:t>،</w:t>
      </w:r>
      <w:r w:rsidR="00777DCB" w:rsidRPr="00A52585">
        <w:rPr>
          <w:rFonts w:hint="cs"/>
          <w:rtl/>
        </w:rPr>
        <w:t xml:space="preserve"> ولهم ولأتباعهم مثل ذلك خبائث كلها صريحة في التشبيه والتجسيم لاسيما في مسألة الاستواء</w:t>
      </w:r>
      <w:r w:rsidR="00DB731D" w:rsidRPr="00A52585">
        <w:rPr>
          <w:rFonts w:hint="cs"/>
          <w:rtl/>
        </w:rPr>
        <w:t>،</w:t>
      </w:r>
      <w:r w:rsidR="00777DCB" w:rsidRPr="00A52585">
        <w:rPr>
          <w:rFonts w:hint="cs"/>
          <w:rtl/>
        </w:rPr>
        <w:t xml:space="preserve"> وهو سبحانه مُنَزَّه عما لا يليق به صفات الحدث</w:t>
      </w:r>
      <w:r w:rsidR="00DB731D" w:rsidRPr="00A52585">
        <w:rPr>
          <w:rFonts w:hint="cs"/>
          <w:rtl/>
        </w:rPr>
        <w:t>،</w:t>
      </w:r>
      <w:r w:rsidR="00777DCB" w:rsidRPr="00A52585">
        <w:rPr>
          <w:rFonts w:hint="cs"/>
          <w:rtl/>
        </w:rPr>
        <w:t xml:space="preserve"> ثم إن هؤلاء الجمادات وأعالي الجهلة يلزمهم أن يقولوا في الحديث الذي رواه مسلم وغيره مما لم يمكن القول به من أجهل الناس</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ولا يزال عبدي يتقرب إليَّ بالنوافل حتى</w:t>
      </w:r>
      <w:r w:rsidR="00777DCB" w:rsidRPr="00A52585">
        <w:rPr>
          <w:rFonts w:hint="cs"/>
          <w:spacing w:val="-6"/>
          <w:rtl/>
        </w:rPr>
        <w:t xml:space="preserve"> أحبه فإذا أحببته كنت سمعه الذي يسمع </w:t>
      </w:r>
      <w:r w:rsidR="00777DCB" w:rsidRPr="00A52585">
        <w:rPr>
          <w:rFonts w:hint="cs"/>
          <w:spacing w:val="-6"/>
          <w:rtl/>
        </w:rPr>
        <w:lastRenderedPageBreak/>
        <w:t>به وبصره الذي يبصر به ويده</w:t>
      </w:r>
      <w:r w:rsidR="00777DCB" w:rsidRPr="00A52585">
        <w:rPr>
          <w:rFonts w:hint="cs"/>
          <w:rtl/>
        </w:rPr>
        <w:t xml:space="preserve"> التي يبطش بها ورجله التي يمشي بها… إلى آخره</w:t>
      </w:r>
      <w:r w:rsidRPr="00A52585">
        <w:rPr>
          <w:rFonts w:hint="cs"/>
          <w:rtl/>
        </w:rPr>
        <w:t>)</w:t>
      </w:r>
      <w:r w:rsidR="00777DCB" w:rsidRPr="00A52585">
        <w:rPr>
          <w:rFonts w:hint="cs"/>
          <w:rtl/>
        </w:rPr>
        <w:t>)</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جزء من حديث قدسي رواه أبو هريرة أن رسول الله صلى الله عليه وسلم قال</w:t>
      </w:r>
      <w:r w:rsidRPr="00A52585">
        <w:rPr>
          <w:rFonts w:hint="cs"/>
          <w:sz w:val="24"/>
          <w:szCs w:val="24"/>
          <w:rtl/>
        </w:rPr>
        <w:t xml:space="preserve">: </w:t>
      </w:r>
      <w:r w:rsidR="00777DCB" w:rsidRPr="00A52585">
        <w:rPr>
          <w:rFonts w:hint="cs"/>
          <w:sz w:val="24"/>
          <w:szCs w:val="24"/>
          <w:rtl/>
        </w:rPr>
        <w:t>" قال الله تعالى</w:t>
      </w:r>
      <w:r w:rsidRPr="00A52585">
        <w:rPr>
          <w:rFonts w:hint="cs"/>
          <w:sz w:val="24"/>
          <w:szCs w:val="24"/>
          <w:rtl/>
        </w:rPr>
        <w:t>:</w:t>
      </w:r>
      <w:r w:rsidR="00777DCB" w:rsidRPr="00A52585">
        <w:rPr>
          <w:rFonts w:hint="cs"/>
          <w:sz w:val="24"/>
          <w:szCs w:val="24"/>
          <w:rtl/>
        </w:rPr>
        <w:t xml:space="preserve"> من عادي لي وليا فقد آذنته بالحرب وما تقرب إلىّ عبدي بشيء أحب إلى مما افترضت عليه ولا يزال عبدي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الحديث. أخرجه البخاري في كتاب الرقاق باب التواضع</w:t>
      </w:r>
      <w:r w:rsidRPr="00A52585">
        <w:rPr>
          <w:rFonts w:hint="cs"/>
          <w:sz w:val="24"/>
          <w:szCs w:val="24"/>
          <w:rtl/>
        </w:rPr>
        <w:t>]</w:t>
      </w:r>
      <w:r w:rsidR="00777DCB" w:rsidRPr="00A52585">
        <w:rPr>
          <w:rFonts w:hint="cs"/>
          <w:rtl/>
        </w:rPr>
        <w:t xml:space="preserve"> وبالضرورة لا يكون سبحانه جارحة لعبده ومع هذا يلزم التعدد بحسب المتقربين</w:t>
      </w:r>
      <w:r w:rsidR="00DB731D" w:rsidRPr="00A52585">
        <w:rPr>
          <w:rFonts w:hint="cs"/>
          <w:rtl/>
        </w:rPr>
        <w:t>،</w:t>
      </w:r>
      <w:r w:rsidR="00777DCB" w:rsidRPr="00A52585">
        <w:rPr>
          <w:rFonts w:hint="cs"/>
          <w:rtl/>
        </w:rPr>
        <w:t xml:space="preserve"> والتجزئة </w:t>
      </w:r>
      <w:r w:rsidR="00777DCB" w:rsidRPr="00A52585">
        <w:rPr>
          <w:rFonts w:hint="cs"/>
          <w:spacing w:val="-6"/>
          <w:rtl/>
        </w:rPr>
        <w:t>والتفرقة وغير ذلك مما لا يقوله حمار بل ولا جماد تعالى الله وتقدس عن ذلك</w:t>
      </w:r>
      <w:r w:rsidR="00DB731D" w:rsidRPr="00A52585">
        <w:rPr>
          <w:rFonts w:hint="cs"/>
          <w:spacing w:val="-6"/>
          <w:rtl/>
        </w:rPr>
        <w:t>،</w:t>
      </w:r>
      <w:r w:rsidR="00777DCB" w:rsidRPr="00A52585">
        <w:rPr>
          <w:rFonts w:hint="cs"/>
          <w:spacing w:val="-6"/>
          <w:rtl/>
        </w:rPr>
        <w:t xml:space="preserve"> </w:t>
      </w:r>
      <w:r w:rsidR="00777DCB" w:rsidRPr="00A52585">
        <w:rPr>
          <w:rFonts w:hint="cs"/>
          <w:rtl/>
        </w:rPr>
        <w:t>قال ابن الجوزي</w:t>
      </w:r>
      <w:r w:rsidRPr="00A52585">
        <w:rPr>
          <w:rFonts w:hint="cs"/>
          <w:rtl/>
        </w:rPr>
        <w:t>:</w:t>
      </w:r>
      <w:r w:rsidR="00777DCB" w:rsidRPr="00A52585">
        <w:rPr>
          <w:rFonts w:hint="cs"/>
          <w:rtl/>
        </w:rPr>
        <w:t xml:space="preserve"> وهؤلاء وأتباعهم</w:t>
      </w:r>
      <w:r w:rsidRPr="00A52585">
        <w:rPr>
          <w:rFonts w:hint="cs"/>
          <w:rtl/>
        </w:rPr>
        <w:t xml:space="preserve"> </w:t>
      </w:r>
      <w:r w:rsidR="00777DCB" w:rsidRPr="00A52585">
        <w:rPr>
          <w:rFonts w:hint="cs"/>
          <w:rtl/>
        </w:rPr>
        <w:t>جهلوا بمعرفة ما يجوز على الله وما يستحيل عليه</w:t>
      </w:r>
      <w:r w:rsidR="00DB731D" w:rsidRPr="00A52585">
        <w:rPr>
          <w:rFonts w:hint="cs"/>
          <w:rtl/>
        </w:rPr>
        <w:t>،</w:t>
      </w:r>
      <w:r w:rsidR="00777DCB" w:rsidRPr="00A52585">
        <w:rPr>
          <w:rFonts w:hint="cs"/>
          <w:rtl/>
        </w:rPr>
        <w:t xml:space="preserve"> ومن أعجب ما رأيت لهم ما ذكروا عن ابن أبي شيبة أنه قال في كتاب العرش</w:t>
      </w:r>
      <w:r w:rsidRPr="00A52585">
        <w:rPr>
          <w:rFonts w:hint="cs"/>
          <w:rtl/>
        </w:rPr>
        <w:t>:</w:t>
      </w:r>
      <w:r w:rsidR="00777DCB" w:rsidRPr="00A52585">
        <w:rPr>
          <w:rFonts w:hint="cs"/>
          <w:rtl/>
        </w:rPr>
        <w:t xml:space="preserve"> إن الله تعالى قد أخبرنا أنه صار من الأرض إلى السماء ومن السماء إلى العرش فاستوى على العرش</w:t>
      </w:r>
      <w:r w:rsidR="00DB731D" w:rsidRPr="00A52585">
        <w:rPr>
          <w:rFonts w:hint="cs"/>
          <w:rtl/>
        </w:rPr>
        <w:t>،</w:t>
      </w:r>
      <w:r w:rsidR="00777DCB" w:rsidRPr="00A52585">
        <w:rPr>
          <w:rFonts w:hint="cs"/>
          <w:rtl/>
        </w:rPr>
        <w:t xml:space="preserve"> </w:t>
      </w:r>
      <w:r w:rsidR="00777DCB" w:rsidRPr="00A52585">
        <w:rPr>
          <w:rFonts w:hint="cs"/>
          <w:spacing w:val="-6"/>
          <w:rtl/>
        </w:rPr>
        <w:t>ثم قال</w:t>
      </w:r>
      <w:r w:rsidRPr="00A52585">
        <w:rPr>
          <w:rFonts w:hint="cs"/>
          <w:spacing w:val="-6"/>
          <w:rtl/>
        </w:rPr>
        <w:t>:</w:t>
      </w:r>
      <w:r w:rsidR="00777DCB" w:rsidRPr="00A52585">
        <w:rPr>
          <w:rFonts w:hint="cs"/>
          <w:spacing w:val="-6"/>
          <w:rtl/>
        </w:rPr>
        <w:t xml:space="preserve"> ونبرأ من أقوام شانوا مذهبنا </w:t>
      </w:r>
      <w:proofErr w:type="spellStart"/>
      <w:r w:rsidR="00777DCB" w:rsidRPr="00A52585">
        <w:rPr>
          <w:rFonts w:hint="cs"/>
          <w:spacing w:val="-6"/>
          <w:rtl/>
        </w:rPr>
        <w:t>فعابنا</w:t>
      </w:r>
      <w:proofErr w:type="spellEnd"/>
      <w:r w:rsidR="00777DCB" w:rsidRPr="00A52585">
        <w:rPr>
          <w:rFonts w:hint="cs"/>
          <w:spacing w:val="-6"/>
          <w:rtl/>
        </w:rPr>
        <w:t xml:space="preserve"> الناس بكلامهم ولو فهموا أن الله </w:t>
      </w:r>
      <w:proofErr w:type="spellStart"/>
      <w:r w:rsidR="00777DCB" w:rsidRPr="00A52585">
        <w:rPr>
          <w:rFonts w:hint="cs"/>
          <w:rtl/>
        </w:rPr>
        <w:t>بحانه</w:t>
      </w:r>
      <w:proofErr w:type="spellEnd"/>
      <w:r w:rsidR="00777DCB" w:rsidRPr="00A52585">
        <w:rPr>
          <w:rFonts w:hint="cs"/>
          <w:rtl/>
        </w:rPr>
        <w:t xml:space="preserve"> وتعالى لا يوصف بما يوصف الخلق لما بنوا أمورهم وقواعدهم على المحسوسات التي بها المساواة بينه وبين خلقه</w:t>
      </w:r>
      <w:r w:rsidR="00DB731D" w:rsidRPr="00A52585">
        <w:rPr>
          <w:rFonts w:hint="cs"/>
          <w:rtl/>
        </w:rPr>
        <w:t>،</w:t>
      </w:r>
      <w:r w:rsidR="00777DCB" w:rsidRPr="00A52585">
        <w:rPr>
          <w:rFonts w:hint="cs"/>
          <w:rtl/>
        </w:rPr>
        <w:t xml:space="preserve"> وفي ذلك تكذيبه في تَنْزِيهه وتقديسه لنفسه عز وجل</w:t>
      </w:r>
      <w:r w:rsidR="00DB731D" w:rsidRPr="00A52585">
        <w:rPr>
          <w:rFonts w:hint="cs"/>
          <w:rtl/>
        </w:rPr>
        <w:t>،</w:t>
      </w:r>
      <w:r w:rsidR="00777DCB" w:rsidRPr="00A52585">
        <w:rPr>
          <w:rFonts w:hint="cs"/>
          <w:rtl/>
        </w:rPr>
        <w:t xml:space="preserve"> وقال أبو الوفاء ابن عقيل</w:t>
      </w:r>
      <w:r w:rsidRPr="00A52585">
        <w:rPr>
          <w:rFonts w:hint="cs"/>
          <w:rtl/>
        </w:rPr>
        <w:t>:</w:t>
      </w:r>
      <w:r w:rsidR="00777DCB" w:rsidRPr="00A52585">
        <w:rPr>
          <w:rFonts w:hint="cs"/>
          <w:rtl/>
        </w:rPr>
        <w:t xml:space="preserve"> بِحَسْب الجهلة نسبة النقائص إليه فيما نزه نفسه عنه عز وجل</w:t>
      </w:r>
      <w:r w:rsidR="00DB731D" w:rsidRPr="00A52585">
        <w:rPr>
          <w:rFonts w:hint="cs"/>
          <w:rtl/>
        </w:rPr>
        <w:t>،</w:t>
      </w:r>
      <w:r w:rsidR="00777DCB" w:rsidRPr="00A52585">
        <w:rPr>
          <w:rFonts w:hint="cs"/>
          <w:rtl/>
        </w:rPr>
        <w:t xml:space="preserve"> والذي أوقعهم في ذلك</w:t>
      </w:r>
      <w:r w:rsidRPr="00A52585">
        <w:rPr>
          <w:rFonts w:hint="cs"/>
          <w:rtl/>
        </w:rPr>
        <w:t>:</w:t>
      </w:r>
      <w:r w:rsidR="00777DCB" w:rsidRPr="00A52585">
        <w:rPr>
          <w:rFonts w:hint="cs"/>
          <w:rtl/>
        </w:rPr>
        <w:t xml:space="preserve"> القياس المظنون</w:t>
      </w:r>
      <w:r w:rsidR="00DB731D" w:rsidRPr="00A52585">
        <w:rPr>
          <w:rFonts w:hint="cs"/>
          <w:rtl/>
        </w:rPr>
        <w:t>،</w:t>
      </w:r>
      <w:r w:rsidR="00777DCB" w:rsidRPr="00A52585">
        <w:rPr>
          <w:rFonts w:hint="cs"/>
          <w:rtl/>
        </w:rPr>
        <w:t xml:space="preserve"> وكيف يكون له حكم الدليل وقد قضى عليه دليل العقل بالرد</w:t>
      </w:r>
      <w:r w:rsidR="00DB731D" w:rsidRPr="00A52585">
        <w:rPr>
          <w:rFonts w:hint="cs"/>
          <w:rtl/>
        </w:rPr>
        <w:t>،</w:t>
      </w:r>
      <w:r w:rsidR="00777DCB" w:rsidRPr="00A52585">
        <w:rPr>
          <w:rFonts w:hint="cs"/>
          <w:rtl/>
        </w:rPr>
        <w:t xml:space="preserve"> </w:t>
      </w:r>
    </w:p>
    <w:p w14:paraId="2B4D89BD" w14:textId="4A9F3C43" w:rsidR="00777DCB" w:rsidRPr="00A52585" w:rsidRDefault="0002035C" w:rsidP="0002035C">
      <w:pPr>
        <w:spacing w:after="240"/>
        <w:rPr>
          <w:b/>
          <w:bCs/>
          <w:rtl/>
        </w:rPr>
      </w:pPr>
      <w:r w:rsidRPr="00A52585">
        <w:rPr>
          <w:rFonts w:hint="cs"/>
          <w:bCs/>
          <w:rtl/>
        </w:rPr>
        <w:t>[</w:t>
      </w:r>
      <w:r w:rsidR="00777DCB" w:rsidRPr="00A52585">
        <w:rPr>
          <w:rFonts w:hint="cs"/>
          <w:bCs/>
          <w:rtl/>
        </w:rPr>
        <w:t>موقف الناس من أخبار الصفات</w:t>
      </w:r>
      <w:r w:rsidRPr="00A52585">
        <w:rPr>
          <w:rFonts w:hint="cs"/>
          <w:bCs/>
          <w:rtl/>
        </w:rPr>
        <w:t>]:</w:t>
      </w:r>
      <w:r w:rsidR="00777DCB" w:rsidRPr="00A52585">
        <w:rPr>
          <w:rFonts w:hint="cs"/>
          <w:bCs/>
          <w:rtl/>
        </w:rPr>
        <w:t xml:space="preserve"> </w:t>
      </w:r>
      <w:r w:rsidR="00777DCB" w:rsidRPr="00A52585">
        <w:rPr>
          <w:rFonts w:hint="cs"/>
          <w:rtl/>
        </w:rPr>
        <w:t>قال أبو الفرج ابن الجوزي</w:t>
      </w:r>
      <w:r w:rsidRPr="00A52585">
        <w:rPr>
          <w:rFonts w:hint="cs"/>
          <w:rtl/>
        </w:rPr>
        <w:t>:</w:t>
      </w:r>
      <w:r w:rsidR="00777DCB" w:rsidRPr="00A52585">
        <w:rPr>
          <w:rFonts w:hint="cs"/>
          <w:rtl/>
        </w:rPr>
        <w:t xml:space="preserve"> والناس في أخبار الصفات على ثلاث مراتب</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أحدها</w:t>
      </w:r>
      <w:r w:rsidRPr="00A52585">
        <w:rPr>
          <w:rFonts w:hint="cs"/>
          <w:bCs/>
          <w:rtl/>
        </w:rPr>
        <w:t>]:</w:t>
      </w:r>
      <w:r w:rsidR="00777DCB" w:rsidRPr="00A52585">
        <w:rPr>
          <w:rFonts w:hint="cs"/>
          <w:rtl/>
        </w:rPr>
        <w:t xml:space="preserve"> إمرارها على ما جاءت من غير تفسير ولا تأويل</w:t>
      </w:r>
      <w:r w:rsidR="00DB731D" w:rsidRPr="00A52585">
        <w:rPr>
          <w:rFonts w:hint="cs"/>
          <w:rtl/>
        </w:rPr>
        <w:t>،</w:t>
      </w:r>
      <w:r w:rsidR="00777DCB" w:rsidRPr="00A52585">
        <w:rPr>
          <w:rFonts w:hint="cs"/>
          <w:rtl/>
        </w:rPr>
        <w:t xml:space="preserve"> إلاّ أن تقع ضرورة كقوله تعالى{وَجَاءَ رَبُّكَ} </w:t>
      </w:r>
      <w:r w:rsidRPr="00A52585">
        <w:rPr>
          <w:rFonts w:hint="cs"/>
          <w:rtl/>
        </w:rPr>
        <w:t>[</w:t>
      </w:r>
      <w:r w:rsidR="00777DCB" w:rsidRPr="00A52585">
        <w:rPr>
          <w:rFonts w:hint="cs"/>
          <w:rtl/>
        </w:rPr>
        <w:t>الفجر</w:t>
      </w:r>
      <w:r w:rsidRPr="00A52585">
        <w:rPr>
          <w:rFonts w:hint="cs"/>
          <w:rtl/>
        </w:rPr>
        <w:t>:</w:t>
      </w:r>
      <w:r w:rsidR="00777DCB" w:rsidRPr="00A52585">
        <w:rPr>
          <w:rFonts w:hint="cs"/>
          <w:rtl/>
        </w:rPr>
        <w:t xml:space="preserve"> 22</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أي جاء أمره</w:t>
      </w:r>
      <w:r w:rsidR="00DB731D" w:rsidRPr="00A52585">
        <w:rPr>
          <w:rFonts w:hint="cs"/>
          <w:rtl/>
        </w:rPr>
        <w:t>،</w:t>
      </w:r>
      <w:r w:rsidR="00777DCB" w:rsidRPr="00A52585">
        <w:rPr>
          <w:rFonts w:hint="cs"/>
          <w:rtl/>
        </w:rPr>
        <w:t xml:space="preserve"> وهذا مذهب السلف</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المرتبة الثانية</w:t>
      </w:r>
      <w:r w:rsidRPr="00A52585">
        <w:rPr>
          <w:rFonts w:hint="cs"/>
          <w:bCs/>
          <w:rtl/>
        </w:rPr>
        <w:t>]:</w:t>
      </w:r>
      <w:r w:rsidR="00777DCB" w:rsidRPr="00A52585">
        <w:rPr>
          <w:rFonts w:hint="cs"/>
          <w:rtl/>
        </w:rPr>
        <w:t xml:space="preserve"> التأويل وهو مقام خطر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الإمام الكوثري في تعليقه على كتاب ابن الجوزي (دفع شبه التشبيه عند قول الإمام بن الجوزي</w:t>
      </w:r>
      <w:r w:rsidRPr="00A52585">
        <w:rPr>
          <w:rFonts w:hint="cs"/>
          <w:sz w:val="24"/>
          <w:szCs w:val="24"/>
          <w:rtl/>
        </w:rPr>
        <w:t>:</w:t>
      </w:r>
      <w:r w:rsidR="00777DCB" w:rsidRPr="00A52585">
        <w:rPr>
          <w:rFonts w:hint="cs"/>
          <w:sz w:val="24"/>
          <w:szCs w:val="24"/>
          <w:rtl/>
        </w:rPr>
        <w:t xml:space="preserve"> المرتبة الثانية</w:t>
      </w:r>
      <w:r w:rsidRPr="00A52585">
        <w:rPr>
          <w:rFonts w:hint="cs"/>
          <w:sz w:val="24"/>
          <w:szCs w:val="24"/>
          <w:rtl/>
        </w:rPr>
        <w:t>:</w:t>
      </w:r>
      <w:r w:rsidR="00777DCB" w:rsidRPr="00A52585">
        <w:rPr>
          <w:rFonts w:hint="cs"/>
          <w:sz w:val="24"/>
          <w:szCs w:val="24"/>
          <w:rtl/>
        </w:rPr>
        <w:t xml:space="preserve"> التأويل وهو مقام خطر) ما نصه</w:t>
      </w:r>
      <w:r w:rsidRPr="00A52585">
        <w:rPr>
          <w:rFonts w:hint="cs"/>
          <w:sz w:val="24"/>
          <w:szCs w:val="24"/>
          <w:rtl/>
        </w:rPr>
        <w:t>:</w:t>
      </w:r>
      <w:r w:rsidR="00777DCB" w:rsidRPr="00A52585">
        <w:rPr>
          <w:rFonts w:hint="cs"/>
          <w:sz w:val="24"/>
          <w:szCs w:val="24"/>
          <w:rtl/>
        </w:rPr>
        <w:t xml:space="preserve"> يقول في شرح المشكاة</w:t>
      </w:r>
      <w:r w:rsidRPr="00A52585">
        <w:rPr>
          <w:rFonts w:hint="cs"/>
          <w:sz w:val="24"/>
          <w:szCs w:val="24"/>
          <w:rtl/>
        </w:rPr>
        <w:t xml:space="preserve">: </w:t>
      </w:r>
      <w:r w:rsidR="00777DCB" w:rsidRPr="00A52585">
        <w:rPr>
          <w:rFonts w:hint="cs"/>
          <w:sz w:val="24"/>
          <w:szCs w:val="24"/>
          <w:rtl/>
        </w:rPr>
        <w:t>" قال النووي في شرح مسلم</w:t>
      </w:r>
      <w:r w:rsidRPr="00A52585">
        <w:rPr>
          <w:rFonts w:hint="cs"/>
          <w:sz w:val="24"/>
          <w:szCs w:val="24"/>
          <w:rtl/>
        </w:rPr>
        <w:t>:</w:t>
      </w:r>
      <w:r w:rsidR="00777DCB" w:rsidRPr="00A52585">
        <w:rPr>
          <w:rFonts w:hint="cs"/>
          <w:sz w:val="24"/>
          <w:szCs w:val="24"/>
          <w:rtl/>
        </w:rPr>
        <w:t xml:space="preserve"> في هذا الحديث</w:t>
      </w:r>
      <w:r w:rsidRPr="00A52585">
        <w:rPr>
          <w:rFonts w:hint="cs"/>
          <w:sz w:val="24"/>
          <w:szCs w:val="24"/>
          <w:rtl/>
        </w:rPr>
        <w:t xml:space="preserve"> </w:t>
      </w:r>
      <w:r w:rsidR="00777DCB" w:rsidRPr="00A52585">
        <w:rPr>
          <w:rFonts w:hint="cs"/>
          <w:sz w:val="24"/>
          <w:szCs w:val="24"/>
          <w:rtl/>
        </w:rPr>
        <w:t>"حديث النزول"</w:t>
      </w:r>
      <w:r w:rsidRPr="00A52585">
        <w:rPr>
          <w:rFonts w:hint="cs"/>
          <w:sz w:val="24"/>
          <w:szCs w:val="24"/>
          <w:rtl/>
        </w:rPr>
        <w:t xml:space="preserve"> </w:t>
      </w:r>
      <w:r w:rsidR="00777DCB" w:rsidRPr="00A52585">
        <w:rPr>
          <w:rFonts w:hint="cs"/>
          <w:sz w:val="24"/>
          <w:szCs w:val="24"/>
          <w:rtl/>
        </w:rPr>
        <w:t>وشبهه من أحاديث الصفات وآياتها مذهبان مشهوران</w:t>
      </w:r>
      <w:r w:rsidRPr="00A52585">
        <w:rPr>
          <w:rFonts w:hint="cs"/>
          <w:sz w:val="24"/>
          <w:szCs w:val="24"/>
          <w:rtl/>
        </w:rPr>
        <w:t>:</w:t>
      </w:r>
      <w:r w:rsidR="00777DCB" w:rsidRPr="00A52585">
        <w:rPr>
          <w:rFonts w:hint="cs"/>
          <w:sz w:val="24"/>
          <w:szCs w:val="24"/>
          <w:rtl/>
        </w:rPr>
        <w:t xml:space="preserve"> فمذهب جمهور السلف وبعض المتكلمين الإيمان بحقيقتها على ما يليق به تعالى وأن ظاهرها المتعارف في حقنا غير مراد ولا نتكلم في تأويلها مع اعتقادنا تنزيه الله سبحانه عن سائر سمات الحدوث. والثاني مذهب أكثر المتكلمين وجماعة من السلف وهو محكي عن مالك والأوزاعي إنما يتأول على ما يليق بها بحسب بواطنها فعليه الخبر مؤول بتأويلين أي المذكورين. وبكلامه وبكلام الشيخ الرباني أبي إسحاق الشيرازي وإمام الحرمين والغزالي وغيرهم من أئمتنا وغيرهم يعلم أن المذهبين متفقان على صرف تلك الظواهر </w:t>
      </w:r>
      <w:proofErr w:type="spellStart"/>
      <w:r w:rsidR="00777DCB" w:rsidRPr="00A52585">
        <w:rPr>
          <w:rFonts w:hint="cs"/>
          <w:sz w:val="24"/>
          <w:szCs w:val="24"/>
          <w:rtl/>
        </w:rPr>
        <w:t>كالمجئ</w:t>
      </w:r>
      <w:proofErr w:type="spellEnd"/>
      <w:r w:rsidR="00777DCB" w:rsidRPr="00A52585">
        <w:rPr>
          <w:rFonts w:hint="cs"/>
          <w:sz w:val="24"/>
          <w:szCs w:val="24"/>
          <w:rtl/>
        </w:rPr>
        <w:t xml:space="preserve"> </w:t>
      </w:r>
      <w:r w:rsidR="00777DCB" w:rsidRPr="00A52585">
        <w:rPr>
          <w:rFonts w:hint="cs"/>
          <w:spacing w:val="-2"/>
          <w:sz w:val="24"/>
          <w:szCs w:val="24"/>
          <w:rtl/>
        </w:rPr>
        <w:t>والصورة والشخص والرجل والقــــدم واليد والوجــه والغضب والرحمة</w:t>
      </w:r>
      <w:r w:rsidR="00777DCB" w:rsidRPr="00A52585">
        <w:rPr>
          <w:rFonts w:hint="cs"/>
          <w:sz w:val="24"/>
          <w:szCs w:val="24"/>
          <w:rtl/>
        </w:rPr>
        <w:t xml:space="preserve"> والاستواء على العـــرش والكون في السماء وغير ذلك عما يفهمه</w:t>
      </w:r>
      <w:r w:rsidRPr="00A52585">
        <w:rPr>
          <w:rFonts w:hint="cs"/>
          <w:sz w:val="24"/>
          <w:szCs w:val="24"/>
          <w:rtl/>
        </w:rPr>
        <w:t xml:space="preserve"> </w:t>
      </w:r>
      <w:r w:rsidR="00777DCB" w:rsidRPr="00A52585">
        <w:rPr>
          <w:rFonts w:hint="cs"/>
          <w:sz w:val="24"/>
          <w:szCs w:val="24"/>
          <w:rtl/>
        </w:rPr>
        <w:t>ظاهرها لما يلزم عليه من محالات قطعية البطلان تستلزم أشياء يحكم بكفرهـــا بالإجماع فاضطر جميع الخلــف والسلف إلى صرف اللفظ عن ظاهره وإنما اختلفوا هل نصرفه عن ظاهره معتقدين اتصافه سبحانه بما يليق بجلاله وعظمته من غير أن نؤوله بشيء آخر وهو مذهب أكثر أهل الخلف وهو</w:t>
      </w:r>
      <w:r w:rsidRPr="00A52585">
        <w:rPr>
          <w:rFonts w:hint="cs"/>
          <w:sz w:val="24"/>
          <w:szCs w:val="24"/>
          <w:rtl/>
        </w:rPr>
        <w:t xml:space="preserve"> </w:t>
      </w:r>
      <w:r w:rsidR="00777DCB" w:rsidRPr="00A52585">
        <w:rPr>
          <w:rFonts w:hint="cs"/>
          <w:sz w:val="24"/>
          <w:szCs w:val="24"/>
          <w:rtl/>
        </w:rPr>
        <w:t xml:space="preserve">تأويل تفصيل ولم يريدوا بذلك مخالفة السلف الصالح معاذ الله أن يظن بهم ذلك وإنما دعت الضرورة في أزمنتهم لذلك لكثرة المجسمة والجهمية وغيرهما من </w:t>
      </w:r>
      <w:r w:rsidR="00777DCB" w:rsidRPr="00A52585">
        <w:rPr>
          <w:rFonts w:hint="cs"/>
          <w:sz w:val="24"/>
          <w:szCs w:val="24"/>
          <w:rtl/>
        </w:rPr>
        <w:lastRenderedPageBreak/>
        <w:t>فرق الضلال واستيلائهم على عقول العامة فقصدوا بذلك ردعهم وبطلان قولهم ومن ثمت اعتذر كثير منهم وقالوا</w:t>
      </w:r>
      <w:r w:rsidRPr="00A52585">
        <w:rPr>
          <w:rFonts w:hint="cs"/>
          <w:sz w:val="24"/>
          <w:szCs w:val="24"/>
          <w:rtl/>
        </w:rPr>
        <w:t>:</w:t>
      </w:r>
      <w:r w:rsidR="00777DCB" w:rsidRPr="00A52585">
        <w:rPr>
          <w:rFonts w:hint="cs"/>
          <w:sz w:val="24"/>
          <w:szCs w:val="24"/>
          <w:rtl/>
        </w:rPr>
        <w:t xml:space="preserve"> لو كنا على ما كان </w:t>
      </w:r>
      <w:r w:rsidR="00777DCB" w:rsidRPr="00A52585">
        <w:rPr>
          <w:sz w:val="24"/>
          <w:szCs w:val="24"/>
        </w:rPr>
        <w:t>–</w:t>
      </w:r>
      <w:r w:rsidR="00777DCB" w:rsidRPr="00A52585">
        <w:rPr>
          <w:rFonts w:hint="cs"/>
          <w:sz w:val="24"/>
          <w:szCs w:val="24"/>
          <w:rtl/>
        </w:rPr>
        <w:t xml:space="preserve"> عليه السلف الصالح من صفاء العقائد وعدم لم نخض في تأويل شيء من ذلك وقد علمت أن مالكا والأوزاعي وهما من كبار السلف أوَّلا الحديث تأويلا تفصيليا وكذلك سفيان الثوري أوَّل الاستواء على العرش بقصد أمره ونظيره (ثم استوى إلى السماء) أي قصد إليها ومنهم الإمام جعفر الصادق، بل قال جمع منهم ومن الخلف</w:t>
      </w:r>
      <w:r w:rsidRPr="00A52585">
        <w:rPr>
          <w:rFonts w:hint="cs"/>
          <w:sz w:val="24"/>
          <w:szCs w:val="24"/>
          <w:rtl/>
        </w:rPr>
        <w:t>:</w:t>
      </w:r>
      <w:r w:rsidR="00777DCB" w:rsidRPr="00A52585">
        <w:rPr>
          <w:rFonts w:hint="cs"/>
          <w:sz w:val="24"/>
          <w:szCs w:val="24"/>
          <w:rtl/>
        </w:rPr>
        <w:t xml:space="preserve"> إن معتقد الجهة كافر كما صرح به العراقي وقال أنه قول لأبي حنيفة ومالك والشافعي والأشعري والباقلاني، وقد اتفق سائر الفرق على تأويل نحو (وهو معكم أينما كنتم) (ما يكون من نجوى ثلاثة إلا هو رابعهم) الآية (فأينما تولوا فثم وجه الله) (ونحن أقرب إليه من حبل الوريد) و</w:t>
      </w:r>
      <w:r w:rsidRPr="00A52585">
        <w:rPr>
          <w:rFonts w:hint="cs"/>
          <w:sz w:val="24"/>
          <w:szCs w:val="24"/>
          <w:rtl/>
        </w:rPr>
        <w:t>(</w:t>
      </w:r>
      <w:r w:rsidR="00777DCB" w:rsidRPr="00A52585">
        <w:rPr>
          <w:rFonts w:hint="cs"/>
          <w:sz w:val="24"/>
          <w:szCs w:val="24"/>
          <w:rtl/>
        </w:rPr>
        <w:t>قلب المؤمن بين إصبعين من أصابع الرحمن) و (الحجر الأسود يمين الله في الأرض) وهذا الاتفاق يبين لك صحة ما اختاره المحققون أن الوقف على (الراسخون في العلم) لا الجلالة. قلت الجمهور على أن الوقف على (إلا الله) وعدوا وقفه وقفاً لازماً وهو الظاهر لأن المراد بالتأويل معناه الذي أراده تعالى وهو في الحقيقة لا يعلمه إلا الله جل جلاله ولا إله غيره وكل من تكلم فيه تكلم بحسب ما ظهر ولم يقدر أحد أن يقول إن هذا التأويل هو مراد الله جزماً ففي التحقيق الخلاف لفظي ولهذا اختار كثيرون من محققي المتأخرين عدم تعيين التأويل في شيء معين من الأشياء التي تليق باللفظ ويكلون تعيين المراد بها إلى علمه تعالى وهذا توسط بين المذهبين وتلذذ بين المشربين. واختار ابن دقيق العيد توسطا آخر فقال</w:t>
      </w:r>
      <w:r w:rsidRPr="00A52585">
        <w:rPr>
          <w:rFonts w:hint="cs"/>
          <w:sz w:val="24"/>
          <w:szCs w:val="24"/>
          <w:rtl/>
        </w:rPr>
        <w:t>:</w:t>
      </w:r>
      <w:r w:rsidR="00777DCB" w:rsidRPr="00A52585">
        <w:rPr>
          <w:rFonts w:hint="cs"/>
          <w:sz w:val="24"/>
          <w:szCs w:val="24"/>
          <w:rtl/>
        </w:rPr>
        <w:t xml:space="preserve"> إن كان التأويل من المجاز البين الشائع فالحق سلوكه من غير توقف أو من المجاز البعيد الشاذ فالحق تركه وإن استوى الأمران فالاختلاف في جوازه وعدمه مسـألة فقهية اجتهادية والأمـر فيها ليس بالخطر بالنسبة للفريقين.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التوقف فيها لعدم ترجيح أحد الجانبين مع أن التوقف مؤيد بقول السلف ومنهم الإمام الأعظم "</w:t>
      </w:r>
      <w:r w:rsidRPr="00A52585">
        <w:rPr>
          <w:rFonts w:hint="cs"/>
          <w:sz w:val="24"/>
          <w:szCs w:val="24"/>
          <w:rtl/>
        </w:rPr>
        <w:t xml:space="preserve"> </w:t>
      </w:r>
      <w:r w:rsidR="00777DCB" w:rsidRPr="00A52585">
        <w:rPr>
          <w:rFonts w:hint="cs"/>
          <w:sz w:val="24"/>
          <w:szCs w:val="24"/>
          <w:rtl/>
        </w:rPr>
        <w:t>أ. هـ ويقول في شرح المشكاة أيضاً</w:t>
      </w:r>
      <w:r w:rsidRPr="00A52585">
        <w:rPr>
          <w:rFonts w:hint="cs"/>
          <w:sz w:val="24"/>
          <w:szCs w:val="24"/>
          <w:rtl/>
        </w:rPr>
        <w:t>:</w:t>
      </w:r>
      <w:r w:rsidR="00777DCB" w:rsidRPr="00A52585">
        <w:rPr>
          <w:rFonts w:hint="cs"/>
          <w:sz w:val="24"/>
          <w:szCs w:val="24"/>
          <w:rtl/>
        </w:rPr>
        <w:t xml:space="preserve"> والحاصل أن السلف والخلف </w:t>
      </w:r>
      <w:proofErr w:type="spellStart"/>
      <w:r w:rsidR="00777DCB" w:rsidRPr="00A52585">
        <w:rPr>
          <w:rFonts w:hint="cs"/>
          <w:sz w:val="24"/>
          <w:szCs w:val="24"/>
          <w:rtl/>
        </w:rPr>
        <w:t>مؤولون</w:t>
      </w:r>
      <w:proofErr w:type="spellEnd"/>
      <w:r w:rsidR="00777DCB" w:rsidRPr="00A52585">
        <w:rPr>
          <w:rFonts w:hint="cs"/>
          <w:sz w:val="24"/>
          <w:szCs w:val="24"/>
          <w:rtl/>
        </w:rPr>
        <w:t xml:space="preserve"> لإجماعهم على صرف اللفظ عن ظاهره ولكن تأويل السلف إجمالي لتفويضهم إلى الله تعالى وتأويل الخلف تفصيلي لاضطرارهم إليه لكثرة المبتدعين "</w:t>
      </w:r>
      <w:r w:rsidRPr="00A52585">
        <w:rPr>
          <w:rFonts w:hint="cs"/>
          <w:sz w:val="24"/>
          <w:szCs w:val="24"/>
          <w:rtl/>
        </w:rPr>
        <w:t xml:space="preserve"> </w:t>
      </w:r>
      <w:r w:rsidR="00777DCB" w:rsidRPr="00A52585">
        <w:rPr>
          <w:rFonts w:hint="cs"/>
          <w:sz w:val="24"/>
          <w:szCs w:val="24"/>
          <w:rtl/>
        </w:rPr>
        <w:t>أ. هـ (ز)</w:t>
      </w:r>
      <w:r w:rsidR="00DB731D" w:rsidRPr="00A52585">
        <w:rPr>
          <w:rFonts w:hint="cs"/>
          <w:sz w:val="24"/>
          <w:szCs w:val="24"/>
          <w:rtl/>
        </w:rPr>
        <w:t>،</w:t>
      </w:r>
      <w:r w:rsidR="00777DCB" w:rsidRPr="00A52585">
        <w:rPr>
          <w:rFonts w:hint="cs"/>
          <w:sz w:val="24"/>
          <w:szCs w:val="24"/>
          <w:rtl/>
        </w:rPr>
        <w:t xml:space="preserve"> وفي (إشارة النبيه في كشف شبه أهل التشبيه إملاء الشيخ نجم الدين أبي الفتح نصر الله ابن العز بن سعد الله بن نجم الكاتب البغدادي)</w:t>
      </w:r>
      <w:r w:rsidRPr="00A52585">
        <w:rPr>
          <w:rFonts w:hint="cs"/>
          <w:sz w:val="24"/>
          <w:szCs w:val="24"/>
          <w:rtl/>
        </w:rPr>
        <w:t xml:space="preserve">: </w:t>
      </w:r>
      <w:r w:rsidR="00777DCB" w:rsidRPr="00A52585">
        <w:rPr>
          <w:rFonts w:hint="cs"/>
          <w:sz w:val="24"/>
          <w:szCs w:val="24"/>
          <w:rtl/>
        </w:rPr>
        <w:t>" وقد تأول العلماء والأدباء والشعراء قديماً وحديثاً ولذلك قول بعضهم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أقول بالخد خال حين أذكره</w:t>
      </w:r>
      <w:r w:rsidR="00897A24" w:rsidRPr="00A52585">
        <w:rPr>
          <w:rFonts w:hint="cs"/>
          <w:sz w:val="24"/>
          <w:szCs w:val="24"/>
          <w:rtl/>
        </w:rPr>
        <w:t>.</w:t>
      </w:r>
      <w:r w:rsidR="00777DCB" w:rsidRPr="00A52585">
        <w:rPr>
          <w:rFonts w:hint="cs"/>
          <w:sz w:val="24"/>
          <w:szCs w:val="24"/>
          <w:rtl/>
        </w:rPr>
        <w:t>.. خوف الرقيب وما بالخد من خال</w:t>
      </w:r>
      <w:r w:rsidR="00DB731D" w:rsidRPr="00A52585">
        <w:rPr>
          <w:rFonts w:hint="cs"/>
          <w:sz w:val="24"/>
          <w:szCs w:val="24"/>
          <w:rtl/>
        </w:rPr>
        <w:t>،</w:t>
      </w:r>
      <w:r w:rsidR="00777DCB" w:rsidRPr="00A52585">
        <w:rPr>
          <w:rFonts w:hint="cs"/>
          <w:sz w:val="24"/>
          <w:szCs w:val="24"/>
          <w:rtl/>
        </w:rPr>
        <w:t xml:space="preserve"> أبكي إلى الشرق أن كانت منـازلهم</w:t>
      </w:r>
      <w:r w:rsidR="00897A24" w:rsidRPr="00A52585">
        <w:rPr>
          <w:rFonts w:hint="cs"/>
          <w:sz w:val="24"/>
          <w:szCs w:val="24"/>
          <w:rtl/>
        </w:rPr>
        <w:t>.</w:t>
      </w:r>
      <w:r w:rsidR="00777DCB" w:rsidRPr="00A52585">
        <w:rPr>
          <w:rFonts w:hint="cs"/>
          <w:sz w:val="24"/>
          <w:szCs w:val="24"/>
          <w:rtl/>
        </w:rPr>
        <w:t>.. بجانب الغـرب خوف القيل والقال</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ومن قال لا أقول بالتأويل ولا أشبه فقد تأول لأنه إذا عدل عن معنى النزول عنده ومعنى اليمين في حديث (الحجر الأسود يمين الله في الأرض) إلى غير ذلك فقد تأول فلا محيص لكم عن التأويل بحال</w:t>
      </w:r>
      <w:r w:rsidRPr="00A52585">
        <w:rPr>
          <w:rFonts w:hint="cs"/>
          <w:sz w:val="24"/>
          <w:szCs w:val="24"/>
          <w:rtl/>
        </w:rPr>
        <w:t xml:space="preserve"> </w:t>
      </w:r>
      <w:r w:rsidR="00777DCB"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ويقول العلامة </w:t>
      </w:r>
      <w:proofErr w:type="spellStart"/>
      <w:r w:rsidR="00777DCB" w:rsidRPr="00A52585">
        <w:rPr>
          <w:rFonts w:hint="cs"/>
          <w:sz w:val="24"/>
          <w:szCs w:val="24"/>
          <w:rtl/>
        </w:rPr>
        <w:t>الآلوسي</w:t>
      </w:r>
      <w:proofErr w:type="spellEnd"/>
      <w:r w:rsidR="00777DCB" w:rsidRPr="00A52585">
        <w:rPr>
          <w:rFonts w:hint="cs"/>
          <w:sz w:val="24"/>
          <w:szCs w:val="24"/>
          <w:rtl/>
        </w:rPr>
        <w:t xml:space="preserve"> في تفسيره عند الكلام على الوجه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والتأويل القريب إلى الذهن الشائع نظيره في كلام العرب مما لا بأس به عندي، على أن بعض الآيات مما أجمع على تأويلها السلف والخلف والله تعالى أعلم بمراده</w:t>
      </w:r>
      <w:r w:rsidRPr="00A52585">
        <w:rPr>
          <w:rFonts w:hint="cs"/>
          <w:sz w:val="24"/>
          <w:szCs w:val="24"/>
          <w:rtl/>
        </w:rPr>
        <w:t xml:space="preserve"> </w:t>
      </w:r>
      <w:r w:rsidR="00777DCB" w:rsidRPr="00A52585">
        <w:rPr>
          <w:rFonts w:hint="cs"/>
          <w:sz w:val="24"/>
          <w:szCs w:val="24"/>
          <w:rtl/>
        </w:rPr>
        <w:t>" هـ وقال أيضاً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وأنا أميل إلى التأويل وعدم القول بالظواهر مع نفي اللوازم في بعض ما ينسب إلى الله مثل قوله تعالى </w:t>
      </w:r>
      <w:r w:rsidRPr="00A52585">
        <w:rPr>
          <w:rFonts w:hint="cs"/>
          <w:sz w:val="24"/>
          <w:szCs w:val="24"/>
          <w:rtl/>
        </w:rPr>
        <w:t>{</w:t>
      </w:r>
      <w:r w:rsidR="00777DCB" w:rsidRPr="00A52585">
        <w:rPr>
          <w:rFonts w:hint="cs"/>
          <w:sz w:val="24"/>
          <w:szCs w:val="24"/>
          <w:rtl/>
        </w:rPr>
        <w:t>سنفرغ لكم أيها الثقلان</w:t>
      </w:r>
      <w:r w:rsidRPr="00A52585">
        <w:rPr>
          <w:rFonts w:hint="cs"/>
          <w:sz w:val="24"/>
          <w:szCs w:val="24"/>
          <w:rtl/>
        </w:rPr>
        <w:t>}</w:t>
      </w:r>
      <w:r w:rsidR="00777DCB" w:rsidRPr="00A52585">
        <w:rPr>
          <w:rFonts w:hint="cs"/>
          <w:sz w:val="24"/>
          <w:szCs w:val="24"/>
          <w:rtl/>
        </w:rPr>
        <w:t xml:space="preserve"> وقوله صلى الله عليه وسلم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الحجر الأسود يمين الله في أرضه فمن قبله أو صافحه فكأنما صافح الله تعالى وقبل يمينه</w:t>
      </w:r>
      <w:r w:rsidRPr="00A52585">
        <w:rPr>
          <w:rFonts w:hint="cs"/>
          <w:sz w:val="24"/>
          <w:szCs w:val="24"/>
          <w:rtl/>
        </w:rPr>
        <w:t xml:space="preserve"> </w:t>
      </w:r>
      <w:r w:rsidR="00777DCB" w:rsidRPr="00A52585">
        <w:rPr>
          <w:rFonts w:hint="cs"/>
          <w:sz w:val="24"/>
          <w:szCs w:val="24"/>
          <w:rtl/>
        </w:rPr>
        <w:t>" فأجعل الكلام فيه خارجاً مخرج التشبيه لظهور القرينة، ولا أقول</w:t>
      </w:r>
      <w:r w:rsidRPr="00A52585">
        <w:rPr>
          <w:rFonts w:hint="cs"/>
          <w:sz w:val="24"/>
          <w:szCs w:val="24"/>
          <w:rtl/>
        </w:rPr>
        <w:t>:</w:t>
      </w:r>
      <w:r w:rsidR="00777DCB" w:rsidRPr="00A52585">
        <w:rPr>
          <w:rFonts w:hint="cs"/>
          <w:sz w:val="24"/>
          <w:szCs w:val="24"/>
          <w:rtl/>
        </w:rPr>
        <w:t xml:space="preserve"> الحجر الأسود من صفاته كما قال السلف في اليمين</w:t>
      </w:r>
      <w:r w:rsidRPr="00A52585">
        <w:rPr>
          <w:rFonts w:hint="cs"/>
          <w:sz w:val="24"/>
          <w:szCs w:val="24"/>
          <w:rtl/>
        </w:rPr>
        <w:t xml:space="preserve"> </w:t>
      </w:r>
      <w:r w:rsidR="00777DCB" w:rsidRPr="00A52585">
        <w:rPr>
          <w:rFonts w:hint="cs"/>
          <w:sz w:val="24"/>
          <w:szCs w:val="24"/>
          <w:rtl/>
        </w:rPr>
        <w:t>" أ. هـ.</w:t>
      </w:r>
      <w:r w:rsidR="00DB731D" w:rsidRPr="00A52585">
        <w:rPr>
          <w:rFonts w:hint="cs"/>
          <w:sz w:val="24"/>
          <w:szCs w:val="24"/>
          <w:rtl/>
        </w:rPr>
        <w:t>،</w:t>
      </w:r>
      <w:r w:rsidR="00777DCB" w:rsidRPr="00A52585">
        <w:rPr>
          <w:rFonts w:hint="cs"/>
          <w:sz w:val="24"/>
          <w:szCs w:val="24"/>
          <w:rtl/>
        </w:rPr>
        <w:t xml:space="preserve"> وقد عقد ابن المعلم في كتابه (نجم المهتدي ورجم المعتدي) بابا سرد فيه جماهير المؤولين (فيما يظهر فيه وجه الكلام) من الصحابة والتابعين وغيرهم (ز). انتهى كلام الإمام الكوثري رضي الله عنه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ويقول الإمام تقي الدين بن دقيق العيد في عقيدته التي صنفها على طريقة أهل السنة ونقلها </w:t>
      </w:r>
      <w:r w:rsidR="00777DCB" w:rsidRPr="00A52585">
        <w:rPr>
          <w:rFonts w:hint="cs"/>
          <w:sz w:val="24"/>
          <w:szCs w:val="24"/>
          <w:rtl/>
        </w:rPr>
        <w:lastRenderedPageBreak/>
        <w:t xml:space="preserve">عنه العلامة </w:t>
      </w:r>
      <w:r w:rsidR="00777DCB" w:rsidRPr="00A52585">
        <w:rPr>
          <w:rFonts w:hint="cs"/>
          <w:spacing w:val="-4"/>
          <w:sz w:val="24"/>
          <w:szCs w:val="24"/>
          <w:rtl/>
        </w:rPr>
        <w:t>ابن المعلم القرشي في أثناء ترجمته له في كتابه الجليل</w:t>
      </w:r>
      <w:r w:rsidR="00777DCB" w:rsidRPr="00A52585">
        <w:rPr>
          <w:rFonts w:hint="cs"/>
          <w:sz w:val="24"/>
          <w:szCs w:val="24"/>
          <w:rtl/>
        </w:rPr>
        <w:t xml:space="preserve"> (نجم</w:t>
      </w:r>
      <w:r w:rsidR="00777DCB" w:rsidRPr="00A52585">
        <w:rPr>
          <w:rFonts w:hint="cs"/>
          <w:spacing w:val="-4"/>
          <w:sz w:val="24"/>
          <w:szCs w:val="24"/>
          <w:rtl/>
        </w:rPr>
        <w:t xml:space="preserve"> المهتدي ورجم المعتدي</w:t>
      </w:r>
      <w:r w:rsidR="00777DCB" w:rsidRPr="00A52585">
        <w:rPr>
          <w:rFonts w:hint="cs"/>
          <w:sz w:val="24"/>
          <w:szCs w:val="24"/>
          <w:rtl/>
        </w:rPr>
        <w:t>) مخطوط لوحة رقم 449- 450 بخط المؤلف</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وأنه تعالى تجوز رؤيته وتقع في الآخرة كما أخبر عنه صلى الله عليه وسلم بالمعنى الذي قصده مع التنزيه عما لا يجوز على الله تعالى. وكذلك نقول في الألفاظ المشكلة الواردة في الكتاب والسنة</w:t>
      </w:r>
      <w:r w:rsidRPr="00A52585">
        <w:rPr>
          <w:rFonts w:hint="cs"/>
          <w:sz w:val="24"/>
          <w:szCs w:val="24"/>
          <w:rtl/>
        </w:rPr>
        <w:t>:</w:t>
      </w:r>
      <w:r w:rsidR="00777DCB" w:rsidRPr="00A52585">
        <w:rPr>
          <w:rFonts w:hint="cs"/>
          <w:sz w:val="24"/>
          <w:szCs w:val="24"/>
          <w:rtl/>
        </w:rPr>
        <w:t xml:space="preserve"> تنزه الله تعالى عما لا يليق بجلاله ونؤمن بأنها حق وصدق على الوجه الذي أراد حصوله ورسوله، من أول شيئاً منها فإن كان تأويله قريباً على ما يقتضيه لسان العرب وتفهم من مخاطباتها لم ننكره عليه ولم نبدعه وإن كان تأويله بعيداً توقفنا عن قبوله واستبعدناه ورجعنا إلى القاعدة في الإيمان بمعناه والتصديق به على الوجه الذي أريد به مع التنزيه، وما كان معناه من صفة الألفاظ ظاهراً مفهوماً من تخاطب العرب قلنا به من غير توقف كما في قوله تعالى </w:t>
      </w:r>
      <w:r w:rsidRPr="00A52585">
        <w:rPr>
          <w:rFonts w:hint="cs"/>
          <w:sz w:val="24"/>
          <w:szCs w:val="24"/>
          <w:rtl/>
        </w:rPr>
        <w:t>{</w:t>
      </w:r>
      <w:r w:rsidR="00777DCB" w:rsidRPr="00A52585">
        <w:rPr>
          <w:rFonts w:hint="cs"/>
          <w:sz w:val="24"/>
          <w:szCs w:val="24"/>
          <w:rtl/>
        </w:rPr>
        <w:t>يا حسرتا على ما فرطت في جنب الله</w:t>
      </w:r>
      <w:r w:rsidRPr="00A52585">
        <w:rPr>
          <w:rFonts w:hint="cs"/>
          <w:sz w:val="24"/>
          <w:szCs w:val="24"/>
          <w:rtl/>
        </w:rPr>
        <w:t>}</w:t>
      </w:r>
      <w:r w:rsidR="00777DCB" w:rsidRPr="00A52585">
        <w:rPr>
          <w:rFonts w:hint="cs"/>
          <w:sz w:val="24"/>
          <w:szCs w:val="24"/>
          <w:rtl/>
        </w:rPr>
        <w:t xml:space="preserve"> فنحمله على حق الله وما يجب له أو على قريب من هذا المعنى ولا نتوقف فيه، وكذلك قوله عليه السلام</w:t>
      </w:r>
      <w:r w:rsidRPr="00A52585">
        <w:rPr>
          <w:rFonts w:hint="cs"/>
          <w:sz w:val="24"/>
          <w:szCs w:val="24"/>
          <w:rtl/>
        </w:rPr>
        <w:t>:</w:t>
      </w:r>
      <w:r w:rsidR="00777DCB" w:rsidRPr="00A52585">
        <w:rPr>
          <w:rFonts w:hint="cs"/>
          <w:sz w:val="24"/>
          <w:szCs w:val="24"/>
          <w:rtl/>
        </w:rPr>
        <w:t xml:space="preserve"> قلب المؤمن بين أصبعين من أصابع الرحمن فنحمله على أن إرادات القلب واعتقاداته متصرفة بقدرة الله تعالى وما يوقعه في القلوب، وهكذا سائر الأمور الظاهرة المعنى المفهوم عند سامعيها ممن يفهم كلام العرب..) </w:t>
      </w:r>
      <w:proofErr w:type="spellStart"/>
      <w:r w:rsidR="00777DCB" w:rsidRPr="00A52585">
        <w:rPr>
          <w:rFonts w:hint="cs"/>
          <w:sz w:val="24"/>
          <w:szCs w:val="24"/>
          <w:rtl/>
        </w:rPr>
        <w:t>أ.ه</w:t>
      </w:r>
      <w:proofErr w:type="spellEnd"/>
      <w:r w:rsidR="00777DCB" w:rsidRPr="00A52585">
        <w:rPr>
          <w:rFonts w:hint="cs"/>
          <w:sz w:val="24"/>
          <w:szCs w:val="24"/>
          <w:rtl/>
        </w:rPr>
        <w:t>ـ المقصود منه</w:t>
      </w:r>
      <w:r w:rsidR="00DB731D" w:rsidRPr="00A52585">
        <w:rPr>
          <w:rFonts w:hint="cs"/>
          <w:sz w:val="24"/>
          <w:szCs w:val="24"/>
          <w:rtl/>
        </w:rPr>
        <w:t>،</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Pr="00A52585">
        <w:rPr>
          <w:rFonts w:hint="cs"/>
          <w:bCs/>
          <w:rtl/>
        </w:rPr>
        <w:t>[</w:t>
      </w:r>
      <w:r w:rsidR="00777DCB" w:rsidRPr="00A52585">
        <w:rPr>
          <w:rFonts w:hint="cs"/>
          <w:bCs/>
          <w:rtl/>
        </w:rPr>
        <w:t>المرتبة الثالثة</w:t>
      </w:r>
      <w:r w:rsidRPr="00A52585">
        <w:rPr>
          <w:rFonts w:hint="cs"/>
          <w:bCs/>
          <w:rtl/>
        </w:rPr>
        <w:t>]:</w:t>
      </w:r>
      <w:r w:rsidR="00777DCB" w:rsidRPr="00A52585">
        <w:rPr>
          <w:rFonts w:hint="cs"/>
          <w:rtl/>
        </w:rPr>
        <w:t xml:space="preserve"> القول فيها بمقتضى الحس</w:t>
      </w:r>
      <w:r w:rsidR="00DB731D" w:rsidRPr="00A52585">
        <w:rPr>
          <w:rFonts w:hint="cs"/>
          <w:rtl/>
        </w:rPr>
        <w:t>،</w:t>
      </w:r>
      <w:r w:rsidR="00777DCB" w:rsidRPr="00A52585">
        <w:rPr>
          <w:rFonts w:hint="cs"/>
          <w:rtl/>
        </w:rPr>
        <w:t xml:space="preserve"> وقد عم جهلة الناقلين إذ ليس لهم علوم المعقولات التي بها يعرف ما يجوز على الله عز وجل وما يستحيل</w:t>
      </w:r>
      <w:r w:rsidR="00DB731D" w:rsidRPr="00A52585">
        <w:rPr>
          <w:rFonts w:hint="cs"/>
          <w:rtl/>
        </w:rPr>
        <w:t>،</w:t>
      </w:r>
      <w:r w:rsidR="00777DCB" w:rsidRPr="00A52585">
        <w:rPr>
          <w:rFonts w:hint="cs"/>
          <w:rtl/>
        </w:rPr>
        <w:t xml:space="preserve"> فإن علم المعقولات يصرف ظواهر المنقولات عن التشبيه فإذا عدموها تصرفوا في النقل بمقتضى الحس ولو فهموا أن الله عز وجل لا يوصف بحركة ولا انتقال ولا جارحة ولا تغير لما بنوا على </w:t>
      </w:r>
      <w:proofErr w:type="spellStart"/>
      <w:r w:rsidR="00777DCB" w:rsidRPr="00A52585">
        <w:rPr>
          <w:rFonts w:hint="cs"/>
          <w:rtl/>
        </w:rPr>
        <w:t>الحسيات</w:t>
      </w:r>
      <w:proofErr w:type="spellEnd"/>
      <w:r w:rsidR="00777DCB" w:rsidRPr="00A52585">
        <w:rPr>
          <w:rFonts w:hint="cs"/>
          <w:rtl/>
        </w:rPr>
        <w:t xml:space="preserve"> التي فيها عين التشبيه</w:t>
      </w:r>
      <w:r w:rsidR="00DB731D" w:rsidRPr="00A52585">
        <w:rPr>
          <w:rFonts w:hint="cs"/>
          <w:vertAlign w:val="superscript"/>
          <w:rtl/>
        </w:rPr>
        <w:t>،</w:t>
      </w:r>
      <w:r w:rsidR="00777DCB" w:rsidRPr="00A52585">
        <w:rPr>
          <w:rFonts w:hint="cs"/>
          <w:rtl/>
        </w:rPr>
        <w:t xml:space="preserve"> وهو كفر بالقرآن </w:t>
      </w:r>
      <w:proofErr w:type="spellStart"/>
      <w:r w:rsidR="00777DCB" w:rsidRPr="00A52585">
        <w:rPr>
          <w:rFonts w:hint="cs"/>
          <w:rtl/>
        </w:rPr>
        <w:t>أعاذنا</w:t>
      </w:r>
      <w:proofErr w:type="spellEnd"/>
      <w:r w:rsidR="00777DCB" w:rsidRPr="00A52585">
        <w:rPr>
          <w:rFonts w:hint="cs"/>
          <w:rtl/>
        </w:rPr>
        <w:t xml:space="preserve"> الله تعالى من ذلك</w:t>
      </w:r>
      <w:r w:rsidR="00DB731D" w:rsidRPr="00A52585">
        <w:rPr>
          <w:rFonts w:hint="cs"/>
          <w:rtl/>
        </w:rPr>
        <w:t>،</w:t>
      </w:r>
      <w:r w:rsidR="00777DCB" w:rsidRPr="00A52585">
        <w:rPr>
          <w:rFonts w:hint="cs"/>
          <w:rtl/>
        </w:rPr>
        <w:t xml:space="preserve"> ولاشك أن مذهب السكوت أسلم</w:t>
      </w:r>
      <w:r w:rsidR="00DB731D" w:rsidRPr="00A52585">
        <w:rPr>
          <w:rFonts w:hint="cs"/>
          <w:rtl/>
        </w:rPr>
        <w:t>،</w:t>
      </w:r>
      <w:r w:rsidR="00777DCB" w:rsidRPr="00A52585">
        <w:rPr>
          <w:rFonts w:hint="cs"/>
          <w:rtl/>
        </w:rPr>
        <w:t xml:space="preserve"> وقد ندم خلق من أكابر المتكلمين على الخوض في ذلك</w:t>
      </w:r>
      <w:r w:rsidR="00DB731D" w:rsidRPr="00A52585">
        <w:rPr>
          <w:rFonts w:hint="cs"/>
          <w:rtl/>
        </w:rPr>
        <w:t>،</w:t>
      </w:r>
      <w:r w:rsidR="00777DCB" w:rsidRPr="00A52585">
        <w:rPr>
          <w:rFonts w:hint="cs"/>
          <w:rtl/>
        </w:rPr>
        <w:t xml:space="preserve"> قال أبو المعالي الجويني</w:t>
      </w:r>
      <w:r w:rsidRPr="00A52585">
        <w:rPr>
          <w:vertAlign w:val="superscript"/>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w:t>
      </w:r>
      <w:r w:rsidRPr="00A52585">
        <w:rPr>
          <w:rFonts w:hint="cs"/>
          <w:sz w:val="24"/>
          <w:szCs w:val="24"/>
          <w:rtl/>
        </w:rPr>
        <w:t>:</w:t>
      </w:r>
      <w:r w:rsidR="00777DCB" w:rsidRPr="00A52585">
        <w:rPr>
          <w:rFonts w:hint="cs"/>
          <w:sz w:val="24"/>
          <w:szCs w:val="24"/>
          <w:rtl/>
        </w:rPr>
        <w:t xml:space="preserve"> أبو المعالي ضياء الدين عبد الملك بن عبد الله بن يوسف الجويني إمام الحرمين رئيس الشافعية بنيسابور. ولد سنة 419هـ تفقه على والده الإمام أبو محمد الجويني وتعلم بمدرسة البيهقي وحصل أصول الدين وأصول الفقه على أبي القاسم الاسفراييني الإسكافي. جاور بمكة أربع سنين يدرس ويفتي ويجمع طرق المذهب ثم رجع إلى نيسابور، واقعد للتدريس بنظامية نيسابور نحو ثلاثين سنة. تخرج به جيل من الأئمة منهم حجة الإسلام أبو حامد الغزالي. قال ابن السمعاني</w:t>
      </w:r>
      <w:r w:rsidRPr="00A52585">
        <w:rPr>
          <w:rFonts w:hint="cs"/>
          <w:sz w:val="24"/>
          <w:szCs w:val="24"/>
          <w:rtl/>
        </w:rPr>
        <w:t>:</w:t>
      </w:r>
      <w:r w:rsidR="00777DCB" w:rsidRPr="00A52585">
        <w:rPr>
          <w:rFonts w:hint="cs"/>
          <w:sz w:val="24"/>
          <w:szCs w:val="24"/>
          <w:rtl/>
        </w:rPr>
        <w:t xml:space="preserve"> كان إمام الأئمة على الإطلاق المجمع على جلالته شرقا وغربا لم تر العيون مثله. من تصانيفه (النهاية) و (</w:t>
      </w:r>
      <w:proofErr w:type="spellStart"/>
      <w:r w:rsidR="00777DCB" w:rsidRPr="00A52585">
        <w:rPr>
          <w:rFonts w:hint="cs"/>
          <w:sz w:val="24"/>
          <w:szCs w:val="24"/>
          <w:rtl/>
        </w:rPr>
        <w:t>الغياثي</w:t>
      </w:r>
      <w:proofErr w:type="spellEnd"/>
      <w:r w:rsidR="00777DCB" w:rsidRPr="00A52585">
        <w:rPr>
          <w:rFonts w:hint="cs"/>
          <w:sz w:val="24"/>
          <w:szCs w:val="24"/>
          <w:rtl/>
        </w:rPr>
        <w:t>) و(الأساليب في الخلاف) و (الرسالة النظامية) طبع منها الجزء الخاص بالعقيدة رواية الحافظ أبي بكر بن العربي عن حجة الإسلام الغزالي عن الإمام الجويني و (البرهان) و (الإرشاد) و (الورقات) الثلاثة في أصول الفقه و (الإرشاد</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الشامل) في أصول الدين وغير ذلك. توفى رضي الله عنه عام 478هـ]</w:t>
      </w:r>
      <w:r w:rsidR="00777DCB" w:rsidRPr="00A52585">
        <w:rPr>
          <w:rFonts w:hint="cs"/>
          <w:rtl/>
        </w:rPr>
        <w:t xml:space="preserve"> في آخر عمره</w:t>
      </w:r>
      <w:r w:rsidRPr="00A52585">
        <w:rPr>
          <w:rFonts w:hint="cs"/>
          <w:rtl/>
        </w:rPr>
        <w:t>:</w:t>
      </w:r>
      <w:r w:rsidR="00777DCB" w:rsidRPr="00A52585">
        <w:rPr>
          <w:rFonts w:hint="cs"/>
          <w:rtl/>
        </w:rPr>
        <w:t xml:space="preserve"> خليت أهل الإسلام وعلومهم</w:t>
      </w:r>
      <w:r w:rsidR="00DB731D" w:rsidRPr="00A52585">
        <w:rPr>
          <w:rFonts w:hint="cs"/>
          <w:rtl/>
        </w:rPr>
        <w:t>،</w:t>
      </w:r>
      <w:r w:rsidR="00777DCB" w:rsidRPr="00A52585">
        <w:rPr>
          <w:rFonts w:hint="cs"/>
          <w:rtl/>
        </w:rPr>
        <w:t xml:space="preserve"> وركبت البحر الأعظم</w:t>
      </w:r>
      <w:r w:rsidR="00DB731D" w:rsidRPr="00A52585">
        <w:rPr>
          <w:rFonts w:hint="cs"/>
          <w:rtl/>
        </w:rPr>
        <w:t>،</w:t>
      </w:r>
      <w:r w:rsidR="00777DCB" w:rsidRPr="00A52585">
        <w:rPr>
          <w:rFonts w:hint="cs"/>
          <w:rtl/>
        </w:rPr>
        <w:t xml:space="preserve"> وغصت في الذي نهوا عنه</w:t>
      </w:r>
      <w:r w:rsidR="00DB731D" w:rsidRPr="00A52585">
        <w:rPr>
          <w:rFonts w:hint="cs"/>
          <w:rtl/>
        </w:rPr>
        <w:t>،</w:t>
      </w:r>
      <w:r w:rsidR="00777DCB" w:rsidRPr="00A52585">
        <w:rPr>
          <w:rFonts w:hint="cs"/>
          <w:rtl/>
        </w:rPr>
        <w:t xml:space="preserve"> والآن قد رجعت إلى قولهم عليكم بدين العجائز</w:t>
      </w:r>
      <w:r w:rsidR="00DB731D" w:rsidRPr="00A52585">
        <w:rPr>
          <w:rFonts w:hint="cs"/>
          <w:rtl/>
        </w:rPr>
        <w:t>،</w:t>
      </w:r>
      <w:r w:rsidR="00777DCB" w:rsidRPr="00A52585">
        <w:rPr>
          <w:rFonts w:hint="cs"/>
          <w:rtl/>
        </w:rPr>
        <w:t xml:space="preserve"> فإن لم يدركني الحق بلطفه وأموت على دين العجائز</w:t>
      </w:r>
      <w:r w:rsidR="00DB731D" w:rsidRPr="00A52585">
        <w:rPr>
          <w:rFonts w:hint="cs"/>
          <w:rtl/>
        </w:rPr>
        <w:t>،</w:t>
      </w:r>
      <w:r w:rsidR="00777DCB" w:rsidRPr="00A52585">
        <w:rPr>
          <w:rFonts w:hint="cs"/>
          <w:rtl/>
        </w:rPr>
        <w:t xml:space="preserve"> وإلاّ فالويل لابن الجويني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هذه عبارة شهيرة ينقلونها عن إمام الحرمين ونحوها عن الفخر الرازي ليدللوا بها على تفضيل منهج السلف على منهج علماء الكلام (الخلف) في صيانة العقيدة كما يستخدمها المجسمة ليدللوا بها على بطلان عقائد أهل السنة (الأشاعرة) بزعم أن أئمة أهل السنة قد </w:t>
      </w:r>
      <w:r w:rsidR="00777DCB" w:rsidRPr="00A52585">
        <w:rPr>
          <w:rFonts w:hint="cs"/>
          <w:sz w:val="24"/>
          <w:szCs w:val="24"/>
          <w:rtl/>
        </w:rPr>
        <w:lastRenderedPageBreak/>
        <w:t>تراجعوا عن هذه العقائد قبل الموت وهيهات. وقد نقل نص الكلمة كاملا وناقشه الإمام تاج الدين السبكي في طبقات الشافعية الكبرى]</w:t>
      </w:r>
      <w:r w:rsidR="00DB731D" w:rsidRPr="00A52585">
        <w:rPr>
          <w:rFonts w:hint="cs"/>
          <w:rtl/>
        </w:rPr>
        <w:t>،</w:t>
      </w:r>
      <w:r w:rsidR="00777DCB" w:rsidRPr="00A52585">
        <w:rPr>
          <w:rFonts w:hint="cs"/>
          <w:rtl/>
        </w:rPr>
        <w:t xml:space="preserve"> قال أبو الوفاء ابن عقيل</w:t>
      </w:r>
      <w:r w:rsidRPr="00A52585">
        <w:rPr>
          <w:rFonts w:hint="cs"/>
          <w:rtl/>
        </w:rPr>
        <w:t>:</w:t>
      </w:r>
      <w:r w:rsidR="00777DCB" w:rsidRPr="00A52585">
        <w:rPr>
          <w:rFonts w:hint="cs"/>
          <w:rtl/>
        </w:rPr>
        <w:t xml:space="preserve"> معنى (دين العجائز) أن المدققين بالغوا في البحث والنظر ولم يشهدوا ما يشفي العقل من التعليل فوقفوا مع المراسم </w:t>
      </w:r>
      <w:proofErr w:type="spellStart"/>
      <w:r w:rsidR="00777DCB" w:rsidRPr="00A52585">
        <w:rPr>
          <w:rFonts w:hint="cs"/>
          <w:rtl/>
        </w:rPr>
        <w:t>واستطرحوا</w:t>
      </w:r>
      <w:proofErr w:type="spellEnd"/>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لا ندري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وأما الثاني وهو ما حكاه عن بعض السلف من قوله</w:t>
      </w:r>
      <w:r w:rsidRPr="00A52585">
        <w:rPr>
          <w:rFonts w:hint="cs"/>
          <w:sz w:val="24"/>
          <w:szCs w:val="24"/>
          <w:rtl/>
        </w:rPr>
        <w:t>:</w:t>
      </w:r>
      <w:r w:rsidR="00777DCB" w:rsidRPr="00A52585">
        <w:rPr>
          <w:rFonts w:hint="cs"/>
          <w:sz w:val="24"/>
          <w:szCs w:val="24"/>
          <w:rtl/>
        </w:rPr>
        <w:t xml:space="preserve"> عيكم بدين العجائز فلا دليل فيه أيضاً على صحة التقليد، لأن مراد هذا القائل الأمر بالتمسك بما اجتمع عليه السلف الصالح من الصحابة والتابعين حتى وصل علمه إلى من ليس أهلا للنظر كالعجائز والصبيان في الكتاب والأعراب أهل البدو، وتَرْك ما أحدثته المبتدعة من القدرية والمرجئة والجبرية والروافض وغيرهم ممن لا وجود له في </w:t>
      </w:r>
      <w:proofErr w:type="spellStart"/>
      <w:r w:rsidR="00777DCB" w:rsidRPr="00A52585">
        <w:rPr>
          <w:rFonts w:hint="cs"/>
          <w:sz w:val="24"/>
          <w:szCs w:val="24"/>
          <w:rtl/>
        </w:rPr>
        <w:t>أعصار</w:t>
      </w:r>
      <w:proofErr w:type="spellEnd"/>
      <w:r w:rsidR="00777DCB" w:rsidRPr="00A52585">
        <w:rPr>
          <w:rFonts w:hint="cs"/>
          <w:sz w:val="24"/>
          <w:szCs w:val="24"/>
          <w:rtl/>
        </w:rPr>
        <w:t xml:space="preserve"> السلف الصالح خاصهم وعامهم</w:t>
      </w:r>
      <w:r w:rsidR="00897A24" w:rsidRPr="00A52585">
        <w:rPr>
          <w:rFonts w:hint="cs"/>
          <w:sz w:val="24"/>
          <w:szCs w:val="24"/>
          <w:rtl/>
        </w:rPr>
        <w:t>.</w:t>
      </w:r>
      <w:r w:rsidR="00777DCB" w:rsidRPr="00A52585">
        <w:rPr>
          <w:rFonts w:hint="cs"/>
          <w:sz w:val="24"/>
          <w:szCs w:val="24"/>
          <w:rtl/>
        </w:rPr>
        <w:t>. ثم ضرب أمثلة منها</w:t>
      </w:r>
      <w:r w:rsidRPr="00A52585">
        <w:rPr>
          <w:rFonts w:hint="cs"/>
          <w:sz w:val="24"/>
          <w:szCs w:val="24"/>
          <w:rtl/>
        </w:rPr>
        <w:t>:</w:t>
      </w:r>
      <w:r w:rsidR="00777DCB" w:rsidRPr="00A52585">
        <w:rPr>
          <w:rFonts w:hint="cs"/>
          <w:sz w:val="24"/>
          <w:szCs w:val="24"/>
          <w:rtl/>
        </w:rPr>
        <w:t xml:space="preserve"> مثل ما أنكرته المعتزلة من جواز العفو عمن مات مصراً على المعاصي وإنكار الشفاعة له، وإنكار خلق الجنة والنار وغير ذلك</w:t>
      </w:r>
      <w:r w:rsidR="00897A24"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ويدل قطعاً على هذا التأويل إتيان عمر بن عبد العزيز بمثل هذا جواباً للسائل عن الأهواء فكأنه قال له عليك في الدين بما كان عليه السلف الصالح وتلقاه منهم الخلف ودع ما ينقض ذلك مما أحدثه المبتدعة</w:t>
      </w:r>
      <w:r w:rsidR="00DB731D" w:rsidRPr="00A52585">
        <w:rPr>
          <w:rFonts w:hint="cs"/>
          <w:sz w:val="24"/>
          <w:szCs w:val="24"/>
          <w:rtl/>
        </w:rPr>
        <w:t>،</w:t>
      </w:r>
      <w:r w:rsidR="00777DCB" w:rsidRPr="00A52585">
        <w:rPr>
          <w:rFonts w:hint="cs"/>
          <w:sz w:val="24"/>
          <w:szCs w:val="24"/>
          <w:rtl/>
        </w:rPr>
        <w:t xml:space="preserve"> ثم قال</w:t>
      </w:r>
      <w:r w:rsidRPr="00A52585">
        <w:rPr>
          <w:rFonts w:hint="cs"/>
          <w:sz w:val="24"/>
          <w:szCs w:val="24"/>
          <w:rtl/>
        </w:rPr>
        <w:t xml:space="preserve">: </w:t>
      </w:r>
      <w:r w:rsidR="00777DCB" w:rsidRPr="00A52585">
        <w:rPr>
          <w:rFonts w:hint="cs"/>
          <w:sz w:val="24"/>
          <w:szCs w:val="24"/>
          <w:rtl/>
        </w:rPr>
        <w:t>" لأن علماء السنة رضي الله عنهم إنما ألفوا في علم التوحيد ليبينوا للناس ما كان عليه السلف الصالح وصار لشهرته ووضوحه قبل ظهور البدع دينا لعجائزهم وإمائهم وأهل البدو وصبيان كتابهم وزادوا بأن حصنوه بالبراهين العقلية وبالأدلة النقلية القطعية فيما تقبل فيه منهم رضي الله عنهم "</w:t>
      </w:r>
      <w:r w:rsidR="00DB731D" w:rsidRPr="00A52585">
        <w:rPr>
          <w:rFonts w:hint="cs"/>
          <w:sz w:val="24"/>
          <w:szCs w:val="24"/>
          <w:rtl/>
        </w:rPr>
        <w:t>،</w:t>
      </w:r>
      <w:r w:rsidR="00777DCB" w:rsidRPr="00A52585">
        <w:rPr>
          <w:rFonts w:hint="cs"/>
          <w:sz w:val="24"/>
          <w:szCs w:val="24"/>
          <w:rtl/>
        </w:rPr>
        <w:t xml:space="preserve"> يقول الشيخ إسماعيل الحامدي</w:t>
      </w:r>
      <w:r w:rsidRPr="00A52585">
        <w:rPr>
          <w:rFonts w:hint="cs"/>
          <w:sz w:val="24"/>
          <w:szCs w:val="24"/>
          <w:rtl/>
        </w:rPr>
        <w:t>:</w:t>
      </w:r>
      <w:r w:rsidR="00777DCB" w:rsidRPr="00A52585">
        <w:rPr>
          <w:rFonts w:hint="cs"/>
          <w:sz w:val="24"/>
          <w:szCs w:val="24"/>
          <w:rtl/>
        </w:rPr>
        <w:t xml:space="preserve"> المراد بدين العجائز الخ</w:t>
      </w:r>
      <w:r w:rsidRPr="00A52585">
        <w:rPr>
          <w:rFonts w:hint="cs"/>
          <w:sz w:val="24"/>
          <w:szCs w:val="24"/>
          <w:rtl/>
        </w:rPr>
        <w:t>:</w:t>
      </w:r>
      <w:r w:rsidR="00777DCB" w:rsidRPr="00A52585">
        <w:rPr>
          <w:rFonts w:hint="cs"/>
          <w:sz w:val="24"/>
          <w:szCs w:val="24"/>
          <w:rtl/>
        </w:rPr>
        <w:t xml:space="preserve"> الذي كان عليه السلف الصالح الدين الخالص والمعرفة الصافية من الشبه، أي الاعتقاد الجازم عن دليل إجمالي مركوز في نفوسهم</w:t>
      </w:r>
      <w:r w:rsidR="00DB731D" w:rsidRPr="00A52585">
        <w:rPr>
          <w:rFonts w:hint="cs"/>
          <w:sz w:val="24"/>
          <w:szCs w:val="24"/>
          <w:rtl/>
        </w:rPr>
        <w:t>،</w:t>
      </w:r>
      <w:r w:rsidR="00777DCB" w:rsidRPr="00A52585">
        <w:rPr>
          <w:rFonts w:hint="cs"/>
          <w:sz w:val="24"/>
          <w:szCs w:val="24"/>
          <w:rtl/>
        </w:rPr>
        <w:t xml:space="preserve"> والذي زاده النظار إنما هي براهين تفصيلية على طريق المناطقة صوناً لها عن الشبه فالمأمور به المعرفة لا التقليد]</w:t>
      </w:r>
      <w:r w:rsidR="00DB731D" w:rsidRPr="00A52585">
        <w:rPr>
          <w:rFonts w:hint="cs"/>
          <w:rtl/>
        </w:rPr>
        <w:t>،</w:t>
      </w:r>
      <w:r w:rsidR="00777DCB" w:rsidRPr="00A52585">
        <w:rPr>
          <w:rFonts w:hint="cs"/>
          <w:rtl/>
        </w:rPr>
        <w:t xml:space="preserve"> وسئل الإمام أحمد قدس الله تعالى روحه عن الاستواء فقال</w:t>
      </w:r>
      <w:r w:rsidRPr="00A52585">
        <w:rPr>
          <w:rFonts w:hint="cs"/>
          <w:rtl/>
        </w:rPr>
        <w:t>:</w:t>
      </w:r>
      <w:r w:rsidR="00777DCB" w:rsidRPr="00A52585">
        <w:rPr>
          <w:rFonts w:hint="cs"/>
          <w:rtl/>
        </w:rPr>
        <w:t xml:space="preserve"> هو كما أخبر لا كما يخطر للبشر</w:t>
      </w:r>
      <w:r w:rsidR="00DB731D" w:rsidRPr="00A52585">
        <w:rPr>
          <w:rFonts w:hint="cs"/>
          <w:rtl/>
        </w:rPr>
        <w:t>،</w:t>
      </w:r>
      <w:r w:rsidR="00777DCB" w:rsidRPr="00A52585">
        <w:rPr>
          <w:rFonts w:hint="cs"/>
          <w:rtl/>
        </w:rPr>
        <w:t xml:space="preserve"> فانظر وفقك الله وأرشدك إلى الحق إلى هذه العبارة ما أرشقها وعلى أتباعه ما </w:t>
      </w:r>
      <w:proofErr w:type="spellStart"/>
      <w:r w:rsidR="00777DCB" w:rsidRPr="00A52585">
        <w:rPr>
          <w:rFonts w:hint="cs"/>
          <w:rtl/>
        </w:rPr>
        <w:t>أشفقها</w:t>
      </w:r>
      <w:proofErr w:type="spellEnd"/>
      <w:r w:rsidR="00777DCB" w:rsidRPr="00A52585">
        <w:rPr>
          <w:rFonts w:hint="cs"/>
          <w:vertAlign w:val="superscript"/>
          <w:rtl/>
        </w:rPr>
        <w:t xml:space="preserve"> </w:t>
      </w:r>
      <w:r w:rsidR="00777DCB" w:rsidRPr="00A52585">
        <w:rPr>
          <w:rFonts w:hint="cs"/>
          <w:rtl/>
        </w:rPr>
        <w:t>اعتقاد قويم ومنهاج سليم</w:t>
      </w:r>
      <w:r w:rsidR="00DB731D" w:rsidRPr="00A52585">
        <w:rPr>
          <w:rFonts w:hint="cs"/>
          <w:rtl/>
        </w:rPr>
        <w:t>،</w:t>
      </w:r>
      <w:r w:rsidR="00777DCB" w:rsidRPr="00A52585">
        <w:rPr>
          <w:rFonts w:hint="cs"/>
          <w:rtl/>
        </w:rPr>
        <w:t xml:space="preserve"> قال الحافظ أبو الفرج ابن الجوزي واسمه عبد الرحمن بن علي</w:t>
      </w:r>
      <w:r w:rsidRPr="00A52585">
        <w:rPr>
          <w:rFonts w:hint="cs"/>
          <w:rtl/>
        </w:rPr>
        <w:t>:</w:t>
      </w:r>
      <w:r w:rsidR="00777DCB" w:rsidRPr="00A52585">
        <w:rPr>
          <w:rFonts w:hint="cs"/>
          <w:rtl/>
        </w:rPr>
        <w:t xml:space="preserve"> لما رأى الحساد للإمام أحمد ما حصل له من الرفعة ونفاسة مذهبه لتشييده بالكتاب والسنة انتموا إلى مذهبه ليدُخلوا عليه النقص والخلل وصرف الناس عنه حسداً من عند أنفسهم فصرحوا بالتشبيه والتجسيم ولم يستحيوا من القدير العليم ونسبوه إليه افتراءً عليه</w:t>
      </w:r>
      <w:r w:rsidR="00DB731D" w:rsidRPr="00A52585">
        <w:rPr>
          <w:rFonts w:hint="cs"/>
          <w:rtl/>
        </w:rPr>
        <w:t>،</w:t>
      </w:r>
      <w:r w:rsidR="00897A24" w:rsidRPr="00A52585">
        <w:rPr>
          <w:rFonts w:hint="cs"/>
          <w:rtl/>
        </w:rPr>
        <w:t>.</w:t>
      </w:r>
      <w:r w:rsidR="00777DCB" w:rsidRPr="00A52585">
        <w:rPr>
          <w:rFonts w:hint="cs"/>
          <w:rtl/>
        </w:rPr>
        <w:t>.</w:t>
      </w:r>
    </w:p>
    <w:p w14:paraId="58A9CEA8" w14:textId="77777777" w:rsidR="00777DCB" w:rsidRPr="00A52585" w:rsidRDefault="00777DCB" w:rsidP="0002035C">
      <w:pPr>
        <w:spacing w:after="240"/>
        <w:jc w:val="center"/>
        <w:rPr>
          <w:b/>
          <w:bCs/>
          <w:rtl/>
        </w:rPr>
      </w:pPr>
      <w:r w:rsidRPr="00A52585">
        <w:rPr>
          <w:rFonts w:hint="cs"/>
          <w:bCs/>
          <w:rtl/>
        </w:rPr>
        <w:t>*********</w:t>
      </w:r>
    </w:p>
    <w:p w14:paraId="0569E950" w14:textId="30760C4F"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موقف السلف من آيات وأحاديث الصفات</w:t>
      </w:r>
      <w:r w:rsidRPr="00A52585">
        <w:rPr>
          <w:rFonts w:hint="cs"/>
          <w:bCs/>
          <w:rtl/>
        </w:rPr>
        <w:t>]</w:t>
      </w:r>
    </w:p>
    <w:p w14:paraId="4B285337" w14:textId="26461D59" w:rsidR="00777DCB" w:rsidRPr="00A52585" w:rsidRDefault="00777DCB" w:rsidP="0002035C">
      <w:pPr>
        <w:spacing w:after="240"/>
        <w:rPr>
          <w:b/>
          <w:rtl/>
        </w:rPr>
      </w:pPr>
      <w:r w:rsidRPr="00A52585">
        <w:rPr>
          <w:rFonts w:hint="cs"/>
          <w:rtl/>
        </w:rPr>
        <w:t>وسئل الإمام الشافعي قدس الله تعالى روحه عن الاستواء فقال</w:t>
      </w:r>
      <w:r w:rsidR="0002035C" w:rsidRPr="00A52585">
        <w:rPr>
          <w:rFonts w:hint="cs"/>
          <w:rtl/>
        </w:rPr>
        <w:t>:</w:t>
      </w:r>
      <w:r w:rsidRPr="00A52585">
        <w:rPr>
          <w:rFonts w:hint="cs"/>
          <w:rtl/>
        </w:rPr>
        <w:t xml:space="preserve"> (آمنت بلا تشبيه</w:t>
      </w:r>
      <w:r w:rsidR="00DB731D" w:rsidRPr="00A52585">
        <w:rPr>
          <w:rFonts w:hint="cs"/>
          <w:rtl/>
        </w:rPr>
        <w:t>،</w:t>
      </w:r>
      <w:r w:rsidRPr="00A52585">
        <w:rPr>
          <w:rFonts w:hint="cs"/>
          <w:rtl/>
        </w:rPr>
        <w:t xml:space="preserve"> وصدقت بلا تمثيل</w:t>
      </w:r>
      <w:r w:rsidR="00DB731D" w:rsidRPr="00A52585">
        <w:rPr>
          <w:rFonts w:hint="cs"/>
          <w:rtl/>
        </w:rPr>
        <w:t>،</w:t>
      </w:r>
      <w:r w:rsidRPr="00A52585">
        <w:rPr>
          <w:rFonts w:hint="cs"/>
          <w:rtl/>
        </w:rPr>
        <w:t xml:space="preserve"> واتهمت نفسي في الإدراك</w:t>
      </w:r>
      <w:r w:rsidR="00DB731D" w:rsidRPr="00A52585">
        <w:rPr>
          <w:rFonts w:hint="cs"/>
          <w:rtl/>
        </w:rPr>
        <w:t>،</w:t>
      </w:r>
      <w:r w:rsidRPr="00A52585">
        <w:rPr>
          <w:rFonts w:hint="cs"/>
          <w:rtl/>
        </w:rPr>
        <w:t xml:space="preserve"> وأمسكت عن الخوض فيه كل الإمساك)</w:t>
      </w:r>
      <w:r w:rsidR="00DB731D" w:rsidRPr="00A52585">
        <w:rPr>
          <w:rFonts w:hint="cs"/>
          <w:rtl/>
        </w:rPr>
        <w:t>،</w:t>
      </w:r>
      <w:r w:rsidRPr="00A52585">
        <w:rPr>
          <w:rFonts w:hint="cs"/>
          <w:rtl/>
        </w:rPr>
        <w:t xml:space="preserve"> وهذا شأن الأئمة يمسكون </w:t>
      </w:r>
      <w:proofErr w:type="spellStart"/>
      <w:r w:rsidRPr="00A52585">
        <w:rPr>
          <w:rFonts w:hint="cs"/>
          <w:rtl/>
        </w:rPr>
        <w:t>أَعِنَّة</w:t>
      </w:r>
      <w:proofErr w:type="spellEnd"/>
      <w:r w:rsidRPr="00A52585">
        <w:rPr>
          <w:rFonts w:hint="cs"/>
          <w:rtl/>
        </w:rPr>
        <w:t xml:space="preserve"> الخوض في هذا الشأن مع أنهم أعلم الناس به ولا يخوض فيه إلا أجهل الناس به</w:t>
      </w:r>
      <w:r w:rsidR="00DB731D" w:rsidRPr="00A52585">
        <w:rPr>
          <w:rFonts w:hint="cs"/>
          <w:rtl/>
        </w:rPr>
        <w:t>،</w:t>
      </w:r>
      <w:r w:rsidRPr="00A52585">
        <w:rPr>
          <w:rFonts w:hint="cs"/>
          <w:rtl/>
          <w:lang w:bidi="ar-KW"/>
        </w:rPr>
        <w:t xml:space="preserve"> </w:t>
      </w:r>
      <w:r w:rsidRPr="00A52585">
        <w:rPr>
          <w:rFonts w:hint="cs"/>
          <w:rtl/>
        </w:rPr>
        <w:t xml:space="preserve">وسئل الإمام أبو </w:t>
      </w:r>
      <w:r w:rsidRPr="00A52585">
        <w:rPr>
          <w:rFonts w:hint="cs"/>
          <w:rtl/>
        </w:rPr>
        <w:lastRenderedPageBreak/>
        <w:t>حنيفة قدس الله تعالى روحه عن ذلك فقال</w:t>
      </w:r>
      <w:r w:rsidR="0002035C" w:rsidRPr="00A52585">
        <w:rPr>
          <w:rFonts w:hint="cs"/>
          <w:rtl/>
        </w:rPr>
        <w:t>:</w:t>
      </w:r>
      <w:r w:rsidRPr="00A52585">
        <w:rPr>
          <w:rFonts w:hint="cs"/>
          <w:rtl/>
        </w:rPr>
        <w:t xml:space="preserve"> (من قال لا أعرف الله أفي السماء أم في الأرض فقد كفر). لأن هذا القول يؤذن أن لله سبحانه وتعالى مكان</w:t>
      </w:r>
      <w:r w:rsidR="00DB731D" w:rsidRPr="00A52585">
        <w:rPr>
          <w:rFonts w:hint="cs"/>
          <w:rtl/>
        </w:rPr>
        <w:t>،</w:t>
      </w:r>
      <w:r w:rsidRPr="00A52585">
        <w:rPr>
          <w:rFonts w:hint="cs"/>
          <w:rtl/>
        </w:rPr>
        <w:t xml:space="preserve"> ومن توهم أن للحق مكاناً فهو مشبه</w:t>
      </w:r>
      <w:r w:rsidR="00DB731D" w:rsidRPr="00A52585">
        <w:rPr>
          <w:rFonts w:hint="cs"/>
          <w:rtl/>
        </w:rPr>
        <w:t>،</w:t>
      </w:r>
      <w:r w:rsidRPr="00A52585">
        <w:rPr>
          <w:rFonts w:hint="cs"/>
          <w:rtl/>
        </w:rPr>
        <w:t xml:space="preserve"> وسئل الإمام مالك عن الاستواء فقال</w:t>
      </w:r>
      <w:r w:rsidR="0002035C" w:rsidRPr="00A52585">
        <w:rPr>
          <w:rFonts w:hint="cs"/>
          <w:rtl/>
        </w:rPr>
        <w:t>:</w:t>
      </w:r>
      <w:r w:rsidRPr="00A52585">
        <w:rPr>
          <w:rFonts w:hint="cs"/>
          <w:rtl/>
        </w:rPr>
        <w:t xml:space="preserve"> (الاستواء معلوم والكيف مجهول والإيمان به واجب والسؤال عنه بدعة)</w:t>
      </w:r>
      <w:r w:rsidR="00DB731D" w:rsidRPr="00A52585">
        <w:rPr>
          <w:rFonts w:hint="cs"/>
          <w:rtl/>
        </w:rPr>
        <w:t>،</w:t>
      </w:r>
      <w:r w:rsidRPr="00A52585">
        <w:rPr>
          <w:rFonts w:hint="cs"/>
          <w:rtl/>
        </w:rPr>
        <w:t xml:space="preserve"> فنفى العلم بالكيف</w:t>
      </w:r>
      <w:r w:rsidR="00DB731D" w:rsidRPr="00A52585">
        <w:rPr>
          <w:rFonts w:hint="cs"/>
          <w:rtl/>
        </w:rPr>
        <w:t>،</w:t>
      </w:r>
      <w:r w:rsidRPr="00A52585">
        <w:rPr>
          <w:rFonts w:hint="cs"/>
          <w:rtl/>
        </w:rPr>
        <w:t xml:space="preserve"> فمن استدل بكلامه على أنه سبحانه وتعالى فوق عرشه فهو لجهله وسوء فهمه</w:t>
      </w:r>
      <w:r w:rsidR="00DB731D" w:rsidRPr="00A52585">
        <w:rPr>
          <w:rFonts w:hint="cs"/>
          <w:rtl/>
        </w:rPr>
        <w:t>،</w:t>
      </w:r>
      <w:r w:rsidRPr="00A52585">
        <w:rPr>
          <w:rFonts w:hint="cs"/>
          <w:rtl/>
        </w:rPr>
        <w:t xml:space="preserve"> وقال الإمام مالك عند قوله تعالى</w:t>
      </w:r>
      <w:r w:rsidR="0002035C" w:rsidRPr="00A52585">
        <w:rPr>
          <w:rFonts w:hint="cs"/>
          <w:rtl/>
        </w:rPr>
        <w:t>:</w:t>
      </w:r>
      <w:r w:rsidRPr="00A52585">
        <w:rPr>
          <w:rFonts w:hint="cs"/>
          <w:rtl/>
        </w:rPr>
        <w:t xml:space="preserve"> {فَلاَ تَضْرِبُوا لله الأَمْثَالَ} </w:t>
      </w:r>
      <w:r w:rsidR="0002035C" w:rsidRPr="00A52585">
        <w:rPr>
          <w:rFonts w:hint="cs"/>
          <w:rtl/>
        </w:rPr>
        <w:t>[</w:t>
      </w:r>
      <w:r w:rsidRPr="00A52585">
        <w:rPr>
          <w:rFonts w:hint="cs"/>
          <w:rtl/>
        </w:rPr>
        <w:t>النحل</w:t>
      </w:r>
      <w:r w:rsidR="0002035C" w:rsidRPr="00A52585">
        <w:rPr>
          <w:rFonts w:hint="cs"/>
          <w:rtl/>
        </w:rPr>
        <w:t>:</w:t>
      </w:r>
      <w:r w:rsidRPr="00A52585">
        <w:rPr>
          <w:rFonts w:hint="cs"/>
          <w:rtl/>
        </w:rPr>
        <w:t xml:space="preserve"> 74</w:t>
      </w:r>
      <w:r w:rsidR="0002035C" w:rsidRPr="00A52585">
        <w:rPr>
          <w:rFonts w:hint="cs"/>
          <w:rtl/>
        </w:rPr>
        <w:t>]</w:t>
      </w:r>
      <w:r w:rsidR="00DB731D" w:rsidRPr="00A52585">
        <w:rPr>
          <w:rFonts w:hint="cs"/>
          <w:rtl/>
        </w:rPr>
        <w:t>،</w:t>
      </w:r>
      <w:r w:rsidRPr="00A52585">
        <w:rPr>
          <w:rFonts w:hint="cs"/>
          <w:rtl/>
        </w:rPr>
        <w:t xml:space="preserve"> من وصف شيئاً من ذات الله سبحانه وتعالى مثل قوله تعالى</w:t>
      </w:r>
      <w:r w:rsidR="0002035C" w:rsidRPr="00A52585">
        <w:rPr>
          <w:rFonts w:hint="cs"/>
          <w:rtl/>
        </w:rPr>
        <w:t>:</w:t>
      </w:r>
      <w:r w:rsidRPr="00A52585">
        <w:rPr>
          <w:rFonts w:hint="cs"/>
          <w:rtl/>
        </w:rPr>
        <w:t xml:space="preserve"> {وَقَاَلَتِ الْيَهُودُ يَدُ الله مَغْلُولَةٌ غُلَّتْ أَيْدِيِهِمْ</w:t>
      </w:r>
      <w:r w:rsidR="0002035C" w:rsidRPr="00A52585">
        <w:rPr>
          <w:rFonts w:hint="cs"/>
          <w:vertAlign w:val="superscript"/>
          <w:rtl/>
        </w:rPr>
        <w:t>}</w:t>
      </w:r>
      <w:r w:rsidRPr="00A52585">
        <w:rPr>
          <w:rFonts w:hint="cs"/>
          <w:rtl/>
        </w:rPr>
        <w:t xml:space="preserve"> </w:t>
      </w:r>
      <w:r w:rsidR="0002035C" w:rsidRPr="00A52585">
        <w:rPr>
          <w:rFonts w:hint="cs"/>
          <w:rtl/>
        </w:rPr>
        <w:t>[</w:t>
      </w:r>
      <w:r w:rsidRPr="00A52585">
        <w:rPr>
          <w:rFonts w:hint="cs"/>
          <w:rtl/>
        </w:rPr>
        <w:t>المائدة</w:t>
      </w:r>
      <w:r w:rsidR="0002035C" w:rsidRPr="00A52585">
        <w:rPr>
          <w:rFonts w:hint="cs"/>
          <w:rtl/>
        </w:rPr>
        <w:t>:</w:t>
      </w:r>
      <w:r w:rsidRPr="00A52585">
        <w:rPr>
          <w:rFonts w:hint="cs"/>
          <w:rtl/>
        </w:rPr>
        <w:t xml:space="preserve"> 64</w:t>
      </w:r>
      <w:r w:rsidR="0002035C" w:rsidRPr="00A52585">
        <w:rPr>
          <w:rFonts w:hint="cs"/>
          <w:rtl/>
        </w:rPr>
        <w:t>]</w:t>
      </w:r>
      <w:r w:rsidR="00DB731D" w:rsidRPr="00A52585">
        <w:rPr>
          <w:rFonts w:hint="cs"/>
          <w:rtl/>
        </w:rPr>
        <w:t>،</w:t>
      </w:r>
      <w:r w:rsidRPr="00A52585">
        <w:rPr>
          <w:rFonts w:hint="cs"/>
          <w:rtl/>
        </w:rPr>
        <w:t xml:space="preserve"> فأشار بيده إلى عنقه قطعت وكذا السمع والبصر يقلع ذلك منه لأنه شبه الله بنفسه</w:t>
      </w:r>
      <w:r w:rsidR="00DB731D" w:rsidRPr="00A52585">
        <w:rPr>
          <w:rFonts w:hint="cs"/>
          <w:rtl/>
        </w:rPr>
        <w:t>،</w:t>
      </w:r>
      <w:r w:rsidRPr="00A52585">
        <w:rPr>
          <w:rFonts w:hint="cs"/>
          <w:rtl/>
        </w:rPr>
        <w:t xml:space="preserve"> وقول مالك رضي الله عنه</w:t>
      </w:r>
      <w:r w:rsidR="0002035C" w:rsidRPr="00A52585">
        <w:rPr>
          <w:rFonts w:hint="cs"/>
          <w:rtl/>
        </w:rPr>
        <w:t>:</w:t>
      </w:r>
      <w:r w:rsidRPr="00A52585">
        <w:rPr>
          <w:rFonts w:hint="cs"/>
          <w:rtl/>
        </w:rPr>
        <w:t xml:space="preserve"> الاستواء معلوم</w:t>
      </w:r>
      <w:r w:rsidR="00897A24" w:rsidRPr="00A52585">
        <w:rPr>
          <w:rFonts w:hint="cs"/>
          <w:rtl/>
        </w:rPr>
        <w:t>.</w:t>
      </w:r>
      <w:r w:rsidRPr="00A52585">
        <w:rPr>
          <w:rFonts w:hint="cs"/>
          <w:rtl/>
        </w:rPr>
        <w:t xml:space="preserve"> يعني عند أهل اللغة</w:t>
      </w:r>
      <w:r w:rsidR="00897A24" w:rsidRPr="00A52585">
        <w:rPr>
          <w:rFonts w:hint="cs"/>
          <w:rtl/>
        </w:rPr>
        <w:t>.</w:t>
      </w:r>
      <w:r w:rsidR="00DB731D" w:rsidRPr="00A52585">
        <w:rPr>
          <w:rFonts w:hint="cs"/>
          <w:rtl/>
        </w:rPr>
        <w:t>،</w:t>
      </w:r>
      <w:r w:rsidRPr="00A52585">
        <w:rPr>
          <w:rFonts w:hint="cs"/>
          <w:rtl/>
        </w:rPr>
        <w:t xml:space="preserve"> وقوله والكيف مجهول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في رواية أخرى عن الإمام مالك (والكيف غير معقول) ذكرها ابن حجر في (فتح الباري) والبيهقي في (الأسماء والصفات) بسند جيد ومعناها نفي وجود الكيف، لا أن هناك كيفية لا نعلمها وارجع إلى ما نقله الترمذي في سننه عنه وسبق نقله وانظر (المحكم والمتشابه) و(دفع شبه التشبيه) ط دار الإمام النووي وكذا (فرقان القرآن) وفي رواية البيهقي (.. ولا يقال كيف، وكيف عنه مرفوع</w:t>
      </w:r>
      <w:r w:rsidR="0002035C" w:rsidRPr="00A52585">
        <w:rPr>
          <w:rFonts w:hint="cs"/>
          <w:sz w:val="24"/>
          <w:szCs w:val="24"/>
          <w:rtl/>
        </w:rPr>
        <w:t>)</w:t>
      </w:r>
      <w:r w:rsidRPr="00A52585">
        <w:rPr>
          <w:rFonts w:hint="cs"/>
          <w:sz w:val="24"/>
          <w:szCs w:val="24"/>
          <w:rtl/>
        </w:rPr>
        <w:t xml:space="preserve"> بإسناد صحيح</w:t>
      </w:r>
      <w:r w:rsidR="0002035C" w:rsidRPr="00A52585">
        <w:rPr>
          <w:rFonts w:hint="cs"/>
          <w:sz w:val="24"/>
          <w:szCs w:val="24"/>
          <w:rtl/>
        </w:rPr>
        <w:t>]</w:t>
      </w:r>
      <w:r w:rsidRPr="00A52585">
        <w:rPr>
          <w:rFonts w:hint="cs"/>
          <w:rtl/>
        </w:rPr>
        <w:t>: أي بالنسبة إلى الله عز وجل لأن الكيف من صفات الحدث وكل ما كان من صفات الحدث فالله عز وجل مُنَزَّه عنه</w:t>
      </w:r>
      <w:r w:rsidR="00DB731D" w:rsidRPr="00A52585">
        <w:rPr>
          <w:rFonts w:hint="cs"/>
          <w:rtl/>
        </w:rPr>
        <w:t>،</w:t>
      </w:r>
      <w:r w:rsidRPr="00A52585">
        <w:rPr>
          <w:rFonts w:hint="cs"/>
          <w:rtl/>
        </w:rPr>
        <w:t xml:space="preserve"> فإثباته له سبحانه كفر محقق عند جميع أهل السنة والجماعة</w:t>
      </w:r>
      <w:r w:rsidR="00DB731D"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والإيمان به واجب</w:t>
      </w:r>
      <w:r w:rsidR="0002035C" w:rsidRPr="00A52585">
        <w:rPr>
          <w:rFonts w:hint="cs"/>
          <w:rtl/>
        </w:rPr>
        <w:t>:</w:t>
      </w:r>
      <w:r w:rsidRPr="00A52585">
        <w:rPr>
          <w:rFonts w:hint="cs"/>
          <w:rtl/>
        </w:rPr>
        <w:t xml:space="preserve"> أي على الوجه اللائق بعظمته وكبريائه</w:t>
      </w:r>
      <w:r w:rsidR="00DB731D" w:rsidRPr="00A52585">
        <w:rPr>
          <w:rFonts w:hint="cs"/>
          <w:rtl/>
        </w:rPr>
        <w:t>،</w:t>
      </w:r>
      <w:r w:rsidRPr="00A52585">
        <w:rPr>
          <w:rFonts w:hint="cs"/>
          <w:rtl/>
        </w:rPr>
        <w:t xml:space="preserve"> وقوله</w:t>
      </w:r>
      <w:r w:rsidR="0002035C" w:rsidRPr="00A52585">
        <w:rPr>
          <w:rFonts w:hint="cs"/>
          <w:rtl/>
        </w:rPr>
        <w:t>:</w:t>
      </w:r>
      <w:r w:rsidRPr="00A52585">
        <w:rPr>
          <w:rFonts w:hint="cs"/>
          <w:rtl/>
        </w:rPr>
        <w:t xml:space="preserve"> والسؤال عنه بدعة</w:t>
      </w:r>
      <w:r w:rsidR="0002035C" w:rsidRPr="00A52585">
        <w:rPr>
          <w:rFonts w:hint="cs"/>
          <w:rtl/>
        </w:rPr>
        <w:t>:</w:t>
      </w:r>
      <w:r w:rsidRPr="00A52585">
        <w:rPr>
          <w:rFonts w:hint="cs"/>
          <w:rtl/>
        </w:rPr>
        <w:t xml:space="preserve"> لأن الصحابة رضي الله عنهم كانوا عالمين به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وقد نقل لنا الصحابة رضي الله عنهم الدين كله بعقائده وأحكامه الفقهية وغنى عن الذكر شدة اجتهادهم في طلب العلم وتحصيله وشدة ذكائهم وجودة قرائحهم في أصغر المسائل العلمية وأكبرها على السواء حتى أن معضلات المسائل التي لا يتوصل إلى جوابها إلا بالأنظار الدقيقة في السنين المتطاولة إذا سُئِل عنها أمير المؤمنين علي بن أبي طالب أجاب بديهة من غير تأمل انظر مناقبهم في كتب السنة وكذا </w:t>
      </w:r>
      <w:r w:rsidR="0002035C" w:rsidRPr="00A52585">
        <w:rPr>
          <w:rFonts w:hint="cs"/>
          <w:sz w:val="24"/>
          <w:szCs w:val="24"/>
          <w:rtl/>
        </w:rPr>
        <w:t>(</w:t>
      </w:r>
      <w:r w:rsidRPr="00A52585">
        <w:rPr>
          <w:rFonts w:hint="cs"/>
          <w:sz w:val="24"/>
          <w:szCs w:val="24"/>
          <w:rtl/>
        </w:rPr>
        <w:t>شرح السنوسية الكبرى</w:t>
      </w:r>
      <w:r w:rsidR="0002035C" w:rsidRPr="00A52585">
        <w:rPr>
          <w:rFonts w:hint="cs"/>
          <w:sz w:val="24"/>
          <w:szCs w:val="24"/>
          <w:rtl/>
        </w:rPr>
        <w:t>)</w:t>
      </w:r>
      <w:r w:rsidRPr="00A52585">
        <w:rPr>
          <w:rFonts w:hint="cs"/>
          <w:sz w:val="24"/>
          <w:szCs w:val="24"/>
          <w:rtl/>
        </w:rPr>
        <w:t xml:space="preserve"> ص44 </w:t>
      </w:r>
      <w:r w:rsidRPr="00A52585">
        <w:rPr>
          <w:sz w:val="24"/>
          <w:szCs w:val="24"/>
        </w:rPr>
        <w:t>–</w:t>
      </w:r>
      <w:r w:rsidRPr="00A52585">
        <w:rPr>
          <w:rFonts w:hint="cs"/>
          <w:sz w:val="24"/>
          <w:szCs w:val="24"/>
          <w:rtl/>
        </w:rPr>
        <w:t xml:space="preserve"> 45 ط. دار القلم</w:t>
      </w:r>
      <w:r w:rsidR="0002035C" w:rsidRPr="00A52585">
        <w:rPr>
          <w:rFonts w:hint="cs"/>
          <w:sz w:val="24"/>
          <w:szCs w:val="24"/>
          <w:rtl/>
        </w:rPr>
        <w:t>]</w:t>
      </w:r>
      <w:r w:rsidRPr="00A52585">
        <w:rPr>
          <w:rFonts w:hint="cs"/>
          <w:rtl/>
        </w:rPr>
        <w:t xml:space="preserve"> وبمعناه اللائق بحسب اللغة</w:t>
      </w:r>
      <w:r w:rsidR="00DB731D" w:rsidRPr="00A52585">
        <w:rPr>
          <w:rFonts w:hint="cs"/>
          <w:rtl/>
        </w:rPr>
        <w:t>،</w:t>
      </w:r>
      <w:r w:rsidRPr="00A52585">
        <w:rPr>
          <w:rFonts w:hint="cs"/>
          <w:rtl/>
        </w:rPr>
        <w:t xml:space="preserve"> فلم يحتاجوا إلى السؤال عنه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والصحابة رضي الله عنهم كانوا أفصح الفصحاء وأبلغ البلغاء وأكثر المتكلمين سبقا إلى إدراك المراد في العبارات الغامضة والمعاني الدقيقة فكل خفيّ علينا جليٌّ عندهم، لم يكونوا يحتاجون إلى ألفاظ واصطلاحات تصحح لهم المعاني، بل ببديهة العقل يفهمون حين يسمعون</w:t>
      </w:r>
      <w:r w:rsidR="00DB731D" w:rsidRPr="00A52585">
        <w:rPr>
          <w:rFonts w:hint="cs"/>
          <w:sz w:val="24"/>
          <w:szCs w:val="24"/>
          <w:rtl/>
        </w:rPr>
        <w:t>،</w:t>
      </w:r>
      <w:r w:rsidRPr="00A52585">
        <w:rPr>
          <w:rFonts w:hint="cs"/>
          <w:sz w:val="24"/>
          <w:szCs w:val="24"/>
          <w:rtl/>
        </w:rPr>
        <w:t xml:space="preserve"> انظر ما شرحه الإمام ابن المعلم القرشي في (نجم المهتدي) باب (فيمن قال بالتأويل وتكلم في تنزيه الرب الجليل من الصحابة</w:t>
      </w:r>
      <w:r w:rsidRPr="00A52585">
        <w:rPr>
          <w:sz w:val="24"/>
          <w:szCs w:val="24"/>
        </w:rPr>
        <w:t>…</w:t>
      </w:r>
      <w:r w:rsidRPr="00A52585">
        <w:rPr>
          <w:rFonts w:hint="cs"/>
          <w:sz w:val="24"/>
          <w:szCs w:val="24"/>
          <w:rtl/>
        </w:rPr>
        <w:t>) لوحة (97) فما بعدها وضرب نماذج عديدة لفهمهم اللغة وأسرار البيان]</w:t>
      </w:r>
      <w:r w:rsidRPr="00A52585">
        <w:rPr>
          <w:rFonts w:hint="cs"/>
          <w:rtl/>
        </w:rPr>
        <w:t xml:space="preserve"> فلما ذهب العالمون به وحدث من لم يعلم أوضاع لغتهم</w:t>
      </w:r>
      <w:r w:rsidR="00DB731D" w:rsidRPr="00A52585">
        <w:rPr>
          <w:rFonts w:hint="cs"/>
          <w:rtl/>
        </w:rPr>
        <w:t>،</w:t>
      </w:r>
      <w:r w:rsidRPr="00A52585">
        <w:rPr>
          <w:rFonts w:hint="cs"/>
          <w:rtl/>
        </w:rPr>
        <w:t xml:space="preserve"> ولا له نور كنورهم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قال تعالى</w:t>
      </w:r>
      <w:r w:rsidR="0002035C" w:rsidRPr="00A52585">
        <w:rPr>
          <w:rFonts w:hint="cs"/>
          <w:sz w:val="24"/>
          <w:szCs w:val="24"/>
          <w:rtl/>
        </w:rPr>
        <w:t>:</w:t>
      </w:r>
      <w:r w:rsidRPr="00A52585">
        <w:rPr>
          <w:rFonts w:hint="cs"/>
          <w:sz w:val="24"/>
          <w:szCs w:val="24"/>
          <w:rtl/>
        </w:rPr>
        <w:t xml:space="preserve"> {إن في ذلك لآيات للمتوسمين</w:t>
      </w:r>
      <w:r w:rsidR="0002035C" w:rsidRPr="00A52585">
        <w:rPr>
          <w:rFonts w:hint="cs"/>
          <w:sz w:val="24"/>
          <w:szCs w:val="24"/>
          <w:rtl/>
        </w:rPr>
        <w:t>}</w:t>
      </w:r>
      <w:r w:rsidRPr="00A52585">
        <w:rPr>
          <w:rFonts w:hint="cs"/>
          <w:sz w:val="24"/>
          <w:szCs w:val="24"/>
          <w:rtl/>
        </w:rPr>
        <w:t xml:space="preserve"> أي </w:t>
      </w:r>
      <w:proofErr w:type="spellStart"/>
      <w:r w:rsidRPr="00A52585">
        <w:rPr>
          <w:rFonts w:hint="cs"/>
          <w:spacing w:val="-20"/>
          <w:sz w:val="24"/>
          <w:szCs w:val="24"/>
          <w:rtl/>
        </w:rPr>
        <w:t>للمتفرسين</w:t>
      </w:r>
      <w:proofErr w:type="spellEnd"/>
      <w:r w:rsidRPr="00A52585">
        <w:rPr>
          <w:rFonts w:hint="cs"/>
          <w:spacing w:val="-20"/>
          <w:sz w:val="24"/>
          <w:szCs w:val="24"/>
          <w:rtl/>
        </w:rPr>
        <w:t xml:space="preserve"> كما</w:t>
      </w:r>
      <w:r w:rsidRPr="00A52585">
        <w:rPr>
          <w:rFonts w:hint="cs"/>
          <w:sz w:val="24"/>
          <w:szCs w:val="24"/>
          <w:rtl/>
        </w:rPr>
        <w:t xml:space="preserve"> ورد وقال تعالى</w:t>
      </w:r>
      <w:r w:rsidR="0002035C" w:rsidRPr="00A52585">
        <w:rPr>
          <w:rFonts w:hint="cs"/>
          <w:sz w:val="24"/>
          <w:szCs w:val="24"/>
          <w:rtl/>
        </w:rPr>
        <w:t>:</w:t>
      </w:r>
      <w:r w:rsidRPr="00A52585">
        <w:rPr>
          <w:rFonts w:hint="cs"/>
          <w:sz w:val="24"/>
          <w:szCs w:val="24"/>
          <w:rtl/>
        </w:rPr>
        <w:t xml:space="preserve"> {واتقوا الله ويعلمكم الله</w:t>
      </w:r>
      <w:r w:rsidR="0002035C" w:rsidRPr="00A52585">
        <w:rPr>
          <w:rFonts w:hint="cs"/>
          <w:sz w:val="24"/>
          <w:szCs w:val="24"/>
          <w:rtl/>
        </w:rPr>
        <w:t>}</w:t>
      </w:r>
      <w:r w:rsidR="00897A24" w:rsidRPr="00A52585">
        <w:rPr>
          <w:rFonts w:hint="cs"/>
          <w:sz w:val="24"/>
          <w:szCs w:val="24"/>
          <w:rtl/>
        </w:rPr>
        <w:t>.</w:t>
      </w:r>
      <w:r w:rsidRPr="00A52585">
        <w:rPr>
          <w:rFonts w:hint="cs"/>
          <w:sz w:val="24"/>
          <w:szCs w:val="24"/>
          <w:rtl/>
        </w:rPr>
        <w:t xml:space="preserve"> وقال عليه السلام</w:t>
      </w:r>
      <w:r w:rsidR="0002035C" w:rsidRPr="00A52585">
        <w:rPr>
          <w:rFonts w:hint="cs"/>
          <w:sz w:val="24"/>
          <w:szCs w:val="24"/>
          <w:rtl/>
        </w:rPr>
        <w:t xml:space="preserve"> </w:t>
      </w:r>
      <w:r w:rsidRPr="00A52585">
        <w:rPr>
          <w:rFonts w:hint="cs"/>
          <w:sz w:val="24"/>
          <w:szCs w:val="24"/>
          <w:rtl/>
        </w:rPr>
        <w:t>" اتقوا فراسة المؤمن فإنه ينظر بنور الله "</w:t>
      </w:r>
      <w:r w:rsidR="0002035C" w:rsidRPr="00A52585">
        <w:rPr>
          <w:rFonts w:hint="cs"/>
          <w:sz w:val="24"/>
          <w:szCs w:val="24"/>
          <w:rtl/>
        </w:rPr>
        <w:t xml:space="preserve"> </w:t>
      </w:r>
      <w:r w:rsidRPr="00A52585">
        <w:rPr>
          <w:rFonts w:hint="cs"/>
          <w:sz w:val="24"/>
          <w:szCs w:val="24"/>
          <w:rtl/>
        </w:rPr>
        <w:t>حديث صحيح رواه الترمذي وغيره، وقال</w:t>
      </w:r>
      <w:r w:rsidR="0002035C" w:rsidRPr="00A52585">
        <w:rPr>
          <w:rFonts w:hint="cs"/>
          <w:sz w:val="24"/>
          <w:szCs w:val="24"/>
          <w:rtl/>
        </w:rPr>
        <w:t xml:space="preserve"> </w:t>
      </w:r>
      <w:r w:rsidRPr="00A52585">
        <w:rPr>
          <w:rFonts w:hint="cs"/>
          <w:sz w:val="24"/>
          <w:szCs w:val="24"/>
          <w:rtl/>
        </w:rPr>
        <w:t xml:space="preserve">" لقد كان فيما قبلكم من الأمم محدثون فإن </w:t>
      </w:r>
      <w:proofErr w:type="spellStart"/>
      <w:r w:rsidRPr="00A52585">
        <w:rPr>
          <w:rFonts w:hint="cs"/>
          <w:sz w:val="24"/>
          <w:szCs w:val="24"/>
          <w:rtl/>
        </w:rPr>
        <w:t>يك</w:t>
      </w:r>
      <w:proofErr w:type="spellEnd"/>
      <w:r w:rsidRPr="00A52585">
        <w:rPr>
          <w:rFonts w:hint="cs"/>
          <w:sz w:val="24"/>
          <w:szCs w:val="24"/>
          <w:rtl/>
        </w:rPr>
        <w:t xml:space="preserve"> في أمتي أحد فإنه عمر"</w:t>
      </w:r>
      <w:r w:rsidR="0002035C" w:rsidRPr="00A52585">
        <w:rPr>
          <w:rFonts w:hint="cs"/>
          <w:sz w:val="24"/>
          <w:szCs w:val="24"/>
          <w:rtl/>
        </w:rPr>
        <w:t xml:space="preserve"> </w:t>
      </w:r>
      <w:r w:rsidRPr="00A52585">
        <w:rPr>
          <w:rFonts w:hint="cs"/>
          <w:sz w:val="24"/>
          <w:szCs w:val="24"/>
          <w:rtl/>
        </w:rPr>
        <w:t>متفق عليه</w:t>
      </w:r>
      <w:r w:rsidR="00DB731D" w:rsidRPr="00A52585">
        <w:rPr>
          <w:rFonts w:hint="cs"/>
          <w:sz w:val="24"/>
          <w:szCs w:val="24"/>
          <w:rtl/>
        </w:rPr>
        <w:t>،</w:t>
      </w:r>
      <w:r w:rsidRPr="00A52585">
        <w:rPr>
          <w:rFonts w:hint="cs"/>
          <w:sz w:val="24"/>
          <w:szCs w:val="24"/>
          <w:rtl/>
        </w:rPr>
        <w:t xml:space="preserve"> وانظر ما شرحه حجة الإسلام الغزالي في كتاب عجائب </w:t>
      </w:r>
      <w:r w:rsidRPr="00A52585">
        <w:rPr>
          <w:rFonts w:hint="cs"/>
          <w:sz w:val="24"/>
          <w:szCs w:val="24"/>
          <w:rtl/>
        </w:rPr>
        <w:lastRenderedPageBreak/>
        <w:t xml:space="preserve">القلب من (إحياء علوم الدين) انظر (إتحاف السادة المتقين) ج8 ص473 فما بعدها ط العلمية وفيه نماذج من </w:t>
      </w:r>
      <w:proofErr w:type="spellStart"/>
      <w:r w:rsidRPr="00A52585">
        <w:rPr>
          <w:rFonts w:hint="cs"/>
          <w:sz w:val="24"/>
          <w:szCs w:val="24"/>
          <w:rtl/>
        </w:rPr>
        <w:t>إلهامات</w:t>
      </w:r>
      <w:proofErr w:type="spellEnd"/>
      <w:r w:rsidRPr="00A52585">
        <w:rPr>
          <w:rFonts w:hint="cs"/>
          <w:sz w:val="24"/>
          <w:szCs w:val="24"/>
          <w:rtl/>
        </w:rPr>
        <w:t xml:space="preserve"> الصحابة رضي الله عنهم</w:t>
      </w:r>
      <w:r w:rsidR="0002035C" w:rsidRPr="00A52585">
        <w:rPr>
          <w:rFonts w:hint="cs"/>
          <w:sz w:val="24"/>
          <w:szCs w:val="24"/>
          <w:rtl/>
        </w:rPr>
        <w:t>:</w:t>
      </w:r>
      <w:r w:rsidRPr="00A52585">
        <w:rPr>
          <w:rFonts w:hint="cs"/>
          <w:sz w:val="24"/>
          <w:szCs w:val="24"/>
          <w:rtl/>
        </w:rPr>
        <w:t xml:space="preserve"> أ- قال أبو بكر الصديق رضي الله عنه لعائشة رضي الله عنها عند موته</w:t>
      </w:r>
      <w:r w:rsidR="0002035C" w:rsidRPr="00A52585">
        <w:rPr>
          <w:rFonts w:hint="cs"/>
          <w:sz w:val="24"/>
          <w:szCs w:val="24"/>
          <w:rtl/>
        </w:rPr>
        <w:t>:</w:t>
      </w:r>
      <w:r w:rsidRPr="00A52585">
        <w:rPr>
          <w:rFonts w:hint="cs"/>
          <w:sz w:val="24"/>
          <w:szCs w:val="24"/>
          <w:rtl/>
        </w:rPr>
        <w:t xml:space="preserve"> (إنما هما أختاك) وكانت زوجته حاملا فولدت بنتا كما قال. رواه بسنده الحافظ فتح الدين اليعمري المعروف بابن سيد الناس في كتاب (المقامات العلية)</w:t>
      </w:r>
      <w:r w:rsidR="00DB731D" w:rsidRPr="00A52585">
        <w:rPr>
          <w:rFonts w:hint="cs"/>
          <w:sz w:val="24"/>
          <w:szCs w:val="24"/>
          <w:rtl/>
        </w:rPr>
        <w:t>،</w:t>
      </w:r>
      <w:r w:rsidRPr="00A52585">
        <w:rPr>
          <w:rFonts w:hint="cs"/>
          <w:sz w:val="24"/>
          <w:szCs w:val="24"/>
          <w:rtl/>
        </w:rPr>
        <w:t xml:space="preserve"> ب- قال عمر رضي الله عنه في أثناء خطبته يوم الجمعة (يا سارية الجبل) إذ وقع في روعه أن العدو قد حاصر جيش المسلمين وأوصل الله صوت عمر إلى سارية قائد الجيش على مسيرة شهر فانحازوا إلى الجبل وأنجاهم الله. رواه حرملة في جمعه لحديث ابن وهب بسند حسن وذكره البيهقي في الدلائل وغيرهما. وقد أفرد لطرقه القطب الحلبي الحافظ جزءاً</w:t>
      </w:r>
      <w:r w:rsidR="00DB731D" w:rsidRPr="00A52585">
        <w:rPr>
          <w:rFonts w:hint="cs"/>
          <w:sz w:val="24"/>
          <w:szCs w:val="24"/>
          <w:rtl/>
        </w:rPr>
        <w:t>،</w:t>
      </w:r>
      <w:r w:rsidRPr="00A52585">
        <w:rPr>
          <w:rFonts w:hint="cs"/>
          <w:sz w:val="24"/>
          <w:szCs w:val="24"/>
          <w:rtl/>
        </w:rPr>
        <w:t xml:space="preserve"> ج- عن أنس بن مالك رضي الله عنه قال دخلت على عثمان رضي الله عنه وكنت قد لقيت امرأة في طريقي فنظرت إليها شزراً فتأملت محاسنها فقال عثمان رضي الله عنه لما دخلت</w:t>
      </w:r>
      <w:r w:rsidR="0002035C" w:rsidRPr="00A52585">
        <w:rPr>
          <w:rFonts w:hint="cs"/>
          <w:sz w:val="24"/>
          <w:szCs w:val="24"/>
          <w:rtl/>
        </w:rPr>
        <w:t>:</w:t>
      </w:r>
      <w:r w:rsidRPr="00A52585">
        <w:rPr>
          <w:rFonts w:hint="cs"/>
          <w:sz w:val="24"/>
          <w:szCs w:val="24"/>
          <w:rtl/>
        </w:rPr>
        <w:t xml:space="preserve"> يدخل عليَّ أحدكم وآثار الزنا ظاهرة على عينيه، أما علمت أن زنا العينين النظر</w:t>
      </w:r>
      <w:r w:rsidR="00F95886" w:rsidRPr="00A52585">
        <w:rPr>
          <w:rFonts w:hint="cs"/>
          <w:sz w:val="24"/>
          <w:szCs w:val="24"/>
          <w:rtl/>
        </w:rPr>
        <w:t>؟</w:t>
      </w:r>
      <w:r w:rsidRPr="00A52585">
        <w:rPr>
          <w:rFonts w:hint="cs"/>
          <w:sz w:val="24"/>
          <w:szCs w:val="24"/>
          <w:rtl/>
        </w:rPr>
        <w:t xml:space="preserve"> </w:t>
      </w:r>
      <w:proofErr w:type="spellStart"/>
      <w:r w:rsidRPr="00A52585">
        <w:rPr>
          <w:rFonts w:hint="cs"/>
          <w:sz w:val="24"/>
          <w:szCs w:val="24"/>
          <w:rtl/>
        </w:rPr>
        <w:t>لتتوبنَّ</w:t>
      </w:r>
      <w:proofErr w:type="spellEnd"/>
      <w:r w:rsidRPr="00A52585">
        <w:rPr>
          <w:rFonts w:hint="cs"/>
          <w:sz w:val="24"/>
          <w:szCs w:val="24"/>
          <w:rtl/>
        </w:rPr>
        <w:t xml:space="preserve"> أو </w:t>
      </w:r>
      <w:proofErr w:type="spellStart"/>
      <w:r w:rsidRPr="00A52585">
        <w:rPr>
          <w:rFonts w:hint="cs"/>
          <w:sz w:val="24"/>
          <w:szCs w:val="24"/>
          <w:rtl/>
        </w:rPr>
        <w:t>لأعزرنك</w:t>
      </w:r>
      <w:proofErr w:type="spellEnd"/>
      <w:r w:rsidRPr="00A52585">
        <w:rPr>
          <w:rFonts w:hint="cs"/>
          <w:sz w:val="24"/>
          <w:szCs w:val="24"/>
          <w:rtl/>
        </w:rPr>
        <w:t xml:space="preserve"> ف</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أوحي بعد النبي</w:t>
      </w:r>
      <w:r w:rsidR="00F95886" w:rsidRPr="00A52585">
        <w:rPr>
          <w:rFonts w:hint="cs"/>
          <w:sz w:val="24"/>
          <w:szCs w:val="24"/>
          <w:rtl/>
        </w:rPr>
        <w:t>؟</w:t>
      </w:r>
      <w:r w:rsidRPr="00A52585">
        <w:rPr>
          <w:rFonts w:hint="cs"/>
          <w:sz w:val="24"/>
          <w:szCs w:val="24"/>
          <w:rtl/>
        </w:rPr>
        <w:t xml:space="preserve"> فقال</w:t>
      </w:r>
      <w:r w:rsidR="0002035C" w:rsidRPr="00A52585">
        <w:rPr>
          <w:rFonts w:hint="cs"/>
          <w:sz w:val="24"/>
          <w:szCs w:val="24"/>
          <w:rtl/>
        </w:rPr>
        <w:t>:</w:t>
      </w:r>
      <w:r w:rsidRPr="00A52585">
        <w:rPr>
          <w:rFonts w:hint="cs"/>
          <w:sz w:val="24"/>
          <w:szCs w:val="24"/>
          <w:rtl/>
        </w:rPr>
        <w:t xml:space="preserve"> لا ولكن بصيرة وبرهان وفراسة صادقة</w:t>
      </w:r>
      <w:r w:rsidR="00DB731D" w:rsidRPr="00A52585">
        <w:rPr>
          <w:rFonts w:hint="cs"/>
          <w:sz w:val="24"/>
          <w:szCs w:val="24"/>
          <w:rtl/>
        </w:rPr>
        <w:t>،</w:t>
      </w:r>
      <w:r w:rsidRPr="00A52585">
        <w:rPr>
          <w:rFonts w:hint="cs"/>
          <w:sz w:val="24"/>
          <w:szCs w:val="24"/>
          <w:rtl/>
        </w:rPr>
        <w:t xml:space="preserve"> د- روى الحافظ أبو الفتح اليعمري بسنده إلى زيد بن وهب قال</w:t>
      </w:r>
      <w:r w:rsidR="0002035C" w:rsidRPr="00A52585">
        <w:rPr>
          <w:rFonts w:hint="cs"/>
          <w:sz w:val="24"/>
          <w:szCs w:val="24"/>
          <w:rtl/>
        </w:rPr>
        <w:t>:</w:t>
      </w:r>
      <w:r w:rsidRPr="00A52585">
        <w:rPr>
          <w:rFonts w:hint="cs"/>
          <w:sz w:val="24"/>
          <w:szCs w:val="24"/>
          <w:rtl/>
        </w:rPr>
        <w:t xml:space="preserve"> جاء وفد من البصرة فيهم رأس من الخوارج يقال له جعدة بن بعجة فخطب وحمد الله ثم قال يا علي</w:t>
      </w:r>
      <w:r w:rsidR="0002035C" w:rsidRPr="00A52585">
        <w:rPr>
          <w:rFonts w:hint="cs"/>
          <w:sz w:val="24"/>
          <w:szCs w:val="24"/>
          <w:rtl/>
        </w:rPr>
        <w:t>:</w:t>
      </w:r>
      <w:r w:rsidRPr="00A52585">
        <w:rPr>
          <w:rFonts w:hint="cs"/>
          <w:sz w:val="24"/>
          <w:szCs w:val="24"/>
          <w:rtl/>
        </w:rPr>
        <w:t xml:space="preserve"> اتق الله فإنك ميت. فقال علي</w:t>
      </w:r>
      <w:r w:rsidR="0002035C" w:rsidRPr="00A52585">
        <w:rPr>
          <w:rFonts w:hint="cs"/>
          <w:sz w:val="24"/>
          <w:szCs w:val="24"/>
          <w:rtl/>
        </w:rPr>
        <w:t>:</w:t>
      </w:r>
      <w:r w:rsidRPr="00A52585">
        <w:rPr>
          <w:rFonts w:hint="cs"/>
          <w:sz w:val="24"/>
          <w:szCs w:val="24"/>
          <w:rtl/>
        </w:rPr>
        <w:t xml:space="preserve"> بل مقتول قتلا تصاب هذه، فخطب هذه عهد معهود، وقضاء مقضي وقد خاب من افترى، وكان كما ذكر. فهؤلاء الصحابة هم أئمة الهدي والفهم لم تكن تخفى عليهم أجوبة شبه أهل </w:t>
      </w:r>
      <w:proofErr w:type="spellStart"/>
      <w:r w:rsidRPr="00A52585">
        <w:rPr>
          <w:rFonts w:hint="cs"/>
          <w:sz w:val="24"/>
          <w:szCs w:val="24"/>
          <w:rtl/>
        </w:rPr>
        <w:t>الزيع</w:t>
      </w:r>
      <w:proofErr w:type="spellEnd"/>
      <w:r w:rsidRPr="00A52585">
        <w:rPr>
          <w:rFonts w:hint="cs"/>
          <w:sz w:val="24"/>
          <w:szCs w:val="24"/>
          <w:rtl/>
        </w:rPr>
        <w:t xml:space="preserve"> وقد أجاب علي وابن عباس وابن عمر وغيرهم ما ظهر في عهدهم منها وناظروهم، وقاموا بتأديب من كان عرضة إثارة الفتنة وفتح بابها </w:t>
      </w:r>
      <w:proofErr w:type="spellStart"/>
      <w:r w:rsidRPr="00A52585">
        <w:rPr>
          <w:rFonts w:hint="cs"/>
          <w:sz w:val="24"/>
          <w:szCs w:val="24"/>
          <w:rtl/>
        </w:rPr>
        <w:t>كصبيغ</w:t>
      </w:r>
      <w:proofErr w:type="spellEnd"/>
      <w:r w:rsidRPr="00A52585">
        <w:rPr>
          <w:rFonts w:hint="cs"/>
          <w:sz w:val="24"/>
          <w:szCs w:val="24"/>
          <w:rtl/>
        </w:rPr>
        <w:t xml:space="preserve"> وغيره</w:t>
      </w:r>
      <w:r w:rsidR="0002035C" w:rsidRPr="00A52585">
        <w:rPr>
          <w:rFonts w:hint="cs"/>
          <w:sz w:val="24"/>
          <w:szCs w:val="24"/>
          <w:rtl/>
        </w:rPr>
        <w:t>]</w:t>
      </w:r>
      <w:r w:rsidR="00DB731D" w:rsidRPr="00A52585">
        <w:rPr>
          <w:rFonts w:hint="cs"/>
          <w:sz w:val="24"/>
          <w:szCs w:val="24"/>
          <w:rtl/>
        </w:rPr>
        <w:t>،</w:t>
      </w:r>
      <w:r w:rsidRPr="00A52585">
        <w:rPr>
          <w:rFonts w:hint="cs"/>
          <w:rtl/>
        </w:rPr>
        <w:t xml:space="preserve"> شرع يسأل لجهله بما يجوز على الله عز وجل وما لا يجوز وفرح بذلك أهل الزيغ فشرعوا يدخلون الشبه على الناس ولذلك تعين على أهل العلم أن يبينوا للناس وأن لا يهملوا البيان لقوله تعالى</w:t>
      </w:r>
      <w:r w:rsidR="0002035C" w:rsidRPr="00A52585">
        <w:rPr>
          <w:rFonts w:hint="cs"/>
          <w:rtl/>
        </w:rPr>
        <w:t>:</w:t>
      </w:r>
      <w:r w:rsidRPr="00A52585">
        <w:rPr>
          <w:rFonts w:hint="cs"/>
          <w:rtl/>
        </w:rPr>
        <w:t xml:space="preserve"> {وَإِذْ أَخَذَ اللهُ مِيثَاقَ الَّذِينَ أُوتُوا الْكِتَابَ لَتُبِيُّنُنهُّ لِلنَّاسِ وَلاَ تَكْتُمُونَهُ}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187</w:t>
      </w:r>
      <w:r w:rsidR="0002035C" w:rsidRPr="00A52585">
        <w:rPr>
          <w:rFonts w:hint="cs"/>
          <w:rtl/>
        </w:rPr>
        <w:t>]</w:t>
      </w:r>
      <w:r w:rsidR="00DB731D" w:rsidRPr="00A52585">
        <w:rPr>
          <w:rFonts w:hint="cs"/>
          <w:rtl/>
        </w:rPr>
        <w:t>،</w:t>
      </w:r>
      <w:r w:rsidRPr="00A52585">
        <w:rPr>
          <w:rFonts w:hint="cs"/>
          <w:rtl/>
        </w:rPr>
        <w:t xml:space="preserve"> فهذه الأئمة التي مدار الأمة عليهم في دينهم متفقون في العقيدة فمن زعم أن بينهم اختلافاً في ذلك</w:t>
      </w:r>
      <w:r w:rsidR="00DB731D" w:rsidRPr="00A52585">
        <w:rPr>
          <w:rFonts w:hint="cs"/>
          <w:rtl/>
        </w:rPr>
        <w:t>،</w:t>
      </w:r>
      <w:r w:rsidRPr="00A52585">
        <w:rPr>
          <w:rFonts w:hint="cs"/>
          <w:rtl/>
        </w:rPr>
        <w:t xml:space="preserve"> فقد افترى على أئمة الإسلام والمسلمين والله </w:t>
      </w:r>
      <w:proofErr w:type="spellStart"/>
      <w:r w:rsidRPr="00A52585">
        <w:rPr>
          <w:rFonts w:hint="cs"/>
          <w:rtl/>
        </w:rPr>
        <w:t>حسيبه</w:t>
      </w:r>
      <w:proofErr w:type="spellEnd"/>
      <w:r w:rsidRPr="00A52585">
        <w:rPr>
          <w:rFonts w:hint="cs"/>
          <w:rtl/>
        </w:rPr>
        <w:t xml:space="preserve"> وسيجزي الله المفترين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يقول الإمام عبد الوهاب السبكي في كتابه</w:t>
      </w:r>
      <w:r w:rsidR="0002035C" w:rsidRPr="00A52585">
        <w:rPr>
          <w:rFonts w:hint="cs"/>
          <w:sz w:val="24"/>
          <w:szCs w:val="24"/>
          <w:rtl/>
        </w:rPr>
        <w:t xml:space="preserve"> </w:t>
      </w:r>
      <w:r w:rsidRPr="00A52585">
        <w:rPr>
          <w:rFonts w:hint="cs"/>
          <w:sz w:val="24"/>
          <w:szCs w:val="24"/>
          <w:rtl/>
        </w:rPr>
        <w:t>" معيد النعم ومبيد النقم "</w:t>
      </w:r>
      <w:r w:rsidR="0002035C" w:rsidRPr="00A52585">
        <w:rPr>
          <w:rFonts w:hint="cs"/>
          <w:sz w:val="24"/>
          <w:szCs w:val="24"/>
          <w:rtl/>
        </w:rPr>
        <w:t xml:space="preserve"> </w:t>
      </w:r>
      <w:r w:rsidRPr="00A52585">
        <w:rPr>
          <w:rFonts w:hint="cs"/>
          <w:sz w:val="24"/>
          <w:szCs w:val="24"/>
          <w:rtl/>
        </w:rPr>
        <w:t>ص 96</w:t>
      </w:r>
      <w:r w:rsidR="0002035C" w:rsidRPr="00A52585">
        <w:rPr>
          <w:rFonts w:hint="cs"/>
          <w:sz w:val="24"/>
          <w:szCs w:val="24"/>
          <w:rtl/>
        </w:rPr>
        <w:t xml:space="preserve">: </w:t>
      </w:r>
      <w:r w:rsidRPr="00A52585">
        <w:rPr>
          <w:rFonts w:hint="cs"/>
          <w:sz w:val="24"/>
          <w:szCs w:val="24"/>
          <w:rtl/>
        </w:rPr>
        <w:t xml:space="preserve">" وهؤلاء الحنفية والشافعية والمالكية وفضلاء الحنابلة ولله تعالى الحمد في العقائد عقيدتهم واحدة كلهم على رأي أهل السنة والجماعة يدينون الله تعالى بطريق شيخ السنة أبي الحسن الأشعري لا يحيد عنها إلاّ رعاع من الحنفية والشافعية لحقوا بالاعتزال </w:t>
      </w:r>
      <w:r w:rsidRPr="00A52585">
        <w:rPr>
          <w:rFonts w:hint="cs"/>
          <w:bCs/>
          <w:sz w:val="24"/>
          <w:szCs w:val="24"/>
          <w:rtl/>
        </w:rPr>
        <w:t>ورعاع من الحنابلة لحقوا بأهل التجسيم</w:t>
      </w:r>
      <w:r w:rsidRPr="00A52585">
        <w:rPr>
          <w:rFonts w:hint="cs"/>
          <w:sz w:val="24"/>
          <w:szCs w:val="24"/>
          <w:rtl/>
        </w:rPr>
        <w:t xml:space="preserve"> وبرأ الله تعالى المالكية فلم نر مالكياً إلا أشعري العقيدة وبالجملة عقيدة الأشعري هي ما تضمنه عقيدة أبي جعفر الطحاوي التي تلقاها علماء المذاهب بالقبول ورضوها عقيدة وقد ختمنا كتابنا جمع الجوامع بعقيدة ذكرنا أن سلف الأمة عليها وهي وعقيدة الطحاوي وعقيدة أبي القاسم القشيري والعقيدة المسماة بالمرشدة مشتركات في أصول أهل السنة والجماعة "</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من معيد النعم الطبعة الأولى لمكتبة محمد أمين الخانجي وهي مع مجموعة مؤلفات طبعت تحت اسم</w:t>
      </w:r>
      <w:r w:rsidR="0002035C" w:rsidRPr="00A52585">
        <w:rPr>
          <w:rFonts w:hint="cs"/>
          <w:sz w:val="24"/>
          <w:szCs w:val="24"/>
          <w:rtl/>
        </w:rPr>
        <w:t>:</w:t>
      </w:r>
      <w:r w:rsidRPr="00A52585">
        <w:rPr>
          <w:rFonts w:hint="cs"/>
          <w:sz w:val="24"/>
          <w:szCs w:val="24"/>
          <w:rtl/>
        </w:rPr>
        <w:t xml:space="preserve"> تفريح المهج بتلويح الفرج</w:t>
      </w:r>
      <w:r w:rsidR="00DB731D" w:rsidRPr="00A52585">
        <w:rPr>
          <w:rFonts w:hint="cs"/>
          <w:sz w:val="24"/>
          <w:szCs w:val="24"/>
          <w:rtl/>
        </w:rPr>
        <w:t>،</w:t>
      </w:r>
      <w:r w:rsidRPr="00A52585">
        <w:rPr>
          <w:rFonts w:hint="cs"/>
          <w:sz w:val="24"/>
          <w:szCs w:val="24"/>
          <w:rtl/>
        </w:rPr>
        <w:t xml:space="preserve"> فيتضح من كلام الإمام ابن السبكي أن جمهور الأمة </w:t>
      </w:r>
      <w:r w:rsidRPr="00A52585">
        <w:rPr>
          <w:sz w:val="24"/>
          <w:szCs w:val="24"/>
        </w:rPr>
        <w:t>–</w:t>
      </w:r>
      <w:r w:rsidRPr="00A52585">
        <w:rPr>
          <w:rFonts w:hint="cs"/>
          <w:sz w:val="24"/>
          <w:szCs w:val="24"/>
          <w:rtl/>
        </w:rPr>
        <w:t xml:space="preserve"> من الأئمة وأتباعهم- كذلك متفقون على نفس العقيدة فمن شذّ عنهم شذّ في النار</w:t>
      </w:r>
      <w:r w:rsidR="0002035C" w:rsidRPr="00A52585">
        <w:rPr>
          <w:rFonts w:hint="cs"/>
          <w:sz w:val="24"/>
          <w:szCs w:val="24"/>
          <w:rtl/>
        </w:rPr>
        <w:t>]</w:t>
      </w:r>
      <w:r w:rsidR="00DB731D" w:rsidRPr="00A52585">
        <w:rPr>
          <w:rFonts w:hint="cs"/>
          <w:rtl/>
        </w:rPr>
        <w:t>،</w:t>
      </w:r>
      <w:r w:rsidRPr="00A52585">
        <w:rPr>
          <w:rFonts w:hint="cs"/>
          <w:rtl/>
        </w:rPr>
        <w:t xml:space="preserve"> وفي الصحيحين من حديث ابن عباس رضي الله عنهما أنه عليه الصلاة والسلام قال</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مَنْ </w:t>
      </w:r>
      <w:r w:rsidRPr="00A52585">
        <w:rPr>
          <w:rFonts w:hint="cs"/>
          <w:rtl/>
        </w:rPr>
        <w:lastRenderedPageBreak/>
        <w:t xml:space="preserve">فَارَقَ الجَمَاعَةَ شِبْراً فَمَاتَ </w:t>
      </w:r>
      <w:proofErr w:type="spellStart"/>
      <w:r w:rsidRPr="00A52585">
        <w:rPr>
          <w:rFonts w:hint="cs"/>
          <w:rtl/>
        </w:rPr>
        <w:t>فَمَيْتَتُهُ</w:t>
      </w:r>
      <w:proofErr w:type="spellEnd"/>
      <w:r w:rsidRPr="00A52585">
        <w:rPr>
          <w:rFonts w:hint="cs"/>
          <w:rtl/>
        </w:rPr>
        <w:t xml:space="preserve"> جَاهِلِيَّةٌ</w:t>
      </w:r>
      <w:r w:rsidR="0002035C" w:rsidRPr="00A52585">
        <w:rPr>
          <w:rFonts w:hint="cs"/>
          <w:rtl/>
        </w:rPr>
        <w:t>)</w:t>
      </w:r>
      <w:r w:rsidRPr="00A52585">
        <w:rPr>
          <w:rFonts w:hint="cs"/>
          <w:rtl/>
        </w:rPr>
        <w:t>)</w:t>
      </w:r>
      <w:r w:rsidR="00DB731D" w:rsidRPr="00A52585">
        <w:rPr>
          <w:rFonts w:hint="cs"/>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أخرجه البخاري في كتاب الأحكام باب (السمع والطاعة للإمام) حديث رقم</w:t>
      </w:r>
      <w:r w:rsidR="0002035C" w:rsidRPr="00A52585">
        <w:rPr>
          <w:rFonts w:hint="cs"/>
          <w:sz w:val="24"/>
          <w:szCs w:val="24"/>
          <w:rtl/>
        </w:rPr>
        <w:t>:</w:t>
      </w:r>
      <w:r w:rsidRPr="00A52585">
        <w:rPr>
          <w:rFonts w:hint="cs"/>
          <w:sz w:val="24"/>
          <w:szCs w:val="24"/>
          <w:rtl/>
        </w:rPr>
        <w:t xml:space="preserve"> (7143)، في كتاب (الفتن) باب (قول النبي صلى الله عليه وسلم</w:t>
      </w:r>
      <w:r w:rsidR="0002035C" w:rsidRPr="00A52585">
        <w:rPr>
          <w:rFonts w:hint="cs"/>
          <w:sz w:val="24"/>
          <w:szCs w:val="24"/>
          <w:rtl/>
        </w:rPr>
        <w:t>:</w:t>
      </w:r>
      <w:r w:rsidRPr="00A52585">
        <w:rPr>
          <w:rFonts w:hint="cs"/>
          <w:sz w:val="24"/>
          <w:szCs w:val="24"/>
          <w:rtl/>
        </w:rPr>
        <w:t xml:space="preserve"> سترون بعدي أموراً تنكرونها) حديث رقمي</w:t>
      </w:r>
      <w:r w:rsidR="0002035C" w:rsidRPr="00A52585">
        <w:rPr>
          <w:rFonts w:hint="cs"/>
          <w:sz w:val="24"/>
          <w:szCs w:val="24"/>
          <w:rtl/>
        </w:rPr>
        <w:t>:</w:t>
      </w:r>
      <w:r w:rsidRPr="00A52585">
        <w:rPr>
          <w:rFonts w:hint="cs"/>
          <w:sz w:val="24"/>
          <w:szCs w:val="24"/>
          <w:rtl/>
        </w:rPr>
        <w:t xml:space="preserve"> (7053، 7054) وأخرجه مسلم في كتاب المغازي باب (وجوب ملازمة جماعة المسلمين…) بروايات متعددة أقربها للفظ المذكور هنا حديث رقم (7054)</w:t>
      </w:r>
      <w:r w:rsidR="0002035C" w:rsidRPr="00A52585">
        <w:rPr>
          <w:rFonts w:hint="cs"/>
          <w:sz w:val="24"/>
          <w:szCs w:val="24"/>
          <w:rtl/>
        </w:rPr>
        <w:t>:</w:t>
      </w:r>
      <w:r w:rsidRPr="00A52585">
        <w:rPr>
          <w:rFonts w:hint="cs"/>
          <w:sz w:val="24"/>
          <w:szCs w:val="24"/>
          <w:rtl/>
        </w:rPr>
        <w:t xml:space="preserve"> " من فارق الجماعة شبرا فمات فميتة جاهلية "]</w:t>
      </w:r>
      <w:r w:rsidRPr="00A52585">
        <w:rPr>
          <w:rFonts w:hint="cs"/>
          <w:rtl/>
        </w:rPr>
        <w:t xml:space="preserve"> وقال عليه الصلاة والسلام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الشَّيِطْاَنَ ذِئْبُ الإنْسَانِ كَذِئْبِ الْغَنَمِ يَأْخُذُ القَاصِيَةَ وِالنَّافِرَةِ وَالشَّاذَّة</w:t>
      </w:r>
      <w:r w:rsidR="00DB731D" w:rsidRPr="00A52585">
        <w:rPr>
          <w:rFonts w:hint="cs"/>
          <w:rtl/>
        </w:rPr>
        <w:t>،</w:t>
      </w:r>
      <w:r w:rsidRPr="00A52585">
        <w:rPr>
          <w:rFonts w:hint="cs"/>
          <w:rtl/>
        </w:rPr>
        <w:t xml:space="preserve"> إَيِاكُمْ والشِّعَابِ وَعَلَيْكُمْ بِاْلعَّامَةِ وَالْجَمَاعَةِ وَالْمَسَاجِدِ</w:t>
      </w:r>
      <w:r w:rsidR="0002035C" w:rsidRPr="00A52585">
        <w:rPr>
          <w:rFonts w:hint="cs"/>
          <w:rtl/>
        </w:rPr>
        <w:t>)</w:t>
      </w:r>
      <w:r w:rsidRPr="00A52585">
        <w:rPr>
          <w:rFonts w:hint="cs"/>
          <w:rtl/>
        </w:rPr>
        <w:t xml:space="preserve">) رواه الطبراني وغيره من حديث معاذ رضي الله عنه ورواه الإمام أحمد ورجاله ثقات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لكن في سنده انقطاع لأن راويه عن معاذ هو العلاء بن زياد لم يسمع منه انظر (مجمع الزوائد) (2</w:t>
      </w:r>
      <w:r w:rsidR="0002035C" w:rsidRPr="00A52585">
        <w:rPr>
          <w:rFonts w:hint="cs"/>
          <w:sz w:val="24"/>
          <w:szCs w:val="24"/>
          <w:rtl/>
        </w:rPr>
        <w:t>:</w:t>
      </w:r>
      <w:r w:rsidRPr="00A52585">
        <w:rPr>
          <w:rFonts w:hint="cs"/>
          <w:sz w:val="24"/>
          <w:szCs w:val="24"/>
          <w:rtl/>
        </w:rPr>
        <w:t xml:space="preserve"> 23، 5</w:t>
      </w:r>
      <w:r w:rsidR="0002035C" w:rsidRPr="00A52585">
        <w:rPr>
          <w:rFonts w:hint="cs"/>
          <w:sz w:val="24"/>
          <w:szCs w:val="24"/>
          <w:rtl/>
        </w:rPr>
        <w:t>:</w:t>
      </w:r>
      <w:r w:rsidRPr="00A52585">
        <w:rPr>
          <w:rFonts w:hint="cs"/>
          <w:sz w:val="24"/>
          <w:szCs w:val="24"/>
          <w:rtl/>
        </w:rPr>
        <w:t xml:space="preserve"> 219) ومعنى الحديث صحيح وله شواهد كثيرة]</w:t>
      </w:r>
      <w:r w:rsidR="00DB731D" w:rsidRPr="00A52585">
        <w:rPr>
          <w:rFonts w:hint="cs"/>
          <w:sz w:val="24"/>
          <w:szCs w:val="24"/>
          <w:rtl/>
        </w:rPr>
        <w:t>،</w:t>
      </w:r>
      <w:r w:rsidRPr="00A52585">
        <w:rPr>
          <w:rFonts w:hint="cs"/>
          <w:rtl/>
        </w:rPr>
        <w:t xml:space="preserve"> وسئل الإمام أحمد عن الإمام الشافعي فقال</w:t>
      </w:r>
      <w:r w:rsidR="0002035C" w:rsidRPr="00A52585">
        <w:rPr>
          <w:rFonts w:hint="cs"/>
          <w:rtl/>
        </w:rPr>
        <w:t>:</w:t>
      </w:r>
      <w:r w:rsidRPr="00A52585">
        <w:rPr>
          <w:rFonts w:hint="cs"/>
          <w:rtl/>
        </w:rPr>
        <w:t xml:space="preserve"> ما الذي أقوله فيه وهو الذي أخرج من قشور التشبيه لبابها</w:t>
      </w:r>
      <w:r w:rsidR="00DB731D" w:rsidRPr="00A52585">
        <w:rPr>
          <w:rFonts w:hint="cs"/>
          <w:rtl/>
        </w:rPr>
        <w:t>،</w:t>
      </w:r>
      <w:r w:rsidRPr="00A52585">
        <w:rPr>
          <w:rFonts w:hint="cs"/>
          <w:rtl/>
        </w:rPr>
        <w:t xml:space="preserve"> وأَطْلع على معارفها أربابَها</w:t>
      </w:r>
      <w:r w:rsidR="00DB731D" w:rsidRPr="00A52585">
        <w:rPr>
          <w:rFonts w:hint="cs"/>
          <w:rtl/>
        </w:rPr>
        <w:t>،</w:t>
      </w:r>
      <w:r w:rsidRPr="00A52585">
        <w:rPr>
          <w:rFonts w:hint="cs"/>
          <w:rtl/>
        </w:rPr>
        <w:t xml:space="preserve"> وجمع مذهبه أكنافها وإطنابها</w:t>
      </w:r>
      <w:r w:rsidR="00DB731D" w:rsidRPr="00A52585">
        <w:rPr>
          <w:rFonts w:hint="cs"/>
          <w:rtl/>
        </w:rPr>
        <w:t>،</w:t>
      </w:r>
      <w:r w:rsidRPr="00A52585">
        <w:rPr>
          <w:rFonts w:hint="cs"/>
          <w:rtl/>
        </w:rPr>
        <w:t xml:space="preserve"> فالمحدثون صيادلة والشافعي طبيبهم</w:t>
      </w:r>
      <w:r w:rsidR="00DB731D" w:rsidRPr="00A52585">
        <w:rPr>
          <w:rFonts w:hint="cs"/>
          <w:rtl/>
        </w:rPr>
        <w:t>،</w:t>
      </w:r>
      <w:r w:rsidRPr="00A52585">
        <w:rPr>
          <w:rFonts w:hint="cs"/>
          <w:rtl/>
        </w:rPr>
        <w:t xml:space="preserve"> والفقهاء أكابر والشافعي كبيرهم</w:t>
      </w:r>
      <w:r w:rsidR="00DB731D" w:rsidRPr="00A52585">
        <w:rPr>
          <w:rFonts w:hint="cs"/>
          <w:rtl/>
        </w:rPr>
        <w:t>،</w:t>
      </w:r>
      <w:r w:rsidRPr="00A52585">
        <w:rPr>
          <w:rFonts w:hint="cs"/>
          <w:rtl/>
        </w:rPr>
        <w:t xml:space="preserve"> </w:t>
      </w:r>
      <w:r w:rsidRPr="00A52585">
        <w:rPr>
          <w:rFonts w:hint="cs"/>
          <w:spacing w:val="-4"/>
          <w:rtl/>
        </w:rPr>
        <w:t>وما وضع أحد قلمه في محبرة إلاَ وللشافعي</w:t>
      </w:r>
      <w:r w:rsidRPr="00A52585">
        <w:rPr>
          <w:rFonts w:hint="cs"/>
          <w:rtl/>
        </w:rPr>
        <w:t xml:space="preserve"> عليه مِنَّة</w:t>
      </w:r>
      <w:r w:rsidR="00DB731D" w:rsidRPr="00A52585">
        <w:rPr>
          <w:rFonts w:hint="cs"/>
          <w:rtl/>
        </w:rPr>
        <w:t>،</w:t>
      </w:r>
      <w:r w:rsidRPr="00A52585">
        <w:rPr>
          <w:rFonts w:hint="cs"/>
          <w:rtl/>
        </w:rPr>
        <w:t xml:space="preserve"> وكان كثير الدعاء للشافعي قال له ابنه عبد الله</w:t>
      </w:r>
      <w:r w:rsidR="0002035C" w:rsidRPr="00A52585">
        <w:rPr>
          <w:rFonts w:hint="cs"/>
          <w:rtl/>
        </w:rPr>
        <w:t>:</w:t>
      </w:r>
      <w:r w:rsidRPr="00A52585">
        <w:rPr>
          <w:rFonts w:hint="cs"/>
          <w:rtl/>
        </w:rPr>
        <w:t xml:space="preserve"> أيُّ شيء كان الشافعي فإني أسمعك تكثر الدعاء له</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يا بني كان الشافعي كالشمس للدنيا وكالعافية للناس فانظر هل لهذين من خلف أو عوض</w:t>
      </w:r>
      <w:r w:rsidR="00DB731D" w:rsidRPr="00A52585">
        <w:rPr>
          <w:rFonts w:hint="cs"/>
          <w:rtl/>
        </w:rPr>
        <w:t>،</w:t>
      </w:r>
    </w:p>
    <w:p w14:paraId="650D44D0" w14:textId="77777777" w:rsidR="00777DCB" w:rsidRPr="00A52585" w:rsidRDefault="00777DCB" w:rsidP="0002035C">
      <w:pPr>
        <w:spacing w:after="240"/>
        <w:jc w:val="center"/>
        <w:rPr>
          <w:b/>
          <w:rtl/>
        </w:rPr>
      </w:pPr>
      <w:r w:rsidRPr="00A52585">
        <w:rPr>
          <w:rFonts w:hint="cs"/>
          <w:rtl/>
        </w:rPr>
        <w:t>******</w:t>
      </w:r>
    </w:p>
    <w:p w14:paraId="4915C59D" w14:textId="140D6D86" w:rsidR="00777DCB" w:rsidRPr="00A52585" w:rsidRDefault="0002035C" w:rsidP="0002035C">
      <w:pPr>
        <w:spacing w:after="240"/>
        <w:jc w:val="center"/>
        <w:rPr>
          <w:b/>
          <w:bCs/>
          <w:spacing w:val="-20"/>
          <w:rtl/>
        </w:rPr>
      </w:pPr>
      <w:r w:rsidRPr="00A52585">
        <w:rPr>
          <w:rFonts w:hint="cs"/>
          <w:bCs/>
          <w:spacing w:val="-20"/>
          <w:rtl/>
        </w:rPr>
        <w:t>[</w:t>
      </w:r>
      <w:r w:rsidR="00777DCB" w:rsidRPr="00A52585">
        <w:rPr>
          <w:rFonts w:hint="cs"/>
          <w:bCs/>
          <w:rtl/>
        </w:rPr>
        <w:t>فصل</w:t>
      </w:r>
      <w:r w:rsidRPr="00A52585">
        <w:rPr>
          <w:rFonts w:hint="cs"/>
          <w:bCs/>
          <w:rtl/>
        </w:rPr>
        <w:t>:</w:t>
      </w:r>
      <w:r w:rsidR="00777DCB" w:rsidRPr="00A52585">
        <w:rPr>
          <w:rFonts w:hint="cs"/>
          <w:bCs/>
          <w:rtl/>
        </w:rPr>
        <w:t xml:space="preserve"> عجز العقل عن إدراك حقيقة الذات الإلهية أو الإحاطة بها</w:t>
      </w:r>
      <w:r w:rsidRPr="00A52585">
        <w:rPr>
          <w:rFonts w:hint="cs"/>
          <w:bCs/>
          <w:spacing w:val="-20"/>
          <w:rtl/>
        </w:rPr>
        <w:t>]</w:t>
      </w:r>
    </w:p>
    <w:p w14:paraId="634B0102" w14:textId="0B7973B1" w:rsidR="00777DCB" w:rsidRPr="00A52585" w:rsidRDefault="00777DCB" w:rsidP="0002035C">
      <w:pPr>
        <w:spacing w:after="240"/>
        <w:rPr>
          <w:b/>
          <w:bCs/>
          <w:rtl/>
        </w:rPr>
      </w:pPr>
      <w:r w:rsidRPr="00A52585">
        <w:rPr>
          <w:rFonts w:hint="cs"/>
          <w:rtl/>
        </w:rPr>
        <w:t>وسئل بعض أئمة السلف عن قوله تعالى</w:t>
      </w:r>
      <w:r w:rsidR="0002035C" w:rsidRPr="00A52585">
        <w:rPr>
          <w:rFonts w:hint="cs"/>
          <w:rtl/>
        </w:rPr>
        <w:t>:</w:t>
      </w:r>
      <w:r w:rsidRPr="00A52585">
        <w:rPr>
          <w:rFonts w:hint="cs"/>
          <w:rtl/>
        </w:rPr>
        <w:t xml:space="preserve"> {الرَّحْمَنُ عَلَى الْعَرْشِ اسْتَوَى [</w:t>
      </w:r>
      <w:r w:rsidRPr="00A52585">
        <w:rPr>
          <w:rFonts w:hint="cs"/>
          <w:sz w:val="24"/>
          <w:szCs w:val="24"/>
          <w:rtl/>
        </w:rPr>
        <w:t>الآية رقم 5، من سورة طه]</w:t>
      </w:r>
      <w:r w:rsidRPr="00A52585">
        <w:rPr>
          <w:rFonts w:hint="cs"/>
          <w:rtl/>
        </w:rPr>
        <w:t xml:space="preserve">} </w:t>
      </w:r>
      <w:r w:rsidR="0002035C" w:rsidRPr="00A52585">
        <w:rPr>
          <w:rFonts w:hint="cs"/>
          <w:rtl/>
        </w:rPr>
        <w:t>[</w:t>
      </w:r>
      <w:r w:rsidRPr="00A52585">
        <w:rPr>
          <w:rFonts w:hint="cs"/>
          <w:rtl/>
        </w:rPr>
        <w:t>طه</w:t>
      </w:r>
      <w:r w:rsidR="0002035C" w:rsidRPr="00A52585">
        <w:rPr>
          <w:rFonts w:hint="cs"/>
          <w:rtl/>
        </w:rPr>
        <w:t>:</w:t>
      </w:r>
      <w:r w:rsidRPr="00A52585">
        <w:rPr>
          <w:rFonts w:hint="cs"/>
          <w:rtl/>
        </w:rPr>
        <w:t xml:space="preserve"> 5</w:t>
      </w:r>
      <w:r w:rsidR="0002035C" w:rsidRPr="00A52585">
        <w:rPr>
          <w:rFonts w:hint="cs"/>
          <w:rtl/>
        </w:rPr>
        <w:t>]</w:t>
      </w:r>
      <w:r w:rsidR="00DB731D"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الرحمن جل </w:t>
      </w:r>
      <w:proofErr w:type="spellStart"/>
      <w:r w:rsidRPr="00A52585">
        <w:rPr>
          <w:rFonts w:hint="cs"/>
          <w:rtl/>
        </w:rPr>
        <w:t>وعلالم</w:t>
      </w:r>
      <w:proofErr w:type="spellEnd"/>
      <w:r w:rsidRPr="00A52585">
        <w:rPr>
          <w:rFonts w:hint="cs"/>
          <w:rtl/>
        </w:rPr>
        <w:t xml:space="preserve"> يزل والعرش محدث</w:t>
      </w:r>
      <w:r w:rsidR="00DB731D" w:rsidRPr="00A52585">
        <w:rPr>
          <w:rFonts w:hint="cs"/>
          <w:rtl/>
        </w:rPr>
        <w:t>،</w:t>
      </w:r>
      <w:r w:rsidRPr="00A52585">
        <w:rPr>
          <w:rFonts w:hint="cs"/>
          <w:rtl/>
        </w:rPr>
        <w:t xml:space="preserve"> والعرش بالرحمن استوى</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كل ما ميزتموه بأذهانكم وأدركتموه في أتم عقولكم فهو مصروف إليكم ومردود عليكم محدث ومصنوع مثلكم لأن حقيقته عالية عن أن تلحقه عبارة أو يدركه وَهْم أو يحيط به علم</w:t>
      </w:r>
      <w:r w:rsidR="00DB731D" w:rsidRPr="00A52585">
        <w:rPr>
          <w:rFonts w:hint="cs"/>
          <w:rtl/>
        </w:rPr>
        <w:t>،</w:t>
      </w:r>
      <w:r w:rsidRPr="00A52585">
        <w:rPr>
          <w:rFonts w:hint="cs"/>
          <w:rtl/>
        </w:rPr>
        <w:t xml:space="preserve"> كلاّ كيف يحيط به علم وقد اتفق فيه الأضداد بقوله سبحانه وتعالى</w:t>
      </w:r>
      <w:r w:rsidR="0002035C" w:rsidRPr="00A52585">
        <w:rPr>
          <w:rFonts w:hint="cs"/>
          <w:rtl/>
        </w:rPr>
        <w:t>:</w:t>
      </w:r>
      <w:r w:rsidRPr="00A52585">
        <w:rPr>
          <w:rFonts w:hint="cs"/>
          <w:rtl/>
        </w:rPr>
        <w:t xml:space="preserve"> {هُوَ الأَوَّلُ وَالآخِرُ وَالظَّاهِرُ وَالبَاطِنُ} </w:t>
      </w:r>
      <w:r w:rsidR="0002035C" w:rsidRPr="00A52585">
        <w:rPr>
          <w:rFonts w:hint="cs"/>
          <w:rtl/>
        </w:rPr>
        <w:t>[</w:t>
      </w:r>
      <w:r w:rsidRPr="00A52585">
        <w:rPr>
          <w:rFonts w:hint="cs"/>
          <w:rtl/>
        </w:rPr>
        <w:t>الحديد</w:t>
      </w:r>
      <w:r w:rsidR="0002035C" w:rsidRPr="00A52585">
        <w:rPr>
          <w:rFonts w:hint="cs"/>
          <w:rtl/>
        </w:rPr>
        <w:t>:</w:t>
      </w:r>
      <w:r w:rsidRPr="00A52585">
        <w:rPr>
          <w:rFonts w:hint="cs"/>
          <w:rtl/>
        </w:rPr>
        <w:t xml:space="preserve"> 3</w:t>
      </w:r>
      <w:r w:rsidR="0002035C" w:rsidRPr="00A52585">
        <w:rPr>
          <w:rFonts w:hint="cs"/>
          <w:rtl/>
        </w:rPr>
        <w:t>]</w:t>
      </w:r>
      <w:r w:rsidR="00DB731D" w:rsidRPr="00A52585">
        <w:rPr>
          <w:rFonts w:hint="cs"/>
          <w:rtl/>
        </w:rPr>
        <w:t>،</w:t>
      </w:r>
      <w:r w:rsidRPr="00A52585">
        <w:rPr>
          <w:rFonts w:hint="cs"/>
          <w:rtl/>
        </w:rPr>
        <w:t xml:space="preserve"> أيُّ عبارة تخبر عن حقيقة الألفاظ كلام قصرت عنه العبارات وخرست عنه الألسن بقوله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لَيْسَ كَمِثْلِهِ شَيْءٌ</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الشورى</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وتعالى وتقدس عن المجانسة والمماثلة</w:t>
      </w:r>
      <w:r w:rsidR="00DB731D" w:rsidRPr="00A52585">
        <w:rPr>
          <w:rFonts w:hint="cs"/>
          <w:rtl/>
        </w:rPr>
        <w:t>،</w:t>
      </w:r>
      <w:r w:rsidRPr="00A52585">
        <w:rPr>
          <w:rFonts w:hint="cs"/>
          <w:rtl/>
        </w:rPr>
        <w:t xml:space="preserve"> قال ابن عباس</w:t>
      </w:r>
      <w:r w:rsidR="0002035C" w:rsidRPr="00A52585">
        <w:rPr>
          <w:rFonts w:hint="cs"/>
          <w:rtl/>
        </w:rPr>
        <w:t>:</w:t>
      </w:r>
      <w:r w:rsidRPr="00A52585">
        <w:rPr>
          <w:rFonts w:hint="cs"/>
          <w:rtl/>
        </w:rPr>
        <w:t xml:space="preserve"> رضي الله عنهما في هذه الآية معناها</w:t>
      </w:r>
      <w:r w:rsidR="0002035C" w:rsidRPr="00A52585">
        <w:rPr>
          <w:rFonts w:hint="cs"/>
          <w:rtl/>
        </w:rPr>
        <w:t>:</w:t>
      </w:r>
      <w:r w:rsidRPr="00A52585">
        <w:rPr>
          <w:rFonts w:hint="cs"/>
          <w:rtl/>
        </w:rPr>
        <w:t xml:space="preserve"> ليس له نظير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يقول الإمام </w:t>
      </w:r>
      <w:proofErr w:type="spellStart"/>
      <w:r w:rsidRPr="00A52585">
        <w:rPr>
          <w:rFonts w:hint="cs"/>
          <w:sz w:val="24"/>
          <w:szCs w:val="24"/>
          <w:rtl/>
        </w:rPr>
        <w:t>الكلاباذي</w:t>
      </w:r>
      <w:proofErr w:type="spellEnd"/>
      <w:r w:rsidRPr="00A52585">
        <w:rPr>
          <w:rFonts w:hint="cs"/>
          <w:sz w:val="24"/>
          <w:szCs w:val="24"/>
          <w:rtl/>
        </w:rPr>
        <w:t xml:space="preserve"> في كتابه (التعرف لمذهب أهل التصوف)</w:t>
      </w:r>
      <w:r w:rsidR="0002035C" w:rsidRPr="00A52585">
        <w:rPr>
          <w:rFonts w:hint="cs"/>
          <w:sz w:val="24"/>
          <w:szCs w:val="24"/>
          <w:rtl/>
        </w:rPr>
        <w:t>:</w:t>
      </w:r>
      <w:r w:rsidRPr="00A52585">
        <w:rPr>
          <w:rFonts w:hint="cs"/>
          <w:sz w:val="24"/>
          <w:szCs w:val="24"/>
          <w:rtl/>
        </w:rPr>
        <w:t xml:space="preserve"> " قال </w:t>
      </w:r>
      <w:proofErr w:type="spellStart"/>
      <w:r w:rsidRPr="00A52585">
        <w:rPr>
          <w:rFonts w:hint="cs"/>
          <w:sz w:val="24"/>
          <w:szCs w:val="24"/>
          <w:rtl/>
        </w:rPr>
        <w:t>القحطبي</w:t>
      </w:r>
      <w:proofErr w:type="spellEnd"/>
      <w:r w:rsidR="0002035C" w:rsidRPr="00A52585">
        <w:rPr>
          <w:rFonts w:hint="cs"/>
          <w:sz w:val="24"/>
          <w:szCs w:val="24"/>
          <w:rtl/>
        </w:rPr>
        <w:t>:</w:t>
      </w:r>
      <w:r w:rsidRPr="00A52585">
        <w:rPr>
          <w:rFonts w:hint="cs"/>
          <w:sz w:val="24"/>
          <w:szCs w:val="24"/>
          <w:rtl/>
        </w:rPr>
        <w:t xml:space="preserve"> من لحقته العقول فهو مقهور إلا من جهة الإثبات، ولو لا أنه تعرف إليها بالألطاف لما أدركته من جهة الإثبات"</w:t>
      </w:r>
      <w:r w:rsidR="0002035C" w:rsidRPr="00A52585">
        <w:rPr>
          <w:rFonts w:hint="cs"/>
          <w:sz w:val="24"/>
          <w:szCs w:val="24"/>
          <w:rtl/>
        </w:rPr>
        <w:t xml:space="preserve"> </w:t>
      </w:r>
      <w:r w:rsidRPr="00A52585">
        <w:rPr>
          <w:rFonts w:hint="cs"/>
          <w:sz w:val="24"/>
          <w:szCs w:val="24"/>
          <w:rtl/>
        </w:rPr>
        <w:t xml:space="preserve">يقول الإمام علاء الدين </w:t>
      </w:r>
      <w:proofErr w:type="spellStart"/>
      <w:r w:rsidRPr="00A52585">
        <w:rPr>
          <w:rFonts w:hint="cs"/>
          <w:sz w:val="24"/>
          <w:szCs w:val="24"/>
          <w:rtl/>
        </w:rPr>
        <w:t>القونوي</w:t>
      </w:r>
      <w:proofErr w:type="spellEnd"/>
      <w:r w:rsidRPr="00A52585">
        <w:rPr>
          <w:rFonts w:hint="cs"/>
          <w:sz w:val="24"/>
          <w:szCs w:val="24"/>
          <w:rtl/>
        </w:rPr>
        <w:t xml:space="preserve"> شارحا ذلك</w:t>
      </w:r>
      <w:r w:rsidR="0002035C" w:rsidRPr="00A52585">
        <w:rPr>
          <w:rFonts w:hint="cs"/>
          <w:sz w:val="24"/>
          <w:szCs w:val="24"/>
          <w:rtl/>
        </w:rPr>
        <w:t xml:space="preserve">: </w:t>
      </w:r>
      <w:r w:rsidRPr="00A52585">
        <w:rPr>
          <w:rFonts w:hint="cs"/>
          <w:sz w:val="24"/>
          <w:szCs w:val="24"/>
          <w:rtl/>
        </w:rPr>
        <w:t xml:space="preserve">" أي العقول لا تلحق الله تعالى ولا تدركه وإلا كان مقهوراً </w:t>
      </w:r>
      <w:proofErr w:type="spellStart"/>
      <w:r w:rsidRPr="00A52585">
        <w:rPr>
          <w:rFonts w:hint="cs"/>
          <w:sz w:val="24"/>
          <w:szCs w:val="24"/>
          <w:rtl/>
        </w:rPr>
        <w:t>باللحوق</w:t>
      </w:r>
      <w:proofErr w:type="spellEnd"/>
      <w:r w:rsidRPr="00A52585">
        <w:rPr>
          <w:rFonts w:hint="cs"/>
          <w:sz w:val="24"/>
          <w:szCs w:val="24"/>
          <w:rtl/>
        </w:rPr>
        <w:t xml:space="preserve"> والإحاطة </w:t>
      </w:r>
      <w:r w:rsidRPr="00A52585">
        <w:rPr>
          <w:rFonts w:hint="cs"/>
          <w:sz w:val="24"/>
          <w:szCs w:val="24"/>
          <w:rtl/>
        </w:rPr>
        <w:lastRenderedPageBreak/>
        <w:t>والإشراف عليه تعالى الله عن ذلك. نعم تقر له الوجود وهو المراد بالإثبات لاستحالة الإثبات الحقيقي على القدير، وإقرار العقل بوجوده ليس من ذات العقل بل بتعرف الله تعالى إليه بألطافه وهدايته له حتى اهتدى للاعتراف بالثبوت"</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من (حسن التصرف بشرح التعرف) مخطوط بدار الكتب المصرية لوحة 75- 76]</w:t>
      </w:r>
      <w:r w:rsidR="00DB731D" w:rsidRPr="00A52585">
        <w:rPr>
          <w:rFonts w:hint="cs"/>
          <w:sz w:val="24"/>
          <w:szCs w:val="24"/>
          <w:rtl/>
        </w:rPr>
        <w:t>،</w:t>
      </w:r>
      <w:r w:rsidRPr="00A52585">
        <w:rPr>
          <w:rFonts w:hint="cs"/>
          <w:rtl/>
        </w:rPr>
        <w:t xml:space="preserve"> قال أهل التحقيق</w:t>
      </w:r>
      <w:r w:rsidR="0002035C" w:rsidRPr="00A52585">
        <w:rPr>
          <w:rFonts w:hint="cs"/>
          <w:rtl/>
        </w:rPr>
        <w:t>:</w:t>
      </w:r>
      <w:r w:rsidRPr="00A52585">
        <w:rPr>
          <w:rFonts w:hint="cs"/>
          <w:rtl/>
        </w:rPr>
        <w:t xml:space="preserve"> ذكر العرش إظهاراً لقدرته</w:t>
      </w:r>
      <w:r w:rsidR="00DB731D" w:rsidRPr="00A52585">
        <w:rPr>
          <w:rFonts w:hint="cs"/>
          <w:rtl/>
        </w:rPr>
        <w:t>،</w:t>
      </w:r>
      <w:r w:rsidRPr="00A52585">
        <w:rPr>
          <w:rFonts w:hint="cs"/>
          <w:rtl/>
        </w:rPr>
        <w:t xml:space="preserve"> لا مكاناً لذاته إذ الذات ممتنعة عن الإحاطة والوقوف عليه</w:t>
      </w:r>
      <w:r w:rsidRPr="00A52585">
        <w:rPr>
          <w:rFonts w:hint="cs"/>
          <w:vertAlign w:val="superscript"/>
          <w:rtl/>
        </w:rPr>
        <w:t xml:space="preserve">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وقد قال تعالى</w:t>
      </w:r>
      <w:r w:rsidR="0002035C" w:rsidRPr="00A52585">
        <w:rPr>
          <w:rFonts w:hint="cs"/>
          <w:sz w:val="24"/>
          <w:szCs w:val="24"/>
          <w:rtl/>
        </w:rPr>
        <w:t>:</w:t>
      </w:r>
      <w:r w:rsidRPr="00A52585">
        <w:rPr>
          <w:rFonts w:hint="cs"/>
          <w:sz w:val="24"/>
          <w:szCs w:val="24"/>
          <w:rtl/>
        </w:rPr>
        <w:t xml:space="preserve"> {ولا يحيطون به علما} (طه-110) يقول القرطبي في تفسيره " الهاء في (به) لله تعالى، أي أحد لا يحيط به علما إذ الإحاطة مشعرة بالحد ويتعالى الله عن التحديد "</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بل أجمع العلماء على نفي إحاطة عقول الخلق بالله تعالى</w:t>
      </w:r>
      <w:r w:rsidR="00DB731D" w:rsidRPr="00A52585">
        <w:rPr>
          <w:rFonts w:hint="cs"/>
          <w:sz w:val="24"/>
          <w:szCs w:val="24"/>
          <w:rtl/>
        </w:rPr>
        <w:t>،</w:t>
      </w:r>
      <w:r w:rsidRPr="00A52585">
        <w:rPr>
          <w:rFonts w:hint="cs"/>
          <w:sz w:val="24"/>
          <w:szCs w:val="24"/>
          <w:rtl/>
        </w:rPr>
        <w:t xml:space="preserve"> وقال {لا تدركه الأبصار وهو يدرك الأبصار وهو اللطيف الخبير} (الأنعام- 103) يقول الألوسي في تفسيره</w:t>
      </w:r>
      <w:r w:rsidR="0002035C" w:rsidRPr="00A52585">
        <w:rPr>
          <w:rFonts w:hint="cs"/>
          <w:sz w:val="24"/>
          <w:szCs w:val="24"/>
          <w:rtl/>
        </w:rPr>
        <w:t>:</w:t>
      </w:r>
      <w:r w:rsidRPr="00A52585">
        <w:rPr>
          <w:rFonts w:hint="cs"/>
          <w:sz w:val="24"/>
          <w:szCs w:val="24"/>
          <w:rtl/>
        </w:rPr>
        <w:t xml:space="preserve"> {لا تدركه الأبصار} جمع بصر يطلق كما قال الراغب على الجارحة الناظرة وعلى القوة التي فيها وعلى البصيرة وهي قوة القلب المدركة وإدراك الشيء عبارة عن الوصول إلى غايته والإحاطة به. وأكثر المتكلمين على حمل البصر هنا على الجارحة من حيث أنها محمل القوة، وقيل هو إشارة إلى ذلك وإلى الأوهام والأفهام كما قال أمير المؤمنين علىّ كرم الله وجهه (التوحيد أن لا </w:t>
      </w:r>
      <w:proofErr w:type="spellStart"/>
      <w:r w:rsidRPr="00A52585">
        <w:rPr>
          <w:rFonts w:hint="cs"/>
          <w:sz w:val="24"/>
          <w:szCs w:val="24"/>
          <w:rtl/>
        </w:rPr>
        <w:t>تتوهمه</w:t>
      </w:r>
      <w:proofErr w:type="spellEnd"/>
      <w:r w:rsidRPr="00A52585">
        <w:rPr>
          <w:rFonts w:hint="cs"/>
          <w:sz w:val="24"/>
          <w:szCs w:val="24"/>
          <w:rtl/>
        </w:rPr>
        <w:t>) وقال أيضاً (كل ما أدركته فهو غيره) ونقل الراغب عن بعضهم أنه حمل ذلك على البصيرة وذكر أنه قد نبه به على ما روى عن أبي بكر الصديق رضي الله عنه في قوله (يا من غاية معرفته القصور عن معرفته) إذ كانت معرفته تعالى أن تعرف الأشياء فتعلم أنه ليس بمثلٍ لشيء منها بل هو موجد كل ما أدركته"</w:t>
      </w:r>
      <w:r w:rsidR="0002035C" w:rsidRPr="00A52585">
        <w:rPr>
          <w:rFonts w:hint="cs"/>
          <w:sz w:val="24"/>
          <w:szCs w:val="24"/>
          <w:rtl/>
        </w:rPr>
        <w:t xml:space="preserve"> </w:t>
      </w:r>
      <w:proofErr w:type="spellStart"/>
      <w:proofErr w:type="gramStart"/>
      <w:r w:rsidRPr="00A52585">
        <w:rPr>
          <w:rFonts w:hint="cs"/>
          <w:sz w:val="24"/>
          <w:szCs w:val="24"/>
          <w:rtl/>
        </w:rPr>
        <w:t>أ.ه</w:t>
      </w:r>
      <w:proofErr w:type="spellEnd"/>
      <w:r w:rsidRPr="00A52585">
        <w:rPr>
          <w:rFonts w:hint="cs"/>
          <w:sz w:val="24"/>
          <w:szCs w:val="24"/>
          <w:rtl/>
        </w:rPr>
        <w:t>ـ</w:t>
      </w:r>
      <w:proofErr w:type="gramEnd"/>
      <w:r w:rsidRPr="00A52585">
        <w:rPr>
          <w:rFonts w:hint="cs"/>
          <w:sz w:val="24"/>
          <w:szCs w:val="24"/>
          <w:rtl/>
        </w:rPr>
        <w:t>]</w:t>
      </w:r>
      <w:r w:rsidR="00897A24" w:rsidRPr="00A52585">
        <w:rPr>
          <w:rFonts w:hint="cs"/>
          <w:rtl/>
        </w:rPr>
        <w:t>.</w:t>
      </w:r>
      <w:r w:rsidRPr="00A52585">
        <w:rPr>
          <w:rFonts w:hint="cs"/>
          <w:rtl/>
        </w:rPr>
        <w:t xml:space="preserve"> كما أشار إلى ذلك في قوله تعالى</w:t>
      </w:r>
      <w:r w:rsidR="0002035C" w:rsidRPr="00A52585">
        <w:rPr>
          <w:rFonts w:hint="cs"/>
          <w:rtl/>
        </w:rPr>
        <w:t>:</w:t>
      </w:r>
      <w:r w:rsidRPr="00A52585">
        <w:rPr>
          <w:rFonts w:hint="cs"/>
          <w:rtl/>
        </w:rPr>
        <w:t xml:space="preserve"> {الله لاَ إلَهَ إَلاَّ هُوَ رَبُّ الْعَرْشِ الْعَظِيمِ} </w:t>
      </w:r>
      <w:r w:rsidR="0002035C" w:rsidRPr="00A52585">
        <w:rPr>
          <w:rFonts w:hint="cs"/>
          <w:rtl/>
        </w:rPr>
        <w:t>[</w:t>
      </w:r>
      <w:r w:rsidRPr="00A52585">
        <w:rPr>
          <w:rFonts w:hint="cs"/>
          <w:rtl/>
        </w:rPr>
        <w:t>النمل</w:t>
      </w:r>
      <w:r w:rsidR="0002035C" w:rsidRPr="00A52585">
        <w:rPr>
          <w:rFonts w:hint="cs"/>
          <w:rtl/>
        </w:rPr>
        <w:t>:</w:t>
      </w:r>
      <w:r w:rsidRPr="00A52585">
        <w:rPr>
          <w:rFonts w:hint="cs"/>
          <w:rtl/>
        </w:rPr>
        <w:t xml:space="preserve"> 26</w:t>
      </w:r>
      <w:r w:rsidR="0002035C" w:rsidRPr="00A52585">
        <w:rPr>
          <w:rFonts w:hint="cs"/>
          <w:rtl/>
        </w:rPr>
        <w:t>]</w:t>
      </w:r>
      <w:r w:rsidR="00DB731D" w:rsidRPr="00A52585">
        <w:rPr>
          <w:rFonts w:hint="cs"/>
          <w:rtl/>
        </w:rPr>
        <w:t>،</w:t>
      </w:r>
      <w:r w:rsidRPr="00A52585">
        <w:rPr>
          <w:rFonts w:hint="cs"/>
          <w:rtl/>
        </w:rPr>
        <w:t xml:space="preserve"> فسبحانه هو المُنَزَّه عن الشبيه</w:t>
      </w:r>
      <w:r w:rsidR="00DB731D" w:rsidRPr="00A52585">
        <w:rPr>
          <w:rFonts w:hint="cs"/>
          <w:rtl/>
        </w:rPr>
        <w:t>،</w:t>
      </w:r>
      <w:r w:rsidRPr="00A52585">
        <w:rPr>
          <w:rFonts w:hint="cs"/>
          <w:rtl/>
        </w:rPr>
        <w:t xml:space="preserve"> القدوس المبرأ عن الآفات</w:t>
      </w:r>
      <w:r w:rsidR="00DB731D" w:rsidRPr="00A52585">
        <w:rPr>
          <w:rFonts w:hint="cs"/>
          <w:rtl/>
        </w:rPr>
        <w:t>،</w:t>
      </w:r>
      <w:r w:rsidRPr="00A52585">
        <w:rPr>
          <w:rFonts w:hint="cs"/>
          <w:rtl/>
        </w:rPr>
        <w:t xml:space="preserve"> والمُسَبَّح بجميع اللغات</w:t>
      </w:r>
      <w:r w:rsidR="00DB731D" w:rsidRPr="00A52585">
        <w:rPr>
          <w:rFonts w:hint="cs"/>
          <w:rtl/>
        </w:rPr>
        <w:t>،</w:t>
      </w:r>
      <w:r w:rsidRPr="00A52585">
        <w:rPr>
          <w:rFonts w:hint="cs"/>
          <w:rtl/>
        </w:rPr>
        <w:t xml:space="preserve"> السلام السالم من نقائص المخلوقات</w:t>
      </w:r>
      <w:r w:rsidR="00DB731D" w:rsidRPr="00A52585">
        <w:rPr>
          <w:rFonts w:hint="cs"/>
          <w:rtl/>
        </w:rPr>
        <w:t>،</w:t>
      </w:r>
      <w:r w:rsidRPr="00A52585">
        <w:rPr>
          <w:rFonts w:hint="cs"/>
          <w:rtl/>
        </w:rPr>
        <w:t xml:space="preserve"> الصَّمَد السيد الذي </w:t>
      </w:r>
      <w:r w:rsidRPr="00A52585">
        <w:rPr>
          <w:rFonts w:hint="cs"/>
          <w:spacing w:val="-6"/>
          <w:rtl/>
        </w:rPr>
        <w:t>لا يشبهه شيء من المصنوعات والمخلوقات</w:t>
      </w:r>
      <w:r w:rsidR="00DB731D" w:rsidRPr="00A52585">
        <w:rPr>
          <w:rFonts w:hint="cs"/>
          <w:spacing w:val="-6"/>
          <w:rtl/>
        </w:rPr>
        <w:t>،</w:t>
      </w:r>
      <w:r w:rsidRPr="00A52585">
        <w:rPr>
          <w:rFonts w:hint="cs"/>
          <w:spacing w:val="-6"/>
          <w:rtl/>
        </w:rPr>
        <w:t xml:space="preserve"> الغَني عن الأغيار تبارك وتعالى</w:t>
      </w:r>
      <w:r w:rsidRPr="00A52585">
        <w:rPr>
          <w:rFonts w:hint="cs"/>
          <w:rtl/>
        </w:rPr>
        <w:t xml:space="preserve"> عن </w:t>
      </w:r>
      <w:r w:rsidRPr="00A52585">
        <w:rPr>
          <w:rFonts w:hint="cs"/>
          <w:spacing w:val="-6"/>
          <w:rtl/>
        </w:rPr>
        <w:t>أن تحويه الجهات</w:t>
      </w:r>
      <w:r w:rsidR="00DB731D" w:rsidRPr="00A52585">
        <w:rPr>
          <w:rFonts w:hint="cs"/>
          <w:spacing w:val="-6"/>
          <w:rtl/>
        </w:rPr>
        <w:t>،</w:t>
      </w:r>
      <w:r w:rsidRPr="00A52585">
        <w:rPr>
          <w:rFonts w:hint="cs"/>
          <w:spacing w:val="-6"/>
          <w:rtl/>
        </w:rPr>
        <w:t xml:space="preserve"> الفرد الذي لا نظير له</w:t>
      </w:r>
      <w:r w:rsidR="00DB731D" w:rsidRPr="00A52585">
        <w:rPr>
          <w:rFonts w:hint="cs"/>
          <w:spacing w:val="-6"/>
          <w:rtl/>
        </w:rPr>
        <w:t>،</w:t>
      </w:r>
      <w:r w:rsidRPr="00A52585">
        <w:rPr>
          <w:rFonts w:hint="cs"/>
          <w:spacing w:val="-6"/>
          <w:rtl/>
        </w:rPr>
        <w:t xml:space="preserve"> والمنفرد</w:t>
      </w:r>
      <w:r w:rsidRPr="00A52585">
        <w:rPr>
          <w:rFonts w:hint="cs"/>
          <w:spacing w:val="-6"/>
          <w:vertAlign w:val="superscript"/>
          <w:rtl/>
        </w:rPr>
        <w:t xml:space="preserve"> </w:t>
      </w:r>
      <w:r w:rsidRPr="00A52585">
        <w:rPr>
          <w:rFonts w:hint="cs"/>
          <w:spacing w:val="-6"/>
          <w:rtl/>
        </w:rPr>
        <w:t>بصفات الكمال والقدرة</w:t>
      </w:r>
      <w:r w:rsidR="00DB731D" w:rsidRPr="00A52585">
        <w:rPr>
          <w:rFonts w:hint="cs"/>
          <w:spacing w:val="-6"/>
          <w:rtl/>
        </w:rPr>
        <w:t>،</w:t>
      </w:r>
      <w:r w:rsidRPr="00A52585">
        <w:rPr>
          <w:rFonts w:hint="cs"/>
          <w:spacing w:val="-6"/>
          <w:rtl/>
        </w:rPr>
        <w:t xml:space="preserve"> </w:t>
      </w:r>
      <w:r w:rsidRPr="00A52585">
        <w:rPr>
          <w:rFonts w:hint="cs"/>
          <w:rtl/>
        </w:rPr>
        <w:t xml:space="preserve">ومن بعض </w:t>
      </w:r>
      <w:proofErr w:type="spellStart"/>
      <w:r w:rsidRPr="00A52585">
        <w:rPr>
          <w:rFonts w:hint="cs"/>
          <w:rtl/>
        </w:rPr>
        <w:t>مقدوراته</w:t>
      </w:r>
      <w:proofErr w:type="spellEnd"/>
      <w:r w:rsidRPr="00A52585">
        <w:rPr>
          <w:rFonts w:hint="cs"/>
          <w:rtl/>
        </w:rPr>
        <w:t xml:space="preserve"> الكرسي والعرش والأرضون والسموات</w:t>
      </w:r>
      <w:r w:rsidR="00DB731D" w:rsidRPr="00A52585">
        <w:rPr>
          <w:rFonts w:hint="cs"/>
          <w:rtl/>
        </w:rPr>
        <w:t>،</w:t>
      </w:r>
      <w:r w:rsidRPr="00A52585">
        <w:rPr>
          <w:rFonts w:hint="cs"/>
          <w:rtl/>
        </w:rPr>
        <w:t xml:space="preserve"> شهد لنفسه </w:t>
      </w:r>
      <w:r w:rsidRPr="00A52585">
        <w:rPr>
          <w:rFonts w:hint="cs"/>
          <w:spacing w:val="-6"/>
          <w:rtl/>
        </w:rPr>
        <w:t>بالوحدانية ونزهها بالآيات البينات</w:t>
      </w:r>
      <w:r w:rsidR="00DB731D" w:rsidRPr="00A52585">
        <w:rPr>
          <w:rFonts w:hint="cs"/>
          <w:spacing w:val="-6"/>
          <w:rtl/>
        </w:rPr>
        <w:t>،</w:t>
      </w:r>
      <w:r w:rsidRPr="00A52585">
        <w:rPr>
          <w:rFonts w:hint="cs"/>
          <w:spacing w:val="-6"/>
          <w:rtl/>
        </w:rPr>
        <w:t xml:space="preserve"> فصفاته لا يوصف بها غيره</w:t>
      </w:r>
      <w:r w:rsidR="00DB731D" w:rsidRPr="00A52585">
        <w:rPr>
          <w:rFonts w:hint="cs"/>
          <w:spacing w:val="-6"/>
          <w:rtl/>
        </w:rPr>
        <w:t>،</w:t>
      </w:r>
      <w:r w:rsidRPr="00A52585">
        <w:rPr>
          <w:rFonts w:hint="cs"/>
          <w:spacing w:val="-6"/>
          <w:rtl/>
        </w:rPr>
        <w:t xml:space="preserve"> ومن تعرض لذلك فقد طعن في كلامه</w:t>
      </w:r>
      <w:r w:rsidR="00DB731D" w:rsidRPr="00A52585">
        <w:rPr>
          <w:rFonts w:hint="cs"/>
          <w:spacing w:val="-6"/>
          <w:rtl/>
        </w:rPr>
        <w:t>،</w:t>
      </w:r>
      <w:r w:rsidRPr="00A52585">
        <w:rPr>
          <w:rFonts w:hint="cs"/>
          <w:spacing w:val="-6"/>
          <w:rtl/>
        </w:rPr>
        <w:t xml:space="preserve"> وضاهى أهل العِنَاد فاستوجب اللعن وأشد العقوبات</w:t>
      </w:r>
      <w:r w:rsidR="00DB731D" w:rsidRPr="00A52585">
        <w:rPr>
          <w:rFonts w:hint="cs"/>
          <w:spacing w:val="-6"/>
          <w:rtl/>
        </w:rPr>
        <w:t>،</w:t>
      </w:r>
      <w:r w:rsidRPr="00A52585">
        <w:rPr>
          <w:rFonts w:hint="cs"/>
          <w:spacing w:val="-6"/>
          <w:rtl/>
        </w:rPr>
        <w:t xml:space="preserve"> </w:t>
      </w:r>
      <w:r w:rsidRPr="00A52585">
        <w:rPr>
          <w:rFonts w:hint="cs"/>
          <w:rtl/>
        </w:rPr>
        <w:t>قال البغداديون في قوله تعالى</w:t>
      </w:r>
      <w:r w:rsidR="0002035C" w:rsidRPr="00A52585">
        <w:rPr>
          <w:rFonts w:hint="cs"/>
          <w:rtl/>
        </w:rPr>
        <w:t>:</w:t>
      </w:r>
      <w:r w:rsidRPr="00A52585">
        <w:rPr>
          <w:rFonts w:hint="cs"/>
          <w:rtl/>
        </w:rPr>
        <w:t xml:space="preserve"> {بَدِيعُ السَّمَوَاتِ وَالأَرْضِ وَإِذَا قَضَى أَمْرَاً فَإِنَّما يَقَوُلُ لَهُ كُنْ فَيَكُونُ}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117</w:t>
      </w:r>
      <w:r w:rsidR="0002035C" w:rsidRPr="00A52585">
        <w:rPr>
          <w:rFonts w:hint="cs"/>
          <w:rtl/>
        </w:rPr>
        <w:t>]:</w:t>
      </w:r>
      <w:r w:rsidRPr="00A52585">
        <w:rPr>
          <w:rFonts w:hint="cs"/>
          <w:rtl/>
        </w:rPr>
        <w:t xml:space="preserve"> كل صنع صنعه ولا علة لصنعه</w:t>
      </w:r>
      <w:r w:rsidR="00DB731D" w:rsidRPr="00A52585">
        <w:rPr>
          <w:rFonts w:hint="cs"/>
          <w:rtl/>
        </w:rPr>
        <w:t>،</w:t>
      </w:r>
      <w:r w:rsidRPr="00A52585">
        <w:rPr>
          <w:rFonts w:hint="cs"/>
          <w:rtl/>
        </w:rPr>
        <w:t xml:space="preserve"> ليس لذاته مكان لأنه كان قبل الكون والمكان</w:t>
      </w:r>
      <w:r w:rsidR="00DB731D" w:rsidRPr="00A52585">
        <w:rPr>
          <w:rFonts w:hint="cs"/>
          <w:rtl/>
        </w:rPr>
        <w:t>،</w:t>
      </w:r>
      <w:r w:rsidRPr="00A52585">
        <w:rPr>
          <w:rFonts w:hint="cs"/>
          <w:rtl/>
        </w:rPr>
        <w:t xml:space="preserve"> وأوجد الأكوان بقوله {كُنْ} أزال العلل عن ذاته بالدرك وبالعبارة عنه</w:t>
      </w:r>
      <w:r w:rsidR="00DB731D" w:rsidRPr="00A52585">
        <w:rPr>
          <w:rFonts w:hint="cs"/>
          <w:rtl/>
        </w:rPr>
        <w:t>،</w:t>
      </w:r>
      <w:r w:rsidRPr="00A52585">
        <w:rPr>
          <w:rFonts w:hint="cs"/>
          <w:rtl/>
        </w:rPr>
        <w:t xml:space="preserve"> وبالإشارة</w:t>
      </w:r>
      <w:r w:rsidR="00DB731D" w:rsidRPr="00A52585">
        <w:rPr>
          <w:rFonts w:hint="cs"/>
          <w:rtl/>
        </w:rPr>
        <w:t>،</w:t>
      </w:r>
      <w:r w:rsidRPr="00A52585">
        <w:rPr>
          <w:rFonts w:hint="cs"/>
          <w:rtl/>
        </w:rPr>
        <w:t xml:space="preserve"> فلا يبلغ أحد شيئاً من كنهِ معرفته</w:t>
      </w:r>
      <w:r w:rsidR="00DB731D" w:rsidRPr="00A52585">
        <w:rPr>
          <w:rFonts w:hint="cs"/>
          <w:rtl/>
        </w:rPr>
        <w:t>،</w:t>
      </w:r>
      <w:r w:rsidRPr="00A52585">
        <w:rPr>
          <w:rFonts w:hint="cs"/>
          <w:rtl/>
        </w:rPr>
        <w:t xml:space="preserve"> لأنه لا يعلم أحد ما هو إلا هو</w:t>
      </w:r>
      <w:r w:rsidR="00DB731D" w:rsidRPr="00A52585">
        <w:rPr>
          <w:rFonts w:hint="cs"/>
          <w:rtl/>
        </w:rPr>
        <w:t>،</w:t>
      </w:r>
      <w:r w:rsidRPr="00A52585">
        <w:rPr>
          <w:rFonts w:hint="cs"/>
          <w:rtl/>
        </w:rPr>
        <w:t xml:space="preserve"> حي قيوم</w:t>
      </w:r>
      <w:r w:rsidR="00DB731D" w:rsidRPr="00A52585">
        <w:rPr>
          <w:rFonts w:hint="cs"/>
          <w:rtl/>
        </w:rPr>
        <w:t>،</w:t>
      </w:r>
      <w:r w:rsidRPr="00A52585">
        <w:rPr>
          <w:rFonts w:hint="cs"/>
          <w:rtl/>
        </w:rPr>
        <w:t xml:space="preserve"> لا أول لحياته ولا أمد لبقائه</w:t>
      </w:r>
      <w:r w:rsidR="00DB731D" w:rsidRPr="00A52585">
        <w:rPr>
          <w:rFonts w:hint="cs"/>
          <w:rtl/>
        </w:rPr>
        <w:t>،</w:t>
      </w:r>
      <w:r w:rsidRPr="00A52585">
        <w:rPr>
          <w:rFonts w:hint="cs"/>
          <w:rtl/>
        </w:rPr>
        <w:t xml:space="preserve"> احتجب عن العقول والأفهام كما احتجب عن الإدراك والأبصار</w:t>
      </w:r>
      <w:r w:rsidR="00DB731D" w:rsidRPr="00A52585">
        <w:rPr>
          <w:rFonts w:hint="cs"/>
          <w:rtl/>
        </w:rPr>
        <w:t>،</w:t>
      </w:r>
      <w:r w:rsidRPr="00A52585">
        <w:rPr>
          <w:rFonts w:hint="cs"/>
          <w:rtl/>
        </w:rPr>
        <w:t xml:space="preserve"> فعجز العقل عن الدرك</w:t>
      </w:r>
      <w:r w:rsidR="00DB731D" w:rsidRPr="00A52585">
        <w:rPr>
          <w:rFonts w:hint="cs"/>
          <w:rtl/>
        </w:rPr>
        <w:t>،</w:t>
      </w:r>
      <w:r w:rsidRPr="00A52585">
        <w:rPr>
          <w:rFonts w:hint="cs"/>
          <w:rtl/>
        </w:rPr>
        <w:t xml:space="preserve"> والدرك عن الاستنباط</w:t>
      </w:r>
      <w:r w:rsidR="00DB731D" w:rsidRPr="00A52585">
        <w:rPr>
          <w:rFonts w:hint="cs"/>
          <w:rtl/>
        </w:rPr>
        <w:t>،</w:t>
      </w:r>
      <w:r w:rsidRPr="00A52585">
        <w:rPr>
          <w:rFonts w:hint="cs"/>
          <w:rtl/>
        </w:rPr>
        <w:t xml:space="preserve"> وانتهى المخلوق إلى مثله</w:t>
      </w:r>
      <w:r w:rsidR="00DB731D" w:rsidRPr="00A52585">
        <w:rPr>
          <w:rFonts w:hint="cs"/>
          <w:rtl/>
        </w:rPr>
        <w:t>،</w:t>
      </w:r>
      <w:r w:rsidRPr="00A52585">
        <w:rPr>
          <w:rFonts w:hint="cs"/>
          <w:rtl/>
        </w:rPr>
        <w:t xml:space="preserve"> وأسنَده الطلب إلى شكله</w:t>
      </w:r>
      <w:r w:rsidR="00DB731D" w:rsidRPr="00A52585">
        <w:rPr>
          <w:rFonts w:hint="cs"/>
          <w:vertAlign w:val="superscript"/>
          <w:rtl/>
        </w:rPr>
        <w:t>،</w:t>
      </w:r>
      <w:r w:rsidRPr="00A52585">
        <w:rPr>
          <w:rFonts w:hint="cs"/>
          <w:rtl/>
        </w:rPr>
        <w:t xml:space="preserve"> وقولهم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 صنع</w:t>
      </w:r>
      <w:r w:rsidR="0002035C" w:rsidRPr="00A52585">
        <w:rPr>
          <w:rFonts w:hint="cs"/>
          <w:rtl/>
        </w:rPr>
        <w:t>)</w:t>
      </w:r>
      <w:r w:rsidRPr="00A52585">
        <w:rPr>
          <w:rFonts w:hint="cs"/>
          <w:rtl/>
        </w:rPr>
        <w:t>) عبروا بالمصدر عن اسم المفعول</w:t>
      </w:r>
      <w:r w:rsidR="00DB731D" w:rsidRPr="00A52585">
        <w:rPr>
          <w:rFonts w:hint="cs"/>
          <w:rtl/>
        </w:rPr>
        <w:t>،</w:t>
      </w:r>
      <w:r w:rsidRPr="00A52585">
        <w:rPr>
          <w:rFonts w:hint="cs"/>
          <w:rtl/>
        </w:rPr>
        <w:t xml:space="preserve"> كقوله تعالى</w:t>
      </w:r>
      <w:r w:rsidR="0002035C" w:rsidRPr="00A52585">
        <w:rPr>
          <w:rFonts w:hint="cs"/>
          <w:rtl/>
        </w:rPr>
        <w:t>:</w:t>
      </w:r>
      <w:r w:rsidRPr="00A52585">
        <w:rPr>
          <w:rFonts w:hint="cs"/>
          <w:rtl/>
        </w:rPr>
        <w:t xml:space="preserve"> {هذا خلق الله</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لقمان</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w:t>
      </w:r>
      <w:r w:rsidRPr="00A52585">
        <w:rPr>
          <w:rFonts w:hint="cs"/>
          <w:spacing w:val="-8"/>
          <w:rtl/>
        </w:rPr>
        <w:t>ومن الجهل البَيِّن أن يطلب العبد المقهور</w:t>
      </w:r>
      <w:r w:rsidR="0002035C" w:rsidRPr="00A52585">
        <w:rPr>
          <w:rFonts w:hint="cs"/>
          <w:rtl/>
        </w:rPr>
        <w:t xml:space="preserve"> </w:t>
      </w:r>
      <w:r w:rsidRPr="00A52585">
        <w:rPr>
          <w:rFonts w:hint="cs"/>
          <w:spacing w:val="-8"/>
          <w:rtl/>
        </w:rPr>
        <w:t>بـ</w:t>
      </w:r>
      <w:r w:rsidRPr="00A52585">
        <w:rPr>
          <w:rFonts w:hint="cs"/>
          <w:rtl/>
        </w:rPr>
        <w:t xml:space="preserve"> (</w:t>
      </w:r>
      <w:r w:rsidR="0002035C" w:rsidRPr="00A52585">
        <w:rPr>
          <w:rFonts w:hint="cs"/>
          <w:rtl/>
        </w:rPr>
        <w:t>(</w:t>
      </w:r>
      <w:r w:rsidRPr="00A52585">
        <w:rPr>
          <w:rFonts w:hint="cs"/>
          <w:rtl/>
        </w:rPr>
        <w:t>كن</w:t>
      </w:r>
      <w:r w:rsidR="0002035C" w:rsidRPr="00A52585">
        <w:rPr>
          <w:rFonts w:hint="cs"/>
          <w:rtl/>
        </w:rPr>
        <w:t>)</w:t>
      </w:r>
      <w:r w:rsidRPr="00A52585">
        <w:rPr>
          <w:rFonts w:hint="cs"/>
          <w:rtl/>
        </w:rPr>
        <w:t xml:space="preserve">) </w:t>
      </w:r>
      <w:r w:rsidRPr="00A52585">
        <w:rPr>
          <w:rFonts w:hint="cs"/>
          <w:spacing w:val="-8"/>
          <w:rtl/>
        </w:rPr>
        <w:t>درك مالا يدرك</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w:t>
      </w:r>
      <w:r w:rsidRPr="00A52585">
        <w:rPr>
          <w:rFonts w:hint="cs"/>
          <w:spacing w:val="-6"/>
          <w:sz w:val="24"/>
          <w:szCs w:val="24"/>
          <w:rtl/>
        </w:rPr>
        <w:t>بل وردت أحاديث متعددة تنهى عن التفكر في الذات الإلهية المقدسة ومحاولة تصورها منها</w:t>
      </w:r>
      <w:r w:rsidR="0002035C" w:rsidRPr="00A52585">
        <w:rPr>
          <w:rFonts w:hint="cs"/>
          <w:spacing w:val="-6"/>
          <w:sz w:val="24"/>
          <w:szCs w:val="24"/>
          <w:rtl/>
        </w:rPr>
        <w:t>:</w:t>
      </w:r>
      <w:r w:rsidRPr="00A52585">
        <w:rPr>
          <w:rFonts w:hint="cs"/>
          <w:spacing w:val="-6"/>
          <w:sz w:val="24"/>
          <w:szCs w:val="24"/>
          <w:rtl/>
        </w:rPr>
        <w:t xml:space="preserve"> </w:t>
      </w:r>
      <w:r w:rsidRPr="00A52585">
        <w:rPr>
          <w:rFonts w:hint="cs"/>
          <w:sz w:val="24"/>
          <w:szCs w:val="24"/>
          <w:rtl/>
        </w:rPr>
        <w:t xml:space="preserve">1- عن ابن </w:t>
      </w:r>
      <w:r w:rsidRPr="00A52585">
        <w:rPr>
          <w:rFonts w:hint="cs"/>
          <w:sz w:val="24"/>
          <w:szCs w:val="24"/>
          <w:rtl/>
        </w:rPr>
        <w:lastRenderedPageBreak/>
        <w:t>عباس رضي الله عنهما قال</w:t>
      </w:r>
      <w:r w:rsidR="0002035C" w:rsidRPr="00A52585">
        <w:rPr>
          <w:rFonts w:hint="cs"/>
          <w:sz w:val="24"/>
          <w:szCs w:val="24"/>
          <w:rtl/>
        </w:rPr>
        <w:t xml:space="preserve">: </w:t>
      </w:r>
      <w:r w:rsidRPr="00A52585">
        <w:rPr>
          <w:rFonts w:hint="cs"/>
          <w:sz w:val="24"/>
          <w:szCs w:val="24"/>
          <w:rtl/>
        </w:rPr>
        <w:t>"تفكروا في كل شيء ولا تفكروا في ذات الله عز وجل فإن بين السماء السابعة إلى كرسيه سبعة آلاف نور وهو فوق ذلك"</w:t>
      </w:r>
      <w:r w:rsidR="0002035C" w:rsidRPr="00A52585">
        <w:rPr>
          <w:rFonts w:hint="cs"/>
          <w:sz w:val="24"/>
          <w:szCs w:val="24"/>
          <w:rtl/>
        </w:rPr>
        <w:t xml:space="preserve"> </w:t>
      </w:r>
      <w:r w:rsidRPr="00A52585">
        <w:rPr>
          <w:rFonts w:hint="cs"/>
          <w:sz w:val="24"/>
          <w:szCs w:val="24"/>
          <w:rtl/>
        </w:rPr>
        <w:t>رواه البيهقي بسنده في (الأسماء والصفات) باب قول الله عز وجل (وهو القاهر فوق عباده)</w:t>
      </w:r>
      <w:r w:rsidR="00DB731D" w:rsidRPr="00A52585">
        <w:rPr>
          <w:rFonts w:hint="cs"/>
          <w:sz w:val="24"/>
          <w:szCs w:val="24"/>
          <w:rtl/>
        </w:rPr>
        <w:t>،</w:t>
      </w:r>
      <w:r w:rsidRPr="00A52585">
        <w:rPr>
          <w:rFonts w:hint="cs"/>
          <w:sz w:val="24"/>
          <w:szCs w:val="24"/>
          <w:rtl/>
        </w:rPr>
        <w:t xml:space="preserve"> 2-</w:t>
      </w:r>
      <w:r w:rsidR="0002035C" w:rsidRPr="00A52585">
        <w:rPr>
          <w:rFonts w:hint="cs"/>
          <w:sz w:val="24"/>
          <w:szCs w:val="24"/>
          <w:rtl/>
        </w:rPr>
        <w:t xml:space="preserve"> </w:t>
      </w:r>
      <w:r w:rsidRPr="00A52585">
        <w:rPr>
          <w:rFonts w:hint="cs"/>
          <w:sz w:val="24"/>
          <w:szCs w:val="24"/>
          <w:rtl/>
        </w:rPr>
        <w:t>"تفكروا في كل شيء ولا تتفكروا في الله"</w:t>
      </w:r>
      <w:r w:rsidR="0002035C" w:rsidRPr="00A52585">
        <w:rPr>
          <w:rFonts w:hint="cs"/>
          <w:sz w:val="24"/>
          <w:szCs w:val="24"/>
          <w:rtl/>
        </w:rPr>
        <w:t xml:space="preserve"> </w:t>
      </w:r>
      <w:r w:rsidRPr="00A52585">
        <w:rPr>
          <w:rFonts w:hint="cs"/>
          <w:sz w:val="24"/>
          <w:szCs w:val="24"/>
          <w:rtl/>
        </w:rPr>
        <w:t>لابن أبي شيبة في (العرش)</w:t>
      </w:r>
      <w:r w:rsidR="00DB731D" w:rsidRPr="00A52585">
        <w:rPr>
          <w:rFonts w:hint="cs"/>
          <w:sz w:val="24"/>
          <w:szCs w:val="24"/>
          <w:rtl/>
        </w:rPr>
        <w:t>،</w:t>
      </w:r>
      <w:r w:rsidRPr="00A52585">
        <w:rPr>
          <w:rFonts w:hint="cs"/>
          <w:sz w:val="24"/>
          <w:szCs w:val="24"/>
          <w:rtl/>
        </w:rPr>
        <w:t xml:space="preserve"> 3- خرج رسول الله صلى الله عليه وسلم على ناس من أصحابه وهم يتفكرون في خلق الله فقال لهم</w:t>
      </w:r>
      <w:r w:rsidR="0002035C" w:rsidRPr="00A52585">
        <w:rPr>
          <w:rFonts w:hint="cs"/>
          <w:sz w:val="24"/>
          <w:szCs w:val="24"/>
          <w:rtl/>
        </w:rPr>
        <w:t>:</w:t>
      </w:r>
      <w:r w:rsidRPr="00A52585">
        <w:rPr>
          <w:rFonts w:hint="cs"/>
          <w:sz w:val="24"/>
          <w:szCs w:val="24"/>
          <w:rtl/>
        </w:rPr>
        <w:t xml:space="preserve"> فيما كنتم تفكرون</w:t>
      </w:r>
      <w:r w:rsidR="00F95886" w:rsidRPr="00A52585">
        <w:rPr>
          <w:rFonts w:hint="cs"/>
          <w:sz w:val="24"/>
          <w:szCs w:val="24"/>
          <w:rtl/>
        </w:rPr>
        <w:t>؟</w:t>
      </w:r>
      <w:r w:rsidRPr="00A52585">
        <w:rPr>
          <w:rFonts w:hint="cs"/>
          <w:sz w:val="24"/>
          <w:szCs w:val="24"/>
          <w:rtl/>
        </w:rPr>
        <w:t xml:space="preserve"> قالوا</w:t>
      </w:r>
      <w:r w:rsidR="0002035C" w:rsidRPr="00A52585">
        <w:rPr>
          <w:rFonts w:hint="cs"/>
          <w:sz w:val="24"/>
          <w:szCs w:val="24"/>
          <w:rtl/>
        </w:rPr>
        <w:t>:</w:t>
      </w:r>
      <w:r w:rsidRPr="00A52585">
        <w:rPr>
          <w:rFonts w:hint="cs"/>
          <w:sz w:val="24"/>
          <w:szCs w:val="24"/>
          <w:rtl/>
        </w:rPr>
        <w:t xml:space="preserve"> نتفكر في خلق الله، قال</w:t>
      </w:r>
      <w:r w:rsidR="0002035C" w:rsidRPr="00A52585">
        <w:rPr>
          <w:rFonts w:hint="cs"/>
          <w:sz w:val="24"/>
          <w:szCs w:val="24"/>
          <w:rtl/>
        </w:rPr>
        <w:t>:</w:t>
      </w:r>
      <w:r w:rsidRPr="00A52585">
        <w:rPr>
          <w:rFonts w:hint="cs"/>
          <w:sz w:val="24"/>
          <w:szCs w:val="24"/>
          <w:rtl/>
        </w:rPr>
        <w:t xml:space="preserve"> لا تتفكروا في الله وتفكروا في خلق الله …"</w:t>
      </w:r>
      <w:r w:rsidR="0002035C" w:rsidRPr="00A52585">
        <w:rPr>
          <w:rFonts w:hint="cs"/>
          <w:sz w:val="24"/>
          <w:szCs w:val="24"/>
          <w:rtl/>
        </w:rPr>
        <w:t xml:space="preserve"> </w:t>
      </w:r>
      <w:r w:rsidRPr="00A52585">
        <w:rPr>
          <w:rFonts w:hint="cs"/>
          <w:sz w:val="24"/>
          <w:szCs w:val="24"/>
          <w:rtl/>
        </w:rPr>
        <w:t>الحديث رواه أبو نعيم في الحلية والأصبهاني في الترغيب والترهيب عن عبد الله بن سلام</w:t>
      </w:r>
      <w:r w:rsidR="00DB731D" w:rsidRPr="00A52585">
        <w:rPr>
          <w:rFonts w:hint="cs"/>
          <w:sz w:val="24"/>
          <w:szCs w:val="24"/>
          <w:rtl/>
        </w:rPr>
        <w:t>،</w:t>
      </w:r>
      <w:r w:rsidRPr="00A52585">
        <w:rPr>
          <w:rFonts w:hint="cs"/>
          <w:sz w:val="24"/>
          <w:szCs w:val="24"/>
          <w:rtl/>
        </w:rPr>
        <w:t xml:space="preserve"> 4- أنه صلى الله عليه وسلم خرج على أصحابه فقال</w:t>
      </w:r>
      <w:r w:rsidR="0002035C" w:rsidRPr="00A52585">
        <w:rPr>
          <w:rFonts w:hint="cs"/>
          <w:sz w:val="24"/>
          <w:szCs w:val="24"/>
          <w:rtl/>
        </w:rPr>
        <w:t xml:space="preserve">: </w:t>
      </w:r>
      <w:r w:rsidRPr="00A52585">
        <w:rPr>
          <w:rFonts w:hint="cs"/>
          <w:sz w:val="24"/>
          <w:szCs w:val="24"/>
          <w:rtl/>
        </w:rPr>
        <w:t>"ما جمعكم</w:t>
      </w:r>
      <w:r w:rsidR="00F95886" w:rsidRPr="00A52585">
        <w:rPr>
          <w:rFonts w:hint="cs"/>
          <w:sz w:val="24"/>
          <w:szCs w:val="24"/>
          <w:rtl/>
        </w:rPr>
        <w:t>؟</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فقالوا</w:t>
      </w:r>
      <w:r w:rsidR="0002035C" w:rsidRPr="00A52585">
        <w:rPr>
          <w:rFonts w:hint="cs"/>
          <w:sz w:val="24"/>
          <w:szCs w:val="24"/>
          <w:rtl/>
        </w:rPr>
        <w:t>:</w:t>
      </w:r>
      <w:r w:rsidRPr="00A52585">
        <w:rPr>
          <w:rFonts w:hint="cs"/>
          <w:sz w:val="24"/>
          <w:szCs w:val="24"/>
          <w:rtl/>
        </w:rPr>
        <w:t xml:space="preserve"> اجتمعنا نذكر ربنا ونتفكر في عظمته فقال</w:t>
      </w:r>
      <w:r w:rsidR="0002035C" w:rsidRPr="00A52585">
        <w:rPr>
          <w:rFonts w:hint="cs"/>
          <w:sz w:val="24"/>
          <w:szCs w:val="24"/>
          <w:rtl/>
        </w:rPr>
        <w:t xml:space="preserve">: </w:t>
      </w:r>
      <w:r w:rsidRPr="00A52585">
        <w:rPr>
          <w:rFonts w:hint="cs"/>
          <w:sz w:val="24"/>
          <w:szCs w:val="24"/>
          <w:rtl/>
        </w:rPr>
        <w:t>"تفكروا في خلق الله ولا تفكروا في الله فإنكم لن تقدروا قدره "</w:t>
      </w:r>
      <w:r w:rsidR="0002035C" w:rsidRPr="00A52585">
        <w:rPr>
          <w:rFonts w:hint="cs"/>
          <w:sz w:val="24"/>
          <w:szCs w:val="24"/>
          <w:rtl/>
        </w:rPr>
        <w:t xml:space="preserve"> </w:t>
      </w:r>
      <w:r w:rsidRPr="00A52585">
        <w:rPr>
          <w:rFonts w:hint="cs"/>
          <w:sz w:val="24"/>
          <w:szCs w:val="24"/>
          <w:rtl/>
        </w:rPr>
        <w:t>الحديث رواه أبو نعيم عن ابن عباس</w:t>
      </w:r>
      <w:r w:rsidR="00DB731D" w:rsidRPr="00A52585">
        <w:rPr>
          <w:rFonts w:hint="cs"/>
          <w:sz w:val="24"/>
          <w:szCs w:val="24"/>
          <w:rtl/>
        </w:rPr>
        <w:t>،</w:t>
      </w:r>
      <w:r w:rsidRPr="00A52585">
        <w:rPr>
          <w:rFonts w:hint="cs"/>
          <w:sz w:val="24"/>
          <w:szCs w:val="24"/>
          <w:rtl/>
        </w:rPr>
        <w:t xml:space="preserve"> 5-</w:t>
      </w:r>
      <w:r w:rsidR="0002035C" w:rsidRPr="00A52585">
        <w:rPr>
          <w:rFonts w:hint="cs"/>
          <w:sz w:val="24"/>
          <w:szCs w:val="24"/>
          <w:rtl/>
        </w:rPr>
        <w:t xml:space="preserve"> </w:t>
      </w:r>
      <w:r w:rsidRPr="00A52585">
        <w:rPr>
          <w:rFonts w:hint="cs"/>
          <w:sz w:val="24"/>
          <w:szCs w:val="24"/>
          <w:rtl/>
        </w:rPr>
        <w:t>"تفكروا في آلاء الله ولا تتفكروا في الله"</w:t>
      </w:r>
      <w:r w:rsidR="0002035C" w:rsidRPr="00A52585">
        <w:rPr>
          <w:rFonts w:hint="cs"/>
          <w:sz w:val="24"/>
          <w:szCs w:val="24"/>
          <w:rtl/>
        </w:rPr>
        <w:t xml:space="preserve"> </w:t>
      </w:r>
      <w:r w:rsidRPr="00A52585">
        <w:rPr>
          <w:rFonts w:hint="cs"/>
          <w:sz w:val="24"/>
          <w:szCs w:val="24"/>
          <w:rtl/>
        </w:rPr>
        <w:t>للطبراني في الأوسط والبيهقي في الشعب من حديث ابن عمر مرفوعاً</w:t>
      </w:r>
      <w:r w:rsidR="00DB731D" w:rsidRPr="00A52585">
        <w:rPr>
          <w:rFonts w:hint="cs"/>
          <w:sz w:val="24"/>
          <w:szCs w:val="24"/>
          <w:rtl/>
        </w:rPr>
        <w:t>،</w:t>
      </w:r>
      <w:r w:rsidRPr="00A52585">
        <w:rPr>
          <w:rFonts w:hint="cs"/>
          <w:sz w:val="24"/>
          <w:szCs w:val="24"/>
          <w:rtl/>
        </w:rPr>
        <w:t xml:space="preserve"> يقول الحافظ السخاوي بعد أن أورد معظم هذه الأحاديث</w:t>
      </w:r>
      <w:r w:rsidR="0002035C" w:rsidRPr="00A52585">
        <w:rPr>
          <w:rFonts w:hint="cs"/>
          <w:sz w:val="24"/>
          <w:szCs w:val="24"/>
          <w:rtl/>
        </w:rPr>
        <w:t xml:space="preserve">: </w:t>
      </w:r>
      <w:r w:rsidRPr="00A52585">
        <w:rPr>
          <w:rFonts w:hint="cs"/>
          <w:sz w:val="24"/>
          <w:szCs w:val="24"/>
          <w:rtl/>
        </w:rPr>
        <w:t xml:space="preserve">"وأسانيدها ضعيفة لكن اجتماعها يكتسب قوة والمعنى صحيح، وفي صحيح مسلم عن أبي هريرة مرفوعاً </w:t>
      </w:r>
      <w:r w:rsidR="0002035C" w:rsidRPr="00A52585">
        <w:rPr>
          <w:rFonts w:hint="cs"/>
          <w:sz w:val="24"/>
          <w:szCs w:val="24"/>
          <w:rtl/>
        </w:rPr>
        <w:t>[</w:t>
      </w:r>
      <w:r w:rsidRPr="00A52585">
        <w:rPr>
          <w:rFonts w:hint="cs"/>
          <w:sz w:val="24"/>
          <w:szCs w:val="24"/>
          <w:rtl/>
        </w:rPr>
        <w:t>لا يزال الناس يتساءلون حتى يقال هذا</w:t>
      </w:r>
      <w:r w:rsidR="0002035C" w:rsidRPr="00A52585">
        <w:rPr>
          <w:rFonts w:hint="cs"/>
          <w:sz w:val="24"/>
          <w:szCs w:val="24"/>
          <w:rtl/>
        </w:rPr>
        <w:t>:</w:t>
      </w:r>
      <w:r w:rsidRPr="00A52585">
        <w:rPr>
          <w:rFonts w:hint="cs"/>
          <w:sz w:val="24"/>
          <w:szCs w:val="24"/>
          <w:rtl/>
        </w:rPr>
        <w:t xml:space="preserve"> خلق الله الخلق، فمن خلق الله</w:t>
      </w:r>
      <w:r w:rsidR="00F95886" w:rsidRPr="00A52585">
        <w:rPr>
          <w:rFonts w:hint="cs"/>
          <w:sz w:val="24"/>
          <w:szCs w:val="24"/>
          <w:rtl/>
        </w:rPr>
        <w:t>؟</w:t>
      </w:r>
      <w:r w:rsidRPr="00A52585">
        <w:rPr>
          <w:rFonts w:hint="cs"/>
          <w:sz w:val="24"/>
          <w:szCs w:val="24"/>
          <w:rtl/>
        </w:rPr>
        <w:t xml:space="preserve"> فمن وجد من ذلك شيئاً فليقل آمنت بالله</w:t>
      </w:r>
      <w:r w:rsidR="0002035C" w:rsidRPr="00A52585">
        <w:rPr>
          <w:rFonts w:hint="cs"/>
          <w:sz w:val="24"/>
          <w:szCs w:val="24"/>
          <w:rtl/>
        </w:rPr>
        <w:t>]</w:t>
      </w:r>
      <w:r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المقاصد الحسنة حديث رقم (342)</w:t>
      </w:r>
      <w:r w:rsidR="00DB731D" w:rsidRPr="00A52585">
        <w:rPr>
          <w:rFonts w:hint="cs"/>
          <w:sz w:val="24"/>
          <w:szCs w:val="24"/>
          <w:rtl/>
        </w:rPr>
        <w:t>،</w:t>
      </w:r>
      <w:r w:rsidRPr="00A52585">
        <w:rPr>
          <w:rFonts w:hint="cs"/>
          <w:sz w:val="24"/>
          <w:szCs w:val="24"/>
          <w:rtl/>
        </w:rPr>
        <w:t xml:space="preserve"> وتابعه على ذلك الإمام الزرقاني في (مختصر المقاصد) فقال عن الحديث الأول</w:t>
      </w:r>
      <w:r w:rsidR="0002035C" w:rsidRPr="00A52585">
        <w:rPr>
          <w:rFonts w:hint="cs"/>
          <w:sz w:val="24"/>
          <w:szCs w:val="24"/>
          <w:rtl/>
        </w:rPr>
        <w:t xml:space="preserve"> </w:t>
      </w:r>
      <w:r w:rsidRPr="00A52585">
        <w:rPr>
          <w:rFonts w:hint="cs"/>
          <w:sz w:val="24"/>
          <w:szCs w:val="24"/>
          <w:rtl/>
        </w:rPr>
        <w:t>"(تفكروا في كل شيء ولا تتفكروا في الله)</w:t>
      </w:r>
      <w:r w:rsidR="0002035C" w:rsidRPr="00A52585">
        <w:rPr>
          <w:rFonts w:hint="cs"/>
          <w:sz w:val="24"/>
          <w:szCs w:val="24"/>
          <w:rtl/>
        </w:rPr>
        <w:t>:</w:t>
      </w:r>
      <w:r w:rsidRPr="00A52585">
        <w:rPr>
          <w:rFonts w:hint="cs"/>
          <w:sz w:val="24"/>
          <w:szCs w:val="24"/>
          <w:rtl/>
        </w:rPr>
        <w:t xml:space="preserve"> حسن لغيره"</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w:t>
      </w:r>
      <w:r w:rsidR="00DB731D" w:rsidRPr="00A52585">
        <w:rPr>
          <w:rFonts w:hint="cs"/>
          <w:sz w:val="24"/>
          <w:szCs w:val="24"/>
          <w:rtl/>
        </w:rPr>
        <w:t>،</w:t>
      </w:r>
      <w:r w:rsidRPr="00A52585">
        <w:rPr>
          <w:rFonts w:hint="cs"/>
          <w:sz w:val="24"/>
          <w:szCs w:val="24"/>
          <w:rtl/>
        </w:rPr>
        <w:t xml:space="preserve"> وقد شرح ذلك حجة الإسلام الغزالي في كتاب التفكر من (إحياء علوم الدين) قال</w:t>
      </w:r>
      <w:r w:rsidR="0002035C" w:rsidRPr="00A52585">
        <w:rPr>
          <w:rFonts w:hint="cs"/>
          <w:sz w:val="24"/>
          <w:szCs w:val="24"/>
          <w:rtl/>
        </w:rPr>
        <w:t xml:space="preserve">: </w:t>
      </w:r>
      <w:r w:rsidRPr="00A52585">
        <w:rPr>
          <w:rFonts w:hint="cs"/>
          <w:sz w:val="24"/>
          <w:szCs w:val="24"/>
          <w:rtl/>
        </w:rPr>
        <w:t>"المقام الأعلى</w:t>
      </w:r>
      <w:r w:rsidR="0002035C" w:rsidRPr="00A52585">
        <w:rPr>
          <w:rFonts w:hint="cs"/>
          <w:sz w:val="24"/>
          <w:szCs w:val="24"/>
          <w:rtl/>
        </w:rPr>
        <w:t>:</w:t>
      </w:r>
      <w:r w:rsidRPr="00A52585">
        <w:rPr>
          <w:rFonts w:hint="cs"/>
          <w:sz w:val="24"/>
          <w:szCs w:val="24"/>
          <w:rtl/>
        </w:rPr>
        <w:t xml:space="preserve"> الفكر في ذاته وصفاته ومعاني أسمائه، وهذا مما منع منه حيث قيل (تفكروا في خلق الله تعالى ولا تتفكروا في ذات الله) وذلك لأن العقول تتحير فيه فلا يطيق مد البصر إليه إلا الصديقون ثم لا يطيقون دوام النظر، بل سائر الخلق أحوال أبصارهم بالإضافة إلى جلال الله تعالى كحال بصر الخفاش بالإضافة إلى نور الشمس فإنه لا يطيقه </w:t>
      </w:r>
      <w:proofErr w:type="spellStart"/>
      <w:r w:rsidRPr="00A52585">
        <w:rPr>
          <w:rFonts w:hint="cs"/>
          <w:sz w:val="24"/>
          <w:szCs w:val="24"/>
          <w:rtl/>
        </w:rPr>
        <w:t>ألبتة</w:t>
      </w:r>
      <w:proofErr w:type="spellEnd"/>
      <w:r w:rsidRPr="00A52585">
        <w:rPr>
          <w:rFonts w:hint="cs"/>
          <w:sz w:val="24"/>
          <w:szCs w:val="24"/>
          <w:rtl/>
        </w:rPr>
        <w:t>، بل يختفي نهاراً وإنما يتردد ليلاً ينظر في بقية نور الشمس إذا وقع على الأرض</w:t>
      </w:r>
      <w:r w:rsidR="00DB731D" w:rsidRPr="00A52585">
        <w:rPr>
          <w:rFonts w:hint="cs"/>
          <w:sz w:val="24"/>
          <w:szCs w:val="24"/>
          <w:rtl/>
        </w:rPr>
        <w:t>،</w:t>
      </w:r>
      <w:r w:rsidRPr="00A52585">
        <w:rPr>
          <w:rFonts w:hint="cs"/>
          <w:sz w:val="24"/>
          <w:szCs w:val="24"/>
          <w:rtl/>
        </w:rPr>
        <w:t xml:space="preserve"> وأحوال الصديقين كحال الإنسان في النظر إلى الشمس فإنه يقدر على النظر إليها ولا يطيق دوامه ويخشى على بصره لو أدام النظر، ونظره المختطف إليها يورث العمش ويفرق البصر وكذلك النظر إلى الله تعالى يورث الحيرة والدهش واضطراب العقل</w:t>
      </w:r>
      <w:r w:rsidR="00DB731D" w:rsidRPr="00A52585">
        <w:rPr>
          <w:rFonts w:hint="cs"/>
          <w:sz w:val="24"/>
          <w:szCs w:val="24"/>
          <w:rtl/>
        </w:rPr>
        <w:t>،</w:t>
      </w:r>
      <w:r w:rsidRPr="00A52585">
        <w:rPr>
          <w:rFonts w:hint="cs"/>
          <w:spacing w:val="-6"/>
          <w:sz w:val="24"/>
          <w:szCs w:val="24"/>
          <w:rtl/>
        </w:rPr>
        <w:t xml:space="preserve"> فالصواب إذن أن لا يتعرض لمجاري الفكر في ذات الله تعالى وصفاته، فإن أكثر العقول لا تحتمله،</w:t>
      </w:r>
      <w:r w:rsidRPr="00A52585">
        <w:rPr>
          <w:rFonts w:hint="cs"/>
          <w:sz w:val="24"/>
          <w:szCs w:val="24"/>
          <w:rtl/>
        </w:rPr>
        <w:t xml:space="preserve"> بل القدر اليسير الذي صرح به بعض العلماء وهو</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 xml:space="preserve">أن الله تعالى مقدس عن المكان ومنزه عن الأقطار والجهات وأنه ليس داخل العالم ولا خارجه ولا هو </w:t>
      </w:r>
      <w:r w:rsidRPr="00A52585">
        <w:rPr>
          <w:rFonts w:hint="cs"/>
          <w:spacing w:val="-8"/>
          <w:sz w:val="24"/>
          <w:szCs w:val="24"/>
          <w:rtl/>
        </w:rPr>
        <w:t>متصل بالعالم ولا هو منفصل</w:t>
      </w:r>
      <w:r w:rsidRPr="00A52585">
        <w:rPr>
          <w:rFonts w:hint="cs"/>
          <w:sz w:val="24"/>
          <w:szCs w:val="24"/>
          <w:rtl/>
        </w:rPr>
        <w:t xml:space="preserve"> عنه قد حيرت عقول أقوام حتى أنكروه – </w:t>
      </w:r>
      <w:proofErr w:type="spellStart"/>
      <w:r w:rsidRPr="00A52585">
        <w:rPr>
          <w:rFonts w:hint="cs"/>
          <w:sz w:val="24"/>
          <w:szCs w:val="24"/>
          <w:rtl/>
        </w:rPr>
        <w:t>واستشكلوه</w:t>
      </w:r>
      <w:proofErr w:type="spellEnd"/>
      <w:r w:rsidRPr="00A52585">
        <w:rPr>
          <w:rFonts w:hint="cs"/>
          <w:sz w:val="24"/>
          <w:szCs w:val="24"/>
          <w:rtl/>
        </w:rPr>
        <w:t xml:space="preserve"> – إذ لم يطيقوا سماعه ومعرفته. بل ضعفت طائفة عن احتمال أقل من هذا إذا قيل لهم</w:t>
      </w:r>
      <w:r w:rsidR="0002035C" w:rsidRPr="00A52585">
        <w:rPr>
          <w:rFonts w:hint="cs"/>
          <w:sz w:val="24"/>
          <w:szCs w:val="24"/>
          <w:rtl/>
        </w:rPr>
        <w:t>:</w:t>
      </w:r>
      <w:r w:rsidRPr="00A52585">
        <w:rPr>
          <w:rFonts w:hint="cs"/>
          <w:sz w:val="24"/>
          <w:szCs w:val="24"/>
          <w:rtl/>
        </w:rPr>
        <w:t xml:space="preserve"> إنه يتعاظم ويتعالى عن أن يكون له رأس ورجل ويد وعين </w:t>
      </w:r>
      <w:r w:rsidRPr="00A52585">
        <w:rPr>
          <w:rFonts w:hint="cs"/>
          <w:spacing w:val="-6"/>
          <w:sz w:val="24"/>
          <w:szCs w:val="24"/>
          <w:rtl/>
        </w:rPr>
        <w:t xml:space="preserve">وعضو وأن يكون جسماً مشخصاً له مقدار وحجم، فأنكروا هذا وظنوا أن ذلك قدح في عظمة الله وجلاله – وهم طائفة من </w:t>
      </w:r>
      <w:proofErr w:type="spellStart"/>
      <w:r w:rsidRPr="00A52585">
        <w:rPr>
          <w:rFonts w:hint="cs"/>
          <w:spacing w:val="-6"/>
          <w:sz w:val="24"/>
          <w:szCs w:val="24"/>
          <w:rtl/>
        </w:rPr>
        <w:t>الحشوية</w:t>
      </w:r>
      <w:proofErr w:type="spellEnd"/>
      <w:r w:rsidRPr="00A52585">
        <w:rPr>
          <w:rFonts w:hint="cs"/>
          <w:spacing w:val="-6"/>
          <w:sz w:val="24"/>
          <w:szCs w:val="24"/>
          <w:rtl/>
        </w:rPr>
        <w:t xml:space="preserve"> الكرامية – حتى قال بعض الحمقى من العوام</w:t>
      </w:r>
      <w:r w:rsidR="0002035C" w:rsidRPr="00A52585">
        <w:rPr>
          <w:rFonts w:hint="cs"/>
          <w:spacing w:val="-6"/>
          <w:sz w:val="24"/>
          <w:szCs w:val="24"/>
          <w:rtl/>
        </w:rPr>
        <w:t>:</w:t>
      </w:r>
      <w:r w:rsidRPr="00A52585">
        <w:rPr>
          <w:rFonts w:hint="cs"/>
          <w:spacing w:val="-6"/>
          <w:sz w:val="24"/>
          <w:szCs w:val="24"/>
          <w:rtl/>
        </w:rPr>
        <w:t xml:space="preserve"> إن هذا وصف</w:t>
      </w:r>
      <w:r w:rsidRPr="00A52585">
        <w:rPr>
          <w:rFonts w:hint="cs"/>
          <w:sz w:val="24"/>
          <w:szCs w:val="24"/>
          <w:rtl/>
        </w:rPr>
        <w:t xml:space="preserve"> بطيخ هندي لا وصف الإله! لظن المسكين أن الجلالة والعظمة في هذه الأعضاء، وهذا لأن الإنسان لا يعرف إلا نفسه فلا يستعظم إلا نفسه فكل ما لا يساويه في صفاته فلا يفهم العظمة فيه – وهذا فاسد – نعم غايته أن يقدر نفسه جميل الصورة جالسا على سريره وبين يديه غلمان يمتثلون أمره </w:t>
      </w:r>
      <w:r w:rsidRPr="00A52585">
        <w:rPr>
          <w:rFonts w:hint="cs"/>
          <w:spacing w:val="-6"/>
          <w:sz w:val="24"/>
          <w:szCs w:val="24"/>
          <w:rtl/>
        </w:rPr>
        <w:t>فلا جرم غايته أن يقدر ذلك في حق الله تعالى وتقدس، حتى يفهم العظمة- قياس الشاهد على الغائب والرب تعالى لا يعرف بالقياس – بل لو كان للذباب عقل وقيل له ليس لخالقك جناحان ولا يد ولا رجل ولا له طيران لأنكر ذلك وقال</w:t>
      </w:r>
      <w:r w:rsidR="0002035C" w:rsidRPr="00A52585">
        <w:rPr>
          <w:rFonts w:hint="cs"/>
          <w:spacing w:val="-6"/>
          <w:sz w:val="24"/>
          <w:szCs w:val="24"/>
          <w:rtl/>
        </w:rPr>
        <w:t>:</w:t>
      </w:r>
      <w:r w:rsidRPr="00A52585">
        <w:rPr>
          <w:rFonts w:hint="cs"/>
          <w:spacing w:val="-6"/>
          <w:sz w:val="24"/>
          <w:szCs w:val="24"/>
          <w:rtl/>
        </w:rPr>
        <w:t xml:space="preserve"> كيف يكون خالقي أنقص مني</w:t>
      </w:r>
      <w:r w:rsidR="00F95886" w:rsidRPr="00A52585">
        <w:rPr>
          <w:rFonts w:hint="cs"/>
          <w:spacing w:val="-6"/>
          <w:sz w:val="24"/>
          <w:szCs w:val="24"/>
          <w:rtl/>
        </w:rPr>
        <w:t>؟</w:t>
      </w:r>
      <w:r w:rsidRPr="00A52585">
        <w:rPr>
          <w:rFonts w:hint="cs"/>
          <w:spacing w:val="-6"/>
          <w:sz w:val="24"/>
          <w:szCs w:val="24"/>
          <w:rtl/>
        </w:rPr>
        <w:t xml:space="preserve"> </w:t>
      </w:r>
      <w:proofErr w:type="spellStart"/>
      <w:r w:rsidRPr="00A52585">
        <w:rPr>
          <w:rFonts w:hint="cs"/>
          <w:spacing w:val="-6"/>
          <w:sz w:val="24"/>
          <w:szCs w:val="24"/>
          <w:rtl/>
        </w:rPr>
        <w:t>أفيكون</w:t>
      </w:r>
      <w:proofErr w:type="spellEnd"/>
      <w:r w:rsidRPr="00A52585">
        <w:rPr>
          <w:rFonts w:hint="cs"/>
          <w:spacing w:val="-6"/>
          <w:sz w:val="24"/>
          <w:szCs w:val="24"/>
          <w:rtl/>
        </w:rPr>
        <w:t xml:space="preserve"> مقصوص الجناح أو يكون زمنا لا يقدر على الطيران أو تكون لي آلة وقدرة لا يكون له مثلها وهو خالقي ومصوري</w:t>
      </w:r>
      <w:r w:rsidR="00F95886" w:rsidRPr="00A52585">
        <w:rPr>
          <w:rFonts w:hint="cs"/>
          <w:spacing w:val="-6"/>
          <w:sz w:val="24"/>
          <w:szCs w:val="24"/>
          <w:rtl/>
        </w:rPr>
        <w:t>؟</w:t>
      </w:r>
      <w:r w:rsidRPr="00A52585">
        <w:rPr>
          <w:rFonts w:hint="cs"/>
          <w:spacing w:val="-6"/>
          <w:sz w:val="24"/>
          <w:szCs w:val="24"/>
          <w:rtl/>
        </w:rPr>
        <w:t xml:space="preserve"> </w:t>
      </w:r>
      <w:r w:rsidRPr="00A52585">
        <w:rPr>
          <w:rFonts w:hint="cs"/>
          <w:sz w:val="24"/>
          <w:szCs w:val="24"/>
          <w:rtl/>
        </w:rPr>
        <w:t xml:space="preserve">وعقول أكثر الخلق قريب من هذا العقل </w:t>
      </w:r>
      <w:r w:rsidRPr="00A52585">
        <w:rPr>
          <w:rFonts w:hint="cs"/>
          <w:sz w:val="24"/>
          <w:szCs w:val="24"/>
          <w:rtl/>
        </w:rPr>
        <w:lastRenderedPageBreak/>
        <w:t>وإن الإنسان لجهول ظلوم كفار، ولذلك أوحي الله تعالى إلى بعض أنبيائه</w:t>
      </w:r>
      <w:r w:rsidR="0002035C" w:rsidRPr="00A52585">
        <w:rPr>
          <w:rFonts w:hint="cs"/>
          <w:sz w:val="24"/>
          <w:szCs w:val="24"/>
          <w:rtl/>
        </w:rPr>
        <w:t>:</w:t>
      </w:r>
      <w:r w:rsidRPr="00A52585">
        <w:rPr>
          <w:rFonts w:hint="cs"/>
          <w:sz w:val="24"/>
          <w:szCs w:val="24"/>
          <w:rtl/>
        </w:rPr>
        <w:t xml:space="preserve"> لا تخبر عبادي بصفاتي فينكروني – أي لأن عقولهم لا تحتمل ذلك – ولكن أخبرهم عني بما يفهمون – أي بقدر ما يطيقون فهمه، وقد ورد مثل ذلك في الأخبار المحمدية</w:t>
      </w:r>
      <w:r w:rsidR="0002035C" w:rsidRPr="00A52585">
        <w:rPr>
          <w:rFonts w:hint="cs"/>
          <w:sz w:val="24"/>
          <w:szCs w:val="24"/>
          <w:rtl/>
        </w:rPr>
        <w:t>:</w:t>
      </w:r>
      <w:r w:rsidRPr="00A52585">
        <w:rPr>
          <w:rFonts w:hint="cs"/>
          <w:sz w:val="24"/>
          <w:szCs w:val="24"/>
          <w:rtl/>
        </w:rPr>
        <w:t xml:space="preserve"> خاطبوا الناس بما يفهمون، أتحبون أن يكذب الله ورسوله</w:t>
      </w:r>
      <w:r w:rsidR="00F95886" w:rsidRPr="00A52585">
        <w:rPr>
          <w:rFonts w:hint="cs"/>
          <w:sz w:val="24"/>
          <w:szCs w:val="24"/>
          <w:rtl/>
        </w:rPr>
        <w:t>؟</w:t>
      </w:r>
      <w:r w:rsidRPr="00A52585">
        <w:rPr>
          <w:rFonts w:hint="cs"/>
          <w:sz w:val="24"/>
          <w:szCs w:val="24"/>
          <w:rtl/>
        </w:rPr>
        <w:t xml:space="preserve"> – ولما كان النظر في ذات الله وصفاته مخطرا من هذا الوجه اقتضى أدب الشرع وصلاح الخلق أن لا يتعرض لمجاري الفكر فيه، لكنا نعدل إلى المقام الثاني – وهو الأدنى بالنسبة إلى المقام الأول- وهو النظر إلى أفعاله وعجائب صنعه وبدائع أمره في خلقه فإنها تدل على جلاله وكبريائه وتقدسه وتعاليه، وتدل على كمال علمه وحكمته وعلى نفاذ مشيئته وقدرته، فينظر إلى صفاته من آثار صفاته فإنا لا نطيق النظر إلى صفاته </w:t>
      </w:r>
      <w:r w:rsidRPr="00A52585">
        <w:rPr>
          <w:rFonts w:hint="cs"/>
          <w:spacing w:val="-6"/>
          <w:sz w:val="24"/>
          <w:szCs w:val="24"/>
          <w:rtl/>
        </w:rPr>
        <w:t>كما أنا نطيق النظر إلى الأرض مهما استنارت بنور الشمس ونستدل بذلك على عظم نــور الشمس</w:t>
      </w:r>
      <w:r w:rsidRPr="00A52585">
        <w:rPr>
          <w:rFonts w:hint="cs"/>
          <w:sz w:val="24"/>
          <w:szCs w:val="24"/>
          <w:rtl/>
        </w:rPr>
        <w:t xml:space="preserve"> بالإضافة إلى نور القمر وسائر الكواكب لأن نور الأرض من آثار نور الشمس، والنظر في الآثار يدل على المؤثر دلالة ما وإن كان لا يقوم مقام النظر في نفس المؤثر. وجميع موجودات الدنيا أثر من آثار قدرة الله تعالى ونور من أنوار ذاته، بل لا ظلمة أشد من العدم ولا نور أظهر من الوجود. ووجود الأشياء كلها نور من أنوار ذاته تعالى وتقدس إذ قوام وجود الأشياء بذاته القيوم بنفسه</w:t>
      </w:r>
      <w:r w:rsidR="0002035C" w:rsidRPr="00A52585">
        <w:rPr>
          <w:rFonts w:hint="cs"/>
          <w:sz w:val="24"/>
          <w:szCs w:val="24"/>
          <w:rtl/>
        </w:rPr>
        <w:t xml:space="preserve"> </w:t>
      </w:r>
      <w:r w:rsidRPr="00A52585">
        <w:rPr>
          <w:rFonts w:hint="cs"/>
          <w:sz w:val="24"/>
          <w:szCs w:val="24"/>
          <w:rtl/>
        </w:rPr>
        <w:t>كما أن قوام نور الأجسام بنور الشمس المضيئة بنفسها. ومهما انكشف بعض الشمس فقد جرت العادة بأن يوضع طست ماء حتى ترى الشمس فيه ويمكن النظر إليها، فيكون الماء واسطة يغض قليلاً من نور الشمس حتى يطاق النظر إليها. فكذلك الأفعال واسطة تشاهد فيها صفات الفاعل ولا نبهر بأنوار الذات بعد أن تباعدنا عنها بواسطة الأفعال، فهذا سر قوله صلى الله عليه وسلم</w:t>
      </w:r>
      <w:r w:rsidR="0002035C" w:rsidRPr="00A52585">
        <w:rPr>
          <w:rFonts w:hint="cs"/>
          <w:sz w:val="24"/>
          <w:szCs w:val="24"/>
          <w:rtl/>
        </w:rPr>
        <w:t xml:space="preserve"> </w:t>
      </w:r>
      <w:r w:rsidRPr="00A52585">
        <w:rPr>
          <w:rFonts w:hint="cs"/>
          <w:sz w:val="24"/>
          <w:szCs w:val="24"/>
          <w:rtl/>
        </w:rPr>
        <w:t>"تفكروا في خلق الله ولا تتفكروا في ذات الله تعالى"</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w:t>
      </w:r>
      <w:r w:rsidR="00DB731D" w:rsidRPr="00A52585">
        <w:rPr>
          <w:rFonts w:hint="cs"/>
          <w:sz w:val="24"/>
          <w:szCs w:val="24"/>
          <w:rtl/>
        </w:rPr>
        <w:t>،</w:t>
      </w:r>
      <w:r w:rsidRPr="00A52585">
        <w:rPr>
          <w:rFonts w:hint="cs"/>
          <w:sz w:val="24"/>
          <w:szCs w:val="24"/>
          <w:rtl/>
        </w:rPr>
        <w:t xml:space="preserve"> ولما كان كل ما في الوجود هو فعل الله وخلقه، وفي كل جنس بل في كل فرد منها من العجائب والغرائب ما تظهر به حكمة الله تعالى وقدرته وجلاله وعظمته، فقد توالت الآيات الكريمة بطول القرآن العظيم تأمرنا بالتفكر والتدبر في دلالة هذه المخلوقات- التي هي صنع الله وإبداعه – على ثبوت صفات الكمال والجلال لله سبحانه، وتلفت أنظارنا إلى عظمة الخالق عز وجل، وقد ذكر منها حجة الإسلام الغزالي سبعمائة وثلاث وستون آية في كتابه (جواهر القرآن)</w:t>
      </w:r>
      <w:r w:rsidR="00DB731D" w:rsidRPr="00A52585">
        <w:rPr>
          <w:rFonts w:hint="cs"/>
          <w:sz w:val="24"/>
          <w:szCs w:val="24"/>
          <w:rtl/>
        </w:rPr>
        <w:t>،</w:t>
      </w:r>
      <w:r w:rsidRPr="00A52585">
        <w:rPr>
          <w:rFonts w:hint="cs"/>
          <w:sz w:val="24"/>
          <w:szCs w:val="24"/>
          <w:rtl/>
        </w:rPr>
        <w:t xml:space="preserve"> ثم شرع الإمام الغزالي بعد ما سبق نقله من كتاب (الإحياء) في الإشارة إلى أمثلة من آيات الله في الخلق وكيفية التفكر فيها على ضوء آيات القرآن الكريم ثم ختمها بقوله</w:t>
      </w:r>
      <w:r w:rsidR="0002035C" w:rsidRPr="00A52585">
        <w:rPr>
          <w:rFonts w:hint="cs"/>
          <w:sz w:val="24"/>
          <w:szCs w:val="24"/>
          <w:rtl/>
        </w:rPr>
        <w:t xml:space="preserve">: </w:t>
      </w:r>
      <w:r w:rsidRPr="00A52585">
        <w:rPr>
          <w:rFonts w:hint="cs"/>
          <w:sz w:val="24"/>
          <w:szCs w:val="24"/>
          <w:rtl/>
        </w:rPr>
        <w:t xml:space="preserve">"فهذا بيان معاقد الجمل التي تجول فيها فكر المتفكرين في خلق الله تعالى وليس فيها فكر في ذات الله تعالى ولكن يستفاد من الفكر في الخلق لا محالة معرفة الخالق وعظمته وجلاله وقدرته وكلما استكثرت من معرفة عجيب صنع الله تعالى كانت معرفتك بجلاله وعظمته أتم، وهذا كما أنك تعظم عالما بسبب معرفتك بعلمه فلا تزال تطلع على غريبة </w:t>
      </w:r>
      <w:proofErr w:type="spellStart"/>
      <w:r w:rsidRPr="00A52585">
        <w:rPr>
          <w:rFonts w:hint="cs"/>
          <w:sz w:val="24"/>
          <w:szCs w:val="24"/>
          <w:rtl/>
        </w:rPr>
        <w:t>غريبة</w:t>
      </w:r>
      <w:proofErr w:type="spellEnd"/>
      <w:r w:rsidRPr="00A52585">
        <w:rPr>
          <w:rFonts w:hint="cs"/>
          <w:sz w:val="24"/>
          <w:szCs w:val="24"/>
          <w:rtl/>
        </w:rPr>
        <w:t xml:space="preserve"> من تصنيفه أو شعره فتزداد به معرفة وتزداد بحسنه له توقيراً وتعظيماً واحتراما، حتى أن كل كلمة من كلماته وكل بيت عجيب من أبيات شعره يزيده محلا من قلبك يستدعى التعظيم له في نفسك</w:t>
      </w:r>
      <w:r w:rsidR="00DB731D" w:rsidRPr="00A52585">
        <w:rPr>
          <w:rFonts w:hint="cs"/>
          <w:sz w:val="24"/>
          <w:szCs w:val="24"/>
          <w:rtl/>
        </w:rPr>
        <w:t>،</w:t>
      </w:r>
      <w:r w:rsidRPr="00A52585">
        <w:rPr>
          <w:rFonts w:hint="cs"/>
          <w:sz w:val="24"/>
          <w:szCs w:val="24"/>
          <w:rtl/>
        </w:rPr>
        <w:t xml:space="preserve"> فهكذا تأمل في خلق الله تعالى وتصنيفه وتأليفه وكل ما في الوجود من خلق الله وتصنيفه والنظر والفكر فيه لا يتناهى أبداً وإنما لكل عبد منهما بقدر ما رزق"</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(الإحياء مع شرحه إتحاف السادة المتقين) ط. العلمية ج13ص343-415 ويقول القاضي عياض في شرحه لصحيح مسلم</w:t>
      </w:r>
      <w:r w:rsidR="0002035C" w:rsidRPr="00A52585">
        <w:rPr>
          <w:rFonts w:hint="cs"/>
          <w:sz w:val="24"/>
          <w:szCs w:val="24"/>
          <w:rtl/>
        </w:rPr>
        <w:t xml:space="preserve">: </w:t>
      </w:r>
      <w:r w:rsidRPr="00A52585">
        <w:rPr>
          <w:rFonts w:hint="cs"/>
          <w:sz w:val="24"/>
          <w:szCs w:val="24"/>
          <w:rtl/>
        </w:rPr>
        <w:t>"وقد أجمع أهل السنة على تصويب القول بالوقف من التفكر في ذاته تعالى لحيرة العقل هنالك وحرمة التكييف. والوقف في ذلك غير شك في الوجود ولا جهل بالموجود فلا يقدح في التوحيد، بل هو حقيقته"</w:t>
      </w:r>
      <w:r w:rsidR="00897A24" w:rsidRPr="00A52585">
        <w:rPr>
          <w:rFonts w:hint="cs"/>
          <w:sz w:val="24"/>
          <w:szCs w:val="24"/>
          <w:rtl/>
        </w:rPr>
        <w:t>.</w:t>
      </w:r>
      <w:r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أنظر تعليق الإمام الكوثري على (السيف الصقيل) ص 104</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يقول شمس الدين أبو الثناء الأصفهاني</w:t>
      </w:r>
      <w:r w:rsidRPr="00A52585">
        <w:rPr>
          <w:rFonts w:hint="cs"/>
          <w:sz w:val="24"/>
          <w:szCs w:val="24"/>
          <w:rtl/>
        </w:rPr>
        <w:t xml:space="preserve"> في كتابه (مطالع الأنظار على طوالع الأنوار)</w:t>
      </w:r>
      <w:r w:rsidR="0002035C" w:rsidRPr="00A52585">
        <w:rPr>
          <w:rFonts w:hint="cs"/>
          <w:sz w:val="24"/>
          <w:szCs w:val="24"/>
          <w:rtl/>
        </w:rPr>
        <w:t xml:space="preserve">: </w:t>
      </w:r>
      <w:r w:rsidRPr="00A52585">
        <w:rPr>
          <w:rFonts w:hint="cs"/>
          <w:sz w:val="24"/>
          <w:szCs w:val="24"/>
          <w:rtl/>
        </w:rPr>
        <w:t xml:space="preserve">" إن الطاقة </w:t>
      </w:r>
      <w:r w:rsidRPr="00A52585">
        <w:rPr>
          <w:rFonts w:hint="cs"/>
          <w:sz w:val="24"/>
          <w:szCs w:val="24"/>
          <w:rtl/>
        </w:rPr>
        <w:lastRenderedPageBreak/>
        <w:t>البشرية لا تفي بمعرفة ذاته تعالى لأن معرفة ذاته إما بالبديهة أو بالنظر وكل منهما باطل، أما الأول فلأن ذاته غير متصور بالبديهة بالاتفاق. وأما الثاني فلأن المعرفة المستفادة من النظر إما بالحد وإما بالرسم وكل منهما باطل. أما الحد فلأن ذاته غير قابل للتحديد لأن الحد يكون للمركب والتركيب منتف عنه، ولذلك لما سأل فرعون موسى عليه السلام عن حقيقته تعالى حيث قال وما رب العالمين)</w:t>
      </w:r>
      <w:r w:rsidR="00F95886"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وذكر القصة ثم قال</w:t>
      </w:r>
      <w:r w:rsidR="0002035C" w:rsidRPr="00A52585">
        <w:rPr>
          <w:rFonts w:hint="cs"/>
          <w:sz w:val="24"/>
          <w:szCs w:val="24"/>
          <w:rtl/>
        </w:rPr>
        <w:t xml:space="preserve">: </w:t>
      </w:r>
      <w:r w:rsidRPr="00A52585">
        <w:rPr>
          <w:rFonts w:hint="cs"/>
          <w:sz w:val="24"/>
          <w:szCs w:val="24"/>
          <w:rtl/>
        </w:rPr>
        <w:t>" وأما الرسم فلا يفيد الحقيقة لأن المعلوم منه سبحانه وتعالى إما بالسلوب كقولنا ليس بجسم ولا جوهر ولا عرض وحقيقته مغايرة لسلب ما عداها عنها، وإما بالإضافات كقولنا قادر عالم ولا شك أن ذاته تعالى مغايرة لهذه الأمور. فإن المعلوم من قدرة الله تعالى عندنا أنها أمر مستلزم للتأثير في الفعل على سبيل الصحة، فحقيقة القدرة مجهولة والمعلوم منها ليس إلا هذا اللازم. وكذلك المعلوم عندنا من علم الله تعالى ليس إلا أنه أمر يلزمه الإحكام والإتقان في الفعل، فماهية ذلك العلم غير هذا الأثر والمعلوم ليس إلا هذا الأثر"</w:t>
      </w:r>
      <w:r w:rsidR="0002035C" w:rsidRPr="00A52585">
        <w:rPr>
          <w:rFonts w:hint="cs"/>
          <w:sz w:val="24"/>
          <w:szCs w:val="24"/>
          <w:rtl/>
        </w:rPr>
        <w:t xml:space="preserve"> </w:t>
      </w:r>
      <w:r w:rsidRPr="00A52585">
        <w:rPr>
          <w:rFonts w:hint="cs"/>
          <w:sz w:val="24"/>
          <w:szCs w:val="24"/>
          <w:rtl/>
        </w:rPr>
        <w:t>ثم يقول</w:t>
      </w:r>
      <w:r w:rsidR="0002035C" w:rsidRPr="00A52585">
        <w:rPr>
          <w:rFonts w:hint="cs"/>
          <w:sz w:val="24"/>
          <w:szCs w:val="24"/>
          <w:rtl/>
        </w:rPr>
        <w:t xml:space="preserve">: </w:t>
      </w:r>
      <w:r w:rsidRPr="00A52585">
        <w:rPr>
          <w:rFonts w:hint="cs"/>
          <w:sz w:val="24"/>
          <w:szCs w:val="24"/>
          <w:rtl/>
        </w:rPr>
        <w:t>"إن حقائق صفات الله تعالى غير معلومة لنا وعلى تقدير أن تكون معلومة فالعلم بالصفة لا يستلزم العلم بحقيقة الموصوف"</w:t>
      </w:r>
      <w:r w:rsidR="0002035C" w:rsidRPr="00A52585">
        <w:rPr>
          <w:rFonts w:hint="cs"/>
          <w:sz w:val="24"/>
          <w:szCs w:val="24"/>
          <w:rtl/>
        </w:rPr>
        <w:t xml:space="preserve"> (</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فقولنا (عالم) و(قادر) معناه شيء مبهم له وصف العلم والقدرة ثم قال</w:t>
      </w:r>
      <w:r w:rsidR="0002035C" w:rsidRPr="00A52585">
        <w:rPr>
          <w:rFonts w:hint="cs"/>
          <w:sz w:val="24"/>
          <w:szCs w:val="24"/>
          <w:rtl/>
        </w:rPr>
        <w:t xml:space="preserve">: </w:t>
      </w:r>
      <w:r w:rsidRPr="00A52585">
        <w:rPr>
          <w:rFonts w:hint="cs"/>
          <w:sz w:val="24"/>
          <w:szCs w:val="24"/>
          <w:rtl/>
        </w:rPr>
        <w:t>" ولما دل الاستقراء على طريق الإنصاف أنا لا نعلم من الله تعالى إلا السلوب وإلاَّ الإضافات وثبت أن العلم بها لا يستلزم العلم بالحقيقة ثبت أنّا لا نعلم ذات الله تعالى"</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ص 323-324 وانظر الفصل الرابع من</w:t>
      </w:r>
      <w:r w:rsidR="0002035C" w:rsidRPr="00A52585">
        <w:rPr>
          <w:rFonts w:hint="cs"/>
          <w:sz w:val="24"/>
          <w:szCs w:val="24"/>
          <w:rtl/>
        </w:rPr>
        <w:t xml:space="preserve"> </w:t>
      </w:r>
      <w:r w:rsidRPr="00A52585">
        <w:rPr>
          <w:rFonts w:hint="cs"/>
          <w:sz w:val="24"/>
          <w:szCs w:val="24"/>
          <w:rtl/>
        </w:rPr>
        <w:t xml:space="preserve">"المقصد </w:t>
      </w:r>
      <w:proofErr w:type="spellStart"/>
      <w:r w:rsidRPr="00A52585">
        <w:rPr>
          <w:rFonts w:hint="cs"/>
          <w:sz w:val="24"/>
          <w:szCs w:val="24"/>
          <w:rtl/>
        </w:rPr>
        <w:t>الأسنى</w:t>
      </w:r>
      <w:proofErr w:type="spellEnd"/>
      <w:r w:rsidRPr="00A52585">
        <w:rPr>
          <w:rFonts w:hint="cs"/>
          <w:sz w:val="24"/>
          <w:szCs w:val="24"/>
          <w:rtl/>
        </w:rPr>
        <w:t xml:space="preserve"> شرح أسماء الله الحسنى"</w:t>
      </w:r>
      <w:r w:rsidR="0002035C" w:rsidRPr="00A52585">
        <w:rPr>
          <w:rFonts w:hint="cs"/>
          <w:sz w:val="24"/>
          <w:szCs w:val="24"/>
          <w:rtl/>
        </w:rPr>
        <w:t xml:space="preserve"> </w:t>
      </w:r>
      <w:r w:rsidRPr="00A52585">
        <w:rPr>
          <w:rFonts w:hint="cs"/>
          <w:sz w:val="24"/>
          <w:szCs w:val="24"/>
          <w:rtl/>
        </w:rPr>
        <w:t>لأبي حامد الغزالي ص 31، والمبحث الرابع من</w:t>
      </w:r>
      <w:r w:rsidR="0002035C" w:rsidRPr="00A52585">
        <w:rPr>
          <w:rFonts w:hint="cs"/>
          <w:sz w:val="24"/>
          <w:szCs w:val="24"/>
          <w:rtl/>
        </w:rPr>
        <w:t xml:space="preserve"> </w:t>
      </w:r>
      <w:r w:rsidRPr="00A52585">
        <w:rPr>
          <w:rFonts w:hint="cs"/>
          <w:sz w:val="24"/>
          <w:szCs w:val="24"/>
          <w:rtl/>
        </w:rPr>
        <w:t>"اليواقيت والجواهر"</w:t>
      </w:r>
      <w:r w:rsidR="0002035C" w:rsidRPr="00A52585">
        <w:rPr>
          <w:rFonts w:hint="cs"/>
          <w:sz w:val="24"/>
          <w:szCs w:val="24"/>
          <w:rtl/>
        </w:rPr>
        <w:t xml:space="preserve"> </w:t>
      </w:r>
      <w:r w:rsidRPr="00A52585">
        <w:rPr>
          <w:rFonts w:hint="cs"/>
          <w:sz w:val="24"/>
          <w:szCs w:val="24"/>
          <w:rtl/>
        </w:rPr>
        <w:t>للإمام عبد الوهاب الشعراني ص 46</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وعلى هذا الرأي جمهور المحققين من أئمة الإسلام ومنهم القاضي أبو بكر الباقلاني وإمام الحرمين الجويني وحجة الإسلام الغزالي والفخر الرازي وسيف الدين الآمدي والعز بن عبد السلام وغيرهم كثير وكذلك أكثر أهل التصوف</w:t>
      </w:r>
      <w:r w:rsidR="0002035C" w:rsidRPr="00A52585">
        <w:rPr>
          <w:rFonts w:hint="cs"/>
          <w:sz w:val="24"/>
          <w:szCs w:val="24"/>
          <w:rtl/>
        </w:rPr>
        <w:t>]</w:t>
      </w:r>
      <w:r w:rsidR="00DB731D" w:rsidRPr="00A52585">
        <w:rPr>
          <w:rFonts w:hint="cs"/>
          <w:rtl/>
        </w:rPr>
        <w:t>،</w:t>
      </w:r>
      <w:r w:rsidRPr="00A52585">
        <w:rPr>
          <w:rFonts w:hint="cs"/>
          <w:rtl/>
        </w:rPr>
        <w:t xml:space="preserve"> كيف وقد نزَّه نفسه عن أن يُدْرك بالحواس أو يتصور بالعقل الحادث</w:t>
      </w:r>
      <w:r w:rsidR="00DB731D" w:rsidRPr="00A52585">
        <w:rPr>
          <w:rFonts w:hint="cs"/>
          <w:rtl/>
        </w:rPr>
        <w:t>،</w:t>
      </w:r>
      <w:r w:rsidRPr="00A52585">
        <w:rPr>
          <w:rFonts w:hint="cs"/>
          <w:rtl/>
        </w:rPr>
        <w:t xml:space="preserve"> والقياس لا يدركه العقل من جهة </w:t>
      </w:r>
      <w:proofErr w:type="spellStart"/>
      <w:r w:rsidRPr="00A52585">
        <w:rPr>
          <w:rFonts w:hint="cs"/>
          <w:rtl/>
        </w:rPr>
        <w:t>التمثيل</w:t>
      </w:r>
      <w:r w:rsidR="00DB731D" w:rsidRPr="00A52585">
        <w:rPr>
          <w:rFonts w:hint="cs"/>
          <w:rtl/>
        </w:rPr>
        <w:t>،</w:t>
      </w:r>
      <w:r w:rsidRPr="00A52585">
        <w:rPr>
          <w:rFonts w:hint="cs"/>
          <w:rtl/>
        </w:rPr>
        <w:t>ويدركه</w:t>
      </w:r>
      <w:proofErr w:type="spellEnd"/>
      <w:r w:rsidRPr="00A52585">
        <w:rPr>
          <w:rFonts w:hint="cs"/>
          <w:rtl/>
        </w:rPr>
        <w:t xml:space="preserve"> من جهة الدليل</w:t>
      </w:r>
      <w:r w:rsidR="00DB731D" w:rsidRPr="00A52585">
        <w:rPr>
          <w:rFonts w:hint="cs"/>
          <w:rtl/>
        </w:rPr>
        <w:t>،</w:t>
      </w:r>
      <w:r w:rsidRPr="00A52585">
        <w:rPr>
          <w:rFonts w:hint="cs"/>
          <w:rtl/>
        </w:rPr>
        <w:t xml:space="preserve"> وكل ما </w:t>
      </w:r>
      <w:proofErr w:type="spellStart"/>
      <w:r w:rsidRPr="00A52585">
        <w:rPr>
          <w:rFonts w:hint="cs"/>
          <w:rtl/>
        </w:rPr>
        <w:t>يتوهمه</w:t>
      </w:r>
      <w:proofErr w:type="spellEnd"/>
      <w:r w:rsidRPr="00A52585">
        <w:rPr>
          <w:rFonts w:hint="cs"/>
          <w:rtl/>
        </w:rPr>
        <w:t xml:space="preserve"> العقل لنفسه فهو جسم وله نهاية في جسمه وجنسه ونوعه وحركته وسكونه مع ما يلزمه من الحدود والمساحة من الطول والعرض وغير ذلك من صفات الحدث</w:t>
      </w:r>
      <w:r w:rsidR="00DB731D" w:rsidRPr="00A52585">
        <w:rPr>
          <w:rFonts w:hint="cs"/>
          <w:rtl/>
        </w:rPr>
        <w:t>،</w:t>
      </w:r>
      <w:r w:rsidRPr="00A52585">
        <w:rPr>
          <w:rFonts w:hint="cs"/>
          <w:rtl/>
        </w:rPr>
        <w:t xml:space="preserve"> تعالى عن ذلك فهو الكائن قبل الزمان والمكان</w:t>
      </w:r>
      <w:r w:rsidR="00DB731D" w:rsidRPr="00A52585">
        <w:rPr>
          <w:rFonts w:hint="cs"/>
          <w:rtl/>
        </w:rPr>
        <w:t>،</w:t>
      </w:r>
      <w:r w:rsidRPr="00A52585">
        <w:rPr>
          <w:rFonts w:hint="cs"/>
          <w:rtl/>
        </w:rPr>
        <w:t xml:space="preserve"> وهو الأول قبل سوابق العدم الأبَدِي بعد لواحق القدم</w:t>
      </w:r>
      <w:r w:rsidR="00DB731D" w:rsidRPr="00A52585">
        <w:rPr>
          <w:rFonts w:hint="cs"/>
          <w:rtl/>
        </w:rPr>
        <w:t>،</w:t>
      </w:r>
      <w:r w:rsidRPr="00A52585">
        <w:rPr>
          <w:rFonts w:hint="cs"/>
          <w:rtl/>
        </w:rPr>
        <w:t xml:space="preserve"> ليس كذاته ذات</w:t>
      </w:r>
      <w:r w:rsidR="00DB731D" w:rsidRPr="00A52585">
        <w:rPr>
          <w:rFonts w:hint="cs"/>
          <w:rtl/>
        </w:rPr>
        <w:t>،</w:t>
      </w:r>
      <w:r w:rsidRPr="00A52585">
        <w:rPr>
          <w:rFonts w:hint="cs"/>
          <w:rtl/>
        </w:rPr>
        <w:t xml:space="preserve"> ولا كصفاته صفات</w:t>
      </w:r>
      <w:r w:rsidR="00DB731D" w:rsidRPr="00A52585">
        <w:rPr>
          <w:rFonts w:hint="cs"/>
          <w:rtl/>
        </w:rPr>
        <w:t>،</w:t>
      </w:r>
      <w:r w:rsidRPr="00A52585">
        <w:rPr>
          <w:rFonts w:hint="cs"/>
          <w:rtl/>
        </w:rPr>
        <w:t xml:space="preserve"> جلت ذاته القديمة التي لم تسبق بعدم أن يكون لها صفة حديثة</w:t>
      </w:r>
      <w:r w:rsidR="00DB731D" w:rsidRPr="00A52585">
        <w:rPr>
          <w:rFonts w:hint="cs"/>
          <w:rtl/>
        </w:rPr>
        <w:t>،</w:t>
      </w:r>
      <w:r w:rsidRPr="00A52585">
        <w:rPr>
          <w:rFonts w:hint="cs"/>
          <w:rtl/>
        </w:rPr>
        <w:t xml:space="preserve"> كما يستحيل أن يكون للذات الحادثة صفة قديمة قال تعالى</w:t>
      </w:r>
      <w:r w:rsidR="0002035C" w:rsidRPr="00A52585">
        <w:rPr>
          <w:rFonts w:hint="cs"/>
          <w:rtl/>
        </w:rPr>
        <w:t>:</w:t>
      </w:r>
      <w:r w:rsidRPr="00A52585">
        <w:rPr>
          <w:rFonts w:hint="cs"/>
          <w:rtl/>
        </w:rPr>
        <w:t xml:space="preserve"> {أَوَلاَ يَذْكُر الإِنْسَانُ أَنّا خَلَقْنَاهُ مِن قَبْلَ وَلَمْ </w:t>
      </w:r>
      <w:proofErr w:type="spellStart"/>
      <w:r w:rsidRPr="00A52585">
        <w:rPr>
          <w:rFonts w:hint="cs"/>
          <w:rtl/>
        </w:rPr>
        <w:t>يَكُ</w:t>
      </w:r>
      <w:proofErr w:type="spellEnd"/>
      <w:r w:rsidRPr="00A52585">
        <w:rPr>
          <w:rFonts w:hint="cs"/>
          <w:rtl/>
        </w:rPr>
        <w:t xml:space="preserve"> شَيْئاً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مريم</w:t>
      </w:r>
      <w:r w:rsidR="0002035C" w:rsidRPr="00A52585">
        <w:rPr>
          <w:rFonts w:hint="cs"/>
          <w:rtl/>
        </w:rPr>
        <w:t>:</w:t>
      </w:r>
      <w:r w:rsidRPr="00A52585">
        <w:rPr>
          <w:rFonts w:hint="cs"/>
          <w:rtl/>
        </w:rPr>
        <w:t xml:space="preserve"> 67</w:t>
      </w:r>
      <w:r w:rsidR="0002035C" w:rsidRPr="00A52585">
        <w:rPr>
          <w:rFonts w:hint="cs"/>
          <w:rtl/>
        </w:rPr>
        <w:t>]</w:t>
      </w:r>
      <w:r w:rsidR="00DB731D" w:rsidRPr="00A52585">
        <w:rPr>
          <w:rFonts w:hint="cs"/>
          <w:rtl/>
        </w:rPr>
        <w:t>،</w:t>
      </w:r>
      <w:r w:rsidRPr="00A52585">
        <w:rPr>
          <w:rFonts w:hint="cs"/>
          <w:rtl/>
        </w:rPr>
        <w:t xml:space="preserve"> وسأل بعض </w:t>
      </w:r>
      <w:proofErr w:type="spellStart"/>
      <w:r w:rsidRPr="00A52585">
        <w:rPr>
          <w:rFonts w:hint="cs"/>
          <w:rtl/>
        </w:rPr>
        <w:t>المخبثين</w:t>
      </w:r>
      <w:proofErr w:type="spellEnd"/>
      <w:r w:rsidRPr="00A52585">
        <w:rPr>
          <w:rFonts w:hint="cs"/>
          <w:rtl/>
        </w:rPr>
        <w:t xml:space="preserve"> الطوية الإمامَ العالم العلامة الجامع بين العلوم السَّنِيَّة والمناهج العَلِيَّة يحيى بن معاذ الرازي فقيل له</w:t>
      </w:r>
      <w:r w:rsidR="0002035C" w:rsidRPr="00A52585">
        <w:rPr>
          <w:rFonts w:hint="cs"/>
          <w:rtl/>
        </w:rPr>
        <w:t>:</w:t>
      </w:r>
      <w:r w:rsidRPr="00A52585">
        <w:rPr>
          <w:rFonts w:hint="cs"/>
          <w:rtl/>
        </w:rPr>
        <w:t xml:space="preserve"> أخبرنا عن الله</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إله واحد</w:t>
      </w:r>
      <w:r w:rsidR="00DB731D" w:rsidRPr="00A52585">
        <w:rPr>
          <w:rFonts w:hint="cs"/>
          <w:rtl/>
        </w:rPr>
        <w:t>،</w:t>
      </w:r>
      <w:r w:rsidRPr="00A52585">
        <w:rPr>
          <w:rFonts w:hint="cs"/>
          <w:rtl/>
        </w:rPr>
        <w:t xml:space="preserve"> فقيل له</w:t>
      </w:r>
      <w:r w:rsidR="0002035C" w:rsidRPr="00A52585">
        <w:rPr>
          <w:rFonts w:hint="cs"/>
          <w:rtl/>
        </w:rPr>
        <w:t>:</w:t>
      </w:r>
      <w:r w:rsidRPr="00A52585">
        <w:rPr>
          <w:rFonts w:hint="cs"/>
          <w:rtl/>
        </w:rPr>
        <w:t xml:space="preserve"> كيف هو</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إله قادر</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فأين هو</w:t>
      </w:r>
      <w:r w:rsidR="00F95886"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بالمرصاد</w:t>
      </w:r>
      <w:r w:rsidR="00DB731D" w:rsidRPr="00A52585">
        <w:rPr>
          <w:rFonts w:hint="cs"/>
          <w:rtl/>
        </w:rPr>
        <w:t>،</w:t>
      </w:r>
      <w:r w:rsidRPr="00A52585">
        <w:rPr>
          <w:rFonts w:hint="cs"/>
          <w:rtl/>
        </w:rPr>
        <w:t xml:space="preserve"> فقال السائل</w:t>
      </w:r>
      <w:r w:rsidR="0002035C" w:rsidRPr="00A52585">
        <w:rPr>
          <w:rFonts w:hint="cs"/>
          <w:rtl/>
        </w:rPr>
        <w:t>:</w:t>
      </w:r>
      <w:r w:rsidRPr="00A52585">
        <w:rPr>
          <w:rFonts w:hint="cs"/>
          <w:rtl/>
        </w:rPr>
        <w:t xml:space="preserve"> لم أسألك عن هذا</w:t>
      </w:r>
      <w:r w:rsidR="00F95886" w:rsidRPr="00A52585">
        <w:rPr>
          <w:rFonts w:hint="cs"/>
          <w:rtl/>
        </w:rPr>
        <w:t>!؟</w:t>
      </w:r>
      <w:r w:rsidRPr="00A52585">
        <w:rPr>
          <w:rFonts w:hint="cs"/>
          <w:rtl/>
        </w:rPr>
        <w:t xml:space="preserve"> </w:t>
      </w:r>
      <w:r w:rsidRPr="00A52585">
        <w:rPr>
          <w:rFonts w:hint="cs"/>
          <w:spacing w:val="-6"/>
          <w:rtl/>
        </w:rPr>
        <w:t>فقال</w:t>
      </w:r>
      <w:r w:rsidR="0002035C" w:rsidRPr="00A52585">
        <w:rPr>
          <w:rFonts w:hint="cs"/>
          <w:spacing w:val="-6"/>
          <w:rtl/>
        </w:rPr>
        <w:t>:</w:t>
      </w:r>
      <w:r w:rsidRPr="00A52585">
        <w:rPr>
          <w:rFonts w:hint="cs"/>
          <w:spacing w:val="-6"/>
          <w:rtl/>
        </w:rPr>
        <w:t xml:space="preserve"> ما كان غير هذا فهو صفة المخلوق</w:t>
      </w:r>
      <w:r w:rsidR="00DB731D" w:rsidRPr="00A52585">
        <w:rPr>
          <w:rFonts w:hint="cs"/>
          <w:spacing w:val="-6"/>
          <w:rtl/>
        </w:rPr>
        <w:t>،</w:t>
      </w:r>
      <w:r w:rsidRPr="00A52585">
        <w:rPr>
          <w:rFonts w:hint="cs"/>
          <w:spacing w:val="-6"/>
          <w:rtl/>
        </w:rPr>
        <w:t xml:space="preserve"> فأما صفته فالذي أخبرتك عنه</w:t>
      </w:r>
      <w:r w:rsidR="00DB731D" w:rsidRPr="00A52585">
        <w:rPr>
          <w:rFonts w:hint="cs"/>
          <w:spacing w:val="-6"/>
          <w:rtl/>
        </w:rPr>
        <w:t>،</w:t>
      </w:r>
      <w:r w:rsidRPr="00A52585">
        <w:rPr>
          <w:rFonts w:hint="cs"/>
          <w:spacing w:val="-6"/>
          <w:rtl/>
        </w:rPr>
        <w:t xml:space="preserve"> </w:t>
      </w:r>
      <w:r w:rsidRPr="00A52585">
        <w:rPr>
          <w:rFonts w:hint="cs"/>
          <w:rtl/>
        </w:rPr>
        <w:t>فالسائل سأل عن الذات والكيفية</w:t>
      </w:r>
      <w:r w:rsidR="00DB731D" w:rsidRPr="00A52585">
        <w:rPr>
          <w:rFonts w:hint="cs"/>
          <w:rtl/>
        </w:rPr>
        <w:t>،</w:t>
      </w:r>
      <w:r w:rsidRPr="00A52585">
        <w:rPr>
          <w:rFonts w:hint="cs"/>
          <w:rtl/>
        </w:rPr>
        <w:t xml:space="preserve"> فأجابه هذا الحبر بالصفات </w:t>
      </w:r>
      <w:proofErr w:type="spellStart"/>
      <w:r w:rsidRPr="00A52585">
        <w:rPr>
          <w:rFonts w:hint="cs"/>
          <w:rtl/>
        </w:rPr>
        <w:t>الجلالية</w:t>
      </w:r>
      <w:proofErr w:type="spellEnd"/>
      <w:r w:rsidRPr="00A52585">
        <w:rPr>
          <w:rFonts w:hint="cs"/>
          <w:rtl/>
        </w:rPr>
        <w:t xml:space="preserve"> القدسية</w:t>
      </w:r>
      <w:r w:rsidR="00DB731D" w:rsidRPr="00A52585">
        <w:rPr>
          <w:rFonts w:hint="cs"/>
          <w:rtl/>
        </w:rPr>
        <w:t>،</w:t>
      </w:r>
      <w:r w:rsidRPr="00A52585">
        <w:rPr>
          <w:rFonts w:hint="cs"/>
          <w:rtl/>
        </w:rPr>
        <w:t xml:space="preserve"> وهذا أخذه من قصة سيدنا موسى عليه الصلاة والسلام مع فرعون اللعين لما قال له موسى عليه السلام</w:t>
      </w:r>
      <w:r w:rsidR="0002035C" w:rsidRPr="00A52585">
        <w:rPr>
          <w:rFonts w:hint="cs"/>
          <w:rtl/>
        </w:rPr>
        <w:t>:</w:t>
      </w:r>
      <w:r w:rsidRPr="00A52585">
        <w:rPr>
          <w:rFonts w:hint="cs"/>
          <w:rtl/>
        </w:rPr>
        <w:t xml:space="preserve"> {إني رسولٌ مِنّ رَّبِّ العَالَمِين} </w:t>
      </w:r>
      <w:r w:rsidR="0002035C" w:rsidRPr="00A52585">
        <w:rPr>
          <w:rFonts w:hint="cs"/>
          <w:rtl/>
        </w:rPr>
        <w:t>[</w:t>
      </w:r>
      <w:r w:rsidRPr="00A52585">
        <w:rPr>
          <w:rFonts w:hint="cs"/>
          <w:rtl/>
        </w:rPr>
        <w:t>الأعراف</w:t>
      </w:r>
      <w:r w:rsidR="0002035C" w:rsidRPr="00A52585">
        <w:rPr>
          <w:rFonts w:hint="cs"/>
          <w:rtl/>
        </w:rPr>
        <w:t>:</w:t>
      </w:r>
      <w:r w:rsidRPr="00A52585">
        <w:rPr>
          <w:rFonts w:hint="cs"/>
          <w:rtl/>
        </w:rPr>
        <w:t xml:space="preserve"> 104</w:t>
      </w:r>
      <w:r w:rsidR="0002035C" w:rsidRPr="00A52585">
        <w:rPr>
          <w:rFonts w:hint="cs"/>
          <w:rtl/>
        </w:rPr>
        <w:t>]</w:t>
      </w:r>
      <w:r w:rsidR="00DB731D" w:rsidRPr="00A52585">
        <w:rPr>
          <w:rFonts w:hint="cs"/>
          <w:rtl/>
        </w:rPr>
        <w:t>،</w:t>
      </w:r>
      <w:r w:rsidRPr="00A52585">
        <w:rPr>
          <w:rFonts w:hint="cs"/>
          <w:rtl/>
        </w:rPr>
        <w:t xml:space="preserve"> فسأله فرعون</w:t>
      </w:r>
      <w:r w:rsidR="0002035C" w:rsidRPr="00A52585">
        <w:rPr>
          <w:rFonts w:hint="cs"/>
          <w:rtl/>
        </w:rPr>
        <w:t>:</w:t>
      </w:r>
      <w:r w:rsidRPr="00A52585">
        <w:rPr>
          <w:rFonts w:hint="cs"/>
          <w:rtl/>
        </w:rPr>
        <w:t xml:space="preserve"> {وما رب العالمين} فقال موسى عليه السلام</w:t>
      </w:r>
      <w:r w:rsidR="0002035C" w:rsidRPr="00A52585">
        <w:rPr>
          <w:rFonts w:hint="cs"/>
          <w:rtl/>
        </w:rPr>
        <w:t>:</w:t>
      </w:r>
      <w:r w:rsidRPr="00A52585">
        <w:rPr>
          <w:rFonts w:hint="cs"/>
          <w:rtl/>
        </w:rPr>
        <w:t xml:space="preserve"> {رب السموات والأرض </w:t>
      </w:r>
      <w:r w:rsidRPr="00A52585">
        <w:rPr>
          <w:rFonts w:hint="cs"/>
          <w:rtl/>
        </w:rPr>
        <w:lastRenderedPageBreak/>
        <w:t>وما بينهما} [من الآيات 23 حتى 27، من سورة الشعراء</w:t>
      </w:r>
      <w:r w:rsidR="0002035C" w:rsidRPr="00A52585">
        <w:rPr>
          <w:rFonts w:hint="cs"/>
          <w:rtl/>
        </w:rPr>
        <w:t>]</w:t>
      </w:r>
      <w:r w:rsidR="00DB731D" w:rsidRPr="00A52585">
        <w:rPr>
          <w:rFonts w:hint="cs"/>
          <w:rtl/>
        </w:rPr>
        <w:t>،</w:t>
      </w:r>
      <w:r w:rsidRPr="00A52585">
        <w:rPr>
          <w:rFonts w:hint="cs"/>
          <w:rtl/>
        </w:rPr>
        <w:t xml:space="preserve"> فتضمن الجواب العدول عن ما سأل لأنه عدل فيه عن مطابقة السؤال لأن فرعون سأل عن ما هيته سبحانه وتعالى وموسى أجابه عن قدرته وصفاته فجاز له حين خلط في السؤال وأخطأ وسأل عما لا يمكن إدراكه العدول عن سؤاله</w:t>
      </w:r>
      <w:r w:rsidR="00DB731D" w:rsidRPr="00A52585">
        <w:rPr>
          <w:rFonts w:hint="cs"/>
          <w:rtl/>
        </w:rPr>
        <w:t>،</w:t>
      </w:r>
      <w:r w:rsidRPr="00A52585">
        <w:rPr>
          <w:rFonts w:hint="cs"/>
          <w:rtl/>
        </w:rPr>
        <w:t xml:space="preserve"> فقال فرعون</w:t>
      </w:r>
      <w:r w:rsidR="0002035C" w:rsidRPr="00A52585">
        <w:rPr>
          <w:rFonts w:hint="cs"/>
          <w:rtl/>
        </w:rPr>
        <w:t>:</w:t>
      </w:r>
      <w:r w:rsidRPr="00A52585">
        <w:rPr>
          <w:rFonts w:hint="cs"/>
          <w:rtl/>
        </w:rPr>
        <w:t xml:space="preserve"> {ألا تستمعون} أنا أسأله عن شيء يجيب عن غيره</w:t>
      </w:r>
      <w:r w:rsidR="00F95886" w:rsidRPr="00A52585">
        <w:rPr>
          <w:rFonts w:hint="cs"/>
          <w:rtl/>
        </w:rPr>
        <w:t>؟!</w:t>
      </w:r>
      <w:r w:rsidRPr="00A52585">
        <w:rPr>
          <w:rFonts w:hint="cs"/>
          <w:rtl/>
        </w:rPr>
        <w:t xml:space="preserve"> فقال موسى عليه السلام</w:t>
      </w:r>
      <w:r w:rsidR="0002035C" w:rsidRPr="00A52585">
        <w:rPr>
          <w:rFonts w:hint="cs"/>
          <w:rtl/>
        </w:rPr>
        <w:t>:</w:t>
      </w:r>
      <w:r w:rsidRPr="00A52585">
        <w:rPr>
          <w:rFonts w:hint="cs"/>
          <w:rtl/>
        </w:rPr>
        <w:t xml:space="preserve"> {ربكم ورب آبائكم الأولين</w:t>
      </w:r>
      <w:r w:rsidR="0002035C" w:rsidRPr="00A52585">
        <w:rPr>
          <w:rFonts w:hint="cs"/>
          <w:rtl/>
        </w:rPr>
        <w:t>}</w:t>
      </w:r>
      <w:r w:rsidR="00DB731D" w:rsidRPr="00A52585">
        <w:rPr>
          <w:rFonts w:hint="cs"/>
          <w:rtl/>
        </w:rPr>
        <w:t>،</w:t>
      </w:r>
      <w:r w:rsidRPr="00A52585">
        <w:rPr>
          <w:rFonts w:hint="cs"/>
          <w:rtl/>
        </w:rPr>
        <w:t xml:space="preserve"> فلما قال موسى عليه السلام ذلك استشعر فرعون أنه أخطأ في السؤال فخشي أن يدرك ذلك جلساؤه فقال</w:t>
      </w:r>
      <w:r w:rsidR="0002035C" w:rsidRPr="00A52585">
        <w:rPr>
          <w:rFonts w:hint="cs"/>
          <w:rtl/>
        </w:rPr>
        <w:t>:</w:t>
      </w:r>
      <w:r w:rsidRPr="00A52585">
        <w:rPr>
          <w:rFonts w:hint="cs"/>
          <w:rtl/>
        </w:rPr>
        <w:t xml:space="preserve"> {إن </w:t>
      </w:r>
      <w:r w:rsidRPr="00A52585">
        <w:rPr>
          <w:rFonts w:hint="cs"/>
          <w:spacing w:val="-6"/>
          <w:rtl/>
        </w:rPr>
        <w:t>رسولكم الذي أرسل</w:t>
      </w:r>
      <w:r w:rsidRPr="00A52585">
        <w:rPr>
          <w:rFonts w:hint="cs"/>
          <w:rtl/>
        </w:rPr>
        <w:t xml:space="preserve"> إليكم لمجنون} </w:t>
      </w:r>
      <w:r w:rsidRPr="00A52585">
        <w:rPr>
          <w:rFonts w:hint="cs"/>
          <w:spacing w:val="-6"/>
          <w:rtl/>
        </w:rPr>
        <w:t xml:space="preserve">رماه بذلك حتى </w:t>
      </w:r>
      <w:r w:rsidRPr="00A52585">
        <w:rPr>
          <w:rFonts w:hint="cs"/>
          <w:rtl/>
        </w:rPr>
        <w:t>يتخلص ويصير موسى عليه السلام في مقام لا يلتفت إلى قوله ولا يؤخذ به [</w:t>
      </w:r>
      <w:r w:rsidRPr="00A52585">
        <w:rPr>
          <w:rFonts w:hint="cs"/>
          <w:sz w:val="24"/>
          <w:szCs w:val="24"/>
          <w:rtl/>
        </w:rPr>
        <w:t>عند ذلك ذكر سيدنا موسى عليه السلام صفات أبين وأشار إلى أن السؤال عن حقيقته ليس دأب العقلاء حيث قال</w:t>
      </w:r>
      <w:r w:rsidR="0002035C" w:rsidRPr="00A52585">
        <w:rPr>
          <w:rFonts w:hint="cs"/>
          <w:sz w:val="24"/>
          <w:szCs w:val="24"/>
          <w:rtl/>
        </w:rPr>
        <w:t>:</w:t>
      </w:r>
      <w:r w:rsidRPr="00A52585">
        <w:rPr>
          <w:rFonts w:hint="cs"/>
          <w:sz w:val="24"/>
          <w:szCs w:val="24"/>
          <w:rtl/>
        </w:rPr>
        <w:t xml:space="preserve"> (رب المشرق والمغرب وما بينهما إن كنتم تعقلون). انظر (طوالع الأنظار) للأصفهاني و(حل الرموز) للعز بن عبد السلام وكذلك كتب التفسير]</w:t>
      </w:r>
      <w:r w:rsidR="00DB731D" w:rsidRPr="00A52585">
        <w:rPr>
          <w:rFonts w:hint="cs"/>
          <w:rtl/>
        </w:rPr>
        <w:t>،</w:t>
      </w:r>
      <w:r w:rsidRPr="00A52585">
        <w:rPr>
          <w:rFonts w:hint="cs"/>
          <w:rtl/>
        </w:rPr>
        <w:t xml:space="preserve"> فتأمل أرشدك الله عز وجل وهداك إلى الحق كيف ذلك معلوم عند الأنبياء عليهم الصلاة السلام وغيرهم </w:t>
      </w:r>
      <w:r w:rsidRPr="00A52585">
        <w:rPr>
          <w:rFonts w:hint="cs"/>
          <w:bCs/>
          <w:rtl/>
        </w:rPr>
        <w:t>عدم العلم بالذات والكيف</w:t>
      </w:r>
      <w:r w:rsidR="00DB731D" w:rsidRPr="00A52585">
        <w:rPr>
          <w:rFonts w:hint="cs"/>
          <w:rtl/>
        </w:rPr>
        <w:t>،</w:t>
      </w:r>
      <w:r w:rsidRPr="00A52585">
        <w:rPr>
          <w:rFonts w:hint="cs"/>
          <w:rtl/>
        </w:rPr>
        <w:t xml:space="preserve"> فلا أجهل ولا أعمى بصيرة ممن فرعون أهدى منه في معرفته العجز عن درك ذاته</w:t>
      </w:r>
      <w:r w:rsidR="00DB731D" w:rsidRPr="00A52585">
        <w:rPr>
          <w:rFonts w:hint="cs"/>
          <w:rtl/>
        </w:rPr>
        <w:t>،</w:t>
      </w:r>
      <w:r w:rsidRPr="00A52585">
        <w:rPr>
          <w:rFonts w:hint="cs"/>
          <w:rtl/>
        </w:rPr>
        <w:t xml:space="preserve"> قال الإمام الحافظ محمد بن علي الترمذي صاحب التصانيف المشهورة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المعروف بالحكيم الترمذي عالم من حفاظ الحديث ومن أئمة الصوفية، صاحب (نوادر الأصول)، (الأمثال) و(أسرار الشريعة) وغيرها عاش إلى حدود 320 هـ]</w:t>
      </w:r>
      <w:r w:rsidR="0002035C" w:rsidRPr="00A52585">
        <w:rPr>
          <w:rFonts w:hint="cs"/>
          <w:rtl/>
        </w:rPr>
        <w:t>:</w:t>
      </w:r>
      <w:r w:rsidRPr="00A52585">
        <w:rPr>
          <w:rFonts w:hint="cs"/>
          <w:rtl/>
        </w:rPr>
        <w:t xml:space="preserve"> من جهل أوصاف العبودية فهو بنعت الربوبية أجهل</w:t>
      </w:r>
      <w:r w:rsidR="00DB731D" w:rsidRPr="00A52585">
        <w:rPr>
          <w:rFonts w:hint="cs"/>
          <w:rtl/>
        </w:rPr>
        <w:t>،</w:t>
      </w:r>
      <w:r w:rsidRPr="00A52585">
        <w:rPr>
          <w:rFonts w:hint="cs"/>
          <w:rtl/>
        </w:rPr>
        <w:t xml:space="preserve"> وقال أهل التحقيق من أهل السنة والجماعة</w:t>
      </w:r>
      <w:r w:rsidR="0002035C" w:rsidRPr="00A52585">
        <w:rPr>
          <w:rFonts w:hint="cs"/>
          <w:rtl/>
        </w:rPr>
        <w:t>:</w:t>
      </w:r>
      <w:r w:rsidRPr="00A52585">
        <w:rPr>
          <w:rFonts w:hint="cs"/>
          <w:rtl/>
        </w:rPr>
        <w:t xml:space="preserve"> من اعتقد في الله عز وجل ما يليق بطبعه كالعامي فهو مشبه</w:t>
      </w:r>
      <w:r w:rsidR="00DB731D" w:rsidRPr="00A52585">
        <w:rPr>
          <w:rFonts w:hint="cs"/>
          <w:rtl/>
        </w:rPr>
        <w:t>،</w:t>
      </w:r>
      <w:r w:rsidRPr="00A52585">
        <w:rPr>
          <w:rFonts w:hint="cs"/>
          <w:rtl/>
        </w:rPr>
        <w:t xml:space="preserve"> فإنه عز وجل مُنَزَّه عن كل ما يصفه الآدمي أو يتخيله لأن ذلك من صفة الحدث تعالى وتقدس عن ذلك. فإيمان العامي لضعف علمه وعقله يقبل التشكيك</w:t>
      </w:r>
      <w:r w:rsidR="00DB731D" w:rsidRPr="00A52585">
        <w:rPr>
          <w:rFonts w:hint="cs"/>
          <w:bCs/>
          <w:rtl/>
        </w:rPr>
        <w:t>،</w:t>
      </w:r>
      <w:r w:rsidRPr="00A52585">
        <w:rPr>
          <w:rFonts w:hint="cs"/>
          <w:bCs/>
          <w:rtl/>
        </w:rPr>
        <w:t xml:space="preserve"> قال ابن عباس</w:t>
      </w:r>
      <w:r w:rsidRPr="00A52585">
        <w:rPr>
          <w:rFonts w:hint="cs"/>
          <w:bCs/>
        </w:rPr>
        <w:t xml:space="preserve"> </w:t>
      </w:r>
      <w:r w:rsidRPr="00A52585">
        <w:rPr>
          <w:rFonts w:hint="cs"/>
          <w:bCs/>
          <w:rtl/>
          <w:lang w:bidi="ar-KW"/>
        </w:rPr>
        <w:t>رضي الله عنه</w:t>
      </w:r>
      <w:r w:rsidRPr="00A52585">
        <w:rPr>
          <w:rFonts w:hint="cs"/>
          <w:bCs/>
          <w:lang w:bidi="ar-KW"/>
        </w:rPr>
        <w:t xml:space="preserve"> </w:t>
      </w:r>
      <w:r w:rsidRPr="00A52585">
        <w:rPr>
          <w:rFonts w:hint="cs"/>
          <w:bCs/>
          <w:rtl/>
        </w:rPr>
        <w:t>في قوله تعالي</w:t>
      </w:r>
      <w:r w:rsidR="0002035C" w:rsidRPr="00A52585">
        <w:rPr>
          <w:rFonts w:hint="cs"/>
          <w:rtl/>
        </w:rPr>
        <w:t>:</w:t>
      </w:r>
      <w:r w:rsidRPr="00A52585">
        <w:rPr>
          <w:rFonts w:hint="cs"/>
          <w:rtl/>
        </w:rPr>
        <w:t xml:space="preserve"> {وَمَا يُؤْمِنُ أَكْثَرُهُم بِالله إِلاَّ وَهُم مُشْرِكُون} </w:t>
      </w:r>
      <w:r w:rsidR="0002035C" w:rsidRPr="00A52585">
        <w:rPr>
          <w:rFonts w:hint="cs"/>
          <w:rtl/>
        </w:rPr>
        <w:t>[</w:t>
      </w:r>
      <w:r w:rsidRPr="00A52585">
        <w:rPr>
          <w:rFonts w:hint="cs"/>
          <w:rtl/>
        </w:rPr>
        <w:t>يوسف</w:t>
      </w:r>
      <w:r w:rsidR="0002035C" w:rsidRPr="00A52585">
        <w:rPr>
          <w:rFonts w:hint="cs"/>
          <w:rtl/>
        </w:rPr>
        <w:t>:</w:t>
      </w:r>
      <w:r w:rsidRPr="00A52585">
        <w:rPr>
          <w:rFonts w:hint="cs"/>
          <w:rtl/>
        </w:rPr>
        <w:t xml:space="preserve"> 106</w:t>
      </w:r>
      <w:r w:rsidR="0002035C" w:rsidRPr="00A52585">
        <w:rPr>
          <w:rFonts w:hint="cs"/>
          <w:rtl/>
        </w:rPr>
        <w:t>]:</w:t>
      </w:r>
      <w:r w:rsidRPr="00A52585">
        <w:rPr>
          <w:rFonts w:hint="cs"/>
          <w:rtl/>
        </w:rPr>
        <w:t xml:space="preserve"> هم الذين شبهوا الله سبحانه وتعالى بخلقه</w:t>
      </w:r>
      <w:r w:rsidR="00DB731D" w:rsidRPr="00A52585">
        <w:rPr>
          <w:rFonts w:hint="cs"/>
          <w:rtl/>
        </w:rPr>
        <w:t>،</w:t>
      </w:r>
      <w:r w:rsidRPr="00A52585">
        <w:rPr>
          <w:rFonts w:hint="cs"/>
          <w:rtl/>
        </w:rPr>
        <w:t xml:space="preserve"> يؤمنون به مجملاً ويكفرون به تفصيلاً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روت ذلك كتب التفسير مثل تفسير الطبري والرازي والقرطبي والنيسابوري والألوسي وغير ذلك، وقال الألوسي بعد نقله كلام حبر الأمة ابن عباس</w:t>
      </w:r>
      <w:r w:rsidR="0002035C" w:rsidRPr="00A52585">
        <w:rPr>
          <w:rFonts w:hint="cs"/>
          <w:sz w:val="24"/>
          <w:szCs w:val="24"/>
          <w:rtl/>
        </w:rPr>
        <w:t>:</w:t>
      </w:r>
      <w:r w:rsidRPr="00A52585">
        <w:rPr>
          <w:rFonts w:hint="cs"/>
          <w:sz w:val="24"/>
          <w:szCs w:val="24"/>
          <w:rtl/>
        </w:rPr>
        <w:t xml:space="preserve"> " … وقد يقال نظراً إلى مفهوم الآية</w:t>
      </w:r>
      <w:r w:rsidR="0002035C" w:rsidRPr="00A52585">
        <w:rPr>
          <w:rFonts w:hint="cs"/>
          <w:sz w:val="24"/>
          <w:szCs w:val="24"/>
          <w:rtl/>
        </w:rPr>
        <w:t>:</w:t>
      </w:r>
      <w:r w:rsidRPr="00A52585">
        <w:rPr>
          <w:rFonts w:hint="cs"/>
          <w:sz w:val="24"/>
          <w:szCs w:val="24"/>
          <w:rtl/>
        </w:rPr>
        <w:t xml:space="preserve"> إنهم من يندرج فيهم كل من أقر بالله تعالى </w:t>
      </w:r>
      <w:proofErr w:type="spellStart"/>
      <w:r w:rsidRPr="00A52585">
        <w:rPr>
          <w:rFonts w:hint="cs"/>
          <w:sz w:val="24"/>
          <w:szCs w:val="24"/>
          <w:rtl/>
        </w:rPr>
        <w:t>وخالقيته</w:t>
      </w:r>
      <w:proofErr w:type="spellEnd"/>
      <w:r w:rsidRPr="00A52585">
        <w:rPr>
          <w:rFonts w:hint="cs"/>
          <w:sz w:val="24"/>
          <w:szCs w:val="24"/>
          <w:rtl/>
        </w:rPr>
        <w:t xml:space="preserve"> مثلا وكان مرتكبا ما يعد شركا كيفما كان "</w:t>
      </w:r>
      <w:r w:rsidR="0002035C" w:rsidRPr="00A52585">
        <w:rPr>
          <w:rFonts w:hint="cs"/>
          <w:sz w:val="24"/>
          <w:szCs w:val="24"/>
          <w:rtl/>
        </w:rPr>
        <w:t xml:space="preserve"> </w:t>
      </w:r>
      <w:r w:rsidRPr="00A52585">
        <w:rPr>
          <w:rFonts w:hint="cs"/>
          <w:sz w:val="24"/>
          <w:szCs w:val="24"/>
          <w:rtl/>
        </w:rPr>
        <w:t>أهـ. وقد سبق نقل ما أخرجه البيهقي عن ابن عباس بسند حسن "</w:t>
      </w:r>
      <w:r w:rsidR="0002035C" w:rsidRPr="00A52585">
        <w:rPr>
          <w:rFonts w:hint="cs"/>
          <w:sz w:val="24"/>
          <w:szCs w:val="24"/>
          <w:rtl/>
        </w:rPr>
        <w:t xml:space="preserve"> </w:t>
      </w:r>
      <w:r w:rsidRPr="00A52585">
        <w:rPr>
          <w:rFonts w:hint="cs"/>
          <w:sz w:val="24"/>
          <w:szCs w:val="24"/>
          <w:rtl/>
        </w:rPr>
        <w:t xml:space="preserve">إن اليهود </w:t>
      </w:r>
      <w:proofErr w:type="spellStart"/>
      <w:r w:rsidRPr="00A52585">
        <w:rPr>
          <w:rFonts w:hint="cs"/>
          <w:sz w:val="24"/>
          <w:szCs w:val="24"/>
          <w:rtl/>
        </w:rPr>
        <w:t>والنصاري</w:t>
      </w:r>
      <w:proofErr w:type="spellEnd"/>
      <w:r w:rsidRPr="00A52585">
        <w:rPr>
          <w:rFonts w:hint="cs"/>
          <w:sz w:val="24"/>
          <w:szCs w:val="24"/>
          <w:rtl/>
        </w:rPr>
        <w:t xml:space="preserve"> وصفوا الرب عز وجل …</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الحديث ويشهد لذلك أيضاً ما أخرجه ابن جرير الطبري في تفسيره بسنده عن عكرمة – تلميذ ابن عباس – وقد سئل عن الآية الكريمة {وما يؤمن أكثرهم بالله إلا وهم مشركون} فقال</w:t>
      </w:r>
      <w:r w:rsidR="0002035C" w:rsidRPr="00A52585">
        <w:rPr>
          <w:rFonts w:hint="cs"/>
          <w:sz w:val="24"/>
          <w:szCs w:val="24"/>
          <w:rtl/>
        </w:rPr>
        <w:t>:</w:t>
      </w:r>
      <w:r w:rsidRPr="00A52585">
        <w:rPr>
          <w:rFonts w:hint="cs"/>
          <w:sz w:val="24"/>
          <w:szCs w:val="24"/>
          <w:rtl/>
        </w:rPr>
        <w:t xml:space="preserve"> " هو قوله {ولئن سألتهم من خلق السماوات والأرض ليقولن الله} </w:t>
      </w:r>
      <w:r w:rsidRPr="00A52585">
        <w:rPr>
          <w:rFonts w:hint="cs"/>
          <w:bCs/>
          <w:sz w:val="24"/>
          <w:szCs w:val="24"/>
          <w:rtl/>
        </w:rPr>
        <w:t xml:space="preserve">فإذا </w:t>
      </w:r>
      <w:r w:rsidRPr="00A52585">
        <w:rPr>
          <w:rFonts w:hint="cs"/>
          <w:bCs/>
          <w:spacing w:val="-6"/>
          <w:sz w:val="24"/>
          <w:szCs w:val="24"/>
          <w:rtl/>
        </w:rPr>
        <w:t>سُئِلوا عن الله وعن صفته وصفوه بغير صفته وجعلوا له ولداً</w:t>
      </w:r>
      <w:r w:rsidRPr="00A52585">
        <w:rPr>
          <w:rFonts w:hint="cs"/>
          <w:bCs/>
          <w:sz w:val="24"/>
          <w:szCs w:val="24"/>
          <w:rtl/>
        </w:rPr>
        <w:t xml:space="preserve"> وأشركوا به</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أخرج البزار عن أنس قال</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بعث رسول الله صلى الله عليه وسلم رجلاً من أصحابه إلى رجل من عظماء الجاهلية يدعوه إلى الله تبارك وتعالى، فقال</w:t>
      </w:r>
      <w:r w:rsidR="0002035C" w:rsidRPr="00A52585">
        <w:rPr>
          <w:rFonts w:hint="cs"/>
          <w:sz w:val="24"/>
          <w:szCs w:val="24"/>
          <w:rtl/>
        </w:rPr>
        <w:t>:</w:t>
      </w:r>
      <w:r w:rsidRPr="00A52585">
        <w:rPr>
          <w:rFonts w:hint="cs"/>
          <w:sz w:val="24"/>
          <w:szCs w:val="24"/>
          <w:rtl/>
        </w:rPr>
        <w:t xml:space="preserve"> أيش ربُّك الذي تدعوني إليه</w:t>
      </w:r>
      <w:r w:rsidR="00F95886" w:rsidRPr="00A52585">
        <w:rPr>
          <w:rFonts w:hint="cs"/>
          <w:sz w:val="24"/>
          <w:szCs w:val="24"/>
          <w:rtl/>
        </w:rPr>
        <w:t>؟</w:t>
      </w:r>
      <w:r w:rsidRPr="00A52585">
        <w:rPr>
          <w:rFonts w:hint="cs"/>
          <w:sz w:val="24"/>
          <w:szCs w:val="24"/>
          <w:rtl/>
        </w:rPr>
        <w:t xml:space="preserve"> من حديد هو</w:t>
      </w:r>
      <w:r w:rsidR="00F95886" w:rsidRPr="00A52585">
        <w:rPr>
          <w:rFonts w:hint="cs"/>
          <w:sz w:val="24"/>
          <w:szCs w:val="24"/>
          <w:rtl/>
        </w:rPr>
        <w:t>؟</w:t>
      </w:r>
      <w:r w:rsidRPr="00A52585">
        <w:rPr>
          <w:rFonts w:hint="cs"/>
          <w:sz w:val="24"/>
          <w:szCs w:val="24"/>
          <w:rtl/>
        </w:rPr>
        <w:t xml:space="preserve"> من نحاس هو</w:t>
      </w:r>
      <w:r w:rsidR="00F95886" w:rsidRPr="00A52585">
        <w:rPr>
          <w:rFonts w:hint="cs"/>
          <w:sz w:val="24"/>
          <w:szCs w:val="24"/>
          <w:rtl/>
        </w:rPr>
        <w:t>؟</w:t>
      </w:r>
      <w:r w:rsidRPr="00A52585">
        <w:rPr>
          <w:rFonts w:hint="cs"/>
          <w:sz w:val="24"/>
          <w:szCs w:val="24"/>
          <w:rtl/>
        </w:rPr>
        <w:t xml:space="preserve"> من فضة هو</w:t>
      </w:r>
      <w:r w:rsidR="00F95886" w:rsidRPr="00A52585">
        <w:rPr>
          <w:rFonts w:hint="cs"/>
          <w:sz w:val="24"/>
          <w:szCs w:val="24"/>
          <w:rtl/>
        </w:rPr>
        <w:t>؟</w:t>
      </w:r>
      <w:r w:rsidRPr="00A52585">
        <w:rPr>
          <w:rFonts w:hint="cs"/>
          <w:sz w:val="24"/>
          <w:szCs w:val="24"/>
          <w:rtl/>
        </w:rPr>
        <w:t xml:space="preserve"> من ذهب هو</w:t>
      </w:r>
      <w:r w:rsidR="00F95886" w:rsidRPr="00A52585">
        <w:rPr>
          <w:rFonts w:hint="cs"/>
          <w:sz w:val="24"/>
          <w:szCs w:val="24"/>
          <w:rtl/>
        </w:rPr>
        <w:t>؟</w:t>
      </w:r>
      <w:r w:rsidRPr="00A52585">
        <w:rPr>
          <w:rFonts w:hint="cs"/>
          <w:sz w:val="24"/>
          <w:szCs w:val="24"/>
          <w:rtl/>
        </w:rPr>
        <w:t xml:space="preserve"> فأتى النبي صلى الله عليه وسلم فأخبره فأعاده النبي صلى الله عليه وسلم </w:t>
      </w:r>
      <w:r w:rsidRPr="00A52585">
        <w:rPr>
          <w:rFonts w:hint="cs"/>
          <w:sz w:val="24"/>
          <w:szCs w:val="24"/>
          <w:rtl/>
        </w:rPr>
        <w:lastRenderedPageBreak/>
        <w:t>الثانية فقال مثل ذلك، فأتى النبي صلى الله عليه وسلم فأخبره فأرسله إليه الثالثة فقال مثل ذلك، فأتى النبي صلى الله عليه وسلم فأخبره فأرسل الله تبارك وتعالى عليه صاعقة فأحرقته فقال رسول الله صلى الله عليه وسلم</w:t>
      </w:r>
      <w:r w:rsidR="0002035C" w:rsidRPr="00A52585">
        <w:rPr>
          <w:rFonts w:hint="cs"/>
          <w:sz w:val="24"/>
          <w:szCs w:val="24"/>
          <w:rtl/>
        </w:rPr>
        <w:t>:</w:t>
      </w:r>
      <w:r w:rsidRPr="00A52585">
        <w:rPr>
          <w:rFonts w:hint="cs"/>
          <w:sz w:val="24"/>
          <w:szCs w:val="24"/>
          <w:rtl/>
        </w:rPr>
        <w:t xml:space="preserve"> إن الله تبارك وتعالى قد أرسل على صاحبك صاعقة فأحرقته فنزلت هذه الآية {ويرسل الصواعق فيصيب بها من يشاء وهم يجادلون في الله وهو شديد المحال}</w:t>
      </w:r>
      <w:r w:rsidR="0002035C" w:rsidRPr="00A52585">
        <w:rPr>
          <w:rFonts w:hint="cs"/>
          <w:sz w:val="24"/>
          <w:szCs w:val="24"/>
          <w:rtl/>
        </w:rPr>
        <w:t xml:space="preserve"> </w:t>
      </w:r>
      <w:r w:rsidRPr="00A52585">
        <w:rPr>
          <w:rFonts w:hint="cs"/>
          <w:sz w:val="24"/>
          <w:szCs w:val="24"/>
          <w:rtl/>
        </w:rPr>
        <w:t>" حديث صحيح ذكر ذلك الحافظ ابن حجر في (مختصر زوائد مسند البزار) والحافظ الهيثمي في مجمع الزوائد كما أخرجه أيضاً الإمام الحافظ البيهقي بسند صحيح في (الأسماء والصفات) وكذلك النسائي في (السنن الكبري) وأبو يعلى والطبراني من طرق]</w:t>
      </w:r>
      <w:r w:rsidR="00DB731D" w:rsidRPr="00A52585">
        <w:rPr>
          <w:rFonts w:hint="cs"/>
          <w:rtl/>
        </w:rPr>
        <w:t>،</w:t>
      </w:r>
      <w:r w:rsidRPr="00A52585">
        <w:rPr>
          <w:rFonts w:hint="cs"/>
          <w:rtl/>
        </w:rPr>
        <w:t xml:space="preserve"> حملهم على ذلك زخرف العدو وإغواؤه بدسيسة عدم علمهم بغوائل النفس الأمارة بالسوء وعدم تأملهم قوله تعالى</w:t>
      </w:r>
      <w:r w:rsidR="0002035C" w:rsidRPr="00A52585">
        <w:rPr>
          <w:rFonts w:hint="cs"/>
          <w:rtl/>
        </w:rPr>
        <w:t>:</w:t>
      </w:r>
      <w:r w:rsidRPr="00A52585">
        <w:rPr>
          <w:rFonts w:hint="cs"/>
          <w:rtl/>
        </w:rPr>
        <w:t xml:space="preserve"> {مَا أَشْهَدْتُهُمْ خَلْقَ السَّمَواَت وَالأَرْضِ وَلاَ خَلْقَ أَنُفِسهِم} </w:t>
      </w:r>
      <w:r w:rsidR="0002035C" w:rsidRPr="00A52585">
        <w:rPr>
          <w:rFonts w:hint="cs"/>
          <w:rtl/>
        </w:rPr>
        <w:t>[</w:t>
      </w:r>
      <w:r w:rsidRPr="00A52585">
        <w:rPr>
          <w:rFonts w:hint="cs"/>
          <w:rtl/>
        </w:rPr>
        <w:t>الكهف</w:t>
      </w:r>
      <w:r w:rsidR="0002035C" w:rsidRPr="00A52585">
        <w:rPr>
          <w:rFonts w:hint="cs"/>
          <w:rtl/>
        </w:rPr>
        <w:t>:</w:t>
      </w:r>
      <w:r w:rsidRPr="00A52585">
        <w:rPr>
          <w:rFonts w:hint="cs"/>
          <w:rtl/>
        </w:rPr>
        <w:t xml:space="preserve"> 51</w:t>
      </w:r>
      <w:r w:rsidR="0002035C" w:rsidRPr="00A52585">
        <w:rPr>
          <w:rFonts w:hint="cs"/>
          <w:rtl/>
        </w:rPr>
        <w:t>]</w:t>
      </w:r>
      <w:r w:rsidR="00DB731D" w:rsidRPr="00A52585">
        <w:rPr>
          <w:rFonts w:hint="cs"/>
          <w:rtl/>
        </w:rPr>
        <w:t>،</w:t>
      </w:r>
      <w:r w:rsidRPr="00A52585">
        <w:rPr>
          <w:rFonts w:hint="cs"/>
          <w:rtl/>
        </w:rPr>
        <w:t xml:space="preserve"> وفي ذلك إشارة إلى عجز الخليقة أن تدرك بعض صفات ذواتها في ذاتها</w:t>
      </w:r>
      <w:r w:rsidR="00DB731D" w:rsidRPr="00A52585">
        <w:rPr>
          <w:rFonts w:hint="cs"/>
          <w:rtl/>
        </w:rPr>
        <w:t>،</w:t>
      </w:r>
      <w:r w:rsidRPr="00A52585">
        <w:rPr>
          <w:rFonts w:hint="cs"/>
          <w:rtl/>
        </w:rPr>
        <w:t xml:space="preserve"> أو تدري كيف كنهها في أنفسها لعدم شهودهم خلق السموات والأرض وخلق أنفسها فلم تملك أن تحوي علم أنفسها في أنفسها</w:t>
      </w:r>
      <w:r w:rsidR="00DB731D" w:rsidRPr="00A52585">
        <w:rPr>
          <w:rFonts w:hint="cs"/>
          <w:rtl/>
        </w:rPr>
        <w:t>،</w:t>
      </w:r>
      <w:r w:rsidRPr="00A52585">
        <w:rPr>
          <w:rFonts w:hint="cs"/>
          <w:rtl/>
        </w:rPr>
        <w:t xml:space="preserve"> فكيف تدرك شيئاً من صفات موجدها من العدم وبارئها ومالكها</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{وَمِن كُلِّ شَيْءٍ خَلَقْنَا زَوْجَيْنِ} </w:t>
      </w:r>
      <w:r w:rsidR="0002035C" w:rsidRPr="00A52585">
        <w:rPr>
          <w:rFonts w:hint="cs"/>
          <w:rtl/>
        </w:rPr>
        <w:t>[</w:t>
      </w:r>
      <w:r w:rsidRPr="00A52585">
        <w:rPr>
          <w:rFonts w:hint="cs"/>
          <w:rtl/>
        </w:rPr>
        <w:t>الذاريات</w:t>
      </w:r>
      <w:r w:rsidR="0002035C" w:rsidRPr="00A52585">
        <w:rPr>
          <w:rFonts w:hint="cs"/>
          <w:rtl/>
        </w:rPr>
        <w:t>:</w:t>
      </w:r>
      <w:r w:rsidRPr="00A52585">
        <w:rPr>
          <w:rFonts w:hint="cs"/>
          <w:rtl/>
        </w:rPr>
        <w:t xml:space="preserve"> 49</w:t>
      </w:r>
      <w:r w:rsidR="0002035C" w:rsidRPr="00A52585">
        <w:rPr>
          <w:rFonts w:hint="cs"/>
          <w:rtl/>
        </w:rPr>
        <w:t>]</w:t>
      </w:r>
      <w:r w:rsidR="00DB731D" w:rsidRPr="00A52585">
        <w:rPr>
          <w:rFonts w:hint="cs"/>
          <w:rtl/>
        </w:rPr>
        <w:t>،</w:t>
      </w:r>
      <w:r w:rsidRPr="00A52585">
        <w:rPr>
          <w:rFonts w:hint="cs"/>
          <w:rtl/>
        </w:rPr>
        <w:t xml:space="preserve"> {الَّذِي خَلَقَ الأَزْوَاجَ كَلَّها} </w:t>
      </w:r>
      <w:r w:rsidR="0002035C" w:rsidRPr="00A52585">
        <w:rPr>
          <w:rFonts w:hint="cs"/>
          <w:rtl/>
        </w:rPr>
        <w:t>[</w:t>
      </w:r>
      <w:r w:rsidRPr="00A52585">
        <w:rPr>
          <w:rFonts w:hint="cs"/>
          <w:rtl/>
        </w:rPr>
        <w:t>يس</w:t>
      </w:r>
      <w:r w:rsidR="0002035C" w:rsidRPr="00A52585">
        <w:rPr>
          <w:rFonts w:hint="cs"/>
          <w:rtl/>
        </w:rPr>
        <w:t>:</w:t>
      </w:r>
      <w:r w:rsidRPr="00A52585">
        <w:rPr>
          <w:rFonts w:hint="cs"/>
          <w:rtl/>
        </w:rPr>
        <w:t xml:space="preserve"> 36</w:t>
      </w:r>
      <w:r w:rsidR="0002035C" w:rsidRPr="00A52585">
        <w:rPr>
          <w:rFonts w:hint="cs"/>
          <w:rtl/>
        </w:rPr>
        <w:t>]</w:t>
      </w:r>
      <w:r w:rsidR="00DB731D" w:rsidRPr="00A52585">
        <w:rPr>
          <w:rFonts w:hint="cs"/>
          <w:rtl/>
        </w:rPr>
        <w:t>،</w:t>
      </w:r>
      <w:r w:rsidRPr="00A52585">
        <w:rPr>
          <w:rFonts w:hint="cs"/>
          <w:rtl/>
        </w:rPr>
        <w:t xml:space="preserve"> وفي ذلك إشارة ظاهرة إلى عجزك عن إدراك كنه بعض المخلوقات على اختلاف ذواتها وصفاتها</w:t>
      </w:r>
      <w:r w:rsidR="00DB731D" w:rsidRPr="00A52585">
        <w:rPr>
          <w:rFonts w:hint="cs"/>
          <w:rtl/>
        </w:rPr>
        <w:t>،</w:t>
      </w:r>
      <w:r w:rsidRPr="00A52585">
        <w:rPr>
          <w:rFonts w:hint="cs"/>
          <w:rtl/>
        </w:rPr>
        <w:t xml:space="preserve"> وفي بعضها ما لا يخطر على قلب بشر</w:t>
      </w:r>
      <w:r w:rsidR="00DB731D" w:rsidRPr="00A52585">
        <w:rPr>
          <w:rFonts w:hint="cs"/>
          <w:rtl/>
        </w:rPr>
        <w:t>،</w:t>
      </w:r>
      <w:r w:rsidRPr="00A52585">
        <w:rPr>
          <w:rFonts w:hint="cs"/>
          <w:rtl/>
        </w:rPr>
        <w:t xml:space="preserve"> فكيف بالخالق الذي نزَّه نفسه بقوله تعالى</w:t>
      </w:r>
      <w:r w:rsidR="0002035C" w:rsidRPr="00A52585">
        <w:rPr>
          <w:rFonts w:hint="cs"/>
          <w:rtl/>
        </w:rPr>
        <w:t>:</w:t>
      </w:r>
      <w:r w:rsidRPr="00A52585">
        <w:rPr>
          <w:rFonts w:hint="cs"/>
          <w:rtl/>
        </w:rPr>
        <w:t xml:space="preserve"> {لَيْسَ كَمِثْلِهِ شَيْءٌ} </w:t>
      </w:r>
      <w:r w:rsidR="0002035C" w:rsidRPr="00A52585">
        <w:rPr>
          <w:rFonts w:hint="cs"/>
          <w:rtl/>
        </w:rPr>
        <w:t>[</w:t>
      </w:r>
      <w:r w:rsidRPr="00A52585">
        <w:rPr>
          <w:rFonts w:hint="cs"/>
          <w:rtl/>
        </w:rPr>
        <w:t>الشورى</w:t>
      </w:r>
      <w:r w:rsidR="0002035C" w:rsidRPr="00A52585">
        <w:rPr>
          <w:rFonts w:hint="cs"/>
          <w:rtl/>
        </w:rPr>
        <w:t>:</w:t>
      </w:r>
      <w:r w:rsidRPr="00A52585">
        <w:rPr>
          <w:rFonts w:hint="cs"/>
          <w:rtl/>
        </w:rPr>
        <w:t xml:space="preserve"> 11</w:t>
      </w:r>
      <w:r w:rsidR="0002035C" w:rsidRPr="00A52585">
        <w:rPr>
          <w:rFonts w:hint="cs"/>
          <w:rtl/>
        </w:rPr>
        <w:t>]</w:t>
      </w:r>
      <w:r w:rsidR="00DB731D" w:rsidRPr="00A52585">
        <w:rPr>
          <w:rFonts w:hint="cs"/>
          <w:rtl/>
        </w:rPr>
        <w:t>،</w:t>
      </w:r>
      <w:r w:rsidRPr="00A52585">
        <w:rPr>
          <w:rFonts w:hint="cs"/>
          <w:rtl/>
        </w:rPr>
        <w:t xml:space="preserve"> وهو سبحانه وتعالى مُبَاين لخلقه من كل وجه</w:t>
      </w:r>
      <w:r w:rsidR="00DB731D" w:rsidRPr="00A52585">
        <w:rPr>
          <w:rFonts w:hint="cs"/>
          <w:rtl/>
        </w:rPr>
        <w:t>،</w:t>
      </w:r>
      <w:r w:rsidRPr="00A52585">
        <w:rPr>
          <w:rFonts w:hint="cs"/>
          <w:rtl/>
        </w:rPr>
        <w:t xml:space="preserve"> لا يسعه غيره ولا يحجبه سواه</w:t>
      </w:r>
      <w:r w:rsidR="00DB731D" w:rsidRPr="00A52585">
        <w:rPr>
          <w:rFonts w:hint="cs"/>
          <w:rtl/>
        </w:rPr>
        <w:t>،</w:t>
      </w:r>
      <w:r w:rsidRPr="00A52585">
        <w:rPr>
          <w:rFonts w:hint="cs"/>
          <w:rtl/>
        </w:rPr>
        <w:t xml:space="preserve"> تقدس أن يدركه حادث أو يتخيله وَهْم أو يتصوره خيال</w:t>
      </w:r>
      <w:r w:rsidR="00DB731D" w:rsidRPr="00A52585">
        <w:rPr>
          <w:rFonts w:hint="cs"/>
          <w:rtl/>
        </w:rPr>
        <w:t>،</w:t>
      </w:r>
      <w:r w:rsidRPr="00A52585">
        <w:rPr>
          <w:rFonts w:hint="cs"/>
          <w:rtl/>
        </w:rPr>
        <w:t xml:space="preserve"> كل ذلك محال</w:t>
      </w:r>
      <w:r w:rsidR="00DB731D" w:rsidRPr="00A52585">
        <w:rPr>
          <w:rFonts w:hint="cs"/>
          <w:rtl/>
        </w:rPr>
        <w:t>،</w:t>
      </w:r>
      <w:r w:rsidRPr="00A52585">
        <w:rPr>
          <w:rFonts w:hint="cs"/>
          <w:rtl/>
        </w:rPr>
        <w:t xml:space="preserve"> فهو الملك القدوس المُنَزَّه في ذاته وصفاته عن مشابهة مخلوقاته</w:t>
      </w:r>
      <w:r w:rsidR="00DB731D" w:rsidRPr="00A52585">
        <w:rPr>
          <w:rFonts w:hint="cs"/>
          <w:rtl/>
        </w:rPr>
        <w:t>،</w:t>
      </w:r>
      <w:r w:rsidRPr="00A52585">
        <w:rPr>
          <w:rFonts w:hint="cs"/>
          <w:rtl/>
        </w:rPr>
        <w:t xml:space="preserve"> وأنت من مخلوقاته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w:t>
      </w:r>
      <w:r w:rsidRPr="00A52585">
        <w:rPr>
          <w:rFonts w:hint="cs"/>
          <w:bCs/>
          <w:sz w:val="24"/>
          <w:szCs w:val="24"/>
          <w:rtl/>
        </w:rPr>
        <w:t>يقول الإمام الألوسي</w:t>
      </w:r>
      <w:r w:rsidRPr="00A52585">
        <w:rPr>
          <w:rFonts w:hint="cs"/>
          <w:sz w:val="24"/>
          <w:szCs w:val="24"/>
          <w:rtl/>
        </w:rPr>
        <w:t xml:space="preserve"> في تفسير الآية الكريمة {وما قدروا الله حق قدره…</w:t>
      </w:r>
      <w:r w:rsidR="0002035C" w:rsidRPr="00A52585">
        <w:rPr>
          <w:rFonts w:hint="cs"/>
          <w:sz w:val="24"/>
          <w:szCs w:val="24"/>
          <w:rtl/>
        </w:rPr>
        <w:t>}</w:t>
      </w:r>
      <w:r w:rsidRPr="00A52585">
        <w:rPr>
          <w:rFonts w:hint="cs"/>
          <w:sz w:val="24"/>
          <w:szCs w:val="24"/>
          <w:rtl/>
        </w:rPr>
        <w:t xml:space="preserve"> الحج 74</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 xml:space="preserve">وبالجملة إن القول بأن حقيقة الواجب تعالى غير معلومة لأحد علما </w:t>
      </w:r>
      <w:proofErr w:type="spellStart"/>
      <w:r w:rsidRPr="00A52585">
        <w:rPr>
          <w:rFonts w:hint="cs"/>
          <w:sz w:val="24"/>
          <w:szCs w:val="24"/>
          <w:rtl/>
        </w:rPr>
        <w:t>إكتناهيا</w:t>
      </w:r>
      <w:proofErr w:type="spellEnd"/>
      <w:r w:rsidRPr="00A52585">
        <w:rPr>
          <w:rFonts w:hint="cs"/>
          <w:sz w:val="24"/>
          <w:szCs w:val="24"/>
          <w:rtl/>
        </w:rPr>
        <w:t xml:space="preserve"> </w:t>
      </w:r>
      <w:proofErr w:type="spellStart"/>
      <w:r w:rsidRPr="00A52585">
        <w:rPr>
          <w:rFonts w:hint="cs"/>
          <w:sz w:val="24"/>
          <w:szCs w:val="24"/>
          <w:rtl/>
        </w:rPr>
        <w:t>إحاطيا</w:t>
      </w:r>
      <w:proofErr w:type="spellEnd"/>
      <w:r w:rsidRPr="00A52585">
        <w:rPr>
          <w:rFonts w:hint="cs"/>
          <w:sz w:val="24"/>
          <w:szCs w:val="24"/>
          <w:rtl/>
        </w:rPr>
        <w:t xml:space="preserve"> عقليا أو حسيا مما لا شبهة عندي في صحته وإليه ذهب المحققون حتى أهل الوحدة، والقول بخلاف ذلك </w:t>
      </w:r>
      <w:proofErr w:type="spellStart"/>
      <w:r w:rsidRPr="00A52585">
        <w:rPr>
          <w:rFonts w:hint="cs"/>
          <w:sz w:val="24"/>
          <w:szCs w:val="24"/>
          <w:rtl/>
        </w:rPr>
        <w:t>المحكى</w:t>
      </w:r>
      <w:proofErr w:type="spellEnd"/>
      <w:r w:rsidRPr="00A52585">
        <w:rPr>
          <w:rFonts w:hint="cs"/>
          <w:sz w:val="24"/>
          <w:szCs w:val="24"/>
          <w:rtl/>
        </w:rPr>
        <w:t xml:space="preserve"> عن بعض المتكلمين لا ينبغي أن يلتفت إليه أصلا، ولا أدري هل تمكن معرفة الحقيقة أولا تمكن ولعل القول بعدم إمكانها أو فق بعظمته تعالى شأنه وجل عن إحاطة العقول سلطانه "</w:t>
      </w:r>
      <w:r w:rsidR="0002035C" w:rsidRPr="00A52585">
        <w:rPr>
          <w:rFonts w:hint="cs"/>
          <w:sz w:val="24"/>
          <w:szCs w:val="24"/>
          <w:rtl/>
        </w:rPr>
        <w:t xml:space="preserve"> </w:t>
      </w:r>
      <w:r w:rsidRPr="00A52585">
        <w:rPr>
          <w:rFonts w:hint="cs"/>
          <w:sz w:val="24"/>
          <w:szCs w:val="24"/>
          <w:rtl/>
        </w:rPr>
        <w:t>إلى أن قال</w:t>
      </w:r>
      <w:r w:rsidR="0002035C" w:rsidRPr="00A52585">
        <w:rPr>
          <w:rFonts w:hint="cs"/>
          <w:sz w:val="24"/>
          <w:szCs w:val="24"/>
          <w:rtl/>
        </w:rPr>
        <w:t>:</w:t>
      </w:r>
      <w:r w:rsidR="00897A24" w:rsidRPr="00A52585">
        <w:rPr>
          <w:rFonts w:hint="cs"/>
          <w:sz w:val="24"/>
          <w:szCs w:val="24"/>
          <w:rtl/>
        </w:rPr>
        <w:t>.</w:t>
      </w:r>
      <w:r w:rsidRPr="00A52585">
        <w:rPr>
          <w:rFonts w:hint="cs"/>
          <w:sz w:val="24"/>
          <w:szCs w:val="24"/>
          <w:rtl/>
        </w:rPr>
        <w:t>. هذا ومن الناس من قال</w:t>
      </w:r>
      <w:r w:rsidR="0002035C" w:rsidRPr="00A52585">
        <w:rPr>
          <w:rFonts w:hint="cs"/>
          <w:sz w:val="24"/>
          <w:szCs w:val="24"/>
          <w:rtl/>
        </w:rPr>
        <w:t>:</w:t>
      </w:r>
      <w:r w:rsidRPr="00A52585">
        <w:rPr>
          <w:rFonts w:hint="cs"/>
          <w:sz w:val="24"/>
          <w:szCs w:val="24"/>
          <w:rtl/>
        </w:rPr>
        <w:t xml:space="preserve"> لا مانع من أن يراد من (حق قدره) حق معرفته ويراد من حق معرفته المعرفة بالكنه وكونها غير حاصلة لأحد مؤمنا كان أو غيره لا يضر فيما نحن فيه لأن المراد إثبات عظمته تعالى المنافية لما عليه المشركون، وكونه سبحانه لا يعرف أحد كنه حقيقته يستدعي العظمة على أتم وجه "</w:t>
      </w:r>
      <w:r w:rsidR="0002035C" w:rsidRPr="00A52585">
        <w:rPr>
          <w:rFonts w:hint="cs"/>
          <w:sz w:val="24"/>
          <w:szCs w:val="24"/>
          <w:rtl/>
        </w:rPr>
        <w:t xml:space="preserve"> </w:t>
      </w:r>
      <w:r w:rsidRPr="00A52585">
        <w:rPr>
          <w:rFonts w:hint="cs"/>
          <w:sz w:val="24"/>
          <w:szCs w:val="24"/>
          <w:rtl/>
        </w:rPr>
        <w:t>أهـ. (روح المعاني) ج17</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u w:val="single"/>
          <w:rtl/>
        </w:rPr>
        <w:t>[</w:t>
      </w:r>
      <w:r w:rsidRPr="00A52585">
        <w:rPr>
          <w:rFonts w:hint="cs"/>
          <w:bCs/>
          <w:sz w:val="24"/>
          <w:szCs w:val="24"/>
          <w:u w:val="single"/>
          <w:rtl/>
        </w:rPr>
        <w:t>تنبيهات هامة</w:t>
      </w:r>
      <w:r w:rsidR="0002035C" w:rsidRPr="00A52585">
        <w:rPr>
          <w:rFonts w:hint="cs"/>
          <w:bCs/>
          <w:sz w:val="24"/>
          <w:szCs w:val="24"/>
          <w:u w:val="single"/>
          <w:rtl/>
        </w:rPr>
        <w:t>]</w:t>
      </w:r>
      <w:r w:rsidRPr="00A52585">
        <w:rPr>
          <w:rFonts w:hint="cs"/>
          <w:bCs/>
          <w:sz w:val="24"/>
          <w:szCs w:val="24"/>
          <w:u w:val="single"/>
          <w:rtl/>
        </w:rPr>
        <w:t>:</w:t>
      </w:r>
      <w:r w:rsidR="0002035C" w:rsidRPr="00A52585">
        <w:rPr>
          <w:rFonts w:hint="cs"/>
          <w:bCs/>
          <w:sz w:val="24"/>
          <w:szCs w:val="24"/>
          <w:u w:val="single"/>
          <w:rtl/>
        </w:rPr>
        <w:t xml:space="preserve"> </w:t>
      </w:r>
      <w:r w:rsidR="0002035C" w:rsidRPr="00A52585">
        <w:rPr>
          <w:rFonts w:hint="cs"/>
          <w:sz w:val="24"/>
          <w:szCs w:val="24"/>
          <w:rtl/>
        </w:rPr>
        <w:t>(</w:t>
      </w:r>
      <w:r w:rsidRPr="00A52585">
        <w:rPr>
          <w:rFonts w:hint="cs"/>
          <w:bCs/>
          <w:sz w:val="24"/>
          <w:szCs w:val="24"/>
          <w:rtl/>
        </w:rPr>
        <w:t>التنبيه الأول</w:t>
      </w:r>
      <w:r w:rsidR="0002035C" w:rsidRPr="00A52585">
        <w:rPr>
          <w:rFonts w:hint="cs"/>
          <w:bCs/>
          <w:sz w:val="24"/>
          <w:szCs w:val="24"/>
          <w:rtl/>
        </w:rPr>
        <w:t>):</w:t>
      </w:r>
      <w:r w:rsidRPr="00A52585">
        <w:rPr>
          <w:rFonts w:hint="cs"/>
          <w:sz w:val="24"/>
          <w:szCs w:val="24"/>
          <w:rtl/>
        </w:rPr>
        <w:t xml:space="preserve"> ذكر الإمام أبو حامد الغزالي أن عدم معرفة كنه الذات المقدسة أو كنه صفاتها لا ينافي الجزم بعدم اتصافها بالمستحيلات والنقائص التي دل عل استحالتها العقل</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bCs/>
          <w:sz w:val="24"/>
          <w:szCs w:val="24"/>
          <w:rtl/>
        </w:rPr>
        <w:t>التنبيه الثاني</w:t>
      </w:r>
      <w:r w:rsidR="0002035C" w:rsidRPr="00A52585">
        <w:rPr>
          <w:rFonts w:hint="cs"/>
          <w:bCs/>
          <w:sz w:val="24"/>
          <w:szCs w:val="24"/>
          <w:rtl/>
        </w:rPr>
        <w:t>):</w:t>
      </w:r>
      <w:r w:rsidRPr="00A52585">
        <w:rPr>
          <w:rFonts w:hint="cs"/>
          <w:sz w:val="24"/>
          <w:szCs w:val="24"/>
          <w:rtl/>
        </w:rPr>
        <w:t xml:space="preserve"> ذكر السبكي ومن قبله أبو حامد الغزالي أن إقرار المسلم بالصفات التي دل عليها الدليل العقلي مثل القدرة أو العلم أو الإرادة مثلا لا يعني إلا</w:t>
      </w:r>
      <w:r w:rsidR="0002035C" w:rsidRPr="00A52585">
        <w:rPr>
          <w:rFonts w:hint="cs"/>
          <w:sz w:val="24"/>
          <w:szCs w:val="24"/>
          <w:rtl/>
        </w:rPr>
        <w:t>:</w:t>
      </w:r>
      <w:r w:rsidRPr="00A52585">
        <w:rPr>
          <w:rFonts w:hint="cs"/>
          <w:sz w:val="24"/>
          <w:szCs w:val="24"/>
          <w:rtl/>
        </w:rPr>
        <w:t xml:space="preserve"> </w:t>
      </w:r>
      <w:r w:rsidRPr="00A52585">
        <w:rPr>
          <w:rFonts w:hint="cs"/>
          <w:bCs/>
          <w:sz w:val="24"/>
          <w:szCs w:val="24"/>
          <w:rtl/>
        </w:rPr>
        <w:t>الإيمان بذات مجهولة لنا لها صفة القدرة والتي معناها فعل ما توجهت له إرادة الذات، ولها صفة العلم والتي هي إدراك هذه الذات المقدسة لكل المعلومات ولا يخفي عليها منها شيء</w:t>
      </w:r>
      <w:r w:rsidRPr="00A52585">
        <w:rPr>
          <w:rFonts w:hint="cs"/>
          <w:sz w:val="24"/>
          <w:szCs w:val="24"/>
          <w:rtl/>
        </w:rPr>
        <w:t>… وهكذا</w:t>
      </w:r>
      <w:r w:rsidR="0002035C" w:rsidRPr="00A52585">
        <w:rPr>
          <w:rFonts w:hint="cs"/>
          <w:sz w:val="24"/>
          <w:szCs w:val="24"/>
          <w:rtl/>
        </w:rPr>
        <w:t xml:space="preserve"> </w:t>
      </w:r>
      <w:r w:rsidRPr="00A52585">
        <w:rPr>
          <w:rFonts w:hint="cs"/>
          <w:sz w:val="24"/>
          <w:szCs w:val="24"/>
          <w:rtl/>
        </w:rPr>
        <w:t xml:space="preserve">ويلاحظ أن منشأ الإقرار بهذه الصفات هو التأمل والنظر في صفات وأحوال الخلائق المدْرَكَة </w:t>
      </w:r>
      <w:r w:rsidRPr="00A52585">
        <w:rPr>
          <w:rFonts w:hint="cs"/>
          <w:sz w:val="24"/>
          <w:szCs w:val="24"/>
          <w:rtl/>
        </w:rPr>
        <w:lastRenderedPageBreak/>
        <w:t>للإنسان بأنواعها بحيث أدرك بعقله أن</w:t>
      </w:r>
      <w:r w:rsidR="0002035C" w:rsidRPr="00A52585">
        <w:rPr>
          <w:rFonts w:hint="cs"/>
          <w:sz w:val="24"/>
          <w:szCs w:val="24"/>
          <w:rtl/>
        </w:rPr>
        <w:t xml:space="preserve"> </w:t>
      </w:r>
      <w:r w:rsidRPr="00A52585">
        <w:rPr>
          <w:rFonts w:hint="cs"/>
          <w:sz w:val="24"/>
          <w:szCs w:val="24"/>
          <w:rtl/>
        </w:rPr>
        <w:t>ذاتا قديرة أوجدت هذه الأشياء وهي كذلك عليمه ومريدة مختارة فيما تفعل وهكذا إلى آخر الصفات الدالة على التعظيم ولم ينتج هذا الإيمان والإقرار أبدا عن تصور وإدراك أو إحاطة بحقيقة الذات المقدسة</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bCs/>
          <w:spacing w:val="-4"/>
          <w:sz w:val="24"/>
          <w:szCs w:val="24"/>
          <w:rtl/>
        </w:rPr>
        <w:t>التنبيه الثالث</w:t>
      </w:r>
      <w:r w:rsidR="0002035C" w:rsidRPr="00A52585">
        <w:rPr>
          <w:rFonts w:hint="cs"/>
          <w:bCs/>
          <w:spacing w:val="-4"/>
          <w:sz w:val="24"/>
          <w:szCs w:val="24"/>
          <w:rtl/>
        </w:rPr>
        <w:t>):</w:t>
      </w:r>
      <w:r w:rsidRPr="00A52585">
        <w:rPr>
          <w:rFonts w:hint="cs"/>
          <w:spacing w:val="-4"/>
          <w:sz w:val="24"/>
          <w:szCs w:val="24"/>
          <w:rtl/>
        </w:rPr>
        <w:t xml:space="preserve"> بدهي أن الألفاظ مثل يد وقــدم وساق ووجه وغيرها كما ذكر الإمام السبكي يسأل عنها أهل اللغة ما معناها عندهم هل هي صفات</w:t>
      </w:r>
      <w:r w:rsidR="00F95886" w:rsidRPr="00A52585">
        <w:rPr>
          <w:rFonts w:hint="cs"/>
          <w:spacing w:val="-4"/>
          <w:sz w:val="24"/>
          <w:szCs w:val="24"/>
          <w:rtl/>
        </w:rPr>
        <w:t>؟</w:t>
      </w:r>
      <w:r w:rsidRPr="00A52585">
        <w:rPr>
          <w:rFonts w:hint="cs"/>
          <w:spacing w:val="-4"/>
          <w:sz w:val="24"/>
          <w:szCs w:val="24"/>
          <w:rtl/>
        </w:rPr>
        <w:t xml:space="preserve"> أم جوارح وأعضاء لها كيفية ويمكن الإحاطة بها وتصورها</w:t>
      </w:r>
      <w:r w:rsidR="00F95886" w:rsidRPr="00A52585">
        <w:rPr>
          <w:rFonts w:hint="cs"/>
          <w:spacing w:val="-4"/>
          <w:sz w:val="24"/>
          <w:szCs w:val="24"/>
          <w:rtl/>
        </w:rPr>
        <w:t>؟</w:t>
      </w:r>
      <w:r w:rsidRPr="00A52585">
        <w:rPr>
          <w:rFonts w:hint="cs"/>
          <w:spacing w:val="-4"/>
          <w:sz w:val="24"/>
          <w:szCs w:val="24"/>
          <w:rtl/>
        </w:rPr>
        <w:t xml:space="preserve"> وإذا كانت جوارح وأعضاء فلم منع البشر من التفكر في الذات المقدسة إذن</w:t>
      </w:r>
      <w:r w:rsidR="00F95886" w:rsidRPr="00A52585">
        <w:rPr>
          <w:rFonts w:hint="cs"/>
          <w:spacing w:val="-4"/>
          <w:sz w:val="24"/>
          <w:szCs w:val="24"/>
          <w:rtl/>
        </w:rPr>
        <w:t>؟</w:t>
      </w:r>
      <w:r w:rsidRPr="00A52585">
        <w:rPr>
          <w:rFonts w:hint="cs"/>
          <w:spacing w:val="-4"/>
          <w:sz w:val="24"/>
          <w:szCs w:val="24"/>
          <w:rtl/>
        </w:rPr>
        <w:t xml:space="preserve"> </w:t>
      </w:r>
      <w:r w:rsidRPr="00A52585">
        <w:rPr>
          <w:rFonts w:hint="cs"/>
          <w:sz w:val="24"/>
          <w:szCs w:val="24"/>
          <w:rtl/>
        </w:rPr>
        <w:t>ومثل هذا التنبيه والذي قبله ينطبق على بقية الألفاظ مثل الضحك والغضب والنزول</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bCs/>
          <w:sz w:val="24"/>
          <w:szCs w:val="24"/>
          <w:rtl/>
        </w:rPr>
        <w:t>التنبيه الرابع</w:t>
      </w:r>
      <w:r w:rsidR="0002035C" w:rsidRPr="00A52585">
        <w:rPr>
          <w:rFonts w:hint="cs"/>
          <w:bCs/>
          <w:sz w:val="24"/>
          <w:szCs w:val="24"/>
          <w:rtl/>
        </w:rPr>
        <w:t>):</w:t>
      </w:r>
      <w:r w:rsidRPr="00A52585">
        <w:rPr>
          <w:rFonts w:hint="cs"/>
          <w:sz w:val="24"/>
          <w:szCs w:val="24"/>
          <w:rtl/>
        </w:rPr>
        <w:t xml:space="preserve"> إن قيل</w:t>
      </w:r>
      <w:r w:rsidR="0002035C" w:rsidRPr="00A52585">
        <w:rPr>
          <w:rFonts w:hint="cs"/>
          <w:sz w:val="24"/>
          <w:szCs w:val="24"/>
          <w:rtl/>
        </w:rPr>
        <w:t>:</w:t>
      </w:r>
      <w:r w:rsidRPr="00A52585">
        <w:rPr>
          <w:rFonts w:hint="cs"/>
          <w:sz w:val="24"/>
          <w:szCs w:val="24"/>
          <w:rtl/>
        </w:rPr>
        <w:t xml:space="preserve"> لماذا لا نثبت حقائق وظواهر الألفاظ مثل الاستواء والنزول واليد والساق</w:t>
      </w:r>
      <w:r w:rsidRPr="00A52585">
        <w:rPr>
          <w:sz w:val="24"/>
          <w:szCs w:val="24"/>
        </w:rPr>
        <w:t>…</w:t>
      </w:r>
      <w:r w:rsidRPr="00A52585">
        <w:rPr>
          <w:rFonts w:hint="cs"/>
          <w:sz w:val="24"/>
          <w:szCs w:val="24"/>
          <w:rtl/>
        </w:rPr>
        <w:t xml:space="preserve"> إلخ ولا نتكلم عن الكيفية لأنها فوق مستوى الإدراك البشري</w:t>
      </w:r>
      <w:r w:rsidR="00F95886" w:rsidRPr="00A52585">
        <w:rPr>
          <w:rFonts w:hint="cs"/>
          <w:sz w:val="24"/>
          <w:szCs w:val="24"/>
          <w:rtl/>
        </w:rPr>
        <w:t>؟</w:t>
      </w:r>
      <w:r w:rsidR="00DB731D" w:rsidRPr="00A52585">
        <w:rPr>
          <w:rFonts w:hint="cs"/>
          <w:sz w:val="24"/>
          <w:szCs w:val="24"/>
          <w:rtl/>
        </w:rPr>
        <w:t>،</w:t>
      </w:r>
      <w:r w:rsidRPr="00A52585">
        <w:rPr>
          <w:rFonts w:hint="cs"/>
          <w:sz w:val="24"/>
          <w:szCs w:val="24"/>
          <w:rtl/>
        </w:rPr>
        <w:t xml:space="preserve"> يجيب على ذلك شيخنا الدكتور إبراهيم عبد الرحمن فيقول</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sz w:val="24"/>
          <w:szCs w:val="24"/>
        </w:rPr>
        <w:t>…</w:t>
      </w:r>
      <w:r w:rsidRPr="00A52585">
        <w:rPr>
          <w:rFonts w:hint="cs"/>
          <w:sz w:val="24"/>
          <w:szCs w:val="24"/>
          <w:rtl/>
        </w:rPr>
        <w:t>القطع منا حاصل بأن جميع ما نثبته لربنا من حقائق صفاته بل أفعاله كذلك فضلا عن ذاته مما لا نعلم كيفيته. إنما الكلام في أن الحقائق التي لا نفهم من إطلاقها إلا ما هو محال غير لائق به سبحانه كيف صحت إرادتها في عقولكم</w:t>
      </w:r>
      <w:r w:rsidR="00F95886" w:rsidRPr="00A52585">
        <w:rPr>
          <w:rFonts w:hint="cs"/>
          <w:sz w:val="24"/>
          <w:szCs w:val="24"/>
          <w:rtl/>
        </w:rPr>
        <w:t>؟</w:t>
      </w:r>
      <w:r w:rsidRPr="00A52585">
        <w:rPr>
          <w:rFonts w:hint="cs"/>
          <w:sz w:val="24"/>
          <w:szCs w:val="24"/>
          <w:rtl/>
        </w:rPr>
        <w:t>! أي أن النزاع ليس بحال في أنها بعد صحة إرادتها كيف تكون إنما النزاع في أصل صحة تلك الإرادة، وشتان بين المقامين</w:t>
      </w:r>
      <w:r w:rsidR="0002035C" w:rsidRPr="00A52585">
        <w:rPr>
          <w:rFonts w:hint="cs"/>
          <w:sz w:val="24"/>
          <w:szCs w:val="24"/>
          <w:rtl/>
        </w:rPr>
        <w:t xml:space="preserve"> </w:t>
      </w:r>
      <w:r w:rsidRPr="00A52585">
        <w:rPr>
          <w:rFonts w:hint="cs"/>
          <w:sz w:val="24"/>
          <w:szCs w:val="24"/>
          <w:rtl/>
        </w:rPr>
        <w:t xml:space="preserve">" </w:t>
      </w:r>
      <w:proofErr w:type="spellStart"/>
      <w:proofErr w:type="gramStart"/>
      <w:r w:rsidRPr="00A52585">
        <w:rPr>
          <w:rFonts w:hint="cs"/>
          <w:sz w:val="24"/>
          <w:szCs w:val="24"/>
          <w:rtl/>
        </w:rPr>
        <w:t>أ.ه</w:t>
      </w:r>
      <w:proofErr w:type="spellEnd"/>
      <w:r w:rsidRPr="00A52585">
        <w:rPr>
          <w:rFonts w:hint="cs"/>
          <w:sz w:val="24"/>
          <w:szCs w:val="24"/>
          <w:rtl/>
        </w:rPr>
        <w:t>ـ</w:t>
      </w:r>
      <w:proofErr w:type="gramEnd"/>
      <w:r w:rsidRPr="00A52585">
        <w:rPr>
          <w:rFonts w:hint="cs"/>
          <w:sz w:val="24"/>
          <w:szCs w:val="24"/>
          <w:rtl/>
        </w:rPr>
        <w:t xml:space="preserve"> (المحكم والمتشابه) ص 623- 624</w:t>
      </w:r>
      <w:r w:rsidR="00DB731D" w:rsidRPr="00A52585">
        <w:rPr>
          <w:rFonts w:hint="cs"/>
          <w:sz w:val="24"/>
          <w:szCs w:val="24"/>
          <w:rtl/>
        </w:rPr>
        <w:t>،</w:t>
      </w:r>
      <w:r w:rsidRPr="00A52585">
        <w:rPr>
          <w:rFonts w:hint="cs"/>
          <w:sz w:val="24"/>
          <w:szCs w:val="24"/>
          <w:rtl/>
        </w:rPr>
        <w:t xml:space="preserve"> أي أن السؤال يجب أن يكون</w:t>
      </w:r>
      <w:r w:rsidR="0002035C" w:rsidRPr="00A52585">
        <w:rPr>
          <w:rFonts w:hint="cs"/>
          <w:sz w:val="24"/>
          <w:szCs w:val="24"/>
          <w:rtl/>
        </w:rPr>
        <w:t>:</w:t>
      </w:r>
      <w:r w:rsidRPr="00A52585">
        <w:rPr>
          <w:rFonts w:hint="cs"/>
          <w:sz w:val="24"/>
          <w:szCs w:val="24"/>
          <w:rtl/>
        </w:rPr>
        <w:t xml:space="preserve"> هل أراد الله سبحانه بهذه الألفاظ حقائقها وظواهرها التي نعلمها من اللغة ونتصورها ويجزم العقل باستحالة اتصافه سبحانه بها</w:t>
      </w:r>
      <w:r w:rsidR="00F95886" w:rsidRPr="00A52585">
        <w:rPr>
          <w:rFonts w:hint="cs"/>
          <w:sz w:val="24"/>
          <w:szCs w:val="24"/>
          <w:rtl/>
        </w:rPr>
        <w:t>؟</w:t>
      </w:r>
      <w:r w:rsidRPr="00A52585">
        <w:rPr>
          <w:rFonts w:hint="cs"/>
          <w:sz w:val="24"/>
          <w:szCs w:val="24"/>
          <w:rtl/>
        </w:rPr>
        <w:t xml:space="preserve"> أم أراد بها معان مجازية تتفق مع كماله سبحانه وعظمته، وهذه المعاني تتسع لها اللغة ولها قرائن في مقدمتها قرينة التعظيم المطلق والتنزيه الكامل التام لله سبحانه وتعالى عن أي نقص</w:t>
      </w:r>
      <w:r w:rsidR="00F95886"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bCs/>
          <w:sz w:val="24"/>
          <w:szCs w:val="24"/>
          <w:rtl/>
        </w:rPr>
        <w:t>التنبيه الخامس</w:t>
      </w:r>
      <w:r w:rsidR="0002035C" w:rsidRPr="00A52585">
        <w:rPr>
          <w:rFonts w:hint="cs"/>
          <w:bCs/>
          <w:sz w:val="24"/>
          <w:szCs w:val="24"/>
          <w:rtl/>
        </w:rPr>
        <w:t>):</w:t>
      </w:r>
      <w:r w:rsidRPr="00A52585">
        <w:rPr>
          <w:rFonts w:hint="cs"/>
          <w:sz w:val="24"/>
          <w:szCs w:val="24"/>
          <w:rtl/>
        </w:rPr>
        <w:t xml:space="preserve"> إن قيل</w:t>
      </w:r>
      <w:r w:rsidR="0002035C" w:rsidRPr="00A52585">
        <w:rPr>
          <w:rFonts w:hint="cs"/>
          <w:sz w:val="24"/>
          <w:szCs w:val="24"/>
          <w:rtl/>
        </w:rPr>
        <w:t>:</w:t>
      </w:r>
      <w:r w:rsidRPr="00A52585">
        <w:rPr>
          <w:rFonts w:hint="cs"/>
          <w:sz w:val="24"/>
          <w:szCs w:val="24"/>
          <w:rtl/>
        </w:rPr>
        <w:t xml:space="preserve"> لماذا لا تكون ظواهر الألفاظ أو الكيفية المشار إليها في التنبيه السابق ليس لها علاقة مطلقا بالكيفية أو الظواهر المعروفة والمتصورة لدينا وبالتالي لا تلحق نقصا وليست مستحيلة</w:t>
      </w:r>
      <w:r w:rsidR="00F95886" w:rsidRPr="00A52585">
        <w:rPr>
          <w:rFonts w:hint="cs"/>
          <w:sz w:val="24"/>
          <w:szCs w:val="24"/>
          <w:rtl/>
        </w:rPr>
        <w:t>؟</w:t>
      </w:r>
      <w:r w:rsidRPr="00A52585">
        <w:rPr>
          <w:rFonts w:hint="cs"/>
          <w:sz w:val="24"/>
          <w:szCs w:val="24"/>
          <w:rtl/>
        </w:rPr>
        <w:t xml:space="preserve"> نقول</w:t>
      </w:r>
      <w:r w:rsidR="0002035C" w:rsidRPr="00A52585">
        <w:rPr>
          <w:rFonts w:hint="cs"/>
          <w:sz w:val="24"/>
          <w:szCs w:val="24"/>
          <w:rtl/>
        </w:rPr>
        <w:t>:</w:t>
      </w:r>
      <w:r w:rsidRPr="00A52585">
        <w:rPr>
          <w:rFonts w:hint="cs"/>
          <w:sz w:val="24"/>
          <w:szCs w:val="24"/>
          <w:rtl/>
        </w:rPr>
        <w:t xml:space="preserve"> أولا</w:t>
      </w:r>
      <w:r w:rsidR="0002035C" w:rsidRPr="00A52585">
        <w:rPr>
          <w:rFonts w:hint="cs"/>
          <w:sz w:val="24"/>
          <w:szCs w:val="24"/>
          <w:rtl/>
        </w:rPr>
        <w:t>:</w:t>
      </w:r>
      <w:r w:rsidRPr="00A52585">
        <w:rPr>
          <w:rFonts w:hint="cs"/>
          <w:sz w:val="24"/>
          <w:szCs w:val="24"/>
          <w:rtl/>
        </w:rPr>
        <w:t xml:space="preserve"> لا يخاطبنا الله سبحانه بالمهمل ولا بما ليس له معنى لدينا، وقد اعترف ابن تيمية نفسه بذلك</w:t>
      </w:r>
      <w:r w:rsidR="00DB731D" w:rsidRPr="00A52585">
        <w:rPr>
          <w:rFonts w:hint="cs"/>
          <w:sz w:val="24"/>
          <w:szCs w:val="24"/>
          <w:rtl/>
        </w:rPr>
        <w:t>،</w:t>
      </w:r>
      <w:r w:rsidRPr="00A52585">
        <w:rPr>
          <w:rFonts w:hint="cs"/>
          <w:sz w:val="24"/>
          <w:szCs w:val="24"/>
          <w:rtl/>
        </w:rPr>
        <w:t xml:space="preserve"> ثانياً</w:t>
      </w:r>
      <w:r w:rsidR="0002035C" w:rsidRPr="00A52585">
        <w:rPr>
          <w:rFonts w:hint="cs"/>
          <w:sz w:val="24"/>
          <w:szCs w:val="24"/>
          <w:rtl/>
        </w:rPr>
        <w:t>:</w:t>
      </w:r>
      <w:r w:rsidRPr="00A52585">
        <w:rPr>
          <w:rFonts w:hint="cs"/>
          <w:sz w:val="24"/>
          <w:szCs w:val="24"/>
          <w:rtl/>
        </w:rPr>
        <w:t xml:space="preserve"> يرد ابن تيمية نفسه على هذا السؤال فيقول</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sz w:val="24"/>
          <w:szCs w:val="24"/>
        </w:rPr>
        <w:t>…</w:t>
      </w:r>
      <w:r w:rsidRPr="00A52585">
        <w:rPr>
          <w:rFonts w:hint="cs"/>
          <w:sz w:val="24"/>
          <w:szCs w:val="24"/>
          <w:rtl/>
        </w:rPr>
        <w:t xml:space="preserve"> كل ما تثبته من الأسماء والصفات فلابد أن يدل على قدر تتواطأ فيه المسميات، ولولا ذلك لما فهم الخطاب. ولكنا نعلم أن ما اختص الله به وامتاز عن خلقه أعظم مما يخطر بالبال </w:t>
      </w:r>
      <w:r w:rsidRPr="00A52585">
        <w:rPr>
          <w:sz w:val="24"/>
          <w:szCs w:val="24"/>
        </w:rPr>
        <w:t>…</w:t>
      </w:r>
      <w:r w:rsidR="0002035C" w:rsidRPr="00A52585">
        <w:rPr>
          <w:rFonts w:hint="cs"/>
          <w:sz w:val="24"/>
          <w:szCs w:val="24"/>
          <w:rtl/>
        </w:rPr>
        <w:t xml:space="preserve"> </w:t>
      </w:r>
      <w:r w:rsidRPr="00A52585">
        <w:rPr>
          <w:rFonts w:hint="cs"/>
          <w:sz w:val="24"/>
          <w:szCs w:val="24"/>
          <w:rtl/>
        </w:rPr>
        <w:t xml:space="preserve">" </w:t>
      </w:r>
      <w:proofErr w:type="spellStart"/>
      <w:proofErr w:type="gramStart"/>
      <w:r w:rsidRPr="00A52585">
        <w:rPr>
          <w:rFonts w:hint="cs"/>
          <w:sz w:val="24"/>
          <w:szCs w:val="24"/>
          <w:rtl/>
        </w:rPr>
        <w:t>أ.ه</w:t>
      </w:r>
      <w:proofErr w:type="spellEnd"/>
      <w:r w:rsidRPr="00A52585">
        <w:rPr>
          <w:rFonts w:hint="cs"/>
          <w:sz w:val="24"/>
          <w:szCs w:val="24"/>
          <w:rtl/>
        </w:rPr>
        <w:t>ـ</w:t>
      </w:r>
      <w:proofErr w:type="gramEnd"/>
      <w:r w:rsidRPr="00A52585">
        <w:rPr>
          <w:rFonts w:hint="cs"/>
          <w:sz w:val="24"/>
          <w:szCs w:val="24"/>
          <w:rtl/>
        </w:rPr>
        <w:t xml:space="preserve"> من التدمرية</w:t>
      </w:r>
      <w:r w:rsidR="00DB731D" w:rsidRPr="00A52585">
        <w:rPr>
          <w:rFonts w:hint="cs"/>
          <w:sz w:val="24"/>
          <w:szCs w:val="24"/>
          <w:rtl/>
        </w:rPr>
        <w:t>،</w:t>
      </w:r>
      <w:r w:rsidRPr="00A52585">
        <w:rPr>
          <w:rFonts w:hint="cs"/>
          <w:sz w:val="24"/>
          <w:szCs w:val="24"/>
          <w:rtl/>
        </w:rPr>
        <w:t xml:space="preserve"> ثالثا</w:t>
      </w:r>
      <w:r w:rsidR="0002035C" w:rsidRPr="00A52585">
        <w:rPr>
          <w:rFonts w:hint="cs"/>
          <w:sz w:val="24"/>
          <w:szCs w:val="24"/>
          <w:rtl/>
        </w:rPr>
        <w:t>:</w:t>
      </w:r>
      <w:r w:rsidRPr="00A52585">
        <w:rPr>
          <w:rFonts w:hint="cs"/>
          <w:sz w:val="24"/>
          <w:szCs w:val="24"/>
          <w:rtl/>
        </w:rPr>
        <w:t xml:space="preserve"> يقول ابن تيمية في الرسالة التدمرية</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والكبد والطحال ونحو ذلك هي أعضاء الأكل والشرب فالغنى المنزه عن ذلك منزه عن آلات ذلك بخلاف اليد فإنها للعمل والفعل وهو سبحانه موصوف بالعمل والفعل</w:t>
      </w:r>
      <w:r w:rsidRPr="00A52585">
        <w:rPr>
          <w:sz w:val="24"/>
          <w:szCs w:val="24"/>
        </w:rPr>
        <w:t>…</w:t>
      </w:r>
      <w:r w:rsidR="0002035C" w:rsidRPr="00A52585">
        <w:rPr>
          <w:rFonts w:hint="cs"/>
          <w:sz w:val="24"/>
          <w:szCs w:val="24"/>
          <w:rtl/>
        </w:rPr>
        <w:t xml:space="preserve"> </w:t>
      </w:r>
      <w:r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w:t>
      </w:r>
      <w:r w:rsidR="00DB731D" w:rsidRPr="00A52585">
        <w:rPr>
          <w:rFonts w:hint="cs"/>
          <w:sz w:val="24"/>
          <w:szCs w:val="24"/>
          <w:rtl/>
        </w:rPr>
        <w:t>،</w:t>
      </w:r>
      <w:r w:rsidRPr="00A52585">
        <w:rPr>
          <w:rFonts w:hint="cs"/>
          <w:sz w:val="24"/>
          <w:szCs w:val="24"/>
          <w:rtl/>
        </w:rPr>
        <w:t xml:space="preserve"> </w:t>
      </w:r>
      <w:r w:rsidRPr="00A52585">
        <w:rPr>
          <w:rFonts w:hint="cs"/>
          <w:spacing w:val="-4"/>
          <w:sz w:val="24"/>
          <w:szCs w:val="24"/>
          <w:rtl/>
        </w:rPr>
        <w:t xml:space="preserve">فهو هنا يعترف صراحة أنها أعضاء وآلات ومثل ذلك ما يصرح به تلميذه ابن القيم في القصيدة </w:t>
      </w:r>
      <w:r w:rsidRPr="00A52585">
        <w:rPr>
          <w:rFonts w:hint="cs"/>
          <w:sz w:val="24"/>
          <w:szCs w:val="24"/>
          <w:rtl/>
        </w:rPr>
        <w:t>النونية بأن لله عينا يبصر بها فهل هذه العين شيء غير العضو المعروف</w:t>
      </w:r>
      <w:r w:rsidR="00F95886" w:rsidRPr="00A52585">
        <w:rPr>
          <w:rFonts w:hint="cs"/>
          <w:sz w:val="24"/>
          <w:szCs w:val="24"/>
          <w:rtl/>
        </w:rPr>
        <w:t>؟</w:t>
      </w:r>
      <w:r w:rsidRPr="00A52585">
        <w:rPr>
          <w:rFonts w:hint="cs"/>
          <w:sz w:val="24"/>
          <w:szCs w:val="24"/>
          <w:rtl/>
        </w:rPr>
        <w:t xml:space="preserve"> تعالى الله عما يقولون</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ومن ذلك يتضح أن الكيفية المشار إليها ليست إلا حيلة يخدعون بها العوام، وأن تعظيم ابن تيمية وأتباعه لله سبحانه تعظيم جزئي وتنزيهه له تنزيه ناقص</w:t>
      </w:r>
      <w:r w:rsidR="00DB731D" w:rsidRPr="00A52585">
        <w:rPr>
          <w:rFonts w:hint="cs"/>
          <w:bCs/>
          <w:sz w:val="24"/>
          <w:szCs w:val="24"/>
          <w:rtl/>
        </w:rPr>
        <w:t>،</w:t>
      </w:r>
      <w:r w:rsidRPr="00A52585">
        <w:rPr>
          <w:rFonts w:hint="cs"/>
          <w:bCs/>
          <w:sz w:val="24"/>
          <w:szCs w:val="24"/>
          <w:rtl/>
        </w:rPr>
        <w:t xml:space="preserve"> </w:t>
      </w:r>
      <w:r w:rsidR="0002035C" w:rsidRPr="00A52585">
        <w:rPr>
          <w:rFonts w:hint="cs"/>
          <w:bCs/>
          <w:sz w:val="24"/>
          <w:szCs w:val="24"/>
          <w:rtl/>
        </w:rPr>
        <w:t>(</w:t>
      </w:r>
      <w:r w:rsidRPr="00A52585">
        <w:rPr>
          <w:rFonts w:hint="cs"/>
          <w:bCs/>
          <w:sz w:val="24"/>
          <w:szCs w:val="24"/>
          <w:rtl/>
        </w:rPr>
        <w:t>التنبيه السادس</w:t>
      </w:r>
      <w:r w:rsidR="0002035C" w:rsidRPr="00A52585">
        <w:rPr>
          <w:rFonts w:hint="cs"/>
          <w:bCs/>
          <w:sz w:val="24"/>
          <w:szCs w:val="24"/>
          <w:rtl/>
        </w:rPr>
        <w:t>):</w:t>
      </w:r>
      <w:r w:rsidRPr="00A52585">
        <w:rPr>
          <w:rFonts w:hint="cs"/>
          <w:sz w:val="24"/>
          <w:szCs w:val="24"/>
          <w:rtl/>
        </w:rPr>
        <w:t xml:space="preserve"> يقول الإمام سلامة </w:t>
      </w:r>
      <w:proofErr w:type="spellStart"/>
      <w:r w:rsidRPr="00A52585">
        <w:rPr>
          <w:rFonts w:hint="cs"/>
          <w:sz w:val="24"/>
          <w:szCs w:val="24"/>
          <w:rtl/>
        </w:rPr>
        <w:t>العزامي</w:t>
      </w:r>
      <w:proofErr w:type="spellEnd"/>
      <w:r w:rsidRPr="00A52585">
        <w:rPr>
          <w:rFonts w:hint="cs"/>
          <w:sz w:val="24"/>
          <w:szCs w:val="24"/>
          <w:rtl/>
        </w:rPr>
        <w:t xml:space="preserve"> في (فرقان القرآن)</w:t>
      </w:r>
      <w:r w:rsidR="0002035C" w:rsidRPr="00A52585">
        <w:rPr>
          <w:rFonts w:hint="cs"/>
          <w:sz w:val="24"/>
          <w:szCs w:val="24"/>
          <w:rtl/>
        </w:rPr>
        <w:t>:</w:t>
      </w:r>
      <w:r w:rsidRPr="00A52585">
        <w:rPr>
          <w:rFonts w:hint="cs"/>
          <w:sz w:val="24"/>
          <w:szCs w:val="24"/>
          <w:rtl/>
        </w:rPr>
        <w:t xml:space="preserve"> إذا سمعت في عبارات بعض السلف إنما نؤمن بأن له وجها لا كالوجوه </w:t>
      </w:r>
      <w:proofErr w:type="spellStart"/>
      <w:r w:rsidRPr="00A52585">
        <w:rPr>
          <w:rFonts w:hint="cs"/>
          <w:sz w:val="24"/>
          <w:szCs w:val="24"/>
          <w:rtl/>
        </w:rPr>
        <w:t>ويدأً</w:t>
      </w:r>
      <w:proofErr w:type="spellEnd"/>
      <w:r w:rsidRPr="00A52585">
        <w:rPr>
          <w:rFonts w:hint="cs"/>
          <w:sz w:val="24"/>
          <w:szCs w:val="24"/>
          <w:rtl/>
        </w:rPr>
        <w:t xml:space="preserve"> لا كالأيدي فلا تظن أنهم أرادوا أن ذاته العلية منقسمة إلى أجزاء وأبعاض. فجزء منها يد وجزء منها وجه غير أنه لا يشابه الأيدي والوجوه التي للخلق حاشاهم من ذلك، وما هذا إلا التشبيه بعينه، وإنما أرادوا بذلك أن لفظ الوجه واليد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w:t>
      </w:r>
      <w:proofErr w:type="spellStart"/>
      <w:r w:rsidRPr="00A52585">
        <w:rPr>
          <w:rFonts w:hint="cs"/>
          <w:sz w:val="24"/>
          <w:szCs w:val="24"/>
          <w:rtl/>
        </w:rPr>
        <w:t>والمشبة</w:t>
      </w:r>
      <w:proofErr w:type="spellEnd"/>
      <w:r w:rsidRPr="00A52585">
        <w:rPr>
          <w:rFonts w:hint="cs"/>
          <w:sz w:val="24"/>
          <w:szCs w:val="24"/>
          <w:rtl/>
        </w:rPr>
        <w:t xml:space="preserve"> مثل هذه العبارة فغرروا بها العوام، وخدعوا بها الأغمار من الناس، وحملوها على الأجزاء فوقعوا في حقيقة التجسيم والتشبيه، وتبرأوا من اسمه، وليس يخفي نقدهم المزيف على صيارفة العلماء، وجهابذة الحكماء، </w:t>
      </w:r>
      <w:r w:rsidRPr="00A52585">
        <w:rPr>
          <w:rFonts w:hint="cs"/>
          <w:sz w:val="24"/>
          <w:szCs w:val="24"/>
          <w:rtl/>
        </w:rPr>
        <w:lastRenderedPageBreak/>
        <w:t>ويدلك على إرادة السلف ما قلنا ما نقله الذهبي نفسه في كتابه الذي سماه (العلو) عن الإمام مالك وشيخه ربيعة ونظرائهما أنهم قالوا حين سئلوا عن قوله تعالى</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الرحمن على العرش استوى</w:t>
      </w:r>
      <w:r w:rsidR="0002035C" w:rsidRPr="00A52585">
        <w:rPr>
          <w:rFonts w:hint="cs"/>
          <w:sz w:val="24"/>
          <w:szCs w:val="24"/>
          <w:rtl/>
        </w:rPr>
        <w:t>}</w:t>
      </w:r>
      <w:r w:rsidRPr="00A52585">
        <w:rPr>
          <w:rFonts w:hint="cs"/>
          <w:sz w:val="24"/>
          <w:szCs w:val="24"/>
          <w:rtl/>
        </w:rPr>
        <w:t xml:space="preserve"> كيف استوى</w:t>
      </w:r>
      <w:r w:rsidR="00F95886" w:rsidRPr="00A52585">
        <w:rPr>
          <w:rFonts w:hint="cs"/>
          <w:sz w:val="24"/>
          <w:szCs w:val="24"/>
          <w:rtl/>
        </w:rPr>
        <w:t>؟</w:t>
      </w:r>
      <w:r w:rsidRPr="00A52585">
        <w:rPr>
          <w:rFonts w:hint="cs"/>
          <w:sz w:val="24"/>
          <w:szCs w:val="24"/>
          <w:rtl/>
        </w:rPr>
        <w:t xml:space="preserve"> </w:t>
      </w:r>
      <w:r w:rsidRPr="00A52585">
        <w:rPr>
          <w:rFonts w:hint="cs"/>
          <w:bCs/>
          <w:sz w:val="24"/>
          <w:szCs w:val="24"/>
          <w:rtl/>
        </w:rPr>
        <w:t>والكيف غير معقول</w:t>
      </w:r>
      <w:r w:rsidRPr="00A52585">
        <w:rPr>
          <w:rFonts w:hint="cs"/>
          <w:sz w:val="24"/>
          <w:szCs w:val="24"/>
          <w:rtl/>
        </w:rPr>
        <w:t xml:space="preserve"> وكذلك نقل الذهبي بالسند في هذا الكتاب عن أبي عبد الله الحاكم وأبي زرعة اتفاق جميع فقهاء الأمصار من أهل تلك الأمصار أنهم يؤمنون بهذه الصفات من غير كيف. فانظر كيف نفوا الكيف مجمعين وهو صريح في أنها ليست أجزاء ولا جسمانية فإن الاستواء الجسماني والوجه الجسماني وما إليه لابد لها من الكيف قطعاً، إذ هو لازم من لوازم ذاتها لذاتها، ونفي لازم الماهية لذاتها يستلزم نفيها عند جميع المنصفين من العقلاء الذين لم يصابوا بالأهواء وانظر كيف سموها صفات ولم يسموها أبعاضا وأجزاء</w:t>
      </w:r>
      <w:r w:rsidR="00DB731D" w:rsidRPr="00A52585">
        <w:rPr>
          <w:rFonts w:hint="cs"/>
          <w:sz w:val="24"/>
          <w:szCs w:val="24"/>
          <w:rtl/>
        </w:rPr>
        <w:t>،</w:t>
      </w:r>
      <w:r w:rsidRPr="00A52585">
        <w:rPr>
          <w:rFonts w:hint="cs"/>
          <w:sz w:val="24"/>
          <w:szCs w:val="24"/>
          <w:rtl/>
        </w:rPr>
        <w:t xml:space="preserve"> والخلاصة أنه يندفع عنك أيها الطالب لمعرفة مذهب السلف الصالح الوهم بأمرين</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أ-] إجماعهم على نفي الكيف، بل تصريحهم بأن الكيف غير معقول</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ب-] والتسمية لها بالصفات</w:t>
      </w:r>
      <w:r w:rsidR="0002035C" w:rsidRPr="00A52585">
        <w:rPr>
          <w:rFonts w:hint="cs"/>
          <w:sz w:val="24"/>
          <w:szCs w:val="24"/>
          <w:rtl/>
        </w:rPr>
        <w:t xml:space="preserve"> </w:t>
      </w:r>
      <w:r w:rsidRPr="00A52585">
        <w:rPr>
          <w:rFonts w:hint="cs"/>
          <w:sz w:val="24"/>
          <w:szCs w:val="24"/>
          <w:rtl/>
        </w:rPr>
        <w:t>أ. هـ ص 108- 109]</w:t>
      </w:r>
      <w:r w:rsidR="00DB731D" w:rsidRPr="00A52585">
        <w:rPr>
          <w:rFonts w:hint="cs"/>
          <w:sz w:val="24"/>
          <w:szCs w:val="24"/>
          <w:rtl/>
        </w:rPr>
        <w:t>،</w:t>
      </w:r>
      <w:r w:rsidRPr="00A52585">
        <w:rPr>
          <w:rFonts w:hint="cs"/>
          <w:rtl/>
        </w:rPr>
        <w:t xml:space="preserve"> </w:t>
      </w:r>
    </w:p>
    <w:p w14:paraId="4F7295EC" w14:textId="0C3183F2" w:rsidR="00777DCB" w:rsidRPr="00A52585" w:rsidRDefault="0002035C" w:rsidP="0002035C">
      <w:pPr>
        <w:widowControl w:val="0"/>
        <w:rPr>
          <w:b/>
          <w:bCs/>
          <w:rtl/>
        </w:rPr>
      </w:pPr>
      <w:r w:rsidRPr="00A52585">
        <w:rPr>
          <w:rFonts w:hint="cs"/>
          <w:bCs/>
          <w:rtl/>
        </w:rPr>
        <w:t>[</w:t>
      </w:r>
      <w:r w:rsidR="00777DCB" w:rsidRPr="00A52585">
        <w:rPr>
          <w:rFonts w:hint="cs"/>
          <w:bCs/>
          <w:rtl/>
        </w:rPr>
        <w:t>في التعظيم والتنزيه</w:t>
      </w:r>
      <w:r w:rsidRPr="00A52585">
        <w:rPr>
          <w:rFonts w:hint="cs"/>
          <w:bCs/>
          <w:rtl/>
        </w:rPr>
        <w:t>]:</w:t>
      </w:r>
      <w:r w:rsidR="00777DCB" w:rsidRPr="00A52585">
        <w:rPr>
          <w:rFonts w:hint="cs"/>
          <w:bCs/>
          <w:rtl/>
        </w:rPr>
        <w:t xml:space="preserve"> </w:t>
      </w:r>
      <w:r w:rsidR="00777DCB" w:rsidRPr="00A52585">
        <w:rPr>
          <w:rFonts w:hint="cs"/>
          <w:rtl/>
        </w:rPr>
        <w:t>رَكَّبَك على مِنْوَال عجيب</w:t>
      </w:r>
      <w:r w:rsidR="00DB731D" w:rsidRPr="00A52585">
        <w:rPr>
          <w:rFonts w:hint="cs"/>
          <w:rtl/>
        </w:rPr>
        <w:t>،</w:t>
      </w:r>
      <w:r w:rsidR="00777DCB" w:rsidRPr="00A52585">
        <w:rPr>
          <w:rFonts w:hint="cs"/>
          <w:rtl/>
        </w:rPr>
        <w:t xml:space="preserve"> </w:t>
      </w:r>
      <w:r w:rsidR="00777DCB" w:rsidRPr="00A52585">
        <w:rPr>
          <w:rFonts w:hint="cs"/>
          <w:spacing w:val="-20"/>
          <w:rtl/>
        </w:rPr>
        <w:t>وجعلك في أحسن صورة وأعجب</w:t>
      </w:r>
      <w:r w:rsidR="00777DCB" w:rsidRPr="00A52585">
        <w:rPr>
          <w:rFonts w:hint="cs"/>
          <w:rtl/>
        </w:rPr>
        <w:t xml:space="preserve"> تركيب</w:t>
      </w:r>
      <w:r w:rsidR="00DB731D" w:rsidRPr="00A52585">
        <w:rPr>
          <w:rFonts w:hint="cs"/>
          <w:rtl/>
        </w:rPr>
        <w:t>،</w:t>
      </w:r>
      <w:r w:rsidR="00777DCB" w:rsidRPr="00A52585">
        <w:rPr>
          <w:rFonts w:hint="cs"/>
          <w:rtl/>
        </w:rPr>
        <w:t xml:space="preserve"> مع تنقل تارات من ماء مهين فقال عز وجل من قائل</w:t>
      </w:r>
      <w:r w:rsidRPr="00A52585">
        <w:rPr>
          <w:rFonts w:hint="cs"/>
          <w:rtl/>
        </w:rPr>
        <w:t>:</w:t>
      </w:r>
      <w:r w:rsidR="00777DCB" w:rsidRPr="00A52585">
        <w:rPr>
          <w:rFonts w:hint="cs"/>
          <w:rtl/>
        </w:rPr>
        <w:t xml:space="preserve">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المؤمنون</w:t>
      </w:r>
      <w:r w:rsidRPr="00A52585">
        <w:rPr>
          <w:rFonts w:hint="cs"/>
          <w:rtl/>
        </w:rPr>
        <w:t>:</w:t>
      </w:r>
      <w:r w:rsidR="00777DCB" w:rsidRPr="00A52585">
        <w:rPr>
          <w:rFonts w:hint="cs"/>
          <w:rtl/>
        </w:rPr>
        <w:t xml:space="preserve"> 12 إلى 14</w:t>
      </w:r>
      <w:r w:rsidRPr="00A52585">
        <w:rPr>
          <w:rFonts w:hint="cs"/>
          <w:rtl/>
        </w:rPr>
        <w:t>]</w:t>
      </w:r>
      <w:r w:rsidR="00DB731D" w:rsidRPr="00A52585">
        <w:rPr>
          <w:rFonts w:hint="cs"/>
          <w:rtl/>
        </w:rPr>
        <w:t>،</w:t>
      </w:r>
      <w:r w:rsidR="00777DCB" w:rsidRPr="00A52585">
        <w:rPr>
          <w:rFonts w:hint="cs"/>
          <w:rtl/>
        </w:rPr>
        <w:t xml:space="preserve"> الإنسان هنا هو آدم عليه السلام وسلالته لأنه سله من كل تربة وكان عليه السلام يتكلم بسبعمائة ألف لغة</w:t>
      </w:r>
      <w:r w:rsidR="00DB731D" w:rsidRPr="00A52585">
        <w:rPr>
          <w:rFonts w:hint="cs"/>
          <w:rtl/>
        </w:rPr>
        <w:t>،</w:t>
      </w:r>
      <w:r w:rsidR="00777DCB" w:rsidRPr="00A52585">
        <w:rPr>
          <w:rFonts w:hint="cs"/>
          <w:rtl/>
        </w:rPr>
        <w:t xml:space="preserve"> وقوله تعالى</w:t>
      </w:r>
      <w:r w:rsidRPr="00A52585">
        <w:rPr>
          <w:rFonts w:hint="cs"/>
          <w:rtl/>
        </w:rPr>
        <w:t>:</w:t>
      </w:r>
      <w:r w:rsidR="00777DCB" w:rsidRPr="00A52585">
        <w:rPr>
          <w:rFonts w:hint="cs"/>
          <w:rtl/>
        </w:rPr>
        <w:t xml:space="preserve"> {ثُمَّ جَعَلْنَاهُ} أي الإنسان {نَطْفَةً فيِ قَرَار مَكِين} أي حرز </w:t>
      </w:r>
      <w:r w:rsidR="00777DCB" w:rsidRPr="00A52585">
        <w:rPr>
          <w:rFonts w:hint="cs"/>
          <w:spacing w:val="-4"/>
          <w:rtl/>
        </w:rPr>
        <w:t>منيع وهو</w:t>
      </w:r>
      <w:r w:rsidR="00777DCB" w:rsidRPr="00A52585">
        <w:rPr>
          <w:rFonts w:hint="cs"/>
          <w:rtl/>
        </w:rPr>
        <w:t xml:space="preserve"> الرحم {ثُمَّ خَلَقْنَا النُّطْفَةَ عَلَقَةَ} أي دماً {فَخَلَقْنَا الْعَلَقَةَ مُضْغَةً} أي قدر ما يمضغ {فَخَلَقْنَا الْمُضْغَةَ عِظَاماً} وبين كل خلقين</w:t>
      </w:r>
      <w:r w:rsidRPr="00A52585">
        <w:rPr>
          <w:rFonts w:hint="cs"/>
          <w:rtl/>
        </w:rPr>
        <w:t xml:space="preserve"> </w:t>
      </w:r>
      <w:r w:rsidR="00777DCB" w:rsidRPr="00A52585">
        <w:rPr>
          <w:rFonts w:hint="cs"/>
          <w:rtl/>
        </w:rPr>
        <w:t>أربعين يوماً {فَكَسَوْنَا الْعِظَامَ لَحْماً ثُمَّ أَنْشَأْنَاهُ خَلْقاً آخَرَ} وهو نفخ الروح فيه</w:t>
      </w:r>
      <w:r w:rsidR="00DB731D" w:rsidRPr="00A52585">
        <w:rPr>
          <w:rFonts w:hint="cs"/>
          <w:rtl/>
        </w:rPr>
        <w:t>،</w:t>
      </w:r>
      <w:r w:rsidR="00777DCB" w:rsidRPr="00A52585">
        <w:rPr>
          <w:rFonts w:hint="cs"/>
          <w:rtl/>
        </w:rPr>
        <w:t xml:space="preserve"> قاله ابن عباس ومجاهد والشعبي وغيرهم وقيل</w:t>
      </w:r>
      <w:r w:rsidRPr="00A52585">
        <w:rPr>
          <w:rFonts w:hint="cs"/>
          <w:rtl/>
        </w:rPr>
        <w:t>:</w:t>
      </w:r>
      <w:r w:rsidR="00777DCB" w:rsidRPr="00A52585">
        <w:rPr>
          <w:rFonts w:hint="cs"/>
          <w:rtl/>
        </w:rPr>
        <w:t xml:space="preserve"> نبات الأسنان والشعر</w:t>
      </w:r>
      <w:r w:rsidR="00DB731D" w:rsidRPr="00A52585">
        <w:rPr>
          <w:rFonts w:hint="cs"/>
          <w:rtl/>
        </w:rPr>
        <w:t>،</w:t>
      </w:r>
      <w:r w:rsidR="00777DCB" w:rsidRPr="00A52585">
        <w:rPr>
          <w:rFonts w:hint="cs"/>
          <w:rtl/>
        </w:rPr>
        <w:t xml:space="preserve"> قاله قتادة وقيل</w:t>
      </w:r>
      <w:r w:rsidRPr="00A52585">
        <w:rPr>
          <w:rFonts w:hint="cs"/>
          <w:rtl/>
        </w:rPr>
        <w:t>:</w:t>
      </w:r>
      <w:r w:rsidR="00777DCB" w:rsidRPr="00A52585">
        <w:rPr>
          <w:rFonts w:hint="cs"/>
          <w:rtl/>
        </w:rPr>
        <w:t xml:space="preserve"> ذكراً وأنثى</w:t>
      </w:r>
      <w:r w:rsidR="00DB731D" w:rsidRPr="00A52585">
        <w:rPr>
          <w:rFonts w:hint="cs"/>
          <w:rtl/>
        </w:rPr>
        <w:t>،</w:t>
      </w:r>
      <w:r w:rsidR="00777DCB" w:rsidRPr="00A52585">
        <w:rPr>
          <w:rFonts w:hint="cs"/>
          <w:rtl/>
        </w:rPr>
        <w:t xml:space="preserve"> قاله الحسن وقيل غير ذلك {فَتَبارَكَ اللهُ أَحْسَنُ الخَالِقِينَ} أي المصورين والمقدرين نزَّه </w:t>
      </w:r>
      <w:r w:rsidRPr="00A52585">
        <w:rPr>
          <w:rFonts w:hint="cs"/>
          <w:rtl/>
        </w:rPr>
        <w:t>[</w:t>
      </w:r>
      <w:r w:rsidR="00777DCB" w:rsidRPr="00A52585">
        <w:rPr>
          <w:rFonts w:hint="cs"/>
          <w:rtl/>
        </w:rPr>
        <w:t>نفسه</w:t>
      </w:r>
      <w:r w:rsidRPr="00A52585">
        <w:rPr>
          <w:rFonts w:hint="cs"/>
          <w:rtl/>
        </w:rPr>
        <w:t>]</w:t>
      </w:r>
      <w:r w:rsidR="00777DCB" w:rsidRPr="00A52585">
        <w:rPr>
          <w:rFonts w:hint="cs"/>
          <w:rtl/>
        </w:rPr>
        <w:t xml:space="preserve"> سبحانه </w:t>
      </w:r>
      <w:r w:rsidR="00777DCB" w:rsidRPr="00A52585">
        <w:rPr>
          <w:rFonts w:hint="cs"/>
          <w:spacing w:val="-20"/>
          <w:rtl/>
        </w:rPr>
        <w:t>وتعالى بعد ذكر هذه الأطوار</w:t>
      </w:r>
      <w:r w:rsidR="00DB731D" w:rsidRPr="00A52585">
        <w:rPr>
          <w:rFonts w:hint="cs"/>
          <w:rtl/>
        </w:rPr>
        <w:t>،</w:t>
      </w:r>
      <w:r w:rsidR="00777DCB" w:rsidRPr="00A52585">
        <w:rPr>
          <w:rFonts w:hint="cs"/>
          <w:rtl/>
        </w:rPr>
        <w:t xml:space="preserve"> المعنى</w:t>
      </w:r>
      <w:r w:rsidRPr="00A52585">
        <w:rPr>
          <w:rFonts w:hint="cs"/>
          <w:rtl/>
        </w:rPr>
        <w:t>:</w:t>
      </w:r>
      <w:r w:rsidR="00777DCB" w:rsidRPr="00A52585">
        <w:rPr>
          <w:rFonts w:hint="cs"/>
          <w:rtl/>
        </w:rPr>
        <w:t xml:space="preserve"> أن من هذه بعض </w:t>
      </w:r>
      <w:proofErr w:type="spellStart"/>
      <w:r w:rsidR="00777DCB" w:rsidRPr="00A52585">
        <w:rPr>
          <w:rFonts w:hint="cs"/>
          <w:rtl/>
        </w:rPr>
        <w:t>مقدوراته</w:t>
      </w:r>
      <w:proofErr w:type="spellEnd"/>
      <w:r w:rsidR="00777DCB" w:rsidRPr="00A52585">
        <w:rPr>
          <w:rFonts w:hint="cs"/>
          <w:rtl/>
        </w:rPr>
        <w:t xml:space="preserve"> يستحق التعظيم والتَنْزِيه</w:t>
      </w:r>
      <w:r w:rsidR="00DB731D" w:rsidRPr="00A52585">
        <w:rPr>
          <w:rFonts w:hint="cs"/>
          <w:rtl/>
        </w:rPr>
        <w:t>،</w:t>
      </w:r>
      <w:r w:rsidR="00777DCB" w:rsidRPr="00A52585">
        <w:rPr>
          <w:rFonts w:hint="cs"/>
          <w:rtl/>
        </w:rPr>
        <w:t xml:space="preserve"> لأن هذه التارات والتنقلات إنشاء بعد إنشاء في غاية الدلالة على كمال القدرة ووصف الألوهية</w:t>
      </w:r>
      <w:r w:rsidR="00DB731D" w:rsidRPr="00A52585">
        <w:rPr>
          <w:rFonts w:hint="cs"/>
          <w:rtl/>
        </w:rPr>
        <w:t>،</w:t>
      </w:r>
      <w:r w:rsidR="00777DCB" w:rsidRPr="00A52585">
        <w:rPr>
          <w:rFonts w:hint="cs"/>
          <w:rtl/>
        </w:rPr>
        <w:t xml:space="preserve"> ثم الإنشاء الآخر أن شقق الشقوق وخرق الخروق وأمزج العصب وجعل العروق كالأنهار الجارية</w:t>
      </w:r>
      <w:r w:rsidR="00DB731D" w:rsidRPr="00A52585">
        <w:rPr>
          <w:rFonts w:hint="cs"/>
          <w:rtl/>
        </w:rPr>
        <w:t>،</w:t>
      </w:r>
      <w:r w:rsidR="00777DCB" w:rsidRPr="00A52585">
        <w:rPr>
          <w:rFonts w:hint="cs"/>
          <w:rtl/>
        </w:rPr>
        <w:t xml:space="preserve"> وركبها على منوال غريب مع كونه خلقاً سوياً</w:t>
      </w:r>
      <w:r w:rsidR="00DB731D" w:rsidRPr="00A52585">
        <w:rPr>
          <w:rFonts w:hint="cs"/>
          <w:rtl/>
        </w:rPr>
        <w:t>،</w:t>
      </w:r>
      <w:r w:rsidR="00777DCB" w:rsidRPr="00A52585">
        <w:rPr>
          <w:rFonts w:hint="cs"/>
          <w:rtl/>
        </w:rPr>
        <w:t xml:space="preserve"> فأظهر يدا الفطرة والآيات الظاهرة</w:t>
      </w:r>
      <w:r w:rsidR="00DB731D" w:rsidRPr="00A52585">
        <w:rPr>
          <w:rFonts w:hint="cs"/>
          <w:rtl/>
        </w:rPr>
        <w:t>،</w:t>
      </w:r>
      <w:r w:rsidR="00777DCB" w:rsidRPr="00A52585">
        <w:rPr>
          <w:rFonts w:hint="cs"/>
          <w:rtl/>
        </w:rPr>
        <w:t xml:space="preserve"> وكمال الصنع والحكمة الباهرة وأودع فيه الروح والحركة والسكون والإدراك والتمييز ولغات الكلام والعلم والمعرفة والفهم والفطنة والفراسة وغير ذلك مما يليق بهذا النوع الإنساني الحيواني</w:t>
      </w:r>
      <w:r w:rsidR="00DB731D" w:rsidRPr="00A52585">
        <w:rPr>
          <w:rFonts w:hint="cs"/>
          <w:rtl/>
        </w:rPr>
        <w:t>،</w:t>
      </w:r>
      <w:r w:rsidR="00777DCB" w:rsidRPr="00A52585">
        <w:rPr>
          <w:rFonts w:hint="cs"/>
          <w:rtl/>
        </w:rPr>
        <w:t xml:space="preserve"> إلى غير ذلك مما يطول عده ويعسر تقديره وَحَدُّه {فَتَبَاَرَكَ اللهُ أَحْسَنُ الخَالِقِينَ}</w:t>
      </w:r>
      <w:r w:rsidR="00DB731D" w:rsidRPr="00A52585">
        <w:rPr>
          <w:rFonts w:hint="cs"/>
          <w:rtl/>
        </w:rPr>
        <w:t>،</w:t>
      </w:r>
      <w:r w:rsidR="00777DCB" w:rsidRPr="00A52585">
        <w:rPr>
          <w:rFonts w:hint="cs"/>
          <w:rtl/>
        </w:rPr>
        <w:t xml:space="preserve"> ولو قيل لك</w:t>
      </w:r>
      <w:r w:rsidRPr="00A52585">
        <w:rPr>
          <w:rFonts w:hint="cs"/>
          <w:rtl/>
        </w:rPr>
        <w:t>:</w:t>
      </w:r>
      <w:r w:rsidR="00777DCB" w:rsidRPr="00A52585">
        <w:rPr>
          <w:rFonts w:hint="cs"/>
          <w:rtl/>
        </w:rPr>
        <w:t xml:space="preserve"> أخبرني عن قدر عروقك دقة وثخانة وطولاً وقِصَراً</w:t>
      </w:r>
      <w:r w:rsidR="00DB731D" w:rsidRPr="00A52585">
        <w:rPr>
          <w:rFonts w:hint="cs"/>
          <w:rtl/>
        </w:rPr>
        <w:t>،</w:t>
      </w:r>
      <w:r w:rsidR="00777DCB" w:rsidRPr="00A52585">
        <w:rPr>
          <w:rFonts w:hint="cs"/>
          <w:rtl/>
        </w:rPr>
        <w:t xml:space="preserve"> وعن حقيقة بعض ما في باطنك من أي نوع كان لعجزت </w:t>
      </w:r>
      <w:r w:rsidR="00777DCB" w:rsidRPr="00A52585">
        <w:rPr>
          <w:rFonts w:hint="cs"/>
          <w:rtl/>
        </w:rPr>
        <w:lastRenderedPageBreak/>
        <w:t xml:space="preserve">عن بيان ذلك </w:t>
      </w:r>
      <w:proofErr w:type="spellStart"/>
      <w:r w:rsidR="00777DCB" w:rsidRPr="00A52585">
        <w:rPr>
          <w:rFonts w:hint="cs"/>
          <w:rtl/>
        </w:rPr>
        <w:t>ولخرست</w:t>
      </w:r>
      <w:proofErr w:type="spellEnd"/>
      <w:r w:rsidR="00DB731D" w:rsidRPr="00A52585">
        <w:rPr>
          <w:rFonts w:hint="cs"/>
          <w:vertAlign w:val="superscript"/>
          <w:rtl/>
        </w:rPr>
        <w:t>،</w:t>
      </w:r>
      <w:r w:rsidR="00777DCB" w:rsidRPr="00A52585">
        <w:rPr>
          <w:rFonts w:hint="cs"/>
          <w:rtl/>
        </w:rPr>
        <w:t xml:space="preserve"> وأنت وجميع هذا النوع الإنساني نتفة تراب جعله بشراً منتشراً فتعالى وتبارك أن يخوض في ذاته وصفاته إلاّ مَنْ عُدِم الرشاد وسلك سبيل الفساد والعناد</w:t>
      </w:r>
      <w:r w:rsidR="00DB731D" w:rsidRPr="00A52585">
        <w:rPr>
          <w:rFonts w:hint="cs"/>
          <w:rtl/>
        </w:rPr>
        <w:t>،</w:t>
      </w:r>
      <w:r w:rsidR="00777DCB" w:rsidRPr="00A52585">
        <w:rPr>
          <w:rFonts w:hint="cs"/>
          <w:rtl/>
        </w:rPr>
        <w:t xml:space="preserve"> وصير نفسه أخَسَّ العباد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ذكر حجة الإسلام الغزالي أنه لو قال قائل</w:t>
      </w:r>
      <w:r w:rsidRPr="00A52585">
        <w:rPr>
          <w:rFonts w:hint="cs"/>
          <w:sz w:val="24"/>
          <w:szCs w:val="24"/>
          <w:rtl/>
        </w:rPr>
        <w:t>:</w:t>
      </w:r>
      <w:r w:rsidR="00777DCB" w:rsidRPr="00A52585">
        <w:rPr>
          <w:rFonts w:hint="cs"/>
          <w:sz w:val="24"/>
          <w:szCs w:val="24"/>
          <w:rtl/>
        </w:rPr>
        <w:t>(لا أعرف إلا الله تعالى)كان صادقاً، ولو قال</w:t>
      </w:r>
      <w:r w:rsidRPr="00A52585">
        <w:rPr>
          <w:rFonts w:hint="cs"/>
          <w:sz w:val="24"/>
          <w:szCs w:val="24"/>
          <w:rtl/>
        </w:rPr>
        <w:t>:</w:t>
      </w:r>
      <w:r w:rsidR="00777DCB" w:rsidRPr="00A52585">
        <w:rPr>
          <w:rFonts w:hint="cs"/>
          <w:sz w:val="24"/>
          <w:szCs w:val="24"/>
          <w:rtl/>
        </w:rPr>
        <w:t xml:space="preserve">(لا أعرف الله تعالى) لكان </w:t>
      </w:r>
      <w:proofErr w:type="spellStart"/>
      <w:r w:rsidR="00777DCB" w:rsidRPr="00A52585">
        <w:rPr>
          <w:rFonts w:hint="cs"/>
          <w:sz w:val="24"/>
          <w:szCs w:val="24"/>
          <w:rtl/>
        </w:rPr>
        <w:t>صادقاً.وبين</w:t>
      </w:r>
      <w:proofErr w:type="spellEnd"/>
      <w:r w:rsidR="00777DCB" w:rsidRPr="00A52585">
        <w:rPr>
          <w:rFonts w:hint="cs"/>
          <w:sz w:val="24"/>
          <w:szCs w:val="24"/>
          <w:rtl/>
        </w:rPr>
        <w:t xml:space="preserve"> رضي الله عنه أنه إذا اختلف وجه الكلام تصور الصدق في القسمين وأن القول الثاني – الذي ينفي المعرفة – هو الأقرب إلى التعظيم</w:t>
      </w:r>
      <w:r w:rsidR="00DB731D" w:rsidRPr="00A52585">
        <w:rPr>
          <w:rFonts w:hint="cs"/>
          <w:sz w:val="24"/>
          <w:szCs w:val="24"/>
          <w:rtl/>
        </w:rPr>
        <w:t>،</w:t>
      </w:r>
      <w:r w:rsidR="00777DCB" w:rsidRPr="00A52585">
        <w:rPr>
          <w:rFonts w:hint="cs"/>
          <w:sz w:val="24"/>
          <w:szCs w:val="24"/>
          <w:rtl/>
        </w:rPr>
        <w:t xml:space="preserve"> ثم ضرب</w:t>
      </w:r>
      <w:r w:rsidRPr="00A52585">
        <w:rPr>
          <w:rFonts w:hint="cs"/>
          <w:sz w:val="24"/>
          <w:szCs w:val="24"/>
          <w:rtl/>
        </w:rPr>
        <w:t xml:space="preserve"> </w:t>
      </w:r>
      <w:r w:rsidR="00777DCB" w:rsidRPr="00A52585">
        <w:rPr>
          <w:rFonts w:hint="cs"/>
          <w:sz w:val="24"/>
          <w:szCs w:val="24"/>
          <w:rtl/>
        </w:rPr>
        <w:t>مثالا على ذلك فقال</w:t>
      </w:r>
      <w:r w:rsidRPr="00A52585">
        <w:rPr>
          <w:rFonts w:hint="cs"/>
          <w:sz w:val="24"/>
          <w:szCs w:val="24"/>
          <w:rtl/>
        </w:rPr>
        <w:t>:</w:t>
      </w:r>
      <w:r w:rsidR="00777DCB" w:rsidRPr="00A52585">
        <w:rPr>
          <w:rFonts w:hint="cs"/>
          <w:sz w:val="24"/>
          <w:szCs w:val="24"/>
          <w:rtl/>
        </w:rPr>
        <w:t xml:space="preserve"> " لو عرضت خطا منظوما على عاقل و</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هل تعرف كاتبه</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لا، صدق. ولو قال</w:t>
      </w:r>
      <w:r w:rsidRPr="00A52585">
        <w:rPr>
          <w:rFonts w:hint="cs"/>
          <w:sz w:val="24"/>
          <w:szCs w:val="24"/>
          <w:rtl/>
        </w:rPr>
        <w:t>:</w:t>
      </w:r>
      <w:r w:rsidR="00777DCB" w:rsidRPr="00A52585">
        <w:rPr>
          <w:rFonts w:hint="cs"/>
          <w:sz w:val="24"/>
          <w:szCs w:val="24"/>
          <w:rtl/>
        </w:rPr>
        <w:t xml:space="preserve"> نعم كاتبه هو الإنسان الحي القادر السميع البصير السليم اليد العالم بصناعة الكتابة فإذا عرفت كل هذا منه فكيف لا أعرفه</w:t>
      </w:r>
      <w:r w:rsidR="00F95886" w:rsidRPr="00A52585">
        <w:rPr>
          <w:rFonts w:hint="cs"/>
          <w:sz w:val="24"/>
          <w:szCs w:val="24"/>
          <w:rtl/>
        </w:rPr>
        <w:t>؟</w:t>
      </w:r>
      <w:r w:rsidR="00777DCB" w:rsidRPr="00A52585">
        <w:rPr>
          <w:rFonts w:hint="cs"/>
          <w:sz w:val="24"/>
          <w:szCs w:val="24"/>
          <w:rtl/>
        </w:rPr>
        <w:t xml:space="preserve"> فهذا أيضاً صدق. ولكن الأحق والأصدق قوله لا أعرفه، فإنه في الحقيقة ما عرفه وإنما عرف احتياج الخط المنظوم إلى كاتب حي عالم قادر سميع بصير سليم اليد عالم بصناعة الكتابة، ولم يعرف الكاتب نفسه. وكذلك الخلق كلهم لم يعرفوا إلا احتياج هذا العالم المنظوم المحكم إلى صانع مدبر حي عالم قدير</w:t>
      </w:r>
      <w:r w:rsidRPr="00A52585">
        <w:rPr>
          <w:rFonts w:hint="cs"/>
          <w:sz w:val="24"/>
          <w:szCs w:val="24"/>
          <w:rtl/>
        </w:rPr>
        <w:t xml:space="preserve"> </w:t>
      </w:r>
      <w:r w:rsidR="00777DCB" w:rsidRPr="00A52585">
        <w:rPr>
          <w:rFonts w:hint="cs"/>
          <w:sz w:val="24"/>
          <w:szCs w:val="24"/>
          <w:rtl/>
        </w:rPr>
        <w:t>" ثم بين رضي الله عنه أن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الأسماء المشتقة من صفات لا تدخل في حقيقة الذات وماهيتها فلو أشار شخص إلى نار مثلا وقال</w:t>
      </w:r>
      <w:r w:rsidRPr="00A52585">
        <w:rPr>
          <w:rFonts w:hint="cs"/>
          <w:sz w:val="24"/>
          <w:szCs w:val="24"/>
          <w:rtl/>
        </w:rPr>
        <w:t>:</w:t>
      </w:r>
      <w:r w:rsidR="00777DCB" w:rsidRPr="00A52585">
        <w:rPr>
          <w:rFonts w:hint="cs"/>
          <w:sz w:val="24"/>
          <w:szCs w:val="24"/>
          <w:rtl/>
        </w:rPr>
        <w:t xml:space="preserve"> ما هي</w:t>
      </w:r>
      <w:r w:rsidR="00F95886" w:rsidRPr="00A52585">
        <w:rPr>
          <w:rFonts w:hint="cs"/>
          <w:sz w:val="24"/>
          <w:szCs w:val="24"/>
          <w:rtl/>
        </w:rPr>
        <w:t>؟</w:t>
      </w:r>
      <w:r w:rsidR="00777DCB" w:rsidRPr="00A52585">
        <w:rPr>
          <w:rFonts w:hint="cs"/>
          <w:sz w:val="24"/>
          <w:szCs w:val="24"/>
          <w:rtl/>
        </w:rPr>
        <w:t xml:space="preserve"> فقيل له</w:t>
      </w:r>
      <w:r w:rsidRPr="00A52585">
        <w:rPr>
          <w:rFonts w:hint="cs"/>
          <w:sz w:val="24"/>
          <w:szCs w:val="24"/>
          <w:rtl/>
        </w:rPr>
        <w:t>:</w:t>
      </w:r>
      <w:r w:rsidR="00777DCB" w:rsidRPr="00A52585">
        <w:rPr>
          <w:rFonts w:hint="cs"/>
          <w:sz w:val="24"/>
          <w:szCs w:val="24"/>
          <w:rtl/>
        </w:rPr>
        <w:t xml:space="preserve"> هي حارٌّ، فليس هذا جوابا عن الماهية والحقيقة، وإنما المعرفة بالشيء هي معرفة حقيقته وماهيته لا معرفة الأسماء المشتقة فحقيقة وماهية (حارٌّ) هي</w:t>
      </w:r>
      <w:r w:rsidRPr="00A52585">
        <w:rPr>
          <w:rFonts w:hint="cs"/>
          <w:sz w:val="24"/>
          <w:szCs w:val="24"/>
          <w:rtl/>
        </w:rPr>
        <w:t>:</w:t>
      </w:r>
      <w:r w:rsidR="00777DCB" w:rsidRPr="00A52585">
        <w:rPr>
          <w:rFonts w:hint="cs"/>
          <w:sz w:val="24"/>
          <w:szCs w:val="24"/>
          <w:rtl/>
        </w:rPr>
        <w:t xml:space="preserve"> شيء مبهم له وصف الحرارة </w:t>
      </w:r>
      <w:r w:rsidR="00777DCB" w:rsidRPr="00A52585">
        <w:rPr>
          <w:rFonts w:hint="cs"/>
          <w:bCs/>
          <w:sz w:val="24"/>
          <w:szCs w:val="24"/>
          <w:rtl/>
        </w:rPr>
        <w:t>وكذلك قولنا عالم وقادر معناه شيء مبهم له وصف العلم والقدرة</w:t>
      </w:r>
      <w:r w:rsidRPr="00A52585">
        <w:rPr>
          <w:rFonts w:hint="cs"/>
          <w:bCs/>
          <w:sz w:val="24"/>
          <w:szCs w:val="24"/>
          <w:rtl/>
        </w:rPr>
        <w:t xml:space="preserve"> </w:t>
      </w:r>
      <w:r w:rsidR="00777DCB" w:rsidRPr="00A52585">
        <w:rPr>
          <w:rFonts w:hint="cs"/>
          <w:bCs/>
          <w:sz w:val="24"/>
          <w:szCs w:val="24"/>
          <w:rtl/>
        </w:rPr>
        <w:t>"</w:t>
      </w:r>
      <w:r w:rsidR="00DB731D" w:rsidRPr="00A52585">
        <w:rPr>
          <w:rFonts w:hint="cs"/>
          <w:bCs/>
          <w:sz w:val="24"/>
          <w:szCs w:val="24"/>
          <w:rtl/>
        </w:rPr>
        <w:t>،</w:t>
      </w:r>
      <w:r w:rsidR="00777DCB" w:rsidRPr="00A52585">
        <w:rPr>
          <w:rFonts w:hint="cs"/>
          <w:sz w:val="24"/>
          <w:szCs w:val="24"/>
          <w:rtl/>
        </w:rPr>
        <w:t xml:space="preserve"> فإن قيل</w:t>
      </w:r>
      <w:r w:rsidRPr="00A52585">
        <w:rPr>
          <w:rFonts w:hint="cs"/>
          <w:sz w:val="24"/>
          <w:szCs w:val="24"/>
          <w:rtl/>
        </w:rPr>
        <w:t>:</w:t>
      </w:r>
      <w:r w:rsidR="00777DCB" w:rsidRPr="00A52585">
        <w:rPr>
          <w:rFonts w:hint="cs"/>
          <w:sz w:val="24"/>
          <w:szCs w:val="24"/>
          <w:rtl/>
        </w:rPr>
        <w:t xml:space="preserve"> كيف تتفاوت درجات الملائكة والأنبياء والأولياء بل وعوام المؤمنين في معرفة الله عز وجل</w:t>
      </w:r>
      <w:r w:rsidR="00F95886" w:rsidRPr="00A52585">
        <w:rPr>
          <w:rFonts w:hint="cs"/>
          <w:sz w:val="24"/>
          <w:szCs w:val="24"/>
          <w:rtl/>
        </w:rPr>
        <w:t>؟</w:t>
      </w:r>
      <w:r w:rsidR="00777DCB" w:rsidRPr="00A52585">
        <w:rPr>
          <w:rFonts w:hint="cs"/>
          <w:sz w:val="24"/>
          <w:szCs w:val="24"/>
          <w:rtl/>
        </w:rPr>
        <w:t xml:space="preserve"> يجيب عن ذلك حجة الإسلام بأنه</w:t>
      </w:r>
      <w:r w:rsidRPr="00A52585">
        <w:rPr>
          <w:rFonts w:hint="cs"/>
          <w:sz w:val="24"/>
          <w:szCs w:val="24"/>
          <w:rtl/>
        </w:rPr>
        <w:t xml:space="preserve">: </w:t>
      </w:r>
      <w:r w:rsidR="00777DCB" w:rsidRPr="00A52585">
        <w:rPr>
          <w:rFonts w:hint="cs"/>
          <w:sz w:val="24"/>
          <w:szCs w:val="24"/>
          <w:rtl/>
        </w:rPr>
        <w:t xml:space="preserve">" ليس من يعلم أنه تعالى عالم قادر على الجملة، كمن شاهد عجائب آياته في ملكوت السماوات والأرض وخلق الأرواح والأجساد واطلع على بدائع المملكة وغرائب الصنعة ممعنا في التفصيل ومستقصيا دقائق الحكمة ومستوفيا لطائف التدبير ومتصفا بجميع الصفات الملكية المقربة من الله تعالى نائلا لتلك الصفات نيل اتصاف لها، فبقدر ما ينكشف لهم من معلومات الله تعالى وعجائب </w:t>
      </w:r>
      <w:proofErr w:type="spellStart"/>
      <w:r w:rsidR="00777DCB" w:rsidRPr="00A52585">
        <w:rPr>
          <w:rFonts w:hint="cs"/>
          <w:sz w:val="24"/>
          <w:szCs w:val="24"/>
          <w:rtl/>
        </w:rPr>
        <w:t>مقدوراته</w:t>
      </w:r>
      <w:proofErr w:type="spellEnd"/>
      <w:r w:rsidR="00777DCB" w:rsidRPr="00A52585">
        <w:rPr>
          <w:rFonts w:hint="cs"/>
          <w:sz w:val="24"/>
          <w:szCs w:val="24"/>
          <w:rtl/>
        </w:rPr>
        <w:t xml:space="preserve"> وبدائع آياته في الدنيا والآخرة والملك والملكوت تزداد معرفتهم بالله تعالى وتقرب معرفتهم من معرفة الحقيقة"</w:t>
      </w:r>
      <w:r w:rsidRPr="00A52585">
        <w:rPr>
          <w:rFonts w:hint="cs"/>
          <w:sz w:val="24"/>
          <w:szCs w:val="24"/>
          <w:rtl/>
        </w:rPr>
        <w:t xml:space="preserve"> </w:t>
      </w:r>
      <w:r w:rsidR="00777DCB" w:rsidRPr="00A52585">
        <w:rPr>
          <w:rFonts w:hint="cs"/>
          <w:sz w:val="24"/>
          <w:szCs w:val="24"/>
          <w:rtl/>
        </w:rPr>
        <w:t xml:space="preserve">أهـ. بتصرف واختصار من المقصد </w:t>
      </w:r>
      <w:proofErr w:type="spellStart"/>
      <w:r w:rsidR="00777DCB" w:rsidRPr="00A52585">
        <w:rPr>
          <w:rFonts w:hint="cs"/>
          <w:sz w:val="24"/>
          <w:szCs w:val="24"/>
          <w:rtl/>
        </w:rPr>
        <w:t>الأسنى</w:t>
      </w:r>
      <w:proofErr w:type="spellEnd"/>
      <w:r w:rsidR="00777DCB" w:rsidRPr="00A52585">
        <w:rPr>
          <w:rFonts w:hint="cs"/>
          <w:sz w:val="24"/>
          <w:szCs w:val="24"/>
          <w:rtl/>
        </w:rPr>
        <w:t xml:space="preserve"> شرح أسماء الله الحسنى – الفصل الرابع لحجة الإسلام الغزالي</w:t>
      </w:r>
      <w:r w:rsidR="00DB731D" w:rsidRPr="00A52585">
        <w:rPr>
          <w:rFonts w:hint="cs"/>
          <w:sz w:val="24"/>
          <w:szCs w:val="24"/>
          <w:rtl/>
        </w:rPr>
        <w:t>،</w:t>
      </w:r>
      <w:r w:rsidR="00777DCB" w:rsidRPr="00A52585">
        <w:rPr>
          <w:rFonts w:hint="cs"/>
          <w:sz w:val="24"/>
          <w:szCs w:val="24"/>
          <w:rtl/>
        </w:rPr>
        <w:t xml:space="preserve"> وقد شرح ذلك أيضاً الإمام علاء الدين </w:t>
      </w:r>
      <w:proofErr w:type="spellStart"/>
      <w:r w:rsidR="00777DCB" w:rsidRPr="00A52585">
        <w:rPr>
          <w:rFonts w:hint="cs"/>
          <w:sz w:val="24"/>
          <w:szCs w:val="24"/>
          <w:rtl/>
        </w:rPr>
        <w:t>القونوي</w:t>
      </w:r>
      <w:proofErr w:type="spellEnd"/>
      <w:r w:rsidR="00777DCB" w:rsidRPr="00A52585">
        <w:rPr>
          <w:rFonts w:hint="cs"/>
          <w:sz w:val="24"/>
          <w:szCs w:val="24"/>
          <w:rtl/>
        </w:rPr>
        <w:t xml:space="preserve"> في كتابه (حسن التصرف بشرح التعرف) جـ1 لوحة 84 مخطوط بدار الكتب المصرية</w:t>
      </w:r>
      <w:r w:rsidRPr="00A52585">
        <w:rPr>
          <w:rFonts w:hint="cs"/>
          <w:sz w:val="24"/>
          <w:szCs w:val="24"/>
          <w:rtl/>
        </w:rPr>
        <w:t>]</w:t>
      </w:r>
      <w:r w:rsidR="00DB731D" w:rsidRPr="00A52585">
        <w:rPr>
          <w:rFonts w:hint="cs"/>
          <w:rtl/>
        </w:rPr>
        <w:t>،</w:t>
      </w:r>
      <w:r w:rsidR="00777DCB" w:rsidRPr="00A52585">
        <w:rPr>
          <w:rFonts w:hint="cs"/>
          <w:rtl/>
        </w:rPr>
        <w:t xml:space="preserve"> فمن حقق نظره واستعمل فكره وجد نفسه أجهل الجاهلين بعظمة هذا العظيم فلا يقدر قدره غيره</w:t>
      </w:r>
      <w:r w:rsidR="00DB731D" w:rsidRPr="00A52585">
        <w:rPr>
          <w:rFonts w:hint="cs"/>
          <w:rtl/>
        </w:rPr>
        <w:t>،</w:t>
      </w:r>
      <w:r w:rsidR="00777DCB" w:rsidRPr="00A52585">
        <w:rPr>
          <w:rFonts w:hint="cs"/>
          <w:rtl/>
        </w:rPr>
        <w:t xml:space="preserve"> ولا يعرفه سواه وإن قَرَّبه وأدناه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سهل التستري (سبحان من لم يدرك العباد من معرفته إلا عجزاً عن معرفته) وقد شرح الإمام علاء الدين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ذلك بقوله</w:t>
      </w:r>
      <w:r w:rsidRPr="00A52585">
        <w:rPr>
          <w:rFonts w:hint="cs"/>
          <w:sz w:val="24"/>
          <w:szCs w:val="24"/>
          <w:rtl/>
        </w:rPr>
        <w:t xml:space="preserve"> </w:t>
      </w:r>
      <w:r w:rsidR="00777DCB" w:rsidRPr="00A52585">
        <w:rPr>
          <w:rFonts w:hint="cs"/>
          <w:sz w:val="24"/>
          <w:szCs w:val="24"/>
          <w:rtl/>
        </w:rPr>
        <w:t>" أي هذا غاية معرفتهم، وهو معني ما روى عن الصديق أنه قال (العجز عن درك الإدراك إدراك). وقد اعترض عليه بعض المتكلمين بأن العجز عن المعرفة يستلزم عدمها فكيف يكون وجودها عين ملزوم عدمها</w:t>
      </w:r>
      <w:r w:rsidR="00F95886" w:rsidRPr="00A52585">
        <w:rPr>
          <w:rFonts w:hint="cs"/>
          <w:sz w:val="24"/>
          <w:szCs w:val="24"/>
          <w:rtl/>
        </w:rPr>
        <w:t>؟</w:t>
      </w:r>
      <w:r w:rsidR="00777DCB" w:rsidRPr="00A52585">
        <w:rPr>
          <w:rFonts w:hint="cs"/>
          <w:sz w:val="24"/>
          <w:szCs w:val="24"/>
          <w:rtl/>
        </w:rPr>
        <w:t xml:space="preserve"> وأيضاً فإن كان العجز عن المعرفة معرفة فهو حاصل قبل التكليف وقبل بعثة الرسل فما الذي يطلب حصوله بعد ذلك</w:t>
      </w:r>
      <w:r w:rsidR="00F95886" w:rsidRPr="00A52585">
        <w:rPr>
          <w:rFonts w:hint="cs"/>
          <w:sz w:val="24"/>
          <w:szCs w:val="24"/>
          <w:rtl/>
        </w:rPr>
        <w:t>؟</w:t>
      </w:r>
      <w:r w:rsidR="00777DCB" w:rsidRPr="00A52585">
        <w:rPr>
          <w:rFonts w:hint="cs"/>
          <w:sz w:val="24"/>
          <w:szCs w:val="24"/>
          <w:rtl/>
        </w:rPr>
        <w:t xml:space="preserve"> وأجيب عن الأول بأن المعرفة كلما ازدادت ازداد العلم بكمال المعروف وجلاله وعظيم بره وأفضاله واستلزم ذلك عجز العارف عن القيام بحق المعروف والمعرفة ولهذا قال سيد الأولين والآخرين (لا أحصي ثناء عليك) واستلزم الحيرة فيه ولذلك سألها من قال (رب زدني فيك تحيرا)، وكل من الحائر والعاجز كأنه غير عارف وإن كانت المعرفة هي منشأ الحيرة والعجز فجاز لذلك أن تعرف المعرفة بمثل هذا </w:t>
      </w:r>
      <w:r w:rsidR="00777DCB" w:rsidRPr="00A52585">
        <w:rPr>
          <w:rFonts w:hint="cs"/>
          <w:sz w:val="24"/>
          <w:szCs w:val="24"/>
          <w:rtl/>
        </w:rPr>
        <w:lastRenderedPageBreak/>
        <w:t>العجز الذي هو لازم لها تحقيقاً وملزوم لعدمها تقديراً</w:t>
      </w:r>
      <w:r w:rsidR="00DB731D" w:rsidRPr="00A52585">
        <w:rPr>
          <w:rFonts w:hint="cs"/>
          <w:sz w:val="24"/>
          <w:szCs w:val="24"/>
          <w:rtl/>
        </w:rPr>
        <w:t>،</w:t>
      </w:r>
      <w:r w:rsidR="00777DCB" w:rsidRPr="00A52585">
        <w:rPr>
          <w:rFonts w:hint="cs"/>
          <w:sz w:val="24"/>
          <w:szCs w:val="24"/>
          <w:rtl/>
        </w:rPr>
        <w:t xml:space="preserve"> وبهذا يحصل الجواب عن الاعتراض الثاني أيضاً لظهور الفرق بين العجز السابق على المعرفة والعجز اللاحق ضرورة التغاير بين عجز الجاهل وعجز العالم فإن الأول مطلوب الزوال والثاني مطلوب الحصول "</w:t>
      </w:r>
      <w:r w:rsidRPr="00A52585">
        <w:rPr>
          <w:rFonts w:hint="cs"/>
          <w:sz w:val="24"/>
          <w:szCs w:val="24"/>
          <w:rtl/>
        </w:rPr>
        <w:t xml:space="preserve"> </w:t>
      </w:r>
      <w:r w:rsidR="00777DCB" w:rsidRPr="00A52585">
        <w:rPr>
          <w:rFonts w:hint="cs"/>
          <w:sz w:val="24"/>
          <w:szCs w:val="24"/>
          <w:rtl/>
        </w:rPr>
        <w:t>أهـ. من كتابه (حسن التصرف بشرح التعرف) جـ1 لوحة 84 مخطوطة بدار الكتب المصرية</w:t>
      </w:r>
      <w:r w:rsidR="00DB731D" w:rsidRPr="00A52585">
        <w:rPr>
          <w:rFonts w:hint="cs"/>
          <w:sz w:val="24"/>
          <w:szCs w:val="24"/>
          <w:rtl/>
        </w:rPr>
        <w:t>،</w:t>
      </w:r>
      <w:r w:rsidR="00777DCB" w:rsidRPr="00A52585">
        <w:rPr>
          <w:rFonts w:hint="cs"/>
          <w:sz w:val="24"/>
          <w:szCs w:val="24"/>
          <w:rtl/>
        </w:rPr>
        <w:t xml:space="preserve"> وقد شرح هذه النقطة أيضاً الإمام أبو حامد الغزالي في الفصل الرابع من كتابه </w:t>
      </w:r>
      <w:r w:rsidRPr="00A52585">
        <w:rPr>
          <w:rFonts w:hint="cs"/>
          <w:sz w:val="24"/>
          <w:szCs w:val="24"/>
          <w:rtl/>
        </w:rPr>
        <w:t>(</w:t>
      </w:r>
      <w:r w:rsidR="00777DCB" w:rsidRPr="00A52585">
        <w:rPr>
          <w:rFonts w:hint="cs"/>
          <w:sz w:val="24"/>
          <w:szCs w:val="24"/>
          <w:rtl/>
        </w:rPr>
        <w:t xml:space="preserve">المقصد </w:t>
      </w:r>
      <w:proofErr w:type="spellStart"/>
      <w:r w:rsidR="00777DCB" w:rsidRPr="00A52585">
        <w:rPr>
          <w:rFonts w:hint="cs"/>
          <w:sz w:val="24"/>
          <w:szCs w:val="24"/>
          <w:rtl/>
        </w:rPr>
        <w:t>الأسنى</w:t>
      </w:r>
      <w:proofErr w:type="spellEnd"/>
      <w:r w:rsidR="00777DCB" w:rsidRPr="00A52585">
        <w:rPr>
          <w:rFonts w:hint="cs"/>
          <w:sz w:val="24"/>
          <w:szCs w:val="24"/>
          <w:rtl/>
        </w:rPr>
        <w:t xml:space="preserve"> في شرح أسماء الله الحسنى)</w:t>
      </w:r>
      <w:r w:rsidRPr="00A52585">
        <w:rPr>
          <w:rFonts w:hint="cs"/>
          <w:sz w:val="24"/>
          <w:szCs w:val="24"/>
          <w:rtl/>
        </w:rPr>
        <w:t>]</w:t>
      </w:r>
      <w:r w:rsidR="00DB731D" w:rsidRPr="00A52585">
        <w:rPr>
          <w:rFonts w:hint="cs"/>
          <w:sz w:val="24"/>
          <w:szCs w:val="24"/>
          <w:rtl/>
        </w:rPr>
        <w:t>،</w:t>
      </w:r>
      <w:r w:rsidR="00777DCB" w:rsidRPr="00A52585">
        <w:rPr>
          <w:rFonts w:hint="cs"/>
          <w:rtl/>
        </w:rPr>
        <w:t xml:space="preserve"> فسبحانه ما أثنى عليه حق ثنائه غيره</w:t>
      </w:r>
      <w:r w:rsidR="00DB731D" w:rsidRPr="00A52585">
        <w:rPr>
          <w:rFonts w:hint="cs"/>
          <w:rtl/>
        </w:rPr>
        <w:t>،</w:t>
      </w:r>
      <w:r w:rsidR="00777DCB" w:rsidRPr="00A52585">
        <w:rPr>
          <w:rFonts w:hint="cs"/>
          <w:rtl/>
        </w:rPr>
        <w:t xml:space="preserve"> ولا وصفه بما يليق به سواه</w:t>
      </w:r>
      <w:r w:rsidR="00DB731D" w:rsidRPr="00A52585">
        <w:rPr>
          <w:rFonts w:hint="cs"/>
          <w:rtl/>
        </w:rPr>
        <w:t>،</w:t>
      </w:r>
      <w:r w:rsidR="00777DCB" w:rsidRPr="00A52585">
        <w:rPr>
          <w:rFonts w:hint="cs"/>
          <w:rtl/>
        </w:rPr>
        <w:t xml:space="preserve"> عجز الأنبياء والمرسلون عن ذلك حتى قال أجلهم قدراً وأرفعهم محلاًّ وأبلغهم نطقاً مع ما أعطي من جوامع الكلم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لا أُحْصِي ثَنَاءً عَلَيْكَ أَنْتَ كَمَا أَثْنَيْتَ عَلَى نَفْسِكَ))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جزء من حديث رواه مسلم في كتاب الصلاة باب (ما يقال في الركوع والسجود) حديث رقم (1071)، والترمذي في سننه كتاب الدعوات حديث رقم (3493) وغيرهما]</w:t>
      </w:r>
      <w:r w:rsidR="00DB731D" w:rsidRPr="00A52585">
        <w:rPr>
          <w:rFonts w:hint="cs"/>
          <w:rtl/>
        </w:rPr>
        <w:t>،</w:t>
      </w:r>
      <w:r w:rsidR="00777DCB" w:rsidRPr="00A52585">
        <w:rPr>
          <w:rFonts w:hint="cs"/>
          <w:rtl/>
        </w:rPr>
        <w:t xml:space="preserve"> </w:t>
      </w:r>
    </w:p>
    <w:p w14:paraId="79EE63A9" w14:textId="3AFA21A5" w:rsidR="00777DCB" w:rsidRPr="00A52585" w:rsidRDefault="0002035C" w:rsidP="0002035C">
      <w:pPr>
        <w:widowControl w:val="0"/>
        <w:rPr>
          <w:b/>
          <w:rtl/>
        </w:rPr>
      </w:pPr>
      <w:r w:rsidRPr="00A52585">
        <w:rPr>
          <w:rFonts w:hint="cs"/>
          <w:bCs/>
          <w:rtl/>
        </w:rPr>
        <w:t>[</w:t>
      </w:r>
      <w:r w:rsidR="00777DCB" w:rsidRPr="00A52585">
        <w:rPr>
          <w:rFonts w:hint="cs"/>
          <w:bCs/>
          <w:rtl/>
        </w:rPr>
        <w:t>دلالات القرآن على التنزيه</w:t>
      </w:r>
      <w:r w:rsidRPr="00A52585">
        <w:rPr>
          <w:rFonts w:hint="cs"/>
          <w:bCs/>
          <w:rtl/>
        </w:rPr>
        <w:t>]:</w:t>
      </w:r>
      <w:r w:rsidR="00777DCB" w:rsidRPr="00A52585">
        <w:rPr>
          <w:rFonts w:hint="cs"/>
          <w:bCs/>
          <w:rtl/>
        </w:rPr>
        <w:t xml:space="preserve"> </w:t>
      </w:r>
      <w:r w:rsidR="00777DCB" w:rsidRPr="00A52585">
        <w:rPr>
          <w:rFonts w:hint="cs"/>
          <w:rtl/>
        </w:rPr>
        <w:t>ومن تأمل كلامه عز وجل وجده محشواً بتَنْزِيهه تارة بالتصريح وتارة بالتلويح وتارة بالإشارات وتارة بما يقصر عنه العبارات</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الإمام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في كتابه الجليل (البراهين الساطعة) تحت عنوان (بيان صراحة القرآن في نفي الجسمية ولوازمها عن الله عز وجل)</w:t>
      </w:r>
      <w:r w:rsidRPr="00A52585">
        <w:rPr>
          <w:rFonts w:hint="cs"/>
          <w:sz w:val="24"/>
          <w:szCs w:val="24"/>
          <w:rtl/>
        </w:rPr>
        <w:t xml:space="preserve">: </w:t>
      </w:r>
      <w:r w:rsidR="00777DCB" w:rsidRPr="00A52585">
        <w:rPr>
          <w:rFonts w:hint="cs"/>
          <w:sz w:val="24"/>
          <w:szCs w:val="24"/>
          <w:rtl/>
        </w:rPr>
        <w:t>"قال الله تعالى في كتابه العزيز {الله خالق كل شيء} والخلق في هذه الآية معناه إيجاد الأشياء على القدر الذي سبق به علمه واقتضته مشيئته في حجمها وشكلها وزمانها ومكانها وهذا الكلام العزيز في هذا الإيجاز الرفيع والإعجاز البديع هو صريح أو كالصريح في أن كل ماله قدر فهو حادث بعد عدم ومخلوق بعد أن لم يكن فكونه على قدر مخصوص من صغر أو كبر. وشكل مخصوص من تدوير أو تربيع أو غيرهما وصفة مخصوصة من نحافة أو سمن أو طول أو قصر ومكان مخصوص من علو أو سفل إلى ما يشبه ذلك هو سمة من سمات حدوثه ولازم من لوازم كونه مخلوقاً وبرهان من براهين كونه ممكنا لا واجبا وأن ذلك ظاهر للفطر بأدنى تأمل فلا بد له من خالق وأن خالقه هو الله الذي يتعالى عن سمات الحدوث ولوازم الإمكان وحده لا شريك له وقال تعالى {وخلق كل شيء فقدره تقديراً} ففي ذلك أصرح البيان لأن كل مقدر مخلوق</w:t>
      </w:r>
      <w:r w:rsidRPr="00A52585">
        <w:rPr>
          <w:rFonts w:hint="cs"/>
          <w:sz w:val="24"/>
          <w:szCs w:val="24"/>
          <w:rtl/>
        </w:rPr>
        <w:t>:</w:t>
      </w:r>
      <w:r w:rsidR="00777DCB" w:rsidRPr="00A52585">
        <w:rPr>
          <w:rFonts w:hint="cs"/>
          <w:sz w:val="24"/>
          <w:szCs w:val="24"/>
          <w:rtl/>
        </w:rPr>
        <w:t xml:space="preserve"> فيتضح منه أتم اتضاح أن الخالق الذي هو ليس بمخلوق يتعالى في ذاته عن الحدود والمقادير وتجل صفاته أن يكون منها ما هو من سمات الحدوث ولوازم الإمكان وقال سبحانه {قد جعل الله لكل شيء قدراً} ففي هذا القول الكريم أن كل ذي قدر فهو </w:t>
      </w:r>
      <w:proofErr w:type="spellStart"/>
      <w:r w:rsidR="00777DCB" w:rsidRPr="00A52585">
        <w:rPr>
          <w:rFonts w:hint="cs"/>
          <w:sz w:val="24"/>
          <w:szCs w:val="24"/>
          <w:rtl/>
        </w:rPr>
        <w:t>مجعول</w:t>
      </w:r>
      <w:proofErr w:type="spellEnd"/>
      <w:r w:rsidR="00777DCB" w:rsidRPr="00A52585">
        <w:rPr>
          <w:rFonts w:hint="cs"/>
          <w:sz w:val="24"/>
          <w:szCs w:val="24"/>
          <w:rtl/>
        </w:rPr>
        <w:t xml:space="preserve"> هو وماله من قدر وأن الله وحده هو الجاعل له ولقدره فمن جوز عليه تعالى أن يكون جسماً والجسم لا محالة ذو قدر فقد جوز عليه أن يكون </w:t>
      </w:r>
      <w:proofErr w:type="spellStart"/>
      <w:r w:rsidR="00777DCB" w:rsidRPr="00A52585">
        <w:rPr>
          <w:rFonts w:hint="cs"/>
          <w:sz w:val="24"/>
          <w:szCs w:val="24"/>
          <w:rtl/>
        </w:rPr>
        <w:t>مجعولا</w:t>
      </w:r>
      <w:proofErr w:type="spellEnd"/>
      <w:r w:rsidR="00777DCB" w:rsidRPr="00A52585">
        <w:rPr>
          <w:rFonts w:hint="cs"/>
          <w:sz w:val="24"/>
          <w:szCs w:val="24"/>
          <w:rtl/>
        </w:rPr>
        <w:t xml:space="preserve"> مخلوقاً تعالى عن ذلك علواً كبيراً ومن لوازم الجسمية التركب والأجزاء وقد احتج الله على الإنسان بتركبه حيث قال سبحانه يخاطبه {في أي صورة ما شاء ركبك} لما أركزه سبحانه في الفطر السليمة من أن كل متركب لابد له من مركب جعله كذلك</w:t>
      </w:r>
      <w:r w:rsidR="00DB731D" w:rsidRPr="00A52585">
        <w:rPr>
          <w:rFonts w:hint="cs"/>
          <w:sz w:val="24"/>
          <w:szCs w:val="24"/>
          <w:rtl/>
        </w:rPr>
        <w:t>،</w:t>
      </w:r>
      <w:r w:rsidR="00777DCB" w:rsidRPr="00A52585">
        <w:rPr>
          <w:rFonts w:hint="cs"/>
          <w:sz w:val="24"/>
          <w:szCs w:val="24"/>
          <w:rtl/>
        </w:rPr>
        <w:t xml:space="preserve"> وبالجسمية للأجسام احتج الله تعالى على حدوثها وإحداثه تعالى لها في مواضع كثيرة من الكتاب العزيز فقال {إن في خلق السموات والأرض} إلى قوله {لآيات لقوم يعقلون} في سورة البقرة. وإلى قوله {لآيات لأولى الألباب} في سورة آل عمران وهو في قوة التصريح بأن من لم يستدل بتركبها </w:t>
      </w:r>
      <w:proofErr w:type="spellStart"/>
      <w:r w:rsidR="00777DCB" w:rsidRPr="00A52585">
        <w:rPr>
          <w:rFonts w:hint="cs"/>
          <w:sz w:val="24"/>
          <w:szCs w:val="24"/>
          <w:rtl/>
        </w:rPr>
        <w:t>وجسميتها</w:t>
      </w:r>
      <w:proofErr w:type="spellEnd"/>
      <w:r w:rsidR="00777DCB" w:rsidRPr="00A52585">
        <w:rPr>
          <w:rFonts w:hint="cs"/>
          <w:sz w:val="24"/>
          <w:szCs w:val="24"/>
          <w:rtl/>
        </w:rPr>
        <w:t xml:space="preserve"> على حدوثها وإمكانها وعلى وحدة خالقها وبارئها ووجوب وجوده فليس </w:t>
      </w:r>
      <w:r w:rsidR="00777DCB" w:rsidRPr="00A52585">
        <w:rPr>
          <w:rFonts w:hint="cs"/>
          <w:sz w:val="24"/>
          <w:szCs w:val="24"/>
          <w:rtl/>
        </w:rPr>
        <w:lastRenderedPageBreak/>
        <w:t>من أولى الألباب ولا هو من قوم يعقلون وقال تعالى {الحمد لله الذي خلق السموات والأرض} وقال {فاطر السموات والأرض}</w:t>
      </w:r>
      <w:r w:rsidRPr="00A52585">
        <w:rPr>
          <w:rFonts w:hint="cs"/>
          <w:sz w:val="24"/>
          <w:szCs w:val="24"/>
          <w:rtl/>
        </w:rPr>
        <w:t xml:space="preserve"> </w:t>
      </w:r>
      <w:r w:rsidR="00777DCB" w:rsidRPr="00A52585">
        <w:rPr>
          <w:rFonts w:hint="cs"/>
          <w:sz w:val="24"/>
          <w:szCs w:val="24"/>
          <w:rtl/>
        </w:rPr>
        <w:t xml:space="preserve">وفي طي هذا الكلام المجيد أنها أجسام ومركبات وفي </w:t>
      </w:r>
      <w:proofErr w:type="spellStart"/>
      <w:r w:rsidR="00777DCB" w:rsidRPr="00A52585">
        <w:rPr>
          <w:rFonts w:hint="cs"/>
          <w:sz w:val="24"/>
          <w:szCs w:val="24"/>
          <w:rtl/>
        </w:rPr>
        <w:t>جسميتها</w:t>
      </w:r>
      <w:proofErr w:type="spellEnd"/>
      <w:r w:rsidR="00777DCB" w:rsidRPr="00A52585">
        <w:rPr>
          <w:rFonts w:hint="cs"/>
          <w:sz w:val="24"/>
          <w:szCs w:val="24"/>
          <w:rtl/>
        </w:rPr>
        <w:t xml:space="preserve"> وتركبها الدلائل الواضحة للعقلاء على أنه لابد لها من فاطر فطرها وخالق خلقها وكذلك احتجت الرسل عليهم الصلاة والسلام على أممهم كما حكى الله عنهم في قوله {قالت رسلهم أفي الله شك فاطر السموات والأرض}</w:t>
      </w:r>
      <w:r w:rsidR="00DB731D" w:rsidRPr="00A52585">
        <w:rPr>
          <w:rFonts w:hint="cs"/>
          <w:sz w:val="24"/>
          <w:szCs w:val="24"/>
          <w:rtl/>
        </w:rPr>
        <w:t>،</w:t>
      </w:r>
      <w:r w:rsidR="00777DCB" w:rsidRPr="00A52585">
        <w:rPr>
          <w:rFonts w:hint="cs"/>
          <w:sz w:val="24"/>
          <w:szCs w:val="24"/>
          <w:rtl/>
        </w:rPr>
        <w:t xml:space="preserve"> وبالحركة والنقلة ثم بالجسمية كانت حجة إبراهيم خليل الله على نبينا وعليه الصلاة والسلام التي آتاه الله إياها على قومه فإنه بين لهم عند الأفول أنها لا تصلح أن تكون أربابا وآلهة لأن الحركة والنقلة من لوازم حدوث المتحرك المقتضي مخلوق مربوب فلا يصح أن يكون إلها، وخص هذا النوع من الحركة لأنه أظهر المخاطبين في الاستدلال على المقصود، والأنبياء عليهم الصلاة والسلام يتحرون الأوضح ليكون أقرب إلى الهداية وأبعد عن مشاغبة الخصوم، وأبين في </w:t>
      </w:r>
      <w:proofErr w:type="spellStart"/>
      <w:r w:rsidR="00777DCB" w:rsidRPr="00A52585">
        <w:rPr>
          <w:rFonts w:hint="cs"/>
          <w:sz w:val="24"/>
          <w:szCs w:val="24"/>
          <w:rtl/>
        </w:rPr>
        <w:t>إفحامهم</w:t>
      </w:r>
      <w:proofErr w:type="spellEnd"/>
      <w:r w:rsidR="00777DCB" w:rsidRPr="00A52585">
        <w:rPr>
          <w:rFonts w:hint="cs"/>
          <w:sz w:val="24"/>
          <w:szCs w:val="24"/>
          <w:rtl/>
        </w:rPr>
        <w:t xml:space="preserve">. ألا تراه عليه الصلاة والسلام لما قاله له الذي حاجه في ربه {أنا أحيي وأميت} انتقل به إلى ما هو أبعد عن المشاغبة فيه، وأظهر في </w:t>
      </w:r>
      <w:proofErr w:type="spellStart"/>
      <w:r w:rsidR="00777DCB" w:rsidRPr="00A52585">
        <w:rPr>
          <w:rFonts w:hint="cs"/>
          <w:sz w:val="24"/>
          <w:szCs w:val="24"/>
          <w:rtl/>
        </w:rPr>
        <w:t>إفحامه</w:t>
      </w:r>
      <w:proofErr w:type="spellEnd"/>
      <w:r w:rsidR="00777DCB" w:rsidRPr="00A52585">
        <w:rPr>
          <w:rFonts w:hint="cs"/>
          <w:sz w:val="24"/>
          <w:szCs w:val="24"/>
          <w:rtl/>
        </w:rPr>
        <w:t xml:space="preserve">، فقال {فإن الله يأتي بالشمس من المشرق فأت بها من المغرب، فبهت الذي كفر} وكان في مكنته عليه الصلاة والسلام أن يناقشه في دعواه ولكنه عدل إلى ما ترى لما ذكرنا، ثم ترقى بقومه في الاحتجاج عليهم بقوله {إني وجهت وجهي للذي فطر السموات والأرض} وليست جهة الاستدلال في هذه الحجة الأخيرة الأفول الذي ذكره في تلك، فإن السموات والأرض حاضرة ظاهرة أمام أعينهم لم تأفل وإنما جهة الاستدلال أنها أجسام، والأجسام من حيث هي ممكنة غير واجبة، حادثة غير قديمة، والعقول قاضية – إذا أنصفت- أن الممكن لا يملك الوجود لنفسه، فضلا عن أن يعطيه غيره، فلها – إذا </w:t>
      </w:r>
      <w:proofErr w:type="spellStart"/>
      <w:r w:rsidR="00777DCB" w:rsidRPr="00A52585">
        <w:rPr>
          <w:rFonts w:hint="cs"/>
          <w:sz w:val="24"/>
          <w:szCs w:val="24"/>
          <w:rtl/>
        </w:rPr>
        <w:t>عاليها</w:t>
      </w:r>
      <w:proofErr w:type="spellEnd"/>
      <w:r w:rsidR="00777DCB" w:rsidRPr="00A52585">
        <w:rPr>
          <w:rFonts w:hint="cs"/>
          <w:sz w:val="24"/>
          <w:szCs w:val="24"/>
          <w:rtl/>
        </w:rPr>
        <w:t xml:space="preserve"> وسافلها، </w:t>
      </w:r>
      <w:proofErr w:type="spellStart"/>
      <w:r w:rsidR="00777DCB" w:rsidRPr="00A52585">
        <w:rPr>
          <w:rFonts w:hint="cs"/>
          <w:sz w:val="24"/>
          <w:szCs w:val="24"/>
          <w:rtl/>
        </w:rPr>
        <w:t>مرتفعها</w:t>
      </w:r>
      <w:proofErr w:type="spellEnd"/>
      <w:r w:rsidR="00777DCB" w:rsidRPr="00A52585">
        <w:rPr>
          <w:rFonts w:hint="cs"/>
          <w:sz w:val="24"/>
          <w:szCs w:val="24"/>
          <w:rtl/>
        </w:rPr>
        <w:t xml:space="preserve">، ومنخفضها-فاطـر عظيم فطـرها وموجد واجب الوجود، علىُّ متعال عن الجسميـة ولوازمها، هو الذي يجب أن يتوجه له - وحده - بالعبادة. وفي اقتصار الخليل عليه الصلاة والسلام والرسل قبله وبعده على ذكر </w:t>
      </w:r>
      <w:proofErr w:type="gramStart"/>
      <w:r w:rsidR="00777DCB" w:rsidRPr="00A52585">
        <w:rPr>
          <w:rFonts w:hint="cs"/>
          <w:sz w:val="24"/>
          <w:szCs w:val="24"/>
          <w:rtl/>
        </w:rPr>
        <w:t>السموات</w:t>
      </w:r>
      <w:proofErr w:type="gramEnd"/>
      <w:r w:rsidR="00777DCB" w:rsidRPr="00A52585">
        <w:rPr>
          <w:rFonts w:hint="cs"/>
          <w:sz w:val="24"/>
          <w:szCs w:val="24"/>
          <w:rtl/>
        </w:rPr>
        <w:t xml:space="preserve"> والأرض الدلالة الواضحة على أن الحجة على الكافرين إنما هي </w:t>
      </w:r>
      <w:proofErr w:type="spellStart"/>
      <w:r w:rsidR="00777DCB" w:rsidRPr="00A52585">
        <w:rPr>
          <w:rFonts w:hint="cs"/>
          <w:sz w:val="24"/>
          <w:szCs w:val="24"/>
          <w:rtl/>
        </w:rPr>
        <w:t>بجسميتها</w:t>
      </w:r>
      <w:proofErr w:type="spellEnd"/>
      <w:r w:rsidR="00777DCB" w:rsidRPr="00A52585">
        <w:rPr>
          <w:rFonts w:hint="cs"/>
          <w:sz w:val="24"/>
          <w:szCs w:val="24"/>
          <w:rtl/>
        </w:rPr>
        <w:t>، ولوازم تلك الجسمية، وأن الأمر لا يحتاج إلا إلى اللفت والتنبيه. ولو كان في الأجسام ما يصح أن يكون واجباً غير ممكن، وقديما غير محدث، لوجد في الكفرة من يرد على المرسلين حجتهم هذه</w:t>
      </w:r>
      <w:r w:rsidR="00DB731D" w:rsidRPr="00A52585">
        <w:rPr>
          <w:rFonts w:hint="cs"/>
          <w:sz w:val="24"/>
          <w:szCs w:val="24"/>
          <w:rtl/>
        </w:rPr>
        <w:t>،</w:t>
      </w:r>
      <w:r w:rsidR="00777DCB" w:rsidRPr="00A52585">
        <w:rPr>
          <w:rFonts w:hint="cs"/>
          <w:sz w:val="24"/>
          <w:szCs w:val="24"/>
          <w:rtl/>
        </w:rPr>
        <w:t xml:space="preserve"> فقل لي – بربك – ما تكون قيمة عقل هذا الحراني الذي يقول في تأسيسه ما نقلناه لك عنه آنفا مما يخجل القلم من أن يكتبه مرة أخرى فها هو كتاب الله يقرر أن كل ما هو جسم فهو حادث، بل كل ما هو ذو قدر ولو في غاية الصغر فهو حادث، الله أحدثه، ويقول رسله الكرام ما هو واضح في إفادة هذا المعنى، ويحتج خليل الله بما سمعت، ولا يقول كافر من قومه ليست الأجسام كلها محدثة، بل يجوز أن يكون بعض الأجسام قديماً فيكون إلها، كما صرح بالقول بذلك – الحراني المسكين- في تأسيسه قال إنه يمكنه التزام القول بقدم بعض الأجسام، فأي جراءة على المعقول والمنقول أشنع من هذه الجراءة</w:t>
      </w:r>
      <w:r w:rsidR="00F95886" w:rsidRPr="00A52585">
        <w:rPr>
          <w:rFonts w:hint="cs"/>
          <w:sz w:val="24"/>
          <w:szCs w:val="24"/>
          <w:rtl/>
        </w:rPr>
        <w:t>؟</w:t>
      </w:r>
      <w:r w:rsidR="00777DCB" w:rsidRPr="00A52585">
        <w:rPr>
          <w:rFonts w:hint="cs"/>
          <w:sz w:val="24"/>
          <w:szCs w:val="24"/>
          <w:rtl/>
        </w:rPr>
        <w:t xml:space="preserve"> وكأن القائل بهذا لا يريد إلا أن يكون من تلك الفئة الخاسرة المادية، التي تقول إن المادة أو بعضها هي الفاعل لكل هذه الكائنات</w:t>
      </w:r>
      <w:r w:rsidR="00DB731D" w:rsidRPr="00A52585">
        <w:rPr>
          <w:rFonts w:hint="cs"/>
          <w:sz w:val="24"/>
          <w:szCs w:val="24"/>
          <w:rtl/>
        </w:rPr>
        <w:t>،</w:t>
      </w:r>
      <w:r w:rsidR="00777DCB" w:rsidRPr="00A52585">
        <w:rPr>
          <w:rFonts w:hint="cs"/>
          <w:sz w:val="24"/>
          <w:szCs w:val="24"/>
          <w:rtl/>
        </w:rPr>
        <w:t xml:space="preserve"> وقال تعالى {هو الله الخالق البارئ المصور} أي الموجد للكائنات كلها على القدر الذي قدره لها، بريئة من العيوب والمعطي لها ما يناسبها من الصور، والمتصف بهذا الوصف لا يكون ممكنا من الممكنات، فإن الممكن لا يملك وجود نفسه، فضلاً عن أن يفيضه على غيره، فيجب أن يكون واجب الوجود، وما وجب وجوده يجب له كمال الغنى، وكل مقدر بقدر صغر أو كبر فهو مفتقر إلى مقدره، فإذا كان جسما كان أشد فقراً، فواجب الوجود إذا يتعالى عن الصغر والكبر، </w:t>
      </w:r>
      <w:proofErr w:type="spellStart"/>
      <w:r w:rsidR="00777DCB" w:rsidRPr="00A52585">
        <w:rPr>
          <w:rFonts w:hint="cs"/>
          <w:sz w:val="24"/>
          <w:szCs w:val="24"/>
          <w:rtl/>
        </w:rPr>
        <w:t>والتقدر</w:t>
      </w:r>
      <w:proofErr w:type="spellEnd"/>
      <w:r w:rsidR="00777DCB" w:rsidRPr="00A52585">
        <w:rPr>
          <w:rFonts w:hint="cs"/>
          <w:sz w:val="24"/>
          <w:szCs w:val="24"/>
          <w:rtl/>
        </w:rPr>
        <w:t xml:space="preserve"> بأي قدر كان، هذا ما أجمع عليه العقلاء من الأولين والآخرين، الأنبياء والمرسلين، والصديقين والمقربين، من الصحابة والتابعين، ومن تبعهم من العلماء </w:t>
      </w:r>
      <w:r w:rsidR="00777DCB" w:rsidRPr="00A52585">
        <w:rPr>
          <w:rFonts w:hint="cs"/>
          <w:sz w:val="24"/>
          <w:szCs w:val="24"/>
          <w:rtl/>
        </w:rPr>
        <w:lastRenderedPageBreak/>
        <w:t>المرضيين</w:t>
      </w:r>
      <w:r w:rsidR="00DB731D" w:rsidRPr="00A52585">
        <w:rPr>
          <w:rFonts w:hint="cs"/>
          <w:sz w:val="24"/>
          <w:szCs w:val="24"/>
          <w:rtl/>
        </w:rPr>
        <w:t>،</w:t>
      </w:r>
      <w:r w:rsidR="00777DCB" w:rsidRPr="00A52585">
        <w:rPr>
          <w:rFonts w:hint="cs"/>
          <w:sz w:val="24"/>
          <w:szCs w:val="24"/>
          <w:rtl/>
        </w:rPr>
        <w:t xml:space="preserve"> وقال جل جلاله {ليس كمثله شيء} ولو كانت ذاته </w:t>
      </w:r>
      <w:proofErr w:type="spellStart"/>
      <w:r w:rsidR="00777DCB" w:rsidRPr="00A52585">
        <w:rPr>
          <w:rFonts w:hint="cs"/>
          <w:sz w:val="24"/>
          <w:szCs w:val="24"/>
          <w:rtl/>
        </w:rPr>
        <w:t>متقدرة</w:t>
      </w:r>
      <w:proofErr w:type="spellEnd"/>
      <w:r w:rsidR="00777DCB" w:rsidRPr="00A52585">
        <w:rPr>
          <w:rFonts w:hint="cs"/>
          <w:sz w:val="24"/>
          <w:szCs w:val="24"/>
          <w:rtl/>
        </w:rPr>
        <w:t xml:space="preserve"> بقدر، أو متركبة من أجزاء لكان له من خلقه أمثال لا تحصى – تعالى الله عما يقول أهل الهوى – وثبت في أسباب النزول أن المشركين قالوا لرسول الله صلى الله عليه وسلم صف لنا إلهك الذي تعبده</w:t>
      </w:r>
      <w:r w:rsidR="00897A24" w:rsidRPr="00A52585">
        <w:rPr>
          <w:rFonts w:hint="cs"/>
          <w:sz w:val="24"/>
          <w:szCs w:val="24"/>
          <w:rtl/>
        </w:rPr>
        <w:t>.</w:t>
      </w:r>
      <w:r w:rsidR="00777DCB" w:rsidRPr="00A52585">
        <w:rPr>
          <w:rFonts w:hint="cs"/>
          <w:sz w:val="24"/>
          <w:szCs w:val="24"/>
          <w:rtl/>
        </w:rPr>
        <w:t xml:space="preserve"> أمن فضة هـو أم من ذهب</w:t>
      </w:r>
      <w:r w:rsidR="00F95886" w:rsidRPr="00A52585">
        <w:rPr>
          <w:rFonts w:hint="cs"/>
          <w:sz w:val="24"/>
          <w:szCs w:val="24"/>
          <w:rtl/>
        </w:rPr>
        <w:t>؟</w:t>
      </w:r>
      <w:r w:rsidR="00777DCB" w:rsidRPr="00A52585">
        <w:rPr>
          <w:rFonts w:hint="cs"/>
          <w:sz w:val="24"/>
          <w:szCs w:val="24"/>
          <w:rtl/>
        </w:rPr>
        <w:t xml:space="preserve"> فأنزل الله في الجــواب سورة الإخلاص التي قال في أولها {قل هو الله أحد} وأول ما يدخل في هذه الأحدية دخولا أوليا براءة الذات العلية وتقدسها عن الأجزاء. لأن </w:t>
      </w:r>
      <w:proofErr w:type="spellStart"/>
      <w:r w:rsidR="00777DCB" w:rsidRPr="00A52585">
        <w:rPr>
          <w:rFonts w:hint="cs"/>
          <w:sz w:val="24"/>
          <w:szCs w:val="24"/>
          <w:rtl/>
        </w:rPr>
        <w:t>المسؤل</w:t>
      </w:r>
      <w:proofErr w:type="spellEnd"/>
      <w:r w:rsidR="00777DCB" w:rsidRPr="00A52585">
        <w:rPr>
          <w:rFonts w:hint="cs"/>
          <w:sz w:val="24"/>
          <w:szCs w:val="24"/>
          <w:rtl/>
        </w:rPr>
        <w:t xml:space="preserve"> عنه هو الأجزاء التي تركبت منها الذات كما تتركب أصنامهم، فأخبروا بالأحدية، والأحدية هي البراءة من الكثرة والتعالي في التوحد، فهو واحد في ألوهيته، وواحد في كل صفة من صفات كماله، ومن صفات كماله التعالي عن لوازم الإمكان، ومستلزمات الحدوث ومن أظهر ما يستلزم الحدوث تركب الذات وصحة انقسامها إلى الأجزاء وقول ذلك المغرور الجاهل بأوليات المعقول</w:t>
      </w:r>
      <w:r w:rsidRPr="00A52585">
        <w:rPr>
          <w:rFonts w:hint="cs"/>
          <w:sz w:val="24"/>
          <w:szCs w:val="24"/>
          <w:rtl/>
        </w:rPr>
        <w:t>:</w:t>
      </w:r>
      <w:r w:rsidR="00777DCB" w:rsidRPr="00A52585">
        <w:rPr>
          <w:rFonts w:hint="cs"/>
          <w:sz w:val="24"/>
          <w:szCs w:val="24"/>
          <w:rtl/>
        </w:rPr>
        <w:t xml:space="preserve"> إن التركب والانقسام إلى الأجزاء لا يستلزم الحدوث</w:t>
      </w:r>
      <w:r w:rsidRPr="00A52585">
        <w:rPr>
          <w:rFonts w:hint="cs"/>
          <w:sz w:val="24"/>
          <w:szCs w:val="24"/>
          <w:rtl/>
        </w:rPr>
        <w:t>:</w:t>
      </w:r>
      <w:r w:rsidR="00777DCB" w:rsidRPr="00A52585">
        <w:rPr>
          <w:rFonts w:hint="cs"/>
          <w:sz w:val="24"/>
          <w:szCs w:val="24"/>
          <w:rtl/>
        </w:rPr>
        <w:t xml:space="preserve"> هو خروج عن دلائل القرآن، وإجماع المرسلين، وما عليه أئمة كل دين منزل، ما داموا على دينهم الذي جاءهم من رب العالمين، بل خروج على ما أودع الله في الفطر السليمة من أن الأجسام والمركبات كلها في دائرة الإمكان، لا يتخطى واحد منها ولا أنملة واحدة إلى دائرة وجوب الوجود، وإن كان جالسا على أعلى العرش، أو على ما هو أعلى من ذلك بما بين الثرى إلى العرش ألوف </w:t>
      </w:r>
      <w:proofErr w:type="spellStart"/>
      <w:r w:rsidR="00777DCB" w:rsidRPr="00A52585">
        <w:rPr>
          <w:rFonts w:hint="cs"/>
          <w:sz w:val="24"/>
          <w:szCs w:val="24"/>
          <w:rtl/>
        </w:rPr>
        <w:t>ألوف</w:t>
      </w:r>
      <w:proofErr w:type="spellEnd"/>
      <w:r w:rsidR="00777DCB" w:rsidRPr="00A52585">
        <w:rPr>
          <w:rFonts w:hint="cs"/>
          <w:sz w:val="24"/>
          <w:szCs w:val="24"/>
          <w:rtl/>
        </w:rPr>
        <w:t xml:space="preserve"> المرات فالمعتقد أن معبود متركب متصور جالس فوق عرش العروش، بل فوق ما هو أعلى من ذلك مما يقدره أوسع وهم فما هو بعابد خالق العالمين، وباعث المرسلين، ورب الأرواح والأشباح أجمعين، وإنما هو عابد وثن نحته بمنحت عقله من جلاميد وهمه، وإنما جاءت الشرائع الإلهية لهدم الوثنيات، ومحو عبادة المنحوتات في أي صورة تصورت، علت أو تسفلت "</w:t>
      </w:r>
      <w:r w:rsidR="00897A24" w:rsidRPr="00A52585">
        <w:rPr>
          <w:rFonts w:hint="cs"/>
          <w:sz w:val="24"/>
          <w:szCs w:val="24"/>
          <w:rtl/>
        </w:rPr>
        <w:t>.</w:t>
      </w:r>
      <w:r w:rsidR="00777DCB"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777DCB" w:rsidRPr="00A52585">
        <w:rPr>
          <w:rFonts w:hint="cs"/>
          <w:sz w:val="24"/>
          <w:szCs w:val="24"/>
          <w:rtl/>
        </w:rPr>
        <w:t xml:space="preserve"> ص 219-224</w:t>
      </w:r>
      <w:r w:rsidR="00DB731D" w:rsidRPr="00A52585">
        <w:rPr>
          <w:rFonts w:hint="cs"/>
          <w:sz w:val="24"/>
          <w:szCs w:val="24"/>
          <w:rtl/>
        </w:rPr>
        <w:t>،</w:t>
      </w:r>
      <w:r w:rsidRPr="00A52585">
        <w:rPr>
          <w:rFonts w:hint="cs"/>
          <w:sz w:val="24"/>
          <w:szCs w:val="24"/>
          <w:rtl/>
        </w:rPr>
        <w:t>]</w:t>
      </w:r>
      <w:r w:rsidR="00777DCB" w:rsidRPr="00A52585">
        <w:rPr>
          <w:rFonts w:hint="cs"/>
          <w:sz w:val="24"/>
          <w:szCs w:val="24"/>
          <w:rtl/>
        </w:rPr>
        <w:t xml:space="preserve"> </w:t>
      </w:r>
    </w:p>
    <w:p w14:paraId="49723DEF" w14:textId="77777777" w:rsidR="00777DCB" w:rsidRPr="00A52585" w:rsidRDefault="00777DCB" w:rsidP="0002035C">
      <w:pPr>
        <w:spacing w:after="240"/>
        <w:jc w:val="center"/>
        <w:rPr>
          <w:b/>
          <w:rtl/>
        </w:rPr>
      </w:pPr>
      <w:r w:rsidRPr="00A52585">
        <w:rPr>
          <w:rFonts w:hint="cs"/>
          <w:rtl/>
        </w:rPr>
        <w:t>***</w:t>
      </w:r>
    </w:p>
    <w:p w14:paraId="3EBED743" w14:textId="3CD4833A"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واجبات علماء الآخرة</w:t>
      </w:r>
      <w:r w:rsidRPr="00A52585">
        <w:rPr>
          <w:rFonts w:hint="cs"/>
          <w:bCs/>
          <w:rtl/>
        </w:rPr>
        <w:t>]</w:t>
      </w:r>
    </w:p>
    <w:p w14:paraId="3A54EC39" w14:textId="33F8944F" w:rsidR="00777DCB" w:rsidRPr="00A52585" w:rsidRDefault="00777DCB" w:rsidP="0002035C">
      <w:pPr>
        <w:spacing w:after="240"/>
        <w:rPr>
          <w:b/>
          <w:rtl/>
        </w:rPr>
      </w:pPr>
      <w:r w:rsidRPr="00A52585">
        <w:rPr>
          <w:rFonts w:hint="cs"/>
          <w:rtl/>
        </w:rPr>
        <w:t xml:space="preserve"> واجبات علماء الآخرة التحلي بالإخلاص والصدق والاحتراز عما يوقع في الشبه والالتباس</w:t>
      </w:r>
      <w:r w:rsidR="00DB731D" w:rsidRPr="00A52585">
        <w:rPr>
          <w:rFonts w:hint="cs"/>
          <w:rtl/>
        </w:rPr>
        <w:t>،</w:t>
      </w:r>
      <w:r w:rsidRPr="00A52585">
        <w:rPr>
          <w:rFonts w:hint="cs"/>
          <w:rtl/>
        </w:rPr>
        <w:t xml:space="preserve"> وهؤلاء العلماء ورثة الأنبياء عليهم الصلاة والسلام الذين قربوا من درجة النبوة</w:t>
      </w:r>
      <w:r w:rsidR="00DB731D" w:rsidRPr="00A52585">
        <w:rPr>
          <w:rFonts w:hint="cs"/>
          <w:rtl/>
        </w:rPr>
        <w:t>،</w:t>
      </w:r>
      <w:r w:rsidRPr="00A52585">
        <w:rPr>
          <w:rFonts w:hint="cs"/>
          <w:rtl/>
        </w:rPr>
        <w:t xml:space="preserve"> لأنهم دلوا الناس على ما جاءت به الرسل عليهم الصلاة والسلام</w:t>
      </w:r>
      <w:r w:rsidR="00DB731D" w:rsidRPr="00A52585">
        <w:rPr>
          <w:rFonts w:hint="cs"/>
          <w:rtl/>
        </w:rPr>
        <w:t>،</w:t>
      </w:r>
      <w:r w:rsidRPr="00A52585">
        <w:rPr>
          <w:rFonts w:hint="cs"/>
          <w:rtl/>
        </w:rPr>
        <w:t xml:space="preserve"> ويرجح مدادهم على دم الشهداء</w:t>
      </w:r>
      <w:r w:rsidR="00DB731D" w:rsidRPr="00A52585">
        <w:rPr>
          <w:rFonts w:hint="cs"/>
          <w:rtl/>
        </w:rPr>
        <w:t>،</w:t>
      </w:r>
      <w:r w:rsidRPr="00A52585">
        <w:rPr>
          <w:rFonts w:hint="cs"/>
          <w:rtl/>
        </w:rPr>
        <w:t xml:space="preserve"> ويستغفر لهم من في السموات والأرض حتى الحيتان في الماء</w:t>
      </w:r>
      <w:r w:rsidR="00DB731D" w:rsidRPr="00A52585">
        <w:rPr>
          <w:rFonts w:hint="cs"/>
          <w:rtl/>
        </w:rPr>
        <w:t>،</w:t>
      </w:r>
      <w:r w:rsidRPr="00A52585">
        <w:rPr>
          <w:rFonts w:hint="cs"/>
          <w:rtl/>
        </w:rPr>
        <w:t xml:space="preserve"> وهم أمناء الله عز وجل في أرضه وأحدهم أشد على الشيطان من ألف عابد</w:t>
      </w:r>
      <w:r w:rsidR="00DB731D" w:rsidRPr="00A52585">
        <w:rPr>
          <w:rFonts w:hint="cs"/>
          <w:rtl/>
        </w:rPr>
        <w:t>،</w:t>
      </w:r>
      <w:r w:rsidRPr="00A52585">
        <w:rPr>
          <w:rFonts w:hint="cs"/>
          <w:rtl/>
        </w:rPr>
        <w:t xml:space="preserve"> </w:t>
      </w:r>
      <w:r w:rsidRPr="00A52585">
        <w:rPr>
          <w:rFonts w:hint="cs"/>
          <w:spacing w:val="-18"/>
          <w:rtl/>
        </w:rPr>
        <w:t>وقد قيل في</w:t>
      </w:r>
      <w:r w:rsidRPr="00A52585">
        <w:rPr>
          <w:rFonts w:hint="cs"/>
          <w:spacing w:val="-6"/>
          <w:rtl/>
        </w:rPr>
        <w:t xml:space="preserve"> </w:t>
      </w:r>
      <w:r w:rsidRPr="00A52585">
        <w:rPr>
          <w:rFonts w:hint="cs"/>
          <w:spacing w:val="-14"/>
          <w:rtl/>
        </w:rPr>
        <w:t>قوله</w:t>
      </w:r>
      <w:r w:rsidRPr="00A52585">
        <w:rPr>
          <w:rFonts w:hint="cs"/>
          <w:rtl/>
        </w:rPr>
        <w:t xml:space="preserve"> تعالى</w:t>
      </w:r>
      <w:r w:rsidR="0002035C" w:rsidRPr="00A52585">
        <w:rPr>
          <w:rFonts w:hint="cs"/>
          <w:rtl/>
        </w:rPr>
        <w:t>:</w:t>
      </w:r>
      <w:r w:rsidRPr="00A52585">
        <w:rPr>
          <w:rFonts w:hint="cs"/>
          <w:rtl/>
        </w:rPr>
        <w:t xml:space="preserve"> {رَبِّ زِدْنِي عِلْماً} </w:t>
      </w:r>
      <w:r w:rsidR="0002035C" w:rsidRPr="00A52585">
        <w:rPr>
          <w:rFonts w:hint="cs"/>
          <w:rtl/>
        </w:rPr>
        <w:t>[</w:t>
      </w:r>
      <w:r w:rsidRPr="00A52585">
        <w:rPr>
          <w:rFonts w:hint="cs"/>
          <w:rtl/>
        </w:rPr>
        <w:t>طه</w:t>
      </w:r>
      <w:r w:rsidR="0002035C" w:rsidRPr="00A52585">
        <w:rPr>
          <w:rFonts w:hint="cs"/>
          <w:rtl/>
        </w:rPr>
        <w:t>:</w:t>
      </w:r>
      <w:r w:rsidRPr="00A52585">
        <w:rPr>
          <w:rFonts w:hint="cs"/>
          <w:rtl/>
        </w:rPr>
        <w:t xml:space="preserve"> 114</w:t>
      </w:r>
      <w:r w:rsidR="0002035C" w:rsidRPr="00A52585">
        <w:rPr>
          <w:rFonts w:hint="cs"/>
          <w:rtl/>
        </w:rPr>
        <w:t>]</w:t>
      </w:r>
      <w:r w:rsidR="00DB731D" w:rsidRPr="00A52585">
        <w:rPr>
          <w:rFonts w:hint="cs"/>
          <w:rtl/>
        </w:rPr>
        <w:t>،</w:t>
      </w:r>
      <w:r w:rsidRPr="00A52585">
        <w:rPr>
          <w:rFonts w:hint="cs"/>
          <w:rtl/>
        </w:rPr>
        <w:t xml:space="preserve"> أي زدني علماً بالقرآن ومعانيه</w:t>
      </w:r>
      <w:r w:rsidR="00DB731D" w:rsidRPr="00A52585">
        <w:rPr>
          <w:rFonts w:hint="cs"/>
          <w:rtl/>
        </w:rPr>
        <w:t>،</w:t>
      </w:r>
      <w:r w:rsidRPr="00A52585">
        <w:rPr>
          <w:rFonts w:hint="cs"/>
          <w:rtl/>
        </w:rPr>
        <w:t xml:space="preserve"> </w:t>
      </w:r>
      <w:r w:rsidRPr="00A52585">
        <w:rPr>
          <w:rFonts w:hint="cs"/>
          <w:spacing w:val="-8"/>
          <w:rtl/>
        </w:rPr>
        <w:t>وهؤلاء لهم علم لَدُنِّي</w:t>
      </w:r>
      <w:r w:rsidRPr="00A52585">
        <w:rPr>
          <w:rFonts w:hint="cs"/>
          <w:spacing w:val="-8"/>
          <w:vertAlign w:val="superscript"/>
          <w:rtl/>
        </w:rPr>
        <w:t xml:space="preserve"> </w:t>
      </w:r>
      <w:r w:rsidRPr="00A52585">
        <w:rPr>
          <w:rFonts w:hint="cs"/>
          <w:spacing w:val="-8"/>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 xml:space="preserve">يعرف الإمام الغزالي العلم </w:t>
      </w:r>
      <w:proofErr w:type="spellStart"/>
      <w:r w:rsidRPr="00A52585">
        <w:rPr>
          <w:rFonts w:hint="cs"/>
          <w:sz w:val="24"/>
          <w:szCs w:val="24"/>
          <w:rtl/>
        </w:rPr>
        <w:t>اللَّدُنِّي</w:t>
      </w:r>
      <w:proofErr w:type="spellEnd"/>
      <w:r w:rsidRPr="00A52585">
        <w:rPr>
          <w:rFonts w:hint="cs"/>
          <w:sz w:val="24"/>
          <w:szCs w:val="24"/>
          <w:rtl/>
        </w:rPr>
        <w:t xml:space="preserve"> بأنه</w:t>
      </w:r>
      <w:r w:rsidR="0002035C" w:rsidRPr="00A52585">
        <w:rPr>
          <w:rFonts w:hint="cs"/>
          <w:sz w:val="24"/>
          <w:szCs w:val="24"/>
          <w:rtl/>
        </w:rPr>
        <w:t xml:space="preserve">: </w:t>
      </w:r>
      <w:r w:rsidRPr="00A52585">
        <w:rPr>
          <w:rFonts w:hint="cs"/>
          <w:sz w:val="24"/>
          <w:szCs w:val="24"/>
          <w:rtl/>
        </w:rPr>
        <w:t>" الذي ينفتح في سرِّ القلب من غير سبب مألوف من خارج"</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انظر الإحياء مع شرحه (إتحاف السادة المتقين) ط العلمية ج8 ص 478]</w:t>
      </w:r>
      <w:r w:rsidRPr="00A52585">
        <w:rPr>
          <w:rFonts w:hint="cs"/>
          <w:spacing w:val="-8"/>
          <w:sz w:val="24"/>
          <w:szCs w:val="24"/>
          <w:rtl/>
        </w:rPr>
        <w:t xml:space="preserve"> يرد على قلوبهم من غيب الهدى لها جولان في الملكوت فترجع إلى صاحبها بطرائق الحكمة</w:t>
      </w:r>
      <w:r w:rsidRPr="00A52585">
        <w:rPr>
          <w:rFonts w:hint="cs"/>
          <w:spacing w:val="-16"/>
          <w:sz w:val="24"/>
          <w:szCs w:val="24"/>
          <w:rtl/>
        </w:rPr>
        <w:t xml:space="preserve"> من غير </w:t>
      </w:r>
      <w:r w:rsidRPr="00A52585">
        <w:rPr>
          <w:rFonts w:hint="cs"/>
          <w:spacing w:val="-8"/>
          <w:sz w:val="24"/>
          <w:szCs w:val="24"/>
          <w:rtl/>
        </w:rPr>
        <w:t xml:space="preserve">أن يلقي إليها عالم </w:t>
      </w:r>
      <w:r w:rsidRPr="00A52585">
        <w:rPr>
          <w:rFonts w:hint="cs"/>
          <w:sz w:val="24"/>
          <w:szCs w:val="24"/>
          <w:rtl/>
        </w:rPr>
        <w:t>علمه [يقول حجة الإسلام في كتاب (عجائب القلب) في الإحياء</w:t>
      </w:r>
      <w:r w:rsidR="0002035C" w:rsidRPr="00A52585">
        <w:rPr>
          <w:rFonts w:hint="cs"/>
          <w:sz w:val="24"/>
          <w:szCs w:val="24"/>
          <w:rtl/>
        </w:rPr>
        <w:t>:</w:t>
      </w:r>
      <w:r w:rsidRPr="00A52585">
        <w:rPr>
          <w:rFonts w:hint="cs"/>
          <w:sz w:val="24"/>
          <w:szCs w:val="24"/>
          <w:rtl/>
        </w:rPr>
        <w:t xml:space="preserve"> " لا يعرف العاقل ما أفتتح الله على أوليـــائه وأنبيائه من مزايا لطفـــه ورحمته </w:t>
      </w:r>
      <w:r w:rsidR="0002035C" w:rsidRPr="00A52585">
        <w:rPr>
          <w:rFonts w:hint="cs"/>
          <w:sz w:val="24"/>
          <w:szCs w:val="24"/>
          <w:rtl/>
        </w:rPr>
        <w:t>{</w:t>
      </w:r>
      <w:r w:rsidRPr="00A52585">
        <w:rPr>
          <w:rFonts w:hint="cs"/>
          <w:sz w:val="24"/>
          <w:szCs w:val="24"/>
          <w:rtl/>
        </w:rPr>
        <w:t>ما يفتح الله للناس من رحمـة فلا ممسك لها}</w:t>
      </w:r>
      <w:r w:rsidR="0002035C" w:rsidRPr="00A52585">
        <w:rPr>
          <w:rFonts w:hint="cs"/>
          <w:sz w:val="24"/>
          <w:szCs w:val="24"/>
          <w:rtl/>
        </w:rPr>
        <w:t xml:space="preserve"> [</w:t>
      </w:r>
      <w:r w:rsidRPr="00A52585">
        <w:rPr>
          <w:rFonts w:hint="cs"/>
          <w:sz w:val="24"/>
          <w:szCs w:val="24"/>
          <w:rtl/>
        </w:rPr>
        <w:t>فاطر</w:t>
      </w:r>
      <w:r w:rsidR="0002035C" w:rsidRPr="00A52585">
        <w:rPr>
          <w:rFonts w:hint="cs"/>
          <w:sz w:val="24"/>
          <w:szCs w:val="24"/>
          <w:rtl/>
        </w:rPr>
        <w:t>:</w:t>
      </w:r>
      <w:r w:rsidRPr="00A52585">
        <w:rPr>
          <w:rFonts w:hint="cs"/>
          <w:sz w:val="24"/>
          <w:szCs w:val="24"/>
          <w:rtl/>
        </w:rPr>
        <w:t xml:space="preserve">2] وهذه الرحمة مبذولة بحكم الجود والكرم من الله سبحانه وتعالى غير </w:t>
      </w:r>
      <w:r w:rsidRPr="00A52585">
        <w:rPr>
          <w:rFonts w:hint="cs"/>
          <w:sz w:val="24"/>
          <w:szCs w:val="24"/>
          <w:rtl/>
        </w:rPr>
        <w:lastRenderedPageBreak/>
        <w:t>مضنون بها على أحد، ولكن إنما تظهر في القلوب المتعرضة لنفحات رحمة الله تعالى كما قال صلى الله عليه وسلم " إن لربكم في أيام دهركم لنفحات ألا فتعرضوا لها " والتعرض لها بتطهير القلب وتزكيته من الخبث والكدورة الحاصلة من الأخلاق المذمومة. وإلى هذا الجود الإشارة بقوله صلى الله عليه وسلم " ينزل الله كل ليلة إلى سماء الدنيا فيقول</w:t>
      </w:r>
      <w:r w:rsidR="0002035C" w:rsidRPr="00A52585">
        <w:rPr>
          <w:rFonts w:hint="cs"/>
          <w:sz w:val="24"/>
          <w:szCs w:val="24"/>
          <w:rtl/>
        </w:rPr>
        <w:t>:</w:t>
      </w:r>
      <w:r w:rsidRPr="00A52585">
        <w:rPr>
          <w:rFonts w:hint="cs"/>
          <w:sz w:val="24"/>
          <w:szCs w:val="24"/>
          <w:rtl/>
        </w:rPr>
        <w:t xml:space="preserve"> هل من داع فأستجيب له</w:t>
      </w:r>
      <w:r w:rsidR="0002035C" w:rsidRPr="00A52585">
        <w:rPr>
          <w:rFonts w:hint="cs"/>
          <w:sz w:val="24"/>
          <w:szCs w:val="24"/>
          <w:rtl/>
        </w:rPr>
        <w:t xml:space="preserve"> </w:t>
      </w:r>
      <w:r w:rsidRPr="00A52585">
        <w:rPr>
          <w:rFonts w:hint="cs"/>
          <w:sz w:val="24"/>
          <w:szCs w:val="24"/>
          <w:rtl/>
        </w:rPr>
        <w:t>" وبقوله تعالى</w:t>
      </w:r>
      <w:r w:rsidR="0002035C" w:rsidRPr="00A52585">
        <w:rPr>
          <w:rFonts w:hint="cs"/>
          <w:sz w:val="24"/>
          <w:szCs w:val="24"/>
          <w:rtl/>
        </w:rPr>
        <w:t>:</w:t>
      </w:r>
      <w:r w:rsidRPr="00A52585">
        <w:rPr>
          <w:rFonts w:hint="cs"/>
          <w:sz w:val="24"/>
          <w:szCs w:val="24"/>
          <w:rtl/>
        </w:rPr>
        <w:t xml:space="preserve"> " من تقرب إليّ شبراً تقربت إليه ذراعاً</w:t>
      </w:r>
      <w:r w:rsidR="0002035C" w:rsidRPr="00A52585">
        <w:rPr>
          <w:rFonts w:hint="cs"/>
          <w:sz w:val="24"/>
          <w:szCs w:val="24"/>
          <w:rtl/>
        </w:rPr>
        <w:t xml:space="preserve"> </w:t>
      </w:r>
      <w:r w:rsidRPr="00A52585">
        <w:rPr>
          <w:rFonts w:hint="cs"/>
          <w:sz w:val="24"/>
          <w:szCs w:val="24"/>
          <w:rtl/>
        </w:rPr>
        <w:t>"، كل ذلك إشارة إلى أن أنوار العلوم لم تحتجب عن القلوب لبخل ومنع من جهة المنعم تعالى عن البخل والمنع علواً كبيراً ولكن حجبت لخبث وكدورة وشغل من جهة القلوب، فإن القلوب كالأواني فما دامت ممتلئة بالماء لا يدخلها الهواء فالقلوب المشغولة بغير الله لا تدخلها المعرفة بجلال الله، وإليه الإشارة بقوله صلى الله عليه وسلم</w:t>
      </w:r>
      <w:r w:rsidR="0002035C" w:rsidRPr="00A52585">
        <w:rPr>
          <w:rFonts w:hint="cs"/>
          <w:sz w:val="24"/>
          <w:szCs w:val="24"/>
          <w:rtl/>
        </w:rPr>
        <w:t>:</w:t>
      </w:r>
      <w:r w:rsidRPr="00A52585">
        <w:rPr>
          <w:rFonts w:hint="cs"/>
          <w:sz w:val="24"/>
          <w:szCs w:val="24"/>
          <w:rtl/>
        </w:rPr>
        <w:t xml:space="preserve"> " لولا أن الشياطين يحومون على قلوب بني آدم لنظروا إلى ملكوت السماء " ومن هذه الجملة يتبين أن خاصية الإنسان</w:t>
      </w:r>
      <w:r w:rsidR="0002035C" w:rsidRPr="00A52585">
        <w:rPr>
          <w:rFonts w:hint="cs"/>
          <w:sz w:val="24"/>
          <w:szCs w:val="24"/>
          <w:rtl/>
        </w:rPr>
        <w:t>:</w:t>
      </w:r>
      <w:r w:rsidRPr="00A52585">
        <w:rPr>
          <w:rFonts w:hint="cs"/>
          <w:sz w:val="24"/>
          <w:szCs w:val="24"/>
          <w:rtl/>
        </w:rPr>
        <w:t xml:space="preserve"> </w:t>
      </w:r>
      <w:r w:rsidRPr="00A52585">
        <w:rPr>
          <w:rFonts w:hint="cs"/>
          <w:bCs/>
          <w:sz w:val="24"/>
          <w:szCs w:val="24"/>
          <w:rtl/>
        </w:rPr>
        <w:t>العلم والحكمة</w:t>
      </w:r>
      <w:r w:rsidRPr="00A52585">
        <w:rPr>
          <w:rFonts w:hint="cs"/>
          <w:sz w:val="24"/>
          <w:szCs w:val="24"/>
          <w:rtl/>
        </w:rPr>
        <w:t>، وأشرف أنواع العلم هو</w:t>
      </w:r>
      <w:r w:rsidR="0002035C" w:rsidRPr="00A52585">
        <w:rPr>
          <w:rFonts w:hint="cs"/>
          <w:sz w:val="24"/>
          <w:szCs w:val="24"/>
          <w:rtl/>
        </w:rPr>
        <w:t>:</w:t>
      </w:r>
      <w:r w:rsidRPr="00A52585">
        <w:rPr>
          <w:rFonts w:hint="cs"/>
          <w:sz w:val="24"/>
          <w:szCs w:val="24"/>
          <w:rtl/>
        </w:rPr>
        <w:t xml:space="preserve"> العلم بالله وصفاته وأفعاله فبه </w:t>
      </w:r>
      <w:r w:rsidRPr="00A52585">
        <w:rPr>
          <w:rFonts w:hint="cs"/>
          <w:spacing w:val="-8"/>
          <w:sz w:val="24"/>
          <w:szCs w:val="24"/>
          <w:rtl/>
        </w:rPr>
        <w:t>كمال</w:t>
      </w:r>
      <w:r w:rsidRPr="00A52585">
        <w:rPr>
          <w:rFonts w:hint="cs"/>
          <w:sz w:val="24"/>
          <w:szCs w:val="24"/>
          <w:rtl/>
        </w:rPr>
        <w:t xml:space="preserve"> الإنسان وفي كماله سعادته و</w:t>
      </w:r>
      <w:r w:rsidRPr="00A52585">
        <w:rPr>
          <w:rFonts w:hint="cs"/>
          <w:spacing w:val="-6"/>
          <w:sz w:val="24"/>
          <w:szCs w:val="24"/>
          <w:rtl/>
        </w:rPr>
        <w:t>صلاحه</w:t>
      </w:r>
      <w:r w:rsidRPr="00A52585">
        <w:rPr>
          <w:rFonts w:hint="cs"/>
          <w:sz w:val="24"/>
          <w:szCs w:val="24"/>
          <w:rtl/>
        </w:rPr>
        <w:t xml:space="preserve"> لجوار </w:t>
      </w:r>
      <w:r w:rsidRPr="00A52585">
        <w:rPr>
          <w:rFonts w:hint="cs"/>
          <w:spacing w:val="-6"/>
          <w:sz w:val="24"/>
          <w:szCs w:val="24"/>
          <w:rtl/>
        </w:rPr>
        <w:t>حضرة</w:t>
      </w:r>
      <w:r w:rsidRPr="00A52585">
        <w:rPr>
          <w:rFonts w:hint="cs"/>
          <w:sz w:val="24"/>
          <w:szCs w:val="24"/>
          <w:rtl/>
        </w:rPr>
        <w:t xml:space="preserve"> الجلال </w:t>
      </w:r>
      <w:proofErr w:type="spellStart"/>
      <w:r w:rsidRPr="00A52585">
        <w:rPr>
          <w:rFonts w:hint="cs"/>
          <w:sz w:val="24"/>
          <w:szCs w:val="24"/>
          <w:rtl/>
        </w:rPr>
        <w:t>والكمال.أ.ه</w:t>
      </w:r>
      <w:proofErr w:type="spellEnd"/>
      <w:r w:rsidRPr="00A52585">
        <w:rPr>
          <w:rFonts w:hint="cs"/>
          <w:sz w:val="24"/>
          <w:szCs w:val="24"/>
          <w:rtl/>
        </w:rPr>
        <w:t>ـ بتصرف (الإحياء مع شرحه إتحاف السادة المتقين 8/402- 404ط العلمية). ثم أوضح حجة الإسلام أن هذه العلوم- التي ليست ضرورية- والحاصلة في القلب على نوعين، الأول</w:t>
      </w:r>
      <w:r w:rsidR="0002035C" w:rsidRPr="00A52585">
        <w:rPr>
          <w:rFonts w:hint="cs"/>
          <w:sz w:val="24"/>
          <w:szCs w:val="24"/>
          <w:rtl/>
        </w:rPr>
        <w:t>:</w:t>
      </w:r>
      <w:r w:rsidRPr="00A52585">
        <w:rPr>
          <w:rFonts w:hint="cs"/>
          <w:sz w:val="24"/>
          <w:szCs w:val="24"/>
          <w:rtl/>
        </w:rPr>
        <w:t xml:space="preserve"> ما يكتسب بطريق الاستدلال والتعلم شأن عامة العلماء، والثاني</w:t>
      </w:r>
      <w:r w:rsidR="0002035C" w:rsidRPr="00A52585">
        <w:rPr>
          <w:rFonts w:hint="cs"/>
          <w:sz w:val="24"/>
          <w:szCs w:val="24"/>
          <w:rtl/>
        </w:rPr>
        <w:t>:</w:t>
      </w:r>
      <w:r w:rsidRPr="00A52585">
        <w:rPr>
          <w:rFonts w:hint="cs"/>
          <w:sz w:val="24"/>
          <w:szCs w:val="24"/>
          <w:rtl/>
        </w:rPr>
        <w:t xml:space="preserve"> ما يهجم على القلب بغير حيلة وتعلم واجتهاد كأنه ألقي فيه من حيث لا يدري ويسمى </w:t>
      </w:r>
      <w:r w:rsidRPr="00A52585">
        <w:rPr>
          <w:rFonts w:hint="cs"/>
          <w:bCs/>
          <w:sz w:val="24"/>
          <w:szCs w:val="24"/>
          <w:rtl/>
        </w:rPr>
        <w:t>الإلهام والنفث في الروع</w:t>
      </w:r>
      <w:r w:rsidRPr="00A52585">
        <w:rPr>
          <w:rFonts w:hint="cs"/>
          <w:sz w:val="24"/>
          <w:szCs w:val="24"/>
          <w:rtl/>
        </w:rPr>
        <w:t xml:space="preserve"> وهذا حال الأولياء والأصفياء من علماء الآخرة تهب عليهم رياح الألطاف وتنكشف الحجب عن أعين القلوب فينجلي فيها بعض ما هو مسطور في اللوح المحفوظ ويكون ذلك تارة عند المنام وتارة في اليقظة حتى يرتفع الحجاب بلطف خفي من الله تعالى فيلمع في القلوب من وراء ستر الغيب شيء من غرائب العلم</w:t>
      </w:r>
      <w:r w:rsidR="0002035C" w:rsidRPr="00A52585">
        <w:rPr>
          <w:rFonts w:hint="cs"/>
          <w:sz w:val="24"/>
          <w:szCs w:val="24"/>
          <w:rtl/>
        </w:rPr>
        <w:t>:</w:t>
      </w:r>
      <w:r w:rsidRPr="00A52585">
        <w:rPr>
          <w:rFonts w:hint="cs"/>
          <w:sz w:val="24"/>
          <w:szCs w:val="24"/>
          <w:rtl/>
        </w:rPr>
        <w:t xml:space="preserve"> تارة كالبرق الخاطف وأخرى على التوالي إلى حَدٍّ ما ودوامه في غاية الندرة]</w:t>
      </w:r>
      <w:r w:rsidR="00DB731D" w:rsidRPr="00A52585">
        <w:rPr>
          <w:rFonts w:hint="cs"/>
          <w:sz w:val="24"/>
          <w:szCs w:val="24"/>
          <w:rtl/>
        </w:rPr>
        <w:t>،</w:t>
      </w:r>
      <w:r w:rsidRPr="00A52585">
        <w:rPr>
          <w:rFonts w:hint="cs"/>
          <w:rtl/>
        </w:rPr>
        <w:t xml:space="preserve"> ومن ثمرة ذلك حصول الخشية وتزايد الخوف والعمل بالإخلاص والصدق والزهد وصون النفس عن مواطن الهلكة وإلاّ هلك وأهلك غيره</w:t>
      </w:r>
      <w:r w:rsidR="00DB731D" w:rsidRPr="00A52585">
        <w:rPr>
          <w:rFonts w:hint="cs"/>
          <w:rtl/>
        </w:rPr>
        <w:t>،</w:t>
      </w:r>
      <w:r w:rsidRPr="00A52585">
        <w:rPr>
          <w:rFonts w:hint="cs"/>
          <w:rtl/>
        </w:rPr>
        <w:t xml:space="preserve"> ومثل العالم كمثل السفينة إذا تخرقت غَرِقَتْ وغرق أهلها</w:t>
      </w:r>
      <w:r w:rsidR="00DB731D" w:rsidRPr="00A52585">
        <w:rPr>
          <w:rFonts w:hint="cs"/>
          <w:rtl/>
        </w:rPr>
        <w:t>،</w:t>
      </w:r>
      <w:r w:rsidRPr="00A52585">
        <w:rPr>
          <w:rFonts w:hint="cs"/>
          <w:rtl/>
        </w:rPr>
        <w:t xml:space="preserve"> فواجب حتم على العالم أن يحترز لئلا يَهْلَكَ ويُهْلِكَ غيره فيلقى الله تعالى بذنوبه وذنوب غيره فيضاعف عليه العذاب</w:t>
      </w:r>
      <w:r w:rsidR="00DB731D" w:rsidRPr="00A52585">
        <w:rPr>
          <w:rFonts w:hint="cs"/>
          <w:rtl/>
        </w:rPr>
        <w:t>،</w:t>
      </w:r>
      <w:r w:rsidRPr="00A52585">
        <w:rPr>
          <w:rFonts w:hint="cs"/>
          <w:rtl/>
        </w:rPr>
        <w:t xml:space="preserve"> قال محمد بن المنكدر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هو</w:t>
      </w:r>
      <w:r w:rsidR="0002035C" w:rsidRPr="00A52585">
        <w:rPr>
          <w:rFonts w:hint="cs"/>
          <w:sz w:val="24"/>
          <w:szCs w:val="24"/>
          <w:rtl/>
        </w:rPr>
        <w:t>:</w:t>
      </w:r>
      <w:r w:rsidRPr="00A52585">
        <w:rPr>
          <w:rFonts w:hint="cs"/>
          <w:sz w:val="24"/>
          <w:szCs w:val="24"/>
          <w:rtl/>
        </w:rPr>
        <w:t xml:space="preserve"> محمد بن المنكدر بن عبد الله بن الهدير التَّيمي. روى الحديث عن أبيه وعن جابر وعبد الله بن عمر وابن عباس وأبي أيوب وأبي هريرة وعائشة وغيرهم. روى عنه أبو حنيفة ومالك والزهري وشعبة </w:t>
      </w:r>
      <w:proofErr w:type="spellStart"/>
      <w:r w:rsidRPr="00A52585">
        <w:rPr>
          <w:rFonts w:hint="cs"/>
          <w:sz w:val="24"/>
          <w:szCs w:val="24"/>
          <w:rtl/>
        </w:rPr>
        <w:t>والسفيانان</w:t>
      </w:r>
      <w:proofErr w:type="spellEnd"/>
      <w:r w:rsidRPr="00A52585">
        <w:rPr>
          <w:rFonts w:hint="cs"/>
          <w:sz w:val="24"/>
          <w:szCs w:val="24"/>
          <w:rtl/>
        </w:rPr>
        <w:t>. قال سفيان بن عيينة عنه</w:t>
      </w:r>
      <w:r w:rsidR="0002035C" w:rsidRPr="00A52585">
        <w:rPr>
          <w:rFonts w:hint="cs"/>
          <w:sz w:val="24"/>
          <w:szCs w:val="24"/>
          <w:rtl/>
        </w:rPr>
        <w:t>:</w:t>
      </w:r>
      <w:r w:rsidRPr="00A52585">
        <w:rPr>
          <w:rFonts w:hint="cs"/>
          <w:sz w:val="24"/>
          <w:szCs w:val="24"/>
          <w:rtl/>
        </w:rPr>
        <w:t xml:space="preserve"> كان من معادن الصدق ويجتمع إليه الصالحون توفى سنة 130هـ]</w:t>
      </w:r>
      <w:r w:rsidRPr="00A52585">
        <w:rPr>
          <w:rFonts w:hint="cs"/>
          <w:rtl/>
        </w:rPr>
        <w:t xml:space="preserve"> وهو مِنْ سادات التابعين وكانت عائشة رضي الله عنها تحبه وتكرمه وتَبَرُّهُ</w:t>
      </w:r>
      <w:r w:rsidR="0002035C" w:rsidRPr="00A52585">
        <w:rPr>
          <w:rFonts w:hint="cs"/>
          <w:rtl/>
        </w:rPr>
        <w:t>:</w:t>
      </w:r>
      <w:r w:rsidRPr="00A52585">
        <w:rPr>
          <w:rFonts w:hint="cs"/>
          <w:rtl/>
        </w:rPr>
        <w:t xml:space="preserve"> الفقيه يدخل بين يدي الله عز وجل وبين عباده فلينظر كيف يدخل</w:t>
      </w:r>
      <w:r w:rsidR="00DB731D" w:rsidRPr="00A52585">
        <w:rPr>
          <w:rFonts w:hint="cs"/>
          <w:rtl/>
        </w:rPr>
        <w:t>،</w:t>
      </w:r>
      <w:r w:rsidRPr="00A52585">
        <w:rPr>
          <w:rFonts w:hint="cs"/>
          <w:rtl/>
        </w:rPr>
        <w:t xml:space="preserve"> وصدق ونصح قدس الله تعالى روحه</w:t>
      </w:r>
      <w:r w:rsidR="00DB731D" w:rsidRPr="00A52585">
        <w:rPr>
          <w:rFonts w:hint="cs"/>
          <w:rtl/>
        </w:rPr>
        <w:t>،</w:t>
      </w:r>
      <w:r w:rsidRPr="00A52585">
        <w:rPr>
          <w:rFonts w:hint="cs"/>
          <w:rtl/>
        </w:rPr>
        <w:t xml:space="preserve"> وهذا شأن السلف بذل النصيحة للإسلام والمسلمين وكانوا شديدين على من خالف لا سيما لما ظهر أهل الزيغ وتظاهروا بالتنويه بذكر آيات المتشابه وأحاديثه</w:t>
      </w:r>
      <w:r w:rsidR="00DB731D" w:rsidRPr="00A52585">
        <w:rPr>
          <w:rFonts w:hint="cs"/>
          <w:rtl/>
        </w:rPr>
        <w:t>،</w:t>
      </w:r>
      <w:r w:rsidRPr="00A52585">
        <w:rPr>
          <w:rFonts w:hint="cs"/>
          <w:rtl/>
        </w:rPr>
        <w:t xml:space="preserve"> بالغوا في التحذير منهم ومن مجالستهم</w:t>
      </w:r>
      <w:r w:rsidR="00DB731D" w:rsidRPr="00A52585">
        <w:rPr>
          <w:rFonts w:hint="cs"/>
          <w:rtl/>
        </w:rPr>
        <w:t>،</w:t>
      </w:r>
      <w:r w:rsidRPr="00A52585">
        <w:rPr>
          <w:rFonts w:hint="cs"/>
          <w:rtl/>
        </w:rPr>
        <w:t xml:space="preserve"> وكانوا يقولون هم الذين عنى الله عز وجل في قوله تعالى</w:t>
      </w:r>
      <w:r w:rsidR="0002035C" w:rsidRPr="00A52585">
        <w:rPr>
          <w:rFonts w:hint="cs"/>
          <w:rtl/>
        </w:rPr>
        <w:t>:</w:t>
      </w:r>
      <w:r w:rsidRPr="00A52585">
        <w:rPr>
          <w:rFonts w:hint="cs"/>
          <w:rtl/>
        </w:rPr>
        <w:t xml:space="preserve"> {فَأَمَّا الَّذِينَ فيِ قُلُوبِهِم زَيْغٌ فَيَتَّبِعُونَ مَا تَشَابَهَ مِنْهُ ابْتِغاءَ الْفِتْنَةِ} </w:t>
      </w:r>
      <w:r w:rsidR="0002035C" w:rsidRPr="00A52585">
        <w:rPr>
          <w:rFonts w:hint="cs"/>
          <w:rtl/>
        </w:rPr>
        <w:t>[</w:t>
      </w:r>
      <w:r w:rsidRPr="00A52585">
        <w:rPr>
          <w:rFonts w:hint="cs"/>
          <w:rtl/>
        </w:rPr>
        <w:t>آل عمران</w:t>
      </w:r>
      <w:r w:rsidR="0002035C" w:rsidRPr="00A52585">
        <w:rPr>
          <w:rFonts w:hint="cs"/>
          <w:rtl/>
        </w:rPr>
        <w:t>:</w:t>
      </w:r>
      <w:r w:rsidRPr="00A52585">
        <w:rPr>
          <w:rFonts w:hint="cs"/>
          <w:rtl/>
        </w:rPr>
        <w:t xml:space="preserve"> 7</w:t>
      </w:r>
      <w:r w:rsidR="0002035C" w:rsidRPr="00A52585">
        <w:rPr>
          <w:rFonts w:hint="cs"/>
          <w:rtl/>
        </w:rPr>
        <w:t>]</w:t>
      </w:r>
      <w:r w:rsidR="00DB731D" w:rsidRPr="00A52585">
        <w:rPr>
          <w:rFonts w:hint="cs"/>
          <w:rtl/>
        </w:rPr>
        <w:t>،</w:t>
      </w:r>
      <w:r w:rsidRPr="00A52585">
        <w:rPr>
          <w:rFonts w:hint="cs"/>
          <w:rtl/>
        </w:rPr>
        <w:t xml:space="preserve"> وكذا قالت عائشة رضي الله عنها</w:t>
      </w:r>
      <w:r w:rsidR="00DB731D" w:rsidRPr="00A52585">
        <w:rPr>
          <w:rFonts w:hint="cs"/>
          <w:rtl/>
        </w:rPr>
        <w:t>،</w:t>
      </w:r>
      <w:r w:rsidRPr="00A52585">
        <w:rPr>
          <w:rFonts w:hint="cs"/>
          <w:rtl/>
        </w:rPr>
        <w:t xml:space="preserve"> وكانوا يقولون إذا جلس أحد للوعظ والتذكير تفقدوا منه أموراً ولا تغتروا بكل واعظ فإن الواعظ إذا لم يكن </w:t>
      </w:r>
      <w:r w:rsidRPr="00A52585">
        <w:rPr>
          <w:rFonts w:hint="cs"/>
          <w:rtl/>
        </w:rPr>
        <w:lastRenderedPageBreak/>
        <w:t xml:space="preserve">صادقاً ناصحاً سليم السريرة من الطمع والهوى هَلَك وأهلَك وذكروا أشياءً ببعضها </w:t>
      </w:r>
      <w:proofErr w:type="spellStart"/>
      <w:r w:rsidRPr="00A52585">
        <w:rPr>
          <w:rFonts w:hint="cs"/>
          <w:rtl/>
        </w:rPr>
        <w:t>ينطفي</w:t>
      </w:r>
      <w:proofErr w:type="spellEnd"/>
      <w:r w:rsidRPr="00A52585">
        <w:rPr>
          <w:rFonts w:hint="cs"/>
          <w:rtl/>
        </w:rPr>
        <w:t xml:space="preserve"> نار الشبه التي بها يُمَوّهُ أهل الزيغ ومن لا يقبلها فما ذاك إلاَ أن الله عز وجل يريد إهلاكه وحشره في زمرة السامرة واليهود والزنادقة</w:t>
      </w:r>
      <w:r w:rsidR="00DB731D" w:rsidRPr="00A52585">
        <w:rPr>
          <w:rFonts w:hint="cs"/>
          <w:rtl/>
        </w:rPr>
        <w:t>،</w:t>
      </w:r>
      <w:r w:rsidRPr="00A52585">
        <w:rPr>
          <w:rFonts w:hint="cs"/>
          <w:rtl/>
        </w:rPr>
        <w:t xml:space="preserve"> ومن يرد الله عز وجل إضلاله فلا هادي له</w:t>
      </w:r>
      <w:r w:rsidR="00DB731D" w:rsidRPr="00A52585">
        <w:rPr>
          <w:rFonts w:hint="cs"/>
          <w:rtl/>
        </w:rPr>
        <w:t>،</w:t>
      </w:r>
      <w:r w:rsidRPr="00A52585">
        <w:rPr>
          <w:rFonts w:hint="cs"/>
          <w:rtl/>
        </w:rPr>
        <w:t xml:space="preserve"> يحكم لا معقب لحكمه</w:t>
      </w:r>
      <w:r w:rsidR="00DB731D" w:rsidRPr="00A52585">
        <w:rPr>
          <w:rFonts w:hint="cs"/>
          <w:rtl/>
        </w:rPr>
        <w:t>،</w:t>
      </w:r>
      <w:r w:rsidRPr="00A52585">
        <w:rPr>
          <w:rFonts w:hint="cs"/>
          <w:rtl/>
        </w:rPr>
        <w:t xml:space="preserve"> {لا يُسأل عما يفعل} </w:t>
      </w:r>
      <w:r w:rsidR="0002035C" w:rsidRPr="00A52585">
        <w:rPr>
          <w:rFonts w:hint="cs"/>
          <w:rtl/>
        </w:rPr>
        <w:t>[</w:t>
      </w:r>
      <w:r w:rsidRPr="00A52585">
        <w:rPr>
          <w:rFonts w:hint="cs"/>
          <w:rtl/>
        </w:rPr>
        <w:t>الأنبياء</w:t>
      </w:r>
      <w:r w:rsidR="0002035C" w:rsidRPr="00A52585">
        <w:rPr>
          <w:rFonts w:hint="cs"/>
          <w:rtl/>
        </w:rPr>
        <w:t>:</w:t>
      </w:r>
      <w:r w:rsidRPr="00A52585">
        <w:rPr>
          <w:rFonts w:hint="cs"/>
          <w:rtl/>
        </w:rPr>
        <w:t xml:space="preserve"> 23</w:t>
      </w:r>
      <w:r w:rsidR="0002035C" w:rsidRPr="00A52585">
        <w:rPr>
          <w:rFonts w:hint="cs"/>
          <w:rtl/>
        </w:rPr>
        <w:t>]</w:t>
      </w:r>
      <w:r w:rsidR="00DB731D" w:rsidRPr="00A52585">
        <w:rPr>
          <w:rFonts w:hint="cs"/>
          <w:rtl/>
        </w:rPr>
        <w:t>،</w:t>
      </w:r>
      <w:r w:rsidRPr="00A52585">
        <w:rPr>
          <w:rFonts w:hint="cs"/>
          <w:rtl/>
        </w:rPr>
        <w:t xml:space="preserve"> قسم الخلق إلى شقي وسعيد</w:t>
      </w:r>
      <w:r w:rsidR="00DB731D" w:rsidRPr="00A52585">
        <w:rPr>
          <w:rFonts w:hint="cs"/>
          <w:rtl/>
        </w:rPr>
        <w:t>،</w:t>
      </w:r>
      <w:r w:rsidRPr="00A52585">
        <w:rPr>
          <w:rFonts w:hint="cs"/>
          <w:rtl/>
        </w:rPr>
        <w:t xml:space="preserve"> فهو الفعال لما يريد</w:t>
      </w:r>
      <w:r w:rsidR="00DB731D" w:rsidRPr="00A52585">
        <w:rPr>
          <w:rFonts w:hint="cs"/>
          <w:rtl/>
        </w:rPr>
        <w:t>،</w:t>
      </w:r>
      <w:r w:rsidRPr="00A52585">
        <w:rPr>
          <w:rFonts w:hint="cs"/>
          <w:rtl/>
        </w:rPr>
        <w:t xml:space="preserve"> فمن اتبع هداه لا يضل ولا يشقى</w:t>
      </w:r>
      <w:r w:rsidR="00DB731D" w:rsidRPr="00A52585">
        <w:rPr>
          <w:rFonts w:hint="cs"/>
          <w:rtl/>
        </w:rPr>
        <w:t>،</w:t>
      </w:r>
      <w:r w:rsidRPr="00A52585">
        <w:rPr>
          <w:rFonts w:hint="cs"/>
          <w:rtl/>
        </w:rPr>
        <w:t xml:space="preserve"> ومن اتبع هوى نفسه الأمارة وأهل الزيغ والضلالة</w:t>
      </w:r>
      <w:r w:rsidR="00DB731D" w:rsidRPr="00A52585">
        <w:rPr>
          <w:rFonts w:hint="cs"/>
          <w:rtl/>
        </w:rPr>
        <w:t>،</w:t>
      </w:r>
      <w:r w:rsidRPr="00A52585">
        <w:rPr>
          <w:rFonts w:hint="cs"/>
          <w:rtl/>
        </w:rPr>
        <w:t xml:space="preserve"> وحاد عن سبيل مَنْ يُقتدى هلك في </w:t>
      </w:r>
      <w:proofErr w:type="spellStart"/>
      <w:r w:rsidRPr="00A52585">
        <w:rPr>
          <w:rFonts w:hint="cs"/>
          <w:rtl/>
        </w:rPr>
        <w:t>المرقى</w:t>
      </w:r>
      <w:proofErr w:type="spellEnd"/>
      <w:r w:rsidR="00DB731D" w:rsidRPr="00A52585">
        <w:rPr>
          <w:rFonts w:hint="cs"/>
          <w:rtl/>
        </w:rPr>
        <w:t>،</w:t>
      </w:r>
      <w:r w:rsidRPr="00A52585">
        <w:rPr>
          <w:rFonts w:hint="cs"/>
          <w:rtl/>
        </w:rPr>
        <w:t xml:space="preserve"> </w:t>
      </w:r>
    </w:p>
    <w:p w14:paraId="66F71A1A" w14:textId="77777777" w:rsidR="00777DCB" w:rsidRPr="00A52585" w:rsidRDefault="00777DCB" w:rsidP="0002035C">
      <w:pPr>
        <w:spacing w:after="240"/>
        <w:jc w:val="center"/>
        <w:rPr>
          <w:b/>
          <w:spacing w:val="-6"/>
          <w:rtl/>
        </w:rPr>
      </w:pPr>
      <w:r w:rsidRPr="00A52585">
        <w:rPr>
          <w:rFonts w:hint="cs"/>
          <w:spacing w:val="-6"/>
          <w:rtl/>
        </w:rPr>
        <w:t>***</w:t>
      </w:r>
    </w:p>
    <w:p w14:paraId="30B137A8" w14:textId="616E3C8D" w:rsidR="00777DCB" w:rsidRPr="00A52585" w:rsidRDefault="0002035C" w:rsidP="0002035C">
      <w:pPr>
        <w:spacing w:after="240"/>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إخبار الرسول عليه السلام بوقوع الفتن وانتشارها بعد استشهاد أمير المؤمنين عمر رضي الله عنه</w:t>
      </w:r>
      <w:r w:rsidRPr="00A52585">
        <w:rPr>
          <w:rFonts w:hint="cs"/>
          <w:bCs/>
          <w:rtl/>
        </w:rPr>
        <w:t>:</w:t>
      </w:r>
      <w:r w:rsidR="00777DCB" w:rsidRPr="00A52585">
        <w:rPr>
          <w:rFonts w:hint="cs"/>
          <w:bCs/>
          <w:rtl/>
        </w:rPr>
        <w:t xml:space="preserve"> </w:t>
      </w:r>
      <w:r w:rsidR="00777DCB" w:rsidRPr="00A52585">
        <w:rPr>
          <w:rFonts w:hint="cs"/>
          <w:rtl/>
        </w:rPr>
        <w:t>ولنرجع إلى قول السلف رضي الله عنه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إذا جلس شخص للوعظ فتفقدوا منه أموراً إن كانت فيه فاهربوا وإياكم والجلوس إليه وإلا هلكتم من حيث طلبتم النجاة</w:t>
      </w:r>
      <w:r w:rsidRPr="00A52585">
        <w:rPr>
          <w:rFonts w:hint="cs"/>
          <w:rtl/>
        </w:rPr>
        <w:t>)</w:t>
      </w:r>
      <w:r w:rsidR="00777DCB" w:rsidRPr="00A52585">
        <w:rPr>
          <w:rFonts w:hint="cs"/>
          <w:rtl/>
        </w:rPr>
        <w:t>) قالوا ذلك حين ظهر أهل البدع وكثرت المقالات وذلك بعد وفاة عمر رضي الله عنه وحديث حذيفة رضي الله عنه يدل لذلك واللفظ لمسلم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عن حذيفة قال</w:t>
      </w:r>
      <w:r w:rsidRPr="00A52585">
        <w:rPr>
          <w:rFonts w:hint="cs"/>
          <w:rtl/>
        </w:rPr>
        <w:t>:</w:t>
      </w:r>
      <w:r w:rsidR="00777DCB" w:rsidRPr="00A52585">
        <w:rPr>
          <w:rFonts w:hint="cs"/>
          <w:rtl/>
        </w:rPr>
        <w:t xml:space="preserve"> كنا عند عمر فقال</w:t>
      </w:r>
      <w:r w:rsidRPr="00A52585">
        <w:rPr>
          <w:rFonts w:hint="cs"/>
          <w:rtl/>
        </w:rPr>
        <w:t>:</w:t>
      </w:r>
      <w:r w:rsidR="00777DCB" w:rsidRPr="00A52585">
        <w:rPr>
          <w:rFonts w:hint="cs"/>
          <w:rtl/>
        </w:rPr>
        <w:t xml:space="preserve"> أيكم سمع رسول الله صلى الله عليه وسلم يذكر الفتن</w:t>
      </w:r>
      <w:r w:rsidR="00F95886" w:rsidRPr="00A52585">
        <w:rPr>
          <w:rFonts w:hint="cs"/>
          <w:rtl/>
        </w:rPr>
        <w:t>؟</w:t>
      </w:r>
      <w:r w:rsidR="00777DCB" w:rsidRPr="00A52585">
        <w:rPr>
          <w:rFonts w:hint="cs"/>
          <w:rtl/>
        </w:rPr>
        <w:t xml:space="preserve"> فقال قوم</w:t>
      </w:r>
      <w:r w:rsidRPr="00A52585">
        <w:rPr>
          <w:rFonts w:hint="cs"/>
          <w:rtl/>
        </w:rPr>
        <w:t>:</w:t>
      </w:r>
      <w:r w:rsidR="00777DCB" w:rsidRPr="00A52585">
        <w:rPr>
          <w:rFonts w:hint="cs"/>
          <w:rtl/>
        </w:rPr>
        <w:t xml:space="preserve"> نحن سمعناه فقال</w:t>
      </w:r>
      <w:r w:rsidRPr="00A52585">
        <w:rPr>
          <w:rFonts w:hint="cs"/>
          <w:rtl/>
        </w:rPr>
        <w:t>:</w:t>
      </w:r>
      <w:r w:rsidR="00777DCB" w:rsidRPr="00A52585">
        <w:rPr>
          <w:rFonts w:hint="cs"/>
          <w:rtl/>
        </w:rPr>
        <w:t xml:space="preserve"> لعلكم تعنون فتنة الرجل في أهله وجاره</w:t>
      </w:r>
      <w:r w:rsidR="00DB731D"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أجل قال</w:t>
      </w:r>
      <w:r w:rsidRPr="00A52585">
        <w:rPr>
          <w:rFonts w:hint="cs"/>
          <w:rtl/>
        </w:rPr>
        <w:t>:</w:t>
      </w:r>
      <w:r w:rsidR="00777DCB" w:rsidRPr="00A52585">
        <w:rPr>
          <w:rFonts w:hint="cs"/>
          <w:rtl/>
        </w:rPr>
        <w:t xml:space="preserve"> تلك تكفرها الصلاة والصيام والصدقة</w:t>
      </w:r>
      <w:r w:rsidR="00DB731D" w:rsidRPr="00A52585">
        <w:rPr>
          <w:rFonts w:hint="cs"/>
          <w:rtl/>
        </w:rPr>
        <w:t>،</w:t>
      </w:r>
      <w:r w:rsidR="00777DCB" w:rsidRPr="00A52585">
        <w:rPr>
          <w:rFonts w:hint="cs"/>
          <w:rtl/>
        </w:rPr>
        <w:t xml:space="preserve"> ولكن أيكم سمع النبي صلى الله عليه وسلم يذكر الفتن التي تموج موج البحر</w:t>
      </w:r>
      <w:r w:rsidR="00F95886" w:rsidRPr="00A52585">
        <w:rPr>
          <w:rFonts w:hint="cs"/>
          <w:rtl/>
        </w:rPr>
        <w:t>؟</w:t>
      </w:r>
      <w:r w:rsidR="00777DCB" w:rsidRPr="00A52585">
        <w:rPr>
          <w:rFonts w:hint="cs"/>
          <w:rtl/>
        </w:rPr>
        <w:t xml:space="preserve"> قال حذيفة فأسكت القوم</w:t>
      </w:r>
      <w:r w:rsidR="00DB731D" w:rsidRPr="00A52585">
        <w:rPr>
          <w:rFonts w:hint="cs"/>
          <w:rtl/>
        </w:rPr>
        <w:t>،</w:t>
      </w:r>
      <w:r w:rsidR="00777DCB" w:rsidRPr="00A52585">
        <w:rPr>
          <w:rFonts w:hint="cs"/>
          <w:rtl/>
        </w:rPr>
        <w:t xml:space="preserve"> ف</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أنا قال</w:t>
      </w:r>
      <w:r w:rsidRPr="00A52585">
        <w:rPr>
          <w:rFonts w:hint="cs"/>
          <w:rtl/>
        </w:rPr>
        <w:t>:</w:t>
      </w:r>
      <w:r w:rsidR="00777DCB" w:rsidRPr="00A52585">
        <w:rPr>
          <w:rFonts w:hint="cs"/>
          <w:rtl/>
        </w:rPr>
        <w:t xml:space="preserve"> أنت لله أبوك</w:t>
      </w:r>
      <w:r w:rsidR="00DB731D" w:rsidRPr="00A52585">
        <w:rPr>
          <w:rFonts w:hint="cs"/>
          <w:rtl/>
        </w:rPr>
        <w:t>،</w:t>
      </w:r>
      <w:r w:rsidR="00777DCB" w:rsidRPr="00A52585">
        <w:rPr>
          <w:rFonts w:hint="cs"/>
          <w:rtl/>
        </w:rPr>
        <w:t xml:space="preserve"> قال حذيفة</w:t>
      </w:r>
      <w:r w:rsidRPr="00A52585">
        <w:rPr>
          <w:rFonts w:hint="cs"/>
          <w:rtl/>
        </w:rPr>
        <w:t>:</w:t>
      </w:r>
      <w:r w:rsidR="00777DCB" w:rsidRPr="00A52585">
        <w:rPr>
          <w:rFonts w:hint="cs"/>
          <w:rtl/>
        </w:rPr>
        <w:t xml:space="preserve"> سمعت رسول الله صلى الله عليه وسلم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تعرض الفتن على القلوب كالحصير عوداً </w:t>
      </w:r>
      <w:proofErr w:type="spellStart"/>
      <w:r w:rsidR="00777DCB" w:rsidRPr="00A52585">
        <w:rPr>
          <w:rFonts w:hint="cs"/>
          <w:rtl/>
        </w:rPr>
        <w:t>عوداً</w:t>
      </w:r>
      <w:proofErr w:type="spellEnd"/>
      <w:r w:rsidR="00777DCB" w:rsidRPr="00A52585">
        <w:rPr>
          <w:rFonts w:hint="cs"/>
          <w:rtl/>
        </w:rPr>
        <w:t xml:space="preserve"> </w:t>
      </w:r>
      <w:r w:rsidR="00777DCB" w:rsidRPr="00A52585">
        <w:rPr>
          <w:rFonts w:hint="cs"/>
          <w:spacing w:val="-8"/>
          <w:rtl/>
        </w:rPr>
        <w:t>فأي قلب أشربها نكت فيه نكتة سوداء</w:t>
      </w:r>
      <w:r w:rsidR="00DB731D" w:rsidRPr="00A52585">
        <w:rPr>
          <w:rFonts w:hint="cs"/>
          <w:spacing w:val="-8"/>
          <w:rtl/>
        </w:rPr>
        <w:t>،</w:t>
      </w:r>
      <w:r w:rsidR="00777DCB" w:rsidRPr="00A52585">
        <w:rPr>
          <w:rFonts w:hint="cs"/>
          <w:spacing w:val="-8"/>
          <w:rtl/>
        </w:rPr>
        <w:t xml:space="preserve"> وأي قلب أنكرها نكت فيه نكتة بيضاء</w:t>
      </w:r>
      <w:r w:rsidR="00DB731D" w:rsidRPr="00A52585">
        <w:rPr>
          <w:rFonts w:hint="cs"/>
          <w:rtl/>
        </w:rPr>
        <w:t>،</w:t>
      </w:r>
      <w:r w:rsidR="00777DCB" w:rsidRPr="00A52585">
        <w:rPr>
          <w:rFonts w:hint="cs"/>
          <w:rtl/>
        </w:rPr>
        <w:t xml:space="preserve"> حتى تصير على قلبين</w:t>
      </w:r>
      <w:r w:rsidR="00DB731D" w:rsidRPr="00A52585">
        <w:rPr>
          <w:rFonts w:hint="cs"/>
          <w:rtl/>
        </w:rPr>
        <w:t>،</w:t>
      </w:r>
      <w:r w:rsidR="00777DCB" w:rsidRPr="00A52585">
        <w:rPr>
          <w:rFonts w:hint="cs"/>
          <w:rtl/>
        </w:rPr>
        <w:t xml:space="preserve"> على أبيض مثل الصفا فلا تضره فتنة ما دامت السموات </w:t>
      </w:r>
      <w:proofErr w:type="spellStart"/>
      <w:r w:rsidR="00777DCB" w:rsidRPr="00A52585">
        <w:rPr>
          <w:rFonts w:hint="cs"/>
          <w:rtl/>
        </w:rPr>
        <w:t>والأرض</w:t>
      </w:r>
      <w:r w:rsidR="00DB731D" w:rsidRPr="00A52585">
        <w:rPr>
          <w:rFonts w:hint="cs"/>
          <w:rtl/>
        </w:rPr>
        <w:t>،</w:t>
      </w:r>
      <w:r w:rsidR="00777DCB" w:rsidRPr="00A52585">
        <w:rPr>
          <w:rFonts w:hint="cs"/>
          <w:rtl/>
        </w:rPr>
        <w:t>والآخر</w:t>
      </w:r>
      <w:proofErr w:type="spellEnd"/>
      <w:r w:rsidR="00777DCB" w:rsidRPr="00A52585">
        <w:rPr>
          <w:rFonts w:hint="cs"/>
          <w:rtl/>
        </w:rPr>
        <w:t xml:space="preserve"> أَسْوَداً </w:t>
      </w:r>
      <w:proofErr w:type="spellStart"/>
      <w:r w:rsidR="00777DCB" w:rsidRPr="00A52585">
        <w:rPr>
          <w:rFonts w:hint="cs"/>
          <w:rtl/>
        </w:rPr>
        <w:t>مربادا</w:t>
      </w:r>
      <w:proofErr w:type="spellEnd"/>
      <w:r w:rsidR="00777DCB" w:rsidRPr="00A52585">
        <w:rPr>
          <w:rFonts w:hint="cs"/>
          <w:rtl/>
        </w:rPr>
        <w:t xml:space="preserve"> كالكوز </w:t>
      </w:r>
      <w:proofErr w:type="spellStart"/>
      <w:r w:rsidR="00777DCB" w:rsidRPr="00A52585">
        <w:rPr>
          <w:rFonts w:hint="cs"/>
          <w:rtl/>
        </w:rPr>
        <w:t>مجخيا</w:t>
      </w:r>
      <w:proofErr w:type="spellEnd"/>
      <w:r w:rsidR="00777DCB" w:rsidRPr="00A52585">
        <w:rPr>
          <w:rFonts w:hint="cs"/>
          <w:rtl/>
        </w:rPr>
        <w:t xml:space="preserve"> لا يعرف معروفا ولا ينكر منكراً إلا ما أشرب من هواه</w:t>
      </w:r>
      <w:r w:rsidR="00DB731D" w:rsidRPr="00A52585">
        <w:rPr>
          <w:rFonts w:hint="cs"/>
          <w:rtl/>
        </w:rPr>
        <w:t>،</w:t>
      </w:r>
      <w:r w:rsidR="00777DCB" w:rsidRPr="00A52585">
        <w:rPr>
          <w:rFonts w:hint="cs"/>
          <w:rtl/>
        </w:rPr>
        <w:t xml:space="preserve"> </w:t>
      </w:r>
      <w:r w:rsidR="00777DCB" w:rsidRPr="00A52585">
        <w:rPr>
          <w:rFonts w:hint="cs"/>
          <w:spacing w:val="-6"/>
          <w:rtl/>
        </w:rPr>
        <w:t>قال حذيفة</w:t>
      </w:r>
      <w:r w:rsidRPr="00A52585">
        <w:rPr>
          <w:rFonts w:hint="cs"/>
          <w:spacing w:val="-6"/>
          <w:rtl/>
        </w:rPr>
        <w:t>:</w:t>
      </w:r>
      <w:r w:rsidR="00777DCB" w:rsidRPr="00A52585">
        <w:rPr>
          <w:rFonts w:hint="cs"/>
          <w:spacing w:val="-6"/>
          <w:rtl/>
        </w:rPr>
        <w:t xml:space="preserve"> وحدثته أن بينك وبينها بابا مغلقاً يوشك أن يكسر. قال عمر</w:t>
      </w:r>
      <w:r w:rsidRPr="00A52585">
        <w:rPr>
          <w:rFonts w:hint="cs"/>
          <w:spacing w:val="-6"/>
          <w:rtl/>
        </w:rPr>
        <w:t>:</w:t>
      </w:r>
      <w:r w:rsidR="00777DCB" w:rsidRPr="00A52585">
        <w:rPr>
          <w:rFonts w:hint="cs"/>
          <w:spacing w:val="-6"/>
          <w:rtl/>
        </w:rPr>
        <w:t xml:space="preserve"> أكسرًا لا أبالك</w:t>
      </w:r>
      <w:r w:rsidR="00DB731D" w:rsidRPr="00A52585">
        <w:rPr>
          <w:rFonts w:hint="cs"/>
          <w:spacing w:val="-6"/>
          <w:rtl/>
        </w:rPr>
        <w:t>،</w:t>
      </w:r>
      <w:r w:rsidR="00777DCB" w:rsidRPr="00A52585">
        <w:rPr>
          <w:rFonts w:hint="cs"/>
          <w:spacing w:val="-6"/>
          <w:rtl/>
        </w:rPr>
        <w:t xml:space="preserve"> فلو أنه فتح لعله كان يعاد. </w:t>
      </w:r>
      <w:r w:rsidRPr="00A52585">
        <w:rPr>
          <w:rFonts w:hint="cs"/>
          <w:spacing w:val="-6"/>
          <w:rtl/>
        </w:rPr>
        <w:t>(</w:t>
      </w:r>
      <w:r w:rsidR="00777DCB" w:rsidRPr="00A52585">
        <w:rPr>
          <w:rFonts w:hint="cs"/>
          <w:spacing w:val="-6"/>
          <w:rtl/>
        </w:rPr>
        <w:t>قلت</w:t>
      </w:r>
      <w:r w:rsidRPr="00A52585">
        <w:rPr>
          <w:rFonts w:hint="cs"/>
          <w:spacing w:val="-6"/>
          <w:rtl/>
        </w:rPr>
        <w:t>):</w:t>
      </w:r>
      <w:r w:rsidR="00777DCB" w:rsidRPr="00A52585">
        <w:rPr>
          <w:rFonts w:hint="cs"/>
          <w:spacing w:val="-6"/>
          <w:rtl/>
        </w:rPr>
        <w:t xml:space="preserve"> لا</w:t>
      </w:r>
      <w:r w:rsidR="00DB731D" w:rsidRPr="00A52585">
        <w:rPr>
          <w:rFonts w:hint="cs"/>
          <w:spacing w:val="-6"/>
          <w:rtl/>
        </w:rPr>
        <w:t>،</w:t>
      </w:r>
      <w:r w:rsidR="00777DCB" w:rsidRPr="00A52585">
        <w:rPr>
          <w:rFonts w:hint="cs"/>
          <w:spacing w:val="-6"/>
          <w:rtl/>
        </w:rPr>
        <w:t xml:space="preserve"> بل يكسر</w:t>
      </w:r>
      <w:r w:rsidR="00DB731D" w:rsidRPr="00A52585">
        <w:rPr>
          <w:rFonts w:hint="cs"/>
          <w:spacing w:val="-6"/>
          <w:rtl/>
        </w:rPr>
        <w:t>،</w:t>
      </w:r>
      <w:r w:rsidR="00777DCB" w:rsidRPr="00A52585">
        <w:rPr>
          <w:rFonts w:hint="cs"/>
          <w:spacing w:val="-6"/>
          <w:rtl/>
        </w:rPr>
        <w:t xml:space="preserve"> وحدثته</w:t>
      </w:r>
      <w:r w:rsidR="00777DCB" w:rsidRPr="00A52585">
        <w:rPr>
          <w:rFonts w:hint="cs"/>
          <w:rtl/>
        </w:rPr>
        <w:t xml:space="preserve"> أن ذلك الباب رجل يقتل أو يموت</w:t>
      </w:r>
      <w:r w:rsidR="00DB731D" w:rsidRPr="00A52585">
        <w:rPr>
          <w:rFonts w:hint="cs"/>
          <w:rtl/>
        </w:rPr>
        <w:t>،</w:t>
      </w:r>
      <w:r w:rsidR="00777DCB" w:rsidRPr="00A52585">
        <w:rPr>
          <w:rFonts w:hint="cs"/>
          <w:rtl/>
        </w:rPr>
        <w:t xml:space="preserve"> حديثا ليس بالأغاليط</w:t>
      </w:r>
      <w:r w:rsidR="00DB731D" w:rsidRPr="00A52585">
        <w:rPr>
          <w:rFonts w:hint="cs"/>
          <w:rtl/>
        </w:rPr>
        <w:t>،</w:t>
      </w:r>
      <w:r w:rsidR="00777DCB" w:rsidRPr="00A52585">
        <w:rPr>
          <w:rFonts w:hint="cs"/>
          <w:rtl/>
        </w:rPr>
        <w:t xml:space="preserve"> قال أبو خالد فقلت لسعد</w:t>
      </w:r>
      <w:r w:rsidRPr="00A52585">
        <w:rPr>
          <w:rFonts w:hint="cs"/>
          <w:rtl/>
        </w:rPr>
        <w:t>:</w:t>
      </w:r>
      <w:r w:rsidR="00777DCB" w:rsidRPr="00A52585">
        <w:rPr>
          <w:rFonts w:hint="cs"/>
          <w:rtl/>
        </w:rPr>
        <w:t xml:space="preserve"> يا أبا مالك</w:t>
      </w:r>
      <w:r w:rsidRPr="00A52585">
        <w:rPr>
          <w:rFonts w:hint="cs"/>
          <w:rtl/>
        </w:rPr>
        <w:t>:</w:t>
      </w:r>
      <w:r w:rsidR="00777DCB" w:rsidRPr="00A52585">
        <w:rPr>
          <w:rFonts w:hint="cs"/>
          <w:rtl/>
        </w:rPr>
        <w:t xml:space="preserve"> ما أسود </w:t>
      </w:r>
      <w:proofErr w:type="spellStart"/>
      <w:r w:rsidR="00777DCB" w:rsidRPr="00A52585">
        <w:rPr>
          <w:rFonts w:hint="cs"/>
          <w:rtl/>
        </w:rPr>
        <w:t>مُرْبَاداً</w:t>
      </w:r>
      <w:proofErr w:type="spellEnd"/>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شدة البياض في سواد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فما الكوز </w:t>
      </w:r>
      <w:proofErr w:type="spellStart"/>
      <w:r w:rsidR="00777DCB" w:rsidRPr="00A52585">
        <w:rPr>
          <w:rFonts w:hint="cs"/>
          <w:rtl/>
        </w:rPr>
        <w:t>مُجَخَّيا</w:t>
      </w:r>
      <w:proofErr w:type="spellEnd"/>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منكوسا</w:t>
      </w:r>
      <w:r w:rsidRPr="00A52585">
        <w:rPr>
          <w:rFonts w:hint="cs"/>
          <w:rtl/>
        </w:rPr>
        <w:t>)</w:t>
      </w:r>
      <w:r w:rsidR="00777DCB" w:rsidRPr="00A52585">
        <w:rPr>
          <w:rFonts w:hint="cs"/>
          <w:rtl/>
        </w:rPr>
        <w:t>) [</w:t>
      </w:r>
      <w:r w:rsidR="00777DCB" w:rsidRPr="00A52585">
        <w:rPr>
          <w:rFonts w:hint="cs"/>
          <w:sz w:val="24"/>
          <w:szCs w:val="24"/>
          <w:rtl/>
        </w:rPr>
        <w:t>بالرجوع إلى سند الحديث في صحيح مسلم</w:t>
      </w:r>
      <w:r w:rsidRPr="00A52585">
        <w:rPr>
          <w:rFonts w:hint="cs"/>
          <w:sz w:val="24"/>
          <w:szCs w:val="24"/>
          <w:rtl/>
        </w:rPr>
        <w:t>:</w:t>
      </w:r>
      <w:r w:rsidR="00777DCB" w:rsidRPr="00A52585">
        <w:rPr>
          <w:rFonts w:hint="cs"/>
          <w:sz w:val="24"/>
          <w:szCs w:val="24"/>
          <w:rtl/>
        </w:rPr>
        <w:t xml:space="preserve"> أبو خالد هو سليمان بن حيان راوي الحديث عن سعد بن طارق عن ربعي عن حذيفة رضي الله عنه</w:t>
      </w:r>
      <w:r w:rsidR="00DB731D" w:rsidRPr="00A52585">
        <w:rPr>
          <w:rFonts w:hint="cs"/>
          <w:sz w:val="24"/>
          <w:szCs w:val="24"/>
          <w:rtl/>
        </w:rPr>
        <w:t>،</w:t>
      </w:r>
      <w:r w:rsidR="00777DCB" w:rsidRPr="00A52585">
        <w:rPr>
          <w:rFonts w:hint="cs"/>
          <w:sz w:val="24"/>
          <w:szCs w:val="24"/>
          <w:rtl/>
        </w:rPr>
        <w:t xml:space="preserve"> صحيح مسلم</w:t>
      </w:r>
      <w:r w:rsidRPr="00A52585">
        <w:rPr>
          <w:rFonts w:hint="cs"/>
          <w:sz w:val="24"/>
          <w:szCs w:val="24"/>
          <w:rtl/>
        </w:rPr>
        <w:t>:</w:t>
      </w:r>
      <w:r w:rsidR="00777DCB" w:rsidRPr="00A52585">
        <w:rPr>
          <w:rFonts w:hint="cs"/>
          <w:sz w:val="24"/>
          <w:szCs w:val="24"/>
          <w:rtl/>
        </w:rPr>
        <w:t xml:space="preserve"> كتاب الإيمان – باب بيان أن الإسلام بدأ غريباً حديثاً رقم (362)</w:t>
      </w:r>
      <w:r w:rsidRPr="00A52585">
        <w:rPr>
          <w:rFonts w:hint="cs"/>
          <w:sz w:val="24"/>
          <w:szCs w:val="24"/>
          <w:rtl/>
        </w:rPr>
        <w:t>]</w:t>
      </w:r>
      <w:r w:rsidR="00DB731D" w:rsidRPr="00A52585">
        <w:rPr>
          <w:rFonts w:hint="cs"/>
          <w:rtl/>
        </w:rPr>
        <w:t>،</w:t>
      </w:r>
      <w:r w:rsidR="00777DCB" w:rsidRPr="00A52585">
        <w:rPr>
          <w:rFonts w:hint="cs"/>
          <w:rtl/>
        </w:rPr>
        <w:t xml:space="preserve"> فقوله</w:t>
      </w:r>
      <w:r w:rsidRPr="00A52585">
        <w:rPr>
          <w:rFonts w:hint="cs"/>
          <w:rtl/>
        </w:rPr>
        <w:t>:</w:t>
      </w:r>
      <w:r w:rsidR="00777DCB" w:rsidRPr="00A52585">
        <w:rPr>
          <w:rFonts w:hint="cs"/>
          <w:rtl/>
        </w:rPr>
        <w:t xml:space="preserve"> (ليس بالأغاليط) يعني أنه عن رسول الله صلى الله عليه وسلم</w:t>
      </w:r>
      <w:r w:rsidR="00DB731D" w:rsidRPr="00A52585">
        <w:rPr>
          <w:rFonts w:hint="cs"/>
          <w:rtl/>
        </w:rPr>
        <w:t>،</w:t>
      </w:r>
      <w:r w:rsidR="00777DCB" w:rsidRPr="00A52585">
        <w:rPr>
          <w:rFonts w:hint="cs"/>
          <w:rtl/>
        </w:rPr>
        <w:t xml:space="preserve"> </w:t>
      </w:r>
      <w:r w:rsidR="00777DCB" w:rsidRPr="00A52585">
        <w:rPr>
          <w:rFonts w:hint="cs"/>
          <w:spacing w:val="-6"/>
          <w:rtl/>
        </w:rPr>
        <w:t>والفتن كل أمر كشفه الاختبار عن أمر سوء وأصلها في اللغة الاختبار</w:t>
      </w:r>
      <w:r w:rsidR="00DB731D" w:rsidRPr="00A52585">
        <w:rPr>
          <w:rFonts w:hint="cs"/>
          <w:spacing w:val="-6"/>
          <w:rtl/>
        </w:rPr>
        <w:t>،</w:t>
      </w:r>
      <w:r w:rsidR="00777DCB" w:rsidRPr="00A52585">
        <w:rPr>
          <w:rFonts w:hint="cs"/>
          <w:rtl/>
        </w:rPr>
        <w:t xml:space="preserve"> </w:t>
      </w:r>
      <w:r w:rsidR="00777DCB" w:rsidRPr="00A52585">
        <w:rPr>
          <w:rFonts w:hint="cs"/>
          <w:spacing w:val="-6"/>
          <w:rtl/>
        </w:rPr>
        <w:t>وشبهت بموج البحر لاضطرابها ودفع بعضها ببعض وشدة عظمها وشيوعها</w:t>
      </w:r>
      <w:r w:rsidR="00DB731D" w:rsidRPr="00A52585">
        <w:rPr>
          <w:rFonts w:hint="cs"/>
          <w:spacing w:val="-6"/>
          <w:rtl/>
        </w:rPr>
        <w:t>،</w:t>
      </w:r>
      <w:r w:rsidR="00777DCB" w:rsidRPr="00A52585">
        <w:rPr>
          <w:rFonts w:hint="cs"/>
          <w:spacing w:val="-6"/>
          <w:rtl/>
        </w:rPr>
        <w:t xml:space="preserve"> وقوله</w:t>
      </w:r>
      <w:r w:rsidRPr="00A52585">
        <w:rPr>
          <w:rFonts w:hint="cs"/>
          <w:spacing w:val="-6"/>
          <w:rtl/>
        </w:rPr>
        <w:t>:</w:t>
      </w:r>
      <w:r w:rsidR="00777DCB" w:rsidRPr="00A52585">
        <w:rPr>
          <w:rFonts w:hint="cs"/>
          <w:spacing w:val="-6"/>
          <w:rtl/>
        </w:rPr>
        <w:t xml:space="preserve"> (تعرض الفتن على القلوب)</w:t>
      </w:r>
      <w:r w:rsidRPr="00A52585">
        <w:rPr>
          <w:rFonts w:hint="cs"/>
          <w:spacing w:val="-6"/>
          <w:rtl/>
        </w:rPr>
        <w:t>:</w:t>
      </w:r>
      <w:r w:rsidR="00777DCB" w:rsidRPr="00A52585">
        <w:rPr>
          <w:rFonts w:hint="cs"/>
          <w:spacing w:val="-6"/>
          <w:rtl/>
        </w:rPr>
        <w:t xml:space="preserve"> أي تلصق </w:t>
      </w:r>
      <w:r w:rsidR="00777DCB" w:rsidRPr="00A52585">
        <w:rPr>
          <w:rFonts w:hint="cs"/>
          <w:spacing w:val="-6"/>
          <w:rtl/>
        </w:rPr>
        <w:lastRenderedPageBreak/>
        <w:t>بعرض القلوب أي بجانبيها</w:t>
      </w:r>
      <w:r w:rsidR="00777DCB" w:rsidRPr="00A52585">
        <w:rPr>
          <w:rFonts w:hint="cs"/>
          <w:rtl/>
        </w:rPr>
        <w:t xml:space="preserve"> (كالحصير) يلصق بها كما يلصق الحصير بجنب النائم وتؤثر فيه من شدة </w:t>
      </w:r>
      <w:r w:rsidR="00777DCB" w:rsidRPr="00A52585">
        <w:rPr>
          <w:rFonts w:hint="cs"/>
          <w:spacing w:val="-6"/>
          <w:rtl/>
        </w:rPr>
        <w:t>التصاقها</w:t>
      </w:r>
      <w:r w:rsidR="00DB731D" w:rsidRPr="00A52585">
        <w:rPr>
          <w:rFonts w:hint="cs"/>
          <w:spacing w:val="-6"/>
          <w:rtl/>
        </w:rPr>
        <w:t>،</w:t>
      </w:r>
      <w:r w:rsidR="00777DCB" w:rsidRPr="00A52585">
        <w:rPr>
          <w:rFonts w:hint="cs"/>
          <w:spacing w:val="-6"/>
          <w:rtl/>
        </w:rPr>
        <w:t xml:space="preserve"> وهذا شأن المشبهة تلصق فتنة التشبيه في قلوبهم وتؤثر</w:t>
      </w:r>
      <w:r w:rsidR="00DB731D" w:rsidRPr="00A52585">
        <w:rPr>
          <w:rFonts w:hint="cs"/>
          <w:spacing w:val="-6"/>
          <w:rtl/>
        </w:rPr>
        <w:t>،</w:t>
      </w:r>
      <w:r w:rsidR="00777DCB" w:rsidRPr="00A52585">
        <w:rPr>
          <w:rFonts w:hint="cs"/>
          <w:spacing w:val="-6"/>
          <w:rtl/>
        </w:rPr>
        <w:t xml:space="preserve"> ويحسن العدو</w:t>
      </w:r>
      <w:r w:rsidR="00777DCB" w:rsidRPr="00A52585">
        <w:rPr>
          <w:rFonts w:hint="cs"/>
          <w:rtl/>
        </w:rPr>
        <w:t xml:space="preserve"> </w:t>
      </w:r>
      <w:r w:rsidR="00777DCB" w:rsidRPr="00A52585">
        <w:rPr>
          <w:rFonts w:hint="cs"/>
          <w:spacing w:val="-6"/>
          <w:rtl/>
        </w:rPr>
        <w:t>لهم ذلك حتى يعتقدوا ذلك دينا وقربانا من الله عز وجل</w:t>
      </w:r>
      <w:r w:rsidR="00DB731D" w:rsidRPr="00A52585">
        <w:rPr>
          <w:rFonts w:hint="cs"/>
          <w:spacing w:val="-6"/>
          <w:rtl/>
        </w:rPr>
        <w:t>،</w:t>
      </w:r>
      <w:r w:rsidR="00777DCB" w:rsidRPr="00A52585">
        <w:rPr>
          <w:rFonts w:hint="cs"/>
          <w:spacing w:val="-6"/>
          <w:rtl/>
        </w:rPr>
        <w:t xml:space="preserve"> وما يقنع أحدهم حتى يبقى داعية وحريصاً على إفتان من يقدر على </w:t>
      </w:r>
      <w:proofErr w:type="spellStart"/>
      <w:r w:rsidR="00777DCB" w:rsidRPr="00A52585">
        <w:rPr>
          <w:rFonts w:hint="cs"/>
          <w:spacing w:val="-6"/>
          <w:rtl/>
        </w:rPr>
        <w:t>إفتانه</w:t>
      </w:r>
      <w:proofErr w:type="spellEnd"/>
      <w:r w:rsidR="00777DCB" w:rsidRPr="00A52585">
        <w:rPr>
          <w:rFonts w:hint="cs"/>
          <w:spacing w:val="-6"/>
          <w:rtl/>
        </w:rPr>
        <w:t xml:space="preserve"> كما هو مشاهد منهم</w:t>
      </w:r>
      <w:r w:rsidR="00DB731D" w:rsidRPr="00A52585">
        <w:rPr>
          <w:rFonts w:hint="cs"/>
          <w:spacing w:val="-6"/>
          <w:rtl/>
        </w:rPr>
        <w:t>،</w:t>
      </w:r>
      <w:r w:rsidR="00777DCB" w:rsidRPr="00A52585">
        <w:rPr>
          <w:rFonts w:hint="cs"/>
          <w:spacing w:val="-6"/>
          <w:rtl/>
        </w:rPr>
        <w:t xml:space="preserve"> </w:t>
      </w:r>
      <w:r w:rsidR="00777DCB" w:rsidRPr="00A52585">
        <w:rPr>
          <w:rFonts w:hint="cs"/>
          <w:rtl/>
        </w:rPr>
        <w:t>وإلى مثل ذلك قوله</w:t>
      </w:r>
      <w:r w:rsidRPr="00A52585">
        <w:rPr>
          <w:rFonts w:hint="cs"/>
          <w:rtl/>
        </w:rPr>
        <w:t>:</w:t>
      </w:r>
      <w:r w:rsidR="00777DCB" w:rsidRPr="00A52585">
        <w:rPr>
          <w:rFonts w:hint="cs"/>
          <w:rtl/>
        </w:rPr>
        <w:t xml:space="preserve"> (أشربها) أي دخلت فيه دخولاً تامًّا</w:t>
      </w:r>
      <w:r w:rsidR="00DB731D" w:rsidRPr="00A52585">
        <w:rPr>
          <w:rFonts w:hint="cs"/>
          <w:rtl/>
        </w:rPr>
        <w:t>،</w:t>
      </w:r>
      <w:r w:rsidR="00777DCB" w:rsidRPr="00A52585">
        <w:rPr>
          <w:rFonts w:hint="cs"/>
          <w:rtl/>
        </w:rPr>
        <w:t xml:space="preserve"> وألُزمها وحلت منه محل الشراب ومنه قوله تعالى</w:t>
      </w:r>
      <w:r w:rsidRPr="00A52585">
        <w:rPr>
          <w:rFonts w:hint="cs"/>
          <w:rtl/>
        </w:rPr>
        <w:t>:</w:t>
      </w:r>
      <w:r w:rsidR="00777DCB" w:rsidRPr="00A52585">
        <w:rPr>
          <w:rFonts w:hint="cs"/>
          <w:rtl/>
        </w:rPr>
        <w:t xml:space="preserve"> {وأشربوا في قلوبهم العجل}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93</w:t>
      </w:r>
      <w:r w:rsidRPr="00A52585">
        <w:rPr>
          <w:rFonts w:hint="cs"/>
          <w:rtl/>
        </w:rPr>
        <w:t>]</w:t>
      </w:r>
      <w:r w:rsidR="00DB731D" w:rsidRPr="00A52585">
        <w:rPr>
          <w:rFonts w:hint="cs"/>
          <w:rtl/>
        </w:rPr>
        <w:t>،</w:t>
      </w:r>
      <w:r w:rsidR="00777DCB" w:rsidRPr="00A52585">
        <w:rPr>
          <w:rFonts w:hint="cs"/>
          <w:rtl/>
        </w:rPr>
        <w:t xml:space="preserve"> أي حبه وقوله</w:t>
      </w:r>
      <w:r w:rsidR="00777DCB" w:rsidRPr="00A52585">
        <w:rPr>
          <w:rFonts w:hint="cs"/>
          <w:vertAlign w:val="superscript"/>
          <w:rtl/>
        </w:rPr>
        <w:t xml:space="preserve"> </w:t>
      </w:r>
      <w:r w:rsidR="00777DCB" w:rsidRPr="00A52585">
        <w:rPr>
          <w:rFonts w:hint="cs"/>
          <w:rtl/>
        </w:rPr>
        <w:t>إن بينك وبينها باباً مغلقاً معناه</w:t>
      </w:r>
      <w:r w:rsidRPr="00A52585">
        <w:rPr>
          <w:rFonts w:hint="cs"/>
          <w:rtl/>
        </w:rPr>
        <w:t>:</w:t>
      </w:r>
      <w:r w:rsidR="00777DCB" w:rsidRPr="00A52585">
        <w:rPr>
          <w:rFonts w:hint="cs"/>
          <w:rtl/>
        </w:rPr>
        <w:t xml:space="preserve"> إن تلك الفتن لا تفتح ولا يخرج منها شيء في حياتك</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(يوُشِك) هو بضم الياء وكسر الشين معناه</w:t>
      </w:r>
      <w:r w:rsidRPr="00A52585">
        <w:rPr>
          <w:rFonts w:hint="cs"/>
          <w:rtl/>
        </w:rPr>
        <w:t>:</w:t>
      </w:r>
      <w:r w:rsidR="00777DCB" w:rsidRPr="00A52585">
        <w:rPr>
          <w:rFonts w:hint="cs"/>
          <w:rtl/>
        </w:rPr>
        <w:t xml:space="preserve"> أن يكسر عن قرب والرجل هو عمر</w:t>
      </w:r>
      <w:r w:rsidR="00DB731D" w:rsidRPr="00A52585">
        <w:rPr>
          <w:rFonts w:hint="cs"/>
          <w:rtl/>
        </w:rPr>
        <w:t>،</w:t>
      </w:r>
      <w:r w:rsidR="00777DCB" w:rsidRPr="00A52585">
        <w:rPr>
          <w:rFonts w:hint="cs"/>
          <w:rtl/>
        </w:rPr>
        <w:t xml:space="preserve"> وقد جاء مبيناً في الصحيح</w:t>
      </w:r>
      <w:r w:rsidR="00DB731D" w:rsidRPr="00A52585">
        <w:rPr>
          <w:rFonts w:hint="cs"/>
          <w:rtl/>
        </w:rPr>
        <w:t>،</w:t>
      </w:r>
      <w:r w:rsidR="00777DCB" w:rsidRPr="00A52585">
        <w:rPr>
          <w:rFonts w:hint="cs"/>
          <w:rtl/>
        </w:rPr>
        <w:t xml:space="preserve"> </w:t>
      </w:r>
      <w:r w:rsidR="00777DCB" w:rsidRPr="00A52585">
        <w:rPr>
          <w:rFonts w:hint="cs"/>
          <w:spacing w:val="-6"/>
          <w:rtl/>
        </w:rPr>
        <w:t>والحاصل أن الحائل بين الفتن هو</w:t>
      </w:r>
      <w:r w:rsidR="00777DCB" w:rsidRPr="00A52585">
        <w:rPr>
          <w:rFonts w:hint="cs"/>
          <w:rtl/>
        </w:rPr>
        <w:t xml:space="preserve"> عمر رضي الله عنه ما </w:t>
      </w:r>
      <w:r w:rsidR="00777DCB" w:rsidRPr="00A52585">
        <w:rPr>
          <w:rFonts w:hint="cs"/>
          <w:spacing w:val="-6"/>
          <w:rtl/>
        </w:rPr>
        <w:t>دام حيًّا</w:t>
      </w:r>
      <w:r w:rsidR="00DB731D" w:rsidRPr="00A52585">
        <w:rPr>
          <w:rFonts w:hint="cs"/>
          <w:spacing w:val="-6"/>
          <w:rtl/>
        </w:rPr>
        <w:t>،</w:t>
      </w:r>
      <w:r w:rsidR="00777DCB" w:rsidRPr="00A52585">
        <w:rPr>
          <w:rFonts w:hint="cs"/>
          <w:spacing w:val="-6"/>
          <w:rtl/>
        </w:rPr>
        <w:t xml:space="preserve"> فإذا مات دخلت</w:t>
      </w:r>
      <w:r w:rsidR="00DB731D" w:rsidRPr="00A52585">
        <w:rPr>
          <w:rFonts w:hint="cs"/>
          <w:spacing w:val="-6"/>
          <w:rtl/>
        </w:rPr>
        <w:t>،</w:t>
      </w:r>
      <w:r w:rsidR="00777DCB" w:rsidRPr="00A52585">
        <w:rPr>
          <w:rFonts w:hint="cs"/>
          <w:spacing w:val="-6"/>
          <w:rtl/>
        </w:rPr>
        <w:t xml:space="preserve"> </w:t>
      </w:r>
      <w:r w:rsidR="00777DCB" w:rsidRPr="00A52585">
        <w:rPr>
          <w:rFonts w:hint="cs"/>
          <w:rtl/>
        </w:rPr>
        <w:t>وأرباب الفتن هم الذين شرقوا بالنبي صلى الله عليه وسلم وبأبي بكر وعمر رضي الله عنهم لعلمهم أن الدين لا يتم إلا بهما لأن عندهم علماً بذلك</w:t>
      </w:r>
      <w:r w:rsidR="00DB731D" w:rsidRPr="00A52585">
        <w:rPr>
          <w:rFonts w:hint="cs"/>
          <w:rtl/>
        </w:rPr>
        <w:t>،</w:t>
      </w:r>
      <w:r w:rsidR="00777DCB" w:rsidRPr="00A52585">
        <w:rPr>
          <w:rFonts w:hint="cs"/>
          <w:rtl/>
        </w:rPr>
        <w:t xml:space="preserve"> وكانوا يظهرون الإسلام </w:t>
      </w:r>
      <w:proofErr w:type="spellStart"/>
      <w:r w:rsidR="00777DCB" w:rsidRPr="00A52585">
        <w:rPr>
          <w:rFonts w:hint="cs"/>
          <w:rtl/>
        </w:rPr>
        <w:t>ويقرءون</w:t>
      </w:r>
      <w:proofErr w:type="spellEnd"/>
      <w:r w:rsidR="00777DCB" w:rsidRPr="00A52585">
        <w:rPr>
          <w:rFonts w:hint="cs"/>
          <w:rtl/>
        </w:rPr>
        <w:t xml:space="preserve"> شيئاً من القرآن</w:t>
      </w:r>
      <w:r w:rsidR="00DB731D" w:rsidRPr="00A52585">
        <w:rPr>
          <w:rFonts w:hint="cs"/>
          <w:rtl/>
        </w:rPr>
        <w:t>،</w:t>
      </w:r>
      <w:r w:rsidR="00777DCB" w:rsidRPr="00A52585">
        <w:rPr>
          <w:rFonts w:hint="cs"/>
          <w:rtl/>
        </w:rPr>
        <w:t xml:space="preserve"> وكانوا يرمزون إلى التعرض بالنقص حتى في النبي صلى الله عليه وسلم حتى أن منهم من كان يؤم بالناس ولا يقرأ في الجهرية إلاّ بعبس لما فيها من العتاب مع النبي صلى الله عليه وسلم لأجل ابن أم مكتوم</w:t>
      </w:r>
      <w:r w:rsidR="00DB731D" w:rsidRPr="00A52585">
        <w:rPr>
          <w:rFonts w:hint="cs"/>
          <w:rtl/>
        </w:rPr>
        <w:t>،</w:t>
      </w:r>
      <w:r w:rsidR="00777DCB" w:rsidRPr="00A52585">
        <w:rPr>
          <w:rFonts w:hint="cs"/>
          <w:rtl/>
        </w:rPr>
        <w:t xml:space="preserve"> وهَمَّ رضي الله عنه على قتله</w:t>
      </w:r>
      <w:r w:rsidR="00DB731D" w:rsidRPr="00A52585">
        <w:rPr>
          <w:rFonts w:hint="cs"/>
          <w:vertAlign w:val="superscript"/>
          <w:rtl/>
        </w:rPr>
        <w:t>،</w:t>
      </w:r>
      <w:r w:rsidR="00777DCB" w:rsidRPr="00A52585">
        <w:rPr>
          <w:rFonts w:hint="cs"/>
          <w:rtl/>
        </w:rPr>
        <w:t xml:space="preserve"> وتظاهر شخص بسؤال</w:t>
      </w:r>
      <w:r w:rsidR="00DB731D" w:rsidRPr="00A52585">
        <w:rPr>
          <w:rFonts w:hint="cs"/>
          <w:rtl/>
        </w:rPr>
        <w:t>،</w:t>
      </w:r>
      <w:r w:rsidR="00777DCB" w:rsidRPr="00A52585">
        <w:rPr>
          <w:rFonts w:hint="cs"/>
          <w:rtl/>
        </w:rPr>
        <w:t xml:space="preserve"> ما الذاريات ذروا</w:t>
      </w:r>
      <w:r w:rsidR="00F95886" w:rsidRPr="00A52585">
        <w:rPr>
          <w:rFonts w:hint="cs"/>
          <w:rtl/>
        </w:rPr>
        <w:t>؟</w:t>
      </w:r>
      <w:r w:rsidR="00777DCB" w:rsidRPr="00A52585">
        <w:rPr>
          <w:rFonts w:hint="cs"/>
          <w:rtl/>
        </w:rPr>
        <w:t xml:space="preserve"> فقال عمر رضي الله عنه</w:t>
      </w:r>
      <w:r w:rsidRPr="00A52585">
        <w:rPr>
          <w:rFonts w:hint="cs"/>
          <w:rtl/>
        </w:rPr>
        <w:t>:</w:t>
      </w:r>
      <w:r w:rsidR="00777DCB" w:rsidRPr="00A52585">
        <w:rPr>
          <w:rFonts w:hint="cs"/>
          <w:rtl/>
        </w:rPr>
        <w:t xml:space="preserve"> اللهم أمكني منه</w:t>
      </w:r>
      <w:r w:rsidR="00DB731D" w:rsidRPr="00A52585">
        <w:rPr>
          <w:rFonts w:hint="cs"/>
          <w:rtl/>
        </w:rPr>
        <w:t>،</w:t>
      </w:r>
      <w:r w:rsidR="00777DCB" w:rsidRPr="00A52585">
        <w:rPr>
          <w:rFonts w:hint="cs"/>
          <w:rtl/>
        </w:rPr>
        <w:t xml:space="preserve"> فمر يوماً فقيل له</w:t>
      </w:r>
      <w:r w:rsidRPr="00A52585">
        <w:rPr>
          <w:rFonts w:hint="cs"/>
          <w:rtl/>
        </w:rPr>
        <w:t>:</w:t>
      </w:r>
      <w:r w:rsidR="00777DCB" w:rsidRPr="00A52585">
        <w:rPr>
          <w:rFonts w:hint="cs"/>
          <w:rtl/>
        </w:rPr>
        <w:t xml:space="preserve"> هو ذا</w:t>
      </w:r>
      <w:r w:rsidR="00DB731D" w:rsidRPr="00A52585">
        <w:rPr>
          <w:rFonts w:hint="cs"/>
          <w:rtl/>
        </w:rPr>
        <w:t>،</w:t>
      </w:r>
      <w:r w:rsidR="00777DCB" w:rsidRPr="00A52585">
        <w:rPr>
          <w:rFonts w:hint="cs"/>
          <w:rtl/>
        </w:rPr>
        <w:t xml:space="preserve"> واسم الرجل </w:t>
      </w:r>
      <w:proofErr w:type="spellStart"/>
      <w:r w:rsidR="00777DCB" w:rsidRPr="00A52585">
        <w:rPr>
          <w:rFonts w:hint="cs"/>
          <w:rtl/>
        </w:rPr>
        <w:t>صبيغ</w:t>
      </w:r>
      <w:proofErr w:type="spellEnd"/>
      <w:r w:rsidR="00777DCB" w:rsidRPr="00A52585">
        <w:rPr>
          <w:rFonts w:hint="cs"/>
          <w:rtl/>
        </w:rPr>
        <w:t>. فشمر عمر رضي الله عنه عن ذراعيه وأوجعه جلداً. ثم قال</w:t>
      </w:r>
      <w:r w:rsidRPr="00A52585">
        <w:rPr>
          <w:rFonts w:hint="cs"/>
          <w:rtl/>
        </w:rPr>
        <w:t>:</w:t>
      </w:r>
      <w:r w:rsidR="00777DCB" w:rsidRPr="00A52585">
        <w:rPr>
          <w:rFonts w:hint="cs"/>
          <w:rtl/>
        </w:rPr>
        <w:t xml:space="preserve"> أرجلوه. فأركبوه. على راحلته. فقال</w:t>
      </w:r>
      <w:r w:rsidRPr="00A52585">
        <w:rPr>
          <w:rFonts w:hint="cs"/>
          <w:rtl/>
        </w:rPr>
        <w:t>:</w:t>
      </w:r>
      <w:r w:rsidR="00777DCB" w:rsidRPr="00A52585">
        <w:rPr>
          <w:rFonts w:hint="cs"/>
          <w:rtl/>
        </w:rPr>
        <w:t xml:space="preserve"> طيفوا به في حيه ليعلم الناس بذلك</w:t>
      </w:r>
      <w:r w:rsidR="00DB731D" w:rsidRPr="00A52585">
        <w:rPr>
          <w:rFonts w:hint="cs"/>
          <w:rtl/>
        </w:rPr>
        <w:t>،</w:t>
      </w:r>
      <w:r w:rsidR="00777DCB" w:rsidRPr="00A52585">
        <w:rPr>
          <w:rFonts w:hint="cs"/>
          <w:rtl/>
        </w:rPr>
        <w:t xml:space="preserve"> وكان رضي الله عنه شديداً في دين الله عز وجل لا يأخذه في الله لومة لائم</w:t>
      </w:r>
      <w:r w:rsidR="00DB731D" w:rsidRPr="00A52585">
        <w:rPr>
          <w:rFonts w:hint="cs"/>
          <w:rtl/>
        </w:rPr>
        <w:t>،</w:t>
      </w:r>
      <w:r w:rsidR="00777DCB" w:rsidRPr="00A52585">
        <w:rPr>
          <w:rFonts w:hint="cs"/>
          <w:rtl/>
        </w:rPr>
        <w:t xml:space="preserve"> وقد ذكرت نبذة يسيرة في سيرته في كتاب (</w:t>
      </w:r>
      <w:r w:rsidRPr="00A52585">
        <w:rPr>
          <w:rFonts w:hint="cs"/>
          <w:rtl/>
        </w:rPr>
        <w:t>(</w:t>
      </w:r>
      <w:r w:rsidR="00777DCB" w:rsidRPr="00A52585">
        <w:rPr>
          <w:rFonts w:hint="cs"/>
          <w:rtl/>
        </w:rPr>
        <w:t>قمع النفوس</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p>
    <w:p w14:paraId="19B0E434" w14:textId="6FCBC9CF" w:rsidR="00777DCB" w:rsidRPr="00A52585" w:rsidRDefault="0002035C" w:rsidP="0002035C">
      <w:pPr>
        <w:spacing w:after="240"/>
        <w:rPr>
          <w:b/>
          <w:rtl/>
        </w:rPr>
      </w:pPr>
      <w:r w:rsidRPr="00A52585">
        <w:rPr>
          <w:rFonts w:hint="cs"/>
          <w:bCs/>
          <w:rtl/>
        </w:rPr>
        <w:t>[</w:t>
      </w:r>
      <w:r w:rsidR="00777DCB" w:rsidRPr="00A52585">
        <w:rPr>
          <w:rFonts w:hint="cs"/>
          <w:bCs/>
          <w:rtl/>
        </w:rPr>
        <w:t>المغيرة بن سعيد الساحر المجسم</w:t>
      </w:r>
      <w:r w:rsidRPr="00A52585">
        <w:rPr>
          <w:rFonts w:hint="cs"/>
          <w:bCs/>
          <w:rtl/>
        </w:rPr>
        <w:t>]:</w:t>
      </w:r>
      <w:r w:rsidR="00777DCB" w:rsidRPr="00A52585">
        <w:rPr>
          <w:rFonts w:hint="cs"/>
          <w:bCs/>
          <w:rtl/>
        </w:rPr>
        <w:t xml:space="preserve"> </w:t>
      </w:r>
      <w:r w:rsidR="00777DCB" w:rsidRPr="00A52585">
        <w:rPr>
          <w:rFonts w:hint="cs"/>
          <w:rtl/>
        </w:rPr>
        <w:t>ولما كان أواخر القرن الأول اتسع الأمر من القصاص</w:t>
      </w:r>
      <w:r w:rsidR="00DB731D" w:rsidRPr="00A52585">
        <w:rPr>
          <w:rFonts w:hint="cs"/>
          <w:rtl/>
        </w:rPr>
        <w:t>،</w:t>
      </w:r>
      <w:r w:rsidR="00777DCB" w:rsidRPr="00A52585">
        <w:rPr>
          <w:rFonts w:hint="cs"/>
          <w:rtl/>
        </w:rPr>
        <w:t xml:space="preserve"> وتظاهر شخص يقال له المغيرة بن سعيد وكان ساحراً</w:t>
      </w:r>
      <w:r w:rsidR="00DB731D" w:rsidRPr="00A52585">
        <w:rPr>
          <w:rFonts w:hint="cs"/>
          <w:rtl/>
        </w:rPr>
        <w:t>،</w:t>
      </w:r>
      <w:r w:rsidR="00777DCB" w:rsidRPr="00A52585">
        <w:rPr>
          <w:rFonts w:hint="cs"/>
          <w:rtl/>
        </w:rPr>
        <w:t xml:space="preserve"> واشتهر بالوصَّاف</w:t>
      </w:r>
      <w:r w:rsidR="00DB731D" w:rsidRPr="00A52585">
        <w:rPr>
          <w:rFonts w:hint="cs"/>
          <w:rtl/>
        </w:rPr>
        <w:t>،</w:t>
      </w:r>
      <w:r w:rsidR="00777DCB" w:rsidRPr="00A52585">
        <w:rPr>
          <w:rFonts w:hint="cs"/>
          <w:rtl/>
        </w:rPr>
        <w:t xml:space="preserve"> وجمع بَيْنَ الإلحاد والتجسيم</w:t>
      </w:r>
      <w:r w:rsidR="00DB731D" w:rsidRPr="00A52585">
        <w:rPr>
          <w:rFonts w:hint="cs"/>
          <w:rtl/>
        </w:rPr>
        <w:t>،</w:t>
      </w:r>
      <w:r w:rsidR="00777DCB" w:rsidRPr="00A52585">
        <w:rPr>
          <w:rFonts w:hint="cs"/>
          <w:rtl/>
        </w:rPr>
        <w:t xml:space="preserve"> ويقول</w:t>
      </w:r>
      <w:r w:rsidRPr="00A52585">
        <w:rPr>
          <w:rFonts w:hint="cs"/>
          <w:rtl/>
        </w:rPr>
        <w:t>:</w:t>
      </w:r>
      <w:r w:rsidR="00777DCB" w:rsidRPr="00A52585">
        <w:rPr>
          <w:rFonts w:hint="cs"/>
          <w:rtl/>
        </w:rPr>
        <w:t xml:space="preserve"> إن ربه على صورة رجل على رأسه تاج</w:t>
      </w:r>
      <w:r w:rsidR="00DB731D" w:rsidRPr="00A52585">
        <w:rPr>
          <w:rFonts w:hint="cs"/>
          <w:rtl/>
        </w:rPr>
        <w:t>،</w:t>
      </w:r>
      <w:r w:rsidR="00777DCB" w:rsidRPr="00A52585">
        <w:rPr>
          <w:rFonts w:hint="cs"/>
          <w:rtl/>
        </w:rPr>
        <w:t xml:space="preserve"> وأن أعضاءه على عدد حروف الهجاء</w:t>
      </w:r>
      <w:r w:rsidR="00DB731D" w:rsidRPr="00A52585">
        <w:rPr>
          <w:rFonts w:hint="cs"/>
          <w:rtl/>
        </w:rPr>
        <w:t>،</w:t>
      </w:r>
      <w:r w:rsidR="00777DCB" w:rsidRPr="00A52585">
        <w:rPr>
          <w:rFonts w:hint="cs"/>
          <w:rtl/>
        </w:rPr>
        <w:t xml:space="preserve"> ويقول ما لا يُنطق به</w:t>
      </w:r>
      <w:r w:rsidR="00DB731D" w:rsidRPr="00A52585">
        <w:rPr>
          <w:rFonts w:hint="cs"/>
          <w:rtl/>
        </w:rPr>
        <w:t>،</w:t>
      </w:r>
      <w:r w:rsidR="00777DCB" w:rsidRPr="00A52585">
        <w:rPr>
          <w:rFonts w:hint="cs"/>
          <w:rtl/>
        </w:rPr>
        <w:t xml:space="preserve"> ويقول أنَّ الأمانة في قوله تعالى</w:t>
      </w:r>
      <w:r w:rsidRPr="00A52585">
        <w:rPr>
          <w:rFonts w:hint="cs"/>
          <w:rtl/>
        </w:rPr>
        <w:t>:</w:t>
      </w:r>
      <w:r w:rsidR="00777DCB" w:rsidRPr="00A52585">
        <w:rPr>
          <w:rFonts w:hint="cs"/>
          <w:rtl/>
        </w:rPr>
        <w:t xml:space="preserve"> {إِنَّا عَرَضْنَا الأَمَانَةَ عَلَى السَّمَوَاتِ وَالأَرْضِ وَالْجِبَالِ} </w:t>
      </w:r>
      <w:r w:rsidRPr="00A52585">
        <w:rPr>
          <w:rFonts w:hint="cs"/>
          <w:rtl/>
        </w:rPr>
        <w:t>[</w:t>
      </w:r>
      <w:r w:rsidR="00777DCB" w:rsidRPr="00A52585">
        <w:rPr>
          <w:rFonts w:hint="cs"/>
          <w:rtl/>
        </w:rPr>
        <w:t>الأحزاب</w:t>
      </w:r>
      <w:r w:rsidRPr="00A52585">
        <w:rPr>
          <w:rFonts w:hint="cs"/>
          <w:rtl/>
        </w:rPr>
        <w:t>:</w:t>
      </w:r>
      <w:r w:rsidR="00777DCB" w:rsidRPr="00A52585">
        <w:rPr>
          <w:rFonts w:hint="cs"/>
          <w:rtl/>
        </w:rPr>
        <w:t xml:space="preserve"> 72</w:t>
      </w:r>
      <w:r w:rsidRPr="00A52585">
        <w:rPr>
          <w:rFonts w:hint="cs"/>
          <w:rtl/>
        </w:rPr>
        <w:t>]</w:t>
      </w:r>
      <w:r w:rsidR="00DB731D" w:rsidRPr="00A52585">
        <w:rPr>
          <w:rFonts w:hint="cs"/>
          <w:rtl/>
        </w:rPr>
        <w:t>،</w:t>
      </w:r>
      <w:r w:rsidR="00777DCB" w:rsidRPr="00A52585">
        <w:rPr>
          <w:rFonts w:hint="cs"/>
          <w:rtl/>
        </w:rPr>
        <w:t xml:space="preserve"> هي أن لا يمنع علي الخلافة وقوله تعالى</w:t>
      </w:r>
      <w:r w:rsidRPr="00A52585">
        <w:rPr>
          <w:rFonts w:hint="cs"/>
          <w:rtl/>
        </w:rPr>
        <w:t>:</w:t>
      </w:r>
      <w:r w:rsidR="00777DCB" w:rsidRPr="00A52585">
        <w:rPr>
          <w:rFonts w:hint="cs"/>
          <w:rtl/>
        </w:rPr>
        <w:t xml:space="preserve"> {وَحَمَلَهَاَ الإِنْسَانُ إِنَّهُ كَانَ ظَلُوماً جَهُولاً} هو أبو بكر رضي الله عنه</w:t>
      </w:r>
      <w:r w:rsidR="00DB731D" w:rsidRPr="00A52585">
        <w:rPr>
          <w:rFonts w:hint="cs"/>
          <w:rtl/>
        </w:rPr>
        <w:t>،</w:t>
      </w:r>
      <w:r w:rsidR="00777DCB" w:rsidRPr="00A52585">
        <w:rPr>
          <w:rFonts w:hint="cs"/>
          <w:rtl/>
        </w:rPr>
        <w:t xml:space="preserve"> وقال عمر رضي الله عنه لأبي بكر رضي الله عنه أن يحملها ويمنع علياً منها وضمن عمر أنه يعين أبا بكر بشرط أن يجعل أبو بكر الخلافة له بعده فقبل أبو بكر منه وأقدما على المنع متظَاهِرَين</w:t>
      </w:r>
      <w:r w:rsidR="00DB731D" w:rsidRPr="00A52585">
        <w:rPr>
          <w:rFonts w:hint="cs"/>
          <w:rtl/>
        </w:rPr>
        <w:t>،</w:t>
      </w:r>
      <w:r w:rsidR="00777DCB" w:rsidRPr="00A52585">
        <w:rPr>
          <w:rFonts w:hint="cs"/>
          <w:rtl/>
        </w:rPr>
        <w:t xml:space="preserve"> ثم وصفهما بالظلم والجهل فقال</w:t>
      </w:r>
      <w:r w:rsidRPr="00A52585">
        <w:rPr>
          <w:rFonts w:hint="cs"/>
          <w:rtl/>
        </w:rPr>
        <w:t>:</w:t>
      </w:r>
      <w:r w:rsidR="00777DCB" w:rsidRPr="00A52585">
        <w:rPr>
          <w:rFonts w:hint="cs"/>
          <w:rtl/>
        </w:rPr>
        <w:t xml:space="preserve"> وحملها أبو بكر إنه ظلوماً جهولاً</w:t>
      </w:r>
      <w:r w:rsidR="00DB731D" w:rsidRPr="00A52585">
        <w:rPr>
          <w:rFonts w:hint="cs"/>
          <w:rtl/>
        </w:rPr>
        <w:t>،</w:t>
      </w:r>
      <w:r w:rsidR="00777DCB" w:rsidRPr="00A52585">
        <w:rPr>
          <w:rFonts w:hint="cs"/>
          <w:rtl/>
        </w:rPr>
        <w:t xml:space="preserve"> وزعم أنه نزل في حق </w:t>
      </w:r>
      <w:r w:rsidR="00777DCB" w:rsidRPr="00A52585">
        <w:rPr>
          <w:rFonts w:hint="cs"/>
          <w:rtl/>
        </w:rPr>
        <w:lastRenderedPageBreak/>
        <w:t>عمر رضي الله عنه</w:t>
      </w:r>
      <w:r w:rsidRPr="00A52585">
        <w:rPr>
          <w:rFonts w:hint="cs"/>
          <w:rtl/>
        </w:rPr>
        <w:t>:</w:t>
      </w:r>
      <w:r w:rsidR="00777DCB" w:rsidRPr="00A52585">
        <w:rPr>
          <w:rFonts w:hint="cs"/>
          <w:rtl/>
        </w:rPr>
        <w:t xml:space="preserve"> {كَمَثَلِ الشَّيْطَانِ إِذْ قَالَ لِلإْنْسَانِ اكْفُرْ … الآية} </w:t>
      </w:r>
      <w:r w:rsidRPr="00A52585">
        <w:rPr>
          <w:rFonts w:hint="cs"/>
          <w:rtl/>
        </w:rPr>
        <w:t>[</w:t>
      </w:r>
      <w:r w:rsidR="00777DCB" w:rsidRPr="00A52585">
        <w:rPr>
          <w:rFonts w:hint="cs"/>
          <w:rtl/>
        </w:rPr>
        <w:t>الحشر</w:t>
      </w:r>
      <w:r w:rsidRPr="00A52585">
        <w:rPr>
          <w:rFonts w:hint="cs"/>
          <w:rtl/>
        </w:rPr>
        <w:t>:</w:t>
      </w:r>
      <w:r w:rsidR="00777DCB" w:rsidRPr="00A52585">
        <w:rPr>
          <w:rFonts w:hint="cs"/>
          <w:rtl/>
        </w:rPr>
        <w:t xml:space="preserve"> 16</w:t>
      </w:r>
      <w:r w:rsidRPr="00A52585">
        <w:rPr>
          <w:rFonts w:hint="cs"/>
          <w:rtl/>
        </w:rPr>
        <w:t>]</w:t>
      </w:r>
      <w:r w:rsidR="00DB731D" w:rsidRPr="00A52585">
        <w:rPr>
          <w:rFonts w:hint="cs"/>
          <w:rtl/>
        </w:rPr>
        <w:t>،</w:t>
      </w:r>
      <w:r w:rsidR="00777DCB" w:rsidRPr="00A52585">
        <w:rPr>
          <w:rFonts w:hint="cs"/>
          <w:rtl/>
        </w:rPr>
        <w:t xml:space="preserve"> وكان يقول بتكفير سائر الصحابة رضي الله عنهم إلاّ من ثبت مع علي رضي الله عنه</w:t>
      </w:r>
      <w:r w:rsidR="00DB731D" w:rsidRPr="00A52585">
        <w:rPr>
          <w:rFonts w:hint="cs"/>
          <w:rtl/>
        </w:rPr>
        <w:t>،</w:t>
      </w:r>
      <w:r w:rsidR="00777DCB" w:rsidRPr="00A52585">
        <w:rPr>
          <w:rFonts w:hint="cs"/>
          <w:rtl/>
        </w:rPr>
        <w:t xml:space="preserve"> وكان يقول</w:t>
      </w:r>
      <w:r w:rsidRPr="00A52585">
        <w:rPr>
          <w:rFonts w:hint="cs"/>
          <w:rtl/>
        </w:rPr>
        <w:t>:</w:t>
      </w:r>
      <w:r w:rsidR="00777DCB" w:rsidRPr="00A52585">
        <w:rPr>
          <w:rFonts w:hint="cs"/>
          <w:rtl/>
        </w:rPr>
        <w:t xml:space="preserve"> أن الأنبياء عليهم الصلاة والسلام لم يختلفوا في شيء من الشرائع</w:t>
      </w:r>
      <w:r w:rsidR="00DB731D" w:rsidRPr="00A52585">
        <w:rPr>
          <w:rFonts w:hint="cs"/>
          <w:rtl/>
        </w:rPr>
        <w:t>،</w:t>
      </w:r>
      <w:r w:rsidR="00777DCB" w:rsidRPr="00A52585">
        <w:rPr>
          <w:rFonts w:hint="cs"/>
          <w:rtl/>
        </w:rPr>
        <w:t xml:space="preserve"> وكان يقول بتحريم إنكار المنكر قبل خروج الإمام</w:t>
      </w:r>
      <w:r w:rsidR="00DB731D" w:rsidRPr="00A52585">
        <w:rPr>
          <w:rFonts w:hint="cs"/>
          <w:rtl/>
        </w:rPr>
        <w:t>،</w:t>
      </w:r>
      <w:r w:rsidR="00777DCB" w:rsidRPr="00A52585">
        <w:rPr>
          <w:rFonts w:hint="cs"/>
          <w:rtl/>
        </w:rPr>
        <w:t xml:space="preserve"> وقال لمحمد الباقر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محمد بن علي بن الحسين بن علي بن أبي طالب الهاشمي أبو جعفر الباقر، أُمُّه بنت الحسن بن علي بن أبي طالب. ولد في حدود سنة 56هـ </w:t>
      </w:r>
      <w:proofErr w:type="spellStart"/>
      <w:r w:rsidR="00777DCB" w:rsidRPr="00A52585">
        <w:rPr>
          <w:rFonts w:hint="cs"/>
          <w:sz w:val="24"/>
          <w:szCs w:val="24"/>
          <w:rtl/>
        </w:rPr>
        <w:t>وتوفىرضي</w:t>
      </w:r>
      <w:proofErr w:type="spellEnd"/>
      <w:r w:rsidR="00777DCB" w:rsidRPr="00A52585">
        <w:rPr>
          <w:rFonts w:hint="cs"/>
          <w:sz w:val="24"/>
          <w:szCs w:val="24"/>
          <w:rtl/>
        </w:rPr>
        <w:t xml:space="preserve"> الله عنه</w:t>
      </w:r>
      <w:r w:rsidRPr="00A52585">
        <w:rPr>
          <w:rFonts w:hint="cs"/>
          <w:sz w:val="24"/>
          <w:szCs w:val="24"/>
          <w:rtl/>
        </w:rPr>
        <w:t xml:space="preserve"> </w:t>
      </w:r>
      <w:r w:rsidR="00777DCB" w:rsidRPr="00A52585">
        <w:rPr>
          <w:rFonts w:hint="cs"/>
          <w:sz w:val="24"/>
          <w:szCs w:val="24"/>
          <w:rtl/>
        </w:rPr>
        <w:t>سنة 114هـ. إمام أهل البيت في عصره، قال عنه الزبير بن بكار</w:t>
      </w:r>
      <w:r w:rsidRPr="00A52585">
        <w:rPr>
          <w:rFonts w:hint="cs"/>
          <w:sz w:val="24"/>
          <w:szCs w:val="24"/>
          <w:rtl/>
        </w:rPr>
        <w:t xml:space="preserve">: </w:t>
      </w:r>
      <w:r w:rsidR="00777DCB" w:rsidRPr="00A52585">
        <w:rPr>
          <w:rFonts w:hint="cs"/>
          <w:sz w:val="24"/>
          <w:szCs w:val="24"/>
          <w:rtl/>
        </w:rPr>
        <w:t>" كان يقال لمحمد</w:t>
      </w:r>
      <w:r w:rsidRPr="00A52585">
        <w:rPr>
          <w:rFonts w:hint="cs"/>
          <w:sz w:val="24"/>
          <w:szCs w:val="24"/>
          <w:rtl/>
        </w:rPr>
        <w:t>:</w:t>
      </w:r>
      <w:r w:rsidR="00777DCB" w:rsidRPr="00A52585">
        <w:rPr>
          <w:rFonts w:hint="cs"/>
          <w:sz w:val="24"/>
          <w:szCs w:val="24"/>
          <w:rtl/>
        </w:rPr>
        <w:t xml:space="preserve"> باقر العلم"</w:t>
      </w:r>
      <w:r w:rsidRPr="00A52585">
        <w:rPr>
          <w:rFonts w:hint="cs"/>
          <w:sz w:val="24"/>
          <w:szCs w:val="24"/>
          <w:rtl/>
        </w:rPr>
        <w:t xml:space="preserve"> </w:t>
      </w:r>
      <w:r w:rsidR="00777DCB" w:rsidRPr="00A52585">
        <w:rPr>
          <w:rFonts w:hint="cs"/>
          <w:sz w:val="24"/>
          <w:szCs w:val="24"/>
          <w:rtl/>
        </w:rPr>
        <w:t>وقال عنه محمد بن المنكدر</w:t>
      </w:r>
      <w:r w:rsidRPr="00A52585">
        <w:rPr>
          <w:rFonts w:hint="cs"/>
          <w:sz w:val="24"/>
          <w:szCs w:val="24"/>
          <w:rtl/>
        </w:rPr>
        <w:t xml:space="preserve">: </w:t>
      </w:r>
      <w:r w:rsidR="00777DCB" w:rsidRPr="00A52585">
        <w:rPr>
          <w:rFonts w:hint="cs"/>
          <w:sz w:val="24"/>
          <w:szCs w:val="24"/>
          <w:rtl/>
        </w:rPr>
        <w:t>"ما رأيت أحداً يفضل على عليّ بن الحسين حتى رأيت ابنه محمداً، أردت يوماً أن أعظه فوعظني"</w:t>
      </w:r>
      <w:r w:rsidRPr="00A52585">
        <w:rPr>
          <w:rFonts w:hint="cs"/>
          <w:sz w:val="24"/>
          <w:szCs w:val="24"/>
          <w:rtl/>
        </w:rPr>
        <w:t xml:space="preserve"> </w:t>
      </w:r>
      <w:r w:rsidR="00777DCB" w:rsidRPr="00A52585">
        <w:rPr>
          <w:rFonts w:hint="cs"/>
          <w:sz w:val="24"/>
          <w:szCs w:val="24"/>
          <w:rtl/>
        </w:rPr>
        <w:t>قال ابن سعد</w:t>
      </w:r>
      <w:r w:rsidRPr="00A52585">
        <w:rPr>
          <w:rFonts w:hint="cs"/>
          <w:sz w:val="24"/>
          <w:szCs w:val="24"/>
          <w:rtl/>
        </w:rPr>
        <w:t xml:space="preserve">: </w:t>
      </w:r>
      <w:r w:rsidR="00777DCB" w:rsidRPr="00A52585">
        <w:rPr>
          <w:rFonts w:hint="cs"/>
          <w:sz w:val="24"/>
          <w:szCs w:val="24"/>
          <w:rtl/>
        </w:rPr>
        <w:t>"كان ثقة كثير الحديث وليس يروي عنه من يحتج به وذكره النسائي في فقهاء أهل المدينة من التابعين، وقال محمد بن فضيل عن سالم بن أبي حفصة</w:t>
      </w:r>
      <w:r w:rsidRPr="00A52585">
        <w:rPr>
          <w:rFonts w:hint="cs"/>
          <w:sz w:val="24"/>
          <w:szCs w:val="24"/>
          <w:rtl/>
        </w:rPr>
        <w:t>:</w:t>
      </w:r>
      <w:r w:rsidR="00777DCB" w:rsidRPr="00A52585">
        <w:rPr>
          <w:rFonts w:hint="cs"/>
          <w:sz w:val="24"/>
          <w:szCs w:val="24"/>
          <w:rtl/>
        </w:rPr>
        <w:t xml:space="preserve"> سألت أبا جعفر وابنه جعفر بن محمد عن أبي بكر وعمر فقالا</w:t>
      </w:r>
      <w:r w:rsidRPr="00A52585">
        <w:rPr>
          <w:rFonts w:hint="cs"/>
          <w:sz w:val="24"/>
          <w:szCs w:val="24"/>
          <w:rtl/>
        </w:rPr>
        <w:t>:</w:t>
      </w:r>
      <w:r w:rsidR="00777DCB" w:rsidRPr="00A52585">
        <w:rPr>
          <w:rFonts w:hint="cs"/>
          <w:sz w:val="24"/>
          <w:szCs w:val="24"/>
          <w:rtl/>
        </w:rPr>
        <w:t xml:space="preserve"> يا سالم تولهما وابرأ من عدوهما فإنهما كانا إمامي هدى، وعنه قال</w:t>
      </w:r>
      <w:r w:rsidRPr="00A52585">
        <w:rPr>
          <w:rFonts w:hint="cs"/>
          <w:sz w:val="24"/>
          <w:szCs w:val="24"/>
          <w:rtl/>
        </w:rPr>
        <w:t xml:space="preserve">: </w:t>
      </w:r>
      <w:r w:rsidR="00777DCB" w:rsidRPr="00A52585">
        <w:rPr>
          <w:rFonts w:hint="cs"/>
          <w:sz w:val="24"/>
          <w:szCs w:val="24"/>
          <w:rtl/>
        </w:rPr>
        <w:t>"ما أدركت أحداً من أهل بيتي إلا وهو يتولاهما"</w:t>
      </w:r>
      <w:r w:rsidRPr="00A52585">
        <w:rPr>
          <w:rFonts w:hint="cs"/>
          <w:sz w:val="24"/>
          <w:szCs w:val="24"/>
          <w:rtl/>
        </w:rPr>
        <w:t>]</w:t>
      </w:r>
      <w:r w:rsidRPr="00A52585">
        <w:rPr>
          <w:rFonts w:hint="cs"/>
          <w:rtl/>
        </w:rPr>
        <w:t>:</w:t>
      </w:r>
      <w:r w:rsidR="00777DCB" w:rsidRPr="00A52585">
        <w:rPr>
          <w:rFonts w:hint="cs"/>
          <w:rtl/>
        </w:rPr>
        <w:t xml:space="preserve"> أقرر بأنك تعلم الغيب حتى أجبي لك العراق. </w:t>
      </w:r>
      <w:proofErr w:type="spellStart"/>
      <w:r w:rsidR="00777DCB" w:rsidRPr="00A52585">
        <w:rPr>
          <w:rFonts w:hint="cs"/>
          <w:rtl/>
        </w:rPr>
        <w:t>فانتهره</w:t>
      </w:r>
      <w:proofErr w:type="spellEnd"/>
      <w:r w:rsidR="00777DCB" w:rsidRPr="00A52585">
        <w:rPr>
          <w:rFonts w:hint="cs"/>
          <w:rtl/>
        </w:rPr>
        <w:t xml:space="preserve"> وطرده</w:t>
      </w:r>
      <w:r w:rsidR="00DB731D" w:rsidRPr="00A52585">
        <w:rPr>
          <w:rFonts w:hint="cs"/>
          <w:rtl/>
        </w:rPr>
        <w:t>،</w:t>
      </w:r>
      <w:r w:rsidR="00777DCB" w:rsidRPr="00A52585">
        <w:rPr>
          <w:rFonts w:hint="cs"/>
          <w:rtl/>
        </w:rPr>
        <w:t xml:space="preserve"> وكذا فعل بجعفر الصادق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جعفر بن محمد بن علي بن الحسين بن علي بن أبي طالب الهاشمي العلوي أبو عبد الله المدني الصادق، وأمُّه</w:t>
      </w:r>
      <w:r w:rsidRPr="00A52585">
        <w:rPr>
          <w:rFonts w:hint="cs"/>
          <w:sz w:val="24"/>
          <w:szCs w:val="24"/>
          <w:rtl/>
        </w:rPr>
        <w:t>:</w:t>
      </w:r>
      <w:r w:rsidR="00777DCB" w:rsidRPr="00A52585">
        <w:rPr>
          <w:rFonts w:hint="cs"/>
          <w:sz w:val="24"/>
          <w:szCs w:val="24"/>
          <w:rtl/>
        </w:rPr>
        <w:t xml:space="preserve"> أم فروة بنت القاسم بن محمد بن أبي بكر وأمها</w:t>
      </w:r>
      <w:r w:rsidRPr="00A52585">
        <w:rPr>
          <w:rFonts w:hint="cs"/>
          <w:sz w:val="24"/>
          <w:szCs w:val="24"/>
          <w:rtl/>
        </w:rPr>
        <w:t>:</w:t>
      </w:r>
      <w:r w:rsidR="00777DCB" w:rsidRPr="00A52585">
        <w:rPr>
          <w:rFonts w:hint="cs"/>
          <w:sz w:val="24"/>
          <w:szCs w:val="24"/>
          <w:rtl/>
        </w:rPr>
        <w:t xml:space="preserve"> أسماء بنت عبد الرحمن ابن أبي بكر، فلذلك كان يقول ولدني أبو بكر مرتين. توفى رضي الله عنه عام 148هـ</w:t>
      </w:r>
      <w:r w:rsidR="00DB731D" w:rsidRPr="00A52585">
        <w:rPr>
          <w:rFonts w:hint="cs"/>
          <w:sz w:val="24"/>
          <w:szCs w:val="24"/>
          <w:rtl/>
        </w:rPr>
        <w:t>،</w:t>
      </w:r>
      <w:r w:rsidR="00777DCB" w:rsidRPr="00A52585">
        <w:rPr>
          <w:rFonts w:hint="cs"/>
          <w:sz w:val="24"/>
          <w:szCs w:val="24"/>
          <w:rtl/>
        </w:rPr>
        <w:t xml:space="preserve"> قال عمرو بن أبي المقدام</w:t>
      </w:r>
      <w:r w:rsidRPr="00A52585">
        <w:rPr>
          <w:rFonts w:hint="cs"/>
          <w:sz w:val="24"/>
          <w:szCs w:val="24"/>
          <w:rtl/>
        </w:rPr>
        <w:t>:</w:t>
      </w:r>
      <w:r w:rsidR="00777DCB" w:rsidRPr="00A52585">
        <w:rPr>
          <w:rFonts w:hint="cs"/>
          <w:sz w:val="24"/>
          <w:szCs w:val="24"/>
          <w:rtl/>
        </w:rPr>
        <w:t xml:space="preserve"> " كنت إذا نظرت إلى جعفر بن محمد علمت أنه من سلالة النبيين " وقال عنه ابن حبان في (الثقات)</w:t>
      </w:r>
      <w:r w:rsidRPr="00A52585">
        <w:rPr>
          <w:rFonts w:hint="cs"/>
          <w:sz w:val="24"/>
          <w:szCs w:val="24"/>
          <w:rtl/>
        </w:rPr>
        <w:t>:</w:t>
      </w:r>
      <w:r w:rsidR="00777DCB" w:rsidRPr="00A52585">
        <w:rPr>
          <w:rFonts w:hint="cs"/>
          <w:sz w:val="24"/>
          <w:szCs w:val="24"/>
          <w:rtl/>
        </w:rPr>
        <w:t xml:space="preserve"> " كان من سادات أهل البيت فقها وعلما وفضلا.. " وقال مالك</w:t>
      </w:r>
      <w:r w:rsidRPr="00A52585">
        <w:rPr>
          <w:rFonts w:hint="cs"/>
          <w:sz w:val="24"/>
          <w:szCs w:val="24"/>
          <w:rtl/>
        </w:rPr>
        <w:t>:</w:t>
      </w:r>
      <w:r w:rsidR="00777DCB" w:rsidRPr="00A52585">
        <w:rPr>
          <w:rFonts w:hint="cs"/>
          <w:sz w:val="24"/>
          <w:szCs w:val="24"/>
          <w:rtl/>
        </w:rPr>
        <w:t xml:space="preserve"> " اختلفت إليه زمانا فما كنت أراه إلا على ثلاث خصال</w:t>
      </w:r>
      <w:r w:rsidRPr="00A52585">
        <w:rPr>
          <w:rFonts w:hint="cs"/>
          <w:sz w:val="24"/>
          <w:szCs w:val="24"/>
          <w:rtl/>
        </w:rPr>
        <w:t>:</w:t>
      </w:r>
      <w:r w:rsidR="00777DCB" w:rsidRPr="00A52585">
        <w:rPr>
          <w:rFonts w:hint="cs"/>
          <w:sz w:val="24"/>
          <w:szCs w:val="24"/>
          <w:rtl/>
        </w:rPr>
        <w:t xml:space="preserve"> إما مصل وإما صائم وإما يقرأ القرآن وما رأيته يحدِّث إلا على طهارة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w:t>
      </w:r>
      <w:r w:rsidR="00777DCB" w:rsidRPr="00A52585">
        <w:rPr>
          <w:rFonts w:hint="cs"/>
          <w:rtl/>
        </w:rPr>
        <w:t xml:space="preserve"> </w:t>
      </w:r>
      <w:r w:rsidR="00777DCB" w:rsidRPr="00A52585">
        <w:rPr>
          <w:rFonts w:hint="cs"/>
          <w:spacing w:val="-20"/>
          <w:rtl/>
        </w:rPr>
        <w:t>ولد محمد الباقر</w:t>
      </w:r>
      <w:r w:rsidR="00DB731D" w:rsidRPr="00A52585">
        <w:rPr>
          <w:rFonts w:hint="cs"/>
          <w:spacing w:val="-20"/>
          <w:rtl/>
        </w:rPr>
        <w:t>،</w:t>
      </w:r>
      <w:r w:rsidR="00777DCB" w:rsidRPr="00A52585">
        <w:rPr>
          <w:rFonts w:hint="cs"/>
          <w:spacing w:val="-20"/>
          <w:rtl/>
        </w:rPr>
        <w:t xml:space="preserve"> فقال</w:t>
      </w:r>
      <w:r w:rsidRPr="00A52585">
        <w:rPr>
          <w:rFonts w:hint="cs"/>
          <w:spacing w:val="-20"/>
          <w:rtl/>
        </w:rPr>
        <w:t>:</w:t>
      </w:r>
      <w:r w:rsidR="00777DCB" w:rsidRPr="00A52585">
        <w:rPr>
          <w:rFonts w:hint="cs"/>
          <w:spacing w:val="-20"/>
          <w:rtl/>
        </w:rPr>
        <w:t xml:space="preserve"> أعوذ بالله</w:t>
      </w:r>
      <w:r w:rsidR="00DB731D" w:rsidRPr="00A52585">
        <w:rPr>
          <w:rFonts w:hint="cs"/>
          <w:spacing w:val="-20"/>
          <w:rtl/>
        </w:rPr>
        <w:t>،</w:t>
      </w:r>
      <w:r w:rsidR="00777DCB" w:rsidRPr="00A52585">
        <w:rPr>
          <w:rFonts w:hint="cs"/>
          <w:spacing w:val="-20"/>
          <w:rtl/>
        </w:rPr>
        <w:t xml:space="preserve"> </w:t>
      </w:r>
      <w:r w:rsidR="00777DCB" w:rsidRPr="00A52585">
        <w:rPr>
          <w:rFonts w:hint="cs"/>
          <w:rtl/>
        </w:rPr>
        <w:t>وكان يقول</w:t>
      </w:r>
      <w:r w:rsidRPr="00A52585">
        <w:rPr>
          <w:rFonts w:hint="cs"/>
          <w:rtl/>
        </w:rPr>
        <w:t>:</w:t>
      </w:r>
      <w:r w:rsidR="00777DCB" w:rsidRPr="00A52585">
        <w:rPr>
          <w:rFonts w:hint="cs"/>
          <w:rtl/>
        </w:rPr>
        <w:t xml:space="preserve"> انتظروا محمد بن عبد الله الإمام فإنه يرجع ومعه ميكائيل وجبرائيل يتبعانه بين الركن والمقام</w:t>
      </w:r>
      <w:r w:rsidR="00DB731D" w:rsidRPr="00A52585">
        <w:rPr>
          <w:rFonts w:hint="cs"/>
          <w:rtl/>
        </w:rPr>
        <w:t>،</w:t>
      </w:r>
      <w:r w:rsidR="00777DCB" w:rsidRPr="00A52585">
        <w:rPr>
          <w:rFonts w:hint="cs"/>
          <w:rtl/>
        </w:rPr>
        <w:t xml:space="preserve"> وكان له خبائث</w:t>
      </w:r>
      <w:r w:rsidR="00DB731D" w:rsidRPr="00A52585">
        <w:rPr>
          <w:rFonts w:hint="cs"/>
          <w:rtl/>
        </w:rPr>
        <w:t>،</w:t>
      </w:r>
      <w:r w:rsidR="00777DCB" w:rsidRPr="00A52585">
        <w:rPr>
          <w:rFonts w:hint="cs"/>
          <w:rtl/>
        </w:rPr>
        <w:t xml:space="preserve"> فلما كان في السنة التاسعة عشر والمائة ظفر به خالد بن عبد الله القسري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خالد بن عبد الله بن يزيد بن أسد القسري أبو القاسم. ولاه الوليد بن عبد الملك الأموي أميراً علي الحجاز حتى عزله سليمان بن عبد الملك وفي عام 106هـ ولاه هشام بن عبد الملك أميرا على العراق واستمر على ذلك حتى عزله سنة 125هـ، مات مقتولا عام 136وعمره نحو ستون سنة</w:t>
      </w:r>
      <w:r w:rsidR="00DB731D" w:rsidRPr="00A52585">
        <w:rPr>
          <w:rFonts w:hint="cs"/>
          <w:sz w:val="24"/>
          <w:szCs w:val="24"/>
          <w:rtl/>
        </w:rPr>
        <w:t>،</w:t>
      </w:r>
      <w:r w:rsidR="00777DCB" w:rsidRPr="00A52585">
        <w:rPr>
          <w:rFonts w:hint="cs"/>
          <w:sz w:val="24"/>
          <w:szCs w:val="24"/>
          <w:rtl/>
        </w:rPr>
        <w:t xml:space="preserve"> يقول عنه الذهبي</w:t>
      </w:r>
      <w:r w:rsidRPr="00A52585">
        <w:rPr>
          <w:rFonts w:hint="cs"/>
          <w:sz w:val="24"/>
          <w:szCs w:val="24"/>
          <w:rtl/>
        </w:rPr>
        <w:t>:</w:t>
      </w:r>
      <w:r w:rsidR="00777DCB" w:rsidRPr="00A52585">
        <w:rPr>
          <w:rFonts w:hint="cs"/>
          <w:sz w:val="24"/>
          <w:szCs w:val="24"/>
          <w:rtl/>
        </w:rPr>
        <w:t xml:space="preserve"> "</w:t>
      </w:r>
      <w:r w:rsidR="00897A24" w:rsidRPr="00A52585">
        <w:rPr>
          <w:rFonts w:hint="cs"/>
          <w:sz w:val="24"/>
          <w:szCs w:val="24"/>
          <w:rtl/>
        </w:rPr>
        <w:t>.</w:t>
      </w:r>
      <w:r w:rsidR="00777DCB" w:rsidRPr="00A52585">
        <w:rPr>
          <w:rFonts w:hint="cs"/>
          <w:sz w:val="24"/>
          <w:szCs w:val="24"/>
          <w:rtl/>
        </w:rPr>
        <w:t>..صدوق لكنه ناصبي جلد</w:t>
      </w:r>
      <w:r w:rsidRPr="00A52585">
        <w:rPr>
          <w:rFonts w:hint="cs"/>
          <w:sz w:val="24"/>
          <w:szCs w:val="24"/>
          <w:rtl/>
        </w:rPr>
        <w:t xml:space="preserve"> </w:t>
      </w:r>
      <w:r w:rsidR="00777DCB" w:rsidRPr="00A52585">
        <w:rPr>
          <w:rFonts w:hint="cs"/>
          <w:sz w:val="24"/>
          <w:szCs w:val="24"/>
          <w:rtl/>
        </w:rPr>
        <w:t>" ومن قبله قال عنه الإمام يحيى بن معين</w:t>
      </w:r>
      <w:r w:rsidRPr="00A52585">
        <w:rPr>
          <w:rFonts w:hint="cs"/>
          <w:sz w:val="24"/>
          <w:szCs w:val="24"/>
          <w:rtl/>
        </w:rPr>
        <w:t>:</w:t>
      </w:r>
      <w:r w:rsidR="00777DCB" w:rsidRPr="00A52585">
        <w:rPr>
          <w:rFonts w:hint="cs"/>
          <w:sz w:val="24"/>
          <w:szCs w:val="24"/>
          <w:rtl/>
        </w:rPr>
        <w:t xml:space="preserve"> "</w:t>
      </w:r>
      <w:r w:rsidR="00897A24" w:rsidRPr="00A52585">
        <w:rPr>
          <w:rFonts w:hint="cs"/>
          <w:sz w:val="24"/>
          <w:szCs w:val="24"/>
          <w:rtl/>
        </w:rPr>
        <w:t>.</w:t>
      </w:r>
      <w:r w:rsidR="00777DCB" w:rsidRPr="00A52585">
        <w:rPr>
          <w:rFonts w:hint="cs"/>
          <w:sz w:val="24"/>
          <w:szCs w:val="24"/>
          <w:rtl/>
        </w:rPr>
        <w:t>..كان واليا لبني أمية وكان رجل سوء وكان يقع في على بن أبي طالب رضي الله عنه</w:t>
      </w:r>
      <w:r w:rsidRPr="00A52585">
        <w:rPr>
          <w:rFonts w:hint="cs"/>
          <w:sz w:val="24"/>
          <w:szCs w:val="24"/>
          <w:rtl/>
        </w:rPr>
        <w:t xml:space="preserve"> </w:t>
      </w:r>
      <w:r w:rsidR="00777DCB" w:rsidRPr="00A52585">
        <w:rPr>
          <w:rFonts w:hint="cs"/>
          <w:sz w:val="24"/>
          <w:szCs w:val="24"/>
          <w:rtl/>
        </w:rPr>
        <w:t>" ويقول الإمام ابن حجر في ترجمته في التهذيب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sz w:val="24"/>
          <w:szCs w:val="24"/>
        </w:rPr>
        <w:t>…</w:t>
      </w:r>
      <w:r w:rsidR="00777DCB" w:rsidRPr="00A52585">
        <w:rPr>
          <w:rFonts w:hint="cs"/>
          <w:sz w:val="24"/>
          <w:szCs w:val="24"/>
          <w:rtl/>
        </w:rPr>
        <w:t>وله أخبار شهيرة وأقوال فظيعة ذكرها ابن جرير وأبو الفرج الأصبهاني والمبرد وغيرهم</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w:t>
      </w:r>
      <w:r w:rsidR="00777DCB" w:rsidRPr="00A52585">
        <w:rPr>
          <w:rFonts w:hint="cs"/>
          <w:rtl/>
        </w:rPr>
        <w:t xml:space="preserve"> فأحرق معه خمسة من أتباعه فَهَمد شأن أهل الزيغ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ويسمى أتباعه </w:t>
      </w:r>
      <w:proofErr w:type="spellStart"/>
      <w:r w:rsidR="00777DCB" w:rsidRPr="00A52585">
        <w:rPr>
          <w:rFonts w:hint="cs"/>
          <w:sz w:val="24"/>
          <w:szCs w:val="24"/>
          <w:rtl/>
        </w:rPr>
        <w:t>بالمغيرية</w:t>
      </w:r>
      <w:proofErr w:type="spellEnd"/>
      <w:r w:rsidR="00777DCB" w:rsidRPr="00A52585">
        <w:rPr>
          <w:rFonts w:hint="cs"/>
          <w:sz w:val="24"/>
          <w:szCs w:val="24"/>
          <w:rtl/>
        </w:rPr>
        <w:t>. انظر ترجمته وقصته في</w:t>
      </w:r>
      <w:r w:rsidRPr="00A52585">
        <w:rPr>
          <w:rFonts w:hint="cs"/>
          <w:sz w:val="24"/>
          <w:szCs w:val="24"/>
          <w:rtl/>
        </w:rPr>
        <w:t>:</w:t>
      </w:r>
      <w:r w:rsidR="00777DCB" w:rsidRPr="00A52585">
        <w:rPr>
          <w:rFonts w:hint="cs"/>
          <w:sz w:val="24"/>
          <w:szCs w:val="24"/>
          <w:rtl/>
        </w:rPr>
        <w:t xml:space="preserve"> الملل والنحل </w:t>
      </w:r>
      <w:proofErr w:type="spellStart"/>
      <w:r w:rsidR="00777DCB" w:rsidRPr="00A52585">
        <w:rPr>
          <w:rFonts w:hint="cs"/>
          <w:sz w:val="24"/>
          <w:szCs w:val="24"/>
          <w:rtl/>
        </w:rPr>
        <w:t>للشهرستاني</w:t>
      </w:r>
      <w:proofErr w:type="spellEnd"/>
      <w:r w:rsidR="00777DCB" w:rsidRPr="00A52585">
        <w:rPr>
          <w:rFonts w:hint="cs"/>
          <w:sz w:val="24"/>
          <w:szCs w:val="24"/>
          <w:rtl/>
        </w:rPr>
        <w:t xml:space="preserve"> 1/176 ط. دار صعب</w:t>
      </w:r>
      <w:r w:rsidR="00DB731D" w:rsidRPr="00A52585">
        <w:rPr>
          <w:rFonts w:hint="cs"/>
          <w:sz w:val="24"/>
          <w:szCs w:val="24"/>
          <w:rtl/>
        </w:rPr>
        <w:t>،</w:t>
      </w:r>
      <w:r w:rsidR="00777DCB" w:rsidRPr="00A52585">
        <w:rPr>
          <w:rFonts w:hint="cs"/>
          <w:sz w:val="24"/>
          <w:szCs w:val="24"/>
          <w:rtl/>
        </w:rPr>
        <w:t xml:space="preserve"> والفرق بين الفرق لأبي منصور عبد القاهر البغدادي ص 146 ط. مؤسسة الحلبي</w:t>
      </w:r>
      <w:r w:rsidRPr="00A52585">
        <w:rPr>
          <w:rFonts w:hint="cs"/>
          <w:sz w:val="24"/>
          <w:szCs w:val="24"/>
          <w:rtl/>
        </w:rPr>
        <w:t>]</w:t>
      </w:r>
      <w:r w:rsidR="00DB731D" w:rsidRPr="00A52585">
        <w:rPr>
          <w:rFonts w:hint="cs"/>
          <w:rtl/>
        </w:rPr>
        <w:t>،</w:t>
      </w:r>
      <w:r w:rsidR="00777DCB" w:rsidRPr="00A52585">
        <w:rPr>
          <w:rFonts w:hint="cs"/>
          <w:rtl/>
        </w:rPr>
        <w:t xml:space="preserve"> واستمر الأمر على ذلك إلاّ أنهم سلكوا مسلك المكر والحيلة بإظهار الكبِّ على سماع الحديث ويكثروا من ذكر أحاديث المتشابه ويجمعونها ويسردونها على العوام</w:t>
      </w:r>
      <w:r w:rsidR="00DB731D" w:rsidRPr="00A52585">
        <w:rPr>
          <w:rFonts w:hint="cs"/>
          <w:vertAlign w:val="superscript"/>
          <w:rtl/>
        </w:rPr>
        <w:t>،</w:t>
      </w:r>
      <w:r w:rsidR="00777DCB" w:rsidRPr="00A52585">
        <w:rPr>
          <w:rFonts w:hint="cs"/>
          <w:rtl/>
        </w:rPr>
        <w:t xml:space="preserve"> </w:t>
      </w:r>
    </w:p>
    <w:p w14:paraId="322F4CE6" w14:textId="2C620A5C" w:rsidR="00777DCB" w:rsidRPr="00A52585" w:rsidRDefault="0002035C" w:rsidP="0002035C">
      <w:pPr>
        <w:spacing w:after="240"/>
        <w:rPr>
          <w:b/>
          <w:bCs/>
          <w:rtl/>
        </w:rPr>
      </w:pPr>
      <w:r w:rsidRPr="00A52585">
        <w:rPr>
          <w:rFonts w:hint="cs"/>
          <w:bCs/>
          <w:rtl/>
        </w:rPr>
        <w:lastRenderedPageBreak/>
        <w:t>[</w:t>
      </w:r>
      <w:r w:rsidR="00777DCB" w:rsidRPr="00A52585">
        <w:rPr>
          <w:rFonts w:hint="cs"/>
          <w:bCs/>
          <w:rtl/>
        </w:rPr>
        <w:t>محمد بن كرّام السجستاني المجسم</w:t>
      </w:r>
      <w:r w:rsidRPr="00A52585">
        <w:rPr>
          <w:rFonts w:hint="cs"/>
          <w:bCs/>
          <w:rtl/>
        </w:rPr>
        <w:t>]:</w:t>
      </w:r>
      <w:r w:rsidR="00777DCB" w:rsidRPr="00A52585">
        <w:rPr>
          <w:rFonts w:hint="cs"/>
          <w:bCs/>
          <w:rtl/>
        </w:rPr>
        <w:t xml:space="preserve"> </w:t>
      </w:r>
      <w:r w:rsidR="00777DCB" w:rsidRPr="00A52585">
        <w:rPr>
          <w:rFonts w:hint="cs"/>
          <w:rtl/>
        </w:rPr>
        <w:t>ثم كثرت المقالات في زمن الإمام أحمد وكثر القصاص</w:t>
      </w:r>
      <w:r w:rsidR="00DB731D" w:rsidRPr="00A52585">
        <w:rPr>
          <w:rFonts w:hint="cs"/>
          <w:rtl/>
        </w:rPr>
        <w:t>،</w:t>
      </w:r>
      <w:r w:rsidR="00777DCB" w:rsidRPr="00A52585">
        <w:rPr>
          <w:rFonts w:hint="cs"/>
          <w:rtl/>
        </w:rPr>
        <w:t xml:space="preserve"> وتوجع هو وابن عيينة وغيرهما</w:t>
      </w:r>
      <w:r w:rsidR="00DB731D" w:rsidRPr="00A52585">
        <w:rPr>
          <w:rFonts w:hint="cs"/>
          <w:vertAlign w:val="superscript"/>
          <w:rtl/>
        </w:rPr>
        <w:t>،</w:t>
      </w:r>
      <w:r w:rsidR="00777DCB" w:rsidRPr="00A52585">
        <w:rPr>
          <w:rFonts w:hint="cs"/>
          <w:rtl/>
        </w:rPr>
        <w:t xml:space="preserve"> وكان الإمام أحمد يقول</w:t>
      </w:r>
      <w:r w:rsidRPr="00A52585">
        <w:rPr>
          <w:rFonts w:hint="cs"/>
          <w:rtl/>
        </w:rPr>
        <w:t>:</w:t>
      </w:r>
      <w:r w:rsidR="00777DCB" w:rsidRPr="00A52585">
        <w:rPr>
          <w:rFonts w:hint="cs"/>
          <w:rtl/>
        </w:rPr>
        <w:t xml:space="preserve"> كنت أود لو كان قَصَّاصاً صادقاً نصوحاً طيب السريرة</w:t>
      </w:r>
      <w:r w:rsidR="00DB731D" w:rsidRPr="00A52585">
        <w:rPr>
          <w:rFonts w:hint="cs"/>
          <w:rtl/>
        </w:rPr>
        <w:t>،</w:t>
      </w:r>
      <w:r w:rsidR="00777DCB" w:rsidRPr="00A52585">
        <w:rPr>
          <w:rFonts w:hint="cs"/>
          <w:rtl/>
        </w:rPr>
        <w:t xml:space="preserve"> ونبغ في زمنه محمد بن كرام السجستاني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شيخ طائفة الكرامية المجسمة أضلَّ خلقا كثيرا، توفى سنة 255هـ من أهم فضائحه</w:t>
      </w:r>
      <w:r w:rsidRPr="00A52585">
        <w:rPr>
          <w:rFonts w:hint="cs"/>
          <w:sz w:val="24"/>
          <w:szCs w:val="24"/>
          <w:rtl/>
        </w:rPr>
        <w:t>:</w:t>
      </w:r>
      <w:r w:rsidR="00777DCB" w:rsidRPr="00A52585">
        <w:rPr>
          <w:rFonts w:hint="cs"/>
          <w:sz w:val="24"/>
          <w:szCs w:val="24"/>
          <w:rtl/>
        </w:rPr>
        <w:t xml:space="preserve"> 1- دعا أتباعه إلى تجسيم معبوده، وزعم أنه جسم له حد ونهاية من تحته والجهة التي منها يلاقي عرشه، ووصفه بالثقل فقال في تفسير الآية الكريمة</w:t>
      </w:r>
      <w:r w:rsidRPr="00A52585">
        <w:rPr>
          <w:rFonts w:hint="cs"/>
          <w:sz w:val="24"/>
          <w:szCs w:val="24"/>
          <w:rtl/>
        </w:rPr>
        <w:t xml:space="preserve"> {</w:t>
      </w:r>
      <w:r w:rsidR="00777DCB" w:rsidRPr="00A52585">
        <w:rPr>
          <w:rFonts w:hint="cs"/>
          <w:sz w:val="24"/>
          <w:szCs w:val="24"/>
          <w:rtl/>
        </w:rPr>
        <w:t>إذا السماء انفطرت</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الانفطار</w:t>
      </w:r>
      <w:r w:rsidRPr="00A52585">
        <w:rPr>
          <w:rFonts w:hint="cs"/>
          <w:sz w:val="24"/>
          <w:szCs w:val="24"/>
          <w:rtl/>
        </w:rPr>
        <w:t>:</w:t>
      </w:r>
      <w:r w:rsidR="00777DCB" w:rsidRPr="00A52585">
        <w:rPr>
          <w:rFonts w:hint="cs"/>
          <w:sz w:val="24"/>
          <w:szCs w:val="24"/>
          <w:rtl/>
        </w:rPr>
        <w:t xml:space="preserve"> 1</w:t>
      </w:r>
      <w:r w:rsidRPr="00A52585">
        <w:rPr>
          <w:rFonts w:hint="cs"/>
          <w:sz w:val="24"/>
          <w:szCs w:val="24"/>
          <w:rtl/>
        </w:rPr>
        <w:t>]:</w:t>
      </w:r>
      <w:r w:rsidR="00777DCB" w:rsidRPr="00A52585">
        <w:rPr>
          <w:rFonts w:hint="cs"/>
          <w:sz w:val="24"/>
          <w:szCs w:val="24"/>
          <w:rtl/>
        </w:rPr>
        <w:t xml:space="preserve"> (انفطرت من ثقل الرحمن عليها) وقال هو وأتباعه إنه جسم لا كالأجسام، تعالى الله عما يقولون علوا كبيرا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زعم هو وأتباعه أن ذات معبودهم محل للحوادث والتغيرات التي تحدث في ذات الإله أولا قبل أن تحدث في الخلق</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3- ذكر ابن كرام في كتابه (عذاب القبر) بابا له ترجمة عجيبة فقال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باب في </w:t>
      </w:r>
      <w:proofErr w:type="spellStart"/>
      <w:r w:rsidR="00777DCB" w:rsidRPr="00A52585">
        <w:rPr>
          <w:rFonts w:hint="cs"/>
          <w:sz w:val="24"/>
          <w:szCs w:val="24"/>
          <w:rtl/>
        </w:rPr>
        <w:t>كيفوفية</w:t>
      </w:r>
      <w:proofErr w:type="spellEnd"/>
      <w:r w:rsidR="00777DCB" w:rsidRPr="00A52585">
        <w:rPr>
          <w:rFonts w:hint="cs"/>
          <w:sz w:val="24"/>
          <w:szCs w:val="24"/>
          <w:rtl/>
        </w:rPr>
        <w:t xml:space="preserve"> الله عز وجل</w:t>
      </w:r>
      <w:r w:rsidRPr="00A52585">
        <w:rPr>
          <w:rFonts w:hint="cs"/>
          <w:sz w:val="24"/>
          <w:szCs w:val="24"/>
          <w:rtl/>
        </w:rPr>
        <w:t xml:space="preserve"> </w:t>
      </w:r>
      <w:r w:rsidR="00777DCB" w:rsidRPr="00A52585">
        <w:rPr>
          <w:rFonts w:hint="cs"/>
          <w:sz w:val="24"/>
          <w:szCs w:val="24"/>
          <w:rtl/>
        </w:rPr>
        <w:t>" يقول الإمام عبد القاهر البغدادي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ولا يدري العاقل </w:t>
      </w:r>
      <w:proofErr w:type="spellStart"/>
      <w:r w:rsidR="00777DCB" w:rsidRPr="00A52585">
        <w:rPr>
          <w:rFonts w:hint="cs"/>
          <w:sz w:val="24"/>
          <w:szCs w:val="24"/>
          <w:rtl/>
        </w:rPr>
        <w:t>مماذا</w:t>
      </w:r>
      <w:proofErr w:type="spellEnd"/>
      <w:r w:rsidR="00777DCB" w:rsidRPr="00A52585">
        <w:rPr>
          <w:rFonts w:hint="cs"/>
          <w:sz w:val="24"/>
          <w:szCs w:val="24"/>
          <w:rtl/>
        </w:rPr>
        <w:t xml:space="preserve"> يتعجب</w:t>
      </w:r>
      <w:r w:rsidRPr="00A52585">
        <w:rPr>
          <w:rFonts w:hint="cs"/>
          <w:sz w:val="24"/>
          <w:szCs w:val="24"/>
          <w:rtl/>
        </w:rPr>
        <w:t>:</w:t>
      </w:r>
      <w:r w:rsidR="00777DCB" w:rsidRPr="00A52585">
        <w:rPr>
          <w:rFonts w:hint="cs"/>
          <w:sz w:val="24"/>
          <w:szCs w:val="24"/>
          <w:rtl/>
        </w:rPr>
        <w:t xml:space="preserve"> أعن جسارته على إطلاق لفظ الكيفية في صفات الله تعالى، أم من قبح عبارته عن الكيفية </w:t>
      </w:r>
      <w:proofErr w:type="spellStart"/>
      <w:r w:rsidR="00777DCB" w:rsidRPr="00A52585">
        <w:rPr>
          <w:rFonts w:hint="cs"/>
          <w:sz w:val="24"/>
          <w:szCs w:val="24"/>
          <w:rtl/>
        </w:rPr>
        <w:t>بالكيفوفية</w:t>
      </w:r>
      <w:r w:rsidR="00F95886" w:rsidRPr="00A52585">
        <w:rPr>
          <w:rFonts w:hint="cs"/>
          <w:sz w:val="24"/>
          <w:szCs w:val="24"/>
          <w:rtl/>
        </w:rPr>
        <w:t>؟</w:t>
      </w:r>
      <w:r w:rsidR="00777DCB" w:rsidRPr="00A52585">
        <w:rPr>
          <w:rFonts w:hint="cs"/>
          <w:sz w:val="24"/>
          <w:szCs w:val="24"/>
          <w:rtl/>
        </w:rPr>
        <w:t>وله</w:t>
      </w:r>
      <w:proofErr w:type="spellEnd"/>
      <w:r w:rsidR="00777DCB" w:rsidRPr="00A52585">
        <w:rPr>
          <w:rFonts w:hint="cs"/>
          <w:sz w:val="24"/>
          <w:szCs w:val="24"/>
          <w:rtl/>
        </w:rPr>
        <w:t xml:space="preserve"> من جنس هذه العبارة أشكال</w:t>
      </w:r>
      <w:r w:rsidRPr="00A52585">
        <w:rPr>
          <w:rFonts w:hint="cs"/>
          <w:sz w:val="24"/>
          <w:szCs w:val="24"/>
          <w:rtl/>
        </w:rPr>
        <w:t xml:space="preserve"> </w:t>
      </w:r>
      <w:r w:rsidR="00777DCB" w:rsidRPr="00A52585">
        <w:rPr>
          <w:rFonts w:hint="cs"/>
          <w:sz w:val="24"/>
          <w:szCs w:val="24"/>
          <w:rtl/>
        </w:rPr>
        <w:t>" أهـ</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4- زعموا أن الإيمان هو الإقرار بالشهادتين باللسان فقط دون التصديق بالقلب فالمقر بلسانه عندهم مؤمن حقا حتى ولو اعتقد في قلبه الكفر بالرسالة وزعموا أن المنافقين الذين أنزل الله تعالى في تكفيرهم آيات كثيرة كانوا مؤمنين مثل الأنبياء والملائكة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5- يزعمون أن جميع فرق الأمة </w:t>
      </w:r>
      <w:r w:rsidR="00777DCB" w:rsidRPr="00A52585">
        <w:rPr>
          <w:sz w:val="24"/>
          <w:szCs w:val="24"/>
        </w:rPr>
        <w:t>–</w:t>
      </w:r>
      <w:r w:rsidR="00777DCB" w:rsidRPr="00A52585">
        <w:rPr>
          <w:rFonts w:hint="cs"/>
          <w:sz w:val="24"/>
          <w:szCs w:val="24"/>
          <w:rtl/>
        </w:rPr>
        <w:t xml:space="preserve"> من خرج منهم على الإسلام ومن لم يخرج- من أهل الجنة، وأن أهل الأهواء بعد العقاب يصيرون إلى الجنة ولا يدوم عقابهم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6- طعنوا في عصمة الأنبياء عليهم السلام</w:t>
      </w:r>
      <w:r w:rsidRPr="00A52585">
        <w:rPr>
          <w:rFonts w:hint="cs"/>
          <w:sz w:val="24"/>
          <w:szCs w:val="24"/>
          <w:rtl/>
        </w:rPr>
        <w:t>:</w:t>
      </w:r>
      <w:r w:rsidR="00777DCB" w:rsidRPr="00A52585">
        <w:rPr>
          <w:rFonts w:hint="cs"/>
          <w:sz w:val="24"/>
          <w:szCs w:val="24"/>
          <w:rtl/>
        </w:rPr>
        <w:t xml:space="preserve"> أ- فقال بعضهم</w:t>
      </w:r>
      <w:r w:rsidRPr="00A52585">
        <w:rPr>
          <w:rFonts w:hint="cs"/>
          <w:sz w:val="24"/>
          <w:szCs w:val="24"/>
          <w:rtl/>
        </w:rPr>
        <w:t>:</w:t>
      </w:r>
      <w:r w:rsidR="00777DCB" w:rsidRPr="00A52585">
        <w:rPr>
          <w:rFonts w:hint="cs"/>
          <w:sz w:val="24"/>
          <w:szCs w:val="24"/>
          <w:rtl/>
        </w:rPr>
        <w:t xml:space="preserve"> كل ذنب أسقط العدالة أو أوجب حداً فهم معصومون منه وغير معصومين فيما عدا ذلك</w:t>
      </w:r>
      <w:r w:rsidR="00DB731D" w:rsidRPr="00A52585">
        <w:rPr>
          <w:rFonts w:hint="cs"/>
          <w:sz w:val="24"/>
          <w:szCs w:val="24"/>
          <w:rtl/>
        </w:rPr>
        <w:t>،</w:t>
      </w:r>
      <w:r w:rsidR="00777DCB" w:rsidRPr="00A52585">
        <w:rPr>
          <w:rFonts w:hint="cs"/>
          <w:sz w:val="24"/>
          <w:szCs w:val="24"/>
          <w:rtl/>
        </w:rPr>
        <w:t xml:space="preserve"> ب- وقال البعض</w:t>
      </w:r>
      <w:r w:rsidRPr="00A52585">
        <w:rPr>
          <w:rFonts w:hint="cs"/>
          <w:sz w:val="24"/>
          <w:szCs w:val="24"/>
          <w:rtl/>
        </w:rPr>
        <w:t>:</w:t>
      </w:r>
      <w:r w:rsidR="00777DCB" w:rsidRPr="00A52585">
        <w:rPr>
          <w:rFonts w:hint="cs"/>
          <w:sz w:val="24"/>
          <w:szCs w:val="24"/>
          <w:rtl/>
        </w:rPr>
        <w:t xml:space="preserve"> لا يجوز عليهم الخطأ في تبليغ الرسالة فقط ويجوز ما عدا ذلك</w:t>
      </w:r>
      <w:r w:rsidR="00DB731D" w:rsidRPr="00A52585">
        <w:rPr>
          <w:rFonts w:hint="cs"/>
          <w:sz w:val="24"/>
          <w:szCs w:val="24"/>
          <w:rtl/>
        </w:rPr>
        <w:t>،</w:t>
      </w:r>
      <w:r w:rsidR="00777DCB" w:rsidRPr="00A52585">
        <w:rPr>
          <w:rFonts w:hint="cs"/>
          <w:sz w:val="24"/>
          <w:szCs w:val="24"/>
          <w:rtl/>
        </w:rPr>
        <w:t xml:space="preserve"> ج- وقال آخرون منهم</w:t>
      </w:r>
      <w:r w:rsidRPr="00A52585">
        <w:rPr>
          <w:rFonts w:hint="cs"/>
          <w:sz w:val="24"/>
          <w:szCs w:val="24"/>
          <w:rtl/>
        </w:rPr>
        <w:t>:</w:t>
      </w:r>
      <w:r w:rsidR="00777DCB" w:rsidRPr="00A52585">
        <w:rPr>
          <w:rFonts w:hint="cs"/>
          <w:sz w:val="24"/>
          <w:szCs w:val="24"/>
          <w:rtl/>
        </w:rPr>
        <w:t xml:space="preserve"> بل يجوز ذلك أيضاً وزعموا أن رسول الله صلى الله عليه وسلم أخــطأ في تبليغ بعض آيات من سورة النجم وهى المعروفة بقصة الغرانيق. </w:t>
      </w:r>
      <w:r w:rsidRPr="00A52585">
        <w:rPr>
          <w:rFonts w:hint="cs"/>
          <w:sz w:val="24"/>
          <w:szCs w:val="24"/>
          <w:rtl/>
        </w:rPr>
        <w:t>[</w:t>
      </w:r>
      <w:r w:rsidR="00777DCB" w:rsidRPr="00A52585">
        <w:rPr>
          <w:rFonts w:hint="cs"/>
          <w:sz w:val="24"/>
          <w:szCs w:val="24"/>
          <w:rtl/>
        </w:rPr>
        <w:t>والتي زعم صحتها ابن تيمية</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هذه نماذج قليلة ولهم طامات في الفقه أيضاً وغيره ولهذا أجمعت بقية فرق المسلمين وأولهم أهل السنة على تكفير هذه الطائفة </w:t>
      </w:r>
      <w:r w:rsidR="00777DCB" w:rsidRPr="00A52585">
        <w:rPr>
          <w:sz w:val="24"/>
          <w:szCs w:val="24"/>
        </w:rPr>
        <w:t>–</w:t>
      </w:r>
      <w:r w:rsidR="00777DCB" w:rsidRPr="00A52585">
        <w:rPr>
          <w:rFonts w:hint="cs"/>
          <w:sz w:val="24"/>
          <w:szCs w:val="24"/>
          <w:rtl/>
        </w:rPr>
        <w:t xml:space="preserve"> الكرامية- وابن تيمية قد حاول إحياء ضلالات هذه الفرقة وقال بأغلب اعتقاداتهم الباطلة كما سيتبين في هذا الكتاب مع تطوير هذه الأفكار وإعادة عرضها وتقديمها للمسلمين على أنها أفكار واعتقادات السلف، ووصف الكرامية في كلامه بأنهم من حذاق النظار ووضعهم على قدم المساواة مع الأشاعرة </w:t>
      </w:r>
      <w:proofErr w:type="spellStart"/>
      <w:r w:rsidR="00777DCB" w:rsidRPr="00A52585">
        <w:rPr>
          <w:rFonts w:hint="cs"/>
          <w:sz w:val="24"/>
          <w:szCs w:val="24"/>
          <w:rtl/>
        </w:rPr>
        <w:t>والماتريدية</w:t>
      </w:r>
      <w:proofErr w:type="spellEnd"/>
      <w:r w:rsidR="00777DCB" w:rsidRPr="00A52585">
        <w:rPr>
          <w:rFonts w:hint="cs"/>
          <w:sz w:val="24"/>
          <w:szCs w:val="24"/>
          <w:rtl/>
        </w:rPr>
        <w:t xml:space="preserve"> وغيرهم من علماء الأمة ترويجا للباطل عامله الله بعدله. انظر (ابن تيمية ليس سلفياً)</w:t>
      </w:r>
      <w:r w:rsidRPr="00A52585">
        <w:rPr>
          <w:rFonts w:hint="cs"/>
          <w:sz w:val="24"/>
          <w:szCs w:val="24"/>
          <w:rtl/>
        </w:rPr>
        <w:t>]</w:t>
      </w:r>
      <w:r w:rsidR="00777DCB" w:rsidRPr="00A52585">
        <w:rPr>
          <w:rFonts w:hint="cs"/>
          <w:rtl/>
        </w:rPr>
        <w:t xml:space="preserve"> وتراقد للإمام أحمد وأظهر حسن الطريقة حتى وثَّقَه هو وابن عيينة</w:t>
      </w:r>
      <w:r w:rsidR="00DB731D" w:rsidRPr="00A52585">
        <w:rPr>
          <w:rFonts w:hint="cs"/>
          <w:rtl/>
        </w:rPr>
        <w:t>،</w:t>
      </w:r>
      <w:r w:rsidR="00777DCB" w:rsidRPr="00A52585">
        <w:rPr>
          <w:rFonts w:hint="cs"/>
          <w:rtl/>
        </w:rPr>
        <w:t xml:space="preserve"> وسمع الحديث الكثير ووقف على التفاسير</w:t>
      </w:r>
      <w:r w:rsidR="00DB731D" w:rsidRPr="00A52585">
        <w:rPr>
          <w:rFonts w:hint="cs"/>
          <w:rtl/>
        </w:rPr>
        <w:t>،</w:t>
      </w:r>
      <w:r w:rsidR="00777DCB" w:rsidRPr="00A52585">
        <w:rPr>
          <w:rFonts w:hint="cs"/>
          <w:rtl/>
        </w:rPr>
        <w:t xml:space="preserve"> </w:t>
      </w:r>
      <w:r w:rsidR="00777DCB" w:rsidRPr="00A52585">
        <w:rPr>
          <w:rFonts w:hint="cs"/>
          <w:spacing w:val="-6"/>
          <w:rtl/>
        </w:rPr>
        <w:t>وأظهر التقشف مع العفة ولين الجانب وكان ملبوسه جلد ضأن غير مخيط</w:t>
      </w:r>
      <w:r w:rsidR="00DB731D" w:rsidRPr="00A52585">
        <w:rPr>
          <w:rFonts w:hint="cs"/>
          <w:spacing w:val="-6"/>
          <w:rtl/>
        </w:rPr>
        <w:t>،</w:t>
      </w:r>
      <w:r w:rsidR="00777DCB" w:rsidRPr="00A52585">
        <w:rPr>
          <w:rFonts w:hint="cs"/>
          <w:spacing w:val="-6"/>
          <w:rtl/>
        </w:rPr>
        <w:t xml:space="preserve"> وعلى رأسه قلنسوة بيضاء</w:t>
      </w:r>
      <w:r w:rsidR="00DB731D" w:rsidRPr="00A52585">
        <w:rPr>
          <w:rFonts w:hint="cs"/>
          <w:spacing w:val="-6"/>
          <w:rtl/>
        </w:rPr>
        <w:t>،</w:t>
      </w:r>
      <w:r w:rsidR="00777DCB" w:rsidRPr="00A52585">
        <w:rPr>
          <w:rFonts w:hint="cs"/>
          <w:spacing w:val="-6"/>
          <w:rtl/>
        </w:rPr>
        <w:t xml:space="preserve"> ثم أخذ حانوتاً يبيع فيه لبناً واتخذ قطعة فرو يجلس عليها ويعظ ويذكر ويحدث ويتخشع</w:t>
      </w:r>
      <w:r w:rsidR="00DB731D" w:rsidRPr="00A52585">
        <w:rPr>
          <w:rFonts w:hint="cs"/>
          <w:spacing w:val="-6"/>
          <w:rtl/>
        </w:rPr>
        <w:t>،</w:t>
      </w:r>
      <w:r w:rsidR="00777DCB" w:rsidRPr="00A52585">
        <w:rPr>
          <w:rFonts w:hint="cs"/>
          <w:spacing w:val="-6"/>
          <w:rtl/>
        </w:rPr>
        <w:t xml:space="preserve"> حتى أخذ بقلوب العوام</w:t>
      </w:r>
      <w:r w:rsidR="00DB731D" w:rsidRPr="00A52585">
        <w:rPr>
          <w:rFonts w:hint="cs"/>
          <w:spacing w:val="-6"/>
          <w:rtl/>
        </w:rPr>
        <w:t>،</w:t>
      </w:r>
      <w:r w:rsidR="00777DCB" w:rsidRPr="00A52585">
        <w:rPr>
          <w:rFonts w:hint="cs"/>
          <w:spacing w:val="-6"/>
          <w:rtl/>
        </w:rPr>
        <w:t xml:space="preserve"> والضعفاء من الطلبة بوعظه وبزهده</w:t>
      </w:r>
      <w:r w:rsidR="00DB731D" w:rsidRPr="00A52585">
        <w:rPr>
          <w:rFonts w:hint="cs"/>
          <w:spacing w:val="-6"/>
          <w:rtl/>
        </w:rPr>
        <w:t>،</w:t>
      </w:r>
      <w:r w:rsidR="00777DCB" w:rsidRPr="00A52585">
        <w:rPr>
          <w:rFonts w:hint="cs"/>
          <w:spacing w:val="-6"/>
          <w:rtl/>
        </w:rPr>
        <w:t xml:space="preserve"> حتى حصر من تبعه من الناس فإذا هم سبعون ألفاً</w:t>
      </w:r>
      <w:r w:rsidR="00DB731D" w:rsidRPr="00A52585">
        <w:rPr>
          <w:rFonts w:hint="cs"/>
          <w:spacing w:val="-6"/>
          <w:rtl/>
        </w:rPr>
        <w:t>،</w:t>
      </w:r>
      <w:r w:rsidR="00777DCB" w:rsidRPr="00A52585">
        <w:rPr>
          <w:rFonts w:hint="cs"/>
          <w:spacing w:val="-6"/>
          <w:rtl/>
        </w:rPr>
        <w:t xml:space="preserve"> </w:t>
      </w:r>
      <w:r w:rsidR="00777DCB" w:rsidRPr="00A52585">
        <w:rPr>
          <w:rFonts w:hint="cs"/>
          <w:rtl/>
        </w:rPr>
        <w:t>وكان من غلاة المشبهة</w:t>
      </w:r>
      <w:r w:rsidR="00DB731D" w:rsidRPr="00A52585">
        <w:rPr>
          <w:rFonts w:hint="cs"/>
          <w:rtl/>
        </w:rPr>
        <w:t>،</w:t>
      </w:r>
      <w:r w:rsidR="00777DCB" w:rsidRPr="00A52585">
        <w:rPr>
          <w:rFonts w:hint="cs"/>
          <w:rtl/>
        </w:rPr>
        <w:t xml:space="preserve"> وصار يلقي على العوام آيات المتشابه</w:t>
      </w:r>
      <w:r w:rsidR="00DB731D" w:rsidRPr="00A52585">
        <w:rPr>
          <w:rFonts w:hint="cs"/>
          <w:rtl/>
        </w:rPr>
        <w:t>،</w:t>
      </w:r>
      <w:r w:rsidR="00777DCB" w:rsidRPr="00A52585">
        <w:rPr>
          <w:rFonts w:hint="cs"/>
          <w:rtl/>
        </w:rPr>
        <w:t xml:space="preserve"> والأخبار التي ظواهرها يوافق عقول العوام وما ألفوه</w:t>
      </w:r>
      <w:r w:rsidR="00DB731D" w:rsidRPr="00A52585">
        <w:rPr>
          <w:rFonts w:hint="cs"/>
          <w:rtl/>
        </w:rPr>
        <w:t>،</w:t>
      </w:r>
      <w:r w:rsidR="00777DCB" w:rsidRPr="00A52585">
        <w:rPr>
          <w:rFonts w:hint="cs"/>
          <w:rtl/>
        </w:rPr>
        <w:t xml:space="preserve"> ففطن الحذاق من العلماء له فأخذوه ووضعوه في السجن فلبث فيه في سجن نيسابور ثمان سنين</w:t>
      </w:r>
      <w:r w:rsidR="00DB731D" w:rsidRPr="00A52585">
        <w:rPr>
          <w:rFonts w:hint="cs"/>
          <w:rtl/>
        </w:rPr>
        <w:t>،</w:t>
      </w:r>
      <w:r w:rsidR="00777DCB" w:rsidRPr="00A52585">
        <w:rPr>
          <w:rFonts w:hint="cs"/>
          <w:rtl/>
        </w:rPr>
        <w:t xml:space="preserve"> ثم لم يزل أتباعه يسعون فيه حتى خرج من السجن وارتحل </w:t>
      </w:r>
      <w:r w:rsidR="00777DCB" w:rsidRPr="00A52585">
        <w:rPr>
          <w:rFonts w:hint="cs"/>
          <w:rtl/>
        </w:rPr>
        <w:lastRenderedPageBreak/>
        <w:t>إلى الشام ومات بها في زغر</w:t>
      </w:r>
      <w:r w:rsidR="00DB731D" w:rsidRPr="00A52585">
        <w:rPr>
          <w:rFonts w:hint="cs"/>
          <w:rtl/>
        </w:rPr>
        <w:t>،</w:t>
      </w:r>
      <w:r w:rsidR="00777DCB" w:rsidRPr="00A52585">
        <w:rPr>
          <w:rFonts w:hint="cs"/>
          <w:rtl/>
        </w:rPr>
        <w:t xml:space="preserve"> ولم يعلم به إلاّ خاصته من أصحابه فحملوه ودفنوه في القدس الشريف</w:t>
      </w:r>
      <w:r w:rsidR="00DB731D" w:rsidRPr="00A52585">
        <w:rPr>
          <w:rFonts w:hint="cs"/>
          <w:rtl/>
        </w:rPr>
        <w:t>،</w:t>
      </w:r>
      <w:r w:rsidR="00777DCB" w:rsidRPr="00A52585">
        <w:rPr>
          <w:rFonts w:hint="cs"/>
          <w:rtl/>
        </w:rPr>
        <w:t xml:space="preserve"> وكان من أتباعه في القدس أكثر من عشرين ألفاً على التعبد والتقشف</w:t>
      </w:r>
      <w:r w:rsidR="00DB731D" w:rsidRPr="00A52585">
        <w:rPr>
          <w:rFonts w:hint="cs"/>
          <w:rtl/>
        </w:rPr>
        <w:t>،</w:t>
      </w:r>
      <w:r w:rsidR="00777DCB" w:rsidRPr="00A52585">
        <w:rPr>
          <w:rFonts w:hint="cs"/>
          <w:rtl/>
        </w:rPr>
        <w:t xml:space="preserve"> وقد زين لهم الشيطان ما هم عليه</w:t>
      </w:r>
      <w:r w:rsidR="00DB731D" w:rsidRPr="00A52585">
        <w:rPr>
          <w:rFonts w:hint="cs"/>
          <w:rtl/>
        </w:rPr>
        <w:t>،</w:t>
      </w:r>
      <w:r w:rsidR="00777DCB" w:rsidRPr="00A52585">
        <w:rPr>
          <w:rFonts w:hint="cs"/>
          <w:rtl/>
        </w:rPr>
        <w:t xml:space="preserve"> وهم من الهالكين</w:t>
      </w:r>
      <w:r w:rsidR="00DB731D" w:rsidRPr="00A52585">
        <w:rPr>
          <w:rFonts w:hint="cs"/>
          <w:rtl/>
        </w:rPr>
        <w:t>،</w:t>
      </w:r>
      <w:r w:rsidR="00777DCB" w:rsidRPr="00A52585">
        <w:rPr>
          <w:rFonts w:hint="cs"/>
          <w:rtl/>
        </w:rPr>
        <w:t xml:space="preserve"> وهم لا يشعرون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انظر ترجمة محمد بن كرّام وآرائه في</w:t>
      </w:r>
      <w:r w:rsidRPr="00A52585">
        <w:rPr>
          <w:rFonts w:hint="cs"/>
          <w:sz w:val="24"/>
          <w:szCs w:val="24"/>
          <w:rtl/>
        </w:rPr>
        <w:t>:</w:t>
      </w:r>
      <w:r w:rsidR="00777DCB" w:rsidRPr="00A52585">
        <w:rPr>
          <w:rFonts w:hint="cs"/>
          <w:sz w:val="24"/>
          <w:szCs w:val="24"/>
          <w:rtl/>
        </w:rPr>
        <w:t xml:space="preserve"> الملل والنحل </w:t>
      </w:r>
      <w:proofErr w:type="spellStart"/>
      <w:r w:rsidR="00777DCB" w:rsidRPr="00A52585">
        <w:rPr>
          <w:rFonts w:hint="cs"/>
          <w:sz w:val="24"/>
          <w:szCs w:val="24"/>
          <w:rtl/>
        </w:rPr>
        <w:t>للشهرستاني</w:t>
      </w:r>
      <w:proofErr w:type="spellEnd"/>
      <w:r w:rsidR="00777DCB" w:rsidRPr="00A52585">
        <w:rPr>
          <w:rFonts w:hint="cs"/>
          <w:sz w:val="24"/>
          <w:szCs w:val="24"/>
          <w:rtl/>
        </w:rPr>
        <w:t xml:space="preserve"> 1/108. دار صعب</w:t>
      </w:r>
      <w:r w:rsidR="00DB731D" w:rsidRPr="00A52585">
        <w:rPr>
          <w:rFonts w:hint="cs"/>
          <w:sz w:val="24"/>
          <w:szCs w:val="24"/>
          <w:rtl/>
        </w:rPr>
        <w:t>،</w:t>
      </w:r>
      <w:r w:rsidR="00777DCB" w:rsidRPr="00A52585">
        <w:rPr>
          <w:rFonts w:hint="cs"/>
          <w:sz w:val="24"/>
          <w:szCs w:val="24"/>
          <w:rtl/>
        </w:rPr>
        <w:t xml:space="preserve"> والفرق بين الفرق لأبي منصور عبد القاهر البغدادي ص 130ط مؤسسة الحلبي</w:t>
      </w:r>
      <w:r w:rsidRPr="00A52585">
        <w:rPr>
          <w:rFonts w:hint="cs"/>
          <w:sz w:val="24"/>
          <w:szCs w:val="24"/>
          <w:rtl/>
        </w:rPr>
        <w:t>]</w:t>
      </w:r>
      <w:r w:rsidR="00DB731D" w:rsidRPr="00A52585">
        <w:rPr>
          <w:rFonts w:hint="cs"/>
          <w:sz w:val="24"/>
          <w:szCs w:val="24"/>
          <w:rtl/>
        </w:rPr>
        <w:t>،</w:t>
      </w:r>
      <w:r w:rsidR="00777DCB" w:rsidRPr="00A52585">
        <w:rPr>
          <w:rFonts w:hint="cs"/>
          <w:rtl/>
        </w:rPr>
        <w:t xml:space="preserve"> واستمر على ما هم عليه خلق شأنهم حمل الناس على ما هم عليه وإلى وقتك هذا</w:t>
      </w:r>
      <w:r w:rsidR="00DB731D" w:rsidRPr="00A52585">
        <w:rPr>
          <w:rFonts w:hint="cs"/>
          <w:rtl/>
        </w:rPr>
        <w:t>،</w:t>
      </w:r>
      <w:r w:rsidR="00777DCB" w:rsidRPr="00A52585">
        <w:rPr>
          <w:rFonts w:hint="cs"/>
          <w:rtl/>
        </w:rPr>
        <w:t xml:space="preserve"> </w:t>
      </w:r>
    </w:p>
    <w:p w14:paraId="5BA5DB42" w14:textId="77777777" w:rsidR="00777DCB" w:rsidRPr="00A52585" w:rsidRDefault="00777DCB" w:rsidP="0002035C">
      <w:pPr>
        <w:spacing w:after="240"/>
        <w:jc w:val="center"/>
        <w:rPr>
          <w:b/>
          <w:rtl/>
        </w:rPr>
      </w:pPr>
      <w:r w:rsidRPr="00A52585">
        <w:rPr>
          <w:rFonts w:hint="cs"/>
          <w:rtl/>
        </w:rPr>
        <w:t>*******</w:t>
      </w:r>
    </w:p>
    <w:p w14:paraId="04D96CAA" w14:textId="5863AE19"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في البدع وخطورتها خاصة في العقيدة</w:t>
      </w:r>
      <w:r w:rsidRPr="00A52585">
        <w:rPr>
          <w:rFonts w:hint="cs"/>
          <w:bCs/>
          <w:rtl/>
        </w:rPr>
        <w:t>]</w:t>
      </w:r>
    </w:p>
    <w:p w14:paraId="242A68A3" w14:textId="14AE96EB" w:rsidR="00777DCB" w:rsidRPr="00A52585" w:rsidRDefault="00777DCB" w:rsidP="0002035C">
      <w:pPr>
        <w:spacing w:after="240"/>
        <w:rPr>
          <w:b/>
          <w:spacing w:val="-6"/>
          <w:rtl/>
        </w:rPr>
      </w:pPr>
      <w:r w:rsidRPr="00A52585">
        <w:rPr>
          <w:rFonts w:hint="cs"/>
          <w:rtl/>
        </w:rPr>
        <w:t>قال الله تعالى</w:t>
      </w:r>
      <w:r w:rsidR="0002035C" w:rsidRPr="00A52585">
        <w:rPr>
          <w:rFonts w:hint="cs"/>
          <w:rtl/>
        </w:rPr>
        <w:t>:</w:t>
      </w:r>
      <w:r w:rsidRPr="00A52585">
        <w:rPr>
          <w:rFonts w:hint="cs"/>
          <w:rtl/>
        </w:rPr>
        <w:t xml:space="preserve"> {أَفَمَن زُيِّنَ لَهُ سُوءُ عَمَلِهِ فَرءاهُ حَسَنَاً} </w:t>
      </w:r>
      <w:r w:rsidR="0002035C" w:rsidRPr="00A52585">
        <w:rPr>
          <w:rFonts w:hint="cs"/>
          <w:rtl/>
        </w:rPr>
        <w:t>[</w:t>
      </w:r>
      <w:r w:rsidRPr="00A52585">
        <w:rPr>
          <w:rFonts w:hint="cs"/>
          <w:rtl/>
        </w:rPr>
        <w:t>فاطر</w:t>
      </w:r>
      <w:r w:rsidR="0002035C" w:rsidRPr="00A52585">
        <w:rPr>
          <w:rFonts w:hint="cs"/>
          <w:rtl/>
        </w:rPr>
        <w:t>:</w:t>
      </w:r>
      <w:r w:rsidRPr="00A52585">
        <w:rPr>
          <w:rFonts w:hint="cs"/>
          <w:rtl/>
        </w:rPr>
        <w:t xml:space="preserve"> 8</w:t>
      </w:r>
      <w:r w:rsidR="0002035C" w:rsidRPr="00A52585">
        <w:rPr>
          <w:rFonts w:hint="cs"/>
          <w:rtl/>
        </w:rPr>
        <w:t>]</w:t>
      </w:r>
      <w:r w:rsidR="00DB731D" w:rsidRPr="00A52585">
        <w:rPr>
          <w:rFonts w:hint="cs"/>
          <w:rtl/>
        </w:rPr>
        <w:t>،</w:t>
      </w:r>
      <w:r w:rsidRPr="00A52585">
        <w:rPr>
          <w:rFonts w:hint="cs"/>
          <w:rtl/>
        </w:rPr>
        <w:t xml:space="preserve"> قال سعيد بن جبير</w:t>
      </w:r>
      <w:r w:rsidR="0002035C" w:rsidRPr="00A52585">
        <w:rPr>
          <w:rFonts w:hint="cs"/>
          <w:rtl/>
        </w:rPr>
        <w:t>:</w:t>
      </w:r>
      <w:r w:rsidRPr="00A52585">
        <w:rPr>
          <w:rFonts w:hint="cs"/>
          <w:rtl/>
        </w:rPr>
        <w:t xml:space="preserve"> هذه الآية نزلت في أصحاب الأهواء والبدع المعنى</w:t>
      </w:r>
      <w:r w:rsidR="0002035C" w:rsidRPr="00A52585">
        <w:rPr>
          <w:rFonts w:hint="cs"/>
          <w:rtl/>
        </w:rPr>
        <w:t>:</w:t>
      </w:r>
      <w:r w:rsidRPr="00A52585">
        <w:rPr>
          <w:rFonts w:hint="cs"/>
          <w:rtl/>
        </w:rPr>
        <w:t xml:space="preserve"> أنه ركض في ميادين الباطل وهو يظنها حقاً</w:t>
      </w:r>
      <w:r w:rsidR="00DB731D" w:rsidRPr="00A52585">
        <w:rPr>
          <w:rFonts w:hint="cs"/>
          <w:rtl/>
        </w:rPr>
        <w:t>،</w:t>
      </w:r>
      <w:r w:rsidRPr="00A52585">
        <w:rPr>
          <w:rFonts w:hint="cs"/>
          <w:rtl/>
        </w:rPr>
        <w:t xml:space="preserve"> وكان ابن عباس رضي الله عنهما يقول عند هذه الآية</w:t>
      </w:r>
      <w:r w:rsidR="0002035C" w:rsidRPr="00A52585">
        <w:rPr>
          <w:rFonts w:hint="cs"/>
          <w:rtl/>
        </w:rPr>
        <w:t>:</w:t>
      </w:r>
      <w:r w:rsidRPr="00A52585">
        <w:rPr>
          <w:rFonts w:hint="cs"/>
          <w:rtl/>
        </w:rPr>
        <w:t xml:space="preserve"> إن الضلالة لها حلاوة في قلوب أهلها</w:t>
      </w:r>
      <w:r w:rsidR="00DB731D" w:rsidRPr="00A52585">
        <w:rPr>
          <w:rFonts w:hint="cs"/>
          <w:rtl/>
        </w:rPr>
        <w:t>،</w:t>
      </w:r>
      <w:r w:rsidRPr="00A52585">
        <w:rPr>
          <w:rFonts w:hint="cs"/>
          <w:rtl/>
        </w:rPr>
        <w:t xml:space="preserve"> والبدعة هي استحسان ما يسوق إليه الهوى والشبهة مع الظن بكونه حقاً</w:t>
      </w:r>
      <w:r w:rsidR="00DB731D" w:rsidRPr="00A52585">
        <w:rPr>
          <w:rFonts w:hint="cs"/>
          <w:rtl/>
        </w:rPr>
        <w:t>،</w:t>
      </w:r>
      <w:r w:rsidRPr="00A52585">
        <w:rPr>
          <w:rFonts w:hint="cs"/>
          <w:rtl/>
        </w:rPr>
        <w:t xml:space="preserve"> وهؤلاء نزع من قلوبهم نور المعرفة وسراج التوحيد من أسرارهم ووكلوا إلى ما اختاروا فضلوا وأضلوا</w:t>
      </w:r>
      <w:r w:rsidR="0002035C" w:rsidRPr="00A52585">
        <w:rPr>
          <w:rFonts w:hint="cs"/>
          <w:rtl/>
        </w:rPr>
        <w:t>:</w:t>
      </w:r>
      <w:r w:rsidRPr="00A52585">
        <w:rPr>
          <w:rFonts w:hint="cs"/>
          <w:rtl/>
        </w:rPr>
        <w:t xml:space="preserve"> {وَيَحْسَبُونَ أَنَّهَمْ عَلَى شَيْءٍ}</w:t>
      </w:r>
      <w:r w:rsidRPr="00A52585">
        <w:rPr>
          <w:rFonts w:hint="cs"/>
          <w:vertAlign w:val="superscript"/>
          <w:rtl/>
        </w:rPr>
        <w:t xml:space="preserve"> </w:t>
      </w:r>
      <w:r w:rsidR="0002035C" w:rsidRPr="00A52585">
        <w:rPr>
          <w:rFonts w:hint="cs"/>
          <w:rtl/>
        </w:rPr>
        <w:t>[</w:t>
      </w:r>
      <w:r w:rsidRPr="00A52585">
        <w:rPr>
          <w:rFonts w:hint="cs"/>
          <w:rtl/>
        </w:rPr>
        <w:t>المجادلة</w:t>
      </w:r>
      <w:r w:rsidR="0002035C" w:rsidRPr="00A52585">
        <w:rPr>
          <w:rFonts w:hint="cs"/>
          <w:rtl/>
        </w:rPr>
        <w:t>:</w:t>
      </w:r>
      <w:r w:rsidRPr="00A52585">
        <w:rPr>
          <w:rFonts w:hint="cs"/>
          <w:rtl/>
        </w:rPr>
        <w:t xml:space="preserve"> 18</w:t>
      </w:r>
      <w:r w:rsidR="0002035C" w:rsidRPr="00A52585">
        <w:rPr>
          <w:rFonts w:hint="cs"/>
          <w:rtl/>
        </w:rPr>
        <w:t>]</w:t>
      </w:r>
      <w:r w:rsidR="00DB731D" w:rsidRPr="00A52585">
        <w:rPr>
          <w:rFonts w:hint="cs"/>
          <w:rtl/>
        </w:rPr>
        <w:t>،</w:t>
      </w:r>
      <w:r w:rsidRPr="00A52585">
        <w:rPr>
          <w:rFonts w:hint="cs"/>
          <w:rtl/>
        </w:rPr>
        <w:t xml:space="preserve"> حتى ينكشف لهم الأمر كما قال الله تعالى</w:t>
      </w:r>
      <w:r w:rsidR="0002035C" w:rsidRPr="00A52585">
        <w:rPr>
          <w:rFonts w:hint="cs"/>
          <w:rtl/>
        </w:rPr>
        <w:t>:</w:t>
      </w:r>
      <w:r w:rsidRPr="00A52585">
        <w:rPr>
          <w:rFonts w:hint="cs"/>
          <w:rtl/>
        </w:rPr>
        <w:t xml:space="preserve"> {وَبَدَا لَهُمْ منَ الله مَا لَمْ يَكُونُوا يَحْتَسِبُونْ} </w:t>
      </w:r>
      <w:r w:rsidR="0002035C" w:rsidRPr="00A52585">
        <w:rPr>
          <w:rFonts w:hint="cs"/>
          <w:rtl/>
        </w:rPr>
        <w:t>[</w:t>
      </w:r>
      <w:r w:rsidRPr="00A52585">
        <w:rPr>
          <w:rFonts w:hint="cs"/>
          <w:rtl/>
        </w:rPr>
        <w:t>الزمر</w:t>
      </w:r>
      <w:r w:rsidR="0002035C" w:rsidRPr="00A52585">
        <w:rPr>
          <w:rFonts w:hint="cs"/>
          <w:rtl/>
        </w:rPr>
        <w:t>:</w:t>
      </w:r>
      <w:r w:rsidRPr="00A52585">
        <w:rPr>
          <w:rFonts w:hint="cs"/>
          <w:rtl/>
        </w:rPr>
        <w:t xml:space="preserve"> 47</w:t>
      </w:r>
      <w:r w:rsidR="0002035C" w:rsidRPr="00A52585">
        <w:rPr>
          <w:rFonts w:hint="cs"/>
          <w:rtl/>
        </w:rPr>
        <w:t>]</w:t>
      </w:r>
      <w:r w:rsidR="00DB731D" w:rsidRPr="00A52585">
        <w:rPr>
          <w:rFonts w:hint="cs"/>
          <w:rtl/>
        </w:rPr>
        <w:t>،</w:t>
      </w:r>
      <w:r w:rsidRPr="00A52585">
        <w:rPr>
          <w:rFonts w:hint="cs"/>
          <w:rtl/>
        </w:rPr>
        <w:t xml:space="preserve"> قيل</w:t>
      </w:r>
      <w:r w:rsidR="0002035C" w:rsidRPr="00A52585">
        <w:rPr>
          <w:rFonts w:hint="cs"/>
          <w:rtl/>
        </w:rPr>
        <w:t>:</w:t>
      </w:r>
      <w:r w:rsidRPr="00A52585">
        <w:rPr>
          <w:rFonts w:hint="cs"/>
          <w:rtl/>
        </w:rPr>
        <w:t xml:space="preserve"> عملوا أعمالاً فظنوا أنها في كفة الحسنات فإذا هي في كفة السيئات</w:t>
      </w:r>
      <w:r w:rsidR="00DB731D" w:rsidRPr="00A52585">
        <w:rPr>
          <w:rFonts w:hint="cs"/>
          <w:rtl/>
        </w:rPr>
        <w:t>،</w:t>
      </w:r>
      <w:r w:rsidRPr="00A52585">
        <w:rPr>
          <w:rFonts w:hint="cs"/>
          <w:rtl/>
        </w:rPr>
        <w:t xml:space="preserve"> وهذه الآية قيل</w:t>
      </w:r>
      <w:r w:rsidR="0002035C" w:rsidRPr="00A52585">
        <w:rPr>
          <w:rFonts w:hint="cs"/>
          <w:rtl/>
        </w:rPr>
        <w:t>:</w:t>
      </w:r>
      <w:r w:rsidRPr="00A52585">
        <w:rPr>
          <w:rFonts w:hint="cs"/>
          <w:rtl/>
        </w:rPr>
        <w:t xml:space="preserve"> إنها في أهل البدع</w:t>
      </w:r>
      <w:r w:rsidR="00DB731D" w:rsidRPr="00A52585">
        <w:rPr>
          <w:rFonts w:hint="cs"/>
          <w:rtl/>
        </w:rPr>
        <w:t>،</w:t>
      </w:r>
      <w:r w:rsidRPr="00A52585">
        <w:rPr>
          <w:rFonts w:hint="cs"/>
          <w:rtl/>
        </w:rPr>
        <w:t xml:space="preserve"> يتصور ويعتقد - مع تمام الورع والزهد وتمام الأعمال الصالحة وفعل الطاعات والقربات - ما عاقبته خطره</w:t>
      </w:r>
      <w:r w:rsidR="00DB731D" w:rsidRPr="00A52585">
        <w:rPr>
          <w:rFonts w:hint="cs"/>
          <w:rtl/>
        </w:rPr>
        <w:t>،</w:t>
      </w:r>
      <w:r w:rsidRPr="00A52585">
        <w:rPr>
          <w:rFonts w:hint="cs"/>
          <w:rtl/>
        </w:rPr>
        <w:t xml:space="preserve"> ومن ذلك أن يعتقد في ذات الله تعالى أو في صفاته أو أفعاله ما هو خلاف الحق ويعتقده على خلاف ما هو به</w:t>
      </w:r>
      <w:r w:rsidR="0002035C" w:rsidRPr="00A52585">
        <w:rPr>
          <w:rFonts w:hint="cs"/>
          <w:rtl/>
        </w:rPr>
        <w:t>:</w:t>
      </w:r>
      <w:r w:rsidRPr="00A52585">
        <w:rPr>
          <w:rFonts w:hint="cs"/>
          <w:rtl/>
        </w:rPr>
        <w:t xml:space="preserve"> </w:t>
      </w:r>
      <w:r w:rsidRPr="00A52585">
        <w:rPr>
          <w:rFonts w:hint="cs"/>
          <w:bCs/>
          <w:rtl/>
        </w:rPr>
        <w:t>إما برأيه ومعقوله</w:t>
      </w:r>
      <w:r w:rsidRPr="00A52585">
        <w:rPr>
          <w:rFonts w:hint="cs"/>
          <w:rtl/>
        </w:rPr>
        <w:t xml:space="preserve"> الذي يجادل به الخصوم</w:t>
      </w:r>
      <w:r w:rsidR="00DB731D" w:rsidRPr="00A52585">
        <w:rPr>
          <w:rFonts w:hint="cs"/>
          <w:rtl/>
        </w:rPr>
        <w:t>،</w:t>
      </w:r>
      <w:r w:rsidRPr="00A52585">
        <w:rPr>
          <w:rFonts w:hint="cs"/>
          <w:rtl/>
        </w:rPr>
        <w:t xml:space="preserve"> وعليه يعول</w:t>
      </w:r>
      <w:r w:rsidR="00DB731D" w:rsidRPr="00A52585">
        <w:rPr>
          <w:rFonts w:hint="cs"/>
          <w:rtl/>
        </w:rPr>
        <w:t>،</w:t>
      </w:r>
      <w:r w:rsidRPr="00A52585">
        <w:rPr>
          <w:rFonts w:hint="cs"/>
          <w:rtl/>
        </w:rPr>
        <w:t xml:space="preserve"> وبه يغتر</w:t>
      </w:r>
      <w:r w:rsidR="00DB731D" w:rsidRPr="00A52585">
        <w:rPr>
          <w:rFonts w:hint="cs"/>
          <w:rtl/>
        </w:rPr>
        <w:t>،</w:t>
      </w:r>
      <w:r w:rsidRPr="00A52585">
        <w:rPr>
          <w:rFonts w:hint="cs"/>
          <w:rtl/>
        </w:rPr>
        <w:t xml:space="preserve"> قد زينه له العدو وحلاه له حتى اعتقده ديناً ونعمة</w:t>
      </w:r>
      <w:r w:rsidR="00DB731D" w:rsidRPr="00A52585">
        <w:rPr>
          <w:rFonts w:hint="cs"/>
          <w:rtl/>
        </w:rPr>
        <w:t>،</w:t>
      </w:r>
      <w:r w:rsidRPr="00A52585">
        <w:rPr>
          <w:rFonts w:hint="cs"/>
          <w:rtl/>
        </w:rPr>
        <w:t xml:space="preserve"> </w:t>
      </w:r>
      <w:r w:rsidRPr="00A52585">
        <w:rPr>
          <w:rFonts w:hint="cs"/>
          <w:bCs/>
          <w:rtl/>
        </w:rPr>
        <w:t>وإما أخذاً بالتقليد</w:t>
      </w:r>
      <w:r w:rsidRPr="00A52585">
        <w:rPr>
          <w:rFonts w:hint="cs"/>
          <w:rtl/>
        </w:rPr>
        <w:t xml:space="preserve"> ممن هذه حاله</w:t>
      </w:r>
      <w:r w:rsidR="00DB731D" w:rsidRPr="00A52585">
        <w:rPr>
          <w:rFonts w:hint="cs"/>
          <w:rtl/>
        </w:rPr>
        <w:t>،</w:t>
      </w:r>
      <w:r w:rsidRPr="00A52585">
        <w:rPr>
          <w:rFonts w:hint="cs"/>
          <w:rtl/>
        </w:rPr>
        <w:t xml:space="preserve"> وهذا التقليد كثير في العوام لا سيما ممن يعضد بدعته واعتقاده بظاهر آية أو خبر وهو على وفق الطبع والعادة</w:t>
      </w:r>
      <w:r w:rsidR="00DB731D" w:rsidRPr="00A52585">
        <w:rPr>
          <w:rFonts w:hint="cs"/>
          <w:rtl/>
        </w:rPr>
        <w:t>،</w:t>
      </w:r>
      <w:r w:rsidRPr="00A52585">
        <w:rPr>
          <w:rFonts w:hint="cs"/>
          <w:rtl/>
        </w:rPr>
        <w:t xml:space="preserve"> وقد أهلك اللعين بمثل هذا خلقاً لا يحصون</w:t>
      </w:r>
      <w:r w:rsidR="00DB731D" w:rsidRPr="00A52585">
        <w:rPr>
          <w:rFonts w:hint="cs"/>
          <w:rtl/>
        </w:rPr>
        <w:t>،</w:t>
      </w:r>
      <w:r w:rsidRPr="00A52585">
        <w:rPr>
          <w:rFonts w:hint="cs"/>
          <w:rtl/>
        </w:rPr>
        <w:t xml:space="preserve"> حتى إنهم يعتقدون أن الحق في مثل ما هو عليه وأن غيرهم على ضلالة</w:t>
      </w:r>
      <w:r w:rsidR="00DB731D" w:rsidRPr="00A52585">
        <w:rPr>
          <w:rFonts w:hint="cs"/>
          <w:rtl/>
        </w:rPr>
        <w:t>،</w:t>
      </w:r>
      <w:r w:rsidRPr="00A52585">
        <w:rPr>
          <w:rFonts w:hint="cs"/>
          <w:rtl/>
        </w:rPr>
        <w:t xml:space="preserve"> ومثل هؤلاء</w:t>
      </w:r>
      <w:r w:rsidR="00DB731D" w:rsidRPr="00A52585">
        <w:rPr>
          <w:rFonts w:hint="cs"/>
          <w:rtl/>
        </w:rPr>
        <w:t>،</w:t>
      </w:r>
      <w:r w:rsidRPr="00A52585">
        <w:rPr>
          <w:rFonts w:hint="cs"/>
          <w:rtl/>
        </w:rPr>
        <w:t xml:space="preserve"> ومن تبعوه إذا بدا لهم ناصية ملك الموت انكشف لهم بطلان ما اعتقدوه حقاً باطلاً وجهلاً</w:t>
      </w:r>
      <w:r w:rsidR="00DB731D" w:rsidRPr="00A52585">
        <w:rPr>
          <w:rFonts w:hint="cs"/>
          <w:rtl/>
        </w:rPr>
        <w:t>،</w:t>
      </w:r>
      <w:r w:rsidRPr="00A52585">
        <w:rPr>
          <w:rFonts w:hint="cs"/>
          <w:rtl/>
        </w:rPr>
        <w:t xml:space="preserve"> وختم له بالسوء</w:t>
      </w:r>
      <w:r w:rsidR="00DB731D" w:rsidRPr="00A52585">
        <w:rPr>
          <w:rFonts w:hint="cs"/>
          <w:rtl/>
        </w:rPr>
        <w:t>،</w:t>
      </w:r>
      <w:r w:rsidRPr="00A52585">
        <w:rPr>
          <w:rFonts w:hint="cs"/>
          <w:rtl/>
        </w:rPr>
        <w:t xml:space="preserve"> وخرجت أرواحهم على ذلك وتعذر عليهم التدارك</w:t>
      </w:r>
      <w:r w:rsidR="00DB731D" w:rsidRPr="00A52585">
        <w:rPr>
          <w:rFonts w:hint="cs"/>
          <w:rtl/>
        </w:rPr>
        <w:t>،</w:t>
      </w:r>
      <w:r w:rsidRPr="00A52585">
        <w:rPr>
          <w:rFonts w:hint="cs"/>
          <w:rtl/>
        </w:rPr>
        <w:t xml:space="preserve"> وكذا كل اعتقاد باطل</w:t>
      </w:r>
      <w:r w:rsidR="00DB731D" w:rsidRPr="00A52585">
        <w:rPr>
          <w:rFonts w:hint="cs"/>
          <w:rtl/>
        </w:rPr>
        <w:t>،</w:t>
      </w:r>
      <w:r w:rsidRPr="00A52585">
        <w:rPr>
          <w:rFonts w:hint="cs"/>
          <w:rtl/>
        </w:rPr>
        <w:t xml:space="preserve"> ولا يفيد زوالَ ذلك كثرة التعبد وشدة الزهد وكثرة الصوم والحج وغير ذلك من أنواع الطاعات والقربات</w:t>
      </w:r>
      <w:r w:rsidR="00DB731D" w:rsidRPr="00A52585">
        <w:rPr>
          <w:rFonts w:hint="cs"/>
          <w:rtl/>
        </w:rPr>
        <w:t>،</w:t>
      </w:r>
      <w:r w:rsidRPr="00A52585">
        <w:rPr>
          <w:rFonts w:hint="cs"/>
          <w:rtl/>
        </w:rPr>
        <w:t xml:space="preserve"> لأنها تبع لأمر باطل</w:t>
      </w:r>
      <w:r w:rsidR="00DB731D" w:rsidRPr="00A52585">
        <w:rPr>
          <w:rFonts w:hint="cs"/>
          <w:rtl/>
        </w:rPr>
        <w:t>،</w:t>
      </w:r>
      <w:r w:rsidRPr="00A52585">
        <w:rPr>
          <w:rFonts w:hint="cs"/>
          <w:rtl/>
        </w:rPr>
        <w:t xml:space="preserve"> ولا ينجو أحد إلا باعتقاد حق</w:t>
      </w:r>
      <w:r w:rsidR="00DB731D" w:rsidRPr="00A52585">
        <w:rPr>
          <w:rFonts w:hint="cs"/>
          <w:rtl/>
        </w:rPr>
        <w:t>،</w:t>
      </w:r>
      <w:r w:rsidRPr="00A52585">
        <w:rPr>
          <w:rFonts w:hint="cs"/>
          <w:rtl/>
        </w:rPr>
        <w:t xml:space="preserve"> وقد قال تعالى</w:t>
      </w:r>
      <w:r w:rsidR="0002035C" w:rsidRPr="00A52585">
        <w:rPr>
          <w:rFonts w:hint="cs"/>
          <w:rtl/>
        </w:rPr>
        <w:t>:</w:t>
      </w:r>
      <w:r w:rsidRPr="00A52585">
        <w:rPr>
          <w:rFonts w:hint="cs"/>
          <w:rtl/>
        </w:rPr>
        <w:t xml:space="preserve"> {فَمَاذَا بَعْدَ الْحَقِّ إِلاّ </w:t>
      </w:r>
      <w:r w:rsidRPr="00A52585">
        <w:rPr>
          <w:rFonts w:hint="cs"/>
          <w:rtl/>
        </w:rPr>
        <w:lastRenderedPageBreak/>
        <w:t xml:space="preserve">الضَّلاَلِ} </w:t>
      </w:r>
      <w:r w:rsidR="0002035C" w:rsidRPr="00A52585">
        <w:rPr>
          <w:rFonts w:hint="cs"/>
          <w:rtl/>
        </w:rPr>
        <w:t>[</w:t>
      </w:r>
      <w:r w:rsidRPr="00A52585">
        <w:rPr>
          <w:rFonts w:hint="cs"/>
          <w:rtl/>
        </w:rPr>
        <w:t>الأعراف</w:t>
      </w:r>
      <w:r w:rsidR="0002035C" w:rsidRPr="00A52585">
        <w:rPr>
          <w:rFonts w:hint="cs"/>
          <w:rtl/>
        </w:rPr>
        <w:t>:</w:t>
      </w:r>
      <w:r w:rsidRPr="00A52585">
        <w:rPr>
          <w:rFonts w:hint="cs"/>
          <w:rtl/>
        </w:rPr>
        <w:t xml:space="preserve"> 32</w:t>
      </w:r>
      <w:r w:rsidR="0002035C" w:rsidRPr="00A52585">
        <w:rPr>
          <w:rFonts w:hint="cs"/>
          <w:rtl/>
        </w:rPr>
        <w:t>]</w:t>
      </w:r>
      <w:r w:rsidR="00DB731D" w:rsidRPr="00A52585">
        <w:rPr>
          <w:rFonts w:hint="cs"/>
          <w:rtl/>
        </w:rPr>
        <w:t>،</w:t>
      </w:r>
      <w:r w:rsidRPr="00A52585">
        <w:rPr>
          <w:rFonts w:hint="cs"/>
          <w:rtl/>
        </w:rPr>
        <w:t xml:space="preserve"> وهذه الآية صريحة في أنه ليس بين الحق والباطل واسطة</w:t>
      </w:r>
      <w:r w:rsidR="00DB731D" w:rsidRPr="00A52585">
        <w:rPr>
          <w:rFonts w:hint="cs"/>
          <w:rtl/>
        </w:rPr>
        <w:t>،</w:t>
      </w:r>
      <w:r w:rsidRPr="00A52585">
        <w:rPr>
          <w:rFonts w:hint="cs"/>
          <w:rtl/>
        </w:rPr>
        <w:t xml:space="preserve"> والضلال</w:t>
      </w:r>
      <w:r w:rsidR="0002035C" w:rsidRPr="00A52585">
        <w:rPr>
          <w:rFonts w:hint="cs"/>
          <w:rtl/>
        </w:rPr>
        <w:t>:</w:t>
      </w:r>
      <w:r w:rsidRPr="00A52585">
        <w:rPr>
          <w:rFonts w:hint="cs"/>
          <w:rtl/>
        </w:rPr>
        <w:t xml:space="preserve"> هو الذهاب عن الحق مأخوذ من ضلال الطريق</w:t>
      </w:r>
      <w:r w:rsidR="00DB731D" w:rsidRPr="00A52585">
        <w:rPr>
          <w:rFonts w:hint="cs"/>
          <w:rtl/>
        </w:rPr>
        <w:t>،</w:t>
      </w:r>
      <w:r w:rsidRPr="00A52585">
        <w:rPr>
          <w:rFonts w:hint="cs"/>
          <w:rtl/>
        </w:rPr>
        <w:t xml:space="preserve"> وهو العدول عن سمته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وأهل الضلال دركات بعضها أسفل من بعض بحسب بعدها عن الله سبحانه، وقد ذكرهم حجة الإسلام الغزالي في المحجوبين عن الله فجعلهم أقساما نذكر منها ما يبين لنا موقع المبتدعة الذين ذكرهم المصنف رحمه الله وكذلك خوارج العصر</w:t>
      </w:r>
      <w:r w:rsidR="00DB731D" w:rsidRPr="00A52585">
        <w:rPr>
          <w:rFonts w:hint="cs"/>
          <w:sz w:val="24"/>
          <w:szCs w:val="24"/>
          <w:rtl/>
        </w:rPr>
        <w:t>،</w:t>
      </w:r>
      <w:r w:rsidRPr="00A52585">
        <w:rPr>
          <w:rFonts w:hint="cs"/>
          <w:sz w:val="24"/>
          <w:szCs w:val="24"/>
          <w:rtl/>
        </w:rPr>
        <w:t xml:space="preserve"> قال حجة الإسلام في كتابه (مشكاة الأنوار)</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القسم الأول</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هم المحجوبون بمحض الظلمة وهم الملاحدة الذين لا يؤمنون بالله ولا باليوم الآخر، وهم الذين يستحبون الحياة الدنيا على الآخرة لأنهم لا يؤمنون بالآخرة أصلاً وهم أصناف</w:t>
      </w:r>
      <w:r w:rsidR="00DB731D" w:rsidRPr="00A52585">
        <w:rPr>
          <w:rFonts w:hint="cs"/>
          <w:sz w:val="24"/>
          <w:szCs w:val="24"/>
          <w:rtl/>
        </w:rPr>
        <w:t>،</w:t>
      </w:r>
      <w:r w:rsidRPr="00A52585">
        <w:rPr>
          <w:rFonts w:hint="cs"/>
          <w:sz w:val="24"/>
          <w:szCs w:val="24"/>
          <w:rtl/>
        </w:rPr>
        <w:t xml:space="preserve"> الصنف الأول</w:t>
      </w:r>
      <w:r w:rsidR="0002035C" w:rsidRPr="00A52585">
        <w:rPr>
          <w:rFonts w:hint="cs"/>
          <w:sz w:val="24"/>
          <w:szCs w:val="24"/>
          <w:rtl/>
        </w:rPr>
        <w:t>:</w:t>
      </w:r>
      <w:r w:rsidRPr="00A52585">
        <w:rPr>
          <w:rFonts w:hint="cs"/>
          <w:sz w:val="24"/>
          <w:szCs w:val="24"/>
          <w:rtl/>
        </w:rPr>
        <w:t xml:space="preserve"> تشوق إلى طلب سبب لهذا العالم فأحاله الطبع والطبع صفة </w:t>
      </w:r>
      <w:proofErr w:type="spellStart"/>
      <w:r w:rsidRPr="00A52585">
        <w:rPr>
          <w:rFonts w:hint="cs"/>
          <w:sz w:val="24"/>
          <w:szCs w:val="24"/>
          <w:rtl/>
        </w:rPr>
        <w:t>مركوزة</w:t>
      </w:r>
      <w:proofErr w:type="spellEnd"/>
      <w:r w:rsidRPr="00A52585">
        <w:rPr>
          <w:rFonts w:hint="cs"/>
          <w:sz w:val="24"/>
          <w:szCs w:val="24"/>
          <w:rtl/>
        </w:rPr>
        <w:t xml:space="preserve"> في الأجسام حالة فيها، وهي مظلمة إذ ليس لها معرفة وإدراك ولا خبر لها من نفسها ولا تصور لها وليس لها نور يدرك بالبصر الظاهر أيضاً "</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ذكر شيخ الإسلام مصطفى صبري أن منشأ ضلال هؤلاء هو الالتباس الحادث عندهم بين مسألتي وجود الله سبحانه ومعاينة ذاته المقدسة فقال في (موقف العقل والعلم والعالم من رب العالمين وعباده المرسلين)</w:t>
      </w:r>
      <w:r w:rsidR="0002035C" w:rsidRPr="00A52585">
        <w:rPr>
          <w:rFonts w:hint="cs"/>
          <w:sz w:val="24"/>
          <w:szCs w:val="24"/>
          <w:rtl/>
        </w:rPr>
        <w:t>:</w:t>
      </w:r>
      <w:r w:rsidRPr="00A52585">
        <w:rPr>
          <w:rFonts w:hint="cs"/>
          <w:sz w:val="24"/>
          <w:szCs w:val="24"/>
          <w:rtl/>
        </w:rPr>
        <w:t xml:space="preserve"> " فمنشأ الغلط هو الالتباس في تعيين الموضوع.. فالذين لا يحسنون تعيين الموضوع وتحديد المنشود يبحثون عن الله كما بحث فرعون موسى القائل</w:t>
      </w:r>
      <w:r w:rsidR="0002035C" w:rsidRPr="00A52585">
        <w:rPr>
          <w:rFonts w:hint="cs"/>
          <w:sz w:val="24"/>
          <w:szCs w:val="24"/>
          <w:rtl/>
        </w:rPr>
        <w:t xml:space="preserve">: </w:t>
      </w:r>
      <w:r w:rsidRPr="00A52585">
        <w:rPr>
          <w:rFonts w:hint="cs"/>
          <w:sz w:val="24"/>
          <w:szCs w:val="24"/>
          <w:rtl/>
        </w:rPr>
        <w:t>" يا هامان ابن لي صرحا لعلى أبلغ الأسباب أسباب السماوات فأطلع إلى إله موسى "</w:t>
      </w:r>
      <w:r w:rsidR="0002035C" w:rsidRPr="00A52585">
        <w:rPr>
          <w:rFonts w:hint="cs"/>
          <w:sz w:val="24"/>
          <w:szCs w:val="24"/>
          <w:rtl/>
        </w:rPr>
        <w:t xml:space="preserve"> </w:t>
      </w:r>
      <w:r w:rsidRPr="00A52585">
        <w:rPr>
          <w:rFonts w:hint="cs"/>
          <w:sz w:val="24"/>
          <w:szCs w:val="24"/>
          <w:rtl/>
        </w:rPr>
        <w:t xml:space="preserve">في حين أن من بحث عن الله </w:t>
      </w:r>
      <w:proofErr w:type="spellStart"/>
      <w:r w:rsidRPr="00A52585">
        <w:rPr>
          <w:rFonts w:hint="cs"/>
          <w:sz w:val="24"/>
          <w:szCs w:val="24"/>
          <w:rtl/>
        </w:rPr>
        <w:t>لاستيقان</w:t>
      </w:r>
      <w:proofErr w:type="spellEnd"/>
      <w:r w:rsidRPr="00A52585">
        <w:rPr>
          <w:rFonts w:hint="cs"/>
          <w:sz w:val="24"/>
          <w:szCs w:val="24"/>
          <w:rtl/>
        </w:rPr>
        <w:t xml:space="preserve"> وجوده لم يكن بحاجة إلى بلوغ أسباب السماوات، وفي الأرض آيات للموقنين وفي أنفسكم أفلا تبصرون. لكن فرعون ضلّ الموضوع فبحث عن شخص الله ومكانه، كما نرى كثيرين من علماء الغرب يلتبس عليهم موضوع وجود الله بموضوع معاينة ذاته فيتأثر في نظرهم وضوح الأول </w:t>
      </w:r>
      <w:r w:rsidRPr="00A52585">
        <w:rPr>
          <w:sz w:val="24"/>
          <w:szCs w:val="24"/>
        </w:rPr>
        <w:t>-</w:t>
      </w:r>
      <w:r w:rsidRPr="00A52585">
        <w:rPr>
          <w:rFonts w:hint="cs"/>
          <w:sz w:val="24"/>
          <w:szCs w:val="24"/>
          <w:rtl/>
        </w:rPr>
        <w:t xml:space="preserve"> يشير إلى وجود الله </w:t>
      </w:r>
      <w:r w:rsidRPr="00A52585">
        <w:rPr>
          <w:sz w:val="24"/>
          <w:szCs w:val="24"/>
        </w:rPr>
        <w:t>–</w:t>
      </w:r>
      <w:r w:rsidRPr="00A52585">
        <w:rPr>
          <w:rFonts w:hint="cs"/>
          <w:sz w:val="24"/>
          <w:szCs w:val="24"/>
          <w:rtl/>
        </w:rPr>
        <w:t xml:space="preserve"> وثبوته بسواطع التجارب المشهودة في نظام الكائنات، من غموض الثاني </w:t>
      </w:r>
      <w:r w:rsidRPr="00A52585">
        <w:rPr>
          <w:sz w:val="24"/>
          <w:szCs w:val="24"/>
        </w:rPr>
        <w:t>–</w:t>
      </w:r>
      <w:r w:rsidRPr="00A52585">
        <w:rPr>
          <w:rFonts w:hint="cs"/>
          <w:sz w:val="24"/>
          <w:szCs w:val="24"/>
          <w:rtl/>
        </w:rPr>
        <w:t xml:space="preserve"> يشير إلى معاينة الذات الإلهية- "</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2/445</w:t>
      </w:r>
      <w:r w:rsidR="00DB731D" w:rsidRPr="00A52585">
        <w:rPr>
          <w:rFonts w:hint="cs"/>
          <w:sz w:val="24"/>
          <w:szCs w:val="24"/>
          <w:rtl/>
        </w:rPr>
        <w:t>،</w:t>
      </w:r>
      <w:r w:rsidRPr="00A52585">
        <w:rPr>
          <w:rFonts w:hint="cs"/>
          <w:sz w:val="24"/>
          <w:szCs w:val="24"/>
          <w:rtl/>
        </w:rPr>
        <w:t xml:space="preserve"> فطلب معاينة الله سبحانه وإدراكه بالحواس الجسدية المعروفة هو السبب المباشر كما نرى لإلحاد من ألحد في جميع العصور، كما أنه هو السبب أيضاً في ضلال بقية الدركات التالية كما رتبها الإمام الغزالي ترتيبا تصاعديا من </w:t>
      </w:r>
      <w:proofErr w:type="spellStart"/>
      <w:r w:rsidRPr="00A52585">
        <w:rPr>
          <w:rFonts w:hint="cs"/>
          <w:sz w:val="24"/>
          <w:szCs w:val="24"/>
          <w:rtl/>
        </w:rPr>
        <w:t>أخسها</w:t>
      </w:r>
      <w:proofErr w:type="spellEnd"/>
      <w:r w:rsidRPr="00A52585">
        <w:rPr>
          <w:rFonts w:hint="cs"/>
          <w:sz w:val="24"/>
          <w:szCs w:val="24"/>
          <w:rtl/>
        </w:rPr>
        <w:t>- الملاحدة- حتى المشبهة كل حسب درجة تعلقه بالمادة المحسوسة، أسير طبعه وحواس جسده</w:t>
      </w:r>
      <w:r w:rsidR="00DB731D" w:rsidRPr="00A52585">
        <w:rPr>
          <w:rFonts w:hint="cs"/>
          <w:sz w:val="24"/>
          <w:szCs w:val="24"/>
          <w:rtl/>
        </w:rPr>
        <w:t>،</w:t>
      </w:r>
      <w:r w:rsidRPr="00A52585">
        <w:rPr>
          <w:rFonts w:hint="cs"/>
          <w:sz w:val="24"/>
          <w:szCs w:val="24"/>
          <w:rtl/>
        </w:rPr>
        <w:t xml:space="preserve"> ثم ذكر حجة الإسلام الصنف الثاني من الملاحدة فقال</w:t>
      </w:r>
      <w:r w:rsidR="0002035C" w:rsidRPr="00A52585">
        <w:rPr>
          <w:rFonts w:hint="cs"/>
          <w:sz w:val="24"/>
          <w:szCs w:val="24"/>
          <w:rtl/>
        </w:rPr>
        <w:t>:</w:t>
      </w:r>
      <w:r w:rsidRPr="00A52585">
        <w:rPr>
          <w:rFonts w:hint="cs"/>
          <w:sz w:val="24"/>
          <w:szCs w:val="24"/>
          <w:rtl/>
        </w:rPr>
        <w:t xml:space="preserve"> " الصنف الثاني</w:t>
      </w:r>
      <w:r w:rsidR="0002035C" w:rsidRPr="00A52585">
        <w:rPr>
          <w:rFonts w:hint="cs"/>
          <w:sz w:val="24"/>
          <w:szCs w:val="24"/>
          <w:rtl/>
        </w:rPr>
        <w:t>:</w:t>
      </w:r>
      <w:r w:rsidRPr="00A52585">
        <w:rPr>
          <w:rFonts w:hint="cs"/>
          <w:sz w:val="24"/>
          <w:szCs w:val="24"/>
          <w:rtl/>
        </w:rPr>
        <w:t xml:space="preserve"> هم الذين شغلوا بأنفسهم ولم يتفرغوا لطلب السبب بل عاشوا عيشة البهائم فكان حجابهم أنفسهم </w:t>
      </w:r>
      <w:proofErr w:type="spellStart"/>
      <w:r w:rsidRPr="00A52585">
        <w:rPr>
          <w:rFonts w:hint="cs"/>
          <w:sz w:val="24"/>
          <w:szCs w:val="24"/>
          <w:rtl/>
        </w:rPr>
        <w:t>المركوزة</w:t>
      </w:r>
      <w:proofErr w:type="spellEnd"/>
      <w:r w:rsidRPr="00A52585">
        <w:rPr>
          <w:rFonts w:hint="cs"/>
          <w:sz w:val="24"/>
          <w:szCs w:val="24"/>
          <w:rtl/>
        </w:rPr>
        <w:t xml:space="preserve"> وشهواتهم المظلمة فلا ظلمة أشد من الهوى والنفس. ولذلك قال تعالى</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أَفَرَأَيْتَ مَنِ اتَّخَذَ إلهه هَوَاهُ</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الآية 23 من سورة الجاثية</w:t>
      </w:r>
      <w:r w:rsidR="0002035C" w:rsidRPr="00A52585">
        <w:rPr>
          <w:rFonts w:hint="cs"/>
          <w:sz w:val="24"/>
          <w:szCs w:val="24"/>
          <w:rtl/>
        </w:rPr>
        <w:t>]</w:t>
      </w:r>
      <w:r w:rsidRPr="00A52585">
        <w:rPr>
          <w:rFonts w:hint="cs"/>
          <w:sz w:val="24"/>
          <w:szCs w:val="24"/>
          <w:rtl/>
        </w:rPr>
        <w:t>. وقال النبي صلى الله عليه وسلم</w:t>
      </w:r>
      <w:r w:rsidR="0002035C" w:rsidRPr="00A52585">
        <w:rPr>
          <w:rFonts w:hint="cs"/>
          <w:sz w:val="24"/>
          <w:szCs w:val="24"/>
          <w:rtl/>
        </w:rPr>
        <w:t xml:space="preserve">: </w:t>
      </w:r>
      <w:r w:rsidRPr="00A52585">
        <w:rPr>
          <w:rFonts w:hint="cs"/>
          <w:sz w:val="24"/>
          <w:szCs w:val="24"/>
          <w:rtl/>
        </w:rPr>
        <w:t>" الهوى أبغض إله عبد إلى الله "</w:t>
      </w:r>
      <w:r w:rsidR="00DB731D" w:rsidRPr="00A52585">
        <w:rPr>
          <w:rFonts w:hint="cs"/>
          <w:sz w:val="24"/>
          <w:szCs w:val="24"/>
          <w:rtl/>
        </w:rPr>
        <w:t>،</w:t>
      </w:r>
      <w:r w:rsidRPr="00A52585">
        <w:rPr>
          <w:rFonts w:hint="cs"/>
          <w:sz w:val="24"/>
          <w:szCs w:val="24"/>
          <w:rtl/>
        </w:rPr>
        <w:t xml:space="preserve"> وهؤلاء ينقسمون فرقاً</w:t>
      </w:r>
      <w:r w:rsidR="0002035C" w:rsidRPr="00A52585">
        <w:rPr>
          <w:rFonts w:hint="cs"/>
          <w:sz w:val="24"/>
          <w:szCs w:val="24"/>
          <w:rtl/>
        </w:rPr>
        <w:t>:</w:t>
      </w:r>
      <w:r w:rsidRPr="00A52585">
        <w:rPr>
          <w:rFonts w:hint="cs"/>
          <w:sz w:val="24"/>
          <w:szCs w:val="24"/>
          <w:rtl/>
        </w:rPr>
        <w:t xml:space="preserve"> ففرقة زعمت أن غاية المطلب من الدنيا هي قضاء الأوطار ونيل الشهوات وإدراك اللذات البهيمية من منكح ومطعم ومشرب وملبس، فهؤلاء عبيد اللذة يعبدونها ويطلبونها ويعتقدون أن نيلها غاية السعادة رضوا لأنفسهم بأن يكونوا بمنزلة البهائم بل كيلا ينظر الناس إليهم بعـــين الحقـارة</w:t>
      </w:r>
      <w:r w:rsidR="00DB731D" w:rsidRPr="00A52585">
        <w:rPr>
          <w:rFonts w:hint="cs"/>
          <w:sz w:val="24"/>
          <w:szCs w:val="24"/>
          <w:rtl/>
        </w:rPr>
        <w:t>،</w:t>
      </w:r>
      <w:r w:rsidRPr="00A52585">
        <w:rPr>
          <w:rFonts w:hint="cs"/>
          <w:sz w:val="24"/>
          <w:szCs w:val="24"/>
          <w:rtl/>
        </w:rPr>
        <w:t xml:space="preserve"> وهـــؤلاء الأصناف لا يحصون وكلهم محجوبون عن الله بمحض الظلمة وهي نفوسهم المظلمة، ولا معنى لذكر آحاد الفرق بعد وقوع التنبيه على الأجناس، ويدخل في جملة هؤلاء جماعة يقولون بلسانهم لا إله إلا الله ولكن ربما حمله على ذلك خوف، أو استظهار بالمسلمين أو تجمل بهم، أو استمداد من مالهم، أو لأجل التعصب لنصرة مذهب الآباء، وهؤلاء إذ لم تحملهم هذه الكلمة على العمل الصالح فلا تخرجهم من الظلمات إلى النور بل أولياؤهم الطاغوت يخرجونهم من النور إلى الظلمات فأما من أثرت فيه الكلمة بحيث </w:t>
      </w:r>
      <w:proofErr w:type="spellStart"/>
      <w:r w:rsidRPr="00A52585">
        <w:rPr>
          <w:rFonts w:hint="cs"/>
          <w:sz w:val="24"/>
          <w:szCs w:val="24"/>
          <w:rtl/>
        </w:rPr>
        <w:t>ساءته</w:t>
      </w:r>
      <w:proofErr w:type="spellEnd"/>
      <w:r w:rsidRPr="00A52585">
        <w:rPr>
          <w:rFonts w:hint="cs"/>
          <w:sz w:val="24"/>
          <w:szCs w:val="24"/>
          <w:rtl/>
        </w:rPr>
        <w:t xml:space="preserve"> سيئاته وسرته </w:t>
      </w:r>
      <w:r w:rsidRPr="00A52585">
        <w:rPr>
          <w:rFonts w:hint="cs"/>
          <w:sz w:val="24"/>
          <w:szCs w:val="24"/>
          <w:rtl/>
        </w:rPr>
        <w:lastRenderedPageBreak/>
        <w:t>حسناته فهو خارج عن محض الظلمة وإن كان كثير المعصية</w:t>
      </w:r>
      <w:r w:rsidR="00DB731D" w:rsidRPr="00A52585">
        <w:rPr>
          <w:rFonts w:hint="cs"/>
          <w:sz w:val="24"/>
          <w:szCs w:val="24"/>
          <w:rtl/>
        </w:rPr>
        <w:t>،</w:t>
      </w:r>
      <w:r w:rsidRPr="00A52585">
        <w:rPr>
          <w:rFonts w:hint="cs"/>
          <w:sz w:val="24"/>
          <w:szCs w:val="24"/>
          <w:rtl/>
        </w:rPr>
        <w:t xml:space="preserve"> ثم قال حجة الإسلام</w:t>
      </w:r>
      <w:r w:rsidR="0002035C"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القسم الثاني</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طائفة حجبوا بنور مقرون بظلمة وهم ثلاثة أصناف</w:t>
      </w:r>
      <w:r w:rsidR="0002035C" w:rsidRPr="00A52585">
        <w:rPr>
          <w:rFonts w:hint="cs"/>
          <w:sz w:val="24"/>
          <w:szCs w:val="24"/>
          <w:rtl/>
        </w:rPr>
        <w:t>:</w:t>
      </w:r>
      <w:r w:rsidRPr="00A52585">
        <w:rPr>
          <w:rFonts w:hint="cs"/>
          <w:sz w:val="24"/>
          <w:szCs w:val="24"/>
          <w:rtl/>
        </w:rPr>
        <w:t xml:space="preserve"> صنف منشأ ظلمتهم من </w:t>
      </w:r>
      <w:r w:rsidRPr="00A52585">
        <w:rPr>
          <w:rFonts w:hint="cs"/>
          <w:bCs/>
          <w:sz w:val="24"/>
          <w:szCs w:val="24"/>
          <w:rtl/>
        </w:rPr>
        <w:t>الحس</w:t>
      </w:r>
      <w:r w:rsidRPr="00A52585">
        <w:rPr>
          <w:rFonts w:hint="cs"/>
          <w:sz w:val="24"/>
          <w:szCs w:val="24"/>
          <w:rtl/>
        </w:rPr>
        <w:t xml:space="preserve">، وصنف منشأ ظلمتهم من </w:t>
      </w:r>
      <w:r w:rsidRPr="00A52585">
        <w:rPr>
          <w:rFonts w:hint="cs"/>
          <w:bCs/>
          <w:sz w:val="24"/>
          <w:szCs w:val="24"/>
          <w:rtl/>
        </w:rPr>
        <w:t>الخيال</w:t>
      </w:r>
      <w:r w:rsidRPr="00A52585">
        <w:rPr>
          <w:rFonts w:hint="cs"/>
          <w:sz w:val="24"/>
          <w:szCs w:val="24"/>
          <w:rtl/>
        </w:rPr>
        <w:t xml:space="preserve">، وصنف منشأ ظلمتهم من </w:t>
      </w:r>
      <w:proofErr w:type="spellStart"/>
      <w:r w:rsidRPr="00A52585">
        <w:rPr>
          <w:rFonts w:hint="cs"/>
          <w:bCs/>
          <w:sz w:val="24"/>
          <w:szCs w:val="24"/>
          <w:rtl/>
        </w:rPr>
        <w:t>مقايسات</w:t>
      </w:r>
      <w:proofErr w:type="spellEnd"/>
      <w:r w:rsidRPr="00A52585">
        <w:rPr>
          <w:rFonts w:hint="cs"/>
          <w:bCs/>
          <w:sz w:val="24"/>
          <w:szCs w:val="24"/>
          <w:rtl/>
        </w:rPr>
        <w:t xml:space="preserve"> عقلية فاسدة</w:t>
      </w:r>
      <w:r w:rsidR="00DB731D" w:rsidRPr="00A52585">
        <w:rPr>
          <w:rFonts w:hint="cs"/>
          <w:sz w:val="24"/>
          <w:szCs w:val="24"/>
          <w:rtl/>
        </w:rPr>
        <w:t>،</w:t>
      </w:r>
      <w:r w:rsidRPr="00A52585">
        <w:rPr>
          <w:rFonts w:hint="cs"/>
          <w:sz w:val="24"/>
          <w:szCs w:val="24"/>
          <w:rtl/>
        </w:rPr>
        <w:t xml:space="preserve"> الصنف الأول</w:t>
      </w:r>
      <w:r w:rsidR="0002035C" w:rsidRPr="00A52585">
        <w:rPr>
          <w:rFonts w:hint="cs"/>
          <w:sz w:val="24"/>
          <w:szCs w:val="24"/>
          <w:rtl/>
        </w:rPr>
        <w:t>:</w:t>
      </w:r>
      <w:r w:rsidRPr="00A52585">
        <w:rPr>
          <w:rFonts w:hint="cs"/>
          <w:sz w:val="24"/>
          <w:szCs w:val="24"/>
          <w:rtl/>
        </w:rPr>
        <w:t xml:space="preserve"> المحجوبون </w:t>
      </w:r>
      <w:r w:rsidRPr="00A52585">
        <w:rPr>
          <w:rFonts w:hint="cs"/>
          <w:bCs/>
          <w:sz w:val="24"/>
          <w:szCs w:val="24"/>
          <w:rtl/>
        </w:rPr>
        <w:t>بالظلمة الحسية</w:t>
      </w:r>
      <w:r w:rsidRPr="00A52585">
        <w:rPr>
          <w:rFonts w:hint="cs"/>
          <w:sz w:val="24"/>
          <w:szCs w:val="24"/>
          <w:rtl/>
        </w:rPr>
        <w:t xml:space="preserve"> وهم طوائف لا يخلو واحد منهم عن مجاوزة الالتفات إلى نفسه وعن التأله والتشوق إلى معرفة ربه، وأول درجاتهم عبدة الأوثان وآخرهم </w:t>
      </w:r>
      <w:proofErr w:type="spellStart"/>
      <w:r w:rsidRPr="00A52585">
        <w:rPr>
          <w:rFonts w:hint="cs"/>
          <w:sz w:val="24"/>
          <w:szCs w:val="24"/>
          <w:rtl/>
        </w:rPr>
        <w:t>الثنوية</w:t>
      </w:r>
      <w:proofErr w:type="spellEnd"/>
      <w:r w:rsidRPr="00A52585">
        <w:rPr>
          <w:rFonts w:hint="cs"/>
          <w:sz w:val="24"/>
          <w:szCs w:val="24"/>
          <w:rtl/>
        </w:rPr>
        <w:t xml:space="preserve"> وبينهما درجات</w:t>
      </w:r>
      <w:r w:rsidR="00DB731D" w:rsidRPr="00A52585">
        <w:rPr>
          <w:rFonts w:hint="cs"/>
          <w:sz w:val="24"/>
          <w:szCs w:val="24"/>
          <w:rtl/>
        </w:rPr>
        <w:t>،</w:t>
      </w:r>
      <w:r w:rsidRPr="00A52585">
        <w:rPr>
          <w:rFonts w:hint="cs"/>
          <w:sz w:val="24"/>
          <w:szCs w:val="24"/>
          <w:rtl/>
        </w:rPr>
        <w:t xml:space="preserve"> الطائفة الأولى</w:t>
      </w:r>
      <w:r w:rsidR="0002035C" w:rsidRPr="00A52585">
        <w:rPr>
          <w:rFonts w:hint="cs"/>
          <w:sz w:val="24"/>
          <w:szCs w:val="24"/>
          <w:rtl/>
        </w:rPr>
        <w:t>:</w:t>
      </w:r>
      <w:r w:rsidRPr="00A52585">
        <w:rPr>
          <w:rFonts w:hint="cs"/>
          <w:sz w:val="24"/>
          <w:szCs w:val="24"/>
          <w:rtl/>
        </w:rPr>
        <w:t xml:space="preserve"> عبدة الأوثان علموا في الجملة أن لهم رباً يلزمهم إيثاره على نفوسهم المظلمة واعتقدوا أن ربهم أعز من كل شيء وأنفس من كل نفيس، ولكن حجبتهم ظلمة الحس عن أن يتجاوزوا المحسوس فاتخذوا من أنفس الجوهر كالذهب والفضة والياقوت أشخاصاً مصورة بأحسن الصور واتخذوها آلهة، فهؤلاء محجوبون بنور العزة والجمال من صفات الله وأنواره، ولكنهم ألصقوها بالأجسام المحسوس وصدهم عن ذلك النور ظلمة الحس، فإن الحس ظلمة بالإضافة إلى العالم الروحاني كما سبق "</w:t>
      </w:r>
      <w:r w:rsidR="00DB731D" w:rsidRPr="00A52585">
        <w:rPr>
          <w:rFonts w:hint="cs"/>
          <w:sz w:val="24"/>
          <w:szCs w:val="24"/>
          <w:rtl/>
        </w:rPr>
        <w:t>،</w:t>
      </w:r>
      <w:r w:rsidRPr="00A52585">
        <w:rPr>
          <w:rFonts w:hint="cs"/>
          <w:sz w:val="24"/>
          <w:szCs w:val="24"/>
          <w:rtl/>
        </w:rPr>
        <w:t xml:space="preserve"> ثم ذكر رضي الله عنه من طوائف هذا القسم من عبدوا الجمَال ثم النار ثم النجوم </w:t>
      </w:r>
      <w:r w:rsidRPr="00A52585">
        <w:rPr>
          <w:sz w:val="24"/>
          <w:szCs w:val="24"/>
        </w:rPr>
        <w:t>…</w:t>
      </w:r>
      <w:r w:rsidRPr="00A52585">
        <w:rPr>
          <w:rFonts w:hint="cs"/>
          <w:sz w:val="24"/>
          <w:szCs w:val="24"/>
          <w:rtl/>
        </w:rPr>
        <w:t xml:space="preserve"> إلخ ستة طوائف وكلهم منشأ ظلمتهم من الحس</w:t>
      </w:r>
      <w:r w:rsidR="00DB731D" w:rsidRPr="00A52585">
        <w:rPr>
          <w:rFonts w:hint="cs"/>
          <w:sz w:val="24"/>
          <w:szCs w:val="24"/>
          <w:rtl/>
        </w:rPr>
        <w:t>،</w:t>
      </w:r>
      <w:r w:rsidRPr="00A52585">
        <w:rPr>
          <w:rFonts w:hint="cs"/>
          <w:sz w:val="24"/>
          <w:szCs w:val="24"/>
          <w:rtl/>
        </w:rPr>
        <w:t xml:space="preserve"> ثم قال</w:t>
      </w:r>
      <w:r w:rsidR="0002035C" w:rsidRPr="00A52585">
        <w:rPr>
          <w:rFonts w:hint="cs"/>
          <w:sz w:val="24"/>
          <w:szCs w:val="24"/>
          <w:rtl/>
        </w:rPr>
        <w:t xml:space="preserve">: </w:t>
      </w:r>
      <w:r w:rsidRPr="00A52585">
        <w:rPr>
          <w:rFonts w:hint="cs"/>
          <w:sz w:val="24"/>
          <w:szCs w:val="24"/>
          <w:rtl/>
        </w:rPr>
        <w:t>" الصنف الثاني</w:t>
      </w:r>
      <w:r w:rsidR="0002035C" w:rsidRPr="00A52585">
        <w:rPr>
          <w:rFonts w:hint="cs"/>
          <w:sz w:val="24"/>
          <w:szCs w:val="24"/>
          <w:rtl/>
        </w:rPr>
        <w:t>:</w:t>
      </w:r>
      <w:r w:rsidRPr="00A52585">
        <w:rPr>
          <w:rFonts w:hint="cs"/>
          <w:sz w:val="24"/>
          <w:szCs w:val="24"/>
          <w:rtl/>
        </w:rPr>
        <w:t xml:space="preserve"> المحجوبون ببعض الأنوار مقروناً </w:t>
      </w:r>
      <w:r w:rsidRPr="00A52585">
        <w:rPr>
          <w:rFonts w:hint="cs"/>
          <w:bCs/>
          <w:sz w:val="24"/>
          <w:szCs w:val="24"/>
          <w:rtl/>
        </w:rPr>
        <w:t xml:space="preserve">بظلمة الخيال وهم الذين جاوزوا الحس وأثبتوا وراء المحسوسات أمراً، لكنهم لم يمكنهم مجاوزة الخيال فعبدوا موجوداً قاعداً على العرش </w:t>
      </w:r>
      <w:proofErr w:type="spellStart"/>
      <w:r w:rsidRPr="00A52585">
        <w:rPr>
          <w:rFonts w:hint="cs"/>
          <w:bCs/>
          <w:sz w:val="24"/>
          <w:szCs w:val="24"/>
          <w:rtl/>
        </w:rPr>
        <w:t>وأخسهـم</w:t>
      </w:r>
      <w:proofErr w:type="spellEnd"/>
      <w:r w:rsidRPr="00A52585">
        <w:rPr>
          <w:rFonts w:hint="cs"/>
          <w:bCs/>
          <w:sz w:val="24"/>
          <w:szCs w:val="24"/>
          <w:rtl/>
        </w:rPr>
        <w:t xml:space="preserve"> رتـبة المجسمــة، ثم أصناف الكرامـية بأجمعهـــم، </w:t>
      </w:r>
      <w:r w:rsidRPr="00A52585">
        <w:rPr>
          <w:rFonts w:hint="cs"/>
          <w:sz w:val="24"/>
          <w:szCs w:val="24"/>
          <w:rtl/>
        </w:rPr>
        <w:t>ولا يمكنني شــرح مقالاتهم ومذاهبهم فلا فائدة للتكثير،</w:t>
      </w:r>
      <w:r w:rsidRPr="00A52585">
        <w:rPr>
          <w:rFonts w:hint="cs"/>
          <w:bCs/>
          <w:sz w:val="24"/>
          <w:szCs w:val="24"/>
          <w:rtl/>
        </w:rPr>
        <w:t xml:space="preserve"> ولكن أرفعهم درجة من نفى الجسمية وجميع عوارضها إلا الجهة المخصوصة بجهة فوق لأن الذي لا ينسب إلى الجهة ولا يوصف بأنه خارج العالم ولا داخله لم يكن عندهم موجوداً، إذ لم يكن متخيلاً ولم يدركوا أن أول درجات المعقولات تجاوز النسبة إلى الجهات </w:t>
      </w:r>
      <w:proofErr w:type="spellStart"/>
      <w:r w:rsidRPr="00A52585">
        <w:rPr>
          <w:rFonts w:hint="cs"/>
          <w:bCs/>
          <w:sz w:val="24"/>
          <w:szCs w:val="24"/>
          <w:rtl/>
        </w:rPr>
        <w:t>والحيزة</w:t>
      </w:r>
      <w:proofErr w:type="spellEnd"/>
      <w:r w:rsidR="00DB731D" w:rsidRPr="00A52585">
        <w:rPr>
          <w:rFonts w:hint="cs"/>
          <w:sz w:val="24"/>
          <w:szCs w:val="24"/>
          <w:rtl/>
        </w:rPr>
        <w:t>،</w:t>
      </w:r>
      <w:r w:rsidRPr="00A52585">
        <w:rPr>
          <w:rFonts w:hint="cs"/>
          <w:sz w:val="24"/>
          <w:szCs w:val="24"/>
          <w:rtl/>
        </w:rPr>
        <w:t xml:space="preserve"> </w:t>
      </w:r>
      <w:r w:rsidR="0002035C" w:rsidRPr="00A52585">
        <w:rPr>
          <w:rFonts w:hint="cs"/>
          <w:spacing w:val="-6"/>
          <w:sz w:val="24"/>
          <w:szCs w:val="24"/>
          <w:rtl/>
        </w:rPr>
        <w:t>(</w:t>
      </w:r>
      <w:r w:rsidRPr="00A52585">
        <w:rPr>
          <w:rFonts w:hint="cs"/>
          <w:spacing w:val="-6"/>
          <w:sz w:val="24"/>
          <w:szCs w:val="24"/>
          <w:rtl/>
        </w:rPr>
        <w:t>قلت</w:t>
      </w:r>
      <w:r w:rsidR="0002035C" w:rsidRPr="00A52585">
        <w:rPr>
          <w:rFonts w:hint="cs"/>
          <w:spacing w:val="-6"/>
          <w:sz w:val="24"/>
          <w:szCs w:val="24"/>
          <w:rtl/>
        </w:rPr>
        <w:t>):</w:t>
      </w:r>
      <w:r w:rsidRPr="00A52585">
        <w:rPr>
          <w:rFonts w:hint="cs"/>
          <w:spacing w:val="-6"/>
          <w:sz w:val="24"/>
          <w:szCs w:val="24"/>
          <w:rtl/>
        </w:rPr>
        <w:t xml:space="preserve"> والخيال </w:t>
      </w:r>
      <w:r w:rsidRPr="00A52585">
        <w:rPr>
          <w:spacing w:val="-6"/>
          <w:sz w:val="24"/>
          <w:szCs w:val="24"/>
        </w:rPr>
        <w:t>–</w:t>
      </w:r>
      <w:r w:rsidRPr="00A52585">
        <w:rPr>
          <w:rFonts w:hint="cs"/>
          <w:spacing w:val="-6"/>
          <w:sz w:val="24"/>
          <w:szCs w:val="24"/>
          <w:rtl/>
        </w:rPr>
        <w:t xml:space="preserve"> كما يقول الفخر الرازي </w:t>
      </w:r>
      <w:r w:rsidRPr="00A52585">
        <w:rPr>
          <w:spacing w:val="-6"/>
          <w:sz w:val="24"/>
          <w:szCs w:val="24"/>
        </w:rPr>
        <w:t>–</w:t>
      </w:r>
      <w:r w:rsidRPr="00A52585">
        <w:rPr>
          <w:rFonts w:hint="cs"/>
          <w:spacing w:val="-6"/>
          <w:sz w:val="24"/>
          <w:szCs w:val="24"/>
          <w:rtl/>
        </w:rPr>
        <w:t xml:space="preserve"> هو عبارة عن الصور الباقية عن المحسوس بعد غيبته</w:t>
      </w:r>
      <w:r w:rsidR="00DB731D" w:rsidRPr="00A52585">
        <w:rPr>
          <w:rFonts w:hint="cs"/>
          <w:spacing w:val="-6"/>
          <w:sz w:val="24"/>
          <w:szCs w:val="24"/>
          <w:rtl/>
        </w:rPr>
        <w:t>،</w:t>
      </w:r>
      <w:r w:rsidRPr="00A52585">
        <w:rPr>
          <w:rFonts w:hint="cs"/>
          <w:spacing w:val="-6"/>
          <w:sz w:val="24"/>
          <w:szCs w:val="24"/>
          <w:rtl/>
        </w:rPr>
        <w:t xml:space="preserve"> </w:t>
      </w:r>
      <w:r w:rsidRPr="00A52585">
        <w:rPr>
          <w:rFonts w:hint="cs"/>
          <w:sz w:val="24"/>
          <w:szCs w:val="24"/>
          <w:rtl/>
        </w:rPr>
        <w:t>لذا صرح أهل الحق بأن هذا الصنف هو من بقايا عباد الأصنام ثم قال</w:t>
      </w:r>
      <w:r w:rsidR="0002035C" w:rsidRPr="00A52585">
        <w:rPr>
          <w:rFonts w:hint="cs"/>
          <w:sz w:val="24"/>
          <w:szCs w:val="24"/>
          <w:rtl/>
        </w:rPr>
        <w:t xml:space="preserve">: </w:t>
      </w:r>
      <w:r w:rsidRPr="00A52585">
        <w:rPr>
          <w:rFonts w:hint="cs"/>
          <w:sz w:val="24"/>
          <w:szCs w:val="24"/>
          <w:rtl/>
        </w:rPr>
        <w:t>" الصنف الثالث</w:t>
      </w:r>
      <w:r w:rsidR="0002035C" w:rsidRPr="00A52585">
        <w:rPr>
          <w:rFonts w:hint="cs"/>
          <w:sz w:val="24"/>
          <w:szCs w:val="24"/>
          <w:rtl/>
        </w:rPr>
        <w:t>:</w:t>
      </w:r>
      <w:r w:rsidRPr="00A52585">
        <w:rPr>
          <w:rFonts w:hint="cs"/>
          <w:sz w:val="24"/>
          <w:szCs w:val="24"/>
          <w:rtl/>
        </w:rPr>
        <w:t xml:space="preserve"> المحجوبون بالأنوار الإلهية مقرونة </w:t>
      </w:r>
      <w:proofErr w:type="spellStart"/>
      <w:r w:rsidRPr="00A52585">
        <w:rPr>
          <w:rFonts w:hint="cs"/>
          <w:sz w:val="24"/>
          <w:szCs w:val="24"/>
          <w:rtl/>
        </w:rPr>
        <w:t>بمقايسات</w:t>
      </w:r>
      <w:proofErr w:type="spellEnd"/>
      <w:r w:rsidRPr="00A52585">
        <w:rPr>
          <w:rFonts w:hint="cs"/>
          <w:sz w:val="24"/>
          <w:szCs w:val="24"/>
          <w:rtl/>
        </w:rPr>
        <w:t xml:space="preserve"> عقلية فاسدة مظلمة فعبدوا إلهاً سمعياً بصيراً عالماً قادراً مريداً حياً منزهاً عن الجهات، لكنهم فهموا هذه الصفات على حسب مناسبة صفاتهم، وربما صرح بعضهم فقال كلامه حروف وأصوات ككلامنا، وربما ترقى بعضهم فقال</w:t>
      </w:r>
      <w:r w:rsidR="0002035C" w:rsidRPr="00A52585">
        <w:rPr>
          <w:rFonts w:hint="cs"/>
          <w:sz w:val="24"/>
          <w:szCs w:val="24"/>
          <w:rtl/>
        </w:rPr>
        <w:t>:</w:t>
      </w:r>
      <w:r w:rsidRPr="00A52585">
        <w:rPr>
          <w:rFonts w:hint="cs"/>
          <w:sz w:val="24"/>
          <w:szCs w:val="24"/>
          <w:rtl/>
        </w:rPr>
        <w:t xml:space="preserve"> لا بل هو كحديث نفسنا ولا حرف ولا صوت، وكذلك إذا طولبوا بحقيقة السمع والبصر والحياة رجعوا إلى التشبيه من حيث المعنى وإن أنكروها باللفظ إذ لم يدركوا أصلاً معاني هذه الإطلاقات في حق الله تعالى، ولذلك قالوا في إرادته إنها حادثة مثل إرادتنا وإنه طلب وقصد مثل قصدنا </w:t>
      </w:r>
      <w:r w:rsidRPr="00A52585">
        <w:rPr>
          <w:sz w:val="24"/>
          <w:szCs w:val="24"/>
        </w:rPr>
        <w:t>…</w:t>
      </w:r>
      <w:r w:rsidRPr="00A52585">
        <w:rPr>
          <w:rFonts w:hint="cs"/>
          <w:sz w:val="24"/>
          <w:szCs w:val="24"/>
          <w:rtl/>
        </w:rPr>
        <w:t xml:space="preserve"> "</w:t>
      </w:r>
      <w:r w:rsidR="00DB731D" w:rsidRPr="00A52585">
        <w:rPr>
          <w:rFonts w:hint="cs"/>
          <w:sz w:val="24"/>
          <w:szCs w:val="24"/>
          <w:rtl/>
        </w:rPr>
        <w:t>،</w:t>
      </w:r>
      <w:r w:rsidRPr="00A52585">
        <w:rPr>
          <w:rFonts w:hint="cs"/>
          <w:sz w:val="24"/>
          <w:szCs w:val="24"/>
          <w:rtl/>
        </w:rPr>
        <w:t xml:space="preserve"> من (مشكاة الأنوار) ضمن مجموعة رسائل الإمام الغزالي ج4 ص 28 إلى 31ط العلمية </w:t>
      </w:r>
      <w:proofErr w:type="spellStart"/>
      <w:r w:rsidRPr="00A52585">
        <w:rPr>
          <w:rFonts w:hint="cs"/>
          <w:sz w:val="24"/>
          <w:szCs w:val="24"/>
          <w:rtl/>
        </w:rPr>
        <w:t>أ.ه</w:t>
      </w:r>
      <w:proofErr w:type="spellEnd"/>
      <w:r w:rsidRPr="00A52585">
        <w:rPr>
          <w:rFonts w:hint="cs"/>
          <w:sz w:val="24"/>
          <w:szCs w:val="24"/>
          <w:rtl/>
        </w:rPr>
        <w:t>ـ المقصود منه والصنف الثالث وقعوا في التشبيه وقالوا بقيام الحوادث بذات الله</w:t>
      </w:r>
      <w:r w:rsidR="0002035C" w:rsidRPr="00A52585">
        <w:rPr>
          <w:rFonts w:hint="cs"/>
          <w:sz w:val="24"/>
          <w:szCs w:val="24"/>
          <w:rtl/>
        </w:rPr>
        <w:t xml:space="preserve"> </w:t>
      </w:r>
      <w:r w:rsidRPr="00A52585">
        <w:rPr>
          <w:rFonts w:hint="cs"/>
          <w:sz w:val="24"/>
          <w:szCs w:val="24"/>
          <w:rtl/>
        </w:rPr>
        <w:t xml:space="preserve">تعالى عما يقولون </w:t>
      </w:r>
      <w:r w:rsidRPr="00A52585">
        <w:rPr>
          <w:sz w:val="24"/>
          <w:szCs w:val="24"/>
        </w:rPr>
        <w:t>–</w:t>
      </w:r>
      <w:r w:rsidRPr="00A52585">
        <w:rPr>
          <w:rFonts w:hint="cs"/>
          <w:sz w:val="24"/>
          <w:szCs w:val="24"/>
          <w:rtl/>
        </w:rPr>
        <w:t xml:space="preserve"> جميعا </w:t>
      </w:r>
      <w:r w:rsidRPr="00A52585">
        <w:rPr>
          <w:sz w:val="24"/>
          <w:szCs w:val="24"/>
        </w:rPr>
        <w:t>–</w:t>
      </w:r>
      <w:r w:rsidRPr="00A52585">
        <w:rPr>
          <w:rFonts w:hint="cs"/>
          <w:sz w:val="24"/>
          <w:szCs w:val="24"/>
          <w:rtl/>
        </w:rPr>
        <w:t xml:space="preserve"> علوا كبيراً</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وهنا ملحوظتان هامتان</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الأولى</w:t>
      </w:r>
      <w:r w:rsidR="0002035C" w:rsidRPr="00A52585">
        <w:rPr>
          <w:rFonts w:hint="cs"/>
          <w:sz w:val="24"/>
          <w:szCs w:val="24"/>
          <w:rtl/>
        </w:rPr>
        <w:t>):</w:t>
      </w:r>
      <w:r w:rsidRPr="00A52585">
        <w:rPr>
          <w:rFonts w:hint="cs"/>
          <w:sz w:val="24"/>
          <w:szCs w:val="24"/>
          <w:rtl/>
        </w:rPr>
        <w:t xml:space="preserve"> أن أول درجات الهداية هي الخروج من أسر الحس والمادة بأن يأخذ من محسوساته ما يستدل به على ما غاب عن حسه وإدراكه</w:t>
      </w:r>
      <w:r w:rsidR="00DB731D" w:rsidRPr="00A52585">
        <w:rPr>
          <w:rFonts w:hint="cs"/>
          <w:sz w:val="24"/>
          <w:szCs w:val="24"/>
          <w:rtl/>
        </w:rPr>
        <w:t>،</w:t>
      </w:r>
      <w:r w:rsidRPr="00A52585">
        <w:rPr>
          <w:rFonts w:hint="cs"/>
          <w:sz w:val="24"/>
          <w:szCs w:val="24"/>
          <w:rtl/>
        </w:rPr>
        <w:t xml:space="preserve"> قال تعالى</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ألم. ذلك الكتاب لا ريب فيه. هدى للمتقين. الذين يؤمنون بالغيب..</w:t>
      </w:r>
      <w:r w:rsidR="0002035C" w:rsidRPr="00A52585">
        <w:rPr>
          <w:rFonts w:hint="cs"/>
          <w:sz w:val="24"/>
          <w:szCs w:val="24"/>
          <w:rtl/>
        </w:rPr>
        <w:t>}</w:t>
      </w:r>
      <w:r w:rsidRPr="00A52585">
        <w:rPr>
          <w:rFonts w:hint="cs"/>
          <w:sz w:val="24"/>
          <w:szCs w:val="24"/>
          <w:rtl/>
        </w:rPr>
        <w:t xml:space="preserve"> الآيات 1-3 من سورة البقرة</w:t>
      </w:r>
      <w:r w:rsidR="00DB731D" w:rsidRPr="00A52585">
        <w:rPr>
          <w:rFonts w:hint="cs"/>
          <w:sz w:val="24"/>
          <w:szCs w:val="24"/>
          <w:rtl/>
        </w:rPr>
        <w:t>،</w:t>
      </w:r>
      <w:r w:rsidRPr="00A52585">
        <w:rPr>
          <w:rFonts w:hint="cs"/>
          <w:sz w:val="24"/>
          <w:szCs w:val="24"/>
          <w:rtl/>
        </w:rPr>
        <w:t xml:space="preserve"> فالإيمان بالغيب يقتضي الإيمان بالمغيبات وفي حال كونها غيبا عن الإدراك والشعور</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الثانيــة</w:t>
      </w:r>
      <w:r w:rsidR="0002035C" w:rsidRPr="00A52585">
        <w:rPr>
          <w:rFonts w:hint="cs"/>
          <w:sz w:val="24"/>
          <w:szCs w:val="24"/>
          <w:rtl/>
        </w:rPr>
        <w:t>):</w:t>
      </w:r>
      <w:r w:rsidRPr="00A52585">
        <w:rPr>
          <w:rFonts w:hint="cs"/>
          <w:sz w:val="24"/>
          <w:szCs w:val="24"/>
          <w:rtl/>
        </w:rPr>
        <w:t xml:space="preserve"> أن الإنسان في دار الدنيا متعلق بالمحســوسات ومرتبط بها نتيجة ما ركب فيه من شهوات قسراً يحركها الشيطان فما لم يشتغل بتعظيم ربه وتنزيهه فسينحدر في الدركات حتما واحدة تلو أخرى. يقول العلامة علي بن أحمد </w:t>
      </w:r>
      <w:proofErr w:type="spellStart"/>
      <w:r w:rsidRPr="00A52585">
        <w:rPr>
          <w:rFonts w:hint="cs"/>
          <w:sz w:val="24"/>
          <w:szCs w:val="24"/>
          <w:rtl/>
        </w:rPr>
        <w:t>المهايمي</w:t>
      </w:r>
      <w:proofErr w:type="spellEnd"/>
      <w:r w:rsidRPr="00A52585">
        <w:rPr>
          <w:rFonts w:hint="cs"/>
          <w:sz w:val="24"/>
          <w:szCs w:val="24"/>
          <w:rtl/>
        </w:rPr>
        <w:t xml:space="preserve"> في تفسيره لسورة التين</w:t>
      </w:r>
      <w:r w:rsidR="0002035C" w:rsidRPr="00A52585">
        <w:rPr>
          <w:rFonts w:hint="cs"/>
          <w:sz w:val="24"/>
          <w:szCs w:val="24"/>
          <w:rtl/>
        </w:rPr>
        <w:t xml:space="preserve">: </w:t>
      </w:r>
      <w:r w:rsidRPr="00A52585">
        <w:rPr>
          <w:rFonts w:hint="cs"/>
          <w:sz w:val="24"/>
          <w:szCs w:val="24"/>
          <w:rtl/>
        </w:rPr>
        <w:t>" {لقد خلــقنا الإنسان في أحسن تقويم</w:t>
      </w:r>
      <w:r w:rsidR="0002035C" w:rsidRPr="00A52585">
        <w:rPr>
          <w:rFonts w:hint="cs"/>
          <w:sz w:val="24"/>
          <w:szCs w:val="24"/>
          <w:rtl/>
        </w:rPr>
        <w:t xml:space="preserve">} </w:t>
      </w:r>
      <w:r w:rsidRPr="00A52585">
        <w:rPr>
          <w:rFonts w:hint="cs"/>
          <w:sz w:val="24"/>
          <w:szCs w:val="24"/>
          <w:rtl/>
        </w:rPr>
        <w:t xml:space="preserve">أي جامـــع لمقومات الأشياء روحا وجسما على أحسن الوجوه {ثم رددناه} أي جميع أفراده من أعلى المراتب التي كانت له لو غلّب عقله على سائر قواه {أسفل سافلين} رتبة أنزل من </w:t>
      </w:r>
      <w:r w:rsidRPr="00A52585">
        <w:rPr>
          <w:rFonts w:hint="cs"/>
          <w:sz w:val="24"/>
          <w:szCs w:val="24"/>
          <w:rtl/>
        </w:rPr>
        <w:lastRenderedPageBreak/>
        <w:t>رتبة البهائم {إلا الذين آمنوا} فغلبوا عقولهم على شهواتهم وغضبهم فجاهدوا بذلك سائر القوى {فلهم أجر غير ممنون} أي غير مقطوع بقطع المجاهدة عند استقامة قواهم فلا يزالون يرتفعون أعلى مما كانوا في الرتبة العالية</w:t>
      </w:r>
      <w:r w:rsidR="00DB731D" w:rsidRPr="00A52585">
        <w:rPr>
          <w:rFonts w:hint="cs"/>
          <w:sz w:val="24"/>
          <w:szCs w:val="24"/>
          <w:rtl/>
        </w:rPr>
        <w:t>،</w:t>
      </w:r>
      <w:r w:rsidRPr="00A52585">
        <w:rPr>
          <w:rFonts w:hint="cs"/>
          <w:sz w:val="24"/>
          <w:szCs w:val="24"/>
          <w:rtl/>
        </w:rPr>
        <w:t xml:space="preserve"> فعلم من هذا أن الدين إنما هو تغليب العقل على سائر القوى بعد استنارته بنور الشرع. فهذه مقدمة قطعية في تصديق الدين </w:t>
      </w:r>
      <w:r w:rsidR="0002035C" w:rsidRPr="00A52585">
        <w:rPr>
          <w:rFonts w:hint="cs"/>
          <w:sz w:val="24"/>
          <w:szCs w:val="24"/>
          <w:rtl/>
        </w:rPr>
        <w:t>{</w:t>
      </w:r>
      <w:r w:rsidRPr="00A52585">
        <w:rPr>
          <w:rFonts w:hint="cs"/>
          <w:sz w:val="24"/>
          <w:szCs w:val="24"/>
          <w:rtl/>
        </w:rPr>
        <w:t>فما</w:t>
      </w:r>
      <w:r w:rsidR="0002035C" w:rsidRPr="00A52585">
        <w:rPr>
          <w:rFonts w:hint="cs"/>
          <w:sz w:val="24"/>
          <w:szCs w:val="24"/>
          <w:rtl/>
        </w:rPr>
        <w:t xml:space="preserve">} </w:t>
      </w:r>
      <w:r w:rsidRPr="00A52585">
        <w:rPr>
          <w:rFonts w:hint="cs"/>
          <w:sz w:val="24"/>
          <w:szCs w:val="24"/>
          <w:rtl/>
        </w:rPr>
        <w:t>أي فأي شيء</w:t>
      </w:r>
      <w:r w:rsidR="0002035C" w:rsidRPr="00A52585">
        <w:rPr>
          <w:rFonts w:hint="cs"/>
          <w:sz w:val="24"/>
          <w:szCs w:val="24"/>
          <w:rtl/>
        </w:rPr>
        <w:t xml:space="preserve"> {</w:t>
      </w:r>
      <w:r w:rsidRPr="00A52585">
        <w:rPr>
          <w:rFonts w:hint="cs"/>
          <w:sz w:val="24"/>
          <w:szCs w:val="24"/>
          <w:rtl/>
        </w:rPr>
        <w:t>يكذبك بعد</w:t>
      </w:r>
      <w:r w:rsidR="0002035C" w:rsidRPr="00A52585">
        <w:rPr>
          <w:rFonts w:hint="cs"/>
          <w:sz w:val="24"/>
          <w:szCs w:val="24"/>
          <w:rtl/>
        </w:rPr>
        <w:t xml:space="preserve">} </w:t>
      </w:r>
      <w:r w:rsidRPr="00A52585">
        <w:rPr>
          <w:rFonts w:hint="cs"/>
          <w:sz w:val="24"/>
          <w:szCs w:val="24"/>
          <w:rtl/>
        </w:rPr>
        <w:t>أي بعد هذه المقدمة {بالدين} فإن ادعوا مكذبا لم يعتد به إذ لم يعتبره الله في مقابلة العقل المنور بنور الشرع وهو الحاكم المطلق {أليس الله بأحكم الحاكمين</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من (تبصير الرحمن وتيسير المنان) 2/407</w:t>
      </w:r>
      <w:r w:rsidR="0002035C" w:rsidRPr="00A52585">
        <w:rPr>
          <w:rFonts w:hint="cs"/>
          <w:sz w:val="24"/>
          <w:szCs w:val="24"/>
          <w:rtl/>
        </w:rPr>
        <w:t>]</w:t>
      </w:r>
      <w:r w:rsidR="00DB731D" w:rsidRPr="00A52585">
        <w:rPr>
          <w:rFonts w:hint="cs"/>
          <w:sz w:val="24"/>
          <w:szCs w:val="24"/>
          <w:rtl/>
        </w:rPr>
        <w:t>،</w:t>
      </w:r>
      <w:r w:rsidRPr="00A52585">
        <w:rPr>
          <w:rFonts w:hint="cs"/>
          <w:rtl/>
        </w:rPr>
        <w:t xml:space="preserve"> والحق</w:t>
      </w:r>
      <w:r w:rsidR="0002035C" w:rsidRPr="00A52585">
        <w:rPr>
          <w:rFonts w:hint="cs"/>
          <w:rtl/>
        </w:rPr>
        <w:t>:</w:t>
      </w:r>
      <w:r w:rsidRPr="00A52585">
        <w:rPr>
          <w:rFonts w:hint="cs"/>
          <w:rtl/>
        </w:rPr>
        <w:t xml:space="preserve"> هو الصراط المستقيم الذي في قوله تعالى</w:t>
      </w:r>
      <w:r w:rsidR="0002035C" w:rsidRPr="00A52585">
        <w:rPr>
          <w:rFonts w:hint="cs"/>
          <w:rtl/>
        </w:rPr>
        <w:t>:</w:t>
      </w:r>
      <w:r w:rsidRPr="00A52585">
        <w:rPr>
          <w:rFonts w:hint="cs"/>
          <w:rtl/>
        </w:rPr>
        <w:t xml:space="preserve"> {وَأَنَّ هَذَا صِرَاطِي مُسْتَقِيماً فَاتِّبِعُوه وَلاَ تَتَّبِعُوا السُبُلَ فَتَفَرَّقَ بِكُمْ عَنْ سَبِيلِه ذَلِكُمْ </w:t>
      </w:r>
      <w:proofErr w:type="spellStart"/>
      <w:r w:rsidRPr="00A52585">
        <w:rPr>
          <w:rFonts w:hint="cs"/>
          <w:rtl/>
        </w:rPr>
        <w:t>وَصَّاكُمْ</w:t>
      </w:r>
      <w:proofErr w:type="spellEnd"/>
      <w:r w:rsidRPr="00A52585">
        <w:rPr>
          <w:rFonts w:hint="cs"/>
          <w:rtl/>
        </w:rPr>
        <w:t xml:space="preserve"> بِهِ لَعَلَّكُمْ تَتَّقُونَ} </w:t>
      </w:r>
      <w:r w:rsidR="0002035C" w:rsidRPr="00A52585">
        <w:rPr>
          <w:rFonts w:hint="cs"/>
          <w:rtl/>
        </w:rPr>
        <w:t>[</w:t>
      </w:r>
      <w:r w:rsidRPr="00A52585">
        <w:rPr>
          <w:rFonts w:hint="cs"/>
          <w:rtl/>
        </w:rPr>
        <w:t>الأنعام</w:t>
      </w:r>
      <w:r w:rsidR="0002035C" w:rsidRPr="00A52585">
        <w:rPr>
          <w:rFonts w:hint="cs"/>
          <w:rtl/>
        </w:rPr>
        <w:t>:</w:t>
      </w:r>
      <w:r w:rsidRPr="00A52585">
        <w:rPr>
          <w:rFonts w:hint="cs"/>
          <w:rtl/>
        </w:rPr>
        <w:t xml:space="preserve"> 153</w:t>
      </w:r>
      <w:r w:rsidR="0002035C" w:rsidRPr="00A52585">
        <w:rPr>
          <w:rFonts w:hint="cs"/>
          <w:rtl/>
        </w:rPr>
        <w:t>]</w:t>
      </w:r>
      <w:r w:rsidR="00DB731D" w:rsidRPr="00A52585">
        <w:rPr>
          <w:rFonts w:hint="cs"/>
          <w:rtl/>
        </w:rPr>
        <w:t>،</w:t>
      </w:r>
      <w:r w:rsidRPr="00A52585">
        <w:rPr>
          <w:rFonts w:hint="cs"/>
          <w:rtl/>
        </w:rPr>
        <w:t xml:space="preserve"> وصف الله تعالى صراطه وهو دينه بالاستقامة وأمرنا باتباعه</w:t>
      </w:r>
      <w:r w:rsidR="00DB731D" w:rsidRPr="00A52585">
        <w:rPr>
          <w:rFonts w:hint="cs"/>
          <w:rtl/>
        </w:rPr>
        <w:t>،</w:t>
      </w:r>
      <w:r w:rsidRPr="00A52585">
        <w:rPr>
          <w:rFonts w:hint="cs"/>
          <w:rtl/>
        </w:rPr>
        <w:t xml:space="preserve"> والمستقيم</w:t>
      </w:r>
      <w:r w:rsidR="0002035C" w:rsidRPr="00A52585">
        <w:rPr>
          <w:rFonts w:hint="cs"/>
          <w:rtl/>
        </w:rPr>
        <w:t>:</w:t>
      </w:r>
      <w:r w:rsidRPr="00A52585">
        <w:rPr>
          <w:rFonts w:hint="cs"/>
          <w:rtl/>
        </w:rPr>
        <w:t xml:space="preserve"> هو الذي لا اعوجاج فيه. فمن اتبعه أوصله إلى مقعد صدق عند مليك مقتدر</w:t>
      </w:r>
      <w:r w:rsidR="00DB731D" w:rsidRPr="00A52585">
        <w:rPr>
          <w:rFonts w:hint="cs"/>
          <w:rtl/>
        </w:rPr>
        <w:t>،</w:t>
      </w:r>
      <w:r w:rsidRPr="00A52585">
        <w:rPr>
          <w:rFonts w:hint="cs"/>
          <w:rtl/>
        </w:rPr>
        <w:t xml:space="preserve"> </w:t>
      </w:r>
      <w:r w:rsidRPr="00A52585">
        <w:rPr>
          <w:rFonts w:hint="cs"/>
          <w:spacing w:val="-6"/>
          <w:rtl/>
        </w:rPr>
        <w:t>قال سهل</w:t>
      </w:r>
      <w:r w:rsidR="0002035C" w:rsidRPr="00A52585">
        <w:rPr>
          <w:rFonts w:hint="cs"/>
          <w:spacing w:val="-6"/>
          <w:rtl/>
        </w:rPr>
        <w:t>:</w:t>
      </w:r>
      <w:r w:rsidRPr="00A52585">
        <w:rPr>
          <w:rFonts w:hint="cs"/>
          <w:spacing w:val="-6"/>
          <w:rtl/>
        </w:rPr>
        <w:t xml:space="preserve"> الصراط المستقيم هو الذي لا يكون للنفس فيه حظ ولا مراد</w:t>
      </w:r>
      <w:r w:rsidR="00DB731D" w:rsidRPr="00A52585">
        <w:rPr>
          <w:rFonts w:hint="cs"/>
          <w:spacing w:val="-6"/>
          <w:rtl/>
        </w:rPr>
        <w:t>،</w:t>
      </w:r>
      <w:r w:rsidRPr="00A52585">
        <w:rPr>
          <w:rFonts w:hint="cs"/>
          <w:spacing w:val="-6"/>
          <w:rtl/>
        </w:rPr>
        <w:t xml:space="preserve"> وقال غيره</w:t>
      </w:r>
      <w:r w:rsidR="0002035C" w:rsidRPr="00A52585">
        <w:rPr>
          <w:rFonts w:hint="cs"/>
          <w:spacing w:val="-6"/>
          <w:rtl/>
        </w:rPr>
        <w:t>:</w:t>
      </w:r>
      <w:r w:rsidRPr="00A52585">
        <w:rPr>
          <w:rFonts w:hint="cs"/>
          <w:spacing w:val="-6"/>
          <w:rtl/>
        </w:rPr>
        <w:t xml:space="preserve"> الصراط المستقيم هو الاقتداء والاتبا</w:t>
      </w:r>
      <w:r w:rsidRPr="00A52585">
        <w:rPr>
          <w:rFonts w:hint="cs"/>
          <w:spacing w:val="-14"/>
          <w:rtl/>
        </w:rPr>
        <w:t xml:space="preserve">ع وترك </w:t>
      </w:r>
      <w:r w:rsidRPr="00A52585">
        <w:rPr>
          <w:rFonts w:hint="cs"/>
          <w:spacing w:val="-6"/>
          <w:rtl/>
        </w:rPr>
        <w:t>والهوى والابتداع</w:t>
      </w:r>
      <w:r w:rsidR="00DB731D" w:rsidRPr="00A52585">
        <w:rPr>
          <w:rFonts w:hint="cs"/>
          <w:spacing w:val="-6"/>
          <w:rtl/>
        </w:rPr>
        <w:t>،</w:t>
      </w:r>
      <w:r w:rsidRPr="00A52585">
        <w:rPr>
          <w:rFonts w:hint="cs"/>
          <w:spacing w:val="-6"/>
          <w:rtl/>
        </w:rPr>
        <w:t xml:space="preserve"> </w:t>
      </w:r>
      <w:r w:rsidRPr="00A52585">
        <w:rPr>
          <w:rFonts w:hint="cs"/>
          <w:rtl/>
        </w:rPr>
        <w:t>ثم إنه تعالى نهى عن اتباع السُّبُل لما فيها من الحيدة عن طريق الاستقامة فقال</w:t>
      </w:r>
      <w:r w:rsidR="0002035C" w:rsidRPr="00A52585">
        <w:rPr>
          <w:rFonts w:hint="cs"/>
          <w:rtl/>
        </w:rPr>
        <w:t>:</w:t>
      </w:r>
      <w:r w:rsidRPr="00A52585">
        <w:rPr>
          <w:rFonts w:hint="cs"/>
          <w:rtl/>
        </w:rPr>
        <w:t xml:space="preserve"> {ولا تتبعوا السبل فتفرق بكم عن سبيله} أي تميل بكم عن طريقه التي ارتضى وبه أوصى إلى سبل الضلالات من الأهواء فتهلكوا</w:t>
      </w:r>
      <w:r w:rsidR="00DB731D" w:rsidRPr="00A52585">
        <w:rPr>
          <w:rFonts w:hint="cs"/>
          <w:rtl/>
        </w:rPr>
        <w:t>،</w:t>
      </w:r>
      <w:r w:rsidRPr="00A52585">
        <w:rPr>
          <w:rFonts w:hint="cs"/>
          <w:rtl/>
        </w:rPr>
        <w:t xml:space="preserve"> قيل لعبد الله بن </w:t>
      </w:r>
      <w:proofErr w:type="spellStart"/>
      <w:r w:rsidRPr="00A52585">
        <w:rPr>
          <w:rFonts w:hint="cs"/>
          <w:rtl/>
        </w:rPr>
        <w:t>مسعودرضي</w:t>
      </w:r>
      <w:proofErr w:type="spellEnd"/>
      <w:r w:rsidRPr="00A52585">
        <w:rPr>
          <w:rFonts w:hint="cs"/>
          <w:rtl/>
        </w:rPr>
        <w:t xml:space="preserve"> الله عنه</w:t>
      </w:r>
      <w:r w:rsidR="0002035C" w:rsidRPr="00A52585">
        <w:rPr>
          <w:rFonts w:hint="cs"/>
          <w:rtl/>
        </w:rPr>
        <w:t>:</w:t>
      </w:r>
      <w:r w:rsidRPr="00A52585">
        <w:rPr>
          <w:rFonts w:hint="cs"/>
          <w:rtl/>
        </w:rPr>
        <w:t xml:space="preserve"> ما الصراط المستقيم</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w:t>
      </w:r>
      <w:r w:rsidRPr="00A52585">
        <w:rPr>
          <w:rFonts w:hint="cs"/>
          <w:spacing w:val="-20"/>
          <w:rtl/>
        </w:rPr>
        <w:t>تركنا</w:t>
      </w:r>
      <w:r w:rsidRPr="00A52585">
        <w:rPr>
          <w:rFonts w:hint="cs"/>
          <w:rtl/>
        </w:rPr>
        <w:t xml:space="preserve"> محمد صلى الله عليه وسلم في </w:t>
      </w:r>
      <w:r w:rsidRPr="00A52585">
        <w:rPr>
          <w:rFonts w:hint="cs"/>
          <w:spacing w:val="-6"/>
          <w:rtl/>
        </w:rPr>
        <w:t>أدناه وطرفه في الجنة وعن يمينه جواد وعن يساره جواد وثـَم رجال يدعون من مَرَّ بهم</w:t>
      </w:r>
      <w:r w:rsidR="00DB731D" w:rsidRPr="00A52585">
        <w:rPr>
          <w:rFonts w:hint="cs"/>
          <w:spacing w:val="-6"/>
          <w:rtl/>
        </w:rPr>
        <w:t>،</w:t>
      </w:r>
      <w:r w:rsidRPr="00A52585">
        <w:rPr>
          <w:rFonts w:hint="cs"/>
          <w:spacing w:val="-6"/>
          <w:rtl/>
        </w:rPr>
        <w:t xml:space="preserve"> فمن أخذ في تلك الجواد انتهت به إلى النار</w:t>
      </w:r>
      <w:r w:rsidR="00DB731D" w:rsidRPr="00A52585">
        <w:rPr>
          <w:rFonts w:hint="cs"/>
          <w:spacing w:val="-6"/>
          <w:rtl/>
        </w:rPr>
        <w:t>،</w:t>
      </w:r>
      <w:r w:rsidRPr="00A52585">
        <w:rPr>
          <w:rFonts w:hint="cs"/>
          <w:spacing w:val="-6"/>
          <w:rtl/>
        </w:rPr>
        <w:t xml:space="preserve"> ومن أخذ على</w:t>
      </w:r>
      <w:r w:rsidRPr="00A52585">
        <w:rPr>
          <w:rFonts w:hint="cs"/>
          <w:rtl/>
        </w:rPr>
        <w:t xml:space="preserve"> الصراط انتهى به إلى الجنة ثم تلا {وأن هذا صراطي مستقيماً.. الآية</w:t>
      </w:r>
      <w:r w:rsidR="0002035C" w:rsidRPr="00A52585">
        <w:rPr>
          <w:rFonts w:hint="cs"/>
          <w:rtl/>
        </w:rPr>
        <w:t>}</w:t>
      </w:r>
      <w:r w:rsidR="00DB731D" w:rsidRPr="00A52585">
        <w:rPr>
          <w:rFonts w:hint="cs"/>
          <w:rtl/>
        </w:rPr>
        <w:t>،</w:t>
      </w:r>
      <w:r w:rsidR="0002035C"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w:t>
      </w:r>
      <w:r w:rsidRPr="00A52585">
        <w:rPr>
          <w:rFonts w:hint="cs"/>
          <w:spacing w:val="-4"/>
          <w:sz w:val="24"/>
          <w:szCs w:val="24"/>
          <w:rtl/>
        </w:rPr>
        <w:t xml:space="preserve">رواه ابن جرير الطبري في تفسيره بإسناد صحيح موقوفا على ابن مسعود رضي الله عنه ورواه أيضاً ابن </w:t>
      </w:r>
      <w:proofErr w:type="spellStart"/>
      <w:r w:rsidRPr="00A52585">
        <w:rPr>
          <w:rFonts w:hint="cs"/>
          <w:spacing w:val="-4"/>
          <w:sz w:val="24"/>
          <w:szCs w:val="24"/>
          <w:rtl/>
        </w:rPr>
        <w:t>مردويه</w:t>
      </w:r>
      <w:proofErr w:type="spellEnd"/>
      <w:r w:rsidRPr="00A52585">
        <w:rPr>
          <w:rFonts w:hint="cs"/>
          <w:spacing w:val="-4"/>
          <w:sz w:val="24"/>
          <w:szCs w:val="24"/>
          <w:rtl/>
        </w:rPr>
        <w:t xml:space="preserve"> بإسناد ضعيف وروى من وجه آخر مرفوعاً بمعناه عن ابن مسعود عند الإمام أحمد والنسائي في كتاب التفسير من (السنن الكبرى) والبزار وابن حبان في صحيحه والحاكم في مستدركه وقال (صحيح الإسناد ولم يخرجاه) وغيرهم بعض هذه الطرق صحيح أو حسن</w:t>
      </w:r>
      <w:r w:rsidR="0002035C" w:rsidRPr="00A52585">
        <w:rPr>
          <w:rFonts w:hint="cs"/>
          <w:spacing w:val="-4"/>
          <w:sz w:val="24"/>
          <w:szCs w:val="24"/>
          <w:rtl/>
        </w:rPr>
        <w:t>]</w:t>
      </w:r>
      <w:r w:rsidR="00DB731D" w:rsidRPr="00A52585">
        <w:rPr>
          <w:rFonts w:hint="cs"/>
          <w:spacing w:val="-4"/>
          <w:sz w:val="24"/>
          <w:szCs w:val="24"/>
          <w:rtl/>
        </w:rPr>
        <w:t>،</w:t>
      </w:r>
      <w:r w:rsidRPr="00A52585">
        <w:rPr>
          <w:rFonts w:hint="cs"/>
          <w:spacing w:val="-4"/>
          <w:rtl/>
        </w:rPr>
        <w:t xml:space="preserve"> </w:t>
      </w:r>
      <w:r w:rsidRPr="00A52585">
        <w:rPr>
          <w:rFonts w:hint="cs"/>
          <w:rtl/>
        </w:rPr>
        <w:t xml:space="preserve">وأشار رضي الله عنه بالرجال </w:t>
      </w:r>
      <w:r w:rsidRPr="00A52585">
        <w:rPr>
          <w:rFonts w:hint="cs"/>
          <w:spacing w:val="-6"/>
          <w:rtl/>
        </w:rPr>
        <w:t>الذين على الجواد إلى علماء السوء وأهل البدع</w:t>
      </w:r>
      <w:r w:rsidR="00DB731D" w:rsidRPr="00A52585">
        <w:rPr>
          <w:rFonts w:hint="cs"/>
          <w:spacing w:val="-6"/>
          <w:rtl/>
        </w:rPr>
        <w:t>،</w:t>
      </w:r>
      <w:r w:rsidRPr="00A52585">
        <w:rPr>
          <w:rFonts w:hint="cs"/>
          <w:spacing w:val="-6"/>
          <w:rtl/>
        </w:rPr>
        <w:t xml:space="preserve"> وأشار بقوله يدعون مَنْ مَرَّ بهم إلى الوعاظ الذين هم سبب هلاك من قعد إليهم</w:t>
      </w:r>
      <w:r w:rsidR="00DB731D" w:rsidRPr="00A52585">
        <w:rPr>
          <w:rFonts w:hint="cs"/>
          <w:spacing w:val="-6"/>
          <w:rtl/>
        </w:rPr>
        <w:t>،</w:t>
      </w:r>
      <w:r w:rsidRPr="00A52585">
        <w:rPr>
          <w:rFonts w:hint="cs"/>
          <w:spacing w:val="-6"/>
          <w:rtl/>
        </w:rPr>
        <w:t xml:space="preserve"> </w:t>
      </w:r>
    </w:p>
    <w:p w14:paraId="09FCF582" w14:textId="22F26C37" w:rsidR="00777DCB" w:rsidRPr="00A52585" w:rsidRDefault="0002035C" w:rsidP="0002035C">
      <w:pPr>
        <w:spacing w:after="240"/>
        <w:rPr>
          <w:b/>
          <w:bCs/>
          <w:rtl/>
        </w:rPr>
      </w:pPr>
      <w:r w:rsidRPr="00A52585">
        <w:rPr>
          <w:rFonts w:hint="cs"/>
          <w:bCs/>
          <w:rtl/>
        </w:rPr>
        <w:t>[</w:t>
      </w:r>
      <w:r w:rsidR="00777DCB" w:rsidRPr="00A52585">
        <w:rPr>
          <w:rFonts w:hint="cs"/>
          <w:bCs/>
          <w:rtl/>
        </w:rPr>
        <w:t>صفات علماء السوء</w:t>
      </w:r>
      <w:r w:rsidRPr="00A52585">
        <w:rPr>
          <w:rFonts w:hint="cs"/>
          <w:bCs/>
          <w:rtl/>
        </w:rPr>
        <w:t>]:</w:t>
      </w:r>
      <w:r w:rsidR="00777DCB" w:rsidRPr="00A52585">
        <w:rPr>
          <w:rFonts w:hint="cs"/>
          <w:bCs/>
          <w:rtl/>
        </w:rPr>
        <w:t xml:space="preserve"> </w:t>
      </w:r>
      <w:r w:rsidR="00777DCB" w:rsidRPr="00A52585">
        <w:rPr>
          <w:rFonts w:hint="cs"/>
          <w:rtl/>
        </w:rPr>
        <w:t>ولهذا بالغ السلف رضي الله عنهم في التحذير من مجالسة كل أحد</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إذا جلس شخص للوعظ فتفقدوا منه أموراً إن كانت فيه فاهربوا منه وإلا هلكتم من حيث ظننتم النجاة</w:t>
      </w:r>
      <w:r w:rsidR="00DB731D" w:rsidRPr="00A52585">
        <w:rPr>
          <w:rFonts w:hint="cs"/>
          <w:rtl/>
        </w:rPr>
        <w:t>،</w:t>
      </w:r>
      <w:r w:rsidR="00777DCB" w:rsidRPr="00A52585">
        <w:rPr>
          <w:rFonts w:hint="cs"/>
          <w:rtl/>
        </w:rPr>
        <w:t xml:space="preserve"> </w:t>
      </w:r>
      <w:r w:rsidR="00777DCB" w:rsidRPr="00A52585">
        <w:rPr>
          <w:rFonts w:hint="cs"/>
          <w:bCs/>
          <w:rtl/>
        </w:rPr>
        <w:t>[1-]</w:t>
      </w:r>
      <w:r w:rsidR="00777DCB" w:rsidRPr="00A52585">
        <w:rPr>
          <w:rFonts w:hint="cs"/>
          <w:rtl/>
        </w:rPr>
        <w:t xml:space="preserve"> </w:t>
      </w:r>
      <w:r w:rsidR="00777DCB" w:rsidRPr="00A52585">
        <w:rPr>
          <w:rFonts w:hint="cs"/>
          <w:bCs/>
          <w:rtl/>
        </w:rPr>
        <w:t>منها</w:t>
      </w:r>
      <w:r w:rsidRPr="00A52585">
        <w:rPr>
          <w:rFonts w:hint="cs"/>
          <w:bCs/>
          <w:rtl/>
        </w:rPr>
        <w:t>:</w:t>
      </w:r>
      <w:r w:rsidR="00777DCB" w:rsidRPr="00A52585">
        <w:rPr>
          <w:rFonts w:hint="cs"/>
          <w:bCs/>
          <w:rtl/>
        </w:rPr>
        <w:t xml:space="preserve"> إن كان مبتدعا فاحذروه واجتنبوه</w:t>
      </w:r>
      <w:r w:rsidR="00777DCB" w:rsidRPr="00A52585">
        <w:rPr>
          <w:rFonts w:hint="cs"/>
          <w:rtl/>
        </w:rPr>
        <w:t xml:space="preserve"> فإنه على لسان الشيطان ينطق</w:t>
      </w:r>
      <w:r w:rsidR="00DB731D" w:rsidRPr="00A52585">
        <w:rPr>
          <w:rFonts w:hint="cs"/>
          <w:rtl/>
        </w:rPr>
        <w:t>،</w:t>
      </w:r>
      <w:r w:rsidR="00777DCB" w:rsidRPr="00A52585">
        <w:rPr>
          <w:rFonts w:hint="cs"/>
          <w:rtl/>
        </w:rPr>
        <w:t xml:space="preserve"> ومن نطق على لسان الشيطان فلا شك ولا ريب في إغوائه فيهلك الإنسان من حيث يظن السلامة</w:t>
      </w:r>
      <w:r w:rsidR="00DB731D" w:rsidRPr="00A52585">
        <w:rPr>
          <w:rFonts w:hint="cs"/>
          <w:rtl/>
        </w:rPr>
        <w:t>،</w:t>
      </w:r>
      <w:r w:rsidR="00777DCB" w:rsidRPr="00A52585">
        <w:rPr>
          <w:rFonts w:hint="cs"/>
          <w:rtl/>
        </w:rPr>
        <w:t xml:space="preserve"> وأيضاً ففي المشي إليه ومجالسته تعظيم له وتوقير</w:t>
      </w:r>
      <w:r w:rsidR="00DB731D" w:rsidRPr="00A52585">
        <w:rPr>
          <w:rFonts w:hint="cs"/>
          <w:rtl/>
        </w:rPr>
        <w:t>،</w:t>
      </w:r>
      <w:r w:rsidR="00777DCB" w:rsidRPr="00A52585">
        <w:rPr>
          <w:rFonts w:hint="cs"/>
          <w:rtl/>
        </w:rPr>
        <w:t xml:space="preserve"> روى ابن عدي من حديث عائشة رضي الله عنها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وقر صاحب بدعة فقد أعان على هدم الإسلام</w:t>
      </w:r>
      <w:r w:rsidRPr="00A52585">
        <w:rPr>
          <w:rFonts w:hint="cs"/>
          <w:rtl/>
        </w:rPr>
        <w:t>)</w:t>
      </w:r>
      <w:r w:rsidR="00777DCB" w:rsidRPr="00A52585">
        <w:rPr>
          <w:rFonts w:hint="cs"/>
          <w:rtl/>
        </w:rPr>
        <w:t>) ورواه الطبراني في معجمه الأوسط</w:t>
      </w:r>
      <w:r w:rsidR="00DB731D" w:rsidRPr="00A52585">
        <w:rPr>
          <w:rFonts w:hint="cs"/>
          <w:rtl/>
        </w:rPr>
        <w:t>،</w:t>
      </w:r>
      <w:r w:rsidR="00777DCB" w:rsidRPr="00A52585">
        <w:rPr>
          <w:rFonts w:hint="cs"/>
          <w:rtl/>
        </w:rPr>
        <w:t xml:space="preserve"> ورواه الحافظ أبو نعيم من </w:t>
      </w:r>
      <w:r w:rsidR="00777DCB" w:rsidRPr="00A52585">
        <w:rPr>
          <w:rFonts w:hint="cs"/>
          <w:rtl/>
        </w:rPr>
        <w:lastRenderedPageBreak/>
        <w:t xml:space="preserve">حديث عبد الله بن بُسْر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العلامة المحدث السيد مرتضى الزبيدي عن هذا الحديث</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وإيراد ابن الجوزي إياه في الموضوعات غير سديد، غايته أن طرقه ضعيفة</w:t>
      </w:r>
      <w:r w:rsidR="00777DCB" w:rsidRPr="00A52585">
        <w:rPr>
          <w:sz w:val="24"/>
          <w:szCs w:val="24"/>
        </w:rPr>
        <w:t>…</w:t>
      </w:r>
      <w:r w:rsidRPr="00A52585">
        <w:rPr>
          <w:rFonts w:hint="cs"/>
          <w:sz w:val="24"/>
          <w:szCs w:val="24"/>
          <w:rtl/>
        </w:rPr>
        <w:t xml:space="preserve"> </w:t>
      </w:r>
      <w:r w:rsidR="00777DCB" w:rsidRPr="00A52585">
        <w:rPr>
          <w:rFonts w:hint="cs"/>
          <w:sz w:val="24"/>
          <w:szCs w:val="24"/>
          <w:rtl/>
        </w:rPr>
        <w:t>" ثم شرح الحديث فقال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ومعنى الحديث</w:t>
      </w:r>
      <w:r w:rsidRPr="00A52585">
        <w:rPr>
          <w:rFonts w:hint="cs"/>
          <w:sz w:val="24"/>
          <w:szCs w:val="24"/>
          <w:rtl/>
        </w:rPr>
        <w:t>:</w:t>
      </w:r>
      <w:r w:rsidR="00777DCB" w:rsidRPr="00A52585">
        <w:rPr>
          <w:rFonts w:hint="cs"/>
          <w:sz w:val="24"/>
          <w:szCs w:val="24"/>
          <w:rtl/>
        </w:rPr>
        <w:t xml:space="preserve"> أن المبتدع أو الفاسق مخالف للسنة مائل عن الاستقامة، فمن وقره حاول اعوجاج الاستقامة لأن معاونة نقيض الشيء معاونة لدفع ذلك الشيء، وهذا من باب التغليظ والزجر الشديد</w:t>
      </w:r>
      <w:r w:rsidRPr="00A52585">
        <w:rPr>
          <w:rFonts w:hint="cs"/>
          <w:sz w:val="24"/>
          <w:szCs w:val="24"/>
          <w:rtl/>
        </w:rPr>
        <w:t xml:space="preserve"> </w:t>
      </w:r>
      <w:r w:rsidR="00777DCB" w:rsidRPr="00A52585">
        <w:rPr>
          <w:rFonts w:hint="cs"/>
          <w:sz w:val="24"/>
          <w:szCs w:val="24"/>
          <w:rtl/>
        </w:rPr>
        <w:t>" أهـ إتحاف السادة المتقين 6/ 436 ط. العلمية]</w:t>
      </w:r>
      <w:r w:rsidR="00777DCB" w:rsidRPr="00A52585">
        <w:rPr>
          <w:rFonts w:hint="cs"/>
          <w:rtl/>
        </w:rPr>
        <w:t xml:space="preserve"> ولهذا وغيره يجب التبري من أهل البدع</w:t>
      </w:r>
      <w:r w:rsidR="00DB731D" w:rsidRPr="00A52585">
        <w:rPr>
          <w:rFonts w:hint="cs"/>
          <w:rtl/>
        </w:rPr>
        <w:t>،</w:t>
      </w:r>
      <w:r w:rsidR="00777DCB" w:rsidRPr="00A52585">
        <w:rPr>
          <w:rFonts w:hint="cs"/>
          <w:rtl/>
        </w:rPr>
        <w:t xml:space="preserve"> قال بعض السلف</w:t>
      </w:r>
      <w:r w:rsidRPr="00A52585">
        <w:rPr>
          <w:rFonts w:hint="cs"/>
          <w:rtl/>
        </w:rPr>
        <w:t>:</w:t>
      </w:r>
      <w:r w:rsidR="00777DCB" w:rsidRPr="00A52585">
        <w:rPr>
          <w:rFonts w:hint="cs"/>
          <w:rtl/>
        </w:rPr>
        <w:t xml:space="preserve"> من بشَّ في وجه مبتدع أو صافحه فقد حل عرى الإسلام عروة </w:t>
      </w:r>
      <w:proofErr w:type="spellStart"/>
      <w:r w:rsidR="00777DCB" w:rsidRPr="00A52585">
        <w:rPr>
          <w:rFonts w:hint="cs"/>
          <w:rtl/>
        </w:rPr>
        <w:t>عروة</w:t>
      </w:r>
      <w:proofErr w:type="spellEnd"/>
      <w:r w:rsidR="00DB731D" w:rsidRPr="00A52585">
        <w:rPr>
          <w:rFonts w:hint="cs"/>
          <w:rtl/>
        </w:rPr>
        <w:t>،</w:t>
      </w:r>
      <w:r w:rsidR="00777DCB" w:rsidRPr="00A52585">
        <w:rPr>
          <w:rFonts w:hint="cs"/>
          <w:rtl/>
        </w:rPr>
        <w:t xml:space="preserve"> وقال شخص من أهل الأهواء لأيوب السختياني رضي الله عنه</w:t>
      </w:r>
      <w:r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أيوب بن أبي تميمة كيسان السختياني أبو بكر البصري إمام حافظ فقيه قال عنه الحسن البصري</w:t>
      </w:r>
      <w:r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هذا سيد الفتيان " وقال ابن سعد</w:t>
      </w:r>
      <w:r w:rsidRPr="00A52585">
        <w:rPr>
          <w:rFonts w:hint="cs"/>
          <w:sz w:val="24"/>
          <w:szCs w:val="24"/>
          <w:rtl/>
        </w:rPr>
        <w:t>:</w:t>
      </w:r>
      <w:r w:rsidR="00777DCB" w:rsidRPr="00A52585">
        <w:rPr>
          <w:rFonts w:hint="cs"/>
          <w:sz w:val="24"/>
          <w:szCs w:val="24"/>
          <w:rtl/>
        </w:rPr>
        <w:t>" كان ثقة ثبتا في الحديث جامعاً كثير العلم حجة عدلاً " وقال عنه الإمام مالك</w:t>
      </w:r>
      <w:r w:rsidRPr="00A52585">
        <w:rPr>
          <w:rFonts w:hint="cs"/>
          <w:sz w:val="24"/>
          <w:szCs w:val="24"/>
          <w:rtl/>
        </w:rPr>
        <w:t>:</w:t>
      </w:r>
      <w:r w:rsidR="00777DCB" w:rsidRPr="00A52585">
        <w:rPr>
          <w:rFonts w:hint="cs"/>
          <w:sz w:val="24"/>
          <w:szCs w:val="24"/>
          <w:rtl/>
        </w:rPr>
        <w:t xml:space="preserve">" كان من العالمين العاملين الخاشعين "، " كتبت عنه لما رأيت من إجلاله </w:t>
      </w:r>
      <w:proofErr w:type="spellStart"/>
      <w:r w:rsidR="00777DCB" w:rsidRPr="00A52585">
        <w:rPr>
          <w:rFonts w:hint="cs"/>
          <w:sz w:val="24"/>
          <w:szCs w:val="24"/>
          <w:rtl/>
        </w:rPr>
        <w:t>للنبيصلى</w:t>
      </w:r>
      <w:proofErr w:type="spellEnd"/>
      <w:r w:rsidR="00777DCB" w:rsidRPr="00A52585">
        <w:rPr>
          <w:rFonts w:hint="cs"/>
          <w:sz w:val="24"/>
          <w:szCs w:val="24"/>
          <w:rtl/>
        </w:rPr>
        <w:t xml:space="preserve"> الله عليه وسلم</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 كان من عبَّاد الناس وخيارهم " ولد في حدود سنة 66هـ وتوفى عام 131هـ.]</w:t>
      </w:r>
      <w:r w:rsidRPr="00A52585">
        <w:rPr>
          <w:rFonts w:hint="cs"/>
          <w:rtl/>
        </w:rPr>
        <w:t>:</w:t>
      </w:r>
      <w:r w:rsidR="00777DCB" w:rsidRPr="00A52585">
        <w:rPr>
          <w:rFonts w:hint="cs"/>
          <w:rtl/>
        </w:rPr>
        <w:t xml:space="preserve"> أكلمك كلمة</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لا والله ولا نصف كلمة</w:t>
      </w:r>
      <w:r w:rsidR="00DB731D" w:rsidRPr="00A52585">
        <w:rPr>
          <w:rFonts w:hint="cs"/>
          <w:rtl/>
        </w:rPr>
        <w:t>،</w:t>
      </w:r>
      <w:r w:rsidR="00777DCB" w:rsidRPr="00A52585">
        <w:rPr>
          <w:rFonts w:hint="cs"/>
          <w:rtl/>
        </w:rPr>
        <w:t xml:space="preserve"> وكان يقول</w:t>
      </w:r>
      <w:r w:rsidRPr="00A52585">
        <w:rPr>
          <w:rFonts w:hint="cs"/>
          <w:rtl/>
        </w:rPr>
        <w:t>:</w:t>
      </w:r>
      <w:r w:rsidR="00777DCB" w:rsidRPr="00A52585">
        <w:rPr>
          <w:rFonts w:hint="cs"/>
          <w:rtl/>
        </w:rPr>
        <w:t xml:space="preserve"> ما ازداد صاحب بدعة اجتهاداً إلا ازداد من الله تعالى بعدا</w:t>
      </w:r>
      <w:r w:rsidR="00DB731D" w:rsidRPr="00A52585">
        <w:rPr>
          <w:rFonts w:hint="cs"/>
          <w:rtl/>
        </w:rPr>
        <w:t>،</w:t>
      </w:r>
      <w:r w:rsidR="00777DCB" w:rsidRPr="00A52585">
        <w:rPr>
          <w:rFonts w:hint="cs"/>
          <w:rtl/>
        </w:rPr>
        <w:t xml:space="preserve"> قال مالك رضي الله عنه</w:t>
      </w:r>
      <w:r w:rsidRPr="00A52585">
        <w:rPr>
          <w:rFonts w:hint="cs"/>
          <w:rtl/>
        </w:rPr>
        <w:t>:</w:t>
      </w:r>
      <w:r w:rsidR="00777DCB" w:rsidRPr="00A52585">
        <w:rPr>
          <w:rFonts w:hint="cs"/>
          <w:rtl/>
        </w:rPr>
        <w:t xml:space="preserve"> كنا ندخل على أيوب السختياني فإذا ذكرنا له حديثاً عن رسول الله صلى الله عليه وسلم يبكي حتى نرحمه</w:t>
      </w:r>
      <w:r w:rsidR="00DB731D" w:rsidRPr="00A52585">
        <w:rPr>
          <w:rFonts w:hint="cs"/>
          <w:rtl/>
        </w:rPr>
        <w:t>،</w:t>
      </w:r>
      <w:r w:rsidR="00777DCB" w:rsidRPr="00A52585">
        <w:rPr>
          <w:rFonts w:hint="cs"/>
          <w:rtl/>
        </w:rPr>
        <w:t xml:space="preserve"> وكان يقول</w:t>
      </w:r>
      <w:r w:rsidRPr="00A52585">
        <w:rPr>
          <w:rFonts w:hint="cs"/>
          <w:rtl/>
        </w:rPr>
        <w:t>:</w:t>
      </w:r>
      <w:r w:rsidR="00777DCB" w:rsidRPr="00A52585">
        <w:rPr>
          <w:rFonts w:hint="cs"/>
          <w:rtl/>
        </w:rPr>
        <w:t xml:space="preserve"> إذا بلغني موت أحد من أهل السنة فكأنما يسقط عضو من أعضائي وكان يقول</w:t>
      </w:r>
      <w:r w:rsidRPr="00A52585">
        <w:rPr>
          <w:rFonts w:hint="cs"/>
          <w:rtl/>
        </w:rPr>
        <w:t>:</w:t>
      </w:r>
      <w:r w:rsidR="00777DCB" w:rsidRPr="00A52585">
        <w:rPr>
          <w:rFonts w:hint="cs"/>
          <w:rtl/>
        </w:rPr>
        <w:t xml:space="preserve"> والله ما صدق عبد إلا سَرّه أن لا يراه أحد</w:t>
      </w:r>
      <w:r w:rsidR="00DB731D" w:rsidRPr="00A52585">
        <w:rPr>
          <w:rFonts w:hint="cs"/>
          <w:rtl/>
        </w:rPr>
        <w:t>،</w:t>
      </w:r>
      <w:r w:rsidR="00777DCB" w:rsidRPr="00A52585">
        <w:rPr>
          <w:rFonts w:hint="cs"/>
          <w:rtl/>
        </w:rPr>
        <w:t xml:space="preserve"> وكان يونس بن عبيد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يونس بن عبيد بن دينار العبدي مولاهم أبو عبيد البصري، أحد الأعلام ثقة حافظ من كبار أصحاب الحسن البصري، رأى أنس بن مالك صاحب رسول الله صلى الله عليه وسلم قال عنه ابن حبان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كان من سادات أهل زمانه علما وفضلا وحفظاً وإتقانا وسنة وبغضا لأهل البدع مع التقشف الشديد والفقه في الدين والحفظ الكثير</w:t>
      </w:r>
      <w:r w:rsidRPr="00A52585">
        <w:rPr>
          <w:rFonts w:hint="cs"/>
          <w:sz w:val="24"/>
          <w:szCs w:val="24"/>
          <w:rtl/>
        </w:rPr>
        <w:t xml:space="preserve"> </w:t>
      </w:r>
      <w:r w:rsidR="00777DCB" w:rsidRPr="00A52585">
        <w:rPr>
          <w:rFonts w:hint="cs"/>
          <w:sz w:val="24"/>
          <w:szCs w:val="24"/>
          <w:rtl/>
        </w:rPr>
        <w:t>" توفى عام 140هـ]</w:t>
      </w:r>
      <w:r w:rsidR="00777DCB" w:rsidRPr="00A52585">
        <w:rPr>
          <w:rFonts w:hint="cs"/>
          <w:rtl/>
        </w:rPr>
        <w:t xml:space="preserve"> يقول</w:t>
      </w:r>
      <w:r w:rsidRPr="00A52585">
        <w:rPr>
          <w:rFonts w:hint="cs"/>
          <w:rtl/>
        </w:rPr>
        <w:t>:</w:t>
      </w:r>
      <w:r w:rsidR="00777DCB" w:rsidRPr="00A52585">
        <w:rPr>
          <w:rFonts w:hint="cs"/>
          <w:rtl/>
        </w:rPr>
        <w:t xml:space="preserve"> احفظوا عني ثلاثاً مت أو عشت</w:t>
      </w:r>
      <w:r w:rsidRPr="00A52585">
        <w:rPr>
          <w:rFonts w:hint="cs"/>
          <w:rtl/>
        </w:rPr>
        <w:t>:</w:t>
      </w:r>
      <w:r w:rsidR="00777DCB" w:rsidRPr="00A52585">
        <w:rPr>
          <w:rFonts w:hint="cs"/>
          <w:rtl/>
        </w:rPr>
        <w:t xml:space="preserve"> لا يدخلن أحد على سلطان يعظه أو يعلمه</w:t>
      </w:r>
      <w:r w:rsidR="00DB731D" w:rsidRPr="00A52585">
        <w:rPr>
          <w:rFonts w:hint="cs"/>
          <w:rtl/>
        </w:rPr>
        <w:t>،</w:t>
      </w:r>
      <w:r w:rsidR="00777DCB" w:rsidRPr="00A52585">
        <w:rPr>
          <w:rFonts w:hint="cs"/>
          <w:rtl/>
        </w:rPr>
        <w:t xml:space="preserve"> ولا يخلونّ بامرأة شابة وإن أقرأها القرآن</w:t>
      </w:r>
      <w:r w:rsidR="00DB731D" w:rsidRPr="00A52585">
        <w:rPr>
          <w:rFonts w:hint="cs"/>
          <w:rtl/>
        </w:rPr>
        <w:t>،</w:t>
      </w:r>
      <w:r w:rsidR="00777DCB" w:rsidRPr="00A52585">
        <w:rPr>
          <w:rFonts w:hint="cs"/>
          <w:rtl/>
        </w:rPr>
        <w:t xml:space="preserve"> ولا يُمَكِّن سمعه من ذي هوى</w:t>
      </w:r>
      <w:r w:rsidR="00DB731D" w:rsidRPr="00A52585">
        <w:rPr>
          <w:rFonts w:hint="cs"/>
          <w:rtl/>
        </w:rPr>
        <w:t>،</w:t>
      </w:r>
      <w:r w:rsidR="00777DCB" w:rsidRPr="00A52585">
        <w:rPr>
          <w:rFonts w:hint="cs"/>
          <w:rtl/>
        </w:rPr>
        <w:t xml:space="preserve"> وأشدها الثالثة لما فيها من </w:t>
      </w:r>
      <w:proofErr w:type="spellStart"/>
      <w:r w:rsidR="00777DCB" w:rsidRPr="00A52585">
        <w:rPr>
          <w:rFonts w:hint="cs"/>
          <w:rtl/>
        </w:rPr>
        <w:t>الزيع</w:t>
      </w:r>
      <w:proofErr w:type="spellEnd"/>
      <w:r w:rsidR="00777DCB" w:rsidRPr="00A52585">
        <w:rPr>
          <w:rFonts w:hint="cs"/>
          <w:rtl/>
        </w:rPr>
        <w:t xml:space="preserve"> </w:t>
      </w:r>
      <w:proofErr w:type="spellStart"/>
      <w:r w:rsidR="00777DCB" w:rsidRPr="00A52585">
        <w:rPr>
          <w:rFonts w:hint="cs"/>
          <w:rtl/>
        </w:rPr>
        <w:t>أعاذنا</w:t>
      </w:r>
      <w:proofErr w:type="spellEnd"/>
      <w:r w:rsidR="00777DCB" w:rsidRPr="00A52585">
        <w:rPr>
          <w:rFonts w:hint="cs"/>
          <w:rtl/>
        </w:rPr>
        <w:t xml:space="preserve"> الله من ذلك. وكان يقول</w:t>
      </w:r>
      <w:r w:rsidRPr="00A52585">
        <w:rPr>
          <w:rFonts w:hint="cs"/>
          <w:rtl/>
        </w:rPr>
        <w:t>:</w:t>
      </w:r>
      <w:r w:rsidR="00777DCB" w:rsidRPr="00A52585">
        <w:rPr>
          <w:rFonts w:hint="cs"/>
          <w:rtl/>
        </w:rPr>
        <w:t xml:space="preserve"> ما يزال العبد بِخَيْر ما أبصر ما يفسد عمله</w:t>
      </w:r>
      <w:r w:rsidR="00DB731D" w:rsidRPr="00A52585">
        <w:rPr>
          <w:rFonts w:hint="cs"/>
          <w:rtl/>
        </w:rPr>
        <w:t>،</w:t>
      </w:r>
      <w:r w:rsidR="00777DCB" w:rsidRPr="00A52585">
        <w:rPr>
          <w:rFonts w:hint="cs"/>
          <w:rtl/>
        </w:rPr>
        <w:t xml:space="preserve"> ويونس هذا تابعي وكان من أصحاب الحسن البصري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الحسن بن أبي الحسن يسار البصري أبو سعيد مولى الأنصار، أمُّه (خيرة) مولاة أم المؤمنين أم سلمة رضي الله عنها. ولد لسنتين بقيتا من خلافة عمر رضي الله عنه ونشأ بوادي القرى وكان فصيحاً من أفصح أهل</w:t>
      </w:r>
      <w:r w:rsidRPr="00A52585">
        <w:rPr>
          <w:rFonts w:hint="cs"/>
          <w:sz w:val="24"/>
          <w:szCs w:val="24"/>
          <w:rtl/>
        </w:rPr>
        <w:t xml:space="preserve"> </w:t>
      </w:r>
      <w:r w:rsidR="00777DCB" w:rsidRPr="00A52585">
        <w:rPr>
          <w:rFonts w:hint="cs"/>
          <w:sz w:val="24"/>
          <w:szCs w:val="24"/>
          <w:rtl/>
        </w:rPr>
        <w:t>البصرة، وكان من الشجعان أدرك بعض صفين ورأى مائة وعشرين صحابياً منهم</w:t>
      </w:r>
      <w:r w:rsidRPr="00A52585">
        <w:rPr>
          <w:rFonts w:hint="cs"/>
          <w:sz w:val="24"/>
          <w:szCs w:val="24"/>
          <w:rtl/>
        </w:rPr>
        <w:t>:</w:t>
      </w:r>
      <w:r w:rsidR="00777DCB" w:rsidRPr="00A52585">
        <w:rPr>
          <w:rFonts w:hint="cs"/>
          <w:sz w:val="24"/>
          <w:szCs w:val="24"/>
          <w:rtl/>
        </w:rPr>
        <w:t xml:space="preserve"> عثمان بن عفان وعلي بن أبي طالب وطلحة وعائشة أم المؤمنين رضي الله عنهم</w:t>
      </w:r>
      <w:r w:rsidR="00DB731D" w:rsidRPr="00A52585">
        <w:rPr>
          <w:rFonts w:hint="cs"/>
          <w:sz w:val="24"/>
          <w:szCs w:val="24"/>
          <w:rtl/>
        </w:rPr>
        <w:t>،</w:t>
      </w:r>
      <w:r w:rsidR="00777DCB" w:rsidRPr="00A52585">
        <w:rPr>
          <w:rFonts w:hint="cs"/>
          <w:sz w:val="24"/>
          <w:szCs w:val="24"/>
          <w:rtl/>
        </w:rPr>
        <w:t xml:space="preserve"> إمام حافظ فقيه زاهد، قال عنه الصحابي الجليل أنس بن مالك رضي الله عنه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سلوا الحسن فإنه حفظ ونسينا</w:t>
      </w:r>
      <w:r w:rsidRPr="00A52585">
        <w:rPr>
          <w:rFonts w:hint="cs"/>
          <w:sz w:val="24"/>
          <w:szCs w:val="24"/>
          <w:rtl/>
        </w:rPr>
        <w:t xml:space="preserve"> </w:t>
      </w:r>
      <w:r w:rsidR="00777DCB" w:rsidRPr="00A52585">
        <w:rPr>
          <w:rFonts w:hint="cs"/>
          <w:sz w:val="24"/>
          <w:szCs w:val="24"/>
          <w:rtl/>
        </w:rPr>
        <w:t>" ووصفه أصحابه</w:t>
      </w:r>
      <w:r w:rsidRPr="00A52585">
        <w:rPr>
          <w:rFonts w:hint="cs"/>
          <w:sz w:val="24"/>
          <w:szCs w:val="24"/>
          <w:rtl/>
        </w:rPr>
        <w:t>:</w:t>
      </w:r>
      <w:r w:rsidR="00777DCB" w:rsidRPr="00A52585">
        <w:rPr>
          <w:rFonts w:hint="cs"/>
          <w:sz w:val="24"/>
          <w:szCs w:val="24"/>
          <w:rtl/>
        </w:rPr>
        <w:t xml:space="preserve"> قتادة وأيوب وبكر المزني ويونس بن عبيد وحميد الطويل بأنه أعلم وأفقه أهل زمانه، قال أبو بردة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أدركت الصحابة فما رأيت أحداً أشبه بهم من الحسن</w:t>
      </w:r>
      <w:r w:rsidRPr="00A52585">
        <w:rPr>
          <w:rFonts w:hint="cs"/>
          <w:sz w:val="24"/>
          <w:szCs w:val="24"/>
          <w:rtl/>
        </w:rPr>
        <w:t xml:space="preserve"> </w:t>
      </w:r>
      <w:r w:rsidR="00777DCB" w:rsidRPr="00A52585">
        <w:rPr>
          <w:rFonts w:hint="cs"/>
          <w:sz w:val="24"/>
          <w:szCs w:val="24"/>
          <w:rtl/>
        </w:rPr>
        <w:t>" وقال مطر الوراق</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كان جابر بن زيد رجل أهل البصرة فلما ظهر الحسن جاء رجل كأنما كان في الآخرة فهو يخبر عما رأى وعاين</w:t>
      </w:r>
      <w:r w:rsidRPr="00A52585">
        <w:rPr>
          <w:rFonts w:hint="cs"/>
          <w:sz w:val="24"/>
          <w:szCs w:val="24"/>
          <w:rtl/>
        </w:rPr>
        <w:t xml:space="preserve"> </w:t>
      </w:r>
      <w:r w:rsidR="00777DCB" w:rsidRPr="00A52585">
        <w:rPr>
          <w:rFonts w:hint="cs"/>
          <w:sz w:val="24"/>
          <w:szCs w:val="24"/>
          <w:rtl/>
        </w:rPr>
        <w:t>" وكان إذا ذكر عند الإمام أبي جعفر محمد</w:t>
      </w:r>
      <w:r w:rsidRPr="00A52585">
        <w:rPr>
          <w:rFonts w:hint="cs"/>
          <w:sz w:val="24"/>
          <w:szCs w:val="24"/>
          <w:rtl/>
        </w:rPr>
        <w:t xml:space="preserve"> </w:t>
      </w:r>
      <w:r w:rsidR="00777DCB" w:rsidRPr="00A52585">
        <w:rPr>
          <w:rFonts w:hint="cs"/>
          <w:sz w:val="24"/>
          <w:szCs w:val="24"/>
          <w:rtl/>
        </w:rPr>
        <w:t>الباقر قال</w:t>
      </w:r>
      <w:r w:rsidRPr="00A52585">
        <w:rPr>
          <w:rFonts w:hint="cs"/>
          <w:sz w:val="24"/>
          <w:szCs w:val="24"/>
          <w:rtl/>
        </w:rPr>
        <w:t>:</w:t>
      </w:r>
      <w:r w:rsidR="00777DCB" w:rsidRPr="00A52585">
        <w:rPr>
          <w:rFonts w:hint="cs"/>
          <w:sz w:val="24"/>
          <w:szCs w:val="24"/>
          <w:rtl/>
        </w:rPr>
        <w:t xml:space="preserve"> " ذاك الذي يشبه كلامه كلام الأنبياء</w:t>
      </w:r>
      <w:r w:rsidRPr="00A52585">
        <w:rPr>
          <w:rFonts w:hint="cs"/>
          <w:sz w:val="24"/>
          <w:szCs w:val="24"/>
          <w:rtl/>
        </w:rPr>
        <w:t xml:space="preserve"> </w:t>
      </w:r>
      <w:r w:rsidR="00777DCB" w:rsidRPr="00A52585">
        <w:rPr>
          <w:rFonts w:hint="cs"/>
          <w:sz w:val="24"/>
          <w:szCs w:val="24"/>
          <w:rtl/>
        </w:rPr>
        <w:t xml:space="preserve">" وكفى بها شهادة من إمام آل البيت في </w:t>
      </w:r>
      <w:r w:rsidR="00777DCB" w:rsidRPr="00A52585">
        <w:rPr>
          <w:rFonts w:hint="cs"/>
          <w:sz w:val="24"/>
          <w:szCs w:val="24"/>
          <w:rtl/>
        </w:rPr>
        <w:lastRenderedPageBreak/>
        <w:t>عصره، بل قال تلميذه يونس بن عبيد</w:t>
      </w:r>
      <w:r w:rsidRPr="00A52585">
        <w:rPr>
          <w:rFonts w:hint="cs"/>
          <w:sz w:val="24"/>
          <w:szCs w:val="24"/>
          <w:rtl/>
        </w:rPr>
        <w:t>:</w:t>
      </w:r>
      <w:r w:rsidR="00777DCB" w:rsidRPr="00A52585">
        <w:rPr>
          <w:rFonts w:hint="cs"/>
          <w:sz w:val="24"/>
          <w:szCs w:val="24"/>
          <w:rtl/>
        </w:rPr>
        <w:t xml:space="preserve"> " إن كان الرجل ليرى الحسن لا يسمع كلامه ولا يرى عمله فينتفع به " توفى عام 110هـ وعمره نحو 88 سنة]</w:t>
      </w:r>
      <w:r w:rsidR="00DB731D" w:rsidRPr="00A52585">
        <w:rPr>
          <w:rFonts w:hint="cs"/>
          <w:sz w:val="24"/>
          <w:szCs w:val="24"/>
          <w:rtl/>
        </w:rPr>
        <w:t>،</w:t>
      </w:r>
      <w:r w:rsidR="00777DCB" w:rsidRPr="00A52585">
        <w:rPr>
          <w:rFonts w:hint="cs"/>
          <w:rtl/>
        </w:rPr>
        <w:t xml:space="preserve"> وكان أبو عبد الله الأصبهاني من عباد الله الصالحين</w:t>
      </w:r>
      <w:r w:rsidR="00DB731D" w:rsidRPr="00A52585">
        <w:rPr>
          <w:rFonts w:hint="cs"/>
          <w:rtl/>
        </w:rPr>
        <w:t>،</w:t>
      </w:r>
      <w:r w:rsidR="00777DCB" w:rsidRPr="00A52585">
        <w:rPr>
          <w:rFonts w:hint="cs"/>
          <w:rtl/>
        </w:rPr>
        <w:t xml:space="preserve"> ومن </w:t>
      </w:r>
      <w:proofErr w:type="spellStart"/>
      <w:r w:rsidR="00777DCB" w:rsidRPr="00A52585">
        <w:rPr>
          <w:rFonts w:hint="cs"/>
          <w:rtl/>
        </w:rPr>
        <w:t>البكائين</w:t>
      </w:r>
      <w:proofErr w:type="spellEnd"/>
      <w:r w:rsidR="00777DCB" w:rsidRPr="00A52585">
        <w:rPr>
          <w:rFonts w:hint="cs"/>
          <w:rtl/>
        </w:rPr>
        <w:t xml:space="preserve"> ولم يكن بأصبهان أزهد منه ولا أورع منه قال</w:t>
      </w:r>
      <w:r w:rsidRPr="00A52585">
        <w:rPr>
          <w:rFonts w:hint="cs"/>
          <w:rtl/>
        </w:rPr>
        <w:t>:</w:t>
      </w:r>
      <w:r w:rsidR="00777DCB" w:rsidRPr="00A52585">
        <w:rPr>
          <w:rFonts w:hint="cs"/>
          <w:rtl/>
        </w:rPr>
        <w:t xml:space="preserve"> وقفت على عليّ بن </w:t>
      </w:r>
      <w:proofErr w:type="spellStart"/>
      <w:r w:rsidR="00777DCB" w:rsidRPr="00A52585">
        <w:rPr>
          <w:rFonts w:hint="cs"/>
          <w:rtl/>
        </w:rPr>
        <w:t>ماشاذة</w:t>
      </w:r>
      <w:proofErr w:type="spellEnd"/>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علي بن محمد بن أحمد بن ميلة أبو الحسن يعرف محمد بـ (ما شاذة) أشعري العقيدة من شيوخ الفقهاء وهو أيضاً من الصوفية يقول عنه الحافظ أبو نعيم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جمع بين علم الظاهر والباطن لا تأخذه في الله لومة لائم، كان ينكر على مشبهة الصوفية وغيرهم من الجهال فساد مقالتهم في الحلول والإباحة والتشبيه وغير ذلك من جميع أخلاقهم وقبح أفعالهم وأقوالهم فعدلوا عنه لما دعاهم إلى الحق جهلا وعناداً</w:t>
      </w:r>
      <w:r w:rsidRPr="00A52585">
        <w:rPr>
          <w:rFonts w:hint="cs"/>
          <w:sz w:val="24"/>
          <w:szCs w:val="24"/>
          <w:rtl/>
        </w:rPr>
        <w:t xml:space="preserve"> </w:t>
      </w:r>
      <w:r w:rsidR="00777DCB" w:rsidRPr="00A52585">
        <w:rPr>
          <w:rFonts w:hint="cs"/>
          <w:sz w:val="24"/>
          <w:szCs w:val="24"/>
          <w:rtl/>
        </w:rPr>
        <w:t>" ويبدو أن إنكاره على مخالفيه قد جرَّ إلى الشطط في بعض المواقف فكان ما ذكره المؤلف غفر الله لناولهم جميعاً والله تعالى أعلم</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وهو يتكلم على الناس قال</w:t>
      </w:r>
      <w:r w:rsidRPr="00A52585">
        <w:rPr>
          <w:rFonts w:hint="cs"/>
          <w:rtl/>
        </w:rPr>
        <w:t>:</w:t>
      </w:r>
      <w:r w:rsidR="00777DCB" w:rsidRPr="00A52585">
        <w:rPr>
          <w:rFonts w:hint="cs"/>
          <w:rtl/>
        </w:rPr>
        <w:t xml:space="preserve"> فلما جاء الليل رأيت رب العزة في النوم</w:t>
      </w:r>
      <w:r w:rsidR="00DB731D" w:rsidRPr="00A52585">
        <w:rPr>
          <w:rFonts w:hint="cs"/>
          <w:rtl/>
        </w:rPr>
        <w:t>،</w:t>
      </w:r>
      <w:r w:rsidR="00777DCB" w:rsidRPr="00A52585">
        <w:rPr>
          <w:rFonts w:hint="cs"/>
          <w:rtl/>
        </w:rPr>
        <w:t xml:space="preserve"> فقال لي</w:t>
      </w:r>
      <w:r w:rsidRPr="00A52585">
        <w:rPr>
          <w:rFonts w:hint="cs"/>
          <w:rtl/>
        </w:rPr>
        <w:t>:</w:t>
      </w:r>
      <w:r w:rsidR="00777DCB" w:rsidRPr="00A52585">
        <w:rPr>
          <w:rFonts w:hint="cs"/>
          <w:rtl/>
        </w:rPr>
        <w:t xml:space="preserve"> وقفت على مبتدع وسمعت كلامه</w:t>
      </w:r>
      <w:r w:rsidR="00DB731D" w:rsidRPr="00A52585">
        <w:rPr>
          <w:rFonts w:hint="cs"/>
          <w:rtl/>
        </w:rPr>
        <w:t>،</w:t>
      </w:r>
      <w:r w:rsidR="00777DCB" w:rsidRPr="00A52585">
        <w:rPr>
          <w:rFonts w:hint="cs"/>
          <w:rtl/>
        </w:rPr>
        <w:t xml:space="preserve"> </w:t>
      </w:r>
      <w:proofErr w:type="spellStart"/>
      <w:r w:rsidR="00777DCB" w:rsidRPr="00A52585">
        <w:rPr>
          <w:rFonts w:hint="cs"/>
          <w:rtl/>
        </w:rPr>
        <w:t>لأحرمنك</w:t>
      </w:r>
      <w:proofErr w:type="spellEnd"/>
      <w:r w:rsidR="00777DCB" w:rsidRPr="00A52585">
        <w:rPr>
          <w:rFonts w:hint="cs"/>
          <w:rtl/>
        </w:rPr>
        <w:t xml:space="preserve"> النظر في الدنيا</w:t>
      </w:r>
      <w:r w:rsidR="00DB731D" w:rsidRPr="00A52585">
        <w:rPr>
          <w:rFonts w:hint="cs"/>
          <w:rtl/>
        </w:rPr>
        <w:t>،</w:t>
      </w:r>
      <w:r w:rsidR="00777DCB" w:rsidRPr="00A52585">
        <w:rPr>
          <w:rFonts w:hint="cs"/>
          <w:rtl/>
        </w:rPr>
        <w:t xml:space="preserve"> فاستيقظ وعيناه مفتوحتان لا ينضر بهما شيئاً</w:t>
      </w:r>
      <w:r w:rsidR="00DB731D" w:rsidRPr="00A52585">
        <w:rPr>
          <w:rFonts w:hint="cs"/>
          <w:rtl/>
        </w:rPr>
        <w:t>،</w:t>
      </w:r>
      <w:r w:rsidR="00777DCB" w:rsidRPr="00A52585">
        <w:rPr>
          <w:rFonts w:hint="cs"/>
          <w:rtl/>
        </w:rPr>
        <w:t xml:space="preserve"> وقال الحميدي</w:t>
      </w:r>
      <w:r w:rsidRPr="00A52585">
        <w:rPr>
          <w:rFonts w:hint="cs"/>
          <w:rtl/>
        </w:rPr>
        <w:t>:</w:t>
      </w:r>
      <w:r w:rsidR="00777DCB" w:rsidRPr="00A52585">
        <w:rPr>
          <w:rFonts w:hint="cs"/>
          <w:rtl/>
        </w:rPr>
        <w:t xml:space="preserve"> سمعت الفضيل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الفضيل بن عياض بن مسعود بن بشر التميمي اليربوعي أبو علي الزاهد الخراساني محدث ثقة ومن أئمة التصوف توفى عام 187هـ قال ابن سعد</w:t>
      </w:r>
      <w:r w:rsidRPr="00A52585">
        <w:rPr>
          <w:rFonts w:hint="cs"/>
          <w:sz w:val="24"/>
          <w:szCs w:val="24"/>
          <w:rtl/>
        </w:rPr>
        <w:t>:</w:t>
      </w:r>
      <w:r w:rsidR="00777DCB" w:rsidRPr="00A52585">
        <w:rPr>
          <w:rFonts w:hint="cs"/>
          <w:sz w:val="24"/>
          <w:szCs w:val="24"/>
          <w:rtl/>
        </w:rPr>
        <w:t xml:space="preserve"> ولد بخراسان بكورة </w:t>
      </w:r>
      <w:proofErr w:type="spellStart"/>
      <w:r w:rsidR="00777DCB" w:rsidRPr="00A52585">
        <w:rPr>
          <w:rFonts w:hint="cs"/>
          <w:sz w:val="24"/>
          <w:szCs w:val="24"/>
          <w:rtl/>
        </w:rPr>
        <w:t>أبيورد</w:t>
      </w:r>
      <w:proofErr w:type="spellEnd"/>
      <w:r w:rsidR="00777DCB" w:rsidRPr="00A52585">
        <w:rPr>
          <w:rFonts w:hint="cs"/>
          <w:sz w:val="24"/>
          <w:szCs w:val="24"/>
          <w:rtl/>
        </w:rPr>
        <w:t xml:space="preserve"> وقدم الكوفة وهو كبير فسمع الحديث من منصور وغيره ثم تعبد وانتقل إلى مكة فنزلها إلى أن مات بها في أول سنة سبع وثمانين ومائة، وكان ثقة نبيلا فاضلا عابداً ورعاً كثير الحديث، ذكره ابن حبان في الثقات وقال</w:t>
      </w:r>
      <w:r w:rsidRPr="00A52585">
        <w:rPr>
          <w:rFonts w:hint="cs"/>
          <w:sz w:val="24"/>
          <w:szCs w:val="24"/>
          <w:rtl/>
        </w:rPr>
        <w:t>:</w:t>
      </w:r>
      <w:r w:rsidR="00777DCB" w:rsidRPr="00A52585">
        <w:rPr>
          <w:rFonts w:hint="cs"/>
          <w:sz w:val="24"/>
          <w:szCs w:val="24"/>
          <w:rtl/>
        </w:rPr>
        <w:t xml:space="preserve"> أقام بالبيت الحرام مجاوراً مع الجهد الشديد والورع الدائم والخوف الوافر والبكاء الكثير والتخلي بالوحدة ورفض الناس وما عليه أسباب الدنيا إلى أن مات بها]</w:t>
      </w:r>
      <w:r w:rsidR="00777DCB" w:rsidRPr="00A52585">
        <w:rPr>
          <w:rFonts w:hint="cs"/>
          <w:rtl/>
        </w:rPr>
        <w:t xml:space="preserve"> يقول</w:t>
      </w:r>
      <w:r w:rsidRPr="00A52585">
        <w:rPr>
          <w:rFonts w:hint="cs"/>
          <w:rtl/>
        </w:rPr>
        <w:t>:</w:t>
      </w:r>
      <w:r w:rsidR="00777DCB" w:rsidRPr="00A52585">
        <w:rPr>
          <w:rFonts w:hint="cs"/>
          <w:rtl/>
        </w:rPr>
        <w:t xml:space="preserve"> من وقر صاحب بدعة أورثه الله العمى قبل موته قيل</w:t>
      </w:r>
      <w:r w:rsidRPr="00A52585">
        <w:rPr>
          <w:rFonts w:hint="cs"/>
          <w:rtl/>
        </w:rPr>
        <w:t>:</w:t>
      </w:r>
      <w:r w:rsidR="00777DCB" w:rsidRPr="00A52585">
        <w:rPr>
          <w:rFonts w:hint="cs"/>
          <w:rtl/>
        </w:rPr>
        <w:t xml:space="preserve"> أراد أيضاً عمى البصيرة</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صاحب (نجم المهتدي)</w:t>
      </w:r>
      <w:r w:rsidRPr="00A52585">
        <w:rPr>
          <w:rFonts w:hint="cs"/>
          <w:sz w:val="24"/>
          <w:szCs w:val="24"/>
          <w:rtl/>
        </w:rPr>
        <w:t xml:space="preserve">: </w:t>
      </w:r>
      <w:r w:rsidR="00777DCB" w:rsidRPr="00A52585">
        <w:rPr>
          <w:rFonts w:hint="cs"/>
          <w:sz w:val="24"/>
          <w:szCs w:val="24"/>
          <w:rtl/>
        </w:rPr>
        <w:t>" روى عن الفضيل بن عياض قال</w:t>
      </w:r>
      <w:r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نظر المؤمن إلى المؤمن جلاء القلب، ونظر الرجل إلى صاحب البدعة يورث العمي. قال</w:t>
      </w:r>
      <w:r w:rsidRPr="00A52585">
        <w:rPr>
          <w:rFonts w:hint="cs"/>
          <w:sz w:val="24"/>
          <w:szCs w:val="24"/>
          <w:rtl/>
        </w:rPr>
        <w:t>:</w:t>
      </w:r>
      <w:r w:rsidR="00777DCB" w:rsidRPr="00A52585">
        <w:rPr>
          <w:rFonts w:hint="cs"/>
          <w:sz w:val="24"/>
          <w:szCs w:val="24"/>
          <w:rtl/>
        </w:rPr>
        <w:t xml:space="preserve"> آكل عند اليهودي والنصراني أحب إلى من أكل عند صاحب بدعة، فإني إذا أكلت عندهما لا يقتدي بي وإذا أكلت عند صاحب بدعة اقتدى الناس بي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ونقل عنه أيضاً قوله (عمل قليل في سُنّة خير من عمل كثير من صاحب بدعة) مما يوضح أن ما يفعله خوارج العصر من اتباع ابن تيمية من تمسك بالمظاهر في الملبس والسلوك لا يغنيهم عند الله شيئاً، ولا ينبغي أن يكون محل تقدير منا إطلاقاً، بالنظر إلى فساد عقيدتهم وانحرافهم عن جماعة المسلمين</w:t>
      </w:r>
      <w:r w:rsidRPr="00A52585">
        <w:rPr>
          <w:rFonts w:hint="cs"/>
          <w:sz w:val="24"/>
          <w:szCs w:val="24"/>
          <w:rtl/>
        </w:rPr>
        <w:t>]</w:t>
      </w:r>
      <w:r w:rsidR="00DB731D" w:rsidRPr="00A52585">
        <w:rPr>
          <w:rFonts w:hint="cs"/>
          <w:sz w:val="24"/>
          <w:szCs w:val="24"/>
          <w:rtl/>
        </w:rPr>
        <w:t>،</w:t>
      </w:r>
      <w:r w:rsidR="00777DCB" w:rsidRPr="00A52585">
        <w:rPr>
          <w:rFonts w:hint="cs"/>
          <w:rtl/>
        </w:rPr>
        <w:t xml:space="preserve"> واعلم أن الكلام على البدعة وأهلها فيه طول جداً</w:t>
      </w:r>
      <w:r w:rsidR="00DB731D" w:rsidRPr="00A52585">
        <w:rPr>
          <w:rFonts w:hint="cs"/>
          <w:rtl/>
        </w:rPr>
        <w:t>،</w:t>
      </w:r>
      <w:r w:rsidR="00777DCB" w:rsidRPr="00A52585">
        <w:rPr>
          <w:rFonts w:hint="cs"/>
          <w:rtl/>
        </w:rPr>
        <w:t xml:space="preserve"> وقد ذكرت جملة منه في كتاب (</w:t>
      </w:r>
      <w:r w:rsidRPr="00A52585">
        <w:rPr>
          <w:rFonts w:hint="cs"/>
          <w:rtl/>
        </w:rPr>
        <w:t>(</w:t>
      </w:r>
      <w:r w:rsidR="00777DCB" w:rsidRPr="00A52585">
        <w:rPr>
          <w:rFonts w:hint="cs"/>
          <w:rtl/>
        </w:rPr>
        <w:t>تنبيه السالك على مظان المهالك</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[2-] ومنها</w:t>
      </w:r>
      <w:r w:rsidRPr="00A52585">
        <w:rPr>
          <w:rFonts w:hint="cs"/>
          <w:rtl/>
        </w:rPr>
        <w:t>:</w:t>
      </w:r>
      <w:r w:rsidR="00777DCB" w:rsidRPr="00A52585">
        <w:rPr>
          <w:rFonts w:hint="cs"/>
          <w:rtl/>
        </w:rPr>
        <w:t xml:space="preserve"> </w:t>
      </w:r>
      <w:r w:rsidR="00777DCB" w:rsidRPr="00A52585">
        <w:rPr>
          <w:rFonts w:hint="cs"/>
          <w:bCs/>
          <w:rtl/>
        </w:rPr>
        <w:t>أن يكون الواعظ سيء الطعمة.</w:t>
      </w:r>
      <w:r w:rsidR="00777DCB" w:rsidRPr="00A52585">
        <w:rPr>
          <w:rFonts w:hint="cs"/>
          <w:rtl/>
        </w:rPr>
        <w:t xml:space="preserve"> فإنه إنما ينطق بالهوى</w:t>
      </w:r>
      <w:r w:rsidR="00DB731D" w:rsidRPr="00A52585">
        <w:rPr>
          <w:rFonts w:hint="cs"/>
          <w:rtl/>
        </w:rPr>
        <w:t>،</w:t>
      </w:r>
      <w:r w:rsidR="00777DCB" w:rsidRPr="00A52585">
        <w:rPr>
          <w:rFonts w:hint="cs"/>
          <w:rtl/>
        </w:rPr>
        <w:t xml:space="preserve"> لأن مثل هذا يوقع الناس في الحرام وربما اعتقدوا حله لأنهم يعتقدون به في فعله بواسطة قوله</w:t>
      </w:r>
      <w:r w:rsidR="00DB731D" w:rsidRPr="00A52585">
        <w:rPr>
          <w:rFonts w:hint="cs"/>
          <w:rtl/>
        </w:rPr>
        <w:t>،</w:t>
      </w:r>
      <w:r w:rsidR="00777DCB" w:rsidRPr="00A52585">
        <w:rPr>
          <w:rFonts w:hint="cs"/>
          <w:rtl/>
        </w:rPr>
        <w:t xml:space="preserve"> </w:t>
      </w:r>
      <w:r w:rsidR="00777DCB" w:rsidRPr="00A52585">
        <w:rPr>
          <w:rFonts w:hint="cs"/>
          <w:bCs/>
          <w:rtl/>
        </w:rPr>
        <w:t>[3-]ومنها</w:t>
      </w:r>
      <w:r w:rsidRPr="00A52585">
        <w:rPr>
          <w:rFonts w:hint="cs"/>
          <w:bCs/>
          <w:rtl/>
        </w:rPr>
        <w:t>:</w:t>
      </w:r>
      <w:r w:rsidR="00777DCB" w:rsidRPr="00A52585">
        <w:rPr>
          <w:rFonts w:hint="cs"/>
          <w:bCs/>
          <w:rtl/>
        </w:rPr>
        <w:t xml:space="preserve"> أن يكون ردئ العقل أحمق</w:t>
      </w:r>
      <w:r w:rsidR="00DB731D" w:rsidRPr="00A52585">
        <w:rPr>
          <w:rFonts w:hint="cs"/>
          <w:rtl/>
        </w:rPr>
        <w:t>،</w:t>
      </w:r>
      <w:r w:rsidR="00777DCB" w:rsidRPr="00A52585">
        <w:rPr>
          <w:rFonts w:hint="cs"/>
          <w:rtl/>
        </w:rPr>
        <w:t xml:space="preserve"> فإنه يفسد بحمقه أكثر مما يصلح</w:t>
      </w:r>
      <w:r w:rsidR="00DB731D" w:rsidRPr="00A52585">
        <w:rPr>
          <w:rFonts w:hint="cs"/>
          <w:rtl/>
        </w:rPr>
        <w:t>،</w:t>
      </w:r>
      <w:r w:rsidR="00777DCB" w:rsidRPr="00A52585">
        <w:rPr>
          <w:rFonts w:hint="cs"/>
          <w:rtl/>
        </w:rPr>
        <w:t xml:space="preserve"> والأحمق</w:t>
      </w:r>
      <w:r w:rsidRPr="00A52585">
        <w:rPr>
          <w:rFonts w:hint="cs"/>
          <w:rtl/>
        </w:rPr>
        <w:t>:</w:t>
      </w:r>
      <w:r w:rsidR="00777DCB" w:rsidRPr="00A52585">
        <w:rPr>
          <w:rFonts w:hint="cs"/>
          <w:rtl/>
        </w:rPr>
        <w:t xml:space="preserve"> هو الذي يضع الشيء في غير موضعه ويعتقد أنه يصيب</w:t>
      </w:r>
      <w:r w:rsidR="00DB731D" w:rsidRPr="00A52585">
        <w:rPr>
          <w:rFonts w:hint="cs"/>
          <w:rtl/>
        </w:rPr>
        <w:t>،</w:t>
      </w:r>
      <w:r w:rsidR="00777DCB" w:rsidRPr="00A52585">
        <w:rPr>
          <w:rFonts w:hint="cs"/>
          <w:rtl/>
        </w:rPr>
        <w:t xml:space="preserve"> قال عيسى عليه السلام</w:t>
      </w:r>
      <w:r w:rsidRPr="00A52585">
        <w:rPr>
          <w:rFonts w:hint="cs"/>
          <w:rtl/>
        </w:rPr>
        <w:t>:</w:t>
      </w:r>
      <w:r w:rsidR="00777DCB" w:rsidRPr="00A52585">
        <w:rPr>
          <w:rFonts w:hint="cs"/>
          <w:rtl/>
        </w:rPr>
        <w:t xml:space="preserve"> أبرأت الأكمه والأبرص</w:t>
      </w:r>
      <w:r w:rsidR="00DB731D" w:rsidRPr="00A52585">
        <w:rPr>
          <w:rFonts w:hint="cs"/>
          <w:rtl/>
        </w:rPr>
        <w:t>،</w:t>
      </w:r>
      <w:r w:rsidR="00777DCB" w:rsidRPr="00A52585">
        <w:rPr>
          <w:rFonts w:hint="cs"/>
          <w:rtl/>
        </w:rPr>
        <w:t xml:space="preserve"> وأعياني الأحمق</w:t>
      </w:r>
      <w:r w:rsidR="00DB731D" w:rsidRPr="00A52585">
        <w:rPr>
          <w:rFonts w:hint="cs"/>
          <w:rtl/>
        </w:rPr>
        <w:t>،</w:t>
      </w:r>
      <w:r w:rsidR="00777DCB" w:rsidRPr="00A52585">
        <w:rPr>
          <w:rFonts w:hint="cs"/>
          <w:rtl/>
        </w:rPr>
        <w:t xml:space="preserve"> فالأحمق </w:t>
      </w:r>
      <w:proofErr w:type="spellStart"/>
      <w:r w:rsidR="00777DCB" w:rsidRPr="00A52585">
        <w:rPr>
          <w:rFonts w:hint="cs"/>
          <w:rtl/>
        </w:rPr>
        <w:t>مقصوده</w:t>
      </w:r>
      <w:proofErr w:type="spellEnd"/>
      <w:r w:rsidR="00777DCB" w:rsidRPr="00A52585">
        <w:rPr>
          <w:rFonts w:hint="cs"/>
          <w:rtl/>
        </w:rPr>
        <w:t xml:space="preserve"> صحيح</w:t>
      </w:r>
      <w:r w:rsidR="00DB731D" w:rsidRPr="00A52585">
        <w:rPr>
          <w:rFonts w:hint="cs"/>
          <w:rtl/>
        </w:rPr>
        <w:t>،</w:t>
      </w:r>
      <w:r w:rsidR="00777DCB" w:rsidRPr="00A52585">
        <w:rPr>
          <w:rFonts w:hint="cs"/>
          <w:rtl/>
        </w:rPr>
        <w:t xml:space="preserve"> ولكن سلوكه للطريق فاسد فلا يكون له رؤية صحيحة في طريق الوصول إلى الغرض ويختار </w:t>
      </w:r>
      <w:r w:rsidR="00777DCB" w:rsidRPr="00A52585">
        <w:rPr>
          <w:rFonts w:hint="cs"/>
          <w:rtl/>
        </w:rPr>
        <w:lastRenderedPageBreak/>
        <w:t>مالا ينبغي أن يخُتار وهذا واجب الاجتناب بخلاف صاحب العقل الصحيح فإنه يثمر حسن النظر وجودة التدبير وثقافة الرأي</w:t>
      </w:r>
      <w:r w:rsidR="00DB731D" w:rsidRPr="00A52585">
        <w:rPr>
          <w:rFonts w:hint="cs"/>
          <w:rtl/>
        </w:rPr>
        <w:t>،</w:t>
      </w:r>
      <w:r w:rsidR="00777DCB" w:rsidRPr="00A52585">
        <w:rPr>
          <w:rFonts w:hint="cs"/>
          <w:rtl/>
        </w:rPr>
        <w:t xml:space="preserve"> وإصابة الظن والتفطن لدقائق الأدلة والأعمال وخفايا النفس الأمارة وغرور الشيطان</w:t>
      </w:r>
      <w:r w:rsidR="00DB731D" w:rsidRPr="00A52585">
        <w:rPr>
          <w:rFonts w:hint="cs"/>
          <w:rtl/>
        </w:rPr>
        <w:t>،</w:t>
      </w:r>
      <w:r w:rsidR="00777DCB" w:rsidRPr="00A52585">
        <w:rPr>
          <w:rFonts w:hint="cs"/>
          <w:rtl/>
        </w:rPr>
        <w:t xml:space="preserve"> </w:t>
      </w:r>
      <w:r w:rsidR="00777DCB" w:rsidRPr="00A52585">
        <w:rPr>
          <w:rFonts w:hint="cs"/>
          <w:bCs/>
          <w:rtl/>
        </w:rPr>
        <w:t>[4-] ومنها</w:t>
      </w:r>
      <w:r w:rsidRPr="00A52585">
        <w:rPr>
          <w:rFonts w:hint="cs"/>
          <w:bCs/>
          <w:rtl/>
        </w:rPr>
        <w:t>:</w:t>
      </w:r>
      <w:r w:rsidR="00777DCB" w:rsidRPr="00A52585">
        <w:rPr>
          <w:rFonts w:hint="cs"/>
          <w:bCs/>
          <w:rtl/>
        </w:rPr>
        <w:t xml:space="preserve"> أن يذكر الأدلة التي هي رجاء وتوسعة على النفوس</w:t>
      </w:r>
      <w:r w:rsidR="00DB731D" w:rsidRPr="00A52585">
        <w:rPr>
          <w:rFonts w:hint="cs"/>
          <w:bCs/>
          <w:rtl/>
        </w:rPr>
        <w:t>،</w:t>
      </w:r>
      <w:r w:rsidR="00777DCB" w:rsidRPr="00A52585">
        <w:rPr>
          <w:rFonts w:hint="cs"/>
          <w:bCs/>
          <w:rtl/>
        </w:rPr>
        <w:t xml:space="preserve"> ويسكت عن آيات الخوف والرهبة</w:t>
      </w:r>
      <w:r w:rsidR="00DB731D" w:rsidRPr="00A52585">
        <w:rPr>
          <w:rFonts w:hint="cs"/>
          <w:rtl/>
        </w:rPr>
        <w:t>،</w:t>
      </w:r>
      <w:r w:rsidR="00777DCB" w:rsidRPr="00A52585">
        <w:rPr>
          <w:rFonts w:hint="cs"/>
          <w:rtl/>
        </w:rPr>
        <w:t xml:space="preserve"> وكذا الأخبار والآثار</w:t>
      </w:r>
      <w:r w:rsidR="00DB731D" w:rsidRPr="00A52585">
        <w:rPr>
          <w:rFonts w:hint="cs"/>
          <w:rtl/>
        </w:rPr>
        <w:t>،</w:t>
      </w:r>
      <w:r w:rsidR="00777DCB" w:rsidRPr="00A52585">
        <w:rPr>
          <w:rFonts w:hint="cs"/>
          <w:rtl/>
        </w:rPr>
        <w:t xml:space="preserve"> لأنه بذلك يحل من القلوب الزواجر ويسهل ارتكاب المعاصي لا سيما إذا عُلم منه ارتكاب شيء ولو كان مكروها فإنه يوقع الناس في ورطة عظيمة</w:t>
      </w:r>
      <w:r w:rsidR="00DB731D" w:rsidRPr="00A52585">
        <w:rPr>
          <w:rFonts w:hint="cs"/>
          <w:rtl/>
        </w:rPr>
        <w:t>،</w:t>
      </w:r>
      <w:r w:rsidR="00777DCB" w:rsidRPr="00A52585">
        <w:rPr>
          <w:rFonts w:hint="cs"/>
          <w:rtl/>
        </w:rPr>
        <w:t xml:space="preserve"> قال الحسن</w:t>
      </w:r>
      <w:r w:rsidRPr="00A52585">
        <w:rPr>
          <w:rFonts w:hint="cs"/>
          <w:rtl/>
        </w:rPr>
        <w:t>:</w:t>
      </w:r>
      <w:r w:rsidR="00777DCB" w:rsidRPr="00A52585">
        <w:rPr>
          <w:rFonts w:hint="cs"/>
          <w:rtl/>
        </w:rPr>
        <w:t xml:space="preserve"> إذا عبث العلماء بالمكروه عبث العوام بالحرام</w:t>
      </w:r>
      <w:r w:rsidR="00DB731D" w:rsidRPr="00A52585">
        <w:rPr>
          <w:rFonts w:hint="cs"/>
          <w:rtl/>
        </w:rPr>
        <w:t>،</w:t>
      </w:r>
      <w:r w:rsidR="00777DCB" w:rsidRPr="00A52585">
        <w:rPr>
          <w:rFonts w:hint="cs"/>
          <w:rtl/>
        </w:rPr>
        <w:t xml:space="preserve"> وإذا عبث العلماء بالحرام كفر العوام</w:t>
      </w:r>
      <w:r w:rsidR="00DB731D" w:rsidRPr="00A52585">
        <w:rPr>
          <w:rFonts w:hint="cs"/>
          <w:rtl/>
        </w:rPr>
        <w:t>،</w:t>
      </w:r>
      <w:r w:rsidR="00777DCB" w:rsidRPr="00A52585">
        <w:rPr>
          <w:rFonts w:hint="cs"/>
          <w:rtl/>
        </w:rPr>
        <w:t xml:space="preserve"> منها</w:t>
      </w:r>
      <w:r w:rsidRPr="00A52585">
        <w:rPr>
          <w:rFonts w:hint="cs"/>
          <w:rtl/>
        </w:rPr>
        <w:t>:</w:t>
      </w:r>
      <w:r w:rsidR="00777DCB" w:rsidRPr="00A52585">
        <w:rPr>
          <w:rFonts w:hint="cs"/>
          <w:rtl/>
        </w:rPr>
        <w:t xml:space="preserve"> أنهم يعتقدون حله لارتكاب العلماء ذلك لأنهم القادة وعليهم المعوّل في التحليل والتحريم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ومنها كذلك أن يفعل العكس بأن يذكر فقط آيات الخوف والرهبة حتى يورث النفوس البأس والقنوط ويملأ القلوب بالقسوة والغلــظة وهذا يحدث كثيراً من خــوارج عصرنا. قال حجة الإسلام الغزالي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من عبد الله بالخوف فهو حروري</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لأنه لن يرتقي إلى درجة محبة الله سبحانه والتي تحدث من تأمل نعمه وأفضاله قال صلى الله عليه وسلم</w:t>
      </w:r>
      <w:r w:rsidRPr="00A52585">
        <w:rPr>
          <w:rFonts w:hint="cs"/>
          <w:sz w:val="24"/>
          <w:szCs w:val="24"/>
          <w:rtl/>
        </w:rPr>
        <w:t xml:space="preserve">: </w:t>
      </w:r>
      <w:r w:rsidR="00777DCB" w:rsidRPr="00A52585">
        <w:rPr>
          <w:rFonts w:hint="cs"/>
          <w:sz w:val="24"/>
          <w:szCs w:val="24"/>
          <w:rtl/>
        </w:rPr>
        <w:t xml:space="preserve">" أحبو الله لما </w:t>
      </w:r>
      <w:proofErr w:type="spellStart"/>
      <w:r w:rsidR="00777DCB" w:rsidRPr="00A52585">
        <w:rPr>
          <w:rFonts w:hint="cs"/>
          <w:sz w:val="24"/>
          <w:szCs w:val="24"/>
          <w:rtl/>
        </w:rPr>
        <w:t>يغذوكم</w:t>
      </w:r>
      <w:proofErr w:type="spellEnd"/>
      <w:r w:rsidR="00777DCB" w:rsidRPr="00A52585">
        <w:rPr>
          <w:rFonts w:hint="cs"/>
          <w:sz w:val="24"/>
          <w:szCs w:val="24"/>
          <w:rtl/>
        </w:rPr>
        <w:t xml:space="preserve"> به</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الحديث]</w:t>
      </w:r>
      <w:r w:rsidR="00DB731D" w:rsidRPr="00A52585">
        <w:rPr>
          <w:rFonts w:hint="cs"/>
          <w:rtl/>
        </w:rPr>
        <w:t>،</w:t>
      </w:r>
      <w:r w:rsidRPr="00A52585">
        <w:rPr>
          <w:rFonts w:hint="cs"/>
          <w:rtl/>
        </w:rPr>
        <w:t xml:space="preserve"> </w:t>
      </w:r>
      <w:r w:rsidR="00777DCB" w:rsidRPr="00A52585">
        <w:rPr>
          <w:rFonts w:hint="cs"/>
          <w:bCs/>
          <w:rtl/>
        </w:rPr>
        <w:t>[5-] ومنها</w:t>
      </w:r>
      <w:r w:rsidRPr="00A52585">
        <w:rPr>
          <w:rFonts w:hint="cs"/>
          <w:bCs/>
          <w:rtl/>
        </w:rPr>
        <w:t>:</w:t>
      </w:r>
      <w:r w:rsidR="00777DCB" w:rsidRPr="00A52585">
        <w:rPr>
          <w:rFonts w:hint="cs"/>
          <w:bCs/>
          <w:rtl/>
        </w:rPr>
        <w:t xml:space="preserve"> أن يتعرض لآيات المتشابه وكذا الأخبار</w:t>
      </w:r>
      <w:r w:rsidR="00777DCB" w:rsidRPr="00A52585">
        <w:rPr>
          <w:rFonts w:hint="cs"/>
          <w:rtl/>
        </w:rPr>
        <w:t xml:space="preserve"> ويجمعها ويسردها أو يكرر الآية أو الخبر مراراً لأنه يوقع العامي فيما </w:t>
      </w:r>
      <w:proofErr w:type="spellStart"/>
      <w:r w:rsidR="00777DCB" w:rsidRPr="00A52585">
        <w:rPr>
          <w:rFonts w:hint="cs"/>
          <w:rtl/>
        </w:rPr>
        <w:t>اعتاده</w:t>
      </w:r>
      <w:proofErr w:type="spellEnd"/>
      <w:r w:rsidR="00777DCB" w:rsidRPr="00A52585">
        <w:rPr>
          <w:rFonts w:hint="cs"/>
          <w:rtl/>
        </w:rPr>
        <w:t xml:space="preserve"> وألفه</w:t>
      </w:r>
      <w:r w:rsidR="00DB731D" w:rsidRPr="00A52585">
        <w:rPr>
          <w:rFonts w:hint="cs"/>
          <w:rtl/>
        </w:rPr>
        <w:t>،</w:t>
      </w:r>
      <w:r w:rsidR="00777DCB" w:rsidRPr="00A52585">
        <w:rPr>
          <w:rFonts w:hint="cs"/>
          <w:rtl/>
        </w:rPr>
        <w:t xml:space="preserve"> فيجري صفات الخالق سبحانه وتعالى على ما ألفه وجرى عليه طبعه ويزينه الشيطان له بغروره</w:t>
      </w:r>
      <w:r w:rsidR="00DB731D" w:rsidRPr="00A52585">
        <w:rPr>
          <w:rFonts w:hint="cs"/>
          <w:rtl/>
        </w:rPr>
        <w:t>،</w:t>
      </w:r>
      <w:r w:rsidR="00777DCB" w:rsidRPr="00A52585">
        <w:rPr>
          <w:rFonts w:hint="cs"/>
          <w:rtl/>
        </w:rPr>
        <w:t xml:space="preserve"> لا سيما إن كان الواعظ ممن يظهر زهداً وورعاً وشفقة على الناس</w:t>
      </w:r>
      <w:r w:rsidR="00DB731D" w:rsidRPr="00A52585">
        <w:rPr>
          <w:rFonts w:hint="cs"/>
          <w:rtl/>
        </w:rPr>
        <w:t>،</w:t>
      </w:r>
      <w:r w:rsidR="00777DCB" w:rsidRPr="00A52585">
        <w:rPr>
          <w:rFonts w:hint="cs"/>
          <w:rtl/>
        </w:rPr>
        <w:t xml:space="preserve"> فكم من شخص حسن الظاهر خبيث الباطن جميل الظاهر قبيح السرائر والضمائر</w:t>
      </w:r>
      <w:r w:rsidR="00DB731D" w:rsidRPr="00A52585">
        <w:rPr>
          <w:rFonts w:hint="cs"/>
          <w:rtl/>
        </w:rPr>
        <w:t>،</w:t>
      </w:r>
      <w:r w:rsidR="00777DCB" w:rsidRPr="00A52585">
        <w:rPr>
          <w:rFonts w:hint="cs"/>
          <w:rtl/>
        </w:rPr>
        <w:t xml:space="preserve"> والسلف رضي الله عنهم لهم اعتناء بشدة مجانبة هذا والتباعد عنه</w:t>
      </w:r>
      <w:r w:rsidR="00DB731D" w:rsidRPr="00A52585">
        <w:rPr>
          <w:rFonts w:hint="cs"/>
          <w:rtl/>
        </w:rPr>
        <w:t>،</w:t>
      </w:r>
      <w:r w:rsidR="00777DCB" w:rsidRPr="00A52585">
        <w:rPr>
          <w:rFonts w:hint="cs"/>
          <w:bCs/>
          <w:rtl/>
        </w:rPr>
        <w:t>[6-</w:t>
      </w:r>
      <w:r w:rsidRPr="00A52585">
        <w:rPr>
          <w:rFonts w:hint="cs"/>
          <w:bCs/>
          <w:rtl/>
        </w:rPr>
        <w:t>]</w:t>
      </w:r>
      <w:r w:rsidR="00777DCB" w:rsidRPr="00A52585">
        <w:rPr>
          <w:rFonts w:hint="cs"/>
          <w:bCs/>
          <w:rtl/>
        </w:rPr>
        <w:t>ومنها</w:t>
      </w:r>
      <w:r w:rsidRPr="00A52585">
        <w:rPr>
          <w:rFonts w:hint="cs"/>
          <w:bCs/>
          <w:rtl/>
        </w:rPr>
        <w:t>:</w:t>
      </w:r>
      <w:r w:rsidR="00777DCB" w:rsidRPr="00A52585">
        <w:rPr>
          <w:rFonts w:hint="cs"/>
          <w:bCs/>
          <w:rtl/>
        </w:rPr>
        <w:t xml:space="preserve"> أن يكون متهماً بالرفض وسب الصحابة</w:t>
      </w:r>
      <w:r w:rsidR="00777DCB" w:rsidRPr="00A52585">
        <w:rPr>
          <w:rFonts w:hint="cs"/>
          <w:rtl/>
        </w:rPr>
        <w:t xml:space="preserve"> رضي الله عنهم</w:t>
      </w:r>
      <w:r w:rsidR="00DB731D" w:rsidRPr="00A52585">
        <w:rPr>
          <w:rFonts w:hint="cs"/>
          <w:rtl/>
        </w:rPr>
        <w:t>،</w:t>
      </w:r>
      <w:r w:rsidR="00777DCB" w:rsidRPr="00A52585">
        <w:rPr>
          <w:rFonts w:hint="cs"/>
          <w:rtl/>
        </w:rPr>
        <w:t xml:space="preserve"> وهؤلاء نبه مالك رضي الله عنه </w:t>
      </w:r>
      <w:r w:rsidR="00777DCB" w:rsidRPr="00A52585">
        <w:rPr>
          <w:rFonts w:hint="cs"/>
          <w:spacing w:val="-8"/>
          <w:rtl/>
        </w:rPr>
        <w:t>على أنهم من سلالة المنافقين وأوضح ذلك نور الله تعالى</w:t>
      </w:r>
      <w:r w:rsidR="00777DCB" w:rsidRPr="00A52585">
        <w:rPr>
          <w:rFonts w:hint="cs"/>
          <w:rtl/>
        </w:rPr>
        <w:t xml:space="preserve"> قلبه فقال</w:t>
      </w:r>
      <w:r w:rsidRPr="00A52585">
        <w:rPr>
          <w:rFonts w:hint="cs"/>
          <w:rtl/>
        </w:rPr>
        <w:t>:</w:t>
      </w:r>
      <w:r w:rsidR="00777DCB" w:rsidRPr="00A52585">
        <w:rPr>
          <w:rFonts w:hint="cs"/>
          <w:rtl/>
        </w:rPr>
        <w:t xml:space="preserve"> أرادوا أن يقدحوا النبي صلى الله عليه وسلم بشيء فلم يجدوا مَساغاً فقدحوا أَخِصَّاءه</w:t>
      </w:r>
      <w:r w:rsidR="00DB731D" w:rsidRPr="00A52585">
        <w:rPr>
          <w:rFonts w:hint="cs"/>
          <w:rtl/>
        </w:rPr>
        <w:t>،</w:t>
      </w:r>
      <w:r w:rsidR="00777DCB" w:rsidRPr="00A52585">
        <w:rPr>
          <w:rFonts w:hint="cs"/>
          <w:rtl/>
        </w:rPr>
        <w:t xml:space="preserve"> لأن القدح في الرجل قدح في صاحبه وخليطه</w:t>
      </w:r>
      <w:r w:rsidR="00DB731D" w:rsidRPr="00A52585">
        <w:rPr>
          <w:rFonts w:hint="cs"/>
          <w:rtl/>
        </w:rPr>
        <w:t>،</w:t>
      </w:r>
      <w:r w:rsidR="00777DCB" w:rsidRPr="00A52585">
        <w:rPr>
          <w:rFonts w:hint="cs"/>
          <w:rtl/>
        </w:rPr>
        <w:t xml:space="preserve"> وهؤلاء كفار لاستحلالهم سب أفضل الخلق بعد الأنبياء عليهم أفضل الصلاة والسلام</w:t>
      </w:r>
      <w:r w:rsidR="00DB731D" w:rsidRPr="00A52585">
        <w:rPr>
          <w:rFonts w:hint="cs"/>
          <w:rtl/>
        </w:rPr>
        <w:t>،</w:t>
      </w:r>
      <w:r w:rsidR="00777DCB" w:rsidRPr="00A52585">
        <w:rPr>
          <w:rFonts w:hint="cs"/>
          <w:rtl/>
        </w:rPr>
        <w:t xml:space="preserve"> منهم أقوام يلبسون على الناس بقراءة البخاري وغيره وهم لا يعتقدون البخاري ويسمونه فيما بينهم </w:t>
      </w:r>
      <w:proofErr w:type="spellStart"/>
      <w:r w:rsidR="00777DCB" w:rsidRPr="00A52585">
        <w:rPr>
          <w:rFonts w:hint="cs"/>
          <w:rtl/>
        </w:rPr>
        <w:t>الفشاري</w:t>
      </w:r>
      <w:proofErr w:type="spellEnd"/>
      <w:r w:rsidR="00777DCB" w:rsidRPr="00A52585">
        <w:rPr>
          <w:rFonts w:hint="cs"/>
          <w:rtl/>
        </w:rPr>
        <w:t xml:space="preserve"> ولهم خبائث عديدة كل واحدة كفر محقق</w:t>
      </w:r>
      <w:r w:rsidR="00DB731D" w:rsidRPr="00A52585">
        <w:rPr>
          <w:rFonts w:hint="cs"/>
          <w:rtl/>
        </w:rPr>
        <w:t>،</w:t>
      </w:r>
      <w:r w:rsidR="00777DCB" w:rsidRPr="00A52585">
        <w:rPr>
          <w:rFonts w:hint="cs"/>
          <w:rtl/>
        </w:rPr>
        <w:t xml:space="preserve"> </w:t>
      </w:r>
    </w:p>
    <w:p w14:paraId="486329DC" w14:textId="19517D1E" w:rsidR="00777DCB" w:rsidRPr="00A52585" w:rsidRDefault="0002035C" w:rsidP="0002035C">
      <w:pPr>
        <w:spacing w:after="240"/>
        <w:rPr>
          <w:b/>
          <w:bCs/>
          <w:rtl/>
        </w:rPr>
      </w:pPr>
      <w:r w:rsidRPr="00A52585">
        <w:rPr>
          <w:rFonts w:hint="cs"/>
          <w:bCs/>
          <w:rtl/>
        </w:rPr>
        <w:t>[</w:t>
      </w:r>
      <w:r w:rsidR="00777DCB" w:rsidRPr="00A52585">
        <w:rPr>
          <w:rFonts w:hint="cs"/>
          <w:bCs/>
          <w:rtl/>
        </w:rPr>
        <w:t>عدم الجلوس إلى المبتدعة وحراسة القلب والسمع عن كلامهم</w:t>
      </w:r>
      <w:r w:rsidRPr="00A52585">
        <w:rPr>
          <w:rFonts w:hint="cs"/>
          <w:bCs/>
          <w:rtl/>
        </w:rPr>
        <w:t>]:</w:t>
      </w:r>
      <w:r w:rsidR="00777DCB" w:rsidRPr="00A52585">
        <w:rPr>
          <w:rFonts w:hint="cs"/>
          <w:bCs/>
          <w:rtl/>
        </w:rPr>
        <w:t xml:space="preserve"> </w:t>
      </w:r>
      <w:r w:rsidR="00777DCB" w:rsidRPr="00A52585">
        <w:rPr>
          <w:rFonts w:hint="cs"/>
          <w:rtl/>
        </w:rPr>
        <w:t>وبقى أمور لا أطول بذكرها</w:t>
      </w:r>
      <w:r w:rsidR="00DB731D" w:rsidRPr="00A52585">
        <w:rPr>
          <w:rFonts w:hint="cs"/>
          <w:rtl/>
        </w:rPr>
        <w:t>،</w:t>
      </w:r>
      <w:r w:rsidR="00777DCB" w:rsidRPr="00A52585">
        <w:rPr>
          <w:rFonts w:hint="cs"/>
          <w:rtl/>
        </w:rPr>
        <w:t xml:space="preserve"> فمن أراد الله تعالى به خيراً حماه الله تعالى من مجالسة هؤلاء</w:t>
      </w:r>
      <w:r w:rsidR="00DB731D" w:rsidRPr="00A52585">
        <w:rPr>
          <w:rFonts w:hint="cs"/>
          <w:rtl/>
        </w:rPr>
        <w:t>،</w:t>
      </w:r>
      <w:r w:rsidR="00777DCB" w:rsidRPr="00A52585">
        <w:rPr>
          <w:rFonts w:hint="cs"/>
          <w:rtl/>
        </w:rPr>
        <w:t xml:space="preserve"> لأن القلب سريع الانقلاب</w:t>
      </w:r>
      <w:r w:rsidR="00DB731D" w:rsidRPr="00A52585">
        <w:rPr>
          <w:rFonts w:hint="cs"/>
          <w:rtl/>
        </w:rPr>
        <w:t>،</w:t>
      </w:r>
      <w:r w:rsidR="00777DCB" w:rsidRPr="00A52585">
        <w:rPr>
          <w:rFonts w:hint="cs"/>
          <w:rtl/>
        </w:rPr>
        <w:t xml:space="preserve"> وقبول الرخص والشبه</w:t>
      </w:r>
      <w:r w:rsidR="00DB731D" w:rsidRPr="00A52585">
        <w:rPr>
          <w:rFonts w:hint="cs"/>
          <w:rtl/>
        </w:rPr>
        <w:t>،</w:t>
      </w:r>
      <w:r w:rsidR="00777DCB" w:rsidRPr="00A52585">
        <w:rPr>
          <w:rFonts w:hint="cs"/>
          <w:rtl/>
        </w:rPr>
        <w:t xml:space="preserve"> فإذا عَلَقَ به الشبهة والريبة فبعيد أن ترتفع عن قلبه غشاوة ما وقر فيه وأقل ما ينال القلب التردد والحيرة</w:t>
      </w:r>
      <w:r w:rsidR="00DB731D" w:rsidRPr="00A52585">
        <w:rPr>
          <w:rFonts w:hint="cs"/>
          <w:rtl/>
        </w:rPr>
        <w:t>،</w:t>
      </w:r>
      <w:r w:rsidR="00777DCB" w:rsidRPr="00A52585">
        <w:rPr>
          <w:rFonts w:hint="cs"/>
          <w:rtl/>
        </w:rPr>
        <w:t xml:space="preserve"> وذلك عين الفتنة</w:t>
      </w:r>
      <w:r w:rsidR="00DB731D" w:rsidRPr="00A52585">
        <w:rPr>
          <w:rFonts w:hint="cs"/>
          <w:rtl/>
        </w:rPr>
        <w:t>،</w:t>
      </w:r>
      <w:r w:rsidR="00777DCB" w:rsidRPr="00A52585">
        <w:rPr>
          <w:rFonts w:hint="cs"/>
          <w:rtl/>
        </w:rPr>
        <w:t xml:space="preserve"> ومراد الشيطان</w:t>
      </w:r>
      <w:r w:rsidR="00DB731D" w:rsidRPr="00A52585">
        <w:rPr>
          <w:rFonts w:hint="cs"/>
          <w:rtl/>
        </w:rPr>
        <w:t>،</w:t>
      </w:r>
      <w:r w:rsidR="00777DCB" w:rsidRPr="00A52585">
        <w:rPr>
          <w:rFonts w:hint="cs"/>
          <w:rtl/>
        </w:rPr>
        <w:t xml:space="preserve"> فإن كان الذي دخل قلبه الشبهة عامياً والمبتدع أدخلها عليه بـ</w:t>
      </w:r>
      <w:r w:rsidRPr="00A52585">
        <w:rPr>
          <w:rFonts w:hint="cs"/>
          <w:rtl/>
        </w:rPr>
        <w:t>:</w:t>
      </w:r>
      <w:r w:rsidR="00777DCB" w:rsidRPr="00A52585">
        <w:rPr>
          <w:rFonts w:hint="cs"/>
          <w:rtl/>
        </w:rPr>
        <w:t xml:space="preserve"> قال الله عز وجل وقال رسول الله صلى الله عليه وسلم فبعيد أن يرجع وينقشع عن قلبه </w:t>
      </w:r>
      <w:r w:rsidR="00777DCB" w:rsidRPr="00A52585">
        <w:rPr>
          <w:rFonts w:hint="cs"/>
          <w:rtl/>
        </w:rPr>
        <w:lastRenderedPageBreak/>
        <w:t>غشاوة الجهل والحيرة لتحكم الشبهة بالدليل</w:t>
      </w:r>
      <w:r w:rsidR="00DB731D" w:rsidRPr="00A52585">
        <w:rPr>
          <w:rFonts w:hint="cs"/>
          <w:rtl/>
        </w:rPr>
        <w:t>،</w:t>
      </w:r>
      <w:r w:rsidR="00777DCB" w:rsidRPr="00A52585">
        <w:rPr>
          <w:rFonts w:hint="cs"/>
          <w:rtl/>
        </w:rPr>
        <w:t xml:space="preserve"> وهذا من الهالكين إلا أن يتداركه الله تعالى برحمته لأن عمدة الناس الكتاب والسنه</w:t>
      </w:r>
      <w:r w:rsidR="00DB731D" w:rsidRPr="00A52585">
        <w:rPr>
          <w:rFonts w:hint="cs"/>
          <w:rtl/>
        </w:rPr>
        <w:t>،</w:t>
      </w:r>
      <w:r w:rsidR="00777DCB" w:rsidRPr="00A52585">
        <w:rPr>
          <w:rFonts w:hint="cs"/>
          <w:rtl/>
        </w:rPr>
        <w:t xml:space="preserve"> والهلكة الجُهَّل </w:t>
      </w:r>
      <w:r w:rsidRPr="00A52585">
        <w:rPr>
          <w:rFonts w:hint="cs"/>
          <w:rtl/>
        </w:rPr>
        <w:t>[</w:t>
      </w:r>
      <w:r w:rsidR="00777DCB" w:rsidRPr="00A52585">
        <w:rPr>
          <w:rFonts w:hint="cs"/>
          <w:rtl/>
        </w:rPr>
        <w:t>لا] تفهمها على المعنى المراد منهما على الوجه المرضي</w:t>
      </w:r>
      <w:r w:rsidR="00DB731D" w:rsidRPr="00A52585">
        <w:rPr>
          <w:rFonts w:hint="cs"/>
          <w:rtl/>
        </w:rPr>
        <w:t>،</w:t>
      </w:r>
      <w:r w:rsidR="00777DCB" w:rsidRPr="00A52585">
        <w:rPr>
          <w:rFonts w:hint="cs"/>
          <w:rtl/>
        </w:rPr>
        <w:t xml:space="preserve"> فمن حق العبد الطالب للنجاة حراسة قلبه وسمعه عن خزعبلات المبتدعة وتزويق كلامهم</w:t>
      </w:r>
      <w:r w:rsidR="00DB731D" w:rsidRPr="00A52585">
        <w:rPr>
          <w:rFonts w:hint="cs"/>
          <w:rtl/>
        </w:rPr>
        <w:t>،</w:t>
      </w:r>
      <w:r w:rsidR="00777DCB" w:rsidRPr="00A52585">
        <w:rPr>
          <w:rFonts w:hint="cs"/>
          <w:rtl/>
        </w:rPr>
        <w:t xml:space="preserve"> وأن لا يغتر بتقشفهم وكثرة تعبدهم وزهدهم وهضمهم لأنفسهم</w:t>
      </w:r>
      <w:r w:rsidR="00DB731D" w:rsidRPr="00A52585">
        <w:rPr>
          <w:rFonts w:hint="cs"/>
          <w:rtl/>
        </w:rPr>
        <w:t>،</w:t>
      </w:r>
      <w:r w:rsidR="00777DCB" w:rsidRPr="00A52585">
        <w:rPr>
          <w:rFonts w:hint="cs"/>
          <w:rtl/>
        </w:rPr>
        <w:t xml:space="preserve"> فإن ذلك من أقوى حبائلهم التي يصطادون بها تَشَرّب القلوب لبدعتهم لا سيما من قلبه مشغوف بحب الدنيا إذا رأى زاهداً فيها مع إكبابه على الكتاب والسنة مع الورع والزهد والعفة والقنع</w:t>
      </w:r>
      <w:r w:rsidR="00DB731D" w:rsidRPr="00A52585">
        <w:rPr>
          <w:rFonts w:hint="cs"/>
          <w:rtl/>
        </w:rPr>
        <w:t>،</w:t>
      </w:r>
      <w:r w:rsidR="00777DCB" w:rsidRPr="00A52585">
        <w:rPr>
          <w:rFonts w:hint="cs"/>
          <w:rtl/>
        </w:rPr>
        <w:t xml:space="preserve"> فلا شك ولا ريب أنه يرغب فيه غاية الرغبة ويميل إليه غاية الميل ولا يصده عنه صاد كما هو مشاهد من العوام</w:t>
      </w:r>
      <w:r w:rsidR="00DB731D" w:rsidRPr="00A52585">
        <w:rPr>
          <w:rFonts w:hint="cs"/>
          <w:rtl/>
        </w:rPr>
        <w:t>،</w:t>
      </w:r>
      <w:r w:rsidR="00777DCB" w:rsidRPr="00A52585">
        <w:rPr>
          <w:rFonts w:hint="cs"/>
          <w:rtl/>
        </w:rPr>
        <w:t xml:space="preserve"> ومحبتهم ورغبتهم لمن هو بهذه المثابة فتنبه لذلك</w:t>
      </w:r>
      <w:r w:rsidR="00DB731D" w:rsidRPr="00A52585">
        <w:rPr>
          <w:rFonts w:hint="cs"/>
          <w:rtl/>
        </w:rPr>
        <w:t>،</w:t>
      </w:r>
      <w:r w:rsidR="00777DCB" w:rsidRPr="00A52585">
        <w:rPr>
          <w:rFonts w:hint="cs"/>
          <w:rtl/>
        </w:rPr>
        <w:t xml:space="preserve"> فقد أوضحت طريق السلامة والتباعد عن مظان الهلكة</w:t>
      </w:r>
      <w:r w:rsidR="00DB731D" w:rsidRPr="00A52585">
        <w:rPr>
          <w:rFonts w:hint="cs"/>
          <w:rtl/>
        </w:rPr>
        <w:t>،</w:t>
      </w:r>
      <w:r w:rsidR="00777DCB" w:rsidRPr="00A52585">
        <w:rPr>
          <w:rFonts w:hint="cs"/>
          <w:rtl/>
        </w:rPr>
        <w:t xml:space="preserve"> فكم من شخص قصده صالح قد هلك بمثل هؤلاء إخوان الشياطين وهو لا يشعر</w:t>
      </w:r>
      <w:r w:rsidR="00DB731D" w:rsidRPr="00A52585">
        <w:rPr>
          <w:rFonts w:hint="cs"/>
          <w:rtl/>
        </w:rPr>
        <w:t>،</w:t>
      </w:r>
      <w:r w:rsidR="00777DCB" w:rsidRPr="00A52585">
        <w:rPr>
          <w:rFonts w:hint="cs"/>
          <w:rtl/>
        </w:rPr>
        <w:t xml:space="preserve"> وعليك بالاقتداء بالأطباء أعني أطباء القلوب وهم الأنبياء عليهم الصلاة والسلام لأنهم العالمون بأسباب الحياة الأخروية</w:t>
      </w:r>
      <w:r w:rsidR="00DB731D" w:rsidRPr="00A52585">
        <w:rPr>
          <w:rFonts w:hint="cs"/>
          <w:rtl/>
        </w:rPr>
        <w:t>،</w:t>
      </w:r>
      <w:r w:rsidR="00777DCB" w:rsidRPr="00A52585">
        <w:rPr>
          <w:rFonts w:hint="cs"/>
          <w:rtl/>
        </w:rPr>
        <w:t xml:space="preserve"> ثم أتباعهم الذين أخذوا عنهم وشاهدوا منهم ما لم يشاهده غيرهم</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كان يرغب في النجاة</w:t>
      </w:r>
      <w:r w:rsidRPr="00A52585">
        <w:rPr>
          <w:rFonts w:hint="cs"/>
          <w:rtl/>
        </w:rPr>
        <w:t xml:space="preserve"> </w:t>
      </w:r>
      <w:r w:rsidR="00777DCB" w:rsidRPr="00A52585">
        <w:rPr>
          <w:rFonts w:hint="cs"/>
          <w:rtl/>
        </w:rPr>
        <w:t>فما له</w:t>
      </w:r>
      <w:r w:rsidR="00897A24" w:rsidRPr="00A52585">
        <w:rPr>
          <w:rFonts w:hint="cs"/>
          <w:rtl/>
        </w:rPr>
        <w:t>.</w:t>
      </w:r>
      <w:r w:rsidR="00777DCB" w:rsidRPr="00A52585">
        <w:rPr>
          <w:rFonts w:hint="cs"/>
          <w:rtl/>
        </w:rPr>
        <w:t>.. غير اتباع</w:t>
      </w:r>
      <w:r w:rsidRPr="00A52585">
        <w:rPr>
          <w:rFonts w:hint="cs"/>
          <w:rtl/>
        </w:rPr>
        <w:t xml:space="preserve"> </w:t>
      </w:r>
      <w:r w:rsidR="00777DCB" w:rsidRPr="00A52585">
        <w:rPr>
          <w:rFonts w:hint="cs"/>
          <w:rtl/>
        </w:rPr>
        <w:t>المصطفـى فيما بـدا</w:t>
      </w:r>
      <w:r w:rsidR="00897A24" w:rsidRPr="00A52585">
        <w:rPr>
          <w:rFonts w:hint="cs"/>
          <w:rtl/>
        </w:rPr>
        <w:t>.</w:t>
      </w:r>
      <w:r w:rsidR="00777DCB" w:rsidRPr="00A52585">
        <w:rPr>
          <w:rFonts w:hint="cs"/>
          <w:rtl/>
        </w:rPr>
        <w:t>.. فاتبـع كتاب</w:t>
      </w:r>
      <w:r w:rsidRPr="00A52585">
        <w:rPr>
          <w:rFonts w:hint="cs"/>
          <w:rtl/>
        </w:rPr>
        <w:t xml:space="preserve"> </w:t>
      </w:r>
      <w:r w:rsidR="00777DCB" w:rsidRPr="00A52585">
        <w:rPr>
          <w:rFonts w:hint="cs"/>
          <w:rtl/>
        </w:rPr>
        <w:t>الله والسنـن التي</w:t>
      </w:r>
      <w:r w:rsidR="00897A24" w:rsidRPr="00A52585">
        <w:rPr>
          <w:rFonts w:hint="cs"/>
          <w:rtl/>
        </w:rPr>
        <w:t>.</w:t>
      </w:r>
      <w:r w:rsidR="00777DCB" w:rsidRPr="00A52585">
        <w:rPr>
          <w:rFonts w:hint="cs"/>
          <w:rtl/>
        </w:rPr>
        <w:t>.. صحت فذاك إذا اتبعت هو الهدى</w:t>
      </w:r>
      <w:r w:rsidR="00897A24" w:rsidRPr="00A52585">
        <w:rPr>
          <w:rFonts w:hint="cs"/>
          <w:rtl/>
        </w:rPr>
        <w:t>.</w:t>
      </w:r>
      <w:r w:rsidR="00777DCB" w:rsidRPr="00A52585">
        <w:rPr>
          <w:rFonts w:hint="cs"/>
          <w:rtl/>
        </w:rPr>
        <w:t>.. فالديـن ما قال النـبي</w:t>
      </w:r>
      <w:r w:rsidRPr="00A52585">
        <w:rPr>
          <w:rFonts w:hint="cs"/>
          <w:rtl/>
        </w:rPr>
        <w:t xml:space="preserve"> </w:t>
      </w:r>
      <w:r w:rsidR="00777DCB" w:rsidRPr="00A52585">
        <w:rPr>
          <w:rFonts w:hint="cs"/>
          <w:rtl/>
        </w:rPr>
        <w:t>وصحبه</w:t>
      </w:r>
      <w:r w:rsidR="00897A24" w:rsidRPr="00A52585">
        <w:rPr>
          <w:rFonts w:hint="cs"/>
          <w:rtl/>
        </w:rPr>
        <w:t>.</w:t>
      </w:r>
      <w:r w:rsidR="00777DCB" w:rsidRPr="00A52585">
        <w:rPr>
          <w:rFonts w:hint="cs"/>
          <w:rtl/>
        </w:rPr>
        <w:t>.. فإذا اقتديـت بهم فنعـم المقتدى</w:t>
      </w:r>
      <w:r w:rsidRPr="00A52585">
        <w:rPr>
          <w:rFonts w:hint="cs"/>
          <w:rtl/>
        </w:rPr>
        <w:t>)</w:t>
      </w:r>
      <w:r w:rsidR="00DB731D" w:rsidRPr="00A52585">
        <w:rPr>
          <w:rFonts w:hint="cs"/>
          <w:rtl/>
        </w:rPr>
        <w:t>،</w:t>
      </w:r>
      <w:r w:rsidR="00777DCB" w:rsidRPr="00A52585">
        <w:rPr>
          <w:rFonts w:hint="cs"/>
          <w:rtl/>
        </w:rPr>
        <w:t xml:space="preserve"> فسبحان الحليم </w:t>
      </w:r>
      <w:r w:rsidR="00777DCB" w:rsidRPr="00A52585">
        <w:rPr>
          <w:rFonts w:hint="cs"/>
          <w:spacing w:val="-4"/>
          <w:rtl/>
        </w:rPr>
        <w:t>الودود</w:t>
      </w:r>
      <w:r w:rsidR="00DB731D" w:rsidRPr="00A52585">
        <w:rPr>
          <w:rFonts w:hint="cs"/>
          <w:spacing w:val="-4"/>
          <w:rtl/>
        </w:rPr>
        <w:t>،</w:t>
      </w:r>
      <w:r w:rsidR="00777DCB" w:rsidRPr="00A52585">
        <w:rPr>
          <w:rFonts w:hint="cs"/>
          <w:spacing w:val="-4"/>
          <w:rtl/>
        </w:rPr>
        <w:t xml:space="preserve"> الممهل الكريم العميم الجود</w:t>
      </w:r>
      <w:r w:rsidR="00DB731D" w:rsidRPr="00A52585">
        <w:rPr>
          <w:rFonts w:hint="cs"/>
          <w:spacing w:val="-4"/>
          <w:rtl/>
        </w:rPr>
        <w:t>،</w:t>
      </w:r>
      <w:r w:rsidR="00777DCB" w:rsidRPr="00A52585">
        <w:rPr>
          <w:rFonts w:hint="cs"/>
          <w:spacing w:val="-4"/>
          <w:rtl/>
        </w:rPr>
        <w:t xml:space="preserve"> العالم</w:t>
      </w:r>
      <w:r w:rsidR="00777DCB" w:rsidRPr="00A52585">
        <w:rPr>
          <w:rFonts w:hint="cs"/>
          <w:rtl/>
        </w:rPr>
        <w:t xml:space="preserve"> بخفايا الضمائر ودبيب النملة على الصخرة في الليالي السود</w:t>
      </w:r>
      <w:r w:rsidR="00DB731D" w:rsidRPr="00A52585">
        <w:rPr>
          <w:rFonts w:hint="cs"/>
          <w:rtl/>
        </w:rPr>
        <w:t>،</w:t>
      </w:r>
      <w:r w:rsidR="00777DCB" w:rsidRPr="00A52585">
        <w:rPr>
          <w:rFonts w:hint="cs"/>
          <w:rtl/>
        </w:rPr>
        <w:t xml:space="preserve"> ويرى جريان الماء في العود</w:t>
      </w:r>
      <w:r w:rsidR="00DB731D" w:rsidRPr="00A52585">
        <w:rPr>
          <w:rFonts w:hint="cs"/>
          <w:rtl/>
        </w:rPr>
        <w:t>،</w:t>
      </w:r>
      <w:r w:rsidR="00777DCB" w:rsidRPr="00A52585">
        <w:rPr>
          <w:rFonts w:hint="cs"/>
          <w:rtl/>
        </w:rPr>
        <w:t xml:space="preserve"> القادر فكل ما سواه بقدرته موجود</w:t>
      </w:r>
      <w:r w:rsidR="00DB731D" w:rsidRPr="00A52585">
        <w:rPr>
          <w:rFonts w:hint="cs"/>
          <w:rtl/>
        </w:rPr>
        <w:t>،</w:t>
      </w:r>
      <w:r w:rsidR="00777DCB" w:rsidRPr="00A52585">
        <w:rPr>
          <w:rFonts w:hint="cs"/>
          <w:rtl/>
        </w:rPr>
        <w:t xml:space="preserve"> نزَّه نفسه بنفسه لعجز خلقه عن ذلك</w:t>
      </w:r>
      <w:r w:rsidR="00DB731D" w:rsidRPr="00A52585">
        <w:rPr>
          <w:rFonts w:hint="cs"/>
          <w:rtl/>
        </w:rPr>
        <w:t>،</w:t>
      </w:r>
      <w:r w:rsidR="00777DCB" w:rsidRPr="00A52585">
        <w:rPr>
          <w:rFonts w:hint="cs"/>
          <w:rtl/>
        </w:rPr>
        <w:t xml:space="preserve"> فتعالى عن الأشكال والأمثال والجهات والحدود</w:t>
      </w:r>
      <w:r w:rsidR="00DB731D" w:rsidRPr="00A52585">
        <w:rPr>
          <w:rFonts w:hint="cs"/>
          <w:rtl/>
        </w:rPr>
        <w:t>،</w:t>
      </w:r>
      <w:r w:rsidR="00777DCB" w:rsidRPr="00A52585">
        <w:rPr>
          <w:rFonts w:hint="cs"/>
          <w:rtl/>
        </w:rPr>
        <w:t xml:space="preserve"> صفاته قديمة ثابتة بالنقل والعقل فمن عطل وقع في الجحود</w:t>
      </w:r>
      <w:r w:rsidR="00DB731D" w:rsidRPr="00A52585">
        <w:rPr>
          <w:rFonts w:hint="cs"/>
          <w:rtl/>
        </w:rPr>
        <w:t>،</w:t>
      </w:r>
      <w:r w:rsidR="00777DCB" w:rsidRPr="00A52585">
        <w:rPr>
          <w:rFonts w:hint="cs"/>
          <w:rtl/>
        </w:rPr>
        <w:t xml:space="preserve"> وتَنْزِيهه عن النقائص والأشباه محقق ومعلوم والتشبيه مذهب السامرة واليهود</w:t>
      </w:r>
      <w:r w:rsidR="00DB731D" w:rsidRPr="00A52585">
        <w:rPr>
          <w:rFonts w:hint="cs"/>
          <w:rtl/>
        </w:rPr>
        <w:t>،</w:t>
      </w:r>
      <w:r w:rsidR="00777DCB" w:rsidRPr="00A52585">
        <w:rPr>
          <w:rFonts w:hint="cs"/>
          <w:rtl/>
        </w:rPr>
        <w:t xml:space="preserve"> وكف الكيف مشلولة بل مقطوعة وباب التشبيه مردوم ومسدود</w:t>
      </w:r>
      <w:r w:rsidR="00DB731D" w:rsidRPr="00A52585">
        <w:rPr>
          <w:rFonts w:hint="cs"/>
          <w:rtl/>
        </w:rPr>
        <w:t>،</w:t>
      </w:r>
      <w:r w:rsidR="00777DCB" w:rsidRPr="00A52585">
        <w:rPr>
          <w:rFonts w:hint="cs"/>
          <w:rtl/>
        </w:rPr>
        <w:t xml:space="preserve"> فمن فتحه هجم عليه نار الوعيد فأهلكته كما هلك فرعون ونمرود</w:t>
      </w:r>
      <w:r w:rsidR="00DB731D" w:rsidRPr="00A52585">
        <w:rPr>
          <w:rFonts w:hint="cs"/>
          <w:rtl/>
        </w:rPr>
        <w:t>،</w:t>
      </w:r>
      <w:r w:rsidR="00777DCB" w:rsidRPr="00A52585">
        <w:rPr>
          <w:rFonts w:hint="cs"/>
          <w:rtl/>
        </w:rPr>
        <w:t xml:space="preserve"> وأصحاب الأخدود وعاد وثمود</w:t>
      </w:r>
      <w:r w:rsidR="00DB731D" w:rsidRPr="00A52585">
        <w:rPr>
          <w:rFonts w:hint="cs"/>
          <w:rtl/>
        </w:rPr>
        <w:t>،</w:t>
      </w:r>
      <w:r w:rsidR="00777DCB" w:rsidRPr="00A52585">
        <w:rPr>
          <w:rFonts w:hint="cs"/>
          <w:rtl/>
        </w:rPr>
        <w:t xml:space="preserve"> فنسأل الله تعالى </w:t>
      </w:r>
      <w:r w:rsidR="00777DCB" w:rsidRPr="00A52585">
        <w:rPr>
          <w:rFonts w:hint="cs"/>
          <w:spacing w:val="-6"/>
          <w:rtl/>
        </w:rPr>
        <w:t>العافية من الفتن ومن أسبابها ومن نار ذات الوقود</w:t>
      </w:r>
      <w:r w:rsidR="00DB731D" w:rsidRPr="00A52585">
        <w:rPr>
          <w:rFonts w:hint="cs"/>
          <w:spacing w:val="-6"/>
          <w:rtl/>
        </w:rPr>
        <w:t>،</w:t>
      </w:r>
      <w:r w:rsidR="00777DCB" w:rsidRPr="00A52585">
        <w:rPr>
          <w:rFonts w:hint="cs"/>
          <w:spacing w:val="-6"/>
          <w:rtl/>
        </w:rPr>
        <w:t xml:space="preserve"> </w:t>
      </w:r>
      <w:r w:rsidR="00777DCB" w:rsidRPr="00A52585">
        <w:rPr>
          <w:rFonts w:hint="cs"/>
          <w:rtl/>
        </w:rPr>
        <w:t>ونتوسل إليك بسيد الأولين والآخرين محمد</w:t>
      </w:r>
      <w:r w:rsidR="00DB731D" w:rsidRPr="00A52585">
        <w:rPr>
          <w:rFonts w:hint="cs"/>
          <w:rtl/>
        </w:rPr>
        <w:t>،</w:t>
      </w:r>
      <w:r w:rsidR="00777DCB" w:rsidRPr="00A52585">
        <w:rPr>
          <w:rFonts w:hint="cs"/>
          <w:rtl/>
        </w:rPr>
        <w:t xml:space="preserve"> كما توسل به أبو البشر فقبلته</w:t>
      </w:r>
      <w:r w:rsidR="00DB731D" w:rsidRPr="00A52585">
        <w:rPr>
          <w:rFonts w:hint="cs"/>
          <w:rtl/>
        </w:rPr>
        <w:t>،</w:t>
      </w:r>
      <w:r w:rsidR="00777DCB" w:rsidRPr="00A52585">
        <w:rPr>
          <w:rFonts w:hint="cs"/>
          <w:rtl/>
        </w:rPr>
        <w:t xml:space="preserve"> فهو أحمد المحمود صاحب الحوض المورود والمقام المحمود</w:t>
      </w:r>
      <w:r w:rsidR="00DB731D" w:rsidRPr="00A52585">
        <w:rPr>
          <w:rFonts w:hint="cs"/>
          <w:rtl/>
        </w:rPr>
        <w:t>،</w:t>
      </w:r>
      <w:r w:rsidR="00777DCB" w:rsidRPr="00A52585">
        <w:rPr>
          <w:rFonts w:hint="cs"/>
          <w:rtl/>
        </w:rPr>
        <w:t xml:space="preserve"> فهو أعظم الوسائل ولا يخيب من توسل به ولو كان من أهل الجحود</w:t>
      </w:r>
      <w:r w:rsidR="00DB731D" w:rsidRPr="00A52585">
        <w:rPr>
          <w:rFonts w:hint="cs"/>
          <w:rtl/>
        </w:rPr>
        <w:t>،</w:t>
      </w:r>
      <w:r w:rsidR="00777DCB" w:rsidRPr="00A52585">
        <w:rPr>
          <w:rFonts w:hint="cs"/>
          <w:rtl/>
        </w:rPr>
        <w:t xml:space="preserve"> قال الله تعالى</w:t>
      </w:r>
      <w:r w:rsidRPr="00A52585">
        <w:rPr>
          <w:rFonts w:hint="cs"/>
          <w:rtl/>
        </w:rPr>
        <w:t>:</w:t>
      </w:r>
      <w:r w:rsidR="00777DCB" w:rsidRPr="00A52585">
        <w:rPr>
          <w:rFonts w:hint="cs"/>
          <w:rtl/>
        </w:rPr>
        <w:t xml:space="preserve"> {وكانوا} أي اليهود {من قبل} أي قبل بعثة محمد صلى الله عليه وسلم {يستفتحون} أي يستنصرون {على الذين كفروا}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89</w:t>
      </w:r>
      <w:r w:rsidRPr="00A52585">
        <w:rPr>
          <w:rFonts w:hint="cs"/>
          <w:rtl/>
        </w:rPr>
        <w:t>]</w:t>
      </w:r>
      <w:r w:rsidR="00DB731D" w:rsidRPr="00A52585">
        <w:rPr>
          <w:rFonts w:hint="cs"/>
          <w:rtl/>
        </w:rPr>
        <w:t>،</w:t>
      </w:r>
      <w:r w:rsidR="00777DCB" w:rsidRPr="00A52585">
        <w:rPr>
          <w:rFonts w:hint="cs"/>
          <w:rtl/>
        </w:rPr>
        <w:t xml:space="preserve"> وهم </w:t>
      </w:r>
      <w:proofErr w:type="spellStart"/>
      <w:r w:rsidR="00777DCB" w:rsidRPr="00A52585">
        <w:rPr>
          <w:rFonts w:hint="cs"/>
          <w:rtl/>
        </w:rPr>
        <w:t>مشركوا</w:t>
      </w:r>
      <w:proofErr w:type="spellEnd"/>
      <w:r w:rsidR="00777DCB" w:rsidRPr="00A52585">
        <w:rPr>
          <w:rFonts w:hint="cs"/>
          <w:rtl/>
        </w:rPr>
        <w:t xml:space="preserve"> العرب</w:t>
      </w:r>
      <w:r w:rsidR="00DB731D" w:rsidRPr="00A52585">
        <w:rPr>
          <w:rFonts w:hint="cs"/>
          <w:rtl/>
        </w:rPr>
        <w:t>،</w:t>
      </w:r>
      <w:r w:rsidR="00777DCB" w:rsidRPr="00A52585">
        <w:rPr>
          <w:rFonts w:hint="cs"/>
          <w:rtl/>
        </w:rPr>
        <w:t xml:space="preserve"> كانوا يقولون إذا حزبهم أمر أو دهمهم عدو</w:t>
      </w:r>
      <w:r w:rsidRPr="00A52585">
        <w:rPr>
          <w:rFonts w:hint="cs"/>
          <w:rtl/>
        </w:rPr>
        <w:t>:</w:t>
      </w:r>
      <w:r w:rsidR="00777DCB" w:rsidRPr="00A52585">
        <w:rPr>
          <w:rFonts w:hint="cs"/>
          <w:rtl/>
        </w:rPr>
        <w:t xml:space="preserve"> اللهم انصرنا عليهم بجاه النبي المبعوث آخر الزمان الذي نجد صفته في التوراة فكانوا ينصرون</w:t>
      </w:r>
      <w:r w:rsidR="00DB731D" w:rsidRPr="00A52585">
        <w:rPr>
          <w:rFonts w:hint="cs"/>
          <w:rtl/>
        </w:rPr>
        <w:t>،</w:t>
      </w:r>
      <w:r w:rsidR="00777DCB" w:rsidRPr="00A52585">
        <w:rPr>
          <w:rFonts w:hint="cs"/>
          <w:rtl/>
        </w:rPr>
        <w:t xml:space="preserve"> وكانوا يقولون لأعدائهم كغطفان وغيرها من المشركين قد أظل زمان نبي يخرج بتصديق ما قلناه فنقتلكم معه قتل عاد وثمود، فانظر </w:t>
      </w:r>
      <w:r w:rsidR="00777DCB" w:rsidRPr="00A52585">
        <w:rPr>
          <w:rFonts w:hint="cs"/>
          <w:rtl/>
        </w:rPr>
        <w:lastRenderedPageBreak/>
        <w:t>أرشدك الله إلى قدره ودنوا منزلته عند ربه كيف قبل عز وجل التوسل به مع علمه سبحانه بأنهم يكفرون به ولا يوقرونه ولا يعظمونه بل يؤذونه ولا يتبعون النور الذي أنزل معه</w:t>
      </w:r>
      <w:r w:rsidR="00DB731D" w:rsidRPr="00A52585">
        <w:rPr>
          <w:rFonts w:hint="cs"/>
          <w:rtl/>
        </w:rPr>
        <w:t>،</w:t>
      </w:r>
      <w:r w:rsidR="00777DCB" w:rsidRPr="00A52585">
        <w:rPr>
          <w:rFonts w:hint="cs"/>
          <w:rtl/>
        </w:rPr>
        <w:t xml:space="preserve"> </w:t>
      </w:r>
      <w:r w:rsidR="00777DCB" w:rsidRPr="00A52585">
        <w:rPr>
          <w:rFonts w:hint="cs"/>
          <w:spacing w:val="-12"/>
          <w:rtl/>
        </w:rPr>
        <w:t>فمن منع التوسل به فقد نادى على نفسه</w:t>
      </w:r>
      <w:r w:rsidR="00DB731D" w:rsidRPr="00A52585">
        <w:rPr>
          <w:rFonts w:hint="cs"/>
          <w:spacing w:val="-12"/>
          <w:rtl/>
        </w:rPr>
        <w:t>،</w:t>
      </w:r>
      <w:r w:rsidR="00777DCB" w:rsidRPr="00A52585">
        <w:rPr>
          <w:rFonts w:hint="cs"/>
          <w:spacing w:val="-12"/>
          <w:rtl/>
        </w:rPr>
        <w:t xml:space="preserve"> وأعلم الناس بأنه أسوأ حالا من اليهود</w:t>
      </w:r>
      <w:r w:rsidR="00DB731D" w:rsidRPr="00A52585">
        <w:rPr>
          <w:rFonts w:hint="cs"/>
          <w:spacing w:val="-12"/>
          <w:rtl/>
        </w:rPr>
        <w:t>،</w:t>
      </w:r>
      <w:r w:rsidR="00777DCB" w:rsidRPr="00A52585">
        <w:rPr>
          <w:rFonts w:hint="cs"/>
          <w:spacing w:val="-12"/>
          <w:rtl/>
        </w:rPr>
        <w:t xml:space="preserve"> (</w:t>
      </w:r>
      <w:r w:rsidR="00777DCB" w:rsidRPr="00A52585">
        <w:rPr>
          <w:rFonts w:hint="cs"/>
          <w:rtl/>
        </w:rPr>
        <w:t>أنت المـلاذ لنا وأنت المرتجا</w:t>
      </w:r>
      <w:r w:rsidR="00897A24" w:rsidRPr="00A52585">
        <w:rPr>
          <w:rFonts w:hint="cs"/>
          <w:spacing w:val="-12"/>
          <w:rtl/>
        </w:rPr>
        <w:t>.</w:t>
      </w:r>
      <w:r w:rsidR="00777DCB" w:rsidRPr="00A52585">
        <w:rPr>
          <w:rFonts w:hint="cs"/>
          <w:spacing w:val="-12"/>
          <w:rtl/>
        </w:rPr>
        <w:t xml:space="preserve">.. </w:t>
      </w:r>
      <w:r w:rsidR="00777DCB" w:rsidRPr="00A52585">
        <w:rPr>
          <w:rFonts w:hint="cs"/>
          <w:rtl/>
        </w:rPr>
        <w:t>وبك الملاذ وأنت ملجأ</w:t>
      </w:r>
      <w:r w:rsidRPr="00A52585">
        <w:rPr>
          <w:rFonts w:hint="cs"/>
          <w:rtl/>
        </w:rPr>
        <w:t xml:space="preserve"> </w:t>
      </w:r>
      <w:r w:rsidR="00777DCB" w:rsidRPr="00A52585">
        <w:rPr>
          <w:rFonts w:hint="cs"/>
          <w:rtl/>
        </w:rPr>
        <w:t>من لجا</w:t>
      </w:r>
      <w:r w:rsidR="00897A24" w:rsidRPr="00A52585">
        <w:rPr>
          <w:rFonts w:hint="cs"/>
          <w:spacing w:val="-12"/>
          <w:rtl/>
        </w:rPr>
        <w:t>.</w:t>
      </w:r>
      <w:r w:rsidR="00777DCB" w:rsidRPr="00A52585">
        <w:rPr>
          <w:rFonts w:hint="cs"/>
          <w:spacing w:val="-12"/>
          <w:rtl/>
        </w:rPr>
        <w:t xml:space="preserve">.. </w:t>
      </w:r>
      <w:r w:rsidR="00777DCB" w:rsidRPr="00A52585">
        <w:rPr>
          <w:rFonts w:hint="cs"/>
          <w:rtl/>
        </w:rPr>
        <w:t>يا سيد الكونـين يا من قد سما</w:t>
      </w:r>
      <w:r w:rsidR="00897A24" w:rsidRPr="00A52585">
        <w:rPr>
          <w:rFonts w:hint="cs"/>
          <w:spacing w:val="-12"/>
          <w:rtl/>
        </w:rPr>
        <w:t>.</w:t>
      </w:r>
      <w:r w:rsidR="00777DCB" w:rsidRPr="00A52585">
        <w:rPr>
          <w:rFonts w:hint="cs"/>
          <w:spacing w:val="-12"/>
          <w:rtl/>
        </w:rPr>
        <w:t xml:space="preserve">.. </w:t>
      </w:r>
      <w:r w:rsidR="00777DCB" w:rsidRPr="00A52585">
        <w:rPr>
          <w:rFonts w:hint="cs"/>
          <w:rtl/>
        </w:rPr>
        <w:t>معراجه فوق السماء</w:t>
      </w:r>
      <w:r w:rsidRPr="00A52585">
        <w:rPr>
          <w:rFonts w:hint="cs"/>
          <w:rtl/>
        </w:rPr>
        <w:t xml:space="preserve"> </w:t>
      </w:r>
      <w:r w:rsidR="00777DCB" w:rsidRPr="00A52585">
        <w:rPr>
          <w:rFonts w:hint="cs"/>
          <w:rtl/>
        </w:rPr>
        <w:t>وعرجـا</w:t>
      </w:r>
      <w:r w:rsidR="00897A24" w:rsidRPr="00A52585">
        <w:rPr>
          <w:rFonts w:hint="cs"/>
          <w:spacing w:val="-12"/>
          <w:rtl/>
        </w:rPr>
        <w:t>.</w:t>
      </w:r>
      <w:r w:rsidR="00777DCB" w:rsidRPr="00A52585">
        <w:rPr>
          <w:rFonts w:hint="cs"/>
          <w:spacing w:val="-12"/>
          <w:rtl/>
        </w:rPr>
        <w:t xml:space="preserve">.. </w:t>
      </w:r>
      <w:r w:rsidR="00777DCB" w:rsidRPr="00A52585">
        <w:rPr>
          <w:rFonts w:hint="cs"/>
          <w:rtl/>
        </w:rPr>
        <w:t>يا سيد الثقلين بالحِكم الهدى</w:t>
      </w:r>
      <w:r w:rsidR="00897A24" w:rsidRPr="00A52585">
        <w:rPr>
          <w:rFonts w:hint="cs"/>
          <w:spacing w:val="-12"/>
          <w:rtl/>
        </w:rPr>
        <w:t>.</w:t>
      </w:r>
      <w:r w:rsidR="00777DCB" w:rsidRPr="00A52585">
        <w:rPr>
          <w:rFonts w:hint="cs"/>
          <w:spacing w:val="-12"/>
          <w:rtl/>
        </w:rPr>
        <w:t xml:space="preserve">.. </w:t>
      </w:r>
      <w:r w:rsidR="00777DCB" w:rsidRPr="00A52585">
        <w:rPr>
          <w:rFonts w:hint="cs"/>
          <w:rtl/>
        </w:rPr>
        <w:t>والمقصد</w:t>
      </w:r>
      <w:r w:rsidRPr="00A52585">
        <w:rPr>
          <w:rFonts w:hint="cs"/>
          <w:rtl/>
        </w:rPr>
        <w:t xml:space="preserve"> </w:t>
      </w:r>
      <w:proofErr w:type="spellStart"/>
      <w:r w:rsidR="00777DCB" w:rsidRPr="00A52585">
        <w:rPr>
          <w:rFonts w:hint="cs"/>
          <w:rtl/>
        </w:rPr>
        <w:t>الأسنا</w:t>
      </w:r>
      <w:proofErr w:type="spellEnd"/>
      <w:r w:rsidR="00777DCB" w:rsidRPr="00A52585">
        <w:rPr>
          <w:rFonts w:hint="cs"/>
          <w:rtl/>
        </w:rPr>
        <w:t xml:space="preserve"> لأبواب</w:t>
      </w:r>
      <w:r w:rsidRPr="00A52585">
        <w:rPr>
          <w:rFonts w:hint="cs"/>
          <w:rtl/>
        </w:rPr>
        <w:t xml:space="preserve"> </w:t>
      </w:r>
      <w:r w:rsidR="00777DCB" w:rsidRPr="00A52585">
        <w:rPr>
          <w:rFonts w:hint="cs"/>
          <w:rtl/>
        </w:rPr>
        <w:t>الرجا</w:t>
      </w:r>
      <w:r w:rsidR="00897A24" w:rsidRPr="00A52585">
        <w:rPr>
          <w:rFonts w:hint="cs"/>
          <w:spacing w:val="-12"/>
          <w:rtl/>
        </w:rPr>
        <w:t>.</w:t>
      </w:r>
      <w:r w:rsidR="00777DCB" w:rsidRPr="00A52585">
        <w:rPr>
          <w:rFonts w:hint="cs"/>
          <w:spacing w:val="-12"/>
          <w:rtl/>
        </w:rPr>
        <w:t xml:space="preserve">.. </w:t>
      </w:r>
      <w:r w:rsidR="00777DCB" w:rsidRPr="00A52585">
        <w:rPr>
          <w:rFonts w:hint="cs"/>
          <w:rtl/>
        </w:rPr>
        <w:t>يا سيـداً مَنْ أمَّ بـاب</w:t>
      </w:r>
      <w:r w:rsidRPr="00A52585">
        <w:rPr>
          <w:rFonts w:hint="cs"/>
          <w:rtl/>
        </w:rPr>
        <w:t xml:space="preserve"> </w:t>
      </w:r>
      <w:r w:rsidR="00777DCB" w:rsidRPr="00A52585">
        <w:rPr>
          <w:rFonts w:hint="cs"/>
          <w:rtl/>
        </w:rPr>
        <w:t>مقامه</w:t>
      </w:r>
      <w:r w:rsidR="00897A24" w:rsidRPr="00A52585">
        <w:rPr>
          <w:rFonts w:hint="cs"/>
          <w:spacing w:val="-12"/>
          <w:rtl/>
        </w:rPr>
        <w:t>.</w:t>
      </w:r>
      <w:r w:rsidR="00777DCB" w:rsidRPr="00A52585">
        <w:rPr>
          <w:rFonts w:hint="cs"/>
          <w:spacing w:val="-12"/>
          <w:rtl/>
        </w:rPr>
        <w:t xml:space="preserve">.. </w:t>
      </w:r>
      <w:r w:rsidR="00777DCB" w:rsidRPr="00A52585">
        <w:rPr>
          <w:rFonts w:hint="cs"/>
          <w:rtl/>
        </w:rPr>
        <w:t>ألفاه خير مقام سـؤل يرتجـا</w:t>
      </w:r>
      <w:r w:rsidR="00897A24" w:rsidRPr="00A52585">
        <w:rPr>
          <w:rFonts w:hint="cs"/>
          <w:spacing w:val="-12"/>
          <w:rtl/>
        </w:rPr>
        <w:t>.</w:t>
      </w:r>
      <w:r w:rsidR="00777DCB" w:rsidRPr="00A52585">
        <w:rPr>
          <w:rFonts w:hint="cs"/>
          <w:spacing w:val="-12"/>
          <w:rtl/>
        </w:rPr>
        <w:t xml:space="preserve">.. </w:t>
      </w:r>
      <w:r w:rsidR="00777DCB" w:rsidRPr="00A52585">
        <w:rPr>
          <w:rFonts w:hint="cs"/>
          <w:rtl/>
        </w:rPr>
        <w:t>يا سيـداً ما أمَّهُ</w:t>
      </w:r>
      <w:r w:rsidRPr="00A52585">
        <w:rPr>
          <w:rFonts w:hint="cs"/>
          <w:rtl/>
        </w:rPr>
        <w:t xml:space="preserve"> </w:t>
      </w:r>
      <w:r w:rsidR="00777DCB" w:rsidRPr="00A52585">
        <w:rPr>
          <w:rFonts w:hint="cs"/>
          <w:rtl/>
        </w:rPr>
        <w:t>مـن</w:t>
      </w:r>
      <w:r w:rsidRPr="00A52585">
        <w:rPr>
          <w:rFonts w:hint="cs"/>
          <w:rtl/>
        </w:rPr>
        <w:t xml:space="preserve"> </w:t>
      </w:r>
      <w:r w:rsidR="00777DCB" w:rsidRPr="00A52585">
        <w:rPr>
          <w:rFonts w:hint="cs"/>
          <w:rtl/>
        </w:rPr>
        <w:t>ضامه</w:t>
      </w:r>
      <w:r w:rsidR="00897A24" w:rsidRPr="00A52585">
        <w:rPr>
          <w:rFonts w:hint="cs"/>
          <w:spacing w:val="-12"/>
          <w:rtl/>
        </w:rPr>
        <w:t>.</w:t>
      </w:r>
      <w:r w:rsidR="00777DCB" w:rsidRPr="00A52585">
        <w:rPr>
          <w:rFonts w:hint="cs"/>
          <w:spacing w:val="-12"/>
          <w:rtl/>
        </w:rPr>
        <w:t xml:space="preserve">.. </w:t>
      </w:r>
      <w:r w:rsidR="00777DCB" w:rsidRPr="00A52585">
        <w:rPr>
          <w:rFonts w:hint="cs"/>
          <w:rtl/>
        </w:rPr>
        <w:t>ريـب الزمان بِخَطْبِه</w:t>
      </w:r>
      <w:r w:rsidRPr="00A52585">
        <w:rPr>
          <w:rFonts w:hint="cs"/>
          <w:rtl/>
        </w:rPr>
        <w:t xml:space="preserve"> </w:t>
      </w:r>
      <w:r w:rsidR="00777DCB" w:rsidRPr="00A52585">
        <w:rPr>
          <w:rFonts w:hint="cs"/>
          <w:rtl/>
        </w:rPr>
        <w:t>إلا</w:t>
      </w:r>
      <w:r w:rsidRPr="00A52585">
        <w:rPr>
          <w:rFonts w:hint="cs"/>
          <w:rtl/>
        </w:rPr>
        <w:t xml:space="preserve"> </w:t>
      </w:r>
      <w:r w:rsidR="00777DCB" w:rsidRPr="00A52585">
        <w:rPr>
          <w:rFonts w:hint="cs"/>
          <w:rtl/>
        </w:rPr>
        <w:t>نجا</w:t>
      </w:r>
      <w:r w:rsidR="00897A24" w:rsidRPr="00A52585">
        <w:rPr>
          <w:rFonts w:hint="cs"/>
          <w:spacing w:val="-12"/>
          <w:rtl/>
        </w:rPr>
        <w:t>.</w:t>
      </w:r>
      <w:r w:rsidR="00777DCB" w:rsidRPr="00A52585">
        <w:rPr>
          <w:rFonts w:hint="cs"/>
          <w:spacing w:val="-12"/>
          <w:rtl/>
        </w:rPr>
        <w:t xml:space="preserve">.. </w:t>
      </w:r>
      <w:r w:rsidR="00777DCB" w:rsidRPr="00A52585">
        <w:rPr>
          <w:rFonts w:hint="cs"/>
          <w:rtl/>
        </w:rPr>
        <w:t>يا سيـداً جعل الإله وجـوده</w:t>
      </w:r>
      <w:r w:rsidR="00897A24" w:rsidRPr="00A52585">
        <w:rPr>
          <w:rFonts w:hint="cs"/>
          <w:spacing w:val="-12"/>
          <w:rtl/>
        </w:rPr>
        <w:t>.</w:t>
      </w:r>
      <w:r w:rsidR="00777DCB" w:rsidRPr="00A52585">
        <w:rPr>
          <w:rFonts w:hint="cs"/>
          <w:spacing w:val="-12"/>
          <w:rtl/>
        </w:rPr>
        <w:t xml:space="preserve">.. </w:t>
      </w:r>
      <w:r w:rsidR="00777DCB" w:rsidRPr="00A52585">
        <w:rPr>
          <w:rFonts w:hint="cs"/>
          <w:rtl/>
        </w:rPr>
        <w:t>للعالمين</w:t>
      </w:r>
      <w:r w:rsidRPr="00A52585">
        <w:rPr>
          <w:rFonts w:hint="cs"/>
          <w:rtl/>
        </w:rPr>
        <w:t xml:space="preserve"> </w:t>
      </w:r>
      <w:r w:rsidR="00777DCB" w:rsidRPr="00A52585">
        <w:rPr>
          <w:rFonts w:hint="cs"/>
          <w:rtl/>
        </w:rPr>
        <w:t>المرتجـى</w:t>
      </w:r>
      <w:r w:rsidRPr="00A52585">
        <w:rPr>
          <w:rFonts w:hint="cs"/>
          <w:rtl/>
        </w:rPr>
        <w:t xml:space="preserve"> </w:t>
      </w:r>
      <w:proofErr w:type="spellStart"/>
      <w:r w:rsidR="00777DCB" w:rsidRPr="00A52585">
        <w:rPr>
          <w:rFonts w:hint="cs"/>
          <w:rtl/>
        </w:rPr>
        <w:t>والملتجـى</w:t>
      </w:r>
      <w:proofErr w:type="spellEnd"/>
      <w:r w:rsidR="00897A24" w:rsidRPr="00A52585">
        <w:rPr>
          <w:rFonts w:hint="cs"/>
          <w:spacing w:val="-12"/>
          <w:rtl/>
        </w:rPr>
        <w:t>.</w:t>
      </w:r>
      <w:r w:rsidR="00777DCB" w:rsidRPr="00A52585">
        <w:rPr>
          <w:rFonts w:hint="cs"/>
          <w:spacing w:val="-12"/>
          <w:rtl/>
        </w:rPr>
        <w:t xml:space="preserve">.. </w:t>
      </w:r>
      <w:r w:rsidR="00777DCB" w:rsidRPr="00A52585">
        <w:rPr>
          <w:rFonts w:hint="cs"/>
          <w:rtl/>
        </w:rPr>
        <w:t>يا خاتم الرسل الكرام</w:t>
      </w:r>
      <w:r w:rsidRPr="00A52585">
        <w:rPr>
          <w:rFonts w:hint="cs"/>
          <w:rtl/>
        </w:rPr>
        <w:t xml:space="preserve"> </w:t>
      </w:r>
      <w:r w:rsidR="00777DCB" w:rsidRPr="00A52585">
        <w:rPr>
          <w:rFonts w:hint="cs"/>
          <w:rtl/>
        </w:rPr>
        <w:t>ومن</w:t>
      </w:r>
      <w:r w:rsidRPr="00A52585">
        <w:rPr>
          <w:rFonts w:hint="cs"/>
          <w:rtl/>
        </w:rPr>
        <w:t xml:space="preserve"> </w:t>
      </w:r>
      <w:r w:rsidR="00777DCB" w:rsidRPr="00A52585">
        <w:rPr>
          <w:rFonts w:hint="cs"/>
          <w:rtl/>
        </w:rPr>
        <w:t>به</w:t>
      </w:r>
      <w:r w:rsidR="00897A24" w:rsidRPr="00A52585">
        <w:rPr>
          <w:rFonts w:hint="cs"/>
          <w:spacing w:val="-12"/>
          <w:rtl/>
        </w:rPr>
        <w:t>.</w:t>
      </w:r>
      <w:r w:rsidR="00777DCB" w:rsidRPr="00A52585">
        <w:rPr>
          <w:rFonts w:hint="cs"/>
          <w:spacing w:val="-12"/>
          <w:rtl/>
        </w:rPr>
        <w:t xml:space="preserve">.. </w:t>
      </w:r>
      <w:r w:rsidR="00777DCB" w:rsidRPr="00A52585">
        <w:rPr>
          <w:rFonts w:hint="cs"/>
          <w:rtl/>
        </w:rPr>
        <w:t>رب البرية</w:t>
      </w:r>
      <w:r w:rsidRPr="00A52585">
        <w:rPr>
          <w:rFonts w:hint="cs"/>
          <w:rtl/>
        </w:rPr>
        <w:t xml:space="preserve"> </w:t>
      </w:r>
      <w:r w:rsidR="00777DCB" w:rsidRPr="00A52585">
        <w:rPr>
          <w:rFonts w:hint="cs"/>
          <w:rtl/>
        </w:rPr>
        <w:t>كل هَـمٍّ فَرَّجَـا</w:t>
      </w:r>
      <w:r w:rsidR="00897A24" w:rsidRPr="00A52585">
        <w:rPr>
          <w:rFonts w:hint="cs"/>
          <w:spacing w:val="-12"/>
          <w:rtl/>
        </w:rPr>
        <w:t>.</w:t>
      </w:r>
      <w:r w:rsidR="00777DCB" w:rsidRPr="00A52585">
        <w:rPr>
          <w:rFonts w:hint="cs"/>
          <w:spacing w:val="-12"/>
          <w:rtl/>
        </w:rPr>
        <w:t xml:space="preserve">.. </w:t>
      </w:r>
      <w:r w:rsidR="00777DCB" w:rsidRPr="00A52585">
        <w:rPr>
          <w:rFonts w:hint="cs"/>
          <w:rtl/>
        </w:rPr>
        <w:t>وكن مستجـيراً بالذي</w:t>
      </w:r>
      <w:r w:rsidR="00777DCB" w:rsidRPr="00A52585">
        <w:rPr>
          <w:rFonts w:hint="cs"/>
          <w:vertAlign w:val="superscript"/>
          <w:rtl/>
        </w:rPr>
        <w:t xml:space="preserve"> </w:t>
      </w:r>
      <w:r w:rsidR="00777DCB" w:rsidRPr="00A52585">
        <w:rPr>
          <w:rFonts w:hint="cs"/>
          <w:rtl/>
        </w:rPr>
        <w:t>نال</w:t>
      </w:r>
      <w:r w:rsidRPr="00A52585">
        <w:rPr>
          <w:rFonts w:hint="cs"/>
          <w:rtl/>
        </w:rPr>
        <w:t xml:space="preserve"> </w:t>
      </w:r>
      <w:r w:rsidR="00777DCB" w:rsidRPr="00A52585">
        <w:rPr>
          <w:rFonts w:hint="cs"/>
          <w:rtl/>
        </w:rPr>
        <w:t>رفعة</w:t>
      </w:r>
      <w:r w:rsidR="00897A24" w:rsidRPr="00A52585">
        <w:rPr>
          <w:rFonts w:hint="cs"/>
          <w:spacing w:val="-12"/>
          <w:rtl/>
        </w:rPr>
        <w:t>.</w:t>
      </w:r>
      <w:r w:rsidR="00777DCB" w:rsidRPr="00A52585">
        <w:rPr>
          <w:rFonts w:hint="cs"/>
          <w:spacing w:val="-12"/>
          <w:rtl/>
        </w:rPr>
        <w:t xml:space="preserve">.. </w:t>
      </w:r>
      <w:r w:rsidR="00777DCB" w:rsidRPr="00A52585">
        <w:rPr>
          <w:rFonts w:hint="cs"/>
          <w:rtl/>
        </w:rPr>
        <w:t>إلى عزها ذل</w:t>
      </w:r>
      <w:r w:rsidRPr="00A52585">
        <w:rPr>
          <w:rFonts w:hint="cs"/>
          <w:rtl/>
        </w:rPr>
        <w:t xml:space="preserve"> </w:t>
      </w:r>
      <w:r w:rsidR="00777DCB" w:rsidRPr="00A52585">
        <w:rPr>
          <w:rFonts w:hint="cs"/>
          <w:rtl/>
        </w:rPr>
        <w:t>الملـوك الأكاسـر</w:t>
      </w:r>
      <w:r w:rsidR="00897A24" w:rsidRPr="00A52585">
        <w:rPr>
          <w:rFonts w:hint="cs"/>
          <w:spacing w:val="-12"/>
          <w:rtl/>
        </w:rPr>
        <w:t>.</w:t>
      </w:r>
      <w:r w:rsidR="00777DCB" w:rsidRPr="00A52585">
        <w:rPr>
          <w:rFonts w:hint="cs"/>
          <w:spacing w:val="-12"/>
          <w:rtl/>
        </w:rPr>
        <w:t xml:space="preserve">.. </w:t>
      </w:r>
      <w:r w:rsidR="00777DCB" w:rsidRPr="00A52585">
        <w:rPr>
          <w:rFonts w:hint="cs"/>
          <w:rtl/>
        </w:rPr>
        <w:t>نبي له جـاه</w:t>
      </w:r>
      <w:r w:rsidRPr="00A52585">
        <w:rPr>
          <w:rFonts w:hint="cs"/>
          <w:rtl/>
        </w:rPr>
        <w:t xml:space="preserve"> </w:t>
      </w:r>
      <w:r w:rsidR="00777DCB" w:rsidRPr="00A52585">
        <w:rPr>
          <w:rFonts w:hint="cs"/>
          <w:rtl/>
        </w:rPr>
        <w:t>عريـض</w:t>
      </w:r>
      <w:r w:rsidRPr="00A52585">
        <w:rPr>
          <w:rFonts w:hint="cs"/>
          <w:rtl/>
        </w:rPr>
        <w:t xml:space="preserve"> </w:t>
      </w:r>
      <w:r w:rsidR="00777DCB" w:rsidRPr="00A52585">
        <w:rPr>
          <w:rFonts w:hint="cs"/>
          <w:rtl/>
        </w:rPr>
        <w:t>ومنصب</w:t>
      </w:r>
      <w:r w:rsidR="00897A24" w:rsidRPr="00A52585">
        <w:rPr>
          <w:rFonts w:hint="cs"/>
          <w:spacing w:val="-12"/>
          <w:rtl/>
        </w:rPr>
        <w:t>.</w:t>
      </w:r>
      <w:r w:rsidR="00777DCB" w:rsidRPr="00A52585">
        <w:rPr>
          <w:rFonts w:hint="cs"/>
          <w:spacing w:val="-12"/>
          <w:rtl/>
        </w:rPr>
        <w:t xml:space="preserve">.. </w:t>
      </w:r>
      <w:r w:rsidR="00777DCB" w:rsidRPr="00A52585">
        <w:rPr>
          <w:rFonts w:hint="cs"/>
          <w:rtl/>
        </w:rPr>
        <w:t>عظيـم له تُعْزى العـلا والمفاخر</w:t>
      </w:r>
      <w:r w:rsidR="00897A24" w:rsidRPr="00A52585">
        <w:rPr>
          <w:rFonts w:hint="cs"/>
          <w:spacing w:val="-12"/>
          <w:rtl/>
        </w:rPr>
        <w:t>.</w:t>
      </w:r>
      <w:r w:rsidR="00777DCB" w:rsidRPr="00A52585">
        <w:rPr>
          <w:rFonts w:hint="cs"/>
          <w:spacing w:val="-12"/>
          <w:rtl/>
        </w:rPr>
        <w:t xml:space="preserve">.. </w:t>
      </w:r>
      <w:r w:rsidR="00777DCB" w:rsidRPr="00A52585">
        <w:rPr>
          <w:rFonts w:hint="cs"/>
          <w:rtl/>
        </w:rPr>
        <w:t>جليـل جميـل راحـم</w:t>
      </w:r>
      <w:r w:rsidRPr="00A52585">
        <w:rPr>
          <w:rFonts w:hint="cs"/>
          <w:rtl/>
        </w:rPr>
        <w:t xml:space="preserve"> </w:t>
      </w:r>
      <w:r w:rsidR="00777DCB" w:rsidRPr="00A52585">
        <w:rPr>
          <w:rFonts w:hint="cs"/>
          <w:rtl/>
        </w:rPr>
        <w:t>متعطف</w:t>
      </w:r>
      <w:r w:rsidR="00897A24" w:rsidRPr="00A52585">
        <w:rPr>
          <w:rFonts w:hint="cs"/>
          <w:spacing w:val="-12"/>
          <w:rtl/>
        </w:rPr>
        <w:t>.</w:t>
      </w:r>
      <w:r w:rsidR="00777DCB" w:rsidRPr="00A52585">
        <w:rPr>
          <w:rFonts w:hint="cs"/>
          <w:spacing w:val="-12"/>
          <w:rtl/>
        </w:rPr>
        <w:t xml:space="preserve">.. </w:t>
      </w:r>
      <w:r w:rsidR="00777DCB" w:rsidRPr="00A52585">
        <w:rPr>
          <w:rFonts w:hint="cs"/>
          <w:rtl/>
        </w:rPr>
        <w:t>فصيح مليـح كامل</w:t>
      </w:r>
      <w:r w:rsidRPr="00A52585">
        <w:rPr>
          <w:rFonts w:hint="cs"/>
          <w:rtl/>
        </w:rPr>
        <w:t xml:space="preserve"> </w:t>
      </w:r>
      <w:r w:rsidR="00777DCB" w:rsidRPr="00A52585">
        <w:rPr>
          <w:rFonts w:hint="cs"/>
          <w:rtl/>
        </w:rPr>
        <w:t>الحسن</w:t>
      </w:r>
      <w:r w:rsidRPr="00A52585">
        <w:rPr>
          <w:rFonts w:hint="cs"/>
          <w:rtl/>
        </w:rPr>
        <w:t xml:space="preserve"> </w:t>
      </w:r>
      <w:r w:rsidR="00777DCB" w:rsidRPr="00A52585">
        <w:rPr>
          <w:rFonts w:hint="cs"/>
          <w:rtl/>
        </w:rPr>
        <w:t>باهر</w:t>
      </w:r>
      <w:r w:rsidR="00897A24" w:rsidRPr="00A52585">
        <w:rPr>
          <w:rFonts w:hint="cs"/>
          <w:spacing w:val="-12"/>
          <w:rtl/>
        </w:rPr>
        <w:t>.</w:t>
      </w:r>
      <w:r w:rsidR="00777DCB" w:rsidRPr="00A52585">
        <w:rPr>
          <w:rFonts w:hint="cs"/>
          <w:spacing w:val="-12"/>
          <w:rtl/>
        </w:rPr>
        <w:t xml:space="preserve">.. </w:t>
      </w:r>
      <w:r w:rsidR="00777DCB" w:rsidRPr="00A52585">
        <w:rPr>
          <w:rFonts w:hint="cs"/>
          <w:rtl/>
        </w:rPr>
        <w:t>ألا يا رسول</w:t>
      </w:r>
      <w:r w:rsidRPr="00A52585">
        <w:rPr>
          <w:rFonts w:hint="cs"/>
          <w:rtl/>
        </w:rPr>
        <w:t xml:space="preserve"> </w:t>
      </w:r>
      <w:r w:rsidR="00777DCB" w:rsidRPr="00A52585">
        <w:rPr>
          <w:rFonts w:hint="cs"/>
          <w:rtl/>
        </w:rPr>
        <w:t>الله</w:t>
      </w:r>
      <w:r w:rsidRPr="00A52585">
        <w:rPr>
          <w:rFonts w:hint="cs"/>
          <w:rtl/>
        </w:rPr>
        <w:t xml:space="preserve"> </w:t>
      </w:r>
      <w:r w:rsidR="00777DCB" w:rsidRPr="00A52585">
        <w:rPr>
          <w:rFonts w:hint="cs"/>
          <w:rtl/>
        </w:rPr>
        <w:t xml:space="preserve">يا غايـة </w:t>
      </w:r>
      <w:proofErr w:type="spellStart"/>
      <w:r w:rsidR="00777DCB" w:rsidRPr="00A52585">
        <w:rPr>
          <w:rFonts w:hint="cs"/>
          <w:rtl/>
        </w:rPr>
        <w:t>المـنى</w:t>
      </w:r>
      <w:proofErr w:type="spellEnd"/>
      <w:r w:rsidR="00897A24" w:rsidRPr="00A52585">
        <w:rPr>
          <w:rFonts w:hint="cs"/>
          <w:spacing w:val="-12"/>
          <w:rtl/>
        </w:rPr>
        <w:t>.</w:t>
      </w:r>
      <w:r w:rsidR="00777DCB" w:rsidRPr="00A52585">
        <w:rPr>
          <w:rFonts w:hint="cs"/>
          <w:spacing w:val="-12"/>
          <w:rtl/>
        </w:rPr>
        <w:t xml:space="preserve">.. </w:t>
      </w:r>
      <w:r w:rsidR="00777DCB" w:rsidRPr="00A52585">
        <w:rPr>
          <w:rFonts w:hint="cs"/>
          <w:spacing w:val="-20"/>
          <w:rtl/>
        </w:rPr>
        <w:t>لقد نلت فخراً ما</w:t>
      </w:r>
      <w:r w:rsidRPr="00A52585">
        <w:rPr>
          <w:rFonts w:hint="cs"/>
          <w:spacing w:val="-20"/>
          <w:rtl/>
        </w:rPr>
        <w:t xml:space="preserve"> </w:t>
      </w:r>
      <w:r w:rsidR="00777DCB" w:rsidRPr="00A52585">
        <w:rPr>
          <w:rFonts w:hint="cs"/>
          <w:spacing w:val="-20"/>
          <w:rtl/>
        </w:rPr>
        <w:t>لأُولاه آخـر</w:t>
      </w:r>
      <w:r w:rsidR="00897A24" w:rsidRPr="00A52585">
        <w:rPr>
          <w:rFonts w:hint="cs"/>
          <w:spacing w:val="-12"/>
          <w:rtl/>
        </w:rPr>
        <w:t>.</w:t>
      </w:r>
      <w:r w:rsidR="00777DCB" w:rsidRPr="00A52585">
        <w:rPr>
          <w:rFonts w:hint="cs"/>
          <w:spacing w:val="-12"/>
          <w:rtl/>
        </w:rPr>
        <w:t xml:space="preserve">.. </w:t>
      </w:r>
      <w:r w:rsidR="00777DCB" w:rsidRPr="00A52585">
        <w:rPr>
          <w:rFonts w:hint="cs"/>
          <w:rtl/>
        </w:rPr>
        <w:t>أيا درة</w:t>
      </w:r>
      <w:r w:rsidRPr="00A52585">
        <w:rPr>
          <w:rFonts w:hint="cs"/>
          <w:rtl/>
        </w:rPr>
        <w:t xml:space="preserve"> </w:t>
      </w:r>
      <w:r w:rsidR="00777DCB" w:rsidRPr="00A52585">
        <w:rPr>
          <w:rFonts w:hint="cs"/>
          <w:rtl/>
        </w:rPr>
        <w:t>الأنباء</w:t>
      </w:r>
      <w:r w:rsidRPr="00A52585">
        <w:rPr>
          <w:rFonts w:hint="cs"/>
          <w:rtl/>
        </w:rPr>
        <w:t xml:space="preserve"> </w:t>
      </w:r>
      <w:r w:rsidR="00777DCB" w:rsidRPr="00A52585">
        <w:rPr>
          <w:rFonts w:hint="cs"/>
          <w:rtl/>
        </w:rPr>
        <w:t>يا جوهـر الورى</w:t>
      </w:r>
      <w:r w:rsidR="00897A24" w:rsidRPr="00A52585">
        <w:rPr>
          <w:rFonts w:hint="cs"/>
          <w:spacing w:val="-12"/>
          <w:rtl/>
        </w:rPr>
        <w:t>.</w:t>
      </w:r>
      <w:r w:rsidR="00777DCB" w:rsidRPr="00A52585">
        <w:rPr>
          <w:rFonts w:hint="cs"/>
          <w:spacing w:val="-12"/>
          <w:rtl/>
        </w:rPr>
        <w:t xml:space="preserve">.. </w:t>
      </w:r>
      <w:r w:rsidR="00777DCB" w:rsidRPr="00A52585">
        <w:rPr>
          <w:rFonts w:hint="cs"/>
          <w:spacing w:val="-20"/>
          <w:rtl/>
        </w:rPr>
        <w:t>هنيئاً لنفس في هواك تتاجر</w:t>
      </w:r>
      <w:r w:rsidR="00897A24" w:rsidRPr="00A52585">
        <w:rPr>
          <w:rFonts w:hint="cs"/>
          <w:spacing w:val="-12"/>
          <w:rtl/>
        </w:rPr>
        <w:t>.</w:t>
      </w:r>
      <w:r w:rsidR="00777DCB" w:rsidRPr="00A52585">
        <w:rPr>
          <w:rFonts w:hint="cs"/>
          <w:spacing w:val="-12"/>
          <w:rtl/>
        </w:rPr>
        <w:t xml:space="preserve">.. </w:t>
      </w:r>
      <w:r w:rsidR="00777DCB" w:rsidRPr="00A52585">
        <w:rPr>
          <w:rFonts w:hint="cs"/>
          <w:rtl/>
        </w:rPr>
        <w:t>لقد ربحت في</w:t>
      </w:r>
      <w:r w:rsidRPr="00A52585">
        <w:rPr>
          <w:rFonts w:hint="cs"/>
          <w:rtl/>
        </w:rPr>
        <w:t xml:space="preserve"> </w:t>
      </w:r>
      <w:r w:rsidR="00777DCB" w:rsidRPr="00A52585">
        <w:rPr>
          <w:rFonts w:hint="cs"/>
          <w:rtl/>
        </w:rPr>
        <w:t>بيعـها</w:t>
      </w:r>
      <w:r w:rsidRPr="00A52585">
        <w:rPr>
          <w:rFonts w:hint="cs"/>
          <w:rtl/>
        </w:rPr>
        <w:t xml:space="preserve"> </w:t>
      </w:r>
      <w:r w:rsidR="00777DCB" w:rsidRPr="00A52585">
        <w:rPr>
          <w:rFonts w:hint="cs"/>
          <w:rtl/>
        </w:rPr>
        <w:t>وتنعمـت</w:t>
      </w:r>
      <w:r w:rsidR="00897A24" w:rsidRPr="00A52585">
        <w:rPr>
          <w:rFonts w:hint="cs"/>
          <w:spacing w:val="-12"/>
          <w:rtl/>
        </w:rPr>
        <w:t>.</w:t>
      </w:r>
      <w:r w:rsidR="00777DCB" w:rsidRPr="00A52585">
        <w:rPr>
          <w:rFonts w:hint="cs"/>
          <w:spacing w:val="-12"/>
          <w:rtl/>
        </w:rPr>
        <w:t xml:space="preserve">.. </w:t>
      </w:r>
      <w:r w:rsidR="00777DCB" w:rsidRPr="00A52585">
        <w:rPr>
          <w:rFonts w:hint="cs"/>
          <w:rtl/>
        </w:rPr>
        <w:t>وقد سعـدت يا درهـا والجواهر</w:t>
      </w:r>
      <w:r w:rsidR="00897A24" w:rsidRPr="00A52585">
        <w:rPr>
          <w:rFonts w:hint="cs"/>
          <w:spacing w:val="-12"/>
          <w:rtl/>
        </w:rPr>
        <w:t>.</w:t>
      </w:r>
      <w:r w:rsidR="00777DCB" w:rsidRPr="00A52585">
        <w:rPr>
          <w:rFonts w:hint="cs"/>
          <w:spacing w:val="-12"/>
          <w:rtl/>
        </w:rPr>
        <w:t xml:space="preserve">.. </w:t>
      </w:r>
      <w:r w:rsidR="00777DCB" w:rsidRPr="00A52585">
        <w:rPr>
          <w:rFonts w:hint="cs"/>
          <w:rtl/>
        </w:rPr>
        <w:t>حبيـبي رسول الله كـن لي شافعاً</w:t>
      </w:r>
      <w:r w:rsidR="00897A24" w:rsidRPr="00A52585">
        <w:rPr>
          <w:rFonts w:hint="cs"/>
          <w:spacing w:val="-12"/>
          <w:rtl/>
        </w:rPr>
        <w:t>.</w:t>
      </w:r>
      <w:r w:rsidR="00777DCB" w:rsidRPr="00A52585">
        <w:rPr>
          <w:rFonts w:hint="cs"/>
          <w:spacing w:val="-12"/>
          <w:rtl/>
        </w:rPr>
        <w:t xml:space="preserve">.. </w:t>
      </w:r>
      <w:r w:rsidR="00777DCB" w:rsidRPr="00A52585">
        <w:rPr>
          <w:rFonts w:hint="cs"/>
          <w:rtl/>
        </w:rPr>
        <w:t>أغثني أجرني</w:t>
      </w:r>
      <w:r w:rsidRPr="00A52585">
        <w:rPr>
          <w:rFonts w:hint="cs"/>
          <w:rtl/>
        </w:rPr>
        <w:t xml:space="preserve"> </w:t>
      </w:r>
      <w:r w:rsidR="00777DCB" w:rsidRPr="00A52585">
        <w:rPr>
          <w:rFonts w:hint="cs"/>
          <w:rtl/>
        </w:rPr>
        <w:t>يوم تبلـى السرائـر</w:t>
      </w:r>
      <w:r w:rsidR="00897A24" w:rsidRPr="00A52585">
        <w:rPr>
          <w:rFonts w:hint="cs"/>
          <w:spacing w:val="-12"/>
          <w:rtl/>
        </w:rPr>
        <w:t>.</w:t>
      </w:r>
      <w:r w:rsidR="00777DCB" w:rsidRPr="00A52585">
        <w:rPr>
          <w:rFonts w:hint="cs"/>
          <w:spacing w:val="-12"/>
          <w:rtl/>
        </w:rPr>
        <w:t xml:space="preserve">.. </w:t>
      </w:r>
      <w:r w:rsidR="00777DCB" w:rsidRPr="00A52585">
        <w:rPr>
          <w:rFonts w:hint="cs"/>
          <w:rtl/>
        </w:rPr>
        <w:t>بجاهك آمالُ</w:t>
      </w:r>
      <w:r w:rsidRPr="00A52585">
        <w:rPr>
          <w:rFonts w:hint="cs"/>
          <w:rtl/>
        </w:rPr>
        <w:t xml:space="preserve"> </w:t>
      </w:r>
      <w:r w:rsidR="00777DCB" w:rsidRPr="00A52585">
        <w:rPr>
          <w:rFonts w:hint="cs"/>
          <w:rtl/>
        </w:rPr>
        <w:t>الضعيـف تعلقـت</w:t>
      </w:r>
      <w:r w:rsidR="00897A24" w:rsidRPr="00A52585">
        <w:rPr>
          <w:rFonts w:hint="cs"/>
          <w:spacing w:val="-12"/>
          <w:rtl/>
        </w:rPr>
        <w:t>.</w:t>
      </w:r>
      <w:r w:rsidR="00777DCB" w:rsidRPr="00A52585">
        <w:rPr>
          <w:rFonts w:hint="cs"/>
          <w:spacing w:val="-12"/>
          <w:rtl/>
        </w:rPr>
        <w:t xml:space="preserve">.. </w:t>
      </w:r>
      <w:r w:rsidR="00777DCB" w:rsidRPr="00A52585">
        <w:rPr>
          <w:rFonts w:hint="cs"/>
          <w:rtl/>
        </w:rPr>
        <w:t>إذا نصب الميزان والعقل طائر</w:t>
      </w:r>
      <w:r w:rsidR="00897A24" w:rsidRPr="00A52585">
        <w:rPr>
          <w:rFonts w:hint="cs"/>
          <w:rtl/>
        </w:rPr>
        <w:t>.</w:t>
      </w:r>
      <w:r w:rsidR="00777DCB" w:rsidRPr="00A52585">
        <w:rPr>
          <w:rFonts w:hint="cs"/>
          <w:rtl/>
        </w:rPr>
        <w:t>.. فكن شافعي عند الإله</w:t>
      </w:r>
      <w:r w:rsidRPr="00A52585">
        <w:rPr>
          <w:rFonts w:hint="cs"/>
          <w:rtl/>
        </w:rPr>
        <w:t xml:space="preserve"> </w:t>
      </w:r>
      <w:r w:rsidR="00777DCB" w:rsidRPr="00A52585">
        <w:rPr>
          <w:rFonts w:hint="cs"/>
          <w:rtl/>
        </w:rPr>
        <w:t>فإنـه</w:t>
      </w:r>
      <w:r w:rsidR="00897A24" w:rsidRPr="00A52585">
        <w:rPr>
          <w:rFonts w:hint="cs"/>
          <w:rtl/>
        </w:rPr>
        <w:t>.</w:t>
      </w:r>
      <w:r w:rsidR="00777DCB" w:rsidRPr="00A52585">
        <w:rPr>
          <w:rFonts w:hint="cs"/>
          <w:rtl/>
        </w:rPr>
        <w:t>.. حليم كريم غافر الذنب ساتر</w:t>
      </w:r>
      <w:r w:rsidR="00897A24" w:rsidRPr="00A52585">
        <w:rPr>
          <w:rFonts w:hint="cs"/>
          <w:rtl/>
        </w:rPr>
        <w:t>.</w:t>
      </w:r>
      <w:r w:rsidR="00777DCB" w:rsidRPr="00A52585">
        <w:rPr>
          <w:rFonts w:hint="cs"/>
          <w:rtl/>
        </w:rPr>
        <w:t xml:space="preserve">.. </w:t>
      </w:r>
      <w:r w:rsidR="00777DCB" w:rsidRPr="00A52585">
        <w:rPr>
          <w:rFonts w:hint="cs"/>
          <w:spacing w:val="-20"/>
          <w:rtl/>
        </w:rPr>
        <w:t>مضى العمر في زهو ولهو وغفلة</w:t>
      </w:r>
      <w:r w:rsidR="00897A24" w:rsidRPr="00A52585">
        <w:rPr>
          <w:rFonts w:hint="cs"/>
          <w:spacing w:val="-20"/>
          <w:rtl/>
        </w:rPr>
        <w:t>.</w:t>
      </w:r>
      <w:r w:rsidR="00777DCB" w:rsidRPr="00A52585">
        <w:rPr>
          <w:rFonts w:hint="cs"/>
          <w:spacing w:val="-20"/>
          <w:rtl/>
        </w:rPr>
        <w:t xml:space="preserve">.. </w:t>
      </w:r>
      <w:r w:rsidR="00777DCB" w:rsidRPr="00A52585">
        <w:rPr>
          <w:rFonts w:hint="cs"/>
          <w:rtl/>
        </w:rPr>
        <w:t>وإني من الفعـل الجميـل</w:t>
      </w:r>
      <w:r w:rsidRPr="00A52585">
        <w:rPr>
          <w:rFonts w:hint="cs"/>
          <w:rtl/>
        </w:rPr>
        <w:t xml:space="preserve"> </w:t>
      </w:r>
      <w:r w:rsidR="00777DCB" w:rsidRPr="00A52585">
        <w:rPr>
          <w:rFonts w:hint="cs"/>
          <w:rtl/>
        </w:rPr>
        <w:t>لقاصر</w:t>
      </w:r>
      <w:r w:rsidR="00897A24" w:rsidRPr="00A52585">
        <w:rPr>
          <w:rFonts w:hint="cs"/>
          <w:rtl/>
        </w:rPr>
        <w:t>.</w:t>
      </w:r>
      <w:r w:rsidR="00777DCB" w:rsidRPr="00A52585">
        <w:rPr>
          <w:rFonts w:hint="cs"/>
          <w:rtl/>
        </w:rPr>
        <w:t>.. فيـا رب داركنا بعفـو ورحمـة</w:t>
      </w:r>
      <w:r w:rsidR="00897A24" w:rsidRPr="00A52585">
        <w:rPr>
          <w:rFonts w:hint="cs"/>
          <w:rtl/>
        </w:rPr>
        <w:t>.</w:t>
      </w:r>
      <w:r w:rsidR="00777DCB" w:rsidRPr="00A52585">
        <w:rPr>
          <w:rFonts w:hint="cs"/>
          <w:rtl/>
        </w:rPr>
        <w:t>.. فأنـت جميل العفو للكسـر جابر</w:t>
      </w:r>
      <w:r w:rsidR="00897A24" w:rsidRPr="00A52585">
        <w:rPr>
          <w:rFonts w:hint="cs"/>
          <w:rtl/>
        </w:rPr>
        <w:t>.</w:t>
      </w:r>
      <w:r w:rsidR="00777DCB" w:rsidRPr="00A52585">
        <w:rPr>
          <w:rFonts w:hint="cs"/>
          <w:rtl/>
        </w:rPr>
        <w:t>.. وخذ</w:t>
      </w:r>
      <w:r w:rsidRPr="00A52585">
        <w:rPr>
          <w:rFonts w:hint="cs"/>
          <w:rtl/>
        </w:rPr>
        <w:t xml:space="preserve"> </w:t>
      </w:r>
      <w:r w:rsidR="00777DCB" w:rsidRPr="00A52585">
        <w:rPr>
          <w:rFonts w:hint="cs"/>
          <w:rtl/>
        </w:rPr>
        <w:t>بنواصينـا وطهـر قلوبـنا</w:t>
      </w:r>
      <w:r w:rsidR="00897A24" w:rsidRPr="00A52585">
        <w:rPr>
          <w:rFonts w:hint="cs"/>
          <w:rtl/>
        </w:rPr>
        <w:t>.</w:t>
      </w:r>
      <w:r w:rsidR="00777DCB" w:rsidRPr="00A52585">
        <w:rPr>
          <w:rFonts w:hint="cs"/>
          <w:rtl/>
        </w:rPr>
        <w:t>.. ومُـنَّ بعَفْـوٍ منك فالعفو غامـر</w:t>
      </w:r>
      <w:r w:rsidR="00897A24" w:rsidRPr="00A52585">
        <w:rPr>
          <w:rFonts w:hint="cs"/>
          <w:rtl/>
        </w:rPr>
        <w:t>.</w:t>
      </w:r>
      <w:r w:rsidR="00777DCB" w:rsidRPr="00A52585">
        <w:rPr>
          <w:rFonts w:hint="cs"/>
          <w:rtl/>
        </w:rPr>
        <w:t>.. وصل على البدر الذي من جبينه</w:t>
      </w:r>
      <w:r w:rsidR="00897A24" w:rsidRPr="00A52585">
        <w:rPr>
          <w:rFonts w:hint="cs"/>
          <w:rtl/>
        </w:rPr>
        <w:t>.</w:t>
      </w:r>
      <w:r w:rsidR="00777DCB" w:rsidRPr="00A52585">
        <w:rPr>
          <w:rFonts w:hint="cs"/>
          <w:rtl/>
        </w:rPr>
        <w:t xml:space="preserve">.. </w:t>
      </w:r>
      <w:r w:rsidR="00777DCB" w:rsidRPr="00A52585">
        <w:rPr>
          <w:rFonts w:hint="cs"/>
          <w:spacing w:val="-20"/>
          <w:rtl/>
        </w:rPr>
        <w:t>بدا الشمس والأقمار والنجم زاهر</w:t>
      </w:r>
      <w:r w:rsidRPr="00A52585">
        <w:rPr>
          <w:rFonts w:hint="cs"/>
          <w:spacing w:val="-20"/>
          <w:rtl/>
        </w:rPr>
        <w:t>)</w:t>
      </w:r>
      <w:r w:rsidR="00DB731D" w:rsidRPr="00A52585">
        <w:rPr>
          <w:rFonts w:hint="cs"/>
          <w:rtl/>
        </w:rPr>
        <w:t>،</w:t>
      </w:r>
      <w:r w:rsidR="00777DCB" w:rsidRPr="00A52585">
        <w:rPr>
          <w:rFonts w:hint="cs"/>
          <w:rtl/>
        </w:rPr>
        <w:t xml:space="preserve"> نجزت هذه الأحرف المباركات على قارئها ومستمعيها </w:t>
      </w:r>
      <w:proofErr w:type="spellStart"/>
      <w:r w:rsidR="00777DCB" w:rsidRPr="00A52585">
        <w:rPr>
          <w:rFonts w:hint="cs"/>
          <w:rtl/>
        </w:rPr>
        <w:t>المتأسين</w:t>
      </w:r>
      <w:proofErr w:type="spellEnd"/>
      <w:r w:rsidR="00777DCB" w:rsidRPr="00A52585">
        <w:rPr>
          <w:rFonts w:hint="cs"/>
          <w:rtl/>
        </w:rPr>
        <w:t xml:space="preserve"> بأهل الحق تبعاً للصفوة من أولي المعجزات المنَزِّهين لرب العالمين</w:t>
      </w:r>
      <w:r w:rsidR="00DB731D" w:rsidRPr="00A52585">
        <w:rPr>
          <w:rFonts w:hint="cs"/>
          <w:rtl/>
        </w:rPr>
        <w:t>،</w:t>
      </w:r>
      <w:r w:rsidR="00777DCB" w:rsidRPr="00A52585">
        <w:rPr>
          <w:rFonts w:hint="cs"/>
          <w:rtl/>
        </w:rPr>
        <w:t xml:space="preserve"> والمعظمين لسيد الأولين والآخرين وسائر الأنبياء والمرسلين وسرُج هذه الأمة من بعدهم كالصديقين وسائر الصحابة والتابعين لهم بإحسان إلى يوم الدين</w:t>
      </w:r>
      <w:r w:rsidR="00DB731D" w:rsidRPr="00A52585">
        <w:rPr>
          <w:rFonts w:hint="cs"/>
          <w:rtl/>
        </w:rPr>
        <w:t>،</w:t>
      </w:r>
      <w:r w:rsidR="00777DCB" w:rsidRPr="00A52585">
        <w:rPr>
          <w:rFonts w:hint="cs"/>
          <w:rtl/>
        </w:rPr>
        <w:t xml:space="preserve"> </w:t>
      </w:r>
    </w:p>
    <w:p w14:paraId="1F49A827" w14:textId="77777777" w:rsidR="00777DCB" w:rsidRPr="00A52585" w:rsidRDefault="00777DCB" w:rsidP="0002035C">
      <w:pPr>
        <w:spacing w:after="240"/>
        <w:jc w:val="center"/>
        <w:rPr>
          <w:b/>
          <w:bCs/>
          <w:rtl/>
        </w:rPr>
      </w:pPr>
      <w:r w:rsidRPr="00A52585">
        <w:rPr>
          <w:rFonts w:hint="cs"/>
          <w:bCs/>
          <w:rtl/>
        </w:rPr>
        <w:t>******</w:t>
      </w:r>
    </w:p>
    <w:p w14:paraId="67C4A1BA" w14:textId="3750ACB4"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تفصيل ضلالات ابن تيمية</w:t>
      </w:r>
      <w:r w:rsidRPr="00A52585">
        <w:rPr>
          <w:rFonts w:hint="cs"/>
          <w:bCs/>
          <w:rtl/>
        </w:rPr>
        <w:t>]</w:t>
      </w:r>
    </w:p>
    <w:p w14:paraId="7D7D5A4C" w14:textId="726AA424" w:rsidR="00777DCB" w:rsidRPr="00A52585" w:rsidRDefault="00777DCB" w:rsidP="0002035C">
      <w:pPr>
        <w:spacing w:after="240"/>
        <w:rPr>
          <w:b/>
          <w:bCs/>
          <w:rtl/>
        </w:rPr>
      </w:pPr>
      <w:r w:rsidRPr="00A52585">
        <w:rPr>
          <w:rFonts w:hint="cs"/>
          <w:rtl/>
        </w:rPr>
        <w:t>وكنت قد عزمت على أن أقتصر على ذلك لأن في بعض ما ذكرته وقاية من المقت والمهالك</w:t>
      </w:r>
      <w:r w:rsidR="00DB731D" w:rsidRPr="00A52585">
        <w:rPr>
          <w:rFonts w:hint="cs"/>
          <w:rtl/>
        </w:rPr>
        <w:t>،</w:t>
      </w:r>
      <w:r w:rsidRPr="00A52585">
        <w:rPr>
          <w:rFonts w:hint="cs"/>
          <w:rtl/>
        </w:rPr>
        <w:t xml:space="preserve"> ثم قيل لي وكُرِّر عليّ أن أهل التشبيه والتجسيم والمزدرين بسيد الأولين والآخرين تبعاً لسلالة القردة والخنازير لهم وجود</w:t>
      </w:r>
      <w:r w:rsidR="00DB731D" w:rsidRPr="00A52585">
        <w:rPr>
          <w:rFonts w:hint="cs"/>
          <w:rtl/>
        </w:rPr>
        <w:t>،</w:t>
      </w:r>
      <w:r w:rsidRPr="00A52585">
        <w:rPr>
          <w:rFonts w:hint="cs"/>
          <w:rtl/>
        </w:rPr>
        <w:t xml:space="preserve"> وفيهم كثرة</w:t>
      </w:r>
      <w:r w:rsidR="00DB731D" w:rsidRPr="00A52585">
        <w:rPr>
          <w:rFonts w:hint="cs"/>
          <w:rtl/>
        </w:rPr>
        <w:t>،</w:t>
      </w:r>
      <w:r w:rsidRPr="00A52585">
        <w:rPr>
          <w:rFonts w:hint="cs"/>
          <w:rtl/>
        </w:rPr>
        <w:t xml:space="preserve"> وقد أخذوا بعقول كثير من الناس لما يزينوا لهم من الإطناب على </w:t>
      </w:r>
      <w:proofErr w:type="spellStart"/>
      <w:r w:rsidRPr="00A52585">
        <w:rPr>
          <w:rFonts w:hint="cs"/>
          <w:rtl/>
        </w:rPr>
        <w:t>قدوتهم</w:t>
      </w:r>
      <w:proofErr w:type="spellEnd"/>
      <w:r w:rsidRPr="00A52585">
        <w:rPr>
          <w:rFonts w:hint="cs"/>
          <w:rtl/>
        </w:rPr>
        <w:t xml:space="preserve"> ويزخرفون لهم بالأقوال والأفعال ويموّهون لهم بإظهار التنسك والإقبال على كثرة الصلاة والصوم والحج </w:t>
      </w:r>
      <w:r w:rsidRPr="00A52585">
        <w:rPr>
          <w:rFonts w:hint="cs"/>
          <w:rtl/>
        </w:rPr>
        <w:lastRenderedPageBreak/>
        <w:t>والتلاوة وغير ذلك مما يحسن في قلوب كثير من الرجال لا سيما العوام المائلين مع كل ريح</w:t>
      </w:r>
      <w:r w:rsidR="00DB731D" w:rsidRPr="00A52585">
        <w:rPr>
          <w:rFonts w:hint="cs"/>
          <w:rtl/>
        </w:rPr>
        <w:t>،</w:t>
      </w:r>
      <w:r w:rsidRPr="00A52585">
        <w:rPr>
          <w:rFonts w:hint="cs"/>
          <w:rtl/>
        </w:rPr>
        <w:t xml:space="preserve"> تباع الدجال</w:t>
      </w:r>
      <w:r w:rsidR="00DB731D" w:rsidRPr="00A52585">
        <w:rPr>
          <w:rFonts w:hint="cs"/>
          <w:rtl/>
        </w:rPr>
        <w:t>،</w:t>
      </w:r>
      <w:r w:rsidRPr="00A52585">
        <w:rPr>
          <w:rFonts w:hint="cs"/>
          <w:rtl/>
        </w:rPr>
        <w:t xml:space="preserve"> فانقادوا لهم بسبب ذلك</w:t>
      </w:r>
      <w:r w:rsidR="00DB731D" w:rsidRPr="00A52585">
        <w:rPr>
          <w:rFonts w:hint="cs"/>
          <w:rtl/>
        </w:rPr>
        <w:t>،</w:t>
      </w:r>
      <w:r w:rsidRPr="00A52585">
        <w:rPr>
          <w:rFonts w:hint="cs"/>
          <w:rtl/>
        </w:rPr>
        <w:t xml:space="preserve"> أوقعوهم في أسر المهالك</w:t>
      </w:r>
      <w:r w:rsidR="00DB731D" w:rsidRPr="00A52585">
        <w:rPr>
          <w:rFonts w:hint="cs"/>
          <w:rtl/>
        </w:rPr>
        <w:t>،</w:t>
      </w:r>
      <w:r w:rsidRPr="00A52585">
        <w:rPr>
          <w:rFonts w:hint="cs"/>
          <w:rtl/>
        </w:rPr>
        <w:t xml:space="preserve"> فرأيت بسبب هذه المكائد والخزعبلات أن أتعرض لسوء عقيدتهم تبعاً لهذا الزائغ عن طريق أهل الحق</w:t>
      </w:r>
      <w:r w:rsidR="00DB731D" w:rsidRPr="00A52585">
        <w:rPr>
          <w:rFonts w:hint="cs"/>
          <w:rtl/>
        </w:rPr>
        <w:t>،</w:t>
      </w:r>
      <w:r w:rsidRPr="00A52585">
        <w:rPr>
          <w:rFonts w:hint="cs"/>
          <w:rtl/>
        </w:rPr>
        <w:t xml:space="preserve"> وهم الأئمة الأربعة المقتدى بهم والمعول عليهم في جميع </w:t>
      </w:r>
      <w:proofErr w:type="spellStart"/>
      <w:r w:rsidRPr="00A52585">
        <w:rPr>
          <w:rFonts w:hint="cs"/>
          <w:rtl/>
        </w:rPr>
        <w:t>الأعصار</w:t>
      </w:r>
      <w:proofErr w:type="spellEnd"/>
      <w:r w:rsidRPr="00A52585">
        <w:rPr>
          <w:rFonts w:hint="cs"/>
          <w:rtl/>
        </w:rPr>
        <w:t xml:space="preserve"> والأقطار لأنهم النجوم الذي بهم يقتدى والسّرج الذي بنورهم في ظلمات الضلالات والجهالات يُهْتَدى</w:t>
      </w:r>
      <w:r w:rsidR="00DB731D" w:rsidRPr="00A52585">
        <w:rPr>
          <w:rFonts w:hint="cs"/>
          <w:vertAlign w:val="superscript"/>
          <w:rtl/>
        </w:rPr>
        <w:t>،</w:t>
      </w:r>
      <w:r w:rsidRPr="00A52585">
        <w:rPr>
          <w:rFonts w:hint="cs"/>
          <w:rtl/>
        </w:rPr>
        <w:t xml:space="preserve"> وقد بالغ جمع من الأخيار من المتعبدين وغيرهم من العلماء كأهل مكة وغيرها أن أذكر ما وقع لهذا الرجل من الحيدة عن طريق هذه الأئمة</w:t>
      </w:r>
      <w:r w:rsidR="00DB731D" w:rsidRPr="00A52585">
        <w:rPr>
          <w:rFonts w:hint="cs"/>
          <w:rtl/>
        </w:rPr>
        <w:t>،</w:t>
      </w:r>
      <w:r w:rsidRPr="00A52585">
        <w:rPr>
          <w:rFonts w:hint="cs"/>
          <w:rtl/>
        </w:rPr>
        <w:t xml:space="preserve"> ولو كان أحرفاً يسيرة إما بالصريح أو بالتلويح مشيره</w:t>
      </w:r>
      <w:r w:rsidR="00DB731D" w:rsidRPr="00A52585">
        <w:rPr>
          <w:rFonts w:hint="cs"/>
          <w:rtl/>
        </w:rPr>
        <w:t>،</w:t>
      </w:r>
      <w:r w:rsidRPr="00A52585">
        <w:rPr>
          <w:rFonts w:hint="cs"/>
          <w:rtl/>
        </w:rPr>
        <w:t xml:space="preserve"> فاستخرت الله عز وجل في ذلك مدة مديدة</w:t>
      </w:r>
      <w:r w:rsidR="00DB731D" w:rsidRPr="00A52585">
        <w:rPr>
          <w:rFonts w:hint="cs"/>
          <w:rtl/>
        </w:rPr>
        <w:t>،</w:t>
      </w:r>
      <w:r w:rsidRPr="00A52585">
        <w:rPr>
          <w:rFonts w:hint="cs"/>
          <w:rtl/>
        </w:rPr>
        <w:t xml:space="preserve"> ثم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لا أبالك. وتأملت ما حصل وحدث بسببه من الإغواء والمهالك</w:t>
      </w:r>
      <w:r w:rsidR="00DB731D" w:rsidRPr="00A52585">
        <w:rPr>
          <w:rFonts w:hint="cs"/>
          <w:rtl/>
        </w:rPr>
        <w:t>،</w:t>
      </w:r>
      <w:r w:rsidRPr="00A52585">
        <w:rPr>
          <w:rFonts w:hint="cs"/>
          <w:rtl/>
        </w:rPr>
        <w:t xml:space="preserve"> فلم يسعني عند ذلك أن أكتم ما علمت وإلاّ لجمت بلجام من نار ومُقّت</w:t>
      </w:r>
      <w:r w:rsidR="00DB731D" w:rsidRPr="00A52585">
        <w:rPr>
          <w:rFonts w:hint="cs"/>
          <w:rtl/>
        </w:rPr>
        <w:t>،</w:t>
      </w:r>
      <w:r w:rsidRPr="00A52585">
        <w:rPr>
          <w:rFonts w:hint="cs"/>
          <w:rtl/>
        </w:rPr>
        <w:t xml:space="preserve"> وها أنا أذكر الرجل وأشير باسمه الذي شاع وذاع واتسع به الباع وسار بل طار في أهل القرى والأمصار</w:t>
      </w:r>
      <w:r w:rsidR="00DB731D" w:rsidRPr="00A52585">
        <w:rPr>
          <w:rFonts w:hint="cs"/>
          <w:rtl/>
        </w:rPr>
        <w:t>،</w:t>
      </w:r>
      <w:r w:rsidRPr="00A52585">
        <w:rPr>
          <w:rFonts w:hint="cs"/>
          <w:rtl/>
        </w:rPr>
        <w:t xml:space="preserve"> وأذكر بعض ما انطوى باطنه الخبيث عليه وما عول في الإفساد بالصريح أو الإشارة إليه</w:t>
      </w:r>
      <w:r w:rsidR="00DB731D" w:rsidRPr="00A52585">
        <w:rPr>
          <w:rFonts w:hint="cs"/>
          <w:rtl/>
        </w:rPr>
        <w:t>،</w:t>
      </w:r>
      <w:r w:rsidRPr="00A52585">
        <w:rPr>
          <w:rFonts w:hint="cs"/>
          <w:rtl/>
        </w:rPr>
        <w:t xml:space="preserve"> ولو ذكرت كثيراً مما ذكره ودوّنه في كتبه المختصرات لطال جداً فضلاً عن المبسوطات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وسقطات هذا الضال المبتدع أكثر من أن تحصى في كتاب واحد وقد سئم العلماء من تتبع ضلالاته والرد عليها لكثرة هذه الضلالات وتنوعها بين ضلالات تهدم عقائد المسلمين إلى فتاوى فقهية باطلة تحل الحرام وتحرم الحلال سالكا في هذا سبيل تحريف آيات الله عن مواضعها وإنكار الأحاديث النبوية الصحيحة التي لا تتفق مع هواه إلى إسقاطه وحذفه لأجزاء من أحاديث أخرى كي لا تصادم بدعته مستخفا بإجماع المسلمين في كل هذه الفتاوى كاذبا في نقله عن أئمة العلماء لكي يوهم عوام المسلمين أن أئمتهم يشاركونه في بدعته. فمن </w:t>
      </w:r>
      <w:proofErr w:type="spellStart"/>
      <w:r w:rsidRPr="00A52585">
        <w:rPr>
          <w:rFonts w:hint="cs"/>
          <w:sz w:val="24"/>
          <w:szCs w:val="24"/>
          <w:rtl/>
        </w:rPr>
        <w:t>جرائته</w:t>
      </w:r>
      <w:proofErr w:type="spellEnd"/>
      <w:r w:rsidRPr="00A52585">
        <w:rPr>
          <w:rFonts w:hint="cs"/>
          <w:sz w:val="24"/>
          <w:szCs w:val="24"/>
          <w:rtl/>
        </w:rPr>
        <w:t xml:space="preserve"> الشديدة على الله عز وجل إلى استهانته بمقام النبوة طعنه في الصحابة الأخيار أبي بكر وعمر وعثمان وعلي فمن دونهم إلى غمزه لأئمة المذاهب الفقهية إلى سبه وطعنه في أئمة العلماء الذين أعز الله بهم الإسلام ومنهم إمام الحرمين الجويني وحجة الإسلام الغزالي فقال عنهما في منهاجه " أنهما أكفر من اليهود والنصارى "</w:t>
      </w:r>
      <w:r w:rsidR="0002035C" w:rsidRPr="00A52585">
        <w:rPr>
          <w:rFonts w:hint="cs"/>
          <w:sz w:val="24"/>
          <w:szCs w:val="24"/>
          <w:rtl/>
        </w:rPr>
        <w:t xml:space="preserve"> </w:t>
      </w:r>
      <w:r w:rsidRPr="00A52585">
        <w:rPr>
          <w:rFonts w:hint="cs"/>
          <w:sz w:val="24"/>
          <w:szCs w:val="24"/>
          <w:rtl/>
        </w:rPr>
        <w:t xml:space="preserve">وهو في كل هذا يملأ الدنيا صراخاً وعويلا مناديا باتباع القرآن والسنة </w:t>
      </w:r>
      <w:proofErr w:type="spellStart"/>
      <w:r w:rsidRPr="00A52585">
        <w:rPr>
          <w:rFonts w:hint="cs"/>
          <w:sz w:val="24"/>
          <w:szCs w:val="24"/>
          <w:rtl/>
        </w:rPr>
        <w:t>متباكيا</w:t>
      </w:r>
      <w:proofErr w:type="spellEnd"/>
      <w:r w:rsidRPr="00A52585">
        <w:rPr>
          <w:rFonts w:hint="cs"/>
          <w:sz w:val="24"/>
          <w:szCs w:val="24"/>
          <w:rtl/>
        </w:rPr>
        <w:t xml:space="preserve"> على سيرة السلف الصالح كي يوهم البسطاء والعامة أنه على نهجهم سائر ومتبع</w:t>
      </w:r>
      <w:r w:rsidR="00DB731D" w:rsidRPr="00A52585">
        <w:rPr>
          <w:rFonts w:hint="cs"/>
          <w:sz w:val="24"/>
          <w:szCs w:val="24"/>
          <w:rtl/>
        </w:rPr>
        <w:t>،</w:t>
      </w:r>
      <w:r w:rsidRPr="00A52585">
        <w:rPr>
          <w:rFonts w:hint="cs"/>
          <w:sz w:val="24"/>
          <w:szCs w:val="24"/>
          <w:rtl/>
        </w:rPr>
        <w:t xml:space="preserve"> وقد تصدى له علماء عصره ومن بعدهم ردوا على أباطيله وأشاروا إلى فضائحه بتأليف الكتب ومناظرته </w:t>
      </w:r>
      <w:proofErr w:type="spellStart"/>
      <w:r w:rsidRPr="00A52585">
        <w:rPr>
          <w:rFonts w:hint="cs"/>
          <w:sz w:val="24"/>
          <w:szCs w:val="24"/>
          <w:rtl/>
        </w:rPr>
        <w:t>وإفحامه</w:t>
      </w:r>
      <w:proofErr w:type="spellEnd"/>
      <w:r w:rsidRPr="00A52585">
        <w:rPr>
          <w:rFonts w:hint="cs"/>
          <w:sz w:val="24"/>
          <w:szCs w:val="24"/>
          <w:rtl/>
        </w:rPr>
        <w:t xml:space="preserve"> وإلقاء الدروس على العامة لتحذيرهم منه وإلقائه في السجن بعد محاكمته علنا صيانة لعقائد المسلمين وشريعتهم من التشويش والتلاعب</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يقول شيخ الإسلام تقي الدين السبكي</w:t>
      </w:r>
      <w:r w:rsidRPr="00A52585">
        <w:rPr>
          <w:rFonts w:hint="cs"/>
          <w:sz w:val="24"/>
          <w:szCs w:val="24"/>
          <w:rtl/>
        </w:rPr>
        <w:t>- وهو ممن قاموا بالرد على كفريات ابن تيمية وأباطيله في حياته- في مقدمه كتابه (الدرة المضية)</w:t>
      </w:r>
      <w:r w:rsidR="0002035C" w:rsidRPr="00A52585">
        <w:rPr>
          <w:rFonts w:hint="cs"/>
          <w:sz w:val="24"/>
          <w:szCs w:val="24"/>
          <w:rtl/>
        </w:rPr>
        <w:t>:</w:t>
      </w:r>
      <w:r w:rsidRPr="00A52585">
        <w:rPr>
          <w:rFonts w:hint="cs"/>
          <w:sz w:val="24"/>
          <w:szCs w:val="24"/>
          <w:rtl/>
        </w:rPr>
        <w:t xml:space="preserve"> (أما بعد</w:t>
      </w:r>
      <w:r w:rsidR="0002035C" w:rsidRPr="00A52585">
        <w:rPr>
          <w:rFonts w:hint="cs"/>
          <w:sz w:val="24"/>
          <w:szCs w:val="24"/>
          <w:rtl/>
        </w:rPr>
        <w:t>:</w:t>
      </w:r>
      <w:r w:rsidRPr="00A52585">
        <w:rPr>
          <w:rFonts w:hint="cs"/>
          <w:sz w:val="24"/>
          <w:szCs w:val="24"/>
          <w:rtl/>
        </w:rPr>
        <w:t xml:space="preserve">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من الاتباع إلى الابتداع وشذ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w:t>
      </w:r>
      <w:r w:rsidRPr="00A52585">
        <w:rPr>
          <w:rFonts w:hint="cs"/>
          <w:sz w:val="24"/>
          <w:szCs w:val="24"/>
          <w:rtl/>
        </w:rPr>
        <w:lastRenderedPageBreak/>
        <w:t xml:space="preserve">لها فأثبت الصفة القديمة حادثه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w:t>
      </w:r>
      <w:proofErr w:type="spellStart"/>
      <w:r w:rsidRPr="00A52585">
        <w:rPr>
          <w:rFonts w:hint="cs"/>
          <w:sz w:val="24"/>
          <w:szCs w:val="24"/>
          <w:rtl/>
        </w:rPr>
        <w:t>حوققوا</w:t>
      </w:r>
      <w:proofErr w:type="spellEnd"/>
      <w:r w:rsidRPr="00A52585">
        <w:rPr>
          <w:rFonts w:hint="cs"/>
          <w:sz w:val="24"/>
          <w:szCs w:val="24"/>
          <w:rtl/>
        </w:rPr>
        <w:t xml:space="preserve"> في ذلك أنكروه وفروا منه كما يفرون من المكروه، ونبهاء أصحابه </w:t>
      </w:r>
      <w:proofErr w:type="spellStart"/>
      <w:r w:rsidRPr="00A52585">
        <w:rPr>
          <w:rFonts w:hint="cs"/>
          <w:sz w:val="24"/>
          <w:szCs w:val="24"/>
          <w:rtl/>
        </w:rPr>
        <w:t>ومتدينوهم</w:t>
      </w:r>
      <w:proofErr w:type="spellEnd"/>
      <w:r w:rsidRPr="00A52585">
        <w:rPr>
          <w:rFonts w:hint="cs"/>
          <w:sz w:val="24"/>
          <w:szCs w:val="24"/>
          <w:rtl/>
        </w:rPr>
        <w:t xml:space="preserve"> لا يظهر لهم إلا مجرد التبعية للكتاب والسنة والوقوف عندما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خطأه وتهافت قوله ومخالفته لكتاب الله وسنة رسوله صلى الله عليه </w:t>
      </w:r>
      <w:proofErr w:type="spellStart"/>
      <w:r w:rsidRPr="00A52585">
        <w:rPr>
          <w:rFonts w:hint="cs"/>
          <w:sz w:val="24"/>
          <w:szCs w:val="24"/>
          <w:rtl/>
        </w:rPr>
        <w:t>وآله</w:t>
      </w:r>
      <w:proofErr w:type="spellEnd"/>
      <w:r w:rsidRPr="00A52585">
        <w:rPr>
          <w:rFonts w:hint="cs"/>
          <w:sz w:val="24"/>
          <w:szCs w:val="24"/>
          <w:rtl/>
        </w:rPr>
        <w:t xml:space="preserve"> وسلم وإجماع الأمة، وقد عرف ذلك خواص العلماء ومن يفهم من عوام الفقهاء، ثم بلغني أنه بث دعاته في أقطار الأرض لنشر دعوته الخبيثة وأضل بذلك جماعة من العوام ومن العرب والفلاحين وأهل البلاد البرانية ولبسّ عليهم مسألة اليمين بالطلاق </w:t>
      </w:r>
      <w:r w:rsidRPr="00A52585">
        <w:rPr>
          <w:sz w:val="24"/>
          <w:szCs w:val="24"/>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إلى آخر ما ذكره</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ويقول شيخ الإسلام ابن حجر العسقلاني في (الدرر الكامنة)</w:t>
      </w:r>
      <w:r w:rsidRPr="00A52585">
        <w:rPr>
          <w:rFonts w:hint="cs"/>
          <w:sz w:val="24"/>
          <w:szCs w:val="24"/>
          <w:rtl/>
        </w:rPr>
        <w:t xml:space="preserve"> في ترجمــة ابــن تيميــة</w:t>
      </w:r>
      <w:r w:rsidR="0002035C" w:rsidRPr="00A52585">
        <w:rPr>
          <w:rFonts w:hint="cs"/>
          <w:sz w:val="24"/>
          <w:szCs w:val="24"/>
          <w:rtl/>
        </w:rPr>
        <w:t xml:space="preserve">: </w:t>
      </w:r>
      <w:r w:rsidRPr="00A52585">
        <w:rPr>
          <w:rFonts w:hint="cs"/>
          <w:sz w:val="24"/>
          <w:szCs w:val="24"/>
          <w:rtl/>
        </w:rPr>
        <w:t xml:space="preserve">" واستشعر أنه مجتهد فصار يرد على صغير العلماء وكبيرهم </w:t>
      </w:r>
      <w:proofErr w:type="spellStart"/>
      <w:r w:rsidRPr="00A52585">
        <w:rPr>
          <w:rFonts w:hint="cs"/>
          <w:sz w:val="24"/>
          <w:szCs w:val="24"/>
          <w:rtl/>
        </w:rPr>
        <w:t>قديمهم</w:t>
      </w:r>
      <w:proofErr w:type="spellEnd"/>
      <w:r w:rsidRPr="00A52585">
        <w:rPr>
          <w:rFonts w:hint="cs"/>
          <w:sz w:val="24"/>
          <w:szCs w:val="24"/>
          <w:rtl/>
        </w:rPr>
        <w:t xml:space="preserve"> وحديثهم حتى انتهى إلى عمر بن الخطاب رضي الله عنه فخطأه في </w:t>
      </w:r>
      <w:proofErr w:type="spellStart"/>
      <w:r w:rsidRPr="00A52585">
        <w:rPr>
          <w:rFonts w:hint="cs"/>
          <w:sz w:val="24"/>
          <w:szCs w:val="24"/>
          <w:rtl/>
        </w:rPr>
        <w:t>شئ</w:t>
      </w:r>
      <w:proofErr w:type="spellEnd"/>
      <w:r w:rsidRPr="00A52585">
        <w:rPr>
          <w:rFonts w:hint="cs"/>
          <w:sz w:val="24"/>
          <w:szCs w:val="24"/>
          <w:rtl/>
        </w:rPr>
        <w:t xml:space="preserve"> فبلغ الشيخ إبراهيم الرقي الحنبلي فأنكر عليه فذهب إليه واعتذر واستغفر. وقال في حق علي كرم الله وجهه</w:t>
      </w:r>
      <w:r w:rsidR="0002035C" w:rsidRPr="00A52585">
        <w:rPr>
          <w:rFonts w:hint="cs"/>
          <w:sz w:val="24"/>
          <w:szCs w:val="24"/>
          <w:rtl/>
        </w:rPr>
        <w:t>:</w:t>
      </w:r>
      <w:r w:rsidRPr="00A52585">
        <w:rPr>
          <w:rFonts w:hint="cs"/>
          <w:sz w:val="24"/>
          <w:szCs w:val="24"/>
          <w:rtl/>
        </w:rPr>
        <w:t xml:space="preserve"> أخطأ في سبعة عشر شيئاً </w:t>
      </w:r>
      <w:r w:rsidRPr="00A52585">
        <w:rPr>
          <w:rFonts w:hint="cs"/>
          <w:spacing w:val="-4"/>
          <w:sz w:val="24"/>
          <w:szCs w:val="24"/>
          <w:rtl/>
        </w:rPr>
        <w:t>خالف فيها نص الكتاب منها اعتداد المتوفى عنها زوجها أطول الأجلين. وكان لتعصبه لمذهب الحنابلة يقع في الأشاعرة حتى أنه سب الغزالي فقام عليه قوم كادوا يقتلونه... وذكروا أنه ذكر حديث النزول فنزل عن المنبر درجتين فقال كنزولي هذا فنسب إلى التجسيم وافترق الناس فيه شيعاً</w:t>
      </w:r>
      <w:r w:rsidR="0002035C" w:rsidRPr="00A52585">
        <w:rPr>
          <w:rFonts w:hint="cs"/>
          <w:spacing w:val="-4"/>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أ</w:t>
      </w:r>
      <w:r w:rsidR="0002035C" w:rsidRPr="00A52585">
        <w:rPr>
          <w:rFonts w:hint="cs"/>
          <w:sz w:val="24"/>
          <w:szCs w:val="24"/>
          <w:rtl/>
        </w:rPr>
        <w:t>]</w:t>
      </w:r>
      <w:r w:rsidRPr="00A52585">
        <w:rPr>
          <w:rFonts w:hint="cs"/>
          <w:sz w:val="24"/>
          <w:szCs w:val="24"/>
          <w:rtl/>
        </w:rPr>
        <w:t xml:space="preserve"> فمنهم من نسبه إلى التجسيم لما ذكر في العقيدة الحموية - التي رد عليها ابن حنبل</w:t>
      </w:r>
      <w:r w:rsidR="0002035C" w:rsidRPr="00A52585">
        <w:rPr>
          <w:rFonts w:hint="cs"/>
          <w:sz w:val="24"/>
          <w:szCs w:val="24"/>
          <w:rtl/>
        </w:rPr>
        <w:t xml:space="preserve"> </w:t>
      </w:r>
      <w:r w:rsidRPr="00A52585">
        <w:rPr>
          <w:rFonts w:hint="cs"/>
          <w:sz w:val="24"/>
          <w:szCs w:val="24"/>
          <w:rtl/>
        </w:rPr>
        <w:t>والواسطية وغيرهما، من ذلك كقوله</w:t>
      </w:r>
      <w:r w:rsidR="0002035C" w:rsidRPr="00A52585">
        <w:rPr>
          <w:rFonts w:hint="cs"/>
          <w:sz w:val="24"/>
          <w:szCs w:val="24"/>
          <w:rtl/>
        </w:rPr>
        <w:t>:</w:t>
      </w:r>
      <w:r w:rsidRPr="00A52585">
        <w:rPr>
          <w:rFonts w:hint="cs"/>
          <w:sz w:val="24"/>
          <w:szCs w:val="24"/>
          <w:rtl/>
        </w:rPr>
        <w:t xml:space="preserve"> إن اليد والقدم والساق والوجه صفات حقيقية لله وأنه مستو على العرش بذاته، فقيل له</w:t>
      </w:r>
      <w:r w:rsidR="0002035C" w:rsidRPr="00A52585">
        <w:rPr>
          <w:rFonts w:hint="cs"/>
          <w:sz w:val="24"/>
          <w:szCs w:val="24"/>
          <w:rtl/>
        </w:rPr>
        <w:t>:</w:t>
      </w:r>
      <w:r w:rsidRPr="00A52585">
        <w:rPr>
          <w:rFonts w:hint="cs"/>
          <w:sz w:val="24"/>
          <w:szCs w:val="24"/>
          <w:rtl/>
        </w:rPr>
        <w:t xml:space="preserve"> يلزم من ذلك التحيز والانقسام، فقال</w:t>
      </w:r>
      <w:r w:rsidR="0002035C" w:rsidRPr="00A52585">
        <w:rPr>
          <w:rFonts w:hint="cs"/>
          <w:sz w:val="24"/>
          <w:szCs w:val="24"/>
          <w:rtl/>
        </w:rPr>
        <w:t>:</w:t>
      </w:r>
      <w:r w:rsidRPr="00A52585">
        <w:rPr>
          <w:rFonts w:hint="cs"/>
          <w:sz w:val="24"/>
          <w:szCs w:val="24"/>
          <w:rtl/>
        </w:rPr>
        <w:t xml:space="preserve"> أنا لا أسلم أن التحيز والانقسام من خواص الأجسام، فألزم بأنه يقول بالتحيز في ذات الله تعالى</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ب</w:t>
      </w:r>
      <w:r w:rsidR="0002035C" w:rsidRPr="00A52585">
        <w:rPr>
          <w:rFonts w:hint="cs"/>
          <w:sz w:val="24"/>
          <w:szCs w:val="24"/>
          <w:rtl/>
        </w:rPr>
        <w:t>]</w:t>
      </w:r>
      <w:r w:rsidRPr="00A52585">
        <w:rPr>
          <w:rFonts w:hint="cs"/>
          <w:sz w:val="24"/>
          <w:szCs w:val="24"/>
          <w:rtl/>
        </w:rPr>
        <w:t xml:space="preserve"> ومنهم من ينسبه إلى الزندقة لقوله</w:t>
      </w:r>
      <w:r w:rsidR="0002035C" w:rsidRPr="00A52585">
        <w:rPr>
          <w:rFonts w:hint="cs"/>
          <w:sz w:val="24"/>
          <w:szCs w:val="24"/>
          <w:rtl/>
        </w:rPr>
        <w:t>:</w:t>
      </w:r>
      <w:r w:rsidRPr="00A52585">
        <w:rPr>
          <w:rFonts w:hint="cs"/>
          <w:sz w:val="24"/>
          <w:szCs w:val="24"/>
          <w:rtl/>
        </w:rPr>
        <w:t xml:space="preserve"> إن النبي صلى الله عليه </w:t>
      </w:r>
      <w:proofErr w:type="spellStart"/>
      <w:r w:rsidRPr="00A52585">
        <w:rPr>
          <w:rFonts w:hint="cs"/>
          <w:sz w:val="24"/>
          <w:szCs w:val="24"/>
          <w:rtl/>
        </w:rPr>
        <w:t>وآله</w:t>
      </w:r>
      <w:proofErr w:type="spellEnd"/>
      <w:r w:rsidRPr="00A52585">
        <w:rPr>
          <w:rFonts w:hint="cs"/>
          <w:sz w:val="24"/>
          <w:szCs w:val="24"/>
          <w:rtl/>
        </w:rPr>
        <w:t xml:space="preserve"> وسلم لا يستغاث به. لأن في ذلك تنقيصاً ومنعاً من تعظيم رسول الله صلى الله عليه </w:t>
      </w:r>
      <w:proofErr w:type="spellStart"/>
      <w:r w:rsidRPr="00A52585">
        <w:rPr>
          <w:rFonts w:hint="cs"/>
          <w:sz w:val="24"/>
          <w:szCs w:val="24"/>
          <w:rtl/>
        </w:rPr>
        <w:t>وآله</w:t>
      </w:r>
      <w:proofErr w:type="spellEnd"/>
      <w:r w:rsidRPr="00A52585">
        <w:rPr>
          <w:rFonts w:hint="cs"/>
          <w:sz w:val="24"/>
          <w:szCs w:val="24"/>
          <w:rtl/>
        </w:rPr>
        <w:t xml:space="preserve"> وسلم، وكان أشد الناس عليه في ذلك النور البكري فإنه لما عقد له المجلس بسبب ذلك قال بعض الحاضرين يعزر، فقال البكري</w:t>
      </w:r>
      <w:r w:rsidR="0002035C" w:rsidRPr="00A52585">
        <w:rPr>
          <w:rFonts w:hint="cs"/>
          <w:sz w:val="24"/>
          <w:szCs w:val="24"/>
          <w:rtl/>
        </w:rPr>
        <w:t>:</w:t>
      </w:r>
      <w:r w:rsidRPr="00A52585">
        <w:rPr>
          <w:rFonts w:hint="cs"/>
          <w:sz w:val="24"/>
          <w:szCs w:val="24"/>
          <w:rtl/>
        </w:rPr>
        <w:t xml:space="preserve"> لا معنى لهذا القول فإنه إن كان تنقيصا يقتل وإن لم يكن تنقيصا لا يعزر</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ج</w:t>
      </w:r>
      <w:r w:rsidR="0002035C" w:rsidRPr="00A52585">
        <w:rPr>
          <w:rFonts w:hint="cs"/>
          <w:sz w:val="24"/>
          <w:szCs w:val="24"/>
          <w:rtl/>
        </w:rPr>
        <w:t>]</w:t>
      </w:r>
      <w:r w:rsidRPr="00A52585">
        <w:rPr>
          <w:rFonts w:hint="cs"/>
          <w:sz w:val="24"/>
          <w:szCs w:val="24"/>
          <w:rtl/>
        </w:rPr>
        <w:t xml:space="preserve"> ومنهم من ينسبه إلى النفاق لقوله في علي </w:t>
      </w:r>
      <w:r w:rsidR="0002035C" w:rsidRPr="00A52585">
        <w:rPr>
          <w:rFonts w:hint="cs"/>
          <w:sz w:val="24"/>
          <w:szCs w:val="24"/>
          <w:rtl/>
        </w:rPr>
        <w:t>[</w:t>
      </w:r>
      <w:r w:rsidRPr="00A52585">
        <w:rPr>
          <w:rFonts w:hint="cs"/>
          <w:sz w:val="24"/>
          <w:szCs w:val="24"/>
          <w:rtl/>
        </w:rPr>
        <w:t>كرم الله وجهه</w:t>
      </w:r>
      <w:r w:rsidR="0002035C" w:rsidRPr="00A52585">
        <w:rPr>
          <w:rFonts w:hint="cs"/>
          <w:sz w:val="24"/>
          <w:szCs w:val="24"/>
          <w:rtl/>
        </w:rPr>
        <w:t>]</w:t>
      </w:r>
      <w:r w:rsidRPr="00A52585">
        <w:rPr>
          <w:rFonts w:hint="cs"/>
          <w:sz w:val="24"/>
          <w:szCs w:val="24"/>
          <w:rtl/>
        </w:rPr>
        <w:t xml:space="preserve"> ما تقدم ولقوله</w:t>
      </w:r>
      <w:r w:rsidR="0002035C" w:rsidRPr="00A52585">
        <w:rPr>
          <w:rFonts w:hint="cs"/>
          <w:sz w:val="24"/>
          <w:szCs w:val="24"/>
          <w:rtl/>
        </w:rPr>
        <w:t>:</w:t>
      </w:r>
      <w:r w:rsidRPr="00A52585">
        <w:rPr>
          <w:rFonts w:hint="cs"/>
          <w:sz w:val="24"/>
          <w:szCs w:val="24"/>
          <w:rtl/>
        </w:rPr>
        <w:t xml:space="preserve"> إنه كان مخذولا حيثما توجه، وأنه حاول الخلافة مراراً فلم ينلها وإنما قاتل دون الرياسة لا للديانة، وأن عثمان </w:t>
      </w:r>
      <w:r w:rsidR="0002035C" w:rsidRPr="00A52585">
        <w:rPr>
          <w:rFonts w:hint="cs"/>
          <w:sz w:val="24"/>
          <w:szCs w:val="24"/>
          <w:rtl/>
        </w:rPr>
        <w:t>[</w:t>
      </w:r>
      <w:r w:rsidRPr="00A52585">
        <w:rPr>
          <w:rFonts w:hint="cs"/>
          <w:sz w:val="24"/>
          <w:szCs w:val="24"/>
          <w:rtl/>
        </w:rPr>
        <w:t>رضي الله عنه</w:t>
      </w:r>
      <w:r w:rsidR="0002035C" w:rsidRPr="00A52585">
        <w:rPr>
          <w:rFonts w:hint="cs"/>
          <w:sz w:val="24"/>
          <w:szCs w:val="24"/>
          <w:rtl/>
        </w:rPr>
        <w:t>]</w:t>
      </w:r>
      <w:r w:rsidRPr="00A52585">
        <w:rPr>
          <w:rFonts w:hint="cs"/>
          <w:sz w:val="24"/>
          <w:szCs w:val="24"/>
          <w:rtl/>
        </w:rPr>
        <w:t xml:space="preserve"> كان يحب المال، ولقوله</w:t>
      </w:r>
      <w:r w:rsidR="0002035C" w:rsidRPr="00A52585">
        <w:rPr>
          <w:rFonts w:hint="cs"/>
          <w:sz w:val="24"/>
          <w:szCs w:val="24"/>
          <w:rtl/>
        </w:rPr>
        <w:t>:</w:t>
      </w:r>
      <w:r w:rsidRPr="00A52585">
        <w:rPr>
          <w:rFonts w:hint="cs"/>
          <w:sz w:val="24"/>
          <w:szCs w:val="24"/>
          <w:rtl/>
        </w:rPr>
        <w:t xml:space="preserve"> أبو بكر رضي الله عنه أسلم شيخًا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د</w:t>
      </w:r>
      <w:r w:rsidR="0002035C" w:rsidRPr="00A52585">
        <w:rPr>
          <w:rFonts w:hint="cs"/>
          <w:sz w:val="24"/>
          <w:szCs w:val="24"/>
          <w:rtl/>
        </w:rPr>
        <w:t>]</w:t>
      </w:r>
      <w:r w:rsidRPr="00A52585">
        <w:rPr>
          <w:rFonts w:hint="cs"/>
          <w:sz w:val="24"/>
          <w:szCs w:val="24"/>
          <w:rtl/>
        </w:rPr>
        <w:t xml:space="preserve"> وله وقائع شهيرة وكان إذا </w:t>
      </w:r>
      <w:proofErr w:type="spellStart"/>
      <w:r w:rsidRPr="00A52585">
        <w:rPr>
          <w:rFonts w:hint="cs"/>
          <w:sz w:val="24"/>
          <w:szCs w:val="24"/>
          <w:rtl/>
        </w:rPr>
        <w:t>حوقق</w:t>
      </w:r>
      <w:proofErr w:type="spellEnd"/>
      <w:r w:rsidRPr="00A52585">
        <w:rPr>
          <w:rFonts w:hint="cs"/>
          <w:sz w:val="24"/>
          <w:szCs w:val="24"/>
          <w:rtl/>
        </w:rPr>
        <w:t xml:space="preserve"> وألزم يقول</w:t>
      </w:r>
      <w:r w:rsidR="0002035C" w:rsidRPr="00A52585">
        <w:rPr>
          <w:rFonts w:hint="cs"/>
          <w:sz w:val="24"/>
          <w:szCs w:val="24"/>
          <w:rtl/>
        </w:rPr>
        <w:t>:</w:t>
      </w:r>
      <w:r w:rsidRPr="00A52585">
        <w:rPr>
          <w:rFonts w:hint="cs"/>
          <w:sz w:val="24"/>
          <w:szCs w:val="24"/>
          <w:rtl/>
        </w:rPr>
        <w:t xml:space="preserve"> لم أرد هذا إنما أردت كذا فيذكر احتمالا بعيداً "</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ويتضح من قراءة النص السابق مدى غرور ابن تيمية وإعجابه بنفسه وجرأته على الذات الإلهية المقدسة وعلى مقام النبوة وتطاوله على صحابة رسول الله صلى الله عليه وسلم</w:t>
      </w:r>
      <w:r w:rsidR="0002035C" w:rsidRPr="00A52585">
        <w:rPr>
          <w:rFonts w:hint="cs"/>
          <w:sz w:val="24"/>
          <w:szCs w:val="24"/>
          <w:rtl/>
        </w:rPr>
        <w:t xml:space="preserve"> </w:t>
      </w:r>
      <w:r w:rsidRPr="00A52585">
        <w:rPr>
          <w:rFonts w:hint="cs"/>
          <w:sz w:val="24"/>
          <w:szCs w:val="24"/>
          <w:rtl/>
        </w:rPr>
        <w:t xml:space="preserve">فمن دونهم، وأخيراً سلوكه طريق الخداع والمراوغة كلما عقدت له المناظرات مع علماء عصره </w:t>
      </w:r>
      <w:r w:rsidRPr="00A52585">
        <w:rPr>
          <w:rFonts w:hint="cs"/>
          <w:sz w:val="24"/>
          <w:szCs w:val="24"/>
          <w:rtl/>
        </w:rPr>
        <w:lastRenderedPageBreak/>
        <w:t xml:space="preserve">وأسقط في يده وأقـيمت الحجة على بطلان آرائه </w:t>
      </w:r>
      <w:r w:rsidRPr="00A52585">
        <w:rPr>
          <w:rFonts w:hint="cs"/>
          <w:spacing w:val="-4"/>
          <w:sz w:val="24"/>
          <w:szCs w:val="24"/>
          <w:rtl/>
        </w:rPr>
        <w:t>التي ادعاها سابقاً في</w:t>
      </w:r>
      <w:r w:rsidRPr="00A52585">
        <w:rPr>
          <w:rFonts w:hint="cs"/>
          <w:sz w:val="24"/>
          <w:szCs w:val="24"/>
          <w:rtl/>
        </w:rPr>
        <w:t xml:space="preserve"> كتبه أو </w:t>
      </w:r>
      <w:r w:rsidRPr="00A52585">
        <w:rPr>
          <w:rFonts w:hint="cs"/>
          <w:spacing w:val="-4"/>
          <w:sz w:val="24"/>
          <w:szCs w:val="24"/>
          <w:rtl/>
        </w:rPr>
        <w:t>أحاديثه فلا يجد مناصا من التنكر</w:t>
      </w:r>
      <w:r w:rsidRPr="00A52585">
        <w:rPr>
          <w:rFonts w:hint="cs"/>
          <w:sz w:val="24"/>
          <w:szCs w:val="24"/>
          <w:rtl/>
        </w:rPr>
        <w:t xml:space="preserve"> لهذه الآراء ويلجأ إلى الكذب الصريح بأنه لم يرد ذلك بل أراد شيئاً آخر وسيأتي نماذج لهذا السلوك المشين في </w:t>
      </w:r>
      <w:proofErr w:type="spellStart"/>
      <w:r w:rsidRPr="00A52585">
        <w:rPr>
          <w:rFonts w:hint="cs"/>
          <w:sz w:val="24"/>
          <w:szCs w:val="24"/>
          <w:rtl/>
        </w:rPr>
        <w:t>استتاباته</w:t>
      </w:r>
      <w:proofErr w:type="spellEnd"/>
      <w:r w:rsidRPr="00A52585">
        <w:rPr>
          <w:rFonts w:hint="cs"/>
          <w:sz w:val="24"/>
          <w:szCs w:val="24"/>
          <w:rtl/>
        </w:rPr>
        <w:t xml:space="preserve"> المتعددة وغيرها. فهل هذا سلوك مقبول لعوام المسلمين فضلا عن علمائهم أم أن هذا سلوك الدجالين الأفاكين متبعي السياسة </w:t>
      </w:r>
      <w:proofErr w:type="spellStart"/>
      <w:r w:rsidRPr="00A52585">
        <w:rPr>
          <w:rFonts w:hint="cs"/>
          <w:sz w:val="24"/>
          <w:szCs w:val="24"/>
          <w:rtl/>
        </w:rPr>
        <w:t>الميكيافيلية</w:t>
      </w:r>
      <w:proofErr w:type="spellEnd"/>
      <w:r w:rsidRPr="00A52585">
        <w:rPr>
          <w:rFonts w:hint="cs"/>
          <w:sz w:val="24"/>
          <w:szCs w:val="24"/>
          <w:rtl/>
        </w:rPr>
        <w:t xml:space="preserve"> الذين يرون أن الغاية تبرر الوسيلة وليس في قلوبهم من خشية الحق سبحانه ما يردعهم عن استخدام الدين سلماً للوصول إلى أهدافهم الوضيعة من مناصب دنيوية زائلة. كما </w:t>
      </w:r>
      <w:proofErr w:type="spellStart"/>
      <w:r w:rsidRPr="00A52585">
        <w:rPr>
          <w:rFonts w:hint="cs"/>
          <w:sz w:val="24"/>
          <w:szCs w:val="24"/>
          <w:rtl/>
        </w:rPr>
        <w:t>يتلاحظ</w:t>
      </w:r>
      <w:proofErr w:type="spellEnd"/>
      <w:r w:rsidRPr="00A52585">
        <w:rPr>
          <w:rFonts w:hint="cs"/>
          <w:sz w:val="24"/>
          <w:szCs w:val="24"/>
          <w:rtl/>
        </w:rPr>
        <w:t xml:space="preserve"> أيضاً من تحليل هذا النص أن الشيخ ابن حجر العسقلاني قد صنف أراء العلماء وتقييمهم لابن تيمية إلى أربعة أصناف فقط</w:t>
      </w:r>
      <w:r w:rsidR="0002035C" w:rsidRPr="00A52585">
        <w:rPr>
          <w:rFonts w:hint="cs"/>
          <w:sz w:val="24"/>
          <w:szCs w:val="24"/>
          <w:rtl/>
        </w:rPr>
        <w:t>:</w:t>
      </w:r>
      <w:r w:rsidRPr="00A52585">
        <w:rPr>
          <w:rFonts w:hint="cs"/>
          <w:sz w:val="24"/>
          <w:szCs w:val="24"/>
          <w:rtl/>
        </w:rPr>
        <w:t xml:space="preserve"> الأول</w:t>
      </w:r>
      <w:r w:rsidR="0002035C" w:rsidRPr="00A52585">
        <w:rPr>
          <w:rFonts w:hint="cs"/>
          <w:sz w:val="24"/>
          <w:szCs w:val="24"/>
          <w:rtl/>
        </w:rPr>
        <w:t>:</w:t>
      </w:r>
      <w:r w:rsidRPr="00A52585">
        <w:rPr>
          <w:rFonts w:hint="cs"/>
          <w:sz w:val="24"/>
          <w:szCs w:val="24"/>
          <w:rtl/>
        </w:rPr>
        <w:t xml:space="preserve"> نسبة ابن تيمية إلى التجسيم. الثاني</w:t>
      </w:r>
      <w:r w:rsidR="0002035C" w:rsidRPr="00A52585">
        <w:rPr>
          <w:rFonts w:hint="cs"/>
          <w:sz w:val="24"/>
          <w:szCs w:val="24"/>
          <w:rtl/>
        </w:rPr>
        <w:t>:</w:t>
      </w:r>
      <w:r w:rsidRPr="00A52585">
        <w:rPr>
          <w:rFonts w:hint="cs"/>
          <w:sz w:val="24"/>
          <w:szCs w:val="24"/>
          <w:rtl/>
        </w:rPr>
        <w:t xml:space="preserve"> نسبة ابن تيمية إلى الزندقة. الثالث</w:t>
      </w:r>
      <w:r w:rsidR="0002035C" w:rsidRPr="00A52585">
        <w:rPr>
          <w:rFonts w:hint="cs"/>
          <w:sz w:val="24"/>
          <w:szCs w:val="24"/>
          <w:rtl/>
        </w:rPr>
        <w:t>:</w:t>
      </w:r>
      <w:r w:rsidRPr="00A52585">
        <w:rPr>
          <w:rFonts w:hint="cs"/>
          <w:sz w:val="24"/>
          <w:szCs w:val="24"/>
          <w:rtl/>
        </w:rPr>
        <w:t xml:space="preserve"> نسبته إلى النفاق. الرابع</w:t>
      </w:r>
      <w:r w:rsidR="0002035C" w:rsidRPr="00A52585">
        <w:rPr>
          <w:rFonts w:hint="cs"/>
          <w:sz w:val="24"/>
          <w:szCs w:val="24"/>
          <w:rtl/>
        </w:rPr>
        <w:t>:</w:t>
      </w:r>
      <w:r w:rsidRPr="00A52585">
        <w:rPr>
          <w:rFonts w:hint="cs"/>
          <w:sz w:val="24"/>
          <w:szCs w:val="24"/>
          <w:rtl/>
        </w:rPr>
        <w:t xml:space="preserve"> نسبته إلى السعي في الإمامة العظمى. ولم يذكر رأي محبيه وتلامذته فيه لسقوط رأيهم هذا عن محل الاعتبار أمام الأدلة</w:t>
      </w:r>
      <w:r w:rsidR="0002035C" w:rsidRPr="00A52585">
        <w:rPr>
          <w:rFonts w:hint="cs"/>
          <w:sz w:val="24"/>
          <w:szCs w:val="24"/>
          <w:rtl/>
        </w:rPr>
        <w:t xml:space="preserve"> </w:t>
      </w:r>
      <w:r w:rsidRPr="00A52585">
        <w:rPr>
          <w:rFonts w:hint="cs"/>
          <w:sz w:val="24"/>
          <w:szCs w:val="24"/>
          <w:rtl/>
        </w:rPr>
        <w:t>الدامغة ومن يكون هؤلاء التلاميذ بجوار فحول العلماء وأئمة الدين والورع الذين ساق رأيهم</w:t>
      </w:r>
      <w:r w:rsidR="00F95886" w:rsidRPr="00A52585">
        <w:rPr>
          <w:rFonts w:hint="cs"/>
          <w:sz w:val="24"/>
          <w:szCs w:val="24"/>
          <w:rtl/>
        </w:rPr>
        <w:t>؟</w:t>
      </w:r>
      <w:r w:rsidRPr="00A52585">
        <w:rPr>
          <w:rFonts w:hint="cs"/>
          <w:sz w:val="24"/>
          <w:szCs w:val="24"/>
          <w:rtl/>
        </w:rPr>
        <w:t xml:space="preserve"> يقول العلامة الشيخ محمد زاهد الكوثري تعليقاً على هذا النص</w:t>
      </w:r>
      <w:r w:rsidR="0002035C" w:rsidRPr="00A52585">
        <w:rPr>
          <w:rFonts w:hint="cs"/>
          <w:sz w:val="24"/>
          <w:szCs w:val="24"/>
          <w:rtl/>
        </w:rPr>
        <w:t xml:space="preserve">: </w:t>
      </w:r>
      <w:r w:rsidRPr="00A52585">
        <w:rPr>
          <w:rFonts w:hint="cs"/>
          <w:sz w:val="24"/>
          <w:szCs w:val="24"/>
          <w:rtl/>
        </w:rPr>
        <w:t xml:space="preserve">" وليس بين هؤلاء من ذكره بالإمامة والقدوة في الدين، ومن اتخذه إماما إنما اتخذه إماما في الزيغ والشذوذ من غير أن يتهيب ذلك اليوم الذي يدعى فيه كل أناس بإمامهم، فليعتبر بذلك من ظن أن ابن حجر العسقلاني في صف </w:t>
      </w:r>
      <w:proofErr w:type="spellStart"/>
      <w:r w:rsidRPr="00A52585">
        <w:rPr>
          <w:rFonts w:hint="cs"/>
          <w:sz w:val="24"/>
          <w:szCs w:val="24"/>
          <w:rtl/>
        </w:rPr>
        <w:t>المثنين</w:t>
      </w:r>
      <w:proofErr w:type="spellEnd"/>
      <w:r w:rsidRPr="00A52585">
        <w:rPr>
          <w:rFonts w:hint="cs"/>
          <w:sz w:val="24"/>
          <w:szCs w:val="24"/>
          <w:rtl/>
        </w:rPr>
        <w:t xml:space="preserve"> على إمامته على الإطلاق. وهذا كلام ابن حجر في هذا الزائغ مع أنه لم يطلع على جميع </w:t>
      </w:r>
      <w:proofErr w:type="spellStart"/>
      <w:r w:rsidRPr="00A52585">
        <w:rPr>
          <w:rFonts w:hint="cs"/>
          <w:sz w:val="24"/>
          <w:szCs w:val="24"/>
          <w:rtl/>
        </w:rPr>
        <w:t>مخازيه</w:t>
      </w:r>
      <w:proofErr w:type="spellEnd"/>
      <w:r w:rsidRPr="00A52585">
        <w:rPr>
          <w:rFonts w:hint="cs"/>
          <w:sz w:val="24"/>
          <w:szCs w:val="24"/>
          <w:rtl/>
        </w:rPr>
        <w:t xml:space="preserve">. ومن أثنى عليه من أهل السنة في مبدأ أمره قبل انكشاف الستر عن بدعه الطامة إنما أثنى عليه تشجيعاً له على العلم لما كانوا يرون فيه مبدأ نشأته من القابلية للعلم كما كانوا يفعلون مثل ذلك مع كل </w:t>
      </w:r>
      <w:proofErr w:type="spellStart"/>
      <w:r w:rsidRPr="00A52585">
        <w:rPr>
          <w:rFonts w:hint="cs"/>
          <w:sz w:val="24"/>
          <w:szCs w:val="24"/>
          <w:rtl/>
        </w:rPr>
        <w:t>ناشيء</w:t>
      </w:r>
      <w:proofErr w:type="spellEnd"/>
      <w:r w:rsidRPr="00A52585">
        <w:rPr>
          <w:rFonts w:hint="cs"/>
          <w:sz w:val="24"/>
          <w:szCs w:val="24"/>
          <w:rtl/>
        </w:rPr>
        <w:t xml:space="preserve">، لكن لما تشعبت هموم ابن تيمية وتوزعت مواهبه في مختلف الأهواء وضاع صوابه بين أمواج البدع التي ارتضاها لنفسه تراجع كل من أثنى عليه من هؤلاء على توالي فتنه بين الأمة وتعاقب أهوائه المخزية وانقلبوا ضده ولو لا مغامراته في شتى العلوم التي يكفي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 </w:t>
      </w:r>
      <w:r w:rsidRPr="00A52585">
        <w:rPr>
          <w:sz w:val="24"/>
          <w:szCs w:val="24"/>
        </w:rPr>
        <w:t>…</w:t>
      </w:r>
      <w:r w:rsidRPr="00A52585">
        <w:rPr>
          <w:rFonts w:hint="cs"/>
          <w:sz w:val="24"/>
          <w:szCs w:val="24"/>
          <w:rtl/>
        </w:rPr>
        <w:t xml:space="preserve"> "</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 من تعليقه على (السيف الصقيل) ص81-82</w:t>
      </w:r>
      <w:r w:rsidR="00DB731D" w:rsidRPr="00A52585">
        <w:rPr>
          <w:rFonts w:hint="cs"/>
          <w:sz w:val="24"/>
          <w:szCs w:val="24"/>
          <w:rtl/>
        </w:rPr>
        <w:t>،</w:t>
      </w:r>
      <w:r w:rsidRPr="00A52585">
        <w:rPr>
          <w:rFonts w:hint="cs"/>
          <w:sz w:val="24"/>
          <w:szCs w:val="24"/>
          <w:rtl/>
        </w:rPr>
        <w:t xml:space="preserve"> ومن هؤلاء الذين انفضوا من حوله وتبرأوا منه رغم صحبتهم الطويلة له سابقاً الحافظ الكبير شمس الدين الذهبي </w:t>
      </w:r>
      <w:r w:rsidRPr="00A52585">
        <w:rPr>
          <w:rFonts w:hint="cs"/>
          <w:bCs/>
          <w:sz w:val="24"/>
          <w:szCs w:val="24"/>
          <w:rtl/>
        </w:rPr>
        <w:t xml:space="preserve">ومن جملة ما يقوله في ابن تيمية ما نقله ابن حجر في (الدر </w:t>
      </w:r>
      <w:proofErr w:type="spellStart"/>
      <w:r w:rsidRPr="00A52585">
        <w:rPr>
          <w:rFonts w:hint="cs"/>
          <w:bCs/>
          <w:sz w:val="24"/>
          <w:szCs w:val="24"/>
          <w:rtl/>
        </w:rPr>
        <w:t>الكامنه</w:t>
      </w:r>
      <w:proofErr w:type="spellEnd"/>
      <w:r w:rsidRPr="00A52585">
        <w:rPr>
          <w:rFonts w:hint="cs"/>
          <w:bCs/>
          <w:sz w:val="24"/>
          <w:szCs w:val="24"/>
          <w:rtl/>
        </w:rPr>
        <w:t>)</w:t>
      </w:r>
      <w:r w:rsidR="0002035C" w:rsidRPr="00A52585">
        <w:rPr>
          <w:rFonts w:hint="cs"/>
          <w:sz w:val="24"/>
          <w:szCs w:val="24"/>
          <w:rtl/>
        </w:rPr>
        <w:t>:</w:t>
      </w:r>
      <w:r w:rsidRPr="00A52585">
        <w:rPr>
          <w:rFonts w:hint="cs"/>
          <w:sz w:val="24"/>
          <w:szCs w:val="24"/>
          <w:rtl/>
        </w:rPr>
        <w:t xml:space="preserve"> " </w:t>
      </w:r>
      <w:r w:rsidRPr="00A52585">
        <w:rPr>
          <w:sz w:val="24"/>
          <w:szCs w:val="24"/>
        </w:rPr>
        <w:t>…</w:t>
      </w:r>
      <w:r w:rsidRPr="00A52585">
        <w:rPr>
          <w:rFonts w:hint="cs"/>
          <w:sz w:val="24"/>
          <w:szCs w:val="24"/>
          <w:rtl/>
        </w:rPr>
        <w:t xml:space="preserve"> ومن خالطه وعرفه قد ينسبني إلى التقصير فيه ومن نابذه وخالفه قد ينسبني إلى </w:t>
      </w:r>
      <w:proofErr w:type="spellStart"/>
      <w:r w:rsidRPr="00A52585">
        <w:rPr>
          <w:rFonts w:hint="cs"/>
          <w:sz w:val="24"/>
          <w:szCs w:val="24"/>
          <w:rtl/>
        </w:rPr>
        <w:t>التغالي</w:t>
      </w:r>
      <w:proofErr w:type="spellEnd"/>
      <w:r w:rsidRPr="00A52585">
        <w:rPr>
          <w:rFonts w:hint="cs"/>
          <w:sz w:val="24"/>
          <w:szCs w:val="24"/>
          <w:rtl/>
        </w:rPr>
        <w:t xml:space="preserve"> فيه وقد أوذيت من الفريقين من أصحابه وأضداده وأنا لا أعتقد فيه عصمة بل أنا مخالف له في مسائل أصلية وفرعية "</w:t>
      </w:r>
      <w:r w:rsidR="0002035C" w:rsidRPr="00A52585">
        <w:rPr>
          <w:rFonts w:hint="cs"/>
          <w:sz w:val="24"/>
          <w:szCs w:val="24"/>
          <w:rtl/>
        </w:rPr>
        <w:t xml:space="preserve"> </w:t>
      </w:r>
      <w:proofErr w:type="spellStart"/>
      <w:r w:rsidRPr="00A52585">
        <w:rPr>
          <w:rFonts w:hint="cs"/>
          <w:sz w:val="24"/>
          <w:szCs w:val="24"/>
          <w:rtl/>
        </w:rPr>
        <w:t>أ.ه</w:t>
      </w:r>
      <w:proofErr w:type="spellEnd"/>
      <w:r w:rsidRPr="00A52585">
        <w:rPr>
          <w:rFonts w:hint="cs"/>
          <w:sz w:val="24"/>
          <w:szCs w:val="24"/>
          <w:rtl/>
        </w:rPr>
        <w:t>ـ</w:t>
      </w:r>
      <w:r w:rsidR="00DB731D" w:rsidRPr="00A52585">
        <w:rPr>
          <w:rFonts w:hint="cs"/>
          <w:sz w:val="24"/>
          <w:szCs w:val="24"/>
          <w:rtl/>
        </w:rPr>
        <w:t>،</w:t>
      </w:r>
      <w:r w:rsidRPr="00A52585">
        <w:rPr>
          <w:rFonts w:hint="cs"/>
          <w:sz w:val="24"/>
          <w:szCs w:val="24"/>
          <w:rtl/>
        </w:rPr>
        <w:t xml:space="preserve"> وكان الذهبي من المبكرين في تأليف التراجم فيترجم لبعض الأشخاص قبل أن يدرس حياتهم جيداً ثم يتدارك ما فاته في بقية كتبه لذا نجده يقول عن ابن تيمية في كتابه </w:t>
      </w:r>
      <w:r w:rsidR="0002035C" w:rsidRPr="00A52585">
        <w:rPr>
          <w:rFonts w:hint="cs"/>
          <w:sz w:val="24"/>
          <w:szCs w:val="24"/>
          <w:rtl/>
        </w:rPr>
        <w:t>(</w:t>
      </w:r>
      <w:r w:rsidRPr="00A52585">
        <w:rPr>
          <w:rFonts w:hint="cs"/>
          <w:sz w:val="24"/>
          <w:szCs w:val="24"/>
          <w:rtl/>
        </w:rPr>
        <w:t>زغل العلم والطلب)</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فإن برعت في الأصول وتوابعها من المنطق والحكمة والفلسفة وآراء الأوائل ومحارات العقول، واعتصمت مع ذلك بالكتاب والسنة وأصول السلف ولفقت بين العقل والنقل فما أظنك في ذلك تبلغ رتبة ابن تيمية ولا والله تقاربها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فاضلاً محققاً بارعاً عند طوائف من عقلاء الفضلاء، وحامل راية الإسلام وحامي حوزة الدين ومحي السنة عند عموم عوام أصحابه، هذا ما أقوله لك "</w:t>
      </w:r>
      <w:r w:rsidR="0002035C" w:rsidRPr="00A52585">
        <w:rPr>
          <w:rFonts w:hint="cs"/>
          <w:sz w:val="24"/>
          <w:szCs w:val="24"/>
          <w:rtl/>
        </w:rPr>
        <w:t xml:space="preserve"> </w:t>
      </w:r>
      <w:r w:rsidRPr="00A52585">
        <w:rPr>
          <w:rFonts w:hint="cs"/>
          <w:sz w:val="24"/>
          <w:szCs w:val="24"/>
          <w:rtl/>
        </w:rPr>
        <w:t>أهـ ص 23-24</w:t>
      </w:r>
      <w:r w:rsidR="00DB731D" w:rsidRPr="00A52585">
        <w:rPr>
          <w:rFonts w:hint="cs"/>
          <w:sz w:val="24"/>
          <w:szCs w:val="24"/>
          <w:rtl/>
        </w:rPr>
        <w:t>،</w:t>
      </w:r>
      <w:r w:rsidRPr="00A52585">
        <w:rPr>
          <w:rFonts w:hint="cs"/>
          <w:sz w:val="24"/>
          <w:szCs w:val="24"/>
          <w:rtl/>
        </w:rPr>
        <w:t xml:space="preserve"> وتأمل جيداً تعبير الذهبي (بحق وبباطل) لتعلم أن بعض ما جرى على ابن تيمية من تضليل </w:t>
      </w:r>
      <w:proofErr w:type="spellStart"/>
      <w:r w:rsidRPr="00A52585">
        <w:rPr>
          <w:rFonts w:hint="cs"/>
          <w:sz w:val="24"/>
          <w:szCs w:val="24"/>
          <w:rtl/>
        </w:rPr>
        <w:t>وتكفير..إلخ</w:t>
      </w:r>
      <w:proofErr w:type="spellEnd"/>
      <w:r w:rsidRPr="00A52585">
        <w:rPr>
          <w:rFonts w:hint="cs"/>
          <w:sz w:val="24"/>
          <w:szCs w:val="24"/>
          <w:rtl/>
        </w:rPr>
        <w:t xml:space="preserve"> </w:t>
      </w:r>
      <w:r w:rsidRPr="00A52585">
        <w:rPr>
          <w:rFonts w:hint="cs"/>
          <w:sz w:val="24"/>
          <w:szCs w:val="24"/>
          <w:rtl/>
        </w:rPr>
        <w:lastRenderedPageBreak/>
        <w:t>هو حق في رأى الذهبي ويقول أيضاً في موضع آخر من (زغل العلم والطلب)</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واحذر الكبر والعجب بعلمك فيا سعادتك إن نجوت منه كفافا لا عليك ولا لك، فوالله ما رمقت عيني أوسع علماً ولا أقوى ذكاء من رجل يقال له </w:t>
      </w:r>
      <w:r w:rsidR="0002035C" w:rsidRPr="00A52585">
        <w:rPr>
          <w:rFonts w:hint="cs"/>
          <w:sz w:val="24"/>
          <w:szCs w:val="24"/>
          <w:rtl/>
        </w:rPr>
        <w:t>(</w:t>
      </w:r>
      <w:r w:rsidRPr="00A52585">
        <w:rPr>
          <w:rFonts w:hint="cs"/>
          <w:sz w:val="24"/>
          <w:szCs w:val="24"/>
          <w:rtl/>
        </w:rPr>
        <w:t>ابن تيمية</w:t>
      </w:r>
      <w:r w:rsidR="0002035C" w:rsidRPr="00A52585">
        <w:rPr>
          <w:rFonts w:hint="cs"/>
          <w:sz w:val="24"/>
          <w:szCs w:val="24"/>
          <w:rtl/>
        </w:rPr>
        <w:t>)</w:t>
      </w:r>
      <w:r w:rsidRPr="00A52585">
        <w:rPr>
          <w:rFonts w:hint="cs"/>
          <w:sz w:val="24"/>
          <w:szCs w:val="24"/>
          <w:rtl/>
        </w:rPr>
        <w:t xml:space="preserve"> مع الزهد في المأكل والملبس والنساء ومع القيام في الحق والجهاد بكل ممكن، وقد تعبت في وزنه وفتشه حتى مللت في سنين متطاولة فما وجدت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نسأل الله المسامحة، فقد قام عليه أناس ليسوا </w:t>
      </w:r>
      <w:proofErr w:type="spellStart"/>
      <w:r w:rsidRPr="00A52585">
        <w:rPr>
          <w:rFonts w:hint="cs"/>
          <w:sz w:val="24"/>
          <w:szCs w:val="24"/>
          <w:rtl/>
        </w:rPr>
        <w:t>بأورع</w:t>
      </w:r>
      <w:proofErr w:type="spellEnd"/>
      <w:r w:rsidRPr="00A52585">
        <w:rPr>
          <w:rFonts w:hint="cs"/>
          <w:sz w:val="24"/>
          <w:szCs w:val="24"/>
          <w:rtl/>
        </w:rPr>
        <w:t xml:space="preserve"> منه ولا أعلم منه</w:t>
      </w:r>
      <w:r w:rsidR="0002035C" w:rsidRPr="00A52585">
        <w:rPr>
          <w:rFonts w:hint="cs"/>
          <w:sz w:val="24"/>
          <w:szCs w:val="24"/>
          <w:rtl/>
        </w:rPr>
        <w:t xml:space="preserve"> </w:t>
      </w:r>
      <w:r w:rsidRPr="00A52585">
        <w:rPr>
          <w:rFonts w:hint="cs"/>
          <w:sz w:val="24"/>
          <w:szCs w:val="24"/>
          <w:rtl/>
        </w:rPr>
        <w:t xml:space="preserve">ولا أزهد منه بل يتجاوزن عن ذنوب أصحابهم وآثام أصدقائهم وما سلطهم الله عليه بتقواهم وجلالتهم بل بذنوبه، وما دفع الله عنه وعن أتباعه أكثر </w:t>
      </w:r>
      <w:r w:rsidRPr="00A52585">
        <w:rPr>
          <w:rFonts w:hint="cs"/>
          <w:bCs/>
          <w:sz w:val="24"/>
          <w:szCs w:val="24"/>
          <w:rtl/>
        </w:rPr>
        <w:t>وما جرى عليهم إلا بعض ما يستحقون فلا تكن في ريب من ذلك</w:t>
      </w:r>
      <w:r w:rsidRPr="00A52585">
        <w:rPr>
          <w:rFonts w:hint="cs"/>
          <w:sz w:val="24"/>
          <w:szCs w:val="24"/>
          <w:rtl/>
        </w:rPr>
        <w:t>"</w:t>
      </w:r>
      <w:r w:rsidR="0002035C" w:rsidRPr="00A52585">
        <w:rPr>
          <w:rFonts w:hint="cs"/>
          <w:sz w:val="24"/>
          <w:szCs w:val="24"/>
          <w:rtl/>
        </w:rPr>
        <w:t xml:space="preserve"> </w:t>
      </w:r>
      <w:proofErr w:type="spellStart"/>
      <w:proofErr w:type="gramStart"/>
      <w:r w:rsidRPr="00A52585">
        <w:rPr>
          <w:rFonts w:hint="cs"/>
          <w:sz w:val="24"/>
          <w:szCs w:val="24"/>
          <w:rtl/>
        </w:rPr>
        <w:t>أ.ه</w:t>
      </w:r>
      <w:proofErr w:type="spellEnd"/>
      <w:r w:rsidRPr="00A52585">
        <w:rPr>
          <w:rFonts w:hint="cs"/>
          <w:sz w:val="24"/>
          <w:szCs w:val="24"/>
          <w:rtl/>
        </w:rPr>
        <w:t>ـ</w:t>
      </w:r>
      <w:proofErr w:type="gramEnd"/>
      <w:r w:rsidRPr="00A52585">
        <w:rPr>
          <w:rFonts w:hint="cs"/>
          <w:sz w:val="24"/>
          <w:szCs w:val="24"/>
          <w:rtl/>
        </w:rPr>
        <w:t xml:space="preserve"> ص 17-18. وتأمل العبارة الأخيرة والرسالة التي بعث بها إلى ابن تيمية يعظه فيها آخر حياته أبلغ دليل على رأيه فيه، وقد نقل ابن رجب في طبقاته عن الذهبي في حق ابن تيمية أنه</w:t>
      </w:r>
      <w:r w:rsidR="0002035C" w:rsidRPr="00A52585">
        <w:rPr>
          <w:rFonts w:hint="cs"/>
          <w:sz w:val="24"/>
          <w:szCs w:val="24"/>
          <w:rtl/>
        </w:rPr>
        <w:t xml:space="preserve">: </w:t>
      </w:r>
      <w:r w:rsidRPr="00A52585">
        <w:rPr>
          <w:rFonts w:hint="cs"/>
          <w:sz w:val="24"/>
          <w:szCs w:val="24"/>
          <w:rtl/>
        </w:rPr>
        <w:t>" أطلق عبارات أحجم عنه الأولون والآخرون وهابوا وجسر هو عليها "</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قال العلامة الكوثري</w:t>
      </w:r>
      <w:r w:rsidR="0002035C" w:rsidRPr="00A52585">
        <w:rPr>
          <w:rFonts w:hint="cs"/>
          <w:sz w:val="24"/>
          <w:szCs w:val="24"/>
          <w:rtl/>
        </w:rPr>
        <w:t xml:space="preserve">: </w:t>
      </w:r>
      <w:r w:rsidRPr="00A52585">
        <w:rPr>
          <w:rFonts w:hint="cs"/>
          <w:sz w:val="24"/>
          <w:szCs w:val="24"/>
          <w:rtl/>
        </w:rPr>
        <w:t>" فيدور أمره بين أن يكون مصابا في عقله أو دينه، فتبا لمن يتخذ مثله قدوة "</w:t>
      </w:r>
      <w:r w:rsidR="0002035C" w:rsidRPr="00A52585">
        <w:rPr>
          <w:rFonts w:hint="cs"/>
          <w:sz w:val="24"/>
          <w:szCs w:val="24"/>
          <w:rtl/>
        </w:rPr>
        <w:t xml:space="preserve"> </w:t>
      </w:r>
      <w:r w:rsidRPr="00A52585">
        <w:rPr>
          <w:rFonts w:hint="cs"/>
          <w:sz w:val="24"/>
          <w:szCs w:val="24"/>
          <w:rtl/>
        </w:rPr>
        <w:t>أهـ من تعليقه على السيف الصقيل ص 63</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وقال الإمام الحافظ السيد أحمد بن الصديق الغماري</w:t>
      </w:r>
      <w:r w:rsidR="0002035C" w:rsidRPr="00A52585">
        <w:rPr>
          <w:rFonts w:hint="cs"/>
          <w:sz w:val="24"/>
          <w:szCs w:val="24"/>
          <w:rtl/>
        </w:rPr>
        <w:t>:</w:t>
      </w:r>
      <w:r w:rsidRPr="00A52585">
        <w:rPr>
          <w:rFonts w:hint="cs"/>
          <w:sz w:val="24"/>
          <w:szCs w:val="24"/>
          <w:rtl/>
        </w:rPr>
        <w:t xml:space="preserve"> في كتابه البرهان الجلي في صحة انتساب الصوفية إلى سيدنا علي "</w:t>
      </w:r>
      <w:r w:rsidR="0002035C" w:rsidRPr="00A52585">
        <w:rPr>
          <w:rFonts w:hint="cs"/>
          <w:sz w:val="24"/>
          <w:szCs w:val="24"/>
          <w:rtl/>
        </w:rPr>
        <w:t xml:space="preserve"> </w:t>
      </w:r>
      <w:r w:rsidRPr="00A52585">
        <w:rPr>
          <w:rFonts w:hint="cs"/>
          <w:sz w:val="24"/>
          <w:szCs w:val="24"/>
          <w:rtl/>
        </w:rPr>
        <w:t>ما نصه</w:t>
      </w:r>
      <w:r w:rsidR="0002035C" w:rsidRPr="00A52585">
        <w:rPr>
          <w:rFonts w:hint="cs"/>
          <w:sz w:val="24"/>
          <w:szCs w:val="24"/>
          <w:rtl/>
        </w:rPr>
        <w:t>:</w:t>
      </w:r>
      <w:r w:rsidRPr="00A52585">
        <w:rPr>
          <w:rFonts w:hint="cs"/>
          <w:sz w:val="24"/>
          <w:szCs w:val="24"/>
          <w:rtl/>
        </w:rPr>
        <w:t xml:space="preserve"> " بل بلغت العداوة من ابن تيمية إلى درجة المكابرة وإنكار المحسوس، فصرح بكل جرأة ووقاحة، ولؤم ونذالة، ونفاق وجهالة، إنه لم يصح في فضل على عليه السلام حديث أصلا، وأن ما ورد منها في الصحيحين لا يثبت له فضلا ولا مزية على غيره، مع أن إمامه وإمام أهل السنة والحديث أحمد بن حنبل رحمه الله يقول</w:t>
      </w:r>
      <w:r w:rsidR="0002035C" w:rsidRPr="00A52585">
        <w:rPr>
          <w:rFonts w:hint="cs"/>
          <w:sz w:val="24"/>
          <w:szCs w:val="24"/>
          <w:rtl/>
        </w:rPr>
        <w:t>:</w:t>
      </w:r>
      <w:r w:rsidRPr="00A52585">
        <w:rPr>
          <w:rFonts w:hint="cs"/>
          <w:sz w:val="24"/>
          <w:szCs w:val="24"/>
          <w:rtl/>
        </w:rPr>
        <w:t xml:space="preserve"> لم يرد من الأحاديث بالأسانيد الصحاح في فضل أحد من الصحابة مثل ما ورد في على، وهكذا قال غيره من الحفاظ، بل أضاف ابن تيمية إلى ذلك من قبيح القول في على وآل بيته الأطهار، وما دل على أنه رأس المنافقين في عصره، لقول النبي صلى الله عليه وسلم في الحديث الصحيح المخرج في صحيح مسلم مخاطبا لعلي عليه السلام</w:t>
      </w:r>
      <w:r w:rsidR="0002035C" w:rsidRPr="00A52585">
        <w:rPr>
          <w:rFonts w:hint="cs"/>
          <w:sz w:val="24"/>
          <w:szCs w:val="24"/>
          <w:rtl/>
        </w:rPr>
        <w:t xml:space="preserve"> </w:t>
      </w:r>
      <w:r w:rsidRPr="00A52585">
        <w:rPr>
          <w:rFonts w:hint="cs"/>
          <w:sz w:val="24"/>
          <w:szCs w:val="24"/>
          <w:rtl/>
        </w:rPr>
        <w:t>" لا يحبك إلا مؤمن ولا يبغضك إلا منافق "</w:t>
      </w:r>
      <w:r w:rsidR="0002035C" w:rsidRPr="00A52585">
        <w:rPr>
          <w:rFonts w:hint="cs"/>
          <w:sz w:val="24"/>
          <w:szCs w:val="24"/>
          <w:rtl/>
        </w:rPr>
        <w:t xml:space="preserve"> </w:t>
      </w:r>
      <w:r w:rsidRPr="00A52585">
        <w:rPr>
          <w:rFonts w:hint="cs"/>
          <w:sz w:val="24"/>
          <w:szCs w:val="24"/>
          <w:rtl/>
        </w:rPr>
        <w:t>كما ألزم ابن تيمية بذلك أهل عصره، وحكموا بنفاقه، فيما حكاه الحافظ في ترجمته في (الدرر الكامنة) وكيف لا يلزم بالنفاق مع نطقه قبحه الله بما لا ينطق به مؤمن في حق فاطمة سيدة نساء العالمين صلى الله عليها وسلم</w:t>
      </w:r>
      <w:r w:rsidR="00DB731D" w:rsidRPr="00A52585">
        <w:rPr>
          <w:rFonts w:hint="cs"/>
          <w:sz w:val="24"/>
          <w:szCs w:val="24"/>
          <w:rtl/>
        </w:rPr>
        <w:t>،</w:t>
      </w:r>
      <w:r w:rsidRPr="00A52585">
        <w:rPr>
          <w:rFonts w:hint="cs"/>
          <w:sz w:val="24"/>
          <w:szCs w:val="24"/>
          <w:rtl/>
        </w:rPr>
        <w:t xml:space="preserve"> وحق زوجها أخي رسول الله صلى الله عليه وسلم وسيد المؤمنين فقد قال في السيدة فاطمة البتول</w:t>
      </w:r>
      <w:r w:rsidR="0002035C" w:rsidRPr="00A52585">
        <w:rPr>
          <w:rFonts w:hint="cs"/>
          <w:sz w:val="24"/>
          <w:szCs w:val="24"/>
          <w:rtl/>
        </w:rPr>
        <w:t>:</w:t>
      </w:r>
      <w:r w:rsidRPr="00A52585">
        <w:rPr>
          <w:rFonts w:hint="cs"/>
          <w:sz w:val="24"/>
          <w:szCs w:val="24"/>
          <w:rtl/>
        </w:rPr>
        <w:t xml:space="preserve"> أن فيها شبها من المنافقين الذين وصفهم الله تعالى بقوله</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فإن أعطوا منها رضوا وأن لم يعطوا منها إذا هم يسخطون</w:t>
      </w:r>
      <w:r w:rsidR="0002035C" w:rsidRPr="00A52585">
        <w:rPr>
          <w:rFonts w:hint="cs"/>
          <w:sz w:val="24"/>
          <w:szCs w:val="24"/>
          <w:rtl/>
        </w:rPr>
        <w:t>}</w:t>
      </w:r>
      <w:r w:rsidRPr="00A52585">
        <w:rPr>
          <w:rFonts w:hint="cs"/>
          <w:sz w:val="24"/>
          <w:szCs w:val="24"/>
          <w:rtl/>
        </w:rPr>
        <w:t xml:space="preserve"> قال لعنة الله عليه</w:t>
      </w:r>
      <w:r w:rsidR="0002035C" w:rsidRPr="00A52585">
        <w:rPr>
          <w:rFonts w:hint="cs"/>
          <w:sz w:val="24"/>
          <w:szCs w:val="24"/>
          <w:rtl/>
        </w:rPr>
        <w:t>:</w:t>
      </w:r>
      <w:r w:rsidRPr="00A52585">
        <w:rPr>
          <w:rFonts w:hint="cs"/>
          <w:sz w:val="24"/>
          <w:szCs w:val="24"/>
          <w:rtl/>
        </w:rPr>
        <w:t xml:space="preserve"> فكذلك فعلت هي إذ لم يعطها</w:t>
      </w:r>
      <w:r w:rsidR="0002035C" w:rsidRPr="00A52585">
        <w:rPr>
          <w:rFonts w:hint="cs"/>
          <w:sz w:val="24"/>
          <w:szCs w:val="24"/>
          <w:rtl/>
        </w:rPr>
        <w:t xml:space="preserve"> </w:t>
      </w:r>
      <w:r w:rsidRPr="00A52585">
        <w:rPr>
          <w:rFonts w:hint="cs"/>
          <w:sz w:val="24"/>
          <w:szCs w:val="24"/>
          <w:rtl/>
        </w:rPr>
        <w:t>أبو بكر رضي الله عنه من ميراث والدها صلى الله عليه وسلم</w:t>
      </w:r>
      <w:r w:rsidR="00897A24" w:rsidRPr="00A52585">
        <w:rPr>
          <w:rFonts w:hint="cs"/>
          <w:sz w:val="24"/>
          <w:szCs w:val="24"/>
          <w:rtl/>
        </w:rPr>
        <w:t>.</w:t>
      </w:r>
      <w:r w:rsidRPr="00A52585">
        <w:rPr>
          <w:rFonts w:hint="cs"/>
          <w:sz w:val="24"/>
          <w:szCs w:val="24"/>
          <w:rtl/>
        </w:rPr>
        <w:t xml:space="preserve"> أما </w:t>
      </w:r>
      <w:proofErr w:type="gramStart"/>
      <w:r w:rsidRPr="00A52585">
        <w:rPr>
          <w:rFonts w:hint="cs"/>
          <w:sz w:val="24"/>
          <w:szCs w:val="24"/>
          <w:rtl/>
        </w:rPr>
        <w:t>علي</w:t>
      </w:r>
      <w:proofErr w:type="gramEnd"/>
      <w:r w:rsidRPr="00A52585">
        <w:rPr>
          <w:rFonts w:hint="cs"/>
          <w:sz w:val="24"/>
          <w:szCs w:val="24"/>
          <w:rtl/>
        </w:rPr>
        <w:t xml:space="preserve"> عليه السلام، فقال فيه أنه أسلم صبيا وإسلام الصبي غير مقبول على قول، فرارا من إثبات أسبقيته للإسلام، وجحودا لهذه المزية وأنه خالف كتاب الله تعالى في سبع عشرة مسألة، وأنه كان مخذولا حيثما توجه، وأنه يحب الرياسة ويقاتل من أجلها، لا من أجل الدين وأن كونه رابع الخلفاء الراشدين غير متفق عليه بين أهل السنة، بل منهم من كان يربع بمعاوية وهم بنو أمية بالأندلس، فسماهم أهل السنة، وكذب عليهم، عليه لعائن الله. فإن هذا لم يحصل من أهل الأندلس أصلا، وإنما حكى هذا عن ابن عبد ربه صاحب العقد الفريد في قصة تزلف فيها لبني أمية فذكر معاوية رابع الخلفاء، فاتفق أهل الأندلس على ذمه وتقبيحه فيما فعل، فأتى هذا الكذاب ونسب ذلك لأهل السنة من أهل الأندلس كلهم، </w:t>
      </w:r>
      <w:r w:rsidRPr="00A52585">
        <w:rPr>
          <w:rFonts w:hint="cs"/>
          <w:bCs/>
          <w:sz w:val="24"/>
          <w:szCs w:val="24"/>
          <w:rtl/>
        </w:rPr>
        <w:t>وزعم قبحه الله أن عليا عليه السلام مات ولم ينس بنت أبي جهل</w:t>
      </w:r>
      <w:r w:rsidRPr="00A52585">
        <w:rPr>
          <w:rFonts w:hint="cs"/>
          <w:sz w:val="24"/>
          <w:szCs w:val="24"/>
          <w:rtl/>
        </w:rPr>
        <w:t xml:space="preserve"> التي منعه النبي صلى الله عليه وسلم</w:t>
      </w:r>
      <w:r w:rsidR="0002035C" w:rsidRPr="00A52585">
        <w:rPr>
          <w:rFonts w:hint="cs"/>
          <w:sz w:val="24"/>
          <w:szCs w:val="24"/>
          <w:rtl/>
        </w:rPr>
        <w:t xml:space="preserve"> </w:t>
      </w:r>
      <w:r w:rsidRPr="00A52585">
        <w:rPr>
          <w:rFonts w:hint="cs"/>
          <w:sz w:val="24"/>
          <w:szCs w:val="24"/>
          <w:rtl/>
        </w:rPr>
        <w:t xml:space="preserve">الزواج بها، بل فاه في حقه عليه السلام بما </w:t>
      </w:r>
      <w:r w:rsidRPr="00A52585">
        <w:rPr>
          <w:rFonts w:hint="cs"/>
          <w:sz w:val="24"/>
          <w:szCs w:val="24"/>
          <w:rtl/>
        </w:rPr>
        <w:lastRenderedPageBreak/>
        <w:t xml:space="preserve">هو أعظم من هذا </w:t>
      </w:r>
      <w:r w:rsidRPr="00A52585">
        <w:rPr>
          <w:rFonts w:hint="cs"/>
          <w:bCs/>
          <w:sz w:val="24"/>
          <w:szCs w:val="24"/>
          <w:rtl/>
        </w:rPr>
        <w:t>فحكى عن بعض إخوانه المنافقين</w:t>
      </w:r>
      <w:r w:rsidRPr="00A52585">
        <w:rPr>
          <w:rFonts w:hint="cs"/>
          <w:sz w:val="24"/>
          <w:szCs w:val="24"/>
          <w:rtl/>
        </w:rPr>
        <w:t xml:space="preserve"> -هو أبو بكر بن أبي داود صاحب السنن، فقد حكي عنه هذا القول الخبيث في ترجمته وإن كان هو قد تبرأ منه. وقال لا أجعل في حل من نسبه إلى وترديد ابن تيمية لهذه الحكاية الباطلة يدل على أنه يبطن بغض على عليه السلام، وإلا لما استجاز ذكرها في هذا الموضع مهما كانت البواعث-</w:t>
      </w:r>
      <w:r w:rsidRPr="00A52585">
        <w:rPr>
          <w:rFonts w:hint="cs"/>
          <w:bCs/>
          <w:sz w:val="24"/>
          <w:szCs w:val="24"/>
          <w:rtl/>
        </w:rPr>
        <w:t xml:space="preserve"> أن عليا عليه السلام حفيت أظافره من التسلق على أزواج رسول الله صلى الله عليه وسلم بالليل، </w:t>
      </w:r>
      <w:r w:rsidRPr="00A52585">
        <w:rPr>
          <w:rFonts w:hint="cs"/>
          <w:sz w:val="24"/>
          <w:szCs w:val="24"/>
          <w:rtl/>
        </w:rPr>
        <w:t>في أمثال هذا من المثالب التي لا يجوز أن يتم بها مطلق المؤمنين فضلا عن سادات الصحابة رضي الله عنهم فضلا عن أفضل الأمة بعد رسول الله صلى الله عليه وسلم</w:t>
      </w:r>
      <w:r w:rsidR="00DB731D" w:rsidRPr="00A52585">
        <w:rPr>
          <w:rFonts w:hint="cs"/>
          <w:sz w:val="24"/>
          <w:szCs w:val="24"/>
          <w:rtl/>
        </w:rPr>
        <w:t>،</w:t>
      </w:r>
      <w:r w:rsidRPr="00A52585">
        <w:rPr>
          <w:rFonts w:hint="cs"/>
          <w:sz w:val="24"/>
          <w:szCs w:val="24"/>
          <w:rtl/>
        </w:rPr>
        <w:t xml:space="preserve"> فقبح الله ابن تيمية وأخزاه وجزاه بما يستحق، وقد فعل والحمد </w:t>
      </w:r>
      <w:r w:rsidRPr="00A52585">
        <w:rPr>
          <w:rFonts w:hint="cs"/>
          <w:spacing w:val="-6"/>
          <w:sz w:val="24"/>
          <w:szCs w:val="24"/>
          <w:rtl/>
        </w:rPr>
        <w:t>لله، إذ جعله إمام كل ضال مضل بعده، وجعل كتبه هادية إلى الضلال، فما أقبل عليها أحد واعتنى</w:t>
      </w:r>
      <w:r w:rsidRPr="00A52585">
        <w:rPr>
          <w:rFonts w:hint="cs"/>
          <w:sz w:val="24"/>
          <w:szCs w:val="24"/>
          <w:rtl/>
        </w:rPr>
        <w:t xml:space="preserve"> بشأنها إلا وصار إمام ضلالة في عصره، ويكفي أن أخرج الله تعالى من صلب أفكاره الخبيثة قرن الشيطان وأتباعه كلاب النار، وشر من تحت أديم السماء الذين ملأوا الكون ظلمة وسودوا وجهه بالجرائم والعظائم في كل مكان، والكل في صحيفة ابن تيمية إمام الضالين، وشيخ المجرمين، وقد قال النبي صلى الله عليه وسلم</w:t>
      </w:r>
      <w:r w:rsidR="0002035C" w:rsidRPr="00A52585">
        <w:rPr>
          <w:rFonts w:hint="cs"/>
          <w:sz w:val="24"/>
          <w:szCs w:val="24"/>
          <w:rtl/>
        </w:rPr>
        <w:t xml:space="preserve"> </w:t>
      </w:r>
      <w:r w:rsidRPr="00A52585">
        <w:rPr>
          <w:rFonts w:hint="cs"/>
          <w:sz w:val="24"/>
          <w:szCs w:val="24"/>
          <w:rtl/>
        </w:rPr>
        <w:t>" من سن سنة سيئة فعليه وزورها ووزر من عمل بها إلى يوم القيامة"</w:t>
      </w:r>
      <w:r w:rsidR="0002035C" w:rsidRPr="00A52585">
        <w:rPr>
          <w:rFonts w:hint="cs"/>
          <w:sz w:val="24"/>
          <w:szCs w:val="24"/>
          <w:rtl/>
        </w:rPr>
        <w:t xml:space="preserve"> </w:t>
      </w:r>
      <w:r w:rsidRPr="00A52585">
        <w:rPr>
          <w:rFonts w:hint="cs"/>
          <w:sz w:val="24"/>
          <w:szCs w:val="24"/>
          <w:rtl/>
        </w:rPr>
        <w:t>وقال صلى الله عليه وسلم</w:t>
      </w:r>
      <w:r w:rsidR="0002035C" w:rsidRPr="00A52585">
        <w:rPr>
          <w:rFonts w:hint="cs"/>
          <w:sz w:val="24"/>
          <w:szCs w:val="24"/>
          <w:rtl/>
        </w:rPr>
        <w:t xml:space="preserve">: </w:t>
      </w:r>
      <w:r w:rsidRPr="00A52585">
        <w:rPr>
          <w:rFonts w:hint="cs"/>
          <w:sz w:val="24"/>
          <w:szCs w:val="24"/>
          <w:rtl/>
        </w:rPr>
        <w:t>"من دعا إلى ضلالة كان عليه إثم من تبعه إلى يوم القيامة "</w:t>
      </w:r>
      <w:r w:rsidR="00897A24" w:rsidRPr="00A52585">
        <w:rPr>
          <w:rFonts w:hint="cs"/>
          <w:sz w:val="24"/>
          <w:szCs w:val="24"/>
          <w:rtl/>
        </w:rPr>
        <w:t>.</w:t>
      </w:r>
      <w:r w:rsidRPr="00A52585">
        <w:rPr>
          <w:rFonts w:hint="cs"/>
          <w:sz w:val="24"/>
          <w:szCs w:val="24"/>
          <w:rtl/>
        </w:rPr>
        <w:t xml:space="preserve"> انظر البرهان الجلي ص 54- 57</w:t>
      </w:r>
      <w:r w:rsidR="00DB731D" w:rsidRPr="00A52585">
        <w:rPr>
          <w:rFonts w:hint="cs"/>
          <w:sz w:val="24"/>
          <w:szCs w:val="24"/>
          <w:rtl/>
        </w:rPr>
        <w:t>،</w:t>
      </w:r>
      <w:r w:rsidRPr="00A52585">
        <w:rPr>
          <w:rFonts w:hint="cs"/>
          <w:sz w:val="24"/>
          <w:szCs w:val="24"/>
          <w:rtl/>
        </w:rPr>
        <w:t xml:space="preserve"> ويلاحظ أن كلام ابن تيمية على السيدة فاطمة موجود في (منهاج السنة</w:t>
      </w:r>
      <w:r w:rsidR="0002035C" w:rsidRPr="00A52585">
        <w:rPr>
          <w:rFonts w:hint="cs"/>
          <w:sz w:val="24"/>
          <w:szCs w:val="24"/>
          <w:rtl/>
        </w:rPr>
        <w:t>)</w:t>
      </w:r>
      <w:r w:rsidRPr="00A52585">
        <w:rPr>
          <w:rFonts w:hint="cs"/>
          <w:sz w:val="24"/>
          <w:szCs w:val="24"/>
          <w:rtl/>
        </w:rPr>
        <w:t xml:space="preserve"> 4/243 فما بعدها ط. مكتبة ابن تيمية تحقيق محمد رشاد سالم]</w:t>
      </w:r>
      <w:r w:rsidR="00DB731D" w:rsidRPr="00A52585">
        <w:rPr>
          <w:rFonts w:hint="cs"/>
          <w:sz w:val="24"/>
          <w:szCs w:val="24"/>
          <w:rtl/>
        </w:rPr>
        <w:t>،</w:t>
      </w:r>
      <w:r w:rsidRPr="00A52585">
        <w:rPr>
          <w:rFonts w:hint="cs"/>
          <w:rtl/>
        </w:rPr>
        <w:t xml:space="preserve"> </w:t>
      </w:r>
    </w:p>
    <w:p w14:paraId="4CFE0DDE" w14:textId="587A589D" w:rsidR="00777DCB" w:rsidRPr="00A52585" w:rsidRDefault="0002035C" w:rsidP="0002035C">
      <w:pPr>
        <w:spacing w:after="240"/>
        <w:rPr>
          <w:b/>
          <w:rtl/>
        </w:rPr>
      </w:pPr>
      <w:r w:rsidRPr="00A52585">
        <w:rPr>
          <w:rFonts w:hint="cs"/>
          <w:bCs/>
          <w:rtl/>
        </w:rPr>
        <w:t>[</w:t>
      </w:r>
      <w:r w:rsidR="00777DCB" w:rsidRPr="00A52585">
        <w:rPr>
          <w:rFonts w:hint="cs"/>
          <w:bCs/>
          <w:rtl/>
        </w:rPr>
        <w:t>سرية بعض عقائد ابن تيمية وآرائه</w:t>
      </w:r>
      <w:r w:rsidRPr="00A52585">
        <w:rPr>
          <w:rFonts w:hint="cs"/>
          <w:bCs/>
          <w:rtl/>
        </w:rPr>
        <w:t>]:</w:t>
      </w:r>
      <w:r w:rsidR="00777DCB" w:rsidRPr="00A52585">
        <w:rPr>
          <w:rFonts w:hint="cs"/>
          <w:bCs/>
          <w:rtl/>
        </w:rPr>
        <w:t xml:space="preserve"> </w:t>
      </w:r>
      <w:r w:rsidR="00777DCB" w:rsidRPr="00A52585">
        <w:rPr>
          <w:rFonts w:hint="cs"/>
          <w:rtl/>
        </w:rPr>
        <w:t>وله مصنفات أخر لا يمكن أن يطلع عليها إلاّ من تحقق أنه على عقيدته الخبيثة</w:t>
      </w:r>
      <w:r w:rsidR="00DB731D" w:rsidRPr="00A52585">
        <w:rPr>
          <w:rFonts w:hint="cs"/>
          <w:rtl/>
        </w:rPr>
        <w:t>،</w:t>
      </w:r>
      <w:r w:rsidR="00777DCB" w:rsidRPr="00A52585">
        <w:rPr>
          <w:rFonts w:hint="cs"/>
          <w:rtl/>
        </w:rPr>
        <w:t xml:space="preserve"> ولو عصر هو وأتباعه بالمعصرات لما فيها من الزيغ والقبائح النحسات</w:t>
      </w:r>
      <w:r w:rsidR="00DB731D" w:rsidRPr="00A52585">
        <w:rPr>
          <w:rFonts w:hint="cs"/>
          <w:rtl/>
        </w:rPr>
        <w:t>،</w:t>
      </w:r>
      <w:r w:rsidR="00777DCB" w:rsidRPr="00A52585">
        <w:rPr>
          <w:rFonts w:hint="cs"/>
          <w:rtl/>
        </w:rPr>
        <w:t xml:space="preserve"> قال بعض العلماء من الحنابلة في الجامع الأموي في ملأ من الناس</w:t>
      </w:r>
      <w:r w:rsidRPr="00A52585">
        <w:rPr>
          <w:rFonts w:hint="cs"/>
          <w:rtl/>
        </w:rPr>
        <w:t>:</w:t>
      </w:r>
      <w:r w:rsidR="00777DCB" w:rsidRPr="00A52585">
        <w:rPr>
          <w:rFonts w:hint="cs"/>
          <w:rtl/>
        </w:rPr>
        <w:t xml:space="preserve"> لو اطلع </w:t>
      </w:r>
      <w:proofErr w:type="spellStart"/>
      <w:r w:rsidR="00777DCB" w:rsidRPr="00A52585">
        <w:rPr>
          <w:rFonts w:hint="cs"/>
          <w:rtl/>
        </w:rPr>
        <w:t>الحصني</w:t>
      </w:r>
      <w:proofErr w:type="spellEnd"/>
      <w:r w:rsidR="00777DCB" w:rsidRPr="00A52585">
        <w:rPr>
          <w:rFonts w:hint="cs"/>
          <w:rtl/>
        </w:rPr>
        <w:t xml:space="preserve"> على ما اطلعنا عليه من كلامه لأخرجه من قبره وأحرقه</w:t>
      </w:r>
      <w:r w:rsidR="00DB731D" w:rsidRPr="00A52585">
        <w:rPr>
          <w:rFonts w:hint="cs"/>
          <w:rtl/>
        </w:rPr>
        <w:t>،</w:t>
      </w:r>
      <w:r w:rsidR="00777DCB" w:rsidRPr="00A52585">
        <w:rPr>
          <w:rFonts w:hint="cs"/>
          <w:rtl/>
        </w:rPr>
        <w:t xml:space="preserve"> وأكد مقالة هؤلاء أن أتعرض لبعض ما وقفت عليه وما أفتى به من جميع المذاهب وما </w:t>
      </w:r>
      <w:proofErr w:type="spellStart"/>
      <w:r w:rsidR="00777DCB" w:rsidRPr="00A52585">
        <w:rPr>
          <w:rFonts w:hint="cs"/>
          <w:rtl/>
        </w:rPr>
        <w:t>خطيء</w:t>
      </w:r>
      <w:proofErr w:type="spellEnd"/>
      <w:r w:rsidR="00777DCB" w:rsidRPr="00A52585">
        <w:rPr>
          <w:rFonts w:hint="cs"/>
          <w:rtl/>
        </w:rPr>
        <w:t xml:space="preserve"> فيه وما انتقد عليه</w:t>
      </w:r>
      <w:r w:rsidR="00DB731D" w:rsidRPr="00A52585">
        <w:rPr>
          <w:rFonts w:hint="cs"/>
          <w:rtl/>
        </w:rPr>
        <w:t>،</w:t>
      </w:r>
      <w:r w:rsidR="00777DCB" w:rsidRPr="00A52585">
        <w:rPr>
          <w:rFonts w:hint="cs"/>
          <w:rtl/>
        </w:rPr>
        <w:t xml:space="preserve"> وأذكر بعض ما اتفق له من المجالس والمناظرات</w:t>
      </w:r>
      <w:r w:rsidR="00DB731D" w:rsidRPr="00A52585">
        <w:rPr>
          <w:rFonts w:hint="cs"/>
          <w:rtl/>
        </w:rPr>
        <w:t>،</w:t>
      </w:r>
      <w:r w:rsidR="00777DCB" w:rsidRPr="00A52585">
        <w:rPr>
          <w:rFonts w:hint="cs"/>
          <w:rtl/>
        </w:rPr>
        <w:t xml:space="preserve"> وما جاءت به المراسيم العاليات</w:t>
      </w:r>
      <w:r w:rsidR="00DB731D" w:rsidRPr="00A52585">
        <w:rPr>
          <w:rFonts w:hint="cs"/>
          <w:rtl/>
        </w:rPr>
        <w:t>،</w:t>
      </w:r>
      <w:r w:rsidR="00777DCB" w:rsidRPr="00A52585">
        <w:rPr>
          <w:rFonts w:hint="cs"/>
          <w:rtl/>
        </w:rPr>
        <w:t xml:space="preserve"> أتعرض لبعض ما سلكه من المكايد التي ظن بسببها أنه يخلص من ضرب </w:t>
      </w:r>
      <w:proofErr w:type="spellStart"/>
      <w:r w:rsidR="00777DCB" w:rsidRPr="00A52585">
        <w:rPr>
          <w:rFonts w:hint="cs"/>
          <w:rtl/>
        </w:rPr>
        <w:t>الأسياط</w:t>
      </w:r>
      <w:proofErr w:type="spellEnd"/>
      <w:r w:rsidR="00DB731D" w:rsidRPr="00A52585">
        <w:rPr>
          <w:rFonts w:hint="cs"/>
          <w:rtl/>
        </w:rPr>
        <w:t>،</w:t>
      </w:r>
      <w:r w:rsidR="00777DCB" w:rsidRPr="00A52585">
        <w:rPr>
          <w:rFonts w:hint="cs"/>
          <w:rtl/>
        </w:rPr>
        <w:t xml:space="preserve"> والحبوس وغير ذلك من الإهانات</w:t>
      </w:r>
      <w:r w:rsidR="00DB731D" w:rsidRPr="00A52585">
        <w:rPr>
          <w:rFonts w:hint="cs"/>
          <w:rtl/>
        </w:rPr>
        <w:t>،</w:t>
      </w:r>
      <w:r w:rsidR="00777DCB" w:rsidRPr="00A52585">
        <w:rPr>
          <w:rFonts w:hint="cs"/>
          <w:rtl/>
        </w:rPr>
        <w:t xml:space="preserve"> وهيهات </w:t>
      </w:r>
    </w:p>
    <w:p w14:paraId="4966EC04" w14:textId="7D185FB3" w:rsidR="00777DCB" w:rsidRPr="00A52585" w:rsidRDefault="0002035C" w:rsidP="0002035C">
      <w:pPr>
        <w:spacing w:after="240"/>
        <w:rPr>
          <w:b/>
          <w:bCs/>
          <w:rtl/>
        </w:rPr>
      </w:pPr>
      <w:r w:rsidRPr="00A52585">
        <w:rPr>
          <w:rFonts w:hint="cs"/>
          <w:bCs/>
          <w:rtl/>
        </w:rPr>
        <w:t>[</w:t>
      </w:r>
      <w:proofErr w:type="spellStart"/>
      <w:r w:rsidR="00777DCB" w:rsidRPr="00A52585">
        <w:rPr>
          <w:rFonts w:hint="cs"/>
          <w:bCs/>
          <w:rtl/>
        </w:rPr>
        <w:t>خداعه</w:t>
      </w:r>
      <w:proofErr w:type="spellEnd"/>
      <w:r w:rsidR="00777DCB" w:rsidRPr="00A52585">
        <w:rPr>
          <w:rFonts w:hint="cs"/>
          <w:bCs/>
          <w:rtl/>
        </w:rPr>
        <w:t xml:space="preserve"> وتلاعبه بالدين</w:t>
      </w:r>
      <w:r w:rsidRPr="00A52585">
        <w:rPr>
          <w:rFonts w:hint="cs"/>
          <w:bCs/>
          <w:rtl/>
        </w:rPr>
        <w:t>]:</w:t>
      </w:r>
      <w:r w:rsidR="00777DCB" w:rsidRPr="00A52585">
        <w:rPr>
          <w:rFonts w:hint="cs"/>
          <w:bCs/>
          <w:rtl/>
        </w:rPr>
        <w:t xml:space="preserve"> فأول شيء سلكه من المكر والخديعة أن انتمى إلى مذهب الإمام أحمد</w:t>
      </w:r>
      <w:r w:rsidR="00DB731D" w:rsidRPr="00A52585">
        <w:rPr>
          <w:rFonts w:hint="cs"/>
          <w:rtl/>
        </w:rPr>
        <w:t>،</w:t>
      </w:r>
      <w:r w:rsidR="00777DCB" w:rsidRPr="00A52585">
        <w:rPr>
          <w:rFonts w:hint="cs"/>
          <w:rtl/>
        </w:rPr>
        <w:t xml:space="preserve"> وشرع يطلب العلم ويتعبد</w:t>
      </w:r>
      <w:r w:rsidR="00DB731D" w:rsidRPr="00A52585">
        <w:rPr>
          <w:rFonts w:hint="cs"/>
          <w:rtl/>
        </w:rPr>
        <w:t>،</w:t>
      </w:r>
      <w:r w:rsidR="00777DCB" w:rsidRPr="00A52585">
        <w:rPr>
          <w:rFonts w:hint="cs"/>
          <w:rtl/>
        </w:rPr>
        <w:t xml:space="preserve"> فمالت إليه قلوب </w:t>
      </w:r>
      <w:proofErr w:type="spellStart"/>
      <w:r w:rsidR="00777DCB" w:rsidRPr="00A52585">
        <w:rPr>
          <w:rFonts w:hint="cs"/>
          <w:rtl/>
        </w:rPr>
        <w:t>المشائخ</w:t>
      </w:r>
      <w:proofErr w:type="spellEnd"/>
      <w:r w:rsidR="00777DCB" w:rsidRPr="00A52585">
        <w:rPr>
          <w:rFonts w:hint="cs"/>
          <w:rtl/>
        </w:rPr>
        <w:t xml:space="preserve"> وغيرهم</w:t>
      </w:r>
      <w:r w:rsidR="00DB731D" w:rsidRPr="00A52585">
        <w:rPr>
          <w:rFonts w:hint="cs"/>
          <w:rtl/>
        </w:rPr>
        <w:t>،</w:t>
      </w:r>
      <w:r w:rsidR="00777DCB" w:rsidRPr="00A52585">
        <w:rPr>
          <w:rFonts w:hint="cs"/>
          <w:rtl/>
        </w:rPr>
        <w:t xml:space="preserve"> فشرعوا في إكرامه والتوسعة عليه فأظهر التعفف</w:t>
      </w:r>
      <w:r w:rsidR="00DB731D" w:rsidRPr="00A52585">
        <w:rPr>
          <w:rFonts w:hint="cs"/>
          <w:rtl/>
        </w:rPr>
        <w:t>،</w:t>
      </w:r>
      <w:r w:rsidR="00777DCB" w:rsidRPr="00A52585">
        <w:rPr>
          <w:rFonts w:hint="cs"/>
          <w:rtl/>
        </w:rPr>
        <w:t xml:space="preserve"> فزادوا في الرغبة فيه والوقوع عليه</w:t>
      </w:r>
      <w:r w:rsidR="00DB731D" w:rsidRPr="00A52585">
        <w:rPr>
          <w:rFonts w:hint="cs"/>
          <w:rtl/>
        </w:rPr>
        <w:t>،</w:t>
      </w:r>
      <w:r w:rsidR="00777DCB" w:rsidRPr="00A52585">
        <w:rPr>
          <w:rFonts w:hint="cs"/>
          <w:rtl/>
        </w:rPr>
        <w:t xml:space="preserve"> ثم شرع ينظر في كلام العلماء ويعلق في مسوّداته حتى ظن أنه صار له قوة في التصنيف والمناظرة</w:t>
      </w:r>
      <w:r w:rsidR="00DB731D" w:rsidRPr="00A52585">
        <w:rPr>
          <w:rFonts w:hint="cs"/>
          <w:rtl/>
        </w:rPr>
        <w:t>،</w:t>
      </w:r>
      <w:r w:rsidR="00777DCB" w:rsidRPr="00A52585">
        <w:rPr>
          <w:rFonts w:hint="cs"/>
          <w:rtl/>
        </w:rPr>
        <w:t xml:space="preserve"> أخذ يدوّن ويذكر أنه جاءته فتوى من بلد كذا</w:t>
      </w:r>
      <w:r w:rsidR="00DB731D" w:rsidRPr="00A52585">
        <w:rPr>
          <w:rFonts w:hint="cs"/>
          <w:rtl/>
        </w:rPr>
        <w:t>،</w:t>
      </w:r>
      <w:r w:rsidR="00777DCB" w:rsidRPr="00A52585">
        <w:rPr>
          <w:rFonts w:hint="cs"/>
          <w:rtl/>
        </w:rPr>
        <w:t xml:space="preserve"> وليس لذلك حقيقة</w:t>
      </w:r>
      <w:r w:rsidR="00DB731D" w:rsidRPr="00A52585">
        <w:rPr>
          <w:rFonts w:hint="cs"/>
          <w:rtl/>
        </w:rPr>
        <w:t>،</w:t>
      </w:r>
      <w:r w:rsidR="00777DCB" w:rsidRPr="00A52585">
        <w:rPr>
          <w:rFonts w:hint="cs"/>
          <w:rtl/>
        </w:rPr>
        <w:t xml:space="preserve"> فيكتب عليها على </w:t>
      </w:r>
      <w:r w:rsidR="00777DCB" w:rsidRPr="00A52585">
        <w:rPr>
          <w:rFonts w:hint="cs"/>
          <w:spacing w:val="-20"/>
          <w:rtl/>
        </w:rPr>
        <w:t>صورة الجواب</w:t>
      </w:r>
      <w:r w:rsidR="00DB731D" w:rsidRPr="00A52585">
        <w:rPr>
          <w:rFonts w:hint="cs"/>
          <w:spacing w:val="-20"/>
          <w:rtl/>
        </w:rPr>
        <w:t>،</w:t>
      </w:r>
      <w:r w:rsidR="00777DCB" w:rsidRPr="00A52585">
        <w:rPr>
          <w:rFonts w:hint="cs"/>
          <w:spacing w:val="-20"/>
          <w:rtl/>
        </w:rPr>
        <w:t xml:space="preserve"> ويذكر</w:t>
      </w:r>
      <w:r w:rsidR="00777DCB" w:rsidRPr="00A52585">
        <w:rPr>
          <w:rFonts w:hint="cs"/>
          <w:rtl/>
        </w:rPr>
        <w:t xml:space="preserve"> مالا ينتقد عليه</w:t>
      </w:r>
      <w:r w:rsidR="00DB731D" w:rsidRPr="00A52585">
        <w:rPr>
          <w:rFonts w:hint="cs"/>
          <w:rtl/>
        </w:rPr>
        <w:t>،</w:t>
      </w:r>
      <w:r w:rsidR="00777DCB" w:rsidRPr="00A52585">
        <w:rPr>
          <w:rFonts w:hint="cs"/>
          <w:rtl/>
        </w:rPr>
        <w:t xml:space="preserve"> وفي بعضها ما يمكن أن ينتقد إلا أنه يشير إليه على وجه التلبيس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وفوق هذا التلبيس فإنه يكذب في النقل والعزو فقد ينقل الإجماع </w:t>
      </w:r>
      <w:r w:rsidR="00777DCB" w:rsidRPr="00A52585">
        <w:rPr>
          <w:rFonts w:hint="cs"/>
          <w:sz w:val="24"/>
          <w:szCs w:val="24"/>
          <w:rtl/>
        </w:rPr>
        <w:lastRenderedPageBreak/>
        <w:t>لما ليس فيه إجماع كما سيأتي ويحرّف آراء العلماء السابقين وينقلها محرّفة بحيث تصير قريبة أو مؤيدة لرأيه وقد نبه على ذلك شيخ الإسلام تقي الدين السبكي وأضاف أنه رضي الله عنه رأى من حال ابن تيمية ما يقتضي الإعراض عنه جملة، أي أنه يجب على العامة تجاهل كلامه وعدم تناوله بالبحث وإضاعة الوقت فيه وأي فائدة ترجى مع افتقاد الصدق</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وإليك نموذج من كلام شيخ الإسلام عز الدين بن عبد السلام في (الفتاوى الموصلية) في مسألة الدعاء عن حديث (قل اللهم إني أقسم عليك بنبيك محمد نبي الرحمة)</w:t>
      </w:r>
      <w:r w:rsidRPr="00A52585">
        <w:rPr>
          <w:rFonts w:hint="cs"/>
          <w:sz w:val="24"/>
          <w:szCs w:val="24"/>
          <w:rtl/>
        </w:rPr>
        <w:t xml:space="preserve">: </w:t>
      </w:r>
      <w:r w:rsidR="00777DCB" w:rsidRPr="00A52585">
        <w:rPr>
          <w:rFonts w:hint="cs"/>
          <w:sz w:val="24"/>
          <w:szCs w:val="24"/>
          <w:rtl/>
        </w:rPr>
        <w:t xml:space="preserve">" وهذا الحديث إن صح فينبغي أن يكون مقصوراً على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لأنه سيد ولد آدم وأن لا يقسم على الله تعالى بغيره من</w:t>
      </w:r>
      <w:r w:rsidRPr="00A52585">
        <w:rPr>
          <w:rFonts w:hint="cs"/>
          <w:sz w:val="24"/>
          <w:szCs w:val="24"/>
          <w:rtl/>
        </w:rPr>
        <w:t xml:space="preserve"> </w:t>
      </w:r>
      <w:r w:rsidR="00777DCB" w:rsidRPr="00A52585">
        <w:rPr>
          <w:rFonts w:hint="cs"/>
          <w:sz w:val="24"/>
          <w:szCs w:val="24"/>
          <w:rtl/>
        </w:rPr>
        <w:t>الأنبياء والملائكة والأولياء لأنهم ليسوا في درجته وأن يكون هذا مما خُصّ به نبينا على علو درجته ومرتبته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من (الرد المحكم المتين) للسيد عبد الله الغماري وانظر إلى عزو ابن تيمية لهذا الكلام، يقول ابن تيمية</w:t>
      </w:r>
      <w:r w:rsidRPr="00A52585">
        <w:rPr>
          <w:rFonts w:hint="cs"/>
          <w:sz w:val="24"/>
          <w:szCs w:val="24"/>
          <w:rtl/>
        </w:rPr>
        <w:t>:</w:t>
      </w:r>
      <w:r w:rsidR="00777DCB" w:rsidRPr="00A52585">
        <w:rPr>
          <w:rFonts w:hint="cs"/>
          <w:sz w:val="24"/>
          <w:szCs w:val="24"/>
          <w:rtl/>
        </w:rPr>
        <w:t xml:space="preserve"> " وأعظم العلماء على النهي عن التوسل بالنبي صلى الله عليه وسلم في الدعاء</w:t>
      </w:r>
      <w:r w:rsidR="00777DCB" w:rsidRPr="00A52585">
        <w:rPr>
          <w:sz w:val="24"/>
          <w:szCs w:val="24"/>
        </w:rPr>
        <w:t>…</w:t>
      </w:r>
      <w:r w:rsidR="00777DCB" w:rsidRPr="00A52585">
        <w:rPr>
          <w:rFonts w:hint="cs"/>
          <w:sz w:val="24"/>
          <w:szCs w:val="24"/>
          <w:rtl/>
        </w:rPr>
        <w:t xml:space="preserve"> ولم يبلغني عن أحد من العلماء في ذلك ما أحكيه إلا ما رأيت في فتاوى الفقيه أبي محمد ابن عبد السلام فإنه أفتى أنه لا يجوز لأحد أن يفعل ذلك إلا للنبي صلى الله عليه وسلم</w:t>
      </w:r>
      <w:r w:rsidRPr="00A52585">
        <w:rPr>
          <w:rFonts w:hint="cs"/>
          <w:sz w:val="24"/>
          <w:szCs w:val="24"/>
          <w:rtl/>
        </w:rPr>
        <w:t xml:space="preserve"> </w:t>
      </w:r>
      <w:r w:rsidR="00777DCB"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قال العلامة السيد عبد الله الغماري بعد نقله كلام ابن تيمية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هذا غلط في النقل عن ابن عبد السلام لأن فتواه في الإقسام على الله بخلقه لا في سؤاله بجاه فلان</w:t>
      </w:r>
      <w:r w:rsidRPr="00A52585">
        <w:rPr>
          <w:rFonts w:hint="cs"/>
          <w:sz w:val="24"/>
          <w:szCs w:val="24"/>
          <w:rtl/>
        </w:rPr>
        <w:t xml:space="preserve"> </w:t>
      </w:r>
      <w:r w:rsidR="00777DCB"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ثم نقل كلام الإمام عز الدين بن عبد السلام انظر الرد المحكم المتين ص 54-55</w:t>
      </w:r>
      <w:r w:rsidR="00DB731D" w:rsidRPr="00A52585">
        <w:rPr>
          <w:rFonts w:hint="cs"/>
          <w:sz w:val="24"/>
          <w:szCs w:val="24"/>
          <w:rtl/>
        </w:rPr>
        <w:t>،</w:t>
      </w:r>
      <w:r w:rsidR="00777DCB" w:rsidRPr="00A52585">
        <w:rPr>
          <w:rFonts w:hint="cs"/>
          <w:sz w:val="24"/>
          <w:szCs w:val="24"/>
          <w:rtl/>
        </w:rPr>
        <w:t xml:space="preserve"> وسيأتي مزيد إيضاح في كلام المصنف رحمه الله على حديث </w:t>
      </w:r>
      <w:r w:rsidRPr="00A52585">
        <w:rPr>
          <w:rFonts w:hint="cs"/>
          <w:sz w:val="24"/>
          <w:szCs w:val="24"/>
          <w:rtl/>
        </w:rPr>
        <w:t>(</w:t>
      </w:r>
      <w:r w:rsidR="00777DCB" w:rsidRPr="00A52585">
        <w:rPr>
          <w:rFonts w:hint="cs"/>
          <w:sz w:val="24"/>
          <w:szCs w:val="24"/>
          <w:rtl/>
        </w:rPr>
        <w:t>لا تشد الرحال</w:t>
      </w:r>
      <w:r w:rsidR="00897A24" w:rsidRPr="00A52585">
        <w:rPr>
          <w:rFonts w:hint="cs"/>
          <w:sz w:val="24"/>
          <w:szCs w:val="24"/>
          <w:rtl/>
        </w:rPr>
        <w:t>.</w:t>
      </w:r>
      <w:r w:rsidR="00777DCB" w:rsidRPr="00A52585">
        <w:rPr>
          <w:rFonts w:hint="cs"/>
          <w:sz w:val="24"/>
          <w:szCs w:val="24"/>
          <w:rtl/>
        </w:rPr>
        <w:t>.) ص506، ص507 وكذا في كلام الإمام السبكي في (الدرة المضيئة)</w:t>
      </w:r>
      <w:r w:rsidR="00DB731D" w:rsidRPr="00A52585">
        <w:rPr>
          <w:rFonts w:hint="cs"/>
          <w:sz w:val="24"/>
          <w:szCs w:val="24"/>
          <w:rtl/>
        </w:rPr>
        <w:t>،</w:t>
      </w:r>
      <w:r w:rsidR="00777DCB" w:rsidRPr="00A52585">
        <w:rPr>
          <w:rFonts w:hint="cs"/>
          <w:sz w:val="24"/>
          <w:szCs w:val="24"/>
          <w:rtl/>
        </w:rPr>
        <w:t xml:space="preserve"> والمنقول منه في ختام (الفتاوي السهمية) الملحقة بنهاية هذا الكتاب</w:t>
      </w:r>
      <w:r w:rsidRPr="00A52585">
        <w:rPr>
          <w:rFonts w:hint="cs"/>
          <w:sz w:val="24"/>
          <w:szCs w:val="24"/>
          <w:rtl/>
        </w:rPr>
        <w:t>]</w:t>
      </w:r>
      <w:r w:rsidR="00DB731D" w:rsidRPr="00A52585">
        <w:rPr>
          <w:rFonts w:hint="cs"/>
          <w:rtl/>
        </w:rPr>
        <w:t>،</w:t>
      </w:r>
      <w:r w:rsidR="00777DCB" w:rsidRPr="00A52585">
        <w:rPr>
          <w:rFonts w:hint="cs"/>
          <w:rtl/>
        </w:rPr>
        <w:t xml:space="preserve"> بحيث لا يقف على مراده إلاّ حاذق عالم مفنن فإذا ناظر أمكنه أن يقطع من ناظره إلا ذلك </w:t>
      </w:r>
      <w:proofErr w:type="spellStart"/>
      <w:r w:rsidR="00777DCB" w:rsidRPr="00A52585">
        <w:rPr>
          <w:rFonts w:hint="cs"/>
          <w:rtl/>
        </w:rPr>
        <w:t>المفنن</w:t>
      </w:r>
      <w:proofErr w:type="spellEnd"/>
      <w:r w:rsidR="00777DCB" w:rsidRPr="00A52585">
        <w:rPr>
          <w:rFonts w:hint="cs"/>
          <w:rtl/>
        </w:rPr>
        <w:t xml:space="preserve"> الفطن</w:t>
      </w:r>
      <w:r w:rsidR="00DB731D" w:rsidRPr="00A52585">
        <w:rPr>
          <w:rFonts w:hint="cs"/>
          <w:rtl/>
        </w:rPr>
        <w:t>،</w:t>
      </w:r>
      <w:r w:rsidR="00777DCB" w:rsidRPr="00A52585">
        <w:rPr>
          <w:rFonts w:hint="cs"/>
          <w:rtl/>
        </w:rPr>
        <w:t xml:space="preserve"> </w:t>
      </w:r>
      <w:r w:rsidR="00777DCB" w:rsidRPr="00A52585">
        <w:rPr>
          <w:rFonts w:hint="cs"/>
          <w:bCs/>
          <w:rtl/>
        </w:rPr>
        <w:t>ثم مع ذلك شرع يتلقى الناس بالأنس وبسط الوجه ولين الكلام</w:t>
      </w:r>
      <w:r w:rsidR="00DB731D" w:rsidRPr="00A52585">
        <w:rPr>
          <w:rFonts w:hint="cs"/>
          <w:rtl/>
        </w:rPr>
        <w:t>،</w:t>
      </w:r>
      <w:r w:rsidR="00777DCB" w:rsidRPr="00A52585">
        <w:rPr>
          <w:rFonts w:hint="cs"/>
          <w:rtl/>
        </w:rPr>
        <w:t xml:space="preserve"> ويذكر أشياء تحْلوا للنفس لا سيما الألفاظ العذبة مع اشتمالها على الزهد في الدنيا والرغبة في الآخرة</w:t>
      </w:r>
      <w:r w:rsidR="00DB731D" w:rsidRPr="00A52585">
        <w:rPr>
          <w:rFonts w:hint="cs"/>
          <w:rtl/>
        </w:rPr>
        <w:t>،</w:t>
      </w:r>
      <w:r w:rsidR="00777DCB" w:rsidRPr="00A52585">
        <w:rPr>
          <w:rFonts w:hint="cs"/>
          <w:rtl/>
        </w:rPr>
        <w:t xml:space="preserve"> فطلبوا منه أن يُذكَّر الناس ففعل فطار ذكره بالعلم والتعبد والتعفف</w:t>
      </w:r>
      <w:r w:rsidR="00DB731D" w:rsidRPr="00A52585">
        <w:rPr>
          <w:rFonts w:hint="cs"/>
          <w:rtl/>
        </w:rPr>
        <w:t>،</w:t>
      </w:r>
      <w:r w:rsidR="00777DCB" w:rsidRPr="00A52585">
        <w:rPr>
          <w:rFonts w:hint="cs"/>
          <w:rtl/>
        </w:rPr>
        <w:t xml:space="preserve"> ففزع الناس إليه بالأسئلة</w:t>
      </w:r>
      <w:r w:rsidR="00DB731D" w:rsidRPr="00A52585">
        <w:rPr>
          <w:rFonts w:hint="cs"/>
          <w:rtl/>
        </w:rPr>
        <w:t>،</w:t>
      </w:r>
      <w:r w:rsidR="00777DCB" w:rsidRPr="00A52585">
        <w:rPr>
          <w:rFonts w:hint="cs"/>
          <w:rtl/>
        </w:rPr>
        <w:t xml:space="preserve"> فكان إذا جاءه أحد يسأله عن مسألة قال له</w:t>
      </w:r>
      <w:r w:rsidRPr="00A52585">
        <w:rPr>
          <w:rFonts w:hint="cs"/>
          <w:rtl/>
        </w:rPr>
        <w:t>:</w:t>
      </w:r>
      <w:r w:rsidR="00777DCB" w:rsidRPr="00A52585">
        <w:rPr>
          <w:rFonts w:hint="cs"/>
          <w:rtl/>
        </w:rPr>
        <w:t xml:space="preserve"> عاودني فيها</w:t>
      </w:r>
      <w:r w:rsidR="00DB731D" w:rsidRPr="00A52585">
        <w:rPr>
          <w:rFonts w:hint="cs"/>
          <w:rtl/>
        </w:rPr>
        <w:t>،</w:t>
      </w:r>
      <w:r w:rsidR="00777DCB" w:rsidRPr="00A52585">
        <w:rPr>
          <w:rFonts w:hint="cs"/>
          <w:rtl/>
        </w:rPr>
        <w:t xml:space="preserve"> فإذا جاءه قال</w:t>
      </w:r>
      <w:r w:rsidRPr="00A52585">
        <w:rPr>
          <w:rFonts w:hint="cs"/>
          <w:rtl/>
        </w:rPr>
        <w:t>:</w:t>
      </w:r>
      <w:r w:rsidR="00777DCB" w:rsidRPr="00A52585">
        <w:rPr>
          <w:rFonts w:hint="cs"/>
          <w:rtl/>
        </w:rPr>
        <w:t xml:space="preserve"> هذه </w:t>
      </w:r>
      <w:proofErr w:type="spellStart"/>
      <w:r w:rsidR="00777DCB" w:rsidRPr="00A52585">
        <w:rPr>
          <w:rFonts w:hint="cs"/>
          <w:rtl/>
        </w:rPr>
        <w:t>مسئلة</w:t>
      </w:r>
      <w:proofErr w:type="spellEnd"/>
      <w:r w:rsidR="00777DCB" w:rsidRPr="00A52585">
        <w:rPr>
          <w:rFonts w:hint="cs"/>
          <w:rtl/>
        </w:rPr>
        <w:t xml:space="preserve"> مشكلة</w:t>
      </w:r>
      <w:r w:rsidR="00DB731D" w:rsidRPr="00A52585">
        <w:rPr>
          <w:rFonts w:hint="cs"/>
          <w:rtl/>
        </w:rPr>
        <w:t>،</w:t>
      </w:r>
      <w:r w:rsidR="00777DCB" w:rsidRPr="00A52585">
        <w:rPr>
          <w:rFonts w:hint="cs"/>
          <w:rtl/>
        </w:rPr>
        <w:t xml:space="preserve"> ولكن لك عندي مخرج أقوله لك بشرط فإني أتقلدها في عنقي</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أنا أوفي لك</w:t>
      </w:r>
      <w:r w:rsidR="00DB731D" w:rsidRPr="00A52585">
        <w:rPr>
          <w:rFonts w:hint="cs"/>
          <w:rtl/>
        </w:rPr>
        <w:t>،</w:t>
      </w:r>
      <w:r w:rsidR="00777DCB" w:rsidRPr="00A52585">
        <w:rPr>
          <w:rFonts w:hint="cs"/>
          <w:rtl/>
        </w:rPr>
        <w:t xml:space="preserve"> فيقول</w:t>
      </w:r>
      <w:r w:rsidRPr="00A52585">
        <w:rPr>
          <w:rFonts w:hint="cs"/>
          <w:rtl/>
        </w:rPr>
        <w:t>:</w:t>
      </w:r>
      <w:r w:rsidR="00777DCB" w:rsidRPr="00A52585">
        <w:rPr>
          <w:rFonts w:hint="cs"/>
          <w:rtl/>
        </w:rPr>
        <w:t xml:space="preserve"> أن تكتم علي</w:t>
      </w:r>
      <w:r w:rsidR="00DB731D" w:rsidRPr="00A52585">
        <w:rPr>
          <w:rFonts w:hint="cs"/>
          <w:rtl/>
        </w:rPr>
        <w:t>،</w:t>
      </w:r>
      <w:r w:rsidR="00777DCB" w:rsidRPr="00A52585">
        <w:rPr>
          <w:rFonts w:hint="cs"/>
          <w:rtl/>
        </w:rPr>
        <w:t xml:space="preserve"> فيعطيه العهود والمواثيق على ذلك فيفتيه بما فيه فرجه</w:t>
      </w:r>
      <w:r w:rsidR="00DB731D" w:rsidRPr="00A52585">
        <w:rPr>
          <w:rFonts w:hint="cs"/>
          <w:rtl/>
        </w:rPr>
        <w:t>،</w:t>
      </w:r>
      <w:r w:rsidR="00777DCB" w:rsidRPr="00A52585">
        <w:rPr>
          <w:rFonts w:hint="cs"/>
          <w:rtl/>
        </w:rPr>
        <w:t xml:space="preserve"> حتى صار له بذلك أتباع كثيرة يقومون في نصرته أن لو عرض له عارض</w:t>
      </w:r>
      <w:r w:rsidR="00DB731D" w:rsidRPr="00A52585">
        <w:rPr>
          <w:rFonts w:hint="cs"/>
          <w:rtl/>
        </w:rPr>
        <w:t>،</w:t>
      </w:r>
      <w:r w:rsidR="00777DCB" w:rsidRPr="00A52585">
        <w:rPr>
          <w:rFonts w:hint="cs"/>
          <w:rtl/>
        </w:rPr>
        <w:t xml:space="preserve"> ثم إنه علم أن ذلك لا يخلصه</w:t>
      </w:r>
      <w:r w:rsidR="00DB731D" w:rsidRPr="00A52585">
        <w:rPr>
          <w:rFonts w:hint="cs"/>
          <w:rtl/>
        </w:rPr>
        <w:t>،</w:t>
      </w:r>
      <w:r w:rsidR="00777DCB" w:rsidRPr="00A52585">
        <w:rPr>
          <w:rFonts w:hint="cs"/>
          <w:rtl/>
        </w:rPr>
        <w:t xml:space="preserve"> فكان إذا كان في بعض المجالس قال</w:t>
      </w:r>
      <w:r w:rsidRPr="00A52585">
        <w:rPr>
          <w:rFonts w:hint="cs"/>
          <w:rtl/>
        </w:rPr>
        <w:t>:</w:t>
      </w:r>
      <w:r w:rsidR="00777DCB" w:rsidRPr="00A52585">
        <w:rPr>
          <w:rFonts w:hint="cs"/>
          <w:rtl/>
        </w:rPr>
        <w:t xml:space="preserve"> إنا لله وإنا إليه راجعون قد انفتق فتوق من أنواع المفاسد يبعد </w:t>
      </w:r>
      <w:proofErr w:type="spellStart"/>
      <w:r w:rsidR="00777DCB" w:rsidRPr="00A52585">
        <w:rPr>
          <w:rFonts w:hint="cs"/>
          <w:rtl/>
        </w:rPr>
        <w:t>ارتتاقها</w:t>
      </w:r>
      <w:proofErr w:type="spellEnd"/>
      <w:r w:rsidR="00DB731D" w:rsidRPr="00A52585">
        <w:rPr>
          <w:rFonts w:hint="cs"/>
          <w:rtl/>
        </w:rPr>
        <w:t>،</w:t>
      </w:r>
      <w:r w:rsidR="00777DCB" w:rsidRPr="00A52585">
        <w:rPr>
          <w:rFonts w:hint="cs"/>
          <w:rtl/>
        </w:rPr>
        <w:t xml:space="preserve"> ولو كان لي حكم لكنت أجعل فلاناً وزيراً وفلاناً محتسباً وفلاناً </w:t>
      </w:r>
      <w:proofErr w:type="spellStart"/>
      <w:r w:rsidR="00777DCB" w:rsidRPr="00A52585">
        <w:rPr>
          <w:rFonts w:hint="cs"/>
          <w:rtl/>
        </w:rPr>
        <w:t>دويداراً</w:t>
      </w:r>
      <w:proofErr w:type="spellEnd"/>
      <w:r w:rsidR="00777DCB" w:rsidRPr="00A52585">
        <w:rPr>
          <w:rFonts w:hint="cs"/>
          <w:rtl/>
        </w:rPr>
        <w:t xml:space="preserve"> وفلاناً أمير البلد. فيسمع أولئك وفي قلوبهم من تلك المناصب فكانوا يقومون في نصرته</w:t>
      </w:r>
      <w:r w:rsidR="00DB731D" w:rsidRPr="00A52585">
        <w:rPr>
          <w:rFonts w:hint="cs"/>
          <w:rtl/>
        </w:rPr>
        <w:t>،</w:t>
      </w:r>
      <w:r w:rsidR="00777DCB" w:rsidRPr="00A52585">
        <w:rPr>
          <w:rFonts w:hint="cs"/>
          <w:rtl/>
        </w:rPr>
        <w:t xml:space="preserve"> </w:t>
      </w:r>
      <w:r w:rsidR="00777DCB" w:rsidRPr="00A52585">
        <w:rPr>
          <w:rFonts w:hint="cs"/>
          <w:bCs/>
          <w:rtl/>
        </w:rPr>
        <w:t>ثم إنه علم أن مثل هؤلاء لا يقدرون على مقاومة العلماء</w:t>
      </w:r>
      <w:r w:rsidR="00777DCB" w:rsidRPr="00A52585">
        <w:rPr>
          <w:rFonts w:hint="cs"/>
          <w:rtl/>
        </w:rPr>
        <w:t xml:space="preserve"> إذا قاموا في نحره فجعل له مخلصاً منهم بأن ينظر إلى من الأمر إليه في ذلك المجلس</w:t>
      </w:r>
      <w:r w:rsidR="00DB731D" w:rsidRPr="00A52585">
        <w:rPr>
          <w:rFonts w:hint="cs"/>
          <w:rtl/>
        </w:rPr>
        <w:t>،</w:t>
      </w:r>
      <w:r w:rsidR="00777DCB" w:rsidRPr="00A52585">
        <w:rPr>
          <w:rFonts w:hint="cs"/>
          <w:rtl/>
        </w:rPr>
        <w:t xml:space="preserve"> فيقول له ما عقيدة إمامك</w:t>
      </w:r>
      <w:r w:rsidR="00F95886" w:rsidRPr="00A52585">
        <w:rPr>
          <w:rFonts w:hint="cs"/>
          <w:rtl/>
        </w:rPr>
        <w:t>؟</w:t>
      </w:r>
      <w:r w:rsidR="00777DCB" w:rsidRPr="00A52585">
        <w:rPr>
          <w:rFonts w:hint="cs"/>
          <w:rtl/>
        </w:rPr>
        <w:t xml:space="preserve"> فإذا قال</w:t>
      </w:r>
      <w:r w:rsidRPr="00A52585">
        <w:rPr>
          <w:rFonts w:hint="cs"/>
          <w:rtl/>
        </w:rPr>
        <w:t>:</w:t>
      </w:r>
      <w:r w:rsidR="00777DCB" w:rsidRPr="00A52585">
        <w:rPr>
          <w:rFonts w:hint="cs"/>
          <w:rtl/>
        </w:rPr>
        <w:t xml:space="preserve"> كذا وكذا قال</w:t>
      </w:r>
      <w:r w:rsidRPr="00A52585">
        <w:rPr>
          <w:rFonts w:hint="cs"/>
          <w:rtl/>
        </w:rPr>
        <w:t>:</w:t>
      </w:r>
      <w:r w:rsidR="00777DCB" w:rsidRPr="00A52585">
        <w:rPr>
          <w:rFonts w:hint="cs"/>
          <w:rtl/>
        </w:rPr>
        <w:t xml:space="preserve"> أشهد أنها حق</w:t>
      </w:r>
      <w:r w:rsidR="00DB731D" w:rsidRPr="00A52585">
        <w:rPr>
          <w:rFonts w:hint="cs"/>
          <w:rtl/>
        </w:rPr>
        <w:t>،</w:t>
      </w:r>
      <w:r w:rsidR="00777DCB" w:rsidRPr="00A52585">
        <w:rPr>
          <w:rFonts w:hint="cs"/>
          <w:rtl/>
        </w:rPr>
        <w:t xml:space="preserve"> وأنا </w:t>
      </w:r>
      <w:proofErr w:type="spellStart"/>
      <w:r w:rsidR="00777DCB" w:rsidRPr="00A52585">
        <w:rPr>
          <w:rFonts w:hint="cs"/>
          <w:rtl/>
        </w:rPr>
        <w:t>مخطيء</w:t>
      </w:r>
      <w:proofErr w:type="spellEnd"/>
      <w:r w:rsidR="00DB731D" w:rsidRPr="00A52585">
        <w:rPr>
          <w:rFonts w:hint="cs"/>
          <w:rtl/>
        </w:rPr>
        <w:t>،</w:t>
      </w:r>
      <w:r w:rsidR="00777DCB" w:rsidRPr="00A52585">
        <w:rPr>
          <w:rFonts w:hint="cs"/>
          <w:rtl/>
        </w:rPr>
        <w:t xml:space="preserve"> واشهدوا أني على عقيدة إمامك وهذا كان سبب عدم إراقة دمه</w:t>
      </w:r>
      <w:r w:rsidR="00DB731D" w:rsidRPr="00A52585">
        <w:rPr>
          <w:rFonts w:hint="cs"/>
          <w:rtl/>
        </w:rPr>
        <w:t>،</w:t>
      </w:r>
      <w:r w:rsidR="00777DCB" w:rsidRPr="00A52585">
        <w:rPr>
          <w:rFonts w:hint="cs"/>
          <w:rtl/>
        </w:rPr>
        <w:t xml:space="preserve"> فإذا انفض المجلس </w:t>
      </w:r>
      <w:r w:rsidR="00777DCB" w:rsidRPr="00A52585">
        <w:rPr>
          <w:rFonts w:hint="cs"/>
          <w:rtl/>
        </w:rPr>
        <w:lastRenderedPageBreak/>
        <w:t>أشاع أتباعه أن الحق في جهته ومعه</w:t>
      </w:r>
      <w:r w:rsidR="00DB731D" w:rsidRPr="00A52585">
        <w:rPr>
          <w:rFonts w:hint="cs"/>
          <w:rtl/>
        </w:rPr>
        <w:t>،</w:t>
      </w:r>
      <w:r w:rsidR="00777DCB" w:rsidRPr="00A52585">
        <w:rPr>
          <w:rFonts w:hint="cs"/>
          <w:rtl/>
        </w:rPr>
        <w:t xml:space="preserve"> وأنه قطع الجميع</w:t>
      </w:r>
      <w:r w:rsidR="00DB731D" w:rsidRPr="00A52585">
        <w:rPr>
          <w:rFonts w:hint="cs"/>
          <w:rtl/>
        </w:rPr>
        <w:t>،</w:t>
      </w:r>
      <w:r w:rsidR="00777DCB" w:rsidRPr="00A52585">
        <w:rPr>
          <w:rFonts w:hint="cs"/>
          <w:rtl/>
        </w:rPr>
        <w:t xml:space="preserve"> ألا تروه كيف خرج سالماً</w:t>
      </w:r>
      <w:r w:rsidR="00F95886"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ومثل ذلك ما </w:t>
      </w:r>
      <w:proofErr w:type="spellStart"/>
      <w:r w:rsidR="00777DCB" w:rsidRPr="00A52585">
        <w:rPr>
          <w:rFonts w:hint="cs"/>
          <w:sz w:val="24"/>
          <w:szCs w:val="24"/>
          <w:rtl/>
        </w:rPr>
        <w:t>يحكيه</w:t>
      </w:r>
      <w:proofErr w:type="spellEnd"/>
      <w:r w:rsidR="00777DCB" w:rsidRPr="00A52585">
        <w:rPr>
          <w:rFonts w:hint="cs"/>
          <w:sz w:val="24"/>
          <w:szCs w:val="24"/>
          <w:rtl/>
        </w:rPr>
        <w:t xml:space="preserve"> الإمام الكبير علاء الدين علي بن محمد بن خطاب الباجي وذكره ابن حجر في (الدرر الكامنة) 3/101- 102ط دار الجيل</w:t>
      </w:r>
      <w:r w:rsidRPr="00A52585">
        <w:rPr>
          <w:rFonts w:hint="cs"/>
          <w:sz w:val="24"/>
          <w:szCs w:val="24"/>
          <w:rtl/>
        </w:rPr>
        <w:t>:</w:t>
      </w:r>
      <w:r w:rsidR="00777DCB" w:rsidRPr="00A52585">
        <w:rPr>
          <w:rFonts w:hint="cs"/>
          <w:sz w:val="24"/>
          <w:szCs w:val="24"/>
          <w:rtl/>
        </w:rPr>
        <w:t xml:space="preserve"> "</w:t>
      </w:r>
      <w:r w:rsidR="00897A24" w:rsidRPr="00A52585">
        <w:rPr>
          <w:rFonts w:hint="cs"/>
          <w:sz w:val="24"/>
          <w:szCs w:val="24"/>
          <w:rtl/>
        </w:rPr>
        <w:t>.</w:t>
      </w:r>
      <w:r w:rsidR="00777DCB" w:rsidRPr="00A52585">
        <w:rPr>
          <w:rFonts w:hint="cs"/>
          <w:sz w:val="24"/>
          <w:szCs w:val="24"/>
          <w:rtl/>
        </w:rPr>
        <w:t>. وكان يحكي عن نفسه أن ابن تيمية لما دخل القاهرة حضرت في المجلس الذي عقدوه له فلما رآني قال</w:t>
      </w:r>
      <w:r w:rsidRPr="00A52585">
        <w:rPr>
          <w:rFonts w:hint="cs"/>
          <w:sz w:val="24"/>
          <w:szCs w:val="24"/>
          <w:rtl/>
        </w:rPr>
        <w:t>:</w:t>
      </w:r>
      <w:r w:rsidR="00777DCB" w:rsidRPr="00A52585">
        <w:rPr>
          <w:rFonts w:hint="cs"/>
          <w:sz w:val="24"/>
          <w:szCs w:val="24"/>
          <w:rtl/>
        </w:rPr>
        <w:t xml:space="preserve"> هذا شيخ البلاد.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لا تطريني ما ههنا إلا الحق. </w:t>
      </w:r>
      <w:proofErr w:type="spellStart"/>
      <w:r w:rsidR="00777DCB" w:rsidRPr="00A52585">
        <w:rPr>
          <w:rFonts w:hint="cs"/>
          <w:sz w:val="24"/>
          <w:szCs w:val="24"/>
          <w:rtl/>
        </w:rPr>
        <w:t>وحاققته</w:t>
      </w:r>
      <w:proofErr w:type="spellEnd"/>
      <w:r w:rsidR="00777DCB" w:rsidRPr="00A52585">
        <w:rPr>
          <w:rFonts w:hint="cs"/>
          <w:sz w:val="24"/>
          <w:szCs w:val="24"/>
          <w:rtl/>
        </w:rPr>
        <w:t xml:space="preserve"> على أربعة عشر موضعا فغير ما كان كتب به خطه</w:t>
      </w:r>
      <w:r w:rsidRPr="00A52585">
        <w:rPr>
          <w:rFonts w:hint="cs"/>
          <w:sz w:val="24"/>
          <w:szCs w:val="24"/>
          <w:rtl/>
        </w:rPr>
        <w:t xml:space="preserve"> </w:t>
      </w:r>
      <w:r w:rsidR="00777DCB"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DB731D" w:rsidRPr="00A52585">
        <w:rPr>
          <w:rFonts w:hint="cs"/>
          <w:sz w:val="24"/>
          <w:szCs w:val="24"/>
          <w:rtl/>
        </w:rPr>
        <w:t>،</w:t>
      </w:r>
      <w:r w:rsidR="00777DCB" w:rsidRPr="00A52585">
        <w:rPr>
          <w:rFonts w:hint="cs"/>
          <w:sz w:val="24"/>
          <w:szCs w:val="24"/>
          <w:rtl/>
        </w:rPr>
        <w:t xml:space="preserve"> ويصــف تــاج الديــن السبكي هذا اللقــاء في (طبقات الشافعية الكبرى) في ترجمة الإمام الباجي فيقول</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وكان إليه مرجع المشكلات ومجالس المناظرات</w:t>
      </w:r>
      <w:r w:rsidR="00DB731D" w:rsidRPr="00A52585">
        <w:rPr>
          <w:rFonts w:hint="cs"/>
          <w:sz w:val="24"/>
          <w:szCs w:val="24"/>
          <w:rtl/>
        </w:rPr>
        <w:t>،</w:t>
      </w:r>
      <w:r w:rsidR="00777DCB" w:rsidRPr="00A52585">
        <w:rPr>
          <w:rFonts w:hint="cs"/>
          <w:sz w:val="24"/>
          <w:szCs w:val="24"/>
          <w:rtl/>
        </w:rPr>
        <w:t xml:space="preserve"> ولما رآه ابن تيمية عظمه ولم يَجْرِ بين يديه بلفظه، فأخذ الشيخ علاء الدين يقول</w:t>
      </w:r>
      <w:r w:rsidRPr="00A52585">
        <w:rPr>
          <w:rFonts w:hint="cs"/>
          <w:sz w:val="24"/>
          <w:szCs w:val="24"/>
          <w:rtl/>
        </w:rPr>
        <w:t>:</w:t>
      </w:r>
      <w:r w:rsidR="00777DCB" w:rsidRPr="00A52585">
        <w:rPr>
          <w:rFonts w:hint="cs"/>
          <w:sz w:val="24"/>
          <w:szCs w:val="24"/>
          <w:rtl/>
        </w:rPr>
        <w:t xml:space="preserve"> تكلم نبحث معك</w:t>
      </w:r>
      <w:r w:rsidR="00DB731D" w:rsidRPr="00A52585">
        <w:rPr>
          <w:rFonts w:hint="cs"/>
          <w:sz w:val="24"/>
          <w:szCs w:val="24"/>
          <w:rtl/>
        </w:rPr>
        <w:t>،</w:t>
      </w:r>
      <w:r w:rsidR="00777DCB" w:rsidRPr="00A52585">
        <w:rPr>
          <w:rFonts w:hint="cs"/>
          <w:sz w:val="24"/>
          <w:szCs w:val="24"/>
          <w:rtl/>
        </w:rPr>
        <w:t xml:space="preserve"> وابن تيمية يقول</w:t>
      </w:r>
      <w:r w:rsidRPr="00A52585">
        <w:rPr>
          <w:rFonts w:hint="cs"/>
          <w:sz w:val="24"/>
          <w:szCs w:val="24"/>
          <w:rtl/>
        </w:rPr>
        <w:t>:</w:t>
      </w:r>
      <w:r w:rsidR="00777DCB" w:rsidRPr="00A52585">
        <w:rPr>
          <w:rFonts w:hint="cs"/>
          <w:sz w:val="24"/>
          <w:szCs w:val="24"/>
          <w:rtl/>
        </w:rPr>
        <w:t xml:space="preserve"> مثلي لا يتكلم بين يديك</w:t>
      </w:r>
      <w:r w:rsidR="00DB731D" w:rsidRPr="00A52585">
        <w:rPr>
          <w:rFonts w:hint="cs"/>
          <w:sz w:val="24"/>
          <w:szCs w:val="24"/>
          <w:rtl/>
        </w:rPr>
        <w:t>،</w:t>
      </w:r>
      <w:r w:rsidR="00777DCB" w:rsidRPr="00A52585">
        <w:rPr>
          <w:rFonts w:hint="cs"/>
          <w:sz w:val="24"/>
          <w:szCs w:val="24"/>
          <w:rtl/>
        </w:rPr>
        <w:t xml:space="preserve"> أنا وظيفتي الاستفادة منك</w:t>
      </w:r>
      <w:r w:rsidRPr="00A52585">
        <w:rPr>
          <w:rFonts w:hint="cs"/>
          <w:sz w:val="24"/>
          <w:szCs w:val="24"/>
          <w:rtl/>
        </w:rPr>
        <w:t xml:space="preserve"> </w:t>
      </w:r>
      <w:r w:rsidR="00777DCB" w:rsidRPr="00A52585">
        <w:rPr>
          <w:rFonts w:hint="cs"/>
          <w:sz w:val="24"/>
          <w:szCs w:val="24"/>
          <w:rtl/>
        </w:rPr>
        <w:t>"</w:t>
      </w:r>
      <w:r w:rsidR="00F95886" w:rsidRPr="00A52585">
        <w:rPr>
          <w:rFonts w:hint="cs"/>
          <w:sz w:val="24"/>
          <w:szCs w:val="24"/>
          <w:rtl/>
        </w:rPr>
        <w:t>!</w:t>
      </w:r>
      <w:r w:rsidR="00777DCB" w:rsidRPr="00A52585">
        <w:rPr>
          <w:rFonts w:hint="cs"/>
          <w:sz w:val="24"/>
          <w:szCs w:val="24"/>
          <w:rtl/>
        </w:rPr>
        <w:t xml:space="preserve"> وبالطبع لم يذكر تلاميذ ابن تيمية وأتباعه ومنهم المؤرخ ابن كثير- الذي أرّخ هذه الفترة في (البداية </w:t>
      </w:r>
      <w:proofErr w:type="gramStart"/>
      <w:r w:rsidR="00777DCB" w:rsidRPr="00A52585">
        <w:rPr>
          <w:rFonts w:hint="cs"/>
          <w:sz w:val="24"/>
          <w:szCs w:val="24"/>
          <w:rtl/>
        </w:rPr>
        <w:t>والنهاية)-</w:t>
      </w:r>
      <w:proofErr w:type="gramEnd"/>
      <w:r w:rsidR="00777DCB" w:rsidRPr="00A52585">
        <w:rPr>
          <w:rFonts w:hint="cs"/>
          <w:sz w:val="24"/>
          <w:szCs w:val="24"/>
          <w:rtl/>
        </w:rPr>
        <w:t xml:space="preserve"> سلوك شيخهم هذا ولا مراوغاته، كما لم يذكروا لنا ما هذه المواضع الأربعة عشر التي رجع عنها شيخهم وهل هي يا ترى مما يتداوله أتباع ابن تيمية في عصرنا أم هي مضافة لمصائبه المنقولة حاليا</w:t>
      </w:r>
      <w:r w:rsidR="00F95886" w:rsidRPr="00A52585">
        <w:rPr>
          <w:rFonts w:hint="cs"/>
          <w:sz w:val="24"/>
          <w:szCs w:val="24"/>
          <w:rtl/>
        </w:rPr>
        <w:t>؟</w:t>
      </w:r>
      <w:r w:rsidR="00777DCB" w:rsidRPr="00A52585">
        <w:rPr>
          <w:rFonts w:hint="cs"/>
          <w:sz w:val="24"/>
          <w:szCs w:val="24"/>
          <w:rtl/>
        </w:rPr>
        <w:t xml:space="preserve"> وعلى أي حال فابن كثير في البداية والنهاية اعترف بهزيمة شيخه واعترافه بالخطأ في مناظرته مع العلماء في موضوع التوسل برسول الله صلى الله عليه وسلم مع أن أتباعه وتلامذته من عصره إلى الآن يعتبرون ذلك شركا وكتب ابن تيمية المنشورة على هذا الرأي أما لماذا تراجع ابن تيمية عن آرائه بحضور الإمام الباجي</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فالجواب الواضح</w:t>
      </w:r>
      <w:r w:rsidRPr="00A52585">
        <w:rPr>
          <w:rFonts w:hint="cs"/>
          <w:sz w:val="24"/>
          <w:szCs w:val="24"/>
          <w:rtl/>
        </w:rPr>
        <w:t>:</w:t>
      </w:r>
      <w:r w:rsidR="00777DCB" w:rsidRPr="00A52585">
        <w:rPr>
          <w:rFonts w:hint="cs"/>
          <w:sz w:val="24"/>
          <w:szCs w:val="24"/>
          <w:rtl/>
        </w:rPr>
        <w:t xml:space="preserve"> أن ذلك للدِقَّة الشديدة للإمام الباجي التي لن تسمح لابن تيمية بالمراوغة والخروج من موضوع المناظرة إلى موضوع آخر للإفلات والهروب من الإذعان للحق والاعتراف به كما حاول ذلك مع الإمام صفي الدين الهندي وسيأتي بيان ذلك</w:t>
      </w:r>
      <w:r w:rsidR="00DB731D" w:rsidRPr="00A52585">
        <w:rPr>
          <w:rFonts w:hint="cs"/>
          <w:sz w:val="24"/>
          <w:szCs w:val="24"/>
          <w:rtl/>
        </w:rPr>
        <w:t>،</w:t>
      </w:r>
      <w:r w:rsidR="00777DCB" w:rsidRPr="00A52585">
        <w:rPr>
          <w:rFonts w:hint="cs"/>
          <w:sz w:val="24"/>
          <w:szCs w:val="24"/>
          <w:rtl/>
        </w:rPr>
        <w:t xml:space="preserve"> يقول الإمام تاج الدين السبكي عن الإمام الباجي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إمام الأصوليين في زمانه وفارس ميدانه وكان من الأوَّابين المتقين. وكان شيخ الإسلام ابن دقيق العيد كثير التعظيم له ويقول له إذا ناداه</w:t>
      </w:r>
      <w:r w:rsidRPr="00A52585">
        <w:rPr>
          <w:rFonts w:hint="cs"/>
          <w:sz w:val="24"/>
          <w:szCs w:val="24"/>
          <w:rtl/>
        </w:rPr>
        <w:t>:</w:t>
      </w:r>
      <w:r w:rsidR="00777DCB" w:rsidRPr="00A52585">
        <w:rPr>
          <w:rFonts w:hint="cs"/>
          <w:sz w:val="24"/>
          <w:szCs w:val="24"/>
          <w:rtl/>
        </w:rPr>
        <w:t xml:space="preserve"> (يا إمام) قال الإمام تقي الدين السبكي</w:t>
      </w:r>
      <w:r w:rsidRPr="00A52585">
        <w:rPr>
          <w:rFonts w:hint="cs"/>
          <w:sz w:val="24"/>
          <w:szCs w:val="24"/>
          <w:rtl/>
        </w:rPr>
        <w:t>:</w:t>
      </w:r>
      <w:r w:rsidR="00777DCB" w:rsidRPr="00A52585">
        <w:rPr>
          <w:rFonts w:hint="cs"/>
          <w:sz w:val="24"/>
          <w:szCs w:val="24"/>
          <w:rtl/>
        </w:rPr>
        <w:t xml:space="preserve"> كان ابن دقيق العبد لا يخاطب أحداً</w:t>
      </w:r>
      <w:r w:rsidRPr="00A52585">
        <w:rPr>
          <w:rFonts w:hint="cs"/>
          <w:sz w:val="24"/>
          <w:szCs w:val="24"/>
          <w:rtl/>
        </w:rPr>
        <w:t>:</w:t>
      </w:r>
      <w:r w:rsidR="00777DCB" w:rsidRPr="00A52585">
        <w:rPr>
          <w:rFonts w:hint="cs"/>
          <w:sz w:val="24"/>
          <w:szCs w:val="24"/>
          <w:rtl/>
        </w:rPr>
        <w:t xml:space="preserve"> السلطان أو غيره إلا بقوله</w:t>
      </w:r>
      <w:r w:rsidRPr="00A52585">
        <w:rPr>
          <w:rFonts w:hint="cs"/>
          <w:sz w:val="24"/>
          <w:szCs w:val="24"/>
          <w:rtl/>
        </w:rPr>
        <w:t>:</w:t>
      </w:r>
      <w:r w:rsidR="00777DCB" w:rsidRPr="00A52585">
        <w:rPr>
          <w:rFonts w:hint="cs"/>
          <w:sz w:val="24"/>
          <w:szCs w:val="24"/>
          <w:rtl/>
        </w:rPr>
        <w:t xml:space="preserve"> يا إنسان، غير </w:t>
      </w:r>
      <w:proofErr w:type="spellStart"/>
      <w:r w:rsidR="00777DCB" w:rsidRPr="00A52585">
        <w:rPr>
          <w:rFonts w:hint="cs"/>
          <w:sz w:val="24"/>
          <w:szCs w:val="24"/>
          <w:rtl/>
        </w:rPr>
        <w:t>اثنين</w:t>
      </w:r>
      <w:r w:rsidRPr="00A52585">
        <w:rPr>
          <w:rFonts w:hint="cs"/>
          <w:sz w:val="24"/>
          <w:szCs w:val="24"/>
          <w:rtl/>
        </w:rPr>
        <w:t>:</w:t>
      </w:r>
      <w:r w:rsidR="00777DCB" w:rsidRPr="00A52585">
        <w:rPr>
          <w:rFonts w:hint="cs"/>
          <w:sz w:val="24"/>
          <w:szCs w:val="24"/>
          <w:rtl/>
        </w:rPr>
        <w:t>الباجي</w:t>
      </w:r>
      <w:proofErr w:type="spellEnd"/>
      <w:r w:rsidR="00777DCB" w:rsidRPr="00A52585">
        <w:rPr>
          <w:rFonts w:hint="cs"/>
          <w:sz w:val="24"/>
          <w:szCs w:val="24"/>
          <w:rtl/>
        </w:rPr>
        <w:t xml:space="preserve"> وابن الرفعة. يقول للباجي</w:t>
      </w:r>
      <w:r w:rsidRPr="00A52585">
        <w:rPr>
          <w:rFonts w:hint="cs"/>
          <w:sz w:val="24"/>
          <w:szCs w:val="24"/>
          <w:rtl/>
        </w:rPr>
        <w:t>:</w:t>
      </w:r>
      <w:r w:rsidR="00777DCB" w:rsidRPr="00A52585">
        <w:rPr>
          <w:rFonts w:hint="cs"/>
          <w:sz w:val="24"/>
          <w:szCs w:val="24"/>
          <w:rtl/>
        </w:rPr>
        <w:t xml:space="preserve"> يا إمام، ولابن الرفعة</w:t>
      </w:r>
      <w:r w:rsidRPr="00A52585">
        <w:rPr>
          <w:rFonts w:hint="cs"/>
          <w:sz w:val="24"/>
          <w:szCs w:val="24"/>
          <w:rtl/>
        </w:rPr>
        <w:t>:</w:t>
      </w:r>
      <w:r w:rsidR="00777DCB" w:rsidRPr="00A52585">
        <w:rPr>
          <w:rFonts w:hint="cs"/>
          <w:sz w:val="24"/>
          <w:szCs w:val="24"/>
          <w:rtl/>
        </w:rPr>
        <w:t xml:space="preserve"> يا فقيه "</w:t>
      </w:r>
      <w:r w:rsidR="00DB731D" w:rsidRPr="00A52585">
        <w:rPr>
          <w:rFonts w:hint="cs"/>
          <w:sz w:val="24"/>
          <w:szCs w:val="24"/>
          <w:rtl/>
        </w:rPr>
        <w:t>،</w:t>
      </w:r>
      <w:r w:rsidR="00777DCB" w:rsidRPr="00A52585">
        <w:rPr>
          <w:rFonts w:hint="cs"/>
          <w:sz w:val="24"/>
          <w:szCs w:val="24"/>
          <w:rtl/>
        </w:rPr>
        <w:t xml:space="preserve"> ويقول أيضاً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وكان الباجي أعلم أهل الأرض بمذهب الأشعري في علم الكلام وكان هو بالقاهرة والهندي بالشام القائمين بنصرة مذهب الأشعري</w:t>
      </w:r>
      <w:r w:rsidR="00DB731D" w:rsidRPr="00A52585">
        <w:rPr>
          <w:rFonts w:hint="cs"/>
          <w:sz w:val="24"/>
          <w:szCs w:val="24"/>
          <w:rtl/>
        </w:rPr>
        <w:t>،</w:t>
      </w:r>
      <w:r w:rsidR="00777DCB" w:rsidRPr="00A52585">
        <w:rPr>
          <w:rFonts w:hint="cs"/>
          <w:sz w:val="24"/>
          <w:szCs w:val="24"/>
          <w:rtl/>
        </w:rPr>
        <w:t xml:space="preserve"> والباجي أذكى قريحة وأقدر على المناظرة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طبقات الشافعية الكبرى 10/340 ط دار هجر</w:t>
      </w:r>
      <w:r w:rsidRPr="00A52585">
        <w:rPr>
          <w:rFonts w:hint="cs"/>
          <w:sz w:val="24"/>
          <w:szCs w:val="24"/>
          <w:rtl/>
        </w:rPr>
        <w:t>]</w:t>
      </w:r>
      <w:r w:rsidR="00DB731D" w:rsidRPr="00A52585">
        <w:rPr>
          <w:rFonts w:hint="cs"/>
          <w:sz w:val="24"/>
          <w:szCs w:val="24"/>
          <w:rtl/>
        </w:rPr>
        <w:t>،</w:t>
      </w:r>
      <w:r w:rsidRPr="00A52585">
        <w:rPr>
          <w:rFonts w:hint="cs"/>
          <w:rtl/>
        </w:rPr>
        <w:t xml:space="preserve"> </w:t>
      </w:r>
      <w:r w:rsidR="00777DCB" w:rsidRPr="00A52585">
        <w:rPr>
          <w:rFonts w:hint="cs"/>
          <w:rtl/>
        </w:rPr>
        <w:t>حتى حصل بسبب ذلك افتتان خلق كثير</w:t>
      </w:r>
      <w:r w:rsidR="00DB731D" w:rsidRPr="00A52585">
        <w:rPr>
          <w:rFonts w:hint="cs"/>
          <w:rtl/>
        </w:rPr>
        <w:t>،</w:t>
      </w:r>
      <w:r w:rsidR="00777DCB" w:rsidRPr="00A52585">
        <w:rPr>
          <w:rFonts w:hint="cs"/>
          <w:rtl/>
        </w:rPr>
        <w:t xml:space="preserve"> لا سيما من العوام</w:t>
      </w:r>
      <w:r w:rsidR="00DB731D" w:rsidRPr="00A52585">
        <w:rPr>
          <w:rFonts w:hint="cs"/>
          <w:rtl/>
        </w:rPr>
        <w:t>،</w:t>
      </w:r>
      <w:r w:rsidR="00777DCB" w:rsidRPr="00A52585">
        <w:rPr>
          <w:rFonts w:hint="cs"/>
          <w:rtl/>
        </w:rPr>
        <w:t xml:space="preserve"> فلما تكرر ذلك منه علموا أنه إنما يفعل ذلك خديعة ومكراً</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وأسلوب الخديعة والمراوغة هذا اقتبسه ابن تيمية من اليهود في مناظرات أحبارهم مع علماء المسلمين ومن مناظراته هو نفسه معهم فمن ذلك</w:t>
      </w:r>
      <w:r w:rsidRPr="00A52585">
        <w:rPr>
          <w:rFonts w:hint="cs"/>
          <w:spacing w:val="-6"/>
          <w:sz w:val="24"/>
          <w:szCs w:val="24"/>
          <w:rtl/>
        </w:rPr>
        <w:t>:</w:t>
      </w:r>
      <w:r w:rsidR="00777DCB" w:rsidRPr="00A52585">
        <w:rPr>
          <w:rFonts w:hint="cs"/>
          <w:spacing w:val="-6"/>
          <w:sz w:val="24"/>
          <w:szCs w:val="24"/>
          <w:rtl/>
        </w:rPr>
        <w:t xml:space="preserve"> ما ذكرة المرتضى في </w:t>
      </w:r>
      <w:proofErr w:type="spellStart"/>
      <w:r w:rsidR="00777DCB" w:rsidRPr="00A52585">
        <w:rPr>
          <w:rFonts w:hint="cs"/>
          <w:spacing w:val="-6"/>
          <w:sz w:val="24"/>
          <w:szCs w:val="24"/>
          <w:rtl/>
        </w:rPr>
        <w:t>أماليه</w:t>
      </w:r>
      <w:proofErr w:type="spellEnd"/>
      <w:r w:rsidRPr="00A52585">
        <w:rPr>
          <w:rFonts w:hint="cs"/>
          <w:spacing w:val="-6"/>
          <w:sz w:val="24"/>
          <w:szCs w:val="24"/>
          <w:rtl/>
        </w:rPr>
        <w:t>:</w:t>
      </w:r>
      <w:r w:rsidR="00777DCB" w:rsidRPr="00A52585">
        <w:rPr>
          <w:rFonts w:hint="cs"/>
          <w:spacing w:val="-6"/>
          <w:sz w:val="24"/>
          <w:szCs w:val="24"/>
          <w:rtl/>
        </w:rPr>
        <w:t xml:space="preserve"> أن أبا الهذيل </w:t>
      </w:r>
      <w:r w:rsidR="00777DCB" w:rsidRPr="00A52585">
        <w:rPr>
          <w:rFonts w:hint="cs"/>
          <w:sz w:val="24"/>
          <w:szCs w:val="24"/>
          <w:rtl/>
        </w:rPr>
        <w:t xml:space="preserve">العلاّف </w:t>
      </w:r>
      <w:r w:rsidR="00777DCB" w:rsidRPr="00A52585">
        <w:rPr>
          <w:sz w:val="24"/>
          <w:szCs w:val="24"/>
        </w:rPr>
        <w:t>–</w:t>
      </w:r>
      <w:r w:rsidR="00777DCB" w:rsidRPr="00A52585">
        <w:rPr>
          <w:rFonts w:hint="cs"/>
          <w:sz w:val="24"/>
          <w:szCs w:val="24"/>
          <w:rtl/>
        </w:rPr>
        <w:t xml:space="preserve">في حداثته- بلغه أن يهوديًا قدم البصرة، وقَطَع جماعة من </w:t>
      </w:r>
      <w:proofErr w:type="spellStart"/>
      <w:r w:rsidR="00777DCB" w:rsidRPr="00A52585">
        <w:rPr>
          <w:rFonts w:hint="cs"/>
          <w:sz w:val="24"/>
          <w:szCs w:val="24"/>
          <w:rtl/>
        </w:rPr>
        <w:t>متكلميها</w:t>
      </w:r>
      <w:proofErr w:type="spellEnd"/>
      <w:r w:rsidR="00777DCB" w:rsidRPr="00A52585">
        <w:rPr>
          <w:rFonts w:hint="cs"/>
          <w:sz w:val="24"/>
          <w:szCs w:val="24"/>
          <w:rtl/>
        </w:rPr>
        <w:t>. فقال لعمه</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ياعم</w:t>
      </w:r>
      <w:proofErr w:type="spellEnd"/>
      <w:r w:rsidR="00777DCB" w:rsidRPr="00A52585">
        <w:rPr>
          <w:rFonts w:hint="cs"/>
          <w:sz w:val="24"/>
          <w:szCs w:val="24"/>
          <w:rtl/>
        </w:rPr>
        <w:t xml:space="preserve"> امض بي إلى هذا اليهودي حتى أكلمه. فقال له عمه</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يابني</w:t>
      </w:r>
      <w:proofErr w:type="spellEnd"/>
      <w:r w:rsidR="00777DCB" w:rsidRPr="00A52585">
        <w:rPr>
          <w:rFonts w:hint="cs"/>
          <w:sz w:val="24"/>
          <w:szCs w:val="24"/>
          <w:rtl/>
        </w:rPr>
        <w:t xml:space="preserve"> كيف تكلمه وقد عرفت خبره</w:t>
      </w:r>
      <w:r w:rsidR="00F95886" w:rsidRPr="00A52585">
        <w:rPr>
          <w:rFonts w:hint="cs"/>
          <w:sz w:val="24"/>
          <w:szCs w:val="24"/>
          <w:rtl/>
        </w:rPr>
        <w:t>؟</w:t>
      </w:r>
      <w:r w:rsidR="00777DCB" w:rsidRPr="00A52585">
        <w:rPr>
          <w:rFonts w:hint="cs"/>
          <w:sz w:val="24"/>
          <w:szCs w:val="24"/>
          <w:rtl/>
        </w:rPr>
        <w:t xml:space="preserve"> وأنه قَطَع مشايخ المتكلمين</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لا بد من أن تمضي بي إليه، فمضى به</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فوجدته يقرر الناس على نبوة موسى عليه السلام فإذا اعترفوا له بها، قال</w:t>
      </w:r>
      <w:r w:rsidRPr="00A52585">
        <w:rPr>
          <w:rFonts w:hint="cs"/>
          <w:sz w:val="24"/>
          <w:szCs w:val="24"/>
          <w:rtl/>
        </w:rPr>
        <w:t>:</w:t>
      </w:r>
      <w:r w:rsidR="00777DCB" w:rsidRPr="00A52585">
        <w:rPr>
          <w:rFonts w:hint="cs"/>
          <w:sz w:val="24"/>
          <w:szCs w:val="24"/>
          <w:rtl/>
        </w:rPr>
        <w:t xml:space="preserve"> نحن على ما اتفقنا عليه، إلى أن نجمع على ما تدعونه، فتقدمت إليه،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أسألك</w:t>
      </w:r>
      <w:r w:rsidR="00F95886" w:rsidRPr="00A52585">
        <w:rPr>
          <w:rFonts w:hint="cs"/>
          <w:sz w:val="24"/>
          <w:szCs w:val="24"/>
          <w:rtl/>
        </w:rPr>
        <w:t>؟</w:t>
      </w:r>
      <w:r w:rsidR="00777DCB" w:rsidRPr="00A52585">
        <w:rPr>
          <w:rFonts w:hint="cs"/>
          <w:sz w:val="24"/>
          <w:szCs w:val="24"/>
          <w:rtl/>
        </w:rPr>
        <w:t xml:space="preserve"> أم تسألني</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بل أسألك،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ذاك إليك. فقال لي</w:t>
      </w:r>
      <w:r w:rsidRPr="00A52585">
        <w:rPr>
          <w:rFonts w:hint="cs"/>
          <w:sz w:val="24"/>
          <w:szCs w:val="24"/>
          <w:rtl/>
        </w:rPr>
        <w:t>:</w:t>
      </w:r>
      <w:r w:rsidR="00777DCB" w:rsidRPr="00A52585">
        <w:rPr>
          <w:rFonts w:hint="cs"/>
          <w:sz w:val="24"/>
          <w:szCs w:val="24"/>
          <w:rtl/>
        </w:rPr>
        <w:t xml:space="preserve"> أتعترف بأن موسى نبي </w:t>
      </w:r>
      <w:proofErr w:type="spellStart"/>
      <w:proofErr w:type="gramStart"/>
      <w:r w:rsidR="00777DCB" w:rsidRPr="00A52585">
        <w:rPr>
          <w:rFonts w:hint="cs"/>
          <w:sz w:val="24"/>
          <w:szCs w:val="24"/>
          <w:rtl/>
        </w:rPr>
        <w:t>صادق</w:t>
      </w:r>
      <w:r w:rsidR="00F95886" w:rsidRPr="00A52585">
        <w:rPr>
          <w:rFonts w:hint="cs"/>
          <w:sz w:val="24"/>
          <w:szCs w:val="24"/>
          <w:rtl/>
        </w:rPr>
        <w:t>؟</w:t>
      </w:r>
      <w:r w:rsidR="00777DCB" w:rsidRPr="00A52585">
        <w:rPr>
          <w:rFonts w:hint="cs"/>
          <w:sz w:val="24"/>
          <w:szCs w:val="24"/>
          <w:rtl/>
        </w:rPr>
        <w:t>أم</w:t>
      </w:r>
      <w:proofErr w:type="spellEnd"/>
      <w:proofErr w:type="gramEnd"/>
      <w:r w:rsidR="00777DCB" w:rsidRPr="00A52585">
        <w:rPr>
          <w:rFonts w:hint="cs"/>
          <w:sz w:val="24"/>
          <w:szCs w:val="24"/>
          <w:rtl/>
        </w:rPr>
        <w:t xml:space="preserve"> تنكر ذلك فتخالف صاحبك</w:t>
      </w:r>
      <w:r w:rsidR="00F95886" w:rsidRPr="00A52585">
        <w:rPr>
          <w:rFonts w:hint="cs"/>
          <w:spacing w:val="-6"/>
          <w:sz w:val="24"/>
          <w:szCs w:val="24"/>
          <w:rtl/>
        </w:rPr>
        <w:t>؟</w:t>
      </w:r>
      <w:r w:rsidR="00777DCB" w:rsidRPr="00A52585">
        <w:rPr>
          <w:rFonts w:hint="cs"/>
          <w:spacing w:val="-6"/>
          <w:sz w:val="24"/>
          <w:szCs w:val="24"/>
          <w:rtl/>
        </w:rPr>
        <w:t xml:space="preserve"> فقلت له</w:t>
      </w:r>
      <w:r w:rsidRPr="00A52585">
        <w:rPr>
          <w:rFonts w:hint="cs"/>
          <w:spacing w:val="-6"/>
          <w:sz w:val="24"/>
          <w:szCs w:val="24"/>
          <w:rtl/>
        </w:rPr>
        <w:t>:</w:t>
      </w:r>
      <w:r w:rsidR="00777DCB" w:rsidRPr="00A52585">
        <w:rPr>
          <w:rFonts w:hint="cs"/>
          <w:spacing w:val="-6"/>
          <w:sz w:val="24"/>
          <w:szCs w:val="24"/>
          <w:rtl/>
        </w:rPr>
        <w:t xml:space="preserve"> إن كان موسى الذي تسألني عنه هو الي بشَّر بنبيي عليه السلام، وشهد بنبوته وصدقه، فهو نبي </w:t>
      </w:r>
      <w:proofErr w:type="spellStart"/>
      <w:proofErr w:type="gramStart"/>
      <w:r w:rsidR="00777DCB" w:rsidRPr="00A52585">
        <w:rPr>
          <w:rFonts w:hint="cs"/>
          <w:spacing w:val="-6"/>
          <w:sz w:val="24"/>
          <w:szCs w:val="24"/>
          <w:rtl/>
        </w:rPr>
        <w:t>صادق،</w:t>
      </w:r>
      <w:r w:rsidR="00777DCB" w:rsidRPr="00A52585">
        <w:rPr>
          <w:rFonts w:hint="cs"/>
          <w:sz w:val="24"/>
          <w:szCs w:val="24"/>
          <w:rtl/>
        </w:rPr>
        <w:t>وإن</w:t>
      </w:r>
      <w:proofErr w:type="spellEnd"/>
      <w:proofErr w:type="gramEnd"/>
      <w:r w:rsidR="00777DCB" w:rsidRPr="00A52585">
        <w:rPr>
          <w:rFonts w:hint="cs"/>
          <w:sz w:val="24"/>
          <w:szCs w:val="24"/>
          <w:rtl/>
        </w:rPr>
        <w:t xml:space="preserve"> كان غير من وصفت، فذلك شيطان، لا أعترف بنبوته. فورد عليه مالم </w:t>
      </w:r>
      <w:r w:rsidR="00777DCB" w:rsidRPr="00A52585">
        <w:rPr>
          <w:rFonts w:hint="cs"/>
          <w:sz w:val="24"/>
          <w:szCs w:val="24"/>
          <w:rtl/>
        </w:rPr>
        <w:lastRenderedPageBreak/>
        <w:t>يكن في حسابه، ثم قال لي أتقول</w:t>
      </w:r>
      <w:r w:rsidRPr="00A52585">
        <w:rPr>
          <w:rFonts w:hint="cs"/>
          <w:sz w:val="24"/>
          <w:szCs w:val="24"/>
          <w:rtl/>
        </w:rPr>
        <w:t>:</w:t>
      </w:r>
      <w:r w:rsidR="00777DCB" w:rsidRPr="00A52585">
        <w:rPr>
          <w:rFonts w:hint="cs"/>
          <w:sz w:val="24"/>
          <w:szCs w:val="24"/>
          <w:rtl/>
        </w:rPr>
        <w:t xml:space="preserve"> إن التوراة حق</w:t>
      </w:r>
      <w:r w:rsidR="00F95886" w:rsidRPr="00A52585">
        <w:rPr>
          <w:rFonts w:hint="cs"/>
          <w:sz w:val="24"/>
          <w:szCs w:val="24"/>
          <w:rtl/>
        </w:rPr>
        <w:t>؟</w:t>
      </w:r>
      <w:r w:rsidR="00777DCB" w:rsidRPr="00A52585">
        <w:rPr>
          <w:rFonts w:hint="cs"/>
          <w:sz w:val="24"/>
          <w:szCs w:val="24"/>
          <w:rtl/>
        </w:rPr>
        <w:t xml:space="preserve">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هذه المسألة تجري مجرى الأولى، إن كانت هذه التوراة التي تسألني عنها هي التي تتضمن البشارة بنبيي عليه السلام، فتلك حق وإن لم تكن كذلك فليست بحق، ولا أقر بها. فبهت. وأفحم، ولم يدر ما يقول</w:t>
      </w:r>
      <w:r w:rsidR="00DB731D" w:rsidRPr="00A52585">
        <w:rPr>
          <w:rFonts w:hint="cs"/>
          <w:sz w:val="24"/>
          <w:szCs w:val="24"/>
          <w:rtl/>
        </w:rPr>
        <w:t>،</w:t>
      </w:r>
      <w:r w:rsidR="00777DCB" w:rsidRPr="00A52585">
        <w:rPr>
          <w:rFonts w:hint="cs"/>
          <w:sz w:val="24"/>
          <w:szCs w:val="24"/>
          <w:rtl/>
        </w:rPr>
        <w:t xml:space="preserve"> ثم قال لي</w:t>
      </w:r>
      <w:r w:rsidRPr="00A52585">
        <w:rPr>
          <w:rFonts w:hint="cs"/>
          <w:sz w:val="24"/>
          <w:szCs w:val="24"/>
          <w:rtl/>
        </w:rPr>
        <w:t>:</w:t>
      </w:r>
      <w:r w:rsidR="00777DCB" w:rsidRPr="00A52585">
        <w:rPr>
          <w:rFonts w:hint="cs"/>
          <w:sz w:val="24"/>
          <w:szCs w:val="24"/>
          <w:rtl/>
        </w:rPr>
        <w:t xml:space="preserve"> أحتاج أن أقول لك شيئا بيني وبينك، فظننت أنه يقول شيئًا من الخير، فتقدمت إليه فسارَّني، فقال لي</w:t>
      </w:r>
      <w:r w:rsidRPr="00A52585">
        <w:rPr>
          <w:rFonts w:hint="cs"/>
          <w:sz w:val="24"/>
          <w:szCs w:val="24"/>
          <w:rtl/>
        </w:rPr>
        <w:t>:</w:t>
      </w:r>
      <w:r w:rsidR="00777DCB" w:rsidRPr="00A52585">
        <w:rPr>
          <w:rFonts w:hint="cs"/>
          <w:sz w:val="24"/>
          <w:szCs w:val="24"/>
          <w:rtl/>
        </w:rPr>
        <w:t xml:space="preserve"> أمَّك كذا وكذا </w:t>
      </w:r>
      <w:r w:rsidR="00777DCB" w:rsidRPr="00A52585">
        <w:rPr>
          <w:sz w:val="24"/>
          <w:szCs w:val="24"/>
        </w:rPr>
        <w:t>–</w:t>
      </w:r>
      <w:r w:rsidR="00777DCB" w:rsidRPr="00A52585">
        <w:rPr>
          <w:rFonts w:hint="cs"/>
          <w:sz w:val="24"/>
          <w:szCs w:val="24"/>
          <w:rtl/>
        </w:rPr>
        <w:t>يعني زانية- وأمَّ من علَّمك لا يكني. وقدَّر أني أثب به، فيقول</w:t>
      </w:r>
      <w:r w:rsidRPr="00A52585">
        <w:rPr>
          <w:rFonts w:hint="cs"/>
          <w:sz w:val="24"/>
          <w:szCs w:val="24"/>
          <w:rtl/>
        </w:rPr>
        <w:t>:</w:t>
      </w:r>
      <w:r w:rsidR="00777DCB" w:rsidRPr="00A52585">
        <w:rPr>
          <w:rFonts w:hint="cs"/>
          <w:sz w:val="24"/>
          <w:szCs w:val="24"/>
          <w:rtl/>
        </w:rPr>
        <w:t xml:space="preserve"> وَثَبوا بي وشّغَبوا عليَّ، فأقبلت على من كان في المجلس،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أعزكم الله، ألستم قد وقفتم على مسألته إياي</w:t>
      </w:r>
      <w:r w:rsidR="00F95886" w:rsidRPr="00A52585">
        <w:rPr>
          <w:rFonts w:hint="cs"/>
          <w:sz w:val="24"/>
          <w:szCs w:val="24"/>
          <w:rtl/>
        </w:rPr>
        <w:t>؟</w:t>
      </w:r>
      <w:r w:rsidR="00777DCB" w:rsidRPr="00A52585">
        <w:rPr>
          <w:rFonts w:hint="cs"/>
          <w:sz w:val="24"/>
          <w:szCs w:val="24"/>
          <w:rtl/>
        </w:rPr>
        <w:t xml:space="preserve"> وعلى جوابي إياه</w:t>
      </w:r>
      <w:r w:rsidR="00F95886" w:rsidRPr="00A52585">
        <w:rPr>
          <w:rFonts w:hint="cs"/>
          <w:sz w:val="24"/>
          <w:szCs w:val="24"/>
          <w:rtl/>
        </w:rPr>
        <w:t>؟</w:t>
      </w:r>
      <w:r w:rsidR="00777DCB" w:rsidRPr="00A52585">
        <w:rPr>
          <w:rFonts w:hint="cs"/>
          <w:sz w:val="24"/>
          <w:szCs w:val="24"/>
          <w:rtl/>
        </w:rPr>
        <w:t xml:space="preserve"> قالوا</w:t>
      </w:r>
      <w:r w:rsidRPr="00A52585">
        <w:rPr>
          <w:rFonts w:hint="cs"/>
          <w:sz w:val="24"/>
          <w:szCs w:val="24"/>
          <w:rtl/>
        </w:rPr>
        <w:t>:</w:t>
      </w:r>
      <w:r w:rsidR="00777DCB" w:rsidRPr="00A52585">
        <w:rPr>
          <w:rFonts w:hint="cs"/>
          <w:sz w:val="24"/>
          <w:szCs w:val="24"/>
          <w:rtl/>
        </w:rPr>
        <w:t xml:space="preserve"> بلى.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أفليس</w:t>
      </w:r>
      <w:proofErr w:type="spellEnd"/>
      <w:r w:rsidR="00777DCB" w:rsidRPr="00A52585">
        <w:rPr>
          <w:rFonts w:hint="cs"/>
          <w:sz w:val="24"/>
          <w:szCs w:val="24"/>
          <w:rtl/>
        </w:rPr>
        <w:t xml:space="preserve"> عليه أن يرد جوابي أيضًا</w:t>
      </w:r>
      <w:r w:rsidR="00F95886" w:rsidRPr="00A52585">
        <w:rPr>
          <w:rFonts w:hint="cs"/>
          <w:sz w:val="24"/>
          <w:szCs w:val="24"/>
          <w:rtl/>
        </w:rPr>
        <w:t>؟</w:t>
      </w:r>
      <w:r w:rsidR="00777DCB" w:rsidRPr="00A52585">
        <w:rPr>
          <w:rFonts w:hint="cs"/>
          <w:sz w:val="24"/>
          <w:szCs w:val="24"/>
          <w:rtl/>
        </w:rPr>
        <w:t xml:space="preserve"> قالوا</w:t>
      </w:r>
      <w:r w:rsidRPr="00A52585">
        <w:rPr>
          <w:rFonts w:hint="cs"/>
          <w:sz w:val="24"/>
          <w:szCs w:val="24"/>
          <w:rtl/>
        </w:rPr>
        <w:t>:</w:t>
      </w:r>
      <w:r w:rsidR="00777DCB" w:rsidRPr="00A52585">
        <w:rPr>
          <w:rFonts w:hint="cs"/>
          <w:sz w:val="24"/>
          <w:szCs w:val="24"/>
          <w:rtl/>
        </w:rPr>
        <w:t xml:space="preserve"> بلى. قلت فإنه لما سارَّني شتمني بالشتم الذي يوجب الحد، وشتم من علمني، وإنا قدر أنني أثب عليه، فيدّعي أننا واثبناه وشغبنا عليه. وقد عرفتكم شأنه بعد الانقطاع فانصروني. فأخذته الأيدي من كل جهة، فخرج هاربا من البصرة. </w:t>
      </w:r>
      <w:proofErr w:type="spellStart"/>
      <w:r w:rsidR="00777DCB" w:rsidRPr="00A52585">
        <w:rPr>
          <w:rFonts w:hint="cs"/>
          <w:sz w:val="24"/>
          <w:szCs w:val="24"/>
          <w:rtl/>
        </w:rPr>
        <w:t>أ.ه</w:t>
      </w:r>
      <w:proofErr w:type="spellEnd"/>
      <w:r w:rsidR="00777DCB" w:rsidRPr="00A52585">
        <w:rPr>
          <w:rFonts w:hint="cs"/>
          <w:sz w:val="24"/>
          <w:szCs w:val="24"/>
          <w:rtl/>
        </w:rPr>
        <w:t xml:space="preserve">ـ. دلالة القرآن المبين للسيد </w:t>
      </w:r>
      <w:proofErr w:type="gramStart"/>
      <w:r w:rsidR="00777DCB" w:rsidRPr="00A52585">
        <w:rPr>
          <w:rFonts w:hint="cs"/>
          <w:sz w:val="24"/>
          <w:szCs w:val="24"/>
          <w:rtl/>
        </w:rPr>
        <w:t>عبدالله</w:t>
      </w:r>
      <w:proofErr w:type="gramEnd"/>
      <w:r w:rsidR="00777DCB" w:rsidRPr="00A52585">
        <w:rPr>
          <w:rFonts w:hint="cs"/>
          <w:sz w:val="24"/>
          <w:szCs w:val="24"/>
          <w:rtl/>
        </w:rPr>
        <w:t xml:space="preserve"> الغماري ط. المكتبة المكية</w:t>
      </w:r>
      <w:r w:rsidR="00897A24" w:rsidRPr="00A52585">
        <w:rPr>
          <w:rFonts w:hint="cs"/>
          <w:sz w:val="24"/>
          <w:szCs w:val="24"/>
          <w:rtl/>
        </w:rPr>
        <w:t>.</w:t>
      </w:r>
      <w:r w:rsidR="00777DCB" w:rsidRPr="00A52585">
        <w:rPr>
          <w:rFonts w:hint="cs"/>
          <w:sz w:val="24"/>
          <w:szCs w:val="24"/>
          <w:rtl/>
        </w:rPr>
        <w:t xml:space="preserve"> ط. الأولى ص 150-151]</w:t>
      </w:r>
      <w:r w:rsidR="00DB731D" w:rsidRPr="00A52585">
        <w:rPr>
          <w:rFonts w:hint="cs"/>
          <w:rtl/>
        </w:rPr>
        <w:t>،</w:t>
      </w:r>
      <w:r w:rsidR="00777DCB" w:rsidRPr="00A52585">
        <w:rPr>
          <w:rFonts w:hint="cs"/>
          <w:rtl/>
        </w:rPr>
        <w:t xml:space="preserve"> فكانوا مع قوله ذلك يسجنونه</w:t>
      </w:r>
      <w:r w:rsidR="00DB731D" w:rsidRPr="00A52585">
        <w:rPr>
          <w:rFonts w:hint="cs"/>
          <w:rtl/>
        </w:rPr>
        <w:t>،</w:t>
      </w:r>
      <w:r w:rsidR="00777DCB" w:rsidRPr="00A52585">
        <w:rPr>
          <w:rFonts w:hint="cs"/>
          <w:rtl/>
        </w:rPr>
        <w:t xml:space="preserve"> ولم يزل ينتقل من سجن إلى سجن حتى أهلكه الله عز وجل في سجن الزندقة والكفر</w:t>
      </w:r>
      <w:r w:rsidR="00DB731D" w:rsidRPr="00A52585">
        <w:rPr>
          <w:rFonts w:hint="cs"/>
          <w:rtl/>
        </w:rPr>
        <w:t>،</w:t>
      </w:r>
      <w:r w:rsidR="00777DCB" w:rsidRPr="00A52585">
        <w:rPr>
          <w:rFonts w:hint="cs"/>
          <w:rtl/>
        </w:rPr>
        <w:t xml:space="preserve"> </w:t>
      </w:r>
      <w:r w:rsidR="00777DCB" w:rsidRPr="00A52585">
        <w:rPr>
          <w:rFonts w:hint="cs"/>
          <w:bCs/>
          <w:rtl/>
        </w:rPr>
        <w:t xml:space="preserve">ومن قواعده المقررة عنده وجرى عليها أتباعه </w:t>
      </w:r>
      <w:proofErr w:type="spellStart"/>
      <w:r w:rsidR="00777DCB" w:rsidRPr="00A52585">
        <w:rPr>
          <w:rFonts w:hint="cs"/>
          <w:bCs/>
          <w:rtl/>
        </w:rPr>
        <w:t>التوقي</w:t>
      </w:r>
      <w:proofErr w:type="spellEnd"/>
      <w:r w:rsidR="00777DCB" w:rsidRPr="00A52585">
        <w:rPr>
          <w:rFonts w:hint="cs"/>
          <w:bCs/>
          <w:rtl/>
        </w:rPr>
        <w:t xml:space="preserve"> بكل ممكن</w:t>
      </w:r>
      <w:r w:rsidR="00DB731D" w:rsidRPr="00A52585">
        <w:rPr>
          <w:rFonts w:hint="cs"/>
          <w:bCs/>
          <w:rtl/>
        </w:rPr>
        <w:t>،</w:t>
      </w:r>
      <w:r w:rsidR="00777DCB" w:rsidRPr="00A52585">
        <w:rPr>
          <w:rFonts w:hint="cs"/>
          <w:bCs/>
          <w:rtl/>
        </w:rPr>
        <w:t xml:space="preserve"> حقاً كان أو باطلاً ولو بالأيمان الفاجرة</w:t>
      </w:r>
      <w:r w:rsidR="00DB731D" w:rsidRPr="00A52585">
        <w:rPr>
          <w:rFonts w:hint="cs"/>
          <w:rtl/>
        </w:rPr>
        <w:t>،</w:t>
      </w:r>
      <w:r w:rsidR="00777DCB" w:rsidRPr="00A52585">
        <w:rPr>
          <w:rFonts w:hint="cs"/>
          <w:rtl/>
        </w:rPr>
        <w:t xml:space="preserve"> سواءً كانت بالله عز وجل أو بغيره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وليت الأمر اقتصر على التقية لحماية نفسه فقط بل تعدى هو وأتباعه ذلك إلى استخدام </w:t>
      </w:r>
      <w:r w:rsidR="00777DCB" w:rsidRPr="00A52585">
        <w:rPr>
          <w:rFonts w:hint="cs"/>
          <w:spacing w:val="-6"/>
          <w:sz w:val="24"/>
          <w:szCs w:val="24"/>
          <w:rtl/>
        </w:rPr>
        <w:t>الأيمان الفاجرة وشهادة الزور للتخلص من خصومه وإزاحتهم من طريقه وهو متبع في ذلك لأبناء طائفته</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يقول الإمام تاج الدين السبكي</w:t>
      </w:r>
      <w:r w:rsidRPr="00A52585">
        <w:rPr>
          <w:rFonts w:hint="cs"/>
          <w:sz w:val="24"/>
          <w:szCs w:val="24"/>
          <w:rtl/>
        </w:rPr>
        <w:t xml:space="preserve">: </w:t>
      </w:r>
      <w:r w:rsidR="00777DCB" w:rsidRPr="00A52585">
        <w:rPr>
          <w:rFonts w:hint="cs"/>
          <w:sz w:val="24"/>
          <w:szCs w:val="24"/>
          <w:rtl/>
        </w:rPr>
        <w:t>" وقد تزايد الحالُ بالخطابية- وهم المجسِّمة- في زماننا هذا، فصاروا يَرون الكذب على مخالفيهم في العقيدة- لا سيما القائم عليهم- بكل ما يسوءُ ه في نفسه وماله وبلغني أن كبيرهم استُفتي في شافعي</w:t>
      </w:r>
      <w:r w:rsidRPr="00A52585">
        <w:rPr>
          <w:rFonts w:hint="cs"/>
          <w:sz w:val="24"/>
          <w:szCs w:val="24"/>
          <w:rtl/>
        </w:rPr>
        <w:t>:</w:t>
      </w:r>
      <w:r w:rsidR="00777DCB" w:rsidRPr="00A52585">
        <w:rPr>
          <w:rFonts w:hint="cs"/>
          <w:sz w:val="24"/>
          <w:szCs w:val="24"/>
          <w:rtl/>
        </w:rPr>
        <w:t xml:space="preserve"> أَيَشهد عليه بالكذب</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أَلستَ تعتقد أَن دمه </w:t>
      </w:r>
      <w:r w:rsidR="00777DCB" w:rsidRPr="00A52585">
        <w:rPr>
          <w:rFonts w:hint="cs"/>
          <w:spacing w:val="-4"/>
          <w:sz w:val="24"/>
          <w:szCs w:val="24"/>
          <w:rtl/>
        </w:rPr>
        <w:t>حلال</w:t>
      </w:r>
      <w:r w:rsidR="00F95886" w:rsidRPr="00A52585">
        <w:rPr>
          <w:rFonts w:hint="cs"/>
          <w:spacing w:val="-4"/>
          <w:sz w:val="24"/>
          <w:szCs w:val="24"/>
          <w:rtl/>
        </w:rPr>
        <w:t>؟</w:t>
      </w:r>
      <w:r w:rsidR="00777DCB" w:rsidRPr="00A52585">
        <w:rPr>
          <w:rFonts w:hint="cs"/>
          <w:spacing w:val="-4"/>
          <w:sz w:val="24"/>
          <w:szCs w:val="24"/>
          <w:rtl/>
        </w:rPr>
        <w:t xml:space="preserve"> قال</w:t>
      </w:r>
      <w:r w:rsidRPr="00A52585">
        <w:rPr>
          <w:rFonts w:hint="cs"/>
          <w:spacing w:val="-4"/>
          <w:sz w:val="24"/>
          <w:szCs w:val="24"/>
          <w:rtl/>
        </w:rPr>
        <w:t>:</w:t>
      </w:r>
      <w:r w:rsidR="00777DCB" w:rsidRPr="00A52585">
        <w:rPr>
          <w:rFonts w:hint="cs"/>
          <w:spacing w:val="-4"/>
          <w:sz w:val="24"/>
          <w:szCs w:val="24"/>
          <w:rtl/>
        </w:rPr>
        <w:t xml:space="preserve"> نعم، قال</w:t>
      </w:r>
      <w:r w:rsidRPr="00A52585">
        <w:rPr>
          <w:rFonts w:hint="cs"/>
          <w:spacing w:val="-4"/>
          <w:sz w:val="24"/>
          <w:szCs w:val="24"/>
          <w:rtl/>
        </w:rPr>
        <w:t>:</w:t>
      </w:r>
      <w:r w:rsidR="00777DCB" w:rsidRPr="00A52585">
        <w:rPr>
          <w:rFonts w:hint="cs"/>
          <w:spacing w:val="-4"/>
          <w:sz w:val="24"/>
          <w:szCs w:val="24"/>
          <w:rtl/>
        </w:rPr>
        <w:t xml:space="preserve"> فما دون ذلك دُون دمِه، فاشهَد وادفَع فسادَه عن المسلمين فهذه عقيدتهم</w:t>
      </w:r>
      <w:r w:rsidR="00DB731D"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sz w:val="24"/>
          <w:szCs w:val="24"/>
          <w:rtl/>
        </w:rPr>
        <w:t xml:space="preserve">ويَرون أَنهم المسلمون، وأنهم أهل السُّنَّة ولو عُدوا عَدَداً لما بَلغَ علماؤُهم- ولا عالمَ فيهم على الحقيقة </w:t>
      </w:r>
      <w:r w:rsidR="00777DCB" w:rsidRPr="00A52585">
        <w:rPr>
          <w:sz w:val="24"/>
          <w:szCs w:val="24"/>
        </w:rPr>
        <w:t>–</w:t>
      </w:r>
      <w:r w:rsidR="00777DCB" w:rsidRPr="00A52585">
        <w:rPr>
          <w:rFonts w:hint="cs"/>
          <w:sz w:val="24"/>
          <w:szCs w:val="24"/>
          <w:rtl/>
        </w:rPr>
        <w:t xml:space="preserve"> مَبلَغاً يُعتبَر ويكفِّرون غالبَ علماءِ الأُمة، ثم يَعتَزُون إلى الإمام أَحمد بن حنبل رضي الله عنه، وهو منهم برئ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من كتابه قاعدة في الجرج والتعديل وقاعدة في المؤرخين ص 49 بتحقيق الشيخ عبد الفتاح أبي غدة دار الوعي حلب- ط الثانية وقد حالوا استخدام هذه الطريقة للتخلص من الإمام التاج السبكي نفسه فيما بعد</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spacing w:val="-6"/>
          <w:rtl/>
        </w:rPr>
        <w:t xml:space="preserve">وأما الحلف بالطلاق فإنه لا يوقعه </w:t>
      </w:r>
      <w:proofErr w:type="spellStart"/>
      <w:r w:rsidR="00777DCB" w:rsidRPr="00A52585">
        <w:rPr>
          <w:rFonts w:hint="cs"/>
          <w:spacing w:val="-6"/>
          <w:rtl/>
        </w:rPr>
        <w:t>ألبتة</w:t>
      </w:r>
      <w:proofErr w:type="spellEnd"/>
      <w:r w:rsidR="00777DCB" w:rsidRPr="00A52585">
        <w:rPr>
          <w:rFonts w:hint="cs"/>
          <w:spacing w:val="-6"/>
          <w:rtl/>
        </w:rPr>
        <w:t xml:space="preserve"> ولا يعتبره سواء كان بالصريح أو بالكناية أو التعليق أو </w:t>
      </w:r>
      <w:proofErr w:type="spellStart"/>
      <w:r w:rsidR="00777DCB" w:rsidRPr="00A52585">
        <w:rPr>
          <w:rFonts w:hint="cs"/>
          <w:spacing w:val="-6"/>
          <w:rtl/>
        </w:rPr>
        <w:t>التنجيز</w:t>
      </w:r>
      <w:proofErr w:type="spellEnd"/>
      <w:r w:rsidR="00777DCB" w:rsidRPr="00A52585">
        <w:rPr>
          <w:rFonts w:hint="cs"/>
          <w:spacing w:val="-6"/>
          <w:rtl/>
        </w:rPr>
        <w:t xml:space="preserve"> </w:t>
      </w:r>
      <w:r w:rsidRPr="00A52585">
        <w:rPr>
          <w:rFonts w:hint="cs"/>
          <w:spacing w:val="-6"/>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وقد نقلنا من كلام الإمام تقي الدين السبكي في ختام (الفتاوي السهمية) الملحقة بالكتاب ما يوضح ذلك إنشاء الله</w:t>
      </w:r>
      <w:r w:rsidRPr="00A52585">
        <w:rPr>
          <w:rFonts w:hint="cs"/>
          <w:sz w:val="24"/>
          <w:szCs w:val="24"/>
          <w:rtl/>
        </w:rPr>
        <w:t>]</w:t>
      </w:r>
      <w:r w:rsidR="00DB731D" w:rsidRPr="00A52585">
        <w:rPr>
          <w:rFonts w:hint="cs"/>
          <w:spacing w:val="-6"/>
          <w:sz w:val="24"/>
          <w:szCs w:val="24"/>
          <w:rtl/>
        </w:rPr>
        <w:t>،</w:t>
      </w:r>
      <w:r w:rsidR="00777DCB" w:rsidRPr="00A52585">
        <w:rPr>
          <w:rFonts w:hint="cs"/>
          <w:spacing w:val="-6"/>
          <w:rtl/>
        </w:rPr>
        <w:t xml:space="preserve"> وهذا مذهب فرقة الشيعة</w:t>
      </w:r>
      <w:r w:rsidR="00DB731D" w:rsidRPr="00A52585">
        <w:rPr>
          <w:rFonts w:hint="cs"/>
          <w:spacing w:val="-6"/>
          <w:rtl/>
        </w:rPr>
        <w:t>،</w:t>
      </w:r>
      <w:r w:rsidR="00777DCB" w:rsidRPr="00A52585">
        <w:rPr>
          <w:rFonts w:hint="cs"/>
          <w:spacing w:val="-6"/>
          <w:rtl/>
        </w:rPr>
        <w:t xml:space="preserve"> فإنهم لا يرونه شيئاً</w:t>
      </w:r>
      <w:r w:rsidR="00DB731D" w:rsidRPr="00A52585">
        <w:rPr>
          <w:rFonts w:hint="cs"/>
          <w:spacing w:val="-6"/>
          <w:rtl/>
        </w:rPr>
        <w:t>،</w:t>
      </w:r>
      <w:r w:rsidR="00777DCB" w:rsidRPr="00A52585">
        <w:rPr>
          <w:rFonts w:hint="cs"/>
          <w:spacing w:val="-6"/>
          <w:rtl/>
        </w:rPr>
        <w:t xml:space="preserve"> </w:t>
      </w:r>
      <w:r w:rsidR="00777DCB" w:rsidRPr="00A52585">
        <w:rPr>
          <w:rFonts w:hint="cs"/>
          <w:rtl/>
        </w:rPr>
        <w:t>وإشاعته هو وأتباعه أن الطلاق الثلاث واحدة خزعبلة ومكر</w:t>
      </w:r>
      <w:r w:rsidR="00DB731D" w:rsidRPr="00A52585">
        <w:rPr>
          <w:rFonts w:hint="cs"/>
          <w:rtl/>
        </w:rPr>
        <w:t>،</w:t>
      </w:r>
      <w:r w:rsidR="00777DCB" w:rsidRPr="00A52585">
        <w:rPr>
          <w:rFonts w:hint="cs"/>
          <w:rtl/>
        </w:rPr>
        <w:t xml:space="preserve"> وإلاّ فهو لا يوقع طلاقاً على حالف به ولو أتى به في اليوم مائة مرة على أي وجه كان سواء كان حقاً أو منعاً أو تحقيق خبر</w:t>
      </w:r>
      <w:r w:rsidR="00DB731D" w:rsidRPr="00A52585">
        <w:rPr>
          <w:rFonts w:hint="cs"/>
          <w:rtl/>
        </w:rPr>
        <w:t>،</w:t>
      </w:r>
      <w:r w:rsidR="00777DCB" w:rsidRPr="00A52585">
        <w:rPr>
          <w:rFonts w:hint="cs"/>
          <w:rtl/>
        </w:rPr>
        <w:t xml:space="preserve"> فاعرف ذلك</w:t>
      </w:r>
      <w:r w:rsidR="00DB731D" w:rsidRPr="00A52585">
        <w:rPr>
          <w:rFonts w:hint="cs"/>
          <w:rtl/>
        </w:rPr>
        <w:t>،</w:t>
      </w:r>
      <w:r w:rsidR="00777DCB" w:rsidRPr="00A52585">
        <w:rPr>
          <w:rFonts w:hint="cs"/>
          <w:rtl/>
        </w:rPr>
        <w:t xml:space="preserve"> وأن مسألة الثلاث إنما يذكرونها تسترا وخديعة</w:t>
      </w:r>
      <w:r w:rsidR="00DB731D" w:rsidRPr="00A52585">
        <w:rPr>
          <w:rFonts w:hint="cs"/>
          <w:rtl/>
        </w:rPr>
        <w:t>،</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وقد رد عليه علماء الأمة خزعبلاته في أيامه وحتى وقتنا الحاضر فألف شيخ الإسلام تقي الدين السبكي ثلاث رسائل في الرد عليه في مسائل الطلاق طبع منها اثنان ورد عليه آخرون أيضاً منهم الإمام الفقيه كمال الدين بن </w:t>
      </w:r>
      <w:proofErr w:type="spellStart"/>
      <w:r w:rsidR="00777DCB" w:rsidRPr="00A52585">
        <w:rPr>
          <w:rFonts w:hint="cs"/>
          <w:sz w:val="24"/>
          <w:szCs w:val="24"/>
          <w:rtl/>
        </w:rPr>
        <w:t>الزملكاني</w:t>
      </w:r>
      <w:proofErr w:type="spellEnd"/>
      <w:r w:rsidR="00777DCB" w:rsidRPr="00A52585">
        <w:rPr>
          <w:rFonts w:hint="cs"/>
          <w:sz w:val="24"/>
          <w:szCs w:val="24"/>
          <w:rtl/>
        </w:rPr>
        <w:t xml:space="preserve"> وغيرهما قديما، أما حديثا فقد رد عليه الإمام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بكتاب (براهين الكتاب والسنة الناطقة على وقوع الطلقات المجموعة منجزة أو معلقة) </w:t>
      </w:r>
      <w:r w:rsidR="00777DCB" w:rsidRPr="00A52585">
        <w:rPr>
          <w:rFonts w:hint="cs"/>
          <w:sz w:val="24"/>
          <w:szCs w:val="24"/>
          <w:rtl/>
        </w:rPr>
        <w:lastRenderedPageBreak/>
        <w:t>مطبوع، وكذا الإمام زاهد الكوثري بكتاب (الإشفاق على أحكام الطلاق) مطبوع</w:t>
      </w:r>
      <w:r w:rsidR="00DB731D" w:rsidRPr="00A52585">
        <w:rPr>
          <w:rFonts w:hint="cs"/>
          <w:sz w:val="24"/>
          <w:szCs w:val="24"/>
          <w:rtl/>
        </w:rPr>
        <w:t>،</w:t>
      </w:r>
      <w:r w:rsidR="00777DCB" w:rsidRPr="00A52585">
        <w:rPr>
          <w:rFonts w:hint="cs"/>
          <w:sz w:val="24"/>
          <w:szCs w:val="24"/>
          <w:rtl/>
        </w:rPr>
        <w:t xml:space="preserve"> وقبلهما مفتي الديار المصرية ومفخرتها وإمام الحنفية بها الشيخ محمد بخيت </w:t>
      </w:r>
      <w:proofErr w:type="spellStart"/>
      <w:r w:rsidR="00777DCB" w:rsidRPr="00A52585">
        <w:rPr>
          <w:rFonts w:hint="cs"/>
          <w:sz w:val="24"/>
          <w:szCs w:val="24"/>
          <w:rtl/>
        </w:rPr>
        <w:t>المطيعي</w:t>
      </w:r>
      <w:proofErr w:type="spellEnd"/>
      <w:r w:rsidR="00777DCB" w:rsidRPr="00A52585">
        <w:rPr>
          <w:rFonts w:hint="cs"/>
          <w:sz w:val="24"/>
          <w:szCs w:val="24"/>
          <w:rtl/>
        </w:rPr>
        <w:t xml:space="preserve"> في كتاب</w:t>
      </w:r>
      <w:r w:rsidRPr="00A52585">
        <w:rPr>
          <w:rFonts w:hint="cs"/>
          <w:sz w:val="24"/>
          <w:szCs w:val="24"/>
          <w:rtl/>
        </w:rPr>
        <w:t xml:space="preserve"> </w:t>
      </w:r>
      <w:r w:rsidR="00777DCB" w:rsidRPr="00A52585">
        <w:rPr>
          <w:rFonts w:hint="cs"/>
          <w:sz w:val="24"/>
          <w:szCs w:val="24"/>
          <w:rtl/>
        </w:rPr>
        <w:t>"القول الجامع في الطلاق البدعي والمتتابع "</w:t>
      </w:r>
      <w:r w:rsidRPr="00A52585">
        <w:rPr>
          <w:rFonts w:hint="cs"/>
          <w:sz w:val="24"/>
          <w:szCs w:val="24"/>
          <w:rtl/>
        </w:rPr>
        <w:t xml:space="preserve"> </w:t>
      </w:r>
      <w:r w:rsidR="00777DCB" w:rsidRPr="00A52585">
        <w:rPr>
          <w:rFonts w:hint="cs"/>
          <w:sz w:val="24"/>
          <w:szCs w:val="24"/>
          <w:rtl/>
        </w:rPr>
        <w:t xml:space="preserve">طبع سنة 1320هـ وكذا فقيه الشافعية العلامة المحقق التقي الورع الشيخ أحمد بن حسن </w:t>
      </w:r>
      <w:proofErr w:type="spellStart"/>
      <w:r w:rsidR="00777DCB" w:rsidRPr="00A52585">
        <w:rPr>
          <w:rFonts w:hint="cs"/>
          <w:sz w:val="24"/>
          <w:szCs w:val="24"/>
          <w:rtl/>
        </w:rPr>
        <w:t>الطلاوي</w:t>
      </w:r>
      <w:proofErr w:type="spellEnd"/>
      <w:r w:rsidR="00777DCB" w:rsidRPr="00A52585">
        <w:rPr>
          <w:rFonts w:hint="cs"/>
          <w:sz w:val="24"/>
          <w:szCs w:val="24"/>
          <w:rtl/>
        </w:rPr>
        <w:t xml:space="preserve"> في كتابه</w:t>
      </w:r>
      <w:r w:rsidRPr="00A52585">
        <w:rPr>
          <w:rFonts w:hint="cs"/>
          <w:sz w:val="24"/>
          <w:szCs w:val="24"/>
          <w:rtl/>
        </w:rPr>
        <w:t xml:space="preserve"> </w:t>
      </w:r>
      <w:r w:rsidR="00777DCB" w:rsidRPr="00A52585">
        <w:rPr>
          <w:rFonts w:hint="cs"/>
          <w:sz w:val="24"/>
          <w:szCs w:val="24"/>
          <w:rtl/>
        </w:rPr>
        <w:t>"الإغاثة في حكم الطلاق بالثلاثة"</w:t>
      </w:r>
      <w:r w:rsidRPr="00A52585">
        <w:rPr>
          <w:rFonts w:hint="cs"/>
          <w:sz w:val="24"/>
          <w:szCs w:val="24"/>
          <w:rtl/>
        </w:rPr>
        <w:t xml:space="preserve"> </w:t>
      </w:r>
      <w:r w:rsidR="00777DCB" w:rsidRPr="00A52585">
        <w:rPr>
          <w:rFonts w:hint="cs"/>
          <w:sz w:val="24"/>
          <w:szCs w:val="24"/>
          <w:rtl/>
        </w:rPr>
        <w:t>وقد طبع سنة 1329هـ</w:t>
      </w:r>
      <w:r w:rsidR="00DB731D" w:rsidRPr="00A52585">
        <w:rPr>
          <w:rFonts w:hint="cs"/>
          <w:sz w:val="24"/>
          <w:szCs w:val="24"/>
          <w:rtl/>
        </w:rPr>
        <w:t>،</w:t>
      </w:r>
      <w:r w:rsidR="00777DCB" w:rsidRPr="00A52585">
        <w:rPr>
          <w:rFonts w:hint="cs"/>
          <w:sz w:val="24"/>
          <w:szCs w:val="24"/>
          <w:rtl/>
        </w:rPr>
        <w:t xml:space="preserve"> وإليك أدلة أهل الحق على وقوع الطلقات الثلاث من كلام الإمامين </w:t>
      </w:r>
      <w:proofErr w:type="spellStart"/>
      <w:r w:rsidR="00777DCB" w:rsidRPr="00A52585">
        <w:rPr>
          <w:rFonts w:hint="cs"/>
          <w:sz w:val="24"/>
          <w:szCs w:val="24"/>
          <w:rtl/>
        </w:rPr>
        <w:t>العزامي</w:t>
      </w:r>
      <w:proofErr w:type="spellEnd"/>
      <w:r w:rsidR="00777DCB" w:rsidRPr="00A52585">
        <w:rPr>
          <w:rFonts w:hint="cs"/>
          <w:sz w:val="24"/>
          <w:szCs w:val="24"/>
          <w:rtl/>
        </w:rPr>
        <w:t xml:space="preserve"> والكوثري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الأدلة من القرآن الكريم</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[1]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والمطلقات يتربصن بأنفسهن ثلاثة قروء</w:t>
      </w:r>
      <w:r w:rsidRPr="00A52585">
        <w:rPr>
          <w:rFonts w:hint="cs"/>
          <w:sz w:val="24"/>
          <w:szCs w:val="24"/>
          <w:rtl/>
        </w:rPr>
        <w:t>}</w:t>
      </w:r>
      <w:r w:rsidR="00777DCB" w:rsidRPr="00A52585">
        <w:rPr>
          <w:rFonts w:hint="cs"/>
          <w:sz w:val="24"/>
          <w:szCs w:val="24"/>
          <w:rtl/>
        </w:rPr>
        <w:t xml:space="preserve"> (البقرة</w:t>
      </w:r>
      <w:r w:rsidRPr="00A52585">
        <w:rPr>
          <w:rFonts w:hint="cs"/>
          <w:sz w:val="24"/>
          <w:szCs w:val="24"/>
          <w:rtl/>
        </w:rPr>
        <w:t>:</w:t>
      </w:r>
      <w:r w:rsidR="00777DCB" w:rsidRPr="00A52585">
        <w:rPr>
          <w:rFonts w:hint="cs"/>
          <w:sz w:val="24"/>
          <w:szCs w:val="24"/>
          <w:rtl/>
        </w:rPr>
        <w:t>228) ومعناه أن كل مطلقة من النساء المدخول بهن ذوات الأقراء غير الحوامل عليها أن تنتظر وتمتنع عن الزواج مدة ثلاثة قروء</w:t>
      </w:r>
      <w:r w:rsidR="00DB731D" w:rsidRPr="00A52585">
        <w:rPr>
          <w:rFonts w:hint="cs"/>
          <w:sz w:val="24"/>
          <w:szCs w:val="24"/>
          <w:rtl/>
        </w:rPr>
        <w:t>،</w:t>
      </w:r>
      <w:r w:rsidR="00777DCB" w:rsidRPr="00A52585">
        <w:rPr>
          <w:rFonts w:hint="cs"/>
          <w:sz w:val="24"/>
          <w:szCs w:val="24"/>
          <w:rtl/>
        </w:rPr>
        <w:t xml:space="preserve"> وجه الاستدلال من الآية</w:t>
      </w:r>
      <w:r w:rsidRPr="00A52585">
        <w:rPr>
          <w:rFonts w:hint="cs"/>
          <w:sz w:val="24"/>
          <w:szCs w:val="24"/>
          <w:rtl/>
        </w:rPr>
        <w:t>:</w:t>
      </w:r>
      <w:r w:rsidR="00777DCB" w:rsidRPr="00A52585">
        <w:rPr>
          <w:rFonts w:hint="cs"/>
          <w:sz w:val="24"/>
          <w:szCs w:val="24"/>
          <w:rtl/>
        </w:rPr>
        <w:t xml:space="preserve"> أن لفظ (المطلقات) في الآية الكريمة جمع محلى باللام، وهو من صيغ العموم، ولم تفرق الآية بين طلاق وطلاق فهو يشمل الطلقة الواحدة والاثنتين والثلاث مجموعة كانت أو مفرقة منجزا كان الطلاق أو معلقاً رجعياً كان أو بائنا وهذا في المدخول بهن من النساء</w:t>
      </w:r>
      <w:r w:rsidR="00DB731D" w:rsidRPr="00A52585">
        <w:rPr>
          <w:rFonts w:hint="cs"/>
          <w:sz w:val="24"/>
          <w:szCs w:val="24"/>
          <w:rtl/>
        </w:rPr>
        <w:t>،</w:t>
      </w:r>
      <w:r w:rsidR="00777DCB" w:rsidRPr="00A52585">
        <w:rPr>
          <w:rFonts w:hint="cs"/>
          <w:sz w:val="24"/>
          <w:szCs w:val="24"/>
          <w:rtl/>
        </w:rPr>
        <w:t xml:space="preserve"> [2] قوله تعالى</w:t>
      </w:r>
      <w:r w:rsidRPr="00A52585">
        <w:rPr>
          <w:rFonts w:hint="cs"/>
          <w:sz w:val="24"/>
          <w:szCs w:val="24"/>
          <w:rtl/>
        </w:rPr>
        <w:t>: {</w:t>
      </w:r>
      <w:r w:rsidR="00777DCB" w:rsidRPr="00A52585">
        <w:rPr>
          <w:rFonts w:hint="cs"/>
          <w:sz w:val="24"/>
          <w:szCs w:val="24"/>
          <w:rtl/>
        </w:rPr>
        <w:t>ولا جناح عليكم إن طلقتم النساء ما لم تمسوهن أو تفرضوا لهن فريضة} (البقرة</w:t>
      </w:r>
      <w:r w:rsidRPr="00A52585">
        <w:rPr>
          <w:rFonts w:hint="cs"/>
          <w:sz w:val="24"/>
          <w:szCs w:val="24"/>
          <w:rtl/>
        </w:rPr>
        <w:t>:</w:t>
      </w:r>
      <w:r w:rsidR="00777DCB" w:rsidRPr="00A52585">
        <w:rPr>
          <w:rFonts w:hint="cs"/>
          <w:sz w:val="24"/>
          <w:szCs w:val="24"/>
          <w:rtl/>
        </w:rPr>
        <w:t xml:space="preserve"> 236)</w:t>
      </w:r>
      <w:r w:rsidR="00DB731D" w:rsidRPr="00A52585">
        <w:rPr>
          <w:rFonts w:hint="cs"/>
          <w:sz w:val="24"/>
          <w:szCs w:val="24"/>
          <w:rtl/>
        </w:rPr>
        <w:t>،</w:t>
      </w:r>
      <w:r w:rsidR="00777DCB" w:rsidRPr="00A52585">
        <w:rPr>
          <w:rFonts w:hint="cs"/>
          <w:sz w:val="24"/>
          <w:szCs w:val="24"/>
          <w:rtl/>
        </w:rPr>
        <w:t xml:space="preserve"> [3] قوله تعالى</w:t>
      </w:r>
      <w:r w:rsidRPr="00A52585">
        <w:rPr>
          <w:rFonts w:hint="cs"/>
          <w:sz w:val="24"/>
          <w:szCs w:val="24"/>
          <w:rtl/>
        </w:rPr>
        <w:t>:</w:t>
      </w:r>
      <w:r w:rsidR="00777DCB" w:rsidRPr="00A52585">
        <w:rPr>
          <w:rFonts w:hint="cs"/>
          <w:sz w:val="24"/>
          <w:szCs w:val="24"/>
          <w:rtl/>
        </w:rPr>
        <w:t xml:space="preserve"> {وإن طلقتموهن </w:t>
      </w:r>
      <w:r w:rsidR="00777DCB" w:rsidRPr="00A52585">
        <w:rPr>
          <w:rFonts w:hint="cs"/>
          <w:spacing w:val="-8"/>
          <w:sz w:val="24"/>
          <w:szCs w:val="24"/>
          <w:rtl/>
        </w:rPr>
        <w:t>من قبل أن تمسوهن وقد فرضتم</w:t>
      </w:r>
      <w:r w:rsidR="00777DCB" w:rsidRPr="00A52585">
        <w:rPr>
          <w:rFonts w:hint="cs"/>
          <w:sz w:val="24"/>
          <w:szCs w:val="24"/>
          <w:rtl/>
        </w:rPr>
        <w:t xml:space="preserve"> لهن فريضة} (البقرة</w:t>
      </w:r>
      <w:r w:rsidRPr="00A52585">
        <w:rPr>
          <w:rFonts w:hint="cs"/>
          <w:sz w:val="24"/>
          <w:szCs w:val="24"/>
          <w:rtl/>
        </w:rPr>
        <w:t>:</w:t>
      </w:r>
      <w:r w:rsidR="00777DCB" w:rsidRPr="00A52585">
        <w:rPr>
          <w:rFonts w:hint="cs"/>
          <w:sz w:val="24"/>
          <w:szCs w:val="24"/>
          <w:rtl/>
        </w:rPr>
        <w:t xml:space="preserve"> 237)</w:t>
      </w:r>
      <w:r w:rsidR="00DB731D" w:rsidRPr="00A52585">
        <w:rPr>
          <w:rFonts w:hint="cs"/>
          <w:sz w:val="24"/>
          <w:szCs w:val="24"/>
          <w:rtl/>
        </w:rPr>
        <w:t>،</w:t>
      </w:r>
      <w:r w:rsidR="00777DCB" w:rsidRPr="00A52585">
        <w:rPr>
          <w:rFonts w:hint="cs"/>
          <w:sz w:val="24"/>
          <w:szCs w:val="24"/>
          <w:rtl/>
        </w:rPr>
        <w:t xml:space="preserve"> علق سبحانه وتعالى الحكم في الآيتين الكريمتين على الطلاق في حيز أداة الشرط وهي (إن) وفعل الشرط من صيغ العموم فإن الحدث الذي يدل عليه الفعل نكرة، والنكرة في سياق الشرط كالنكرة بعد النفي كلتاهما تفيد العموم</w:t>
      </w:r>
      <w:r w:rsidR="00DB731D" w:rsidRPr="00A52585">
        <w:rPr>
          <w:rFonts w:hint="cs"/>
          <w:sz w:val="24"/>
          <w:szCs w:val="24"/>
          <w:rtl/>
        </w:rPr>
        <w:t>،</w:t>
      </w:r>
      <w:r w:rsidR="00777DCB" w:rsidRPr="00A52585">
        <w:rPr>
          <w:rFonts w:hint="cs"/>
          <w:sz w:val="24"/>
          <w:szCs w:val="24"/>
          <w:rtl/>
        </w:rPr>
        <w:t xml:space="preserve"> [4] وكذلك قوله تعالى </w:t>
      </w:r>
      <w:r w:rsidRPr="00A52585">
        <w:rPr>
          <w:rFonts w:hint="cs"/>
          <w:sz w:val="24"/>
          <w:szCs w:val="24"/>
          <w:rtl/>
        </w:rPr>
        <w:t>{</w:t>
      </w:r>
      <w:r w:rsidR="00777DCB" w:rsidRPr="00A52585">
        <w:rPr>
          <w:rFonts w:hint="cs"/>
          <w:sz w:val="24"/>
          <w:szCs w:val="24"/>
          <w:rtl/>
        </w:rPr>
        <w:t xml:space="preserve">وللمطلقات متاع بالمعروف </w:t>
      </w:r>
      <w:r w:rsidR="00777DCB" w:rsidRPr="00A52585">
        <w:rPr>
          <w:sz w:val="24"/>
          <w:szCs w:val="24"/>
        </w:rPr>
        <w:t>…</w:t>
      </w:r>
      <w:r w:rsidRPr="00A52585">
        <w:rPr>
          <w:rFonts w:hint="cs"/>
          <w:sz w:val="24"/>
          <w:szCs w:val="24"/>
          <w:rtl/>
        </w:rPr>
        <w:t xml:space="preserve">} </w:t>
      </w:r>
      <w:r w:rsidR="00777DCB" w:rsidRPr="00A52585">
        <w:rPr>
          <w:rFonts w:hint="cs"/>
          <w:sz w:val="24"/>
          <w:szCs w:val="24"/>
          <w:rtl/>
        </w:rPr>
        <w:t>لم يفرق بين طلاق وطلاق</w:t>
      </w:r>
      <w:r w:rsidR="00DB731D" w:rsidRPr="00A52585">
        <w:rPr>
          <w:rFonts w:hint="cs"/>
          <w:sz w:val="24"/>
          <w:szCs w:val="24"/>
          <w:rtl/>
        </w:rPr>
        <w:t>،</w:t>
      </w:r>
      <w:r w:rsidR="00777DCB" w:rsidRPr="00A52585">
        <w:rPr>
          <w:rFonts w:hint="cs"/>
          <w:sz w:val="24"/>
          <w:szCs w:val="24"/>
          <w:rtl/>
        </w:rPr>
        <w:t xml:space="preserve"> [5] وقوله تعالى </w:t>
      </w:r>
      <w:r w:rsidRPr="00A52585">
        <w:rPr>
          <w:rFonts w:hint="cs"/>
          <w:sz w:val="24"/>
          <w:szCs w:val="24"/>
          <w:rtl/>
        </w:rPr>
        <w:t>{</w:t>
      </w:r>
      <w:r w:rsidR="00777DCB" w:rsidRPr="00A52585">
        <w:rPr>
          <w:rFonts w:hint="cs"/>
          <w:sz w:val="24"/>
          <w:szCs w:val="24"/>
          <w:rtl/>
        </w:rPr>
        <w:t>يا أيها النبي إذا طلقتم النساء فطلقوهن لعدتهن</w:t>
      </w:r>
      <w:r w:rsidRPr="00A52585">
        <w:rPr>
          <w:rFonts w:hint="cs"/>
          <w:sz w:val="24"/>
          <w:szCs w:val="24"/>
          <w:rtl/>
        </w:rPr>
        <w:t>}</w:t>
      </w:r>
      <w:r w:rsidR="00777DCB" w:rsidRPr="00A52585">
        <w:rPr>
          <w:rFonts w:hint="cs"/>
          <w:sz w:val="24"/>
          <w:szCs w:val="24"/>
          <w:rtl/>
        </w:rPr>
        <w:t xml:space="preserve"> (الطلاق</w:t>
      </w:r>
      <w:r w:rsidRPr="00A52585">
        <w:rPr>
          <w:rFonts w:hint="cs"/>
          <w:sz w:val="24"/>
          <w:szCs w:val="24"/>
          <w:rtl/>
        </w:rPr>
        <w:t>:</w:t>
      </w:r>
      <w:r w:rsidR="00777DCB" w:rsidRPr="00A52585">
        <w:rPr>
          <w:rFonts w:hint="cs"/>
          <w:sz w:val="24"/>
          <w:szCs w:val="24"/>
          <w:rtl/>
        </w:rPr>
        <w:t>1) أي وهن في الطهر الذي لم يجامعن فيه، والأمر هنا من قبيل المطلق وهو مقيد هنا بالعدة فقط ولا يلزم من كون الطلاق في الحيض معصية- باتفاق الأئمة- كما لا يلزم من كون الطلقات المجموعة معصية حتى في الطهر عند جمهور الأئمة- غير الشافعي- لا يلزم من ذلك عدم الوقوع في الحالتين، بل هو واقع وفاعله آثم بمعصيته لربه</w:t>
      </w:r>
      <w:r w:rsidR="00DB731D" w:rsidRPr="00A52585">
        <w:rPr>
          <w:rFonts w:hint="cs"/>
          <w:sz w:val="24"/>
          <w:szCs w:val="24"/>
          <w:rtl/>
        </w:rPr>
        <w:t>،</w:t>
      </w:r>
      <w:r w:rsidR="00777DCB" w:rsidRPr="00A52585">
        <w:rPr>
          <w:rFonts w:hint="cs"/>
          <w:sz w:val="24"/>
          <w:szCs w:val="24"/>
          <w:rtl/>
        </w:rPr>
        <w:t xml:space="preserve"> قال تعالى في نفس الآية </w:t>
      </w:r>
      <w:r w:rsidRPr="00A52585">
        <w:rPr>
          <w:rFonts w:hint="cs"/>
          <w:sz w:val="24"/>
          <w:szCs w:val="24"/>
          <w:rtl/>
        </w:rPr>
        <w:t>{</w:t>
      </w:r>
      <w:r w:rsidR="00777DCB" w:rsidRPr="00A52585">
        <w:rPr>
          <w:rFonts w:hint="cs"/>
          <w:sz w:val="24"/>
          <w:szCs w:val="24"/>
          <w:rtl/>
        </w:rPr>
        <w:t>ومن يتعد حدود الله فقد ظلم نفسه</w:t>
      </w:r>
      <w:r w:rsidRPr="00A52585">
        <w:rPr>
          <w:rFonts w:hint="cs"/>
          <w:sz w:val="24"/>
          <w:szCs w:val="24"/>
          <w:rtl/>
        </w:rPr>
        <w:t>}</w:t>
      </w:r>
      <w:r w:rsidR="00777DCB" w:rsidRPr="00A52585">
        <w:rPr>
          <w:rFonts w:hint="cs"/>
          <w:sz w:val="24"/>
          <w:szCs w:val="24"/>
          <w:rtl/>
        </w:rPr>
        <w:t xml:space="preserve"> فلو لم يكن طلاقه واقعاً ما كان ظالما لنفسه</w:t>
      </w:r>
      <w:r w:rsidR="00DB731D" w:rsidRPr="00A52585">
        <w:rPr>
          <w:rFonts w:hint="cs"/>
          <w:sz w:val="24"/>
          <w:szCs w:val="24"/>
          <w:rtl/>
        </w:rPr>
        <w:t>،</w:t>
      </w:r>
      <w:r w:rsidR="00777DCB" w:rsidRPr="00A52585">
        <w:rPr>
          <w:rFonts w:hint="cs"/>
          <w:sz w:val="24"/>
          <w:szCs w:val="24"/>
          <w:rtl/>
        </w:rPr>
        <w:t xml:space="preserve"> وقال سبحانه في الآية التالية لها </w:t>
      </w:r>
      <w:r w:rsidRPr="00A52585">
        <w:rPr>
          <w:rFonts w:hint="cs"/>
          <w:sz w:val="24"/>
          <w:szCs w:val="24"/>
          <w:rtl/>
        </w:rPr>
        <w:t>{</w:t>
      </w:r>
      <w:r w:rsidR="00777DCB" w:rsidRPr="00A52585">
        <w:rPr>
          <w:sz w:val="24"/>
          <w:szCs w:val="24"/>
        </w:rPr>
        <w:t>…</w:t>
      </w:r>
      <w:r w:rsidR="00777DCB" w:rsidRPr="00A52585">
        <w:rPr>
          <w:rFonts w:hint="cs"/>
          <w:sz w:val="24"/>
          <w:szCs w:val="24"/>
          <w:rtl/>
        </w:rPr>
        <w:t xml:space="preserve"> ومن يتق الله يجعل له مخرجا</w:t>
      </w:r>
      <w:r w:rsidRPr="00A52585">
        <w:rPr>
          <w:rFonts w:hint="cs"/>
          <w:sz w:val="24"/>
          <w:szCs w:val="24"/>
          <w:rtl/>
        </w:rPr>
        <w:t>}</w:t>
      </w:r>
      <w:r w:rsidR="00777DCB" w:rsidRPr="00A52585">
        <w:rPr>
          <w:rFonts w:hint="cs"/>
          <w:sz w:val="24"/>
          <w:szCs w:val="24"/>
          <w:rtl/>
        </w:rPr>
        <w:t xml:space="preserve"> (الطلاق</w:t>
      </w:r>
      <w:r w:rsidRPr="00A52585">
        <w:rPr>
          <w:rFonts w:hint="cs"/>
          <w:sz w:val="24"/>
          <w:szCs w:val="24"/>
          <w:rtl/>
        </w:rPr>
        <w:t>:</w:t>
      </w:r>
      <w:r w:rsidR="00777DCB" w:rsidRPr="00A52585">
        <w:rPr>
          <w:rFonts w:hint="cs"/>
          <w:sz w:val="24"/>
          <w:szCs w:val="24"/>
          <w:rtl/>
        </w:rPr>
        <w:t>2) ويدخل في ذلك دخولا أوليا عدم مخالفة أوامره تعالى في أمر الطلاق بأن يطلق للعدة ولا يجمع بين الطلقات، فإن جمعها حرام عند الجمهور ومكروه أو خلاف الأولى عند الشافعي من فعل تلك التقوى يجعل الله له مخرجا مما قد يحدث بين بعض الأزواج</w:t>
      </w:r>
      <w:r w:rsidR="00DB731D" w:rsidRPr="00A52585">
        <w:rPr>
          <w:rFonts w:hint="cs"/>
          <w:sz w:val="24"/>
          <w:szCs w:val="24"/>
          <w:rtl/>
        </w:rPr>
        <w:t>،</w:t>
      </w:r>
      <w:r w:rsidR="00777DCB" w:rsidRPr="00A52585">
        <w:rPr>
          <w:rFonts w:hint="cs"/>
          <w:sz w:val="24"/>
          <w:szCs w:val="24"/>
          <w:rtl/>
        </w:rPr>
        <w:t xml:space="preserve"> لذا قال الإمام على رضي الله عنه في تفسير هذه الآية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لو أن الناس أصابوا حد الطلاق ما ندم مطلق قط</w:t>
      </w:r>
      <w:r w:rsidRPr="00A52585">
        <w:rPr>
          <w:rFonts w:hint="cs"/>
          <w:sz w:val="24"/>
          <w:szCs w:val="24"/>
          <w:rtl/>
        </w:rPr>
        <w:t>}</w:t>
      </w:r>
      <w:r w:rsidR="00777DCB" w:rsidRPr="00A52585">
        <w:rPr>
          <w:rFonts w:hint="cs"/>
          <w:sz w:val="24"/>
          <w:szCs w:val="24"/>
          <w:rtl/>
        </w:rPr>
        <w:t xml:space="preserve"> وصح عن حبر الأمة ابن عباس رضي الله عنهما أن سائلا سأله عن قريب له طلق امرأته ثلاثا مجموعة فقال للسائل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إن صاحبك لم يتق الله تعالى فلم يجعل له مخرجا</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فأفادت هاتان الآيتان الكريمتان لزوم الطلاق لمن طلق مجموعا أو مفرقا مباحا كان أو معصية بالمنطوق وفحوى الخطاب في الأولى وبالمفهوم في الثانية</w:t>
      </w:r>
      <w:r w:rsidR="00DB731D" w:rsidRPr="00A52585">
        <w:rPr>
          <w:rFonts w:hint="cs"/>
          <w:sz w:val="24"/>
          <w:szCs w:val="24"/>
          <w:rtl/>
        </w:rPr>
        <w:t>،</w:t>
      </w:r>
      <w:r w:rsidR="00777DCB" w:rsidRPr="00A52585">
        <w:rPr>
          <w:rFonts w:hint="cs"/>
          <w:sz w:val="24"/>
          <w:szCs w:val="24"/>
          <w:rtl/>
        </w:rPr>
        <w:t xml:space="preserve"> [6]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الطلاق مرَّتان فإمساك بمعروف أو تسريح بإحسان</w:t>
      </w:r>
      <w:r w:rsidRPr="00A52585">
        <w:rPr>
          <w:rFonts w:hint="cs"/>
          <w:sz w:val="24"/>
          <w:szCs w:val="24"/>
          <w:rtl/>
        </w:rPr>
        <w:t>}</w:t>
      </w:r>
      <w:r w:rsidR="00777DCB" w:rsidRPr="00A52585">
        <w:rPr>
          <w:rFonts w:hint="cs"/>
          <w:sz w:val="24"/>
          <w:szCs w:val="24"/>
          <w:rtl/>
        </w:rPr>
        <w:t xml:space="preserve"> (البقرة</w:t>
      </w:r>
      <w:r w:rsidRPr="00A52585">
        <w:rPr>
          <w:rFonts w:hint="cs"/>
          <w:sz w:val="24"/>
          <w:szCs w:val="24"/>
          <w:rtl/>
        </w:rPr>
        <w:t>:</w:t>
      </w:r>
      <w:r w:rsidR="00777DCB" w:rsidRPr="00A52585">
        <w:rPr>
          <w:rFonts w:hint="cs"/>
          <w:sz w:val="24"/>
          <w:szCs w:val="24"/>
          <w:rtl/>
        </w:rPr>
        <w:t xml:space="preserve"> 229)</w:t>
      </w:r>
      <w:r w:rsidR="00DB731D" w:rsidRPr="00A52585">
        <w:rPr>
          <w:rFonts w:hint="cs"/>
          <w:sz w:val="24"/>
          <w:szCs w:val="24"/>
          <w:rtl/>
        </w:rPr>
        <w:t>،</w:t>
      </w:r>
      <w:r w:rsidR="00777DCB" w:rsidRPr="00A52585">
        <w:rPr>
          <w:rFonts w:hint="cs"/>
          <w:sz w:val="24"/>
          <w:szCs w:val="24"/>
          <w:rtl/>
        </w:rPr>
        <w:t xml:space="preserve"> فقوله تعالى (مرتان) تثنية (مرة) والمرَّة في الأصل الفعلة الواحدة من المر أو المرور، ثم استعملت في كل فعلة من أيّ حدث كان صلاة أو زكاة أو نكاحا أو طلاقاً</w:t>
      </w:r>
      <w:r w:rsidR="00DB731D" w:rsidRPr="00A52585">
        <w:rPr>
          <w:rFonts w:hint="cs"/>
          <w:sz w:val="24"/>
          <w:szCs w:val="24"/>
          <w:rtl/>
        </w:rPr>
        <w:t>،</w:t>
      </w:r>
      <w:r w:rsidR="00777DCB" w:rsidRPr="00A52585">
        <w:rPr>
          <w:rFonts w:hint="cs"/>
          <w:sz w:val="24"/>
          <w:szCs w:val="24"/>
          <w:rtl/>
        </w:rPr>
        <w:t xml:space="preserve"> والآحاد من المرات على قسمين</w:t>
      </w:r>
      <w:r w:rsidR="00DB731D" w:rsidRPr="00A52585">
        <w:rPr>
          <w:rFonts w:hint="cs"/>
          <w:sz w:val="24"/>
          <w:szCs w:val="24"/>
          <w:rtl/>
        </w:rPr>
        <w:t>،</w:t>
      </w:r>
      <w:r w:rsidR="00777DCB" w:rsidRPr="00A52585">
        <w:rPr>
          <w:rFonts w:hint="cs"/>
          <w:sz w:val="24"/>
          <w:szCs w:val="24"/>
          <w:rtl/>
        </w:rPr>
        <w:t xml:space="preserve"> أولهما</w:t>
      </w:r>
      <w:r w:rsidRPr="00A52585">
        <w:rPr>
          <w:rFonts w:hint="cs"/>
          <w:sz w:val="24"/>
          <w:szCs w:val="24"/>
          <w:rtl/>
        </w:rPr>
        <w:t>:</w:t>
      </w:r>
      <w:r w:rsidR="00777DCB" w:rsidRPr="00A52585">
        <w:rPr>
          <w:rFonts w:hint="cs"/>
          <w:sz w:val="24"/>
          <w:szCs w:val="24"/>
          <w:rtl/>
        </w:rPr>
        <w:t xml:space="preserve"> ما لا يكون في الوجود إلا مرتبا الواحد بعد الآخر كالأكلات </w:t>
      </w:r>
      <w:proofErr w:type="spellStart"/>
      <w:r w:rsidR="00777DCB" w:rsidRPr="00A52585">
        <w:rPr>
          <w:rFonts w:hint="cs"/>
          <w:sz w:val="24"/>
          <w:szCs w:val="24"/>
          <w:rtl/>
        </w:rPr>
        <w:t>والتلفظات</w:t>
      </w:r>
      <w:proofErr w:type="spellEnd"/>
      <w:r w:rsidR="00777DCB" w:rsidRPr="00A52585">
        <w:rPr>
          <w:rFonts w:hint="cs"/>
          <w:sz w:val="24"/>
          <w:szCs w:val="24"/>
          <w:rtl/>
        </w:rPr>
        <w:t xml:space="preserve"> وما شابه ذلك، وثانيهما</w:t>
      </w:r>
      <w:r w:rsidRPr="00A52585">
        <w:rPr>
          <w:rFonts w:hint="cs"/>
          <w:sz w:val="24"/>
          <w:szCs w:val="24"/>
          <w:rtl/>
        </w:rPr>
        <w:t>:</w:t>
      </w:r>
      <w:r w:rsidR="00777DCB" w:rsidRPr="00A52585">
        <w:rPr>
          <w:rFonts w:hint="cs"/>
          <w:sz w:val="24"/>
          <w:szCs w:val="24"/>
          <w:rtl/>
        </w:rPr>
        <w:t xml:space="preserve"> ما توجد آحاده دفعة واحدة حينا وعلى دفعات حينا آخر كالعقود </w:t>
      </w:r>
      <w:proofErr w:type="spellStart"/>
      <w:r w:rsidR="00777DCB" w:rsidRPr="00A52585">
        <w:rPr>
          <w:rFonts w:hint="cs"/>
          <w:sz w:val="24"/>
          <w:szCs w:val="24"/>
          <w:rtl/>
        </w:rPr>
        <w:t>والإعتاقات</w:t>
      </w:r>
      <w:proofErr w:type="spellEnd"/>
      <w:r w:rsidR="00777DCB" w:rsidRPr="00A52585">
        <w:rPr>
          <w:rFonts w:hint="cs"/>
          <w:sz w:val="24"/>
          <w:szCs w:val="24"/>
          <w:rtl/>
        </w:rPr>
        <w:t xml:space="preserve"> والطلقات من كل ما يكون وجوده متوقفاً على إنشاء صيغته فتقول</w:t>
      </w:r>
      <w:r w:rsidRPr="00A52585">
        <w:rPr>
          <w:rFonts w:hint="cs"/>
          <w:sz w:val="24"/>
          <w:szCs w:val="24"/>
          <w:rtl/>
        </w:rPr>
        <w:t>:</w:t>
      </w:r>
      <w:r w:rsidR="00777DCB" w:rsidRPr="00A52585">
        <w:rPr>
          <w:rFonts w:hint="cs"/>
          <w:sz w:val="24"/>
          <w:szCs w:val="24"/>
          <w:rtl/>
        </w:rPr>
        <w:t xml:space="preserve"> بعت هؤلاء العبيد الثلاثة </w:t>
      </w:r>
      <w:r w:rsidR="00777DCB" w:rsidRPr="00A52585">
        <w:rPr>
          <w:sz w:val="24"/>
          <w:szCs w:val="24"/>
        </w:rPr>
        <w:t>–</w:t>
      </w:r>
      <w:r w:rsidR="00777DCB" w:rsidRPr="00A52585">
        <w:rPr>
          <w:rFonts w:hint="cs"/>
          <w:sz w:val="24"/>
          <w:szCs w:val="24"/>
          <w:rtl/>
        </w:rPr>
        <w:t xml:space="preserve"> مثلاً- فتقع ثلاث بيعات لكل عبد بيعة بهذا التلفظ الواحد، كما لو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بعت هذا العبد وبعت ذاك وبعت الثالث</w:t>
      </w:r>
      <w:r w:rsidR="00DB731D" w:rsidRPr="00A52585">
        <w:rPr>
          <w:rFonts w:hint="cs"/>
          <w:sz w:val="24"/>
          <w:szCs w:val="24"/>
          <w:rtl/>
        </w:rPr>
        <w:t>،</w:t>
      </w:r>
      <w:r w:rsidR="00777DCB" w:rsidRPr="00A52585">
        <w:rPr>
          <w:rFonts w:hint="cs"/>
          <w:sz w:val="24"/>
          <w:szCs w:val="24"/>
          <w:rtl/>
        </w:rPr>
        <w:t xml:space="preserve"> وكذلك تطلق المرأة طلقتين أو ثلاثاً </w:t>
      </w:r>
      <w:r w:rsidR="00777DCB" w:rsidRPr="00A52585">
        <w:rPr>
          <w:rFonts w:hint="cs"/>
          <w:sz w:val="24"/>
          <w:szCs w:val="24"/>
          <w:rtl/>
        </w:rPr>
        <w:lastRenderedPageBreak/>
        <w:t>بصيغ متفرقة أو بصيغة واحدة فليس من خصوص المرتين التفريق بينهما</w:t>
      </w:r>
      <w:r w:rsidR="00DB731D" w:rsidRPr="00A52585">
        <w:rPr>
          <w:rFonts w:hint="cs"/>
          <w:sz w:val="24"/>
          <w:szCs w:val="24"/>
          <w:rtl/>
        </w:rPr>
        <w:t>،</w:t>
      </w:r>
      <w:r w:rsidR="00777DCB" w:rsidRPr="00A52585">
        <w:rPr>
          <w:rFonts w:hint="cs"/>
          <w:sz w:val="24"/>
          <w:szCs w:val="24"/>
          <w:rtl/>
        </w:rPr>
        <w:t xml:space="preserve"> ولذا استعملت كلمة (مرّتين) في اللغة وفي القرآن والسنة على الوجهين والمقام يعين أحدهما، فإذا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جئته مرّتين كان معناه مرة بعد أخرى لأن </w:t>
      </w:r>
      <w:proofErr w:type="spellStart"/>
      <w:r w:rsidR="00777DCB" w:rsidRPr="00A52585">
        <w:rPr>
          <w:rFonts w:hint="cs"/>
          <w:sz w:val="24"/>
          <w:szCs w:val="24"/>
          <w:rtl/>
        </w:rPr>
        <w:t>المجئ</w:t>
      </w:r>
      <w:proofErr w:type="spellEnd"/>
      <w:r w:rsidR="00777DCB" w:rsidRPr="00A52585">
        <w:rPr>
          <w:rFonts w:hint="cs"/>
          <w:sz w:val="24"/>
          <w:szCs w:val="24"/>
          <w:rtl/>
        </w:rPr>
        <w:t xml:space="preserve"> المتعدد لا يكون إلا كذلك وإذا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أعطيت فلانا أجره درهما والآخر قدره مرتين لم يلزم ذلك، بل المعنى مضاعفة الأجر ولو في مرة واحدة من الإعطاء ومن هذا الثاني قوله تعالى في مؤمني أهل الكتاب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proofErr w:type="spellStart"/>
      <w:r w:rsidR="00777DCB" w:rsidRPr="00A52585">
        <w:rPr>
          <w:rFonts w:hint="cs"/>
          <w:sz w:val="24"/>
          <w:szCs w:val="24"/>
          <w:rtl/>
        </w:rPr>
        <w:t>أولائك</w:t>
      </w:r>
      <w:proofErr w:type="spellEnd"/>
      <w:r w:rsidR="00777DCB" w:rsidRPr="00A52585">
        <w:rPr>
          <w:rFonts w:hint="cs"/>
          <w:sz w:val="24"/>
          <w:szCs w:val="24"/>
          <w:rtl/>
        </w:rPr>
        <w:t xml:space="preserve"> يؤتون أجرهم مرتين</w:t>
      </w:r>
      <w:r w:rsidRPr="00A52585">
        <w:rPr>
          <w:rFonts w:hint="cs"/>
          <w:sz w:val="24"/>
          <w:szCs w:val="24"/>
          <w:rtl/>
        </w:rPr>
        <w:t>}</w:t>
      </w:r>
      <w:r w:rsidR="00777DCB" w:rsidRPr="00A52585">
        <w:rPr>
          <w:rFonts w:hint="cs"/>
          <w:sz w:val="24"/>
          <w:szCs w:val="24"/>
          <w:rtl/>
        </w:rPr>
        <w:t xml:space="preserve"> (القصص</w:t>
      </w:r>
      <w:r w:rsidRPr="00A52585">
        <w:rPr>
          <w:rFonts w:hint="cs"/>
          <w:sz w:val="24"/>
          <w:szCs w:val="24"/>
          <w:rtl/>
        </w:rPr>
        <w:t>:</w:t>
      </w:r>
      <w:r w:rsidR="00777DCB" w:rsidRPr="00A52585">
        <w:rPr>
          <w:rFonts w:hint="cs"/>
          <w:sz w:val="24"/>
          <w:szCs w:val="24"/>
          <w:rtl/>
        </w:rPr>
        <w:t xml:space="preserve">54)، وقوله سبحانه في أزواج رسوله عليه وعليهن الصلاة والسلام </w:t>
      </w:r>
      <w:r w:rsidRPr="00A52585">
        <w:rPr>
          <w:rFonts w:hint="cs"/>
          <w:sz w:val="24"/>
          <w:szCs w:val="24"/>
          <w:rtl/>
        </w:rPr>
        <w:t>{</w:t>
      </w:r>
      <w:r w:rsidR="00777DCB" w:rsidRPr="00A52585">
        <w:rPr>
          <w:rFonts w:hint="cs"/>
          <w:sz w:val="24"/>
          <w:szCs w:val="24"/>
          <w:rtl/>
        </w:rPr>
        <w:t>ومن يقنت منكن لله ورسوله وتعمل صالحا نؤتها أجرها مرتين</w:t>
      </w:r>
      <w:r w:rsidRPr="00A52585">
        <w:rPr>
          <w:rFonts w:hint="cs"/>
          <w:sz w:val="24"/>
          <w:szCs w:val="24"/>
          <w:rtl/>
        </w:rPr>
        <w:t>}</w:t>
      </w:r>
      <w:r w:rsidR="00777DCB" w:rsidRPr="00A52585">
        <w:rPr>
          <w:rFonts w:hint="cs"/>
          <w:sz w:val="24"/>
          <w:szCs w:val="24"/>
          <w:rtl/>
        </w:rPr>
        <w:t xml:space="preserve"> (الأحزاب</w:t>
      </w:r>
      <w:r w:rsidRPr="00A52585">
        <w:rPr>
          <w:rFonts w:hint="cs"/>
          <w:sz w:val="24"/>
          <w:szCs w:val="24"/>
          <w:rtl/>
        </w:rPr>
        <w:t>:</w:t>
      </w:r>
      <w:r w:rsidR="00777DCB" w:rsidRPr="00A52585">
        <w:rPr>
          <w:rFonts w:hint="cs"/>
          <w:sz w:val="24"/>
          <w:szCs w:val="24"/>
          <w:rtl/>
        </w:rPr>
        <w:t xml:space="preserve"> 31)</w:t>
      </w:r>
      <w:r w:rsidR="00DB731D" w:rsidRPr="00A52585">
        <w:rPr>
          <w:rFonts w:hint="cs"/>
          <w:sz w:val="24"/>
          <w:szCs w:val="24"/>
          <w:rtl/>
        </w:rPr>
        <w:t>،</w:t>
      </w:r>
      <w:r w:rsidR="00777DCB" w:rsidRPr="00A52585">
        <w:rPr>
          <w:rFonts w:hint="cs"/>
          <w:sz w:val="24"/>
          <w:szCs w:val="24"/>
          <w:rtl/>
        </w:rPr>
        <w:t xml:space="preserve"> فالمرّتان واقعتان في الآيتين على الأجرين المعطيين دفعة واحدة وبنفس هذا الاستعمال جاءت السنة المطهرة</w:t>
      </w:r>
      <w:r w:rsidRPr="00A52585">
        <w:rPr>
          <w:rFonts w:hint="cs"/>
          <w:sz w:val="24"/>
          <w:szCs w:val="24"/>
          <w:rtl/>
        </w:rPr>
        <w:t>:</w:t>
      </w:r>
      <w:r w:rsidR="00777DCB" w:rsidRPr="00A52585">
        <w:rPr>
          <w:rFonts w:hint="cs"/>
          <w:sz w:val="24"/>
          <w:szCs w:val="24"/>
          <w:rtl/>
        </w:rPr>
        <w:t xml:space="preserve"> روى البخاري في صحيحه في كتاب (العتق) باب</w:t>
      </w:r>
      <w:r w:rsidRPr="00A52585">
        <w:rPr>
          <w:rFonts w:hint="cs"/>
          <w:sz w:val="24"/>
          <w:szCs w:val="24"/>
          <w:rtl/>
        </w:rPr>
        <w:t>:</w:t>
      </w:r>
      <w:r w:rsidR="00777DCB" w:rsidRPr="00A52585">
        <w:rPr>
          <w:rFonts w:hint="cs"/>
          <w:sz w:val="24"/>
          <w:szCs w:val="24"/>
          <w:rtl/>
        </w:rPr>
        <w:t xml:space="preserve"> (العبد إذا أحسن عبادة ربه ونصح سيده) عن ابن عمر عن النبي صلى الله عليه وسلم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العبد إذا نصح سيده وأحسن عبادة ربه كان له أجره مرتين</w:t>
      </w:r>
      <w:r w:rsidRPr="00A52585">
        <w:rPr>
          <w:rFonts w:hint="cs"/>
          <w:sz w:val="24"/>
          <w:szCs w:val="24"/>
          <w:rtl/>
        </w:rPr>
        <w:t xml:space="preserve"> </w:t>
      </w:r>
      <w:r w:rsidR="00777DCB" w:rsidRPr="00A52585">
        <w:rPr>
          <w:rFonts w:hint="cs"/>
          <w:sz w:val="24"/>
          <w:szCs w:val="24"/>
          <w:rtl/>
        </w:rPr>
        <w:t>" كما روى البخاري أيضاً في كتاب (الجهاد) في باب</w:t>
      </w:r>
      <w:r w:rsidRPr="00A52585">
        <w:rPr>
          <w:rFonts w:hint="cs"/>
          <w:sz w:val="24"/>
          <w:szCs w:val="24"/>
          <w:rtl/>
        </w:rPr>
        <w:t>:</w:t>
      </w:r>
      <w:r w:rsidR="00777DCB" w:rsidRPr="00A52585">
        <w:rPr>
          <w:rFonts w:hint="cs"/>
          <w:sz w:val="24"/>
          <w:szCs w:val="24"/>
          <w:rtl/>
        </w:rPr>
        <w:t xml:space="preserve"> (فضل من أسلم من أهل الكتابين) عن أبي موسى عن النبي صلى الله عليه وسلم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ثلاثة يؤتون أجرهم مرتين</w:t>
      </w:r>
      <w:r w:rsidRPr="00A52585">
        <w:rPr>
          <w:rFonts w:hint="cs"/>
          <w:sz w:val="24"/>
          <w:szCs w:val="24"/>
          <w:rtl/>
        </w:rPr>
        <w:t>:</w:t>
      </w:r>
      <w:r w:rsidR="00777DCB" w:rsidRPr="00A52585">
        <w:rPr>
          <w:rFonts w:hint="cs"/>
          <w:sz w:val="24"/>
          <w:szCs w:val="24"/>
          <w:rtl/>
        </w:rPr>
        <w:t xml:space="preserve"> الرجل تكون له الأمة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الحديث فالمرّتان في الحديثين على الجمع لا على التفريق أي أن التعدد هو للأجر المعطى وليس لفعل الإعطاء</w:t>
      </w:r>
      <w:r w:rsidR="00DB731D" w:rsidRPr="00A52585">
        <w:rPr>
          <w:rFonts w:hint="cs"/>
          <w:sz w:val="24"/>
          <w:szCs w:val="24"/>
          <w:rtl/>
        </w:rPr>
        <w:t>،</w:t>
      </w:r>
      <w:r w:rsidR="00777DCB" w:rsidRPr="00A52585">
        <w:rPr>
          <w:rFonts w:hint="cs"/>
          <w:sz w:val="24"/>
          <w:szCs w:val="24"/>
          <w:rtl/>
        </w:rPr>
        <w:t xml:space="preserve"> ومن هنا فقد رجّح فريق من أهل العلم كالشافعي ومن وافقه أن المراد بكلمة (مرتان) في الآية الكريمة هو</w:t>
      </w:r>
      <w:r w:rsidRPr="00A52585">
        <w:rPr>
          <w:rFonts w:hint="cs"/>
          <w:sz w:val="24"/>
          <w:szCs w:val="24"/>
          <w:rtl/>
        </w:rPr>
        <w:t>:</w:t>
      </w:r>
      <w:r w:rsidR="00777DCB" w:rsidRPr="00A52585">
        <w:rPr>
          <w:rFonts w:hint="cs"/>
          <w:sz w:val="24"/>
          <w:szCs w:val="24"/>
          <w:rtl/>
        </w:rPr>
        <w:t xml:space="preserve"> (طلقتان اثنتان مجتمعتين أو متفرقتين) فروى ابن جرير الطبري في تفسيره أن سبب نزول هذه الآية</w:t>
      </w:r>
      <w:r w:rsidRPr="00A52585">
        <w:rPr>
          <w:rFonts w:hint="cs"/>
          <w:sz w:val="24"/>
          <w:szCs w:val="24"/>
          <w:rtl/>
        </w:rPr>
        <w:t>:</w:t>
      </w:r>
      <w:r w:rsidR="00777DCB" w:rsidRPr="00A52585">
        <w:rPr>
          <w:rFonts w:hint="cs"/>
          <w:sz w:val="24"/>
          <w:szCs w:val="24"/>
          <w:rtl/>
        </w:rPr>
        <w:t xml:space="preserve"> أن الرجل كان يطلق ما شاء ثم إن راجع امرأته قبل أن تنقضي عدتها كانت امرأته فغضب رجل من الأنصار على امرأته فقال لها</w:t>
      </w:r>
      <w:r w:rsidRPr="00A52585">
        <w:rPr>
          <w:rFonts w:hint="cs"/>
          <w:sz w:val="24"/>
          <w:szCs w:val="24"/>
          <w:rtl/>
        </w:rPr>
        <w:t>:</w:t>
      </w:r>
      <w:r w:rsidR="00777DCB" w:rsidRPr="00A52585">
        <w:rPr>
          <w:rFonts w:hint="cs"/>
          <w:sz w:val="24"/>
          <w:szCs w:val="24"/>
          <w:rtl/>
        </w:rPr>
        <w:t xml:space="preserve"> لا أقربك ولا تحلين مني قالت له كيف</w:t>
      </w:r>
      <w:r w:rsidR="00F95886" w:rsidRPr="00A52585">
        <w:rPr>
          <w:rFonts w:hint="cs"/>
          <w:sz w:val="24"/>
          <w:szCs w:val="24"/>
          <w:rtl/>
        </w:rPr>
        <w:t>؟</w:t>
      </w:r>
      <w:r w:rsidR="00777DCB" w:rsidRPr="00A52585">
        <w:rPr>
          <w:rFonts w:hint="cs"/>
          <w:sz w:val="24"/>
          <w:szCs w:val="24"/>
          <w:rtl/>
        </w:rPr>
        <w:t xml:space="preserve"> قال أطلقك حتى إذا دنا أجلك راجعتك ثم أطلقك، فإذا دنا أجلك راجعتك، فمتى تحلين</w:t>
      </w:r>
      <w:r w:rsidR="00F95886" w:rsidRPr="00A52585">
        <w:rPr>
          <w:rFonts w:hint="cs"/>
          <w:sz w:val="24"/>
          <w:szCs w:val="24"/>
          <w:rtl/>
        </w:rPr>
        <w:t>؟</w:t>
      </w:r>
      <w:r w:rsidR="00777DCB" w:rsidRPr="00A52585">
        <w:rPr>
          <w:rFonts w:hint="cs"/>
          <w:sz w:val="24"/>
          <w:szCs w:val="24"/>
          <w:rtl/>
        </w:rPr>
        <w:t xml:space="preserve">! فشكت ذلك إلى النبي صلى الله عليه وسلم فأنزل الله تعالى </w:t>
      </w:r>
      <w:r w:rsidRPr="00A52585">
        <w:rPr>
          <w:rFonts w:hint="cs"/>
          <w:sz w:val="24"/>
          <w:szCs w:val="24"/>
          <w:rtl/>
        </w:rPr>
        <w:t>{</w:t>
      </w:r>
      <w:r w:rsidR="00777DCB" w:rsidRPr="00A52585">
        <w:rPr>
          <w:rFonts w:hint="cs"/>
          <w:sz w:val="24"/>
          <w:szCs w:val="24"/>
          <w:rtl/>
        </w:rPr>
        <w:t>الطلاق مرتان فإمساك بمعروف</w:t>
      </w:r>
      <w:r w:rsidRPr="00A52585">
        <w:rPr>
          <w:rFonts w:hint="cs"/>
          <w:sz w:val="24"/>
          <w:szCs w:val="24"/>
          <w:rtl/>
        </w:rPr>
        <w:t>}</w:t>
      </w:r>
      <w:r w:rsidR="00777DCB" w:rsidRPr="00A52585">
        <w:rPr>
          <w:rFonts w:hint="cs"/>
          <w:sz w:val="24"/>
          <w:szCs w:val="24"/>
          <w:rtl/>
        </w:rPr>
        <w:t xml:space="preserve"> الآية فاستقبل الناس الطلاق جديداً من كان طلق ومن لم يكن طلق روى ذلك ابن جرير الطبري من طرق عديدة ثم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فتأويل الآية على هذا الخبر الذي ذكرناه</w:t>
      </w:r>
      <w:r w:rsidRPr="00A52585">
        <w:rPr>
          <w:rFonts w:hint="cs"/>
          <w:sz w:val="24"/>
          <w:szCs w:val="24"/>
          <w:rtl/>
        </w:rPr>
        <w:t>:</w:t>
      </w:r>
      <w:r w:rsidR="00777DCB" w:rsidRPr="00A52585">
        <w:rPr>
          <w:rFonts w:hint="cs"/>
          <w:sz w:val="24"/>
          <w:szCs w:val="24"/>
          <w:rtl/>
        </w:rPr>
        <w:t xml:space="preserve"> عدد الطلاق الذي لكم أيها الناس فيه على أزواجكم الرجعة إذا كن مدخولات بهن تطليقتان ثم الواجب على من راجع منكم بعد التطليقتين إمساك بمعروف أو تسريح بإحسان، لأنه لا رجعة له بعد التطليقتين إن سرحها فطلقها الثالثة </w:t>
      </w:r>
      <w:r w:rsidR="00777DCB" w:rsidRPr="00A52585">
        <w:rPr>
          <w:sz w:val="24"/>
          <w:szCs w:val="24"/>
        </w:rPr>
        <w:t>…</w:t>
      </w:r>
      <w:r w:rsidRPr="00A52585">
        <w:rPr>
          <w:rFonts w:hint="cs"/>
          <w:sz w:val="24"/>
          <w:szCs w:val="24"/>
          <w:rtl/>
        </w:rPr>
        <w:t xml:space="preserve"> </w:t>
      </w:r>
      <w:r w:rsidR="00777DCB" w:rsidRPr="00A52585">
        <w:rPr>
          <w:rFonts w:hint="cs"/>
          <w:sz w:val="24"/>
          <w:szCs w:val="24"/>
          <w:rtl/>
        </w:rPr>
        <w:t>" إلى أن قال مرجحا لهذا التأويل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إنه أولى بظاهر التنزيل</w:t>
      </w:r>
      <w:r w:rsidRPr="00A52585">
        <w:rPr>
          <w:rFonts w:hint="cs"/>
          <w:sz w:val="24"/>
          <w:szCs w:val="24"/>
          <w:rtl/>
        </w:rPr>
        <w:t xml:space="preserve"> </w:t>
      </w:r>
      <w:r w:rsidR="00777DCB" w:rsidRPr="00A52585">
        <w:rPr>
          <w:rFonts w:hint="cs"/>
          <w:sz w:val="24"/>
          <w:szCs w:val="24"/>
          <w:rtl/>
        </w:rPr>
        <w:t xml:space="preserve">" لأن الآية إنما هي دليل على عدد الطلاق الذي تكون الرجعة معه والعدد الذي يكون به التحريم وبطلان الرجعة " يقول شيخ شيوخنا الإمام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(البراهين الساطعة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وما رواه الإمام الطبري في سبب نزول قوله تعالى </w:t>
      </w:r>
      <w:r w:rsidRPr="00A52585">
        <w:rPr>
          <w:rFonts w:hint="cs"/>
          <w:sz w:val="24"/>
          <w:szCs w:val="24"/>
          <w:rtl/>
        </w:rPr>
        <w:t>{</w:t>
      </w:r>
      <w:r w:rsidR="00777DCB" w:rsidRPr="00A52585">
        <w:rPr>
          <w:rFonts w:hint="cs"/>
          <w:sz w:val="24"/>
          <w:szCs w:val="24"/>
          <w:rtl/>
        </w:rPr>
        <w:t>الطلاق مرتان</w:t>
      </w:r>
      <w:r w:rsidRPr="00A52585">
        <w:rPr>
          <w:rFonts w:hint="cs"/>
          <w:sz w:val="24"/>
          <w:szCs w:val="24"/>
          <w:rtl/>
        </w:rPr>
        <w:t>}</w:t>
      </w:r>
      <w:r w:rsidR="00777DCB" w:rsidRPr="00A52585">
        <w:rPr>
          <w:rFonts w:hint="cs"/>
          <w:sz w:val="24"/>
          <w:szCs w:val="24"/>
          <w:rtl/>
        </w:rPr>
        <w:t xml:space="preserve"> عن عروة وقتادة وغيرهما هو ما رواه الإمامان مالك والشافعي رضي الله عنهما والترمذي وأبو داود والنسائي والحاكم وصححه وابن أبي حاتم فينبغي أن يكون هذا القول راجحا إن لم يكن متعينا وهو أوفق بالنظم وأكثر ملائمة لسابق الجملة الكريمة ولاحقها </w:t>
      </w:r>
      <w:r w:rsidR="00777DCB" w:rsidRPr="00A52585">
        <w:rPr>
          <w:sz w:val="24"/>
          <w:szCs w:val="24"/>
        </w:rPr>
        <w:t>…</w:t>
      </w:r>
      <w:r w:rsidRPr="00A52585">
        <w:rPr>
          <w:rFonts w:hint="cs"/>
          <w:sz w:val="24"/>
          <w:szCs w:val="24"/>
          <w:rtl/>
        </w:rPr>
        <w:t xml:space="preserve"> </w:t>
      </w:r>
      <w:r w:rsidR="00777DCB" w:rsidRPr="00A52585">
        <w:rPr>
          <w:rFonts w:hint="cs"/>
          <w:sz w:val="24"/>
          <w:szCs w:val="24"/>
          <w:rtl/>
        </w:rPr>
        <w:t>" أهـ ص 31</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ملحوظتان</w:t>
      </w:r>
      <w:r w:rsidRPr="00A52585">
        <w:rPr>
          <w:rFonts w:hint="cs"/>
          <w:bCs/>
          <w:sz w:val="24"/>
          <w:szCs w:val="24"/>
          <w:rtl/>
        </w:rPr>
        <w:t>]:</w:t>
      </w:r>
      <w:r w:rsidR="00777DCB" w:rsidRPr="00A52585">
        <w:rPr>
          <w:rFonts w:hint="cs"/>
          <w:bCs/>
          <w:sz w:val="24"/>
          <w:szCs w:val="24"/>
          <w:rtl/>
        </w:rPr>
        <w:t xml:space="preserve"> (الأولى)</w:t>
      </w:r>
      <w:r w:rsidRPr="00A52585">
        <w:rPr>
          <w:rFonts w:hint="cs"/>
          <w:bCs/>
          <w:sz w:val="24"/>
          <w:szCs w:val="24"/>
          <w:rtl/>
        </w:rPr>
        <w:t>:</w:t>
      </w:r>
      <w:r w:rsidR="00777DCB" w:rsidRPr="00A52585">
        <w:rPr>
          <w:rFonts w:hint="cs"/>
          <w:sz w:val="24"/>
          <w:szCs w:val="24"/>
          <w:rtl/>
        </w:rPr>
        <w:t xml:space="preserve"> يظن البعض أنه بمجرد نطق الزوج بلفظ الطلاق فقد انتهى عقد النكاح بينه وبين زوجته وعليه فالطلاق الثاني والثالث غير واقعين لأنها لم تعد زوجته يقول الإمام الكوثري عن ذلك</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وكذا القول بحل الطلاق الرجعي لعقد النكاح فإنه رأى باطل مخالف لكتاب الله وسنة رسوله وخارج عما يفقهه أئمة الدين فالله سبحانه وتعالى يقول في حق المطلقات رجعياً</w:t>
      </w:r>
      <w:r w:rsidRPr="00A52585">
        <w:rPr>
          <w:rFonts w:hint="cs"/>
          <w:sz w:val="24"/>
          <w:szCs w:val="24"/>
          <w:rtl/>
        </w:rPr>
        <w:t>:</w:t>
      </w:r>
      <w:r w:rsidR="00777DCB" w:rsidRPr="00A52585">
        <w:rPr>
          <w:rFonts w:hint="cs"/>
          <w:sz w:val="24"/>
          <w:szCs w:val="24"/>
          <w:rtl/>
        </w:rPr>
        <w:t xml:space="preserve"> (وبعولتهن أحق بردهن) فقد عد الله رجالهن أزواجاً لهن ما دامت العدة قائمة وجعل لهم حق إعادتهــن إلى الحالــة الأولى </w:t>
      </w:r>
      <w:r w:rsidR="00777DCB" w:rsidRPr="00A52585">
        <w:rPr>
          <w:sz w:val="24"/>
          <w:szCs w:val="24"/>
        </w:rPr>
        <w:t>…</w:t>
      </w:r>
      <w:r w:rsidRPr="00A52585">
        <w:rPr>
          <w:rFonts w:hint="cs"/>
          <w:sz w:val="24"/>
          <w:szCs w:val="24"/>
          <w:rtl/>
        </w:rPr>
        <w:t xml:space="preserve"> </w:t>
      </w:r>
      <w:r w:rsidR="00777DCB" w:rsidRPr="00A52585">
        <w:rPr>
          <w:rFonts w:hint="cs"/>
          <w:sz w:val="24"/>
          <w:szCs w:val="24"/>
          <w:rtl/>
        </w:rPr>
        <w:t>" إلى أن قال "</w:t>
      </w:r>
      <w:r w:rsidRPr="00A52585">
        <w:rPr>
          <w:rFonts w:hint="cs"/>
          <w:sz w:val="24"/>
          <w:szCs w:val="24"/>
          <w:rtl/>
        </w:rPr>
        <w:t xml:space="preserve"> </w:t>
      </w:r>
      <w:r w:rsidR="00777DCB" w:rsidRPr="00A52585">
        <w:rPr>
          <w:rFonts w:hint="cs"/>
          <w:sz w:val="24"/>
          <w:szCs w:val="24"/>
          <w:rtl/>
        </w:rPr>
        <w:t xml:space="preserve">وكـذلك يقول الله جــل شأنه </w:t>
      </w:r>
      <w:r w:rsidRPr="00A52585">
        <w:rPr>
          <w:rFonts w:hint="cs"/>
          <w:sz w:val="24"/>
          <w:szCs w:val="24"/>
          <w:rtl/>
        </w:rPr>
        <w:t>{</w:t>
      </w:r>
      <w:r w:rsidR="00777DCB" w:rsidRPr="00A52585">
        <w:rPr>
          <w:rFonts w:hint="cs"/>
          <w:sz w:val="24"/>
          <w:szCs w:val="24"/>
          <w:rtl/>
        </w:rPr>
        <w:t>الطلاق مرتان فإمساك بمعروف</w:t>
      </w:r>
      <w:r w:rsidRPr="00A52585">
        <w:rPr>
          <w:rFonts w:hint="cs"/>
          <w:sz w:val="24"/>
          <w:szCs w:val="24"/>
          <w:rtl/>
        </w:rPr>
        <w:t>}</w:t>
      </w:r>
      <w:r w:rsidR="00777DCB" w:rsidRPr="00A52585">
        <w:rPr>
          <w:rFonts w:hint="cs"/>
          <w:sz w:val="24"/>
          <w:szCs w:val="24"/>
          <w:rtl/>
        </w:rPr>
        <w:t xml:space="preserve"> فالإمساك هو استدامة القائم لا إعادة الزائل، فدلت الآيتان على أن النكاح باق بعد الطلاق الرجعي إلى أن تنقضي العدة وكذلك يدل على ما ذكرنا الأحاديث </w:t>
      </w:r>
      <w:r w:rsidR="00777DCB" w:rsidRPr="00A52585">
        <w:rPr>
          <w:rFonts w:hint="cs"/>
          <w:sz w:val="24"/>
          <w:szCs w:val="24"/>
          <w:rtl/>
        </w:rPr>
        <w:lastRenderedPageBreak/>
        <w:t xml:space="preserve">الواردة في طلاق ابن عمر </w:t>
      </w:r>
      <w:r w:rsidR="00777DCB" w:rsidRPr="00A52585">
        <w:rPr>
          <w:sz w:val="24"/>
          <w:szCs w:val="24"/>
        </w:rPr>
        <w:t>…</w:t>
      </w:r>
      <w:r w:rsidRPr="00A52585">
        <w:rPr>
          <w:rFonts w:hint="cs"/>
          <w:sz w:val="24"/>
          <w:szCs w:val="24"/>
          <w:rtl/>
        </w:rPr>
        <w:t xml:space="preserve"> </w:t>
      </w:r>
      <w:r w:rsidR="00777DCB" w:rsidRPr="00A52585">
        <w:rPr>
          <w:rFonts w:hint="cs"/>
          <w:sz w:val="24"/>
          <w:szCs w:val="24"/>
          <w:rtl/>
        </w:rPr>
        <w:t>" إلى أن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على أن العودة إلى معاشرتها- يقصد الزوجة بعد المراجعة- بدون عقد يؤدي إلى أن تكون المعاشرة بينهما غير شرعية لو لم يكن العقد قائما، ثم وجوب النفقة والسكنى وإحراز إرث الزوجية عند الوفاة قبل انقضاء العدة وانفراد الزوج بحق الرجعة، كل ذلك من الدليل على دوام الزوجية بينهما بعد الطلاق الرجعي</w:t>
      </w:r>
      <w:r w:rsidRPr="00A52585">
        <w:rPr>
          <w:rFonts w:hint="cs"/>
          <w:sz w:val="24"/>
          <w:szCs w:val="24"/>
          <w:rtl/>
        </w:rPr>
        <w:t xml:space="preserve"> </w:t>
      </w:r>
      <w:r w:rsidR="00777DCB" w:rsidRPr="00A52585">
        <w:rPr>
          <w:rFonts w:hint="cs"/>
          <w:sz w:val="24"/>
          <w:szCs w:val="24"/>
          <w:rtl/>
        </w:rPr>
        <w:t>" أهـ من (الإشفاق على أحكام الطلاق) ص9-10 ط الأزهرية للتراث</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الثانية</w:t>
      </w:r>
      <w:r w:rsidRPr="00A52585">
        <w:rPr>
          <w:rFonts w:hint="cs"/>
          <w:bCs/>
          <w:sz w:val="24"/>
          <w:szCs w:val="24"/>
          <w:rtl/>
        </w:rPr>
        <w:t>):</w:t>
      </w:r>
      <w:r w:rsidR="00777DCB" w:rsidRPr="00A52585">
        <w:rPr>
          <w:rFonts w:hint="cs"/>
          <w:sz w:val="24"/>
          <w:szCs w:val="24"/>
          <w:rtl/>
        </w:rPr>
        <w:t xml:space="preserve"> ذهب جمهور الفقهاء إلى تحريم جمع الطلقات ومع ذلك فهو واقع إذا نطق به الزوج يقول الإمام </w:t>
      </w:r>
      <w:proofErr w:type="spellStart"/>
      <w:r w:rsidR="00777DCB" w:rsidRPr="00A52585">
        <w:rPr>
          <w:rFonts w:hint="cs"/>
          <w:sz w:val="24"/>
          <w:szCs w:val="24"/>
          <w:rtl/>
        </w:rPr>
        <w:t>العزامي</w:t>
      </w:r>
      <w:proofErr w:type="spellEnd"/>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لأن المعصية ليست مانعة من وقوع الطلاق مجتمعا، ألا ترى الظهار جعله الله منكراً من القول وزوراً ومع هذا لزمه حكم</w:t>
      </w:r>
      <w:r w:rsidRPr="00A52585">
        <w:rPr>
          <w:rFonts w:hint="cs"/>
          <w:sz w:val="24"/>
          <w:szCs w:val="24"/>
          <w:rtl/>
        </w:rPr>
        <w:t xml:space="preserve"> </w:t>
      </w:r>
      <w:r w:rsidR="00777DCB" w:rsidRPr="00A52585">
        <w:rPr>
          <w:rFonts w:hint="cs"/>
          <w:sz w:val="24"/>
          <w:szCs w:val="24"/>
          <w:rtl/>
        </w:rPr>
        <w:t>" أهـ قلت وكتب السنة بها عشرات النصوص القاطعة في ذلك عن النبي صلى الله عليه وسلم وصحابته الكرام وتابعيهم وهي تشمل من طلق في الحيض أو في طهر جامعها فيه فضلا عمن علق طلاقه على شرط أو خرج طلاقه مخرج اليمين</w:t>
      </w:r>
      <w:r w:rsidR="00DB731D" w:rsidRPr="00A52585">
        <w:rPr>
          <w:rFonts w:hint="cs"/>
          <w:sz w:val="24"/>
          <w:szCs w:val="24"/>
          <w:rtl/>
        </w:rPr>
        <w:t>،</w:t>
      </w:r>
      <w:r w:rsidR="00777DCB" w:rsidRPr="00A52585">
        <w:rPr>
          <w:rFonts w:hint="cs"/>
          <w:sz w:val="24"/>
          <w:szCs w:val="24"/>
          <w:rtl/>
        </w:rPr>
        <w:t xml:space="preserve"> روى أبو هريرة رضي الله عنه عن النبي صلى الله عليه وسلم أنه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ثلاثة جدّهن جِدُّ وهزلهن جدُّ</w:t>
      </w:r>
      <w:r w:rsidRPr="00A52585">
        <w:rPr>
          <w:rFonts w:hint="cs"/>
          <w:sz w:val="24"/>
          <w:szCs w:val="24"/>
          <w:rtl/>
        </w:rPr>
        <w:t>:</w:t>
      </w:r>
      <w:r w:rsidR="00777DCB" w:rsidRPr="00A52585">
        <w:rPr>
          <w:rFonts w:hint="cs"/>
          <w:sz w:val="24"/>
          <w:szCs w:val="24"/>
          <w:rtl/>
        </w:rPr>
        <w:t xml:space="preserve"> النكاح والطلاق والرجعة</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أخرجه الترمذي وقال (حسن غريب) وأبو داود وأحمد في مسنده والحاكم وصححه والبيهقي في السنن وغيرهم يقول الإمام ابن حجر في (تلخيص الحبير) عن سنده أنه (حسن) وكذا قال الحافظ البوصيري في مختصر سنن أبي داود وغيرهم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وله طرق أخرى تقويه وكذا شواهد عديدة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الأدلة من السنة</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وهي منقولة من كلام إمامنا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رضي الله عنه وقد بدأها بحديثين رواهما الإمام البخاري رضي الله عنه في صحيحه باب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من أجاز الطلاق الثلاث لقوله تعالى </w:t>
      </w:r>
      <w:r w:rsidRPr="00A52585">
        <w:rPr>
          <w:rFonts w:hint="cs"/>
          <w:sz w:val="24"/>
          <w:szCs w:val="24"/>
          <w:rtl/>
        </w:rPr>
        <w:t>{</w:t>
      </w:r>
      <w:r w:rsidR="00777DCB" w:rsidRPr="00A52585">
        <w:rPr>
          <w:rFonts w:hint="cs"/>
          <w:sz w:val="24"/>
          <w:szCs w:val="24"/>
          <w:rtl/>
        </w:rPr>
        <w:t>الطلاق مرتان</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يقول الإمام سلامة </w:t>
      </w:r>
      <w:proofErr w:type="spellStart"/>
      <w:r w:rsidR="00777DCB" w:rsidRPr="00A52585">
        <w:rPr>
          <w:rFonts w:hint="cs"/>
          <w:sz w:val="24"/>
          <w:szCs w:val="24"/>
          <w:rtl/>
        </w:rPr>
        <w:t>العزامي</w:t>
      </w:r>
      <w:proofErr w:type="spellEnd"/>
      <w:r w:rsidRPr="00A52585">
        <w:rPr>
          <w:rFonts w:hint="cs"/>
          <w:sz w:val="24"/>
          <w:szCs w:val="24"/>
          <w:rtl/>
        </w:rPr>
        <w:t>:</w:t>
      </w:r>
      <w:r w:rsidR="00777DCB" w:rsidRPr="00A52585">
        <w:rPr>
          <w:rFonts w:hint="cs"/>
          <w:sz w:val="24"/>
          <w:szCs w:val="24"/>
          <w:rtl/>
        </w:rPr>
        <w:t xml:space="preserve"> " قال البخاري</w:t>
      </w:r>
      <w:r w:rsidRPr="00A52585">
        <w:rPr>
          <w:rFonts w:hint="cs"/>
          <w:sz w:val="24"/>
          <w:szCs w:val="24"/>
          <w:rtl/>
        </w:rPr>
        <w:t>:</w:t>
      </w:r>
      <w:r w:rsidR="00777DCB" w:rsidRPr="00A52585">
        <w:rPr>
          <w:rFonts w:hint="cs"/>
          <w:sz w:val="24"/>
          <w:szCs w:val="24"/>
          <w:rtl/>
        </w:rPr>
        <w:t xml:space="preserve"> [1] حدثنا عبد الله بن يوسف أخبرنا مالك عن ابن شهاب أن سهل ابن سعد الساعدي أخبره أن </w:t>
      </w:r>
      <w:proofErr w:type="spellStart"/>
      <w:r w:rsidR="00777DCB" w:rsidRPr="00A52585">
        <w:rPr>
          <w:rFonts w:hint="cs"/>
          <w:sz w:val="24"/>
          <w:szCs w:val="24"/>
          <w:rtl/>
        </w:rPr>
        <w:t>عويمرا</w:t>
      </w:r>
      <w:proofErr w:type="spellEnd"/>
      <w:r w:rsidR="00777DCB" w:rsidRPr="00A52585">
        <w:rPr>
          <w:rFonts w:hint="cs"/>
          <w:sz w:val="24"/>
          <w:szCs w:val="24"/>
          <w:rtl/>
        </w:rPr>
        <w:t xml:space="preserve"> </w:t>
      </w:r>
      <w:proofErr w:type="spellStart"/>
      <w:r w:rsidR="00777DCB" w:rsidRPr="00A52585">
        <w:rPr>
          <w:rFonts w:hint="cs"/>
          <w:sz w:val="24"/>
          <w:szCs w:val="24"/>
          <w:rtl/>
        </w:rPr>
        <w:t>العجلاني</w:t>
      </w:r>
      <w:proofErr w:type="spellEnd"/>
      <w:r w:rsidR="00777DCB" w:rsidRPr="00A52585">
        <w:rPr>
          <w:rFonts w:hint="cs"/>
          <w:sz w:val="24"/>
          <w:szCs w:val="24"/>
          <w:rtl/>
        </w:rPr>
        <w:t>، جاء إلى عاصم بن عدي الأنصاري ثم ساق الحديث في قصة عويمر مع امرأته وتلاعنهما، قال سهل فتلاعنا وأنا مع الناس عند رسول الله صلى الله عليه وسلم</w:t>
      </w:r>
      <w:r w:rsidR="00DB731D" w:rsidRPr="00A52585">
        <w:rPr>
          <w:rFonts w:hint="cs"/>
          <w:sz w:val="24"/>
          <w:szCs w:val="24"/>
          <w:rtl/>
        </w:rPr>
        <w:t>،</w:t>
      </w:r>
      <w:r w:rsidR="00777DCB" w:rsidRPr="00A52585">
        <w:rPr>
          <w:rFonts w:hint="cs"/>
          <w:sz w:val="24"/>
          <w:szCs w:val="24"/>
          <w:rtl/>
        </w:rPr>
        <w:t xml:space="preserve"> فلما فرغا قال عويمر</w:t>
      </w:r>
      <w:r w:rsidRPr="00A52585">
        <w:rPr>
          <w:rFonts w:hint="cs"/>
          <w:sz w:val="24"/>
          <w:szCs w:val="24"/>
          <w:rtl/>
        </w:rPr>
        <w:t>:</w:t>
      </w:r>
      <w:r w:rsidR="00777DCB" w:rsidRPr="00A52585">
        <w:rPr>
          <w:rFonts w:hint="cs"/>
          <w:sz w:val="24"/>
          <w:szCs w:val="24"/>
          <w:rtl/>
        </w:rPr>
        <w:t xml:space="preserve"> كذبت عليها يا رسول الله إن أمسكتها، فطلقها ثلاثا قبل أن يأمره رسول الله صلى الله عليه وسلم</w:t>
      </w:r>
      <w:r w:rsidR="00DB731D" w:rsidRPr="00A52585">
        <w:rPr>
          <w:rFonts w:hint="cs"/>
          <w:sz w:val="24"/>
          <w:szCs w:val="24"/>
          <w:rtl/>
        </w:rPr>
        <w:t>،</w:t>
      </w:r>
      <w:r w:rsidR="00777DCB" w:rsidRPr="00A52585">
        <w:rPr>
          <w:rFonts w:hint="cs"/>
          <w:sz w:val="24"/>
          <w:szCs w:val="24"/>
          <w:rtl/>
        </w:rPr>
        <w:t xml:space="preserve"> ففي هذا الحديث الشريف الدلالة الواضحة على أن لزوم الثلاث كان أمرا </w:t>
      </w:r>
      <w:proofErr w:type="spellStart"/>
      <w:r w:rsidR="00777DCB" w:rsidRPr="00A52585">
        <w:rPr>
          <w:rFonts w:hint="cs"/>
          <w:sz w:val="24"/>
          <w:szCs w:val="24"/>
          <w:rtl/>
        </w:rPr>
        <w:t>متقررا</w:t>
      </w:r>
      <w:proofErr w:type="spellEnd"/>
      <w:r w:rsidR="00777DCB" w:rsidRPr="00A52585">
        <w:rPr>
          <w:rFonts w:hint="cs"/>
          <w:sz w:val="24"/>
          <w:szCs w:val="24"/>
          <w:rtl/>
        </w:rPr>
        <w:t xml:space="preserve"> عندهم وأن هذه القصة من عويمر رضي الله عنه قد وقعت بعد تحديد الطلاق بالثلاث، ونزول قوله</w:t>
      </w:r>
      <w:r w:rsidRPr="00A52585">
        <w:rPr>
          <w:rFonts w:hint="cs"/>
          <w:sz w:val="24"/>
          <w:szCs w:val="24"/>
          <w:rtl/>
        </w:rPr>
        <w:t xml:space="preserve"> </w:t>
      </w:r>
      <w:r w:rsidR="00777DCB" w:rsidRPr="00A52585">
        <w:rPr>
          <w:rFonts w:hint="cs"/>
          <w:sz w:val="24"/>
          <w:szCs w:val="24"/>
          <w:rtl/>
        </w:rPr>
        <w:t xml:space="preserve">تعالى </w:t>
      </w:r>
      <w:r w:rsidRPr="00A52585">
        <w:rPr>
          <w:rFonts w:hint="cs"/>
          <w:sz w:val="24"/>
          <w:szCs w:val="24"/>
          <w:rtl/>
        </w:rPr>
        <w:t>{</w:t>
      </w:r>
      <w:r w:rsidR="00777DCB" w:rsidRPr="00A52585">
        <w:rPr>
          <w:rFonts w:hint="cs"/>
          <w:sz w:val="24"/>
          <w:szCs w:val="24"/>
          <w:rtl/>
        </w:rPr>
        <w:t>الطلاق مرتان</w:t>
      </w:r>
      <w:r w:rsidRPr="00A52585">
        <w:rPr>
          <w:rFonts w:hint="cs"/>
          <w:sz w:val="24"/>
          <w:szCs w:val="24"/>
          <w:rtl/>
        </w:rPr>
        <w:t>}</w:t>
      </w:r>
      <w:r w:rsidR="00777DCB" w:rsidRPr="00A52585">
        <w:rPr>
          <w:rFonts w:hint="cs"/>
          <w:sz w:val="24"/>
          <w:szCs w:val="24"/>
          <w:rtl/>
        </w:rPr>
        <w:t xml:space="preserve"> وأن </w:t>
      </w:r>
      <w:proofErr w:type="spellStart"/>
      <w:r w:rsidR="00777DCB" w:rsidRPr="00A52585">
        <w:rPr>
          <w:rFonts w:hint="cs"/>
          <w:sz w:val="24"/>
          <w:szCs w:val="24"/>
          <w:rtl/>
        </w:rPr>
        <w:t>عويمرا</w:t>
      </w:r>
      <w:proofErr w:type="spellEnd"/>
      <w:r w:rsidR="00777DCB" w:rsidRPr="00A52585">
        <w:rPr>
          <w:rFonts w:hint="cs"/>
          <w:sz w:val="24"/>
          <w:szCs w:val="24"/>
          <w:rtl/>
        </w:rPr>
        <w:t xml:space="preserve"> رضي الله عنه كان يعتقد أن اللعان لا يكفي في التفريق، وأنها بعده لا تزال امرأته، وأن الواحدة والاثنتين لا تكفي في إبانتها البينونة الكبرى التي يريدها، فطلقها الثلاث لتحصيل هذه البينونة، وكان ذلك مع الناس في المسجد بعد العصر، وكان الناس معه على هذا الاعتقاد والنبي صلى الله عليه وسلم شاهد، ولم يكن رسول الله صلى الله عليه وسلم ليترك </w:t>
      </w:r>
      <w:proofErr w:type="spellStart"/>
      <w:r w:rsidR="00777DCB" w:rsidRPr="00A52585">
        <w:rPr>
          <w:rFonts w:hint="cs"/>
          <w:sz w:val="24"/>
          <w:szCs w:val="24"/>
          <w:rtl/>
        </w:rPr>
        <w:t>عويمرا</w:t>
      </w:r>
      <w:proofErr w:type="spellEnd"/>
      <w:r w:rsidR="00777DCB" w:rsidRPr="00A52585">
        <w:rPr>
          <w:rFonts w:hint="cs"/>
          <w:sz w:val="24"/>
          <w:szCs w:val="24"/>
          <w:rtl/>
        </w:rPr>
        <w:t xml:space="preserve"> والحاضرين ليعتقدوا أن الطلاق الثالث المجموع يفيد البينونة الكبرى لو كان هذا الاعتقاد خطأ، بل جاء في هذه القصة في سنن أبي داود بسنده عن سهل بن سعد في هذا الخبر قال "</w:t>
      </w:r>
      <w:r w:rsidRPr="00A52585">
        <w:rPr>
          <w:rFonts w:hint="cs"/>
          <w:sz w:val="24"/>
          <w:szCs w:val="24"/>
          <w:rtl/>
        </w:rPr>
        <w:t xml:space="preserve"> </w:t>
      </w:r>
      <w:r w:rsidR="00777DCB" w:rsidRPr="00A52585">
        <w:rPr>
          <w:rFonts w:hint="cs"/>
          <w:sz w:val="24"/>
          <w:szCs w:val="24"/>
          <w:rtl/>
        </w:rPr>
        <w:t>فطلقها ثلاث تطليقات عند رسول الله صلى الله عليه وسلم</w:t>
      </w:r>
      <w:r w:rsidR="00DB731D" w:rsidRPr="00A52585">
        <w:rPr>
          <w:rFonts w:hint="cs"/>
          <w:sz w:val="24"/>
          <w:szCs w:val="24"/>
          <w:rtl/>
        </w:rPr>
        <w:t>،</w:t>
      </w:r>
      <w:r w:rsidR="00777DCB" w:rsidRPr="00A52585">
        <w:rPr>
          <w:rFonts w:hint="cs"/>
          <w:sz w:val="24"/>
          <w:szCs w:val="24"/>
          <w:rtl/>
        </w:rPr>
        <w:t xml:space="preserve"> فأنفذه رسول الله صلى الله عليه وسلم</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إلى أن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قال سهل</w:t>
      </w:r>
      <w:r w:rsidRPr="00A52585">
        <w:rPr>
          <w:rFonts w:hint="cs"/>
          <w:sz w:val="24"/>
          <w:szCs w:val="24"/>
          <w:rtl/>
        </w:rPr>
        <w:t>:</w:t>
      </w:r>
      <w:r w:rsidR="00777DCB" w:rsidRPr="00A52585">
        <w:rPr>
          <w:rFonts w:hint="cs"/>
          <w:sz w:val="24"/>
          <w:szCs w:val="24"/>
          <w:rtl/>
        </w:rPr>
        <w:t xml:space="preserve"> حضرت هذا عند رسول الله صلى الله عليه وسلم</w:t>
      </w:r>
      <w:r w:rsidR="00DB731D" w:rsidRPr="00A52585">
        <w:rPr>
          <w:rFonts w:hint="cs"/>
          <w:sz w:val="24"/>
          <w:szCs w:val="24"/>
          <w:rtl/>
        </w:rPr>
        <w:t>،</w:t>
      </w:r>
      <w:r w:rsidR="00777DCB" w:rsidRPr="00A52585">
        <w:rPr>
          <w:rFonts w:hint="cs"/>
          <w:sz w:val="24"/>
          <w:szCs w:val="24"/>
          <w:rtl/>
        </w:rPr>
        <w:t xml:space="preserve"> فمضت السنة بعد في المتلاعنين أن يفرق بينهما ثم لا يجتمعان أبدا</w:t>
      </w:r>
      <w:r w:rsidRPr="00A52585">
        <w:rPr>
          <w:rFonts w:hint="cs"/>
          <w:sz w:val="24"/>
          <w:szCs w:val="24"/>
          <w:rtl/>
        </w:rPr>
        <w:t xml:space="preserve"> </w:t>
      </w:r>
      <w:r w:rsidR="00777DCB" w:rsidRPr="00A52585">
        <w:rPr>
          <w:rFonts w:hint="cs"/>
          <w:sz w:val="24"/>
          <w:szCs w:val="24"/>
          <w:rtl/>
        </w:rPr>
        <w:t xml:space="preserve">" فانظر إلى هذه الزيادة الصريحة الصحيحة عند أبي </w:t>
      </w:r>
      <w:proofErr w:type="spellStart"/>
      <w:r w:rsidR="00777DCB" w:rsidRPr="00A52585">
        <w:rPr>
          <w:rFonts w:hint="cs"/>
          <w:sz w:val="24"/>
          <w:szCs w:val="24"/>
          <w:rtl/>
        </w:rPr>
        <w:t>داود،وهي</w:t>
      </w:r>
      <w:proofErr w:type="spellEnd"/>
      <w:r w:rsidR="00777DCB" w:rsidRPr="00A52585">
        <w:rPr>
          <w:rFonts w:hint="cs"/>
          <w:sz w:val="24"/>
          <w:szCs w:val="24"/>
          <w:rtl/>
        </w:rPr>
        <w:t xml:space="preserve"> قوله "</w:t>
      </w:r>
      <w:r w:rsidRPr="00A52585">
        <w:rPr>
          <w:rFonts w:hint="cs"/>
          <w:sz w:val="24"/>
          <w:szCs w:val="24"/>
          <w:rtl/>
        </w:rPr>
        <w:t xml:space="preserve"> </w:t>
      </w:r>
      <w:r w:rsidR="00777DCB" w:rsidRPr="00A52585">
        <w:rPr>
          <w:rFonts w:hint="cs"/>
          <w:sz w:val="24"/>
          <w:szCs w:val="24"/>
          <w:rtl/>
        </w:rPr>
        <w:t>فأنفذه رسول الله صلى الله عليه وسلم</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[2] وقال البخاري أيضاً في هذا الباب "</w:t>
      </w:r>
      <w:r w:rsidRPr="00A52585">
        <w:rPr>
          <w:rFonts w:hint="cs"/>
          <w:sz w:val="24"/>
          <w:szCs w:val="24"/>
          <w:rtl/>
        </w:rPr>
        <w:t xml:space="preserve"> </w:t>
      </w:r>
      <w:r w:rsidR="00777DCB" w:rsidRPr="00A52585">
        <w:rPr>
          <w:rFonts w:hint="cs"/>
          <w:sz w:val="24"/>
          <w:szCs w:val="24"/>
          <w:rtl/>
        </w:rPr>
        <w:t>حدثني محمد بن بشار حدثنا يحيى عن عبيد الله قال</w:t>
      </w:r>
      <w:r w:rsidRPr="00A52585">
        <w:rPr>
          <w:rFonts w:hint="cs"/>
          <w:sz w:val="24"/>
          <w:szCs w:val="24"/>
          <w:rtl/>
        </w:rPr>
        <w:t>:</w:t>
      </w:r>
      <w:r w:rsidR="00777DCB" w:rsidRPr="00A52585">
        <w:rPr>
          <w:rFonts w:hint="cs"/>
          <w:sz w:val="24"/>
          <w:szCs w:val="24"/>
          <w:rtl/>
        </w:rPr>
        <w:t xml:space="preserve"> حدثني القاسم بن محمد عن عائشة أن رجلا طلق امرأة ثلاثا فتزوجت فطلق، فسئل النبي صلى الله عليه وسلم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أتحل للأول</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لا، حتى يذوق عسيلتها كما ذاقت الأول "</w:t>
      </w:r>
      <w:r w:rsidRPr="00A52585">
        <w:rPr>
          <w:rFonts w:hint="cs"/>
          <w:sz w:val="24"/>
          <w:szCs w:val="24"/>
          <w:rtl/>
        </w:rPr>
        <w:t xml:space="preserve"> </w:t>
      </w:r>
      <w:r w:rsidR="00777DCB" w:rsidRPr="00A52585">
        <w:rPr>
          <w:rFonts w:hint="cs"/>
          <w:sz w:val="24"/>
          <w:szCs w:val="24"/>
          <w:rtl/>
        </w:rPr>
        <w:t xml:space="preserve">فلم يسأل رسول الله صلى الله عليه وسلم - فداه أرواحنا- عن الطلاق الثلاث أكان مفرقا أو مجموعا، بل أفتى كما ترى بأنها لا </w:t>
      </w:r>
      <w:r w:rsidR="00777DCB" w:rsidRPr="00A52585">
        <w:rPr>
          <w:rFonts w:hint="cs"/>
          <w:sz w:val="24"/>
          <w:szCs w:val="24"/>
          <w:rtl/>
        </w:rPr>
        <w:lastRenderedPageBreak/>
        <w:t>تحل للأول الذي طلق ثلاثا إلا بعد ذوق العسيلة من الثاني ولو كان المجموع لا يلزم به إلا طلقة واحدة رجعية كما يقول أولئك الجاهلون، لما ترك رسول الله صلى الله عليه وسلم الاستفسار عن كيفية طلاق هذا المطلق الأول، فلما لم يستفسر- صلى الله عليه وسلم- السائل علم قطعا أنه لا فرق في لزوم الثلاث بين مجموعة ومفرقة، وقد ذكر البخاري رضي الله عنه في هذا الباب بين هذين الحديثين حديث قصة امرأة رفاعة القرظي- بضم القاف وفتح الراء- وأنها قالت لرسول الله صلى الله عليه وسلم</w:t>
      </w:r>
      <w:r w:rsidRPr="00A52585">
        <w:rPr>
          <w:rFonts w:hint="cs"/>
          <w:sz w:val="24"/>
          <w:szCs w:val="24"/>
          <w:rtl/>
        </w:rPr>
        <w:t>:</w:t>
      </w:r>
      <w:r w:rsidR="00777DCB" w:rsidRPr="00A52585">
        <w:rPr>
          <w:rFonts w:hint="cs"/>
          <w:sz w:val="24"/>
          <w:szCs w:val="24"/>
          <w:rtl/>
        </w:rPr>
        <w:t xml:space="preserve"> إن زوجها طلقها فبت طلاقها وكان هذا الطلاق من رفاعة آخر ثلاث تطليقات كما رواه البخاري نفسه بهذا اللفظ، في كتاب الأدب من صحيحه، ليشير إلى هذا المعنى الذي قلناه، وهو أنه لا فرق في لزوم الثلاث بين المجموع والمفرق منه، وهو اتفاق بين علماء الأمة من محققي أهل السنة وليشير به إلى شيء آخر، وهو أنه لا معصية في إيقاع الطلاق مجموعا من حيث الجمع، كما لا معصية في إيقاعه مفرقا، وهو </w:t>
      </w:r>
      <w:proofErr w:type="spellStart"/>
      <w:r w:rsidR="00777DCB" w:rsidRPr="00A52585">
        <w:rPr>
          <w:rFonts w:hint="cs"/>
          <w:sz w:val="24"/>
          <w:szCs w:val="24"/>
          <w:rtl/>
        </w:rPr>
        <w:t>الرأى</w:t>
      </w:r>
      <w:proofErr w:type="spellEnd"/>
      <w:r w:rsidR="00777DCB" w:rsidRPr="00A52585">
        <w:rPr>
          <w:rFonts w:hint="cs"/>
          <w:sz w:val="24"/>
          <w:szCs w:val="24"/>
          <w:rtl/>
        </w:rPr>
        <w:t xml:space="preserve"> الذي ترجم له، وعليه الإمام الشافعي ومن وافقه</w:t>
      </w:r>
      <w:r w:rsidR="00DB731D" w:rsidRPr="00A52585">
        <w:rPr>
          <w:rFonts w:hint="cs"/>
          <w:sz w:val="24"/>
          <w:szCs w:val="24"/>
          <w:rtl/>
        </w:rPr>
        <w:t>،</w:t>
      </w:r>
      <w:r w:rsidR="00777DCB" w:rsidRPr="00A52585">
        <w:rPr>
          <w:rFonts w:hint="cs"/>
          <w:sz w:val="24"/>
          <w:szCs w:val="24"/>
          <w:rtl/>
        </w:rPr>
        <w:t xml:space="preserve"> [3] وقال الإمام مسلم بن الحجاج النيسابوري في صحيحه قبل كتاب الرضاع بأبواب</w:t>
      </w:r>
      <w:r w:rsidRPr="00A52585">
        <w:rPr>
          <w:rFonts w:hint="cs"/>
          <w:sz w:val="24"/>
          <w:szCs w:val="24"/>
          <w:rtl/>
        </w:rPr>
        <w:t>:</w:t>
      </w:r>
      <w:r w:rsidR="00777DCB" w:rsidRPr="00A52585">
        <w:rPr>
          <w:rFonts w:hint="cs"/>
          <w:sz w:val="24"/>
          <w:szCs w:val="24"/>
          <w:rtl/>
        </w:rPr>
        <w:t xml:space="preserve"> حدثنا محمد بن العلاء الهمداني حدثنا أبو أسامة عن هشام عن أبيه عن عائشة، "</w:t>
      </w:r>
      <w:r w:rsidRPr="00A52585">
        <w:rPr>
          <w:rFonts w:hint="cs"/>
          <w:sz w:val="24"/>
          <w:szCs w:val="24"/>
          <w:rtl/>
        </w:rPr>
        <w:t xml:space="preserve"> </w:t>
      </w:r>
      <w:r w:rsidR="00777DCB" w:rsidRPr="00A52585">
        <w:rPr>
          <w:rFonts w:hint="cs"/>
          <w:sz w:val="24"/>
          <w:szCs w:val="24"/>
          <w:rtl/>
        </w:rPr>
        <w:t>أن رسول الله صلى الله عليه وسلم سئل عن المرأة يتزوجها الرجل فيطلقها فتزوج رجلا فيطلقها قبل أن يدخل بها، أتجل لزوجها الأول</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لا، حتى يذوق عسيلتها</w:t>
      </w:r>
      <w:r w:rsidRPr="00A52585">
        <w:rPr>
          <w:rFonts w:hint="cs"/>
          <w:sz w:val="24"/>
          <w:szCs w:val="24"/>
          <w:rtl/>
        </w:rPr>
        <w:t xml:space="preserve"> </w:t>
      </w:r>
      <w:r w:rsidR="00777DCB" w:rsidRPr="00A52585">
        <w:rPr>
          <w:rFonts w:hint="cs"/>
          <w:sz w:val="24"/>
          <w:szCs w:val="24"/>
          <w:rtl/>
        </w:rPr>
        <w:t>" ثم ذكره من طريقين إلى هشام بن عروة ثم قال</w:t>
      </w:r>
      <w:r w:rsidRPr="00A52585">
        <w:rPr>
          <w:rFonts w:hint="cs"/>
          <w:sz w:val="24"/>
          <w:szCs w:val="24"/>
          <w:rtl/>
        </w:rPr>
        <w:t>:</w:t>
      </w:r>
      <w:r w:rsidR="00777DCB" w:rsidRPr="00A52585">
        <w:rPr>
          <w:rFonts w:hint="cs"/>
          <w:sz w:val="24"/>
          <w:szCs w:val="24"/>
          <w:rtl/>
        </w:rPr>
        <w:t xml:space="preserve"> حدثنا أبو بكر بن أبي شيبة حدثنا على بن مسهر عن عبيد الله بن عمر عن القاسم بن محمد عن عائشة قالت طلق رجل امرأته ثلاثا فتزوجها رجل ثم طلقها قبل أن يدخل بها فأراد زوجها الأول أن يتزوجها فسئل رسول الله صلى الله عليه وسلم عن ذلك، فقال</w:t>
      </w:r>
      <w:r w:rsidRPr="00A52585">
        <w:rPr>
          <w:rFonts w:hint="cs"/>
          <w:sz w:val="24"/>
          <w:szCs w:val="24"/>
          <w:rtl/>
        </w:rPr>
        <w:t>:</w:t>
      </w:r>
      <w:r w:rsidR="00777DCB" w:rsidRPr="00A52585">
        <w:rPr>
          <w:rFonts w:hint="cs"/>
          <w:sz w:val="24"/>
          <w:szCs w:val="24"/>
          <w:rtl/>
        </w:rPr>
        <w:t xml:space="preserve"> لا، حتى يذوق الآخر من عسيلتها ما ذاق الأول </w:t>
      </w:r>
      <w:r w:rsidR="00777DCB" w:rsidRPr="00A52585">
        <w:rPr>
          <w:sz w:val="24"/>
          <w:szCs w:val="24"/>
        </w:rPr>
        <w:t>…</w:t>
      </w:r>
      <w:r w:rsidRPr="00A52585">
        <w:rPr>
          <w:rFonts w:hint="cs"/>
          <w:sz w:val="24"/>
          <w:szCs w:val="24"/>
          <w:rtl/>
        </w:rPr>
        <w:t xml:space="preserve"> </w:t>
      </w:r>
      <w:r w:rsidR="00777DCB" w:rsidRPr="00A52585">
        <w:rPr>
          <w:rFonts w:hint="cs"/>
          <w:sz w:val="24"/>
          <w:szCs w:val="24"/>
          <w:rtl/>
        </w:rPr>
        <w:t>" ثم ذكر بقية طرق الحديث</w:t>
      </w:r>
      <w:r w:rsidR="00DB731D" w:rsidRPr="00A52585">
        <w:rPr>
          <w:rFonts w:hint="cs"/>
          <w:sz w:val="24"/>
          <w:szCs w:val="24"/>
          <w:rtl/>
        </w:rPr>
        <w:t>،</w:t>
      </w:r>
      <w:r w:rsidR="00777DCB" w:rsidRPr="00A52585">
        <w:rPr>
          <w:rFonts w:hint="cs"/>
          <w:sz w:val="24"/>
          <w:szCs w:val="24"/>
          <w:rtl/>
        </w:rPr>
        <w:t xml:space="preserve"> فتأمل </w:t>
      </w:r>
      <w:r w:rsidR="00777DCB" w:rsidRPr="00A52585">
        <w:rPr>
          <w:sz w:val="24"/>
          <w:szCs w:val="24"/>
        </w:rPr>
        <w:t>–</w:t>
      </w:r>
      <w:r w:rsidR="00777DCB" w:rsidRPr="00A52585">
        <w:rPr>
          <w:rFonts w:hint="cs"/>
          <w:sz w:val="24"/>
          <w:szCs w:val="24"/>
          <w:rtl/>
        </w:rPr>
        <w:t xml:space="preserve"> رعاك الله </w:t>
      </w:r>
      <w:r w:rsidR="00777DCB" w:rsidRPr="00A52585">
        <w:rPr>
          <w:sz w:val="24"/>
          <w:szCs w:val="24"/>
        </w:rPr>
        <w:t>–</w:t>
      </w:r>
      <w:r w:rsidR="00777DCB" w:rsidRPr="00A52585">
        <w:rPr>
          <w:rFonts w:hint="cs"/>
          <w:sz w:val="24"/>
          <w:szCs w:val="24"/>
          <w:rtl/>
        </w:rPr>
        <w:t xml:space="preserve"> هل قال رسول الله صلى الله عليه وسلم للسائلين</w:t>
      </w:r>
      <w:r w:rsidRPr="00A52585">
        <w:rPr>
          <w:rFonts w:hint="cs"/>
          <w:sz w:val="24"/>
          <w:szCs w:val="24"/>
          <w:rtl/>
        </w:rPr>
        <w:t>:</w:t>
      </w:r>
      <w:r w:rsidR="00777DCB" w:rsidRPr="00A52585">
        <w:rPr>
          <w:rFonts w:hint="cs"/>
          <w:sz w:val="24"/>
          <w:szCs w:val="24"/>
          <w:rtl/>
        </w:rPr>
        <w:t xml:space="preserve"> هل كانت طلقة ثالثة حتى لا تحل له إلا بعد زوج</w:t>
      </w:r>
      <w:r w:rsidR="00F95886" w:rsidRPr="00A52585">
        <w:rPr>
          <w:rFonts w:hint="cs"/>
          <w:sz w:val="24"/>
          <w:szCs w:val="24"/>
          <w:rtl/>
        </w:rPr>
        <w:t>؟</w:t>
      </w:r>
      <w:r w:rsidR="00777DCB" w:rsidRPr="00A52585">
        <w:rPr>
          <w:rFonts w:hint="cs"/>
          <w:sz w:val="24"/>
          <w:szCs w:val="24"/>
          <w:rtl/>
        </w:rPr>
        <w:t xml:space="preserve"> أو كانت الثلاثة مجموعة حتى تكون طلقة واحدة رجعية</w:t>
      </w:r>
      <w:r w:rsidR="00F95886" w:rsidRPr="00A52585">
        <w:rPr>
          <w:rFonts w:hint="cs"/>
          <w:sz w:val="24"/>
          <w:szCs w:val="24"/>
          <w:rtl/>
        </w:rPr>
        <w:t>؟</w:t>
      </w:r>
      <w:r w:rsidR="00777DCB" w:rsidRPr="00A52585">
        <w:rPr>
          <w:rFonts w:hint="cs"/>
          <w:sz w:val="24"/>
          <w:szCs w:val="24"/>
          <w:rtl/>
        </w:rPr>
        <w:t xml:space="preserve"> كما يقول أولئك الزائغون أفلا يكون في ترك سؤال الرسول عليه الصلاة والسلام عن ذلك أبين البيان للأمة جمعاء أنه لا فرق في لزوم الثلاث بين المجموع في دفعة واحدة وبين المفرق على مرات</w:t>
      </w:r>
      <w:r w:rsidR="00DB731D" w:rsidRPr="00A52585">
        <w:rPr>
          <w:rFonts w:hint="cs"/>
          <w:sz w:val="24"/>
          <w:szCs w:val="24"/>
          <w:rtl/>
        </w:rPr>
        <w:t>،</w:t>
      </w:r>
      <w:r w:rsidR="00777DCB" w:rsidRPr="00A52585">
        <w:rPr>
          <w:rFonts w:hint="cs"/>
          <w:sz w:val="24"/>
          <w:szCs w:val="24"/>
          <w:rtl/>
        </w:rPr>
        <w:t xml:space="preserve"> [4] وقال الإمام أبو عبد الرحمن أحمد بن شعيب النسائي المتوفى سنة بضع وثلاثمائة في سننه " باب إحلال المطلقة ثلاثا والنكاح الذي يحلها به</w:t>
      </w:r>
      <w:r w:rsidRPr="00A52585">
        <w:rPr>
          <w:rFonts w:hint="cs"/>
          <w:sz w:val="24"/>
          <w:szCs w:val="24"/>
          <w:rtl/>
        </w:rPr>
        <w:t xml:space="preserve"> </w:t>
      </w:r>
      <w:r w:rsidR="00777DCB" w:rsidRPr="00A52585">
        <w:rPr>
          <w:rFonts w:hint="cs"/>
          <w:sz w:val="24"/>
          <w:szCs w:val="24"/>
          <w:rtl/>
        </w:rPr>
        <w:t>" آخر هذا الباب</w:t>
      </w:r>
      <w:r w:rsidR="00DB731D" w:rsidRPr="00A52585">
        <w:rPr>
          <w:rFonts w:hint="cs"/>
          <w:sz w:val="24"/>
          <w:szCs w:val="24"/>
          <w:rtl/>
        </w:rPr>
        <w:t>،</w:t>
      </w:r>
      <w:r w:rsidR="00777DCB" w:rsidRPr="00A52585">
        <w:rPr>
          <w:rFonts w:hint="cs"/>
          <w:sz w:val="24"/>
          <w:szCs w:val="24"/>
          <w:rtl/>
        </w:rPr>
        <w:t xml:space="preserve"> أخبرنا محمود بن غيلان قال حدثنا وكيع، قال حدثنا سفيان عن علقمة بن مرثد عن رزين بن سليمان الأحمري عن ابن عمر قال سئل النبي صلى الله عليه وسلم عن الرجل يطلق امرأته ثلاثا فيتزوجها الرجل، فيغلق الباب، ويرخي الستر، ثم يطلقها قبل أن يدخل بها،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لا تحل للأول حتى يجامعها الآخر</w:t>
      </w:r>
      <w:r w:rsidRPr="00A52585">
        <w:rPr>
          <w:rFonts w:hint="cs"/>
          <w:sz w:val="24"/>
          <w:szCs w:val="24"/>
          <w:rtl/>
        </w:rPr>
        <w:t xml:space="preserve"> </w:t>
      </w:r>
      <w:r w:rsidR="00777DCB" w:rsidRPr="00A52585">
        <w:rPr>
          <w:rFonts w:hint="cs"/>
          <w:sz w:val="24"/>
          <w:szCs w:val="24"/>
          <w:rtl/>
        </w:rPr>
        <w:t>" قال أبو عبد الرحمن</w:t>
      </w:r>
      <w:r w:rsidRPr="00A52585">
        <w:rPr>
          <w:rFonts w:hint="cs"/>
          <w:sz w:val="24"/>
          <w:szCs w:val="24"/>
          <w:rtl/>
        </w:rPr>
        <w:t>:</w:t>
      </w:r>
      <w:r w:rsidR="00777DCB" w:rsidRPr="00A52585">
        <w:rPr>
          <w:rFonts w:hint="cs"/>
          <w:sz w:val="24"/>
          <w:szCs w:val="24"/>
          <w:rtl/>
        </w:rPr>
        <w:t xml:space="preserve"> وهذا أولى بالصواب</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محشيه المحقق السندي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أي من الذي قبله كما في الكبرى</w:t>
      </w:r>
      <w:r w:rsidRPr="00A52585">
        <w:rPr>
          <w:rFonts w:hint="cs"/>
          <w:sz w:val="24"/>
          <w:szCs w:val="24"/>
          <w:rtl/>
        </w:rPr>
        <w:t xml:space="preserve"> </w:t>
      </w:r>
      <w:r w:rsidR="00777DCB" w:rsidRPr="00A52585">
        <w:rPr>
          <w:rFonts w:hint="cs"/>
          <w:sz w:val="24"/>
          <w:szCs w:val="24"/>
          <w:rtl/>
        </w:rPr>
        <w:t xml:space="preserve">" - يعني كتاب السنن الكبرى للنسائي أيضاً- وقد تابع رزينا سعيد بن المسيب التابعي الثقة بالاتفاق، فاغتفرت الجهالة في رزين، فإن النسائي رواه عن عمرو بن على عن محمد بن جعفر عن شعبة عن علقمة بن مرثد عن سلم بن </w:t>
      </w:r>
      <w:proofErr w:type="spellStart"/>
      <w:r w:rsidR="00777DCB" w:rsidRPr="00A52585">
        <w:rPr>
          <w:rFonts w:hint="cs"/>
          <w:sz w:val="24"/>
          <w:szCs w:val="24"/>
          <w:rtl/>
        </w:rPr>
        <w:t>زرير</w:t>
      </w:r>
      <w:proofErr w:type="spellEnd"/>
      <w:r w:rsidR="00777DCB" w:rsidRPr="00A52585">
        <w:rPr>
          <w:rFonts w:hint="cs"/>
          <w:sz w:val="24"/>
          <w:szCs w:val="24"/>
          <w:rtl/>
        </w:rPr>
        <w:t xml:space="preserve">، وسلم وثقه ابن أبي حاتم وغيره عن سالم بن عبد الله عن سعيد بن المسيب عن ابن عمر عن النبي صلى الله عليه وسلم في الرجل تكون له المرأة فيطلقها </w:t>
      </w:r>
      <w:r w:rsidR="00777DCB" w:rsidRPr="00A52585">
        <w:rPr>
          <w:sz w:val="24"/>
          <w:szCs w:val="24"/>
        </w:rPr>
        <w:t>…</w:t>
      </w:r>
      <w:r w:rsidR="00777DCB" w:rsidRPr="00A52585">
        <w:rPr>
          <w:rFonts w:hint="cs"/>
          <w:sz w:val="24"/>
          <w:szCs w:val="24"/>
          <w:rtl/>
        </w:rPr>
        <w:t xml:space="preserve"> الحديث، ولم يقل ثلاثا، فكأن النسائي إنما ساق حديث رزين لقوله فيه ثلاثا، وقال</w:t>
      </w:r>
      <w:r w:rsidRPr="00A52585">
        <w:rPr>
          <w:rFonts w:hint="cs"/>
          <w:sz w:val="24"/>
          <w:szCs w:val="24"/>
          <w:rtl/>
        </w:rPr>
        <w:t>:</w:t>
      </w:r>
      <w:r w:rsidR="00777DCB" w:rsidRPr="00A52585">
        <w:rPr>
          <w:rFonts w:hint="cs"/>
          <w:sz w:val="24"/>
          <w:szCs w:val="24"/>
          <w:rtl/>
        </w:rPr>
        <w:t xml:space="preserve"> إنه اولى بالصواب، وهو كما قال رضي الله عنه</w:t>
      </w:r>
      <w:r w:rsidR="00DB731D" w:rsidRPr="00A52585">
        <w:rPr>
          <w:rFonts w:hint="cs"/>
          <w:sz w:val="24"/>
          <w:szCs w:val="24"/>
          <w:rtl/>
        </w:rPr>
        <w:t>،</w:t>
      </w:r>
      <w:r w:rsidR="00777DCB" w:rsidRPr="00A52585">
        <w:rPr>
          <w:rFonts w:hint="cs"/>
          <w:sz w:val="24"/>
          <w:szCs w:val="24"/>
          <w:rtl/>
        </w:rPr>
        <w:t xml:space="preserve"> فإنه لو كان الطلاق دون الثلاث لم يحتج في رجوعها إلى الأول إلى ذوق العسيلة</w:t>
      </w:r>
      <w:r w:rsidR="00DB731D" w:rsidRPr="00A52585">
        <w:rPr>
          <w:rFonts w:hint="cs"/>
          <w:sz w:val="24"/>
          <w:szCs w:val="24"/>
          <w:rtl/>
        </w:rPr>
        <w:t>،</w:t>
      </w:r>
      <w:r w:rsidR="00777DCB" w:rsidRPr="00A52585">
        <w:rPr>
          <w:rFonts w:hint="cs"/>
          <w:sz w:val="24"/>
          <w:szCs w:val="24"/>
          <w:rtl/>
        </w:rPr>
        <w:t xml:space="preserve"> [5] وروى الإمام النسائي أيضاً بسند كل رجاله ثقات عن محمود بن لبيد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أخبر رسول الله صلى الله عليه وسلم عن رجل طلق امرأته ثلاث تطليقات جميعا فقام غضبان، ثم قال</w:t>
      </w:r>
      <w:r w:rsidRPr="00A52585">
        <w:rPr>
          <w:rFonts w:hint="cs"/>
          <w:sz w:val="24"/>
          <w:szCs w:val="24"/>
          <w:rtl/>
        </w:rPr>
        <w:t>:</w:t>
      </w:r>
      <w:r w:rsidR="00777DCB" w:rsidRPr="00A52585">
        <w:rPr>
          <w:rFonts w:hint="cs"/>
          <w:sz w:val="24"/>
          <w:szCs w:val="24"/>
          <w:rtl/>
        </w:rPr>
        <w:t xml:space="preserve"> أيلعب بكتاب الله وأنا بين أظهركم</w:t>
      </w:r>
      <w:r w:rsidR="00F95886" w:rsidRPr="00A52585">
        <w:rPr>
          <w:rFonts w:hint="cs"/>
          <w:sz w:val="24"/>
          <w:szCs w:val="24"/>
          <w:rtl/>
        </w:rPr>
        <w:t>؟</w:t>
      </w:r>
      <w:r w:rsidR="00777DCB" w:rsidRPr="00A52585">
        <w:rPr>
          <w:rFonts w:hint="cs"/>
          <w:sz w:val="24"/>
          <w:szCs w:val="24"/>
          <w:rtl/>
        </w:rPr>
        <w:t xml:space="preserve"> حتى </w:t>
      </w:r>
      <w:r w:rsidR="00777DCB" w:rsidRPr="00A52585">
        <w:rPr>
          <w:rFonts w:hint="cs"/>
          <w:sz w:val="24"/>
          <w:szCs w:val="24"/>
          <w:rtl/>
        </w:rPr>
        <w:lastRenderedPageBreak/>
        <w:t>قام رجل وقال</w:t>
      </w:r>
      <w:r w:rsidRPr="00A52585">
        <w:rPr>
          <w:rFonts w:hint="cs"/>
          <w:sz w:val="24"/>
          <w:szCs w:val="24"/>
          <w:rtl/>
        </w:rPr>
        <w:t>:</w:t>
      </w:r>
      <w:r w:rsidR="00777DCB" w:rsidRPr="00A52585">
        <w:rPr>
          <w:rFonts w:hint="cs"/>
          <w:sz w:val="24"/>
          <w:szCs w:val="24"/>
          <w:rtl/>
        </w:rPr>
        <w:t xml:space="preserve"> يا رسول الله ألا أقتله</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 ومعنى هذا الحديث أنه أمضى عليه الثلاث وألزمه إياها، وأن السائل كان يريد الإذن في مراجعتها وكتاب الله بين في أن المطلقة ثلاثا لا تحل لمطلقها إلا بعد زوج، فطلب المراجعة بل الميل إليها يعد لعبا، أو كاللعب بكتاب الله تعالى، ومن أجل ذلك اشتد عليه غضب الرسول صلى الله عليه وسلم وقال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أيلعب بكتاب الله وأنا بين أظهركم</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 ولم يأمره بمراجعتها كما فعل عليه الصلاة والسلام مع ابن عمر حين طلق امرأته في الحيض تطليقة واحدة، فإنه عليه الصلاة والسلام مع تغيظه على ابن عمر كما رواه البخاري ومسلم وغيرهما، أمره بمراجعتها، وهذا ظاهر جدا، إذ لو كان له مراجعتها بعد هذا الطلاق الثلاث المجموع لأمره بالمراجعة، ولمن يقول</w:t>
      </w:r>
      <w:r w:rsidRPr="00A52585">
        <w:rPr>
          <w:rFonts w:hint="cs"/>
          <w:sz w:val="24"/>
          <w:szCs w:val="24"/>
          <w:rtl/>
        </w:rPr>
        <w:t>:</w:t>
      </w:r>
      <w:r w:rsidR="00777DCB" w:rsidRPr="00A52585">
        <w:rPr>
          <w:rFonts w:hint="cs"/>
          <w:sz w:val="24"/>
          <w:szCs w:val="24"/>
          <w:rtl/>
        </w:rPr>
        <w:t xml:space="preserve"> بأن جمع الثلاث معصية أن يحتج بغضبه صلى الله عليه وسلم في هذه الحادثة، على أن جمع الثلاث معصية مع إلزامه إياها</w:t>
      </w:r>
      <w:r w:rsidR="00DB731D" w:rsidRPr="00A52585">
        <w:rPr>
          <w:rFonts w:hint="cs"/>
          <w:sz w:val="24"/>
          <w:szCs w:val="24"/>
          <w:rtl/>
        </w:rPr>
        <w:t>،</w:t>
      </w:r>
      <w:r w:rsidR="00777DCB" w:rsidRPr="00A52585">
        <w:rPr>
          <w:rFonts w:hint="cs"/>
          <w:sz w:val="24"/>
          <w:szCs w:val="24"/>
          <w:rtl/>
        </w:rPr>
        <w:t xml:space="preserve"> وعلى كل تقدير فلم يذكر في هذا الحديث أمره عليه الصلاة والسلام له بالمراجعة، ولو كان لنقل كما نقــل أمره لابن عمر بالمراجعــة</w:t>
      </w:r>
      <w:r w:rsidRPr="00A52585">
        <w:rPr>
          <w:rFonts w:hint="cs"/>
          <w:sz w:val="24"/>
          <w:szCs w:val="24"/>
          <w:rtl/>
        </w:rPr>
        <w:t xml:space="preserve"> </w:t>
      </w:r>
      <w:r w:rsidR="00777DCB" w:rsidRPr="00A52585">
        <w:rPr>
          <w:rFonts w:hint="cs"/>
          <w:sz w:val="24"/>
          <w:szCs w:val="24"/>
          <w:rtl/>
        </w:rPr>
        <w:t xml:space="preserve">قال العلامة الفقيه المحدث الشيخ محمد بن الخضر بن </w:t>
      </w:r>
      <w:proofErr w:type="spellStart"/>
      <w:r w:rsidR="00777DCB" w:rsidRPr="00A52585">
        <w:rPr>
          <w:rFonts w:hint="cs"/>
          <w:sz w:val="24"/>
          <w:szCs w:val="24"/>
          <w:rtl/>
        </w:rPr>
        <w:t>مايابى</w:t>
      </w:r>
      <w:proofErr w:type="spellEnd"/>
      <w:r w:rsidR="00777DCB" w:rsidRPr="00A52585">
        <w:rPr>
          <w:rFonts w:hint="cs"/>
          <w:sz w:val="24"/>
          <w:szCs w:val="24"/>
          <w:rtl/>
        </w:rPr>
        <w:t xml:space="preserve"> </w:t>
      </w:r>
      <w:proofErr w:type="spellStart"/>
      <w:r w:rsidR="00777DCB" w:rsidRPr="00A52585">
        <w:rPr>
          <w:rFonts w:hint="cs"/>
          <w:sz w:val="24"/>
          <w:szCs w:val="24"/>
          <w:rtl/>
        </w:rPr>
        <w:t>الجكني</w:t>
      </w:r>
      <w:proofErr w:type="spellEnd"/>
      <w:r w:rsidR="00777DCB" w:rsidRPr="00A52585">
        <w:rPr>
          <w:rFonts w:hint="cs"/>
          <w:sz w:val="24"/>
          <w:szCs w:val="24"/>
          <w:rtl/>
        </w:rPr>
        <w:t xml:space="preserve"> نسبا الشنقيطي إقليما، في كتابه (لزوم الطلاق الثلاث دفعه، بما لا يستطيع العالم دفعه)</w:t>
      </w:r>
      <w:r w:rsidRPr="00A52585">
        <w:rPr>
          <w:rFonts w:hint="cs"/>
          <w:sz w:val="24"/>
          <w:szCs w:val="24"/>
          <w:rtl/>
        </w:rPr>
        <w:t>:</w:t>
      </w:r>
      <w:r w:rsidR="00777DCB" w:rsidRPr="00A52585">
        <w:rPr>
          <w:rFonts w:hint="cs"/>
          <w:sz w:val="24"/>
          <w:szCs w:val="24"/>
          <w:rtl/>
        </w:rPr>
        <w:t xml:space="preserve"> بعد احتجاجه بهذا الحديث وبيان معناه قال رضي الله عنه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وهذا الحديث </w:t>
      </w:r>
      <w:proofErr w:type="spellStart"/>
      <w:r w:rsidR="00777DCB" w:rsidRPr="00A52585">
        <w:rPr>
          <w:rFonts w:hint="cs"/>
          <w:sz w:val="24"/>
          <w:szCs w:val="24"/>
          <w:rtl/>
        </w:rPr>
        <w:t>لاشيء</w:t>
      </w:r>
      <w:proofErr w:type="spellEnd"/>
      <w:r w:rsidR="00777DCB" w:rsidRPr="00A52585">
        <w:rPr>
          <w:rFonts w:hint="cs"/>
          <w:sz w:val="24"/>
          <w:szCs w:val="24"/>
          <w:rtl/>
        </w:rPr>
        <w:t xml:space="preserve"> أصرح منه في لزوم الثلاث دفعة، وإمضاء النبي صلى الله عليه وسلم ذلك بديهي من 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أيلعب بكتاب الله</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 لأن اللاعب بكتاب الله لا حيلة له عنده، مع ما ظهر فيه من الغضب، وطلب الصحابي قتله</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[6] وأخرج البيهقي في سننه، والطبراني والدارقطني بإسنادين صحح أحدهما عن سويد بن غفلة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كانت عائشة </w:t>
      </w:r>
      <w:proofErr w:type="spellStart"/>
      <w:r w:rsidR="00777DCB" w:rsidRPr="00A52585">
        <w:rPr>
          <w:rFonts w:hint="cs"/>
          <w:sz w:val="24"/>
          <w:szCs w:val="24"/>
          <w:rtl/>
        </w:rPr>
        <w:t>الخثعمية</w:t>
      </w:r>
      <w:proofErr w:type="spellEnd"/>
      <w:r w:rsidR="00777DCB" w:rsidRPr="00A52585">
        <w:rPr>
          <w:rFonts w:hint="cs"/>
          <w:sz w:val="24"/>
          <w:szCs w:val="24"/>
          <w:rtl/>
        </w:rPr>
        <w:t xml:space="preserve"> عند الحسن بن علي بن أبي طالب رضي الله عنه</w:t>
      </w:r>
      <w:r w:rsidRPr="00A52585">
        <w:rPr>
          <w:rFonts w:hint="cs"/>
          <w:sz w:val="24"/>
          <w:szCs w:val="24"/>
          <w:rtl/>
        </w:rPr>
        <w:t>:</w:t>
      </w:r>
      <w:r w:rsidR="00777DCB" w:rsidRPr="00A52585">
        <w:rPr>
          <w:rFonts w:hint="cs"/>
          <w:sz w:val="24"/>
          <w:szCs w:val="24"/>
          <w:rtl/>
        </w:rPr>
        <w:t xml:space="preserve"> فلما مات علي قالت له</w:t>
      </w:r>
      <w:r w:rsidRPr="00A52585">
        <w:rPr>
          <w:rFonts w:hint="cs"/>
          <w:sz w:val="24"/>
          <w:szCs w:val="24"/>
          <w:rtl/>
        </w:rPr>
        <w:t>:</w:t>
      </w:r>
      <w:r w:rsidR="00777DCB" w:rsidRPr="00A52585">
        <w:rPr>
          <w:rFonts w:hint="cs"/>
          <w:sz w:val="24"/>
          <w:szCs w:val="24"/>
          <w:rtl/>
        </w:rPr>
        <w:t xml:space="preserve"> لتهنك الإمارة أو الخلافة فقال الحسن رضي الله عنه يقتل على وتظهرين </w:t>
      </w:r>
      <w:proofErr w:type="spellStart"/>
      <w:r w:rsidR="00777DCB" w:rsidRPr="00A52585">
        <w:rPr>
          <w:rFonts w:hint="cs"/>
          <w:sz w:val="24"/>
          <w:szCs w:val="24"/>
          <w:rtl/>
        </w:rPr>
        <w:t>الشماته</w:t>
      </w:r>
      <w:proofErr w:type="spellEnd"/>
      <w:r w:rsidR="00F95886" w:rsidRPr="00A52585">
        <w:rPr>
          <w:rFonts w:hint="cs"/>
          <w:sz w:val="24"/>
          <w:szCs w:val="24"/>
          <w:rtl/>
        </w:rPr>
        <w:t>؟</w:t>
      </w:r>
      <w:r w:rsidR="00777DCB" w:rsidRPr="00A52585">
        <w:rPr>
          <w:rFonts w:hint="cs"/>
          <w:sz w:val="24"/>
          <w:szCs w:val="24"/>
          <w:rtl/>
        </w:rPr>
        <w:t xml:space="preserve"> اذهبي فأنت طالق ثلاثا قال فتلفعت نساجها وقعدت حتى انقضت عدتها وبعث إليها بعشرة آلاف متعة، وبقية بقيت لها من صداقها فقالت</w:t>
      </w:r>
      <w:r w:rsidRPr="00A52585">
        <w:rPr>
          <w:rFonts w:hint="cs"/>
          <w:sz w:val="24"/>
          <w:szCs w:val="24"/>
          <w:rtl/>
        </w:rPr>
        <w:t>:</w:t>
      </w:r>
      <w:r w:rsidR="00777DCB" w:rsidRPr="00A52585">
        <w:rPr>
          <w:rFonts w:hint="cs"/>
          <w:sz w:val="24"/>
          <w:szCs w:val="24"/>
          <w:rtl/>
        </w:rPr>
        <w:t xml:space="preserve"> متاع قليل من حبيب مفارق</w:t>
      </w:r>
      <w:r w:rsidRPr="00A52585">
        <w:rPr>
          <w:rFonts w:hint="cs"/>
          <w:sz w:val="24"/>
          <w:szCs w:val="24"/>
          <w:rtl/>
        </w:rPr>
        <w:t>:</w:t>
      </w:r>
      <w:r w:rsidR="00777DCB" w:rsidRPr="00A52585">
        <w:rPr>
          <w:rFonts w:hint="cs"/>
          <w:sz w:val="24"/>
          <w:szCs w:val="24"/>
          <w:rtl/>
        </w:rPr>
        <w:t xml:space="preserve"> فلما بلغه قولها بكى وقال</w:t>
      </w:r>
      <w:r w:rsidRPr="00A52585">
        <w:rPr>
          <w:rFonts w:hint="cs"/>
          <w:sz w:val="24"/>
          <w:szCs w:val="24"/>
          <w:rtl/>
        </w:rPr>
        <w:t>:</w:t>
      </w:r>
      <w:r w:rsidR="00777DCB" w:rsidRPr="00A52585">
        <w:rPr>
          <w:rFonts w:hint="cs"/>
          <w:sz w:val="24"/>
          <w:szCs w:val="24"/>
          <w:rtl/>
        </w:rPr>
        <w:t xml:space="preserve"> لولا أني سمعت جدي، أو حدثني أبي أنه سمع جدي يقول عليه وعلى </w:t>
      </w:r>
      <w:proofErr w:type="spellStart"/>
      <w:r w:rsidR="00777DCB" w:rsidRPr="00A52585">
        <w:rPr>
          <w:rFonts w:hint="cs"/>
          <w:sz w:val="24"/>
          <w:szCs w:val="24"/>
          <w:rtl/>
        </w:rPr>
        <w:t>آله</w:t>
      </w:r>
      <w:proofErr w:type="spellEnd"/>
      <w:r w:rsidR="00777DCB" w:rsidRPr="00A52585">
        <w:rPr>
          <w:rFonts w:hint="cs"/>
          <w:sz w:val="24"/>
          <w:szCs w:val="24"/>
          <w:rtl/>
        </w:rPr>
        <w:t xml:space="preserve"> الصلاة والسلام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أيما رجل طلق امرأته ثلاثا مبهمة أو ثلاثا عند الأقراء لم تحل له حتى تنكح زوجا غيره " لراجعتها، وفي الرواية الأخرى بلفظ "</w:t>
      </w:r>
      <w:r w:rsidRPr="00A52585">
        <w:rPr>
          <w:rFonts w:hint="cs"/>
          <w:sz w:val="24"/>
          <w:szCs w:val="24"/>
          <w:rtl/>
        </w:rPr>
        <w:t xml:space="preserve"> </w:t>
      </w:r>
      <w:r w:rsidR="00777DCB" w:rsidRPr="00A52585">
        <w:rPr>
          <w:rFonts w:hint="cs"/>
          <w:sz w:val="24"/>
          <w:szCs w:val="24"/>
          <w:rtl/>
        </w:rPr>
        <w:t xml:space="preserve">أو طلقها ثلاثا جميعا لم تحل له </w:t>
      </w:r>
      <w:r w:rsidR="00777DCB" w:rsidRPr="00A52585">
        <w:rPr>
          <w:sz w:val="24"/>
          <w:szCs w:val="24"/>
        </w:rPr>
        <w:t>…</w:t>
      </w:r>
      <w:r w:rsidR="00777DCB" w:rsidRPr="00A52585">
        <w:rPr>
          <w:rFonts w:hint="cs"/>
          <w:sz w:val="24"/>
          <w:szCs w:val="24"/>
          <w:rtl/>
        </w:rPr>
        <w:t xml:space="preserve"> إلخ</w:t>
      </w:r>
      <w:r w:rsidRPr="00A52585">
        <w:rPr>
          <w:rFonts w:hint="cs"/>
          <w:sz w:val="24"/>
          <w:szCs w:val="24"/>
          <w:rtl/>
        </w:rPr>
        <w:t xml:space="preserve"> </w:t>
      </w:r>
      <w:r w:rsidR="00777DCB" w:rsidRPr="00A52585">
        <w:rPr>
          <w:rFonts w:hint="cs"/>
          <w:sz w:val="24"/>
          <w:szCs w:val="24"/>
          <w:rtl/>
        </w:rPr>
        <w:t>" فيكون في هذه الرواية التفسير للمبهمة في قوله ثلاثا مبهمة، قال الحافظ ابن رجب الحنبلي في كتابه "</w:t>
      </w:r>
      <w:r w:rsidRPr="00A52585">
        <w:rPr>
          <w:rFonts w:hint="cs"/>
          <w:sz w:val="24"/>
          <w:szCs w:val="24"/>
          <w:rtl/>
        </w:rPr>
        <w:t xml:space="preserve"> </w:t>
      </w:r>
      <w:r w:rsidR="00777DCB" w:rsidRPr="00A52585">
        <w:rPr>
          <w:rFonts w:hint="cs"/>
          <w:sz w:val="24"/>
          <w:szCs w:val="24"/>
          <w:rtl/>
        </w:rPr>
        <w:t>بيان مشكل الأحاديث الواردة، في أن الطلاق الثلاث واحدة</w:t>
      </w:r>
      <w:r w:rsidRPr="00A52585">
        <w:rPr>
          <w:rFonts w:hint="cs"/>
          <w:sz w:val="24"/>
          <w:szCs w:val="24"/>
          <w:rtl/>
        </w:rPr>
        <w:t xml:space="preserve"> </w:t>
      </w:r>
      <w:r w:rsidR="00777DCB" w:rsidRPr="00A52585">
        <w:rPr>
          <w:rFonts w:hint="cs"/>
          <w:sz w:val="24"/>
          <w:szCs w:val="24"/>
          <w:rtl/>
        </w:rPr>
        <w:t>" بعد أن ساق هذا الحديث، وإسناده صحيح ولا نص في المسألة أبين من هذا كما لا يخفى</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[7] وأخرج الطبراني عن عبادة بن الصامت عن النبي صلى الله عليه وسلم "</w:t>
      </w:r>
      <w:r w:rsidRPr="00A52585">
        <w:rPr>
          <w:rFonts w:hint="cs"/>
          <w:sz w:val="24"/>
          <w:szCs w:val="24"/>
          <w:rtl/>
        </w:rPr>
        <w:t xml:space="preserve"> </w:t>
      </w:r>
      <w:r w:rsidR="00777DCB" w:rsidRPr="00A52585">
        <w:rPr>
          <w:rFonts w:hint="cs"/>
          <w:sz w:val="24"/>
          <w:szCs w:val="24"/>
          <w:rtl/>
        </w:rPr>
        <w:t>أنه أخبر برجل طلق ألفا فقال</w:t>
      </w:r>
      <w:r w:rsidRPr="00A52585">
        <w:rPr>
          <w:rFonts w:hint="cs"/>
          <w:sz w:val="24"/>
          <w:szCs w:val="24"/>
          <w:rtl/>
        </w:rPr>
        <w:t>:</w:t>
      </w:r>
      <w:r w:rsidR="00777DCB" w:rsidRPr="00A52585">
        <w:rPr>
          <w:rFonts w:hint="cs"/>
          <w:sz w:val="24"/>
          <w:szCs w:val="24"/>
          <w:rtl/>
        </w:rPr>
        <w:t xml:space="preserve"> أما ثلاث فله، وأما تسعمائة وسبع وتسعون فعدوان وظلم إن شاء الله عذبه، وإن شاء غفر له</w:t>
      </w:r>
      <w:r w:rsidRPr="00A52585">
        <w:rPr>
          <w:rFonts w:hint="cs"/>
          <w:sz w:val="24"/>
          <w:szCs w:val="24"/>
          <w:rtl/>
        </w:rPr>
        <w:t xml:space="preserve"> </w:t>
      </w:r>
      <w:r w:rsidR="00777DCB" w:rsidRPr="00A52585">
        <w:rPr>
          <w:rFonts w:hint="cs"/>
          <w:sz w:val="24"/>
          <w:szCs w:val="24"/>
          <w:rtl/>
        </w:rPr>
        <w:t>" ومثله في مسند عبد الرزاق عن جد عبادة إلا أن فيه عللا ونحن بحمد الله في غنية عنه</w:t>
      </w:r>
      <w:r w:rsidR="00DB731D" w:rsidRPr="00A52585">
        <w:rPr>
          <w:rFonts w:hint="cs"/>
          <w:sz w:val="24"/>
          <w:szCs w:val="24"/>
          <w:rtl/>
        </w:rPr>
        <w:t>،</w:t>
      </w:r>
      <w:r w:rsidR="00777DCB" w:rsidRPr="00A52585">
        <w:rPr>
          <w:rFonts w:hint="cs"/>
          <w:sz w:val="24"/>
          <w:szCs w:val="24"/>
          <w:rtl/>
        </w:rPr>
        <w:t xml:space="preserve"> [8] وأخرج الإمام الحافظ أبو الحسن علي بن عمر الدارقطني المتوفى سنة خمس وثمانين وثلاثمائة ببغداد في سننه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أخبرنا علي بن محمد بن عبيد الحافظ أخبرنا محمد بن شاذان الجوهري</w:t>
      </w:r>
      <w:r w:rsidRPr="00A52585">
        <w:rPr>
          <w:rFonts w:hint="cs"/>
          <w:sz w:val="24"/>
          <w:szCs w:val="24"/>
          <w:rtl/>
        </w:rPr>
        <w:t xml:space="preserve"> </w:t>
      </w:r>
      <w:r w:rsidR="00777DCB" w:rsidRPr="00A52585">
        <w:rPr>
          <w:rFonts w:hint="cs"/>
          <w:sz w:val="24"/>
          <w:szCs w:val="24"/>
          <w:rtl/>
        </w:rPr>
        <w:t xml:space="preserve">" أخبرنا معلى بن منصور، وأخبرنا شعيب بن رزيق أن عطاء الخراساني حدثهم عن الحسن قال أخبرنا عبد الله بن عمر أنه طلق امرأته تطليقة وهي حائض ثم أراد أن يتبعها بتطليقتين أخريين عند </w:t>
      </w:r>
      <w:proofErr w:type="spellStart"/>
      <w:r w:rsidR="00777DCB" w:rsidRPr="00A52585">
        <w:rPr>
          <w:rFonts w:hint="cs"/>
          <w:sz w:val="24"/>
          <w:szCs w:val="24"/>
          <w:rtl/>
        </w:rPr>
        <w:t>القرءين</w:t>
      </w:r>
      <w:proofErr w:type="spellEnd"/>
      <w:r w:rsidR="00DB731D" w:rsidRPr="00A52585">
        <w:rPr>
          <w:rFonts w:hint="cs"/>
          <w:sz w:val="24"/>
          <w:szCs w:val="24"/>
          <w:rtl/>
        </w:rPr>
        <w:t>،</w:t>
      </w:r>
      <w:r w:rsidR="00777DCB" w:rsidRPr="00A52585">
        <w:rPr>
          <w:rFonts w:hint="cs"/>
          <w:sz w:val="24"/>
          <w:szCs w:val="24"/>
          <w:rtl/>
        </w:rPr>
        <w:t xml:space="preserve"> فبلغ ذلك رسول الله صلى الله عليه وسلم فقال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يا ابن عمر ما هكذا أمرك الله، إنك قد أخطأت السنة، والسنة أن تستقبل الطهر فتطلق لكل قرء (يعني تطليقة) قال فأمرني رسول الله صلى الله عليه وسلم فراجعتها ثم قال</w:t>
      </w:r>
      <w:r w:rsidRPr="00A52585">
        <w:rPr>
          <w:rFonts w:hint="cs"/>
          <w:sz w:val="24"/>
          <w:szCs w:val="24"/>
          <w:rtl/>
        </w:rPr>
        <w:t>:</w:t>
      </w:r>
      <w:r w:rsidR="00777DCB" w:rsidRPr="00A52585">
        <w:rPr>
          <w:rFonts w:hint="cs"/>
          <w:sz w:val="24"/>
          <w:szCs w:val="24"/>
          <w:rtl/>
        </w:rPr>
        <w:t xml:space="preserve"> إذا هي طهرت فطلق عند ذلك أو أمسك،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يا رسول الله أرأيت لو أني طلقتها ثلاثا أكان يحل لي أن أراجعها</w:t>
      </w:r>
      <w:r w:rsidR="00F95886" w:rsidRPr="00A52585">
        <w:rPr>
          <w:rFonts w:hint="cs"/>
          <w:sz w:val="24"/>
          <w:szCs w:val="24"/>
          <w:rtl/>
        </w:rPr>
        <w:t>؟</w:t>
      </w:r>
      <w:r w:rsidR="00777DCB" w:rsidRPr="00A52585">
        <w:rPr>
          <w:rFonts w:hint="cs"/>
          <w:sz w:val="24"/>
          <w:szCs w:val="24"/>
          <w:rtl/>
        </w:rPr>
        <w:t xml:space="preserve"> قال لا كانت تبين منك وتكون معصية " وأخرجه الطبراني قال </w:t>
      </w:r>
      <w:r w:rsidR="00777DCB" w:rsidRPr="00A52585">
        <w:rPr>
          <w:rFonts w:hint="cs"/>
          <w:sz w:val="24"/>
          <w:szCs w:val="24"/>
          <w:rtl/>
        </w:rPr>
        <w:lastRenderedPageBreak/>
        <w:t xml:space="preserve">" حدثنا علي بن سعيد الرازي حدثنا يحيى بن عثمان بن سعيد بن كثير الحمصي، حدثنا أبي، حدثنا شعيب بن رزيق قال حدثنا الحسن حدثنا عبد الله بن عمر " الحديث وكلا السندين جيد، وما طعن به الشذاذ مدفوع وتعليلهم ساقط، فشيخ الدارقطني حافظ معروف </w:t>
      </w:r>
      <w:proofErr w:type="spellStart"/>
      <w:r w:rsidR="00777DCB" w:rsidRPr="00A52585">
        <w:rPr>
          <w:rFonts w:hint="cs"/>
          <w:sz w:val="24"/>
          <w:szCs w:val="24"/>
          <w:rtl/>
        </w:rPr>
        <w:t>ثقة،كما</w:t>
      </w:r>
      <w:proofErr w:type="spellEnd"/>
      <w:r w:rsidR="00777DCB" w:rsidRPr="00A52585">
        <w:rPr>
          <w:rFonts w:hint="cs"/>
          <w:sz w:val="24"/>
          <w:szCs w:val="24"/>
          <w:rtl/>
        </w:rPr>
        <w:t xml:space="preserve"> قال الخطيب، ومحمد بن شاذان ثقة مأمون كما ذكره الخطيب أيضا، ومعلى بن منصور روى عنه الجماعة وقال فيه يعقوب بن أبي شيبة</w:t>
      </w:r>
      <w:r w:rsidRPr="00A52585">
        <w:rPr>
          <w:rFonts w:hint="cs"/>
          <w:sz w:val="24"/>
          <w:szCs w:val="24"/>
          <w:rtl/>
        </w:rPr>
        <w:t>:</w:t>
      </w:r>
      <w:r w:rsidR="00777DCB" w:rsidRPr="00A52585">
        <w:rPr>
          <w:rFonts w:hint="cs"/>
          <w:sz w:val="24"/>
          <w:szCs w:val="24"/>
          <w:rtl/>
        </w:rPr>
        <w:t xml:space="preserve"> متقن فقيه مأمون ثقة فيما تفرد به، فما ظنك به إذا شورك، وترك أحمد له لا يضره فإنه لم يرمه بالوهم في الحديث، ولا بالكذب فيه</w:t>
      </w:r>
      <w:r w:rsidR="00DB731D" w:rsidRPr="00A52585">
        <w:rPr>
          <w:rFonts w:hint="cs"/>
          <w:sz w:val="24"/>
          <w:szCs w:val="24"/>
          <w:rtl/>
        </w:rPr>
        <w:t>،</w:t>
      </w:r>
      <w:r w:rsidR="00777DCB" w:rsidRPr="00A52585">
        <w:rPr>
          <w:rFonts w:hint="cs"/>
          <w:sz w:val="24"/>
          <w:szCs w:val="24"/>
          <w:rtl/>
        </w:rPr>
        <w:t xml:space="preserve"> بل قال " كان يكتب الشروط ومن كتبها لم يخل من أن يكذب</w:t>
      </w:r>
      <w:r w:rsidRPr="00A52585">
        <w:rPr>
          <w:rFonts w:hint="cs"/>
          <w:sz w:val="24"/>
          <w:szCs w:val="24"/>
          <w:rtl/>
        </w:rPr>
        <w:t xml:space="preserve"> </w:t>
      </w:r>
      <w:r w:rsidR="00777DCB" w:rsidRPr="00A52585">
        <w:rPr>
          <w:rFonts w:hint="cs"/>
          <w:sz w:val="24"/>
          <w:szCs w:val="24"/>
          <w:rtl/>
        </w:rPr>
        <w:t xml:space="preserve">" وهو كما ترى سوء ظن لا يعتبر قادحا في شخص معين عند الإنصاف، ولذلك روى له الجماعة كلهم كما نقلناه لك عن الخلاصة وقد تابعه عثمان بن سعيد بن كثير في سند الطبراني، وعثمان بن سعيد هذا قال في الخلاصة وثقه أحمد وابن معين، وكل منهما رواه عن شعيب ابن </w:t>
      </w:r>
      <w:proofErr w:type="spellStart"/>
      <w:r w:rsidR="00777DCB" w:rsidRPr="00A52585">
        <w:rPr>
          <w:rFonts w:hint="cs"/>
          <w:sz w:val="24"/>
          <w:szCs w:val="24"/>
          <w:rtl/>
        </w:rPr>
        <w:t>رزيق،وشعيب</w:t>
      </w:r>
      <w:proofErr w:type="spellEnd"/>
      <w:r w:rsidR="00777DCB" w:rsidRPr="00A52585">
        <w:rPr>
          <w:rFonts w:hint="cs"/>
          <w:sz w:val="24"/>
          <w:szCs w:val="24"/>
          <w:rtl/>
        </w:rPr>
        <w:t xml:space="preserve"> وثقه الدارقطني وابن حبان وقد روى شعيب هذا الحديث عن عطاء الخراساني مرة، وعطاء وثقه ابن معين وابن أبي حاتم وهو من رجال مسلم والأربعة، وما يرمى به من الوهم في بعض حديثه يزول بمتابعة شعيب بن رزيق له في روايته عن الحسن، فيكون شعيب قد سمعه من الحسن بعد ما سمعه من عطاء، وقد ثبت سماعه منهما جميعا، قيل لأبي زرعة</w:t>
      </w:r>
      <w:r w:rsidRPr="00A52585">
        <w:rPr>
          <w:rFonts w:hint="cs"/>
          <w:sz w:val="24"/>
          <w:szCs w:val="24"/>
          <w:rtl/>
        </w:rPr>
        <w:t>:</w:t>
      </w:r>
      <w:r w:rsidR="00777DCB" w:rsidRPr="00A52585">
        <w:rPr>
          <w:rFonts w:hint="cs"/>
          <w:sz w:val="24"/>
          <w:szCs w:val="24"/>
          <w:rtl/>
        </w:rPr>
        <w:t xml:space="preserve"> هل لقى الحسن ابن عمر</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نعم وأما شيخ الطبراني علي ابن سعيد فموثق، قال في مجمع الزوائد</w:t>
      </w:r>
      <w:r w:rsidRPr="00A52585">
        <w:rPr>
          <w:rFonts w:hint="cs"/>
          <w:sz w:val="24"/>
          <w:szCs w:val="24"/>
          <w:rtl/>
        </w:rPr>
        <w:t>:</w:t>
      </w:r>
      <w:r w:rsidR="00777DCB" w:rsidRPr="00A52585">
        <w:rPr>
          <w:rFonts w:hint="cs"/>
          <w:sz w:val="24"/>
          <w:szCs w:val="24"/>
          <w:rtl/>
        </w:rPr>
        <w:t xml:space="preserve"> علي بن سعيد الرازي قال </w:t>
      </w:r>
      <w:proofErr w:type="spellStart"/>
      <w:r w:rsidR="00777DCB" w:rsidRPr="00A52585">
        <w:rPr>
          <w:rFonts w:hint="cs"/>
          <w:sz w:val="24"/>
          <w:szCs w:val="24"/>
          <w:rtl/>
        </w:rPr>
        <w:t>الدراقطني</w:t>
      </w:r>
      <w:proofErr w:type="spellEnd"/>
      <w:r w:rsidR="00777DCB" w:rsidRPr="00A52585">
        <w:rPr>
          <w:rFonts w:hint="cs"/>
          <w:sz w:val="24"/>
          <w:szCs w:val="24"/>
          <w:rtl/>
        </w:rPr>
        <w:t xml:space="preserve"> ليس بذاك وعظمه غيره وكذلك يحي بن عثمان وثقه النسائي وقول ابن عمر رضي الله عنه وعن أبيه في هذا الحديث</w:t>
      </w:r>
      <w:r w:rsidRPr="00A52585">
        <w:rPr>
          <w:rFonts w:hint="cs"/>
          <w:sz w:val="24"/>
          <w:szCs w:val="24"/>
          <w:rtl/>
        </w:rPr>
        <w:t>:</w:t>
      </w:r>
      <w:r w:rsidR="00777DCB" w:rsidRPr="00A52585">
        <w:rPr>
          <w:rFonts w:hint="cs"/>
          <w:sz w:val="24"/>
          <w:szCs w:val="24"/>
          <w:rtl/>
        </w:rPr>
        <w:t xml:space="preserve"> قلت يا رسول الله (أرأيت لو طلقتها إلخ) زيادة ثقة غير مخالفة </w:t>
      </w:r>
      <w:proofErr w:type="spellStart"/>
      <w:r w:rsidR="00777DCB" w:rsidRPr="00A52585">
        <w:rPr>
          <w:rFonts w:hint="cs"/>
          <w:sz w:val="24"/>
          <w:szCs w:val="24"/>
          <w:rtl/>
        </w:rPr>
        <w:t>فهى</w:t>
      </w:r>
      <w:proofErr w:type="spellEnd"/>
      <w:r w:rsidR="00777DCB" w:rsidRPr="00A52585">
        <w:rPr>
          <w:rFonts w:hint="cs"/>
          <w:sz w:val="24"/>
          <w:szCs w:val="24"/>
          <w:rtl/>
        </w:rPr>
        <w:t xml:space="preserve"> مقبولة، ولم ينفرد بها عطاء بل تابعه شعيب بن رزيق كما سبق قال العلامة المحدث الشيخ محمد زاهد الكوثري "</w:t>
      </w:r>
      <w:r w:rsidRPr="00A52585">
        <w:rPr>
          <w:rFonts w:hint="cs"/>
          <w:sz w:val="24"/>
          <w:szCs w:val="24"/>
          <w:rtl/>
        </w:rPr>
        <w:t xml:space="preserve"> </w:t>
      </w:r>
      <w:r w:rsidR="00777DCB" w:rsidRPr="00A52585">
        <w:rPr>
          <w:rFonts w:hint="cs"/>
          <w:sz w:val="24"/>
          <w:szCs w:val="24"/>
          <w:rtl/>
        </w:rPr>
        <w:t>والحاصل أن هذا الحديث لن ينزل عن مرتبة الاحتجاج مهما احتوشت حوله شياطين الشذوذ</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وبعد</w:t>
      </w:r>
      <w:r w:rsidRPr="00A52585">
        <w:rPr>
          <w:rFonts w:hint="cs"/>
          <w:sz w:val="24"/>
          <w:szCs w:val="24"/>
          <w:rtl/>
        </w:rPr>
        <w:t>:</w:t>
      </w:r>
      <w:r w:rsidR="00777DCB" w:rsidRPr="00A52585">
        <w:rPr>
          <w:rFonts w:hint="cs"/>
          <w:sz w:val="24"/>
          <w:szCs w:val="24"/>
          <w:rtl/>
        </w:rPr>
        <w:t xml:space="preserve"> فهذا الحديث الشريف صريح في لزوم الثلاث مع كونه معصية، وأن كونه معصية لا يمنع من لزومه</w:t>
      </w:r>
      <w:r w:rsidR="00DB731D" w:rsidRPr="00A52585">
        <w:rPr>
          <w:rFonts w:hint="cs"/>
          <w:sz w:val="24"/>
          <w:szCs w:val="24"/>
          <w:rtl/>
        </w:rPr>
        <w:t>،</w:t>
      </w:r>
      <w:r w:rsidR="00777DCB" w:rsidRPr="00A52585">
        <w:rPr>
          <w:rFonts w:hint="cs"/>
          <w:sz w:val="24"/>
          <w:szCs w:val="24"/>
          <w:rtl/>
        </w:rPr>
        <w:t xml:space="preserve"> [9] ومن أصرح أدلة السنة وأوضحها وأصحها على وقوع الثلاث بكلمة واحدة، حديث </w:t>
      </w:r>
      <w:proofErr w:type="spellStart"/>
      <w:r w:rsidR="00777DCB" w:rsidRPr="00A52585">
        <w:rPr>
          <w:rFonts w:hint="cs"/>
          <w:sz w:val="24"/>
          <w:szCs w:val="24"/>
          <w:rtl/>
        </w:rPr>
        <w:t>ركانة</w:t>
      </w:r>
      <w:proofErr w:type="spellEnd"/>
      <w:r w:rsidR="00777DCB" w:rsidRPr="00A52585">
        <w:rPr>
          <w:rFonts w:hint="cs"/>
          <w:sz w:val="24"/>
          <w:szCs w:val="24"/>
          <w:rtl/>
        </w:rPr>
        <w:t xml:space="preserve"> </w:t>
      </w:r>
      <w:r w:rsidR="00777DCB" w:rsidRPr="00A52585">
        <w:rPr>
          <w:rFonts w:hint="cs"/>
          <w:spacing w:val="-6"/>
          <w:sz w:val="24"/>
          <w:szCs w:val="24"/>
          <w:rtl/>
        </w:rPr>
        <w:t xml:space="preserve">بن عبد يزيد </w:t>
      </w:r>
      <w:r w:rsidR="00777DCB" w:rsidRPr="00A52585">
        <w:rPr>
          <w:rFonts w:hint="cs"/>
          <w:sz w:val="24"/>
          <w:szCs w:val="24"/>
          <w:rtl/>
        </w:rPr>
        <w:t xml:space="preserve">الصحابي ابن الصحابي رضي الله عنهما في طلاقه امرأته </w:t>
      </w:r>
      <w:proofErr w:type="spellStart"/>
      <w:r w:rsidR="00777DCB" w:rsidRPr="00A52585">
        <w:rPr>
          <w:rFonts w:hint="cs"/>
          <w:sz w:val="24"/>
          <w:szCs w:val="24"/>
          <w:rtl/>
        </w:rPr>
        <w:t>ألبتة</w:t>
      </w:r>
      <w:proofErr w:type="spellEnd"/>
      <w:r w:rsidR="00777DCB" w:rsidRPr="00A52585">
        <w:rPr>
          <w:rFonts w:hint="cs"/>
          <w:sz w:val="24"/>
          <w:szCs w:val="24"/>
          <w:rtl/>
        </w:rPr>
        <w:t xml:space="preserve">، فقد رواه الإمام الأجل مولانا أبو عبد الله محمد بن إدريس الشافعي وهو من هو إتقانا ومعرفة وخبرة بالرواية وأحوال الرواة، وصححه، فإنه قد احتج به في كتابه (الأم) في بابين وكلاهما في الجزء الخامس قال رضي الله عنه في الاستدلال على أن </w:t>
      </w:r>
      <w:proofErr w:type="spellStart"/>
      <w:r w:rsidR="00777DCB" w:rsidRPr="00A52585">
        <w:rPr>
          <w:rFonts w:hint="cs"/>
          <w:sz w:val="24"/>
          <w:szCs w:val="24"/>
          <w:rtl/>
        </w:rPr>
        <w:t>ألبتة</w:t>
      </w:r>
      <w:proofErr w:type="spellEnd"/>
      <w:r w:rsidR="00777DCB" w:rsidRPr="00A52585">
        <w:rPr>
          <w:rFonts w:hint="cs"/>
          <w:sz w:val="24"/>
          <w:szCs w:val="24"/>
          <w:rtl/>
        </w:rPr>
        <w:t xml:space="preserve"> في الطلاق قد ينوي بها الثلاث فيلزمه ما نوى قلنا الدليل عن رسول الله صلى الله عليه وسلم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أخبرنا عمى محمد بن علي بن شافع عن عبد الله بن علي بن السائب عن نافع بن عجير بن عبد يزيد أن </w:t>
      </w:r>
      <w:proofErr w:type="spellStart"/>
      <w:r w:rsidR="00777DCB" w:rsidRPr="00A52585">
        <w:rPr>
          <w:rFonts w:hint="cs"/>
          <w:sz w:val="24"/>
          <w:szCs w:val="24"/>
          <w:rtl/>
        </w:rPr>
        <w:t>ركانة</w:t>
      </w:r>
      <w:proofErr w:type="spellEnd"/>
      <w:r w:rsidR="00777DCB" w:rsidRPr="00A52585">
        <w:rPr>
          <w:rFonts w:hint="cs"/>
          <w:sz w:val="24"/>
          <w:szCs w:val="24"/>
          <w:rtl/>
        </w:rPr>
        <w:t xml:space="preserve"> بن عبد يزيد طلق امرأته سهيمة </w:t>
      </w:r>
      <w:proofErr w:type="spellStart"/>
      <w:r w:rsidR="00777DCB" w:rsidRPr="00A52585">
        <w:rPr>
          <w:rFonts w:hint="cs"/>
          <w:sz w:val="24"/>
          <w:szCs w:val="24"/>
          <w:rtl/>
        </w:rPr>
        <w:t>المزنية</w:t>
      </w:r>
      <w:proofErr w:type="spellEnd"/>
      <w:r w:rsidR="00777DCB" w:rsidRPr="00A52585">
        <w:rPr>
          <w:rFonts w:hint="cs"/>
          <w:sz w:val="24"/>
          <w:szCs w:val="24"/>
          <w:rtl/>
        </w:rPr>
        <w:t xml:space="preserve"> </w:t>
      </w:r>
      <w:proofErr w:type="spellStart"/>
      <w:r w:rsidR="00777DCB" w:rsidRPr="00A52585">
        <w:rPr>
          <w:rFonts w:hint="cs"/>
          <w:sz w:val="24"/>
          <w:szCs w:val="24"/>
          <w:rtl/>
        </w:rPr>
        <w:t>ألبتة</w:t>
      </w:r>
      <w:proofErr w:type="spellEnd"/>
      <w:r w:rsidR="00777DCB" w:rsidRPr="00A52585">
        <w:rPr>
          <w:rFonts w:hint="cs"/>
          <w:sz w:val="24"/>
          <w:szCs w:val="24"/>
          <w:rtl/>
        </w:rPr>
        <w:t xml:space="preserve">، ثم أتى إلى النبي صلى الله عليه وسلم فقال إني طلقت امرأتي سهيمة </w:t>
      </w:r>
      <w:proofErr w:type="spellStart"/>
      <w:r w:rsidR="00777DCB" w:rsidRPr="00A52585">
        <w:rPr>
          <w:rFonts w:hint="cs"/>
          <w:sz w:val="24"/>
          <w:szCs w:val="24"/>
          <w:rtl/>
        </w:rPr>
        <w:t>ألبتة</w:t>
      </w:r>
      <w:proofErr w:type="spellEnd"/>
      <w:r w:rsidR="00777DCB" w:rsidRPr="00A52585">
        <w:rPr>
          <w:rFonts w:hint="cs"/>
          <w:sz w:val="24"/>
          <w:szCs w:val="24"/>
          <w:rtl/>
        </w:rPr>
        <w:t xml:space="preserve">، والله ما أردت إلا واحده، فقال النبي صلى الله عليه وسلم </w:t>
      </w:r>
      <w:proofErr w:type="spellStart"/>
      <w:r w:rsidR="00777DCB" w:rsidRPr="00A52585">
        <w:rPr>
          <w:rFonts w:hint="cs"/>
          <w:sz w:val="24"/>
          <w:szCs w:val="24"/>
          <w:rtl/>
        </w:rPr>
        <w:t>لركانة</w:t>
      </w:r>
      <w:proofErr w:type="spellEnd"/>
      <w:r w:rsidRPr="00A52585">
        <w:rPr>
          <w:rFonts w:hint="cs"/>
          <w:sz w:val="24"/>
          <w:szCs w:val="24"/>
          <w:rtl/>
        </w:rPr>
        <w:t>:</w:t>
      </w:r>
      <w:r w:rsidR="00777DCB" w:rsidRPr="00A52585">
        <w:rPr>
          <w:rFonts w:hint="cs"/>
          <w:sz w:val="24"/>
          <w:szCs w:val="24"/>
          <w:rtl/>
        </w:rPr>
        <w:t xml:space="preserve"> والله ما أردت إلا واحدة</w:t>
      </w:r>
      <w:r w:rsidR="00F95886" w:rsidRPr="00A52585">
        <w:rPr>
          <w:rFonts w:hint="cs"/>
          <w:sz w:val="24"/>
          <w:szCs w:val="24"/>
          <w:rtl/>
        </w:rPr>
        <w:t>؟</w:t>
      </w:r>
      <w:r w:rsidR="00777DCB" w:rsidRPr="00A52585">
        <w:rPr>
          <w:rFonts w:hint="cs"/>
          <w:sz w:val="24"/>
          <w:szCs w:val="24"/>
          <w:rtl/>
        </w:rPr>
        <w:t xml:space="preserve"> فقال </w:t>
      </w:r>
      <w:proofErr w:type="spellStart"/>
      <w:r w:rsidR="00777DCB" w:rsidRPr="00A52585">
        <w:rPr>
          <w:rFonts w:hint="cs"/>
          <w:sz w:val="24"/>
          <w:szCs w:val="24"/>
          <w:rtl/>
        </w:rPr>
        <w:t>ركانة</w:t>
      </w:r>
      <w:proofErr w:type="spellEnd"/>
      <w:r w:rsidR="00777DCB" w:rsidRPr="00A52585">
        <w:rPr>
          <w:rFonts w:hint="cs"/>
          <w:sz w:val="24"/>
          <w:szCs w:val="24"/>
          <w:rtl/>
        </w:rPr>
        <w:t xml:space="preserve"> والله ما أردت إلا واحدة فردها إليه صلى الله عليه وسلم</w:t>
      </w:r>
      <w:r w:rsidR="00DB731D" w:rsidRPr="00A52585">
        <w:rPr>
          <w:rFonts w:hint="cs"/>
          <w:sz w:val="24"/>
          <w:szCs w:val="24"/>
          <w:rtl/>
        </w:rPr>
        <w:t>،</w:t>
      </w:r>
      <w:r w:rsidR="00777DCB" w:rsidRPr="00A52585">
        <w:rPr>
          <w:rFonts w:hint="cs"/>
          <w:sz w:val="24"/>
          <w:szCs w:val="24"/>
          <w:rtl/>
        </w:rPr>
        <w:t xml:space="preserve"> فطلقها الثانية في زمان عمر، والثالثة في زمان عثمان رضي الله عنهما " ثم قال رضي الله عنه بعد نحو خمس وخمسين ورقة (الحجة في </w:t>
      </w:r>
      <w:proofErr w:type="spellStart"/>
      <w:r w:rsidR="00777DCB" w:rsidRPr="00A52585">
        <w:rPr>
          <w:rFonts w:hint="cs"/>
          <w:sz w:val="24"/>
          <w:szCs w:val="24"/>
          <w:rtl/>
        </w:rPr>
        <w:t>ألبتة</w:t>
      </w:r>
      <w:proofErr w:type="spellEnd"/>
      <w:r w:rsidR="00777DCB" w:rsidRPr="00A52585">
        <w:rPr>
          <w:rFonts w:hint="cs"/>
          <w:sz w:val="24"/>
          <w:szCs w:val="24"/>
          <w:rtl/>
        </w:rPr>
        <w:t xml:space="preserve"> وما أشبهها) ثم ساق هذا الحديث الشريف بنفس هذا السند ثم ذكر سندا آخر في الكلام على تحريم إتيان النساء في أدبارهن، ثم ذكر حديثا عن عمه محمد بن علي عن عبد الله بن علي بن السائب، فسأله السائل فقال رضي الله عنه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عمي ثقة وعبد الله بن علي ثقة " أهـ فقد احتج بهذا السند في مسألة </w:t>
      </w:r>
      <w:proofErr w:type="spellStart"/>
      <w:r w:rsidR="00777DCB" w:rsidRPr="00A52585">
        <w:rPr>
          <w:rFonts w:hint="cs"/>
          <w:sz w:val="24"/>
          <w:szCs w:val="24"/>
          <w:rtl/>
        </w:rPr>
        <w:t>ألبتة</w:t>
      </w:r>
      <w:proofErr w:type="spellEnd"/>
      <w:r w:rsidR="00777DCB" w:rsidRPr="00A52585">
        <w:rPr>
          <w:rFonts w:hint="cs"/>
          <w:sz w:val="24"/>
          <w:szCs w:val="24"/>
          <w:rtl/>
        </w:rPr>
        <w:t xml:space="preserve"> فهو سند لا مطعن فيه عنده وكفى بهذا الإمام الأجل حجة في التصحيح ونافع بن عجير قد وثقه ابن حبان بل ذكره البغوي في الصحابة كما في الإصابة فإن لم يكن ذلك ثابتا فإنه من كبار التابعين ويكفى في مثله ألا يذكر بجرح كما لا يخفى على أهل هذا الفن </w:t>
      </w:r>
      <w:r w:rsidR="00777DCB" w:rsidRPr="00A52585">
        <w:rPr>
          <w:rFonts w:hint="cs"/>
          <w:sz w:val="24"/>
          <w:szCs w:val="24"/>
          <w:rtl/>
        </w:rPr>
        <w:lastRenderedPageBreak/>
        <w:t xml:space="preserve">فرجال السند كلهم معروفون فمن رماهم بالجهالة من أهل البدع أو المتسرعين في النقد، فهو الجاهل ورواه الإمام الحافظ أبو داود سليمان ابن الأشعث السجستاني في سننه في عدة رجال عن الشافعي بسنده وسكت عليه فكان ذلك تصحيحا منه لهذا الحديث من جهة لهذا السند فإن قاعدته في السنن أن ما رواه وسكت عليه فهو محتج به ثم رواه بسند آخر عن الزبير بن سعيد عن عبد الله بن علي بن يزيد بن </w:t>
      </w:r>
      <w:proofErr w:type="spellStart"/>
      <w:r w:rsidR="00777DCB" w:rsidRPr="00A52585">
        <w:rPr>
          <w:rFonts w:hint="cs"/>
          <w:sz w:val="24"/>
          <w:szCs w:val="24"/>
          <w:rtl/>
        </w:rPr>
        <w:t>ركانة</w:t>
      </w:r>
      <w:proofErr w:type="spellEnd"/>
      <w:r w:rsidR="00777DCB" w:rsidRPr="00A52585">
        <w:rPr>
          <w:rFonts w:hint="cs"/>
          <w:sz w:val="24"/>
          <w:szCs w:val="24"/>
          <w:rtl/>
        </w:rPr>
        <w:t xml:space="preserve"> عن أبيه عن جده "</w:t>
      </w:r>
      <w:r w:rsidRPr="00A52585">
        <w:rPr>
          <w:rFonts w:hint="cs"/>
          <w:sz w:val="24"/>
          <w:szCs w:val="24"/>
          <w:rtl/>
        </w:rPr>
        <w:t xml:space="preserve"> </w:t>
      </w:r>
      <w:r w:rsidR="00777DCB" w:rsidRPr="00A52585">
        <w:rPr>
          <w:rFonts w:hint="cs"/>
          <w:sz w:val="24"/>
          <w:szCs w:val="24"/>
          <w:rtl/>
        </w:rPr>
        <w:t xml:space="preserve">أنه طلق امرأته </w:t>
      </w:r>
      <w:proofErr w:type="spellStart"/>
      <w:r w:rsidR="00777DCB" w:rsidRPr="00A52585">
        <w:rPr>
          <w:rFonts w:hint="cs"/>
          <w:sz w:val="24"/>
          <w:szCs w:val="24"/>
          <w:rtl/>
        </w:rPr>
        <w:t>ألبتة</w:t>
      </w:r>
      <w:proofErr w:type="spellEnd"/>
      <w:r w:rsidR="00777DCB" w:rsidRPr="00A52585">
        <w:rPr>
          <w:rFonts w:hint="cs"/>
          <w:sz w:val="24"/>
          <w:szCs w:val="24"/>
          <w:rtl/>
        </w:rPr>
        <w:t xml:space="preserve"> فأتى رسول الله صلى الله عليه وسلم فقال</w:t>
      </w:r>
      <w:r w:rsidRPr="00A52585">
        <w:rPr>
          <w:rFonts w:hint="cs"/>
          <w:sz w:val="24"/>
          <w:szCs w:val="24"/>
          <w:rtl/>
        </w:rPr>
        <w:t>:</w:t>
      </w:r>
      <w:r w:rsidR="00777DCB" w:rsidRPr="00A52585">
        <w:rPr>
          <w:rFonts w:hint="cs"/>
          <w:sz w:val="24"/>
          <w:szCs w:val="24"/>
          <w:rtl/>
        </w:rPr>
        <w:t xml:space="preserve"> " ما أردت</w:t>
      </w:r>
      <w:r w:rsidR="00F95886" w:rsidRPr="00A52585">
        <w:rPr>
          <w:rFonts w:hint="cs"/>
          <w:sz w:val="24"/>
          <w:szCs w:val="24"/>
          <w:rtl/>
        </w:rPr>
        <w:t>؟</w:t>
      </w:r>
      <w:r w:rsidR="00777DCB" w:rsidRPr="00A52585">
        <w:rPr>
          <w:rFonts w:hint="cs"/>
          <w:sz w:val="24"/>
          <w:szCs w:val="24"/>
          <w:rtl/>
        </w:rPr>
        <w:t xml:space="preserve"> قال واحدة قال</w:t>
      </w:r>
      <w:r w:rsidRPr="00A52585">
        <w:rPr>
          <w:rFonts w:hint="cs"/>
          <w:sz w:val="24"/>
          <w:szCs w:val="24"/>
          <w:rtl/>
        </w:rPr>
        <w:t>:</w:t>
      </w:r>
      <w:r w:rsidR="00777DCB" w:rsidRPr="00A52585">
        <w:rPr>
          <w:rFonts w:hint="cs"/>
          <w:sz w:val="24"/>
          <w:szCs w:val="24"/>
          <w:rtl/>
        </w:rPr>
        <w:t xml:space="preserve"> آلله</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آلله، قال هو على ما أردت " ؛ والزبير ضعيف ومع ذلك فإنه قال "</w:t>
      </w:r>
      <w:r w:rsidRPr="00A52585">
        <w:rPr>
          <w:rFonts w:hint="cs"/>
          <w:sz w:val="24"/>
          <w:szCs w:val="24"/>
          <w:rtl/>
        </w:rPr>
        <w:t xml:space="preserve"> </w:t>
      </w:r>
      <w:r w:rsidR="00777DCB" w:rsidRPr="00A52585">
        <w:rPr>
          <w:rFonts w:hint="cs"/>
          <w:sz w:val="24"/>
          <w:szCs w:val="24"/>
          <w:rtl/>
        </w:rPr>
        <w:t xml:space="preserve">وهذا أصح من حديث ابن جريج أن </w:t>
      </w:r>
      <w:proofErr w:type="spellStart"/>
      <w:r w:rsidR="00777DCB" w:rsidRPr="00A52585">
        <w:rPr>
          <w:rFonts w:hint="cs"/>
          <w:sz w:val="24"/>
          <w:szCs w:val="24"/>
          <w:rtl/>
        </w:rPr>
        <w:t>ركانة</w:t>
      </w:r>
      <w:proofErr w:type="spellEnd"/>
      <w:r w:rsidR="00777DCB" w:rsidRPr="00A52585">
        <w:rPr>
          <w:rFonts w:hint="cs"/>
          <w:sz w:val="24"/>
          <w:szCs w:val="24"/>
          <w:rtl/>
        </w:rPr>
        <w:t xml:space="preserve"> طلق امرأته ثلاثا، لأنهم أهل بيته وهم أعلم به " وحديث ابن جريج رواه عن بعض بني أبي رافع عن عكرمة عن ابن عباس، فهذا من أبي داود إسقاط لحديث ابن جريج عـن رتبة الاحتجاج به، وتصحيح منه لحديث الزبير بــن سعيد وقوله في السند (عن جده) الضمير عائد علي فإن علي بن يزيد يحدث عن جده </w:t>
      </w:r>
      <w:proofErr w:type="spellStart"/>
      <w:r w:rsidR="00777DCB" w:rsidRPr="00A52585">
        <w:rPr>
          <w:rFonts w:hint="cs"/>
          <w:sz w:val="24"/>
          <w:szCs w:val="24"/>
          <w:rtl/>
        </w:rPr>
        <w:t>ركانة</w:t>
      </w:r>
      <w:proofErr w:type="spellEnd"/>
      <w:r w:rsidR="00777DCB" w:rsidRPr="00A52585">
        <w:rPr>
          <w:rFonts w:hint="cs"/>
          <w:sz w:val="24"/>
          <w:szCs w:val="24"/>
          <w:rtl/>
        </w:rPr>
        <w:t xml:space="preserve">، </w:t>
      </w:r>
      <w:proofErr w:type="spellStart"/>
      <w:r w:rsidR="00777DCB" w:rsidRPr="00A52585">
        <w:rPr>
          <w:rFonts w:hint="cs"/>
          <w:sz w:val="24"/>
          <w:szCs w:val="24"/>
          <w:rtl/>
        </w:rPr>
        <w:t>وركانة</w:t>
      </w:r>
      <w:proofErr w:type="spellEnd"/>
      <w:r w:rsidR="00777DCB" w:rsidRPr="00A52585">
        <w:rPr>
          <w:rFonts w:hint="cs"/>
          <w:sz w:val="24"/>
          <w:szCs w:val="24"/>
          <w:rtl/>
        </w:rPr>
        <w:t xml:space="preserve"> صاحب القصة لا يزيد، وصححه كذلك ابن ماجه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باب طلاق </w:t>
      </w:r>
      <w:proofErr w:type="spellStart"/>
      <w:r w:rsidR="00777DCB" w:rsidRPr="00A52585">
        <w:rPr>
          <w:rFonts w:hint="cs"/>
          <w:sz w:val="24"/>
          <w:szCs w:val="24"/>
          <w:rtl/>
        </w:rPr>
        <w:t>ألبتة</w:t>
      </w:r>
      <w:proofErr w:type="spellEnd"/>
      <w:r w:rsidR="00777DCB" w:rsidRPr="00A52585">
        <w:rPr>
          <w:rFonts w:hint="cs"/>
          <w:sz w:val="24"/>
          <w:szCs w:val="24"/>
          <w:rtl/>
        </w:rPr>
        <w:t xml:space="preserve">، حدثنا أبو بكر بن أبي شيبة وعلى بن محمد قالا، حدثنا وكيع عن جرير بن حازم عن الزبير بن سعيد به " كأبي داود سندا ومتنا ثم قال سمعت أبا الحسن علي بن محمد </w:t>
      </w:r>
      <w:proofErr w:type="spellStart"/>
      <w:r w:rsidR="00777DCB" w:rsidRPr="00A52585">
        <w:rPr>
          <w:rFonts w:hint="cs"/>
          <w:sz w:val="24"/>
          <w:szCs w:val="24"/>
          <w:rtl/>
        </w:rPr>
        <w:t>الطنافسي</w:t>
      </w:r>
      <w:proofErr w:type="spellEnd"/>
      <w:r w:rsidR="00777DCB" w:rsidRPr="00A52585">
        <w:rPr>
          <w:rFonts w:hint="cs"/>
          <w:sz w:val="24"/>
          <w:szCs w:val="24"/>
          <w:rtl/>
        </w:rPr>
        <w:t xml:space="preserve"> يقول</w:t>
      </w:r>
      <w:r w:rsidRPr="00A52585">
        <w:rPr>
          <w:rFonts w:hint="cs"/>
          <w:sz w:val="24"/>
          <w:szCs w:val="24"/>
          <w:rtl/>
        </w:rPr>
        <w:t>:</w:t>
      </w:r>
      <w:r w:rsidR="00777DCB" w:rsidRPr="00A52585">
        <w:rPr>
          <w:rFonts w:hint="cs"/>
          <w:sz w:val="24"/>
          <w:szCs w:val="24"/>
          <w:rtl/>
        </w:rPr>
        <w:t xml:space="preserve"> ما أشرف هذا الحديث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وعلى هذا هو أحد شيخي ابن ماجه في هذا السند قال فيه الذهبي في التذكرة " هو الحافظ الثبت محدث قزوين وعالمها قال أبو حاتم</w:t>
      </w:r>
      <w:r w:rsidRPr="00A52585">
        <w:rPr>
          <w:rFonts w:hint="cs"/>
          <w:sz w:val="24"/>
          <w:szCs w:val="24"/>
          <w:rtl/>
        </w:rPr>
        <w:t>:</w:t>
      </w:r>
      <w:r w:rsidR="00777DCB" w:rsidRPr="00A52585">
        <w:rPr>
          <w:rFonts w:hint="cs"/>
          <w:sz w:val="24"/>
          <w:szCs w:val="24"/>
          <w:rtl/>
        </w:rPr>
        <w:t xml:space="preserve"> ثقة صدوق " فهو تصحيح من هذا الحبر لهذا الحديث أيضاً، وإن كان من رواية الزبير ابن سعيد "</w:t>
      </w:r>
      <w:r w:rsidRPr="00A52585">
        <w:rPr>
          <w:rFonts w:hint="cs"/>
          <w:sz w:val="24"/>
          <w:szCs w:val="24"/>
          <w:rtl/>
        </w:rPr>
        <w:t xml:space="preserve"> </w:t>
      </w:r>
      <w:r w:rsidR="00777DCB" w:rsidRPr="00A52585">
        <w:rPr>
          <w:rFonts w:hint="cs"/>
          <w:sz w:val="24"/>
          <w:szCs w:val="24"/>
          <w:rtl/>
        </w:rPr>
        <w:t>فلا بدع في ذلك، فإن حديث الشافعي الصحيح من رواية ابن السائب شاهد له، ورواه الترمذي عن هناد بن السري عن قبيصة عن جرير بن حازم عن الزبير بن سعيد به كذلك ثم قال "</w:t>
      </w:r>
      <w:r w:rsidRPr="00A52585">
        <w:rPr>
          <w:rFonts w:hint="cs"/>
          <w:sz w:val="24"/>
          <w:szCs w:val="24"/>
          <w:rtl/>
        </w:rPr>
        <w:t xml:space="preserve"> </w:t>
      </w:r>
      <w:r w:rsidR="00777DCB" w:rsidRPr="00A52585">
        <w:rPr>
          <w:rFonts w:hint="cs"/>
          <w:sz w:val="24"/>
          <w:szCs w:val="24"/>
          <w:rtl/>
        </w:rPr>
        <w:t>وسألت عنه محمد ابن إسماعيل، يعني البخاري، فقال إنه يضطرب فيه، تارة قيل فيه ثلاث وتارة قيل فيه واحدة</w:t>
      </w:r>
      <w:r w:rsidRPr="00A52585">
        <w:rPr>
          <w:rFonts w:hint="cs"/>
          <w:sz w:val="24"/>
          <w:szCs w:val="24"/>
          <w:rtl/>
        </w:rPr>
        <w:t xml:space="preserve"> </w:t>
      </w:r>
      <w:r w:rsidR="00777DCB" w:rsidRPr="00A52585">
        <w:rPr>
          <w:rFonts w:hint="cs"/>
          <w:sz w:val="24"/>
          <w:szCs w:val="24"/>
          <w:rtl/>
        </w:rPr>
        <w:t>" أه</w:t>
      </w:r>
      <w:r w:rsidR="00DB731D" w:rsidRPr="00A52585">
        <w:rPr>
          <w:rFonts w:hint="cs"/>
          <w:sz w:val="24"/>
          <w:szCs w:val="24"/>
          <w:rtl/>
        </w:rPr>
        <w:t>،</w:t>
      </w:r>
      <w:r w:rsidR="00777DCB" w:rsidRPr="00A52585">
        <w:rPr>
          <w:rFonts w:hint="cs"/>
          <w:sz w:val="24"/>
          <w:szCs w:val="24"/>
          <w:rtl/>
        </w:rPr>
        <w:t xml:space="preserve"> وظن الجاهلون المتعسفون أن مجرد هذا الكلام يسقط الاحتجاج بهذا الحديث، وفاتهم أن هذا الاضطراب إنما هو عند عدم التحقيق وبيان ذلك أن الاضطراب القادح هو ما لا يمكن الجواب عنه، إذ الحديث المضطرب ما وقع الاختلاف في متنه أو سنده أو كليهما مع تساوي الروايتين وتعذر الجمع، وحديث </w:t>
      </w:r>
      <w:proofErr w:type="spellStart"/>
      <w:r w:rsidR="00777DCB" w:rsidRPr="00A52585">
        <w:rPr>
          <w:rFonts w:hint="cs"/>
          <w:sz w:val="24"/>
          <w:szCs w:val="24"/>
          <w:rtl/>
        </w:rPr>
        <w:t>ألبتة</w:t>
      </w:r>
      <w:proofErr w:type="spellEnd"/>
      <w:r w:rsidR="00777DCB" w:rsidRPr="00A52585">
        <w:rPr>
          <w:rFonts w:hint="cs"/>
          <w:sz w:val="24"/>
          <w:szCs w:val="24"/>
          <w:rtl/>
        </w:rPr>
        <w:t xml:space="preserve"> ليس من هذا القبيل كما سنقف عليه في مناقشاتنا معهم فيما تشبثوا به من السنة الشريفة</w:t>
      </w:r>
      <w:r w:rsidR="00DB731D" w:rsidRPr="00A52585">
        <w:rPr>
          <w:rFonts w:hint="cs"/>
          <w:sz w:val="24"/>
          <w:szCs w:val="24"/>
          <w:rtl/>
        </w:rPr>
        <w:t>،</w:t>
      </w:r>
      <w:r w:rsidR="00777DCB" w:rsidRPr="00A52585">
        <w:rPr>
          <w:rFonts w:hint="cs"/>
          <w:sz w:val="24"/>
          <w:szCs w:val="24"/>
          <w:rtl/>
        </w:rPr>
        <w:t xml:space="preserve"> وصحح هذا الحديث أيضاً ابن حبان والحاكم والدارقطني وأخرجه عن أبي بكر النيسابوري عن الربيع بن سليمان عن الشافعي وساقه بسنده ومتنه المتقدم </w:t>
      </w:r>
      <w:proofErr w:type="spellStart"/>
      <w:r w:rsidR="00777DCB" w:rsidRPr="00A52585">
        <w:rPr>
          <w:rFonts w:hint="cs"/>
          <w:sz w:val="24"/>
          <w:szCs w:val="24"/>
          <w:rtl/>
        </w:rPr>
        <w:t>عنهرضي</w:t>
      </w:r>
      <w:proofErr w:type="spellEnd"/>
      <w:r w:rsidR="00777DCB" w:rsidRPr="00A52585">
        <w:rPr>
          <w:rFonts w:hint="cs"/>
          <w:sz w:val="24"/>
          <w:szCs w:val="24"/>
          <w:rtl/>
        </w:rPr>
        <w:t xml:space="preserve"> الله عنه</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وعن محمد بن يحيى بن مرداس قال أنبأنا أبو داود السجستاني أخبرنا أحمد بن عمرو بن السرح وأبو ثور إبراهيم بن خالد الكلبي وآخرون قالوا أنبأنا الشافعي، وساقه بسنده ومتنه ثم قال</w:t>
      </w:r>
      <w:r w:rsidRPr="00A52585">
        <w:rPr>
          <w:rFonts w:hint="cs"/>
          <w:sz w:val="24"/>
          <w:szCs w:val="24"/>
          <w:rtl/>
        </w:rPr>
        <w:t>:</w:t>
      </w:r>
      <w:r w:rsidR="00777DCB" w:rsidRPr="00A52585">
        <w:rPr>
          <w:rFonts w:hint="cs"/>
          <w:sz w:val="24"/>
          <w:szCs w:val="24"/>
          <w:rtl/>
        </w:rPr>
        <w:t xml:space="preserve"> قال أبو داود وهذا حديث صحيح"</w:t>
      </w:r>
      <w:r w:rsidRPr="00A52585">
        <w:rPr>
          <w:rFonts w:hint="cs"/>
          <w:sz w:val="24"/>
          <w:szCs w:val="24"/>
          <w:rtl/>
        </w:rPr>
        <w:t xml:space="preserve"> </w:t>
      </w:r>
      <w:r w:rsidR="00777DCB" w:rsidRPr="00A52585">
        <w:rPr>
          <w:rFonts w:hint="cs"/>
          <w:sz w:val="24"/>
          <w:szCs w:val="24"/>
          <w:rtl/>
        </w:rPr>
        <w:t xml:space="preserve">ثم ساقه من طريق آخر عن محمد بن إدريس بهذا ثم ساقه من طريقين عن جرير بن حازم عن الزبير بن سعيد عن عبد الله بن علي بن يزيد بن </w:t>
      </w:r>
      <w:proofErr w:type="spellStart"/>
      <w:r w:rsidR="00777DCB" w:rsidRPr="00A52585">
        <w:rPr>
          <w:rFonts w:hint="cs"/>
          <w:sz w:val="24"/>
          <w:szCs w:val="24"/>
          <w:rtl/>
        </w:rPr>
        <w:t>ركانة</w:t>
      </w:r>
      <w:proofErr w:type="spellEnd"/>
      <w:r w:rsidR="00777DCB" w:rsidRPr="00A52585">
        <w:rPr>
          <w:rFonts w:hint="cs"/>
          <w:sz w:val="24"/>
          <w:szCs w:val="24"/>
          <w:rtl/>
        </w:rPr>
        <w:t xml:space="preserve"> عن أبيه عن جده وقال</w:t>
      </w:r>
      <w:r w:rsidRPr="00A52585">
        <w:rPr>
          <w:rFonts w:hint="cs"/>
          <w:sz w:val="24"/>
          <w:szCs w:val="24"/>
          <w:rtl/>
        </w:rPr>
        <w:t>:</w:t>
      </w:r>
      <w:r w:rsidR="00777DCB" w:rsidRPr="00A52585">
        <w:rPr>
          <w:rFonts w:hint="cs"/>
          <w:sz w:val="24"/>
          <w:szCs w:val="24"/>
          <w:rtl/>
        </w:rPr>
        <w:t xml:space="preserve"> غير أن أبا نضر لم يقل</w:t>
      </w:r>
      <w:r w:rsidRPr="00A52585">
        <w:rPr>
          <w:rFonts w:hint="cs"/>
          <w:sz w:val="24"/>
          <w:szCs w:val="24"/>
          <w:rtl/>
        </w:rPr>
        <w:t>:</w:t>
      </w:r>
      <w:r w:rsidR="00777DCB" w:rsidRPr="00A52585">
        <w:rPr>
          <w:rFonts w:hint="cs"/>
          <w:sz w:val="24"/>
          <w:szCs w:val="24"/>
          <w:rtl/>
        </w:rPr>
        <w:t xml:space="preserve"> ابن يزيد بن </w:t>
      </w:r>
      <w:proofErr w:type="spellStart"/>
      <w:r w:rsidR="00777DCB" w:rsidRPr="00A52585">
        <w:rPr>
          <w:rFonts w:hint="cs"/>
          <w:sz w:val="24"/>
          <w:szCs w:val="24"/>
          <w:rtl/>
        </w:rPr>
        <w:t>ركانة</w:t>
      </w:r>
      <w:proofErr w:type="spellEnd"/>
      <w:r w:rsidR="00777DCB" w:rsidRPr="00A52585">
        <w:rPr>
          <w:rFonts w:hint="cs"/>
          <w:sz w:val="24"/>
          <w:szCs w:val="24"/>
          <w:rtl/>
        </w:rPr>
        <w:t xml:space="preserve"> ثم ساقه من طريقين عن عبد الله بن المارك عن الزبير بن سعيد، وقال في أولاهما</w:t>
      </w:r>
      <w:r w:rsidRPr="00A52585">
        <w:rPr>
          <w:rFonts w:hint="cs"/>
          <w:sz w:val="24"/>
          <w:szCs w:val="24"/>
          <w:rtl/>
        </w:rPr>
        <w:t>:</w:t>
      </w:r>
      <w:r w:rsidR="00777DCB" w:rsidRPr="00A52585">
        <w:rPr>
          <w:rFonts w:hint="cs"/>
          <w:sz w:val="24"/>
          <w:szCs w:val="24"/>
          <w:rtl/>
        </w:rPr>
        <w:t xml:space="preserve"> أخبرني عبد الله بن علي بن يزيد بن </w:t>
      </w:r>
      <w:proofErr w:type="spellStart"/>
      <w:r w:rsidR="00777DCB" w:rsidRPr="00A52585">
        <w:rPr>
          <w:rFonts w:hint="cs"/>
          <w:sz w:val="24"/>
          <w:szCs w:val="24"/>
          <w:rtl/>
        </w:rPr>
        <w:t>ركانة</w:t>
      </w:r>
      <w:proofErr w:type="spellEnd"/>
      <w:r w:rsidR="00777DCB" w:rsidRPr="00A52585">
        <w:rPr>
          <w:rFonts w:hint="cs"/>
          <w:sz w:val="24"/>
          <w:szCs w:val="24"/>
          <w:rtl/>
        </w:rPr>
        <w:t xml:space="preserve"> قال كان جدي </w:t>
      </w:r>
      <w:proofErr w:type="spellStart"/>
      <w:r w:rsidR="00777DCB" w:rsidRPr="00A52585">
        <w:rPr>
          <w:rFonts w:hint="cs"/>
          <w:sz w:val="24"/>
          <w:szCs w:val="24"/>
          <w:rtl/>
        </w:rPr>
        <w:t>ركانة</w:t>
      </w:r>
      <w:proofErr w:type="spellEnd"/>
      <w:r w:rsidR="00777DCB" w:rsidRPr="00A52585">
        <w:rPr>
          <w:rFonts w:hint="cs"/>
          <w:sz w:val="24"/>
          <w:szCs w:val="24"/>
          <w:rtl/>
        </w:rPr>
        <w:t xml:space="preserve"> بن عبد يزيد طلق امرأته </w:t>
      </w:r>
      <w:proofErr w:type="spellStart"/>
      <w:r w:rsidR="00777DCB" w:rsidRPr="00A52585">
        <w:rPr>
          <w:rFonts w:hint="cs"/>
          <w:sz w:val="24"/>
          <w:szCs w:val="24"/>
          <w:rtl/>
        </w:rPr>
        <w:t>ألبتة</w:t>
      </w:r>
      <w:proofErr w:type="spellEnd"/>
      <w:r w:rsidR="00777DCB" w:rsidRPr="00A52585">
        <w:rPr>
          <w:rFonts w:hint="cs"/>
          <w:sz w:val="24"/>
          <w:szCs w:val="24"/>
          <w:rtl/>
        </w:rPr>
        <w:t xml:space="preserve"> فأتى رسول الله صلى الله عليه وسلم فقال إني طلقت امرأتي </w:t>
      </w:r>
      <w:proofErr w:type="spellStart"/>
      <w:r w:rsidR="00777DCB" w:rsidRPr="00A52585">
        <w:rPr>
          <w:rFonts w:hint="cs"/>
          <w:sz w:val="24"/>
          <w:szCs w:val="24"/>
          <w:rtl/>
        </w:rPr>
        <w:t>ألبتة</w:t>
      </w:r>
      <w:proofErr w:type="spellEnd"/>
      <w:r w:rsidR="00777DCB" w:rsidRPr="00A52585">
        <w:rPr>
          <w:rFonts w:hint="cs"/>
          <w:sz w:val="24"/>
          <w:szCs w:val="24"/>
          <w:rtl/>
        </w:rPr>
        <w:t>، فقال</w:t>
      </w:r>
      <w:r w:rsidRPr="00A52585">
        <w:rPr>
          <w:rFonts w:hint="cs"/>
          <w:sz w:val="24"/>
          <w:szCs w:val="24"/>
          <w:rtl/>
        </w:rPr>
        <w:t>:</w:t>
      </w:r>
      <w:r w:rsidR="00777DCB" w:rsidRPr="00A52585">
        <w:rPr>
          <w:rFonts w:hint="cs"/>
          <w:sz w:val="24"/>
          <w:szCs w:val="24"/>
          <w:rtl/>
        </w:rPr>
        <w:t xml:space="preserve"> ما أردت</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أردت واحدة، قال آلله</w:t>
      </w:r>
      <w:r w:rsidR="00F95886" w:rsidRPr="00A52585">
        <w:rPr>
          <w:rFonts w:hint="cs"/>
          <w:sz w:val="24"/>
          <w:szCs w:val="24"/>
          <w:rtl/>
        </w:rPr>
        <w:t>؟</w:t>
      </w:r>
      <w:r w:rsidR="00777DCB" w:rsidRPr="00A52585">
        <w:rPr>
          <w:rFonts w:hint="cs"/>
          <w:sz w:val="24"/>
          <w:szCs w:val="24"/>
          <w:rtl/>
        </w:rPr>
        <w:t xml:space="preserve"> قال الله، قال فهي واحدة، وقال في أخراهما</w:t>
      </w:r>
      <w:r w:rsidRPr="00A52585">
        <w:rPr>
          <w:rFonts w:hint="cs"/>
          <w:sz w:val="24"/>
          <w:szCs w:val="24"/>
          <w:rtl/>
        </w:rPr>
        <w:t>:</w:t>
      </w:r>
      <w:r w:rsidR="00777DCB" w:rsidRPr="00A52585">
        <w:rPr>
          <w:rFonts w:hint="cs"/>
          <w:sz w:val="24"/>
          <w:szCs w:val="24"/>
          <w:rtl/>
        </w:rPr>
        <w:t xml:space="preserve"> عن الزبير بن سعيد عن عبد الله بن علي ابن السائب عن جده </w:t>
      </w:r>
      <w:proofErr w:type="spellStart"/>
      <w:r w:rsidR="00777DCB" w:rsidRPr="00A52585">
        <w:rPr>
          <w:rFonts w:hint="cs"/>
          <w:sz w:val="24"/>
          <w:szCs w:val="24"/>
          <w:rtl/>
        </w:rPr>
        <w:t>ركانة</w:t>
      </w:r>
      <w:proofErr w:type="spellEnd"/>
      <w:r w:rsidR="00777DCB" w:rsidRPr="00A52585">
        <w:rPr>
          <w:rFonts w:hint="cs"/>
          <w:sz w:val="24"/>
          <w:szCs w:val="24"/>
          <w:rtl/>
        </w:rPr>
        <w:t xml:space="preserve"> بن عبد يزيد أنه طلق امرأته بنحوه</w:t>
      </w:r>
      <w:r w:rsidR="00DB731D" w:rsidRPr="00A52585">
        <w:rPr>
          <w:rFonts w:hint="cs"/>
          <w:sz w:val="24"/>
          <w:szCs w:val="24"/>
          <w:rtl/>
        </w:rPr>
        <w:t>،</w:t>
      </w:r>
      <w:r w:rsidR="00777DCB" w:rsidRPr="00A52585">
        <w:rPr>
          <w:rFonts w:hint="cs"/>
          <w:sz w:val="24"/>
          <w:szCs w:val="24"/>
          <w:rtl/>
        </w:rPr>
        <w:t xml:space="preserve"> فاستبان من هذه الطرق أن للزبير بن سعيد فيه شيخين هما عبد الله ابن علي بن يزيد، وعبد الله بن علي بن السائب، أحد شيوخ إسناد الشافعي وأنه يرويه عن الزبير شيخان هما جرير بن حازم، وعبد الله بن المبارك، ويعلم من رواية الزبير بن سعيد للحديث على </w:t>
      </w:r>
      <w:r w:rsidR="00777DCB" w:rsidRPr="00A52585">
        <w:rPr>
          <w:rFonts w:hint="cs"/>
          <w:sz w:val="24"/>
          <w:szCs w:val="24"/>
          <w:rtl/>
        </w:rPr>
        <w:lastRenderedPageBreak/>
        <w:t xml:space="preserve">نحو ما رواه الشافعي أن الزبير وإن كان ضعيفاً قد أجاد حفظ هذا الحديث، ومن ثم صححه أئمة هذا الشأن، وقال الشيخ أبو الطيب في كتابه التعليق المغنى على سنن </w:t>
      </w:r>
      <w:proofErr w:type="spellStart"/>
      <w:r w:rsidR="00777DCB" w:rsidRPr="00A52585">
        <w:rPr>
          <w:rFonts w:hint="cs"/>
          <w:sz w:val="24"/>
          <w:szCs w:val="24"/>
          <w:rtl/>
        </w:rPr>
        <w:t>الدراقطني</w:t>
      </w:r>
      <w:proofErr w:type="spellEnd"/>
      <w:r w:rsidRPr="00A52585">
        <w:rPr>
          <w:rFonts w:hint="cs"/>
          <w:sz w:val="24"/>
          <w:szCs w:val="24"/>
          <w:rtl/>
        </w:rPr>
        <w:t xml:space="preserve"> </w:t>
      </w:r>
      <w:r w:rsidR="00777DCB" w:rsidRPr="00A52585">
        <w:rPr>
          <w:rFonts w:hint="cs"/>
          <w:sz w:val="24"/>
          <w:szCs w:val="24"/>
          <w:rtl/>
        </w:rPr>
        <w:t>" قال ابن كثير لكن قد رواه أبو داود من وجه آخر وله طرق أخر فهو حسن إن شاء الله تعالى"</w:t>
      </w:r>
      <w:r w:rsidRPr="00A52585">
        <w:rPr>
          <w:rFonts w:hint="cs"/>
          <w:sz w:val="24"/>
          <w:szCs w:val="24"/>
          <w:rtl/>
        </w:rPr>
        <w:t xml:space="preserve"> </w:t>
      </w:r>
      <w:r w:rsidR="00777DCB" w:rsidRPr="00A52585">
        <w:rPr>
          <w:rFonts w:hint="cs"/>
          <w:sz w:val="24"/>
          <w:szCs w:val="24"/>
          <w:rtl/>
        </w:rPr>
        <w:t>أهـ وهذا الشيخ ممن يرى هذا الرأي الباطل المبتدع، ويقول في بعض هذا التعليق</w:t>
      </w:r>
      <w:r w:rsidRPr="00A52585">
        <w:rPr>
          <w:rFonts w:hint="cs"/>
          <w:sz w:val="24"/>
          <w:szCs w:val="24"/>
          <w:rtl/>
        </w:rPr>
        <w:t>:</w:t>
      </w:r>
      <w:r w:rsidR="00777DCB" w:rsidRPr="00A52585">
        <w:rPr>
          <w:rFonts w:hint="cs"/>
          <w:sz w:val="24"/>
          <w:szCs w:val="24"/>
          <w:rtl/>
        </w:rPr>
        <w:t xml:space="preserve"> إنه هو الحق عندي وهي زلة من عالم تتقى، عفا الله عنا وعنه</w:t>
      </w:r>
      <w:r w:rsidR="00DB731D" w:rsidRPr="00A52585">
        <w:rPr>
          <w:rFonts w:hint="cs"/>
          <w:sz w:val="24"/>
          <w:szCs w:val="24"/>
          <w:rtl/>
        </w:rPr>
        <w:t>،</w:t>
      </w:r>
      <w:r w:rsidR="00777DCB" w:rsidRPr="00A52585">
        <w:rPr>
          <w:rFonts w:hint="cs"/>
          <w:sz w:val="24"/>
          <w:szCs w:val="24"/>
          <w:rtl/>
        </w:rPr>
        <w:t xml:space="preserve"> [10] ومن أدلة السنة على مذهب أهل الحق ما ثبت عن أنس بن مالك رضي الله عنه</w:t>
      </w:r>
      <w:r w:rsidRPr="00A52585">
        <w:rPr>
          <w:rFonts w:hint="cs"/>
          <w:sz w:val="24"/>
          <w:szCs w:val="24"/>
          <w:rtl/>
        </w:rPr>
        <w:t xml:space="preserve"> </w:t>
      </w:r>
      <w:r w:rsidR="00777DCB" w:rsidRPr="00A52585">
        <w:rPr>
          <w:rFonts w:hint="cs"/>
          <w:sz w:val="24"/>
          <w:szCs w:val="24"/>
          <w:rtl/>
        </w:rPr>
        <w:t xml:space="preserve">" أن رسول الله صلى الله عليه وسلم سئل عن رجل كانت تحته امرأة فطلقها ثلاثا فتزوجها بعده رجل فطلقها قبل أن يدخل بها- وفي رواية </w:t>
      </w:r>
      <w:r w:rsidR="00777DCB" w:rsidRPr="00A52585">
        <w:rPr>
          <w:sz w:val="24"/>
          <w:szCs w:val="24"/>
        </w:rPr>
        <w:t>–</w:t>
      </w:r>
      <w:r w:rsidR="00777DCB" w:rsidRPr="00A52585">
        <w:rPr>
          <w:rFonts w:hint="cs"/>
          <w:sz w:val="24"/>
          <w:szCs w:val="24"/>
          <w:rtl/>
        </w:rPr>
        <w:t xml:space="preserve"> فمات عنها قبل أن يدخل بها أتحل لزوجها الأول</w:t>
      </w:r>
      <w:r w:rsidR="00F95886" w:rsidRPr="00A52585">
        <w:rPr>
          <w:rFonts w:hint="cs"/>
          <w:sz w:val="24"/>
          <w:szCs w:val="24"/>
          <w:rtl/>
        </w:rPr>
        <w:t>؟</w:t>
      </w:r>
      <w:r w:rsidR="00777DCB" w:rsidRPr="00A52585">
        <w:rPr>
          <w:rFonts w:hint="cs"/>
          <w:sz w:val="24"/>
          <w:szCs w:val="24"/>
          <w:rtl/>
        </w:rPr>
        <w:t xml:space="preserve"> فقال رسول الله صلى الله عليه وسلم</w:t>
      </w:r>
      <w:r w:rsidRPr="00A52585">
        <w:rPr>
          <w:rFonts w:hint="cs"/>
          <w:sz w:val="24"/>
          <w:szCs w:val="24"/>
          <w:rtl/>
        </w:rPr>
        <w:t>:</w:t>
      </w:r>
      <w:r w:rsidR="00777DCB" w:rsidRPr="00A52585">
        <w:rPr>
          <w:rFonts w:hint="cs"/>
          <w:sz w:val="24"/>
          <w:szCs w:val="24"/>
          <w:rtl/>
        </w:rPr>
        <w:t xml:space="preserve"> لا حتى يذوق الآخر ما ذاق الأول من عسيلتها وذاقت من عسيلته"</w:t>
      </w:r>
      <w:r w:rsidRPr="00A52585">
        <w:rPr>
          <w:rFonts w:hint="cs"/>
          <w:sz w:val="24"/>
          <w:szCs w:val="24"/>
          <w:rtl/>
        </w:rPr>
        <w:t xml:space="preserve"> </w:t>
      </w:r>
      <w:r w:rsidR="00777DCB" w:rsidRPr="00A52585">
        <w:rPr>
          <w:rFonts w:hint="cs"/>
          <w:sz w:val="24"/>
          <w:szCs w:val="24"/>
          <w:rtl/>
        </w:rPr>
        <w:t>قال في مجمع الزوائد، رواه أحمد والبزار وأبو يعلى والطبراني في الأوسط ورجاله رجال الصحيح إلا محمد ابن دينار، وقد وثقه أبو حاتم وأبو زرعة وابن حبان وفيه كلام لا يضر "</w:t>
      </w:r>
      <w:r w:rsidR="00DB731D" w:rsidRPr="00A52585">
        <w:rPr>
          <w:rFonts w:hint="cs"/>
          <w:sz w:val="24"/>
          <w:szCs w:val="24"/>
          <w:rtl/>
        </w:rPr>
        <w:t>،</w:t>
      </w:r>
      <w:r w:rsidR="00777DCB" w:rsidRPr="00A52585">
        <w:rPr>
          <w:rFonts w:hint="cs"/>
          <w:sz w:val="24"/>
          <w:szCs w:val="24"/>
          <w:rtl/>
        </w:rPr>
        <w:t xml:space="preserve"> [11] ومن الأدلة ما في المجمع أيضاً، عن ابن عمر أن رسول الله صلى الله عليه وسلم قال</w:t>
      </w:r>
      <w:r w:rsidRPr="00A52585">
        <w:rPr>
          <w:rFonts w:hint="cs"/>
          <w:sz w:val="24"/>
          <w:szCs w:val="24"/>
          <w:rtl/>
        </w:rPr>
        <w:t xml:space="preserve">: </w:t>
      </w:r>
      <w:r w:rsidR="00777DCB" w:rsidRPr="00A52585">
        <w:rPr>
          <w:rFonts w:hint="cs"/>
          <w:sz w:val="24"/>
          <w:szCs w:val="24"/>
          <w:rtl/>
        </w:rPr>
        <w:t>" المطلقة ثلاثا لا تحل لزوجها الأول حتى تنكح زوجا غيره ويخالطها ويذوق من عسيلتها"</w:t>
      </w:r>
      <w:r w:rsidRPr="00A52585">
        <w:rPr>
          <w:rFonts w:hint="cs"/>
          <w:sz w:val="24"/>
          <w:szCs w:val="24"/>
          <w:rtl/>
        </w:rPr>
        <w:t xml:space="preserve"> </w:t>
      </w:r>
      <w:r w:rsidR="00777DCB" w:rsidRPr="00A52585">
        <w:rPr>
          <w:rFonts w:hint="cs"/>
          <w:sz w:val="24"/>
          <w:szCs w:val="24"/>
          <w:rtl/>
        </w:rPr>
        <w:t>رواه الطبراني وأبو يعلى إلا أنه قال بمثل حديث عائشة، وهو نحو هذا ورجال أبي يعلى رجال الصحيح</w:t>
      </w:r>
      <w:r w:rsidR="00DB731D" w:rsidRPr="00A52585">
        <w:rPr>
          <w:rFonts w:hint="cs"/>
          <w:sz w:val="24"/>
          <w:szCs w:val="24"/>
          <w:rtl/>
        </w:rPr>
        <w:t>،</w:t>
      </w:r>
      <w:r w:rsidR="00777DCB" w:rsidRPr="00A52585">
        <w:rPr>
          <w:rFonts w:hint="cs"/>
          <w:sz w:val="24"/>
          <w:szCs w:val="24"/>
          <w:rtl/>
        </w:rPr>
        <w:t xml:space="preserve"> [12] ومنها ما أخرج أبو داود في السنن قال (باب نسخ المراجعة بعد التطليقات الثلاث) ثم ذكر بسنده عن عكرمة عن ابن عباس قال رضي الله عنه</w:t>
      </w:r>
      <w:r w:rsidRPr="00A52585">
        <w:rPr>
          <w:rFonts w:hint="cs"/>
          <w:sz w:val="24"/>
          <w:szCs w:val="24"/>
          <w:rtl/>
        </w:rPr>
        <w:t>:</w:t>
      </w:r>
      <w:r w:rsidR="00777DCB" w:rsidRPr="00A52585">
        <w:rPr>
          <w:rFonts w:hint="cs"/>
          <w:sz w:val="24"/>
          <w:szCs w:val="24"/>
          <w:rtl/>
        </w:rPr>
        <w:t xml:space="preserve"> (والمطلقات يتربصن بأنفسهن ثلاثة قروء) الآية وذلك أن الرجل كان إذا طلق امرأته، فهو أحق برجعتها وإن طلقها ثلاثا فنسخ ذلك، وقال</w:t>
      </w:r>
      <w:r w:rsidRPr="00A52585">
        <w:rPr>
          <w:rFonts w:hint="cs"/>
          <w:sz w:val="24"/>
          <w:szCs w:val="24"/>
          <w:rtl/>
        </w:rPr>
        <w:t>:</w:t>
      </w:r>
      <w:r w:rsidR="00777DCB" w:rsidRPr="00A52585">
        <w:rPr>
          <w:rFonts w:hint="cs"/>
          <w:sz w:val="24"/>
          <w:szCs w:val="24"/>
          <w:rtl/>
        </w:rPr>
        <w:t xml:space="preserve"> (الطلاق مرتان)</w:t>
      </w:r>
      <w:r w:rsidR="00DB731D" w:rsidRPr="00A52585">
        <w:rPr>
          <w:rFonts w:hint="cs"/>
          <w:sz w:val="24"/>
          <w:szCs w:val="24"/>
          <w:rtl/>
        </w:rPr>
        <w:t>،</w:t>
      </w:r>
      <w:r w:rsidR="00777DCB" w:rsidRPr="00A52585">
        <w:rPr>
          <w:rFonts w:hint="cs"/>
          <w:sz w:val="24"/>
          <w:szCs w:val="24"/>
          <w:rtl/>
        </w:rPr>
        <w:t xml:space="preserve"> فهذه اثنا عشر حديثاً، جلها صحاح، وبعضها حسن، مرفوعة إلى رسول الله صلى الله عليه وسلم</w:t>
      </w:r>
      <w:r w:rsidRPr="00A52585">
        <w:rPr>
          <w:rFonts w:hint="cs"/>
          <w:sz w:val="24"/>
          <w:szCs w:val="24"/>
          <w:rtl/>
        </w:rPr>
        <w:t>:</w:t>
      </w:r>
      <w:r w:rsidR="00777DCB" w:rsidRPr="00A52585">
        <w:rPr>
          <w:rFonts w:hint="cs"/>
          <w:sz w:val="24"/>
          <w:szCs w:val="24"/>
          <w:rtl/>
        </w:rPr>
        <w:t xml:space="preserve"> تنادي بأن الحق المنزل من السماء أن من جمع الطلقات الثلاث فهي ثلاث لا تحل لمطلقها إلا بعد زوج</w:t>
      </w:r>
      <w:r w:rsidRPr="00A52585">
        <w:rPr>
          <w:rFonts w:hint="cs"/>
          <w:sz w:val="24"/>
          <w:szCs w:val="24"/>
          <w:rtl/>
        </w:rPr>
        <w:t>:</w:t>
      </w:r>
      <w:r w:rsidR="00777DCB" w:rsidRPr="00A52585">
        <w:rPr>
          <w:rFonts w:hint="cs"/>
          <w:sz w:val="24"/>
          <w:szCs w:val="24"/>
          <w:rtl/>
        </w:rPr>
        <w:t xml:space="preserve"> يرويها تسعة من أصحاب رسول الله صلى الله عليه وسلم</w:t>
      </w:r>
      <w:r w:rsidRPr="00A52585">
        <w:rPr>
          <w:rFonts w:hint="cs"/>
          <w:sz w:val="24"/>
          <w:szCs w:val="24"/>
          <w:rtl/>
        </w:rPr>
        <w:t>:</w:t>
      </w:r>
      <w:r w:rsidR="00777DCB" w:rsidRPr="00A52585">
        <w:rPr>
          <w:rFonts w:hint="cs"/>
          <w:sz w:val="24"/>
          <w:szCs w:val="24"/>
          <w:rtl/>
        </w:rPr>
        <w:t xml:space="preserve"> سهل بن سعد الساعدي، وعبادة بن الصامت، وأم المؤمنين عائشة، وابن عمر، وابن عباس، وأنس ابن مالك، وعلي أو ابنه الحسن، ومحمود بن لبيد، </w:t>
      </w:r>
      <w:proofErr w:type="spellStart"/>
      <w:r w:rsidR="00777DCB" w:rsidRPr="00A52585">
        <w:rPr>
          <w:rFonts w:hint="cs"/>
          <w:sz w:val="24"/>
          <w:szCs w:val="24"/>
          <w:rtl/>
        </w:rPr>
        <w:t>وركانة</w:t>
      </w:r>
      <w:proofErr w:type="spellEnd"/>
      <w:r w:rsidRPr="00A52585">
        <w:rPr>
          <w:rFonts w:hint="cs"/>
          <w:sz w:val="24"/>
          <w:szCs w:val="24"/>
          <w:rtl/>
        </w:rPr>
        <w:t xml:space="preserve"> </w:t>
      </w:r>
      <w:r w:rsidR="00777DCB" w:rsidRPr="00A52585">
        <w:rPr>
          <w:rFonts w:hint="cs"/>
          <w:sz w:val="24"/>
          <w:szCs w:val="24"/>
          <w:rtl/>
        </w:rPr>
        <w:t>رضي الله عنهم أجمعين فماذا بعد الحق إلا الضلال</w:t>
      </w:r>
      <w:r w:rsidR="00F95886" w:rsidRPr="00A52585">
        <w:rPr>
          <w:rFonts w:hint="cs"/>
          <w:sz w:val="24"/>
          <w:szCs w:val="24"/>
          <w:rtl/>
        </w:rPr>
        <w:t>؟!</w:t>
      </w:r>
      <w:r w:rsidR="00777DCB" w:rsidRPr="00A52585">
        <w:rPr>
          <w:rFonts w:hint="cs"/>
          <w:sz w:val="24"/>
          <w:szCs w:val="24"/>
          <w:rtl/>
        </w:rPr>
        <w:t>! "</w:t>
      </w:r>
      <w:r w:rsidRPr="00A52585">
        <w:rPr>
          <w:rFonts w:hint="cs"/>
          <w:sz w:val="24"/>
          <w:szCs w:val="24"/>
          <w:rtl/>
        </w:rPr>
        <w:t xml:space="preserve"> </w:t>
      </w:r>
      <w:r w:rsidR="00777DCB" w:rsidRPr="00A52585">
        <w:rPr>
          <w:rFonts w:hint="cs"/>
          <w:sz w:val="24"/>
          <w:szCs w:val="24"/>
          <w:rtl/>
        </w:rPr>
        <w:t>أهـ ص37-50 من (البراهين الساطعة)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والأحاديث التالية مما استدل به الإمام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صريحة قاطعة الدلالة على المطلوب</w:t>
      </w:r>
      <w:r w:rsidRPr="00A52585">
        <w:rPr>
          <w:rFonts w:hint="cs"/>
          <w:sz w:val="24"/>
          <w:szCs w:val="24"/>
          <w:rtl/>
        </w:rPr>
        <w:t>:</w:t>
      </w:r>
      <w:r w:rsidR="00777DCB" w:rsidRPr="00A52585">
        <w:rPr>
          <w:rFonts w:hint="cs"/>
          <w:sz w:val="24"/>
          <w:szCs w:val="24"/>
          <w:rtl/>
        </w:rPr>
        <w:t xml:space="preserve"> الحديث الأول (حديث عويمر)</w:t>
      </w:r>
      <w:r w:rsidR="00DB731D" w:rsidRPr="00A52585">
        <w:rPr>
          <w:rFonts w:hint="cs"/>
          <w:sz w:val="24"/>
          <w:szCs w:val="24"/>
          <w:rtl/>
        </w:rPr>
        <w:t>،</w:t>
      </w:r>
      <w:r w:rsidR="00777DCB" w:rsidRPr="00A52585">
        <w:rPr>
          <w:rFonts w:hint="cs"/>
          <w:sz w:val="24"/>
          <w:szCs w:val="24"/>
          <w:rtl/>
        </w:rPr>
        <w:t xml:space="preserve"> الحديث الخامس (حديث محمود بن لبيد</w:t>
      </w:r>
      <w:r w:rsidRPr="00A52585">
        <w:rPr>
          <w:rFonts w:hint="cs"/>
          <w:sz w:val="24"/>
          <w:szCs w:val="24"/>
          <w:rtl/>
        </w:rPr>
        <w:t>:</w:t>
      </w:r>
      <w:r w:rsidR="00777DCB" w:rsidRPr="00A52585">
        <w:rPr>
          <w:rFonts w:hint="cs"/>
          <w:sz w:val="24"/>
          <w:szCs w:val="24"/>
          <w:rtl/>
        </w:rPr>
        <w:t xml:space="preserve"> أيلعب بكتاب الله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الحديث السادس (حديث الحسن بن علي)</w:t>
      </w:r>
      <w:r w:rsidR="00DB731D" w:rsidRPr="00A52585">
        <w:rPr>
          <w:rFonts w:hint="cs"/>
          <w:sz w:val="24"/>
          <w:szCs w:val="24"/>
          <w:rtl/>
        </w:rPr>
        <w:t>،</w:t>
      </w:r>
      <w:r w:rsidR="00777DCB" w:rsidRPr="00A52585">
        <w:rPr>
          <w:rFonts w:hint="cs"/>
          <w:sz w:val="24"/>
          <w:szCs w:val="24"/>
          <w:rtl/>
        </w:rPr>
        <w:t xml:space="preserve"> الحديث الثامن (حديث ابن عمر</w:t>
      </w:r>
      <w:r w:rsidRPr="00A52585">
        <w:rPr>
          <w:rFonts w:hint="cs"/>
          <w:sz w:val="24"/>
          <w:szCs w:val="24"/>
          <w:rtl/>
        </w:rPr>
        <w:t>:</w:t>
      </w:r>
      <w:r w:rsidR="00777DCB" w:rsidRPr="00A52585">
        <w:rPr>
          <w:rFonts w:hint="cs"/>
          <w:sz w:val="24"/>
          <w:szCs w:val="24"/>
          <w:rtl/>
        </w:rPr>
        <w:t xml:space="preserve"> أرأيت لو أني طلقتها ثلاثا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الحديث التاسع (حديث </w:t>
      </w:r>
      <w:proofErr w:type="spellStart"/>
      <w:r w:rsidR="00777DCB" w:rsidRPr="00A52585">
        <w:rPr>
          <w:rFonts w:hint="cs"/>
          <w:sz w:val="24"/>
          <w:szCs w:val="24"/>
          <w:rtl/>
        </w:rPr>
        <w:t>ركانة</w:t>
      </w:r>
      <w:proofErr w:type="spellEnd"/>
      <w:r w:rsidRPr="00A52585">
        <w:rPr>
          <w:rFonts w:hint="cs"/>
          <w:sz w:val="24"/>
          <w:szCs w:val="24"/>
          <w:rtl/>
        </w:rPr>
        <w:t>:</w:t>
      </w:r>
      <w:r w:rsidR="00777DCB" w:rsidRPr="00A52585">
        <w:rPr>
          <w:rFonts w:hint="cs"/>
          <w:sz w:val="24"/>
          <w:szCs w:val="24"/>
          <w:rtl/>
        </w:rPr>
        <w:t xml:space="preserve"> والله ما أردت إلا واحدة</w:t>
      </w:r>
      <w:r w:rsidR="00F95886" w:rsidRPr="00A52585">
        <w:rPr>
          <w:rFonts w:hint="cs"/>
          <w:sz w:val="24"/>
          <w:szCs w:val="24"/>
          <w:rtl/>
        </w:rPr>
        <w:t>؟</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أما مجموعة الأحاديث</w:t>
      </w:r>
      <w:r w:rsidRPr="00A52585">
        <w:rPr>
          <w:rFonts w:hint="cs"/>
          <w:sz w:val="24"/>
          <w:szCs w:val="24"/>
          <w:rtl/>
        </w:rPr>
        <w:t>:</w:t>
      </w:r>
      <w:r w:rsidR="00777DCB" w:rsidRPr="00A52585">
        <w:rPr>
          <w:rFonts w:hint="cs"/>
          <w:sz w:val="24"/>
          <w:szCs w:val="24"/>
          <w:rtl/>
        </w:rPr>
        <w:t xml:space="preserve"> الثاني والثالث والرابع والعاشر والحادي عشر والثاني عشر وهي الأحاديث التي سُئل فيها رسول الله صلى الله عليه وسلم عن المطلق ثلاثا فأجاب بأن المطلقة لا تحل له حتى تنكح زوجا غيره ويذوق عسيلتها</w:t>
      </w:r>
      <w:r w:rsidRPr="00A52585">
        <w:rPr>
          <w:rFonts w:hint="cs"/>
          <w:sz w:val="24"/>
          <w:szCs w:val="24"/>
          <w:rtl/>
        </w:rPr>
        <w:t xml:space="preserve"> </w:t>
      </w:r>
      <w:r w:rsidR="00777DCB" w:rsidRPr="00A52585">
        <w:rPr>
          <w:rFonts w:hint="cs"/>
          <w:sz w:val="24"/>
          <w:szCs w:val="24"/>
          <w:rtl/>
        </w:rPr>
        <w:t>بدون أن يسأل رسول الله صلى الله عليه وسلم أكانت الطلقات الثلاث مجموعة أو مفرقة فهي دالة على أن الحكم عام يشمل هذا وذاك فكما يقول علماء الأصول (ترك الاستفسار في عموم الأحوال منزل منزلة عموم المقال) فهذه الأحاديث تثبت عموم الحكم ودلالة العام على أفراده مع وجود القرائن قطعية بلا خلاف</w:t>
      </w:r>
      <w:r w:rsidR="00DB731D" w:rsidRPr="00A52585">
        <w:rPr>
          <w:rFonts w:hint="cs"/>
          <w:sz w:val="24"/>
          <w:szCs w:val="24"/>
          <w:rtl/>
        </w:rPr>
        <w:t>،</w:t>
      </w:r>
      <w:r w:rsidR="00777DCB" w:rsidRPr="00A52585">
        <w:rPr>
          <w:rFonts w:hint="cs"/>
          <w:sz w:val="24"/>
          <w:szCs w:val="24"/>
          <w:rtl/>
        </w:rPr>
        <w:t xml:space="preserve"> أما الحديث السابع (حديث عبادة ابن الصامت فيمن طلق ألفا) فهو ضعيف السند ومعناه صحيح قد ورد مثله موقوفا عن جمع من الصحابة كما هو مبين في كتب السنة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دليل الإجماع</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يقول الإمام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في كتابه (البراهين الساطعة)</w:t>
      </w:r>
      <w:r w:rsidRPr="00A52585">
        <w:rPr>
          <w:rFonts w:hint="cs"/>
          <w:sz w:val="24"/>
          <w:szCs w:val="24"/>
          <w:rtl/>
        </w:rPr>
        <w:t>:</w:t>
      </w:r>
      <w:r w:rsidR="00777DCB" w:rsidRPr="00A52585">
        <w:rPr>
          <w:rFonts w:hint="cs"/>
          <w:sz w:val="24"/>
          <w:szCs w:val="24"/>
          <w:rtl/>
        </w:rPr>
        <w:t xml:space="preserve"> اعلم فقهك الله أنه لم يحفظ عن صحابي واحد بعد إعلان عمر لحكم الله في هذه المسألة أنه خالف عمر فأفتى بأن الثلاث واحدة، ولا احتج عليه بحديث ولا آية، وإنما المحفــوظ عن أكابـــر الصحابة والمجتهدين منهم في عهد عمر وبعده الفتوى بلزوم الثلاث لمن جمعها في </w:t>
      </w:r>
      <w:r w:rsidR="00777DCB" w:rsidRPr="00A52585">
        <w:rPr>
          <w:rFonts w:hint="cs"/>
          <w:sz w:val="24"/>
          <w:szCs w:val="24"/>
          <w:rtl/>
        </w:rPr>
        <w:lastRenderedPageBreak/>
        <w:t>كلمة صريحة أو محتملة لها، وأراد الثلاثة فقد صح نقل هذه الفتيا عن عمر، وعثمان</w:t>
      </w:r>
      <w:r w:rsidR="00DB731D" w:rsidRPr="00A52585">
        <w:rPr>
          <w:rFonts w:hint="cs"/>
          <w:sz w:val="24"/>
          <w:szCs w:val="24"/>
          <w:rtl/>
        </w:rPr>
        <w:t>،</w:t>
      </w:r>
      <w:r w:rsidR="00777DCB" w:rsidRPr="00A52585">
        <w:rPr>
          <w:rFonts w:hint="cs"/>
          <w:sz w:val="24"/>
          <w:szCs w:val="24"/>
          <w:rtl/>
        </w:rPr>
        <w:t xml:space="preserve"> وعلى والعبادلة الأربعة</w:t>
      </w:r>
      <w:r w:rsidRPr="00A52585">
        <w:rPr>
          <w:rFonts w:hint="cs"/>
          <w:sz w:val="24"/>
          <w:szCs w:val="24"/>
          <w:rtl/>
        </w:rPr>
        <w:t>:</w:t>
      </w:r>
      <w:r w:rsidR="00777DCB" w:rsidRPr="00A52585">
        <w:rPr>
          <w:rFonts w:hint="cs"/>
          <w:sz w:val="24"/>
          <w:szCs w:val="24"/>
          <w:rtl/>
        </w:rPr>
        <w:t xml:space="preserve"> ابن عباس، وابن مسعود، وابن عمرو، وان عمر، وزيد بن ثابت وأبي هريرة وعبادة بن الصامت، وأنس بن مالك، وعائشة وغيرهم رضي الله عنهم، وليس لهم مخالف، ولا منهم منكر على من أفتى بذلك، ولم يقل الواحد منهم حين أفتى</w:t>
      </w:r>
      <w:r w:rsidRPr="00A52585">
        <w:rPr>
          <w:rFonts w:hint="cs"/>
          <w:sz w:val="24"/>
          <w:szCs w:val="24"/>
          <w:rtl/>
        </w:rPr>
        <w:t>:</w:t>
      </w:r>
      <w:r w:rsidR="00777DCB" w:rsidRPr="00A52585">
        <w:rPr>
          <w:rFonts w:hint="cs"/>
          <w:sz w:val="24"/>
          <w:szCs w:val="24"/>
          <w:rtl/>
        </w:rPr>
        <w:t xml:space="preserve"> إن ذلك هو رأى عمر، أو أفتيت اقتداء بعمر، أو جريا على حكم عمر، كما ستسمعه في كلامهم رضي الله عنهم، وهل الإجماع إلا ذلك</w:t>
      </w:r>
      <w:r w:rsidR="00F95886" w:rsidRPr="00A52585">
        <w:rPr>
          <w:rFonts w:hint="cs"/>
          <w:sz w:val="24"/>
          <w:szCs w:val="24"/>
          <w:rtl/>
        </w:rPr>
        <w:t>؟</w:t>
      </w:r>
      <w:r w:rsidR="00777DCB" w:rsidRPr="00A52585">
        <w:rPr>
          <w:rFonts w:hint="cs"/>
          <w:sz w:val="24"/>
          <w:szCs w:val="24"/>
          <w:rtl/>
        </w:rPr>
        <w:t xml:space="preserve"> وسأسرد لك من فتاواهم ما تطمئن به إلى ما قلنا</w:t>
      </w:r>
      <w:r w:rsidR="00DB731D" w:rsidRPr="00A52585">
        <w:rPr>
          <w:rFonts w:hint="cs"/>
          <w:sz w:val="24"/>
          <w:szCs w:val="24"/>
          <w:rtl/>
        </w:rPr>
        <w:t>،</w:t>
      </w:r>
      <w:r w:rsidR="00777DCB" w:rsidRPr="00A52585">
        <w:rPr>
          <w:rFonts w:hint="cs"/>
          <w:sz w:val="24"/>
          <w:szCs w:val="24"/>
          <w:rtl/>
        </w:rPr>
        <w:t xml:space="preserve"> وذكر رضي الله عنه نقولا عن بعض الصحابة الذين ذكرهم إلى أن قال</w:t>
      </w:r>
      <w:r w:rsidRPr="00A52585">
        <w:rPr>
          <w:rFonts w:hint="cs"/>
          <w:sz w:val="24"/>
          <w:szCs w:val="24"/>
          <w:rtl/>
        </w:rPr>
        <w:t>:</w:t>
      </w:r>
      <w:r w:rsidR="00777DCB" w:rsidRPr="00A52585">
        <w:rPr>
          <w:rFonts w:hint="cs"/>
          <w:sz w:val="24"/>
          <w:szCs w:val="24"/>
          <w:rtl/>
        </w:rPr>
        <w:t xml:space="preserve"> وأخرج الطحاوي بسنده في شرح (معاني الآثار) عن مالك بن الحارث قال</w:t>
      </w:r>
      <w:r w:rsidRPr="00A52585">
        <w:rPr>
          <w:rFonts w:hint="cs"/>
          <w:sz w:val="24"/>
          <w:szCs w:val="24"/>
          <w:rtl/>
        </w:rPr>
        <w:t xml:space="preserve"> </w:t>
      </w:r>
      <w:r w:rsidR="00777DCB" w:rsidRPr="00A52585">
        <w:rPr>
          <w:rFonts w:hint="cs"/>
          <w:sz w:val="24"/>
          <w:szCs w:val="24"/>
          <w:rtl/>
        </w:rPr>
        <w:t>" جاء رجل إلى ابن عباس فقال</w:t>
      </w:r>
      <w:r w:rsidRPr="00A52585">
        <w:rPr>
          <w:rFonts w:hint="cs"/>
          <w:sz w:val="24"/>
          <w:szCs w:val="24"/>
          <w:rtl/>
        </w:rPr>
        <w:t>:</w:t>
      </w:r>
      <w:r w:rsidR="00777DCB" w:rsidRPr="00A52585">
        <w:rPr>
          <w:rFonts w:hint="cs"/>
          <w:sz w:val="24"/>
          <w:szCs w:val="24"/>
          <w:rtl/>
        </w:rPr>
        <w:t xml:space="preserve"> إن عمى طلق امرأته ثلاثا فقال إن عمك عصى الله فأثمه الله وأطاع الشيطان فلم يجعل له مخرجا فقلت كيف ترى في رجل يحلها له، فقال من يخادع الله يخادعه "</w:t>
      </w:r>
      <w:r w:rsidRPr="00A52585">
        <w:rPr>
          <w:rFonts w:hint="cs"/>
          <w:sz w:val="24"/>
          <w:szCs w:val="24"/>
          <w:rtl/>
        </w:rPr>
        <w:t xml:space="preserve"> </w:t>
      </w:r>
      <w:r w:rsidR="00777DCB" w:rsidRPr="00A52585">
        <w:rPr>
          <w:rFonts w:hint="cs"/>
          <w:sz w:val="24"/>
          <w:szCs w:val="24"/>
          <w:rtl/>
        </w:rPr>
        <w:t>أهـ وأخرج أبو داود بسنده عند مجاهد قال</w:t>
      </w:r>
      <w:r w:rsidRPr="00A52585">
        <w:rPr>
          <w:rFonts w:hint="cs"/>
          <w:sz w:val="24"/>
          <w:szCs w:val="24"/>
          <w:rtl/>
        </w:rPr>
        <w:t xml:space="preserve"> </w:t>
      </w:r>
      <w:r w:rsidR="00777DCB" w:rsidRPr="00A52585">
        <w:rPr>
          <w:rFonts w:hint="cs"/>
          <w:sz w:val="24"/>
          <w:szCs w:val="24"/>
          <w:rtl/>
        </w:rPr>
        <w:t xml:space="preserve">" كنت عند ابن عباس فجاء رجل فقال إنه طلق امرأته ثلاثا قال فسكت حتى ظننت أنه رادها إليه، ثم قال ينطلق أحدكم فيركب </w:t>
      </w:r>
      <w:proofErr w:type="spellStart"/>
      <w:r w:rsidR="00777DCB" w:rsidRPr="00A52585">
        <w:rPr>
          <w:rFonts w:hint="cs"/>
          <w:sz w:val="24"/>
          <w:szCs w:val="24"/>
          <w:rtl/>
        </w:rPr>
        <w:t>الحموقة</w:t>
      </w:r>
      <w:proofErr w:type="spellEnd"/>
      <w:r w:rsidR="00777DCB" w:rsidRPr="00A52585">
        <w:rPr>
          <w:rFonts w:hint="cs"/>
          <w:sz w:val="24"/>
          <w:szCs w:val="24"/>
          <w:rtl/>
        </w:rPr>
        <w:t xml:space="preserve"> ثم يقول يا ابن عباس يا ابن عباس وإن الله قال (ومن يتق الله يجعل له مخرجا) وإنك لم تتق الله فلم أجد لك مخرجا؛ عصيت ربك، وبانت منك امرأتك، وإن الله قال </w:t>
      </w:r>
      <w:r w:rsidRPr="00A52585">
        <w:rPr>
          <w:rFonts w:hint="cs"/>
          <w:sz w:val="24"/>
          <w:szCs w:val="24"/>
          <w:rtl/>
        </w:rPr>
        <w:t>{</w:t>
      </w:r>
      <w:r w:rsidR="00777DCB" w:rsidRPr="00A52585">
        <w:rPr>
          <w:rFonts w:hint="cs"/>
          <w:sz w:val="24"/>
          <w:szCs w:val="24"/>
          <w:rtl/>
        </w:rPr>
        <w:t>يا أيها النبي إذا طلقتم النساء فطلقوهن</w:t>
      </w:r>
      <w:r w:rsidRPr="00A52585">
        <w:rPr>
          <w:rFonts w:hint="cs"/>
          <w:sz w:val="24"/>
          <w:szCs w:val="24"/>
          <w:rtl/>
        </w:rPr>
        <w:t>}</w:t>
      </w:r>
      <w:r w:rsidR="00777DCB" w:rsidRPr="00A52585">
        <w:rPr>
          <w:rFonts w:hint="cs"/>
          <w:sz w:val="24"/>
          <w:szCs w:val="24"/>
          <w:rtl/>
        </w:rPr>
        <w:t xml:space="preserve"> في قبل عدتهن"</w:t>
      </w:r>
      <w:r w:rsidRPr="00A52585">
        <w:rPr>
          <w:rFonts w:hint="cs"/>
          <w:sz w:val="24"/>
          <w:szCs w:val="24"/>
          <w:rtl/>
        </w:rPr>
        <w:t xml:space="preserve"> </w:t>
      </w:r>
      <w:r w:rsidR="00777DCB" w:rsidRPr="00A52585">
        <w:rPr>
          <w:rFonts w:hint="cs"/>
          <w:sz w:val="24"/>
          <w:szCs w:val="24"/>
          <w:rtl/>
        </w:rPr>
        <w:t>وذكر أبو داود رواية هذا الحديث من طريق سعيد بن جبير، وعطاء، ومالك بن الحارث، وعمرو بن دينار كلهم قالوا عن ابن عباس في الطلاق الثلاث أجازها قال وبانت منك" أهـ فتأمل، هل قال ابن عباس في فتواه هكذا رأى أمير المؤمنين عمر خارجا على ما كان في عهد الرسول والخليفة بعده فلهذا نفتي</w:t>
      </w:r>
      <w:r w:rsidR="00F95886" w:rsidRPr="00A52585">
        <w:rPr>
          <w:rFonts w:hint="cs"/>
          <w:sz w:val="24"/>
          <w:szCs w:val="24"/>
          <w:rtl/>
        </w:rPr>
        <w:t>؟</w:t>
      </w:r>
      <w:r w:rsidR="00777DCB" w:rsidRPr="00A52585">
        <w:rPr>
          <w:rFonts w:hint="cs"/>
          <w:sz w:val="24"/>
          <w:szCs w:val="24"/>
          <w:rtl/>
        </w:rPr>
        <w:t xml:space="preserve"> أم تراه ما استند إلا إلى كتاب الله، ولا اعتبر من يخالف هذه الفتوى فيجعلها طلاقا رجعيا إلا مخادعا لله، كما 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المنافقين يخادعون الله وهو خادعهم</w:t>
      </w:r>
      <w:r w:rsidRPr="00A52585">
        <w:rPr>
          <w:rFonts w:hint="cs"/>
          <w:sz w:val="24"/>
          <w:szCs w:val="24"/>
          <w:rtl/>
        </w:rPr>
        <w:t>}</w:t>
      </w:r>
      <w:r w:rsidR="00777DCB" w:rsidRPr="00A52585">
        <w:rPr>
          <w:rFonts w:hint="cs"/>
          <w:sz w:val="24"/>
          <w:szCs w:val="24"/>
          <w:rtl/>
        </w:rPr>
        <w:t xml:space="preserve"> فابن عباس رضي الله عنه يرى الفتوى بحل المطلقة ثلاثا بدون زوج خروجا على الله وكتابه، لا على عمر ورأيه، </w:t>
      </w:r>
      <w:proofErr w:type="spellStart"/>
      <w:r w:rsidR="00777DCB" w:rsidRPr="00A52585">
        <w:rPr>
          <w:rFonts w:hint="cs"/>
          <w:sz w:val="24"/>
          <w:szCs w:val="24"/>
          <w:rtl/>
        </w:rPr>
        <w:t>أفيكون</w:t>
      </w:r>
      <w:proofErr w:type="spellEnd"/>
      <w:r w:rsidR="00777DCB" w:rsidRPr="00A52585">
        <w:rPr>
          <w:rFonts w:hint="cs"/>
          <w:sz w:val="24"/>
          <w:szCs w:val="24"/>
          <w:rtl/>
        </w:rPr>
        <w:t xml:space="preserve"> بعد هذا شك لباحث منصف ومنقب عن الحق غير مصاب بالهوى، أن عمر حين أمضى الثلاث على من جمعها ما كان إلا ممضيا لحكم الله ورسوله الذي كان قد خفى على من جعلها واحدة من ناس قليلين لم يكن بلغهم الناسخ وأن حديث ابن عباس</w:t>
      </w:r>
      <w:r w:rsidRPr="00A52585">
        <w:rPr>
          <w:rFonts w:hint="cs"/>
          <w:sz w:val="24"/>
          <w:szCs w:val="24"/>
          <w:rtl/>
        </w:rPr>
        <w:t xml:space="preserve"> </w:t>
      </w:r>
      <w:r w:rsidR="00777DCB" w:rsidRPr="00A52585">
        <w:rPr>
          <w:rFonts w:hint="cs"/>
          <w:sz w:val="24"/>
          <w:szCs w:val="24"/>
          <w:rtl/>
        </w:rPr>
        <w:t>" كان الطلاق الثلاث واحداً على عهد رسول الله صلى الله عليه وسلم</w:t>
      </w:r>
      <w:r w:rsidR="00DB731D" w:rsidRPr="00A52585">
        <w:rPr>
          <w:rFonts w:hint="cs"/>
          <w:sz w:val="24"/>
          <w:szCs w:val="24"/>
          <w:rtl/>
        </w:rPr>
        <w:t>،</w:t>
      </w:r>
      <w:r w:rsidR="00777DCB" w:rsidRPr="00A52585">
        <w:rPr>
          <w:rFonts w:hint="cs"/>
          <w:sz w:val="24"/>
          <w:szCs w:val="24"/>
          <w:rtl/>
        </w:rPr>
        <w:t xml:space="preserve"> إلخ "</w:t>
      </w:r>
      <w:r w:rsidRPr="00A52585">
        <w:rPr>
          <w:rFonts w:hint="cs"/>
          <w:sz w:val="24"/>
          <w:szCs w:val="24"/>
          <w:rtl/>
        </w:rPr>
        <w:t xml:space="preserve"> </w:t>
      </w:r>
      <w:r w:rsidR="00777DCB" w:rsidRPr="00A52585">
        <w:rPr>
          <w:rFonts w:hint="cs"/>
          <w:sz w:val="24"/>
          <w:szCs w:val="24"/>
          <w:rtl/>
        </w:rPr>
        <w:t>ليــس على الظاهر الذي به فاهوا، وفيــه وهموا، وإنما هو على المعنى الذي قرره العلماء وله فهموا</w:t>
      </w:r>
      <w:r w:rsidRPr="00A52585">
        <w:rPr>
          <w:rFonts w:hint="cs"/>
          <w:sz w:val="24"/>
          <w:szCs w:val="24"/>
          <w:rtl/>
        </w:rPr>
        <w:t>:</w:t>
      </w:r>
      <w:r w:rsidR="00777DCB" w:rsidRPr="00A52585">
        <w:rPr>
          <w:rFonts w:hint="cs"/>
          <w:sz w:val="24"/>
          <w:szCs w:val="24"/>
          <w:rtl/>
        </w:rPr>
        <w:t xml:space="preserve"> أن ذلك كان من قليل لم يبلغهم الناسخ، ولم يعلمه الرسول صلى الله عليه وسلم</w:t>
      </w:r>
      <w:r w:rsidRPr="00A52585">
        <w:rPr>
          <w:rFonts w:hint="cs"/>
          <w:sz w:val="24"/>
          <w:szCs w:val="24"/>
          <w:rtl/>
        </w:rPr>
        <w:t xml:space="preserve"> </w:t>
      </w:r>
      <w:r w:rsidR="00777DCB" w:rsidRPr="00A52585">
        <w:rPr>
          <w:rFonts w:hint="cs"/>
          <w:sz w:val="24"/>
          <w:szCs w:val="24"/>
          <w:rtl/>
        </w:rPr>
        <w:t>" ولا الخليفة بعده ولا الخليفة الثاني إلا بعد سنتين أو ثلاث فاعلم ذلك وتأكده، ولا تتبع سبيل الذين لا يعلمون"</w:t>
      </w:r>
      <w:r w:rsidR="00DB731D" w:rsidRPr="00A52585">
        <w:rPr>
          <w:rFonts w:hint="cs"/>
          <w:sz w:val="24"/>
          <w:szCs w:val="24"/>
          <w:rtl/>
        </w:rPr>
        <w:t>،</w:t>
      </w:r>
      <w:r w:rsidR="00777DCB" w:rsidRPr="00A52585">
        <w:rPr>
          <w:rFonts w:hint="cs"/>
          <w:sz w:val="24"/>
          <w:szCs w:val="24"/>
          <w:rtl/>
        </w:rPr>
        <w:t xml:space="preserve"> إلى أن قال</w:t>
      </w:r>
      <w:r w:rsidRPr="00A52585">
        <w:rPr>
          <w:rFonts w:hint="cs"/>
          <w:sz w:val="24"/>
          <w:szCs w:val="24"/>
          <w:rtl/>
        </w:rPr>
        <w:t xml:space="preserve">: </w:t>
      </w:r>
      <w:r w:rsidR="00777DCB" w:rsidRPr="00A52585">
        <w:rPr>
          <w:rFonts w:hint="cs"/>
          <w:sz w:val="24"/>
          <w:szCs w:val="24"/>
          <w:rtl/>
        </w:rPr>
        <w:t>" فهؤلاء ثلاثة عشر صحابيا</w:t>
      </w:r>
      <w:r w:rsidRPr="00A52585">
        <w:rPr>
          <w:rFonts w:hint="cs"/>
          <w:sz w:val="24"/>
          <w:szCs w:val="24"/>
          <w:rtl/>
        </w:rPr>
        <w:t>:</w:t>
      </w:r>
      <w:r w:rsidR="00777DCB" w:rsidRPr="00A52585">
        <w:rPr>
          <w:rFonts w:hint="cs"/>
          <w:sz w:val="24"/>
          <w:szCs w:val="24"/>
          <w:rtl/>
        </w:rPr>
        <w:t xml:space="preserve"> الخلفاء الثلاثة والعبادلة الأربعة وأم المؤمنين عائشة وأبو هريرة وأنس بن مالك والمغيرة بن شعبة، وعبادة وعمران بن حصين، وغيرهم ممن لم نذكره اختصارا على أن الثلاثة المجموعة في كلمة واحدة أو مجلس واحد تقع ثلاثا، ولا يعرف لهم مخالف، ومن نقل عنهم أو عن واحد منهم خلاف ذلك في المطلقة ثلاثا بعد الدخول فقد افترى</w:t>
      </w:r>
      <w:r w:rsidR="00DB731D" w:rsidRPr="00A52585">
        <w:rPr>
          <w:rFonts w:hint="cs"/>
          <w:sz w:val="24"/>
          <w:szCs w:val="24"/>
          <w:rtl/>
        </w:rPr>
        <w:t>،</w:t>
      </w:r>
      <w:r w:rsidR="00777DCB" w:rsidRPr="00A52585">
        <w:rPr>
          <w:rFonts w:hint="cs"/>
          <w:sz w:val="24"/>
          <w:szCs w:val="24"/>
          <w:rtl/>
        </w:rPr>
        <w:t xml:space="preserve"> قال الحافظ في الفتح</w:t>
      </w:r>
      <w:r w:rsidRPr="00A52585">
        <w:rPr>
          <w:rFonts w:hint="cs"/>
          <w:sz w:val="24"/>
          <w:szCs w:val="24"/>
          <w:rtl/>
        </w:rPr>
        <w:t>:</w:t>
      </w:r>
      <w:r w:rsidR="00777DCB" w:rsidRPr="00A52585">
        <w:rPr>
          <w:rFonts w:hint="cs"/>
          <w:sz w:val="24"/>
          <w:szCs w:val="24"/>
          <w:rtl/>
        </w:rPr>
        <w:t xml:space="preserve"> فالذي وقع في هذه المسألة نظير ما وقع في مسألة المتعة- وذكر حديثها- ثم قال</w:t>
      </w:r>
      <w:r w:rsidRPr="00A52585">
        <w:rPr>
          <w:rFonts w:hint="cs"/>
          <w:sz w:val="24"/>
          <w:szCs w:val="24"/>
          <w:rtl/>
        </w:rPr>
        <w:t>:</w:t>
      </w:r>
      <w:r w:rsidR="00777DCB" w:rsidRPr="00A52585">
        <w:rPr>
          <w:rFonts w:hint="cs"/>
          <w:sz w:val="24"/>
          <w:szCs w:val="24"/>
          <w:rtl/>
        </w:rPr>
        <w:t xml:space="preserve"> فالراجح في الموضعين تحريم المتعة، وإيقاع الثلاث للإجماع الذي انعقد في عهد عمر على ذلك ولا يحفظ أن أحدا في عهد عمر خالفه في واحدة منهما، وقد دل إجماعهم على وجود ناسخ وإن كان خفى على بعضهم قبل ذلك حتى ظهر لجميعهم في عهد عمر فالمخالف بعد هذا الإجماع منابذ له والجمهور على عدم اعتبار من أحدث اختلاف بعد الاتفاق "</w:t>
      </w:r>
      <w:r w:rsidRPr="00A52585">
        <w:rPr>
          <w:rFonts w:hint="cs"/>
          <w:sz w:val="24"/>
          <w:szCs w:val="24"/>
          <w:rtl/>
        </w:rPr>
        <w:t xml:space="preserve"> </w:t>
      </w:r>
      <w:r w:rsidR="00777DCB" w:rsidRPr="00A52585">
        <w:rPr>
          <w:rFonts w:hint="cs"/>
          <w:sz w:val="24"/>
          <w:szCs w:val="24"/>
          <w:rtl/>
        </w:rPr>
        <w:t>اهـ</w:t>
      </w:r>
      <w:r w:rsidR="00DB731D" w:rsidRPr="00A52585">
        <w:rPr>
          <w:rFonts w:hint="cs"/>
          <w:sz w:val="24"/>
          <w:szCs w:val="24"/>
          <w:rtl/>
        </w:rPr>
        <w:t>،</w:t>
      </w:r>
      <w:r w:rsidR="00777DCB" w:rsidRPr="00A52585">
        <w:rPr>
          <w:rFonts w:hint="cs"/>
          <w:sz w:val="24"/>
          <w:szCs w:val="24"/>
          <w:rtl/>
        </w:rPr>
        <w:t xml:space="preserve"> قال الحافظ زين الدين عبد الرحمن بن رجب الحنبلي في كتابه السابق ذكره</w:t>
      </w:r>
      <w:r w:rsidRPr="00A52585">
        <w:rPr>
          <w:rFonts w:hint="cs"/>
          <w:sz w:val="24"/>
          <w:szCs w:val="24"/>
          <w:rtl/>
        </w:rPr>
        <w:t xml:space="preserve"> </w:t>
      </w:r>
      <w:r w:rsidR="00777DCB" w:rsidRPr="00A52585">
        <w:rPr>
          <w:rFonts w:hint="cs"/>
          <w:sz w:val="24"/>
          <w:szCs w:val="24"/>
          <w:rtl/>
        </w:rPr>
        <w:t xml:space="preserve">" اعلم أنه لم يثبت عن أحد من الصحابة ولا من التابعين ولا من أئمة السلف المعتد بقولهم في الفتاوى في </w:t>
      </w:r>
      <w:r w:rsidR="00777DCB" w:rsidRPr="00A52585">
        <w:rPr>
          <w:rFonts w:hint="cs"/>
          <w:sz w:val="24"/>
          <w:szCs w:val="24"/>
          <w:rtl/>
        </w:rPr>
        <w:lastRenderedPageBreak/>
        <w:t xml:space="preserve">الحلال والحرام شيء صريح في أن الطلاق الثلاث بعد الدخول يحسب واحدة إذا سيق بلفظ واحد، قال ولا نعلم من الأمة أحداً خالف في هذه المسألة مخالفة ظاهرة، لا حكما ولا قضاء، ولا علما ولا إفتاء، ولم يقع ذلك إلا من نفر يسير جداً وقد أنكره عليهم من عاصرهم غاية الإنكار، وكان أكثرهم يستخفى بذلك ولا يظهره، فكيف يكون إجماع الأمة على إخفاء دين الله الذي شرعه على لسان رسوله، واتباع اجتهاد من خالفه برأيه في ذلك هذا لا يحل اعتقاده </w:t>
      </w:r>
      <w:proofErr w:type="spellStart"/>
      <w:r w:rsidR="00777DCB" w:rsidRPr="00A52585">
        <w:rPr>
          <w:rFonts w:hint="cs"/>
          <w:sz w:val="24"/>
          <w:szCs w:val="24"/>
          <w:rtl/>
        </w:rPr>
        <w:t>ألبتة</w:t>
      </w:r>
      <w:proofErr w:type="spellEnd"/>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اهـ</w:t>
      </w:r>
      <w:r w:rsidR="00DB731D" w:rsidRPr="00A52585">
        <w:rPr>
          <w:rFonts w:hint="cs"/>
          <w:sz w:val="24"/>
          <w:szCs w:val="24"/>
          <w:rtl/>
        </w:rPr>
        <w:t>،</w:t>
      </w:r>
      <w:r w:rsidR="00777DCB" w:rsidRPr="00A52585">
        <w:rPr>
          <w:rFonts w:hint="cs"/>
          <w:sz w:val="24"/>
          <w:szCs w:val="24"/>
          <w:rtl/>
        </w:rPr>
        <w:t xml:space="preserve"> قال العلامة المحقق الكوثري عقب هذا</w:t>
      </w:r>
      <w:r w:rsidRPr="00A52585">
        <w:rPr>
          <w:rFonts w:hint="cs"/>
          <w:sz w:val="24"/>
          <w:szCs w:val="24"/>
          <w:rtl/>
        </w:rPr>
        <w:t xml:space="preserve">: </w:t>
      </w:r>
      <w:r w:rsidR="00777DCB" w:rsidRPr="00A52585">
        <w:rPr>
          <w:rFonts w:hint="cs"/>
          <w:sz w:val="24"/>
          <w:szCs w:val="24"/>
          <w:rtl/>
        </w:rPr>
        <w:t>" ولعله ظهر بهذا البيان أن إمضاء عمر للثلاث حكم شرعي مستمد من الكتاب والسنة، مقارن لإجماع فقهاء الصحابة فضلا عن التابعين ومن</w:t>
      </w:r>
      <w:r w:rsidRPr="00A52585">
        <w:rPr>
          <w:rFonts w:hint="cs"/>
          <w:sz w:val="24"/>
          <w:szCs w:val="24"/>
          <w:rtl/>
        </w:rPr>
        <w:t xml:space="preserve"> </w:t>
      </w:r>
      <w:r w:rsidR="00777DCB" w:rsidRPr="00A52585">
        <w:rPr>
          <w:rFonts w:hint="cs"/>
          <w:sz w:val="24"/>
          <w:szCs w:val="24"/>
          <w:rtl/>
        </w:rPr>
        <w:t>بعدهم وليس بعقوبة سياسية ضد حكم شرعي، فالخارج على إمضاء عمر خارج على ذلك كله" أهـ</w:t>
      </w:r>
      <w:r w:rsidR="00DB731D" w:rsidRPr="00A52585">
        <w:rPr>
          <w:rFonts w:hint="cs"/>
          <w:sz w:val="24"/>
          <w:szCs w:val="24"/>
          <w:rtl/>
        </w:rPr>
        <w:t>،</w:t>
      </w:r>
      <w:r w:rsidR="00777DCB" w:rsidRPr="00A52585">
        <w:rPr>
          <w:rFonts w:hint="cs"/>
          <w:sz w:val="24"/>
          <w:szCs w:val="24"/>
          <w:rtl/>
        </w:rPr>
        <w:t xml:space="preserve"> وقال ابن عبد البر في الاستذكار بعد ما حكى إجماع الصحابة</w:t>
      </w:r>
      <w:r w:rsidRPr="00A52585">
        <w:rPr>
          <w:rFonts w:hint="cs"/>
          <w:sz w:val="24"/>
          <w:szCs w:val="24"/>
          <w:rtl/>
        </w:rPr>
        <w:t xml:space="preserve"> </w:t>
      </w:r>
      <w:r w:rsidR="00777DCB" w:rsidRPr="00A52585">
        <w:rPr>
          <w:rFonts w:hint="cs"/>
          <w:sz w:val="24"/>
          <w:szCs w:val="24"/>
          <w:rtl/>
        </w:rPr>
        <w:t>" وعلى ذلك جماعات التابعين وأئمة الفتوى في أمصار المسلمين</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w:t>
      </w:r>
      <w:r w:rsidR="00777DCB" w:rsidRPr="00A52585">
        <w:rPr>
          <w:rFonts w:hint="cs"/>
          <w:sz w:val="24"/>
          <w:szCs w:val="24"/>
          <w:rtl/>
        </w:rPr>
        <w:t xml:space="preserve"> وما أعلم أحداً من أهل السنة قال بغير هذا إلا الحجاج بن أرطاة ومحمد ابن إسحاق، وكلاهما ليس بفقيه ولا حجة فيما قاله ونقل عن بعض أصحاب داود عنه أنه قال</w:t>
      </w:r>
      <w:r w:rsidRPr="00A52585">
        <w:rPr>
          <w:rFonts w:hint="cs"/>
          <w:sz w:val="24"/>
          <w:szCs w:val="24"/>
          <w:rtl/>
        </w:rPr>
        <w:t>:</w:t>
      </w:r>
      <w:r w:rsidR="00777DCB" w:rsidRPr="00A52585">
        <w:rPr>
          <w:rFonts w:hint="cs"/>
          <w:sz w:val="24"/>
          <w:szCs w:val="24"/>
          <w:rtl/>
        </w:rPr>
        <w:t xml:space="preserve"> ليس الحجاج بن أرطاة ومن قال بقوله من الرافضة ممن يعترض به على الإجماع لأنه ليس من أهل الفقه قال ولم يختلف أصحاب داود عنه في أنه قائل بوقوعها مجتمعات "</w:t>
      </w:r>
      <w:r w:rsidRPr="00A52585">
        <w:rPr>
          <w:rFonts w:hint="cs"/>
          <w:sz w:val="24"/>
          <w:szCs w:val="24"/>
          <w:rtl/>
        </w:rPr>
        <w:t xml:space="preserve"> </w:t>
      </w:r>
      <w:r w:rsidR="00777DCB" w:rsidRPr="00A52585">
        <w:rPr>
          <w:rFonts w:hint="cs"/>
          <w:sz w:val="24"/>
          <w:szCs w:val="24"/>
          <w:rtl/>
        </w:rPr>
        <w:t>اهـ</w:t>
      </w:r>
      <w:r w:rsidR="00DB731D" w:rsidRPr="00A52585">
        <w:rPr>
          <w:rFonts w:hint="cs"/>
          <w:sz w:val="24"/>
          <w:szCs w:val="24"/>
          <w:rtl/>
        </w:rPr>
        <w:t>،</w:t>
      </w:r>
      <w:r w:rsidR="00777DCB" w:rsidRPr="00A52585">
        <w:rPr>
          <w:rFonts w:hint="cs"/>
          <w:sz w:val="24"/>
          <w:szCs w:val="24"/>
          <w:rtl/>
        </w:rPr>
        <w:t xml:space="preserve"> وقال الفقيه المحقق الكمال بن الهمام في شرح الهداية بعد ما نقل نحو ما سبق عن الصحابة</w:t>
      </w:r>
      <w:r w:rsidRPr="00A52585">
        <w:rPr>
          <w:rFonts w:hint="cs"/>
          <w:sz w:val="24"/>
          <w:szCs w:val="24"/>
          <w:rtl/>
        </w:rPr>
        <w:t>:</w:t>
      </w:r>
      <w:r w:rsidR="00777DCB" w:rsidRPr="00A52585">
        <w:rPr>
          <w:rFonts w:hint="cs"/>
          <w:sz w:val="24"/>
          <w:szCs w:val="24"/>
          <w:rtl/>
        </w:rPr>
        <w:t xml:space="preserve"> وقول بعض الحنابلة القائلين بهذا المذهب- يعني ابن تيمية- توفى رسول الله صلى الله عليه وسلم عن مائة ألف عين رأته فهل صح لكم عن هؤلاء أو عن عشر </w:t>
      </w:r>
      <w:proofErr w:type="spellStart"/>
      <w:r w:rsidR="00777DCB" w:rsidRPr="00A52585">
        <w:rPr>
          <w:rFonts w:hint="cs"/>
          <w:sz w:val="24"/>
          <w:szCs w:val="24"/>
          <w:rtl/>
        </w:rPr>
        <w:t>عشر</w:t>
      </w:r>
      <w:proofErr w:type="spellEnd"/>
      <w:r w:rsidR="00777DCB" w:rsidRPr="00A52585">
        <w:rPr>
          <w:rFonts w:hint="cs"/>
          <w:sz w:val="24"/>
          <w:szCs w:val="24"/>
          <w:rtl/>
        </w:rPr>
        <w:t xml:space="preserve"> عشرهم القول بلزوم الثلاث بفم</w:t>
      </w:r>
      <w:r w:rsidR="00F95886" w:rsidRPr="00A52585">
        <w:rPr>
          <w:rFonts w:hint="cs"/>
          <w:sz w:val="24"/>
          <w:szCs w:val="24"/>
          <w:rtl/>
        </w:rPr>
        <w:t>؟</w:t>
      </w:r>
      <w:r w:rsidR="00777DCB" w:rsidRPr="00A52585">
        <w:rPr>
          <w:rFonts w:hint="cs"/>
          <w:sz w:val="24"/>
          <w:szCs w:val="24"/>
          <w:rtl/>
        </w:rPr>
        <w:t xml:space="preserve"> بل </w:t>
      </w:r>
      <w:proofErr w:type="spellStart"/>
      <w:r w:rsidR="00777DCB" w:rsidRPr="00A52585">
        <w:rPr>
          <w:rFonts w:hint="cs"/>
          <w:sz w:val="24"/>
          <w:szCs w:val="24"/>
          <w:rtl/>
        </w:rPr>
        <w:t>لوجهدتم</w:t>
      </w:r>
      <w:proofErr w:type="spellEnd"/>
      <w:r w:rsidR="00777DCB" w:rsidRPr="00A52585">
        <w:rPr>
          <w:rFonts w:hint="cs"/>
          <w:sz w:val="24"/>
          <w:szCs w:val="24"/>
          <w:rtl/>
        </w:rPr>
        <w:t xml:space="preserve"> لم تطيقوا نقله عن عشرين نفسا- باطل</w:t>
      </w:r>
      <w:r w:rsidRPr="00A52585">
        <w:rPr>
          <w:rFonts w:hint="cs"/>
          <w:sz w:val="24"/>
          <w:szCs w:val="24"/>
          <w:rtl/>
        </w:rPr>
        <w:t>:</w:t>
      </w:r>
      <w:r w:rsidR="00777DCB" w:rsidRPr="00A52585">
        <w:rPr>
          <w:rFonts w:hint="cs"/>
          <w:sz w:val="24"/>
          <w:szCs w:val="24"/>
          <w:rtl/>
        </w:rPr>
        <w:t xml:space="preserve"> أما أولا</w:t>
      </w:r>
      <w:r w:rsidRPr="00A52585">
        <w:rPr>
          <w:rFonts w:hint="cs"/>
          <w:sz w:val="24"/>
          <w:szCs w:val="24"/>
          <w:rtl/>
        </w:rPr>
        <w:t>:</w:t>
      </w:r>
      <w:r w:rsidR="00777DCB" w:rsidRPr="00A52585">
        <w:rPr>
          <w:rFonts w:hint="cs"/>
          <w:sz w:val="24"/>
          <w:szCs w:val="24"/>
          <w:rtl/>
        </w:rPr>
        <w:t xml:space="preserve"> فإجماعهم ظاهر فإنه لم ينقل عن أحد منهم أنه خالف عمر رضي الله عنه حين أمضى الثلاث وليس يلزم في نقل الحكم </w:t>
      </w:r>
      <w:proofErr w:type="spellStart"/>
      <w:r w:rsidR="00777DCB" w:rsidRPr="00A52585">
        <w:rPr>
          <w:rFonts w:hint="cs"/>
          <w:sz w:val="24"/>
          <w:szCs w:val="24"/>
          <w:rtl/>
        </w:rPr>
        <w:t>الإجماعي</w:t>
      </w:r>
      <w:proofErr w:type="spellEnd"/>
      <w:r w:rsidR="00777DCB" w:rsidRPr="00A52585">
        <w:rPr>
          <w:rFonts w:hint="cs"/>
          <w:sz w:val="24"/>
          <w:szCs w:val="24"/>
          <w:rtl/>
        </w:rPr>
        <w:t xml:space="preserve"> عن مائة ألف أن يسمى كل ليلزم في مجلد كبير حكم واحد على أنه إجماع سكوتي وأما ثانياً</w:t>
      </w:r>
      <w:r w:rsidRPr="00A52585">
        <w:rPr>
          <w:rFonts w:hint="cs"/>
          <w:sz w:val="24"/>
          <w:szCs w:val="24"/>
          <w:rtl/>
        </w:rPr>
        <w:t>:</w:t>
      </w:r>
      <w:r w:rsidR="00777DCB" w:rsidRPr="00A52585">
        <w:rPr>
          <w:rFonts w:hint="cs"/>
          <w:sz w:val="24"/>
          <w:szCs w:val="24"/>
          <w:rtl/>
        </w:rPr>
        <w:t xml:space="preserve"> فإن العبرة في نقل الإجماع نقل ما عن المجتهدين لا العوام، والمائة الألف الذين توفى عنهم رسول الله صلى الله عليه وسلم لا تبلغ عدة المجتهدين الفقهاء منهم أكثر من عشرين كالخلفاء والعبادلة وزيد بن ثابت ومعاذ بن جبل وأنس وأبي هريرة رضي الله عنهم وقليل والباقون يرجعون إليهم ويستفتون منهم وقد أثبتنا النقل عن أكثرهم صريحا بإيقاع الثلاث ولم يظهر لهم مخالف فماذا بعد الحق إلا الضلال</w:t>
      </w:r>
      <w:r w:rsidR="00F95886" w:rsidRPr="00A52585">
        <w:rPr>
          <w:rFonts w:hint="cs"/>
          <w:sz w:val="24"/>
          <w:szCs w:val="24"/>
          <w:rtl/>
        </w:rPr>
        <w:t>؟</w:t>
      </w:r>
      <w:r w:rsidR="00777DCB" w:rsidRPr="00A52585">
        <w:rPr>
          <w:rFonts w:hint="cs"/>
          <w:sz w:val="24"/>
          <w:szCs w:val="24"/>
          <w:rtl/>
        </w:rPr>
        <w:t xml:space="preserve"> وعن هذا قلنا لو حكم حاكم بأن الثلاث بفم واحد واحدة لم ينفذ حكمه؛ لأنه لا يسوغ الاجتهاد فيه فهو خلاف لا اختلاف "</w:t>
      </w:r>
      <w:r w:rsidRPr="00A52585">
        <w:rPr>
          <w:rFonts w:hint="cs"/>
          <w:sz w:val="24"/>
          <w:szCs w:val="24"/>
          <w:rtl/>
        </w:rPr>
        <w:t xml:space="preserve"> </w:t>
      </w:r>
      <w:r w:rsidR="00777DCB" w:rsidRPr="00A52585">
        <w:rPr>
          <w:rFonts w:hint="cs"/>
          <w:sz w:val="24"/>
          <w:szCs w:val="24"/>
          <w:rtl/>
        </w:rPr>
        <w:t>أهـ بنصه</w:t>
      </w:r>
      <w:r w:rsidR="00DB731D" w:rsidRPr="00A52585">
        <w:rPr>
          <w:rFonts w:hint="cs"/>
          <w:sz w:val="24"/>
          <w:szCs w:val="24"/>
          <w:rtl/>
        </w:rPr>
        <w:t>،</w:t>
      </w:r>
      <w:r w:rsidR="00777DCB" w:rsidRPr="00A52585">
        <w:rPr>
          <w:rFonts w:hint="cs"/>
          <w:sz w:val="24"/>
          <w:szCs w:val="24"/>
          <w:rtl/>
        </w:rPr>
        <w:t xml:space="preserve"> وقد خالف ابن تيمية وأتباعه كل هذه الأدلة التي يفيد مجموعها القطع بل بعضها قطعي الدلالة بمفرده، </w:t>
      </w:r>
      <w:proofErr w:type="spellStart"/>
      <w:r w:rsidR="00777DCB" w:rsidRPr="00A52585">
        <w:rPr>
          <w:rFonts w:hint="cs"/>
          <w:sz w:val="24"/>
          <w:szCs w:val="24"/>
          <w:rtl/>
        </w:rPr>
        <w:t>إستناداً</w:t>
      </w:r>
      <w:proofErr w:type="spellEnd"/>
      <w:r w:rsidR="00777DCB" w:rsidRPr="00A52585">
        <w:rPr>
          <w:rFonts w:hint="cs"/>
          <w:sz w:val="24"/>
          <w:szCs w:val="24"/>
          <w:rtl/>
        </w:rPr>
        <w:t xml:space="preserve"> إلى أحاديث أربعة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الأول</w:t>
      </w:r>
      <w:r w:rsidRPr="00A52585">
        <w:rPr>
          <w:rFonts w:hint="cs"/>
          <w:bCs/>
          <w:sz w:val="24"/>
          <w:szCs w:val="24"/>
          <w:rtl/>
        </w:rPr>
        <w:t>):</w:t>
      </w:r>
      <w:r w:rsidR="00777DCB" w:rsidRPr="00A52585">
        <w:rPr>
          <w:rFonts w:hint="cs"/>
          <w:sz w:val="24"/>
          <w:szCs w:val="24"/>
          <w:rtl/>
        </w:rPr>
        <w:t xml:space="preserve"> حديث ابن عمر</w:t>
      </w:r>
      <w:r w:rsidRPr="00A52585">
        <w:rPr>
          <w:rFonts w:hint="cs"/>
          <w:sz w:val="24"/>
          <w:szCs w:val="24"/>
          <w:rtl/>
        </w:rPr>
        <w:t xml:space="preserve"> </w:t>
      </w:r>
      <w:r w:rsidR="00777DCB" w:rsidRPr="00A52585">
        <w:rPr>
          <w:rFonts w:hint="cs"/>
          <w:sz w:val="24"/>
          <w:szCs w:val="24"/>
          <w:rtl/>
        </w:rPr>
        <w:t>على رواية من روى أنه طلق امرأته ثلاثا وأنه صلى الله عليه وسلم أمره برجعتها واحتسبت له واحدة وهو خطأ من بعض الرواة وقد مكث الإمام الحافظ الليث بن سعد عشرين سنة لا يعرف وجه الحديث حتى لقيه يونس بن جبير وكان ثقة حافظا مأمونا فحدثه أنها كانت طلقة واحدة وكذلك رواه الثقات الأثبات عن ابن عمر ومن هنا قال الإمام مسلم في صحيحه</w:t>
      </w:r>
      <w:r w:rsidRPr="00A52585">
        <w:rPr>
          <w:rFonts w:hint="cs"/>
          <w:sz w:val="24"/>
          <w:szCs w:val="24"/>
          <w:rtl/>
        </w:rPr>
        <w:t xml:space="preserve"> </w:t>
      </w:r>
      <w:r w:rsidR="00777DCB" w:rsidRPr="00A52585">
        <w:rPr>
          <w:rFonts w:hint="cs"/>
          <w:sz w:val="24"/>
          <w:szCs w:val="24"/>
          <w:rtl/>
        </w:rPr>
        <w:t>"جوَّد الليث في قوله تطليقه واحدة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فرواية الثلاث في طلاق ابن عمر رواية ساقطة لا يحتج بها إلا جاهل أو معاند، والصحيح في هذه القصة هو الحديث الثامن في كلام الإمام </w:t>
      </w:r>
      <w:proofErr w:type="spellStart"/>
      <w:r w:rsidR="00777DCB" w:rsidRPr="00A52585">
        <w:rPr>
          <w:rFonts w:hint="cs"/>
          <w:sz w:val="24"/>
          <w:szCs w:val="24"/>
          <w:rtl/>
        </w:rPr>
        <w:t>العزامي</w:t>
      </w:r>
      <w:proofErr w:type="spellEnd"/>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الثاني</w:t>
      </w:r>
      <w:r w:rsidRPr="00A52585">
        <w:rPr>
          <w:rFonts w:hint="cs"/>
          <w:bCs/>
          <w:sz w:val="24"/>
          <w:szCs w:val="24"/>
          <w:rtl/>
        </w:rPr>
        <w:t>):</w:t>
      </w:r>
      <w:r w:rsidR="00777DCB" w:rsidRPr="00A52585">
        <w:rPr>
          <w:rFonts w:hint="cs"/>
          <w:sz w:val="24"/>
          <w:szCs w:val="24"/>
          <w:rtl/>
        </w:rPr>
        <w:t xml:space="preserve"> ما أخرجه الإمام أحمد عن ابن عباس رضي الله عنهما قال</w:t>
      </w:r>
      <w:r w:rsidRPr="00A52585">
        <w:rPr>
          <w:rFonts w:hint="cs"/>
          <w:sz w:val="24"/>
          <w:szCs w:val="24"/>
          <w:rtl/>
        </w:rPr>
        <w:t>:</w:t>
      </w:r>
      <w:r w:rsidR="00777DCB" w:rsidRPr="00A52585">
        <w:rPr>
          <w:rFonts w:hint="cs"/>
          <w:sz w:val="24"/>
          <w:szCs w:val="24"/>
          <w:rtl/>
        </w:rPr>
        <w:t xml:space="preserve"> (طلق </w:t>
      </w:r>
      <w:proofErr w:type="spellStart"/>
      <w:r w:rsidR="00777DCB" w:rsidRPr="00A52585">
        <w:rPr>
          <w:rFonts w:hint="cs"/>
          <w:sz w:val="24"/>
          <w:szCs w:val="24"/>
          <w:rtl/>
        </w:rPr>
        <w:t>ركانة</w:t>
      </w:r>
      <w:proofErr w:type="spellEnd"/>
      <w:r w:rsidR="00777DCB" w:rsidRPr="00A52585">
        <w:rPr>
          <w:rFonts w:hint="cs"/>
          <w:sz w:val="24"/>
          <w:szCs w:val="24"/>
          <w:rtl/>
        </w:rPr>
        <w:t xml:space="preserve"> بن عبد يزيد امرأته ثلاثا في مجلس واحد فحزن عليها حزنا شديداً فسأله النبي صلى الله عليه وسلم</w:t>
      </w:r>
      <w:r w:rsidRPr="00A52585">
        <w:rPr>
          <w:rFonts w:hint="cs"/>
          <w:sz w:val="24"/>
          <w:szCs w:val="24"/>
          <w:rtl/>
        </w:rPr>
        <w:t>:</w:t>
      </w:r>
      <w:r w:rsidR="00777DCB" w:rsidRPr="00A52585">
        <w:rPr>
          <w:rFonts w:hint="cs"/>
          <w:sz w:val="24"/>
          <w:szCs w:val="24"/>
          <w:rtl/>
        </w:rPr>
        <w:t xml:space="preserve"> كيف طلقتها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ثلاثا في مجلس واحد، فقال النبي صلى الله عليه وسلم</w:t>
      </w:r>
      <w:r w:rsidRPr="00A52585">
        <w:rPr>
          <w:rFonts w:hint="cs"/>
          <w:sz w:val="24"/>
          <w:szCs w:val="24"/>
          <w:rtl/>
        </w:rPr>
        <w:t>:</w:t>
      </w:r>
      <w:r w:rsidR="00777DCB" w:rsidRPr="00A52585">
        <w:rPr>
          <w:rFonts w:hint="cs"/>
          <w:sz w:val="24"/>
          <w:szCs w:val="24"/>
          <w:rtl/>
        </w:rPr>
        <w:t xml:space="preserve"> إنما تلك واحدة </w:t>
      </w:r>
      <w:proofErr w:type="spellStart"/>
      <w:r w:rsidR="00777DCB" w:rsidRPr="00A52585">
        <w:rPr>
          <w:rFonts w:hint="cs"/>
          <w:sz w:val="24"/>
          <w:szCs w:val="24"/>
          <w:rtl/>
        </w:rPr>
        <w:t>فارتجعها</w:t>
      </w:r>
      <w:proofErr w:type="spellEnd"/>
      <w:r w:rsidR="00777DCB" w:rsidRPr="00A52585">
        <w:rPr>
          <w:rFonts w:hint="cs"/>
          <w:sz w:val="24"/>
          <w:szCs w:val="24"/>
          <w:rtl/>
        </w:rPr>
        <w:t xml:space="preserve"> إن شئت، </w:t>
      </w:r>
      <w:proofErr w:type="spellStart"/>
      <w:r w:rsidR="00777DCB" w:rsidRPr="00A52585">
        <w:rPr>
          <w:rFonts w:hint="cs"/>
          <w:sz w:val="24"/>
          <w:szCs w:val="24"/>
          <w:rtl/>
        </w:rPr>
        <w:t>فارتجعها</w:t>
      </w:r>
      <w:proofErr w:type="spellEnd"/>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يقول الإمام </w:t>
      </w:r>
      <w:proofErr w:type="spellStart"/>
      <w:r w:rsidR="00777DCB" w:rsidRPr="00A52585">
        <w:rPr>
          <w:rFonts w:hint="cs"/>
          <w:sz w:val="24"/>
          <w:szCs w:val="24"/>
          <w:rtl/>
        </w:rPr>
        <w:t>العزامي</w:t>
      </w:r>
      <w:proofErr w:type="spellEnd"/>
      <w:r w:rsidRPr="00A52585">
        <w:rPr>
          <w:rFonts w:hint="cs"/>
          <w:sz w:val="24"/>
          <w:szCs w:val="24"/>
          <w:rtl/>
        </w:rPr>
        <w:t xml:space="preserve">: </w:t>
      </w:r>
      <w:r w:rsidR="00777DCB" w:rsidRPr="00A52585">
        <w:rPr>
          <w:rFonts w:hint="cs"/>
          <w:sz w:val="24"/>
          <w:szCs w:val="24"/>
          <w:rtl/>
        </w:rPr>
        <w:t xml:space="preserve">" والجواب الذي لا نشك فيه أن هذا غلط من بعض رواته فربما كان من ابن إسحاق في هذا الحديث وقد جوّده الإمام </w:t>
      </w:r>
      <w:r w:rsidR="00777DCB" w:rsidRPr="00A52585">
        <w:rPr>
          <w:rFonts w:hint="cs"/>
          <w:sz w:val="24"/>
          <w:szCs w:val="24"/>
          <w:rtl/>
        </w:rPr>
        <w:lastRenderedPageBreak/>
        <w:t xml:space="preserve">الشافعي رضي الله عنه ورواه على الصواب وهو أن </w:t>
      </w:r>
      <w:proofErr w:type="spellStart"/>
      <w:r w:rsidR="00777DCB" w:rsidRPr="00A52585">
        <w:rPr>
          <w:rFonts w:hint="cs"/>
          <w:sz w:val="24"/>
          <w:szCs w:val="24"/>
          <w:rtl/>
        </w:rPr>
        <w:t>ركانة</w:t>
      </w:r>
      <w:proofErr w:type="spellEnd"/>
      <w:r w:rsidR="00777DCB" w:rsidRPr="00A52585">
        <w:rPr>
          <w:rFonts w:hint="cs"/>
          <w:sz w:val="24"/>
          <w:szCs w:val="24"/>
          <w:rtl/>
        </w:rPr>
        <w:t xml:space="preserve"> إنما طلق </w:t>
      </w:r>
      <w:proofErr w:type="spellStart"/>
      <w:r w:rsidR="00777DCB" w:rsidRPr="00A52585">
        <w:rPr>
          <w:rFonts w:hint="cs"/>
          <w:sz w:val="24"/>
          <w:szCs w:val="24"/>
          <w:rtl/>
        </w:rPr>
        <w:t>ألبتة</w:t>
      </w:r>
      <w:proofErr w:type="spellEnd"/>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الحديث وقد سبق لك مفصلا والشافعي ورجال سنده من أهل بيت </w:t>
      </w:r>
      <w:proofErr w:type="spellStart"/>
      <w:r w:rsidR="00777DCB" w:rsidRPr="00A52585">
        <w:rPr>
          <w:rFonts w:hint="cs"/>
          <w:sz w:val="24"/>
          <w:szCs w:val="24"/>
          <w:rtl/>
        </w:rPr>
        <w:t>ركانة</w:t>
      </w:r>
      <w:proofErr w:type="spellEnd"/>
      <w:r w:rsidR="00777DCB" w:rsidRPr="00A52585">
        <w:rPr>
          <w:rFonts w:hint="cs"/>
          <w:sz w:val="24"/>
          <w:szCs w:val="24"/>
          <w:rtl/>
        </w:rPr>
        <w:t xml:space="preserve"> وأهل بيت الرجل أعلم به "</w:t>
      </w:r>
      <w:r w:rsidRPr="00A52585">
        <w:rPr>
          <w:rFonts w:hint="cs"/>
          <w:sz w:val="24"/>
          <w:szCs w:val="24"/>
          <w:rtl/>
        </w:rPr>
        <w:t xml:space="preserve"> </w:t>
      </w:r>
      <w:r w:rsidR="00777DCB" w:rsidRPr="00A52585">
        <w:rPr>
          <w:rFonts w:hint="cs"/>
          <w:sz w:val="24"/>
          <w:szCs w:val="24"/>
          <w:rtl/>
        </w:rPr>
        <w:t xml:space="preserve">وتكلم عن سند هذه الرواية وأثبت ضعفها، ثم ذكر جوابا آخر يندفع به التعارض بينها وبين الرواية الصحيحة التي ذكرها الإمام الشافعي نقلا عن بعض أئمة الحديث والفقه (أنه طلقها </w:t>
      </w:r>
      <w:proofErr w:type="spellStart"/>
      <w:r w:rsidR="00777DCB" w:rsidRPr="00A52585">
        <w:rPr>
          <w:rFonts w:hint="cs"/>
          <w:sz w:val="24"/>
          <w:szCs w:val="24"/>
          <w:rtl/>
        </w:rPr>
        <w:t>ألبتة</w:t>
      </w:r>
      <w:proofErr w:type="spellEnd"/>
      <w:r w:rsidR="00777DCB" w:rsidRPr="00A52585">
        <w:rPr>
          <w:rFonts w:hint="cs"/>
          <w:sz w:val="24"/>
          <w:szCs w:val="24"/>
          <w:rtl/>
        </w:rPr>
        <w:t xml:space="preserve"> وأن الثلاث ذكر فيه على المعنى) ولفظ (الثلاث) لا يحتمل غير الثلاث بينما لفظ (</w:t>
      </w:r>
      <w:proofErr w:type="spellStart"/>
      <w:r w:rsidR="00777DCB" w:rsidRPr="00A52585">
        <w:rPr>
          <w:rFonts w:hint="cs"/>
          <w:sz w:val="24"/>
          <w:szCs w:val="24"/>
          <w:rtl/>
        </w:rPr>
        <w:t>ألبتة</w:t>
      </w:r>
      <w:proofErr w:type="spellEnd"/>
      <w:r w:rsidR="00777DCB" w:rsidRPr="00A52585">
        <w:rPr>
          <w:rFonts w:hint="cs"/>
          <w:sz w:val="24"/>
          <w:szCs w:val="24"/>
          <w:rtl/>
        </w:rPr>
        <w:t>) يحتمل الثلاث والواحدة، لذا حلّفه رسول الله صلى الله عليه وسلم أنه ما أراد إلا واحدة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الثالث</w:t>
      </w:r>
      <w:r w:rsidRPr="00A52585">
        <w:rPr>
          <w:rFonts w:hint="cs"/>
          <w:bCs/>
          <w:sz w:val="24"/>
          <w:szCs w:val="24"/>
          <w:rtl/>
        </w:rPr>
        <w:t>):</w:t>
      </w:r>
      <w:r w:rsidR="00777DCB" w:rsidRPr="00A52585">
        <w:rPr>
          <w:rFonts w:hint="cs"/>
          <w:sz w:val="24"/>
          <w:szCs w:val="24"/>
          <w:rtl/>
        </w:rPr>
        <w:t xml:space="preserve"> ما رواه مسلم في صحيحه</w:t>
      </w:r>
      <w:r w:rsidRPr="00A52585">
        <w:rPr>
          <w:rFonts w:hint="cs"/>
          <w:sz w:val="24"/>
          <w:szCs w:val="24"/>
          <w:rtl/>
        </w:rPr>
        <w:t xml:space="preserve"> </w:t>
      </w:r>
      <w:r w:rsidR="00777DCB" w:rsidRPr="00A52585">
        <w:rPr>
          <w:rFonts w:hint="cs"/>
          <w:sz w:val="24"/>
          <w:szCs w:val="24"/>
          <w:rtl/>
        </w:rPr>
        <w:t xml:space="preserve">عن ابن </w:t>
      </w:r>
      <w:proofErr w:type="spellStart"/>
      <w:r w:rsidR="00777DCB" w:rsidRPr="00A52585">
        <w:rPr>
          <w:rFonts w:hint="cs"/>
          <w:sz w:val="24"/>
          <w:szCs w:val="24"/>
          <w:rtl/>
        </w:rPr>
        <w:t>طاوُس</w:t>
      </w:r>
      <w:proofErr w:type="spellEnd"/>
      <w:r w:rsidR="00777DCB" w:rsidRPr="00A52585">
        <w:rPr>
          <w:rFonts w:hint="cs"/>
          <w:sz w:val="24"/>
          <w:szCs w:val="24"/>
          <w:rtl/>
        </w:rPr>
        <w:t xml:space="preserve"> عن أبيه عن ابن عباس قال</w:t>
      </w:r>
      <w:r w:rsidRPr="00A52585">
        <w:rPr>
          <w:rFonts w:hint="cs"/>
          <w:sz w:val="24"/>
          <w:szCs w:val="24"/>
          <w:rtl/>
        </w:rPr>
        <w:t>:</w:t>
      </w:r>
      <w:r w:rsidR="00777DCB" w:rsidRPr="00A52585">
        <w:rPr>
          <w:rFonts w:hint="cs"/>
          <w:sz w:val="24"/>
          <w:szCs w:val="24"/>
          <w:rtl/>
        </w:rPr>
        <w:t xml:space="preserve"> " كان الطلاق على عهد رسول الله صلى الله عليه وسلم وأبي بكر وسنتين من خلافة عمر طلاق الثلاث واحدة، فقال عمر بن الخطاب</w:t>
      </w:r>
      <w:r w:rsidRPr="00A52585">
        <w:rPr>
          <w:rFonts w:hint="cs"/>
          <w:sz w:val="24"/>
          <w:szCs w:val="24"/>
          <w:rtl/>
        </w:rPr>
        <w:t>:</w:t>
      </w:r>
      <w:r w:rsidR="00777DCB" w:rsidRPr="00A52585">
        <w:rPr>
          <w:rFonts w:hint="cs"/>
          <w:sz w:val="24"/>
          <w:szCs w:val="24"/>
          <w:rtl/>
        </w:rPr>
        <w:t xml:space="preserve"> إن الناس قد استعجلوا في أمر قد كانت لهم فيه أناة فلو أمضينا عليهم "</w:t>
      </w:r>
      <w:r w:rsidR="00DB731D" w:rsidRPr="00A52585">
        <w:rPr>
          <w:rFonts w:hint="cs"/>
          <w:sz w:val="24"/>
          <w:szCs w:val="24"/>
          <w:rtl/>
        </w:rPr>
        <w:t>،</w:t>
      </w:r>
      <w:r w:rsidR="00777DCB" w:rsidRPr="00A52585">
        <w:rPr>
          <w:rFonts w:hint="cs"/>
          <w:sz w:val="24"/>
          <w:szCs w:val="24"/>
          <w:rtl/>
        </w:rPr>
        <w:t xml:space="preserve"> وللعلماء أجوبة على هذا الحديث</w:t>
      </w:r>
      <w:r w:rsidRPr="00A52585">
        <w:rPr>
          <w:rFonts w:hint="cs"/>
          <w:sz w:val="24"/>
          <w:szCs w:val="24"/>
          <w:rtl/>
        </w:rPr>
        <w:t>:</w:t>
      </w:r>
      <w:r w:rsidR="00777DCB" w:rsidRPr="00A52585">
        <w:rPr>
          <w:rFonts w:hint="cs"/>
          <w:sz w:val="24"/>
          <w:szCs w:val="24"/>
          <w:rtl/>
        </w:rPr>
        <w:t xml:space="preserve"> الجواب الأول</w:t>
      </w:r>
      <w:r w:rsidRPr="00A52585">
        <w:rPr>
          <w:rFonts w:hint="cs"/>
          <w:sz w:val="24"/>
          <w:szCs w:val="24"/>
          <w:rtl/>
        </w:rPr>
        <w:t>:</w:t>
      </w:r>
      <w:r w:rsidR="00777DCB" w:rsidRPr="00A52585">
        <w:rPr>
          <w:rFonts w:hint="cs"/>
          <w:sz w:val="24"/>
          <w:szCs w:val="24"/>
          <w:rtl/>
        </w:rPr>
        <w:t xml:space="preserve"> يقول الإمام سلامة </w:t>
      </w:r>
      <w:proofErr w:type="spellStart"/>
      <w:r w:rsidR="00777DCB" w:rsidRPr="00A52585">
        <w:rPr>
          <w:rFonts w:hint="cs"/>
          <w:sz w:val="24"/>
          <w:szCs w:val="24"/>
          <w:rtl/>
        </w:rPr>
        <w:t>العزامي</w:t>
      </w:r>
      <w:proofErr w:type="spellEnd"/>
      <w:r w:rsidRPr="00A52585">
        <w:rPr>
          <w:rFonts w:hint="cs"/>
          <w:sz w:val="24"/>
          <w:szCs w:val="24"/>
          <w:rtl/>
        </w:rPr>
        <w:t xml:space="preserve">: </w:t>
      </w:r>
      <w:r w:rsidR="00777DCB" w:rsidRPr="00A52585">
        <w:rPr>
          <w:rFonts w:hint="cs"/>
          <w:sz w:val="24"/>
          <w:szCs w:val="24"/>
          <w:rtl/>
        </w:rPr>
        <w:t>" فكذلك ينبغي أن نفهم حديث ابن عباس هذا في أن من جعل الثلاث واحدة في عهد رسول الله صلى الله عليه وسلم والعهدين بعده إنما هو عدد قليل لم يبلغهم نسخ المراجعة بعد الثلاث</w:t>
      </w:r>
      <w:r w:rsidR="00DB731D" w:rsidRPr="00A52585">
        <w:rPr>
          <w:rFonts w:hint="cs"/>
          <w:sz w:val="24"/>
          <w:szCs w:val="24"/>
          <w:rtl/>
        </w:rPr>
        <w:t>،</w:t>
      </w:r>
      <w:r w:rsidR="00777DCB" w:rsidRPr="00A52585">
        <w:rPr>
          <w:rFonts w:hint="cs"/>
          <w:sz w:val="24"/>
          <w:szCs w:val="24"/>
          <w:rtl/>
        </w:rPr>
        <w:t xml:space="preserve"> أو لم يفهموا شمول ذلك للمجموع </w:t>
      </w:r>
      <w:r w:rsidR="00777DCB" w:rsidRPr="00A52585">
        <w:rPr>
          <w:rFonts w:hint="cs"/>
          <w:spacing w:val="-6"/>
          <w:sz w:val="24"/>
          <w:szCs w:val="24"/>
          <w:rtl/>
        </w:rPr>
        <w:t>كالمفرق، ففعلوا ما فعلوا عن غير علم من رسول</w:t>
      </w:r>
      <w:r w:rsidR="00777DCB" w:rsidRPr="00A52585">
        <w:rPr>
          <w:rFonts w:hint="cs"/>
          <w:sz w:val="24"/>
          <w:szCs w:val="24"/>
          <w:rtl/>
        </w:rPr>
        <w:t xml:space="preserve"> الله صلى الله عليه وسلم والخليفة بعده والعالمين بالناسخ، </w:t>
      </w:r>
      <w:r w:rsidR="00777DCB" w:rsidRPr="00A52585">
        <w:rPr>
          <w:rFonts w:hint="cs"/>
          <w:spacing w:val="-8"/>
          <w:sz w:val="24"/>
          <w:szCs w:val="24"/>
          <w:rtl/>
        </w:rPr>
        <w:t>حتى تتابع</w:t>
      </w:r>
      <w:r w:rsidR="00777DCB" w:rsidRPr="00A52585">
        <w:rPr>
          <w:rFonts w:hint="cs"/>
          <w:sz w:val="24"/>
          <w:szCs w:val="24"/>
          <w:rtl/>
        </w:rPr>
        <w:t xml:space="preserve"> الناس فاشتهر حتى بلغ أمير المؤمنين عمر فأعلن الناسخ وأنفذ حكم الله ورسوله </w:t>
      </w:r>
      <w:proofErr w:type="spellStart"/>
      <w:r w:rsidR="00777DCB" w:rsidRPr="00A52585">
        <w:rPr>
          <w:rFonts w:hint="cs"/>
          <w:sz w:val="24"/>
          <w:szCs w:val="24"/>
          <w:rtl/>
        </w:rPr>
        <w:t>ووافقه</w:t>
      </w:r>
      <w:proofErr w:type="spellEnd"/>
      <w:r w:rsidR="00777DCB" w:rsidRPr="00A52585">
        <w:rPr>
          <w:rFonts w:hint="cs"/>
          <w:sz w:val="24"/>
          <w:szCs w:val="24"/>
          <w:rtl/>
        </w:rPr>
        <w:t xml:space="preserve"> مجتهدو عصره من الصحابة والتابعين ومن بعدهم من الأئمة المتبوعين رضي الله عنهم أجمعين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وضرب رضي الله عنه أمثلة عديدة لم يبلغ فيها خبر النسخ بعضاً من الناس ومنها نكاح المتعة حتى تنبه لذلك أمير المؤمنين عمر رضي الله عنه</w:t>
      </w:r>
      <w:r w:rsidR="00DB731D" w:rsidRPr="00A52585">
        <w:rPr>
          <w:rFonts w:hint="cs"/>
          <w:sz w:val="24"/>
          <w:szCs w:val="24"/>
          <w:rtl/>
        </w:rPr>
        <w:t>،</w:t>
      </w:r>
      <w:r w:rsidR="00777DCB" w:rsidRPr="00A52585">
        <w:rPr>
          <w:rFonts w:hint="cs"/>
          <w:sz w:val="24"/>
          <w:szCs w:val="24"/>
          <w:rtl/>
        </w:rPr>
        <w:t xml:space="preserve"> أجوبة أخرى</w:t>
      </w:r>
      <w:r w:rsidRPr="00A52585">
        <w:rPr>
          <w:rFonts w:hint="cs"/>
          <w:sz w:val="24"/>
          <w:szCs w:val="24"/>
          <w:rtl/>
        </w:rPr>
        <w:t>:</w:t>
      </w:r>
      <w:r w:rsidR="00777DCB" w:rsidRPr="00A52585">
        <w:rPr>
          <w:rFonts w:hint="cs"/>
          <w:sz w:val="24"/>
          <w:szCs w:val="24"/>
          <w:rtl/>
        </w:rPr>
        <w:t xml:space="preserve"> وقد أعله بعض العلماء بالاضطراب في السند والمتن وآخرون </w:t>
      </w:r>
      <w:r w:rsidR="00777DCB" w:rsidRPr="00A52585">
        <w:rPr>
          <w:sz w:val="24"/>
          <w:szCs w:val="24"/>
        </w:rPr>
        <w:t>–</w:t>
      </w:r>
      <w:r w:rsidR="00777DCB" w:rsidRPr="00A52585">
        <w:rPr>
          <w:rFonts w:hint="cs"/>
          <w:sz w:val="24"/>
          <w:szCs w:val="24"/>
          <w:rtl/>
        </w:rPr>
        <w:t xml:space="preserve"> منهم أحمد بن حنبل وطائفة من أئمة الحديث- حكموا عليه بالشذوذ</w:t>
      </w:r>
      <w:r w:rsidR="00DB731D" w:rsidRPr="00A52585">
        <w:rPr>
          <w:rFonts w:hint="cs"/>
          <w:sz w:val="24"/>
          <w:szCs w:val="24"/>
          <w:rtl/>
        </w:rPr>
        <w:t>،</w:t>
      </w:r>
      <w:r w:rsidR="00777DCB" w:rsidRPr="00A52585">
        <w:rPr>
          <w:rFonts w:hint="cs"/>
          <w:sz w:val="24"/>
          <w:szCs w:val="24"/>
          <w:rtl/>
        </w:rPr>
        <w:t xml:space="preserve"> وقد نقل الكوثري في (الإشفاق) عن الحسين بن علي </w:t>
      </w:r>
      <w:proofErr w:type="spellStart"/>
      <w:r w:rsidR="00777DCB" w:rsidRPr="00A52585">
        <w:rPr>
          <w:rFonts w:hint="cs"/>
          <w:sz w:val="24"/>
          <w:szCs w:val="24"/>
          <w:rtl/>
        </w:rPr>
        <w:t>الكرابيسى</w:t>
      </w:r>
      <w:proofErr w:type="spellEnd"/>
      <w:r w:rsidR="00777DCB" w:rsidRPr="00A52585">
        <w:rPr>
          <w:rFonts w:hint="cs"/>
          <w:sz w:val="24"/>
          <w:szCs w:val="24"/>
          <w:rtl/>
        </w:rPr>
        <w:t xml:space="preserve"> في (أدب القضاء) قال</w:t>
      </w:r>
      <w:r w:rsidRPr="00A52585">
        <w:rPr>
          <w:rFonts w:hint="cs"/>
          <w:sz w:val="24"/>
          <w:szCs w:val="24"/>
          <w:rtl/>
        </w:rPr>
        <w:t xml:space="preserve">: </w:t>
      </w:r>
      <w:r w:rsidR="00777DCB" w:rsidRPr="00A52585">
        <w:rPr>
          <w:rFonts w:hint="cs"/>
          <w:sz w:val="24"/>
          <w:szCs w:val="24"/>
          <w:rtl/>
        </w:rPr>
        <w:t xml:space="preserve">"أخبرنا علي بن عبد الله- وهو ابن المديني- عن عبد الرزاق عن معمر عن ابن </w:t>
      </w:r>
      <w:proofErr w:type="spellStart"/>
      <w:r w:rsidR="00777DCB" w:rsidRPr="00A52585">
        <w:rPr>
          <w:rFonts w:hint="cs"/>
          <w:sz w:val="24"/>
          <w:szCs w:val="24"/>
          <w:rtl/>
        </w:rPr>
        <w:t>طاوس</w:t>
      </w:r>
      <w:proofErr w:type="spellEnd"/>
      <w:r w:rsidR="00777DCB" w:rsidRPr="00A52585">
        <w:rPr>
          <w:rFonts w:hint="cs"/>
          <w:sz w:val="24"/>
          <w:szCs w:val="24"/>
          <w:rtl/>
        </w:rPr>
        <w:t xml:space="preserve"> عن </w:t>
      </w:r>
      <w:proofErr w:type="spellStart"/>
      <w:r w:rsidR="00777DCB" w:rsidRPr="00A52585">
        <w:rPr>
          <w:rFonts w:hint="cs"/>
          <w:sz w:val="24"/>
          <w:szCs w:val="24"/>
          <w:rtl/>
        </w:rPr>
        <w:t>طاوس</w:t>
      </w:r>
      <w:proofErr w:type="spellEnd"/>
      <w:r w:rsidR="00777DCB" w:rsidRPr="00A52585">
        <w:rPr>
          <w:rFonts w:hint="cs"/>
          <w:sz w:val="24"/>
          <w:szCs w:val="24"/>
          <w:rtl/>
        </w:rPr>
        <w:t xml:space="preserve"> أنه قال</w:t>
      </w:r>
      <w:r w:rsidRPr="00A52585">
        <w:rPr>
          <w:rFonts w:hint="cs"/>
          <w:sz w:val="24"/>
          <w:szCs w:val="24"/>
          <w:rtl/>
        </w:rPr>
        <w:t>:</w:t>
      </w:r>
      <w:r w:rsidR="00777DCB" w:rsidRPr="00A52585">
        <w:rPr>
          <w:rFonts w:hint="cs"/>
          <w:sz w:val="24"/>
          <w:szCs w:val="24"/>
          <w:rtl/>
        </w:rPr>
        <w:t xml:space="preserve"> (من حدثك عن </w:t>
      </w:r>
      <w:proofErr w:type="spellStart"/>
      <w:r w:rsidR="00777DCB" w:rsidRPr="00A52585">
        <w:rPr>
          <w:rFonts w:hint="cs"/>
          <w:sz w:val="24"/>
          <w:szCs w:val="24"/>
          <w:rtl/>
        </w:rPr>
        <w:t>طاوس</w:t>
      </w:r>
      <w:proofErr w:type="spellEnd"/>
      <w:r w:rsidR="00777DCB" w:rsidRPr="00A52585">
        <w:rPr>
          <w:rFonts w:hint="cs"/>
          <w:sz w:val="24"/>
          <w:szCs w:val="24"/>
          <w:rtl/>
        </w:rPr>
        <w:t xml:space="preserve"> أنه كان يروي طلاق الثلاث واحدة فكذبه)</w:t>
      </w:r>
      <w:r w:rsidR="00DB731D" w:rsidRPr="00A52585">
        <w:rPr>
          <w:rFonts w:hint="cs"/>
          <w:sz w:val="24"/>
          <w:szCs w:val="24"/>
          <w:rtl/>
        </w:rPr>
        <w:t>،</w:t>
      </w:r>
      <w:r w:rsidR="00777DCB" w:rsidRPr="00A52585">
        <w:rPr>
          <w:rFonts w:hint="cs"/>
          <w:sz w:val="24"/>
          <w:szCs w:val="24"/>
          <w:rtl/>
        </w:rPr>
        <w:t xml:space="preserve"> يقول الإمام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تعليقا على هذا الخبر</w:t>
      </w:r>
      <w:r w:rsidRPr="00A52585">
        <w:rPr>
          <w:rFonts w:hint="cs"/>
          <w:sz w:val="24"/>
          <w:szCs w:val="24"/>
          <w:rtl/>
        </w:rPr>
        <w:t xml:space="preserve">: </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وسند </w:t>
      </w:r>
      <w:proofErr w:type="spellStart"/>
      <w:r w:rsidR="00777DCB" w:rsidRPr="00A52585">
        <w:rPr>
          <w:rFonts w:hint="cs"/>
          <w:sz w:val="24"/>
          <w:szCs w:val="24"/>
          <w:rtl/>
        </w:rPr>
        <w:t>الكرابيسي</w:t>
      </w:r>
      <w:proofErr w:type="spellEnd"/>
      <w:r w:rsidR="00777DCB" w:rsidRPr="00A52585">
        <w:rPr>
          <w:rFonts w:hint="cs"/>
          <w:sz w:val="24"/>
          <w:szCs w:val="24"/>
          <w:rtl/>
        </w:rPr>
        <w:t xml:space="preserve"> في غاية الصحة، </w:t>
      </w:r>
      <w:proofErr w:type="spellStart"/>
      <w:r w:rsidR="00777DCB" w:rsidRPr="00A52585">
        <w:rPr>
          <w:rFonts w:hint="cs"/>
          <w:sz w:val="24"/>
          <w:szCs w:val="24"/>
          <w:rtl/>
        </w:rPr>
        <w:t>وطاوس</w:t>
      </w:r>
      <w:proofErr w:type="spellEnd"/>
      <w:r w:rsidR="00777DCB" w:rsidRPr="00A52585">
        <w:rPr>
          <w:rFonts w:hint="cs"/>
          <w:sz w:val="24"/>
          <w:szCs w:val="24"/>
          <w:rtl/>
        </w:rPr>
        <w:t xml:space="preserve"> هو الراوي لهذا الحديث عن ابن عباس، فيكون هذا الكلام من </w:t>
      </w:r>
      <w:proofErr w:type="spellStart"/>
      <w:r w:rsidR="00777DCB" w:rsidRPr="00A52585">
        <w:rPr>
          <w:rFonts w:hint="cs"/>
          <w:sz w:val="24"/>
          <w:szCs w:val="24"/>
          <w:rtl/>
        </w:rPr>
        <w:t>طاوس</w:t>
      </w:r>
      <w:proofErr w:type="spellEnd"/>
      <w:r w:rsidR="00777DCB" w:rsidRPr="00A52585">
        <w:rPr>
          <w:rFonts w:hint="cs"/>
          <w:sz w:val="24"/>
          <w:szCs w:val="24"/>
          <w:rtl/>
        </w:rPr>
        <w:t xml:space="preserve"> نفيا منه للمعنى الذي فهمه الشذاذ من هذا الحديث، وتأويلاً له بالمعنى الذي أسلفنا لك أو نحوه من الأجوبة التي ذكرها العلماء في تأويل هذا الحديث</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إلى أن بين أن مقصود </w:t>
      </w:r>
      <w:proofErr w:type="spellStart"/>
      <w:r w:rsidR="00777DCB" w:rsidRPr="00A52585">
        <w:rPr>
          <w:rFonts w:hint="cs"/>
          <w:sz w:val="24"/>
          <w:szCs w:val="24"/>
          <w:rtl/>
        </w:rPr>
        <w:t>طاوس</w:t>
      </w:r>
      <w:proofErr w:type="spellEnd"/>
      <w:r w:rsidR="00777DCB" w:rsidRPr="00A52585">
        <w:rPr>
          <w:rFonts w:hint="cs"/>
          <w:sz w:val="24"/>
          <w:szCs w:val="24"/>
          <w:rtl/>
        </w:rPr>
        <w:t xml:space="preserve"> رضي الله عنه أن ظاهر الحديث الذي يتبادر إلى الجاهل غير مراد</w:t>
      </w:r>
      <w:r w:rsidR="00DB731D" w:rsidRPr="00A52585">
        <w:rPr>
          <w:rFonts w:hint="cs"/>
          <w:sz w:val="24"/>
          <w:szCs w:val="24"/>
          <w:rtl/>
        </w:rPr>
        <w:t>،</w:t>
      </w:r>
      <w:r w:rsidR="00777DCB" w:rsidRPr="00A52585">
        <w:rPr>
          <w:rFonts w:hint="cs"/>
          <w:sz w:val="24"/>
          <w:szCs w:val="24"/>
          <w:rtl/>
        </w:rPr>
        <w:t xml:space="preserve"> وهناك حديث رابع رواه أبو داود عن ابن عباس رضي الله عنهما قال</w:t>
      </w:r>
      <w:r w:rsidRPr="00A52585">
        <w:rPr>
          <w:rFonts w:hint="cs"/>
          <w:sz w:val="24"/>
          <w:szCs w:val="24"/>
          <w:rtl/>
        </w:rPr>
        <w:t xml:space="preserve">: </w:t>
      </w:r>
      <w:r w:rsidR="00777DCB" w:rsidRPr="00A52585">
        <w:rPr>
          <w:rFonts w:hint="cs"/>
          <w:sz w:val="24"/>
          <w:szCs w:val="24"/>
          <w:rtl/>
        </w:rPr>
        <w:t xml:space="preserve">" طلق عبد يزيد أبو </w:t>
      </w:r>
      <w:proofErr w:type="spellStart"/>
      <w:r w:rsidR="00777DCB" w:rsidRPr="00A52585">
        <w:rPr>
          <w:rFonts w:hint="cs"/>
          <w:sz w:val="24"/>
          <w:szCs w:val="24"/>
          <w:rtl/>
        </w:rPr>
        <w:t>ركانة</w:t>
      </w:r>
      <w:proofErr w:type="spellEnd"/>
      <w:r w:rsidR="00777DCB" w:rsidRPr="00A52585">
        <w:rPr>
          <w:rFonts w:hint="cs"/>
          <w:sz w:val="24"/>
          <w:szCs w:val="24"/>
          <w:rtl/>
        </w:rPr>
        <w:t xml:space="preserve"> وإخوته أم </w:t>
      </w:r>
      <w:proofErr w:type="spellStart"/>
      <w:r w:rsidR="00777DCB" w:rsidRPr="00A52585">
        <w:rPr>
          <w:rFonts w:hint="cs"/>
          <w:sz w:val="24"/>
          <w:szCs w:val="24"/>
          <w:rtl/>
        </w:rPr>
        <w:t>ركانة</w:t>
      </w:r>
      <w:proofErr w:type="spellEnd"/>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w:t>
      </w:r>
      <w:r w:rsidRPr="00A52585">
        <w:rPr>
          <w:rFonts w:hint="cs"/>
          <w:sz w:val="24"/>
          <w:szCs w:val="24"/>
          <w:rtl/>
        </w:rPr>
        <w:t xml:space="preserve"> </w:t>
      </w:r>
      <w:r w:rsidR="00777DCB" w:rsidRPr="00A52585">
        <w:rPr>
          <w:rFonts w:hint="cs"/>
          <w:sz w:val="24"/>
          <w:szCs w:val="24"/>
          <w:rtl/>
        </w:rPr>
        <w:t>"فقال إني طلقتها ثلاثا يا رسول الله قال</w:t>
      </w:r>
      <w:r w:rsidRPr="00A52585">
        <w:rPr>
          <w:rFonts w:hint="cs"/>
          <w:sz w:val="24"/>
          <w:szCs w:val="24"/>
          <w:rtl/>
        </w:rPr>
        <w:t>:</w:t>
      </w:r>
      <w:r w:rsidR="00777DCB" w:rsidRPr="00A52585">
        <w:rPr>
          <w:rFonts w:hint="cs"/>
          <w:sz w:val="24"/>
          <w:szCs w:val="24"/>
          <w:rtl/>
        </w:rPr>
        <w:t xml:space="preserve"> قد علمت راجعها"</w:t>
      </w:r>
      <w:r w:rsidRPr="00A52585">
        <w:rPr>
          <w:rFonts w:hint="cs"/>
          <w:sz w:val="24"/>
          <w:szCs w:val="24"/>
          <w:rtl/>
        </w:rPr>
        <w:t xml:space="preserve"> </w:t>
      </w:r>
      <w:r w:rsidR="00777DCB" w:rsidRPr="00A52585">
        <w:rPr>
          <w:rFonts w:hint="cs"/>
          <w:sz w:val="24"/>
          <w:szCs w:val="24"/>
          <w:rtl/>
        </w:rPr>
        <w:t>وفي إسناد الحديث انقطاع يمنع الاستدلال به، كما أنه محمول في حالة ثبوته على أن هذه القصة كانت قبل أن تنسخ المراجعة بعد الثلاث ثم نسخ ذلك كما رواه أبو داود بسنده الصحيح عن ابن عباس</w:t>
      </w:r>
      <w:r w:rsidRPr="00A52585">
        <w:rPr>
          <w:rFonts w:hint="cs"/>
          <w:sz w:val="24"/>
          <w:szCs w:val="24"/>
          <w:rtl/>
        </w:rPr>
        <w:t xml:space="preserve"> </w:t>
      </w:r>
      <w:r w:rsidR="00777DCB" w:rsidRPr="00A52585">
        <w:rPr>
          <w:rFonts w:hint="cs"/>
          <w:sz w:val="24"/>
          <w:szCs w:val="24"/>
          <w:rtl/>
        </w:rPr>
        <w:t>" إن الرجل كان إذا طلق امرأته فهو أحق برجعتها وإن طلقها ثلاثا فنسخ ذلك وقال (الطلاق مرتان)</w:t>
      </w:r>
      <w:r w:rsidR="00DB731D" w:rsidRPr="00A52585">
        <w:rPr>
          <w:rFonts w:hint="cs"/>
          <w:sz w:val="24"/>
          <w:szCs w:val="24"/>
          <w:rtl/>
        </w:rPr>
        <w:t>،</w:t>
      </w:r>
      <w:r w:rsidR="00777DCB" w:rsidRPr="00A52585">
        <w:rPr>
          <w:rFonts w:hint="cs"/>
          <w:sz w:val="24"/>
          <w:szCs w:val="24"/>
          <w:rtl/>
        </w:rPr>
        <w:t xml:space="preserve"> ومن هذا يتضح أنه لا يوجد لهم دليل ولا شبهة دليل يعذرون به في تركهم لنصوص الكتاب والسنة القطعية أو في خروجهم على إجماع الأمة المعصومة وما جرُّوه على المجتمعات الإسلامية من مصائب</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وقد وقفت على مصنف له في ذلك وكان عند شخص شريف زيني</w:t>
      </w:r>
      <w:r w:rsidR="00DB731D" w:rsidRPr="00A52585">
        <w:rPr>
          <w:rFonts w:hint="cs"/>
          <w:rtl/>
        </w:rPr>
        <w:t>،</w:t>
      </w:r>
      <w:r w:rsidR="00777DCB" w:rsidRPr="00A52585">
        <w:rPr>
          <w:rFonts w:hint="cs"/>
          <w:rtl/>
        </w:rPr>
        <w:t xml:space="preserve"> وكان يرد الزوجة إلى زوجها في كل واقعة بخمسة دراهم</w:t>
      </w:r>
      <w:r w:rsidR="00DB731D" w:rsidRPr="00A52585">
        <w:rPr>
          <w:rFonts w:hint="cs"/>
          <w:rtl/>
        </w:rPr>
        <w:t>،</w:t>
      </w:r>
      <w:r w:rsidR="00777DCB" w:rsidRPr="00A52585">
        <w:rPr>
          <w:rFonts w:hint="cs"/>
          <w:rtl/>
        </w:rPr>
        <w:t xml:space="preserve"> وإنما أطلعني عليه لأنه ظن أني منهم</w:t>
      </w:r>
      <w:r w:rsidR="00DB731D" w:rsidRPr="00A52585">
        <w:rPr>
          <w:rFonts w:hint="cs"/>
          <w:rtl/>
        </w:rPr>
        <w:t>،</w:t>
      </w:r>
      <w:r w:rsidR="00777DCB" w:rsidRPr="00A52585">
        <w:rPr>
          <w:rFonts w:hint="cs"/>
          <w:rtl/>
        </w:rPr>
        <w:t xml:space="preserve"> فقلت له</w:t>
      </w:r>
      <w:r w:rsidRPr="00A52585">
        <w:rPr>
          <w:rFonts w:hint="cs"/>
          <w:rtl/>
        </w:rPr>
        <w:t>:</w:t>
      </w:r>
      <w:r w:rsidR="00777DCB" w:rsidRPr="00A52585">
        <w:rPr>
          <w:rFonts w:hint="cs"/>
          <w:rtl/>
        </w:rPr>
        <w:t xml:space="preserve"> يا هذا أتترك قول الإمام أحمد وقول بقية الأئمة بقول ابن تيمية</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أشهد </w:t>
      </w:r>
      <w:proofErr w:type="gramStart"/>
      <w:r w:rsidR="00777DCB" w:rsidRPr="00A52585">
        <w:rPr>
          <w:rFonts w:hint="cs"/>
          <w:rtl/>
        </w:rPr>
        <w:t>علي</w:t>
      </w:r>
      <w:proofErr w:type="gramEnd"/>
      <w:r w:rsidR="00777DCB" w:rsidRPr="00A52585">
        <w:rPr>
          <w:rFonts w:hint="cs"/>
          <w:rtl/>
        </w:rPr>
        <w:t xml:space="preserve"> أني تبت </w:t>
      </w:r>
      <w:r w:rsidR="00777DCB" w:rsidRPr="00A52585">
        <w:rPr>
          <w:rFonts w:hint="cs"/>
          <w:rtl/>
        </w:rPr>
        <w:lastRenderedPageBreak/>
        <w:t>وظهر لي أنه كذب في ذلك ولكن جرى على قاعدتهم في التستر والتقية. فنسأل الله تعالى العافية من المخادعة فإنها صفة أهل الدرك الأسفل من النار</w:t>
      </w:r>
      <w:r w:rsidR="00DB731D" w:rsidRPr="00A52585">
        <w:rPr>
          <w:rFonts w:hint="cs"/>
          <w:vertAlign w:val="superscript"/>
          <w:rtl/>
        </w:rPr>
        <w:t>،</w:t>
      </w:r>
      <w:r w:rsidR="00777DCB" w:rsidRPr="00A52585">
        <w:rPr>
          <w:rFonts w:hint="cs"/>
          <w:bCs/>
          <w:rtl/>
        </w:rPr>
        <w:t xml:space="preserve"> ثم قبل الخوض في ذكر بعض ما وقع منه وانتقد عليه أنه يؤكد في بعض مصنفاته</w:t>
      </w:r>
      <w:r w:rsidRPr="00A52585">
        <w:rPr>
          <w:rFonts w:hint="cs"/>
          <w:bCs/>
          <w:rtl/>
        </w:rPr>
        <w:t xml:space="preserve"> </w:t>
      </w:r>
      <w:r w:rsidR="00777DCB" w:rsidRPr="00A52585">
        <w:rPr>
          <w:rFonts w:hint="cs"/>
          <w:bCs/>
          <w:rtl/>
        </w:rPr>
        <w:t>كلام رجل من أهل الحق ويدس في غضونه شيئاً من معتقده الفاسد</w:t>
      </w:r>
      <w:r w:rsidR="00DB731D" w:rsidRPr="00A52585">
        <w:rPr>
          <w:rFonts w:hint="cs"/>
          <w:bCs/>
          <w:rtl/>
        </w:rPr>
        <w:t>،</w:t>
      </w:r>
      <w:r w:rsidR="00777DCB" w:rsidRPr="00A52585">
        <w:rPr>
          <w:rFonts w:hint="cs"/>
          <w:bCs/>
          <w:rtl/>
        </w:rPr>
        <w:t xml:space="preserve"> فيجري عليه الغبي بمعرفة كلام أهل الحق فيهلك وقد هلك بسبب ذلك خلق</w:t>
      </w:r>
      <w:r w:rsidR="00DB731D" w:rsidRPr="00A52585">
        <w:rPr>
          <w:rFonts w:hint="cs"/>
          <w:bCs/>
          <w:rtl/>
        </w:rPr>
        <w:t>،</w:t>
      </w:r>
      <w:r w:rsidR="00777DCB" w:rsidRPr="00A52585">
        <w:rPr>
          <w:rFonts w:hint="cs"/>
          <w:bCs/>
          <w:rtl/>
        </w:rPr>
        <w:t xml:space="preserve"> </w:t>
      </w:r>
      <w:r w:rsidR="00777DCB" w:rsidRPr="00A52585">
        <w:rPr>
          <w:rFonts w:hint="cs"/>
          <w:rtl/>
        </w:rPr>
        <w:t>وأعمق من ذلك أنه يذكر أن ذلك الرجل ذكر ذلك في الكتاب الفلاني وليس لذلك الكتاب حقيقة وإنما قصده بذلك انفضاض المجلس</w:t>
      </w:r>
      <w:r w:rsidR="00DB731D" w:rsidRPr="00A52585">
        <w:rPr>
          <w:rFonts w:hint="cs"/>
          <w:rtl/>
        </w:rPr>
        <w:t>،</w:t>
      </w:r>
      <w:r w:rsidR="00777DCB" w:rsidRPr="00A52585">
        <w:rPr>
          <w:rFonts w:hint="cs"/>
          <w:rtl/>
        </w:rPr>
        <w:t xml:space="preserve"> ويؤكد قوله بأن يقول ما يبعد أن هذا الكتاب عند فلان</w:t>
      </w:r>
      <w:r w:rsidR="00DB731D" w:rsidRPr="00A52585">
        <w:rPr>
          <w:rFonts w:hint="cs"/>
          <w:rtl/>
        </w:rPr>
        <w:t>،</w:t>
      </w:r>
      <w:r w:rsidR="00777DCB" w:rsidRPr="00A52585">
        <w:rPr>
          <w:rFonts w:hint="cs"/>
          <w:rtl/>
        </w:rPr>
        <w:t xml:space="preserve"> ويسمى شخصاً بعيد المسافة</w:t>
      </w:r>
      <w:r w:rsidR="00DB731D" w:rsidRPr="00A52585">
        <w:rPr>
          <w:rFonts w:hint="cs"/>
          <w:rtl/>
        </w:rPr>
        <w:t>،</w:t>
      </w:r>
      <w:r w:rsidR="00777DCB" w:rsidRPr="00A52585">
        <w:rPr>
          <w:rFonts w:hint="cs"/>
          <w:rtl/>
        </w:rPr>
        <w:t xml:space="preserve"> كل ذلك خديعة ومكراً وتلبيساً</w:t>
      </w:r>
      <w:r w:rsidR="00DB731D" w:rsidRPr="00A52585">
        <w:rPr>
          <w:rFonts w:hint="cs"/>
          <w:rtl/>
        </w:rPr>
        <w:t>،</w:t>
      </w:r>
      <w:r w:rsidR="00777DCB" w:rsidRPr="00A52585">
        <w:rPr>
          <w:rFonts w:hint="cs"/>
          <w:rtl/>
        </w:rPr>
        <w:t xml:space="preserve"> لأجل خلاص نفسه</w:t>
      </w:r>
      <w:r w:rsidR="00DB731D" w:rsidRPr="00A52585">
        <w:rPr>
          <w:rFonts w:hint="cs"/>
          <w:rtl/>
        </w:rPr>
        <w:t>،</w:t>
      </w:r>
      <w:r w:rsidR="00777DCB" w:rsidRPr="00A52585">
        <w:rPr>
          <w:rFonts w:hint="cs"/>
          <w:rtl/>
        </w:rPr>
        <w:t xml:space="preserve"> ولا يحيق المكر السيء إلا بأهله. ولهذا لم يزل فيهم </w:t>
      </w:r>
      <w:proofErr w:type="spellStart"/>
      <w:r w:rsidR="00777DCB" w:rsidRPr="00A52585">
        <w:rPr>
          <w:rFonts w:hint="cs"/>
          <w:rtl/>
        </w:rPr>
        <w:t>التعازير</w:t>
      </w:r>
      <w:proofErr w:type="spellEnd"/>
      <w:r w:rsidR="00777DCB" w:rsidRPr="00A52585">
        <w:rPr>
          <w:rFonts w:hint="cs"/>
          <w:rtl/>
        </w:rPr>
        <w:t xml:space="preserve"> والضرب </w:t>
      </w:r>
      <w:proofErr w:type="spellStart"/>
      <w:r w:rsidR="00777DCB" w:rsidRPr="00A52585">
        <w:rPr>
          <w:rFonts w:hint="cs"/>
          <w:rtl/>
        </w:rPr>
        <w:t>بالأسياط</w:t>
      </w:r>
      <w:proofErr w:type="spellEnd"/>
      <w:r w:rsidR="00777DCB" w:rsidRPr="00A52585">
        <w:rPr>
          <w:rFonts w:hint="cs"/>
          <w:rtl/>
        </w:rPr>
        <w:t xml:space="preserve"> والحبوس وقطع الأعناق</w:t>
      </w:r>
      <w:r w:rsidR="00DB731D" w:rsidRPr="00A52585">
        <w:rPr>
          <w:rFonts w:hint="cs"/>
          <w:rtl/>
        </w:rPr>
        <w:t>،</w:t>
      </w:r>
      <w:r w:rsidR="00777DCB" w:rsidRPr="00A52585">
        <w:rPr>
          <w:rFonts w:hint="cs"/>
          <w:rtl/>
        </w:rPr>
        <w:t xml:space="preserve"> مع تكتمهم ما يعتقدونه والمبالغة في التكتم حتى إنهم لا ينطقون بشيء من عقائدهم الخبيثة إلا في الأماكن الخفية بعد التحرز وغلق الأبواب والنطق بما هم عليه بالمخافتة</w:t>
      </w:r>
      <w:r w:rsidR="00DB731D" w:rsidRPr="00A52585">
        <w:rPr>
          <w:rFonts w:hint="cs"/>
          <w:rtl/>
        </w:rPr>
        <w:t>،</w:t>
      </w:r>
      <w:r w:rsidR="00777DCB" w:rsidRPr="00A52585">
        <w:rPr>
          <w:rFonts w:hint="cs"/>
          <w:rtl/>
        </w:rPr>
        <w:t xml:space="preserve"> ويقولون إن للحيطان آذان</w:t>
      </w:r>
      <w:r w:rsidR="00DB731D" w:rsidRPr="00A52585">
        <w:rPr>
          <w:rFonts w:hint="cs"/>
          <w:rtl/>
        </w:rPr>
        <w:t>،</w:t>
      </w:r>
      <w:r w:rsidR="00777DCB" w:rsidRPr="00A52585">
        <w:rPr>
          <w:rFonts w:hint="cs"/>
          <w:rtl/>
        </w:rPr>
        <w:t xml:space="preserve"> </w:t>
      </w:r>
    </w:p>
    <w:p w14:paraId="0C7944A6" w14:textId="79B06854" w:rsidR="00777DCB" w:rsidRPr="00A52585" w:rsidRDefault="00777DCB" w:rsidP="0002035C">
      <w:pPr>
        <w:spacing w:after="240"/>
        <w:rPr>
          <w:b/>
          <w:rtl/>
        </w:rPr>
      </w:pPr>
      <w:r w:rsidRPr="00A52585">
        <w:rPr>
          <w:rFonts w:hint="cs"/>
          <w:bCs/>
          <w:rtl/>
        </w:rPr>
        <w:t>ومن جملة مكرهم وتحيلهم</w:t>
      </w:r>
      <w:r w:rsidRPr="00A52585">
        <w:rPr>
          <w:rFonts w:hint="cs"/>
          <w:rtl/>
        </w:rPr>
        <w:t xml:space="preserve"> أن الكبير منهم المشار إليه في هذه الخبائث له أتباع يظهرون له العلم والعظمة والتعبد والتعفف يخدعون بذلك أرباب الأموال لا سيما الغرباء فيدفع ذلك الغريب أو غيره إلى ذلك الشيخ شيئاً فيأبى ويظهر التعفف فيزداد ذلك الرجل حرصاً على الدفع فلا يأخذ منه إلا بعد جهد فيأخذها ذلك الخبيث ولا عليه من اطلاع الله تعالى </w:t>
      </w:r>
      <w:proofErr w:type="gramStart"/>
      <w:r w:rsidRPr="00A52585">
        <w:rPr>
          <w:rFonts w:hint="cs"/>
          <w:rtl/>
        </w:rPr>
        <w:t>علي</w:t>
      </w:r>
      <w:proofErr w:type="gramEnd"/>
      <w:r w:rsidRPr="00A52585">
        <w:rPr>
          <w:rFonts w:hint="cs"/>
          <w:rtl/>
        </w:rPr>
        <w:t xml:space="preserve"> خبث طويته</w:t>
      </w:r>
      <w:r w:rsidR="00DB731D" w:rsidRPr="00A52585">
        <w:rPr>
          <w:rFonts w:hint="cs"/>
          <w:rtl/>
        </w:rPr>
        <w:t>،</w:t>
      </w:r>
      <w:r w:rsidRPr="00A52585">
        <w:rPr>
          <w:rFonts w:hint="cs"/>
          <w:rtl/>
        </w:rPr>
        <w:t xml:space="preserve"> ويدفع بعضها إلى بعض أتباعه وإلى غيرهم خديعة ويتمتع هو وخواصه بالباقي</w:t>
      </w:r>
      <w:r w:rsidR="00DB731D" w:rsidRPr="00A52585">
        <w:rPr>
          <w:rFonts w:hint="cs"/>
          <w:rtl/>
        </w:rPr>
        <w:t>،</w:t>
      </w:r>
      <w:r w:rsidRPr="00A52585">
        <w:rPr>
          <w:rFonts w:hint="cs"/>
          <w:rtl/>
        </w:rPr>
        <w:t xml:space="preserve"> ولهم يد وقدرة على ذلك</w:t>
      </w:r>
      <w:r w:rsidR="00DB731D" w:rsidRPr="00A52585">
        <w:rPr>
          <w:rFonts w:hint="cs"/>
          <w:rtl/>
        </w:rPr>
        <w:t>،</w:t>
      </w:r>
    </w:p>
    <w:p w14:paraId="234B5D10" w14:textId="7C164DA8" w:rsidR="00777DCB" w:rsidRPr="00A52585" w:rsidRDefault="00777DCB" w:rsidP="0002035C">
      <w:pPr>
        <w:spacing w:after="240"/>
        <w:rPr>
          <w:b/>
          <w:rtl/>
        </w:rPr>
      </w:pPr>
      <w:r w:rsidRPr="00A52585">
        <w:rPr>
          <w:rFonts w:hint="cs"/>
          <w:bCs/>
          <w:rtl/>
        </w:rPr>
        <w:t>ومن جملة مكرهم</w:t>
      </w:r>
      <w:r w:rsidRPr="00A52585">
        <w:rPr>
          <w:rFonts w:hint="cs"/>
          <w:rtl/>
        </w:rPr>
        <w:t xml:space="preserve"> من هذا النوع أن يكسو عشرة مساكين قمصانا أو غيرها ثم يقولون انظروا هذا الرجل كيف يجيئه الفتوح له </w:t>
      </w:r>
      <w:proofErr w:type="spellStart"/>
      <w:r w:rsidRPr="00A52585">
        <w:rPr>
          <w:rFonts w:hint="cs"/>
          <w:rtl/>
        </w:rPr>
        <w:t>فيؤثركم</w:t>
      </w:r>
      <w:proofErr w:type="spellEnd"/>
      <w:r w:rsidRPr="00A52585">
        <w:rPr>
          <w:rFonts w:hint="cs"/>
          <w:rtl/>
        </w:rPr>
        <w:t xml:space="preserve"> به أنتم وغيركم ويترك نفسه وعياله وأصدقاءه وهكذا كان السلف</w:t>
      </w:r>
      <w:r w:rsidR="00DB731D" w:rsidRPr="00A52585">
        <w:rPr>
          <w:rFonts w:hint="cs"/>
          <w:rtl/>
        </w:rPr>
        <w:t>،</w:t>
      </w:r>
      <w:r w:rsidRPr="00A52585">
        <w:rPr>
          <w:rFonts w:hint="cs"/>
          <w:rtl/>
        </w:rPr>
        <w:t xml:space="preserve"> ويكون قد أخذ أضعاف </w:t>
      </w:r>
      <w:proofErr w:type="spellStart"/>
      <w:r w:rsidRPr="00A52585">
        <w:rPr>
          <w:rFonts w:hint="cs"/>
          <w:rtl/>
        </w:rPr>
        <w:t>أضعاف</w:t>
      </w:r>
      <w:proofErr w:type="spellEnd"/>
      <w:r w:rsidRPr="00A52585">
        <w:rPr>
          <w:rFonts w:hint="cs"/>
          <w:rtl/>
        </w:rPr>
        <w:t xml:space="preserve"> ما دفع وكثير من الناس في غفلة من هذا</w:t>
      </w:r>
      <w:r w:rsidR="00DB731D" w:rsidRPr="00A52585">
        <w:rPr>
          <w:rFonts w:hint="cs"/>
          <w:rtl/>
        </w:rPr>
        <w:t>،</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ونحن نؤكد أن ما ذكره الإمام </w:t>
      </w:r>
      <w:proofErr w:type="spellStart"/>
      <w:r w:rsidRPr="00A52585">
        <w:rPr>
          <w:rFonts w:hint="cs"/>
          <w:sz w:val="24"/>
          <w:szCs w:val="24"/>
          <w:rtl/>
        </w:rPr>
        <w:t>الحصني</w:t>
      </w:r>
      <w:proofErr w:type="spellEnd"/>
      <w:r w:rsidRPr="00A52585">
        <w:rPr>
          <w:rFonts w:hint="cs"/>
          <w:sz w:val="24"/>
          <w:szCs w:val="24"/>
          <w:rtl/>
        </w:rPr>
        <w:t xml:space="preserve"> من صفاتهم وكذا ما لم يشر إليه منها هي صفات ثابتة لهم ولسلفهم من أجيال الخوارج الأوائل ولخلفهم من جيل الخوارج الحالي كما حددها رسول الله صلى الله عليه وسلم</w:t>
      </w:r>
      <w:r w:rsidR="00DB731D" w:rsidRPr="00A52585">
        <w:rPr>
          <w:rFonts w:hint="cs"/>
          <w:sz w:val="24"/>
          <w:szCs w:val="24"/>
          <w:rtl/>
        </w:rPr>
        <w:t>،</w:t>
      </w:r>
      <w:r w:rsidRPr="00A52585">
        <w:rPr>
          <w:rFonts w:hint="cs"/>
          <w:sz w:val="24"/>
          <w:szCs w:val="24"/>
          <w:rtl/>
        </w:rPr>
        <w:t xml:space="preserve"> </w:t>
      </w:r>
      <w:proofErr w:type="gramStart"/>
      <w:r w:rsidRPr="00A52585">
        <w:rPr>
          <w:rFonts w:hint="cs"/>
          <w:sz w:val="24"/>
          <w:szCs w:val="24"/>
          <w:rtl/>
        </w:rPr>
        <w:t>وبقى</w:t>
      </w:r>
      <w:proofErr w:type="gramEnd"/>
      <w:r w:rsidRPr="00A52585">
        <w:rPr>
          <w:rFonts w:hint="cs"/>
          <w:sz w:val="24"/>
          <w:szCs w:val="24"/>
          <w:rtl/>
        </w:rPr>
        <w:t xml:space="preserve"> من دلائل نبوته عليه السلام. انظر (المتطرفون) د. عمر كامل</w:t>
      </w:r>
      <w:r w:rsidR="0002035C" w:rsidRPr="00A52585">
        <w:rPr>
          <w:rFonts w:hint="cs"/>
          <w:sz w:val="24"/>
          <w:szCs w:val="24"/>
          <w:rtl/>
        </w:rPr>
        <w:t>]</w:t>
      </w:r>
      <w:r w:rsidR="00DB731D" w:rsidRPr="00A52585">
        <w:rPr>
          <w:rFonts w:hint="cs"/>
          <w:rtl/>
        </w:rPr>
        <w:t>،</w:t>
      </w:r>
      <w:r w:rsidRPr="00A52585">
        <w:rPr>
          <w:rFonts w:hint="cs"/>
          <w:rtl/>
        </w:rPr>
        <w:t xml:space="preserve"> ولولا أن ذلك من جملة النصيحة لما ذكرته ولما تعرضت له وكان ما في نفسي شاغل عن ذلك إلا أنه كما قال ابن عباس رضي الله عنهما بسبب نجدة الحروري المبتدع</w:t>
      </w:r>
      <w:r w:rsidR="0002035C" w:rsidRPr="00A52585">
        <w:rPr>
          <w:rFonts w:hint="cs"/>
          <w:rtl/>
        </w:rPr>
        <w:t>:</w:t>
      </w:r>
      <w:r w:rsidRPr="00A52585">
        <w:rPr>
          <w:rFonts w:hint="cs"/>
          <w:rtl/>
        </w:rPr>
        <w:t xml:space="preserve"> (لولا أن أكتم علما لما كتبت إليه) يعني جواب ما كتب إليه بأن يعلمه مسائل</w:t>
      </w:r>
      <w:r w:rsidR="00DB731D" w:rsidRPr="00A52585">
        <w:rPr>
          <w:rFonts w:hint="cs"/>
          <w:rtl/>
        </w:rPr>
        <w:t>،</w:t>
      </w:r>
      <w:r w:rsidRPr="00A52585">
        <w:rPr>
          <w:rFonts w:hint="cs"/>
          <w:rtl/>
        </w:rPr>
        <w:t xml:space="preserve"> والقصة مشهورة حتى في صحيح مسلم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انظر</w:t>
      </w:r>
      <w:r w:rsidR="0002035C" w:rsidRPr="00A52585">
        <w:rPr>
          <w:rFonts w:hint="cs"/>
          <w:sz w:val="24"/>
          <w:szCs w:val="24"/>
          <w:rtl/>
        </w:rPr>
        <w:t>:</w:t>
      </w:r>
      <w:r w:rsidRPr="00A52585">
        <w:rPr>
          <w:rFonts w:hint="cs"/>
          <w:sz w:val="24"/>
          <w:szCs w:val="24"/>
          <w:rtl/>
        </w:rPr>
        <w:t xml:space="preserve"> صحيح مسلم كتاب الجهاد والسير </w:t>
      </w:r>
      <w:r w:rsidRPr="00A52585">
        <w:rPr>
          <w:sz w:val="24"/>
          <w:szCs w:val="24"/>
        </w:rPr>
        <w:t>–</w:t>
      </w:r>
      <w:r w:rsidRPr="00A52585">
        <w:rPr>
          <w:rFonts w:hint="cs"/>
          <w:sz w:val="24"/>
          <w:szCs w:val="24"/>
          <w:rtl/>
        </w:rPr>
        <w:t xml:space="preserve"> باب</w:t>
      </w:r>
      <w:r w:rsidR="0002035C" w:rsidRPr="00A52585">
        <w:rPr>
          <w:rFonts w:hint="cs"/>
          <w:sz w:val="24"/>
          <w:szCs w:val="24"/>
          <w:rtl/>
        </w:rPr>
        <w:t>:</w:t>
      </w:r>
      <w:r w:rsidRPr="00A52585">
        <w:rPr>
          <w:rFonts w:hint="cs"/>
          <w:sz w:val="24"/>
          <w:szCs w:val="24"/>
          <w:rtl/>
        </w:rPr>
        <w:t xml:space="preserve"> النساء الغازيات يرضخ لهن ولا يسهم حديث رقم (1812)، سنن الترمذي كتاب السير </w:t>
      </w:r>
      <w:r w:rsidRPr="00A52585">
        <w:rPr>
          <w:sz w:val="24"/>
          <w:szCs w:val="24"/>
        </w:rPr>
        <w:t>–</w:t>
      </w:r>
      <w:r w:rsidRPr="00A52585">
        <w:rPr>
          <w:rFonts w:hint="cs"/>
          <w:sz w:val="24"/>
          <w:szCs w:val="24"/>
          <w:rtl/>
        </w:rPr>
        <w:t xml:space="preserve"> باب</w:t>
      </w:r>
      <w:r w:rsidR="0002035C" w:rsidRPr="00A52585">
        <w:rPr>
          <w:rFonts w:hint="cs"/>
          <w:sz w:val="24"/>
          <w:szCs w:val="24"/>
          <w:rtl/>
        </w:rPr>
        <w:t>:</w:t>
      </w:r>
      <w:r w:rsidRPr="00A52585">
        <w:rPr>
          <w:rFonts w:hint="cs"/>
          <w:sz w:val="24"/>
          <w:szCs w:val="24"/>
          <w:rtl/>
        </w:rPr>
        <w:t xml:space="preserve"> من يعطي </w:t>
      </w:r>
      <w:proofErr w:type="spellStart"/>
      <w:r w:rsidRPr="00A52585">
        <w:rPr>
          <w:rFonts w:hint="cs"/>
          <w:sz w:val="24"/>
          <w:szCs w:val="24"/>
          <w:rtl/>
        </w:rPr>
        <w:t>الفئ</w:t>
      </w:r>
      <w:proofErr w:type="spellEnd"/>
      <w:r w:rsidRPr="00A52585">
        <w:rPr>
          <w:rFonts w:hint="cs"/>
          <w:sz w:val="24"/>
          <w:szCs w:val="24"/>
          <w:rtl/>
        </w:rPr>
        <w:t xml:space="preserve"> حديث رقم (1556)، سنن أبي داود كتاب </w:t>
      </w:r>
      <w:r w:rsidRPr="00A52585">
        <w:rPr>
          <w:rFonts w:hint="cs"/>
          <w:sz w:val="24"/>
          <w:szCs w:val="24"/>
          <w:rtl/>
        </w:rPr>
        <w:lastRenderedPageBreak/>
        <w:t xml:space="preserve">الجهاد </w:t>
      </w:r>
      <w:r w:rsidRPr="00A52585">
        <w:rPr>
          <w:sz w:val="24"/>
          <w:szCs w:val="24"/>
        </w:rPr>
        <w:t>–</w:t>
      </w:r>
      <w:r w:rsidRPr="00A52585">
        <w:rPr>
          <w:rFonts w:hint="cs"/>
          <w:sz w:val="24"/>
          <w:szCs w:val="24"/>
          <w:rtl/>
        </w:rPr>
        <w:t xml:space="preserve"> باب</w:t>
      </w:r>
      <w:r w:rsidR="0002035C" w:rsidRPr="00A52585">
        <w:rPr>
          <w:rFonts w:hint="cs"/>
          <w:sz w:val="24"/>
          <w:szCs w:val="24"/>
          <w:rtl/>
        </w:rPr>
        <w:t>:</w:t>
      </w:r>
      <w:r w:rsidRPr="00A52585">
        <w:rPr>
          <w:rFonts w:hint="cs"/>
          <w:sz w:val="24"/>
          <w:szCs w:val="24"/>
          <w:rtl/>
        </w:rPr>
        <w:t xml:space="preserve"> المرأة والعبد يحذيان من الغنيمة حديثان رقمي (2727)، (2728)</w:t>
      </w:r>
      <w:r w:rsidR="0002035C" w:rsidRPr="00A52585">
        <w:rPr>
          <w:rFonts w:hint="cs"/>
          <w:sz w:val="24"/>
          <w:szCs w:val="24"/>
          <w:rtl/>
        </w:rPr>
        <w:t>]</w:t>
      </w:r>
      <w:r w:rsidR="00DB731D" w:rsidRPr="00A52585">
        <w:rPr>
          <w:rFonts w:hint="cs"/>
          <w:rtl/>
        </w:rPr>
        <w:t>،</w:t>
      </w:r>
      <w:r w:rsidRPr="00A52585">
        <w:rPr>
          <w:rFonts w:hint="cs"/>
          <w:rtl/>
        </w:rPr>
        <w:t xml:space="preserve"> وقال عليه الصلاة والسلام (</w:t>
      </w:r>
      <w:r w:rsidR="0002035C" w:rsidRPr="00A52585">
        <w:rPr>
          <w:rFonts w:hint="cs"/>
          <w:rtl/>
        </w:rPr>
        <w:t>(</w:t>
      </w:r>
      <w:r w:rsidRPr="00A52585">
        <w:rPr>
          <w:rFonts w:hint="cs"/>
          <w:rtl/>
        </w:rPr>
        <w:t>من سئل عن علم فكتمه ألجم يوم القيامة بلجام من نار</w:t>
      </w:r>
      <w:r w:rsidR="0002035C" w:rsidRPr="00A52585">
        <w:rPr>
          <w:rFonts w:hint="cs"/>
          <w:rtl/>
        </w:rPr>
        <w:t>)</w:t>
      </w:r>
      <w:r w:rsidRPr="00A52585">
        <w:rPr>
          <w:rFonts w:hint="cs"/>
          <w:rtl/>
        </w:rPr>
        <w:t xml:space="preserve">) رواه غير واحد من حديث أبي هريرة رضي الله عنه منهم أبو داود وكذا الترمذي وحسنه والحاكم وصححه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ووافق الذهبي الحاكم علي تصحيحه وصححه السيوطي في (الجامع الصغير) وذكر الحافظ البوصيري أن طريق أبي داود (حسن) وقد رواه غير هؤلاء من طرق عن عدد من الصحابة فهو صحيح بمجموع الطرق وانظر تخريجه في (المقاصد الحسنة) وغيره]</w:t>
      </w:r>
      <w:r w:rsidR="00DB731D" w:rsidRPr="00A52585">
        <w:rPr>
          <w:rFonts w:hint="cs"/>
          <w:rtl/>
        </w:rPr>
        <w:t>،</w:t>
      </w:r>
      <w:r w:rsidRPr="00A52585">
        <w:rPr>
          <w:rFonts w:hint="cs"/>
          <w:rtl/>
        </w:rPr>
        <w:t xml:space="preserve"> ثم إن كان المال المدفوع زكاة فلا تبرأ الذمة بدفعه إليهم لأنهم ليسوا من أهلها فليتنبه لذلك</w:t>
      </w:r>
      <w:r w:rsidR="00DB731D" w:rsidRPr="00A52585">
        <w:rPr>
          <w:rFonts w:hint="cs"/>
          <w:rtl/>
        </w:rPr>
        <w:t>،</w:t>
      </w:r>
      <w:r w:rsidRPr="00A52585">
        <w:rPr>
          <w:rFonts w:hint="cs"/>
          <w:rtl/>
        </w:rPr>
        <w:t xml:space="preserve"> فإنه قد يخفى مع ظهوره</w:t>
      </w:r>
      <w:r w:rsidR="00DB731D" w:rsidRPr="00A52585">
        <w:rPr>
          <w:rFonts w:hint="cs"/>
          <w:rtl/>
        </w:rPr>
        <w:t>،</w:t>
      </w:r>
      <w:r w:rsidRPr="00A52585">
        <w:rPr>
          <w:rFonts w:hint="cs"/>
          <w:rtl/>
        </w:rPr>
        <w:t xml:space="preserve"> ومن تشكك في ذلك وتلاعب الشيطان به فليأخذ بجانب الاحتياط فإنه طريق السلامة والله أعلم</w:t>
      </w:r>
      <w:r w:rsidR="00DB731D" w:rsidRPr="00A52585">
        <w:rPr>
          <w:rFonts w:hint="cs"/>
          <w:rtl/>
        </w:rPr>
        <w:t>،</w:t>
      </w:r>
      <w:r w:rsidRPr="00A52585">
        <w:rPr>
          <w:rFonts w:hint="cs"/>
          <w:rtl/>
        </w:rPr>
        <w:t xml:space="preserve"> </w:t>
      </w:r>
    </w:p>
    <w:p w14:paraId="1D3DF09A" w14:textId="14994D02" w:rsidR="00777DCB" w:rsidRPr="00A52585" w:rsidRDefault="0002035C" w:rsidP="0002035C">
      <w:pPr>
        <w:spacing w:after="240"/>
        <w:rPr>
          <w:b/>
          <w:bCs/>
          <w:rtl/>
        </w:rPr>
      </w:pPr>
      <w:r w:rsidRPr="00A52585">
        <w:rPr>
          <w:rFonts w:hint="cs"/>
          <w:bCs/>
          <w:rtl/>
        </w:rPr>
        <w:t>[</w:t>
      </w:r>
      <w:r w:rsidR="00777DCB" w:rsidRPr="00A52585">
        <w:rPr>
          <w:rFonts w:hint="cs"/>
          <w:bCs/>
          <w:rtl/>
        </w:rPr>
        <w:t>ابن تيمية وأتباعه</w:t>
      </w:r>
      <w:r w:rsidRPr="00A52585">
        <w:rPr>
          <w:rFonts w:hint="cs"/>
          <w:bCs/>
          <w:rtl/>
        </w:rPr>
        <w:t>:</w:t>
      </w:r>
      <w:r w:rsidR="00777DCB" w:rsidRPr="00A52585">
        <w:rPr>
          <w:rFonts w:hint="cs"/>
          <w:bCs/>
          <w:rtl/>
        </w:rPr>
        <w:t xml:space="preserve"> خوارج لا حنابلة</w:t>
      </w:r>
      <w:r w:rsidRPr="00A52585">
        <w:rPr>
          <w:rFonts w:hint="cs"/>
          <w:bCs/>
          <w:rtl/>
        </w:rPr>
        <w:t>]:</w:t>
      </w:r>
      <w:r w:rsidR="00777DCB" w:rsidRPr="00A52585">
        <w:rPr>
          <w:rFonts w:hint="cs"/>
          <w:bCs/>
          <w:rtl/>
        </w:rPr>
        <w:t xml:space="preserve"> </w:t>
      </w:r>
      <w:r w:rsidR="00777DCB" w:rsidRPr="00A52585">
        <w:rPr>
          <w:rFonts w:hint="cs"/>
          <w:rtl/>
        </w:rPr>
        <w:t xml:space="preserve">واعلم أني لو أردت أن أذكر ما هم عليه من </w:t>
      </w:r>
      <w:proofErr w:type="spellStart"/>
      <w:r w:rsidR="00777DCB" w:rsidRPr="00A52585">
        <w:rPr>
          <w:rFonts w:hint="cs"/>
          <w:rtl/>
        </w:rPr>
        <w:t>التلبيسات</w:t>
      </w:r>
      <w:proofErr w:type="spellEnd"/>
      <w:r w:rsidR="00777DCB" w:rsidRPr="00A52585">
        <w:rPr>
          <w:rFonts w:hint="cs"/>
          <w:rtl/>
        </w:rPr>
        <w:t xml:space="preserve"> والخديعة والمكر لكان لي في ذلك مزيد وكثرة</w:t>
      </w:r>
      <w:r w:rsidR="00DB731D" w:rsidRPr="00A52585">
        <w:rPr>
          <w:rFonts w:hint="cs"/>
          <w:rtl/>
        </w:rPr>
        <w:t>،</w:t>
      </w:r>
      <w:r w:rsidR="00777DCB" w:rsidRPr="00A52585">
        <w:rPr>
          <w:rFonts w:hint="cs"/>
          <w:rtl/>
        </w:rPr>
        <w:t xml:space="preserve"> وفيما ذكرته أنموذج ينبه بعضه على غيره</w:t>
      </w:r>
      <w:r w:rsidR="00DB731D" w:rsidRPr="00A52585">
        <w:rPr>
          <w:rFonts w:hint="cs"/>
          <w:rtl/>
        </w:rPr>
        <w:t>،</w:t>
      </w:r>
      <w:r w:rsidR="00777DCB" w:rsidRPr="00A52585">
        <w:rPr>
          <w:rFonts w:hint="cs"/>
          <w:rtl/>
        </w:rPr>
        <w:t xml:space="preserve"> لا سيما من له أدنى فراسة وحسن نظر بموارد الشرع ومصادره التي أشار إليها رسول الله صلى الله عليه وسلم وبعضها صرح به تصريحاً ظاهراً لا يخفى إلا على أكمه لا يعرف القمر</w:t>
      </w:r>
      <w:r w:rsidR="00DB731D" w:rsidRPr="00A52585">
        <w:rPr>
          <w:rFonts w:hint="cs"/>
          <w:rtl/>
        </w:rPr>
        <w:t>،</w:t>
      </w:r>
      <w:r w:rsidR="00777DCB" w:rsidRPr="00A52585">
        <w:rPr>
          <w:rFonts w:hint="cs"/>
          <w:rtl/>
        </w:rPr>
        <w:t xml:space="preserve"> في الصحيحين من حديث علي رضي الله عنه قال سمعت رسول الله صلى الله عليه وسلم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سيخرج قوم في آخر الزمان حدثاء الأسنان سفهاء الأحلام يقولون من خير قول البرية يقرءون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البخاري في كتاب (المناقب) باب (علامات النبوة في الإسلام)، وفي كتاب (فضائل القرآن) وفي (استتابة المرتدين). وأخرجه مسلم في كتاب (الزكاة) باب (التحريض على قتل الخوارج) وأخرجه كذلك النسائي وأبو داود]</w:t>
      </w:r>
      <w:r w:rsidR="00777DCB" w:rsidRPr="00A52585">
        <w:rPr>
          <w:rFonts w:hint="cs"/>
          <w:rtl/>
        </w:rPr>
        <w:t xml:space="preserve">، وفي صحيح مسلم من حديث </w:t>
      </w:r>
      <w:proofErr w:type="gramStart"/>
      <w:r w:rsidR="00777DCB" w:rsidRPr="00A52585">
        <w:rPr>
          <w:rFonts w:hint="cs"/>
          <w:rtl/>
        </w:rPr>
        <w:t>علي</w:t>
      </w:r>
      <w:proofErr w:type="gramEnd"/>
      <w:r w:rsidR="00777DCB" w:rsidRPr="00A52585">
        <w:rPr>
          <w:rFonts w:hint="cs"/>
          <w:rtl/>
        </w:rPr>
        <w:t xml:space="preserve"> رضي الله عنه قال سمعت النبي صلى الله عليه وسلم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يخرج قوم من أمتي يقرءون القرآن ليس قراءتكم إلى قراءتهم بشيء وليس صلاتكم إلى صلاتهم بشيء ولا صيامكم إلى صيامهم بشيء يقرءون القرآن يحسبون أنه لهم وهو عليهم لا تجاوز صلاتهم تراقيهم يمرقون من الإسلام كما يمرق السهم من الرمية))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مسلم في (كتاب الزكاة) باب (التحريض على قتل الخوارج). تكرار ظهور الخوارج حتى خروج الدجال الأكبر</w:t>
      </w:r>
      <w:r w:rsidR="00DB731D" w:rsidRPr="00A52585">
        <w:rPr>
          <w:rFonts w:hint="cs"/>
          <w:sz w:val="24"/>
          <w:szCs w:val="24"/>
          <w:rtl/>
        </w:rPr>
        <w:t>،</w:t>
      </w:r>
      <w:r w:rsidR="00777DCB" w:rsidRPr="00A52585">
        <w:rPr>
          <w:rFonts w:hint="cs"/>
          <w:sz w:val="24"/>
          <w:szCs w:val="24"/>
          <w:rtl/>
        </w:rPr>
        <w:t xml:space="preserve"> ولا </w:t>
      </w:r>
      <w:proofErr w:type="spellStart"/>
      <w:r w:rsidR="00777DCB" w:rsidRPr="00A52585">
        <w:rPr>
          <w:rFonts w:hint="cs"/>
          <w:sz w:val="24"/>
          <w:szCs w:val="24"/>
          <w:rtl/>
        </w:rPr>
        <w:t>يظنن</w:t>
      </w:r>
      <w:proofErr w:type="spellEnd"/>
      <w:r w:rsidR="00777DCB" w:rsidRPr="00A52585">
        <w:rPr>
          <w:rFonts w:hint="cs"/>
          <w:sz w:val="24"/>
          <w:szCs w:val="24"/>
          <w:rtl/>
        </w:rPr>
        <w:t xml:space="preserve"> أحد أن الخوارج مجموعة من البشر سيظهرون مرة ويختفون أو أنهم الذين خرجوا على أمير المؤمنين على رضي الله عنه فقط فعن عبد الله بن عمرو بن العاص رضي الله عنهما قال</w:t>
      </w:r>
      <w:r w:rsidRPr="00A52585">
        <w:rPr>
          <w:rFonts w:hint="cs"/>
          <w:sz w:val="24"/>
          <w:szCs w:val="24"/>
          <w:rtl/>
        </w:rPr>
        <w:t>:</w:t>
      </w:r>
      <w:r w:rsidR="00777DCB" w:rsidRPr="00A52585">
        <w:rPr>
          <w:rFonts w:hint="cs"/>
          <w:sz w:val="24"/>
          <w:szCs w:val="24"/>
          <w:rtl/>
        </w:rPr>
        <w:t xml:space="preserve"> سمعت رسول الله صلى الله عليه وسلم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سيخرج أناس من أمتي من قبل المشرق يقرؤون القرآن لا يجاوز تراقيهم. كلما خرج منهم قرن قطع كلما خرج منهم قرن قطع حتى عدَّها زيادة على عشر مرات كلما خرج منهم قرن قطع حتى يخرج الدجال في بقيتهم</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أخرجه الإمام أحمد في مسنده بإسناد حسن (المسند2/198) </w:t>
      </w:r>
      <w:r w:rsidR="00777DCB" w:rsidRPr="00A52585">
        <w:rPr>
          <w:rFonts w:hint="cs"/>
          <w:sz w:val="24"/>
          <w:szCs w:val="24"/>
          <w:rtl/>
        </w:rPr>
        <w:lastRenderedPageBreak/>
        <w:t>ورواه من طريق آخر أيضاً عن عبد الله بن عمرو بإسناد حسن (المسند 2/209)</w:t>
      </w:r>
      <w:r w:rsidR="00DB731D" w:rsidRPr="00A52585">
        <w:rPr>
          <w:rFonts w:hint="cs"/>
          <w:sz w:val="24"/>
          <w:szCs w:val="24"/>
          <w:rtl/>
        </w:rPr>
        <w:t>،</w:t>
      </w:r>
      <w:r w:rsidR="00777DCB" w:rsidRPr="00A52585">
        <w:rPr>
          <w:rFonts w:hint="cs"/>
          <w:sz w:val="24"/>
          <w:szCs w:val="24"/>
          <w:rtl/>
        </w:rPr>
        <w:t xml:space="preserve"> وعن ابن عمر رضي الله عنهما أن رسول الله صلى الله عليه وسلم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ينشأ نشئ يقرؤون القرآن لا يجاوز تراقيهم، كلما خرج قرن قطع</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ابن عمر رضي الله عنهما سمعت رسول الله صلى الله عليه وسلم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كلما خرج قرن قطع أكثر من عشرين مرة حتى يخرج في عراضهم الدجال</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رواه ابن ماجة بإسناد حسن</w:t>
      </w:r>
      <w:r w:rsidR="00DB731D" w:rsidRPr="00A52585">
        <w:rPr>
          <w:rFonts w:hint="cs"/>
          <w:sz w:val="24"/>
          <w:szCs w:val="24"/>
          <w:rtl/>
        </w:rPr>
        <w:t>،</w:t>
      </w:r>
      <w:r w:rsidR="00777DCB" w:rsidRPr="00A52585">
        <w:rPr>
          <w:rFonts w:hint="cs"/>
          <w:sz w:val="24"/>
          <w:szCs w:val="24"/>
          <w:rtl/>
        </w:rPr>
        <w:t xml:space="preserve"> وبعد معركة النهروان وهزيمة الخوارج- لعنهم الله- سمع أمير المؤمنين على أحد ابنيه إما الحسن أو الحسين يقول</w:t>
      </w:r>
      <w:r w:rsidRPr="00A52585">
        <w:rPr>
          <w:rFonts w:hint="cs"/>
          <w:sz w:val="24"/>
          <w:szCs w:val="24"/>
          <w:rtl/>
        </w:rPr>
        <w:t>:</w:t>
      </w:r>
      <w:r w:rsidR="00777DCB" w:rsidRPr="00A52585">
        <w:rPr>
          <w:rFonts w:hint="cs"/>
          <w:sz w:val="24"/>
          <w:szCs w:val="24"/>
          <w:rtl/>
        </w:rPr>
        <w:t xml:space="preserve"> (الحمد لله الذي أراح أمة محمد صلى الله عليه وسلم من هذا العصابة) فقال</w:t>
      </w:r>
      <w:r w:rsidRPr="00A52585">
        <w:rPr>
          <w:rFonts w:hint="cs"/>
          <w:sz w:val="24"/>
          <w:szCs w:val="24"/>
          <w:rtl/>
        </w:rPr>
        <w:t>:</w:t>
      </w:r>
      <w:r w:rsidR="00777DCB" w:rsidRPr="00A52585">
        <w:rPr>
          <w:rFonts w:hint="cs"/>
          <w:sz w:val="24"/>
          <w:szCs w:val="24"/>
          <w:rtl/>
        </w:rPr>
        <w:t xml:space="preserve"> (لو لم يبق من أمة محمد صلى الله عليه وسلم إلا ثلاثة لكان أحدهم على رأي هؤلاء. إنهم لفي أصلاب الرجال وأرحام النساء). (مجمع الزوائد 6/245) وقال رواه الطبراني في الأوسط وفيه جماعة لم أعرفهم</w:t>
      </w:r>
      <w:r w:rsidRPr="00A52585">
        <w:rPr>
          <w:rFonts w:hint="cs"/>
          <w:sz w:val="24"/>
          <w:szCs w:val="24"/>
          <w:rtl/>
        </w:rPr>
        <w:t>]</w:t>
      </w:r>
      <w:r w:rsidR="00DB731D" w:rsidRPr="00A52585">
        <w:rPr>
          <w:rFonts w:hint="cs"/>
          <w:sz w:val="24"/>
          <w:szCs w:val="24"/>
          <w:rtl/>
        </w:rPr>
        <w:t>،</w:t>
      </w:r>
      <w:r w:rsidR="00777DCB" w:rsidRPr="00A52585">
        <w:rPr>
          <w:rFonts w:hint="cs"/>
          <w:rtl/>
        </w:rPr>
        <w:t xml:space="preserve"> وفي الصحيحين مــن حديث ابـــن عمر رضي الله عنهـما قال سمعت النبي صلى الله عليه وسلم يقول وهو على المنبر (</w:t>
      </w:r>
      <w:r w:rsidRPr="00A52585">
        <w:rPr>
          <w:rFonts w:hint="cs"/>
          <w:rtl/>
        </w:rPr>
        <w:t>(</w:t>
      </w:r>
      <w:r w:rsidR="00777DCB" w:rsidRPr="00A52585">
        <w:rPr>
          <w:rFonts w:hint="cs"/>
          <w:rtl/>
        </w:rPr>
        <w:t xml:space="preserve">ألا إن الفتنة ههنا - يشير إلى المشرق </w:t>
      </w:r>
      <w:r w:rsidR="00777DCB" w:rsidRPr="00A52585">
        <w:t>–</w:t>
      </w:r>
      <w:r w:rsidR="00777DCB" w:rsidRPr="00A52585">
        <w:rPr>
          <w:rFonts w:hint="cs"/>
          <w:rtl/>
        </w:rPr>
        <w:t xml:space="preserve"> </w:t>
      </w:r>
      <w:r w:rsidRPr="00A52585">
        <w:rPr>
          <w:rFonts w:hint="cs"/>
          <w:rtl/>
        </w:rPr>
        <w:t>[</w:t>
      </w:r>
      <w:r w:rsidR="00777DCB" w:rsidRPr="00A52585">
        <w:rPr>
          <w:rFonts w:hint="cs"/>
          <w:rtl/>
        </w:rPr>
        <w:t>من</w:t>
      </w:r>
      <w:r w:rsidRPr="00A52585">
        <w:rPr>
          <w:rFonts w:hint="cs"/>
          <w:rtl/>
        </w:rPr>
        <w:t>]</w:t>
      </w:r>
      <w:r w:rsidR="00777DCB" w:rsidRPr="00A52585">
        <w:rPr>
          <w:rFonts w:hint="cs"/>
          <w:rtl/>
        </w:rPr>
        <w:t xml:space="preserve"> حيث يطلع قرن الشيطان</w:t>
      </w:r>
      <w:r w:rsidRPr="00A52585">
        <w:rPr>
          <w:rFonts w:hint="cs"/>
          <w:rtl/>
        </w:rPr>
        <w:t>)</w:t>
      </w:r>
      <w:r w:rsidR="00777DCB" w:rsidRPr="00A52585">
        <w:rPr>
          <w:rFonts w:hint="cs"/>
          <w:rtl/>
        </w:rPr>
        <w:t>) وفي رواية (</w:t>
      </w:r>
      <w:r w:rsidRPr="00A52585">
        <w:rPr>
          <w:rFonts w:hint="cs"/>
          <w:rtl/>
        </w:rPr>
        <w:t>([</w:t>
      </w:r>
      <w:r w:rsidR="00777DCB" w:rsidRPr="00A52585">
        <w:rPr>
          <w:rFonts w:hint="cs"/>
          <w:rtl/>
        </w:rPr>
        <w:t>ها</w:t>
      </w:r>
      <w:r w:rsidRPr="00A52585">
        <w:rPr>
          <w:rFonts w:hint="cs"/>
          <w:rtl/>
        </w:rPr>
        <w:t>]</w:t>
      </w:r>
      <w:r w:rsidR="00777DCB" w:rsidRPr="00A52585">
        <w:rPr>
          <w:rFonts w:hint="cs"/>
          <w:rtl/>
        </w:rPr>
        <w:t xml:space="preserve"> إن الفتنة ههنا</w:t>
      </w:r>
      <w:r w:rsidRPr="00A52585">
        <w:rPr>
          <w:rFonts w:hint="cs"/>
          <w:rtl/>
        </w:rPr>
        <w:t>)</w:t>
      </w:r>
      <w:r w:rsidR="00777DCB" w:rsidRPr="00A52585">
        <w:rPr>
          <w:rFonts w:hint="cs"/>
          <w:rtl/>
        </w:rPr>
        <w:t>) ثلاثاً وفي رواية (</w:t>
      </w:r>
      <w:r w:rsidRPr="00A52585">
        <w:rPr>
          <w:rFonts w:hint="cs"/>
          <w:rtl/>
        </w:rPr>
        <w:t>(</w:t>
      </w:r>
      <w:r w:rsidR="00777DCB" w:rsidRPr="00A52585">
        <w:rPr>
          <w:rFonts w:hint="cs"/>
          <w:rtl/>
        </w:rPr>
        <w:t>خرج رسول الله صلى الله عليه وسلم من بيت عائشة رضي الله عنها فقال (</w:t>
      </w:r>
      <w:r w:rsidRPr="00A52585">
        <w:rPr>
          <w:rFonts w:hint="cs"/>
          <w:rtl/>
        </w:rPr>
        <w:t>(</w:t>
      </w:r>
      <w:r w:rsidR="00777DCB" w:rsidRPr="00A52585">
        <w:rPr>
          <w:rFonts w:hint="cs"/>
          <w:rtl/>
        </w:rPr>
        <w:t>رأس الكفر من ههنا من حيث يطلع قرن الشيطان</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w:t>
      </w:r>
      <w:r w:rsidRPr="00A52585">
        <w:rPr>
          <w:rFonts w:hint="cs"/>
          <w:sz w:val="24"/>
          <w:szCs w:val="24"/>
          <w:rtl/>
        </w:rPr>
        <w:t>:</w:t>
      </w:r>
      <w:r w:rsidR="00777DCB" w:rsidRPr="00A52585">
        <w:rPr>
          <w:rFonts w:hint="cs"/>
          <w:sz w:val="24"/>
          <w:szCs w:val="24"/>
          <w:rtl/>
        </w:rPr>
        <w:t xml:space="preserve"> كتاب (بدء الخلق) باب (صفة إبليس وجنوده)، كتاب (الجهاد) باب (ما جاء في بيوت أزواج النبي صلى الله عليه وسلم وما نسب إليهن من البيوت)، كتاب (الأنبياء) باب نسبة اليمن إلى إسماعيل)، كتاب (الطلاق) باب (الإشارة في الطلاق وفي الأمور)، كتاب (الفتن) باب (قول النبي صلى الله عليه وسلم الفتنة من قبل المشرق)</w:t>
      </w:r>
      <w:r w:rsidR="00DB731D" w:rsidRPr="00A52585">
        <w:rPr>
          <w:rFonts w:hint="cs"/>
          <w:sz w:val="24"/>
          <w:szCs w:val="24"/>
          <w:rtl/>
        </w:rPr>
        <w:t>،</w:t>
      </w:r>
      <w:r w:rsidR="00777DCB" w:rsidRPr="00A52585">
        <w:rPr>
          <w:rFonts w:hint="cs"/>
          <w:sz w:val="24"/>
          <w:szCs w:val="24"/>
          <w:rtl/>
        </w:rPr>
        <w:t xml:space="preserve"> رواه مسلم</w:t>
      </w:r>
      <w:r w:rsidRPr="00A52585">
        <w:rPr>
          <w:rFonts w:hint="cs"/>
          <w:sz w:val="24"/>
          <w:szCs w:val="24"/>
          <w:rtl/>
        </w:rPr>
        <w:t>:</w:t>
      </w:r>
      <w:r w:rsidR="00777DCB" w:rsidRPr="00A52585">
        <w:rPr>
          <w:rFonts w:hint="cs"/>
          <w:sz w:val="24"/>
          <w:szCs w:val="24"/>
          <w:rtl/>
        </w:rPr>
        <w:t xml:space="preserve"> كتاب (الفتن) باب (الفتنة من المشرق من حيث يطلع قرنا الشيطان)</w:t>
      </w:r>
      <w:r w:rsidR="00DB731D" w:rsidRPr="00A52585">
        <w:rPr>
          <w:rFonts w:hint="cs"/>
          <w:sz w:val="24"/>
          <w:szCs w:val="24"/>
          <w:rtl/>
        </w:rPr>
        <w:t>،</w:t>
      </w:r>
      <w:r w:rsidR="00777DCB" w:rsidRPr="00A52585">
        <w:rPr>
          <w:rFonts w:hint="cs"/>
          <w:sz w:val="24"/>
          <w:szCs w:val="24"/>
          <w:rtl/>
        </w:rPr>
        <w:t xml:space="preserve"> ورواه أيضاً الإمام مالك في الموطأ والترمذي في سننه]</w:t>
      </w:r>
      <w:r w:rsidR="00777DCB" w:rsidRPr="00A52585">
        <w:rPr>
          <w:rFonts w:hint="cs"/>
          <w:rtl/>
        </w:rPr>
        <w:t>، وهذا المبتدع من حران الشرق بلدة لا يزال يخرج منها أهل البــدع كجهم وغيره</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فحدد صلى الله عليه وسلم أنها جهات المشرق بوجه عام وحدد منها منطقة (نجد) المعروفة حاليا على وجه الخصوص، فقد أخرج البخاري عن ابن عمر رضي الله عنه قال</w:t>
      </w:r>
      <w:r w:rsidRPr="00A52585">
        <w:rPr>
          <w:rFonts w:hint="cs"/>
          <w:sz w:val="24"/>
          <w:szCs w:val="24"/>
          <w:rtl/>
        </w:rPr>
        <w:t>:</w:t>
      </w:r>
      <w:r w:rsidR="00777DCB" w:rsidRPr="00A52585">
        <w:rPr>
          <w:rFonts w:hint="cs"/>
          <w:sz w:val="24"/>
          <w:szCs w:val="24"/>
          <w:rtl/>
        </w:rPr>
        <w:t xml:space="preserve"> ذكر النبي صلى الله عليه وسلم</w:t>
      </w:r>
      <w:r w:rsidRPr="00A52585">
        <w:rPr>
          <w:rFonts w:hint="cs"/>
          <w:sz w:val="24"/>
          <w:szCs w:val="24"/>
          <w:rtl/>
        </w:rPr>
        <w:t>:</w:t>
      </w:r>
      <w:r w:rsidR="00777DCB" w:rsidRPr="00A52585">
        <w:rPr>
          <w:rFonts w:hint="cs"/>
          <w:sz w:val="24"/>
          <w:szCs w:val="24"/>
          <w:rtl/>
        </w:rPr>
        <w:t xml:space="preserve"> " اللهم بارك لنا في شامنا اللهم بارك لنا في يمننا</w:t>
      </w:r>
      <w:r w:rsidRPr="00A52585">
        <w:rPr>
          <w:rFonts w:hint="cs"/>
          <w:sz w:val="24"/>
          <w:szCs w:val="24"/>
          <w:rtl/>
        </w:rPr>
        <w:t xml:space="preserve"> </w:t>
      </w:r>
      <w:r w:rsidR="00777DCB" w:rsidRPr="00A52585">
        <w:rPr>
          <w:rFonts w:hint="cs"/>
          <w:sz w:val="24"/>
          <w:szCs w:val="24"/>
          <w:rtl/>
        </w:rPr>
        <w:t>" قالوا يا رسول الله</w:t>
      </w:r>
      <w:r w:rsidRPr="00A52585">
        <w:rPr>
          <w:rFonts w:hint="cs"/>
          <w:sz w:val="24"/>
          <w:szCs w:val="24"/>
          <w:rtl/>
        </w:rPr>
        <w:t>:</w:t>
      </w:r>
      <w:r w:rsidR="00777DCB" w:rsidRPr="00A52585">
        <w:rPr>
          <w:rFonts w:hint="cs"/>
          <w:sz w:val="24"/>
          <w:szCs w:val="24"/>
          <w:rtl/>
        </w:rPr>
        <w:t xml:space="preserve"> وفي نجدنا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اللهم بارك لنا في شامنا اللهم بارك لنا في يمننا</w:t>
      </w:r>
      <w:r w:rsidRPr="00A52585">
        <w:rPr>
          <w:rFonts w:hint="cs"/>
          <w:sz w:val="24"/>
          <w:szCs w:val="24"/>
          <w:rtl/>
        </w:rPr>
        <w:t xml:space="preserve"> </w:t>
      </w:r>
      <w:r w:rsidR="00777DCB" w:rsidRPr="00A52585">
        <w:rPr>
          <w:rFonts w:hint="cs"/>
          <w:sz w:val="24"/>
          <w:szCs w:val="24"/>
          <w:rtl/>
        </w:rPr>
        <w:t>" قالوا</w:t>
      </w:r>
      <w:r w:rsidRPr="00A52585">
        <w:rPr>
          <w:rFonts w:hint="cs"/>
          <w:sz w:val="24"/>
          <w:szCs w:val="24"/>
          <w:rtl/>
        </w:rPr>
        <w:t>:</w:t>
      </w:r>
      <w:r w:rsidR="00777DCB" w:rsidRPr="00A52585">
        <w:rPr>
          <w:rFonts w:hint="cs"/>
          <w:sz w:val="24"/>
          <w:szCs w:val="24"/>
          <w:rtl/>
        </w:rPr>
        <w:t xml:space="preserve"> يا رسول الله وفي نجدنا</w:t>
      </w:r>
      <w:r w:rsidR="00F95886" w:rsidRPr="00A52585">
        <w:rPr>
          <w:rFonts w:hint="cs"/>
          <w:sz w:val="24"/>
          <w:szCs w:val="24"/>
          <w:rtl/>
        </w:rPr>
        <w:t>؟</w:t>
      </w:r>
      <w:r w:rsidR="00777DCB" w:rsidRPr="00A52585">
        <w:rPr>
          <w:rFonts w:hint="cs"/>
          <w:sz w:val="24"/>
          <w:szCs w:val="24"/>
          <w:rtl/>
        </w:rPr>
        <w:t xml:space="preserve"> فأظنه قال في الثالثة</w:t>
      </w:r>
      <w:r w:rsidRPr="00A52585">
        <w:rPr>
          <w:rFonts w:hint="cs"/>
          <w:sz w:val="24"/>
          <w:szCs w:val="24"/>
          <w:rtl/>
        </w:rPr>
        <w:t>:</w:t>
      </w:r>
      <w:r w:rsidR="00777DCB" w:rsidRPr="00A52585">
        <w:rPr>
          <w:rFonts w:hint="cs"/>
          <w:sz w:val="24"/>
          <w:szCs w:val="24"/>
          <w:rtl/>
        </w:rPr>
        <w:t xml:space="preserve"> " هناك الزلازل والفتن وبها يطلع قرن الشيطان</w:t>
      </w:r>
      <w:r w:rsidRPr="00A52585">
        <w:rPr>
          <w:rFonts w:hint="cs"/>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وهل بعد بيان رسول الله بيان</w:t>
      </w:r>
      <w:r w:rsidR="00F95886" w:rsidRPr="00A52585">
        <w:rPr>
          <w:rFonts w:hint="cs"/>
          <w:sz w:val="24"/>
          <w:szCs w:val="24"/>
          <w:rtl/>
        </w:rPr>
        <w:t>؟</w:t>
      </w:r>
      <w:r w:rsidR="00777DCB" w:rsidRPr="00A52585">
        <w:rPr>
          <w:rFonts w:hint="cs"/>
          <w:sz w:val="24"/>
          <w:szCs w:val="24"/>
          <w:rtl/>
        </w:rPr>
        <w:t>! أو بعد تصريحه تصريح</w:t>
      </w:r>
      <w:r w:rsidR="00F95886" w:rsidRPr="00A52585">
        <w:rPr>
          <w:rFonts w:hint="cs"/>
          <w:sz w:val="24"/>
          <w:szCs w:val="24"/>
          <w:rtl/>
        </w:rPr>
        <w:t>؟</w:t>
      </w:r>
      <w:r w:rsidR="00777DCB" w:rsidRPr="00A52585">
        <w:rPr>
          <w:rFonts w:hint="cs"/>
          <w:sz w:val="24"/>
          <w:szCs w:val="24"/>
          <w:rtl/>
        </w:rPr>
        <w:t>! وهذا الحديث يعد من دلائل النبوة فقد خرجت منها أشد الفتن التي هددت أهل الإسلام بدءًا من مسيلمة الكذاب وحتى خوارج العصر الحديث من أتباع محمد بن عبد الوهاب</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rtl/>
        </w:rPr>
        <w:t>وفي سنن أبي داود من حديث أبي سعيد الخدري وأنس رضي الله عنهما أنه</w:t>
      </w:r>
      <w:r w:rsidR="00777DCB" w:rsidRPr="00A52585">
        <w:rPr>
          <w:rFonts w:hint="cs"/>
          <w:rtl/>
        </w:rPr>
        <w:t xml:space="preserve"> عليه الصلاة والسلام قال (</w:t>
      </w:r>
      <w:r w:rsidRPr="00A52585">
        <w:rPr>
          <w:rFonts w:hint="cs"/>
          <w:rtl/>
        </w:rPr>
        <w:t>(</w:t>
      </w:r>
      <w:r w:rsidR="00777DCB" w:rsidRPr="00A52585">
        <w:rPr>
          <w:rFonts w:hint="cs"/>
          <w:rtl/>
        </w:rPr>
        <w:t xml:space="preserve">سيكون في أمتي اختلاف وفرقة </w:t>
      </w:r>
      <w:r w:rsidRPr="00A52585">
        <w:rPr>
          <w:rFonts w:hint="cs"/>
          <w:rtl/>
        </w:rPr>
        <w:t>[</w:t>
      </w:r>
      <w:r w:rsidR="00777DCB" w:rsidRPr="00A52585">
        <w:rPr>
          <w:rFonts w:hint="cs"/>
          <w:rtl/>
        </w:rPr>
        <w:t>قوم</w:t>
      </w:r>
      <w:r w:rsidRPr="00A52585">
        <w:rPr>
          <w:rFonts w:hint="cs"/>
          <w:rtl/>
        </w:rPr>
        <w:t>]</w:t>
      </w:r>
      <w:r w:rsidR="00777DCB" w:rsidRPr="00A52585">
        <w:rPr>
          <w:rFonts w:hint="cs"/>
          <w:rtl/>
        </w:rPr>
        <w:t xml:space="preserve"> يحسنون </w:t>
      </w:r>
      <w:r w:rsidR="00777DCB" w:rsidRPr="00A52585">
        <w:rPr>
          <w:rFonts w:hint="cs"/>
          <w:spacing w:val="-6"/>
          <w:rtl/>
        </w:rPr>
        <w:t>القيل ويسيئون الفعل يقرءون القرآن لا يجاوز تراقيهم</w:t>
      </w:r>
      <w:r w:rsidR="00DB731D" w:rsidRPr="00A52585">
        <w:rPr>
          <w:rFonts w:hint="cs"/>
          <w:spacing w:val="-6"/>
          <w:rtl/>
        </w:rPr>
        <w:t>،</w:t>
      </w:r>
      <w:r w:rsidR="00777DCB" w:rsidRPr="00A52585">
        <w:rPr>
          <w:rFonts w:hint="cs"/>
          <w:spacing w:val="-6"/>
          <w:rtl/>
        </w:rPr>
        <w:t xml:space="preserve"> يمرقون من الد</w:t>
      </w:r>
      <w:r w:rsidR="00777DCB" w:rsidRPr="00A52585">
        <w:rPr>
          <w:rFonts w:hint="cs"/>
          <w:spacing w:val="-16"/>
          <w:rtl/>
        </w:rPr>
        <w:t xml:space="preserve">ين كما يمرق </w:t>
      </w:r>
      <w:r w:rsidR="00777DCB" w:rsidRPr="00A52585">
        <w:rPr>
          <w:rFonts w:hint="cs"/>
          <w:spacing w:val="-6"/>
          <w:rtl/>
        </w:rPr>
        <w:t xml:space="preserve">السهم من الرمية </w:t>
      </w:r>
      <w:r w:rsidRPr="00A52585">
        <w:rPr>
          <w:rFonts w:hint="cs"/>
          <w:spacing w:val="-6"/>
          <w:rtl/>
        </w:rPr>
        <w:t>[</w:t>
      </w:r>
      <w:r w:rsidR="00777DCB" w:rsidRPr="00A52585">
        <w:rPr>
          <w:rFonts w:hint="cs"/>
          <w:spacing w:val="-6"/>
          <w:rtl/>
        </w:rPr>
        <w:t>ثم لا يرجعون حتى يرتد على فوقه</w:t>
      </w:r>
      <w:r w:rsidRPr="00A52585">
        <w:rPr>
          <w:rFonts w:hint="cs"/>
          <w:spacing w:val="-6"/>
          <w:rtl/>
        </w:rPr>
        <w:t>]</w:t>
      </w:r>
      <w:r w:rsidR="00777DCB" w:rsidRPr="00A52585">
        <w:rPr>
          <w:rFonts w:hint="cs"/>
          <w:spacing w:val="-6"/>
          <w:rtl/>
        </w:rPr>
        <w:t xml:space="preserve"> هم شر الخلق طوبى لمن قتلهم وقتلوه يدعون إلى كتاب الله </w:t>
      </w:r>
      <w:r w:rsidRPr="00A52585">
        <w:rPr>
          <w:rFonts w:hint="cs"/>
          <w:spacing w:val="-6"/>
          <w:rtl/>
        </w:rPr>
        <w:t>[</w:t>
      </w:r>
      <w:r w:rsidR="00777DCB" w:rsidRPr="00A52585">
        <w:rPr>
          <w:rFonts w:hint="cs"/>
          <w:spacing w:val="-6"/>
          <w:rtl/>
        </w:rPr>
        <w:t>وليسوا منه في شيء</w:t>
      </w:r>
      <w:r w:rsidR="00DB731D" w:rsidRPr="00A52585">
        <w:rPr>
          <w:rFonts w:hint="cs"/>
          <w:spacing w:val="-6"/>
          <w:rtl/>
        </w:rPr>
        <w:t>،</w:t>
      </w:r>
      <w:r w:rsidR="00777DCB" w:rsidRPr="00A52585">
        <w:rPr>
          <w:rFonts w:hint="cs"/>
          <w:spacing w:val="-6"/>
          <w:rtl/>
        </w:rPr>
        <w:t xml:space="preserve"> من قاتلهم كان أولى بالله منهم</w:t>
      </w:r>
      <w:r w:rsidRPr="00A52585">
        <w:rPr>
          <w:rFonts w:hint="cs"/>
          <w:spacing w:val="-6"/>
          <w:rtl/>
        </w:rPr>
        <w:t>)</w:t>
      </w:r>
      <w:r w:rsidR="00777DCB" w:rsidRPr="00A52585">
        <w:rPr>
          <w:rFonts w:hint="cs"/>
          <w:spacing w:val="-6"/>
          <w:rtl/>
        </w:rPr>
        <w:t>)</w:t>
      </w:r>
      <w:r w:rsidR="00777DCB" w:rsidRPr="00A52585">
        <w:rPr>
          <w:rFonts w:hint="cs"/>
          <w:rtl/>
        </w:rPr>
        <w:t xml:space="preserve"> </w:t>
      </w:r>
      <w:r w:rsidR="00777DCB" w:rsidRPr="00A52585">
        <w:rPr>
          <w:rFonts w:hint="cs"/>
          <w:spacing w:val="-6"/>
          <w:rtl/>
        </w:rPr>
        <w:t>قالوا</w:t>
      </w:r>
      <w:r w:rsidRPr="00A52585">
        <w:rPr>
          <w:rFonts w:hint="cs"/>
          <w:spacing w:val="-6"/>
          <w:rtl/>
        </w:rPr>
        <w:t>:</w:t>
      </w:r>
      <w:r w:rsidR="00777DCB" w:rsidRPr="00A52585">
        <w:rPr>
          <w:rFonts w:hint="cs"/>
          <w:spacing w:val="-6"/>
          <w:rtl/>
        </w:rPr>
        <w:t xml:space="preserve"> يا رسول الله ما</w:t>
      </w:r>
      <w:r w:rsidRPr="00A52585">
        <w:rPr>
          <w:rFonts w:hint="cs"/>
          <w:spacing w:val="-6"/>
          <w:rtl/>
        </w:rPr>
        <w:t>]</w:t>
      </w:r>
      <w:r w:rsidR="00777DCB" w:rsidRPr="00A52585">
        <w:rPr>
          <w:rFonts w:hint="cs"/>
          <w:spacing w:val="-6"/>
          <w:rtl/>
        </w:rPr>
        <w:t xml:space="preserve"> سيماهم</w:t>
      </w:r>
      <w:r w:rsidR="00F95886" w:rsidRPr="00A52585">
        <w:rPr>
          <w:rFonts w:hint="cs"/>
          <w:spacing w:val="-6"/>
          <w:rtl/>
        </w:rPr>
        <w:t>؟</w:t>
      </w:r>
      <w:r w:rsidR="00777DCB" w:rsidRPr="00A52585">
        <w:rPr>
          <w:rFonts w:hint="cs"/>
          <w:spacing w:val="-6"/>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التحليق</w:t>
      </w:r>
      <w:r w:rsidRPr="00A52585">
        <w:rPr>
          <w:rFonts w:hint="cs"/>
          <w:rtl/>
        </w:rPr>
        <w:t>)</w:t>
      </w:r>
      <w:r w:rsidR="00777DCB" w:rsidRPr="00A52585">
        <w:rPr>
          <w:rFonts w:hint="cs"/>
          <w:rtl/>
        </w:rPr>
        <w:t>)</w:t>
      </w:r>
      <w:r w:rsidR="00DB731D" w:rsidRPr="00A52585">
        <w:rPr>
          <w:rFonts w:hint="cs"/>
          <w:rtl/>
        </w:rPr>
        <w:t>،</w:t>
      </w:r>
      <w:r w:rsidR="00777DCB" w:rsidRPr="00A52585">
        <w:rPr>
          <w:rFonts w:hint="cs"/>
          <w:spacing w:val="-16"/>
          <w:rtl/>
        </w:rPr>
        <w:t xml:space="preserve"> </w:t>
      </w:r>
      <w:r w:rsidR="00777DCB" w:rsidRPr="00A52585">
        <w:rPr>
          <w:rFonts w:hint="cs"/>
          <w:rtl/>
        </w:rPr>
        <w:t>وفي رواية عن أنس نحوه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سيماهم التحليق والتسبيد فإذا رأيتموهم </w:t>
      </w:r>
      <w:proofErr w:type="spellStart"/>
      <w:r w:rsidR="00777DCB" w:rsidRPr="00A52585">
        <w:rPr>
          <w:rFonts w:hint="cs"/>
          <w:rtl/>
        </w:rPr>
        <w:t>فأنيموهم</w:t>
      </w:r>
      <w:proofErr w:type="spellEnd"/>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w:t>
      </w:r>
      <w:r w:rsidR="00777DCB" w:rsidRPr="00A52585">
        <w:rPr>
          <w:rFonts w:hint="cs"/>
          <w:sz w:val="24"/>
          <w:szCs w:val="24"/>
          <w:rtl/>
        </w:rPr>
        <w:lastRenderedPageBreak/>
        <w:t>أبو داود في كتاب (السنة) باب (في قتال الخوارج) حديث رقم (4765) وإسناده صحيح]</w:t>
      </w:r>
      <w:r w:rsidR="00777DCB" w:rsidRPr="00A52585">
        <w:rPr>
          <w:rFonts w:hint="cs"/>
          <w:rtl/>
        </w:rPr>
        <w:t xml:space="preserve"> أي أقتلوهم والتسبيد</w:t>
      </w:r>
      <w:r w:rsidRPr="00A52585">
        <w:rPr>
          <w:rFonts w:hint="cs"/>
          <w:rtl/>
        </w:rPr>
        <w:t>:</w:t>
      </w:r>
      <w:r w:rsidR="00777DCB" w:rsidRPr="00A52585">
        <w:rPr>
          <w:rFonts w:hint="cs"/>
          <w:rtl/>
        </w:rPr>
        <w:t xml:space="preserve"> هو الحلق واستئصال الشعر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وهذا أيضاً من دلائل نبوة سيدنا </w:t>
      </w:r>
      <w:proofErr w:type="spellStart"/>
      <w:r w:rsidR="00777DCB" w:rsidRPr="00A52585">
        <w:rPr>
          <w:rFonts w:hint="cs"/>
          <w:sz w:val="24"/>
          <w:szCs w:val="24"/>
          <w:rtl/>
        </w:rPr>
        <w:t>محمدصلى</w:t>
      </w:r>
      <w:proofErr w:type="spellEnd"/>
      <w:r w:rsidR="00777DCB" w:rsidRPr="00A52585">
        <w:rPr>
          <w:rFonts w:hint="cs"/>
          <w:sz w:val="24"/>
          <w:szCs w:val="24"/>
          <w:rtl/>
        </w:rPr>
        <w:t xml:space="preserve"> الله عليه وسلم</w:t>
      </w:r>
      <w:r w:rsidR="00DB731D" w:rsidRPr="00A52585">
        <w:rPr>
          <w:rFonts w:hint="cs"/>
          <w:sz w:val="24"/>
          <w:szCs w:val="24"/>
          <w:rtl/>
        </w:rPr>
        <w:t>،</w:t>
      </w:r>
      <w:r w:rsidR="00777DCB" w:rsidRPr="00A52585">
        <w:rPr>
          <w:rFonts w:hint="cs"/>
          <w:sz w:val="24"/>
          <w:szCs w:val="24"/>
          <w:rtl/>
        </w:rPr>
        <w:t xml:space="preserve"> لأن الخارجي محمد بن عبد الوهاب كان يأمر أتباعه بذلك ولا تزال هذه الصفة في كثير من أتباعه. يقول السيد أحمد بن زيني دحلان في كتابه (الدرر السنية في الرد على الوهابية)</w:t>
      </w:r>
      <w:r w:rsidRPr="00A52585">
        <w:rPr>
          <w:rFonts w:hint="cs"/>
          <w:sz w:val="24"/>
          <w:szCs w:val="24"/>
          <w:rtl/>
        </w:rPr>
        <w:t xml:space="preserve">: </w:t>
      </w:r>
      <w:r w:rsidR="00777DCB" w:rsidRPr="00A52585">
        <w:rPr>
          <w:rFonts w:hint="cs"/>
          <w:sz w:val="24"/>
          <w:szCs w:val="24"/>
          <w:rtl/>
        </w:rPr>
        <w:t xml:space="preserve">" وفي قوله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 xml:space="preserve"> </w:t>
      </w:r>
      <w:r w:rsidR="00777DCB" w:rsidRPr="00A52585">
        <w:rPr>
          <w:rFonts w:hint="cs"/>
          <w:sz w:val="24"/>
          <w:szCs w:val="24"/>
          <w:rtl/>
        </w:rPr>
        <w:t>" سيماهم التحليق "</w:t>
      </w:r>
      <w:r w:rsidRPr="00A52585">
        <w:rPr>
          <w:rFonts w:hint="cs"/>
          <w:sz w:val="24"/>
          <w:szCs w:val="24"/>
          <w:rtl/>
        </w:rPr>
        <w:t xml:space="preserve"> </w:t>
      </w:r>
      <w:r w:rsidR="00777DCB" w:rsidRPr="00A52585">
        <w:rPr>
          <w:rFonts w:hint="cs"/>
          <w:sz w:val="24"/>
          <w:szCs w:val="24"/>
          <w:rtl/>
        </w:rPr>
        <w:t>تنصيص على هؤلاء القوم الخارجين من المشرق التابعين لابن عبد الوهاب فيما ابتدعه، لأنهم كانوا يأمرون من اتبعهم أن يحلق رأسه ولا يتركونه يفارق مجلسهم إذا تبعهم حتى يحلقوا رأسه ولم يقع مثل ذلك قط من أحد من الفرق الضالة التي مضت قبلهم، فالحديث صريح فيهم. وكان السيد عبد الرحمن الأهدل مفتي زبيد يقول</w:t>
      </w:r>
      <w:r w:rsidRPr="00A52585">
        <w:rPr>
          <w:rFonts w:hint="cs"/>
          <w:sz w:val="24"/>
          <w:szCs w:val="24"/>
          <w:rtl/>
        </w:rPr>
        <w:t>:</w:t>
      </w:r>
      <w:r w:rsidR="00777DCB" w:rsidRPr="00A52585">
        <w:rPr>
          <w:rFonts w:hint="cs"/>
          <w:sz w:val="24"/>
          <w:szCs w:val="24"/>
          <w:rtl/>
        </w:rPr>
        <w:t xml:space="preserve"> لا يحتاج أن يؤلف أحد تأليفا للردّ على ابن عبد الوهاب بل يكفي في الرد عليه قوله صلى الله عليه وسلم</w:t>
      </w:r>
      <w:r w:rsidRPr="00A52585">
        <w:rPr>
          <w:rFonts w:hint="cs"/>
          <w:sz w:val="24"/>
          <w:szCs w:val="24"/>
          <w:rtl/>
        </w:rPr>
        <w:t xml:space="preserve"> </w:t>
      </w:r>
      <w:r w:rsidR="00777DCB" w:rsidRPr="00A52585">
        <w:rPr>
          <w:rFonts w:hint="cs"/>
          <w:sz w:val="24"/>
          <w:szCs w:val="24"/>
          <w:rtl/>
        </w:rPr>
        <w:t>"سيماهم التحليق "</w:t>
      </w:r>
      <w:r w:rsidRPr="00A52585">
        <w:rPr>
          <w:rFonts w:hint="cs"/>
          <w:sz w:val="24"/>
          <w:szCs w:val="24"/>
          <w:rtl/>
        </w:rPr>
        <w:t xml:space="preserve"> </w:t>
      </w:r>
      <w:r w:rsidR="00777DCB" w:rsidRPr="00A52585">
        <w:rPr>
          <w:rFonts w:hint="cs"/>
          <w:sz w:val="24"/>
          <w:szCs w:val="24"/>
          <w:rtl/>
        </w:rPr>
        <w:t>فإنه لم يفعله أحد من المبتدعة غيرهم</w:t>
      </w:r>
      <w:r w:rsidR="00DB731D" w:rsidRPr="00A52585">
        <w:rPr>
          <w:rFonts w:hint="cs"/>
          <w:sz w:val="24"/>
          <w:szCs w:val="24"/>
          <w:rtl/>
        </w:rPr>
        <w:t>،</w:t>
      </w:r>
      <w:r w:rsidR="00777DCB" w:rsidRPr="00A52585">
        <w:rPr>
          <w:rFonts w:hint="cs"/>
          <w:sz w:val="24"/>
          <w:szCs w:val="24"/>
          <w:rtl/>
        </w:rPr>
        <w:t xml:space="preserve"> وكان ابن عبد الوهاب يأمر أيضاً بحلق رءوس النساء اللاتي يتبعنه فأقامت عليه الحجة مرة امرأة دخلت في دينه كرها وجددت إسلامها على زعمه، فأمر بحلق رأسها، فقالت له</w:t>
      </w:r>
      <w:r w:rsidRPr="00A52585">
        <w:rPr>
          <w:rFonts w:hint="cs"/>
          <w:sz w:val="24"/>
          <w:szCs w:val="24"/>
          <w:rtl/>
        </w:rPr>
        <w:t>:</w:t>
      </w:r>
      <w:r w:rsidR="00777DCB" w:rsidRPr="00A52585">
        <w:rPr>
          <w:rFonts w:hint="cs"/>
          <w:sz w:val="24"/>
          <w:szCs w:val="24"/>
          <w:rtl/>
        </w:rPr>
        <w:t xml:space="preserve"> أنت تأمر الرجال بحلق رءوسهم، فلو أمرت بحلق لحاهم لساغ لك أن تأمر بحلق رءوس النساء، لأن شعر الرأس للمرأة بمنزلة اللحية للرجال، فبهت الذي كفر ولم يجد لها جوابا، لكنه إنما فعل ذلك ليصدق عليه وعلى من تبعه قوله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 xml:space="preserve"> </w:t>
      </w:r>
      <w:r w:rsidR="00777DCB" w:rsidRPr="00A52585">
        <w:rPr>
          <w:rFonts w:hint="cs"/>
          <w:sz w:val="24"/>
          <w:szCs w:val="24"/>
          <w:rtl/>
        </w:rPr>
        <w:t>" سيماهم التحليق"</w:t>
      </w:r>
      <w:r w:rsidRPr="00A52585">
        <w:rPr>
          <w:rFonts w:hint="cs"/>
          <w:sz w:val="24"/>
          <w:szCs w:val="24"/>
          <w:rtl/>
        </w:rPr>
        <w:t xml:space="preserve"> </w:t>
      </w:r>
      <w:r w:rsidR="00777DCB" w:rsidRPr="00A52585">
        <w:rPr>
          <w:rFonts w:hint="cs"/>
          <w:sz w:val="24"/>
          <w:szCs w:val="24"/>
          <w:rtl/>
        </w:rPr>
        <w:t xml:space="preserve">فإن </w:t>
      </w:r>
      <w:proofErr w:type="spellStart"/>
      <w:r w:rsidR="00777DCB" w:rsidRPr="00A52585">
        <w:rPr>
          <w:rFonts w:hint="cs"/>
          <w:sz w:val="24"/>
          <w:szCs w:val="24"/>
          <w:rtl/>
        </w:rPr>
        <w:t>المتبارد</w:t>
      </w:r>
      <w:proofErr w:type="spellEnd"/>
      <w:r w:rsidR="00777DCB" w:rsidRPr="00A52585">
        <w:rPr>
          <w:rFonts w:hint="cs"/>
          <w:sz w:val="24"/>
          <w:szCs w:val="24"/>
          <w:rtl/>
        </w:rPr>
        <w:t xml:space="preserve"> منه حلق الرأس، فقد صدق صلى الله عليه وسلم فيما قال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ص 174- 175</w:t>
      </w:r>
      <w:r w:rsidRPr="00A52585">
        <w:rPr>
          <w:rFonts w:hint="cs"/>
          <w:sz w:val="24"/>
          <w:szCs w:val="24"/>
          <w:rtl/>
        </w:rPr>
        <w:t>]</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ترك التدهن وغسل الرأس</w:t>
      </w:r>
      <w:r w:rsidR="00DB731D" w:rsidRPr="00A52585">
        <w:rPr>
          <w:rFonts w:hint="cs"/>
          <w:rtl/>
        </w:rPr>
        <w:t>،</w:t>
      </w:r>
      <w:r w:rsidR="00777DCB" w:rsidRPr="00A52585">
        <w:rPr>
          <w:rFonts w:hint="cs"/>
          <w:rtl/>
        </w:rPr>
        <w:t xml:space="preserve"> وقيل غير ذلك</w:t>
      </w:r>
      <w:r w:rsidR="00DB731D" w:rsidRPr="00A52585">
        <w:rPr>
          <w:rFonts w:hint="cs"/>
          <w:vertAlign w:val="superscript"/>
          <w:rtl/>
        </w:rPr>
        <w:t>،</w:t>
      </w:r>
      <w:r w:rsidR="00777DCB" w:rsidRPr="00A52585">
        <w:rPr>
          <w:rFonts w:hint="cs"/>
          <w:spacing w:val="-6"/>
          <w:rtl/>
        </w:rPr>
        <w:t xml:space="preserve"> </w:t>
      </w:r>
      <w:r w:rsidR="00777DCB" w:rsidRPr="00A52585">
        <w:rPr>
          <w:rFonts w:hint="cs"/>
          <w:rtl/>
        </w:rPr>
        <w:t>والأحاديث في ذلك كثيرة</w:t>
      </w:r>
      <w:r w:rsidRPr="00A52585">
        <w:rPr>
          <w:rFonts w:hint="cs"/>
          <w:rtl/>
        </w:rPr>
        <w:t xml:space="preserve"> </w:t>
      </w:r>
      <w:r w:rsidR="00777DCB" w:rsidRPr="00A52585">
        <w:rPr>
          <w:rFonts w:hint="cs"/>
          <w:rtl/>
        </w:rPr>
        <w:t>وفي واحد كفاية لمن أراد الله تعالى به الرشد والهداية. فقد أوضحهم سيد الناصحين صلى الله عليه وسلم باعتبار</w:t>
      </w:r>
      <w:r w:rsidR="00777DCB" w:rsidRPr="00A52585">
        <w:rPr>
          <w:rFonts w:hint="cs"/>
          <w:spacing w:val="-6"/>
          <w:rtl/>
        </w:rPr>
        <w:t xml:space="preserve"> أوصافهم</w:t>
      </w:r>
      <w:r w:rsidR="00DB731D" w:rsidRPr="00A52585">
        <w:rPr>
          <w:rFonts w:hint="cs"/>
          <w:spacing w:val="-6"/>
          <w:rtl/>
        </w:rPr>
        <w:t>،</w:t>
      </w:r>
      <w:r w:rsidR="00777DCB" w:rsidRPr="00A52585">
        <w:rPr>
          <w:rFonts w:hint="cs"/>
          <w:spacing w:val="-6"/>
          <w:rtl/>
        </w:rPr>
        <w:t xml:space="preserve"> وأماكنهم إيضا</w:t>
      </w:r>
      <w:r w:rsidR="00777DCB" w:rsidRPr="00A52585">
        <w:rPr>
          <w:rFonts w:hint="cs"/>
          <w:spacing w:val="-14"/>
          <w:rtl/>
        </w:rPr>
        <w:t xml:space="preserve">حاً جلياً </w:t>
      </w:r>
      <w:proofErr w:type="spellStart"/>
      <w:r w:rsidR="00777DCB" w:rsidRPr="00A52585">
        <w:rPr>
          <w:rFonts w:hint="cs"/>
          <w:spacing w:val="-14"/>
          <w:rtl/>
        </w:rPr>
        <w:t>لاخفاء</w:t>
      </w:r>
      <w:proofErr w:type="spellEnd"/>
      <w:r w:rsidR="00777DCB" w:rsidRPr="00A52585">
        <w:rPr>
          <w:rFonts w:hint="cs"/>
          <w:spacing w:val="-14"/>
          <w:rtl/>
        </w:rPr>
        <w:t xml:space="preserve"> </w:t>
      </w:r>
      <w:r w:rsidR="00777DCB" w:rsidRPr="00A52585">
        <w:rPr>
          <w:rFonts w:hint="cs"/>
          <w:spacing w:val="-6"/>
          <w:rtl/>
        </w:rPr>
        <w:t>فيه ولا جهالة</w:t>
      </w:r>
      <w:r w:rsidR="00DB731D" w:rsidRPr="00A52585">
        <w:rPr>
          <w:rFonts w:hint="cs"/>
          <w:spacing w:val="-6"/>
          <w:rtl/>
        </w:rPr>
        <w:t>،</w:t>
      </w:r>
      <w:r w:rsidR="00777DCB" w:rsidRPr="00A52585">
        <w:rPr>
          <w:rFonts w:hint="cs"/>
          <w:spacing w:val="-6"/>
          <w:rtl/>
        </w:rPr>
        <w:t xml:space="preserve"> فلا يتوقف في معرفتهم بعد ذلك إلا من أراد الله تعالى إضلاله</w:t>
      </w:r>
      <w:r w:rsidR="00DB731D" w:rsidRPr="00A52585">
        <w:rPr>
          <w:rFonts w:hint="cs"/>
          <w:spacing w:val="-6"/>
          <w:rtl/>
        </w:rPr>
        <w:t>،</w:t>
      </w:r>
      <w:r w:rsidR="00777DCB" w:rsidRPr="00A52585">
        <w:rPr>
          <w:rFonts w:hint="cs"/>
          <w:spacing w:val="-6"/>
          <w:rtl/>
        </w:rPr>
        <w:t xml:space="preserve"> </w:t>
      </w:r>
      <w:r w:rsidRPr="00A52585">
        <w:rPr>
          <w:rFonts w:hint="cs"/>
          <w:spacing w:val="-6"/>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ذكرت السنة المطهرة العديد من أوصافهم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أولاً</w:t>
      </w:r>
      <w:r w:rsidRPr="00A52585">
        <w:rPr>
          <w:rFonts w:hint="cs"/>
          <w:sz w:val="24"/>
          <w:szCs w:val="24"/>
          <w:rtl/>
        </w:rPr>
        <w:t>):</w:t>
      </w:r>
      <w:r w:rsidR="00777DCB" w:rsidRPr="00A52585">
        <w:rPr>
          <w:rFonts w:hint="cs"/>
          <w:sz w:val="24"/>
          <w:szCs w:val="24"/>
          <w:rtl/>
        </w:rPr>
        <w:t xml:space="preserve"> الطعن في أئمة الدين والانتقاص من أقدارهم يتجلى ذلك في</w:t>
      </w:r>
      <w:r w:rsidRPr="00A52585">
        <w:rPr>
          <w:rFonts w:hint="cs"/>
          <w:sz w:val="24"/>
          <w:szCs w:val="24"/>
          <w:rtl/>
        </w:rPr>
        <w:t>:</w:t>
      </w:r>
      <w:r w:rsidR="00777DCB" w:rsidRPr="00A52585">
        <w:rPr>
          <w:rFonts w:hint="cs"/>
          <w:sz w:val="24"/>
          <w:szCs w:val="24"/>
          <w:rtl/>
        </w:rPr>
        <w:t xml:space="preserve"> أ- قول زعيمهم ذي الخويصرة التميمي لرسول الله صلى الله عليه وسلم</w:t>
      </w:r>
      <w:r w:rsidRPr="00A52585">
        <w:rPr>
          <w:rFonts w:hint="cs"/>
          <w:sz w:val="24"/>
          <w:szCs w:val="24"/>
          <w:rtl/>
        </w:rPr>
        <w:t>:</w:t>
      </w:r>
      <w:r w:rsidR="00777DCB" w:rsidRPr="00A52585">
        <w:rPr>
          <w:rFonts w:hint="cs"/>
          <w:sz w:val="24"/>
          <w:szCs w:val="24"/>
          <w:rtl/>
        </w:rPr>
        <w:t xml:space="preserve"> (اتق الله واعدل)، وقول الآخر حين أقبل على رسول الله صلى الله عليه وسلم وهو في أصحابه </w:t>
      </w:r>
      <w:r w:rsidR="00777DCB" w:rsidRPr="00A52585">
        <w:rPr>
          <w:rFonts w:hint="cs"/>
          <w:spacing w:val="-4"/>
          <w:sz w:val="24"/>
          <w:szCs w:val="24"/>
          <w:rtl/>
        </w:rPr>
        <w:t>فسأله عليه الســــلام</w:t>
      </w:r>
      <w:r w:rsidRPr="00A52585">
        <w:rPr>
          <w:rFonts w:hint="cs"/>
          <w:spacing w:val="-4"/>
          <w:sz w:val="24"/>
          <w:szCs w:val="24"/>
          <w:rtl/>
        </w:rPr>
        <w:t>:</w:t>
      </w:r>
      <w:r w:rsidR="00777DCB" w:rsidRPr="00A52585">
        <w:rPr>
          <w:rFonts w:hint="cs"/>
          <w:spacing w:val="-4"/>
          <w:sz w:val="24"/>
          <w:szCs w:val="24"/>
          <w:rtl/>
        </w:rPr>
        <w:t xml:space="preserve"> أنشدك بالله هـــل حدثت</w:t>
      </w:r>
      <w:r w:rsidR="00777DCB" w:rsidRPr="00A52585">
        <w:rPr>
          <w:rFonts w:hint="cs"/>
          <w:sz w:val="24"/>
          <w:szCs w:val="24"/>
          <w:rtl/>
        </w:rPr>
        <w:t xml:space="preserve"> نفسك حين طلعت علينا أن ليس في القوم أحدٌ أفضل منك</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اللهم نعم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وقد انتقص ابن تيمية من قدر رسول الله صلى الله عليه وسلم حين منع التوسل به أو الاستغاثة به واعتبر ذلك شركا بل منع السفر لزيارته واعتبر ذلك معصية وحين طعن في عصمة الأنبياء وأجاز عليهم </w:t>
      </w:r>
      <w:r w:rsidR="00777DCB" w:rsidRPr="00A52585">
        <w:rPr>
          <w:rFonts w:hint="cs"/>
          <w:spacing w:val="-6"/>
          <w:sz w:val="24"/>
          <w:szCs w:val="24"/>
          <w:rtl/>
        </w:rPr>
        <w:t>الكفر والشرك فما دون ذلك وما طعن به في سيدة نساء العالمين وزوجها أمير المؤمنين على بما سبق ذكر بعضه وكذا غيرهما من الصحابة وأئمة الشرع حتى عصره، وهو ما يردده أتباع ابن تيمية اليوم</w:t>
      </w:r>
      <w:r w:rsidR="00DB731D" w:rsidRPr="00A52585">
        <w:rPr>
          <w:rFonts w:hint="cs"/>
          <w:spacing w:val="-6"/>
          <w:sz w:val="24"/>
          <w:szCs w:val="24"/>
          <w:rtl/>
        </w:rPr>
        <w:t>،</w:t>
      </w:r>
      <w:r w:rsidR="00777DCB" w:rsidRPr="00A52585">
        <w:rPr>
          <w:rFonts w:hint="cs"/>
          <w:spacing w:val="-6"/>
          <w:sz w:val="24"/>
          <w:szCs w:val="24"/>
          <w:rtl/>
        </w:rPr>
        <w:t xml:space="preserve"> </w:t>
      </w:r>
      <w:r w:rsidRPr="00A52585">
        <w:rPr>
          <w:rFonts w:hint="cs"/>
          <w:spacing w:val="-6"/>
          <w:sz w:val="24"/>
          <w:szCs w:val="24"/>
          <w:rtl/>
        </w:rPr>
        <w:t>(</w:t>
      </w:r>
      <w:r w:rsidR="00777DCB" w:rsidRPr="00A52585">
        <w:rPr>
          <w:rFonts w:hint="cs"/>
          <w:sz w:val="24"/>
          <w:szCs w:val="24"/>
          <w:rtl/>
        </w:rPr>
        <w:t>ثانياً</w:t>
      </w:r>
      <w:r w:rsidRPr="00A52585">
        <w:rPr>
          <w:rFonts w:hint="cs"/>
          <w:sz w:val="24"/>
          <w:szCs w:val="24"/>
          <w:rtl/>
        </w:rPr>
        <w:t>):</w:t>
      </w:r>
      <w:r w:rsidR="00777DCB" w:rsidRPr="00A52585">
        <w:rPr>
          <w:rFonts w:hint="cs"/>
          <w:sz w:val="24"/>
          <w:szCs w:val="24"/>
          <w:rtl/>
        </w:rPr>
        <w:t xml:space="preserve"> الغرور وشدة إعجابهم بأنفسهم</w:t>
      </w:r>
      <w:r w:rsidRPr="00A52585">
        <w:rPr>
          <w:rFonts w:hint="cs"/>
          <w:sz w:val="24"/>
          <w:szCs w:val="24"/>
          <w:rtl/>
        </w:rPr>
        <w:t>:</w:t>
      </w:r>
      <w:r w:rsidR="00777DCB" w:rsidRPr="00A52585">
        <w:rPr>
          <w:rFonts w:hint="cs"/>
          <w:sz w:val="24"/>
          <w:szCs w:val="24"/>
          <w:rtl/>
        </w:rPr>
        <w:t xml:space="preserve"> أ- كما سبق من الخارجي الذي رأى أنه أفضل من رسول الله صلى الله عليه وسلم وأصحابه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ب- وقد اتصف ابن تيمية وأتباعه بالغرور الشديد والاعجاب بأنفسهم بما قد يفوق هذا الخارجي ونقل الذهبي نفسه ذلك فيما نقلناه عن- انظر (زغل العلم والطلب) و (النصيحة الذهبية)- كما يظهر ذلك في مناظراتهم وكتبهم، حتى الآن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ثالثاً</w:t>
      </w:r>
      <w:r w:rsidRPr="00A52585">
        <w:rPr>
          <w:rFonts w:hint="cs"/>
          <w:sz w:val="24"/>
          <w:szCs w:val="24"/>
          <w:rtl/>
        </w:rPr>
        <w:t>):</w:t>
      </w:r>
      <w:r w:rsidR="00777DCB" w:rsidRPr="00A52585">
        <w:rPr>
          <w:rFonts w:hint="cs"/>
          <w:sz w:val="24"/>
          <w:szCs w:val="24"/>
          <w:rtl/>
        </w:rPr>
        <w:t xml:space="preserve"> سوء الظن بالمسلمين وأئمة الدين ويتجلى ذلك في</w:t>
      </w:r>
      <w:r w:rsidRPr="00A52585">
        <w:rPr>
          <w:rFonts w:hint="cs"/>
          <w:sz w:val="24"/>
          <w:szCs w:val="24"/>
          <w:rtl/>
        </w:rPr>
        <w:t>:</w:t>
      </w:r>
      <w:r w:rsidR="00777DCB" w:rsidRPr="00A52585">
        <w:rPr>
          <w:rFonts w:hint="cs"/>
          <w:sz w:val="24"/>
          <w:szCs w:val="24"/>
          <w:rtl/>
        </w:rPr>
        <w:t xml:space="preserve"> أ- قول ذي الخويصرة التميمي لرسول الله صلى الله عليه وسلم</w:t>
      </w:r>
      <w:r w:rsidRPr="00A52585">
        <w:rPr>
          <w:rFonts w:hint="cs"/>
          <w:sz w:val="24"/>
          <w:szCs w:val="24"/>
          <w:rtl/>
        </w:rPr>
        <w:t>:</w:t>
      </w:r>
      <w:r w:rsidR="00777DCB" w:rsidRPr="00A52585">
        <w:rPr>
          <w:rFonts w:hint="cs"/>
          <w:sz w:val="24"/>
          <w:szCs w:val="24"/>
          <w:rtl/>
        </w:rPr>
        <w:t xml:space="preserve"> والله إن هذه القسمة ما</w:t>
      </w:r>
      <w:r w:rsidRPr="00A52585">
        <w:rPr>
          <w:rFonts w:hint="cs"/>
          <w:sz w:val="24"/>
          <w:szCs w:val="24"/>
          <w:rtl/>
        </w:rPr>
        <w:t xml:space="preserve"> </w:t>
      </w:r>
      <w:r w:rsidR="00777DCB" w:rsidRPr="00A52585">
        <w:rPr>
          <w:rFonts w:hint="cs"/>
          <w:sz w:val="24"/>
          <w:szCs w:val="24"/>
          <w:rtl/>
        </w:rPr>
        <w:t>أريد بها وجه الله (أو ما هذا معناه)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وقد أساء ابن تيمية الظن بجمهور المسلمين حين وصف توسلهم بأنه شرك وعندما وصف الجويني والغزالي بأنهما أكفر من اليهود والنصارى، والتعامل مع أتباعه إلى </w:t>
      </w:r>
      <w:r w:rsidR="00777DCB" w:rsidRPr="00A52585">
        <w:rPr>
          <w:rFonts w:hint="cs"/>
          <w:sz w:val="24"/>
          <w:szCs w:val="24"/>
          <w:rtl/>
        </w:rPr>
        <w:lastRenderedPageBreak/>
        <w:t>اليوم يثبت هذه الصفة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رابعاً</w:t>
      </w:r>
      <w:r w:rsidRPr="00A52585">
        <w:rPr>
          <w:rFonts w:hint="cs"/>
          <w:sz w:val="24"/>
          <w:szCs w:val="24"/>
          <w:rtl/>
        </w:rPr>
        <w:t>):</w:t>
      </w:r>
      <w:r w:rsidR="00777DCB" w:rsidRPr="00A52585">
        <w:rPr>
          <w:rFonts w:hint="cs"/>
          <w:sz w:val="24"/>
          <w:szCs w:val="24"/>
          <w:rtl/>
        </w:rPr>
        <w:t xml:space="preserve"> المبالغة في العبادات والعادات الظاهرة. والتمسك بالظواهر لسببين</w:t>
      </w:r>
      <w:r w:rsidRPr="00A52585">
        <w:rPr>
          <w:rFonts w:hint="cs"/>
          <w:sz w:val="24"/>
          <w:szCs w:val="24"/>
          <w:rtl/>
        </w:rPr>
        <w:t>:</w:t>
      </w:r>
      <w:r w:rsidR="00777DCB" w:rsidRPr="00A52585">
        <w:rPr>
          <w:rFonts w:hint="cs"/>
          <w:sz w:val="24"/>
          <w:szCs w:val="24"/>
          <w:rtl/>
        </w:rPr>
        <w:t xml:space="preserve"> 1) الشعور بالتميز على الآخرين</w:t>
      </w:r>
      <w:r w:rsidR="00DB731D" w:rsidRPr="00A52585">
        <w:rPr>
          <w:rFonts w:hint="cs"/>
          <w:sz w:val="24"/>
          <w:szCs w:val="24"/>
          <w:rtl/>
        </w:rPr>
        <w:t>،</w:t>
      </w:r>
      <w:r w:rsidR="00777DCB" w:rsidRPr="00A52585">
        <w:rPr>
          <w:rFonts w:hint="cs"/>
          <w:sz w:val="24"/>
          <w:szCs w:val="24"/>
          <w:rtl/>
        </w:rPr>
        <w:t xml:space="preserve"> 2) اتخاذ ذلك ذريعة وحجة لما يحاولون تأكيده من زعامتهم الدينية. وقد ظهر ذلك في</w:t>
      </w:r>
      <w:r w:rsidRPr="00A52585">
        <w:rPr>
          <w:rFonts w:hint="cs"/>
          <w:sz w:val="24"/>
          <w:szCs w:val="24"/>
          <w:rtl/>
        </w:rPr>
        <w:t>:</w:t>
      </w:r>
      <w:r w:rsidR="00777DCB" w:rsidRPr="00A52585">
        <w:rPr>
          <w:rFonts w:hint="cs"/>
          <w:sz w:val="24"/>
          <w:szCs w:val="24"/>
          <w:rtl/>
        </w:rPr>
        <w:t xml:space="preserve"> أ- وصفه عليه السلام لهم </w:t>
      </w:r>
      <w:proofErr w:type="gramStart"/>
      <w:r w:rsidR="00777DCB" w:rsidRPr="00A52585">
        <w:rPr>
          <w:rFonts w:hint="cs"/>
          <w:sz w:val="24"/>
          <w:szCs w:val="24"/>
          <w:rtl/>
        </w:rPr>
        <w:t>بقوله</w:t>
      </w:r>
      <w:r w:rsidRPr="00A52585">
        <w:rPr>
          <w:rFonts w:hint="cs"/>
          <w:sz w:val="24"/>
          <w:szCs w:val="24"/>
          <w:rtl/>
        </w:rPr>
        <w:t>(</w:t>
      </w:r>
      <w:proofErr w:type="gramEnd"/>
      <w:r w:rsidR="00777DCB" w:rsidRPr="00A52585">
        <w:rPr>
          <w:rFonts w:hint="cs"/>
          <w:sz w:val="24"/>
          <w:szCs w:val="24"/>
          <w:rtl/>
        </w:rPr>
        <w:t>ليس قراءتكم إلى قراءتهم بشيء وليس صلاتكم إلى صلاتهم بشيء..) الحديث</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2"/>
          <w:sz w:val="24"/>
          <w:szCs w:val="24"/>
          <w:rtl/>
        </w:rPr>
        <w:t xml:space="preserve">ب- ما يحكى عن ابن تيمية وأتباعه من إظهار الزهد والتقشف والعبادة ومبالغاتهم </w:t>
      </w:r>
      <w:r w:rsidR="00777DCB" w:rsidRPr="00A52585">
        <w:rPr>
          <w:rFonts w:hint="cs"/>
          <w:sz w:val="24"/>
          <w:szCs w:val="24"/>
          <w:rtl/>
        </w:rPr>
        <w:t>الشديدة في التمسك ببعض ظواهر السنن وعادات الملبس وغير ذلك والتعامل على أنها واجبات يذمون تاركها وينتقصون من قدره، وكما يحدث اليوم من أتباعه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خامساً</w:t>
      </w:r>
      <w:r w:rsidRPr="00A52585">
        <w:rPr>
          <w:rFonts w:hint="cs"/>
          <w:sz w:val="24"/>
          <w:szCs w:val="24"/>
          <w:rtl/>
        </w:rPr>
        <w:t>):</w:t>
      </w:r>
      <w:r w:rsidR="00777DCB" w:rsidRPr="00A52585">
        <w:rPr>
          <w:rFonts w:hint="cs"/>
          <w:sz w:val="24"/>
          <w:szCs w:val="24"/>
          <w:rtl/>
        </w:rPr>
        <w:t xml:space="preserve"> شدتهم على المسلمين، فإذا كان هناك رأيان فقيهان في قضية ما، رأى أنها مباحة أو مكروهة والآخر أنها حرام يأخذون بالأصعب وهو (حرام) إحراجا للمسلمين وتبريرا لموقفهم منهم. ويصل العداء إلى أن يكون موقفهم من المسلمين أشد من موقفهم من غير المسلمين، بل يصل إلى رفع السلاح في وجه المسلمين بزعم كفرهم</w:t>
      </w:r>
      <w:r w:rsidR="00897A24" w:rsidRPr="00A52585">
        <w:rPr>
          <w:rFonts w:hint="cs"/>
          <w:sz w:val="24"/>
          <w:szCs w:val="24"/>
          <w:rtl/>
        </w:rPr>
        <w:t>.</w:t>
      </w:r>
      <w:r w:rsidR="00777DCB" w:rsidRPr="00A52585">
        <w:rPr>
          <w:rFonts w:hint="cs"/>
          <w:sz w:val="24"/>
          <w:szCs w:val="24"/>
          <w:rtl/>
        </w:rPr>
        <w:t xml:space="preserve"> مظهر ذلك</w:t>
      </w:r>
      <w:r w:rsidRPr="00A52585">
        <w:rPr>
          <w:rFonts w:hint="cs"/>
          <w:sz w:val="24"/>
          <w:szCs w:val="24"/>
          <w:rtl/>
        </w:rPr>
        <w:t>:</w:t>
      </w:r>
      <w:r w:rsidR="00777DCB" w:rsidRPr="00A52585">
        <w:rPr>
          <w:rFonts w:hint="cs"/>
          <w:sz w:val="24"/>
          <w:szCs w:val="24"/>
          <w:rtl/>
        </w:rPr>
        <w:t xml:space="preserve"> أ- قوله عليه السلام</w:t>
      </w:r>
      <w:r w:rsidRPr="00A52585">
        <w:rPr>
          <w:rFonts w:hint="cs"/>
          <w:sz w:val="24"/>
          <w:szCs w:val="24"/>
          <w:rtl/>
        </w:rPr>
        <w:t xml:space="preserve">: </w:t>
      </w:r>
      <w:r w:rsidR="00777DCB" w:rsidRPr="00A52585">
        <w:rPr>
          <w:rFonts w:hint="cs"/>
          <w:sz w:val="24"/>
          <w:szCs w:val="24"/>
          <w:rtl/>
        </w:rPr>
        <w:t>" يقتلون أهل الإيمان ويدعون أهل الأوثان "</w:t>
      </w:r>
      <w:r w:rsidR="00DB731D" w:rsidRPr="00A52585">
        <w:rPr>
          <w:rFonts w:hint="cs"/>
          <w:sz w:val="24"/>
          <w:szCs w:val="24"/>
          <w:rtl/>
        </w:rPr>
        <w:t>،</w:t>
      </w:r>
      <w:r w:rsidR="00777DCB" w:rsidRPr="00A52585">
        <w:rPr>
          <w:rFonts w:hint="cs"/>
          <w:sz w:val="24"/>
          <w:szCs w:val="24"/>
          <w:rtl/>
        </w:rPr>
        <w:t xml:space="preserve"> ب- تكفير ابن تيمية وأتباعه للمسلمين، ورفع أتباعه السلاح في وجههم إلى اليوم، وخروج الإرهاب من جعبتهم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سادساً</w:t>
      </w:r>
      <w:r w:rsidRPr="00A52585">
        <w:rPr>
          <w:rFonts w:hint="cs"/>
          <w:sz w:val="24"/>
          <w:szCs w:val="24"/>
          <w:rtl/>
        </w:rPr>
        <w:t>):</w:t>
      </w:r>
      <w:r w:rsidR="00777DCB" w:rsidRPr="00A52585">
        <w:rPr>
          <w:rFonts w:hint="cs"/>
          <w:sz w:val="24"/>
          <w:szCs w:val="24"/>
          <w:rtl/>
        </w:rPr>
        <w:t xml:space="preserve"> الفهم السطحي للأمور وقلة التدبر والفقه</w:t>
      </w:r>
      <w:r w:rsidR="00DB731D" w:rsidRPr="00A52585">
        <w:rPr>
          <w:rFonts w:hint="cs"/>
          <w:sz w:val="24"/>
          <w:szCs w:val="24"/>
          <w:rtl/>
        </w:rPr>
        <w:t>،</w:t>
      </w:r>
      <w:r w:rsidR="00777DCB" w:rsidRPr="00A52585">
        <w:rPr>
          <w:rFonts w:hint="cs"/>
          <w:sz w:val="24"/>
          <w:szCs w:val="24"/>
          <w:rtl/>
        </w:rPr>
        <w:t xml:space="preserve"> ويتضح ذلك في</w:t>
      </w:r>
      <w:r w:rsidRPr="00A52585">
        <w:rPr>
          <w:rFonts w:hint="cs"/>
          <w:sz w:val="24"/>
          <w:szCs w:val="24"/>
          <w:rtl/>
        </w:rPr>
        <w:t xml:space="preserve">: </w:t>
      </w:r>
      <w:r w:rsidR="00777DCB" w:rsidRPr="00A52585">
        <w:rPr>
          <w:rFonts w:hint="cs"/>
          <w:sz w:val="24"/>
          <w:szCs w:val="24"/>
          <w:rtl/>
        </w:rPr>
        <w:t>أ- قوله صلى الله عليه وسلم</w:t>
      </w:r>
      <w:r w:rsidRPr="00A52585">
        <w:rPr>
          <w:rFonts w:hint="cs"/>
          <w:sz w:val="24"/>
          <w:szCs w:val="24"/>
          <w:rtl/>
        </w:rPr>
        <w:t xml:space="preserve"> </w:t>
      </w:r>
      <w:r w:rsidR="00777DCB" w:rsidRPr="00A52585">
        <w:rPr>
          <w:rFonts w:hint="cs"/>
          <w:sz w:val="24"/>
          <w:szCs w:val="24"/>
          <w:rtl/>
        </w:rPr>
        <w:t>" يقرءون القرآن لا يجاوز حناجرهم "</w:t>
      </w:r>
      <w:r w:rsidRPr="00A52585">
        <w:rPr>
          <w:rFonts w:hint="cs"/>
          <w:sz w:val="24"/>
          <w:szCs w:val="24"/>
          <w:rtl/>
        </w:rPr>
        <w:t xml:space="preserve"> </w:t>
      </w:r>
      <w:r w:rsidR="00777DCB" w:rsidRPr="00A52585">
        <w:rPr>
          <w:rFonts w:hint="cs"/>
          <w:sz w:val="24"/>
          <w:szCs w:val="24"/>
          <w:rtl/>
        </w:rPr>
        <w:t xml:space="preserve">وكانوا مضرب المثل في الجهل وبلادة الذهن. بل إن المطالع لأبواب الخوارج في كتب السنة يجد أنهم كانوا يذهبون إلى الإمام على </w:t>
      </w:r>
      <w:r w:rsidR="00777DCB" w:rsidRPr="00A52585">
        <w:rPr>
          <w:sz w:val="24"/>
          <w:szCs w:val="24"/>
        </w:rPr>
        <w:t>–</w:t>
      </w:r>
      <w:r w:rsidR="00777DCB" w:rsidRPr="00A52585">
        <w:rPr>
          <w:rFonts w:hint="cs"/>
          <w:sz w:val="24"/>
          <w:szCs w:val="24"/>
          <w:rtl/>
        </w:rPr>
        <w:t xml:space="preserve"> أمير المؤمنين الذي يكفرونه- يسألونه عن تفسير القرآن وغيره فسأله ابن الكواء</w:t>
      </w:r>
      <w:r w:rsidRPr="00A52585">
        <w:rPr>
          <w:rFonts w:hint="cs"/>
          <w:sz w:val="24"/>
          <w:szCs w:val="24"/>
          <w:rtl/>
        </w:rPr>
        <w:t>:</w:t>
      </w:r>
      <w:r w:rsidR="00777DCB" w:rsidRPr="00A52585">
        <w:rPr>
          <w:rFonts w:hint="cs"/>
          <w:sz w:val="24"/>
          <w:szCs w:val="24"/>
          <w:rtl/>
        </w:rPr>
        <w:t xml:space="preserve"> من الأخسرين أعمالا</w:t>
      </w:r>
      <w:r w:rsidR="00F95886" w:rsidRPr="00A52585">
        <w:rPr>
          <w:rFonts w:hint="cs"/>
          <w:sz w:val="24"/>
          <w:szCs w:val="24"/>
          <w:rtl/>
        </w:rPr>
        <w:t>؟</w:t>
      </w:r>
      <w:r w:rsidR="00777DCB" w:rsidRPr="00A52585">
        <w:rPr>
          <w:rFonts w:hint="cs"/>
          <w:sz w:val="24"/>
          <w:szCs w:val="24"/>
          <w:rtl/>
        </w:rPr>
        <w:t xml:space="preserve"> عن آية </w:t>
      </w:r>
      <w:r w:rsidRPr="00A52585">
        <w:rPr>
          <w:rFonts w:hint="cs"/>
          <w:sz w:val="24"/>
          <w:szCs w:val="24"/>
          <w:rtl/>
        </w:rPr>
        <w:t>{</w:t>
      </w:r>
      <w:r w:rsidR="00777DCB" w:rsidRPr="00A52585">
        <w:rPr>
          <w:rFonts w:hint="cs"/>
          <w:sz w:val="24"/>
          <w:szCs w:val="24"/>
          <w:rtl/>
        </w:rPr>
        <w:t>قل هل ننبئكم بالأخسرين أعمالا</w:t>
      </w:r>
      <w:r w:rsidRPr="00A52585">
        <w:rPr>
          <w:rFonts w:hint="cs"/>
          <w:sz w:val="24"/>
          <w:szCs w:val="24"/>
          <w:rtl/>
        </w:rPr>
        <w:t>}</w:t>
      </w:r>
      <w:r w:rsidR="00777DCB" w:rsidRPr="00A52585">
        <w:rPr>
          <w:rFonts w:hint="cs"/>
          <w:sz w:val="24"/>
          <w:szCs w:val="24"/>
          <w:rtl/>
        </w:rPr>
        <w:t xml:space="preserve"> آية 103 من سورة الكهف، فقال أمير المؤمنين</w:t>
      </w:r>
      <w:r w:rsidRPr="00A52585">
        <w:rPr>
          <w:rFonts w:hint="cs"/>
          <w:sz w:val="24"/>
          <w:szCs w:val="24"/>
          <w:rtl/>
        </w:rPr>
        <w:t>:</w:t>
      </w:r>
      <w:r w:rsidR="00777DCB" w:rsidRPr="00A52585">
        <w:rPr>
          <w:rFonts w:hint="cs"/>
          <w:sz w:val="24"/>
          <w:szCs w:val="24"/>
          <w:rtl/>
        </w:rPr>
        <w:t xml:space="preserve"> أنت وأصحابك! وغير ذلك كثير، حتى إنهم لما أخذوا التابعي الجليل عبد الله بن خباب ليقتلوه طلبوا منه أولا أن يحدثهم بما رواه أبوه عن رسول الله صلى الله عليه وسلم وبعد أن أخبرهم بحديث رسول الله صلى الله عليه وسلم قدموه على حافة النهر فضربوا عنقه</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ب- ما هو مشاهد في ابن تيمية وإتباعه إلى اليوم إلى درجة أنهم يهربون من العلوم الإسلامية المختلفة بزعم أن بعضها بدعة وأن بعضها علم لا ينفع وجهل لا يضر وفي غير ذلك يتذرعون بأنهم غير ملتزمين بشيء سوى الكتاب والسنة وكأن علوم الإسلام كلها من فقه وحديث وأصول وعقيدة وتفسير ليست المعاني المفهومة والمستنبطة من الكتاب والسنة</w:t>
      </w:r>
      <w:r w:rsidR="00DB731D" w:rsidRPr="00A52585">
        <w:rPr>
          <w:rFonts w:hint="cs"/>
          <w:sz w:val="24"/>
          <w:szCs w:val="24"/>
          <w:rtl/>
        </w:rPr>
        <w:t>،</w:t>
      </w:r>
      <w:r w:rsidR="00777DCB" w:rsidRPr="00A52585">
        <w:rPr>
          <w:rFonts w:hint="cs"/>
          <w:sz w:val="24"/>
          <w:szCs w:val="24"/>
          <w:rtl/>
        </w:rPr>
        <w:t xml:space="preserve"> وهم عالة- في القليل الذي يحصلونه- على أئمة الإسلام وتراثهم من أعلام المذاهب الفقهية قديما وحديثا وعلماء المعاهد الدينية في العالم الإسلامي وهم في نفس الوقت يكفرون بعض هؤلاء ويزعمون أنهم أضاعوا الإسلام وأنهم صنيعة الحكام وغير ذلك</w:t>
      </w:r>
      <w:r w:rsidR="00DB731D" w:rsidRPr="00A52585">
        <w:rPr>
          <w:rFonts w:hint="cs"/>
          <w:sz w:val="24"/>
          <w:szCs w:val="24"/>
          <w:rtl/>
        </w:rPr>
        <w:t>،</w:t>
      </w:r>
      <w:r w:rsidR="00777DCB" w:rsidRPr="00A52585">
        <w:rPr>
          <w:rFonts w:hint="cs"/>
          <w:sz w:val="24"/>
          <w:szCs w:val="24"/>
          <w:rtl/>
        </w:rPr>
        <w:t xml:space="preserve"> بل سمعت من زعمائهم </w:t>
      </w:r>
      <w:proofErr w:type="spellStart"/>
      <w:r w:rsidR="00777DCB" w:rsidRPr="00A52585">
        <w:rPr>
          <w:rFonts w:hint="cs"/>
          <w:sz w:val="24"/>
          <w:szCs w:val="24"/>
          <w:rtl/>
        </w:rPr>
        <w:t>إتهامهم</w:t>
      </w:r>
      <w:proofErr w:type="spellEnd"/>
      <w:r w:rsidR="00777DCB" w:rsidRPr="00A52585">
        <w:rPr>
          <w:rFonts w:hint="cs"/>
          <w:sz w:val="24"/>
          <w:szCs w:val="24"/>
          <w:rtl/>
        </w:rPr>
        <w:t xml:space="preserve"> لشيوخ وأئمة هذه المعاهد بأنهم لا يصلون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سابعاً</w:t>
      </w:r>
      <w:r w:rsidRPr="00A52585">
        <w:rPr>
          <w:rFonts w:hint="cs"/>
          <w:sz w:val="24"/>
          <w:szCs w:val="24"/>
          <w:rtl/>
        </w:rPr>
        <w:t>):</w:t>
      </w:r>
      <w:r w:rsidR="00777DCB" w:rsidRPr="00A52585">
        <w:rPr>
          <w:rFonts w:hint="cs"/>
          <w:sz w:val="24"/>
          <w:szCs w:val="24"/>
          <w:rtl/>
        </w:rPr>
        <w:t xml:space="preserve"> حداثة أسنانهم وسفاهة أحلامهم</w:t>
      </w:r>
      <w:r w:rsidR="00DB731D" w:rsidRPr="00A52585">
        <w:rPr>
          <w:rFonts w:hint="cs"/>
          <w:sz w:val="24"/>
          <w:szCs w:val="24"/>
          <w:rtl/>
        </w:rPr>
        <w:t>،</w:t>
      </w:r>
      <w:r w:rsidR="00777DCB" w:rsidRPr="00A52585">
        <w:rPr>
          <w:rFonts w:hint="cs"/>
          <w:sz w:val="24"/>
          <w:szCs w:val="24"/>
          <w:rtl/>
        </w:rPr>
        <w:t xml:space="preserve"> وقد أخبر بذلك الصادق المصدوق صلى الله عليه وسلم فقال</w:t>
      </w:r>
      <w:r w:rsidRPr="00A52585">
        <w:rPr>
          <w:rFonts w:hint="cs"/>
          <w:sz w:val="24"/>
          <w:szCs w:val="24"/>
          <w:rtl/>
        </w:rPr>
        <w:t xml:space="preserve">: </w:t>
      </w:r>
      <w:r w:rsidR="00777DCB" w:rsidRPr="00A52585">
        <w:rPr>
          <w:rFonts w:hint="cs"/>
          <w:sz w:val="24"/>
          <w:szCs w:val="24"/>
          <w:rtl/>
        </w:rPr>
        <w:t>" سيخرج في آخر الزمان قوم أحداث الأسنان سفهاء الأحلام"</w:t>
      </w:r>
      <w:r w:rsidRPr="00A52585">
        <w:rPr>
          <w:rFonts w:hint="cs"/>
          <w:sz w:val="24"/>
          <w:szCs w:val="24"/>
          <w:rtl/>
        </w:rPr>
        <w:t xml:space="preserve"> </w:t>
      </w:r>
      <w:r w:rsidR="00777DCB" w:rsidRPr="00A52585">
        <w:rPr>
          <w:rFonts w:hint="cs"/>
          <w:sz w:val="24"/>
          <w:szCs w:val="24"/>
          <w:rtl/>
        </w:rPr>
        <w:t>لن من شأن حداثة السن وضعف العقل أن يجعلا صاحبهما فريسة لأي دجال يزيف له الآراء ويزخرفها ويزين له إعجابه بنفسه ويدفعه إلى ترك كلام الأئمة أو إجماع الأمة رافعاً شعار (هم رجال ونحن رجال) وهذا ما حدث من الجيل الأول للخوارج ومن تيمية وهو بحذافيره ما يتم اليوم من اتباع ابن تيمية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ثامناً</w:t>
      </w:r>
      <w:r w:rsidRPr="00A52585">
        <w:rPr>
          <w:rFonts w:hint="cs"/>
          <w:sz w:val="24"/>
          <w:szCs w:val="24"/>
          <w:rtl/>
        </w:rPr>
        <w:t>):</w:t>
      </w:r>
      <w:r w:rsidR="00777DCB" w:rsidRPr="00A52585">
        <w:rPr>
          <w:rFonts w:hint="cs"/>
          <w:sz w:val="24"/>
          <w:szCs w:val="24"/>
          <w:rtl/>
        </w:rPr>
        <w:t xml:space="preserve"> الخيانة والغدر وهذا شأن كل من لم يخالط الإيمان قلبه فليس إيمانهم سوى شقشقة باللسان لا يجاوز حناجرهم كما قال عليه السلام</w:t>
      </w:r>
      <w:r w:rsidRPr="00A52585">
        <w:rPr>
          <w:rFonts w:hint="cs"/>
          <w:sz w:val="24"/>
          <w:szCs w:val="24"/>
          <w:rtl/>
        </w:rPr>
        <w:t>:</w:t>
      </w:r>
      <w:r w:rsidR="00777DCB" w:rsidRPr="00A52585">
        <w:rPr>
          <w:rFonts w:hint="cs"/>
          <w:sz w:val="24"/>
          <w:szCs w:val="24"/>
          <w:rtl/>
        </w:rPr>
        <w:t xml:space="preserve"> أ- لما صفَّ علي رضي الله عنه جنوده للقتال في معركة النهروان أخرج شابا منهم وأعطاه مصحفاً ليدعوهم إلى كتاب ربهم وسنة نبيهم وقال له</w:t>
      </w:r>
      <w:r w:rsidRPr="00A52585">
        <w:rPr>
          <w:rFonts w:hint="cs"/>
          <w:sz w:val="24"/>
          <w:szCs w:val="24"/>
          <w:rtl/>
        </w:rPr>
        <w:t>:</w:t>
      </w:r>
      <w:r w:rsidR="00777DCB" w:rsidRPr="00A52585">
        <w:rPr>
          <w:rFonts w:hint="cs"/>
          <w:sz w:val="24"/>
          <w:szCs w:val="24"/>
          <w:rtl/>
        </w:rPr>
        <w:t xml:space="preserve"> (أما إنك مقتول ولست مقبلا علينا بوجهك حتى يرشقوك بالنيل) فخرج الشاب حتى دنا من الخوارج بحيث يسمعونه وكان ما ذكره أمير المؤمنين رضي الله عنه وقبل ذلك لما أراد ابن عباس أن يذهب إليهم ليناظرهم في مسجدهم قال له أمير المؤمنين </w:t>
      </w:r>
      <w:r w:rsidR="00777DCB" w:rsidRPr="00A52585">
        <w:rPr>
          <w:rFonts w:hint="cs"/>
          <w:sz w:val="24"/>
          <w:szCs w:val="24"/>
          <w:rtl/>
        </w:rPr>
        <w:lastRenderedPageBreak/>
        <w:t>رضي الله عنه (إني اتخوفهم عليك) لما يعلمه من غدرهم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وقد حكى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رضي الله عنه عن ابن تيمية وأتباعه وقتها ما يغنينا عن الإثبات وهو ما نراه في أتباعه في عصرنا الحاضر</w:t>
      </w:r>
      <w:r w:rsidR="00DB731D" w:rsidRPr="00A52585">
        <w:rPr>
          <w:rFonts w:hint="cs"/>
          <w:sz w:val="24"/>
          <w:szCs w:val="24"/>
          <w:rtl/>
        </w:rPr>
        <w:t>،</w:t>
      </w:r>
      <w:r w:rsidR="00777DCB" w:rsidRPr="00A52585">
        <w:rPr>
          <w:rFonts w:hint="cs"/>
          <w:sz w:val="24"/>
          <w:szCs w:val="24"/>
          <w:rtl/>
        </w:rPr>
        <w:t xml:space="preserve"> كل هذا يدعونا إلى الجزم بأن حملة فكر ابن تيمية اليوم ليسوا سوى الجيل الأخير من أجيال الخوارج والذين يعملون على خلخلة المجتمع المسلم وهدم عقائده وبنيانه وصرف أنظار المسلمين إلى ما يثيرونه من خرافات </w:t>
      </w:r>
      <w:proofErr w:type="spellStart"/>
      <w:r w:rsidR="00777DCB" w:rsidRPr="00A52585">
        <w:rPr>
          <w:rFonts w:hint="cs"/>
          <w:sz w:val="24"/>
          <w:szCs w:val="24"/>
          <w:rtl/>
        </w:rPr>
        <w:t>ومهاترات</w:t>
      </w:r>
      <w:proofErr w:type="spellEnd"/>
      <w:r w:rsidR="00777DCB" w:rsidRPr="00A52585">
        <w:rPr>
          <w:rFonts w:hint="cs"/>
          <w:sz w:val="24"/>
          <w:szCs w:val="24"/>
          <w:rtl/>
        </w:rPr>
        <w:t xml:space="preserve"> تشغل المسلمين عن تعلم دينهم والدفاع عنه وتعطي الفرصة لليهود لاستكمال قواهم للمعركة الأخيرة مع المسلمين ونحن ندعو كل مسلم اليوم إلى قراءة أبواب الخوارج في كتب السنة وكذا كتب التفسـير لكي يكون على يقين من ذلك والأحاديث قد أوضحت أنهم قديما وحديثاً</w:t>
      </w:r>
      <w:r w:rsidRPr="00A52585">
        <w:rPr>
          <w:rFonts w:hint="cs"/>
          <w:sz w:val="24"/>
          <w:szCs w:val="24"/>
          <w:rtl/>
        </w:rPr>
        <w:t xml:space="preserve">: </w:t>
      </w:r>
      <w:r w:rsidR="00777DCB" w:rsidRPr="00A52585">
        <w:rPr>
          <w:rFonts w:hint="cs"/>
          <w:sz w:val="24"/>
          <w:szCs w:val="24"/>
          <w:rtl/>
        </w:rPr>
        <w:t>أ- يكفرون جمهور الأمة وأكابرها تحت دعاوي مختلفة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ب- يرفعون السلاح لقتل المسلمين تحت أي دعوى</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ولنر</w:t>
      </w:r>
      <w:proofErr w:type="spellEnd"/>
      <w:r w:rsidR="00777DCB" w:rsidRPr="00A52585">
        <w:rPr>
          <w:rFonts w:hint="cs"/>
          <w:sz w:val="24"/>
          <w:szCs w:val="24"/>
          <w:rtl/>
        </w:rPr>
        <w:t xml:space="preserve"> نموذجا صغيراً على ذلك</w:t>
      </w:r>
      <w:r w:rsidRPr="00A52585">
        <w:rPr>
          <w:rFonts w:hint="cs"/>
          <w:sz w:val="24"/>
          <w:szCs w:val="24"/>
          <w:rtl/>
        </w:rPr>
        <w:t>:</w:t>
      </w:r>
      <w:r w:rsidR="00777DCB" w:rsidRPr="00A52585">
        <w:rPr>
          <w:rFonts w:hint="cs"/>
          <w:sz w:val="24"/>
          <w:szCs w:val="24"/>
          <w:rtl/>
        </w:rPr>
        <w:t xml:space="preserve"> كتب الشيخ أحمد بن حجر بن محمد آل طامي كتاباً في سيرة وحياة الشيخ </w:t>
      </w:r>
      <w:r w:rsidRPr="00A52585">
        <w:rPr>
          <w:rFonts w:hint="cs"/>
          <w:sz w:val="24"/>
          <w:szCs w:val="24"/>
          <w:rtl/>
        </w:rPr>
        <w:t>(</w:t>
      </w:r>
      <w:r w:rsidR="00777DCB" w:rsidRPr="00A52585">
        <w:rPr>
          <w:rFonts w:hint="cs"/>
          <w:sz w:val="24"/>
          <w:szCs w:val="24"/>
          <w:rtl/>
        </w:rPr>
        <w:t>محمد عبد الوهاب) وقدم له الشيخ على صبح المدني وراجع الكتاب والمقدمة المذكورة الشيخ ابن باز ولم يعترض على ما سيأتي بل هو نفسه له الكثير والكثير بنفس مضمون الكلام- راجع رده على الشيخ الصابوني مثلاً- يقول الشيخ / علي صبح في مقدمته</w:t>
      </w:r>
      <w:r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ثم بعد انقراض رجال القرون الثلاثة المشهود لهم بالخيرية، دب في المسلمين داء التنافس على</w:t>
      </w:r>
      <w:r w:rsidRPr="00A52585">
        <w:rPr>
          <w:rFonts w:hint="cs"/>
          <w:sz w:val="24"/>
          <w:szCs w:val="24"/>
          <w:rtl/>
        </w:rPr>
        <w:t xml:space="preserve"> </w:t>
      </w:r>
      <w:r w:rsidR="00777DCB" w:rsidRPr="00A52585">
        <w:rPr>
          <w:rFonts w:hint="cs"/>
          <w:sz w:val="24"/>
          <w:szCs w:val="24"/>
          <w:rtl/>
        </w:rPr>
        <w:t xml:space="preserve">الرئاسة وحب الدنيا، فتفرقت كلمتهم، وتبدد شملهم، فذلوا بعد عزة، وضعفوا بعد قوة، فأصبحوا مسودين بعد أن كانوا سائدين ومحكومين بعد أن كانوا حاكمين وفقدوا كل </w:t>
      </w:r>
      <w:proofErr w:type="spellStart"/>
      <w:r w:rsidR="00777DCB" w:rsidRPr="00A52585">
        <w:rPr>
          <w:rFonts w:hint="cs"/>
          <w:sz w:val="24"/>
          <w:szCs w:val="24"/>
          <w:rtl/>
        </w:rPr>
        <w:t>شئ</w:t>
      </w:r>
      <w:proofErr w:type="spellEnd"/>
      <w:r w:rsidR="00777DCB" w:rsidRPr="00A52585">
        <w:rPr>
          <w:rFonts w:hint="cs"/>
          <w:sz w:val="24"/>
          <w:szCs w:val="24"/>
          <w:rtl/>
        </w:rPr>
        <w:t xml:space="preserve"> حتى تعاليم دينهم الحنيف ولا سيما توحيد رب العالمين، فاشرأبت أعناق الشرك، وزين لهم الشيطان سوء أعمالهم، فأحلوا البدعة محل السنة، والشرك محل التوحيد، وما زالوا كذلك غارقين في بحار الوثنية والشرك إلا من شاء الله، إلى أن قيض الله لهذه الأمة من يجدد لها أمر دينها ألا وهو شيخ الإسلام محمد بن عبد الوهاب</w:t>
      </w:r>
      <w:r w:rsidRPr="00A52585">
        <w:rPr>
          <w:rFonts w:hint="cs"/>
          <w:sz w:val="24"/>
          <w:szCs w:val="24"/>
          <w:rtl/>
        </w:rPr>
        <w:t>)</w:t>
      </w:r>
      <w:r w:rsidR="00777DCB" w:rsidRPr="00A52585">
        <w:rPr>
          <w:rFonts w:hint="cs"/>
          <w:sz w:val="24"/>
          <w:szCs w:val="24"/>
          <w:rtl/>
        </w:rPr>
        <w:t xml:space="preserve"> أ. هـ</w:t>
      </w:r>
      <w:r w:rsidR="00DB731D" w:rsidRPr="00A52585">
        <w:rPr>
          <w:rFonts w:hint="cs"/>
          <w:sz w:val="24"/>
          <w:szCs w:val="24"/>
          <w:rtl/>
        </w:rPr>
        <w:t>،</w:t>
      </w:r>
      <w:r w:rsidR="00777DCB" w:rsidRPr="00A52585">
        <w:rPr>
          <w:rFonts w:hint="cs"/>
          <w:sz w:val="24"/>
          <w:szCs w:val="24"/>
          <w:rtl/>
        </w:rPr>
        <w:t xml:space="preserve"> وغنى عن الذكر أن هؤلاء قد حملوا السلاح واستباحوا دماء المسلمين لنشر هذا الفكر </w:t>
      </w:r>
      <w:r w:rsidR="00777DCB" w:rsidRPr="00A52585">
        <w:rPr>
          <w:sz w:val="24"/>
          <w:szCs w:val="24"/>
        </w:rPr>
        <w:t>–</w:t>
      </w:r>
      <w:r w:rsidR="00777DCB" w:rsidRPr="00A52585">
        <w:rPr>
          <w:rFonts w:hint="cs"/>
          <w:sz w:val="24"/>
          <w:szCs w:val="24"/>
          <w:rtl/>
        </w:rPr>
        <w:t xml:space="preserve"> فكر ابن تيمية - ولا يزالون يحملون السلاح في أنحاء العالم الإسلامي، فنناشدكم الله إن لم يكن هؤلاء هم الجيل الأخير من الخوارج فمن هم الخوارج إذن</w:t>
      </w:r>
      <w:r w:rsidR="00F95886" w:rsidRPr="00A52585">
        <w:rPr>
          <w:rFonts w:hint="cs"/>
          <w:sz w:val="24"/>
          <w:szCs w:val="24"/>
          <w:rtl/>
        </w:rPr>
        <w:t>؟</w:t>
      </w:r>
      <w:r w:rsidR="00777DCB" w:rsidRPr="00A52585">
        <w:rPr>
          <w:rFonts w:hint="cs"/>
          <w:sz w:val="24"/>
          <w:szCs w:val="24"/>
          <w:rtl/>
        </w:rPr>
        <w:t xml:space="preserve"> وهل يطمع أهل الإسلام أن ينتصروا أو حتى يحتفظوا بوجودهم أمام جند المسيح الدجال الذين تجمعوا في قلب العالم الإسلامي اليوم وتحت أيديهم أولى القبلتين ويعلنون صراحة أن معركتهم الأخيرة مع الإسلام خلال سنوات قليلة، أقول</w:t>
      </w:r>
      <w:r w:rsidRPr="00A52585">
        <w:rPr>
          <w:rFonts w:hint="cs"/>
          <w:sz w:val="24"/>
          <w:szCs w:val="24"/>
          <w:rtl/>
        </w:rPr>
        <w:t xml:space="preserve"> </w:t>
      </w:r>
      <w:r w:rsidR="00777DCB" w:rsidRPr="00A52585">
        <w:rPr>
          <w:rFonts w:hint="cs"/>
          <w:sz w:val="24"/>
          <w:szCs w:val="24"/>
          <w:rtl/>
        </w:rPr>
        <w:t>هل يطمع المسلمون في النصر وفكر الخوارج ورجالهم ينتشرون في مجتمعات المسلمين انتشار النار في الهشيم يكفرون من شاءوا وينشرون من فكر ابن تيمية ما شاءوا بدعوى السلفية</w:t>
      </w:r>
      <w:r w:rsidR="00897A24" w:rsidRPr="00A52585">
        <w:rPr>
          <w:rFonts w:hint="cs"/>
          <w:sz w:val="24"/>
          <w:szCs w:val="24"/>
          <w:rtl/>
        </w:rPr>
        <w:t>.</w:t>
      </w:r>
      <w:r w:rsidR="00777DCB" w:rsidRPr="00A52585">
        <w:rPr>
          <w:rFonts w:hint="cs"/>
          <w:sz w:val="24"/>
          <w:szCs w:val="24"/>
          <w:rtl/>
        </w:rPr>
        <w:t>. إلخ أم نطهر أولا مجتمعات المسلمين من فكــر الخوارج إن صح تسميته فكراً قال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يا أيـها الذين آمنوا لا تتخذوا بطانة من دونكم لا يألونكم خبالا ودُّواما عنتم قد بدت البغضاء من أفواههم وما تخفى صدورهم أكبر، قد بينا لكم الآيات إن كنتم تعقلون}</w:t>
      </w:r>
      <w:r w:rsidRPr="00A52585">
        <w:rPr>
          <w:rFonts w:hint="cs"/>
          <w:sz w:val="24"/>
          <w:szCs w:val="24"/>
          <w:rtl/>
        </w:rPr>
        <w:t xml:space="preserve"> </w:t>
      </w:r>
      <w:r w:rsidR="00777DCB" w:rsidRPr="00A52585">
        <w:rPr>
          <w:rFonts w:hint="cs"/>
          <w:sz w:val="24"/>
          <w:szCs w:val="24"/>
          <w:rtl/>
        </w:rPr>
        <w:t xml:space="preserve">الآية 118 من سورة آل عمران قال الصحابي أبو </w:t>
      </w:r>
      <w:proofErr w:type="spellStart"/>
      <w:r w:rsidR="00777DCB" w:rsidRPr="00A52585">
        <w:rPr>
          <w:rFonts w:hint="cs"/>
          <w:sz w:val="24"/>
          <w:szCs w:val="24"/>
          <w:rtl/>
        </w:rPr>
        <w:t>أمامة</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هم الخوارج</w:t>
      </w:r>
      <w:r w:rsidRPr="00A52585">
        <w:rPr>
          <w:rFonts w:hint="cs"/>
          <w:sz w:val="24"/>
          <w:szCs w:val="24"/>
          <w:rtl/>
        </w:rPr>
        <w:t>)</w:t>
      </w:r>
      <w:r w:rsidR="00777DCB" w:rsidRPr="00A52585">
        <w:rPr>
          <w:rFonts w:hint="cs"/>
          <w:sz w:val="24"/>
          <w:szCs w:val="24"/>
          <w:rtl/>
        </w:rPr>
        <w:t xml:space="preserve"> رواه الطبراني ورجاله ثقات مجمع الزوائد 6/233 وقال أمير المؤمنين </w:t>
      </w:r>
      <w:proofErr w:type="gramStart"/>
      <w:r w:rsidR="00777DCB" w:rsidRPr="00A52585">
        <w:rPr>
          <w:rFonts w:hint="cs"/>
          <w:sz w:val="24"/>
          <w:szCs w:val="24"/>
          <w:rtl/>
        </w:rPr>
        <w:t>علي</w:t>
      </w:r>
      <w:proofErr w:type="gramEnd"/>
      <w:r w:rsidR="00777DCB" w:rsidRPr="00A52585">
        <w:rPr>
          <w:rFonts w:hint="cs"/>
          <w:sz w:val="24"/>
          <w:szCs w:val="24"/>
          <w:rtl/>
        </w:rPr>
        <w:t xml:space="preserve"> رضي الله عنه لجنوده عند ظهور الخوارج</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ما ترون</w:t>
      </w:r>
      <w:r w:rsidR="00F95886" w:rsidRPr="00A52585">
        <w:rPr>
          <w:rFonts w:hint="cs"/>
          <w:sz w:val="24"/>
          <w:szCs w:val="24"/>
          <w:rtl/>
        </w:rPr>
        <w:t>؟</w:t>
      </w:r>
      <w:r w:rsidR="00777DCB" w:rsidRPr="00A52585">
        <w:rPr>
          <w:rFonts w:hint="cs"/>
          <w:sz w:val="24"/>
          <w:szCs w:val="24"/>
          <w:rtl/>
        </w:rPr>
        <w:t xml:space="preserve"> نسير إلى أهل الشام أم نرجع إلى هؤلاء الذين خلفوا إلى ذراريكم</w:t>
      </w:r>
      <w:r w:rsidR="00F95886" w:rsidRPr="00A52585">
        <w:rPr>
          <w:rFonts w:hint="cs"/>
          <w:sz w:val="24"/>
          <w:szCs w:val="24"/>
          <w:rtl/>
        </w:rPr>
        <w:t>؟</w:t>
      </w:r>
      <w:r w:rsidR="00777DCB" w:rsidRPr="00A52585">
        <w:rPr>
          <w:rFonts w:hint="cs"/>
          <w:sz w:val="24"/>
          <w:szCs w:val="24"/>
          <w:rtl/>
        </w:rPr>
        <w:t xml:space="preserve"> قالوا</w:t>
      </w:r>
      <w:r w:rsidRPr="00A52585">
        <w:rPr>
          <w:rFonts w:hint="cs"/>
          <w:sz w:val="24"/>
          <w:szCs w:val="24"/>
          <w:rtl/>
        </w:rPr>
        <w:t>:</w:t>
      </w:r>
      <w:r w:rsidR="00777DCB" w:rsidRPr="00A52585">
        <w:rPr>
          <w:rFonts w:hint="cs"/>
          <w:sz w:val="24"/>
          <w:szCs w:val="24"/>
          <w:rtl/>
        </w:rPr>
        <w:t xml:space="preserve"> بل نرجع "</w:t>
      </w:r>
      <w:r w:rsidRPr="00A52585">
        <w:rPr>
          <w:rFonts w:hint="cs"/>
          <w:sz w:val="24"/>
          <w:szCs w:val="24"/>
          <w:rtl/>
        </w:rPr>
        <w:t xml:space="preserve"> </w:t>
      </w:r>
      <w:r w:rsidR="00777DCB" w:rsidRPr="00A52585">
        <w:rPr>
          <w:rFonts w:hint="cs"/>
          <w:sz w:val="24"/>
          <w:szCs w:val="24"/>
          <w:rtl/>
        </w:rPr>
        <w:t>مجمع الزوائد 6/238 فكان الجيل الأول من الخوارج سببا أساسياً في ضياع الخلافة الراشدة، كما أصبح خوارج اليوم المنتشرون في جميع أقطار العالم الإسلامي- كبلاد الشام ومصر واليمن والجزائر وغيرها، سببا أساسيا في تمكين أعداء الإسلام من مقدسات المسلمين</w:t>
      </w:r>
      <w:r w:rsidR="00DB731D" w:rsidRPr="00A52585">
        <w:rPr>
          <w:rFonts w:hint="cs"/>
          <w:sz w:val="24"/>
          <w:szCs w:val="24"/>
          <w:rtl/>
        </w:rPr>
        <w:t>،</w:t>
      </w:r>
      <w:r w:rsidR="00777DCB" w:rsidRPr="00A52585">
        <w:rPr>
          <w:rFonts w:hint="cs"/>
          <w:sz w:val="24"/>
          <w:szCs w:val="24"/>
          <w:rtl/>
        </w:rPr>
        <w:t xml:space="preserve"> ورحم الله إمامنا </w:t>
      </w:r>
      <w:proofErr w:type="spellStart"/>
      <w:r w:rsidR="00777DCB" w:rsidRPr="00A52585">
        <w:rPr>
          <w:rFonts w:hint="cs"/>
          <w:sz w:val="24"/>
          <w:szCs w:val="24"/>
          <w:rtl/>
        </w:rPr>
        <w:t>الحصني</w:t>
      </w:r>
      <w:proofErr w:type="spellEnd"/>
      <w:r w:rsidR="00777DCB" w:rsidRPr="00A52585">
        <w:rPr>
          <w:rFonts w:hint="cs"/>
          <w:sz w:val="24"/>
          <w:szCs w:val="24"/>
          <w:rtl/>
        </w:rPr>
        <w:t xml:space="preserve"> فقد نبه صراحة على أن ابن تيمية وأتباعه من بعده خوارج بنص حديث رسول الله صلى الله عليه وسلم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فائدة هامة</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يقول العلامة السيد علوي بن أحمد بن حداد في كتابه (جلاء الظلام في الرد على النجدي الذي أضلَّ العوام)</w:t>
      </w:r>
      <w:r w:rsidRPr="00A52585">
        <w:rPr>
          <w:rFonts w:hint="cs"/>
          <w:sz w:val="24"/>
          <w:szCs w:val="24"/>
          <w:rtl/>
        </w:rPr>
        <w:t>:</w:t>
      </w:r>
      <w:r w:rsidR="00777DCB" w:rsidRPr="00A52585">
        <w:rPr>
          <w:rFonts w:hint="cs"/>
          <w:sz w:val="24"/>
          <w:szCs w:val="24"/>
          <w:rtl/>
        </w:rPr>
        <w:t xml:space="preserve"> وأصرح </w:t>
      </w:r>
      <w:r w:rsidR="00777DCB" w:rsidRPr="00A52585">
        <w:rPr>
          <w:rFonts w:hint="cs"/>
          <w:sz w:val="24"/>
          <w:szCs w:val="24"/>
          <w:rtl/>
        </w:rPr>
        <w:lastRenderedPageBreak/>
        <w:t xml:space="preserve">من ذلك أن هذا المغرور محمد ابن عبد الوهاب من تميم، فيحتمل أنه من عقب ذي الخويصرة التميمي الذي جاء فيه حديث البخاري عن أبي سعيد الخدري رضي الله عنه أن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قال</w:t>
      </w:r>
      <w:r w:rsidRPr="00A52585">
        <w:rPr>
          <w:rFonts w:hint="cs"/>
          <w:sz w:val="24"/>
          <w:szCs w:val="24"/>
          <w:rtl/>
        </w:rPr>
        <w:t xml:space="preserve">: </w:t>
      </w:r>
      <w:r w:rsidR="00777DCB" w:rsidRPr="00A52585">
        <w:rPr>
          <w:rFonts w:hint="cs"/>
          <w:sz w:val="24"/>
          <w:szCs w:val="24"/>
          <w:rtl/>
        </w:rPr>
        <w:t xml:space="preserve">" إن من </w:t>
      </w:r>
      <w:proofErr w:type="spellStart"/>
      <w:r w:rsidR="00777DCB" w:rsidRPr="00A52585">
        <w:rPr>
          <w:rFonts w:hint="cs"/>
          <w:sz w:val="24"/>
          <w:szCs w:val="24"/>
          <w:rtl/>
        </w:rPr>
        <w:t>ضئضئ</w:t>
      </w:r>
      <w:proofErr w:type="spellEnd"/>
      <w:r w:rsidR="00777DCB" w:rsidRPr="00A52585">
        <w:rPr>
          <w:rFonts w:hint="cs"/>
          <w:sz w:val="24"/>
          <w:szCs w:val="24"/>
          <w:rtl/>
        </w:rPr>
        <w:t xml:space="preserve"> هذا </w:t>
      </w:r>
      <w:r w:rsidRPr="00A52585">
        <w:rPr>
          <w:rFonts w:hint="cs"/>
          <w:sz w:val="24"/>
          <w:szCs w:val="24"/>
          <w:rtl/>
        </w:rPr>
        <w:t>[</w:t>
      </w:r>
      <w:r w:rsidR="00777DCB" w:rsidRPr="00A52585">
        <w:rPr>
          <w:rFonts w:hint="cs"/>
          <w:sz w:val="24"/>
          <w:szCs w:val="24"/>
          <w:rtl/>
        </w:rPr>
        <w:t>أو في عقب هذا</w:t>
      </w:r>
      <w:r w:rsidRPr="00A52585">
        <w:rPr>
          <w:rFonts w:hint="cs"/>
          <w:sz w:val="24"/>
          <w:szCs w:val="24"/>
          <w:rtl/>
        </w:rPr>
        <w:t>]</w:t>
      </w:r>
      <w:r w:rsidR="00777DCB" w:rsidRPr="00A52585">
        <w:rPr>
          <w:rFonts w:hint="cs"/>
          <w:sz w:val="24"/>
          <w:szCs w:val="24"/>
          <w:rtl/>
        </w:rPr>
        <w:t xml:space="preserve"> قوما يقرءون القرآن لا يجاوز حناجرهم يمرقون من الدين كما يمرق السهم من الرمية يقتلون أهل الإسلام ويدعون أهل الأوثان، لئن أدركتهم </w:t>
      </w:r>
      <w:proofErr w:type="spellStart"/>
      <w:r w:rsidR="00777DCB" w:rsidRPr="00A52585">
        <w:rPr>
          <w:rFonts w:hint="cs"/>
          <w:sz w:val="24"/>
          <w:szCs w:val="24"/>
          <w:rtl/>
        </w:rPr>
        <w:t>لأقتلنهم</w:t>
      </w:r>
      <w:proofErr w:type="spellEnd"/>
      <w:r w:rsidR="00777DCB" w:rsidRPr="00A52585">
        <w:rPr>
          <w:rFonts w:hint="cs"/>
          <w:sz w:val="24"/>
          <w:szCs w:val="24"/>
          <w:rtl/>
        </w:rPr>
        <w:t xml:space="preserve"> قتل عاد "</w:t>
      </w:r>
      <w:r w:rsidRPr="00A52585">
        <w:rPr>
          <w:rFonts w:hint="cs"/>
          <w:sz w:val="24"/>
          <w:szCs w:val="24"/>
          <w:rtl/>
        </w:rPr>
        <w:t xml:space="preserve"> </w:t>
      </w:r>
      <w:r w:rsidR="00777DCB" w:rsidRPr="00A52585">
        <w:rPr>
          <w:rFonts w:hint="cs"/>
          <w:sz w:val="24"/>
          <w:szCs w:val="24"/>
          <w:rtl/>
        </w:rPr>
        <w:t>" فكان هذا الخارجي يقتل أهل الإسلام ويدع أهل الأوثان"</w:t>
      </w:r>
      <w:r w:rsidR="00897A24" w:rsidRPr="00A52585">
        <w:rPr>
          <w:rFonts w:hint="cs"/>
          <w:sz w:val="24"/>
          <w:szCs w:val="24"/>
          <w:rtl/>
        </w:rPr>
        <w:t>.</w:t>
      </w:r>
      <w:r w:rsidR="00777DCB"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777DCB" w:rsidRPr="00A52585">
        <w:rPr>
          <w:rFonts w:hint="cs"/>
          <w:sz w:val="24"/>
          <w:szCs w:val="24"/>
          <w:rtl/>
        </w:rPr>
        <w:t xml:space="preserve"> نقلا عن </w:t>
      </w:r>
      <w:r w:rsidRPr="00A52585">
        <w:rPr>
          <w:rFonts w:hint="cs"/>
          <w:sz w:val="24"/>
          <w:szCs w:val="24"/>
          <w:rtl/>
        </w:rPr>
        <w:t>(</w:t>
      </w:r>
      <w:r w:rsidR="00777DCB" w:rsidRPr="00A52585">
        <w:rPr>
          <w:rFonts w:hint="cs"/>
          <w:sz w:val="24"/>
          <w:szCs w:val="24"/>
          <w:rtl/>
        </w:rPr>
        <w:t>الدرر السنية) للسيد زيني دحلان ص 177</w:t>
      </w:r>
      <w:r w:rsidR="00DB731D" w:rsidRPr="00A52585">
        <w:rPr>
          <w:rFonts w:hint="cs"/>
          <w:sz w:val="24"/>
          <w:szCs w:val="24"/>
          <w:rtl/>
        </w:rPr>
        <w:t>،</w:t>
      </w:r>
      <w:r w:rsidR="00777DCB" w:rsidRPr="00A52585">
        <w:rPr>
          <w:rFonts w:hint="cs"/>
          <w:sz w:val="24"/>
          <w:szCs w:val="24"/>
          <w:rtl/>
        </w:rPr>
        <w:t>وكتاب (جلاء الظلام)</w:t>
      </w:r>
      <w:r w:rsidRPr="00A52585">
        <w:rPr>
          <w:rFonts w:hint="cs"/>
          <w:sz w:val="24"/>
          <w:szCs w:val="24"/>
          <w:rtl/>
        </w:rPr>
        <w:t xml:space="preserve"> </w:t>
      </w:r>
      <w:r w:rsidR="00777DCB" w:rsidRPr="00A52585">
        <w:rPr>
          <w:rFonts w:hint="cs"/>
          <w:sz w:val="24"/>
          <w:szCs w:val="24"/>
          <w:rtl/>
        </w:rPr>
        <w:t>مطبوع. وهذه أيضا من دلائل النبوة</w:t>
      </w:r>
      <w:r w:rsidRPr="00A52585">
        <w:rPr>
          <w:rFonts w:hint="cs"/>
          <w:sz w:val="24"/>
          <w:szCs w:val="24"/>
          <w:rtl/>
        </w:rPr>
        <w:t>]</w:t>
      </w:r>
      <w:r w:rsidR="00DB731D" w:rsidRPr="00A52585">
        <w:rPr>
          <w:rFonts w:hint="cs"/>
          <w:spacing w:val="-6"/>
          <w:sz w:val="24"/>
          <w:szCs w:val="24"/>
          <w:rtl/>
        </w:rPr>
        <w:t>،</w:t>
      </w:r>
      <w:r w:rsidRPr="00A52585">
        <w:rPr>
          <w:rFonts w:hint="cs"/>
          <w:spacing w:val="-6"/>
          <w:rtl/>
        </w:rPr>
        <w:t xml:space="preserve"> </w:t>
      </w:r>
    </w:p>
    <w:p w14:paraId="6C4409DA" w14:textId="61345BE8"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محاكمات ابن تيمية وسجنه</w:t>
      </w:r>
      <w:r w:rsidRPr="00A52585">
        <w:rPr>
          <w:rFonts w:hint="cs"/>
          <w:bCs/>
          <w:rtl/>
        </w:rPr>
        <w:t>]:</w:t>
      </w:r>
      <w:r w:rsidR="00777DCB" w:rsidRPr="00A52585">
        <w:rPr>
          <w:rFonts w:hint="cs"/>
          <w:bCs/>
          <w:rtl/>
        </w:rPr>
        <w:t xml:space="preserve"> </w:t>
      </w:r>
      <w:r w:rsidR="00777DCB" w:rsidRPr="00A52585">
        <w:rPr>
          <w:rFonts w:hint="cs"/>
          <w:rtl/>
        </w:rPr>
        <w:t>وإذا تمهد لك هذا أيها الراغب في فكاك نفسه من ربقة عقائد أهل البدع الضالين المضلين والاقتداء بأهل السلامة في الدين</w:t>
      </w:r>
      <w:r w:rsidRPr="00A52585">
        <w:rPr>
          <w:rFonts w:hint="cs"/>
          <w:rtl/>
        </w:rPr>
        <w:t>:</w:t>
      </w:r>
      <w:r w:rsidR="00777DCB" w:rsidRPr="00A52585">
        <w:rPr>
          <w:rFonts w:hint="cs"/>
          <w:rtl/>
        </w:rPr>
        <w:t xml:space="preserve"> فاعلم أني نظرت في كلام هذا الخبيث الذي في قلبه مرض الزيغ. المتتبع ما تشابه منه في الكتاب والسنة ابتغاء الفتنة</w:t>
      </w:r>
      <w:r w:rsidR="00DB731D" w:rsidRPr="00A52585">
        <w:rPr>
          <w:rFonts w:hint="cs"/>
          <w:rtl/>
        </w:rPr>
        <w:t>،</w:t>
      </w:r>
      <w:r w:rsidR="00777DCB" w:rsidRPr="00A52585">
        <w:rPr>
          <w:rFonts w:hint="cs"/>
          <w:rtl/>
        </w:rPr>
        <w:t xml:space="preserve"> وتبعه على ذلك خلق من العوام وغيرهم ممن أراد الله عز وجل</w:t>
      </w:r>
      <w:r w:rsidR="00777DCB" w:rsidRPr="00A52585">
        <w:rPr>
          <w:rFonts w:hint="cs"/>
          <w:vertAlign w:val="superscript"/>
          <w:rtl/>
        </w:rPr>
        <w:t xml:space="preserve"> </w:t>
      </w:r>
      <w:r w:rsidR="00777DCB" w:rsidRPr="00A52585">
        <w:rPr>
          <w:rFonts w:hint="cs"/>
          <w:rtl/>
        </w:rPr>
        <w:t>إهلاكه</w:t>
      </w:r>
      <w:r w:rsidR="00DB731D" w:rsidRPr="00A52585">
        <w:rPr>
          <w:rFonts w:hint="cs"/>
          <w:rtl/>
        </w:rPr>
        <w:t>،</w:t>
      </w:r>
      <w:r w:rsidR="00777DCB" w:rsidRPr="00A52585">
        <w:rPr>
          <w:rFonts w:hint="cs"/>
          <w:rtl/>
        </w:rPr>
        <w:t xml:space="preserve"> فوجدت فيه منه مالا أقدر على النطق به ولا لي أنامل تطاوعني على رسمه وتسطيره لما فيه من تسفيه رب العالمين من تَنْزِيهه لنفسه في كتابه المبين وكذا بالازدراء بأصفيائه المنتخبين وخلفائهم الراشدين وأتباعهم الموفقين فعدلت عن ذلك إلى ذكر ما ذكره الأئمة المتقون وما اتفقوا عليه من تبديعه وإخراجه ببعضه من الدين</w:t>
      </w:r>
      <w:r w:rsidR="00DB731D" w:rsidRPr="00A52585">
        <w:rPr>
          <w:rFonts w:hint="cs"/>
          <w:rtl/>
        </w:rPr>
        <w:t>،</w:t>
      </w:r>
      <w:r w:rsidR="00777DCB" w:rsidRPr="00A52585">
        <w:rPr>
          <w:rFonts w:hint="cs"/>
          <w:rtl/>
        </w:rPr>
        <w:t xml:space="preserve"> فمنه ما دُوّن في المصنفات</w:t>
      </w:r>
      <w:r w:rsidR="00DB731D" w:rsidRPr="00A52585">
        <w:rPr>
          <w:rFonts w:hint="cs"/>
          <w:rtl/>
        </w:rPr>
        <w:t>،</w:t>
      </w:r>
      <w:r w:rsidR="00777DCB" w:rsidRPr="00A52585">
        <w:rPr>
          <w:rFonts w:hint="cs"/>
          <w:rtl/>
        </w:rPr>
        <w:t xml:space="preserve"> ومنه ما جاءت به المراسيم العليات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كتب د. صلاح الدين المنجد مقالاً في مجلة المجمع العلمي العربي بتاريخ 1 يناير 1958 الموافق 9 جمادى الأخرة سنة 1377هـ يقول</w:t>
      </w:r>
      <w:r w:rsidRPr="00A52585">
        <w:rPr>
          <w:rFonts w:hint="cs"/>
          <w:sz w:val="24"/>
          <w:szCs w:val="24"/>
          <w:rtl/>
        </w:rPr>
        <w:t xml:space="preserve"> </w:t>
      </w:r>
      <w:r w:rsidR="00777DCB" w:rsidRPr="00A52585">
        <w:rPr>
          <w:rFonts w:hint="cs"/>
          <w:sz w:val="24"/>
          <w:szCs w:val="24"/>
          <w:rtl/>
        </w:rPr>
        <w:t xml:space="preserve">" مرسوم مملوكي شريف بمخالفة عقيدة ابن تيمية نعتقد أن كتابة التاريخ الإسلامي، في مختلف وجوهه، ينبغي أن تقوم بعد اليوم على الوثائق </w:t>
      </w:r>
      <w:proofErr w:type="spellStart"/>
      <w:r w:rsidR="00777DCB" w:rsidRPr="00A52585">
        <w:rPr>
          <w:rFonts w:hint="cs"/>
          <w:sz w:val="24"/>
          <w:szCs w:val="24"/>
          <w:rtl/>
        </w:rPr>
        <w:t>والإسنادات</w:t>
      </w:r>
      <w:proofErr w:type="spellEnd"/>
      <w:r w:rsidR="00777DCB" w:rsidRPr="00A52585">
        <w:rPr>
          <w:rFonts w:hint="cs"/>
          <w:sz w:val="24"/>
          <w:szCs w:val="24"/>
          <w:rtl/>
        </w:rPr>
        <w:t xml:space="preserve"> الرسمية أكثر من اعتمادها على أقوال المؤرخين وحدهم. وذلك على نحو ما تجرى كتابة </w:t>
      </w:r>
      <w:r w:rsidR="00777DCB" w:rsidRPr="00A52585">
        <w:rPr>
          <w:rFonts w:hint="cs"/>
          <w:spacing w:val="-4"/>
          <w:sz w:val="24"/>
          <w:szCs w:val="24"/>
          <w:rtl/>
        </w:rPr>
        <w:t>التاريخ في الغرب. لأن هذه الوثائق أدعى إلى الاطمئنان، وأصدق في التصوير، وأبعد عن الاضطراب أو الاختلاف في سرد الحوادث الذي نجده في كتب المؤرخين. وقد دعونا مرات إلى العناية بهذه الوثائق على اختلاف أنواعها، وجمعها، ونشرها، واتخاذها أساساً لدراساتنا عن التاريخ الإسلامي</w:t>
      </w:r>
      <w:r w:rsidR="00DB731D"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bCs/>
          <w:sz w:val="24"/>
          <w:szCs w:val="24"/>
          <w:rtl/>
        </w:rPr>
        <w:t>وقد عثرنا على أربعة مراسيم مملوكية شريفة، من القرن الثامن والقرن التاسع، أصدرها سلاطين مصر بمخالفة عقيدة شيخ الإسلام تقي الدين بن تيمية، وردع أتباعه عنها.</w:t>
      </w:r>
      <w:r w:rsidR="00777DCB" w:rsidRPr="00A52585">
        <w:rPr>
          <w:rFonts w:hint="cs"/>
          <w:sz w:val="24"/>
          <w:szCs w:val="24"/>
          <w:rtl/>
        </w:rPr>
        <w:t xml:space="preserve"> وهذه المراسيم على جانب كبير من الشأن لأنها تبين رأي الدولة في عقيدة الشيخ، في فترات مختلفة، أثناء حياته وبعد مماته. فنحن نعلم أن حياة الشيخ كانت نضالاً مستمراً لم يهدأ، لبثّ مذهبه والدعوة </w:t>
      </w:r>
      <w:proofErr w:type="gramStart"/>
      <w:r w:rsidR="00777DCB" w:rsidRPr="00A52585">
        <w:rPr>
          <w:rFonts w:hint="cs"/>
          <w:sz w:val="24"/>
          <w:szCs w:val="24"/>
          <w:rtl/>
        </w:rPr>
        <w:t>إليه,</w:t>
      </w:r>
      <w:proofErr w:type="gramEnd"/>
      <w:r w:rsidR="00777DCB" w:rsidRPr="00A52585">
        <w:rPr>
          <w:rFonts w:hint="cs"/>
          <w:sz w:val="24"/>
          <w:szCs w:val="24"/>
          <w:rtl/>
        </w:rPr>
        <w:t xml:space="preserve"> فقد أثار ما تكلّم به في ذات الله ووصفه، وأنه يتكلم بالحرف والصوت، وما ذكره عن التجسيم والاستواء والعلو والجهة والحيز وغير ذلك، وما أفتى به في مسألة الطلاق، وزيارة القبور، أثار جمهور القضاة والعلماء والفقهاء ممن كانوا لا يرون رأيه ولا يذهبون مذهبه. وكان هذا النضال يثير الناس بعضهم على بعض. فتستيقظ الفتنة ويقع الشغب، وكان يشتدّ أحياناً فيؤدي بالشيخ إلى السجن، أو يعرّض أصحابه للتشهير والتعزيز والإهانة، أو يؤلّب عليه الأمراء، أو ينتهي إلى غضب السلاطين عليه وإصدارهم مراسيم كثيرة بمنعه من الفتيا، أو مخالفة عقيدته، وإلزام أتباعه، خاصة الحنابلة، بالرجوع عن مذهبه</w:t>
      </w:r>
      <w:r w:rsidR="00DB731D" w:rsidRPr="00A52585">
        <w:rPr>
          <w:rFonts w:hint="cs"/>
          <w:sz w:val="24"/>
          <w:szCs w:val="24"/>
          <w:rtl/>
        </w:rPr>
        <w:t>،</w:t>
      </w:r>
      <w:r w:rsidR="00777DCB" w:rsidRPr="00A52585">
        <w:rPr>
          <w:rFonts w:hint="cs"/>
          <w:sz w:val="24"/>
          <w:szCs w:val="24"/>
          <w:rtl/>
        </w:rPr>
        <w:t xml:space="preserve"> ونحن نقدّم هنا أحد هذه المراسيم التي عثرنا عليها، وكلها لم تنشر بعد- نقدمه لأنه يتعلق بعالم كبير من علماء دمشق، وبناحية من تاريخ مدينتنا دمشق، </w:t>
      </w:r>
      <w:r w:rsidR="00777DCB" w:rsidRPr="00A52585">
        <w:rPr>
          <w:rFonts w:hint="cs"/>
          <w:sz w:val="24"/>
          <w:szCs w:val="24"/>
          <w:rtl/>
        </w:rPr>
        <w:lastRenderedPageBreak/>
        <w:t>ولأن يبين ما فعلته عقيدة الشيخ في المجتمع الإسلامي، في مصر والشام، من تنبيه الناس أو إثارتهم، حتى اضطرت الدولة إلى منعها وإصدار المراسيم بمخالفتها</w:t>
      </w:r>
      <w:r w:rsidR="00DB731D" w:rsidRPr="00A52585">
        <w:rPr>
          <w:rFonts w:hint="cs"/>
          <w:sz w:val="24"/>
          <w:szCs w:val="24"/>
          <w:rtl/>
        </w:rPr>
        <w:t>،</w:t>
      </w:r>
      <w:r w:rsidR="00777DCB" w:rsidRPr="00A52585">
        <w:rPr>
          <w:rFonts w:hint="cs"/>
          <w:sz w:val="24"/>
          <w:szCs w:val="24"/>
          <w:rtl/>
        </w:rPr>
        <w:t xml:space="preserve"> وقد وجدنا نصه في مخطوط تاريخي نادر ألفه ابن أبيك </w:t>
      </w:r>
      <w:proofErr w:type="spellStart"/>
      <w:r w:rsidR="00777DCB" w:rsidRPr="00A52585">
        <w:rPr>
          <w:rFonts w:hint="cs"/>
          <w:sz w:val="24"/>
          <w:szCs w:val="24"/>
          <w:rtl/>
        </w:rPr>
        <w:t>الدواداري</w:t>
      </w:r>
      <w:proofErr w:type="spellEnd"/>
      <w:r w:rsidR="00777DCB" w:rsidRPr="00A52585">
        <w:rPr>
          <w:rFonts w:hint="cs"/>
          <w:sz w:val="24"/>
          <w:szCs w:val="24"/>
          <w:rtl/>
        </w:rPr>
        <w:t xml:space="preserve">، </w:t>
      </w:r>
      <w:r w:rsidR="00777DCB" w:rsidRPr="00A52585">
        <w:rPr>
          <w:rFonts w:hint="cs"/>
          <w:bCs/>
          <w:sz w:val="24"/>
          <w:szCs w:val="24"/>
          <w:rtl/>
        </w:rPr>
        <w:t>وكان معاصراً للشيخ، وضمَّنه أموراً دقيقة كثيرة شاهدها بنفسه أو سمعها من أقرانه</w:t>
      </w:r>
      <w:r w:rsidR="00777DCB" w:rsidRPr="00A52585">
        <w:rPr>
          <w:rFonts w:hint="cs"/>
          <w:sz w:val="24"/>
          <w:szCs w:val="24"/>
          <w:rtl/>
        </w:rPr>
        <w:t xml:space="preserve">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الجزء الأول من المجلد الثالث والثلاثون 259-260 ونحن نأمل من الله أن يتم جمع كل الوثائق التاريخية وأن تنشر دراسة تفصيلية عن هذه الأحداث لأن ذلك سيكون أكثر جدوى وأسرع في فهم فكر ابن تيمية وخطورته وكذا أتباعه خوارج عصرنا</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وأجمع عليه علماء عصره ممن يُرجع إليهم في الأمور الملمات والقضايا المهمات</w:t>
      </w:r>
      <w:r w:rsidR="00DB731D" w:rsidRPr="00A52585">
        <w:rPr>
          <w:rFonts w:hint="cs"/>
          <w:rtl/>
        </w:rPr>
        <w:t>،</w:t>
      </w:r>
      <w:r w:rsidR="00777DCB" w:rsidRPr="00A52585">
        <w:rPr>
          <w:rFonts w:hint="cs"/>
          <w:rtl/>
        </w:rPr>
        <w:t xml:space="preserve"> وضمتها الفتاوى الزكيات من دنس أهل الجهالات</w:t>
      </w:r>
      <w:r w:rsidR="00DB731D" w:rsidRPr="00A52585">
        <w:rPr>
          <w:rFonts w:hint="cs"/>
          <w:rtl/>
        </w:rPr>
        <w:t>،</w:t>
      </w:r>
      <w:r w:rsidR="00777DCB" w:rsidRPr="00A52585">
        <w:rPr>
          <w:rFonts w:hint="cs"/>
          <w:rtl/>
        </w:rPr>
        <w:t xml:space="preserve"> ولم يختلف عليه أحد. وكما اشتهر بالقراءة والمناداة على رءوس الأشهاد في المجامع الجامعة حتى شاع وذاع واتسع به الباع حتى في الفلوات</w:t>
      </w:r>
      <w:r w:rsidR="00DB731D" w:rsidRPr="00A52585">
        <w:rPr>
          <w:rFonts w:hint="cs"/>
          <w:rtl/>
        </w:rPr>
        <w:t>،</w:t>
      </w:r>
      <w:r w:rsidRPr="00A52585">
        <w:rPr>
          <w:rFonts w:hint="cs"/>
          <w:rtl/>
        </w:rPr>
        <w:t xml:space="preserve"> </w:t>
      </w:r>
      <w:r w:rsidR="00777DCB" w:rsidRPr="00A52585">
        <w:rPr>
          <w:rFonts w:hint="cs"/>
          <w:rtl/>
        </w:rPr>
        <w:t xml:space="preserve">فمن ذلك نسخة المرسوم الشريف </w:t>
      </w:r>
      <w:r w:rsidRPr="00A52585">
        <w:rPr>
          <w:rFonts w:hint="cs"/>
          <w:rtl/>
        </w:rPr>
        <w:t>[</w:t>
      </w:r>
      <w:r w:rsidR="00777DCB" w:rsidRPr="00A52585">
        <w:rPr>
          <w:rFonts w:hint="cs"/>
          <w:rtl/>
        </w:rPr>
        <w:t>للسلطان</w:t>
      </w:r>
      <w:r w:rsidRPr="00A52585">
        <w:rPr>
          <w:rFonts w:hint="cs"/>
          <w:rtl/>
        </w:rPr>
        <w:t>]</w:t>
      </w:r>
      <w:r w:rsidR="00777DCB" w:rsidRPr="00A52585">
        <w:rPr>
          <w:rFonts w:hint="cs"/>
          <w:vertAlign w:val="superscript"/>
          <w:rtl/>
        </w:rPr>
        <w:t xml:space="preserve"> </w:t>
      </w:r>
      <w:r w:rsidR="00777DCB" w:rsidRPr="00A52585">
        <w:rPr>
          <w:rFonts w:hint="cs"/>
          <w:rtl/>
        </w:rPr>
        <w:t>ناصر الدنيا والدين محمد بن قلاوون رحمه الله تعالى</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محمد بن قلاوون بن عبد الله الصالحيّ الملك الناصر بن المنصور ولد سنة 684هـ، وتوفى سنة 741هـ</w:t>
      </w:r>
      <w:r w:rsidR="00DB731D" w:rsidRPr="00A52585">
        <w:rPr>
          <w:rFonts w:hint="cs"/>
          <w:sz w:val="24"/>
          <w:szCs w:val="24"/>
          <w:rtl/>
        </w:rPr>
        <w:t>،</w:t>
      </w:r>
      <w:r w:rsidR="00777DCB" w:rsidRPr="00A52585">
        <w:rPr>
          <w:rFonts w:hint="cs"/>
          <w:sz w:val="24"/>
          <w:szCs w:val="24"/>
          <w:rtl/>
        </w:rPr>
        <w:t xml:space="preserve"> ولي السلطنة سنة 693هـ وله تسع سنين واستمر فيها لمدة سنة إلا ثلاثة أيام ثم ذهب إلى الكرك وترك السلطنة. وفي سنة 698هـ أحضروا الناصر من الكرك وتسلطن للمرة الثانية وله يومئذ أربعة عشر سنة وأربعة أشهر وحضر وقعة غازان (سلطان التتار) سنة 699هـ بوادي الخزندار وثبت الثبات القوي وجرى لغازان بدمشق ما اشتهر. وفي ولاية الناصر ألبست اليهود العمائم الصفر والنصارى العمائم الزرق وذلك في سنة سبعمائة وفي سنة 702 فتحت جزيرة أرواد من بلاد الفرنج</w:t>
      </w:r>
      <w:r w:rsidR="00897A24" w:rsidRPr="00A52585">
        <w:rPr>
          <w:rFonts w:hint="cs"/>
          <w:sz w:val="24"/>
          <w:szCs w:val="24"/>
          <w:rtl/>
        </w:rPr>
        <w:t>.</w:t>
      </w:r>
      <w:r w:rsidR="00777DCB" w:rsidRPr="00A52585">
        <w:rPr>
          <w:rFonts w:hint="cs"/>
          <w:sz w:val="24"/>
          <w:szCs w:val="24"/>
          <w:rtl/>
        </w:rPr>
        <w:t xml:space="preserve">. وفي شعبان منها كانت وقعة </w:t>
      </w:r>
      <w:proofErr w:type="spellStart"/>
      <w:r w:rsidR="00777DCB" w:rsidRPr="00A52585">
        <w:rPr>
          <w:rFonts w:hint="cs"/>
          <w:sz w:val="24"/>
          <w:szCs w:val="24"/>
          <w:rtl/>
        </w:rPr>
        <w:t>شقحب</w:t>
      </w:r>
      <w:proofErr w:type="spellEnd"/>
      <w:r w:rsidR="00777DCB" w:rsidRPr="00A52585">
        <w:rPr>
          <w:rFonts w:hint="cs"/>
          <w:sz w:val="24"/>
          <w:szCs w:val="24"/>
          <w:rtl/>
        </w:rPr>
        <w:t xml:space="preserve"> وكان للناصر فيها اليد البيضاء من الثبات ووقع النصر للمسلمين</w:t>
      </w:r>
      <w:r w:rsidR="00DB731D" w:rsidRPr="00A52585">
        <w:rPr>
          <w:rFonts w:hint="cs"/>
          <w:sz w:val="24"/>
          <w:szCs w:val="24"/>
          <w:rtl/>
        </w:rPr>
        <w:t>،</w:t>
      </w:r>
      <w:r w:rsidR="00777DCB" w:rsidRPr="00A52585">
        <w:rPr>
          <w:rFonts w:hint="cs"/>
          <w:sz w:val="24"/>
          <w:szCs w:val="24"/>
          <w:rtl/>
        </w:rPr>
        <w:t xml:space="preserve"> نزل عن السلطنة مرة أخرى سنة 708هـ وفي سنة 709هـ عاد إلى مصر بطلب الأمراء ونواب البلاد واستقر في دست مملكته- وهي السلطنة الثالثة- حتى وفاته</w:t>
      </w:r>
      <w:r w:rsidR="00DB731D" w:rsidRPr="00A52585">
        <w:rPr>
          <w:rFonts w:hint="cs"/>
          <w:sz w:val="24"/>
          <w:szCs w:val="24"/>
          <w:rtl/>
        </w:rPr>
        <w:t>،</w:t>
      </w:r>
      <w:r w:rsidR="00777DCB" w:rsidRPr="00A52585">
        <w:rPr>
          <w:rFonts w:hint="cs"/>
          <w:sz w:val="24"/>
          <w:szCs w:val="24"/>
          <w:rtl/>
        </w:rPr>
        <w:t xml:space="preserve"> لم ير أحد مثل سعادة ملكه وعدم حركة الأعادي عليه براً وبحراً مع طول المدة فمنذ وقعة </w:t>
      </w:r>
      <w:proofErr w:type="spellStart"/>
      <w:r w:rsidR="00777DCB" w:rsidRPr="00A52585">
        <w:rPr>
          <w:rFonts w:hint="cs"/>
          <w:sz w:val="24"/>
          <w:szCs w:val="24"/>
          <w:rtl/>
        </w:rPr>
        <w:t>شقحب</w:t>
      </w:r>
      <w:proofErr w:type="spellEnd"/>
      <w:r w:rsidR="00777DCB" w:rsidRPr="00A52585">
        <w:rPr>
          <w:rFonts w:hint="cs"/>
          <w:sz w:val="24"/>
          <w:szCs w:val="24"/>
          <w:rtl/>
        </w:rPr>
        <w:t xml:space="preserve"> (سنة 702هـ) إلى أن مات (741هـ) لم يخرج عليه أحد. بني في سلطنته من الجوامع والمدارس والخوانق الشيء الكثير جداً وشهد عهده العديد من الفتوحات وأسقط من مملكته مكس الأقوات</w:t>
      </w:r>
      <w:r w:rsidR="00DB731D" w:rsidRPr="00A52585">
        <w:rPr>
          <w:rFonts w:hint="cs"/>
          <w:sz w:val="24"/>
          <w:szCs w:val="24"/>
          <w:rtl/>
        </w:rPr>
        <w:t>،</w:t>
      </w:r>
      <w:r w:rsidR="00777DCB" w:rsidRPr="00A52585">
        <w:rPr>
          <w:rFonts w:hint="cs"/>
          <w:sz w:val="24"/>
          <w:szCs w:val="24"/>
          <w:rtl/>
        </w:rPr>
        <w:t xml:space="preserve"> يقول ابن حجر</w:t>
      </w:r>
      <w:r w:rsidRPr="00A52585">
        <w:rPr>
          <w:rFonts w:hint="cs"/>
          <w:sz w:val="24"/>
          <w:szCs w:val="24"/>
          <w:rtl/>
        </w:rPr>
        <w:t>:</w:t>
      </w:r>
      <w:r w:rsidR="00777DCB" w:rsidRPr="00A52585">
        <w:rPr>
          <w:rFonts w:hint="cs"/>
          <w:sz w:val="24"/>
          <w:szCs w:val="24"/>
          <w:rtl/>
        </w:rPr>
        <w:t xml:space="preserve"> وجدت له إجازة بخط </w:t>
      </w:r>
      <w:proofErr w:type="spellStart"/>
      <w:r w:rsidR="00777DCB" w:rsidRPr="00A52585">
        <w:rPr>
          <w:rFonts w:hint="cs"/>
          <w:sz w:val="24"/>
          <w:szCs w:val="24"/>
          <w:rtl/>
        </w:rPr>
        <w:t>البرزالي</w:t>
      </w:r>
      <w:proofErr w:type="spellEnd"/>
      <w:r w:rsidR="00777DCB" w:rsidRPr="00A52585">
        <w:rPr>
          <w:rFonts w:hint="cs"/>
          <w:sz w:val="24"/>
          <w:szCs w:val="24"/>
          <w:rtl/>
        </w:rPr>
        <w:t xml:space="preserve"> من ابن مشرف وعيسى المغازي وجماعة وسمع الحديث وخرج له بعض المحدثين جزءاً وكان مطاعا مهيبا عارفا بالأمور يعظم أهل العلم والمناصب الشرعية. لا يقرر فيها إلا من يكون أهلا لها ويتحرى لذلك ويبحث عنه ويبالغ</w:t>
      </w:r>
      <w:r w:rsidR="00DB731D" w:rsidRPr="00A52585">
        <w:rPr>
          <w:rFonts w:hint="cs"/>
          <w:sz w:val="24"/>
          <w:szCs w:val="24"/>
          <w:rtl/>
        </w:rPr>
        <w:t>،</w:t>
      </w:r>
      <w:r w:rsidR="00777DCB" w:rsidRPr="00A52585">
        <w:rPr>
          <w:rFonts w:hint="cs"/>
          <w:sz w:val="24"/>
          <w:szCs w:val="24"/>
          <w:rtl/>
        </w:rPr>
        <w:t xml:space="preserve"> وحج بعد استقراره في ذلك ثلاث حجج سنة 712هـ، 720هـ، 732هـ. وكان ملكا مطاعاً مهيبا محظوظا ذا دهاء وحزم ومكر، طويل الصبر على ما يكره إذا حاول أمراً لا يسرع فيه بل يحتاط غاية الاحتياط </w:t>
      </w:r>
      <w:proofErr w:type="spellStart"/>
      <w:r w:rsidR="00777DCB" w:rsidRPr="00A52585">
        <w:rPr>
          <w:rFonts w:hint="cs"/>
          <w:sz w:val="24"/>
          <w:szCs w:val="24"/>
          <w:rtl/>
        </w:rPr>
        <w:t>أ.ه</w:t>
      </w:r>
      <w:proofErr w:type="spellEnd"/>
      <w:r w:rsidR="00777DCB" w:rsidRPr="00A52585">
        <w:rPr>
          <w:rFonts w:hint="cs"/>
          <w:sz w:val="24"/>
          <w:szCs w:val="24"/>
          <w:rtl/>
        </w:rPr>
        <w:t>ـ. بتصـرف واقتصار من الدرر الكامنة 4/64، ط. دار الكتب الحديثة</w:t>
      </w:r>
      <w:r w:rsidR="00DB731D" w:rsidRPr="00A52585">
        <w:rPr>
          <w:rFonts w:hint="cs"/>
          <w:sz w:val="24"/>
          <w:szCs w:val="24"/>
          <w:rtl/>
        </w:rPr>
        <w:t>،</w:t>
      </w:r>
      <w:r w:rsidR="00777DCB" w:rsidRPr="00A52585">
        <w:rPr>
          <w:rFonts w:hint="cs"/>
          <w:sz w:val="24"/>
          <w:szCs w:val="24"/>
          <w:rtl/>
        </w:rPr>
        <w:t xml:space="preserve"> ويلاحظ أن علاقته ببعض كبار العلماء الذين قاموا في وجه ابن تيمية كبدر الدين بن جماعة وصدر الدين بن المرحل وابن عدلان لم تكن جيدة لما كان يراه من أنهم أيدّوا خصومه ضده</w:t>
      </w:r>
      <w:r w:rsidR="00DB731D" w:rsidRPr="00A52585">
        <w:rPr>
          <w:rFonts w:hint="cs"/>
          <w:sz w:val="24"/>
          <w:szCs w:val="24"/>
          <w:rtl/>
        </w:rPr>
        <w:t>،</w:t>
      </w:r>
      <w:r w:rsidR="00777DCB" w:rsidRPr="00A52585">
        <w:rPr>
          <w:rFonts w:hint="cs"/>
          <w:sz w:val="24"/>
          <w:szCs w:val="24"/>
          <w:rtl/>
        </w:rPr>
        <w:t xml:space="preserve"> كما يلاحظ أن الملك الناصر نفسه كان محبَّا للعلم وأهله يميز بين أهل العلم- الذين هم أهله- والدجاجلة</w:t>
      </w:r>
      <w:r w:rsidR="00DB731D" w:rsidRPr="00A52585">
        <w:rPr>
          <w:rFonts w:hint="cs"/>
          <w:sz w:val="24"/>
          <w:szCs w:val="24"/>
          <w:rtl/>
        </w:rPr>
        <w:t>،</w:t>
      </w:r>
      <w:r w:rsidR="00777DCB" w:rsidRPr="00A52585">
        <w:rPr>
          <w:rFonts w:hint="cs"/>
          <w:sz w:val="24"/>
          <w:szCs w:val="24"/>
          <w:rtl/>
        </w:rPr>
        <w:t xml:space="preserve"> فليس هناك أي احتمال أصلاً لأن يتآمر العلماء مع مثل هذا السلطان ضد ابن تيمية! بل على العكس من ذلك يحكي الإمام ابن حجر في </w:t>
      </w:r>
      <w:r w:rsidRPr="00A52585">
        <w:rPr>
          <w:rFonts w:hint="cs"/>
          <w:sz w:val="24"/>
          <w:szCs w:val="24"/>
          <w:rtl/>
        </w:rPr>
        <w:t>(</w:t>
      </w:r>
      <w:r w:rsidR="00777DCB" w:rsidRPr="00A52585">
        <w:rPr>
          <w:rFonts w:hint="cs"/>
          <w:sz w:val="24"/>
          <w:szCs w:val="24"/>
          <w:rtl/>
        </w:rPr>
        <w:t>الدرر الكامنة</w:t>
      </w:r>
      <w:r w:rsidRPr="00A52585">
        <w:rPr>
          <w:rFonts w:hint="cs"/>
          <w:sz w:val="24"/>
          <w:szCs w:val="24"/>
          <w:rtl/>
        </w:rPr>
        <w:t>)</w:t>
      </w:r>
      <w:r w:rsidR="00777DCB" w:rsidRPr="00A52585">
        <w:rPr>
          <w:rFonts w:hint="cs"/>
          <w:sz w:val="24"/>
          <w:szCs w:val="24"/>
          <w:rtl/>
        </w:rPr>
        <w:t xml:space="preserve"> في ترجمة الإمام علاء الدين علي بن إسماعيل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سفره إلى دمشق سنة</w:t>
      </w:r>
      <w:r w:rsidRPr="00A52585">
        <w:rPr>
          <w:rFonts w:hint="cs"/>
          <w:sz w:val="24"/>
          <w:szCs w:val="24"/>
          <w:rtl/>
        </w:rPr>
        <w:t xml:space="preserve"> </w:t>
      </w:r>
      <w:r w:rsidR="00777DCB" w:rsidRPr="00A52585">
        <w:rPr>
          <w:rFonts w:hint="cs"/>
          <w:sz w:val="24"/>
          <w:szCs w:val="24"/>
          <w:rtl/>
        </w:rPr>
        <w:t>727 هـ لتولى قضاء القضاة بها بأمر الملك الناصر فيقول</w:t>
      </w:r>
      <w:r w:rsidRPr="00A52585">
        <w:rPr>
          <w:rFonts w:hint="cs"/>
          <w:sz w:val="24"/>
          <w:szCs w:val="24"/>
          <w:rtl/>
        </w:rPr>
        <w:t xml:space="preserve">: </w:t>
      </w:r>
      <w:r w:rsidR="00777DCB" w:rsidRPr="00A52585">
        <w:rPr>
          <w:rFonts w:hint="cs"/>
          <w:sz w:val="24"/>
          <w:szCs w:val="24"/>
          <w:rtl/>
        </w:rPr>
        <w:t xml:space="preserve">" وكان يعظم </w:t>
      </w:r>
      <w:r w:rsidR="00777DCB" w:rsidRPr="00A52585">
        <w:rPr>
          <w:sz w:val="24"/>
          <w:szCs w:val="24"/>
        </w:rPr>
        <w:t>–</w:t>
      </w:r>
      <w:r w:rsidR="00777DCB" w:rsidRPr="00A52585">
        <w:rPr>
          <w:rFonts w:hint="cs"/>
          <w:sz w:val="24"/>
          <w:szCs w:val="24"/>
          <w:rtl/>
        </w:rPr>
        <w:t xml:space="preserve"> يقصد الإمام </w:t>
      </w:r>
      <w:proofErr w:type="spellStart"/>
      <w:r w:rsidR="00777DCB" w:rsidRPr="00A52585">
        <w:rPr>
          <w:rFonts w:hint="cs"/>
          <w:sz w:val="24"/>
          <w:szCs w:val="24"/>
          <w:rtl/>
        </w:rPr>
        <w:t>القونوي</w:t>
      </w:r>
      <w:proofErr w:type="spellEnd"/>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الشيخ تقي الدين ابن تيمية ويذب </w:t>
      </w:r>
      <w:r w:rsidR="00777DCB" w:rsidRPr="00A52585">
        <w:rPr>
          <w:rFonts w:hint="cs"/>
          <w:sz w:val="24"/>
          <w:szCs w:val="24"/>
          <w:rtl/>
        </w:rPr>
        <w:lastRenderedPageBreak/>
        <w:t>عنه مع مخالفته له في أشياء وتخطئته له</w:t>
      </w:r>
      <w:r w:rsidR="00897A24" w:rsidRPr="00A52585">
        <w:rPr>
          <w:rFonts w:hint="cs"/>
          <w:sz w:val="24"/>
          <w:szCs w:val="24"/>
          <w:rtl/>
        </w:rPr>
        <w:t>.</w:t>
      </w:r>
      <w:r w:rsidR="00777DCB" w:rsidRPr="00A52585">
        <w:rPr>
          <w:rFonts w:hint="cs"/>
          <w:sz w:val="24"/>
          <w:szCs w:val="24"/>
          <w:rtl/>
        </w:rPr>
        <w:t xml:space="preserve"> ويقال إن الناصر قال له</w:t>
      </w:r>
      <w:r w:rsidRPr="00A52585">
        <w:rPr>
          <w:rFonts w:hint="cs"/>
          <w:sz w:val="24"/>
          <w:szCs w:val="24"/>
          <w:rtl/>
        </w:rPr>
        <w:t>:</w:t>
      </w:r>
      <w:r w:rsidR="00777DCB" w:rsidRPr="00A52585">
        <w:rPr>
          <w:rFonts w:hint="cs"/>
          <w:sz w:val="24"/>
          <w:szCs w:val="24"/>
          <w:rtl/>
        </w:rPr>
        <w:t xml:space="preserve"> إذا وصلت إلى دمشق قل للنائب يفرج عن ابن تيمية فقال</w:t>
      </w:r>
      <w:r w:rsidRPr="00A52585">
        <w:rPr>
          <w:rFonts w:hint="cs"/>
          <w:sz w:val="24"/>
          <w:szCs w:val="24"/>
          <w:rtl/>
        </w:rPr>
        <w:t>:</w:t>
      </w:r>
      <w:r w:rsidR="00777DCB" w:rsidRPr="00A52585">
        <w:rPr>
          <w:rFonts w:hint="cs"/>
          <w:sz w:val="24"/>
          <w:szCs w:val="24"/>
          <w:rtl/>
        </w:rPr>
        <w:t xml:space="preserve"> يا </w:t>
      </w:r>
      <w:proofErr w:type="spellStart"/>
      <w:r w:rsidR="00777DCB" w:rsidRPr="00A52585">
        <w:rPr>
          <w:rFonts w:hint="cs"/>
          <w:sz w:val="24"/>
          <w:szCs w:val="24"/>
          <w:rtl/>
        </w:rPr>
        <w:t>خوند</w:t>
      </w:r>
      <w:proofErr w:type="spellEnd"/>
      <w:r w:rsidR="00777DCB" w:rsidRPr="00A52585">
        <w:rPr>
          <w:rFonts w:hint="cs"/>
          <w:sz w:val="24"/>
          <w:szCs w:val="24"/>
          <w:rtl/>
        </w:rPr>
        <w:t xml:space="preserve"> لأي معنى سجن</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لأجل الفتاوى</w:t>
      </w:r>
      <w:r w:rsidR="00897A24"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فإن كان رجع عنها أفرجنا عنه</w:t>
      </w:r>
      <w:r w:rsidR="00897A24" w:rsidRPr="00A52585">
        <w:rPr>
          <w:rFonts w:hint="cs"/>
          <w:sz w:val="24"/>
          <w:szCs w:val="24"/>
          <w:rtl/>
        </w:rPr>
        <w:t>.</w:t>
      </w:r>
      <w:r w:rsidR="00777DCB" w:rsidRPr="00A52585">
        <w:rPr>
          <w:rFonts w:hint="cs"/>
          <w:sz w:val="24"/>
          <w:szCs w:val="24"/>
          <w:rtl/>
        </w:rPr>
        <w:t xml:space="preserve"> فيقال</w:t>
      </w:r>
      <w:r w:rsidRPr="00A52585">
        <w:rPr>
          <w:rFonts w:hint="cs"/>
          <w:sz w:val="24"/>
          <w:szCs w:val="24"/>
          <w:rtl/>
        </w:rPr>
        <w:t>:</w:t>
      </w:r>
      <w:r w:rsidR="00777DCB" w:rsidRPr="00A52585">
        <w:rPr>
          <w:rFonts w:hint="cs"/>
          <w:sz w:val="24"/>
          <w:szCs w:val="24"/>
          <w:rtl/>
        </w:rPr>
        <w:t xml:space="preserve"> كان هذا الجواب سببا في استمرار الشيخ ابن تيمية في السجن إلى أن مات، لأنه كان لا يتصور رجوعه " </w:t>
      </w:r>
      <w:proofErr w:type="spellStart"/>
      <w:r w:rsidR="00777DCB" w:rsidRPr="00A52585">
        <w:rPr>
          <w:rFonts w:hint="cs"/>
          <w:sz w:val="24"/>
          <w:szCs w:val="24"/>
          <w:rtl/>
        </w:rPr>
        <w:t>أ.ه</w:t>
      </w:r>
      <w:proofErr w:type="spellEnd"/>
      <w:r w:rsidR="00777DCB" w:rsidRPr="00A52585">
        <w:rPr>
          <w:rFonts w:hint="cs"/>
          <w:sz w:val="24"/>
          <w:szCs w:val="24"/>
          <w:rtl/>
        </w:rPr>
        <w:t>ـ. الدرر الكامنة (3/95)</w:t>
      </w:r>
      <w:r w:rsidR="00DB731D" w:rsidRPr="00A52585">
        <w:rPr>
          <w:rFonts w:hint="cs"/>
          <w:sz w:val="24"/>
          <w:szCs w:val="24"/>
          <w:rtl/>
        </w:rPr>
        <w:t>،</w:t>
      </w:r>
      <w:r w:rsidRPr="00A52585">
        <w:rPr>
          <w:rFonts w:hint="cs"/>
          <w:sz w:val="24"/>
          <w:szCs w:val="24"/>
          <w:rtl/>
        </w:rPr>
        <w:t>]</w:t>
      </w:r>
      <w:r w:rsidR="00DB731D" w:rsidRPr="00A52585">
        <w:rPr>
          <w:rFonts w:hint="cs"/>
          <w:rtl/>
        </w:rPr>
        <w:t>،</w:t>
      </w:r>
      <w:r w:rsidR="00777DCB" w:rsidRPr="00A52585">
        <w:rPr>
          <w:rFonts w:hint="cs"/>
          <w:rtl/>
        </w:rPr>
        <w:t xml:space="preserve"> </w:t>
      </w:r>
      <w:proofErr w:type="spellStart"/>
      <w:r w:rsidR="00777DCB" w:rsidRPr="00A52585">
        <w:rPr>
          <w:rFonts w:hint="cs"/>
          <w:rtl/>
        </w:rPr>
        <w:t>وقريء</w:t>
      </w:r>
      <w:proofErr w:type="spellEnd"/>
      <w:r w:rsidR="00777DCB" w:rsidRPr="00A52585">
        <w:rPr>
          <w:rFonts w:hint="cs"/>
          <w:rtl/>
        </w:rPr>
        <w:t xml:space="preserve"> على منبر جامع دمشق نهار الجمعة سنة خمس وسبعمائة صورته</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بسم الله الرحمن الرحيم</w:t>
      </w:r>
      <w:r w:rsidRPr="00A52585">
        <w:rPr>
          <w:rFonts w:hint="cs"/>
          <w:rtl/>
        </w:rPr>
        <w:t>:</w:t>
      </w:r>
      <w:r w:rsidR="00777DCB" w:rsidRPr="00A52585">
        <w:rPr>
          <w:rFonts w:hint="cs"/>
          <w:rtl/>
        </w:rPr>
        <w:t xml:space="preserve"> الحمد لله الذي تنزه عن الشبيه والنظير</w:t>
      </w:r>
      <w:r w:rsidR="00DB731D" w:rsidRPr="00A52585">
        <w:rPr>
          <w:rFonts w:hint="cs"/>
          <w:rtl/>
        </w:rPr>
        <w:t>،</w:t>
      </w:r>
      <w:r w:rsidR="00777DCB" w:rsidRPr="00A52585">
        <w:rPr>
          <w:rFonts w:hint="cs"/>
          <w:rtl/>
        </w:rPr>
        <w:t xml:space="preserve"> وتعالى عن المثل</w:t>
      </w:r>
      <w:r w:rsidR="00DB731D" w:rsidRPr="00A52585">
        <w:rPr>
          <w:rFonts w:hint="cs"/>
          <w:rtl/>
        </w:rPr>
        <w:t>،</w:t>
      </w:r>
      <w:r w:rsidR="00777DCB" w:rsidRPr="00A52585">
        <w:rPr>
          <w:rFonts w:hint="cs"/>
          <w:rtl/>
        </w:rPr>
        <w:t xml:space="preserve"> فقال تعالى</w:t>
      </w:r>
      <w:r w:rsidRPr="00A52585">
        <w:rPr>
          <w:rFonts w:hint="cs"/>
          <w:rtl/>
        </w:rPr>
        <w:t>:</w:t>
      </w:r>
      <w:r w:rsidR="00777DCB" w:rsidRPr="00A52585">
        <w:rPr>
          <w:rFonts w:hint="cs"/>
          <w:rtl/>
        </w:rPr>
        <w:t xml:space="preserve"> {ليس كمثله شيء وهو السميع البصير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أحمده على ما ألهمنا من العمل بالسنة والكتاب</w:t>
      </w:r>
      <w:r w:rsidR="00DB731D" w:rsidRPr="00A52585">
        <w:rPr>
          <w:rFonts w:hint="cs"/>
          <w:rtl/>
        </w:rPr>
        <w:t>،</w:t>
      </w:r>
      <w:r w:rsidR="00777DCB" w:rsidRPr="00A52585">
        <w:rPr>
          <w:rFonts w:hint="cs"/>
          <w:rtl/>
        </w:rPr>
        <w:t xml:space="preserve"> ورفع في أيامنا أسباب الشك والارتياب</w:t>
      </w:r>
      <w:r w:rsidR="00DB731D" w:rsidRPr="00A52585">
        <w:rPr>
          <w:rFonts w:hint="cs"/>
          <w:rtl/>
        </w:rPr>
        <w:t>،</w:t>
      </w:r>
      <w:r w:rsidR="00777DCB" w:rsidRPr="00A52585">
        <w:rPr>
          <w:rFonts w:hint="cs"/>
          <w:rtl/>
        </w:rPr>
        <w:t xml:space="preserve"> وأشهد أن لا إله إلا الله وحده لا شريك له شهادة من يرجو بإخلاصه حسن العقبى والمصير. ونزه خالقه عن التحيز في جهة لقوله تعالى</w:t>
      </w:r>
      <w:r w:rsidRPr="00A52585">
        <w:rPr>
          <w:rFonts w:hint="cs"/>
          <w:rtl/>
        </w:rPr>
        <w:t>:</w:t>
      </w:r>
      <w:r w:rsidR="00777DCB" w:rsidRPr="00A52585">
        <w:rPr>
          <w:rFonts w:hint="cs"/>
          <w:rtl/>
        </w:rPr>
        <w:t xml:space="preserve"> {وهو معكم أينما كنتم والله بما تعلمون بصير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وأشهد أن سيدنا محمداً عبده ورسوله الذي نهج سبيل النجاة لمن سلك طريق مرضاته</w:t>
      </w:r>
      <w:r w:rsidR="00DB731D" w:rsidRPr="00A52585">
        <w:rPr>
          <w:rFonts w:hint="cs"/>
          <w:rtl/>
        </w:rPr>
        <w:t>،</w:t>
      </w:r>
      <w:r w:rsidR="00777DCB" w:rsidRPr="00A52585">
        <w:rPr>
          <w:rFonts w:hint="cs"/>
          <w:rtl/>
        </w:rPr>
        <w:t xml:space="preserve"> وأمر بالتفكر في الآية ونهى عن التفكر في ذاته صلى الله عليه وعلى </w:t>
      </w:r>
      <w:proofErr w:type="spellStart"/>
      <w:r w:rsidR="00777DCB" w:rsidRPr="00A52585">
        <w:rPr>
          <w:rFonts w:hint="cs"/>
          <w:rtl/>
        </w:rPr>
        <w:t>آله</w:t>
      </w:r>
      <w:proofErr w:type="spellEnd"/>
      <w:r w:rsidR="00777DCB" w:rsidRPr="00A52585">
        <w:rPr>
          <w:rFonts w:hint="cs"/>
          <w:rtl/>
        </w:rPr>
        <w:t xml:space="preserve"> وأصحابه الذي علا بهم منار الإيمان وارتفع. وشيد الله بهم من قواعد الدين </w:t>
      </w:r>
      <w:proofErr w:type="spellStart"/>
      <w:r w:rsidR="00777DCB" w:rsidRPr="00A52585">
        <w:rPr>
          <w:rFonts w:hint="cs"/>
          <w:rtl/>
        </w:rPr>
        <w:t>الحنيفي</w:t>
      </w:r>
      <w:proofErr w:type="spellEnd"/>
      <w:r w:rsidR="00777DCB" w:rsidRPr="00A52585">
        <w:rPr>
          <w:rFonts w:hint="cs"/>
          <w:rtl/>
        </w:rPr>
        <w:t xml:space="preserve"> ما شرع وأخمد بهم كلمة من حاد عن الحق ومال إلى البدع</w:t>
      </w:r>
      <w:r w:rsidR="00DB731D" w:rsidRPr="00A52585">
        <w:rPr>
          <w:rFonts w:hint="cs"/>
          <w:rtl/>
        </w:rPr>
        <w:t>،</w:t>
      </w:r>
      <w:r w:rsidR="00777DCB" w:rsidRPr="00A52585">
        <w:rPr>
          <w:rFonts w:hint="cs"/>
          <w:rtl/>
        </w:rPr>
        <w:t xml:space="preserve"> وبعد</w:t>
      </w:r>
      <w:r w:rsidRPr="00A52585">
        <w:rPr>
          <w:rFonts w:hint="cs"/>
          <w:rtl/>
        </w:rPr>
        <w:t>:</w:t>
      </w:r>
      <w:r w:rsidR="00777DCB" w:rsidRPr="00A52585">
        <w:rPr>
          <w:rFonts w:hint="cs"/>
          <w:rtl/>
        </w:rPr>
        <w:t xml:space="preserve"> فإن القواعد الشرعية</w:t>
      </w:r>
      <w:r w:rsidR="00DB731D" w:rsidRPr="00A52585">
        <w:rPr>
          <w:rFonts w:hint="cs"/>
          <w:rtl/>
        </w:rPr>
        <w:t>،</w:t>
      </w:r>
      <w:r w:rsidR="00777DCB" w:rsidRPr="00A52585">
        <w:rPr>
          <w:rFonts w:hint="cs"/>
          <w:rtl/>
        </w:rPr>
        <w:t xml:space="preserve"> وقواعد الإسلام المرعية وأركان الإيمان العلية. ومذاهب الدين المرضية</w:t>
      </w:r>
      <w:r w:rsidR="00DB731D" w:rsidRPr="00A52585">
        <w:rPr>
          <w:rFonts w:hint="cs"/>
          <w:rtl/>
        </w:rPr>
        <w:t>،</w:t>
      </w:r>
      <w:r w:rsidR="00777DCB" w:rsidRPr="00A52585">
        <w:rPr>
          <w:rFonts w:hint="cs"/>
          <w:rtl/>
        </w:rPr>
        <w:t xml:space="preserve"> هي الأساس الذي يبنى عليه. والمؤمل الذي يرجع كل أحد إليه</w:t>
      </w:r>
      <w:r w:rsidR="00DB731D" w:rsidRPr="00A52585">
        <w:rPr>
          <w:rFonts w:hint="cs"/>
          <w:rtl/>
        </w:rPr>
        <w:t>،</w:t>
      </w:r>
      <w:r w:rsidR="00777DCB" w:rsidRPr="00A52585">
        <w:rPr>
          <w:rFonts w:hint="cs"/>
          <w:rtl/>
        </w:rPr>
        <w:t xml:space="preserve"> والطريق التي من سلكها فقد فاز فوزاً عظيماً</w:t>
      </w:r>
      <w:r w:rsidR="00DB731D" w:rsidRPr="00A52585">
        <w:rPr>
          <w:rFonts w:hint="cs"/>
          <w:rtl/>
        </w:rPr>
        <w:t>،</w:t>
      </w:r>
      <w:r w:rsidR="00777DCB" w:rsidRPr="00A52585">
        <w:rPr>
          <w:rFonts w:hint="cs"/>
          <w:rtl/>
        </w:rPr>
        <w:t xml:space="preserve"> ومن زاغ عنها فقد استوجب عذابا أليما</w:t>
      </w:r>
      <w:r w:rsidR="00DB731D" w:rsidRPr="00A52585">
        <w:rPr>
          <w:rFonts w:hint="cs"/>
          <w:rtl/>
        </w:rPr>
        <w:t>،</w:t>
      </w:r>
      <w:r w:rsidR="00777DCB" w:rsidRPr="00A52585">
        <w:rPr>
          <w:rFonts w:hint="cs"/>
          <w:rtl/>
        </w:rPr>
        <w:t xml:space="preserve"> ولهذا يجب أن تنفذ أحكامها</w:t>
      </w:r>
      <w:r w:rsidR="00DB731D" w:rsidRPr="00A52585">
        <w:rPr>
          <w:rFonts w:hint="cs"/>
          <w:rtl/>
        </w:rPr>
        <w:t>،</w:t>
      </w:r>
      <w:r w:rsidR="00777DCB" w:rsidRPr="00A52585">
        <w:rPr>
          <w:rFonts w:hint="cs"/>
          <w:rtl/>
        </w:rPr>
        <w:t xml:space="preserve"> ويؤكد دوامها</w:t>
      </w:r>
      <w:r w:rsidR="00DB731D" w:rsidRPr="00A52585">
        <w:rPr>
          <w:rFonts w:hint="cs"/>
          <w:rtl/>
        </w:rPr>
        <w:t>،</w:t>
      </w:r>
      <w:r w:rsidR="00777DCB" w:rsidRPr="00A52585">
        <w:rPr>
          <w:rFonts w:hint="cs"/>
          <w:rtl/>
        </w:rPr>
        <w:t xml:space="preserve"> وتصان عقائد هذه الأمة عن الاختلاف</w:t>
      </w:r>
      <w:r w:rsidR="00DB731D" w:rsidRPr="00A52585">
        <w:rPr>
          <w:rFonts w:hint="cs"/>
          <w:rtl/>
        </w:rPr>
        <w:t>،</w:t>
      </w:r>
      <w:r w:rsidR="00777DCB" w:rsidRPr="00A52585">
        <w:rPr>
          <w:rFonts w:hint="cs"/>
          <w:rtl/>
        </w:rPr>
        <w:t xml:space="preserve"> وتزان بالرحمة والعطف والائتلاف</w:t>
      </w:r>
      <w:r w:rsidR="00DB731D" w:rsidRPr="00A52585">
        <w:rPr>
          <w:rFonts w:hint="cs"/>
          <w:rtl/>
        </w:rPr>
        <w:t>،</w:t>
      </w:r>
      <w:r w:rsidR="00777DCB" w:rsidRPr="00A52585">
        <w:rPr>
          <w:rFonts w:hint="cs"/>
          <w:rtl/>
        </w:rPr>
        <w:t xml:space="preserve"> وتخمد </w:t>
      </w:r>
      <w:proofErr w:type="spellStart"/>
      <w:r w:rsidR="00777DCB" w:rsidRPr="00A52585">
        <w:rPr>
          <w:rFonts w:hint="cs"/>
          <w:rtl/>
        </w:rPr>
        <w:t>توانية</w:t>
      </w:r>
      <w:proofErr w:type="spellEnd"/>
      <w:r w:rsidR="00777DCB" w:rsidRPr="00A52585">
        <w:rPr>
          <w:rFonts w:hint="cs"/>
          <w:rtl/>
        </w:rPr>
        <w:t xml:space="preserve"> البدع</w:t>
      </w:r>
      <w:r w:rsidR="00DB731D" w:rsidRPr="00A52585">
        <w:rPr>
          <w:rFonts w:hint="cs"/>
          <w:rtl/>
        </w:rPr>
        <w:t>،</w:t>
      </w:r>
      <w:r w:rsidR="00777DCB" w:rsidRPr="00A52585">
        <w:rPr>
          <w:rFonts w:hint="cs"/>
          <w:rtl/>
        </w:rPr>
        <w:t xml:space="preserve"> ويفرق مِنْ فِرَقَهِا ما اجتمع</w:t>
      </w:r>
      <w:r w:rsidR="00DB731D" w:rsidRPr="00A52585">
        <w:rPr>
          <w:rFonts w:hint="cs"/>
          <w:rtl/>
        </w:rPr>
        <w:t>،</w:t>
      </w:r>
      <w:r w:rsidR="00777DCB" w:rsidRPr="00A52585">
        <w:rPr>
          <w:rFonts w:hint="cs"/>
          <w:rtl/>
        </w:rPr>
        <w:t xml:space="preserve"> وكان ابن تيمية في هذه المدة قد بسط لسان قلمه</w:t>
      </w:r>
      <w:r w:rsidRPr="00A52585">
        <w:rPr>
          <w:rFonts w:hint="cs"/>
          <w:rtl/>
        </w:rPr>
        <w:t>:</w:t>
      </w:r>
      <w:r w:rsidR="00777DCB" w:rsidRPr="00A52585">
        <w:rPr>
          <w:rFonts w:hint="cs"/>
          <w:rtl/>
        </w:rPr>
        <w:t xml:space="preserve"> ومد بجهله عنان كلمه. وتحدث بمسائل الذات والصفات. ونص في كلامه الفاسد على أمور منكرات. وتكلم فيما سكت عنه الصحابة رضي الله عنهم والتابعون. وفاه بما اجتنبه الأئمة الأعلام </w:t>
      </w:r>
      <w:r w:rsidR="00777DCB" w:rsidRPr="00A52585">
        <w:rPr>
          <w:rFonts w:hint="cs"/>
          <w:spacing w:val="-20"/>
          <w:rtl/>
        </w:rPr>
        <w:t>الصالحون</w:t>
      </w:r>
      <w:r w:rsidR="00DB731D" w:rsidRPr="00A52585">
        <w:rPr>
          <w:rFonts w:hint="cs"/>
          <w:rtl/>
        </w:rPr>
        <w:t>،</w:t>
      </w:r>
      <w:r w:rsidR="00777DCB" w:rsidRPr="00A52585">
        <w:rPr>
          <w:rFonts w:hint="cs"/>
          <w:rtl/>
        </w:rPr>
        <w:t xml:space="preserve"> وأتى في ذلك بما أنكره أئمة الإسلام وانعقد على خلافه إجماع العلماء والحكام. وشهر من فتاويه ما استخف به عقول العوام وخالف في ذلك فقهاء عصره وعلم علماء </w:t>
      </w:r>
      <w:proofErr w:type="gramStart"/>
      <w:r w:rsidR="00777DCB" w:rsidRPr="00A52585">
        <w:rPr>
          <w:rFonts w:hint="cs"/>
          <w:rtl/>
        </w:rPr>
        <w:t>شامه</w:t>
      </w:r>
      <w:proofErr w:type="gramEnd"/>
      <w:r w:rsidR="00777DCB" w:rsidRPr="00A52585">
        <w:rPr>
          <w:rFonts w:hint="cs"/>
          <w:rtl/>
        </w:rPr>
        <w:t xml:space="preserve"> ومصره. وبث به رسائله إلى كل مكان وسمى فتاويه بأسماء ما أنزل الله بها من سلطان</w:t>
      </w:r>
      <w:r w:rsidR="00DB731D" w:rsidRPr="00A52585">
        <w:rPr>
          <w:rFonts w:hint="cs"/>
          <w:rtl/>
        </w:rPr>
        <w:t>،</w:t>
      </w:r>
      <w:r w:rsidR="00777DCB" w:rsidRPr="00A52585">
        <w:rPr>
          <w:rFonts w:hint="cs"/>
          <w:rtl/>
        </w:rPr>
        <w:t xml:space="preserve"> ولما اتصل بنا ذلك وما سلك به هو ومريدوه</w:t>
      </w:r>
      <w:r w:rsidR="00DB731D" w:rsidRPr="00A52585">
        <w:rPr>
          <w:rFonts w:hint="cs"/>
          <w:rtl/>
        </w:rPr>
        <w:t>،</w:t>
      </w:r>
      <w:r w:rsidR="00777DCB" w:rsidRPr="00A52585">
        <w:rPr>
          <w:rFonts w:hint="cs"/>
          <w:rtl/>
        </w:rPr>
        <w:t xml:space="preserve"> من هذه المسالك الخبيثة</w:t>
      </w:r>
      <w:r w:rsidR="00DB731D" w:rsidRPr="00A52585">
        <w:rPr>
          <w:rFonts w:hint="cs"/>
          <w:rtl/>
        </w:rPr>
        <w:t>،</w:t>
      </w:r>
      <w:r w:rsidR="00777DCB" w:rsidRPr="00A52585">
        <w:rPr>
          <w:rFonts w:hint="cs"/>
          <w:rtl/>
        </w:rPr>
        <w:t xml:space="preserve"> وأظهروه من هذه الأحوال وأشاعوه</w:t>
      </w:r>
      <w:r w:rsidR="00DB731D" w:rsidRPr="00A52585">
        <w:rPr>
          <w:rFonts w:hint="cs"/>
          <w:rtl/>
        </w:rPr>
        <w:t>،</w:t>
      </w:r>
      <w:r w:rsidR="00777DCB" w:rsidRPr="00A52585">
        <w:rPr>
          <w:rFonts w:hint="cs"/>
          <w:rtl/>
        </w:rPr>
        <w:t xml:space="preserve"> وعلمنا أنه استخف قومه فأطاعوه</w:t>
      </w:r>
      <w:r w:rsidR="00DB731D" w:rsidRPr="00A52585">
        <w:rPr>
          <w:rFonts w:hint="cs"/>
          <w:rtl/>
        </w:rPr>
        <w:t>،</w:t>
      </w:r>
      <w:r w:rsidR="00777DCB" w:rsidRPr="00A52585">
        <w:rPr>
          <w:rFonts w:hint="cs"/>
          <w:rtl/>
        </w:rPr>
        <w:t xml:space="preserve"> حتى اتصل بنا أنهم صرحوا في حق الله سبحانه بالحرف والصوت والتشبيه والتجسيم فقمنا في نصرة الله عز وجل مشفقين من هذه النبأ العظيم</w:t>
      </w:r>
      <w:r w:rsidR="00DB731D" w:rsidRPr="00A52585">
        <w:rPr>
          <w:rFonts w:hint="cs"/>
          <w:rtl/>
        </w:rPr>
        <w:t>،</w:t>
      </w:r>
      <w:r w:rsidR="00777DCB" w:rsidRPr="00A52585">
        <w:rPr>
          <w:rFonts w:hint="cs"/>
          <w:rtl/>
        </w:rPr>
        <w:t xml:space="preserve"> وأنكرنا هذه البدعة</w:t>
      </w:r>
      <w:r w:rsidRPr="00A52585">
        <w:rPr>
          <w:rFonts w:hint="cs"/>
          <w:rtl/>
        </w:rPr>
        <w:t>:</w:t>
      </w:r>
      <w:r w:rsidR="00777DCB" w:rsidRPr="00A52585">
        <w:rPr>
          <w:rFonts w:hint="cs"/>
          <w:rtl/>
        </w:rPr>
        <w:t xml:space="preserve"> وعزنا أن تشيع عمن تضمنه ممالكنا هذه السمعة</w:t>
      </w:r>
      <w:r w:rsidRPr="00A52585">
        <w:rPr>
          <w:rFonts w:hint="cs"/>
          <w:rtl/>
        </w:rPr>
        <w:t>:</w:t>
      </w:r>
      <w:r w:rsidR="00777DCB" w:rsidRPr="00A52585">
        <w:rPr>
          <w:rFonts w:hint="cs"/>
          <w:rtl/>
        </w:rPr>
        <w:t xml:space="preserve"> وكرهنا ما فاه به المبطلون وتلونا قوله تعالى</w:t>
      </w:r>
      <w:r w:rsidRPr="00A52585">
        <w:rPr>
          <w:rFonts w:hint="cs"/>
          <w:rtl/>
        </w:rPr>
        <w:t>:</w:t>
      </w:r>
      <w:r w:rsidR="00777DCB" w:rsidRPr="00A52585">
        <w:rPr>
          <w:rFonts w:hint="cs"/>
          <w:rtl/>
        </w:rPr>
        <w:t xml:space="preserve"> {سُبْحَانَ رَبِّكَ رَبِّ الْعِزَّةِ عَمَّا يَصِفُون</w:t>
      </w:r>
      <w:r w:rsidRPr="00A52585">
        <w:rPr>
          <w:rFonts w:hint="cs"/>
          <w:rtl/>
        </w:rPr>
        <w:t>} [</w:t>
      </w:r>
      <w:r w:rsidR="00777DCB" w:rsidRPr="00A52585">
        <w:rPr>
          <w:rFonts w:hint="cs"/>
          <w:rtl/>
        </w:rPr>
        <w:t>الصافات</w:t>
      </w:r>
      <w:r w:rsidRPr="00A52585">
        <w:rPr>
          <w:rFonts w:hint="cs"/>
          <w:rtl/>
        </w:rPr>
        <w:t>:</w:t>
      </w:r>
      <w:r w:rsidR="00777DCB" w:rsidRPr="00A52585">
        <w:rPr>
          <w:rFonts w:hint="cs"/>
          <w:rtl/>
        </w:rPr>
        <w:t xml:space="preserve"> 180</w:t>
      </w:r>
      <w:r w:rsidRPr="00A52585">
        <w:rPr>
          <w:rFonts w:hint="cs"/>
          <w:rtl/>
        </w:rPr>
        <w:t>]</w:t>
      </w:r>
      <w:r w:rsidR="00DB731D" w:rsidRPr="00A52585">
        <w:rPr>
          <w:rFonts w:hint="cs"/>
          <w:rtl/>
        </w:rPr>
        <w:t>،</w:t>
      </w:r>
      <w:r w:rsidR="00777DCB" w:rsidRPr="00A52585">
        <w:rPr>
          <w:rFonts w:hint="cs"/>
          <w:rtl/>
        </w:rPr>
        <w:t xml:space="preserve"> فإنه سبحانه وتعالى مُنَزَّه في ذاته وصفاته عن العديل والنظير</w:t>
      </w:r>
      <w:r w:rsidRPr="00A52585">
        <w:rPr>
          <w:rFonts w:hint="cs"/>
          <w:rtl/>
        </w:rPr>
        <w:t>:</w:t>
      </w:r>
      <w:r w:rsidR="00777DCB" w:rsidRPr="00A52585">
        <w:rPr>
          <w:rFonts w:hint="cs"/>
          <w:rtl/>
        </w:rPr>
        <w:t xml:space="preserve"> {لا تدركه الأبصار </w:t>
      </w:r>
      <w:r w:rsidR="00777DCB" w:rsidRPr="00A52585">
        <w:rPr>
          <w:rFonts w:hint="cs"/>
          <w:rtl/>
        </w:rPr>
        <w:lastRenderedPageBreak/>
        <w:t xml:space="preserve">وهو يدرك الأبصار وهو اللطيف الخبير} </w:t>
      </w:r>
      <w:r w:rsidRPr="00A52585">
        <w:rPr>
          <w:rFonts w:hint="cs"/>
          <w:rtl/>
        </w:rPr>
        <w:t>[</w:t>
      </w:r>
      <w:r w:rsidR="00777DCB" w:rsidRPr="00A52585">
        <w:rPr>
          <w:rFonts w:hint="cs"/>
          <w:rtl/>
        </w:rPr>
        <w:t>الأنعام</w:t>
      </w:r>
      <w:r w:rsidRPr="00A52585">
        <w:rPr>
          <w:rFonts w:hint="cs"/>
          <w:rtl/>
        </w:rPr>
        <w:t>:</w:t>
      </w:r>
      <w:r w:rsidR="00777DCB" w:rsidRPr="00A52585">
        <w:rPr>
          <w:rFonts w:hint="cs"/>
          <w:rtl/>
        </w:rPr>
        <w:t xml:space="preserve"> 103</w:t>
      </w:r>
      <w:r w:rsidRPr="00A52585">
        <w:rPr>
          <w:rFonts w:hint="cs"/>
          <w:rtl/>
        </w:rPr>
        <w:t>]</w:t>
      </w:r>
      <w:r w:rsidR="00DB731D" w:rsidRPr="00A52585">
        <w:rPr>
          <w:rFonts w:hint="cs"/>
          <w:rtl/>
        </w:rPr>
        <w:t>،</w:t>
      </w:r>
      <w:r w:rsidR="00777DCB" w:rsidRPr="00A52585">
        <w:rPr>
          <w:rFonts w:hint="cs"/>
          <w:rtl/>
        </w:rPr>
        <w:t xml:space="preserve"> فتقدمت مراسيمنا باستدعاء ابن تيمية المذكور إلى أبوابنا حينما سارت فتاويه الباطلة في شامنا ومصرنا (91/ب) وصرح فيها بألفاظ ما سمعها ذو فهم إلا وتلا قوله تعالى</w:t>
      </w:r>
      <w:r w:rsidRPr="00A52585">
        <w:rPr>
          <w:rFonts w:hint="cs"/>
          <w:rtl/>
        </w:rPr>
        <w:t>:</w:t>
      </w:r>
      <w:r w:rsidR="00777DCB" w:rsidRPr="00A52585">
        <w:rPr>
          <w:rFonts w:hint="cs"/>
          <w:rtl/>
        </w:rPr>
        <w:t xml:space="preserve"> {لقد جئت شيئاً نكراً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الكهف</w:t>
      </w:r>
      <w:r w:rsidRPr="00A52585">
        <w:rPr>
          <w:rFonts w:hint="cs"/>
          <w:rtl/>
        </w:rPr>
        <w:t>:</w:t>
      </w:r>
      <w:r w:rsidR="00777DCB" w:rsidRPr="00A52585">
        <w:rPr>
          <w:rFonts w:hint="cs"/>
          <w:rtl/>
        </w:rPr>
        <w:t xml:space="preserve"> 74</w:t>
      </w:r>
      <w:r w:rsidRPr="00A52585">
        <w:rPr>
          <w:rFonts w:hint="cs"/>
          <w:rtl/>
        </w:rPr>
        <w:t>]</w:t>
      </w:r>
      <w:r w:rsidR="00DB731D" w:rsidRPr="00A52585">
        <w:rPr>
          <w:rFonts w:hint="cs"/>
          <w:rtl/>
        </w:rPr>
        <w:t>،</w:t>
      </w:r>
      <w:r w:rsidR="00777DCB" w:rsidRPr="00A52585">
        <w:rPr>
          <w:rFonts w:hint="cs"/>
          <w:rtl/>
        </w:rPr>
        <w:t xml:space="preserve"> ولما وصل إلينا جمع أولوا العقد والحل وذوو التحقيق والنقل وحضر قضاة الإسلام وحكام الأنام وعلماء المسلمين وأئمة الدنيا والدين وعقد له مجلس شرعي في ملأ من الأئمة وجمع ومن له دراية في مجال النظر ودفع فثبت عندهم جميع ما نسب إليه بقول من يعتمد ويعول عليه. وبمقتضى خط قلمه الدال على منكر معتقده</w:t>
      </w:r>
      <w:r w:rsidR="00DB731D" w:rsidRPr="00A52585">
        <w:rPr>
          <w:rFonts w:hint="cs"/>
          <w:rtl/>
        </w:rPr>
        <w:t>،</w:t>
      </w:r>
      <w:r w:rsidR="00777DCB" w:rsidRPr="00A52585">
        <w:rPr>
          <w:rFonts w:hint="cs"/>
          <w:rtl/>
        </w:rPr>
        <w:t xml:space="preserve"> وانفصل ذلك الجمع وهم لعقيدته الخبيثة منكرون</w:t>
      </w:r>
      <w:r w:rsidR="00DB731D" w:rsidRPr="00A52585">
        <w:rPr>
          <w:rFonts w:hint="cs"/>
          <w:rtl/>
        </w:rPr>
        <w:t>،</w:t>
      </w:r>
      <w:r w:rsidR="00777DCB" w:rsidRPr="00A52585">
        <w:rPr>
          <w:rFonts w:hint="cs"/>
          <w:rtl/>
        </w:rPr>
        <w:t xml:space="preserve"> </w:t>
      </w:r>
      <w:proofErr w:type="spellStart"/>
      <w:r w:rsidR="00777DCB" w:rsidRPr="00A52585">
        <w:rPr>
          <w:rFonts w:hint="cs"/>
          <w:rtl/>
        </w:rPr>
        <w:t>وواخذوه</w:t>
      </w:r>
      <w:proofErr w:type="spellEnd"/>
      <w:r w:rsidR="00777DCB" w:rsidRPr="00A52585">
        <w:rPr>
          <w:rFonts w:hint="cs"/>
          <w:rtl/>
        </w:rPr>
        <w:t xml:space="preserve"> بما شهد به قلمه</w:t>
      </w:r>
      <w:r w:rsidR="00DB731D" w:rsidRPr="00A52585">
        <w:rPr>
          <w:rFonts w:hint="cs"/>
          <w:rtl/>
        </w:rPr>
        <w:t>،</w:t>
      </w:r>
      <w:r w:rsidR="00777DCB" w:rsidRPr="00A52585">
        <w:rPr>
          <w:rFonts w:hint="cs"/>
          <w:rtl/>
        </w:rPr>
        <w:t xml:space="preserve"> تالين {ستكتب شهادتهم ويسألون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الزخرف</w:t>
      </w:r>
      <w:r w:rsidRPr="00A52585">
        <w:rPr>
          <w:rFonts w:hint="cs"/>
          <w:rtl/>
        </w:rPr>
        <w:t>:</w:t>
      </w:r>
      <w:r w:rsidR="00777DCB" w:rsidRPr="00A52585">
        <w:rPr>
          <w:rFonts w:hint="cs"/>
          <w:rtl/>
        </w:rPr>
        <w:t xml:space="preserve"> 19</w:t>
      </w:r>
      <w:r w:rsidRPr="00A52585">
        <w:rPr>
          <w:rFonts w:hint="cs"/>
          <w:rtl/>
        </w:rPr>
        <w:t>]</w:t>
      </w:r>
      <w:r w:rsidR="00DB731D" w:rsidRPr="00A52585">
        <w:rPr>
          <w:rFonts w:hint="cs"/>
          <w:rtl/>
        </w:rPr>
        <w:t>،</w:t>
      </w:r>
      <w:r w:rsidR="00777DCB" w:rsidRPr="00A52585">
        <w:rPr>
          <w:rFonts w:hint="cs"/>
          <w:rtl/>
        </w:rPr>
        <w:t xml:space="preserve"> وبلغنا أنه كان قد استتيب مراراً فيما تقدم وأخره الشرع الشريف لما تعرض لذلك وأقدم ثم عاد بعد منعه</w:t>
      </w:r>
      <w:r w:rsidR="00DB731D" w:rsidRPr="00A52585">
        <w:rPr>
          <w:rFonts w:hint="cs"/>
          <w:rtl/>
        </w:rPr>
        <w:t>،</w:t>
      </w:r>
      <w:r w:rsidR="00777DCB" w:rsidRPr="00A52585">
        <w:rPr>
          <w:rFonts w:hint="cs"/>
          <w:rtl/>
        </w:rPr>
        <w:t xml:space="preserve"> ولم يدخل ذلك في سمعه</w:t>
      </w:r>
      <w:r w:rsidR="00DB731D" w:rsidRPr="00A52585">
        <w:rPr>
          <w:rFonts w:hint="cs"/>
          <w:rtl/>
        </w:rPr>
        <w:t>،</w:t>
      </w:r>
      <w:r w:rsidR="00777DCB" w:rsidRPr="00A52585">
        <w:rPr>
          <w:rFonts w:hint="cs"/>
          <w:rtl/>
        </w:rPr>
        <w:t xml:space="preserve"> ولما ثبت ذلك عليه في مجلس الحكم المالكي حكم الشرع الشريف أن يسجن هذا المذكور</w:t>
      </w:r>
      <w:r w:rsidR="00DB731D" w:rsidRPr="00A52585">
        <w:rPr>
          <w:rFonts w:hint="cs"/>
          <w:rtl/>
        </w:rPr>
        <w:t>،</w:t>
      </w:r>
      <w:r w:rsidR="00777DCB" w:rsidRPr="00A52585">
        <w:rPr>
          <w:rFonts w:hint="cs"/>
          <w:rtl/>
        </w:rPr>
        <w:t xml:space="preserve"> ويمنع من التصرف والظهور</w:t>
      </w:r>
      <w:r w:rsidR="00DB731D" w:rsidRPr="00A52585">
        <w:rPr>
          <w:rFonts w:hint="cs"/>
          <w:rtl/>
        </w:rPr>
        <w:t>،</w:t>
      </w:r>
      <w:r w:rsidR="00777DCB" w:rsidRPr="00A52585">
        <w:rPr>
          <w:rFonts w:hint="cs"/>
          <w:rtl/>
        </w:rPr>
        <w:t xml:space="preserve"> ومرسومنا هذا بأن لا يسلك أحد ما سلكه المذكور من هذه المسالك وينهى عن التشبيه في اعتقاد مثل ذلك. أو يعدو له في هذا القول متبعاً</w:t>
      </w:r>
      <w:r w:rsidR="00DB731D" w:rsidRPr="00A52585">
        <w:rPr>
          <w:rFonts w:hint="cs"/>
          <w:rtl/>
        </w:rPr>
        <w:t>،</w:t>
      </w:r>
      <w:r w:rsidR="00777DCB" w:rsidRPr="00A52585">
        <w:rPr>
          <w:rFonts w:hint="cs"/>
          <w:rtl/>
        </w:rPr>
        <w:t xml:space="preserve"> أو لهذه</w:t>
      </w:r>
      <w:r w:rsidRPr="00A52585">
        <w:rPr>
          <w:rFonts w:hint="cs"/>
          <w:rtl/>
        </w:rPr>
        <w:t xml:space="preserve"> </w:t>
      </w:r>
      <w:r w:rsidR="00777DCB" w:rsidRPr="00A52585">
        <w:rPr>
          <w:rFonts w:hint="cs"/>
          <w:rtl/>
        </w:rPr>
        <w:t>الألفاظ الخبيثة مستمعا أو يسري في التشبيه والتجسيم مسراه</w:t>
      </w:r>
      <w:r w:rsidR="00DB731D" w:rsidRPr="00A52585">
        <w:rPr>
          <w:rFonts w:hint="cs"/>
          <w:rtl/>
        </w:rPr>
        <w:t>،</w:t>
      </w:r>
      <w:r w:rsidR="00777DCB" w:rsidRPr="00A52585">
        <w:rPr>
          <w:rFonts w:hint="cs"/>
          <w:rtl/>
        </w:rPr>
        <w:t xml:space="preserve"> أو يفوه بجهة العلو بما فاه</w:t>
      </w:r>
      <w:r w:rsidR="00DB731D" w:rsidRPr="00A52585">
        <w:rPr>
          <w:rFonts w:hint="cs"/>
          <w:rtl/>
        </w:rPr>
        <w:t>،</w:t>
      </w:r>
      <w:r w:rsidR="00777DCB" w:rsidRPr="00A52585">
        <w:rPr>
          <w:rFonts w:hint="cs"/>
          <w:rtl/>
        </w:rPr>
        <w:t xml:space="preserve"> أو يتحدث أحد بحرف أو صوت</w:t>
      </w:r>
      <w:r w:rsidR="00DB731D" w:rsidRPr="00A52585">
        <w:rPr>
          <w:rFonts w:hint="cs"/>
          <w:rtl/>
        </w:rPr>
        <w:t>،</w:t>
      </w:r>
      <w:r w:rsidR="00777DCB" w:rsidRPr="00A52585">
        <w:rPr>
          <w:rFonts w:hint="cs"/>
          <w:rtl/>
        </w:rPr>
        <w:t xml:space="preserve"> أو يفوه بذلك إلى الموت</w:t>
      </w:r>
      <w:r w:rsidR="00DB731D" w:rsidRPr="00A52585">
        <w:rPr>
          <w:rFonts w:hint="cs"/>
          <w:rtl/>
        </w:rPr>
        <w:t>،</w:t>
      </w:r>
      <w:r w:rsidR="00777DCB" w:rsidRPr="00A52585">
        <w:rPr>
          <w:rFonts w:hint="cs"/>
          <w:rtl/>
        </w:rPr>
        <w:t xml:space="preserve"> أو ينطق بتجسيم</w:t>
      </w:r>
      <w:r w:rsidR="00DB731D" w:rsidRPr="00A52585">
        <w:rPr>
          <w:rFonts w:hint="cs"/>
          <w:rtl/>
        </w:rPr>
        <w:t>،</w:t>
      </w:r>
      <w:r w:rsidR="00777DCB" w:rsidRPr="00A52585">
        <w:rPr>
          <w:rFonts w:hint="cs"/>
          <w:rtl/>
        </w:rPr>
        <w:t xml:space="preserve"> أو يحيد عن الطريق المستقيم</w:t>
      </w:r>
      <w:r w:rsidR="00DB731D" w:rsidRPr="00A52585">
        <w:rPr>
          <w:rFonts w:hint="cs"/>
          <w:rtl/>
        </w:rPr>
        <w:t>،</w:t>
      </w:r>
      <w:r w:rsidR="00777DCB" w:rsidRPr="00A52585">
        <w:rPr>
          <w:rFonts w:hint="cs"/>
          <w:rtl/>
        </w:rPr>
        <w:t xml:space="preserve"> أو يخرج عن رأي الأئمة</w:t>
      </w:r>
      <w:r w:rsidR="00DB731D" w:rsidRPr="00A52585">
        <w:rPr>
          <w:rFonts w:hint="cs"/>
          <w:rtl/>
        </w:rPr>
        <w:t>،</w:t>
      </w:r>
      <w:r w:rsidR="00777DCB" w:rsidRPr="00A52585">
        <w:rPr>
          <w:rFonts w:hint="cs"/>
          <w:rtl/>
        </w:rPr>
        <w:t xml:space="preserve"> أو ينفرد به عن علماء الأمة. أو يحيز الله سبحانه وتعالى في جهة أو يتعرض إلى حيث وكيف. فليس لمعتقد هذا إلا السيف</w:t>
      </w:r>
      <w:r w:rsidR="00DB731D" w:rsidRPr="00A52585">
        <w:rPr>
          <w:rFonts w:hint="cs"/>
          <w:rtl/>
        </w:rPr>
        <w:t>،</w:t>
      </w:r>
      <w:r w:rsidR="00777DCB" w:rsidRPr="00A52585">
        <w:rPr>
          <w:rFonts w:hint="cs"/>
          <w:rtl/>
        </w:rPr>
        <w:t xml:space="preserve"> فليقف كل واحد عند هذا الحد. ولله الأمر من قبل ومن بعد</w:t>
      </w:r>
      <w:r w:rsidR="00DB731D" w:rsidRPr="00A52585">
        <w:rPr>
          <w:rFonts w:hint="cs"/>
          <w:rtl/>
        </w:rPr>
        <w:t>،</w:t>
      </w:r>
      <w:r w:rsidR="00777DCB" w:rsidRPr="00A52585">
        <w:rPr>
          <w:rFonts w:hint="cs"/>
          <w:rtl/>
        </w:rPr>
        <w:t xml:space="preserve"> وليُلزم كل واحد من الحنابلة بالرجوع عن كل ما أنكره الأئمة من هذه العقيدة</w:t>
      </w:r>
      <w:r w:rsidR="00DB731D" w:rsidRPr="00A52585">
        <w:rPr>
          <w:rFonts w:hint="cs"/>
          <w:rtl/>
        </w:rPr>
        <w:t>،</w:t>
      </w:r>
      <w:r w:rsidR="00777DCB" w:rsidRPr="00A52585">
        <w:rPr>
          <w:rFonts w:hint="cs"/>
          <w:rtl/>
        </w:rPr>
        <w:t xml:space="preserve"> والرجوع عن الشبهات الزائغة الشديدة</w:t>
      </w:r>
      <w:r w:rsidR="00DB731D" w:rsidRPr="00A52585">
        <w:rPr>
          <w:rFonts w:hint="cs"/>
          <w:rtl/>
        </w:rPr>
        <w:t>،</w:t>
      </w:r>
      <w:r w:rsidR="00777DCB" w:rsidRPr="00A52585">
        <w:rPr>
          <w:rFonts w:hint="cs"/>
          <w:rtl/>
        </w:rPr>
        <w:t xml:space="preserve"> ولزوم ما أمر الله تعالى به والتمسك بمسالك أهل الإيمان الحميدة</w:t>
      </w:r>
      <w:r w:rsidR="00DB731D" w:rsidRPr="00A52585">
        <w:rPr>
          <w:rFonts w:hint="cs"/>
          <w:rtl/>
        </w:rPr>
        <w:t>،</w:t>
      </w:r>
      <w:r w:rsidR="00777DCB" w:rsidRPr="00A52585">
        <w:rPr>
          <w:rFonts w:hint="cs"/>
          <w:rtl/>
        </w:rPr>
        <w:t xml:space="preserve"> فإنه من خرج عن أمر الله عز وجل فقد ضل سواء السبيل</w:t>
      </w:r>
      <w:r w:rsidR="00DB731D" w:rsidRPr="00A52585">
        <w:rPr>
          <w:rFonts w:hint="cs"/>
          <w:rtl/>
        </w:rPr>
        <w:t>،</w:t>
      </w:r>
      <w:r w:rsidR="00777DCB" w:rsidRPr="00A52585">
        <w:rPr>
          <w:rFonts w:hint="cs"/>
          <w:rtl/>
        </w:rPr>
        <w:t xml:space="preserve"> ومثل هذا ليس له إلا التنكيل. والسجن الطويل </w:t>
      </w:r>
      <w:proofErr w:type="spellStart"/>
      <w:r w:rsidR="00777DCB" w:rsidRPr="00A52585">
        <w:rPr>
          <w:rFonts w:hint="cs"/>
          <w:rtl/>
        </w:rPr>
        <w:t>مستقره</w:t>
      </w:r>
      <w:proofErr w:type="spellEnd"/>
      <w:r w:rsidR="00777DCB" w:rsidRPr="00A52585">
        <w:rPr>
          <w:rFonts w:hint="cs"/>
          <w:rtl/>
        </w:rPr>
        <w:t xml:space="preserve"> ومقيله وبئس المقيل</w:t>
      </w:r>
      <w:r w:rsidR="00DB731D" w:rsidRPr="00A52585">
        <w:rPr>
          <w:rFonts w:hint="cs"/>
          <w:rtl/>
        </w:rPr>
        <w:t>،</w:t>
      </w:r>
      <w:r w:rsidR="00777DCB" w:rsidRPr="00A52585">
        <w:rPr>
          <w:rFonts w:hint="cs"/>
          <w:rtl/>
        </w:rPr>
        <w:t xml:space="preserve"> وقد رسمنا بأن ينادى في دمشق المحروسة والبلاد الشامية. وتلك الجهات الدنية والقصية بالنهي الشديد. والتخويف والتهديد لمن تبع ابن تيمية في هذا الأمر الذي أوضحناه</w:t>
      </w:r>
      <w:r w:rsidR="00DB731D" w:rsidRPr="00A52585">
        <w:rPr>
          <w:rFonts w:hint="cs"/>
          <w:rtl/>
        </w:rPr>
        <w:t>،</w:t>
      </w:r>
      <w:r w:rsidR="00777DCB" w:rsidRPr="00A52585">
        <w:rPr>
          <w:rFonts w:hint="cs"/>
          <w:rtl/>
        </w:rPr>
        <w:t xml:space="preserve"> ومن تابعه تركناه في مثل مكانه وأحللناه</w:t>
      </w:r>
      <w:r w:rsidR="00DB731D" w:rsidRPr="00A52585">
        <w:rPr>
          <w:rFonts w:hint="cs"/>
          <w:rtl/>
        </w:rPr>
        <w:t>،</w:t>
      </w:r>
      <w:r w:rsidR="00777DCB" w:rsidRPr="00A52585">
        <w:rPr>
          <w:rFonts w:hint="cs"/>
          <w:rtl/>
        </w:rPr>
        <w:t xml:space="preserve"> ووضعناه من عيون الأمة كما وضعناه</w:t>
      </w:r>
      <w:r w:rsidR="00DB731D" w:rsidRPr="00A52585">
        <w:rPr>
          <w:rFonts w:hint="cs"/>
          <w:rtl/>
        </w:rPr>
        <w:t>،</w:t>
      </w:r>
      <w:r w:rsidR="00777DCB" w:rsidRPr="00A52585">
        <w:rPr>
          <w:rFonts w:hint="cs"/>
          <w:rtl/>
        </w:rPr>
        <w:t xml:space="preserve"> ومن أصر على الامتناع</w:t>
      </w:r>
      <w:r w:rsidR="00DB731D" w:rsidRPr="00A52585">
        <w:rPr>
          <w:rFonts w:hint="cs"/>
          <w:rtl/>
        </w:rPr>
        <w:t>،</w:t>
      </w:r>
      <w:r w:rsidR="00777DCB" w:rsidRPr="00A52585">
        <w:rPr>
          <w:rFonts w:hint="cs"/>
          <w:rtl/>
        </w:rPr>
        <w:t xml:space="preserve"> وأبي إلا الدفاع أمرنا بعزلهم من مدارسهم ومناصبهم (92/ب) وأسقطناهم من مراتبهم مع إهانتهم. </w:t>
      </w:r>
      <w:proofErr w:type="gramStart"/>
      <w:r w:rsidR="00777DCB" w:rsidRPr="00A52585">
        <w:rPr>
          <w:rFonts w:hint="cs"/>
          <w:rtl/>
        </w:rPr>
        <w:t>وأن لا</w:t>
      </w:r>
      <w:proofErr w:type="gramEnd"/>
      <w:r w:rsidR="00777DCB" w:rsidRPr="00A52585">
        <w:rPr>
          <w:rFonts w:hint="cs"/>
          <w:rtl/>
        </w:rPr>
        <w:t xml:space="preserve"> يكون لهم في بلادنا حكم ولا ولاية</w:t>
      </w:r>
      <w:r w:rsidR="00DB731D" w:rsidRPr="00A52585">
        <w:rPr>
          <w:rFonts w:hint="cs"/>
          <w:rtl/>
        </w:rPr>
        <w:t>،</w:t>
      </w:r>
      <w:r w:rsidR="00777DCB" w:rsidRPr="00A52585">
        <w:rPr>
          <w:rFonts w:hint="cs"/>
          <w:rtl/>
        </w:rPr>
        <w:t xml:space="preserve"> ولا شهادة ولا إمامة</w:t>
      </w:r>
      <w:r w:rsidR="00DB731D" w:rsidRPr="00A52585">
        <w:rPr>
          <w:rFonts w:hint="cs"/>
          <w:rtl/>
        </w:rPr>
        <w:t>،</w:t>
      </w:r>
      <w:r w:rsidR="00777DCB" w:rsidRPr="00A52585">
        <w:rPr>
          <w:rFonts w:hint="cs"/>
          <w:rtl/>
        </w:rPr>
        <w:t xml:space="preserve"> بل ولا مرتبة ولا إقامة</w:t>
      </w:r>
      <w:r w:rsidR="00DB731D" w:rsidRPr="00A52585">
        <w:rPr>
          <w:rFonts w:hint="cs"/>
          <w:rtl/>
        </w:rPr>
        <w:t>،</w:t>
      </w:r>
      <w:r w:rsidR="00777DCB" w:rsidRPr="00A52585">
        <w:rPr>
          <w:rFonts w:hint="cs"/>
          <w:rtl/>
        </w:rPr>
        <w:t xml:space="preserve"> فإنا أزلنا دعوة هذا المبتدع من البلاد</w:t>
      </w:r>
      <w:r w:rsidR="00DB731D" w:rsidRPr="00A52585">
        <w:rPr>
          <w:rFonts w:hint="cs"/>
          <w:rtl/>
        </w:rPr>
        <w:t>،</w:t>
      </w:r>
      <w:r w:rsidR="00777DCB" w:rsidRPr="00A52585">
        <w:rPr>
          <w:rFonts w:hint="cs"/>
          <w:rtl/>
        </w:rPr>
        <w:t xml:space="preserve"> وأبطلنا عقيدته الخبيثة التي أضل بها كثيرا من العباد أو كاد بل كم ضل بها من خلق وعاثوا بها في الأرض الفساد ولتثبت المحاضر الشرعية </w:t>
      </w:r>
      <w:r w:rsidR="00777DCB" w:rsidRPr="00A52585">
        <w:rPr>
          <w:rFonts w:hint="cs"/>
          <w:rtl/>
        </w:rPr>
        <w:lastRenderedPageBreak/>
        <w:t>على الحنابلة بالرجوع عن ذلك وتسير المحاضر بعد إثباتها على قضاة المالكية</w:t>
      </w:r>
      <w:r w:rsidR="00DB731D" w:rsidRPr="00A52585">
        <w:rPr>
          <w:rFonts w:hint="cs"/>
          <w:rtl/>
        </w:rPr>
        <w:t>،</w:t>
      </w:r>
      <w:r w:rsidR="00777DCB" w:rsidRPr="00A52585">
        <w:rPr>
          <w:rFonts w:hint="cs"/>
          <w:rtl/>
        </w:rPr>
        <w:t xml:space="preserve"> وقد أعذرنا وحذرنا. وأنصفنا حيث أنذرنا</w:t>
      </w:r>
      <w:r w:rsidR="00DB731D" w:rsidRPr="00A52585">
        <w:rPr>
          <w:rFonts w:hint="cs"/>
          <w:rtl/>
        </w:rPr>
        <w:t>،</w:t>
      </w:r>
      <w:r w:rsidR="00777DCB" w:rsidRPr="00A52585">
        <w:rPr>
          <w:rFonts w:hint="cs"/>
          <w:rtl/>
        </w:rPr>
        <w:t xml:space="preserve"> وليقرأ مرسومنا الشريف على المنابر</w:t>
      </w:r>
      <w:r w:rsidR="00DB731D" w:rsidRPr="00A52585">
        <w:rPr>
          <w:rFonts w:hint="cs"/>
          <w:rtl/>
        </w:rPr>
        <w:t>،</w:t>
      </w:r>
      <w:r w:rsidR="00777DCB" w:rsidRPr="00A52585">
        <w:rPr>
          <w:rFonts w:hint="cs"/>
          <w:rtl/>
        </w:rPr>
        <w:t xml:space="preserve"> ليكون أبلغ واعظ وزاجر</w:t>
      </w:r>
      <w:r w:rsidR="00DB731D" w:rsidRPr="00A52585">
        <w:rPr>
          <w:rFonts w:hint="cs"/>
          <w:rtl/>
        </w:rPr>
        <w:t>،</w:t>
      </w:r>
      <w:r w:rsidR="00777DCB" w:rsidRPr="00A52585">
        <w:rPr>
          <w:rFonts w:hint="cs"/>
          <w:rtl/>
        </w:rPr>
        <w:t xml:space="preserve"> لكل باد وحاضر</w:t>
      </w:r>
      <w:r w:rsidR="00DB731D" w:rsidRPr="00A52585">
        <w:rPr>
          <w:rFonts w:hint="cs"/>
          <w:rtl/>
        </w:rPr>
        <w:t>،</w:t>
      </w:r>
      <w:r w:rsidRPr="00A52585">
        <w:rPr>
          <w:rFonts w:hint="cs"/>
          <w:rtl/>
        </w:rPr>
        <w:t xml:space="preserve"> </w:t>
      </w:r>
      <w:r w:rsidR="00777DCB" w:rsidRPr="00A52585">
        <w:rPr>
          <w:rFonts w:hint="cs"/>
          <w:rtl/>
        </w:rPr>
        <w:t>والاعتماد على الخط الشريف أعلاه</w:t>
      </w:r>
      <w:r w:rsidR="00DB731D" w:rsidRPr="00A52585">
        <w:rPr>
          <w:rFonts w:hint="cs"/>
          <w:rtl/>
        </w:rPr>
        <w:t>،</w:t>
      </w:r>
      <w:r w:rsidR="00777DCB" w:rsidRPr="00A52585">
        <w:rPr>
          <w:rFonts w:hint="cs"/>
          <w:rtl/>
        </w:rPr>
        <w:t xml:space="preserve"> وكتب ثامن عشرين من شهر رمضان سنة خمس وسبعمائة</w:t>
      </w:r>
      <w:r w:rsidR="00DB731D" w:rsidRPr="00A52585">
        <w:rPr>
          <w:rFonts w:hint="cs"/>
          <w:rtl/>
        </w:rPr>
        <w:t>،</w:t>
      </w:r>
      <w:r w:rsidR="00777DCB" w:rsidRPr="00A52585">
        <w:rPr>
          <w:rFonts w:hint="cs"/>
          <w:rtl/>
        </w:rPr>
        <w:t xml:space="preserve"> كتب بعد أن </w:t>
      </w:r>
      <w:proofErr w:type="spellStart"/>
      <w:r w:rsidR="00777DCB" w:rsidRPr="00A52585">
        <w:rPr>
          <w:rFonts w:hint="cs"/>
          <w:rtl/>
        </w:rPr>
        <w:t>قريء</w:t>
      </w:r>
      <w:proofErr w:type="spellEnd"/>
      <w:r w:rsidR="00777DCB" w:rsidRPr="00A52585">
        <w:rPr>
          <w:rFonts w:hint="cs"/>
          <w:rtl/>
        </w:rPr>
        <w:t xml:space="preserve"> بسنة وشيء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ونص هذا المرسـوم السلطاني وغــيره أوردت كتب التاريخ وكتب خاصة مثـل (عيون التواريخ) لابن شاكر – تلميذ ابن تيمية! و(نجم المهتدي ورجم المعتدي) للفخر بن المعلم القرشي كما توجد أيضاً صورة للمرسوم نقلها الحافظ شمس الدين بن طولون ونقلها عنه العلامة زاهد الكوثري في تعليقه على (السيف الصقيل)، ومن الملاحظ في المرسوم أنه يشير إلى أن ابن تيمية قد استتيب مراراً ثم نقض توبته وعاد إلى بدعه العديدة وقد ظل هذا دأبه حتى مات في سجنه وهذا السلوك القائم على الخداع والمراوغة لم يكن في يوم من الأيام سلوك الدعاة إلى الله بل هو سلوك الدجالين الأفاكين أتباع </w:t>
      </w:r>
      <w:proofErr w:type="spellStart"/>
      <w:r w:rsidR="00777DCB" w:rsidRPr="00A52585">
        <w:rPr>
          <w:rFonts w:hint="cs"/>
          <w:sz w:val="24"/>
          <w:szCs w:val="24"/>
          <w:rtl/>
        </w:rPr>
        <w:t>ميكيافيلي</w:t>
      </w:r>
      <w:proofErr w:type="spellEnd"/>
      <w:r w:rsidR="00777DCB" w:rsidRPr="00A52585">
        <w:rPr>
          <w:rFonts w:hint="cs"/>
          <w:sz w:val="24"/>
          <w:szCs w:val="24"/>
          <w:rtl/>
        </w:rPr>
        <w:t xml:space="preserve"> الذين يتخذون المبادئ والعقائد وسائل يمتطون صهوتها للوصول إلى غاياتهم الخبيثة، فسلوك الدعاة إلى الله توضحه الآية الكريمة </w:t>
      </w:r>
      <w:r w:rsidRPr="00A52585">
        <w:rPr>
          <w:rFonts w:hint="cs"/>
          <w:sz w:val="24"/>
          <w:szCs w:val="24"/>
          <w:rtl/>
        </w:rPr>
        <w:t>{</w:t>
      </w:r>
      <w:r w:rsidR="00777DCB" w:rsidRPr="00A52585">
        <w:rPr>
          <w:rFonts w:hint="cs"/>
          <w:sz w:val="24"/>
          <w:szCs w:val="24"/>
          <w:rtl/>
        </w:rPr>
        <w:t>قل هذه سبيلي أدعو إلى الله على بصيرة أنا ومن اتبعني</w:t>
      </w:r>
      <w:r w:rsidRPr="00A52585">
        <w:rPr>
          <w:rFonts w:hint="cs"/>
          <w:sz w:val="24"/>
          <w:szCs w:val="24"/>
          <w:rtl/>
        </w:rPr>
        <w:t>}</w:t>
      </w:r>
      <w:r w:rsidR="00777DCB" w:rsidRPr="00A52585">
        <w:rPr>
          <w:rFonts w:hint="cs"/>
          <w:sz w:val="24"/>
          <w:szCs w:val="24"/>
          <w:rtl/>
        </w:rPr>
        <w:t xml:space="preserve"> يوسف 108 يقول القرطبي</w:t>
      </w:r>
      <w:r w:rsidRPr="00A52585">
        <w:rPr>
          <w:rFonts w:hint="cs"/>
          <w:sz w:val="24"/>
          <w:szCs w:val="24"/>
          <w:rtl/>
        </w:rPr>
        <w:t xml:space="preserve">: </w:t>
      </w:r>
      <w:r w:rsidR="00777DCB" w:rsidRPr="00A52585">
        <w:rPr>
          <w:rFonts w:hint="cs"/>
          <w:sz w:val="24"/>
          <w:szCs w:val="24"/>
          <w:rtl/>
        </w:rPr>
        <w:t>" على بصيرة "</w:t>
      </w:r>
      <w:r w:rsidRPr="00A52585">
        <w:rPr>
          <w:rFonts w:hint="cs"/>
          <w:sz w:val="24"/>
          <w:szCs w:val="24"/>
          <w:rtl/>
        </w:rPr>
        <w:t xml:space="preserve"> </w:t>
      </w:r>
      <w:r w:rsidR="00777DCB" w:rsidRPr="00A52585">
        <w:rPr>
          <w:rFonts w:hint="cs"/>
          <w:sz w:val="24"/>
          <w:szCs w:val="24"/>
          <w:rtl/>
        </w:rPr>
        <w:t>أي على يقين وحق ويقول النسفي</w:t>
      </w:r>
      <w:r w:rsidRPr="00A52585">
        <w:rPr>
          <w:rFonts w:hint="cs"/>
          <w:sz w:val="24"/>
          <w:szCs w:val="24"/>
          <w:rtl/>
        </w:rPr>
        <w:t>:</w:t>
      </w:r>
      <w:r w:rsidR="00777DCB" w:rsidRPr="00A52585">
        <w:rPr>
          <w:rFonts w:hint="cs"/>
          <w:sz w:val="24"/>
          <w:szCs w:val="24"/>
          <w:rtl/>
        </w:rPr>
        <w:t xml:space="preserve"> (أي أدعو إلى دينه مع حجة واضحة غير عمياء</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مع ملاحظة أن ابن تيمية كان يستتاب في كل مرة بعد أن تثبت عليه الحجة ويقام عليه الدليل وتدحض شبهه ويسقط في يده فلا يجد بدا من التسليم بالحق بلسانه ثم يخرج ليفكر في شبهة جديدة ينقض بها حجج أهل الحق التي صرعت أباطيله أو يفتح عليهم باب فتنة جديدة</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rtl/>
        </w:rPr>
        <w:t>وأزيد على ذلك ما ذكره صاحب عيون التواريخ وهو ابن شاكر</w:t>
      </w:r>
      <w:r w:rsidR="00777DCB" w:rsidRPr="00A52585">
        <w:rPr>
          <w:rFonts w:hint="cs"/>
          <w:rtl/>
        </w:rPr>
        <w:t xml:space="preserve"> ويعرف بصلاح الدين الكتبي وبالتريكي وكان من أتباع ابن تيمية وضرب الضرب البليغ لكونه قال لمؤذن في مأذنة العروس في وقت السحر</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ألا يا رسول الله أنت وسيلتي</w:t>
      </w:r>
      <w:r w:rsidRPr="00A52585">
        <w:rPr>
          <w:rFonts w:hint="cs"/>
          <w:rtl/>
        </w:rPr>
        <w:t xml:space="preserve"> </w:t>
      </w:r>
      <w:r w:rsidR="00777DCB" w:rsidRPr="00A52585">
        <w:rPr>
          <w:rFonts w:hint="cs"/>
          <w:rtl/>
        </w:rPr>
        <w:t>إلى الله في غفران ذنبي وزلتي</w:t>
      </w:r>
      <w:r w:rsidRPr="00A52585">
        <w:rPr>
          <w:rFonts w:hint="cs"/>
          <w:rtl/>
        </w:rPr>
        <w:t>):</w:t>
      </w:r>
      <w:r w:rsidR="00777DCB" w:rsidRPr="00A52585">
        <w:rPr>
          <w:rFonts w:hint="cs"/>
          <w:rtl/>
        </w:rPr>
        <w:t xml:space="preserve"> أشركت</w:t>
      </w:r>
      <w:r w:rsidRPr="00A52585">
        <w:rPr>
          <w:rFonts w:hint="cs"/>
          <w:rtl/>
        </w:rPr>
        <w:t>:</w:t>
      </w:r>
      <w:r w:rsidR="00777DCB" w:rsidRPr="00A52585">
        <w:rPr>
          <w:rFonts w:hint="cs"/>
          <w:rtl/>
        </w:rPr>
        <w:t xml:space="preserve"> وأرادوا ضرب عنقه ثم جدّدوا إسلامه</w:t>
      </w:r>
      <w:r w:rsidR="00DB731D" w:rsidRPr="00A52585">
        <w:rPr>
          <w:rFonts w:hint="cs"/>
          <w:rtl/>
        </w:rPr>
        <w:t>،</w:t>
      </w:r>
      <w:r w:rsidR="00777DCB" w:rsidRPr="00A52585">
        <w:rPr>
          <w:rFonts w:hint="cs"/>
          <w:rtl/>
        </w:rPr>
        <w:t xml:space="preserve"> وإنما أذكر ما قاله لأنه أبلغ في حق ابن تيمية في إقامة الحجة عليه مع أنه أهمل أشياء خباثة ولآمة لما فيها من المبالغة في إهانة </w:t>
      </w:r>
      <w:proofErr w:type="spellStart"/>
      <w:r w:rsidR="00777DCB" w:rsidRPr="00A52585">
        <w:rPr>
          <w:rFonts w:hint="cs"/>
          <w:rtl/>
        </w:rPr>
        <w:t>قدوته</w:t>
      </w:r>
      <w:proofErr w:type="spellEnd"/>
      <w:r w:rsidRPr="00A52585">
        <w:rPr>
          <w:rFonts w:hint="cs"/>
          <w:rtl/>
        </w:rPr>
        <w:t xml:space="preserve"> </w:t>
      </w:r>
      <w:r w:rsidR="00777DCB" w:rsidRPr="00A52585">
        <w:rPr>
          <w:rFonts w:hint="cs"/>
          <w:rtl/>
        </w:rPr>
        <w:t xml:space="preserve">والعجب </w:t>
      </w:r>
      <w:r w:rsidRPr="00A52585">
        <w:rPr>
          <w:rFonts w:hint="cs"/>
          <w:rtl/>
        </w:rPr>
        <w:t>[</w:t>
      </w:r>
      <w:r w:rsidR="00777DCB" w:rsidRPr="00A52585">
        <w:rPr>
          <w:rFonts w:hint="cs"/>
          <w:rtl/>
        </w:rPr>
        <w:t>أن</w:t>
      </w:r>
      <w:r w:rsidRPr="00A52585">
        <w:rPr>
          <w:rFonts w:hint="cs"/>
          <w:rtl/>
        </w:rPr>
        <w:t>]</w:t>
      </w:r>
      <w:r w:rsidR="00777DCB" w:rsidRPr="00A52585">
        <w:rPr>
          <w:rFonts w:hint="cs"/>
          <w:rtl/>
        </w:rPr>
        <w:t xml:space="preserve"> ابن تيمية ذكرها وهو سكت عنها</w:t>
      </w:r>
      <w:r w:rsidR="00DB731D" w:rsidRPr="00A52585">
        <w:rPr>
          <w:rFonts w:hint="cs"/>
          <w:rtl/>
        </w:rPr>
        <w:t>،</w:t>
      </w:r>
      <w:r w:rsidR="00777DCB" w:rsidRPr="00A52585">
        <w:rPr>
          <w:rFonts w:hint="cs"/>
          <w:rtl/>
        </w:rPr>
        <w:t xml:space="preserve"> </w:t>
      </w:r>
    </w:p>
    <w:p w14:paraId="093ADC19" w14:textId="6CA33E58" w:rsidR="00777DCB" w:rsidRPr="00A52585" w:rsidRDefault="0002035C" w:rsidP="0002035C">
      <w:pPr>
        <w:spacing w:after="240"/>
        <w:rPr>
          <w:b/>
          <w:rtl/>
        </w:rPr>
      </w:pPr>
      <w:r w:rsidRPr="00A52585">
        <w:rPr>
          <w:rFonts w:hint="cs"/>
          <w:rtl/>
        </w:rPr>
        <w:t>[</w:t>
      </w:r>
      <w:r w:rsidR="00777DCB" w:rsidRPr="00A52585">
        <w:rPr>
          <w:rFonts w:hint="cs"/>
          <w:bCs/>
          <w:rtl/>
        </w:rPr>
        <w:t>نماذج من تصرفاته وأقواله موضوع المحاكمات</w:t>
      </w:r>
      <w:r w:rsidRPr="00A52585">
        <w:rPr>
          <w:rFonts w:hint="cs"/>
          <w:rtl/>
        </w:rPr>
        <w:t>]:</w:t>
      </w:r>
      <w:r w:rsidR="00777DCB" w:rsidRPr="00A52585">
        <w:rPr>
          <w:rFonts w:hint="cs"/>
          <w:rtl/>
        </w:rPr>
        <w:t xml:space="preserve"> [1-] فمن ذلك ما أخبر به أبو الحسن علي الدمشقي في صحن الجامع الأموي عن أبيه قال كنا جلوساً في مجلس ابن تيمية فذكر ووعظ وتعرض لآيات </w:t>
      </w:r>
      <w:r w:rsidR="00777DCB" w:rsidRPr="00A52585">
        <w:rPr>
          <w:rFonts w:hint="cs"/>
          <w:bCs/>
          <w:rtl/>
        </w:rPr>
        <w:t>الاستواء</w:t>
      </w:r>
      <w:r w:rsidR="00777DCB" w:rsidRPr="00A52585">
        <w:rPr>
          <w:rFonts w:hint="cs"/>
          <w:rtl/>
        </w:rPr>
        <w:t xml:space="preserve"> ثم قال</w:t>
      </w:r>
      <w:r w:rsidRPr="00A52585">
        <w:rPr>
          <w:rFonts w:hint="cs"/>
          <w:rtl/>
        </w:rPr>
        <w:t>:</w:t>
      </w:r>
      <w:r w:rsidR="00777DCB" w:rsidRPr="00A52585">
        <w:rPr>
          <w:rFonts w:hint="cs"/>
          <w:rtl/>
        </w:rPr>
        <w:t xml:space="preserve"> (</w:t>
      </w:r>
      <w:r w:rsidR="00777DCB" w:rsidRPr="00A52585">
        <w:rPr>
          <w:rFonts w:hint="cs"/>
          <w:bCs/>
          <w:rtl/>
        </w:rPr>
        <w:t>واستوى الله على عرشه كاستوائي هذا</w:t>
      </w:r>
      <w:r w:rsidR="00777DCB" w:rsidRPr="00A52585">
        <w:rPr>
          <w:rFonts w:hint="cs"/>
          <w:rtl/>
        </w:rPr>
        <w:t>) قال فوثب الناس وثبة واحدة وأنزلوه من على الكرسي وبادروا إليه ضرباً باللَّكْم والنعال وغير ذلك حتى أوصلوه إلى بعض الحكام</w:t>
      </w:r>
      <w:r w:rsidR="00DB731D" w:rsidRPr="00A52585">
        <w:rPr>
          <w:rFonts w:hint="cs"/>
          <w:rtl/>
        </w:rPr>
        <w:t>،</w:t>
      </w:r>
      <w:r w:rsidR="00777DCB" w:rsidRPr="00A52585">
        <w:rPr>
          <w:rFonts w:hint="cs"/>
          <w:rtl/>
        </w:rPr>
        <w:t xml:space="preserve"> واجتمع في ذلك المجلس العلماء فشرع يناظرهم فقالوا ما الدليل على ما صدر منك</w:t>
      </w:r>
      <w:r w:rsidR="00F95886"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قوله</w:t>
      </w:r>
      <w:r w:rsidRPr="00A52585">
        <w:rPr>
          <w:rFonts w:hint="cs"/>
          <w:rtl/>
        </w:rPr>
        <w:t>:</w:t>
      </w:r>
      <w:r w:rsidR="00777DCB" w:rsidRPr="00A52585">
        <w:rPr>
          <w:rFonts w:hint="cs"/>
          <w:rtl/>
        </w:rPr>
        <w:t xml:space="preserve"> {الرحمن على العرش استوى} </w:t>
      </w:r>
      <w:r w:rsidRPr="00A52585">
        <w:rPr>
          <w:rFonts w:hint="cs"/>
          <w:rtl/>
        </w:rPr>
        <w:t>[</w:t>
      </w:r>
      <w:r w:rsidR="00777DCB" w:rsidRPr="00A52585">
        <w:rPr>
          <w:rFonts w:hint="cs"/>
          <w:rtl/>
        </w:rPr>
        <w:t>طه</w:t>
      </w:r>
      <w:r w:rsidRPr="00A52585">
        <w:rPr>
          <w:rFonts w:hint="cs"/>
          <w:rtl/>
        </w:rPr>
        <w:t>:</w:t>
      </w:r>
      <w:r w:rsidR="00777DCB" w:rsidRPr="00A52585">
        <w:rPr>
          <w:rFonts w:hint="cs"/>
          <w:rtl/>
        </w:rPr>
        <w:t xml:space="preserve"> 5</w:t>
      </w:r>
      <w:r w:rsidRPr="00A52585">
        <w:rPr>
          <w:rFonts w:hint="cs"/>
          <w:rtl/>
        </w:rPr>
        <w:t>]</w:t>
      </w:r>
      <w:r w:rsidR="00DB731D" w:rsidRPr="00A52585">
        <w:rPr>
          <w:rFonts w:hint="cs"/>
          <w:rtl/>
        </w:rPr>
        <w:t>،</w:t>
      </w:r>
      <w:r w:rsidR="00777DCB" w:rsidRPr="00A52585">
        <w:rPr>
          <w:rFonts w:hint="cs"/>
          <w:rtl/>
        </w:rPr>
        <w:t xml:space="preserve"> فضحكوا منه وعرفوا أنه جاهل لا يجري على قواعد العلم. ثم نقلوه ليتحققوا أمره. فقالوا</w:t>
      </w:r>
      <w:r w:rsidRPr="00A52585">
        <w:rPr>
          <w:rFonts w:hint="cs"/>
          <w:rtl/>
        </w:rPr>
        <w:t>:</w:t>
      </w:r>
      <w:r w:rsidR="00777DCB" w:rsidRPr="00A52585">
        <w:rPr>
          <w:rFonts w:hint="cs"/>
          <w:rtl/>
        </w:rPr>
        <w:t xml:space="preserve"> ما تقول في قوله تعالى</w:t>
      </w:r>
      <w:r w:rsidRPr="00A52585">
        <w:rPr>
          <w:rFonts w:hint="cs"/>
          <w:rtl/>
        </w:rPr>
        <w:t>:</w:t>
      </w:r>
      <w:r w:rsidR="00777DCB" w:rsidRPr="00A52585">
        <w:rPr>
          <w:rFonts w:hint="cs"/>
          <w:rtl/>
        </w:rPr>
        <w:t xml:space="preserve"> {فأينما تولوا فثم وجه الله}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115</w:t>
      </w:r>
      <w:r w:rsidRPr="00A52585">
        <w:rPr>
          <w:rFonts w:hint="cs"/>
          <w:rtl/>
        </w:rPr>
        <w:t>]</w:t>
      </w:r>
      <w:r w:rsidR="00DB731D" w:rsidRPr="00A52585">
        <w:rPr>
          <w:rFonts w:hint="cs"/>
          <w:rtl/>
        </w:rPr>
        <w:t>،</w:t>
      </w:r>
      <w:r w:rsidR="00777DCB" w:rsidRPr="00A52585">
        <w:rPr>
          <w:rFonts w:hint="cs"/>
          <w:rtl/>
        </w:rPr>
        <w:t xml:space="preserve"> فأجاب بأجوبة تحققوا </w:t>
      </w:r>
      <w:r w:rsidR="00777DCB" w:rsidRPr="00A52585">
        <w:rPr>
          <w:rFonts w:hint="cs"/>
          <w:rtl/>
        </w:rPr>
        <w:lastRenderedPageBreak/>
        <w:t xml:space="preserve">أنه من الجهلة على التحقيق وأنه لا يدري ما يقول </w:t>
      </w:r>
      <w:r w:rsidRPr="00A52585">
        <w:rPr>
          <w:rFonts w:hint="cs"/>
          <w:sz w:val="24"/>
          <w:szCs w:val="24"/>
          <w:rtl/>
        </w:rPr>
        <w:t>[</w:t>
      </w:r>
      <w:r w:rsidR="00777DCB" w:rsidRPr="00A52585">
        <w:rPr>
          <w:rFonts w:hint="cs"/>
          <w:sz w:val="24"/>
          <w:szCs w:val="24"/>
          <w:rtl/>
        </w:rPr>
        <w:t xml:space="preserve">وقد دخل الرحالة الشهير (ابن بطوطة) دمشق سنة 725هـ وشاهد بنفسه بعضا من تصرفات ابن تيمية وسمع أشياء أخرى من أهل دمشق وحكاها في رحلته بعنوان (حكاية الفقيه ذي اللوثة) وها هو كلامه فإنه متمم لما يذكره الإمام </w:t>
      </w:r>
      <w:proofErr w:type="spellStart"/>
      <w:r w:rsidR="00777DCB" w:rsidRPr="00A52585">
        <w:rPr>
          <w:rFonts w:hint="cs"/>
          <w:sz w:val="24"/>
          <w:szCs w:val="24"/>
          <w:rtl/>
        </w:rPr>
        <w:t>الحصني</w:t>
      </w:r>
      <w:proofErr w:type="spellEnd"/>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وكان بدمشق من كبار الفقهاء الحنابلة تقيّ الدين بن تَيْمية كبيرُ الشام يتكلّم في الفنون إلا أن في عقله شيئاً، وكان أهل دمشق يعظّمونه أشدّ التعظيم، ويَعِظهم على المنِبر؛ وتكلّم مرّة بأمرٍ أنكرَه الفقهاء، ورفعوه إلى الملك النّاصر، فأمر </w:t>
      </w:r>
      <w:proofErr w:type="spellStart"/>
      <w:r w:rsidR="00777DCB" w:rsidRPr="00A52585">
        <w:rPr>
          <w:rFonts w:hint="cs"/>
          <w:sz w:val="24"/>
          <w:szCs w:val="24"/>
          <w:rtl/>
        </w:rPr>
        <w:t>بإشخاصه</w:t>
      </w:r>
      <w:proofErr w:type="spellEnd"/>
      <w:r w:rsidR="00777DCB" w:rsidRPr="00A52585">
        <w:rPr>
          <w:rFonts w:hint="cs"/>
          <w:sz w:val="24"/>
          <w:szCs w:val="24"/>
          <w:rtl/>
        </w:rPr>
        <w:t xml:space="preserve"> إلى القاهرة، وجمُعَ القضاةُ والفقهاء بمجلس الملك النّاصر، وتكلّم شرف الدين الزواوي المالكي وقال</w:t>
      </w:r>
      <w:r w:rsidRPr="00A52585">
        <w:rPr>
          <w:rFonts w:hint="cs"/>
          <w:sz w:val="24"/>
          <w:szCs w:val="24"/>
          <w:rtl/>
        </w:rPr>
        <w:t>:</w:t>
      </w:r>
      <w:r w:rsidR="00777DCB" w:rsidRPr="00A52585">
        <w:rPr>
          <w:rFonts w:hint="cs"/>
          <w:sz w:val="24"/>
          <w:szCs w:val="24"/>
          <w:rtl/>
        </w:rPr>
        <w:t xml:space="preserve"> إنّ هذا الرجل قال كذا وكذا، وعدّد ما أنكر على ابن تيمية، وأحضر العقود بذلك، ووضعها بين يدي قاضي القضاة</w:t>
      </w:r>
      <w:r w:rsidR="00DB731D" w:rsidRPr="00A52585">
        <w:rPr>
          <w:rFonts w:hint="cs"/>
          <w:sz w:val="24"/>
          <w:szCs w:val="24"/>
          <w:rtl/>
        </w:rPr>
        <w:t>،</w:t>
      </w:r>
      <w:r w:rsidR="00777DCB" w:rsidRPr="00A52585">
        <w:rPr>
          <w:rFonts w:hint="cs"/>
          <w:sz w:val="24"/>
          <w:szCs w:val="24"/>
          <w:rtl/>
        </w:rPr>
        <w:t xml:space="preserve"> وقال قاضي القضاة لابن تيمية</w:t>
      </w:r>
      <w:r w:rsidRPr="00A52585">
        <w:rPr>
          <w:rFonts w:hint="cs"/>
          <w:sz w:val="24"/>
          <w:szCs w:val="24"/>
          <w:rtl/>
        </w:rPr>
        <w:t>:</w:t>
      </w:r>
      <w:r w:rsidR="00777DCB" w:rsidRPr="00A52585">
        <w:rPr>
          <w:rFonts w:hint="cs"/>
          <w:sz w:val="24"/>
          <w:szCs w:val="24"/>
          <w:rtl/>
        </w:rPr>
        <w:t xml:space="preserve"> ما تقول</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لا إله إلا الله</w:t>
      </w:r>
      <w:r w:rsidR="00DB731D" w:rsidRPr="00A52585">
        <w:rPr>
          <w:rFonts w:hint="cs"/>
          <w:sz w:val="24"/>
          <w:szCs w:val="24"/>
          <w:rtl/>
        </w:rPr>
        <w:t>،</w:t>
      </w:r>
      <w:r w:rsidR="00777DCB" w:rsidRPr="00A52585">
        <w:rPr>
          <w:rFonts w:hint="cs"/>
          <w:sz w:val="24"/>
          <w:szCs w:val="24"/>
          <w:rtl/>
        </w:rPr>
        <w:t xml:space="preserve"> فأعادَ عليه، فأجابَ بمثلِ قوله، فأمَر الملك النّاصر بسَجنه فسُجنَ أعواماً، وصّنّف في السجن كتاباً في تفسير القرآن سمّاه بالبحر المُحيط في نحو أربعين مُجَلّداً</w:t>
      </w:r>
      <w:r w:rsidR="00DB731D" w:rsidRPr="00A52585">
        <w:rPr>
          <w:rFonts w:hint="cs"/>
          <w:sz w:val="24"/>
          <w:szCs w:val="24"/>
          <w:rtl/>
        </w:rPr>
        <w:t>،</w:t>
      </w:r>
      <w:r w:rsidR="00777DCB" w:rsidRPr="00A52585">
        <w:rPr>
          <w:rFonts w:hint="cs"/>
          <w:sz w:val="24"/>
          <w:szCs w:val="24"/>
          <w:rtl/>
        </w:rPr>
        <w:t xml:space="preserve"> ثمّ إنّ أمّة تعرّضت للملك النّاصر، وشكت إليه، فأمرَ بإطلاقه إلى أن وقعَ منه مثل ذلك ثانية، وكنتُ إذ ذاك بدمشق، فحضرتُه يوم الجمعة، وهو يعظ الناس على منبر الجامع ويذكّرهم، فكان من جملة كلامه أن قال</w:t>
      </w:r>
      <w:r w:rsidRPr="00A52585">
        <w:rPr>
          <w:rFonts w:hint="cs"/>
          <w:sz w:val="24"/>
          <w:szCs w:val="24"/>
          <w:rtl/>
        </w:rPr>
        <w:t>:</w:t>
      </w:r>
      <w:r w:rsidR="00777DCB" w:rsidRPr="00A52585">
        <w:rPr>
          <w:rFonts w:hint="cs"/>
          <w:sz w:val="24"/>
          <w:szCs w:val="24"/>
          <w:rtl/>
        </w:rPr>
        <w:t xml:space="preserve"> إنّ الله ينزل إلى سماء الدنيا كنزولي هذا، ونزل درجةً من درج المنبر، فعارضه فقيه مالكي يُعَرفُ بابن الزهراء، وأنكرَ ما تكلّم به، فقامت العامّة إلى هذا الفقيه، وضربوه بالأيدي والنعال ضرباً كثيراً حتى سقطت عمامته، وظهرَ على رأسه شاشيّة حرير، فأنكروا عليه لباسَها واحتملوه إلى دار عزّ الدين ابن مسلم قاضي الحنابلة، فأمرَ بسجنه وعَزّره بعد ذلك، فأنكر فقهاء المالكية والشافعية ما كان من تعزيره، ورفعوا الأمَر إلى ملك الأمراء سيف الدين </w:t>
      </w:r>
      <w:proofErr w:type="spellStart"/>
      <w:r w:rsidR="00777DCB" w:rsidRPr="00A52585">
        <w:rPr>
          <w:rFonts w:hint="cs"/>
          <w:sz w:val="24"/>
          <w:szCs w:val="24"/>
          <w:rtl/>
        </w:rPr>
        <w:t>تنكيز</w:t>
      </w:r>
      <w:proofErr w:type="spellEnd"/>
      <w:r w:rsidR="00777DCB" w:rsidRPr="00A52585">
        <w:rPr>
          <w:rFonts w:hint="cs"/>
          <w:sz w:val="24"/>
          <w:szCs w:val="24"/>
          <w:rtl/>
        </w:rPr>
        <w:t>، وكان من خيار الأمراء وصلحائهم، فكتبَ إلى الملك النّاصر بذلك، وكتبَ عَقْداً شرعياً على ابن تيمية بأُمور منكرة منها أن المطلّق بالثلاث في كلمة واحدة لا تلزمه إلاّ طلقة واحدة، ومنها المسافر الذي ينوي بسفره زيارة القبر الشريف، زاده الله طيباً، لا يقصّر الصلاة، وسوى ذلك ممّا يُشبهُه، وبعث العقد إلى الملك النّاصر، فأمر بسجن ابن تيمية بالقلعة فسُجن بها حتى مات في السجن "</w:t>
      </w:r>
      <w:r w:rsidRPr="00A52585">
        <w:rPr>
          <w:rFonts w:hint="cs"/>
          <w:sz w:val="24"/>
          <w:szCs w:val="24"/>
          <w:rtl/>
        </w:rPr>
        <w:t xml:space="preserve"> </w:t>
      </w:r>
      <w:r w:rsidR="00777DCB" w:rsidRPr="00A52585">
        <w:rPr>
          <w:rFonts w:hint="cs"/>
          <w:sz w:val="24"/>
          <w:szCs w:val="24"/>
          <w:rtl/>
        </w:rPr>
        <w:t>أهـ من رحلة ابن بطوطة ط. دار صادر ص 95، 96. وابن بطوطة هذا هو</w:t>
      </w:r>
      <w:r w:rsidRPr="00A52585">
        <w:rPr>
          <w:rFonts w:hint="cs"/>
          <w:sz w:val="24"/>
          <w:szCs w:val="24"/>
          <w:rtl/>
        </w:rPr>
        <w:t>:</w:t>
      </w:r>
      <w:r w:rsidR="00777DCB" w:rsidRPr="00A52585">
        <w:rPr>
          <w:rFonts w:hint="cs"/>
          <w:sz w:val="24"/>
          <w:szCs w:val="24"/>
          <w:rtl/>
        </w:rPr>
        <w:t xml:space="preserve"> محمد بن عبد الله بن محمد بن إبراهيم اللواتي </w:t>
      </w:r>
      <w:proofErr w:type="spellStart"/>
      <w:r w:rsidR="00777DCB" w:rsidRPr="00A52585">
        <w:rPr>
          <w:rFonts w:hint="cs"/>
          <w:sz w:val="24"/>
          <w:szCs w:val="24"/>
          <w:rtl/>
        </w:rPr>
        <w:t>الطبنجي</w:t>
      </w:r>
      <w:proofErr w:type="spellEnd"/>
      <w:r w:rsidR="00777DCB" w:rsidRPr="00A52585">
        <w:rPr>
          <w:rFonts w:hint="cs"/>
          <w:sz w:val="24"/>
          <w:szCs w:val="24"/>
          <w:rtl/>
        </w:rPr>
        <w:t xml:space="preserve"> أبو عبد الله بن بطوطة. كان مشاركا في شيء يسير من العلم ورحل إلى المشرق في رجب سنة 725وفي الهند فقد ما دونه</w:t>
      </w:r>
      <w:r w:rsidRPr="00A52585">
        <w:rPr>
          <w:rFonts w:hint="cs"/>
          <w:sz w:val="24"/>
          <w:szCs w:val="24"/>
          <w:rtl/>
        </w:rPr>
        <w:t xml:space="preserve"> </w:t>
      </w:r>
      <w:r w:rsidR="00777DCB" w:rsidRPr="00A52585">
        <w:rPr>
          <w:rFonts w:hint="cs"/>
          <w:sz w:val="24"/>
          <w:szCs w:val="24"/>
          <w:rtl/>
        </w:rPr>
        <w:t>عن رحلته فأعاده من الذاكرة بعد رجوعه إلى (فاس)</w:t>
      </w:r>
      <w:r w:rsidR="00DB731D" w:rsidRPr="00A52585">
        <w:rPr>
          <w:rFonts w:hint="cs"/>
          <w:sz w:val="24"/>
          <w:szCs w:val="24"/>
          <w:rtl/>
        </w:rPr>
        <w:t>،</w:t>
      </w:r>
      <w:r w:rsidR="00777DCB" w:rsidRPr="00A52585">
        <w:rPr>
          <w:rFonts w:hint="cs"/>
          <w:sz w:val="24"/>
          <w:szCs w:val="24"/>
          <w:rtl/>
        </w:rPr>
        <w:t xml:space="preserve"> يقول ابن حجر في الدرر الكامنة</w:t>
      </w:r>
      <w:r w:rsidRPr="00A52585">
        <w:rPr>
          <w:rFonts w:hint="cs"/>
          <w:sz w:val="24"/>
          <w:szCs w:val="24"/>
          <w:rtl/>
        </w:rPr>
        <w:t xml:space="preserve">: </w:t>
      </w:r>
      <w:r w:rsidR="00777DCB" w:rsidRPr="00A52585">
        <w:rPr>
          <w:rFonts w:hint="cs"/>
          <w:sz w:val="24"/>
          <w:szCs w:val="24"/>
          <w:rtl/>
        </w:rPr>
        <w:t>"</w:t>
      </w:r>
      <w:r w:rsidR="00897A24" w:rsidRPr="00A52585">
        <w:rPr>
          <w:rFonts w:hint="cs"/>
          <w:sz w:val="24"/>
          <w:szCs w:val="24"/>
          <w:rtl/>
        </w:rPr>
        <w:t>.</w:t>
      </w:r>
      <w:r w:rsidR="00777DCB" w:rsidRPr="00A52585">
        <w:rPr>
          <w:rFonts w:hint="cs"/>
          <w:sz w:val="24"/>
          <w:szCs w:val="24"/>
          <w:rtl/>
        </w:rPr>
        <w:t xml:space="preserve">. قرأت بخط ابن مرزوق أن أبا عبد الله بن جزي نمقها وحررها بأمر السلطان أبي عنان وكان </w:t>
      </w:r>
      <w:proofErr w:type="spellStart"/>
      <w:r w:rsidR="00777DCB" w:rsidRPr="00A52585">
        <w:rPr>
          <w:rFonts w:hint="cs"/>
          <w:sz w:val="24"/>
          <w:szCs w:val="24"/>
          <w:rtl/>
        </w:rPr>
        <w:t>البلّفيقي</w:t>
      </w:r>
      <w:proofErr w:type="spellEnd"/>
      <w:r w:rsidR="00777DCB" w:rsidRPr="00A52585">
        <w:rPr>
          <w:rFonts w:hint="cs"/>
          <w:sz w:val="24"/>
          <w:szCs w:val="24"/>
          <w:rtl/>
        </w:rPr>
        <w:t xml:space="preserve"> رماه بالكذب فبرأه ابن مرزوق وقال إنه بقى إلى سنة سبعين ومات وهو متولي القضاء كرحلته وكان مع ذلك جوادا محسنا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ترجمة رقم 1285 والذي شهد به ابن مرزوق وأقره عليه الحافظ ابن حجر من صدق ابن بطوطة </w:t>
      </w:r>
      <w:proofErr w:type="spellStart"/>
      <w:r w:rsidR="00777DCB" w:rsidRPr="00A52585">
        <w:rPr>
          <w:rFonts w:hint="cs"/>
          <w:sz w:val="24"/>
          <w:szCs w:val="24"/>
          <w:rtl/>
        </w:rPr>
        <w:t>وأماننه</w:t>
      </w:r>
      <w:proofErr w:type="spellEnd"/>
      <w:r w:rsidR="00777DCB" w:rsidRPr="00A52585">
        <w:rPr>
          <w:rFonts w:hint="cs"/>
          <w:sz w:val="24"/>
          <w:szCs w:val="24"/>
          <w:rtl/>
        </w:rPr>
        <w:t xml:space="preserve"> هو ما لاحظه كرم البستاني في تقديمه لكتاب رحلة ابن بطوطة بقول</w:t>
      </w:r>
      <w:r w:rsidRPr="00A52585">
        <w:rPr>
          <w:rFonts w:hint="cs"/>
          <w:sz w:val="24"/>
          <w:szCs w:val="24"/>
          <w:rtl/>
        </w:rPr>
        <w:t xml:space="preserve">: </w:t>
      </w:r>
      <w:r w:rsidR="00777DCB" w:rsidRPr="00A52585">
        <w:rPr>
          <w:rFonts w:hint="cs"/>
          <w:sz w:val="24"/>
          <w:szCs w:val="24"/>
          <w:rtl/>
        </w:rPr>
        <w:t xml:space="preserve">" وأسلوبه في سرده أخباره فكه ظريف </w:t>
      </w:r>
      <w:r w:rsidR="00777DCB" w:rsidRPr="00A52585">
        <w:rPr>
          <w:rFonts w:hint="cs"/>
          <w:bCs/>
          <w:sz w:val="24"/>
          <w:szCs w:val="24"/>
          <w:rtl/>
        </w:rPr>
        <w:t>توخى فيه الأمانة حتى ولو كان الأمر متعلقا بنفسه</w:t>
      </w:r>
      <w:r w:rsidR="00777DCB" w:rsidRPr="00A52585">
        <w:rPr>
          <w:rFonts w:hint="cs"/>
          <w:sz w:val="24"/>
          <w:szCs w:val="24"/>
          <w:rtl/>
        </w:rPr>
        <w:t xml:space="preserve"> وهذا ما جعل المستشرق </w:t>
      </w:r>
      <w:proofErr w:type="spellStart"/>
      <w:r w:rsidR="00777DCB" w:rsidRPr="00A52585">
        <w:rPr>
          <w:rFonts w:hint="cs"/>
          <w:sz w:val="24"/>
          <w:szCs w:val="24"/>
          <w:rtl/>
        </w:rPr>
        <w:t>دوزي</w:t>
      </w:r>
      <w:proofErr w:type="spellEnd"/>
      <w:r w:rsidR="00777DCB" w:rsidRPr="00A52585">
        <w:rPr>
          <w:rFonts w:hint="cs"/>
          <w:sz w:val="24"/>
          <w:szCs w:val="24"/>
          <w:rtl/>
        </w:rPr>
        <w:t xml:space="preserve"> يلقبه</w:t>
      </w:r>
      <w:r w:rsidRPr="00A52585">
        <w:rPr>
          <w:rFonts w:hint="cs"/>
          <w:sz w:val="24"/>
          <w:szCs w:val="24"/>
          <w:rtl/>
        </w:rPr>
        <w:t>:</w:t>
      </w:r>
      <w:r w:rsidR="00777DCB" w:rsidRPr="00A52585">
        <w:rPr>
          <w:rFonts w:hint="cs"/>
          <w:sz w:val="24"/>
          <w:szCs w:val="24"/>
          <w:rtl/>
        </w:rPr>
        <w:t xml:space="preserve"> (بالرحالة الأمين)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Pr="00A52585">
        <w:rPr>
          <w:rFonts w:hint="cs"/>
          <w:sz w:val="24"/>
          <w:szCs w:val="24"/>
          <w:rtl/>
        </w:rPr>
        <w:t>]</w:t>
      </w:r>
      <w:r w:rsidR="00DB731D" w:rsidRPr="00A52585">
        <w:rPr>
          <w:rFonts w:hint="cs"/>
          <w:sz w:val="24"/>
          <w:szCs w:val="24"/>
          <w:rtl/>
        </w:rPr>
        <w:t>،</w:t>
      </w:r>
      <w:r w:rsidR="00777DCB" w:rsidRPr="00A52585">
        <w:rPr>
          <w:rFonts w:hint="cs"/>
          <w:rtl/>
        </w:rPr>
        <w:t xml:space="preserve"> وكان قد غره بنفسه ثناء العوام عليه وكذا الجامدين من الفقهاء العارين عن العلوم التي بها يجتمع شمل الأدلة على الوجه المرضي</w:t>
      </w:r>
      <w:r w:rsidR="00DB731D" w:rsidRPr="00A52585">
        <w:rPr>
          <w:rFonts w:hint="cs"/>
          <w:rtl/>
        </w:rPr>
        <w:t>،</w:t>
      </w:r>
      <w:r w:rsidR="00777DCB" w:rsidRPr="00A52585">
        <w:rPr>
          <w:rFonts w:hint="cs"/>
          <w:rtl/>
        </w:rPr>
        <w:t xml:space="preserve"> </w:t>
      </w:r>
      <w:r w:rsidR="00777DCB" w:rsidRPr="00A52585">
        <w:rPr>
          <w:rFonts w:hint="cs"/>
          <w:bCs/>
          <w:rtl/>
        </w:rPr>
        <w:t>[2-] وقد رأيت في فتاويه ما يتعلق بمسألة الاستواء</w:t>
      </w:r>
      <w:r w:rsidRPr="00A52585">
        <w:rPr>
          <w:rFonts w:hint="cs"/>
          <w:rtl/>
        </w:rPr>
        <w:t>:</w:t>
      </w:r>
      <w:r w:rsidR="00777DCB" w:rsidRPr="00A52585">
        <w:rPr>
          <w:rFonts w:hint="cs"/>
          <w:rtl/>
        </w:rPr>
        <w:t xml:space="preserve"> </w:t>
      </w:r>
      <w:r w:rsidR="00777DCB" w:rsidRPr="00A52585">
        <w:rPr>
          <w:rFonts w:hint="cs"/>
          <w:spacing w:val="-10"/>
          <w:rtl/>
        </w:rPr>
        <w:t>وقد أطنب</w:t>
      </w:r>
      <w:r w:rsidR="00777DCB" w:rsidRPr="00A52585">
        <w:rPr>
          <w:rFonts w:hint="cs"/>
          <w:rtl/>
        </w:rPr>
        <w:t xml:space="preserve"> فيها </w:t>
      </w:r>
      <w:r w:rsidR="00777DCB" w:rsidRPr="00A52585">
        <w:rPr>
          <w:rFonts w:hint="cs"/>
          <w:spacing w:val="-10"/>
          <w:rtl/>
        </w:rPr>
        <w:t>وذكر أموراً</w:t>
      </w:r>
      <w:r w:rsidRPr="00A52585">
        <w:rPr>
          <w:rFonts w:hint="cs"/>
          <w:spacing w:val="-10"/>
          <w:rtl/>
        </w:rPr>
        <w:t xml:space="preserve"> </w:t>
      </w:r>
      <w:r w:rsidR="00777DCB" w:rsidRPr="00A52585">
        <w:rPr>
          <w:rFonts w:hint="cs"/>
          <w:spacing w:val="-10"/>
          <w:rtl/>
        </w:rPr>
        <w:t xml:space="preserve">كلها </w:t>
      </w:r>
      <w:proofErr w:type="spellStart"/>
      <w:r w:rsidR="00777DCB" w:rsidRPr="00A52585">
        <w:rPr>
          <w:rFonts w:hint="cs"/>
          <w:spacing w:val="-10"/>
          <w:rtl/>
        </w:rPr>
        <w:t>تلبيسات</w:t>
      </w:r>
      <w:proofErr w:type="spellEnd"/>
      <w:r w:rsidR="00777DCB" w:rsidRPr="00A52585">
        <w:rPr>
          <w:rFonts w:hint="cs"/>
          <w:rtl/>
        </w:rPr>
        <w:t xml:space="preserve"> </w:t>
      </w:r>
      <w:r w:rsidR="00777DCB" w:rsidRPr="00A52585">
        <w:rPr>
          <w:rFonts w:hint="cs"/>
          <w:spacing w:val="-8"/>
          <w:rtl/>
        </w:rPr>
        <w:t>وتحشيرات خارجة</w:t>
      </w:r>
      <w:r w:rsidR="00777DCB" w:rsidRPr="00A52585">
        <w:rPr>
          <w:rFonts w:hint="cs"/>
          <w:spacing w:val="-6"/>
          <w:rtl/>
        </w:rPr>
        <w:t xml:space="preserve"> عن قواعد أهل</w:t>
      </w:r>
      <w:r w:rsidR="00777DCB" w:rsidRPr="00A52585">
        <w:rPr>
          <w:rFonts w:hint="cs"/>
          <w:rtl/>
        </w:rPr>
        <w:t xml:space="preserve"> الحق</w:t>
      </w:r>
      <w:r w:rsidR="00DB731D" w:rsidRPr="00A52585">
        <w:rPr>
          <w:rFonts w:hint="cs"/>
          <w:rtl/>
        </w:rPr>
        <w:t>،</w:t>
      </w:r>
      <w:r w:rsidR="00777DCB" w:rsidRPr="00A52585">
        <w:rPr>
          <w:rFonts w:hint="cs"/>
          <w:rtl/>
        </w:rPr>
        <w:t xml:space="preserve"> والناظر فيها إذا لم يكن ذا علوم وفطنة وحسن روية ظَنَّ أنها على منوال مرضي</w:t>
      </w:r>
      <w:r w:rsidR="00DB731D" w:rsidRPr="00A52585">
        <w:rPr>
          <w:rFonts w:hint="cs"/>
          <w:rtl/>
        </w:rPr>
        <w:t>،</w:t>
      </w:r>
      <w:r w:rsidR="00777DCB" w:rsidRPr="00A52585">
        <w:rPr>
          <w:rFonts w:hint="cs"/>
          <w:rtl/>
        </w:rPr>
        <w:t xml:space="preserve"> ومن جملة ذلك بعد تقريره </w:t>
      </w:r>
      <w:r w:rsidR="00777DCB" w:rsidRPr="00A52585">
        <w:rPr>
          <w:rFonts w:hint="cs"/>
          <w:rtl/>
        </w:rPr>
        <w:lastRenderedPageBreak/>
        <w:t>وتطويله</w:t>
      </w:r>
      <w:r w:rsidRPr="00A52585">
        <w:rPr>
          <w:rFonts w:hint="cs"/>
          <w:rtl/>
        </w:rPr>
        <w:t>:</w:t>
      </w:r>
      <w:r w:rsidR="00777DCB" w:rsidRPr="00A52585">
        <w:rPr>
          <w:rFonts w:hint="cs"/>
          <w:rtl/>
        </w:rPr>
        <w:t xml:space="preserve"> (وإن الله معنا حقيقة وهو فوق العرش حقيقة كما جمع الله بينهما في قوله تعالى</w:t>
      </w:r>
      <w:r w:rsidRPr="00A52585">
        <w:rPr>
          <w:rFonts w:hint="cs"/>
          <w:rtl/>
        </w:rPr>
        <w:t>:</w:t>
      </w:r>
      <w:r w:rsidR="00777DCB" w:rsidRPr="00A52585">
        <w:rPr>
          <w:rFonts w:hint="cs"/>
          <w:rtl/>
        </w:rPr>
        <w:t xml:space="preserve">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فأخبر أنه فوق العرش يعلم كل شيء وهو معنا أينما كنا) هذه عبارته بحروفها</w:t>
      </w:r>
      <w:r w:rsidR="00DB731D" w:rsidRPr="00A52585">
        <w:rPr>
          <w:rFonts w:hint="cs"/>
          <w:rtl/>
        </w:rPr>
        <w:t>،</w:t>
      </w:r>
      <w:r w:rsidR="00777DCB" w:rsidRPr="00A52585">
        <w:rPr>
          <w:rFonts w:hint="cs"/>
          <w:rtl/>
        </w:rPr>
        <w:t xml:space="preserve"> فتأمل أرشدك الله تعالى هذا التهافت وهذه الجرأة بالكذب على الله تعالى أنه سبحانه وتعالى أخبر عن نفسه أنه فوق العرش ومحتجاً بلفظ الاستواء الذي هو موضوع بالاشتراك ومن قبيل المجمل</w:t>
      </w:r>
      <w:r w:rsidR="00DB731D" w:rsidRPr="00A52585">
        <w:rPr>
          <w:rFonts w:hint="cs"/>
          <w:rtl/>
        </w:rPr>
        <w:t>،</w:t>
      </w:r>
      <w:r w:rsidR="00777DCB" w:rsidRPr="00A52585">
        <w:rPr>
          <w:rFonts w:hint="cs"/>
          <w:rtl/>
        </w:rPr>
        <w:t xml:space="preserve"> وهذا وغيره مما هو كثير في كلامه يتحقق به جهله وفساد تصوره وبلادته</w:t>
      </w:r>
      <w:r w:rsidR="00DB731D" w:rsidRPr="00A52585">
        <w:rPr>
          <w:rFonts w:hint="cs"/>
          <w:rtl/>
        </w:rPr>
        <w:t>،</w:t>
      </w:r>
      <w:r w:rsidR="00777DCB" w:rsidRPr="00A52585">
        <w:rPr>
          <w:rFonts w:hint="cs"/>
          <w:rtl/>
        </w:rPr>
        <w:t xml:space="preserve"> وكان بعضهم يسميه حاطب ليل</w:t>
      </w:r>
      <w:r w:rsidR="00DB731D" w:rsidRPr="00A52585">
        <w:rPr>
          <w:rFonts w:hint="cs"/>
          <w:rtl/>
        </w:rPr>
        <w:t>،</w:t>
      </w:r>
      <w:r w:rsidR="00777DCB" w:rsidRPr="00A52585">
        <w:rPr>
          <w:rFonts w:hint="cs"/>
          <w:rtl/>
        </w:rPr>
        <w:t xml:space="preserve"> وبعضهم يسميه الهدار </w:t>
      </w:r>
      <w:proofErr w:type="spellStart"/>
      <w:r w:rsidR="00777DCB" w:rsidRPr="00A52585">
        <w:rPr>
          <w:rFonts w:hint="cs"/>
          <w:rtl/>
        </w:rPr>
        <w:t>المهدار</w:t>
      </w:r>
      <w:proofErr w:type="spellEnd"/>
      <w:r w:rsidR="00DB731D" w:rsidRPr="00A52585">
        <w:rPr>
          <w:rFonts w:hint="cs"/>
          <w:vertAlign w:val="superscript"/>
          <w:rtl/>
        </w:rPr>
        <w:t>،</w:t>
      </w:r>
      <w:r w:rsidR="00777DCB" w:rsidRPr="00A52585">
        <w:rPr>
          <w:rFonts w:hint="cs"/>
          <w:rtl/>
        </w:rPr>
        <w:t xml:space="preserve"> </w:t>
      </w:r>
      <w:r w:rsidR="00777DCB" w:rsidRPr="00A52585">
        <w:rPr>
          <w:rFonts w:hint="cs"/>
          <w:bCs/>
          <w:rtl/>
        </w:rPr>
        <w:t xml:space="preserve">[3-] </w:t>
      </w:r>
      <w:r w:rsidR="00777DCB" w:rsidRPr="00A52585">
        <w:rPr>
          <w:rFonts w:hint="cs"/>
          <w:rtl/>
        </w:rPr>
        <w:t xml:space="preserve">وكان الإمام العلامة شيخ الإسلام في زمانه أبو الحسن على بن إسماعيل </w:t>
      </w:r>
      <w:proofErr w:type="spellStart"/>
      <w:r w:rsidR="00777DCB" w:rsidRPr="00A52585">
        <w:rPr>
          <w:rFonts w:hint="cs"/>
          <w:rtl/>
        </w:rPr>
        <w:t>القونوي</w:t>
      </w:r>
      <w:proofErr w:type="spellEnd"/>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علي بن إسماعيل بن يوسف علاء الدين </w:t>
      </w:r>
      <w:proofErr w:type="spellStart"/>
      <w:r w:rsidR="00777DCB" w:rsidRPr="00A52585">
        <w:rPr>
          <w:rFonts w:hint="cs"/>
          <w:sz w:val="24"/>
          <w:szCs w:val="24"/>
          <w:rtl/>
        </w:rPr>
        <w:t>القونوي</w:t>
      </w:r>
      <w:proofErr w:type="spellEnd"/>
      <w:r w:rsidR="00777DCB" w:rsidRPr="00A52585">
        <w:rPr>
          <w:rFonts w:hint="cs"/>
          <w:sz w:val="24"/>
          <w:szCs w:val="24"/>
          <w:rtl/>
        </w:rPr>
        <w:t>، قاضي القضاة، ذكر أن شيخ الإسلام ابن دقيق العيد قال</w:t>
      </w:r>
      <w:r w:rsidRPr="00A52585">
        <w:rPr>
          <w:rFonts w:hint="cs"/>
          <w:sz w:val="24"/>
          <w:szCs w:val="24"/>
          <w:rtl/>
        </w:rPr>
        <w:t>:</w:t>
      </w:r>
      <w:r w:rsidR="00777DCB" w:rsidRPr="00A52585">
        <w:rPr>
          <w:rFonts w:hint="cs"/>
          <w:sz w:val="24"/>
          <w:szCs w:val="24"/>
          <w:rtl/>
        </w:rPr>
        <w:t xml:space="preserve"> إنه يطلق على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اسم الفاضل استحقاقا، قال </w:t>
      </w:r>
      <w:proofErr w:type="spellStart"/>
      <w:r w:rsidR="00777DCB" w:rsidRPr="00A52585">
        <w:rPr>
          <w:rFonts w:hint="cs"/>
          <w:sz w:val="24"/>
          <w:szCs w:val="24"/>
          <w:rtl/>
        </w:rPr>
        <w:t>الأدفوي</w:t>
      </w:r>
      <w:proofErr w:type="spellEnd"/>
      <w:r w:rsidRPr="00A52585">
        <w:rPr>
          <w:rFonts w:hint="cs"/>
          <w:sz w:val="24"/>
          <w:szCs w:val="24"/>
          <w:rtl/>
        </w:rPr>
        <w:t>:</w:t>
      </w:r>
      <w:r w:rsidR="00777DCB" w:rsidRPr="00A52585">
        <w:rPr>
          <w:rFonts w:hint="cs"/>
          <w:sz w:val="24"/>
          <w:szCs w:val="24"/>
          <w:rtl/>
        </w:rPr>
        <w:t xml:space="preserve"> وناهيك بابن دقيق العيد من عالم متضلع ومناط بما يقول متورع</w:t>
      </w:r>
      <w:r w:rsidR="00DB731D" w:rsidRPr="00A52585">
        <w:rPr>
          <w:rFonts w:hint="cs"/>
          <w:sz w:val="24"/>
          <w:szCs w:val="24"/>
          <w:rtl/>
        </w:rPr>
        <w:t>،</w:t>
      </w:r>
      <w:r w:rsidR="00777DCB" w:rsidRPr="00A52585">
        <w:rPr>
          <w:rFonts w:hint="cs"/>
          <w:sz w:val="24"/>
          <w:szCs w:val="24"/>
          <w:rtl/>
        </w:rPr>
        <w:t xml:space="preserve"> يقول الإمام تاج الدين السبكي</w:t>
      </w:r>
      <w:r w:rsidRPr="00A52585">
        <w:rPr>
          <w:rFonts w:hint="cs"/>
          <w:sz w:val="24"/>
          <w:szCs w:val="24"/>
          <w:rtl/>
        </w:rPr>
        <w:t xml:space="preserve">: </w:t>
      </w:r>
      <w:r w:rsidR="00777DCB" w:rsidRPr="00A52585">
        <w:rPr>
          <w:rFonts w:hint="cs"/>
          <w:sz w:val="24"/>
          <w:szCs w:val="24"/>
          <w:rtl/>
        </w:rPr>
        <w:t xml:space="preserve">" قلت لا شك أن هذه من ابن دقيق العيد منقبة </w:t>
      </w:r>
      <w:proofErr w:type="spellStart"/>
      <w:r w:rsidR="00777DCB" w:rsidRPr="00A52585">
        <w:rPr>
          <w:rFonts w:hint="cs"/>
          <w:sz w:val="24"/>
          <w:szCs w:val="24"/>
          <w:rtl/>
        </w:rPr>
        <w:t>للقونوي</w:t>
      </w:r>
      <w:proofErr w:type="spellEnd"/>
      <w:r w:rsidR="00777DCB" w:rsidRPr="00A52585">
        <w:rPr>
          <w:rFonts w:hint="cs"/>
          <w:sz w:val="24"/>
          <w:szCs w:val="24"/>
          <w:rtl/>
        </w:rPr>
        <w:t xml:space="preserve"> عظيمة. درَّس بدمشق بالمدرسة </w:t>
      </w:r>
      <w:proofErr w:type="spellStart"/>
      <w:r w:rsidR="00777DCB" w:rsidRPr="00A52585">
        <w:rPr>
          <w:rFonts w:hint="cs"/>
          <w:sz w:val="24"/>
          <w:szCs w:val="24"/>
          <w:rtl/>
        </w:rPr>
        <w:t>الإقبالية</w:t>
      </w:r>
      <w:proofErr w:type="spellEnd"/>
      <w:r w:rsidR="00777DCB" w:rsidRPr="00A52585">
        <w:rPr>
          <w:rFonts w:hint="cs"/>
          <w:sz w:val="24"/>
          <w:szCs w:val="24"/>
          <w:rtl/>
        </w:rPr>
        <w:t xml:space="preserve"> ثم قدم القاهرة وأقام بها مدة في غاية من الفقر من عزة النفس إلى أن ولي تدريس </w:t>
      </w:r>
      <w:proofErr w:type="spellStart"/>
      <w:r w:rsidR="00777DCB" w:rsidRPr="00A52585">
        <w:rPr>
          <w:rFonts w:hint="cs"/>
          <w:sz w:val="24"/>
          <w:szCs w:val="24"/>
          <w:rtl/>
        </w:rPr>
        <w:t>الشريفية</w:t>
      </w:r>
      <w:proofErr w:type="spellEnd"/>
      <w:r w:rsidR="00777DCB" w:rsidRPr="00A52585">
        <w:rPr>
          <w:rFonts w:hint="cs"/>
          <w:sz w:val="24"/>
          <w:szCs w:val="24"/>
          <w:rtl/>
        </w:rPr>
        <w:t xml:space="preserve"> ومشيخة </w:t>
      </w:r>
      <w:proofErr w:type="spellStart"/>
      <w:r w:rsidR="00777DCB" w:rsidRPr="00A52585">
        <w:rPr>
          <w:rFonts w:hint="cs"/>
          <w:sz w:val="24"/>
          <w:szCs w:val="24"/>
          <w:rtl/>
        </w:rPr>
        <w:t>الخانقاة</w:t>
      </w:r>
      <w:proofErr w:type="spellEnd"/>
      <w:r w:rsidR="00777DCB" w:rsidRPr="00A52585">
        <w:rPr>
          <w:rFonts w:hint="cs"/>
          <w:sz w:val="24"/>
          <w:szCs w:val="24"/>
          <w:rtl/>
        </w:rPr>
        <w:t xml:space="preserve"> الصالحية</w:t>
      </w:r>
      <w:r w:rsidR="00DB731D" w:rsidRPr="00A52585">
        <w:rPr>
          <w:rFonts w:hint="cs"/>
          <w:sz w:val="24"/>
          <w:szCs w:val="24"/>
          <w:rtl/>
        </w:rPr>
        <w:t>،</w:t>
      </w:r>
      <w:r w:rsidR="00777DCB" w:rsidRPr="00A52585">
        <w:rPr>
          <w:rFonts w:hint="cs"/>
          <w:sz w:val="24"/>
          <w:szCs w:val="24"/>
          <w:rtl/>
        </w:rPr>
        <w:t xml:space="preserve"> وصنف (شرح الحاوي) واختصر (منهاج </w:t>
      </w:r>
      <w:proofErr w:type="spellStart"/>
      <w:r w:rsidR="00777DCB" w:rsidRPr="00A52585">
        <w:rPr>
          <w:rFonts w:hint="cs"/>
          <w:sz w:val="24"/>
          <w:szCs w:val="24"/>
          <w:rtl/>
        </w:rPr>
        <w:t>الحليمي</w:t>
      </w:r>
      <w:proofErr w:type="spellEnd"/>
      <w:r w:rsidR="00777DCB" w:rsidRPr="00A52585">
        <w:rPr>
          <w:rFonts w:hint="cs"/>
          <w:sz w:val="24"/>
          <w:szCs w:val="24"/>
          <w:rtl/>
        </w:rPr>
        <w:t>) وشرح كتاب (التعرف في التصوف) واختصر (المعالم</w:t>
      </w:r>
      <w:r w:rsidRPr="00A52585">
        <w:rPr>
          <w:rFonts w:hint="cs"/>
          <w:sz w:val="24"/>
          <w:szCs w:val="24"/>
          <w:rtl/>
        </w:rPr>
        <w:t>)</w:t>
      </w:r>
      <w:r w:rsidR="00777DCB" w:rsidRPr="00A52585">
        <w:rPr>
          <w:rFonts w:hint="cs"/>
          <w:sz w:val="24"/>
          <w:szCs w:val="24"/>
          <w:rtl/>
        </w:rPr>
        <w:t xml:space="preserve"> في الأصول</w:t>
      </w:r>
      <w:r w:rsidR="00DB731D" w:rsidRPr="00A52585">
        <w:rPr>
          <w:rFonts w:hint="cs"/>
          <w:sz w:val="24"/>
          <w:szCs w:val="24"/>
          <w:rtl/>
        </w:rPr>
        <w:t>،</w:t>
      </w:r>
      <w:r w:rsidR="00777DCB" w:rsidRPr="00A52585">
        <w:rPr>
          <w:rFonts w:hint="cs"/>
          <w:sz w:val="24"/>
          <w:szCs w:val="24"/>
          <w:rtl/>
        </w:rPr>
        <w:t xml:space="preserve"> ثم </w:t>
      </w:r>
      <w:r w:rsidR="00777DCB" w:rsidRPr="00A52585">
        <w:rPr>
          <w:rFonts w:hint="cs"/>
          <w:spacing w:val="-6"/>
          <w:sz w:val="24"/>
          <w:szCs w:val="24"/>
          <w:rtl/>
        </w:rPr>
        <w:t>ولي قضاء الشام وأقام دون عامين إلى أن مات في رابع عشر ذي القعدة سنة تسع</w:t>
      </w:r>
      <w:r w:rsidR="00777DCB" w:rsidRPr="00A52585">
        <w:rPr>
          <w:rFonts w:hint="cs"/>
          <w:sz w:val="24"/>
          <w:szCs w:val="24"/>
          <w:rtl/>
        </w:rPr>
        <w:t xml:space="preserve"> وعشرين وسبعمائة وعمره اثنتان وستون سنة"</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من طبقات الشافعية الكبرى 10/133– 134</w:t>
      </w:r>
      <w:r w:rsidR="00DB731D" w:rsidRPr="00A52585">
        <w:rPr>
          <w:rFonts w:hint="cs"/>
          <w:sz w:val="24"/>
          <w:szCs w:val="24"/>
          <w:rtl/>
        </w:rPr>
        <w:t>،</w:t>
      </w:r>
      <w:r w:rsidR="00777DCB" w:rsidRPr="00A52585">
        <w:rPr>
          <w:rFonts w:hint="cs"/>
          <w:sz w:val="24"/>
          <w:szCs w:val="24"/>
          <w:rtl/>
        </w:rPr>
        <w:t xml:space="preserve"> يقول تلميذه جمال الدين </w:t>
      </w:r>
      <w:proofErr w:type="spellStart"/>
      <w:r w:rsidR="00777DCB" w:rsidRPr="00A52585">
        <w:rPr>
          <w:rFonts w:hint="cs"/>
          <w:sz w:val="24"/>
          <w:szCs w:val="24"/>
          <w:rtl/>
        </w:rPr>
        <w:t>الإسنوي</w:t>
      </w:r>
      <w:proofErr w:type="spellEnd"/>
      <w:r w:rsidRPr="00A52585">
        <w:rPr>
          <w:rFonts w:hint="cs"/>
          <w:sz w:val="24"/>
          <w:szCs w:val="24"/>
          <w:rtl/>
        </w:rPr>
        <w:t xml:space="preserve">: </w:t>
      </w:r>
      <w:r w:rsidR="00777DCB" w:rsidRPr="00A52585">
        <w:rPr>
          <w:rFonts w:hint="cs"/>
          <w:sz w:val="24"/>
          <w:szCs w:val="24"/>
          <w:rtl/>
        </w:rPr>
        <w:t>" كان أجمع من رأيناه للعلوم مع الاتساع فيها خصوصا العلوم العقلية واللغوية، لا يشار فيها إلا إليه ولا يحال فيها إلا عليه. كان من عقلاء الرجال والقليل الأمثال. تخرج به أكثر علماء الديار المصرية من الطوائف كلها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من طبقات بن قاضي شهبة</w:t>
      </w:r>
      <w:r w:rsidRPr="00A52585">
        <w:rPr>
          <w:rFonts w:hint="cs"/>
          <w:sz w:val="24"/>
          <w:szCs w:val="24"/>
          <w:rtl/>
        </w:rPr>
        <w:t>]</w:t>
      </w:r>
      <w:r w:rsidR="00777DCB" w:rsidRPr="00A52585">
        <w:rPr>
          <w:rFonts w:hint="cs"/>
          <w:sz w:val="24"/>
          <w:szCs w:val="24"/>
          <w:rtl/>
        </w:rPr>
        <w:t xml:space="preserve"> يصرح بأنه من الجهلة الذي لا يعقل ما يقول ويخـبر أنه أخذ </w:t>
      </w:r>
      <w:r w:rsidR="00777DCB" w:rsidRPr="00A52585">
        <w:rPr>
          <w:rFonts w:hint="cs"/>
          <w:bCs/>
          <w:sz w:val="24"/>
          <w:szCs w:val="24"/>
          <w:rtl/>
        </w:rPr>
        <w:t>مسألة التفرقة</w:t>
      </w:r>
      <w:r w:rsidR="00777DCB" w:rsidRPr="00A52585">
        <w:rPr>
          <w:rFonts w:hint="cs"/>
          <w:sz w:val="24"/>
          <w:szCs w:val="24"/>
          <w:rtl/>
        </w:rPr>
        <w:t xml:space="preserve"> عن شـيخه الذي تلقاها عن أفراخ السامرة واليهود الذين أظهروا التشرف بالإسلام</w:t>
      </w:r>
      <w:r w:rsidR="00DB731D" w:rsidRPr="00A52585">
        <w:rPr>
          <w:rFonts w:hint="cs"/>
          <w:sz w:val="24"/>
          <w:szCs w:val="24"/>
          <w:rtl/>
        </w:rPr>
        <w:t>،</w:t>
      </w:r>
      <w:r w:rsidR="00777DCB" w:rsidRPr="00A52585">
        <w:rPr>
          <w:rFonts w:hint="cs"/>
          <w:sz w:val="24"/>
          <w:szCs w:val="24"/>
          <w:rtl/>
        </w:rPr>
        <w:t xml:space="preserve"> [قال المحقق</w:t>
      </w:r>
      <w:r w:rsidRPr="00A52585">
        <w:rPr>
          <w:rFonts w:hint="cs"/>
          <w:sz w:val="24"/>
          <w:szCs w:val="24"/>
          <w:rtl/>
        </w:rPr>
        <w:t xml:space="preserve">: </w:t>
      </w:r>
      <w:r w:rsidR="00777DCB" w:rsidRPr="00A52585">
        <w:rPr>
          <w:rFonts w:hint="cs"/>
          <w:sz w:val="24"/>
          <w:szCs w:val="24"/>
          <w:rtl/>
        </w:rPr>
        <w:t>نقل ابن تيمية بعضا من أفكار علماء اليهود الذين أسلموا ولم يتمكنوا من مراجعة كل أفكارهم وآرائهم بعرضها على ميزان الشرع الحنيف وحده أولا لاستبعاد ما شذّ منها وهو ما حذر منه سيد الخلق صلى الله عليه وسلم سيدنا عمر بن الخطاب لما وجده يطالع في التوراة فغضب غضبا شديداً وقال له</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أمتهوِّكُون</w:t>
      </w:r>
      <w:proofErr w:type="spellEnd"/>
      <w:r w:rsidR="00777DCB" w:rsidRPr="00A52585">
        <w:rPr>
          <w:rFonts w:hint="cs"/>
          <w:sz w:val="24"/>
          <w:szCs w:val="24"/>
          <w:rtl/>
        </w:rPr>
        <w:t xml:space="preserve"> فيها يا ابن الخطاب</w:t>
      </w:r>
      <w:r w:rsidR="00F95886" w:rsidRPr="00A52585">
        <w:rPr>
          <w:rFonts w:hint="cs"/>
          <w:sz w:val="24"/>
          <w:szCs w:val="24"/>
          <w:rtl/>
        </w:rPr>
        <w:t>؟</w:t>
      </w:r>
      <w:r w:rsidR="00777DCB" w:rsidRPr="00A52585">
        <w:rPr>
          <w:rFonts w:hint="cs"/>
          <w:sz w:val="24"/>
          <w:szCs w:val="24"/>
          <w:rtl/>
        </w:rPr>
        <w:t>! والله لو كان موسى حيا ما وسعه إلا اتباعي! ومسألة التفرقة هذه منقولة من نصوص التوراة والإنجيل كما سيأتي في تعليقنا</w:t>
      </w:r>
      <w:r w:rsidR="00DB731D" w:rsidRPr="00A52585">
        <w:rPr>
          <w:rFonts w:hint="cs"/>
          <w:sz w:val="24"/>
          <w:szCs w:val="24"/>
          <w:rtl/>
        </w:rPr>
        <w:t>،</w:t>
      </w:r>
      <w:r w:rsidR="00777DCB" w:rsidRPr="00A52585">
        <w:rPr>
          <w:rFonts w:hint="cs"/>
          <w:sz w:val="24"/>
          <w:szCs w:val="24"/>
          <w:rtl/>
        </w:rPr>
        <w:t xml:space="preserve"> وشيخ ابن تيمية المشار إليه أظن أنه أجد رجلين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أولهما</w:t>
      </w:r>
      <w:r w:rsidRPr="00A52585">
        <w:rPr>
          <w:rFonts w:hint="cs"/>
          <w:sz w:val="24"/>
          <w:szCs w:val="24"/>
          <w:rtl/>
        </w:rPr>
        <w:t>)</w:t>
      </w:r>
      <w:r w:rsidR="00777DCB" w:rsidRPr="00A52585">
        <w:rPr>
          <w:rFonts w:hint="cs"/>
          <w:sz w:val="24"/>
          <w:szCs w:val="24"/>
          <w:rtl/>
        </w:rPr>
        <w:t xml:space="preserve"> وهو الغالب</w:t>
      </w:r>
      <w:r w:rsidRPr="00A52585">
        <w:rPr>
          <w:rFonts w:hint="cs"/>
          <w:sz w:val="24"/>
          <w:szCs w:val="24"/>
          <w:rtl/>
        </w:rPr>
        <w:t>:</w:t>
      </w:r>
      <w:r w:rsidR="00777DCB" w:rsidRPr="00A52585">
        <w:rPr>
          <w:rFonts w:hint="cs"/>
          <w:sz w:val="24"/>
          <w:szCs w:val="24"/>
          <w:rtl/>
        </w:rPr>
        <w:t xml:space="preserve"> هبة الله بن علي بن ملكا أبو البركات البغدادي، فيلسوف اليهود </w:t>
      </w:r>
      <w:proofErr w:type="spellStart"/>
      <w:r w:rsidR="00777DCB" w:rsidRPr="00A52585">
        <w:rPr>
          <w:rFonts w:hint="cs"/>
          <w:sz w:val="24"/>
          <w:szCs w:val="24"/>
          <w:rtl/>
        </w:rPr>
        <w:t>المتأسلم</w:t>
      </w:r>
      <w:proofErr w:type="spellEnd"/>
      <w:r w:rsidR="00777DCB" w:rsidRPr="00A52585">
        <w:rPr>
          <w:rFonts w:hint="cs"/>
          <w:sz w:val="24"/>
          <w:szCs w:val="24"/>
          <w:rtl/>
        </w:rPr>
        <w:t xml:space="preserve"> – كما قال الإمام الكوثري- المتوفى سنة 547 هـ وقد تتلمذ ابن تيمية على كتبه وأفكاره بل طوَّف بها في الآفاق ودافـع عن أبي البركات وأشاد به أيما إشادة كما لاحظه كبار الباحثين المعاصرين ومن قبلهم الإمام الكوثري، ومن أمثلة هذه الأفكار</w:t>
      </w:r>
      <w:r w:rsidRPr="00A52585">
        <w:rPr>
          <w:rFonts w:hint="cs"/>
          <w:sz w:val="24"/>
          <w:szCs w:val="24"/>
          <w:rtl/>
        </w:rPr>
        <w:t>:</w:t>
      </w:r>
      <w:r w:rsidR="00777DCB" w:rsidRPr="00A52585">
        <w:rPr>
          <w:rFonts w:hint="cs"/>
          <w:sz w:val="24"/>
          <w:szCs w:val="24"/>
          <w:rtl/>
        </w:rPr>
        <w:t xml:space="preserve"> فكرة قدم العالم وفكرة قيام الحوادث بذات الله تعالى وتقدس</w:t>
      </w:r>
      <w:r w:rsidR="00DB731D" w:rsidRPr="00A52585">
        <w:rPr>
          <w:rFonts w:hint="cs"/>
          <w:sz w:val="24"/>
          <w:szCs w:val="24"/>
          <w:rtl/>
        </w:rPr>
        <w:t>،</w:t>
      </w:r>
      <w:r w:rsidR="00777DCB" w:rsidRPr="00A52585">
        <w:rPr>
          <w:rFonts w:hint="cs"/>
          <w:sz w:val="24"/>
          <w:szCs w:val="24"/>
          <w:rtl/>
        </w:rPr>
        <w:t xml:space="preserve"> انظر (مقالات الكوثري)، (أبو البركات البغدادي وفلسفته الإلهية) للدكتور جمال رجب، (مناهج البحث عند مفكري المسلمين) للدكتور علي سامي النشار وغير ذلك من المراجع</w:t>
      </w:r>
      <w:r w:rsidR="00DB731D"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 xml:space="preserve">و </w:t>
      </w:r>
      <w:r w:rsidRPr="00A52585">
        <w:rPr>
          <w:rFonts w:hint="cs"/>
          <w:sz w:val="24"/>
          <w:szCs w:val="24"/>
          <w:rtl/>
        </w:rPr>
        <w:t>(</w:t>
      </w:r>
      <w:r w:rsidR="00777DCB" w:rsidRPr="00A52585">
        <w:rPr>
          <w:rFonts w:hint="cs"/>
          <w:sz w:val="24"/>
          <w:szCs w:val="24"/>
          <w:rtl/>
        </w:rPr>
        <w:t>ثانيهما</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عبد السيد بن إسحاق بن يحيي الإسرائيلي الحكيم الفاضل بهاء الدين بن المهذب يقول عنه الحافظ ابن حجر في (الدرر الكامنة)</w:t>
      </w:r>
      <w:r w:rsidRPr="00A52585">
        <w:rPr>
          <w:rFonts w:hint="cs"/>
          <w:sz w:val="24"/>
          <w:szCs w:val="24"/>
          <w:rtl/>
        </w:rPr>
        <w:t xml:space="preserve">: </w:t>
      </w:r>
      <w:r w:rsidR="00777DCB" w:rsidRPr="00A52585">
        <w:rPr>
          <w:rFonts w:hint="cs"/>
          <w:sz w:val="24"/>
          <w:szCs w:val="24"/>
          <w:rtl/>
        </w:rPr>
        <w:t>"كان ديان اليهود وكان يحب المسلمين ويحضر مجالس الحديث، وسمعه المزي ثم هداه الله تعالى وأسلم وتعلم القرآن وجالس العلماء</w:t>
      </w:r>
      <w:r w:rsidRPr="00A52585">
        <w:rPr>
          <w:rFonts w:hint="cs"/>
          <w:sz w:val="24"/>
          <w:szCs w:val="24"/>
          <w:rtl/>
        </w:rPr>
        <w:t xml:space="preserve"> </w:t>
      </w:r>
      <w:r w:rsidR="00777DCB" w:rsidRPr="00A52585">
        <w:rPr>
          <w:rFonts w:hint="cs"/>
          <w:sz w:val="24"/>
          <w:szCs w:val="24"/>
          <w:rtl/>
        </w:rPr>
        <w:t xml:space="preserve">وأسلم على يده جماعة من اليهود من </w:t>
      </w:r>
      <w:proofErr w:type="spellStart"/>
      <w:r w:rsidR="00777DCB" w:rsidRPr="00A52585">
        <w:rPr>
          <w:rFonts w:hint="cs"/>
          <w:sz w:val="24"/>
          <w:szCs w:val="24"/>
          <w:rtl/>
        </w:rPr>
        <w:t>أقاربة</w:t>
      </w:r>
      <w:proofErr w:type="spellEnd"/>
      <w:r w:rsidR="00777DCB" w:rsidRPr="00A52585">
        <w:rPr>
          <w:rFonts w:hint="cs"/>
          <w:sz w:val="24"/>
          <w:szCs w:val="24"/>
          <w:rtl/>
        </w:rPr>
        <w:t xml:space="preserve"> وخرجوا يوم عيد </w:t>
      </w:r>
      <w:proofErr w:type="spellStart"/>
      <w:r w:rsidR="00777DCB" w:rsidRPr="00A52585">
        <w:rPr>
          <w:rFonts w:hint="cs"/>
          <w:sz w:val="24"/>
          <w:szCs w:val="24"/>
          <w:rtl/>
        </w:rPr>
        <w:t>الأضحى</w:t>
      </w:r>
      <w:proofErr w:type="spellEnd"/>
      <w:r w:rsidR="00777DCB" w:rsidRPr="00A52585">
        <w:rPr>
          <w:rFonts w:hint="cs"/>
          <w:sz w:val="24"/>
          <w:szCs w:val="24"/>
          <w:rtl/>
        </w:rPr>
        <w:t xml:space="preserve"> يكبرون مع المسلمين وفرح الناس بهم فرحا زائداً وأكرموهم إكراما عظيماً، ومات في جمادى الآخرة سنة 715"</w:t>
      </w:r>
      <w:r w:rsidRPr="00A52585">
        <w:rPr>
          <w:rFonts w:hint="cs"/>
          <w:sz w:val="24"/>
          <w:szCs w:val="24"/>
          <w:rtl/>
        </w:rPr>
        <w:t xml:space="preserve"> </w:t>
      </w:r>
      <w:r w:rsidR="00777DCB" w:rsidRPr="00A52585">
        <w:rPr>
          <w:rFonts w:hint="cs"/>
          <w:sz w:val="24"/>
          <w:szCs w:val="24"/>
          <w:rtl/>
        </w:rPr>
        <w:t>أهـ المقصود منه ج2 ص 476ط دار الكتب الحديثة ترجمة رقم (2419) وذكر ابن كثير في (البداية والنهاية) أنه أسلم على يد ابن تيمية بعد مناقشات بينهم</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وهو من أعظم الناس عداوة للنبي صلى الله عليه وسلم وقتل علي رضي الله عنه واحداً منهم تكلم في مجلسه بكلمة فيها ازدراء بالنبي صلى الله عليه وسلم</w:t>
      </w:r>
      <w:r w:rsidR="00DB731D" w:rsidRPr="00A52585">
        <w:rPr>
          <w:rFonts w:hint="cs"/>
          <w:rtl/>
        </w:rPr>
        <w:t>،</w:t>
      </w:r>
      <w:r w:rsidR="00777DCB" w:rsidRPr="00A52585">
        <w:rPr>
          <w:rFonts w:hint="cs"/>
          <w:rtl/>
        </w:rPr>
        <w:t xml:space="preserve"> وقد وقفت على المسألة أعني مسألة التفرقة التي أثارها اليهود ليزدروه بها وبحثوا فيها على قواعد </w:t>
      </w:r>
      <w:proofErr w:type="spellStart"/>
      <w:r w:rsidR="00777DCB" w:rsidRPr="00A52585">
        <w:rPr>
          <w:rFonts w:hint="cs"/>
          <w:rtl/>
        </w:rPr>
        <w:t>مأخذوة</w:t>
      </w:r>
      <w:proofErr w:type="spellEnd"/>
      <w:r w:rsidR="00777DCB" w:rsidRPr="00A52585">
        <w:rPr>
          <w:rFonts w:hint="cs"/>
          <w:rtl/>
        </w:rPr>
        <w:t xml:space="preserve"> من الاشتقاق</w:t>
      </w:r>
      <w:r w:rsidR="00777DCB" w:rsidRPr="00A52585">
        <w:rPr>
          <w:rFonts w:hint="cs"/>
          <w:vertAlign w:val="superscript"/>
          <w:rtl/>
        </w:rPr>
        <w:t xml:space="preserve"> </w:t>
      </w:r>
      <w:r w:rsidR="00777DCB" w:rsidRPr="00A52585">
        <w:rPr>
          <w:rFonts w:hint="cs"/>
          <w:rtl/>
        </w:rPr>
        <w:t>وكانوا يقطعون بها الضعفاء من العلماء فتصدى لهم الجهابذة من العلماء</w:t>
      </w:r>
      <w:r w:rsidR="00DB731D" w:rsidRPr="00A52585">
        <w:rPr>
          <w:rFonts w:hint="cs"/>
          <w:rtl/>
        </w:rPr>
        <w:t>،</w:t>
      </w:r>
      <w:r w:rsidR="00777DCB" w:rsidRPr="00A52585">
        <w:rPr>
          <w:rFonts w:hint="cs"/>
          <w:rtl/>
        </w:rPr>
        <w:t xml:space="preserve"> وأفسدوا ما قالوه بالنقل والعقل والاستعمال الشرعي والعرفي وأبادوهم بالضرب </w:t>
      </w:r>
      <w:proofErr w:type="spellStart"/>
      <w:r w:rsidR="00777DCB" w:rsidRPr="00A52585">
        <w:rPr>
          <w:rFonts w:hint="cs"/>
          <w:rtl/>
        </w:rPr>
        <w:t>والأسياط</w:t>
      </w:r>
      <w:proofErr w:type="spellEnd"/>
      <w:r w:rsidR="00777DCB" w:rsidRPr="00A52585">
        <w:rPr>
          <w:rFonts w:hint="cs"/>
          <w:rtl/>
        </w:rPr>
        <w:t xml:space="preserve"> وضرب الأعناق ولم يبق منهم إلا الضعفاء في العلم ودامت فيهم مسألة التفرقة حتى تلقها ابن تيمية عن شيخه وكنت أظن أنه ابتكرها</w:t>
      </w:r>
      <w:r w:rsidR="00DB731D" w:rsidRPr="00A52585">
        <w:rPr>
          <w:rFonts w:hint="cs"/>
          <w:rtl/>
        </w:rPr>
        <w:t>،</w:t>
      </w:r>
      <w:r w:rsidR="00777DCB" w:rsidRPr="00A52585">
        <w:rPr>
          <w:rFonts w:hint="cs"/>
          <w:rtl/>
        </w:rPr>
        <w:t xml:space="preserve"> واتفق الحذاق في زمانه من جميع المذاهب على سوء فهمه وكثرة خطئه وعدم إدراكه للمآخذ الدقيقة وتصورها</w:t>
      </w:r>
      <w:r w:rsidR="00DB731D" w:rsidRPr="00A52585">
        <w:rPr>
          <w:rFonts w:hint="cs"/>
          <w:rtl/>
        </w:rPr>
        <w:t>،</w:t>
      </w:r>
      <w:r w:rsidR="00777DCB" w:rsidRPr="00A52585">
        <w:rPr>
          <w:rFonts w:hint="cs"/>
          <w:rtl/>
        </w:rPr>
        <w:t xml:space="preserve"> عرفوا ذلك منه بالمفاوضة في مجالس العلم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ونظراً لتمكن البدع والأهواء من قلب ابن تيمية لم يكن له منهج ثابت في البحث فكثيراً ما يهاجم طائفة ويبدعها أو يكفرها في موضع ثم يعتقد ما قالته في موضع آخر كما سيذكر </w:t>
      </w:r>
      <w:proofErr w:type="spellStart"/>
      <w:r w:rsidR="00777DCB" w:rsidRPr="00A52585">
        <w:rPr>
          <w:rFonts w:hint="cs"/>
          <w:sz w:val="24"/>
          <w:szCs w:val="24"/>
          <w:rtl/>
        </w:rPr>
        <w:t>الحصني</w:t>
      </w:r>
      <w:proofErr w:type="spellEnd"/>
      <w:r w:rsidR="00777DCB" w:rsidRPr="00A52585">
        <w:rPr>
          <w:rFonts w:hint="cs"/>
          <w:sz w:val="24"/>
          <w:szCs w:val="24"/>
          <w:rtl/>
        </w:rPr>
        <w:t xml:space="preserve"> وكما نقل عنه الأستاذ محمود الغراب في كتابه الذي ألفه في الرد عليه (شرح كلمات الصوفية والرد علي ابن تيمية) وكذلك الفاضل/ سعيد فودة في كتابه</w:t>
      </w:r>
      <w:r w:rsidRPr="00A52585">
        <w:rPr>
          <w:rFonts w:hint="cs"/>
          <w:sz w:val="24"/>
          <w:szCs w:val="24"/>
          <w:rtl/>
        </w:rPr>
        <w:t xml:space="preserve"> </w:t>
      </w:r>
      <w:r w:rsidR="00777DCB" w:rsidRPr="00A52585">
        <w:rPr>
          <w:rFonts w:hint="cs"/>
          <w:sz w:val="24"/>
          <w:szCs w:val="24"/>
          <w:rtl/>
        </w:rPr>
        <w:t>" الكاشف الصغير عن عقائد ابن تيمية"</w:t>
      </w:r>
      <w:r w:rsidRPr="00A52585">
        <w:rPr>
          <w:rFonts w:hint="cs"/>
          <w:sz w:val="24"/>
          <w:szCs w:val="24"/>
          <w:rtl/>
        </w:rPr>
        <w:t xml:space="preserve"> </w:t>
      </w:r>
      <w:r w:rsidR="00777DCB" w:rsidRPr="00A52585">
        <w:rPr>
          <w:rFonts w:hint="cs"/>
          <w:sz w:val="24"/>
          <w:szCs w:val="24"/>
          <w:rtl/>
        </w:rPr>
        <w:t xml:space="preserve">ومن هذا شأنه لا يصلح للمناظرات مع خصوم الدين أو المباحثة في كتبهم بالإضافة إلى أنه سيجد في نصوصهم المحرفة ما يعضد به البدع التي يعتقدها ويحاول الدفاع عنها مما يضعه مع خصوم الإسلام في خندق واحد مهاجما عقائد المسلمين ومدافعاً عن أهل الكفر وخاصة اليهود الذين أكثر في المباحثة في كتبهم والمناقشة مع أئمتهم </w:t>
      </w:r>
      <w:r w:rsidR="00777DCB" w:rsidRPr="00A52585">
        <w:rPr>
          <w:rFonts w:hint="cs"/>
          <w:bCs/>
          <w:sz w:val="24"/>
          <w:szCs w:val="24"/>
          <w:rtl/>
        </w:rPr>
        <w:t>ومن أهم العقائد التي تأثر فيها باليهود تأثراً واضحاً</w:t>
      </w:r>
      <w:r w:rsidRPr="00A52585">
        <w:rPr>
          <w:rFonts w:hint="cs"/>
          <w:bCs/>
          <w:sz w:val="24"/>
          <w:szCs w:val="24"/>
          <w:rtl/>
        </w:rPr>
        <w:t>:</w:t>
      </w:r>
      <w:r w:rsidR="00777DCB" w:rsidRPr="00A52585">
        <w:rPr>
          <w:rFonts w:hint="cs"/>
          <w:bCs/>
          <w:sz w:val="24"/>
          <w:szCs w:val="24"/>
          <w:rtl/>
        </w:rPr>
        <w:t xml:space="preserve"> </w:t>
      </w:r>
      <w:r w:rsidRPr="00A52585">
        <w:rPr>
          <w:rFonts w:hint="cs"/>
          <w:bCs/>
          <w:sz w:val="24"/>
          <w:szCs w:val="24"/>
          <w:rtl/>
        </w:rPr>
        <w:t>(</w:t>
      </w:r>
      <w:r w:rsidR="00777DCB" w:rsidRPr="00A52585">
        <w:rPr>
          <w:rFonts w:hint="cs"/>
          <w:bCs/>
          <w:sz w:val="24"/>
          <w:szCs w:val="24"/>
          <w:rtl/>
        </w:rPr>
        <w:t>أولاً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عقائد التشبيه والتجسيم</w:t>
      </w:r>
      <w:r w:rsidR="00777DCB" w:rsidRPr="00A52585">
        <w:rPr>
          <w:rFonts w:hint="cs"/>
          <w:sz w:val="24"/>
          <w:szCs w:val="24"/>
          <w:rtl/>
        </w:rPr>
        <w:t xml:space="preserve"> وهي كفر عند جمهور المسلمين أو بدعة خطيرة من الكبائر تقرب من الكفر عند الباقين ودافع عن عقيدة اليهود فيها نصاً في (الفتوى الحموية الكبرى)، كما سيأتي في تعليقنا على إنكاره للمجاز</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ثانياً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قيام الحوادث بذات الله</w:t>
      </w:r>
      <w:r w:rsidR="00777DCB" w:rsidRPr="00A52585">
        <w:rPr>
          <w:rFonts w:hint="cs"/>
          <w:sz w:val="24"/>
          <w:szCs w:val="24"/>
          <w:rtl/>
        </w:rPr>
        <w:t xml:space="preserve"> وهي كفر أيضاً والتوراة مملوءة بالنصوص الدالة على ذلك وجرى عليه أبو البركات هبة الله ابن ملكا فيلسوف اليهود </w:t>
      </w:r>
      <w:proofErr w:type="spellStart"/>
      <w:r w:rsidR="00777DCB" w:rsidRPr="00A52585">
        <w:rPr>
          <w:rFonts w:hint="cs"/>
          <w:sz w:val="24"/>
          <w:szCs w:val="24"/>
          <w:rtl/>
        </w:rPr>
        <w:t>المتأسلم</w:t>
      </w:r>
      <w:proofErr w:type="spellEnd"/>
      <w:r w:rsidR="00777DCB" w:rsidRPr="00A52585">
        <w:rPr>
          <w:rFonts w:hint="cs"/>
          <w:sz w:val="24"/>
          <w:szCs w:val="24"/>
          <w:rtl/>
        </w:rPr>
        <w:t xml:space="preserve"> وسايره ابن تيمية في كلامه انظر (بدعة الصوتية) في مقالات الكوثري وكذا (من عبر التاريخ) للكوثري ومقدمته للبراهين الساطعة، والكاشف لسعيد فودة</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ثالثاً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قدم العالم</w:t>
      </w:r>
      <w:r w:rsidR="00777DCB" w:rsidRPr="00A52585">
        <w:rPr>
          <w:rFonts w:hint="cs"/>
          <w:sz w:val="24"/>
          <w:szCs w:val="24"/>
          <w:rtl/>
        </w:rPr>
        <w:t xml:space="preserve"> ذكر ذلك ابن ملكا اليهودي </w:t>
      </w:r>
      <w:proofErr w:type="spellStart"/>
      <w:r w:rsidR="00777DCB" w:rsidRPr="00A52585">
        <w:rPr>
          <w:rFonts w:hint="cs"/>
          <w:sz w:val="24"/>
          <w:szCs w:val="24"/>
          <w:rtl/>
        </w:rPr>
        <w:t>المتأسلم</w:t>
      </w:r>
      <w:proofErr w:type="spellEnd"/>
      <w:r w:rsidR="00777DCB" w:rsidRPr="00A52585">
        <w:rPr>
          <w:rFonts w:hint="cs"/>
          <w:sz w:val="24"/>
          <w:szCs w:val="24"/>
          <w:rtl/>
        </w:rPr>
        <w:t xml:space="preserve"> وسايره ابن تيمية على ذلك وهذه العقيدة كفر أيضاً انظر المصدر السابق</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رابعاً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قوله بفناء النار</w:t>
      </w:r>
      <w:r w:rsidR="00777DCB" w:rsidRPr="00A52585">
        <w:rPr>
          <w:rFonts w:hint="cs"/>
          <w:sz w:val="24"/>
          <w:szCs w:val="24"/>
          <w:rtl/>
        </w:rPr>
        <w:t xml:space="preserve"> وهو كفر عند جميع المسلمين بل إن جمهور المسلمين لما كفر جهم بن صفوان كان ذلك من الأسباب الأساسية</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خامساً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زعمه عدم عصمة الأنبياء</w:t>
      </w:r>
      <w:r w:rsidRPr="00A52585">
        <w:rPr>
          <w:rFonts w:hint="cs"/>
          <w:bCs/>
          <w:sz w:val="24"/>
          <w:szCs w:val="24"/>
          <w:rtl/>
        </w:rPr>
        <w:t>:</w:t>
      </w:r>
      <w:r w:rsidR="00777DCB" w:rsidRPr="00A52585">
        <w:rPr>
          <w:rFonts w:hint="cs"/>
          <w:sz w:val="24"/>
          <w:szCs w:val="24"/>
          <w:rtl/>
        </w:rPr>
        <w:t xml:space="preserve"> ومحاجته في إثبات المعاصي للأنبياء جميعا من آدم حتى نبينا صلى الله عليه وسلم ولليهود سهم وافر في نسبة النقائص إليهم وهو كفر أيضاً بإجماع </w:t>
      </w:r>
      <w:r w:rsidR="00777DCB" w:rsidRPr="00A52585">
        <w:rPr>
          <w:rFonts w:hint="cs"/>
          <w:sz w:val="24"/>
          <w:szCs w:val="24"/>
          <w:rtl/>
        </w:rPr>
        <w:lastRenderedPageBreak/>
        <w:t>المسلمين</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سادساً</w:t>
      </w:r>
      <w:r w:rsidRPr="00A52585">
        <w:rPr>
          <w:rFonts w:hint="cs"/>
          <w:bCs/>
          <w:sz w:val="24"/>
          <w:szCs w:val="24"/>
          <w:rtl/>
        </w:rPr>
        <w:t>)</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تفرقته بين حياة النبي صلى الله عليه وسلم ووفاته في صحة التوسل به أو السؤال بجاهه عند الله أو الاستغاثة به</w:t>
      </w:r>
      <w:r w:rsidR="00DB731D" w:rsidRPr="00A52585">
        <w:rPr>
          <w:rFonts w:hint="cs"/>
          <w:sz w:val="24"/>
          <w:szCs w:val="24"/>
          <w:rtl/>
        </w:rPr>
        <w:t>،</w:t>
      </w:r>
      <w:r w:rsidR="00777DCB" w:rsidRPr="00A52585">
        <w:rPr>
          <w:rFonts w:hint="cs"/>
          <w:sz w:val="24"/>
          <w:szCs w:val="24"/>
          <w:rtl/>
        </w:rPr>
        <w:t xml:space="preserve"> وقد ذهب بعض الفضلاء إلى أن هذا أيضاً كفر لانتقاصه من قدره الشريف الذي حباه الله إياه قال ذلك بمعناه القاضي المالكي نور الدين البكري فيما حكاه ابن حجر عنه في الدرر الكامنة، وذكر السبكي ذلك كما هو منقول في الفتوى الملحقة عندما عقّب على قول ابن تيمية</w:t>
      </w:r>
      <w:r w:rsidRPr="00A52585">
        <w:rPr>
          <w:rFonts w:hint="cs"/>
          <w:sz w:val="24"/>
          <w:szCs w:val="24"/>
          <w:rtl/>
        </w:rPr>
        <w:t xml:space="preserve">: </w:t>
      </w:r>
      <w:r w:rsidR="00777DCB" w:rsidRPr="00A52585">
        <w:rPr>
          <w:rFonts w:hint="cs"/>
          <w:sz w:val="24"/>
          <w:szCs w:val="24"/>
          <w:rtl/>
        </w:rPr>
        <w:t>" أن الميت لا يسأل ولا يدعى ولا يطلب منه سواء كان شيخاً أو نبياً أو غير ذلك "</w:t>
      </w:r>
      <w:r w:rsidRPr="00A52585">
        <w:rPr>
          <w:rFonts w:hint="cs"/>
          <w:sz w:val="24"/>
          <w:szCs w:val="24"/>
          <w:rtl/>
        </w:rPr>
        <w:t xml:space="preserve"> </w:t>
      </w:r>
      <w:r w:rsidR="00777DCB" w:rsidRPr="00A52585">
        <w:rPr>
          <w:rFonts w:hint="cs"/>
          <w:sz w:val="24"/>
          <w:szCs w:val="24"/>
          <w:rtl/>
        </w:rPr>
        <w:t>أهـ قال أبو الحسن السبكي</w:t>
      </w:r>
      <w:r w:rsidRPr="00A52585">
        <w:rPr>
          <w:rFonts w:hint="cs"/>
          <w:sz w:val="24"/>
          <w:szCs w:val="24"/>
          <w:rtl/>
        </w:rPr>
        <w:t xml:space="preserve">: </w:t>
      </w:r>
      <w:r w:rsidR="00777DCB" w:rsidRPr="00A52585">
        <w:rPr>
          <w:rFonts w:hint="cs"/>
          <w:sz w:val="24"/>
          <w:szCs w:val="24"/>
          <w:rtl/>
        </w:rPr>
        <w:t>" هذا كفر بيقين لأنه حط رتبة الأنبياء عليهم السلام وسوى بينهم وبين غيرهم"</w:t>
      </w:r>
      <w:r w:rsidRPr="00A52585">
        <w:rPr>
          <w:rFonts w:hint="cs"/>
          <w:sz w:val="24"/>
          <w:szCs w:val="24"/>
          <w:rtl/>
        </w:rPr>
        <w:t xml:space="preserve"> </w:t>
      </w:r>
      <w:r w:rsidR="00777DCB" w:rsidRPr="00A52585">
        <w:rPr>
          <w:rFonts w:hint="cs"/>
          <w:sz w:val="24"/>
          <w:szCs w:val="24"/>
          <w:rtl/>
        </w:rPr>
        <w:t xml:space="preserve">وأيده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(لأن من حط رتبة نبي فيما يجب له كفر بلا نزاع) أهـ</w:t>
      </w:r>
      <w:r w:rsidR="00DB731D" w:rsidRPr="00A52585">
        <w:rPr>
          <w:rFonts w:hint="cs"/>
          <w:sz w:val="24"/>
          <w:szCs w:val="24"/>
          <w:rtl/>
        </w:rPr>
        <w:t>،</w:t>
      </w:r>
      <w:r w:rsidR="00777DCB" w:rsidRPr="00A52585">
        <w:rPr>
          <w:rFonts w:hint="cs"/>
          <w:sz w:val="24"/>
          <w:szCs w:val="24"/>
          <w:rtl/>
        </w:rPr>
        <w:t xml:space="preserve"> وهذه التفرقة أخذها من اليهود كما بين ذلك الإمام </w:t>
      </w:r>
      <w:proofErr w:type="spellStart"/>
      <w:r w:rsidR="00777DCB" w:rsidRPr="00A52585">
        <w:rPr>
          <w:rFonts w:hint="cs"/>
          <w:sz w:val="24"/>
          <w:szCs w:val="24"/>
          <w:rtl/>
        </w:rPr>
        <w:t>القونوي</w:t>
      </w:r>
      <w:proofErr w:type="spellEnd"/>
      <w:r w:rsidR="00777DCB" w:rsidRPr="00A52585">
        <w:rPr>
          <w:rFonts w:hint="cs"/>
          <w:sz w:val="24"/>
          <w:szCs w:val="24"/>
          <w:rtl/>
        </w:rPr>
        <w:t xml:space="preserve"> رضي الله عنه</w:t>
      </w:r>
      <w:r w:rsidR="00DB731D" w:rsidRPr="00A52585">
        <w:rPr>
          <w:rFonts w:hint="cs"/>
          <w:sz w:val="24"/>
          <w:szCs w:val="24"/>
          <w:rtl/>
        </w:rPr>
        <w:t>،</w:t>
      </w:r>
      <w:r w:rsidR="00777DCB" w:rsidRPr="00A52585">
        <w:rPr>
          <w:rFonts w:hint="cs"/>
          <w:sz w:val="24"/>
          <w:szCs w:val="24"/>
          <w:rtl/>
        </w:rPr>
        <w:t xml:space="preserve"> هذا أهم ما وقع لي من عقائده المنقولة عنهم وهي كلها كفريات كما هو موضح في موضعه سواء ثبت كفره هو نفسه أو لم يثبت فالثابت أن هذه عقائد يهودية الأصل والمنشأ</w:t>
      </w:r>
      <w:r w:rsidR="00DB731D" w:rsidRPr="00A52585">
        <w:rPr>
          <w:rFonts w:hint="cs"/>
          <w:sz w:val="24"/>
          <w:szCs w:val="24"/>
          <w:rtl/>
        </w:rPr>
        <w:t>،</w:t>
      </w:r>
      <w:r w:rsidR="00777DCB" w:rsidRPr="00A52585">
        <w:rPr>
          <w:rFonts w:hint="cs"/>
          <w:sz w:val="24"/>
          <w:szCs w:val="24"/>
          <w:rtl/>
        </w:rPr>
        <w:t xml:space="preserve"> بل حتى إنكاره للمجاز ثبت أن أول من أنكره عمليَّا وفسَّر الآية الكريمة </w:t>
      </w:r>
      <w:r w:rsidRPr="00A52585">
        <w:rPr>
          <w:rFonts w:hint="cs"/>
          <w:sz w:val="24"/>
          <w:szCs w:val="24"/>
          <w:rtl/>
        </w:rPr>
        <w:t>{</w:t>
      </w:r>
      <w:r w:rsidR="00777DCB" w:rsidRPr="00A52585">
        <w:rPr>
          <w:rFonts w:hint="cs"/>
          <w:sz w:val="24"/>
          <w:szCs w:val="24"/>
          <w:rtl/>
        </w:rPr>
        <w:t>من ذا الذي يقرض الله قرضا حسنا</w:t>
      </w:r>
      <w:r w:rsidRPr="00A52585">
        <w:rPr>
          <w:rFonts w:hint="cs"/>
          <w:sz w:val="24"/>
          <w:szCs w:val="24"/>
          <w:rtl/>
        </w:rPr>
        <w:t>}</w:t>
      </w:r>
      <w:r w:rsidR="00777DCB" w:rsidRPr="00A52585">
        <w:rPr>
          <w:rFonts w:hint="cs"/>
          <w:sz w:val="24"/>
          <w:szCs w:val="24"/>
          <w:rtl/>
        </w:rPr>
        <w:t xml:space="preserve"> الآية 245 من سورة البقرة بالمعنى الحقيقي للألفاظ ورفض المعنى المجازي وصولا إلى نسبة النقائص إلى الله سبحانه وقال </w:t>
      </w:r>
      <w:r w:rsidRPr="00A52585">
        <w:rPr>
          <w:rFonts w:hint="cs"/>
          <w:sz w:val="24"/>
          <w:szCs w:val="24"/>
          <w:rtl/>
        </w:rPr>
        <w:t>{</w:t>
      </w:r>
      <w:r w:rsidR="00777DCB" w:rsidRPr="00A52585">
        <w:rPr>
          <w:rFonts w:hint="cs"/>
          <w:sz w:val="24"/>
          <w:szCs w:val="24"/>
          <w:rtl/>
        </w:rPr>
        <w:t xml:space="preserve">إن الله فقير </w:t>
      </w:r>
      <w:proofErr w:type="spellStart"/>
      <w:r w:rsidR="00777DCB" w:rsidRPr="00A52585">
        <w:rPr>
          <w:rFonts w:hint="cs"/>
          <w:sz w:val="24"/>
          <w:szCs w:val="24"/>
          <w:rtl/>
        </w:rPr>
        <w:t>يستقرضنا</w:t>
      </w:r>
      <w:proofErr w:type="spellEnd"/>
      <w:r w:rsidRPr="00A52585">
        <w:rPr>
          <w:rFonts w:hint="cs"/>
          <w:sz w:val="24"/>
          <w:szCs w:val="24"/>
          <w:rtl/>
        </w:rPr>
        <w:t>}</w:t>
      </w:r>
      <w:r w:rsidR="00777DCB" w:rsidRPr="00A52585">
        <w:rPr>
          <w:rFonts w:hint="cs"/>
          <w:sz w:val="24"/>
          <w:szCs w:val="24"/>
          <w:rtl/>
        </w:rPr>
        <w:t xml:space="preserve"> كان الحبر اليهودي (فنحاص) كما سيأتي بيانه</w:t>
      </w:r>
      <w:r w:rsidR="00F95886" w:rsidRPr="00A52585">
        <w:rPr>
          <w:rFonts w:hint="cs"/>
          <w:sz w:val="24"/>
          <w:szCs w:val="24"/>
          <w:rtl/>
        </w:rPr>
        <w:t>!</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ولم يقف الأمر عند نقله لعقائدهم وأفكارهم بل تعّدى ذلك إلى اقتدائه بهم في أسلوب المغالطة</w:t>
      </w:r>
      <w:r w:rsidR="00777DCB" w:rsidRPr="00A52585">
        <w:rPr>
          <w:rFonts w:hint="cs"/>
          <w:sz w:val="24"/>
          <w:szCs w:val="24"/>
          <w:rtl/>
        </w:rPr>
        <w:t xml:space="preserve"> والمراوغة بل والسلوكيات وإليكم هذه القصة التي نقلها السيد عبد الله الغماري في كتابه (دلالة القرآن المبين على أن النبي أفضل العالمين)ص150-151قال</w:t>
      </w:r>
      <w:r w:rsidRPr="00A52585">
        <w:rPr>
          <w:rFonts w:hint="cs"/>
          <w:sz w:val="24"/>
          <w:szCs w:val="24"/>
          <w:rtl/>
        </w:rPr>
        <w:t>:</w:t>
      </w:r>
      <w:r w:rsidR="00777DCB" w:rsidRPr="00A52585">
        <w:rPr>
          <w:rFonts w:hint="cs"/>
          <w:sz w:val="24"/>
          <w:szCs w:val="24"/>
          <w:rtl/>
        </w:rPr>
        <w:t xml:space="preserve"> " ويناسبها ما ذكره المرتضى</w:t>
      </w:r>
      <w:r w:rsidRPr="00A52585">
        <w:rPr>
          <w:rFonts w:hint="cs"/>
          <w:sz w:val="24"/>
          <w:szCs w:val="24"/>
          <w:rtl/>
        </w:rPr>
        <w:t xml:space="preserve"> </w:t>
      </w:r>
      <w:r w:rsidR="00777DCB" w:rsidRPr="00A52585">
        <w:rPr>
          <w:rFonts w:hint="cs"/>
          <w:sz w:val="24"/>
          <w:szCs w:val="24"/>
          <w:rtl/>
        </w:rPr>
        <w:t>والتي سبق وأن ذكرناها</w:t>
      </w:r>
      <w:r w:rsidRPr="00A52585">
        <w:rPr>
          <w:rFonts w:hint="cs"/>
          <w:sz w:val="24"/>
          <w:szCs w:val="24"/>
          <w:rtl/>
        </w:rPr>
        <w:t xml:space="preserve"> </w:t>
      </w:r>
      <w:r w:rsidR="00777DCB" w:rsidRPr="00A52585">
        <w:rPr>
          <w:rFonts w:hint="cs"/>
          <w:sz w:val="24"/>
          <w:szCs w:val="24"/>
          <w:rtl/>
        </w:rPr>
        <w:t>في ثنايا هذا الكتاب</w:t>
      </w:r>
      <w:r w:rsidRPr="00A52585">
        <w:rPr>
          <w:rFonts w:hint="cs"/>
          <w:sz w:val="24"/>
          <w:szCs w:val="24"/>
          <w:rtl/>
        </w:rPr>
        <w:t xml:space="preserve"> </w:t>
      </w:r>
      <w:r w:rsidR="00777DCB" w:rsidRPr="00A52585">
        <w:rPr>
          <w:rFonts w:hint="cs"/>
          <w:sz w:val="24"/>
          <w:szCs w:val="24"/>
          <w:rtl/>
        </w:rPr>
        <w:t>وطريقة هذه المغالطة هي نفسها التي استخدمها في الفتوى الحموية الكبرى عندما زعم أن ما اتفق عليه القرآن والتوراة أولى بالثبوت مما انفرد به أحدهما! وستأتي الإشارة إليها في تعليقنا على المجاز</w:t>
      </w:r>
      <w:r w:rsidR="00DB731D" w:rsidRPr="00A52585">
        <w:rPr>
          <w:rFonts w:hint="cs"/>
          <w:sz w:val="24"/>
          <w:szCs w:val="24"/>
          <w:rtl/>
        </w:rPr>
        <w:t>،</w:t>
      </w:r>
      <w:r w:rsidR="00777DCB" w:rsidRPr="00A52585">
        <w:rPr>
          <w:rFonts w:hint="cs"/>
          <w:sz w:val="24"/>
          <w:szCs w:val="24"/>
          <w:rtl/>
        </w:rPr>
        <w:t xml:space="preserve"> ومن أراد أن يقف على مدى بشاعة فكر ابن تيمية فعليه بالآتي</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أولاً</w:t>
      </w:r>
      <w:r w:rsidRPr="00A52585">
        <w:rPr>
          <w:rFonts w:hint="cs"/>
          <w:sz w:val="24"/>
          <w:szCs w:val="24"/>
          <w:rtl/>
        </w:rPr>
        <w:t>):</w:t>
      </w:r>
      <w:r w:rsidR="00777DCB" w:rsidRPr="00A52585">
        <w:rPr>
          <w:rFonts w:hint="cs"/>
          <w:sz w:val="24"/>
          <w:szCs w:val="24"/>
          <w:rtl/>
        </w:rPr>
        <w:t xml:space="preserve"> مطالعة كتابي</w:t>
      </w:r>
      <w:r w:rsidRPr="00A52585">
        <w:rPr>
          <w:rFonts w:hint="cs"/>
          <w:sz w:val="24"/>
          <w:szCs w:val="24"/>
          <w:rtl/>
        </w:rPr>
        <w:t>:</w:t>
      </w:r>
      <w:r w:rsidR="00777DCB" w:rsidRPr="00A52585">
        <w:rPr>
          <w:rFonts w:hint="cs"/>
          <w:sz w:val="24"/>
          <w:szCs w:val="24"/>
          <w:rtl/>
        </w:rPr>
        <w:t xml:space="preserve"> أ- تأثر اليهودية بالأديان الوثنية لفضيلة الدكتور/ فتحي محمد الزغبي (رسالة دكتوراة) ط دار البشير</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دراسات في التوراة لفضيلة الشيخ/ عطية إبراهيم </w:t>
      </w:r>
      <w:proofErr w:type="spellStart"/>
      <w:r w:rsidR="00777DCB" w:rsidRPr="00A52585">
        <w:rPr>
          <w:rFonts w:hint="cs"/>
          <w:sz w:val="24"/>
          <w:szCs w:val="24"/>
          <w:rtl/>
        </w:rPr>
        <w:t>الشوادفي</w:t>
      </w:r>
      <w:proofErr w:type="spellEnd"/>
      <w:r w:rsidR="00777DCB" w:rsidRPr="00A52585">
        <w:rPr>
          <w:rFonts w:hint="cs"/>
          <w:sz w:val="24"/>
          <w:szCs w:val="24"/>
          <w:rtl/>
        </w:rPr>
        <w:t xml:space="preserve"> مدير عام الوعظ سابقاً ط المؤتمر العالمي للسيرة والسنة النبوية</w:t>
      </w:r>
      <w:r w:rsidR="00DB731D" w:rsidRPr="00A52585">
        <w:rPr>
          <w:rFonts w:hint="cs"/>
          <w:sz w:val="24"/>
          <w:szCs w:val="24"/>
          <w:rtl/>
        </w:rPr>
        <w:t>،</w:t>
      </w:r>
      <w:r w:rsidR="00777DCB" w:rsidRPr="00A52585">
        <w:rPr>
          <w:rFonts w:hint="cs"/>
          <w:sz w:val="24"/>
          <w:szCs w:val="24"/>
          <w:rtl/>
        </w:rPr>
        <w:t xml:space="preserve"> ثم يراجع النقاط السابق ذكرها وخاصة التجسيم وقيام الحوادث بالذات المقدسة وغير ذلك ثم تأمل كلامه الآتي في الفتوى الحموية عن التشبيه والتجسيم </w:t>
      </w:r>
      <w:r w:rsidR="00777DCB" w:rsidRPr="00A52585">
        <w:rPr>
          <w:sz w:val="24"/>
          <w:szCs w:val="24"/>
        </w:rPr>
        <w:t>–</w:t>
      </w:r>
      <w:r w:rsidR="00777DCB" w:rsidRPr="00A52585">
        <w:rPr>
          <w:rFonts w:hint="cs"/>
          <w:sz w:val="24"/>
          <w:szCs w:val="24"/>
          <w:rtl/>
        </w:rPr>
        <w:t xml:space="preserve"> والذي يسميه صفات</w:t>
      </w:r>
      <w:r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sidR="00F95886" w:rsidRPr="00A52585">
        <w:rPr>
          <w:rFonts w:hint="cs"/>
          <w:sz w:val="24"/>
          <w:szCs w:val="24"/>
          <w:rtl/>
        </w:rPr>
        <w:t>؟</w:t>
      </w:r>
      <w:r w:rsidR="00777DCB" w:rsidRPr="00A52585">
        <w:rPr>
          <w:rFonts w:hint="cs"/>
          <w:sz w:val="24"/>
          <w:szCs w:val="24"/>
          <w:rtl/>
        </w:rPr>
        <w:t xml:space="preserve">، وكانوا إذا ذكروا بين يديه الصفات ضحك تعجباً وتصديقاً لها، ولم يعبهم قط بما تعيب </w:t>
      </w:r>
      <w:proofErr w:type="spellStart"/>
      <w:r w:rsidR="00777DCB" w:rsidRPr="00A52585">
        <w:rPr>
          <w:rFonts w:hint="cs"/>
          <w:sz w:val="24"/>
          <w:szCs w:val="24"/>
          <w:rtl/>
        </w:rPr>
        <w:t>النفاة</w:t>
      </w:r>
      <w:proofErr w:type="spellEnd"/>
      <w:r w:rsidR="00777DCB" w:rsidRPr="00A52585">
        <w:rPr>
          <w:rFonts w:hint="cs"/>
          <w:sz w:val="24"/>
          <w:szCs w:val="24"/>
          <w:rtl/>
        </w:rPr>
        <w:t xml:space="preserve"> لأهل الإثبات على لفظ التجسيم والتشبيه ونحو ذلك، بل عليهم بقولهم </w:t>
      </w:r>
      <w:r w:rsidRPr="00A52585">
        <w:rPr>
          <w:rFonts w:hint="cs"/>
          <w:sz w:val="24"/>
          <w:szCs w:val="24"/>
          <w:rtl/>
        </w:rPr>
        <w:t>{</w:t>
      </w:r>
      <w:r w:rsidR="00777DCB" w:rsidRPr="00A52585">
        <w:rPr>
          <w:rFonts w:hint="cs"/>
          <w:sz w:val="24"/>
          <w:szCs w:val="24"/>
          <w:rtl/>
        </w:rPr>
        <w:t>يّدُ الله مَغْلُولَةٌ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سورة المائدة</w:t>
      </w:r>
      <w:r w:rsidRPr="00A52585">
        <w:rPr>
          <w:rFonts w:hint="cs"/>
          <w:sz w:val="24"/>
          <w:szCs w:val="24"/>
          <w:rtl/>
        </w:rPr>
        <w:t>:</w:t>
      </w:r>
      <w:r w:rsidR="00777DCB" w:rsidRPr="00A52585">
        <w:rPr>
          <w:rFonts w:hint="cs"/>
          <w:sz w:val="24"/>
          <w:szCs w:val="24"/>
          <w:rtl/>
        </w:rPr>
        <w:t xml:space="preserve"> 64]</w:t>
      </w:r>
      <w:r w:rsidR="00DB731D" w:rsidRPr="00A52585">
        <w:rPr>
          <w:rFonts w:hint="cs"/>
          <w:sz w:val="24"/>
          <w:szCs w:val="24"/>
          <w:rtl/>
        </w:rPr>
        <w:t>،</w:t>
      </w:r>
      <w:r w:rsidR="00777DCB" w:rsidRPr="00A52585">
        <w:rPr>
          <w:rFonts w:hint="cs"/>
          <w:sz w:val="24"/>
          <w:szCs w:val="24"/>
          <w:rtl/>
        </w:rPr>
        <w:t xml:space="preserve"> وقولهم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الله فَقِيرٌ وَنَحنُ أغنِيَاءُ</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سورة آل عمران</w:t>
      </w:r>
      <w:r w:rsidRPr="00A52585">
        <w:rPr>
          <w:rFonts w:hint="cs"/>
          <w:sz w:val="24"/>
          <w:szCs w:val="24"/>
          <w:rtl/>
        </w:rPr>
        <w:t>:</w:t>
      </w:r>
      <w:r w:rsidR="00777DCB" w:rsidRPr="00A52585">
        <w:rPr>
          <w:rFonts w:hint="cs"/>
          <w:sz w:val="24"/>
          <w:szCs w:val="24"/>
          <w:rtl/>
        </w:rPr>
        <w:t xml:space="preserve"> 181</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وقولهم</w:t>
      </w:r>
      <w:r w:rsidRPr="00A52585">
        <w:rPr>
          <w:rFonts w:hint="cs"/>
          <w:sz w:val="24"/>
          <w:szCs w:val="24"/>
          <w:rtl/>
        </w:rPr>
        <w:t>:</w:t>
      </w:r>
      <w:r w:rsidR="00777DCB" w:rsidRPr="00A52585">
        <w:rPr>
          <w:rFonts w:hint="cs"/>
          <w:sz w:val="24"/>
          <w:szCs w:val="24"/>
          <w:rtl/>
        </w:rPr>
        <w:t xml:space="preserve"> إنه استراح لما خلق السموات والأرض فقال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ولَقَدْ خَلَقنَا السَّمَوَاتِ والأرْضَ وَمَا بَينَهُمَا فيِ سِتَّةِ، أيَّامٍ وَمَا مَسَّنَا مِن لغُوبٍ}</w:t>
      </w:r>
      <w:r w:rsidRPr="00A52585">
        <w:rPr>
          <w:rFonts w:hint="cs"/>
          <w:sz w:val="24"/>
          <w:szCs w:val="24"/>
          <w:rtl/>
        </w:rPr>
        <w:t xml:space="preserve"> [</w:t>
      </w:r>
      <w:r w:rsidR="00777DCB" w:rsidRPr="00A52585">
        <w:rPr>
          <w:rFonts w:hint="cs"/>
          <w:sz w:val="24"/>
          <w:szCs w:val="24"/>
          <w:rtl/>
        </w:rPr>
        <w:t>سورة ق</w:t>
      </w:r>
      <w:r w:rsidRPr="00A52585">
        <w:rPr>
          <w:rFonts w:hint="cs"/>
          <w:sz w:val="24"/>
          <w:szCs w:val="24"/>
          <w:rtl/>
        </w:rPr>
        <w:t>:</w:t>
      </w:r>
      <w:r w:rsidR="00777DCB" w:rsidRPr="00A52585">
        <w:rPr>
          <w:rFonts w:hint="cs"/>
          <w:sz w:val="24"/>
          <w:szCs w:val="24"/>
          <w:rtl/>
        </w:rPr>
        <w:t>38] أهـ من الفتوى الحموية ص 38،39</w:t>
      </w:r>
      <w:r w:rsidR="00DB731D" w:rsidRPr="00A52585">
        <w:rPr>
          <w:rFonts w:hint="cs"/>
          <w:sz w:val="24"/>
          <w:szCs w:val="24"/>
          <w:rtl/>
        </w:rPr>
        <w:t>،</w:t>
      </w:r>
      <w:r w:rsidR="00777DCB" w:rsidRPr="00A52585">
        <w:rPr>
          <w:rFonts w:hint="cs"/>
          <w:sz w:val="24"/>
          <w:szCs w:val="24"/>
          <w:rtl/>
        </w:rPr>
        <w:t xml:space="preserve"> ومنه يتبين إقراره الضمني بما في عقائدهم من التشبيه والتجسيم سوى الأمثلة التي استثناها، وقس على ذلك بقية النقاط التي تابعهم فيها وصدق رسول الله صلى الله عليه وسلم فإن ما وقع من ابن تيمية هو من دلائل نبوة سيدنا محمد صلى الله عليه وسلم حين أخبر به وحذر منه فقال</w:t>
      </w:r>
      <w:r w:rsidRPr="00A52585">
        <w:rPr>
          <w:rFonts w:hint="cs"/>
          <w:sz w:val="24"/>
          <w:szCs w:val="24"/>
          <w:rtl/>
        </w:rPr>
        <w:t xml:space="preserve">: </w:t>
      </w:r>
      <w:r w:rsidR="00777DCB" w:rsidRPr="00A52585">
        <w:rPr>
          <w:rFonts w:hint="cs"/>
          <w:sz w:val="24"/>
          <w:szCs w:val="24"/>
          <w:rtl/>
        </w:rPr>
        <w:t>"لتتبعن سَنَنَ من كان قبلكم شبراً بشبر وذراعاً بذراع حتى لو سلكوا حجر ضب لَسَلَكْتُمُوه قلنا</w:t>
      </w:r>
      <w:r w:rsidRPr="00A52585">
        <w:rPr>
          <w:rFonts w:hint="cs"/>
          <w:sz w:val="24"/>
          <w:szCs w:val="24"/>
          <w:rtl/>
        </w:rPr>
        <w:t>:</w:t>
      </w:r>
      <w:r w:rsidR="00777DCB" w:rsidRPr="00A52585">
        <w:rPr>
          <w:rFonts w:hint="cs"/>
          <w:sz w:val="24"/>
          <w:szCs w:val="24"/>
          <w:rtl/>
        </w:rPr>
        <w:t xml:space="preserve"> يا رسول الله اليهود </w:t>
      </w:r>
      <w:proofErr w:type="spellStart"/>
      <w:r w:rsidR="00777DCB" w:rsidRPr="00A52585">
        <w:rPr>
          <w:rFonts w:hint="cs"/>
          <w:sz w:val="24"/>
          <w:szCs w:val="24"/>
          <w:rtl/>
        </w:rPr>
        <w:t>والنصاري</w:t>
      </w:r>
      <w:proofErr w:type="spellEnd"/>
      <w:r w:rsidR="00F95886" w:rsidRPr="00A52585">
        <w:rPr>
          <w:rFonts w:hint="cs"/>
          <w:sz w:val="24"/>
          <w:szCs w:val="24"/>
          <w:rtl/>
        </w:rPr>
        <w:t>؟</w:t>
      </w:r>
      <w:r w:rsidR="00777DCB" w:rsidRPr="00A52585">
        <w:rPr>
          <w:rFonts w:hint="cs"/>
          <w:sz w:val="24"/>
          <w:szCs w:val="24"/>
          <w:rtl/>
        </w:rPr>
        <w:t xml:space="preserve"> قال النبي صلى الله عليه وسلم</w:t>
      </w:r>
      <w:r w:rsidRPr="00A52585">
        <w:rPr>
          <w:rFonts w:hint="cs"/>
          <w:sz w:val="24"/>
          <w:szCs w:val="24"/>
          <w:rtl/>
        </w:rPr>
        <w:t>:</w:t>
      </w:r>
      <w:r w:rsidR="00777DCB" w:rsidRPr="00A52585">
        <w:rPr>
          <w:rFonts w:hint="cs"/>
          <w:sz w:val="24"/>
          <w:szCs w:val="24"/>
          <w:rtl/>
        </w:rPr>
        <w:t xml:space="preserve"> فمن</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صحيح البخاري كتاب أحاديث الأنبياء- باب</w:t>
      </w:r>
      <w:r w:rsidRPr="00A52585">
        <w:rPr>
          <w:rFonts w:hint="cs"/>
          <w:sz w:val="24"/>
          <w:szCs w:val="24"/>
          <w:rtl/>
        </w:rPr>
        <w:t>:</w:t>
      </w:r>
      <w:r w:rsidR="00777DCB" w:rsidRPr="00A52585">
        <w:rPr>
          <w:rFonts w:hint="cs"/>
          <w:sz w:val="24"/>
          <w:szCs w:val="24"/>
          <w:rtl/>
        </w:rPr>
        <w:t xml:space="preserve"> ما ذكر عن بني إسرائيل عن أبي سعيد الخدري وخص حجر الضب بالذكر لشدة ضيقه ورداءته وهو كناية عن شدة الاتباع في عظيم </w:t>
      </w:r>
      <w:r w:rsidR="00777DCB" w:rsidRPr="00A52585">
        <w:rPr>
          <w:rFonts w:hint="cs"/>
          <w:sz w:val="24"/>
          <w:szCs w:val="24"/>
          <w:rtl/>
        </w:rPr>
        <w:lastRenderedPageBreak/>
        <w:t xml:space="preserve">الأمور </w:t>
      </w:r>
      <w:proofErr w:type="spellStart"/>
      <w:r w:rsidR="00777DCB" w:rsidRPr="00A52585">
        <w:rPr>
          <w:rFonts w:hint="cs"/>
          <w:sz w:val="24"/>
          <w:szCs w:val="24"/>
          <w:rtl/>
        </w:rPr>
        <w:t>وحقيرها</w:t>
      </w:r>
      <w:proofErr w:type="spellEnd"/>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spacing w:val="-6"/>
          <w:rtl/>
        </w:rPr>
        <w:t>ولنرجع إلى ما ذكره ابن شاكر في تاريخه ذكره في الجزء العشرين قال</w:t>
      </w:r>
      <w:r w:rsidRPr="00A52585">
        <w:rPr>
          <w:rFonts w:hint="cs"/>
          <w:bCs/>
          <w:spacing w:val="-6"/>
          <w:rtl/>
        </w:rPr>
        <w:t>:</w:t>
      </w:r>
      <w:r w:rsidR="00777DCB" w:rsidRPr="00A52585">
        <w:rPr>
          <w:rFonts w:hint="cs"/>
          <w:bCs/>
          <w:spacing w:val="-6"/>
          <w:rtl/>
        </w:rPr>
        <w:t xml:space="preserve"> </w:t>
      </w:r>
      <w:r w:rsidR="00777DCB" w:rsidRPr="00A52585">
        <w:rPr>
          <w:rFonts w:hint="cs"/>
          <w:bCs/>
          <w:rtl/>
        </w:rPr>
        <w:t>[4-]</w:t>
      </w:r>
      <w:r w:rsidR="00777DCB" w:rsidRPr="00A52585">
        <w:rPr>
          <w:rFonts w:hint="cs"/>
          <w:rtl/>
        </w:rPr>
        <w:t xml:space="preserve"> وفي سنة خمس وسبعمائة في ثامن رجب عقد مجلس بالقضاة والفقهاء بحضرة نائب السلطنة بالقصر الأبلق فسئل ابن تيمية عن عقيدته. فأملى شيئاً منها. ثم أحضرت </w:t>
      </w:r>
      <w:r w:rsidR="00777DCB" w:rsidRPr="00A52585">
        <w:rPr>
          <w:rFonts w:hint="cs"/>
          <w:bCs/>
          <w:rtl/>
        </w:rPr>
        <w:t>عقيدته الواسطية</w:t>
      </w:r>
      <w:r w:rsidR="00777DCB" w:rsidRPr="00A52585">
        <w:rPr>
          <w:rFonts w:hint="cs"/>
          <w:rtl/>
        </w:rPr>
        <w:t xml:space="preserve"> وقرئت في المجلس ووقعت بحوث كثيرة وبقيت مواضع أخرت إلى مجلس ثان</w:t>
      </w:r>
      <w:r w:rsidR="00DB731D" w:rsidRPr="00A52585">
        <w:rPr>
          <w:rFonts w:hint="cs"/>
          <w:rtl/>
        </w:rPr>
        <w:t>،</w:t>
      </w:r>
      <w:r w:rsidR="00777DCB" w:rsidRPr="00A52585">
        <w:rPr>
          <w:rFonts w:hint="cs"/>
          <w:rtl/>
        </w:rPr>
        <w:t xml:space="preserve"> ثم اجتمعوا يوم الجمعة ثاني عشر رجب وحضر المجلس صفي الدين الهندي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محمد بن عبد الرحيم بن محمد الشيخ العلامة صفي الدين أبو عبد الله الهندي الأرموي المتكلم على مذهب الأشعري</w:t>
      </w:r>
      <w:r w:rsidR="00DB731D" w:rsidRPr="00A52585">
        <w:rPr>
          <w:rFonts w:hint="cs"/>
          <w:sz w:val="24"/>
          <w:szCs w:val="24"/>
          <w:rtl/>
        </w:rPr>
        <w:t>،</w:t>
      </w:r>
      <w:r w:rsidR="00777DCB" w:rsidRPr="00A52585">
        <w:rPr>
          <w:rFonts w:hint="cs"/>
          <w:sz w:val="24"/>
          <w:szCs w:val="24"/>
          <w:rtl/>
        </w:rPr>
        <w:t xml:space="preserve"> ولد في الهند 644هـ وتعلم فيها ثم سافر إلى السمن وحج ثم أتى مصر ثم بلاد الروم وأخيراً إلى دمشق وولي بها مشيخة الشيوخ وانتصب للإفتاء والتدريس والتصنيف</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وهو الذي ناظر ابن تيمية في عقيدته عام 698هـ المسماة بالفتوى الحموية كما سيأتي الإشارة إليها</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قال التاج السبكي</w:t>
      </w:r>
      <w:r w:rsidRPr="00A52585">
        <w:rPr>
          <w:rFonts w:hint="cs"/>
          <w:sz w:val="24"/>
          <w:szCs w:val="24"/>
          <w:rtl/>
        </w:rPr>
        <w:t>:</w:t>
      </w:r>
      <w:r w:rsidR="00777DCB" w:rsidRPr="00A52585">
        <w:rPr>
          <w:rFonts w:hint="cs"/>
          <w:sz w:val="24"/>
          <w:szCs w:val="24"/>
          <w:rtl/>
        </w:rPr>
        <w:t xml:space="preserve"> كان من أعلم الناس بمذهب الشيخ أبي الحسن الأشعري وأدراهم بأسراره متضلعا بالأصلين. وقال </w:t>
      </w:r>
      <w:proofErr w:type="spellStart"/>
      <w:r w:rsidR="00777DCB" w:rsidRPr="00A52585">
        <w:rPr>
          <w:rFonts w:hint="cs"/>
          <w:sz w:val="24"/>
          <w:szCs w:val="24"/>
          <w:rtl/>
        </w:rPr>
        <w:t>الإسنوي</w:t>
      </w:r>
      <w:proofErr w:type="spellEnd"/>
      <w:r w:rsidRPr="00A52585">
        <w:rPr>
          <w:rFonts w:hint="cs"/>
          <w:sz w:val="24"/>
          <w:szCs w:val="24"/>
          <w:rtl/>
        </w:rPr>
        <w:t>:</w:t>
      </w:r>
      <w:r w:rsidR="00777DCB" w:rsidRPr="00A52585">
        <w:rPr>
          <w:rFonts w:hint="cs"/>
          <w:sz w:val="24"/>
          <w:szCs w:val="24"/>
          <w:rtl/>
        </w:rPr>
        <w:t xml:space="preserve"> كان فقيها أصوليا متكلما أديبا متعبداً</w:t>
      </w:r>
      <w:r w:rsidR="00DB731D" w:rsidRPr="00A52585">
        <w:rPr>
          <w:rFonts w:hint="cs"/>
          <w:sz w:val="24"/>
          <w:szCs w:val="24"/>
          <w:rtl/>
        </w:rPr>
        <w:t>،</w:t>
      </w:r>
      <w:r w:rsidR="00777DCB" w:rsidRPr="00A52585">
        <w:rPr>
          <w:rFonts w:hint="cs"/>
          <w:sz w:val="24"/>
          <w:szCs w:val="24"/>
          <w:rtl/>
        </w:rPr>
        <w:t xml:space="preserve"> توفى رضي الله عنه في دمشق سنة 715هـ]</w:t>
      </w:r>
      <w:r w:rsidR="00DB731D" w:rsidRPr="00A52585">
        <w:rPr>
          <w:rFonts w:hint="cs"/>
          <w:rtl/>
        </w:rPr>
        <w:t>،</w:t>
      </w:r>
      <w:r w:rsidR="00777DCB" w:rsidRPr="00A52585">
        <w:rPr>
          <w:rFonts w:hint="cs"/>
          <w:rtl/>
        </w:rPr>
        <w:t xml:space="preserve"> وبحثوا ثم اتفقوا على أن كمال الدين بن </w:t>
      </w:r>
      <w:proofErr w:type="spellStart"/>
      <w:r w:rsidR="00777DCB" w:rsidRPr="00A52585">
        <w:rPr>
          <w:rFonts w:hint="cs"/>
          <w:rtl/>
        </w:rPr>
        <w:t>الزملكاني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العلامة والفقيه الشافعي الكبير قاضي القضاة</w:t>
      </w:r>
      <w:r w:rsidRPr="00A52585">
        <w:rPr>
          <w:rFonts w:hint="cs"/>
          <w:sz w:val="24"/>
          <w:szCs w:val="24"/>
          <w:rtl/>
        </w:rPr>
        <w:t>:</w:t>
      </w:r>
      <w:r w:rsidR="00777DCB" w:rsidRPr="00A52585">
        <w:rPr>
          <w:rFonts w:hint="cs"/>
          <w:sz w:val="24"/>
          <w:szCs w:val="24"/>
          <w:rtl/>
        </w:rPr>
        <w:t xml:space="preserve"> كمال الدين أبو المعالي محمد بن عبد الواحد بن عبد الكريم المعروف بـ (ابن </w:t>
      </w:r>
      <w:proofErr w:type="spellStart"/>
      <w:r w:rsidR="00777DCB" w:rsidRPr="00A52585">
        <w:rPr>
          <w:rFonts w:hint="cs"/>
          <w:sz w:val="24"/>
          <w:szCs w:val="24"/>
          <w:rtl/>
        </w:rPr>
        <w:t>الزملكاني</w:t>
      </w:r>
      <w:proofErr w:type="spellEnd"/>
      <w:r w:rsidR="00777DCB" w:rsidRPr="00A52585">
        <w:rPr>
          <w:rFonts w:hint="cs"/>
          <w:sz w:val="24"/>
          <w:szCs w:val="24"/>
          <w:rtl/>
        </w:rPr>
        <w:t>) ينتهي نسبه إلى الصحابي الجليل أبي دجانة سمال بن حرشة</w:t>
      </w:r>
      <w:r w:rsidR="00DB731D" w:rsidRPr="00A52585">
        <w:rPr>
          <w:rFonts w:hint="cs"/>
          <w:sz w:val="24"/>
          <w:szCs w:val="24"/>
          <w:rtl/>
        </w:rPr>
        <w:t>،</w:t>
      </w:r>
      <w:r w:rsidR="00777DCB" w:rsidRPr="00A52585">
        <w:rPr>
          <w:rFonts w:hint="cs"/>
          <w:sz w:val="24"/>
          <w:szCs w:val="24"/>
          <w:rtl/>
        </w:rPr>
        <w:t xml:space="preserve"> ولد سنة 667هـ طلب الحديث بنفسه وسمع من جماعة، وقرأ الفقه على الشيخ تاج الدين الفزاري وقرأ الأصول على بهاء الدين بن الزكي والصفي الهندي والنحو على بدر الدين بن مالك جلس بالجامع للإشغال وله تسع عشرة سنة</w:t>
      </w:r>
      <w:r w:rsidR="00DB731D" w:rsidRPr="00A52585">
        <w:rPr>
          <w:rFonts w:hint="cs"/>
          <w:sz w:val="24"/>
          <w:szCs w:val="24"/>
          <w:rtl/>
        </w:rPr>
        <w:t>،</w:t>
      </w:r>
      <w:r w:rsidR="00777DCB" w:rsidRPr="00A52585">
        <w:rPr>
          <w:rFonts w:hint="cs"/>
          <w:sz w:val="24"/>
          <w:szCs w:val="24"/>
          <w:rtl/>
        </w:rPr>
        <w:t xml:space="preserve"> ولي قضاء حلب ودرس بها من مصنفاته في الرد على ابن تيمية</w:t>
      </w:r>
      <w:r w:rsidRPr="00A52585">
        <w:rPr>
          <w:rFonts w:hint="cs"/>
          <w:sz w:val="24"/>
          <w:szCs w:val="24"/>
          <w:rtl/>
        </w:rPr>
        <w:t>:</w:t>
      </w:r>
      <w:r w:rsidR="00777DCB" w:rsidRPr="00A52585">
        <w:rPr>
          <w:rFonts w:hint="cs"/>
          <w:sz w:val="24"/>
          <w:szCs w:val="24"/>
          <w:rtl/>
        </w:rPr>
        <w:t xml:space="preserve"> (العمل المقبول في زيارة الرسول)، و(الرد في مسألة الطلاق في مجلد وله مصنفات أخرى في الفقه وأصوله وله كتاب في تفضيل الملك على البشر قال عنه الذهبي</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كان من بقايا المجتهدين ومن أذكياء أهل زمانه ودرّس وأفتى وصنف وتخرج به الأصحاب"</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توفي في بلبيس في رمضان سنة 727هـ وحمل إلى القاهرة ودفن بجوار قبة الشافعي رضي الله عنهما</w:t>
      </w:r>
      <w:r w:rsidRPr="00A52585">
        <w:rPr>
          <w:rFonts w:hint="cs"/>
          <w:spacing w:val="-6"/>
          <w:sz w:val="24"/>
          <w:szCs w:val="24"/>
          <w:rtl/>
        </w:rPr>
        <w:t>]</w:t>
      </w:r>
      <w:r w:rsidR="00DB731D" w:rsidRPr="00A52585">
        <w:rPr>
          <w:rFonts w:hint="cs"/>
          <w:rtl/>
        </w:rPr>
        <w:t>،</w:t>
      </w:r>
      <w:r w:rsidR="00777DCB" w:rsidRPr="00A52585">
        <w:rPr>
          <w:rFonts w:hint="cs"/>
          <w:rtl/>
        </w:rPr>
        <w:t xml:space="preserve"> </w:t>
      </w:r>
      <w:proofErr w:type="spellStart"/>
      <w:r w:rsidR="00777DCB" w:rsidRPr="00A52585">
        <w:rPr>
          <w:rFonts w:hint="cs"/>
          <w:rtl/>
        </w:rPr>
        <w:t>يحــاقق</w:t>
      </w:r>
      <w:proofErr w:type="spellEnd"/>
      <w:r w:rsidR="00777DCB" w:rsidRPr="00A52585">
        <w:rPr>
          <w:rFonts w:hint="cs"/>
          <w:rtl/>
        </w:rPr>
        <w:t xml:space="preserve"> ابن تيمية ورضوا كلهم بذلك فأفحم كمال الدين ابن تيمية وخاف ابن تيمية على نفسه فأشهد على نفسه الحاضرين أنه شافعي المذهب ويعتقد ما يعتقده الإمام الشافعي فرضوا منه بذلك وانصرفوا</w:t>
      </w:r>
      <w:r w:rsidR="00DB731D" w:rsidRPr="00A52585">
        <w:rPr>
          <w:rFonts w:hint="cs"/>
          <w:vertAlign w:val="superscript"/>
          <w:rtl/>
        </w:rPr>
        <w:t>،</w:t>
      </w:r>
      <w:r w:rsidR="00777DCB" w:rsidRPr="00A52585">
        <w:rPr>
          <w:rFonts w:hint="cs"/>
          <w:rtl/>
        </w:rPr>
        <w:t xml:space="preserve"> ثم إن أصحاب ابن تيمية أظهروا أن الحق ظهر مع شيخهم وأن الحق معه</w:t>
      </w:r>
      <w:r w:rsidR="00DB731D" w:rsidRPr="00A52585">
        <w:rPr>
          <w:rFonts w:hint="cs"/>
          <w:rtl/>
        </w:rPr>
        <w:t>،</w:t>
      </w:r>
      <w:r w:rsidR="00777DCB" w:rsidRPr="00A52585">
        <w:rPr>
          <w:rFonts w:hint="cs"/>
          <w:rtl/>
        </w:rPr>
        <w:t xml:space="preserve"> فأحضروا إلى مجلس القاضي جلال الدين القزويني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العلامة قاضي القضاة جلال الدين أبو عبد الله محمد بن عبد الرحمن بن عمر القزويني ثم الدمشقي، ولد سنة 666هـ حدث وأفتى ودرس وولي الخطابة ثم القضاء بدمشق ثم انتقل إلى قضاء مصر 11 سنة ثم عاد إلى قضاء الشام صنف (تلخيص المفتاح) في المعاني والبيان، وشرحه المسمى (الإيضاح) وصنف في الأصول كتابا حسنا. توفى بدمشق سنة 739هـ]</w:t>
      </w:r>
      <w:r w:rsidR="00DB731D" w:rsidRPr="00A52585">
        <w:rPr>
          <w:rFonts w:hint="cs"/>
          <w:rtl/>
        </w:rPr>
        <w:t>،</w:t>
      </w:r>
      <w:r w:rsidR="00777DCB" w:rsidRPr="00A52585">
        <w:rPr>
          <w:rFonts w:hint="cs"/>
          <w:rtl/>
        </w:rPr>
        <w:t xml:space="preserve"> وأحضروا ابن تيمية وصفعه ورسم بتعزيره فشفع فيه</w:t>
      </w:r>
      <w:r w:rsidR="00DB731D" w:rsidRPr="00A52585">
        <w:rPr>
          <w:rFonts w:hint="cs"/>
          <w:rtl/>
        </w:rPr>
        <w:t>،</w:t>
      </w:r>
      <w:r w:rsidR="00777DCB" w:rsidRPr="00A52585">
        <w:rPr>
          <w:rFonts w:hint="cs"/>
          <w:rtl/>
        </w:rPr>
        <w:t xml:space="preserve"> وكذلك فعل الحنفي باثنين من أصحاب ابن تيمية</w:t>
      </w:r>
      <w:r w:rsidR="00DB731D" w:rsidRPr="00A52585">
        <w:rPr>
          <w:rFonts w:hint="cs"/>
          <w:rtl/>
        </w:rPr>
        <w:t>،</w:t>
      </w:r>
      <w:r w:rsidR="00777DCB" w:rsidRPr="00A52585">
        <w:rPr>
          <w:rFonts w:hint="cs"/>
          <w:bCs/>
          <w:rtl/>
        </w:rPr>
        <w:t xml:space="preserve"> [5-]</w:t>
      </w:r>
      <w:r w:rsidR="00777DCB" w:rsidRPr="00A52585">
        <w:rPr>
          <w:rFonts w:hint="cs"/>
          <w:rtl/>
        </w:rPr>
        <w:t xml:space="preserve"> ثم قال</w:t>
      </w:r>
      <w:r w:rsidRPr="00A52585">
        <w:rPr>
          <w:rFonts w:hint="cs"/>
          <w:rtl/>
        </w:rPr>
        <w:t>:</w:t>
      </w:r>
      <w:r w:rsidR="00777DCB" w:rsidRPr="00A52585">
        <w:rPr>
          <w:rFonts w:hint="cs"/>
          <w:rtl/>
        </w:rPr>
        <w:t xml:space="preserve"> ولما كان سلخ رجب جمعوا القضاة والفقهاء. وعقد مجلس بالميدان أيضاً وحضر نائب السلطنة أيضاً وتباحثوا في </w:t>
      </w:r>
      <w:r w:rsidR="00777DCB" w:rsidRPr="00A52585">
        <w:rPr>
          <w:rFonts w:hint="cs"/>
          <w:bCs/>
          <w:rtl/>
        </w:rPr>
        <w:t>أمر العقيدة</w:t>
      </w:r>
      <w:r w:rsidR="00777DCB" w:rsidRPr="00A52585">
        <w:rPr>
          <w:rFonts w:hint="cs"/>
          <w:rtl/>
        </w:rPr>
        <w:t xml:space="preserve"> وسلك معهم المسلك الأول</w:t>
      </w:r>
      <w:r w:rsidR="00DB731D" w:rsidRPr="00A52585">
        <w:rPr>
          <w:rFonts w:hint="cs"/>
          <w:rtl/>
        </w:rPr>
        <w:t>،</w:t>
      </w:r>
      <w:r w:rsidR="00777DCB" w:rsidRPr="00A52585">
        <w:rPr>
          <w:rFonts w:hint="cs"/>
          <w:rtl/>
        </w:rPr>
        <w:t xml:space="preserve"> </w:t>
      </w:r>
      <w:r w:rsidR="00777DCB" w:rsidRPr="00A52585">
        <w:rPr>
          <w:rFonts w:hint="cs"/>
          <w:spacing w:val="-6"/>
          <w:rtl/>
        </w:rPr>
        <w:t xml:space="preserve">فلما كان بعد </w:t>
      </w:r>
      <w:r w:rsidR="00777DCB" w:rsidRPr="00A52585">
        <w:rPr>
          <w:rFonts w:hint="cs"/>
          <w:spacing w:val="-6"/>
          <w:rtl/>
        </w:rPr>
        <w:lastRenderedPageBreak/>
        <w:t>أيام ورد مرسوم السلطان صحبة بريدي من الديار المصرية</w:t>
      </w:r>
      <w:r w:rsidR="00777DCB" w:rsidRPr="00A52585">
        <w:rPr>
          <w:rFonts w:hint="cs"/>
          <w:rtl/>
        </w:rPr>
        <w:t xml:space="preserve"> بطلب قاضي القضاة نجم الدين بن </w:t>
      </w:r>
      <w:proofErr w:type="spellStart"/>
      <w:r w:rsidR="00777DCB" w:rsidRPr="00A52585">
        <w:rPr>
          <w:rFonts w:hint="cs"/>
          <w:rtl/>
        </w:rPr>
        <w:t>صصري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نجم الدين أبو العباس أحمد بن محمد بن سالم المعروف بـ (ابن </w:t>
      </w:r>
      <w:proofErr w:type="spellStart"/>
      <w:r w:rsidR="00777DCB" w:rsidRPr="00A52585">
        <w:rPr>
          <w:rFonts w:hint="cs"/>
          <w:sz w:val="24"/>
          <w:szCs w:val="24"/>
          <w:rtl/>
        </w:rPr>
        <w:t>صصري</w:t>
      </w:r>
      <w:proofErr w:type="spellEnd"/>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ولد سنة 655هـ تفقه ودرس وأفتى. سمع منه السبكي </w:t>
      </w:r>
      <w:proofErr w:type="spellStart"/>
      <w:r w:rsidR="00777DCB" w:rsidRPr="00A52585">
        <w:rPr>
          <w:rFonts w:hint="cs"/>
          <w:sz w:val="24"/>
          <w:szCs w:val="24"/>
          <w:rtl/>
        </w:rPr>
        <w:t>والبرزالي</w:t>
      </w:r>
      <w:proofErr w:type="spellEnd"/>
      <w:r w:rsidR="00777DCB" w:rsidRPr="00A52585">
        <w:rPr>
          <w:rFonts w:hint="cs"/>
          <w:sz w:val="24"/>
          <w:szCs w:val="24"/>
          <w:rtl/>
        </w:rPr>
        <w:t xml:space="preserve"> والذهبي والعلائي وغيرهم، قال عنه الذهبي</w:t>
      </w:r>
      <w:r w:rsidRPr="00A52585">
        <w:rPr>
          <w:rFonts w:hint="cs"/>
          <w:sz w:val="24"/>
          <w:szCs w:val="24"/>
          <w:rtl/>
        </w:rPr>
        <w:t xml:space="preserve">: </w:t>
      </w:r>
      <w:r w:rsidR="00777DCB" w:rsidRPr="00A52585">
        <w:rPr>
          <w:rFonts w:hint="cs"/>
          <w:sz w:val="24"/>
          <w:szCs w:val="24"/>
          <w:rtl/>
        </w:rPr>
        <w:t xml:space="preserve">" كان ديِّنا رئيسا كبير القدر وكان ماضي الأحكام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777DCB" w:rsidRPr="00A52585">
        <w:rPr>
          <w:rFonts w:hint="cs"/>
          <w:sz w:val="24"/>
          <w:szCs w:val="24"/>
          <w:rtl/>
        </w:rPr>
        <w:t xml:space="preserve"> وقال غيره</w:t>
      </w:r>
      <w:r w:rsidRPr="00A52585">
        <w:rPr>
          <w:rFonts w:hint="cs"/>
          <w:sz w:val="24"/>
          <w:szCs w:val="24"/>
          <w:rtl/>
        </w:rPr>
        <w:t>:</w:t>
      </w:r>
      <w:r w:rsidR="00777DCB" w:rsidRPr="00A52585">
        <w:rPr>
          <w:rFonts w:hint="cs"/>
          <w:sz w:val="24"/>
          <w:szCs w:val="24"/>
          <w:rtl/>
        </w:rPr>
        <w:t xml:space="preserve"> أنه في مدة ولايته لم يقدر أحد أن يدلسِّ عليه قضية ولا يشهد ما سمع عنه أنه ارتشى في حكومة وكان حسن الأخلاق كثير التودد. توفى سنة 723هـ ودفن في دمشق</w:t>
      </w:r>
      <w:r w:rsidRPr="00A52585">
        <w:rPr>
          <w:rFonts w:hint="cs"/>
          <w:sz w:val="24"/>
          <w:szCs w:val="24"/>
          <w:rtl/>
        </w:rPr>
        <w:t>]</w:t>
      </w:r>
      <w:r w:rsidR="00777DCB" w:rsidRPr="00A52585">
        <w:rPr>
          <w:rFonts w:hint="cs"/>
          <w:rtl/>
        </w:rPr>
        <w:t xml:space="preserve"> وبابن تيمية</w:t>
      </w:r>
      <w:r w:rsidR="00DB731D" w:rsidRPr="00A52585">
        <w:rPr>
          <w:rFonts w:hint="cs"/>
          <w:rtl/>
        </w:rPr>
        <w:t>،</w:t>
      </w:r>
      <w:r w:rsidR="00777DCB" w:rsidRPr="00A52585">
        <w:rPr>
          <w:rFonts w:hint="cs"/>
          <w:rtl/>
        </w:rPr>
        <w:t xml:space="preserve"> وفي الكتاب</w:t>
      </w:r>
      <w:r w:rsidRPr="00A52585">
        <w:rPr>
          <w:rFonts w:hint="cs"/>
          <w:rtl/>
        </w:rPr>
        <w:t>:</w:t>
      </w:r>
      <w:r w:rsidR="00777DCB" w:rsidRPr="00A52585">
        <w:rPr>
          <w:rFonts w:hint="cs"/>
          <w:rtl/>
        </w:rPr>
        <w:t xml:space="preserve"> (يعرفونا ما وقع في سنة ثمان وتسعين في عقيدة ابن تيمية)</w:t>
      </w:r>
      <w:r w:rsidR="00DB731D" w:rsidRPr="00A52585">
        <w:rPr>
          <w:rFonts w:hint="cs"/>
          <w:rtl/>
        </w:rPr>
        <w:t>،</w:t>
      </w:r>
      <w:r w:rsidR="00777DCB" w:rsidRPr="00A52585">
        <w:rPr>
          <w:rFonts w:hint="cs"/>
          <w:rtl/>
        </w:rPr>
        <w:t xml:space="preserve"> فطلبوا الناس وسألوا عما جرى لابن تيمية في أيام نقل عنه فيها كلام قاله وأحضر القاضي جلال الدين القزويني العقيدة التي كانت أحضرت في زمن قاضي القضاة إمام الدين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قاضي القضاة إمام الدين أبو المعالي عمر بن عبد الرحمن بن عمر التميمي العجلي القزويني قاضي الشام أخو العلامة قاضي القضاة جلال الدين القزويني قال عنه الذهبي أنه كان</w:t>
      </w:r>
      <w:r w:rsidRPr="00A52585">
        <w:rPr>
          <w:rFonts w:hint="cs"/>
          <w:sz w:val="24"/>
          <w:szCs w:val="24"/>
          <w:rtl/>
        </w:rPr>
        <w:t>:</w:t>
      </w:r>
      <w:r w:rsidR="00777DCB" w:rsidRPr="00A52585">
        <w:rPr>
          <w:rFonts w:hint="cs"/>
          <w:sz w:val="24"/>
          <w:szCs w:val="24"/>
          <w:rtl/>
        </w:rPr>
        <w:t xml:space="preserve"> حسن الأخلاق متواضعاً فاضلا عاقلا </w:t>
      </w:r>
      <w:proofErr w:type="spellStart"/>
      <w:r w:rsidR="00777DCB" w:rsidRPr="00A52585">
        <w:rPr>
          <w:rFonts w:hint="cs"/>
          <w:sz w:val="24"/>
          <w:szCs w:val="24"/>
          <w:rtl/>
        </w:rPr>
        <w:t>أ.ه</w:t>
      </w:r>
      <w:proofErr w:type="spellEnd"/>
      <w:r w:rsidR="00777DCB" w:rsidRPr="00A52585">
        <w:rPr>
          <w:rFonts w:hint="cs"/>
          <w:sz w:val="24"/>
          <w:szCs w:val="24"/>
          <w:rtl/>
        </w:rPr>
        <w:t>ـ وقال غيره</w:t>
      </w:r>
      <w:r w:rsidRPr="00A52585">
        <w:rPr>
          <w:rFonts w:hint="cs"/>
          <w:sz w:val="24"/>
          <w:szCs w:val="24"/>
          <w:rtl/>
        </w:rPr>
        <w:t>:</w:t>
      </w:r>
      <w:r w:rsidR="00777DCB" w:rsidRPr="00A52585">
        <w:rPr>
          <w:rFonts w:hint="cs"/>
          <w:sz w:val="24"/>
          <w:szCs w:val="24"/>
          <w:rtl/>
        </w:rPr>
        <w:t xml:space="preserve"> كان من محاسن الزمان فاضلا في الأصول والخلاف والمنطق</w:t>
      </w:r>
      <w:r w:rsidR="00DB731D" w:rsidRPr="00A52585">
        <w:rPr>
          <w:rFonts w:hint="cs"/>
          <w:sz w:val="24"/>
          <w:szCs w:val="24"/>
          <w:rtl/>
        </w:rPr>
        <w:t>،</w:t>
      </w:r>
      <w:r w:rsidR="00777DCB" w:rsidRPr="00A52585">
        <w:rPr>
          <w:rFonts w:hint="cs"/>
          <w:sz w:val="24"/>
          <w:szCs w:val="24"/>
          <w:rtl/>
        </w:rPr>
        <w:t xml:space="preserve"> والعقيدة التي نوقشت من ابن تيمية في أيامه سنة 698هـ هي (الفتوى الحموية الكبرى) التي رد عليها ابن </w:t>
      </w:r>
      <w:proofErr w:type="spellStart"/>
      <w:r w:rsidR="00777DCB" w:rsidRPr="00A52585">
        <w:rPr>
          <w:rFonts w:hint="cs"/>
          <w:sz w:val="24"/>
          <w:szCs w:val="24"/>
          <w:rtl/>
        </w:rPr>
        <w:t>جهبل</w:t>
      </w:r>
      <w:proofErr w:type="spellEnd"/>
      <w:r w:rsidR="00777DCB" w:rsidRPr="00A52585">
        <w:rPr>
          <w:rFonts w:hint="cs"/>
          <w:sz w:val="24"/>
          <w:szCs w:val="24"/>
          <w:rtl/>
        </w:rPr>
        <w:t xml:space="preserve"> وكان من عادة ابن تيمية كلما ضاق عليه الخناق أن يهرب ويقول ما أردت كذا بل أردت</w:t>
      </w:r>
      <w:r w:rsidRPr="00A52585">
        <w:rPr>
          <w:rFonts w:hint="cs"/>
          <w:sz w:val="24"/>
          <w:szCs w:val="24"/>
          <w:rtl/>
        </w:rPr>
        <w:t>:</w:t>
      </w:r>
      <w:r w:rsidR="00777DCB" w:rsidRPr="00A52585">
        <w:rPr>
          <w:rFonts w:hint="cs"/>
          <w:sz w:val="24"/>
          <w:szCs w:val="24"/>
          <w:rtl/>
        </w:rPr>
        <w:t xml:space="preserve"> ويذكر شيئا بعيداً كما يحكي عنه ابن حجر</w:t>
      </w:r>
      <w:r w:rsidR="00DB731D" w:rsidRPr="00A52585">
        <w:rPr>
          <w:rFonts w:hint="cs"/>
          <w:sz w:val="24"/>
          <w:szCs w:val="24"/>
          <w:rtl/>
        </w:rPr>
        <w:t>،</w:t>
      </w:r>
      <w:r w:rsidR="00777DCB" w:rsidRPr="00A52585">
        <w:rPr>
          <w:rFonts w:hint="cs"/>
          <w:sz w:val="24"/>
          <w:szCs w:val="24"/>
          <w:rtl/>
        </w:rPr>
        <w:t xml:space="preserve"> وقد روى تاج الدين السبكي تفاصيل ما حدث سنة 698هـ فقال</w:t>
      </w:r>
      <w:r w:rsidRPr="00A52585">
        <w:rPr>
          <w:rFonts w:hint="cs"/>
          <w:sz w:val="24"/>
          <w:szCs w:val="24"/>
          <w:rtl/>
        </w:rPr>
        <w:t xml:space="preserve">: </w:t>
      </w:r>
      <w:r w:rsidR="00777DCB" w:rsidRPr="00A52585">
        <w:rPr>
          <w:rFonts w:hint="cs"/>
          <w:sz w:val="24"/>
          <w:szCs w:val="24"/>
          <w:rtl/>
        </w:rPr>
        <w:t xml:space="preserve">" ولما وقع من ابن تيمية في </w:t>
      </w:r>
      <w:proofErr w:type="spellStart"/>
      <w:r w:rsidR="00777DCB" w:rsidRPr="00A52585">
        <w:rPr>
          <w:rFonts w:hint="cs"/>
          <w:sz w:val="24"/>
          <w:szCs w:val="24"/>
          <w:rtl/>
        </w:rPr>
        <w:t>المسئلة</w:t>
      </w:r>
      <w:proofErr w:type="spellEnd"/>
      <w:r w:rsidR="00777DCB" w:rsidRPr="00A52585">
        <w:rPr>
          <w:rFonts w:hint="cs"/>
          <w:sz w:val="24"/>
          <w:szCs w:val="24"/>
          <w:rtl/>
        </w:rPr>
        <w:t xml:space="preserve"> الحموية ما وقع، وعقد له المجلس بدار السعادة، بين يدي الأمير </w:t>
      </w:r>
      <w:proofErr w:type="spellStart"/>
      <w:r w:rsidR="00777DCB" w:rsidRPr="00A52585">
        <w:rPr>
          <w:rFonts w:hint="cs"/>
          <w:sz w:val="24"/>
          <w:szCs w:val="24"/>
          <w:rtl/>
        </w:rPr>
        <w:t>تنكيز</w:t>
      </w:r>
      <w:proofErr w:type="spellEnd"/>
      <w:r w:rsidR="00777DCB" w:rsidRPr="00A52585">
        <w:rPr>
          <w:rFonts w:hint="cs"/>
          <w:sz w:val="24"/>
          <w:szCs w:val="24"/>
          <w:rtl/>
        </w:rPr>
        <w:t>، وجمعت العلماء، أشاروا بأن الشيخ الهندي يحضر، فحضر، وكان الهندي طويل النفس في التقرير، إذا شرع في وجه يقرره لا يدع شبهة ولا اعتراضا إلا قد أشار إليه في التقرير، بحيث لا يتم التقرير إلا وقد بعد على المعترض مقاومته، فلما شرع يقرر أخذ ابن تيمية يعجل عليه على عادته، ويخرج من شيء إلى شيء، فقال له الهندي</w:t>
      </w:r>
      <w:r w:rsidRPr="00A52585">
        <w:rPr>
          <w:rFonts w:hint="cs"/>
          <w:sz w:val="24"/>
          <w:szCs w:val="24"/>
          <w:rtl/>
        </w:rPr>
        <w:t>:</w:t>
      </w:r>
      <w:r w:rsidR="00777DCB" w:rsidRPr="00A52585">
        <w:rPr>
          <w:rFonts w:hint="cs"/>
          <w:sz w:val="24"/>
          <w:szCs w:val="24"/>
          <w:rtl/>
        </w:rPr>
        <w:t xml:space="preserve"> ما أراك يا ابن تيمية إلا كالعصفور، حيث أردت أن أقبضه من مكان فر إلى مكان آخر، وكان الأمير </w:t>
      </w:r>
      <w:proofErr w:type="spellStart"/>
      <w:r w:rsidR="00777DCB" w:rsidRPr="00A52585">
        <w:rPr>
          <w:rFonts w:hint="cs"/>
          <w:sz w:val="24"/>
          <w:szCs w:val="24"/>
          <w:rtl/>
        </w:rPr>
        <w:t>تنكيز</w:t>
      </w:r>
      <w:proofErr w:type="spellEnd"/>
      <w:r w:rsidR="00777DCB" w:rsidRPr="00A52585">
        <w:rPr>
          <w:rFonts w:hint="cs"/>
          <w:sz w:val="24"/>
          <w:szCs w:val="24"/>
          <w:rtl/>
        </w:rPr>
        <w:t xml:space="preserve"> يعظم الهندي ويعتقده، وكان الهندي شيخ الحاضرين كلهم، فكلهم صدر عن رأيه، وحبس ابن تيمية بسبب تلك </w:t>
      </w:r>
      <w:proofErr w:type="spellStart"/>
      <w:r w:rsidR="00777DCB" w:rsidRPr="00A52585">
        <w:rPr>
          <w:rFonts w:hint="cs"/>
          <w:sz w:val="24"/>
          <w:szCs w:val="24"/>
          <w:rtl/>
        </w:rPr>
        <w:t>المسئلة</w:t>
      </w:r>
      <w:proofErr w:type="spellEnd"/>
      <w:r w:rsidR="00777DCB" w:rsidRPr="00A52585">
        <w:rPr>
          <w:rFonts w:hint="cs"/>
          <w:sz w:val="24"/>
          <w:szCs w:val="24"/>
          <w:rtl/>
        </w:rPr>
        <w:t>، وهي التي تضمنت قوله بالجهة، ونودي عليه في البلد، وعلى أصحابه، وعزلوا من وظائفهم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توفى ودفن بالقاهرة سنة 699هـ. انظر طبقات الشافعية الكبرى ترجمة صفي الدين الهندي</w:t>
      </w:r>
      <w:r w:rsidRPr="00A52585">
        <w:rPr>
          <w:rFonts w:hint="cs"/>
          <w:sz w:val="24"/>
          <w:szCs w:val="24"/>
          <w:rtl/>
        </w:rPr>
        <w:t>]</w:t>
      </w:r>
      <w:r w:rsidR="00DB731D" w:rsidRPr="00A52585">
        <w:rPr>
          <w:rFonts w:hint="cs"/>
          <w:rtl/>
        </w:rPr>
        <w:t>،</w:t>
      </w:r>
      <w:r w:rsidR="00777DCB" w:rsidRPr="00A52585">
        <w:rPr>
          <w:rFonts w:hint="cs"/>
          <w:rtl/>
        </w:rPr>
        <w:t xml:space="preserve"> وتحدثوا مع ملك الأمراء في أنه يكاتب في هذا الأمر فأجاب</w:t>
      </w:r>
      <w:r w:rsidR="00DB731D" w:rsidRPr="00A52585">
        <w:rPr>
          <w:rFonts w:hint="cs"/>
          <w:rtl/>
        </w:rPr>
        <w:t>،</w:t>
      </w:r>
      <w:r w:rsidR="00777DCB" w:rsidRPr="00A52585">
        <w:rPr>
          <w:rFonts w:hint="cs"/>
          <w:rtl/>
        </w:rPr>
        <w:t xml:space="preserve"> فلما كان ثاني يوم وصل مملوك ملك الأمراء على البريد من مصر وأخبر أن الطلب على ابن تيمية كثير وأن القاضي المالكي قائم في قضيته قياماً عظيماً</w:t>
      </w:r>
      <w:r w:rsidR="00DB731D" w:rsidRPr="00A52585">
        <w:rPr>
          <w:rFonts w:hint="cs"/>
          <w:rtl/>
        </w:rPr>
        <w:t>،</w:t>
      </w:r>
      <w:r w:rsidR="00777DCB" w:rsidRPr="00A52585">
        <w:rPr>
          <w:rFonts w:hint="cs"/>
          <w:rtl/>
        </w:rPr>
        <w:t xml:space="preserve"> وأخبر بأشياء كثيرة عن الحنابلة وقعت في الديار المصرية وأن بعضهم صفع فلما سمع ملك الأمراء بذلك انحلت عزائمه عن المكاتبة</w:t>
      </w:r>
      <w:r w:rsidR="00DB731D" w:rsidRPr="00A52585">
        <w:rPr>
          <w:rFonts w:hint="cs"/>
          <w:rtl/>
        </w:rPr>
        <w:t>،</w:t>
      </w:r>
      <w:r w:rsidR="00777DCB" w:rsidRPr="00A52585">
        <w:rPr>
          <w:rFonts w:hint="cs"/>
          <w:rtl/>
        </w:rPr>
        <w:t xml:space="preserve"> وسير شمس الدين محمد بن </w:t>
      </w:r>
      <w:proofErr w:type="spellStart"/>
      <w:r w:rsidR="00777DCB" w:rsidRPr="00A52585">
        <w:rPr>
          <w:rFonts w:hint="cs"/>
          <w:rtl/>
        </w:rPr>
        <w:t>المهمندار</w:t>
      </w:r>
      <w:proofErr w:type="spellEnd"/>
      <w:r w:rsidR="00777DCB" w:rsidRPr="00A52585">
        <w:rPr>
          <w:rFonts w:hint="cs"/>
          <w:rtl/>
        </w:rPr>
        <w:t xml:space="preserve"> إلى ابن تيمية. وقال له</w:t>
      </w:r>
      <w:r w:rsidRPr="00A52585">
        <w:rPr>
          <w:rFonts w:hint="cs"/>
          <w:rtl/>
        </w:rPr>
        <w:t>:</w:t>
      </w:r>
      <w:r w:rsidR="00777DCB" w:rsidRPr="00A52585">
        <w:rPr>
          <w:rFonts w:hint="cs"/>
          <w:rtl/>
        </w:rPr>
        <w:t xml:space="preserve"> قد رسم مولانا ملك الأمراء بأن تسافر غداً وكذلك راح إلى قاضي القضاة فشرعوا في التجهيز وسافر صحبة ابن تيمية أخواه عبد الله وعبد الرحمن وسافر معهم جماعة من أصحاب ابن تيمية</w:t>
      </w:r>
      <w:r w:rsidR="00DB731D" w:rsidRPr="00A52585">
        <w:rPr>
          <w:rFonts w:hint="cs"/>
          <w:rtl/>
        </w:rPr>
        <w:t>،</w:t>
      </w:r>
      <w:r w:rsidR="00777DCB" w:rsidRPr="00A52585">
        <w:rPr>
          <w:rFonts w:hint="cs"/>
          <w:rtl/>
        </w:rPr>
        <w:t xml:space="preserve"> </w:t>
      </w:r>
      <w:r w:rsidR="00777DCB" w:rsidRPr="00A52585">
        <w:rPr>
          <w:rFonts w:hint="cs"/>
          <w:bCs/>
          <w:rtl/>
        </w:rPr>
        <w:t>[6-]</w:t>
      </w:r>
      <w:r w:rsidR="00777DCB" w:rsidRPr="00A52585">
        <w:rPr>
          <w:rFonts w:hint="cs"/>
          <w:rtl/>
        </w:rPr>
        <w:t xml:space="preserve"> وفي سابع شوال وصل البريدي إلى دمشق وأخبر بوصولهم إلى الديار المصرية وأنه عقد لهم مجلس بقلعة القاهرة بحضرة القضاة والفقهاء والعلماء والأمراء فتكلم الشيخ شمس </w:t>
      </w:r>
      <w:r w:rsidR="00777DCB" w:rsidRPr="00A52585">
        <w:rPr>
          <w:rFonts w:hint="cs"/>
          <w:rtl/>
        </w:rPr>
        <w:lastRenderedPageBreak/>
        <w:t>الدين بن عدلان الشافعي</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محمد بن أحمد بن عثمان بن إبراهيم بن عدلان شمس الدين المعروف بـ (ابن عدلان)، الإمام العلامة شيخ الشافعية. ولد سنة 663هـ، قال عنه </w:t>
      </w:r>
      <w:proofErr w:type="spellStart"/>
      <w:r w:rsidR="00777DCB" w:rsidRPr="00A52585">
        <w:rPr>
          <w:rFonts w:hint="cs"/>
          <w:sz w:val="24"/>
          <w:szCs w:val="24"/>
          <w:rtl/>
        </w:rPr>
        <w:t>الإسنوي</w:t>
      </w:r>
      <w:proofErr w:type="spellEnd"/>
      <w:r w:rsidRPr="00A52585">
        <w:rPr>
          <w:rFonts w:hint="cs"/>
          <w:sz w:val="24"/>
          <w:szCs w:val="24"/>
          <w:rtl/>
        </w:rPr>
        <w:t>:</w:t>
      </w:r>
      <w:r w:rsidR="00777DCB" w:rsidRPr="00A52585">
        <w:rPr>
          <w:rFonts w:hint="cs"/>
          <w:sz w:val="24"/>
          <w:szCs w:val="24"/>
          <w:rtl/>
        </w:rPr>
        <w:t xml:space="preserve"> كان فقيها إماما يضرب به المثل في الفقه، عارفا بالأصلين والنحو القراءات ذكيا نظارا فصيحا يعبر عن الأمور الدقيقة بعبارة وجيزة مع السرعة والاسترسال دينا سليما الصدر كثير المروءة </w:t>
      </w:r>
      <w:proofErr w:type="spellStart"/>
      <w:r w:rsidR="00777DCB" w:rsidRPr="00A52585">
        <w:rPr>
          <w:rFonts w:hint="cs"/>
          <w:sz w:val="24"/>
          <w:szCs w:val="24"/>
          <w:rtl/>
        </w:rPr>
        <w:t>أ.ه</w:t>
      </w:r>
      <w:proofErr w:type="spellEnd"/>
      <w:r w:rsidR="00777DCB" w:rsidRPr="00A52585">
        <w:rPr>
          <w:rFonts w:hint="cs"/>
          <w:sz w:val="24"/>
          <w:szCs w:val="24"/>
          <w:rtl/>
        </w:rPr>
        <w:t>ـ.</w:t>
      </w:r>
      <w:r w:rsidR="00DB731D" w:rsidRPr="00A52585">
        <w:rPr>
          <w:rFonts w:hint="cs"/>
          <w:sz w:val="24"/>
          <w:szCs w:val="24"/>
          <w:rtl/>
        </w:rPr>
        <w:t>،</w:t>
      </w:r>
      <w:r w:rsidR="00777DCB" w:rsidRPr="00A52585">
        <w:rPr>
          <w:rFonts w:hint="cs"/>
          <w:sz w:val="24"/>
          <w:szCs w:val="24"/>
          <w:rtl/>
        </w:rPr>
        <w:t xml:space="preserve"> توفى سنة 749 شهيداً بالطاعون]</w:t>
      </w:r>
      <w:r w:rsidR="00777DCB" w:rsidRPr="00A52585">
        <w:rPr>
          <w:rFonts w:hint="cs"/>
          <w:rtl/>
        </w:rPr>
        <w:t xml:space="preserve"> وادعى على ابن تيمية في أمر العقيدة. فذكر منها فصولاً</w:t>
      </w:r>
      <w:r w:rsidR="00DB731D" w:rsidRPr="00A52585">
        <w:rPr>
          <w:rFonts w:hint="cs"/>
          <w:rtl/>
        </w:rPr>
        <w:t>،</w:t>
      </w:r>
      <w:r w:rsidR="00777DCB" w:rsidRPr="00A52585">
        <w:rPr>
          <w:rFonts w:hint="cs"/>
          <w:rtl/>
        </w:rPr>
        <w:t xml:space="preserve"> فشرع ابن تيمية بحمد الله تعالى وأثنى عليه وتكلم بما يقتضي الوعظ</w:t>
      </w:r>
      <w:r w:rsidR="00DB731D" w:rsidRPr="00A52585">
        <w:rPr>
          <w:rFonts w:hint="cs"/>
          <w:rtl/>
        </w:rPr>
        <w:t>،</w:t>
      </w:r>
      <w:r w:rsidR="00777DCB" w:rsidRPr="00A52585">
        <w:rPr>
          <w:rFonts w:hint="cs"/>
          <w:rtl/>
        </w:rPr>
        <w:t xml:space="preserve"> فقيل له يا شيخ إن الذي تقوله نحن نعرفه وما لنا حاجة إلى وعظك</w:t>
      </w:r>
      <w:r w:rsidR="00DB731D" w:rsidRPr="00A52585">
        <w:rPr>
          <w:rFonts w:hint="cs"/>
          <w:rtl/>
        </w:rPr>
        <w:t>،</w:t>
      </w:r>
      <w:r w:rsidR="00777DCB" w:rsidRPr="00A52585">
        <w:rPr>
          <w:rFonts w:hint="cs"/>
          <w:rtl/>
        </w:rPr>
        <w:t xml:space="preserve"> وقد ادعي عليك بدعوى شرعية فأجب</w:t>
      </w:r>
      <w:r w:rsidR="00DB731D" w:rsidRPr="00A52585">
        <w:rPr>
          <w:rFonts w:hint="cs"/>
          <w:rtl/>
        </w:rPr>
        <w:t>،</w:t>
      </w:r>
      <w:r w:rsidR="00777DCB" w:rsidRPr="00A52585">
        <w:rPr>
          <w:rFonts w:hint="cs"/>
          <w:rtl/>
        </w:rPr>
        <w:t xml:space="preserve"> فأراد ابن تيمية أن يعيد التحميد فلم يمكنوه من ذلك بل قيل له أجب</w:t>
      </w:r>
      <w:r w:rsidR="00DB731D" w:rsidRPr="00A52585">
        <w:rPr>
          <w:rFonts w:hint="cs"/>
          <w:rtl/>
        </w:rPr>
        <w:t>،</w:t>
      </w:r>
      <w:r w:rsidR="00777DCB" w:rsidRPr="00A52585">
        <w:rPr>
          <w:rFonts w:hint="cs"/>
          <w:rtl/>
        </w:rPr>
        <w:t xml:space="preserve"> فتوقف وكُرر عليه القول مراراً فلم يزدهم على ذلك شيئاً وطال الأمر</w:t>
      </w:r>
      <w:r w:rsidR="00DB731D" w:rsidRPr="00A52585">
        <w:rPr>
          <w:rFonts w:hint="cs"/>
          <w:rtl/>
        </w:rPr>
        <w:t>،</w:t>
      </w:r>
      <w:r w:rsidR="00777DCB" w:rsidRPr="00A52585">
        <w:rPr>
          <w:rFonts w:hint="cs"/>
          <w:rtl/>
        </w:rPr>
        <w:t xml:space="preserve"> فعند ذلك حكم القاضي المالكي بحبسه وحبس أخويه معه</w:t>
      </w:r>
      <w:r w:rsidR="00DB731D" w:rsidRPr="00A52585">
        <w:rPr>
          <w:rFonts w:hint="cs"/>
          <w:rtl/>
        </w:rPr>
        <w:t>،</w:t>
      </w:r>
      <w:r w:rsidR="00777DCB" w:rsidRPr="00A52585">
        <w:rPr>
          <w:rFonts w:hint="cs"/>
          <w:rtl/>
        </w:rPr>
        <w:t xml:space="preserve"> فحبسوا في برج من أبراج القلعة</w:t>
      </w:r>
      <w:r w:rsidR="00DB731D" w:rsidRPr="00A52585">
        <w:rPr>
          <w:rFonts w:hint="cs"/>
          <w:rtl/>
        </w:rPr>
        <w:t>،</w:t>
      </w:r>
      <w:r w:rsidR="00777DCB" w:rsidRPr="00A52585">
        <w:rPr>
          <w:rFonts w:hint="cs"/>
          <w:rtl/>
        </w:rPr>
        <w:t xml:space="preserve"> فتردد إليه جماعة من الأمراء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من هذا ومما سبق من كلام المصنف، بل توضح كل المصادر التي سجلت أحداث هذه الفترة أن ابن تيمية كان قد أقام شبكة من العلاقات الودية بينه وبين أمراء هذا العصر لكي يساندوه في موقفه ضد علماء الإسلام، وهو ما سجله المؤرخون لهذه الفترة</w:t>
      </w:r>
      <w:r w:rsidRPr="00A52585">
        <w:rPr>
          <w:rFonts w:hint="cs"/>
          <w:sz w:val="24"/>
          <w:szCs w:val="24"/>
          <w:rtl/>
        </w:rPr>
        <w:t>]</w:t>
      </w:r>
      <w:r w:rsidR="00DB731D" w:rsidRPr="00A52585">
        <w:rPr>
          <w:rFonts w:hint="cs"/>
          <w:rtl/>
        </w:rPr>
        <w:t>،</w:t>
      </w:r>
      <w:r w:rsidR="00777DCB" w:rsidRPr="00A52585">
        <w:rPr>
          <w:rFonts w:hint="cs"/>
          <w:rtl/>
        </w:rPr>
        <w:t xml:space="preserve"> فسمع القاضي بذلك فاجتمع بالأمراء وقال</w:t>
      </w:r>
      <w:r w:rsidRPr="00A52585">
        <w:rPr>
          <w:rFonts w:hint="cs"/>
          <w:rtl/>
        </w:rPr>
        <w:t>:</w:t>
      </w:r>
      <w:r w:rsidR="00777DCB" w:rsidRPr="00A52585">
        <w:rPr>
          <w:rFonts w:hint="cs"/>
          <w:rtl/>
        </w:rPr>
        <w:t xml:space="preserve"> يجب عليه التضييق إذا لم يقتل وإلا فقد وجب قتله</w:t>
      </w:r>
      <w:r w:rsidR="00DB731D" w:rsidRPr="00A52585">
        <w:rPr>
          <w:rFonts w:hint="cs"/>
          <w:rtl/>
        </w:rPr>
        <w:t>،</w:t>
      </w:r>
      <w:r w:rsidR="00777DCB" w:rsidRPr="00A52585">
        <w:rPr>
          <w:rFonts w:hint="cs"/>
          <w:rtl/>
        </w:rPr>
        <w:t xml:space="preserve"> وثبت كفره</w:t>
      </w:r>
      <w:r w:rsidR="00DB731D" w:rsidRPr="00A52585">
        <w:rPr>
          <w:rFonts w:hint="cs"/>
          <w:rtl/>
        </w:rPr>
        <w:t>،</w:t>
      </w:r>
      <w:r w:rsidRPr="00A52585">
        <w:rPr>
          <w:rFonts w:hint="cs"/>
          <w:rtl/>
        </w:rPr>
        <w:t xml:space="preserve"> </w:t>
      </w:r>
      <w:r w:rsidR="00777DCB" w:rsidRPr="00A52585">
        <w:rPr>
          <w:rFonts w:hint="cs"/>
          <w:rtl/>
        </w:rPr>
        <w:t>فنقلوه إلى الجب بقلعة الجبل ونقلوا أخويه معه بإهانة</w:t>
      </w:r>
      <w:r w:rsidR="00DB731D" w:rsidRPr="00A52585">
        <w:rPr>
          <w:rFonts w:hint="cs"/>
          <w:rtl/>
        </w:rPr>
        <w:t>،</w:t>
      </w:r>
      <w:r w:rsidR="00777DCB" w:rsidRPr="00A52585">
        <w:rPr>
          <w:rFonts w:hint="cs"/>
          <w:rtl/>
        </w:rPr>
        <w:t xml:space="preserve"> وفي سادس عشر ذي القعدة وصل من الديار المصرية قاضي القضاة نجم الدين بن </w:t>
      </w:r>
      <w:proofErr w:type="spellStart"/>
      <w:r w:rsidR="00777DCB" w:rsidRPr="00A52585">
        <w:rPr>
          <w:rFonts w:hint="cs"/>
          <w:rtl/>
        </w:rPr>
        <w:t>صصري</w:t>
      </w:r>
      <w:proofErr w:type="spellEnd"/>
      <w:r w:rsidR="00777DCB" w:rsidRPr="00A52585">
        <w:rPr>
          <w:rFonts w:hint="cs"/>
          <w:rtl/>
        </w:rPr>
        <w:t xml:space="preserve"> وجلس يوم الجمعة في الشباك الكمالي وحضر القراء والمنشدون وأنشدت التهاني</w:t>
      </w:r>
      <w:r w:rsidR="00DB731D" w:rsidRPr="00A52585">
        <w:rPr>
          <w:rFonts w:hint="cs"/>
          <w:rtl/>
        </w:rPr>
        <w:t>،</w:t>
      </w:r>
      <w:r w:rsidR="00777DCB" w:rsidRPr="00A52585">
        <w:rPr>
          <w:rFonts w:hint="cs"/>
          <w:rtl/>
        </w:rPr>
        <w:t xml:space="preserve"> وكان وصل معه كتب ولم يعرضها على نائب السلطنة</w:t>
      </w:r>
      <w:r w:rsidR="00DB731D" w:rsidRPr="00A52585">
        <w:rPr>
          <w:rFonts w:hint="cs"/>
          <w:rtl/>
        </w:rPr>
        <w:t>،</w:t>
      </w:r>
      <w:r w:rsidR="00777DCB" w:rsidRPr="00A52585">
        <w:rPr>
          <w:rFonts w:hint="cs"/>
          <w:rtl/>
        </w:rPr>
        <w:t xml:space="preserve"> فلما كان بعد أيام عرضها عليه. فرسم ملك الأمراء بقراءتها والعمل بما فيها امتثالاً للمراسيم السلطانية. وكانوا قد بيتوا على الحنابلة كلهم بأن يحضروا إلى مقصورة الخطابة بالجامع الأموي بعد الصلاة وحضر القضاة كلهم بمقصورة الخطابة معهم الأمير الكبير ركن الدين بيبرس العلائي وأحضروا تقليد القاضي نجم الدين بن </w:t>
      </w:r>
      <w:proofErr w:type="spellStart"/>
      <w:r w:rsidR="00777DCB" w:rsidRPr="00A52585">
        <w:rPr>
          <w:rFonts w:hint="cs"/>
          <w:rtl/>
        </w:rPr>
        <w:t>صصري</w:t>
      </w:r>
      <w:proofErr w:type="spellEnd"/>
      <w:r w:rsidR="00777DCB" w:rsidRPr="00A52585">
        <w:rPr>
          <w:rFonts w:hint="cs"/>
          <w:rtl/>
        </w:rPr>
        <w:t xml:space="preserve"> الذي حضر معه من مصر باستمراره على قضاء وقضاة العصر ونظر الأوقاف وزيادة المعلوم. وقرئ عقيبه الكتاب الذي وصل على يديه </w:t>
      </w:r>
      <w:r w:rsidR="00777DCB" w:rsidRPr="00A52585">
        <w:rPr>
          <w:rFonts w:hint="cs"/>
          <w:bCs/>
          <w:rtl/>
        </w:rPr>
        <w:t>وفيه ما يتعلق بمخالفة ابن تيمية في عقيدته وإلزام الناس بذلك خصوصاً الحنابلة والوعيد الشديد عليهم والعزل من المناصب والحبس وأخذ المال والروح لخروجهم بهذه العقيدة عن الملة المحمدية</w:t>
      </w:r>
      <w:r w:rsidR="00DB731D" w:rsidRPr="00A52585">
        <w:rPr>
          <w:rFonts w:hint="cs"/>
          <w:bCs/>
          <w:rtl/>
        </w:rPr>
        <w:t>،</w:t>
      </w:r>
      <w:r w:rsidR="00777DCB" w:rsidRPr="00A52585">
        <w:rPr>
          <w:rFonts w:hint="cs"/>
          <w:bCs/>
          <w:rtl/>
        </w:rPr>
        <w:t xml:space="preserve"> </w:t>
      </w:r>
      <w:r w:rsidR="00777DCB" w:rsidRPr="00A52585">
        <w:rPr>
          <w:rFonts w:hint="cs"/>
          <w:rtl/>
        </w:rPr>
        <w:t xml:space="preserve">ونسخة الكتاب نحو الكتاب المتقدم. وتولى قراءته شمس الدين محمد بن شهاب الدين الموقع وبلغ عنه الناس ابن صبح المؤذن </w:t>
      </w:r>
      <w:proofErr w:type="spellStart"/>
      <w:r w:rsidR="00777DCB" w:rsidRPr="00A52585">
        <w:rPr>
          <w:rFonts w:hint="cs"/>
          <w:rtl/>
        </w:rPr>
        <w:t>وقريء</w:t>
      </w:r>
      <w:proofErr w:type="spellEnd"/>
      <w:r w:rsidR="00777DCB" w:rsidRPr="00A52585">
        <w:rPr>
          <w:rFonts w:hint="cs"/>
          <w:rtl/>
        </w:rPr>
        <w:t xml:space="preserve"> بعده تقليد الشيخ برهان الدين بالخطابة وأحضروا بعد القراءة الحنابلة مهانين إلى بين يدي القاضي جمال الدين المالكي بحضور باقي القضاة واعترفوا أنهم يعتقدون ما يعتقده محمد بن إدريس الشافعي رضي الله عنه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ويحكي المؤرخ ابن </w:t>
      </w:r>
      <w:proofErr w:type="spellStart"/>
      <w:r w:rsidR="00777DCB" w:rsidRPr="00A52585">
        <w:rPr>
          <w:rFonts w:hint="cs"/>
          <w:sz w:val="24"/>
          <w:szCs w:val="24"/>
          <w:rtl/>
        </w:rPr>
        <w:t>إبيك</w:t>
      </w:r>
      <w:proofErr w:type="spellEnd"/>
      <w:r w:rsidR="00777DCB" w:rsidRPr="00A52585">
        <w:rPr>
          <w:rFonts w:hint="cs"/>
          <w:sz w:val="24"/>
          <w:szCs w:val="24"/>
          <w:rtl/>
        </w:rPr>
        <w:t xml:space="preserve"> </w:t>
      </w:r>
      <w:proofErr w:type="spellStart"/>
      <w:r w:rsidR="00777DCB" w:rsidRPr="00A52585">
        <w:rPr>
          <w:rFonts w:hint="cs"/>
          <w:sz w:val="24"/>
          <w:szCs w:val="24"/>
          <w:rtl/>
        </w:rPr>
        <w:t>الدواداري</w:t>
      </w:r>
      <w:proofErr w:type="spellEnd"/>
      <w:r w:rsidR="00777DCB" w:rsidRPr="00A52585">
        <w:rPr>
          <w:rFonts w:hint="cs"/>
          <w:sz w:val="24"/>
          <w:szCs w:val="24"/>
          <w:rtl/>
        </w:rPr>
        <w:t xml:space="preserve"> قصة خروج ابن تيمية من سجنه سنة 707هـ بعد </w:t>
      </w:r>
      <w:r w:rsidR="00777DCB" w:rsidRPr="00A52585">
        <w:rPr>
          <w:rFonts w:hint="cs"/>
          <w:sz w:val="24"/>
          <w:szCs w:val="24"/>
          <w:rtl/>
        </w:rPr>
        <w:lastRenderedPageBreak/>
        <w:t>تراجعه عن أخطائه في العقيدة الواسطية كالتالي</w:t>
      </w:r>
      <w:r w:rsidRPr="00A52585">
        <w:rPr>
          <w:rFonts w:hint="cs"/>
          <w:sz w:val="24"/>
          <w:szCs w:val="24"/>
          <w:rtl/>
        </w:rPr>
        <w:t xml:space="preserve">: </w:t>
      </w:r>
      <w:r w:rsidR="00777DCB" w:rsidRPr="00A52585">
        <w:rPr>
          <w:rFonts w:hint="cs"/>
          <w:sz w:val="24"/>
          <w:szCs w:val="24"/>
          <w:rtl/>
        </w:rPr>
        <w:t xml:space="preserve">" وفيها في العشر الأوّل من شهر ربيع الأول، وصل الأمير حسام الدين مهنّا بن الأمير شرف الدين عيسى بن مهنّا إلى الأبواب العالية، واجتمع بالمقام الأعظم السلطاني، وحصل له من الإقبال والإنعام شيء كثير. وخاطب مولانا السلطان في أمر الشيخ تقي الدين بن </w:t>
      </w:r>
      <w:proofErr w:type="spellStart"/>
      <w:r w:rsidR="00777DCB" w:rsidRPr="00A52585">
        <w:rPr>
          <w:rFonts w:hint="cs"/>
          <w:sz w:val="24"/>
          <w:szCs w:val="24"/>
          <w:rtl/>
        </w:rPr>
        <w:t>التيميّة</w:t>
      </w:r>
      <w:proofErr w:type="spellEnd"/>
      <w:r w:rsidR="00777DCB" w:rsidRPr="00A52585">
        <w:rPr>
          <w:rFonts w:hint="cs"/>
          <w:sz w:val="24"/>
          <w:szCs w:val="24"/>
          <w:rtl/>
        </w:rPr>
        <w:t xml:space="preserve">، فأنعم مولانا السلطان له بإطلاقه. فتوجّه إليه الأمير حسام الدين مهنّا بنفسه إلى السجن، وأخرجه يوم الجمعة الثالث والعشرين من ربيع الأوّل، وأحضر إلى دار النيابة بحضرة الأمير سيف الدين </w:t>
      </w:r>
      <w:proofErr w:type="spellStart"/>
      <w:r w:rsidR="00777DCB" w:rsidRPr="00A52585">
        <w:rPr>
          <w:rFonts w:hint="cs"/>
          <w:sz w:val="24"/>
          <w:szCs w:val="24"/>
          <w:rtl/>
        </w:rPr>
        <w:t>سلارّ</w:t>
      </w:r>
      <w:proofErr w:type="spellEnd"/>
      <w:r w:rsidR="00777DCB" w:rsidRPr="00A52585">
        <w:rPr>
          <w:rFonts w:hint="cs"/>
          <w:sz w:val="24"/>
          <w:szCs w:val="24"/>
          <w:rtl/>
        </w:rPr>
        <w:t xml:space="preserve"> وأحضر له بعض الفقهاء، وحصل بينهم كلام كثير وبحث زايد يضيق هذا المجموع عن بعضه، وقربت صلاة الجمعة فافترقوا. ثمّ اجتمعوا وبحثوا إلى المغرب ولم ينفصل لهم أمر. ثمّ اجتمعوا يوم الأحد الخامس والعشرين من الشهر، وحضروا جماعة فقهاء آخرون وحضر الشيخ نجم الدين بن رفعة، وعلاء الدين الباجي، وفخر الدين بن أبي سعد وشمس الدين الخطيب الجزري، وعزّ الدين </w:t>
      </w:r>
      <w:proofErr w:type="spellStart"/>
      <w:r w:rsidR="00777DCB" w:rsidRPr="00A52585">
        <w:rPr>
          <w:rFonts w:hint="cs"/>
          <w:sz w:val="24"/>
          <w:szCs w:val="24"/>
          <w:rtl/>
        </w:rPr>
        <w:t>النمراوي</w:t>
      </w:r>
      <w:proofErr w:type="spellEnd"/>
      <w:r w:rsidR="00777DCB" w:rsidRPr="00A52585">
        <w:rPr>
          <w:rFonts w:hint="cs"/>
          <w:sz w:val="24"/>
          <w:szCs w:val="24"/>
          <w:rtl/>
        </w:rPr>
        <w:t xml:space="preserve">، وشمس الدين عدلان وصهر المالكّي وجماعة أخر في تعدادهم طول كثير. ولم تحضر المولى القضاء، وطلبوهم فاعتذروا. وقبل عذرهم </w:t>
      </w:r>
      <w:proofErr w:type="spellStart"/>
      <w:r w:rsidR="00777DCB" w:rsidRPr="00A52585">
        <w:rPr>
          <w:rFonts w:hint="cs"/>
          <w:sz w:val="24"/>
          <w:szCs w:val="24"/>
          <w:rtl/>
        </w:rPr>
        <w:t>نايب</w:t>
      </w:r>
      <w:proofErr w:type="spellEnd"/>
      <w:r w:rsidR="00777DCB" w:rsidRPr="00A52585">
        <w:rPr>
          <w:rFonts w:hint="cs"/>
          <w:sz w:val="24"/>
          <w:szCs w:val="24"/>
          <w:rtl/>
        </w:rPr>
        <w:t xml:space="preserve"> السلطان، ولم يكلّفهم إلى الحضور. وتباحثوا ذلك اليوم في مجلس الأمير سيف الدين </w:t>
      </w:r>
      <w:proofErr w:type="spellStart"/>
      <w:r w:rsidR="00777DCB" w:rsidRPr="00A52585">
        <w:rPr>
          <w:rFonts w:hint="cs"/>
          <w:sz w:val="24"/>
          <w:szCs w:val="24"/>
          <w:rtl/>
        </w:rPr>
        <w:t>سلار</w:t>
      </w:r>
      <w:proofErr w:type="spellEnd"/>
      <w:r w:rsidR="00777DCB" w:rsidRPr="00A52585">
        <w:rPr>
          <w:rFonts w:hint="cs"/>
          <w:sz w:val="24"/>
          <w:szCs w:val="24"/>
          <w:rtl/>
        </w:rPr>
        <w:t xml:space="preserve">، وانفصل المجلس على خيرٍ. وبات الشيخ تقيّ الدين عند </w:t>
      </w:r>
      <w:proofErr w:type="spellStart"/>
      <w:r w:rsidR="00777DCB" w:rsidRPr="00A52585">
        <w:rPr>
          <w:rFonts w:hint="cs"/>
          <w:sz w:val="24"/>
          <w:szCs w:val="24"/>
          <w:rtl/>
        </w:rPr>
        <w:t>نايب</w:t>
      </w:r>
      <w:proofErr w:type="spellEnd"/>
      <w:r w:rsidR="00777DCB" w:rsidRPr="00A52585">
        <w:rPr>
          <w:rFonts w:hint="cs"/>
          <w:sz w:val="24"/>
          <w:szCs w:val="24"/>
          <w:rtl/>
        </w:rPr>
        <w:t xml:space="preserve"> السلطان، وكتب بيده كتاباً إلى دمشق مضمّناً خروجه من السجن. وأقام بعد ذلك بدار ابن شقير بالقاهرة. ورسم </w:t>
      </w:r>
      <w:proofErr w:type="spellStart"/>
      <w:r w:rsidR="00777DCB" w:rsidRPr="00A52585">
        <w:rPr>
          <w:rFonts w:hint="cs"/>
          <w:sz w:val="24"/>
          <w:szCs w:val="24"/>
          <w:rtl/>
        </w:rPr>
        <w:t>نايب</w:t>
      </w:r>
      <w:proofErr w:type="spellEnd"/>
      <w:r w:rsidR="00777DCB" w:rsidRPr="00A52585">
        <w:rPr>
          <w:rFonts w:hint="cs"/>
          <w:sz w:val="24"/>
          <w:szCs w:val="24"/>
          <w:rtl/>
        </w:rPr>
        <w:t xml:space="preserve"> السلطان بتأخيره عن التوجُه مع مهنّا لمصلحة في ذلك</w:t>
      </w:r>
      <w:r w:rsidR="00DB731D" w:rsidRPr="00A52585">
        <w:rPr>
          <w:rFonts w:hint="cs"/>
          <w:sz w:val="24"/>
          <w:szCs w:val="24"/>
          <w:rtl/>
        </w:rPr>
        <w:t>،</w:t>
      </w:r>
      <w:r w:rsidR="00777DCB" w:rsidRPr="00A52585">
        <w:rPr>
          <w:rFonts w:hint="cs"/>
          <w:sz w:val="24"/>
          <w:szCs w:val="24"/>
          <w:rtl/>
        </w:rPr>
        <w:t xml:space="preserve"> وفي يوم الجمعة رابع عشر ربيع الآخر، عُقد له مجلس آخر بالمدرسة الصالحيّة بعد الصلاة. وكان مهنا قد سافر، وبحثوا معه. ووقع الاتفاق على تغيير الألفاظ في العقيدة، وانفصل المجلس على خير. واستقر بعد ذلك بالقاهرة، والناس يجتمعون به ويُهرعون إليه، ولم يزل كذلك إلى أن سافر في سنة اثنتي عشرة وسبع </w:t>
      </w:r>
      <w:proofErr w:type="spellStart"/>
      <w:r w:rsidR="00777DCB" w:rsidRPr="00A52585">
        <w:rPr>
          <w:rFonts w:hint="cs"/>
          <w:sz w:val="24"/>
          <w:szCs w:val="24"/>
          <w:rtl/>
        </w:rPr>
        <w:t>ماية</w:t>
      </w:r>
      <w:proofErr w:type="spellEnd"/>
      <w:r w:rsidR="00777DCB" w:rsidRPr="00A52585">
        <w:rPr>
          <w:rFonts w:hint="cs"/>
          <w:sz w:val="24"/>
          <w:szCs w:val="24"/>
          <w:rtl/>
        </w:rPr>
        <w:t>. واستقرّ إلى أن توفّى رحمه الله تعالى في تاريخ ما يأتي ذكره "</w:t>
      </w:r>
      <w:r w:rsidRPr="00A52585">
        <w:rPr>
          <w:rFonts w:hint="cs"/>
          <w:sz w:val="24"/>
          <w:szCs w:val="24"/>
          <w:rtl/>
        </w:rPr>
        <w:t xml:space="preserve"> </w:t>
      </w:r>
      <w:proofErr w:type="spellStart"/>
      <w:proofErr w:type="gramStart"/>
      <w:r w:rsidR="00777DCB" w:rsidRPr="00A52585">
        <w:rPr>
          <w:rFonts w:hint="cs"/>
          <w:sz w:val="24"/>
          <w:szCs w:val="24"/>
          <w:rtl/>
        </w:rPr>
        <w:t>أ.ه</w:t>
      </w:r>
      <w:proofErr w:type="spellEnd"/>
      <w:r w:rsidR="00777DCB" w:rsidRPr="00A52585">
        <w:rPr>
          <w:rFonts w:hint="cs"/>
          <w:sz w:val="24"/>
          <w:szCs w:val="24"/>
          <w:rtl/>
        </w:rPr>
        <w:t>ـ</w:t>
      </w:r>
      <w:proofErr w:type="gramEnd"/>
      <w:r w:rsidR="00777DCB" w:rsidRPr="00A52585">
        <w:rPr>
          <w:rFonts w:hint="cs"/>
          <w:sz w:val="24"/>
          <w:szCs w:val="24"/>
          <w:rtl/>
        </w:rPr>
        <w:t xml:space="preserve"> (كنز الدرر وجامع الغرر) جـ9 ص 150-151.</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p>
    <w:p w14:paraId="321A4DC6" w14:textId="79759D9F" w:rsidR="00777DCB" w:rsidRPr="00A52585" w:rsidRDefault="00777DCB" w:rsidP="0002035C">
      <w:pPr>
        <w:pStyle w:val="a4"/>
        <w:widowControl w:val="0"/>
        <w:bidi/>
        <w:spacing w:after="240" w:line="276" w:lineRule="auto"/>
        <w:jc w:val="both"/>
        <w:rPr>
          <w:rFonts w:ascii="Traditional Arabic" w:hAnsi="Traditional Arabic" w:cs="Traditional Arabic"/>
          <w:bCs/>
          <w:spacing w:val="-10"/>
          <w:rtl/>
        </w:rPr>
      </w:pPr>
      <w:r w:rsidRPr="00A52585">
        <w:rPr>
          <w:rFonts w:ascii="Traditional Arabic" w:hAnsi="Traditional Arabic" w:cs="Traditional Arabic"/>
          <w:bCs/>
          <w:sz w:val="32"/>
          <w:szCs w:val="32"/>
          <w:rtl/>
        </w:rPr>
        <w:t>[7-]</w:t>
      </w:r>
      <w:r w:rsidRPr="00A52585">
        <w:rPr>
          <w:rFonts w:ascii="Traditional Arabic" w:hAnsi="Traditional Arabic" w:cs="Traditional Arabic"/>
          <w:sz w:val="32"/>
          <w:szCs w:val="32"/>
          <w:rtl/>
        </w:rPr>
        <w:t xml:space="preserve"> وفي سابع شهر صفر سنة ثمان عشرة ورد مرسوم السلطان بالمنع من الفتوى في مسألة الطلاق الذي يفتي بها ابن تيمية وأمر بعقد مجلس له بدار السعادة وحضر القضاة وجماعة من الفقهاء وحضر ابن تيمية وسألوه عن فتاويه في مسألة الطلاق وكونهم نهوه وما انتهى ولا قبل مرسوم السلطان ولا حُكْم الحكام بمنعه فأنكر</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فحضر خمسة نفر فذكروا عنه أنه أفتاهم بعد ذلك. فأنكر وصمم على الإنكار فحضر ابن </w:t>
      </w:r>
      <w:proofErr w:type="spellStart"/>
      <w:r w:rsidRPr="00A52585">
        <w:rPr>
          <w:rFonts w:ascii="Traditional Arabic" w:hAnsi="Traditional Arabic" w:cs="Traditional Arabic"/>
          <w:sz w:val="32"/>
          <w:szCs w:val="32"/>
          <w:rtl/>
        </w:rPr>
        <w:t>طليش</w:t>
      </w:r>
      <w:proofErr w:type="spellEnd"/>
      <w:r w:rsidRPr="00A52585">
        <w:rPr>
          <w:rFonts w:ascii="Traditional Arabic" w:hAnsi="Traditional Arabic" w:cs="Traditional Arabic"/>
          <w:sz w:val="32"/>
          <w:szCs w:val="32"/>
          <w:rtl/>
        </w:rPr>
        <w:t xml:space="preserve"> وشهود شهدوا أنه أفتى لحاماً اسمه قمر مسلماني في بستان ابن منجا ثم قيل لابن تيمية</w:t>
      </w:r>
      <w:r w:rsidR="0002035C"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أكتب خطَّك أنك لا تفتي بها ولا بغيرها. فكتب خطه أنه لا يفتي بها وما كتب بغيرها. فقال القاضي نجم الدين بن </w:t>
      </w:r>
      <w:proofErr w:type="spellStart"/>
      <w:r w:rsidRPr="00A52585">
        <w:rPr>
          <w:rFonts w:ascii="Traditional Arabic" w:hAnsi="Traditional Arabic" w:cs="Traditional Arabic"/>
          <w:sz w:val="32"/>
          <w:szCs w:val="32"/>
          <w:rtl/>
        </w:rPr>
        <w:t>صصري</w:t>
      </w:r>
      <w:proofErr w:type="spellEnd"/>
      <w:r w:rsidR="0002035C"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حكمت بحبسك واعتقالك. فقال له</w:t>
      </w:r>
      <w:r w:rsidR="0002035C"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حكمك باطل لأنك عدوي. فلم يقبل منه وأخذوه</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واعتقلوه في قلعة دمشق</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وفي سنة إحدى وعشرين وسبعمائة يوم عاشوراء فرّج عن ابن تيمية من حبسه بقلعة دمشق وكانت مدة اعتقاله خمسة أشهر ونصف</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وفي سنة اثنتين وعشرين وسبعمائة في السادس عشر من شعبان قدم بريدي من الديار المصرية ومعه مرسوم شريف باعتقال ابن تيمية</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فاعتقل في قلعة دمشق</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w:t>
      </w:r>
      <w:r w:rsidRPr="00A52585">
        <w:rPr>
          <w:rFonts w:ascii="Traditional Arabic" w:hAnsi="Traditional Arabic" w:cs="Traditional Arabic"/>
          <w:bCs/>
          <w:sz w:val="32"/>
          <w:szCs w:val="32"/>
          <w:rtl/>
        </w:rPr>
        <w:t xml:space="preserve">وكان السبب في اعتقاله </w:t>
      </w:r>
      <w:r w:rsidRPr="00A52585">
        <w:rPr>
          <w:rFonts w:ascii="Traditional Arabic" w:hAnsi="Traditional Arabic" w:cs="Traditional Arabic"/>
          <w:bCs/>
          <w:sz w:val="32"/>
          <w:szCs w:val="32"/>
          <w:rtl/>
        </w:rPr>
        <w:lastRenderedPageBreak/>
        <w:t>وحبسه أنه قال (لا تشد الرحال إلا إلى ثلاثة مساجد</w:t>
      </w:r>
      <w:r w:rsidR="00DB731D" w:rsidRPr="00A52585">
        <w:rPr>
          <w:rFonts w:ascii="Traditional Arabic" w:hAnsi="Traditional Arabic" w:cs="Traditional Arabic"/>
          <w:bCs/>
          <w:sz w:val="32"/>
          <w:szCs w:val="32"/>
          <w:rtl/>
        </w:rPr>
        <w:t>،</w:t>
      </w:r>
      <w:r w:rsidRPr="00A52585">
        <w:rPr>
          <w:rFonts w:ascii="Traditional Arabic" w:hAnsi="Traditional Arabic" w:cs="Traditional Arabic"/>
          <w:bCs/>
          <w:sz w:val="32"/>
          <w:szCs w:val="32"/>
          <w:rtl/>
        </w:rPr>
        <w:t xml:space="preserve"> وإن زيارة قبور الأنبياء لا تشد إليها الرواحل كغيرها كقبر إبراهيم الخليل وقبر النبي صلى الله عليه وسلم</w:t>
      </w:r>
      <w:r w:rsidR="0002035C" w:rsidRPr="00A52585">
        <w:rPr>
          <w:rFonts w:ascii="Traditional Arabic" w:hAnsi="Traditional Arabic" w:cs="Traditional Arabic"/>
          <w:bCs/>
          <w:sz w:val="32"/>
          <w:szCs w:val="32"/>
          <w:rtl/>
        </w:rPr>
        <w:t>)</w:t>
      </w:r>
      <w:r w:rsidR="00DB731D" w:rsidRPr="00A52585">
        <w:rPr>
          <w:rFonts w:ascii="Traditional Arabic" w:hAnsi="Traditional Arabic" w:cs="Traditional Arabic"/>
          <w:bCs/>
          <w:sz w:val="32"/>
          <w:szCs w:val="32"/>
          <w:rtl/>
        </w:rPr>
        <w:t>،</w:t>
      </w:r>
      <w:r w:rsidRPr="00A52585">
        <w:rPr>
          <w:rFonts w:ascii="Traditional Arabic" w:hAnsi="Traditional Arabic" w:cs="Traditional Arabic"/>
          <w:bCs/>
          <w:sz w:val="32"/>
          <w:szCs w:val="32"/>
          <w:rtl/>
        </w:rPr>
        <w:t xml:space="preserve"> </w:t>
      </w:r>
      <w:r w:rsidRPr="00A52585">
        <w:rPr>
          <w:rFonts w:ascii="Traditional Arabic" w:hAnsi="Traditional Arabic" w:cs="Traditional Arabic"/>
          <w:sz w:val="32"/>
          <w:szCs w:val="32"/>
          <w:rtl/>
        </w:rPr>
        <w:t>ثم إن الشاميين كتبوا فتيا أيضاً في ابن تيمية لكونه أول من أحدث هذه المسألة التي لا تصدر إلا ممن في قلبه ضغينة لسيد الأولين والآخرين</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فكتب عليها الإمام العلامة برهان الدين الفزاري</w:t>
      </w:r>
      <w:r w:rsidR="0002035C" w:rsidRPr="00A52585">
        <w:rPr>
          <w:rFonts w:ascii="Traditional Arabic" w:hAnsi="Traditional Arabic" w:cs="Traditional Arabic"/>
          <w:rtl/>
        </w:rPr>
        <w:t xml:space="preserve"> [</w:t>
      </w:r>
      <w:r w:rsidRPr="00A52585">
        <w:rPr>
          <w:rFonts w:ascii="Traditional Arabic" w:hAnsi="Traditional Arabic" w:cs="Traditional Arabic"/>
          <w:rtl/>
        </w:rPr>
        <w:t>قال المحقق</w:t>
      </w:r>
      <w:r w:rsidR="0002035C" w:rsidRPr="00A52585">
        <w:rPr>
          <w:rFonts w:ascii="Traditional Arabic" w:hAnsi="Traditional Arabic" w:cs="Traditional Arabic"/>
          <w:rtl/>
        </w:rPr>
        <w:t xml:space="preserve">: </w:t>
      </w:r>
      <w:r w:rsidRPr="00A52585">
        <w:rPr>
          <w:rFonts w:ascii="Traditional Arabic" w:hAnsi="Traditional Arabic" w:cs="Traditional Arabic"/>
          <w:rtl/>
        </w:rPr>
        <w:t>هو</w:t>
      </w:r>
      <w:r w:rsidR="0002035C" w:rsidRPr="00A52585">
        <w:rPr>
          <w:rFonts w:ascii="Traditional Arabic" w:hAnsi="Traditional Arabic" w:cs="Traditional Arabic"/>
          <w:rtl/>
        </w:rPr>
        <w:t>:</w:t>
      </w:r>
      <w:r w:rsidRPr="00A52585">
        <w:rPr>
          <w:rFonts w:ascii="Traditional Arabic" w:hAnsi="Traditional Arabic" w:cs="Traditional Arabic"/>
          <w:rtl/>
        </w:rPr>
        <w:t xml:space="preserve"> إبراهيم بن عبد الرحمن بن إبراهيم بن سباع بن ضياء الفزاري البدري شيخ الإسلام برهان الدين أبو إسحاق ولد سنة 660هـ</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قال عنه تاج الدين السبكي</w:t>
      </w:r>
      <w:r w:rsidR="0002035C" w:rsidRPr="00A52585">
        <w:rPr>
          <w:rFonts w:ascii="Traditional Arabic" w:hAnsi="Traditional Arabic" w:cs="Traditional Arabic"/>
          <w:rtl/>
        </w:rPr>
        <w:t xml:space="preserve"> </w:t>
      </w:r>
      <w:r w:rsidRPr="00A52585">
        <w:rPr>
          <w:rFonts w:ascii="Traditional Arabic" w:hAnsi="Traditional Arabic" w:cs="Traditional Arabic"/>
          <w:rtl/>
        </w:rPr>
        <w:t>" كان ملازما للشغل بالعلم والإفادة والتعليق سديد السيرة كثير الورع مجمعا على تقدمه في الفقه ومشاركته في الأصول والنحو والحديث"</w:t>
      </w:r>
      <w:r w:rsidR="0002035C" w:rsidRPr="00A52585">
        <w:rPr>
          <w:rFonts w:ascii="Traditional Arabic" w:hAnsi="Traditional Arabic" w:cs="Traditional Arabic"/>
          <w:rtl/>
        </w:rPr>
        <w:t xml:space="preserve"> </w:t>
      </w:r>
      <w:r w:rsidRPr="00A52585">
        <w:rPr>
          <w:rFonts w:ascii="Traditional Arabic" w:hAnsi="Traditional Arabic" w:cs="Traditional Arabic"/>
          <w:rtl/>
        </w:rPr>
        <w:t>أهـ ويقول الذهبي عنه</w:t>
      </w:r>
      <w:r w:rsidR="0002035C" w:rsidRPr="00A52585">
        <w:rPr>
          <w:rFonts w:ascii="Traditional Arabic" w:hAnsi="Traditional Arabic" w:cs="Traditional Arabic"/>
          <w:rtl/>
        </w:rPr>
        <w:t xml:space="preserve"> </w:t>
      </w:r>
      <w:r w:rsidRPr="00A52585">
        <w:rPr>
          <w:rFonts w:ascii="Traditional Arabic" w:hAnsi="Traditional Arabic" w:cs="Traditional Arabic"/>
          <w:rtl/>
        </w:rPr>
        <w:t>"انتهت إليه معرفة المذهب ودقائقه ووجوهه مع علم متون الأحكام وعلم الأصول والعربية وغير ذلك وسمع الكثير وكتب بعض مسموعاته وكان يدري علوم الحديث مع الدين والورع وحسن السمت والتواضع "</w:t>
      </w:r>
      <w:r w:rsidR="0002035C" w:rsidRPr="00A52585">
        <w:rPr>
          <w:rFonts w:ascii="Traditional Arabic" w:hAnsi="Traditional Arabic" w:cs="Traditional Arabic"/>
          <w:rtl/>
        </w:rPr>
        <w:t xml:space="preserve"> </w:t>
      </w:r>
      <w:r w:rsidRPr="00A52585">
        <w:rPr>
          <w:rFonts w:ascii="Traditional Arabic" w:hAnsi="Traditional Arabic" w:cs="Traditional Arabic"/>
          <w:rtl/>
        </w:rPr>
        <w:t>أهـ</w:t>
      </w:r>
      <w:r w:rsidR="00DB731D" w:rsidRPr="00A52585">
        <w:rPr>
          <w:rFonts w:ascii="Traditional Arabic" w:hAnsi="Traditional Arabic" w:cs="Traditional Arabic"/>
          <w:rtl/>
        </w:rPr>
        <w:t>،</w:t>
      </w:r>
      <w:r w:rsidRPr="00A52585">
        <w:rPr>
          <w:rFonts w:ascii="Traditional Arabic" w:hAnsi="Traditional Arabic" w:cs="Traditional Arabic"/>
          <w:rtl/>
        </w:rPr>
        <w:t xml:space="preserve"> توفى في سنة 729هـ على ما حكاه تلميذه تاج الدين السبكي ودفن في دمشق</w:t>
      </w:r>
      <w:r w:rsidR="0002035C" w:rsidRPr="00A52585">
        <w:rPr>
          <w:rFonts w:ascii="Traditional Arabic" w:hAnsi="Traditional Arabic" w:cs="Traditional Arabic"/>
          <w:rtl/>
        </w:rPr>
        <w:t>]</w:t>
      </w:r>
      <w:r w:rsidRPr="00A52585">
        <w:rPr>
          <w:rFonts w:ascii="Traditional Arabic" w:hAnsi="Traditional Arabic" w:cs="Traditional Arabic"/>
          <w:rtl/>
        </w:rPr>
        <w:t xml:space="preserve"> </w:t>
      </w:r>
      <w:r w:rsidRPr="00A52585">
        <w:rPr>
          <w:rFonts w:ascii="Traditional Arabic" w:hAnsi="Traditional Arabic" w:cs="Traditional Arabic"/>
          <w:sz w:val="32"/>
          <w:szCs w:val="32"/>
          <w:rtl/>
        </w:rPr>
        <w:t xml:space="preserve">نحو أربعين سطراً بأشياء وآخر القول أنه أفتى بتكفيره </w:t>
      </w:r>
      <w:proofErr w:type="spellStart"/>
      <w:r w:rsidRPr="00A52585">
        <w:rPr>
          <w:rFonts w:ascii="Traditional Arabic" w:hAnsi="Traditional Arabic" w:cs="Traditional Arabic"/>
          <w:sz w:val="32"/>
          <w:szCs w:val="32"/>
          <w:rtl/>
        </w:rPr>
        <w:t>ووافقه</w:t>
      </w:r>
      <w:proofErr w:type="spellEnd"/>
      <w:r w:rsidRPr="00A52585">
        <w:rPr>
          <w:rFonts w:ascii="Traditional Arabic" w:hAnsi="Traditional Arabic" w:cs="Traditional Arabic"/>
          <w:sz w:val="32"/>
          <w:szCs w:val="32"/>
          <w:rtl/>
        </w:rPr>
        <w:t xml:space="preserve"> على ذلك الشيخ شهاب الدين بن </w:t>
      </w:r>
      <w:proofErr w:type="spellStart"/>
      <w:r w:rsidRPr="00A52585">
        <w:rPr>
          <w:rFonts w:ascii="Traditional Arabic" w:hAnsi="Traditional Arabic" w:cs="Traditional Arabic"/>
          <w:sz w:val="32"/>
          <w:szCs w:val="32"/>
          <w:rtl/>
        </w:rPr>
        <w:t>جهبل</w:t>
      </w:r>
      <w:proofErr w:type="spellEnd"/>
      <w:r w:rsidR="0002035C" w:rsidRPr="00A52585">
        <w:rPr>
          <w:rFonts w:ascii="Traditional Arabic" w:hAnsi="Traditional Arabic" w:cs="Traditional Arabic"/>
          <w:sz w:val="32"/>
          <w:szCs w:val="32"/>
          <w:rtl/>
        </w:rPr>
        <w:t xml:space="preserve"> </w:t>
      </w:r>
      <w:r w:rsidRPr="00A52585">
        <w:rPr>
          <w:rFonts w:ascii="Traditional Arabic" w:hAnsi="Traditional Arabic" w:cs="Traditional Arabic"/>
          <w:sz w:val="32"/>
          <w:szCs w:val="32"/>
          <w:rtl/>
        </w:rPr>
        <w:t>الشافعي</w:t>
      </w:r>
      <w:r w:rsidRPr="00A52585">
        <w:rPr>
          <w:rFonts w:ascii="Traditional Arabic" w:hAnsi="Traditional Arabic" w:cs="Traditional Arabic"/>
          <w:rtl/>
        </w:rPr>
        <w:t xml:space="preserve"> </w:t>
      </w:r>
      <w:r w:rsidR="0002035C" w:rsidRPr="00A52585">
        <w:rPr>
          <w:rFonts w:ascii="Traditional Arabic" w:hAnsi="Traditional Arabic" w:cs="Traditional Arabic"/>
          <w:rtl/>
        </w:rPr>
        <w:t>[</w:t>
      </w:r>
      <w:r w:rsidRPr="00A52585">
        <w:rPr>
          <w:rFonts w:ascii="Traditional Arabic" w:hAnsi="Traditional Arabic" w:cs="Traditional Arabic"/>
          <w:rtl/>
        </w:rPr>
        <w:t>قال المحقق</w:t>
      </w:r>
      <w:r w:rsidR="0002035C" w:rsidRPr="00A52585">
        <w:rPr>
          <w:rFonts w:ascii="Traditional Arabic" w:hAnsi="Traditional Arabic" w:cs="Traditional Arabic"/>
          <w:rtl/>
        </w:rPr>
        <w:t xml:space="preserve">: </w:t>
      </w:r>
      <w:r w:rsidRPr="00A52585">
        <w:rPr>
          <w:rFonts w:ascii="Traditional Arabic" w:hAnsi="Traditional Arabic" w:cs="Traditional Arabic"/>
          <w:rtl/>
        </w:rPr>
        <w:t xml:space="preserve">هو الشيخ العلامة شهاب الدين أحمد بن يحيى بن إسماعيل بن </w:t>
      </w:r>
      <w:proofErr w:type="spellStart"/>
      <w:r w:rsidRPr="00A52585">
        <w:rPr>
          <w:rFonts w:ascii="Traditional Arabic" w:hAnsi="Traditional Arabic" w:cs="Traditional Arabic"/>
          <w:rtl/>
        </w:rPr>
        <w:t>جهبل</w:t>
      </w:r>
      <w:proofErr w:type="spellEnd"/>
      <w:r w:rsidRPr="00A52585">
        <w:rPr>
          <w:rFonts w:ascii="Traditional Arabic" w:hAnsi="Traditional Arabic" w:cs="Traditional Arabic"/>
          <w:rtl/>
        </w:rPr>
        <w:t xml:space="preserve"> الكلابي الحلبي الأصل الشافعي المذهب اشتهر بالزهد والورع، درّس وأفتى وشغل بالعلم ولم يأخذ معلوما على تدريسه صنف كتابا في نفي الجهة يكتب بماء الذهب كما وصفه العلامة </w:t>
      </w:r>
      <w:proofErr w:type="spellStart"/>
      <w:r w:rsidRPr="00A52585">
        <w:rPr>
          <w:rFonts w:ascii="Traditional Arabic" w:hAnsi="Traditional Arabic" w:cs="Traditional Arabic"/>
          <w:rtl/>
        </w:rPr>
        <w:t>الكوثرى</w:t>
      </w:r>
      <w:proofErr w:type="spellEnd"/>
      <w:r w:rsidRPr="00A52585">
        <w:rPr>
          <w:rFonts w:ascii="Traditional Arabic" w:hAnsi="Traditional Arabic" w:cs="Traditional Arabic"/>
          <w:rtl/>
        </w:rPr>
        <w:t xml:space="preserve"> ردَّ به على الفتوى الحموية لابن تيمية وقد نشر بالقاهرة بتحقيق د طه حبيش بعنوان (الحقائــق الجلية في الرد على ابن تيمية) وهو موجود في طبقات الشافعية الكبرى عقب ترجمة ابن </w:t>
      </w:r>
      <w:proofErr w:type="spellStart"/>
      <w:r w:rsidRPr="00A52585">
        <w:rPr>
          <w:rFonts w:ascii="Traditional Arabic" w:hAnsi="Traditional Arabic" w:cs="Traditional Arabic"/>
          <w:rtl/>
        </w:rPr>
        <w:t>جهبل</w:t>
      </w:r>
      <w:proofErr w:type="spellEnd"/>
      <w:r w:rsidRPr="00A52585">
        <w:rPr>
          <w:rFonts w:ascii="Traditional Arabic" w:hAnsi="Traditional Arabic" w:cs="Traditional Arabic"/>
          <w:rtl/>
        </w:rPr>
        <w:t xml:space="preserve"> توفى رحمه الله سنة 733هـ</w:t>
      </w:r>
      <w:r w:rsidR="0002035C" w:rsidRPr="00A52585">
        <w:rPr>
          <w:rFonts w:ascii="Traditional Arabic" w:hAnsi="Traditional Arabic" w:cs="Traditional Arabic"/>
          <w:rtl/>
        </w:rPr>
        <w:t>]</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وكتب تحت خطه كذلك المالكي وكذلك كتب غيرهم</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ووقع الاتفاق على تضليله بذلك وتبديعه وزندقته</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ثم أراد النائب أن يعقد لهم مجلسا ويجمع العلماء والقضاة فرأى أن الأمر يتسع فيه الكلام ولابد من إعلام السلطان بما وقع فأخذ الفتوى وجعلها في مطالعه وسيرها فجمع السلطان لها القضاة. فلما قرئت عليهم</w:t>
      </w:r>
      <w:r w:rsidR="00DB731D" w:rsidRPr="00A52585">
        <w:rPr>
          <w:rFonts w:ascii="Traditional Arabic" w:hAnsi="Traditional Arabic" w:cs="Traditional Arabic"/>
          <w:sz w:val="32"/>
          <w:szCs w:val="32"/>
          <w:rtl/>
        </w:rPr>
        <w:t>،</w:t>
      </w:r>
      <w:r w:rsidRPr="00A52585">
        <w:rPr>
          <w:rFonts w:ascii="Traditional Arabic" w:hAnsi="Traditional Arabic" w:cs="Traditional Arabic"/>
          <w:sz w:val="32"/>
          <w:szCs w:val="32"/>
          <w:rtl/>
        </w:rPr>
        <w:t xml:space="preserve"> أخذها قاضي القضاة بدر الدين بن جماعة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w:t>
      </w:r>
      <w:r w:rsidR="0002035C" w:rsidRPr="00A52585">
        <w:rPr>
          <w:rFonts w:ascii="Traditional Arabic" w:hAnsi="Traditional Arabic" w:cs="Traditional Arabic"/>
          <w:rtl/>
        </w:rPr>
        <w:t>[</w:t>
      </w:r>
      <w:r w:rsidRPr="00A52585">
        <w:rPr>
          <w:rFonts w:ascii="Traditional Arabic" w:hAnsi="Traditional Arabic" w:cs="Traditional Arabic"/>
          <w:rtl/>
        </w:rPr>
        <w:t>قال المحقق</w:t>
      </w:r>
      <w:r w:rsidR="0002035C" w:rsidRPr="00A52585">
        <w:rPr>
          <w:rFonts w:ascii="Traditional Arabic" w:hAnsi="Traditional Arabic" w:cs="Traditional Arabic"/>
          <w:rtl/>
        </w:rPr>
        <w:t>:</w:t>
      </w:r>
      <w:r w:rsidRPr="00A52585">
        <w:rPr>
          <w:rFonts w:ascii="Traditional Arabic" w:hAnsi="Traditional Arabic" w:cs="Traditional Arabic"/>
          <w:rtl/>
        </w:rPr>
        <w:t xml:space="preserve"> هو</w:t>
      </w:r>
      <w:r w:rsidR="0002035C" w:rsidRPr="00A52585">
        <w:rPr>
          <w:rFonts w:ascii="Traditional Arabic" w:hAnsi="Traditional Arabic" w:cs="Traditional Arabic"/>
          <w:rtl/>
        </w:rPr>
        <w:t>:</w:t>
      </w:r>
      <w:r w:rsidRPr="00A52585">
        <w:rPr>
          <w:rFonts w:ascii="Traditional Arabic" w:hAnsi="Traditional Arabic" w:cs="Traditional Arabic"/>
          <w:rtl/>
        </w:rPr>
        <w:t xml:space="preserve"> محمد بن إبراهيم بن سعد الله بن جماعة قاضي القضاة بدر الدين أبو عبد الله ولد سنة 639 هـ بحماة. قال عنه الذهبي</w:t>
      </w:r>
      <w:r w:rsidR="0002035C" w:rsidRPr="00A52585">
        <w:rPr>
          <w:rFonts w:ascii="Traditional Arabic" w:hAnsi="Traditional Arabic" w:cs="Traditional Arabic"/>
          <w:rtl/>
        </w:rPr>
        <w:t xml:space="preserve">: </w:t>
      </w:r>
      <w:r w:rsidRPr="00A52585">
        <w:rPr>
          <w:rFonts w:ascii="Traditional Arabic" w:hAnsi="Traditional Arabic" w:cs="Traditional Arabic"/>
          <w:rtl/>
        </w:rPr>
        <w:t xml:space="preserve">" قاضي القضاة شيخ الإسلام الخطيب المفسر، له تعاليق في الفقه والحديث والأصول والتاريخ وغير ذلك. وله مشاركة حسنة في علوم الإسلام مع دين وتعبد وتصوف وأوصاف حميدة وأحكام محمودة </w:t>
      </w:r>
      <w:r w:rsidRPr="00A52585">
        <w:rPr>
          <w:rFonts w:ascii="Traditional Arabic" w:hAnsi="Traditional Arabic" w:cs="Traditional Arabic"/>
        </w:rPr>
        <w:t>…</w:t>
      </w:r>
      <w:r w:rsidRPr="00A52585">
        <w:rPr>
          <w:rFonts w:ascii="Traditional Arabic" w:hAnsi="Traditional Arabic" w:cs="Traditional Arabic"/>
          <w:rtl/>
        </w:rPr>
        <w:t xml:space="preserve"> وهو أشعري فاضل "</w:t>
      </w:r>
      <w:r w:rsidR="0002035C" w:rsidRPr="00A52585">
        <w:rPr>
          <w:rFonts w:ascii="Traditional Arabic" w:hAnsi="Traditional Arabic" w:cs="Traditional Arabic"/>
          <w:rtl/>
        </w:rPr>
        <w:t xml:space="preserve"> </w:t>
      </w:r>
      <w:proofErr w:type="spellStart"/>
      <w:r w:rsidRPr="00A52585">
        <w:rPr>
          <w:rFonts w:ascii="Traditional Arabic" w:hAnsi="Traditional Arabic" w:cs="Traditional Arabic"/>
          <w:rtl/>
        </w:rPr>
        <w:t>أ.ه</w:t>
      </w:r>
      <w:proofErr w:type="spellEnd"/>
      <w:r w:rsidRPr="00A52585">
        <w:rPr>
          <w:rFonts w:ascii="Traditional Arabic" w:hAnsi="Traditional Arabic" w:cs="Traditional Arabic"/>
          <w:rtl/>
        </w:rPr>
        <w:t xml:space="preserve">ـ. اشتغل في علوم كثيرة وصنف في كثير منها، أفتى قديما وعرضت فتواه على النووي فاستحسن ما أجاب به. </w:t>
      </w:r>
      <w:r w:rsidR="0002035C" w:rsidRPr="00A52585">
        <w:rPr>
          <w:rFonts w:ascii="Traditional Arabic" w:hAnsi="Traditional Arabic" w:cs="Traditional Arabic"/>
          <w:rtl/>
        </w:rPr>
        <w:t>(</w:t>
      </w:r>
      <w:r w:rsidRPr="00A52585">
        <w:rPr>
          <w:rFonts w:ascii="Traditional Arabic" w:hAnsi="Traditional Arabic" w:cs="Traditional Arabic"/>
          <w:rtl/>
        </w:rPr>
        <w:t>قلت</w:t>
      </w:r>
      <w:r w:rsidR="0002035C" w:rsidRPr="00A52585">
        <w:rPr>
          <w:rFonts w:ascii="Traditional Arabic" w:hAnsi="Traditional Arabic" w:cs="Traditional Arabic"/>
          <w:rtl/>
        </w:rPr>
        <w:t>):</w:t>
      </w:r>
      <w:r w:rsidRPr="00A52585">
        <w:rPr>
          <w:rFonts w:ascii="Traditional Arabic" w:hAnsi="Traditional Arabic" w:cs="Traditional Arabic"/>
          <w:rtl/>
        </w:rPr>
        <w:t xml:space="preserve"> من مصنفاته المطبوعة (إيضاح الدليل في قطع حجج أهل التعطيل) طبعته مكتبة دار السلام بالقاهرة وهو يرد على المشبهة والمجسمة في عصره (ابن تيمية وأتباعه)</w:t>
      </w:r>
      <w:r w:rsidR="00DB731D" w:rsidRPr="00A52585">
        <w:rPr>
          <w:rFonts w:ascii="Traditional Arabic" w:hAnsi="Traditional Arabic" w:cs="Traditional Arabic"/>
          <w:rtl/>
        </w:rPr>
        <w:t>،</w:t>
      </w:r>
      <w:r w:rsidRPr="00A52585">
        <w:rPr>
          <w:rFonts w:ascii="Traditional Arabic" w:hAnsi="Traditional Arabic" w:cs="Traditional Arabic"/>
          <w:rtl/>
        </w:rPr>
        <w:t xml:space="preserve"> توفى رضي الله عنه سنة 733هـ بالقاهرة ودفن قريباً من الشافعي</w:t>
      </w:r>
      <w:r w:rsidR="0002035C" w:rsidRPr="00A52585">
        <w:rPr>
          <w:rFonts w:ascii="Traditional Arabic" w:hAnsi="Traditional Arabic" w:cs="Traditional Arabic"/>
          <w:rtl/>
        </w:rPr>
        <w:t>]</w:t>
      </w:r>
      <w:r w:rsidRPr="00A52585">
        <w:rPr>
          <w:rFonts w:ascii="Traditional Arabic" w:hAnsi="Traditional Arabic" w:cs="Traditional Arabic"/>
          <w:rtl/>
        </w:rPr>
        <w:t xml:space="preserve"> وكتب عليها</w:t>
      </w:r>
      <w:r w:rsidR="0002035C" w:rsidRPr="00A52585">
        <w:rPr>
          <w:rFonts w:ascii="Traditional Arabic" w:hAnsi="Traditional Arabic" w:cs="Traditional Arabic"/>
          <w:rtl/>
        </w:rPr>
        <w:t>:</w:t>
      </w:r>
      <w:r w:rsidRPr="00A52585">
        <w:rPr>
          <w:rFonts w:ascii="Traditional Arabic" w:hAnsi="Traditional Arabic" w:cs="Traditional Arabic"/>
          <w:rtl/>
        </w:rPr>
        <w:t xml:space="preserve"> </w:t>
      </w:r>
      <w:r w:rsidRPr="00A52585">
        <w:rPr>
          <w:rFonts w:ascii="Traditional Arabic" w:hAnsi="Traditional Arabic" w:cs="Traditional Arabic"/>
          <w:bCs/>
          <w:rtl/>
        </w:rPr>
        <w:t>(القائل بهذه المقالة ضال مبتدع)</w:t>
      </w:r>
      <w:r w:rsidRPr="00A52585">
        <w:rPr>
          <w:rFonts w:ascii="Traditional Arabic" w:hAnsi="Traditional Arabic" w:cs="Traditional Arabic"/>
          <w:rtl/>
        </w:rPr>
        <w:t xml:space="preserve"> </w:t>
      </w:r>
      <w:proofErr w:type="spellStart"/>
      <w:r w:rsidRPr="00A52585">
        <w:rPr>
          <w:rFonts w:ascii="Traditional Arabic" w:hAnsi="Traditional Arabic" w:cs="Traditional Arabic"/>
          <w:rtl/>
        </w:rPr>
        <w:t>ووافقه</w:t>
      </w:r>
      <w:proofErr w:type="spellEnd"/>
      <w:r w:rsidRPr="00A52585">
        <w:rPr>
          <w:rFonts w:ascii="Traditional Arabic" w:hAnsi="Traditional Arabic" w:cs="Traditional Arabic"/>
          <w:rtl/>
        </w:rPr>
        <w:t xml:space="preserve"> على ذلك الحنفي والحنبلي فصار كفره بذلك مجمعاً عليه ثم كتب كتاباً إلى دمشق بما يعتمده نائب السلطنة في أمره</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وفي يوم الجمعة عاشر شهر شعبان حضر كتاب السلطان إلى نائب البلد وأمره أن يقرأ على السدة في يوم الجمعة </w:t>
      </w:r>
      <w:proofErr w:type="spellStart"/>
      <w:r w:rsidRPr="00A52585">
        <w:rPr>
          <w:rFonts w:ascii="Traditional Arabic" w:hAnsi="Traditional Arabic" w:cs="Traditional Arabic"/>
          <w:rtl/>
        </w:rPr>
        <w:t>فقريء</w:t>
      </w:r>
      <w:proofErr w:type="spellEnd"/>
      <w:r w:rsidRPr="00A52585">
        <w:rPr>
          <w:rFonts w:ascii="Traditional Arabic" w:hAnsi="Traditional Arabic" w:cs="Traditional Arabic"/>
          <w:rtl/>
        </w:rPr>
        <w:t xml:space="preserve"> وكان قارئ الكتاب بدر الدين بن </w:t>
      </w:r>
      <w:proofErr w:type="spellStart"/>
      <w:r w:rsidRPr="00A52585">
        <w:rPr>
          <w:rFonts w:ascii="Traditional Arabic" w:hAnsi="Traditional Arabic" w:cs="Traditional Arabic"/>
          <w:rtl/>
        </w:rPr>
        <w:t>الأعزازي</w:t>
      </w:r>
      <w:proofErr w:type="spellEnd"/>
      <w:r w:rsidRPr="00A52585">
        <w:rPr>
          <w:rFonts w:ascii="Traditional Arabic" w:hAnsi="Traditional Arabic" w:cs="Traditional Arabic"/>
          <w:rtl/>
        </w:rPr>
        <w:t xml:space="preserve"> الموقع والمبلغ ابن </w:t>
      </w:r>
      <w:proofErr w:type="spellStart"/>
      <w:r w:rsidRPr="00A52585">
        <w:rPr>
          <w:rFonts w:ascii="Traditional Arabic" w:hAnsi="Traditional Arabic" w:cs="Traditional Arabic"/>
          <w:rtl/>
        </w:rPr>
        <w:t>النجيبي</w:t>
      </w:r>
      <w:proofErr w:type="spellEnd"/>
      <w:r w:rsidRPr="00A52585">
        <w:rPr>
          <w:rFonts w:ascii="Traditional Arabic" w:hAnsi="Traditional Arabic" w:cs="Traditional Arabic"/>
          <w:rtl/>
        </w:rPr>
        <w:t xml:space="preserve"> المؤذن</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ومضمون الكتاب بعد البسملة</w:t>
      </w:r>
      <w:r w:rsidR="0002035C" w:rsidRPr="00A52585">
        <w:rPr>
          <w:rFonts w:ascii="Traditional Arabic" w:hAnsi="Traditional Arabic" w:cs="Traditional Arabic"/>
          <w:rtl/>
        </w:rPr>
        <w:t>:</w:t>
      </w:r>
      <w:r w:rsidRPr="00A52585">
        <w:rPr>
          <w:rFonts w:ascii="Traditional Arabic" w:hAnsi="Traditional Arabic" w:cs="Traditional Arabic"/>
          <w:rtl/>
        </w:rPr>
        <w:t xml:space="preserve"> أدام الله تعالى نعمه … ونوضح لعلمه الكريم ورود مكاتبته التي جهزها بسبب ابن تيمية. فوقفنا عليها</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وعلمنا مضمونها في أمر المذكور وإقدامه على الفتوى بعد تكرير المراسيم الشريفة بمنعه</w:t>
      </w:r>
      <w:r w:rsidR="00DB731D" w:rsidRPr="00A52585">
        <w:rPr>
          <w:rFonts w:ascii="Traditional Arabic" w:hAnsi="Traditional Arabic" w:cs="Traditional Arabic"/>
          <w:rtl/>
        </w:rPr>
        <w:t>،</w:t>
      </w:r>
      <w:r w:rsidRPr="00A52585">
        <w:rPr>
          <w:rFonts w:ascii="Traditional Arabic" w:hAnsi="Traditional Arabic" w:cs="Traditional Arabic"/>
          <w:rtl/>
        </w:rPr>
        <w:t xml:space="preserve"> حسب ما حكم به القضاة وأكبر العلماء</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وعقدنا بهذا السبب مجلساً بين أيدينا الشريفة ورسمنا بقراءة الفتوى على القضاة والعلماء فذكروا جميعاً من غير خلف أن الذي أفتى به ابن تيمية في ذلك خطأ مردود عليه</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وحكموا بزجره وطول سجنه ومنعه من الفتوى مطلقاً</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وكتبوا خطوطهم بين أيدينا على ظاهر الفتوى المجهزة بنسخة ما كتبه ابن تيمية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وقد جهزنا إلى الجناب العالي طي هذه المكاتبة. </w:t>
      </w:r>
      <w:r w:rsidRPr="00A52585">
        <w:rPr>
          <w:rFonts w:ascii="Traditional Arabic" w:hAnsi="Traditional Arabic" w:cs="Traditional Arabic"/>
          <w:rtl/>
        </w:rPr>
        <w:lastRenderedPageBreak/>
        <w:t>فيقف على حكم ما كتبت به القضاة الأربعة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ويتقدم اعتقال المذكور في قلعة دمشق ويمنع من الفتوى مطلقاً. ويمنع الناس من الاجتماع به والتردد إليه تضييقاً عليه</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لجرأته على هذه الفتوى. فيحيط به علمك الكريم ويكون اعتماده بحسب ما حكم به الأئمة الأربعة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وأفتى به العلماء في السجن المذكور وطول سجنه فإنه في كل وقت يحدث للناس شيئاً منكراً</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وزندقة يشغل خواطر الناس به ويفسد على العوام عقولهم الضعيفة وعقائدهم</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فيمنع من ذلك وتسد الذريعة منه. فليكن عمله على هذا الحكم</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ويتقدم أمره به. وإذا اعتمد الجناب الرفيع العالي هذا الاعتماد الذي رسمنا به في أمر ابن تيمية فيتقدم منع من سلك مسالكه أو يفتي بهذه الفتاوى أو يعمل بها في أمر الطلاق أو هذه القضايا المستحدثة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وإذا اطلع على أحد عمل بذلك أو أفتى به فيعتبر حاله فإن كان من مشايخ العلماء فيعزر تعزير مثله. وإن كان من الشبان الذين يقصدون الظهور كما يقصده ابن تيمية فيؤذيهم ويردعهم ردعاً بليغاً. ويعتمد في أمره ما يحسم به المواد أمثاله ليستقيم أحوال الناس وتمشي على السداد</w:t>
      </w:r>
      <w:r w:rsidR="00DB731D" w:rsidRPr="00A52585">
        <w:rPr>
          <w:rFonts w:ascii="Traditional Arabic" w:hAnsi="Traditional Arabic" w:cs="Traditional Arabic"/>
          <w:rtl/>
        </w:rPr>
        <w:t>،</w:t>
      </w:r>
      <w:r w:rsidRPr="00A52585">
        <w:rPr>
          <w:rFonts w:ascii="Traditional Arabic" w:hAnsi="Traditional Arabic" w:cs="Traditional Arabic"/>
          <w:rtl/>
        </w:rPr>
        <w:t xml:space="preserve"> ولا يعود أحد يتجاسر على الإفتاء بما يخالف الإجماع. ويبتدع في دين الله عز وجل من أنواع الاقتراح ما لم يسبقه أحد إليه. فالجناب العالي يعتمد هذه الأمور التي عرفناه إياها الآن. وتسد الذرائع فيها. وقد عجلنا بهذا الكتاب وبقية فصول مكاتبته </w:t>
      </w:r>
      <w:proofErr w:type="spellStart"/>
      <w:r w:rsidRPr="00A52585">
        <w:rPr>
          <w:rFonts w:ascii="Traditional Arabic" w:hAnsi="Traditional Arabic" w:cs="Traditional Arabic"/>
          <w:rtl/>
        </w:rPr>
        <w:t>الوارده</w:t>
      </w:r>
      <w:proofErr w:type="spellEnd"/>
      <w:r w:rsidRPr="00A52585">
        <w:rPr>
          <w:rFonts w:ascii="Traditional Arabic" w:hAnsi="Traditional Arabic" w:cs="Traditional Arabic"/>
          <w:rtl/>
        </w:rPr>
        <w:t xml:space="preserve"> تصل بعد هذا الكتاب إن شاء الله تعالى وكتب في سابع عشرين رجب سنة ست وعشرين وسبعمائة</w:t>
      </w:r>
      <w:r w:rsidR="00DB731D" w:rsidRPr="00A52585">
        <w:rPr>
          <w:rFonts w:ascii="Traditional Arabic" w:hAnsi="Traditional Arabic" w:cs="Traditional Arabic"/>
          <w:rtl/>
        </w:rPr>
        <w:t>،</w:t>
      </w:r>
      <w:r w:rsidRPr="00A52585">
        <w:rPr>
          <w:rFonts w:ascii="Traditional Arabic" w:hAnsi="Traditional Arabic" w:cs="Traditional Arabic"/>
          <w:rtl/>
        </w:rPr>
        <w:t xml:space="preserve"> </w:t>
      </w:r>
    </w:p>
    <w:p w14:paraId="36268297" w14:textId="661670DB" w:rsidR="00777DCB" w:rsidRPr="00A52585" w:rsidRDefault="00777DCB" w:rsidP="0002035C">
      <w:pPr>
        <w:spacing w:after="240"/>
        <w:rPr>
          <w:b/>
          <w:bCs/>
          <w:rtl/>
        </w:rPr>
      </w:pPr>
      <w:r w:rsidRPr="00A52585">
        <w:rPr>
          <w:bCs/>
          <w:rtl/>
        </w:rPr>
        <w:t>صورة الفتوى من المنقول من خط القضاة الأربعة بالقاهرة على ظاهر الفتوى</w:t>
      </w:r>
      <w:r w:rsidR="0002035C" w:rsidRPr="00A52585">
        <w:rPr>
          <w:bCs/>
          <w:rtl/>
        </w:rPr>
        <w:t>:</w:t>
      </w:r>
      <w:r w:rsidRPr="00A52585">
        <w:rPr>
          <w:bCs/>
          <w:rtl/>
        </w:rPr>
        <w:t xml:space="preserve"> </w:t>
      </w:r>
      <w:r w:rsidR="0002035C" w:rsidRPr="00A52585">
        <w:rPr>
          <w:rtl/>
        </w:rPr>
        <w:t>(</w:t>
      </w:r>
      <w:r w:rsidRPr="00A52585">
        <w:rPr>
          <w:rtl/>
        </w:rPr>
        <w:t>الحمد لله</w:t>
      </w:r>
      <w:r w:rsidR="00DB731D" w:rsidRPr="00A52585">
        <w:rPr>
          <w:rtl/>
        </w:rPr>
        <w:t>،</w:t>
      </w:r>
      <w:r w:rsidRPr="00A52585">
        <w:rPr>
          <w:rtl/>
        </w:rPr>
        <w:t xml:space="preserve"> هذا المنقول</w:t>
      </w:r>
      <w:r w:rsidRPr="00A52585">
        <w:rPr>
          <w:rFonts w:hint="cs"/>
          <w:rtl/>
        </w:rPr>
        <w:t xml:space="preserve"> باطنها جواب عن السؤال عن قوله إن زيارة الأنبياء والصالحين بدعة</w:t>
      </w:r>
      <w:r w:rsidR="00DB731D" w:rsidRPr="00A52585">
        <w:rPr>
          <w:rFonts w:hint="cs"/>
          <w:rtl/>
        </w:rPr>
        <w:t>،</w:t>
      </w:r>
      <w:r w:rsidRPr="00A52585">
        <w:rPr>
          <w:rFonts w:hint="cs"/>
          <w:rtl/>
        </w:rPr>
        <w:t xml:space="preserve"> وما ذكره من نحو ذلك وأنه لا يرخص في السفر لزيارة الأنبياء باطل مردود عليه</w:t>
      </w:r>
      <w:r w:rsidR="00DB731D" w:rsidRPr="00A52585">
        <w:rPr>
          <w:rFonts w:hint="cs"/>
          <w:rtl/>
        </w:rPr>
        <w:t>،</w:t>
      </w:r>
      <w:r w:rsidRPr="00A52585">
        <w:rPr>
          <w:rFonts w:hint="cs"/>
          <w:rtl/>
        </w:rPr>
        <w:t xml:space="preserve"> وقد نقل جماعة من العلماء أن </w:t>
      </w:r>
      <w:r w:rsidRPr="00A52585">
        <w:rPr>
          <w:rFonts w:hint="cs"/>
          <w:bCs/>
          <w:rtl/>
        </w:rPr>
        <w:t>زيارة النبي صلى الله عليه وسلم فضيلة وسنة</w:t>
      </w:r>
      <w:r w:rsidRPr="00A52585">
        <w:rPr>
          <w:rFonts w:hint="cs"/>
          <w:rtl/>
        </w:rPr>
        <w:t xml:space="preserve"> مجمع عليها وهذا المفتي المذكور ينبغي أن يزجر عن مثل هذه الفتاوي الباطلة عند الأئمة والعلماء ويمنع من الفتاوى الغريبة ويحبس إذا لم يمتنع من ذلك ويشهر أمره ليتحفظ الناس من الاقتداء به. وكتبه محمد بن إبراهيم بن سعد الله بن جماعة الشافعي</w:t>
      </w:r>
      <w:r w:rsidR="00DB731D" w:rsidRPr="00A52585">
        <w:rPr>
          <w:rFonts w:hint="cs"/>
          <w:rtl/>
        </w:rPr>
        <w:t>،</w:t>
      </w:r>
      <w:r w:rsidRPr="00A52585">
        <w:rPr>
          <w:rFonts w:hint="cs"/>
          <w:rtl/>
        </w:rPr>
        <w:t xml:space="preserve"> وكذلك يقول محمد بن الجزري الأنصاري الحنفي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هو</w:t>
      </w:r>
      <w:r w:rsidR="0002035C" w:rsidRPr="00A52585">
        <w:rPr>
          <w:rFonts w:hint="cs"/>
          <w:sz w:val="24"/>
          <w:szCs w:val="24"/>
          <w:rtl/>
        </w:rPr>
        <w:t>:</w:t>
      </w:r>
      <w:r w:rsidRPr="00A52585">
        <w:rPr>
          <w:rFonts w:hint="cs"/>
          <w:sz w:val="24"/>
          <w:szCs w:val="24"/>
          <w:rtl/>
        </w:rPr>
        <w:t xml:space="preserve"> محمد بن إبراهيم بن أبي بكر بن إبراهيم بن عبد العزيز الجزري شمس الدين الدمشقي الفقيه المحدث ولد سنة 658هـ كان حسن المذاكرة سليم الباطن جمع تاريخاً مشهوراً</w:t>
      </w:r>
      <w:r w:rsidR="00DB731D" w:rsidRPr="00A52585">
        <w:rPr>
          <w:rFonts w:hint="cs"/>
          <w:sz w:val="24"/>
          <w:szCs w:val="24"/>
          <w:rtl/>
        </w:rPr>
        <w:t>،</w:t>
      </w:r>
      <w:r w:rsidRPr="00A52585">
        <w:rPr>
          <w:rFonts w:hint="cs"/>
          <w:sz w:val="24"/>
          <w:szCs w:val="24"/>
          <w:rtl/>
        </w:rPr>
        <w:t xml:space="preserve"> قال عنه الذهبي</w:t>
      </w:r>
      <w:r w:rsidR="0002035C" w:rsidRPr="00A52585">
        <w:rPr>
          <w:rFonts w:hint="cs"/>
          <w:sz w:val="24"/>
          <w:szCs w:val="24"/>
          <w:rtl/>
        </w:rPr>
        <w:t>:</w:t>
      </w:r>
      <w:r w:rsidRPr="00A52585">
        <w:rPr>
          <w:rFonts w:hint="cs"/>
          <w:sz w:val="24"/>
          <w:szCs w:val="24"/>
          <w:rtl/>
        </w:rPr>
        <w:t xml:space="preserve"> كان متواضعاً محبا في الصالحين وكان يرحب بهم وكان له مسلك جيد وربما شهد على الحكام </w:t>
      </w:r>
      <w:proofErr w:type="spellStart"/>
      <w:r w:rsidRPr="00A52585">
        <w:rPr>
          <w:rFonts w:hint="cs"/>
          <w:sz w:val="24"/>
          <w:szCs w:val="24"/>
          <w:rtl/>
        </w:rPr>
        <w:t>أ.ه</w:t>
      </w:r>
      <w:proofErr w:type="spellEnd"/>
      <w:r w:rsidRPr="00A52585">
        <w:rPr>
          <w:rFonts w:hint="cs"/>
          <w:sz w:val="24"/>
          <w:szCs w:val="24"/>
          <w:rtl/>
        </w:rPr>
        <w:t>ـ توفى في واسط سنة 739هـ</w:t>
      </w:r>
      <w:r w:rsidR="0002035C" w:rsidRPr="00A52585">
        <w:rPr>
          <w:rFonts w:hint="cs"/>
          <w:sz w:val="24"/>
          <w:szCs w:val="24"/>
          <w:rtl/>
        </w:rPr>
        <w:t>]</w:t>
      </w:r>
      <w:r w:rsidR="0002035C" w:rsidRPr="00A52585">
        <w:rPr>
          <w:rFonts w:hint="cs"/>
          <w:rtl/>
        </w:rPr>
        <w:t>:</w:t>
      </w:r>
      <w:r w:rsidRPr="00A52585">
        <w:rPr>
          <w:rFonts w:hint="cs"/>
          <w:rtl/>
        </w:rPr>
        <w:t xml:space="preserve"> لكن يحبس الآن جزماً مطلقاً وكذلك محمد بن أبي بكر المالكي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محمد بن أبي بكر بن عيسى بن بدران تقي الدين أبو عبد الله المعروف بابن </w:t>
      </w:r>
      <w:proofErr w:type="spellStart"/>
      <w:r w:rsidRPr="00A52585">
        <w:rPr>
          <w:rFonts w:hint="cs"/>
          <w:sz w:val="24"/>
          <w:szCs w:val="24"/>
          <w:rtl/>
        </w:rPr>
        <w:t>الأخنائي</w:t>
      </w:r>
      <w:proofErr w:type="spellEnd"/>
      <w:r w:rsidRPr="00A52585">
        <w:rPr>
          <w:rFonts w:hint="cs"/>
          <w:sz w:val="24"/>
          <w:szCs w:val="24"/>
          <w:rtl/>
        </w:rPr>
        <w:t xml:space="preserve"> الفقيه المحدث الفاضل قاضي قضاة المالكية بمصر ولد سنة 658هـ، توفي سنة 750هـ رد على ابن تيمية في موضوع (الزيارة) وهو مطبوع ضمن كتاب البراهين الساطعة للإمام سلامة </w:t>
      </w:r>
      <w:proofErr w:type="spellStart"/>
      <w:r w:rsidRPr="00A52585">
        <w:rPr>
          <w:rFonts w:hint="cs"/>
          <w:sz w:val="24"/>
          <w:szCs w:val="24"/>
          <w:rtl/>
        </w:rPr>
        <w:t>العزامي</w:t>
      </w:r>
      <w:proofErr w:type="spellEnd"/>
      <w:r w:rsidR="0002035C" w:rsidRPr="00A52585">
        <w:rPr>
          <w:rFonts w:hint="cs"/>
          <w:sz w:val="24"/>
          <w:szCs w:val="24"/>
          <w:rtl/>
        </w:rPr>
        <w:t>]</w:t>
      </w:r>
      <w:r w:rsidRPr="00A52585">
        <w:rPr>
          <w:rFonts w:hint="cs"/>
          <w:rtl/>
        </w:rPr>
        <w:t xml:space="preserve"> ويبالغ في زجره حسبما تندفع به المفسدة وغيرها من المفاسد</w:t>
      </w:r>
      <w:r w:rsidR="00DB731D" w:rsidRPr="00A52585">
        <w:rPr>
          <w:rFonts w:hint="cs"/>
          <w:rtl/>
        </w:rPr>
        <w:t>،</w:t>
      </w:r>
      <w:r w:rsidRPr="00A52585">
        <w:rPr>
          <w:rFonts w:hint="cs"/>
          <w:rtl/>
        </w:rPr>
        <w:t xml:space="preserve"> وكذلك يقول أحمد بن عمر المقدسي الحنبلي</w:t>
      </w:r>
      <w:r w:rsidR="00DB731D" w:rsidRPr="00A52585">
        <w:rPr>
          <w:rFonts w:hint="cs"/>
          <w:rtl/>
        </w:rPr>
        <w:t>،</w:t>
      </w:r>
      <w:r w:rsidRPr="00A52585">
        <w:rPr>
          <w:rFonts w:hint="cs"/>
          <w:rtl/>
        </w:rPr>
        <w:t xml:space="preserve"> </w:t>
      </w:r>
      <w:r w:rsidRPr="00A52585">
        <w:rPr>
          <w:rFonts w:hint="cs"/>
          <w:bCs/>
          <w:rtl/>
        </w:rPr>
        <w:t>[8-]</w:t>
      </w:r>
      <w:r w:rsidRPr="00A52585">
        <w:rPr>
          <w:rFonts w:hint="cs"/>
          <w:rtl/>
        </w:rPr>
        <w:t xml:space="preserve"> </w:t>
      </w:r>
      <w:r w:rsidRPr="00A52585">
        <w:rPr>
          <w:rFonts w:hint="cs"/>
          <w:bCs/>
          <w:rtl/>
        </w:rPr>
        <w:t>ووجدوا صورة فتوى أخرى لفظها</w:t>
      </w:r>
      <w:r w:rsidR="0002035C" w:rsidRPr="00A52585">
        <w:rPr>
          <w:rFonts w:hint="cs"/>
          <w:rtl/>
        </w:rPr>
        <w:t>:</w:t>
      </w:r>
      <w:r w:rsidRPr="00A52585">
        <w:rPr>
          <w:rFonts w:hint="cs"/>
          <w:bCs/>
          <w:rtl/>
        </w:rPr>
        <w:t xml:space="preserve"> </w:t>
      </w:r>
      <w:r w:rsidR="0002035C" w:rsidRPr="00A52585">
        <w:rPr>
          <w:rFonts w:hint="cs"/>
          <w:bCs/>
          <w:rtl/>
        </w:rPr>
        <w:t>(</w:t>
      </w:r>
      <w:r w:rsidRPr="00A52585">
        <w:rPr>
          <w:rFonts w:hint="cs"/>
          <w:bCs/>
          <w:rtl/>
        </w:rPr>
        <w:t>زيارة قبر النبي صلى الله عليه وسلم وقبور الأنبياء معصية بالإجماع مقطوع بها)</w:t>
      </w:r>
      <w:r w:rsidR="00DB731D" w:rsidRPr="00A52585">
        <w:rPr>
          <w:rFonts w:hint="cs"/>
          <w:bCs/>
          <w:rtl/>
        </w:rPr>
        <w:t>،</w:t>
      </w:r>
      <w:r w:rsidRPr="00A52585">
        <w:rPr>
          <w:rFonts w:hint="cs"/>
          <w:bCs/>
          <w:rtl/>
        </w:rPr>
        <w:t xml:space="preserve"> </w:t>
      </w:r>
      <w:r w:rsidRPr="00A52585">
        <w:rPr>
          <w:rFonts w:hint="cs"/>
          <w:rtl/>
        </w:rPr>
        <w:t>وهذه الفتوى هي التي وقف عليها الحكام وشهد بذلك القاضي جلال الدين محمد بن عبد الرحمن القزويني</w:t>
      </w:r>
      <w:r w:rsidR="00DB731D" w:rsidRPr="00A52585">
        <w:rPr>
          <w:rFonts w:hint="cs"/>
          <w:rtl/>
        </w:rPr>
        <w:t>،</w:t>
      </w:r>
      <w:r w:rsidRPr="00A52585">
        <w:rPr>
          <w:rFonts w:hint="cs"/>
          <w:rtl/>
        </w:rPr>
        <w:t xml:space="preserve"> </w:t>
      </w:r>
      <w:r w:rsidRPr="00A52585">
        <w:rPr>
          <w:rFonts w:hint="cs"/>
          <w:bCs/>
          <w:rtl/>
        </w:rPr>
        <w:t xml:space="preserve">فلما رأوا خطه عليها تحققوا فتواه فغاروا لرسول الله صلى الله عليه وسلم غيرة عظيمة وللمسلمين الذين ندبوا إلى زيارته </w:t>
      </w:r>
      <w:r w:rsidRPr="00A52585">
        <w:rPr>
          <w:rFonts w:hint="cs"/>
          <w:bCs/>
          <w:rtl/>
        </w:rPr>
        <w:lastRenderedPageBreak/>
        <w:t>وللزائرين من أقطار الأرض واتفقوا على تبديعه وتضليله وزيغه وأهانوه ووضعوه في السجن</w:t>
      </w:r>
      <w:r w:rsidR="00DB731D" w:rsidRPr="00A52585">
        <w:rPr>
          <w:rFonts w:hint="cs"/>
          <w:bCs/>
          <w:rtl/>
        </w:rPr>
        <w:t>،</w:t>
      </w:r>
      <w:r w:rsidRPr="00A52585">
        <w:rPr>
          <w:rFonts w:hint="cs"/>
          <w:bCs/>
          <w:rtl/>
        </w:rPr>
        <w:t xml:space="preserve"> </w:t>
      </w:r>
      <w:r w:rsidRPr="00A52585">
        <w:rPr>
          <w:rFonts w:hint="cs"/>
          <w:rtl/>
        </w:rPr>
        <w:t xml:space="preserve">وذكر الشيخ الإمام العلامة شمس الدين الذهبي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هو الإمام العلامة الحافظ أبو عبد الله شمس الدين محمد بن أحمد بن عثمان بن </w:t>
      </w:r>
      <w:proofErr w:type="spellStart"/>
      <w:r w:rsidRPr="00A52585">
        <w:rPr>
          <w:rFonts w:hint="cs"/>
          <w:sz w:val="24"/>
          <w:szCs w:val="24"/>
          <w:rtl/>
        </w:rPr>
        <w:t>قائماز</w:t>
      </w:r>
      <w:proofErr w:type="spellEnd"/>
      <w:r w:rsidRPr="00A52585">
        <w:rPr>
          <w:rFonts w:hint="cs"/>
          <w:sz w:val="24"/>
          <w:szCs w:val="24"/>
          <w:rtl/>
        </w:rPr>
        <w:t xml:space="preserve"> المعروف بـ (الذهبي) أخذ الفقه عن الإمام كمال الدين بن </w:t>
      </w:r>
      <w:proofErr w:type="spellStart"/>
      <w:r w:rsidRPr="00A52585">
        <w:rPr>
          <w:rFonts w:hint="cs"/>
          <w:sz w:val="24"/>
          <w:szCs w:val="24"/>
          <w:rtl/>
        </w:rPr>
        <w:t>الزملكاني</w:t>
      </w:r>
      <w:proofErr w:type="spellEnd"/>
      <w:r w:rsidRPr="00A52585">
        <w:rPr>
          <w:rFonts w:hint="cs"/>
          <w:sz w:val="24"/>
          <w:szCs w:val="24"/>
          <w:rtl/>
        </w:rPr>
        <w:t xml:space="preserve"> وبرهان الدين الفزاري وغيرهم وأتقن صناعة الحديث وتخرج به حفاظ عصره وصنف التصانيف الكثيرة المشهورة تأثر بابن تيمية في أول حياته ثم مال إلى الاعتدال بعد ذلك وأرسل له رسالة قرب نهاية حياة ابن تيمية تدل على إنصاف الذهبي سنذكرها إن شاء الله. توفى رحمه الله سنة 748هـ]</w:t>
      </w:r>
      <w:r w:rsidRPr="00A52585">
        <w:rPr>
          <w:rFonts w:hint="cs"/>
          <w:rtl/>
        </w:rPr>
        <w:t xml:space="preserve"> بعض محنته وأن بعضها كان في سنة خمس وسبعمائة وكان سؤالهم عن عقيدته وعنه أذكر في الواسطية وطلب وصورت عليه دعوى المالكي فسجن هو وأخويه بضعة عشر شهراً ثم أخرج ثم حبس في حبس الحاكم </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المنهل الصافي والمستوفي بعد الوافي يوسف بن تغري بردي ت 874هـ ج1 ص 360- 361ط. الهيئة المصرية العامة للكتاب ترجمة ابن تيمية ص 358 –362ج1 ذكر حبسه في سنة 726هـ</w:t>
      </w:r>
      <w:r w:rsidR="00DB731D" w:rsidRPr="00A52585">
        <w:rPr>
          <w:rFonts w:hint="cs"/>
          <w:sz w:val="24"/>
          <w:szCs w:val="24"/>
          <w:rtl/>
        </w:rPr>
        <w:t>،</w:t>
      </w:r>
      <w:r w:rsidRPr="00A52585">
        <w:rPr>
          <w:rFonts w:hint="cs"/>
          <w:sz w:val="24"/>
          <w:szCs w:val="24"/>
          <w:rtl/>
        </w:rPr>
        <w:t xml:space="preserve"> ثم قال</w:t>
      </w:r>
      <w:r w:rsidR="0002035C" w:rsidRPr="00A52585">
        <w:rPr>
          <w:rFonts w:hint="cs"/>
          <w:sz w:val="24"/>
          <w:szCs w:val="24"/>
          <w:rtl/>
        </w:rPr>
        <w:t xml:space="preserve">: </w:t>
      </w:r>
      <w:r w:rsidRPr="00A52585">
        <w:rPr>
          <w:rFonts w:hint="cs"/>
          <w:sz w:val="24"/>
          <w:szCs w:val="24"/>
          <w:rtl/>
        </w:rPr>
        <w:t>" ومما وقع له قبل حبسه أنه بحث مع بعض الفقهاء فكتب عليه محضر بأنه قال</w:t>
      </w:r>
      <w:r w:rsidR="0002035C" w:rsidRPr="00A52585">
        <w:rPr>
          <w:rFonts w:hint="cs"/>
          <w:sz w:val="24"/>
          <w:szCs w:val="24"/>
          <w:rtl/>
        </w:rPr>
        <w:t>:</w:t>
      </w:r>
      <w:r w:rsidRPr="00A52585">
        <w:rPr>
          <w:rFonts w:hint="cs"/>
          <w:sz w:val="24"/>
          <w:szCs w:val="24"/>
          <w:rtl/>
        </w:rPr>
        <w:t xml:space="preserve"> (أنا أشعري) ثم أخذ خطه بما نصه</w:t>
      </w:r>
      <w:r w:rsidR="0002035C" w:rsidRPr="00A52585">
        <w:rPr>
          <w:rFonts w:hint="cs"/>
          <w:sz w:val="24"/>
          <w:szCs w:val="24"/>
          <w:rtl/>
        </w:rPr>
        <w:t>:</w:t>
      </w:r>
      <w:r w:rsidRPr="00A52585">
        <w:rPr>
          <w:rFonts w:hint="cs"/>
          <w:sz w:val="24"/>
          <w:szCs w:val="24"/>
          <w:rtl/>
        </w:rPr>
        <w:t xml:space="preserve"> (أنه اعتقد أن القرآن معنى قائم بذات الله وهو صفة من صفات ذاته القديمة، وهو غير مخلوق وليس بحرف ولا صوت وأن قوله</w:t>
      </w:r>
      <w:r w:rsidR="0002035C" w:rsidRPr="00A52585">
        <w:rPr>
          <w:rFonts w:hint="cs"/>
          <w:sz w:val="24"/>
          <w:szCs w:val="24"/>
          <w:rtl/>
        </w:rPr>
        <w:t xml:space="preserve"> {</w:t>
      </w:r>
      <w:r w:rsidRPr="00A52585">
        <w:rPr>
          <w:rFonts w:hint="cs"/>
          <w:sz w:val="24"/>
          <w:szCs w:val="24"/>
          <w:rtl/>
        </w:rPr>
        <w:t>الرحمن على العرش استوى</w:t>
      </w:r>
      <w:r w:rsidR="0002035C" w:rsidRPr="00A52585">
        <w:rPr>
          <w:rFonts w:hint="cs"/>
          <w:sz w:val="24"/>
          <w:szCs w:val="24"/>
          <w:rtl/>
        </w:rPr>
        <w:t xml:space="preserve">} </w:t>
      </w:r>
      <w:r w:rsidRPr="00A52585">
        <w:rPr>
          <w:rFonts w:hint="cs"/>
          <w:sz w:val="24"/>
          <w:szCs w:val="24"/>
          <w:rtl/>
        </w:rPr>
        <w:t>ليس على ظاهره، ولا أعلم كنه المراد به، بل لا يعلمه إلا الله، والقول في النزول كالقول في الاستواء، وكتبه أحمد بن تيمية)</w:t>
      </w:r>
      <w:r w:rsidR="00DB731D" w:rsidRPr="00A52585">
        <w:rPr>
          <w:rFonts w:hint="cs"/>
          <w:sz w:val="24"/>
          <w:szCs w:val="24"/>
          <w:rtl/>
        </w:rPr>
        <w:t>،</w:t>
      </w:r>
      <w:r w:rsidRPr="00A52585">
        <w:rPr>
          <w:rFonts w:hint="cs"/>
          <w:sz w:val="24"/>
          <w:szCs w:val="24"/>
          <w:rtl/>
        </w:rPr>
        <w:t xml:space="preserve"> ثم أشهدوا عليه جماعة أنه تاب مما ينافي ذلك مختاراً، وشهد عليه بذلك جمع من العلماء وغيرهم </w:t>
      </w:r>
      <w:proofErr w:type="spellStart"/>
      <w:r w:rsidRPr="00A52585">
        <w:rPr>
          <w:rFonts w:hint="cs"/>
          <w:sz w:val="24"/>
          <w:szCs w:val="24"/>
          <w:rtl/>
        </w:rPr>
        <w:t>أ.ه</w:t>
      </w:r>
      <w:proofErr w:type="spellEnd"/>
      <w:r w:rsidRPr="00A52585">
        <w:rPr>
          <w:rFonts w:hint="cs"/>
          <w:sz w:val="24"/>
          <w:szCs w:val="24"/>
          <w:rtl/>
        </w:rPr>
        <w:t xml:space="preserve">ـ.، هذا النص موجود في الدرر الكامنة وحدد أن هذه </w:t>
      </w:r>
      <w:proofErr w:type="spellStart"/>
      <w:r w:rsidRPr="00A52585">
        <w:rPr>
          <w:rFonts w:hint="cs"/>
          <w:sz w:val="24"/>
          <w:szCs w:val="24"/>
          <w:rtl/>
        </w:rPr>
        <w:t>الاستتابة</w:t>
      </w:r>
      <w:proofErr w:type="spellEnd"/>
      <w:r w:rsidRPr="00A52585">
        <w:rPr>
          <w:rFonts w:hint="cs"/>
          <w:sz w:val="24"/>
          <w:szCs w:val="24"/>
          <w:rtl/>
        </w:rPr>
        <w:t xml:space="preserve"> كانت سنة 707هـ، ونقلها أيضاً بتفصيل أكثر الإمام ابن المعلم القرشي في كتابه الجليل (نجم المهتدي) وها هو نص </w:t>
      </w:r>
      <w:proofErr w:type="spellStart"/>
      <w:r w:rsidRPr="00A52585">
        <w:rPr>
          <w:rFonts w:hint="cs"/>
          <w:sz w:val="24"/>
          <w:szCs w:val="24"/>
          <w:rtl/>
        </w:rPr>
        <w:t>الاستتابة</w:t>
      </w:r>
      <w:proofErr w:type="spellEnd"/>
      <w:r w:rsidR="0002035C" w:rsidRPr="00A52585">
        <w:rPr>
          <w:rFonts w:hint="cs"/>
          <w:sz w:val="24"/>
          <w:szCs w:val="24"/>
          <w:rtl/>
        </w:rPr>
        <w:t xml:space="preserve">: </w:t>
      </w:r>
      <w:r w:rsidRPr="00A52585">
        <w:rPr>
          <w:rFonts w:hint="cs"/>
          <w:sz w:val="24"/>
          <w:szCs w:val="24"/>
          <w:rtl/>
        </w:rPr>
        <w:t xml:space="preserve">"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w:t>
      </w:r>
      <w:r w:rsidR="0002035C" w:rsidRPr="00A52585">
        <w:rPr>
          <w:rFonts w:hint="cs"/>
          <w:sz w:val="24"/>
          <w:szCs w:val="24"/>
          <w:rtl/>
        </w:rPr>
        <w:t>{</w:t>
      </w:r>
      <w:r w:rsidRPr="00A52585">
        <w:rPr>
          <w:rFonts w:hint="cs"/>
          <w:sz w:val="24"/>
          <w:szCs w:val="24"/>
          <w:rtl/>
        </w:rPr>
        <w:t>الرحمن على العرش استوى} أنه على ما قال الجماعة الحاضرون وليس على حقيقته وظاهره ولا أعلم كنه المراد به، بل لا يعلم ذلك إلا الله. والقول في النزول كالقول في الاستواء أقول فيه ما أقول فيه لا أعرف كنه المراد به بل لا يعلم ذلك إلا الله وليس على حقيقته وظاهر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w:t>
      </w:r>
      <w:r w:rsidR="00DB731D" w:rsidRPr="00A52585">
        <w:rPr>
          <w:rFonts w:hint="cs"/>
          <w:sz w:val="24"/>
          <w:szCs w:val="24"/>
          <w:rtl/>
        </w:rPr>
        <w:t>،</w:t>
      </w:r>
      <w:r w:rsidRPr="00A52585">
        <w:rPr>
          <w:rFonts w:hint="cs"/>
          <w:sz w:val="24"/>
          <w:szCs w:val="24"/>
          <w:rtl/>
        </w:rPr>
        <w:t xml:space="preserve"> كتبه أحمد بن تيمية، وذلك يوم الخميس سادس شهر ربيع الآخر سبع وسبعمائة، وكل ما كتبته وقلته في هذه الورقة فأنا مختار في ذلك غير مكره. كتبه أحمد بن تيمية حسبنا الله ونعم الوكيل "</w:t>
      </w:r>
      <w:r w:rsidR="00DB731D" w:rsidRPr="00A52585">
        <w:rPr>
          <w:rFonts w:hint="cs"/>
          <w:sz w:val="24"/>
          <w:szCs w:val="24"/>
          <w:rtl/>
        </w:rPr>
        <w:t>،</w:t>
      </w:r>
      <w:r w:rsidRPr="00A52585">
        <w:rPr>
          <w:rFonts w:hint="cs"/>
          <w:sz w:val="24"/>
          <w:szCs w:val="24"/>
          <w:rtl/>
        </w:rPr>
        <w:t xml:space="preserve"> وبأعلى ذلك بخط قاضي القضاء بدر الدين بن جماعة ما صورته</w:t>
      </w:r>
      <w:r w:rsidR="0002035C" w:rsidRPr="00A52585">
        <w:rPr>
          <w:rFonts w:hint="cs"/>
          <w:sz w:val="24"/>
          <w:szCs w:val="24"/>
          <w:rtl/>
        </w:rPr>
        <w:t xml:space="preserve">: </w:t>
      </w:r>
      <w:r w:rsidRPr="00A52585">
        <w:rPr>
          <w:rFonts w:hint="cs"/>
          <w:sz w:val="24"/>
          <w:szCs w:val="24"/>
          <w:rtl/>
        </w:rPr>
        <w:t>" اعترف عندي بكل ما كتبه بخطه في التاريخ المذكور، كتبه محمد بن إبراهيم الشافعي"</w:t>
      </w:r>
      <w:r w:rsidR="0002035C" w:rsidRPr="00A52585">
        <w:rPr>
          <w:rFonts w:hint="cs"/>
          <w:sz w:val="24"/>
          <w:szCs w:val="24"/>
          <w:rtl/>
        </w:rPr>
        <w:t xml:space="preserve"> </w:t>
      </w:r>
      <w:r w:rsidRPr="00A52585">
        <w:rPr>
          <w:rFonts w:hint="cs"/>
          <w:sz w:val="24"/>
          <w:szCs w:val="24"/>
          <w:rtl/>
        </w:rPr>
        <w:t>وبحاشية الخط</w:t>
      </w:r>
      <w:r w:rsidR="0002035C" w:rsidRPr="00A52585">
        <w:rPr>
          <w:rFonts w:hint="cs"/>
          <w:sz w:val="24"/>
          <w:szCs w:val="24"/>
          <w:rtl/>
        </w:rPr>
        <w:t xml:space="preserve">: </w:t>
      </w:r>
      <w:r w:rsidRPr="00A52585">
        <w:rPr>
          <w:rFonts w:hint="cs"/>
          <w:sz w:val="24"/>
          <w:szCs w:val="24"/>
          <w:rtl/>
        </w:rPr>
        <w:t>" اعترف بكل ما كتبه بخطه، كتبه عبد الغني بن محمد الحنبلي"</w:t>
      </w:r>
      <w:r w:rsidR="0002035C" w:rsidRPr="00A52585">
        <w:rPr>
          <w:rFonts w:hint="cs"/>
          <w:sz w:val="24"/>
          <w:szCs w:val="24"/>
          <w:rtl/>
        </w:rPr>
        <w:t xml:space="preserve"> </w:t>
      </w:r>
      <w:r w:rsidRPr="00A52585">
        <w:rPr>
          <w:rFonts w:hint="cs"/>
          <w:sz w:val="24"/>
          <w:szCs w:val="24"/>
          <w:rtl/>
        </w:rPr>
        <w:t>وبآخر خط ابن تيمية رسـوم شهادات هذه صورتها</w:t>
      </w:r>
      <w:r w:rsidR="0002035C" w:rsidRPr="00A52585">
        <w:rPr>
          <w:rFonts w:hint="cs"/>
          <w:sz w:val="24"/>
          <w:szCs w:val="24"/>
          <w:rtl/>
        </w:rPr>
        <w:t xml:space="preserve">: </w:t>
      </w:r>
      <w:r w:rsidRPr="00A52585">
        <w:rPr>
          <w:rFonts w:hint="cs"/>
          <w:sz w:val="24"/>
          <w:szCs w:val="24"/>
          <w:rtl/>
        </w:rPr>
        <w:t xml:space="preserve">"كتب المذكور بخطه أعلاه بحضوري واعترف بمضمونه، كتبه أحمد بن </w:t>
      </w:r>
      <w:proofErr w:type="spellStart"/>
      <w:r w:rsidRPr="00A52585">
        <w:rPr>
          <w:rFonts w:hint="cs"/>
          <w:sz w:val="24"/>
          <w:szCs w:val="24"/>
          <w:rtl/>
        </w:rPr>
        <w:t>الرفعه</w:t>
      </w:r>
      <w:proofErr w:type="spellEnd"/>
      <w:r w:rsidRPr="00A52585">
        <w:rPr>
          <w:rFonts w:hint="cs"/>
          <w:sz w:val="24"/>
          <w:szCs w:val="24"/>
          <w:rtl/>
        </w:rPr>
        <w:t>"</w:t>
      </w:r>
      <w:r w:rsidR="0002035C" w:rsidRPr="00A52585">
        <w:rPr>
          <w:rFonts w:hint="cs"/>
          <w:sz w:val="24"/>
          <w:szCs w:val="24"/>
          <w:rtl/>
        </w:rPr>
        <w:t xml:space="preserve"> </w:t>
      </w:r>
      <w:r w:rsidRPr="00A52585">
        <w:rPr>
          <w:rFonts w:hint="cs"/>
          <w:sz w:val="24"/>
          <w:szCs w:val="24"/>
          <w:rtl/>
        </w:rPr>
        <w:t>صورة خط آخر</w:t>
      </w:r>
      <w:r w:rsidR="0002035C" w:rsidRPr="00A52585">
        <w:rPr>
          <w:rFonts w:hint="cs"/>
          <w:sz w:val="24"/>
          <w:szCs w:val="24"/>
          <w:rtl/>
        </w:rPr>
        <w:t xml:space="preserve">: </w:t>
      </w:r>
      <w:r w:rsidRPr="00A52585">
        <w:rPr>
          <w:rFonts w:hint="cs"/>
          <w:sz w:val="24"/>
          <w:szCs w:val="24"/>
          <w:rtl/>
        </w:rPr>
        <w:t xml:space="preserve">" أقر بذلك، كتبه عبد العزيز </w:t>
      </w:r>
      <w:proofErr w:type="spellStart"/>
      <w:r w:rsidRPr="00A52585">
        <w:rPr>
          <w:rFonts w:hint="cs"/>
          <w:sz w:val="24"/>
          <w:szCs w:val="24"/>
          <w:rtl/>
        </w:rPr>
        <w:t>النمراوي</w:t>
      </w:r>
      <w:proofErr w:type="spellEnd"/>
      <w:r w:rsidRPr="00A52585">
        <w:rPr>
          <w:rFonts w:hint="cs"/>
          <w:sz w:val="24"/>
          <w:szCs w:val="24"/>
          <w:rtl/>
        </w:rPr>
        <w:t>"</w:t>
      </w:r>
      <w:r w:rsidR="0002035C" w:rsidRPr="00A52585">
        <w:rPr>
          <w:rFonts w:hint="cs"/>
          <w:sz w:val="24"/>
          <w:szCs w:val="24"/>
          <w:rtl/>
        </w:rPr>
        <w:t xml:space="preserve"> </w:t>
      </w:r>
      <w:r w:rsidRPr="00A52585">
        <w:rPr>
          <w:rFonts w:hint="cs"/>
          <w:sz w:val="24"/>
          <w:szCs w:val="24"/>
          <w:rtl/>
        </w:rPr>
        <w:t>صورة خط آخر</w:t>
      </w:r>
      <w:r w:rsidR="0002035C" w:rsidRPr="00A52585">
        <w:rPr>
          <w:rFonts w:hint="cs"/>
          <w:sz w:val="24"/>
          <w:szCs w:val="24"/>
          <w:rtl/>
        </w:rPr>
        <w:t xml:space="preserve">: </w:t>
      </w:r>
      <w:r w:rsidRPr="00A52585">
        <w:rPr>
          <w:rFonts w:hint="cs"/>
          <w:sz w:val="24"/>
          <w:szCs w:val="24"/>
          <w:rtl/>
        </w:rPr>
        <w:t>" أقر بذلك كله بتاريخه، على بن محمد بن خطاب الباجي الشافعي"</w:t>
      </w:r>
      <w:r w:rsidR="0002035C" w:rsidRPr="00A52585">
        <w:rPr>
          <w:rFonts w:hint="cs"/>
          <w:sz w:val="24"/>
          <w:szCs w:val="24"/>
          <w:rtl/>
        </w:rPr>
        <w:t xml:space="preserve"> </w:t>
      </w:r>
      <w:r w:rsidRPr="00A52585">
        <w:rPr>
          <w:rFonts w:hint="cs"/>
          <w:sz w:val="24"/>
          <w:szCs w:val="24"/>
          <w:rtl/>
        </w:rPr>
        <w:t>صورة خط آخر</w:t>
      </w:r>
      <w:r w:rsidR="0002035C" w:rsidRPr="00A52585">
        <w:rPr>
          <w:rFonts w:hint="cs"/>
          <w:sz w:val="24"/>
          <w:szCs w:val="24"/>
          <w:rtl/>
        </w:rPr>
        <w:t xml:space="preserve">: </w:t>
      </w:r>
      <w:r w:rsidRPr="00A52585">
        <w:rPr>
          <w:rFonts w:hint="cs"/>
          <w:sz w:val="24"/>
          <w:szCs w:val="24"/>
          <w:rtl/>
        </w:rPr>
        <w:t>"جرى ذلك بحضوري في تاريخه، كتبه الحسن بن أحمد بن محمد الحسيني"</w:t>
      </w:r>
      <w:r w:rsidR="0002035C" w:rsidRPr="00A52585">
        <w:rPr>
          <w:rFonts w:hint="cs"/>
          <w:sz w:val="24"/>
          <w:szCs w:val="24"/>
          <w:rtl/>
        </w:rPr>
        <w:t xml:space="preserve"> </w:t>
      </w:r>
      <w:r w:rsidRPr="00A52585">
        <w:rPr>
          <w:rFonts w:hint="cs"/>
          <w:sz w:val="24"/>
          <w:szCs w:val="24"/>
          <w:rtl/>
        </w:rPr>
        <w:t>وبالحاشـية أيضاً ما مثاله</w:t>
      </w:r>
      <w:r w:rsidR="0002035C" w:rsidRPr="00A52585">
        <w:rPr>
          <w:rFonts w:hint="cs"/>
          <w:sz w:val="24"/>
          <w:szCs w:val="24"/>
          <w:rtl/>
        </w:rPr>
        <w:t xml:space="preserve">: </w:t>
      </w:r>
      <w:r w:rsidRPr="00A52585">
        <w:rPr>
          <w:rFonts w:hint="cs"/>
          <w:sz w:val="24"/>
          <w:szCs w:val="24"/>
          <w:rtl/>
        </w:rPr>
        <w:t xml:space="preserve">"كتب المذكور أعلاه بخطه واعترف </w:t>
      </w:r>
      <w:r w:rsidRPr="00A52585">
        <w:rPr>
          <w:rFonts w:hint="cs"/>
          <w:sz w:val="24"/>
          <w:szCs w:val="24"/>
          <w:rtl/>
        </w:rPr>
        <w:lastRenderedPageBreak/>
        <w:t>به، كتبه عبد الله بن جماعة"</w:t>
      </w:r>
      <w:r w:rsidR="0002035C" w:rsidRPr="00A52585">
        <w:rPr>
          <w:rFonts w:hint="cs"/>
          <w:sz w:val="24"/>
          <w:szCs w:val="24"/>
          <w:rtl/>
        </w:rPr>
        <w:t xml:space="preserve"> </w:t>
      </w:r>
      <w:r w:rsidRPr="00A52585">
        <w:rPr>
          <w:rFonts w:hint="cs"/>
          <w:sz w:val="24"/>
          <w:szCs w:val="24"/>
          <w:rtl/>
        </w:rPr>
        <w:t>مثال خط آخر</w:t>
      </w:r>
      <w:r w:rsidR="0002035C" w:rsidRPr="00A52585">
        <w:rPr>
          <w:rFonts w:hint="cs"/>
          <w:sz w:val="24"/>
          <w:szCs w:val="24"/>
          <w:rtl/>
        </w:rPr>
        <w:t xml:space="preserve">: </w:t>
      </w:r>
      <w:r w:rsidRPr="00A52585">
        <w:rPr>
          <w:rFonts w:hint="cs"/>
          <w:sz w:val="24"/>
          <w:szCs w:val="24"/>
          <w:rtl/>
        </w:rPr>
        <w:t xml:space="preserve">"أقر بذلك وكتبه بحضوري، محمد بن عثمان </w:t>
      </w:r>
      <w:proofErr w:type="spellStart"/>
      <w:r w:rsidRPr="00A52585">
        <w:rPr>
          <w:rFonts w:hint="cs"/>
          <w:sz w:val="24"/>
          <w:szCs w:val="24"/>
          <w:rtl/>
        </w:rPr>
        <w:t>البوريجي</w:t>
      </w:r>
      <w:proofErr w:type="spellEnd"/>
      <w:r w:rsidRPr="00A52585">
        <w:rPr>
          <w:rFonts w:hint="cs"/>
          <w:sz w:val="24"/>
          <w:szCs w:val="24"/>
          <w:rtl/>
        </w:rPr>
        <w:t>"</w:t>
      </w:r>
      <w:r w:rsidR="0002035C" w:rsidRPr="00A52585">
        <w:rPr>
          <w:rFonts w:hint="cs"/>
          <w:sz w:val="24"/>
          <w:szCs w:val="24"/>
          <w:rtl/>
        </w:rPr>
        <w:t xml:space="preserve"> </w:t>
      </w:r>
      <w:r w:rsidRPr="00A52585">
        <w:rPr>
          <w:rFonts w:hint="cs"/>
          <w:sz w:val="24"/>
          <w:szCs w:val="24"/>
          <w:rtl/>
        </w:rPr>
        <w:t>يقول العلامة زاهد الكوثري بعد أن نقل ما سبق في تعليقه على (السيف الصقيل)</w:t>
      </w:r>
      <w:r w:rsidR="0002035C" w:rsidRPr="00A52585">
        <w:rPr>
          <w:rFonts w:hint="cs"/>
          <w:sz w:val="24"/>
          <w:szCs w:val="24"/>
          <w:rtl/>
        </w:rPr>
        <w:t xml:space="preserve">: </w:t>
      </w:r>
      <w:r w:rsidRPr="00A52585">
        <w:rPr>
          <w:rFonts w:hint="cs"/>
          <w:sz w:val="24"/>
          <w:szCs w:val="24"/>
          <w:rtl/>
        </w:rPr>
        <w:t xml:space="preserve">" وكل هؤلاء من كبار أهل العلم في ذلك العصر، وابن الرفعة وحده له (المطلب العالي في شرح وسيط الغزالي) في أربعين مجلداً وفي ذلك عبر. ولو لا أن ابن تيمية كان يدعو العامة إلى اعتقاد ضد ما في صيغة </w:t>
      </w:r>
      <w:proofErr w:type="spellStart"/>
      <w:r w:rsidRPr="00A52585">
        <w:rPr>
          <w:rFonts w:hint="cs"/>
          <w:sz w:val="24"/>
          <w:szCs w:val="24"/>
          <w:rtl/>
        </w:rPr>
        <w:t>الاستتابة</w:t>
      </w:r>
      <w:proofErr w:type="spellEnd"/>
      <w:r w:rsidRPr="00A52585">
        <w:rPr>
          <w:rFonts w:hint="cs"/>
          <w:sz w:val="24"/>
          <w:szCs w:val="24"/>
          <w:rtl/>
        </w:rPr>
        <w:t xml:space="preserve"> هذه بكل ما أوتي من حول وحيلة لما </w:t>
      </w:r>
      <w:proofErr w:type="spellStart"/>
      <w:r w:rsidRPr="00A52585">
        <w:rPr>
          <w:rFonts w:hint="cs"/>
          <w:sz w:val="24"/>
          <w:szCs w:val="24"/>
          <w:rtl/>
        </w:rPr>
        <w:t>استتابه</w:t>
      </w:r>
      <w:proofErr w:type="spellEnd"/>
      <w:r w:rsidRPr="00A52585">
        <w:rPr>
          <w:rFonts w:hint="cs"/>
          <w:sz w:val="24"/>
          <w:szCs w:val="24"/>
          <w:rtl/>
        </w:rPr>
        <w:t xml:space="preserve"> أهل العلم بتلك الصيغة وما اقترحوا عليه أن يكتب بخطه ما يؤاخذ به إن لم يقف عند شرطه، وبعد أن كتب تلك الصيغة بخطه توج خطه قاضي القضاة البدر 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هو عادة أئمة الضلال وعاد إلى دعوته الضالة ورجع إلى عادته القديمة في الإضلال وكم له من فتن في مختلف التواريخ في سني</w:t>
      </w:r>
      <w:r w:rsidR="0002035C" w:rsidRPr="00A52585">
        <w:rPr>
          <w:rFonts w:hint="cs"/>
          <w:sz w:val="24"/>
          <w:szCs w:val="24"/>
          <w:rtl/>
        </w:rPr>
        <w:t xml:space="preserve"> </w:t>
      </w:r>
      <w:r w:rsidRPr="00A52585">
        <w:rPr>
          <w:rFonts w:hint="cs"/>
          <w:sz w:val="24"/>
          <w:szCs w:val="24"/>
          <w:rtl/>
        </w:rPr>
        <w:t xml:space="preserve">698 و 705 و 718و 721 و 722و 726 وهي مدونة في كتب التواريخ وفي كتب خاصة، ومجرد تصور </w:t>
      </w:r>
      <w:proofErr w:type="spellStart"/>
      <w:r w:rsidRPr="00A52585">
        <w:rPr>
          <w:rFonts w:hint="cs"/>
          <w:sz w:val="24"/>
          <w:szCs w:val="24"/>
          <w:rtl/>
        </w:rPr>
        <w:t>شواذه</w:t>
      </w:r>
      <w:proofErr w:type="spellEnd"/>
      <w:r w:rsidRPr="00A52585">
        <w:rPr>
          <w:rFonts w:hint="cs"/>
          <w:sz w:val="24"/>
          <w:szCs w:val="24"/>
          <w:rtl/>
        </w:rPr>
        <w:t xml:space="preserve"> التي ألممنا بعضها في هذا الكتاب يدل المسترشد المنصف على ما ينطوي عليه من الزيغ وإضلال الأمة والله سبحانه ينتقم منه " </w:t>
      </w:r>
      <w:proofErr w:type="spellStart"/>
      <w:r w:rsidRPr="00A52585">
        <w:rPr>
          <w:rFonts w:hint="cs"/>
          <w:sz w:val="24"/>
          <w:szCs w:val="24"/>
          <w:rtl/>
        </w:rPr>
        <w:t>أ.ه</w:t>
      </w:r>
      <w:proofErr w:type="spellEnd"/>
      <w:r w:rsidRPr="00A52585">
        <w:rPr>
          <w:rFonts w:hint="cs"/>
          <w:sz w:val="24"/>
          <w:szCs w:val="24"/>
          <w:rtl/>
        </w:rPr>
        <w:t>ـ ط. زهران ص 95-96</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Pr="00A52585">
        <w:rPr>
          <w:rFonts w:hint="cs"/>
          <w:rtl/>
        </w:rPr>
        <w:t>وكان مما ادعي عليه بمصر أن قال</w:t>
      </w:r>
      <w:r w:rsidR="0002035C" w:rsidRPr="00A52585">
        <w:rPr>
          <w:rFonts w:hint="cs"/>
          <w:rtl/>
        </w:rPr>
        <w:t>:</w:t>
      </w:r>
      <w:r w:rsidRPr="00A52585">
        <w:rPr>
          <w:rFonts w:hint="cs"/>
          <w:rtl/>
        </w:rPr>
        <w:t xml:space="preserve"> الرحمن استوى على العرش حقيقة وأنه تكلم بحرف وصوت</w:t>
      </w:r>
      <w:r w:rsidR="00DB731D" w:rsidRPr="00A52585">
        <w:rPr>
          <w:rFonts w:hint="cs"/>
          <w:rtl/>
        </w:rPr>
        <w:t>،</w:t>
      </w:r>
      <w:r w:rsidRPr="00A52585">
        <w:rPr>
          <w:rFonts w:hint="cs"/>
          <w:rtl/>
        </w:rPr>
        <w:t xml:space="preserve"> ثم نودي بدمشق وغيرها</w:t>
      </w:r>
      <w:r w:rsidR="0002035C" w:rsidRPr="00A52585">
        <w:rPr>
          <w:rFonts w:hint="cs"/>
          <w:rtl/>
        </w:rPr>
        <w:t>:</w:t>
      </w:r>
      <w:r w:rsidRPr="00A52585">
        <w:rPr>
          <w:rFonts w:hint="cs"/>
          <w:rtl/>
        </w:rPr>
        <w:t xml:space="preserve"> من كان على عقيدة ابن تيمية حل ماله ودمه</w:t>
      </w:r>
      <w:r w:rsidR="00DB731D" w:rsidRPr="00A52585">
        <w:rPr>
          <w:rFonts w:hint="cs"/>
          <w:rtl/>
        </w:rPr>
        <w:t>،</w:t>
      </w:r>
      <w:r w:rsidRPr="00A52585">
        <w:rPr>
          <w:rFonts w:hint="cs"/>
          <w:rtl/>
        </w:rPr>
        <w:t xml:space="preserve"> وذكر أبو حيان النحوي الأندلسي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هو محمد بن يوسف بن علي بن يوسف بن حيان النِّفْزي الأندلسي أبو حيان يقول عنه تلميذه القاضي عبد الوهاب السبكي</w:t>
      </w:r>
      <w:r w:rsidR="0002035C" w:rsidRPr="00A52585">
        <w:rPr>
          <w:rFonts w:hint="cs"/>
          <w:sz w:val="24"/>
          <w:szCs w:val="24"/>
          <w:rtl/>
        </w:rPr>
        <w:t>:</w:t>
      </w:r>
      <w:r w:rsidRPr="00A52585">
        <w:rPr>
          <w:rFonts w:hint="cs"/>
          <w:sz w:val="24"/>
          <w:szCs w:val="24"/>
          <w:rtl/>
        </w:rPr>
        <w:t xml:space="preserve"> شيخ النحاة العلم الفرد والبحر الذي لم يعرف الجزر بل المد، سيبويه الزمان، والمبرد إذا حمى الوطيس بتشاجر الأقران ولد سنة 654هـ في غرناطة بالأندلس ونشأ بها وقرأ القراءات والنحو واللغة وجال في بلاد المغرب ثم قدم مصر قبل سنة 680هـ وسمع الحديث ولازم الحافظ أبا محمد الدمياطي وانتفى على بعض شيوخه وخرج وشغل الناس بالنحو والقراءات. أخذ عنه كثيرون منهم الإمام تقي الدين السبكي وروى عنه الحادثة التي يذكرها الإمام </w:t>
      </w:r>
      <w:proofErr w:type="spellStart"/>
      <w:r w:rsidRPr="00A52585">
        <w:rPr>
          <w:rFonts w:hint="cs"/>
          <w:sz w:val="24"/>
          <w:szCs w:val="24"/>
          <w:rtl/>
        </w:rPr>
        <w:t>الحصني</w:t>
      </w:r>
      <w:proofErr w:type="spellEnd"/>
      <w:r w:rsidRPr="00A52585">
        <w:rPr>
          <w:rFonts w:hint="cs"/>
          <w:sz w:val="24"/>
          <w:szCs w:val="24"/>
          <w:rtl/>
        </w:rPr>
        <w:t xml:space="preserve"> ويقول عن ذلك الإمام السبكي</w:t>
      </w:r>
      <w:r w:rsidR="0002035C" w:rsidRPr="00A52585">
        <w:rPr>
          <w:rFonts w:hint="cs"/>
          <w:sz w:val="24"/>
          <w:szCs w:val="24"/>
          <w:rtl/>
        </w:rPr>
        <w:t>:</w:t>
      </w:r>
      <w:r w:rsidRPr="00A52585">
        <w:rPr>
          <w:rFonts w:hint="cs"/>
          <w:sz w:val="24"/>
          <w:szCs w:val="24"/>
          <w:rtl/>
        </w:rPr>
        <w:t xml:space="preserve"> إن أبا حيان ظل يلعن ابن تيمية حتى مات بسبب ذلك وليس بسبب سيبويه كما أشاع بعض المؤرخين ذكر ذلك في السيف الصقيل وهو أدرى بتاريخ شيخه الذي عاصره. وله مؤلفات سارت بها الركبان منها البحر المحيط في التفسير وذكر فيه هذه الحادثة عند تفسير آية الكرسي ولكن حدث عند طبعه الطبعة الأولى بمطبعة السعادة في مصر أن المصحح الساذج– سامحه الله- أن هذه الفقرة مدسوسة على الكتاب من أعداء الدين لشدة شناعتها واستعظامه أن يصدر مثلها من مسلم فضلا عمن يصفونه بشيخ الإسلام فقام بحذفها وعندما راجعه في ذلك الإمام الكوثري والسيد المقيد عبد الله الغماري اعترف بما حصل وأسباب ذلك وطلب منهم أن يثبتوا ذلك رجاء إعادة تصحيح هذا الخطأ في </w:t>
      </w:r>
      <w:proofErr w:type="spellStart"/>
      <w:r w:rsidRPr="00A52585">
        <w:rPr>
          <w:rFonts w:hint="cs"/>
          <w:sz w:val="24"/>
          <w:szCs w:val="24"/>
          <w:rtl/>
        </w:rPr>
        <w:t>الطباعات</w:t>
      </w:r>
      <w:proofErr w:type="spellEnd"/>
      <w:r w:rsidRPr="00A52585">
        <w:rPr>
          <w:rFonts w:hint="cs"/>
          <w:sz w:val="24"/>
          <w:szCs w:val="24"/>
          <w:rtl/>
        </w:rPr>
        <w:t xml:space="preserve"> التالية</w:t>
      </w:r>
      <w:r w:rsidR="00DB731D" w:rsidRPr="00A52585">
        <w:rPr>
          <w:rFonts w:hint="cs"/>
          <w:sz w:val="24"/>
          <w:szCs w:val="24"/>
          <w:rtl/>
        </w:rPr>
        <w:t>،</w:t>
      </w:r>
      <w:r w:rsidRPr="00A52585">
        <w:rPr>
          <w:rFonts w:hint="cs"/>
          <w:sz w:val="24"/>
          <w:szCs w:val="24"/>
          <w:rtl/>
        </w:rPr>
        <w:t xml:space="preserve"> وقد ذكر الإمام أبو حيان نفس هذه الفقرة في تفسيره المختصر (النهر الماد) والذي طبع لاحقا وبحمد لله لم تحذف هذه الفقرة منه، وأشار إليها أيضاً ابن القيم في قصيدته النونية</w:t>
      </w:r>
      <w:r w:rsidR="00DB731D" w:rsidRPr="00A52585">
        <w:rPr>
          <w:rFonts w:hint="cs"/>
          <w:sz w:val="24"/>
          <w:szCs w:val="24"/>
          <w:rtl/>
        </w:rPr>
        <w:t>،</w:t>
      </w:r>
      <w:r w:rsidRPr="00A52585">
        <w:rPr>
          <w:rFonts w:hint="cs"/>
          <w:sz w:val="24"/>
          <w:szCs w:val="24"/>
          <w:rtl/>
        </w:rPr>
        <w:t xml:space="preserve"> وقد اختصر منهاج النووي وشرح التسهيل لابن مالك وله كتاب </w:t>
      </w:r>
      <w:proofErr w:type="spellStart"/>
      <w:r w:rsidRPr="00A52585">
        <w:rPr>
          <w:rFonts w:hint="cs"/>
          <w:sz w:val="24"/>
          <w:szCs w:val="24"/>
          <w:rtl/>
        </w:rPr>
        <w:t>الارتشاف</w:t>
      </w:r>
      <w:proofErr w:type="spellEnd"/>
      <w:r w:rsidRPr="00A52585">
        <w:rPr>
          <w:rFonts w:hint="cs"/>
          <w:sz w:val="24"/>
          <w:szCs w:val="24"/>
          <w:rtl/>
        </w:rPr>
        <w:t xml:space="preserve"> وتجريد أحكام سيبويه والتذكرة والغاية والتقريب وعقد اللآلئ في </w:t>
      </w:r>
      <w:proofErr w:type="spellStart"/>
      <w:r w:rsidRPr="00A52585">
        <w:rPr>
          <w:rFonts w:hint="cs"/>
          <w:sz w:val="24"/>
          <w:szCs w:val="24"/>
          <w:rtl/>
        </w:rPr>
        <w:t>القراآت</w:t>
      </w:r>
      <w:proofErr w:type="spellEnd"/>
      <w:r w:rsidRPr="00A52585">
        <w:rPr>
          <w:rFonts w:hint="cs"/>
          <w:sz w:val="24"/>
          <w:szCs w:val="24"/>
          <w:rtl/>
        </w:rPr>
        <w:t xml:space="preserve"> وغير ذلك كثير</w:t>
      </w:r>
      <w:r w:rsidR="00DB731D" w:rsidRPr="00A52585">
        <w:rPr>
          <w:rFonts w:hint="cs"/>
          <w:sz w:val="24"/>
          <w:szCs w:val="24"/>
          <w:rtl/>
        </w:rPr>
        <w:t>،</w:t>
      </w:r>
      <w:r w:rsidRPr="00A52585">
        <w:rPr>
          <w:rFonts w:hint="cs"/>
          <w:sz w:val="24"/>
          <w:szCs w:val="24"/>
          <w:rtl/>
        </w:rPr>
        <w:t xml:space="preserve"> توفى رضي الله عنه سنة 745هـ بالقاهرة ودفن بمقابر الصوفية. انظر ترجمته في طبقات الشافعية الكبرى 9/276-279ط. دار هجر</w:t>
      </w:r>
      <w:r w:rsidR="0002035C" w:rsidRPr="00A52585">
        <w:rPr>
          <w:rFonts w:hint="cs"/>
          <w:sz w:val="24"/>
          <w:szCs w:val="24"/>
          <w:rtl/>
        </w:rPr>
        <w:t>]</w:t>
      </w:r>
      <w:r w:rsidR="00DB731D" w:rsidRPr="00A52585">
        <w:rPr>
          <w:rFonts w:hint="cs"/>
          <w:rtl/>
        </w:rPr>
        <w:t>،</w:t>
      </w:r>
      <w:r w:rsidRPr="00A52585">
        <w:rPr>
          <w:rFonts w:hint="cs"/>
          <w:rtl/>
        </w:rPr>
        <w:t xml:space="preserve"> في تفسيره المسمى بالنهر في قوله تعالى</w:t>
      </w:r>
      <w:r w:rsidR="0002035C" w:rsidRPr="00A52585">
        <w:rPr>
          <w:rFonts w:hint="cs"/>
          <w:rtl/>
        </w:rPr>
        <w:t>:</w:t>
      </w:r>
      <w:r w:rsidRPr="00A52585">
        <w:rPr>
          <w:rFonts w:hint="cs"/>
          <w:rtl/>
        </w:rPr>
        <w:t xml:space="preserve"> {وسع كرسيه السموات والأرض}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255</w:t>
      </w:r>
      <w:r w:rsidR="0002035C" w:rsidRPr="00A52585">
        <w:rPr>
          <w:rFonts w:hint="cs"/>
          <w:rtl/>
        </w:rPr>
        <w:t>]:</w:t>
      </w:r>
      <w:r w:rsidRPr="00A52585">
        <w:rPr>
          <w:rFonts w:hint="cs"/>
          <w:rtl/>
        </w:rPr>
        <w:t xml:space="preserve"> ما صورته</w:t>
      </w:r>
      <w:r w:rsidR="0002035C" w:rsidRPr="00A52585">
        <w:rPr>
          <w:rFonts w:hint="cs"/>
          <w:rtl/>
        </w:rPr>
        <w:t>:</w:t>
      </w:r>
      <w:r w:rsidRPr="00A52585">
        <w:rPr>
          <w:rFonts w:hint="cs"/>
          <w:rtl/>
        </w:rPr>
        <w:t xml:space="preserve"> </w:t>
      </w:r>
      <w:r w:rsidRPr="00A52585">
        <w:rPr>
          <w:rFonts w:hint="cs"/>
          <w:rtl/>
        </w:rPr>
        <w:lastRenderedPageBreak/>
        <w:t xml:space="preserve">وقد قرأت في كتاب لأحمد بن تيمية هذا الذي عاصرناه وهو بخطه سماه كتاب العرش (إن الله يجلس على الكرسي وقد أخلى مكاناً يقعد معه فيه رسول الله صلى الله عليه وسلم) تحيل عليه التاج محمد بن علي بن عبد الحق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هو تاج الدين </w:t>
      </w:r>
      <w:proofErr w:type="spellStart"/>
      <w:r w:rsidRPr="00A52585">
        <w:rPr>
          <w:rFonts w:hint="cs"/>
          <w:sz w:val="24"/>
          <w:szCs w:val="24"/>
          <w:rtl/>
        </w:rPr>
        <w:t>البارنباري</w:t>
      </w:r>
      <w:proofErr w:type="spellEnd"/>
      <w:r w:rsidRPr="00A52585">
        <w:rPr>
          <w:rFonts w:hint="cs"/>
          <w:sz w:val="24"/>
          <w:szCs w:val="24"/>
          <w:rtl/>
        </w:rPr>
        <w:t xml:space="preserve"> المعروف بُطَوْير الليل من تلامذة أبي الثناء شمس الدين الأصفهاني في المعقولات. قال ابن السبكي</w:t>
      </w:r>
      <w:r w:rsidR="0002035C" w:rsidRPr="00A52585">
        <w:rPr>
          <w:rFonts w:hint="cs"/>
          <w:sz w:val="24"/>
          <w:szCs w:val="24"/>
          <w:rtl/>
        </w:rPr>
        <w:t xml:space="preserve">: </w:t>
      </w:r>
      <w:r w:rsidRPr="00A52585">
        <w:rPr>
          <w:rFonts w:hint="cs"/>
          <w:sz w:val="24"/>
          <w:szCs w:val="24"/>
          <w:rtl/>
        </w:rPr>
        <w:t>" أحد أذكياء الزمان، برع فقها وعلما وأصولا ومنطقا"</w:t>
      </w:r>
      <w:r w:rsidR="00897A24" w:rsidRPr="00A52585">
        <w:rPr>
          <w:rFonts w:hint="cs"/>
          <w:sz w:val="24"/>
          <w:szCs w:val="24"/>
          <w:rtl/>
        </w:rPr>
        <w:t>.</w:t>
      </w:r>
      <w:r w:rsidRPr="00A52585">
        <w:rPr>
          <w:rFonts w:hint="cs"/>
          <w:sz w:val="24"/>
          <w:szCs w:val="24"/>
          <w:rtl/>
        </w:rPr>
        <w:t xml:space="preserve"> ولد سنة 654، وتوفى سنة 717 رحمه الله تعالى. ترجمته في طبقات الشافعية الكبرى (9/ 249)، الدرر الكامنة (4/100). تحيل التاج </w:t>
      </w:r>
      <w:proofErr w:type="spellStart"/>
      <w:r w:rsidRPr="00A52585">
        <w:rPr>
          <w:rFonts w:hint="cs"/>
          <w:sz w:val="24"/>
          <w:szCs w:val="24"/>
          <w:rtl/>
        </w:rPr>
        <w:t>البارنباري</w:t>
      </w:r>
      <w:proofErr w:type="spellEnd"/>
      <w:r w:rsidRPr="00A52585">
        <w:rPr>
          <w:rFonts w:hint="cs"/>
          <w:sz w:val="24"/>
          <w:szCs w:val="24"/>
          <w:rtl/>
        </w:rPr>
        <w:t xml:space="preserve"> على ابن تيمية دليل على أنه كان يخفي حقيقة مذهبه وعقيدته!</w:t>
      </w:r>
      <w:r w:rsidR="0002035C" w:rsidRPr="00A52585">
        <w:rPr>
          <w:rFonts w:hint="cs"/>
          <w:sz w:val="24"/>
          <w:szCs w:val="24"/>
          <w:rtl/>
        </w:rPr>
        <w:t>]</w:t>
      </w:r>
      <w:r w:rsidRPr="00A52585">
        <w:rPr>
          <w:rFonts w:hint="cs"/>
          <w:rtl/>
        </w:rPr>
        <w:t xml:space="preserve"> وكان من تحيله عليه أنه أظهر أنه داعية له حتى أخذ منه الكتاب وقرأنا ذلك فيه</w:t>
      </w:r>
      <w:r w:rsidR="00DB731D" w:rsidRPr="00A52585">
        <w:rPr>
          <w:rFonts w:hint="cs"/>
          <w:rtl/>
        </w:rPr>
        <w:t>،</w:t>
      </w:r>
      <w:r w:rsidRPr="00A52585">
        <w:rPr>
          <w:rFonts w:hint="cs"/>
          <w:bCs/>
          <w:rtl/>
        </w:rPr>
        <w:t xml:space="preserve"> [11-]</w:t>
      </w:r>
      <w:r w:rsidRPr="00A52585">
        <w:rPr>
          <w:rFonts w:hint="cs"/>
          <w:rtl/>
        </w:rPr>
        <w:t xml:space="preserve"> ورأيت في بعض فتاويه أن الكرسي موضع القدمين</w:t>
      </w:r>
      <w:r w:rsidR="00DB731D" w:rsidRPr="00A52585">
        <w:rPr>
          <w:rFonts w:hint="cs"/>
          <w:rtl/>
        </w:rPr>
        <w:t>،</w:t>
      </w:r>
      <w:r w:rsidRPr="00A52585">
        <w:rPr>
          <w:rFonts w:hint="cs"/>
          <w:rtl/>
        </w:rPr>
        <w:t xml:space="preserve"> </w:t>
      </w:r>
      <w:r w:rsidRPr="00A52585">
        <w:rPr>
          <w:rFonts w:hint="cs"/>
          <w:bCs/>
          <w:rtl/>
        </w:rPr>
        <w:t>[12-]</w:t>
      </w:r>
      <w:r w:rsidRPr="00A52585">
        <w:rPr>
          <w:rFonts w:hint="cs"/>
          <w:rtl/>
        </w:rPr>
        <w:t xml:space="preserve"> وفي كتابه المسمى بالتدمرية ما هذا لفظه بحروفه بعد أن قرر ما يتعلق بالصفات المتعلقة بالخالق والمخلوق</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 xml:space="preserve">ثم من المعلوم أن </w:t>
      </w:r>
      <w:r w:rsidRPr="00A52585">
        <w:rPr>
          <w:rFonts w:hint="cs"/>
          <w:spacing w:val="-20"/>
          <w:rtl/>
        </w:rPr>
        <w:t>الرب</w:t>
      </w:r>
      <w:r w:rsidRPr="00A52585">
        <w:rPr>
          <w:rFonts w:hint="cs"/>
          <w:rtl/>
        </w:rPr>
        <w:t xml:space="preserve"> لما وصف نفسه بأنه حي عليم قدير لم يقل المسلمون أن ظاهر هذا غير مراد لأن مفهوم ذلك في حقه مثل مفهومه في حقنا فكذلك لما وصف نفسه أنه خلق آدم بيديه لم يوجب ذلك أن ظاهره غير مراد لأن مفهوم ذلك في حقه مثل مفهومه في حقنا</w:t>
      </w:r>
      <w:r w:rsidR="0002035C" w:rsidRPr="00A52585">
        <w:rPr>
          <w:rFonts w:hint="cs"/>
          <w:rtl/>
        </w:rPr>
        <w:t>)</w:t>
      </w:r>
      <w:r w:rsidRPr="00A52585">
        <w:rPr>
          <w:rStyle w:val="a5"/>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في كلام ابن تيمية عدد من المغالطات منها</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bCs/>
          <w:sz w:val="24"/>
          <w:szCs w:val="24"/>
          <w:rtl/>
        </w:rPr>
        <w:t>أ</w:t>
      </w:r>
      <w:r w:rsidR="0002035C" w:rsidRPr="00A52585">
        <w:rPr>
          <w:rFonts w:hint="cs"/>
          <w:bCs/>
          <w:sz w:val="24"/>
          <w:szCs w:val="24"/>
          <w:rtl/>
        </w:rPr>
        <w:t>)</w:t>
      </w:r>
      <w:r w:rsidRPr="00A52585">
        <w:rPr>
          <w:rFonts w:hint="cs"/>
          <w:bCs/>
          <w:sz w:val="24"/>
          <w:szCs w:val="24"/>
          <w:rtl/>
        </w:rPr>
        <w:t xml:space="preserve"> زعمه أن المفهوم من وصف الله سبحانه بأنه حي عليم قادر مثل المفهوم من وصف المخلوق بأنه حي عليم قادر والرد على ذلك</w:t>
      </w:r>
      <w:r w:rsidR="0002035C" w:rsidRPr="00A52585">
        <w:rPr>
          <w:rFonts w:hint="cs"/>
          <w:bCs/>
          <w:sz w:val="24"/>
          <w:szCs w:val="24"/>
          <w:rtl/>
        </w:rPr>
        <w:t>:</w:t>
      </w:r>
      <w:r w:rsidRPr="00A52585">
        <w:rPr>
          <w:rFonts w:hint="cs"/>
          <w:bCs/>
          <w:sz w:val="24"/>
          <w:szCs w:val="24"/>
          <w:rtl/>
        </w:rPr>
        <w:t xml:space="preserve"> </w:t>
      </w:r>
      <w:r w:rsidR="0002035C" w:rsidRPr="00A52585">
        <w:rPr>
          <w:rFonts w:hint="cs"/>
          <w:bCs/>
          <w:sz w:val="24"/>
          <w:szCs w:val="24"/>
          <w:rtl/>
        </w:rPr>
        <w:t>(</w:t>
      </w:r>
      <w:r w:rsidRPr="00A52585">
        <w:rPr>
          <w:rFonts w:hint="cs"/>
          <w:sz w:val="24"/>
          <w:szCs w:val="24"/>
          <w:rtl/>
        </w:rPr>
        <w:t>أولاً</w:t>
      </w:r>
      <w:r w:rsidR="0002035C" w:rsidRPr="00A52585">
        <w:rPr>
          <w:rFonts w:hint="cs"/>
          <w:sz w:val="24"/>
          <w:szCs w:val="24"/>
          <w:rtl/>
        </w:rPr>
        <w:t>):</w:t>
      </w:r>
      <w:r w:rsidRPr="00A52585">
        <w:rPr>
          <w:rFonts w:hint="cs"/>
          <w:sz w:val="24"/>
          <w:szCs w:val="24"/>
          <w:rtl/>
        </w:rPr>
        <w:t xml:space="preserve"> أن جميع صفات الله تبلغ الغاية في الكمال المطلق ولا يشوبها أي نقص بعكس صفات الكمال عند المخلوق يشرح ذلك الإمام عبد الجليل القصري في كتابه شعب الإيمان فيقول</w:t>
      </w:r>
      <w:r w:rsidR="0002035C" w:rsidRPr="00A52585">
        <w:rPr>
          <w:rFonts w:hint="cs"/>
          <w:sz w:val="24"/>
          <w:szCs w:val="24"/>
          <w:rtl/>
        </w:rPr>
        <w:t xml:space="preserve">: </w:t>
      </w:r>
      <w:r w:rsidRPr="00A52585">
        <w:rPr>
          <w:rFonts w:hint="cs"/>
          <w:sz w:val="24"/>
          <w:szCs w:val="24"/>
          <w:rtl/>
        </w:rPr>
        <w:t>" مثال ذلك أن المخلوق يكون عالما فيسمى بذلك لاتصافه بصفة العلم ولكن قد ارتبط علمه بضده من الجهل، فإنه ومن حيث أدرك علمه ما أدرك من المعلوم فقد غاب من علمه أكثر مما علم، فمن حيث عجز علمه عمن غاب عنه فقد عاد جهلا من وجه</w:t>
      </w:r>
      <w:r w:rsidR="00DB731D" w:rsidRPr="00A52585">
        <w:rPr>
          <w:rFonts w:hint="cs"/>
          <w:sz w:val="24"/>
          <w:szCs w:val="24"/>
          <w:rtl/>
        </w:rPr>
        <w:t>،</w:t>
      </w:r>
      <w:r w:rsidRPr="00A52585">
        <w:rPr>
          <w:rFonts w:hint="cs"/>
          <w:sz w:val="24"/>
          <w:szCs w:val="24"/>
          <w:rtl/>
        </w:rPr>
        <w:t xml:space="preserve"> وكذلك بصره من حيث أدرك مبصرات ما غاب عن بصره أكثر مما أدرك فقد عمى بصره عن ذلك، وقدرته وحياته وكرمه وسيادته وجميع صفات العباد كذلك</w:t>
      </w:r>
      <w:r w:rsidR="0002035C" w:rsidRPr="00A52585">
        <w:rPr>
          <w:rFonts w:hint="cs"/>
          <w:sz w:val="24"/>
          <w:szCs w:val="24"/>
          <w:rtl/>
        </w:rPr>
        <w:t>:</w:t>
      </w:r>
      <w:r w:rsidRPr="00A52585">
        <w:rPr>
          <w:rFonts w:hint="cs"/>
          <w:sz w:val="24"/>
          <w:szCs w:val="24"/>
          <w:rtl/>
        </w:rPr>
        <w:t xml:space="preserve"> كل صفة مقرونة مرتبطة بضدها أبد الآبدين ودهر </w:t>
      </w:r>
      <w:proofErr w:type="spellStart"/>
      <w:r w:rsidRPr="00A52585">
        <w:rPr>
          <w:rFonts w:hint="cs"/>
          <w:sz w:val="24"/>
          <w:szCs w:val="24"/>
          <w:rtl/>
        </w:rPr>
        <w:t>الداهرين</w:t>
      </w:r>
      <w:proofErr w:type="spellEnd"/>
      <w:r w:rsidRPr="00A52585">
        <w:rPr>
          <w:rFonts w:hint="cs"/>
          <w:sz w:val="24"/>
          <w:szCs w:val="24"/>
          <w:rtl/>
        </w:rPr>
        <w:t xml:space="preserve"> وصفات الباري سبحانه ليست كذلك لأن صفة العلم من الله مدركة لذات الباري تعالى ولجميع المخلوقات فلم يخف عليه من علمه بذاته ولا من علمه بمخلوقاته ما أوجده وما لم يوجده شيء</w:t>
      </w:r>
      <w:r w:rsidR="00DB731D" w:rsidRPr="00A52585">
        <w:rPr>
          <w:rFonts w:hint="cs"/>
          <w:sz w:val="24"/>
          <w:szCs w:val="24"/>
          <w:rtl/>
        </w:rPr>
        <w:t>،</w:t>
      </w:r>
      <w:r w:rsidRPr="00A52585">
        <w:rPr>
          <w:rFonts w:hint="cs"/>
          <w:sz w:val="24"/>
          <w:szCs w:val="24"/>
          <w:rtl/>
        </w:rPr>
        <w:t xml:space="preserve"> فليس له ضد يرتبط به</w:t>
      </w:r>
      <w:r w:rsidR="00DB731D" w:rsidRPr="00A52585">
        <w:rPr>
          <w:rFonts w:hint="cs"/>
          <w:sz w:val="24"/>
          <w:szCs w:val="24"/>
          <w:rtl/>
        </w:rPr>
        <w:t>،</w:t>
      </w:r>
      <w:r w:rsidRPr="00A52585">
        <w:rPr>
          <w:rFonts w:hint="cs"/>
          <w:sz w:val="24"/>
          <w:szCs w:val="24"/>
          <w:rtl/>
        </w:rPr>
        <w:t xml:space="preserve"> وكذلك قدرته لأنه لا يقدر إلا على ما علم </w:t>
      </w:r>
      <w:r w:rsidR="0002035C" w:rsidRPr="00A52585">
        <w:rPr>
          <w:rFonts w:hint="cs"/>
          <w:sz w:val="24"/>
          <w:szCs w:val="24"/>
          <w:rtl/>
        </w:rPr>
        <w:t>{</w:t>
      </w:r>
      <w:r w:rsidRPr="00A52585">
        <w:rPr>
          <w:rFonts w:hint="cs"/>
          <w:sz w:val="24"/>
          <w:szCs w:val="24"/>
          <w:rtl/>
        </w:rPr>
        <w:t>وهو بكل شيء عليم</w:t>
      </w:r>
      <w:r w:rsidR="0002035C" w:rsidRPr="00A52585">
        <w:rPr>
          <w:rFonts w:hint="cs"/>
          <w:sz w:val="24"/>
          <w:szCs w:val="24"/>
          <w:rtl/>
        </w:rPr>
        <w:t>}</w:t>
      </w:r>
      <w:r w:rsidRPr="00A52585">
        <w:rPr>
          <w:rFonts w:hint="cs"/>
          <w:sz w:val="24"/>
          <w:szCs w:val="24"/>
          <w:rtl/>
        </w:rPr>
        <w:t xml:space="preserve"> وكذلك</w:t>
      </w:r>
      <w:r w:rsidR="0002035C" w:rsidRPr="00A52585">
        <w:rPr>
          <w:rFonts w:hint="cs"/>
          <w:sz w:val="24"/>
          <w:szCs w:val="24"/>
          <w:rtl/>
        </w:rPr>
        <w:t xml:space="preserve"> </w:t>
      </w:r>
      <w:r w:rsidRPr="00A52585">
        <w:rPr>
          <w:rFonts w:hint="cs"/>
          <w:sz w:val="24"/>
          <w:szCs w:val="24"/>
          <w:rtl/>
        </w:rPr>
        <w:t xml:space="preserve">لا يوجد إلا ما علم وكذلك جلاله وكبرياؤه غير مرتبط بضد، وكبر المخلوق المحمود المذموم مرتبط بضده فإنه وإن كان عزيزاً وكبير القدر وجليلاً بالله </w:t>
      </w:r>
      <w:r w:rsidR="0002035C" w:rsidRPr="00A52585">
        <w:rPr>
          <w:rFonts w:hint="cs"/>
          <w:sz w:val="24"/>
          <w:szCs w:val="24"/>
          <w:rtl/>
        </w:rPr>
        <w:t>[</w:t>
      </w:r>
      <w:r w:rsidRPr="00A52585">
        <w:rPr>
          <w:rFonts w:hint="cs"/>
          <w:sz w:val="24"/>
          <w:szCs w:val="24"/>
          <w:rtl/>
        </w:rPr>
        <w:t>عبد</w:t>
      </w:r>
      <w:r w:rsidR="0002035C" w:rsidRPr="00A52585">
        <w:rPr>
          <w:rFonts w:hint="cs"/>
          <w:sz w:val="24"/>
          <w:szCs w:val="24"/>
          <w:rtl/>
        </w:rPr>
        <w:t>]</w:t>
      </w:r>
      <w:r w:rsidRPr="00A52585">
        <w:rPr>
          <w:rFonts w:hint="cs"/>
          <w:sz w:val="24"/>
          <w:szCs w:val="24"/>
          <w:rtl/>
        </w:rPr>
        <w:t xml:space="preserve"> لله وصغير حقير بين يديه وهكذا جميع الصفات "</w:t>
      </w:r>
      <w:r w:rsidR="0002035C" w:rsidRPr="00A52585">
        <w:rPr>
          <w:rFonts w:hint="cs"/>
          <w:sz w:val="24"/>
          <w:szCs w:val="24"/>
          <w:rtl/>
        </w:rPr>
        <w:t xml:space="preserve"> </w:t>
      </w:r>
      <w:r w:rsidRPr="00A52585">
        <w:rPr>
          <w:rFonts w:hint="cs"/>
          <w:sz w:val="24"/>
          <w:szCs w:val="24"/>
          <w:rtl/>
        </w:rPr>
        <w:t>أهـ ص90 ط العلمية</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ثانياً</w:t>
      </w:r>
      <w:r w:rsidR="0002035C" w:rsidRPr="00A52585">
        <w:rPr>
          <w:rFonts w:hint="cs"/>
          <w:sz w:val="24"/>
          <w:szCs w:val="24"/>
          <w:rtl/>
        </w:rPr>
        <w:t>):</w:t>
      </w:r>
      <w:r w:rsidRPr="00A52585">
        <w:rPr>
          <w:rFonts w:hint="cs"/>
          <w:sz w:val="24"/>
          <w:szCs w:val="24"/>
          <w:rtl/>
        </w:rPr>
        <w:t xml:space="preserve"> سبق وأن بينا أن وصفه سبحانه بأنه (حي عليم قادر) لا يعني سوى أنه سبحانه ذات مجهولة لنا لها صفة الحياة ولها صفة العلم ولها صفة القدرة إلخ وصفة (العلم) مثلا المفهوم لنا منها أنها</w:t>
      </w:r>
      <w:r w:rsidR="0002035C" w:rsidRPr="00A52585">
        <w:rPr>
          <w:rFonts w:hint="cs"/>
          <w:sz w:val="24"/>
          <w:szCs w:val="24"/>
          <w:rtl/>
        </w:rPr>
        <w:t>:</w:t>
      </w:r>
      <w:r w:rsidRPr="00A52585">
        <w:rPr>
          <w:rFonts w:hint="cs"/>
          <w:sz w:val="24"/>
          <w:szCs w:val="24"/>
          <w:rtl/>
        </w:rPr>
        <w:t xml:space="preserve"> أمر يلزمه الإحكام والإتقان في الفعل، وكذلك صفة (القدرة)</w:t>
      </w:r>
      <w:r w:rsidR="0002035C" w:rsidRPr="00A52585">
        <w:rPr>
          <w:rFonts w:hint="cs"/>
          <w:sz w:val="24"/>
          <w:szCs w:val="24"/>
          <w:rtl/>
        </w:rPr>
        <w:t>:</w:t>
      </w:r>
      <w:r w:rsidRPr="00A52585">
        <w:rPr>
          <w:rFonts w:hint="cs"/>
          <w:sz w:val="24"/>
          <w:szCs w:val="24"/>
          <w:rtl/>
        </w:rPr>
        <w:t xml:space="preserve"> أمر يستلزم التأثير في الفعل على سبيل الصحة،</w:t>
      </w:r>
      <w:r w:rsidR="0002035C" w:rsidRPr="00A52585">
        <w:rPr>
          <w:rFonts w:hint="cs"/>
          <w:sz w:val="24"/>
          <w:szCs w:val="24"/>
          <w:rtl/>
        </w:rPr>
        <w:t xml:space="preserve"> </w:t>
      </w:r>
      <w:r w:rsidRPr="00A52585">
        <w:rPr>
          <w:rFonts w:hint="cs"/>
          <w:sz w:val="24"/>
          <w:szCs w:val="24"/>
          <w:rtl/>
        </w:rPr>
        <w:t>إلى آخر هذه الصفات فحقيقة الصفات المذكورة- فضلا عن حقيقة الذات المقدسة- مجهولة لنا والمعلوم منها فقط هو هذا اللازم</w:t>
      </w:r>
      <w:r w:rsidR="00DB731D" w:rsidRPr="00A52585">
        <w:rPr>
          <w:rFonts w:hint="cs"/>
          <w:sz w:val="24"/>
          <w:szCs w:val="24"/>
          <w:rtl/>
        </w:rPr>
        <w:t>،</w:t>
      </w:r>
      <w:r w:rsidRPr="00A52585">
        <w:rPr>
          <w:rFonts w:hint="cs"/>
          <w:sz w:val="24"/>
          <w:szCs w:val="24"/>
          <w:rtl/>
        </w:rPr>
        <w:t xml:space="preserve"> فذكر هذه الصفات والإقرار بها والتفكر فيما تستلزمه لا ينتج سوى التعظيم المطلق لله سبحانه ولا يستتبع إطلاقا تخيلا ولا تصوراً ولا توهما للذات المقدسة بل ولا </w:t>
      </w:r>
      <w:r w:rsidRPr="00A52585">
        <w:rPr>
          <w:rFonts w:hint="cs"/>
          <w:sz w:val="24"/>
          <w:szCs w:val="24"/>
          <w:rtl/>
        </w:rPr>
        <w:lastRenderedPageBreak/>
        <w:t>لصفاتها يقول الإمام تقي الدين السبكي في (السيف الصقيل)</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وأما المشيئة والعلم والقدرة ونحوها فهي صفات ذات وهي فينا ذات أمرين</w:t>
      </w:r>
      <w:r w:rsidR="0002035C" w:rsidRPr="00A52585">
        <w:rPr>
          <w:rFonts w:hint="cs"/>
          <w:sz w:val="24"/>
          <w:szCs w:val="24"/>
          <w:rtl/>
        </w:rPr>
        <w:t>:</w:t>
      </w:r>
      <w:r w:rsidRPr="00A52585">
        <w:rPr>
          <w:rFonts w:hint="cs"/>
          <w:sz w:val="24"/>
          <w:szCs w:val="24"/>
          <w:rtl/>
        </w:rPr>
        <w:t xml:space="preserve"> أحدهما عرض قائم بالجسم والله تعالى منزه عنه والثاني</w:t>
      </w:r>
      <w:r w:rsidR="0002035C" w:rsidRPr="00A52585">
        <w:rPr>
          <w:rFonts w:hint="cs"/>
          <w:sz w:val="24"/>
          <w:szCs w:val="24"/>
          <w:rtl/>
        </w:rPr>
        <w:t>:</w:t>
      </w:r>
      <w:r w:rsidRPr="00A52585">
        <w:rPr>
          <w:rFonts w:hint="cs"/>
          <w:sz w:val="24"/>
          <w:szCs w:val="24"/>
          <w:rtl/>
        </w:rPr>
        <w:t xml:space="preserve"> المعاني المتعلقة بالمراد والمعلوم والمقدور وهي الموصوف بها الرب سبحانه وتعالى وليست مختصة بالأجسام فظهر الفرق "</w:t>
      </w:r>
      <w:r w:rsidR="0002035C" w:rsidRPr="00A52585">
        <w:rPr>
          <w:rFonts w:hint="cs"/>
          <w:sz w:val="24"/>
          <w:szCs w:val="24"/>
          <w:rtl/>
        </w:rPr>
        <w:t xml:space="preserve"> </w:t>
      </w:r>
      <w:r w:rsidRPr="00A52585">
        <w:rPr>
          <w:rFonts w:hint="cs"/>
          <w:sz w:val="24"/>
          <w:szCs w:val="24"/>
          <w:rtl/>
        </w:rPr>
        <w:t>أهـ قلت يشير بذلك إلى الفرق بين صفات الكمال والألفاظ الدالة على الجسمية مثل الوجه والعين والاستواء</w:t>
      </w:r>
      <w:r w:rsidR="0002035C" w:rsidRPr="00A52585">
        <w:rPr>
          <w:rFonts w:hint="cs"/>
          <w:sz w:val="24"/>
          <w:szCs w:val="24"/>
          <w:rtl/>
        </w:rPr>
        <w:t xml:space="preserve"> </w:t>
      </w:r>
      <w:r w:rsidRPr="00A52585">
        <w:rPr>
          <w:rFonts w:hint="cs"/>
          <w:sz w:val="24"/>
          <w:szCs w:val="24"/>
          <w:rtl/>
        </w:rPr>
        <w:t>إلخ</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ثالثاً</w:t>
      </w:r>
      <w:r w:rsidR="0002035C" w:rsidRPr="00A52585">
        <w:rPr>
          <w:rFonts w:hint="cs"/>
          <w:sz w:val="24"/>
          <w:szCs w:val="24"/>
          <w:rtl/>
        </w:rPr>
        <w:t>):</w:t>
      </w:r>
      <w:r w:rsidRPr="00A52585">
        <w:rPr>
          <w:rFonts w:hint="cs"/>
          <w:sz w:val="24"/>
          <w:szCs w:val="24"/>
          <w:rtl/>
        </w:rPr>
        <w:t xml:space="preserve"> ليس في صفات مثل الإرادة أو القدرة أو العلم إلخ ما يدل على الجسمية ولا اختصاصها بالأجسام ولا تعطي هذه الألفاظ عند سماعها تصوراً أو تخيلا للذات المتصفة بها بل إننا إذا أطلقنا هذه الصفات على أحد من البشر مثلا، فحقيقة هذا الإنسان هي روحه التي يصح اتصافها بهذه الصفات ولو فارقت الروح جسدها فسيصير جماداً صرفا شأن كل الجمادات من حوله لا يسمع ولا يبصر ولا يحس فضلا عن أن تكون له إرادة أو علم</w:t>
      </w:r>
      <w:r w:rsidR="0002035C" w:rsidRPr="00A52585">
        <w:rPr>
          <w:rFonts w:hint="cs"/>
          <w:sz w:val="24"/>
          <w:szCs w:val="24"/>
          <w:rtl/>
        </w:rPr>
        <w:t xml:space="preserve"> </w:t>
      </w:r>
      <w:r w:rsidRPr="00A52585">
        <w:rPr>
          <w:rFonts w:hint="cs"/>
          <w:sz w:val="24"/>
          <w:szCs w:val="24"/>
          <w:rtl/>
        </w:rPr>
        <w:t>إلخ</w:t>
      </w:r>
      <w:r w:rsidR="00DB731D" w:rsidRPr="00A52585">
        <w:rPr>
          <w:rFonts w:hint="cs"/>
          <w:sz w:val="24"/>
          <w:szCs w:val="24"/>
          <w:rtl/>
        </w:rPr>
        <w:t>،</w:t>
      </w:r>
      <w:r w:rsidRPr="00A52585">
        <w:rPr>
          <w:rFonts w:hint="cs"/>
          <w:sz w:val="24"/>
          <w:szCs w:val="24"/>
          <w:rtl/>
        </w:rPr>
        <w:t xml:space="preserve"> وقد ذهب المحققون من علماء الإسلام إلى أن الروح ليست جسما ولا متحيزا يقول الإمام العلامة محمد زاهد الكوثري</w:t>
      </w:r>
      <w:r w:rsidR="0002035C" w:rsidRPr="00A52585">
        <w:rPr>
          <w:rFonts w:hint="cs"/>
          <w:sz w:val="24"/>
          <w:szCs w:val="24"/>
          <w:rtl/>
        </w:rPr>
        <w:t xml:space="preserve">: </w:t>
      </w:r>
      <w:r w:rsidRPr="00A52585">
        <w:rPr>
          <w:rFonts w:hint="cs"/>
          <w:sz w:val="24"/>
          <w:szCs w:val="24"/>
          <w:rtl/>
        </w:rPr>
        <w:t xml:space="preserve">" القول بتجرد الروح مما ذهب إليه إمام الهدى أبو منصور الماتريدي </w:t>
      </w:r>
      <w:proofErr w:type="spellStart"/>
      <w:r w:rsidRPr="00A52585">
        <w:rPr>
          <w:rFonts w:hint="cs"/>
          <w:sz w:val="24"/>
          <w:szCs w:val="24"/>
          <w:rtl/>
        </w:rPr>
        <w:t>والحليمي</w:t>
      </w:r>
      <w:proofErr w:type="spellEnd"/>
      <w:r w:rsidRPr="00A52585">
        <w:rPr>
          <w:rFonts w:hint="cs"/>
          <w:sz w:val="24"/>
          <w:szCs w:val="24"/>
          <w:rtl/>
        </w:rPr>
        <w:t xml:space="preserve"> والراغب والغزالي والبيضاوي وغيرهم من كبار علماء السنة وبه يزول كثير من الإشكالات، وإن خفيت أدلة ذلك على جمهور المتكلمين فضلا عن مكسري </w:t>
      </w:r>
      <w:proofErr w:type="spellStart"/>
      <w:r w:rsidRPr="00A52585">
        <w:rPr>
          <w:rFonts w:hint="cs"/>
          <w:sz w:val="24"/>
          <w:szCs w:val="24"/>
          <w:rtl/>
        </w:rPr>
        <w:t>الحشوية</w:t>
      </w:r>
      <w:proofErr w:type="spellEnd"/>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أهـ من تعليقه على (السيف الصقيل) ص 139ط السعادة</w:t>
      </w:r>
      <w:r w:rsidR="00DB731D" w:rsidRPr="00A52585">
        <w:rPr>
          <w:rFonts w:hint="cs"/>
          <w:sz w:val="24"/>
          <w:szCs w:val="24"/>
          <w:rtl/>
        </w:rPr>
        <w:t>،</w:t>
      </w:r>
      <w:r w:rsidRPr="00A52585">
        <w:rPr>
          <w:rFonts w:hint="cs"/>
          <w:sz w:val="24"/>
          <w:szCs w:val="24"/>
          <w:rtl/>
        </w:rPr>
        <w:t xml:space="preserve"> فإن كان </w:t>
      </w:r>
      <w:r w:rsidRPr="00A52585">
        <w:rPr>
          <w:sz w:val="24"/>
          <w:szCs w:val="24"/>
        </w:rPr>
        <w:t>–</w:t>
      </w:r>
      <w:r w:rsidRPr="00A52585">
        <w:rPr>
          <w:rFonts w:hint="cs"/>
          <w:sz w:val="24"/>
          <w:szCs w:val="24"/>
          <w:rtl/>
        </w:rPr>
        <w:t xml:space="preserve"> وهو ما نعتقده- فليست الإرادة أو العلم إلخ من صفات الأجسام وليس لها تعلق بها أصلا، وإلا فينطبق عليها كلام الإمام السبكي السابق نقله</w:t>
      </w:r>
      <w:r w:rsidR="00DB731D" w:rsidRPr="00A52585">
        <w:rPr>
          <w:rFonts w:hint="cs"/>
          <w:sz w:val="24"/>
          <w:szCs w:val="24"/>
          <w:rtl/>
        </w:rPr>
        <w:t>،</w:t>
      </w:r>
      <w:r w:rsidR="0002035C" w:rsidRPr="00A52585">
        <w:rPr>
          <w:rFonts w:hint="cs"/>
          <w:sz w:val="24"/>
          <w:szCs w:val="24"/>
          <w:rtl/>
        </w:rPr>
        <w:t xml:space="preserve"> </w:t>
      </w:r>
      <w:r w:rsidRPr="00A52585">
        <w:rPr>
          <w:rFonts w:hint="cs"/>
          <w:bCs/>
          <w:sz w:val="24"/>
          <w:szCs w:val="24"/>
          <w:rtl/>
        </w:rPr>
        <w:t>ب- زعمه أن ظاهر قوله سبحانه أنه خلق آدم بيديه يجب أن يكون مراداً كما أن ظاهر وصفه سبحانه نفسه بأنه حي عليم قدير مريد، وأن مفهوم ذلك في حقه سبحانه هو المفهوم في</w:t>
      </w:r>
      <w:r w:rsidRPr="00A52585">
        <w:rPr>
          <w:rFonts w:hint="cs"/>
          <w:sz w:val="24"/>
          <w:szCs w:val="24"/>
          <w:rtl/>
        </w:rPr>
        <w:t xml:space="preserve"> </w:t>
      </w:r>
      <w:r w:rsidRPr="00A52585">
        <w:rPr>
          <w:rFonts w:hint="cs"/>
          <w:bCs/>
          <w:sz w:val="24"/>
          <w:szCs w:val="24"/>
          <w:rtl/>
        </w:rPr>
        <w:t>حقنا</w:t>
      </w:r>
      <w:r w:rsidR="00DB731D" w:rsidRPr="00A52585">
        <w:rPr>
          <w:rFonts w:hint="cs"/>
          <w:bCs/>
          <w:sz w:val="24"/>
          <w:szCs w:val="24"/>
          <w:rtl/>
        </w:rPr>
        <w:t>،</w:t>
      </w:r>
      <w:r w:rsidRPr="00A52585">
        <w:rPr>
          <w:rFonts w:hint="cs"/>
          <w:bCs/>
          <w:sz w:val="24"/>
          <w:szCs w:val="24"/>
          <w:rtl/>
        </w:rPr>
        <w:t xml:space="preserve"> </w:t>
      </w:r>
      <w:r w:rsidRPr="00A52585">
        <w:rPr>
          <w:rFonts w:hint="cs"/>
          <w:sz w:val="24"/>
          <w:szCs w:val="24"/>
          <w:rtl/>
        </w:rPr>
        <w:t>وقد سبق بيان أن ظاهر هذه الصفات</w:t>
      </w:r>
      <w:r w:rsidR="0002035C" w:rsidRPr="00A52585">
        <w:rPr>
          <w:rFonts w:hint="cs"/>
          <w:sz w:val="24"/>
          <w:szCs w:val="24"/>
          <w:rtl/>
        </w:rPr>
        <w:t>:</w:t>
      </w:r>
      <w:r w:rsidRPr="00A52585">
        <w:rPr>
          <w:rFonts w:hint="cs"/>
          <w:sz w:val="24"/>
          <w:szCs w:val="24"/>
          <w:rtl/>
        </w:rPr>
        <w:t xml:space="preserve"> حي عليم قادر إلخ لا يلحق نقصا بالله سبحانه، كما سبق بيان المفهوم منها في حقه سبحانه ليس هو المفهوم في حقنا</w:t>
      </w:r>
      <w:r w:rsidR="00DB731D" w:rsidRPr="00A52585">
        <w:rPr>
          <w:rFonts w:hint="cs"/>
          <w:sz w:val="24"/>
          <w:szCs w:val="24"/>
          <w:rtl/>
        </w:rPr>
        <w:t>،</w:t>
      </w:r>
      <w:r w:rsidRPr="00A52585">
        <w:rPr>
          <w:rFonts w:hint="cs"/>
          <w:sz w:val="24"/>
          <w:szCs w:val="24"/>
          <w:rtl/>
        </w:rPr>
        <w:t xml:space="preserve"> ثم أقر ابن تيمية بأن المفهوم من ظاهر (أنه خلق آدم بيديه) في حقه سبحانه هو المفهوم في حقنا نقول وبالله التوفيق</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أولاً</w:t>
      </w:r>
      <w:r w:rsidR="0002035C" w:rsidRPr="00A52585">
        <w:rPr>
          <w:rFonts w:hint="cs"/>
          <w:sz w:val="24"/>
          <w:szCs w:val="24"/>
          <w:rtl/>
        </w:rPr>
        <w:t>):</w:t>
      </w:r>
      <w:r w:rsidRPr="00A52585">
        <w:rPr>
          <w:rFonts w:hint="cs"/>
          <w:sz w:val="24"/>
          <w:szCs w:val="24"/>
          <w:rtl/>
        </w:rPr>
        <w:t xml:space="preserve"> ومثل ذلك بقية العبارات والألفاظ المماثلة مثل</w:t>
      </w:r>
      <w:r w:rsidR="0002035C" w:rsidRPr="00A52585">
        <w:rPr>
          <w:rFonts w:hint="cs"/>
          <w:sz w:val="24"/>
          <w:szCs w:val="24"/>
          <w:rtl/>
        </w:rPr>
        <w:t>:</w:t>
      </w:r>
      <w:r w:rsidRPr="00A52585">
        <w:rPr>
          <w:rFonts w:hint="cs"/>
          <w:sz w:val="24"/>
          <w:szCs w:val="24"/>
          <w:rtl/>
        </w:rPr>
        <w:t xml:space="preserve"> الاستواء والنزول </w:t>
      </w:r>
      <w:proofErr w:type="spellStart"/>
      <w:r w:rsidRPr="00A52585">
        <w:rPr>
          <w:rFonts w:hint="cs"/>
          <w:sz w:val="24"/>
          <w:szCs w:val="24"/>
          <w:rtl/>
        </w:rPr>
        <w:t>والمجئ</w:t>
      </w:r>
      <w:proofErr w:type="spellEnd"/>
      <w:r w:rsidRPr="00A52585">
        <w:rPr>
          <w:rFonts w:hint="cs"/>
          <w:sz w:val="24"/>
          <w:szCs w:val="24"/>
          <w:rtl/>
        </w:rPr>
        <w:t xml:space="preserve"> والإتيان، والدالة على الانفعالات النفسية مثل</w:t>
      </w:r>
      <w:r w:rsidR="0002035C" w:rsidRPr="00A52585">
        <w:rPr>
          <w:rFonts w:hint="cs"/>
          <w:sz w:val="24"/>
          <w:szCs w:val="24"/>
          <w:rtl/>
        </w:rPr>
        <w:t>:</w:t>
      </w:r>
      <w:r w:rsidRPr="00A52585">
        <w:rPr>
          <w:rFonts w:hint="cs"/>
          <w:sz w:val="24"/>
          <w:szCs w:val="24"/>
          <w:rtl/>
        </w:rPr>
        <w:t xml:space="preserve"> الغضب والرضا والضحك والرحمة، وكذا الدالة على الجسمية مثل</w:t>
      </w:r>
      <w:r w:rsidR="0002035C" w:rsidRPr="00A52585">
        <w:rPr>
          <w:rFonts w:hint="cs"/>
          <w:sz w:val="24"/>
          <w:szCs w:val="24"/>
          <w:rtl/>
        </w:rPr>
        <w:t>:</w:t>
      </w:r>
      <w:r w:rsidRPr="00A52585">
        <w:rPr>
          <w:rFonts w:hint="cs"/>
          <w:sz w:val="24"/>
          <w:szCs w:val="24"/>
          <w:rtl/>
        </w:rPr>
        <w:t xml:space="preserve"> اليد والوجه والعين والقدم</w:t>
      </w:r>
      <w:r w:rsidR="0002035C" w:rsidRPr="00A52585">
        <w:rPr>
          <w:rFonts w:hint="cs"/>
          <w:sz w:val="24"/>
          <w:szCs w:val="24"/>
          <w:rtl/>
        </w:rPr>
        <w:t xml:space="preserve"> </w:t>
      </w:r>
      <w:r w:rsidRPr="00A52585">
        <w:rPr>
          <w:rFonts w:hint="cs"/>
          <w:sz w:val="24"/>
          <w:szCs w:val="24"/>
          <w:rtl/>
        </w:rPr>
        <w:t>إلخ</w:t>
      </w:r>
      <w:r w:rsidR="00DB731D" w:rsidRPr="00A52585">
        <w:rPr>
          <w:rFonts w:hint="cs"/>
          <w:sz w:val="24"/>
          <w:szCs w:val="24"/>
          <w:rtl/>
        </w:rPr>
        <w:t>،</w:t>
      </w:r>
      <w:r w:rsidRPr="00A52585">
        <w:rPr>
          <w:rFonts w:hint="cs"/>
          <w:sz w:val="24"/>
          <w:szCs w:val="24"/>
          <w:rtl/>
        </w:rPr>
        <w:t xml:space="preserve"> وقد تابع ابن القيم شيخه وقال إن الألفاظ السابقة وكذا المشيئة والقدرة من صفات الأجسام فكما وصفناه سبحانه بالمشيئة والقدرة وما إليها من صفات الكمال نصفه أيضاً بتلك الألفاظ سواء بسواء بغير فرق بينهما</w:t>
      </w:r>
      <w:r w:rsidR="00DB731D" w:rsidRPr="00A52585">
        <w:rPr>
          <w:rFonts w:hint="cs"/>
          <w:sz w:val="24"/>
          <w:szCs w:val="24"/>
          <w:rtl/>
        </w:rPr>
        <w:t>،</w:t>
      </w:r>
      <w:r w:rsidRPr="00A52585">
        <w:rPr>
          <w:rFonts w:hint="cs"/>
          <w:sz w:val="24"/>
          <w:szCs w:val="24"/>
          <w:rtl/>
        </w:rPr>
        <w:t xml:space="preserve"> يقول الإمام السبكي في (السيف الصقيل)</w:t>
      </w:r>
      <w:r w:rsidR="0002035C" w:rsidRPr="00A52585">
        <w:rPr>
          <w:rFonts w:hint="cs"/>
          <w:sz w:val="24"/>
          <w:szCs w:val="24"/>
          <w:rtl/>
        </w:rPr>
        <w:t xml:space="preserve"> </w:t>
      </w:r>
      <w:r w:rsidRPr="00A52585">
        <w:rPr>
          <w:rFonts w:hint="cs"/>
          <w:sz w:val="24"/>
          <w:szCs w:val="24"/>
          <w:rtl/>
        </w:rPr>
        <w:t>" كل عاقل يعلم أن الاستواء بمعنى القعود أقرب إلى صفات الأجسام من المشيئة والقدرة "</w:t>
      </w:r>
      <w:r w:rsidR="0002035C" w:rsidRPr="00A52585">
        <w:rPr>
          <w:rFonts w:hint="cs"/>
          <w:sz w:val="24"/>
          <w:szCs w:val="24"/>
          <w:rtl/>
        </w:rPr>
        <w:t xml:space="preserve"> </w:t>
      </w:r>
      <w:r w:rsidRPr="00A52585">
        <w:rPr>
          <w:rFonts w:hint="cs"/>
          <w:sz w:val="24"/>
          <w:szCs w:val="24"/>
          <w:rtl/>
        </w:rPr>
        <w:t>ويقول أيضا في سبب العدول عن ظاهر الألفاظ المتشابهة</w:t>
      </w:r>
      <w:r w:rsidR="0002035C" w:rsidRPr="00A52585">
        <w:rPr>
          <w:rFonts w:hint="cs"/>
          <w:sz w:val="24"/>
          <w:szCs w:val="24"/>
          <w:rtl/>
        </w:rPr>
        <w:t xml:space="preserve">: </w:t>
      </w:r>
      <w:r w:rsidRPr="00A52585">
        <w:rPr>
          <w:rFonts w:hint="cs"/>
          <w:sz w:val="24"/>
          <w:szCs w:val="24"/>
          <w:rtl/>
        </w:rPr>
        <w:t>" الجسدية والحدوث والإمكان يلزم من ثلاثتها الاحتياج والنقص "</w:t>
      </w:r>
      <w:r w:rsidR="0002035C" w:rsidRPr="00A52585">
        <w:rPr>
          <w:rFonts w:hint="cs"/>
          <w:sz w:val="24"/>
          <w:szCs w:val="24"/>
          <w:rtl/>
        </w:rPr>
        <w:t xml:space="preserve"> </w:t>
      </w:r>
      <w:r w:rsidRPr="00A52585">
        <w:rPr>
          <w:rFonts w:hint="cs"/>
          <w:sz w:val="24"/>
          <w:szCs w:val="24"/>
          <w:rtl/>
        </w:rPr>
        <w:t>والألفاظ المتشابهة المذكورة تندرج تحت واحدة أو أكثر من هذه الثلاثة</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ثانياً</w:t>
      </w:r>
      <w:r w:rsidR="0002035C" w:rsidRPr="00A52585">
        <w:rPr>
          <w:rFonts w:hint="cs"/>
          <w:sz w:val="24"/>
          <w:szCs w:val="24"/>
          <w:rtl/>
        </w:rPr>
        <w:t>):</w:t>
      </w:r>
      <w:r w:rsidRPr="00A52585">
        <w:rPr>
          <w:rFonts w:hint="cs"/>
          <w:sz w:val="24"/>
          <w:szCs w:val="24"/>
          <w:rtl/>
        </w:rPr>
        <w:t xml:space="preserve"> كل عاقل يعلم أن هناك فرق بين حقيقة الشيء وكنهه وبين صفته وكلما كان كنه الشيء أظهر وأوضح وأدخل في إدراكنا وحواسنا، كان الفرق أوضح كذلك فلو أمسكنا قلما وقلنا (هذا قلم) فهو شيء مدرك بحاستي البصر واللمس بالإضافة إلى العقل وهو في حد ذاته قائم بنفسه وليس معنى قائماً بغيره</w:t>
      </w:r>
      <w:r w:rsidR="00DB731D" w:rsidRPr="00A52585">
        <w:rPr>
          <w:rFonts w:hint="cs"/>
          <w:sz w:val="24"/>
          <w:szCs w:val="24"/>
          <w:rtl/>
        </w:rPr>
        <w:t>،</w:t>
      </w:r>
      <w:r w:rsidRPr="00A52585">
        <w:rPr>
          <w:rFonts w:hint="cs"/>
          <w:sz w:val="24"/>
          <w:szCs w:val="24"/>
          <w:rtl/>
        </w:rPr>
        <w:t xml:space="preserve"> فلا يمكن لعاقل أن يزعم أن كلمة (قلم) هذه صفة لشيء ما</w:t>
      </w:r>
      <w:r w:rsidR="00F95886" w:rsidRPr="00A52585">
        <w:rPr>
          <w:rFonts w:hint="cs"/>
          <w:sz w:val="24"/>
          <w:szCs w:val="24"/>
          <w:rtl/>
        </w:rPr>
        <w:t>!</w:t>
      </w:r>
      <w:r w:rsidRPr="00A52585">
        <w:rPr>
          <w:rFonts w:hint="cs"/>
          <w:sz w:val="24"/>
          <w:szCs w:val="24"/>
          <w:rtl/>
        </w:rPr>
        <w:t xml:space="preserve"> بل هي اسم دال على شيء ذي ذات وحقيقة، إنما يمكن أن نقول</w:t>
      </w:r>
      <w:r w:rsidR="0002035C" w:rsidRPr="00A52585">
        <w:rPr>
          <w:rFonts w:hint="cs"/>
          <w:sz w:val="24"/>
          <w:szCs w:val="24"/>
          <w:rtl/>
        </w:rPr>
        <w:t>:</w:t>
      </w:r>
      <w:r w:rsidRPr="00A52585">
        <w:rPr>
          <w:rFonts w:hint="cs"/>
          <w:sz w:val="24"/>
          <w:szCs w:val="24"/>
          <w:rtl/>
        </w:rPr>
        <w:t xml:space="preserve"> (قلم أحمر) أو (قلم طويل) أو</w:t>
      </w:r>
      <w:r w:rsidR="0002035C" w:rsidRPr="00A52585">
        <w:rPr>
          <w:rFonts w:hint="cs"/>
          <w:sz w:val="24"/>
          <w:szCs w:val="24"/>
          <w:rtl/>
        </w:rPr>
        <w:t xml:space="preserve"> </w:t>
      </w:r>
      <w:r w:rsidRPr="00A52585">
        <w:rPr>
          <w:rFonts w:hint="cs"/>
          <w:sz w:val="24"/>
          <w:szCs w:val="24"/>
          <w:rtl/>
        </w:rPr>
        <w:t xml:space="preserve">إلخ فتكون هذه الألفاظ </w:t>
      </w:r>
      <w:r w:rsidR="0002035C" w:rsidRPr="00A52585">
        <w:rPr>
          <w:rFonts w:hint="cs"/>
          <w:sz w:val="24"/>
          <w:szCs w:val="24"/>
          <w:rtl/>
        </w:rPr>
        <w:t>(</w:t>
      </w:r>
      <w:r w:rsidRPr="00A52585">
        <w:rPr>
          <w:rFonts w:hint="cs"/>
          <w:sz w:val="24"/>
          <w:szCs w:val="24"/>
          <w:rtl/>
        </w:rPr>
        <w:t xml:space="preserve">أحمر وطويل و </w:t>
      </w:r>
      <w:r w:rsidRPr="00A52585">
        <w:rPr>
          <w:sz w:val="24"/>
          <w:szCs w:val="24"/>
        </w:rPr>
        <w:t>…</w:t>
      </w:r>
      <w:r w:rsidR="0002035C" w:rsidRPr="00A52585">
        <w:rPr>
          <w:rFonts w:hint="cs"/>
          <w:sz w:val="24"/>
          <w:szCs w:val="24"/>
          <w:rtl/>
        </w:rPr>
        <w:t>)</w:t>
      </w:r>
      <w:r w:rsidRPr="00A52585">
        <w:rPr>
          <w:rFonts w:hint="cs"/>
          <w:sz w:val="24"/>
          <w:szCs w:val="24"/>
          <w:rtl/>
        </w:rPr>
        <w:t xml:space="preserve"> صفات للذات المسماة (قلما) ومثل ذلك لو قلنا (سيارة) ثم قلنا (سيارة سريعة) أو (سيارة جديدة) إلى غير ذلك من الأمثلة اللغوية ولله المثل الأعلى</w:t>
      </w:r>
      <w:r w:rsidR="00DB731D" w:rsidRPr="00A52585">
        <w:rPr>
          <w:rFonts w:hint="cs"/>
          <w:sz w:val="24"/>
          <w:szCs w:val="24"/>
          <w:rtl/>
        </w:rPr>
        <w:t>،</w:t>
      </w:r>
      <w:r w:rsidRPr="00A52585">
        <w:rPr>
          <w:rFonts w:hint="cs"/>
          <w:sz w:val="24"/>
          <w:szCs w:val="24"/>
          <w:rtl/>
        </w:rPr>
        <w:t xml:space="preserve"> يقول الإمام السبكي في السيف الصقيل</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 xml:space="preserve">وهذه الأشياء التي ذكرناها هي عند أهل اللغة أجزاء لا أوصاف، فهي صريحة في التركيب والتركيب </w:t>
      </w:r>
      <w:r w:rsidRPr="00A52585">
        <w:rPr>
          <w:rFonts w:hint="cs"/>
          <w:sz w:val="24"/>
          <w:szCs w:val="24"/>
          <w:rtl/>
        </w:rPr>
        <w:lastRenderedPageBreak/>
        <w:t>للأجسام</w:t>
      </w:r>
      <w:r w:rsidR="00DB731D" w:rsidRPr="00A52585">
        <w:rPr>
          <w:rFonts w:hint="cs"/>
          <w:sz w:val="24"/>
          <w:szCs w:val="24"/>
          <w:rtl/>
        </w:rPr>
        <w:t>،</w:t>
      </w:r>
      <w:r w:rsidRPr="00A52585">
        <w:rPr>
          <w:rFonts w:hint="cs"/>
          <w:sz w:val="24"/>
          <w:szCs w:val="24"/>
          <w:rtl/>
        </w:rPr>
        <w:t xml:space="preserve"> فذكرك لفظ (الأوصاف) تلبيس وكل أهل اللغة لا يفهمون من الوجه والعين والجنب والقدر إلا الجزاء ولا يفهم من الاستواء بمعنى القعود إلا أنه هيئة وضع المتمكن في المكان ولا من </w:t>
      </w:r>
      <w:proofErr w:type="spellStart"/>
      <w:r w:rsidRPr="00A52585">
        <w:rPr>
          <w:rFonts w:hint="cs"/>
          <w:sz w:val="24"/>
          <w:szCs w:val="24"/>
          <w:rtl/>
        </w:rPr>
        <w:t>المجئ</w:t>
      </w:r>
      <w:proofErr w:type="spellEnd"/>
      <w:r w:rsidRPr="00A52585">
        <w:rPr>
          <w:rFonts w:hint="cs"/>
          <w:sz w:val="24"/>
          <w:szCs w:val="24"/>
          <w:rtl/>
        </w:rPr>
        <w:t xml:space="preserve"> والإتيان والنزول إلا الحركة الخاصة بالجسم</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ما ذكره الإمام السبكي نضر الله وجهه هو المستقر في ضمير الناطقين باللغة العربية حتى أهل التجسيم منهم فضلا عن أهل الحق المنزهين لله، فلم نجد أحداً، إلى الآن تجاسر وتسمى بعبد اليد أو عبد القدم أو عبد الساق </w:t>
      </w:r>
      <w:r w:rsidRPr="00A52585">
        <w:rPr>
          <w:sz w:val="24"/>
          <w:szCs w:val="24"/>
        </w:rPr>
        <w:t>…</w:t>
      </w:r>
      <w:r w:rsidRPr="00A52585">
        <w:rPr>
          <w:rFonts w:hint="cs"/>
          <w:sz w:val="24"/>
          <w:szCs w:val="24"/>
          <w:rtl/>
        </w:rPr>
        <w:t xml:space="preserve"> إلخ بل وجدناهم يتسمون بعبد الرحمن أو عبد القادر أو عبد العليم وغير ذلك من الأسماء الحسنى المشتقة من صفات الكمال الواجبة له سبحانه وتعالى</w:t>
      </w:r>
      <w:r w:rsidR="00DB731D" w:rsidRPr="00A52585">
        <w:rPr>
          <w:rFonts w:hint="cs"/>
          <w:sz w:val="24"/>
          <w:szCs w:val="24"/>
          <w:rtl/>
        </w:rPr>
        <w:t>،</w:t>
      </w:r>
      <w:r w:rsidRPr="00A52585">
        <w:rPr>
          <w:rFonts w:hint="cs"/>
          <w:sz w:val="24"/>
          <w:szCs w:val="24"/>
          <w:rtl/>
        </w:rPr>
        <w:t xml:space="preserve"> فمن جهة المجسمة والمشبهة يوقنون جميعا بأن هذه الألفاظ معبرة عن أجزاء وأبعاض والذات الإلهية </w:t>
      </w:r>
      <w:r w:rsidRPr="00A52585">
        <w:rPr>
          <w:sz w:val="24"/>
          <w:szCs w:val="24"/>
        </w:rPr>
        <w:t>–</w:t>
      </w:r>
      <w:r w:rsidRPr="00A52585">
        <w:rPr>
          <w:rFonts w:hint="cs"/>
          <w:sz w:val="24"/>
          <w:szCs w:val="24"/>
          <w:rtl/>
        </w:rPr>
        <w:t xml:space="preserve"> كما سننقله عن ابن تيمية في التعليق التالي </w:t>
      </w:r>
      <w:r w:rsidRPr="00A52585">
        <w:rPr>
          <w:sz w:val="24"/>
          <w:szCs w:val="24"/>
        </w:rPr>
        <w:t>–</w:t>
      </w:r>
      <w:r w:rsidRPr="00A52585">
        <w:rPr>
          <w:rFonts w:hint="cs"/>
          <w:sz w:val="24"/>
          <w:szCs w:val="24"/>
          <w:rtl/>
        </w:rPr>
        <w:t xml:space="preserve"> تتركب من مجموعها تعالى الله عما يقولون</w:t>
      </w:r>
      <w:r w:rsidR="00DB731D" w:rsidRPr="00A52585">
        <w:rPr>
          <w:rFonts w:hint="cs"/>
          <w:sz w:val="24"/>
          <w:szCs w:val="24"/>
          <w:rtl/>
        </w:rPr>
        <w:t>،</w:t>
      </w:r>
      <w:r w:rsidRPr="00A52585">
        <w:rPr>
          <w:rFonts w:hint="cs"/>
          <w:sz w:val="24"/>
          <w:szCs w:val="24"/>
          <w:rtl/>
        </w:rPr>
        <w:t xml:space="preserve"> أما من جهة المنزهة وأهل الحق الذين صرحوا بأن هذه الألفاظ تدل على صفات </w:t>
      </w:r>
      <w:proofErr w:type="spellStart"/>
      <w:r w:rsidRPr="00A52585">
        <w:rPr>
          <w:rFonts w:hint="cs"/>
          <w:sz w:val="24"/>
          <w:szCs w:val="24"/>
          <w:rtl/>
        </w:rPr>
        <w:t>فمقصودهم</w:t>
      </w:r>
      <w:proofErr w:type="spellEnd"/>
      <w:r w:rsidRPr="00A52585">
        <w:rPr>
          <w:rFonts w:hint="cs"/>
          <w:sz w:val="24"/>
          <w:szCs w:val="24"/>
          <w:rtl/>
        </w:rPr>
        <w:t xml:space="preserve"> ما نقلناه عن الإمام سلامة </w:t>
      </w:r>
      <w:proofErr w:type="spellStart"/>
      <w:r w:rsidRPr="00A52585">
        <w:rPr>
          <w:rFonts w:hint="cs"/>
          <w:sz w:val="24"/>
          <w:szCs w:val="24"/>
          <w:rtl/>
        </w:rPr>
        <w:t>العزامي</w:t>
      </w:r>
      <w:proofErr w:type="spellEnd"/>
      <w:r w:rsidRPr="00A52585">
        <w:rPr>
          <w:rFonts w:hint="cs"/>
          <w:sz w:val="24"/>
          <w:szCs w:val="24"/>
          <w:rtl/>
        </w:rPr>
        <w:t xml:space="preserve"> في (التنبيه السادس) من (التنبيهات الهامة) التي ذكرناها عقب كلام الألوسي في تفسير الآية الكريمة وما قدروا الله حق قدره)</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ثالثاً</w:t>
      </w:r>
      <w:r w:rsidR="0002035C" w:rsidRPr="00A52585">
        <w:rPr>
          <w:rFonts w:hint="cs"/>
          <w:sz w:val="24"/>
          <w:szCs w:val="24"/>
          <w:rtl/>
        </w:rPr>
        <w:t>):</w:t>
      </w:r>
      <w:r w:rsidRPr="00A52585">
        <w:rPr>
          <w:rFonts w:hint="cs"/>
          <w:sz w:val="24"/>
          <w:szCs w:val="24"/>
          <w:rtl/>
        </w:rPr>
        <w:t xml:space="preserve"> سبق إثبات المجاز- وسيأتي مزيد توسع عند الكلام على قدم العالم- وبه يتبين أن كل هذه العبارات والألفاظ المتشابهة مع القرائن المصاحبة لها تدل على معان صحيحة تتفق مع الكمالات الواجبة لله سبحانه وأول هذه القرائن التعظيم المطلق لرب العالمين والتنزيه التام له عن أي شائبة نقص</w:t>
      </w:r>
      <w:r w:rsidR="00DB731D" w:rsidRPr="00A52585">
        <w:rPr>
          <w:rFonts w:hint="cs"/>
          <w:sz w:val="24"/>
          <w:szCs w:val="24"/>
          <w:rtl/>
        </w:rPr>
        <w:t>،</w:t>
      </w:r>
      <w:r w:rsidRPr="00A52585">
        <w:rPr>
          <w:rFonts w:hint="cs"/>
          <w:sz w:val="24"/>
          <w:szCs w:val="24"/>
          <w:rtl/>
        </w:rPr>
        <w:t xml:space="preserve"> يقول الإمام السبكي في (السيف الصقيل)</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ومن أولى بعبادة ما نحته ذهنه</w:t>
      </w:r>
      <w:r w:rsidR="00F95886" w:rsidRPr="00A52585">
        <w:rPr>
          <w:rFonts w:hint="cs"/>
          <w:sz w:val="24"/>
          <w:szCs w:val="24"/>
          <w:rtl/>
        </w:rPr>
        <w:t>؟</w:t>
      </w:r>
      <w:r w:rsidRPr="00A52585">
        <w:rPr>
          <w:rFonts w:hint="cs"/>
          <w:sz w:val="24"/>
          <w:szCs w:val="24"/>
          <w:rtl/>
        </w:rPr>
        <w:t xml:space="preserve"> من ركب أجزاء مقصودة معقولة أو من قال أعبد إلها واحدا أنا عاجز عن معرفته وعن كنه ذاته فهو كما وصف به نفسه، وفوق ما يصف به عباده، وعقلي يقصر عن سبحات وجهه وعلمي يضل في علمه ويتضاءل دون عظمته وملكوت سلطانه وقدرته وقهره لا شريك له سبحانه وتعالى</w:t>
      </w:r>
      <w:r w:rsidR="0002035C" w:rsidRPr="00A52585">
        <w:rPr>
          <w:rFonts w:hint="cs"/>
          <w:sz w:val="24"/>
          <w:szCs w:val="24"/>
          <w:rtl/>
        </w:rPr>
        <w:t>{</w:t>
      </w:r>
      <w:r w:rsidRPr="00A52585">
        <w:rPr>
          <w:rFonts w:hint="cs"/>
          <w:sz w:val="24"/>
          <w:szCs w:val="24"/>
          <w:rtl/>
        </w:rPr>
        <w:t>ليس كمثله شيء وهو السميع البصير} (الشورى</w:t>
      </w:r>
      <w:r w:rsidR="0002035C" w:rsidRPr="00A52585">
        <w:rPr>
          <w:rFonts w:hint="cs"/>
          <w:sz w:val="24"/>
          <w:szCs w:val="24"/>
          <w:rtl/>
        </w:rPr>
        <w:t>:</w:t>
      </w:r>
      <w:r w:rsidRPr="00A52585">
        <w:rPr>
          <w:rFonts w:hint="cs"/>
          <w:sz w:val="24"/>
          <w:szCs w:val="24"/>
          <w:rtl/>
        </w:rPr>
        <w:t xml:space="preserve"> 11) كل ما تصوره الذهن فالله بخلافه لو اجتمعت عقول العالمين كلها لم تبلغ معرفة حقيقة ذاته ولا كنه صفاته، وإنما علموا منها ما دلهم على التوحيد وأمر السيد العبيد وأنعم عليهم بالرسول أرشدهم إلى ما فيه صلاحهم وأنزل عليهم كتابا كلفهم فيه بتكاليف إن عملوا بها وصلوا إلى دار السلام فلا ينبغي لهم الاشتغال بغيرها- فاشتغالهم بغيرها فضول- وإن فكروا </w:t>
      </w:r>
      <w:proofErr w:type="spellStart"/>
      <w:r w:rsidRPr="00A52585">
        <w:rPr>
          <w:rFonts w:hint="cs"/>
          <w:sz w:val="24"/>
          <w:szCs w:val="24"/>
          <w:rtl/>
        </w:rPr>
        <w:t>فكروا</w:t>
      </w:r>
      <w:proofErr w:type="spellEnd"/>
      <w:r w:rsidRPr="00A52585">
        <w:rPr>
          <w:rFonts w:hint="cs"/>
          <w:sz w:val="24"/>
          <w:szCs w:val="24"/>
          <w:rtl/>
        </w:rPr>
        <w:t xml:space="preserve"> في آلائه لا في ذاته، فإن هناك تضل العقول، وانظر إلى هذه الصفات التي يثبتها هذا المبتدع لم تجئ قط في الغالب مقصودة وإنما في ضمن كلام يقصد منه أمر آخر وجاءت لتقرير ذلك الأمر، وقد فهمها الصحابة ولذلك لم يسألوا عنها </w:t>
      </w:r>
      <w:proofErr w:type="spellStart"/>
      <w:r w:rsidRPr="00A52585">
        <w:rPr>
          <w:rFonts w:hint="cs"/>
          <w:sz w:val="24"/>
          <w:szCs w:val="24"/>
          <w:rtl/>
        </w:rPr>
        <w:t>النبيصلى</w:t>
      </w:r>
      <w:proofErr w:type="spellEnd"/>
      <w:r w:rsidRPr="00A52585">
        <w:rPr>
          <w:rFonts w:hint="cs"/>
          <w:sz w:val="24"/>
          <w:szCs w:val="24"/>
          <w:rtl/>
        </w:rPr>
        <w:t xml:space="preserve"> الله عليه وسلم لأنها كانت معقولة عندهم بوضع اللسان وقرائن الأحوال وسياق الكلام وسبب النزول ومضت </w:t>
      </w:r>
      <w:proofErr w:type="spellStart"/>
      <w:r w:rsidRPr="00A52585">
        <w:rPr>
          <w:rFonts w:hint="cs"/>
          <w:sz w:val="24"/>
          <w:szCs w:val="24"/>
          <w:rtl/>
        </w:rPr>
        <w:t>الأعصار</w:t>
      </w:r>
      <w:proofErr w:type="spellEnd"/>
      <w:r w:rsidRPr="00A52585">
        <w:rPr>
          <w:rFonts w:hint="cs"/>
          <w:sz w:val="24"/>
          <w:szCs w:val="24"/>
          <w:rtl/>
        </w:rPr>
        <w:t xml:space="preserve"> الثلاثة التي هي خيار القرون على ذلك </w:t>
      </w:r>
      <w:r w:rsidRPr="00A52585">
        <w:rPr>
          <w:rFonts w:hint="cs"/>
          <w:spacing w:val="-6"/>
          <w:sz w:val="24"/>
          <w:szCs w:val="24"/>
          <w:rtl/>
        </w:rPr>
        <w:t>حتى حدثت</w:t>
      </w:r>
      <w:r w:rsidRPr="00A52585">
        <w:rPr>
          <w:rFonts w:hint="cs"/>
          <w:sz w:val="24"/>
          <w:szCs w:val="24"/>
          <w:rtl/>
        </w:rPr>
        <w:t xml:space="preserve"> البدع والأهواء فيجئ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غيره إما بسياق قبله أو بسياق بعده، أو بأن يكون المحدث عنه معنى آخر والمحدث به ويكون ذلك مذكورا على الوصف المقوي لمعنى ما سيق الكلام لأجله "</w:t>
      </w:r>
      <w:r w:rsidR="0002035C" w:rsidRPr="00A52585">
        <w:rPr>
          <w:rFonts w:hint="cs"/>
          <w:sz w:val="24"/>
          <w:szCs w:val="24"/>
          <w:rtl/>
        </w:rPr>
        <w:t xml:space="preserve"> </w:t>
      </w:r>
      <w:r w:rsidRPr="00A52585">
        <w:rPr>
          <w:rFonts w:hint="cs"/>
          <w:sz w:val="24"/>
          <w:szCs w:val="24"/>
          <w:rtl/>
        </w:rPr>
        <w:t xml:space="preserve">أهـ ص 169 </w:t>
      </w:r>
      <w:r w:rsidRPr="00A52585">
        <w:rPr>
          <w:sz w:val="24"/>
          <w:szCs w:val="24"/>
        </w:rPr>
        <w:t>–</w:t>
      </w:r>
      <w:r w:rsidRPr="00A52585">
        <w:rPr>
          <w:rFonts w:hint="cs"/>
          <w:sz w:val="24"/>
          <w:szCs w:val="24"/>
          <w:rtl/>
        </w:rPr>
        <w:t xml:space="preserve"> 170ط زهران وقد توسع شيخنا د إبراهيم عبد الرحمن في بحث هذه النقطة في رسالته (المحكم والمتشابه) فلتراجع ونختم هذا الرد بكلام شيخ شيوخنا الإمام سلامة </w:t>
      </w:r>
      <w:proofErr w:type="spellStart"/>
      <w:r w:rsidRPr="00A52585">
        <w:rPr>
          <w:rFonts w:hint="cs"/>
          <w:sz w:val="24"/>
          <w:szCs w:val="24"/>
          <w:rtl/>
        </w:rPr>
        <w:t>العزامي</w:t>
      </w:r>
      <w:proofErr w:type="spellEnd"/>
      <w:r w:rsidRPr="00A52585">
        <w:rPr>
          <w:rFonts w:hint="cs"/>
          <w:sz w:val="24"/>
          <w:szCs w:val="24"/>
          <w:rtl/>
        </w:rPr>
        <w:t xml:space="preserve"> رضي الله عنه في كتابه (فرقان القرآن) 104-106 يقول</w:t>
      </w:r>
      <w:r w:rsidR="0002035C" w:rsidRPr="00A52585">
        <w:rPr>
          <w:rFonts w:hint="cs"/>
          <w:sz w:val="24"/>
          <w:szCs w:val="24"/>
          <w:rtl/>
        </w:rPr>
        <w:t xml:space="preserve">: </w:t>
      </w:r>
      <w:r w:rsidRPr="00A52585">
        <w:rPr>
          <w:rFonts w:hint="cs"/>
          <w:sz w:val="24"/>
          <w:szCs w:val="24"/>
          <w:rtl/>
        </w:rPr>
        <w:t>" ومجمل القول في هذا الباب أن صفات المحدثات على قسمين</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القسم الأول</w:t>
      </w:r>
      <w:r w:rsidR="0002035C" w:rsidRPr="00A52585">
        <w:rPr>
          <w:rFonts w:hint="cs"/>
          <w:sz w:val="24"/>
          <w:szCs w:val="24"/>
          <w:rtl/>
        </w:rPr>
        <w:t>]:</w:t>
      </w:r>
      <w:r w:rsidRPr="00A52585">
        <w:rPr>
          <w:rFonts w:hint="cs"/>
          <w:sz w:val="24"/>
          <w:szCs w:val="24"/>
          <w:rtl/>
        </w:rPr>
        <w:t xml:space="preserve"> ما يدل على الحدوث والإمكان والافتقار والاحتياج من حيث ذاته وماهيته أو ملزوماته أو لوازمه المساوية كالكون في الجهة والمكان، وكالصغر والكبر </w:t>
      </w:r>
      <w:r w:rsidRPr="00A52585">
        <w:rPr>
          <w:rFonts w:hint="cs"/>
          <w:sz w:val="24"/>
          <w:szCs w:val="24"/>
          <w:rtl/>
        </w:rPr>
        <w:lastRenderedPageBreak/>
        <w:t xml:space="preserve">والجسمية وقبول الانقسام فهذا مختص بالكائنات لا يجوز أن يتصف الخالق منه بشيء ثم منه ما يكون القول به في الله كفراً إجماعا، ككونه والدا أو مولوداً أو ذا صاحبة أو له شريك ونحو ذلك من كل ما النقص فيه ظاهر جلي، ومنه ما اختلف في كفر القائل به ككونه تعالى في جهة الفوق ينزل ويصعد، إلى أشباه هذا مما يحتاج إلى فضل تأمل، على أقوال ليس هذا محل بسطها، أرجحها أن ذلك ضلال وبدعة وفسق شنيع أشد من فسق الجوارح بكثير وقد يعذر العامي في الجهل ببعض ذلك، وأما من ارتفعت درجته عن العامية فلا يعذر وإنما يعزر، فإن كان داعية إلى رأيه كان الذنب أعظم والأمر أخطر- </w:t>
      </w:r>
      <w:proofErr w:type="spellStart"/>
      <w:r w:rsidRPr="00A52585">
        <w:rPr>
          <w:rFonts w:hint="cs"/>
          <w:sz w:val="24"/>
          <w:szCs w:val="24"/>
          <w:rtl/>
        </w:rPr>
        <w:t>عياذا</w:t>
      </w:r>
      <w:proofErr w:type="spellEnd"/>
      <w:r w:rsidRPr="00A52585">
        <w:rPr>
          <w:rFonts w:hint="cs"/>
          <w:sz w:val="24"/>
          <w:szCs w:val="24"/>
          <w:rtl/>
        </w:rPr>
        <w:t xml:space="preserve"> بالله من ذلك-</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والقسم الثاني</w:t>
      </w:r>
      <w:r w:rsidR="0002035C" w:rsidRPr="00A52585">
        <w:rPr>
          <w:rFonts w:hint="cs"/>
          <w:sz w:val="24"/>
          <w:szCs w:val="24"/>
          <w:rtl/>
        </w:rPr>
        <w:t>]:</w:t>
      </w:r>
      <w:r w:rsidRPr="00A52585">
        <w:rPr>
          <w:rFonts w:hint="cs"/>
          <w:sz w:val="24"/>
          <w:szCs w:val="24"/>
          <w:rtl/>
        </w:rPr>
        <w:t xml:space="preserve"> ما لا يدل على ما سبق من حيث ذاته بل من حيث نقصه عن الدرجة العليا في كماله كالوجود والحياة والعالم والإرادة والقدرة وأشباهها من كل صفة هي من حيث ذاتها كمال فهذا القسم هو للحق تعالى بالأصالة على أكمل درجاته وأبعدها عن شوب النقص، وأرفعها عن الإمكان ولوازمه، واجب بوجوب موصوفه تبارك وتعالى قديم بقدمه باق ببقائه، أما ما للخلق منه فهو له بالعرض حادث فهي بإحداث الحق ممكن غير واجب، على درجة نازلة لائقة بحال الممكن، بحيث لا نسبة بين ما اتصف به الممكن منه وما اتصف به الحق جل وعز، وأين وجود ممكن حادث قابل للزوال غير مملوك للمتصف به حين اتصافه به من الوجود الواجب الأزلي الأبدي الذي يجل عن الابتداء والانتهاء، ويرتفع عن قبول الانتفاء</w:t>
      </w:r>
      <w:r w:rsidR="00F95886" w:rsidRPr="00A52585">
        <w:rPr>
          <w:rFonts w:hint="cs"/>
          <w:sz w:val="24"/>
          <w:szCs w:val="24"/>
          <w:rtl/>
        </w:rPr>
        <w:t>؟</w:t>
      </w:r>
      <w:r w:rsidRPr="00A52585">
        <w:rPr>
          <w:rFonts w:hint="cs"/>
          <w:sz w:val="24"/>
          <w:szCs w:val="24"/>
          <w:rtl/>
        </w:rPr>
        <w:t xml:space="preserve"> وأين ما للكائنات من العلم الحادث المخلوق القليل الضئيل من علم الحق الواجب المحيط الأكمل</w:t>
      </w:r>
      <w:r w:rsidR="00F95886" w:rsidRPr="00A52585">
        <w:rPr>
          <w:rFonts w:hint="cs"/>
          <w:sz w:val="24"/>
          <w:szCs w:val="24"/>
          <w:rtl/>
        </w:rPr>
        <w:t>؟</w:t>
      </w:r>
      <w:r w:rsidRPr="00A52585">
        <w:rPr>
          <w:rFonts w:hint="cs"/>
          <w:sz w:val="24"/>
          <w:szCs w:val="24"/>
          <w:rtl/>
        </w:rPr>
        <w:t xml:space="preserve"> وهكذا سائر الصفات التي هي من هذا القسم فانتفت المشابهة بين وجودنا ووجوده، وحياتنا وحياته، وعلمنا وعلمه، إلى سائر هذا النحو من هذه الصفات، وكذلك قال المحققون</w:t>
      </w:r>
      <w:r w:rsidR="0002035C" w:rsidRPr="00A52585">
        <w:rPr>
          <w:rFonts w:hint="cs"/>
          <w:sz w:val="24"/>
          <w:szCs w:val="24"/>
          <w:rtl/>
        </w:rPr>
        <w:t>:</w:t>
      </w:r>
      <w:r w:rsidRPr="00A52585">
        <w:rPr>
          <w:rFonts w:hint="cs"/>
          <w:sz w:val="24"/>
          <w:szCs w:val="24"/>
          <w:rtl/>
        </w:rPr>
        <w:t xml:space="preserve"> إنه لا مشابهة بين هذا النوع من الصفات الممكن وبين الكمالات التي للغنى الحميد الواجب ذاتا وصفاتا، إلا في مجرد الاسم ولا اشتراك إلى في اللفظ فقط وبهذا يبين لك معنى قوله تعالى في صفة ذاته العلية وكمالاته المقدسة</w:t>
      </w:r>
      <w:r w:rsidR="0002035C" w:rsidRPr="00A52585">
        <w:rPr>
          <w:rFonts w:hint="cs"/>
          <w:sz w:val="24"/>
          <w:szCs w:val="24"/>
          <w:rtl/>
        </w:rPr>
        <w:t>:</w:t>
      </w:r>
      <w:r w:rsidRPr="00A52585">
        <w:rPr>
          <w:rFonts w:hint="cs"/>
          <w:sz w:val="24"/>
          <w:szCs w:val="24"/>
          <w:rtl/>
        </w:rPr>
        <w:t xml:space="preserve"> {ليس كمثله شيء وهو السميع البصير</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هو الحي</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هو اللطيف الخبير</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إنه هو السميع العليم</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وهو العليم القدير</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لا يعلم من في السموات والأرض الغيب إلا الله</w:t>
      </w:r>
      <w:r w:rsidR="0002035C" w:rsidRPr="00A52585">
        <w:rPr>
          <w:rFonts w:hint="cs"/>
          <w:sz w:val="24"/>
          <w:szCs w:val="24"/>
          <w:rtl/>
        </w:rPr>
        <w:t>}</w:t>
      </w:r>
      <w:r w:rsidRPr="00A52585">
        <w:rPr>
          <w:rFonts w:hint="cs"/>
          <w:sz w:val="24"/>
          <w:szCs w:val="24"/>
          <w:rtl/>
        </w:rPr>
        <w:t xml:space="preserve"> إلى أمثال هذه الآيات الشريفة من كل ما دل على انحصار هذه الصفات فيه عز وجل، وقصرها عليه ولبعد ما بين حقائق هذه الصفات في الممكن وحقيقتها في الواجب، قال بعض الفضلاء إن إطلاق الوجود والحياة والعلم ونحوها على ما للمكن ما هو إلا بالمجاز " أهـ</w:t>
      </w:r>
      <w:r w:rsidR="0002035C" w:rsidRPr="00A52585">
        <w:rPr>
          <w:rFonts w:hint="cs"/>
          <w:sz w:val="24"/>
          <w:szCs w:val="24"/>
          <w:rtl/>
        </w:rPr>
        <w:t>]</w:t>
      </w:r>
      <w:r w:rsidR="00DB731D" w:rsidRPr="00A52585">
        <w:rPr>
          <w:rFonts w:hint="cs"/>
          <w:sz w:val="24"/>
          <w:rtl/>
        </w:rPr>
        <w:t>،</w:t>
      </w:r>
      <w:r w:rsidRPr="00A52585">
        <w:rPr>
          <w:rFonts w:hint="cs"/>
          <w:rtl/>
        </w:rPr>
        <w:t xml:space="preserve"> هذه عبارته بحروفها وهي صريحة في التشبيه المساوي كما أنه جعل الاستواء على العرش مثل قوله تعالى {لتستووا على ظهوره} </w:t>
      </w:r>
      <w:r w:rsidR="0002035C" w:rsidRPr="00A52585">
        <w:rPr>
          <w:rFonts w:hint="cs"/>
          <w:rtl/>
        </w:rPr>
        <w:t>[</w:t>
      </w:r>
      <w:r w:rsidRPr="00A52585">
        <w:rPr>
          <w:rFonts w:hint="cs"/>
          <w:rtl/>
        </w:rPr>
        <w:t>الزخرف</w:t>
      </w:r>
      <w:r w:rsidR="0002035C" w:rsidRPr="00A52585">
        <w:rPr>
          <w:rFonts w:hint="cs"/>
          <w:rtl/>
        </w:rPr>
        <w:t>:</w:t>
      </w:r>
      <w:r w:rsidRPr="00A52585">
        <w:rPr>
          <w:rFonts w:hint="cs"/>
          <w:rtl/>
        </w:rPr>
        <w:t xml:space="preserve"> 13</w:t>
      </w:r>
      <w:r w:rsidR="0002035C" w:rsidRPr="00A52585">
        <w:rPr>
          <w:rFonts w:hint="cs"/>
          <w:rtl/>
        </w:rPr>
        <w:t>]</w:t>
      </w:r>
      <w:r w:rsidR="00DB731D" w:rsidRPr="00A52585">
        <w:rPr>
          <w:rFonts w:hint="cs"/>
          <w:rtl/>
        </w:rPr>
        <w:t>،</w:t>
      </w:r>
      <w:r w:rsidRPr="00A52585">
        <w:rPr>
          <w:rFonts w:hint="cs"/>
          <w:rtl/>
        </w:rPr>
        <w:t xml:space="preserve"> تعالى الله وتقدس عن ذلك</w:t>
      </w:r>
      <w:r w:rsidR="00DB731D" w:rsidRPr="00A52585">
        <w:rPr>
          <w:rFonts w:hint="cs"/>
          <w:rtl/>
        </w:rPr>
        <w:t>،</w:t>
      </w:r>
      <w:r w:rsidRPr="00A52585">
        <w:rPr>
          <w:rFonts w:hint="cs"/>
          <w:rtl/>
        </w:rPr>
        <w:t xml:space="preserve"> </w:t>
      </w:r>
      <w:r w:rsidRPr="00A52585">
        <w:rPr>
          <w:rFonts w:hint="cs"/>
          <w:bCs/>
          <w:rtl/>
        </w:rPr>
        <w:t>[13-]</w:t>
      </w:r>
      <w:r w:rsidRPr="00A52585">
        <w:rPr>
          <w:rFonts w:hint="cs"/>
          <w:rtl/>
        </w:rPr>
        <w:t xml:space="preserve"> وقال في الكلام على حديث النزول المشهور</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الله ينْزلِ إلى سماء الدنيا إلى مرجة خضراء وفي رجليه نعلان من ذهب</w:t>
      </w:r>
      <w:r w:rsidR="0002035C" w:rsidRPr="00A52585">
        <w:rPr>
          <w:rFonts w:hint="cs"/>
          <w:rtl/>
        </w:rPr>
        <w:t>)</w:t>
      </w:r>
      <w:r w:rsidRPr="00A52585">
        <w:rPr>
          <w:rFonts w:hint="cs"/>
          <w:rtl/>
        </w:rPr>
        <w:t>)</w:t>
      </w:r>
      <w:r w:rsidR="00DB731D" w:rsidRPr="00A52585">
        <w:rPr>
          <w:rFonts w:hint="cs"/>
          <w:rtl/>
        </w:rPr>
        <w:t>،</w:t>
      </w:r>
      <w:r w:rsidRPr="00A52585">
        <w:rPr>
          <w:rFonts w:hint="cs"/>
          <w:rtl/>
        </w:rPr>
        <w:t xml:space="preserve"> </w:t>
      </w:r>
      <w:r w:rsidRPr="00A52585">
        <w:rPr>
          <w:rFonts w:hint="cs"/>
          <w:spacing w:val="-6"/>
          <w:rtl/>
        </w:rPr>
        <w:t>هذه عبارته الزائغة الركيكة وله من هذا النوع وأشباهه مغالاة في التشبيه</w:t>
      </w:r>
      <w:r w:rsidRPr="00A52585">
        <w:rPr>
          <w:rFonts w:hint="cs"/>
          <w:rtl/>
        </w:rPr>
        <w:t xml:space="preserve"> حريصاً على إظهارها واعتقادها وإبطال ما نزه الله تعالى به نفسه في أشرف كتبه وأمر به عموماً وخصوصاً وذكره إخباراً عن الملأ الأعلى والكون العلوي والسفلي</w:t>
      </w:r>
      <w:r w:rsidR="00DB731D" w:rsidRPr="00A52585">
        <w:rPr>
          <w:rFonts w:hint="cs"/>
          <w:rtl/>
        </w:rPr>
        <w:t>،</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بملاحظة ما سبق وما سيأتي من أقواله لا يستغرب صدور هذا منه وإليك نموذج آخر</w:t>
      </w:r>
      <w:r w:rsidR="0002035C" w:rsidRPr="00A52585">
        <w:rPr>
          <w:rFonts w:hint="cs"/>
          <w:sz w:val="24"/>
          <w:szCs w:val="24"/>
          <w:rtl/>
        </w:rPr>
        <w:t>:</w:t>
      </w:r>
      <w:r w:rsidRPr="00A52585">
        <w:rPr>
          <w:rFonts w:hint="cs"/>
          <w:sz w:val="24"/>
          <w:szCs w:val="24"/>
          <w:rtl/>
        </w:rPr>
        <w:t xml:space="preserve"> يقول ابن تيمية في ص 92 من الفتاوي ج5</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ولكن إذا قلنا إن الله لم يزل بصفاته كلها أليس إنما نصف إلها واحداً بجميع صفاته، وضربنا لهم مثلا في ذلك فقلنا لهم أخبرونا عن هذه النخلة أليس لها جذوع وكرب وليف وسعف وخوص وجمار واسمها اسم واحد سميت نخلة بجميع صفاتها</w:t>
      </w:r>
      <w:r w:rsidR="00F95886" w:rsidRPr="00A52585">
        <w:rPr>
          <w:rFonts w:hint="cs"/>
          <w:sz w:val="24"/>
          <w:szCs w:val="24"/>
          <w:rtl/>
        </w:rPr>
        <w:t>؟</w:t>
      </w:r>
      <w:r w:rsidRPr="00A52585">
        <w:rPr>
          <w:rFonts w:hint="cs"/>
          <w:sz w:val="24"/>
          <w:szCs w:val="24"/>
          <w:rtl/>
        </w:rPr>
        <w:t xml:space="preserve"> فكذلك الله جل ثناؤه </w:t>
      </w:r>
      <w:r w:rsidRPr="00A52585">
        <w:rPr>
          <w:sz w:val="24"/>
          <w:szCs w:val="24"/>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ثم قال</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وقد سمى الله رجلا كافراً اسمه وحيدًا، </w:t>
      </w:r>
      <w:r w:rsidRPr="00A52585">
        <w:rPr>
          <w:rFonts w:hint="cs"/>
          <w:sz w:val="24"/>
          <w:szCs w:val="24"/>
          <w:rtl/>
        </w:rPr>
        <w:lastRenderedPageBreak/>
        <w:t>وقد كان الله سماه وحيداً له عينان وأذنان ولسان وشفتان ويدان ورجلان وجوارح كثيرة فقد سماه وحيدا بجميع صفاته فكذلك الله وله المثل الأعلى هو بجميع صفاته إله واحد "</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وهو هنا في هذين المثالين الذين ضربهما لله عز وجل يعترف صراحة</w:t>
      </w:r>
      <w:r w:rsidR="0002035C" w:rsidRPr="00A52585">
        <w:rPr>
          <w:rFonts w:hint="cs"/>
          <w:sz w:val="24"/>
          <w:szCs w:val="24"/>
          <w:rtl/>
        </w:rPr>
        <w:t>:</w:t>
      </w:r>
      <w:r w:rsidRPr="00A52585">
        <w:rPr>
          <w:rFonts w:hint="cs"/>
          <w:sz w:val="24"/>
          <w:szCs w:val="24"/>
          <w:rtl/>
        </w:rPr>
        <w:t xml:space="preserve"> أ- بأن ما يسميه صفات مثل اليد والوجه والعين والساق وما إلى ذلك لا يقصد به إلا الجوارح والأعضاء</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ب- أن الذات الإلهية المقدسة تتركب من هذه الأعضاء مجتمعة تعالى الله عما يقول وأن هذا من وجهة نظره لا ينافي الوحدانية</w:t>
      </w:r>
      <w:r w:rsidR="00F95886" w:rsidRPr="00A52585">
        <w:rPr>
          <w:rFonts w:hint="cs"/>
          <w:sz w:val="24"/>
          <w:szCs w:val="24"/>
          <w:rtl/>
        </w:rPr>
        <w:t>!</w:t>
      </w:r>
      <w:r w:rsidRPr="00A52585">
        <w:rPr>
          <w:rFonts w:hint="cs"/>
          <w:sz w:val="24"/>
          <w:szCs w:val="24"/>
          <w:rtl/>
        </w:rPr>
        <w:t xml:space="preserve"> بل قال ابن تيمية في الأجوبة المصرية</w:t>
      </w:r>
      <w:r w:rsidR="0002035C" w:rsidRPr="00A52585">
        <w:rPr>
          <w:rFonts w:hint="cs"/>
          <w:sz w:val="24"/>
          <w:szCs w:val="24"/>
          <w:rtl/>
        </w:rPr>
        <w:t xml:space="preserve">: </w:t>
      </w:r>
      <w:r w:rsidRPr="00A52585">
        <w:rPr>
          <w:rFonts w:hint="cs"/>
          <w:sz w:val="24"/>
          <w:szCs w:val="24"/>
          <w:rtl/>
        </w:rPr>
        <w:t>" إن الله يقبض السموات والأرض باليدين اللتين هما اليدان "</w:t>
      </w:r>
      <w:r w:rsidR="0002035C" w:rsidRPr="00A52585">
        <w:rPr>
          <w:rFonts w:hint="cs"/>
          <w:sz w:val="24"/>
          <w:szCs w:val="24"/>
          <w:rtl/>
        </w:rPr>
        <w:t xml:space="preserve"> </w:t>
      </w:r>
      <w:r w:rsidRPr="00A52585">
        <w:rPr>
          <w:rFonts w:hint="cs"/>
          <w:sz w:val="24"/>
          <w:szCs w:val="24"/>
          <w:rtl/>
        </w:rPr>
        <w:t>ويعلق الإمام الكوثري قائلاً</w:t>
      </w:r>
      <w:r w:rsidR="0002035C" w:rsidRPr="00A52585">
        <w:rPr>
          <w:rFonts w:hint="cs"/>
          <w:sz w:val="24"/>
          <w:szCs w:val="24"/>
          <w:rtl/>
        </w:rPr>
        <w:t>:</w:t>
      </w:r>
      <w:r w:rsidRPr="00A52585">
        <w:rPr>
          <w:rFonts w:hint="cs"/>
          <w:sz w:val="24"/>
          <w:szCs w:val="24"/>
          <w:rtl/>
        </w:rPr>
        <w:t xml:space="preserve"> (فماذا يجدي بعد هذا التصريح أن يسميها صفات</w:t>
      </w:r>
      <w:r w:rsidR="00F95886" w:rsidRPr="00A52585">
        <w:rPr>
          <w:rFonts w:hint="cs"/>
          <w:sz w:val="24"/>
          <w:szCs w:val="24"/>
          <w:rtl/>
        </w:rPr>
        <w:t>؟</w:t>
      </w:r>
      <w:r w:rsidR="0002035C" w:rsidRPr="00A52585">
        <w:rPr>
          <w:rFonts w:hint="cs"/>
          <w:sz w:val="24"/>
          <w:szCs w:val="24"/>
          <w:rtl/>
        </w:rPr>
        <w:t>)]</w:t>
      </w:r>
      <w:r w:rsidR="00DB731D" w:rsidRPr="00A52585">
        <w:rPr>
          <w:rFonts w:hint="cs"/>
          <w:sz w:val="24"/>
          <w:rtl/>
        </w:rPr>
        <w:t>،</w:t>
      </w:r>
      <w:r w:rsidRPr="00A52585">
        <w:rPr>
          <w:rFonts w:hint="cs"/>
          <w:sz w:val="24"/>
          <w:rtl/>
        </w:rPr>
        <w:t xml:space="preserve"> </w:t>
      </w:r>
      <w:r w:rsidRPr="00A52585">
        <w:rPr>
          <w:rFonts w:hint="cs"/>
          <w:rtl/>
        </w:rPr>
        <w:t>ومن تأمل القرآن وجده مشحوناً بذلك</w:t>
      </w:r>
      <w:r w:rsidR="00DB731D" w:rsidRPr="00A52585">
        <w:rPr>
          <w:rFonts w:hint="cs"/>
          <w:rtl/>
        </w:rPr>
        <w:t>،</w:t>
      </w:r>
      <w:r w:rsidRPr="00A52585">
        <w:rPr>
          <w:rFonts w:hint="cs"/>
          <w:rtl/>
        </w:rPr>
        <w:t xml:space="preserve"> </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قال تعالى</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خلق السماوات والأرض بالحق تعالى عما يشركون} آية 3 النحل يقول الألوسي في تفسيرها</w:t>
      </w:r>
      <w:r w:rsidR="0002035C" w:rsidRPr="00A52585">
        <w:rPr>
          <w:rFonts w:hint="cs"/>
          <w:sz w:val="24"/>
          <w:szCs w:val="24"/>
          <w:rtl/>
        </w:rPr>
        <w:t xml:space="preserve">: </w:t>
      </w:r>
      <w:r w:rsidRPr="00A52585">
        <w:rPr>
          <w:rFonts w:hint="cs"/>
          <w:sz w:val="24"/>
          <w:szCs w:val="24"/>
          <w:rtl/>
        </w:rPr>
        <w:t xml:space="preserve">" واستدل بالآية على أنه تعالى ليس من قبيل الأجرام والأجسام كما يقول المجسمة ووجه ذلك أنها تدل على احتياج الأجرام والأجسام إلى خالق سبحانه وتعالى لا يجانسها وإلا لاحتاج إليها فلا يكون خالقاً، وبإرادة الجهتين يكون وجه الدلالة من الآية أظهر أهـ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يقصد بالجهتين جهتي العلو والسفل</w:t>
      </w:r>
      <w:r w:rsidR="00DB731D" w:rsidRPr="00A52585">
        <w:rPr>
          <w:rFonts w:hint="cs"/>
          <w:sz w:val="24"/>
          <w:szCs w:val="24"/>
          <w:rtl/>
        </w:rPr>
        <w:t>،</w:t>
      </w:r>
      <w:r w:rsidRPr="00A52585">
        <w:rPr>
          <w:rFonts w:hint="cs"/>
          <w:sz w:val="24"/>
          <w:szCs w:val="24"/>
          <w:rtl/>
        </w:rPr>
        <w:t xml:space="preserve"> وقد سبق العديد من الآيات الدالة على نفي الجهة ونفي التجسيم ويوجد غيرها أيضاً</w:t>
      </w:r>
      <w:r w:rsidR="0002035C" w:rsidRPr="00A52585">
        <w:rPr>
          <w:rFonts w:hint="cs"/>
          <w:sz w:val="24"/>
          <w:szCs w:val="24"/>
          <w:rtl/>
        </w:rPr>
        <w:t>:</w:t>
      </w:r>
      <w:r w:rsidRPr="00A52585">
        <w:rPr>
          <w:rFonts w:hint="cs"/>
          <w:sz w:val="24"/>
          <w:szCs w:val="24"/>
          <w:rtl/>
        </w:rPr>
        <w:t xml:space="preserve"> {والله هو الغني الحميد</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كل شيء هالك إلا وجه</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هو الأول والآخر</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وله المثل الأعلى في السماوات والأرض</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فلا تجعلوا لله أنداداً وأنتم تعلمون</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وانظر وجه الدلالة من هذه الآيات في كتب التفسير وكذا كتاب (فرقان القرآن) للإمام العلامة الشيخ سلامة </w:t>
      </w:r>
      <w:proofErr w:type="spellStart"/>
      <w:r w:rsidRPr="00A52585">
        <w:rPr>
          <w:rFonts w:hint="cs"/>
          <w:sz w:val="24"/>
          <w:szCs w:val="24"/>
          <w:rtl/>
        </w:rPr>
        <w:t>العزامي</w:t>
      </w:r>
      <w:proofErr w:type="spellEnd"/>
      <w:r w:rsidRPr="00A52585">
        <w:rPr>
          <w:rFonts w:hint="cs"/>
          <w:sz w:val="24"/>
          <w:szCs w:val="24"/>
          <w:rtl/>
        </w:rPr>
        <w:t xml:space="preserve"> قدس الله روحه بل إن حجة الإسلام الغزالي رضي الله عنه في كتابه (جواهر القرآن) قسم لباب القرآن إلى نمط الجواهر ونمط الدرر وأوضح أن المقصود من سلك الجواهر، اقتباس أنوار المعرفة </w:t>
      </w:r>
      <w:r w:rsidR="0002035C" w:rsidRPr="00A52585">
        <w:rPr>
          <w:rFonts w:hint="cs"/>
          <w:sz w:val="24"/>
          <w:szCs w:val="24"/>
          <w:rtl/>
        </w:rPr>
        <w:t>(</w:t>
      </w:r>
      <w:r w:rsidRPr="00A52585">
        <w:rPr>
          <w:rFonts w:hint="cs"/>
          <w:sz w:val="24"/>
          <w:szCs w:val="24"/>
          <w:rtl/>
        </w:rPr>
        <w:t>جواهر القرآن) سبعمائة وثلاثة وستون آية من آيات القرآن العظيم تفيد المعرفة وعند تأملها تظهر عظمة الله سبحانه وتنزهه عن أي نقص</w:t>
      </w:r>
      <w:r w:rsidR="00DB731D" w:rsidRPr="00A52585">
        <w:rPr>
          <w:rFonts w:hint="cs"/>
          <w:sz w:val="24"/>
          <w:szCs w:val="24"/>
          <w:rtl/>
        </w:rPr>
        <w:t>،</w:t>
      </w:r>
      <w:r w:rsidRPr="00A52585">
        <w:rPr>
          <w:rFonts w:hint="cs"/>
          <w:sz w:val="24"/>
          <w:szCs w:val="24"/>
          <w:rtl/>
        </w:rPr>
        <w:t xml:space="preserve"> بل إن الإمام البيهقي رضي الله عنه في كتابه (الأسماء والصفات) أفرد باب كاملا لذكر الأسماء ورد معظمها في القرآن الكريم وبعضها ورد في السنة المطهرة وهي</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1- الأحد</w:t>
      </w:r>
      <w:r w:rsidR="0002035C" w:rsidRPr="00A52585">
        <w:rPr>
          <w:rFonts w:hint="cs"/>
          <w:sz w:val="24"/>
          <w:szCs w:val="24"/>
          <w:rtl/>
        </w:rPr>
        <w:t xml:space="preserve"> </w:t>
      </w:r>
      <w:r w:rsidRPr="00A52585">
        <w:rPr>
          <w:rFonts w:hint="cs"/>
          <w:sz w:val="24"/>
          <w:szCs w:val="24"/>
          <w:rtl/>
        </w:rPr>
        <w:t>2- الصمد</w:t>
      </w:r>
      <w:r w:rsidR="0002035C" w:rsidRPr="00A52585">
        <w:rPr>
          <w:rFonts w:hint="cs"/>
          <w:sz w:val="24"/>
          <w:szCs w:val="24"/>
          <w:rtl/>
        </w:rPr>
        <w:t xml:space="preserve"> </w:t>
      </w:r>
      <w:r w:rsidRPr="00A52585">
        <w:rPr>
          <w:rFonts w:hint="cs"/>
          <w:sz w:val="24"/>
          <w:szCs w:val="24"/>
          <w:rtl/>
        </w:rPr>
        <w:t>3- العظيم</w:t>
      </w:r>
      <w:r w:rsidR="0002035C" w:rsidRPr="00A52585">
        <w:rPr>
          <w:rFonts w:hint="cs"/>
          <w:sz w:val="24"/>
          <w:szCs w:val="24"/>
          <w:rtl/>
        </w:rPr>
        <w:t xml:space="preserve"> </w:t>
      </w:r>
      <w:r w:rsidRPr="00A52585">
        <w:rPr>
          <w:rFonts w:hint="cs"/>
          <w:sz w:val="24"/>
          <w:szCs w:val="24"/>
          <w:rtl/>
        </w:rPr>
        <w:t>4- العزيز</w:t>
      </w:r>
      <w:r w:rsidR="0002035C" w:rsidRPr="00A52585">
        <w:rPr>
          <w:rFonts w:hint="cs"/>
          <w:sz w:val="24"/>
          <w:szCs w:val="24"/>
          <w:rtl/>
        </w:rPr>
        <w:t xml:space="preserve"> </w:t>
      </w:r>
      <w:r w:rsidRPr="00A52585">
        <w:rPr>
          <w:rFonts w:hint="cs"/>
          <w:sz w:val="24"/>
          <w:szCs w:val="24"/>
          <w:rtl/>
        </w:rPr>
        <w:t xml:space="preserve">5- </w:t>
      </w:r>
      <w:proofErr w:type="spellStart"/>
      <w:r w:rsidRPr="00A52585">
        <w:rPr>
          <w:rFonts w:hint="cs"/>
          <w:sz w:val="24"/>
          <w:szCs w:val="24"/>
          <w:rtl/>
        </w:rPr>
        <w:t>المتعالى</w:t>
      </w:r>
      <w:proofErr w:type="spellEnd"/>
      <w:r w:rsidR="0002035C" w:rsidRPr="00A52585">
        <w:rPr>
          <w:rFonts w:hint="cs"/>
          <w:sz w:val="24"/>
          <w:szCs w:val="24"/>
          <w:rtl/>
        </w:rPr>
        <w:t xml:space="preserve"> </w:t>
      </w:r>
      <w:r w:rsidRPr="00A52585">
        <w:rPr>
          <w:rFonts w:hint="cs"/>
          <w:sz w:val="24"/>
          <w:szCs w:val="24"/>
          <w:rtl/>
        </w:rPr>
        <w:t>6- الباطن</w:t>
      </w:r>
      <w:r w:rsidR="0002035C" w:rsidRPr="00A52585">
        <w:rPr>
          <w:rFonts w:hint="cs"/>
          <w:sz w:val="24"/>
          <w:szCs w:val="24"/>
          <w:rtl/>
        </w:rPr>
        <w:t xml:space="preserve"> </w:t>
      </w:r>
      <w:r w:rsidRPr="00A52585">
        <w:rPr>
          <w:rFonts w:hint="cs"/>
          <w:sz w:val="24"/>
          <w:szCs w:val="24"/>
          <w:rtl/>
        </w:rPr>
        <w:t>7- الكبير</w:t>
      </w:r>
      <w:r w:rsidR="0002035C" w:rsidRPr="00A52585">
        <w:rPr>
          <w:rFonts w:hint="cs"/>
          <w:sz w:val="24"/>
          <w:szCs w:val="24"/>
          <w:rtl/>
        </w:rPr>
        <w:t xml:space="preserve"> </w:t>
      </w:r>
      <w:r w:rsidRPr="00A52585">
        <w:rPr>
          <w:rFonts w:hint="cs"/>
          <w:sz w:val="24"/>
          <w:szCs w:val="24"/>
          <w:rtl/>
        </w:rPr>
        <w:t>8- السلام</w:t>
      </w:r>
      <w:r w:rsidR="0002035C" w:rsidRPr="00A52585">
        <w:rPr>
          <w:rFonts w:hint="cs"/>
          <w:sz w:val="24"/>
          <w:szCs w:val="24"/>
          <w:rtl/>
        </w:rPr>
        <w:t xml:space="preserve"> </w:t>
      </w:r>
      <w:r w:rsidRPr="00A52585">
        <w:rPr>
          <w:rFonts w:hint="cs"/>
          <w:sz w:val="24"/>
          <w:szCs w:val="24"/>
          <w:rtl/>
        </w:rPr>
        <w:t>9 - الغني</w:t>
      </w:r>
      <w:r w:rsidR="0002035C" w:rsidRPr="00A52585">
        <w:rPr>
          <w:rFonts w:hint="cs"/>
          <w:sz w:val="24"/>
          <w:szCs w:val="24"/>
          <w:rtl/>
        </w:rPr>
        <w:t xml:space="preserve"> </w:t>
      </w:r>
      <w:r w:rsidRPr="00A52585">
        <w:rPr>
          <w:rFonts w:hint="cs"/>
          <w:sz w:val="24"/>
          <w:szCs w:val="24"/>
          <w:rtl/>
        </w:rPr>
        <w:t>10- السبوح</w:t>
      </w:r>
      <w:r w:rsidR="0002035C" w:rsidRPr="00A52585">
        <w:rPr>
          <w:rFonts w:hint="cs"/>
          <w:sz w:val="24"/>
          <w:szCs w:val="24"/>
          <w:rtl/>
        </w:rPr>
        <w:t xml:space="preserve"> </w:t>
      </w:r>
      <w:r w:rsidRPr="00A52585">
        <w:rPr>
          <w:rFonts w:hint="cs"/>
          <w:sz w:val="24"/>
          <w:szCs w:val="24"/>
          <w:rtl/>
        </w:rPr>
        <w:t>11- القدُّوس 12- المجيد</w:t>
      </w:r>
      <w:r w:rsidR="0002035C" w:rsidRPr="00A52585">
        <w:rPr>
          <w:rFonts w:hint="cs"/>
          <w:sz w:val="24"/>
          <w:szCs w:val="24"/>
          <w:rtl/>
        </w:rPr>
        <w:t xml:space="preserve"> </w:t>
      </w:r>
      <w:r w:rsidRPr="00A52585">
        <w:rPr>
          <w:rFonts w:hint="cs"/>
          <w:sz w:val="24"/>
          <w:szCs w:val="24"/>
          <w:rtl/>
        </w:rPr>
        <w:t>13- القريب</w:t>
      </w:r>
      <w:r w:rsidR="0002035C" w:rsidRPr="00A52585">
        <w:rPr>
          <w:rFonts w:hint="cs"/>
          <w:sz w:val="24"/>
          <w:szCs w:val="24"/>
          <w:rtl/>
        </w:rPr>
        <w:t xml:space="preserve"> </w:t>
      </w:r>
      <w:r w:rsidRPr="00A52585">
        <w:rPr>
          <w:rFonts w:hint="cs"/>
          <w:sz w:val="24"/>
          <w:szCs w:val="24"/>
          <w:rtl/>
        </w:rPr>
        <w:t>14- المحيط</w:t>
      </w:r>
      <w:r w:rsidR="0002035C" w:rsidRPr="00A52585">
        <w:rPr>
          <w:rFonts w:hint="cs"/>
          <w:sz w:val="24"/>
          <w:szCs w:val="24"/>
          <w:rtl/>
        </w:rPr>
        <w:t xml:space="preserve"> </w:t>
      </w:r>
      <w:r w:rsidRPr="00A52585">
        <w:rPr>
          <w:rFonts w:hint="cs"/>
          <w:sz w:val="24"/>
          <w:szCs w:val="24"/>
          <w:rtl/>
        </w:rPr>
        <w:t>15- الفعال</w:t>
      </w:r>
      <w:r w:rsidR="0002035C" w:rsidRPr="00A52585">
        <w:rPr>
          <w:rFonts w:hint="cs"/>
          <w:sz w:val="24"/>
          <w:szCs w:val="24"/>
          <w:rtl/>
        </w:rPr>
        <w:t xml:space="preserve"> </w:t>
      </w:r>
      <w:r w:rsidRPr="00A52585">
        <w:rPr>
          <w:rFonts w:hint="cs"/>
          <w:sz w:val="24"/>
          <w:szCs w:val="24"/>
          <w:rtl/>
        </w:rPr>
        <w:t>16- القدير</w:t>
      </w:r>
      <w:r w:rsidR="0002035C" w:rsidRPr="00A52585">
        <w:rPr>
          <w:rFonts w:hint="cs"/>
          <w:sz w:val="24"/>
          <w:szCs w:val="24"/>
          <w:rtl/>
        </w:rPr>
        <w:t xml:space="preserve"> </w:t>
      </w:r>
      <w:r w:rsidRPr="00A52585">
        <w:rPr>
          <w:rFonts w:hint="cs"/>
          <w:sz w:val="24"/>
          <w:szCs w:val="24"/>
          <w:rtl/>
        </w:rPr>
        <w:t>17- الغالب</w:t>
      </w:r>
      <w:r w:rsidR="0002035C" w:rsidRPr="00A52585">
        <w:rPr>
          <w:rFonts w:hint="cs"/>
          <w:sz w:val="24"/>
          <w:szCs w:val="24"/>
          <w:rtl/>
        </w:rPr>
        <w:t xml:space="preserve"> </w:t>
      </w:r>
      <w:r w:rsidRPr="00A52585">
        <w:rPr>
          <w:rFonts w:hint="cs"/>
          <w:sz w:val="24"/>
          <w:szCs w:val="24"/>
          <w:rtl/>
        </w:rPr>
        <w:t>18- الطالب</w:t>
      </w:r>
      <w:r w:rsidR="0002035C" w:rsidRPr="00A52585">
        <w:rPr>
          <w:rFonts w:hint="cs"/>
          <w:sz w:val="24"/>
          <w:szCs w:val="24"/>
          <w:rtl/>
        </w:rPr>
        <w:t xml:space="preserve"> </w:t>
      </w:r>
      <w:r w:rsidRPr="00A52585">
        <w:rPr>
          <w:rFonts w:hint="cs"/>
          <w:sz w:val="24"/>
          <w:szCs w:val="24"/>
          <w:rtl/>
        </w:rPr>
        <w:t>19- الواسع</w:t>
      </w:r>
      <w:r w:rsidR="0002035C" w:rsidRPr="00A52585">
        <w:rPr>
          <w:rFonts w:hint="cs"/>
          <w:sz w:val="24"/>
          <w:szCs w:val="24"/>
          <w:rtl/>
        </w:rPr>
        <w:t xml:space="preserve"> </w:t>
      </w:r>
      <w:r w:rsidRPr="00A52585">
        <w:rPr>
          <w:rFonts w:hint="cs"/>
          <w:sz w:val="24"/>
          <w:szCs w:val="24"/>
          <w:rtl/>
        </w:rPr>
        <w:t>20- الجميل</w:t>
      </w:r>
      <w:r w:rsidR="0002035C" w:rsidRPr="00A52585">
        <w:rPr>
          <w:rFonts w:hint="cs"/>
          <w:sz w:val="24"/>
          <w:szCs w:val="24"/>
          <w:rtl/>
        </w:rPr>
        <w:t xml:space="preserve"> </w:t>
      </w:r>
      <w:r w:rsidRPr="00A52585">
        <w:rPr>
          <w:rFonts w:hint="cs"/>
          <w:sz w:val="24"/>
          <w:szCs w:val="24"/>
          <w:rtl/>
        </w:rPr>
        <w:t>21- الواجد</w:t>
      </w:r>
      <w:r w:rsidR="0002035C" w:rsidRPr="00A52585">
        <w:rPr>
          <w:rFonts w:hint="cs"/>
          <w:sz w:val="24"/>
          <w:szCs w:val="24"/>
          <w:rtl/>
        </w:rPr>
        <w:t xml:space="preserve"> </w:t>
      </w:r>
      <w:r w:rsidRPr="00A52585">
        <w:rPr>
          <w:rFonts w:hint="cs"/>
          <w:sz w:val="24"/>
          <w:szCs w:val="24"/>
          <w:rtl/>
        </w:rPr>
        <w:t>22- المحصي</w:t>
      </w:r>
      <w:r w:rsidR="0002035C" w:rsidRPr="00A52585">
        <w:rPr>
          <w:rFonts w:hint="cs"/>
          <w:sz w:val="24"/>
          <w:szCs w:val="24"/>
          <w:rtl/>
        </w:rPr>
        <w:t xml:space="preserve"> </w:t>
      </w:r>
      <w:r w:rsidRPr="00A52585">
        <w:rPr>
          <w:rFonts w:hint="cs"/>
          <w:sz w:val="24"/>
          <w:szCs w:val="24"/>
          <w:rtl/>
        </w:rPr>
        <w:t>23- القوي 24- المتين</w:t>
      </w:r>
      <w:r w:rsidR="0002035C" w:rsidRPr="00A52585">
        <w:rPr>
          <w:rFonts w:hint="cs"/>
          <w:sz w:val="24"/>
          <w:szCs w:val="24"/>
          <w:rtl/>
        </w:rPr>
        <w:t xml:space="preserve"> </w:t>
      </w:r>
      <w:r w:rsidRPr="00A52585">
        <w:rPr>
          <w:rFonts w:hint="cs"/>
          <w:sz w:val="24"/>
          <w:szCs w:val="24"/>
          <w:rtl/>
        </w:rPr>
        <w:t>25- ذو الطول</w:t>
      </w:r>
      <w:r w:rsidR="0002035C" w:rsidRPr="00A52585">
        <w:rPr>
          <w:rFonts w:hint="cs"/>
          <w:sz w:val="24"/>
          <w:szCs w:val="24"/>
          <w:rtl/>
        </w:rPr>
        <w:t xml:space="preserve"> </w:t>
      </w:r>
      <w:r w:rsidRPr="00A52585">
        <w:rPr>
          <w:rFonts w:hint="cs"/>
          <w:sz w:val="24"/>
          <w:szCs w:val="24"/>
          <w:rtl/>
        </w:rPr>
        <w:t>26- السميع</w:t>
      </w:r>
      <w:r w:rsidR="0002035C" w:rsidRPr="00A52585">
        <w:rPr>
          <w:rFonts w:hint="cs"/>
          <w:sz w:val="24"/>
          <w:szCs w:val="24"/>
          <w:rtl/>
        </w:rPr>
        <w:t xml:space="preserve"> </w:t>
      </w:r>
      <w:r w:rsidRPr="00A52585">
        <w:rPr>
          <w:rFonts w:hint="cs"/>
          <w:sz w:val="24"/>
          <w:szCs w:val="24"/>
          <w:rtl/>
        </w:rPr>
        <w:t>27- البصير</w:t>
      </w:r>
      <w:r w:rsidR="0002035C" w:rsidRPr="00A52585">
        <w:rPr>
          <w:rFonts w:hint="cs"/>
          <w:sz w:val="24"/>
          <w:szCs w:val="24"/>
          <w:rtl/>
        </w:rPr>
        <w:t xml:space="preserve"> </w:t>
      </w:r>
      <w:r w:rsidRPr="00A52585">
        <w:rPr>
          <w:rFonts w:hint="cs"/>
          <w:sz w:val="24"/>
          <w:szCs w:val="24"/>
          <w:rtl/>
        </w:rPr>
        <w:t>28- العليم</w:t>
      </w:r>
      <w:r w:rsidR="0002035C" w:rsidRPr="00A52585">
        <w:rPr>
          <w:rFonts w:hint="cs"/>
          <w:sz w:val="24"/>
          <w:szCs w:val="24"/>
          <w:rtl/>
        </w:rPr>
        <w:t xml:space="preserve"> </w:t>
      </w:r>
      <w:r w:rsidRPr="00A52585">
        <w:rPr>
          <w:rFonts w:hint="cs"/>
          <w:sz w:val="24"/>
          <w:szCs w:val="24"/>
          <w:rtl/>
        </w:rPr>
        <w:t>29- العلام 30- الخبير</w:t>
      </w:r>
      <w:r w:rsidR="0002035C" w:rsidRPr="00A52585">
        <w:rPr>
          <w:rFonts w:hint="cs"/>
          <w:sz w:val="24"/>
          <w:szCs w:val="24"/>
          <w:rtl/>
        </w:rPr>
        <w:t xml:space="preserve"> </w:t>
      </w:r>
      <w:r w:rsidRPr="00A52585">
        <w:rPr>
          <w:rFonts w:hint="cs"/>
          <w:sz w:val="24"/>
          <w:szCs w:val="24"/>
          <w:rtl/>
        </w:rPr>
        <w:t>31- الشهيد</w:t>
      </w:r>
      <w:r w:rsidR="0002035C" w:rsidRPr="00A52585">
        <w:rPr>
          <w:rFonts w:hint="cs"/>
          <w:sz w:val="24"/>
          <w:szCs w:val="24"/>
          <w:rtl/>
        </w:rPr>
        <w:t xml:space="preserve"> </w:t>
      </w:r>
      <w:r w:rsidRPr="00A52585">
        <w:rPr>
          <w:rFonts w:hint="cs"/>
          <w:sz w:val="24"/>
          <w:szCs w:val="24"/>
          <w:rtl/>
        </w:rPr>
        <w:t>32- الحسيب</w:t>
      </w:r>
      <w:r w:rsidR="0002035C" w:rsidRPr="00A52585">
        <w:rPr>
          <w:rFonts w:hint="cs"/>
          <w:sz w:val="24"/>
          <w:szCs w:val="24"/>
          <w:rtl/>
        </w:rPr>
        <w:t>]</w:t>
      </w:r>
      <w:r w:rsidR="00DB731D" w:rsidRPr="00A52585">
        <w:rPr>
          <w:rFonts w:hint="cs"/>
          <w:sz w:val="24"/>
          <w:szCs w:val="24"/>
          <w:rtl/>
        </w:rPr>
        <w:t>،</w:t>
      </w:r>
      <w:r w:rsidRPr="00A52585">
        <w:rPr>
          <w:rFonts w:hint="cs"/>
          <w:sz w:val="24"/>
          <w:szCs w:val="24"/>
          <w:rtl/>
        </w:rPr>
        <w:t xml:space="preserve"> وذكر</w:t>
      </w:r>
      <w:r w:rsidR="0002035C" w:rsidRPr="00A52585">
        <w:rPr>
          <w:rFonts w:hint="cs"/>
          <w:sz w:val="24"/>
          <w:szCs w:val="24"/>
          <w:rtl/>
        </w:rPr>
        <w:t xml:space="preserve"> </w:t>
      </w:r>
      <w:r w:rsidRPr="00A52585">
        <w:rPr>
          <w:rFonts w:hint="cs"/>
          <w:sz w:val="24"/>
          <w:szCs w:val="24"/>
          <w:rtl/>
        </w:rPr>
        <w:t xml:space="preserve">رضي الله عنه وجه الاستدلال من كل اسم </w:t>
      </w:r>
      <w:proofErr w:type="spellStart"/>
      <w:r w:rsidRPr="00A52585">
        <w:rPr>
          <w:rFonts w:hint="cs"/>
          <w:sz w:val="24"/>
          <w:szCs w:val="24"/>
          <w:rtl/>
        </w:rPr>
        <w:t>فانظره</w:t>
      </w:r>
      <w:proofErr w:type="spellEnd"/>
      <w:r w:rsidR="0002035C" w:rsidRPr="00A52585">
        <w:rPr>
          <w:rFonts w:hint="cs"/>
          <w:sz w:val="24"/>
          <w:szCs w:val="24"/>
          <w:rtl/>
        </w:rPr>
        <w:t>]</w:t>
      </w:r>
      <w:r w:rsidR="00DB731D" w:rsidRPr="00A52585">
        <w:rPr>
          <w:rFonts w:hint="cs"/>
          <w:sz w:val="24"/>
          <w:szCs w:val="24"/>
          <w:rtl/>
        </w:rPr>
        <w:t>،</w:t>
      </w:r>
      <w:r w:rsidRPr="00A52585">
        <w:rPr>
          <w:rFonts w:hint="cs"/>
          <w:rtl/>
        </w:rPr>
        <w:t xml:space="preserve"> وهو الخبيث لا يعرج على ما فيه التنْزِيه وإنما يتتبع المتشابه ويمعن الكلام فيه وذلك من أقوى الأدلة على أنه من أعظم الزائغين ومن له أدني بصيرة لا يتوقف فيما قلته</w:t>
      </w:r>
      <w:r w:rsidR="00DB731D" w:rsidRPr="00A52585">
        <w:rPr>
          <w:rFonts w:hint="cs"/>
          <w:rtl/>
        </w:rPr>
        <w:t>،</w:t>
      </w:r>
      <w:r w:rsidRPr="00A52585">
        <w:rPr>
          <w:rFonts w:hint="cs"/>
          <w:rtl/>
        </w:rPr>
        <w:t xml:space="preserve"> إذ القرائن لها اعتبار في الكتاب والسنة وتفيد القطع وتفيد ترتب الأحكام الشرعية لا سيما في محل الشبه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سبق نقل تكفير ابن تيمية عن بعض العلماء المعاصرين لابن تيمية ومنهم قاضي القضاة تقي الدين السبكي الذي كتب ردوداً عديدة على ابن تيمية وغيره من عصره وممن أتى بعده، ولم ينقذ رقبة ابن تيمية من إقامة حد الردة عليه سوى أمرين</w:t>
      </w:r>
      <w:r w:rsidR="0002035C"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الأول</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إخفاء الكثير من عقائده وكتاباته وعدم بثَّها إلا للمفتونين به المقرّين بإمامته</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pacing w:val="-6"/>
          <w:sz w:val="24"/>
          <w:szCs w:val="24"/>
          <w:rtl/>
        </w:rPr>
        <w:t>الثاني</w:t>
      </w:r>
      <w:r w:rsidR="0002035C" w:rsidRPr="00A52585">
        <w:rPr>
          <w:rFonts w:hint="cs"/>
          <w:bCs/>
          <w:spacing w:val="-6"/>
          <w:sz w:val="24"/>
          <w:szCs w:val="24"/>
          <w:rtl/>
        </w:rPr>
        <w:t>)</w:t>
      </w:r>
      <w:r w:rsidR="0002035C" w:rsidRPr="00A52585">
        <w:rPr>
          <w:rFonts w:hint="cs"/>
          <w:spacing w:val="-6"/>
          <w:sz w:val="24"/>
          <w:szCs w:val="24"/>
          <w:rtl/>
        </w:rPr>
        <w:t>:</w:t>
      </w:r>
      <w:r w:rsidRPr="00A52585">
        <w:rPr>
          <w:rFonts w:hint="cs"/>
          <w:spacing w:val="-6"/>
          <w:sz w:val="24"/>
          <w:szCs w:val="24"/>
          <w:rtl/>
        </w:rPr>
        <w:t xml:space="preserve"> إعلانه توبته في المحاكمات التي جرت له وإثبات رجوعه عن آرائه إلى رأي جمهور المسلمين</w:t>
      </w:r>
      <w:r w:rsidR="00DB731D" w:rsidRPr="00A52585">
        <w:rPr>
          <w:rFonts w:hint="cs"/>
          <w:spacing w:val="-6"/>
          <w:sz w:val="24"/>
          <w:szCs w:val="24"/>
          <w:rtl/>
        </w:rPr>
        <w:t>،</w:t>
      </w:r>
      <w:r w:rsidRPr="00A52585">
        <w:rPr>
          <w:rFonts w:hint="cs"/>
          <w:spacing w:val="-6"/>
          <w:sz w:val="24"/>
          <w:szCs w:val="24"/>
          <w:rtl/>
        </w:rPr>
        <w:t xml:space="preserve"> </w:t>
      </w:r>
      <w:r w:rsidRPr="00A52585">
        <w:rPr>
          <w:rFonts w:hint="cs"/>
          <w:sz w:val="24"/>
          <w:szCs w:val="24"/>
          <w:rtl/>
        </w:rPr>
        <w:t xml:space="preserve">وقد قسّم الإمام ابن حجر العسقلاني </w:t>
      </w:r>
      <w:r w:rsidRPr="00A52585">
        <w:rPr>
          <w:sz w:val="24"/>
          <w:szCs w:val="24"/>
        </w:rPr>
        <w:t>–</w:t>
      </w:r>
      <w:r w:rsidRPr="00A52585">
        <w:rPr>
          <w:rFonts w:hint="cs"/>
          <w:sz w:val="24"/>
          <w:szCs w:val="24"/>
          <w:rtl/>
        </w:rPr>
        <w:t xml:space="preserve"> كما سبق- مواقف علماء عصر ابن تيمية منه إلى أربعة أقسام</w:t>
      </w:r>
      <w:r w:rsidR="0002035C"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الأول</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يرون أن ابن تيمية مجسم وهذا كفر عند جمهور </w:t>
      </w:r>
      <w:r w:rsidRPr="00A52585">
        <w:rPr>
          <w:rFonts w:hint="cs"/>
          <w:sz w:val="24"/>
          <w:szCs w:val="24"/>
          <w:rtl/>
        </w:rPr>
        <w:lastRenderedPageBreak/>
        <w:t>المسلمين</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الثاني</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يرون أن ابن تيمية زنديق أي أنه لا يقرّ بالإسلام جملة وتفصيلا</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الثالث</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يرون أنه منافق وبعض المنافقين بغير شك يصل نفاقهم إلى الكفر</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الرابع</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يرون أنه طالب زعامة ورئاسة يأمل في الإمامة العظمى ولم يذكر ابن حجر رأى أشياعه وأتباعه فيه لقلتهم بجانب جمهور المسلمين ولسقوط رأيهم عن محل الاعتبار نظرًا لأن الحكم عليه يشمل من </w:t>
      </w:r>
      <w:proofErr w:type="spellStart"/>
      <w:r w:rsidRPr="00A52585">
        <w:rPr>
          <w:rFonts w:hint="cs"/>
          <w:sz w:val="24"/>
          <w:szCs w:val="24"/>
          <w:rtl/>
        </w:rPr>
        <w:t>يوافقه</w:t>
      </w:r>
      <w:proofErr w:type="spellEnd"/>
      <w:r w:rsidRPr="00A52585">
        <w:rPr>
          <w:rFonts w:hint="cs"/>
          <w:sz w:val="24"/>
          <w:szCs w:val="24"/>
          <w:rtl/>
        </w:rPr>
        <w:t xml:space="preserve"> في فكره أيضاً كابن القيم مثلاً</w:t>
      </w:r>
      <w:r w:rsidR="00DB731D" w:rsidRPr="00A52585">
        <w:rPr>
          <w:rFonts w:hint="cs"/>
          <w:sz w:val="24"/>
          <w:szCs w:val="24"/>
          <w:rtl/>
        </w:rPr>
        <w:t>،</w:t>
      </w:r>
      <w:r w:rsidRPr="00A52585">
        <w:rPr>
          <w:rFonts w:hint="cs"/>
          <w:sz w:val="24"/>
          <w:szCs w:val="24"/>
          <w:rtl/>
        </w:rPr>
        <w:t xml:space="preserve"> </w:t>
      </w:r>
      <w:r w:rsidRPr="00A52585">
        <w:rPr>
          <w:rFonts w:hint="cs"/>
          <w:bCs/>
          <w:sz w:val="24"/>
          <w:szCs w:val="24"/>
          <w:rtl/>
        </w:rPr>
        <w:t xml:space="preserve">ونحن لا نتمنى ولا نرضى لابن تيمية ولا لغيره أن يكون كافراً وإنما نبين وجهة نظر العلماء وأئمة الدين وقد بنوا رأيهم على عقائده التي </w:t>
      </w:r>
      <w:proofErr w:type="spellStart"/>
      <w:r w:rsidRPr="00A52585">
        <w:rPr>
          <w:rFonts w:hint="cs"/>
          <w:bCs/>
          <w:sz w:val="24"/>
          <w:szCs w:val="24"/>
          <w:rtl/>
        </w:rPr>
        <w:t>دعى</w:t>
      </w:r>
      <w:proofErr w:type="spellEnd"/>
      <w:r w:rsidRPr="00A52585">
        <w:rPr>
          <w:rFonts w:hint="cs"/>
          <w:bCs/>
          <w:sz w:val="24"/>
          <w:szCs w:val="24"/>
          <w:rtl/>
        </w:rPr>
        <w:t xml:space="preserve"> إليها وكان لهم قرائن وشواهد عديدة بالإضافة إلى ما أعلنه بنفسه فمنها</w:t>
      </w:r>
      <w:r w:rsidR="0002035C"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القرينة الأولى</w:t>
      </w:r>
      <w:r w:rsidR="0002035C" w:rsidRPr="00A52585">
        <w:rPr>
          <w:rFonts w:hint="cs"/>
          <w:bCs/>
          <w:sz w:val="24"/>
          <w:szCs w:val="24"/>
          <w:rtl/>
        </w:rPr>
        <w:t>]:</w:t>
      </w:r>
      <w:r w:rsidRPr="00A52585">
        <w:rPr>
          <w:rFonts w:hint="cs"/>
          <w:sz w:val="24"/>
          <w:szCs w:val="24"/>
          <w:rtl/>
        </w:rPr>
        <w:t xml:space="preserve"> اعتقاد أمور عديدة في موضوعات مختلفة وكلها كفر عند جمهور المسلمين بل بإجماعهم مثل</w:t>
      </w:r>
      <w:r w:rsidR="0002035C" w:rsidRPr="00A52585">
        <w:rPr>
          <w:rFonts w:hint="cs"/>
          <w:sz w:val="24"/>
          <w:szCs w:val="24"/>
          <w:rtl/>
        </w:rPr>
        <w:t xml:space="preserve">: </w:t>
      </w:r>
      <w:r w:rsidRPr="00A52585">
        <w:rPr>
          <w:rFonts w:hint="cs"/>
          <w:sz w:val="24"/>
          <w:szCs w:val="24"/>
          <w:rtl/>
        </w:rPr>
        <w:t>1- التشبيه والتجسيم</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2- قيام الحوادث بذات الله</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3- قدم العالم</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4- فناء النار وخروج كل من فيها إلى الجنة</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5- إنكاره التوسل بالنبي صلى الله عليه وسلم بعد وفاته وتفرقته بين حياة الرسول ووفاته ومنعه من الاستغاثة به أو التشفع به إلى الله مع عده مرتكب ذلك مشركا وفي ذلك</w:t>
      </w:r>
      <w:r w:rsidR="0002035C" w:rsidRPr="00A52585">
        <w:rPr>
          <w:rFonts w:hint="cs"/>
          <w:sz w:val="24"/>
          <w:szCs w:val="24"/>
          <w:rtl/>
        </w:rPr>
        <w:t xml:space="preserve">: </w:t>
      </w:r>
      <w:r w:rsidRPr="00A52585">
        <w:rPr>
          <w:rFonts w:hint="cs"/>
          <w:sz w:val="24"/>
          <w:szCs w:val="24"/>
          <w:rtl/>
        </w:rPr>
        <w:t>أ) حط من قدره العظيم صلى الله عليه وسلم عند ربه وهذا كفر</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ب) إتهام لجمهور المسلمين بالشرك وهذا أيضاً كفر لأن من كفر مسلما فقد كفر</w:t>
      </w:r>
      <w:r w:rsidR="00DB731D" w:rsidRPr="00A52585">
        <w:rPr>
          <w:rFonts w:hint="cs"/>
          <w:sz w:val="24"/>
          <w:szCs w:val="24"/>
          <w:rtl/>
        </w:rPr>
        <w:t>،</w:t>
      </w:r>
      <w:r w:rsidRPr="00A52585">
        <w:rPr>
          <w:rFonts w:hint="cs"/>
          <w:sz w:val="24"/>
          <w:szCs w:val="24"/>
          <w:rtl/>
        </w:rPr>
        <w:t xml:space="preserve"> 7- إصراره على تحليله الحرام وتحريمه الحلال في عدد من الأمور كالطلاق والتوسل وغيرها بعد مواجهته بالدليل القطعي على خطأه بما ينفي احتمال اللبس أو سوء الفهم بل واعترافه بالخطأ أمام خصومه في المناظرات ثم عودته إلى بث أباطيله تلك بين تلاميذه وعوام الناس بعيداً عن أعين العلماء وهنا ملاحظة هامة وهي</w:t>
      </w:r>
      <w:r w:rsidR="0002035C" w:rsidRPr="00A52585">
        <w:rPr>
          <w:rFonts w:hint="cs"/>
          <w:sz w:val="24"/>
          <w:szCs w:val="24"/>
          <w:rtl/>
        </w:rPr>
        <w:t>:</w:t>
      </w:r>
      <w:r w:rsidRPr="00A52585">
        <w:rPr>
          <w:rFonts w:hint="cs"/>
          <w:sz w:val="24"/>
          <w:szCs w:val="24"/>
          <w:rtl/>
        </w:rPr>
        <w:t xml:space="preserve"> أن الشاذ من العلماء إذا التبس عليه رأى جماعة المسلمين فخالفهم في مسألة أساسية مثلا من مسائل العقيدة وهو لا يقصد تكذيب الله أو رسوله صلى الله عليه وسلم قد يحكي الكفر وهو ليس بكافر بشرط أن تكون المسألة عويصة الفهم تحتاج إلى دقة النظر فتزل قدمه بمخالفة جمهور الأمة فيها، أما أن يخالفهم في كل هذه المسائل</w:t>
      </w:r>
      <w:r w:rsidR="00F95886" w:rsidRPr="00A52585">
        <w:rPr>
          <w:rFonts w:hint="cs"/>
          <w:sz w:val="24"/>
          <w:szCs w:val="24"/>
          <w:rtl/>
        </w:rPr>
        <w:t>؟</w:t>
      </w:r>
      <w:r w:rsidRPr="00A52585">
        <w:rPr>
          <w:rFonts w:hint="cs"/>
          <w:sz w:val="24"/>
          <w:szCs w:val="24"/>
          <w:rtl/>
        </w:rPr>
        <w:t xml:space="preserve"> فماذا </w:t>
      </w:r>
      <w:proofErr w:type="gramStart"/>
      <w:r w:rsidRPr="00A52585">
        <w:rPr>
          <w:rFonts w:hint="cs"/>
          <w:sz w:val="24"/>
          <w:szCs w:val="24"/>
          <w:rtl/>
        </w:rPr>
        <w:t>بقى</w:t>
      </w:r>
      <w:proofErr w:type="gramEnd"/>
      <w:r w:rsidRPr="00A52585">
        <w:rPr>
          <w:rFonts w:hint="cs"/>
          <w:sz w:val="24"/>
          <w:szCs w:val="24"/>
          <w:rtl/>
        </w:rPr>
        <w:t xml:space="preserve"> كي </w:t>
      </w:r>
      <w:proofErr w:type="spellStart"/>
      <w:r w:rsidRPr="00A52585">
        <w:rPr>
          <w:rFonts w:hint="cs"/>
          <w:sz w:val="24"/>
          <w:szCs w:val="24"/>
          <w:rtl/>
        </w:rPr>
        <w:t>يوافقهم</w:t>
      </w:r>
      <w:proofErr w:type="spellEnd"/>
      <w:r w:rsidRPr="00A52585">
        <w:rPr>
          <w:rFonts w:hint="cs"/>
          <w:sz w:val="24"/>
          <w:szCs w:val="24"/>
          <w:rtl/>
        </w:rPr>
        <w:t xml:space="preserve"> فيه! وهل يمكن أن تكون كل هذه المخالفات نتيجة اجتهاد ونظر</w:t>
      </w:r>
      <w:r w:rsidR="00F95886"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القرينة الثانية</w:t>
      </w:r>
      <w:r w:rsidR="0002035C" w:rsidRPr="00A52585">
        <w:rPr>
          <w:rFonts w:hint="cs"/>
          <w:sz w:val="24"/>
          <w:szCs w:val="24"/>
          <w:rtl/>
        </w:rPr>
        <w:t>):</w:t>
      </w:r>
      <w:r w:rsidRPr="00A52585">
        <w:rPr>
          <w:rFonts w:hint="cs"/>
          <w:sz w:val="24"/>
          <w:szCs w:val="24"/>
          <w:rtl/>
        </w:rPr>
        <w:t xml:space="preserve"> بغضه الشديد لرسول الله صلى الله عليه وسلم والمتمثل في</w:t>
      </w:r>
      <w:r w:rsidR="0002035C" w:rsidRPr="00A52585">
        <w:rPr>
          <w:rFonts w:hint="cs"/>
          <w:sz w:val="24"/>
          <w:szCs w:val="24"/>
          <w:rtl/>
        </w:rPr>
        <w:t xml:space="preserve">: </w:t>
      </w:r>
      <w:r w:rsidRPr="00A52585">
        <w:rPr>
          <w:rFonts w:hint="cs"/>
          <w:sz w:val="24"/>
          <w:szCs w:val="24"/>
          <w:rtl/>
        </w:rPr>
        <w:t>أ- إنكاره الزيارة بغير دليل معتبر مع جحد الأدلة والنصوص الكثيرة الداعية إليها</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ب- بغضه لآل بيت النبي صلى الله عليه وسلم والمتمثل في كلامه على السيدة فاطمة وزوجها أمير المؤمنين علي رضي الله عنهم وقد سبق نماذج من كلامه، قال عليه السلام</w:t>
      </w:r>
      <w:r w:rsidR="0002035C" w:rsidRPr="00A52585">
        <w:rPr>
          <w:rFonts w:hint="cs"/>
          <w:sz w:val="24"/>
          <w:szCs w:val="24"/>
          <w:rtl/>
        </w:rPr>
        <w:t xml:space="preserve"> </w:t>
      </w:r>
      <w:r w:rsidRPr="00A52585">
        <w:rPr>
          <w:rFonts w:hint="cs"/>
          <w:sz w:val="24"/>
          <w:szCs w:val="24"/>
          <w:rtl/>
        </w:rPr>
        <w:t xml:space="preserve">" </w:t>
      </w:r>
      <w:r w:rsidRPr="00A52585">
        <w:rPr>
          <w:sz w:val="24"/>
          <w:szCs w:val="24"/>
        </w:rPr>
        <w:t>…</w:t>
      </w:r>
      <w:r w:rsidRPr="00A52585">
        <w:rPr>
          <w:rFonts w:hint="cs"/>
          <w:sz w:val="24"/>
          <w:szCs w:val="24"/>
          <w:rtl/>
        </w:rPr>
        <w:t xml:space="preserve"> وأحبوا آل بيتي بحبي "</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القرينة الثالثة</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تلاعبه بالشريعة مثل</w:t>
      </w:r>
      <w:r w:rsidR="0002035C" w:rsidRPr="00A52585">
        <w:rPr>
          <w:rFonts w:hint="cs"/>
          <w:sz w:val="24"/>
          <w:szCs w:val="24"/>
          <w:rtl/>
        </w:rPr>
        <w:t xml:space="preserve">: </w:t>
      </w:r>
      <w:r w:rsidRPr="00A52585">
        <w:rPr>
          <w:rFonts w:hint="cs"/>
          <w:sz w:val="24"/>
          <w:szCs w:val="24"/>
          <w:rtl/>
        </w:rPr>
        <w:t xml:space="preserve">1- تزويره في </w:t>
      </w:r>
      <w:proofErr w:type="spellStart"/>
      <w:r w:rsidRPr="00A52585">
        <w:rPr>
          <w:rFonts w:hint="cs"/>
          <w:sz w:val="24"/>
          <w:szCs w:val="24"/>
          <w:rtl/>
        </w:rPr>
        <w:t>النقول</w:t>
      </w:r>
      <w:proofErr w:type="spellEnd"/>
      <w:r w:rsidRPr="00A52585">
        <w:rPr>
          <w:rFonts w:hint="cs"/>
          <w:sz w:val="24"/>
          <w:szCs w:val="24"/>
          <w:rtl/>
        </w:rPr>
        <w:t xml:space="preserve"> وكذبه في الغزو</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 xml:space="preserve">2- زعمه الاقتناع بآراء جمهور المسلمين في مجالس محاكمته وتراجعه عن آرائه السابقة حتى ينفض المجلس ثم يفهم أتباعه بعد ذلك أنه هزم </w:t>
      </w:r>
      <w:proofErr w:type="spellStart"/>
      <w:r w:rsidRPr="00A52585">
        <w:rPr>
          <w:rFonts w:hint="cs"/>
          <w:sz w:val="24"/>
          <w:szCs w:val="24"/>
          <w:rtl/>
        </w:rPr>
        <w:t>مخالفية</w:t>
      </w:r>
      <w:proofErr w:type="spellEnd"/>
      <w:r w:rsidRPr="00A52585">
        <w:rPr>
          <w:rFonts w:hint="cs"/>
          <w:sz w:val="24"/>
          <w:szCs w:val="24"/>
          <w:rtl/>
        </w:rPr>
        <w:t xml:space="preserve"> وأن عقيدته سليمة</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3- تلفيقه الأحكام الشرعية في أحكام الطلاق بدليل هو شبهة في بعضها وفي البعض الآخر بغير دليل أصلا ورغم إقامة العلماء للأدلة على بطلان كلامه وهزيمته في المناظرات مما كان يدفعهم إلى أخذ إقرارات وتعهدات مكتوبة بخطه- وهذا دليل آخر على أنه يكذب في حواراته ونقوله الشفهية- بعدم الإفتاء بأحكام الطلاق</w:t>
      </w:r>
      <w:r w:rsidR="00DB731D" w:rsidRPr="00A52585">
        <w:rPr>
          <w:rFonts w:hint="cs"/>
          <w:sz w:val="24"/>
          <w:szCs w:val="24"/>
          <w:rtl/>
        </w:rPr>
        <w:t>،</w:t>
      </w:r>
      <w:r w:rsidRPr="00A52585">
        <w:rPr>
          <w:rFonts w:hint="cs"/>
          <w:sz w:val="24"/>
          <w:szCs w:val="24"/>
          <w:rtl/>
        </w:rPr>
        <w:t xml:space="preserve"> وكان اعتراضه الوحيد كما سبق ذكره أنه يريد أن يفتي في غير الطلاق وهذا اعتراف منه بخطورة فتاواه وأنها ستهدم المجتمع المسلم ومع ذلك كان يذيعها في السرِّ هو وتلاميذه مما يؤكد نيته، وشهد عليهم بذلك الإمام السبكي (في الدرة المضيئة وغيرها) والإمام </w:t>
      </w:r>
      <w:proofErr w:type="spellStart"/>
      <w:r w:rsidRPr="00A52585">
        <w:rPr>
          <w:rFonts w:hint="cs"/>
          <w:sz w:val="24"/>
          <w:szCs w:val="24"/>
          <w:rtl/>
        </w:rPr>
        <w:t>الحصني</w:t>
      </w:r>
      <w:proofErr w:type="spellEnd"/>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القرينة الرابعة</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إخفاؤه لعقائده الخطيرة وعدم بثها إلا لمن يثق فيه ككتاب العرش الذي زعم فيه جلوس النبي صلى الله عليه وسلم إلى جوار ربه </w:t>
      </w:r>
      <w:r w:rsidRPr="00A52585">
        <w:rPr>
          <w:sz w:val="24"/>
          <w:szCs w:val="24"/>
        </w:rPr>
        <w:t>–</w:t>
      </w:r>
      <w:r w:rsidRPr="00A52585">
        <w:rPr>
          <w:rFonts w:hint="cs"/>
          <w:sz w:val="24"/>
          <w:szCs w:val="24"/>
          <w:rtl/>
        </w:rPr>
        <w:t xml:space="preserve"> سبحانه عما يقول- على العرش</w:t>
      </w:r>
      <w:r w:rsidR="00DB731D" w:rsidRPr="00A52585">
        <w:rPr>
          <w:rFonts w:hint="cs"/>
          <w:sz w:val="24"/>
          <w:szCs w:val="24"/>
          <w:rtl/>
        </w:rPr>
        <w:t>،</w:t>
      </w:r>
      <w:r w:rsidRPr="00A52585">
        <w:rPr>
          <w:rFonts w:hint="cs"/>
          <w:sz w:val="24"/>
          <w:szCs w:val="24"/>
          <w:rtl/>
        </w:rPr>
        <w:t xml:space="preserve"> وإذا كان هذا قد انكشف رغما عنه فماذا يمنع وجود غيره وقد يكون أشد خطورة كموضوع تناسخ الأرواح- الذي ألمح إليه هو وتلاميذه وسيأتي ذكره- فحمل الناس كلامه على الاحتمال السيء هو </w:t>
      </w:r>
      <w:r w:rsidRPr="00A52585">
        <w:rPr>
          <w:rFonts w:hint="cs"/>
          <w:sz w:val="24"/>
          <w:szCs w:val="24"/>
          <w:rtl/>
        </w:rPr>
        <w:lastRenderedPageBreak/>
        <w:t>الحزم في أمثال هذه الحالات لافتقاد الثقة في صدقه ونيته</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القرينة الخامسة</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وقيعته الشديدة في رموز الدين وأهل الحل والعقد عند المسلمين بدءا من الخلفاء الراشدين والصحابة وأئمة الشريعة من أئمة المذاهب الأربعة وأتباعهم وأئمة علوم العقائد والحديث حتى عصره</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القرينة السادسة</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موالاته لأعداء الدين</w:t>
      </w:r>
      <w:r w:rsidR="0002035C" w:rsidRPr="00A52585">
        <w:rPr>
          <w:rFonts w:hint="cs"/>
          <w:sz w:val="24"/>
          <w:szCs w:val="24"/>
          <w:rtl/>
        </w:rPr>
        <w:t xml:space="preserve">: </w:t>
      </w:r>
      <w:r w:rsidRPr="00A52585">
        <w:rPr>
          <w:rFonts w:hint="cs"/>
          <w:sz w:val="24"/>
          <w:szCs w:val="24"/>
          <w:rtl/>
        </w:rPr>
        <w:t>أ- كمدحه للكرامية الذين أجمع المسلمون على كفرهم لقولهم بالتجسيم ووقيعتهم في الأنبياء وغير ذلك، ووصفه لهم بأنهم من حذاق النظار وكأن أقوالهم لها حظ من العقل والنظر</w:t>
      </w:r>
      <w:r w:rsidR="00DB731D" w:rsidRPr="00A52585">
        <w:rPr>
          <w:rFonts w:hint="cs"/>
          <w:sz w:val="24"/>
          <w:szCs w:val="24"/>
          <w:rtl/>
        </w:rPr>
        <w:t>،</w:t>
      </w:r>
      <w:r w:rsidR="0002035C" w:rsidRPr="00A52585">
        <w:rPr>
          <w:rFonts w:hint="cs"/>
          <w:sz w:val="24"/>
          <w:szCs w:val="24"/>
          <w:rtl/>
        </w:rPr>
        <w:t xml:space="preserve"> </w:t>
      </w:r>
      <w:r w:rsidRPr="00A52585">
        <w:rPr>
          <w:rFonts w:hint="cs"/>
          <w:sz w:val="24"/>
          <w:szCs w:val="24"/>
          <w:rtl/>
        </w:rPr>
        <w:t xml:space="preserve">ب- مدحه وثناءه على يزيد بن معاوية الذي فعل ما فعل بآل بيت النبي صلى الله عليه وسلم من قتل وإهانة وتشريد </w:t>
      </w:r>
      <w:proofErr w:type="spellStart"/>
      <w:r w:rsidRPr="00A52585">
        <w:rPr>
          <w:rFonts w:hint="cs"/>
          <w:sz w:val="24"/>
          <w:szCs w:val="24"/>
          <w:rtl/>
        </w:rPr>
        <w:t>واستباة</w:t>
      </w:r>
      <w:proofErr w:type="spellEnd"/>
      <w:r w:rsidRPr="00A52585">
        <w:rPr>
          <w:rFonts w:hint="cs"/>
          <w:sz w:val="24"/>
          <w:szCs w:val="24"/>
          <w:rtl/>
        </w:rPr>
        <w:t xml:space="preserve"> المدينة المنورة- حرم رسول الله صلى الله عليه وسلم - وقتل أهلها في وقعة الحرة</w:t>
      </w:r>
      <w:r w:rsidR="00DB731D" w:rsidRPr="00A52585">
        <w:rPr>
          <w:rFonts w:hint="cs"/>
          <w:sz w:val="24"/>
          <w:szCs w:val="24"/>
          <w:rtl/>
        </w:rPr>
        <w:t>،</w:t>
      </w:r>
      <w:r w:rsidRPr="00A52585">
        <w:rPr>
          <w:rFonts w:hint="cs"/>
          <w:sz w:val="24"/>
          <w:szCs w:val="24"/>
          <w:rtl/>
        </w:rPr>
        <w:t xml:space="preserve"> ونختم هذا التعليق بما قاله الإمام </w:t>
      </w:r>
      <w:proofErr w:type="spellStart"/>
      <w:r w:rsidRPr="00A52585">
        <w:rPr>
          <w:rFonts w:hint="cs"/>
          <w:sz w:val="24"/>
          <w:szCs w:val="24"/>
          <w:rtl/>
        </w:rPr>
        <w:t>الحصني</w:t>
      </w:r>
      <w:proofErr w:type="spellEnd"/>
      <w:r w:rsidRPr="00A52585">
        <w:rPr>
          <w:rFonts w:hint="cs"/>
          <w:sz w:val="24"/>
          <w:szCs w:val="24"/>
          <w:rtl/>
        </w:rPr>
        <w:t xml:space="preserve"> نفسه في كتابه (كفاية الأخيار)</w:t>
      </w:r>
      <w:r w:rsidR="0002035C" w:rsidRPr="00A52585">
        <w:rPr>
          <w:rFonts w:hint="cs"/>
          <w:sz w:val="24"/>
          <w:szCs w:val="24"/>
          <w:rtl/>
        </w:rPr>
        <w:t>:</w:t>
      </w:r>
      <w:r w:rsidRPr="00A52585">
        <w:rPr>
          <w:rFonts w:hint="cs"/>
          <w:sz w:val="24"/>
          <w:szCs w:val="24"/>
          <w:rtl/>
        </w:rPr>
        <w:t xml:space="preserve"> كتاب النكاح عند كلامه على </w:t>
      </w:r>
      <w:proofErr w:type="spellStart"/>
      <w:r w:rsidRPr="00A52585">
        <w:rPr>
          <w:rFonts w:hint="cs"/>
          <w:sz w:val="24"/>
          <w:szCs w:val="24"/>
          <w:rtl/>
        </w:rPr>
        <w:t>الهحر</w:t>
      </w:r>
      <w:proofErr w:type="spellEnd"/>
      <w:r w:rsidRPr="00A52585">
        <w:rPr>
          <w:rFonts w:hint="cs"/>
          <w:sz w:val="24"/>
          <w:szCs w:val="24"/>
          <w:rtl/>
        </w:rPr>
        <w:t xml:space="preserve"> المشروع قال</w:t>
      </w:r>
      <w:r w:rsidR="0002035C" w:rsidRPr="00A52585">
        <w:rPr>
          <w:rFonts w:hint="cs"/>
          <w:sz w:val="24"/>
          <w:szCs w:val="24"/>
          <w:rtl/>
        </w:rPr>
        <w:t xml:space="preserve">: </w:t>
      </w:r>
      <w:r w:rsidRPr="00A52585">
        <w:rPr>
          <w:rFonts w:hint="cs"/>
          <w:sz w:val="24"/>
          <w:szCs w:val="24"/>
          <w:rtl/>
        </w:rPr>
        <w:t xml:space="preserve">" وأشد الناس فسقاً من المسلمين فقهاء السوء وفقراء الرجس الذين يتردّدون إلى الظلمة طمعاً في </w:t>
      </w:r>
      <w:proofErr w:type="spellStart"/>
      <w:r w:rsidRPr="00A52585">
        <w:rPr>
          <w:rFonts w:hint="cs"/>
          <w:sz w:val="24"/>
          <w:szCs w:val="24"/>
          <w:rtl/>
        </w:rPr>
        <w:t>مزابلتهم</w:t>
      </w:r>
      <w:proofErr w:type="spellEnd"/>
      <w:r w:rsidRPr="00A52585">
        <w:rPr>
          <w:rFonts w:hint="cs"/>
          <w:sz w:val="24"/>
          <w:szCs w:val="24"/>
          <w:rtl/>
        </w:rPr>
        <w:t xml:space="preserve"> مع علمهم بما هم عليه من شرب الخمور، وأنواع الفجور، وأخذ المكوس، وقهر الناس على ما تدعوهم إليه أنفسهم الأمّارة وسفك الدماء، وقمع من دعاهم إلى ما نزلت به الكتب وأرسلت به الرسل فلا يغترّ بصنع هؤلاء الأراذل من الفقهاء والفقراء، ويجب إتباع ما جاء به سيد السابقين واللاحقين صلى الله عليه وسلم وقد حرر بعض فقهاء العصر بحثاً فيمن </w:t>
      </w:r>
      <w:proofErr w:type="spellStart"/>
      <w:r w:rsidRPr="00A52585">
        <w:rPr>
          <w:rFonts w:hint="cs"/>
          <w:sz w:val="24"/>
          <w:szCs w:val="24"/>
          <w:rtl/>
        </w:rPr>
        <w:t>يتعاطي</w:t>
      </w:r>
      <w:proofErr w:type="spellEnd"/>
      <w:r w:rsidRPr="00A52585">
        <w:rPr>
          <w:rFonts w:hint="cs"/>
          <w:sz w:val="24"/>
          <w:szCs w:val="24"/>
          <w:rtl/>
        </w:rPr>
        <w:t xml:space="preserve"> شيئاً يحصل به اعتقاد حلّ ما حرّم الله لأجل عدم إنكاره ذلك لأن به تقام الشريعة فقال</w:t>
      </w:r>
      <w:r w:rsidR="0002035C" w:rsidRPr="00A52585">
        <w:rPr>
          <w:rFonts w:hint="cs"/>
          <w:sz w:val="24"/>
          <w:szCs w:val="24"/>
          <w:rtl/>
        </w:rPr>
        <w:t>:</w:t>
      </w:r>
      <w:r w:rsidRPr="00A52585">
        <w:rPr>
          <w:rFonts w:hint="cs"/>
          <w:sz w:val="24"/>
          <w:szCs w:val="24"/>
          <w:rtl/>
        </w:rPr>
        <w:t xml:space="preserve"> من ألقى مصحفاً في القاذورة كفر وإن أدّعى الإيمان لأن ذلك يدل على استهزائه بالدين، فهل يكون متعاطي سبب </w:t>
      </w:r>
      <w:proofErr w:type="spellStart"/>
      <w:r w:rsidRPr="00A52585">
        <w:rPr>
          <w:rFonts w:hint="cs"/>
          <w:sz w:val="24"/>
          <w:szCs w:val="24"/>
          <w:rtl/>
        </w:rPr>
        <w:t>اندراس</w:t>
      </w:r>
      <w:proofErr w:type="spellEnd"/>
      <w:r w:rsidRPr="00A52585">
        <w:rPr>
          <w:rFonts w:hint="cs"/>
          <w:sz w:val="24"/>
          <w:szCs w:val="24"/>
          <w:rtl/>
        </w:rPr>
        <w:t xml:space="preserve"> الشريعة، أولى بالتكفير أم لا</w:t>
      </w:r>
      <w:r w:rsidR="00F95886" w:rsidRPr="00A52585">
        <w:rPr>
          <w:rFonts w:hint="cs"/>
          <w:sz w:val="24"/>
          <w:szCs w:val="24"/>
          <w:rtl/>
        </w:rPr>
        <w:t>؟</w:t>
      </w:r>
      <w:r w:rsidRPr="00A52585">
        <w:rPr>
          <w:rFonts w:hint="cs"/>
          <w:sz w:val="24"/>
          <w:szCs w:val="24"/>
          <w:rtl/>
        </w:rPr>
        <w:t xml:space="preserve"> وجعّل هذا أولى لأن مثل ذلك قد يخفى على العوام بخلاف إلقاء المصحف شرفه الله تعالى، ولأن السبب المؤدّي إلى طمس الدين، وإماتة الحق أدلّ دليل على خبث الطوية وإن قال إن سريرته حسنة كما قال عليّ رضي الله عنه</w:t>
      </w:r>
      <w:r w:rsidR="00DB731D" w:rsidRPr="00A52585">
        <w:rPr>
          <w:rFonts w:hint="cs"/>
          <w:sz w:val="24"/>
          <w:szCs w:val="24"/>
          <w:rtl/>
        </w:rPr>
        <w:t>،</w:t>
      </w:r>
      <w:r w:rsidRPr="00A52585">
        <w:rPr>
          <w:rFonts w:hint="cs"/>
          <w:sz w:val="24"/>
          <w:szCs w:val="24"/>
          <w:rtl/>
        </w:rPr>
        <w:t xml:space="preserve"> وهذا جليّ لا شك فيه والله أعلم</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02035C" w:rsidRPr="00A52585">
        <w:rPr>
          <w:rFonts w:hint="cs"/>
          <w:bCs/>
          <w:sz w:val="24"/>
          <w:szCs w:val="24"/>
          <w:rtl/>
        </w:rPr>
        <w:t>[</w:t>
      </w:r>
      <w:r w:rsidRPr="00A52585">
        <w:rPr>
          <w:rFonts w:hint="cs"/>
          <w:bCs/>
          <w:sz w:val="24"/>
          <w:szCs w:val="24"/>
          <w:rtl/>
        </w:rPr>
        <w:t>نتيجة هامة</w:t>
      </w:r>
      <w:r w:rsidR="0002035C" w:rsidRPr="00A52585">
        <w:rPr>
          <w:rFonts w:hint="cs"/>
          <w:bCs/>
          <w:sz w:val="24"/>
          <w:szCs w:val="24"/>
          <w:rtl/>
        </w:rPr>
        <w:t>]</w:t>
      </w:r>
      <w:r w:rsidR="0002035C" w:rsidRPr="00A52585">
        <w:rPr>
          <w:rFonts w:hint="cs"/>
          <w:sz w:val="24"/>
          <w:szCs w:val="24"/>
          <w:rtl/>
        </w:rPr>
        <w:t>:</w:t>
      </w:r>
      <w:r w:rsidRPr="00A52585">
        <w:rPr>
          <w:rFonts w:hint="cs"/>
          <w:sz w:val="24"/>
          <w:szCs w:val="24"/>
          <w:rtl/>
        </w:rPr>
        <w:t xml:space="preserve"> الحاكم في قضية يلجأ إلى القرائن والشواهد عند افتقاد الثقة في صدق المتهم، لأنه لابد من إلباس صفة محددة يتعامل معه المسلمون على أساسها فلو قلنا إنه لم يخرج من الملة </w:t>
      </w:r>
      <w:r w:rsidRPr="00A52585">
        <w:rPr>
          <w:sz w:val="24"/>
          <w:szCs w:val="24"/>
        </w:rPr>
        <w:t>–</w:t>
      </w:r>
      <w:r w:rsidRPr="00A52585">
        <w:rPr>
          <w:rFonts w:hint="cs"/>
          <w:sz w:val="24"/>
          <w:szCs w:val="24"/>
          <w:rtl/>
        </w:rPr>
        <w:t xml:space="preserve">ولسنا حريصين إطلاقاً على تكفيره- فالحق </w:t>
      </w:r>
      <w:r w:rsidRPr="00A52585">
        <w:rPr>
          <w:rFonts w:hint="cs"/>
          <w:spacing w:val="-8"/>
          <w:sz w:val="24"/>
          <w:szCs w:val="24"/>
          <w:rtl/>
        </w:rPr>
        <w:t>أنه لا يعد بأي حال</w:t>
      </w:r>
      <w:r w:rsidRPr="00A52585">
        <w:rPr>
          <w:rFonts w:hint="cs"/>
          <w:sz w:val="24"/>
          <w:szCs w:val="24"/>
          <w:rtl/>
        </w:rPr>
        <w:t xml:space="preserve"> </w:t>
      </w:r>
      <w:r w:rsidRPr="00A52585">
        <w:rPr>
          <w:rFonts w:hint="cs"/>
          <w:spacing w:val="-6"/>
          <w:sz w:val="24"/>
          <w:szCs w:val="24"/>
          <w:rtl/>
        </w:rPr>
        <w:t>إماما من أئمة المسلمين بل ولا حتى من صالحي</w:t>
      </w:r>
      <w:r w:rsidRPr="00A52585">
        <w:rPr>
          <w:rFonts w:hint="cs"/>
          <w:sz w:val="24"/>
          <w:szCs w:val="24"/>
          <w:rtl/>
        </w:rPr>
        <w:t xml:space="preserve"> العوام فيهم</w:t>
      </w:r>
      <w:r w:rsidRPr="00A52585">
        <w:rPr>
          <w:rFonts w:hint="cs"/>
          <w:spacing w:val="-8"/>
          <w:sz w:val="24"/>
          <w:szCs w:val="24"/>
          <w:rtl/>
        </w:rPr>
        <w:t>، ولا يمكن السماح باتخاذه قدوة أو تداول كتبه وكلامه بل الواجب اليوم على علماء</w:t>
      </w:r>
      <w:r w:rsidRPr="00A52585">
        <w:rPr>
          <w:rFonts w:hint="cs"/>
          <w:sz w:val="24"/>
          <w:szCs w:val="24"/>
          <w:rtl/>
        </w:rPr>
        <w:t xml:space="preserve"> الإسلام غربلة ما دخل حياة المسلمين من آرائه الساقطة وتحذير الناس من اعتقادها صيانة لعقائد المسلمين</w:t>
      </w:r>
      <w:r w:rsidR="0002035C" w:rsidRPr="00A52585">
        <w:rPr>
          <w:rFonts w:hint="cs"/>
          <w:sz w:val="24"/>
          <w:szCs w:val="24"/>
          <w:rtl/>
        </w:rPr>
        <w:t>]</w:t>
      </w:r>
      <w:r w:rsidR="00DB731D" w:rsidRPr="00A52585">
        <w:rPr>
          <w:rFonts w:hint="cs"/>
          <w:rtl/>
        </w:rPr>
        <w:t>،</w:t>
      </w:r>
      <w:r w:rsidRPr="00A52585">
        <w:rPr>
          <w:rFonts w:hint="cs"/>
          <w:rtl/>
        </w:rPr>
        <w:t xml:space="preserve"> قال بعض السلف رضي الله عنه</w:t>
      </w:r>
      <w:r w:rsidR="0002035C" w:rsidRPr="00A52585">
        <w:rPr>
          <w:rFonts w:hint="cs"/>
          <w:rtl/>
        </w:rPr>
        <w:t>:</w:t>
      </w:r>
      <w:r w:rsidRPr="00A52585">
        <w:rPr>
          <w:rFonts w:hint="cs"/>
          <w:rtl/>
        </w:rPr>
        <w:t xml:space="preserve"> الإعراض عن الحق </w:t>
      </w:r>
      <w:proofErr w:type="spellStart"/>
      <w:r w:rsidRPr="00A52585">
        <w:rPr>
          <w:rFonts w:hint="cs"/>
          <w:rtl/>
        </w:rPr>
        <w:t>والتسخط</w:t>
      </w:r>
      <w:proofErr w:type="spellEnd"/>
      <w:r w:rsidRPr="00A52585">
        <w:rPr>
          <w:rFonts w:hint="cs"/>
          <w:rtl/>
        </w:rPr>
        <w:t xml:space="preserve"> له علامة الركون إلى الباطل وطريق الحق دقيق وبعيد. والصبر معه شديد والعدو لا يزال عنه يحيد. وأثقال الحق لا يحملها إلا مطايا الحق</w:t>
      </w:r>
      <w:r w:rsidR="00DB731D" w:rsidRPr="00A52585">
        <w:rPr>
          <w:rFonts w:hint="cs"/>
          <w:rtl/>
        </w:rPr>
        <w:t>،</w:t>
      </w:r>
      <w:r w:rsidRPr="00A52585">
        <w:rPr>
          <w:rFonts w:hint="cs"/>
          <w:rtl/>
        </w:rPr>
        <w:t xml:space="preserve"> وقال بعض السلف</w:t>
      </w:r>
      <w:r w:rsidR="0002035C" w:rsidRPr="00A52585">
        <w:rPr>
          <w:rFonts w:hint="cs"/>
          <w:rtl/>
        </w:rPr>
        <w:t>:</w:t>
      </w:r>
      <w:r w:rsidRPr="00A52585">
        <w:rPr>
          <w:rFonts w:hint="cs"/>
          <w:rtl/>
        </w:rPr>
        <w:t xml:space="preserve"> داعي الحق داعي رشد</w:t>
      </w:r>
      <w:r w:rsidR="00DB731D" w:rsidRPr="00A52585">
        <w:rPr>
          <w:rFonts w:hint="cs"/>
          <w:rtl/>
        </w:rPr>
        <w:t>،</w:t>
      </w:r>
      <w:r w:rsidRPr="00A52585">
        <w:rPr>
          <w:rFonts w:hint="cs"/>
          <w:rtl/>
        </w:rPr>
        <w:t xml:space="preserve"> ليس للشيطان فيه يد ولا للنفس فيه نصيب وداعي الباطل من </w:t>
      </w:r>
      <w:proofErr w:type="spellStart"/>
      <w:r w:rsidRPr="00A52585">
        <w:rPr>
          <w:rFonts w:hint="cs"/>
          <w:rtl/>
        </w:rPr>
        <w:t>نزغات</w:t>
      </w:r>
      <w:proofErr w:type="spellEnd"/>
      <w:r w:rsidRPr="00A52585">
        <w:rPr>
          <w:rFonts w:hint="cs"/>
          <w:rtl/>
        </w:rPr>
        <w:t xml:space="preserve"> الشيطان وهوى النفس</w:t>
      </w:r>
      <w:r w:rsidR="00DB731D" w:rsidRPr="00A52585">
        <w:rPr>
          <w:rFonts w:hint="cs"/>
          <w:rtl/>
        </w:rPr>
        <w:t>،</w:t>
      </w:r>
      <w:r w:rsidRPr="00A52585">
        <w:rPr>
          <w:rFonts w:hint="cs"/>
          <w:rtl/>
        </w:rPr>
        <w:t xml:space="preserve"> ومتبعها هالك لا محالة لأنه عاص في صورة طائع ومبعد في صورة مقرب</w:t>
      </w:r>
      <w:r w:rsidR="00DB731D" w:rsidRPr="00A52585">
        <w:rPr>
          <w:rFonts w:hint="cs"/>
          <w:rtl/>
        </w:rPr>
        <w:t>،</w:t>
      </w:r>
      <w:r w:rsidRPr="00A52585">
        <w:rPr>
          <w:rFonts w:hint="cs"/>
          <w:rtl/>
        </w:rPr>
        <w:t xml:space="preserve"> وصدق ونصح رضي الله عنه فقد هلك بسبب ذلك خلق لا يحصون عدّاً ولا يمكن ضبطهم حداً </w:t>
      </w:r>
    </w:p>
    <w:p w14:paraId="7E6CB6A4" w14:textId="0C48F3E0"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عودة إلى التنزيه والتعظيم</w:t>
      </w:r>
      <w:r w:rsidRPr="00A52585">
        <w:rPr>
          <w:rFonts w:hint="cs"/>
          <w:bCs/>
          <w:rtl/>
        </w:rPr>
        <w:t xml:space="preserve">]: </w:t>
      </w:r>
      <w:r w:rsidR="00777DCB" w:rsidRPr="00A52585">
        <w:rPr>
          <w:rFonts w:hint="cs"/>
          <w:bCs/>
          <w:rtl/>
        </w:rPr>
        <w:t>قال العلماء</w:t>
      </w:r>
      <w:r w:rsidRPr="00A52585">
        <w:rPr>
          <w:rFonts w:hint="cs"/>
          <w:rtl/>
        </w:rPr>
        <w:t>:</w:t>
      </w:r>
      <w:r w:rsidR="00777DCB" w:rsidRPr="00A52585">
        <w:rPr>
          <w:rFonts w:hint="cs"/>
          <w:rtl/>
        </w:rPr>
        <w:t xml:space="preserve"> إن وسوسة التشبيه من إبليس</w:t>
      </w:r>
      <w:r w:rsidR="00DB731D" w:rsidRPr="00A52585">
        <w:rPr>
          <w:rFonts w:hint="cs"/>
          <w:bCs/>
          <w:rtl/>
        </w:rPr>
        <w:t>،</w:t>
      </w:r>
      <w:r w:rsidR="00777DCB" w:rsidRPr="00A52585">
        <w:rPr>
          <w:rFonts w:hint="cs"/>
          <w:rtl/>
        </w:rPr>
        <w:t xml:space="preserve"> فالرد عليه وإبطال وسوسته أن يقول في نفسه كل ما تصور في صدري فالرب بخلافه فإنه لا يتصور في صدري إلا مخلوق له كيفية ومثل</w:t>
      </w:r>
      <w:r w:rsidR="00DB731D" w:rsidRPr="00A52585">
        <w:rPr>
          <w:rFonts w:hint="cs"/>
          <w:rtl/>
        </w:rPr>
        <w:t>،</w:t>
      </w:r>
      <w:r w:rsidR="00777DCB" w:rsidRPr="00A52585">
        <w:rPr>
          <w:rFonts w:hint="cs"/>
          <w:rtl/>
        </w:rPr>
        <w:t xml:space="preserve"> والرب سبحانه وتعالى لا مثل له ولا كيفية. فما مُثِّل في صدري فهو غير ربي</w:t>
      </w:r>
      <w:r w:rsidR="00DB731D" w:rsidRPr="00A52585">
        <w:rPr>
          <w:rFonts w:hint="cs"/>
          <w:rtl/>
        </w:rPr>
        <w:t>،</w:t>
      </w:r>
      <w:r w:rsidR="00777DCB" w:rsidRPr="00A52585">
        <w:rPr>
          <w:rFonts w:hint="cs"/>
          <w:rtl/>
        </w:rPr>
        <w:t xml:space="preserve"> </w:t>
      </w:r>
      <w:r w:rsidR="00777DCB" w:rsidRPr="00A52585">
        <w:rPr>
          <w:rFonts w:hint="cs"/>
          <w:rtl/>
        </w:rPr>
        <w:lastRenderedPageBreak/>
        <w:t xml:space="preserve">فهو سبحانه وتعالى موحد الذات والصفات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قال رسول الله صلى الله عليه وسلم</w:t>
      </w:r>
      <w:r w:rsidRPr="00A52585">
        <w:rPr>
          <w:rFonts w:hint="cs"/>
          <w:sz w:val="24"/>
          <w:szCs w:val="24"/>
          <w:rtl/>
        </w:rPr>
        <w:t xml:space="preserve">: </w:t>
      </w:r>
      <w:r w:rsidR="00777DCB" w:rsidRPr="00A52585">
        <w:rPr>
          <w:rFonts w:hint="cs"/>
          <w:sz w:val="24"/>
          <w:szCs w:val="24"/>
          <w:rtl/>
        </w:rPr>
        <w:t>" يأتي الشيطان أحدكم فيقول</w:t>
      </w:r>
      <w:r w:rsidRPr="00A52585">
        <w:rPr>
          <w:rFonts w:hint="cs"/>
          <w:sz w:val="24"/>
          <w:szCs w:val="24"/>
          <w:rtl/>
        </w:rPr>
        <w:t>:</w:t>
      </w:r>
      <w:r w:rsidR="00777DCB" w:rsidRPr="00A52585">
        <w:rPr>
          <w:rFonts w:hint="cs"/>
          <w:sz w:val="24"/>
          <w:szCs w:val="24"/>
          <w:rtl/>
        </w:rPr>
        <w:t xml:space="preserve"> من خلق كذا وكذا</w:t>
      </w:r>
      <w:r w:rsidR="00F95886" w:rsidRPr="00A52585">
        <w:rPr>
          <w:rFonts w:hint="cs"/>
          <w:sz w:val="24"/>
          <w:szCs w:val="24"/>
          <w:rtl/>
        </w:rPr>
        <w:t>؟</w:t>
      </w:r>
      <w:r w:rsidR="00777DCB" w:rsidRPr="00A52585">
        <w:rPr>
          <w:rFonts w:hint="cs"/>
          <w:sz w:val="24"/>
          <w:szCs w:val="24"/>
          <w:rtl/>
        </w:rPr>
        <w:t xml:space="preserve"> حتى يقول له</w:t>
      </w:r>
      <w:r w:rsidRPr="00A52585">
        <w:rPr>
          <w:rFonts w:hint="cs"/>
          <w:sz w:val="24"/>
          <w:szCs w:val="24"/>
          <w:rtl/>
        </w:rPr>
        <w:t>:</w:t>
      </w:r>
      <w:r w:rsidR="00777DCB" w:rsidRPr="00A52585">
        <w:rPr>
          <w:rFonts w:hint="cs"/>
          <w:sz w:val="24"/>
          <w:szCs w:val="24"/>
          <w:rtl/>
        </w:rPr>
        <w:t xml:space="preserve"> من خلق ربك</w:t>
      </w:r>
      <w:r w:rsidR="00F95886" w:rsidRPr="00A52585">
        <w:rPr>
          <w:rFonts w:hint="cs"/>
          <w:sz w:val="24"/>
          <w:szCs w:val="24"/>
          <w:rtl/>
        </w:rPr>
        <w:t>؟</w:t>
      </w:r>
      <w:r w:rsidR="00777DCB" w:rsidRPr="00A52585">
        <w:rPr>
          <w:rFonts w:hint="cs"/>
          <w:sz w:val="24"/>
          <w:szCs w:val="24"/>
          <w:rtl/>
        </w:rPr>
        <w:t xml:space="preserve"> فإذا بلغ ذلك </w:t>
      </w:r>
      <w:proofErr w:type="spellStart"/>
      <w:r w:rsidR="00777DCB" w:rsidRPr="00A52585">
        <w:rPr>
          <w:rFonts w:hint="cs"/>
          <w:sz w:val="24"/>
          <w:szCs w:val="24"/>
          <w:rtl/>
        </w:rPr>
        <w:t>فليستعذ</w:t>
      </w:r>
      <w:proofErr w:type="spellEnd"/>
      <w:r w:rsidR="00777DCB" w:rsidRPr="00A52585">
        <w:rPr>
          <w:rFonts w:hint="cs"/>
          <w:sz w:val="24"/>
          <w:szCs w:val="24"/>
          <w:rtl/>
        </w:rPr>
        <w:t xml:space="preserve"> بالله ولينته "</w:t>
      </w:r>
      <w:r w:rsidRPr="00A52585">
        <w:rPr>
          <w:rFonts w:hint="cs"/>
          <w:sz w:val="24"/>
          <w:szCs w:val="24"/>
          <w:rtl/>
        </w:rPr>
        <w:t xml:space="preserve"> </w:t>
      </w:r>
      <w:r w:rsidR="00777DCB" w:rsidRPr="00A52585">
        <w:rPr>
          <w:rFonts w:hint="cs"/>
          <w:sz w:val="24"/>
          <w:szCs w:val="24"/>
          <w:rtl/>
        </w:rPr>
        <w:t>وفي رواية</w:t>
      </w:r>
      <w:r w:rsidRPr="00A52585">
        <w:rPr>
          <w:rFonts w:hint="cs"/>
          <w:sz w:val="24"/>
          <w:szCs w:val="24"/>
          <w:rtl/>
        </w:rPr>
        <w:t xml:space="preserve"> </w:t>
      </w:r>
      <w:r w:rsidR="00777DCB" w:rsidRPr="00A52585">
        <w:rPr>
          <w:rFonts w:hint="cs"/>
          <w:sz w:val="24"/>
          <w:szCs w:val="24"/>
          <w:rtl/>
        </w:rPr>
        <w:t>" فمن وجد ذلك فليقل آمنت بالله "</w:t>
      </w:r>
      <w:r w:rsidRPr="00A52585">
        <w:rPr>
          <w:rFonts w:hint="cs"/>
          <w:sz w:val="24"/>
          <w:szCs w:val="24"/>
          <w:rtl/>
        </w:rPr>
        <w:t xml:space="preserve"> </w:t>
      </w:r>
      <w:r w:rsidR="00777DCB" w:rsidRPr="00A52585">
        <w:rPr>
          <w:rFonts w:hint="cs"/>
          <w:sz w:val="24"/>
          <w:szCs w:val="24"/>
          <w:rtl/>
        </w:rPr>
        <w:t>رواهما مسلم في صحيحه كتاب الإيمان باب</w:t>
      </w:r>
      <w:r w:rsidRPr="00A52585">
        <w:rPr>
          <w:rFonts w:hint="cs"/>
          <w:sz w:val="24"/>
          <w:szCs w:val="24"/>
          <w:rtl/>
        </w:rPr>
        <w:t>:</w:t>
      </w:r>
      <w:r w:rsidR="00777DCB" w:rsidRPr="00A52585">
        <w:rPr>
          <w:rFonts w:hint="cs"/>
          <w:sz w:val="24"/>
          <w:szCs w:val="24"/>
          <w:rtl/>
        </w:rPr>
        <w:t xml:space="preserve"> بيان الوسوسة في الإيمان</w:t>
      </w:r>
      <w:r w:rsidRPr="00A52585">
        <w:rPr>
          <w:rFonts w:hint="cs"/>
          <w:sz w:val="24"/>
          <w:szCs w:val="24"/>
          <w:rtl/>
        </w:rPr>
        <w:t>]</w:t>
      </w:r>
      <w:r w:rsidR="00DB731D" w:rsidRPr="00A52585">
        <w:rPr>
          <w:rFonts w:hint="cs"/>
          <w:sz w:val="24"/>
          <w:rtl/>
        </w:rPr>
        <w:t>،</w:t>
      </w:r>
      <w:r w:rsidR="00777DCB" w:rsidRPr="00A52585">
        <w:rPr>
          <w:rFonts w:hint="cs"/>
          <w:rtl/>
        </w:rPr>
        <w:t xml:space="preserve"> وسئل </w:t>
      </w:r>
      <w:proofErr w:type="gramStart"/>
      <w:r w:rsidR="00777DCB" w:rsidRPr="00A52585">
        <w:rPr>
          <w:rFonts w:hint="cs"/>
          <w:rtl/>
        </w:rPr>
        <w:t>علي</w:t>
      </w:r>
      <w:proofErr w:type="gramEnd"/>
      <w:r w:rsidR="00777DCB" w:rsidRPr="00A52585">
        <w:rPr>
          <w:rFonts w:hint="cs"/>
          <w:rtl/>
        </w:rPr>
        <w:t xml:space="preserve"> رضي الله عنه عن التوحيد والعدل فقال</w:t>
      </w:r>
      <w:r w:rsidRPr="00A52585">
        <w:rPr>
          <w:rFonts w:hint="cs"/>
          <w:rtl/>
        </w:rPr>
        <w:t>:</w:t>
      </w:r>
      <w:r w:rsidR="00777DCB" w:rsidRPr="00A52585">
        <w:rPr>
          <w:rFonts w:hint="cs"/>
          <w:rtl/>
        </w:rPr>
        <w:t xml:space="preserve"> التوحيد أن لا </w:t>
      </w:r>
      <w:proofErr w:type="spellStart"/>
      <w:r w:rsidR="00777DCB" w:rsidRPr="00A52585">
        <w:rPr>
          <w:rFonts w:hint="cs"/>
          <w:rtl/>
        </w:rPr>
        <w:t>تتوهمه</w:t>
      </w:r>
      <w:proofErr w:type="spellEnd"/>
      <w:r w:rsidR="00777DCB" w:rsidRPr="00A52585">
        <w:rPr>
          <w:rFonts w:hint="cs"/>
          <w:rtl/>
        </w:rPr>
        <w:t xml:space="preserve"> والعدل أن لا تتهمه</w:t>
      </w:r>
      <w:r w:rsidR="00DB731D" w:rsidRPr="00A52585">
        <w:rPr>
          <w:rFonts w:hint="cs"/>
          <w:rtl/>
        </w:rPr>
        <w:t>،</w:t>
      </w:r>
      <w:r w:rsidR="00777DCB" w:rsidRPr="00A52585">
        <w:rPr>
          <w:rFonts w:hint="cs"/>
          <w:rtl/>
        </w:rPr>
        <w:t xml:space="preserve"> وقال يحيى بن معاذ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أبو زكريا يحيى بن معاذ الرازي الواعظ، من كبار أئمة التصوف له كلام في الرجاء وفي المعرفة خرج إلى بلخ وأقام بها مدة ورجع إلى نيسابور ومات بها سنة ثمان وخمسين ومائتين</w:t>
      </w:r>
      <w:r w:rsidR="00DB731D" w:rsidRPr="00A52585">
        <w:rPr>
          <w:rFonts w:hint="cs"/>
          <w:sz w:val="24"/>
          <w:szCs w:val="24"/>
          <w:rtl/>
        </w:rPr>
        <w:t>،</w:t>
      </w:r>
      <w:r w:rsidR="00777DCB" w:rsidRPr="00A52585">
        <w:rPr>
          <w:rFonts w:hint="cs"/>
          <w:sz w:val="24"/>
          <w:szCs w:val="24"/>
          <w:rtl/>
        </w:rPr>
        <w:t xml:space="preserve"> من أقواله</w:t>
      </w:r>
      <w:r w:rsidRPr="00A52585">
        <w:rPr>
          <w:rFonts w:hint="cs"/>
          <w:sz w:val="24"/>
          <w:szCs w:val="24"/>
          <w:rtl/>
        </w:rPr>
        <w:t>:</w:t>
      </w:r>
      <w:r w:rsidR="00777DCB" w:rsidRPr="00A52585">
        <w:rPr>
          <w:rFonts w:hint="cs"/>
          <w:sz w:val="24"/>
          <w:szCs w:val="24"/>
          <w:rtl/>
        </w:rPr>
        <w:t xml:space="preserve"> كيف يكون زاهداً من لا ورع له</w:t>
      </w:r>
      <w:r w:rsidR="00F95886" w:rsidRPr="00A52585">
        <w:rPr>
          <w:rFonts w:hint="cs"/>
          <w:sz w:val="24"/>
          <w:szCs w:val="24"/>
          <w:rtl/>
        </w:rPr>
        <w:t>؟</w:t>
      </w:r>
      <w:r w:rsidR="00777DCB" w:rsidRPr="00A52585">
        <w:rPr>
          <w:rFonts w:hint="cs"/>
          <w:sz w:val="24"/>
          <w:szCs w:val="24"/>
          <w:rtl/>
        </w:rPr>
        <w:t xml:space="preserve"> تورع عما ليس لك ثم ازهد فيما لك العقلاء ثلاثة</w:t>
      </w:r>
      <w:r w:rsidRPr="00A52585">
        <w:rPr>
          <w:rFonts w:hint="cs"/>
          <w:sz w:val="24"/>
          <w:szCs w:val="24"/>
          <w:rtl/>
        </w:rPr>
        <w:t>:</w:t>
      </w:r>
      <w:r w:rsidR="00777DCB" w:rsidRPr="00A52585">
        <w:rPr>
          <w:rFonts w:hint="cs"/>
          <w:sz w:val="24"/>
          <w:szCs w:val="24"/>
          <w:rtl/>
        </w:rPr>
        <w:t xml:space="preserve"> من ترك الدنيا قبل أن تتركه وهيأ قبره قبل أن يدخله وأرضى خالقه قبل أن يلقاه</w:t>
      </w:r>
      <w:r w:rsidRPr="00A52585">
        <w:rPr>
          <w:rFonts w:hint="cs"/>
          <w:sz w:val="24"/>
          <w:szCs w:val="24"/>
          <w:rtl/>
        </w:rPr>
        <w:t>]</w:t>
      </w:r>
      <w:r w:rsidRPr="00A52585">
        <w:rPr>
          <w:rFonts w:hint="cs"/>
          <w:sz w:val="24"/>
          <w:rtl/>
        </w:rPr>
        <w:t>:</w:t>
      </w:r>
      <w:r w:rsidR="00777DCB" w:rsidRPr="00A52585">
        <w:rPr>
          <w:rFonts w:hint="cs"/>
          <w:rtl/>
        </w:rPr>
        <w:t xml:space="preserve"> التوحيد في كلمة واحدة ما تصور في الأوهام فهو بخلافه</w:t>
      </w:r>
      <w:r w:rsidR="00DB731D" w:rsidRPr="00A52585">
        <w:rPr>
          <w:rFonts w:hint="cs"/>
          <w:rtl/>
        </w:rPr>
        <w:t>،</w:t>
      </w:r>
      <w:r w:rsidR="00777DCB" w:rsidRPr="00A52585">
        <w:rPr>
          <w:rFonts w:hint="cs"/>
          <w:rtl/>
        </w:rPr>
        <w:t xml:space="preserve"> وقال علي رضي الله عنه</w:t>
      </w:r>
      <w:r w:rsidRPr="00A52585">
        <w:rPr>
          <w:rFonts w:hint="cs"/>
          <w:rtl/>
        </w:rPr>
        <w:t>:</w:t>
      </w:r>
      <w:r w:rsidR="00777DCB" w:rsidRPr="00A52585">
        <w:rPr>
          <w:rFonts w:hint="cs"/>
          <w:rtl/>
        </w:rPr>
        <w:t xml:space="preserve"> ليس لصفته حد محدود ولا نعت موجود</w:t>
      </w:r>
      <w:r w:rsidR="00DB731D" w:rsidRPr="00A52585">
        <w:rPr>
          <w:rFonts w:hint="cs"/>
          <w:rtl/>
        </w:rPr>
        <w:t>،</w:t>
      </w:r>
      <w:r w:rsidR="00777DCB" w:rsidRPr="00A52585">
        <w:rPr>
          <w:rFonts w:hint="cs"/>
          <w:rtl/>
        </w:rPr>
        <w:t xml:space="preserve"> وقال رضي الله عنه</w:t>
      </w:r>
      <w:r w:rsidRPr="00A52585">
        <w:rPr>
          <w:rFonts w:hint="cs"/>
          <w:rtl/>
        </w:rPr>
        <w:t>:</w:t>
      </w:r>
      <w:r w:rsidR="00777DCB" w:rsidRPr="00A52585">
        <w:rPr>
          <w:rFonts w:hint="cs"/>
          <w:rtl/>
        </w:rPr>
        <w:t xml:space="preserve"> أول الدين معرفته وكمال معرفته التصديق به</w:t>
      </w:r>
      <w:r w:rsidR="00DB731D" w:rsidRPr="00A52585">
        <w:rPr>
          <w:rFonts w:hint="cs"/>
          <w:rtl/>
        </w:rPr>
        <w:t>،</w:t>
      </w:r>
      <w:r w:rsidR="00777DCB" w:rsidRPr="00A52585">
        <w:rPr>
          <w:rFonts w:hint="cs"/>
          <w:rtl/>
        </w:rPr>
        <w:t xml:space="preserve"> وكمال التصديق به توحيده</w:t>
      </w:r>
      <w:r w:rsidR="00DB731D" w:rsidRPr="00A52585">
        <w:rPr>
          <w:rFonts w:hint="cs"/>
          <w:rtl/>
        </w:rPr>
        <w:t>،</w:t>
      </w:r>
      <w:r w:rsidR="00777DCB" w:rsidRPr="00A52585">
        <w:rPr>
          <w:rFonts w:hint="cs"/>
          <w:rtl/>
        </w:rPr>
        <w:t xml:space="preserve"> وكمال توحيده الإخلاص له</w:t>
      </w:r>
      <w:r w:rsidR="00DB731D" w:rsidRPr="00A52585">
        <w:rPr>
          <w:rFonts w:hint="cs"/>
          <w:rtl/>
        </w:rPr>
        <w:t>،</w:t>
      </w:r>
      <w:r w:rsidR="00777DCB" w:rsidRPr="00A52585">
        <w:rPr>
          <w:rFonts w:hint="cs"/>
          <w:rtl/>
        </w:rPr>
        <w:t xml:space="preserve"> وكمال الإخلاص له نفي الصفات المحدثة عنه</w:t>
      </w:r>
      <w:r w:rsidR="00DB731D" w:rsidRPr="00A52585">
        <w:rPr>
          <w:rFonts w:hint="cs"/>
          <w:rtl/>
        </w:rPr>
        <w:t>،</w:t>
      </w:r>
      <w:r w:rsidR="00777DCB" w:rsidRPr="00A52585">
        <w:rPr>
          <w:rFonts w:hint="cs"/>
          <w:rtl/>
        </w:rPr>
        <w:t xml:space="preserve"> فمن وصفه بحادث فقد قرنه</w:t>
      </w:r>
      <w:r w:rsidR="00DB731D" w:rsidRPr="00A52585">
        <w:rPr>
          <w:rFonts w:hint="cs"/>
          <w:rtl/>
        </w:rPr>
        <w:t>،</w:t>
      </w:r>
      <w:r w:rsidR="00777DCB" w:rsidRPr="00A52585">
        <w:rPr>
          <w:rFonts w:hint="cs"/>
          <w:rtl/>
        </w:rPr>
        <w:t xml:space="preserve"> ومن قرنه فقد </w:t>
      </w:r>
      <w:proofErr w:type="spellStart"/>
      <w:r w:rsidR="00777DCB" w:rsidRPr="00A52585">
        <w:rPr>
          <w:rFonts w:hint="cs"/>
          <w:rtl/>
        </w:rPr>
        <w:t>ثناه</w:t>
      </w:r>
      <w:proofErr w:type="spellEnd"/>
      <w:r w:rsidR="00777DCB" w:rsidRPr="00A52585">
        <w:rPr>
          <w:rFonts w:hint="cs"/>
          <w:rtl/>
        </w:rPr>
        <w:t xml:space="preserve"> ومن </w:t>
      </w:r>
      <w:proofErr w:type="spellStart"/>
      <w:r w:rsidR="00777DCB" w:rsidRPr="00A52585">
        <w:rPr>
          <w:rFonts w:hint="cs"/>
          <w:rtl/>
        </w:rPr>
        <w:t>ثناه</w:t>
      </w:r>
      <w:proofErr w:type="spellEnd"/>
      <w:r w:rsidR="00777DCB" w:rsidRPr="00A52585">
        <w:rPr>
          <w:rFonts w:hint="cs"/>
          <w:rtl/>
        </w:rPr>
        <w:t xml:space="preserve"> فقد جزأه</w:t>
      </w:r>
      <w:r w:rsidR="00DB731D" w:rsidRPr="00A52585">
        <w:rPr>
          <w:rFonts w:hint="cs"/>
          <w:rtl/>
        </w:rPr>
        <w:t>،</w:t>
      </w:r>
      <w:r w:rsidR="00777DCB" w:rsidRPr="00A52585">
        <w:rPr>
          <w:rFonts w:hint="cs"/>
          <w:rtl/>
        </w:rPr>
        <w:t xml:space="preserve"> ومن جزأه فقد جهله</w:t>
      </w:r>
      <w:r w:rsidR="00DB731D" w:rsidRPr="00A52585">
        <w:rPr>
          <w:rFonts w:hint="cs"/>
          <w:rtl/>
        </w:rPr>
        <w:t>،</w:t>
      </w:r>
      <w:r w:rsidR="00777DCB" w:rsidRPr="00A52585">
        <w:rPr>
          <w:rFonts w:hint="cs"/>
          <w:rtl/>
        </w:rPr>
        <w:t xml:space="preserve"> ومن أشار إليه فقد حده</w:t>
      </w:r>
      <w:r w:rsidR="00DB731D" w:rsidRPr="00A52585">
        <w:rPr>
          <w:rFonts w:hint="cs"/>
          <w:rtl/>
        </w:rPr>
        <w:t>،</w:t>
      </w:r>
      <w:r w:rsidR="00777DCB" w:rsidRPr="00A52585">
        <w:rPr>
          <w:rFonts w:hint="cs"/>
          <w:rtl/>
        </w:rPr>
        <w:t xml:space="preserve"> ومن حده فقد عده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نهج البلاغة الخطبة الأولى</w:t>
      </w:r>
      <w:r w:rsidRPr="00A52585">
        <w:rPr>
          <w:rFonts w:hint="cs"/>
          <w:sz w:val="24"/>
          <w:szCs w:val="24"/>
          <w:rtl/>
        </w:rPr>
        <w:t>]</w:t>
      </w:r>
      <w:r w:rsidR="00DB731D" w:rsidRPr="00A52585">
        <w:rPr>
          <w:rFonts w:hint="cs"/>
          <w:rtl/>
        </w:rPr>
        <w:t>،</w:t>
      </w:r>
      <w:r w:rsidR="00777DCB" w:rsidRPr="00A52585">
        <w:rPr>
          <w:rFonts w:hint="cs"/>
          <w:rtl/>
        </w:rPr>
        <w:t xml:space="preserve"> قال المحققون</w:t>
      </w:r>
      <w:r w:rsidRPr="00A52585">
        <w:rPr>
          <w:rFonts w:hint="cs"/>
          <w:rtl/>
        </w:rPr>
        <w:t>:</w:t>
      </w:r>
      <w:r w:rsidR="00777DCB" w:rsidRPr="00A52585">
        <w:rPr>
          <w:rFonts w:hint="cs"/>
          <w:rtl/>
        </w:rPr>
        <w:t xml:space="preserve"> من اعتقد في الله سبحانه تعالى بما يليق بطبعه فهو مشبه لأنه سبحانه وتعالى مُنَزَّه عما يصفه به أو يتخيله لأن ذلك من صفة الحدث</w:t>
      </w:r>
      <w:r w:rsidR="00DB731D" w:rsidRPr="00A52585">
        <w:rPr>
          <w:rFonts w:hint="cs"/>
          <w:rtl/>
        </w:rPr>
        <w:t>،</w:t>
      </w:r>
      <w:r w:rsidR="00777DCB" w:rsidRPr="00A52585">
        <w:rPr>
          <w:rFonts w:hint="cs"/>
          <w:rtl/>
        </w:rPr>
        <w:t xml:space="preserve"> وسئل -أعني علياً رضي الله عنه -</w:t>
      </w:r>
      <w:r w:rsidRPr="00A52585">
        <w:rPr>
          <w:rFonts w:hint="cs"/>
          <w:rtl/>
        </w:rPr>
        <w:t>:</w:t>
      </w:r>
      <w:r w:rsidR="00777DCB" w:rsidRPr="00A52585">
        <w:rPr>
          <w:rFonts w:hint="cs"/>
          <w:rtl/>
        </w:rPr>
        <w:t xml:space="preserve"> بما عرفت ربك</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عرفته بما عرف به نفسه لا يدرك بالحواس</w:t>
      </w:r>
      <w:r w:rsidR="00DB731D" w:rsidRPr="00A52585">
        <w:rPr>
          <w:rFonts w:hint="cs"/>
          <w:rtl/>
        </w:rPr>
        <w:t>،</w:t>
      </w:r>
      <w:r w:rsidR="00777DCB" w:rsidRPr="00A52585">
        <w:rPr>
          <w:rFonts w:hint="cs"/>
          <w:rtl/>
        </w:rPr>
        <w:t xml:space="preserve"> ولا يقاس بالناس</w:t>
      </w:r>
      <w:r w:rsidR="00DB731D" w:rsidRPr="00A52585">
        <w:rPr>
          <w:rFonts w:hint="cs"/>
          <w:rtl/>
        </w:rPr>
        <w:t>،</w:t>
      </w:r>
      <w:r w:rsidR="00777DCB" w:rsidRPr="00A52585">
        <w:rPr>
          <w:rFonts w:hint="cs"/>
          <w:rtl/>
        </w:rPr>
        <w:t xml:space="preserve"> قريب في بعده</w:t>
      </w:r>
      <w:r w:rsidR="00DB731D" w:rsidRPr="00A52585">
        <w:rPr>
          <w:rFonts w:hint="cs"/>
          <w:rtl/>
        </w:rPr>
        <w:t>،</w:t>
      </w:r>
      <w:r w:rsidR="00777DCB" w:rsidRPr="00A52585">
        <w:rPr>
          <w:rFonts w:hint="cs"/>
          <w:rtl/>
        </w:rPr>
        <w:t xml:space="preserve"> بعيد في قربه فوق كل شيء</w:t>
      </w:r>
      <w:r w:rsidR="00DB731D" w:rsidRPr="00A52585">
        <w:rPr>
          <w:rFonts w:hint="cs"/>
          <w:rtl/>
        </w:rPr>
        <w:t>،</w:t>
      </w:r>
      <w:r w:rsidR="00777DCB" w:rsidRPr="00A52585">
        <w:rPr>
          <w:rFonts w:hint="cs"/>
          <w:rtl/>
        </w:rPr>
        <w:t xml:space="preserve"> ولا يقال تحته شيء</w:t>
      </w:r>
      <w:r w:rsidR="00DB731D" w:rsidRPr="00A52585">
        <w:rPr>
          <w:rFonts w:hint="cs"/>
          <w:rtl/>
        </w:rPr>
        <w:t>،</w:t>
      </w:r>
      <w:r w:rsidR="00777DCB" w:rsidRPr="00A52585">
        <w:rPr>
          <w:rFonts w:hint="cs"/>
          <w:rtl/>
        </w:rPr>
        <w:t xml:space="preserve"> وأمام كل شيء</w:t>
      </w:r>
      <w:r w:rsidR="00DB731D" w:rsidRPr="00A52585">
        <w:rPr>
          <w:rFonts w:hint="cs"/>
          <w:rtl/>
        </w:rPr>
        <w:t>،</w:t>
      </w:r>
      <w:r w:rsidR="00777DCB" w:rsidRPr="00A52585">
        <w:rPr>
          <w:rFonts w:hint="cs"/>
          <w:rtl/>
        </w:rPr>
        <w:t xml:space="preserve"> ولا يقال أمامه شيء</w:t>
      </w:r>
      <w:r w:rsidR="00DB731D" w:rsidRPr="00A52585">
        <w:rPr>
          <w:rFonts w:hint="cs"/>
          <w:rtl/>
        </w:rPr>
        <w:t>،</w:t>
      </w:r>
      <w:r w:rsidR="00777DCB" w:rsidRPr="00A52585">
        <w:rPr>
          <w:rFonts w:hint="cs"/>
          <w:rtl/>
        </w:rPr>
        <w:t xml:space="preserve"> وهو في كل شيء لا بشيء في شيء فسبحان من هو هكذا</w:t>
      </w:r>
      <w:r w:rsidR="00DB731D" w:rsidRPr="00A52585">
        <w:rPr>
          <w:rFonts w:hint="cs"/>
          <w:rtl/>
        </w:rPr>
        <w:t>،</w:t>
      </w:r>
      <w:r w:rsidR="00777DCB" w:rsidRPr="00A52585">
        <w:rPr>
          <w:rFonts w:hint="cs"/>
          <w:rtl/>
        </w:rPr>
        <w:t xml:space="preserve"> وليس هكذا غيره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يشهد لهذا النص وما قبله من نصوص النص الجامع الآتي لأمير المؤمنين علي رضي الله عنه</w:t>
      </w:r>
      <w:r w:rsidRPr="00A52585">
        <w:rPr>
          <w:rFonts w:hint="cs"/>
          <w:sz w:val="24"/>
          <w:szCs w:val="24"/>
          <w:rtl/>
        </w:rPr>
        <w:t>:</w:t>
      </w:r>
      <w:r w:rsidR="00777DCB" w:rsidRPr="00A52585">
        <w:rPr>
          <w:rFonts w:hint="cs"/>
          <w:sz w:val="24"/>
          <w:szCs w:val="24"/>
          <w:rtl/>
        </w:rPr>
        <w:t xml:space="preserve"> كلمة في تنزيه الله سبحانه وتعالى لعلي بن أبي طالب كرم الله وجهه</w:t>
      </w:r>
      <w:r w:rsidRPr="00A52585">
        <w:rPr>
          <w:rFonts w:hint="cs"/>
          <w:sz w:val="24"/>
          <w:szCs w:val="24"/>
          <w:rtl/>
        </w:rPr>
        <w:t>:</w:t>
      </w:r>
      <w:r w:rsidR="00777DCB" w:rsidRPr="00A52585">
        <w:rPr>
          <w:rFonts w:hint="cs"/>
          <w:sz w:val="24"/>
          <w:szCs w:val="24"/>
          <w:rtl/>
        </w:rPr>
        <w:t xml:space="preserve"> قال الحافظ أبو نعيم الأصفهاني في</w:t>
      </w:r>
      <w:r w:rsidRPr="00A52585">
        <w:rPr>
          <w:rFonts w:hint="cs"/>
          <w:sz w:val="24"/>
          <w:szCs w:val="24"/>
          <w:rtl/>
        </w:rPr>
        <w:t xml:space="preserve"> </w:t>
      </w:r>
      <w:r w:rsidR="00777DCB" w:rsidRPr="00A52585">
        <w:rPr>
          <w:rFonts w:hint="cs"/>
          <w:sz w:val="24"/>
          <w:szCs w:val="24"/>
          <w:rtl/>
        </w:rPr>
        <w:t>" حلية الأولياء "</w:t>
      </w:r>
      <w:r w:rsidRPr="00A52585">
        <w:rPr>
          <w:rFonts w:hint="cs"/>
          <w:sz w:val="24"/>
          <w:szCs w:val="24"/>
          <w:rtl/>
        </w:rPr>
        <w:t xml:space="preserve"> </w:t>
      </w:r>
      <w:r w:rsidR="00777DCB" w:rsidRPr="00A52585">
        <w:rPr>
          <w:rFonts w:hint="cs"/>
          <w:sz w:val="24"/>
          <w:szCs w:val="24"/>
          <w:rtl/>
        </w:rPr>
        <w:t>ج1 ص272</w:t>
      </w:r>
      <w:r w:rsidRPr="00A52585">
        <w:rPr>
          <w:rFonts w:hint="cs"/>
          <w:sz w:val="24"/>
          <w:szCs w:val="24"/>
          <w:rtl/>
        </w:rPr>
        <w:t xml:space="preserve"> </w:t>
      </w:r>
      <w:r w:rsidR="00777DCB" w:rsidRPr="00A52585">
        <w:rPr>
          <w:rFonts w:hint="cs"/>
          <w:sz w:val="24"/>
          <w:szCs w:val="24"/>
          <w:rtl/>
        </w:rPr>
        <w:t>" حدثنا أبو بكر أحمد بن أحمد بن محمد بن الحارث ثنا الفضل بن الحباب الجمحي ثنا عبد الوارث بن سعيد عن محمد بن إسحاق عن النعمان بن سعد قال</w:t>
      </w:r>
      <w:r w:rsidRPr="00A52585">
        <w:rPr>
          <w:rFonts w:hint="cs"/>
          <w:sz w:val="24"/>
          <w:szCs w:val="24"/>
          <w:rtl/>
        </w:rPr>
        <w:t>:</w:t>
      </w:r>
      <w:r w:rsidR="00777DCB" w:rsidRPr="00A52585">
        <w:rPr>
          <w:rFonts w:hint="cs"/>
          <w:sz w:val="24"/>
          <w:szCs w:val="24"/>
          <w:rtl/>
        </w:rPr>
        <w:t xml:space="preserve"> كنت بالكوفة في دار الإمارة دار علي بن أبي طالب إذ دخل علينا نرف بن عبد الله فقال</w:t>
      </w:r>
      <w:r w:rsidRPr="00A52585">
        <w:rPr>
          <w:rFonts w:hint="cs"/>
          <w:sz w:val="24"/>
          <w:szCs w:val="24"/>
          <w:rtl/>
        </w:rPr>
        <w:t>:</w:t>
      </w:r>
      <w:r w:rsidR="00777DCB" w:rsidRPr="00A52585">
        <w:rPr>
          <w:rFonts w:hint="cs"/>
          <w:sz w:val="24"/>
          <w:szCs w:val="24"/>
          <w:rtl/>
        </w:rPr>
        <w:t xml:space="preserve"> يا أمير المؤمنين بالباب أربعون رجلا من اليهود، فقال عليّ </w:t>
      </w:r>
      <w:proofErr w:type="spellStart"/>
      <w:r w:rsidR="00777DCB" w:rsidRPr="00A52585">
        <w:rPr>
          <w:rFonts w:hint="cs"/>
          <w:sz w:val="24"/>
          <w:szCs w:val="24"/>
          <w:rtl/>
        </w:rPr>
        <w:t>عليّ</w:t>
      </w:r>
      <w:proofErr w:type="spellEnd"/>
      <w:r w:rsidR="00777DCB" w:rsidRPr="00A52585">
        <w:rPr>
          <w:rFonts w:hint="cs"/>
          <w:sz w:val="24"/>
          <w:szCs w:val="24"/>
          <w:rtl/>
        </w:rPr>
        <w:t xml:space="preserve"> بهم، فلما وقفوا بين يديه قالوا له</w:t>
      </w:r>
      <w:r w:rsidRPr="00A52585">
        <w:rPr>
          <w:rFonts w:hint="cs"/>
          <w:sz w:val="24"/>
          <w:szCs w:val="24"/>
          <w:rtl/>
        </w:rPr>
        <w:t>:</w:t>
      </w:r>
      <w:r w:rsidR="00777DCB" w:rsidRPr="00A52585">
        <w:rPr>
          <w:rFonts w:hint="cs"/>
          <w:sz w:val="24"/>
          <w:szCs w:val="24"/>
          <w:rtl/>
        </w:rPr>
        <w:t xml:space="preserve"> يا علي صف لنا ربك هذا الذي في السماء كيف هو</w:t>
      </w:r>
      <w:r w:rsidR="00F95886" w:rsidRPr="00A52585">
        <w:rPr>
          <w:rFonts w:hint="cs"/>
          <w:sz w:val="24"/>
          <w:szCs w:val="24"/>
          <w:rtl/>
        </w:rPr>
        <w:t>؟</w:t>
      </w:r>
      <w:r w:rsidR="00777DCB" w:rsidRPr="00A52585">
        <w:rPr>
          <w:rFonts w:hint="cs"/>
          <w:sz w:val="24"/>
          <w:szCs w:val="24"/>
          <w:rtl/>
        </w:rPr>
        <w:t xml:space="preserve"> فاستوى على جالسا وقال</w:t>
      </w:r>
      <w:r w:rsidRPr="00A52585">
        <w:rPr>
          <w:rFonts w:hint="cs"/>
          <w:sz w:val="24"/>
          <w:szCs w:val="24"/>
          <w:rtl/>
        </w:rPr>
        <w:t>:</w:t>
      </w:r>
      <w:r w:rsidR="00777DCB" w:rsidRPr="00A52585">
        <w:rPr>
          <w:rFonts w:hint="cs"/>
          <w:sz w:val="24"/>
          <w:szCs w:val="24"/>
          <w:rtl/>
        </w:rPr>
        <w:t xml:space="preserve"> معشر اليهود اسمعوا مني ولا تبالوا ألا تسألوا أحداً غيري</w:t>
      </w:r>
      <w:r w:rsidRPr="00A52585">
        <w:rPr>
          <w:rFonts w:hint="cs"/>
          <w:sz w:val="24"/>
          <w:szCs w:val="24"/>
          <w:rtl/>
        </w:rPr>
        <w:t>:</w:t>
      </w:r>
      <w:r w:rsidR="00777DCB" w:rsidRPr="00A52585">
        <w:rPr>
          <w:rFonts w:hint="cs"/>
          <w:sz w:val="24"/>
          <w:szCs w:val="24"/>
          <w:rtl/>
        </w:rPr>
        <w:t xml:space="preserve"> إن ربي عز وجل هو الأول لم يبد مما، ولا نماذج مع ما، ولا حال وهما ولا شبح يتقضى، ولا محجوب فيحوى، ولا كان بعد أن لم يكن فيقال حادث، بل جل أن يكيف المكيف للأشياء كيف كان، بل لم يزل ولا يزول لاختلاف الأزمان، ولا لتقلب شأن بعد شأن وكيف يوصف بالأشباح وكيف ينعت بالأنس الفصاح، من لم يكن في الأشياء فيقال بائن، ولم يبن عنها فيها كائن، بل هو بلا كيفية وهو أقرب من حبل الوريد، وأبعد في الشبه من كل يعيد، لا يخفي عليه من عباده شخوص لحظة، </w:t>
      </w:r>
      <w:r w:rsidR="00777DCB" w:rsidRPr="00A52585">
        <w:rPr>
          <w:rFonts w:hint="cs"/>
          <w:sz w:val="24"/>
          <w:szCs w:val="24"/>
          <w:rtl/>
        </w:rPr>
        <w:lastRenderedPageBreak/>
        <w:t xml:space="preserve">ولا كرور لفظة، ولا </w:t>
      </w:r>
      <w:proofErr w:type="spellStart"/>
      <w:r w:rsidR="00777DCB" w:rsidRPr="00A52585">
        <w:rPr>
          <w:rFonts w:hint="cs"/>
          <w:sz w:val="24"/>
          <w:szCs w:val="24"/>
          <w:rtl/>
        </w:rPr>
        <w:t>أزدلاف</w:t>
      </w:r>
      <w:proofErr w:type="spellEnd"/>
      <w:r w:rsidR="00777DCB" w:rsidRPr="00A52585">
        <w:rPr>
          <w:rFonts w:hint="cs"/>
          <w:sz w:val="24"/>
          <w:szCs w:val="24"/>
          <w:rtl/>
        </w:rPr>
        <w:t xml:space="preserve"> رقوة، ولا انبساط خطوة، في غسق ليل داج ولا </w:t>
      </w:r>
      <w:proofErr w:type="spellStart"/>
      <w:r w:rsidR="00777DCB" w:rsidRPr="00A52585">
        <w:rPr>
          <w:rFonts w:hint="cs"/>
          <w:sz w:val="24"/>
          <w:szCs w:val="24"/>
          <w:rtl/>
        </w:rPr>
        <w:t>إلاج</w:t>
      </w:r>
      <w:proofErr w:type="spellEnd"/>
      <w:r w:rsidR="00777DCB" w:rsidRPr="00A52585">
        <w:rPr>
          <w:rFonts w:hint="cs"/>
          <w:sz w:val="24"/>
          <w:szCs w:val="24"/>
          <w:rtl/>
        </w:rPr>
        <w:t>، لا يتغشى عليه القمر المنير، ولا انبساط الشمس ذات النور بضوئهما في الكرور، ولا إقبال ليل مقبل، ولا إدبار نهار مدبر، إلا وهو محيط بما يريد من تكوينه، فهو العالم بكل مكان وكل حين وأوان، وكل نهاية ومدة والأمد إلى الخلق مضروب، والحد إلى غيره منسوب، لم يخلق الأشياء من أصول أولية، ولا بأوائل كانت قبله بدية، بل خلق ما خلق فأقام خلقه، وصور ما صور فأحسن صورته، توحد في علوه فليس لشيء من امتناع، ولا له بطاعة شيء من خلقه انتفاع، إجابته للداعين سريعة، والملائكة في السموات والأرضين له مطيعة، علمه بالأموات البائدين، كعلمه بالأحياء المتقلبين، وعلمه بما في السموات العلى كعلمه بما في الأرض السفلى، وعلمه بكل شيء، لا تحيره الأصوات ولا تشغله اللغات سميع للأصوات المختلفة، بلا جوارح له مؤتلفة، مدبر بصير، عالم بالأمور، حي قيوم</w:t>
      </w:r>
      <w:r w:rsidR="00DB731D" w:rsidRPr="00A52585">
        <w:rPr>
          <w:rFonts w:hint="cs"/>
          <w:sz w:val="24"/>
          <w:szCs w:val="24"/>
          <w:rtl/>
        </w:rPr>
        <w:t>،</w:t>
      </w:r>
      <w:r w:rsidR="00777DCB" w:rsidRPr="00A52585">
        <w:rPr>
          <w:rFonts w:hint="cs"/>
          <w:sz w:val="24"/>
          <w:szCs w:val="24"/>
          <w:rtl/>
        </w:rPr>
        <w:t xml:space="preserve"> سبحانه كلم موسى تكليما بلا جوارح ولا أدوات، ولا شفة ولا لهوات سبحانه وتعالى عن تكييف الصفات، من زعم أن إلهنا محدود، فقد جهل الخالق المعبود، ومن ذكر أن الأماكن به تحيط، لزمته الحيرة والتخليط، بل هو المحيط بكل مكان</w:t>
      </w:r>
      <w:r w:rsidR="00DB731D" w:rsidRPr="00A52585">
        <w:rPr>
          <w:rFonts w:hint="cs"/>
          <w:sz w:val="24"/>
          <w:szCs w:val="24"/>
          <w:rtl/>
        </w:rPr>
        <w:t>،</w:t>
      </w:r>
      <w:r w:rsidR="00777DCB" w:rsidRPr="00A52585">
        <w:rPr>
          <w:rFonts w:hint="cs"/>
          <w:sz w:val="24"/>
          <w:szCs w:val="24"/>
          <w:rtl/>
        </w:rPr>
        <w:t xml:space="preserve"> فإن كنت صادقاً أيها المتكلف لوصف الرحمن، بخلاف التنزيل والبرهان فصف لي جبريل وميكائيل وإسرافيل هيهات، أتعجز عن صفة مخلوق مثلك وتصف الخالق المعبود</w:t>
      </w:r>
      <w:r w:rsidR="00F95886" w:rsidRPr="00A52585">
        <w:rPr>
          <w:rFonts w:hint="cs"/>
          <w:sz w:val="24"/>
          <w:szCs w:val="24"/>
          <w:rtl/>
        </w:rPr>
        <w:t>!</w:t>
      </w:r>
      <w:r w:rsidR="00777DCB" w:rsidRPr="00A52585">
        <w:rPr>
          <w:rFonts w:hint="cs"/>
          <w:sz w:val="24"/>
          <w:szCs w:val="24"/>
          <w:rtl/>
        </w:rPr>
        <w:t xml:space="preserve"> وما تدرك صفة رث الهيئة والأدوات فكيف من لم تأخذه سنة ولا نوم</w:t>
      </w:r>
      <w:r w:rsidR="00F95886" w:rsidRPr="00A52585">
        <w:rPr>
          <w:rFonts w:hint="cs"/>
          <w:sz w:val="24"/>
          <w:szCs w:val="24"/>
          <w:rtl/>
        </w:rPr>
        <w:t>؟</w:t>
      </w:r>
      <w:r w:rsidR="00777DCB" w:rsidRPr="00A52585">
        <w:rPr>
          <w:rFonts w:hint="cs"/>
          <w:sz w:val="24"/>
          <w:szCs w:val="24"/>
          <w:rtl/>
        </w:rPr>
        <w:t xml:space="preserve"> له ما في الأرضين والسموات وما بينهما وهو رب العرش العظيم "</w:t>
      </w:r>
      <w:r w:rsidRPr="00A52585">
        <w:rPr>
          <w:rFonts w:hint="cs"/>
          <w:sz w:val="24"/>
          <w:szCs w:val="24"/>
          <w:rtl/>
        </w:rPr>
        <w:t xml:space="preserve"> </w:t>
      </w:r>
      <w:r w:rsidR="00777DCB" w:rsidRPr="00A52585">
        <w:rPr>
          <w:rFonts w:hint="cs"/>
          <w:sz w:val="24"/>
          <w:szCs w:val="24"/>
          <w:rtl/>
        </w:rPr>
        <w:t>وذكر الحافظ أبو نعيم أن هذا الحديث أرسله محمد بن إسحاق</w:t>
      </w:r>
      <w:r w:rsidRPr="00A52585">
        <w:rPr>
          <w:rFonts w:hint="cs"/>
          <w:sz w:val="24"/>
          <w:szCs w:val="24"/>
          <w:rtl/>
        </w:rPr>
        <w:t>]</w:t>
      </w:r>
      <w:r w:rsidR="00DB731D" w:rsidRPr="00A52585">
        <w:rPr>
          <w:rFonts w:hint="cs"/>
          <w:sz w:val="24"/>
          <w:szCs w:val="24"/>
          <w:rtl/>
        </w:rPr>
        <w:t>،</w:t>
      </w:r>
      <w:r w:rsidR="00777DCB" w:rsidRPr="00A52585">
        <w:rPr>
          <w:rFonts w:hint="cs"/>
          <w:rtl/>
        </w:rPr>
        <w:t xml:space="preserve"> وقال أيضاً رضي الله عنه</w:t>
      </w:r>
      <w:r w:rsidRPr="00A52585">
        <w:rPr>
          <w:rFonts w:hint="cs"/>
          <w:rtl/>
        </w:rPr>
        <w:t>:</w:t>
      </w:r>
      <w:r w:rsidR="00777DCB" w:rsidRPr="00A52585">
        <w:rPr>
          <w:rFonts w:hint="cs"/>
          <w:rtl/>
        </w:rPr>
        <w:t xml:space="preserve"> عَرّفنا الله سبحانه وتعالى نفسه بلا كيف</w:t>
      </w:r>
      <w:r w:rsidR="00DB731D" w:rsidRPr="00A52585">
        <w:rPr>
          <w:rFonts w:hint="cs"/>
          <w:rtl/>
        </w:rPr>
        <w:t>،</w:t>
      </w:r>
      <w:r w:rsidR="00777DCB" w:rsidRPr="00A52585">
        <w:rPr>
          <w:rFonts w:hint="cs"/>
          <w:rtl/>
        </w:rPr>
        <w:t xml:space="preserve"> وبعث سيدنا محمداً صلى الله عليه وسلم بتبليغ القرآن وبيان مفصلات الإسلام والإيمان وإثبات الحجة وتقويم الناس على منهج الإخلاص فصدقته بما جاء به</w:t>
      </w:r>
      <w:r w:rsidR="00DB731D" w:rsidRPr="00A52585">
        <w:rPr>
          <w:rFonts w:hint="cs"/>
          <w:rtl/>
        </w:rPr>
        <w:t>،</w:t>
      </w:r>
      <w:r w:rsidR="00777DCB" w:rsidRPr="00A52585">
        <w:rPr>
          <w:rFonts w:hint="cs"/>
          <w:rtl/>
        </w:rPr>
        <w:t xml:space="preserve"> وقال الإمام الحافظ محمد بن علي الترمذي صاحب التصانيف المشهورة</w:t>
      </w:r>
      <w:r w:rsidRPr="00A52585">
        <w:rPr>
          <w:rFonts w:hint="cs"/>
          <w:rtl/>
        </w:rPr>
        <w:t>:</w:t>
      </w:r>
      <w:r w:rsidR="00777DCB" w:rsidRPr="00A52585">
        <w:rPr>
          <w:rFonts w:hint="cs"/>
          <w:rtl/>
        </w:rPr>
        <w:t xml:space="preserve"> من جهل أوصاف العبودية فهو بنعت الربوبية أجهل</w:t>
      </w:r>
      <w:r w:rsidR="00DB731D" w:rsidRPr="00A52585">
        <w:rPr>
          <w:rFonts w:hint="cs"/>
          <w:rtl/>
        </w:rPr>
        <w:t>،</w:t>
      </w:r>
      <w:r w:rsidR="00777DCB" w:rsidRPr="00A52585">
        <w:rPr>
          <w:rFonts w:hint="cs"/>
          <w:rtl/>
        </w:rPr>
        <w:t xml:space="preserve"> قال جعفر في قوله تعالى</w:t>
      </w:r>
      <w:r w:rsidRPr="00A52585">
        <w:rPr>
          <w:rFonts w:hint="cs"/>
          <w:rtl/>
        </w:rPr>
        <w:t>:</w:t>
      </w:r>
      <w:r w:rsidR="00777DCB" w:rsidRPr="00A52585">
        <w:rPr>
          <w:rFonts w:hint="cs"/>
          <w:rtl/>
        </w:rPr>
        <w:t xml:space="preserve"> {قل هو الله أحد}</w:t>
      </w:r>
      <w:r w:rsidRPr="00A52585">
        <w:rPr>
          <w:rFonts w:hint="cs"/>
          <w:rtl/>
        </w:rPr>
        <w:t>:</w:t>
      </w:r>
      <w:r w:rsidR="00777DCB" w:rsidRPr="00A52585">
        <w:rPr>
          <w:rFonts w:hint="cs"/>
          <w:rtl/>
        </w:rPr>
        <w:t xml:space="preserve"> هو الذي لم يعط لأحد من معرفته إلا الاسم</w:t>
      </w:r>
      <w:r w:rsidRPr="00A52585">
        <w:rPr>
          <w:rFonts w:hint="cs"/>
          <w:vertAlign w:val="superscript"/>
          <w:rtl/>
        </w:rPr>
        <w:t xml:space="preserve"> </w:t>
      </w:r>
      <w:r w:rsidR="00777DCB" w:rsidRPr="00A52585">
        <w:rPr>
          <w:rFonts w:hint="cs"/>
          <w:rtl/>
        </w:rPr>
        <w:t>والصفة</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الذي لا يدرك حقيقة نعوته وصفاته إلا هو</w:t>
      </w:r>
      <w:r w:rsidR="00DB731D" w:rsidRPr="00A52585">
        <w:rPr>
          <w:rFonts w:hint="cs"/>
          <w:rtl/>
        </w:rPr>
        <w:t>،</w:t>
      </w:r>
      <w:r w:rsidR="00777DCB" w:rsidRPr="00A52585">
        <w:rPr>
          <w:rFonts w:hint="cs"/>
          <w:rtl/>
        </w:rPr>
        <w:t xml:space="preserve"> وقوله تعالى {الله الصمد} قيل</w:t>
      </w:r>
      <w:r w:rsidRPr="00A52585">
        <w:rPr>
          <w:rFonts w:hint="cs"/>
          <w:rtl/>
        </w:rPr>
        <w:t>:</w:t>
      </w:r>
      <w:r w:rsidR="00777DCB" w:rsidRPr="00A52585">
        <w:rPr>
          <w:rFonts w:hint="cs"/>
          <w:rtl/>
        </w:rPr>
        <w:t xml:space="preserve"> هو الذي أيست العقول من أن تطلع عليه أو تدرك ما وصف به نفسه ونسب إليه</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السيد الذي لا نهاية لسؤدده</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w:t>
      </w:r>
      <w:proofErr w:type="spellStart"/>
      <w:r w:rsidR="00777DCB" w:rsidRPr="00A52585">
        <w:rPr>
          <w:rFonts w:hint="cs"/>
          <w:rtl/>
        </w:rPr>
        <w:t>المصمود</w:t>
      </w:r>
      <w:proofErr w:type="spellEnd"/>
      <w:r w:rsidR="00777DCB" w:rsidRPr="00A52585">
        <w:rPr>
          <w:rFonts w:hint="cs"/>
          <w:rtl/>
        </w:rPr>
        <w:t xml:space="preserve"> إليه في الحوائج</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الذي لا يستغني عنه شيء من الأشياء</w:t>
      </w:r>
      <w:r w:rsidR="00DB731D" w:rsidRPr="00A52585">
        <w:rPr>
          <w:rFonts w:hint="cs"/>
          <w:rtl/>
        </w:rPr>
        <w:t>،</w:t>
      </w:r>
      <w:r w:rsidR="00777DCB" w:rsidRPr="00A52585">
        <w:rPr>
          <w:rFonts w:hint="cs"/>
          <w:rtl/>
        </w:rPr>
        <w:t xml:space="preserve"> وقال ابن عباس رضي الله عنهما</w:t>
      </w:r>
      <w:r w:rsidRPr="00A52585">
        <w:rPr>
          <w:rFonts w:hint="cs"/>
          <w:rtl/>
        </w:rPr>
        <w:t>:</w:t>
      </w:r>
      <w:r w:rsidR="00777DCB" w:rsidRPr="00A52585">
        <w:rPr>
          <w:rFonts w:hint="cs"/>
          <w:rtl/>
        </w:rPr>
        <w:t xml:space="preserve"> معناه الذي لا جوف له. وقيل غير ذلك</w:t>
      </w:r>
      <w:r w:rsidR="00DB731D" w:rsidRPr="00A52585">
        <w:rPr>
          <w:rFonts w:hint="cs"/>
          <w:rtl/>
        </w:rPr>
        <w:t>،</w:t>
      </w:r>
      <w:r w:rsidR="00777DCB" w:rsidRPr="00A52585">
        <w:rPr>
          <w:rFonts w:hint="cs"/>
          <w:rtl/>
        </w:rPr>
        <w:t xml:space="preserve"> وقوله {</w:t>
      </w:r>
      <w:r w:rsidR="00777DCB" w:rsidRPr="00A52585">
        <w:rPr>
          <w:rFonts w:hint="cs"/>
          <w:bCs/>
          <w:rtl/>
        </w:rPr>
        <w:t>لم يلد ولم يولد</w:t>
      </w:r>
      <w:r w:rsidR="00777DCB" w:rsidRPr="00A52585">
        <w:rPr>
          <w:rFonts w:hint="cs"/>
          <w:rtl/>
        </w:rPr>
        <w:t>}</w:t>
      </w:r>
      <w:r w:rsidRPr="00A52585">
        <w:rPr>
          <w:rFonts w:hint="cs"/>
          <w:rtl/>
        </w:rPr>
        <w:t xml:space="preserve"> </w:t>
      </w:r>
      <w:r w:rsidR="00777DCB" w:rsidRPr="00A52585">
        <w:rPr>
          <w:rFonts w:hint="cs"/>
          <w:rtl/>
        </w:rPr>
        <w:t xml:space="preserve">نفي الجنسية </w:t>
      </w:r>
      <w:proofErr w:type="spellStart"/>
      <w:r w:rsidR="00777DCB" w:rsidRPr="00A52585">
        <w:rPr>
          <w:rFonts w:hint="cs"/>
          <w:rtl/>
        </w:rPr>
        <w:t>والبعضية</w:t>
      </w:r>
      <w:proofErr w:type="spellEnd"/>
      <w:r w:rsidR="00DB731D" w:rsidRPr="00A52585">
        <w:rPr>
          <w:rFonts w:hint="cs"/>
          <w:rtl/>
        </w:rPr>
        <w:t>،</w:t>
      </w:r>
      <w:r w:rsidR="00777DCB" w:rsidRPr="00A52585">
        <w:rPr>
          <w:rFonts w:hint="cs"/>
          <w:rtl/>
        </w:rPr>
        <w:t xml:space="preserve"> وقوله {ولم يكن له كفواً أحد} نفي الشريك والنظير</w:t>
      </w:r>
      <w:r w:rsidR="00DB731D" w:rsidRPr="00A52585">
        <w:rPr>
          <w:rFonts w:hint="cs"/>
          <w:rtl/>
        </w:rPr>
        <w:t>،</w:t>
      </w:r>
      <w:r w:rsidR="00777DCB" w:rsidRPr="00A52585">
        <w:rPr>
          <w:rFonts w:hint="cs"/>
          <w:rtl/>
        </w:rPr>
        <w:t xml:space="preserve"> فهو الذي لا نظير له في ذات ولا صفة ولا فعل فتعالى أن تدركه الأوهام والعقول والعلوم بل هو كما وصف نفسه</w:t>
      </w:r>
      <w:r w:rsidR="00DB731D" w:rsidRPr="00A52585">
        <w:rPr>
          <w:rFonts w:hint="cs"/>
          <w:rtl/>
        </w:rPr>
        <w:t>،</w:t>
      </w:r>
      <w:r w:rsidR="00777DCB" w:rsidRPr="00A52585">
        <w:rPr>
          <w:rFonts w:hint="cs"/>
          <w:rtl/>
        </w:rPr>
        <w:t xml:space="preserve"> والكيفية عن وصفه غير معقولة ولا موهومة. كيف يكون ذلك وهو قديم الذات والصفات</w:t>
      </w:r>
      <w:r w:rsidR="00DB731D" w:rsidRPr="00A52585">
        <w:rPr>
          <w:rFonts w:hint="cs"/>
          <w:rtl/>
        </w:rPr>
        <w:t>،</w:t>
      </w:r>
      <w:r w:rsidR="00777DCB" w:rsidRPr="00A52585">
        <w:rPr>
          <w:rFonts w:hint="cs"/>
          <w:rtl/>
        </w:rPr>
        <w:t xml:space="preserve"> والتخيل إنما يكون في المحدثات</w:t>
      </w:r>
      <w:r w:rsidR="00F95886" w:rsidRPr="00A52585">
        <w:rPr>
          <w:rFonts w:hint="cs"/>
          <w:rtl/>
        </w:rPr>
        <w:t>؟!</w:t>
      </w:r>
      <w:r w:rsidR="00777DCB" w:rsidRPr="00A52585">
        <w:rPr>
          <w:rFonts w:hint="cs"/>
          <w:rtl/>
        </w:rPr>
        <w:t xml:space="preserve"> وسئل الإمام العلامة أبو الحسن الدينوري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أبو الحسن علي بن محمد بن سهل الدينوري اشتهر باسم، أبو الحسن بن الصائغ كان من كبار المشايخ، أقام بمصر ومات بها سنة ثلاثين وثلاثمائة</w:t>
      </w:r>
      <w:r w:rsidRPr="00A52585">
        <w:rPr>
          <w:rFonts w:hint="cs"/>
          <w:sz w:val="24"/>
          <w:szCs w:val="24"/>
          <w:rtl/>
        </w:rPr>
        <w:t>]</w:t>
      </w:r>
      <w:r w:rsidR="00DB731D" w:rsidRPr="00A52585">
        <w:rPr>
          <w:rFonts w:hint="cs"/>
          <w:sz w:val="24"/>
          <w:rtl/>
        </w:rPr>
        <w:t>،</w:t>
      </w:r>
      <w:r w:rsidR="00777DCB" w:rsidRPr="00A52585">
        <w:rPr>
          <w:rFonts w:hint="cs"/>
          <w:rtl/>
        </w:rPr>
        <w:t xml:space="preserve"> عن الاستدلال بالشاهد على الغائب فقال</w:t>
      </w:r>
      <w:r w:rsidRPr="00A52585">
        <w:rPr>
          <w:rFonts w:hint="cs"/>
          <w:rtl/>
        </w:rPr>
        <w:t>:</w:t>
      </w:r>
      <w:r w:rsidR="00777DCB" w:rsidRPr="00A52585">
        <w:rPr>
          <w:rFonts w:hint="cs"/>
          <w:rtl/>
        </w:rPr>
        <w:t xml:space="preserve"> (كيف يستدل بصفات من يشاهد ويعاين </w:t>
      </w:r>
      <w:r w:rsidR="00777DCB" w:rsidRPr="00A52585">
        <w:rPr>
          <w:rFonts w:hint="cs"/>
          <w:rtl/>
        </w:rPr>
        <w:lastRenderedPageBreak/>
        <w:t>وذو مثل على من لا يشاهد ولا يعاين في الدنيا ولا نظير له ولا مِثْل هذا من جهل الجاهلين بالآيات الذين قلبوا حقائق الأمور فجعلوا الآيات صفات</w:t>
      </w:r>
      <w:r w:rsidR="00DB731D" w:rsidRPr="00A52585">
        <w:rPr>
          <w:rFonts w:hint="cs"/>
          <w:rtl/>
        </w:rPr>
        <w:t>،</w:t>
      </w:r>
      <w:r w:rsidR="00777DCB" w:rsidRPr="00A52585">
        <w:rPr>
          <w:rFonts w:hint="cs"/>
          <w:rtl/>
        </w:rPr>
        <w:t xml:space="preserve"> ومعنى الآيات العلامات)</w:t>
      </w:r>
      <w:r w:rsidR="00DB731D" w:rsidRPr="00A52585">
        <w:rPr>
          <w:rFonts w:hint="cs"/>
          <w:rtl/>
        </w:rPr>
        <w:t>،</w:t>
      </w:r>
      <w:r w:rsidR="00777DCB" w:rsidRPr="00A52585">
        <w:rPr>
          <w:rFonts w:hint="cs"/>
          <w:rtl/>
        </w:rPr>
        <w:t xml:space="preserve"> وهو كلام إمام محقق وقد زل خلق كثير بمثل ذلك. فسبحان </w:t>
      </w:r>
      <w:proofErr w:type="spellStart"/>
      <w:r w:rsidR="00777DCB" w:rsidRPr="00A52585">
        <w:rPr>
          <w:rFonts w:hint="cs"/>
          <w:rtl/>
        </w:rPr>
        <w:t>الأحدي</w:t>
      </w:r>
      <w:proofErr w:type="spellEnd"/>
      <w:r w:rsidR="00777DCB" w:rsidRPr="00A52585">
        <w:rPr>
          <w:rFonts w:hint="cs"/>
          <w:rtl/>
        </w:rPr>
        <w:t xml:space="preserve"> الذات العلي الصفات </w:t>
      </w:r>
      <w:proofErr w:type="spellStart"/>
      <w:r w:rsidR="00777DCB" w:rsidRPr="00A52585">
        <w:rPr>
          <w:rFonts w:hint="cs"/>
          <w:rtl/>
        </w:rPr>
        <w:t>المتره</w:t>
      </w:r>
      <w:proofErr w:type="spellEnd"/>
      <w:r w:rsidR="00777DCB" w:rsidRPr="00A52585">
        <w:rPr>
          <w:rFonts w:hint="cs"/>
          <w:rtl/>
        </w:rPr>
        <w:t xml:space="preserve"> عن الآلات. المقدس عن الكيفيات. </w:t>
      </w:r>
      <w:proofErr w:type="spellStart"/>
      <w:r w:rsidR="00777DCB" w:rsidRPr="00A52585">
        <w:rPr>
          <w:rFonts w:hint="cs"/>
          <w:rtl/>
        </w:rPr>
        <w:t>المترّه</w:t>
      </w:r>
      <w:proofErr w:type="spellEnd"/>
      <w:r w:rsidR="00777DCB" w:rsidRPr="00A52585">
        <w:rPr>
          <w:rFonts w:hint="cs"/>
          <w:rtl/>
        </w:rPr>
        <w:t xml:space="preserve"> عن مشابهة المخلوقات</w:t>
      </w:r>
      <w:r w:rsidR="00DB731D" w:rsidRPr="00A52585">
        <w:rPr>
          <w:rFonts w:hint="cs"/>
          <w:rtl/>
        </w:rPr>
        <w:t>،</w:t>
      </w:r>
      <w:r w:rsidR="00777DCB" w:rsidRPr="00A52585">
        <w:rPr>
          <w:rFonts w:hint="cs"/>
          <w:rtl/>
        </w:rPr>
        <w:t xml:space="preserve"> تعالى عما يقوله أهل الزيغ من </w:t>
      </w:r>
      <w:proofErr w:type="spellStart"/>
      <w:r w:rsidR="00777DCB" w:rsidRPr="00A52585">
        <w:rPr>
          <w:rFonts w:hint="cs"/>
          <w:rtl/>
        </w:rPr>
        <w:t>الإلحاقات</w:t>
      </w:r>
      <w:proofErr w:type="spellEnd"/>
      <w:r w:rsidR="00DB731D" w:rsidRPr="00A52585">
        <w:rPr>
          <w:rFonts w:hint="cs"/>
          <w:rtl/>
        </w:rPr>
        <w:t>،</w:t>
      </w:r>
      <w:r w:rsidR="00777DCB" w:rsidRPr="00A52585">
        <w:rPr>
          <w:rFonts w:hint="cs"/>
          <w:rtl/>
        </w:rPr>
        <w:t xml:space="preserve"> كيف يقاس القادر بالمقدورات</w:t>
      </w:r>
      <w:r w:rsidR="00DB731D" w:rsidRPr="00A52585">
        <w:rPr>
          <w:rFonts w:hint="cs"/>
          <w:rtl/>
        </w:rPr>
        <w:t>،</w:t>
      </w:r>
      <w:r w:rsidR="00777DCB" w:rsidRPr="00A52585">
        <w:rPr>
          <w:rFonts w:hint="cs"/>
          <w:rtl/>
        </w:rPr>
        <w:t xml:space="preserve"> والصانع بالمصنوعات</w:t>
      </w:r>
      <w:r w:rsidR="00DB731D" w:rsidRPr="00A52585">
        <w:rPr>
          <w:rFonts w:hint="cs"/>
          <w:rtl/>
        </w:rPr>
        <w:t>،</w:t>
      </w:r>
      <w:r w:rsidR="00777DCB" w:rsidRPr="00A52585">
        <w:rPr>
          <w:rFonts w:hint="cs"/>
          <w:rtl/>
        </w:rPr>
        <w:t xml:space="preserve"> وهي من آياته البينات الظاهرات</w:t>
      </w:r>
      <w:r w:rsidR="00DB731D" w:rsidRPr="00A52585">
        <w:rPr>
          <w:rFonts w:hint="cs"/>
          <w:rtl/>
        </w:rPr>
        <w:t>،</w:t>
      </w:r>
      <w:r w:rsidR="00777DCB" w:rsidRPr="00A52585">
        <w:rPr>
          <w:rFonts w:hint="cs"/>
          <w:rtl/>
        </w:rPr>
        <w:t xml:space="preserve"> رفع </w:t>
      </w:r>
      <w:proofErr w:type="gramStart"/>
      <w:r w:rsidR="00777DCB" w:rsidRPr="00A52585">
        <w:rPr>
          <w:rFonts w:hint="cs"/>
          <w:rtl/>
        </w:rPr>
        <w:t>السموات</w:t>
      </w:r>
      <w:proofErr w:type="gramEnd"/>
      <w:r w:rsidR="00777DCB" w:rsidRPr="00A52585">
        <w:rPr>
          <w:rFonts w:hint="cs"/>
          <w:rtl/>
        </w:rPr>
        <w:t xml:space="preserve"> وبسط الأرض وثبتها بالأوتاد الراسيات</w:t>
      </w:r>
      <w:r w:rsidR="00DB731D" w:rsidRPr="00A52585">
        <w:rPr>
          <w:rFonts w:hint="cs"/>
          <w:rtl/>
        </w:rPr>
        <w:t>،</w:t>
      </w:r>
      <w:r w:rsidR="00777DCB" w:rsidRPr="00A52585">
        <w:rPr>
          <w:rFonts w:hint="cs"/>
          <w:rtl/>
        </w:rPr>
        <w:t xml:space="preserve"> وألحقها بالمزن الماطرات</w:t>
      </w:r>
      <w:r w:rsidR="00DB731D" w:rsidRPr="00A52585">
        <w:rPr>
          <w:rFonts w:hint="cs"/>
          <w:rtl/>
        </w:rPr>
        <w:t>،</w:t>
      </w:r>
      <w:r w:rsidR="00777DCB" w:rsidRPr="00A52585">
        <w:rPr>
          <w:rFonts w:hint="cs"/>
          <w:rtl/>
        </w:rPr>
        <w:t xml:space="preserve"> فزهت بأنواع النباتات المختلفات كذلك يحيى الموتى. فـ {اعلموا أن الله يحي الأرض بعد موتها قد بينا لكم الآيات</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17</w:t>
      </w:r>
      <w:r w:rsidRPr="00A52585">
        <w:rPr>
          <w:rFonts w:hint="cs"/>
          <w:rtl/>
        </w:rPr>
        <w:t>]</w:t>
      </w:r>
      <w:r w:rsidR="00DB731D" w:rsidRPr="00A52585">
        <w:rPr>
          <w:rFonts w:hint="cs"/>
          <w:rtl/>
        </w:rPr>
        <w:t>،</w:t>
      </w:r>
      <w:r w:rsidR="00777DCB" w:rsidRPr="00A52585">
        <w:rPr>
          <w:rFonts w:hint="cs"/>
          <w:rtl/>
        </w:rPr>
        <w:t xml:space="preserve"> قال أرباب البصائر وذوو التحقيقات</w:t>
      </w:r>
      <w:r w:rsidRPr="00A52585">
        <w:rPr>
          <w:rFonts w:hint="cs"/>
          <w:rtl/>
        </w:rPr>
        <w:t>:</w:t>
      </w:r>
      <w:r w:rsidR="00777DCB" w:rsidRPr="00A52585">
        <w:rPr>
          <w:rFonts w:hint="cs"/>
          <w:rtl/>
        </w:rPr>
        <w:t xml:space="preserve"> ليس كذاته ذات. ولا كاسمه اسم من جهة المعنى</w:t>
      </w:r>
      <w:r w:rsidR="00DB731D" w:rsidRPr="00A52585">
        <w:rPr>
          <w:rFonts w:hint="cs"/>
          <w:rtl/>
        </w:rPr>
        <w:t>،</w:t>
      </w:r>
      <w:r w:rsidR="00777DCB" w:rsidRPr="00A52585">
        <w:rPr>
          <w:rFonts w:hint="cs"/>
          <w:rtl/>
        </w:rPr>
        <w:t xml:space="preserve"> ولا لصفته صفة من جميع الوجوه إلا من جهة موافقة اللفظ</w:t>
      </w:r>
      <w:r w:rsidR="00DB731D" w:rsidRPr="00A52585">
        <w:rPr>
          <w:rFonts w:hint="cs"/>
          <w:rtl/>
        </w:rPr>
        <w:t>،</w:t>
      </w:r>
      <w:r w:rsidR="00777DCB" w:rsidRPr="00A52585">
        <w:rPr>
          <w:rFonts w:hint="cs"/>
          <w:rtl/>
        </w:rPr>
        <w:t xml:space="preserve"> وكما لم يجز أن يظهر من مخلوق صفة قديمة كذلك يستحيل أن يظهر من الذات الذي ليس كمثله شيء صفة حديثة وأن التكرار من حدوث الصفة جل ربنا أن يحدث له صفة أو اسم إذ لم يزل بجميع صفاته واحداً ولا يزال كذلك وكل أمور التوحيد والتفريد خرجت من هذه الكلمة {</w:t>
      </w:r>
      <w:r w:rsidR="00777DCB" w:rsidRPr="00A52585">
        <w:rPr>
          <w:rFonts w:hint="cs"/>
          <w:bCs/>
          <w:rtl/>
        </w:rPr>
        <w:t>ليس كمثله شيء</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لأنه ما عبر عن الحقيقة بشيء إلا والعلة مصحوبة</w:t>
      </w:r>
      <w:r w:rsidR="00DB731D" w:rsidRPr="00A52585">
        <w:rPr>
          <w:rFonts w:hint="cs"/>
          <w:rtl/>
        </w:rPr>
        <w:t>،</w:t>
      </w:r>
      <w:r w:rsidR="00777DCB" w:rsidRPr="00A52585">
        <w:rPr>
          <w:rFonts w:hint="cs"/>
          <w:rtl/>
        </w:rPr>
        <w:t xml:space="preserve"> والعبارة منقوضة لأن الحق لا ينعت إلاّ على إقراره لأن كل ناعت مشرف على النعوت وجل ربنا أن يشرف عليه مخلوق احتجب عن خلقه بخلقه ثم عرفهم صنعه بصنعه وساقهم إلى أمره بأمره فلا يمكن الأوهام أن تناله ولا العقول أن تختاله ولا الأبصار أن تمثله ولا الأسماع أن تستمله. ولا الأماني أن تمتحنه. هو الذي لا قبل له ولا بعد ولا مقصر عنه ولا معدل ولا غاية وراءه ولا مثل</w:t>
      </w:r>
      <w:r w:rsidR="00DB731D" w:rsidRPr="00A52585">
        <w:rPr>
          <w:rFonts w:hint="cs"/>
          <w:rtl/>
        </w:rPr>
        <w:t>،</w:t>
      </w:r>
      <w:r w:rsidR="00777DCB" w:rsidRPr="00A52585">
        <w:rPr>
          <w:rFonts w:hint="cs"/>
          <w:rtl/>
        </w:rPr>
        <w:t xml:space="preserve"> ليس له أمد ولا نهاية</w:t>
      </w:r>
      <w:r w:rsidR="00DB731D" w:rsidRPr="00A52585">
        <w:rPr>
          <w:rFonts w:hint="cs"/>
          <w:rtl/>
        </w:rPr>
        <w:t>،</w:t>
      </w:r>
      <w:r w:rsidR="00777DCB" w:rsidRPr="00A52585">
        <w:rPr>
          <w:rFonts w:hint="cs"/>
          <w:rtl/>
        </w:rPr>
        <w:t xml:space="preserve"> ولا غاية ولا ميقات</w:t>
      </w:r>
      <w:r w:rsidR="00DB731D" w:rsidRPr="00A52585">
        <w:rPr>
          <w:rFonts w:hint="cs"/>
          <w:rtl/>
        </w:rPr>
        <w:t>،</w:t>
      </w:r>
      <w:r w:rsidR="00777DCB" w:rsidRPr="00A52585">
        <w:rPr>
          <w:rFonts w:hint="cs"/>
          <w:rtl/>
        </w:rPr>
        <w:t xml:space="preserve"> ولا انقضاء. ولا يستره حجاب. ولا يقله مكان ولا </w:t>
      </w:r>
      <w:proofErr w:type="spellStart"/>
      <w:r w:rsidR="00777DCB" w:rsidRPr="00A52585">
        <w:rPr>
          <w:rFonts w:hint="cs"/>
          <w:rtl/>
        </w:rPr>
        <w:t>يحويه</w:t>
      </w:r>
      <w:proofErr w:type="spellEnd"/>
      <w:r w:rsidR="00777DCB" w:rsidRPr="00A52585">
        <w:rPr>
          <w:rFonts w:hint="cs"/>
          <w:rtl/>
        </w:rPr>
        <w:t xml:space="preserve"> هواء</w:t>
      </w:r>
      <w:r w:rsidR="00DB731D" w:rsidRPr="00A52585">
        <w:rPr>
          <w:rFonts w:hint="cs"/>
          <w:rtl/>
        </w:rPr>
        <w:t>،</w:t>
      </w:r>
      <w:r w:rsidR="00777DCB" w:rsidRPr="00A52585">
        <w:rPr>
          <w:rFonts w:hint="cs"/>
          <w:rtl/>
        </w:rPr>
        <w:t xml:space="preserve"> ولا </w:t>
      </w:r>
      <w:proofErr w:type="spellStart"/>
      <w:r w:rsidR="00777DCB" w:rsidRPr="00A52585">
        <w:rPr>
          <w:rFonts w:hint="cs"/>
          <w:rtl/>
        </w:rPr>
        <w:t>يحتاطه</w:t>
      </w:r>
      <w:proofErr w:type="spellEnd"/>
      <w:r w:rsidR="00777DCB" w:rsidRPr="00A52585">
        <w:rPr>
          <w:rFonts w:hint="cs"/>
          <w:rtl/>
        </w:rPr>
        <w:t xml:space="preserve"> فضاء ولا يتضمنه خلاء {ليس كمثله شيء وهو السميع البصير</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الشورى</w:t>
      </w:r>
      <w:r w:rsidRPr="00A52585">
        <w:rPr>
          <w:rFonts w:hint="cs"/>
          <w:rtl/>
        </w:rPr>
        <w:t>:</w:t>
      </w:r>
      <w:r w:rsidR="00777DCB" w:rsidRPr="00A52585">
        <w:rPr>
          <w:rFonts w:hint="cs"/>
          <w:rtl/>
        </w:rPr>
        <w:t xml:space="preserve"> 11</w:t>
      </w:r>
      <w:r w:rsidRPr="00A52585">
        <w:rPr>
          <w:rFonts w:hint="cs"/>
          <w:rtl/>
        </w:rPr>
        <w:t>]</w:t>
      </w:r>
      <w:r w:rsidR="00DB731D" w:rsidRPr="00A52585">
        <w:rPr>
          <w:rFonts w:hint="cs"/>
          <w:rtl/>
        </w:rPr>
        <w:t>،</w:t>
      </w:r>
      <w:r w:rsidR="00777DCB" w:rsidRPr="00A52585">
        <w:rPr>
          <w:rFonts w:hint="cs"/>
          <w:rtl/>
        </w:rPr>
        <w:t xml:space="preserve"> قال ابن عباس رضي الله عنهما معنى الآية</w:t>
      </w:r>
      <w:r w:rsidRPr="00A52585">
        <w:rPr>
          <w:rFonts w:hint="cs"/>
          <w:rtl/>
        </w:rPr>
        <w:t>:</w:t>
      </w:r>
      <w:r w:rsidR="00777DCB" w:rsidRPr="00A52585">
        <w:rPr>
          <w:rFonts w:hint="cs"/>
          <w:rtl/>
        </w:rPr>
        <w:t xml:space="preserve"> ليس له نظير</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الكاف صلة – أعني زائدة – فالمعنى ليس مثله شيء</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المثل صلة فالمعنى ليس </w:t>
      </w:r>
      <w:proofErr w:type="spellStart"/>
      <w:r w:rsidR="00777DCB" w:rsidRPr="00A52585">
        <w:rPr>
          <w:rFonts w:hint="cs"/>
          <w:rtl/>
        </w:rPr>
        <w:t>كهو</w:t>
      </w:r>
      <w:proofErr w:type="spellEnd"/>
      <w:r w:rsidR="00777DCB" w:rsidRPr="00A52585">
        <w:rPr>
          <w:rFonts w:hint="cs"/>
          <w:rtl/>
        </w:rPr>
        <w:t xml:space="preserve"> شيء فأدخل المثل للتأكيد</w:t>
      </w:r>
      <w:r w:rsidR="00DB731D" w:rsidRPr="00A52585">
        <w:rPr>
          <w:rFonts w:hint="cs"/>
          <w:rtl/>
        </w:rPr>
        <w:t>،</w:t>
      </w:r>
      <w:r w:rsidR="00777DCB" w:rsidRPr="00A52585">
        <w:rPr>
          <w:rFonts w:hint="cs"/>
          <w:rtl/>
        </w:rPr>
        <w:t xml:space="preserve"> فمن الجهل البين أن يطلب العبد درك ما لا يدرك وأن يتصور ما لا يتصور كيف وقد نزه نفسه بنفسه عن أن يدرك بالحواس. أو يتصور بالعقل الحادث والقياس. فلا يدركه العقل الصحيح من جهة التمثيل. ويدركه من جهة الدليل. فكل ما </w:t>
      </w:r>
      <w:proofErr w:type="spellStart"/>
      <w:r w:rsidR="00777DCB" w:rsidRPr="00A52585">
        <w:rPr>
          <w:rFonts w:hint="cs"/>
          <w:rtl/>
        </w:rPr>
        <w:t>يتوهمه</w:t>
      </w:r>
      <w:proofErr w:type="spellEnd"/>
      <w:r w:rsidR="00777DCB" w:rsidRPr="00A52585">
        <w:rPr>
          <w:rFonts w:hint="cs"/>
          <w:rtl/>
        </w:rPr>
        <w:t xml:space="preserve"> العقل فهو جسم وله نهاية في جسمه وجنسه ونوعه وحركته وسكونه مع ما يلزمه من الحدود والمساحة ومن الطول والعرض وغير ذلك من صفات الحدث تعالى الله عز وجل عن ذلك فهو الكائن قبل الزمان والمكان المحدثين</w:t>
      </w:r>
      <w:r w:rsidR="00DB731D" w:rsidRPr="00A52585">
        <w:rPr>
          <w:rFonts w:hint="cs"/>
          <w:rtl/>
        </w:rPr>
        <w:t>،</w:t>
      </w:r>
      <w:r w:rsidR="00777DCB" w:rsidRPr="00A52585">
        <w:rPr>
          <w:rFonts w:hint="cs"/>
          <w:rtl/>
        </w:rPr>
        <w:t xml:space="preserve"> وهو الأول قبل سوابق العدم الأبدي بعد لواحق القدم</w:t>
      </w:r>
      <w:r w:rsidR="00DB731D" w:rsidRPr="00A52585">
        <w:rPr>
          <w:rFonts w:hint="cs"/>
          <w:rtl/>
        </w:rPr>
        <w:t>،</w:t>
      </w:r>
      <w:r w:rsidR="00777DCB" w:rsidRPr="00A52585">
        <w:rPr>
          <w:rFonts w:hint="cs"/>
          <w:rtl/>
        </w:rPr>
        <w:t xml:space="preserve"> ليس كذاته ذات ولا كصفاته </w:t>
      </w:r>
      <w:r w:rsidR="00777DCB" w:rsidRPr="00A52585">
        <w:rPr>
          <w:rFonts w:hint="cs"/>
          <w:rtl/>
        </w:rPr>
        <w:lastRenderedPageBreak/>
        <w:t xml:space="preserve">صفات جلّت الذات القديمة الواجبة الوجود التي لم تُسبق بعدم أن تكون كالصفة الحديثة قال الله تعالى {أو لا يذكر الإنسان أنا خلقناه من قبل ولم يكن شيئاً} </w:t>
      </w:r>
      <w:r w:rsidRPr="00A52585">
        <w:rPr>
          <w:rFonts w:hint="cs"/>
          <w:rtl/>
        </w:rPr>
        <w:t>[</w:t>
      </w:r>
      <w:r w:rsidR="00777DCB" w:rsidRPr="00A52585">
        <w:rPr>
          <w:rFonts w:hint="cs"/>
          <w:rtl/>
        </w:rPr>
        <w:t>مريم</w:t>
      </w:r>
      <w:r w:rsidRPr="00A52585">
        <w:rPr>
          <w:rFonts w:hint="cs"/>
          <w:rtl/>
        </w:rPr>
        <w:t>:</w:t>
      </w:r>
      <w:r w:rsidR="00777DCB" w:rsidRPr="00A52585">
        <w:rPr>
          <w:rFonts w:hint="cs"/>
          <w:rtl/>
        </w:rPr>
        <w:t xml:space="preserve"> 67</w:t>
      </w:r>
      <w:r w:rsidRPr="00A52585">
        <w:rPr>
          <w:rFonts w:hint="cs"/>
          <w:rtl/>
        </w:rPr>
        <w:t>]</w:t>
      </w:r>
      <w:r w:rsidR="00DB731D" w:rsidRPr="00A52585">
        <w:rPr>
          <w:rFonts w:hint="cs"/>
          <w:rtl/>
        </w:rPr>
        <w:t>،</w:t>
      </w:r>
      <w:r w:rsidR="00777DCB" w:rsidRPr="00A52585">
        <w:rPr>
          <w:rFonts w:hint="cs"/>
          <w:rtl/>
        </w:rPr>
        <w:t xml:space="preserve"> فهو سبحانه وتعالى احتجب عن العقول والأفهام كما احتجب عن الإدراك والأبصار فيعجز العقل عن الدرك والدرك عن الاستنباط وانتهى المخلوق إلى مثله وأسنده الطلب إلى شكله</w:t>
      </w:r>
      <w:r w:rsidR="00DB731D" w:rsidRPr="00A52585">
        <w:rPr>
          <w:rFonts w:hint="cs"/>
          <w:rtl/>
        </w:rPr>
        <w:t>،</w:t>
      </w:r>
      <w:r w:rsidR="00777DCB" w:rsidRPr="00A52585">
        <w:rPr>
          <w:rFonts w:hint="cs"/>
          <w:rtl/>
        </w:rPr>
        <w:t xml:space="preserve"> قال الصديق رضي الله عنه</w:t>
      </w:r>
      <w:r w:rsidRPr="00A52585">
        <w:rPr>
          <w:rFonts w:hint="cs"/>
          <w:rtl/>
        </w:rPr>
        <w:t>:</w:t>
      </w:r>
      <w:r w:rsidR="00777DCB" w:rsidRPr="00A52585">
        <w:rPr>
          <w:rFonts w:hint="cs"/>
          <w:rtl/>
        </w:rPr>
        <w:t xml:space="preserve"> العجز عن درك الإدراك إدراك</w:t>
      </w:r>
      <w:r w:rsidR="00DB731D" w:rsidRPr="00A52585">
        <w:rPr>
          <w:rFonts w:hint="cs"/>
          <w:rtl/>
        </w:rPr>
        <w:t>،</w:t>
      </w:r>
      <w:r w:rsidR="00777DCB" w:rsidRPr="00A52585">
        <w:rPr>
          <w:rFonts w:hint="cs"/>
          <w:rtl/>
        </w:rPr>
        <w:t xml:space="preserve"> وقال أيضاً رضي الله عنه</w:t>
      </w:r>
      <w:r w:rsidRPr="00A52585">
        <w:rPr>
          <w:rFonts w:hint="cs"/>
          <w:rtl/>
        </w:rPr>
        <w:t>:</w:t>
      </w:r>
      <w:r w:rsidR="00777DCB" w:rsidRPr="00A52585">
        <w:rPr>
          <w:rFonts w:hint="cs"/>
          <w:rtl/>
        </w:rPr>
        <w:t xml:space="preserve"> سبحان من لم يجعل للخلق سبيلاً إلى معرفته إلا بالعجز عن معرفته</w:t>
      </w:r>
      <w:r w:rsidR="00DB731D" w:rsidRPr="00A52585">
        <w:rPr>
          <w:rFonts w:hint="cs"/>
          <w:rtl/>
        </w:rPr>
        <w:t>،</w:t>
      </w:r>
      <w:r w:rsidR="00777DCB" w:rsidRPr="00A52585">
        <w:rPr>
          <w:rFonts w:hint="cs"/>
          <w:rtl/>
        </w:rPr>
        <w:t xml:space="preserve"> فهو سبحانه عليم قدير سميع بصير لا يوصف علمه وقدرته وسمعه وبصره بما يوصف به المخلوق ولا حقيقته كحقيقته وكذلك علوه واستواؤه إذ الصفة تتبع الموصوف فإذا كانت حقيقة الموصوف ليست من جنس حقائق سائر الموصوفات فكذلك حقيقة صفاته</w:t>
      </w:r>
      <w:r w:rsidR="00DB731D" w:rsidRPr="00A52585">
        <w:rPr>
          <w:rFonts w:hint="cs"/>
          <w:rtl/>
        </w:rPr>
        <w:t>،</w:t>
      </w:r>
      <w:r w:rsidR="00777DCB" w:rsidRPr="00A52585">
        <w:rPr>
          <w:rFonts w:hint="cs"/>
          <w:rtl/>
        </w:rPr>
        <w:t xml:space="preserve"> فأجهل الناس وأحمقهم وأحمدهم من أَلْحَقَ من ليس كمثله شيء بالمخلوق المصنوع في شيء من صفاته وأفعاله وذاته تعالى الله عما يقولون علواً كبيراً لأنه سبحانه وتعالى وصفاته مصان عن الظنون الكاذبة والأوهام الخسيفة</w:t>
      </w:r>
      <w:r w:rsidR="00DB731D" w:rsidRPr="00A52585">
        <w:rPr>
          <w:rFonts w:hint="cs"/>
          <w:vertAlign w:val="superscript"/>
          <w:rtl/>
        </w:rPr>
        <w:t>،</w:t>
      </w:r>
      <w:r w:rsidR="00777DCB" w:rsidRPr="00A52585">
        <w:rPr>
          <w:rFonts w:hint="cs"/>
          <w:rtl/>
        </w:rPr>
        <w:t xml:space="preserve"> وقد قيل في قوله تعالى {وما قدروا الله حق قدره}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67</w:t>
      </w:r>
      <w:r w:rsidRPr="00A52585">
        <w:rPr>
          <w:rFonts w:hint="cs"/>
          <w:rtl/>
        </w:rPr>
        <w:t>]</w:t>
      </w:r>
      <w:r w:rsidR="00DB731D" w:rsidRPr="00A52585">
        <w:rPr>
          <w:rFonts w:hint="cs"/>
          <w:rtl/>
        </w:rPr>
        <w:t>،</w:t>
      </w:r>
      <w:r w:rsidR="00777DCB" w:rsidRPr="00A52585">
        <w:rPr>
          <w:rFonts w:hint="cs"/>
          <w:rtl/>
        </w:rPr>
        <w:t xml:space="preserve"> أي ما وصفوه حق وصفه</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ما عظموه حق عظمته. وقيل ما عرفوه حق معرفته. وقيل غير ذلك</w:t>
      </w:r>
      <w:r w:rsidR="00DB731D" w:rsidRPr="00A52585">
        <w:rPr>
          <w:rFonts w:hint="cs"/>
          <w:rtl/>
        </w:rPr>
        <w:t>،</w:t>
      </w:r>
      <w:r w:rsidR="00777DCB" w:rsidRPr="00A52585">
        <w:rPr>
          <w:rFonts w:hint="cs"/>
          <w:rtl/>
        </w:rPr>
        <w:t xml:space="preserve"> قال بعض أهل المعاني والقلوب</w:t>
      </w:r>
      <w:r w:rsidRPr="00A52585">
        <w:rPr>
          <w:rFonts w:hint="cs"/>
          <w:rtl/>
        </w:rPr>
        <w:t>:</w:t>
      </w:r>
      <w:r w:rsidR="00777DCB" w:rsidRPr="00A52585">
        <w:rPr>
          <w:rFonts w:hint="cs"/>
          <w:rtl/>
        </w:rPr>
        <w:t xml:space="preserve"> لا يعرف قدر الحق إلا الحق. وكيف يقدر أحد قدره وقد عجز عن معرفة قدره الوسائط والرسل والأولياء والصديقون. ثم قال</w:t>
      </w:r>
      <w:r w:rsidRPr="00A52585">
        <w:rPr>
          <w:rFonts w:hint="cs"/>
          <w:rtl/>
        </w:rPr>
        <w:t>:</w:t>
      </w:r>
      <w:r w:rsidR="00777DCB" w:rsidRPr="00A52585">
        <w:rPr>
          <w:rFonts w:hint="cs"/>
          <w:rtl/>
        </w:rPr>
        <w:t xml:space="preserve"> ومعرفة قدره أن لا نلتفت منه إلى غيره ولا تغفل عن ذكره ولا تفتر عن طاعته إذ ذاك عرفت قدر ظاهر قدره</w:t>
      </w:r>
      <w:r w:rsidR="00DB731D" w:rsidRPr="00A52585">
        <w:rPr>
          <w:rFonts w:hint="cs"/>
          <w:rtl/>
        </w:rPr>
        <w:t>،</w:t>
      </w:r>
      <w:r w:rsidR="00777DCB" w:rsidRPr="00A52585">
        <w:rPr>
          <w:rFonts w:hint="cs"/>
          <w:rtl/>
        </w:rPr>
        <w:t xml:space="preserve"> وأما حقيقة قدره فلا يقدر قدرها إلا هو</w:t>
      </w:r>
      <w:r w:rsidR="00DB731D" w:rsidRPr="00A52585">
        <w:rPr>
          <w:rFonts w:hint="cs"/>
          <w:rtl/>
        </w:rPr>
        <w:t>،</w:t>
      </w:r>
      <w:r w:rsidR="00777DCB" w:rsidRPr="00A52585">
        <w:rPr>
          <w:rFonts w:hint="cs"/>
          <w:rtl/>
        </w:rPr>
        <w:t xml:space="preserve"> وصدق لأن الخلق تعجز عن تنْزِيهه بما يستحقه من كمال صفاته وعظيم ذاته</w:t>
      </w:r>
      <w:r w:rsidR="00DB731D" w:rsidRPr="00A52585">
        <w:rPr>
          <w:rFonts w:hint="cs"/>
          <w:rtl/>
        </w:rPr>
        <w:t>،</w:t>
      </w:r>
      <w:r w:rsidR="00777DCB" w:rsidRPr="00A52585">
        <w:rPr>
          <w:rFonts w:hint="cs"/>
          <w:rtl/>
        </w:rPr>
        <w:t xml:space="preserve"> ولهذا نزه سبحانه نفسه بقوله تعالى</w:t>
      </w:r>
      <w:r w:rsidRPr="00A52585">
        <w:rPr>
          <w:rFonts w:hint="cs"/>
          <w:rtl/>
        </w:rPr>
        <w:t>:</w:t>
      </w:r>
      <w:r w:rsidR="00777DCB" w:rsidRPr="00A52585">
        <w:rPr>
          <w:rFonts w:hint="cs"/>
          <w:rtl/>
        </w:rPr>
        <w:t xml:space="preserve"> {سبحان ربك رب العزة عما يصفون} </w:t>
      </w:r>
      <w:r w:rsidRPr="00A52585">
        <w:rPr>
          <w:rFonts w:hint="cs"/>
          <w:rtl/>
        </w:rPr>
        <w:t>[</w:t>
      </w:r>
      <w:r w:rsidR="00777DCB" w:rsidRPr="00A52585">
        <w:rPr>
          <w:rFonts w:hint="cs"/>
          <w:rtl/>
        </w:rPr>
        <w:t>الصافات</w:t>
      </w:r>
      <w:r w:rsidRPr="00A52585">
        <w:rPr>
          <w:rFonts w:hint="cs"/>
          <w:rtl/>
        </w:rPr>
        <w:t>:</w:t>
      </w:r>
      <w:r w:rsidR="00777DCB" w:rsidRPr="00A52585">
        <w:rPr>
          <w:rFonts w:hint="cs"/>
          <w:rtl/>
        </w:rPr>
        <w:t xml:space="preserve"> 180</w:t>
      </w:r>
      <w:r w:rsidRPr="00A52585">
        <w:rPr>
          <w:rFonts w:hint="cs"/>
          <w:rtl/>
        </w:rPr>
        <w:t>]</w:t>
      </w:r>
      <w:r w:rsidR="00DB731D" w:rsidRPr="00A52585">
        <w:rPr>
          <w:rFonts w:hint="cs"/>
          <w:rtl/>
        </w:rPr>
        <w:t>،</w:t>
      </w:r>
      <w:r w:rsidR="00777DCB" w:rsidRPr="00A52585">
        <w:rPr>
          <w:rFonts w:hint="cs"/>
          <w:rtl/>
        </w:rPr>
        <w:t xml:space="preserve"> وفي هذا غاية الحث على كثرة التنزيه ودوامه مع أمره لأكمل خلقه في قوله تعالى</w:t>
      </w:r>
      <w:r w:rsidRPr="00A52585">
        <w:rPr>
          <w:rFonts w:hint="cs"/>
          <w:rtl/>
        </w:rPr>
        <w:t>:</w:t>
      </w:r>
      <w:r w:rsidR="00777DCB" w:rsidRPr="00A52585">
        <w:rPr>
          <w:rFonts w:hint="cs"/>
          <w:rtl/>
        </w:rPr>
        <w:t xml:space="preserve"> {سبح اسم ربك الأعلى} </w:t>
      </w:r>
      <w:r w:rsidRPr="00A52585">
        <w:rPr>
          <w:rFonts w:hint="cs"/>
          <w:rtl/>
        </w:rPr>
        <w:t>[</w:t>
      </w:r>
      <w:r w:rsidR="00777DCB" w:rsidRPr="00A52585">
        <w:rPr>
          <w:rFonts w:hint="cs"/>
          <w:rtl/>
        </w:rPr>
        <w:t>الأعلى</w:t>
      </w:r>
      <w:r w:rsidRPr="00A52585">
        <w:rPr>
          <w:rFonts w:hint="cs"/>
          <w:rtl/>
        </w:rPr>
        <w:t>:</w:t>
      </w:r>
      <w:r w:rsidR="00777DCB" w:rsidRPr="00A52585">
        <w:rPr>
          <w:rFonts w:hint="cs"/>
          <w:rtl/>
        </w:rPr>
        <w:t xml:space="preserve"> 1</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أخرج البيهقي في (الأسماء والصفات) عن طلحة بن عبيد الله رضي الله عنه قال</w:t>
      </w:r>
      <w:r w:rsidRPr="00A52585">
        <w:rPr>
          <w:rFonts w:hint="cs"/>
          <w:sz w:val="24"/>
          <w:szCs w:val="24"/>
          <w:rtl/>
        </w:rPr>
        <w:t>:</w:t>
      </w:r>
      <w:r w:rsidR="00777DCB" w:rsidRPr="00A52585">
        <w:rPr>
          <w:rFonts w:hint="cs"/>
          <w:sz w:val="24"/>
          <w:szCs w:val="24"/>
          <w:rtl/>
        </w:rPr>
        <w:t xml:space="preserve"> سألت رسول الله صلى الله عليه وسلم عن تفسير (سبحان الله) فقال</w:t>
      </w:r>
      <w:r w:rsidRPr="00A52585">
        <w:rPr>
          <w:rFonts w:hint="cs"/>
          <w:sz w:val="24"/>
          <w:szCs w:val="24"/>
          <w:rtl/>
        </w:rPr>
        <w:t xml:space="preserve">: </w:t>
      </w:r>
      <w:r w:rsidR="00777DCB" w:rsidRPr="00A52585">
        <w:rPr>
          <w:rFonts w:hint="cs"/>
          <w:sz w:val="24"/>
          <w:szCs w:val="24"/>
          <w:rtl/>
        </w:rPr>
        <w:t>" هو تنزيه الله عن كل سوء "</w:t>
      </w:r>
      <w:r w:rsidRPr="00A52585">
        <w:rPr>
          <w:rFonts w:hint="cs"/>
          <w:sz w:val="24"/>
          <w:szCs w:val="24"/>
          <w:rtl/>
        </w:rPr>
        <w:t xml:space="preserve"> </w:t>
      </w:r>
      <w:r w:rsidR="00777DCB" w:rsidRPr="00A52585">
        <w:rPr>
          <w:rFonts w:hint="cs"/>
          <w:sz w:val="24"/>
          <w:szCs w:val="24"/>
          <w:rtl/>
        </w:rPr>
        <w:t>كما روى عن موسى بن طلحة (تابعي من الثانية) قال</w:t>
      </w:r>
      <w:r w:rsidRPr="00A52585">
        <w:rPr>
          <w:rFonts w:hint="cs"/>
          <w:sz w:val="24"/>
          <w:szCs w:val="24"/>
          <w:rtl/>
        </w:rPr>
        <w:t>:</w:t>
      </w:r>
      <w:r w:rsidR="00777DCB" w:rsidRPr="00A52585">
        <w:rPr>
          <w:rFonts w:hint="cs"/>
          <w:sz w:val="24"/>
          <w:szCs w:val="24"/>
          <w:rtl/>
        </w:rPr>
        <w:t xml:space="preserve"> سئل النبي صلى الله عليه وسلم عن التسبيح فقال</w:t>
      </w:r>
      <w:r w:rsidRPr="00A52585">
        <w:rPr>
          <w:rFonts w:hint="cs"/>
          <w:sz w:val="24"/>
          <w:szCs w:val="24"/>
          <w:rtl/>
        </w:rPr>
        <w:t xml:space="preserve">: </w:t>
      </w:r>
      <w:r w:rsidR="00777DCB" w:rsidRPr="00A52585">
        <w:rPr>
          <w:rFonts w:hint="cs"/>
          <w:sz w:val="24"/>
          <w:szCs w:val="24"/>
          <w:rtl/>
        </w:rPr>
        <w:t>" تنزيه الله تعالى عن السوء "</w:t>
      </w:r>
      <w:r w:rsidRPr="00A52585">
        <w:rPr>
          <w:rFonts w:hint="cs"/>
          <w:sz w:val="24"/>
          <w:szCs w:val="24"/>
          <w:rtl/>
        </w:rPr>
        <w:t xml:space="preserve"> </w:t>
      </w:r>
      <w:r w:rsidR="00777DCB" w:rsidRPr="00A52585">
        <w:rPr>
          <w:rFonts w:hint="cs"/>
          <w:sz w:val="24"/>
          <w:szCs w:val="24"/>
          <w:rtl/>
        </w:rPr>
        <w:t>وقد ورد الحث على التسبيح والإشارة إليه في (91) آية في القرآن الكريم وكذلك في الكثير من نصوص السنة المطهرة</w:t>
      </w:r>
      <w:r w:rsidR="00DB731D" w:rsidRPr="00A52585">
        <w:rPr>
          <w:rFonts w:hint="cs"/>
          <w:sz w:val="24"/>
          <w:szCs w:val="24"/>
          <w:rtl/>
        </w:rPr>
        <w:t>،</w:t>
      </w:r>
      <w:r w:rsidR="00777DCB" w:rsidRPr="00A52585">
        <w:rPr>
          <w:rFonts w:hint="cs"/>
          <w:sz w:val="24"/>
          <w:szCs w:val="24"/>
          <w:rtl/>
        </w:rPr>
        <w:t xml:space="preserve"> يقول الإمام فخر الدين الرازي في تفسيره عند تفسير قوله تعالى </w:t>
      </w:r>
      <w:r w:rsidRPr="00A52585">
        <w:rPr>
          <w:rFonts w:hint="cs"/>
          <w:sz w:val="24"/>
          <w:szCs w:val="24"/>
          <w:rtl/>
        </w:rPr>
        <w:t>{</w:t>
      </w:r>
      <w:r w:rsidR="00777DCB" w:rsidRPr="00A52585">
        <w:rPr>
          <w:rFonts w:hint="cs"/>
          <w:sz w:val="24"/>
          <w:szCs w:val="24"/>
          <w:rtl/>
        </w:rPr>
        <w:t>ونحن نسبح بحمدك ونقدس لك</w:t>
      </w:r>
      <w:r w:rsidRPr="00A52585">
        <w:rPr>
          <w:rFonts w:hint="cs"/>
          <w:sz w:val="24"/>
          <w:szCs w:val="24"/>
          <w:rtl/>
        </w:rPr>
        <w:t>}</w:t>
      </w:r>
      <w:r w:rsidR="00777DCB" w:rsidRPr="00A52585">
        <w:rPr>
          <w:rFonts w:hint="cs"/>
          <w:sz w:val="24"/>
          <w:szCs w:val="24"/>
          <w:rtl/>
        </w:rPr>
        <w:t xml:space="preserve"> الآية 30 من سورة البقرة</w:t>
      </w:r>
      <w:r w:rsidRPr="00A52585">
        <w:rPr>
          <w:rFonts w:hint="cs"/>
          <w:sz w:val="24"/>
          <w:szCs w:val="24"/>
          <w:rtl/>
        </w:rPr>
        <w:t xml:space="preserve">: </w:t>
      </w:r>
      <w:r w:rsidR="00777DCB" w:rsidRPr="00A52585">
        <w:rPr>
          <w:rFonts w:hint="cs"/>
          <w:sz w:val="24"/>
          <w:szCs w:val="24"/>
          <w:rtl/>
        </w:rPr>
        <w:t>" والتسبيحُ تبعيد الله تعالى من السوء وكذا التقديس، من سبح في الماء وقدس في الأرض إذا ذهب فيها وأبعد، واعلم أن التبعيد إن أريد به التبعيد عن السوء فهو التسبيح، وإن أريد به التبعيد عن الخيرات فهو اللعن، فنقول التبعيد عن السوء يدخل فيه التبعيد عن السوء في الذات والصفات والأفعال</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أما في الذات</w:t>
      </w:r>
      <w:r w:rsidR="00777DCB" w:rsidRPr="00A52585">
        <w:rPr>
          <w:rFonts w:hint="cs"/>
          <w:sz w:val="24"/>
          <w:szCs w:val="24"/>
          <w:rtl/>
        </w:rPr>
        <w:t xml:space="preserve"> فأن لا تكون محلا للإمكان، فإن منع السوء وإمكانه هو العدم ونفي الإمكان يستلزم نفي الكثرة، ونفيها يستلزم نفي الجسمية والعرضية ونفي الضد والند وحصول الوحدة المطلقة والوجوب الذاتي</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وأما في الصفات</w:t>
      </w:r>
      <w:r w:rsidR="00777DCB" w:rsidRPr="00A52585">
        <w:rPr>
          <w:rFonts w:hint="cs"/>
          <w:sz w:val="24"/>
          <w:szCs w:val="24"/>
          <w:rtl/>
        </w:rPr>
        <w:t xml:space="preserve"> فأن </w:t>
      </w:r>
      <w:r w:rsidR="00777DCB" w:rsidRPr="00A52585">
        <w:rPr>
          <w:rFonts w:hint="cs"/>
          <w:sz w:val="24"/>
          <w:szCs w:val="24"/>
          <w:rtl/>
        </w:rPr>
        <w:lastRenderedPageBreak/>
        <w:t>يكون منزهاً عن الجهل فيكون محيطاً بكل المعلومات وقادراً على كل المقدورات وتكون صفاته منزهة عن التغييرات</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وأما في الأفعال</w:t>
      </w:r>
      <w:r w:rsidR="00777DCB" w:rsidRPr="00A52585">
        <w:rPr>
          <w:rFonts w:hint="cs"/>
          <w:sz w:val="24"/>
          <w:szCs w:val="24"/>
          <w:rtl/>
        </w:rPr>
        <w:t xml:space="preserve"> فأن لا تكون أفعاله لجلب المنافع ودفع المضار وأن لا يستكمل بشيء منها ولا ينتقص بعدم شيء منها فيكون مستغنياً عن كل الموجودات والمعدومات مستولياً بالإعدام والإيجاد على كل الموجودات والمعدومات</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وقال أهل التذكير</w:t>
      </w:r>
      <w:r w:rsidRPr="00A52585">
        <w:rPr>
          <w:rFonts w:hint="cs"/>
          <w:sz w:val="24"/>
          <w:szCs w:val="24"/>
          <w:rtl/>
        </w:rPr>
        <w:t>:</w:t>
      </w:r>
      <w:r w:rsidR="00777DCB" w:rsidRPr="00A52585">
        <w:rPr>
          <w:rFonts w:hint="cs"/>
          <w:sz w:val="24"/>
          <w:szCs w:val="24"/>
          <w:rtl/>
        </w:rPr>
        <w:t xml:space="preserve"> التسبيح جاء تارة في القرآن بمعنى التنزيه وأخرى بمعنى التعجب</w:t>
      </w:r>
      <w:r w:rsidR="00DB731D" w:rsidRPr="00A52585">
        <w:rPr>
          <w:rFonts w:hint="cs"/>
          <w:sz w:val="24"/>
          <w:szCs w:val="24"/>
          <w:rtl/>
        </w:rPr>
        <w:t>،</w:t>
      </w:r>
      <w:r w:rsidR="00777DCB" w:rsidRPr="00A52585">
        <w:rPr>
          <w:rFonts w:hint="cs"/>
          <w:sz w:val="24"/>
          <w:szCs w:val="24"/>
          <w:rtl/>
        </w:rPr>
        <w:t xml:space="preserve"> أما الأول</w:t>
      </w:r>
      <w:r w:rsidRPr="00A52585">
        <w:rPr>
          <w:rFonts w:hint="cs"/>
          <w:sz w:val="24"/>
          <w:szCs w:val="24"/>
          <w:rtl/>
        </w:rPr>
        <w:t>:</w:t>
      </w:r>
      <w:r w:rsidR="00777DCB" w:rsidRPr="00A52585">
        <w:rPr>
          <w:rFonts w:hint="cs"/>
          <w:sz w:val="24"/>
          <w:szCs w:val="24"/>
          <w:rtl/>
        </w:rPr>
        <w:t xml:space="preserve"> فجاء على وجوه (1) أنا المنزه عن النظير والشريك، هو الله الواحد القهار (2) أنا المدبر للسموات والأرض سبحان رب السموات والأرض (3) أنا المدبر لكل العالمين، سبحان الله رب العالمين (4) أنا المنزه عن قول الظالمين، سبحان ربك رب العزة عما يصفون (5) أنا المستغني عن الكل، سبحانه هو الغني (6) أنا السلطان الذي كل شيء سواي فهو تحت قهري وتسخيري، فسبحان الذي بيده ملكوت كل شيء (7) أنا العالم بكل شيء</w:t>
      </w:r>
      <w:r w:rsidRPr="00A52585">
        <w:rPr>
          <w:rFonts w:hint="cs"/>
          <w:sz w:val="24"/>
          <w:szCs w:val="24"/>
          <w:rtl/>
        </w:rPr>
        <w:t xml:space="preserve"> </w:t>
      </w:r>
      <w:r w:rsidR="00777DCB" w:rsidRPr="00A52585">
        <w:rPr>
          <w:rFonts w:hint="cs"/>
          <w:sz w:val="24"/>
          <w:szCs w:val="24"/>
          <w:rtl/>
        </w:rPr>
        <w:t>سبحان الله عما يصفون عالم الغيب (8) أنا المنزه عن الصاحبة والولد، سبحانه أنى يكون له ولد (9) أنا المنزه عن وصفهم وقولهم، سبحانه وتعالى عما يشركون</w:t>
      </w:r>
      <w:r w:rsidR="00DB731D" w:rsidRPr="00A52585">
        <w:rPr>
          <w:rFonts w:hint="cs"/>
          <w:sz w:val="24"/>
          <w:szCs w:val="24"/>
          <w:rtl/>
        </w:rPr>
        <w:t>،</w:t>
      </w:r>
      <w:r w:rsidR="00777DCB" w:rsidRPr="00A52585">
        <w:rPr>
          <w:rFonts w:hint="cs"/>
          <w:sz w:val="24"/>
          <w:szCs w:val="24"/>
          <w:rtl/>
        </w:rPr>
        <w:t xml:space="preserve"> عما يقولون</w:t>
      </w:r>
      <w:r w:rsidR="00DB731D" w:rsidRPr="00A52585">
        <w:rPr>
          <w:rFonts w:hint="cs"/>
          <w:sz w:val="24"/>
          <w:szCs w:val="24"/>
          <w:rtl/>
        </w:rPr>
        <w:t>،</w:t>
      </w:r>
      <w:r w:rsidR="00777DCB" w:rsidRPr="00A52585">
        <w:rPr>
          <w:rFonts w:hint="cs"/>
          <w:sz w:val="24"/>
          <w:szCs w:val="24"/>
          <w:rtl/>
        </w:rPr>
        <w:t xml:space="preserve"> عما يصفون</w:t>
      </w:r>
      <w:r w:rsidR="00DB731D" w:rsidRPr="00A52585">
        <w:rPr>
          <w:rFonts w:hint="cs"/>
          <w:sz w:val="24"/>
          <w:szCs w:val="24"/>
          <w:rtl/>
        </w:rPr>
        <w:t>،</w:t>
      </w:r>
      <w:r w:rsidR="00777DCB" w:rsidRPr="00A52585">
        <w:rPr>
          <w:rFonts w:hint="cs"/>
          <w:sz w:val="24"/>
          <w:szCs w:val="24"/>
          <w:rtl/>
        </w:rPr>
        <w:t xml:space="preserve"> أما التعجب فكذلك (1) أنا الذي سخرت البهائم القوية للبشر الضعيف، سبحان الذي سخر لنا هذا (2) أنا الذي خلقت العالم وكنت منزهًا عن التعب والنصب، سبحانه إذا قضى أمراً (3) أنا الذي أعلم لا بتعليم المعلمين ولا بإرشاد المرشدين، سبحانك لا علم لنا إلا ما علمتنا (4) أنا الذي أزيل معصية سبعين سنة بتوبة ساعة، فسبح بحمد ربك قبل طلوع الشمس</w:t>
      </w:r>
      <w:r w:rsidR="00DB731D" w:rsidRPr="00A52585">
        <w:rPr>
          <w:rFonts w:hint="cs"/>
          <w:sz w:val="24"/>
          <w:szCs w:val="24"/>
          <w:rtl/>
        </w:rPr>
        <w:t>،</w:t>
      </w:r>
      <w:r w:rsidR="00777DCB" w:rsidRPr="00A52585">
        <w:rPr>
          <w:rFonts w:hint="cs"/>
          <w:sz w:val="24"/>
          <w:szCs w:val="24"/>
          <w:rtl/>
        </w:rPr>
        <w:t xml:space="preserve"> ثم يقول</w:t>
      </w:r>
      <w:r w:rsidRPr="00A52585">
        <w:rPr>
          <w:rFonts w:hint="cs"/>
          <w:sz w:val="24"/>
          <w:szCs w:val="24"/>
          <w:rtl/>
        </w:rPr>
        <w:t>:</w:t>
      </w:r>
      <w:r w:rsidR="00777DCB" w:rsidRPr="00A52585">
        <w:rPr>
          <w:rFonts w:hint="cs"/>
          <w:sz w:val="24"/>
          <w:szCs w:val="24"/>
          <w:rtl/>
        </w:rPr>
        <w:t xml:space="preserve"> إن أردت رضوان الله فسبح، </w:t>
      </w:r>
      <w:proofErr w:type="spellStart"/>
      <w:r w:rsidR="00777DCB" w:rsidRPr="00A52585">
        <w:rPr>
          <w:rFonts w:hint="cs"/>
          <w:sz w:val="24"/>
          <w:szCs w:val="24"/>
          <w:rtl/>
        </w:rPr>
        <w:t>وسبحوه</w:t>
      </w:r>
      <w:proofErr w:type="spellEnd"/>
      <w:r w:rsidR="00777DCB" w:rsidRPr="00A52585">
        <w:rPr>
          <w:rFonts w:hint="cs"/>
          <w:sz w:val="24"/>
          <w:szCs w:val="24"/>
          <w:rtl/>
        </w:rPr>
        <w:t xml:space="preserve"> بكرة وأصيلاً، وإن أردت الفرج من البلاء فسبح، لا إله إلا أنت سبحانك إني كنت من الظالمين، وإن أردت رضا الحق فسبح، ومن الليل فسبح وأطراف النهار لعلك ترضى، وإن أردت الخلاص من النار فسبح، سبحانك فقـنا عـــذاب النار، أيها العبد عائد إليك، تسبيحي</w:t>
      </w:r>
      <w:r w:rsidRPr="00A52585">
        <w:rPr>
          <w:rFonts w:hint="cs"/>
          <w:sz w:val="24"/>
          <w:szCs w:val="24"/>
          <w:rtl/>
        </w:rPr>
        <w:t>:</w:t>
      </w:r>
      <w:r w:rsidR="00777DCB" w:rsidRPr="00A52585">
        <w:rPr>
          <w:rFonts w:hint="cs"/>
          <w:sz w:val="24"/>
          <w:szCs w:val="24"/>
          <w:rtl/>
        </w:rPr>
        <w:t xml:space="preserve"> (فسبحان الله)، (فسبح)، (</w:t>
      </w:r>
      <w:proofErr w:type="spellStart"/>
      <w:r w:rsidR="00777DCB" w:rsidRPr="00A52585">
        <w:rPr>
          <w:rFonts w:hint="cs"/>
          <w:sz w:val="24"/>
          <w:szCs w:val="24"/>
          <w:rtl/>
        </w:rPr>
        <w:t>وسبحوه</w:t>
      </w:r>
      <w:proofErr w:type="spellEnd"/>
      <w:r w:rsidR="00777DCB" w:rsidRPr="00A52585">
        <w:rPr>
          <w:rFonts w:hint="cs"/>
          <w:sz w:val="24"/>
          <w:szCs w:val="24"/>
          <w:rtl/>
        </w:rPr>
        <w:t xml:space="preserve">)، فإن لم تفعل تسيحي فالضرر عائد إليك، لأن لي من يسبحني ومنهم حملة العرش{فإن استكْبَرُوا فالذينَ عِنْدَ رَبِّك يسبحون} </w:t>
      </w:r>
      <w:r w:rsidRPr="00A52585">
        <w:rPr>
          <w:rFonts w:hint="cs"/>
          <w:sz w:val="24"/>
          <w:szCs w:val="24"/>
          <w:rtl/>
        </w:rPr>
        <w:t>[</w:t>
      </w:r>
      <w:r w:rsidR="00777DCB" w:rsidRPr="00A52585">
        <w:rPr>
          <w:rFonts w:hint="cs"/>
          <w:sz w:val="24"/>
          <w:szCs w:val="24"/>
          <w:rtl/>
        </w:rPr>
        <w:t>فصِّلت</w:t>
      </w:r>
      <w:r w:rsidRPr="00A52585">
        <w:rPr>
          <w:rFonts w:hint="cs"/>
          <w:sz w:val="24"/>
          <w:szCs w:val="24"/>
          <w:rtl/>
        </w:rPr>
        <w:t>:</w:t>
      </w:r>
      <w:r w:rsidR="00777DCB" w:rsidRPr="00A52585">
        <w:rPr>
          <w:rFonts w:hint="cs"/>
          <w:sz w:val="24"/>
          <w:szCs w:val="24"/>
          <w:rtl/>
        </w:rPr>
        <w:t>38</w:t>
      </w:r>
      <w:r w:rsidRPr="00A52585">
        <w:rPr>
          <w:rFonts w:hint="cs"/>
          <w:sz w:val="24"/>
          <w:szCs w:val="24"/>
          <w:rtl/>
        </w:rPr>
        <w:t>]</w:t>
      </w:r>
      <w:r w:rsidR="00777DCB" w:rsidRPr="00A52585">
        <w:rPr>
          <w:rFonts w:hint="cs"/>
          <w:sz w:val="24"/>
          <w:szCs w:val="24"/>
          <w:rtl/>
        </w:rPr>
        <w:t xml:space="preserve"> ومنهم المقرَّبون </w:t>
      </w:r>
      <w:r w:rsidRPr="00A52585">
        <w:rPr>
          <w:rFonts w:hint="cs"/>
          <w:sz w:val="24"/>
          <w:szCs w:val="24"/>
          <w:rtl/>
        </w:rPr>
        <w:t>{</w:t>
      </w:r>
      <w:r w:rsidR="00777DCB" w:rsidRPr="00A52585">
        <w:rPr>
          <w:rFonts w:hint="cs"/>
          <w:sz w:val="24"/>
          <w:szCs w:val="24"/>
          <w:rtl/>
        </w:rPr>
        <w:t>قالوا سبحانك أنت وليُّنا}</w:t>
      </w:r>
      <w:r w:rsidRPr="00A52585">
        <w:rPr>
          <w:rFonts w:hint="cs"/>
          <w:sz w:val="24"/>
          <w:szCs w:val="24"/>
          <w:rtl/>
        </w:rPr>
        <w:t xml:space="preserve"> [</w:t>
      </w:r>
      <w:r w:rsidR="00777DCB" w:rsidRPr="00A52585">
        <w:rPr>
          <w:rFonts w:hint="cs"/>
          <w:sz w:val="24"/>
          <w:szCs w:val="24"/>
          <w:rtl/>
        </w:rPr>
        <w:t>سبأ</w:t>
      </w:r>
      <w:r w:rsidRPr="00A52585">
        <w:rPr>
          <w:rFonts w:hint="cs"/>
          <w:sz w:val="24"/>
          <w:szCs w:val="24"/>
          <w:rtl/>
        </w:rPr>
        <w:t>:</w:t>
      </w:r>
      <w:r w:rsidR="00777DCB" w:rsidRPr="00A52585">
        <w:rPr>
          <w:rFonts w:hint="cs"/>
          <w:sz w:val="24"/>
          <w:szCs w:val="24"/>
          <w:rtl/>
        </w:rPr>
        <w:t xml:space="preserve">41] ومنهم سائر الملائكة </w:t>
      </w:r>
      <w:r w:rsidRPr="00A52585">
        <w:rPr>
          <w:rFonts w:hint="cs"/>
          <w:sz w:val="24"/>
          <w:szCs w:val="24"/>
          <w:rtl/>
        </w:rPr>
        <w:t>{</w:t>
      </w:r>
      <w:r w:rsidR="00777DCB" w:rsidRPr="00A52585">
        <w:rPr>
          <w:rFonts w:hint="cs"/>
          <w:sz w:val="24"/>
          <w:szCs w:val="24"/>
          <w:rtl/>
        </w:rPr>
        <w:t xml:space="preserve">قالوا سبحانَك ما كان ينبغي لنا} </w:t>
      </w:r>
      <w:r w:rsidRPr="00A52585">
        <w:rPr>
          <w:rFonts w:hint="cs"/>
          <w:sz w:val="24"/>
          <w:szCs w:val="24"/>
          <w:rtl/>
        </w:rPr>
        <w:t>[</w:t>
      </w:r>
      <w:r w:rsidR="00777DCB" w:rsidRPr="00A52585">
        <w:rPr>
          <w:rFonts w:hint="cs"/>
          <w:sz w:val="24"/>
          <w:szCs w:val="24"/>
          <w:rtl/>
        </w:rPr>
        <w:t>الفرقان</w:t>
      </w:r>
      <w:r w:rsidRPr="00A52585">
        <w:rPr>
          <w:rFonts w:hint="cs"/>
          <w:sz w:val="24"/>
          <w:szCs w:val="24"/>
          <w:rtl/>
        </w:rPr>
        <w:t>:</w:t>
      </w:r>
      <w:r w:rsidR="00777DCB" w:rsidRPr="00A52585">
        <w:rPr>
          <w:rFonts w:hint="cs"/>
          <w:sz w:val="24"/>
          <w:szCs w:val="24"/>
          <w:rtl/>
        </w:rPr>
        <w:t xml:space="preserve">18] ومنهم الأنبياء كما قال ذو النون </w:t>
      </w:r>
      <w:r w:rsidRPr="00A52585">
        <w:rPr>
          <w:rFonts w:hint="cs"/>
          <w:sz w:val="24"/>
          <w:szCs w:val="24"/>
          <w:rtl/>
        </w:rPr>
        <w:t>{</w:t>
      </w:r>
      <w:r w:rsidR="00777DCB" w:rsidRPr="00A52585">
        <w:rPr>
          <w:rFonts w:hint="cs"/>
          <w:sz w:val="24"/>
          <w:szCs w:val="24"/>
          <w:rtl/>
        </w:rPr>
        <w:t xml:space="preserve">لا إله إلا أنتَ سًبحَانَك} </w:t>
      </w:r>
      <w:r w:rsidRPr="00A52585">
        <w:rPr>
          <w:rFonts w:hint="cs"/>
          <w:sz w:val="24"/>
          <w:szCs w:val="24"/>
          <w:rtl/>
        </w:rPr>
        <w:t>[</w:t>
      </w:r>
      <w:r w:rsidR="00777DCB" w:rsidRPr="00A52585">
        <w:rPr>
          <w:rFonts w:hint="cs"/>
          <w:sz w:val="24"/>
          <w:szCs w:val="24"/>
          <w:rtl/>
        </w:rPr>
        <w:t>الأنبياء</w:t>
      </w:r>
      <w:r w:rsidRPr="00A52585">
        <w:rPr>
          <w:rFonts w:hint="cs"/>
          <w:sz w:val="24"/>
          <w:szCs w:val="24"/>
          <w:rtl/>
        </w:rPr>
        <w:t>:</w:t>
      </w:r>
      <w:r w:rsidR="00777DCB" w:rsidRPr="00A52585">
        <w:rPr>
          <w:rFonts w:hint="cs"/>
          <w:sz w:val="24"/>
          <w:szCs w:val="24"/>
          <w:rtl/>
        </w:rPr>
        <w:t xml:space="preserve"> 87] وقال موسى </w:t>
      </w:r>
      <w:r w:rsidRPr="00A52585">
        <w:rPr>
          <w:rFonts w:hint="cs"/>
          <w:sz w:val="24"/>
          <w:szCs w:val="24"/>
          <w:rtl/>
        </w:rPr>
        <w:t>{</w:t>
      </w:r>
      <w:r w:rsidR="00777DCB" w:rsidRPr="00A52585">
        <w:rPr>
          <w:rFonts w:hint="cs"/>
          <w:sz w:val="24"/>
          <w:szCs w:val="24"/>
          <w:rtl/>
        </w:rPr>
        <w:t xml:space="preserve">سبحانَك تُبتُ إليكَ} </w:t>
      </w:r>
      <w:r w:rsidRPr="00A52585">
        <w:rPr>
          <w:rFonts w:hint="cs"/>
          <w:sz w:val="24"/>
          <w:szCs w:val="24"/>
          <w:rtl/>
        </w:rPr>
        <w:t>[</w:t>
      </w:r>
      <w:r w:rsidR="00777DCB" w:rsidRPr="00A52585">
        <w:rPr>
          <w:rFonts w:hint="cs"/>
          <w:sz w:val="24"/>
          <w:szCs w:val="24"/>
          <w:rtl/>
        </w:rPr>
        <w:t>الأعراف</w:t>
      </w:r>
      <w:r w:rsidRPr="00A52585">
        <w:rPr>
          <w:rFonts w:hint="cs"/>
          <w:sz w:val="24"/>
          <w:szCs w:val="24"/>
          <w:rtl/>
        </w:rPr>
        <w:t>:</w:t>
      </w:r>
      <w:r w:rsidR="00777DCB" w:rsidRPr="00A52585">
        <w:rPr>
          <w:rFonts w:hint="cs"/>
          <w:sz w:val="24"/>
          <w:szCs w:val="24"/>
          <w:rtl/>
        </w:rPr>
        <w:t xml:space="preserve"> 143] والصحابة يسبحون في قوله تعالى </w:t>
      </w:r>
      <w:r w:rsidRPr="00A52585">
        <w:rPr>
          <w:rFonts w:hint="cs"/>
          <w:sz w:val="24"/>
          <w:szCs w:val="24"/>
          <w:rtl/>
        </w:rPr>
        <w:t>{</w:t>
      </w:r>
      <w:r w:rsidR="00777DCB" w:rsidRPr="00A52585">
        <w:rPr>
          <w:rFonts w:hint="cs"/>
          <w:sz w:val="24"/>
          <w:szCs w:val="24"/>
          <w:rtl/>
        </w:rPr>
        <w:t xml:space="preserve">سبحانك فقنا عذابَ النار} </w:t>
      </w:r>
      <w:r w:rsidRPr="00A52585">
        <w:rPr>
          <w:rFonts w:hint="cs"/>
          <w:sz w:val="24"/>
          <w:szCs w:val="24"/>
          <w:rtl/>
        </w:rPr>
        <w:t>[</w:t>
      </w:r>
      <w:r w:rsidR="00777DCB" w:rsidRPr="00A52585">
        <w:rPr>
          <w:rFonts w:hint="cs"/>
          <w:sz w:val="24"/>
          <w:szCs w:val="24"/>
          <w:rtl/>
        </w:rPr>
        <w:t>آل عمران</w:t>
      </w:r>
      <w:r w:rsidRPr="00A52585">
        <w:rPr>
          <w:rFonts w:hint="cs"/>
          <w:sz w:val="24"/>
          <w:szCs w:val="24"/>
          <w:rtl/>
        </w:rPr>
        <w:t>:</w:t>
      </w:r>
      <w:r w:rsidR="00777DCB" w:rsidRPr="00A52585">
        <w:rPr>
          <w:rFonts w:hint="cs"/>
          <w:sz w:val="24"/>
          <w:szCs w:val="24"/>
          <w:rtl/>
        </w:rPr>
        <w:t xml:space="preserve"> 191] والكل يسبحون ومنهم الحشرات والدواب والذرات</w:t>
      </w:r>
      <w:r w:rsidRPr="00A52585">
        <w:rPr>
          <w:rFonts w:hint="cs"/>
          <w:sz w:val="24"/>
          <w:szCs w:val="24"/>
          <w:rtl/>
        </w:rPr>
        <w:t xml:space="preserve"> </w:t>
      </w:r>
      <w:r w:rsidR="00777DCB" w:rsidRPr="00A52585">
        <w:rPr>
          <w:rFonts w:hint="cs"/>
          <w:sz w:val="24"/>
          <w:szCs w:val="24"/>
          <w:rtl/>
        </w:rPr>
        <w:t>{وإنْ من شيء إلا يُسبحُ بحَمْدِه}</w:t>
      </w:r>
      <w:r w:rsidRPr="00A52585">
        <w:rPr>
          <w:rFonts w:hint="cs"/>
          <w:sz w:val="24"/>
          <w:szCs w:val="24"/>
          <w:rtl/>
        </w:rPr>
        <w:t xml:space="preserve"> [</w:t>
      </w:r>
      <w:r w:rsidR="00777DCB" w:rsidRPr="00A52585">
        <w:rPr>
          <w:rFonts w:hint="cs"/>
          <w:sz w:val="24"/>
          <w:szCs w:val="24"/>
          <w:rtl/>
        </w:rPr>
        <w:t>الإسراء</w:t>
      </w:r>
      <w:r w:rsidRPr="00A52585">
        <w:rPr>
          <w:rFonts w:hint="cs"/>
          <w:sz w:val="24"/>
          <w:szCs w:val="24"/>
          <w:rtl/>
        </w:rPr>
        <w:t>:</w:t>
      </w:r>
      <w:r w:rsidR="00777DCB" w:rsidRPr="00A52585">
        <w:rPr>
          <w:rFonts w:hint="cs"/>
          <w:sz w:val="24"/>
          <w:szCs w:val="24"/>
          <w:rtl/>
        </w:rPr>
        <w:t xml:space="preserve"> 44] وكذا الحجر والمدر والرمال والجبال والليل والنهار والظلمات والأنوار والجنة والنار والزمان والمكان والعناصــر والأركان والأرواح والأجسام علــى مــا قـــال </w:t>
      </w:r>
      <w:r w:rsidRPr="00A52585">
        <w:rPr>
          <w:rFonts w:hint="cs"/>
          <w:sz w:val="24"/>
          <w:szCs w:val="24"/>
          <w:rtl/>
        </w:rPr>
        <w:t>{</w:t>
      </w:r>
      <w:r w:rsidR="00777DCB" w:rsidRPr="00A52585">
        <w:rPr>
          <w:rFonts w:hint="cs"/>
          <w:sz w:val="24"/>
          <w:szCs w:val="24"/>
          <w:rtl/>
        </w:rPr>
        <w:t>سَبَّحَ لله ما في السمواتِ</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الحديد</w:t>
      </w:r>
      <w:r w:rsidRPr="00A52585">
        <w:rPr>
          <w:rFonts w:hint="cs"/>
          <w:sz w:val="24"/>
          <w:szCs w:val="24"/>
          <w:rtl/>
        </w:rPr>
        <w:t>:</w:t>
      </w:r>
      <w:r w:rsidR="00777DCB" w:rsidRPr="00A52585">
        <w:rPr>
          <w:rFonts w:hint="cs"/>
          <w:sz w:val="24"/>
          <w:szCs w:val="24"/>
          <w:rtl/>
        </w:rPr>
        <w:t>1] ثم يقول أيها العبد</w:t>
      </w:r>
      <w:r w:rsidRPr="00A52585">
        <w:rPr>
          <w:rFonts w:hint="cs"/>
          <w:sz w:val="24"/>
          <w:szCs w:val="24"/>
          <w:rtl/>
        </w:rPr>
        <w:t>:</w:t>
      </w:r>
      <w:r w:rsidR="00777DCB" w:rsidRPr="00A52585">
        <w:rPr>
          <w:rFonts w:hint="cs"/>
          <w:sz w:val="24"/>
          <w:szCs w:val="24"/>
          <w:rtl/>
        </w:rPr>
        <w:t xml:space="preserve"> أنا الغني عن تسبيح هذه الأشياء، وهذه الأشياء ليست من الأحياء فلا حاجة بها إلى ثواب هذا التسبيح فقد صار ثواب هذه التسبيحات ضائعاً وذلك لا يليق بي </w:t>
      </w:r>
      <w:r w:rsidRPr="00A52585">
        <w:rPr>
          <w:rFonts w:hint="cs"/>
          <w:sz w:val="24"/>
          <w:szCs w:val="24"/>
          <w:rtl/>
        </w:rPr>
        <w:t>{</w:t>
      </w:r>
      <w:r w:rsidR="00777DCB" w:rsidRPr="00A52585">
        <w:rPr>
          <w:rFonts w:hint="cs"/>
          <w:sz w:val="24"/>
          <w:szCs w:val="24"/>
          <w:rtl/>
        </w:rPr>
        <w:t>وما خلقنا السماءَ والأرضَ وما بينَهما باطلاً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ص</w:t>
      </w:r>
      <w:r w:rsidRPr="00A52585">
        <w:rPr>
          <w:rFonts w:hint="cs"/>
          <w:sz w:val="24"/>
          <w:szCs w:val="24"/>
          <w:rtl/>
        </w:rPr>
        <w:t>:</w:t>
      </w:r>
      <w:r w:rsidR="00777DCB" w:rsidRPr="00A52585">
        <w:rPr>
          <w:rFonts w:hint="cs"/>
          <w:sz w:val="24"/>
          <w:szCs w:val="24"/>
          <w:rtl/>
        </w:rPr>
        <w:t xml:space="preserve"> 27] لكني أوصل ثواب هذه الأشياء إليك ليعرف كل أحد أن من اجتهد في خدمتي أجعل كل العالم في خدمته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00777DCB" w:rsidRPr="00A52585">
        <w:rPr>
          <w:rFonts w:hint="cs"/>
          <w:rtl/>
        </w:rPr>
        <w:t xml:space="preserve"> مع غير ذلك كما في أشرف الكتب مما أذكر بعضه</w:t>
      </w:r>
      <w:r w:rsidR="00DB731D" w:rsidRPr="00A52585">
        <w:rPr>
          <w:rFonts w:hint="cs"/>
          <w:rtl/>
        </w:rPr>
        <w:t>،</w:t>
      </w:r>
      <w:r w:rsidR="00777DCB" w:rsidRPr="00A52585">
        <w:rPr>
          <w:rFonts w:hint="cs"/>
          <w:rtl/>
        </w:rPr>
        <w:t xml:space="preserve"> فقوله تعالى {سبح اسم ربك} أي قل</w:t>
      </w:r>
      <w:r w:rsidRPr="00A52585">
        <w:rPr>
          <w:rFonts w:hint="cs"/>
          <w:rtl/>
        </w:rPr>
        <w:t>:</w:t>
      </w:r>
      <w:r w:rsidR="00777DCB" w:rsidRPr="00A52585">
        <w:rPr>
          <w:rFonts w:hint="cs"/>
          <w:rtl/>
        </w:rPr>
        <w:t xml:space="preserve"> سبحان ربي الأعلى والمعنى</w:t>
      </w:r>
      <w:r w:rsidRPr="00A52585">
        <w:rPr>
          <w:rFonts w:hint="cs"/>
          <w:rtl/>
        </w:rPr>
        <w:t>:</w:t>
      </w:r>
      <w:r w:rsidR="00777DCB" w:rsidRPr="00A52585">
        <w:rPr>
          <w:rFonts w:hint="cs"/>
          <w:rtl/>
        </w:rPr>
        <w:t xml:space="preserve"> نزه اسم ربك وأذكره وأنت له معظم. وقيل</w:t>
      </w:r>
      <w:r w:rsidRPr="00A52585">
        <w:rPr>
          <w:rFonts w:hint="cs"/>
          <w:rtl/>
        </w:rPr>
        <w:t>:</w:t>
      </w:r>
      <w:r w:rsidR="00777DCB" w:rsidRPr="00A52585">
        <w:rPr>
          <w:rFonts w:hint="cs"/>
          <w:rtl/>
        </w:rPr>
        <w:t xml:space="preserve"> نزه عن المعاني </w:t>
      </w:r>
      <w:proofErr w:type="spellStart"/>
      <w:r w:rsidR="00777DCB" w:rsidRPr="00A52585">
        <w:rPr>
          <w:rFonts w:hint="cs"/>
          <w:rtl/>
        </w:rPr>
        <w:t>المفضية</w:t>
      </w:r>
      <w:proofErr w:type="spellEnd"/>
      <w:r w:rsidR="00777DCB" w:rsidRPr="00A52585">
        <w:rPr>
          <w:rFonts w:hint="cs"/>
          <w:rtl/>
        </w:rPr>
        <w:t xml:space="preserve"> إلى نقصه. وقيل</w:t>
      </w:r>
      <w:r w:rsidRPr="00A52585">
        <w:rPr>
          <w:rFonts w:hint="cs"/>
          <w:rtl/>
        </w:rPr>
        <w:t>:</w:t>
      </w:r>
      <w:r w:rsidR="00777DCB" w:rsidRPr="00A52585">
        <w:rPr>
          <w:rFonts w:hint="cs"/>
          <w:rtl/>
        </w:rPr>
        <w:t xml:space="preserve"> نزه اسمه عن الكذب إذا أقسمت به. وقيل</w:t>
      </w:r>
      <w:r w:rsidRPr="00A52585">
        <w:rPr>
          <w:rFonts w:hint="cs"/>
          <w:rtl/>
        </w:rPr>
        <w:t>:</w:t>
      </w:r>
      <w:r w:rsidR="00777DCB" w:rsidRPr="00A52585">
        <w:rPr>
          <w:rFonts w:hint="cs"/>
          <w:rtl/>
        </w:rPr>
        <w:t xml:space="preserve"> لفظ اسم زائد وفي الكلام حذف المعنى</w:t>
      </w:r>
      <w:r w:rsidRPr="00A52585">
        <w:rPr>
          <w:rFonts w:hint="cs"/>
          <w:rtl/>
        </w:rPr>
        <w:t>:</w:t>
      </w:r>
      <w:r w:rsidR="00777DCB" w:rsidRPr="00A52585">
        <w:rPr>
          <w:rFonts w:hint="cs"/>
          <w:rtl/>
        </w:rPr>
        <w:t xml:space="preserve"> نزه مسمى ربك {الذي خلق فسوى} </w:t>
      </w:r>
      <w:r w:rsidRPr="00A52585">
        <w:rPr>
          <w:rFonts w:hint="cs"/>
          <w:rtl/>
        </w:rPr>
        <w:t>[</w:t>
      </w:r>
      <w:r w:rsidR="00777DCB" w:rsidRPr="00A52585">
        <w:rPr>
          <w:rFonts w:hint="cs"/>
          <w:rtl/>
        </w:rPr>
        <w:t>الأعلى</w:t>
      </w:r>
      <w:r w:rsidRPr="00A52585">
        <w:rPr>
          <w:rFonts w:hint="cs"/>
          <w:rtl/>
        </w:rPr>
        <w:t>:</w:t>
      </w:r>
      <w:r w:rsidR="00777DCB" w:rsidRPr="00A52585">
        <w:rPr>
          <w:rFonts w:hint="cs"/>
          <w:rtl/>
        </w:rPr>
        <w:t xml:space="preserve"> 2</w:t>
      </w:r>
      <w:r w:rsidRPr="00A52585">
        <w:rPr>
          <w:rFonts w:hint="cs"/>
          <w:rtl/>
        </w:rPr>
        <w:t>]</w:t>
      </w:r>
      <w:r w:rsidR="00DB731D" w:rsidRPr="00A52585">
        <w:rPr>
          <w:rFonts w:hint="cs"/>
          <w:rtl/>
        </w:rPr>
        <w:t>،</w:t>
      </w:r>
      <w:r w:rsidR="00777DCB" w:rsidRPr="00A52585">
        <w:rPr>
          <w:rFonts w:hint="cs"/>
          <w:rtl/>
        </w:rPr>
        <w:t xml:space="preserve"> أي مخلوقه بأن خلقه مستوياً بلا تفاوت فيه وفي أعضائه وغير ذلك من مخلوقاته فإن من هذا من بعض </w:t>
      </w:r>
      <w:r w:rsidR="00777DCB" w:rsidRPr="00A52585">
        <w:rPr>
          <w:rFonts w:hint="cs"/>
          <w:rtl/>
        </w:rPr>
        <w:lastRenderedPageBreak/>
        <w:t>مصنوعاته يستحق التْنزِيه فكيف بمخلوقات أخر يعجز العقل عن إدراكها لعظمها وكلها على اختلاف أجناسها وأنواعها كل يسبحه بلغته وبما يليق بجلاله قال تعالى</w:t>
      </w:r>
      <w:r w:rsidRPr="00A52585">
        <w:rPr>
          <w:rFonts w:hint="cs"/>
          <w:rtl/>
        </w:rPr>
        <w:t>:</w:t>
      </w:r>
      <w:r w:rsidR="00777DCB" w:rsidRPr="00A52585">
        <w:rPr>
          <w:rFonts w:hint="cs"/>
          <w:rtl/>
        </w:rPr>
        <w:t xml:space="preserve"> {تسبح له السموات السبع والأرض ومن فيهن وإنْ من شيء إلا يسبح بحمده ولكن لا تفقهون تسبيحهم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الإسراء</w:t>
      </w:r>
      <w:r w:rsidRPr="00A52585">
        <w:rPr>
          <w:rFonts w:hint="cs"/>
          <w:rtl/>
        </w:rPr>
        <w:t>:</w:t>
      </w:r>
      <w:r w:rsidR="00777DCB" w:rsidRPr="00A52585">
        <w:rPr>
          <w:rFonts w:hint="cs"/>
          <w:rtl/>
        </w:rPr>
        <w:t xml:space="preserve"> 44</w:t>
      </w:r>
      <w:r w:rsidRPr="00A52585">
        <w:rPr>
          <w:rFonts w:hint="cs"/>
          <w:rtl/>
        </w:rPr>
        <w:t>]</w:t>
      </w:r>
      <w:r w:rsidR="00DB731D" w:rsidRPr="00A52585">
        <w:rPr>
          <w:rFonts w:hint="cs"/>
          <w:rtl/>
        </w:rPr>
        <w:t>،</w:t>
      </w:r>
      <w:r w:rsidR="00777DCB" w:rsidRPr="00A52585">
        <w:rPr>
          <w:rFonts w:hint="cs"/>
          <w:rtl/>
        </w:rPr>
        <w:t xml:space="preserve"> وقال {والطير صافات كل قد علم صلاته وتسبيحه} </w:t>
      </w:r>
      <w:r w:rsidRPr="00A52585">
        <w:rPr>
          <w:rFonts w:hint="cs"/>
          <w:rtl/>
        </w:rPr>
        <w:t>[</w:t>
      </w:r>
      <w:r w:rsidR="00777DCB" w:rsidRPr="00A52585">
        <w:rPr>
          <w:rFonts w:hint="cs"/>
          <w:rtl/>
        </w:rPr>
        <w:t>النور</w:t>
      </w:r>
      <w:r w:rsidRPr="00A52585">
        <w:rPr>
          <w:rFonts w:hint="cs"/>
          <w:rtl/>
        </w:rPr>
        <w:t>:</w:t>
      </w:r>
      <w:r w:rsidR="00777DCB" w:rsidRPr="00A52585">
        <w:rPr>
          <w:rFonts w:hint="cs"/>
          <w:rtl/>
        </w:rPr>
        <w:t xml:space="preserve"> 41</w:t>
      </w:r>
      <w:r w:rsidRPr="00A52585">
        <w:rPr>
          <w:rFonts w:hint="cs"/>
          <w:rtl/>
        </w:rPr>
        <w:t>]</w:t>
      </w:r>
      <w:r w:rsidR="00DB731D" w:rsidRPr="00A52585">
        <w:rPr>
          <w:rFonts w:hint="cs"/>
          <w:rtl/>
        </w:rPr>
        <w:t>،</w:t>
      </w:r>
      <w:r w:rsidR="00777DCB" w:rsidRPr="00A52585">
        <w:rPr>
          <w:rFonts w:hint="cs"/>
          <w:rtl/>
        </w:rPr>
        <w:t xml:space="preserve"> قال مجاهد</w:t>
      </w:r>
      <w:r w:rsidRPr="00A52585">
        <w:rPr>
          <w:rFonts w:hint="cs"/>
          <w:rtl/>
        </w:rPr>
        <w:t>:</w:t>
      </w:r>
      <w:r w:rsidR="00777DCB" w:rsidRPr="00A52585">
        <w:rPr>
          <w:rFonts w:hint="cs"/>
          <w:rtl/>
        </w:rPr>
        <w:t xml:space="preserve"> تسبيح المخلوقات هو تنْزِيه خالقها وتوحيده بما يستحقه من كمال صفاته وعظيم ذاته</w:t>
      </w:r>
      <w:r w:rsidR="00DB731D" w:rsidRPr="00A52585">
        <w:rPr>
          <w:rFonts w:hint="cs"/>
          <w:vertAlign w:val="superscript"/>
          <w:rtl/>
        </w:rPr>
        <w:t>،</w:t>
      </w:r>
      <w:r w:rsidR="00777DCB" w:rsidRPr="00A52585">
        <w:rPr>
          <w:rFonts w:hint="cs"/>
          <w:rtl/>
        </w:rPr>
        <w:t xml:space="preserve"> قيل</w:t>
      </w:r>
      <w:r w:rsidRPr="00A52585">
        <w:rPr>
          <w:rFonts w:hint="cs"/>
          <w:rtl/>
        </w:rPr>
        <w:t>:</w:t>
      </w:r>
      <w:r w:rsidR="00777DCB" w:rsidRPr="00A52585">
        <w:rPr>
          <w:rFonts w:hint="cs"/>
          <w:rtl/>
        </w:rPr>
        <w:t xml:space="preserve"> تفقه تسبيحهم العلماء الربانيون الذين انفتحت أسماع بصائرهم </w:t>
      </w:r>
      <w:proofErr w:type="spellStart"/>
      <w:r w:rsidR="00777DCB" w:rsidRPr="00A52585">
        <w:rPr>
          <w:rFonts w:hint="cs"/>
          <w:rtl/>
        </w:rPr>
        <w:t>والمنوروا</w:t>
      </w:r>
      <w:proofErr w:type="spellEnd"/>
      <w:r w:rsidR="00777DCB" w:rsidRPr="00A52585">
        <w:rPr>
          <w:rFonts w:hint="cs"/>
          <w:rtl/>
        </w:rPr>
        <w:t xml:space="preserve"> البصائر الذين يشاهدون على كل شيء مرقوماً عليه بقلم القدرة هو الملك القدوس</w:t>
      </w:r>
      <w:r w:rsidR="00DB731D" w:rsidRPr="00A52585">
        <w:rPr>
          <w:rFonts w:hint="cs"/>
          <w:rtl/>
        </w:rPr>
        <w:t>،</w:t>
      </w:r>
      <w:r w:rsidR="00777DCB" w:rsidRPr="00A52585">
        <w:rPr>
          <w:rFonts w:hint="cs"/>
          <w:rtl/>
        </w:rPr>
        <w:t xml:space="preserve"> وقال مجاهد</w:t>
      </w:r>
      <w:r w:rsidRPr="00A52585">
        <w:rPr>
          <w:rFonts w:hint="cs"/>
          <w:rtl/>
        </w:rPr>
        <w:t>:</w:t>
      </w:r>
      <w:r w:rsidR="00777DCB" w:rsidRPr="00A52585">
        <w:rPr>
          <w:rFonts w:hint="cs"/>
          <w:rtl/>
        </w:rPr>
        <w:t xml:space="preserve"> كل الأشياء تسبح حيواناً أو جماداً وتسبيحها</w:t>
      </w:r>
      <w:r w:rsidRPr="00A52585">
        <w:rPr>
          <w:rFonts w:hint="cs"/>
          <w:rtl/>
        </w:rPr>
        <w:t>:</w:t>
      </w:r>
      <w:r w:rsidR="00777DCB" w:rsidRPr="00A52585">
        <w:rPr>
          <w:rFonts w:hint="cs"/>
          <w:rtl/>
        </w:rPr>
        <w:t xml:space="preserve"> سبحان الله وبحمده</w:t>
      </w:r>
      <w:r w:rsidR="00DB731D" w:rsidRPr="00A52585">
        <w:rPr>
          <w:rFonts w:hint="cs"/>
          <w:rtl/>
        </w:rPr>
        <w:t>،</w:t>
      </w:r>
      <w:r w:rsidR="00777DCB" w:rsidRPr="00A52585">
        <w:rPr>
          <w:rFonts w:hint="cs"/>
          <w:rtl/>
        </w:rPr>
        <w:t xml:space="preserve"> وروى ابن السني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تستقل الشمس فيبقى شيء من خلق الله تعالى إلا سبح لله تعالى وحمده إلا ما كان من الشيطان وأعتاء بني آدم</w:t>
      </w:r>
      <w:r w:rsidRPr="00A52585">
        <w:rPr>
          <w:rFonts w:hint="cs"/>
          <w:rtl/>
        </w:rPr>
        <w:t>)</w:t>
      </w:r>
      <w:r w:rsidR="00777DCB" w:rsidRPr="00A52585">
        <w:rPr>
          <w:rFonts w:hint="cs"/>
          <w:rtl/>
        </w:rPr>
        <w:t>)</w:t>
      </w:r>
      <w:r w:rsidR="00897A24" w:rsidRPr="00A52585">
        <w:rPr>
          <w:rFonts w:hint="cs"/>
          <w:rtl/>
        </w:rPr>
        <w:t>.</w:t>
      </w:r>
      <w:r w:rsidR="00777DCB" w:rsidRPr="00A52585">
        <w:rPr>
          <w:rFonts w:hint="cs"/>
          <w:rtl/>
        </w:rPr>
        <w:t xml:space="preserve"> فقيل</w:t>
      </w:r>
      <w:r w:rsidRPr="00A52585">
        <w:rPr>
          <w:rFonts w:hint="cs"/>
          <w:rtl/>
        </w:rPr>
        <w:t>:</w:t>
      </w:r>
      <w:r w:rsidR="00777DCB" w:rsidRPr="00A52585">
        <w:rPr>
          <w:rFonts w:hint="cs"/>
          <w:rtl/>
        </w:rPr>
        <w:t xml:space="preserve"> ما أعتاء بني آدم</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شرار الخلق</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رواه ابن السني في كتاب (عمل اليوم والليلة) عن عمرو بن عبسة ونقله عنه النووي في (الأذكار) باب</w:t>
      </w:r>
      <w:r w:rsidRPr="00A52585">
        <w:rPr>
          <w:rFonts w:hint="cs"/>
          <w:sz w:val="24"/>
          <w:szCs w:val="24"/>
          <w:rtl/>
        </w:rPr>
        <w:t>:</w:t>
      </w:r>
      <w:r w:rsidR="00777DCB" w:rsidRPr="00A52585">
        <w:rPr>
          <w:rFonts w:hint="cs"/>
          <w:sz w:val="24"/>
          <w:szCs w:val="24"/>
          <w:rtl/>
        </w:rPr>
        <w:t xml:space="preserve"> ما يقول إذا استقلت الشمس، ولم يذكر فيه ضعف فهو حسن أو صحيح عنده وأخرجه بسنده الحافظ ابن حجر العسقلاني في (نتائج الأفكار في تخريج أحاديث</w:t>
      </w:r>
      <w:r w:rsidRPr="00A52585">
        <w:rPr>
          <w:rFonts w:hint="cs"/>
          <w:sz w:val="24"/>
          <w:szCs w:val="24"/>
          <w:rtl/>
        </w:rPr>
        <w:t xml:space="preserve"> </w:t>
      </w:r>
      <w:r w:rsidR="00777DCB" w:rsidRPr="00A52585">
        <w:rPr>
          <w:rFonts w:hint="cs"/>
          <w:sz w:val="24"/>
          <w:szCs w:val="24"/>
          <w:rtl/>
        </w:rPr>
        <w:t>الأذكار) 2/ 418 وفي سنده (بقية بن الوليد) لكنه صرح بالتحديث يقول الحافظ بن حجر</w:t>
      </w:r>
      <w:r w:rsidRPr="00A52585">
        <w:rPr>
          <w:rFonts w:hint="cs"/>
          <w:sz w:val="24"/>
          <w:szCs w:val="24"/>
          <w:rtl/>
        </w:rPr>
        <w:t xml:space="preserve">: </w:t>
      </w:r>
      <w:r w:rsidR="00777DCB" w:rsidRPr="00A52585">
        <w:rPr>
          <w:rFonts w:hint="cs"/>
          <w:sz w:val="24"/>
          <w:szCs w:val="24"/>
          <w:rtl/>
        </w:rPr>
        <w:t>" هذا حديث حسن غريب لم يقع إلىَّ إلا من هذا الوجه، ووجدت له شاهداً عن ابن عمر</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وذكر أن هذا الشاهد مبني على أحد التفسيرين في قوله (تستقبل) فإنه رواه بلفظ (ما تستقبل الشمس)</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ويشهد له أيضاً ما رواه الترمذي وابن السني عن </w:t>
      </w:r>
      <w:proofErr w:type="spellStart"/>
      <w:r w:rsidR="00777DCB" w:rsidRPr="00A52585">
        <w:rPr>
          <w:rFonts w:hint="cs"/>
          <w:sz w:val="24"/>
          <w:szCs w:val="24"/>
          <w:rtl/>
        </w:rPr>
        <w:t>الزبيررضي</w:t>
      </w:r>
      <w:proofErr w:type="spellEnd"/>
      <w:r w:rsidR="00777DCB" w:rsidRPr="00A52585">
        <w:rPr>
          <w:rFonts w:hint="cs"/>
          <w:sz w:val="24"/>
          <w:szCs w:val="24"/>
          <w:rtl/>
        </w:rPr>
        <w:t xml:space="preserve"> الله عنه قال</w:t>
      </w:r>
      <w:r w:rsidRPr="00A52585">
        <w:rPr>
          <w:rFonts w:hint="cs"/>
          <w:sz w:val="24"/>
          <w:szCs w:val="24"/>
          <w:rtl/>
        </w:rPr>
        <w:t>:</w:t>
      </w:r>
      <w:r w:rsidR="00777DCB" w:rsidRPr="00A52585">
        <w:rPr>
          <w:rFonts w:hint="cs"/>
          <w:sz w:val="24"/>
          <w:szCs w:val="24"/>
          <w:rtl/>
        </w:rPr>
        <w:t xml:space="preserve"> قال رسول الله صلى الله عليه وسلم</w:t>
      </w:r>
      <w:r w:rsidRPr="00A52585">
        <w:rPr>
          <w:rFonts w:hint="cs"/>
          <w:sz w:val="24"/>
          <w:szCs w:val="24"/>
          <w:rtl/>
        </w:rPr>
        <w:t xml:space="preserve"> </w:t>
      </w:r>
      <w:r w:rsidR="00777DCB" w:rsidRPr="00A52585">
        <w:rPr>
          <w:rFonts w:hint="cs"/>
          <w:sz w:val="24"/>
          <w:szCs w:val="24"/>
          <w:rtl/>
        </w:rPr>
        <w:t>" ما من صباح يصبح فيه العباد إلا مناد ينادي سبحِّوا الملك القدوس"</w:t>
      </w:r>
      <w:r w:rsidRPr="00A52585">
        <w:rPr>
          <w:rFonts w:hint="cs"/>
          <w:sz w:val="24"/>
          <w:szCs w:val="24"/>
          <w:rtl/>
        </w:rPr>
        <w:t xml:space="preserve"> </w:t>
      </w:r>
      <w:r w:rsidR="00777DCB" w:rsidRPr="00A52585">
        <w:rPr>
          <w:rFonts w:hint="cs"/>
          <w:sz w:val="24"/>
          <w:szCs w:val="24"/>
          <w:rtl/>
        </w:rPr>
        <w:t>وإسناده ضعيف وقال الترمذي وابن حجر (حديث غريب) ورواه أبو يعلى الموصلي وابن السني بلفظ</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إلا صارخ يصرخ يا أيها الخلائق سبحِّوا الملك القدوس"</w:t>
      </w:r>
      <w:r w:rsidRPr="00A52585">
        <w:rPr>
          <w:rFonts w:hint="cs"/>
          <w:sz w:val="24"/>
          <w:szCs w:val="24"/>
          <w:rtl/>
        </w:rPr>
        <w:t xml:space="preserve"> </w:t>
      </w:r>
      <w:r w:rsidR="00777DCB" w:rsidRPr="00A52585">
        <w:rPr>
          <w:rFonts w:hint="cs"/>
          <w:sz w:val="24"/>
          <w:szCs w:val="24"/>
          <w:rtl/>
        </w:rPr>
        <w:t>أخرج الروايتين الحافظ ابن حجر في (نتائج الأفكار) 2/390 لذا ورد في السنة النبوية الكريمة في أحاديث كثيرة الحث على أن يجلس المصلي في مصلاه بعد صلاة الصبح يذكر الله حتى تطلع الشمس</w:t>
      </w:r>
      <w:r w:rsidRPr="00A52585">
        <w:rPr>
          <w:rFonts w:hint="cs"/>
          <w:sz w:val="24"/>
          <w:szCs w:val="24"/>
          <w:rtl/>
        </w:rPr>
        <w:t>]</w:t>
      </w:r>
      <w:r w:rsidR="00DB731D" w:rsidRPr="00A52585">
        <w:rPr>
          <w:rFonts w:hint="cs"/>
          <w:rtl/>
        </w:rPr>
        <w:t>،</w:t>
      </w:r>
      <w:r w:rsidR="00777DCB" w:rsidRPr="00A52585">
        <w:rPr>
          <w:rFonts w:hint="cs"/>
          <w:rtl/>
        </w:rPr>
        <w:t xml:space="preserve"> وقال شهر بن حوشب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شهر بن حوشب الأشعري أبو سعيد مولى أسماء بنت يزيد من التابعين توفى عام (112) هـ</w:t>
      </w:r>
      <w:r w:rsidRPr="00A52585">
        <w:rPr>
          <w:rFonts w:hint="cs"/>
          <w:sz w:val="24"/>
          <w:szCs w:val="24"/>
          <w:rtl/>
        </w:rPr>
        <w:t>]</w:t>
      </w:r>
      <w:r w:rsidRPr="00A52585">
        <w:rPr>
          <w:rFonts w:hint="cs"/>
          <w:sz w:val="24"/>
          <w:rtl/>
        </w:rPr>
        <w:t>:</w:t>
      </w:r>
      <w:r w:rsidR="00777DCB" w:rsidRPr="00A52585">
        <w:rPr>
          <w:rFonts w:hint="cs"/>
          <w:rtl/>
        </w:rPr>
        <w:t xml:space="preserve"> حملة العرش ثمانية</w:t>
      </w:r>
      <w:r w:rsidR="00DB731D" w:rsidRPr="00A52585">
        <w:rPr>
          <w:rFonts w:hint="cs"/>
          <w:rtl/>
        </w:rPr>
        <w:t>،</w:t>
      </w:r>
      <w:r w:rsidR="00777DCB" w:rsidRPr="00A52585">
        <w:rPr>
          <w:rFonts w:hint="cs"/>
          <w:rtl/>
        </w:rPr>
        <w:t xml:space="preserve"> أربعة يقولون سبحانك اللهم وبحمدك لك الحمد على حلمك بعد علمك. وأربعة يقولون</w:t>
      </w:r>
      <w:r w:rsidRPr="00A52585">
        <w:rPr>
          <w:rFonts w:hint="cs"/>
          <w:rtl/>
        </w:rPr>
        <w:t>:</w:t>
      </w:r>
      <w:r w:rsidR="00777DCB" w:rsidRPr="00A52585">
        <w:rPr>
          <w:rFonts w:hint="cs"/>
          <w:rtl/>
        </w:rPr>
        <w:t xml:space="preserve"> سبحانك اللهم وبحمدك لك الحمد على عفوك بعد قدرتك</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{هو الله الذي لا إله إلا هو الملك القدوس} </w:t>
      </w:r>
      <w:r w:rsidRPr="00A52585">
        <w:rPr>
          <w:rFonts w:hint="cs"/>
          <w:rtl/>
        </w:rPr>
        <w:t>[</w:t>
      </w:r>
      <w:r w:rsidR="00777DCB" w:rsidRPr="00A52585">
        <w:rPr>
          <w:rFonts w:hint="cs"/>
          <w:rtl/>
        </w:rPr>
        <w:t>الحشر</w:t>
      </w:r>
      <w:r w:rsidRPr="00A52585">
        <w:rPr>
          <w:rFonts w:hint="cs"/>
          <w:rtl/>
        </w:rPr>
        <w:t>:</w:t>
      </w:r>
      <w:r w:rsidR="00777DCB" w:rsidRPr="00A52585">
        <w:rPr>
          <w:rFonts w:hint="cs"/>
          <w:rtl/>
        </w:rPr>
        <w:t xml:space="preserve"> 23</w:t>
      </w:r>
      <w:r w:rsidRPr="00A52585">
        <w:rPr>
          <w:rFonts w:hint="cs"/>
          <w:rtl/>
        </w:rPr>
        <w:t>]</w:t>
      </w:r>
      <w:r w:rsidR="00DB731D" w:rsidRPr="00A52585">
        <w:rPr>
          <w:rFonts w:hint="cs"/>
          <w:rtl/>
        </w:rPr>
        <w:t>،</w:t>
      </w:r>
      <w:r w:rsidR="00777DCB" w:rsidRPr="00A52585">
        <w:rPr>
          <w:rFonts w:hint="cs"/>
          <w:rtl/>
        </w:rPr>
        <w:t xml:space="preserve"> فالملك اسم من أسمائه تعالى وكذا مليك وهو صيغة مبالغة في الملك قال تعالى</w:t>
      </w:r>
      <w:r w:rsidRPr="00A52585">
        <w:rPr>
          <w:rFonts w:hint="cs"/>
          <w:rtl/>
        </w:rPr>
        <w:t>:</w:t>
      </w:r>
      <w:r w:rsidR="00777DCB" w:rsidRPr="00A52585">
        <w:rPr>
          <w:rFonts w:hint="cs"/>
          <w:rtl/>
        </w:rPr>
        <w:t xml:space="preserve"> {عند مليك مقتدر} </w:t>
      </w:r>
      <w:r w:rsidRPr="00A52585">
        <w:rPr>
          <w:rFonts w:hint="cs"/>
          <w:rtl/>
        </w:rPr>
        <w:t>[</w:t>
      </w:r>
      <w:r w:rsidR="00777DCB" w:rsidRPr="00A52585">
        <w:rPr>
          <w:rFonts w:hint="cs"/>
          <w:rtl/>
        </w:rPr>
        <w:t>القمر</w:t>
      </w:r>
      <w:r w:rsidRPr="00A52585">
        <w:rPr>
          <w:rFonts w:hint="cs"/>
          <w:rtl/>
        </w:rPr>
        <w:t>:</w:t>
      </w:r>
      <w:r w:rsidR="00777DCB" w:rsidRPr="00A52585">
        <w:rPr>
          <w:rFonts w:hint="cs"/>
          <w:rtl/>
        </w:rPr>
        <w:t xml:space="preserve"> 55</w:t>
      </w:r>
      <w:r w:rsidRPr="00A52585">
        <w:rPr>
          <w:rFonts w:hint="cs"/>
          <w:rtl/>
        </w:rPr>
        <w:t>]</w:t>
      </w:r>
      <w:r w:rsidR="00DB731D" w:rsidRPr="00A52585">
        <w:rPr>
          <w:rFonts w:hint="cs"/>
          <w:rtl/>
        </w:rPr>
        <w:t>،</w:t>
      </w:r>
      <w:r w:rsidR="00777DCB" w:rsidRPr="00A52585">
        <w:rPr>
          <w:rFonts w:hint="cs"/>
          <w:rtl/>
        </w:rPr>
        <w:t xml:space="preserve"> فالمَلِكُ قيل: هو المستغني عن كل شيء ويفتقر إليه كل شيء ونافذ حكمه في مملكته طوعاً أو كرها. وقيل</w:t>
      </w:r>
      <w:r w:rsidRPr="00A52585">
        <w:rPr>
          <w:rFonts w:hint="cs"/>
          <w:rtl/>
        </w:rPr>
        <w:t>:</w:t>
      </w:r>
      <w:r w:rsidR="00777DCB" w:rsidRPr="00A52585">
        <w:rPr>
          <w:rFonts w:hint="cs"/>
          <w:rtl/>
        </w:rPr>
        <w:t xml:space="preserve"> هو القادر على الإبداع والإنشاء والإعدام</w:t>
      </w:r>
      <w:r w:rsidR="00DB731D" w:rsidRPr="00A52585">
        <w:rPr>
          <w:rFonts w:hint="cs"/>
          <w:rtl/>
        </w:rPr>
        <w:t>،</w:t>
      </w:r>
      <w:r w:rsidR="00777DCB" w:rsidRPr="00A52585">
        <w:rPr>
          <w:rFonts w:hint="cs"/>
          <w:rtl/>
        </w:rPr>
        <w:t xml:space="preserve"> وهذا على الحقيقة لا يكون إلا الله عز وجل أبدع المكونات العلويات والسفليات الجليات والخفيات أبدعها بقدرته</w:t>
      </w:r>
      <w:r w:rsidR="00DB731D" w:rsidRPr="00A52585">
        <w:rPr>
          <w:rFonts w:hint="cs"/>
          <w:rtl/>
        </w:rPr>
        <w:t>،</w:t>
      </w:r>
      <w:r w:rsidR="00777DCB" w:rsidRPr="00A52585">
        <w:rPr>
          <w:rFonts w:hint="cs"/>
          <w:rtl/>
        </w:rPr>
        <w:t xml:space="preserve"> وزينها على اختلاف أطوارها بحكمته</w:t>
      </w:r>
      <w:r w:rsidR="00DB731D" w:rsidRPr="00A52585">
        <w:rPr>
          <w:rFonts w:hint="cs"/>
          <w:rtl/>
        </w:rPr>
        <w:t>،</w:t>
      </w:r>
      <w:r w:rsidR="00777DCB" w:rsidRPr="00A52585">
        <w:rPr>
          <w:rFonts w:hint="cs"/>
          <w:rtl/>
        </w:rPr>
        <w:t xml:space="preserve"> فكل ما برز فهو مقهور الوجود بكن. وكل ما انعدم فهو مقهور العدم بكن</w:t>
      </w:r>
      <w:r w:rsidR="00DB731D" w:rsidRPr="00A52585">
        <w:rPr>
          <w:rFonts w:hint="cs"/>
          <w:rtl/>
        </w:rPr>
        <w:t>،</w:t>
      </w:r>
      <w:r w:rsidR="00777DCB" w:rsidRPr="00A52585">
        <w:rPr>
          <w:rFonts w:hint="cs"/>
          <w:rtl/>
        </w:rPr>
        <w:t xml:space="preserve"> </w:t>
      </w:r>
      <w:r w:rsidR="00777DCB" w:rsidRPr="00A52585">
        <w:rPr>
          <w:rFonts w:hint="cs"/>
          <w:rtl/>
        </w:rPr>
        <w:lastRenderedPageBreak/>
        <w:t>وبهذا تعلم أن إطلاق الملك على ما سواه أمر مجازى. إذ المملوك لا يكون مالكاً</w:t>
      </w:r>
      <w:r w:rsidR="00DB731D" w:rsidRPr="00A52585">
        <w:rPr>
          <w:rFonts w:hint="cs"/>
          <w:rtl/>
        </w:rPr>
        <w:t>،</w:t>
      </w:r>
      <w:r w:rsidR="00777DCB" w:rsidRPr="00A52585">
        <w:rPr>
          <w:rFonts w:hint="cs"/>
          <w:rtl/>
        </w:rPr>
        <w:t xml:space="preserve"> لأن من هو تحت قهر الأغيار فهو كالعدم</w:t>
      </w:r>
      <w:r w:rsidR="00DB731D" w:rsidRPr="00A52585">
        <w:rPr>
          <w:rFonts w:hint="cs"/>
          <w:rtl/>
        </w:rPr>
        <w:t>،</w:t>
      </w:r>
      <w:r w:rsidRPr="00A52585">
        <w:rPr>
          <w:rFonts w:hint="cs"/>
          <w:rtl/>
        </w:rPr>
        <w:t xml:space="preserve"> </w:t>
      </w:r>
      <w:r w:rsidR="00777DCB" w:rsidRPr="00A52585">
        <w:rPr>
          <w:rFonts w:hint="cs"/>
          <w:rtl/>
        </w:rPr>
        <w:t xml:space="preserve">ولهذا لما تحقق أرباب القلوب أن الملك لله عز وجل تحققاً قلبياً سكنت أنفسهم عن وصف الإضافات </w:t>
      </w:r>
      <w:proofErr w:type="spellStart"/>
      <w:r w:rsidR="00777DCB" w:rsidRPr="00A52585">
        <w:rPr>
          <w:rFonts w:hint="cs"/>
          <w:rtl/>
        </w:rPr>
        <w:t>وتبرءوا</w:t>
      </w:r>
      <w:proofErr w:type="spellEnd"/>
      <w:r w:rsidR="00777DCB" w:rsidRPr="00A52585">
        <w:rPr>
          <w:rFonts w:hint="cs"/>
          <w:rtl/>
        </w:rPr>
        <w:t xml:space="preserve"> من الحول والقوة حتى بالإشارات فلا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مني</w:t>
      </w:r>
      <w:r w:rsidRPr="00A52585">
        <w:rPr>
          <w:rFonts w:hint="cs"/>
          <w:rtl/>
        </w:rPr>
        <w:t>)</w:t>
      </w:r>
      <w:r w:rsidR="00777DCB" w:rsidRPr="00A52585">
        <w:rPr>
          <w:rFonts w:hint="cs"/>
          <w:rtl/>
        </w:rPr>
        <w:t xml:space="preserve"> ولا </w:t>
      </w:r>
      <w:r w:rsidRPr="00A52585">
        <w:rPr>
          <w:rFonts w:hint="cs"/>
          <w:rtl/>
        </w:rPr>
        <w:t>(</w:t>
      </w:r>
      <w:r w:rsidR="00777DCB" w:rsidRPr="00A52585">
        <w:rPr>
          <w:rFonts w:hint="cs"/>
          <w:rtl/>
        </w:rPr>
        <w:t>لي</w:t>
      </w:r>
      <w:r w:rsidRPr="00A52585">
        <w:rPr>
          <w:rFonts w:hint="cs"/>
          <w:rtl/>
        </w:rPr>
        <w:t>)</w:t>
      </w:r>
      <w:r w:rsidR="00DB731D" w:rsidRPr="00A52585">
        <w:rPr>
          <w:rFonts w:hint="cs"/>
          <w:rtl/>
        </w:rPr>
        <w:t>،</w:t>
      </w:r>
      <w:r w:rsidR="00777DCB" w:rsidRPr="00A52585">
        <w:rPr>
          <w:rFonts w:hint="cs"/>
          <w:rtl/>
        </w:rPr>
        <w:t xml:space="preserve"> حتى قيل لبعضهم</w:t>
      </w:r>
      <w:r w:rsidRPr="00A52585">
        <w:rPr>
          <w:rFonts w:hint="cs"/>
          <w:rtl/>
        </w:rPr>
        <w:t>:</w:t>
      </w:r>
      <w:r w:rsidR="00777DCB" w:rsidRPr="00A52585">
        <w:rPr>
          <w:rFonts w:hint="cs"/>
          <w:rtl/>
        </w:rPr>
        <w:t xml:space="preserve"> ألك رب</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أنا عبد وليس لي نملة</w:t>
      </w:r>
      <w:r w:rsidR="00DB731D" w:rsidRPr="00A52585">
        <w:rPr>
          <w:rFonts w:hint="cs"/>
          <w:rtl/>
        </w:rPr>
        <w:t>،</w:t>
      </w:r>
      <w:r w:rsidR="00777DCB" w:rsidRPr="00A52585">
        <w:rPr>
          <w:rFonts w:hint="cs"/>
          <w:rtl/>
        </w:rPr>
        <w:t xml:space="preserve"> ومن أنا حتى أقول لي</w:t>
      </w:r>
      <w:r w:rsidR="00DB731D" w:rsidRPr="00A52585">
        <w:rPr>
          <w:rFonts w:hint="cs"/>
          <w:rtl/>
        </w:rPr>
        <w:t>،</w:t>
      </w:r>
      <w:r w:rsidR="00777DCB" w:rsidRPr="00A52585">
        <w:rPr>
          <w:rFonts w:hint="cs"/>
          <w:rtl/>
        </w:rPr>
        <w:t xml:space="preserve"> فهذا وأمثاله صفى نفسه من رعونة البشرية وهواها وفك ربقة رق خيالاتها الباطلة ومناها ومحض رق العبودية لمولاها</w:t>
      </w:r>
      <w:r w:rsidR="00DB731D" w:rsidRPr="00A52585">
        <w:rPr>
          <w:rFonts w:hint="cs"/>
          <w:rtl/>
        </w:rPr>
        <w:t>،</w:t>
      </w:r>
      <w:r w:rsidR="00777DCB" w:rsidRPr="00A52585">
        <w:rPr>
          <w:rFonts w:hint="cs"/>
          <w:rtl/>
        </w:rPr>
        <w:t xml:space="preserve"> فترى الملوك الجبابرة مع جبروتهم يخضعون ويتذللون لهم ولهذا تتمات ليس هذا المقام مقامها</w:t>
      </w:r>
      <w:r w:rsidR="00DB731D" w:rsidRPr="00A52585">
        <w:rPr>
          <w:rFonts w:hint="cs"/>
          <w:rtl/>
        </w:rPr>
        <w:t>،</w:t>
      </w:r>
      <w:r w:rsidR="00777DCB" w:rsidRPr="00A52585">
        <w:rPr>
          <w:rFonts w:hint="cs"/>
          <w:rtl/>
        </w:rPr>
        <w:t xml:space="preserve"> إذ الغرض </w:t>
      </w:r>
      <w:proofErr w:type="spellStart"/>
      <w:r w:rsidR="00777DCB" w:rsidRPr="00A52585">
        <w:rPr>
          <w:rFonts w:hint="cs"/>
          <w:rtl/>
        </w:rPr>
        <w:t>التْترِيه</w:t>
      </w:r>
      <w:proofErr w:type="spellEnd"/>
      <w:r w:rsidR="00DB731D" w:rsidRPr="00A52585">
        <w:rPr>
          <w:rFonts w:hint="cs"/>
          <w:rtl/>
        </w:rPr>
        <w:t>،</w:t>
      </w:r>
      <w:r w:rsidR="00777DCB" w:rsidRPr="00A52585">
        <w:rPr>
          <w:rFonts w:hint="cs"/>
          <w:rtl/>
        </w:rPr>
        <w:t xml:space="preserve"> </w:t>
      </w:r>
      <w:r w:rsidR="00777DCB" w:rsidRPr="00A52585">
        <w:rPr>
          <w:rFonts w:hint="cs"/>
          <w:bCs/>
          <w:rtl/>
        </w:rPr>
        <w:t>والقدوس</w:t>
      </w:r>
      <w:r w:rsidR="00777DCB" w:rsidRPr="00A52585">
        <w:rPr>
          <w:rFonts w:hint="cs"/>
          <w:rtl/>
        </w:rPr>
        <w:t xml:space="preserve"> من أسمائه عز وجل سمى نفسه بذلك ليرشدك إلى تقديسه كما أشار إلى ذلك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يسبحون الليل والنهار لا يفترون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الأنبياء</w:t>
      </w:r>
      <w:r w:rsidRPr="00A52585">
        <w:rPr>
          <w:rFonts w:hint="cs"/>
          <w:rtl/>
        </w:rPr>
        <w:t>:</w:t>
      </w:r>
      <w:r w:rsidR="00777DCB" w:rsidRPr="00A52585">
        <w:rPr>
          <w:rFonts w:hint="cs"/>
          <w:rtl/>
        </w:rPr>
        <w:t xml:space="preserve"> 20</w:t>
      </w:r>
      <w:r w:rsidRPr="00A52585">
        <w:rPr>
          <w:rFonts w:hint="cs"/>
          <w:rtl/>
        </w:rPr>
        <w:t>]</w:t>
      </w:r>
      <w:r w:rsidR="00DB731D" w:rsidRPr="00A52585">
        <w:rPr>
          <w:rFonts w:hint="cs"/>
          <w:rtl/>
        </w:rPr>
        <w:t>،</w:t>
      </w:r>
      <w:r w:rsidR="00777DCB" w:rsidRPr="00A52585">
        <w:rPr>
          <w:rFonts w:hint="cs"/>
          <w:rtl/>
        </w:rPr>
        <w:t xml:space="preserve"> وفيه الحث على دوام التقديس</w:t>
      </w:r>
      <w:r w:rsidR="00DB731D" w:rsidRPr="00A52585">
        <w:rPr>
          <w:rFonts w:hint="cs"/>
          <w:rtl/>
        </w:rPr>
        <w:t>،</w:t>
      </w:r>
      <w:r w:rsidR="00777DCB" w:rsidRPr="00A52585">
        <w:rPr>
          <w:rFonts w:hint="cs"/>
          <w:rtl/>
        </w:rPr>
        <w:t xml:space="preserve"> فالقدوس قيل</w:t>
      </w:r>
      <w:r w:rsidRPr="00A52585">
        <w:rPr>
          <w:rFonts w:hint="cs"/>
          <w:rtl/>
        </w:rPr>
        <w:t>:</w:t>
      </w:r>
      <w:r w:rsidR="00777DCB" w:rsidRPr="00A52585">
        <w:rPr>
          <w:rFonts w:hint="cs"/>
          <w:rtl/>
        </w:rPr>
        <w:t xml:space="preserve"> هو المنزه عما لا يليق به من الأضداد والأنداد وقيل</w:t>
      </w:r>
      <w:r w:rsidRPr="00A52585">
        <w:rPr>
          <w:rFonts w:hint="cs"/>
          <w:rtl/>
        </w:rPr>
        <w:t>:</w:t>
      </w:r>
      <w:r w:rsidR="00777DCB" w:rsidRPr="00A52585">
        <w:rPr>
          <w:rFonts w:hint="cs"/>
          <w:rtl/>
        </w:rPr>
        <w:t xml:space="preserve"> هو المنزه والمطهر من النقائص والعيوب. وهذان غير مرضيين عند المحققين</w:t>
      </w:r>
      <w:r w:rsidR="00DB731D" w:rsidRPr="00A52585">
        <w:rPr>
          <w:rFonts w:hint="cs"/>
          <w:rtl/>
        </w:rPr>
        <w:t>،</w:t>
      </w:r>
      <w:r w:rsidR="00777DCB" w:rsidRPr="00A52585">
        <w:rPr>
          <w:rFonts w:hint="cs"/>
          <w:rtl/>
        </w:rPr>
        <w:t xml:space="preserve"> قال حجة الإسلام الغواص الغزالي</w:t>
      </w:r>
      <w:r w:rsidRPr="00A52585">
        <w:rPr>
          <w:rFonts w:hint="cs"/>
          <w:rtl/>
        </w:rPr>
        <w:t>:</w:t>
      </w:r>
      <w:r w:rsidR="00777DCB" w:rsidRPr="00A52585">
        <w:rPr>
          <w:rFonts w:hint="cs"/>
          <w:rtl/>
        </w:rPr>
        <w:t xml:space="preserve"> وهذا في حق الباري سبحانه وتعالى يقارب ترك الأدب كما أنه ليس من الأدب أن يقال لملك ليس بحائك ولا بحجام لأن نفي الوجود يكاد يوهم إمكان الوجود وفي ذلك الإيهام نقص بل القدوس</w:t>
      </w:r>
      <w:r w:rsidRPr="00A52585">
        <w:rPr>
          <w:rFonts w:hint="cs"/>
          <w:rtl/>
        </w:rPr>
        <w:t>:</w:t>
      </w:r>
      <w:r w:rsidR="00777DCB" w:rsidRPr="00A52585">
        <w:rPr>
          <w:rFonts w:hint="cs"/>
          <w:rtl/>
        </w:rPr>
        <w:t xml:space="preserve"> المنزه عن كل وصف يدركه حس أو يتصوره وَهْم أو يسبق إليه فكر أو يهجس به سر</w:t>
      </w:r>
      <w:r w:rsidR="00DB731D" w:rsidRPr="00A52585">
        <w:rPr>
          <w:rFonts w:hint="cs"/>
          <w:rtl/>
        </w:rPr>
        <w:t>،</w:t>
      </w:r>
      <w:r w:rsidR="00777DCB" w:rsidRPr="00A52585">
        <w:rPr>
          <w:rFonts w:hint="cs"/>
          <w:rtl/>
        </w:rPr>
        <w:t xml:space="preserve"> أو يختلج به ضمير</w:t>
      </w:r>
      <w:r w:rsidR="00DB731D" w:rsidRPr="00A52585">
        <w:rPr>
          <w:rFonts w:hint="cs"/>
          <w:rtl/>
        </w:rPr>
        <w:t>،</w:t>
      </w:r>
      <w:r w:rsidR="00777DCB" w:rsidRPr="00A52585">
        <w:rPr>
          <w:rFonts w:hint="cs"/>
          <w:rtl/>
        </w:rPr>
        <w:t xml:space="preserve"> أو يسنح له خفي خيال. وقد أجاد رضي الله عنه</w:t>
      </w:r>
      <w:r w:rsidR="00DB731D" w:rsidRPr="00A52585">
        <w:rPr>
          <w:rFonts w:hint="cs"/>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يقول العلامة الألوسي في تفسيره للآية (30) من سورة البقرة </w:t>
      </w:r>
      <w:r w:rsidRPr="00A52585">
        <w:rPr>
          <w:rFonts w:hint="cs"/>
          <w:sz w:val="24"/>
          <w:szCs w:val="24"/>
          <w:rtl/>
        </w:rPr>
        <w:t>(</w:t>
      </w:r>
      <w:r w:rsidR="00777DCB" w:rsidRPr="00A52585">
        <w:rPr>
          <w:sz w:val="24"/>
          <w:szCs w:val="24"/>
        </w:rPr>
        <w:t>…</w:t>
      </w:r>
      <w:r w:rsidR="00777DCB" w:rsidRPr="00A52585">
        <w:rPr>
          <w:rFonts w:hint="cs"/>
          <w:sz w:val="24"/>
          <w:szCs w:val="24"/>
          <w:rtl/>
        </w:rPr>
        <w:t xml:space="preserve"> ونحن نسبح بحمدك ونقدس لك </w:t>
      </w:r>
      <w:r w:rsidR="00777DCB" w:rsidRPr="00A52585">
        <w:rPr>
          <w:sz w:val="24"/>
          <w:szCs w:val="24"/>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والتسبيح في الأصل مطلق التبعيد والمراد به تبعيد الله عن السوء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والتقديس في المشهور كالتسبيح معنى، واحتاجوا لدفع التكرار إلا أن أحدهما باعتبار الطاعات والآخر باعتبار الاعتقادات</w:t>
      </w:r>
      <w:r w:rsidR="00DB731D" w:rsidRPr="00A52585">
        <w:rPr>
          <w:rFonts w:hint="cs"/>
          <w:sz w:val="24"/>
          <w:szCs w:val="24"/>
          <w:rtl/>
        </w:rPr>
        <w:t>،</w:t>
      </w:r>
      <w:r w:rsidR="00777DCB" w:rsidRPr="00A52585">
        <w:rPr>
          <w:rFonts w:hint="cs"/>
          <w:sz w:val="24"/>
          <w:szCs w:val="24"/>
          <w:rtl/>
        </w:rPr>
        <w:t xml:space="preserve"> وقيل التسبيح</w:t>
      </w:r>
      <w:r w:rsidRPr="00A52585">
        <w:rPr>
          <w:rFonts w:hint="cs"/>
          <w:sz w:val="24"/>
          <w:szCs w:val="24"/>
          <w:rtl/>
        </w:rPr>
        <w:t>:</w:t>
      </w:r>
      <w:r w:rsidR="00777DCB" w:rsidRPr="00A52585">
        <w:rPr>
          <w:rFonts w:hint="cs"/>
          <w:sz w:val="24"/>
          <w:szCs w:val="24"/>
          <w:rtl/>
        </w:rPr>
        <w:t xml:space="preserve"> تنزيهه تعالى عما لا يليق به، والتقديس</w:t>
      </w:r>
      <w:r w:rsidRPr="00A52585">
        <w:rPr>
          <w:rFonts w:hint="cs"/>
          <w:sz w:val="24"/>
          <w:szCs w:val="24"/>
          <w:rtl/>
        </w:rPr>
        <w:t>:</w:t>
      </w:r>
      <w:r w:rsidR="00777DCB" w:rsidRPr="00A52585">
        <w:rPr>
          <w:rFonts w:hint="cs"/>
          <w:sz w:val="24"/>
          <w:szCs w:val="24"/>
          <w:rtl/>
        </w:rPr>
        <w:t xml:space="preserve"> تنزيهه في ذاته عما لا يراه لائقا بنفسه فهو أبلغ، ويشهد له أنه حيث جمع بينهما أخر نحو (سبوح قدوس)</w:t>
      </w:r>
      <w:r w:rsidR="00DB731D" w:rsidRPr="00A52585">
        <w:rPr>
          <w:rFonts w:hint="cs"/>
          <w:sz w:val="24"/>
          <w:szCs w:val="24"/>
          <w:rtl/>
        </w:rPr>
        <w:t>،</w:t>
      </w:r>
      <w:r w:rsidR="00777DCB" w:rsidRPr="00A52585">
        <w:rPr>
          <w:rFonts w:hint="cs"/>
          <w:sz w:val="24"/>
          <w:szCs w:val="24"/>
          <w:rtl/>
        </w:rPr>
        <w:t xml:space="preserve"> ويحتمل أن يكون بمعنى التطهير، والمراد</w:t>
      </w:r>
      <w:r w:rsidRPr="00A52585">
        <w:rPr>
          <w:rFonts w:hint="cs"/>
          <w:sz w:val="24"/>
          <w:szCs w:val="24"/>
          <w:rtl/>
        </w:rPr>
        <w:t>:</w:t>
      </w:r>
      <w:r w:rsidR="00777DCB" w:rsidRPr="00A52585">
        <w:rPr>
          <w:rFonts w:hint="cs"/>
          <w:sz w:val="24"/>
          <w:szCs w:val="24"/>
          <w:rtl/>
        </w:rPr>
        <w:t xml:space="preserve"> نسبحك ونطهر أنفسنا من الأدناس أو أفعالنا من المعاصي فلا نفعل فعلهم من الإفساد والسفك أو نطهر قلوبنا عن الالتفات إلى غيرك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p>
    <w:p w14:paraId="2BA79EFA" w14:textId="08AF81D4" w:rsidR="00777DCB" w:rsidRPr="00A52585" w:rsidRDefault="0002035C" w:rsidP="0002035C">
      <w:pPr>
        <w:spacing w:after="240"/>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تجليات اسم (</w:t>
      </w:r>
      <w:r w:rsidRPr="00A52585">
        <w:rPr>
          <w:rFonts w:hint="cs"/>
          <w:bCs/>
          <w:rtl/>
        </w:rPr>
        <w:t>(</w:t>
      </w:r>
      <w:r w:rsidR="00777DCB" w:rsidRPr="00A52585">
        <w:rPr>
          <w:rFonts w:hint="cs"/>
          <w:bCs/>
          <w:rtl/>
        </w:rPr>
        <w:t>القدوس</w:t>
      </w:r>
      <w:r w:rsidRPr="00A52585">
        <w:rPr>
          <w:rFonts w:hint="cs"/>
          <w:bCs/>
          <w:rtl/>
        </w:rPr>
        <w:t>)</w:t>
      </w:r>
      <w:r w:rsidR="00777DCB" w:rsidRPr="00A52585">
        <w:rPr>
          <w:rFonts w:hint="cs"/>
          <w:bCs/>
          <w:rtl/>
        </w:rPr>
        <w:t>) علاج لمرض التشبيه والتجسيم</w:t>
      </w:r>
      <w:r w:rsidRPr="00A52585">
        <w:rPr>
          <w:rFonts w:hint="cs"/>
          <w:bCs/>
          <w:rtl/>
        </w:rPr>
        <w:t>]:</w:t>
      </w:r>
      <w:r w:rsidR="00777DCB" w:rsidRPr="00A52585">
        <w:rPr>
          <w:rFonts w:hint="cs"/>
          <w:bCs/>
          <w:sz w:val="24"/>
          <w:szCs w:val="24"/>
          <w:rtl/>
        </w:rPr>
        <w:t xml:space="preserve"> </w:t>
      </w:r>
      <w:r w:rsidRPr="00A52585">
        <w:rPr>
          <w:rFonts w:hint="cs"/>
          <w:b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التشبيه والتجسيم كما مرّ هما نتيجة لمرض القلب ومن هنا وجب أولا أن نفهم سرّ مرضه وعلاجه</w:t>
      </w:r>
      <w:r w:rsidR="00DB731D" w:rsidRPr="00A52585">
        <w:rPr>
          <w:rFonts w:hint="cs"/>
          <w:sz w:val="24"/>
          <w:szCs w:val="24"/>
          <w:rtl/>
        </w:rPr>
        <w:t>،</w:t>
      </w:r>
      <w:r w:rsidR="00777DCB" w:rsidRPr="00A52585">
        <w:rPr>
          <w:rFonts w:hint="cs"/>
          <w:sz w:val="24"/>
          <w:szCs w:val="24"/>
          <w:rtl/>
        </w:rPr>
        <w:t xml:space="preserve"> قلب الإنسان أو روحه هو حقيقته وهو المدرك للعلوم فبه يثاب وبه يعاقب وهو بالفطرة صالح لمعرفة الحقائق لأنه أمر رباني شريف فارق سائر جواهر العالم بهذه الخاصية والشرف وإليه الإشارة بقوله عز وجل ((</w:t>
      </w:r>
      <w:r w:rsidRPr="00A52585">
        <w:rPr>
          <w:rFonts w:hint="cs"/>
          <w:sz w:val="24"/>
          <w:szCs w:val="24"/>
          <w:rtl/>
        </w:rPr>
        <w:t>(</w:t>
      </w:r>
      <w:r w:rsidR="00777DCB" w:rsidRPr="00A52585">
        <w:rPr>
          <w:rFonts w:hint="cs"/>
          <w:sz w:val="24"/>
          <w:szCs w:val="24"/>
          <w:rtl/>
        </w:rPr>
        <w:t>إنا عرضنا الأمانة على السماوات والأرض والجبال فأبين أن يحملنها وأشفقن منها وحملها الإنسان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إشارة إلى أن له خاصية تميز بها عن السماوات والأرض والجبال بها صار مطيقا لحمل أمانة الله تعالى، وتلك الأمانة هي </w:t>
      </w:r>
      <w:r w:rsidR="00777DCB" w:rsidRPr="00A52585">
        <w:rPr>
          <w:rFonts w:hint="cs"/>
          <w:bCs/>
          <w:sz w:val="24"/>
          <w:szCs w:val="24"/>
          <w:rtl/>
        </w:rPr>
        <w:t>المعرفة والتوحيد</w:t>
      </w:r>
      <w:r w:rsidR="00777DCB" w:rsidRPr="00A52585">
        <w:rPr>
          <w:rFonts w:hint="cs"/>
          <w:sz w:val="24"/>
          <w:szCs w:val="24"/>
          <w:rtl/>
        </w:rPr>
        <w:t xml:space="preserve"> ألا ترى إلى 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وإذ أخذ ربك من بني آدم من ظهورهم ذريتهم وأشهدهم على أنفسهم ألست بربكم قالوا بلى شهدنا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الآية وإلى قوله صلى الله عليه وسلم</w:t>
      </w:r>
      <w:r w:rsidRPr="00A52585">
        <w:rPr>
          <w:rFonts w:hint="cs"/>
          <w:sz w:val="24"/>
          <w:szCs w:val="24"/>
          <w:rtl/>
        </w:rPr>
        <w:t xml:space="preserve">: </w:t>
      </w:r>
      <w:r w:rsidR="00777DCB" w:rsidRPr="00A52585">
        <w:rPr>
          <w:rFonts w:hint="cs"/>
          <w:sz w:val="24"/>
          <w:szCs w:val="24"/>
          <w:rtl/>
        </w:rPr>
        <w:t xml:space="preserve">" كل </w:t>
      </w:r>
      <w:r w:rsidR="00777DCB" w:rsidRPr="00A52585">
        <w:rPr>
          <w:rFonts w:hint="cs"/>
          <w:sz w:val="24"/>
          <w:szCs w:val="24"/>
          <w:rtl/>
        </w:rPr>
        <w:lastRenderedPageBreak/>
        <w:t>مولود يولد على الفطرة فأبواه يهوِّدانه أو ينصرانه أو يمجسانه، كمثل البهيمة تنتج البهيمة هل ترى فيها من جدعاء</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متفق عليه واللفظ للبخاري</w:t>
      </w:r>
      <w:r w:rsidR="00DB731D" w:rsidRPr="00A52585">
        <w:rPr>
          <w:rFonts w:hint="cs"/>
          <w:sz w:val="24"/>
          <w:szCs w:val="24"/>
          <w:rtl/>
        </w:rPr>
        <w:t>،</w:t>
      </w:r>
      <w:r w:rsidR="00777DCB" w:rsidRPr="00A52585">
        <w:rPr>
          <w:rFonts w:hint="cs"/>
          <w:sz w:val="24"/>
          <w:szCs w:val="24"/>
          <w:rtl/>
        </w:rPr>
        <w:t xml:space="preserve"> وقلب كل آدمي مستعد لحمل الأمانة ومطيق لها في الأصل ولكن يثبطه عن النهوض بأعبائها والوصول إلى تحقيقها خمسة أسباب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الأول</w:t>
      </w:r>
      <w:r w:rsidRPr="00A52585">
        <w:rPr>
          <w:rFonts w:hint="cs"/>
          <w:sz w:val="24"/>
          <w:szCs w:val="24"/>
          <w:rtl/>
        </w:rPr>
        <w:t>):</w:t>
      </w:r>
      <w:r w:rsidR="00777DCB" w:rsidRPr="00A52585">
        <w:rPr>
          <w:rFonts w:hint="cs"/>
          <w:sz w:val="24"/>
          <w:szCs w:val="24"/>
          <w:rtl/>
        </w:rPr>
        <w:t xml:space="preserve"> نقصان في ذاته كقلب الصبي</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الثاني</w:t>
      </w:r>
      <w:r w:rsidRPr="00A52585">
        <w:rPr>
          <w:rFonts w:hint="cs"/>
          <w:sz w:val="24"/>
          <w:szCs w:val="24"/>
          <w:rtl/>
        </w:rPr>
        <w:t>):</w:t>
      </w:r>
      <w:r w:rsidR="00777DCB" w:rsidRPr="00A52585">
        <w:rPr>
          <w:rFonts w:hint="cs"/>
          <w:sz w:val="24"/>
          <w:szCs w:val="24"/>
          <w:rtl/>
        </w:rPr>
        <w:t xml:space="preserve"> كدورة المعاصي والخبث المتراكم على وجه القلب من كثرة الشهوات</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الثالث</w:t>
      </w:r>
      <w:r w:rsidRPr="00A52585">
        <w:rPr>
          <w:rFonts w:hint="cs"/>
          <w:sz w:val="24"/>
          <w:szCs w:val="24"/>
          <w:rtl/>
        </w:rPr>
        <w:t>):</w:t>
      </w:r>
      <w:r w:rsidR="00777DCB" w:rsidRPr="00A52585">
        <w:rPr>
          <w:rFonts w:hint="cs"/>
          <w:sz w:val="24"/>
          <w:szCs w:val="24"/>
          <w:rtl/>
        </w:rPr>
        <w:t xml:space="preserve"> أن يكون معدولا به عن جهة الحقيقة المطلوبة فقد يكون قلب الآدمي الصالح مستوعب الهم بتفصيل الطاعات البدنية أو أسباب المعيشة ولا يصرف فكره إلى التأمل في حضرة الربوبية والحقائق الإلهية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pacing w:val="-6"/>
          <w:sz w:val="24"/>
          <w:szCs w:val="24"/>
          <w:rtl/>
        </w:rPr>
        <w:t>الرابع</w:t>
      </w:r>
      <w:r w:rsidRPr="00A52585">
        <w:rPr>
          <w:rFonts w:hint="cs"/>
          <w:spacing w:val="-6"/>
          <w:sz w:val="24"/>
          <w:szCs w:val="24"/>
          <w:rtl/>
        </w:rPr>
        <w:t>):</w:t>
      </w:r>
      <w:r w:rsidR="00777DCB" w:rsidRPr="00A52585">
        <w:rPr>
          <w:rFonts w:hint="cs"/>
          <w:spacing w:val="-6"/>
          <w:sz w:val="24"/>
          <w:szCs w:val="24"/>
          <w:rtl/>
        </w:rPr>
        <w:t xml:space="preserve"> الحجاب الناشئ عن الاعتقادات التقليدية والتي تلقيت بحسن الظن حتى رسخت في القلوب</w:t>
      </w:r>
      <w:r w:rsidR="00DB731D" w:rsidRPr="00A52585">
        <w:rPr>
          <w:rFonts w:hint="cs"/>
          <w:spacing w:val="-6"/>
          <w:sz w:val="24"/>
          <w:szCs w:val="24"/>
          <w:rtl/>
        </w:rPr>
        <w:t>،</w:t>
      </w:r>
      <w:r w:rsidR="00777DCB" w:rsidRPr="00A52585">
        <w:rPr>
          <w:rFonts w:hint="cs"/>
          <w:spacing w:val="-6"/>
          <w:sz w:val="24"/>
          <w:szCs w:val="24"/>
          <w:rtl/>
        </w:rPr>
        <w:t xml:space="preserve"> </w:t>
      </w:r>
      <w:r w:rsidRPr="00A52585">
        <w:rPr>
          <w:rFonts w:hint="cs"/>
          <w:spacing w:val="-6"/>
          <w:sz w:val="24"/>
          <w:szCs w:val="24"/>
          <w:rtl/>
        </w:rPr>
        <w:t>(</w:t>
      </w:r>
      <w:r w:rsidR="00777DCB" w:rsidRPr="00A52585">
        <w:rPr>
          <w:rFonts w:hint="cs"/>
          <w:sz w:val="24"/>
          <w:szCs w:val="24"/>
          <w:rtl/>
        </w:rPr>
        <w:t>الخامس</w:t>
      </w:r>
      <w:r w:rsidRPr="00A52585">
        <w:rPr>
          <w:rFonts w:hint="cs"/>
          <w:sz w:val="24"/>
          <w:szCs w:val="24"/>
          <w:rtl/>
        </w:rPr>
        <w:t>):</w:t>
      </w:r>
      <w:r w:rsidR="00777DCB" w:rsidRPr="00A52585">
        <w:rPr>
          <w:rFonts w:hint="cs"/>
          <w:sz w:val="24"/>
          <w:szCs w:val="24"/>
          <w:rtl/>
        </w:rPr>
        <w:t xml:space="preserve"> الجهل بالجهة التي يقع منها العثور على المطلوب فكل علم له أصلان مخصوصان وبينهما طريق في الازدواج، فيحصل من ازدواجهما العلم المستفاد المطلوب فالجهل بالأصلين وبكيفية ازدواجهما هو المانع من العلم (الأصل</w:t>
      </w:r>
      <w:r w:rsidRPr="00A52585">
        <w:rPr>
          <w:rFonts w:hint="cs"/>
          <w:sz w:val="24"/>
          <w:szCs w:val="24"/>
          <w:rtl/>
        </w:rPr>
        <w:t>:</w:t>
      </w:r>
      <w:r w:rsidR="00777DCB" w:rsidRPr="00A52585">
        <w:rPr>
          <w:rFonts w:hint="cs"/>
          <w:sz w:val="24"/>
          <w:szCs w:val="24"/>
          <w:rtl/>
        </w:rPr>
        <w:t xml:space="preserve"> المعلومة الأولية) فإذا ثبت أن بعض هذه الأسباب قد عوّق الفهم وأزال الطمأنينة من القلب فما العلاج إذن</w:t>
      </w:r>
      <w:r w:rsidR="00F95886" w:rsidRPr="00A52585">
        <w:rPr>
          <w:rFonts w:hint="cs"/>
          <w:sz w:val="24"/>
          <w:szCs w:val="24"/>
          <w:rtl/>
        </w:rPr>
        <w:t>؟</w:t>
      </w:r>
      <w:r w:rsidR="00777DCB" w:rsidRPr="00A52585">
        <w:rPr>
          <w:rFonts w:hint="cs"/>
          <w:sz w:val="24"/>
          <w:szCs w:val="24"/>
          <w:rtl/>
        </w:rPr>
        <w:t xml:space="preserve"> يقول ربنا سبحانه وتعالى </w:t>
      </w:r>
      <w:r w:rsidRPr="00A52585">
        <w:rPr>
          <w:rFonts w:hint="cs"/>
          <w:sz w:val="24"/>
          <w:szCs w:val="24"/>
          <w:rtl/>
        </w:rPr>
        <w:t>{</w:t>
      </w:r>
      <w:r w:rsidR="00777DCB" w:rsidRPr="00A52585">
        <w:rPr>
          <w:rFonts w:hint="cs"/>
          <w:sz w:val="24"/>
          <w:szCs w:val="24"/>
          <w:rtl/>
        </w:rPr>
        <w:t>الذين آمنوا</w:t>
      </w:r>
      <w:r w:rsidRPr="00A52585">
        <w:rPr>
          <w:rFonts w:hint="cs"/>
          <w:sz w:val="24"/>
          <w:szCs w:val="24"/>
          <w:rtl/>
        </w:rPr>
        <w:t xml:space="preserve"> </w:t>
      </w:r>
      <w:r w:rsidR="00777DCB" w:rsidRPr="00A52585">
        <w:rPr>
          <w:rFonts w:hint="cs"/>
          <w:sz w:val="24"/>
          <w:szCs w:val="24"/>
          <w:rtl/>
        </w:rPr>
        <w:t>وتطمئن قلوبهم بذكر الله ألا بذكر الله تطمئن القلوب</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ولما كان للقلب بابان</w:t>
      </w:r>
      <w:r w:rsidRPr="00A52585">
        <w:rPr>
          <w:rFonts w:hint="cs"/>
          <w:sz w:val="24"/>
          <w:szCs w:val="24"/>
          <w:rtl/>
        </w:rPr>
        <w:t>:</w:t>
      </w:r>
      <w:r w:rsidR="00777DCB" w:rsidRPr="00A52585">
        <w:rPr>
          <w:rFonts w:hint="cs"/>
          <w:sz w:val="24"/>
          <w:szCs w:val="24"/>
          <w:rtl/>
        </w:rPr>
        <w:t xml:space="preserve"> باب مفتوح إلى عالم الملكوت- وهو اللوح المحفوظ وعالم الملائكة – ومنه يكون الإلهام، وباب مفتوح إلى الحواس الخمس المتمسكة بعالم الملك والشهادة ويحاول الشيطان إلقاء الشبه والدخول إلى القلب منه فعند ذلك ليس أمام المؤمن إلا طرق باب عالم الملكوت في قلبه والاستناد إليه، وفتحه والمحافظة عليه يكون بالذكر</w:t>
      </w:r>
      <w:r w:rsidR="00DB731D" w:rsidRPr="00A52585">
        <w:rPr>
          <w:rFonts w:hint="cs"/>
          <w:sz w:val="24"/>
          <w:szCs w:val="24"/>
          <w:rtl/>
        </w:rPr>
        <w:t>،</w:t>
      </w:r>
      <w:r w:rsidR="00777DCB" w:rsidRPr="00A52585">
        <w:rPr>
          <w:rFonts w:hint="cs"/>
          <w:sz w:val="24"/>
          <w:szCs w:val="24"/>
          <w:rtl/>
        </w:rPr>
        <w:t xml:space="preserve"> يقول الحسن البصري رحمه الله</w:t>
      </w:r>
      <w:r w:rsidRPr="00A52585">
        <w:rPr>
          <w:rFonts w:hint="cs"/>
          <w:sz w:val="24"/>
          <w:szCs w:val="24"/>
          <w:rtl/>
        </w:rPr>
        <w:t xml:space="preserve">: </w:t>
      </w:r>
      <w:r w:rsidR="00777DCB" w:rsidRPr="00A52585">
        <w:rPr>
          <w:rFonts w:hint="cs"/>
          <w:sz w:val="24"/>
          <w:szCs w:val="24"/>
          <w:rtl/>
        </w:rPr>
        <w:t>" إن أهل العقل لم يزالوا يعوِّدون بالذكر على الفكر وبالفكر على الذكر حتى استنطقوا قلوبهم فنطقت بالحكمة "</w:t>
      </w:r>
      <w:r w:rsidRPr="00A52585">
        <w:rPr>
          <w:rFonts w:hint="cs"/>
          <w:sz w:val="24"/>
          <w:szCs w:val="24"/>
          <w:rtl/>
        </w:rPr>
        <w:t xml:space="preserve"> </w:t>
      </w:r>
      <w:r w:rsidR="00777DCB" w:rsidRPr="00A52585">
        <w:rPr>
          <w:rFonts w:hint="cs"/>
          <w:sz w:val="24"/>
          <w:szCs w:val="24"/>
          <w:rtl/>
        </w:rPr>
        <w:t>رواه ابن أبي الدنيا في كتاب التفكر وفائدة التذكار</w:t>
      </w:r>
      <w:r w:rsidRPr="00A52585">
        <w:rPr>
          <w:rFonts w:hint="cs"/>
          <w:sz w:val="24"/>
          <w:szCs w:val="24"/>
          <w:rtl/>
        </w:rPr>
        <w:t>:</w:t>
      </w:r>
      <w:r w:rsidR="00777DCB" w:rsidRPr="00A52585">
        <w:rPr>
          <w:rFonts w:hint="cs"/>
          <w:sz w:val="24"/>
          <w:szCs w:val="24"/>
          <w:rtl/>
        </w:rPr>
        <w:t xml:space="preserve"> تكرار المعارف على القلب واسترجاع ما فات منها بالنسيان لترسخ وتثبت ولا تنمحي من القلب</w:t>
      </w:r>
      <w:r w:rsidR="00DB731D" w:rsidRPr="00A52585">
        <w:rPr>
          <w:rFonts w:hint="cs"/>
          <w:sz w:val="24"/>
          <w:szCs w:val="24"/>
          <w:rtl/>
        </w:rPr>
        <w:t>،</w:t>
      </w:r>
      <w:r w:rsidR="00777DCB" w:rsidRPr="00A52585">
        <w:rPr>
          <w:rFonts w:hint="cs"/>
          <w:sz w:val="24"/>
          <w:szCs w:val="24"/>
          <w:rtl/>
        </w:rPr>
        <w:t xml:space="preserve"> فالمؤثر النافع هو الذكر على الدوام مع حضور القلب </w:t>
      </w:r>
      <w:r w:rsidR="00777DCB" w:rsidRPr="00A52585">
        <w:rPr>
          <w:sz w:val="24"/>
          <w:szCs w:val="24"/>
        </w:rPr>
        <w:t>…</w:t>
      </w:r>
      <w:r w:rsidR="00777DCB" w:rsidRPr="00A52585">
        <w:rPr>
          <w:rFonts w:hint="cs"/>
          <w:sz w:val="24"/>
          <w:szCs w:val="24"/>
          <w:rtl/>
        </w:rPr>
        <w:t xml:space="preserve"> وللذكر أول وآخر فأوله يوجب الأنس والحب وآخره يوجبه الأنس والحب ويصدر عنه</w:t>
      </w:r>
      <w:r w:rsidR="00DB731D" w:rsidRPr="00A52585">
        <w:rPr>
          <w:rFonts w:hint="cs"/>
          <w:sz w:val="24"/>
          <w:szCs w:val="24"/>
          <w:rtl/>
        </w:rPr>
        <w:t>،</w:t>
      </w:r>
      <w:r w:rsidR="00777DCB" w:rsidRPr="00A52585">
        <w:rPr>
          <w:rFonts w:hint="cs"/>
          <w:sz w:val="24"/>
          <w:szCs w:val="24"/>
          <w:rtl/>
        </w:rPr>
        <w:t xml:space="preserve"> فإن المريد في بداية أمره قد يكون متكلفا بصرف قلبه ولسانه عن الوسواس إلى ذكر الله عز وجل فإن وفق للمداومة أنس به وانغرس في قلبه حب المذكور بحيث يمتنع الصبر عنه آخرا وينتهي إلى أن يجد قلبه مع الله تعالى على الدوام</w:t>
      </w:r>
      <w:r w:rsidR="00DB731D" w:rsidRPr="00A52585">
        <w:rPr>
          <w:rFonts w:hint="cs"/>
          <w:sz w:val="24"/>
          <w:szCs w:val="24"/>
          <w:rtl/>
        </w:rPr>
        <w:t>،</w:t>
      </w:r>
      <w:r w:rsidR="00777DCB" w:rsidRPr="00A52585">
        <w:rPr>
          <w:rFonts w:hint="cs"/>
          <w:sz w:val="24"/>
          <w:szCs w:val="24"/>
          <w:rtl/>
        </w:rPr>
        <w:t xml:space="preserve"> فإذا تم له ذلك انكشف له جلال الحضرة الربوبية وتجلى له الحق وظهر له من لطائف الله تعالى مالا يجوز أن يوصف، بل لا يحيط به الوصف أصلا</w:t>
      </w:r>
      <w:r w:rsidR="00DB731D" w:rsidRPr="00A52585">
        <w:rPr>
          <w:rFonts w:hint="cs"/>
          <w:sz w:val="24"/>
          <w:szCs w:val="24"/>
          <w:rtl/>
        </w:rPr>
        <w:t>،</w:t>
      </w:r>
      <w:r w:rsidR="00777DCB" w:rsidRPr="00A52585">
        <w:rPr>
          <w:rFonts w:hint="cs"/>
          <w:sz w:val="24"/>
          <w:szCs w:val="24"/>
          <w:rtl/>
        </w:rPr>
        <w:t xml:space="preserve"> وغني عن البيان أن لكل اسم من الأسماء الحسنى فضل تجليات خاصة به وللقلب بكل واحد من الأسماء الحسنى تنبه وإيقاظ وتلذذ غير ما يجده في الذكر بغيره من الأسماء</w:t>
      </w:r>
      <w:r w:rsidR="00DB731D" w:rsidRPr="00A52585">
        <w:rPr>
          <w:rFonts w:hint="cs"/>
          <w:sz w:val="24"/>
          <w:szCs w:val="24"/>
          <w:rtl/>
        </w:rPr>
        <w:t>،</w:t>
      </w:r>
      <w:r w:rsidR="00777DCB" w:rsidRPr="00A52585">
        <w:rPr>
          <w:rFonts w:hint="cs"/>
          <w:sz w:val="24"/>
          <w:szCs w:val="24"/>
          <w:rtl/>
        </w:rPr>
        <w:t xml:space="preserve"> وأصل التجلي ما ينكشف للقلوب من أنوار الغيوب فإن لكل</w:t>
      </w:r>
      <w:r w:rsidRPr="00A52585">
        <w:rPr>
          <w:rFonts w:hint="cs"/>
          <w:sz w:val="24"/>
          <w:szCs w:val="24"/>
          <w:rtl/>
        </w:rPr>
        <w:t xml:space="preserve"> </w:t>
      </w:r>
      <w:r w:rsidR="00777DCB" w:rsidRPr="00A52585">
        <w:rPr>
          <w:rFonts w:hint="cs"/>
          <w:sz w:val="24"/>
          <w:szCs w:val="24"/>
          <w:rtl/>
        </w:rPr>
        <w:t>اسم إلهي بحسب حيطته ووجوهه تجليات متنوعة "</w:t>
      </w:r>
      <w:r w:rsidRPr="00A52585">
        <w:rPr>
          <w:rFonts w:hint="cs"/>
          <w:sz w:val="24"/>
          <w:szCs w:val="24"/>
          <w:rtl/>
        </w:rPr>
        <w:t xml:space="preserve"> </w:t>
      </w:r>
      <w:r w:rsidR="00777DCB" w:rsidRPr="00A52585">
        <w:rPr>
          <w:rFonts w:hint="cs"/>
          <w:sz w:val="24"/>
          <w:szCs w:val="24"/>
          <w:rtl/>
        </w:rPr>
        <w:t>انظر</w:t>
      </w:r>
      <w:r w:rsidRPr="00A52585">
        <w:rPr>
          <w:rFonts w:hint="cs"/>
          <w:sz w:val="24"/>
          <w:szCs w:val="24"/>
          <w:rtl/>
        </w:rPr>
        <w:t>:</w:t>
      </w:r>
      <w:r w:rsidR="00777DCB" w:rsidRPr="00A52585">
        <w:rPr>
          <w:rFonts w:hint="cs"/>
          <w:sz w:val="24"/>
          <w:szCs w:val="24"/>
          <w:rtl/>
        </w:rPr>
        <w:t xml:space="preserve"> من (إحياء علوم الدين) وشرحه (إتحاف السادة المتقين) </w:t>
      </w:r>
      <w:r w:rsidR="00777DCB" w:rsidRPr="00A52585">
        <w:rPr>
          <w:sz w:val="24"/>
          <w:szCs w:val="24"/>
        </w:rPr>
        <w:t>–</w:t>
      </w:r>
      <w:r w:rsidR="00777DCB" w:rsidRPr="00A52585">
        <w:rPr>
          <w:rFonts w:hint="cs"/>
          <w:sz w:val="24"/>
          <w:szCs w:val="24"/>
          <w:rtl/>
        </w:rPr>
        <w:t xml:space="preserve">(كتاب شرح عجائب القلب) ج80 ط العلمية ففيه تفصيل ذلك، لذا كان لاسم (القدوس) تجليات تشمل المنزه والمشبه جميعاً كما ذكر الإمام </w:t>
      </w:r>
      <w:proofErr w:type="spellStart"/>
      <w:r w:rsidR="00777DCB" w:rsidRPr="00A52585">
        <w:rPr>
          <w:rFonts w:hint="cs"/>
          <w:sz w:val="24"/>
          <w:szCs w:val="24"/>
          <w:rtl/>
        </w:rPr>
        <w:t>الحصني</w:t>
      </w:r>
      <w:proofErr w:type="spellEnd"/>
      <w:r w:rsidR="00DB731D" w:rsidRPr="00A52585">
        <w:rPr>
          <w:rFonts w:hint="cs"/>
          <w:sz w:val="24"/>
          <w:szCs w:val="24"/>
          <w:rtl/>
        </w:rPr>
        <w:t>،</w:t>
      </w:r>
      <w:r w:rsidR="00777DCB" w:rsidRPr="00A52585">
        <w:rPr>
          <w:rFonts w:hint="cs"/>
          <w:sz w:val="24"/>
          <w:szCs w:val="24"/>
          <w:rtl/>
        </w:rPr>
        <w:t xml:space="preserve"> تحدث الشيخ قاسم بن صلاح الحلبي عن طريق علاج النفوس الأمارة بالسوء – ومنها نفس المشبه والمجسم- بأسلوب التربية الصوفية، وهذه النفس في المقام الأول والعبد أبعد ما يكون عن ربه في هذا المقام يقول الشيخ قاسم</w:t>
      </w:r>
      <w:r w:rsidRPr="00A52585">
        <w:rPr>
          <w:rFonts w:hint="cs"/>
          <w:sz w:val="24"/>
          <w:szCs w:val="24"/>
          <w:rtl/>
        </w:rPr>
        <w:t xml:space="preserve">: </w:t>
      </w:r>
      <w:r w:rsidR="00777DCB" w:rsidRPr="00A52585">
        <w:rPr>
          <w:rFonts w:hint="cs"/>
          <w:sz w:val="24"/>
          <w:szCs w:val="24"/>
          <w:rtl/>
        </w:rPr>
        <w:t xml:space="preserve">" فالسالك – يقصد المريد- إذا كان في المقام الأول وتلقن الاسم الأول من المسلك- يقصد الشيخ – وداوم على تلاوته مع الإكثار آناء الليل وأطراف النهار جهراً وسراً وقياماً وقعوداً أوقد الله تعالى في باطنه ببركة هذا الاسم مصباحا </w:t>
      </w:r>
      <w:proofErr w:type="spellStart"/>
      <w:r w:rsidR="00777DCB" w:rsidRPr="00A52585">
        <w:rPr>
          <w:rFonts w:hint="cs"/>
          <w:sz w:val="24"/>
          <w:szCs w:val="24"/>
          <w:rtl/>
        </w:rPr>
        <w:t>ملكوتيا</w:t>
      </w:r>
      <w:proofErr w:type="spellEnd"/>
      <w:r w:rsidR="00777DCB" w:rsidRPr="00A52585">
        <w:rPr>
          <w:rFonts w:hint="cs"/>
          <w:sz w:val="24"/>
          <w:szCs w:val="24"/>
          <w:rtl/>
        </w:rPr>
        <w:t xml:space="preserve"> فيرى بعين قلبه القبائح التي هو منطوٍ عليها كارهاً لها ومستنكراً من نفسه الاتصاف بها متحسراً على ما فاته من الأوقات بعدما كان في غفلة لا يعرف القبيح من الحسن إلا باللسان فيشمر عن ساعد الجد </w:t>
      </w:r>
      <w:proofErr w:type="spellStart"/>
      <w:r w:rsidR="00777DCB" w:rsidRPr="00A52585">
        <w:rPr>
          <w:rFonts w:hint="cs"/>
          <w:sz w:val="24"/>
          <w:szCs w:val="24"/>
          <w:rtl/>
        </w:rPr>
        <w:t>ليسعى</w:t>
      </w:r>
      <w:proofErr w:type="spellEnd"/>
      <w:r w:rsidR="00777DCB" w:rsidRPr="00A52585">
        <w:rPr>
          <w:rFonts w:hint="cs"/>
          <w:sz w:val="24"/>
          <w:szCs w:val="24"/>
          <w:rtl/>
        </w:rPr>
        <w:t xml:space="preserve"> على الخلاص </w:t>
      </w:r>
      <w:r w:rsidR="00777DCB" w:rsidRPr="00A52585">
        <w:rPr>
          <w:rFonts w:hint="cs"/>
          <w:sz w:val="24"/>
          <w:szCs w:val="24"/>
          <w:rtl/>
        </w:rPr>
        <w:lastRenderedPageBreak/>
        <w:t>مما فيه من القبائح الظاهرة كشرب الخمر والزنا ولبس الحرير وغير ذلك، وعلى إخراج ما فيه من القبائح الباطنة كالكبر والحقد والحسد وأمثال ذلك وكلما زاد من الذكر وداوم عليه زادت كراهيته لأفعاله القبيحة وزاد سعيه في الخلاص منها، وهذا أمر محقق لا ينكره إلا من لم يجربه</w:t>
      </w:r>
      <w:r w:rsidR="00DB731D" w:rsidRPr="00A52585">
        <w:rPr>
          <w:rFonts w:hint="cs"/>
          <w:sz w:val="24"/>
          <w:szCs w:val="24"/>
          <w:rtl/>
        </w:rPr>
        <w:t>،</w:t>
      </w:r>
      <w:r w:rsidR="00777DCB" w:rsidRPr="00A52585">
        <w:rPr>
          <w:rFonts w:hint="cs"/>
          <w:sz w:val="24"/>
          <w:szCs w:val="24"/>
          <w:rtl/>
        </w:rPr>
        <w:t xml:space="preserve"> وهذه أول كرامة يكرم بها الله تعالى هذا العبد السالك ليستعين على قطع الطريق وله في كل مقام كرامة بل كرامات كثيرة، ويعتبر هذا المصباح المذكور أول الجذبة الرحمانية وكلما داوم السالك على الذكر مع المجاهدة قوى الجذب حتى يصل إلى أعلى درجات الكمال فيقوى على حمل الأمانة وعلى التجليات "</w:t>
      </w:r>
      <w:r w:rsidRPr="00A52585">
        <w:rPr>
          <w:rFonts w:hint="cs"/>
          <w:sz w:val="24"/>
          <w:szCs w:val="24"/>
          <w:rtl/>
        </w:rPr>
        <w:t xml:space="preserve"> </w:t>
      </w:r>
      <w:r w:rsidR="00777DCB" w:rsidRPr="00A52585">
        <w:rPr>
          <w:rFonts w:hint="cs"/>
          <w:sz w:val="24"/>
          <w:szCs w:val="24"/>
          <w:rtl/>
        </w:rPr>
        <w:t>أهـ ص 22 (السير والسلوك)</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يقول الوزير لسان الدين بن الخطيب في كتابه (روضة التعريف)</w:t>
      </w:r>
      <w:r w:rsidRPr="00A52585">
        <w:rPr>
          <w:rFonts w:hint="cs"/>
          <w:sz w:val="24"/>
          <w:szCs w:val="24"/>
          <w:rtl/>
        </w:rPr>
        <w:t>:</w:t>
      </w:r>
      <w:r w:rsidR="00777DCB" w:rsidRPr="00A52585">
        <w:rPr>
          <w:rFonts w:hint="cs"/>
          <w:sz w:val="24"/>
          <w:szCs w:val="24"/>
          <w:rtl/>
        </w:rPr>
        <w:t xml:space="preserve"> ص 504-506 فصل (مراتب الذكر والذاكرين)</w:t>
      </w:r>
      <w:r w:rsidRPr="00A52585">
        <w:rPr>
          <w:rFonts w:hint="cs"/>
          <w:sz w:val="24"/>
          <w:szCs w:val="24"/>
          <w:rtl/>
        </w:rPr>
        <w:t xml:space="preserve">: </w:t>
      </w:r>
      <w:r w:rsidR="00777DCB" w:rsidRPr="00A52585">
        <w:rPr>
          <w:rFonts w:hint="cs"/>
          <w:sz w:val="24"/>
          <w:szCs w:val="24"/>
          <w:rtl/>
        </w:rPr>
        <w:t>" المرتبة الثانية</w:t>
      </w:r>
      <w:r w:rsidRPr="00A52585">
        <w:rPr>
          <w:rFonts w:hint="cs"/>
          <w:sz w:val="24"/>
          <w:szCs w:val="24"/>
          <w:rtl/>
        </w:rPr>
        <w:t>:</w:t>
      </w:r>
      <w:r w:rsidR="00777DCB" w:rsidRPr="00A52585">
        <w:rPr>
          <w:rFonts w:hint="cs"/>
          <w:sz w:val="24"/>
          <w:szCs w:val="24"/>
          <w:rtl/>
        </w:rPr>
        <w:t xml:space="preserve"> مرتبة الصوفية، وهم الذين يطلبون الوصول إلى مدلول الذكر والصوفية يذكرون الله بأي نوع شاءوا من الأذكار حتى تشعر نفوسهم بمدلول ذكرهم وتنفعل لذلك انفعالا مَّا تغيب به عن المحسوسات فيحصل لها حظ من المشاهدة بحسب قوة الحال وضعفها ويكون الإدراك لذلك </w:t>
      </w:r>
      <w:proofErr w:type="spellStart"/>
      <w:r w:rsidR="00777DCB" w:rsidRPr="00A52585">
        <w:rPr>
          <w:rFonts w:hint="cs"/>
          <w:sz w:val="24"/>
          <w:szCs w:val="24"/>
          <w:rtl/>
        </w:rPr>
        <w:t>ذوقيا</w:t>
      </w:r>
      <w:proofErr w:type="spellEnd"/>
      <w:r w:rsidR="00777DCB" w:rsidRPr="00A52585">
        <w:rPr>
          <w:rFonts w:hint="cs"/>
          <w:sz w:val="24"/>
          <w:szCs w:val="24"/>
          <w:rtl/>
        </w:rPr>
        <w:t xml:space="preserve"> لا علميا نظريا، وهؤلاء يستعملون الذكر لتقوية الحال واستدعائها كما يجرى اليوم عليه العمل في أذكار الجمع للتواجد</w:t>
      </w:r>
      <w:r w:rsidR="00DB731D" w:rsidRPr="00A52585">
        <w:rPr>
          <w:rFonts w:hint="cs"/>
          <w:sz w:val="24"/>
          <w:szCs w:val="24"/>
          <w:rtl/>
        </w:rPr>
        <w:t>،</w:t>
      </w:r>
      <w:r w:rsidR="00777DCB" w:rsidRPr="00A52585">
        <w:rPr>
          <w:rFonts w:hint="cs"/>
          <w:sz w:val="24"/>
          <w:szCs w:val="24"/>
          <w:rtl/>
        </w:rPr>
        <w:t xml:space="preserve"> وهم – أعنى الصوفية- على أنحاء فالكامل منهم من يقتصر على تلاوة الكتاب العزيز، وهو الذكر الحكيم الذي لا ذكر فوقه، ولكنه مقام </w:t>
      </w:r>
      <w:proofErr w:type="spellStart"/>
      <w:r w:rsidR="00777DCB" w:rsidRPr="00A52585">
        <w:rPr>
          <w:rFonts w:hint="cs"/>
          <w:sz w:val="24"/>
          <w:szCs w:val="24"/>
          <w:rtl/>
        </w:rPr>
        <w:t>الكمل</w:t>
      </w:r>
      <w:proofErr w:type="spellEnd"/>
      <w:r w:rsidR="00777DCB" w:rsidRPr="00A52585">
        <w:rPr>
          <w:rFonts w:hint="cs"/>
          <w:sz w:val="24"/>
          <w:szCs w:val="24"/>
          <w:rtl/>
        </w:rPr>
        <w:t xml:space="preserve"> من العارفين</w:t>
      </w:r>
      <w:r w:rsidR="00DB731D" w:rsidRPr="00A52585">
        <w:rPr>
          <w:rFonts w:hint="cs"/>
          <w:sz w:val="24"/>
          <w:szCs w:val="24"/>
          <w:rtl/>
        </w:rPr>
        <w:t>،</w:t>
      </w:r>
      <w:r w:rsidR="00777DCB" w:rsidRPr="00A52585">
        <w:rPr>
          <w:rFonts w:hint="cs"/>
          <w:sz w:val="24"/>
          <w:szCs w:val="24"/>
          <w:rtl/>
        </w:rPr>
        <w:t xml:space="preserve"> ومنهم من يقتصر على ترداد بعض آياته ويسمونها أسراراً وهى مكتومة عندهم لما يظهر من قوة الحال عند تردادها</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والحال هو</w:t>
      </w:r>
      <w:r w:rsidRPr="00A52585">
        <w:rPr>
          <w:rFonts w:hint="cs"/>
          <w:bCs/>
          <w:sz w:val="24"/>
          <w:szCs w:val="24"/>
          <w:rtl/>
        </w:rPr>
        <w:t>:</w:t>
      </w:r>
      <w:r w:rsidR="00777DCB" w:rsidRPr="00A52585">
        <w:rPr>
          <w:rFonts w:hint="cs"/>
          <w:sz w:val="24"/>
          <w:szCs w:val="24"/>
          <w:rtl/>
        </w:rPr>
        <w:t xml:space="preserve"> الإدراك الذي يحدث في النفس عند تردادها كما تحدث القوى في الأجسام عند ورود الطعام عليها، ربطا من الله للأسباب بالمسببات</w:t>
      </w:r>
      <w:r w:rsidR="00DB731D" w:rsidRPr="00A52585">
        <w:rPr>
          <w:rFonts w:hint="cs"/>
          <w:sz w:val="24"/>
          <w:szCs w:val="24"/>
          <w:rtl/>
        </w:rPr>
        <w:t>،</w:t>
      </w:r>
      <w:r w:rsidR="00777DCB" w:rsidRPr="00A52585">
        <w:rPr>
          <w:rFonts w:hint="cs"/>
          <w:sz w:val="24"/>
          <w:szCs w:val="24"/>
          <w:rtl/>
        </w:rPr>
        <w:t xml:space="preserve"> فلا يزال الذاكر يردد ذكره الـذي يعتمد عليه بلسانه ويقيمه بجنانه صارفاً همته نحو </w:t>
      </w:r>
      <w:proofErr w:type="spellStart"/>
      <w:r w:rsidR="00777DCB" w:rsidRPr="00A52585">
        <w:rPr>
          <w:rFonts w:hint="cs"/>
          <w:sz w:val="24"/>
          <w:szCs w:val="24"/>
          <w:rtl/>
        </w:rPr>
        <w:t>مقصوده</w:t>
      </w:r>
      <w:proofErr w:type="spellEnd"/>
      <w:r w:rsidR="00777DCB" w:rsidRPr="00A52585">
        <w:rPr>
          <w:rFonts w:hint="cs"/>
          <w:sz w:val="24"/>
          <w:szCs w:val="24"/>
          <w:rtl/>
        </w:rPr>
        <w:t xml:space="preserve"> عاكفا بحواسه فإذا ردده المرات الكثيرة الدائمة وبحسب القابلية جذبه الذكر إلى عالم النور وضعف عمل خياله وقوى عمل فكره فإن الذكر للفكر بمنزلة السراج بين يدي الماشي في الظلمة حتى يصبح فيغنيه ضوء الصباح وعندما قوى عمل فكره تجردت نفسه، فعند ذلك يحصل لها إدراك </w:t>
      </w:r>
      <w:proofErr w:type="spellStart"/>
      <w:r w:rsidR="00777DCB" w:rsidRPr="00A52585">
        <w:rPr>
          <w:rFonts w:hint="cs"/>
          <w:sz w:val="24"/>
          <w:szCs w:val="24"/>
          <w:rtl/>
        </w:rPr>
        <w:t>مقصودها</w:t>
      </w:r>
      <w:proofErr w:type="spellEnd"/>
      <w:r w:rsidR="00777DCB" w:rsidRPr="00A52585">
        <w:rPr>
          <w:rFonts w:hint="cs"/>
          <w:sz w:val="24"/>
          <w:szCs w:val="24"/>
          <w:rtl/>
        </w:rPr>
        <w:t xml:space="preserve"> في نفسها بقدر مقامها وبعدها من الصور الخيالية ثم تعود إلى حسها وتزول عنها تلك الحال عليه فيأخذ في تجديدها واستدعائها إلى أن ترد عليه الحال المذكورة أجلى وأوضح، ويدوم ذلك أكثر مما دام في المدة الأولى ثم يعود إلى حسه كما حدث في المرة الأولى</w:t>
      </w:r>
      <w:r w:rsidR="00DB731D" w:rsidRPr="00A52585">
        <w:rPr>
          <w:rFonts w:hint="cs"/>
          <w:sz w:val="24"/>
          <w:szCs w:val="24"/>
          <w:rtl/>
        </w:rPr>
        <w:t>،</w:t>
      </w:r>
      <w:r w:rsidR="00777DCB" w:rsidRPr="00A52585">
        <w:rPr>
          <w:rFonts w:hint="cs"/>
          <w:sz w:val="24"/>
          <w:szCs w:val="24"/>
          <w:rtl/>
        </w:rPr>
        <w:t xml:space="preserve"> وهذه هي الأنوار النفسانية والبروق الإلهية ولا يزال الأمر يزيد في كل مرة حتى تغلب الحال عليه وتتصل فلا يحتاج إلى استدعائها بذكر ولا غيره وهذه حال الواصلين من الصوفية، وفي التخلص من التصورات معظم حال العارفين وأرباب الهداية ولكن لابد من السلوك عليها فإنها من لوازم الطرق، وقيل إليه الإشارة بقوله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وإن منكم إلا واردها كان على ربك حتما مقضيا ثم ننجي الذين اتقوا ونذر الظالمين فيها جثيا</w:t>
      </w:r>
      <w:r w:rsidRPr="00A52585">
        <w:rPr>
          <w:rFonts w:hint="cs"/>
          <w:sz w:val="24"/>
          <w:szCs w:val="24"/>
          <w:rtl/>
        </w:rPr>
        <w:t>}</w:t>
      </w:r>
      <w:r w:rsidR="00777DCB" w:rsidRPr="00A52585">
        <w:rPr>
          <w:rFonts w:hint="cs"/>
          <w:sz w:val="24"/>
          <w:szCs w:val="24"/>
          <w:rtl/>
        </w:rPr>
        <w:t xml:space="preserve"> مريم 71-72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777DCB" w:rsidRPr="00A52585">
        <w:rPr>
          <w:rFonts w:hint="cs"/>
          <w:bCs/>
          <w:rtl/>
        </w:rPr>
        <w:t>وههنا فائدة جليلة للمنَزِّه والمشَبِّه</w:t>
      </w:r>
      <w:r w:rsidR="00777DCB" w:rsidRPr="00A52585">
        <w:rPr>
          <w:rFonts w:hint="cs"/>
          <w:rtl/>
        </w:rPr>
        <w:t xml:space="preserve"> وهي أنه ينبغي للعبد أن يجعل له حظاً وافراً من تكرير هذا الاسم والإمعان في معناه</w:t>
      </w:r>
      <w:r w:rsidR="00DB731D" w:rsidRPr="00A52585">
        <w:rPr>
          <w:rFonts w:hint="cs"/>
          <w:rtl/>
        </w:rPr>
        <w:t>،</w:t>
      </w:r>
      <w:r w:rsidR="00777DCB" w:rsidRPr="00A52585">
        <w:rPr>
          <w:rFonts w:hint="cs"/>
          <w:rtl/>
        </w:rPr>
        <w:t xml:space="preserve"> فإن كان منزها عطف ذلك عليه وقدس نفسه وقلبه وبدنه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ويقول الأستاذ الشيخ السيد/ محمد زكي إبراهيم في كتابه (في رياض الاسم الأعظم) تحت عنوان (أساليب الذكر الصحيح)</w:t>
      </w:r>
      <w:r w:rsidRPr="00A52585">
        <w:rPr>
          <w:rFonts w:hint="cs"/>
          <w:sz w:val="24"/>
          <w:szCs w:val="24"/>
          <w:rtl/>
        </w:rPr>
        <w:t xml:space="preserve">: </w:t>
      </w:r>
      <w:r w:rsidR="00777DCB" w:rsidRPr="00A52585">
        <w:rPr>
          <w:rFonts w:hint="cs"/>
          <w:sz w:val="24"/>
          <w:szCs w:val="24"/>
          <w:rtl/>
        </w:rPr>
        <w:t>" ولابد في مزاولة ذكر الأسماء المختارة والأسماء الحسنى بعد تفهّم معانيها ولو إجمالا من صحة نطقها صحة مطلقة وتحقيق مخارج الحروف ومراعاة المد والقصر كلٌّ في موضعه</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ولذكر أسماء الله تعالى ثلاثة أساليب</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أولها</w:t>
      </w:r>
      <w:r w:rsidRPr="00A52585">
        <w:rPr>
          <w:rFonts w:hint="cs"/>
          <w:sz w:val="24"/>
          <w:szCs w:val="24"/>
          <w:rtl/>
        </w:rPr>
        <w:t>):</w:t>
      </w:r>
      <w:r w:rsidR="00777DCB" w:rsidRPr="00A52585">
        <w:rPr>
          <w:rFonts w:hint="cs"/>
          <w:sz w:val="24"/>
          <w:szCs w:val="24"/>
          <w:rtl/>
        </w:rPr>
        <w:t xml:space="preserve"> نطقها مع الألف واللام فيقال مثلا (الرزاق، الفتاح، العليم)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ثانيها</w:t>
      </w:r>
      <w:r w:rsidRPr="00A52585">
        <w:rPr>
          <w:rFonts w:hint="cs"/>
          <w:sz w:val="24"/>
          <w:szCs w:val="24"/>
          <w:rtl/>
        </w:rPr>
        <w:t>):</w:t>
      </w:r>
      <w:r w:rsidR="00777DCB" w:rsidRPr="00A52585">
        <w:rPr>
          <w:rFonts w:hint="cs"/>
          <w:sz w:val="24"/>
          <w:szCs w:val="24"/>
          <w:rtl/>
        </w:rPr>
        <w:t xml:space="preserve"> نطقها مجردة عن الألف واللام فيقال مثلا (رزاق، فتاح، عليم)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ثالثها</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نطقها ملحقة بـ (ياء النداء) فيقال مثلا (يا رزاق، يا فتاح، يا عليم)، ولكل منها سرٌّ ومقام وأثر "</w:t>
      </w:r>
      <w:r w:rsidR="00DB731D" w:rsidRPr="00A52585">
        <w:rPr>
          <w:rFonts w:hint="cs"/>
          <w:sz w:val="24"/>
          <w:szCs w:val="24"/>
          <w:rtl/>
        </w:rPr>
        <w:t>،</w:t>
      </w:r>
      <w:r w:rsidR="00777DCB" w:rsidRPr="00A52585">
        <w:rPr>
          <w:rFonts w:hint="cs"/>
          <w:sz w:val="24"/>
          <w:szCs w:val="24"/>
          <w:rtl/>
        </w:rPr>
        <w:t xml:space="preserve"> ثم قال تحت عنوان (الذكر بالاسم المفرد والمجرد في اللغة)</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والذاكر الله بلفظ (الرزاق) أو (رزاق) مثلا، ملاحظ أن هذا الاسم أحد جزأي جملة خبرية، تقديرها مثلا (الله الرزاق) أو (ربي رزاق) أو نحو ذلك، فالاسم المجرد هنا خبر لمبتدأ محذوف، أو مبتدأ لخبر محذوف كما يجوز أن يكون مفعولا لفعل محذوف، تقديره (أذكر الله الرزاق)، وقد يكون الذاكر ملاحظاً (ياء النداء) فيكون الاسم المجرد منادى حذفت منه ياء النداء بلاغة (إن لم يكن قد نطق فعلاً بها)، ولكل ذلك أشباه في القرآن والسنة معروفة عند أهل اللغة</w:t>
      </w:r>
      <w:r w:rsidR="00DB731D" w:rsidRPr="00A52585">
        <w:rPr>
          <w:rFonts w:hint="cs"/>
          <w:sz w:val="24"/>
          <w:szCs w:val="24"/>
          <w:rtl/>
        </w:rPr>
        <w:t>،</w:t>
      </w:r>
      <w:r w:rsidR="00777DCB" w:rsidRPr="00A52585">
        <w:rPr>
          <w:rFonts w:hint="cs"/>
          <w:sz w:val="24"/>
          <w:szCs w:val="24"/>
          <w:rtl/>
        </w:rPr>
        <w:t xml:space="preserve"> وفي حديث مسلم الثابت</w:t>
      </w:r>
      <w:r w:rsidRPr="00A52585">
        <w:rPr>
          <w:rFonts w:hint="cs"/>
          <w:sz w:val="24"/>
          <w:szCs w:val="24"/>
          <w:rtl/>
        </w:rPr>
        <w:t xml:space="preserve">: </w:t>
      </w:r>
      <w:r w:rsidR="00777DCB" w:rsidRPr="00A52585">
        <w:rPr>
          <w:rFonts w:hint="cs"/>
          <w:sz w:val="24"/>
          <w:szCs w:val="24"/>
          <w:rtl/>
        </w:rPr>
        <w:t>" لا تقوم القيامة وعلى وجه الأرض من يقول (الله الله) "</w:t>
      </w:r>
      <w:r w:rsidRPr="00A52585">
        <w:rPr>
          <w:rFonts w:hint="cs"/>
          <w:sz w:val="24"/>
          <w:szCs w:val="24"/>
          <w:rtl/>
        </w:rPr>
        <w:t xml:space="preserve"> </w:t>
      </w:r>
      <w:r w:rsidR="00777DCB" w:rsidRPr="00A52585">
        <w:rPr>
          <w:rFonts w:hint="cs"/>
          <w:sz w:val="24"/>
          <w:szCs w:val="24"/>
          <w:rtl/>
        </w:rPr>
        <w:t>أي ذكراً أو أمراً ونهياً، ولو لم يكن في هذا الباب إلا هذا الدليل لكفى</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وفي الحديث الثابت أيضاً</w:t>
      </w:r>
      <w:r w:rsidRPr="00A52585">
        <w:rPr>
          <w:rFonts w:hint="cs"/>
          <w:sz w:val="24"/>
          <w:szCs w:val="24"/>
          <w:rtl/>
        </w:rPr>
        <w:t>:</w:t>
      </w:r>
      <w:r w:rsidR="00777DCB" w:rsidRPr="00A52585">
        <w:rPr>
          <w:rFonts w:hint="cs"/>
          <w:sz w:val="24"/>
          <w:szCs w:val="24"/>
          <w:rtl/>
        </w:rPr>
        <w:t xml:space="preserve"> كان صلى الله عليه وسلم يقول في دعائه</w:t>
      </w:r>
      <w:r w:rsidRPr="00A52585">
        <w:rPr>
          <w:rFonts w:hint="cs"/>
          <w:sz w:val="24"/>
          <w:szCs w:val="24"/>
          <w:rtl/>
        </w:rPr>
        <w:t xml:space="preserve">: </w:t>
      </w:r>
      <w:r w:rsidR="00777DCB" w:rsidRPr="00A52585">
        <w:rPr>
          <w:rFonts w:hint="cs"/>
          <w:sz w:val="24"/>
          <w:szCs w:val="24"/>
          <w:rtl/>
        </w:rPr>
        <w:t>" الله الله، الله ربي لا أشرك به شيئاً "</w:t>
      </w:r>
      <w:r w:rsidRPr="00A52585">
        <w:rPr>
          <w:rFonts w:hint="cs"/>
          <w:sz w:val="24"/>
          <w:szCs w:val="24"/>
          <w:rtl/>
        </w:rPr>
        <w:t xml:space="preserve"> </w:t>
      </w:r>
      <w:r w:rsidR="00777DCB" w:rsidRPr="00A52585">
        <w:rPr>
          <w:rFonts w:hint="cs"/>
          <w:sz w:val="24"/>
          <w:szCs w:val="24"/>
          <w:rtl/>
        </w:rPr>
        <w:t>ولم يعترض على هذه الرواية سلف ولا خلف</w:t>
      </w:r>
      <w:r w:rsidR="00DB731D" w:rsidRPr="00A52585">
        <w:rPr>
          <w:rFonts w:hint="cs"/>
          <w:sz w:val="24"/>
          <w:szCs w:val="24"/>
          <w:rtl/>
        </w:rPr>
        <w:t>،</w:t>
      </w:r>
      <w:r w:rsidR="00777DCB" w:rsidRPr="00A52585">
        <w:rPr>
          <w:rFonts w:hint="cs"/>
          <w:sz w:val="24"/>
          <w:szCs w:val="24"/>
          <w:rtl/>
        </w:rPr>
        <w:t xml:space="preserve"> وثبت في صحاح السير أنه صلى الله عليه وسلم كان يمر على بلال رضي الله عنه وهو يعذب ويقول</w:t>
      </w:r>
      <w:r w:rsidRPr="00A52585">
        <w:rPr>
          <w:rFonts w:hint="cs"/>
          <w:sz w:val="24"/>
          <w:szCs w:val="24"/>
          <w:rtl/>
        </w:rPr>
        <w:t xml:space="preserve">: </w:t>
      </w:r>
      <w:r w:rsidR="00777DCB" w:rsidRPr="00A52585">
        <w:rPr>
          <w:rFonts w:hint="cs"/>
          <w:sz w:val="24"/>
          <w:szCs w:val="24"/>
          <w:rtl/>
        </w:rPr>
        <w:t>" أحد، أحد"</w:t>
      </w:r>
      <w:r w:rsidRPr="00A52585">
        <w:rPr>
          <w:rFonts w:hint="cs"/>
          <w:sz w:val="24"/>
          <w:szCs w:val="24"/>
          <w:rtl/>
        </w:rPr>
        <w:t xml:space="preserve"> </w:t>
      </w:r>
      <w:r w:rsidR="00777DCB" w:rsidRPr="00A52585">
        <w:rPr>
          <w:rFonts w:hint="cs"/>
          <w:sz w:val="24"/>
          <w:szCs w:val="24"/>
          <w:rtl/>
        </w:rPr>
        <w:t>فلم ينكر عليه، بل كان يكررها صلى الله عليه وسلم وهو المشرع الأعظم، وهذا من أوضح الأدلة على صحة هذا الذكر، اعني الذكر بالاسم المفرد</w:t>
      </w:r>
      <w:r w:rsidR="00DB731D" w:rsidRPr="00A52585">
        <w:rPr>
          <w:rFonts w:hint="cs"/>
          <w:sz w:val="24"/>
          <w:szCs w:val="24"/>
          <w:rtl/>
        </w:rPr>
        <w:t>،</w:t>
      </w:r>
      <w:r w:rsidR="00777DCB" w:rsidRPr="00A52585">
        <w:rPr>
          <w:rFonts w:hint="cs"/>
          <w:sz w:val="24"/>
          <w:szCs w:val="24"/>
          <w:rtl/>
        </w:rPr>
        <w:t xml:space="preserve"> وفي القرآن الكريم يقول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 الله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ليقولن الله</w:t>
      </w:r>
      <w:r w:rsidRPr="00A52585">
        <w:rPr>
          <w:rFonts w:hint="cs"/>
          <w:sz w:val="24"/>
          <w:szCs w:val="24"/>
          <w:rtl/>
        </w:rPr>
        <w:t>}</w:t>
      </w:r>
      <w:r w:rsidR="00777DCB" w:rsidRPr="00A52585">
        <w:rPr>
          <w:rFonts w:hint="cs"/>
          <w:sz w:val="24"/>
          <w:szCs w:val="24"/>
          <w:rtl/>
        </w:rPr>
        <w:t xml:space="preserve"> مكررة في عدة آيات، وماضية على القواعد اللغوية التي أسلفنا</w:t>
      </w:r>
      <w:r w:rsidR="00DB731D" w:rsidRPr="00A52585">
        <w:rPr>
          <w:rFonts w:hint="cs"/>
          <w:sz w:val="24"/>
          <w:szCs w:val="24"/>
          <w:rtl/>
        </w:rPr>
        <w:t>،</w:t>
      </w:r>
      <w:r w:rsidR="00777DCB" w:rsidRPr="00A52585">
        <w:rPr>
          <w:rFonts w:hint="cs"/>
          <w:sz w:val="24"/>
          <w:szCs w:val="24"/>
          <w:rtl/>
        </w:rPr>
        <w:t xml:space="preserve"> والأوضاع اللغوية لفواتح السور وغيرها، كلها نقول ثابتة محمولة على ما قدمنا من القواعد اللغوية والبلاغية الأصيلة، فالقول بأن الذكر بالاسم المفرد أو المجرد خطأ أو هدر، هذا القول هو عين الخطأ وعين الهدر "</w:t>
      </w:r>
      <w:r w:rsidR="00DB731D" w:rsidRPr="00A52585">
        <w:rPr>
          <w:rFonts w:hint="cs"/>
          <w:sz w:val="24"/>
          <w:szCs w:val="24"/>
          <w:rtl/>
        </w:rPr>
        <w:t>،</w:t>
      </w:r>
      <w:r w:rsidR="00777DCB" w:rsidRPr="00A52585">
        <w:rPr>
          <w:rFonts w:hint="cs"/>
          <w:sz w:val="24"/>
          <w:szCs w:val="24"/>
          <w:rtl/>
        </w:rPr>
        <w:t xml:space="preserve"> ثم قال تحت عنوان (الذكر بالاسم المفرد في القرآن)</w:t>
      </w:r>
      <w:r w:rsidRPr="00A52585">
        <w:rPr>
          <w:rFonts w:hint="cs"/>
          <w:sz w:val="24"/>
          <w:szCs w:val="24"/>
          <w:rtl/>
        </w:rPr>
        <w:t xml:space="preserve">: </w:t>
      </w:r>
      <w:r w:rsidR="00777DCB" w:rsidRPr="00A52585">
        <w:rPr>
          <w:rFonts w:hint="cs"/>
          <w:sz w:val="24"/>
          <w:szCs w:val="24"/>
          <w:rtl/>
        </w:rPr>
        <w:t>" 1- الله تعالى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واذكر اسم ربك بكرة وأصيلا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واذكر اسم ربك وتبتل إليه تبتيلا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والاسم الجامع العام الأشهر لربنا عز وجل هو (الله)، وإليه تعود جميع الأسماء الحسنى والصفات العليا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الله تعالى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ولله الأسماء الحسنى فادعوه بها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والدعاء ذكر، والذكر دعاء</w:t>
      </w:r>
      <w:r w:rsidR="00777DCB" w:rsidRPr="00A52585">
        <w:rPr>
          <w:rFonts w:hint="cs"/>
          <w:sz w:val="24"/>
          <w:szCs w:val="24"/>
          <w:rtl/>
        </w:rPr>
        <w:t>، وكلاهما يشمل ترديد اسمه تعالى مفرداً مجرداً، كما جاءت الأسماء الحسنى بالنص الصحيح الجاري على الألسن في كل الروايات مفردة ومجردة</w:t>
      </w:r>
      <w:r w:rsidR="00DB731D" w:rsidRPr="00A52585">
        <w:rPr>
          <w:rFonts w:hint="cs"/>
          <w:sz w:val="24"/>
          <w:szCs w:val="24"/>
          <w:rtl/>
        </w:rPr>
        <w:t>،</w:t>
      </w:r>
      <w:r w:rsidR="00777DCB" w:rsidRPr="00A52585">
        <w:rPr>
          <w:rFonts w:hint="cs"/>
          <w:sz w:val="24"/>
          <w:szCs w:val="24"/>
          <w:rtl/>
        </w:rPr>
        <w:t xml:space="preserve"> 3- الله تعالى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 ادعوا الله أو ادعوا الرحمن أيا ما تدعوا فله الأسماء الحسنى</w:t>
      </w:r>
      <w:r w:rsidRPr="00A52585">
        <w:rPr>
          <w:rFonts w:hint="cs"/>
          <w:sz w:val="24"/>
          <w:szCs w:val="24"/>
          <w:rtl/>
        </w:rPr>
        <w:t>}</w:t>
      </w:r>
      <w:r w:rsidR="00777DCB" w:rsidRPr="00A52585">
        <w:rPr>
          <w:rFonts w:hint="cs"/>
          <w:sz w:val="24"/>
          <w:szCs w:val="24"/>
          <w:rtl/>
        </w:rPr>
        <w:t xml:space="preserve"> أي</w:t>
      </w:r>
      <w:r w:rsidRPr="00A52585">
        <w:rPr>
          <w:rFonts w:hint="cs"/>
          <w:sz w:val="24"/>
          <w:szCs w:val="24"/>
          <w:rtl/>
        </w:rPr>
        <w:t>:</w:t>
      </w:r>
      <w:r w:rsidR="00777DCB" w:rsidRPr="00A52585">
        <w:rPr>
          <w:rFonts w:hint="cs"/>
          <w:sz w:val="24"/>
          <w:szCs w:val="24"/>
          <w:rtl/>
        </w:rPr>
        <w:t xml:space="preserve"> اذكره تعالى باسمه (الله) أو اسمه تعالى (الرحمن) أو غيرهما من أسمائه الحسنى، وكلها أسماء مفردة مجردة، وحكم واحد منها يجرى عليها جميعاً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4- الله تعالى يقول </w:t>
      </w:r>
      <w:r w:rsidRPr="00A52585">
        <w:rPr>
          <w:rFonts w:hint="cs"/>
          <w:sz w:val="24"/>
          <w:szCs w:val="24"/>
          <w:rtl/>
        </w:rPr>
        <w:t>{</w:t>
      </w:r>
      <w:r w:rsidR="00777DCB" w:rsidRPr="00A52585">
        <w:rPr>
          <w:rFonts w:hint="cs"/>
          <w:sz w:val="24"/>
          <w:szCs w:val="24"/>
          <w:rtl/>
        </w:rPr>
        <w:t>سبح اسم ربك الأعلى</w:t>
      </w:r>
      <w:r w:rsidRPr="00A52585">
        <w:rPr>
          <w:rFonts w:hint="cs"/>
          <w:sz w:val="24"/>
          <w:szCs w:val="24"/>
          <w:rtl/>
        </w:rPr>
        <w:t>}</w:t>
      </w:r>
      <w:r w:rsidR="00777DCB" w:rsidRPr="00A52585">
        <w:rPr>
          <w:rFonts w:hint="cs"/>
          <w:sz w:val="24"/>
          <w:szCs w:val="24"/>
          <w:rtl/>
        </w:rPr>
        <w:t xml:space="preserve"> يعني</w:t>
      </w:r>
      <w:r w:rsidRPr="00A52585">
        <w:rPr>
          <w:rFonts w:hint="cs"/>
          <w:sz w:val="24"/>
          <w:szCs w:val="24"/>
          <w:rtl/>
        </w:rPr>
        <w:t>:</w:t>
      </w:r>
      <w:r w:rsidR="00777DCB" w:rsidRPr="00A52585">
        <w:rPr>
          <w:rFonts w:hint="cs"/>
          <w:sz w:val="24"/>
          <w:szCs w:val="24"/>
          <w:rtl/>
        </w:rPr>
        <w:t xml:space="preserve"> قدس اسم ربك عن النقص في الزمان والمكان والإمكان، والحال والمقال والأفعال، مفسراً بقوله تعالى في آية أخرى </w:t>
      </w:r>
      <w:r w:rsidRPr="00A52585">
        <w:rPr>
          <w:rFonts w:hint="cs"/>
          <w:sz w:val="24"/>
          <w:szCs w:val="24"/>
          <w:rtl/>
        </w:rPr>
        <w:t>{</w:t>
      </w:r>
      <w:r w:rsidR="00777DCB" w:rsidRPr="00A52585">
        <w:rPr>
          <w:rFonts w:hint="cs"/>
          <w:sz w:val="24"/>
          <w:szCs w:val="24"/>
          <w:rtl/>
        </w:rPr>
        <w:t>وتبتل إليه تبتيلا</w:t>
      </w:r>
      <w:r w:rsidRPr="00A52585">
        <w:rPr>
          <w:rFonts w:hint="cs"/>
          <w:sz w:val="24"/>
          <w:szCs w:val="24"/>
          <w:rtl/>
        </w:rPr>
        <w:t>}</w:t>
      </w:r>
      <w:r w:rsidR="00777DCB" w:rsidRPr="00A52585">
        <w:rPr>
          <w:rFonts w:hint="cs"/>
          <w:sz w:val="24"/>
          <w:szCs w:val="24"/>
          <w:rtl/>
        </w:rPr>
        <w:t>، والتبتل غاية الأدب وتمامه ظاهراً وباطناً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5- ذكرت عبارة (اسم الله) في القرآن تسع مرات، وعبارة (اسم ربك) أربع مرات، وعبارة= = (اسم ربه) مرة واحدة، وأكثر ما يراد بذلك الاسم المفرد، على ما سبق بيانه "</w:t>
      </w:r>
      <w:r w:rsidR="00DB731D" w:rsidRPr="00A52585">
        <w:rPr>
          <w:rFonts w:hint="cs"/>
          <w:sz w:val="24"/>
          <w:szCs w:val="24"/>
          <w:rtl/>
        </w:rPr>
        <w:t>،</w:t>
      </w:r>
      <w:r w:rsidR="00777DCB" w:rsidRPr="00A52585">
        <w:rPr>
          <w:rFonts w:hint="cs"/>
          <w:sz w:val="24"/>
          <w:szCs w:val="24"/>
          <w:rtl/>
        </w:rPr>
        <w:t xml:space="preserve"> وعن الذكر بياء النداء قال</w:t>
      </w:r>
      <w:r w:rsidRPr="00A52585">
        <w:rPr>
          <w:rFonts w:hint="cs"/>
          <w:sz w:val="24"/>
          <w:szCs w:val="24"/>
          <w:rtl/>
        </w:rPr>
        <w:t xml:space="preserve">: </w:t>
      </w:r>
      <w:r w:rsidR="00777DCB" w:rsidRPr="00A52585">
        <w:rPr>
          <w:rFonts w:hint="cs"/>
          <w:sz w:val="24"/>
          <w:szCs w:val="24"/>
          <w:rtl/>
        </w:rPr>
        <w:t>" قالوا</w:t>
      </w:r>
      <w:r w:rsidRPr="00A52585">
        <w:rPr>
          <w:rFonts w:hint="cs"/>
          <w:sz w:val="24"/>
          <w:szCs w:val="24"/>
          <w:rtl/>
        </w:rPr>
        <w:t>:</w:t>
      </w:r>
      <w:r w:rsidR="00777DCB" w:rsidRPr="00A52585">
        <w:rPr>
          <w:rFonts w:hint="cs"/>
          <w:sz w:val="24"/>
          <w:szCs w:val="24"/>
          <w:rtl/>
        </w:rPr>
        <w:t xml:space="preserve"> وإنما يحسن الذكر بياء النداء في مقامات الطلب والابتهال والاستغاثة أما مقام التعبد فالأمثل الذكر فيه بغير حرف النداء، وفي هذا المعنى مذاق رفيع "</w:t>
      </w:r>
      <w:r w:rsidRPr="00A52585">
        <w:rPr>
          <w:rFonts w:hint="cs"/>
          <w:sz w:val="24"/>
          <w:szCs w:val="24"/>
          <w:rtl/>
        </w:rPr>
        <w:t xml:space="preserve"> </w:t>
      </w:r>
      <w:r w:rsidR="00777DCB" w:rsidRPr="00A52585">
        <w:rPr>
          <w:rFonts w:hint="cs"/>
          <w:sz w:val="24"/>
          <w:szCs w:val="24"/>
          <w:rtl/>
        </w:rPr>
        <w:t>أهـمن ص 56إلى ص 60</w:t>
      </w:r>
      <w:r w:rsidR="00DB731D" w:rsidRPr="00A52585">
        <w:rPr>
          <w:rFonts w:hint="cs"/>
          <w:sz w:val="24"/>
          <w:szCs w:val="24"/>
          <w:rtl/>
        </w:rPr>
        <w:t>،</w:t>
      </w:r>
      <w:r w:rsidR="00777DCB" w:rsidRPr="00A52585">
        <w:rPr>
          <w:rFonts w:hint="cs"/>
          <w:sz w:val="24"/>
          <w:szCs w:val="24"/>
          <w:rtl/>
        </w:rPr>
        <w:t xml:space="preserve"> ويؤكد ذلك ما رواه سيدنا علي بن أبي طالب كرم الله وجه قال</w:t>
      </w:r>
      <w:r w:rsidRPr="00A52585">
        <w:rPr>
          <w:rFonts w:hint="cs"/>
          <w:sz w:val="24"/>
          <w:szCs w:val="24"/>
          <w:rtl/>
        </w:rPr>
        <w:t xml:space="preserve">: </w:t>
      </w:r>
      <w:r w:rsidR="00777DCB" w:rsidRPr="00A52585">
        <w:rPr>
          <w:rFonts w:hint="cs"/>
          <w:sz w:val="24"/>
          <w:szCs w:val="24"/>
          <w:rtl/>
        </w:rPr>
        <w:t>" لما كان يوم بدر قاتلت شيئاً من قتال ثم جئت مسرعاً لأنظر ما فعل رسول الله صلى الله عليه وسلم فجئت فإذا هو ساجد يقول (يا حي يا قيوم يا حي يا قيوم) لا يزيد عليهما، ثم رجعت إلى القتال ثم جئت وهو ساجد يقول ذلك ثم ذهبت إلى القتال ثم رجعت وهو يقول ذلك ففتح الله عليه"</w:t>
      </w:r>
      <w:r w:rsidRPr="00A52585">
        <w:rPr>
          <w:rFonts w:hint="cs"/>
          <w:sz w:val="24"/>
          <w:szCs w:val="24"/>
          <w:rtl/>
        </w:rPr>
        <w:t xml:space="preserve"> </w:t>
      </w:r>
      <w:r w:rsidR="00777DCB" w:rsidRPr="00A52585">
        <w:rPr>
          <w:rFonts w:hint="cs"/>
          <w:sz w:val="24"/>
          <w:szCs w:val="24"/>
          <w:rtl/>
        </w:rPr>
        <w:t>يقول الحافظ الهيثمي</w:t>
      </w:r>
      <w:r w:rsidRPr="00A52585">
        <w:rPr>
          <w:rFonts w:hint="cs"/>
          <w:sz w:val="24"/>
          <w:szCs w:val="24"/>
          <w:rtl/>
        </w:rPr>
        <w:t xml:space="preserve"> </w:t>
      </w:r>
      <w:r w:rsidR="00777DCB" w:rsidRPr="00A52585">
        <w:rPr>
          <w:rFonts w:hint="cs"/>
          <w:sz w:val="24"/>
          <w:szCs w:val="24"/>
          <w:rtl/>
        </w:rPr>
        <w:t>" رواه البزار وإسناده حسن ورواه أبو يعلى بنحوه كذلك"</w:t>
      </w:r>
      <w:r w:rsidRPr="00A52585">
        <w:rPr>
          <w:rFonts w:hint="cs"/>
          <w:sz w:val="24"/>
          <w:szCs w:val="24"/>
          <w:rtl/>
        </w:rPr>
        <w:t xml:space="preserve"> </w:t>
      </w:r>
      <w:r w:rsidR="00777DCB" w:rsidRPr="00A52585">
        <w:rPr>
          <w:rFonts w:hint="cs"/>
          <w:sz w:val="24"/>
          <w:szCs w:val="24"/>
          <w:rtl/>
        </w:rPr>
        <w:t>أهـ مجمع الزوائد 10/147 (باب الاستنصار بالدعاء)</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وحالات الابتلاء بوسوسة التشبيه والتجسيم من أخطر الأمور التي تستوجب الابتهال والتضرع إلى الله والاستغاثة به سبحانه لتطهير القلب منها فعلى المريض أن </w:t>
      </w:r>
      <w:r w:rsidR="00777DCB" w:rsidRPr="00A52585">
        <w:rPr>
          <w:rFonts w:hint="cs"/>
          <w:sz w:val="24"/>
          <w:szCs w:val="24"/>
          <w:rtl/>
        </w:rPr>
        <w:lastRenderedPageBreak/>
        <w:t xml:space="preserve">يداوم على ترديد (يا قدوس يا قدوس) آناء الليل وأطراف النهار كما شرحه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وكما سيأتي في التعليق من كلام حجة الإسلام الغزالي</w:t>
      </w:r>
      <w:r w:rsidR="00DB731D" w:rsidRPr="00A52585">
        <w:rPr>
          <w:rFonts w:hint="cs"/>
          <w:sz w:val="24"/>
          <w:szCs w:val="24"/>
          <w:rtl/>
        </w:rPr>
        <w:t>،</w:t>
      </w:r>
      <w:r w:rsidR="00777DCB" w:rsidRPr="00A52585">
        <w:rPr>
          <w:rFonts w:hint="cs"/>
          <w:sz w:val="24"/>
          <w:szCs w:val="24"/>
          <w:rtl/>
        </w:rPr>
        <w:t xml:space="preserve"> ويكفي في شرف الذكر بالأسماء الحسنى أن الله سبحانه أمر به عقب الآية الكريمة {ولقد ذرأنا لجهنم كثيراً من الجن والإنس لهم قلوب لا يفقهون بها ولهم أعين لا يبصرون بها ولهم آذان لا يسمعون بها أولئك كالأنعام بل هم أضل، أولئك هم الغافلون ولله الأسماء الحسنى فادعوه بها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الآيتان 179،180</w:t>
      </w:r>
      <w:r w:rsidR="00777DCB" w:rsidRPr="00A52585">
        <w:rPr>
          <w:rFonts w:hint="cs"/>
          <w:spacing w:val="-6"/>
          <w:sz w:val="24"/>
          <w:szCs w:val="24"/>
          <w:rtl/>
        </w:rPr>
        <w:t xml:space="preserve"> سورة الأعراف فبين أن الذكر بالأسماء الحسنى علاج للغفلة ولمرض القلب</w:t>
      </w:r>
      <w:r w:rsidRPr="00A52585">
        <w:rPr>
          <w:rFonts w:hint="cs"/>
          <w:spacing w:val="-6"/>
          <w:sz w:val="24"/>
          <w:szCs w:val="24"/>
          <w:rtl/>
        </w:rPr>
        <w:t>]</w:t>
      </w:r>
      <w:r w:rsidR="00DB731D" w:rsidRPr="00A52585">
        <w:rPr>
          <w:rFonts w:hint="cs"/>
          <w:spacing w:val="-6"/>
          <w:sz w:val="24"/>
          <w:rtl/>
        </w:rPr>
        <w:t>،</w:t>
      </w:r>
      <w:r w:rsidR="00777DCB" w:rsidRPr="00A52585">
        <w:rPr>
          <w:rFonts w:hint="cs"/>
          <w:rtl/>
        </w:rPr>
        <w:t xml:space="preserve"> أما نفسه فيطهرها من الأوصاف المذمومة كالغضب والحقد والحسد والغش وسوء الظن والكبر وحب الشرف والعلو وحب الدنيا ولوازمها إلى غير ذلك ويبدلها بالأوصاف المحمودة ويطهرها أيضاً عن العادات والشهوات وما تدعو إليه من المستحسنات والمألوفات إذ هذه أزمة الشيطان يقود بها إلى ارتكاب الموبقات</w:t>
      </w:r>
      <w:r w:rsidR="00DB731D" w:rsidRPr="00A52585">
        <w:rPr>
          <w:rFonts w:hint="cs"/>
          <w:rtl/>
        </w:rPr>
        <w:t>،</w:t>
      </w:r>
      <w:r w:rsidR="00777DCB" w:rsidRPr="00A52585">
        <w:rPr>
          <w:rFonts w:hint="cs"/>
          <w:rtl/>
        </w:rPr>
        <w:t xml:space="preserve"> وأما القلب فيطهره بالعقد الصحيح المطابق الجازم وبالمبادرة إلى امتثال الأوامر واجتناب النواهي والأهواء وتحقيق الإخلاص نيةً وقولاً وعملاً وبالرضى بما جرى فلا </w:t>
      </w:r>
      <w:proofErr w:type="spellStart"/>
      <w:r w:rsidR="00777DCB" w:rsidRPr="00A52585">
        <w:rPr>
          <w:rFonts w:hint="cs"/>
          <w:rtl/>
        </w:rPr>
        <w:t>يأسف</w:t>
      </w:r>
      <w:proofErr w:type="spellEnd"/>
      <w:r w:rsidR="00777DCB" w:rsidRPr="00A52585">
        <w:rPr>
          <w:rFonts w:hint="cs"/>
          <w:rtl/>
        </w:rPr>
        <w:t xml:space="preserve"> على فائت ولا يفرح بآت وذلك يرجع إلى ذوق حلاوة الإيمان القلبي لا العلمي وعلامته تقديس القلب عن ملاحظة الأكوان</w:t>
      </w:r>
      <w:r w:rsidR="00DB731D" w:rsidRPr="00A52585">
        <w:rPr>
          <w:rFonts w:hint="cs"/>
          <w:rtl/>
        </w:rPr>
        <w:t>،</w:t>
      </w:r>
      <w:r w:rsidR="00777DCB" w:rsidRPr="00A52585">
        <w:rPr>
          <w:rFonts w:hint="cs"/>
          <w:rtl/>
        </w:rPr>
        <w:t xml:space="preserve"> ولا يرى الأغيار إلا على العدم الأصلي فلا يتحرك في ظاهره ولا باطنه حتى في أنفاسه إلا بالله عز وجل</w:t>
      </w:r>
      <w:r w:rsidR="00DB731D" w:rsidRPr="00A52585">
        <w:rPr>
          <w:rFonts w:hint="cs"/>
          <w:rtl/>
        </w:rPr>
        <w:t>،</w:t>
      </w:r>
      <w:r w:rsidR="00777DCB" w:rsidRPr="00A52585">
        <w:rPr>
          <w:rFonts w:hint="cs"/>
          <w:rtl/>
        </w:rPr>
        <w:t xml:space="preserve"> وأما البدن فيطهره بماء الجوع ويكفنه بدوام التقشف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يشرح حجة الإسلام الغزالي أسباب ذلك فيقول</w:t>
      </w:r>
      <w:r w:rsidRPr="00A52585">
        <w:rPr>
          <w:rFonts w:hint="cs"/>
          <w:sz w:val="24"/>
          <w:szCs w:val="24"/>
          <w:rtl/>
        </w:rPr>
        <w:t xml:space="preserve">: </w:t>
      </w:r>
      <w:r w:rsidR="00777DCB" w:rsidRPr="00A52585">
        <w:rPr>
          <w:rFonts w:hint="cs"/>
          <w:sz w:val="24"/>
          <w:szCs w:val="24"/>
          <w:rtl/>
        </w:rPr>
        <w:t>" 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الله لا يغير ما بقوم حتى يغيروا ما بأنفسهم</w:t>
      </w:r>
      <w:r w:rsidRPr="00A52585">
        <w:rPr>
          <w:rFonts w:hint="cs"/>
          <w:sz w:val="24"/>
          <w:szCs w:val="24"/>
          <w:rtl/>
        </w:rPr>
        <w:t>}</w:t>
      </w:r>
      <w:r w:rsidR="00777DCB" w:rsidRPr="00A52585">
        <w:rPr>
          <w:rFonts w:hint="cs"/>
          <w:sz w:val="24"/>
          <w:szCs w:val="24"/>
          <w:rtl/>
        </w:rPr>
        <w:t xml:space="preserve"> (آية 11 من سورة الرعد) وإنما التغيير</w:t>
      </w:r>
      <w:r w:rsidRPr="00A52585">
        <w:rPr>
          <w:rFonts w:hint="cs"/>
          <w:sz w:val="24"/>
          <w:szCs w:val="24"/>
          <w:rtl/>
        </w:rPr>
        <w:t>:</w:t>
      </w:r>
      <w:r w:rsidR="00777DCB" w:rsidRPr="00A52585">
        <w:rPr>
          <w:rFonts w:hint="cs"/>
          <w:sz w:val="24"/>
          <w:szCs w:val="24"/>
          <w:rtl/>
        </w:rPr>
        <w:t xml:space="preserve"> تكثير الشهوات </w:t>
      </w:r>
      <w:proofErr w:type="spellStart"/>
      <w:r w:rsidR="00777DCB" w:rsidRPr="00A52585">
        <w:rPr>
          <w:rFonts w:hint="cs"/>
          <w:sz w:val="24"/>
          <w:szCs w:val="24"/>
          <w:rtl/>
        </w:rPr>
        <w:t>فهى</w:t>
      </w:r>
      <w:proofErr w:type="spellEnd"/>
      <w:r w:rsidR="00777DCB" w:rsidRPr="00A52585">
        <w:rPr>
          <w:rFonts w:hint="cs"/>
          <w:sz w:val="24"/>
          <w:szCs w:val="24"/>
          <w:rtl/>
        </w:rPr>
        <w:t xml:space="preserve"> مرتع الشياطين ومرعاهم فما دامت مخصبة لم ينقطع ترددهم، وما داموا يترددون لم ينكشف للعبد جلال الله سبحانه وكان محجوبا عن لقائه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إتحاف السادة المتقين (4/328) من كتاب أسرار الصوم، يقول الله في الحديث القدسي</w:t>
      </w:r>
      <w:r w:rsidRPr="00A52585">
        <w:rPr>
          <w:rFonts w:hint="cs"/>
          <w:sz w:val="24"/>
          <w:szCs w:val="24"/>
          <w:rtl/>
        </w:rPr>
        <w:t xml:space="preserve">: </w:t>
      </w:r>
      <w:r w:rsidR="00777DCB" w:rsidRPr="00A52585">
        <w:rPr>
          <w:rFonts w:hint="cs"/>
          <w:sz w:val="24"/>
          <w:szCs w:val="24"/>
          <w:rtl/>
        </w:rPr>
        <w:t xml:space="preserve">" خلقت عبادي حنفاء فجاءتهم الشياطين </w:t>
      </w:r>
      <w:proofErr w:type="spellStart"/>
      <w:r w:rsidR="00777DCB" w:rsidRPr="00A52585">
        <w:rPr>
          <w:rFonts w:hint="cs"/>
          <w:sz w:val="24"/>
          <w:szCs w:val="24"/>
          <w:rtl/>
        </w:rPr>
        <w:t>فاجتالتهم</w:t>
      </w:r>
      <w:proofErr w:type="spellEnd"/>
      <w:r w:rsidR="00777DCB" w:rsidRPr="00A52585">
        <w:rPr>
          <w:rFonts w:hint="cs"/>
          <w:sz w:val="24"/>
          <w:szCs w:val="24"/>
          <w:rtl/>
        </w:rPr>
        <w:t xml:space="preserve"> عن دينهم "</w:t>
      </w:r>
      <w:r w:rsidRPr="00A52585">
        <w:rPr>
          <w:rFonts w:hint="cs"/>
          <w:sz w:val="24"/>
          <w:szCs w:val="24"/>
          <w:rtl/>
        </w:rPr>
        <w:t xml:space="preserve"> </w:t>
      </w:r>
      <w:r w:rsidR="00777DCB" w:rsidRPr="00A52585">
        <w:rPr>
          <w:rFonts w:hint="cs"/>
          <w:sz w:val="24"/>
          <w:szCs w:val="24"/>
          <w:rtl/>
        </w:rPr>
        <w:t xml:space="preserve">رواه مسلم ومن هنا كان الإقلاع عن المعاصي بل والتقليل من الشهوات المباحة هو المدخل لطرد الشياطين من القلب ومنع استقرارهم فيه بل يصير طوافهم بالقلب ومرورهم به مساً فقط فيظهر أثر الذكر وبركته بعد ذلك، (إن الذين اتقوا إذا مسهم طائف من الشيطان تذكروا </w:t>
      </w:r>
      <w:proofErr w:type="spellStart"/>
      <w:r w:rsidR="00777DCB" w:rsidRPr="00A52585">
        <w:rPr>
          <w:rFonts w:hint="cs"/>
          <w:sz w:val="24"/>
          <w:szCs w:val="24"/>
          <w:rtl/>
        </w:rPr>
        <w:t>فإذاهم</w:t>
      </w:r>
      <w:proofErr w:type="spellEnd"/>
      <w:r w:rsidR="00777DCB" w:rsidRPr="00A52585">
        <w:rPr>
          <w:rFonts w:hint="cs"/>
          <w:sz w:val="24"/>
          <w:szCs w:val="24"/>
          <w:rtl/>
        </w:rPr>
        <w:t xml:space="preserve"> مبصرون)</w:t>
      </w:r>
      <w:r w:rsidRPr="00A52585">
        <w:rPr>
          <w:rFonts w:hint="cs"/>
          <w:sz w:val="24"/>
          <w:szCs w:val="24"/>
          <w:rtl/>
        </w:rPr>
        <w:t>]</w:t>
      </w:r>
      <w:r w:rsidR="00DB731D" w:rsidRPr="00A52585">
        <w:rPr>
          <w:rFonts w:hint="cs"/>
          <w:sz w:val="24"/>
          <w:rtl/>
        </w:rPr>
        <w:t>،</w:t>
      </w:r>
      <w:r w:rsidR="00777DCB" w:rsidRPr="00A52585">
        <w:rPr>
          <w:rFonts w:hint="cs"/>
          <w:rtl/>
        </w:rPr>
        <w:t xml:space="preserve"> ويحنطه بالعزلة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يقول الإمام أبو حامد الغزالي</w:t>
      </w:r>
      <w:r w:rsidRPr="00A52585">
        <w:rPr>
          <w:rFonts w:hint="cs"/>
          <w:sz w:val="24"/>
          <w:szCs w:val="24"/>
          <w:rtl/>
        </w:rPr>
        <w:t xml:space="preserve">: </w:t>
      </w:r>
      <w:r w:rsidR="00777DCB" w:rsidRPr="00A52585">
        <w:rPr>
          <w:rFonts w:hint="cs"/>
          <w:sz w:val="24"/>
          <w:szCs w:val="24"/>
          <w:rtl/>
        </w:rPr>
        <w:t>" النفس لا تألف ربها ولا تأنس بذكره إلا إذا فطمت عن عادتها بالخلوة والعزلة أولا ليحفظ السمع والبصر عن المألوفات، ثم عودت الثناء والذكر والدعاء ثانيا في الخلوة حتى يغلب عليها الأنس بذكر الله عز وجل عوضا عن الأنس بالدنيا وسائر الشهوات وذلك يثقل على المريد في البداية ثم يتنعم به في النهاية "</w:t>
      </w:r>
      <w:r w:rsidRPr="00A52585">
        <w:rPr>
          <w:rFonts w:hint="cs"/>
          <w:sz w:val="24"/>
          <w:szCs w:val="24"/>
          <w:rtl/>
        </w:rPr>
        <w:t xml:space="preserve"> </w:t>
      </w:r>
      <w:r w:rsidR="00777DCB" w:rsidRPr="00A52585">
        <w:rPr>
          <w:rFonts w:hint="cs"/>
          <w:sz w:val="24"/>
          <w:szCs w:val="24"/>
          <w:rtl/>
        </w:rPr>
        <w:t>أهـ أتحاف السادة المتقين 8/666، 667ط العلمية</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ويطيبه بدوام الذكر والفكر ويدفنه في لحد الخوف فإذا قدسه بذلك ذهب مغناه وبقى معناه</w:t>
      </w:r>
      <w:r w:rsidR="00DB731D" w:rsidRPr="00A52585">
        <w:rPr>
          <w:rFonts w:hint="cs"/>
          <w:rtl/>
        </w:rPr>
        <w:t>،</w:t>
      </w:r>
      <w:r w:rsidRPr="00A52585">
        <w:rPr>
          <w:rFonts w:hint="cs"/>
          <w:rtl/>
        </w:rPr>
        <w:t xml:space="preserve"> </w:t>
      </w:r>
      <w:r w:rsidR="00777DCB" w:rsidRPr="00A52585">
        <w:rPr>
          <w:rFonts w:hint="cs"/>
          <w:rtl/>
        </w:rPr>
        <w:t xml:space="preserve">فإذا اجتمعت له هذه </w:t>
      </w:r>
      <w:proofErr w:type="spellStart"/>
      <w:r w:rsidR="00777DCB" w:rsidRPr="00A52585">
        <w:rPr>
          <w:rFonts w:hint="cs"/>
          <w:rtl/>
        </w:rPr>
        <w:t>التقديسات</w:t>
      </w:r>
      <w:proofErr w:type="spellEnd"/>
      <w:r w:rsidR="00777DCB" w:rsidRPr="00A52585">
        <w:rPr>
          <w:rFonts w:hint="cs"/>
          <w:rtl/>
        </w:rPr>
        <w:t xml:space="preserve"> ذهبت أوصافه القواطع والموانع ولاح له خزائن أسرار الآيات في معارج ترداد الآيات فأثمر له ذلك كشف أسرار </w:t>
      </w:r>
      <w:proofErr w:type="spellStart"/>
      <w:r w:rsidR="00777DCB" w:rsidRPr="00A52585">
        <w:rPr>
          <w:rFonts w:hint="cs"/>
          <w:rtl/>
        </w:rPr>
        <w:t>الملكوتيات</w:t>
      </w:r>
      <w:proofErr w:type="spellEnd"/>
      <w:r w:rsidR="00777DCB" w:rsidRPr="00A52585">
        <w:rPr>
          <w:rFonts w:hint="cs"/>
          <w:rtl/>
        </w:rPr>
        <w:t xml:space="preserve"> فيثمر له ذلك الشوق إلى رؤية </w:t>
      </w:r>
      <w:proofErr w:type="spellStart"/>
      <w:r w:rsidR="00777DCB" w:rsidRPr="00A52585">
        <w:rPr>
          <w:rFonts w:hint="cs"/>
          <w:rtl/>
        </w:rPr>
        <w:t>مطلوبه</w:t>
      </w:r>
      <w:proofErr w:type="spellEnd"/>
      <w:r w:rsidR="00777DCB" w:rsidRPr="00A52585">
        <w:rPr>
          <w:rFonts w:hint="cs"/>
          <w:rtl/>
        </w:rPr>
        <w:t xml:space="preserve"> فلا شيء أشهى إليه من الموت لأنه لا سبيل إلى الوصول إلى محبوبه إلا به</w:t>
      </w:r>
      <w:r w:rsidR="00DB731D" w:rsidRPr="00A52585">
        <w:rPr>
          <w:rFonts w:hint="cs"/>
          <w:rtl/>
        </w:rPr>
        <w:t>،</w:t>
      </w:r>
      <w:r w:rsidR="00777DCB" w:rsidRPr="00A52585">
        <w:rPr>
          <w:rFonts w:hint="cs"/>
          <w:rtl/>
        </w:rPr>
        <w:t xml:space="preserve"> فمن أراد أن يجلس في حضرة القدس على منابر التقديس فليجر على هذا التأسيس</w:t>
      </w:r>
      <w:r w:rsidR="00DB731D" w:rsidRPr="00A52585">
        <w:rPr>
          <w:rFonts w:hint="cs"/>
          <w:rtl/>
        </w:rPr>
        <w:t>،</w:t>
      </w:r>
      <w:r w:rsidR="00777DCB" w:rsidRPr="00A52585">
        <w:rPr>
          <w:rFonts w:hint="cs"/>
          <w:rtl/>
        </w:rPr>
        <w:t xml:space="preserve"> مَرَّ إبراهيم </w:t>
      </w:r>
      <w:r w:rsidR="00777DCB" w:rsidRPr="00A52585">
        <w:rPr>
          <w:rFonts w:hint="cs"/>
          <w:rtl/>
        </w:rPr>
        <w:lastRenderedPageBreak/>
        <w:t>بن أدهم قدس الله تعالى روحه بسكران مطروح على قارعة الطريق وقد تقيأ فنظر إليه وقال</w:t>
      </w:r>
      <w:r w:rsidRPr="00A52585">
        <w:rPr>
          <w:rFonts w:hint="cs"/>
          <w:rtl/>
        </w:rPr>
        <w:t>:</w:t>
      </w:r>
      <w:r w:rsidR="00777DCB" w:rsidRPr="00A52585">
        <w:rPr>
          <w:rFonts w:hint="cs"/>
          <w:rtl/>
        </w:rPr>
        <w:t xml:space="preserve"> بأي لسان أصابته هذه الآفة</w:t>
      </w:r>
      <w:r w:rsidR="00DB731D"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روى هذه القصة أيضاً الإمام عبد الله بن أسعد اليافعي في كتابه (روض الرياحين) وفيها</w:t>
      </w:r>
      <w:r w:rsidRPr="00A52585">
        <w:rPr>
          <w:rFonts w:hint="cs"/>
          <w:sz w:val="24"/>
          <w:szCs w:val="24"/>
          <w:rtl/>
        </w:rPr>
        <w:t xml:space="preserve">: </w:t>
      </w:r>
      <w:r w:rsidR="00777DCB" w:rsidRPr="00A52585">
        <w:rPr>
          <w:rFonts w:hint="cs"/>
          <w:sz w:val="24"/>
          <w:szCs w:val="24"/>
          <w:rtl/>
        </w:rPr>
        <w:t>" فنظر إليه إبراهيم وقال</w:t>
      </w:r>
      <w:r w:rsidRPr="00A52585">
        <w:rPr>
          <w:rFonts w:hint="cs"/>
          <w:sz w:val="24"/>
          <w:szCs w:val="24"/>
          <w:rtl/>
        </w:rPr>
        <w:t>:</w:t>
      </w:r>
      <w:r w:rsidR="00777DCB" w:rsidRPr="00A52585">
        <w:rPr>
          <w:rFonts w:hint="cs"/>
          <w:sz w:val="24"/>
          <w:szCs w:val="24"/>
          <w:rtl/>
        </w:rPr>
        <w:t xml:space="preserve"> أيُّ لسان أصابته هذه الآفة وقد ذكر الله عز وجل "</w:t>
      </w:r>
      <w:r w:rsidRPr="00A52585">
        <w:rPr>
          <w:rFonts w:hint="cs"/>
          <w:sz w:val="24"/>
          <w:szCs w:val="24"/>
          <w:rtl/>
        </w:rPr>
        <w:t xml:space="preserve"> </w:t>
      </w:r>
      <w:r w:rsidR="00777DCB" w:rsidRPr="00A52585">
        <w:rPr>
          <w:rFonts w:hint="cs"/>
          <w:sz w:val="24"/>
          <w:szCs w:val="24"/>
          <w:rtl/>
        </w:rPr>
        <w:t>انظر ط زهران ص191</w:t>
      </w:r>
      <w:r w:rsidR="00DB731D" w:rsidRPr="00A52585">
        <w:rPr>
          <w:rFonts w:hint="cs"/>
          <w:sz w:val="24"/>
          <w:szCs w:val="24"/>
          <w:rtl/>
        </w:rPr>
        <w:t>،</w:t>
      </w:r>
      <w:r w:rsidR="00777DCB" w:rsidRPr="00A52585">
        <w:rPr>
          <w:rFonts w:hint="cs"/>
          <w:sz w:val="24"/>
          <w:szCs w:val="24"/>
          <w:rtl/>
        </w:rPr>
        <w:t xml:space="preserve"> ورواها أيضاً بتفصيل وتوضيح أتم الإمام موفق الدين بن عثمان في كتابه (مرشد الزوار) ص105،106ط الدار المصرية اللبنانية فقال</w:t>
      </w:r>
      <w:r w:rsidRPr="00A52585">
        <w:rPr>
          <w:rFonts w:hint="cs"/>
          <w:sz w:val="24"/>
          <w:szCs w:val="24"/>
          <w:rtl/>
        </w:rPr>
        <w:t xml:space="preserve">: </w:t>
      </w:r>
      <w:r w:rsidR="00777DCB" w:rsidRPr="00A52585">
        <w:rPr>
          <w:rFonts w:hint="cs"/>
          <w:sz w:val="24"/>
          <w:szCs w:val="24"/>
          <w:rtl/>
        </w:rPr>
        <w:t>" حكى عن إبراهيم بن أدهم، رحمه الله، أنه مَرَّ بِرَجُلٍ سكران وهو مُلْقَى والخمر يطفح من فيه وهو يقول</w:t>
      </w:r>
      <w:r w:rsidRPr="00A52585">
        <w:rPr>
          <w:rFonts w:hint="cs"/>
          <w:sz w:val="24"/>
          <w:szCs w:val="24"/>
          <w:rtl/>
        </w:rPr>
        <w:t>:</w:t>
      </w:r>
      <w:r w:rsidR="00777DCB" w:rsidRPr="00A52585">
        <w:rPr>
          <w:rFonts w:hint="cs"/>
          <w:sz w:val="24"/>
          <w:szCs w:val="24"/>
          <w:rtl/>
        </w:rPr>
        <w:t xml:space="preserve"> الله الله، فرفع إبراهيم طرفه إلى السماء وقال</w:t>
      </w:r>
      <w:r w:rsidRPr="00A52585">
        <w:rPr>
          <w:rFonts w:hint="cs"/>
          <w:sz w:val="24"/>
          <w:szCs w:val="24"/>
          <w:rtl/>
        </w:rPr>
        <w:t>:</w:t>
      </w:r>
      <w:r w:rsidR="00777DCB" w:rsidRPr="00A52585">
        <w:rPr>
          <w:rFonts w:hint="cs"/>
          <w:sz w:val="24"/>
          <w:szCs w:val="24"/>
          <w:rtl/>
        </w:rPr>
        <w:t xml:space="preserve"> إلهي، لسان بذكُركَ لا يكون هكذا ثم دعاء بماءٍ فَغَسَل به فَاهُ، وتَرَكَهُ ومضر فلما أفاق من سكره أخْبِرَ بما فَعَلَهُ إبراهيم بن أدهم، فخجل واستحيا، ولام نفسه ووبخها، وقال</w:t>
      </w:r>
      <w:r w:rsidRPr="00A52585">
        <w:rPr>
          <w:rFonts w:hint="cs"/>
          <w:sz w:val="24"/>
          <w:szCs w:val="24"/>
          <w:rtl/>
        </w:rPr>
        <w:t>:</w:t>
      </w:r>
      <w:r w:rsidR="00777DCB" w:rsidRPr="00A52585">
        <w:rPr>
          <w:rFonts w:hint="cs"/>
          <w:sz w:val="24"/>
          <w:szCs w:val="24"/>
          <w:rtl/>
        </w:rPr>
        <w:t xml:space="preserve"> يا نفس، إن لم تستحي من الله ومن أوليائه، فممن تستحين</w:t>
      </w:r>
      <w:r w:rsidR="00F95886" w:rsidRPr="00A52585">
        <w:rPr>
          <w:rFonts w:hint="cs"/>
          <w:sz w:val="24"/>
          <w:szCs w:val="24"/>
          <w:rtl/>
        </w:rPr>
        <w:t>؟</w:t>
      </w:r>
      <w:r w:rsidR="00777DCB" w:rsidRPr="00A52585">
        <w:rPr>
          <w:rFonts w:hint="cs"/>
          <w:sz w:val="24"/>
          <w:szCs w:val="24"/>
          <w:rtl/>
        </w:rPr>
        <w:t>! ثم لحقه الندم والأسف على ما مضى من عمره في الذنوب وسلف فلما كان تلك الليلة رأي إبراهيم بن أدهم قائلا قول</w:t>
      </w:r>
      <w:r w:rsidRPr="00A52585">
        <w:rPr>
          <w:rFonts w:hint="cs"/>
          <w:sz w:val="24"/>
          <w:szCs w:val="24"/>
          <w:rtl/>
        </w:rPr>
        <w:t>:</w:t>
      </w:r>
      <w:r w:rsidR="00777DCB" w:rsidRPr="00A52585">
        <w:rPr>
          <w:rFonts w:hint="cs"/>
          <w:sz w:val="24"/>
          <w:szCs w:val="24"/>
          <w:rtl/>
        </w:rPr>
        <w:t xml:space="preserve"> يا إبراهيم، ربك يقول لك</w:t>
      </w:r>
      <w:r w:rsidRPr="00A52585">
        <w:rPr>
          <w:rFonts w:hint="cs"/>
          <w:sz w:val="24"/>
          <w:szCs w:val="24"/>
          <w:rtl/>
        </w:rPr>
        <w:t>:</w:t>
      </w:r>
      <w:r w:rsidR="00777DCB" w:rsidRPr="00A52585">
        <w:rPr>
          <w:rFonts w:hint="cs"/>
          <w:sz w:val="24"/>
          <w:szCs w:val="24"/>
          <w:rtl/>
        </w:rPr>
        <w:t xml:space="preserve"> أنت طهرت فاه لأجلنا، ونحن طهرنا قلبه لأجلك</w:t>
      </w:r>
      <w:r w:rsidR="00F95886" w:rsidRPr="00A52585">
        <w:rPr>
          <w:rFonts w:hint="cs"/>
          <w:sz w:val="24"/>
          <w:szCs w:val="24"/>
          <w:rtl/>
        </w:rPr>
        <w:t>!</w:t>
      </w:r>
      <w:r w:rsidR="00777DCB" w:rsidRPr="00A52585">
        <w:rPr>
          <w:rFonts w:hint="cs"/>
          <w:sz w:val="24"/>
          <w:szCs w:val="24"/>
          <w:rtl/>
        </w:rPr>
        <w:t xml:space="preserve"> إلى آخر ما قال</w:t>
      </w:r>
      <w:r w:rsidR="00DB731D" w:rsidRPr="00A52585">
        <w:rPr>
          <w:rFonts w:hint="cs"/>
          <w:sz w:val="24"/>
          <w:szCs w:val="24"/>
          <w:rtl/>
        </w:rPr>
        <w:t>،</w:t>
      </w:r>
      <w:r w:rsidR="00777DCB" w:rsidRPr="00A52585">
        <w:rPr>
          <w:rFonts w:hint="cs"/>
          <w:sz w:val="24"/>
          <w:szCs w:val="24"/>
          <w:rtl/>
        </w:rPr>
        <w:t xml:space="preserve"> فإبراهيم بن أدهم رضي الله عنه طهر لسان الرجل وفمه تعظيما وتقديسا لاسمه سبحانه فكافأه ربه سبحانه بتطهير قلب الرجل وصلاحه، فتعظيم الله وتقديسه وملاحظة هذا التعظيم والتقديس في جميع الأفعال والأوقات أساس لكل خير</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وطهر فمه ومضى فلما أفاق السكران أخبر بما فعله به إبراهيم</w:t>
      </w:r>
      <w:r w:rsidR="00DB731D" w:rsidRPr="00A52585">
        <w:rPr>
          <w:rFonts w:hint="cs"/>
          <w:rtl/>
        </w:rPr>
        <w:t>،</w:t>
      </w:r>
      <w:r w:rsidR="00777DCB" w:rsidRPr="00A52585">
        <w:rPr>
          <w:rFonts w:hint="cs"/>
          <w:rtl/>
        </w:rPr>
        <w:t xml:space="preserve"> فخجل وتاب وحسنت توبته. فرأى إبراهيم فيما يرى النائم كأن قائلاً يقول</w:t>
      </w:r>
      <w:r w:rsidRPr="00A52585">
        <w:rPr>
          <w:rFonts w:hint="cs"/>
          <w:rtl/>
        </w:rPr>
        <w:t>:</w:t>
      </w:r>
      <w:r w:rsidR="00777DCB" w:rsidRPr="00A52585">
        <w:rPr>
          <w:rFonts w:hint="cs"/>
          <w:rtl/>
        </w:rPr>
        <w:t xml:space="preserve"> غسلت لأجلنا فمه فلا جرم أنّا طهرنا لأجلك قلبه</w:t>
      </w:r>
      <w:r w:rsidR="00DB731D" w:rsidRPr="00A52585">
        <w:rPr>
          <w:rFonts w:hint="cs"/>
          <w:rtl/>
        </w:rPr>
        <w:t>،</w:t>
      </w:r>
      <w:r w:rsidR="00777DCB" w:rsidRPr="00A52585">
        <w:rPr>
          <w:rFonts w:hint="cs"/>
          <w:rtl/>
        </w:rPr>
        <w:t xml:space="preserve"> وأما المشبه والمجسم فلأنه بتكرار هذا الاسم يتعقل معناه فيضيء له نوره فينكشف له حجاب الضلال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ففائدة الذكر</w:t>
      </w:r>
      <w:r w:rsidRPr="00A52585">
        <w:rPr>
          <w:rFonts w:hint="cs"/>
          <w:sz w:val="24"/>
          <w:szCs w:val="24"/>
          <w:rtl/>
        </w:rPr>
        <w:t>:</w:t>
      </w:r>
      <w:r w:rsidR="00777DCB" w:rsidRPr="00A52585">
        <w:rPr>
          <w:rFonts w:hint="cs"/>
          <w:sz w:val="24"/>
          <w:szCs w:val="24"/>
          <w:rtl/>
        </w:rPr>
        <w:t xml:space="preserve"> تكرار المعارف على القلب واسترجاع ما فات منها بالنسيان لترسخ وتثبت ولا تنمحي عن القلب (انظر الإتحاف 13/319ط العلمية)</w:t>
      </w:r>
      <w:r w:rsidR="00DB731D" w:rsidRPr="00A52585">
        <w:rPr>
          <w:rFonts w:hint="cs"/>
          <w:sz w:val="24"/>
          <w:szCs w:val="24"/>
          <w:rtl/>
        </w:rPr>
        <w:t>،</w:t>
      </w:r>
      <w:r w:rsidR="00777DCB" w:rsidRPr="00A52585">
        <w:rPr>
          <w:rFonts w:hint="cs"/>
          <w:sz w:val="24"/>
          <w:szCs w:val="24"/>
          <w:rtl/>
        </w:rPr>
        <w:t xml:space="preserve"> ويشرح حجة الإسلام الصراع القائم في القلب بين التقليد ونور البصيرة- الكشف- فيقول</w:t>
      </w:r>
      <w:r w:rsidRPr="00A52585">
        <w:rPr>
          <w:rFonts w:hint="cs"/>
          <w:sz w:val="24"/>
          <w:szCs w:val="24"/>
          <w:rtl/>
        </w:rPr>
        <w:t xml:space="preserve">: </w:t>
      </w:r>
      <w:r w:rsidR="00777DCB" w:rsidRPr="00A52585">
        <w:rPr>
          <w:rFonts w:hint="cs"/>
          <w:sz w:val="24"/>
          <w:szCs w:val="24"/>
          <w:rtl/>
        </w:rPr>
        <w:t>" وهذا التقليد قد يكون باطلا فيكون مانعاً كمن يعتقد في الاستواء على العرش</w:t>
      </w:r>
      <w:r w:rsidRPr="00A52585">
        <w:rPr>
          <w:rFonts w:hint="cs"/>
          <w:sz w:val="24"/>
          <w:szCs w:val="24"/>
          <w:rtl/>
        </w:rPr>
        <w:t>:</w:t>
      </w:r>
      <w:r w:rsidR="00777DCB" w:rsidRPr="00A52585">
        <w:rPr>
          <w:rFonts w:hint="cs"/>
          <w:sz w:val="24"/>
          <w:szCs w:val="24"/>
          <w:rtl/>
        </w:rPr>
        <w:t xml:space="preserve"> التمكن والاستقرار فإن خطر له مثلا في القدوس أنه المقدس عن كل ما يجوز على خلقه لم يمكنه تقليده من أن يستقر ذلك في نفسه! ولو استقر في نفسه لا نجر إلى كشف ثان وثالث ولتواصل ولكن يتسارع إلى دفع ذلك عن خاطره لمناقضته تقليده الباطل</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إتحاف السادة المتقين 5/104 –105 ومن هنا نفهم سر الأمر بالإكثار من الذكر في العديد من آيات القرآن وكذا توجيه النبي صلى الله عليه وسلم لأحد أصحابه</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لا يزال لسانك رطباً بذكر الله "</w:t>
      </w:r>
      <w:r w:rsidR="00DB731D" w:rsidRPr="00A52585">
        <w:rPr>
          <w:rFonts w:hint="cs"/>
          <w:sz w:val="24"/>
          <w:szCs w:val="24"/>
          <w:rtl/>
        </w:rPr>
        <w:t>،</w:t>
      </w:r>
      <w:r w:rsidR="00777DCB" w:rsidRPr="00A52585">
        <w:rPr>
          <w:rFonts w:hint="cs"/>
          <w:sz w:val="24"/>
          <w:szCs w:val="24"/>
          <w:rtl/>
        </w:rPr>
        <w:t xml:space="preserve"> ويمتدح آخرين بأنهم</w:t>
      </w:r>
      <w:r w:rsidRPr="00A52585">
        <w:rPr>
          <w:rFonts w:hint="cs"/>
          <w:sz w:val="24"/>
          <w:szCs w:val="24"/>
          <w:rtl/>
        </w:rPr>
        <w:t>:</w:t>
      </w:r>
      <w:r w:rsidR="00777DCB" w:rsidRPr="00A52585">
        <w:rPr>
          <w:rFonts w:hint="cs"/>
          <w:sz w:val="24"/>
          <w:szCs w:val="24"/>
          <w:rtl/>
        </w:rPr>
        <w:t xml:space="preserve"> المستهترين – أي المكثرين- بذكر الله وبيّن أن الذكر يضع عنهم ذنوبهم فيأتون يوم القيامة خفافا وكتب السنة مشحونة بذلك بل روى أبو سعيد الخدري مرفوعاً</w:t>
      </w:r>
      <w:r w:rsidRPr="00A52585">
        <w:rPr>
          <w:rFonts w:hint="cs"/>
          <w:sz w:val="24"/>
          <w:szCs w:val="24"/>
          <w:rtl/>
        </w:rPr>
        <w:t xml:space="preserve">: </w:t>
      </w:r>
      <w:r w:rsidR="00777DCB" w:rsidRPr="00A52585">
        <w:rPr>
          <w:rFonts w:hint="cs"/>
          <w:sz w:val="24"/>
          <w:szCs w:val="24"/>
          <w:rtl/>
        </w:rPr>
        <w:t>"أكثروا ذكر الله تعالى حتى يقولوا مجنون "</w:t>
      </w:r>
      <w:r w:rsidRPr="00A52585">
        <w:rPr>
          <w:rFonts w:hint="cs"/>
          <w:sz w:val="24"/>
          <w:szCs w:val="24"/>
          <w:rtl/>
        </w:rPr>
        <w:t xml:space="preserve"> </w:t>
      </w:r>
      <w:r w:rsidR="00777DCB" w:rsidRPr="00A52585">
        <w:rPr>
          <w:rFonts w:hint="cs"/>
          <w:sz w:val="24"/>
          <w:szCs w:val="24"/>
          <w:rtl/>
        </w:rPr>
        <w:t>صححه ابن حبان والحاكم وحسنه ابن حجر والسيوطي وغيرهم وعن ابن عباس يرفعه</w:t>
      </w:r>
      <w:r w:rsidRPr="00A52585">
        <w:rPr>
          <w:rFonts w:hint="cs"/>
          <w:sz w:val="24"/>
          <w:szCs w:val="24"/>
          <w:rtl/>
        </w:rPr>
        <w:t xml:space="preserve"> </w:t>
      </w:r>
      <w:r w:rsidR="00777DCB" w:rsidRPr="00A52585">
        <w:rPr>
          <w:rFonts w:hint="cs"/>
          <w:sz w:val="24"/>
          <w:szCs w:val="24"/>
          <w:rtl/>
        </w:rPr>
        <w:t>" اذكروا الله ذكراً كثيراً حتى يقول المنافقون يراءون "</w:t>
      </w:r>
      <w:r w:rsidRPr="00A52585">
        <w:rPr>
          <w:rFonts w:hint="cs"/>
          <w:sz w:val="24"/>
          <w:szCs w:val="24"/>
          <w:rtl/>
        </w:rPr>
        <w:t xml:space="preserve"> </w:t>
      </w:r>
      <w:r w:rsidR="00777DCB" w:rsidRPr="00A52585">
        <w:rPr>
          <w:rFonts w:hint="cs"/>
          <w:sz w:val="24"/>
          <w:szCs w:val="24"/>
          <w:rtl/>
        </w:rPr>
        <w:t>حسن لغيره من طريقين عند الطبراني والبيهقي في (الشعب)</w:t>
      </w:r>
      <w:r w:rsidR="00DB731D" w:rsidRPr="00A52585">
        <w:rPr>
          <w:rFonts w:hint="cs"/>
          <w:sz w:val="24"/>
          <w:szCs w:val="24"/>
          <w:rtl/>
        </w:rPr>
        <w:t>،</w:t>
      </w:r>
      <w:r w:rsidR="00777DCB" w:rsidRPr="00A52585">
        <w:rPr>
          <w:rFonts w:hint="cs"/>
          <w:sz w:val="24"/>
          <w:szCs w:val="24"/>
          <w:rtl/>
        </w:rPr>
        <w:t xml:space="preserve"> ومن هنا نص أئمة الطريق على المداومة على الذكر المطلوب في حالة كل مريد والصبر على تكراره وترديده حتى تنفتح له أبواب الرحمة الإلهية، يقول الإمام ابن عطاء الله السكندري في (الحكم)</w:t>
      </w:r>
      <w:r w:rsidRPr="00A52585">
        <w:rPr>
          <w:rFonts w:hint="cs"/>
          <w:sz w:val="24"/>
          <w:szCs w:val="24"/>
          <w:rtl/>
        </w:rPr>
        <w:t xml:space="preserve">: </w:t>
      </w:r>
      <w:r w:rsidR="00777DCB" w:rsidRPr="00A52585">
        <w:rPr>
          <w:rFonts w:hint="cs"/>
          <w:sz w:val="24"/>
          <w:szCs w:val="24"/>
          <w:rtl/>
        </w:rPr>
        <w:t>" لا تترك الذكر لعدم حضورك مع الله فيه لأن غفلتك عن وجود ذكره أشد من غفلتك في وجود ذكره فعسى أن يرفعك من ذكر مع وجود غفلة إلى ذكر مع وجود يقظة، ومن ذكر مع وجود يقظة إلى ذكر مع وجود حضور ومن ذكر مع وجود حضور إلى ذكر مع وجود غيبة عما سوى المذكور، وما ذلك على الله بعزيز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00777DCB" w:rsidRPr="00A52585">
        <w:rPr>
          <w:rFonts w:hint="cs"/>
          <w:rtl/>
        </w:rPr>
        <w:t xml:space="preserve"> فإذا حقق </w:t>
      </w:r>
      <w:r w:rsidR="00777DCB" w:rsidRPr="00A52585">
        <w:rPr>
          <w:rFonts w:hint="cs"/>
          <w:rtl/>
        </w:rPr>
        <w:lastRenderedPageBreak/>
        <w:t xml:space="preserve">المعنى المراد منه ظهر له نوره فأحرق حجاب الضلال فصفى القلب إلى الحق وزاح الباطل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بين حجة الإسلام الغزالي كيفية ذلك بأن يواظب المريد على الذكر حتى تسقط حركة اللسان ثم يواظب حتى يسقط الأثر عن اللسان وتبقى صورة اللفظ في القلب، ثم يواظب حتى يمحى عن القلب حروف اللفظ وصورته وتبقى حقيقة معناه لازمة للقلب حاضرة معه غالبة عليه قد فرغ عن كل ما سواه لأن القلب إذا شغل بشيء خلا عن غيره – أي شيء كان – فإذا اشتغل بذكر الله تعالى وهو المقصود خلا لا محالة عن غيره أ هـ بمعناه</w:t>
      </w:r>
      <w:r w:rsidRPr="00A52585">
        <w:rPr>
          <w:rFonts w:hint="cs"/>
          <w:sz w:val="24"/>
          <w:szCs w:val="24"/>
          <w:rtl/>
        </w:rPr>
        <w:t>]</w:t>
      </w:r>
      <w:r w:rsidR="00DB731D" w:rsidRPr="00A52585">
        <w:rPr>
          <w:rFonts w:hint="cs"/>
          <w:rtl/>
        </w:rPr>
        <w:t>،</w:t>
      </w:r>
      <w:r w:rsidR="00777DCB" w:rsidRPr="00A52585">
        <w:rPr>
          <w:rFonts w:hint="cs"/>
          <w:rtl/>
        </w:rPr>
        <w:t xml:space="preserve"> وقد وقع ذلك لبعض الغلاة في التشبيه والتجسيم مر يوماً على هذه الآية</w:t>
      </w:r>
      <w:r w:rsidRPr="00A52585">
        <w:rPr>
          <w:rFonts w:hint="cs"/>
          <w:rtl/>
        </w:rPr>
        <w:t xml:space="preserve"> {</w:t>
      </w:r>
      <w:r w:rsidR="00777DCB" w:rsidRPr="00A52585">
        <w:rPr>
          <w:rFonts w:hint="cs"/>
          <w:rtl/>
        </w:rPr>
        <w:t>هو الله الذي لا إله إلا هو الملك القدوس</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الحشر</w:t>
      </w:r>
      <w:r w:rsidRPr="00A52585">
        <w:rPr>
          <w:rFonts w:hint="cs"/>
          <w:rtl/>
        </w:rPr>
        <w:t>:</w:t>
      </w:r>
      <w:r w:rsidR="00777DCB" w:rsidRPr="00A52585">
        <w:rPr>
          <w:rFonts w:hint="cs"/>
          <w:rtl/>
        </w:rPr>
        <w:t xml:space="preserve"> 23</w:t>
      </w:r>
      <w:r w:rsidR="00DB731D" w:rsidRPr="00A52585">
        <w:rPr>
          <w:rFonts w:hint="cs"/>
          <w:rtl/>
        </w:rPr>
        <w:t>،</w:t>
      </w:r>
      <w:r w:rsidR="00777DCB" w:rsidRPr="00A52585">
        <w:rPr>
          <w:rFonts w:hint="cs"/>
          <w:rtl/>
        </w:rPr>
        <w:t xml:space="preserve"> فكرَّر هذا الاسم وتعقَّلَ معناه فقال</w:t>
      </w:r>
      <w:r w:rsidRPr="00A52585">
        <w:rPr>
          <w:rFonts w:hint="cs"/>
          <w:rtl/>
        </w:rPr>
        <w:t>:</w:t>
      </w:r>
      <w:r w:rsidR="00777DCB" w:rsidRPr="00A52585">
        <w:rPr>
          <w:rFonts w:hint="cs"/>
          <w:rtl/>
        </w:rPr>
        <w:t xml:space="preserve"> والله إنا لفي ضلال بين</w:t>
      </w:r>
      <w:r w:rsidR="00DB731D" w:rsidRPr="00A52585">
        <w:rPr>
          <w:rFonts w:hint="cs"/>
          <w:rtl/>
        </w:rPr>
        <w:t>،</w:t>
      </w:r>
      <w:r w:rsidR="00777DCB" w:rsidRPr="00A52585">
        <w:rPr>
          <w:rFonts w:hint="cs"/>
          <w:rtl/>
        </w:rPr>
        <w:t xml:space="preserve"> فبادر في الحال وأتي بالشهادتين. وقال</w:t>
      </w:r>
      <w:r w:rsidRPr="00A52585">
        <w:rPr>
          <w:rFonts w:hint="cs"/>
          <w:rtl/>
        </w:rPr>
        <w:t>:</w:t>
      </w:r>
      <w:r w:rsidR="00777DCB" w:rsidRPr="00A52585">
        <w:rPr>
          <w:rFonts w:hint="cs"/>
          <w:rtl/>
        </w:rPr>
        <w:t xml:space="preserve"> والله لا يخلصني إلا استئناف العمل</w:t>
      </w:r>
      <w:r w:rsidR="00DB731D" w:rsidRPr="00A52585">
        <w:rPr>
          <w:rFonts w:hint="cs"/>
          <w:rtl/>
        </w:rPr>
        <w:t>،</w:t>
      </w:r>
      <w:r w:rsidR="00777DCB" w:rsidRPr="00A52585">
        <w:rPr>
          <w:rFonts w:hint="cs"/>
          <w:rtl/>
        </w:rPr>
        <w:t xml:space="preserve"> فانظر أرشدك الله تعالى إلى بركة تكرير هذا الاسم العظيم في حق أهل التنزيه والتشبيه والله أعلم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ويتضح</w:t>
      </w:r>
      <w:r w:rsidRPr="00A52585">
        <w:rPr>
          <w:rFonts w:hint="cs"/>
          <w:sz w:val="24"/>
          <w:szCs w:val="24"/>
          <w:rtl/>
        </w:rPr>
        <w:t xml:space="preserve"> </w:t>
      </w:r>
      <w:r w:rsidR="00777DCB" w:rsidRPr="00A52585">
        <w:rPr>
          <w:rFonts w:hint="cs"/>
          <w:sz w:val="24"/>
          <w:szCs w:val="24"/>
          <w:rtl/>
        </w:rPr>
        <w:t>مما سبق أنه لكي يصير قلب المؤمن فارقا بين الحق والباطل فيما يشتبه عليه من أمور دينه ودنياه فإن الواجب عليه</w:t>
      </w:r>
      <w:r w:rsidRPr="00A52585">
        <w:rPr>
          <w:rFonts w:hint="cs"/>
          <w:sz w:val="24"/>
          <w:szCs w:val="24"/>
          <w:rtl/>
        </w:rPr>
        <w:t>:</w:t>
      </w:r>
      <w:r w:rsidR="00777DCB" w:rsidRPr="00A52585">
        <w:rPr>
          <w:rFonts w:hint="cs"/>
          <w:sz w:val="24"/>
          <w:szCs w:val="24"/>
          <w:rtl/>
        </w:rPr>
        <w:t xml:space="preserve"> أولاً</w:t>
      </w:r>
      <w:r w:rsidRPr="00A52585">
        <w:rPr>
          <w:rFonts w:hint="cs"/>
          <w:sz w:val="24"/>
          <w:szCs w:val="24"/>
          <w:rtl/>
        </w:rPr>
        <w:t>:</w:t>
      </w:r>
      <w:r w:rsidR="00777DCB" w:rsidRPr="00A52585">
        <w:rPr>
          <w:rFonts w:hint="cs"/>
          <w:sz w:val="24"/>
          <w:szCs w:val="24"/>
          <w:rtl/>
        </w:rPr>
        <w:t xml:space="preserve"> مداومة التوبة والاستغفار تطهيرًا لقلبه عن أدناس المعصية أخرج مسلم في صحيحه</w:t>
      </w:r>
      <w:r w:rsidRPr="00A52585">
        <w:rPr>
          <w:rFonts w:hint="cs"/>
          <w:sz w:val="24"/>
          <w:szCs w:val="24"/>
          <w:rtl/>
        </w:rPr>
        <w:t xml:space="preserve"> </w:t>
      </w:r>
      <w:r w:rsidR="00777DCB" w:rsidRPr="00A52585">
        <w:rPr>
          <w:rFonts w:hint="cs"/>
          <w:sz w:val="24"/>
          <w:szCs w:val="24"/>
          <w:rtl/>
        </w:rPr>
        <w:t>"إنه ليغان على قلبي حتى استغفر الله في اليوم مائة مرة "</w:t>
      </w:r>
      <w:r w:rsidRPr="00A52585">
        <w:rPr>
          <w:rFonts w:hint="cs"/>
          <w:sz w:val="24"/>
          <w:szCs w:val="24"/>
          <w:rtl/>
        </w:rPr>
        <w:t xml:space="preserve"> </w:t>
      </w:r>
      <w:r w:rsidR="00777DCB" w:rsidRPr="00A52585">
        <w:rPr>
          <w:rFonts w:hint="cs"/>
          <w:sz w:val="24"/>
          <w:szCs w:val="24"/>
          <w:rtl/>
        </w:rPr>
        <w:t>وفي رواية</w:t>
      </w:r>
      <w:r w:rsidRPr="00A52585">
        <w:rPr>
          <w:rFonts w:hint="cs"/>
          <w:sz w:val="24"/>
          <w:szCs w:val="24"/>
          <w:rtl/>
        </w:rPr>
        <w:t xml:space="preserve"> </w:t>
      </w:r>
      <w:r w:rsidR="00777DCB" w:rsidRPr="00A52585">
        <w:rPr>
          <w:rFonts w:hint="cs"/>
          <w:sz w:val="24"/>
          <w:szCs w:val="24"/>
          <w:rtl/>
        </w:rPr>
        <w:t>" توبوا إلى ربكم فوالله إني لأتوب إلى ربي تبارك وتعالى مائة مرة في اليوم "</w:t>
      </w:r>
      <w:r w:rsidR="00DB731D" w:rsidRPr="00A52585">
        <w:rPr>
          <w:rFonts w:hint="cs"/>
          <w:sz w:val="24"/>
          <w:szCs w:val="24"/>
          <w:rtl/>
        </w:rPr>
        <w:t>،</w:t>
      </w:r>
      <w:r w:rsidR="00777DCB" w:rsidRPr="00A52585">
        <w:rPr>
          <w:rFonts w:hint="cs"/>
          <w:sz w:val="24"/>
          <w:szCs w:val="24"/>
          <w:rtl/>
        </w:rPr>
        <w:t xml:space="preserve"> ثانياً</w:t>
      </w:r>
      <w:r w:rsidRPr="00A52585">
        <w:rPr>
          <w:rFonts w:hint="cs"/>
          <w:sz w:val="24"/>
          <w:szCs w:val="24"/>
          <w:rtl/>
        </w:rPr>
        <w:t>:</w:t>
      </w:r>
      <w:r w:rsidR="00777DCB" w:rsidRPr="00A52585">
        <w:rPr>
          <w:rFonts w:hint="cs"/>
          <w:sz w:val="24"/>
          <w:szCs w:val="24"/>
          <w:rtl/>
        </w:rPr>
        <w:t xml:space="preserve"> ملازمة التقوى كما أمر الله بها في كتابه وحقيقتها</w:t>
      </w:r>
      <w:r w:rsidRPr="00A52585">
        <w:rPr>
          <w:rFonts w:hint="cs"/>
          <w:sz w:val="24"/>
          <w:szCs w:val="24"/>
          <w:rtl/>
        </w:rPr>
        <w:t>:</w:t>
      </w:r>
      <w:r w:rsidR="00777DCB" w:rsidRPr="00A52585">
        <w:rPr>
          <w:rFonts w:hint="cs"/>
          <w:sz w:val="24"/>
          <w:szCs w:val="24"/>
          <w:rtl/>
        </w:rPr>
        <w:t xml:space="preserve"> التحرز بطاعة الله عن عقوبته، وأصلها</w:t>
      </w:r>
      <w:r w:rsidRPr="00A52585">
        <w:rPr>
          <w:rFonts w:hint="cs"/>
          <w:sz w:val="24"/>
          <w:szCs w:val="24"/>
          <w:rtl/>
        </w:rPr>
        <w:t>:</w:t>
      </w:r>
      <w:r w:rsidR="00777DCB" w:rsidRPr="00A52585">
        <w:rPr>
          <w:rFonts w:hint="cs"/>
          <w:sz w:val="24"/>
          <w:szCs w:val="24"/>
          <w:rtl/>
        </w:rPr>
        <w:t xml:space="preserve"> اتقاء الشرك ثم بعده اتقاء المعاصي والسيئات ثم بعده اتقاء الشبهات (انظر الرسالة القشيرية 1/306) وعن ضرورة التقوى يقول حجة الإسلام الغزالي</w:t>
      </w:r>
      <w:r w:rsidRPr="00A52585">
        <w:rPr>
          <w:rFonts w:hint="cs"/>
          <w:sz w:val="24"/>
          <w:szCs w:val="24"/>
          <w:rtl/>
        </w:rPr>
        <w:t xml:space="preserve">: </w:t>
      </w:r>
      <w:r w:rsidR="00777DCB" w:rsidRPr="00A52585">
        <w:rPr>
          <w:rFonts w:hint="cs"/>
          <w:sz w:val="24"/>
          <w:szCs w:val="24"/>
          <w:rtl/>
        </w:rPr>
        <w:t xml:space="preserve">" قال الله تعالى </w:t>
      </w:r>
      <w:r w:rsidRPr="00A52585">
        <w:rPr>
          <w:rFonts w:hint="cs"/>
          <w:sz w:val="24"/>
          <w:szCs w:val="24"/>
          <w:rtl/>
        </w:rPr>
        <w:t>{</w:t>
      </w:r>
      <w:r w:rsidR="00777DCB" w:rsidRPr="00A52585">
        <w:rPr>
          <w:rFonts w:hint="cs"/>
          <w:sz w:val="24"/>
          <w:szCs w:val="24"/>
          <w:rtl/>
        </w:rPr>
        <w:t>إن الذين اتقوا إذا مسهم طائف من الشيطان تذكروا فإذا هم مبصرون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الآية201من سورة الأعراف</w:t>
      </w:r>
      <w:r w:rsidRPr="00A52585">
        <w:rPr>
          <w:rFonts w:hint="cs"/>
          <w:sz w:val="24"/>
          <w:szCs w:val="24"/>
          <w:rtl/>
        </w:rPr>
        <w:t>]</w:t>
      </w:r>
      <w:r w:rsidR="00777DCB" w:rsidRPr="00A52585">
        <w:rPr>
          <w:rFonts w:hint="cs"/>
          <w:sz w:val="24"/>
          <w:szCs w:val="24"/>
          <w:rtl/>
        </w:rPr>
        <w:t xml:space="preserve"> فأخبر أن جلاء القلب وإبصاره يحصل بالذكر وأنه لا يتمكن منه إلا الذين اتقوا</w:t>
      </w:r>
      <w:r w:rsidR="00DB731D" w:rsidRPr="00A52585">
        <w:rPr>
          <w:rFonts w:hint="cs"/>
          <w:sz w:val="24"/>
          <w:szCs w:val="24"/>
          <w:rtl/>
        </w:rPr>
        <w:t>،</w:t>
      </w:r>
      <w:r w:rsidR="00777DCB" w:rsidRPr="00A52585">
        <w:rPr>
          <w:rFonts w:hint="cs"/>
          <w:sz w:val="24"/>
          <w:szCs w:val="24"/>
          <w:rtl/>
        </w:rPr>
        <w:t xml:space="preserve"> فالتقوى باب الذكر والذكر باب الكشف والكشف باب الفوز الأكبر وهو الفوز بلقاء الله تعالى "</w:t>
      </w:r>
      <w:r w:rsidRPr="00A52585">
        <w:rPr>
          <w:rFonts w:hint="cs"/>
          <w:sz w:val="24"/>
          <w:szCs w:val="24"/>
          <w:rtl/>
        </w:rPr>
        <w:t xml:space="preserve"> </w:t>
      </w:r>
      <w:r w:rsidR="00777DCB" w:rsidRPr="00A52585">
        <w:rPr>
          <w:rFonts w:hint="cs"/>
          <w:sz w:val="24"/>
          <w:szCs w:val="24"/>
          <w:rtl/>
        </w:rPr>
        <w:t>أهـ الإحياء مع شرحه الإتحاف ج8 ص 421ط العلمية</w:t>
      </w:r>
      <w:r w:rsidR="00DB731D" w:rsidRPr="00A52585">
        <w:rPr>
          <w:rFonts w:hint="cs"/>
          <w:sz w:val="24"/>
          <w:szCs w:val="24"/>
          <w:rtl/>
        </w:rPr>
        <w:t>،</w:t>
      </w:r>
      <w:r w:rsidR="00777DCB" w:rsidRPr="00A52585">
        <w:rPr>
          <w:rFonts w:hint="cs"/>
          <w:sz w:val="24"/>
          <w:szCs w:val="24"/>
          <w:rtl/>
        </w:rPr>
        <w:t xml:space="preserve"> ويقول الإمام الرباني في المكتوب (190) من الجزء الأول</w:t>
      </w:r>
      <w:r w:rsidRPr="00A52585">
        <w:rPr>
          <w:rFonts w:hint="cs"/>
          <w:sz w:val="24"/>
          <w:szCs w:val="24"/>
          <w:rtl/>
        </w:rPr>
        <w:t xml:space="preserve">: </w:t>
      </w:r>
      <w:r w:rsidR="00777DCB" w:rsidRPr="00A52585">
        <w:rPr>
          <w:rFonts w:hint="cs"/>
          <w:sz w:val="24"/>
          <w:szCs w:val="24"/>
          <w:rtl/>
        </w:rPr>
        <w:t xml:space="preserve">" واعلم أن نفع </w:t>
      </w:r>
      <w:r w:rsidR="00777DCB" w:rsidRPr="00A52585">
        <w:rPr>
          <w:rFonts w:hint="cs"/>
          <w:spacing w:val="-20"/>
          <w:sz w:val="24"/>
          <w:szCs w:val="24"/>
          <w:rtl/>
        </w:rPr>
        <w:t>الذكر وترتب</w:t>
      </w:r>
      <w:r w:rsidR="00777DCB" w:rsidRPr="00A52585">
        <w:rPr>
          <w:rFonts w:hint="cs"/>
          <w:sz w:val="24"/>
          <w:szCs w:val="24"/>
          <w:rtl/>
        </w:rPr>
        <w:t xml:space="preserve"> الأثر عليه مربوط بإتيان أحكام الشريعة فينبغي حسن الاحتياط في أداء الفرائض والسنن واجتناب المحرم والمشتبه والرجوع إلى العلماء في </w:t>
      </w:r>
      <w:r w:rsidR="00777DCB" w:rsidRPr="00A52585">
        <w:rPr>
          <w:rFonts w:hint="cs"/>
          <w:spacing w:val="-20"/>
          <w:sz w:val="24"/>
          <w:szCs w:val="24"/>
          <w:rtl/>
        </w:rPr>
        <w:t>القليل والكثير والعمل</w:t>
      </w:r>
      <w:r w:rsidR="00777DCB" w:rsidRPr="00A52585">
        <w:rPr>
          <w:rFonts w:hint="cs"/>
          <w:sz w:val="24"/>
          <w:szCs w:val="24"/>
          <w:rtl/>
        </w:rPr>
        <w:t xml:space="preserve"> بمقتضى فتواهم "</w:t>
      </w:r>
      <w:r w:rsidRPr="00A52585">
        <w:rPr>
          <w:rFonts w:hint="cs"/>
          <w:sz w:val="24"/>
          <w:szCs w:val="24"/>
          <w:rtl/>
        </w:rPr>
        <w:t xml:space="preserve"> </w:t>
      </w:r>
      <w:r w:rsidR="00777DCB" w:rsidRPr="00A52585">
        <w:rPr>
          <w:rFonts w:hint="cs"/>
          <w:sz w:val="24"/>
          <w:szCs w:val="24"/>
          <w:rtl/>
        </w:rPr>
        <w:t>أهـ المكتوبات 1/ 162</w:t>
      </w:r>
      <w:r w:rsidR="00DB731D" w:rsidRPr="00A52585">
        <w:rPr>
          <w:rFonts w:hint="cs"/>
          <w:sz w:val="24"/>
          <w:szCs w:val="24"/>
          <w:rtl/>
        </w:rPr>
        <w:t>،</w:t>
      </w:r>
      <w:r w:rsidR="00777DCB" w:rsidRPr="00A52585">
        <w:rPr>
          <w:rFonts w:hint="cs"/>
          <w:sz w:val="24"/>
          <w:szCs w:val="24"/>
          <w:rtl/>
        </w:rPr>
        <w:t xml:space="preserve"> ثالثاً</w:t>
      </w:r>
      <w:r w:rsidRPr="00A52585">
        <w:rPr>
          <w:rFonts w:hint="cs"/>
          <w:sz w:val="24"/>
          <w:szCs w:val="24"/>
          <w:rtl/>
        </w:rPr>
        <w:t>:</w:t>
      </w:r>
      <w:r w:rsidR="00777DCB" w:rsidRPr="00A52585">
        <w:rPr>
          <w:rFonts w:hint="cs"/>
          <w:sz w:val="24"/>
          <w:szCs w:val="24"/>
          <w:rtl/>
        </w:rPr>
        <w:t xml:space="preserve"> الاشتغال بالذكر والفكر كما مرَّ وبعد تحقيق شروط صحته من تطهير القلب وتزكيته واختيار الذكر المطلوب لحالته كما علمتنا السنة النبوية وكما نص عليه أهل هذا العلم</w:t>
      </w:r>
      <w:r w:rsidR="00DB731D" w:rsidRPr="00A52585">
        <w:rPr>
          <w:rFonts w:hint="cs"/>
          <w:sz w:val="24"/>
          <w:szCs w:val="24"/>
          <w:rtl/>
        </w:rPr>
        <w:t>،</w:t>
      </w:r>
      <w:r w:rsidR="00777DCB" w:rsidRPr="00A52585">
        <w:rPr>
          <w:rFonts w:hint="cs"/>
          <w:sz w:val="24"/>
          <w:szCs w:val="24"/>
          <w:rtl/>
        </w:rPr>
        <w:t xml:space="preserve"> يقول الأستاذ/ محمود الغراب في تفسير الآية الكريمة </w:t>
      </w:r>
      <w:r w:rsidRPr="00A52585">
        <w:rPr>
          <w:rFonts w:hint="cs"/>
          <w:sz w:val="24"/>
          <w:szCs w:val="24"/>
          <w:rtl/>
        </w:rPr>
        <w:t>{</w:t>
      </w:r>
      <w:r w:rsidR="00777DCB" w:rsidRPr="00A52585">
        <w:rPr>
          <w:rFonts w:hint="cs"/>
          <w:sz w:val="24"/>
          <w:szCs w:val="24"/>
          <w:rtl/>
        </w:rPr>
        <w:t>ولله الأسماء الحسنى فادعوه بها</w:t>
      </w:r>
      <w:r w:rsidRPr="00A52585">
        <w:rPr>
          <w:rFonts w:hint="cs"/>
          <w:sz w:val="24"/>
          <w:szCs w:val="24"/>
          <w:rtl/>
        </w:rPr>
        <w:t>}</w:t>
      </w:r>
      <w:r w:rsidR="00777DCB" w:rsidRPr="00A52585">
        <w:rPr>
          <w:rFonts w:hint="cs"/>
          <w:sz w:val="24"/>
          <w:szCs w:val="24"/>
          <w:rtl/>
        </w:rPr>
        <w:t xml:space="preserve"> الآية</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(فادعوه بها) فإذا دعوته باسم منها تجلى مجيبا لك في عين ذلك الاسم"</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"فمن أراد الإجابة من الله فلا يسأله إلا بالاسم الخاص بذلك الأمر ولا يسأل باسم يتضمن ما يريده وغيره ولا يسأل بالاسم من حيث دلالته على ذات المسمى ولكن يسأل من حيث المعنى الذي هو عليه الذي جاء لأجله وتميز به عن غيره من الأسماء تميز معنى لا تميز لفظ</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وذروا الذين يلحدون في أسمائه</w:t>
      </w:r>
      <w:r w:rsidRPr="00A52585">
        <w:rPr>
          <w:rFonts w:hint="cs"/>
          <w:sz w:val="24"/>
          <w:szCs w:val="24"/>
          <w:rtl/>
        </w:rPr>
        <w:t>}</w:t>
      </w:r>
      <w:r w:rsidR="00777DCB" w:rsidRPr="00A52585">
        <w:rPr>
          <w:rFonts w:hint="cs"/>
          <w:sz w:val="24"/>
          <w:szCs w:val="24"/>
          <w:rtl/>
        </w:rPr>
        <w:t xml:space="preserve"> أي</w:t>
      </w:r>
      <w:r w:rsidR="00DB731D" w:rsidRPr="00A52585">
        <w:rPr>
          <w:rFonts w:hint="cs"/>
          <w:sz w:val="24"/>
          <w:szCs w:val="24"/>
          <w:rtl/>
        </w:rPr>
        <w:t>،</w:t>
      </w:r>
      <w:r w:rsidR="00777DCB" w:rsidRPr="00A52585">
        <w:rPr>
          <w:rFonts w:hint="cs"/>
          <w:sz w:val="24"/>
          <w:szCs w:val="24"/>
          <w:rtl/>
        </w:rPr>
        <w:t xml:space="preserve"> الوجه الثاني</w:t>
      </w:r>
      <w:r w:rsidRPr="00A52585">
        <w:rPr>
          <w:rFonts w:hint="cs"/>
          <w:sz w:val="24"/>
          <w:szCs w:val="24"/>
          <w:rtl/>
        </w:rPr>
        <w:t>:</w:t>
      </w:r>
      <w:r w:rsidR="00777DCB" w:rsidRPr="00A52585">
        <w:rPr>
          <w:rFonts w:hint="cs"/>
          <w:sz w:val="24"/>
          <w:szCs w:val="24"/>
          <w:rtl/>
        </w:rPr>
        <w:t xml:space="preserve"> هم يميلون عن أسمائه لا بل يميلون في أسمائه إلى غير الوجه الذي قصد بها "</w:t>
      </w:r>
      <w:r w:rsidRPr="00A52585">
        <w:rPr>
          <w:rFonts w:hint="cs"/>
          <w:sz w:val="24"/>
          <w:szCs w:val="24"/>
          <w:rtl/>
        </w:rPr>
        <w:t xml:space="preserve"> </w:t>
      </w:r>
      <w:r w:rsidR="00777DCB" w:rsidRPr="00A52585">
        <w:rPr>
          <w:rFonts w:hint="cs"/>
          <w:sz w:val="24"/>
          <w:szCs w:val="24"/>
          <w:rtl/>
        </w:rPr>
        <w:t>أهـ انظر (رحمة من الرحمن) ج2 ص 202-203</w:t>
      </w:r>
      <w:r w:rsidR="00DB731D" w:rsidRPr="00A52585">
        <w:rPr>
          <w:rFonts w:hint="cs"/>
          <w:sz w:val="24"/>
          <w:szCs w:val="24"/>
          <w:rtl/>
        </w:rPr>
        <w:t>،</w:t>
      </w:r>
      <w:r w:rsidR="00777DCB" w:rsidRPr="00A52585">
        <w:rPr>
          <w:rFonts w:hint="cs"/>
          <w:sz w:val="24"/>
          <w:szCs w:val="24"/>
          <w:rtl/>
        </w:rPr>
        <w:t xml:space="preserve"> فهذا هو التعرض لنفحات رحمة الله الذي أمرنا به سيدنا رسول الله صلى الله عليه وسلم حين قال</w:t>
      </w:r>
      <w:r w:rsidRPr="00A52585">
        <w:rPr>
          <w:rFonts w:hint="cs"/>
          <w:sz w:val="24"/>
          <w:szCs w:val="24"/>
          <w:rtl/>
        </w:rPr>
        <w:t xml:space="preserve">: </w:t>
      </w:r>
      <w:r w:rsidR="00777DCB" w:rsidRPr="00A52585">
        <w:rPr>
          <w:rFonts w:hint="cs"/>
          <w:sz w:val="24"/>
          <w:szCs w:val="24"/>
          <w:rtl/>
        </w:rPr>
        <w:t>" إن لربكم في أيام دهركم نفحات فتعرضوا لها لعل أن يصيبكم نفحة منها فلا تشقون بعدها أبداً "</w:t>
      </w:r>
      <w:r w:rsidRPr="00A52585">
        <w:rPr>
          <w:rFonts w:hint="cs"/>
          <w:sz w:val="24"/>
          <w:szCs w:val="24"/>
          <w:rtl/>
        </w:rPr>
        <w:t xml:space="preserve"> </w:t>
      </w:r>
      <w:r w:rsidR="00777DCB" w:rsidRPr="00A52585">
        <w:rPr>
          <w:rFonts w:hint="cs"/>
          <w:sz w:val="24"/>
          <w:szCs w:val="24"/>
          <w:rtl/>
        </w:rPr>
        <w:t>رواه أربعة من الصحابة بأسانيد متعددة، وأول هذه النفحات إشراق نور البصيرة في القلب قال صلى الله عليه وسلم</w:t>
      </w:r>
      <w:r w:rsidRPr="00A52585">
        <w:rPr>
          <w:rFonts w:hint="cs"/>
          <w:sz w:val="24"/>
          <w:szCs w:val="24"/>
          <w:rtl/>
        </w:rPr>
        <w:t xml:space="preserve">: </w:t>
      </w:r>
      <w:r w:rsidR="00777DCB" w:rsidRPr="00A52585">
        <w:rPr>
          <w:rFonts w:hint="cs"/>
          <w:sz w:val="24"/>
          <w:szCs w:val="24"/>
          <w:rtl/>
        </w:rPr>
        <w:t xml:space="preserve">" اتَّقُوا فِراسة المؤمن فإنه </w:t>
      </w:r>
      <w:r w:rsidR="00777DCB" w:rsidRPr="00A52585">
        <w:rPr>
          <w:rFonts w:hint="cs"/>
          <w:sz w:val="24"/>
          <w:szCs w:val="24"/>
          <w:rtl/>
        </w:rPr>
        <w:lastRenderedPageBreak/>
        <w:t>ينظر بنور الله عز وجل "</w:t>
      </w:r>
      <w:r w:rsidRPr="00A52585">
        <w:rPr>
          <w:rFonts w:hint="cs"/>
          <w:sz w:val="24"/>
          <w:szCs w:val="24"/>
          <w:rtl/>
        </w:rPr>
        <w:t xml:space="preserve"> </w:t>
      </w:r>
      <w:r w:rsidR="00777DCB" w:rsidRPr="00A52585">
        <w:rPr>
          <w:rFonts w:hint="cs"/>
          <w:sz w:val="24"/>
          <w:szCs w:val="24"/>
          <w:rtl/>
        </w:rPr>
        <w:t>حديث صحيح لغيره رواه الترمذي وغيره (انظر بشارة المؤمن للشيخ محمود سعيد)</w:t>
      </w:r>
      <w:r w:rsidR="00DB731D" w:rsidRPr="00A52585">
        <w:rPr>
          <w:rFonts w:hint="cs"/>
          <w:sz w:val="24"/>
          <w:szCs w:val="24"/>
          <w:rtl/>
        </w:rPr>
        <w:t>،</w:t>
      </w:r>
      <w:r w:rsidR="00777DCB" w:rsidRPr="00A52585">
        <w:rPr>
          <w:rFonts w:hint="cs"/>
          <w:sz w:val="24"/>
          <w:szCs w:val="24"/>
          <w:rtl/>
        </w:rPr>
        <w:t xml:space="preserve"> وهذه البصيرة أو المعارف الإلهية بحسب الموضوع الذي تتعلق به على أنواع منها</w:t>
      </w:r>
      <w:r w:rsidRPr="00A52585">
        <w:rPr>
          <w:rFonts w:hint="cs"/>
          <w:sz w:val="24"/>
          <w:szCs w:val="24"/>
          <w:rtl/>
        </w:rPr>
        <w:t>:</w:t>
      </w:r>
      <w:r w:rsidR="00777DCB" w:rsidRPr="00A52585">
        <w:rPr>
          <w:rFonts w:hint="cs"/>
          <w:sz w:val="24"/>
          <w:szCs w:val="24"/>
          <w:rtl/>
        </w:rPr>
        <w:t xml:space="preserve"> ما يكون القلب مصدره الوحيد كالإلهام الواقع لبعض الصحابة وسبق الإشارة إليه من إخبار ببعض مغيبات وما إلى ذلك</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منها</w:t>
      </w:r>
      <w:r w:rsidRPr="00A52585">
        <w:rPr>
          <w:rFonts w:hint="cs"/>
          <w:spacing w:val="-6"/>
          <w:sz w:val="24"/>
          <w:szCs w:val="24"/>
          <w:rtl/>
        </w:rPr>
        <w:t>:</w:t>
      </w:r>
      <w:r w:rsidR="00777DCB" w:rsidRPr="00A52585">
        <w:rPr>
          <w:rFonts w:hint="cs"/>
          <w:spacing w:val="-6"/>
          <w:sz w:val="24"/>
          <w:szCs w:val="24"/>
          <w:rtl/>
        </w:rPr>
        <w:t xml:space="preserve"> وهو ما نحن بصدده من بيان وجه الصواب في الأمور المشتبهات وعند الشك في صواب الأمر أو خطئه من مسائل الدين أو الدنيا وحسبك فيه تعليم النبي عليه السلام أمته الاستخارة</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يقول حجة الإسلام الغزالي في شرحه لأقسام العلم الباطن</w:t>
      </w:r>
      <w:r w:rsidRPr="00A52585">
        <w:rPr>
          <w:rFonts w:hint="cs"/>
          <w:sz w:val="24"/>
          <w:szCs w:val="24"/>
          <w:rtl/>
        </w:rPr>
        <w:t xml:space="preserve">: </w:t>
      </w:r>
      <w:r w:rsidR="00777DCB" w:rsidRPr="00A52585">
        <w:rPr>
          <w:rFonts w:hint="cs"/>
          <w:sz w:val="24"/>
          <w:szCs w:val="24"/>
          <w:rtl/>
        </w:rPr>
        <w:t>" القسم الرابع</w:t>
      </w:r>
      <w:r w:rsidRPr="00A52585">
        <w:rPr>
          <w:rFonts w:hint="cs"/>
          <w:sz w:val="24"/>
          <w:szCs w:val="24"/>
          <w:rtl/>
        </w:rPr>
        <w:t>:</w:t>
      </w:r>
      <w:r w:rsidR="00777DCB" w:rsidRPr="00A52585">
        <w:rPr>
          <w:rFonts w:hint="cs"/>
          <w:sz w:val="24"/>
          <w:szCs w:val="24"/>
          <w:rtl/>
        </w:rPr>
        <w:t xml:space="preserve"> أن يدرك الإنسان الشيء جملة ثم يدركه تفصيلا بالتحقيق والذوق بأن يصير حالاً ملابساً له فيتفاوت العلمان، ويكون الأول كالقشر والثاني كاللباب، والأول كالظاهر والثاني كالباطن وذلك كما يتمثل للإنسان في عينه شخص في الظلمة أو على البعد فيحصل له نوع علم، فإذا رآه بالقرب أو بعد زوال الظلام أدرك تفرقة بينهما ولا يكون الأخير ضد الأول بل هو استكمال له</w:t>
      </w:r>
      <w:r w:rsidR="00DB731D"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وكذلك من علوم الدين ما يصير ذوقا فيكمل فيكون ذلك كالباطن بالإضافة إلى ما قبل ذلك "</w:t>
      </w:r>
      <w:r w:rsidRPr="00A52585">
        <w:rPr>
          <w:rFonts w:hint="cs"/>
          <w:sz w:val="24"/>
          <w:szCs w:val="24"/>
          <w:rtl/>
        </w:rPr>
        <w:t xml:space="preserve"> </w:t>
      </w:r>
      <w:r w:rsidR="00777DCB" w:rsidRPr="00A52585">
        <w:rPr>
          <w:rFonts w:hint="cs"/>
          <w:sz w:val="24"/>
          <w:szCs w:val="24"/>
          <w:rtl/>
        </w:rPr>
        <w:t>أهـ الإحياء مع شرحه الإتحاف 2/125-126</w:t>
      </w:r>
      <w:r w:rsidR="00DB731D" w:rsidRPr="00A52585">
        <w:rPr>
          <w:rFonts w:hint="cs"/>
          <w:sz w:val="24"/>
          <w:szCs w:val="24"/>
          <w:rtl/>
        </w:rPr>
        <w:t>،</w:t>
      </w:r>
      <w:r w:rsidR="00777DCB" w:rsidRPr="00A52585">
        <w:rPr>
          <w:rFonts w:hint="cs"/>
          <w:sz w:val="24"/>
          <w:szCs w:val="24"/>
          <w:rtl/>
        </w:rPr>
        <w:t xml:space="preserve"> أي أن علوم القلب لا تضاد علوم العقل بل تكملها وقد أقر الشرع الحكيم علوم القلب هذه واعتمدها كوسيلة من وسائل المعرفة والإدراك عند أصحابها على الأقل </w:t>
      </w:r>
      <w:proofErr w:type="spellStart"/>
      <w:r w:rsidR="00777DCB" w:rsidRPr="00A52585">
        <w:rPr>
          <w:rFonts w:hint="cs"/>
          <w:sz w:val="24"/>
          <w:szCs w:val="24"/>
          <w:rtl/>
        </w:rPr>
        <w:t>وهاهي</w:t>
      </w:r>
      <w:proofErr w:type="spellEnd"/>
      <w:r w:rsidR="00777DCB" w:rsidRPr="00A52585">
        <w:rPr>
          <w:rFonts w:hint="cs"/>
          <w:sz w:val="24"/>
          <w:szCs w:val="24"/>
          <w:rtl/>
        </w:rPr>
        <w:t xml:space="preserve"> بعض الأحاديث الدالة على ذلك</w:t>
      </w:r>
      <w:r w:rsidRPr="00A52585">
        <w:rPr>
          <w:rFonts w:hint="cs"/>
          <w:sz w:val="24"/>
          <w:szCs w:val="24"/>
          <w:rtl/>
        </w:rPr>
        <w:t xml:space="preserve">: </w:t>
      </w:r>
      <w:r w:rsidR="00777DCB" w:rsidRPr="00A52585">
        <w:rPr>
          <w:rFonts w:hint="cs"/>
          <w:sz w:val="24"/>
          <w:szCs w:val="24"/>
          <w:rtl/>
        </w:rPr>
        <w:t>1- عن النواس بن سمعان الأنصاري قال</w:t>
      </w:r>
      <w:r w:rsidRPr="00A52585">
        <w:rPr>
          <w:rFonts w:hint="cs"/>
          <w:sz w:val="24"/>
          <w:szCs w:val="24"/>
          <w:rtl/>
        </w:rPr>
        <w:t>:</w:t>
      </w:r>
      <w:r w:rsidR="00777DCB" w:rsidRPr="00A52585">
        <w:rPr>
          <w:rFonts w:hint="cs"/>
          <w:sz w:val="24"/>
          <w:szCs w:val="24"/>
          <w:rtl/>
        </w:rPr>
        <w:t xml:space="preserve"> سألت رسول الله صلى الله عليه وسلم عن البرِّ والإثم فقال</w:t>
      </w:r>
      <w:r w:rsidRPr="00A52585">
        <w:rPr>
          <w:rFonts w:hint="cs"/>
          <w:sz w:val="24"/>
          <w:szCs w:val="24"/>
          <w:rtl/>
        </w:rPr>
        <w:t xml:space="preserve">: </w:t>
      </w:r>
      <w:r w:rsidR="00777DCB" w:rsidRPr="00A52585">
        <w:rPr>
          <w:rFonts w:hint="cs"/>
          <w:sz w:val="24"/>
          <w:szCs w:val="24"/>
          <w:rtl/>
        </w:rPr>
        <w:t>" البرُّ حسن الخلق، والإثم ما حاك في صدرك وكرهت أن يطلع عليه الناس"</w:t>
      </w:r>
      <w:r w:rsidRPr="00A52585">
        <w:rPr>
          <w:rFonts w:hint="cs"/>
          <w:sz w:val="24"/>
          <w:szCs w:val="24"/>
          <w:rtl/>
        </w:rPr>
        <w:t xml:space="preserve"> </w:t>
      </w:r>
      <w:r w:rsidR="00777DCB" w:rsidRPr="00A52585">
        <w:rPr>
          <w:rFonts w:hint="cs"/>
          <w:sz w:val="24"/>
          <w:szCs w:val="24"/>
          <w:rtl/>
        </w:rPr>
        <w:t>أخرجه مسلم والترمذي</w:t>
      </w:r>
      <w:r w:rsidR="00DB731D" w:rsidRPr="00A52585">
        <w:rPr>
          <w:rFonts w:hint="cs"/>
          <w:sz w:val="24"/>
          <w:szCs w:val="24"/>
          <w:rtl/>
        </w:rPr>
        <w:t>،</w:t>
      </w:r>
      <w:r w:rsidR="00777DCB" w:rsidRPr="00A52585">
        <w:rPr>
          <w:rFonts w:hint="cs"/>
          <w:sz w:val="24"/>
          <w:szCs w:val="24"/>
          <w:rtl/>
        </w:rPr>
        <w:t xml:space="preserve"> يقول النووي (حاك في صدرك) أي تحرك فيه وتردد ولم ينشرح له الصدر وحصل في القلب منه الشك وخوف كونه ذنبا</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روى أبو الحوراء السعدي ربيعة بن شيبان قال</w:t>
      </w:r>
      <w:r w:rsidRPr="00A52585">
        <w:rPr>
          <w:rFonts w:hint="cs"/>
          <w:sz w:val="24"/>
          <w:szCs w:val="24"/>
          <w:rtl/>
        </w:rPr>
        <w:t>:</w:t>
      </w:r>
      <w:r w:rsidR="00777DCB" w:rsidRPr="00A52585">
        <w:rPr>
          <w:rFonts w:hint="cs"/>
          <w:sz w:val="24"/>
          <w:szCs w:val="24"/>
          <w:rtl/>
        </w:rPr>
        <w:t xml:space="preserve"> قلت للحسن بن على رضي الله عنهما</w:t>
      </w:r>
      <w:r w:rsidRPr="00A52585">
        <w:rPr>
          <w:rFonts w:hint="cs"/>
          <w:sz w:val="24"/>
          <w:szCs w:val="24"/>
          <w:rtl/>
        </w:rPr>
        <w:t>:</w:t>
      </w:r>
      <w:r w:rsidR="00777DCB" w:rsidRPr="00A52585">
        <w:rPr>
          <w:rFonts w:hint="cs"/>
          <w:sz w:val="24"/>
          <w:szCs w:val="24"/>
          <w:rtl/>
        </w:rPr>
        <w:t xml:space="preserve"> ما حفظت من رسول الله صلى الله عليه وسلم</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حفظت منه</w:t>
      </w:r>
      <w:r w:rsidRPr="00A52585">
        <w:rPr>
          <w:rFonts w:hint="cs"/>
          <w:sz w:val="24"/>
          <w:szCs w:val="24"/>
          <w:rtl/>
        </w:rPr>
        <w:t xml:space="preserve">: </w:t>
      </w:r>
      <w:r w:rsidR="00777DCB" w:rsidRPr="00A52585">
        <w:rPr>
          <w:rFonts w:hint="cs"/>
          <w:sz w:val="24"/>
          <w:szCs w:val="24"/>
          <w:rtl/>
        </w:rPr>
        <w:t>" دع ما يريبك إلى مالا يريبك فإن الصدق طمأنينة والكذب ريبة "</w:t>
      </w:r>
      <w:r w:rsidRPr="00A52585">
        <w:rPr>
          <w:rFonts w:hint="cs"/>
          <w:sz w:val="24"/>
          <w:szCs w:val="24"/>
          <w:rtl/>
        </w:rPr>
        <w:t xml:space="preserve"> </w:t>
      </w:r>
      <w:r w:rsidR="00777DCB" w:rsidRPr="00A52585">
        <w:rPr>
          <w:rFonts w:hint="cs"/>
          <w:sz w:val="24"/>
          <w:szCs w:val="24"/>
          <w:rtl/>
        </w:rPr>
        <w:t>أخرجه الترمذي والنسائي وأحمد بن حنبل وإسناده صحيح</w:t>
      </w:r>
      <w:r w:rsidR="00DB731D" w:rsidRPr="00A52585">
        <w:rPr>
          <w:rFonts w:hint="cs"/>
          <w:sz w:val="24"/>
          <w:szCs w:val="24"/>
          <w:rtl/>
        </w:rPr>
        <w:t>،</w:t>
      </w:r>
      <w:r w:rsidRPr="00A52585">
        <w:rPr>
          <w:rFonts w:hint="cs"/>
          <w:sz w:val="24"/>
          <w:szCs w:val="24"/>
          <w:rtl/>
        </w:rPr>
        <w:t xml:space="preserve"> </w:t>
      </w:r>
      <w:r w:rsidR="00777DCB" w:rsidRPr="00A52585">
        <w:rPr>
          <w:rFonts w:hint="cs"/>
          <w:spacing w:val="-6"/>
          <w:sz w:val="24"/>
          <w:szCs w:val="24"/>
          <w:rtl/>
        </w:rPr>
        <w:t>3- عن أبي ثعلبة الخشني قال</w:t>
      </w:r>
      <w:r w:rsidRPr="00A52585">
        <w:rPr>
          <w:rFonts w:hint="cs"/>
          <w:spacing w:val="-6"/>
          <w:sz w:val="24"/>
          <w:szCs w:val="24"/>
          <w:rtl/>
        </w:rPr>
        <w:t>:</w:t>
      </w:r>
      <w:r w:rsidR="00777DCB" w:rsidRPr="00A52585">
        <w:rPr>
          <w:rFonts w:hint="cs"/>
          <w:spacing w:val="-6"/>
          <w:sz w:val="24"/>
          <w:szCs w:val="24"/>
          <w:rtl/>
        </w:rPr>
        <w:t xml:space="preserve"> قلت يا رسول الله أخبرني بما يحل لي وما يحرم على قال</w:t>
      </w:r>
      <w:r w:rsidRPr="00A52585">
        <w:rPr>
          <w:rFonts w:hint="cs"/>
          <w:spacing w:val="-6"/>
          <w:sz w:val="24"/>
          <w:szCs w:val="24"/>
          <w:rtl/>
        </w:rPr>
        <w:t>:</w:t>
      </w:r>
      <w:r w:rsidR="00777DCB" w:rsidRPr="00A52585">
        <w:rPr>
          <w:rFonts w:hint="cs"/>
          <w:sz w:val="24"/>
          <w:szCs w:val="24"/>
          <w:rtl/>
        </w:rPr>
        <w:t xml:space="preserve"> فصعد النبي صلى الله عليه وسلم وصوب في البصر، فقال النبي صلى الله عليه وسلم</w:t>
      </w:r>
      <w:r w:rsidRPr="00A52585">
        <w:rPr>
          <w:rFonts w:hint="cs"/>
          <w:sz w:val="24"/>
          <w:szCs w:val="24"/>
          <w:rtl/>
        </w:rPr>
        <w:t xml:space="preserve">: </w:t>
      </w:r>
      <w:r w:rsidR="00777DCB" w:rsidRPr="00A52585">
        <w:rPr>
          <w:rFonts w:hint="cs"/>
          <w:sz w:val="24"/>
          <w:szCs w:val="24"/>
          <w:rtl/>
        </w:rPr>
        <w:t>" البِرُّ ما سكنت إليه النفس واطمأن إليه القلب، والإثم ما لم تسكن إليه النفس ولم يطمئن إليه القلب وإن أفتاك المُفْتُون "</w:t>
      </w:r>
      <w:r w:rsidRPr="00A52585">
        <w:rPr>
          <w:rFonts w:hint="cs"/>
          <w:sz w:val="24"/>
          <w:szCs w:val="24"/>
          <w:rtl/>
        </w:rPr>
        <w:t xml:space="preserve"> </w:t>
      </w:r>
      <w:r w:rsidR="00777DCB" w:rsidRPr="00A52585">
        <w:rPr>
          <w:rFonts w:hint="cs"/>
          <w:sz w:val="24"/>
          <w:szCs w:val="24"/>
          <w:rtl/>
        </w:rPr>
        <w:t>قال الحافظ الهيثمي</w:t>
      </w:r>
      <w:r w:rsidRPr="00A52585">
        <w:rPr>
          <w:rFonts w:hint="cs"/>
          <w:sz w:val="24"/>
          <w:szCs w:val="24"/>
          <w:rtl/>
        </w:rPr>
        <w:t xml:space="preserve"> </w:t>
      </w:r>
      <w:r w:rsidR="00777DCB" w:rsidRPr="00A52585">
        <w:rPr>
          <w:rFonts w:hint="cs"/>
          <w:sz w:val="24"/>
          <w:szCs w:val="24"/>
          <w:rtl/>
        </w:rPr>
        <w:t>"رواه أحمد والطبراني وفي الصحيح طرف من أوله ورجاله ثقات "</w:t>
      </w:r>
      <w:r w:rsidRPr="00A52585">
        <w:rPr>
          <w:rFonts w:hint="cs"/>
          <w:sz w:val="24"/>
          <w:szCs w:val="24"/>
          <w:rtl/>
        </w:rPr>
        <w:t xml:space="preserve"> </w:t>
      </w:r>
      <w:r w:rsidR="00777DCB" w:rsidRPr="00A52585">
        <w:rPr>
          <w:rFonts w:hint="cs"/>
          <w:sz w:val="24"/>
          <w:szCs w:val="24"/>
          <w:rtl/>
        </w:rPr>
        <w:t>أهـ مجمع الزوائد 1/175</w:t>
      </w:r>
      <w:r w:rsidR="00DB731D" w:rsidRPr="00A52585">
        <w:rPr>
          <w:rFonts w:hint="cs"/>
          <w:sz w:val="24"/>
          <w:szCs w:val="24"/>
          <w:rtl/>
        </w:rPr>
        <w:t>،</w:t>
      </w:r>
      <w:r w:rsidR="00777DCB" w:rsidRPr="00A52585">
        <w:rPr>
          <w:rFonts w:hint="cs"/>
          <w:sz w:val="24"/>
          <w:szCs w:val="24"/>
          <w:rtl/>
        </w:rPr>
        <w:t xml:space="preserve"> 4- وعن </w:t>
      </w:r>
      <w:proofErr w:type="spellStart"/>
      <w:r w:rsidR="00777DCB" w:rsidRPr="00A52585">
        <w:rPr>
          <w:rFonts w:hint="cs"/>
          <w:sz w:val="24"/>
          <w:szCs w:val="24"/>
          <w:rtl/>
        </w:rPr>
        <w:t>وابصة</w:t>
      </w:r>
      <w:proofErr w:type="spellEnd"/>
      <w:r w:rsidR="00777DCB" w:rsidRPr="00A52585">
        <w:rPr>
          <w:rFonts w:hint="cs"/>
          <w:sz w:val="24"/>
          <w:szCs w:val="24"/>
          <w:rtl/>
        </w:rPr>
        <w:t xml:space="preserve"> بن معبد الأسدي قال</w:t>
      </w:r>
      <w:r w:rsidRPr="00A52585">
        <w:rPr>
          <w:rFonts w:hint="cs"/>
          <w:sz w:val="24"/>
          <w:szCs w:val="24"/>
          <w:rtl/>
        </w:rPr>
        <w:t>:</w:t>
      </w:r>
      <w:r w:rsidR="00777DCB" w:rsidRPr="00A52585">
        <w:rPr>
          <w:rFonts w:hint="cs"/>
          <w:sz w:val="24"/>
          <w:szCs w:val="24"/>
          <w:rtl/>
        </w:rPr>
        <w:t xml:space="preserve"> جئت رسول الله صلى الله عليه وسلم وأنا لا أريد أن أدع من البر والإثم شيئاً إلا سألته عنه فأتيته وهو في عصابة من المسلمين حوله فجعلت أتخطاهم لأدنو منه </w:t>
      </w:r>
      <w:proofErr w:type="spellStart"/>
      <w:r w:rsidR="00777DCB" w:rsidRPr="00A52585">
        <w:rPr>
          <w:rFonts w:hint="cs"/>
          <w:sz w:val="24"/>
          <w:szCs w:val="24"/>
          <w:rtl/>
        </w:rPr>
        <w:t>فانتهرني</w:t>
      </w:r>
      <w:proofErr w:type="spellEnd"/>
      <w:r w:rsidR="00777DCB" w:rsidRPr="00A52585">
        <w:rPr>
          <w:rFonts w:hint="cs"/>
          <w:sz w:val="24"/>
          <w:szCs w:val="24"/>
          <w:rtl/>
        </w:rPr>
        <w:t xml:space="preserve"> بعضهم فقال</w:t>
      </w:r>
      <w:r w:rsidRPr="00A52585">
        <w:rPr>
          <w:rFonts w:hint="cs"/>
          <w:sz w:val="24"/>
          <w:szCs w:val="24"/>
          <w:rtl/>
        </w:rPr>
        <w:t>:</w:t>
      </w:r>
      <w:r w:rsidR="00777DCB" w:rsidRPr="00A52585">
        <w:rPr>
          <w:rFonts w:hint="cs"/>
          <w:sz w:val="24"/>
          <w:szCs w:val="24"/>
          <w:rtl/>
        </w:rPr>
        <w:t xml:space="preserve"> إليك يا </w:t>
      </w:r>
      <w:proofErr w:type="spellStart"/>
      <w:r w:rsidR="00777DCB" w:rsidRPr="00A52585">
        <w:rPr>
          <w:rFonts w:hint="cs"/>
          <w:sz w:val="24"/>
          <w:szCs w:val="24"/>
          <w:rtl/>
        </w:rPr>
        <w:t>وابصة</w:t>
      </w:r>
      <w:proofErr w:type="spellEnd"/>
      <w:r w:rsidR="00777DCB" w:rsidRPr="00A52585">
        <w:rPr>
          <w:rFonts w:hint="cs"/>
          <w:sz w:val="24"/>
          <w:szCs w:val="24"/>
          <w:rtl/>
        </w:rPr>
        <w:t xml:space="preserve"> عن رسول الله صلى الله عليه وسلم ف</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إني أحب أن أدنوا منه، فقال رسول الله صلى الله عليه وسلم</w:t>
      </w:r>
      <w:r w:rsidRPr="00A52585">
        <w:rPr>
          <w:rFonts w:hint="cs"/>
          <w:sz w:val="24"/>
          <w:szCs w:val="24"/>
          <w:rtl/>
        </w:rPr>
        <w:t>:</w:t>
      </w:r>
      <w:r w:rsidR="00777DCB" w:rsidRPr="00A52585">
        <w:rPr>
          <w:rFonts w:hint="cs"/>
          <w:sz w:val="24"/>
          <w:szCs w:val="24"/>
          <w:rtl/>
        </w:rPr>
        <w:t xml:space="preserve"> دعوا </w:t>
      </w:r>
      <w:proofErr w:type="spellStart"/>
      <w:r w:rsidR="00777DCB" w:rsidRPr="00A52585">
        <w:rPr>
          <w:rFonts w:hint="cs"/>
          <w:sz w:val="24"/>
          <w:szCs w:val="24"/>
          <w:rtl/>
        </w:rPr>
        <w:t>وابصة</w:t>
      </w:r>
      <w:proofErr w:type="spellEnd"/>
      <w:r w:rsidR="00777DCB" w:rsidRPr="00A52585">
        <w:rPr>
          <w:rFonts w:hint="cs"/>
          <w:sz w:val="24"/>
          <w:szCs w:val="24"/>
          <w:rtl/>
        </w:rPr>
        <w:t xml:space="preserve"> أدن مني يا </w:t>
      </w:r>
      <w:proofErr w:type="spellStart"/>
      <w:r w:rsidR="00777DCB" w:rsidRPr="00A52585">
        <w:rPr>
          <w:rFonts w:hint="cs"/>
          <w:sz w:val="24"/>
          <w:szCs w:val="24"/>
          <w:rtl/>
        </w:rPr>
        <w:t>وابصة</w:t>
      </w:r>
      <w:proofErr w:type="spellEnd"/>
      <w:r w:rsidR="00777DCB" w:rsidRPr="00A52585">
        <w:rPr>
          <w:rFonts w:hint="cs"/>
          <w:sz w:val="24"/>
          <w:szCs w:val="24"/>
          <w:rtl/>
        </w:rPr>
        <w:t xml:space="preserve"> فأدناني حيث كنت بين يديه فقال</w:t>
      </w:r>
      <w:r w:rsidRPr="00A52585">
        <w:rPr>
          <w:rFonts w:hint="cs"/>
          <w:sz w:val="24"/>
          <w:szCs w:val="24"/>
          <w:rtl/>
        </w:rPr>
        <w:t xml:space="preserve">: </w:t>
      </w:r>
      <w:r w:rsidR="00777DCB" w:rsidRPr="00A52585">
        <w:rPr>
          <w:rFonts w:hint="cs"/>
          <w:sz w:val="24"/>
          <w:szCs w:val="24"/>
          <w:rtl/>
        </w:rPr>
        <w:t>أتسألني أم أخبرك</w:t>
      </w:r>
      <w:r w:rsidR="00F95886" w:rsidRPr="00A52585">
        <w:rPr>
          <w:rFonts w:hint="cs"/>
          <w:sz w:val="24"/>
          <w:szCs w:val="24"/>
          <w:rtl/>
        </w:rPr>
        <w:t>؟</w:t>
      </w:r>
      <w:r w:rsidR="00777DCB" w:rsidRPr="00A52585">
        <w:rPr>
          <w:rFonts w:hint="cs"/>
          <w:sz w:val="24"/>
          <w:szCs w:val="24"/>
          <w:rtl/>
        </w:rPr>
        <w:t xml:space="preserve"> فقلت</w:t>
      </w:r>
      <w:r w:rsidRPr="00A52585">
        <w:rPr>
          <w:rFonts w:hint="cs"/>
          <w:sz w:val="24"/>
          <w:szCs w:val="24"/>
          <w:rtl/>
        </w:rPr>
        <w:t>:</w:t>
      </w:r>
      <w:r w:rsidR="00777DCB" w:rsidRPr="00A52585">
        <w:rPr>
          <w:rFonts w:hint="cs"/>
          <w:sz w:val="24"/>
          <w:szCs w:val="24"/>
          <w:rtl/>
        </w:rPr>
        <w:t xml:space="preserve"> لا بل تخبرني فقال</w:t>
      </w:r>
      <w:r w:rsidRPr="00A52585">
        <w:rPr>
          <w:rFonts w:hint="cs"/>
          <w:sz w:val="24"/>
          <w:szCs w:val="24"/>
          <w:rtl/>
        </w:rPr>
        <w:t>:</w:t>
      </w:r>
      <w:r w:rsidR="00777DCB" w:rsidRPr="00A52585">
        <w:rPr>
          <w:rFonts w:hint="cs"/>
          <w:sz w:val="24"/>
          <w:szCs w:val="24"/>
          <w:rtl/>
        </w:rPr>
        <w:t xml:space="preserve"> جئت تسأل عن البر والإثم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نعم</w:t>
      </w:r>
      <w:r w:rsidR="00DB731D" w:rsidRPr="00A52585">
        <w:rPr>
          <w:rFonts w:hint="cs"/>
          <w:sz w:val="24"/>
          <w:szCs w:val="24"/>
          <w:rtl/>
        </w:rPr>
        <w:t>،</w:t>
      </w:r>
      <w:r w:rsidR="00777DCB" w:rsidRPr="00A52585">
        <w:rPr>
          <w:rFonts w:hint="cs"/>
          <w:sz w:val="24"/>
          <w:szCs w:val="24"/>
          <w:rtl/>
        </w:rPr>
        <w:t xml:space="preserve"> فجمع أنامله فجعل ينكث بهن صدري وقال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البرُّ ما اطمأنت إليه النفس واطمأن إليه القلب والإثم ما حاك في النفس وتردد وإن أفتاك المفتون وأفتوك</w:t>
      </w:r>
      <w:r w:rsidRPr="00A52585">
        <w:rPr>
          <w:rFonts w:hint="cs"/>
          <w:sz w:val="24"/>
          <w:szCs w:val="24"/>
          <w:rtl/>
        </w:rPr>
        <w:t>)</w:t>
      </w:r>
      <w:r w:rsidR="00777DCB" w:rsidRPr="00A52585">
        <w:rPr>
          <w:rFonts w:hint="cs"/>
          <w:sz w:val="24"/>
          <w:szCs w:val="24"/>
          <w:rtl/>
        </w:rPr>
        <w:t xml:space="preserve"> رواه الطبراني وأحمد باختصار، يقول الحافظ الهيثمي</w:t>
      </w:r>
      <w:r w:rsidRPr="00A52585">
        <w:rPr>
          <w:rFonts w:hint="cs"/>
          <w:sz w:val="24"/>
          <w:szCs w:val="24"/>
          <w:rtl/>
        </w:rPr>
        <w:t xml:space="preserve">: </w:t>
      </w:r>
      <w:r w:rsidR="00777DCB" w:rsidRPr="00A52585">
        <w:rPr>
          <w:rFonts w:hint="cs"/>
          <w:sz w:val="24"/>
          <w:szCs w:val="24"/>
          <w:rtl/>
        </w:rPr>
        <w:t>" ورجال أحد إسنادي الطبراني ثقات "</w:t>
      </w:r>
      <w:r w:rsidRPr="00A52585">
        <w:rPr>
          <w:rFonts w:hint="cs"/>
          <w:sz w:val="24"/>
          <w:szCs w:val="24"/>
          <w:rtl/>
        </w:rPr>
        <w:t xml:space="preserve"> </w:t>
      </w:r>
      <w:r w:rsidR="00777DCB" w:rsidRPr="00A52585">
        <w:rPr>
          <w:rFonts w:hint="cs"/>
          <w:sz w:val="24"/>
          <w:szCs w:val="24"/>
          <w:rtl/>
        </w:rPr>
        <w:t>مجمع الزوائد 10/294 ويقول الإمام النووي</w:t>
      </w:r>
      <w:r w:rsidRPr="00A52585">
        <w:rPr>
          <w:rFonts w:hint="cs"/>
          <w:sz w:val="24"/>
          <w:szCs w:val="24"/>
          <w:rtl/>
        </w:rPr>
        <w:t xml:space="preserve">: </w:t>
      </w:r>
      <w:r w:rsidR="00777DCB" w:rsidRPr="00A52585">
        <w:rPr>
          <w:rFonts w:hint="cs"/>
          <w:sz w:val="24"/>
          <w:szCs w:val="24"/>
          <w:rtl/>
        </w:rPr>
        <w:t>" حديث حسن رواه أحمد والدارمي في مسنديهما "</w:t>
      </w:r>
      <w:r w:rsidRPr="00A52585">
        <w:rPr>
          <w:rFonts w:hint="cs"/>
          <w:sz w:val="24"/>
          <w:szCs w:val="24"/>
          <w:rtl/>
        </w:rPr>
        <w:t xml:space="preserve"> </w:t>
      </w:r>
      <w:r w:rsidR="00777DCB" w:rsidRPr="00A52585">
        <w:rPr>
          <w:rFonts w:hint="cs"/>
          <w:sz w:val="24"/>
          <w:szCs w:val="24"/>
          <w:rtl/>
        </w:rPr>
        <w:t>أهـ(رياض الصالحين) ص 169 ط الشعب</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5- 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قال رجل ما الإثم يا رسول الله</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(ما حاك في صدرك فدعه) قال</w:t>
      </w:r>
      <w:r w:rsidRPr="00A52585">
        <w:rPr>
          <w:rFonts w:hint="cs"/>
          <w:sz w:val="24"/>
          <w:szCs w:val="24"/>
          <w:rtl/>
        </w:rPr>
        <w:t>:</w:t>
      </w:r>
      <w:r w:rsidR="00777DCB" w:rsidRPr="00A52585">
        <w:rPr>
          <w:rFonts w:hint="cs"/>
          <w:sz w:val="24"/>
          <w:szCs w:val="24"/>
          <w:rtl/>
        </w:rPr>
        <w:t xml:space="preserve"> فما الإيمان</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(من </w:t>
      </w:r>
      <w:proofErr w:type="spellStart"/>
      <w:r w:rsidR="00777DCB" w:rsidRPr="00A52585">
        <w:rPr>
          <w:rFonts w:hint="cs"/>
          <w:sz w:val="24"/>
          <w:szCs w:val="24"/>
          <w:rtl/>
        </w:rPr>
        <w:t>ساءته</w:t>
      </w:r>
      <w:proofErr w:type="spellEnd"/>
      <w:r w:rsidR="00777DCB" w:rsidRPr="00A52585">
        <w:rPr>
          <w:rFonts w:hint="cs"/>
          <w:sz w:val="24"/>
          <w:szCs w:val="24"/>
          <w:rtl/>
        </w:rPr>
        <w:t xml:space="preserve"> سيئته وسرته حسنته فهو مؤمن) "</w:t>
      </w:r>
      <w:r w:rsidRPr="00A52585">
        <w:rPr>
          <w:rFonts w:hint="cs"/>
          <w:sz w:val="24"/>
          <w:szCs w:val="24"/>
          <w:rtl/>
        </w:rPr>
        <w:t xml:space="preserve"> </w:t>
      </w:r>
      <w:r w:rsidR="00777DCB" w:rsidRPr="00A52585">
        <w:rPr>
          <w:rFonts w:hint="cs"/>
          <w:sz w:val="24"/>
          <w:szCs w:val="24"/>
          <w:rtl/>
        </w:rPr>
        <w:t>قال الهيثمي</w:t>
      </w:r>
      <w:r w:rsidRPr="00A52585">
        <w:rPr>
          <w:rFonts w:hint="cs"/>
          <w:sz w:val="24"/>
          <w:szCs w:val="24"/>
          <w:rtl/>
        </w:rPr>
        <w:t xml:space="preserve">: </w:t>
      </w:r>
      <w:r w:rsidR="00777DCB" w:rsidRPr="00A52585">
        <w:rPr>
          <w:rFonts w:hint="cs"/>
          <w:sz w:val="24"/>
          <w:szCs w:val="24"/>
          <w:rtl/>
        </w:rPr>
        <w:t>" رواه الطبراني وأحمد باختصار عنه ورجال الطبراني رجال الصحيح "</w:t>
      </w:r>
      <w:r w:rsidRPr="00A52585">
        <w:rPr>
          <w:rFonts w:hint="cs"/>
          <w:sz w:val="24"/>
          <w:szCs w:val="24"/>
          <w:rtl/>
        </w:rPr>
        <w:t xml:space="preserve"> </w:t>
      </w:r>
      <w:r w:rsidR="00777DCB" w:rsidRPr="00A52585">
        <w:rPr>
          <w:rFonts w:hint="cs"/>
          <w:sz w:val="24"/>
          <w:szCs w:val="24"/>
          <w:rtl/>
        </w:rPr>
        <w:t>أهـ مجمع الزوائد 10/294-295 قال الهيثمي</w:t>
      </w:r>
      <w:r w:rsidRPr="00A52585">
        <w:rPr>
          <w:rFonts w:hint="cs"/>
          <w:sz w:val="24"/>
          <w:szCs w:val="24"/>
          <w:rtl/>
        </w:rPr>
        <w:t xml:space="preserve">: </w:t>
      </w:r>
      <w:r w:rsidR="00777DCB" w:rsidRPr="00A52585">
        <w:rPr>
          <w:rFonts w:hint="cs"/>
          <w:sz w:val="24"/>
          <w:szCs w:val="24"/>
          <w:rtl/>
        </w:rPr>
        <w:t xml:space="preserve">" وعن أبي </w:t>
      </w:r>
      <w:proofErr w:type="spellStart"/>
      <w:r w:rsidR="00777DCB" w:rsidRPr="00A52585">
        <w:rPr>
          <w:rFonts w:hint="cs"/>
          <w:sz w:val="24"/>
          <w:szCs w:val="24"/>
          <w:rtl/>
        </w:rPr>
        <w:t>أمامة</w:t>
      </w:r>
      <w:proofErr w:type="spellEnd"/>
      <w:r w:rsidR="00777DCB" w:rsidRPr="00A52585">
        <w:rPr>
          <w:rFonts w:hint="cs"/>
          <w:sz w:val="24"/>
          <w:szCs w:val="24"/>
          <w:rtl/>
        </w:rPr>
        <w:t xml:space="preserve"> </w:t>
      </w:r>
      <w:r w:rsidR="00777DCB" w:rsidRPr="00A52585">
        <w:rPr>
          <w:rFonts w:hint="cs"/>
          <w:sz w:val="24"/>
          <w:szCs w:val="24"/>
          <w:rtl/>
        </w:rPr>
        <w:lastRenderedPageBreak/>
        <w:t>قال</w:t>
      </w:r>
      <w:r w:rsidRPr="00A52585">
        <w:rPr>
          <w:rFonts w:hint="cs"/>
          <w:sz w:val="24"/>
          <w:szCs w:val="24"/>
          <w:rtl/>
        </w:rPr>
        <w:t>:</w:t>
      </w:r>
      <w:r w:rsidR="00777DCB" w:rsidRPr="00A52585">
        <w:rPr>
          <w:rFonts w:hint="cs"/>
          <w:sz w:val="24"/>
          <w:szCs w:val="24"/>
          <w:rtl/>
        </w:rPr>
        <w:t xml:space="preserve"> سأل رجل النبي صلى الله عليه وسلم</w:t>
      </w:r>
      <w:r w:rsidRPr="00A52585">
        <w:rPr>
          <w:rFonts w:hint="cs"/>
          <w:sz w:val="24"/>
          <w:szCs w:val="24"/>
          <w:rtl/>
        </w:rPr>
        <w:t>:</w:t>
      </w:r>
      <w:r w:rsidR="00777DCB" w:rsidRPr="00A52585">
        <w:rPr>
          <w:rFonts w:hint="cs"/>
          <w:sz w:val="24"/>
          <w:szCs w:val="24"/>
          <w:rtl/>
        </w:rPr>
        <w:t xml:space="preserve"> ما الإثم</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(إذا جاءك في نفسك شيء فدعه) قال</w:t>
      </w:r>
      <w:r w:rsidRPr="00A52585">
        <w:rPr>
          <w:rFonts w:hint="cs"/>
          <w:sz w:val="24"/>
          <w:szCs w:val="24"/>
          <w:rtl/>
        </w:rPr>
        <w:t>:</w:t>
      </w:r>
      <w:r w:rsidR="00777DCB" w:rsidRPr="00A52585">
        <w:rPr>
          <w:rFonts w:hint="cs"/>
          <w:sz w:val="24"/>
          <w:szCs w:val="24"/>
          <w:rtl/>
        </w:rPr>
        <w:t xml:space="preserve"> فما الإيمان</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(إذا </w:t>
      </w:r>
      <w:proofErr w:type="spellStart"/>
      <w:r w:rsidR="00777DCB" w:rsidRPr="00A52585">
        <w:rPr>
          <w:rFonts w:hint="cs"/>
          <w:sz w:val="24"/>
          <w:szCs w:val="24"/>
          <w:rtl/>
        </w:rPr>
        <w:t>ساءتك</w:t>
      </w:r>
      <w:proofErr w:type="spellEnd"/>
      <w:r w:rsidR="00777DCB" w:rsidRPr="00A52585">
        <w:rPr>
          <w:rFonts w:hint="cs"/>
          <w:sz w:val="24"/>
          <w:szCs w:val="24"/>
          <w:rtl/>
        </w:rPr>
        <w:t xml:space="preserve"> سيئتك وسرتك حسنتك فأنت مؤمن) رواه أحمد ورجاله رجال الصحيح "</w:t>
      </w:r>
      <w:r w:rsidRPr="00A52585">
        <w:rPr>
          <w:rFonts w:hint="cs"/>
          <w:sz w:val="24"/>
          <w:szCs w:val="24"/>
          <w:rtl/>
        </w:rPr>
        <w:t xml:space="preserve"> </w:t>
      </w:r>
      <w:r w:rsidR="00777DCB" w:rsidRPr="00A52585">
        <w:rPr>
          <w:rFonts w:hint="cs"/>
          <w:sz w:val="24"/>
          <w:szCs w:val="24"/>
          <w:rtl/>
        </w:rPr>
        <w:t>مجمع الزوائد 1/ 176</w:t>
      </w:r>
      <w:r w:rsidR="00DB731D" w:rsidRPr="00A52585">
        <w:rPr>
          <w:rFonts w:hint="cs"/>
          <w:sz w:val="24"/>
          <w:szCs w:val="24"/>
          <w:rtl/>
        </w:rPr>
        <w:t>،</w:t>
      </w:r>
      <w:r w:rsidR="00777DCB" w:rsidRPr="00A52585">
        <w:rPr>
          <w:rFonts w:hint="cs"/>
          <w:sz w:val="24"/>
          <w:szCs w:val="24"/>
          <w:rtl/>
        </w:rPr>
        <w:t xml:space="preserve"> 6- عن أم سلمة رضي الله عنها قالت</w:t>
      </w:r>
      <w:r w:rsidRPr="00A52585">
        <w:rPr>
          <w:rFonts w:hint="cs"/>
          <w:sz w:val="24"/>
          <w:szCs w:val="24"/>
          <w:rtl/>
        </w:rPr>
        <w:t>:</w:t>
      </w:r>
      <w:r w:rsidR="00777DCB" w:rsidRPr="00A52585">
        <w:rPr>
          <w:rFonts w:hint="cs"/>
          <w:sz w:val="24"/>
          <w:szCs w:val="24"/>
          <w:rtl/>
        </w:rPr>
        <w:t xml:space="preserve"> قال رسول الله صلى الله عليه وسلم</w:t>
      </w:r>
      <w:r w:rsidRPr="00A52585">
        <w:rPr>
          <w:rFonts w:hint="cs"/>
          <w:sz w:val="24"/>
          <w:szCs w:val="24"/>
          <w:rtl/>
        </w:rPr>
        <w:t xml:space="preserve">: </w:t>
      </w:r>
      <w:r w:rsidR="00777DCB" w:rsidRPr="00A52585">
        <w:rPr>
          <w:rFonts w:hint="cs"/>
          <w:sz w:val="24"/>
          <w:szCs w:val="24"/>
          <w:rtl/>
        </w:rPr>
        <w:t>" إذا أراد الله بعبد خيراً جعل له واعظاً من قلبه يأمره وينهاه "</w:t>
      </w:r>
      <w:r w:rsidRPr="00A52585">
        <w:rPr>
          <w:rFonts w:hint="cs"/>
          <w:sz w:val="24"/>
          <w:szCs w:val="24"/>
          <w:rtl/>
        </w:rPr>
        <w:t xml:space="preserve"> </w:t>
      </w:r>
      <w:r w:rsidR="00777DCB" w:rsidRPr="00A52585">
        <w:rPr>
          <w:rFonts w:hint="cs"/>
          <w:sz w:val="24"/>
          <w:szCs w:val="24"/>
          <w:rtl/>
        </w:rPr>
        <w:t>قال الحافظ العراقي</w:t>
      </w:r>
      <w:r w:rsidRPr="00A52585">
        <w:rPr>
          <w:rFonts w:hint="cs"/>
          <w:sz w:val="24"/>
          <w:szCs w:val="24"/>
          <w:rtl/>
        </w:rPr>
        <w:t>:</w:t>
      </w:r>
      <w:r w:rsidR="00777DCB" w:rsidRPr="00A52585">
        <w:rPr>
          <w:rFonts w:hint="cs"/>
          <w:sz w:val="24"/>
          <w:szCs w:val="24"/>
          <w:rtl/>
        </w:rPr>
        <w:t xml:space="preserve"> رواه الديلمي في مسند الفردوس من حديث أم سلمة وإسناده جيد أهـ</w:t>
      </w:r>
      <w:r w:rsidR="00DB731D" w:rsidRPr="00A52585">
        <w:rPr>
          <w:rFonts w:hint="cs"/>
          <w:sz w:val="24"/>
          <w:szCs w:val="24"/>
          <w:rtl/>
        </w:rPr>
        <w:t>،</w:t>
      </w:r>
      <w:r w:rsidR="00777DCB" w:rsidRPr="00A52585">
        <w:rPr>
          <w:rFonts w:hint="cs"/>
          <w:sz w:val="24"/>
          <w:szCs w:val="24"/>
          <w:rtl/>
        </w:rPr>
        <w:t xml:space="preserve"> ويقول العلامة الزبيدي</w:t>
      </w:r>
      <w:r w:rsidRPr="00A52585">
        <w:rPr>
          <w:rFonts w:hint="cs"/>
          <w:sz w:val="24"/>
          <w:szCs w:val="24"/>
          <w:rtl/>
        </w:rPr>
        <w:t xml:space="preserve">: </w:t>
      </w:r>
      <w:r w:rsidR="00777DCB" w:rsidRPr="00A52585">
        <w:rPr>
          <w:rFonts w:hint="cs"/>
          <w:sz w:val="24"/>
          <w:szCs w:val="24"/>
          <w:rtl/>
        </w:rPr>
        <w:t xml:space="preserve">" رواه ابن </w:t>
      </w:r>
      <w:proofErr w:type="spellStart"/>
      <w:r w:rsidR="00777DCB" w:rsidRPr="00A52585">
        <w:rPr>
          <w:rFonts w:hint="cs"/>
          <w:sz w:val="24"/>
          <w:szCs w:val="24"/>
          <w:rtl/>
        </w:rPr>
        <w:t>لال</w:t>
      </w:r>
      <w:proofErr w:type="spellEnd"/>
      <w:r w:rsidR="00777DCB" w:rsidRPr="00A52585">
        <w:rPr>
          <w:rFonts w:hint="cs"/>
          <w:sz w:val="24"/>
          <w:szCs w:val="24"/>
          <w:rtl/>
        </w:rPr>
        <w:t xml:space="preserve"> في (مكارم الأخلاق) ومن طريقه أورده الديلمي ولفظه</w:t>
      </w:r>
      <w:r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جعل له واعظا من نفسه يأمره وينهاه)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7- حديث معاذ عند أبي داود والترمذي</w:t>
      </w:r>
      <w:r w:rsidRPr="00A52585">
        <w:rPr>
          <w:rFonts w:hint="cs"/>
          <w:sz w:val="24"/>
          <w:szCs w:val="24"/>
          <w:rtl/>
        </w:rPr>
        <w:t>:</w:t>
      </w:r>
      <w:r w:rsidR="00777DCB" w:rsidRPr="00A52585">
        <w:rPr>
          <w:rFonts w:hint="cs"/>
          <w:sz w:val="24"/>
          <w:szCs w:val="24"/>
          <w:rtl/>
        </w:rPr>
        <w:t xml:space="preserve"> كان كلما جلس لأصحابه يقول</w:t>
      </w:r>
      <w:r w:rsidRPr="00A52585">
        <w:rPr>
          <w:rFonts w:hint="cs"/>
          <w:sz w:val="24"/>
          <w:szCs w:val="24"/>
          <w:rtl/>
        </w:rPr>
        <w:t>:</w:t>
      </w:r>
      <w:r w:rsidR="00777DCB" w:rsidRPr="00A52585">
        <w:rPr>
          <w:rFonts w:hint="cs"/>
          <w:sz w:val="24"/>
          <w:szCs w:val="24"/>
          <w:rtl/>
        </w:rPr>
        <w:t xml:space="preserve"> هلك المرتابون </w:t>
      </w:r>
      <w:r w:rsidR="00777DCB" w:rsidRPr="00A52585">
        <w:rPr>
          <w:sz w:val="24"/>
          <w:szCs w:val="24"/>
        </w:rPr>
        <w:t>…</w:t>
      </w:r>
      <w:r w:rsidR="00777DCB" w:rsidRPr="00A52585">
        <w:rPr>
          <w:rFonts w:hint="cs"/>
          <w:sz w:val="24"/>
          <w:szCs w:val="24"/>
          <w:rtl/>
        </w:rPr>
        <w:t xml:space="preserve"> واتق </w:t>
      </w:r>
      <w:proofErr w:type="spellStart"/>
      <w:r w:rsidR="00777DCB" w:rsidRPr="00A52585">
        <w:rPr>
          <w:rFonts w:hint="cs"/>
          <w:sz w:val="24"/>
          <w:szCs w:val="24"/>
          <w:rtl/>
        </w:rPr>
        <w:t>زيغة</w:t>
      </w:r>
      <w:proofErr w:type="spellEnd"/>
      <w:r w:rsidR="00777DCB" w:rsidRPr="00A52585">
        <w:rPr>
          <w:rFonts w:hint="cs"/>
          <w:sz w:val="24"/>
          <w:szCs w:val="24"/>
          <w:rtl/>
        </w:rPr>
        <w:t xml:space="preserve"> الحكيم</w:t>
      </w:r>
      <w:r w:rsidRPr="00A52585">
        <w:rPr>
          <w:rFonts w:hint="cs"/>
          <w:sz w:val="24"/>
          <w:szCs w:val="24"/>
          <w:rtl/>
        </w:rPr>
        <w:t xml:space="preserve"> </w:t>
      </w:r>
      <w:r w:rsidR="00777DCB" w:rsidRPr="00A52585">
        <w:rPr>
          <w:rFonts w:hint="cs"/>
          <w:sz w:val="24"/>
          <w:szCs w:val="24"/>
          <w:rtl/>
        </w:rPr>
        <w:t>المشتهرات من كلامه التي يقولون</w:t>
      </w:r>
      <w:r w:rsidR="00F95886" w:rsidRPr="00A52585">
        <w:rPr>
          <w:rFonts w:hint="cs"/>
          <w:sz w:val="24"/>
          <w:szCs w:val="24"/>
          <w:rtl/>
        </w:rPr>
        <w:t>؟</w:t>
      </w:r>
      <w:r w:rsidR="00777DCB" w:rsidRPr="00A52585">
        <w:rPr>
          <w:rFonts w:hint="cs"/>
          <w:sz w:val="24"/>
          <w:szCs w:val="24"/>
          <w:rtl/>
        </w:rPr>
        <w:t xml:space="preserve"> ما هذه</w:t>
      </w:r>
      <w:r w:rsidR="00F95886"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sz w:val="24"/>
          <w:szCs w:val="24"/>
          <w:rtl/>
        </w:rPr>
        <w:t xml:space="preserve"> </w:t>
      </w:r>
      <w:r w:rsidR="00777DCB" w:rsidRPr="00A52585">
        <w:rPr>
          <w:rFonts w:hint="cs"/>
          <w:bCs/>
          <w:sz w:val="24"/>
          <w:szCs w:val="24"/>
          <w:rtl/>
        </w:rPr>
        <w:t>قالوا</w:t>
      </w:r>
      <w:r w:rsidRPr="00A52585">
        <w:rPr>
          <w:rFonts w:hint="cs"/>
          <w:bCs/>
          <w:sz w:val="24"/>
          <w:szCs w:val="24"/>
          <w:rtl/>
        </w:rPr>
        <w:t>:</w:t>
      </w:r>
      <w:r w:rsidR="00777DCB" w:rsidRPr="00A52585">
        <w:rPr>
          <w:rFonts w:hint="cs"/>
          <w:bCs/>
          <w:sz w:val="24"/>
          <w:szCs w:val="24"/>
          <w:rtl/>
        </w:rPr>
        <w:t xml:space="preserve"> فكيف نعرف الحق</w:t>
      </w:r>
      <w:r w:rsidR="00F95886" w:rsidRPr="00A52585">
        <w:rPr>
          <w:rFonts w:hint="cs"/>
          <w:bCs/>
          <w:sz w:val="24"/>
          <w:szCs w:val="24"/>
          <w:rtl/>
        </w:rPr>
        <w:t>؟</w:t>
      </w:r>
      <w:r w:rsidR="00777DCB" w:rsidRPr="00A52585">
        <w:rPr>
          <w:rFonts w:hint="cs"/>
          <w:bCs/>
          <w:sz w:val="24"/>
          <w:szCs w:val="24"/>
          <w:rtl/>
        </w:rPr>
        <w:t xml:space="preserve"> قال</w:t>
      </w:r>
      <w:r w:rsidRPr="00A52585">
        <w:rPr>
          <w:rFonts w:hint="cs"/>
          <w:bCs/>
          <w:sz w:val="24"/>
          <w:szCs w:val="24"/>
          <w:rtl/>
        </w:rPr>
        <w:t>:</w:t>
      </w:r>
      <w:r w:rsidR="00777DCB" w:rsidRPr="00A52585">
        <w:rPr>
          <w:rFonts w:hint="cs"/>
          <w:bCs/>
          <w:sz w:val="24"/>
          <w:szCs w:val="24"/>
          <w:rtl/>
        </w:rPr>
        <w:t xml:space="preserve"> إن على الحق نوراً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8- وقبل هذا كله الحديث القدسي الذي رواه البخاري في صحيحه في كتاب الرقاق- باب التواضع حديث رقم (6502)</w:t>
      </w:r>
      <w:r w:rsidRPr="00A52585">
        <w:rPr>
          <w:rFonts w:hint="cs"/>
          <w:sz w:val="24"/>
          <w:szCs w:val="24"/>
          <w:rtl/>
        </w:rPr>
        <w:t xml:space="preserve">: </w:t>
      </w:r>
      <w:r w:rsidR="00777DCB" w:rsidRPr="00A52585">
        <w:rPr>
          <w:rFonts w:hint="cs"/>
          <w:sz w:val="24"/>
          <w:szCs w:val="24"/>
          <w:rtl/>
        </w:rPr>
        <w:t>" قال رسول الله صلى الله عليه وسلم</w:t>
      </w:r>
      <w:r w:rsidRPr="00A52585">
        <w:rPr>
          <w:rFonts w:hint="cs"/>
          <w:sz w:val="24"/>
          <w:szCs w:val="24"/>
          <w:rtl/>
        </w:rPr>
        <w:t>:</w:t>
      </w:r>
      <w:r w:rsidR="00777DCB" w:rsidRPr="00A52585">
        <w:rPr>
          <w:rFonts w:hint="cs"/>
          <w:sz w:val="24"/>
          <w:szCs w:val="24"/>
          <w:rtl/>
        </w:rPr>
        <w:t xml:space="preserve"> إن الله تعالى قال</w:t>
      </w:r>
      <w:r w:rsidRPr="00A52585">
        <w:rPr>
          <w:rFonts w:hint="cs"/>
          <w:sz w:val="24"/>
          <w:szCs w:val="24"/>
          <w:rtl/>
        </w:rPr>
        <w:t>:</w:t>
      </w:r>
      <w:r w:rsidR="00777DCB" w:rsidRPr="00A52585">
        <w:rPr>
          <w:rFonts w:hint="cs"/>
          <w:sz w:val="24"/>
          <w:szCs w:val="24"/>
          <w:rtl/>
        </w:rPr>
        <w:t xml:space="preserve"> من عادى لي وليا فقد آذنته بالحرب، وما تقرب إلى عبدي بشيء أحب إلى مما افترضته عليه وما زال عبدي يتقرب إلىّ بالنوافل حتى أحبه فإذا أحببته كنت سمعه الذي يسمع به وبصره الذي يبصر به ويده التي يبطش بها ورجله التي يمشي بها وإن سألني لأعطينه ولئن استعاذني </w:t>
      </w:r>
      <w:proofErr w:type="spellStart"/>
      <w:r w:rsidR="00777DCB" w:rsidRPr="00A52585">
        <w:rPr>
          <w:rFonts w:hint="cs"/>
          <w:sz w:val="24"/>
          <w:szCs w:val="24"/>
          <w:rtl/>
        </w:rPr>
        <w:t>لأعيذنه</w:t>
      </w:r>
      <w:proofErr w:type="spellEnd"/>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وفي رواية عبد الواحد بن عروة عند البيهقي في الزهد</w:t>
      </w:r>
      <w:r w:rsidRPr="00A52585">
        <w:rPr>
          <w:rFonts w:hint="cs"/>
          <w:sz w:val="24"/>
          <w:szCs w:val="24"/>
          <w:rtl/>
        </w:rPr>
        <w:t xml:space="preserve"> </w:t>
      </w:r>
      <w:r w:rsidR="00777DCB" w:rsidRPr="00A52585">
        <w:rPr>
          <w:rFonts w:hint="cs"/>
          <w:sz w:val="24"/>
          <w:szCs w:val="24"/>
          <w:rtl/>
        </w:rPr>
        <w:t>" وفؤاده الذي يعقل به ولسانه الذي يتكلم به وفي حديث ميمونة</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وقلبه الذي يعقل به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وفي إسناد الروايتين </w:t>
      </w:r>
      <w:proofErr w:type="spellStart"/>
      <w:r w:rsidR="00777DCB" w:rsidRPr="00A52585">
        <w:rPr>
          <w:rFonts w:hint="cs"/>
          <w:sz w:val="24"/>
          <w:szCs w:val="24"/>
          <w:rtl/>
        </w:rPr>
        <w:t>الآخيرتين</w:t>
      </w:r>
      <w:proofErr w:type="spellEnd"/>
      <w:r w:rsidR="00777DCB" w:rsidRPr="00A52585">
        <w:rPr>
          <w:rFonts w:hint="cs"/>
          <w:sz w:val="24"/>
          <w:szCs w:val="24"/>
          <w:rtl/>
        </w:rPr>
        <w:t xml:space="preserve"> مقال وقال ابن حجر في فتح الباري</w:t>
      </w:r>
      <w:r w:rsidRPr="00A52585">
        <w:rPr>
          <w:rFonts w:hint="cs"/>
          <w:sz w:val="24"/>
          <w:szCs w:val="24"/>
          <w:rtl/>
        </w:rPr>
        <w:t>:</w:t>
      </w:r>
      <w:r w:rsidR="00777DCB" w:rsidRPr="00A52585">
        <w:rPr>
          <w:rFonts w:hint="cs"/>
          <w:sz w:val="24"/>
          <w:szCs w:val="24"/>
          <w:rtl/>
        </w:rPr>
        <w:t xml:space="preserve"> " </w:t>
      </w:r>
      <w:r w:rsidR="00777DCB" w:rsidRPr="00A52585">
        <w:rPr>
          <w:sz w:val="24"/>
          <w:szCs w:val="24"/>
        </w:rPr>
        <w:t>…</w:t>
      </w:r>
      <w:r w:rsidR="00777DCB" w:rsidRPr="00A52585">
        <w:rPr>
          <w:rFonts w:hint="cs"/>
          <w:sz w:val="24"/>
          <w:szCs w:val="24"/>
          <w:rtl/>
        </w:rPr>
        <w:t xml:space="preserve"> قال </w:t>
      </w:r>
      <w:proofErr w:type="spellStart"/>
      <w:r w:rsidR="00777DCB" w:rsidRPr="00A52585">
        <w:rPr>
          <w:rFonts w:hint="cs"/>
          <w:sz w:val="24"/>
          <w:szCs w:val="24"/>
          <w:rtl/>
        </w:rPr>
        <w:t>الطوفي</w:t>
      </w:r>
      <w:proofErr w:type="spellEnd"/>
      <w:r w:rsidRPr="00A52585">
        <w:rPr>
          <w:rFonts w:hint="cs"/>
          <w:sz w:val="24"/>
          <w:szCs w:val="24"/>
          <w:rtl/>
        </w:rPr>
        <w:t>:</w:t>
      </w:r>
      <w:r w:rsidR="00777DCB" w:rsidRPr="00A52585">
        <w:rPr>
          <w:rFonts w:hint="cs"/>
          <w:sz w:val="24"/>
          <w:szCs w:val="24"/>
          <w:rtl/>
        </w:rPr>
        <w:t xml:space="preserve"> اتفق العلماء ممن يعتد بقوله أن هذا مجاز وكناية عن نصرة العبد وتأييده وإعانته حتى كأنه سبحانه ينزل نفسه من عبده منزلة الآلات التي يستعين بها ولهذا وقع في رواية (فبي يسمع وبي يبصر وبي يبطش وبي يمشي) "</w:t>
      </w:r>
      <w:r w:rsidRPr="00A52585">
        <w:rPr>
          <w:rFonts w:hint="cs"/>
          <w:sz w:val="24"/>
          <w:szCs w:val="24"/>
          <w:rtl/>
        </w:rPr>
        <w:t xml:space="preserve"> </w:t>
      </w:r>
      <w:r w:rsidR="00777DCB" w:rsidRPr="00A52585">
        <w:rPr>
          <w:rFonts w:hint="cs"/>
          <w:sz w:val="24"/>
          <w:szCs w:val="24"/>
          <w:rtl/>
        </w:rPr>
        <w:t xml:space="preserve">أهـ ج 17 ص320 </w:t>
      </w:r>
      <w:proofErr w:type="spellStart"/>
      <w:r w:rsidR="00777DCB" w:rsidRPr="00A52585">
        <w:rPr>
          <w:rFonts w:hint="cs"/>
          <w:sz w:val="24"/>
          <w:szCs w:val="24"/>
          <w:rtl/>
        </w:rPr>
        <w:t>طدار</w:t>
      </w:r>
      <w:proofErr w:type="spellEnd"/>
      <w:r w:rsidR="00777DCB" w:rsidRPr="00A52585">
        <w:rPr>
          <w:rFonts w:hint="cs"/>
          <w:sz w:val="24"/>
          <w:szCs w:val="24"/>
          <w:rtl/>
        </w:rPr>
        <w:t xml:space="preserve"> الغد العربي ويقول العلامة الإمام الفقيه ابن حجر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(الفتاوى الحديثية)</w:t>
      </w:r>
      <w:r w:rsidRPr="00A52585">
        <w:rPr>
          <w:rFonts w:hint="cs"/>
          <w:sz w:val="24"/>
          <w:szCs w:val="24"/>
          <w:rtl/>
        </w:rPr>
        <w:t>:</w:t>
      </w:r>
      <w:r w:rsidR="00777DCB" w:rsidRPr="00A52585">
        <w:rPr>
          <w:rFonts w:hint="cs"/>
          <w:sz w:val="24"/>
          <w:szCs w:val="24"/>
          <w:rtl/>
        </w:rPr>
        <w:t xml:space="preserve"> ومما يؤيد ما رواه الصوفية من أن الإلهام حجة أي فيما لا مخالفة فيه لحكم شرعي من قوله صلى الله عليه وسلم في الحديث القدسي</w:t>
      </w:r>
      <w:r w:rsidRPr="00A52585">
        <w:rPr>
          <w:rFonts w:hint="cs"/>
          <w:sz w:val="24"/>
          <w:szCs w:val="24"/>
          <w:rtl/>
        </w:rPr>
        <w:t xml:space="preserve"> </w:t>
      </w:r>
      <w:r w:rsidR="00777DCB" w:rsidRPr="00A52585">
        <w:rPr>
          <w:rFonts w:hint="cs"/>
          <w:sz w:val="24"/>
          <w:szCs w:val="24"/>
          <w:rtl/>
        </w:rPr>
        <w:t>"فإذا أحببته كنت سمعه الذي يسمع به وبصره الذي يبصر به "</w:t>
      </w:r>
      <w:r w:rsidRPr="00A52585">
        <w:rPr>
          <w:rFonts w:hint="cs"/>
          <w:sz w:val="24"/>
          <w:szCs w:val="24"/>
          <w:rtl/>
        </w:rPr>
        <w:t xml:space="preserve"> </w:t>
      </w:r>
      <w:r w:rsidR="00777DCB" w:rsidRPr="00A52585">
        <w:rPr>
          <w:rFonts w:hint="cs"/>
          <w:sz w:val="24"/>
          <w:szCs w:val="24"/>
          <w:rtl/>
        </w:rPr>
        <w:t>الحديث، وفي رواية</w:t>
      </w:r>
      <w:r w:rsidRPr="00A52585">
        <w:rPr>
          <w:rFonts w:hint="cs"/>
          <w:sz w:val="24"/>
          <w:szCs w:val="24"/>
          <w:rtl/>
        </w:rPr>
        <w:t xml:space="preserve"> </w:t>
      </w:r>
      <w:r w:rsidR="00777DCB" w:rsidRPr="00A52585">
        <w:rPr>
          <w:rFonts w:hint="cs"/>
          <w:sz w:val="24"/>
          <w:szCs w:val="24"/>
          <w:rtl/>
        </w:rPr>
        <w:t>" فبي يسمع وبي يبصر وبي ينطق "</w:t>
      </w:r>
      <w:r w:rsidRPr="00A52585">
        <w:rPr>
          <w:rFonts w:hint="cs"/>
          <w:sz w:val="24"/>
          <w:szCs w:val="24"/>
          <w:rtl/>
        </w:rPr>
        <w:t xml:space="preserve"> </w:t>
      </w:r>
      <w:r w:rsidR="00777DCB" w:rsidRPr="00A52585">
        <w:rPr>
          <w:rFonts w:hint="cs"/>
          <w:sz w:val="24"/>
          <w:szCs w:val="24"/>
          <w:rtl/>
        </w:rPr>
        <w:t>وفي أخرى</w:t>
      </w:r>
      <w:r w:rsidRPr="00A52585">
        <w:rPr>
          <w:rFonts w:hint="cs"/>
          <w:sz w:val="24"/>
          <w:szCs w:val="24"/>
          <w:rtl/>
        </w:rPr>
        <w:t xml:space="preserve"> </w:t>
      </w:r>
      <w:r w:rsidR="00777DCB" w:rsidRPr="00A52585">
        <w:rPr>
          <w:rFonts w:hint="cs"/>
          <w:sz w:val="24"/>
          <w:szCs w:val="24"/>
          <w:rtl/>
        </w:rPr>
        <w:t>"وكنت له سمعاً وبصراً ويداً ومؤيداً "</w:t>
      </w:r>
      <w:r w:rsidR="00DB731D" w:rsidRPr="00A52585">
        <w:rPr>
          <w:rFonts w:hint="cs"/>
          <w:sz w:val="24"/>
          <w:szCs w:val="24"/>
          <w:rtl/>
        </w:rPr>
        <w:t>،</w:t>
      </w:r>
      <w:r w:rsidR="00777DCB" w:rsidRPr="00A52585">
        <w:rPr>
          <w:rFonts w:hint="cs"/>
          <w:sz w:val="24"/>
          <w:szCs w:val="24"/>
          <w:rtl/>
        </w:rPr>
        <w:t xml:space="preserve"> والحاصل أن العلماء بالله عز وجل هم الواقفون مع الله في العلوم والأعمال والمقامات والأحوال والأقوال والأفعال وسائر الحركات والسكنات والإرادات والخطرات ومعادن الأسرار ومطالع الأنوار والعارفون المحبون المقربون رضي الله تعالى عنهم ونفع بهم</w:t>
      </w:r>
      <w:r w:rsidR="00DB731D" w:rsidRPr="00A52585">
        <w:rPr>
          <w:rFonts w:hint="cs"/>
          <w:sz w:val="24"/>
          <w:szCs w:val="24"/>
          <w:rtl/>
        </w:rPr>
        <w:t>،</w:t>
      </w:r>
      <w:r w:rsidR="00777DCB" w:rsidRPr="00A52585">
        <w:rPr>
          <w:rFonts w:hint="cs"/>
          <w:sz w:val="24"/>
          <w:szCs w:val="24"/>
          <w:rtl/>
        </w:rPr>
        <w:t xml:space="preserve"> إذا تقرر ذلك علم منه الجــواب عن جميع ما في الســؤال وهو الفرق بين خطاب النبي صلى الله عليه وسلم وخطاب الولي فالأول بواسطة الملك أو لا بواسطة أو بالرؤيا الصادقة أو بالنفث في الروع، وكل ذلك يسمى وحيا وكلاما ينسب إلى الله حقيقة ومن أنكر ما علم من الدين بالضرورة كفر والثاني شيء يلقي في القلب يثلج له الصدر وهو المسمى حديثاً وإلهاما لقوله صلى الله عليه وسلم في الحديث</w:t>
      </w:r>
      <w:r w:rsidRPr="00A52585">
        <w:rPr>
          <w:rFonts w:hint="cs"/>
          <w:sz w:val="24"/>
          <w:szCs w:val="24"/>
          <w:rtl/>
        </w:rPr>
        <w:t xml:space="preserve"> </w:t>
      </w:r>
      <w:r w:rsidR="00777DCB" w:rsidRPr="00A52585">
        <w:rPr>
          <w:rFonts w:hint="cs"/>
          <w:sz w:val="24"/>
          <w:szCs w:val="24"/>
          <w:rtl/>
        </w:rPr>
        <w:t>"إن في أمتي محدثون – بفتح الدال- ملهمون ومنهم عمر "</w:t>
      </w:r>
      <w:r w:rsidRPr="00A52585">
        <w:rPr>
          <w:rFonts w:hint="cs"/>
          <w:sz w:val="24"/>
          <w:szCs w:val="24"/>
          <w:rtl/>
        </w:rPr>
        <w:t xml:space="preserve"> </w:t>
      </w:r>
      <w:r w:rsidR="00777DCB" w:rsidRPr="00A52585">
        <w:rPr>
          <w:rFonts w:hint="cs"/>
          <w:sz w:val="24"/>
          <w:szCs w:val="24"/>
          <w:rtl/>
        </w:rPr>
        <w:t>أهـ وانظر ما ذكره الحافظ ابن حجر في (فتح الباري) كتاب التعبير- باب من رأى النبي صلى الله عليه وسلم في المنام عند شرحه لحديث رقم (6993)</w:t>
      </w:r>
      <w:r w:rsidRPr="00A52585">
        <w:rPr>
          <w:rFonts w:hint="cs"/>
          <w:sz w:val="24"/>
          <w:szCs w:val="24"/>
          <w:rtl/>
        </w:rPr>
        <w:t>]</w:t>
      </w:r>
      <w:r w:rsidR="00DB731D" w:rsidRPr="00A52585">
        <w:rPr>
          <w:rFonts w:hint="cs"/>
          <w:rtl/>
        </w:rPr>
        <w:t>،</w:t>
      </w:r>
      <w:r w:rsidR="00777DCB" w:rsidRPr="00A52585">
        <w:rPr>
          <w:rFonts w:hint="cs"/>
          <w:rtl/>
        </w:rPr>
        <w:t xml:space="preserve"> ثم تمام التقديس لا يحصل إلا بالتمكين بعد كمال التوحيد</w:t>
      </w:r>
      <w:r w:rsidR="00DB731D" w:rsidRPr="00A52585">
        <w:rPr>
          <w:rFonts w:hint="cs"/>
          <w:rtl/>
        </w:rPr>
        <w:t>،</w:t>
      </w:r>
      <w:r w:rsidR="00777DCB" w:rsidRPr="00A52585">
        <w:rPr>
          <w:rFonts w:hint="cs"/>
          <w:rtl/>
        </w:rPr>
        <w:t xml:space="preserve"> وحقيقة التوحيد تكون باعتبار الذات</w:t>
      </w:r>
      <w:r w:rsidR="00DB731D" w:rsidRPr="00A52585">
        <w:rPr>
          <w:rFonts w:hint="cs"/>
          <w:rtl/>
        </w:rPr>
        <w:t>،</w:t>
      </w:r>
      <w:r w:rsidR="00777DCB" w:rsidRPr="00A52585">
        <w:rPr>
          <w:rFonts w:hint="cs"/>
          <w:rtl/>
        </w:rPr>
        <w:t xml:space="preserve"> وباعتبار الفعل</w:t>
      </w:r>
      <w:r w:rsidR="00DB731D" w:rsidRPr="00A52585">
        <w:rPr>
          <w:rFonts w:hint="cs"/>
          <w:rtl/>
        </w:rPr>
        <w:t>،</w:t>
      </w:r>
      <w:r w:rsidR="00777DCB" w:rsidRPr="00A52585">
        <w:rPr>
          <w:rFonts w:hint="cs"/>
          <w:rtl/>
        </w:rPr>
        <w:t xml:space="preserve"> فتوحيد الذات</w:t>
      </w:r>
      <w:r w:rsidRPr="00A52585">
        <w:rPr>
          <w:rFonts w:hint="cs"/>
          <w:rtl/>
        </w:rPr>
        <w:t>:</w:t>
      </w:r>
      <w:r w:rsidR="00777DCB" w:rsidRPr="00A52585">
        <w:rPr>
          <w:rFonts w:hint="cs"/>
          <w:rtl/>
        </w:rPr>
        <w:t xml:space="preserve"> بنفي الحدوث</w:t>
      </w:r>
      <w:r w:rsidR="00DB731D" w:rsidRPr="00A52585">
        <w:rPr>
          <w:rFonts w:hint="cs"/>
          <w:rtl/>
        </w:rPr>
        <w:t>،</w:t>
      </w:r>
      <w:r w:rsidR="00777DCB" w:rsidRPr="00A52585">
        <w:rPr>
          <w:rFonts w:hint="cs"/>
          <w:rtl/>
        </w:rPr>
        <w:t xml:space="preserve"> وثبوت الأحدية بنفي الأضداد وثبوت الذات ينفي التشبيه ويحير العقل في بحر الإدراك</w:t>
      </w:r>
      <w:r w:rsidR="00DB731D" w:rsidRPr="00A52585">
        <w:rPr>
          <w:rFonts w:hint="cs"/>
          <w:rtl/>
        </w:rPr>
        <w:t>،</w:t>
      </w:r>
      <w:r w:rsidR="00777DCB" w:rsidRPr="00A52585">
        <w:rPr>
          <w:rFonts w:hint="cs"/>
          <w:rtl/>
        </w:rPr>
        <w:t xml:space="preserve"> وأما توحيد الأفعال</w:t>
      </w:r>
      <w:r w:rsidRPr="00A52585">
        <w:rPr>
          <w:rFonts w:hint="cs"/>
          <w:rtl/>
        </w:rPr>
        <w:t>:</w:t>
      </w:r>
      <w:r w:rsidR="00777DCB" w:rsidRPr="00A52585">
        <w:rPr>
          <w:rFonts w:hint="cs"/>
          <w:rtl/>
        </w:rPr>
        <w:t xml:space="preserve"> فهو شهود القدرة في المقدور ثم الاستغراق في أنوار العظمة فيغيب بذلك عن </w:t>
      </w:r>
      <w:r w:rsidR="00777DCB" w:rsidRPr="00A52585">
        <w:rPr>
          <w:rFonts w:hint="cs"/>
          <w:rtl/>
        </w:rPr>
        <w:lastRenderedPageBreak/>
        <w:t>الموجودات وتبقى القدرة بارزة بأسرار التوحيد ثم الاستغراق في أنوار المحو فيغيب عن رؤية القدرة بالقادر</w:t>
      </w:r>
      <w:r w:rsidR="00DB731D" w:rsidRPr="00A52585">
        <w:rPr>
          <w:rFonts w:hint="cs"/>
          <w:rtl/>
        </w:rPr>
        <w:t>،</w:t>
      </w:r>
      <w:r w:rsidR="00777DCB" w:rsidRPr="00A52585">
        <w:rPr>
          <w:rFonts w:hint="cs"/>
          <w:rtl/>
        </w:rPr>
        <w:t xml:space="preserve"> ومن </w:t>
      </w:r>
      <w:proofErr w:type="spellStart"/>
      <w:r w:rsidR="00777DCB" w:rsidRPr="00A52585">
        <w:rPr>
          <w:rFonts w:hint="cs"/>
          <w:rtl/>
        </w:rPr>
        <w:t>مقدوراته</w:t>
      </w:r>
      <w:proofErr w:type="spellEnd"/>
      <w:r w:rsidR="00777DCB" w:rsidRPr="00A52585">
        <w:rPr>
          <w:rFonts w:hint="cs"/>
          <w:rtl/>
        </w:rPr>
        <w:t xml:space="preserve"> جل وعلا ما ذكره في قوله تعالى </w:t>
      </w:r>
      <w:r w:rsidRPr="00A52585">
        <w:rPr>
          <w:rFonts w:hint="cs"/>
          <w:rtl/>
        </w:rPr>
        <w:t>{</w:t>
      </w:r>
      <w:r w:rsidR="00777DCB" w:rsidRPr="00A52585">
        <w:rPr>
          <w:rFonts w:hint="cs"/>
          <w:rtl/>
        </w:rPr>
        <w:t>يوم يقوم الروح</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النبأ</w:t>
      </w:r>
      <w:r w:rsidRPr="00A52585">
        <w:rPr>
          <w:rFonts w:hint="cs"/>
          <w:rtl/>
        </w:rPr>
        <w:t>:</w:t>
      </w:r>
      <w:r w:rsidR="00777DCB" w:rsidRPr="00A52585">
        <w:rPr>
          <w:rFonts w:hint="cs"/>
          <w:rtl/>
        </w:rPr>
        <w:t xml:space="preserve"> 27</w:t>
      </w:r>
      <w:r w:rsidR="00DB731D" w:rsidRPr="00A52585">
        <w:rPr>
          <w:rFonts w:hint="cs"/>
          <w:rtl/>
        </w:rPr>
        <w:t>،</w:t>
      </w:r>
      <w:r w:rsidR="00777DCB" w:rsidRPr="00A52585">
        <w:rPr>
          <w:rFonts w:hint="cs"/>
          <w:rtl/>
        </w:rPr>
        <w:t xml:space="preserve"> الآية</w:t>
      </w:r>
      <w:r w:rsidR="00DB731D" w:rsidRPr="00A52585">
        <w:rPr>
          <w:rFonts w:hint="cs"/>
          <w:rtl/>
        </w:rPr>
        <w:t>،</w:t>
      </w:r>
      <w:r w:rsidR="00777DCB" w:rsidRPr="00A52585">
        <w:rPr>
          <w:rFonts w:hint="cs"/>
          <w:rtl/>
        </w:rPr>
        <w:t xml:space="preserve"> قال أبو الفرج بن الجوزي روى عن علي رضي الله عنه في </w:t>
      </w:r>
      <w:r w:rsidR="00777DCB" w:rsidRPr="00A52585">
        <w:rPr>
          <w:rFonts w:hint="cs"/>
          <w:spacing w:val="-8"/>
          <w:rtl/>
        </w:rPr>
        <w:t>تفسيرها</w:t>
      </w:r>
      <w:r w:rsidRPr="00A52585">
        <w:rPr>
          <w:rFonts w:hint="cs"/>
          <w:spacing w:val="-8"/>
          <w:rtl/>
        </w:rPr>
        <w:t>:</w:t>
      </w:r>
      <w:r w:rsidR="00777DCB" w:rsidRPr="00A52585">
        <w:rPr>
          <w:rFonts w:hint="cs"/>
          <w:spacing w:val="-8"/>
          <w:rtl/>
        </w:rPr>
        <w:t xml:space="preserve"> أن الروح ملك عظيم له سبعون ألف وجه</w:t>
      </w:r>
      <w:r w:rsidR="00DB731D" w:rsidRPr="00A52585">
        <w:rPr>
          <w:rFonts w:hint="cs"/>
          <w:spacing w:val="-8"/>
          <w:rtl/>
        </w:rPr>
        <w:t>،</w:t>
      </w:r>
      <w:r w:rsidR="00777DCB" w:rsidRPr="00A52585">
        <w:rPr>
          <w:rFonts w:hint="cs"/>
          <w:spacing w:val="-8"/>
          <w:rtl/>
        </w:rPr>
        <w:t xml:space="preserve"> في كل وجه سبعون ألف</w:t>
      </w:r>
      <w:r w:rsidR="00777DCB" w:rsidRPr="00A52585">
        <w:rPr>
          <w:rFonts w:hint="cs"/>
          <w:rtl/>
        </w:rPr>
        <w:t xml:space="preserve"> لسان</w:t>
      </w:r>
      <w:r w:rsidR="00DB731D" w:rsidRPr="00A52585">
        <w:rPr>
          <w:rFonts w:hint="cs"/>
          <w:rtl/>
        </w:rPr>
        <w:t>،</w:t>
      </w:r>
      <w:r w:rsidR="00777DCB" w:rsidRPr="00A52585">
        <w:rPr>
          <w:rFonts w:hint="cs"/>
          <w:rtl/>
        </w:rPr>
        <w:t xml:space="preserve"> لكل لسان</w:t>
      </w:r>
      <w:r w:rsidR="00777DCB" w:rsidRPr="00A52585">
        <w:rPr>
          <w:rFonts w:hint="cs"/>
          <w:spacing w:val="-8"/>
          <w:rtl/>
        </w:rPr>
        <w:t xml:space="preserve"> سبعون ألف لغة</w:t>
      </w:r>
      <w:r w:rsidR="00777DCB" w:rsidRPr="00A52585">
        <w:rPr>
          <w:rFonts w:hint="cs"/>
          <w:rtl/>
        </w:rPr>
        <w:t xml:space="preserve"> </w:t>
      </w:r>
      <w:r w:rsidR="00777DCB" w:rsidRPr="00A52585">
        <w:rPr>
          <w:rFonts w:hint="cs"/>
          <w:spacing w:val="-8"/>
          <w:rtl/>
        </w:rPr>
        <w:t>تسبح الله تعالى بتلك</w:t>
      </w:r>
      <w:r w:rsidR="00777DCB" w:rsidRPr="00A52585">
        <w:rPr>
          <w:rFonts w:hint="cs"/>
          <w:rtl/>
        </w:rPr>
        <w:t xml:space="preserve"> اللغات كلها</w:t>
      </w:r>
      <w:r w:rsidR="00DB731D" w:rsidRPr="00A52585">
        <w:rPr>
          <w:rFonts w:hint="cs"/>
          <w:rtl/>
        </w:rPr>
        <w:t>،</w:t>
      </w:r>
      <w:r w:rsidR="00777DCB" w:rsidRPr="00A52585">
        <w:rPr>
          <w:rFonts w:hint="cs"/>
          <w:rtl/>
        </w:rPr>
        <w:t xml:space="preserve"> </w:t>
      </w:r>
      <w:r w:rsidR="00777DCB" w:rsidRPr="00A52585">
        <w:rPr>
          <w:rFonts w:hint="cs"/>
          <w:spacing w:val="-10"/>
          <w:rtl/>
        </w:rPr>
        <w:t>يخلق الله عز وجل من كل تسبيحة ملكاً يطير مع الملائكة إلى يوم القيامة</w:t>
      </w:r>
      <w:r w:rsidR="00DB731D" w:rsidRPr="00A52585">
        <w:rPr>
          <w:rFonts w:hint="cs"/>
          <w:spacing w:val="-10"/>
          <w:rtl/>
        </w:rPr>
        <w:t>،</w:t>
      </w:r>
      <w:r w:rsidR="00777DCB" w:rsidRPr="00A52585">
        <w:rPr>
          <w:rFonts w:hint="cs"/>
          <w:spacing w:val="-10"/>
          <w:rtl/>
        </w:rPr>
        <w:t xml:space="preserve"> </w:t>
      </w:r>
      <w:r w:rsidR="00777DCB" w:rsidRPr="00A52585">
        <w:rPr>
          <w:rFonts w:hint="cs"/>
          <w:rtl/>
        </w:rPr>
        <w:t>وقال ابن مسعود رضي الله عنه</w:t>
      </w:r>
      <w:r w:rsidRPr="00A52585">
        <w:rPr>
          <w:rFonts w:hint="cs"/>
          <w:rtl/>
        </w:rPr>
        <w:t>:</w:t>
      </w:r>
      <w:r w:rsidR="00777DCB" w:rsidRPr="00A52585">
        <w:rPr>
          <w:rFonts w:hint="cs"/>
          <w:rtl/>
        </w:rPr>
        <w:t xml:space="preserve"> الروح ملك عظيم أعظم من السموات والأرضين والجبال والملائكة</w:t>
      </w:r>
      <w:r w:rsidR="00DB731D" w:rsidRPr="00A52585">
        <w:rPr>
          <w:rFonts w:hint="cs"/>
          <w:rtl/>
        </w:rPr>
        <w:t>،</w:t>
      </w:r>
      <w:r w:rsidR="00777DCB" w:rsidRPr="00A52585">
        <w:rPr>
          <w:rFonts w:hint="cs"/>
          <w:rtl/>
        </w:rPr>
        <w:t xml:space="preserve"> يسبح كل يوم ألف تسبيحة يخلق الله سبحانه وتعالى في </w:t>
      </w:r>
      <w:r w:rsidR="00777DCB" w:rsidRPr="00A52585">
        <w:rPr>
          <w:rFonts w:hint="cs"/>
          <w:spacing w:val="-6"/>
          <w:rtl/>
        </w:rPr>
        <w:t>كل تسبيحة ملكا يجيء يوم القيامة صفا</w:t>
      </w:r>
      <w:r w:rsidR="00DB731D" w:rsidRPr="00A52585">
        <w:rPr>
          <w:rFonts w:hint="cs"/>
          <w:spacing w:val="-6"/>
          <w:rtl/>
        </w:rPr>
        <w:t>،</w:t>
      </w:r>
      <w:r w:rsidR="00777DCB" w:rsidRPr="00A52585">
        <w:rPr>
          <w:rFonts w:hint="cs"/>
          <w:spacing w:val="-6"/>
          <w:rtl/>
        </w:rPr>
        <w:t xml:space="preserve"> والملائكة بأسرهم يجيئون صفا</w:t>
      </w:r>
      <w:r w:rsidR="00DB731D" w:rsidRPr="00A52585">
        <w:rPr>
          <w:rFonts w:hint="cs"/>
          <w:spacing w:val="-6"/>
          <w:rtl/>
        </w:rPr>
        <w:t>،</w:t>
      </w:r>
      <w:r w:rsidR="00777DCB" w:rsidRPr="00A52585">
        <w:rPr>
          <w:rFonts w:hint="cs"/>
          <w:spacing w:val="-6"/>
          <w:rtl/>
        </w:rPr>
        <w:t xml:space="preserve"> </w:t>
      </w:r>
      <w:r w:rsidR="00777DCB" w:rsidRPr="00A52585">
        <w:rPr>
          <w:rFonts w:hint="cs"/>
          <w:rtl/>
        </w:rPr>
        <w:t>قال ابن عباس</w:t>
      </w:r>
      <w:r w:rsidRPr="00A52585">
        <w:rPr>
          <w:rFonts w:hint="cs"/>
          <w:rtl/>
        </w:rPr>
        <w:t>:</w:t>
      </w:r>
      <w:r w:rsidR="00777DCB" w:rsidRPr="00A52585">
        <w:rPr>
          <w:rFonts w:hint="cs"/>
          <w:rtl/>
        </w:rPr>
        <w:t xml:space="preserve"> وهو الذي ينزل ليلة القدر. زعيم الملائكة</w:t>
      </w:r>
      <w:r w:rsidR="00DB731D" w:rsidRPr="00A52585">
        <w:rPr>
          <w:rFonts w:hint="cs"/>
          <w:rtl/>
        </w:rPr>
        <w:t>،</w:t>
      </w:r>
      <w:r w:rsidR="00777DCB" w:rsidRPr="00A52585">
        <w:rPr>
          <w:rFonts w:hint="cs"/>
          <w:rtl/>
        </w:rPr>
        <w:t xml:space="preserve"> وبيده لواء طوله ألف عام</w:t>
      </w:r>
      <w:r w:rsidR="00DB731D" w:rsidRPr="00A52585">
        <w:rPr>
          <w:rFonts w:hint="cs"/>
          <w:rtl/>
        </w:rPr>
        <w:t>،</w:t>
      </w:r>
      <w:r w:rsidR="00777DCB" w:rsidRPr="00A52585">
        <w:rPr>
          <w:rFonts w:hint="cs"/>
          <w:rtl/>
        </w:rPr>
        <w:t xml:space="preserve"> فيغرزه في ظهر الكعبة</w:t>
      </w:r>
      <w:r w:rsidR="00DB731D" w:rsidRPr="00A52585">
        <w:rPr>
          <w:rFonts w:hint="cs"/>
          <w:rtl/>
        </w:rPr>
        <w:t>،</w:t>
      </w:r>
      <w:r w:rsidR="00777DCB" w:rsidRPr="00A52585">
        <w:rPr>
          <w:rFonts w:hint="cs"/>
          <w:rtl/>
        </w:rPr>
        <w:t xml:space="preserve"> ولو أذن الله عز وجل له أن يلتقم </w:t>
      </w:r>
      <w:proofErr w:type="gramStart"/>
      <w:r w:rsidR="00777DCB" w:rsidRPr="00A52585">
        <w:rPr>
          <w:rFonts w:hint="cs"/>
          <w:rtl/>
        </w:rPr>
        <w:t>السموات</w:t>
      </w:r>
      <w:proofErr w:type="gramEnd"/>
      <w:r w:rsidR="00777DCB" w:rsidRPr="00A52585">
        <w:rPr>
          <w:rFonts w:hint="cs"/>
          <w:rtl/>
        </w:rPr>
        <w:t xml:space="preserve"> والأرض لفعل</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الروح هنا جبريل عليه الصلاة والسلام</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ملك ما خلق الله بعد العرش خلقاً أعظم منه. وقيل غير ذلك</w:t>
      </w:r>
      <w:r w:rsidR="00DB731D" w:rsidRPr="00A52585">
        <w:rPr>
          <w:rFonts w:hint="cs"/>
          <w:rtl/>
        </w:rPr>
        <w:t>،</w:t>
      </w:r>
      <w:r w:rsidR="00777DCB" w:rsidRPr="00A52585">
        <w:rPr>
          <w:rFonts w:hint="cs"/>
          <w:rtl/>
        </w:rPr>
        <w:t xml:space="preserve"> روي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رأيت على كل ورقة من السدرة ملكاً قائماً يسبح الله عز وجل</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روت ذلك كتب التفسير بالمأثور عند تفسير الآية الكريمة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إذ يغشى السدرة ما يغشى</w:t>
      </w:r>
      <w:r w:rsidRPr="00A52585">
        <w:rPr>
          <w:rFonts w:hint="cs"/>
          <w:sz w:val="24"/>
          <w:szCs w:val="24"/>
          <w:rtl/>
        </w:rPr>
        <w:t>}</w:t>
      </w:r>
      <w:r w:rsidR="00777DCB" w:rsidRPr="00A52585">
        <w:rPr>
          <w:rFonts w:hint="cs"/>
          <w:sz w:val="24"/>
          <w:szCs w:val="24"/>
          <w:rtl/>
        </w:rPr>
        <w:t xml:space="preserve"> الآية 16 من سورة النجم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أ</w:t>
      </w:r>
      <w:r w:rsidR="00777DCB" w:rsidRPr="00A52585">
        <w:rPr>
          <w:rFonts w:hint="cs"/>
          <w:spacing w:val="-4"/>
          <w:sz w:val="24"/>
          <w:szCs w:val="24"/>
          <w:rtl/>
        </w:rPr>
        <w:t>- قال الإمام الطبري في تفسير الآية الكريمة</w:t>
      </w:r>
      <w:r w:rsidRPr="00A52585">
        <w:rPr>
          <w:rFonts w:hint="cs"/>
          <w:spacing w:val="-4"/>
          <w:sz w:val="24"/>
          <w:szCs w:val="24"/>
          <w:rtl/>
        </w:rPr>
        <w:t xml:space="preserve">: </w:t>
      </w:r>
      <w:r w:rsidR="00777DCB" w:rsidRPr="00A52585">
        <w:rPr>
          <w:rFonts w:hint="cs"/>
          <w:spacing w:val="-4"/>
          <w:sz w:val="24"/>
          <w:szCs w:val="24"/>
          <w:rtl/>
        </w:rPr>
        <w:t>" حدثني يونس قال أخبرنا ابن وهب قال</w:t>
      </w:r>
      <w:r w:rsidRPr="00A52585">
        <w:rPr>
          <w:rFonts w:hint="cs"/>
          <w:spacing w:val="-4"/>
          <w:sz w:val="24"/>
          <w:szCs w:val="24"/>
          <w:rtl/>
        </w:rPr>
        <w:t>:</w:t>
      </w:r>
      <w:r w:rsidR="00777DCB" w:rsidRPr="00A52585">
        <w:rPr>
          <w:rFonts w:hint="cs"/>
          <w:spacing w:val="-4"/>
          <w:sz w:val="24"/>
          <w:szCs w:val="24"/>
          <w:rtl/>
        </w:rPr>
        <w:t xml:space="preserve"> قال ابن زيد في قوله (إذ يغشى السدرة ما يغشى) قال</w:t>
      </w:r>
      <w:r w:rsidRPr="00A52585">
        <w:rPr>
          <w:rFonts w:hint="cs"/>
          <w:spacing w:val="-4"/>
          <w:sz w:val="24"/>
          <w:szCs w:val="24"/>
          <w:rtl/>
        </w:rPr>
        <w:t>:</w:t>
      </w:r>
      <w:r w:rsidR="00777DCB" w:rsidRPr="00A52585">
        <w:rPr>
          <w:rFonts w:hint="cs"/>
          <w:spacing w:val="-4"/>
          <w:sz w:val="24"/>
          <w:szCs w:val="24"/>
          <w:rtl/>
        </w:rPr>
        <w:t xml:space="preserve"> قيل له يا رسول الله أي شيء رأيت يغشى تلك السدرة</w:t>
      </w:r>
      <w:r w:rsidR="00F95886" w:rsidRPr="00A52585">
        <w:rPr>
          <w:rFonts w:hint="cs"/>
          <w:spacing w:val="-4"/>
          <w:sz w:val="24"/>
          <w:szCs w:val="24"/>
          <w:rtl/>
        </w:rPr>
        <w:t>؟</w:t>
      </w:r>
      <w:r w:rsidR="00777DCB" w:rsidRPr="00A52585">
        <w:rPr>
          <w:rFonts w:hint="cs"/>
          <w:spacing w:val="-4"/>
          <w:sz w:val="24"/>
          <w:szCs w:val="24"/>
          <w:rtl/>
        </w:rPr>
        <w:t xml:space="preserve"> قال</w:t>
      </w:r>
      <w:r w:rsidRPr="00A52585">
        <w:rPr>
          <w:rFonts w:hint="cs"/>
          <w:spacing w:val="-4"/>
          <w:sz w:val="24"/>
          <w:szCs w:val="24"/>
          <w:rtl/>
        </w:rPr>
        <w:t>:</w:t>
      </w:r>
      <w:r w:rsidR="00777DCB" w:rsidRPr="00A52585">
        <w:rPr>
          <w:rFonts w:hint="cs"/>
          <w:spacing w:val="-4"/>
          <w:sz w:val="24"/>
          <w:szCs w:val="24"/>
          <w:rtl/>
        </w:rPr>
        <w:t xml:space="preserve"> (رأيتها يغشاها فراش من ذهب ورأيت على كل ورقة من ورقها ملكا قائماً يسبح الله)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وقال</w:t>
      </w:r>
      <w:r w:rsidRPr="00A52585">
        <w:rPr>
          <w:rFonts w:hint="cs"/>
          <w:sz w:val="24"/>
          <w:szCs w:val="24"/>
          <w:rtl/>
        </w:rPr>
        <w:t xml:space="preserve">: </w:t>
      </w:r>
      <w:r w:rsidR="00777DCB" w:rsidRPr="00A52585">
        <w:rPr>
          <w:rFonts w:hint="cs"/>
          <w:sz w:val="24"/>
          <w:szCs w:val="24"/>
          <w:rtl/>
        </w:rPr>
        <w:t xml:space="preserve">" حدثنا ابن حميد قال ثنا </w:t>
      </w:r>
      <w:r w:rsidR="00777DCB" w:rsidRPr="00A52585">
        <w:rPr>
          <w:rFonts w:hint="cs"/>
          <w:spacing w:val="-6"/>
          <w:sz w:val="24"/>
          <w:szCs w:val="24"/>
          <w:rtl/>
        </w:rPr>
        <w:t>مهران عن أبي جعفر عن الربيع (إذ يغشى السدرة ما</w:t>
      </w:r>
      <w:r w:rsidR="00777DCB" w:rsidRPr="00A52585">
        <w:rPr>
          <w:rFonts w:hint="cs"/>
          <w:sz w:val="24"/>
          <w:szCs w:val="24"/>
          <w:rtl/>
        </w:rPr>
        <w:t xml:space="preserve"> يغشى) قال</w:t>
      </w:r>
      <w:r w:rsidRPr="00A52585">
        <w:rPr>
          <w:rFonts w:hint="cs"/>
          <w:sz w:val="24"/>
          <w:szCs w:val="24"/>
          <w:rtl/>
        </w:rPr>
        <w:t>:</w:t>
      </w:r>
      <w:r w:rsidR="00777DCB" w:rsidRPr="00A52585">
        <w:rPr>
          <w:rFonts w:hint="cs"/>
          <w:sz w:val="24"/>
          <w:szCs w:val="24"/>
          <w:rtl/>
        </w:rPr>
        <w:t xml:space="preserve"> غشيها نور الرب وغشيتها الملائكة من حب الله مثل الغربان حين يقعن على الشجر"</w:t>
      </w:r>
      <w:r w:rsidR="00DB731D" w:rsidRPr="00A52585">
        <w:rPr>
          <w:rFonts w:hint="cs"/>
          <w:sz w:val="24"/>
          <w:szCs w:val="24"/>
          <w:rtl/>
        </w:rPr>
        <w:t>،</w:t>
      </w:r>
      <w:r w:rsidR="00777DCB" w:rsidRPr="00A52585">
        <w:rPr>
          <w:rFonts w:hint="cs"/>
          <w:sz w:val="24"/>
          <w:szCs w:val="24"/>
          <w:rtl/>
        </w:rPr>
        <w:t xml:space="preserve"> ثم ذكر حديثا ثالثا فقال</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حدثنا علي بن سهل قال ثنا حجاج قال</w:t>
      </w:r>
      <w:r w:rsidRPr="00A52585">
        <w:rPr>
          <w:rFonts w:hint="cs"/>
          <w:sz w:val="24"/>
          <w:szCs w:val="24"/>
          <w:rtl/>
        </w:rPr>
        <w:t>:</w:t>
      </w:r>
      <w:r w:rsidR="00777DCB" w:rsidRPr="00A52585">
        <w:rPr>
          <w:rFonts w:hint="cs"/>
          <w:sz w:val="24"/>
          <w:szCs w:val="24"/>
          <w:rtl/>
        </w:rPr>
        <w:t xml:space="preserve"> ثنا أبو جعفر الرازي عن الربيع بن أنس عن أبي العالية الرياحي عن أبي هريرة أو غيره- شك أبو جعفر- قال</w:t>
      </w:r>
      <w:r w:rsidRPr="00A52585">
        <w:rPr>
          <w:rFonts w:hint="cs"/>
          <w:sz w:val="24"/>
          <w:szCs w:val="24"/>
          <w:rtl/>
        </w:rPr>
        <w:t>:</w:t>
      </w:r>
      <w:r w:rsidR="00777DCB" w:rsidRPr="00A52585">
        <w:rPr>
          <w:rFonts w:hint="cs"/>
          <w:sz w:val="24"/>
          <w:szCs w:val="24"/>
          <w:rtl/>
        </w:rPr>
        <w:t xml:space="preserve"> لما أسرى بالنبي صلى الله عليه وسلم انتهى إلى السدرة قال</w:t>
      </w:r>
      <w:r w:rsidRPr="00A52585">
        <w:rPr>
          <w:rFonts w:hint="cs"/>
          <w:sz w:val="24"/>
          <w:szCs w:val="24"/>
          <w:rtl/>
        </w:rPr>
        <w:t>:</w:t>
      </w:r>
      <w:r w:rsidR="00777DCB" w:rsidRPr="00A52585">
        <w:rPr>
          <w:rFonts w:hint="cs"/>
          <w:sz w:val="24"/>
          <w:szCs w:val="24"/>
          <w:rtl/>
        </w:rPr>
        <w:t xml:space="preserve"> فغشيها نور الخلاّق وغشيتها الملائكة أمثال الغربان حين يقعن على الشجر قال</w:t>
      </w:r>
      <w:r w:rsidRPr="00A52585">
        <w:rPr>
          <w:rFonts w:hint="cs"/>
          <w:sz w:val="24"/>
          <w:szCs w:val="24"/>
          <w:rtl/>
        </w:rPr>
        <w:t>:</w:t>
      </w:r>
      <w:r w:rsidR="00777DCB" w:rsidRPr="00A52585">
        <w:rPr>
          <w:rFonts w:hint="cs"/>
          <w:sz w:val="24"/>
          <w:szCs w:val="24"/>
          <w:rtl/>
        </w:rPr>
        <w:t xml:space="preserve"> فكلمه عند ذلك فقال له</w:t>
      </w:r>
      <w:r w:rsidRPr="00A52585">
        <w:rPr>
          <w:rFonts w:hint="cs"/>
          <w:sz w:val="24"/>
          <w:szCs w:val="24"/>
          <w:rtl/>
        </w:rPr>
        <w:t>:</w:t>
      </w:r>
      <w:r w:rsidR="00777DCB" w:rsidRPr="00A52585">
        <w:rPr>
          <w:rFonts w:hint="cs"/>
          <w:sz w:val="24"/>
          <w:szCs w:val="24"/>
          <w:rtl/>
        </w:rPr>
        <w:t xml:space="preserve"> سل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ب- وقال الإمام القرطبي في تفسير الآية</w:t>
      </w:r>
      <w:r w:rsidRPr="00A52585">
        <w:rPr>
          <w:rFonts w:hint="cs"/>
          <w:sz w:val="24"/>
          <w:szCs w:val="24"/>
          <w:rtl/>
        </w:rPr>
        <w:t xml:space="preserve"> </w:t>
      </w:r>
      <w:r w:rsidR="00777DCB" w:rsidRPr="00A52585">
        <w:rPr>
          <w:rFonts w:hint="cs"/>
          <w:sz w:val="24"/>
          <w:szCs w:val="24"/>
          <w:rtl/>
        </w:rPr>
        <w:t>" وعن النبي صلى الله عليه وسلم</w:t>
      </w:r>
      <w:r w:rsidRPr="00A52585">
        <w:rPr>
          <w:rFonts w:hint="cs"/>
          <w:sz w:val="24"/>
          <w:szCs w:val="24"/>
          <w:rtl/>
        </w:rPr>
        <w:t xml:space="preserve">: </w:t>
      </w:r>
      <w:r w:rsidR="00777DCB" w:rsidRPr="00A52585">
        <w:rPr>
          <w:rFonts w:hint="cs"/>
          <w:sz w:val="24"/>
          <w:szCs w:val="24"/>
          <w:rtl/>
        </w:rPr>
        <w:t>" رأيت السدرة يغشاها فراش من ذهب رأيت على كل ورقة ملكا قائماً يسبح الله تعالى وذلك قوله</w:t>
      </w:r>
      <w:r w:rsidRPr="00A52585">
        <w:rPr>
          <w:rFonts w:hint="cs"/>
          <w:sz w:val="24"/>
          <w:szCs w:val="24"/>
          <w:rtl/>
        </w:rPr>
        <w:t>:</w:t>
      </w:r>
      <w:r w:rsidR="00777DCB" w:rsidRPr="00A52585">
        <w:rPr>
          <w:rFonts w:hint="cs"/>
          <w:sz w:val="24"/>
          <w:szCs w:val="24"/>
          <w:rtl/>
        </w:rPr>
        <w:t xml:space="preserve"> إذ يغشى السدرة ما يغشى "</w:t>
      </w:r>
      <w:r w:rsidRPr="00A52585">
        <w:rPr>
          <w:rFonts w:hint="cs"/>
          <w:sz w:val="24"/>
          <w:szCs w:val="24"/>
          <w:rtl/>
        </w:rPr>
        <w:t xml:space="preserve"> </w:t>
      </w:r>
      <w:r w:rsidR="00777DCB" w:rsidRPr="00A52585">
        <w:rPr>
          <w:rFonts w:hint="cs"/>
          <w:sz w:val="24"/>
          <w:szCs w:val="24"/>
          <w:rtl/>
        </w:rPr>
        <w:t>ذكره المهدوي والثعلبي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ج- ونحو ذلك أيضاً في تفسير الألوسي ودلائل النبوة للبيهقي وفتح الباري لابن حجر عند الكلام على حديث المعراج</w:t>
      </w:r>
      <w:r w:rsidRPr="00A52585">
        <w:rPr>
          <w:rFonts w:hint="cs"/>
          <w:sz w:val="24"/>
          <w:szCs w:val="24"/>
          <w:rtl/>
        </w:rPr>
        <w:t>:</w:t>
      </w:r>
      <w:r w:rsidR="00777DCB" w:rsidRPr="00A52585">
        <w:rPr>
          <w:rFonts w:hint="cs"/>
          <w:sz w:val="24"/>
          <w:szCs w:val="24"/>
          <w:rtl/>
        </w:rPr>
        <w:t xml:space="preserve"> كتاب المبعث النبوي حديث رقم 3887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وإن كان في طرق ما وقفنا عليه من هذه الروايات مقال إلا أنه بمجموعها يتقوى الحديث إن شاء الله</w:t>
      </w:r>
      <w:r w:rsidRPr="00A52585">
        <w:rPr>
          <w:rFonts w:hint="cs"/>
          <w:sz w:val="24"/>
          <w:szCs w:val="24"/>
          <w:rtl/>
        </w:rPr>
        <w:t>]</w:t>
      </w:r>
      <w:r w:rsidR="00DB731D" w:rsidRPr="00A52585">
        <w:rPr>
          <w:rFonts w:hint="cs"/>
          <w:sz w:val="24"/>
          <w:rtl/>
        </w:rPr>
        <w:t>،</w:t>
      </w:r>
      <w:r w:rsidR="00777DCB" w:rsidRPr="00A52585">
        <w:rPr>
          <w:rFonts w:hint="cs"/>
          <w:rtl/>
        </w:rPr>
        <w:t xml:space="preserve"> ومراده سدرة المنتهى سميت بذلك لأنها لا يتجاوزها أحد من الملائكة وغيرهم</w:t>
      </w:r>
      <w:r w:rsidR="00DB731D" w:rsidRPr="00A52585">
        <w:rPr>
          <w:rFonts w:hint="cs"/>
          <w:rtl/>
        </w:rPr>
        <w:t>،</w:t>
      </w:r>
      <w:r w:rsidR="00777DCB" w:rsidRPr="00A52585">
        <w:rPr>
          <w:rFonts w:hint="cs"/>
          <w:rtl/>
        </w:rPr>
        <w:t xml:space="preserve"> ولا يعلم ما وراءها إلا الله عز وجل</w:t>
      </w:r>
      <w:r w:rsidR="00DB731D" w:rsidRPr="00A52585">
        <w:rPr>
          <w:rFonts w:hint="cs"/>
          <w:rtl/>
        </w:rPr>
        <w:t>،</w:t>
      </w:r>
      <w:r w:rsidR="00777DCB" w:rsidRPr="00A52585">
        <w:rPr>
          <w:rFonts w:hint="cs"/>
          <w:rtl/>
        </w:rPr>
        <w:t xml:space="preserve"> وهي شجرة نبق على يمين العرش عندها جنة المأوى يأوي إليها الملائكة عليهم السلام</w:t>
      </w:r>
      <w:r w:rsidR="00DB731D" w:rsidRPr="00A52585">
        <w:rPr>
          <w:rFonts w:hint="cs"/>
          <w:rtl/>
        </w:rPr>
        <w:t>،</w:t>
      </w:r>
      <w:r w:rsidR="00777DCB" w:rsidRPr="00A52585">
        <w:rPr>
          <w:rFonts w:hint="cs"/>
          <w:rtl/>
        </w:rPr>
        <w:t xml:space="preserve"> وقيل أرواح الشهداء. وقيل</w:t>
      </w:r>
      <w:r w:rsidRPr="00A52585">
        <w:rPr>
          <w:rFonts w:hint="cs"/>
          <w:rtl/>
        </w:rPr>
        <w:t>:</w:t>
      </w:r>
      <w:r w:rsidR="00777DCB" w:rsidRPr="00A52585">
        <w:rPr>
          <w:rFonts w:hint="cs"/>
          <w:rtl/>
        </w:rPr>
        <w:t xml:space="preserve"> أرواح المتقين</w:t>
      </w:r>
      <w:r w:rsidR="00DB731D" w:rsidRPr="00A52585">
        <w:rPr>
          <w:rFonts w:hint="cs"/>
          <w:rtl/>
        </w:rPr>
        <w:t>،</w:t>
      </w:r>
      <w:r w:rsidR="00777DCB" w:rsidRPr="00A52585">
        <w:rPr>
          <w:rFonts w:hint="cs"/>
          <w:rtl/>
        </w:rPr>
        <w:t xml:space="preserve"> </w:t>
      </w:r>
      <w:r w:rsidR="00777DCB" w:rsidRPr="00A52585">
        <w:rPr>
          <w:rFonts w:hint="cs"/>
          <w:bCs/>
          <w:rtl/>
        </w:rPr>
        <w:t>وقال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تبارك اسم ربك ذي الجلال والإكرام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الرحمن</w:t>
      </w:r>
      <w:r w:rsidRPr="00A52585">
        <w:rPr>
          <w:rFonts w:hint="cs"/>
          <w:rtl/>
        </w:rPr>
        <w:t>:</w:t>
      </w:r>
      <w:r w:rsidR="00777DCB" w:rsidRPr="00A52585">
        <w:rPr>
          <w:rFonts w:hint="cs"/>
          <w:rtl/>
        </w:rPr>
        <w:t xml:space="preserve"> 78</w:t>
      </w:r>
      <w:r w:rsidRPr="00A52585">
        <w:rPr>
          <w:rFonts w:hint="cs"/>
          <w:rtl/>
        </w:rPr>
        <w:t>]</w:t>
      </w:r>
      <w:r w:rsidR="00DB731D" w:rsidRPr="00A52585">
        <w:rPr>
          <w:rFonts w:hint="cs"/>
          <w:rtl/>
        </w:rPr>
        <w:t>،</w:t>
      </w:r>
      <w:r w:rsidR="00777DCB" w:rsidRPr="00A52585">
        <w:rPr>
          <w:rFonts w:hint="cs"/>
          <w:rtl/>
        </w:rPr>
        <w:t xml:space="preserve"> معنى تبارك جل وعظم ومعنى ذي الجلال المستحق للرفعة وصفات التعالي </w:t>
      </w:r>
      <w:r w:rsidR="00777DCB" w:rsidRPr="00A52585">
        <w:rPr>
          <w:rFonts w:hint="cs"/>
          <w:rtl/>
        </w:rPr>
        <w:lastRenderedPageBreak/>
        <w:t>ونعوت الكمال جل أن يعرف جلاله غيره تنزه وعظم شأنه عما يقول فيه المبطلون</w:t>
      </w:r>
      <w:r w:rsidR="00DB731D" w:rsidRPr="00A52585">
        <w:rPr>
          <w:rFonts w:hint="cs"/>
          <w:rtl/>
        </w:rPr>
        <w:t>،</w:t>
      </w:r>
      <w:r w:rsidR="00777DCB" w:rsidRPr="00A52585">
        <w:rPr>
          <w:rFonts w:hint="cs"/>
          <w:rtl/>
        </w:rPr>
        <w:t xml:space="preserve"> لأن كل شيء يثني عليه بقدرته</w:t>
      </w:r>
      <w:r w:rsidR="00DB731D" w:rsidRPr="00A52585">
        <w:rPr>
          <w:rFonts w:hint="cs"/>
          <w:rtl/>
        </w:rPr>
        <w:t>،</w:t>
      </w:r>
      <w:r w:rsidR="00777DCB" w:rsidRPr="00A52585">
        <w:rPr>
          <w:rFonts w:hint="cs"/>
          <w:rtl/>
        </w:rPr>
        <w:t xml:space="preserve"> وكل ذاكر يذكره على قدر طاقته وطبعه وعلمه وفهمه</w:t>
      </w:r>
      <w:r w:rsidR="00DB731D" w:rsidRPr="00A52585">
        <w:rPr>
          <w:rFonts w:hint="cs"/>
          <w:rtl/>
        </w:rPr>
        <w:t>،</w:t>
      </w:r>
      <w:r w:rsidR="00777DCB" w:rsidRPr="00A52585">
        <w:rPr>
          <w:rFonts w:hint="cs"/>
          <w:rtl/>
        </w:rPr>
        <w:t xml:space="preserve"> والحق جل جلاله ذِكْرُه خارج عن أوهام الآدميين</w:t>
      </w:r>
      <w:r w:rsidR="00DB731D" w:rsidRPr="00A52585">
        <w:rPr>
          <w:rFonts w:hint="cs"/>
          <w:rtl/>
        </w:rPr>
        <w:t>،</w:t>
      </w:r>
      <w:r w:rsidR="00777DCB" w:rsidRPr="00A52585">
        <w:rPr>
          <w:rFonts w:hint="cs"/>
          <w:rtl/>
        </w:rPr>
        <w:t xml:space="preserve"> لأن الحادث ناقص بقهر الإيجاد والفناء والمعارف دون الغايات </w:t>
      </w:r>
      <w:proofErr w:type="spellStart"/>
      <w:r w:rsidR="00777DCB" w:rsidRPr="00A52585">
        <w:rPr>
          <w:rFonts w:hint="cs"/>
          <w:rtl/>
        </w:rPr>
        <w:t>الجلالية</w:t>
      </w:r>
      <w:proofErr w:type="spellEnd"/>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المعارف جمع معرفة يقول الإمام القشيري في رسالته في (باب المعرفة بالله)</w:t>
      </w:r>
      <w:r w:rsidRPr="00A52585">
        <w:rPr>
          <w:rFonts w:hint="cs"/>
          <w:sz w:val="24"/>
          <w:szCs w:val="24"/>
          <w:rtl/>
        </w:rPr>
        <w:t>:</w:t>
      </w:r>
      <w:r w:rsidR="00777DCB" w:rsidRPr="00A52585">
        <w:rPr>
          <w:rFonts w:hint="cs"/>
          <w:sz w:val="24"/>
          <w:szCs w:val="24"/>
          <w:rtl/>
        </w:rPr>
        <w:t xml:space="preserve"> المعرفة على لسان العلماء هي العلم، فكل علم معرفة وكل معرفة علم، وكل عالم بالله عارف عالم وعند هؤلاء القوم</w:t>
      </w:r>
      <w:r w:rsidRPr="00A52585">
        <w:rPr>
          <w:rFonts w:hint="cs"/>
          <w:sz w:val="24"/>
          <w:szCs w:val="24"/>
          <w:rtl/>
        </w:rPr>
        <w:t>:</w:t>
      </w:r>
      <w:r w:rsidR="00777DCB" w:rsidRPr="00A52585">
        <w:rPr>
          <w:rFonts w:hint="cs"/>
          <w:sz w:val="24"/>
          <w:szCs w:val="24"/>
          <w:rtl/>
        </w:rPr>
        <w:t xml:space="preserve"> المعرفة صفة من عرف الحق سبحانه بأسمائه وصفاته ثم صدق الله تعالى في معاملاته ثم تنقى عن أخلاقه الرديئة وآفاته ثم طال بالباب وقوفه ودام بالقلب اعتكافه فحظى من الله تعالى بجميل إقباله وصدق الله في جميع أحواله وانقطع عنه هواجس نفسه ولم يصغ بقلبه إلى خاطر يدعوه إلى غيره، فإذا صار من الخلق أجنبياً ومن آفات نفسه برياً ومن </w:t>
      </w:r>
      <w:proofErr w:type="spellStart"/>
      <w:r w:rsidR="00777DCB" w:rsidRPr="00A52585">
        <w:rPr>
          <w:rFonts w:hint="cs"/>
          <w:sz w:val="24"/>
          <w:szCs w:val="24"/>
          <w:rtl/>
        </w:rPr>
        <w:t>المساكنات</w:t>
      </w:r>
      <w:proofErr w:type="spellEnd"/>
      <w:r w:rsidR="00777DCB" w:rsidRPr="00A52585">
        <w:rPr>
          <w:rFonts w:hint="cs"/>
          <w:sz w:val="24"/>
          <w:szCs w:val="24"/>
          <w:rtl/>
        </w:rPr>
        <w:t xml:space="preserve"> والملاحظات نقياً ودام في السر مع الله تعالى مناجاته وحق في كل لحظة إليه رجوعه وصار محدّثا- يقصد ملهما- من قبل الحق سبحانه بتعريف أسراره فيما يجريه من تصاريف أقداره يسمى عند ذلك (عارفاً) وتسمى حالته (معرفة) أهـ</w:t>
      </w:r>
      <w:r w:rsidR="00DB731D" w:rsidRPr="00A52585">
        <w:rPr>
          <w:rFonts w:hint="cs"/>
          <w:sz w:val="24"/>
          <w:szCs w:val="24"/>
          <w:rtl/>
        </w:rPr>
        <w:t>،</w:t>
      </w:r>
      <w:r w:rsidR="00777DCB" w:rsidRPr="00A52585">
        <w:rPr>
          <w:rFonts w:hint="cs"/>
          <w:sz w:val="24"/>
          <w:szCs w:val="24"/>
          <w:rtl/>
        </w:rPr>
        <w:t xml:space="preserve"> يقول شيخ الإسلام زكريا الأنصاري في شرحه على الرسالة</w:t>
      </w:r>
      <w:r w:rsidRPr="00A52585">
        <w:rPr>
          <w:rFonts w:hint="cs"/>
          <w:sz w:val="24"/>
          <w:szCs w:val="24"/>
          <w:rtl/>
        </w:rPr>
        <w:t xml:space="preserve">: </w:t>
      </w:r>
      <w:r w:rsidR="00777DCB" w:rsidRPr="00A52585">
        <w:rPr>
          <w:rFonts w:hint="cs"/>
          <w:sz w:val="24"/>
          <w:szCs w:val="24"/>
          <w:rtl/>
        </w:rPr>
        <w:t>" فلا يطلقون العارف إلا على من توالى عليه العلم بالله وصفاته والنظر في مصنوعاته وغلب عليه ذلك بحيث صار حالاً له حتى قالوا</w:t>
      </w:r>
      <w:r w:rsidRPr="00A52585">
        <w:rPr>
          <w:rFonts w:hint="cs"/>
          <w:sz w:val="24"/>
          <w:szCs w:val="24"/>
          <w:rtl/>
        </w:rPr>
        <w:t>:</w:t>
      </w:r>
      <w:r w:rsidR="00777DCB" w:rsidRPr="00A52585">
        <w:rPr>
          <w:rFonts w:hint="cs"/>
          <w:sz w:val="24"/>
          <w:szCs w:val="24"/>
          <w:rtl/>
        </w:rPr>
        <w:t xml:space="preserve"> من عرف الله كلَّ لسانه، أي شغله معرفته به عن ذكر غيره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فسبحانه ما أثنى عليه حق ثنائه غيره</w:t>
      </w:r>
      <w:r w:rsidR="00DB731D" w:rsidRPr="00A52585">
        <w:rPr>
          <w:rFonts w:hint="cs"/>
          <w:rtl/>
        </w:rPr>
        <w:t>،</w:t>
      </w:r>
      <w:r w:rsidR="00777DCB" w:rsidRPr="00A52585">
        <w:rPr>
          <w:rFonts w:hint="cs"/>
          <w:rtl/>
        </w:rPr>
        <w:t xml:space="preserve"> ولا وصفه بما يليق به سواه</w:t>
      </w:r>
      <w:r w:rsidR="00DB731D" w:rsidRPr="00A52585">
        <w:rPr>
          <w:rFonts w:hint="cs"/>
          <w:rtl/>
        </w:rPr>
        <w:t>،</w:t>
      </w:r>
      <w:r w:rsidR="00777DCB" w:rsidRPr="00A52585">
        <w:rPr>
          <w:rFonts w:hint="cs"/>
          <w:rtl/>
        </w:rPr>
        <w:t xml:space="preserve"> عجز الأنبياء والرسل بأجمعهم عن ذلك حتى قال أجلهم قدرا وأرفعهم محلا وأبلغهم نطقاً مع ما أعطى من جوامع الكلم قال</w:t>
      </w:r>
      <w:r w:rsidRPr="00A52585">
        <w:rPr>
          <w:rFonts w:hint="cs"/>
          <w:rtl/>
        </w:rPr>
        <w:t>:</w:t>
      </w:r>
      <w:r w:rsidR="00777DCB" w:rsidRPr="00A52585">
        <w:rPr>
          <w:rFonts w:hint="cs"/>
          <w:rtl/>
        </w:rPr>
        <w:t xml:space="preserve"> (لا أحصى ثناء عليك أنت كما أثنيت على نفسك)</w:t>
      </w:r>
      <w:r w:rsidR="00777DCB" w:rsidRPr="00A52585">
        <w:rPr>
          <w:rFonts w:hint="cs"/>
          <w:vertAlign w:val="superscript"/>
          <w:rtl/>
        </w:rPr>
        <w:t xml:space="preserve"> </w:t>
      </w:r>
      <w:r w:rsidR="00777DCB" w:rsidRPr="00A52585">
        <w:rPr>
          <w:rFonts w:hint="cs"/>
          <w:sz w:val="24"/>
          <w:szCs w:val="24"/>
          <w:rtl/>
        </w:rPr>
        <w:t>[قال المحقق</w:t>
      </w:r>
      <w:r w:rsidRPr="00A52585">
        <w:rPr>
          <w:rFonts w:hint="cs"/>
          <w:sz w:val="24"/>
          <w:szCs w:val="24"/>
          <w:rtl/>
        </w:rPr>
        <w:t>: (</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sidR="00DB731D" w:rsidRPr="00A52585">
        <w:rPr>
          <w:rFonts w:hint="cs"/>
          <w:sz w:val="24"/>
          <w:szCs w:val="24"/>
          <w:rtl/>
        </w:rPr>
        <w:t>،</w:t>
      </w:r>
      <w:r w:rsidR="00777DCB" w:rsidRPr="00A52585">
        <w:rPr>
          <w:rFonts w:hint="cs"/>
          <w:sz w:val="24"/>
          <w:szCs w:val="24"/>
          <w:rtl/>
        </w:rPr>
        <w:t xml:space="preserve"> 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ولله الأسماء الحسنى فادعوه بها</w:t>
      </w:r>
      <w:r w:rsidRPr="00A52585">
        <w:rPr>
          <w:rFonts w:hint="cs"/>
          <w:sz w:val="24"/>
          <w:szCs w:val="24"/>
          <w:rtl/>
        </w:rPr>
        <w:t>}</w:t>
      </w:r>
      <w:r w:rsidR="00777DCB" w:rsidRPr="00A52585">
        <w:rPr>
          <w:rFonts w:hint="cs"/>
          <w:sz w:val="24"/>
          <w:szCs w:val="24"/>
          <w:rtl/>
        </w:rPr>
        <w:t xml:space="preserve"> آية (180) من سورة الأعراف، وقال {يا أيها الذين آمنوا اذكروا الله ذكراً كثيرا، </w:t>
      </w:r>
      <w:proofErr w:type="spellStart"/>
      <w:r w:rsidR="00777DCB" w:rsidRPr="00A52585">
        <w:rPr>
          <w:rFonts w:hint="cs"/>
          <w:sz w:val="24"/>
          <w:szCs w:val="24"/>
          <w:rtl/>
        </w:rPr>
        <w:t>وسبحوه</w:t>
      </w:r>
      <w:proofErr w:type="spellEnd"/>
      <w:r w:rsidR="00777DCB" w:rsidRPr="00A52585">
        <w:rPr>
          <w:rFonts w:hint="cs"/>
          <w:sz w:val="24"/>
          <w:szCs w:val="24"/>
          <w:rtl/>
        </w:rPr>
        <w:t xml:space="preserve"> بكرة وأصيلا</w:t>
      </w:r>
      <w:r w:rsidRPr="00A52585">
        <w:rPr>
          <w:rFonts w:hint="cs"/>
          <w:sz w:val="24"/>
          <w:szCs w:val="24"/>
          <w:rtl/>
        </w:rPr>
        <w:t>}</w:t>
      </w:r>
      <w:r w:rsidR="00777DCB" w:rsidRPr="00A52585">
        <w:rPr>
          <w:rFonts w:hint="cs"/>
          <w:sz w:val="24"/>
          <w:szCs w:val="24"/>
          <w:rtl/>
        </w:rPr>
        <w:t xml:space="preserve"> الآيتان 41،42 من سورة الأحزاب، وقد سبق الكلام على الأمر بالمداومة على التسبيح</w:t>
      </w:r>
      <w:r w:rsidR="00DB731D" w:rsidRPr="00A52585">
        <w:rPr>
          <w:rFonts w:hint="cs"/>
          <w:sz w:val="24"/>
          <w:szCs w:val="24"/>
          <w:rtl/>
        </w:rPr>
        <w:t>،</w:t>
      </w:r>
      <w:r w:rsidR="00777DCB" w:rsidRPr="00A52585">
        <w:rPr>
          <w:rFonts w:hint="cs"/>
          <w:sz w:val="24"/>
          <w:szCs w:val="24"/>
          <w:rtl/>
        </w:rPr>
        <w:t xml:space="preserve"> وورد في السنة قوله صلى الله عليه وسلم</w:t>
      </w:r>
      <w:r w:rsidRPr="00A52585">
        <w:rPr>
          <w:rFonts w:hint="cs"/>
          <w:sz w:val="24"/>
          <w:szCs w:val="24"/>
          <w:rtl/>
        </w:rPr>
        <w:t xml:space="preserve"> </w:t>
      </w:r>
      <w:r w:rsidR="00777DCB" w:rsidRPr="00A52585">
        <w:rPr>
          <w:rFonts w:hint="cs"/>
          <w:sz w:val="24"/>
          <w:szCs w:val="24"/>
          <w:rtl/>
        </w:rPr>
        <w:t>" ألظوا بياذا الجلال والإكرام "</w:t>
      </w:r>
      <w:r w:rsidRPr="00A52585">
        <w:rPr>
          <w:rFonts w:hint="cs"/>
          <w:sz w:val="24"/>
          <w:szCs w:val="24"/>
          <w:rtl/>
        </w:rPr>
        <w:t xml:space="preserve"> </w:t>
      </w:r>
      <w:r w:rsidR="00777DCB" w:rsidRPr="00A52585">
        <w:rPr>
          <w:rFonts w:hint="cs"/>
          <w:sz w:val="24"/>
          <w:szCs w:val="24"/>
          <w:rtl/>
        </w:rPr>
        <w:t>أي الزموه واثبتوا عليه وأكثروا من قوله، يقال</w:t>
      </w:r>
      <w:r w:rsidRPr="00A52585">
        <w:rPr>
          <w:rFonts w:hint="cs"/>
          <w:sz w:val="24"/>
          <w:szCs w:val="24"/>
          <w:rtl/>
        </w:rPr>
        <w:t>:</w:t>
      </w:r>
      <w:r w:rsidR="00777DCB" w:rsidRPr="00A52585">
        <w:rPr>
          <w:rFonts w:hint="cs"/>
          <w:sz w:val="24"/>
          <w:szCs w:val="24"/>
          <w:rtl/>
        </w:rPr>
        <w:t xml:space="preserve"> ألظّ بالشيء إذا لزمه وثابر عليه وهذا الحديث صحيح مرويّ من طرق عند النسائي في الكبرى والترمذي في السنن والحاكم وصححه وتابعه الذهبي وكذا رواه الطبراني، وله شواهد كثيرة منها ما رواه البيهقي في (الأسماء والصفات)</w:t>
      </w:r>
      <w:r w:rsidRPr="00A52585">
        <w:rPr>
          <w:rFonts w:hint="cs"/>
          <w:sz w:val="24"/>
          <w:szCs w:val="24"/>
          <w:rtl/>
        </w:rPr>
        <w:t xml:space="preserve">: </w:t>
      </w:r>
      <w:r w:rsidR="00777DCB" w:rsidRPr="00A52585">
        <w:rPr>
          <w:rFonts w:hint="cs"/>
          <w:sz w:val="24"/>
          <w:szCs w:val="24"/>
          <w:rtl/>
        </w:rPr>
        <w:t>" عن معاذ بن جبل رضي الله عنه قال</w:t>
      </w:r>
      <w:r w:rsidRPr="00A52585">
        <w:rPr>
          <w:rFonts w:hint="cs"/>
          <w:sz w:val="24"/>
          <w:szCs w:val="24"/>
          <w:rtl/>
        </w:rPr>
        <w:t>:</w:t>
      </w:r>
      <w:r w:rsidR="00777DCB" w:rsidRPr="00A52585">
        <w:rPr>
          <w:rFonts w:hint="cs"/>
          <w:sz w:val="24"/>
          <w:szCs w:val="24"/>
          <w:rtl/>
        </w:rPr>
        <w:t xml:space="preserve"> (أتى النبي صلى الله عليه وسلم على رجل يقول</w:t>
      </w:r>
      <w:r w:rsidRPr="00A52585">
        <w:rPr>
          <w:rFonts w:hint="cs"/>
          <w:sz w:val="24"/>
          <w:szCs w:val="24"/>
          <w:rtl/>
        </w:rPr>
        <w:t>:</w:t>
      </w:r>
      <w:r w:rsidR="00777DCB" w:rsidRPr="00A52585">
        <w:rPr>
          <w:rFonts w:hint="cs"/>
          <w:sz w:val="24"/>
          <w:szCs w:val="24"/>
          <w:rtl/>
        </w:rPr>
        <w:t xml:space="preserve"> ياذا الجلال والإكرام، قال</w:t>
      </w:r>
      <w:r w:rsidRPr="00A52585">
        <w:rPr>
          <w:rFonts w:hint="cs"/>
          <w:sz w:val="24"/>
          <w:szCs w:val="24"/>
          <w:rtl/>
        </w:rPr>
        <w:t>:</w:t>
      </w:r>
      <w:r w:rsidR="00777DCB" w:rsidRPr="00A52585">
        <w:rPr>
          <w:rFonts w:hint="cs"/>
          <w:sz w:val="24"/>
          <w:szCs w:val="24"/>
          <w:rtl/>
        </w:rPr>
        <w:t xml:space="preserve"> قد استجيب لك فسل) "</w:t>
      </w:r>
      <w:r w:rsidRPr="00A52585">
        <w:rPr>
          <w:rFonts w:hint="cs"/>
          <w:sz w:val="24"/>
          <w:szCs w:val="24"/>
          <w:rtl/>
        </w:rPr>
        <w:t xml:space="preserve"> </w:t>
      </w:r>
      <w:r w:rsidR="00777DCB" w:rsidRPr="00A52585">
        <w:rPr>
          <w:rFonts w:hint="cs"/>
          <w:sz w:val="24"/>
          <w:szCs w:val="24"/>
          <w:rtl/>
        </w:rPr>
        <w:t>أهـ ص 92</w:t>
      </w:r>
      <w:r w:rsidR="00DB731D" w:rsidRPr="00A52585">
        <w:rPr>
          <w:rFonts w:hint="cs"/>
          <w:sz w:val="24"/>
          <w:szCs w:val="24"/>
          <w:rtl/>
        </w:rPr>
        <w:t>،</w:t>
      </w:r>
      <w:r w:rsidR="00777DCB" w:rsidRPr="00A52585">
        <w:rPr>
          <w:rFonts w:hint="cs"/>
          <w:sz w:val="24"/>
          <w:szCs w:val="24"/>
          <w:rtl/>
        </w:rPr>
        <w:t xml:space="preserve"> وروى أيضاً</w:t>
      </w:r>
      <w:r w:rsidRPr="00A52585">
        <w:rPr>
          <w:rFonts w:hint="cs"/>
          <w:sz w:val="24"/>
          <w:szCs w:val="24"/>
          <w:rtl/>
        </w:rPr>
        <w:t xml:space="preserve">: </w:t>
      </w:r>
      <w:r w:rsidR="00777DCB" w:rsidRPr="00A52585">
        <w:rPr>
          <w:rFonts w:hint="cs"/>
          <w:sz w:val="24"/>
          <w:szCs w:val="24"/>
          <w:rtl/>
        </w:rPr>
        <w:t>" عن أنس بن مالك رضي الله عنه أن رسول الله صلى الله عليه وسلم سمع رجلا يقول</w:t>
      </w:r>
      <w:r w:rsidRPr="00A52585">
        <w:rPr>
          <w:rFonts w:hint="cs"/>
          <w:sz w:val="24"/>
          <w:szCs w:val="24"/>
          <w:rtl/>
        </w:rPr>
        <w:t>:</w:t>
      </w:r>
      <w:r w:rsidR="00777DCB" w:rsidRPr="00A52585">
        <w:rPr>
          <w:rFonts w:hint="cs"/>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sidRPr="00A52585">
        <w:rPr>
          <w:rFonts w:hint="cs"/>
          <w:sz w:val="24"/>
          <w:szCs w:val="24"/>
          <w:rtl/>
        </w:rPr>
        <w:t>:</w:t>
      </w:r>
      <w:r w:rsidR="00777DCB" w:rsidRPr="00A52585">
        <w:rPr>
          <w:rFonts w:hint="cs"/>
          <w:sz w:val="24"/>
          <w:szCs w:val="24"/>
          <w:rtl/>
        </w:rPr>
        <w:t xml:space="preserve"> لقد كاد يدعو الله باسمه الذي إذا </w:t>
      </w:r>
      <w:proofErr w:type="spellStart"/>
      <w:r w:rsidR="00777DCB" w:rsidRPr="00A52585">
        <w:rPr>
          <w:rFonts w:hint="cs"/>
          <w:sz w:val="24"/>
          <w:szCs w:val="24"/>
          <w:rtl/>
        </w:rPr>
        <w:t>دعى</w:t>
      </w:r>
      <w:proofErr w:type="spellEnd"/>
      <w:r w:rsidR="00777DCB" w:rsidRPr="00A52585">
        <w:rPr>
          <w:rFonts w:hint="cs"/>
          <w:sz w:val="24"/>
          <w:szCs w:val="24"/>
          <w:rtl/>
        </w:rPr>
        <w:t xml:space="preserve"> به أجاب وإذا سئل به أعطى "</w:t>
      </w:r>
      <w:r w:rsidR="00DB731D" w:rsidRPr="00A52585">
        <w:rPr>
          <w:rFonts w:hint="cs"/>
          <w:sz w:val="24"/>
          <w:szCs w:val="24"/>
          <w:rtl/>
        </w:rPr>
        <w:t>،</w:t>
      </w:r>
      <w:r w:rsidR="00777DCB" w:rsidRPr="00A52585">
        <w:rPr>
          <w:rFonts w:hint="cs"/>
          <w:sz w:val="24"/>
          <w:szCs w:val="24"/>
          <w:rtl/>
        </w:rPr>
        <w:t xml:space="preserve"> بل روى الطبراني في الأوسط، وعنه الحافظ نور الدين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(مجمع البحرين في زوائد المعجمين) ج8 ص 20،21 قال</w:t>
      </w:r>
      <w:r w:rsidRPr="00A52585">
        <w:rPr>
          <w:rFonts w:hint="cs"/>
          <w:sz w:val="24"/>
          <w:szCs w:val="24"/>
          <w:rtl/>
        </w:rPr>
        <w:t xml:space="preserve">: </w:t>
      </w:r>
      <w:r w:rsidR="00777DCB" w:rsidRPr="00A52585">
        <w:rPr>
          <w:rFonts w:hint="cs"/>
          <w:sz w:val="24"/>
          <w:szCs w:val="24"/>
          <w:rtl/>
        </w:rPr>
        <w:t xml:space="preserve">" 14- باب حسن الثناء على الله عز وجل [4640]- حدثنا يعقوب بن إسحاق بن الزبير ثنا عبد الله بن محمد أبو عبد الرحمن </w:t>
      </w:r>
      <w:proofErr w:type="spellStart"/>
      <w:r w:rsidR="00777DCB" w:rsidRPr="00A52585">
        <w:rPr>
          <w:rFonts w:hint="cs"/>
          <w:sz w:val="24"/>
          <w:szCs w:val="24"/>
          <w:rtl/>
        </w:rPr>
        <w:t>الأذرمي</w:t>
      </w:r>
      <w:proofErr w:type="spellEnd"/>
      <w:r w:rsidR="00777DCB" w:rsidRPr="00A52585">
        <w:rPr>
          <w:rFonts w:hint="cs"/>
          <w:sz w:val="24"/>
          <w:szCs w:val="24"/>
          <w:rtl/>
        </w:rPr>
        <w:t xml:space="preserve"> ثنا هشيم عن حميد عن أنس</w:t>
      </w:r>
      <w:r w:rsidRPr="00A52585">
        <w:rPr>
          <w:rFonts w:hint="cs"/>
          <w:sz w:val="24"/>
          <w:szCs w:val="24"/>
          <w:rtl/>
        </w:rPr>
        <w:t>:</w:t>
      </w:r>
      <w:r w:rsidR="00777DCB" w:rsidRPr="00A52585">
        <w:rPr>
          <w:rFonts w:hint="cs"/>
          <w:sz w:val="24"/>
          <w:szCs w:val="24"/>
          <w:rtl/>
        </w:rPr>
        <w:t xml:space="preserve"> أن رسول الله صلى الله عليه وسلم مر بأعرابي وهو </w:t>
      </w:r>
      <w:r w:rsidR="00777DCB" w:rsidRPr="00A52585">
        <w:rPr>
          <w:rFonts w:hint="cs"/>
          <w:sz w:val="24"/>
          <w:szCs w:val="24"/>
          <w:rtl/>
        </w:rPr>
        <w:lastRenderedPageBreak/>
        <w:t>يدعو في صلاته وهو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w:t>
      </w:r>
      <w:proofErr w:type="spellStart"/>
      <w:r w:rsidR="00777DCB" w:rsidRPr="00A52585">
        <w:rPr>
          <w:rFonts w:hint="cs"/>
          <w:sz w:val="24"/>
          <w:szCs w:val="24"/>
          <w:rtl/>
        </w:rPr>
        <w:t>سماءًا</w:t>
      </w:r>
      <w:proofErr w:type="spellEnd"/>
      <w:r w:rsidR="00777DCB" w:rsidRPr="00A52585">
        <w:rPr>
          <w:rFonts w:hint="cs"/>
          <w:sz w:val="24"/>
          <w:szCs w:val="24"/>
          <w:rtl/>
        </w:rPr>
        <w:t xml:space="preserve"> ولا أرض أرضاً، ولا بحر ما في قعره ولا جبل ما في وعره، اجعل خير عمري آخره وخير عملي خواتمه وخير أيامي يوم ألقاك فيه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فوكل رسول الله صلى الله عليه وسلم </w:t>
      </w:r>
      <w:proofErr w:type="spellStart"/>
      <w:r w:rsidR="00777DCB" w:rsidRPr="00A52585">
        <w:rPr>
          <w:rFonts w:hint="cs"/>
          <w:sz w:val="24"/>
          <w:szCs w:val="24"/>
          <w:rtl/>
        </w:rPr>
        <w:t>بالاعرابي</w:t>
      </w:r>
      <w:proofErr w:type="spellEnd"/>
      <w:r w:rsidR="00777DCB" w:rsidRPr="00A52585">
        <w:rPr>
          <w:rFonts w:hint="cs"/>
          <w:sz w:val="24"/>
          <w:szCs w:val="24"/>
          <w:rtl/>
        </w:rPr>
        <w:t xml:space="preserve"> رجلا فقال</w:t>
      </w:r>
      <w:r w:rsidRPr="00A52585">
        <w:rPr>
          <w:rFonts w:hint="cs"/>
          <w:sz w:val="24"/>
          <w:szCs w:val="24"/>
          <w:rtl/>
        </w:rPr>
        <w:t>:</w:t>
      </w:r>
      <w:r w:rsidR="00777DCB" w:rsidRPr="00A52585">
        <w:rPr>
          <w:rFonts w:hint="cs"/>
          <w:sz w:val="24"/>
          <w:szCs w:val="24"/>
          <w:rtl/>
        </w:rPr>
        <w:t xml:space="preserve"> (إذا صلى فأتني به)</w:t>
      </w:r>
      <w:r w:rsidR="00DB731D" w:rsidRPr="00A52585">
        <w:rPr>
          <w:rFonts w:hint="cs"/>
          <w:sz w:val="24"/>
          <w:szCs w:val="24"/>
          <w:rtl/>
        </w:rPr>
        <w:t>،</w:t>
      </w:r>
      <w:r w:rsidR="00777DCB" w:rsidRPr="00A52585">
        <w:rPr>
          <w:rFonts w:hint="cs"/>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sidRPr="00A52585">
        <w:rPr>
          <w:rFonts w:hint="cs"/>
          <w:sz w:val="24"/>
          <w:szCs w:val="24"/>
          <w:rtl/>
        </w:rPr>
        <w:t>:</w:t>
      </w:r>
      <w:r w:rsidR="00777DCB" w:rsidRPr="00A52585">
        <w:rPr>
          <w:rFonts w:hint="cs"/>
          <w:sz w:val="24"/>
          <w:szCs w:val="24"/>
          <w:rtl/>
        </w:rPr>
        <w:t xml:space="preserve"> (ممن أنت يا أعرابي</w:t>
      </w:r>
      <w:r w:rsidR="00F95886" w:rsidRPr="00A52585">
        <w:rPr>
          <w:rFonts w:hint="cs"/>
          <w:sz w:val="24"/>
          <w:szCs w:val="24"/>
          <w:rtl/>
        </w:rPr>
        <w:t>؟</w:t>
      </w:r>
      <w:r w:rsidR="00777DCB" w:rsidRPr="00A52585">
        <w:rPr>
          <w:rFonts w:hint="cs"/>
          <w:sz w:val="24"/>
          <w:szCs w:val="24"/>
          <w:rtl/>
        </w:rPr>
        <w:t>)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من بني عامر بن صعصعة يا رسول الله) قال</w:t>
      </w:r>
      <w:r w:rsidRPr="00A52585">
        <w:rPr>
          <w:rFonts w:hint="cs"/>
          <w:sz w:val="24"/>
          <w:szCs w:val="24"/>
          <w:rtl/>
        </w:rPr>
        <w:t>:</w:t>
      </w:r>
      <w:r w:rsidR="00777DCB" w:rsidRPr="00A52585">
        <w:rPr>
          <w:rFonts w:hint="cs"/>
          <w:sz w:val="24"/>
          <w:szCs w:val="24"/>
          <w:rtl/>
        </w:rPr>
        <w:t xml:space="preserve"> (هل تدري لم وهبت لك الذهب</w:t>
      </w:r>
      <w:r w:rsidR="00F95886" w:rsidRPr="00A52585">
        <w:rPr>
          <w:rFonts w:hint="cs"/>
          <w:sz w:val="24"/>
          <w:szCs w:val="24"/>
          <w:rtl/>
        </w:rPr>
        <w:t>؟</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للرحم بيننا وبينك يا رسول الله</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(إن للرحم حقا ولكن وهبت لك الذهب لحسن ثنائك على الله عز وجل</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لم يروه عن حميد إلا هشيم تفرد به عبد الله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قال الحافظ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مجمع الزوائد بعد أن روى الحديث</w:t>
      </w:r>
      <w:r w:rsidRPr="00A52585">
        <w:rPr>
          <w:rFonts w:hint="cs"/>
          <w:sz w:val="24"/>
          <w:szCs w:val="24"/>
          <w:rtl/>
        </w:rPr>
        <w:t xml:space="preserve">: </w:t>
      </w:r>
      <w:r w:rsidR="00777DCB" w:rsidRPr="00A52585">
        <w:rPr>
          <w:rFonts w:hint="cs"/>
          <w:sz w:val="24"/>
          <w:szCs w:val="24"/>
          <w:rtl/>
        </w:rPr>
        <w:t xml:space="preserve">" رواه الطبراني في الأوسط ورجاله رجال الصحيح غير عبد الله بن محمد أبو عبد الرحمن </w:t>
      </w:r>
      <w:proofErr w:type="spellStart"/>
      <w:r w:rsidR="00777DCB" w:rsidRPr="00A52585">
        <w:rPr>
          <w:rFonts w:hint="cs"/>
          <w:sz w:val="24"/>
          <w:szCs w:val="24"/>
          <w:rtl/>
        </w:rPr>
        <w:t>الأذرمي</w:t>
      </w:r>
      <w:proofErr w:type="spellEnd"/>
      <w:r w:rsidR="00777DCB" w:rsidRPr="00A52585">
        <w:rPr>
          <w:rFonts w:hint="cs"/>
          <w:sz w:val="24"/>
          <w:szCs w:val="24"/>
          <w:rtl/>
        </w:rPr>
        <w:t xml:space="preserve"> وهو ثقة "</w:t>
      </w:r>
      <w:r w:rsidRPr="00A52585">
        <w:rPr>
          <w:rFonts w:hint="cs"/>
          <w:sz w:val="24"/>
          <w:szCs w:val="24"/>
          <w:rtl/>
        </w:rPr>
        <w:t xml:space="preserve"> </w:t>
      </w:r>
      <w:r w:rsidR="00777DCB" w:rsidRPr="00A52585">
        <w:rPr>
          <w:rFonts w:hint="cs"/>
          <w:sz w:val="24"/>
          <w:szCs w:val="24"/>
          <w:rtl/>
        </w:rPr>
        <w:t>ج10ص 158</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sidR="00DB731D" w:rsidRPr="00A52585">
        <w:rPr>
          <w:rFonts w:hint="cs"/>
          <w:sz w:val="24"/>
          <w:szCs w:val="24"/>
          <w:rtl/>
        </w:rPr>
        <w:t>،</w:t>
      </w:r>
      <w:r w:rsidR="00777DCB" w:rsidRPr="00A52585">
        <w:rPr>
          <w:rFonts w:hint="cs"/>
          <w:sz w:val="24"/>
          <w:szCs w:val="24"/>
          <w:rtl/>
        </w:rPr>
        <w:t xml:space="preserve"> انظر (جامع التحصيل) للحافظ العلائي ص 113 ط عالم الكتب، ورأى الحافظ ابن حجر في (هدى الساري) و(تهذيب التهذيب) قال المحقق</w:t>
      </w:r>
      <w:r w:rsidRPr="00A52585">
        <w:rPr>
          <w:rFonts w:hint="cs"/>
          <w:sz w:val="24"/>
          <w:szCs w:val="24"/>
          <w:rtl/>
        </w:rPr>
        <w:t>: (</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sidR="00DB731D" w:rsidRPr="00A52585">
        <w:rPr>
          <w:rFonts w:hint="cs"/>
          <w:sz w:val="24"/>
          <w:szCs w:val="24"/>
          <w:rtl/>
        </w:rPr>
        <w:t>،</w:t>
      </w:r>
      <w:r w:rsidR="00777DCB" w:rsidRPr="00A52585">
        <w:rPr>
          <w:rFonts w:hint="cs"/>
          <w:sz w:val="24"/>
          <w:szCs w:val="24"/>
          <w:rtl/>
        </w:rPr>
        <w:t xml:space="preserve"> 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ولله الأسماء الحسنى فادعوه بها</w:t>
      </w:r>
      <w:r w:rsidRPr="00A52585">
        <w:rPr>
          <w:rFonts w:hint="cs"/>
          <w:sz w:val="24"/>
          <w:szCs w:val="24"/>
          <w:rtl/>
        </w:rPr>
        <w:t>}</w:t>
      </w:r>
      <w:r w:rsidR="00777DCB" w:rsidRPr="00A52585">
        <w:rPr>
          <w:rFonts w:hint="cs"/>
          <w:sz w:val="24"/>
          <w:szCs w:val="24"/>
          <w:rtl/>
        </w:rPr>
        <w:t xml:space="preserve"> آية (180) من سورة الأعراف، وقال {يا أيها الذين آمنوا اذكروا الله ذكراً كثيرا، </w:t>
      </w:r>
      <w:proofErr w:type="spellStart"/>
      <w:r w:rsidR="00777DCB" w:rsidRPr="00A52585">
        <w:rPr>
          <w:rFonts w:hint="cs"/>
          <w:sz w:val="24"/>
          <w:szCs w:val="24"/>
          <w:rtl/>
        </w:rPr>
        <w:t>وسبحوه</w:t>
      </w:r>
      <w:proofErr w:type="spellEnd"/>
      <w:r w:rsidR="00777DCB" w:rsidRPr="00A52585">
        <w:rPr>
          <w:rFonts w:hint="cs"/>
          <w:sz w:val="24"/>
          <w:szCs w:val="24"/>
          <w:rtl/>
        </w:rPr>
        <w:t xml:space="preserve"> بكرة وأصيلا</w:t>
      </w:r>
      <w:r w:rsidRPr="00A52585">
        <w:rPr>
          <w:rFonts w:hint="cs"/>
          <w:sz w:val="24"/>
          <w:szCs w:val="24"/>
          <w:rtl/>
        </w:rPr>
        <w:t>}</w:t>
      </w:r>
      <w:r w:rsidR="00777DCB" w:rsidRPr="00A52585">
        <w:rPr>
          <w:rFonts w:hint="cs"/>
          <w:sz w:val="24"/>
          <w:szCs w:val="24"/>
          <w:rtl/>
        </w:rPr>
        <w:t xml:space="preserve"> الآيتان 41،42 من سورة الأحزاب، وقد سبق الكلام على الأمر بالمداومة على التسبيح</w:t>
      </w:r>
      <w:r w:rsidR="00DB731D" w:rsidRPr="00A52585">
        <w:rPr>
          <w:rFonts w:hint="cs"/>
          <w:sz w:val="24"/>
          <w:szCs w:val="24"/>
          <w:rtl/>
        </w:rPr>
        <w:t>،</w:t>
      </w:r>
      <w:r w:rsidR="00777DCB" w:rsidRPr="00A52585">
        <w:rPr>
          <w:rFonts w:hint="cs"/>
          <w:sz w:val="24"/>
          <w:szCs w:val="24"/>
          <w:rtl/>
        </w:rPr>
        <w:t xml:space="preserve"> وورد في السنة قوله صلى الله عليه وسلم</w:t>
      </w:r>
      <w:r w:rsidRPr="00A52585">
        <w:rPr>
          <w:rFonts w:hint="cs"/>
          <w:sz w:val="24"/>
          <w:szCs w:val="24"/>
          <w:rtl/>
        </w:rPr>
        <w:t xml:space="preserve"> </w:t>
      </w:r>
      <w:r w:rsidR="00777DCB" w:rsidRPr="00A52585">
        <w:rPr>
          <w:rFonts w:hint="cs"/>
          <w:sz w:val="24"/>
          <w:szCs w:val="24"/>
          <w:rtl/>
        </w:rPr>
        <w:t>" ألظوا بياذا الجلال والإكرام "</w:t>
      </w:r>
      <w:r w:rsidRPr="00A52585">
        <w:rPr>
          <w:rFonts w:hint="cs"/>
          <w:sz w:val="24"/>
          <w:szCs w:val="24"/>
          <w:rtl/>
        </w:rPr>
        <w:t xml:space="preserve"> </w:t>
      </w:r>
      <w:r w:rsidR="00777DCB" w:rsidRPr="00A52585">
        <w:rPr>
          <w:rFonts w:hint="cs"/>
          <w:sz w:val="24"/>
          <w:szCs w:val="24"/>
          <w:rtl/>
        </w:rPr>
        <w:t>أي الزموه واثبتوا عليه وأكثروا من قوله، يقال</w:t>
      </w:r>
      <w:r w:rsidRPr="00A52585">
        <w:rPr>
          <w:rFonts w:hint="cs"/>
          <w:sz w:val="24"/>
          <w:szCs w:val="24"/>
          <w:rtl/>
        </w:rPr>
        <w:t>:</w:t>
      </w:r>
      <w:r w:rsidR="00777DCB" w:rsidRPr="00A52585">
        <w:rPr>
          <w:rFonts w:hint="cs"/>
          <w:sz w:val="24"/>
          <w:szCs w:val="24"/>
          <w:rtl/>
        </w:rPr>
        <w:t xml:space="preserve"> ألظّ بالشيء إذا لزمه وثابر عليه وهذا الحديث صحيح مرويّ من طرق عند النسائي في الكبرى والترمذي في السنن والحاكم وصححه وتابعه الذهبي وكذا رواه الطبراني، وله شواهد كثيرة منها ما رواه البيهقي في (الأسماء والصفات)</w:t>
      </w:r>
      <w:r w:rsidRPr="00A52585">
        <w:rPr>
          <w:rFonts w:hint="cs"/>
          <w:sz w:val="24"/>
          <w:szCs w:val="24"/>
          <w:rtl/>
        </w:rPr>
        <w:t xml:space="preserve">: </w:t>
      </w:r>
      <w:r w:rsidR="00777DCB" w:rsidRPr="00A52585">
        <w:rPr>
          <w:rFonts w:hint="cs"/>
          <w:sz w:val="24"/>
          <w:szCs w:val="24"/>
          <w:rtl/>
        </w:rPr>
        <w:t>" عن معاذ بن جبل رضي الله عنه قال</w:t>
      </w:r>
      <w:r w:rsidRPr="00A52585">
        <w:rPr>
          <w:rFonts w:hint="cs"/>
          <w:sz w:val="24"/>
          <w:szCs w:val="24"/>
          <w:rtl/>
        </w:rPr>
        <w:t>:</w:t>
      </w:r>
      <w:r w:rsidR="00777DCB" w:rsidRPr="00A52585">
        <w:rPr>
          <w:rFonts w:hint="cs"/>
          <w:sz w:val="24"/>
          <w:szCs w:val="24"/>
          <w:rtl/>
        </w:rPr>
        <w:t xml:space="preserve"> (أتى النبي صلى الله عليه وسلم على رجل يقول</w:t>
      </w:r>
      <w:r w:rsidRPr="00A52585">
        <w:rPr>
          <w:rFonts w:hint="cs"/>
          <w:sz w:val="24"/>
          <w:szCs w:val="24"/>
          <w:rtl/>
        </w:rPr>
        <w:t>:</w:t>
      </w:r>
      <w:r w:rsidR="00777DCB" w:rsidRPr="00A52585">
        <w:rPr>
          <w:rFonts w:hint="cs"/>
          <w:sz w:val="24"/>
          <w:szCs w:val="24"/>
          <w:rtl/>
        </w:rPr>
        <w:t xml:space="preserve"> ياذا الجلال والإكرام، قال</w:t>
      </w:r>
      <w:r w:rsidRPr="00A52585">
        <w:rPr>
          <w:rFonts w:hint="cs"/>
          <w:sz w:val="24"/>
          <w:szCs w:val="24"/>
          <w:rtl/>
        </w:rPr>
        <w:t>:</w:t>
      </w:r>
      <w:r w:rsidR="00777DCB" w:rsidRPr="00A52585">
        <w:rPr>
          <w:rFonts w:hint="cs"/>
          <w:sz w:val="24"/>
          <w:szCs w:val="24"/>
          <w:rtl/>
        </w:rPr>
        <w:t xml:space="preserve"> قد استجيب لك فسل) "</w:t>
      </w:r>
      <w:r w:rsidRPr="00A52585">
        <w:rPr>
          <w:rFonts w:hint="cs"/>
          <w:sz w:val="24"/>
          <w:szCs w:val="24"/>
          <w:rtl/>
        </w:rPr>
        <w:t xml:space="preserve"> </w:t>
      </w:r>
      <w:r w:rsidR="00777DCB" w:rsidRPr="00A52585">
        <w:rPr>
          <w:rFonts w:hint="cs"/>
          <w:sz w:val="24"/>
          <w:szCs w:val="24"/>
          <w:rtl/>
        </w:rPr>
        <w:t>أهـ ص 92</w:t>
      </w:r>
      <w:r w:rsidR="00DB731D" w:rsidRPr="00A52585">
        <w:rPr>
          <w:rFonts w:hint="cs"/>
          <w:sz w:val="24"/>
          <w:szCs w:val="24"/>
          <w:rtl/>
        </w:rPr>
        <w:t>،</w:t>
      </w:r>
      <w:r w:rsidR="00777DCB" w:rsidRPr="00A52585">
        <w:rPr>
          <w:rFonts w:hint="cs"/>
          <w:sz w:val="24"/>
          <w:szCs w:val="24"/>
          <w:rtl/>
        </w:rPr>
        <w:t xml:space="preserve"> وروى أيضاً</w:t>
      </w:r>
      <w:r w:rsidRPr="00A52585">
        <w:rPr>
          <w:rFonts w:hint="cs"/>
          <w:sz w:val="24"/>
          <w:szCs w:val="24"/>
          <w:rtl/>
        </w:rPr>
        <w:t xml:space="preserve">: </w:t>
      </w:r>
      <w:r w:rsidR="00777DCB" w:rsidRPr="00A52585">
        <w:rPr>
          <w:rFonts w:hint="cs"/>
          <w:sz w:val="24"/>
          <w:szCs w:val="24"/>
          <w:rtl/>
        </w:rPr>
        <w:t>" عن أنس بن مالك رضي الله عنه أن رسول الله صلى الله عليه وسلم سمع رجلا يقول</w:t>
      </w:r>
      <w:r w:rsidRPr="00A52585">
        <w:rPr>
          <w:rFonts w:hint="cs"/>
          <w:sz w:val="24"/>
          <w:szCs w:val="24"/>
          <w:rtl/>
        </w:rPr>
        <w:t>:</w:t>
      </w:r>
      <w:r w:rsidR="00777DCB" w:rsidRPr="00A52585">
        <w:rPr>
          <w:rFonts w:hint="cs"/>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sidRPr="00A52585">
        <w:rPr>
          <w:rFonts w:hint="cs"/>
          <w:sz w:val="24"/>
          <w:szCs w:val="24"/>
          <w:rtl/>
        </w:rPr>
        <w:t>:</w:t>
      </w:r>
      <w:r w:rsidR="00777DCB" w:rsidRPr="00A52585">
        <w:rPr>
          <w:rFonts w:hint="cs"/>
          <w:sz w:val="24"/>
          <w:szCs w:val="24"/>
          <w:rtl/>
        </w:rPr>
        <w:t xml:space="preserve"> لقد كاد يدعو الله باسمه الذي إذا </w:t>
      </w:r>
      <w:proofErr w:type="spellStart"/>
      <w:r w:rsidR="00777DCB" w:rsidRPr="00A52585">
        <w:rPr>
          <w:rFonts w:hint="cs"/>
          <w:sz w:val="24"/>
          <w:szCs w:val="24"/>
          <w:rtl/>
        </w:rPr>
        <w:t>دعى</w:t>
      </w:r>
      <w:proofErr w:type="spellEnd"/>
      <w:r w:rsidR="00777DCB" w:rsidRPr="00A52585">
        <w:rPr>
          <w:rFonts w:hint="cs"/>
          <w:sz w:val="24"/>
          <w:szCs w:val="24"/>
          <w:rtl/>
        </w:rPr>
        <w:t xml:space="preserve"> به أجاب وإذا سئل به أعطى "</w:t>
      </w:r>
      <w:r w:rsidR="00DB731D" w:rsidRPr="00A52585">
        <w:rPr>
          <w:rFonts w:hint="cs"/>
          <w:sz w:val="24"/>
          <w:szCs w:val="24"/>
          <w:rtl/>
        </w:rPr>
        <w:t>،</w:t>
      </w:r>
      <w:r w:rsidR="00777DCB" w:rsidRPr="00A52585">
        <w:rPr>
          <w:rFonts w:hint="cs"/>
          <w:sz w:val="24"/>
          <w:szCs w:val="24"/>
          <w:rtl/>
        </w:rPr>
        <w:t xml:space="preserve"> بل روى الطبراني في الأوسط، وعنه الحافظ نور الدين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(مجمع البحرين في زوائد المعجمين) ج8 ص 20،21 قال</w:t>
      </w:r>
      <w:r w:rsidRPr="00A52585">
        <w:rPr>
          <w:rFonts w:hint="cs"/>
          <w:sz w:val="24"/>
          <w:szCs w:val="24"/>
          <w:rtl/>
        </w:rPr>
        <w:t xml:space="preserve">: </w:t>
      </w:r>
      <w:r w:rsidR="00777DCB" w:rsidRPr="00A52585">
        <w:rPr>
          <w:rFonts w:hint="cs"/>
          <w:sz w:val="24"/>
          <w:szCs w:val="24"/>
          <w:rtl/>
        </w:rPr>
        <w:t xml:space="preserve">" 14- باب حسن الثناء على الله عز وجل [4640]- حدثنا يعقوب بن إسحاق بن الزبير ثنا عبد الله بن محمد أبو عبد الرحمن </w:t>
      </w:r>
      <w:proofErr w:type="spellStart"/>
      <w:r w:rsidR="00777DCB" w:rsidRPr="00A52585">
        <w:rPr>
          <w:rFonts w:hint="cs"/>
          <w:sz w:val="24"/>
          <w:szCs w:val="24"/>
          <w:rtl/>
        </w:rPr>
        <w:t>الأذرمي</w:t>
      </w:r>
      <w:proofErr w:type="spellEnd"/>
      <w:r w:rsidR="00777DCB" w:rsidRPr="00A52585">
        <w:rPr>
          <w:rFonts w:hint="cs"/>
          <w:sz w:val="24"/>
          <w:szCs w:val="24"/>
          <w:rtl/>
        </w:rPr>
        <w:t xml:space="preserve"> ثنا هشيم عن حميد عن أنس</w:t>
      </w:r>
      <w:r w:rsidRPr="00A52585">
        <w:rPr>
          <w:rFonts w:hint="cs"/>
          <w:sz w:val="24"/>
          <w:szCs w:val="24"/>
          <w:rtl/>
        </w:rPr>
        <w:t>:</w:t>
      </w:r>
      <w:r w:rsidR="00777DCB" w:rsidRPr="00A52585">
        <w:rPr>
          <w:rFonts w:hint="cs"/>
          <w:sz w:val="24"/>
          <w:szCs w:val="24"/>
          <w:rtl/>
        </w:rPr>
        <w:t xml:space="preserve"> أن رسول الله صلى الله عليه وسلم مر بأعرابي وهو يدعو في صلاته وهو يقول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w:t>
      </w:r>
      <w:proofErr w:type="spellStart"/>
      <w:r w:rsidR="00777DCB" w:rsidRPr="00A52585">
        <w:rPr>
          <w:rFonts w:hint="cs"/>
          <w:sz w:val="24"/>
          <w:szCs w:val="24"/>
          <w:rtl/>
        </w:rPr>
        <w:t>سماءًا</w:t>
      </w:r>
      <w:proofErr w:type="spellEnd"/>
      <w:r w:rsidR="00777DCB" w:rsidRPr="00A52585">
        <w:rPr>
          <w:rFonts w:hint="cs"/>
          <w:sz w:val="24"/>
          <w:szCs w:val="24"/>
          <w:rtl/>
        </w:rPr>
        <w:t xml:space="preserve"> ولا أرض أرضاً، ولا بحر ما في قعره ولا جبل ما في وعره، </w:t>
      </w:r>
      <w:r w:rsidR="00777DCB" w:rsidRPr="00A52585">
        <w:rPr>
          <w:rFonts w:hint="cs"/>
          <w:sz w:val="24"/>
          <w:szCs w:val="24"/>
          <w:rtl/>
        </w:rPr>
        <w:lastRenderedPageBreak/>
        <w:t>اجعل خير عمري آخره وخير عملي خواتمه وخير أيامي يوم ألقاك فيه</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فوكل رسول الله صلى الله عليه وسلم </w:t>
      </w:r>
      <w:proofErr w:type="spellStart"/>
      <w:r w:rsidR="00777DCB" w:rsidRPr="00A52585">
        <w:rPr>
          <w:rFonts w:hint="cs"/>
          <w:sz w:val="24"/>
          <w:szCs w:val="24"/>
          <w:rtl/>
        </w:rPr>
        <w:t>بالاعرابي</w:t>
      </w:r>
      <w:proofErr w:type="spellEnd"/>
      <w:r w:rsidR="00777DCB" w:rsidRPr="00A52585">
        <w:rPr>
          <w:rFonts w:hint="cs"/>
          <w:sz w:val="24"/>
          <w:szCs w:val="24"/>
          <w:rtl/>
        </w:rPr>
        <w:t xml:space="preserve"> رجلا فقال</w:t>
      </w:r>
      <w:r w:rsidRPr="00A52585">
        <w:rPr>
          <w:rFonts w:hint="cs"/>
          <w:sz w:val="24"/>
          <w:szCs w:val="24"/>
          <w:rtl/>
        </w:rPr>
        <w:t>:</w:t>
      </w:r>
      <w:r w:rsidR="00777DCB" w:rsidRPr="00A52585">
        <w:rPr>
          <w:rFonts w:hint="cs"/>
          <w:sz w:val="24"/>
          <w:szCs w:val="24"/>
          <w:rtl/>
        </w:rPr>
        <w:t xml:space="preserve"> (إذا صلى فأتني به)</w:t>
      </w:r>
      <w:r w:rsidR="00DB731D" w:rsidRPr="00A52585">
        <w:rPr>
          <w:rFonts w:hint="cs"/>
          <w:sz w:val="24"/>
          <w:szCs w:val="24"/>
          <w:rtl/>
        </w:rPr>
        <w:t>،</w:t>
      </w:r>
      <w:r w:rsidR="00777DCB" w:rsidRPr="00A52585">
        <w:rPr>
          <w:rFonts w:hint="cs"/>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sidRPr="00A52585">
        <w:rPr>
          <w:rFonts w:hint="cs"/>
          <w:sz w:val="24"/>
          <w:szCs w:val="24"/>
          <w:rtl/>
        </w:rPr>
        <w:t>:</w:t>
      </w:r>
      <w:r w:rsidR="00777DCB" w:rsidRPr="00A52585">
        <w:rPr>
          <w:rFonts w:hint="cs"/>
          <w:sz w:val="24"/>
          <w:szCs w:val="24"/>
          <w:rtl/>
        </w:rPr>
        <w:t xml:space="preserve"> (ممن أنت يا أعرابي</w:t>
      </w:r>
      <w:r w:rsidR="00F95886" w:rsidRPr="00A52585">
        <w:rPr>
          <w:rFonts w:hint="cs"/>
          <w:sz w:val="24"/>
          <w:szCs w:val="24"/>
          <w:rtl/>
        </w:rPr>
        <w:t>؟</w:t>
      </w:r>
      <w:r w:rsidR="00777DCB" w:rsidRPr="00A52585">
        <w:rPr>
          <w:rFonts w:hint="cs"/>
          <w:sz w:val="24"/>
          <w:szCs w:val="24"/>
          <w:rtl/>
        </w:rPr>
        <w:t>)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من بني عامر بن صعصعة يا رسول الله) قال</w:t>
      </w:r>
      <w:r w:rsidRPr="00A52585">
        <w:rPr>
          <w:rFonts w:hint="cs"/>
          <w:sz w:val="24"/>
          <w:szCs w:val="24"/>
          <w:rtl/>
        </w:rPr>
        <w:t>:</w:t>
      </w:r>
      <w:r w:rsidR="00777DCB" w:rsidRPr="00A52585">
        <w:rPr>
          <w:rFonts w:hint="cs"/>
          <w:sz w:val="24"/>
          <w:szCs w:val="24"/>
          <w:rtl/>
        </w:rPr>
        <w:t xml:space="preserve"> (هل تدري لم وهبت لك الذهب</w:t>
      </w:r>
      <w:r w:rsidR="00F95886" w:rsidRPr="00A52585">
        <w:rPr>
          <w:rFonts w:hint="cs"/>
          <w:sz w:val="24"/>
          <w:szCs w:val="24"/>
          <w:rtl/>
        </w:rPr>
        <w:t>؟</w:t>
      </w:r>
      <w:r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للرحم بيننا وبينك يا رسول الله</w:t>
      </w:r>
      <w:r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(إن للرحم حقا ولكن وهبت لك الذهب لحسن ثنائك على الله عز وجل</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لم يروه عن حميد إلا هشيم تفرد به عبد الله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قال الحافظ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مجمع الزوائد بعد أن روى الحديث</w:t>
      </w:r>
      <w:r w:rsidRPr="00A52585">
        <w:rPr>
          <w:rFonts w:hint="cs"/>
          <w:sz w:val="24"/>
          <w:szCs w:val="24"/>
          <w:rtl/>
        </w:rPr>
        <w:t xml:space="preserve">: </w:t>
      </w:r>
      <w:r w:rsidR="00777DCB" w:rsidRPr="00A52585">
        <w:rPr>
          <w:rFonts w:hint="cs"/>
          <w:sz w:val="24"/>
          <w:szCs w:val="24"/>
          <w:rtl/>
        </w:rPr>
        <w:t xml:space="preserve">" رواه الطبراني في الأوسط ورجاله رجال الصحيح غير عبد الله بن محمد أبو عبد الرحمن </w:t>
      </w:r>
      <w:proofErr w:type="spellStart"/>
      <w:r w:rsidR="00777DCB" w:rsidRPr="00A52585">
        <w:rPr>
          <w:rFonts w:hint="cs"/>
          <w:sz w:val="24"/>
          <w:szCs w:val="24"/>
          <w:rtl/>
        </w:rPr>
        <w:t>الأذرمي</w:t>
      </w:r>
      <w:proofErr w:type="spellEnd"/>
      <w:r w:rsidR="00777DCB" w:rsidRPr="00A52585">
        <w:rPr>
          <w:rFonts w:hint="cs"/>
          <w:sz w:val="24"/>
          <w:szCs w:val="24"/>
          <w:rtl/>
        </w:rPr>
        <w:t xml:space="preserve"> وهو ثقة "</w:t>
      </w:r>
      <w:r w:rsidRPr="00A52585">
        <w:rPr>
          <w:rFonts w:hint="cs"/>
          <w:sz w:val="24"/>
          <w:szCs w:val="24"/>
          <w:rtl/>
        </w:rPr>
        <w:t xml:space="preserve"> </w:t>
      </w:r>
      <w:r w:rsidR="00777DCB" w:rsidRPr="00A52585">
        <w:rPr>
          <w:rFonts w:hint="cs"/>
          <w:sz w:val="24"/>
          <w:szCs w:val="24"/>
          <w:rtl/>
        </w:rPr>
        <w:t>ج10ص 158</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sidR="00DB731D" w:rsidRPr="00A52585">
        <w:rPr>
          <w:rFonts w:hint="cs"/>
          <w:sz w:val="24"/>
          <w:szCs w:val="24"/>
          <w:rtl/>
        </w:rPr>
        <w:t>،</w:t>
      </w:r>
      <w:r w:rsidR="00777DCB" w:rsidRPr="00A52585">
        <w:rPr>
          <w:rFonts w:hint="cs"/>
          <w:sz w:val="24"/>
          <w:szCs w:val="24"/>
          <w:rtl/>
        </w:rPr>
        <w:t xml:space="preserve"> انظر (جامع التحصيل) للحافظ العلائي ص 113 ط عالم الكتب، ورأى الحافظ ابن حجر في (هدى الساري) و(تهذيب التهذيب)</w:t>
      </w:r>
      <w:r w:rsidRPr="00A52585">
        <w:rPr>
          <w:rFonts w:hint="cs"/>
          <w:sz w:val="24"/>
          <w:szCs w:val="24"/>
          <w:rtl/>
        </w:rPr>
        <w:t>]</w:t>
      </w:r>
      <w:r w:rsidR="00DB731D" w:rsidRPr="00A52585">
        <w:rPr>
          <w:rFonts w:hint="cs"/>
          <w:sz w:val="24"/>
          <w:rtl/>
        </w:rPr>
        <w:t>،</w:t>
      </w:r>
      <w:r w:rsidR="00777DCB" w:rsidRPr="00A52585">
        <w:rPr>
          <w:rFonts w:hint="cs"/>
          <w:rtl/>
        </w:rPr>
        <w:t xml:space="preserve"> </w:t>
      </w:r>
      <w:r w:rsidR="00777DCB" w:rsidRPr="00A52585">
        <w:rPr>
          <w:rFonts w:hint="cs"/>
          <w:spacing w:val="-6"/>
          <w:rtl/>
        </w:rPr>
        <w:t>وأما الإكرام فمعناه ذو الإنعام والمنن على العام والخاص والطائع والعاصي</w:t>
      </w:r>
      <w:r w:rsidR="00DB731D" w:rsidRPr="00A52585">
        <w:rPr>
          <w:rFonts w:hint="cs"/>
          <w:spacing w:val="-6"/>
          <w:rtl/>
        </w:rPr>
        <w:t>،</w:t>
      </w:r>
      <w:r w:rsidR="00777DCB" w:rsidRPr="00A52585">
        <w:rPr>
          <w:rFonts w:hint="cs"/>
          <w:spacing w:val="-6"/>
          <w:rtl/>
        </w:rPr>
        <w:t xml:space="preserve"> </w:t>
      </w:r>
      <w:r w:rsidR="00777DCB" w:rsidRPr="00A52585">
        <w:rPr>
          <w:rFonts w:hint="cs"/>
          <w:rtl/>
        </w:rPr>
        <w:t>ووصف سبحانه وتعالى نفسه بالكريم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غرك بربك الكريم</w:t>
      </w:r>
      <w:r w:rsidRPr="00A52585">
        <w:rPr>
          <w:rFonts w:hint="cs"/>
          <w:rtl/>
        </w:rPr>
        <w:t>}</w:t>
      </w:r>
      <w:r w:rsidR="00777DCB" w:rsidRPr="00A52585">
        <w:rPr>
          <w:rFonts w:hint="cs"/>
          <w:rtl/>
        </w:rPr>
        <w:t xml:space="preserve"> </w:t>
      </w:r>
      <w:r w:rsidRPr="00A52585">
        <w:rPr>
          <w:rFonts w:hint="cs"/>
          <w:rtl/>
        </w:rPr>
        <w:t>[</w:t>
      </w:r>
      <w:proofErr w:type="spellStart"/>
      <w:r w:rsidR="00777DCB" w:rsidRPr="00A52585">
        <w:rPr>
          <w:rFonts w:hint="cs"/>
          <w:rtl/>
        </w:rPr>
        <w:t>الإنفطار</w:t>
      </w:r>
      <w:proofErr w:type="spellEnd"/>
      <w:r w:rsidRPr="00A52585">
        <w:rPr>
          <w:rFonts w:hint="cs"/>
          <w:rtl/>
        </w:rPr>
        <w:t>:</w:t>
      </w:r>
      <w:r w:rsidR="00777DCB" w:rsidRPr="00A52585">
        <w:rPr>
          <w:rFonts w:hint="cs"/>
          <w:rtl/>
        </w:rPr>
        <w:t xml:space="preserve"> 6</w:t>
      </w:r>
      <w:r w:rsidRPr="00A52585">
        <w:rPr>
          <w:rFonts w:hint="cs"/>
          <w:rtl/>
        </w:rPr>
        <w:t>]</w:t>
      </w:r>
      <w:r w:rsidR="00DB731D" w:rsidRPr="00A52585">
        <w:rPr>
          <w:rFonts w:hint="cs"/>
          <w:rtl/>
        </w:rPr>
        <w:t>،</w:t>
      </w:r>
      <w:r w:rsidR="00777DCB" w:rsidRPr="00A52585">
        <w:rPr>
          <w:rFonts w:hint="cs"/>
          <w:rtl/>
        </w:rPr>
        <w:t xml:space="preserve"> قال عمر رضي الله عنه</w:t>
      </w:r>
      <w:r w:rsidRPr="00A52585">
        <w:rPr>
          <w:rFonts w:hint="cs"/>
          <w:rtl/>
        </w:rPr>
        <w:t>:</w:t>
      </w:r>
      <w:r w:rsidR="00777DCB" w:rsidRPr="00A52585">
        <w:rPr>
          <w:rFonts w:hint="cs"/>
          <w:rtl/>
        </w:rPr>
        <w:t xml:space="preserve"> لو قيل لي</w:t>
      </w:r>
      <w:r w:rsidRPr="00A52585">
        <w:rPr>
          <w:rFonts w:hint="cs"/>
          <w:rtl/>
        </w:rPr>
        <w:t>:</w:t>
      </w:r>
      <w:r w:rsidR="00777DCB" w:rsidRPr="00A52585">
        <w:rPr>
          <w:rFonts w:hint="cs"/>
          <w:rtl/>
        </w:rPr>
        <w:t xml:space="preserve"> ما غرك بي</w:t>
      </w:r>
      <w:r w:rsidR="00F95886" w:rsidRPr="00A52585">
        <w:rPr>
          <w:rFonts w:hint="cs"/>
          <w:rtl/>
        </w:rPr>
        <w:t>؟</w:t>
      </w:r>
      <w:r w:rsidR="00777DCB" w:rsidRPr="00A52585">
        <w:rPr>
          <w:rFonts w:hint="cs"/>
          <w:rtl/>
        </w:rPr>
        <w:t xml:space="preserve"> لقلت</w:t>
      </w:r>
      <w:r w:rsidRPr="00A52585">
        <w:rPr>
          <w:rFonts w:hint="cs"/>
          <w:rtl/>
        </w:rPr>
        <w:t>:</w:t>
      </w:r>
      <w:r w:rsidR="00777DCB" w:rsidRPr="00A52585">
        <w:rPr>
          <w:rFonts w:hint="cs"/>
          <w:rtl/>
        </w:rPr>
        <w:t xml:space="preserve"> جهلي بك غرني</w:t>
      </w:r>
      <w:r w:rsidR="00DB731D" w:rsidRPr="00A52585">
        <w:rPr>
          <w:rFonts w:hint="cs"/>
          <w:rtl/>
        </w:rPr>
        <w:t>،</w:t>
      </w:r>
      <w:r w:rsidR="00777DCB" w:rsidRPr="00A52585">
        <w:rPr>
          <w:rFonts w:hint="cs"/>
          <w:rtl/>
        </w:rPr>
        <w:t xml:space="preserve"> والكريم قيل هو الذي إذا قدر عفا. وإذا وعد وفى. وقيل</w:t>
      </w:r>
      <w:r w:rsidRPr="00A52585">
        <w:rPr>
          <w:rFonts w:hint="cs"/>
          <w:rtl/>
        </w:rPr>
        <w:t>:</w:t>
      </w:r>
      <w:r w:rsidR="00777DCB" w:rsidRPr="00A52585">
        <w:rPr>
          <w:rFonts w:hint="cs"/>
          <w:rtl/>
        </w:rPr>
        <w:t xml:space="preserve"> هو الذي إذا أعطى زاد على منتهى الرجاء ولا يبالي لمن أعطى وكم أعطى</w:t>
      </w:r>
      <w:r w:rsidR="00DB731D" w:rsidRPr="00A52585">
        <w:rPr>
          <w:rFonts w:hint="cs"/>
          <w:rtl/>
        </w:rPr>
        <w:t>،</w:t>
      </w:r>
      <w:r w:rsidR="00777DCB" w:rsidRPr="00A52585">
        <w:rPr>
          <w:rFonts w:hint="cs"/>
          <w:rtl/>
        </w:rPr>
        <w:t xml:space="preserve"> ولا يضيع من لاذ به والتجا</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الذي يغني عن الوسائل والشفعاء. وإذا رفعت الحاجة إلى غيره لا يرضى</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هو الذي إذا أبصر خللا جبره وما أظهره وإذا أولى متصلا </w:t>
      </w:r>
      <w:proofErr w:type="spellStart"/>
      <w:r w:rsidR="00777DCB" w:rsidRPr="00A52585">
        <w:rPr>
          <w:rFonts w:hint="cs"/>
          <w:rtl/>
        </w:rPr>
        <w:t>أجزله</w:t>
      </w:r>
      <w:proofErr w:type="spellEnd"/>
      <w:r w:rsidR="00777DCB" w:rsidRPr="00A52585">
        <w:rPr>
          <w:rFonts w:hint="cs"/>
          <w:rtl/>
        </w:rPr>
        <w:t xml:space="preserve"> ثم ستره</w:t>
      </w:r>
      <w:r w:rsidR="00DB731D" w:rsidRPr="00A52585">
        <w:rPr>
          <w:rFonts w:hint="cs"/>
          <w:rtl/>
        </w:rPr>
        <w:t>،</w:t>
      </w:r>
      <w:r w:rsidR="00777DCB" w:rsidRPr="00A52585">
        <w:rPr>
          <w:rFonts w:hint="cs"/>
          <w:rtl/>
        </w:rPr>
        <w:t xml:space="preserve"> وقيل غير ذلك</w:t>
      </w:r>
      <w:r w:rsidR="00DB731D" w:rsidRPr="00A52585">
        <w:rPr>
          <w:rFonts w:hint="cs"/>
          <w:rtl/>
        </w:rPr>
        <w:t>،</w:t>
      </w:r>
      <w:r w:rsidR="00777DCB" w:rsidRPr="00A52585">
        <w:rPr>
          <w:rFonts w:hint="cs"/>
          <w:rtl/>
        </w:rPr>
        <w:t xml:space="preserve"> فمن تأمل القرآن الكريم وجده مشحوناً بالتقديس والإجلال والتعظيم وناطقاً بتضليل أهل الإلحاد والتجسيم والحيدة عن الصراط المستقيم</w:t>
      </w:r>
      <w:r w:rsidR="00DB731D" w:rsidRPr="00A52585">
        <w:rPr>
          <w:rFonts w:hint="cs"/>
          <w:rtl/>
        </w:rPr>
        <w:t>،</w:t>
      </w:r>
      <w:r w:rsidR="00777DCB" w:rsidRPr="00A52585">
        <w:rPr>
          <w:rFonts w:hint="cs"/>
          <w:rtl/>
        </w:rPr>
        <w:t xml:space="preserve"> وطريقة السلامة في ذلك أن من أشكل عليه شيء من المتشابه في الكتاب أو السنة فليقل كما أخبر سبحانه وتعالى</w:t>
      </w:r>
      <w:r w:rsidR="00777DCB" w:rsidRPr="00A52585">
        <w:rPr>
          <w:rFonts w:hint="cs"/>
          <w:vertAlign w:val="superscript"/>
          <w:rtl/>
        </w:rPr>
        <w:t xml:space="preserve"> </w:t>
      </w:r>
      <w:r w:rsidR="00777DCB" w:rsidRPr="00A52585">
        <w:rPr>
          <w:rFonts w:hint="cs"/>
          <w:rtl/>
        </w:rPr>
        <w:t>في كتابه المبين عن الراسخين في العلم ومدحهم عليه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والراسخون في العلم يقولون آمنا به كل من عند ربنا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آل عمران</w:t>
      </w:r>
      <w:r w:rsidRPr="00A52585">
        <w:rPr>
          <w:rFonts w:hint="cs"/>
          <w:rtl/>
        </w:rPr>
        <w:t>:</w:t>
      </w:r>
      <w:r w:rsidR="00777DCB" w:rsidRPr="00A52585">
        <w:rPr>
          <w:rFonts w:hint="cs"/>
          <w:rtl/>
        </w:rPr>
        <w:t xml:space="preserve"> 7</w:t>
      </w:r>
      <w:r w:rsidRPr="00A52585">
        <w:rPr>
          <w:rFonts w:hint="cs"/>
          <w:rtl/>
        </w:rPr>
        <w:t>]</w:t>
      </w:r>
      <w:r w:rsidR="00DB731D" w:rsidRPr="00A52585">
        <w:rPr>
          <w:rFonts w:hint="cs"/>
          <w:rtl/>
        </w:rPr>
        <w:t>،</w:t>
      </w:r>
      <w:r w:rsidR="00777DCB" w:rsidRPr="00A52585">
        <w:rPr>
          <w:rFonts w:hint="cs"/>
          <w:rtl/>
        </w:rPr>
        <w:t xml:space="preserve"> ويقول كما قال عليه الصلاة السلام في (</w:t>
      </w:r>
      <w:r w:rsidRPr="00A52585">
        <w:rPr>
          <w:rFonts w:hint="cs"/>
          <w:rtl/>
        </w:rPr>
        <w:t>(</w:t>
      </w:r>
      <w:r w:rsidR="00777DCB" w:rsidRPr="00A52585">
        <w:rPr>
          <w:rFonts w:hint="cs"/>
          <w:rtl/>
        </w:rPr>
        <w:t xml:space="preserve">وما جهلتم منه </w:t>
      </w:r>
      <w:proofErr w:type="spellStart"/>
      <w:r w:rsidR="00777DCB" w:rsidRPr="00A52585">
        <w:rPr>
          <w:rFonts w:hint="cs"/>
          <w:rtl/>
        </w:rPr>
        <w:t>فَكِلوه</w:t>
      </w:r>
      <w:proofErr w:type="spellEnd"/>
      <w:r w:rsidR="00777DCB" w:rsidRPr="00A52585">
        <w:rPr>
          <w:rFonts w:hint="cs"/>
          <w:rtl/>
        </w:rPr>
        <w:t xml:space="preserve"> إلى عالمه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من رواية عبد الله بن عمرو بن العاص، قال الإمام أحمد في مسنده</w:t>
      </w:r>
      <w:r w:rsidRPr="00A52585">
        <w:rPr>
          <w:rFonts w:hint="cs"/>
          <w:sz w:val="24"/>
          <w:szCs w:val="24"/>
          <w:rtl/>
        </w:rPr>
        <w:t xml:space="preserve">: </w:t>
      </w:r>
      <w:r w:rsidR="00777DCB" w:rsidRPr="00A52585">
        <w:rPr>
          <w:rFonts w:hint="cs"/>
          <w:sz w:val="24"/>
          <w:szCs w:val="24"/>
          <w:rtl/>
        </w:rPr>
        <w:t>" أخبرنا عبد الرزاق أخبرنا معمر عن الزهري عن عمرو بن شعيب عن أبيه عن جدَّه قال</w:t>
      </w:r>
      <w:r w:rsidRPr="00A52585">
        <w:rPr>
          <w:rFonts w:hint="cs"/>
          <w:sz w:val="24"/>
          <w:szCs w:val="24"/>
          <w:rtl/>
        </w:rPr>
        <w:t>:</w:t>
      </w:r>
      <w:r w:rsidR="00777DCB" w:rsidRPr="00A52585">
        <w:rPr>
          <w:rFonts w:hint="cs"/>
          <w:sz w:val="24"/>
          <w:szCs w:val="24"/>
          <w:rtl/>
        </w:rPr>
        <w:t xml:space="preserve"> سمع النبي</w:t>
      </w:r>
      <w:r w:rsidRPr="00A52585">
        <w:rPr>
          <w:rFonts w:hint="cs"/>
          <w:sz w:val="24"/>
          <w:szCs w:val="24"/>
          <w:rtl/>
        </w:rPr>
        <w:t xml:space="preserve"> </w:t>
      </w:r>
      <w:r w:rsidR="00777DCB" w:rsidRPr="00A52585">
        <w:rPr>
          <w:rFonts w:hint="cs"/>
          <w:sz w:val="24"/>
          <w:szCs w:val="24"/>
          <w:rtl/>
        </w:rPr>
        <w:t xml:space="preserve">صلى الله عليه وسلم قوماً </w:t>
      </w:r>
      <w:proofErr w:type="spellStart"/>
      <w:r w:rsidR="00777DCB" w:rsidRPr="00A52585">
        <w:rPr>
          <w:rFonts w:hint="cs"/>
          <w:sz w:val="24"/>
          <w:szCs w:val="24"/>
          <w:rtl/>
        </w:rPr>
        <w:t>يتدارؤون</w:t>
      </w:r>
      <w:proofErr w:type="spellEnd"/>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(إنما هلك من كان قبلكم بهذا، ضربوا كتاب الله بعضه ببعض، وإنما نزل كتاب الله يصدِّق بعضه بعضاً، فلا تكذبوا بعضه ببعض فما علمتم منه فقولوا وما جهلتم </w:t>
      </w:r>
      <w:proofErr w:type="spellStart"/>
      <w:r w:rsidR="00777DCB" w:rsidRPr="00A52585">
        <w:rPr>
          <w:rFonts w:hint="cs"/>
          <w:sz w:val="24"/>
          <w:szCs w:val="24"/>
          <w:rtl/>
        </w:rPr>
        <w:t>فكلوه</w:t>
      </w:r>
      <w:proofErr w:type="spellEnd"/>
      <w:r w:rsidR="00777DCB" w:rsidRPr="00A52585">
        <w:rPr>
          <w:rFonts w:hint="cs"/>
          <w:sz w:val="24"/>
          <w:szCs w:val="24"/>
          <w:rtl/>
        </w:rPr>
        <w:t xml:space="preserve"> إلى عالمه)</w:t>
      </w:r>
      <w:r w:rsidR="00DB731D" w:rsidRPr="00A52585">
        <w:rPr>
          <w:rFonts w:hint="cs"/>
          <w:sz w:val="24"/>
          <w:szCs w:val="24"/>
          <w:rtl/>
        </w:rPr>
        <w:t>،</w:t>
      </w:r>
      <w:r w:rsidR="00777DCB" w:rsidRPr="00A52585">
        <w:rPr>
          <w:rFonts w:hint="cs"/>
          <w:sz w:val="24"/>
          <w:szCs w:val="24"/>
          <w:rtl/>
        </w:rPr>
        <w:t xml:space="preserve"> وهذا إسناد حسن إن شاء الله</w:t>
      </w:r>
      <w:r w:rsidR="00DB731D" w:rsidRPr="00A52585">
        <w:rPr>
          <w:rFonts w:hint="cs"/>
          <w:sz w:val="24"/>
          <w:szCs w:val="24"/>
          <w:rtl/>
        </w:rPr>
        <w:t>،</w:t>
      </w:r>
      <w:r w:rsidR="00777DCB" w:rsidRPr="00A52585">
        <w:rPr>
          <w:rFonts w:hint="cs"/>
          <w:sz w:val="24"/>
          <w:szCs w:val="24"/>
          <w:rtl/>
        </w:rPr>
        <w:t xml:space="preserve"> أما رواية النسائي التي أشار إليها المؤلف رضي الله عنه فهي مختصرة وليس فيها (وما جهلتم</w:t>
      </w:r>
      <w:r w:rsidR="00777DCB" w:rsidRPr="00A52585">
        <w:rPr>
          <w:sz w:val="24"/>
          <w:szCs w:val="24"/>
        </w:rPr>
        <w:t>…</w:t>
      </w:r>
      <w:r w:rsidR="00777DCB" w:rsidRPr="00A52585">
        <w:rPr>
          <w:rFonts w:hint="cs"/>
          <w:sz w:val="24"/>
          <w:szCs w:val="24"/>
          <w:rtl/>
        </w:rPr>
        <w:t>) رواها النسائي في الكبرى والإمام مسلم في صحيحه ونصها</w:t>
      </w:r>
      <w:r w:rsidRPr="00A52585">
        <w:rPr>
          <w:rFonts w:hint="cs"/>
          <w:sz w:val="24"/>
          <w:szCs w:val="24"/>
          <w:rtl/>
        </w:rPr>
        <w:t>:</w:t>
      </w:r>
      <w:r w:rsidR="00777DCB" w:rsidRPr="00A52585">
        <w:rPr>
          <w:rFonts w:hint="cs"/>
          <w:sz w:val="24"/>
          <w:szCs w:val="24"/>
          <w:rtl/>
        </w:rPr>
        <w:t xml:space="preserve"> (إنما هلك من كان قبلكم باختلافهم في الكتاب)</w:t>
      </w:r>
      <w:r w:rsidR="00DB731D" w:rsidRPr="00A52585">
        <w:rPr>
          <w:rFonts w:hint="cs"/>
          <w:sz w:val="24"/>
          <w:szCs w:val="24"/>
          <w:rtl/>
        </w:rPr>
        <w:t>،</w:t>
      </w:r>
      <w:r w:rsidR="00777DCB" w:rsidRPr="00A52585">
        <w:rPr>
          <w:rFonts w:hint="cs"/>
          <w:sz w:val="24"/>
          <w:szCs w:val="24"/>
          <w:rtl/>
        </w:rPr>
        <w:t xml:space="preserve"> انظر مسند الإمام أحمد ج2 ص185</w:t>
      </w:r>
      <w:r w:rsidR="00DB731D" w:rsidRPr="00A52585">
        <w:rPr>
          <w:rFonts w:hint="cs"/>
          <w:sz w:val="24"/>
          <w:szCs w:val="24"/>
          <w:rtl/>
        </w:rPr>
        <w:t>،</w:t>
      </w:r>
      <w:r w:rsidR="00777DCB" w:rsidRPr="00A52585">
        <w:rPr>
          <w:rFonts w:hint="cs"/>
          <w:sz w:val="24"/>
          <w:szCs w:val="24"/>
          <w:rtl/>
        </w:rPr>
        <w:t xml:space="preserve"> صحيح مسلم – كتاب العلم – باب النهي عن اتباع متشابه القرآن، السنن الكبرى للنسائي – كتاب فضائل القرآن-</w:t>
      </w:r>
      <w:r w:rsidRPr="00A52585">
        <w:rPr>
          <w:rFonts w:hint="cs"/>
          <w:sz w:val="24"/>
          <w:szCs w:val="24"/>
          <w:rtl/>
        </w:rPr>
        <w:t xml:space="preserve"> </w:t>
      </w:r>
      <w:r w:rsidR="00777DCB" w:rsidRPr="00A52585">
        <w:rPr>
          <w:rFonts w:hint="cs"/>
          <w:sz w:val="24"/>
          <w:szCs w:val="24"/>
          <w:rtl/>
        </w:rPr>
        <w:t>باب ذكر الاختلاف</w:t>
      </w:r>
      <w:r w:rsidRPr="00A52585">
        <w:rPr>
          <w:rFonts w:hint="cs"/>
          <w:sz w:val="24"/>
          <w:szCs w:val="24"/>
          <w:rtl/>
        </w:rPr>
        <w:t>]</w:t>
      </w:r>
      <w:r w:rsidR="00DB731D" w:rsidRPr="00A52585">
        <w:rPr>
          <w:rFonts w:hint="cs"/>
          <w:sz w:val="24"/>
          <w:rtl/>
        </w:rPr>
        <w:t>،</w:t>
      </w:r>
      <w:r w:rsidR="00777DCB" w:rsidRPr="00A52585">
        <w:rPr>
          <w:rFonts w:hint="cs"/>
          <w:rtl/>
        </w:rPr>
        <w:t xml:space="preserve"> خرجه غير واحد منهم الإمام أحمد والنسائي وغيرهما ويقول كما قاله </w:t>
      </w:r>
      <w:r w:rsidR="00777DCB" w:rsidRPr="00A52585">
        <w:rPr>
          <w:rFonts w:hint="cs"/>
          <w:rtl/>
        </w:rPr>
        <w:lastRenderedPageBreak/>
        <w:t>الشافعي</w:t>
      </w:r>
      <w:r w:rsidRPr="00A52585">
        <w:rPr>
          <w:rFonts w:hint="cs"/>
          <w:rtl/>
        </w:rPr>
        <w:t>:</w:t>
      </w:r>
      <w:r w:rsidR="00777DCB" w:rsidRPr="00A52585">
        <w:rPr>
          <w:rFonts w:hint="cs"/>
          <w:rtl/>
        </w:rPr>
        <w:t xml:space="preserve"> آمنت بالله وما جاء عن الله على مراد الله وآمنت برسول الله وما جاء عن رسول الله على مراد رسول الله صلى الله عليه وسلم</w:t>
      </w:r>
      <w:r w:rsidR="00DB731D" w:rsidRPr="00A52585">
        <w:rPr>
          <w:rFonts w:hint="cs"/>
          <w:rtl/>
        </w:rPr>
        <w:t>،</w:t>
      </w:r>
      <w:r w:rsidR="00777DCB" w:rsidRPr="00A52585">
        <w:rPr>
          <w:rFonts w:hint="cs"/>
          <w:rtl/>
        </w:rPr>
        <w:t xml:space="preserve"> والراسخ في العلم هو من طولع على محل المراد منه. وسئل مالك عن الراسخين في العلم فقال</w:t>
      </w:r>
      <w:r w:rsidRPr="00A52585">
        <w:rPr>
          <w:rFonts w:hint="cs"/>
          <w:rtl/>
        </w:rPr>
        <w:t>:</w:t>
      </w:r>
      <w:r w:rsidR="00777DCB" w:rsidRPr="00A52585">
        <w:rPr>
          <w:rFonts w:hint="cs"/>
          <w:rtl/>
        </w:rPr>
        <w:t xml:space="preserve"> العالم العامل بما علم المتبع له</w:t>
      </w:r>
      <w:r w:rsidR="00DB731D" w:rsidRPr="00A52585">
        <w:rPr>
          <w:rFonts w:hint="cs"/>
          <w:rtl/>
        </w:rPr>
        <w:t>،</w:t>
      </w:r>
      <w:r w:rsidR="00777DCB" w:rsidRPr="00A52585">
        <w:rPr>
          <w:rFonts w:hint="cs"/>
          <w:rtl/>
        </w:rPr>
        <w:t xml:space="preserve"> وقال عمر بن عبد العزيز انتهى علم الراسخين بتأويل القرآن العظيم إلى أن قالوا آمنا به كل من عند ربنا</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للقرآن تأويل استأثر الله تعالى بعلمه لا يطلع عليه أحد من خلقه</w:t>
      </w:r>
      <w:r w:rsidR="00DB731D" w:rsidRPr="00A52585">
        <w:rPr>
          <w:rFonts w:hint="cs"/>
          <w:rtl/>
        </w:rPr>
        <w:t>،</w:t>
      </w:r>
      <w:r w:rsidR="00777DCB" w:rsidRPr="00A52585">
        <w:rPr>
          <w:rFonts w:hint="cs"/>
          <w:rtl/>
        </w:rPr>
        <w:t xml:space="preserve"> كما استأثر بعلم الساعة ووقت طلوع الشمس من مغربها</w:t>
      </w:r>
      <w:r w:rsidR="00DB731D" w:rsidRPr="00A52585">
        <w:rPr>
          <w:rFonts w:hint="cs"/>
          <w:rtl/>
        </w:rPr>
        <w:t>،</w:t>
      </w:r>
      <w:r w:rsidR="00777DCB" w:rsidRPr="00A52585">
        <w:rPr>
          <w:rFonts w:hint="cs"/>
          <w:rtl/>
        </w:rPr>
        <w:t xml:space="preserve"> ونحو ذلك والخلق متعبدون بالإيمان به ومتعبدون بالمحكم بالإيمان به وبالعمل به. وقيل غير ذلك</w:t>
      </w:r>
      <w:r w:rsidR="00DB731D" w:rsidRPr="00A52585">
        <w:rPr>
          <w:rFonts w:hint="cs"/>
          <w:rtl/>
        </w:rPr>
        <w:t>،</w:t>
      </w:r>
      <w:r w:rsidR="00777DCB" w:rsidRPr="00A52585">
        <w:rPr>
          <w:rFonts w:hint="cs"/>
          <w:rtl/>
        </w:rPr>
        <w:t xml:space="preserve"> </w:t>
      </w:r>
      <w:r w:rsidR="00777DCB" w:rsidRPr="00A52585">
        <w:rPr>
          <w:rFonts w:hint="cs"/>
          <w:bCs/>
          <w:rtl/>
        </w:rPr>
        <w:t>ثم اعلم أنه حق على اللبيب</w:t>
      </w:r>
      <w:r w:rsidR="00777DCB" w:rsidRPr="00A52585">
        <w:rPr>
          <w:rFonts w:hint="cs"/>
          <w:rtl/>
        </w:rPr>
        <w:t xml:space="preserve"> المعتصم بكتاب الله تعالى وسنة رسول الله صلى الله عليه وسلم والتمسك بالعروة الوثقى </w:t>
      </w:r>
      <w:r w:rsidR="00777DCB" w:rsidRPr="00A52585">
        <w:rPr>
          <w:rFonts w:hint="cs"/>
          <w:bCs/>
          <w:rtl/>
        </w:rPr>
        <w:t>أن يثبت لله عز وجل ما قضى العقل بجوازه ونص الشرع على ثبوته</w:t>
      </w:r>
      <w:r w:rsidR="00DB731D" w:rsidRPr="00A52585">
        <w:rPr>
          <w:rFonts w:hint="cs"/>
          <w:bCs/>
          <w:rtl/>
        </w:rPr>
        <w:t>،</w:t>
      </w:r>
      <w:r w:rsidR="00777DCB" w:rsidRPr="00A52585">
        <w:rPr>
          <w:rFonts w:hint="cs"/>
          <w:bCs/>
          <w:rtl/>
        </w:rPr>
        <w:t xml:space="preserve"> </w:t>
      </w:r>
      <w:r w:rsidR="00777DCB" w:rsidRPr="00A52585">
        <w:rPr>
          <w:rFonts w:hint="cs"/>
          <w:rtl/>
        </w:rPr>
        <w:t xml:space="preserve">فإن المشبهة أثبتوا لله مالم يأذن فيه بل نهى عنه وهي </w:t>
      </w:r>
      <w:proofErr w:type="spellStart"/>
      <w:r w:rsidR="00777DCB" w:rsidRPr="00A52585">
        <w:rPr>
          <w:rFonts w:hint="cs"/>
          <w:rtl/>
        </w:rPr>
        <w:t>زيغة</w:t>
      </w:r>
      <w:proofErr w:type="spellEnd"/>
      <w:r w:rsidR="00777DCB" w:rsidRPr="00A52585">
        <w:rPr>
          <w:rFonts w:hint="cs"/>
          <w:rtl/>
        </w:rPr>
        <w:t xml:space="preserve"> سامرية ويهودية</w:t>
      </w:r>
      <w:r w:rsidR="00DB731D" w:rsidRPr="00A52585">
        <w:rPr>
          <w:rFonts w:hint="cs"/>
          <w:rtl/>
        </w:rPr>
        <w:t>،</w:t>
      </w:r>
      <w:r w:rsidR="00777DCB" w:rsidRPr="00A52585">
        <w:rPr>
          <w:rFonts w:hint="cs"/>
          <w:rtl/>
        </w:rPr>
        <w:t xml:space="preserve"> والمعطلة سلبوه ما اتصف به وسفهوه</w:t>
      </w:r>
      <w:r w:rsidR="00DB731D" w:rsidRPr="00A52585">
        <w:rPr>
          <w:rFonts w:hint="cs"/>
          <w:rtl/>
        </w:rPr>
        <w:t>،</w:t>
      </w:r>
      <w:r w:rsidR="00777DCB" w:rsidRPr="00A52585">
        <w:rPr>
          <w:rFonts w:hint="cs"/>
          <w:rtl/>
        </w:rPr>
        <w:t xml:space="preserve"> ولقد أحسن أبو الحسن الأشعري في جوابه عن التوحيد: إثبات ذات غير مشبهة بالذوات</w:t>
      </w:r>
      <w:r w:rsidR="00DB731D" w:rsidRPr="00A52585">
        <w:rPr>
          <w:rFonts w:hint="cs"/>
          <w:rtl/>
        </w:rPr>
        <w:t>،</w:t>
      </w:r>
      <w:r w:rsidR="00777DCB" w:rsidRPr="00A52585">
        <w:rPr>
          <w:rFonts w:hint="cs"/>
          <w:rtl/>
        </w:rPr>
        <w:t xml:space="preserve"> ولا معطلة عن الصفات</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 أكـبر أن يكـون لـذاتـه</w:t>
      </w:r>
      <w:r w:rsidR="00897A24" w:rsidRPr="00A52585">
        <w:rPr>
          <w:rFonts w:hint="cs"/>
          <w:rtl/>
        </w:rPr>
        <w:t>.</w:t>
      </w:r>
      <w:r w:rsidR="00777DCB" w:rsidRPr="00A52585">
        <w:rPr>
          <w:rFonts w:hint="cs"/>
          <w:rtl/>
        </w:rPr>
        <w:t>.. كيفية كـذوات مخـلوقـاتـه</w:t>
      </w:r>
      <w:r w:rsidR="00DB731D" w:rsidRPr="00A52585">
        <w:rPr>
          <w:rFonts w:hint="cs"/>
          <w:rtl/>
        </w:rPr>
        <w:t>،</w:t>
      </w:r>
      <w:r w:rsidR="00777DCB" w:rsidRPr="00A52585">
        <w:rPr>
          <w:rFonts w:hint="cs"/>
          <w:rtl/>
        </w:rPr>
        <w:t xml:space="preserve"> أو أن تقاس صفاتنا في كل ما</w:t>
      </w:r>
      <w:r w:rsidR="00897A24" w:rsidRPr="00A52585">
        <w:rPr>
          <w:rFonts w:hint="cs"/>
          <w:rtl/>
        </w:rPr>
        <w:t>.</w:t>
      </w:r>
      <w:r w:rsidR="00777DCB" w:rsidRPr="00A52585">
        <w:rPr>
          <w:rFonts w:hint="cs"/>
          <w:rtl/>
        </w:rPr>
        <w:t>.. نأتيـه مـن أفعالنـا</w:t>
      </w:r>
      <w:r w:rsidRPr="00A52585">
        <w:rPr>
          <w:rFonts w:hint="cs"/>
          <w:rtl/>
        </w:rPr>
        <w:t xml:space="preserve"> </w:t>
      </w:r>
      <w:r w:rsidR="00777DCB" w:rsidRPr="00A52585">
        <w:rPr>
          <w:rFonts w:hint="cs"/>
          <w:rtl/>
        </w:rPr>
        <w:t>بصفـاته</w:t>
      </w:r>
      <w:r w:rsidR="00DB731D" w:rsidRPr="00A52585">
        <w:rPr>
          <w:rFonts w:hint="cs"/>
          <w:rtl/>
        </w:rPr>
        <w:t>،</w:t>
      </w:r>
      <w:r w:rsidR="00777DCB" w:rsidRPr="00A52585">
        <w:rPr>
          <w:rFonts w:hint="cs"/>
          <w:rtl/>
        </w:rPr>
        <w:t xml:space="preserve"> </w:t>
      </w:r>
      <w:r w:rsidR="00777DCB" w:rsidRPr="00A52585">
        <w:rPr>
          <w:rFonts w:hint="cs"/>
          <w:spacing w:val="-10"/>
          <w:rtl/>
        </w:rPr>
        <w:t>أبداً عقول ذوى العقول بأسرها</w:t>
      </w:r>
      <w:r w:rsidR="00897A24" w:rsidRPr="00A52585">
        <w:rPr>
          <w:rFonts w:hint="cs"/>
          <w:rtl/>
        </w:rPr>
        <w:t>.</w:t>
      </w:r>
      <w:r w:rsidR="00777DCB" w:rsidRPr="00A52585">
        <w:rPr>
          <w:rFonts w:hint="cs"/>
          <w:rtl/>
        </w:rPr>
        <w:t>.. متحـيرات في</w:t>
      </w:r>
      <w:r w:rsidRPr="00A52585">
        <w:rPr>
          <w:rFonts w:hint="cs"/>
          <w:rtl/>
        </w:rPr>
        <w:t xml:space="preserve"> </w:t>
      </w:r>
      <w:r w:rsidR="00777DCB" w:rsidRPr="00A52585">
        <w:rPr>
          <w:rFonts w:hint="cs"/>
          <w:rtl/>
        </w:rPr>
        <w:t>دوام</w:t>
      </w:r>
      <w:r w:rsidRPr="00A52585">
        <w:rPr>
          <w:rFonts w:hint="cs"/>
          <w:rtl/>
        </w:rPr>
        <w:t xml:space="preserve"> </w:t>
      </w:r>
      <w:r w:rsidR="00777DCB" w:rsidRPr="00A52585">
        <w:rPr>
          <w:rFonts w:hint="cs"/>
          <w:rtl/>
        </w:rPr>
        <w:t>حيـاتـه</w:t>
      </w:r>
      <w:r w:rsidR="00DB731D" w:rsidRPr="00A52585">
        <w:rPr>
          <w:rFonts w:hint="cs"/>
          <w:rtl/>
        </w:rPr>
        <w:t>،</w:t>
      </w:r>
      <w:r w:rsidR="00777DCB" w:rsidRPr="00A52585">
        <w:rPr>
          <w:rFonts w:hint="cs"/>
          <w:rtl/>
        </w:rPr>
        <w:t xml:space="preserve"> لبــديــع</w:t>
      </w:r>
      <w:r w:rsidRPr="00A52585">
        <w:rPr>
          <w:rFonts w:hint="cs"/>
          <w:rtl/>
        </w:rPr>
        <w:t xml:space="preserve"> </w:t>
      </w:r>
      <w:r w:rsidR="00777DCB" w:rsidRPr="00A52585">
        <w:rPr>
          <w:rFonts w:hint="cs"/>
          <w:rtl/>
        </w:rPr>
        <w:t>صنعتـــه</w:t>
      </w:r>
      <w:r w:rsidRPr="00A52585">
        <w:rPr>
          <w:rFonts w:hint="cs"/>
          <w:rtl/>
        </w:rPr>
        <w:t xml:space="preserve"> </w:t>
      </w:r>
      <w:r w:rsidR="00777DCB" w:rsidRPr="00A52585">
        <w:rPr>
          <w:rFonts w:hint="cs"/>
          <w:rtl/>
        </w:rPr>
        <w:t>عليـه شـواهــد</w:t>
      </w:r>
      <w:r w:rsidR="00897A24" w:rsidRPr="00A52585">
        <w:rPr>
          <w:rFonts w:hint="cs"/>
          <w:rtl/>
        </w:rPr>
        <w:t>.</w:t>
      </w:r>
      <w:r w:rsidR="00777DCB" w:rsidRPr="00A52585">
        <w:rPr>
          <w:rFonts w:hint="cs"/>
          <w:rtl/>
        </w:rPr>
        <w:t>.. تبدو على صفحات مصنوعاته</w:t>
      </w:r>
      <w:r w:rsidRPr="00A52585">
        <w:rPr>
          <w:rFonts w:hint="cs"/>
          <w:rtl/>
        </w:rPr>
        <w:t>)</w:t>
      </w:r>
      <w:r w:rsidR="00DB731D" w:rsidRPr="00A52585">
        <w:rPr>
          <w:rFonts w:hint="cs"/>
          <w:rtl/>
        </w:rPr>
        <w:t>،</w:t>
      </w:r>
      <w:r w:rsidR="00777DCB" w:rsidRPr="00A52585">
        <w:rPr>
          <w:rFonts w:hint="cs"/>
          <w:rtl/>
        </w:rPr>
        <w:t xml:space="preserve"> فكل ما ترى عينك الباصرة فهو دلائل ظاهرة على أنَّ العالم مخلوق بتقدير شامل وتدبير كامل وحكمة بالغة وقدرة غير متناهية</w:t>
      </w:r>
      <w:r w:rsidR="00DB731D" w:rsidRPr="00A52585">
        <w:rPr>
          <w:rFonts w:hint="cs"/>
          <w:rtl/>
        </w:rPr>
        <w:t>،</w:t>
      </w:r>
      <w:r w:rsidR="00777DCB" w:rsidRPr="00A52585">
        <w:rPr>
          <w:rFonts w:hint="cs"/>
          <w:rtl/>
        </w:rPr>
        <w:t xml:space="preserve"> ولو جمع عقول العقلاء عقلا واحداً ثم تفكروا بذلك العقل في جناح بعوضة حتى يجدوا تركيبا أحسن منه وأكمل فَنِيَت تلك العقول</w:t>
      </w:r>
      <w:r w:rsidR="00DB731D" w:rsidRPr="00A52585">
        <w:rPr>
          <w:rFonts w:hint="cs"/>
          <w:rtl/>
        </w:rPr>
        <w:t>،</w:t>
      </w:r>
      <w:r w:rsidR="00777DCB" w:rsidRPr="00A52585">
        <w:rPr>
          <w:rFonts w:hint="cs"/>
          <w:rtl/>
        </w:rPr>
        <w:t xml:space="preserve"> وانقطعت تلك الأفكار ولم تصل إلى درك ذرة من ذرات حكمته في تلك البعوضة على سبيل التمام والكمال فما الظن بذي الجلال</w:t>
      </w:r>
      <w:r w:rsidR="00F95886" w:rsidRPr="00A52585">
        <w:rPr>
          <w:rFonts w:hint="cs"/>
          <w:rtl/>
        </w:rPr>
        <w:t>!</w:t>
      </w:r>
      <w:r w:rsidR="00777DCB" w:rsidRPr="00A52585">
        <w:rPr>
          <w:rFonts w:hint="cs"/>
          <w:rtl/>
        </w:rPr>
        <w:t xml:space="preserve"> تباً ثم تباً ثم تباً لأهل الجهل والضلال وما اعتقدوه من النقص مع تنزيه البحار وشوامخ الجبال</w:t>
      </w:r>
      <w:r w:rsidR="00DB731D" w:rsidRPr="00A52585">
        <w:rPr>
          <w:rFonts w:hint="cs"/>
          <w:rtl/>
        </w:rPr>
        <w:t>،</w:t>
      </w:r>
      <w:r w:rsidR="00777DCB" w:rsidRPr="00A52585">
        <w:rPr>
          <w:rFonts w:hint="cs"/>
          <w:rtl/>
        </w:rPr>
        <w:t xml:space="preserve"> فسبحان من تسبحه البحار </w:t>
      </w:r>
      <w:proofErr w:type="spellStart"/>
      <w:r w:rsidR="00777DCB" w:rsidRPr="00A52585">
        <w:rPr>
          <w:rFonts w:hint="cs"/>
          <w:rtl/>
        </w:rPr>
        <w:t>الطوافح</w:t>
      </w:r>
      <w:proofErr w:type="spellEnd"/>
      <w:r w:rsidR="00777DCB" w:rsidRPr="00A52585">
        <w:rPr>
          <w:rFonts w:hint="cs"/>
          <w:rtl/>
        </w:rPr>
        <w:t xml:space="preserve"> والجبال الشم والسحب السوابح والأمطار الطوامح والأفكار والقرائح</w:t>
      </w:r>
      <w:r w:rsidR="00DB731D" w:rsidRPr="00A52585">
        <w:rPr>
          <w:rFonts w:hint="cs"/>
          <w:rtl/>
        </w:rPr>
        <w:t>،</w:t>
      </w:r>
      <w:r w:rsidR="00777DCB" w:rsidRPr="00A52585">
        <w:rPr>
          <w:rFonts w:hint="cs"/>
          <w:rtl/>
        </w:rPr>
        <w:t xml:space="preserve"> تقدس عن مثل وشبيه. وتنزه عن نقص يعتريه يعلم خائنة الصدر وما فيه من سر أو أضمرته الجوانح</w:t>
      </w:r>
      <w:r w:rsidR="00DB731D" w:rsidRPr="00A52585">
        <w:rPr>
          <w:rFonts w:hint="cs"/>
          <w:rtl/>
        </w:rPr>
        <w:t>،</w:t>
      </w:r>
      <w:r w:rsidR="00777DCB" w:rsidRPr="00A52585">
        <w:rPr>
          <w:rFonts w:hint="cs"/>
          <w:rtl/>
        </w:rPr>
        <w:t xml:space="preserve"> تعالى عن الضد المماثل والضد </w:t>
      </w:r>
      <w:proofErr w:type="spellStart"/>
      <w:r w:rsidR="00777DCB" w:rsidRPr="00A52585">
        <w:rPr>
          <w:rFonts w:hint="cs"/>
          <w:rtl/>
        </w:rPr>
        <w:t>المكادح</w:t>
      </w:r>
      <w:proofErr w:type="spellEnd"/>
      <w:r w:rsidR="00777DCB" w:rsidRPr="00A52585">
        <w:rPr>
          <w:rFonts w:hint="cs"/>
          <w:rtl/>
        </w:rPr>
        <w:t xml:space="preserve"> يفعل ما يشاء</w:t>
      </w:r>
      <w:r w:rsidR="00DB731D" w:rsidRPr="00A52585">
        <w:rPr>
          <w:rFonts w:hint="cs"/>
          <w:rtl/>
        </w:rPr>
        <w:t>،</w:t>
      </w:r>
      <w:r w:rsidR="00777DCB" w:rsidRPr="00A52585">
        <w:rPr>
          <w:rFonts w:hint="cs"/>
          <w:rtl/>
        </w:rPr>
        <w:t xml:space="preserve"> ما شاء كان وما لم يشأ لم يكن هلك المعترض والجاهل المكافح</w:t>
      </w:r>
      <w:r w:rsidR="00DB731D" w:rsidRPr="00A52585">
        <w:rPr>
          <w:rFonts w:hint="cs"/>
          <w:rtl/>
        </w:rPr>
        <w:t>،</w:t>
      </w:r>
      <w:r w:rsidR="00777DCB" w:rsidRPr="00A52585">
        <w:rPr>
          <w:rFonts w:hint="cs"/>
          <w:rtl/>
        </w:rPr>
        <w:t xml:space="preserve"> متكلم بكلام مسموع بالآذان بغير آلات ولا أدوات ولا جوارح</w:t>
      </w:r>
      <w:r w:rsidRPr="00A52585">
        <w:rPr>
          <w:rFonts w:hint="cs"/>
          <w:rtl/>
        </w:rPr>
        <w:t>:</w:t>
      </w:r>
      <w:r w:rsidR="00777DCB" w:rsidRPr="00A52585">
        <w:rPr>
          <w:rFonts w:hint="cs"/>
          <w:rtl/>
        </w:rPr>
        <w:t xml:space="preserve"> أين لهوات الحصى وحلقوم الجذع وجارحتهما</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يشير رضي الله عنه إلى تسبيح الحصى بين يدي رسول الله صلى الله عليه وسلم وإلى أنين الجذع الذي كان رسول الله صلى الله عليه وسلم يقف عليه أثناء الخطبة وتركه صلى الله عليه وسلم بعد أن صنعوا له منبراً بدلاً منه</w:t>
      </w:r>
      <w:r w:rsidRPr="00A52585">
        <w:rPr>
          <w:rFonts w:hint="cs"/>
          <w:sz w:val="24"/>
          <w:szCs w:val="24"/>
          <w:rtl/>
        </w:rPr>
        <w:t>]</w:t>
      </w:r>
      <w:r w:rsidR="00DB731D" w:rsidRPr="00A52585">
        <w:rPr>
          <w:rFonts w:hint="cs"/>
          <w:sz w:val="24"/>
          <w:szCs w:val="24"/>
          <w:rtl/>
        </w:rPr>
        <w:t>،</w:t>
      </w:r>
      <w:r w:rsidR="00777DCB" w:rsidRPr="00A52585">
        <w:rPr>
          <w:rFonts w:hint="cs"/>
          <w:rtl/>
        </w:rPr>
        <w:t xml:space="preserve"> فما أجهلك بقوله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فلما </w:t>
      </w:r>
      <w:proofErr w:type="spellStart"/>
      <w:r w:rsidR="00777DCB" w:rsidRPr="00A52585">
        <w:rPr>
          <w:rFonts w:hint="cs"/>
          <w:rtl/>
        </w:rPr>
        <w:t>جائتهم</w:t>
      </w:r>
      <w:proofErr w:type="spellEnd"/>
      <w:r w:rsidR="00777DCB" w:rsidRPr="00A52585">
        <w:rPr>
          <w:rFonts w:hint="cs"/>
          <w:rtl/>
        </w:rPr>
        <w:t xml:space="preserve"> آياتنا مبصرة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الآية 13، من سورة النمل</w:t>
      </w:r>
      <w:r w:rsidR="00DB731D" w:rsidRPr="00A52585">
        <w:rPr>
          <w:rFonts w:hint="cs"/>
          <w:sz w:val="24"/>
          <w:szCs w:val="24"/>
          <w:rtl/>
        </w:rPr>
        <w:t>،</w:t>
      </w:r>
      <w:r w:rsidR="00777DCB" w:rsidRPr="00A52585">
        <w:rPr>
          <w:rFonts w:hint="cs"/>
          <w:sz w:val="24"/>
          <w:szCs w:val="24"/>
          <w:rtl/>
        </w:rPr>
        <w:t xml:space="preserve"> ويقول الإمام الألوسي في تفسيره</w:t>
      </w:r>
      <w:r w:rsidRPr="00A52585">
        <w:rPr>
          <w:rFonts w:hint="cs"/>
          <w:sz w:val="24"/>
          <w:szCs w:val="24"/>
          <w:rtl/>
        </w:rPr>
        <w:t xml:space="preserve">: </w:t>
      </w:r>
      <w:r w:rsidR="00777DCB" w:rsidRPr="00A52585">
        <w:rPr>
          <w:rFonts w:hint="cs"/>
          <w:sz w:val="24"/>
          <w:szCs w:val="24"/>
          <w:rtl/>
        </w:rPr>
        <w:t>"مبصرة "</w:t>
      </w:r>
      <w:r w:rsidRPr="00A52585">
        <w:rPr>
          <w:rFonts w:hint="cs"/>
          <w:sz w:val="24"/>
          <w:szCs w:val="24"/>
          <w:rtl/>
        </w:rPr>
        <w:t xml:space="preserve"> </w:t>
      </w:r>
      <w:r w:rsidR="00777DCB" w:rsidRPr="00A52585">
        <w:rPr>
          <w:rFonts w:hint="cs"/>
          <w:sz w:val="24"/>
          <w:szCs w:val="24"/>
          <w:rtl/>
        </w:rPr>
        <w:t xml:space="preserve">حال من الآيات أي بينة واضحة وجعل الإبصار لها وهو حقيقة لمتأمليها للملابسة بينها وبينهم لأنهم إنما يبصرون </w:t>
      </w:r>
      <w:r w:rsidR="00777DCB" w:rsidRPr="00A52585">
        <w:rPr>
          <w:rFonts w:hint="cs"/>
          <w:sz w:val="24"/>
          <w:szCs w:val="24"/>
          <w:rtl/>
        </w:rPr>
        <w:lastRenderedPageBreak/>
        <w:t>بسبب تأملهم فيها، فالإسناد مجازى من باب الإسناد إلى السبب ويجوز أن يراد مبصرة كل من نظر إليها من العقلاء أو من فرعون وقومه لقوله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proofErr w:type="spellStart"/>
      <w:r w:rsidR="00777DCB" w:rsidRPr="00A52585">
        <w:rPr>
          <w:rFonts w:hint="cs"/>
          <w:sz w:val="24"/>
          <w:szCs w:val="24"/>
          <w:rtl/>
        </w:rPr>
        <w:t>واستيقنتها</w:t>
      </w:r>
      <w:proofErr w:type="spellEnd"/>
      <w:r w:rsidR="00777DCB" w:rsidRPr="00A52585">
        <w:rPr>
          <w:rFonts w:hint="cs"/>
          <w:sz w:val="24"/>
          <w:szCs w:val="24"/>
          <w:rtl/>
        </w:rPr>
        <w:t xml:space="preserve"> أنفسهم</w:t>
      </w:r>
      <w:r w:rsidRPr="00A52585">
        <w:rPr>
          <w:rFonts w:hint="cs"/>
          <w:sz w:val="24"/>
          <w:szCs w:val="24"/>
          <w:rtl/>
        </w:rPr>
        <w:t>}</w:t>
      </w:r>
      <w:r w:rsidR="00777DCB" w:rsidRPr="00A52585">
        <w:rPr>
          <w:rFonts w:hint="cs"/>
          <w:sz w:val="24"/>
          <w:szCs w:val="24"/>
          <w:rtl/>
        </w:rPr>
        <w:t xml:space="preserve"> أي جاعلته بصيراً من (أبصره) </w:t>
      </w:r>
      <w:proofErr w:type="spellStart"/>
      <w:r w:rsidR="00777DCB" w:rsidRPr="00A52585">
        <w:rPr>
          <w:rFonts w:hint="cs"/>
          <w:sz w:val="24"/>
          <w:szCs w:val="24"/>
          <w:rtl/>
        </w:rPr>
        <w:t>المتعدى</w:t>
      </w:r>
      <w:proofErr w:type="spellEnd"/>
      <w:r w:rsidR="00777DCB" w:rsidRPr="00A52585">
        <w:rPr>
          <w:rFonts w:hint="cs"/>
          <w:sz w:val="24"/>
          <w:szCs w:val="24"/>
          <w:rtl/>
        </w:rPr>
        <w:t xml:space="preserve"> بهمزة النقل من بصر، والإسناد أيضاً مجازي أهـ المقصود منه</w:t>
      </w:r>
      <w:r w:rsidRPr="00A52585">
        <w:rPr>
          <w:rFonts w:hint="cs"/>
          <w:sz w:val="24"/>
          <w:szCs w:val="24"/>
          <w:rtl/>
        </w:rPr>
        <w:t>]</w:t>
      </w:r>
      <w:r w:rsidR="00DB731D" w:rsidRPr="00A52585">
        <w:rPr>
          <w:rFonts w:hint="cs"/>
          <w:sz w:val="24"/>
          <w:szCs w:val="24"/>
          <w:rtl/>
        </w:rPr>
        <w:t>،</w:t>
      </w:r>
      <w:r w:rsidR="00777DCB" w:rsidRPr="00A52585">
        <w:rPr>
          <w:rFonts w:hint="cs"/>
          <w:rtl/>
        </w:rPr>
        <w:t xml:space="preserve"> نسب الإبصار إلى الآيات فأين الحدقة يا قامح</w:t>
      </w:r>
      <w:r w:rsidR="00F95886" w:rsidRPr="00A52585">
        <w:rPr>
          <w:rFonts w:hint="cs"/>
          <w:rtl/>
        </w:rPr>
        <w:t>؟!</w:t>
      </w:r>
      <w:r w:rsidR="00777DCB" w:rsidRPr="00A52585">
        <w:rPr>
          <w:rFonts w:hint="cs"/>
          <w:rtl/>
        </w:rPr>
        <w:t xml:space="preserve"> ومن آياته إنزال القطر بقدرته وصبغ ألوان النبات والثمار بحكمته. مع مخالفة الطعوم بمشيئته وإرسال الرياح لواقح موصوف بالسمع والبصر يُرى في الجنة كما يرى القمر من شبهه أو كيفه طغى وكفر</w:t>
      </w:r>
      <w:r w:rsidR="00DB731D" w:rsidRPr="00A52585">
        <w:rPr>
          <w:rFonts w:hint="cs"/>
          <w:rtl/>
        </w:rPr>
        <w:t>،</w:t>
      </w:r>
      <w:r w:rsidR="00777DCB" w:rsidRPr="00A52585">
        <w:rPr>
          <w:rFonts w:hint="cs"/>
          <w:rtl/>
        </w:rPr>
        <w:t xml:space="preserve"> هذا مذهب أهل الحق والسنة والأثر ودليلهم جلى واضح من شبهه أو مثل أو جسم فهو مع السامرة واليهود ومن حزبهم يوم تظهر المخبآت وتبلى السرائر وتبين الفضائح وإن قيل عنه في الدنيا أنه ولي وصالح</w:t>
      </w:r>
      <w:r w:rsidR="00DB731D" w:rsidRPr="00A52585">
        <w:rPr>
          <w:rFonts w:hint="cs"/>
          <w:rtl/>
        </w:rPr>
        <w:t>،</w:t>
      </w:r>
      <w:r w:rsidR="00777DCB" w:rsidRPr="00A52585">
        <w:rPr>
          <w:rFonts w:hint="cs"/>
          <w:rtl/>
        </w:rPr>
        <w:t xml:space="preserve"> هلك الهالكون بآرائهم لأنه عمل غير صالح وفاز المنزهون فيالها صفقة رابح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يقول الإمام أبو منصور عبد القاهر بن طاهر التميمي البغدادي (ت 429) في كتابه (أصول الدين) تحت عنوان</w:t>
      </w:r>
      <w:r w:rsidRPr="00A52585">
        <w:rPr>
          <w:rFonts w:hint="cs"/>
          <w:sz w:val="24"/>
          <w:szCs w:val="24"/>
          <w:rtl/>
        </w:rPr>
        <w:t xml:space="preserve"> </w:t>
      </w:r>
      <w:r w:rsidR="00777DCB" w:rsidRPr="00A52585">
        <w:rPr>
          <w:rFonts w:hint="cs"/>
          <w:sz w:val="24"/>
          <w:szCs w:val="24"/>
          <w:rtl/>
        </w:rPr>
        <w:t>" المسألة الحادية عشرة من هذا الأصل في حكم المجسمة والمشبهة"</w:t>
      </w:r>
      <w:r w:rsidRPr="00A52585">
        <w:rPr>
          <w:rFonts w:hint="cs"/>
          <w:sz w:val="24"/>
          <w:szCs w:val="24"/>
          <w:rtl/>
        </w:rPr>
        <w:t>:</w:t>
      </w:r>
      <w:r w:rsidR="00777DCB" w:rsidRPr="00A52585">
        <w:rPr>
          <w:rFonts w:hint="cs"/>
          <w:sz w:val="24"/>
          <w:szCs w:val="24"/>
          <w:rtl/>
        </w:rPr>
        <w:t xml:space="preserve"> "كل من شبه ربه بصورة الإنسان من البيانية </w:t>
      </w:r>
      <w:proofErr w:type="spellStart"/>
      <w:r w:rsidR="00777DCB" w:rsidRPr="00A52585">
        <w:rPr>
          <w:rFonts w:hint="cs"/>
          <w:sz w:val="24"/>
          <w:szCs w:val="24"/>
          <w:rtl/>
        </w:rPr>
        <w:t>والمغيرية</w:t>
      </w:r>
      <w:proofErr w:type="spellEnd"/>
      <w:r w:rsidR="00777DCB" w:rsidRPr="00A52585">
        <w:rPr>
          <w:rFonts w:hint="cs"/>
          <w:sz w:val="24"/>
          <w:szCs w:val="24"/>
          <w:rtl/>
        </w:rPr>
        <w:t xml:space="preserve"> </w:t>
      </w:r>
      <w:proofErr w:type="spellStart"/>
      <w:r w:rsidR="00777DCB" w:rsidRPr="00A52585">
        <w:rPr>
          <w:rFonts w:hint="cs"/>
          <w:sz w:val="24"/>
          <w:szCs w:val="24"/>
          <w:rtl/>
        </w:rPr>
        <w:t>والجواربية</w:t>
      </w:r>
      <w:proofErr w:type="spellEnd"/>
      <w:r w:rsidR="00777DCB" w:rsidRPr="00A52585">
        <w:rPr>
          <w:rFonts w:hint="cs"/>
          <w:sz w:val="24"/>
          <w:szCs w:val="24"/>
          <w:rtl/>
        </w:rPr>
        <w:t xml:space="preserve"> المنسوبة إلى داود </w:t>
      </w:r>
      <w:proofErr w:type="spellStart"/>
      <w:r w:rsidR="00777DCB" w:rsidRPr="00A52585">
        <w:rPr>
          <w:rFonts w:hint="cs"/>
          <w:sz w:val="24"/>
          <w:szCs w:val="24"/>
          <w:rtl/>
        </w:rPr>
        <w:t>الجواربي</w:t>
      </w:r>
      <w:proofErr w:type="spellEnd"/>
      <w:r w:rsidR="00777DCB" w:rsidRPr="00A52585">
        <w:rPr>
          <w:rFonts w:hint="cs"/>
          <w:sz w:val="24"/>
          <w:szCs w:val="24"/>
          <w:rtl/>
        </w:rPr>
        <w:t xml:space="preserve"> والهشامية المنسوبة إلى هشام بن سالم الجواليقي، فإنما يعبد إنساناً مثله ويكون حكمه في الذبيحة والنكاح كحكم عبدة الأوثان فيها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وأما جسمية خراسان من الكرامية فتكفيرهم واجب لقولهم بأن الله له حدُّ ونهاية من جهة السفل ومنها يمسُّ عرشه</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وذكر بعض أقوالهم المكفرة لهم ثم قال</w:t>
      </w:r>
      <w:r w:rsidRPr="00A52585">
        <w:rPr>
          <w:rFonts w:hint="cs"/>
          <w:sz w:val="24"/>
          <w:szCs w:val="24"/>
          <w:rtl/>
        </w:rPr>
        <w:t>:</w:t>
      </w:r>
      <w:r w:rsidR="00777DCB" w:rsidRPr="00A52585">
        <w:rPr>
          <w:rFonts w:hint="cs"/>
          <w:sz w:val="24"/>
          <w:szCs w:val="24"/>
          <w:rtl/>
        </w:rPr>
        <w:t xml:space="preserve"> " وسائر فرق الأمة يكفرونهم</w:t>
      </w:r>
      <w:r w:rsidRPr="00A52585">
        <w:rPr>
          <w:rFonts w:hint="cs"/>
          <w:sz w:val="24"/>
          <w:szCs w:val="24"/>
          <w:rtl/>
        </w:rPr>
        <w:t xml:space="preserve"> </w:t>
      </w:r>
      <w:r w:rsidR="00777DCB" w:rsidRPr="00A52585">
        <w:rPr>
          <w:rFonts w:hint="cs"/>
          <w:sz w:val="24"/>
          <w:szCs w:val="24"/>
          <w:rtl/>
        </w:rPr>
        <w:t>وجميع مخالفيهم على أنهم من أهل النار فصاروا عن هذه الجهة شر فرق الأمة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ط دار الكتب العلمية ص 337- 338 ونقل الإمام المفسر أبو عبد الله القرطبي في تفسيره عند تفسير الآية السابعة من سورة آل عمران</w:t>
      </w:r>
      <w:r w:rsidRPr="00A52585">
        <w:rPr>
          <w:rFonts w:hint="cs"/>
          <w:sz w:val="24"/>
          <w:szCs w:val="24"/>
          <w:rtl/>
        </w:rPr>
        <w:t xml:space="preserve"> </w:t>
      </w:r>
      <w:r w:rsidR="00777DCB" w:rsidRPr="00A52585">
        <w:rPr>
          <w:rFonts w:hint="cs"/>
          <w:sz w:val="24"/>
          <w:szCs w:val="24"/>
          <w:rtl/>
        </w:rPr>
        <w:t>" فأما الذين في قلوبهم زيغ فيتبعون ما تشابه منه ابتغاء الفتنة وابتغاء تأويله "</w:t>
      </w:r>
      <w:r w:rsidRPr="00A52585">
        <w:rPr>
          <w:rFonts w:hint="cs"/>
          <w:sz w:val="24"/>
          <w:szCs w:val="24"/>
          <w:rtl/>
        </w:rPr>
        <w:t xml:space="preserve"> </w:t>
      </w:r>
      <w:r w:rsidR="00777DCB" w:rsidRPr="00A52585">
        <w:rPr>
          <w:rFonts w:hint="cs"/>
          <w:sz w:val="24"/>
          <w:szCs w:val="24"/>
          <w:rtl/>
        </w:rPr>
        <w:t>عن شيخه الحافظ أبي العباس أحمد بن عمر القرطبي (ت656هـ) مُقراً له قال</w:t>
      </w:r>
      <w:r w:rsidRPr="00A52585">
        <w:rPr>
          <w:rFonts w:hint="cs"/>
          <w:sz w:val="24"/>
          <w:szCs w:val="24"/>
          <w:rtl/>
        </w:rPr>
        <w:t xml:space="preserve">: </w:t>
      </w:r>
      <w:r w:rsidR="00777DCB" w:rsidRPr="00A52585">
        <w:rPr>
          <w:rFonts w:hint="cs"/>
          <w:sz w:val="24"/>
          <w:szCs w:val="24"/>
          <w:rtl/>
        </w:rPr>
        <w:t>"قال شيخنا أبو العباس رحمة الله عليه</w:t>
      </w:r>
      <w:r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متبعوا</w:t>
      </w:r>
      <w:proofErr w:type="spellEnd"/>
      <w:r w:rsidR="00777DCB" w:rsidRPr="00A52585">
        <w:rPr>
          <w:rFonts w:hint="cs"/>
          <w:sz w:val="24"/>
          <w:szCs w:val="24"/>
          <w:rtl/>
        </w:rPr>
        <w:t xml:space="preserve"> المتشابه لا يخلو أن يتبعوه ويجمعوه</w:t>
      </w:r>
      <w:r w:rsidRPr="00A52585">
        <w:rPr>
          <w:rFonts w:hint="cs"/>
          <w:sz w:val="24"/>
          <w:szCs w:val="24"/>
          <w:rtl/>
        </w:rPr>
        <w:t>:</w:t>
      </w:r>
      <w:r w:rsidR="00777DCB" w:rsidRPr="00A52585">
        <w:rPr>
          <w:rFonts w:hint="cs"/>
          <w:sz w:val="24"/>
          <w:szCs w:val="24"/>
          <w:rtl/>
        </w:rPr>
        <w:t xml:space="preserve"> 1- طلبا للتشكيك في القرآن وإضلال العوام كما فعلته الزنادقة والقرامطة الطاعنون في القرآن</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أو طلبا لاعتقاد ظواهر المتشابه كما فعلته المجسمة الذين جمعوا ما في الكتاب والسنة مما ظاهرة الجسمية حتى اعتقدوا أن البارئ تعالى جسم مجسم وصورة مصورة ذات وجه وعين ويد وجنب ورجل وإصبع تعالى الله عن ذلك</w:t>
      </w:r>
      <w:r w:rsidR="00F95886" w:rsidRPr="00A52585">
        <w:rPr>
          <w:rFonts w:hint="cs"/>
          <w:sz w:val="24"/>
          <w:szCs w:val="24"/>
          <w:rtl/>
        </w:rPr>
        <w:t>!</w:t>
      </w:r>
      <w:r w:rsidR="00777DCB" w:rsidRPr="00A52585">
        <w:rPr>
          <w:rFonts w:hint="cs"/>
          <w:sz w:val="24"/>
          <w:szCs w:val="24"/>
          <w:rtl/>
        </w:rPr>
        <w:t xml:space="preserve"> 3- أو يتبعوه على </w:t>
      </w:r>
      <w:proofErr w:type="spellStart"/>
      <w:r w:rsidR="00777DCB" w:rsidRPr="00A52585">
        <w:rPr>
          <w:rFonts w:hint="cs"/>
          <w:sz w:val="24"/>
          <w:szCs w:val="24"/>
          <w:rtl/>
        </w:rPr>
        <w:t>جهه</w:t>
      </w:r>
      <w:proofErr w:type="spellEnd"/>
      <w:r w:rsidR="00777DCB" w:rsidRPr="00A52585">
        <w:rPr>
          <w:rFonts w:hint="cs"/>
          <w:sz w:val="24"/>
          <w:szCs w:val="24"/>
          <w:rtl/>
        </w:rPr>
        <w:t xml:space="preserve"> إبداء تأويلاتها وإيضاح معانيها</w:t>
      </w:r>
      <w:r w:rsidR="00DB731D" w:rsidRPr="00A52585">
        <w:rPr>
          <w:rFonts w:hint="cs"/>
          <w:sz w:val="24"/>
          <w:szCs w:val="24"/>
          <w:rtl/>
        </w:rPr>
        <w:t>،</w:t>
      </w:r>
      <w:r w:rsidR="00777DCB" w:rsidRPr="00A52585">
        <w:rPr>
          <w:rFonts w:hint="cs"/>
          <w:sz w:val="24"/>
          <w:szCs w:val="24"/>
          <w:rtl/>
        </w:rPr>
        <w:t xml:space="preserve"> 4- أو كما فعل </w:t>
      </w:r>
      <w:proofErr w:type="spellStart"/>
      <w:r w:rsidR="00777DCB" w:rsidRPr="00A52585">
        <w:rPr>
          <w:rFonts w:hint="cs"/>
          <w:sz w:val="24"/>
          <w:szCs w:val="24"/>
          <w:rtl/>
        </w:rPr>
        <w:t>صبيغ</w:t>
      </w:r>
      <w:proofErr w:type="spellEnd"/>
      <w:r w:rsidR="00777DCB" w:rsidRPr="00A52585">
        <w:rPr>
          <w:rFonts w:hint="cs"/>
          <w:sz w:val="24"/>
          <w:szCs w:val="24"/>
          <w:rtl/>
        </w:rPr>
        <w:t xml:space="preserve"> حين أكثر على عمر فيه السؤال</w:t>
      </w:r>
      <w:r w:rsidR="00DB731D" w:rsidRPr="00A52585">
        <w:rPr>
          <w:rFonts w:hint="cs"/>
          <w:sz w:val="24"/>
          <w:szCs w:val="24"/>
          <w:rtl/>
        </w:rPr>
        <w:t>،</w:t>
      </w:r>
      <w:r w:rsidR="00777DCB" w:rsidRPr="00A52585">
        <w:rPr>
          <w:rFonts w:hint="cs"/>
          <w:sz w:val="24"/>
          <w:szCs w:val="24"/>
          <w:rtl/>
        </w:rPr>
        <w:t xml:space="preserve"> فهذه أربعة أقسام "</w:t>
      </w:r>
      <w:r w:rsidRPr="00A52585">
        <w:rPr>
          <w:rFonts w:hint="cs"/>
          <w:sz w:val="24"/>
          <w:szCs w:val="24"/>
          <w:rtl/>
        </w:rPr>
        <w:t xml:space="preserve"> </w:t>
      </w:r>
      <w:r w:rsidR="00777DCB" w:rsidRPr="00A52585">
        <w:rPr>
          <w:rFonts w:hint="cs"/>
          <w:sz w:val="24"/>
          <w:szCs w:val="24"/>
          <w:rtl/>
        </w:rPr>
        <w:t>ثم ذكر حكم الشرع في كل قسم من هذه الأقسام فقال</w:t>
      </w:r>
      <w:r w:rsidRPr="00A52585">
        <w:rPr>
          <w:rFonts w:hint="cs"/>
          <w:sz w:val="24"/>
          <w:szCs w:val="24"/>
          <w:rtl/>
        </w:rPr>
        <w:t xml:space="preserve"> </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الأول</w:t>
      </w:r>
      <w:r w:rsidRPr="00A52585">
        <w:rPr>
          <w:rFonts w:hint="cs"/>
          <w:sz w:val="24"/>
          <w:szCs w:val="24"/>
          <w:rtl/>
        </w:rPr>
        <w:t>):</w:t>
      </w:r>
      <w:r w:rsidR="00777DCB" w:rsidRPr="00A52585">
        <w:rPr>
          <w:rFonts w:hint="cs"/>
          <w:sz w:val="24"/>
          <w:szCs w:val="24"/>
          <w:rtl/>
        </w:rPr>
        <w:t xml:space="preserve"> لا شك في كفرهم وأن حكم الله فيهم القتل من غير استتابة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الثاني</w:t>
      </w:r>
      <w:r w:rsidRPr="00A52585">
        <w:rPr>
          <w:rFonts w:hint="cs"/>
          <w:sz w:val="24"/>
          <w:szCs w:val="24"/>
          <w:rtl/>
        </w:rPr>
        <w:t>):</w:t>
      </w:r>
      <w:r w:rsidR="00777DCB" w:rsidRPr="00A52585">
        <w:rPr>
          <w:rFonts w:hint="cs"/>
          <w:sz w:val="24"/>
          <w:szCs w:val="24"/>
          <w:rtl/>
        </w:rPr>
        <w:t xml:space="preserve"> القول بتكفيرهم، إذ لا فرق بينهم وبين عباد الأصنام والصور، ويستتابـون فـإن تابـوا وإلا قتلوا كما يفعل بمن ارتد</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الثالث</w:t>
      </w:r>
      <w:r w:rsidRPr="00A52585">
        <w:rPr>
          <w:rFonts w:hint="cs"/>
          <w:sz w:val="24"/>
          <w:szCs w:val="24"/>
          <w:rtl/>
        </w:rPr>
        <w:t>):</w:t>
      </w:r>
      <w:r w:rsidR="00777DCB" w:rsidRPr="00A52585">
        <w:rPr>
          <w:rFonts w:hint="cs"/>
          <w:sz w:val="24"/>
          <w:szCs w:val="24"/>
          <w:rtl/>
        </w:rPr>
        <w:t xml:space="preserve"> اختلفوا في جواز ذلك بناء على الخلاف في جواز تأويلها وقد عُرف 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منها</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الرابع</w:t>
      </w:r>
      <w:r w:rsidRPr="00A52585">
        <w:rPr>
          <w:rFonts w:hint="cs"/>
          <w:sz w:val="24"/>
          <w:szCs w:val="24"/>
          <w:rtl/>
        </w:rPr>
        <w:t>):</w:t>
      </w:r>
      <w:r w:rsidR="00777DCB" w:rsidRPr="00A52585">
        <w:rPr>
          <w:rFonts w:hint="cs"/>
          <w:sz w:val="24"/>
          <w:szCs w:val="24"/>
          <w:rtl/>
        </w:rPr>
        <w:t xml:space="preserve"> الحكم فيه الأدب البليغ، كما فعله عمر </w:t>
      </w:r>
      <w:proofErr w:type="spellStart"/>
      <w:r w:rsidR="00777DCB" w:rsidRPr="00A52585">
        <w:rPr>
          <w:rFonts w:hint="cs"/>
          <w:sz w:val="24"/>
          <w:szCs w:val="24"/>
          <w:rtl/>
        </w:rPr>
        <w:t>بصبيغ</w:t>
      </w:r>
      <w:proofErr w:type="spellEnd"/>
      <w:r w:rsidR="00777DCB" w:rsidRPr="00A52585">
        <w:rPr>
          <w:rFonts w:hint="cs"/>
          <w:sz w:val="24"/>
          <w:szCs w:val="24"/>
          <w:rtl/>
        </w:rPr>
        <w:t xml:space="preserve"> وقال أبو بكر الأنباري</w:t>
      </w:r>
      <w:r w:rsidRPr="00A52585">
        <w:rPr>
          <w:rFonts w:hint="cs"/>
          <w:sz w:val="24"/>
          <w:szCs w:val="24"/>
          <w:rtl/>
        </w:rPr>
        <w:t>:</w:t>
      </w:r>
      <w:r w:rsidR="00777DCB" w:rsidRPr="00A52585">
        <w:rPr>
          <w:rFonts w:hint="cs"/>
          <w:sz w:val="24"/>
          <w:szCs w:val="24"/>
          <w:rtl/>
        </w:rPr>
        <w:t xml:space="preserve"> وقد كان الأئمة من السلف يعاقبون من يسأل عن تفسير الحروف المشكلات في القرآن، لأن السائل إن كان يبغي بسؤاله تخليد البدعة وإثارة الفتنة فهو حقيق بالنكير وأعظم التعزير، وإن لم يكن ذلك مقصده فقد استحق العتب بما اجترم من الذنب، إذ أوجد للمنافقين الملحدين في ذلك الوقت سبيلا إلى أن يقصدوا ضعفة </w:t>
      </w:r>
      <w:r w:rsidR="00777DCB" w:rsidRPr="00A52585">
        <w:rPr>
          <w:rFonts w:hint="cs"/>
          <w:sz w:val="24"/>
          <w:szCs w:val="24"/>
          <w:rtl/>
        </w:rPr>
        <w:lastRenderedPageBreak/>
        <w:t>المسلمين بالتشكيك والتضليل في تحريف القرآن عن مناهج التنزيل وحقائق التأويل</w:t>
      </w:r>
      <w:r w:rsidR="00777DCB" w:rsidRPr="00A52585">
        <w:rPr>
          <w:sz w:val="24"/>
          <w:szCs w:val="24"/>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المقصود منه انظر تفسير القرطبي سورة آل عمران آية (7) ويقول القاضي عياض في كتابه (الشفا) تحت عنوان</w:t>
      </w:r>
      <w:r w:rsidRPr="00A52585">
        <w:rPr>
          <w:rFonts w:hint="cs"/>
          <w:sz w:val="24"/>
          <w:szCs w:val="24"/>
          <w:rtl/>
        </w:rPr>
        <w:t>:</w:t>
      </w:r>
      <w:r w:rsidR="00777DCB" w:rsidRPr="00A52585">
        <w:rPr>
          <w:rFonts w:hint="cs"/>
          <w:sz w:val="24"/>
          <w:szCs w:val="24"/>
          <w:rtl/>
        </w:rPr>
        <w:t xml:space="preserve"> (فصل في بيان ما هو من المقالات كفر وما يتوقف أو يختلف فيه وما ليس بكفر)</w:t>
      </w:r>
      <w:r w:rsidRPr="00A52585">
        <w:rPr>
          <w:rFonts w:hint="cs"/>
          <w:sz w:val="24"/>
          <w:szCs w:val="24"/>
          <w:rtl/>
        </w:rPr>
        <w:t xml:space="preserve"> </w:t>
      </w:r>
      <w:r w:rsidR="00777DCB" w:rsidRPr="00A52585">
        <w:rPr>
          <w:rFonts w:hint="cs"/>
          <w:sz w:val="24"/>
          <w:szCs w:val="24"/>
          <w:rtl/>
        </w:rPr>
        <w:t>"والفصل البين في هذا أن كل مقالة صرحت بنفي الربوبية أو الوحدانية أو عبادة غير الله أو مع الله فهو كفر</w:t>
      </w:r>
      <w:r w:rsidR="00777DCB" w:rsidRPr="00A52585">
        <w:rPr>
          <w:sz w:val="24"/>
          <w:szCs w:val="24"/>
        </w:rPr>
        <w:t>…</w:t>
      </w:r>
      <w:r w:rsidR="00777DCB" w:rsidRPr="00A52585">
        <w:rPr>
          <w:rFonts w:hint="cs"/>
          <w:sz w:val="24"/>
          <w:szCs w:val="24"/>
          <w:rtl/>
        </w:rPr>
        <w:t xml:space="preserve"> وكذلك من اعترف بإلهية الله </w:t>
      </w:r>
      <w:proofErr w:type="spellStart"/>
      <w:r w:rsidR="00777DCB" w:rsidRPr="00A52585">
        <w:rPr>
          <w:rFonts w:hint="cs"/>
          <w:sz w:val="24"/>
          <w:szCs w:val="24"/>
          <w:rtl/>
        </w:rPr>
        <w:t>ووحدانيته</w:t>
      </w:r>
      <w:proofErr w:type="spellEnd"/>
      <w:r w:rsidR="00777DCB" w:rsidRPr="00A52585">
        <w:rPr>
          <w:rFonts w:hint="cs"/>
          <w:sz w:val="24"/>
          <w:szCs w:val="24"/>
          <w:rtl/>
        </w:rPr>
        <w:t xml:space="preserve"> ولكنه اعتقد أنه غير حي أو غير قديم وأنه مُحدث أو مصور</w:t>
      </w:r>
      <w:r w:rsidR="00777DCB" w:rsidRPr="00A52585">
        <w:rPr>
          <w:sz w:val="24"/>
          <w:szCs w:val="24"/>
        </w:rPr>
        <w:t>…</w:t>
      </w:r>
      <w:r w:rsidR="00777DCB" w:rsidRPr="00A52585">
        <w:rPr>
          <w:rFonts w:hint="cs"/>
          <w:sz w:val="24"/>
          <w:szCs w:val="24"/>
          <w:rtl/>
        </w:rPr>
        <w:t xml:space="preserve"> فذلك كل كفر بإجماع المسلمين "</w:t>
      </w:r>
      <w:r w:rsidRPr="00A52585">
        <w:rPr>
          <w:rFonts w:hint="cs"/>
          <w:sz w:val="24"/>
          <w:szCs w:val="24"/>
          <w:rtl/>
        </w:rPr>
        <w:t xml:space="preserve"> </w:t>
      </w:r>
      <w:r w:rsidR="00777DCB" w:rsidRPr="00A52585">
        <w:rPr>
          <w:rFonts w:hint="cs"/>
          <w:sz w:val="24"/>
          <w:szCs w:val="24"/>
          <w:rtl/>
        </w:rPr>
        <w:t>أهـ ج2 ص 1065- 1067 و(مصوَّر) أي جسم ذو صورة</w:t>
      </w:r>
      <w:r w:rsidR="00DB731D" w:rsidRPr="00A52585">
        <w:rPr>
          <w:rFonts w:hint="cs"/>
          <w:sz w:val="24"/>
          <w:szCs w:val="24"/>
          <w:rtl/>
        </w:rPr>
        <w:t>،</w:t>
      </w:r>
      <w:r w:rsidR="00777DCB" w:rsidRPr="00A52585">
        <w:rPr>
          <w:rFonts w:hint="cs"/>
          <w:sz w:val="24"/>
          <w:szCs w:val="24"/>
          <w:rtl/>
        </w:rPr>
        <w:t xml:space="preserve"> ويتضح من ذلك أن أهل الحق متفقون على تكفير المجسمة وغلاة المشبهة المصرحون بذلك والمقرُّون به، أما من يقعون في التشبيه نتيجة التباس وسوء فهم ولا يقرّون بأن ما ذكروه تشبيه أو تجسيم فقد تعددت فيهم آراء العلماء من السلف والخلف</w:t>
      </w:r>
      <w:r w:rsidR="00DB731D" w:rsidRPr="00A52585">
        <w:rPr>
          <w:rFonts w:hint="cs"/>
          <w:sz w:val="24"/>
          <w:szCs w:val="24"/>
          <w:rtl/>
        </w:rPr>
        <w:t>،</w:t>
      </w:r>
      <w:r w:rsidR="00777DCB" w:rsidRPr="00A52585">
        <w:rPr>
          <w:rFonts w:hint="cs"/>
          <w:sz w:val="24"/>
          <w:szCs w:val="24"/>
          <w:rtl/>
        </w:rPr>
        <w:t xml:space="preserve"> يقول القاضي عياض في (الشفاء)</w:t>
      </w:r>
      <w:r w:rsidRPr="00A52585">
        <w:rPr>
          <w:rFonts w:hint="cs"/>
          <w:sz w:val="24"/>
          <w:szCs w:val="24"/>
          <w:rtl/>
        </w:rPr>
        <w:t xml:space="preserve">: </w:t>
      </w:r>
      <w:r w:rsidR="00777DCB" w:rsidRPr="00A52585">
        <w:rPr>
          <w:rFonts w:hint="cs"/>
          <w:sz w:val="24"/>
          <w:szCs w:val="24"/>
          <w:rtl/>
        </w:rPr>
        <w:t>" فصل</w:t>
      </w:r>
      <w:r w:rsidRPr="00A52585">
        <w:rPr>
          <w:rFonts w:hint="cs"/>
          <w:sz w:val="24"/>
          <w:szCs w:val="24"/>
          <w:rtl/>
        </w:rPr>
        <w:t>:</w:t>
      </w:r>
      <w:r w:rsidR="00777DCB" w:rsidRPr="00A52585">
        <w:rPr>
          <w:rFonts w:hint="cs"/>
          <w:sz w:val="24"/>
          <w:szCs w:val="24"/>
          <w:rtl/>
        </w:rPr>
        <w:t xml:space="preserve"> وأما من أضاف إلى الله تعالى ما لا يليق به ليس على طريق السب ولا الردة وقصد الكفر ولكن على طريق التأويل </w:t>
      </w:r>
      <w:proofErr w:type="spellStart"/>
      <w:r w:rsidR="00777DCB" w:rsidRPr="00A52585">
        <w:rPr>
          <w:rFonts w:hint="cs"/>
          <w:sz w:val="24"/>
          <w:szCs w:val="24"/>
          <w:rtl/>
        </w:rPr>
        <w:t>والإجتهاد</w:t>
      </w:r>
      <w:proofErr w:type="spellEnd"/>
      <w:r w:rsidR="00777DCB" w:rsidRPr="00A52585">
        <w:rPr>
          <w:rFonts w:hint="cs"/>
          <w:sz w:val="24"/>
          <w:szCs w:val="24"/>
          <w:rtl/>
        </w:rPr>
        <w:t xml:space="preserve"> والخطأ المفضي إلى الهوى والبدعة من تشبيه أو نعت بجارحة أو نفي صفة كمال، </w:t>
      </w:r>
      <w:r w:rsidR="00777DCB" w:rsidRPr="00A52585">
        <w:rPr>
          <w:rFonts w:hint="cs"/>
          <w:bCs/>
          <w:sz w:val="24"/>
          <w:szCs w:val="24"/>
          <w:rtl/>
        </w:rPr>
        <w:t>فهذا اختلف السلف والخلف في تكفير قائله ومعتقده</w:t>
      </w:r>
      <w:r w:rsidR="00777DCB" w:rsidRPr="00A52585">
        <w:rPr>
          <w:rFonts w:hint="cs"/>
          <w:sz w:val="24"/>
          <w:szCs w:val="24"/>
          <w:rtl/>
        </w:rPr>
        <w:t xml:space="preserve"> واختلف قول مالك وأصحابه في ذلك، </w:t>
      </w:r>
      <w:r w:rsidR="00777DCB" w:rsidRPr="00A52585">
        <w:rPr>
          <w:rFonts w:hint="cs"/>
          <w:bCs/>
          <w:sz w:val="24"/>
          <w:szCs w:val="24"/>
          <w:rtl/>
        </w:rPr>
        <w:t>ولم يختلفوا في قتالهم إذا تحيزوا فئة وأنهم يستتابون فإن تابوا وإلا قتلوا"</w:t>
      </w:r>
      <w:r w:rsidRPr="00A52585">
        <w:rPr>
          <w:rFonts w:hint="cs"/>
          <w:bCs/>
          <w:sz w:val="24"/>
          <w:szCs w:val="24"/>
          <w:rtl/>
        </w:rPr>
        <w:t xml:space="preserve"> </w:t>
      </w:r>
      <w:r w:rsidR="00777DCB" w:rsidRPr="00A52585">
        <w:rPr>
          <w:rFonts w:hint="cs"/>
          <w:sz w:val="24"/>
          <w:szCs w:val="24"/>
          <w:rtl/>
        </w:rPr>
        <w:t xml:space="preserve">أهـ ص1051 ثم ذكر أقوال المالكية وغيرهم في الخوارج والقدرية </w:t>
      </w:r>
      <w:proofErr w:type="spellStart"/>
      <w:r w:rsidR="00777DCB" w:rsidRPr="00A52585">
        <w:rPr>
          <w:rFonts w:hint="cs"/>
          <w:sz w:val="24"/>
          <w:szCs w:val="24"/>
          <w:rtl/>
        </w:rPr>
        <w:t>ونفاة</w:t>
      </w:r>
      <w:proofErr w:type="spellEnd"/>
      <w:r w:rsidR="00777DCB" w:rsidRPr="00A52585">
        <w:rPr>
          <w:rFonts w:hint="cs"/>
          <w:sz w:val="24"/>
          <w:szCs w:val="24"/>
          <w:rtl/>
        </w:rPr>
        <w:t xml:space="preserve"> صفة الكلام لله عز وجل والمشبهة ونقل عن الإمام مالك قوله</w:t>
      </w:r>
      <w:r w:rsidRPr="00A52585">
        <w:rPr>
          <w:rFonts w:hint="cs"/>
          <w:sz w:val="24"/>
          <w:szCs w:val="24"/>
          <w:rtl/>
        </w:rPr>
        <w:t xml:space="preserve"> </w:t>
      </w:r>
      <w:r w:rsidR="00777DCB" w:rsidRPr="00A52585">
        <w:rPr>
          <w:rFonts w:hint="cs"/>
          <w:sz w:val="24"/>
          <w:szCs w:val="24"/>
          <w:rtl/>
        </w:rPr>
        <w:t>" أهل الأهواء كلهم كفار "</w:t>
      </w:r>
      <w:r w:rsidRPr="00A52585">
        <w:rPr>
          <w:rFonts w:hint="cs"/>
          <w:sz w:val="24"/>
          <w:szCs w:val="24"/>
          <w:rtl/>
        </w:rPr>
        <w:t xml:space="preserve"> </w:t>
      </w:r>
      <w:r w:rsidR="00777DCB" w:rsidRPr="00A52585">
        <w:rPr>
          <w:rFonts w:hint="cs"/>
          <w:sz w:val="24"/>
          <w:szCs w:val="24"/>
          <w:rtl/>
        </w:rPr>
        <w:t>ثم قال القاضي عياض</w:t>
      </w:r>
      <w:r w:rsidRPr="00A52585">
        <w:rPr>
          <w:rFonts w:hint="cs"/>
          <w:sz w:val="24"/>
          <w:szCs w:val="24"/>
          <w:rtl/>
        </w:rPr>
        <w:t xml:space="preserve">: </w:t>
      </w:r>
      <w:r w:rsidR="00777DCB" w:rsidRPr="00A52585">
        <w:rPr>
          <w:rFonts w:hint="cs"/>
          <w:sz w:val="24"/>
          <w:szCs w:val="24"/>
          <w:rtl/>
        </w:rPr>
        <w:t>"وأكثر أقوال السلف تكفيرهم "</w:t>
      </w:r>
      <w:r w:rsidRPr="00A52585">
        <w:rPr>
          <w:rFonts w:hint="cs"/>
          <w:sz w:val="24"/>
          <w:szCs w:val="24"/>
          <w:rtl/>
        </w:rPr>
        <w:t xml:space="preserve"> </w:t>
      </w:r>
      <w:r w:rsidR="00777DCB" w:rsidRPr="00A52585">
        <w:rPr>
          <w:rFonts w:hint="cs"/>
          <w:sz w:val="24"/>
          <w:szCs w:val="24"/>
          <w:rtl/>
        </w:rPr>
        <w:t>وذكر من قال ذلك ثم قال</w:t>
      </w:r>
      <w:r w:rsidRPr="00A52585">
        <w:rPr>
          <w:rFonts w:hint="cs"/>
          <w:sz w:val="24"/>
          <w:szCs w:val="24"/>
          <w:rtl/>
        </w:rPr>
        <w:t xml:space="preserve">: </w:t>
      </w:r>
      <w:r w:rsidR="00777DCB" w:rsidRPr="00A52585">
        <w:rPr>
          <w:rFonts w:hint="cs"/>
          <w:sz w:val="24"/>
          <w:szCs w:val="24"/>
          <w:rtl/>
        </w:rPr>
        <w:t>"وكذلك قالوا في الواقفة والشاكة في هذه الأصول "</w:t>
      </w:r>
      <w:r w:rsidR="00DB731D" w:rsidRPr="00A52585">
        <w:rPr>
          <w:rFonts w:hint="cs"/>
          <w:sz w:val="24"/>
          <w:szCs w:val="24"/>
          <w:rtl/>
        </w:rPr>
        <w:t>،</w:t>
      </w:r>
      <w:r w:rsidR="00777DCB" w:rsidRPr="00A52585">
        <w:rPr>
          <w:rFonts w:hint="cs"/>
          <w:sz w:val="24"/>
          <w:szCs w:val="24"/>
          <w:rtl/>
        </w:rPr>
        <w:t xml:space="preserve"> ثم قال ص 1056</w:t>
      </w:r>
      <w:r w:rsidRPr="00A52585">
        <w:rPr>
          <w:rFonts w:hint="cs"/>
          <w:sz w:val="24"/>
          <w:szCs w:val="24"/>
          <w:rtl/>
        </w:rPr>
        <w:t xml:space="preserve"> </w:t>
      </w:r>
      <w:r w:rsidR="00777DCB" w:rsidRPr="00A52585">
        <w:rPr>
          <w:rFonts w:hint="cs"/>
          <w:sz w:val="24"/>
          <w:szCs w:val="24"/>
          <w:rtl/>
        </w:rPr>
        <w:t xml:space="preserve">" قد ذكرنا مذاهب السلف في إكفار أهل البدع والأهواء المتأولين ممن قال قولا يؤديه مساقه إلى كفر وهو إذا وقف عليه لا يقول بما يؤديه قوله إليه وعلى اختلافهم اختلف الفقهاء والمتكلمون في ذلك، فمنهم من صوب التكفير الذي قال به الجمهور من السلف ومنهم من أباه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ثم ذكر أقوال الفقهاء في ذلك يقول الشيخ محمد الخضر الشنقيطي في كتابه (استحالة المعية بالذات) معقبا على ذلك</w:t>
      </w:r>
      <w:r w:rsidRPr="00A52585">
        <w:rPr>
          <w:rFonts w:hint="cs"/>
          <w:sz w:val="24"/>
          <w:szCs w:val="24"/>
          <w:rtl/>
        </w:rPr>
        <w:t xml:space="preserve">: </w:t>
      </w:r>
      <w:r w:rsidR="00777DCB" w:rsidRPr="00A52585">
        <w:rPr>
          <w:rFonts w:hint="cs"/>
          <w:sz w:val="24"/>
          <w:szCs w:val="24"/>
          <w:rtl/>
        </w:rPr>
        <w:t>" والحق أن الخلاف في كفر القائل – يشير إلى القائل بالجهة – جار على الخلاف في لازم القول هل هو كالقول أم لا</w:t>
      </w:r>
      <w:r w:rsidRPr="00A52585">
        <w:rPr>
          <w:rFonts w:hint="cs"/>
          <w:sz w:val="24"/>
          <w:szCs w:val="24"/>
          <w:rtl/>
        </w:rPr>
        <w:t xml:space="preserve"> </w:t>
      </w:r>
      <w:r w:rsidR="00777DCB" w:rsidRPr="00A52585">
        <w:rPr>
          <w:rFonts w:hint="cs"/>
          <w:sz w:val="24"/>
          <w:szCs w:val="24"/>
          <w:rtl/>
        </w:rPr>
        <w:t>وقيد بعض العلماء هذا الخلاف بما إذا كان اللزوم غير البين، قال</w:t>
      </w:r>
      <w:r w:rsidRPr="00A52585">
        <w:rPr>
          <w:rFonts w:hint="cs"/>
          <w:sz w:val="24"/>
          <w:szCs w:val="24"/>
          <w:rtl/>
        </w:rPr>
        <w:t>:</w:t>
      </w:r>
      <w:r w:rsidR="00777DCB" w:rsidRPr="00A52585">
        <w:rPr>
          <w:rFonts w:hint="cs"/>
          <w:sz w:val="24"/>
          <w:szCs w:val="24"/>
          <w:rtl/>
        </w:rPr>
        <w:t xml:space="preserve"> وأما إن كان اللزوم بينا فهو كالقول بلا خلاف والذي يظهر أن الجهة لازم عليها التجسيم لزوما بينا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أهـ ص 376 وقيد الإمام ابن حجر </w:t>
      </w:r>
      <w:proofErr w:type="spellStart"/>
      <w:r w:rsidR="00777DCB" w:rsidRPr="00A52585">
        <w:rPr>
          <w:rFonts w:hint="cs"/>
          <w:sz w:val="24"/>
          <w:szCs w:val="24"/>
          <w:rtl/>
        </w:rPr>
        <w:t>الهيتمي</w:t>
      </w:r>
      <w:proofErr w:type="spellEnd"/>
      <w:r w:rsidR="00777DCB" w:rsidRPr="00A52585">
        <w:rPr>
          <w:rFonts w:hint="cs"/>
          <w:sz w:val="24"/>
          <w:szCs w:val="24"/>
          <w:rtl/>
        </w:rPr>
        <w:t xml:space="preserve"> ذلك بما إذا كان القائل بالجهة</w:t>
      </w:r>
      <w:r w:rsidRPr="00A52585">
        <w:rPr>
          <w:rFonts w:hint="cs"/>
          <w:sz w:val="24"/>
          <w:szCs w:val="24"/>
          <w:rtl/>
        </w:rPr>
        <w:t xml:space="preserve"> </w:t>
      </w:r>
      <w:r w:rsidR="00777DCB" w:rsidRPr="00A52585">
        <w:rPr>
          <w:rFonts w:hint="cs"/>
          <w:sz w:val="24"/>
          <w:szCs w:val="24"/>
          <w:rtl/>
        </w:rPr>
        <w:t>"يعتقد الحلول والاستقرار أو الظرفية أو التحيز "</w:t>
      </w:r>
      <w:r w:rsidRPr="00A52585">
        <w:rPr>
          <w:rFonts w:hint="cs"/>
          <w:sz w:val="24"/>
          <w:szCs w:val="24"/>
          <w:rtl/>
        </w:rPr>
        <w:t xml:space="preserve"> </w:t>
      </w:r>
      <w:r w:rsidR="00777DCB" w:rsidRPr="00A52585">
        <w:rPr>
          <w:rFonts w:hint="cs"/>
          <w:sz w:val="24"/>
          <w:szCs w:val="24"/>
          <w:rtl/>
        </w:rPr>
        <w:t>انظر الفتاوى الحديثية له ص 96 فما بعدها وانظر تحقيق هذا في رسالة شيخنا الأستاذ الدكتور إبراهيم عبد الرحمن (المحكم والمتشابه في القرآن الكريم) ج 2 ص 636 تحت عنوان (خاتمة في حكم معتقد الجهة) وانظر رأى الحافظ السيد عبد الله الغماري في (القول الجزل فيما لا يعذر فيه بالجهل) ص 5، 24، 25</w:t>
      </w:r>
      <w:r w:rsidRPr="00A52585">
        <w:rPr>
          <w:rFonts w:hint="cs"/>
          <w:sz w:val="24"/>
          <w:szCs w:val="24"/>
          <w:rtl/>
        </w:rPr>
        <w:t>]</w:t>
      </w:r>
      <w:r w:rsidR="00DB731D" w:rsidRPr="00A52585">
        <w:rPr>
          <w:rFonts w:hint="cs"/>
          <w:sz w:val="24"/>
          <w:szCs w:val="24"/>
          <w:rtl/>
        </w:rPr>
        <w:t>،</w:t>
      </w:r>
      <w:r w:rsidR="00777DCB" w:rsidRPr="00A52585">
        <w:rPr>
          <w:rFonts w:hint="cs"/>
          <w:rtl/>
        </w:rPr>
        <w:t xml:space="preserve"> هو الواحد المتوحد في ذاته وصفاته الأزلي الجبار العظيم العزيز القهار تبارك وتعالى وتنزه عن درك الخواطر والأفكار</w:t>
      </w:r>
      <w:r w:rsidR="00DB731D" w:rsidRPr="00A52585">
        <w:rPr>
          <w:rFonts w:hint="cs"/>
          <w:rtl/>
        </w:rPr>
        <w:t>،</w:t>
      </w:r>
      <w:r w:rsidR="00777DCB" w:rsidRPr="00A52585">
        <w:rPr>
          <w:rFonts w:hint="cs"/>
          <w:rtl/>
        </w:rPr>
        <w:t xml:space="preserve"> وَسَمَ كل مخلوق بميسم الافتقار</w:t>
      </w:r>
      <w:r w:rsidR="00DB731D" w:rsidRPr="00A52585">
        <w:rPr>
          <w:rFonts w:hint="cs"/>
          <w:rtl/>
        </w:rPr>
        <w:t>،</w:t>
      </w:r>
      <w:r w:rsidR="00777DCB" w:rsidRPr="00A52585">
        <w:rPr>
          <w:rFonts w:hint="cs"/>
          <w:rtl/>
        </w:rPr>
        <w:t xml:space="preserve"> وأظهر آثار قدرته في مخلوقاته ومن أظهرها السموات والأرض والبراري والبحار</w:t>
      </w:r>
      <w:r w:rsidR="00DB731D" w:rsidRPr="00A52585">
        <w:rPr>
          <w:rFonts w:hint="cs"/>
          <w:rtl/>
        </w:rPr>
        <w:t>،</w:t>
      </w:r>
      <w:r w:rsidR="00777DCB" w:rsidRPr="00A52585">
        <w:rPr>
          <w:rFonts w:hint="cs"/>
          <w:rtl/>
        </w:rPr>
        <w:t xml:space="preserve"> والأعين والأنهار</w:t>
      </w:r>
      <w:r w:rsidR="00DB731D" w:rsidRPr="00A52585">
        <w:rPr>
          <w:rFonts w:hint="cs"/>
          <w:rtl/>
        </w:rPr>
        <w:t>،</w:t>
      </w:r>
      <w:r w:rsidR="00777DCB" w:rsidRPr="00A52585">
        <w:rPr>
          <w:rFonts w:hint="cs"/>
          <w:rtl/>
        </w:rPr>
        <w:t xml:space="preserve"> وجريانها على المدرار وتصريف السحاب المسخر بين السماء والأرض واختلاف الليل والنهار إن في ذلك لعبرة لأولي الأبصار</w:t>
      </w:r>
      <w:r w:rsidR="00DB731D" w:rsidRPr="00A52585">
        <w:rPr>
          <w:rFonts w:hint="cs"/>
          <w:rtl/>
        </w:rPr>
        <w:t>،</w:t>
      </w:r>
      <w:r w:rsidR="00777DCB" w:rsidRPr="00A52585">
        <w:rPr>
          <w:rFonts w:hint="cs"/>
          <w:rtl/>
        </w:rPr>
        <w:t xml:space="preserve"> يعلم حركات الأسرار ودبيب النملة السوداء في الظلمة الظلماء على سواد القار</w:t>
      </w:r>
      <w:r w:rsidR="00DB731D" w:rsidRPr="00A52585">
        <w:rPr>
          <w:rFonts w:hint="cs"/>
          <w:rtl/>
        </w:rPr>
        <w:t>،</w:t>
      </w:r>
      <w:r w:rsidR="00777DCB" w:rsidRPr="00A52585">
        <w:rPr>
          <w:rFonts w:hint="cs"/>
          <w:rtl/>
        </w:rPr>
        <w:t xml:space="preserve"> نَوَّع هذا العالم الإنساني فمنهم شقى ومنهم سعيد وربك يخلق ما يشاء ويختار</w:t>
      </w:r>
      <w:r w:rsidR="00DB731D" w:rsidRPr="00A52585">
        <w:rPr>
          <w:rFonts w:hint="cs"/>
          <w:rtl/>
        </w:rPr>
        <w:t>،</w:t>
      </w:r>
      <w:r w:rsidR="00777DCB" w:rsidRPr="00A52585">
        <w:rPr>
          <w:rFonts w:hint="cs"/>
          <w:rtl/>
        </w:rPr>
        <w:t xml:space="preserve"> صفاته كذاته والمشبهة والمجسمة أهل زيغ وكفَّار </w:t>
      </w:r>
      <w:r w:rsidR="00777DCB" w:rsidRPr="00A52585">
        <w:rPr>
          <w:rFonts w:hint="cs"/>
          <w:rtl/>
        </w:rPr>
        <w:lastRenderedPageBreak/>
        <w:t>نزه نفسه بنفسه وقدسها فمن شبه أو عطل فمأواه النار. ومن أناب ورجع قَبِلَه وإن ارتكب العظائم الكبار. لأنه سبحانه وتعالى عزيز غفار ستار</w:t>
      </w:r>
      <w:r w:rsidR="00DB731D" w:rsidRPr="00A52585">
        <w:rPr>
          <w:rFonts w:hint="cs"/>
          <w:rtl/>
        </w:rPr>
        <w:t>،</w:t>
      </w:r>
      <w:r w:rsidR="00777DCB" w:rsidRPr="00A52585">
        <w:rPr>
          <w:rFonts w:hint="cs"/>
          <w:rtl/>
        </w:rPr>
        <w:t xml:space="preserve"> ومن بديع صنعه أن خلق اليوم وأمسه وقمر السماء</w:t>
      </w:r>
      <w:r w:rsidRPr="00A52585">
        <w:rPr>
          <w:rFonts w:hint="cs"/>
          <w:rtl/>
        </w:rPr>
        <w:t xml:space="preserve"> </w:t>
      </w:r>
      <w:r w:rsidR="00777DCB" w:rsidRPr="00A52585">
        <w:rPr>
          <w:rFonts w:hint="cs"/>
          <w:rtl/>
        </w:rPr>
        <w:t>وشمسه وآدم عليه السلام وما مسه</w:t>
      </w:r>
      <w:r w:rsidR="00DB731D" w:rsidRPr="00A52585">
        <w:rPr>
          <w:rFonts w:hint="cs"/>
          <w:rtl/>
        </w:rPr>
        <w:t>،</w:t>
      </w:r>
      <w:r w:rsidR="00777DCB" w:rsidRPr="00A52585">
        <w:rPr>
          <w:rFonts w:hint="cs"/>
          <w:rtl/>
        </w:rPr>
        <w:t xml:space="preserve"> عَلِمَ ذلك المنزه فَنَّزه قدْسَه</w:t>
      </w:r>
      <w:r w:rsidR="00DB731D" w:rsidRPr="00A52585">
        <w:rPr>
          <w:rFonts w:hint="cs"/>
          <w:rtl/>
        </w:rPr>
        <w:t>،</w:t>
      </w:r>
      <w:r w:rsidR="00777DCB" w:rsidRPr="00A52585">
        <w:rPr>
          <w:rFonts w:hint="cs"/>
          <w:rtl/>
        </w:rPr>
        <w:t xml:space="preserve"> وجهله الأعمى البصيرة المشبه فتصور فيه جنسه. لأنه بجهله أقاس الخالق جل وعلا على ما ألفه وأحسه</w:t>
      </w:r>
      <w:r w:rsidR="00DB731D" w:rsidRPr="00A52585">
        <w:rPr>
          <w:rFonts w:hint="cs"/>
          <w:rtl/>
        </w:rPr>
        <w:t>،</w:t>
      </w:r>
      <w:r w:rsidR="00777DCB" w:rsidRPr="00A52585">
        <w:rPr>
          <w:rFonts w:hint="cs"/>
          <w:rtl/>
        </w:rPr>
        <w:t xml:space="preserve"> فتراكم عليه غبار التشبيه فضاعت </w:t>
      </w:r>
      <w:proofErr w:type="spellStart"/>
      <w:r w:rsidR="00777DCB" w:rsidRPr="00A52585">
        <w:rPr>
          <w:rFonts w:hint="cs"/>
          <w:rtl/>
        </w:rPr>
        <w:t>المحسه</w:t>
      </w:r>
      <w:proofErr w:type="spellEnd"/>
      <w:r w:rsidR="00DB731D" w:rsidRPr="00A52585">
        <w:rPr>
          <w:rFonts w:hint="cs"/>
          <w:rtl/>
        </w:rPr>
        <w:t>،</w:t>
      </w:r>
      <w:r w:rsidR="00777DCB" w:rsidRPr="00A52585">
        <w:rPr>
          <w:rFonts w:hint="cs"/>
          <w:rtl/>
        </w:rPr>
        <w:t xml:space="preserve"> وأما المعطل فجحد صفاته فما أغباه وما </w:t>
      </w:r>
      <w:proofErr w:type="spellStart"/>
      <w:r w:rsidR="00777DCB" w:rsidRPr="00A52585">
        <w:rPr>
          <w:rFonts w:hint="cs"/>
          <w:rtl/>
        </w:rPr>
        <w:t>أخسه</w:t>
      </w:r>
      <w:proofErr w:type="spellEnd"/>
      <w:r w:rsidR="00DB731D" w:rsidRPr="00A52585">
        <w:rPr>
          <w:rFonts w:hint="cs"/>
          <w:rtl/>
        </w:rPr>
        <w:t>،</w:t>
      </w:r>
      <w:r w:rsidR="00777DCB" w:rsidRPr="00A52585">
        <w:rPr>
          <w:rFonts w:hint="cs"/>
          <w:rtl/>
        </w:rPr>
        <w:t xml:space="preserve"> وإذا كان الأمر كذلك فادفع المعطل بيديك النقية</w:t>
      </w:r>
      <w:r w:rsidR="00DB731D" w:rsidRPr="00A52585">
        <w:rPr>
          <w:rFonts w:hint="cs"/>
          <w:rtl/>
        </w:rPr>
        <w:t>،</w:t>
      </w:r>
      <w:r w:rsidR="00777DCB" w:rsidRPr="00A52585">
        <w:rPr>
          <w:rFonts w:hint="cs"/>
          <w:rtl/>
        </w:rPr>
        <w:t xml:space="preserve"> وألحق بالمشبه دفعه ورفسه</w:t>
      </w:r>
      <w:r w:rsidR="00DB731D" w:rsidRPr="00A52585">
        <w:rPr>
          <w:rFonts w:hint="cs"/>
          <w:rtl/>
        </w:rPr>
        <w:t>،</w:t>
      </w:r>
      <w:r w:rsidR="00777DCB" w:rsidRPr="00A52585">
        <w:rPr>
          <w:rFonts w:hint="cs"/>
          <w:rtl/>
        </w:rPr>
        <w:t xml:space="preserve"> </w:t>
      </w:r>
    </w:p>
    <w:p w14:paraId="588A97CA" w14:textId="77777777" w:rsidR="00777DCB" w:rsidRPr="00A52585" w:rsidRDefault="00777DCB" w:rsidP="0002035C">
      <w:pPr>
        <w:spacing w:after="240"/>
        <w:jc w:val="center"/>
        <w:rPr>
          <w:b/>
          <w:rtl/>
        </w:rPr>
      </w:pPr>
      <w:r w:rsidRPr="00A52585">
        <w:rPr>
          <w:rFonts w:hint="cs"/>
          <w:rtl/>
        </w:rPr>
        <w:t>****</w:t>
      </w:r>
    </w:p>
    <w:p w14:paraId="57EDF859" w14:textId="6F41B6F9"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 في الرد على ابن تيمية في قوله بفناء النار</w:t>
      </w:r>
      <w:r w:rsidRPr="00A52585">
        <w:rPr>
          <w:rFonts w:hint="cs"/>
          <w:bCs/>
          <w:rtl/>
        </w:rPr>
        <w:t>]</w:t>
      </w:r>
    </w:p>
    <w:p w14:paraId="5F5D519C" w14:textId="30837510" w:rsidR="00777DCB" w:rsidRPr="00A52585" w:rsidRDefault="00777DCB" w:rsidP="0002035C">
      <w:pPr>
        <w:spacing w:after="240"/>
        <w:rPr>
          <w:b/>
          <w:bCs/>
        </w:rPr>
      </w:pPr>
      <w:r w:rsidRPr="00A52585">
        <w:rPr>
          <w:rFonts w:hint="cs"/>
          <w:rtl/>
        </w:rPr>
        <w:t>واعلم أنه مما انتقد عليه زعمه أن النار تفنى</w:t>
      </w:r>
      <w:r w:rsidR="00DB731D" w:rsidRPr="00A52585">
        <w:rPr>
          <w:rFonts w:hint="cs"/>
          <w:rtl/>
        </w:rPr>
        <w:t>،</w:t>
      </w:r>
      <w:r w:rsidRPr="00A52585">
        <w:rPr>
          <w:rFonts w:hint="cs"/>
          <w:rtl/>
        </w:rPr>
        <w:t xml:space="preserve"> وأن الله تعالى يفنيها</w:t>
      </w:r>
      <w:r w:rsidR="00DB731D" w:rsidRPr="00A52585">
        <w:rPr>
          <w:rFonts w:hint="cs"/>
          <w:rtl/>
        </w:rPr>
        <w:t>،</w:t>
      </w:r>
      <w:r w:rsidRPr="00A52585">
        <w:rPr>
          <w:rFonts w:hint="cs"/>
          <w:rtl/>
        </w:rPr>
        <w:t xml:space="preserve"> وأنه جعل لها أمداً تنتهي إليه وتفنى</w:t>
      </w:r>
      <w:r w:rsidR="00DB731D" w:rsidRPr="00A52585">
        <w:rPr>
          <w:rFonts w:hint="cs"/>
          <w:rtl/>
        </w:rPr>
        <w:t>،</w:t>
      </w:r>
      <w:r w:rsidRPr="00A52585">
        <w:rPr>
          <w:rFonts w:hint="cs"/>
          <w:rtl/>
        </w:rPr>
        <w:t xml:space="preserve"> ويزول عذابها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توجد رسالة لابن تيمية في الرد على من قال بفناء الجنة والنار (لأنه يزعم فناء النار فقط وبقاء الجنة) وقد حقق الشيخ الألباني جزءاً من هذه الرسالة وأورده في مقدمة تحقيقه لكتاب</w:t>
      </w:r>
      <w:r w:rsidR="0002035C" w:rsidRPr="00A52585">
        <w:rPr>
          <w:rFonts w:hint="cs"/>
          <w:sz w:val="24"/>
          <w:szCs w:val="24"/>
          <w:rtl/>
        </w:rPr>
        <w:t xml:space="preserve"> </w:t>
      </w:r>
      <w:r w:rsidRPr="00A52585">
        <w:rPr>
          <w:rFonts w:hint="cs"/>
          <w:sz w:val="24"/>
          <w:szCs w:val="24"/>
          <w:rtl/>
        </w:rPr>
        <w:t>"رفع الأستار لإبطال أدلة القائلين بفناء النار"</w:t>
      </w:r>
      <w:r w:rsidR="0002035C" w:rsidRPr="00A52585">
        <w:rPr>
          <w:rFonts w:hint="cs"/>
          <w:sz w:val="24"/>
          <w:szCs w:val="24"/>
          <w:rtl/>
        </w:rPr>
        <w:t xml:space="preserve"> </w:t>
      </w:r>
      <w:r w:rsidRPr="00A52585">
        <w:rPr>
          <w:rFonts w:hint="cs"/>
          <w:sz w:val="24"/>
          <w:szCs w:val="24"/>
          <w:rtl/>
        </w:rPr>
        <w:t xml:space="preserve">للصنعاني وقد نقلها عنه الدكتور/ طه الدسوقي حبيشي في مقدمة تحقيقه </w:t>
      </w:r>
      <w:proofErr w:type="spellStart"/>
      <w:r w:rsidRPr="00A52585">
        <w:rPr>
          <w:rFonts w:hint="cs"/>
          <w:sz w:val="24"/>
          <w:szCs w:val="24"/>
          <w:rtl/>
        </w:rPr>
        <w:t>تحقيقه</w:t>
      </w:r>
      <w:proofErr w:type="spellEnd"/>
      <w:r w:rsidRPr="00A52585">
        <w:rPr>
          <w:rFonts w:hint="cs"/>
          <w:sz w:val="24"/>
          <w:szCs w:val="24"/>
          <w:rtl/>
        </w:rPr>
        <w:t xml:space="preserve"> لكتاب الاعتبار ببقاء الجنة والنار"</w:t>
      </w:r>
      <w:r w:rsidR="0002035C" w:rsidRPr="00A52585">
        <w:rPr>
          <w:rFonts w:hint="cs"/>
          <w:sz w:val="24"/>
          <w:szCs w:val="24"/>
          <w:rtl/>
        </w:rPr>
        <w:t xml:space="preserve"> </w:t>
      </w:r>
      <w:r w:rsidRPr="00A52585">
        <w:rPr>
          <w:rFonts w:hint="cs"/>
          <w:sz w:val="24"/>
          <w:szCs w:val="24"/>
          <w:rtl/>
        </w:rPr>
        <w:t>للإمام تقي الدين السبكي وأطال ابن قيم الجوزية الاستدلال لرأي شيخه وانتصر له في كتابه</w:t>
      </w:r>
      <w:r w:rsidR="0002035C" w:rsidRPr="00A52585">
        <w:rPr>
          <w:rFonts w:hint="cs"/>
          <w:sz w:val="24"/>
          <w:szCs w:val="24"/>
          <w:rtl/>
        </w:rPr>
        <w:t xml:space="preserve"> </w:t>
      </w:r>
      <w:r w:rsidRPr="00A52585">
        <w:rPr>
          <w:rFonts w:hint="cs"/>
          <w:sz w:val="24"/>
          <w:szCs w:val="24"/>
          <w:rtl/>
        </w:rPr>
        <w:t>"حادي الأرواح إلى بلاد الأفراح"</w:t>
      </w:r>
      <w:r w:rsidR="00DB731D" w:rsidRPr="00A52585">
        <w:rPr>
          <w:rFonts w:hint="cs"/>
          <w:sz w:val="24"/>
          <w:szCs w:val="24"/>
          <w:rtl/>
        </w:rPr>
        <w:t>،</w:t>
      </w:r>
      <w:r w:rsidRPr="00A52585">
        <w:rPr>
          <w:rFonts w:hint="cs"/>
          <w:sz w:val="24"/>
          <w:szCs w:val="24"/>
          <w:rtl/>
        </w:rPr>
        <w:t xml:space="preserve"> يقول ابن تيمية في الرسالة المذكورة</w:t>
      </w:r>
      <w:r w:rsidR="0002035C" w:rsidRPr="00A52585">
        <w:rPr>
          <w:rFonts w:hint="cs"/>
          <w:sz w:val="24"/>
          <w:szCs w:val="24"/>
          <w:rtl/>
        </w:rPr>
        <w:t xml:space="preserve">: </w:t>
      </w:r>
      <w:r w:rsidRPr="00A52585">
        <w:rPr>
          <w:rFonts w:hint="cs"/>
          <w:sz w:val="24"/>
          <w:szCs w:val="24"/>
          <w:rtl/>
        </w:rPr>
        <w:t>" وقد نقل هذا القول – يقصد فناء النار – عن عمر وابن مسعود وأبي هريرة وأبي سعيد الخدري وغيرهم رضي الله عنهم وروى عبد بن حميد وهو من أجل علماء الحديث في تفسيره المشهور قال</w:t>
      </w:r>
      <w:r w:rsidR="0002035C" w:rsidRPr="00A52585">
        <w:rPr>
          <w:rFonts w:hint="cs"/>
          <w:sz w:val="24"/>
          <w:szCs w:val="24"/>
          <w:rtl/>
        </w:rPr>
        <w:t>:</w:t>
      </w:r>
      <w:r w:rsidRPr="00A52585">
        <w:rPr>
          <w:rFonts w:hint="cs"/>
          <w:sz w:val="24"/>
          <w:szCs w:val="24"/>
          <w:rtl/>
        </w:rPr>
        <w:t xml:space="preserve"> أخبرنا سليمان بن حرب أخبرنا حماد بن سلمة عن ثابت عن الحسن البصري قال</w:t>
      </w:r>
      <w:r w:rsidR="0002035C" w:rsidRPr="00A52585">
        <w:rPr>
          <w:rFonts w:hint="cs"/>
          <w:sz w:val="24"/>
          <w:szCs w:val="24"/>
          <w:rtl/>
        </w:rPr>
        <w:t>:</w:t>
      </w:r>
      <w:r w:rsidRPr="00A52585">
        <w:rPr>
          <w:rFonts w:hint="cs"/>
          <w:sz w:val="24"/>
          <w:szCs w:val="24"/>
          <w:rtl/>
        </w:rPr>
        <w:t xml:space="preserve"> قال عمر</w:t>
      </w:r>
      <w:r w:rsidR="0002035C" w:rsidRPr="00A52585">
        <w:rPr>
          <w:rFonts w:hint="cs"/>
          <w:sz w:val="24"/>
          <w:szCs w:val="24"/>
          <w:rtl/>
        </w:rPr>
        <w:t>:</w:t>
      </w:r>
      <w:r w:rsidRPr="00A52585">
        <w:rPr>
          <w:rFonts w:hint="cs"/>
          <w:sz w:val="24"/>
          <w:szCs w:val="24"/>
          <w:rtl/>
        </w:rPr>
        <w:t xml:space="preserve"> (لو لبث أهل النار في النار كقدر رمل عالج- موضع به رمل كثير جداً مسيرة أربع ليال – لكان لهم على ذلك يوم يخرجون فيه) "</w:t>
      </w:r>
      <w:r w:rsidR="0002035C" w:rsidRPr="00A52585">
        <w:rPr>
          <w:rFonts w:hint="cs"/>
          <w:sz w:val="24"/>
          <w:szCs w:val="24"/>
          <w:rtl/>
        </w:rPr>
        <w:t xml:space="preserve"> </w:t>
      </w:r>
      <w:r w:rsidRPr="00A52585">
        <w:rPr>
          <w:rFonts w:hint="cs"/>
          <w:sz w:val="24"/>
          <w:szCs w:val="24"/>
          <w:rtl/>
        </w:rPr>
        <w:t>وذكر طريقاً أخرى عن الحسن عن عمر بن الخطاب قال</w:t>
      </w:r>
      <w:r w:rsidR="0002035C" w:rsidRPr="00A52585">
        <w:rPr>
          <w:rFonts w:hint="cs"/>
          <w:sz w:val="24"/>
          <w:szCs w:val="24"/>
          <w:rtl/>
        </w:rPr>
        <w:t>:</w:t>
      </w:r>
      <w:r w:rsidRPr="00A52585">
        <w:rPr>
          <w:rFonts w:hint="cs"/>
          <w:sz w:val="24"/>
          <w:szCs w:val="24"/>
          <w:rtl/>
        </w:rPr>
        <w:t xml:space="preserve"> " ذكر ذلك في تفسير قوله تعالى</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لابثين فيها</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 xml:space="preserve"> </w:t>
      </w:r>
      <w:r w:rsidRPr="00A52585">
        <w:rPr>
          <w:rFonts w:hint="cs"/>
          <w:sz w:val="24"/>
          <w:szCs w:val="24"/>
          <w:rtl/>
        </w:rPr>
        <w:t>والسند المذكور به انقطاع فالحسن البصري لم يسمع من عمر بن الخطاب وهو بهذا لا يؤخذ به في الأحكام الفقهية فضلا عن العقائد وأصول الدين والتي لا تؤخذ إلا من الأدلة اليقينية القطعية الدلالة وعلى فرض ثبوت هذا القول عن عمر رضي الله عنه فمراده – هو أو غيره من الصحابة والتابعين – بأهل النار الذين يخرجون</w:t>
      </w:r>
      <w:r w:rsidR="0002035C" w:rsidRPr="00A52585">
        <w:rPr>
          <w:rFonts w:hint="cs"/>
          <w:sz w:val="24"/>
          <w:szCs w:val="24"/>
          <w:rtl/>
        </w:rPr>
        <w:t>:</w:t>
      </w:r>
      <w:r w:rsidRPr="00A52585">
        <w:rPr>
          <w:rFonts w:hint="cs"/>
          <w:sz w:val="24"/>
          <w:szCs w:val="24"/>
          <w:rtl/>
        </w:rPr>
        <w:t xml:space="preserve"> عصاة المؤمنين وإن عظمت معاصيهم وطالت مدة عذابهم ولا يريدون بأهل النار الذين هم أهلها وهم الكفار وقد ذكر الإمام سلامة </w:t>
      </w:r>
      <w:proofErr w:type="spellStart"/>
      <w:r w:rsidRPr="00A52585">
        <w:rPr>
          <w:rFonts w:hint="cs"/>
          <w:sz w:val="24"/>
          <w:szCs w:val="24"/>
          <w:rtl/>
        </w:rPr>
        <w:t>العزامي</w:t>
      </w:r>
      <w:proofErr w:type="spellEnd"/>
      <w:r w:rsidRPr="00A52585">
        <w:rPr>
          <w:rFonts w:hint="cs"/>
          <w:sz w:val="24"/>
          <w:szCs w:val="24"/>
          <w:rtl/>
        </w:rPr>
        <w:t xml:space="preserve"> في كتابه (البراهين الساطعة) العديد من الأحاديث والنصوص عن الصحابة الذين ذكرهم ابن تيمية وغيرهم تثبت عكس ما ادعاه تماما ومنها حديث ذبح الموت الوارد في الصحيحين ثم قال</w:t>
      </w:r>
      <w:r w:rsidR="0002035C" w:rsidRPr="00A52585">
        <w:rPr>
          <w:rFonts w:hint="cs"/>
          <w:sz w:val="24"/>
          <w:szCs w:val="24"/>
          <w:rtl/>
        </w:rPr>
        <w:t xml:space="preserve">: </w:t>
      </w:r>
      <w:r w:rsidRPr="00A52585">
        <w:rPr>
          <w:rFonts w:hint="cs"/>
          <w:sz w:val="24"/>
          <w:szCs w:val="24"/>
          <w:rtl/>
        </w:rPr>
        <w:t xml:space="preserve">" وخرّج ابن أبي حاتم </w:t>
      </w:r>
      <w:proofErr w:type="spellStart"/>
      <w:r w:rsidRPr="00A52585">
        <w:rPr>
          <w:rFonts w:hint="cs"/>
          <w:sz w:val="24"/>
          <w:szCs w:val="24"/>
          <w:rtl/>
        </w:rPr>
        <w:t>باسناده</w:t>
      </w:r>
      <w:proofErr w:type="spellEnd"/>
      <w:r w:rsidRPr="00A52585">
        <w:rPr>
          <w:rFonts w:hint="cs"/>
          <w:sz w:val="24"/>
          <w:szCs w:val="24"/>
          <w:rtl/>
        </w:rPr>
        <w:t xml:space="preserve"> عن ابن مسعود من قوله نحو هذا المعنى – حديث ذبح الموت – غير مرفوع وزاد </w:t>
      </w:r>
      <w:r w:rsidR="0002035C" w:rsidRPr="00A52585">
        <w:rPr>
          <w:rFonts w:hint="cs"/>
          <w:sz w:val="24"/>
          <w:szCs w:val="24"/>
          <w:rtl/>
        </w:rPr>
        <w:t>(</w:t>
      </w:r>
      <w:r w:rsidRPr="00A52585">
        <w:rPr>
          <w:rFonts w:hint="cs"/>
          <w:sz w:val="24"/>
          <w:szCs w:val="24"/>
          <w:rtl/>
        </w:rPr>
        <w:t xml:space="preserve">أنه ينادى أهل الجنة وأهل النار هو الخلود أبد الآبدين </w:t>
      </w:r>
      <w:r w:rsidRPr="00A52585">
        <w:rPr>
          <w:sz w:val="24"/>
          <w:szCs w:val="24"/>
        </w:rPr>
        <w:t>…</w:t>
      </w:r>
      <w:r w:rsidRPr="00A52585">
        <w:rPr>
          <w:rFonts w:hint="cs"/>
          <w:sz w:val="24"/>
          <w:szCs w:val="24"/>
          <w:rtl/>
        </w:rPr>
        <w:t>) إلى آخر الحديث أ هـ ص 291</w:t>
      </w:r>
      <w:r w:rsidR="0002035C" w:rsidRPr="00A52585">
        <w:rPr>
          <w:rFonts w:hint="cs"/>
          <w:sz w:val="24"/>
          <w:szCs w:val="24"/>
          <w:rtl/>
        </w:rPr>
        <w:t>]</w:t>
      </w:r>
      <w:r w:rsidR="00DB731D" w:rsidRPr="00A52585">
        <w:rPr>
          <w:rFonts w:hint="cs"/>
          <w:sz w:val="24"/>
          <w:szCs w:val="24"/>
          <w:rtl/>
        </w:rPr>
        <w:t>،</w:t>
      </w:r>
      <w:r w:rsidRPr="00A52585">
        <w:rPr>
          <w:rFonts w:hint="cs"/>
          <w:rtl/>
        </w:rPr>
        <w:t xml:space="preserve"> وهو مطالب أين قال الله عز وجل ذلك</w:t>
      </w:r>
      <w:r w:rsidR="00F95886" w:rsidRPr="00A52585">
        <w:rPr>
          <w:rFonts w:hint="cs"/>
          <w:rtl/>
        </w:rPr>
        <w:t>؟</w:t>
      </w:r>
      <w:r w:rsidRPr="00A52585">
        <w:rPr>
          <w:rFonts w:hint="cs"/>
          <w:rtl/>
        </w:rPr>
        <w:t xml:space="preserve"> وأين </w:t>
      </w:r>
      <w:r w:rsidRPr="00A52585">
        <w:rPr>
          <w:rFonts w:hint="cs"/>
          <w:rtl/>
        </w:rPr>
        <w:lastRenderedPageBreak/>
        <w:t>قاله رسوله صلى الله عليه وسلم وصح عنه</w:t>
      </w:r>
      <w:r w:rsidR="00F95886" w:rsidRPr="00A52585">
        <w:rPr>
          <w:rFonts w:hint="cs"/>
          <w:rtl/>
        </w:rPr>
        <w:t>؟</w:t>
      </w:r>
      <w:r w:rsidRPr="00A52585">
        <w:rPr>
          <w:rFonts w:hint="cs"/>
          <w:rtl/>
        </w:rPr>
        <w:t xml:space="preserve"> وقد سفه الله تعالى فيما ذكره في كتابه العزيز كما سفهه في تنزيهه لنفسه وأتى بأمور إقناعية صادم بها النصوص الصريحة في دوام العذاب عليهم فمن ذلك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الذين كفروا بآياتنا سوف نصليهم ناراً كلما نضجت جلودهم بدلناهم جلوداً غيرها ليذوقوا العذاب</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النساء</w:t>
      </w:r>
      <w:r w:rsidR="0002035C" w:rsidRPr="00A52585">
        <w:rPr>
          <w:rFonts w:hint="cs"/>
          <w:rtl/>
        </w:rPr>
        <w:t>:</w:t>
      </w:r>
      <w:r w:rsidRPr="00A52585">
        <w:rPr>
          <w:rFonts w:hint="cs"/>
          <w:rtl/>
        </w:rPr>
        <w:t xml:space="preserve"> 56</w:t>
      </w:r>
      <w:r w:rsidR="0002035C" w:rsidRPr="00A52585">
        <w:rPr>
          <w:rFonts w:hint="cs"/>
          <w:rtl/>
        </w:rPr>
        <w:t>]</w:t>
      </w:r>
      <w:r w:rsidR="00DB731D" w:rsidRPr="00A52585">
        <w:rPr>
          <w:rFonts w:hint="cs"/>
          <w:rtl/>
        </w:rPr>
        <w:t>،</w:t>
      </w:r>
      <w:r w:rsidRPr="00A52585">
        <w:rPr>
          <w:rFonts w:hint="cs"/>
          <w:rtl/>
        </w:rPr>
        <w:t xml:space="preserve"> تبدل في كل ساعة مائة مرة وقال الحسن</w:t>
      </w:r>
      <w:r w:rsidR="0002035C" w:rsidRPr="00A52585">
        <w:rPr>
          <w:rFonts w:hint="cs"/>
          <w:rtl/>
        </w:rPr>
        <w:t>:</w:t>
      </w:r>
      <w:r w:rsidRPr="00A52585">
        <w:rPr>
          <w:rFonts w:hint="cs"/>
          <w:rtl/>
        </w:rPr>
        <w:t xml:space="preserve"> تأكلهم النار كل يوم سبعين ألف مرة </w:t>
      </w:r>
      <w:r w:rsidR="0002035C" w:rsidRPr="00A52585">
        <w:rPr>
          <w:rFonts w:hint="cs"/>
          <w:rtl/>
        </w:rPr>
        <w:t>{</w:t>
      </w:r>
      <w:r w:rsidRPr="00A52585">
        <w:rPr>
          <w:rFonts w:hint="cs"/>
          <w:rtl/>
        </w:rPr>
        <w:t>إن الله كان عزيزاً</w:t>
      </w:r>
      <w:r w:rsidR="0002035C" w:rsidRPr="00A52585">
        <w:rPr>
          <w:rFonts w:hint="cs"/>
          <w:rtl/>
        </w:rPr>
        <w:t>}</w:t>
      </w:r>
      <w:r w:rsidRPr="00A52585">
        <w:rPr>
          <w:rFonts w:hint="cs"/>
          <w:rtl/>
        </w:rPr>
        <w:t xml:space="preserve"> أي شديد النقمة على من عصاه. وقيل</w:t>
      </w:r>
      <w:r w:rsidR="0002035C" w:rsidRPr="00A52585">
        <w:rPr>
          <w:rFonts w:hint="cs"/>
          <w:rtl/>
        </w:rPr>
        <w:t>:</w:t>
      </w:r>
      <w:r w:rsidRPr="00A52585">
        <w:rPr>
          <w:rFonts w:hint="cs"/>
          <w:rtl/>
        </w:rPr>
        <w:t xml:space="preserve"> العزيز الشديد القادر القوي وقيل</w:t>
      </w:r>
      <w:r w:rsidR="0002035C" w:rsidRPr="00A52585">
        <w:rPr>
          <w:rFonts w:hint="cs"/>
          <w:rtl/>
        </w:rPr>
        <w:t>:</w:t>
      </w:r>
      <w:r w:rsidRPr="00A52585">
        <w:rPr>
          <w:rFonts w:hint="cs"/>
          <w:rtl/>
        </w:rPr>
        <w:t xml:space="preserve"> الغالب الذي لا يغلب والقاهر الذي لا يقهر. وقيل</w:t>
      </w:r>
      <w:r w:rsidR="0002035C" w:rsidRPr="00A52585">
        <w:rPr>
          <w:rFonts w:hint="cs"/>
          <w:rtl/>
        </w:rPr>
        <w:t>:</w:t>
      </w:r>
      <w:r w:rsidRPr="00A52585">
        <w:rPr>
          <w:rFonts w:hint="cs"/>
          <w:rtl/>
        </w:rPr>
        <w:t xml:space="preserve"> الذي لا نظير له. وقيل</w:t>
      </w:r>
      <w:r w:rsidR="0002035C" w:rsidRPr="00A52585">
        <w:rPr>
          <w:rFonts w:hint="cs"/>
          <w:rtl/>
        </w:rPr>
        <w:t>:</w:t>
      </w:r>
      <w:r w:rsidRPr="00A52585">
        <w:rPr>
          <w:rFonts w:hint="cs"/>
          <w:rtl/>
        </w:rPr>
        <w:t xml:space="preserve"> معناه المعز فيكون فعيل بمعنى مفعل كالأليم بمعنى المؤلم ونحوه</w:t>
      </w:r>
      <w:r w:rsidR="00DB731D" w:rsidRPr="00A52585">
        <w:rPr>
          <w:rFonts w:hint="cs"/>
          <w:rtl/>
        </w:rPr>
        <w:t>،</w:t>
      </w:r>
      <w:r w:rsidRPr="00A52585">
        <w:rPr>
          <w:rFonts w:hint="cs"/>
          <w:rtl/>
        </w:rPr>
        <w:t xml:space="preserve"> وقال أهل المعاني وأرباب القلوب</w:t>
      </w:r>
      <w:r w:rsidR="0002035C" w:rsidRPr="00A52585">
        <w:rPr>
          <w:rFonts w:hint="cs"/>
          <w:rtl/>
        </w:rPr>
        <w:t>:</w:t>
      </w:r>
      <w:r w:rsidRPr="00A52585">
        <w:rPr>
          <w:rFonts w:hint="cs"/>
          <w:rtl/>
        </w:rPr>
        <w:t xml:space="preserve"> العزيز من ظلت العقول في بحار تعظيمه وحارت الألباب دون إدراك نعته وكَلّت الألسن عن استيفاء مدح جلاله ووصف كماله والقيام بشكر آلائه</w:t>
      </w:r>
      <w:r w:rsidR="00DB731D" w:rsidRPr="00A52585">
        <w:rPr>
          <w:rFonts w:hint="cs"/>
          <w:rtl/>
        </w:rPr>
        <w:t>،</w:t>
      </w:r>
      <w:r w:rsidRPr="00A52585">
        <w:rPr>
          <w:rFonts w:hint="cs"/>
          <w:rtl/>
        </w:rPr>
        <w:t xml:space="preserve"> وقوله </w:t>
      </w:r>
      <w:r w:rsidR="0002035C" w:rsidRPr="00A52585">
        <w:rPr>
          <w:rFonts w:hint="cs"/>
          <w:rtl/>
        </w:rPr>
        <w:t>{</w:t>
      </w:r>
      <w:r w:rsidRPr="00A52585">
        <w:rPr>
          <w:rFonts w:hint="cs"/>
          <w:rtl/>
        </w:rPr>
        <w:t>حكيماً</w:t>
      </w:r>
      <w:r w:rsidR="0002035C" w:rsidRPr="00A52585">
        <w:rPr>
          <w:rFonts w:hint="cs"/>
          <w:rtl/>
        </w:rPr>
        <w:t>}</w:t>
      </w:r>
      <w:r w:rsidRPr="00A52585">
        <w:rPr>
          <w:rFonts w:hint="cs"/>
          <w:rtl/>
        </w:rPr>
        <w:t xml:space="preserve"> أي حكم على الأعداء بدوام العذاب كما حكم على الأولياء بدوام النعيم</w:t>
      </w:r>
      <w:r w:rsidR="00DB731D" w:rsidRPr="00A52585">
        <w:rPr>
          <w:rFonts w:hint="cs"/>
          <w:rtl/>
        </w:rPr>
        <w:t>،</w:t>
      </w:r>
      <w:r w:rsidRPr="00A52585">
        <w:rPr>
          <w:rFonts w:hint="cs"/>
          <w:rtl/>
        </w:rPr>
        <w:t xml:space="preserve"> فلا يعلم كنه حقيقة حكمته غيره</w:t>
      </w:r>
      <w:r w:rsidR="00DB731D" w:rsidRPr="00A52585">
        <w:rPr>
          <w:rFonts w:hint="cs"/>
          <w:rtl/>
        </w:rPr>
        <w:t>،</w:t>
      </w:r>
      <w:r w:rsidRPr="00A52585">
        <w:rPr>
          <w:rFonts w:hint="cs"/>
          <w:rtl/>
        </w:rPr>
        <w:t xml:space="preserve"> فلا شيء من الأشياء إلا وفيه شيء من حكمته على وفقه لمناسبته </w:t>
      </w:r>
      <w:r w:rsidR="0002035C" w:rsidRPr="00A52585">
        <w:rPr>
          <w:rFonts w:hint="cs"/>
          <w:rtl/>
        </w:rPr>
        <w:t>{</w:t>
      </w:r>
      <w:r w:rsidRPr="00A52585">
        <w:rPr>
          <w:rFonts w:hint="cs"/>
          <w:rtl/>
        </w:rPr>
        <w:t>صنع الله الذي أتقن كل شيء</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النمل</w:t>
      </w:r>
      <w:r w:rsidR="0002035C" w:rsidRPr="00A52585">
        <w:rPr>
          <w:rFonts w:hint="cs"/>
          <w:rtl/>
        </w:rPr>
        <w:t>:</w:t>
      </w:r>
      <w:r w:rsidRPr="00A52585">
        <w:rPr>
          <w:rFonts w:hint="cs"/>
          <w:rtl/>
        </w:rPr>
        <w:t xml:space="preserve"> 88</w:t>
      </w:r>
      <w:r w:rsidR="0002035C" w:rsidRPr="00A52585">
        <w:rPr>
          <w:rFonts w:hint="cs"/>
          <w:rtl/>
        </w:rPr>
        <w:t>]</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فالذين كفروا قطعت لهم ثياب من نار يصب من فوق رءوسهم الحميم. يصهر به ما في بطونهم والجلود. ولهم مقامع من حديد كلما أرادوا أن يخرجوا منها من غم</w:t>
      </w:r>
      <w:r w:rsidRPr="00A52585">
        <w:rPr>
          <w:rFonts w:hint="cs"/>
          <w:vertAlign w:val="superscript"/>
          <w:rtl/>
        </w:rPr>
        <w:t xml:space="preserve"> </w:t>
      </w:r>
      <w:r w:rsidRPr="00A52585">
        <w:rPr>
          <w:rFonts w:hint="cs"/>
          <w:rtl/>
        </w:rPr>
        <w:t>أعيدوا فيها وذوقوا عذاب الحريق</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الحج</w:t>
      </w:r>
      <w:r w:rsidR="0002035C" w:rsidRPr="00A52585">
        <w:rPr>
          <w:rFonts w:hint="cs"/>
          <w:rtl/>
        </w:rPr>
        <w:t>:</w:t>
      </w:r>
      <w:r w:rsidRPr="00A52585">
        <w:rPr>
          <w:rFonts w:hint="cs"/>
          <w:rtl/>
        </w:rPr>
        <w:t xml:space="preserve"> 19 إلى 22</w:t>
      </w:r>
      <w:r w:rsidR="0002035C" w:rsidRPr="00A52585">
        <w:rPr>
          <w:rFonts w:hint="cs"/>
          <w:rtl/>
        </w:rPr>
        <w:t>]</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فلن نزيدكم إلا عَذَابا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النبأ</w:t>
      </w:r>
      <w:r w:rsidR="0002035C" w:rsidRPr="00A52585">
        <w:rPr>
          <w:rFonts w:hint="cs"/>
          <w:rtl/>
        </w:rPr>
        <w:t>:</w:t>
      </w:r>
      <w:r w:rsidRPr="00A52585">
        <w:rPr>
          <w:rFonts w:hint="cs"/>
          <w:rtl/>
        </w:rPr>
        <w:t xml:space="preserve"> 30</w:t>
      </w:r>
      <w:r w:rsidR="0002035C" w:rsidRPr="00A52585">
        <w:rPr>
          <w:rFonts w:hint="cs"/>
          <w:rtl/>
        </w:rPr>
        <w:t>]</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كلما خبت زدناهم سعيراً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الإسراء</w:t>
      </w:r>
      <w:r w:rsidR="0002035C" w:rsidRPr="00A52585">
        <w:rPr>
          <w:rFonts w:hint="cs"/>
          <w:rtl/>
        </w:rPr>
        <w:t>:</w:t>
      </w:r>
      <w:r w:rsidRPr="00A52585">
        <w:rPr>
          <w:rFonts w:hint="cs"/>
          <w:rtl/>
        </w:rPr>
        <w:t xml:space="preserve"> 97</w:t>
      </w:r>
      <w:r w:rsidR="0002035C" w:rsidRPr="00A52585">
        <w:rPr>
          <w:rFonts w:hint="cs"/>
          <w:rtl/>
        </w:rPr>
        <w:t>]</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يريدون أن يخرجوا من النار وما هم بخارجين منها ولهم عذاب مقيم</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المائدة</w:t>
      </w:r>
      <w:r w:rsidR="0002035C" w:rsidRPr="00A52585">
        <w:rPr>
          <w:rFonts w:hint="cs"/>
          <w:rtl/>
        </w:rPr>
        <w:t>:</w:t>
      </w:r>
      <w:r w:rsidRPr="00A52585">
        <w:rPr>
          <w:rFonts w:hint="cs"/>
          <w:rtl/>
        </w:rPr>
        <w:t xml:space="preserve"> 37</w:t>
      </w:r>
      <w:r w:rsidR="0002035C" w:rsidRPr="00A52585">
        <w:rPr>
          <w:rFonts w:hint="cs"/>
          <w:rtl/>
        </w:rPr>
        <w:t>]</w:t>
      </w:r>
      <w:r w:rsidR="00DB731D" w:rsidRPr="00A52585">
        <w:rPr>
          <w:rFonts w:hint="cs"/>
          <w:rtl/>
        </w:rPr>
        <w:t>،</w:t>
      </w:r>
      <w:r w:rsidRPr="00A52585">
        <w:rPr>
          <w:rFonts w:hint="cs"/>
          <w:rtl/>
        </w:rPr>
        <w:t xml:space="preserve"> وقال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إن عذابها كان غراماً</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الفرقان</w:t>
      </w:r>
      <w:r w:rsidR="0002035C" w:rsidRPr="00A52585">
        <w:rPr>
          <w:rFonts w:hint="cs"/>
          <w:rtl/>
        </w:rPr>
        <w:t>:</w:t>
      </w:r>
      <w:r w:rsidRPr="00A52585">
        <w:rPr>
          <w:rFonts w:hint="cs"/>
          <w:rtl/>
        </w:rPr>
        <w:t xml:space="preserve"> 65</w:t>
      </w:r>
      <w:r w:rsidR="0002035C" w:rsidRPr="00A52585">
        <w:rPr>
          <w:rFonts w:hint="cs"/>
          <w:rtl/>
        </w:rPr>
        <w:t>]</w:t>
      </w:r>
      <w:r w:rsidR="00DB731D" w:rsidRPr="00A52585">
        <w:rPr>
          <w:rFonts w:hint="cs"/>
          <w:rtl/>
        </w:rPr>
        <w:t>،</w:t>
      </w:r>
      <w:r w:rsidRPr="00A52585">
        <w:rPr>
          <w:rFonts w:hint="cs"/>
          <w:rtl/>
        </w:rPr>
        <w:t xml:space="preserve"> أي مقيماً ملازماً فكل عذاب مفارق صاحبه فليس بغرام</w:t>
      </w:r>
      <w:r w:rsidR="00DB731D" w:rsidRPr="00A52585">
        <w:rPr>
          <w:rFonts w:hint="cs"/>
          <w:rtl/>
        </w:rPr>
        <w:t>،</w:t>
      </w:r>
      <w:r w:rsidRPr="00A52585">
        <w:rPr>
          <w:rFonts w:hint="cs"/>
          <w:rtl/>
        </w:rPr>
        <w:t xml:space="preserve"> والآيات في ذلك كثيرة جداً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pacing w:val="-4"/>
          <w:sz w:val="24"/>
          <w:szCs w:val="24"/>
          <w:rtl/>
        </w:rPr>
        <w:t xml:space="preserve">أحصى العلماء نحواً من سبع وتسين آية تصرح بخلود الكفار في النار إما </w:t>
      </w:r>
      <w:r w:rsidRPr="00A52585">
        <w:rPr>
          <w:rFonts w:hint="cs"/>
          <w:sz w:val="24"/>
          <w:szCs w:val="24"/>
          <w:rtl/>
        </w:rPr>
        <w:t xml:space="preserve">لفظاً </w:t>
      </w:r>
      <w:proofErr w:type="spellStart"/>
      <w:r w:rsidRPr="00A52585">
        <w:rPr>
          <w:rFonts w:hint="cs"/>
          <w:sz w:val="24"/>
          <w:szCs w:val="24"/>
          <w:rtl/>
        </w:rPr>
        <w:t>ومعنىأو</w:t>
      </w:r>
      <w:proofErr w:type="spellEnd"/>
      <w:r w:rsidRPr="00A52585">
        <w:rPr>
          <w:rFonts w:hint="cs"/>
          <w:sz w:val="24"/>
          <w:szCs w:val="24"/>
          <w:rtl/>
        </w:rPr>
        <w:t xml:space="preserve"> بالمعنى فقط منها أربع آيات تذكر التأبيد مما ينفي تماماً أي احتمال للتأويل فإن ابن تيمية وشيعته يحاولون تأويل الخلود المكث فالأبد هو</w:t>
      </w:r>
      <w:r w:rsidR="0002035C" w:rsidRPr="00A52585">
        <w:rPr>
          <w:rFonts w:hint="cs"/>
          <w:sz w:val="24"/>
          <w:szCs w:val="24"/>
          <w:rtl/>
        </w:rPr>
        <w:t>:</w:t>
      </w:r>
      <w:r w:rsidRPr="00A52585">
        <w:rPr>
          <w:rFonts w:hint="cs"/>
          <w:sz w:val="24"/>
          <w:szCs w:val="24"/>
          <w:rtl/>
        </w:rPr>
        <w:t xml:space="preserve"> الدائم كما فسرته كتب اللغة وهو الشيء الذي لا نهاية له "</w:t>
      </w:r>
      <w:r w:rsidR="0002035C" w:rsidRPr="00A52585">
        <w:rPr>
          <w:rFonts w:hint="cs"/>
          <w:sz w:val="24"/>
          <w:szCs w:val="24"/>
          <w:rtl/>
        </w:rPr>
        <w:t xml:space="preserve"> </w:t>
      </w:r>
      <w:r w:rsidRPr="00A52585">
        <w:rPr>
          <w:rFonts w:hint="cs"/>
          <w:sz w:val="24"/>
          <w:szCs w:val="24"/>
          <w:rtl/>
        </w:rPr>
        <w:t>كما شرحه العلماء والآيات التي ذكر فيها التأبيد هي</w:t>
      </w:r>
      <w:r w:rsidR="0002035C" w:rsidRPr="00A52585">
        <w:rPr>
          <w:rFonts w:hint="cs"/>
          <w:sz w:val="24"/>
          <w:szCs w:val="24"/>
          <w:rtl/>
        </w:rPr>
        <w:t>:</w:t>
      </w:r>
      <w:r w:rsidRPr="00A52585">
        <w:rPr>
          <w:rFonts w:hint="cs"/>
          <w:sz w:val="24"/>
          <w:szCs w:val="24"/>
          <w:rtl/>
        </w:rPr>
        <w:t xml:space="preserve"> أ- </w:t>
      </w:r>
      <w:r w:rsidR="0002035C" w:rsidRPr="00A52585">
        <w:rPr>
          <w:rFonts w:hint="cs"/>
          <w:sz w:val="24"/>
          <w:szCs w:val="24"/>
          <w:rtl/>
        </w:rPr>
        <w:t>{</w:t>
      </w:r>
      <w:r w:rsidRPr="00A52585">
        <w:rPr>
          <w:rFonts w:hint="cs"/>
          <w:sz w:val="24"/>
          <w:szCs w:val="24"/>
          <w:rtl/>
        </w:rPr>
        <w:t>إن الذين كفروا وظلموا لم يكن الله ليغفر لهم وليهديهم طريقا إلا طريق جهنم خالدين فيها أبداً</w:t>
      </w:r>
      <w:r w:rsidR="0002035C" w:rsidRPr="00A52585">
        <w:rPr>
          <w:rFonts w:hint="cs"/>
          <w:sz w:val="24"/>
          <w:szCs w:val="24"/>
          <w:rtl/>
        </w:rPr>
        <w:t>}</w:t>
      </w:r>
      <w:r w:rsidRPr="00A52585">
        <w:rPr>
          <w:rFonts w:hint="cs"/>
          <w:sz w:val="24"/>
          <w:szCs w:val="24"/>
          <w:rtl/>
        </w:rPr>
        <w:t xml:space="preserve"> النساء</w:t>
      </w:r>
      <w:r w:rsidR="0002035C" w:rsidRPr="00A52585">
        <w:rPr>
          <w:rFonts w:hint="cs"/>
          <w:sz w:val="24"/>
          <w:szCs w:val="24"/>
          <w:rtl/>
        </w:rPr>
        <w:t>:</w:t>
      </w:r>
      <w:r w:rsidRPr="00A52585">
        <w:rPr>
          <w:rFonts w:hint="cs"/>
          <w:sz w:val="24"/>
          <w:szCs w:val="24"/>
          <w:rtl/>
        </w:rPr>
        <w:t xml:space="preserve"> 168، 169</w:t>
      </w:r>
      <w:r w:rsidR="00DB731D" w:rsidRPr="00A52585">
        <w:rPr>
          <w:rFonts w:hint="cs"/>
          <w:sz w:val="24"/>
          <w:szCs w:val="24"/>
          <w:rtl/>
        </w:rPr>
        <w:t>،</w:t>
      </w:r>
      <w:r w:rsidRPr="00A52585">
        <w:rPr>
          <w:rFonts w:hint="cs"/>
          <w:sz w:val="24"/>
          <w:szCs w:val="24"/>
          <w:rtl/>
        </w:rPr>
        <w:t xml:space="preserve"> ب- </w:t>
      </w:r>
      <w:r w:rsidR="0002035C" w:rsidRPr="00A52585">
        <w:rPr>
          <w:rFonts w:hint="cs"/>
          <w:sz w:val="24"/>
          <w:szCs w:val="24"/>
          <w:rtl/>
        </w:rPr>
        <w:t>{</w:t>
      </w:r>
      <w:r w:rsidRPr="00A52585">
        <w:rPr>
          <w:rFonts w:hint="cs"/>
          <w:sz w:val="24"/>
          <w:szCs w:val="24"/>
          <w:rtl/>
        </w:rPr>
        <w:t>إن الله لعن الكافرين وأعد لهم سعيراً خالدين فيها أبداً لا يجدون وليا ولا نصيراً} الأحزاب</w:t>
      </w:r>
      <w:r w:rsidR="0002035C" w:rsidRPr="00A52585">
        <w:rPr>
          <w:rFonts w:hint="cs"/>
          <w:sz w:val="24"/>
          <w:szCs w:val="24"/>
          <w:rtl/>
        </w:rPr>
        <w:t>:</w:t>
      </w:r>
      <w:r w:rsidRPr="00A52585">
        <w:rPr>
          <w:rFonts w:hint="cs"/>
          <w:sz w:val="24"/>
          <w:szCs w:val="24"/>
          <w:rtl/>
        </w:rPr>
        <w:t xml:space="preserve"> 64، 65</w:t>
      </w:r>
      <w:r w:rsidR="00DB731D" w:rsidRPr="00A52585">
        <w:rPr>
          <w:rFonts w:hint="cs"/>
          <w:sz w:val="24"/>
          <w:szCs w:val="24"/>
          <w:rtl/>
        </w:rPr>
        <w:t>،</w:t>
      </w:r>
      <w:r w:rsidRPr="00A52585">
        <w:rPr>
          <w:rFonts w:hint="cs"/>
          <w:sz w:val="24"/>
          <w:szCs w:val="24"/>
          <w:rtl/>
        </w:rPr>
        <w:t xml:space="preserve"> ج- {إلا بلاغا من الله ورسالاته ومن يعص الله ورسوله فإن له نار جهنم خالدين فيها أبداً} الجن</w:t>
      </w:r>
      <w:r w:rsidR="0002035C" w:rsidRPr="00A52585">
        <w:rPr>
          <w:rFonts w:hint="cs"/>
          <w:sz w:val="24"/>
          <w:szCs w:val="24"/>
          <w:rtl/>
        </w:rPr>
        <w:t>:</w:t>
      </w:r>
      <w:r w:rsidRPr="00A52585">
        <w:rPr>
          <w:rFonts w:hint="cs"/>
          <w:sz w:val="24"/>
          <w:szCs w:val="24"/>
          <w:rtl/>
        </w:rPr>
        <w:t xml:space="preserve"> 32</w:t>
      </w:r>
      <w:r w:rsidR="00DB731D" w:rsidRPr="00A52585">
        <w:rPr>
          <w:rFonts w:hint="cs"/>
          <w:sz w:val="24"/>
          <w:szCs w:val="24"/>
          <w:rtl/>
        </w:rPr>
        <w:t>،</w:t>
      </w:r>
      <w:r w:rsidRPr="00A52585">
        <w:rPr>
          <w:rFonts w:hint="cs"/>
          <w:sz w:val="24"/>
          <w:szCs w:val="24"/>
          <w:rtl/>
        </w:rPr>
        <w:t xml:space="preserve"> د- {إنهم إن يظهروا عليكم يرجموكم أو يعيدوكم في ملتهم ولن تفلحوا إذا أبداً</w:t>
      </w:r>
      <w:r w:rsidR="0002035C" w:rsidRPr="00A52585">
        <w:rPr>
          <w:rFonts w:hint="cs"/>
          <w:sz w:val="24"/>
          <w:szCs w:val="24"/>
          <w:rtl/>
        </w:rPr>
        <w:t>}</w:t>
      </w:r>
      <w:r w:rsidRPr="00A52585">
        <w:rPr>
          <w:rFonts w:hint="cs"/>
          <w:sz w:val="24"/>
          <w:szCs w:val="24"/>
          <w:rtl/>
        </w:rPr>
        <w:t xml:space="preserve"> الكهف</w:t>
      </w:r>
      <w:r w:rsidR="0002035C" w:rsidRPr="00A52585">
        <w:rPr>
          <w:rFonts w:hint="cs"/>
          <w:sz w:val="24"/>
          <w:szCs w:val="24"/>
          <w:rtl/>
        </w:rPr>
        <w:t>:</w:t>
      </w:r>
      <w:r w:rsidRPr="00A52585">
        <w:rPr>
          <w:rFonts w:hint="cs"/>
          <w:sz w:val="24"/>
          <w:szCs w:val="24"/>
          <w:rtl/>
        </w:rPr>
        <w:t xml:space="preserve"> 20</w:t>
      </w:r>
      <w:r w:rsidR="00DB731D" w:rsidRPr="00A52585">
        <w:rPr>
          <w:rFonts w:hint="cs"/>
          <w:sz w:val="24"/>
          <w:szCs w:val="24"/>
          <w:rtl/>
        </w:rPr>
        <w:t>،</w:t>
      </w:r>
      <w:r w:rsidRPr="00A52585">
        <w:rPr>
          <w:rFonts w:hint="cs"/>
          <w:sz w:val="24"/>
          <w:szCs w:val="24"/>
          <w:rtl/>
        </w:rPr>
        <w:t xml:space="preserve"> وهناك أربع وثلاثون آية أخرى غير ما سبق ذكر فيها لفظ الخلود فقط بدون التأبيد وتسع وعشرون آية تتضمن معنى الخلود والتأبيد للكفار في جهنم، والخلود والتأييد بمعنى واحد على الحقيقة بيد أن الخلود قد يستعمل في التعبير عن المكث الطويل على سبيل المجاز أحياناً وقد أّلف الإمام تقي الدين السبكي كتاباً جليل القدر في هذا الموضوع سماه</w:t>
      </w:r>
      <w:r w:rsidR="0002035C" w:rsidRPr="00A52585">
        <w:rPr>
          <w:rFonts w:hint="cs"/>
          <w:sz w:val="24"/>
          <w:szCs w:val="24"/>
          <w:rtl/>
        </w:rPr>
        <w:t xml:space="preserve"> </w:t>
      </w:r>
      <w:r w:rsidRPr="00A52585">
        <w:rPr>
          <w:rFonts w:hint="cs"/>
          <w:sz w:val="24"/>
          <w:szCs w:val="24"/>
          <w:rtl/>
        </w:rPr>
        <w:t>" الاعتبار ببقاء الجنة والنار "</w:t>
      </w:r>
      <w:r w:rsidR="0002035C" w:rsidRPr="00A52585">
        <w:rPr>
          <w:rFonts w:hint="cs"/>
          <w:sz w:val="24"/>
          <w:szCs w:val="24"/>
          <w:rtl/>
        </w:rPr>
        <w:t xml:space="preserve"> </w:t>
      </w:r>
      <w:r w:rsidRPr="00A52585">
        <w:rPr>
          <w:rFonts w:hint="cs"/>
          <w:sz w:val="24"/>
          <w:szCs w:val="24"/>
          <w:rtl/>
        </w:rPr>
        <w:t>وقد طبع مرتين آخرها بتحقيق الأستاذ الدكتور</w:t>
      </w:r>
      <w:r w:rsidR="0002035C" w:rsidRPr="00A52585">
        <w:rPr>
          <w:rFonts w:hint="cs"/>
          <w:sz w:val="24"/>
          <w:szCs w:val="24"/>
          <w:rtl/>
        </w:rPr>
        <w:t>:</w:t>
      </w:r>
      <w:r w:rsidRPr="00A52585">
        <w:rPr>
          <w:rFonts w:hint="cs"/>
          <w:sz w:val="24"/>
          <w:szCs w:val="24"/>
          <w:rtl/>
        </w:rPr>
        <w:t xml:space="preserve"> طه الدسوقي </w:t>
      </w:r>
      <w:proofErr w:type="spellStart"/>
      <w:r w:rsidRPr="00A52585">
        <w:rPr>
          <w:rFonts w:hint="cs"/>
          <w:sz w:val="24"/>
          <w:szCs w:val="24"/>
          <w:rtl/>
        </w:rPr>
        <w:t>حبيشى</w:t>
      </w:r>
      <w:proofErr w:type="spellEnd"/>
      <w:r w:rsidRPr="00A52585">
        <w:rPr>
          <w:rFonts w:hint="cs"/>
          <w:sz w:val="24"/>
          <w:szCs w:val="24"/>
          <w:rtl/>
        </w:rPr>
        <w:t xml:space="preserve"> يقول الإمام السبكي </w:t>
      </w:r>
      <w:r w:rsidRPr="00A52585">
        <w:rPr>
          <w:rFonts w:hint="cs"/>
          <w:sz w:val="24"/>
          <w:szCs w:val="24"/>
          <w:rtl/>
        </w:rPr>
        <w:lastRenderedPageBreak/>
        <w:t>في مقدمة الكتاب</w:t>
      </w:r>
      <w:r w:rsidR="0002035C" w:rsidRPr="00A52585">
        <w:rPr>
          <w:rFonts w:hint="cs"/>
          <w:sz w:val="24"/>
          <w:szCs w:val="24"/>
          <w:rtl/>
        </w:rPr>
        <w:t xml:space="preserve">: </w:t>
      </w:r>
      <w:r w:rsidRPr="00A52585">
        <w:rPr>
          <w:rFonts w:hint="cs"/>
          <w:sz w:val="24"/>
          <w:szCs w:val="24"/>
          <w:rtl/>
        </w:rPr>
        <w:t>"وبعد</w:t>
      </w:r>
      <w:r w:rsidR="0002035C" w:rsidRPr="00A52585">
        <w:rPr>
          <w:rFonts w:hint="cs"/>
          <w:sz w:val="24"/>
          <w:szCs w:val="24"/>
          <w:rtl/>
        </w:rPr>
        <w:t>:</w:t>
      </w:r>
      <w:r w:rsidRPr="00A52585">
        <w:rPr>
          <w:rFonts w:hint="cs"/>
          <w:sz w:val="24"/>
          <w:szCs w:val="24"/>
          <w:rtl/>
        </w:rPr>
        <w:t xml:space="preserve"> فإن اعتقاد المسلمين أن الجنة والنار لا تفنيان وقد نقل أبو محمد بن حزم الإجماع على ذلك وأن من خالفه كافر بإجماع، ولا شك في ذلك فإنه معلوم من الدين بالضرورة وتواردت الأدلة عليه"</w:t>
      </w:r>
      <w:r w:rsidR="0002035C" w:rsidRPr="00A52585">
        <w:rPr>
          <w:rFonts w:hint="cs"/>
          <w:sz w:val="24"/>
          <w:szCs w:val="24"/>
          <w:rtl/>
        </w:rPr>
        <w:t xml:space="preserve"> </w:t>
      </w:r>
      <w:r w:rsidRPr="00A52585">
        <w:rPr>
          <w:rFonts w:hint="cs"/>
          <w:sz w:val="24"/>
          <w:szCs w:val="24"/>
          <w:rtl/>
        </w:rPr>
        <w:t>أهـ ص 32، 33 ثم ذكر أغلب الآيات المصرحة ببقاء النار وخلود الكفار فيها والتي سبق الإشارة إليها ثم قال</w:t>
      </w:r>
      <w:r w:rsidR="0002035C" w:rsidRPr="00A52585">
        <w:rPr>
          <w:rFonts w:hint="cs"/>
          <w:sz w:val="24"/>
          <w:szCs w:val="24"/>
          <w:rtl/>
        </w:rPr>
        <w:t>:</w:t>
      </w:r>
      <w:r w:rsidRPr="00A52585">
        <w:rPr>
          <w:rFonts w:hint="cs"/>
          <w:sz w:val="24"/>
          <w:szCs w:val="24"/>
          <w:rtl/>
        </w:rPr>
        <w:t xml:space="preserve"> " وغيرها من الآيات كثير في هذا المعنى جداً وذلك يمنع من احتمال التأويل ويوجب القطع بذلك، كما أن الآيات الدالة على البعث الجسماني لكثرتها يمتنع تأويلها، ومن أولها حكمنا بكفره بمقتضى العلم جملة وإن كنت لا أطلق لساني بتكفير أحد معين"</w:t>
      </w:r>
      <w:r w:rsidR="0002035C" w:rsidRPr="00A52585">
        <w:rPr>
          <w:rFonts w:hint="cs"/>
          <w:sz w:val="24"/>
          <w:szCs w:val="24"/>
          <w:rtl/>
        </w:rPr>
        <w:t xml:space="preserve"> </w:t>
      </w:r>
      <w:r w:rsidRPr="00A52585">
        <w:rPr>
          <w:rFonts w:hint="cs"/>
          <w:sz w:val="24"/>
          <w:szCs w:val="24"/>
          <w:rtl/>
        </w:rPr>
        <w:t>أهـ ص 46،47، ثم انتقل بعد ذلك إلى الحديث عن بعض الأحاديث المصرحة بخلود أهل النار فيها ثم تحدث عن الآيات التي تفيد بقاء الجنة وخلود أهلها فيها ثم قال</w:t>
      </w:r>
      <w:r w:rsidR="0002035C" w:rsidRPr="00A52585">
        <w:rPr>
          <w:rFonts w:hint="cs"/>
          <w:sz w:val="24"/>
          <w:szCs w:val="24"/>
          <w:rtl/>
        </w:rPr>
        <w:t>:</w:t>
      </w:r>
      <w:r w:rsidRPr="00A52585">
        <w:rPr>
          <w:rFonts w:hint="cs"/>
          <w:sz w:val="24"/>
          <w:szCs w:val="24"/>
          <w:rtl/>
        </w:rPr>
        <w:t xml:space="preserve"> " فهذه الآيات التي استحضرناها في بقاء الجنة والنار وبدأنا بالنار لأنا وقفنا على تصنيف لبعض أهل العصر في فنائها</w:t>
      </w:r>
      <w:r w:rsidR="00DB731D" w:rsidRPr="00A52585">
        <w:rPr>
          <w:rFonts w:hint="cs"/>
          <w:sz w:val="24"/>
          <w:szCs w:val="24"/>
          <w:rtl/>
        </w:rPr>
        <w:t>،</w:t>
      </w:r>
      <w:r w:rsidRPr="00A52585">
        <w:rPr>
          <w:rFonts w:hint="cs"/>
          <w:sz w:val="24"/>
          <w:szCs w:val="24"/>
          <w:rtl/>
        </w:rPr>
        <w:t xml:space="preserve"> وقد ذكرنا نحو مائة آية منها نحو من ستين في النار ونحو من أربعين في الجنة وقد ذكر الخلد أو ما اشتق منه في أربع وثلاثين في النار وثمان وثلاثين في الجنة وذكر التأبيد في أربع في النار مع الخلود وفي ثمان في الجنة منها سبع مع الخلود، وذكر التصريح بعدم الخروج أو معناه في أكثر من ثلاثين وتضافر هذه الآيات ونظائرها يفيد القطع بإرادة حقيقتها ومعناها، وأن ذلك ليس مما</w:t>
      </w:r>
      <w:r w:rsidRPr="00A52585">
        <w:rPr>
          <w:rFonts w:hint="cs"/>
          <w:spacing w:val="-6"/>
          <w:sz w:val="24"/>
          <w:szCs w:val="24"/>
          <w:rtl/>
        </w:rPr>
        <w:t xml:space="preserve"> استعمل فيه الظاهر في غير المراد به ولذلك أجمع المسلمون على اعتقاد ذلك وتلقوه خلفا عن</w:t>
      </w:r>
      <w:r w:rsidRPr="00A52585">
        <w:rPr>
          <w:rFonts w:hint="cs"/>
          <w:sz w:val="24"/>
          <w:szCs w:val="24"/>
          <w:rtl/>
        </w:rPr>
        <w:t xml:space="preserve"> سلف عن نبيهم صلى الله عليه وسلم وهو </w:t>
      </w:r>
      <w:r w:rsidRPr="00A52585">
        <w:rPr>
          <w:rFonts w:hint="cs"/>
          <w:spacing w:val="-6"/>
          <w:sz w:val="24"/>
          <w:szCs w:val="24"/>
          <w:rtl/>
        </w:rPr>
        <w:t>مركوز في فطرة المسلمين معلوم من الدين بالضرورة، بل وسائر الملل غير المسلمين يعتقدون ذلك ومن رد ذلك فهو كافر ومن تأوله فهو كمن تأول الآيات الواردة في البعث الجسماني وهو كافر أيضاً بمقتضى العلم وإن كنت لا أطلق لساني بذلك "</w:t>
      </w:r>
      <w:r w:rsidR="0002035C" w:rsidRPr="00A52585">
        <w:rPr>
          <w:rFonts w:hint="cs"/>
          <w:spacing w:val="-6"/>
          <w:sz w:val="24"/>
          <w:szCs w:val="24"/>
          <w:rtl/>
        </w:rPr>
        <w:t xml:space="preserve"> </w:t>
      </w:r>
      <w:r w:rsidRPr="00A52585">
        <w:rPr>
          <w:rFonts w:hint="cs"/>
          <w:spacing w:val="-6"/>
          <w:sz w:val="24"/>
          <w:szCs w:val="24"/>
          <w:rtl/>
        </w:rPr>
        <w:t>أهـ ص56،57،58</w:t>
      </w:r>
      <w:r w:rsidR="00DB731D" w:rsidRPr="00A52585">
        <w:rPr>
          <w:rFonts w:hint="cs"/>
          <w:spacing w:val="-6"/>
          <w:sz w:val="24"/>
          <w:szCs w:val="24"/>
          <w:rtl/>
        </w:rPr>
        <w:t>،</w:t>
      </w:r>
      <w:r w:rsidR="0002035C" w:rsidRPr="00A52585">
        <w:rPr>
          <w:rFonts w:hint="cs"/>
          <w:spacing w:val="-6"/>
          <w:sz w:val="24"/>
          <w:szCs w:val="24"/>
          <w:rtl/>
        </w:rPr>
        <w:t xml:space="preserve"> </w:t>
      </w:r>
      <w:r w:rsidRPr="00A52585">
        <w:rPr>
          <w:rFonts w:hint="cs"/>
          <w:sz w:val="24"/>
          <w:szCs w:val="24"/>
          <w:rtl/>
        </w:rPr>
        <w:t>وقد حاول ابن تيمية في رسالته وكذا ابن القيم في (حادي الأرواح) الشبهات وإثبات أن هناك فرقاً بين بقاء الجنة وبقاء النار من وجوه</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الأول</w:t>
      </w:r>
      <w:r w:rsidR="0002035C" w:rsidRPr="00A52585">
        <w:rPr>
          <w:rFonts w:hint="cs"/>
          <w:sz w:val="24"/>
          <w:szCs w:val="24"/>
          <w:rtl/>
        </w:rPr>
        <w:t>):</w:t>
      </w:r>
      <w:r w:rsidRPr="00A52585">
        <w:rPr>
          <w:rFonts w:hint="cs"/>
          <w:sz w:val="24"/>
          <w:szCs w:val="24"/>
          <w:rtl/>
        </w:rPr>
        <w:t xml:space="preserve"> أن الله أخبر ببقاء نعيم الجنة ودوامه ولم يخبر بذلك عن عذاب النار وقد تبين كذب هذا القول وتم حصر سبع وتذكر آية تذكر بقاء عذاب النار ودوامه نعوذ بالله منه</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الثاني</w:t>
      </w:r>
      <w:r w:rsidR="0002035C" w:rsidRPr="00A52585">
        <w:rPr>
          <w:rFonts w:hint="cs"/>
          <w:sz w:val="24"/>
          <w:szCs w:val="24"/>
          <w:rtl/>
        </w:rPr>
        <w:t>):</w:t>
      </w:r>
      <w:r w:rsidRPr="00A52585">
        <w:rPr>
          <w:rFonts w:hint="cs"/>
          <w:sz w:val="24"/>
          <w:szCs w:val="24"/>
          <w:rtl/>
        </w:rPr>
        <w:t xml:space="preserve"> أنه أخبر بما يدل على أنه ليس بمؤبد في عدة آيات والآيات السابقة تكذبه ولا استثناء في ذلك إلا لعصاة المؤمنين فقط</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الثالث</w:t>
      </w:r>
      <w:r w:rsidR="0002035C" w:rsidRPr="00A52585">
        <w:rPr>
          <w:rFonts w:hint="cs"/>
          <w:sz w:val="24"/>
          <w:szCs w:val="24"/>
          <w:rtl/>
        </w:rPr>
        <w:t>):</w:t>
      </w:r>
      <w:r w:rsidRPr="00A52585">
        <w:rPr>
          <w:rFonts w:hint="cs"/>
          <w:sz w:val="24"/>
          <w:szCs w:val="24"/>
          <w:rtl/>
        </w:rPr>
        <w:t xml:space="preserve"> أن النار لم يذكر فيها شيء مما يدل على الدوام وفي الآيات السابقة أربع آيات تذكر التأبيد والدوام لفظا ومعنى وعشرات الآيات تقطع بمعنى الدوام</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الرابع</w:t>
      </w:r>
      <w:r w:rsidR="0002035C" w:rsidRPr="00A52585">
        <w:rPr>
          <w:rFonts w:hint="cs"/>
          <w:sz w:val="24"/>
          <w:szCs w:val="24"/>
          <w:rtl/>
        </w:rPr>
        <w:t>):</w:t>
      </w:r>
      <w:r w:rsidRPr="00A52585">
        <w:rPr>
          <w:rFonts w:hint="cs"/>
          <w:sz w:val="24"/>
          <w:szCs w:val="24"/>
          <w:rtl/>
        </w:rPr>
        <w:t xml:space="preserve"> أن النار قيدها بقوله (لابثين فيها أحقابا) وتجاهل أن السلف قالوا ليس أشد على أهل النار منها فالآيات التالية لها تقول </w:t>
      </w:r>
      <w:r w:rsidR="0002035C" w:rsidRPr="00A52585">
        <w:rPr>
          <w:rFonts w:hint="cs"/>
          <w:sz w:val="24"/>
          <w:szCs w:val="24"/>
          <w:rtl/>
        </w:rPr>
        <w:t>{</w:t>
      </w:r>
      <w:r w:rsidRPr="00A52585">
        <w:rPr>
          <w:rFonts w:hint="cs"/>
          <w:sz w:val="24"/>
          <w:szCs w:val="24"/>
          <w:rtl/>
        </w:rPr>
        <w:t xml:space="preserve">لا يذوقون فيها بردا ولا شرابا إلا حميما وغساقا} فهم يتقلبون بين أنواع العذاب من الشديد إلى الأشد ثم ختم سبحانه هذه الآيات بقوله </w:t>
      </w:r>
      <w:r w:rsidR="0002035C" w:rsidRPr="00A52585">
        <w:rPr>
          <w:rFonts w:hint="cs"/>
          <w:sz w:val="24"/>
          <w:szCs w:val="24"/>
          <w:rtl/>
        </w:rPr>
        <w:t>{</w:t>
      </w:r>
      <w:r w:rsidRPr="00A52585">
        <w:rPr>
          <w:rFonts w:hint="cs"/>
          <w:sz w:val="24"/>
          <w:szCs w:val="24"/>
          <w:rtl/>
        </w:rPr>
        <w:t>فذوقوا فلن نزيدكم إلا عذاباً</w:t>
      </w:r>
      <w:r w:rsidR="0002035C" w:rsidRPr="00A52585">
        <w:rPr>
          <w:rFonts w:hint="cs"/>
          <w:sz w:val="24"/>
          <w:szCs w:val="24"/>
          <w:rtl/>
        </w:rPr>
        <w:t>}</w:t>
      </w:r>
      <w:r w:rsidRPr="00A52585">
        <w:rPr>
          <w:rFonts w:hint="cs"/>
          <w:sz w:val="24"/>
          <w:szCs w:val="24"/>
          <w:rtl/>
        </w:rPr>
        <w:t xml:space="preserve"> قاطعا أي أمل لهم في توقف العذاب</w:t>
      </w:r>
      <w:r w:rsidR="00DB731D" w:rsidRPr="00A52585">
        <w:rPr>
          <w:rFonts w:hint="cs"/>
          <w:sz w:val="24"/>
          <w:szCs w:val="24"/>
          <w:rtl/>
        </w:rPr>
        <w:t>،</w:t>
      </w:r>
      <w:r w:rsidRPr="00A52585">
        <w:rPr>
          <w:rFonts w:hint="cs"/>
          <w:sz w:val="24"/>
          <w:szCs w:val="24"/>
          <w:rtl/>
        </w:rPr>
        <w:t xml:space="preserve"> ثم احتج ابن تيمية بقوله سبحانه</w:t>
      </w:r>
      <w:r w:rsidR="0002035C" w:rsidRPr="00A52585">
        <w:rPr>
          <w:rFonts w:hint="cs"/>
          <w:sz w:val="24"/>
          <w:szCs w:val="24"/>
          <w:rtl/>
        </w:rPr>
        <w:t>{</w:t>
      </w:r>
      <w:r w:rsidRPr="00A52585">
        <w:rPr>
          <w:rFonts w:hint="cs"/>
          <w:sz w:val="24"/>
          <w:szCs w:val="24"/>
          <w:rtl/>
        </w:rPr>
        <w:t>خالدين فيها إلا ما شاء الله</w:t>
      </w:r>
      <w:r w:rsidR="0002035C" w:rsidRPr="00A52585">
        <w:rPr>
          <w:rFonts w:hint="cs"/>
          <w:sz w:val="24"/>
          <w:szCs w:val="24"/>
          <w:rtl/>
        </w:rPr>
        <w:t>}</w:t>
      </w:r>
      <w:r w:rsidRPr="00A52585">
        <w:rPr>
          <w:rFonts w:hint="cs"/>
          <w:sz w:val="24"/>
          <w:szCs w:val="24"/>
          <w:rtl/>
        </w:rPr>
        <w:t xml:space="preserve"> وقوله </w:t>
      </w:r>
      <w:r w:rsidR="0002035C" w:rsidRPr="00A52585">
        <w:rPr>
          <w:rFonts w:hint="cs"/>
          <w:sz w:val="24"/>
          <w:szCs w:val="24"/>
          <w:rtl/>
        </w:rPr>
        <w:t>{</w:t>
      </w:r>
      <w:r w:rsidRPr="00A52585">
        <w:rPr>
          <w:rFonts w:hint="cs"/>
          <w:sz w:val="24"/>
          <w:szCs w:val="24"/>
          <w:rtl/>
        </w:rPr>
        <w:t>خالدين فيها ما دامت السماوات والأرض إلا ما شاء ربك}</w:t>
      </w:r>
      <w:r w:rsidR="0002035C" w:rsidRPr="00A52585">
        <w:rPr>
          <w:rFonts w:hint="cs"/>
          <w:sz w:val="24"/>
          <w:szCs w:val="24"/>
          <w:rtl/>
        </w:rPr>
        <w:t xml:space="preserve"> </w:t>
      </w:r>
      <w:r w:rsidRPr="00A52585">
        <w:rPr>
          <w:rFonts w:hint="cs"/>
          <w:sz w:val="24"/>
          <w:szCs w:val="24"/>
          <w:rtl/>
        </w:rPr>
        <w:t xml:space="preserve">قال شيخ شيوخنا سلامة </w:t>
      </w:r>
      <w:proofErr w:type="spellStart"/>
      <w:r w:rsidRPr="00A52585">
        <w:rPr>
          <w:rFonts w:hint="cs"/>
          <w:sz w:val="24"/>
          <w:szCs w:val="24"/>
          <w:rtl/>
        </w:rPr>
        <w:t>العزامي</w:t>
      </w:r>
      <w:proofErr w:type="spellEnd"/>
      <w:r w:rsidRPr="00A52585">
        <w:rPr>
          <w:rFonts w:hint="cs"/>
          <w:sz w:val="24"/>
          <w:szCs w:val="24"/>
          <w:rtl/>
        </w:rPr>
        <w:t xml:space="preserve"> في كتابه (البراهين الساطعة) عن هذا الاستثناء</w:t>
      </w:r>
      <w:r w:rsidR="0002035C" w:rsidRPr="00A52585">
        <w:rPr>
          <w:rFonts w:hint="cs"/>
          <w:sz w:val="24"/>
          <w:szCs w:val="24"/>
          <w:rtl/>
        </w:rPr>
        <w:t xml:space="preserve">: </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معنى هذا الاستثناء في الكلام العزيز المبالغة في أن خلودهم أبدى في دار العذاب لا مخلص لهم منه </w:t>
      </w:r>
      <w:proofErr w:type="spellStart"/>
      <w:r w:rsidRPr="00A52585">
        <w:rPr>
          <w:rFonts w:hint="cs"/>
          <w:sz w:val="24"/>
          <w:szCs w:val="24"/>
          <w:rtl/>
        </w:rPr>
        <w:t>ألبتة</w:t>
      </w:r>
      <w:proofErr w:type="spellEnd"/>
      <w:r w:rsidRPr="00A52585">
        <w:rPr>
          <w:rFonts w:hint="cs"/>
          <w:sz w:val="24"/>
          <w:szCs w:val="24"/>
          <w:rtl/>
        </w:rPr>
        <w:t xml:space="preserve"> إلا أن يشاء الله خلاصهم منه وهو مما لا </w:t>
      </w:r>
      <w:proofErr w:type="spellStart"/>
      <w:r w:rsidRPr="00A52585">
        <w:rPr>
          <w:rFonts w:hint="cs"/>
          <w:sz w:val="24"/>
          <w:szCs w:val="24"/>
          <w:rtl/>
        </w:rPr>
        <w:t>يشاؤه</w:t>
      </w:r>
      <w:proofErr w:type="spellEnd"/>
      <w:r w:rsidRPr="00A52585">
        <w:rPr>
          <w:rFonts w:hint="cs"/>
          <w:sz w:val="24"/>
          <w:szCs w:val="24"/>
          <w:rtl/>
        </w:rPr>
        <w:t xml:space="preserve"> كما قال </w:t>
      </w:r>
      <w:r w:rsidR="0002035C" w:rsidRPr="00A52585">
        <w:rPr>
          <w:rFonts w:hint="cs"/>
          <w:sz w:val="24"/>
          <w:szCs w:val="24"/>
          <w:rtl/>
        </w:rPr>
        <w:t>{</w:t>
      </w:r>
      <w:r w:rsidRPr="00A52585">
        <w:rPr>
          <w:rFonts w:hint="cs"/>
          <w:sz w:val="24"/>
          <w:szCs w:val="24"/>
          <w:rtl/>
        </w:rPr>
        <w:t>إن الله لا يغفر أن يشرك به</w:t>
      </w:r>
      <w:r w:rsidR="0002035C" w:rsidRPr="00A52585">
        <w:rPr>
          <w:rFonts w:hint="cs"/>
          <w:sz w:val="24"/>
          <w:szCs w:val="24"/>
          <w:rtl/>
        </w:rPr>
        <w:t>}</w:t>
      </w:r>
      <w:r w:rsidRPr="00A52585">
        <w:rPr>
          <w:rFonts w:hint="cs"/>
          <w:sz w:val="24"/>
          <w:szCs w:val="24"/>
          <w:rtl/>
        </w:rPr>
        <w:t xml:space="preserve"> وكما قال </w:t>
      </w:r>
      <w:r w:rsidR="0002035C" w:rsidRPr="00A52585">
        <w:rPr>
          <w:rFonts w:hint="cs"/>
          <w:sz w:val="24"/>
          <w:szCs w:val="24"/>
          <w:rtl/>
        </w:rPr>
        <w:t>{</w:t>
      </w:r>
      <w:r w:rsidRPr="00A52585">
        <w:rPr>
          <w:rFonts w:hint="cs"/>
          <w:sz w:val="24"/>
          <w:szCs w:val="24"/>
          <w:rtl/>
        </w:rPr>
        <w:t>لم يكن الله ليغفر لهم</w:t>
      </w:r>
      <w:r w:rsidR="0002035C" w:rsidRPr="00A52585">
        <w:rPr>
          <w:rFonts w:hint="cs"/>
          <w:sz w:val="24"/>
          <w:szCs w:val="24"/>
          <w:rtl/>
        </w:rPr>
        <w:t>}</w:t>
      </w:r>
      <w:r w:rsidRPr="00A52585">
        <w:rPr>
          <w:rFonts w:hint="cs"/>
          <w:sz w:val="24"/>
          <w:szCs w:val="24"/>
          <w:rtl/>
        </w:rPr>
        <w:t xml:space="preserve"> وكما قال </w:t>
      </w:r>
      <w:r w:rsidR="0002035C" w:rsidRPr="00A52585">
        <w:rPr>
          <w:rFonts w:hint="cs"/>
          <w:sz w:val="24"/>
          <w:szCs w:val="24"/>
          <w:rtl/>
        </w:rPr>
        <w:t>{</w:t>
      </w:r>
      <w:r w:rsidRPr="00A52585">
        <w:rPr>
          <w:rFonts w:hint="cs"/>
          <w:sz w:val="24"/>
          <w:szCs w:val="24"/>
          <w:rtl/>
        </w:rPr>
        <w:t>وما هم بخارجين منها</w:t>
      </w:r>
      <w:r w:rsidR="0002035C" w:rsidRPr="00A52585">
        <w:rPr>
          <w:rFonts w:hint="cs"/>
          <w:sz w:val="24"/>
          <w:szCs w:val="24"/>
          <w:rtl/>
        </w:rPr>
        <w:t>}</w:t>
      </w:r>
      <w:r w:rsidRPr="00A52585">
        <w:rPr>
          <w:rFonts w:hint="cs"/>
          <w:sz w:val="24"/>
          <w:szCs w:val="24"/>
          <w:rtl/>
        </w:rPr>
        <w:t xml:space="preserve"> ولكنه أخرجه مخرج الاستثناء وعلى صورة </w:t>
      </w:r>
      <w:proofErr w:type="spellStart"/>
      <w:r w:rsidRPr="00A52585">
        <w:rPr>
          <w:rFonts w:hint="cs"/>
          <w:sz w:val="24"/>
          <w:szCs w:val="24"/>
          <w:rtl/>
        </w:rPr>
        <w:t>الإطماع</w:t>
      </w:r>
      <w:proofErr w:type="spellEnd"/>
      <w:r w:rsidRPr="00A52585">
        <w:rPr>
          <w:rFonts w:hint="cs"/>
          <w:sz w:val="24"/>
          <w:szCs w:val="24"/>
          <w:rtl/>
        </w:rPr>
        <w:t xml:space="preserve"> لهم تهكمــا بهـم وتشـديداً </w:t>
      </w:r>
      <w:r w:rsidRPr="00A52585">
        <w:rPr>
          <w:rFonts w:hint="cs"/>
          <w:spacing w:val="-6"/>
          <w:sz w:val="24"/>
          <w:szCs w:val="24"/>
          <w:rtl/>
        </w:rPr>
        <w:t xml:space="preserve">للأمر عليهم ببيان أن ذلك الخلاص الذي يطلبونه ليس مربوطا إلا بمشيئته وحده وهو لا </w:t>
      </w:r>
      <w:proofErr w:type="spellStart"/>
      <w:r w:rsidRPr="00A52585">
        <w:rPr>
          <w:rFonts w:hint="cs"/>
          <w:spacing w:val="-6"/>
          <w:sz w:val="24"/>
          <w:szCs w:val="24"/>
          <w:rtl/>
        </w:rPr>
        <w:t>يشاؤه</w:t>
      </w:r>
      <w:proofErr w:type="spellEnd"/>
      <w:r w:rsidRPr="00A52585">
        <w:rPr>
          <w:rFonts w:hint="cs"/>
          <w:spacing w:val="-6"/>
          <w:sz w:val="24"/>
          <w:szCs w:val="24"/>
          <w:rtl/>
        </w:rPr>
        <w:t xml:space="preserve"> وفيه من</w:t>
      </w:r>
      <w:r w:rsidRPr="00A52585">
        <w:rPr>
          <w:rFonts w:hint="cs"/>
          <w:sz w:val="24"/>
          <w:szCs w:val="24"/>
          <w:rtl/>
        </w:rPr>
        <w:t xml:space="preserve"> الفوائد غير ما ذكر أن الأمور كلها مربوطة بمشيئته لا يجب عليه منها شيء فلو شاء ألا يخلدهم في دار العذاب خلودا أبديا لفعل، ولكنه لا يشاء ذلك كما أخبر عن نفسه"</w:t>
      </w:r>
      <w:r w:rsidR="0002035C" w:rsidRPr="00A52585">
        <w:rPr>
          <w:rFonts w:hint="cs"/>
          <w:sz w:val="24"/>
          <w:szCs w:val="24"/>
          <w:rtl/>
        </w:rPr>
        <w:t xml:space="preserve"> </w:t>
      </w:r>
      <w:r w:rsidRPr="00A52585">
        <w:rPr>
          <w:rFonts w:hint="cs"/>
          <w:sz w:val="24"/>
          <w:szCs w:val="24"/>
          <w:rtl/>
        </w:rPr>
        <w:t xml:space="preserve">أهـ ص283 ويؤكد هذا التفسير أن الاستثناء قد ورد أيضاً في حق أهل الجنة </w:t>
      </w:r>
      <w:r w:rsidR="0002035C" w:rsidRPr="00A52585">
        <w:rPr>
          <w:rFonts w:hint="cs"/>
          <w:sz w:val="24"/>
          <w:szCs w:val="24"/>
          <w:rtl/>
        </w:rPr>
        <w:t>{</w:t>
      </w:r>
      <w:r w:rsidRPr="00A52585">
        <w:rPr>
          <w:rFonts w:hint="cs"/>
          <w:sz w:val="24"/>
          <w:szCs w:val="24"/>
          <w:rtl/>
        </w:rPr>
        <w:t xml:space="preserve">وأما الذين سعدوا ففي الجنة خالدين فيها ما </w:t>
      </w:r>
      <w:r w:rsidRPr="00A52585">
        <w:rPr>
          <w:rFonts w:hint="cs"/>
          <w:sz w:val="24"/>
          <w:szCs w:val="24"/>
          <w:rtl/>
        </w:rPr>
        <w:lastRenderedPageBreak/>
        <w:t>دامت السماوات والأرض إلا ما شاء ربك عطاء غير مجذوذ</w:t>
      </w:r>
      <w:r w:rsidR="0002035C" w:rsidRPr="00A52585">
        <w:rPr>
          <w:rFonts w:hint="cs"/>
          <w:sz w:val="24"/>
          <w:szCs w:val="24"/>
          <w:rtl/>
        </w:rPr>
        <w:t xml:space="preserve">} </w:t>
      </w:r>
      <w:r w:rsidRPr="00A52585">
        <w:rPr>
          <w:rFonts w:hint="cs"/>
          <w:sz w:val="24"/>
          <w:szCs w:val="24"/>
          <w:rtl/>
        </w:rPr>
        <w:t>هود 108</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الخامس</w:t>
      </w:r>
      <w:r w:rsidR="0002035C" w:rsidRPr="00A52585">
        <w:rPr>
          <w:rFonts w:hint="cs"/>
          <w:sz w:val="24"/>
          <w:szCs w:val="24"/>
          <w:rtl/>
        </w:rPr>
        <w:t>):</w:t>
      </w:r>
      <w:r w:rsidRPr="00A52585">
        <w:rPr>
          <w:rFonts w:hint="cs"/>
          <w:sz w:val="24"/>
          <w:szCs w:val="24"/>
          <w:rtl/>
        </w:rPr>
        <w:t xml:space="preserve"> أن الجنة يمكن أن يدخلها من لم يعمل خيرا بمحض فضل الله وكرمه وأما النار فلا يعذب أحد إلا بذنوبه وهذا الفرق لا يدل على فناء النار</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السادس</w:t>
      </w:r>
      <w:r w:rsidR="0002035C" w:rsidRPr="00A52585">
        <w:rPr>
          <w:rFonts w:hint="cs"/>
          <w:sz w:val="24"/>
          <w:szCs w:val="24"/>
          <w:rtl/>
        </w:rPr>
        <w:t>):</w:t>
      </w:r>
      <w:r w:rsidRPr="00A52585">
        <w:rPr>
          <w:rFonts w:hint="cs"/>
          <w:sz w:val="24"/>
          <w:szCs w:val="24"/>
          <w:rtl/>
        </w:rPr>
        <w:t xml:space="preserve"> أن النعيم من موجب أسمائه فيجب دوامه بدوام معاني هذه الأسماء والصفات أما العذاب فهو مخلوق والمخلوق يمكن أن يكون له انتهاء وقد رد عليه الإمام السبكي بقوله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ومن أسمائه تعالى شديد العقاب والجبار والقهار والمذل والمنتقم فيجب دوامه بدوام ذاته وأسمائه أيضاً) أهـ الاعتبار ص 81</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السابع</w:t>
      </w:r>
      <w:r w:rsidR="0002035C" w:rsidRPr="00A52585">
        <w:rPr>
          <w:rFonts w:hint="cs"/>
          <w:sz w:val="24"/>
          <w:szCs w:val="24"/>
          <w:rtl/>
        </w:rPr>
        <w:t>):</w:t>
      </w:r>
      <w:r w:rsidRPr="00A52585">
        <w:rPr>
          <w:rFonts w:hint="cs"/>
          <w:sz w:val="24"/>
          <w:szCs w:val="24"/>
          <w:rtl/>
        </w:rPr>
        <w:t xml:space="preserve"> أنَّ الله قد أخبر أن رحمته وسعت كل شيء ولو قدر عذاب لا آخر له لم يكن هناك رحمة </w:t>
      </w:r>
      <w:proofErr w:type="spellStart"/>
      <w:r w:rsidRPr="00A52585">
        <w:rPr>
          <w:rFonts w:hint="cs"/>
          <w:sz w:val="24"/>
          <w:szCs w:val="24"/>
          <w:rtl/>
        </w:rPr>
        <w:t>ألبتة</w:t>
      </w:r>
      <w:proofErr w:type="spellEnd"/>
      <w:r w:rsidRPr="00A52585">
        <w:rPr>
          <w:rFonts w:hint="cs"/>
          <w:sz w:val="24"/>
          <w:szCs w:val="24"/>
          <w:rtl/>
        </w:rPr>
        <w:t xml:space="preserve"> ونقول له بل هناك الجنة ونعيمها وهي محل الرحمة والرضوان أما إذا أراد أن تشمل الرحمة أهل النار فمن قال قبله أو بعده أن النار هي محل رحمة الله بل هي محل السخط والعذاب فقط ألم يقرأ قول الله </w:t>
      </w:r>
      <w:r w:rsidR="0002035C" w:rsidRPr="00A52585">
        <w:rPr>
          <w:rFonts w:hint="cs"/>
          <w:sz w:val="24"/>
          <w:szCs w:val="24"/>
          <w:rtl/>
        </w:rPr>
        <w:t>{</w:t>
      </w:r>
      <w:r w:rsidRPr="00A52585">
        <w:rPr>
          <w:sz w:val="24"/>
          <w:szCs w:val="24"/>
        </w:rPr>
        <w:t>…</w:t>
      </w:r>
      <w:r w:rsidRPr="00A52585">
        <w:rPr>
          <w:rFonts w:hint="cs"/>
          <w:sz w:val="24"/>
          <w:szCs w:val="24"/>
          <w:rtl/>
        </w:rPr>
        <w:t xml:space="preserve"> ورحمتي وسعت كل شيء فسأكتبها للذين يتقون ويؤتون الزكاة والذين هم بآياتنا يؤمنون</w:t>
      </w:r>
      <w:r w:rsidR="0002035C" w:rsidRPr="00A52585">
        <w:rPr>
          <w:rFonts w:hint="cs"/>
          <w:sz w:val="24"/>
          <w:szCs w:val="24"/>
          <w:rtl/>
        </w:rPr>
        <w:t>}</w:t>
      </w:r>
      <w:r w:rsidRPr="00A52585">
        <w:rPr>
          <w:rFonts w:hint="cs"/>
          <w:sz w:val="24"/>
          <w:szCs w:val="24"/>
          <w:rtl/>
        </w:rPr>
        <w:t xml:space="preserve"> الأعراف</w:t>
      </w:r>
      <w:r w:rsidR="0002035C" w:rsidRPr="00A52585">
        <w:rPr>
          <w:rFonts w:hint="cs"/>
          <w:sz w:val="24"/>
          <w:szCs w:val="24"/>
          <w:rtl/>
        </w:rPr>
        <w:t xml:space="preserve"> </w:t>
      </w:r>
      <w:r w:rsidRPr="00A52585">
        <w:rPr>
          <w:rFonts w:hint="cs"/>
          <w:sz w:val="24"/>
          <w:szCs w:val="24"/>
          <w:rtl/>
        </w:rPr>
        <w:t>156 فبينت الآية – وهي نفسها التي استدل بها ابن تيمية وتلميذه – أن الرحمة مقصورة على المؤمنين دون الكافرين</w:t>
      </w:r>
      <w:r w:rsidR="00F95886" w:rsidRPr="00A52585">
        <w:rPr>
          <w:rFonts w:hint="cs"/>
          <w:sz w:val="24"/>
          <w:szCs w:val="24"/>
          <w:rtl/>
        </w:rPr>
        <w:t>؟</w:t>
      </w:r>
      <w:r w:rsidR="0002035C" w:rsidRPr="00A52585">
        <w:rPr>
          <w:rFonts w:hint="cs"/>
          <w:sz w:val="24"/>
          <w:szCs w:val="24"/>
          <w:rtl/>
        </w:rPr>
        <w:t>)</w:t>
      </w:r>
      <w:r w:rsidRPr="00A52585">
        <w:rPr>
          <w:rFonts w:hint="cs"/>
          <w:sz w:val="24"/>
          <w:szCs w:val="24"/>
          <w:rtl/>
        </w:rPr>
        <w:t xml:space="preserve"> أهـ</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الثامن</w:t>
      </w:r>
      <w:r w:rsidR="0002035C" w:rsidRPr="00A52585">
        <w:rPr>
          <w:rFonts w:hint="cs"/>
          <w:sz w:val="24"/>
          <w:szCs w:val="24"/>
          <w:rtl/>
        </w:rPr>
        <w:t>):</w:t>
      </w:r>
      <w:r w:rsidRPr="00A52585">
        <w:rPr>
          <w:rFonts w:hint="cs"/>
          <w:sz w:val="24"/>
          <w:szCs w:val="24"/>
          <w:rtl/>
        </w:rPr>
        <w:t xml:space="preserve"> أن الله حكيم يخلق لحكمة، وخلق نفوس تعمل الشر في الدنيا لا تلقى إلا العذاب في الآخرة فيه مناقضة لهذه الحكمة وقد رد الإمام السبكي على هذا بقوله</w:t>
      </w:r>
      <w:r w:rsidR="0002035C" w:rsidRPr="00A52585">
        <w:rPr>
          <w:rFonts w:hint="cs"/>
          <w:sz w:val="24"/>
          <w:szCs w:val="24"/>
          <w:rtl/>
        </w:rPr>
        <w:t xml:space="preserve"> </w:t>
      </w:r>
      <w:r w:rsidRPr="00A52585">
        <w:rPr>
          <w:rFonts w:hint="cs"/>
          <w:sz w:val="24"/>
          <w:szCs w:val="24"/>
          <w:rtl/>
        </w:rPr>
        <w:t xml:space="preserve">" فإن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ما في خلق هؤلاء من الحكمة</w:t>
      </w:r>
      <w:r w:rsidR="00F95886"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إظهار القدرة واعتبار المؤمنين وفكرتهم في عظمة الله تعالى القادر على أن يخلق الملائكة والبشر الصالحين والأنبياء ومحمداً صلى الله عليه وسلم</w:t>
      </w:r>
      <w:r w:rsidR="0002035C" w:rsidRPr="00A52585">
        <w:rPr>
          <w:rFonts w:hint="cs"/>
          <w:sz w:val="24"/>
          <w:szCs w:val="24"/>
          <w:rtl/>
        </w:rPr>
        <w:t xml:space="preserve"> </w:t>
      </w:r>
      <w:r w:rsidRPr="00A52585">
        <w:rPr>
          <w:rFonts w:hint="cs"/>
          <w:sz w:val="24"/>
          <w:szCs w:val="24"/>
          <w:rtl/>
        </w:rPr>
        <w:t xml:space="preserve">سيد الخلق، وعلى أن يخلق من الطرف الآخر فرعون وهامان وأبا جهل وشياطين الجن والإنس وإبليس رأس الضلال، والقادر على خلق دارين </w:t>
      </w:r>
      <w:proofErr w:type="spellStart"/>
      <w:r w:rsidRPr="00A52585">
        <w:rPr>
          <w:rFonts w:hint="cs"/>
          <w:sz w:val="24"/>
          <w:szCs w:val="24"/>
          <w:rtl/>
        </w:rPr>
        <w:t>متمحضة</w:t>
      </w:r>
      <w:proofErr w:type="spellEnd"/>
      <w:r w:rsidRPr="00A52585">
        <w:rPr>
          <w:rFonts w:hint="cs"/>
          <w:sz w:val="24"/>
          <w:szCs w:val="24"/>
          <w:rtl/>
        </w:rPr>
        <w:t xml:space="preserve"> كل واحدة منهما</w:t>
      </w:r>
      <w:r w:rsidR="0002035C" w:rsidRPr="00A52585">
        <w:rPr>
          <w:rFonts w:hint="cs"/>
          <w:sz w:val="24"/>
          <w:szCs w:val="24"/>
          <w:rtl/>
        </w:rPr>
        <w:t>:</w:t>
      </w:r>
      <w:r w:rsidRPr="00A52585">
        <w:rPr>
          <w:rFonts w:hint="cs"/>
          <w:sz w:val="24"/>
          <w:szCs w:val="24"/>
          <w:rtl/>
        </w:rPr>
        <w:t xml:space="preserve"> هذه للنعيم المقيم وهذه للعذاب الأليم، ودار ثالثة وهي الدنيا ممتزجة من النوعين</w:t>
      </w:r>
      <w:r w:rsidR="00DB731D" w:rsidRPr="00A52585">
        <w:rPr>
          <w:rFonts w:hint="cs"/>
          <w:sz w:val="24"/>
          <w:szCs w:val="24"/>
          <w:rtl/>
        </w:rPr>
        <w:t>،</w:t>
      </w:r>
      <w:r w:rsidRPr="00A52585">
        <w:rPr>
          <w:rFonts w:hint="cs"/>
          <w:sz w:val="24"/>
          <w:szCs w:val="24"/>
          <w:rtl/>
        </w:rPr>
        <w:t xml:space="preserve"> فسبحان من هذه قدرته وجلت عظمته وكان الله سبحانه قادراً على أن يخلق الناس كلهم مؤمنين طائعين ولكن أراد سبحانه أن يبين الشيء وضده، علمه من علمـه وجهـله مــن جـهله</w:t>
      </w:r>
      <w:r w:rsidR="00DB731D" w:rsidRPr="00A52585">
        <w:rPr>
          <w:rFonts w:hint="cs"/>
          <w:sz w:val="24"/>
          <w:szCs w:val="24"/>
          <w:rtl/>
        </w:rPr>
        <w:t>،</w:t>
      </w:r>
      <w:r w:rsidRPr="00A52585">
        <w:rPr>
          <w:rFonts w:hint="cs"/>
          <w:sz w:val="24"/>
          <w:szCs w:val="24"/>
          <w:rtl/>
        </w:rPr>
        <w:t xml:space="preserve"> والعلم منشأ السعادة كلها نشأ عنه الإيمان والطاعة والجهل منشأ الشقاوة كلها نشأ عنه الكفر والمعصية، وما رأيت مفسدة من أمور الدنيا تنشأ إلا عن الجهل فهو أضر الأشياء</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أهـ الاعتبار ص 88 وبعد أن بينا بطلان اعتماد ابن تيمية على الأحاديث الواهية المظلمة في دعوى فناء النار وبطلان محاولته التفرقة بين بقاء الجنة وبقاء النار يجب أن نبين خطورة هذا القول فإن كل من نقل من أهل العلم البدع التي كفر بها (جهم بن صفوان) عدَّ منها قوله</w:t>
      </w:r>
      <w:r w:rsidR="0002035C" w:rsidRPr="00A52585">
        <w:rPr>
          <w:rFonts w:hint="cs"/>
          <w:sz w:val="24"/>
          <w:szCs w:val="24"/>
          <w:rtl/>
        </w:rPr>
        <w:t xml:space="preserve"> </w:t>
      </w:r>
      <w:r w:rsidRPr="00A52585">
        <w:rPr>
          <w:rFonts w:hint="cs"/>
          <w:sz w:val="24"/>
          <w:szCs w:val="24"/>
          <w:rtl/>
        </w:rPr>
        <w:t xml:space="preserve">بفناء النار ولم </w:t>
      </w:r>
      <w:proofErr w:type="spellStart"/>
      <w:r w:rsidRPr="00A52585">
        <w:rPr>
          <w:rFonts w:hint="cs"/>
          <w:sz w:val="24"/>
          <w:szCs w:val="24"/>
          <w:rtl/>
        </w:rPr>
        <w:t>يستنثه</w:t>
      </w:r>
      <w:proofErr w:type="spellEnd"/>
      <w:r w:rsidRPr="00A52585">
        <w:rPr>
          <w:rFonts w:hint="cs"/>
          <w:sz w:val="24"/>
          <w:szCs w:val="24"/>
          <w:rtl/>
        </w:rPr>
        <w:t xml:space="preserve"> كما ذكر شيخنا سلامة </w:t>
      </w:r>
      <w:proofErr w:type="spellStart"/>
      <w:r w:rsidRPr="00A52585">
        <w:rPr>
          <w:rFonts w:hint="cs"/>
          <w:sz w:val="24"/>
          <w:szCs w:val="24"/>
          <w:rtl/>
        </w:rPr>
        <w:t>العزامي</w:t>
      </w:r>
      <w:proofErr w:type="spellEnd"/>
      <w:r w:rsidR="0002035C" w:rsidRPr="00A52585">
        <w:rPr>
          <w:rFonts w:hint="cs"/>
          <w:sz w:val="24"/>
          <w:szCs w:val="24"/>
          <w:rtl/>
        </w:rPr>
        <w:t xml:space="preserve"> </w:t>
      </w:r>
      <w:r w:rsidRPr="00A52585">
        <w:rPr>
          <w:rFonts w:hint="cs"/>
          <w:sz w:val="24"/>
          <w:szCs w:val="24"/>
          <w:rtl/>
        </w:rPr>
        <w:t xml:space="preserve">قال الإمام عضد الدين </w:t>
      </w:r>
      <w:proofErr w:type="spellStart"/>
      <w:r w:rsidRPr="00A52585">
        <w:rPr>
          <w:rFonts w:hint="cs"/>
          <w:sz w:val="24"/>
          <w:szCs w:val="24"/>
          <w:rtl/>
        </w:rPr>
        <w:t>الإيجي</w:t>
      </w:r>
      <w:proofErr w:type="spellEnd"/>
      <w:r w:rsidRPr="00A52585">
        <w:rPr>
          <w:rFonts w:hint="cs"/>
          <w:sz w:val="24"/>
          <w:szCs w:val="24"/>
          <w:rtl/>
        </w:rPr>
        <w:t xml:space="preserve"> في كتابه (المواقف)</w:t>
      </w:r>
      <w:r w:rsidR="0002035C" w:rsidRPr="00A52585">
        <w:rPr>
          <w:rFonts w:hint="cs"/>
          <w:sz w:val="24"/>
          <w:szCs w:val="24"/>
          <w:rtl/>
        </w:rPr>
        <w:t xml:space="preserve">: </w:t>
      </w:r>
      <w:r w:rsidRPr="00A52585">
        <w:rPr>
          <w:rFonts w:hint="cs"/>
          <w:sz w:val="24"/>
          <w:szCs w:val="24"/>
          <w:rtl/>
        </w:rPr>
        <w:t>"أجمع المسلمون على أن الكفار مخلدون في النار أبداً لا ينقطع عذابهم وأنكره طائفة خارجة عن الملة الإسلامية"</w:t>
      </w:r>
      <w:r w:rsidR="0002035C" w:rsidRPr="00A52585">
        <w:rPr>
          <w:rFonts w:hint="cs"/>
          <w:sz w:val="24"/>
          <w:szCs w:val="24"/>
          <w:rtl/>
        </w:rPr>
        <w:t xml:space="preserve"> </w:t>
      </w:r>
      <w:r w:rsidRPr="00A52585">
        <w:rPr>
          <w:rFonts w:hint="cs"/>
          <w:sz w:val="24"/>
          <w:szCs w:val="24"/>
          <w:rtl/>
        </w:rPr>
        <w:t>ثم ذكر بعض الشبه وردها ونقل عن بعض المعتزلة</w:t>
      </w:r>
      <w:r w:rsidR="0002035C" w:rsidRPr="00A52585">
        <w:rPr>
          <w:rFonts w:hint="cs"/>
          <w:sz w:val="24"/>
          <w:szCs w:val="24"/>
          <w:rtl/>
        </w:rPr>
        <w:t xml:space="preserve"> </w:t>
      </w:r>
      <w:r w:rsidRPr="00A52585">
        <w:rPr>
          <w:rFonts w:hint="cs"/>
          <w:sz w:val="24"/>
          <w:szCs w:val="24"/>
          <w:rtl/>
        </w:rPr>
        <w:t>تخصيص العذاب المؤبد بالكافر المعاند فقط ورد على هذه الشبهة ثم قال</w:t>
      </w:r>
      <w:r w:rsidR="0002035C" w:rsidRPr="00A52585">
        <w:rPr>
          <w:rFonts w:hint="cs"/>
          <w:sz w:val="24"/>
          <w:szCs w:val="24"/>
          <w:rtl/>
        </w:rPr>
        <w:t xml:space="preserve"> </w:t>
      </w:r>
      <w:r w:rsidRPr="00A52585">
        <w:rPr>
          <w:rFonts w:hint="cs"/>
          <w:sz w:val="24"/>
          <w:szCs w:val="24"/>
          <w:rtl/>
        </w:rPr>
        <w:t>"واعلم أن الكتاب والسنة والإجماع يبطل ذلك"</w:t>
      </w:r>
      <w:r w:rsidR="0002035C" w:rsidRPr="00A52585">
        <w:rPr>
          <w:rFonts w:hint="cs"/>
          <w:sz w:val="24"/>
          <w:szCs w:val="24"/>
          <w:rtl/>
        </w:rPr>
        <w:t xml:space="preserve"> </w:t>
      </w:r>
      <w:r w:rsidRPr="00A52585">
        <w:rPr>
          <w:rFonts w:hint="cs"/>
          <w:sz w:val="24"/>
          <w:szCs w:val="24"/>
          <w:rtl/>
        </w:rPr>
        <w:t>قال في شرحه السيد الشريف الجرجاني</w:t>
      </w:r>
      <w:r w:rsidR="0002035C" w:rsidRPr="00A52585">
        <w:rPr>
          <w:rFonts w:hint="cs"/>
          <w:sz w:val="24"/>
          <w:szCs w:val="24"/>
          <w:rtl/>
        </w:rPr>
        <w:t xml:space="preserve"> </w:t>
      </w:r>
      <w:r w:rsidRPr="00A52585">
        <w:rPr>
          <w:rFonts w:hint="cs"/>
          <w:sz w:val="24"/>
          <w:szCs w:val="24"/>
          <w:rtl/>
        </w:rPr>
        <w:t xml:space="preserve">"بل نقول </w:t>
      </w:r>
      <w:r w:rsidRPr="00A52585">
        <w:rPr>
          <w:rFonts w:hint="cs"/>
          <w:spacing w:val="-8"/>
          <w:sz w:val="24"/>
          <w:szCs w:val="24"/>
          <w:rtl/>
        </w:rPr>
        <w:t>هو مخالف لما علم من الدين</w:t>
      </w:r>
      <w:r w:rsidRPr="00A52585">
        <w:rPr>
          <w:rFonts w:hint="cs"/>
          <w:sz w:val="24"/>
          <w:szCs w:val="24"/>
          <w:rtl/>
        </w:rPr>
        <w:t xml:space="preserve"> بالضرورة"</w:t>
      </w:r>
      <w:r w:rsidR="0002035C" w:rsidRPr="00A52585">
        <w:rPr>
          <w:rFonts w:hint="cs"/>
          <w:sz w:val="24"/>
          <w:szCs w:val="24"/>
          <w:rtl/>
        </w:rPr>
        <w:t xml:space="preserve"> </w:t>
      </w:r>
      <w:r w:rsidRPr="00A52585">
        <w:rPr>
          <w:rFonts w:hint="cs"/>
          <w:sz w:val="24"/>
          <w:szCs w:val="24"/>
          <w:rtl/>
        </w:rPr>
        <w:t xml:space="preserve">أهـ </w:t>
      </w:r>
      <w:r w:rsidRPr="00A52585">
        <w:rPr>
          <w:rFonts w:hint="cs"/>
          <w:spacing w:val="-8"/>
          <w:sz w:val="24"/>
          <w:szCs w:val="24"/>
          <w:rtl/>
        </w:rPr>
        <w:t xml:space="preserve">مرصد المعاد </w:t>
      </w:r>
      <w:r w:rsidRPr="00A52585">
        <w:rPr>
          <w:rFonts w:hint="cs"/>
          <w:sz w:val="24"/>
          <w:szCs w:val="24"/>
          <w:rtl/>
        </w:rPr>
        <w:t>المقصد السادس</w:t>
      </w:r>
      <w:r w:rsidR="00DB731D" w:rsidRPr="00A52585">
        <w:rPr>
          <w:rFonts w:hint="cs"/>
          <w:sz w:val="24"/>
          <w:szCs w:val="24"/>
          <w:rtl/>
        </w:rPr>
        <w:t>،</w:t>
      </w:r>
      <w:r w:rsidRPr="00A52585">
        <w:rPr>
          <w:rFonts w:hint="cs"/>
          <w:sz w:val="24"/>
          <w:szCs w:val="24"/>
          <w:rtl/>
        </w:rPr>
        <w:t xml:space="preserve"> وتكفير القائل بفناء الجنة والنار أو أحدهما قائم على رفض تأويل الآيات الدالة على بقائهما لسببين</w:t>
      </w:r>
      <w:r w:rsidR="0002035C"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الأول</w:t>
      </w:r>
      <w:r w:rsidR="0002035C" w:rsidRPr="00A52585">
        <w:rPr>
          <w:rFonts w:hint="cs"/>
          <w:sz w:val="24"/>
          <w:szCs w:val="24"/>
          <w:rtl/>
        </w:rPr>
        <w:t>):</w:t>
      </w:r>
      <w:r w:rsidRPr="00A52585">
        <w:rPr>
          <w:rFonts w:hint="cs"/>
          <w:sz w:val="24"/>
          <w:szCs w:val="24"/>
          <w:rtl/>
        </w:rPr>
        <w:t xml:space="preserve"> أن الكثير جداً من هذه الآيات قطعي الدلالة لا يحتمل إلا معنى واحداً</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الثاني</w:t>
      </w:r>
      <w:r w:rsidR="0002035C" w:rsidRPr="00A52585">
        <w:rPr>
          <w:rFonts w:hint="cs"/>
          <w:sz w:val="24"/>
          <w:szCs w:val="24"/>
          <w:rtl/>
        </w:rPr>
        <w:t>):</w:t>
      </w:r>
      <w:r w:rsidRPr="00A52585">
        <w:rPr>
          <w:rFonts w:hint="cs"/>
          <w:sz w:val="24"/>
          <w:szCs w:val="24"/>
          <w:rtl/>
        </w:rPr>
        <w:t xml:space="preserve"> أن هذه الآيات كثيرة ومتواترة زادت على المائة آية وهذه الكثرة والتكرار المؤكد لمعناها يمنع تماماً أية محاولة لصرف معاني هذه الآيات عن ظاهرها الواضح الذي لا يحتمل المخالفة لذا فقد اعتبر أئمة الإسلام تأويل هذه الآيات قولا ساقطاً لا يلتفت إليه وعدّوا القول بفناء الجنة أو النار تكذيبا للقرآن وللسنة أيضاً</w:t>
      </w:r>
      <w:r w:rsidR="00DB731D" w:rsidRPr="00A52585">
        <w:rPr>
          <w:rFonts w:hint="cs"/>
          <w:sz w:val="24"/>
          <w:szCs w:val="24"/>
          <w:rtl/>
        </w:rPr>
        <w:t>،</w:t>
      </w:r>
      <w:r w:rsidRPr="00A52585">
        <w:rPr>
          <w:rFonts w:hint="cs"/>
          <w:sz w:val="24"/>
          <w:szCs w:val="24"/>
          <w:rtl/>
        </w:rPr>
        <w:t xml:space="preserve"> ذكر الإمام السبكي في كتابه (الاعتبار) ادعاء ابن القيم أنه بعد فناء النار لابد وأن ينتقل أهلها جميعاً إلى الجنة حيث لم يبق غيرها فيتمتعوا فيها باللذة والنعيم المقيم </w:t>
      </w:r>
      <w:r w:rsidRPr="00A52585">
        <w:rPr>
          <w:rFonts w:hint="cs"/>
          <w:sz w:val="24"/>
          <w:szCs w:val="24"/>
          <w:rtl/>
        </w:rPr>
        <w:lastRenderedPageBreak/>
        <w:t xml:space="preserve">ونسى قوله تعالى في الكافرين </w:t>
      </w:r>
      <w:r w:rsidR="0002035C" w:rsidRPr="00A52585">
        <w:rPr>
          <w:rFonts w:hint="cs"/>
          <w:sz w:val="24"/>
          <w:szCs w:val="24"/>
          <w:rtl/>
        </w:rPr>
        <w:t>{</w:t>
      </w:r>
      <w:proofErr w:type="spellStart"/>
      <w:r w:rsidRPr="00A52585">
        <w:rPr>
          <w:rFonts w:hint="cs"/>
          <w:sz w:val="24"/>
          <w:szCs w:val="24"/>
          <w:rtl/>
        </w:rPr>
        <w:t>أولائك</w:t>
      </w:r>
      <w:proofErr w:type="spellEnd"/>
      <w:r w:rsidRPr="00A52585">
        <w:rPr>
          <w:rFonts w:hint="cs"/>
          <w:sz w:val="24"/>
          <w:szCs w:val="24"/>
          <w:rtl/>
        </w:rPr>
        <w:t xml:space="preserve"> الذين ليس لهم في الآخرة إلا النار} وغير ذلك من الآيات القاطعة بنفس المعنى – ثم قال</w:t>
      </w:r>
      <w:r w:rsidR="0002035C" w:rsidRPr="00A52585">
        <w:rPr>
          <w:rFonts w:hint="cs"/>
          <w:sz w:val="24"/>
          <w:szCs w:val="24"/>
          <w:rtl/>
        </w:rPr>
        <w:t xml:space="preserve"> </w:t>
      </w:r>
      <w:r w:rsidRPr="00A52585">
        <w:rPr>
          <w:rFonts w:hint="cs"/>
          <w:sz w:val="24"/>
          <w:szCs w:val="24"/>
          <w:rtl/>
        </w:rPr>
        <w:t xml:space="preserve">" قلت قد صرح بما صرح به في آخر كلامه فيقتضي أن إبليس وفرعون وهامان وسائر الكفار يصيرون إلى النعيم المقيم واللذة الدائمة، وهذا ما قال به مسلم ولا نصراني ولا يهودي ولا مشرك ولا فيلسوف أما المسلمون فيعتقدون دوام الجنة والنار وأما المشرك فيعتقد عدم البعث وأما الفيلسوف فيعتقد </w:t>
      </w:r>
      <w:r w:rsidRPr="00A52585">
        <w:rPr>
          <w:rFonts w:hint="cs"/>
          <w:spacing w:val="-4"/>
          <w:sz w:val="24"/>
          <w:szCs w:val="24"/>
          <w:rtl/>
        </w:rPr>
        <w:t xml:space="preserve">أن النفوس الشريرة في ألم فهذا القول الذي قاله هذا الرجل ما نعرف أحداً قاله وهو خروج عن الإسلام بمقتضى العلم إجمالا ولا أكفر أحداً معيناً من أهل القبلة بلساني ولا بقلبي ولا بقلمي إلا أن يعتقد </w:t>
      </w:r>
      <w:proofErr w:type="spellStart"/>
      <w:r w:rsidRPr="00A52585">
        <w:rPr>
          <w:rFonts w:hint="cs"/>
          <w:spacing w:val="-4"/>
          <w:sz w:val="24"/>
          <w:szCs w:val="24"/>
          <w:rtl/>
        </w:rPr>
        <w:t>مشاققة</w:t>
      </w:r>
      <w:proofErr w:type="spellEnd"/>
      <w:r w:rsidRPr="00A52585">
        <w:rPr>
          <w:rFonts w:hint="cs"/>
          <w:sz w:val="24"/>
          <w:szCs w:val="24"/>
          <w:rtl/>
        </w:rPr>
        <w:t xml:space="preserve"> الرسول صلى الله عليه وسلم فهذا ضابط التكفير عندي"</w:t>
      </w:r>
      <w:r w:rsidR="0002035C" w:rsidRPr="00A52585">
        <w:rPr>
          <w:rFonts w:hint="cs"/>
          <w:sz w:val="24"/>
          <w:szCs w:val="24"/>
          <w:rtl/>
        </w:rPr>
        <w:t xml:space="preserve"> </w:t>
      </w:r>
      <w:r w:rsidRPr="00A52585">
        <w:rPr>
          <w:rFonts w:hint="cs"/>
          <w:sz w:val="24"/>
          <w:szCs w:val="24"/>
          <w:rtl/>
        </w:rPr>
        <w:t>أهـ ص85</w:t>
      </w:r>
      <w:r w:rsidR="00DB731D" w:rsidRPr="00A52585">
        <w:rPr>
          <w:rFonts w:hint="cs"/>
          <w:sz w:val="24"/>
          <w:szCs w:val="24"/>
          <w:rtl/>
        </w:rPr>
        <w:t>،</w:t>
      </w:r>
      <w:r w:rsidRPr="00A52585">
        <w:rPr>
          <w:rFonts w:hint="cs"/>
          <w:sz w:val="24"/>
          <w:szCs w:val="24"/>
          <w:rtl/>
        </w:rPr>
        <w:t xml:space="preserve"> وهناك نقطة مهمة ينبغي إثباتها وهي أن ابن القيم صرح في كتابه (الوابل) بعدم فناء النار التي يعذب بها الكفار وصرح أيضاً بأن الجنة لا يدخلها نفس مشركة وإنما يدخلها أهل التوحيد فقط قال الشيخ سلامة </w:t>
      </w:r>
      <w:proofErr w:type="spellStart"/>
      <w:r w:rsidRPr="00A52585">
        <w:rPr>
          <w:rFonts w:hint="cs"/>
          <w:sz w:val="24"/>
          <w:szCs w:val="24"/>
          <w:rtl/>
        </w:rPr>
        <w:t>العزامي</w:t>
      </w:r>
      <w:proofErr w:type="spellEnd"/>
      <w:r w:rsidRPr="00A52585">
        <w:rPr>
          <w:rFonts w:hint="cs"/>
          <w:sz w:val="24"/>
          <w:szCs w:val="24"/>
          <w:rtl/>
        </w:rPr>
        <w:t xml:space="preserve"> بعد أن أشار إلى هذه العبارات</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وعسى أن يكون ذلك وقع له في آخر أمره فرجع به عن باطل هذه البدعة "</w:t>
      </w:r>
      <w:r w:rsidR="0002035C" w:rsidRPr="00A52585">
        <w:rPr>
          <w:rFonts w:hint="cs"/>
          <w:sz w:val="24"/>
          <w:szCs w:val="24"/>
          <w:rtl/>
        </w:rPr>
        <w:t xml:space="preserve"> </w:t>
      </w:r>
      <w:r w:rsidRPr="00A52585">
        <w:rPr>
          <w:rFonts w:hint="cs"/>
          <w:sz w:val="24"/>
          <w:szCs w:val="24"/>
          <w:rtl/>
        </w:rPr>
        <w:t>أهـ ص 300 البراهين الساطعة</w:t>
      </w:r>
      <w:r w:rsidR="0002035C" w:rsidRPr="00A52585">
        <w:rPr>
          <w:rFonts w:hint="cs"/>
          <w:sz w:val="24"/>
          <w:szCs w:val="24"/>
          <w:rtl/>
        </w:rPr>
        <w:t>]</w:t>
      </w:r>
      <w:r w:rsidR="00DB731D" w:rsidRPr="00A52585">
        <w:rPr>
          <w:rFonts w:hint="cs"/>
          <w:rtl/>
        </w:rPr>
        <w:t>،</w:t>
      </w:r>
      <w:r w:rsidRPr="00A52585">
        <w:rPr>
          <w:rFonts w:hint="cs"/>
          <w:rtl/>
        </w:rPr>
        <w:t xml:space="preserve"> وأما السنة فطافحة بذلك وتدل على إخراج المؤمنين دون غيرهم (</w:t>
      </w:r>
      <w:r w:rsidR="0002035C" w:rsidRPr="00A52585">
        <w:rPr>
          <w:rFonts w:hint="cs"/>
          <w:rtl/>
        </w:rPr>
        <w:t>(</w:t>
      </w:r>
      <w:r w:rsidRPr="00A52585">
        <w:rPr>
          <w:rFonts w:hint="cs"/>
          <w:rtl/>
        </w:rPr>
        <w:t>حتى يخرج من في قلبه مثقال ذرة من الإيمان</w:t>
      </w:r>
      <w:r w:rsidR="0002035C" w:rsidRPr="00A52585">
        <w:rPr>
          <w:rFonts w:hint="cs"/>
          <w:rtl/>
        </w:rPr>
        <w:t>)</w:t>
      </w:r>
      <w:r w:rsidRPr="00A52585">
        <w:rPr>
          <w:rFonts w:hint="cs"/>
          <w:rtl/>
        </w:rPr>
        <w:t>) وفي رواية (</w:t>
      </w:r>
      <w:r w:rsidR="0002035C" w:rsidRPr="00A52585">
        <w:rPr>
          <w:rFonts w:hint="cs"/>
          <w:rtl/>
        </w:rPr>
        <w:t>(</w:t>
      </w:r>
      <w:r w:rsidRPr="00A52585">
        <w:rPr>
          <w:rFonts w:hint="cs"/>
          <w:rtl/>
        </w:rPr>
        <w:t>مثقال ذرة من خير. فأقول</w:t>
      </w:r>
      <w:r w:rsidR="0002035C" w:rsidRPr="00A52585">
        <w:rPr>
          <w:rFonts w:hint="cs"/>
          <w:rtl/>
        </w:rPr>
        <w:t>:</w:t>
      </w:r>
      <w:r w:rsidRPr="00A52585">
        <w:rPr>
          <w:rFonts w:hint="cs"/>
          <w:rtl/>
        </w:rPr>
        <w:t xml:space="preserve"> يا رب ما بقى في النار إلا من حبسه القرآن أي وجب عليه الخلود. قال الله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لهم فيها دار الخلد</w:t>
      </w:r>
      <w:r w:rsidR="0002035C" w:rsidRPr="00A52585">
        <w:rPr>
          <w:rFonts w:hint="cs"/>
          <w:rtl/>
        </w:rPr>
        <w:t>})</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روى البخاري في صحيحه في كتاب التفسير في سورة البقرة آية</w:t>
      </w:r>
      <w:r w:rsidR="0002035C" w:rsidRPr="00A52585">
        <w:rPr>
          <w:rFonts w:hint="cs"/>
          <w:sz w:val="24"/>
          <w:szCs w:val="24"/>
          <w:rtl/>
        </w:rPr>
        <w:t xml:space="preserve"> </w:t>
      </w:r>
      <w:r w:rsidRPr="00A52585">
        <w:rPr>
          <w:rFonts w:hint="cs"/>
          <w:sz w:val="24"/>
          <w:szCs w:val="24"/>
          <w:rtl/>
        </w:rPr>
        <w:t>" وعلم آدم الأسماء كلها "</w:t>
      </w:r>
      <w:r w:rsidR="0002035C" w:rsidRPr="00A52585">
        <w:rPr>
          <w:rFonts w:hint="cs"/>
          <w:sz w:val="24"/>
          <w:szCs w:val="24"/>
          <w:rtl/>
        </w:rPr>
        <w:t xml:space="preserve"> </w:t>
      </w:r>
      <w:r w:rsidRPr="00A52585">
        <w:rPr>
          <w:rFonts w:hint="cs"/>
          <w:sz w:val="24"/>
          <w:szCs w:val="24"/>
          <w:rtl/>
        </w:rPr>
        <w:t xml:space="preserve">حديث الشفاعة وإخراج المؤمنين من النار بألفاظ مقاربة لما ذكره الشيخ </w:t>
      </w:r>
      <w:proofErr w:type="spellStart"/>
      <w:r w:rsidRPr="00A52585">
        <w:rPr>
          <w:rFonts w:hint="cs"/>
          <w:sz w:val="24"/>
          <w:szCs w:val="24"/>
          <w:rtl/>
        </w:rPr>
        <w:t>الحصني</w:t>
      </w:r>
      <w:proofErr w:type="spellEnd"/>
      <w:r w:rsidRPr="00A52585">
        <w:rPr>
          <w:rFonts w:hint="cs"/>
          <w:sz w:val="24"/>
          <w:szCs w:val="24"/>
          <w:rtl/>
        </w:rPr>
        <w:t xml:space="preserve"> وفيه</w:t>
      </w:r>
      <w:r w:rsidR="0002035C" w:rsidRPr="00A52585">
        <w:rPr>
          <w:rFonts w:hint="cs"/>
          <w:sz w:val="24"/>
          <w:szCs w:val="24"/>
          <w:rtl/>
        </w:rPr>
        <w:t xml:space="preserve"> </w:t>
      </w:r>
      <w:r w:rsidRPr="00A52585">
        <w:rPr>
          <w:rFonts w:hint="cs"/>
          <w:sz w:val="24"/>
          <w:szCs w:val="24"/>
          <w:rtl/>
        </w:rPr>
        <w:t>"</w:t>
      </w:r>
      <w:r w:rsidR="0002035C" w:rsidRPr="00A52585">
        <w:rPr>
          <w:rFonts w:hint="cs"/>
          <w:sz w:val="24"/>
          <w:szCs w:val="24"/>
          <w:rtl/>
        </w:rPr>
        <w:t xml:space="preserve"> </w:t>
      </w:r>
      <w:r w:rsidRPr="00A52585">
        <w:rPr>
          <w:rFonts w:hint="cs"/>
          <w:sz w:val="24"/>
          <w:szCs w:val="24"/>
          <w:rtl/>
        </w:rPr>
        <w:t>ثم أشفع فيحد لي حداً فأدخلهم الجنة ثم أعود إليه فإذا رأيت ربي مثله ثم أشفع فيحد لي حداً فأدخلهم الجنة ثم أعود الرابعة فأقول ما بقى في النار إلا من حبسه القرآن ووجب عليه الخلود</w:t>
      </w:r>
      <w:r w:rsidR="00DB731D" w:rsidRPr="00A52585">
        <w:rPr>
          <w:rFonts w:hint="cs"/>
          <w:sz w:val="24"/>
          <w:szCs w:val="24"/>
          <w:rtl/>
        </w:rPr>
        <w:t>،</w:t>
      </w:r>
      <w:r w:rsidRPr="00A52585">
        <w:rPr>
          <w:rFonts w:hint="cs"/>
          <w:sz w:val="24"/>
          <w:szCs w:val="24"/>
          <w:rtl/>
        </w:rPr>
        <w:t xml:space="preserve"> قال أبو عبد الله</w:t>
      </w:r>
      <w:r w:rsidR="0002035C" w:rsidRPr="00A52585">
        <w:rPr>
          <w:rFonts w:hint="cs"/>
          <w:sz w:val="24"/>
          <w:szCs w:val="24"/>
          <w:rtl/>
        </w:rPr>
        <w:t>:</w:t>
      </w:r>
      <w:r w:rsidRPr="00A52585">
        <w:rPr>
          <w:rFonts w:hint="cs"/>
          <w:sz w:val="24"/>
          <w:szCs w:val="24"/>
          <w:rtl/>
        </w:rPr>
        <w:t xml:space="preserve"> إلا من حبسه القرآن يعني قول الله تعالى</w:t>
      </w:r>
      <w:r w:rsidR="0002035C" w:rsidRPr="00A52585">
        <w:rPr>
          <w:rFonts w:hint="cs"/>
          <w:sz w:val="24"/>
          <w:szCs w:val="24"/>
          <w:rtl/>
        </w:rPr>
        <w:t>: {</w:t>
      </w:r>
      <w:r w:rsidRPr="00A52585">
        <w:rPr>
          <w:rFonts w:hint="cs"/>
          <w:sz w:val="24"/>
          <w:szCs w:val="24"/>
          <w:rtl/>
        </w:rPr>
        <w:t>خالدين فيها</w:t>
      </w:r>
      <w:r w:rsidR="0002035C" w:rsidRPr="00A52585">
        <w:rPr>
          <w:rFonts w:hint="cs"/>
          <w:sz w:val="24"/>
          <w:szCs w:val="24"/>
          <w:rtl/>
        </w:rPr>
        <w:t>}</w:t>
      </w:r>
      <w:r w:rsidRPr="00A52585">
        <w:rPr>
          <w:rFonts w:hint="cs"/>
          <w:sz w:val="24"/>
          <w:szCs w:val="24"/>
          <w:rtl/>
        </w:rPr>
        <w:t xml:space="preserve"> أ هـ</w:t>
      </w:r>
      <w:r w:rsidR="00DB731D" w:rsidRPr="00A52585">
        <w:rPr>
          <w:rFonts w:hint="cs"/>
          <w:sz w:val="24"/>
          <w:szCs w:val="24"/>
          <w:rtl/>
        </w:rPr>
        <w:t>،</w:t>
      </w:r>
      <w:r w:rsidRPr="00A52585">
        <w:rPr>
          <w:rFonts w:hint="cs"/>
          <w:sz w:val="24"/>
          <w:szCs w:val="24"/>
          <w:rtl/>
        </w:rPr>
        <w:t xml:space="preserve"> والأحاديث التي تقطع بخلود الكفار وتأبيدهم في النار كثيرة منها</w:t>
      </w:r>
      <w:r w:rsidR="0002035C" w:rsidRPr="00A52585">
        <w:rPr>
          <w:rFonts w:hint="cs"/>
          <w:sz w:val="24"/>
          <w:szCs w:val="24"/>
          <w:rtl/>
        </w:rPr>
        <w:t>:</w:t>
      </w:r>
      <w:r w:rsidRPr="00A52585">
        <w:rPr>
          <w:rFonts w:hint="cs"/>
          <w:sz w:val="24"/>
          <w:szCs w:val="24"/>
          <w:rtl/>
        </w:rPr>
        <w:t xml:space="preserve"> ما رواه البخاري ومسلم واللفظ له عن أبي هريرة</w:t>
      </w:r>
      <w:r w:rsidR="0002035C" w:rsidRPr="00A52585">
        <w:rPr>
          <w:rFonts w:hint="cs"/>
          <w:sz w:val="24"/>
          <w:szCs w:val="24"/>
          <w:rtl/>
        </w:rPr>
        <w:t xml:space="preserve"> </w:t>
      </w:r>
      <w:r w:rsidRPr="00A52585">
        <w:rPr>
          <w:rFonts w:hint="cs"/>
          <w:sz w:val="24"/>
          <w:szCs w:val="24"/>
          <w:rtl/>
        </w:rPr>
        <w:t>رضي الله عنه قال</w:t>
      </w:r>
      <w:r w:rsidR="0002035C" w:rsidRPr="00A52585">
        <w:rPr>
          <w:rFonts w:hint="cs"/>
          <w:sz w:val="24"/>
          <w:szCs w:val="24"/>
          <w:rtl/>
        </w:rPr>
        <w:t>:</w:t>
      </w:r>
      <w:r w:rsidRPr="00A52585">
        <w:rPr>
          <w:rFonts w:hint="cs"/>
          <w:sz w:val="24"/>
          <w:szCs w:val="24"/>
          <w:rtl/>
        </w:rPr>
        <w:t xml:space="preserve"> " قال رسول الله صلى الله عليه وسلم</w:t>
      </w:r>
      <w:r w:rsidR="0002035C" w:rsidRPr="00A52585">
        <w:rPr>
          <w:rFonts w:hint="cs"/>
          <w:sz w:val="24"/>
          <w:szCs w:val="24"/>
          <w:rtl/>
        </w:rPr>
        <w:t xml:space="preserve">: </w:t>
      </w:r>
      <w:r w:rsidRPr="00A52585">
        <w:rPr>
          <w:rFonts w:hint="cs"/>
          <w:sz w:val="24"/>
          <w:szCs w:val="24"/>
          <w:rtl/>
        </w:rPr>
        <w:t xml:space="preserve">" من قتل نفسه بحديدة فحديدته في يده </w:t>
      </w:r>
      <w:proofErr w:type="spellStart"/>
      <w:r w:rsidRPr="00A52585">
        <w:rPr>
          <w:rFonts w:hint="cs"/>
          <w:sz w:val="24"/>
          <w:szCs w:val="24"/>
          <w:rtl/>
        </w:rPr>
        <w:t>يتوجأ</w:t>
      </w:r>
      <w:proofErr w:type="spellEnd"/>
      <w:r w:rsidRPr="00A52585">
        <w:rPr>
          <w:rFonts w:hint="cs"/>
          <w:sz w:val="24"/>
          <w:szCs w:val="24"/>
          <w:rtl/>
        </w:rPr>
        <w:t xml:space="preserve"> بها في نار جهنم خالداً مخلداً فيها أبداً ومن شرب سمَّا فقتل نفسه فهو </w:t>
      </w:r>
      <w:proofErr w:type="spellStart"/>
      <w:r w:rsidRPr="00A52585">
        <w:rPr>
          <w:rFonts w:hint="cs"/>
          <w:sz w:val="24"/>
          <w:szCs w:val="24"/>
          <w:rtl/>
        </w:rPr>
        <w:t>يتحساه</w:t>
      </w:r>
      <w:proofErr w:type="spellEnd"/>
      <w:r w:rsidRPr="00A52585">
        <w:rPr>
          <w:rFonts w:hint="cs"/>
          <w:sz w:val="24"/>
          <w:szCs w:val="24"/>
          <w:rtl/>
        </w:rPr>
        <w:t xml:space="preserve"> في نار جهنم خالداً مخلداً فيها أبداً ومن تردى من جبل فقتل نفسه فهو يتردى في </w:t>
      </w:r>
      <w:proofErr w:type="spellStart"/>
      <w:r w:rsidRPr="00A52585">
        <w:rPr>
          <w:rFonts w:hint="cs"/>
          <w:sz w:val="24"/>
          <w:szCs w:val="24"/>
          <w:rtl/>
        </w:rPr>
        <w:t>نارجهنم</w:t>
      </w:r>
      <w:proofErr w:type="spellEnd"/>
      <w:r w:rsidRPr="00A52585">
        <w:rPr>
          <w:rFonts w:hint="cs"/>
          <w:sz w:val="24"/>
          <w:szCs w:val="24"/>
          <w:rtl/>
        </w:rPr>
        <w:t xml:space="preserve"> خالداً مخلداً فيها أبداً"</w:t>
      </w:r>
      <w:r w:rsidR="0002035C" w:rsidRPr="00A52585">
        <w:rPr>
          <w:rFonts w:hint="cs"/>
          <w:sz w:val="24"/>
          <w:szCs w:val="24"/>
          <w:rtl/>
        </w:rPr>
        <w:t xml:space="preserve"> </w:t>
      </w:r>
      <w:r w:rsidRPr="00A52585">
        <w:rPr>
          <w:rFonts w:hint="cs"/>
          <w:sz w:val="24"/>
          <w:szCs w:val="24"/>
          <w:rtl/>
        </w:rPr>
        <w:t xml:space="preserve">صحيح مسلم – كتاب الإيمان- باب غلظ تحريم قتل الإنسان نفسه، صحيح البخاري- 76 كتاب الطب- 56 باب شرب السم والدواء به وبما يخاف منه وعن أبي سعيد </w:t>
      </w:r>
      <w:proofErr w:type="spellStart"/>
      <w:r w:rsidRPr="00A52585">
        <w:rPr>
          <w:rFonts w:hint="cs"/>
          <w:sz w:val="24"/>
          <w:szCs w:val="24"/>
          <w:rtl/>
        </w:rPr>
        <w:t>الخدريرضي</w:t>
      </w:r>
      <w:proofErr w:type="spellEnd"/>
      <w:r w:rsidRPr="00A52585">
        <w:rPr>
          <w:rFonts w:hint="cs"/>
          <w:sz w:val="24"/>
          <w:szCs w:val="24"/>
          <w:rtl/>
        </w:rPr>
        <w:t xml:space="preserve"> الله عنه قال</w:t>
      </w:r>
      <w:r w:rsidR="0002035C" w:rsidRPr="00A52585">
        <w:rPr>
          <w:rFonts w:hint="cs"/>
          <w:sz w:val="24"/>
          <w:szCs w:val="24"/>
          <w:rtl/>
        </w:rPr>
        <w:t>:</w:t>
      </w:r>
      <w:r w:rsidRPr="00A52585">
        <w:rPr>
          <w:rFonts w:hint="cs"/>
          <w:sz w:val="24"/>
          <w:szCs w:val="24"/>
          <w:rtl/>
        </w:rPr>
        <w:t xml:space="preserve"> قال رسول الله صلى الله عليه وسلم</w:t>
      </w:r>
      <w:r w:rsidR="0002035C" w:rsidRPr="00A52585">
        <w:rPr>
          <w:rFonts w:hint="cs"/>
          <w:sz w:val="24"/>
          <w:szCs w:val="24"/>
          <w:rtl/>
        </w:rPr>
        <w:t>:</w:t>
      </w:r>
      <w:r w:rsidRPr="00A52585">
        <w:rPr>
          <w:rFonts w:hint="cs"/>
          <w:sz w:val="24"/>
          <w:szCs w:val="24"/>
          <w:rtl/>
        </w:rPr>
        <w:t xml:space="preserve"> يؤتي بالموت كهيئة كبش أملح فينادي منادٍ</w:t>
      </w:r>
      <w:r w:rsidR="0002035C" w:rsidRPr="00A52585">
        <w:rPr>
          <w:rFonts w:hint="cs"/>
          <w:sz w:val="24"/>
          <w:szCs w:val="24"/>
          <w:rtl/>
        </w:rPr>
        <w:t>:</w:t>
      </w:r>
      <w:r w:rsidRPr="00A52585">
        <w:rPr>
          <w:rFonts w:hint="cs"/>
          <w:sz w:val="24"/>
          <w:szCs w:val="24"/>
          <w:rtl/>
        </w:rPr>
        <w:t xml:space="preserve"> يا أهل الجنة! فيشرئبون وينظرون فيقول</w:t>
      </w:r>
      <w:r w:rsidR="0002035C" w:rsidRPr="00A52585">
        <w:rPr>
          <w:rFonts w:hint="cs"/>
          <w:sz w:val="24"/>
          <w:szCs w:val="24"/>
          <w:rtl/>
        </w:rPr>
        <w:t>:</w:t>
      </w:r>
      <w:r w:rsidRPr="00A52585">
        <w:rPr>
          <w:rFonts w:hint="cs"/>
          <w:sz w:val="24"/>
          <w:szCs w:val="24"/>
          <w:rtl/>
        </w:rPr>
        <w:t xml:space="preserve"> هل تعرفون هذا</w:t>
      </w:r>
      <w:r w:rsidR="00F95886" w:rsidRPr="00A52585">
        <w:rPr>
          <w:rFonts w:hint="cs"/>
          <w:sz w:val="24"/>
          <w:szCs w:val="24"/>
          <w:rtl/>
        </w:rPr>
        <w:t>؟</w:t>
      </w:r>
      <w:r w:rsidRPr="00A52585">
        <w:rPr>
          <w:rFonts w:hint="cs"/>
          <w:sz w:val="24"/>
          <w:szCs w:val="24"/>
          <w:rtl/>
        </w:rPr>
        <w:t xml:space="preserve"> فيقولون</w:t>
      </w:r>
      <w:r w:rsidR="0002035C" w:rsidRPr="00A52585">
        <w:rPr>
          <w:rFonts w:hint="cs"/>
          <w:sz w:val="24"/>
          <w:szCs w:val="24"/>
          <w:rtl/>
        </w:rPr>
        <w:t>:</w:t>
      </w:r>
      <w:r w:rsidRPr="00A52585">
        <w:rPr>
          <w:rFonts w:hint="cs"/>
          <w:sz w:val="24"/>
          <w:szCs w:val="24"/>
          <w:rtl/>
        </w:rPr>
        <w:t xml:space="preserve"> نعم</w:t>
      </w:r>
      <w:r w:rsidR="0002035C" w:rsidRPr="00A52585">
        <w:rPr>
          <w:rFonts w:hint="cs"/>
          <w:sz w:val="24"/>
          <w:szCs w:val="24"/>
          <w:rtl/>
        </w:rPr>
        <w:t xml:space="preserve"> </w:t>
      </w:r>
      <w:r w:rsidRPr="00A52585">
        <w:rPr>
          <w:rFonts w:hint="cs"/>
          <w:sz w:val="24"/>
          <w:szCs w:val="24"/>
          <w:rtl/>
        </w:rPr>
        <w:t>هذا الموت وكلهم قد رأوه ثم ينادي</w:t>
      </w:r>
      <w:r w:rsidR="0002035C" w:rsidRPr="00A52585">
        <w:rPr>
          <w:rFonts w:hint="cs"/>
          <w:sz w:val="24"/>
          <w:szCs w:val="24"/>
          <w:rtl/>
        </w:rPr>
        <w:t>:</w:t>
      </w:r>
      <w:r w:rsidRPr="00A52585">
        <w:rPr>
          <w:rFonts w:hint="cs"/>
          <w:sz w:val="24"/>
          <w:szCs w:val="24"/>
          <w:rtl/>
        </w:rPr>
        <w:t xml:space="preserve"> يا أهل النار فيشرئبون وينظرون فيقول</w:t>
      </w:r>
      <w:r w:rsidR="0002035C" w:rsidRPr="00A52585">
        <w:rPr>
          <w:rFonts w:hint="cs"/>
          <w:sz w:val="24"/>
          <w:szCs w:val="24"/>
          <w:rtl/>
        </w:rPr>
        <w:t>:</w:t>
      </w:r>
      <w:r w:rsidRPr="00A52585">
        <w:rPr>
          <w:rFonts w:hint="cs"/>
          <w:sz w:val="24"/>
          <w:szCs w:val="24"/>
          <w:rtl/>
        </w:rPr>
        <w:t xml:space="preserve"> هل تعرفون هذا</w:t>
      </w:r>
      <w:r w:rsidR="00F95886" w:rsidRPr="00A52585">
        <w:rPr>
          <w:rFonts w:hint="cs"/>
          <w:sz w:val="24"/>
          <w:szCs w:val="24"/>
          <w:rtl/>
        </w:rPr>
        <w:t>؟</w:t>
      </w:r>
      <w:r w:rsidRPr="00A52585">
        <w:rPr>
          <w:rFonts w:hint="cs"/>
          <w:sz w:val="24"/>
          <w:szCs w:val="24"/>
          <w:rtl/>
        </w:rPr>
        <w:t xml:space="preserve"> فيقولون</w:t>
      </w:r>
      <w:r w:rsidR="0002035C" w:rsidRPr="00A52585">
        <w:rPr>
          <w:rFonts w:hint="cs"/>
          <w:sz w:val="24"/>
          <w:szCs w:val="24"/>
          <w:rtl/>
        </w:rPr>
        <w:t>:</w:t>
      </w:r>
      <w:r w:rsidRPr="00A52585">
        <w:rPr>
          <w:rFonts w:hint="cs"/>
          <w:sz w:val="24"/>
          <w:szCs w:val="24"/>
          <w:rtl/>
        </w:rPr>
        <w:t xml:space="preserve"> نعم هذا الموت، وكلهم قد رآه فيذبح ثم يقول</w:t>
      </w:r>
      <w:r w:rsidR="0002035C" w:rsidRPr="00A52585">
        <w:rPr>
          <w:rFonts w:hint="cs"/>
          <w:sz w:val="24"/>
          <w:szCs w:val="24"/>
          <w:rtl/>
        </w:rPr>
        <w:t>:</w:t>
      </w:r>
      <w:r w:rsidRPr="00A52585">
        <w:rPr>
          <w:rFonts w:hint="cs"/>
          <w:sz w:val="24"/>
          <w:szCs w:val="24"/>
          <w:rtl/>
        </w:rPr>
        <w:t xml:space="preserve"> يا أهل الجنة خلود فلا موت ويا أهل النار خلود فلا موت ثم قرأ </w:t>
      </w:r>
      <w:r w:rsidR="0002035C" w:rsidRPr="00A52585">
        <w:rPr>
          <w:rFonts w:hint="cs"/>
          <w:sz w:val="24"/>
          <w:szCs w:val="24"/>
          <w:rtl/>
        </w:rPr>
        <w:t>{</w:t>
      </w:r>
      <w:r w:rsidRPr="00A52585">
        <w:rPr>
          <w:rFonts w:hint="cs"/>
          <w:sz w:val="24"/>
          <w:szCs w:val="24"/>
          <w:rtl/>
        </w:rPr>
        <w:t>وأنذرهم يوم الحسرة إذ قضي الأمر وهم في غفلة</w:t>
      </w:r>
      <w:r w:rsidR="0002035C" w:rsidRPr="00A52585">
        <w:rPr>
          <w:rFonts w:hint="cs"/>
          <w:sz w:val="24"/>
          <w:szCs w:val="24"/>
          <w:rtl/>
        </w:rPr>
        <w:t>}</w:t>
      </w:r>
      <w:r w:rsidRPr="00A52585">
        <w:rPr>
          <w:rFonts w:hint="cs"/>
          <w:sz w:val="24"/>
          <w:szCs w:val="24"/>
          <w:rtl/>
        </w:rPr>
        <w:t xml:space="preserve"> - وهؤلاء في غفلة أهل الدنيا – وهم لا يؤمنون} أخرجه البخاري في كتاب التفسير سورة مريم – باب قوله{وأنذرهم يوم الحسرة} وأخــرجه مسلم في كتاب الجنة</w:t>
      </w:r>
      <w:r w:rsidR="0002035C" w:rsidRPr="00A52585">
        <w:rPr>
          <w:rFonts w:hint="cs"/>
          <w:sz w:val="24"/>
          <w:szCs w:val="24"/>
          <w:rtl/>
        </w:rPr>
        <w:t xml:space="preserve"> </w:t>
      </w:r>
      <w:r w:rsidRPr="00A52585">
        <w:rPr>
          <w:rFonts w:hint="cs"/>
          <w:sz w:val="24"/>
          <w:szCs w:val="24"/>
          <w:rtl/>
        </w:rPr>
        <w:t>وصفة نعيمها وأهلها – باب النار يدخلها الجبارون والجنة يدخلها الضعفاء</w:t>
      </w:r>
      <w:r w:rsidR="00DB731D" w:rsidRPr="00A52585">
        <w:rPr>
          <w:rFonts w:hint="cs"/>
          <w:sz w:val="24"/>
          <w:szCs w:val="24"/>
          <w:rtl/>
        </w:rPr>
        <w:t>،</w:t>
      </w:r>
      <w:r w:rsidRPr="00A52585">
        <w:rPr>
          <w:rFonts w:hint="cs"/>
          <w:sz w:val="24"/>
          <w:szCs w:val="24"/>
          <w:rtl/>
        </w:rPr>
        <w:t xml:space="preserve"> ولا ريب أن الحسرة بسبب أنهم فقدوا الموت وكان منقذاً لهم من عذاب الأبد، أما إذا كان لهم يوم- مهما يكون بعيداً- ينتقلون إلى اللذة والنعيم ففيم الحسرة إذا</w:t>
      </w:r>
      <w:r w:rsidR="00F95886" w:rsidRPr="00A52585">
        <w:rPr>
          <w:rFonts w:hint="cs"/>
          <w:sz w:val="24"/>
          <w:szCs w:val="24"/>
          <w:rtl/>
        </w:rPr>
        <w:t>؟</w:t>
      </w:r>
      <w:r w:rsidRPr="00A52585">
        <w:rPr>
          <w:rFonts w:hint="cs"/>
          <w:sz w:val="24"/>
          <w:szCs w:val="24"/>
          <w:rtl/>
        </w:rPr>
        <w:t xml:space="preserve"> نسأل الله السلام والنجاة</w:t>
      </w:r>
      <w:r w:rsidR="00DB731D" w:rsidRPr="00A52585">
        <w:rPr>
          <w:rFonts w:hint="cs"/>
          <w:sz w:val="24"/>
          <w:szCs w:val="24"/>
          <w:rtl/>
        </w:rPr>
        <w:t>،</w:t>
      </w:r>
      <w:r w:rsidRPr="00A52585">
        <w:rPr>
          <w:rFonts w:hint="cs"/>
          <w:sz w:val="24"/>
          <w:szCs w:val="24"/>
          <w:rtl/>
        </w:rPr>
        <w:t xml:space="preserve"> ومن أراد الاستزادة من الأدلة والنصوص فليرجع إلى كتاب (الاعتبار ببقاء الجنة والنار) للإمام تقي الدين السبكي، وكتاب (البراهين الساطعة) لإمامنا </w:t>
      </w:r>
      <w:r w:rsidRPr="00A52585">
        <w:rPr>
          <w:rFonts w:hint="cs"/>
          <w:sz w:val="24"/>
          <w:szCs w:val="24"/>
          <w:rtl/>
        </w:rPr>
        <w:lastRenderedPageBreak/>
        <w:t xml:space="preserve">الشيخ سلامة </w:t>
      </w:r>
      <w:proofErr w:type="spellStart"/>
      <w:r w:rsidRPr="00A52585">
        <w:rPr>
          <w:rFonts w:hint="cs"/>
          <w:sz w:val="24"/>
          <w:szCs w:val="24"/>
          <w:rtl/>
        </w:rPr>
        <w:t>العزامي</w:t>
      </w:r>
      <w:proofErr w:type="spellEnd"/>
      <w:r w:rsidR="0002035C" w:rsidRPr="00A52585">
        <w:rPr>
          <w:rFonts w:hint="cs"/>
          <w:sz w:val="24"/>
          <w:szCs w:val="24"/>
          <w:rtl/>
        </w:rPr>
        <w:t>]</w:t>
      </w:r>
      <w:r w:rsidR="00DB731D" w:rsidRPr="00A52585">
        <w:rPr>
          <w:rFonts w:hint="cs"/>
          <w:sz w:val="24"/>
          <w:rtl/>
        </w:rPr>
        <w:t>،</w:t>
      </w:r>
      <w:r w:rsidRPr="00A52585">
        <w:rPr>
          <w:rFonts w:hint="cs"/>
          <w:sz w:val="24"/>
          <w:rtl/>
        </w:rPr>
        <w:t xml:space="preserve"> </w:t>
      </w:r>
      <w:r w:rsidRPr="00A52585">
        <w:rPr>
          <w:rFonts w:hint="cs"/>
          <w:rtl/>
        </w:rPr>
        <w:t>إلى غير ذلك. ولأن العذاب يدوم بدوام سببه بلا شك ولا ريب وهو قصد الكفر وبقاء العزم عليه ولا شك أنهم لو عاشوا أبد الآباد لاستمروا على كفرهم</w:t>
      </w:r>
      <w:r w:rsidR="00DB731D" w:rsidRPr="00A52585">
        <w:rPr>
          <w:rFonts w:hint="cs"/>
          <w:rtl/>
        </w:rPr>
        <w:t>،</w:t>
      </w:r>
      <w:r w:rsidRPr="00A52585">
        <w:rPr>
          <w:rFonts w:hint="cs"/>
          <w:rtl/>
        </w:rPr>
        <w:t xml:space="preserve"> وكذلك المؤمن يستحق الخلود في الجنة لأن عزمه لو عاش أبد الآباد لوحد الله تعالى فلذلك يستحق الخلود وهذا معنى قوله عليه الصلاة والسلام </w:t>
      </w:r>
      <w:r w:rsidR="0002035C" w:rsidRPr="00A52585">
        <w:rPr>
          <w:rFonts w:hint="cs"/>
          <w:rtl/>
        </w:rPr>
        <w:t>(</w:t>
      </w:r>
      <w:r w:rsidRPr="00A52585">
        <w:rPr>
          <w:rFonts w:hint="cs"/>
          <w:rtl/>
        </w:rPr>
        <w:t>نية المؤمن خير من عمله)</w:t>
      </w:r>
      <w:r w:rsidR="0002035C" w:rsidRPr="00A52585">
        <w:rPr>
          <w:rFonts w:hint="cs"/>
          <w:rtl/>
        </w:rPr>
        <w:t xml:space="preserve"> </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رواه سهل بن سعد الساعدي رضي الله عنه</w:t>
      </w:r>
      <w:r w:rsidR="0002035C" w:rsidRPr="00A52585">
        <w:rPr>
          <w:rFonts w:hint="cs"/>
          <w:sz w:val="24"/>
          <w:szCs w:val="24"/>
          <w:rtl/>
        </w:rPr>
        <w:t xml:space="preserve"> </w:t>
      </w:r>
      <w:r w:rsidRPr="00A52585">
        <w:rPr>
          <w:rFonts w:hint="cs"/>
          <w:sz w:val="24"/>
          <w:szCs w:val="24"/>
          <w:rtl/>
        </w:rPr>
        <w:t>فقال</w:t>
      </w:r>
      <w:r w:rsidR="0002035C" w:rsidRPr="00A52585">
        <w:rPr>
          <w:rFonts w:hint="cs"/>
          <w:sz w:val="24"/>
          <w:szCs w:val="24"/>
          <w:rtl/>
        </w:rPr>
        <w:t>:</w:t>
      </w:r>
      <w:r w:rsidRPr="00A52585">
        <w:rPr>
          <w:rFonts w:hint="cs"/>
          <w:sz w:val="24"/>
          <w:szCs w:val="24"/>
          <w:rtl/>
        </w:rPr>
        <w:t xml:space="preserve"> قال رسول الله صلى الله عليه وسلم</w:t>
      </w:r>
      <w:r w:rsidR="0002035C" w:rsidRPr="00A52585">
        <w:rPr>
          <w:rFonts w:hint="cs"/>
          <w:sz w:val="24"/>
          <w:szCs w:val="24"/>
          <w:rtl/>
        </w:rPr>
        <w:t xml:space="preserve">: </w:t>
      </w:r>
      <w:r w:rsidRPr="00A52585">
        <w:rPr>
          <w:rFonts w:hint="cs"/>
          <w:sz w:val="24"/>
          <w:szCs w:val="24"/>
          <w:rtl/>
        </w:rPr>
        <w:t>" نية المؤمن خير من عمله، وعمل المنافق خير من نيته، وكل يعمل على نيته فإذا عمل المؤمن عملا ثار في قلبه نور "</w:t>
      </w:r>
      <w:r w:rsidR="0002035C" w:rsidRPr="00A52585">
        <w:rPr>
          <w:rFonts w:hint="cs"/>
          <w:sz w:val="24"/>
          <w:szCs w:val="24"/>
          <w:rtl/>
        </w:rPr>
        <w:t xml:space="preserve"> </w:t>
      </w:r>
      <w:r w:rsidRPr="00A52585">
        <w:rPr>
          <w:rFonts w:hint="cs"/>
          <w:sz w:val="24"/>
          <w:szCs w:val="24"/>
          <w:rtl/>
        </w:rPr>
        <w:t>قال الهيثمي في (مجمع الزوائد) ج1 ص 61</w:t>
      </w:r>
      <w:r w:rsidR="0002035C" w:rsidRPr="00A52585">
        <w:rPr>
          <w:rFonts w:hint="cs"/>
          <w:sz w:val="24"/>
          <w:szCs w:val="24"/>
          <w:rtl/>
        </w:rPr>
        <w:t xml:space="preserve">: </w:t>
      </w:r>
      <w:r w:rsidRPr="00A52585">
        <w:rPr>
          <w:rFonts w:hint="cs"/>
          <w:sz w:val="24"/>
          <w:szCs w:val="24"/>
          <w:rtl/>
        </w:rPr>
        <w:t xml:space="preserve">" رواه الطبراني في الكبير ورجاله موثقون إلا حاتم بن عباد بن دينار </w:t>
      </w:r>
      <w:proofErr w:type="spellStart"/>
      <w:r w:rsidRPr="00A52585">
        <w:rPr>
          <w:rFonts w:hint="cs"/>
          <w:sz w:val="24"/>
          <w:szCs w:val="24"/>
          <w:rtl/>
        </w:rPr>
        <w:t>الجرشى</w:t>
      </w:r>
      <w:proofErr w:type="spellEnd"/>
      <w:r w:rsidRPr="00A52585">
        <w:rPr>
          <w:rFonts w:hint="cs"/>
          <w:sz w:val="24"/>
          <w:szCs w:val="24"/>
          <w:rtl/>
        </w:rPr>
        <w:t xml:space="preserve"> لم أر من ذكر له ترجمة "</w:t>
      </w:r>
      <w:r w:rsidR="00DB731D" w:rsidRPr="00A52585">
        <w:rPr>
          <w:rFonts w:hint="cs"/>
          <w:sz w:val="24"/>
          <w:szCs w:val="24"/>
          <w:rtl/>
        </w:rPr>
        <w:t>،</w:t>
      </w:r>
      <w:r w:rsidRPr="00A52585">
        <w:rPr>
          <w:rFonts w:hint="cs"/>
          <w:sz w:val="24"/>
          <w:szCs w:val="24"/>
          <w:rtl/>
        </w:rPr>
        <w:t xml:space="preserve"> وكذا رواه العسكري في (الأمثال) والبيهقي في (الشعب) عن أنس رضي الله عنه مرفوعا بلفظ (نية المؤمن أبلغ من عمله) وقال البيهقي</w:t>
      </w:r>
      <w:r w:rsidR="0002035C" w:rsidRPr="00A52585">
        <w:rPr>
          <w:rFonts w:hint="cs"/>
          <w:sz w:val="24"/>
          <w:szCs w:val="24"/>
          <w:rtl/>
        </w:rPr>
        <w:t>:</w:t>
      </w:r>
      <w:r w:rsidRPr="00A52585">
        <w:rPr>
          <w:rFonts w:hint="cs"/>
          <w:sz w:val="24"/>
          <w:szCs w:val="24"/>
          <w:rtl/>
        </w:rPr>
        <w:t xml:space="preserve"> إسناده ضعيف</w:t>
      </w:r>
      <w:r w:rsidR="00DB731D" w:rsidRPr="00A52585">
        <w:rPr>
          <w:rFonts w:hint="cs"/>
          <w:sz w:val="24"/>
          <w:szCs w:val="24"/>
          <w:rtl/>
        </w:rPr>
        <w:t>،</w:t>
      </w:r>
      <w:r w:rsidRPr="00A52585">
        <w:rPr>
          <w:rFonts w:hint="cs"/>
          <w:sz w:val="24"/>
          <w:szCs w:val="24"/>
          <w:rtl/>
        </w:rPr>
        <w:t xml:space="preserve"> ورواه العسكري أيضاً من حديث النواس بن سمعان بلفظ (نية المؤمن خير من عمله ونية الفاجر شر من عمله)</w:t>
      </w:r>
      <w:r w:rsidR="00DB731D" w:rsidRPr="00A52585">
        <w:rPr>
          <w:rFonts w:hint="cs"/>
          <w:sz w:val="24"/>
          <w:szCs w:val="24"/>
          <w:rtl/>
        </w:rPr>
        <w:t>،</w:t>
      </w:r>
      <w:r w:rsidRPr="00A52585">
        <w:rPr>
          <w:rFonts w:hint="cs"/>
          <w:sz w:val="24"/>
          <w:szCs w:val="24"/>
          <w:rtl/>
        </w:rPr>
        <w:t xml:space="preserve"> وأخرجه الديلمي في مسند الفردوس بسند ضعيف من حديث أبي موسى الأشعري بلفظ (نية المؤمن خير من عمله، إن الله عز وجل ليعطي العبد على نيته ما لا يعطيه على عمله وذلك أن النية لا رياء فيها والعمل يخالطه الرياء)</w:t>
      </w:r>
      <w:r w:rsidR="00DB731D" w:rsidRPr="00A52585">
        <w:rPr>
          <w:rFonts w:hint="cs"/>
          <w:sz w:val="24"/>
          <w:szCs w:val="24"/>
          <w:rtl/>
        </w:rPr>
        <w:t>،</w:t>
      </w:r>
      <w:r w:rsidRPr="00A52585">
        <w:rPr>
          <w:rFonts w:hint="cs"/>
          <w:sz w:val="24"/>
          <w:szCs w:val="24"/>
          <w:rtl/>
        </w:rPr>
        <w:t xml:space="preserve"> وذكره الإمام السخاوي في (المقاصد الحسنة) برقم (1260) وذكر طرقه ثم قال</w:t>
      </w:r>
      <w:r w:rsidR="0002035C" w:rsidRPr="00A52585">
        <w:rPr>
          <w:rFonts w:hint="cs"/>
          <w:sz w:val="24"/>
          <w:szCs w:val="24"/>
          <w:rtl/>
        </w:rPr>
        <w:t>:</w:t>
      </w:r>
      <w:r w:rsidRPr="00A52585">
        <w:rPr>
          <w:rFonts w:hint="cs"/>
          <w:sz w:val="24"/>
          <w:szCs w:val="24"/>
          <w:rtl/>
        </w:rPr>
        <w:t xml:space="preserve"> " وهي وإن كانت ضعيفة فبمجموعها يتقوى الحديث"</w:t>
      </w:r>
      <w:r w:rsidR="0002035C" w:rsidRPr="00A52585">
        <w:rPr>
          <w:rFonts w:hint="cs"/>
          <w:sz w:val="24"/>
          <w:szCs w:val="24"/>
          <w:rtl/>
        </w:rPr>
        <w:t xml:space="preserve"> </w:t>
      </w:r>
      <w:r w:rsidRPr="00A52585">
        <w:rPr>
          <w:rFonts w:hint="cs"/>
          <w:sz w:val="24"/>
          <w:szCs w:val="24"/>
          <w:rtl/>
        </w:rPr>
        <w:t xml:space="preserve">أهـ وأكد ذلك أيضاً العلامة المحدث السيد مرتضى </w:t>
      </w:r>
      <w:proofErr w:type="spellStart"/>
      <w:r w:rsidRPr="00A52585">
        <w:rPr>
          <w:rFonts w:hint="cs"/>
          <w:sz w:val="24"/>
          <w:szCs w:val="24"/>
          <w:rtl/>
        </w:rPr>
        <w:t>الزبيدى</w:t>
      </w:r>
      <w:proofErr w:type="spellEnd"/>
      <w:r w:rsidRPr="00A52585">
        <w:rPr>
          <w:rFonts w:hint="cs"/>
          <w:sz w:val="24"/>
          <w:szCs w:val="24"/>
          <w:rtl/>
        </w:rPr>
        <w:t xml:space="preserve"> في إتحاف السادة المتقين ج 3 ص 28 ط العلمية</w:t>
      </w:r>
      <w:r w:rsidR="00DB731D" w:rsidRPr="00A52585">
        <w:rPr>
          <w:rFonts w:hint="cs"/>
          <w:sz w:val="24"/>
          <w:szCs w:val="24"/>
          <w:rtl/>
        </w:rPr>
        <w:t>،</w:t>
      </w:r>
      <w:r w:rsidRPr="00A52585">
        <w:rPr>
          <w:rFonts w:hint="cs"/>
          <w:sz w:val="24"/>
          <w:szCs w:val="24"/>
          <w:rtl/>
        </w:rPr>
        <w:t xml:space="preserve"> </w:t>
      </w:r>
      <w:r w:rsidR="0002035C" w:rsidRPr="00A52585">
        <w:rPr>
          <w:rFonts w:hint="cs"/>
          <w:sz w:val="24"/>
          <w:szCs w:val="24"/>
          <w:rtl/>
        </w:rPr>
        <w:t>(</w:t>
      </w:r>
      <w:r w:rsidRPr="00A52585">
        <w:rPr>
          <w:rFonts w:hint="cs"/>
          <w:sz w:val="24"/>
          <w:szCs w:val="24"/>
          <w:rtl/>
        </w:rPr>
        <w:t>قلت</w:t>
      </w:r>
      <w:r w:rsidR="0002035C" w:rsidRPr="00A52585">
        <w:rPr>
          <w:rFonts w:hint="cs"/>
          <w:sz w:val="24"/>
          <w:szCs w:val="24"/>
          <w:rtl/>
        </w:rPr>
        <w:t>):</w:t>
      </w:r>
      <w:r w:rsidRPr="00A52585">
        <w:rPr>
          <w:rFonts w:hint="cs"/>
          <w:sz w:val="24"/>
          <w:szCs w:val="24"/>
          <w:rtl/>
        </w:rPr>
        <w:t xml:space="preserve"> الحديث معناه صحيح وله شواهد كثيرة في القرآن والسنة</w:t>
      </w:r>
      <w:r w:rsidR="0002035C" w:rsidRPr="00A52585">
        <w:rPr>
          <w:rFonts w:hint="cs"/>
          <w:sz w:val="24"/>
          <w:szCs w:val="24"/>
          <w:rtl/>
        </w:rPr>
        <w:t>]</w:t>
      </w:r>
      <w:r w:rsidR="00DB731D" w:rsidRPr="00A52585">
        <w:rPr>
          <w:rFonts w:hint="cs"/>
          <w:sz w:val="24"/>
          <w:szCs w:val="24"/>
          <w:rtl/>
        </w:rPr>
        <w:t>،</w:t>
      </w:r>
      <w:r w:rsidRPr="00A52585">
        <w:rPr>
          <w:rFonts w:hint="cs"/>
          <w:sz w:val="24"/>
          <w:rtl/>
        </w:rPr>
        <w:t xml:space="preserve"> </w:t>
      </w:r>
      <w:r w:rsidRPr="00A52585">
        <w:rPr>
          <w:rFonts w:hint="cs"/>
          <w:rtl/>
        </w:rPr>
        <w:t>وفي معناه أقوال أخر</w:t>
      </w:r>
      <w:r w:rsidR="00DB731D" w:rsidRPr="00A52585">
        <w:rPr>
          <w:rFonts w:hint="cs"/>
          <w:rtl/>
        </w:rPr>
        <w:t>،</w:t>
      </w:r>
      <w:r w:rsidRPr="00A52585">
        <w:rPr>
          <w:rFonts w:hint="cs"/>
          <w:rtl/>
        </w:rPr>
        <w:t xml:space="preserve"> فادعاء فناء النار إلى أمد نزعة يهودية ألا ترى إلى قوله تعالى</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وقالوا لن تمسنا النار إلا أياماً معدودة</w:t>
      </w:r>
      <w:r w:rsidR="0002035C" w:rsidRPr="00A52585">
        <w:rPr>
          <w:rFonts w:hint="cs"/>
          <w:rtl/>
        </w:rPr>
        <w:t>}</w:t>
      </w:r>
      <w:r w:rsidRPr="00A52585">
        <w:rPr>
          <w:rFonts w:hint="cs"/>
          <w:rtl/>
        </w:rPr>
        <w:t xml:space="preserve"> </w:t>
      </w:r>
      <w:r w:rsidR="0002035C" w:rsidRPr="00A52585">
        <w:rPr>
          <w:rFonts w:hint="cs"/>
          <w:rtl/>
        </w:rPr>
        <w:t>[</w:t>
      </w:r>
      <w:r w:rsidRPr="00A52585">
        <w:rPr>
          <w:rFonts w:hint="cs"/>
          <w:rtl/>
        </w:rPr>
        <w:t>البقرة</w:t>
      </w:r>
      <w:r w:rsidR="0002035C" w:rsidRPr="00A52585">
        <w:rPr>
          <w:rFonts w:hint="cs"/>
          <w:rtl/>
        </w:rPr>
        <w:t>:</w:t>
      </w:r>
      <w:r w:rsidRPr="00A52585">
        <w:rPr>
          <w:rFonts w:hint="cs"/>
          <w:rtl/>
        </w:rPr>
        <w:t xml:space="preserve"> 80</w:t>
      </w:r>
      <w:r w:rsidR="0002035C" w:rsidRPr="00A52585">
        <w:rPr>
          <w:rFonts w:hint="cs"/>
          <w:rtl/>
        </w:rPr>
        <w:t>]</w:t>
      </w:r>
      <w:r w:rsidR="00DB731D" w:rsidRPr="00A52585">
        <w:rPr>
          <w:rFonts w:hint="cs"/>
          <w:rtl/>
        </w:rPr>
        <w:t>،</w:t>
      </w:r>
      <w:r w:rsidRPr="00A52585">
        <w:rPr>
          <w:rFonts w:hint="cs"/>
          <w:rtl/>
        </w:rPr>
        <w:t xml:space="preserve"> الآية أي قدراً مقدراً ثم يذهب عنا العذاب</w:t>
      </w:r>
      <w:r w:rsidR="00DB731D" w:rsidRPr="00A52585">
        <w:rPr>
          <w:rFonts w:hint="cs"/>
          <w:rtl/>
        </w:rPr>
        <w:t>،</w:t>
      </w:r>
      <w:r w:rsidRPr="00A52585">
        <w:rPr>
          <w:rFonts w:hint="cs"/>
          <w:rtl/>
        </w:rPr>
        <w:t xml:space="preserve"> وكانت اليهود تقول</w:t>
      </w:r>
      <w:r w:rsidR="0002035C" w:rsidRPr="00A52585">
        <w:rPr>
          <w:rFonts w:hint="cs"/>
          <w:rtl/>
        </w:rPr>
        <w:t>:</w:t>
      </w:r>
      <w:r w:rsidRPr="00A52585">
        <w:rPr>
          <w:rFonts w:hint="cs"/>
          <w:rtl/>
        </w:rPr>
        <w:t xml:space="preserve"> إن هذه الدنيا سبعة آلاف سنة وإنما نعذب بكل ألف سنة يوماً</w:t>
      </w:r>
      <w:r w:rsidR="00DB731D" w:rsidRPr="00A52585">
        <w:rPr>
          <w:rFonts w:hint="cs"/>
          <w:rtl/>
        </w:rPr>
        <w:t>،</w:t>
      </w:r>
      <w:r w:rsidRPr="00A52585">
        <w:rPr>
          <w:rFonts w:hint="cs"/>
          <w:rtl/>
        </w:rPr>
        <w:t xml:space="preserve"> ثم ينقطع العذاب بعد سبعة أيام. وقيل</w:t>
      </w:r>
      <w:r w:rsidR="0002035C" w:rsidRPr="00A52585">
        <w:rPr>
          <w:rFonts w:hint="cs"/>
          <w:rtl/>
        </w:rPr>
        <w:t>:</w:t>
      </w:r>
      <w:r w:rsidRPr="00A52585">
        <w:rPr>
          <w:rFonts w:hint="cs"/>
          <w:rtl/>
        </w:rPr>
        <w:t xml:space="preserve"> أربعين يوماً</w:t>
      </w:r>
      <w:r w:rsidR="00DB731D" w:rsidRPr="00A52585">
        <w:rPr>
          <w:rFonts w:hint="cs"/>
          <w:rtl/>
        </w:rPr>
        <w:t>،</w:t>
      </w:r>
      <w:r w:rsidRPr="00A52585">
        <w:rPr>
          <w:rFonts w:hint="cs"/>
          <w:rtl/>
        </w:rPr>
        <w:t xml:space="preserve"> الذي عبد آباؤنا</w:t>
      </w:r>
      <w:r w:rsidR="0002035C" w:rsidRPr="00A52585">
        <w:rPr>
          <w:rFonts w:hint="cs"/>
          <w:rtl/>
        </w:rPr>
        <w:t xml:space="preserve"> </w:t>
      </w:r>
      <w:r w:rsidRPr="00A52585">
        <w:rPr>
          <w:rFonts w:hint="cs"/>
          <w:rtl/>
        </w:rPr>
        <w:t>فيها العجل</w:t>
      </w:r>
      <w:r w:rsidR="00DB731D" w:rsidRPr="00A52585">
        <w:rPr>
          <w:rFonts w:hint="cs"/>
          <w:rtl/>
        </w:rPr>
        <w:t>،</w:t>
      </w:r>
      <w:r w:rsidRPr="00A52585">
        <w:rPr>
          <w:rFonts w:hint="cs"/>
          <w:rtl/>
        </w:rPr>
        <w:t xml:space="preserve"> وكانت تقول</w:t>
      </w:r>
      <w:r w:rsidR="0002035C" w:rsidRPr="00A52585">
        <w:rPr>
          <w:rFonts w:hint="cs"/>
          <w:rtl/>
        </w:rPr>
        <w:t>:</w:t>
      </w:r>
      <w:r w:rsidRPr="00A52585">
        <w:rPr>
          <w:rFonts w:hint="cs"/>
          <w:rtl/>
        </w:rPr>
        <w:t xml:space="preserve"> إن ربنا عتب علينا في أمر فأقسم ليعذبنا أربعين يوماً فلن تمسنا إلا تحلة القسم أربعين يوماً</w:t>
      </w:r>
      <w:r w:rsidR="00DB731D" w:rsidRPr="00A52585">
        <w:rPr>
          <w:rFonts w:hint="cs"/>
          <w:rtl/>
        </w:rPr>
        <w:t>،</w:t>
      </w:r>
      <w:r w:rsidRPr="00A52585">
        <w:rPr>
          <w:rFonts w:hint="cs"/>
          <w:rtl/>
        </w:rPr>
        <w:t xml:space="preserve"> فالرجل ساع خلف سَلَفِه كما تقدم وكما يأتي</w:t>
      </w:r>
      <w:r w:rsidR="00DB731D" w:rsidRPr="00A52585">
        <w:rPr>
          <w:rFonts w:hint="cs"/>
          <w:rtl/>
        </w:rPr>
        <w:t>،</w:t>
      </w:r>
      <w:r w:rsidRPr="00A52585">
        <w:rPr>
          <w:rFonts w:hint="cs"/>
          <w:rtl/>
        </w:rPr>
        <w:t xml:space="preserve"> </w:t>
      </w:r>
    </w:p>
    <w:p w14:paraId="1A10C15D" w14:textId="77777777" w:rsidR="00777DCB" w:rsidRPr="00A52585" w:rsidRDefault="00777DCB" w:rsidP="0002035C">
      <w:pPr>
        <w:spacing w:after="240"/>
        <w:jc w:val="center"/>
        <w:rPr>
          <w:b/>
          <w:bCs/>
          <w:rtl/>
        </w:rPr>
      </w:pPr>
      <w:r w:rsidRPr="00A52585">
        <w:rPr>
          <w:rFonts w:hint="cs"/>
          <w:bCs/>
          <w:rtl/>
        </w:rPr>
        <w:t>*********</w:t>
      </w:r>
    </w:p>
    <w:p w14:paraId="0FD6D1A6" w14:textId="6D2785C9"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 في الرد عليه في قوله بقدم العالم وفي إنكاره المجاز</w:t>
      </w:r>
      <w:r w:rsidRPr="00A52585">
        <w:rPr>
          <w:rFonts w:hint="cs"/>
          <w:bCs/>
          <w:rtl/>
        </w:rPr>
        <w:t>]</w:t>
      </w:r>
    </w:p>
    <w:p w14:paraId="3F357E02" w14:textId="602EE60A" w:rsidR="00777DCB" w:rsidRPr="00A52585" w:rsidRDefault="0002035C" w:rsidP="0002035C">
      <w:pPr>
        <w:spacing w:after="240"/>
        <w:rPr>
          <w:b/>
          <w:bCs/>
        </w:rPr>
      </w:pPr>
      <w:r w:rsidRPr="00A52585">
        <w:rPr>
          <w:rFonts w:hint="cs"/>
          <w:bCs/>
          <w:rtl/>
        </w:rPr>
        <w:t>[</w:t>
      </w:r>
      <w:r w:rsidR="00777DCB" w:rsidRPr="00A52585">
        <w:rPr>
          <w:rFonts w:hint="cs"/>
          <w:bCs/>
          <w:rtl/>
        </w:rPr>
        <w:t>أ- تصنيفه في قدم العالم واستدلاله على ذلك</w:t>
      </w:r>
      <w:r w:rsidRPr="00A52585">
        <w:rPr>
          <w:rFonts w:hint="cs"/>
          <w:bCs/>
          <w:rtl/>
        </w:rPr>
        <w:t>]:</w:t>
      </w:r>
      <w:r w:rsidR="00777DCB" w:rsidRPr="00A52585">
        <w:rPr>
          <w:rFonts w:hint="cs"/>
          <w:bCs/>
          <w:rtl/>
        </w:rPr>
        <w:t xml:space="preserve"> </w:t>
      </w:r>
      <w:r w:rsidR="00777DCB" w:rsidRPr="00A52585">
        <w:rPr>
          <w:rFonts w:hint="cs"/>
          <w:rtl/>
        </w:rPr>
        <w:t>ومما انتقد عليه</w:t>
      </w:r>
      <w:r w:rsidRPr="00A52585">
        <w:rPr>
          <w:rFonts w:hint="cs"/>
          <w:rtl/>
        </w:rPr>
        <w:t>:</w:t>
      </w:r>
      <w:r w:rsidR="00777DCB" w:rsidRPr="00A52585">
        <w:rPr>
          <w:rFonts w:hint="cs"/>
          <w:rtl/>
        </w:rPr>
        <w:t xml:space="preserve"> وهو من أقبح القبائح ما ذكره في مصنفه المسمى بحوادث لا أول لها</w:t>
      </w:r>
      <w:r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وردد نفس الفكرة في مواضع أخرى في كتاب</w:t>
      </w:r>
      <w:r w:rsidRPr="00A52585">
        <w:rPr>
          <w:rFonts w:hint="cs"/>
          <w:sz w:val="24"/>
          <w:szCs w:val="24"/>
          <w:rtl/>
        </w:rPr>
        <w:t xml:space="preserve"> </w:t>
      </w:r>
      <w:r w:rsidR="00777DCB" w:rsidRPr="00A52585">
        <w:rPr>
          <w:rFonts w:hint="cs"/>
          <w:sz w:val="24"/>
          <w:szCs w:val="24"/>
          <w:rtl/>
        </w:rPr>
        <w:t>" منهاج السنة "</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مجموع الفتاوى"</w:t>
      </w:r>
      <w:r w:rsidRPr="00A52585">
        <w:rPr>
          <w:rFonts w:hint="cs"/>
          <w:sz w:val="24"/>
          <w:szCs w:val="24"/>
          <w:rtl/>
        </w:rPr>
        <w:t xml:space="preserve"> </w:t>
      </w:r>
      <w:r w:rsidR="00777DCB" w:rsidRPr="00A52585">
        <w:rPr>
          <w:rFonts w:hint="cs"/>
          <w:sz w:val="24"/>
          <w:szCs w:val="24"/>
          <w:rtl/>
        </w:rPr>
        <w:t xml:space="preserve">ج 12 عند كلامه على حديث (كان الله ولم يكن شيء غيره) كما أشار إليها </w:t>
      </w:r>
      <w:proofErr w:type="spellStart"/>
      <w:r w:rsidR="00777DCB" w:rsidRPr="00A52585">
        <w:rPr>
          <w:rFonts w:hint="cs"/>
          <w:sz w:val="24"/>
          <w:szCs w:val="24"/>
          <w:rtl/>
        </w:rPr>
        <w:t>تليمذه</w:t>
      </w:r>
      <w:proofErr w:type="spellEnd"/>
      <w:r w:rsidR="00777DCB" w:rsidRPr="00A52585">
        <w:rPr>
          <w:rFonts w:hint="cs"/>
          <w:sz w:val="24"/>
          <w:szCs w:val="24"/>
          <w:rtl/>
        </w:rPr>
        <w:t xml:space="preserve"> ابن القيم في مواضع كثيرة من القصيدة النونية</w:t>
      </w:r>
      <w:r w:rsidRPr="00A52585">
        <w:rPr>
          <w:rFonts w:hint="cs"/>
          <w:sz w:val="24"/>
          <w:szCs w:val="24"/>
          <w:rtl/>
        </w:rPr>
        <w:t>]</w:t>
      </w:r>
      <w:r w:rsidR="00DB731D" w:rsidRPr="00A52585">
        <w:rPr>
          <w:rFonts w:hint="cs"/>
          <w:sz w:val="24"/>
          <w:rtl/>
        </w:rPr>
        <w:t>،</w:t>
      </w:r>
      <w:r w:rsidR="00777DCB" w:rsidRPr="00A52585">
        <w:rPr>
          <w:rFonts w:hint="cs"/>
          <w:rtl/>
        </w:rPr>
        <w:t xml:space="preserve"> وهذه التسمية من أقوى الأدلة على جهله</w:t>
      </w:r>
      <w:r w:rsidR="00DB731D" w:rsidRPr="00A52585">
        <w:rPr>
          <w:rFonts w:hint="cs"/>
          <w:rtl/>
        </w:rPr>
        <w:t>،</w:t>
      </w:r>
      <w:r w:rsidR="00777DCB" w:rsidRPr="00A52585">
        <w:rPr>
          <w:rFonts w:hint="cs"/>
          <w:rtl/>
        </w:rPr>
        <w:t xml:space="preserve"> فإن الحادث مسبوق بالعدم</w:t>
      </w:r>
      <w:r w:rsidR="00DB731D" w:rsidRPr="00A52585">
        <w:rPr>
          <w:rFonts w:hint="cs"/>
          <w:rtl/>
        </w:rPr>
        <w:t>،</w:t>
      </w:r>
      <w:r w:rsidR="00777DCB" w:rsidRPr="00A52585">
        <w:rPr>
          <w:rFonts w:hint="cs"/>
          <w:rtl/>
        </w:rPr>
        <w:t xml:space="preserve"> </w:t>
      </w:r>
      <w:r w:rsidR="00777DCB" w:rsidRPr="00A52585">
        <w:rPr>
          <w:rFonts w:hint="cs"/>
          <w:rtl/>
        </w:rPr>
        <w:lastRenderedPageBreak/>
        <w:t>والأول ليس كذلك</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يقول حجة الإسلام الغزالي في كتاب الاقتصاد في الاعتقاد</w:t>
      </w:r>
      <w:r w:rsidRPr="00A52585">
        <w:rPr>
          <w:rFonts w:hint="cs"/>
          <w:sz w:val="24"/>
          <w:szCs w:val="24"/>
          <w:rtl/>
        </w:rPr>
        <w:t>:</w:t>
      </w:r>
      <w:r w:rsidR="00777DCB" w:rsidRPr="00A52585">
        <w:rPr>
          <w:rFonts w:hint="cs"/>
          <w:sz w:val="24"/>
          <w:szCs w:val="24"/>
          <w:rtl/>
        </w:rPr>
        <w:t xml:space="preserve"> " إنا نقول كل حادث فلحدوثه سبب والعالم حادث فيلزم منه أن له سبباً، ونعني (بالعالم) كل موجود سوى الله تعالى {ونعني بكل موجود سوى الله تعالى</w:t>
      </w:r>
      <w:r w:rsidRPr="00A52585">
        <w:rPr>
          <w:rFonts w:hint="cs"/>
          <w:sz w:val="24"/>
          <w:szCs w:val="24"/>
          <w:rtl/>
        </w:rPr>
        <w:t>}</w:t>
      </w:r>
      <w:r w:rsidR="00777DCB" w:rsidRPr="00A52585">
        <w:rPr>
          <w:rFonts w:hint="cs"/>
          <w:sz w:val="24"/>
          <w:szCs w:val="24"/>
          <w:rtl/>
        </w:rPr>
        <w:t xml:space="preserve"> الأجسام كلها وأعراضها "</w:t>
      </w:r>
      <w:r w:rsidRPr="00A52585">
        <w:rPr>
          <w:rFonts w:hint="cs"/>
          <w:sz w:val="24"/>
          <w:szCs w:val="24"/>
          <w:rtl/>
        </w:rPr>
        <w:t xml:space="preserve"> </w:t>
      </w:r>
      <w:r w:rsidR="00777DCB" w:rsidRPr="00A52585">
        <w:rPr>
          <w:rFonts w:hint="cs"/>
          <w:sz w:val="24"/>
          <w:szCs w:val="24"/>
          <w:rtl/>
        </w:rPr>
        <w:t>أهـ ص 29 ثم يقول في موضع آخر</w:t>
      </w:r>
      <w:r w:rsidRPr="00A52585">
        <w:rPr>
          <w:rFonts w:hint="cs"/>
          <w:sz w:val="24"/>
          <w:szCs w:val="24"/>
          <w:rtl/>
        </w:rPr>
        <w:t xml:space="preserve"> </w:t>
      </w:r>
      <w:r w:rsidR="00777DCB" w:rsidRPr="00A52585">
        <w:rPr>
          <w:rFonts w:hint="cs"/>
          <w:sz w:val="24"/>
          <w:szCs w:val="24"/>
          <w:rtl/>
        </w:rPr>
        <w:t>" ندعى أن السبب الذي أثبتناه لوجود العالم قديم فإنه لو كان حادثاً لافتقر إلى سبب آخر وكذلك السبب الآخر ويتسلسل إما إلى غير نهاية وهو محال، وإما أن ينتهي إلى قديم لا محالة يقف عنده وهو الذي تطلبه وتسميه صانع العالم ولابد من الاعتراف به بالضرورة ولا نعني بقولنا قديم إلا أن وجوده غير مسبوق بعدم، فليس تحت لفظ القديم إلا إثبات موجود ونفي عدم سابق"</w:t>
      </w:r>
      <w:r w:rsidRPr="00A52585">
        <w:rPr>
          <w:rFonts w:hint="cs"/>
          <w:sz w:val="24"/>
          <w:szCs w:val="24"/>
          <w:rtl/>
        </w:rPr>
        <w:t xml:space="preserve"> </w:t>
      </w:r>
      <w:r w:rsidR="00777DCB" w:rsidRPr="00A52585">
        <w:rPr>
          <w:rFonts w:hint="cs"/>
          <w:sz w:val="24"/>
          <w:szCs w:val="24"/>
          <w:rtl/>
        </w:rPr>
        <w:t>أهـ ص 38 ويقول إمام الحرمين مبطلا للتسلسل</w:t>
      </w:r>
      <w:r w:rsidRPr="00A52585">
        <w:rPr>
          <w:rFonts w:hint="cs"/>
          <w:sz w:val="24"/>
          <w:szCs w:val="24"/>
          <w:rtl/>
        </w:rPr>
        <w:t xml:space="preserve">: </w:t>
      </w:r>
      <w:r w:rsidR="00777DCB" w:rsidRPr="00A52585">
        <w:rPr>
          <w:rFonts w:hint="cs"/>
          <w:sz w:val="24"/>
          <w:szCs w:val="24"/>
          <w:rtl/>
        </w:rPr>
        <w:t>" وما تسلسل لا يتحصل "</w:t>
      </w:r>
      <w:r w:rsidRPr="00A52585">
        <w:rPr>
          <w:rFonts w:hint="cs"/>
          <w:sz w:val="24"/>
          <w:szCs w:val="24"/>
          <w:rtl/>
        </w:rPr>
        <w:t xml:space="preserve"> </w:t>
      </w:r>
      <w:r w:rsidR="00777DCB" w:rsidRPr="00A52585">
        <w:rPr>
          <w:rFonts w:hint="cs"/>
          <w:sz w:val="24"/>
          <w:szCs w:val="24"/>
          <w:rtl/>
        </w:rPr>
        <w:t>أهـ انظر (العقيدة النظامية) ص 14 بتحقيق الشيخ زاهد الكوثري</w:t>
      </w:r>
      <w:r w:rsidR="00DB731D" w:rsidRPr="00A52585">
        <w:rPr>
          <w:rFonts w:hint="cs"/>
          <w:sz w:val="24"/>
          <w:szCs w:val="24"/>
          <w:rtl/>
        </w:rPr>
        <w:t>،</w:t>
      </w:r>
      <w:r w:rsidR="00777DCB" w:rsidRPr="00A52585">
        <w:rPr>
          <w:rFonts w:hint="cs"/>
          <w:sz w:val="24"/>
          <w:szCs w:val="24"/>
          <w:rtl/>
        </w:rPr>
        <w:t xml:space="preserve"> وإذا كان هذا العالم الحادث مفتقراً إلى موجود قديم يخرجه من العدم إلى الوجود، فإن هذا الموجود القديم </w:t>
      </w:r>
      <w:r w:rsidR="00777DCB" w:rsidRPr="00A52585">
        <w:rPr>
          <w:sz w:val="24"/>
          <w:szCs w:val="24"/>
        </w:rPr>
        <w:t>–</w:t>
      </w:r>
      <w:r w:rsidR="00777DCB" w:rsidRPr="00A52585">
        <w:rPr>
          <w:rFonts w:hint="cs"/>
          <w:sz w:val="24"/>
          <w:szCs w:val="24"/>
          <w:rtl/>
        </w:rPr>
        <w:t xml:space="preserve"> الله سبحانه وتعالى </w:t>
      </w:r>
      <w:r w:rsidR="00777DCB" w:rsidRPr="00A52585">
        <w:rPr>
          <w:sz w:val="24"/>
          <w:szCs w:val="24"/>
        </w:rPr>
        <w:t>–</w:t>
      </w:r>
      <w:r w:rsidR="00777DCB" w:rsidRPr="00A52585">
        <w:rPr>
          <w:rFonts w:hint="cs"/>
          <w:sz w:val="24"/>
          <w:szCs w:val="24"/>
          <w:rtl/>
        </w:rPr>
        <w:t xml:space="preserve"> غير محتاج ولا مفتقر إلى هذا العالم المحدث على الإطلاق بل هو الغني مطلقاً عن خلق هذا العالم وإيجاده يقول تعالى {يا أيها الناس أنتم الفقراء إلى الله والله هو الغني الحميد، إن يشأ يذهبكم ويأت بخلق جديد وما ذلك على الله بعزيز} الآية 15 من سورة فاطر وجاء وصفه تعالى بالغني في عشرين موضعاً آخر من القرآن الكريم ومن هنا فلم يكن سبحانه مضطراً ولا مجبراً على خلق هذا العالم ولا تسببت ذاته المقدسة أو </w:t>
      </w:r>
      <w:proofErr w:type="spellStart"/>
      <w:r w:rsidR="00777DCB" w:rsidRPr="00A52585">
        <w:rPr>
          <w:rFonts w:hint="cs"/>
          <w:sz w:val="24"/>
          <w:szCs w:val="24"/>
          <w:rtl/>
        </w:rPr>
        <w:t>أو</w:t>
      </w:r>
      <w:proofErr w:type="spellEnd"/>
      <w:r w:rsidR="00777DCB" w:rsidRPr="00A52585">
        <w:rPr>
          <w:rFonts w:hint="cs"/>
          <w:sz w:val="24"/>
          <w:szCs w:val="24"/>
          <w:rtl/>
        </w:rPr>
        <w:t xml:space="preserve"> جبت خلق العالم رغماً عنه بغير اختيار ومشيئة كخروج النور والحرارة من الشمس تعالى الله عن ذلك يقول الإمام الفخر الرازي في الباب الرابع من كتاب معالم أصول الدين</w:t>
      </w:r>
      <w:r w:rsidRPr="00A52585">
        <w:rPr>
          <w:rFonts w:hint="cs"/>
          <w:sz w:val="24"/>
          <w:szCs w:val="24"/>
          <w:rtl/>
        </w:rPr>
        <w:t xml:space="preserve"> </w:t>
      </w:r>
      <w:r w:rsidR="00777DCB" w:rsidRPr="00A52585">
        <w:rPr>
          <w:rFonts w:hint="cs"/>
          <w:sz w:val="24"/>
          <w:szCs w:val="24"/>
          <w:rtl/>
        </w:rPr>
        <w:t>" المسألة الأولى</w:t>
      </w:r>
      <w:r w:rsidRPr="00A52585">
        <w:rPr>
          <w:rFonts w:hint="cs"/>
          <w:sz w:val="24"/>
          <w:szCs w:val="24"/>
          <w:rtl/>
        </w:rPr>
        <w:t>:</w:t>
      </w:r>
      <w:r w:rsidR="00777DCB" w:rsidRPr="00A52585">
        <w:rPr>
          <w:rFonts w:hint="cs"/>
          <w:sz w:val="24"/>
          <w:szCs w:val="24"/>
          <w:rtl/>
        </w:rPr>
        <w:t xml:space="preserve"> قد ثبت أن الله تعالى مؤثر في وجود العالم فإما أن يؤثر فيه على سبيل الصحة وهو</w:t>
      </w:r>
      <w:r w:rsidRPr="00A52585">
        <w:rPr>
          <w:rFonts w:hint="cs"/>
          <w:sz w:val="24"/>
          <w:szCs w:val="24"/>
          <w:rtl/>
        </w:rPr>
        <w:t>:</w:t>
      </w:r>
      <w:r w:rsidR="00777DCB" w:rsidRPr="00A52585">
        <w:rPr>
          <w:rFonts w:hint="cs"/>
          <w:sz w:val="24"/>
          <w:szCs w:val="24"/>
          <w:rtl/>
        </w:rPr>
        <w:t xml:space="preserve"> الفاعل المختار أو على سبيل الوجوب وهو</w:t>
      </w:r>
      <w:r w:rsidRPr="00A52585">
        <w:rPr>
          <w:rFonts w:hint="cs"/>
          <w:sz w:val="24"/>
          <w:szCs w:val="24"/>
          <w:rtl/>
        </w:rPr>
        <w:t>:</w:t>
      </w:r>
      <w:r w:rsidR="00777DCB" w:rsidRPr="00A52585">
        <w:rPr>
          <w:rFonts w:hint="cs"/>
          <w:sz w:val="24"/>
          <w:szCs w:val="24"/>
          <w:rtl/>
        </w:rPr>
        <w:t xml:space="preserve"> الموجب بالذات فنقول</w:t>
      </w:r>
      <w:r w:rsidRPr="00A52585">
        <w:rPr>
          <w:rFonts w:hint="cs"/>
          <w:sz w:val="24"/>
          <w:szCs w:val="24"/>
          <w:rtl/>
        </w:rPr>
        <w:t>:</w:t>
      </w:r>
      <w:r w:rsidR="00777DCB" w:rsidRPr="00A52585">
        <w:rPr>
          <w:rFonts w:hint="cs"/>
          <w:sz w:val="24"/>
          <w:szCs w:val="24"/>
          <w:rtl/>
        </w:rPr>
        <w:t xml:space="preserve"> القول بالموجب بالذات باطل لوجوه</w:t>
      </w:r>
      <w:r w:rsidRPr="00A52585">
        <w:rPr>
          <w:rFonts w:hint="cs"/>
          <w:sz w:val="24"/>
          <w:szCs w:val="24"/>
          <w:rtl/>
        </w:rPr>
        <w:t>:</w:t>
      </w:r>
      <w:r w:rsidR="00777DCB" w:rsidRPr="00A52585">
        <w:rPr>
          <w:rFonts w:hint="cs"/>
          <w:sz w:val="24"/>
          <w:szCs w:val="24"/>
          <w:rtl/>
        </w:rPr>
        <w:t xml:space="preserve"> الحجة الأولى</w:t>
      </w:r>
      <w:r w:rsidRPr="00A52585">
        <w:rPr>
          <w:rFonts w:hint="cs"/>
          <w:sz w:val="24"/>
          <w:szCs w:val="24"/>
          <w:rtl/>
        </w:rPr>
        <w:t>:</w:t>
      </w:r>
      <w:r w:rsidR="00777DCB" w:rsidRPr="00A52585">
        <w:rPr>
          <w:rFonts w:hint="cs"/>
          <w:sz w:val="24"/>
          <w:szCs w:val="24"/>
          <w:rtl/>
        </w:rPr>
        <w:t xml:space="preserve"> أنه لو كان تأثيره في وجود العالم على سبيل الإيجاب لزم أن لا يتخلف العالم عنه في الوجود فيلزم إما قدم العالم وإما حدوثه </w:t>
      </w:r>
      <w:r w:rsidR="00777DCB" w:rsidRPr="00A52585">
        <w:rPr>
          <w:sz w:val="24"/>
          <w:szCs w:val="24"/>
        </w:rPr>
        <w:t>–</w:t>
      </w:r>
      <w:r w:rsidR="00777DCB" w:rsidRPr="00A52585">
        <w:rPr>
          <w:rFonts w:hint="cs"/>
          <w:sz w:val="24"/>
          <w:szCs w:val="24"/>
          <w:rtl/>
        </w:rPr>
        <w:t xml:space="preserve"> يقصد حدوث الله </w:t>
      </w:r>
      <w:r w:rsidR="00777DCB" w:rsidRPr="00A52585">
        <w:rPr>
          <w:sz w:val="24"/>
          <w:szCs w:val="24"/>
        </w:rPr>
        <w:t>–</w:t>
      </w:r>
      <w:r w:rsidR="00777DCB" w:rsidRPr="00A52585">
        <w:rPr>
          <w:rFonts w:hint="cs"/>
          <w:sz w:val="24"/>
          <w:szCs w:val="24"/>
          <w:rtl/>
        </w:rPr>
        <w:t xml:space="preserve"> وهما باطلان، فوجب أن لا يكون موجباً بالذات "</w:t>
      </w:r>
      <w:r w:rsidRPr="00A52585">
        <w:rPr>
          <w:rFonts w:hint="cs"/>
          <w:sz w:val="24"/>
          <w:szCs w:val="24"/>
          <w:rtl/>
        </w:rPr>
        <w:t xml:space="preserve"> </w:t>
      </w:r>
      <w:r w:rsidR="00777DCB" w:rsidRPr="00A52585">
        <w:rPr>
          <w:rFonts w:hint="cs"/>
          <w:sz w:val="24"/>
          <w:szCs w:val="24"/>
          <w:rtl/>
        </w:rPr>
        <w:t>أهـ ص</w:t>
      </w:r>
      <w:r w:rsidRPr="00A52585">
        <w:rPr>
          <w:rFonts w:hint="cs"/>
          <w:sz w:val="24"/>
          <w:szCs w:val="24"/>
          <w:rtl/>
        </w:rPr>
        <w:t xml:space="preserve"> </w:t>
      </w:r>
      <w:r w:rsidR="00777DCB" w:rsidRPr="00A52585">
        <w:rPr>
          <w:rFonts w:hint="cs"/>
          <w:sz w:val="24"/>
          <w:szCs w:val="24"/>
          <w:rtl/>
        </w:rPr>
        <w:t>49 صفة القدرة والعلم وبالمثل فقد سعى كل علماء الكلام إلى إثبات حدوث العالم – كل ما سوى الله من الموجودات – وإلى تساوي إمكان وجود العالم وعدمه مما يحتم ضرورة وجود موجود قديم لم يسبق بعدم ولا يستمد وجوده من غيره بل هو واجب الوجود لذاته وهذا الموجود القديم قام بإخراج العالم من العدم إلى الوجود ورجح وجود هذه المحدثات على عدمها وهذا الموجود القديم ليس إلا الله جل وعلا وفي خلال سعيهم ذلك كان لابد من التعرض لإبطال الأقوال الضالة لبعض من تلبسهم الشيطان ومنهم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أولاً</w:t>
      </w:r>
      <w:r w:rsidRPr="00A52585">
        <w:rPr>
          <w:rFonts w:hint="cs"/>
          <w:sz w:val="24"/>
          <w:szCs w:val="24"/>
          <w:rtl/>
        </w:rPr>
        <w:t>):</w:t>
      </w:r>
      <w:r w:rsidR="00777DCB" w:rsidRPr="00A52585">
        <w:rPr>
          <w:rFonts w:hint="cs"/>
          <w:sz w:val="24"/>
          <w:szCs w:val="24"/>
          <w:rtl/>
        </w:rPr>
        <w:t xml:space="preserve"> الدهريين من الفلاسفة الذين قال عنهم القرآن </w:t>
      </w:r>
      <w:r w:rsidRPr="00A52585">
        <w:rPr>
          <w:rFonts w:hint="cs"/>
          <w:sz w:val="24"/>
          <w:szCs w:val="24"/>
          <w:rtl/>
        </w:rPr>
        <w:t>{</w:t>
      </w:r>
      <w:r w:rsidR="00777DCB" w:rsidRPr="00A52585">
        <w:rPr>
          <w:rFonts w:hint="cs"/>
          <w:sz w:val="24"/>
          <w:szCs w:val="24"/>
          <w:rtl/>
        </w:rPr>
        <w:t>وقالوا ما هي إلا حياتنا الدنيا نموت ونحيا وما يهلكنا إلا الدهر</w:t>
      </w:r>
      <w:r w:rsidRPr="00A52585">
        <w:rPr>
          <w:rFonts w:hint="cs"/>
          <w:sz w:val="24"/>
          <w:szCs w:val="24"/>
          <w:rtl/>
        </w:rPr>
        <w:t>}</w:t>
      </w:r>
      <w:r w:rsidR="00777DCB" w:rsidRPr="00A52585">
        <w:rPr>
          <w:rFonts w:hint="cs"/>
          <w:sz w:val="24"/>
          <w:szCs w:val="24"/>
          <w:rtl/>
        </w:rPr>
        <w:t xml:space="preserve"> وقالوا إن العالم لم يزل على ما هو عليه فلم تزل دورة للفلك قبل دورة إلى غير أول ثم لم تزل الحوادث في عالم الكون والفساد تتعاقب كذلك إلى غير مفتح فكل حادث منها مسبوق بمثله فكل ولد مسبوق بوالد وكل زرع مسبوق ببذر وكل بيضة مسبوقة بدجاجة وكل هذا دون احتياج للعالم بجملته إلى صانع، تعالى الله عما يقولون</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ثانياً</w:t>
      </w:r>
      <w:r w:rsidRPr="00A52585">
        <w:rPr>
          <w:rFonts w:hint="cs"/>
          <w:sz w:val="24"/>
          <w:szCs w:val="24"/>
          <w:rtl/>
        </w:rPr>
        <w:t>):</w:t>
      </w:r>
      <w:r w:rsidR="00777DCB" w:rsidRPr="00A52585">
        <w:rPr>
          <w:rFonts w:hint="cs"/>
          <w:sz w:val="24"/>
          <w:szCs w:val="24"/>
          <w:rtl/>
        </w:rPr>
        <w:t xml:space="preserve"> طائفة أخرى من الفلاسفة يقولون بأن العالم هكذا أزلي لا إلى نهاية ولكنه من صنع مُوجب قديم أوجبها أي فرض وجودها ويصور الإمام الغزالي رأيهم بقوله</w:t>
      </w:r>
      <w:r w:rsidRPr="00A52585">
        <w:rPr>
          <w:rFonts w:hint="cs"/>
          <w:sz w:val="24"/>
          <w:szCs w:val="24"/>
          <w:rtl/>
        </w:rPr>
        <w:t xml:space="preserve">: </w:t>
      </w:r>
      <w:r w:rsidR="00777DCB" w:rsidRPr="00A52585">
        <w:rPr>
          <w:rFonts w:hint="cs"/>
          <w:sz w:val="24"/>
          <w:szCs w:val="24"/>
          <w:rtl/>
        </w:rPr>
        <w:t>" إن العالم عندهم لم يزل موجوداً مع الله تعالى ومعلولا له ومساوقاً له غير متأخر عنه بالزمان مساوقة العلة للمعلول ومساواة النور للشمس وأن تقدم الباري عليه كتقدم العلة على المعلول وهو تقدم بالذات والرتبة لا بالزمان "</w:t>
      </w:r>
      <w:r w:rsidRPr="00A52585">
        <w:rPr>
          <w:rFonts w:hint="cs"/>
          <w:sz w:val="24"/>
          <w:szCs w:val="24"/>
          <w:rtl/>
        </w:rPr>
        <w:t xml:space="preserve"> </w:t>
      </w:r>
      <w:r w:rsidR="00777DCB" w:rsidRPr="00A52585">
        <w:rPr>
          <w:rFonts w:hint="cs"/>
          <w:sz w:val="24"/>
          <w:szCs w:val="24"/>
          <w:rtl/>
        </w:rPr>
        <w:t>أ هـ تهافت الفلاسفة والعجيب أن هذا الرأي الخطير للفلاسفة يسوقونه على سبيل الافتراض وليس لهم دليل قوي عليه، يقول الدكتور أحمد حجازي السقا في تحقيقه لكتاب</w:t>
      </w:r>
      <w:r w:rsidRPr="00A52585">
        <w:rPr>
          <w:rFonts w:hint="cs"/>
          <w:sz w:val="24"/>
          <w:szCs w:val="24"/>
          <w:rtl/>
        </w:rPr>
        <w:t>(</w:t>
      </w:r>
      <w:r w:rsidR="00777DCB" w:rsidRPr="00A52585">
        <w:rPr>
          <w:rFonts w:hint="cs"/>
          <w:sz w:val="24"/>
          <w:szCs w:val="24"/>
          <w:rtl/>
        </w:rPr>
        <w:t xml:space="preserve">المسائل الخمسون للفخر </w:t>
      </w:r>
      <w:r w:rsidR="00777DCB" w:rsidRPr="00A52585">
        <w:rPr>
          <w:rFonts w:hint="cs"/>
          <w:sz w:val="24"/>
          <w:szCs w:val="24"/>
          <w:rtl/>
        </w:rPr>
        <w:lastRenderedPageBreak/>
        <w:t>الرازي)</w:t>
      </w:r>
      <w:r w:rsidRPr="00A52585">
        <w:rPr>
          <w:rFonts w:hint="cs"/>
          <w:sz w:val="24"/>
          <w:szCs w:val="24"/>
          <w:rtl/>
        </w:rPr>
        <w:t xml:space="preserve">: </w:t>
      </w:r>
      <w:r w:rsidR="00777DCB" w:rsidRPr="00A52585">
        <w:rPr>
          <w:rFonts w:hint="cs"/>
          <w:sz w:val="24"/>
          <w:szCs w:val="24"/>
          <w:rtl/>
        </w:rPr>
        <w:t>" وكلام أرسطو لا برهان عليه منه وإنما ذكره ككلام يعوزه الدليل لقوله (التي ليست لنا فيها حجة أو هي عظيمة عندنا قلنا فيها لم ذلك</w:t>
      </w:r>
      <w:r w:rsidR="00F95886" w:rsidRPr="00A52585">
        <w:rPr>
          <w:rFonts w:hint="cs"/>
          <w:sz w:val="24"/>
          <w:szCs w:val="24"/>
          <w:rtl/>
        </w:rPr>
        <w:t>؟</w:t>
      </w:r>
      <w:r w:rsidR="00777DCB" w:rsidRPr="00A52585">
        <w:rPr>
          <w:rFonts w:hint="cs"/>
          <w:sz w:val="24"/>
          <w:szCs w:val="24"/>
          <w:rtl/>
        </w:rPr>
        <w:t xml:space="preserve"> عسر مثل قولنا</w:t>
      </w:r>
      <w:r w:rsidRPr="00A52585">
        <w:rPr>
          <w:rFonts w:hint="cs"/>
          <w:sz w:val="24"/>
          <w:szCs w:val="24"/>
          <w:rtl/>
        </w:rPr>
        <w:t>:</w:t>
      </w:r>
      <w:r w:rsidR="00777DCB" w:rsidRPr="00A52585">
        <w:rPr>
          <w:rFonts w:hint="cs"/>
          <w:sz w:val="24"/>
          <w:szCs w:val="24"/>
          <w:rtl/>
        </w:rPr>
        <w:t xml:space="preserve"> هل العالم </w:t>
      </w:r>
      <w:proofErr w:type="spellStart"/>
      <w:r w:rsidR="00777DCB" w:rsidRPr="00A52585">
        <w:rPr>
          <w:rFonts w:hint="cs"/>
          <w:sz w:val="24"/>
          <w:szCs w:val="24"/>
          <w:rtl/>
        </w:rPr>
        <w:t>أزلى</w:t>
      </w:r>
      <w:proofErr w:type="spellEnd"/>
      <w:r w:rsidR="00777DCB" w:rsidRPr="00A52585">
        <w:rPr>
          <w:rFonts w:hint="cs"/>
          <w:sz w:val="24"/>
          <w:szCs w:val="24"/>
          <w:rtl/>
        </w:rPr>
        <w:t xml:space="preserve"> أم لا</w:t>
      </w:r>
      <w:r w:rsidR="00F95886" w:rsidRPr="00A52585">
        <w:rPr>
          <w:rFonts w:hint="cs"/>
          <w:sz w:val="24"/>
          <w:szCs w:val="24"/>
          <w:rtl/>
        </w:rPr>
        <w:t>؟</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لذا وضح حجة الإسلام الغزالي بأن مآل هذا القول_ أزلية العالم أو حوادث لا أول لها </w:t>
      </w:r>
      <w:r w:rsidR="00777DCB" w:rsidRPr="00A52585">
        <w:rPr>
          <w:sz w:val="24"/>
          <w:szCs w:val="24"/>
        </w:rPr>
        <w:t>–</w:t>
      </w:r>
      <w:r w:rsidR="00777DCB" w:rsidRPr="00A52585">
        <w:rPr>
          <w:rFonts w:hint="cs"/>
          <w:sz w:val="24"/>
          <w:szCs w:val="24"/>
          <w:rtl/>
        </w:rPr>
        <w:t xml:space="preserve"> هو الانتماء حتماً إلى عدم احتياج العالم بجملته إلى صانع فقال موجها كلامه إلى الفلاسفة</w:t>
      </w:r>
      <w:r w:rsidRPr="00A52585">
        <w:rPr>
          <w:rFonts w:hint="cs"/>
          <w:sz w:val="24"/>
          <w:szCs w:val="24"/>
          <w:rtl/>
        </w:rPr>
        <w:t xml:space="preserve">: </w:t>
      </w:r>
      <w:r w:rsidR="00777DCB" w:rsidRPr="00A52585">
        <w:rPr>
          <w:rFonts w:hint="cs"/>
          <w:sz w:val="24"/>
          <w:szCs w:val="24"/>
          <w:rtl/>
        </w:rPr>
        <w:t>" ما الذي يمنعكم من مذهب الدهرية وهو أن العالم قديم كما قلتم ولا علة له ولا صانع وإنما العلة للحوادث</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تهافت الفلاسفة ص 196</w:t>
      </w:r>
      <w:r w:rsidR="00DB731D" w:rsidRPr="00A52585">
        <w:rPr>
          <w:rFonts w:hint="cs"/>
          <w:sz w:val="24"/>
          <w:szCs w:val="24"/>
          <w:rtl/>
        </w:rPr>
        <w:t>،</w:t>
      </w:r>
      <w:r w:rsidR="00777DCB" w:rsidRPr="00A52585">
        <w:rPr>
          <w:rFonts w:hint="cs"/>
          <w:sz w:val="24"/>
          <w:szCs w:val="24"/>
          <w:rtl/>
        </w:rPr>
        <w:t xml:space="preserve"> وليست خطورة هذا القول – حوادث لا أول لها – فقط فيما تقدم ذكره من نفي الصانع جل وعلا بل إذا سلمنا أن هذا لن يتم فهناك خطورة أخرى مماثلة لا فكاك منها وهي أن هذا الصانع </w:t>
      </w:r>
      <w:r w:rsidR="00777DCB" w:rsidRPr="00A52585">
        <w:rPr>
          <w:sz w:val="24"/>
          <w:szCs w:val="24"/>
        </w:rPr>
        <w:t>–</w:t>
      </w:r>
      <w:r w:rsidR="00777DCB" w:rsidRPr="00A52585">
        <w:rPr>
          <w:rFonts w:hint="cs"/>
          <w:sz w:val="24"/>
          <w:szCs w:val="24"/>
          <w:rtl/>
        </w:rPr>
        <w:t xml:space="preserve"> تعالى الله عن ذلك </w:t>
      </w:r>
      <w:r w:rsidR="00777DCB" w:rsidRPr="00A52585">
        <w:rPr>
          <w:sz w:val="24"/>
          <w:szCs w:val="24"/>
        </w:rPr>
        <w:t>–</w:t>
      </w:r>
      <w:r w:rsidR="00777DCB" w:rsidRPr="00A52585">
        <w:rPr>
          <w:rFonts w:hint="cs"/>
          <w:sz w:val="24"/>
          <w:szCs w:val="24"/>
          <w:rtl/>
        </w:rPr>
        <w:t xml:space="preserve"> موجباً لا إيثار له أي لا اختيار له ولا قصد ولا إرادة يقول الدكتور/ عبد الفضيل القوصي في </w:t>
      </w:r>
      <w:proofErr w:type="spellStart"/>
      <w:r w:rsidR="00777DCB" w:rsidRPr="00A52585">
        <w:rPr>
          <w:rFonts w:hint="cs"/>
          <w:sz w:val="24"/>
          <w:szCs w:val="24"/>
          <w:rtl/>
        </w:rPr>
        <w:t>هوامشة</w:t>
      </w:r>
      <w:proofErr w:type="spellEnd"/>
      <w:r w:rsidR="00777DCB" w:rsidRPr="00A52585">
        <w:rPr>
          <w:rFonts w:hint="cs"/>
          <w:sz w:val="24"/>
          <w:szCs w:val="24"/>
          <w:rtl/>
        </w:rPr>
        <w:t xml:space="preserve"> على العقيدة النظامية</w:t>
      </w:r>
      <w:r w:rsidRPr="00A52585">
        <w:rPr>
          <w:rFonts w:hint="cs"/>
          <w:sz w:val="24"/>
          <w:szCs w:val="24"/>
          <w:rtl/>
        </w:rPr>
        <w:t xml:space="preserve">: </w:t>
      </w:r>
      <w:r w:rsidR="00777DCB" w:rsidRPr="00A52585">
        <w:rPr>
          <w:rFonts w:hint="cs"/>
          <w:sz w:val="24"/>
          <w:szCs w:val="24"/>
          <w:rtl/>
        </w:rPr>
        <w:t xml:space="preserve">" لا يستطيع أحد </w:t>
      </w:r>
      <w:r w:rsidR="00777DCB" w:rsidRPr="00A52585">
        <w:rPr>
          <w:sz w:val="24"/>
          <w:szCs w:val="24"/>
        </w:rPr>
        <w:t>–</w:t>
      </w:r>
      <w:r w:rsidR="00777DCB" w:rsidRPr="00A52585">
        <w:rPr>
          <w:rFonts w:hint="cs"/>
          <w:sz w:val="24"/>
          <w:szCs w:val="24"/>
          <w:rtl/>
        </w:rPr>
        <w:t xml:space="preserve"> لا من المتكلمين ولا من الفلاسفة </w:t>
      </w:r>
      <w:r w:rsidR="00777DCB" w:rsidRPr="00A52585">
        <w:rPr>
          <w:sz w:val="24"/>
          <w:szCs w:val="24"/>
        </w:rPr>
        <w:t>–</w:t>
      </w:r>
      <w:r w:rsidR="00777DCB" w:rsidRPr="00A52585">
        <w:rPr>
          <w:rFonts w:hint="cs"/>
          <w:sz w:val="24"/>
          <w:szCs w:val="24"/>
          <w:rtl/>
        </w:rPr>
        <w:t xml:space="preserve"> أن يقول إن القديم يصح استناده إلى الفاعل المختار فمن أوضح الواضحات أن القدم ينافي تأثير الفاعل المختار ذلك أن تأثير الفاعل المختار مسبوق بالقصد والإرادة والقصد إلى إيجاد الشيء لابد أن يتوجه إليه حال عدمه، لأن القصد إلى إيجاد الموجود تحصيل للحاصل وهو محال فالقصد حين يتجه إلى الشيء المعدوم يوجده بعد أن لم يكن، فيكون حادثاً بعد العدم لا محالة إذن ففعل الفاعل المختار يستلزم بالضرورة حدوث مفعوله، يترتب على هذا أنه حين يقول الفلاسفة بقدم العالم قدماً زمانياً </w:t>
      </w:r>
      <w:r w:rsidR="00777DCB" w:rsidRPr="00A52585">
        <w:rPr>
          <w:sz w:val="24"/>
          <w:szCs w:val="24"/>
        </w:rPr>
        <w:t>–</w:t>
      </w:r>
      <w:r w:rsidR="00777DCB" w:rsidRPr="00A52585">
        <w:rPr>
          <w:rFonts w:hint="cs"/>
          <w:sz w:val="24"/>
          <w:szCs w:val="24"/>
          <w:rtl/>
        </w:rPr>
        <w:t xml:space="preserve"> بمعنى أنه لم يكن مسبوقاً بعدمه المطلق </w:t>
      </w:r>
      <w:r w:rsidR="00777DCB" w:rsidRPr="00A52585">
        <w:rPr>
          <w:sz w:val="24"/>
          <w:szCs w:val="24"/>
        </w:rPr>
        <w:t>–</w:t>
      </w:r>
      <w:r w:rsidR="00777DCB" w:rsidRPr="00A52585">
        <w:rPr>
          <w:rFonts w:hint="cs"/>
          <w:sz w:val="24"/>
          <w:szCs w:val="24"/>
          <w:rtl/>
        </w:rPr>
        <w:t xml:space="preserve"> فإنهم في نفس اللحظة لا يستطيعون القول أنه تعالى فاعل لهذا العالم بالقصد والاختيار بل يقولون إنه موجب بالذات وحين يقول المتكلمون إن العالم حادث بعد أن لم يكن فإنهم يقولون في اللحظة ذاتها أنه تعالى فاعل لهذا العالم بالقصد والاختيار "</w:t>
      </w:r>
      <w:r w:rsidRPr="00A52585">
        <w:rPr>
          <w:rFonts w:hint="cs"/>
          <w:sz w:val="24"/>
          <w:szCs w:val="24"/>
          <w:rtl/>
        </w:rPr>
        <w:t xml:space="preserve"> </w:t>
      </w:r>
      <w:r w:rsidR="00777DCB" w:rsidRPr="00A52585">
        <w:rPr>
          <w:rFonts w:hint="cs"/>
          <w:sz w:val="24"/>
          <w:szCs w:val="24"/>
          <w:rtl/>
        </w:rPr>
        <w:t>ص 72 ثم شرح فضيلته أن دوافع هذا الخلاف بين الفلاسفة والمتكلمون إنما هو في تصور كل منهما للكمال الإلهي، فالفلاسفة ينظرون للكمال الإلهي من زاوية دوام جوده فجوده تعالى يجب أن يكون دائماً فإذا قال المتكلمون إن العالم قد وجد بعد العدم فقد عطلوا الله جل وعلى لن جوده ومن ثم يسميهم ابن سينا (المعطلة)، أما المتكلمون فمع إقرارهم بدوام الجود قد فطنوا إلى أن الكمال الإلهي لا يتم إلا مع القصد والاختيار وهذا يستلزم أن يكون العالم المقصود فعله والمختار إيجاده معدوما حال توجه القصد والاختيار إليه ثم يوجد بعدئذ</w:t>
      </w:r>
      <w:r w:rsidR="00DB731D" w:rsidRPr="00A52585">
        <w:rPr>
          <w:rFonts w:hint="cs"/>
          <w:sz w:val="24"/>
          <w:szCs w:val="24"/>
          <w:rtl/>
        </w:rPr>
        <w:t>،</w:t>
      </w:r>
      <w:r w:rsidR="00777DCB" w:rsidRPr="00A52585">
        <w:rPr>
          <w:rFonts w:hint="cs"/>
          <w:sz w:val="24"/>
          <w:szCs w:val="24"/>
          <w:rtl/>
        </w:rPr>
        <w:t xml:space="preserve"> لذا فقد سعى علماء أصول الدين نضر الله وجوههم إلى دحض هذه الشبهة وإقامة الأدلة الواضحة على بطلانها من جميع الوجوه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أولها</w:t>
      </w:r>
      <w:r w:rsidRPr="00A52585">
        <w:rPr>
          <w:rFonts w:hint="cs"/>
          <w:sz w:val="24"/>
          <w:szCs w:val="24"/>
          <w:rtl/>
        </w:rPr>
        <w:t>):</w:t>
      </w:r>
      <w:r w:rsidR="00777DCB" w:rsidRPr="00A52585">
        <w:rPr>
          <w:rFonts w:hint="cs"/>
          <w:sz w:val="24"/>
          <w:szCs w:val="24"/>
          <w:rtl/>
        </w:rPr>
        <w:t xml:space="preserve"> إثبات حدوث العالم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ثانيها</w:t>
      </w:r>
      <w:r w:rsidRPr="00A52585">
        <w:rPr>
          <w:rFonts w:hint="cs"/>
          <w:sz w:val="24"/>
          <w:szCs w:val="24"/>
          <w:rtl/>
        </w:rPr>
        <w:t>):</w:t>
      </w:r>
      <w:r w:rsidR="00777DCB" w:rsidRPr="00A52585">
        <w:rPr>
          <w:rFonts w:hint="cs"/>
          <w:sz w:val="24"/>
          <w:szCs w:val="24"/>
          <w:rtl/>
        </w:rPr>
        <w:t xml:space="preserve"> إثبات الإرادة والاختيار للخالق عز وجل</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ثالثها</w:t>
      </w:r>
      <w:r w:rsidRPr="00A52585">
        <w:rPr>
          <w:rFonts w:hint="cs"/>
          <w:sz w:val="24"/>
          <w:szCs w:val="24"/>
          <w:rtl/>
        </w:rPr>
        <w:t>):</w:t>
      </w:r>
      <w:r w:rsidR="00777DCB" w:rsidRPr="00A52585">
        <w:rPr>
          <w:rFonts w:hint="cs"/>
          <w:sz w:val="24"/>
          <w:szCs w:val="24"/>
          <w:rtl/>
        </w:rPr>
        <w:t xml:space="preserve"> إثبات التناقض في هذه الدعوى (دعوى</w:t>
      </w:r>
      <w:r w:rsidRPr="00A52585">
        <w:rPr>
          <w:rFonts w:hint="cs"/>
          <w:sz w:val="24"/>
          <w:szCs w:val="24"/>
          <w:rtl/>
        </w:rPr>
        <w:t>:</w:t>
      </w:r>
      <w:r w:rsidR="00777DCB" w:rsidRPr="00A52585">
        <w:rPr>
          <w:rFonts w:hint="cs"/>
          <w:sz w:val="24"/>
          <w:szCs w:val="24"/>
          <w:rtl/>
        </w:rPr>
        <w:t xml:space="preserve"> حوادث لا أول لها)</w:t>
      </w:r>
      <w:r w:rsidR="00DB731D" w:rsidRPr="00A52585">
        <w:rPr>
          <w:rFonts w:hint="cs"/>
          <w:sz w:val="24"/>
          <w:szCs w:val="24"/>
          <w:rtl/>
        </w:rPr>
        <w:t>،</w:t>
      </w:r>
      <w:r w:rsidR="00777DCB" w:rsidRPr="00A52585">
        <w:rPr>
          <w:rFonts w:hint="cs"/>
          <w:sz w:val="24"/>
          <w:szCs w:val="24"/>
          <w:rtl/>
        </w:rPr>
        <w:t xml:space="preserve"> يقول إمام الحرمين في العقيدة النظامية</w:t>
      </w:r>
      <w:r w:rsidRPr="00A52585">
        <w:rPr>
          <w:rFonts w:hint="cs"/>
          <w:sz w:val="24"/>
          <w:szCs w:val="24"/>
          <w:rtl/>
        </w:rPr>
        <w:t xml:space="preserve"> </w:t>
      </w:r>
      <w:r w:rsidR="00777DCB" w:rsidRPr="00A52585">
        <w:rPr>
          <w:rFonts w:hint="cs"/>
          <w:sz w:val="24"/>
          <w:szCs w:val="24"/>
          <w:rtl/>
        </w:rPr>
        <w:t>" ومن أثبت حوادث منفصلة لا نهاية لها إلى غير أول فقد جمع بين الحدوث والحكم بالقدم ومن انتهى علمه إلى إثبات حوادث أزلية فقد انسل عن مقتضى العقول، فإن حكم الحوادث الابتداء عن عدم والأزل يشعر ببقاء الأزلية فقد بطل أن يكون مُوقع العالم موجباً لا إيثار له، ووجب القول بصانع مختار مريد قد أوقع العالم على موجب مشيئته "</w:t>
      </w:r>
      <w:r w:rsidRPr="00A52585">
        <w:rPr>
          <w:rFonts w:hint="cs"/>
          <w:sz w:val="24"/>
          <w:szCs w:val="24"/>
          <w:rtl/>
        </w:rPr>
        <w:t xml:space="preserve"> </w:t>
      </w:r>
      <w:r w:rsidR="00777DCB" w:rsidRPr="00A52585">
        <w:rPr>
          <w:rFonts w:hint="cs"/>
          <w:sz w:val="24"/>
          <w:szCs w:val="24"/>
          <w:rtl/>
        </w:rPr>
        <w:t>أهـ ص 14 ط بتعليق العلامة زاهد الكوثري</w:t>
      </w:r>
      <w:r w:rsidR="00DB731D" w:rsidRPr="00A52585">
        <w:rPr>
          <w:rFonts w:hint="cs"/>
          <w:sz w:val="24"/>
          <w:szCs w:val="24"/>
          <w:rtl/>
        </w:rPr>
        <w:t>،</w:t>
      </w:r>
      <w:r w:rsidR="00777DCB" w:rsidRPr="00A52585">
        <w:rPr>
          <w:rFonts w:hint="cs"/>
          <w:sz w:val="24"/>
          <w:szCs w:val="24"/>
          <w:rtl/>
        </w:rPr>
        <w:t xml:space="preserve"> ويقول الإمام سعد الدين </w:t>
      </w:r>
      <w:proofErr w:type="spellStart"/>
      <w:r w:rsidR="00777DCB" w:rsidRPr="00A52585">
        <w:rPr>
          <w:rFonts w:hint="cs"/>
          <w:sz w:val="24"/>
          <w:szCs w:val="24"/>
          <w:rtl/>
        </w:rPr>
        <w:t>التفتازاني</w:t>
      </w:r>
      <w:proofErr w:type="spellEnd"/>
      <w:r w:rsidR="00777DCB" w:rsidRPr="00A52585">
        <w:rPr>
          <w:rFonts w:hint="cs"/>
          <w:sz w:val="24"/>
          <w:szCs w:val="24"/>
          <w:rtl/>
        </w:rPr>
        <w:t xml:space="preserve"> في شرح المقاصد</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وثانيا</w:t>
      </w:r>
      <w:r w:rsidRPr="00A52585">
        <w:rPr>
          <w:rFonts w:hint="cs"/>
          <w:sz w:val="24"/>
          <w:szCs w:val="24"/>
          <w:rtl/>
        </w:rPr>
        <w:t>:</w:t>
      </w:r>
      <w:r w:rsidR="00777DCB" w:rsidRPr="00A52585">
        <w:rPr>
          <w:rFonts w:hint="cs"/>
          <w:sz w:val="24"/>
          <w:szCs w:val="24"/>
          <w:rtl/>
        </w:rPr>
        <w:t xml:space="preserve"> بإقامة البرهان على امتناع تعاقب الحوادث الغير متناهية وذلك أيضاً لوجهين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أحدهما</w:t>
      </w:r>
      <w:r w:rsidRPr="00A52585">
        <w:rPr>
          <w:rFonts w:hint="cs"/>
          <w:bCs/>
          <w:sz w:val="24"/>
          <w:szCs w:val="24"/>
          <w:rtl/>
        </w:rPr>
        <w:t>):</w:t>
      </w:r>
      <w:r w:rsidR="00777DCB" w:rsidRPr="00A52585">
        <w:rPr>
          <w:rFonts w:hint="cs"/>
          <w:sz w:val="24"/>
          <w:szCs w:val="24"/>
          <w:rtl/>
        </w:rPr>
        <w:t xml:space="preserve"> طريق التطبيق وهو أن نفرض جملة من الحوادث المتعاقبة من الآن وأخرى من يوم الطوفان كل منهما لا إلى نهاية، ثم تطبق بينهما بحسب فرض العقل إجمالا، بأن تقابل الأول من هذه بالأول من تلك وهكذا، فإما أن يتساوى الكل والجزء أوْ لا فتنقطع </w:t>
      </w:r>
      <w:proofErr w:type="spellStart"/>
      <w:r w:rsidR="00777DCB" w:rsidRPr="00A52585">
        <w:rPr>
          <w:rFonts w:hint="cs"/>
          <w:sz w:val="24"/>
          <w:szCs w:val="24"/>
          <w:rtl/>
        </w:rPr>
        <w:t>الطوفانية</w:t>
      </w:r>
      <w:proofErr w:type="spellEnd"/>
      <w:r w:rsidR="00777DCB" w:rsidRPr="00A52585">
        <w:rPr>
          <w:rFonts w:hint="cs"/>
          <w:sz w:val="24"/>
          <w:szCs w:val="24"/>
          <w:rtl/>
        </w:rPr>
        <w:t xml:space="preserve"> ويلزم انتهاء الآنية لأنها لا تزيد عليها إلا بقدر متناه</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و </w:t>
      </w:r>
      <w:r w:rsidRPr="00A52585">
        <w:rPr>
          <w:rFonts w:hint="cs"/>
          <w:bCs/>
          <w:sz w:val="24"/>
          <w:szCs w:val="24"/>
          <w:rtl/>
        </w:rPr>
        <w:t>(</w:t>
      </w:r>
      <w:r w:rsidR="00777DCB" w:rsidRPr="00A52585">
        <w:rPr>
          <w:rFonts w:hint="cs"/>
          <w:bCs/>
          <w:sz w:val="24"/>
          <w:szCs w:val="24"/>
          <w:rtl/>
        </w:rPr>
        <w:t>ثانيهما</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طريق التكافؤ وهو أنا نفرض سلسلة من الحادث المعين الذي هو </w:t>
      </w:r>
      <w:r w:rsidR="00777DCB" w:rsidRPr="00A52585">
        <w:rPr>
          <w:rFonts w:hint="cs"/>
          <w:sz w:val="24"/>
          <w:szCs w:val="24"/>
          <w:rtl/>
        </w:rPr>
        <w:lastRenderedPageBreak/>
        <w:t>مسبوق</w:t>
      </w:r>
      <w:r w:rsidRPr="00A52585">
        <w:rPr>
          <w:rFonts w:hint="cs"/>
          <w:sz w:val="24"/>
          <w:szCs w:val="24"/>
          <w:rtl/>
        </w:rPr>
        <w:t xml:space="preserve"> </w:t>
      </w:r>
      <w:r w:rsidR="00777DCB" w:rsidRPr="00A52585">
        <w:rPr>
          <w:rFonts w:hint="cs"/>
          <w:sz w:val="24"/>
          <w:szCs w:val="24"/>
          <w:rtl/>
        </w:rPr>
        <w:t>بحادث وليس سابقاً على حادث آخر بمنزلة المعلول الأخيرة فلضرورة تضايف السابقية والمسبوقية وتكافؤ المتضايقين في الوجود لزم أن تشتمل السلسلة على سابق غير مسبوق وهو المنتهي"</w:t>
      </w:r>
      <w:r w:rsidRPr="00A52585">
        <w:rPr>
          <w:rFonts w:hint="cs"/>
          <w:sz w:val="24"/>
          <w:szCs w:val="24"/>
          <w:rtl/>
        </w:rPr>
        <w:t xml:space="preserve"> </w:t>
      </w:r>
      <w:r w:rsidR="00777DCB" w:rsidRPr="00A52585">
        <w:rPr>
          <w:rFonts w:hint="cs"/>
          <w:sz w:val="24"/>
          <w:szCs w:val="24"/>
          <w:rtl/>
        </w:rPr>
        <w:t>ثم يقول في موضع آخر</w:t>
      </w:r>
      <w:r w:rsidRPr="00A52585">
        <w:rPr>
          <w:rFonts w:hint="cs"/>
          <w:sz w:val="24"/>
          <w:szCs w:val="24"/>
          <w:rtl/>
        </w:rPr>
        <w:t xml:space="preserve">: </w:t>
      </w:r>
      <w:r w:rsidR="00777DCB" w:rsidRPr="00A52585">
        <w:rPr>
          <w:rFonts w:hint="cs"/>
          <w:sz w:val="24"/>
          <w:szCs w:val="24"/>
          <w:rtl/>
        </w:rPr>
        <w:t>" لما كان كل حادث مسبوقاً بالعدم، كان الكل كذلك، فإنه إذا كان كل زنجي أسود كان الكل أسود ضرورة "</w:t>
      </w:r>
      <w:r w:rsidRPr="00A52585">
        <w:rPr>
          <w:rFonts w:hint="cs"/>
          <w:sz w:val="24"/>
          <w:szCs w:val="24"/>
          <w:rtl/>
        </w:rPr>
        <w:t xml:space="preserve"> </w:t>
      </w:r>
      <w:r w:rsidR="00777DCB" w:rsidRPr="00A52585">
        <w:rPr>
          <w:rFonts w:hint="cs"/>
          <w:sz w:val="24"/>
          <w:szCs w:val="24"/>
          <w:rtl/>
        </w:rPr>
        <w:t>أهـ ج 3 ص 113، 114، 115ط الكليات الأزهرية</w:t>
      </w:r>
      <w:r w:rsidR="00DB731D" w:rsidRPr="00A52585">
        <w:rPr>
          <w:rFonts w:hint="cs"/>
          <w:sz w:val="24"/>
          <w:szCs w:val="24"/>
          <w:rtl/>
        </w:rPr>
        <w:t>،</w:t>
      </w:r>
      <w:r w:rsidR="00777DCB" w:rsidRPr="00A52585">
        <w:rPr>
          <w:rFonts w:hint="cs"/>
          <w:sz w:val="24"/>
          <w:szCs w:val="24"/>
          <w:rtl/>
        </w:rPr>
        <w:t xml:space="preserve"> هذه نماذج من الأدلة الموضحة في مواضعها من كتب العقيدة التي تعني بإثبات صحة العقائد وتعضيدها بالأدلة العقلية أما من نصوص القرآن والسنة </w:t>
      </w:r>
      <w:proofErr w:type="spellStart"/>
      <w:r w:rsidR="00777DCB" w:rsidRPr="00A52585">
        <w:rPr>
          <w:rFonts w:hint="cs"/>
          <w:sz w:val="24"/>
          <w:szCs w:val="24"/>
          <w:rtl/>
        </w:rPr>
        <w:t>فهى</w:t>
      </w:r>
      <w:proofErr w:type="spellEnd"/>
      <w:r w:rsidR="00777DCB" w:rsidRPr="00A52585">
        <w:rPr>
          <w:rFonts w:hint="cs"/>
          <w:sz w:val="24"/>
          <w:szCs w:val="24"/>
          <w:rtl/>
        </w:rPr>
        <w:t xml:space="preserve"> قاطعة بأن للعالم مبدأ ومفتح كما سيأتي بعد</w:t>
      </w:r>
      <w:r w:rsidR="00DB731D" w:rsidRPr="00A52585">
        <w:rPr>
          <w:rFonts w:hint="cs"/>
          <w:sz w:val="24"/>
          <w:szCs w:val="24"/>
          <w:rtl/>
        </w:rPr>
        <w:t>،</w:t>
      </w:r>
      <w:r w:rsidR="00777DCB" w:rsidRPr="00A52585">
        <w:rPr>
          <w:rFonts w:hint="cs"/>
          <w:sz w:val="24"/>
          <w:szCs w:val="24"/>
          <w:rtl/>
        </w:rPr>
        <w:t xml:space="preserve"> لذا لم يكن غريباً وإزاء ما يستلزمه هذا القول الضال- القول بحوادث لا أول لها </w:t>
      </w:r>
      <w:r w:rsidR="00777DCB" w:rsidRPr="00A52585">
        <w:rPr>
          <w:sz w:val="24"/>
          <w:szCs w:val="24"/>
        </w:rPr>
        <w:t>–</w:t>
      </w:r>
      <w:r w:rsidR="00777DCB" w:rsidRPr="00A52585">
        <w:rPr>
          <w:rFonts w:hint="cs"/>
          <w:sz w:val="24"/>
          <w:szCs w:val="24"/>
          <w:rtl/>
        </w:rPr>
        <w:t xml:space="preserve"> وما يترتب عليه من نفس الصانع جل وعلا أو نفي القصد والاختيار عنه</w:t>
      </w:r>
      <w:r w:rsidR="00DB731D" w:rsidRPr="00A52585">
        <w:rPr>
          <w:rFonts w:hint="cs"/>
          <w:sz w:val="24"/>
          <w:szCs w:val="24"/>
          <w:rtl/>
        </w:rPr>
        <w:t>،</w:t>
      </w:r>
      <w:r w:rsidR="00777DCB" w:rsidRPr="00A52585">
        <w:rPr>
          <w:rFonts w:hint="cs"/>
          <w:sz w:val="24"/>
          <w:szCs w:val="24"/>
          <w:rtl/>
        </w:rPr>
        <w:t xml:space="preserve"> أن يعتبر علماء أصول الدين مسألة حدوث العالم أحد الضروريات التي يجب التصديق بها ويكفر منكرها يقول الإمام سعد الدين </w:t>
      </w:r>
      <w:proofErr w:type="spellStart"/>
      <w:r w:rsidR="00777DCB" w:rsidRPr="00A52585">
        <w:rPr>
          <w:rFonts w:hint="cs"/>
          <w:sz w:val="24"/>
          <w:szCs w:val="24"/>
          <w:rtl/>
        </w:rPr>
        <w:t>التفتازاني</w:t>
      </w:r>
      <w:proofErr w:type="spellEnd"/>
      <w:r w:rsidR="00777DCB" w:rsidRPr="00A52585">
        <w:rPr>
          <w:rFonts w:hint="cs"/>
          <w:sz w:val="24"/>
          <w:szCs w:val="24"/>
          <w:rtl/>
        </w:rPr>
        <w:t xml:space="preserve"> في شرح المقاصد</w:t>
      </w:r>
      <w:r w:rsidRPr="00A52585">
        <w:rPr>
          <w:rFonts w:hint="cs"/>
          <w:sz w:val="24"/>
          <w:szCs w:val="24"/>
          <w:rtl/>
        </w:rPr>
        <w:t xml:space="preserve">: </w:t>
      </w:r>
      <w:r w:rsidR="00777DCB" w:rsidRPr="00A52585">
        <w:rPr>
          <w:rFonts w:hint="cs"/>
          <w:sz w:val="24"/>
          <w:szCs w:val="24"/>
          <w:rtl/>
        </w:rPr>
        <w:t>" المبحث السابع- في حكم مخالف الحق من أهل القبلة</w:t>
      </w:r>
      <w:r w:rsidRPr="00A52585">
        <w:rPr>
          <w:rFonts w:hint="cs"/>
          <w:sz w:val="24"/>
          <w:szCs w:val="24"/>
          <w:rtl/>
        </w:rPr>
        <w:t>:</w:t>
      </w:r>
      <w:r w:rsidR="00777DCB" w:rsidRPr="00A52585">
        <w:rPr>
          <w:rFonts w:hint="cs"/>
          <w:sz w:val="24"/>
          <w:szCs w:val="24"/>
          <w:rtl/>
        </w:rPr>
        <w:t xml:space="preserve"> ليس بكافر ما لم يخالف ما هو من ضروريات الدين كحدوث العالم وحشر الأجساد</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ثم قال في شرح هذا المبحث</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ومعناه أن الذين اتفقوا على ما هو من ضروريات الإسلام كحدوث العالم وحشر الأجساد</w:t>
      </w:r>
      <w:r w:rsidRPr="00A52585">
        <w:rPr>
          <w:rFonts w:hint="cs"/>
          <w:sz w:val="24"/>
          <w:szCs w:val="24"/>
          <w:rtl/>
        </w:rPr>
        <w:t xml:space="preserve"> </w:t>
      </w:r>
      <w:r w:rsidR="00777DCB" w:rsidRPr="00A52585">
        <w:rPr>
          <w:rFonts w:hint="cs"/>
          <w:sz w:val="24"/>
          <w:szCs w:val="24"/>
          <w:rtl/>
        </w:rPr>
        <w:t>وإلا فلا نزاع في كفر أهل القبلة المواظب طول العمر على الطاعات باعتقاد قدم العالم</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ثم قال</w:t>
      </w:r>
      <w:r w:rsidRPr="00A52585">
        <w:rPr>
          <w:rFonts w:hint="cs"/>
          <w:sz w:val="24"/>
          <w:szCs w:val="24"/>
          <w:rtl/>
        </w:rPr>
        <w:t xml:space="preserve"> </w:t>
      </w:r>
      <w:r w:rsidR="00777DCB" w:rsidRPr="00A52585">
        <w:rPr>
          <w:rFonts w:hint="cs"/>
          <w:sz w:val="24"/>
          <w:szCs w:val="24"/>
          <w:rtl/>
        </w:rPr>
        <w:t>" التصديق بجميع ما جاء به النبي صلى الله عليه وسلم إجمالا كاف في صحة الإيمان وإنما يحتاج إلى بيان الحق في التفاصيل عند ملاحظتها وإن كانت مما لا خلاف في تكفير المخالف فيها كحدوث العالم فكم من مؤمن لم يعرف معنى الحادث والقديم أصلا ولم يخطر بباله حديث حشر الأجساد قطعاً لكن إذا لا حظ ذلك فلو لم يصدق كان كافراً "</w:t>
      </w:r>
      <w:r w:rsidRPr="00A52585">
        <w:rPr>
          <w:rFonts w:hint="cs"/>
          <w:sz w:val="24"/>
          <w:szCs w:val="24"/>
          <w:rtl/>
        </w:rPr>
        <w:t xml:space="preserve"> </w:t>
      </w:r>
      <w:r w:rsidR="00777DCB" w:rsidRPr="00A52585">
        <w:rPr>
          <w:rFonts w:hint="cs"/>
          <w:sz w:val="24"/>
          <w:szCs w:val="24"/>
          <w:rtl/>
        </w:rPr>
        <w:t>أهـ ج 5 ص 227،228،229 يقول حجة الإسلام الغزالي في (الاقتصاد في الاعتقاد)</w:t>
      </w:r>
      <w:r w:rsidRPr="00A52585">
        <w:rPr>
          <w:rFonts w:hint="cs"/>
          <w:sz w:val="24"/>
          <w:szCs w:val="24"/>
          <w:rtl/>
        </w:rPr>
        <w:t xml:space="preserve">: </w:t>
      </w:r>
      <w:r w:rsidR="00777DCB" w:rsidRPr="00A52585">
        <w:rPr>
          <w:rFonts w:hint="cs"/>
          <w:sz w:val="24"/>
          <w:szCs w:val="24"/>
          <w:rtl/>
        </w:rPr>
        <w:t>" المرتبة الثالثة</w:t>
      </w:r>
      <w:r w:rsidRPr="00A52585">
        <w:rPr>
          <w:rFonts w:hint="cs"/>
          <w:sz w:val="24"/>
          <w:szCs w:val="24"/>
          <w:rtl/>
        </w:rPr>
        <w:t>:</w:t>
      </w:r>
      <w:r w:rsidR="00777DCB" w:rsidRPr="00A52585">
        <w:rPr>
          <w:rFonts w:hint="cs"/>
          <w:sz w:val="24"/>
          <w:szCs w:val="24"/>
          <w:rtl/>
        </w:rPr>
        <w:t xml:space="preserve"> الذين يصدقون بالصانع والنبوة ويصدقون النبي ولكن يعتقدون أموراً تخالف نصوص الشرع</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وهؤلاء هم الفلاسفة ويجب القطع بتكفيرهم في ثلاث مسائل</w:t>
      </w:r>
      <w:r w:rsidR="00777DCB" w:rsidRPr="00A52585">
        <w:rPr>
          <w:sz w:val="24"/>
          <w:szCs w:val="24"/>
        </w:rPr>
        <w:t>…</w:t>
      </w:r>
      <w:r w:rsidR="00777DCB" w:rsidRPr="00A52585">
        <w:rPr>
          <w:rFonts w:hint="cs"/>
          <w:sz w:val="24"/>
          <w:szCs w:val="24"/>
          <w:rtl/>
        </w:rPr>
        <w:t xml:space="preserve"> والثالثة قولهم إن العالم قديم وإن الله تعالى متقدم على العالم بالرتبة مثل تقدم العلة على المعلول وإلا فلم تر في الوجود إلا متساويين "</w:t>
      </w:r>
      <w:r w:rsidRPr="00A52585">
        <w:rPr>
          <w:rFonts w:hint="cs"/>
          <w:sz w:val="24"/>
          <w:szCs w:val="24"/>
          <w:rtl/>
        </w:rPr>
        <w:t xml:space="preserve"> </w:t>
      </w:r>
      <w:r w:rsidR="00777DCB" w:rsidRPr="00A52585">
        <w:rPr>
          <w:rFonts w:hint="cs"/>
          <w:sz w:val="24"/>
          <w:szCs w:val="24"/>
          <w:rtl/>
        </w:rPr>
        <w:t>أهـ ص 207، 208 ويقول الإمام تقي الدين السبكي في ردِّه على ابن قيم الجوزية</w:t>
      </w:r>
      <w:r w:rsidRPr="00A52585">
        <w:rPr>
          <w:rFonts w:hint="cs"/>
          <w:sz w:val="24"/>
          <w:szCs w:val="24"/>
          <w:rtl/>
        </w:rPr>
        <w:t xml:space="preserve">: </w:t>
      </w:r>
      <w:r w:rsidR="00777DCB" w:rsidRPr="00A52585">
        <w:rPr>
          <w:rFonts w:hint="cs"/>
          <w:sz w:val="24"/>
          <w:szCs w:val="24"/>
          <w:rtl/>
        </w:rPr>
        <w:t>" وهذا يستوجب القول بقدم العالم وهو كفر "</w:t>
      </w:r>
      <w:r w:rsidRPr="00A52585">
        <w:rPr>
          <w:rFonts w:hint="cs"/>
          <w:sz w:val="24"/>
          <w:szCs w:val="24"/>
          <w:rtl/>
        </w:rPr>
        <w:t xml:space="preserve"> </w:t>
      </w:r>
      <w:r w:rsidR="00777DCB" w:rsidRPr="00A52585">
        <w:rPr>
          <w:rFonts w:hint="cs"/>
          <w:sz w:val="24"/>
          <w:szCs w:val="24"/>
          <w:rtl/>
        </w:rPr>
        <w:t>قال العلامة زاهد الكوثري في تعليقه على هذه العبارة في السيف الصقيل</w:t>
      </w:r>
      <w:r w:rsidRPr="00A52585">
        <w:rPr>
          <w:rFonts w:hint="cs"/>
          <w:sz w:val="24"/>
          <w:szCs w:val="24"/>
          <w:rtl/>
        </w:rPr>
        <w:t xml:space="preserve"> </w:t>
      </w:r>
      <w:r w:rsidR="00777DCB" w:rsidRPr="00A52585">
        <w:rPr>
          <w:rFonts w:hint="cs"/>
          <w:sz w:val="24"/>
          <w:szCs w:val="24"/>
          <w:rtl/>
        </w:rPr>
        <w:t>" 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كأن يسقطه هذا النفي من مرتبه العقلاء إلى درك الأنعام وهذا هو التحقيق في لازم المذهب فيدور أمر القائل بما يستلزم الكفر لزوماً بيّنا بين أن يكون كافراً أو حماراً"</w:t>
      </w:r>
      <w:r w:rsidRPr="00A52585">
        <w:rPr>
          <w:rFonts w:hint="cs"/>
          <w:sz w:val="24"/>
          <w:szCs w:val="24"/>
          <w:rtl/>
        </w:rPr>
        <w:t xml:space="preserve"> </w:t>
      </w:r>
      <w:r w:rsidR="00777DCB" w:rsidRPr="00A52585">
        <w:rPr>
          <w:rFonts w:hint="cs"/>
          <w:sz w:val="24"/>
          <w:szCs w:val="24"/>
          <w:rtl/>
        </w:rPr>
        <w:t>ثم ينقل العلامة زاهد الكوثري عن الأستاذ أبو منصور عبد القاهر البغدادي قوله في كتابه (الأسماء والصفات)</w:t>
      </w:r>
      <w:r w:rsidRPr="00A52585">
        <w:rPr>
          <w:rFonts w:hint="cs"/>
          <w:sz w:val="24"/>
          <w:szCs w:val="24"/>
          <w:rtl/>
        </w:rPr>
        <w:t xml:space="preserve">: </w:t>
      </w:r>
      <w:r w:rsidR="00777DCB" w:rsidRPr="00A52585">
        <w:rPr>
          <w:rFonts w:hint="cs"/>
          <w:sz w:val="24"/>
          <w:szCs w:val="24"/>
          <w:rtl/>
        </w:rPr>
        <w:t>" إن الأشعري وأكثر المتكلمين قالوا بتكفير كل مبتدع كانت بدعته كفرا أو أدت إلى كفر</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ومثل لهذا ببعض الأمثلة أهـ السيف الصقيل ص 28 </w:t>
      </w:r>
      <w:r w:rsidR="00777DCB" w:rsidRPr="00A52585">
        <w:rPr>
          <w:sz w:val="24"/>
          <w:szCs w:val="24"/>
        </w:rPr>
        <w:t>–</w:t>
      </w:r>
      <w:r w:rsidR="00777DCB" w:rsidRPr="00A52585">
        <w:rPr>
          <w:rFonts w:hint="cs"/>
          <w:sz w:val="24"/>
          <w:szCs w:val="24"/>
          <w:rtl/>
        </w:rPr>
        <w:t xml:space="preserve"> 30</w:t>
      </w:r>
      <w:r w:rsidRPr="00A52585">
        <w:rPr>
          <w:rFonts w:hint="cs"/>
          <w:sz w:val="24"/>
          <w:szCs w:val="24"/>
          <w:rtl/>
        </w:rPr>
        <w:t>]</w:t>
      </w:r>
      <w:r w:rsidR="00DB731D" w:rsidRPr="00A52585">
        <w:rPr>
          <w:rFonts w:hint="cs"/>
          <w:sz w:val="24"/>
          <w:rtl/>
        </w:rPr>
        <w:t>،</w:t>
      </w:r>
      <w:r w:rsidR="00777DCB" w:rsidRPr="00A52585">
        <w:rPr>
          <w:rFonts w:hint="cs"/>
          <w:rtl/>
        </w:rPr>
        <w:t xml:space="preserve"> وبنى أمره فيه على اسم من أسماء الأفعال</w:t>
      </w:r>
      <w:r w:rsidR="00DB731D" w:rsidRPr="00A52585">
        <w:rPr>
          <w:rFonts w:hint="cs"/>
          <w:rtl/>
        </w:rPr>
        <w:t>،</w:t>
      </w:r>
      <w:r w:rsidR="00777DCB" w:rsidRPr="00A52585">
        <w:rPr>
          <w:rFonts w:hint="cs"/>
          <w:rtl/>
        </w:rPr>
        <w:t xml:space="preserve"> </w:t>
      </w:r>
      <w:r w:rsidRPr="00A52585">
        <w:rPr>
          <w:rFonts w:hint="cs"/>
          <w:b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وبيان ذلك أن كلمة</w:t>
      </w:r>
      <w:r w:rsidRPr="00A52585">
        <w:rPr>
          <w:rFonts w:hint="cs"/>
          <w:sz w:val="24"/>
          <w:szCs w:val="24"/>
          <w:rtl/>
        </w:rPr>
        <w:t xml:space="preserve">: </w:t>
      </w:r>
      <w:r w:rsidR="00777DCB" w:rsidRPr="00A52585">
        <w:rPr>
          <w:rFonts w:hint="cs"/>
          <w:sz w:val="24"/>
          <w:szCs w:val="24"/>
          <w:rtl/>
        </w:rPr>
        <w:t>أ- (خلق) تطلق على فعل من أفعال الله سبحانه وتعالى ومن ثم جاز أن يطلق على الله سبحانه وتعالى اسم (الخالق) اشتقاقاً من كلمة (خلق)، وقد ذكر علماء الأصول أنه من لم يقم به وصف لم يجز أن يشتق له منه اسم فإن قام هذا الوصف بأحد وجب أن يشتق له منه اسم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أن إطلاق اسم الفاعل أو اسم المفعول على سبيل الاشتقاق من أحد صفة يكون حقيقة باعتبار الحال أي حال التلبس بالصفة بالفعل – أما </w:t>
      </w:r>
      <w:r w:rsidR="00777DCB" w:rsidRPr="00A52585">
        <w:rPr>
          <w:rFonts w:hint="cs"/>
          <w:sz w:val="24"/>
          <w:szCs w:val="24"/>
          <w:rtl/>
        </w:rPr>
        <w:lastRenderedPageBreak/>
        <w:t>قبل وجود الفعل أو بعد انتهائه فيكون إطلاق اسم الفاعل أو اسم المفعول على سبيل المجاز</w:t>
      </w:r>
      <w:r w:rsidR="00DB731D" w:rsidRPr="00A52585">
        <w:rPr>
          <w:rFonts w:hint="cs"/>
          <w:sz w:val="24"/>
          <w:szCs w:val="24"/>
          <w:rtl/>
        </w:rPr>
        <w:t>،</w:t>
      </w:r>
      <w:r w:rsidR="00777DCB" w:rsidRPr="00A52585">
        <w:rPr>
          <w:rFonts w:hint="cs"/>
          <w:sz w:val="24"/>
          <w:szCs w:val="24"/>
          <w:rtl/>
        </w:rPr>
        <w:t xml:space="preserve"> ج- من هنا بذل ابن تيمية وتلميذه ابن القيم كل جهدهما لترويج الشبهة القائلة بأنه لا يوجد مجاز في القرآن الكريم ولا السنة المشرفة بل ولا في اللغة العربية وجعلا ذلك أصلا ثابتاً فيما روَّجا له من ضلالات حتى </w:t>
      </w:r>
      <w:proofErr w:type="spellStart"/>
      <w:r w:rsidR="00777DCB" w:rsidRPr="00A52585">
        <w:rPr>
          <w:rFonts w:hint="cs"/>
          <w:sz w:val="24"/>
          <w:szCs w:val="24"/>
          <w:rtl/>
        </w:rPr>
        <w:t>يتسانا</w:t>
      </w:r>
      <w:proofErr w:type="spellEnd"/>
      <w:r w:rsidR="00777DCB" w:rsidRPr="00A52585">
        <w:rPr>
          <w:rFonts w:hint="cs"/>
          <w:sz w:val="24"/>
          <w:szCs w:val="24"/>
          <w:rtl/>
        </w:rPr>
        <w:t xml:space="preserve"> لهما نشرها بدءاً من عقيدة التجسيم والتشبيه ومروراً بقدم العالم وانتهاء بإنكار التوسل برسول الله صلى الله عليه وسلم بعد وفاته لتفرقتهم بين حياته ووفاته</w:t>
      </w:r>
      <w:r w:rsidR="00DB731D" w:rsidRPr="00A52585">
        <w:rPr>
          <w:rFonts w:hint="cs"/>
          <w:sz w:val="24"/>
          <w:szCs w:val="24"/>
          <w:rtl/>
        </w:rPr>
        <w:t>،</w:t>
      </w:r>
      <w:r w:rsidR="00777DCB" w:rsidRPr="00A52585">
        <w:rPr>
          <w:rFonts w:hint="cs"/>
          <w:sz w:val="24"/>
          <w:szCs w:val="24"/>
          <w:rtl/>
        </w:rPr>
        <w:t xml:space="preserve"> استدل ابن تيمية </w:t>
      </w:r>
      <w:r w:rsidR="00777DCB" w:rsidRPr="00A52585">
        <w:rPr>
          <w:sz w:val="24"/>
          <w:szCs w:val="24"/>
        </w:rPr>
        <w:t>–</w:t>
      </w:r>
      <w:r w:rsidR="00777DCB" w:rsidRPr="00A52585">
        <w:rPr>
          <w:rFonts w:hint="cs"/>
          <w:sz w:val="24"/>
          <w:szCs w:val="24"/>
          <w:rtl/>
        </w:rPr>
        <w:t xml:space="preserve"> بعد زعمه نفي المجاز - من اسم (الخالق) أنه لابد أن توجد مخلوقات </w:t>
      </w:r>
      <w:r w:rsidR="00777DCB" w:rsidRPr="00A52585">
        <w:rPr>
          <w:rFonts w:hint="cs"/>
          <w:spacing w:val="-4"/>
          <w:sz w:val="24"/>
          <w:szCs w:val="24"/>
          <w:rtl/>
        </w:rPr>
        <w:t>دائماً وأبداً طالما وجد الخالق وإلا لو انعدمت جميع المخلوقات فكيف يصح أن يسمى</w:t>
      </w:r>
      <w:r w:rsidR="00777DCB" w:rsidRPr="00A52585">
        <w:rPr>
          <w:rFonts w:hint="cs"/>
          <w:sz w:val="24"/>
          <w:szCs w:val="24"/>
          <w:rtl/>
        </w:rPr>
        <w:t xml:space="preserve"> الله سبحانه بالخالق</w:t>
      </w:r>
      <w:r w:rsidR="00F95886" w:rsidRPr="00A52585">
        <w:rPr>
          <w:rFonts w:hint="cs"/>
          <w:sz w:val="24"/>
          <w:szCs w:val="24"/>
          <w:rtl/>
        </w:rPr>
        <w:t>؟</w:t>
      </w:r>
      <w:r w:rsidR="00777DCB" w:rsidRPr="00A52585">
        <w:rPr>
          <w:rFonts w:hint="cs"/>
          <w:sz w:val="24"/>
          <w:szCs w:val="24"/>
          <w:rtl/>
        </w:rPr>
        <w:t xml:space="preserve"> والنتيجة الحتمية لهذه الفكرة الخاطئة هي أن وجود الخلق متمم لوجود الخالق ولا يصح وجود الخالق بدون مخلوقاته، وفي هذا نسبة الاحتياج والفقر إلى الله جل وعلا عكس ما صرح به القرآن في إحدى وعشرين موضعاً بأنه هو الغني </w:t>
      </w:r>
      <w:r w:rsidRPr="00A52585">
        <w:rPr>
          <w:rFonts w:hint="cs"/>
          <w:sz w:val="24"/>
          <w:szCs w:val="24"/>
          <w:rtl/>
        </w:rPr>
        <w:t>{</w:t>
      </w:r>
      <w:r w:rsidR="00777DCB" w:rsidRPr="00A52585">
        <w:rPr>
          <w:rFonts w:hint="cs"/>
          <w:sz w:val="24"/>
          <w:szCs w:val="24"/>
          <w:rtl/>
        </w:rPr>
        <w:t>يا أيها الناس أنتم الفقراء إلى الله والله هو الغني الحميد</w:t>
      </w:r>
      <w:r w:rsidRPr="00A52585">
        <w:rPr>
          <w:rFonts w:hint="cs"/>
          <w:sz w:val="24"/>
          <w:szCs w:val="24"/>
          <w:rtl/>
        </w:rPr>
        <w:t>}</w:t>
      </w:r>
      <w:r w:rsidR="00777DCB" w:rsidRPr="00A52585">
        <w:rPr>
          <w:rFonts w:hint="cs"/>
          <w:sz w:val="24"/>
          <w:szCs w:val="24"/>
          <w:rtl/>
        </w:rPr>
        <w:t xml:space="preserve"> فاطر آية 15</w:t>
      </w:r>
      <w:r w:rsidR="00DB731D" w:rsidRPr="00A52585">
        <w:rPr>
          <w:rFonts w:hint="cs"/>
          <w:sz w:val="24"/>
          <w:szCs w:val="24"/>
          <w:rtl/>
        </w:rPr>
        <w:t>،</w:t>
      </w:r>
      <w:r w:rsidR="00777DCB" w:rsidRPr="00A52585">
        <w:rPr>
          <w:rFonts w:hint="cs"/>
          <w:sz w:val="24"/>
          <w:szCs w:val="24"/>
          <w:rtl/>
        </w:rPr>
        <w:t xml:space="preserve"> وهذا يثبت الإيجاب وينفي عن الله صفة الاختيار والإرادة بالإضافة إلى ما في نسبة الاحتياج والفقر إلى الله جل وعلا من إبطال الألوهية ذاتها تعالى الله عما يقولون</w:t>
      </w:r>
      <w:r w:rsidR="00DB731D" w:rsidRPr="00A52585">
        <w:rPr>
          <w:rFonts w:hint="cs"/>
          <w:sz w:val="24"/>
          <w:szCs w:val="24"/>
          <w:rtl/>
        </w:rPr>
        <w:t>،</w:t>
      </w:r>
      <w:r w:rsidR="00777DCB" w:rsidRPr="00A52585">
        <w:rPr>
          <w:rFonts w:hint="cs"/>
          <w:sz w:val="24"/>
          <w:szCs w:val="24"/>
          <w:rtl/>
        </w:rPr>
        <w:t xml:space="preserve"> والغريب أن هذا</w:t>
      </w:r>
      <w:r w:rsidRPr="00A52585">
        <w:rPr>
          <w:rFonts w:hint="cs"/>
          <w:sz w:val="24"/>
          <w:szCs w:val="24"/>
          <w:rtl/>
        </w:rPr>
        <w:t xml:space="preserve"> </w:t>
      </w:r>
      <w:r w:rsidR="00777DCB" w:rsidRPr="00A52585">
        <w:rPr>
          <w:rFonts w:hint="cs"/>
          <w:sz w:val="24"/>
          <w:szCs w:val="24"/>
          <w:rtl/>
        </w:rPr>
        <w:t>الضال- ابن تيمية- يوافق على احتياج الله إلى مخلوقاته ولا يرى بأسا في هذا المعنى المستحيل تعالى الله عما يقول</w:t>
      </w:r>
      <w:r w:rsidR="00DB731D" w:rsidRPr="00A52585">
        <w:rPr>
          <w:rFonts w:hint="cs"/>
          <w:sz w:val="24"/>
          <w:szCs w:val="24"/>
          <w:rtl/>
        </w:rPr>
        <w:t>،</w:t>
      </w:r>
      <w:r w:rsidR="00777DCB" w:rsidRPr="00A52585">
        <w:rPr>
          <w:rFonts w:hint="cs"/>
          <w:sz w:val="24"/>
          <w:szCs w:val="24"/>
          <w:rtl/>
        </w:rPr>
        <w:t xml:space="preserve"> وفي تعليقه على </w:t>
      </w:r>
      <w:r w:rsidRPr="00A52585">
        <w:rPr>
          <w:rFonts w:hint="cs"/>
          <w:sz w:val="24"/>
          <w:szCs w:val="24"/>
          <w:rtl/>
        </w:rPr>
        <w:t>(</w:t>
      </w:r>
      <w:r w:rsidR="00777DCB" w:rsidRPr="00A52585">
        <w:rPr>
          <w:rFonts w:hint="cs"/>
          <w:sz w:val="24"/>
          <w:szCs w:val="24"/>
          <w:rtl/>
        </w:rPr>
        <w:t>رسالة في الرد على ابن تيمية في مسألة حوادث لا أول لها</w:t>
      </w:r>
      <w:r w:rsidRPr="00A52585">
        <w:rPr>
          <w:rFonts w:hint="cs"/>
          <w:sz w:val="24"/>
          <w:szCs w:val="24"/>
          <w:rtl/>
        </w:rPr>
        <w:t>)</w:t>
      </w:r>
      <w:r w:rsidR="00777DCB" w:rsidRPr="00A52585">
        <w:rPr>
          <w:rFonts w:hint="cs"/>
          <w:sz w:val="24"/>
          <w:szCs w:val="24"/>
          <w:rtl/>
        </w:rPr>
        <w:t xml:space="preserve"> للإمام بهاء الدين عبد الوهاب </w:t>
      </w:r>
      <w:proofErr w:type="spellStart"/>
      <w:r w:rsidR="00777DCB" w:rsidRPr="00A52585">
        <w:rPr>
          <w:rFonts w:hint="cs"/>
          <w:sz w:val="24"/>
          <w:szCs w:val="24"/>
          <w:rtl/>
        </w:rPr>
        <w:t>الإخميمي</w:t>
      </w:r>
      <w:proofErr w:type="spellEnd"/>
      <w:r w:rsidR="00777DCB" w:rsidRPr="00A52585">
        <w:rPr>
          <w:rFonts w:hint="cs"/>
          <w:sz w:val="24"/>
          <w:szCs w:val="24"/>
          <w:rtl/>
        </w:rPr>
        <w:t xml:space="preserve"> يقول الأستاذ سعيد فودة</w:t>
      </w:r>
      <w:r w:rsidRPr="00A52585">
        <w:rPr>
          <w:rFonts w:hint="cs"/>
          <w:sz w:val="24"/>
          <w:szCs w:val="24"/>
          <w:rtl/>
        </w:rPr>
        <w:t xml:space="preserve">: </w:t>
      </w:r>
      <w:r w:rsidR="00777DCB" w:rsidRPr="00A52585">
        <w:rPr>
          <w:rFonts w:hint="cs"/>
          <w:sz w:val="24"/>
          <w:szCs w:val="24"/>
          <w:rtl/>
        </w:rPr>
        <w:t>" وقد صرَّح ابن تيمية بعدم استحالة احتياج الله تعالى إلى مخلوقاته! كما بيناه بوضوح في كتابنا</w:t>
      </w:r>
      <w:r w:rsidRPr="00A52585">
        <w:rPr>
          <w:rFonts w:hint="cs"/>
          <w:sz w:val="24"/>
          <w:szCs w:val="24"/>
          <w:rtl/>
        </w:rPr>
        <w:t xml:space="preserve"> </w:t>
      </w:r>
      <w:r w:rsidR="00777DCB" w:rsidRPr="00A52585">
        <w:rPr>
          <w:rFonts w:hint="cs"/>
          <w:sz w:val="24"/>
          <w:szCs w:val="24"/>
          <w:rtl/>
        </w:rPr>
        <w:t>"الكاشف الصغير عن عقائد ابن تيمية "</w:t>
      </w:r>
      <w:r w:rsidRPr="00A52585">
        <w:rPr>
          <w:rFonts w:hint="cs"/>
          <w:sz w:val="24"/>
          <w:szCs w:val="24"/>
          <w:rtl/>
        </w:rPr>
        <w:t xml:space="preserve"> </w:t>
      </w:r>
      <w:r w:rsidR="00777DCB" w:rsidRPr="00A52585">
        <w:rPr>
          <w:rFonts w:hint="cs"/>
          <w:sz w:val="24"/>
          <w:szCs w:val="24"/>
          <w:rtl/>
        </w:rPr>
        <w:t>وقال بأن هذا ليس نقصاً لأن مخلوقات الله محتاجة إلى الله</w:t>
      </w:r>
      <w:r w:rsidR="00DB731D" w:rsidRPr="00A52585">
        <w:rPr>
          <w:rFonts w:hint="cs"/>
          <w:sz w:val="24"/>
          <w:szCs w:val="24"/>
          <w:rtl/>
        </w:rPr>
        <w:t>،</w:t>
      </w:r>
      <w:r w:rsidR="00777DCB" w:rsidRPr="00A52585">
        <w:rPr>
          <w:rFonts w:hint="cs"/>
          <w:sz w:val="24"/>
          <w:szCs w:val="24"/>
          <w:rtl/>
        </w:rPr>
        <w:t xml:space="preserve"> فإذا احتاج هو إليها فلا يعني هذا إلا احتياجه إلى ذاته</w:t>
      </w:r>
      <w:r w:rsidR="00F95886" w:rsidRPr="00A52585">
        <w:rPr>
          <w:rFonts w:hint="cs"/>
          <w:sz w:val="24"/>
          <w:szCs w:val="24"/>
          <w:rtl/>
        </w:rPr>
        <w:t>!</w:t>
      </w:r>
      <w:r w:rsidR="00777DCB" w:rsidRPr="00A52585">
        <w:rPr>
          <w:rFonts w:hint="cs"/>
          <w:sz w:val="24"/>
          <w:szCs w:val="24"/>
          <w:rtl/>
        </w:rPr>
        <w:t xml:space="preserve"> وهذا الكلام باطل قطعاً لأن احتياج الله لمخلوقاته هو احتياج لغيره، وهو نقص حتى وإن كان هذا الغير محتاجاً إليه تعالى أصلا، لأن جهة احتياج الخلق إلى الله غير جهة احتياج الله لهم قطعاً وهو نقص بين "</w:t>
      </w:r>
      <w:r w:rsidRPr="00A52585">
        <w:rPr>
          <w:rFonts w:hint="cs"/>
          <w:sz w:val="24"/>
          <w:szCs w:val="24"/>
          <w:rtl/>
        </w:rPr>
        <w:t xml:space="preserve"> </w:t>
      </w:r>
      <w:r w:rsidR="00777DCB" w:rsidRPr="00A52585">
        <w:rPr>
          <w:rFonts w:hint="cs"/>
          <w:sz w:val="24"/>
          <w:szCs w:val="24"/>
          <w:rtl/>
        </w:rPr>
        <w:t>أهـ ص 87</w:t>
      </w:r>
      <w:r w:rsidR="00DB731D" w:rsidRPr="00A52585">
        <w:rPr>
          <w:rFonts w:hint="cs"/>
          <w:sz w:val="24"/>
          <w:szCs w:val="24"/>
          <w:rtl/>
        </w:rPr>
        <w:t>،</w:t>
      </w:r>
      <w:r w:rsidRPr="00A52585">
        <w:rPr>
          <w:rFonts w:hint="cs"/>
          <w:sz w:val="24"/>
          <w:szCs w:val="24"/>
          <w:rtl/>
        </w:rPr>
        <w:t xml:space="preserve"> </w:t>
      </w:r>
      <w:r w:rsidR="00777DCB" w:rsidRPr="00A52585">
        <w:rPr>
          <w:rFonts w:hint="cs"/>
          <w:bCs/>
          <w:sz w:val="24"/>
          <w:szCs w:val="24"/>
          <w:rtl/>
        </w:rPr>
        <w:t xml:space="preserve">يقول شيخ شيوخنا الشيخ سلامة </w:t>
      </w:r>
      <w:proofErr w:type="spellStart"/>
      <w:r w:rsidR="00777DCB" w:rsidRPr="00A52585">
        <w:rPr>
          <w:rFonts w:hint="cs"/>
          <w:bCs/>
          <w:sz w:val="24"/>
          <w:szCs w:val="24"/>
          <w:rtl/>
        </w:rPr>
        <w:t>العزامي</w:t>
      </w:r>
      <w:proofErr w:type="spellEnd"/>
      <w:r w:rsidR="00777DCB" w:rsidRPr="00A52585">
        <w:rPr>
          <w:rFonts w:hint="cs"/>
          <w:sz w:val="24"/>
          <w:szCs w:val="24"/>
          <w:rtl/>
        </w:rPr>
        <w:t xml:space="preserve"> رضي الله عنه في كتابه (البراهين الساطعة)</w:t>
      </w:r>
      <w:r w:rsidRPr="00A52585">
        <w:rPr>
          <w:rFonts w:hint="cs"/>
          <w:sz w:val="24"/>
          <w:szCs w:val="24"/>
          <w:rtl/>
        </w:rPr>
        <w:t xml:space="preserve">: </w:t>
      </w:r>
      <w:r w:rsidR="00777DCB" w:rsidRPr="00A52585">
        <w:rPr>
          <w:rFonts w:hint="cs"/>
          <w:sz w:val="24"/>
          <w:szCs w:val="24"/>
          <w:rtl/>
        </w:rPr>
        <w:t xml:space="preserve">" وربما استروح هذا المفتون بقول العلماء بأنه سبحانه لم يحدث له بخلق الأشياء اسم (الخالق)، بل له هذا الاسم الشريف في الأزل قبل خلق الأشياء فيكون قولا منهم بأزلية الحوادث، وحاشاهم من هذا القول إذ ليس معناه عندهم إلا أنه القادر المختار أزلا وأبداً ولكنه الفعال لما يريد والفلاسفة لما لم يقدروا الله حق قدره قالوا </w:t>
      </w:r>
      <w:r w:rsidR="00777DCB" w:rsidRPr="00A52585">
        <w:rPr>
          <w:sz w:val="24"/>
          <w:szCs w:val="24"/>
        </w:rPr>
        <w:t>–</w:t>
      </w:r>
      <w:r w:rsidR="00777DCB" w:rsidRPr="00A52585">
        <w:rPr>
          <w:rFonts w:hint="cs"/>
          <w:sz w:val="24"/>
          <w:szCs w:val="24"/>
          <w:rtl/>
        </w:rPr>
        <w:t xml:space="preserve"> وتعالى الله عما قالوا- أنه فاعل بالإيجاب فساقهم ذلك إلى القول بقدم العالم وليس من قصدنا شرح مذهبهم، وإنما الذي نريد أن تعلمه ويرسخ في قلبك اعتقاده أن الذي دل عليه كتاب الله وأوضحه رسول الله عليه وعلى </w:t>
      </w:r>
      <w:proofErr w:type="spellStart"/>
      <w:r w:rsidR="00777DCB" w:rsidRPr="00A52585">
        <w:rPr>
          <w:rFonts w:hint="cs"/>
          <w:sz w:val="24"/>
          <w:szCs w:val="24"/>
          <w:rtl/>
        </w:rPr>
        <w:t>آله</w:t>
      </w:r>
      <w:proofErr w:type="spellEnd"/>
      <w:r w:rsidR="00777DCB" w:rsidRPr="00A52585">
        <w:rPr>
          <w:rFonts w:hint="cs"/>
          <w:sz w:val="24"/>
          <w:szCs w:val="24"/>
          <w:rtl/>
        </w:rPr>
        <w:t xml:space="preserve"> الصلاة والسلام والذي عليه العلماء بالكتاب والسنة أن للحوادث أولاً ليس قبله حادث وما قبل هذا الحادث موجود إلا الله وحده واجب الوجود الذي ليس لوجوده ابتداء ولا انتهاء وأن القول بأن الحوادث لا أول لها باعتبار الشخص في بعضها والنوع في البعض الآخر كما قال اليونان أو باعتبار النوع فقط كما قال هذا الرجل مقتبساً منهم ليس من دين الإسلام في شيء وأن الله ورسوله وأتباعه براء منه وأعلم أن دعوى كون الكمال الواجب لله سبحـانه هو أن يكون فاعلاً أزلاً على الدوام في جانـب الماضي على وجه الوجوب واللزوم، إنما هي وهم يوناني لا سبيل له إلى التحقيق ولا نصيب له من الصحة وإنما الكمال الواجب له عز وجل هو أنه مختار إن شاء فعل وإن لم يشأ لم يفعل وليس أحد الأمرين بممتنع على جنابه العزيز "</w:t>
      </w:r>
      <w:r w:rsidRPr="00A52585">
        <w:rPr>
          <w:rFonts w:hint="cs"/>
          <w:sz w:val="24"/>
          <w:szCs w:val="24"/>
          <w:rtl/>
        </w:rPr>
        <w:t xml:space="preserve"> </w:t>
      </w:r>
      <w:r w:rsidR="00777DCB" w:rsidRPr="00A52585">
        <w:rPr>
          <w:rFonts w:hint="cs"/>
          <w:sz w:val="24"/>
          <w:szCs w:val="24"/>
          <w:rtl/>
        </w:rPr>
        <w:t>أهـ ص</w:t>
      </w:r>
      <w:r w:rsidRPr="00A52585">
        <w:rPr>
          <w:rFonts w:hint="cs"/>
          <w:sz w:val="24"/>
          <w:szCs w:val="24"/>
          <w:rtl/>
        </w:rPr>
        <w:t xml:space="preserve"> </w:t>
      </w:r>
      <w:r w:rsidR="00777DCB" w:rsidRPr="00A52585">
        <w:rPr>
          <w:rFonts w:hint="cs"/>
          <w:sz w:val="24"/>
          <w:szCs w:val="24"/>
          <w:rtl/>
        </w:rPr>
        <w:t>207،208</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ويقول حجة الإسلام الغزالي في كتابه</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الاقتصاد في الاعتقاد</w:t>
      </w:r>
      <w:r w:rsidRPr="00A52585">
        <w:rPr>
          <w:rFonts w:hint="cs"/>
          <w:sz w:val="24"/>
          <w:szCs w:val="24"/>
          <w:rtl/>
        </w:rPr>
        <w:t>)</w:t>
      </w:r>
      <w:r w:rsidR="00777DCB" w:rsidRPr="00A52585">
        <w:rPr>
          <w:rFonts w:hint="cs"/>
          <w:sz w:val="24"/>
          <w:szCs w:val="24"/>
          <w:rtl/>
        </w:rPr>
        <w:t xml:space="preserve"> عند حديثه عن هل تصدق أسماء الأفعال عليه تعالى أزلا أم لا</w:t>
      </w:r>
      <w:r w:rsidR="00F95886" w:rsidRPr="00A52585">
        <w:rPr>
          <w:rFonts w:hint="cs"/>
          <w:sz w:val="24"/>
          <w:szCs w:val="24"/>
          <w:rtl/>
        </w:rPr>
        <w:t>؟</w:t>
      </w:r>
      <w:r w:rsidR="00777DCB" w:rsidRPr="00A52585">
        <w:rPr>
          <w:rFonts w:hint="cs"/>
          <w:sz w:val="24"/>
          <w:szCs w:val="24"/>
          <w:rtl/>
        </w:rPr>
        <w:t xml:space="preserve"> فقال شارحا</w:t>
      </w:r>
      <w:r w:rsidRPr="00A52585">
        <w:rPr>
          <w:rFonts w:hint="cs"/>
          <w:sz w:val="24"/>
          <w:szCs w:val="24"/>
          <w:rtl/>
        </w:rPr>
        <w:t xml:space="preserve">: </w:t>
      </w:r>
      <w:r w:rsidR="00777DCB" w:rsidRPr="00A52585">
        <w:rPr>
          <w:rFonts w:hint="cs"/>
          <w:sz w:val="24"/>
          <w:szCs w:val="24"/>
          <w:rtl/>
        </w:rPr>
        <w:t xml:space="preserve">" والقول الجامع أن </w:t>
      </w:r>
      <w:proofErr w:type="spellStart"/>
      <w:r w:rsidR="00777DCB" w:rsidRPr="00A52585">
        <w:rPr>
          <w:rFonts w:hint="cs"/>
          <w:sz w:val="24"/>
          <w:szCs w:val="24"/>
          <w:rtl/>
        </w:rPr>
        <w:t>الأسامي</w:t>
      </w:r>
      <w:proofErr w:type="spellEnd"/>
      <w:r w:rsidR="00777DCB" w:rsidRPr="00A52585">
        <w:rPr>
          <w:rFonts w:hint="cs"/>
          <w:sz w:val="24"/>
          <w:szCs w:val="24"/>
          <w:rtl/>
        </w:rPr>
        <w:t xml:space="preserve"> التي تسمى بها الله تعالى أربعة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الأول</w:t>
      </w:r>
      <w:r w:rsidRPr="00A52585">
        <w:rPr>
          <w:rFonts w:hint="cs"/>
          <w:sz w:val="24"/>
          <w:szCs w:val="24"/>
          <w:rtl/>
        </w:rPr>
        <w:t>):</w:t>
      </w:r>
      <w:r w:rsidR="00777DCB" w:rsidRPr="00A52585">
        <w:rPr>
          <w:rFonts w:hint="cs"/>
          <w:sz w:val="24"/>
          <w:szCs w:val="24"/>
          <w:rtl/>
        </w:rPr>
        <w:t xml:space="preserve"> أن لا يدل </w:t>
      </w:r>
      <w:r w:rsidR="00777DCB" w:rsidRPr="00A52585">
        <w:rPr>
          <w:rFonts w:hint="cs"/>
          <w:sz w:val="24"/>
          <w:szCs w:val="24"/>
          <w:rtl/>
        </w:rPr>
        <w:lastRenderedPageBreak/>
        <w:t>إلا على ذاته وهذا صادق أزلا وأبداً</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الثاني</w:t>
      </w:r>
      <w:r w:rsidRPr="00A52585">
        <w:rPr>
          <w:rFonts w:hint="cs"/>
          <w:sz w:val="24"/>
          <w:szCs w:val="24"/>
          <w:rtl/>
        </w:rPr>
        <w:t>):</w:t>
      </w:r>
      <w:r w:rsidR="00777DCB" w:rsidRPr="00A52585">
        <w:rPr>
          <w:rFonts w:hint="cs"/>
          <w:sz w:val="24"/>
          <w:szCs w:val="24"/>
          <w:rtl/>
        </w:rPr>
        <w:t xml:space="preserve"> ما يدل على الذات مع زيادة سلب </w:t>
      </w:r>
      <w:r w:rsidRPr="00A52585">
        <w:rPr>
          <w:rFonts w:hint="cs"/>
          <w:sz w:val="24"/>
          <w:szCs w:val="24"/>
          <w:rtl/>
        </w:rPr>
        <w:t>(</w:t>
      </w:r>
      <w:r w:rsidR="00777DCB" w:rsidRPr="00A52585">
        <w:rPr>
          <w:rFonts w:hint="cs"/>
          <w:sz w:val="24"/>
          <w:szCs w:val="24"/>
          <w:rtl/>
        </w:rPr>
        <w:t>كالقديم</w:t>
      </w:r>
      <w:r w:rsidRPr="00A52585">
        <w:rPr>
          <w:rFonts w:hint="cs"/>
          <w:sz w:val="24"/>
          <w:szCs w:val="24"/>
          <w:rtl/>
        </w:rPr>
        <w:t>)</w:t>
      </w:r>
      <w:r w:rsidR="00777DCB" w:rsidRPr="00A52585">
        <w:rPr>
          <w:rFonts w:hint="cs"/>
          <w:sz w:val="24"/>
          <w:szCs w:val="24"/>
          <w:rtl/>
        </w:rPr>
        <w:t xml:space="preserve"> فإنه يدل على وجود غير مسبوق بعدم أزلاً (والباقي) فإنه يدل على الوجود وسلب العدم عنه آخراً</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وكالواحد</w:t>
      </w:r>
      <w:r w:rsidRPr="00A52585">
        <w:rPr>
          <w:rFonts w:hint="cs"/>
          <w:sz w:val="24"/>
          <w:szCs w:val="24"/>
          <w:rtl/>
        </w:rPr>
        <w:t>)</w:t>
      </w:r>
      <w:r w:rsidR="00777DCB" w:rsidRPr="00A52585">
        <w:rPr>
          <w:rFonts w:hint="cs"/>
          <w:sz w:val="24"/>
          <w:szCs w:val="24"/>
          <w:rtl/>
        </w:rPr>
        <w:t xml:space="preserve"> فإنه يدل على الوجود وسلب الشريك </w:t>
      </w:r>
      <w:r w:rsidRPr="00A52585">
        <w:rPr>
          <w:rFonts w:hint="cs"/>
          <w:sz w:val="24"/>
          <w:szCs w:val="24"/>
          <w:rtl/>
        </w:rPr>
        <w:t>(</w:t>
      </w:r>
      <w:r w:rsidR="00777DCB" w:rsidRPr="00A52585">
        <w:rPr>
          <w:rFonts w:hint="cs"/>
          <w:sz w:val="24"/>
          <w:szCs w:val="24"/>
          <w:rtl/>
        </w:rPr>
        <w:t>وكالغني</w:t>
      </w:r>
      <w:r w:rsidRPr="00A52585">
        <w:rPr>
          <w:rFonts w:hint="cs"/>
          <w:sz w:val="24"/>
          <w:szCs w:val="24"/>
          <w:rtl/>
        </w:rPr>
        <w:t>)</w:t>
      </w:r>
      <w:r w:rsidR="00777DCB" w:rsidRPr="00A52585">
        <w:rPr>
          <w:rFonts w:hint="cs"/>
          <w:sz w:val="24"/>
          <w:szCs w:val="24"/>
          <w:rtl/>
        </w:rPr>
        <w:t xml:space="preserve"> يدل على الوجود وسلب الحاجة فهذا أيضاً يصدق أزلاً وأبداً لأن ما يسلب عنه لذاته فيلازم الذات على الدوام</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الثالث</w:t>
      </w:r>
      <w:r w:rsidRPr="00A52585">
        <w:rPr>
          <w:rFonts w:hint="cs"/>
          <w:sz w:val="24"/>
          <w:szCs w:val="24"/>
          <w:rtl/>
        </w:rPr>
        <w:t>):</w:t>
      </w:r>
      <w:r w:rsidR="00777DCB" w:rsidRPr="00A52585">
        <w:rPr>
          <w:rFonts w:hint="cs"/>
          <w:sz w:val="24"/>
          <w:szCs w:val="24"/>
          <w:rtl/>
        </w:rPr>
        <w:t xml:space="preserve"> ما يدل على الوجود وصفة زائدة من صفات المعنى كالحيّ والقادر والمتكلم والمريد والسميع والبصير والعالم وما يرجع إلى هذه الصفات السبعة كالآمر والناهي والخبير ونظائره فذلك أيضاً يصدق عليه أزلا وأبداً عند من يعتقد قدم جميع الصفات</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الرابع</w:t>
      </w:r>
      <w:r w:rsidRPr="00A52585">
        <w:rPr>
          <w:rFonts w:hint="cs"/>
          <w:sz w:val="24"/>
          <w:szCs w:val="24"/>
          <w:rtl/>
        </w:rPr>
        <w:t>):</w:t>
      </w:r>
      <w:r w:rsidR="00777DCB" w:rsidRPr="00A52585">
        <w:rPr>
          <w:rFonts w:hint="cs"/>
          <w:sz w:val="24"/>
          <w:szCs w:val="24"/>
          <w:rtl/>
        </w:rPr>
        <w:t xml:space="preserve"> ما يدل على الوجود مع إضافة إلى فعل من أفعاله كالجواد والرزاق والخالق والمعز والمذل وأمثاله وهذا مختلف فيه فقال قوم هو صادق أزلاً إذ لو لم يصدق لكان اتصافه به موجباً للتغير وقال قوم لا يصدق إذ لا خلق في الأزل فكيف يكون خالقاً</w:t>
      </w:r>
      <w:r w:rsidR="00F95886" w:rsidRPr="00A52585">
        <w:rPr>
          <w:rFonts w:hint="cs"/>
          <w:sz w:val="24"/>
          <w:szCs w:val="24"/>
          <w:rtl/>
        </w:rPr>
        <w:t>؟</w:t>
      </w:r>
      <w:r w:rsidR="00777DCB" w:rsidRPr="00A52585">
        <w:rPr>
          <w:rFonts w:hint="cs"/>
          <w:sz w:val="24"/>
          <w:szCs w:val="24"/>
          <w:rtl/>
        </w:rPr>
        <w:t xml:space="preserve"> والكاشف للغطاء عن هذا</w:t>
      </w:r>
      <w:r w:rsidRPr="00A52585">
        <w:rPr>
          <w:rFonts w:hint="cs"/>
          <w:sz w:val="24"/>
          <w:szCs w:val="24"/>
          <w:rtl/>
        </w:rPr>
        <w:t>:</w:t>
      </w:r>
      <w:r w:rsidR="00777DCB" w:rsidRPr="00A52585">
        <w:rPr>
          <w:rFonts w:hint="cs"/>
          <w:sz w:val="24"/>
          <w:szCs w:val="24"/>
          <w:rtl/>
        </w:rPr>
        <w:t xml:space="preserve"> السيف في الغمد يسمى صارماً وعند حصول القطع به وفي تلك الحالة على الاقتران يسمى صارماً وهما بمعنين مختلفين فهو في الغمد صارم بالقوة وعند حصول القطع صارم بالفعل</w:t>
      </w:r>
      <w:r w:rsidR="00DB731D" w:rsidRPr="00A52585">
        <w:rPr>
          <w:rFonts w:hint="cs"/>
          <w:sz w:val="24"/>
          <w:szCs w:val="24"/>
          <w:rtl/>
        </w:rPr>
        <w:t>،</w:t>
      </w:r>
      <w:r w:rsidR="00777DCB" w:rsidRPr="00A52585">
        <w:rPr>
          <w:rFonts w:hint="cs"/>
          <w:sz w:val="24"/>
          <w:szCs w:val="24"/>
          <w:rtl/>
        </w:rPr>
        <w:t xml:space="preserve"> وكذلك الماء في الكوز يسمى مرويا وعند الشرب يسمى مرويا وهما إطلاقان مختلفان</w:t>
      </w:r>
      <w:r w:rsidR="00DB731D" w:rsidRPr="00A52585">
        <w:rPr>
          <w:rFonts w:hint="cs"/>
          <w:sz w:val="24"/>
          <w:szCs w:val="24"/>
          <w:rtl/>
        </w:rPr>
        <w:t>،</w:t>
      </w:r>
      <w:r w:rsidR="00777DCB" w:rsidRPr="00A52585">
        <w:rPr>
          <w:rFonts w:hint="cs"/>
          <w:sz w:val="24"/>
          <w:szCs w:val="24"/>
          <w:rtl/>
        </w:rPr>
        <w:t xml:space="preserve"> فمعنى تسمية السيف في الغمد صارماً أن الصفة التي يحصل بها القطع في الحال </w:t>
      </w:r>
      <w:r w:rsidRPr="00A52585">
        <w:rPr>
          <w:rFonts w:hint="cs"/>
          <w:sz w:val="24"/>
          <w:szCs w:val="24"/>
          <w:rtl/>
        </w:rPr>
        <w:t>(</w:t>
      </w:r>
      <w:r w:rsidR="00777DCB" w:rsidRPr="00A52585">
        <w:rPr>
          <w:rFonts w:hint="cs"/>
          <w:sz w:val="24"/>
          <w:szCs w:val="24"/>
          <w:rtl/>
        </w:rPr>
        <w:t>معدومة</w:t>
      </w:r>
      <w:r w:rsidRPr="00A52585">
        <w:rPr>
          <w:rFonts w:hint="cs"/>
          <w:sz w:val="24"/>
          <w:szCs w:val="24"/>
          <w:rtl/>
        </w:rPr>
        <w:t>)</w:t>
      </w:r>
      <w:r w:rsidR="00777DCB" w:rsidRPr="00A52585">
        <w:rPr>
          <w:rFonts w:hint="cs"/>
          <w:sz w:val="24"/>
          <w:szCs w:val="24"/>
          <w:rtl/>
        </w:rPr>
        <w:t xml:space="preserve"> لا لقصور في ذات السيف وحدثه واستعداده بل لأمر آخر وراء ذاته فبالمعنى الذي يسمى السيف في الغمد صارماً يصدق اسم الخالق على الله تعالى في الأزل فإن الخلق إذا جرى بالفعل لم يكن لتجدد أمر في الذات لم يكن بل كل ما يشترط لتحقيق الفعل موجود في الأزل وبالمعنى الذي يطلق حالة مباشرة القطع للسيف اسم الصارم لا يصدق في الأزل فهذا حظ المعنى فقد ظهر أن من قال أنه لا يصدق في الأزل هذا الاسم فهو محق وأراد به المعنى الثاني، ومن قال بصدق في الأزل فهو محِقّ وأراد به المعنى الأول وإذا كشف الغطاء على هذا الوجه ارتفع الخلاف"</w:t>
      </w:r>
      <w:r w:rsidRPr="00A52585">
        <w:rPr>
          <w:rFonts w:hint="cs"/>
          <w:sz w:val="24"/>
          <w:szCs w:val="24"/>
          <w:rtl/>
        </w:rPr>
        <w:t xml:space="preserve"> </w:t>
      </w:r>
      <w:r w:rsidR="00777DCB" w:rsidRPr="00A52585">
        <w:rPr>
          <w:rFonts w:hint="cs"/>
          <w:sz w:val="24"/>
          <w:szCs w:val="24"/>
          <w:rtl/>
        </w:rPr>
        <w:t>أهـ 135،136</w:t>
      </w:r>
      <w:r w:rsidR="00DB731D" w:rsidRPr="00A52585">
        <w:rPr>
          <w:rFonts w:hint="cs"/>
          <w:sz w:val="24"/>
          <w:szCs w:val="24"/>
          <w:rtl/>
        </w:rPr>
        <w:t>،</w:t>
      </w:r>
      <w:r w:rsidR="00777DCB" w:rsidRPr="00A52585">
        <w:rPr>
          <w:rFonts w:hint="cs"/>
          <w:sz w:val="24"/>
          <w:szCs w:val="24"/>
          <w:rtl/>
        </w:rPr>
        <w:t xml:space="preserve"> ويبدو أن الفخر الرازي يميل إلى الرأي الثاني وهو أن أسماء الأفعال لا تصدق في الأزل فبعد أن يصنف صفات الله تعالى إلى ثلاثة أقسام</w:t>
      </w:r>
      <w:r w:rsidRPr="00A52585">
        <w:rPr>
          <w:rFonts w:hint="cs"/>
          <w:sz w:val="24"/>
          <w:szCs w:val="24"/>
          <w:rtl/>
        </w:rPr>
        <w:t>:</w:t>
      </w:r>
      <w:r w:rsidR="00777DCB" w:rsidRPr="00A52585">
        <w:rPr>
          <w:rFonts w:hint="cs"/>
          <w:sz w:val="24"/>
          <w:szCs w:val="24"/>
          <w:rtl/>
        </w:rPr>
        <w:t xml:space="preserve"> صفات ذاتية وصفات معنوية وصفات فعلية يقول</w:t>
      </w:r>
      <w:r w:rsidRPr="00A52585">
        <w:rPr>
          <w:rFonts w:hint="cs"/>
          <w:sz w:val="24"/>
          <w:szCs w:val="24"/>
          <w:rtl/>
        </w:rPr>
        <w:t xml:space="preserve">: </w:t>
      </w:r>
      <w:r w:rsidR="00777DCB" w:rsidRPr="00A52585">
        <w:rPr>
          <w:rFonts w:hint="cs"/>
          <w:sz w:val="24"/>
          <w:szCs w:val="24"/>
          <w:rtl/>
        </w:rPr>
        <w:t>"وأما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w:t>
      </w:r>
      <w:r w:rsidRPr="00A52585">
        <w:rPr>
          <w:rFonts w:hint="cs"/>
          <w:sz w:val="24"/>
          <w:szCs w:val="24"/>
          <w:rtl/>
        </w:rPr>
        <w:t xml:space="preserve"> </w:t>
      </w:r>
      <w:r w:rsidR="00777DCB" w:rsidRPr="00A52585">
        <w:rPr>
          <w:rFonts w:hint="cs"/>
          <w:sz w:val="24"/>
          <w:szCs w:val="24"/>
          <w:rtl/>
        </w:rPr>
        <w:t xml:space="preserve">أهـ من </w:t>
      </w:r>
      <w:r w:rsidRPr="00A52585">
        <w:rPr>
          <w:rFonts w:hint="cs"/>
          <w:sz w:val="24"/>
          <w:szCs w:val="24"/>
          <w:rtl/>
        </w:rPr>
        <w:t>(</w:t>
      </w:r>
      <w:r w:rsidR="00777DCB" w:rsidRPr="00A52585">
        <w:rPr>
          <w:rFonts w:hint="cs"/>
          <w:sz w:val="24"/>
          <w:szCs w:val="24"/>
          <w:rtl/>
        </w:rPr>
        <w:t>أسماء الله الحسنى</w:t>
      </w:r>
      <w:r w:rsidRPr="00A52585">
        <w:rPr>
          <w:rFonts w:hint="cs"/>
          <w:sz w:val="24"/>
          <w:szCs w:val="24"/>
          <w:rtl/>
        </w:rPr>
        <w:t>)</w:t>
      </w:r>
      <w:r w:rsidR="00777DCB" w:rsidRPr="00A52585">
        <w:rPr>
          <w:rFonts w:hint="cs"/>
          <w:sz w:val="24"/>
          <w:szCs w:val="24"/>
          <w:rtl/>
        </w:rPr>
        <w:t xml:space="preserve"> له ص 48 يقول العلامة الشيخ زاهد الكــوثري في تعليقه على السيف الصقــيل</w:t>
      </w:r>
      <w:r w:rsidRPr="00A52585">
        <w:rPr>
          <w:rFonts w:hint="cs"/>
          <w:sz w:val="24"/>
          <w:szCs w:val="24"/>
          <w:rtl/>
        </w:rPr>
        <w:t xml:space="preserve">: </w:t>
      </w:r>
      <w:r w:rsidR="00777DCB" w:rsidRPr="00A52585">
        <w:rPr>
          <w:rFonts w:hint="cs"/>
          <w:sz w:val="24"/>
          <w:szCs w:val="24"/>
          <w:rtl/>
        </w:rPr>
        <w:t>"وحدوث الأفعال فيما لا يزال لا يلزم منه تعطيل الصفات أصلا لا في زمن حدوث الأفعال ولا في غيره وهو تعالى سريع الحساب وشديد العقاب قبل خلق الكون وقبل النشور، وهل يتصور عاقل أن يحاسب الله خلقه ويعاقبهم قبل أن يخلقهم</w:t>
      </w:r>
      <w:r w:rsidR="00F95886" w:rsidRPr="00A52585">
        <w:rPr>
          <w:rFonts w:hint="cs"/>
          <w:sz w:val="24"/>
          <w:szCs w:val="24"/>
          <w:rtl/>
        </w:rPr>
        <w:t>؟</w:t>
      </w:r>
      <w:r w:rsidR="00777DCB" w:rsidRPr="00A52585">
        <w:rPr>
          <w:rFonts w:hint="cs"/>
          <w:sz w:val="24"/>
          <w:szCs w:val="24"/>
          <w:rtl/>
        </w:rPr>
        <w:t xml:space="preserve"> فالله القادر مختار يفعل ما يشاء متى شاء "</w:t>
      </w:r>
      <w:r w:rsidRPr="00A52585">
        <w:rPr>
          <w:rFonts w:hint="cs"/>
          <w:sz w:val="24"/>
          <w:szCs w:val="24"/>
          <w:rtl/>
        </w:rPr>
        <w:t xml:space="preserve"> </w:t>
      </w:r>
      <w:r w:rsidR="00777DCB" w:rsidRPr="00A52585">
        <w:rPr>
          <w:rFonts w:hint="cs"/>
          <w:sz w:val="24"/>
          <w:szCs w:val="24"/>
          <w:rtl/>
        </w:rPr>
        <w:t>أهـ ص31 ونختم هذا بكلام الإمام أبي جعفر الطحاوي في عقيدته التي يقول عنها الإمام السبكي</w:t>
      </w:r>
      <w:r w:rsidRPr="00A52585">
        <w:rPr>
          <w:rFonts w:hint="cs"/>
          <w:sz w:val="24"/>
          <w:szCs w:val="24"/>
          <w:rtl/>
        </w:rPr>
        <w:t xml:space="preserve"> </w:t>
      </w:r>
      <w:r w:rsidR="00777DCB" w:rsidRPr="00A52585">
        <w:rPr>
          <w:rFonts w:hint="cs"/>
          <w:sz w:val="24"/>
          <w:szCs w:val="24"/>
          <w:rtl/>
        </w:rPr>
        <w:t>"جمهور المذاهب الأربعة على الحق يقرون عقيدة الطحاوي التي تلقاها العلماء سلفا وخلفاً بالقبول</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يقول الإمام الطحاوي في مقدمه عقيدته</w:t>
      </w:r>
      <w:r w:rsidRPr="00A52585">
        <w:rPr>
          <w:rFonts w:hint="cs"/>
          <w:sz w:val="24"/>
          <w:szCs w:val="24"/>
          <w:rtl/>
        </w:rPr>
        <w:t xml:space="preserve">: </w:t>
      </w:r>
      <w:r w:rsidR="00777DCB" w:rsidRPr="00A52585">
        <w:rPr>
          <w:rFonts w:hint="cs"/>
          <w:sz w:val="24"/>
          <w:szCs w:val="24"/>
          <w:rtl/>
        </w:rPr>
        <w:t>" هذا ذكر بيان عقيدة أهل السنة والجماعة على مذهب فقهاء الملة أبي حنيفة النعمان بن ثابت الكوفي وأبي يوسف يعقوب بن إبراهيم الأنصاري وأبي عبد الله محمد بن الحسن الشيباني رضوان الله عليهم أجمعين وما يعتقدون من أصول الدين ويدينون به رب العالمين</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ثم يقول بعد قليل فيما يعتقده أهل السنة في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خالق بلا حاجة، رازق بلا مؤونة، مميت بلا مخافة باعث بلا مشقة ما زال بصفاته قديماً قبل خلقه لم يزدد بكونهم شيئاً لم يكن قبلهم من صفته، وكما كان بصفاته أزليا كذلك لا يزال عليها أبدياً</w:t>
      </w:r>
      <w:r w:rsidR="00DB731D" w:rsidRPr="00A52585">
        <w:rPr>
          <w:rFonts w:hint="cs"/>
          <w:sz w:val="24"/>
          <w:szCs w:val="24"/>
          <w:rtl/>
        </w:rPr>
        <w:t>،</w:t>
      </w:r>
      <w:r w:rsidR="00777DCB" w:rsidRPr="00A52585">
        <w:rPr>
          <w:rFonts w:hint="cs"/>
          <w:sz w:val="24"/>
          <w:szCs w:val="24"/>
          <w:rtl/>
        </w:rPr>
        <w:t xml:space="preserve"> ليس بعد خلق الخلق استفاد اسم (الخالق) ولا بإحداث البرية استفاد اسم </w:t>
      </w:r>
      <w:r w:rsidR="00777DCB" w:rsidRPr="00A52585">
        <w:rPr>
          <w:rFonts w:hint="cs"/>
          <w:sz w:val="24"/>
          <w:szCs w:val="24"/>
          <w:rtl/>
        </w:rPr>
        <w:lastRenderedPageBreak/>
        <w:t>(الباري)</w:t>
      </w:r>
      <w:r w:rsidR="00DB731D" w:rsidRPr="00A52585">
        <w:rPr>
          <w:rFonts w:hint="cs"/>
          <w:sz w:val="24"/>
          <w:szCs w:val="24"/>
          <w:rtl/>
        </w:rPr>
        <w:t>،</w:t>
      </w:r>
      <w:r w:rsidR="00777DCB" w:rsidRPr="00A52585">
        <w:rPr>
          <w:rFonts w:hint="cs"/>
          <w:sz w:val="24"/>
          <w:szCs w:val="24"/>
          <w:rtl/>
        </w:rPr>
        <w:t xml:space="preserve"> له معنى الربوبية ولا مربوب ومعنى الخالق ولا مخلوق، وكما أنه محيى الموتى بعدما أحيا استحق هذا الاسم قبل إحيائهم كذلك استحق اسم الخالق قبل إنشائهم ذلك بأنه على كل شيء قدير وكل شيء إليه فقير وكل أمر عليه يسير لا يحتاج إلى شيء ليس كمثله شيء وهو السميع البصير</w:t>
      </w:r>
      <w:r w:rsidRPr="00A52585">
        <w:rPr>
          <w:rFonts w:hint="cs"/>
          <w:sz w:val="24"/>
          <w:szCs w:val="24"/>
          <w:rtl/>
        </w:rPr>
        <w:t>}</w:t>
      </w:r>
      <w:r w:rsidR="00777DCB" w:rsidRPr="00A52585">
        <w:rPr>
          <w:rFonts w:hint="cs"/>
          <w:sz w:val="24"/>
          <w:szCs w:val="24"/>
          <w:rtl/>
        </w:rPr>
        <w:t xml:space="preserve"> أهـ متن العقيدة الطحاوية ص 3،4 وحسبك أن أئمة ابن تيمية نفسه أقروا بضلال القائل بهذا القول فهذا أبو يعلي الحنبلي يقول في المعتمد</w:t>
      </w:r>
      <w:r w:rsidRPr="00A52585">
        <w:rPr>
          <w:rFonts w:hint="cs"/>
          <w:sz w:val="24"/>
          <w:szCs w:val="24"/>
          <w:rtl/>
        </w:rPr>
        <w:t xml:space="preserve"> </w:t>
      </w:r>
      <w:r w:rsidR="00777DCB" w:rsidRPr="00A52585">
        <w:rPr>
          <w:rFonts w:hint="cs"/>
          <w:sz w:val="24"/>
          <w:szCs w:val="24"/>
          <w:rtl/>
        </w:rPr>
        <w:t>"والحوادث لها أول ابتدأت منه خلافاً للملحدة "</w:t>
      </w:r>
      <w:r w:rsidRPr="00A52585">
        <w:rPr>
          <w:rFonts w:hint="cs"/>
          <w:sz w:val="24"/>
          <w:szCs w:val="24"/>
          <w:rtl/>
        </w:rPr>
        <w:t xml:space="preserve"> </w:t>
      </w:r>
      <w:r w:rsidR="00777DCB" w:rsidRPr="00A52585">
        <w:rPr>
          <w:rFonts w:hint="cs"/>
          <w:sz w:val="24"/>
          <w:szCs w:val="24"/>
          <w:rtl/>
        </w:rPr>
        <w:t>أهـ السيف الصقيل ص 74 والمعتمد مخطوط في ظاهرية دمشق</w:t>
      </w:r>
      <w:r w:rsidRPr="00A52585">
        <w:rPr>
          <w:rFonts w:hint="cs"/>
          <w:sz w:val="24"/>
          <w:szCs w:val="24"/>
          <w:rtl/>
        </w:rPr>
        <w:t>]</w:t>
      </w:r>
      <w:r w:rsidR="00DB731D" w:rsidRPr="00A52585">
        <w:rPr>
          <w:rFonts w:hint="cs"/>
          <w:sz w:val="24"/>
          <w:rtl/>
        </w:rPr>
        <w:t>،</w:t>
      </w:r>
    </w:p>
    <w:p w14:paraId="022FEF1E" w14:textId="5A4C53F0" w:rsidR="00777DCB" w:rsidRPr="00A52585" w:rsidRDefault="0002035C" w:rsidP="0002035C">
      <w:pPr>
        <w:spacing w:after="240"/>
        <w:rPr>
          <w:b/>
          <w:bCs/>
          <w:rtl/>
        </w:rPr>
      </w:pPr>
      <w:r w:rsidRPr="00A52585">
        <w:rPr>
          <w:rFonts w:hint="cs"/>
          <w:bCs/>
          <w:rtl/>
        </w:rPr>
        <w:t>[</w:t>
      </w:r>
      <w:r w:rsidR="00777DCB" w:rsidRPr="00A52585">
        <w:rPr>
          <w:rFonts w:hint="cs"/>
          <w:bCs/>
          <w:rtl/>
        </w:rPr>
        <w:t>ب- نفيه المجاز</w:t>
      </w:r>
      <w:r w:rsidRPr="00A52585">
        <w:rPr>
          <w:rFonts w:hint="cs"/>
          <w:bCs/>
          <w:rtl/>
        </w:rPr>
        <w:t>]</w:t>
      </w:r>
      <w:r w:rsidR="00777DCB" w:rsidRPr="00A52585">
        <w:rPr>
          <w:rFonts w:hint="cs"/>
          <w:bCs/>
          <w:rtl/>
        </w:rPr>
        <w:t xml:space="preserve"> </w:t>
      </w:r>
      <w:r w:rsidR="00777DCB" w:rsidRPr="00A52585">
        <w:rPr>
          <w:rFonts w:hint="cs"/>
          <w:rtl/>
        </w:rPr>
        <w:t>ونفى المجاز في القرآن</w:t>
      </w:r>
      <w:r w:rsidR="00DB731D" w:rsidRPr="00A52585">
        <w:rPr>
          <w:rFonts w:hint="cs"/>
          <w:rtl/>
        </w:rPr>
        <w:t>،</w:t>
      </w:r>
      <w:r w:rsidR="00777DCB" w:rsidRPr="00A52585">
        <w:rPr>
          <w:rFonts w:hint="cs"/>
          <w:rtl/>
        </w:rPr>
        <w:t xml:space="preserve"> وهو من الجهل أيضاً فإن القرآن معجز ومحشو بالمجازات والاستعارات حتى إن أول حرف فيه</w:t>
      </w:r>
      <w:r w:rsidR="00DB731D" w:rsidRPr="00A52585">
        <w:rPr>
          <w:rFonts w:hint="cs"/>
          <w:rtl/>
        </w:rPr>
        <w:t>،</w:t>
      </w:r>
      <w:r w:rsidR="00777DCB" w:rsidRPr="00A52585">
        <w:rPr>
          <w:rFonts w:hint="cs"/>
          <w:rtl/>
        </w:rPr>
        <w:t xml:space="preserve"> فيه أنواع هذا المجاز</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xml:space="preserve">ألّف الدكتور عبد العظيم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كتاب (المجاز في اللغة والقرآن الكريم) وهو بحث ممتع في جزئين في حوالي ألف ومائة وسبعين صفحة أقام الأدلة القاطعة على وجود المجاز في اللغة وفي القرآن وأتى بنيان ابن تيمية وابن القيم من القواعد (الناشر مكتبة وهبة)</w:t>
      </w:r>
      <w:r w:rsidR="00DB731D" w:rsidRPr="00A52585">
        <w:rPr>
          <w:rFonts w:hint="cs"/>
          <w:sz w:val="24"/>
          <w:szCs w:val="24"/>
          <w:rtl/>
        </w:rPr>
        <w:t>،</w:t>
      </w:r>
      <w:r w:rsidR="00777DCB" w:rsidRPr="00A52585">
        <w:rPr>
          <w:rFonts w:hint="cs"/>
          <w:sz w:val="24"/>
          <w:szCs w:val="24"/>
          <w:rtl/>
        </w:rPr>
        <w:t xml:space="preserve"> وقد عقد شيخنا الدكتور إبراهيم عبد الرحمن فصلا في كتابه (المحكم والمتشابه) ج2 ص 522 للرد على إنكاره المجاز، وكذا رد عليه الدكتور على العماري بكتاب (المجاز) وكذا فضيلة الشيخ/ محمد العزازي كتب رداً عليه نشر في كتاب </w:t>
      </w:r>
      <w:r w:rsidRPr="00A52585">
        <w:rPr>
          <w:rFonts w:hint="cs"/>
          <w:sz w:val="24"/>
          <w:szCs w:val="24"/>
          <w:rtl/>
        </w:rPr>
        <w:t>(</w:t>
      </w:r>
      <w:r w:rsidR="00777DCB" w:rsidRPr="00A52585">
        <w:rPr>
          <w:rFonts w:hint="cs"/>
          <w:sz w:val="24"/>
          <w:szCs w:val="24"/>
          <w:rtl/>
        </w:rPr>
        <w:t>ابن تيمية ليس سلفيا</w:t>
      </w:r>
      <w:r w:rsidRPr="00A52585">
        <w:rPr>
          <w:rFonts w:hint="cs"/>
          <w:sz w:val="24"/>
          <w:szCs w:val="24"/>
          <w:rtl/>
        </w:rPr>
        <w:t>)</w:t>
      </w:r>
      <w:r w:rsidR="00777DCB" w:rsidRPr="00A52585">
        <w:rPr>
          <w:rFonts w:hint="cs"/>
          <w:sz w:val="24"/>
          <w:szCs w:val="24"/>
          <w:rtl/>
        </w:rPr>
        <w:t xml:space="preserve"> للشيخ منصور عويس</w:t>
      </w:r>
      <w:r w:rsidR="00DB731D" w:rsidRPr="00A52585">
        <w:rPr>
          <w:rFonts w:hint="cs"/>
          <w:sz w:val="24"/>
          <w:szCs w:val="24"/>
          <w:rtl/>
        </w:rPr>
        <w:t>،</w:t>
      </w:r>
      <w:r w:rsidR="00777DCB" w:rsidRPr="00A52585">
        <w:rPr>
          <w:rFonts w:hint="cs"/>
          <w:sz w:val="24"/>
          <w:szCs w:val="24"/>
          <w:rtl/>
        </w:rPr>
        <w:t xml:space="preserve"> أما الدكتور/ عبد العظيم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فكتابه المذكور موسوعة شاملة للرد عليه أثبت فيه أن المجاز هو مذهب الكثرة الكاثرة التي لا تحصى عددا من علماء الأمة في كل التخصصات أي أنه يكاد أن يكون إجماعاً أو هو كذلك بالفعل، وأن المنكرين- بما فيهم ابن تيمية وابن القيم- لا يتجاوز عددهم أصابع اليدين مع الشك الكبير في ثبوت هذا الإنكار عن بعضهم</w:t>
      </w:r>
      <w:r w:rsidR="00DB731D" w:rsidRPr="00A52585">
        <w:rPr>
          <w:rFonts w:hint="cs"/>
          <w:sz w:val="24"/>
          <w:szCs w:val="24"/>
          <w:rtl/>
        </w:rPr>
        <w:t>،</w:t>
      </w:r>
      <w:r w:rsidR="00777DCB" w:rsidRPr="00A52585">
        <w:rPr>
          <w:rFonts w:hint="cs"/>
          <w:sz w:val="24"/>
          <w:szCs w:val="24"/>
          <w:rtl/>
        </w:rPr>
        <w:t xml:space="preserve"> يقول الدكتور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 ومن خلال قراءات متكررة ومتأنية للفصل الذي كتبه الإمام ابن تيمية بخصوص المجاز في كتابه</w:t>
      </w:r>
      <w:r w:rsidRPr="00A52585">
        <w:rPr>
          <w:rFonts w:hint="cs"/>
          <w:sz w:val="24"/>
          <w:szCs w:val="24"/>
          <w:rtl/>
        </w:rPr>
        <w:t xml:space="preserve"> </w:t>
      </w:r>
      <w:r w:rsidR="00777DCB" w:rsidRPr="00A52585">
        <w:rPr>
          <w:rFonts w:hint="cs"/>
          <w:sz w:val="24"/>
          <w:szCs w:val="24"/>
          <w:rtl/>
        </w:rPr>
        <w:t>" الإيمان "</w:t>
      </w:r>
      <w:r w:rsidRPr="00A52585">
        <w:rPr>
          <w:rFonts w:hint="cs"/>
          <w:sz w:val="24"/>
          <w:szCs w:val="24"/>
          <w:rtl/>
        </w:rPr>
        <w:t xml:space="preserve"> </w:t>
      </w:r>
      <w:r w:rsidR="00777DCB" w:rsidRPr="00A52585">
        <w:rPr>
          <w:rFonts w:hint="cs"/>
          <w:sz w:val="24"/>
          <w:szCs w:val="24"/>
          <w:rtl/>
        </w:rPr>
        <w:t>وجدناه قد اعتمد في إنكار المجاز في اللغة بعامة، وفي القرآن الكريم بخاصة على ما يأتي</w:t>
      </w:r>
      <w:r w:rsidRPr="00A52585">
        <w:rPr>
          <w:rFonts w:hint="cs"/>
          <w:sz w:val="24"/>
          <w:szCs w:val="24"/>
          <w:rtl/>
        </w:rPr>
        <w:t xml:space="preserve">: </w:t>
      </w:r>
      <w:r w:rsidR="00777DCB" w:rsidRPr="00A52585">
        <w:rPr>
          <w:rFonts w:hint="cs"/>
          <w:sz w:val="24"/>
          <w:szCs w:val="24"/>
          <w:rtl/>
        </w:rPr>
        <w:t>1- أن سلف الأمة لم يقولوا به مثل الخليل ومالك والشافعي وغيرهم من اللغويين والأصوليين وسائر الأئمة، فهو إذن قول حادث</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2- إنكار أن يكون للغة وضع أول تفرع عنه المجاز باستعمال اللفظ في غير ما وضع له كما يقول </w:t>
      </w:r>
      <w:proofErr w:type="spellStart"/>
      <w:r w:rsidR="00777DCB" w:rsidRPr="00A52585">
        <w:rPr>
          <w:rFonts w:hint="cs"/>
          <w:sz w:val="24"/>
          <w:szCs w:val="24"/>
          <w:rtl/>
        </w:rPr>
        <w:t>مجوزوا</w:t>
      </w:r>
      <w:proofErr w:type="spellEnd"/>
      <w:r w:rsidR="00777DCB" w:rsidRPr="00A52585">
        <w:rPr>
          <w:rFonts w:hint="cs"/>
          <w:sz w:val="24"/>
          <w:szCs w:val="24"/>
          <w:rtl/>
        </w:rPr>
        <w:t xml:space="preserve"> المجاز</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3- إنكار التجريد والإطلاق في اللغة حتى يقال أن الحقيقة ما دلت على معناها عند الإطلاق والخلو من القرائن، والمجاز ما دل على معناه بمعونة القيود والقرائن</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4- مناقشة النصوص التي استدل بها </w:t>
      </w:r>
      <w:proofErr w:type="spellStart"/>
      <w:r w:rsidR="00777DCB" w:rsidRPr="00A52585">
        <w:rPr>
          <w:rFonts w:hint="cs"/>
          <w:sz w:val="24"/>
          <w:szCs w:val="24"/>
          <w:rtl/>
        </w:rPr>
        <w:t>مجوزو</w:t>
      </w:r>
      <w:proofErr w:type="spellEnd"/>
      <w:r w:rsidR="00777DCB" w:rsidRPr="00A52585">
        <w:rPr>
          <w:rFonts w:hint="cs"/>
          <w:sz w:val="24"/>
          <w:szCs w:val="24"/>
          <w:rtl/>
        </w:rPr>
        <w:t xml:space="preserve"> المجاز على وقوع المجاز في اللغة وفي القرآن الكريم "</w:t>
      </w:r>
      <w:r w:rsidRPr="00A52585">
        <w:rPr>
          <w:rFonts w:hint="cs"/>
          <w:sz w:val="24"/>
          <w:szCs w:val="24"/>
          <w:rtl/>
        </w:rPr>
        <w:t xml:space="preserve"> </w:t>
      </w:r>
      <w:r w:rsidR="00777DCB" w:rsidRPr="00A52585">
        <w:rPr>
          <w:rFonts w:hint="cs"/>
          <w:sz w:val="24"/>
          <w:szCs w:val="24"/>
          <w:rtl/>
        </w:rPr>
        <w:t>أهـ (المجاز) ج2 ص 644</w:t>
      </w:r>
      <w:r w:rsidR="00DB731D" w:rsidRPr="00A52585">
        <w:rPr>
          <w:rFonts w:hint="cs"/>
          <w:sz w:val="24"/>
          <w:szCs w:val="24"/>
          <w:rtl/>
        </w:rPr>
        <w:t>،</w:t>
      </w:r>
      <w:r w:rsidR="00777DCB" w:rsidRPr="00A52585">
        <w:rPr>
          <w:rFonts w:hint="cs"/>
          <w:sz w:val="24"/>
          <w:szCs w:val="24"/>
          <w:rtl/>
        </w:rPr>
        <w:t xml:space="preserve"> ثم ذكر الدكتور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أن ابن تيمية له شبه أخرى ولكنها جزئيات تندرج تحت هذه الركائز الأربع، وسنذكر هذه الركائز مع الإشارة إلى ما يبطلها وغالبه من كلام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الشبهة الأولى لابن تيمية</w:t>
      </w:r>
      <w:r w:rsidRPr="00A52585">
        <w:rPr>
          <w:rFonts w:hint="cs"/>
          <w:bCs/>
          <w:sz w:val="24"/>
          <w:szCs w:val="24"/>
          <w:rtl/>
        </w:rPr>
        <w:t>]:</w:t>
      </w:r>
      <w:r w:rsidR="00777DCB" w:rsidRPr="00A52585">
        <w:rPr>
          <w:rFonts w:hint="cs"/>
          <w:bCs/>
          <w:sz w:val="24"/>
          <w:szCs w:val="24"/>
          <w:rtl/>
        </w:rPr>
        <w:t xml:space="preserve"> </w:t>
      </w:r>
      <w:proofErr w:type="spellStart"/>
      <w:r w:rsidR="00777DCB" w:rsidRPr="00A52585">
        <w:rPr>
          <w:rFonts w:hint="cs"/>
          <w:sz w:val="24"/>
          <w:szCs w:val="24"/>
          <w:rtl/>
        </w:rPr>
        <w:t>وحاصـلها</w:t>
      </w:r>
      <w:r w:rsidRPr="00A52585">
        <w:rPr>
          <w:rFonts w:hint="cs"/>
          <w:sz w:val="24"/>
          <w:szCs w:val="24"/>
          <w:rtl/>
        </w:rPr>
        <w:t>:</w:t>
      </w:r>
      <w:r w:rsidR="00777DCB" w:rsidRPr="00A52585">
        <w:rPr>
          <w:rFonts w:hint="cs"/>
          <w:sz w:val="24"/>
          <w:szCs w:val="24"/>
          <w:rtl/>
        </w:rPr>
        <w:t>النـفي</w:t>
      </w:r>
      <w:proofErr w:type="spellEnd"/>
      <w:r w:rsidR="00777DCB" w:rsidRPr="00A52585">
        <w:rPr>
          <w:rFonts w:hint="cs"/>
          <w:sz w:val="24"/>
          <w:szCs w:val="24"/>
          <w:rtl/>
        </w:rPr>
        <w:t xml:space="preserve">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 (المجاز) دون معناه </w:t>
      </w:r>
      <w:r w:rsidR="00777DCB" w:rsidRPr="00A52585">
        <w:rPr>
          <w:sz w:val="24"/>
          <w:szCs w:val="24"/>
        </w:rPr>
        <w:t>…</w:t>
      </w:r>
      <w:r w:rsidR="00777DCB" w:rsidRPr="00A52585">
        <w:rPr>
          <w:rFonts w:hint="cs"/>
          <w:sz w:val="24"/>
          <w:szCs w:val="24"/>
          <w:rtl/>
        </w:rPr>
        <w:t xml:space="preserve"> واعترف خلال ذلك بأن أبا يعلى وابن عقيل وأبا الخطاب الحنابلة قائلون بالمجاز تبعا لإمامهم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والرد على ذلك</w:t>
      </w:r>
      <w:r w:rsidRPr="00A52585">
        <w:rPr>
          <w:rFonts w:hint="cs"/>
          <w:sz w:val="24"/>
          <w:szCs w:val="24"/>
          <w:rtl/>
        </w:rPr>
        <w:t xml:space="preserve">: </w:t>
      </w:r>
      <w:r w:rsidR="00777DCB" w:rsidRPr="00A52585">
        <w:rPr>
          <w:rFonts w:hint="cs"/>
          <w:sz w:val="24"/>
          <w:szCs w:val="24"/>
          <w:rtl/>
        </w:rPr>
        <w:t>1- لفظ (المجاز) مجرد مصطلح والمصطلحات غالبا ما تتأخر في الظهور عن موضوع الفن نفسه وخاصة في عصور تدوين العلوم، وخير مثال على ذلك مصطلحات علمي النحو والصرف بل مصطلحات العلوم الشرعية نفسها من فقه وأصول فقه وحديث ومصطلح حديث وغير ذلك</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2- أن التأويل المجازي يصرف اللفظ عن ظاهر معناه إلى معنى آخر تدل عليه القرينة وله علاقة </w:t>
      </w:r>
      <w:r w:rsidR="00777DCB" w:rsidRPr="00A52585">
        <w:rPr>
          <w:rFonts w:hint="cs"/>
          <w:sz w:val="24"/>
          <w:szCs w:val="24"/>
          <w:rtl/>
        </w:rPr>
        <w:lastRenderedPageBreak/>
        <w:t>بالمعنى الظاهر، قد عرف منذ القرن الأول وكثر تطبيقه على آيات الذكر الحكيم عند الثقات من علماء الأمة وعلى رأسهم الصحابة- على وابن مسعود وابن عباس وغيرهم – والتابعون وقبلهم جميعاً المعلم الأكبر صلى الله عليه وسلم ومن تأويلاته المجازية</w:t>
      </w:r>
      <w:r w:rsidRPr="00A52585">
        <w:rPr>
          <w:rFonts w:hint="cs"/>
          <w:sz w:val="24"/>
          <w:szCs w:val="24"/>
          <w:rtl/>
        </w:rPr>
        <w:t>:</w:t>
      </w:r>
      <w:r w:rsidR="00777DCB" w:rsidRPr="00A52585">
        <w:rPr>
          <w:rFonts w:hint="cs"/>
          <w:sz w:val="24"/>
          <w:szCs w:val="24"/>
          <w:rtl/>
        </w:rPr>
        <w:t xml:space="preserve"> تأويله الخيطين الأبيض والأسود بالنهار والليل</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3- أن سلف الأمة يفهمون معنى المجاز ويستعملونه وإن لم يذكر بعضهم اسمه المصطلح (المجاز) لعدم انتشاره في البداية بل كان بعضهم يطلق عليه (الاتساع في اللغة) كما ورد عن سيبويه (ت قبل 190 هـ) والشافعي (ت 205هـ) وها هو الإمام الشافعي يقول في (الرسالة) عن ألفاظ القرآن</w:t>
      </w:r>
      <w:r w:rsidRPr="00A52585">
        <w:rPr>
          <w:rFonts w:hint="cs"/>
          <w:sz w:val="24"/>
          <w:szCs w:val="24"/>
          <w:rtl/>
        </w:rPr>
        <w:t xml:space="preserve">: </w:t>
      </w:r>
      <w:r w:rsidR="00777DCB" w:rsidRPr="00A52585">
        <w:rPr>
          <w:rFonts w:hint="cs"/>
          <w:sz w:val="24"/>
          <w:szCs w:val="24"/>
          <w:rtl/>
        </w:rPr>
        <w:t>" وظاهراً يعرف في سياقه أنه يراد به غير ظاهره "</w:t>
      </w:r>
      <w:r w:rsidRPr="00A52585">
        <w:rPr>
          <w:rFonts w:hint="cs"/>
          <w:sz w:val="24"/>
          <w:szCs w:val="24"/>
          <w:rtl/>
        </w:rPr>
        <w:t xml:space="preserve"> </w:t>
      </w:r>
      <w:r w:rsidR="00777DCB" w:rsidRPr="00A52585">
        <w:rPr>
          <w:rFonts w:hint="cs"/>
          <w:sz w:val="24"/>
          <w:szCs w:val="24"/>
          <w:rtl/>
        </w:rPr>
        <w:t>فهو بذلك قد عرّف المجاز وبين نوعي القرينة</w:t>
      </w:r>
      <w:r w:rsidRPr="00A52585">
        <w:rPr>
          <w:rFonts w:hint="cs"/>
          <w:sz w:val="24"/>
          <w:szCs w:val="24"/>
          <w:rtl/>
        </w:rPr>
        <w:t>:</w:t>
      </w:r>
      <w:r w:rsidR="00777DCB" w:rsidRPr="00A52585">
        <w:rPr>
          <w:rFonts w:hint="cs"/>
          <w:sz w:val="24"/>
          <w:szCs w:val="24"/>
          <w:rtl/>
        </w:rPr>
        <w:t xml:space="preserve"> اللفظية التي لها ذكر في الكلام، والمعنوية التي تفهم من الأحوال وليس لها صورة في الكلام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4- ذكر بعض السلف ممن عاشوا في القرنين الثاني والثالث (المجاز) بمعناه الفني الاصطلاحي بلفظه وبمعناه وكذا (الاستعارة) وهي أظهر أنواع المجاز نقل ذلك عنهم من النصف الأول للقرن الثاني الهجري وإليك ستة نماذج لذلك</w:t>
      </w:r>
      <w:r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الأول</w:t>
      </w:r>
      <w:r w:rsidRPr="00A52585">
        <w:rPr>
          <w:rFonts w:hint="cs"/>
          <w:bCs/>
          <w:sz w:val="24"/>
          <w:szCs w:val="24"/>
          <w:rtl/>
        </w:rPr>
        <w:t>):</w:t>
      </w:r>
      <w:r w:rsidR="00777DCB" w:rsidRPr="00A52585">
        <w:rPr>
          <w:rFonts w:hint="cs"/>
          <w:sz w:val="24"/>
          <w:szCs w:val="24"/>
          <w:rtl/>
        </w:rPr>
        <w:t xml:space="preserve"> أبو عمر زبان بن العلاء (ت 154 هـ) أحد القراء السبعة، ذكر (الاستعارة) نصاً على ما هو استعارة فعلاً</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الثاني</w:t>
      </w:r>
      <w:r w:rsidRPr="00A52585">
        <w:rPr>
          <w:rFonts w:hint="cs"/>
          <w:bCs/>
          <w:sz w:val="24"/>
          <w:szCs w:val="24"/>
          <w:rtl/>
        </w:rPr>
        <w:t>):</w:t>
      </w:r>
      <w:r w:rsidR="00777DCB" w:rsidRPr="00A52585">
        <w:rPr>
          <w:rFonts w:hint="cs"/>
          <w:sz w:val="24"/>
          <w:szCs w:val="24"/>
          <w:rtl/>
        </w:rPr>
        <w:t xml:space="preserve"> أبو زيد محمد بن أبي الخطاب القرشي (ت 170هـ) ذكر مصطلح (المجاز) وشرحه ونصَّ على وجوده في اللغة وفي القرآن الكريم وضرب لذلك أمثله من القرآن ومن أشعار العرب </w:t>
      </w:r>
      <w:proofErr w:type="spellStart"/>
      <w:r w:rsidR="00777DCB" w:rsidRPr="00A52585">
        <w:rPr>
          <w:rFonts w:hint="cs"/>
          <w:sz w:val="24"/>
          <w:szCs w:val="24"/>
          <w:rtl/>
        </w:rPr>
        <w:t>كامرئ</w:t>
      </w:r>
      <w:proofErr w:type="spellEnd"/>
      <w:r w:rsidR="00777DCB" w:rsidRPr="00A52585">
        <w:rPr>
          <w:rFonts w:hint="cs"/>
          <w:sz w:val="24"/>
          <w:szCs w:val="24"/>
          <w:rtl/>
        </w:rPr>
        <w:t xml:space="preserve"> القيس وغيره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الثالث</w:t>
      </w:r>
      <w:r w:rsidRPr="00A52585">
        <w:rPr>
          <w:rFonts w:hint="cs"/>
          <w:bCs/>
          <w:sz w:val="24"/>
          <w:szCs w:val="24"/>
          <w:rtl/>
        </w:rPr>
        <w:t>):</w:t>
      </w:r>
      <w:r w:rsidR="00777DCB" w:rsidRPr="00A52585">
        <w:rPr>
          <w:rFonts w:hint="cs"/>
          <w:sz w:val="24"/>
          <w:szCs w:val="24"/>
          <w:rtl/>
        </w:rPr>
        <w:t xml:space="preserve"> أبو عبيدة معمر بن المثنى (ت 209هـ) ذكر </w:t>
      </w:r>
      <w:proofErr w:type="spellStart"/>
      <w:r w:rsidR="00777DCB" w:rsidRPr="00A52585">
        <w:rPr>
          <w:rFonts w:hint="cs"/>
          <w:sz w:val="24"/>
          <w:szCs w:val="24"/>
          <w:rtl/>
        </w:rPr>
        <w:t>تخريجات</w:t>
      </w:r>
      <w:proofErr w:type="spellEnd"/>
      <w:r w:rsidR="00777DCB" w:rsidRPr="00A52585">
        <w:rPr>
          <w:rFonts w:hint="cs"/>
          <w:sz w:val="24"/>
          <w:szCs w:val="24"/>
          <w:rtl/>
        </w:rPr>
        <w:t xml:space="preserve"> مجازية عديدة في كتابه (مجاز القرآن) وهذه الصور المجازية لا تنطبق إلا على المجاز الذي هو قسيم الحقيقة، كما نقل عنه القول بالاستعارة في التعليق على شعر جرير ورد ذلك في كتاب (النقائض بين جرير </w:t>
      </w:r>
      <w:proofErr w:type="spellStart"/>
      <w:r w:rsidR="00777DCB" w:rsidRPr="00A52585">
        <w:rPr>
          <w:rFonts w:hint="cs"/>
          <w:sz w:val="24"/>
          <w:szCs w:val="24"/>
          <w:rtl/>
        </w:rPr>
        <w:t>والفردق</w:t>
      </w:r>
      <w:proofErr w:type="spellEnd"/>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الرابع</w:t>
      </w:r>
      <w:r w:rsidRPr="00A52585">
        <w:rPr>
          <w:rFonts w:hint="cs"/>
          <w:bCs/>
          <w:sz w:val="24"/>
          <w:szCs w:val="24"/>
          <w:rtl/>
        </w:rPr>
        <w:t>):</w:t>
      </w:r>
      <w:r w:rsidR="00777DCB" w:rsidRPr="00A52585">
        <w:rPr>
          <w:rFonts w:hint="cs"/>
          <w:sz w:val="24"/>
          <w:szCs w:val="24"/>
          <w:rtl/>
        </w:rPr>
        <w:t xml:space="preserve"> أبو عبد الله بن زياد ابن الأعرابي (ت 231هـ) شرح الاستعارة الموجودة في بيت شعر ونقل ذلك ابن رشيق في كتابه (العمدة)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الخامس</w:t>
      </w:r>
      <w:r w:rsidRPr="00A52585">
        <w:rPr>
          <w:rFonts w:hint="cs"/>
          <w:bCs/>
          <w:sz w:val="24"/>
          <w:szCs w:val="24"/>
          <w:rtl/>
        </w:rPr>
        <w:t>):</w:t>
      </w:r>
      <w:r w:rsidR="00777DCB" w:rsidRPr="00A52585">
        <w:rPr>
          <w:rFonts w:hint="cs"/>
          <w:sz w:val="24"/>
          <w:szCs w:val="24"/>
          <w:rtl/>
        </w:rPr>
        <w:t xml:space="preserve"> أحمد بن يحيى المعروف بـ (ثعلب) (ت 291هـ) أكثر من ذكر الاستعارة في كتابه (قواعد الشعر) محللا لها ومشيراً إلى المعنى الأصلي الخارجة عنه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السادس</w:t>
      </w:r>
      <w:r w:rsidRPr="00A52585">
        <w:rPr>
          <w:rFonts w:hint="cs"/>
          <w:bCs/>
          <w:sz w:val="24"/>
          <w:szCs w:val="24"/>
          <w:rtl/>
        </w:rPr>
        <w:t>):</w:t>
      </w:r>
      <w:r w:rsidR="00777DCB" w:rsidRPr="00A52585">
        <w:rPr>
          <w:rFonts w:hint="cs"/>
          <w:sz w:val="24"/>
          <w:szCs w:val="24"/>
          <w:rtl/>
        </w:rPr>
        <w:t xml:space="preserve"> أبو تمام حبيب بن أوس الطائي (ت 231 هـ) الشاعر المشهور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لقد تركتني كأسها وحقيقيتي</w:t>
      </w:r>
      <w:r w:rsidRPr="00A52585">
        <w:rPr>
          <w:rFonts w:hint="cs"/>
          <w:sz w:val="24"/>
          <w:szCs w:val="24"/>
          <w:rtl/>
        </w:rPr>
        <w:t xml:space="preserve"> </w:t>
      </w:r>
      <w:r w:rsidR="00777DCB" w:rsidRPr="00A52585">
        <w:rPr>
          <w:rFonts w:hint="cs"/>
          <w:sz w:val="24"/>
          <w:szCs w:val="24"/>
          <w:rtl/>
        </w:rPr>
        <w:t>مجاز وصبح من يقيني كالظن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قال الدكتور العماري تعليقا على هذا البيت</w:t>
      </w:r>
      <w:r w:rsidRPr="00A52585">
        <w:rPr>
          <w:rFonts w:hint="cs"/>
          <w:sz w:val="24"/>
          <w:szCs w:val="24"/>
          <w:rtl/>
        </w:rPr>
        <w:t xml:space="preserve">: </w:t>
      </w:r>
      <w:r w:rsidR="00777DCB" w:rsidRPr="00A52585">
        <w:rPr>
          <w:rFonts w:hint="cs"/>
          <w:sz w:val="24"/>
          <w:szCs w:val="24"/>
          <w:rtl/>
        </w:rPr>
        <w:t>" وأستطيع أن أؤكد أن هذا الاصطلاح</w:t>
      </w:r>
      <w:r w:rsidRPr="00A52585">
        <w:rPr>
          <w:rFonts w:hint="cs"/>
          <w:sz w:val="24"/>
          <w:szCs w:val="24"/>
          <w:rtl/>
        </w:rPr>
        <w:t>:</w:t>
      </w:r>
      <w:r w:rsidR="00777DCB" w:rsidRPr="00A52585">
        <w:rPr>
          <w:rFonts w:hint="cs"/>
          <w:sz w:val="24"/>
          <w:szCs w:val="24"/>
          <w:rtl/>
        </w:rPr>
        <w:t xml:space="preserve"> (المجاز) كان معروفا من زمن بعيد، ذلك أن الشعراء ليسوا من أرباب وضع المصطلحات، كما لا يمكن أن يقولوا ما ليس معروفا عند الناس فلابد أن تكون كلمة </w:t>
      </w:r>
      <w:r w:rsidRPr="00A52585">
        <w:rPr>
          <w:rFonts w:hint="cs"/>
          <w:sz w:val="24"/>
          <w:szCs w:val="24"/>
          <w:rtl/>
        </w:rPr>
        <w:t>(</w:t>
      </w:r>
      <w:r w:rsidR="00777DCB" w:rsidRPr="00A52585">
        <w:rPr>
          <w:rFonts w:hint="cs"/>
          <w:sz w:val="24"/>
          <w:szCs w:val="24"/>
          <w:rtl/>
        </w:rPr>
        <w:t>مجاز</w:t>
      </w:r>
      <w:r w:rsidRPr="00A52585">
        <w:rPr>
          <w:rFonts w:hint="cs"/>
          <w:sz w:val="24"/>
          <w:szCs w:val="24"/>
          <w:rtl/>
        </w:rPr>
        <w:t>)</w:t>
      </w:r>
      <w:r w:rsidR="00777DCB" w:rsidRPr="00A52585">
        <w:rPr>
          <w:rFonts w:hint="cs"/>
          <w:sz w:val="24"/>
          <w:szCs w:val="24"/>
          <w:rtl/>
        </w:rPr>
        <w:t xml:space="preserve"> المقابلة للحقيقة معروفة مشهورة حتى يستعملها شاعر لم يعرف عنه أنه عني بالدراسات النحوية التي كانت سائدة في عصره "</w:t>
      </w:r>
      <w:r w:rsidRPr="00A52585">
        <w:rPr>
          <w:rFonts w:hint="cs"/>
          <w:sz w:val="24"/>
          <w:szCs w:val="24"/>
          <w:rtl/>
        </w:rPr>
        <w:t xml:space="preserve"> </w:t>
      </w:r>
      <w:r w:rsidR="00777DCB" w:rsidRPr="00A52585">
        <w:rPr>
          <w:rFonts w:hint="cs"/>
          <w:sz w:val="24"/>
          <w:szCs w:val="24"/>
          <w:rtl/>
        </w:rPr>
        <w:t xml:space="preserve">أهـ (المجاز) للدكتور العماري ص 25، (المجاز) للدكتور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ص 714 يقول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بعد أن نسف الركيزة الأولى لابن تيمية</w:t>
      </w:r>
      <w:r w:rsidRPr="00A52585">
        <w:rPr>
          <w:rFonts w:hint="cs"/>
          <w:sz w:val="24"/>
          <w:szCs w:val="24"/>
          <w:rtl/>
        </w:rPr>
        <w:t xml:space="preserve">: </w:t>
      </w:r>
      <w:r w:rsidR="00777DCB" w:rsidRPr="00A52585">
        <w:rPr>
          <w:rFonts w:hint="cs"/>
          <w:sz w:val="24"/>
          <w:szCs w:val="24"/>
          <w:rtl/>
        </w:rPr>
        <w:t>" ها نحن أولاء قد فرغنا من الرد على الإمام ابن تيمية في الشبهة الأولى من مجموع الشبه التي بني عليها رأيه في نفي المجاز عن اللغة، وعن القرآن الكريم، وهي</w:t>
      </w:r>
      <w:r w:rsidRPr="00A52585">
        <w:rPr>
          <w:rFonts w:hint="cs"/>
          <w:sz w:val="24"/>
          <w:szCs w:val="24"/>
          <w:rtl/>
        </w:rPr>
        <w:t>:</w:t>
      </w:r>
      <w:r w:rsidR="00777DCB" w:rsidRPr="00A52585">
        <w:rPr>
          <w:rFonts w:hint="cs"/>
          <w:sz w:val="24"/>
          <w:szCs w:val="24"/>
          <w:rtl/>
        </w:rPr>
        <w:t xml:space="preserve"> أن أحداً من سلف الأمة لم يقل به</w:t>
      </w:r>
      <w:r w:rsidR="00F95886" w:rsidRPr="00A52585">
        <w:rPr>
          <w:rFonts w:hint="cs"/>
          <w:sz w:val="24"/>
          <w:szCs w:val="24"/>
          <w:rtl/>
        </w:rPr>
        <w:t>؟</w:t>
      </w:r>
      <w:r w:rsidR="00777DCB" w:rsidRPr="00A52585">
        <w:rPr>
          <w:rFonts w:hint="cs"/>
          <w:sz w:val="24"/>
          <w:szCs w:val="24"/>
          <w:rtl/>
        </w:rPr>
        <w:t xml:space="preserve"> قد </w:t>
      </w:r>
      <w:proofErr w:type="spellStart"/>
      <w:r w:rsidR="00777DCB" w:rsidRPr="00A52585">
        <w:rPr>
          <w:rFonts w:hint="cs"/>
          <w:sz w:val="24"/>
          <w:szCs w:val="24"/>
          <w:rtl/>
        </w:rPr>
        <w:t>واجهناه</w:t>
      </w:r>
      <w:proofErr w:type="spellEnd"/>
      <w:r w:rsidR="00777DCB" w:rsidRPr="00A52585">
        <w:rPr>
          <w:rFonts w:hint="cs"/>
          <w:sz w:val="24"/>
          <w:szCs w:val="24"/>
          <w:rtl/>
        </w:rPr>
        <w:t xml:space="preserve"> بنقيض دعواه وبينا أن ثلاثة من الأئمة الفقهاء، وهم الإمام الشافعي، والإمام أبو حنيفة، ومعه صاحباه، والإمام أحمد ابن حنبل قد روى الرواة الثقات أنهم قالوا بالمجاز، وتكرر ذلك منهم، والإمام ابن تيمية يعترف بما ورد عن الإمام أحمد، ولكنه سلك فيه مسلكين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أحدهما</w:t>
      </w:r>
      <w:r w:rsidRPr="00A52585">
        <w:rPr>
          <w:rFonts w:hint="cs"/>
          <w:sz w:val="24"/>
          <w:szCs w:val="24"/>
          <w:rtl/>
        </w:rPr>
        <w:t>):</w:t>
      </w:r>
      <w:r w:rsidR="00777DCB" w:rsidRPr="00A52585">
        <w:rPr>
          <w:rFonts w:hint="cs"/>
          <w:sz w:val="24"/>
          <w:szCs w:val="24"/>
          <w:rtl/>
        </w:rPr>
        <w:t xml:space="preserve"> تضعيف الرواية القوية، وتقوية الرواية الضعيفة الموافقة لمذهبه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الثاني</w:t>
      </w:r>
      <w:r w:rsidRPr="00A52585">
        <w:rPr>
          <w:rFonts w:hint="cs"/>
          <w:sz w:val="24"/>
          <w:szCs w:val="24"/>
          <w:rtl/>
        </w:rPr>
        <w:t>):</w:t>
      </w:r>
      <w:r w:rsidR="00777DCB" w:rsidRPr="00A52585">
        <w:rPr>
          <w:rFonts w:hint="cs"/>
          <w:sz w:val="24"/>
          <w:szCs w:val="24"/>
          <w:rtl/>
        </w:rPr>
        <w:t xml:space="preserve"> تأويل قول الإمام بما يخرجه عن الاحتجاج به عليه على فرض صحته عنده</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4"/>
          <w:sz w:val="24"/>
          <w:szCs w:val="24"/>
          <w:rtl/>
        </w:rPr>
        <w:t xml:space="preserve">كما رأينا كثيراً من اللغويين والنحاة والأدباء والنقاد والبلاغيين </w:t>
      </w:r>
      <w:proofErr w:type="spellStart"/>
      <w:r w:rsidR="00777DCB" w:rsidRPr="00A52585">
        <w:rPr>
          <w:rFonts w:hint="cs"/>
          <w:spacing w:val="-4"/>
          <w:sz w:val="24"/>
          <w:szCs w:val="24"/>
          <w:rtl/>
        </w:rPr>
        <w:t>والإعجازيين،والمفسرين</w:t>
      </w:r>
      <w:proofErr w:type="spellEnd"/>
      <w:r w:rsidR="00777DCB" w:rsidRPr="00A52585">
        <w:rPr>
          <w:rFonts w:hint="cs"/>
          <w:spacing w:val="-4"/>
          <w:sz w:val="24"/>
          <w:szCs w:val="24"/>
          <w:rtl/>
        </w:rPr>
        <w:t xml:space="preserve"> والمحدثين، والأصوليين والفقهاء قد قالوا بالمجاز، وتوسع بعضهم فيه، ونقلنا عن أبي عبيدة، وابن الأعرابي وأبي عمرو بن العلاء وثعلب نصوصا صريحة تدفع دعواه هو في</w:t>
      </w:r>
      <w:r w:rsidR="00777DCB" w:rsidRPr="00A52585">
        <w:rPr>
          <w:rFonts w:hint="cs"/>
          <w:sz w:val="24"/>
          <w:szCs w:val="24"/>
          <w:rtl/>
        </w:rPr>
        <w:t xml:space="preserve"> نفي المجاز "</w:t>
      </w:r>
      <w:r w:rsidRPr="00A52585">
        <w:rPr>
          <w:rFonts w:hint="cs"/>
          <w:sz w:val="24"/>
          <w:szCs w:val="24"/>
          <w:rtl/>
        </w:rPr>
        <w:t xml:space="preserve"> </w:t>
      </w:r>
      <w:r w:rsidR="00777DCB" w:rsidRPr="00A52585">
        <w:rPr>
          <w:rFonts w:hint="cs"/>
          <w:sz w:val="24"/>
          <w:szCs w:val="24"/>
          <w:rtl/>
        </w:rPr>
        <w:lastRenderedPageBreak/>
        <w:t>أهـ (المجاز) ص 715</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الشبهة الثانية لابن تيمية</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فزعم أن أصل اللغة إلهام من الله سبحانه ثم كان النطق بالألفاظ مباشرة مستعملة فيما أريد منها</w:t>
      </w:r>
      <w:r w:rsidR="00DB731D" w:rsidRPr="00A52585">
        <w:rPr>
          <w:rFonts w:hint="cs"/>
          <w:sz w:val="24"/>
          <w:szCs w:val="24"/>
          <w:rtl/>
        </w:rPr>
        <w:t>،</w:t>
      </w:r>
      <w:r w:rsidR="00777DCB" w:rsidRPr="00A52585">
        <w:rPr>
          <w:rFonts w:hint="cs"/>
          <w:sz w:val="24"/>
          <w:szCs w:val="24"/>
          <w:rtl/>
        </w:rPr>
        <w:t xml:space="preserve"> كل ذلك لأنه رأى مجوزي المجاز يقولون</w:t>
      </w:r>
      <w:r w:rsidRPr="00A52585">
        <w:rPr>
          <w:rFonts w:hint="cs"/>
          <w:sz w:val="24"/>
          <w:szCs w:val="24"/>
          <w:rtl/>
        </w:rPr>
        <w:t>:</w:t>
      </w:r>
      <w:r w:rsidR="00777DCB" w:rsidRPr="00A52585">
        <w:rPr>
          <w:rFonts w:hint="cs"/>
          <w:sz w:val="24"/>
          <w:szCs w:val="24"/>
          <w:rtl/>
        </w:rPr>
        <w:t xml:space="preserve"> إن المجاز ما نقلت فيه الكلمة من المعنى الوضعي فاستعملت في المعنى غير الوضعي وهذا النقل هو أهم ركن من أركان المجاز</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والرد على ذلك</w:t>
      </w:r>
      <w:r w:rsidRPr="00A52585">
        <w:rPr>
          <w:rFonts w:hint="cs"/>
          <w:sz w:val="24"/>
          <w:szCs w:val="24"/>
          <w:rtl/>
        </w:rPr>
        <w:t xml:space="preserve">: </w:t>
      </w:r>
      <w:r w:rsidR="00777DCB" w:rsidRPr="00A52585">
        <w:rPr>
          <w:rFonts w:hint="cs"/>
          <w:sz w:val="24"/>
          <w:szCs w:val="24"/>
          <w:rtl/>
        </w:rPr>
        <w:t>1- أطبق علماء الأمة في كل زمان ومكان وفي كل فرع من فروع علم اللغة</w:t>
      </w:r>
      <w:r w:rsidRPr="00A52585">
        <w:rPr>
          <w:rFonts w:hint="cs"/>
          <w:sz w:val="24"/>
          <w:szCs w:val="24"/>
          <w:rtl/>
        </w:rPr>
        <w:t>:</w:t>
      </w:r>
      <w:r w:rsidR="00777DCB" w:rsidRPr="00A52585">
        <w:rPr>
          <w:rFonts w:hint="cs"/>
          <w:sz w:val="24"/>
          <w:szCs w:val="24"/>
          <w:rtl/>
        </w:rPr>
        <w:t xml:space="preserve"> قواعد وتطبيقات على أن جميع الألفاظ لكل منها وضع أول ويدل على معنى معين وفكرة المعاجم اللغوية – كما يقول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إنما نشأت لجمع الألفاظ اللغوية والوقوف على مدلولاتها التي كان عليها الحال عند العرب الخلص </w:t>
      </w:r>
      <w:r w:rsidR="00777DCB" w:rsidRPr="00A52585">
        <w:rPr>
          <w:sz w:val="24"/>
          <w:szCs w:val="24"/>
        </w:rPr>
        <w:t>…</w:t>
      </w:r>
      <w:r w:rsidR="00777DCB" w:rsidRPr="00A52585">
        <w:rPr>
          <w:rFonts w:hint="cs"/>
          <w:sz w:val="24"/>
          <w:szCs w:val="24"/>
          <w:rtl/>
        </w:rPr>
        <w:t xml:space="preserve"> وهذه المفردات اللغوية ومعناها العام المتعارف هو ما عرف بالدلالة الوضعية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أن البحث العلمي الحديث قد ضعّف تفسير نشأة اللغة بالإلهام ولم يوافق عليه بل صفوة القول في ذلك أن هناك ثلاث نظريات تفسر نشأة اللغة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أ</w:t>
      </w:r>
      <w:r w:rsidRPr="00A52585">
        <w:rPr>
          <w:rFonts w:hint="cs"/>
          <w:sz w:val="24"/>
          <w:szCs w:val="24"/>
          <w:rtl/>
        </w:rPr>
        <w:t>)</w:t>
      </w:r>
      <w:r w:rsidR="00777DCB" w:rsidRPr="00A52585">
        <w:rPr>
          <w:rFonts w:hint="cs"/>
          <w:sz w:val="24"/>
          <w:szCs w:val="24"/>
          <w:rtl/>
        </w:rPr>
        <w:t xml:space="preserve"> التوقيف من الله سبحانه، واحتجوا بقوله سبحانه</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وعلّم آدم الأسماء كلها</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ب) الاصطلاح والمواضعة، وفسروا الآية السابقة على أن الله أقدر آدم عليه السلام على وضع الأسماء</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ج</w:t>
      </w:r>
      <w:r w:rsidRPr="00A52585">
        <w:rPr>
          <w:rFonts w:hint="cs"/>
          <w:sz w:val="24"/>
          <w:szCs w:val="24"/>
          <w:rtl/>
        </w:rPr>
        <w:t>)</w:t>
      </w:r>
      <w:r w:rsidR="00777DCB" w:rsidRPr="00A52585">
        <w:rPr>
          <w:rFonts w:hint="cs"/>
          <w:sz w:val="24"/>
          <w:szCs w:val="24"/>
          <w:rtl/>
        </w:rPr>
        <w:t xml:space="preserve"> المحاكاة والتقليد يقول السيوطي</w:t>
      </w:r>
      <w:r w:rsidRPr="00A52585">
        <w:rPr>
          <w:rFonts w:hint="cs"/>
          <w:sz w:val="24"/>
          <w:szCs w:val="24"/>
          <w:rtl/>
        </w:rPr>
        <w:t xml:space="preserve"> </w:t>
      </w:r>
      <w:r w:rsidR="00777DCB" w:rsidRPr="00A52585">
        <w:rPr>
          <w:rFonts w:hint="cs"/>
          <w:sz w:val="24"/>
          <w:szCs w:val="24"/>
          <w:rtl/>
        </w:rPr>
        <w:t xml:space="preserve">"وذهب قوم إلى أن </w:t>
      </w:r>
      <w:r w:rsidR="00777DCB" w:rsidRPr="00A52585">
        <w:rPr>
          <w:rFonts w:hint="cs"/>
          <w:spacing w:val="-4"/>
          <w:sz w:val="24"/>
          <w:szCs w:val="24"/>
          <w:rtl/>
        </w:rPr>
        <w:t xml:space="preserve">أصل اللغات كلها إنما هو من الأصوات المسموعات كدوى الريح وجنين الرعد وخرير الماء وشجيج الحمار ونعيق الغراب </w:t>
      </w:r>
      <w:r w:rsidR="00777DCB" w:rsidRPr="00A52585">
        <w:rPr>
          <w:rFonts w:hint="cs"/>
          <w:sz w:val="24"/>
          <w:szCs w:val="24"/>
          <w:rtl/>
        </w:rPr>
        <w:t>وصهيل الفرس ونزيب الظبي ونحو ذلك، ثم ولدت اللغات عن ذلك فيما بعد"</w:t>
      </w:r>
      <w:r w:rsidRPr="00A52585">
        <w:rPr>
          <w:rFonts w:hint="cs"/>
          <w:sz w:val="24"/>
          <w:szCs w:val="24"/>
          <w:rtl/>
        </w:rPr>
        <w:t xml:space="preserve"> </w:t>
      </w:r>
      <w:r w:rsidR="00777DCB" w:rsidRPr="00A52585">
        <w:rPr>
          <w:rFonts w:hint="cs"/>
          <w:sz w:val="24"/>
          <w:szCs w:val="24"/>
          <w:rtl/>
        </w:rPr>
        <w:t>ويعلق ابن جنى على هذا المذهب فيقول</w:t>
      </w:r>
      <w:r w:rsidRPr="00A52585">
        <w:rPr>
          <w:rFonts w:hint="cs"/>
          <w:sz w:val="24"/>
          <w:szCs w:val="24"/>
          <w:rtl/>
        </w:rPr>
        <w:t xml:space="preserve">: </w:t>
      </w:r>
      <w:r w:rsidR="00777DCB" w:rsidRPr="00A52585">
        <w:rPr>
          <w:rFonts w:hint="cs"/>
          <w:sz w:val="24"/>
          <w:szCs w:val="24"/>
          <w:rtl/>
        </w:rPr>
        <w:t>"وهذا عندي وجه صالح ومذهب متقبل "</w:t>
      </w:r>
      <w:r w:rsidRPr="00A52585">
        <w:rPr>
          <w:rFonts w:hint="cs"/>
          <w:sz w:val="24"/>
          <w:szCs w:val="24"/>
          <w:rtl/>
        </w:rPr>
        <w:t xml:space="preserve"> </w:t>
      </w:r>
      <w:r w:rsidR="00777DCB" w:rsidRPr="00A52585">
        <w:rPr>
          <w:rFonts w:hint="cs"/>
          <w:sz w:val="24"/>
          <w:szCs w:val="24"/>
          <w:rtl/>
        </w:rPr>
        <w:t xml:space="preserve">انظر المجاز للدكتور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ص 735</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وفي قصة ابني آدم التي حكاها القرآن ما يشير إلى اعتماد هذا الطريق في التعليم {فبعث الله غرابا يبحث في الأرض ليريه كيف يواري سوءة أخية </w:t>
      </w:r>
      <w:r w:rsidR="00777DCB" w:rsidRPr="00A52585">
        <w:rPr>
          <w:sz w:val="24"/>
          <w:szCs w:val="24"/>
        </w:rPr>
        <w:t>…</w:t>
      </w:r>
      <w:r w:rsidRPr="00A52585">
        <w:rPr>
          <w:rFonts w:hint="cs"/>
          <w:sz w:val="24"/>
          <w:szCs w:val="24"/>
          <w:rtl/>
        </w:rPr>
        <w:t xml:space="preserve">} </w:t>
      </w:r>
      <w:r w:rsidR="00777DCB" w:rsidRPr="00A52585">
        <w:rPr>
          <w:rFonts w:hint="cs"/>
          <w:sz w:val="24"/>
          <w:szCs w:val="24"/>
          <w:rtl/>
        </w:rPr>
        <w:t>الآية 31 من سورة المائدة وهذه النظرية هي التي يكاد يجزم بصحتها الباحثون المعاصرون في علوم اللغة وانظر ما ذكره د علي عبد الواحد وافي في كتابيه</w:t>
      </w:r>
      <w:r w:rsidRPr="00A52585">
        <w:rPr>
          <w:rFonts w:hint="cs"/>
          <w:sz w:val="24"/>
          <w:szCs w:val="24"/>
          <w:rtl/>
        </w:rPr>
        <w:t>:</w:t>
      </w:r>
      <w:r w:rsidR="00777DCB" w:rsidRPr="00A52585">
        <w:rPr>
          <w:rFonts w:hint="cs"/>
          <w:sz w:val="24"/>
          <w:szCs w:val="24"/>
          <w:rtl/>
        </w:rPr>
        <w:t xml:space="preserve"> (علم اللغة)، (نشأة اللغة عند الإنسان والطفل)</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3- الوضع والاستعمال متلازمان</w:t>
      </w:r>
      <w:r w:rsidRPr="00A52585">
        <w:rPr>
          <w:rFonts w:hint="cs"/>
          <w:sz w:val="24"/>
          <w:szCs w:val="24"/>
          <w:rtl/>
        </w:rPr>
        <w:t>:</w:t>
      </w:r>
      <w:r w:rsidR="00777DCB" w:rsidRPr="00A52585">
        <w:rPr>
          <w:rFonts w:hint="cs"/>
          <w:sz w:val="24"/>
          <w:szCs w:val="24"/>
          <w:rtl/>
        </w:rPr>
        <w:t xml:space="preserve"> يقول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تحت هذا العنوان</w:t>
      </w:r>
      <w:r w:rsidRPr="00A52585">
        <w:rPr>
          <w:rFonts w:hint="cs"/>
          <w:sz w:val="24"/>
          <w:szCs w:val="24"/>
          <w:rtl/>
        </w:rPr>
        <w:t>:</w:t>
      </w:r>
      <w:r w:rsidR="00777DCB" w:rsidRPr="00A52585">
        <w:rPr>
          <w:rFonts w:hint="cs"/>
          <w:sz w:val="24"/>
          <w:szCs w:val="24"/>
          <w:rtl/>
        </w:rPr>
        <w:t xml:space="preserve"> " وما يوهن دعوى الإمام ابن تيمية أن قوله بالإلهام لا يؤدي إلى إنكار الوضع، وأن قوله بالاستعمال لا ينافي الوضع بل أن الوضع ملازم لكل مذهب قيل به في أصل اللغات لأن المراد بالوضع هو النطق أول مرة باللفظة دالا على معناه سواء كان مصدره الإلهام أو المحاكاة أو التوقيف</w:t>
      </w:r>
      <w:r w:rsidR="00DB731D" w:rsidRPr="00A52585">
        <w:rPr>
          <w:rFonts w:hint="cs"/>
          <w:sz w:val="24"/>
          <w:szCs w:val="24"/>
          <w:rtl/>
        </w:rPr>
        <w:t>،</w:t>
      </w:r>
      <w:r w:rsidR="00777DCB" w:rsidRPr="00A52585">
        <w:rPr>
          <w:rFonts w:hint="cs"/>
          <w:sz w:val="24"/>
          <w:szCs w:val="24"/>
          <w:rtl/>
        </w:rPr>
        <w:t xml:space="preserve">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 لأن الوضع هو </w:t>
      </w:r>
      <w:r w:rsidR="00777DCB" w:rsidRPr="00A52585">
        <w:rPr>
          <w:rFonts w:hint="cs"/>
          <w:bCs/>
          <w:sz w:val="24"/>
          <w:szCs w:val="24"/>
          <w:rtl/>
        </w:rPr>
        <w:t>ورود اللفظ لأول مرة دالا على المراد منه</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وتلازم الوضع للاستعمال مثل تلازم الحياة للحي ويستحيل استعمال لفظ بمعزل عن اللفظ نفسه، كما يستحيل وضع لفظ بمعزل عن الاستعمال لأن الواضع يضع اللفظ ويعينه للدلالة على معنى </w:t>
      </w:r>
      <w:r w:rsidR="00777DCB" w:rsidRPr="00A52585">
        <w:rPr>
          <w:rFonts w:hint="cs"/>
          <w:bCs/>
          <w:sz w:val="24"/>
          <w:szCs w:val="24"/>
          <w:rtl/>
        </w:rPr>
        <w:t xml:space="preserve">وتصور وضع لفظ دون أن تكون حقيقة معناه ومسماه ماثلة في ذهن الواضع مستحيل </w:t>
      </w:r>
      <w:proofErr w:type="spellStart"/>
      <w:r w:rsidR="00777DCB" w:rsidRPr="00A52585">
        <w:rPr>
          <w:rFonts w:hint="cs"/>
          <w:bCs/>
          <w:sz w:val="24"/>
          <w:szCs w:val="24"/>
          <w:rtl/>
        </w:rPr>
        <w:t>مستحيل</w:t>
      </w:r>
      <w:proofErr w:type="spellEnd"/>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فابن تيمية- مثلا- يرى أن أصل اللغة إلهام واستعمال لا وضع متقدم على الاستعمال فحين ألهم الله الإنسان أن يستعمل كلمة (بحر) فلابد من أحد أمرين لصحة هذا الاستعمال</w:t>
      </w:r>
      <w:r w:rsidR="00F95886" w:rsidRPr="00A52585">
        <w:rPr>
          <w:rFonts w:hint="cs"/>
          <w:sz w:val="24"/>
          <w:szCs w:val="24"/>
          <w:rtl/>
        </w:rPr>
        <w:t>؟</w:t>
      </w:r>
      <w:r w:rsidR="00777DCB" w:rsidRPr="00A52585">
        <w:rPr>
          <w:rFonts w:hint="cs"/>
          <w:sz w:val="24"/>
          <w:szCs w:val="24"/>
          <w:rtl/>
        </w:rPr>
        <w:t xml:space="preserve"> أحدهما</w:t>
      </w:r>
      <w:r w:rsidRPr="00A52585">
        <w:rPr>
          <w:rFonts w:hint="cs"/>
          <w:sz w:val="24"/>
          <w:szCs w:val="24"/>
          <w:rtl/>
        </w:rPr>
        <w:t>:</w:t>
      </w:r>
      <w:r w:rsidR="00777DCB" w:rsidRPr="00A52585">
        <w:rPr>
          <w:rFonts w:hint="cs"/>
          <w:sz w:val="24"/>
          <w:szCs w:val="24"/>
          <w:rtl/>
        </w:rPr>
        <w:t xml:space="preserve"> رؤية مجتمع الماء عيانا حين الاستعمال</w:t>
      </w:r>
      <w:r w:rsidR="00DB731D" w:rsidRPr="00A52585">
        <w:rPr>
          <w:rFonts w:hint="cs"/>
          <w:sz w:val="24"/>
          <w:szCs w:val="24"/>
          <w:rtl/>
        </w:rPr>
        <w:t>،</w:t>
      </w:r>
      <w:r w:rsidR="00777DCB" w:rsidRPr="00A52585">
        <w:rPr>
          <w:rFonts w:hint="cs"/>
          <w:sz w:val="24"/>
          <w:szCs w:val="24"/>
          <w:rtl/>
        </w:rPr>
        <w:t xml:space="preserve"> والثاني</w:t>
      </w:r>
      <w:r w:rsidRPr="00A52585">
        <w:rPr>
          <w:rFonts w:hint="cs"/>
          <w:sz w:val="24"/>
          <w:szCs w:val="24"/>
          <w:rtl/>
        </w:rPr>
        <w:t>:</w:t>
      </w:r>
      <w:r w:rsidR="00777DCB" w:rsidRPr="00A52585">
        <w:rPr>
          <w:rFonts w:hint="cs"/>
          <w:sz w:val="24"/>
          <w:szCs w:val="24"/>
          <w:rtl/>
        </w:rPr>
        <w:t xml:space="preserve"> تخيل تلك الصورة إذا لم تكن حاضرة مرئية وفي كلتا الحالتين فكلمة بحر اخترعت </w:t>
      </w:r>
      <w:r w:rsidR="00777DCB" w:rsidRPr="00A52585">
        <w:rPr>
          <w:rFonts w:hint="cs"/>
          <w:sz w:val="24"/>
          <w:szCs w:val="24"/>
          <w:rtl/>
        </w:rPr>
        <w:lastRenderedPageBreak/>
        <w:t>مقرونة بالاستعمال إما حسا وإما معنى ومستحيل أن تخترع كلمة (بحر) أو توضع وليس في ذهن الواضع أو المخترع تصور لمسماها</w:t>
      </w:r>
      <w:r w:rsidR="00DB731D" w:rsidRPr="00A52585">
        <w:rPr>
          <w:rFonts w:hint="cs"/>
          <w:sz w:val="24"/>
          <w:szCs w:val="24"/>
          <w:rtl/>
        </w:rPr>
        <w:t>،</w:t>
      </w:r>
      <w:r w:rsidR="00777DCB" w:rsidRPr="00A52585">
        <w:rPr>
          <w:rFonts w:hint="cs"/>
          <w:sz w:val="24"/>
          <w:szCs w:val="24"/>
          <w:rtl/>
        </w:rPr>
        <w:t xml:space="preserve"> وهذا المثال صالح للتطبيق على كل النظريات المفروضة في أصل اللغات فلا مناص من التسليم بالوضع إذن فالوضع ملازم لكل نظرية، وللاستعمال لأن اللغة مظهر خارجي وليست فعلا من أفعال النفس يظل مكتوما بين طواياها</w:t>
      </w:r>
      <w:r w:rsidR="00DB731D" w:rsidRPr="00A52585">
        <w:rPr>
          <w:rFonts w:hint="cs"/>
          <w:sz w:val="24"/>
          <w:szCs w:val="24"/>
          <w:rtl/>
        </w:rPr>
        <w:t>،</w:t>
      </w:r>
      <w:r w:rsidR="00777DCB" w:rsidRPr="00A52585">
        <w:rPr>
          <w:rFonts w:hint="cs"/>
          <w:sz w:val="24"/>
          <w:szCs w:val="24"/>
          <w:rtl/>
        </w:rPr>
        <w:t xml:space="preserve"> فليكن الاستعمال ولا وضع كما يرى ابن تيمية ولكن المجاز جائز ومستساغ حتى مع نفي الوضع وفرض الاستعمال</w:t>
      </w:r>
      <w:r w:rsidR="00DB731D" w:rsidRPr="00A52585">
        <w:rPr>
          <w:rFonts w:hint="cs"/>
          <w:sz w:val="24"/>
          <w:szCs w:val="24"/>
          <w:rtl/>
        </w:rPr>
        <w:t>،</w:t>
      </w:r>
      <w:r w:rsidR="00777DCB" w:rsidRPr="00A52585">
        <w:rPr>
          <w:rFonts w:hint="cs"/>
          <w:sz w:val="24"/>
          <w:szCs w:val="24"/>
          <w:rtl/>
        </w:rPr>
        <w:t xml:space="preserve"> فالكلمة في أول استعمال لها حقيقة وحين تستعمل استعمالا ثانيا بينه وبين الاستعمال الأول صلة معتبرة، ووجدت في السياق قرينة ترجح أو توجب الأخذ بمعنى الاستعمال الثاني دون الأول كان المجاز لا محالة "</w:t>
      </w:r>
      <w:r w:rsidRPr="00A52585">
        <w:rPr>
          <w:rFonts w:hint="cs"/>
          <w:sz w:val="24"/>
          <w:szCs w:val="24"/>
          <w:rtl/>
        </w:rPr>
        <w:t xml:space="preserve"> </w:t>
      </w:r>
      <w:r w:rsidR="00777DCB" w:rsidRPr="00A52585">
        <w:rPr>
          <w:rFonts w:hint="cs"/>
          <w:sz w:val="24"/>
          <w:szCs w:val="24"/>
          <w:rtl/>
        </w:rPr>
        <w:t>أهـ المجاز ص 742- 743</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الشبهة الثالثة لابن تيمية</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نفى أثر الإضافة في تحقيق المجاز فزعم</w:t>
      </w:r>
      <w:r w:rsidRPr="00A52585">
        <w:rPr>
          <w:rFonts w:hint="cs"/>
          <w:sz w:val="24"/>
          <w:szCs w:val="24"/>
          <w:rtl/>
        </w:rPr>
        <w:t>:</w:t>
      </w:r>
      <w:r w:rsidR="00777DCB" w:rsidRPr="00A52585">
        <w:rPr>
          <w:rFonts w:hint="cs"/>
          <w:sz w:val="24"/>
          <w:szCs w:val="24"/>
          <w:rtl/>
        </w:rPr>
        <w:t xml:space="preserve"> 1- أن كل الألفاظ في اللغة لم ترد إلا مقيدة بقيود وقرائن توضح المعنى المراد منها فادعاء علماء اللغة ورود الألفاظ مجردة أو أنها بدون أية قرائن أو قيود تفيد معنى وبالتالي يكون المجرد منها حقيقة والمقيد بالقرائن مجاز هو خطأ غير معلوم من اللغة بل هو محال</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التسوية بين الإضافات المختلفة لأي لفظ، وزعم بأنه ليس هناك إضافة لما حق اللفظ أن يضاف إليه وإضافة إلى ما ليس حق اللفظ أن يضاف إليه</w:t>
      </w:r>
      <w:r w:rsidR="00DB731D" w:rsidRPr="00A52585">
        <w:rPr>
          <w:rFonts w:hint="cs"/>
          <w:sz w:val="24"/>
          <w:szCs w:val="24"/>
          <w:rtl/>
        </w:rPr>
        <w:t>،</w:t>
      </w:r>
      <w:r w:rsidR="00777DCB" w:rsidRPr="00A52585">
        <w:rPr>
          <w:rFonts w:hint="cs"/>
          <w:sz w:val="24"/>
          <w:szCs w:val="24"/>
          <w:rtl/>
        </w:rPr>
        <w:t xml:space="preserve"> وهو في الحالتين </w:t>
      </w:r>
      <w:proofErr w:type="spellStart"/>
      <w:r w:rsidR="00777DCB" w:rsidRPr="00A52585">
        <w:rPr>
          <w:rFonts w:hint="cs"/>
          <w:sz w:val="24"/>
          <w:szCs w:val="24"/>
          <w:rtl/>
        </w:rPr>
        <w:t>يحجد</w:t>
      </w:r>
      <w:proofErr w:type="spellEnd"/>
      <w:r w:rsidR="00777DCB" w:rsidRPr="00A52585">
        <w:rPr>
          <w:rFonts w:hint="cs"/>
          <w:sz w:val="24"/>
          <w:szCs w:val="24"/>
          <w:rtl/>
        </w:rPr>
        <w:t xml:space="preserve"> ظاهرة تبادر المعنى الحقيقي للألفاظ عند سماعها مجردة من القرائن </w:t>
      </w:r>
      <w:proofErr w:type="spellStart"/>
      <w:r w:rsidR="00777DCB" w:rsidRPr="00A52585">
        <w:rPr>
          <w:rFonts w:hint="cs"/>
          <w:sz w:val="24"/>
          <w:szCs w:val="24"/>
          <w:rtl/>
        </w:rPr>
        <w:t>الصارفة</w:t>
      </w:r>
      <w:proofErr w:type="spellEnd"/>
      <w:r w:rsidR="00777DCB" w:rsidRPr="00A52585">
        <w:rPr>
          <w:rFonts w:hint="cs"/>
          <w:sz w:val="24"/>
          <w:szCs w:val="24"/>
          <w:rtl/>
        </w:rPr>
        <w:t xml:space="preserve"> عن هذا المعنى، ويظن أنه بهذا الزعم قد هرب من الإقرار بها</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والرد على ذلك</w:t>
      </w:r>
      <w:r w:rsidRPr="00A52585">
        <w:rPr>
          <w:rFonts w:hint="cs"/>
          <w:sz w:val="24"/>
          <w:szCs w:val="24"/>
          <w:rtl/>
        </w:rPr>
        <w:t xml:space="preserve">: </w:t>
      </w:r>
      <w:r w:rsidR="00777DCB" w:rsidRPr="00A52585">
        <w:rPr>
          <w:rFonts w:hint="cs"/>
          <w:sz w:val="24"/>
          <w:szCs w:val="24"/>
          <w:rtl/>
        </w:rPr>
        <w:t>1- إنكاره التجريد في الألفاظ يخالف نص القرآن الكريم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وعلم آدم الأسماء كلها ثم عرضهم على الملائكة فقال أنبئوني بأسماء هؤلاء إن كنتم صادقين</w:t>
      </w:r>
      <w:r w:rsidRPr="00A52585">
        <w:rPr>
          <w:rFonts w:hint="cs"/>
          <w:sz w:val="24"/>
          <w:szCs w:val="24"/>
          <w:rtl/>
        </w:rPr>
        <w:t>}</w:t>
      </w:r>
      <w:r w:rsidR="00777DCB" w:rsidRPr="00A52585">
        <w:rPr>
          <w:rFonts w:hint="cs"/>
          <w:sz w:val="24"/>
          <w:szCs w:val="24"/>
          <w:rtl/>
        </w:rPr>
        <w:t xml:space="preserve"> الآية 31 من سورة البقرة ويخالف ما قرره العلماء والباحثون في أصول اللغة قديماً وحديثاً من أن أسماء الذوات وهي الألفاظ الدالة على الأشياء مثل</w:t>
      </w:r>
      <w:r w:rsidRPr="00A52585">
        <w:rPr>
          <w:rFonts w:hint="cs"/>
          <w:sz w:val="24"/>
          <w:szCs w:val="24"/>
          <w:rtl/>
        </w:rPr>
        <w:t>:</w:t>
      </w:r>
      <w:r w:rsidR="00777DCB" w:rsidRPr="00A52585">
        <w:rPr>
          <w:rFonts w:hint="cs"/>
          <w:sz w:val="24"/>
          <w:szCs w:val="24"/>
          <w:rtl/>
        </w:rPr>
        <w:t xml:space="preserve"> أرض-سماء-بحر- فرس- إنسان إلخ هي بداية تعلم اللغة وحين نطق الإنسان الأول بهذه الأسماء فمن المؤكد أنه نطق بها مجردة قاصدا بها الدلالة على الصورة المتكاملة </w:t>
      </w:r>
      <w:r w:rsidR="00777DCB" w:rsidRPr="00A52585">
        <w:rPr>
          <w:sz w:val="24"/>
          <w:szCs w:val="24"/>
        </w:rPr>
        <w:t>–</w:t>
      </w:r>
      <w:r w:rsidR="00777DCB" w:rsidRPr="00A52585">
        <w:rPr>
          <w:rFonts w:hint="cs"/>
          <w:sz w:val="24"/>
          <w:szCs w:val="24"/>
          <w:rtl/>
        </w:rPr>
        <w:t xml:space="preserve"> سمعية بصرية حسية- كما هي مختزنة في خياله على ما شرحه د أحمد عكاشة، ولم يكن في الوقت توصل إلى إطلاق الألفاظ الدالة على الأفعال ثم الحروف ثم الضمائر في فترات لاحقة كما أوضحه د على عبد الواحد وافي من قبل</w:t>
      </w:r>
      <w:r w:rsidR="00DB731D" w:rsidRPr="00A52585">
        <w:rPr>
          <w:rFonts w:hint="cs"/>
          <w:sz w:val="24"/>
          <w:szCs w:val="24"/>
          <w:rtl/>
        </w:rPr>
        <w:t>،</w:t>
      </w:r>
      <w:r w:rsidR="00777DCB" w:rsidRPr="00A52585">
        <w:rPr>
          <w:rFonts w:hint="cs"/>
          <w:sz w:val="24"/>
          <w:szCs w:val="24"/>
          <w:rtl/>
        </w:rPr>
        <w:t xml:space="preserve"> 2- مدلول كلامه أن اللفظ إذا ذكر بمفرده خال من أية قيود أو إضافات لا ينتج المعنى المقصود منه وبطلان هذا </w:t>
      </w:r>
      <w:proofErr w:type="spellStart"/>
      <w:r w:rsidR="00777DCB" w:rsidRPr="00A52585">
        <w:rPr>
          <w:rFonts w:hint="cs"/>
          <w:sz w:val="24"/>
          <w:szCs w:val="24"/>
          <w:rtl/>
        </w:rPr>
        <w:t>الرأى</w:t>
      </w:r>
      <w:proofErr w:type="spellEnd"/>
      <w:r w:rsidR="00777DCB" w:rsidRPr="00A52585">
        <w:rPr>
          <w:rFonts w:hint="cs"/>
          <w:sz w:val="24"/>
          <w:szCs w:val="24"/>
          <w:rtl/>
        </w:rPr>
        <w:t xml:space="preserve"> من </w:t>
      </w:r>
      <w:proofErr w:type="spellStart"/>
      <w:r w:rsidR="00777DCB" w:rsidRPr="00A52585">
        <w:rPr>
          <w:rFonts w:hint="cs"/>
          <w:sz w:val="24"/>
          <w:szCs w:val="24"/>
          <w:rtl/>
        </w:rPr>
        <w:t>البدهيات</w:t>
      </w:r>
      <w:proofErr w:type="spellEnd"/>
      <w:r w:rsidR="00777DCB" w:rsidRPr="00A52585">
        <w:rPr>
          <w:rFonts w:hint="cs"/>
          <w:sz w:val="24"/>
          <w:szCs w:val="24"/>
          <w:rtl/>
        </w:rPr>
        <w:t xml:space="preserve"> وها هي معاجم اللغة تذكر الألفاظ ومعناها مجردة من أي قيد أو إضافة وقد ضرب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نماذج لذلك من معاجم اللغة وقال في موضع آخر</w:t>
      </w:r>
      <w:r w:rsidRPr="00A52585">
        <w:rPr>
          <w:rFonts w:hint="cs"/>
          <w:sz w:val="24"/>
          <w:szCs w:val="24"/>
          <w:rtl/>
        </w:rPr>
        <w:t xml:space="preserve">: </w:t>
      </w:r>
      <w:r w:rsidR="00777DCB" w:rsidRPr="00A52585">
        <w:rPr>
          <w:rFonts w:hint="cs"/>
          <w:sz w:val="24"/>
          <w:szCs w:val="24"/>
          <w:rtl/>
        </w:rPr>
        <w:t xml:space="preserve">" وكذلك لما نزل قوله تعالى </w:t>
      </w:r>
      <w:r w:rsidRPr="00A52585">
        <w:rPr>
          <w:rFonts w:hint="cs"/>
          <w:sz w:val="24"/>
          <w:szCs w:val="24"/>
          <w:rtl/>
        </w:rPr>
        <w:t>{</w:t>
      </w:r>
      <w:r w:rsidR="00777DCB" w:rsidRPr="00A52585">
        <w:rPr>
          <w:rFonts w:hint="cs"/>
          <w:sz w:val="24"/>
          <w:szCs w:val="24"/>
          <w:rtl/>
        </w:rPr>
        <w:t xml:space="preserve">وكتبنا عليهم فيها أن النفس بالنفس والعين بالعين والأنف بالأنف والأذن بالأذن والسن بالسن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(الآية 45 من سورة المائدة)</w:t>
      </w:r>
      <w:r w:rsidR="00DB731D" w:rsidRPr="00A52585">
        <w:rPr>
          <w:rFonts w:hint="cs"/>
          <w:sz w:val="24"/>
          <w:szCs w:val="24"/>
          <w:rtl/>
        </w:rPr>
        <w:t>،</w:t>
      </w:r>
      <w:r w:rsidR="00777DCB" w:rsidRPr="00A52585">
        <w:rPr>
          <w:rFonts w:hint="cs"/>
          <w:sz w:val="24"/>
          <w:szCs w:val="24"/>
          <w:rtl/>
        </w:rPr>
        <w:t xml:space="preserve"> لم يفهم المسلمون من العين إلا العضو الباصر ولا من الأنف إلا العضو الشامّ، ولا من الأذن إلا العضو السامع، ولا من السن إلا الجارحة القاطعة مع أن هذه الألفاظ لم تضف إلى ما حقها أن تضاف إليه، ولكنها عرفت 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 "</w:t>
      </w:r>
      <w:r w:rsidRPr="00A52585">
        <w:rPr>
          <w:rFonts w:hint="cs"/>
          <w:sz w:val="24"/>
          <w:szCs w:val="24"/>
          <w:rtl/>
        </w:rPr>
        <w:t xml:space="preserve"> </w:t>
      </w:r>
      <w:r w:rsidR="00777DCB" w:rsidRPr="00A52585">
        <w:rPr>
          <w:rFonts w:hint="cs"/>
          <w:sz w:val="24"/>
          <w:szCs w:val="24"/>
          <w:rtl/>
        </w:rPr>
        <w:t xml:space="preserve">أهـ </w:t>
      </w:r>
      <w:r w:rsidRPr="00A52585">
        <w:rPr>
          <w:rFonts w:hint="cs"/>
          <w:sz w:val="24"/>
          <w:szCs w:val="24"/>
          <w:rtl/>
        </w:rPr>
        <w:t>(</w:t>
      </w:r>
      <w:r w:rsidR="00777DCB" w:rsidRPr="00A52585">
        <w:rPr>
          <w:rFonts w:hint="cs"/>
          <w:sz w:val="24"/>
          <w:szCs w:val="24"/>
          <w:rtl/>
        </w:rPr>
        <w:t>المجاز</w:t>
      </w:r>
      <w:r w:rsidRPr="00A52585">
        <w:rPr>
          <w:rFonts w:hint="cs"/>
          <w:sz w:val="24"/>
          <w:szCs w:val="24"/>
          <w:rtl/>
        </w:rPr>
        <w:t>)</w:t>
      </w:r>
      <w:r w:rsidR="00777DCB" w:rsidRPr="00A52585">
        <w:rPr>
          <w:rFonts w:hint="cs"/>
          <w:sz w:val="24"/>
          <w:szCs w:val="24"/>
          <w:rtl/>
        </w:rPr>
        <w:t xml:space="preserve"> ص 756- 757</w:t>
      </w:r>
      <w:r w:rsidR="00DB731D" w:rsidRPr="00A52585">
        <w:rPr>
          <w:rFonts w:hint="cs"/>
          <w:sz w:val="24"/>
          <w:szCs w:val="24"/>
          <w:rtl/>
        </w:rPr>
        <w:t>،</w:t>
      </w:r>
      <w:r w:rsidR="00777DCB" w:rsidRPr="00A52585">
        <w:rPr>
          <w:rFonts w:hint="cs"/>
          <w:sz w:val="24"/>
          <w:szCs w:val="24"/>
          <w:rtl/>
        </w:rPr>
        <w:t xml:space="preserve"> وإنكار ظاهرة التبادر جحود للضرورات العقلية وهو أقرب إلى الكذب والمكابرة منه إلى مسائل العلم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يقول الإمام تاج الدين السبكي</w:t>
      </w:r>
      <w:r w:rsidRPr="00A52585">
        <w:rPr>
          <w:rFonts w:hint="cs"/>
          <w:sz w:val="24"/>
          <w:szCs w:val="24"/>
          <w:rtl/>
        </w:rPr>
        <w:t xml:space="preserve">: </w:t>
      </w:r>
      <w:r w:rsidR="00777DCB" w:rsidRPr="00A52585">
        <w:rPr>
          <w:rFonts w:hint="cs"/>
          <w:sz w:val="24"/>
          <w:szCs w:val="24"/>
          <w:rtl/>
        </w:rPr>
        <w:t>" وأما من أنكر المجاز في اللغة مطلقا فليس مراده أن العرب لم تنطق بمثل قولك للشجاع أنه (أسد) فإن ذلك مكابرة وعناد ولكن هو دائر بين أمرين</w:t>
      </w:r>
      <w:r w:rsidRPr="00A52585">
        <w:rPr>
          <w:rFonts w:hint="cs"/>
          <w:sz w:val="24"/>
          <w:szCs w:val="24"/>
          <w:rtl/>
        </w:rPr>
        <w:t>:</w:t>
      </w:r>
      <w:r w:rsidR="00777DCB" w:rsidRPr="00A52585">
        <w:rPr>
          <w:rFonts w:hint="cs"/>
          <w:sz w:val="24"/>
          <w:szCs w:val="24"/>
          <w:rtl/>
        </w:rPr>
        <w:t xml:space="preserve"> أ- أحدهما أن يدعي أن جميع الألفاظ حقائق ويكتفي في كونها حقائق بالاستعمال في جميعها وهذا مسلّم ويرجع البحث لفظيا فإنه حينئذ يطلق الحقيقة على المستعمل وإن لم يكن أصل الوضع ونحن لا نطلق ذلك</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ب- وإن أراد بذلك استواء </w:t>
      </w:r>
      <w:r w:rsidR="00777DCB" w:rsidRPr="00A52585">
        <w:rPr>
          <w:rFonts w:hint="cs"/>
          <w:sz w:val="24"/>
          <w:szCs w:val="24"/>
          <w:rtl/>
        </w:rPr>
        <w:lastRenderedPageBreak/>
        <w:t>الكُلّ في أصل الوضع</w:t>
      </w:r>
      <w:r w:rsidRPr="00A52585">
        <w:rPr>
          <w:rFonts w:hint="cs"/>
          <w:sz w:val="24"/>
          <w:szCs w:val="24"/>
          <w:rtl/>
        </w:rPr>
        <w:t>:</w:t>
      </w:r>
      <w:r w:rsidR="00777DCB" w:rsidRPr="00A52585">
        <w:rPr>
          <w:rFonts w:hint="cs"/>
          <w:sz w:val="24"/>
          <w:szCs w:val="24"/>
          <w:rtl/>
        </w:rPr>
        <w:t xml:space="preserve"> فقال القاضي في مختصر التقريب (فهذه مراغمة لحقائق فإنا نفهم أن العرب ما وضعت اسم (الحمار) للبليد، ولو قيل للبليد</w:t>
      </w:r>
      <w:r w:rsidRPr="00A52585">
        <w:rPr>
          <w:rFonts w:hint="cs"/>
          <w:sz w:val="24"/>
          <w:szCs w:val="24"/>
          <w:rtl/>
        </w:rPr>
        <w:t>:</w:t>
      </w:r>
      <w:r w:rsidR="00777DCB" w:rsidRPr="00A52585">
        <w:rPr>
          <w:rFonts w:hint="cs"/>
          <w:sz w:val="24"/>
          <w:szCs w:val="24"/>
          <w:rtl/>
        </w:rPr>
        <w:t xml:space="preserve"> حمار على الحقيقة كالدابة المعهودة وأن تناول الاسم لها متساو في الوضع، فهذا دنو من جحد الضرورة)</w:t>
      </w:r>
      <w:r w:rsidR="00DB731D" w:rsidRPr="00A52585">
        <w:rPr>
          <w:rFonts w:hint="cs"/>
          <w:sz w:val="24"/>
          <w:szCs w:val="24"/>
          <w:rtl/>
        </w:rPr>
        <w:t>،</w:t>
      </w:r>
      <w:r w:rsidR="00777DCB" w:rsidRPr="00A52585">
        <w:rPr>
          <w:rFonts w:hint="cs"/>
          <w:sz w:val="24"/>
          <w:szCs w:val="24"/>
          <w:rtl/>
        </w:rPr>
        <w:t xml:space="preserve"> وكذلك من زعم أن الجدار له إرادة حقيقة تمسكا بقوله تعالى </w:t>
      </w:r>
      <w:r w:rsidRPr="00A52585">
        <w:rPr>
          <w:rFonts w:hint="cs"/>
          <w:sz w:val="24"/>
          <w:szCs w:val="24"/>
          <w:rtl/>
        </w:rPr>
        <w:t>{</w:t>
      </w:r>
      <w:r w:rsidR="00777DCB" w:rsidRPr="00A52585">
        <w:rPr>
          <w:rFonts w:hint="cs"/>
          <w:sz w:val="24"/>
          <w:szCs w:val="24"/>
          <w:rtl/>
        </w:rPr>
        <w:t>جدارًا يريد أن ينقض</w:t>
      </w:r>
      <w:r w:rsidRPr="00A52585">
        <w:rPr>
          <w:rFonts w:hint="cs"/>
          <w:sz w:val="24"/>
          <w:szCs w:val="24"/>
          <w:rtl/>
        </w:rPr>
        <w:t>}</w:t>
      </w:r>
      <w:r w:rsidR="00777DCB" w:rsidRPr="00A52585">
        <w:rPr>
          <w:rFonts w:hint="cs"/>
          <w:sz w:val="24"/>
          <w:szCs w:val="24"/>
          <w:rtl/>
        </w:rPr>
        <w:t xml:space="preserve"> عد ذلك من مستشنع الكلام "</w:t>
      </w:r>
      <w:r w:rsidRPr="00A52585">
        <w:rPr>
          <w:rFonts w:hint="cs"/>
          <w:sz w:val="24"/>
          <w:szCs w:val="24"/>
          <w:rtl/>
        </w:rPr>
        <w:t xml:space="preserve"> </w:t>
      </w:r>
      <w:r w:rsidR="00777DCB" w:rsidRPr="00A52585">
        <w:rPr>
          <w:rFonts w:hint="cs"/>
          <w:sz w:val="24"/>
          <w:szCs w:val="24"/>
          <w:rtl/>
        </w:rPr>
        <w:t xml:space="preserve">أهـ انظر الإبهاج في شرح المنهاج 1/298، حاشية </w:t>
      </w:r>
      <w:proofErr w:type="spellStart"/>
      <w:r w:rsidR="00777DCB" w:rsidRPr="00A52585">
        <w:rPr>
          <w:rFonts w:hint="cs"/>
          <w:sz w:val="24"/>
          <w:szCs w:val="24"/>
          <w:rtl/>
        </w:rPr>
        <w:t>البناني</w:t>
      </w:r>
      <w:proofErr w:type="spellEnd"/>
      <w:r w:rsidR="00777DCB" w:rsidRPr="00A52585">
        <w:rPr>
          <w:rFonts w:hint="cs"/>
          <w:sz w:val="24"/>
          <w:szCs w:val="24"/>
          <w:rtl/>
        </w:rPr>
        <w:t xml:space="preserve"> على جمع الجوامع 1/385 من أسفل بألفاظ متقاربة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3- إذا قيل لماذا لا يحمل تعدد المعاني على أنه من المشترك اللفظي بدلا من القول بالمجاز</w:t>
      </w:r>
      <w:r w:rsidR="00F95886" w:rsidRPr="00A52585">
        <w:rPr>
          <w:rFonts w:hint="cs"/>
          <w:sz w:val="24"/>
          <w:szCs w:val="24"/>
          <w:rtl/>
        </w:rPr>
        <w:t>؟</w:t>
      </w:r>
      <w:r w:rsidR="00777DCB" w:rsidRPr="00A52585">
        <w:rPr>
          <w:rFonts w:hint="cs"/>
          <w:sz w:val="24"/>
          <w:szCs w:val="24"/>
          <w:rtl/>
        </w:rPr>
        <w:t xml:space="preserve"> وهو أن 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sidRPr="00A52585">
        <w:rPr>
          <w:rFonts w:hint="cs"/>
          <w:sz w:val="24"/>
          <w:szCs w:val="24"/>
          <w:rtl/>
        </w:rPr>
        <w:t xml:space="preserve">: </w:t>
      </w:r>
      <w:r w:rsidR="00777DCB" w:rsidRPr="00A52585">
        <w:rPr>
          <w:rFonts w:hint="cs"/>
          <w:sz w:val="24"/>
          <w:szCs w:val="24"/>
          <w:rtl/>
        </w:rPr>
        <w:t>" الموضوع لحقيقتين فأكثر وضعا واحداً "</w:t>
      </w:r>
      <w:r w:rsidRPr="00A52585">
        <w:rPr>
          <w:rFonts w:hint="cs"/>
          <w:sz w:val="24"/>
          <w:szCs w:val="24"/>
          <w:rtl/>
        </w:rPr>
        <w:t xml:space="preserve"> </w:t>
      </w:r>
      <w:r w:rsidR="00777DCB" w:rsidRPr="00A52585">
        <w:rPr>
          <w:rFonts w:hint="cs"/>
          <w:sz w:val="24"/>
          <w:szCs w:val="24"/>
          <w:rtl/>
        </w:rPr>
        <w:t>مثاله</w:t>
      </w:r>
      <w:r w:rsidRPr="00A52585">
        <w:rPr>
          <w:rFonts w:hint="cs"/>
          <w:sz w:val="24"/>
          <w:szCs w:val="24"/>
          <w:rtl/>
        </w:rPr>
        <w:t>:</w:t>
      </w:r>
      <w:r w:rsidR="00777DCB" w:rsidRPr="00A52585">
        <w:rPr>
          <w:rFonts w:hint="cs"/>
          <w:sz w:val="24"/>
          <w:szCs w:val="24"/>
          <w:rtl/>
        </w:rPr>
        <w:t xml:space="preserve"> كلمة (قرء) مشتركة بين الطهر والحيض، وكلمة (جون) مشتركة بين السواد والبياض، وكلمة (عسعس) مشتركة بين الإقبال والإدبار قلنا</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أولاً</w:t>
      </w:r>
      <w:r w:rsidRPr="00A52585">
        <w:rPr>
          <w:rFonts w:hint="cs"/>
          <w:bCs/>
          <w:sz w:val="24"/>
          <w:szCs w:val="24"/>
          <w:u w:val="single"/>
          <w:rtl/>
        </w:rPr>
        <w:t>:</w:t>
      </w:r>
      <w:r w:rsidR="00777DCB" w:rsidRPr="00A52585">
        <w:rPr>
          <w:rFonts w:hint="cs"/>
          <w:sz w:val="24"/>
          <w:szCs w:val="24"/>
          <w:rtl/>
        </w:rPr>
        <w:t xml:space="preserve"> المشترك خلاف الأصل، لأنه لو كان المشترك هو الأصل لكان اللفظ عند إطلاقه</w:t>
      </w:r>
      <w:r w:rsidRPr="00A52585">
        <w:rPr>
          <w:rFonts w:hint="cs"/>
          <w:sz w:val="24"/>
          <w:szCs w:val="24"/>
          <w:rtl/>
        </w:rPr>
        <w:t xml:space="preserve"> </w:t>
      </w:r>
      <w:r w:rsidR="00777DCB" w:rsidRPr="00A52585">
        <w:rPr>
          <w:rFonts w:hint="cs"/>
          <w:sz w:val="24"/>
          <w:szCs w:val="24"/>
          <w:rtl/>
        </w:rPr>
        <w:t>بدون القرينة مجملا لا يعلم المراد منه ولما لم يكن كذلك بل تبادر إلى الذهن أحد هذه المعاني بمفرده فهذا يدل على أن الانفراد هو الأصل</w:t>
      </w:r>
      <w:r w:rsidR="00DB731D" w:rsidRPr="00A52585">
        <w:rPr>
          <w:rFonts w:hint="cs"/>
          <w:sz w:val="24"/>
          <w:szCs w:val="24"/>
          <w:rtl/>
        </w:rPr>
        <w:t>،</w:t>
      </w:r>
      <w:r w:rsidR="00777DCB" w:rsidRPr="00A52585">
        <w:rPr>
          <w:rFonts w:hint="cs"/>
          <w:sz w:val="24"/>
          <w:szCs w:val="24"/>
          <w:rtl/>
        </w:rPr>
        <w:t xml:space="preserve"> وأيضاً لو كان الاشتراك هو الأصل لما أمكن الاستدلال بالنصوص على حكم من الأحكام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ثانياً</w:t>
      </w:r>
      <w:r w:rsidRPr="00A52585">
        <w:rPr>
          <w:rFonts w:hint="cs"/>
          <w:bCs/>
          <w:sz w:val="24"/>
          <w:szCs w:val="24"/>
          <w:u w:val="single"/>
          <w:rtl/>
        </w:rPr>
        <w:t>:</w:t>
      </w:r>
      <w:r w:rsidR="00777DCB" w:rsidRPr="00A52585">
        <w:rPr>
          <w:rFonts w:hint="cs"/>
          <w:sz w:val="24"/>
          <w:szCs w:val="24"/>
          <w:rtl/>
        </w:rPr>
        <w:t xml:space="preserve"> أن الاشتراك أقل من الانفراد واستقراء اللغة يدل على ذلك، والقلة دليل </w:t>
      </w:r>
      <w:proofErr w:type="spellStart"/>
      <w:r w:rsidR="00777DCB" w:rsidRPr="00A52585">
        <w:rPr>
          <w:rFonts w:hint="cs"/>
          <w:sz w:val="24"/>
          <w:szCs w:val="24"/>
          <w:rtl/>
        </w:rPr>
        <w:t>المرجوحية</w:t>
      </w:r>
      <w:proofErr w:type="spellEnd"/>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ثالثاً</w:t>
      </w:r>
      <w:r w:rsidRPr="00A52585">
        <w:rPr>
          <w:rFonts w:hint="cs"/>
          <w:bCs/>
          <w:sz w:val="24"/>
          <w:szCs w:val="24"/>
          <w:u w:val="single"/>
          <w:rtl/>
        </w:rPr>
        <w:t>:</w:t>
      </w:r>
      <w:r w:rsidR="00777DCB" w:rsidRPr="00A52585">
        <w:rPr>
          <w:rFonts w:hint="cs"/>
          <w:sz w:val="24"/>
          <w:szCs w:val="24"/>
          <w:rtl/>
        </w:rPr>
        <w:t xml:space="preserve"> أن الوضع يتبع المصلحة والاشتراك فيه مفسدة بالنسبة للسامع وللمتكلم للسامع لصعوبة الفهم إلا بالقرائن وللمتكلم لصعوبة التعبير واحتياجه إلى إضافة ما يحدد </w:t>
      </w:r>
      <w:proofErr w:type="spellStart"/>
      <w:r w:rsidR="00777DCB" w:rsidRPr="00A52585">
        <w:rPr>
          <w:rFonts w:hint="cs"/>
          <w:sz w:val="24"/>
          <w:szCs w:val="24"/>
          <w:rtl/>
        </w:rPr>
        <w:t>مقصوده</w:t>
      </w:r>
      <w:proofErr w:type="spellEnd"/>
      <w:r w:rsidR="00777DCB" w:rsidRPr="00A52585">
        <w:rPr>
          <w:rFonts w:hint="cs"/>
          <w:sz w:val="24"/>
          <w:szCs w:val="24"/>
          <w:rtl/>
        </w:rPr>
        <w:t xml:space="preserve"> وهذه المفسدة وإن كانت لا تمنع وجود المشترك فلا أقل من أن تقتضي كونه مرجوحا</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رابعاً</w:t>
      </w:r>
      <w:r w:rsidRPr="00A52585">
        <w:rPr>
          <w:rFonts w:hint="cs"/>
          <w:bCs/>
          <w:sz w:val="24"/>
          <w:szCs w:val="24"/>
          <w:u w:val="single"/>
          <w:rtl/>
        </w:rPr>
        <w:t>:</w:t>
      </w:r>
      <w:r w:rsidR="00777DCB" w:rsidRPr="00A52585">
        <w:rPr>
          <w:rFonts w:hint="cs"/>
          <w:sz w:val="24"/>
          <w:szCs w:val="24"/>
          <w:rtl/>
        </w:rPr>
        <w:t xml:space="preserve"> أن المجاز كثير جداً في اللغة وذلك ثابت بالاستقراء وعند تردد الأمر بين الاشتراك والمجاز فحمله على المجاز أولى من حمله على الحقيقة المؤدي إلى الاشتراك لأن المجاز أغلب من المشترك بالاستقراء والحمل على الأغلب أولى وكما يقول العلامة </w:t>
      </w:r>
      <w:proofErr w:type="spellStart"/>
      <w:r w:rsidR="00777DCB" w:rsidRPr="00A52585">
        <w:rPr>
          <w:rFonts w:hint="cs"/>
          <w:sz w:val="24"/>
          <w:szCs w:val="24"/>
          <w:rtl/>
        </w:rPr>
        <w:t>الإسنوي</w:t>
      </w:r>
      <w:proofErr w:type="spellEnd"/>
      <w:r w:rsidR="00777DCB" w:rsidRPr="00A52585">
        <w:rPr>
          <w:rFonts w:hint="cs"/>
          <w:sz w:val="24"/>
          <w:szCs w:val="24"/>
          <w:rtl/>
        </w:rPr>
        <w:t xml:space="preserve"> (والكثرة تفيد الظن في محل الشك)</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خامساً</w:t>
      </w:r>
      <w:r w:rsidR="00777DCB" w:rsidRPr="00A52585">
        <w:rPr>
          <w:rFonts w:hint="cs"/>
          <w:sz w:val="24"/>
          <w:szCs w:val="24"/>
          <w:rtl/>
        </w:rPr>
        <w:t xml:space="preserve">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 بخلاف الاشتراك فإنه بدون القرينة يجب التوقف وإهمال اللفظ</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سادساً</w:t>
      </w:r>
      <w:r w:rsidR="00777DCB" w:rsidRPr="00A52585">
        <w:rPr>
          <w:rFonts w:hint="cs"/>
          <w:sz w:val="24"/>
          <w:szCs w:val="24"/>
          <w:rtl/>
        </w:rPr>
        <w:t xml:space="preserve"> في حمل اللفظ على المعنى المجازي إثبات للعلاقة بين المعنى الأصلي والمعنى المنقول إليه اللفظ وذلك أقرب إلى مراعاة قصد المتكلم</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u w:val="single"/>
          <w:rtl/>
        </w:rPr>
        <w:t>سابعاً</w:t>
      </w:r>
      <w:r w:rsidRPr="00A52585">
        <w:rPr>
          <w:rFonts w:hint="cs"/>
          <w:bCs/>
          <w:sz w:val="24"/>
          <w:szCs w:val="24"/>
          <w:u w:val="single"/>
          <w:rtl/>
        </w:rPr>
        <w:t>:</w:t>
      </w:r>
      <w:r w:rsidR="00777DCB" w:rsidRPr="00A52585">
        <w:rPr>
          <w:rFonts w:hint="cs"/>
          <w:sz w:val="24"/>
          <w:szCs w:val="24"/>
          <w:rtl/>
        </w:rPr>
        <w:t xml:space="preserve"> في المجاز صور بلاغية رائعة سيتم إهمالها حين الأخذ بالاشتراك</w:t>
      </w:r>
      <w:r w:rsidR="00DB731D" w:rsidRPr="00A52585">
        <w:rPr>
          <w:rFonts w:hint="cs"/>
          <w:sz w:val="24"/>
          <w:szCs w:val="24"/>
          <w:rtl/>
        </w:rPr>
        <w:t>،</w:t>
      </w:r>
      <w:r w:rsidR="00777DCB" w:rsidRPr="00A52585">
        <w:rPr>
          <w:rFonts w:hint="cs"/>
          <w:sz w:val="24"/>
          <w:szCs w:val="24"/>
          <w:rtl/>
        </w:rPr>
        <w:t xml:space="preserve"> ويمكن الرجوع في هذه النقطة (المقارنة بين الاشتراك والمجاز) إلى كتاب </w:t>
      </w:r>
      <w:r w:rsidRPr="00A52585">
        <w:rPr>
          <w:rFonts w:hint="cs"/>
          <w:sz w:val="24"/>
          <w:szCs w:val="24"/>
          <w:rtl/>
        </w:rPr>
        <w:t>(</w:t>
      </w:r>
      <w:r w:rsidR="00777DCB" w:rsidRPr="00A52585">
        <w:rPr>
          <w:rFonts w:hint="cs"/>
          <w:sz w:val="24"/>
          <w:szCs w:val="24"/>
          <w:rtl/>
        </w:rPr>
        <w:t>المحكم والمتشابه) للدكتور إبراهيم عبد الرحمن ص 539 فما بعدها وكذا إلى كتب أصول الفقه</w:t>
      </w:r>
      <w:r w:rsidR="00DB731D" w:rsidRPr="00A52585">
        <w:rPr>
          <w:rFonts w:hint="cs"/>
          <w:sz w:val="24"/>
          <w:szCs w:val="24"/>
          <w:rtl/>
        </w:rPr>
        <w:t>،</w:t>
      </w:r>
      <w:r w:rsidR="00777DCB" w:rsidRPr="00A52585">
        <w:rPr>
          <w:rFonts w:hint="cs"/>
          <w:sz w:val="24"/>
          <w:szCs w:val="24"/>
          <w:rtl/>
        </w:rPr>
        <w:t xml:space="preserve"> 4- أن إثبات المجاز في اللغة لم يستند إلى التجرد المحض في الألفاظ يقول الدكتور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فمن قال بوقوع المجاز في اللغة لم يذهب إلى التجرد المحض في الألفاظ حتى يكون المقيد منها مجازاً والمجرد حقيقة، وإنما أراد بالتجرد</w:t>
      </w:r>
      <w:r w:rsidRPr="00A52585">
        <w:rPr>
          <w:rFonts w:hint="cs"/>
          <w:sz w:val="24"/>
          <w:szCs w:val="24"/>
          <w:rtl/>
        </w:rPr>
        <w:t>:</w:t>
      </w:r>
      <w:r w:rsidR="00777DCB" w:rsidRPr="00A52585">
        <w:rPr>
          <w:rFonts w:hint="cs"/>
          <w:sz w:val="24"/>
          <w:szCs w:val="24"/>
          <w:rtl/>
        </w:rPr>
        <w:t xml:space="preserve"> التجرد من قيود خاصة إذا وجدت وجد المجاز وإذا خلا الكلام منها كان الكلام حقيقة"</w:t>
      </w:r>
      <w:r w:rsidRPr="00A52585">
        <w:rPr>
          <w:rFonts w:hint="cs"/>
          <w:sz w:val="24"/>
          <w:szCs w:val="24"/>
          <w:rtl/>
        </w:rPr>
        <w:t xml:space="preserve"> </w:t>
      </w:r>
      <w:r w:rsidR="00777DCB" w:rsidRPr="00A52585">
        <w:rPr>
          <w:rFonts w:hint="cs"/>
          <w:sz w:val="24"/>
          <w:szCs w:val="24"/>
          <w:rtl/>
        </w:rPr>
        <w:t xml:space="preserve">يشير العلامة بذلك إلى القرينة الدالة على المجاز وكذا العلاقة وهذه القرينة عند علماء البيان مانعة قطعاً من إرادة المعنى الحقيقي، مثل </w:t>
      </w:r>
      <w:r w:rsidRPr="00A52585">
        <w:rPr>
          <w:rFonts w:hint="cs"/>
          <w:sz w:val="24"/>
          <w:szCs w:val="24"/>
          <w:rtl/>
        </w:rPr>
        <w:t>(</w:t>
      </w:r>
      <w:r w:rsidR="00777DCB" w:rsidRPr="00A52585">
        <w:rPr>
          <w:rFonts w:hint="cs"/>
          <w:sz w:val="24"/>
          <w:szCs w:val="24"/>
          <w:rtl/>
        </w:rPr>
        <w:t>رأيت أسداً يرمى بالنشاب) فإن الحيوان المعروف لا يرمى بالنشاب، ومثل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ومن عجب أن الصوارم والقنا</w:t>
      </w:r>
      <w:r w:rsidRPr="00A52585">
        <w:rPr>
          <w:rFonts w:hint="cs"/>
          <w:sz w:val="24"/>
          <w:szCs w:val="24"/>
          <w:rtl/>
        </w:rPr>
        <w:t xml:space="preserve"> </w:t>
      </w:r>
      <w:r w:rsidR="00777DCB" w:rsidRPr="00A52585">
        <w:rPr>
          <w:rFonts w:hint="cs"/>
          <w:sz w:val="24"/>
          <w:szCs w:val="24"/>
          <w:rtl/>
        </w:rPr>
        <w:t>تحيض بأيدي القوم وهي ذكور</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فإن </w:t>
      </w:r>
      <w:r w:rsidRPr="00A52585">
        <w:rPr>
          <w:rFonts w:hint="cs"/>
          <w:sz w:val="24"/>
          <w:szCs w:val="24"/>
          <w:rtl/>
        </w:rPr>
        <w:t>(</w:t>
      </w:r>
      <w:r w:rsidR="00777DCB" w:rsidRPr="00A52585">
        <w:rPr>
          <w:rFonts w:hint="cs"/>
          <w:sz w:val="24"/>
          <w:szCs w:val="24"/>
          <w:rtl/>
        </w:rPr>
        <w:t>الحيض</w:t>
      </w:r>
      <w:r w:rsidRPr="00A52585">
        <w:rPr>
          <w:rFonts w:hint="cs"/>
          <w:sz w:val="24"/>
          <w:szCs w:val="24"/>
          <w:rtl/>
        </w:rPr>
        <w:t>)</w:t>
      </w:r>
      <w:r w:rsidR="00777DCB" w:rsidRPr="00A52585">
        <w:rPr>
          <w:rFonts w:hint="cs"/>
          <w:sz w:val="24"/>
          <w:szCs w:val="24"/>
          <w:rtl/>
        </w:rPr>
        <w:t xml:space="preserve"> لغة لم يستعمل إلا في الدم السائل من أرحام النساء</w:t>
      </w:r>
      <w:r w:rsidR="00DB731D" w:rsidRPr="00A52585">
        <w:rPr>
          <w:rFonts w:hint="cs"/>
          <w:sz w:val="24"/>
          <w:szCs w:val="24"/>
          <w:rtl/>
        </w:rPr>
        <w:t>،</w:t>
      </w:r>
      <w:r w:rsidR="00777DCB" w:rsidRPr="00A52585">
        <w:rPr>
          <w:rFonts w:hint="cs"/>
          <w:sz w:val="24"/>
          <w:szCs w:val="24"/>
          <w:rtl/>
        </w:rPr>
        <w:t xml:space="preserve"> فهذا التعبير استعارة ومجاز والعلاقة إما اللون وإما مطلق السيلان</w:t>
      </w:r>
      <w:r w:rsidR="00DB731D" w:rsidRPr="00A52585">
        <w:rPr>
          <w:rFonts w:hint="cs"/>
          <w:sz w:val="24"/>
          <w:szCs w:val="24"/>
          <w:rtl/>
        </w:rPr>
        <w:t>،</w:t>
      </w:r>
      <w:r w:rsidR="00777DCB" w:rsidRPr="00A52585">
        <w:rPr>
          <w:rFonts w:hint="cs"/>
          <w:sz w:val="24"/>
          <w:szCs w:val="24"/>
          <w:rtl/>
        </w:rPr>
        <w:t xml:space="preserve"> وهذه القرائن منها لفظية لها صورا في الكلام، ومنها حالية معنوية ليس لها صورة في الكلام بل تدرك من الأحوال التي عليها المتكلم</w:t>
      </w:r>
      <w:r w:rsidR="00DB731D" w:rsidRPr="00A52585">
        <w:rPr>
          <w:rFonts w:hint="cs"/>
          <w:sz w:val="24"/>
          <w:szCs w:val="24"/>
          <w:rtl/>
        </w:rPr>
        <w:t>،</w:t>
      </w:r>
      <w:r w:rsidR="00777DCB" w:rsidRPr="00A52585">
        <w:rPr>
          <w:rFonts w:hint="cs"/>
          <w:sz w:val="24"/>
          <w:szCs w:val="24"/>
          <w:rtl/>
        </w:rPr>
        <w:t xml:space="preserve"> ومصادر القرينة هي اللغة أو الشرع أو العقل أو العادة والعرف أو الحس </w:t>
      </w:r>
      <w:r w:rsidR="00777DCB" w:rsidRPr="00A52585">
        <w:rPr>
          <w:rFonts w:hint="cs"/>
          <w:sz w:val="24"/>
          <w:szCs w:val="24"/>
          <w:rtl/>
        </w:rPr>
        <w:lastRenderedPageBreak/>
        <w:t>والمشاهدة</w:t>
      </w:r>
      <w:r w:rsidR="00DB731D" w:rsidRPr="00A52585">
        <w:rPr>
          <w:rFonts w:hint="cs"/>
          <w:sz w:val="24"/>
          <w:szCs w:val="24"/>
          <w:rtl/>
        </w:rPr>
        <w:t>،</w:t>
      </w:r>
      <w:r w:rsidR="00777DCB" w:rsidRPr="00A52585">
        <w:rPr>
          <w:rFonts w:hint="cs"/>
          <w:sz w:val="24"/>
          <w:szCs w:val="24"/>
          <w:rtl/>
        </w:rPr>
        <w:t xml:space="preserve"> وقد توسع العلامة د </w:t>
      </w:r>
      <w:proofErr w:type="spellStart"/>
      <w:r w:rsidR="00777DCB" w:rsidRPr="00A52585">
        <w:rPr>
          <w:rFonts w:hint="cs"/>
          <w:spacing w:val="-4"/>
          <w:sz w:val="24"/>
          <w:szCs w:val="24"/>
          <w:rtl/>
        </w:rPr>
        <w:t>المطعني</w:t>
      </w:r>
      <w:proofErr w:type="spellEnd"/>
      <w:r w:rsidR="00777DCB" w:rsidRPr="00A52585">
        <w:rPr>
          <w:rFonts w:hint="cs"/>
          <w:spacing w:val="-4"/>
          <w:sz w:val="24"/>
          <w:szCs w:val="24"/>
          <w:rtl/>
        </w:rPr>
        <w:t xml:space="preserve"> في شرح القرائن الدالة على المجاز وكذا الإضافات</w:t>
      </w:r>
      <w:r w:rsidR="00777DCB" w:rsidRPr="00A52585">
        <w:rPr>
          <w:rFonts w:hint="cs"/>
          <w:sz w:val="24"/>
          <w:szCs w:val="24"/>
          <w:rtl/>
        </w:rPr>
        <w:t xml:space="preserve"> وضرب أمثلة قاطعة منها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قـــد رابـــني وهن </w:t>
      </w:r>
      <w:proofErr w:type="spellStart"/>
      <w:r w:rsidR="00777DCB" w:rsidRPr="00A52585">
        <w:rPr>
          <w:rFonts w:hint="cs"/>
          <w:sz w:val="24"/>
          <w:szCs w:val="24"/>
          <w:rtl/>
        </w:rPr>
        <w:t>المنى</w:t>
      </w:r>
      <w:proofErr w:type="spellEnd"/>
      <w:r w:rsidR="00777DCB" w:rsidRPr="00A52585">
        <w:rPr>
          <w:rFonts w:hint="cs"/>
          <w:sz w:val="24"/>
          <w:szCs w:val="24"/>
          <w:rtl/>
        </w:rPr>
        <w:t xml:space="preserve"> </w:t>
      </w:r>
      <w:proofErr w:type="spellStart"/>
      <w:r w:rsidR="00777DCB" w:rsidRPr="00A52585">
        <w:rPr>
          <w:rFonts w:hint="cs"/>
          <w:sz w:val="24"/>
          <w:szCs w:val="24"/>
          <w:rtl/>
        </w:rPr>
        <w:t>وانقــابضها</w:t>
      </w:r>
      <w:proofErr w:type="spellEnd"/>
      <w:r w:rsidRPr="00A52585">
        <w:rPr>
          <w:rFonts w:hint="cs"/>
          <w:sz w:val="24"/>
          <w:szCs w:val="24"/>
          <w:rtl/>
        </w:rPr>
        <w:t xml:space="preserve"> </w:t>
      </w:r>
      <w:r w:rsidR="00777DCB" w:rsidRPr="00A52585">
        <w:rPr>
          <w:rFonts w:hint="cs"/>
          <w:sz w:val="24"/>
          <w:szCs w:val="24"/>
          <w:rtl/>
        </w:rPr>
        <w:t>وبسط جديد اليأس كفيه في صدري</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يقول د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 وقد جعل الشاعر لليأس كفين وجعله ممسكا به يكاد يخنق أنفاسه ويحطم عظام صدره "</w:t>
      </w:r>
      <w:r w:rsidRPr="00A52585">
        <w:rPr>
          <w:rFonts w:hint="cs"/>
          <w:sz w:val="24"/>
          <w:szCs w:val="24"/>
          <w:rtl/>
        </w:rPr>
        <w:t xml:space="preserve"> </w:t>
      </w:r>
      <w:r w:rsidR="00777DCB" w:rsidRPr="00A52585">
        <w:rPr>
          <w:rFonts w:hint="cs"/>
          <w:sz w:val="24"/>
          <w:szCs w:val="24"/>
          <w:rtl/>
        </w:rPr>
        <w:t>وكما نعلم فاليأس ليس له كفان ولا هو جسم من الأجسام ولكنه كما يقول الإمام عبد القاهر الجرجاني</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لما أراد له ذلك جعل لليأس كفين واستعارهما له "</w:t>
      </w:r>
      <w:r w:rsidRPr="00A52585">
        <w:rPr>
          <w:rFonts w:hint="cs"/>
          <w:sz w:val="24"/>
          <w:szCs w:val="24"/>
          <w:rtl/>
        </w:rPr>
        <w:t xml:space="preserve"> </w:t>
      </w:r>
      <w:r w:rsidR="00777DCB" w:rsidRPr="00A52585">
        <w:rPr>
          <w:rFonts w:hint="cs"/>
          <w:sz w:val="24"/>
          <w:szCs w:val="24"/>
          <w:rtl/>
        </w:rPr>
        <w:t>فهل يستطيع ابن تيمية أن يزعم أن إضافة الكفين إلى اليأس حقيقة! وهل هي نفس الإضافة في الأثر الذي رواه البخاري عن سلمة بن الأكوع</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فأخرج كفاً له ضخمة كأنها كف بعير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حديث (973) الأدب المفرد</w:t>
      </w:r>
      <w:r w:rsidR="00DB731D" w:rsidRPr="00A52585">
        <w:rPr>
          <w:rFonts w:hint="cs"/>
          <w:sz w:val="24"/>
          <w:szCs w:val="24"/>
          <w:rtl/>
        </w:rPr>
        <w:t>،</w:t>
      </w:r>
      <w:r w:rsidR="00777DCB" w:rsidRPr="00A52585">
        <w:rPr>
          <w:rFonts w:hint="cs"/>
          <w:sz w:val="24"/>
          <w:szCs w:val="24"/>
          <w:rtl/>
        </w:rPr>
        <w:t xml:space="preserve"> فهل إضافة الكف إلى سيدنا سلمة أو إلى البعير في هذا الخبر كإضافة الكفين إلى اليأس</w:t>
      </w:r>
      <w:r w:rsidR="00F95886" w:rsidRPr="00A52585">
        <w:rPr>
          <w:rFonts w:hint="cs"/>
          <w:sz w:val="24"/>
          <w:szCs w:val="24"/>
          <w:rtl/>
        </w:rPr>
        <w:t>؟</w:t>
      </w:r>
      <w:r w:rsidR="00777DCB" w:rsidRPr="00A52585">
        <w:rPr>
          <w:rFonts w:hint="cs"/>
          <w:sz w:val="24"/>
          <w:szCs w:val="24"/>
          <w:rtl/>
        </w:rPr>
        <w:t>! أم أن الشاعر قد صور المعنى الذي يريد نقله في أقصر عبارة بحيث يجذب السامع ويلفت انتباهه</w:t>
      </w:r>
      <w:r w:rsidR="00F95886" w:rsidRPr="00A52585">
        <w:rPr>
          <w:rFonts w:hint="cs"/>
          <w:sz w:val="24"/>
          <w:szCs w:val="24"/>
          <w:rtl/>
        </w:rPr>
        <w:t>؟</w:t>
      </w:r>
      <w:r w:rsidR="00777DCB" w:rsidRPr="00A52585">
        <w:rPr>
          <w:rFonts w:hint="cs"/>
          <w:sz w:val="24"/>
          <w:szCs w:val="24"/>
          <w:rtl/>
        </w:rPr>
        <w:t xml:space="preserve"> يقول أبو هلال العسكري</w:t>
      </w:r>
      <w:r w:rsidRPr="00A52585">
        <w:rPr>
          <w:rFonts w:hint="cs"/>
          <w:sz w:val="24"/>
          <w:szCs w:val="24"/>
          <w:rtl/>
        </w:rPr>
        <w:t>:</w:t>
      </w:r>
      <w:r w:rsidR="00777DCB" w:rsidRPr="00A52585">
        <w:rPr>
          <w:rFonts w:hint="cs"/>
          <w:sz w:val="24"/>
          <w:szCs w:val="24"/>
          <w:rtl/>
        </w:rPr>
        <w:t xml:space="preserve"> (وفضل هذه الاستعارة وما شاكلها على الحقيقة أنها تفعل في نفس السامع مالا تفعل الحقيقة) أهـ المجاز 269 للدكتور </w:t>
      </w:r>
      <w:proofErr w:type="spellStart"/>
      <w:r w:rsidR="00777DCB" w:rsidRPr="00A52585">
        <w:rPr>
          <w:rFonts w:hint="cs"/>
          <w:sz w:val="24"/>
          <w:szCs w:val="24"/>
          <w:rtl/>
        </w:rPr>
        <w:t>المطعني</w:t>
      </w:r>
      <w:proofErr w:type="spellEnd"/>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وأنواع المجاز أربعة</w:t>
      </w:r>
      <w:r w:rsidRPr="00A52585">
        <w:rPr>
          <w:rFonts w:hint="cs"/>
          <w:sz w:val="24"/>
          <w:szCs w:val="24"/>
          <w:rtl/>
        </w:rPr>
        <w:t>:</w:t>
      </w:r>
      <w:r w:rsidR="00777DCB" w:rsidRPr="00A52585">
        <w:rPr>
          <w:rFonts w:hint="cs"/>
          <w:sz w:val="24"/>
          <w:szCs w:val="24"/>
          <w:rtl/>
        </w:rPr>
        <w:t xml:space="preserve"> 1- العقلي</w:t>
      </w:r>
      <w:r w:rsidRPr="00A52585">
        <w:rPr>
          <w:rFonts w:hint="cs"/>
          <w:sz w:val="24"/>
          <w:szCs w:val="24"/>
          <w:rtl/>
        </w:rPr>
        <w:t xml:space="preserve"> </w:t>
      </w:r>
      <w:r w:rsidR="00777DCB" w:rsidRPr="00A52585">
        <w:rPr>
          <w:rFonts w:hint="cs"/>
          <w:sz w:val="24"/>
          <w:szCs w:val="24"/>
          <w:rtl/>
        </w:rPr>
        <w:t>2- المرسل</w:t>
      </w:r>
      <w:r w:rsidRPr="00A52585">
        <w:rPr>
          <w:rFonts w:hint="cs"/>
          <w:sz w:val="24"/>
          <w:szCs w:val="24"/>
          <w:rtl/>
        </w:rPr>
        <w:t xml:space="preserve"> </w:t>
      </w:r>
      <w:r w:rsidR="00777DCB" w:rsidRPr="00A52585">
        <w:rPr>
          <w:rFonts w:hint="cs"/>
          <w:sz w:val="24"/>
          <w:szCs w:val="24"/>
          <w:rtl/>
        </w:rPr>
        <w:t>3- الاستعارة المفردة</w:t>
      </w:r>
      <w:r w:rsidRPr="00A52585">
        <w:rPr>
          <w:rFonts w:hint="cs"/>
          <w:sz w:val="24"/>
          <w:szCs w:val="24"/>
          <w:rtl/>
        </w:rPr>
        <w:t xml:space="preserve"> </w:t>
      </w:r>
      <w:r w:rsidR="00777DCB" w:rsidRPr="00A52585">
        <w:rPr>
          <w:rFonts w:hint="cs"/>
          <w:sz w:val="24"/>
          <w:szCs w:val="24"/>
          <w:rtl/>
        </w:rPr>
        <w:t>4- الاستعارة التركيبية</w:t>
      </w:r>
      <w:r w:rsidR="00DB731D" w:rsidRPr="00A52585">
        <w:rPr>
          <w:rFonts w:hint="cs"/>
          <w:sz w:val="24"/>
          <w:szCs w:val="24"/>
          <w:rtl/>
        </w:rPr>
        <w:t>،</w:t>
      </w:r>
      <w:r w:rsidR="00777DCB" w:rsidRPr="00A52585">
        <w:rPr>
          <w:rFonts w:hint="cs"/>
          <w:sz w:val="24"/>
          <w:szCs w:val="24"/>
          <w:rtl/>
        </w:rPr>
        <w:t xml:space="preserve"> وأركان المجاز أربعة أيضاً</w:t>
      </w:r>
      <w:r w:rsidRPr="00A52585">
        <w:rPr>
          <w:rFonts w:hint="cs"/>
          <w:sz w:val="24"/>
          <w:szCs w:val="24"/>
          <w:rtl/>
        </w:rPr>
        <w:t>:</w:t>
      </w:r>
      <w:r w:rsidR="00777DCB" w:rsidRPr="00A52585">
        <w:rPr>
          <w:rFonts w:hint="cs"/>
          <w:sz w:val="24"/>
          <w:szCs w:val="24"/>
          <w:rtl/>
        </w:rPr>
        <w:t xml:space="preserve"> 1- المعنى الأصلي (الحقيقي) للفظ</w:t>
      </w:r>
      <w:r w:rsidR="00DB731D" w:rsidRPr="00A52585">
        <w:rPr>
          <w:rFonts w:hint="cs"/>
          <w:sz w:val="24"/>
          <w:szCs w:val="24"/>
          <w:rtl/>
        </w:rPr>
        <w:t>،</w:t>
      </w:r>
      <w:r w:rsidR="00777DCB" w:rsidRPr="00A52585">
        <w:rPr>
          <w:rFonts w:hint="cs"/>
          <w:sz w:val="24"/>
          <w:szCs w:val="24"/>
          <w:rtl/>
        </w:rPr>
        <w:t xml:space="preserve"> 2- المعنى الثاني (المجازي) للفظ</w:t>
      </w:r>
      <w:r w:rsidR="00DB731D" w:rsidRPr="00A52585">
        <w:rPr>
          <w:rFonts w:hint="cs"/>
          <w:sz w:val="24"/>
          <w:szCs w:val="24"/>
          <w:rtl/>
        </w:rPr>
        <w:t>،</w:t>
      </w:r>
      <w:r w:rsidR="00777DCB" w:rsidRPr="00A52585">
        <w:rPr>
          <w:rFonts w:hint="cs"/>
          <w:sz w:val="24"/>
          <w:szCs w:val="24"/>
          <w:rtl/>
        </w:rPr>
        <w:t xml:space="preserve"> 3- القرينة الدالة على منع إرادة المعنى الأصلي (الحقيقي)</w:t>
      </w:r>
      <w:r w:rsidR="00DB731D" w:rsidRPr="00A52585">
        <w:rPr>
          <w:rFonts w:hint="cs"/>
          <w:sz w:val="24"/>
          <w:szCs w:val="24"/>
          <w:rtl/>
        </w:rPr>
        <w:t>،</w:t>
      </w:r>
      <w:r w:rsidR="00777DCB" w:rsidRPr="00A52585">
        <w:rPr>
          <w:rFonts w:hint="cs"/>
          <w:sz w:val="24"/>
          <w:szCs w:val="24"/>
          <w:rtl/>
        </w:rPr>
        <w:t xml:space="preserve"> 4- العلاقة المعتبرة بين المعنى الأصلي (الحقيقي) والمعنى الثاني (المجازي)</w:t>
      </w:r>
      <w:r w:rsidR="00DB731D" w:rsidRPr="00A52585">
        <w:rPr>
          <w:rFonts w:hint="cs"/>
          <w:sz w:val="24"/>
          <w:szCs w:val="24"/>
          <w:rtl/>
        </w:rPr>
        <w:t>،</w:t>
      </w:r>
      <w:r w:rsidR="00777DCB" w:rsidRPr="00A52585">
        <w:rPr>
          <w:rFonts w:hint="cs"/>
          <w:sz w:val="24"/>
          <w:szCs w:val="24"/>
          <w:rtl/>
        </w:rPr>
        <w:t xml:space="preserve"> ولكن هل المعنى المجازي لأي لفظ يجب أن يكون منقولا عن العرب</w:t>
      </w:r>
      <w:r w:rsidR="00F95886" w:rsidRPr="00A52585">
        <w:rPr>
          <w:rFonts w:hint="cs"/>
          <w:sz w:val="24"/>
          <w:szCs w:val="24"/>
          <w:rtl/>
        </w:rPr>
        <w:t>؟</w:t>
      </w:r>
      <w:r w:rsidR="00777DCB" w:rsidRPr="00A52585">
        <w:rPr>
          <w:rFonts w:hint="cs"/>
          <w:sz w:val="24"/>
          <w:szCs w:val="24"/>
          <w:rtl/>
        </w:rPr>
        <w:t xml:space="preserve"> يقول الإمام عبد الوهاب السبكي</w:t>
      </w:r>
      <w:r w:rsidRPr="00A52585">
        <w:rPr>
          <w:rFonts w:hint="cs"/>
          <w:sz w:val="24"/>
          <w:szCs w:val="24"/>
          <w:rtl/>
        </w:rPr>
        <w:t xml:space="preserve">: </w:t>
      </w:r>
      <w:r w:rsidR="00777DCB" w:rsidRPr="00A52585">
        <w:rPr>
          <w:rFonts w:hint="cs"/>
          <w:sz w:val="24"/>
          <w:szCs w:val="24"/>
          <w:rtl/>
        </w:rPr>
        <w:t xml:space="preserve">" فإن قلت إنما يكون من اللغة المجاز الذي تكلمت به العرب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تقدم أنه لا يشترط النقل في الآحاد وأن استعمال العرب لأصل العلاقة كاف في نسبة المجاز لها "</w:t>
      </w:r>
      <w:r w:rsidRPr="00A52585">
        <w:rPr>
          <w:rFonts w:hint="cs"/>
          <w:sz w:val="24"/>
          <w:szCs w:val="24"/>
          <w:rtl/>
        </w:rPr>
        <w:t xml:space="preserve"> </w:t>
      </w:r>
      <w:r w:rsidR="00777DCB" w:rsidRPr="00A52585">
        <w:rPr>
          <w:rFonts w:hint="cs"/>
          <w:sz w:val="24"/>
          <w:szCs w:val="24"/>
          <w:rtl/>
        </w:rPr>
        <w:t>رفع الحاجب 1/411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 (قرينة تمنع إرادة المعنى الحقيقي) في وجود علاقة بين المعنى الحقيقي وبين المعنى الجديد (المجازي)</w:t>
      </w:r>
      <w:r w:rsidR="00DB731D" w:rsidRPr="00A52585">
        <w:rPr>
          <w:rFonts w:hint="cs"/>
          <w:sz w:val="24"/>
          <w:szCs w:val="24"/>
          <w:rtl/>
        </w:rPr>
        <w:t>،</w:t>
      </w:r>
      <w:r w:rsidR="00777DCB" w:rsidRPr="00A52585">
        <w:rPr>
          <w:rFonts w:hint="cs"/>
          <w:sz w:val="24"/>
          <w:szCs w:val="24"/>
          <w:rtl/>
        </w:rPr>
        <w:t xml:space="preserve"> مثال ذلك إذا قال أحدهم</w:t>
      </w:r>
      <w:r w:rsidRPr="00A52585">
        <w:rPr>
          <w:rFonts w:hint="cs"/>
          <w:sz w:val="24"/>
          <w:szCs w:val="24"/>
          <w:rtl/>
        </w:rPr>
        <w:t>:</w:t>
      </w:r>
      <w:r w:rsidR="00777DCB" w:rsidRPr="00A52585">
        <w:rPr>
          <w:rFonts w:hint="cs"/>
          <w:sz w:val="24"/>
          <w:szCs w:val="24"/>
          <w:rtl/>
        </w:rPr>
        <w:t xml:space="preserve"> (رأيت أسداً كبيراً) وقال آخر (رأيت أسداً يرمى بالنشاب) فلا يشك السامع أن الأول رأى الحيوان المعروف لعدم وجود صارف عن ذلك وأن الآخر رأى رجلا شجاعاً يرمي بالنشاب</w:t>
      </w:r>
      <w:r w:rsidR="00DB731D" w:rsidRPr="00A52585">
        <w:rPr>
          <w:rFonts w:hint="cs"/>
          <w:sz w:val="24"/>
          <w:szCs w:val="24"/>
          <w:rtl/>
        </w:rPr>
        <w:t>،</w:t>
      </w:r>
      <w:r w:rsidR="00777DCB" w:rsidRPr="00A52585">
        <w:rPr>
          <w:rFonts w:hint="cs"/>
          <w:sz w:val="24"/>
          <w:szCs w:val="24"/>
          <w:rtl/>
        </w:rPr>
        <w:t xml:space="preserve"> ويقول العلامة صدر الشريعة الحنفي</w:t>
      </w:r>
      <w:r w:rsidRPr="00A52585">
        <w:rPr>
          <w:rFonts w:hint="cs"/>
          <w:sz w:val="24"/>
          <w:szCs w:val="24"/>
          <w:rtl/>
        </w:rPr>
        <w:t xml:space="preserve">: </w:t>
      </w:r>
      <w:r w:rsidR="00777DCB" w:rsidRPr="00A52585">
        <w:rPr>
          <w:rFonts w:hint="cs"/>
          <w:sz w:val="24"/>
          <w:szCs w:val="24"/>
          <w:rtl/>
        </w:rPr>
        <w:t>" واعلم أنه يعتبر السماع في أنواع العلاقات لا في أفرادها فإن إبداع الاستعارات اللطيفة من فنون البلاغة "</w:t>
      </w:r>
      <w:r w:rsidR="00DB731D" w:rsidRPr="00A52585">
        <w:rPr>
          <w:rFonts w:hint="cs"/>
          <w:sz w:val="24"/>
          <w:szCs w:val="24"/>
          <w:rtl/>
        </w:rPr>
        <w:t>،</w:t>
      </w:r>
      <w:r w:rsidR="00777DCB" w:rsidRPr="00A52585">
        <w:rPr>
          <w:rFonts w:hint="cs"/>
          <w:sz w:val="24"/>
          <w:szCs w:val="24"/>
          <w:rtl/>
        </w:rPr>
        <w:t xml:space="preserve"> يقول الإمام سعد الدين </w:t>
      </w:r>
      <w:proofErr w:type="spellStart"/>
      <w:r w:rsidR="00777DCB" w:rsidRPr="00A52585">
        <w:rPr>
          <w:rFonts w:hint="cs"/>
          <w:sz w:val="24"/>
          <w:szCs w:val="24"/>
          <w:rtl/>
        </w:rPr>
        <w:t>التفتازاني</w:t>
      </w:r>
      <w:proofErr w:type="spellEnd"/>
      <w:r w:rsidR="00777DCB" w:rsidRPr="00A52585">
        <w:rPr>
          <w:rFonts w:hint="cs"/>
          <w:sz w:val="24"/>
          <w:szCs w:val="24"/>
          <w:rtl/>
        </w:rPr>
        <w:t xml:space="preserve"> شارحا ذلك</w:t>
      </w:r>
      <w:r w:rsidRPr="00A52585">
        <w:rPr>
          <w:rFonts w:hint="cs"/>
          <w:sz w:val="24"/>
          <w:szCs w:val="24"/>
          <w:rtl/>
        </w:rPr>
        <w:t xml:space="preserve">: </w:t>
      </w:r>
      <w:r w:rsidR="00777DCB" w:rsidRPr="00A52585">
        <w:rPr>
          <w:rFonts w:hint="cs"/>
          <w:sz w:val="24"/>
          <w:szCs w:val="24"/>
          <w:rtl/>
        </w:rPr>
        <w:t>" يعني أن المعتبر في المجاز وجود العلاقة المعلوم اعتبار نوعها في استعمالات العرب، ولا يشترط اعتبارها بشخصها حتى يلزم في آحاد المجازات أن تنقل بأعيانها عن أهل اللغة</w:t>
      </w:r>
      <w:r w:rsidR="00DB731D" w:rsidRPr="00A52585">
        <w:rPr>
          <w:rFonts w:hint="cs"/>
          <w:sz w:val="24"/>
          <w:szCs w:val="24"/>
          <w:rtl/>
        </w:rPr>
        <w:t>،</w:t>
      </w:r>
      <w:r w:rsidR="00777DCB" w:rsidRPr="00A52585">
        <w:rPr>
          <w:rFonts w:hint="cs"/>
          <w:sz w:val="24"/>
          <w:szCs w:val="24"/>
          <w:rtl/>
        </w:rPr>
        <w:t xml:space="preserve"> وذلك لإجماعهم على أن اختراع الاستعارات الغريبة البديعة التي لم تُسمَعْ بأعيانها من أهل اللغة هو من طرق البلاغة وشعبها التي بها ترتفع طبقة الكلام، فلو لم يصح لما كان كذلك ولهذا لم يدونوا المجازات تدوينهم للحقائق "</w:t>
      </w:r>
      <w:r w:rsidRPr="00A52585">
        <w:rPr>
          <w:rFonts w:hint="cs"/>
          <w:sz w:val="24"/>
          <w:szCs w:val="24"/>
          <w:rtl/>
        </w:rPr>
        <w:t xml:space="preserve"> </w:t>
      </w:r>
      <w:r w:rsidR="00777DCB" w:rsidRPr="00A52585">
        <w:rPr>
          <w:rFonts w:hint="cs"/>
          <w:sz w:val="24"/>
          <w:szCs w:val="24"/>
          <w:rtl/>
        </w:rPr>
        <w:t>أهـ انظر (شرح التلويح على التوضيح)</w:t>
      </w:r>
      <w:r w:rsidR="00DB731D" w:rsidRPr="00A52585">
        <w:rPr>
          <w:rFonts w:hint="cs"/>
          <w:sz w:val="24"/>
          <w:szCs w:val="24"/>
          <w:rtl/>
        </w:rPr>
        <w:t>،</w:t>
      </w:r>
      <w:r w:rsidR="00777DCB" w:rsidRPr="00A52585">
        <w:rPr>
          <w:rFonts w:hint="cs"/>
          <w:sz w:val="24"/>
          <w:szCs w:val="24"/>
          <w:rtl/>
        </w:rPr>
        <w:t xml:space="preserve"> جـ1 ص 152-153 دار الكتب العلمية</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الشبهة الرابعة لابن تيمية</w:t>
      </w:r>
      <w:r w:rsidRPr="00A52585">
        <w:rPr>
          <w:rFonts w:hint="cs"/>
          <w:bCs/>
          <w:sz w:val="24"/>
          <w:szCs w:val="24"/>
          <w:rtl/>
        </w:rPr>
        <w:t>]:</w:t>
      </w:r>
      <w:r w:rsidR="00777DCB" w:rsidRPr="00A52585">
        <w:rPr>
          <w:rFonts w:hint="cs"/>
          <w:sz w:val="24"/>
          <w:szCs w:val="24"/>
          <w:rtl/>
        </w:rPr>
        <w:t xml:space="preserve"> (زعمه بطلان أدلة جمهور الأمة على إثبات المجاز) وهي</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الدليل الأول</w:t>
      </w:r>
      <w:r w:rsidRPr="00A52585">
        <w:rPr>
          <w:rFonts w:hint="cs"/>
          <w:bCs/>
          <w:sz w:val="24"/>
          <w:szCs w:val="24"/>
          <w:rtl/>
        </w:rPr>
        <w:t>:</w:t>
      </w:r>
      <w:r w:rsidR="00777DCB" w:rsidRPr="00A52585">
        <w:rPr>
          <w:rFonts w:hint="cs"/>
          <w:bCs/>
          <w:sz w:val="24"/>
          <w:szCs w:val="24"/>
          <w:rtl/>
        </w:rPr>
        <w:t xml:space="preserve"> قوله تعالى</w:t>
      </w:r>
      <w:r w:rsidRPr="00A52585">
        <w:rPr>
          <w:rFonts w:hint="cs"/>
          <w:bCs/>
          <w:sz w:val="24"/>
          <w:szCs w:val="24"/>
          <w:rtl/>
        </w:rPr>
        <w:t>:</w:t>
      </w:r>
      <w:r w:rsidR="00777DCB" w:rsidRPr="00A52585">
        <w:rPr>
          <w:rFonts w:hint="cs"/>
          <w:bCs/>
          <w:sz w:val="24"/>
          <w:szCs w:val="24"/>
          <w:rtl/>
        </w:rPr>
        <w:t xml:space="preserve"> </w:t>
      </w:r>
      <w:r w:rsidRPr="00A52585">
        <w:rPr>
          <w:rFonts w:hint="cs"/>
          <w:bCs/>
          <w:sz w:val="24"/>
          <w:szCs w:val="24"/>
          <w:rtl/>
        </w:rPr>
        <w:t>{</w:t>
      </w:r>
      <w:r w:rsidR="00777DCB" w:rsidRPr="00A52585">
        <w:rPr>
          <w:rFonts w:hint="cs"/>
          <w:bCs/>
          <w:sz w:val="24"/>
          <w:szCs w:val="24"/>
          <w:rtl/>
        </w:rPr>
        <w:t xml:space="preserve">جداراً يريد أن ينقض </w:t>
      </w:r>
      <w:r w:rsidR="00777DCB" w:rsidRPr="00A52585">
        <w:rPr>
          <w:bCs/>
          <w:sz w:val="24"/>
          <w:szCs w:val="24"/>
        </w:rPr>
        <w:t>…</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الآية</w:t>
      </w:r>
      <w:r w:rsidRPr="00A52585">
        <w:rPr>
          <w:rFonts w:hint="cs"/>
          <w:sz w:val="24"/>
          <w:szCs w:val="24"/>
          <w:rtl/>
        </w:rPr>
        <w:t xml:space="preserve"> </w:t>
      </w:r>
      <w:r w:rsidR="00777DCB" w:rsidRPr="00A52585">
        <w:rPr>
          <w:rFonts w:hint="cs"/>
          <w:sz w:val="24"/>
          <w:szCs w:val="24"/>
          <w:rtl/>
        </w:rPr>
        <w:t>من سورة الكهف</w:t>
      </w:r>
      <w:r w:rsidR="00DB731D" w:rsidRPr="00A52585">
        <w:rPr>
          <w:rFonts w:hint="cs"/>
          <w:sz w:val="24"/>
          <w:szCs w:val="24"/>
          <w:rtl/>
        </w:rPr>
        <w:t>،</w:t>
      </w:r>
      <w:r w:rsidR="00777DCB" w:rsidRPr="00A52585">
        <w:rPr>
          <w:rFonts w:hint="cs"/>
          <w:sz w:val="24"/>
          <w:szCs w:val="24"/>
          <w:rtl/>
        </w:rPr>
        <w:t xml:space="preserve"> يقول ابن تيمية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لهم، رد عليهم المنازعون جميع ما ذكروه فمن أشهر ما ذكروه قوله تعالى</w:t>
      </w:r>
      <w:r w:rsidRPr="00A52585">
        <w:rPr>
          <w:rFonts w:hint="cs"/>
          <w:sz w:val="24"/>
          <w:szCs w:val="24"/>
          <w:rtl/>
        </w:rPr>
        <w:t>:</w:t>
      </w:r>
      <w:r w:rsidR="00777DCB" w:rsidRPr="00A52585">
        <w:rPr>
          <w:rFonts w:hint="cs"/>
          <w:sz w:val="24"/>
          <w:szCs w:val="24"/>
          <w:rtl/>
        </w:rPr>
        <w:t xml:space="preserve"> {جداراً يريد أن ينقض} قالوا</w:t>
      </w:r>
      <w:r w:rsidRPr="00A52585">
        <w:rPr>
          <w:rFonts w:hint="cs"/>
          <w:sz w:val="24"/>
          <w:szCs w:val="24"/>
          <w:rtl/>
        </w:rPr>
        <w:t>:</w:t>
      </w:r>
      <w:r w:rsidR="00777DCB" w:rsidRPr="00A52585">
        <w:rPr>
          <w:rFonts w:hint="cs"/>
          <w:sz w:val="24"/>
          <w:szCs w:val="24"/>
          <w:rtl/>
        </w:rPr>
        <w:t xml:space="preserve"> والجدار ليس بحيوان، والإرادة إنما تكون للحيوان فاستعمالها في ميل الجدار مجاز</w:t>
      </w:r>
      <w:r w:rsidR="00DB731D" w:rsidRPr="00A52585">
        <w:rPr>
          <w:rFonts w:hint="cs"/>
          <w:sz w:val="24"/>
          <w:szCs w:val="24"/>
          <w:rtl/>
        </w:rPr>
        <w:t>،</w:t>
      </w:r>
      <w:r w:rsidR="00777DCB" w:rsidRPr="00A52585">
        <w:rPr>
          <w:rFonts w:hint="cs"/>
          <w:sz w:val="24"/>
          <w:szCs w:val="24"/>
          <w:rtl/>
        </w:rPr>
        <w:t xml:space="preserve"> فقيل لهم لفظ الإرادة قد </w:t>
      </w:r>
      <w:r w:rsidR="00777DCB" w:rsidRPr="00A52585">
        <w:rPr>
          <w:rFonts w:hint="cs"/>
          <w:sz w:val="24"/>
          <w:szCs w:val="24"/>
          <w:rtl/>
        </w:rPr>
        <w:lastRenderedPageBreak/>
        <w:t>استعمل في الميل الذي يكون معه شعور وهو ميل الحي وفي الميل الذي لا شعور فيه وهو ميل الجماد وهو من مشهور اللغة</w:t>
      </w:r>
      <w:r w:rsidRPr="00A52585">
        <w:rPr>
          <w:rFonts w:hint="cs"/>
          <w:sz w:val="24"/>
          <w:szCs w:val="24"/>
          <w:rtl/>
        </w:rPr>
        <w:t>:</w:t>
      </w:r>
      <w:r w:rsidR="00777DCB" w:rsidRPr="00A52585">
        <w:rPr>
          <w:rFonts w:hint="cs"/>
          <w:sz w:val="24"/>
          <w:szCs w:val="24"/>
          <w:rtl/>
        </w:rPr>
        <w:t xml:space="preserve"> يقال (هذا السقف يريد أن يقع)، و (هذه الأرض تريد أن تحرث)، و(هذا الزرع يريد أن يسقى)</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(الإيمان) ص 102-103</w:t>
      </w:r>
      <w:r w:rsidR="00DB731D" w:rsidRPr="00A52585">
        <w:rPr>
          <w:rFonts w:hint="cs"/>
          <w:sz w:val="24"/>
          <w:szCs w:val="24"/>
          <w:rtl/>
        </w:rPr>
        <w:t>،</w:t>
      </w:r>
      <w:r w:rsidR="00777DCB" w:rsidRPr="00A52585">
        <w:rPr>
          <w:rFonts w:hint="cs"/>
          <w:sz w:val="24"/>
          <w:szCs w:val="24"/>
          <w:rtl/>
        </w:rPr>
        <w:t xml:space="preserve"> والرد على ذلك</w:t>
      </w:r>
      <w:r w:rsidRPr="00A52585">
        <w:rPr>
          <w:rFonts w:hint="cs"/>
          <w:sz w:val="24"/>
          <w:szCs w:val="24"/>
          <w:rtl/>
        </w:rPr>
        <w:t>:</w:t>
      </w:r>
      <w:r w:rsidR="00777DCB" w:rsidRPr="00A52585">
        <w:rPr>
          <w:rFonts w:hint="cs"/>
          <w:sz w:val="24"/>
          <w:szCs w:val="24"/>
          <w:rtl/>
        </w:rPr>
        <w:t xml:space="preserve"> نقول</w:t>
      </w:r>
      <w:r w:rsidRPr="00A52585">
        <w:rPr>
          <w:rFonts w:hint="cs"/>
          <w:sz w:val="24"/>
          <w:szCs w:val="24"/>
          <w:rtl/>
        </w:rPr>
        <w:t>:</w:t>
      </w:r>
      <w:r w:rsidR="00777DCB" w:rsidRPr="00A52585">
        <w:rPr>
          <w:rFonts w:hint="cs"/>
          <w:sz w:val="24"/>
          <w:szCs w:val="24"/>
          <w:rtl/>
        </w:rPr>
        <w:t xml:space="preserve"> 1- سبق إبطال كلامه في إنكاره التجريد والإطلاق في الألفاظ</w:t>
      </w:r>
      <w:r w:rsidR="00DB731D" w:rsidRPr="00A52585">
        <w:rPr>
          <w:rFonts w:hint="cs"/>
          <w:sz w:val="24"/>
          <w:szCs w:val="24"/>
          <w:rtl/>
        </w:rPr>
        <w:t>،</w:t>
      </w:r>
      <w:r w:rsidR="00777DCB" w:rsidRPr="00A52585">
        <w:rPr>
          <w:rFonts w:hint="cs"/>
          <w:sz w:val="24"/>
          <w:szCs w:val="24"/>
          <w:rtl/>
        </w:rPr>
        <w:t xml:space="preserve"> 2- قوله (لفظ الإرادة قد استعمل في الميل الذي يكون معه شعور وهو ميل الحي، وفي الميل الذي لا شعور فيه وهو ميل الجماد) وضربه أمثله لذلك، ليس فيه دليل على تساوي استعمال اللفظ في الحالتين بل هو دليل على أن العرب قد نطقت بالحقائق وبالمجازات</w:t>
      </w:r>
      <w:r w:rsidR="00DB731D" w:rsidRPr="00A52585">
        <w:rPr>
          <w:rFonts w:hint="cs"/>
          <w:sz w:val="24"/>
          <w:szCs w:val="24"/>
          <w:rtl/>
        </w:rPr>
        <w:t>،</w:t>
      </w:r>
      <w:r w:rsidR="00777DCB" w:rsidRPr="00A52585">
        <w:rPr>
          <w:rFonts w:hint="cs"/>
          <w:sz w:val="24"/>
          <w:szCs w:val="24"/>
          <w:rtl/>
        </w:rPr>
        <w:t xml:space="preserve"> يقول الدكتور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 xml:space="preserve">" ولو </w:t>
      </w:r>
      <w:r w:rsidR="00777DCB" w:rsidRPr="00A52585">
        <w:rPr>
          <w:rFonts w:hint="cs"/>
          <w:spacing w:val="-4"/>
          <w:sz w:val="24"/>
          <w:szCs w:val="24"/>
          <w:rtl/>
        </w:rPr>
        <w:t>كانت إرادة الحيوانات والجمادات مثل إرادة الإنسان لما أهدر الشرع الأضرار التي تقع على الإنسان من العجماوات ولما قال عليه السلام (جرح العجماوات جبار)</w:t>
      </w:r>
      <w:r w:rsidR="00777DCB" w:rsidRPr="00A52585">
        <w:rPr>
          <w:rFonts w:hint="cs"/>
          <w:sz w:val="24"/>
          <w:szCs w:val="24"/>
          <w:rtl/>
        </w:rPr>
        <w:t xml:space="preserve"> </w:t>
      </w:r>
      <w:r w:rsidR="00777DCB" w:rsidRPr="00A52585">
        <w:rPr>
          <w:rFonts w:hint="cs"/>
          <w:spacing w:val="-4"/>
          <w:sz w:val="24"/>
          <w:szCs w:val="24"/>
          <w:rtl/>
        </w:rPr>
        <w:t>يعني لا تبعه عليها فيه، ولكان القصاص من الحيوانات إذا رفصت إنساناً فمات ولم يقل بهذا أحداً</w:t>
      </w:r>
      <w:r w:rsidR="00DB731D"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sz w:val="24"/>
          <w:szCs w:val="24"/>
          <w:rtl/>
        </w:rPr>
        <w:t xml:space="preserve">وإذا كان جرح العجماوات هدراً وهي أرقى من الجمادات لما ركب فيها من إحساس وإدراك فإن جرح الجمادات أولى بعدم </w:t>
      </w:r>
      <w:proofErr w:type="spellStart"/>
      <w:r w:rsidR="00777DCB" w:rsidRPr="00A52585">
        <w:rPr>
          <w:rFonts w:hint="cs"/>
          <w:sz w:val="24"/>
          <w:szCs w:val="24"/>
          <w:rtl/>
        </w:rPr>
        <w:t>الإكثرات</w:t>
      </w:r>
      <w:proofErr w:type="spellEnd"/>
      <w:r w:rsidR="00777DCB" w:rsidRPr="00A52585">
        <w:rPr>
          <w:rFonts w:hint="cs"/>
          <w:sz w:val="24"/>
          <w:szCs w:val="24"/>
          <w:rtl/>
        </w:rPr>
        <w:t xml:space="preserve"> وليس بعد هذا الفرق من كلام أو نزاع "</w:t>
      </w:r>
      <w:r w:rsidRPr="00A52585">
        <w:rPr>
          <w:rFonts w:hint="cs"/>
          <w:sz w:val="24"/>
          <w:szCs w:val="24"/>
          <w:rtl/>
        </w:rPr>
        <w:t xml:space="preserve"> </w:t>
      </w:r>
      <w:r w:rsidR="00777DCB" w:rsidRPr="00A52585">
        <w:rPr>
          <w:rFonts w:hint="cs"/>
          <w:sz w:val="24"/>
          <w:szCs w:val="24"/>
          <w:rtl/>
        </w:rPr>
        <w:t>أهـ (المجاز ص 800)</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الدليل الثاني</w:t>
      </w:r>
      <w:r w:rsidRPr="00A52585">
        <w:rPr>
          <w:rFonts w:hint="cs"/>
          <w:bCs/>
          <w:sz w:val="24"/>
          <w:szCs w:val="24"/>
          <w:rtl/>
        </w:rPr>
        <w:t>:</w:t>
      </w:r>
      <w:r w:rsidR="00777DCB" w:rsidRPr="00A52585">
        <w:rPr>
          <w:rFonts w:hint="cs"/>
          <w:bCs/>
          <w:sz w:val="24"/>
          <w:szCs w:val="24"/>
          <w:rtl/>
        </w:rPr>
        <w:t xml:space="preserve"> قوله تعالى</w:t>
      </w:r>
      <w:r w:rsidRPr="00A52585">
        <w:rPr>
          <w:rFonts w:hint="cs"/>
          <w:bCs/>
          <w:sz w:val="24"/>
          <w:szCs w:val="24"/>
          <w:rtl/>
        </w:rPr>
        <w:t>:{</w:t>
      </w:r>
      <w:r w:rsidR="00777DCB" w:rsidRPr="00A52585">
        <w:rPr>
          <w:rFonts w:hint="cs"/>
          <w:bCs/>
          <w:sz w:val="24"/>
          <w:szCs w:val="24"/>
          <w:rtl/>
        </w:rPr>
        <w:t>فأذاقها الله لباس الجوع والخوف</w:t>
      </w:r>
      <w:r w:rsidRPr="00A52585">
        <w:rPr>
          <w:rFonts w:hint="cs"/>
          <w:bCs/>
          <w:sz w:val="24"/>
          <w:szCs w:val="24"/>
          <w:rtl/>
        </w:rPr>
        <w:t>}</w:t>
      </w:r>
      <w:r w:rsidR="00777DCB" w:rsidRPr="00A52585">
        <w:rPr>
          <w:rFonts w:hint="cs"/>
          <w:sz w:val="24"/>
          <w:szCs w:val="24"/>
          <w:rtl/>
        </w:rPr>
        <w:t xml:space="preserve"> الآية 112 من سورة النحل</w:t>
      </w:r>
      <w:r w:rsidR="00DB731D" w:rsidRPr="00A52585">
        <w:rPr>
          <w:rFonts w:hint="cs"/>
          <w:sz w:val="24"/>
          <w:szCs w:val="24"/>
          <w:rtl/>
        </w:rPr>
        <w:t>،</w:t>
      </w:r>
      <w:r w:rsidR="00777DCB" w:rsidRPr="00A52585">
        <w:rPr>
          <w:rFonts w:hint="cs"/>
          <w:sz w:val="24"/>
          <w:szCs w:val="24"/>
          <w:rtl/>
        </w:rPr>
        <w:t xml:space="preserve"> يقول ابن تيمية</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فإن من الناس من يقول</w:t>
      </w:r>
      <w:r w:rsidRPr="00A52585">
        <w:rPr>
          <w:rFonts w:hint="cs"/>
          <w:sz w:val="24"/>
          <w:szCs w:val="24"/>
          <w:rtl/>
        </w:rPr>
        <w:t>:</w:t>
      </w:r>
      <w:r w:rsidR="00777DCB" w:rsidRPr="00A52585">
        <w:rPr>
          <w:rFonts w:hint="cs"/>
          <w:sz w:val="24"/>
          <w:szCs w:val="24"/>
          <w:rtl/>
        </w:rPr>
        <w:t xml:space="preserve"> الذوق حقيقة في الذوق بالفم واللباس بما يلبس في البدن وإنما استعير هذا وهذا وليس كذلك بل قال الخليل</w:t>
      </w:r>
      <w:r w:rsidRPr="00A52585">
        <w:rPr>
          <w:rFonts w:hint="cs"/>
          <w:sz w:val="24"/>
          <w:szCs w:val="24"/>
          <w:rtl/>
        </w:rPr>
        <w:t>:</w:t>
      </w:r>
      <w:r w:rsidR="00777DCB" w:rsidRPr="00A52585">
        <w:rPr>
          <w:rFonts w:hint="cs"/>
          <w:sz w:val="24"/>
          <w:szCs w:val="24"/>
          <w:rtl/>
        </w:rPr>
        <w:t xml:space="preserve"> الذوق في لغة العرب هو وجود طعم الشيء والاستعمال يدل على ذلك "</w:t>
      </w:r>
      <w:r w:rsidRPr="00A52585">
        <w:rPr>
          <w:rFonts w:hint="cs"/>
          <w:sz w:val="24"/>
          <w:szCs w:val="24"/>
          <w:rtl/>
        </w:rPr>
        <w:t xml:space="preserve"> </w:t>
      </w:r>
      <w:r w:rsidR="00777DCB" w:rsidRPr="00A52585">
        <w:rPr>
          <w:rFonts w:hint="cs"/>
          <w:sz w:val="24"/>
          <w:szCs w:val="24"/>
          <w:rtl/>
        </w:rPr>
        <w:t>أهـ (الإيمان ص 104)</w:t>
      </w:r>
      <w:r w:rsidR="00DB731D" w:rsidRPr="00A52585">
        <w:rPr>
          <w:rFonts w:hint="cs"/>
          <w:sz w:val="24"/>
          <w:szCs w:val="24"/>
          <w:rtl/>
        </w:rPr>
        <w:t>،</w:t>
      </w:r>
      <w:r w:rsidR="00777DCB" w:rsidRPr="00A52585">
        <w:rPr>
          <w:rFonts w:hint="cs"/>
          <w:sz w:val="24"/>
          <w:szCs w:val="24"/>
          <w:rtl/>
        </w:rPr>
        <w:t xml:space="preserve"> والرد على ذلك</w:t>
      </w:r>
      <w:r w:rsidRPr="00A52585">
        <w:rPr>
          <w:rFonts w:hint="cs"/>
          <w:sz w:val="24"/>
          <w:szCs w:val="24"/>
          <w:rtl/>
        </w:rPr>
        <w:t>:</w:t>
      </w:r>
      <w:r w:rsidR="00777DCB" w:rsidRPr="00A52585">
        <w:rPr>
          <w:rFonts w:hint="cs"/>
          <w:sz w:val="24"/>
          <w:szCs w:val="24"/>
          <w:rtl/>
        </w:rPr>
        <w:t xml:space="preserve"> نقول</w:t>
      </w:r>
      <w:r w:rsidRPr="00A52585">
        <w:rPr>
          <w:rFonts w:hint="cs"/>
          <w:sz w:val="24"/>
          <w:szCs w:val="24"/>
          <w:rtl/>
        </w:rPr>
        <w:t>:</w:t>
      </w:r>
      <w:r w:rsidR="00777DCB" w:rsidRPr="00A52585">
        <w:rPr>
          <w:rFonts w:hint="cs"/>
          <w:sz w:val="24"/>
          <w:szCs w:val="24"/>
          <w:rtl/>
        </w:rPr>
        <w:t xml:space="preserve"> وهل يوجد الطعم في غير الفم</w:t>
      </w:r>
      <w:r w:rsidR="00F95886" w:rsidRPr="00A52585">
        <w:rPr>
          <w:rFonts w:hint="cs"/>
          <w:sz w:val="24"/>
          <w:szCs w:val="24"/>
          <w:rtl/>
        </w:rPr>
        <w:t>؟</w:t>
      </w:r>
      <w:r w:rsidR="00777DCB" w:rsidRPr="00A52585">
        <w:rPr>
          <w:rFonts w:hint="cs"/>
          <w:sz w:val="24"/>
          <w:szCs w:val="24"/>
          <w:rtl/>
        </w:rPr>
        <w:t xml:space="preserve">! يقول د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 xml:space="preserve">" فكلمة طعم هذه خاصة بما يؤكل أو يشرب والطعام هو المأكول والطعم أثره في اللسان من حلاوة ومرارة </w:t>
      </w:r>
      <w:proofErr w:type="spellStart"/>
      <w:r w:rsidR="00777DCB" w:rsidRPr="00A52585">
        <w:rPr>
          <w:rFonts w:hint="cs"/>
          <w:sz w:val="24"/>
          <w:szCs w:val="24"/>
          <w:rtl/>
        </w:rPr>
        <w:t>ومزازة</w:t>
      </w:r>
      <w:proofErr w:type="spellEnd"/>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فالخليل إذا لما قال</w:t>
      </w:r>
      <w:r w:rsidRPr="00A52585">
        <w:rPr>
          <w:rFonts w:hint="cs"/>
          <w:sz w:val="24"/>
          <w:szCs w:val="24"/>
          <w:rtl/>
        </w:rPr>
        <w:t>:</w:t>
      </w:r>
      <w:r w:rsidR="00777DCB" w:rsidRPr="00A52585">
        <w:rPr>
          <w:rFonts w:hint="cs"/>
          <w:sz w:val="24"/>
          <w:szCs w:val="24"/>
          <w:rtl/>
        </w:rPr>
        <w:t xml:space="preserve"> وجود طعم الشيء اكتفى بذكر (طعم) عن ذكر اللسان فأجمل إجمالا لا يخل بالفهم</w:t>
      </w:r>
      <w:r w:rsidR="00777DCB" w:rsidRPr="00A52585">
        <w:rPr>
          <w:sz w:val="24"/>
          <w:szCs w:val="24"/>
        </w:rPr>
        <w:t>…</w:t>
      </w:r>
      <w:r w:rsidR="00777DCB" w:rsidRPr="00A52585">
        <w:rPr>
          <w:rFonts w:hint="cs"/>
          <w:sz w:val="24"/>
          <w:szCs w:val="24"/>
          <w:rtl/>
        </w:rPr>
        <w:t xml:space="preserve"> نقول</w:t>
      </w:r>
      <w:r w:rsidRPr="00A52585">
        <w:rPr>
          <w:rFonts w:hint="cs"/>
          <w:sz w:val="24"/>
          <w:szCs w:val="24"/>
          <w:rtl/>
        </w:rPr>
        <w:t>:</w:t>
      </w:r>
      <w:r w:rsidR="00777DCB" w:rsidRPr="00A52585">
        <w:rPr>
          <w:rFonts w:hint="cs"/>
          <w:sz w:val="24"/>
          <w:szCs w:val="24"/>
          <w:rtl/>
        </w:rPr>
        <w:t xml:space="preserve"> إن عبارة الخليل لا تفيد الإمام ابن تيمية </w:t>
      </w:r>
      <w:proofErr w:type="spellStart"/>
      <w:r w:rsidR="00777DCB" w:rsidRPr="00A52585">
        <w:rPr>
          <w:rFonts w:hint="cs"/>
          <w:sz w:val="24"/>
          <w:szCs w:val="24"/>
          <w:rtl/>
        </w:rPr>
        <w:t>فهى</w:t>
      </w:r>
      <w:proofErr w:type="spellEnd"/>
      <w:r w:rsidR="00777DCB" w:rsidRPr="00A52585">
        <w:rPr>
          <w:rFonts w:hint="cs"/>
          <w:sz w:val="24"/>
          <w:szCs w:val="24"/>
          <w:rtl/>
        </w:rPr>
        <w:t xml:space="preserve"> حجة عليه وليست له"</w:t>
      </w:r>
      <w:r w:rsidRPr="00A52585">
        <w:rPr>
          <w:rFonts w:hint="cs"/>
          <w:sz w:val="24"/>
          <w:szCs w:val="24"/>
          <w:rtl/>
        </w:rPr>
        <w:t xml:space="preserve"> </w:t>
      </w:r>
      <w:r w:rsidR="00777DCB" w:rsidRPr="00A52585">
        <w:rPr>
          <w:rFonts w:hint="cs"/>
          <w:sz w:val="24"/>
          <w:szCs w:val="24"/>
          <w:rtl/>
        </w:rPr>
        <w:t>أهـ (المجاز ص 803- 804)</w:t>
      </w:r>
      <w:r w:rsidR="00DB731D" w:rsidRPr="00A52585">
        <w:rPr>
          <w:rFonts w:hint="cs"/>
          <w:sz w:val="24"/>
          <w:szCs w:val="24"/>
          <w:rtl/>
        </w:rPr>
        <w:t>،</w:t>
      </w:r>
      <w:r w:rsidR="00777DCB" w:rsidRPr="00A52585">
        <w:rPr>
          <w:rFonts w:hint="cs"/>
          <w:sz w:val="24"/>
          <w:szCs w:val="24"/>
          <w:rtl/>
        </w:rPr>
        <w:t xml:space="preserve"> الدليل الثالث</w:t>
      </w:r>
      <w:r w:rsidRPr="00A52585">
        <w:rPr>
          <w:rFonts w:hint="cs"/>
          <w:sz w:val="24"/>
          <w:szCs w:val="24"/>
          <w:rtl/>
        </w:rPr>
        <w:t>:</w:t>
      </w:r>
      <w:r w:rsidR="00777DCB" w:rsidRPr="00A52585">
        <w:rPr>
          <w:rFonts w:hint="cs"/>
          <w:sz w:val="24"/>
          <w:szCs w:val="24"/>
          <w:rtl/>
        </w:rPr>
        <w:t xml:space="preserve"> ذكر الأصوليون وبعض اللغويين من أدلة المجاز</w:t>
      </w:r>
      <w:r w:rsidRPr="00A52585">
        <w:rPr>
          <w:rFonts w:hint="cs"/>
          <w:sz w:val="24"/>
          <w:szCs w:val="24"/>
          <w:rtl/>
        </w:rPr>
        <w:t>:</w:t>
      </w:r>
      <w:r w:rsidR="00777DCB" w:rsidRPr="00A52585">
        <w:rPr>
          <w:rFonts w:hint="cs"/>
          <w:sz w:val="24"/>
          <w:szCs w:val="24"/>
          <w:rtl/>
        </w:rPr>
        <w:t xml:space="preserve"> قوله تعالى</w:t>
      </w:r>
      <w:r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ومكروا مكراً ومكرنا مكراً</w:t>
      </w:r>
      <w:r w:rsidRPr="00A52585">
        <w:rPr>
          <w:rFonts w:hint="cs"/>
          <w:bCs/>
          <w:sz w:val="24"/>
          <w:szCs w:val="24"/>
          <w:rtl/>
        </w:rPr>
        <w:t>}</w:t>
      </w:r>
      <w:r w:rsidR="00777DCB" w:rsidRPr="00A52585">
        <w:rPr>
          <w:rFonts w:hint="cs"/>
          <w:sz w:val="24"/>
          <w:szCs w:val="24"/>
          <w:rtl/>
        </w:rPr>
        <w:t xml:space="preserve"> الآية 50 من سورة النمل قوله</w:t>
      </w:r>
      <w:r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فيسخرون منهم، سخر الله منهم</w:t>
      </w:r>
      <w:r w:rsidRPr="00A52585">
        <w:rPr>
          <w:rFonts w:hint="cs"/>
          <w:bCs/>
          <w:sz w:val="24"/>
          <w:szCs w:val="24"/>
          <w:rtl/>
        </w:rPr>
        <w:t>}</w:t>
      </w:r>
      <w:r w:rsidR="00777DCB" w:rsidRPr="00A52585">
        <w:rPr>
          <w:rFonts w:hint="cs"/>
          <w:sz w:val="24"/>
          <w:szCs w:val="24"/>
          <w:rtl/>
        </w:rPr>
        <w:t xml:space="preserve"> الآية 180 من سورة التوبة</w:t>
      </w:r>
      <w:r w:rsidR="00DB731D" w:rsidRPr="00A52585">
        <w:rPr>
          <w:rFonts w:hint="cs"/>
          <w:sz w:val="24"/>
          <w:szCs w:val="24"/>
          <w:rtl/>
        </w:rPr>
        <w:t>،</w:t>
      </w:r>
      <w:r w:rsidR="00777DCB" w:rsidRPr="00A52585">
        <w:rPr>
          <w:rFonts w:hint="cs"/>
          <w:sz w:val="24"/>
          <w:szCs w:val="24"/>
          <w:rtl/>
        </w:rPr>
        <w:t xml:space="preserve"> يقول ابن تيمية</w:t>
      </w:r>
      <w:r w:rsidRPr="00A52585">
        <w:rPr>
          <w:rFonts w:hint="cs"/>
          <w:sz w:val="24"/>
          <w:szCs w:val="24"/>
          <w:rtl/>
        </w:rPr>
        <w:t xml:space="preserve">: </w:t>
      </w:r>
      <w:r w:rsidR="00777DCB" w:rsidRPr="00A52585">
        <w:rPr>
          <w:rFonts w:hint="cs"/>
          <w:sz w:val="24"/>
          <w:szCs w:val="24"/>
          <w:rtl/>
        </w:rPr>
        <w:t>" وليس كذلك بل مسميات هذه الأسماء إذا فعلت بمن لا يستحق كانت ظلماً له، وأما إذا فعلت بمن فعلها بالمجني عليه عقوبة له بمثل فعله كانت عدلاً "</w:t>
      </w:r>
      <w:r w:rsidRPr="00A52585">
        <w:rPr>
          <w:rFonts w:hint="cs"/>
          <w:sz w:val="24"/>
          <w:szCs w:val="24"/>
          <w:rtl/>
        </w:rPr>
        <w:t xml:space="preserve"> </w:t>
      </w:r>
      <w:r w:rsidR="00777DCB" w:rsidRPr="00A52585">
        <w:rPr>
          <w:rFonts w:hint="cs"/>
          <w:sz w:val="24"/>
          <w:szCs w:val="24"/>
          <w:rtl/>
        </w:rPr>
        <w:t>أهـ الإيمان ص 107 والرد على ذلك</w:t>
      </w:r>
      <w:r w:rsidRPr="00A52585">
        <w:rPr>
          <w:rFonts w:hint="cs"/>
          <w:sz w:val="24"/>
          <w:szCs w:val="24"/>
          <w:rtl/>
        </w:rPr>
        <w:t>:</w:t>
      </w:r>
      <w:r w:rsidR="00777DCB" w:rsidRPr="00A52585">
        <w:rPr>
          <w:rFonts w:hint="cs"/>
          <w:sz w:val="24"/>
          <w:szCs w:val="24"/>
          <w:rtl/>
        </w:rPr>
        <w:t xml:space="preserve"> </w:t>
      </w:r>
      <w:r w:rsidR="00777DCB" w:rsidRPr="00A52585">
        <w:rPr>
          <w:rFonts w:hint="cs"/>
          <w:spacing w:val="-4"/>
          <w:sz w:val="24"/>
          <w:szCs w:val="24"/>
          <w:rtl/>
        </w:rPr>
        <w:t xml:space="preserve">أن هذه الأمثلة كما يقول د </w:t>
      </w:r>
      <w:proofErr w:type="spellStart"/>
      <w:r w:rsidR="00777DCB" w:rsidRPr="00A52585">
        <w:rPr>
          <w:rFonts w:hint="cs"/>
          <w:spacing w:val="-4"/>
          <w:sz w:val="24"/>
          <w:szCs w:val="24"/>
          <w:rtl/>
        </w:rPr>
        <w:t>المطعني</w:t>
      </w:r>
      <w:proofErr w:type="spellEnd"/>
      <w:r w:rsidR="00777DCB" w:rsidRPr="00A52585">
        <w:rPr>
          <w:rFonts w:hint="cs"/>
          <w:spacing w:val="-4"/>
          <w:sz w:val="24"/>
          <w:szCs w:val="24"/>
          <w:rtl/>
        </w:rPr>
        <w:t xml:space="preserve"> من باب المشاكلة وهي تسمية الشيء باسم غيره لوقوعه في صحبته لفظاً أو تقديراً، ولا يتوقف تحقيقها على المجاز، وإن وقع فيها مجاز فذلك ليس من شرطها</w:t>
      </w:r>
      <w:r w:rsidR="00DB731D"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sz w:val="24"/>
          <w:szCs w:val="24"/>
          <w:rtl/>
        </w:rPr>
        <w:t>وهنا نصوص أخرى من المشاكلة لا يستطيع نفي المجاز فيها، من هذه النصوص ما يتعلق بالله سبحانه مثل</w:t>
      </w:r>
      <w:r w:rsidRPr="00A52585">
        <w:rPr>
          <w:rFonts w:hint="cs"/>
          <w:sz w:val="24"/>
          <w:szCs w:val="24"/>
          <w:rtl/>
        </w:rPr>
        <w:t>:</w:t>
      </w:r>
      <w:r w:rsidR="00777DCB" w:rsidRPr="00A52585">
        <w:rPr>
          <w:rFonts w:hint="cs"/>
          <w:sz w:val="24"/>
          <w:szCs w:val="24"/>
          <w:rtl/>
        </w:rPr>
        <w:t xml:space="preserve"> {وقيل اليوم ننساكم كما نسيتم لقاء يومكم هذا} الآية 34، من سورة الجاثية، {فذوقوا بما نسيتم لقاء يومكم هذا إنا نسيناكم</w:t>
      </w:r>
      <w:r w:rsidRPr="00A52585">
        <w:rPr>
          <w:rFonts w:hint="cs"/>
          <w:sz w:val="24"/>
          <w:szCs w:val="24"/>
          <w:rtl/>
        </w:rPr>
        <w:t>}</w:t>
      </w:r>
      <w:r w:rsidR="00777DCB" w:rsidRPr="00A52585">
        <w:rPr>
          <w:rFonts w:hint="cs"/>
          <w:sz w:val="24"/>
          <w:szCs w:val="24"/>
          <w:rtl/>
        </w:rPr>
        <w:t xml:space="preserve"> الآية 14 من سورة السجدة، </w:t>
      </w:r>
      <w:r w:rsidRPr="00A52585">
        <w:rPr>
          <w:rFonts w:hint="cs"/>
          <w:sz w:val="24"/>
          <w:szCs w:val="24"/>
          <w:rtl/>
        </w:rPr>
        <w:t>{</w:t>
      </w:r>
      <w:r w:rsidR="00777DCB" w:rsidRPr="00A52585">
        <w:rPr>
          <w:rFonts w:hint="cs"/>
          <w:sz w:val="24"/>
          <w:szCs w:val="24"/>
          <w:rtl/>
        </w:rPr>
        <w:t>نسوا الله فنسيهم} الآية 67، من سورة التوبة</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4"/>
          <w:sz w:val="24"/>
          <w:szCs w:val="24"/>
          <w:rtl/>
        </w:rPr>
        <w:t>ونحن لا نناقش هل الكفار يستحقون ذلك أم لا، أو أن نسيان الله سبحانه وتعالى لهم عدل أم لا</w:t>
      </w:r>
      <w:r w:rsidR="00F95886" w:rsidRPr="00A52585">
        <w:rPr>
          <w:rFonts w:hint="cs"/>
          <w:spacing w:val="-4"/>
          <w:sz w:val="24"/>
          <w:szCs w:val="24"/>
          <w:rtl/>
        </w:rPr>
        <w:t>؟</w:t>
      </w:r>
      <w:r w:rsidR="00777DCB" w:rsidRPr="00A52585">
        <w:rPr>
          <w:rFonts w:hint="cs"/>
          <w:spacing w:val="-4"/>
          <w:sz w:val="24"/>
          <w:szCs w:val="24"/>
          <w:rtl/>
        </w:rPr>
        <w:t xml:space="preserve"> </w:t>
      </w:r>
      <w:r w:rsidR="00777DCB" w:rsidRPr="00A52585">
        <w:rPr>
          <w:rFonts w:hint="cs"/>
          <w:sz w:val="24"/>
          <w:szCs w:val="24"/>
          <w:rtl/>
        </w:rPr>
        <w:t>لكننا نسأل هل يجوز إسناد النسيان إلى الله سبحانه وتعالى على وجه الحقيقة التي يعلمها الناطقون باللغة العربية وهي صفة نقص في المسندة إليه أم أن ذلك تعبير عن حرمانهم من فضله وإحسانه في ذلك اليوم فهو بذلك مجاز</w:t>
      </w:r>
      <w:r w:rsidR="00F95886" w:rsidRPr="00A52585">
        <w:rPr>
          <w:rFonts w:hint="cs"/>
          <w:sz w:val="24"/>
          <w:szCs w:val="24"/>
          <w:rtl/>
        </w:rPr>
        <w:t>؟</w:t>
      </w:r>
      <w:r w:rsidR="00777DCB" w:rsidRPr="00A52585">
        <w:rPr>
          <w:rFonts w:hint="cs"/>
          <w:sz w:val="24"/>
          <w:szCs w:val="24"/>
          <w:rtl/>
        </w:rPr>
        <w:t xml:space="preserve"> وهناك نصوص أخرى من المشاكلة فيها المجاز جاءت في غير الله سبحانه فمنها قوله تعالى {فمن اعتدى عليكم فاعتدوا عليه بمثل ما اعتدى عليكم</w:t>
      </w:r>
      <w:r w:rsidRPr="00A52585">
        <w:rPr>
          <w:rFonts w:hint="cs"/>
          <w:sz w:val="24"/>
          <w:szCs w:val="24"/>
          <w:rtl/>
        </w:rPr>
        <w:t>}</w:t>
      </w:r>
      <w:r w:rsidR="00777DCB" w:rsidRPr="00A52585">
        <w:rPr>
          <w:rFonts w:hint="cs"/>
          <w:sz w:val="24"/>
          <w:szCs w:val="24"/>
          <w:rtl/>
        </w:rPr>
        <w:t xml:space="preserve"> الآية 194 من سورة البقرة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وجزاء سيئة </w:t>
      </w:r>
      <w:proofErr w:type="spellStart"/>
      <w:r w:rsidR="00777DCB" w:rsidRPr="00A52585">
        <w:rPr>
          <w:rFonts w:hint="cs"/>
          <w:sz w:val="24"/>
          <w:szCs w:val="24"/>
          <w:rtl/>
        </w:rPr>
        <w:t>سيئة</w:t>
      </w:r>
      <w:proofErr w:type="spellEnd"/>
      <w:r w:rsidR="00777DCB" w:rsidRPr="00A52585">
        <w:rPr>
          <w:rFonts w:hint="cs"/>
          <w:sz w:val="24"/>
          <w:szCs w:val="24"/>
          <w:rtl/>
        </w:rPr>
        <w:t xml:space="preserve"> مثلها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الآية 40 من سورة الشورى، </w:t>
      </w:r>
      <w:r w:rsidRPr="00A52585">
        <w:rPr>
          <w:rFonts w:hint="cs"/>
          <w:sz w:val="24"/>
          <w:szCs w:val="24"/>
          <w:rtl/>
        </w:rPr>
        <w:t>{</w:t>
      </w:r>
      <w:r w:rsidR="00777DCB" w:rsidRPr="00A52585">
        <w:rPr>
          <w:rFonts w:hint="cs"/>
          <w:sz w:val="24"/>
          <w:szCs w:val="24"/>
          <w:rtl/>
        </w:rPr>
        <w:t>ومنهم الذين يؤذون النبي ويقولون هو أذن</w:t>
      </w:r>
      <w:r w:rsidR="00DB731D" w:rsidRPr="00A52585">
        <w:rPr>
          <w:rFonts w:hint="cs"/>
          <w:sz w:val="24"/>
          <w:szCs w:val="24"/>
          <w:rtl/>
        </w:rPr>
        <w:t>،</w:t>
      </w:r>
      <w:r w:rsidR="00777DCB" w:rsidRPr="00A52585">
        <w:rPr>
          <w:rFonts w:hint="cs"/>
          <w:sz w:val="24"/>
          <w:szCs w:val="24"/>
          <w:rtl/>
        </w:rPr>
        <w:t xml:space="preserve"> قل أذن خير لكم} الآية 61 من سورة المائدة</w:t>
      </w:r>
      <w:r w:rsidR="00DB731D" w:rsidRPr="00A52585">
        <w:rPr>
          <w:rFonts w:hint="cs"/>
          <w:sz w:val="24"/>
          <w:szCs w:val="24"/>
          <w:rtl/>
        </w:rPr>
        <w:t>،</w:t>
      </w:r>
      <w:r w:rsidR="00777DCB" w:rsidRPr="00A52585">
        <w:rPr>
          <w:rFonts w:hint="cs"/>
          <w:sz w:val="24"/>
          <w:szCs w:val="24"/>
          <w:rtl/>
        </w:rPr>
        <w:t xml:space="preserve"> وقد شرح د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وجه المجاز في كل آية</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الدليل الرابع</w:t>
      </w:r>
      <w:r w:rsidRPr="00A52585">
        <w:rPr>
          <w:rFonts w:hint="cs"/>
          <w:bCs/>
          <w:sz w:val="24"/>
          <w:szCs w:val="24"/>
          <w:rtl/>
        </w:rPr>
        <w:t>:</w:t>
      </w:r>
      <w:r w:rsidR="00777DCB" w:rsidRPr="00A52585">
        <w:rPr>
          <w:rFonts w:hint="cs"/>
          <w:sz w:val="24"/>
          <w:szCs w:val="24"/>
          <w:rtl/>
        </w:rPr>
        <w:t xml:space="preserve"> وهو أشهر الأدلة التي يستدل بها جمهور الأمة وأعلامها يقول </w:t>
      </w:r>
      <w:r w:rsidR="00777DCB" w:rsidRPr="00A52585">
        <w:rPr>
          <w:rFonts w:hint="cs"/>
          <w:sz w:val="24"/>
          <w:szCs w:val="24"/>
          <w:rtl/>
        </w:rPr>
        <w:lastRenderedPageBreak/>
        <w:t>إمامنا الشافعي قدّس الله روحه ورضي عنه في (الرسالة) تحت عنوان</w:t>
      </w:r>
      <w:r w:rsidRPr="00A52585">
        <w:rPr>
          <w:rFonts w:hint="cs"/>
          <w:sz w:val="24"/>
          <w:szCs w:val="24"/>
          <w:rtl/>
        </w:rPr>
        <w:t>:</w:t>
      </w:r>
      <w:r w:rsidR="00777DCB" w:rsidRPr="00A52585">
        <w:rPr>
          <w:rFonts w:hint="cs"/>
          <w:sz w:val="24"/>
          <w:szCs w:val="24"/>
          <w:rtl/>
        </w:rPr>
        <w:t xml:space="preserve"> (الصنف الذي يبين سياقه معناه)</w:t>
      </w:r>
      <w:r w:rsidRPr="00A52585">
        <w:rPr>
          <w:rFonts w:hint="cs"/>
          <w:sz w:val="24"/>
          <w:szCs w:val="24"/>
          <w:rtl/>
        </w:rPr>
        <w:t xml:space="preserve">: </w:t>
      </w:r>
      <w:r w:rsidR="00777DCB" w:rsidRPr="00A52585">
        <w:rPr>
          <w:rFonts w:hint="cs"/>
          <w:sz w:val="24"/>
          <w:szCs w:val="24"/>
          <w:rtl/>
        </w:rPr>
        <w:t>قال الله تبارك وتعالى {</w:t>
      </w:r>
      <w:r w:rsidR="00777DCB" w:rsidRPr="00A52585">
        <w:rPr>
          <w:rFonts w:hint="cs"/>
          <w:bCs/>
          <w:sz w:val="24"/>
          <w:szCs w:val="24"/>
          <w:rtl/>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sidR="00777DCB" w:rsidRPr="00A52585">
        <w:rPr>
          <w:rFonts w:hint="cs"/>
          <w:sz w:val="24"/>
          <w:szCs w:val="24"/>
          <w:rtl/>
        </w:rPr>
        <w:t>} (الآية 163 من سورة الأعراف) فابتدأ جل ثناؤه ذكر الأمر بمسألتهم عن القرية الحاضرة البحر فلما قال</w:t>
      </w:r>
      <w:r w:rsidRPr="00A52585">
        <w:rPr>
          <w:rFonts w:hint="cs"/>
          <w:sz w:val="24"/>
          <w:szCs w:val="24"/>
          <w:rtl/>
        </w:rPr>
        <w:t>: {</w:t>
      </w:r>
      <w:r w:rsidR="00777DCB" w:rsidRPr="00A52585">
        <w:rPr>
          <w:rFonts w:hint="cs"/>
          <w:sz w:val="24"/>
          <w:szCs w:val="24"/>
          <w:rtl/>
        </w:rPr>
        <w:t>إذ يعدون في السبت</w:t>
      </w:r>
      <w:r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دل على أنه إنما أراد أهل القرية لأن القرية لا تكون عادية ولا فاسقة بالعدوان في السبت ولا غيره، وأنه إنما أراد بالعدوان أهل القرية الذين بلاهم بما كانوا يفسقون "</w:t>
      </w:r>
      <w:r w:rsidRPr="00A52585">
        <w:rPr>
          <w:rFonts w:hint="cs"/>
          <w:sz w:val="24"/>
          <w:szCs w:val="24"/>
          <w:rtl/>
        </w:rPr>
        <w:t xml:space="preserve"> </w:t>
      </w:r>
      <w:r w:rsidR="00777DCB" w:rsidRPr="00A52585">
        <w:rPr>
          <w:rFonts w:hint="cs"/>
          <w:sz w:val="24"/>
          <w:szCs w:val="24"/>
          <w:rtl/>
        </w:rPr>
        <w:t>ثم قال</w:t>
      </w:r>
      <w:r w:rsidRPr="00A52585">
        <w:rPr>
          <w:rFonts w:hint="cs"/>
          <w:sz w:val="24"/>
          <w:szCs w:val="24"/>
          <w:rtl/>
        </w:rPr>
        <w:t xml:space="preserve">: </w:t>
      </w:r>
      <w:r w:rsidR="00777DCB" w:rsidRPr="00A52585">
        <w:rPr>
          <w:rFonts w:hint="cs"/>
          <w:sz w:val="24"/>
          <w:szCs w:val="24"/>
          <w:rtl/>
        </w:rPr>
        <w:t xml:space="preserve">" وقال </w:t>
      </w:r>
      <w:r w:rsidRPr="00A52585">
        <w:rPr>
          <w:rFonts w:hint="cs"/>
          <w:sz w:val="24"/>
          <w:szCs w:val="24"/>
          <w:rtl/>
        </w:rPr>
        <w:t>{</w:t>
      </w:r>
      <w:r w:rsidR="00777DCB" w:rsidRPr="00A52585">
        <w:rPr>
          <w:rFonts w:hint="cs"/>
          <w:sz w:val="24"/>
          <w:szCs w:val="24"/>
          <w:rtl/>
        </w:rPr>
        <w:t>وكم قصمنا من قرية كانت ظالمة وأنشأنا بعدها قوما آخرين فلما أحسوا بأسنا إذا هم منها يركضون</w:t>
      </w:r>
      <w:r w:rsidRPr="00A52585">
        <w:rPr>
          <w:rFonts w:hint="cs"/>
          <w:sz w:val="24"/>
          <w:szCs w:val="24"/>
          <w:rtl/>
        </w:rPr>
        <w:t>}</w:t>
      </w:r>
      <w:r w:rsidR="00777DCB" w:rsidRPr="00A52585">
        <w:rPr>
          <w:rFonts w:hint="cs"/>
          <w:sz w:val="24"/>
          <w:szCs w:val="24"/>
          <w:rtl/>
        </w:rPr>
        <w:t xml:space="preserve"> (الآيتان 11،12 من سورة الأنبياء) وهذه الآية مثل الآية قبلها فذكر قصم القرية فلما ذكر أنها ظالمة بأن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w:t>
      </w:r>
      <w:r w:rsidRPr="00A52585">
        <w:rPr>
          <w:rFonts w:hint="cs"/>
          <w:sz w:val="24"/>
          <w:szCs w:val="24"/>
          <w:rtl/>
        </w:rPr>
        <w:t xml:space="preserve"> </w:t>
      </w:r>
      <w:r w:rsidR="00777DCB" w:rsidRPr="00A52585">
        <w:rPr>
          <w:rFonts w:hint="cs"/>
          <w:sz w:val="24"/>
          <w:szCs w:val="24"/>
          <w:rtl/>
        </w:rPr>
        <w:t>أهـ الرسالة ص 62-63</w:t>
      </w:r>
      <w:r w:rsidR="00DB731D" w:rsidRPr="00A52585">
        <w:rPr>
          <w:rFonts w:hint="cs"/>
          <w:sz w:val="24"/>
          <w:szCs w:val="24"/>
          <w:rtl/>
        </w:rPr>
        <w:t>،</w:t>
      </w:r>
      <w:r w:rsidR="00777DCB" w:rsidRPr="00A52585">
        <w:rPr>
          <w:rFonts w:hint="cs"/>
          <w:sz w:val="24"/>
          <w:szCs w:val="24"/>
          <w:rtl/>
        </w:rPr>
        <w:t xml:space="preserve"> يقول العلامة د </w:t>
      </w:r>
      <w:proofErr w:type="spellStart"/>
      <w:r w:rsidR="00777DCB" w:rsidRPr="00A52585">
        <w:rPr>
          <w:rFonts w:hint="cs"/>
          <w:sz w:val="24"/>
          <w:szCs w:val="24"/>
          <w:rtl/>
        </w:rPr>
        <w:t>المطعني</w:t>
      </w:r>
      <w:proofErr w:type="spellEnd"/>
      <w:r w:rsidRPr="00A52585">
        <w:rPr>
          <w:rFonts w:hint="cs"/>
          <w:sz w:val="24"/>
          <w:szCs w:val="24"/>
          <w:rtl/>
        </w:rPr>
        <w:t xml:space="preserve">: </w:t>
      </w:r>
      <w:r w:rsidR="00777DCB" w:rsidRPr="00A52585">
        <w:rPr>
          <w:rFonts w:hint="cs"/>
          <w:sz w:val="24"/>
          <w:szCs w:val="24"/>
          <w:rtl/>
        </w:rPr>
        <w:t>" وأكاد أجزم أنه أراد بالسياق ما فيه من قرينة دالة على التجوز وهي كما قال</w:t>
      </w:r>
      <w:r w:rsidRPr="00A52585">
        <w:rPr>
          <w:rFonts w:hint="cs"/>
          <w:sz w:val="24"/>
          <w:szCs w:val="24"/>
          <w:rtl/>
        </w:rPr>
        <w:t>:</w:t>
      </w:r>
      <w:r w:rsidR="00777DCB" w:rsidRPr="00A52585">
        <w:rPr>
          <w:rFonts w:hint="cs"/>
          <w:sz w:val="24"/>
          <w:szCs w:val="24"/>
          <w:rtl/>
        </w:rPr>
        <w:t xml:space="preserve"> إن القرية باعتبارها مكانا لا تكون فاسقة ولا عادية ولا تكون ظالمة ولا تحس ألم البأس وغير خاف أن الإمام الشافعي يحمل المطلق (القرية باعتبار المكان) على المقيد (القرية بمعنى من فيها من الأهل) وهذا غير ما ذهب إليه الإمام ابن تيمية من إبقاء القرية على ظاهرها حين يتحدث عنها وقد بالغ في هذا حيث قال</w:t>
      </w:r>
      <w:r w:rsidRPr="00A52585">
        <w:rPr>
          <w:rFonts w:hint="cs"/>
          <w:sz w:val="24"/>
          <w:szCs w:val="24"/>
          <w:rtl/>
        </w:rPr>
        <w:t>:</w:t>
      </w:r>
      <w:r w:rsidR="00777DCB" w:rsidRPr="00A52585">
        <w:rPr>
          <w:rFonts w:hint="cs"/>
          <w:sz w:val="24"/>
          <w:szCs w:val="24"/>
          <w:rtl/>
        </w:rPr>
        <w:t xml:space="preserve"> (ونظير ذلك لفظ الإنسان يتناول الجسد والروح ثم الأحكام تتناول هذا تارة وهذا تارة لتلازمها، فكذلك القرية إذا عذب أهلها خربت وإذا خربت كان عذابا لأهلها فما يصيب أحدهما من الشر ينال الآخر كما ينال الجسد والروح ما يصيب أحدهما) فهل يا ترى يذهب الإمام ابن تيمية إلى القول بأن الخراب الواقع على القرية هو عقاب لها من حيث أنها قرية ومنازل</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المجاز ص 816- 817</w:t>
      </w:r>
      <w:r w:rsidR="00DB731D" w:rsidRPr="00A52585">
        <w:rPr>
          <w:rFonts w:hint="cs"/>
          <w:sz w:val="24"/>
          <w:szCs w:val="24"/>
          <w:rtl/>
        </w:rPr>
        <w:t>،</w:t>
      </w:r>
      <w:r w:rsidR="00777DCB" w:rsidRPr="00A52585">
        <w:rPr>
          <w:rFonts w:hint="cs"/>
          <w:sz w:val="24"/>
          <w:szCs w:val="24"/>
          <w:rtl/>
        </w:rPr>
        <w:t xml:space="preserve"> قلت كان الأولى بابن تيمية في هذا النص أن يقول</w:t>
      </w:r>
      <w:r w:rsidRPr="00A52585">
        <w:rPr>
          <w:rFonts w:hint="cs"/>
          <w:sz w:val="24"/>
          <w:szCs w:val="24"/>
          <w:rtl/>
        </w:rPr>
        <w:t>:</w:t>
      </w:r>
      <w:r w:rsidR="00777DCB" w:rsidRPr="00A52585">
        <w:rPr>
          <w:rFonts w:hint="cs"/>
          <w:sz w:val="24"/>
          <w:szCs w:val="24"/>
          <w:rtl/>
        </w:rPr>
        <w:t xml:space="preserve"> فكذلك القرية إذا عذب أهلها عذبت وإذا خربت خرب جسد كل فرد من أهلها! وقد سبق له في كتاب الإيمان أن قال</w:t>
      </w:r>
      <w:r w:rsidRPr="00A52585">
        <w:rPr>
          <w:rFonts w:hint="cs"/>
          <w:sz w:val="24"/>
          <w:szCs w:val="24"/>
          <w:rtl/>
        </w:rPr>
        <w:t xml:space="preserve">: </w:t>
      </w:r>
      <w:r w:rsidR="00777DCB" w:rsidRPr="00A52585">
        <w:rPr>
          <w:rFonts w:hint="cs"/>
          <w:sz w:val="24"/>
          <w:szCs w:val="24"/>
          <w:rtl/>
        </w:rPr>
        <w:t>" فقيل لهم</w:t>
      </w:r>
      <w:r w:rsidRPr="00A52585">
        <w:rPr>
          <w:rFonts w:hint="cs"/>
          <w:sz w:val="24"/>
          <w:szCs w:val="24"/>
          <w:rtl/>
        </w:rPr>
        <w:t>:</w:t>
      </w:r>
      <w:r w:rsidR="00777DCB" w:rsidRPr="00A52585">
        <w:rPr>
          <w:rFonts w:hint="cs"/>
          <w:sz w:val="24"/>
          <w:szCs w:val="24"/>
          <w:rtl/>
        </w:rPr>
        <w:t xml:space="preserve"> لفظ القرية والمدينة والنهر والميزاب وأمثال هذه الأمور التي فيها الحال وكلاهما داخل في</w:t>
      </w:r>
      <w:r w:rsidRPr="00A52585">
        <w:rPr>
          <w:rFonts w:hint="cs"/>
          <w:sz w:val="24"/>
          <w:szCs w:val="24"/>
          <w:rtl/>
        </w:rPr>
        <w:t xml:space="preserve"> </w:t>
      </w:r>
      <w:r w:rsidR="00777DCB" w:rsidRPr="00A52585">
        <w:rPr>
          <w:rFonts w:hint="cs"/>
          <w:sz w:val="24"/>
          <w:szCs w:val="24"/>
          <w:rtl/>
        </w:rPr>
        <w:t>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w:t>
      </w:r>
      <w:r w:rsidRPr="00A52585">
        <w:rPr>
          <w:rFonts w:hint="cs"/>
          <w:sz w:val="24"/>
          <w:szCs w:val="24"/>
          <w:rtl/>
        </w:rPr>
        <w:t xml:space="preserve"> </w:t>
      </w:r>
      <w:r w:rsidR="00777DCB" w:rsidRPr="00A52585">
        <w:rPr>
          <w:rFonts w:hint="cs"/>
          <w:sz w:val="24"/>
          <w:szCs w:val="24"/>
          <w:rtl/>
        </w:rPr>
        <w:t>أهـ الإيمان 108</w:t>
      </w:r>
      <w:r w:rsidR="00DB731D" w:rsidRPr="00A52585">
        <w:rPr>
          <w:rFonts w:hint="cs"/>
          <w:sz w:val="24"/>
          <w:szCs w:val="24"/>
          <w:rtl/>
        </w:rPr>
        <w:t>،</w:t>
      </w:r>
      <w:r w:rsidR="00777DCB" w:rsidRPr="00A52585">
        <w:rPr>
          <w:rFonts w:hint="cs"/>
          <w:sz w:val="24"/>
          <w:szCs w:val="24"/>
          <w:rtl/>
        </w:rPr>
        <w:t xml:space="preserve">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w:t>
      </w:r>
      <w:proofErr w:type="spellStart"/>
      <w:r w:rsidR="00777DCB" w:rsidRPr="00A52585">
        <w:rPr>
          <w:rFonts w:hint="cs"/>
          <w:sz w:val="24"/>
          <w:szCs w:val="24"/>
          <w:rtl/>
        </w:rPr>
        <w:t>والصارفة</w:t>
      </w:r>
      <w:proofErr w:type="spellEnd"/>
      <w:r w:rsidR="00777DCB" w:rsidRPr="00A52585">
        <w:rPr>
          <w:rFonts w:hint="cs"/>
          <w:sz w:val="24"/>
          <w:szCs w:val="24"/>
          <w:rtl/>
        </w:rPr>
        <w:t xml:space="preserve"> عن المعنى الحقيقي فماذا يبقى لكي يترك صلفه ويقر بالمجاز لفظا ومعنى كباقي الأمة</w:t>
      </w:r>
      <w:r w:rsidR="00F95886" w:rsidRPr="00A52585">
        <w:rPr>
          <w:rFonts w:hint="cs"/>
          <w:sz w:val="24"/>
          <w:szCs w:val="24"/>
          <w:rtl/>
        </w:rPr>
        <w:t>؟</w:t>
      </w:r>
      <w:r w:rsidR="00777DCB" w:rsidRPr="00A52585">
        <w:rPr>
          <w:rFonts w:hint="cs"/>
          <w:sz w:val="24"/>
          <w:szCs w:val="24"/>
          <w:rtl/>
        </w:rPr>
        <w:t xml:space="preserve"> هل لأنه في هذه الحالة لن يبقى له شيئاً يشتهر به ويتميز به ويجمع حوله الدهماء والجهلة أتباع كل ناعق</w:t>
      </w:r>
      <w:r w:rsidR="00F95886" w:rsidRPr="00A52585">
        <w:rPr>
          <w:rFonts w:hint="cs"/>
          <w:sz w:val="24"/>
          <w:szCs w:val="24"/>
          <w:rtl/>
        </w:rPr>
        <w:t>؟</w:t>
      </w:r>
      <w:r w:rsidR="00777DCB" w:rsidRPr="00A52585">
        <w:rPr>
          <w:rFonts w:hint="cs"/>
          <w:sz w:val="24"/>
          <w:szCs w:val="24"/>
          <w:rtl/>
        </w:rPr>
        <w:t xml:space="preserve"> أم أن أغلب العقائد المكفرة التي ناصرها وروجها بناها على إنكار المجاز في اللغة عامة وفي القرآن الكريم خصوصا</w:t>
      </w:r>
      <w:r w:rsidR="00F95886" w:rsidRPr="00A52585">
        <w:rPr>
          <w:rFonts w:hint="cs"/>
          <w:sz w:val="24"/>
          <w:szCs w:val="24"/>
          <w:rtl/>
        </w:rPr>
        <w:t>؟</w:t>
      </w:r>
      <w:r w:rsidR="00777DCB" w:rsidRPr="00A52585">
        <w:rPr>
          <w:rFonts w:hint="cs"/>
          <w:sz w:val="24"/>
          <w:szCs w:val="24"/>
          <w:rtl/>
        </w:rPr>
        <w:t xml:space="preserve"> واتخذ ذلك ستاراً ويحمي به هذه العقائد والأفكار مع أن الأفراد الذين سبقوه إلى إنكار المجاز لم </w:t>
      </w:r>
      <w:proofErr w:type="spellStart"/>
      <w:r w:rsidR="00777DCB" w:rsidRPr="00A52585">
        <w:rPr>
          <w:rFonts w:hint="cs"/>
          <w:sz w:val="24"/>
          <w:szCs w:val="24"/>
          <w:rtl/>
        </w:rPr>
        <w:t>يعتنقوا</w:t>
      </w:r>
      <w:proofErr w:type="spellEnd"/>
      <w:r w:rsidR="00777DCB" w:rsidRPr="00A52585">
        <w:rPr>
          <w:rFonts w:hint="cs"/>
          <w:sz w:val="24"/>
          <w:szCs w:val="24"/>
          <w:rtl/>
        </w:rPr>
        <w:t xml:space="preserve"> هذه العقائد والأفكار ولو تخلى عن إنكاره للمجاز فسينهار بناؤه كله</w:t>
      </w:r>
      <w:r w:rsidRPr="00A52585">
        <w:rPr>
          <w:rFonts w:hint="cs"/>
          <w:sz w:val="24"/>
          <w:szCs w:val="24"/>
          <w:rtl/>
        </w:rPr>
        <w:t xml:space="preserve"> </w:t>
      </w:r>
      <w:r w:rsidR="00777DCB" w:rsidRPr="00A52585">
        <w:rPr>
          <w:rFonts w:hint="cs"/>
          <w:sz w:val="24"/>
          <w:szCs w:val="24"/>
          <w:rtl/>
        </w:rPr>
        <w:t>على رأسه</w:t>
      </w:r>
      <w:r w:rsidR="00F95886" w:rsidRPr="00A52585">
        <w:rPr>
          <w:rFonts w:hint="cs"/>
          <w:sz w:val="24"/>
          <w:szCs w:val="24"/>
          <w:rtl/>
        </w:rPr>
        <w:t>؟</w:t>
      </w:r>
      <w:r w:rsidR="00777DCB" w:rsidRPr="00A52585">
        <w:rPr>
          <w:rFonts w:hint="cs"/>
          <w:sz w:val="24"/>
          <w:szCs w:val="24"/>
          <w:rtl/>
        </w:rPr>
        <w:t>! نعود إلى كلام إمامنا الشافعي يشير بلفظ (السياق) إلى القرينة اللفظية الموجودة في الكلام ثم ذكر رضي الله عنه النوع الآخر للقرينة وهي القرينة الحالية المعنوية فيقول تحت عنوان (الصنف الذي يدل لفظه على باطنه دون ظاهره)</w:t>
      </w:r>
      <w:r w:rsidRPr="00A52585">
        <w:rPr>
          <w:rFonts w:hint="cs"/>
          <w:sz w:val="24"/>
          <w:szCs w:val="24"/>
          <w:rtl/>
        </w:rPr>
        <w:t xml:space="preserve">: </w:t>
      </w:r>
      <w:r w:rsidR="00777DCB" w:rsidRPr="00A52585">
        <w:rPr>
          <w:rFonts w:hint="cs"/>
          <w:sz w:val="24"/>
          <w:szCs w:val="24"/>
          <w:rtl/>
        </w:rPr>
        <w:t xml:space="preserve">" قال الله تبارك وتعالى وهو يحكي قول أخوة يوسف لأبيهم </w:t>
      </w:r>
      <w:r w:rsidRPr="00A52585">
        <w:rPr>
          <w:rFonts w:hint="cs"/>
          <w:sz w:val="24"/>
          <w:szCs w:val="24"/>
          <w:rtl/>
        </w:rPr>
        <w:t>{</w:t>
      </w:r>
      <w:r w:rsidR="00777DCB" w:rsidRPr="00A52585">
        <w:rPr>
          <w:rFonts w:hint="cs"/>
          <w:sz w:val="24"/>
          <w:szCs w:val="24"/>
          <w:rtl/>
        </w:rPr>
        <w:t xml:space="preserve">ما شهدنا إلا بما علمنا وما كنا للغيب حافظين واسأل القرية التي كنا فيها </w:t>
      </w:r>
      <w:r w:rsidR="00777DCB" w:rsidRPr="00A52585">
        <w:rPr>
          <w:rFonts w:hint="cs"/>
          <w:sz w:val="24"/>
          <w:szCs w:val="24"/>
          <w:rtl/>
        </w:rPr>
        <w:lastRenderedPageBreak/>
        <w:t>والعير التي أقبلنا فيها وإنا لصادقون}</w:t>
      </w:r>
      <w:r w:rsidRPr="00A52585">
        <w:rPr>
          <w:rFonts w:hint="cs"/>
          <w:sz w:val="24"/>
          <w:szCs w:val="24"/>
          <w:rtl/>
        </w:rPr>
        <w:t xml:space="preserve"> </w:t>
      </w:r>
      <w:r w:rsidR="00777DCB" w:rsidRPr="00A52585">
        <w:rPr>
          <w:rFonts w:hint="cs"/>
          <w:sz w:val="24"/>
          <w:szCs w:val="24"/>
          <w:rtl/>
        </w:rPr>
        <w:t>(الآيتان 81، 82 من سورة يوسف) فهذه الآية في مثل معنى الآية التي قبلها لا تختلف عند أهل العلم باللسان أنهم إنما يخاطبون أباهم بمساءلة أهل القرية وأهل العير، لأن القرية والعير لا ينبئان عن صدقهم"</w:t>
      </w:r>
      <w:r w:rsidRPr="00A52585">
        <w:rPr>
          <w:rFonts w:hint="cs"/>
          <w:sz w:val="24"/>
          <w:szCs w:val="24"/>
          <w:rtl/>
        </w:rPr>
        <w:t xml:space="preserve"> </w:t>
      </w:r>
      <w:r w:rsidR="00777DCB" w:rsidRPr="00A52585">
        <w:rPr>
          <w:rFonts w:hint="cs"/>
          <w:sz w:val="24"/>
          <w:szCs w:val="24"/>
          <w:rtl/>
        </w:rPr>
        <w:t>الرسالة ص 64</w:t>
      </w:r>
      <w:r w:rsidR="00DB731D" w:rsidRPr="00A52585">
        <w:rPr>
          <w:rFonts w:hint="cs"/>
          <w:sz w:val="24"/>
          <w:szCs w:val="24"/>
          <w:rtl/>
        </w:rPr>
        <w:t>،</w:t>
      </w:r>
      <w:r w:rsidR="00777DCB" w:rsidRPr="00A52585">
        <w:rPr>
          <w:rFonts w:hint="cs"/>
          <w:sz w:val="24"/>
          <w:szCs w:val="24"/>
          <w:rtl/>
        </w:rPr>
        <w:t xml:space="preserve"> والقرينة الحالية المعنوية هنا كما يقول الإمام (لأن القرية والعير لا ينبئان عن صدقهم) </w:t>
      </w:r>
      <w:proofErr w:type="spellStart"/>
      <w:r w:rsidR="00777DCB" w:rsidRPr="00A52585">
        <w:rPr>
          <w:rFonts w:hint="cs"/>
          <w:sz w:val="24"/>
          <w:szCs w:val="24"/>
          <w:rtl/>
        </w:rPr>
        <w:t>فهورضي</w:t>
      </w:r>
      <w:proofErr w:type="spellEnd"/>
      <w:r w:rsidR="00777DCB" w:rsidRPr="00A52585">
        <w:rPr>
          <w:rFonts w:hint="cs"/>
          <w:sz w:val="24"/>
          <w:szCs w:val="24"/>
          <w:rtl/>
        </w:rPr>
        <w:t xml:space="preserve"> الله عنه يؤول لفظ القرية بأهلها ولفظ العير بأهلها أيضاً ولا يبقي اللفظ على ظاهره كما يفعل ابن تيمية</w:t>
      </w:r>
      <w:r w:rsidR="00DB731D" w:rsidRPr="00A52585">
        <w:rPr>
          <w:rFonts w:hint="cs"/>
          <w:sz w:val="24"/>
          <w:szCs w:val="24"/>
          <w:rtl/>
        </w:rPr>
        <w:t>،</w:t>
      </w:r>
      <w:r w:rsidR="00777DCB" w:rsidRPr="00A52585">
        <w:rPr>
          <w:rFonts w:hint="cs"/>
          <w:sz w:val="24"/>
          <w:szCs w:val="24"/>
          <w:rtl/>
        </w:rPr>
        <w:t xml:space="preserve"> ونحن نسأل لو قال قائل (ذهبت إلى قرية كذا) أو (ذهبت إلى العير) بدون أية قرينة أو إضافة أليس المتبادر إلى ذهن السامع أنه ذهب إلى القرية التي هي مكان وأبنية وأن الآخر ذهب إلى العير التي هي الجمال (الحيوانات) المعروفة</w:t>
      </w:r>
      <w:r w:rsidR="00F95886" w:rsidRPr="00A52585">
        <w:rPr>
          <w:rFonts w:hint="cs"/>
          <w:sz w:val="24"/>
          <w:szCs w:val="24"/>
          <w:rtl/>
        </w:rPr>
        <w:t>؟</w:t>
      </w:r>
      <w:r w:rsidR="00777DCB" w:rsidRPr="00A52585">
        <w:rPr>
          <w:rFonts w:hint="cs"/>
          <w:sz w:val="24"/>
          <w:szCs w:val="24"/>
          <w:rtl/>
        </w:rPr>
        <w:t xml:space="preserve"> فكلام إمامنا الشافعي والأمة كلها معه – يبين أن هذا هو المفهوم من اللفظ حيث إنه لا توجد قرينة تنفي هذا المفهوم أما على مذهب ابن تيمية فيجوز أنه ذهب إلى القرية التي هي مكان وأبنية ويجوز أنه ذهب إلى أهلها حتى وإن كانوا خارجها!،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 والمولود سنة مائة وخمسين من الهجرة وأدرك أتباع التابعين كالإمام مالك رضي الله عنه فبينه وبين الصحابة جيلين فقط ونشأ في مكة المكرمة وسط قريش أفصح العرب وتعلم لغة العرب من مصادرها النقية، أقول هل هذا الإمام الفذ لا يعرف أساليب العرب في التعبير ولا يدرك ما اكتشفه أعجوبة زمانه ابن تيمة في المائة الثامنة من أن الألفاظ السابقة ونظائرها حقائق على ظاهرها في جميع الاستعمالات</w:t>
      </w:r>
      <w:r w:rsidR="00F95886" w:rsidRPr="00A52585">
        <w:rPr>
          <w:rFonts w:hint="cs"/>
          <w:sz w:val="24"/>
          <w:szCs w:val="24"/>
          <w:rtl/>
        </w:rPr>
        <w:t>؟</w:t>
      </w:r>
      <w:r w:rsidR="00777DCB" w:rsidRPr="00A52585">
        <w:rPr>
          <w:rFonts w:hint="cs"/>
          <w:sz w:val="24"/>
          <w:szCs w:val="24"/>
          <w:rtl/>
        </w:rPr>
        <w:t xml:space="preserve">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 بل هو كذلك بالفعل فلم يكن الشافعي رضي الله عنه معبراً عن رأيه هو بل عن فكر الأمة كلها فهل كل هؤلاء أخطأوا ونقلوا لنا العربية بصورة غير صحيحة</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bCs/>
          <w:sz w:val="24"/>
          <w:szCs w:val="24"/>
          <w:rtl/>
        </w:rPr>
        <w:t>[</w:t>
      </w:r>
      <w:r w:rsidRPr="00A52585">
        <w:rPr>
          <w:rFonts w:hint="cs"/>
          <w:bCs/>
          <w:sz w:val="24"/>
          <w:szCs w:val="24"/>
          <w:rtl/>
        </w:rPr>
        <w:t>[</w:t>
      </w:r>
      <w:r w:rsidR="00777DCB" w:rsidRPr="00A52585">
        <w:rPr>
          <w:rFonts w:hint="cs"/>
          <w:bCs/>
          <w:sz w:val="24"/>
          <w:szCs w:val="24"/>
          <w:rtl/>
        </w:rPr>
        <w:t>بواعث ابن تيمية لإنكار المجاز</w:t>
      </w:r>
      <w:r w:rsidRPr="00A52585">
        <w:rPr>
          <w:rFonts w:hint="cs"/>
          <w:bCs/>
          <w:sz w:val="24"/>
          <w:szCs w:val="24"/>
          <w:rtl/>
        </w:rPr>
        <w:t>]</w:t>
      </w:r>
      <w:r w:rsidR="00777DCB" w:rsidRPr="00A52585">
        <w:rPr>
          <w:rFonts w:hint="cs"/>
          <w:bCs/>
          <w:sz w:val="24"/>
          <w:szCs w:val="24"/>
          <w:rtl/>
        </w:rPr>
        <w:t>]</w:t>
      </w:r>
      <w:r w:rsidRPr="00A52585">
        <w:rPr>
          <w:rFonts w:hint="cs"/>
          <w:bCs/>
          <w:sz w:val="24"/>
          <w:szCs w:val="24"/>
          <w:rtl/>
        </w:rPr>
        <w:t>:</w:t>
      </w:r>
      <w:r w:rsidR="00777DCB" w:rsidRPr="00A52585">
        <w:rPr>
          <w:rFonts w:hint="cs"/>
          <w:bCs/>
          <w:sz w:val="24"/>
          <w:szCs w:val="24"/>
          <w:rtl/>
        </w:rPr>
        <w:t xml:space="preserve"> </w:t>
      </w:r>
      <w:r w:rsidRPr="00A52585">
        <w:rPr>
          <w:rFonts w:hint="cs"/>
          <w:bCs/>
          <w:sz w:val="24"/>
          <w:szCs w:val="24"/>
          <w:rtl/>
        </w:rPr>
        <w:t>(</w:t>
      </w:r>
      <w:r w:rsidR="00777DCB" w:rsidRPr="00A52585">
        <w:rPr>
          <w:rFonts w:hint="cs"/>
          <w:bCs/>
          <w:sz w:val="24"/>
          <w:szCs w:val="24"/>
          <w:rtl/>
        </w:rPr>
        <w:t>أولاً</w:t>
      </w:r>
      <w:r w:rsidRPr="00A52585">
        <w:rPr>
          <w:rFonts w:hint="cs"/>
          <w:bCs/>
          <w:sz w:val="24"/>
          <w:szCs w:val="24"/>
          <w:rtl/>
        </w:rPr>
        <w:t>)</w:t>
      </w:r>
      <w:r w:rsidR="00777DCB" w:rsidRPr="00A52585">
        <w:rPr>
          <w:rFonts w:hint="cs"/>
          <w:bCs/>
          <w:sz w:val="24"/>
          <w:szCs w:val="24"/>
          <w:rtl/>
        </w:rPr>
        <w:t xml:space="preserve"> مناصرته لعقيدة التجسيم تعالى الله عما يقول</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فهو بإنكاره المجاز يريد أن يقول</w:t>
      </w:r>
      <w:r w:rsidRPr="00A52585">
        <w:rPr>
          <w:rFonts w:hint="cs"/>
          <w:sz w:val="24"/>
          <w:szCs w:val="24"/>
          <w:rtl/>
        </w:rPr>
        <w:t>:</w:t>
      </w:r>
      <w:r w:rsidR="00777DCB" w:rsidRPr="00A52585">
        <w:rPr>
          <w:rFonts w:hint="cs"/>
          <w:sz w:val="24"/>
          <w:szCs w:val="24"/>
          <w:rtl/>
        </w:rPr>
        <w:t xml:space="preserve"> إنه لا يقصد التجسيم ولا يريده ولكن ما حيلته والنصوص تفيد ذلك</w:t>
      </w:r>
      <w:r w:rsidR="00F95886" w:rsidRPr="00A52585">
        <w:rPr>
          <w:rFonts w:hint="cs"/>
          <w:sz w:val="24"/>
          <w:szCs w:val="24"/>
          <w:rtl/>
        </w:rPr>
        <w:t>؟</w:t>
      </w:r>
      <w:r w:rsidR="00777DCB" w:rsidRPr="00A52585">
        <w:rPr>
          <w:rFonts w:hint="cs"/>
          <w:sz w:val="24"/>
          <w:szCs w:val="24"/>
          <w:rtl/>
        </w:rPr>
        <w:t xml:space="preserve"> ثم يخرج من ذلك إلى أن جمهور الأمة المنزهين لله سبحانه ملاحدة أتباع ابن سينا وأرسطو ولا يؤمنون بالقرآن ولا بالسنة</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ثانياً</w:t>
      </w:r>
      <w:r w:rsidRPr="00A52585">
        <w:rPr>
          <w:rFonts w:hint="cs"/>
          <w:bCs/>
          <w:sz w:val="24"/>
          <w:szCs w:val="24"/>
          <w:rtl/>
        </w:rPr>
        <w:t>):</w:t>
      </w:r>
      <w:r w:rsidR="00777DCB" w:rsidRPr="00A52585">
        <w:rPr>
          <w:rFonts w:hint="cs"/>
          <w:bCs/>
          <w:sz w:val="24"/>
          <w:szCs w:val="24"/>
          <w:rtl/>
        </w:rPr>
        <w:t xml:space="preserve"> زعمه قيام الحوادث بالذات الإلهية المقدسة تعالى الله عما يقول</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وهذا كسابقه فهو ينكر المجاز المفضي إلى صحة التأويل الذي ينزه الله عن النقص</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ثالثاً</w:t>
      </w:r>
      <w:r w:rsidRPr="00A52585">
        <w:rPr>
          <w:rFonts w:hint="cs"/>
          <w:bCs/>
          <w:sz w:val="24"/>
          <w:szCs w:val="24"/>
          <w:rtl/>
        </w:rPr>
        <w:t>):</w:t>
      </w:r>
      <w:r w:rsidR="00777DCB" w:rsidRPr="00A52585">
        <w:rPr>
          <w:rFonts w:hint="cs"/>
          <w:bCs/>
          <w:sz w:val="24"/>
          <w:szCs w:val="24"/>
          <w:rtl/>
        </w:rPr>
        <w:t xml:space="preserve"> زعمه القدم النوعي للعالم</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فبإنكاره المجاز يصوِّر جمهور الأمة المنكرين لعقيدة قدم العالم بأنهم ينكرون أن الله خالقٌ</w:t>
      </w:r>
      <w:r w:rsidR="00F95886" w:rsidRPr="00A52585">
        <w:rPr>
          <w:rFonts w:hint="cs"/>
          <w:sz w:val="24"/>
          <w:szCs w:val="24"/>
          <w:rtl/>
        </w:rPr>
        <w:t>!</w:t>
      </w:r>
      <w:r w:rsidR="00777DCB" w:rsidRPr="00A52585">
        <w:rPr>
          <w:rFonts w:hint="cs"/>
          <w:sz w:val="24"/>
          <w:szCs w:val="24"/>
          <w:rtl/>
        </w:rPr>
        <w:t xml:space="preserve"> وقد سبق تفصيل ذلك</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رابعاً</w:t>
      </w:r>
      <w:r w:rsidRPr="00A52585">
        <w:rPr>
          <w:rFonts w:hint="cs"/>
          <w:bCs/>
          <w:sz w:val="24"/>
          <w:szCs w:val="24"/>
          <w:rtl/>
        </w:rPr>
        <w:t>):</w:t>
      </w:r>
      <w:r w:rsidR="00777DCB" w:rsidRPr="00A52585">
        <w:rPr>
          <w:rFonts w:hint="cs"/>
          <w:bCs/>
          <w:sz w:val="24"/>
          <w:szCs w:val="24"/>
          <w:rtl/>
        </w:rPr>
        <w:t xml:space="preserve"> تفرقته بين حياة الرسول صلى الله عليه وسلم ووفاته في صحة التوسل به</w:t>
      </w:r>
      <w:r w:rsidRPr="00A52585">
        <w:rPr>
          <w:rFonts w:hint="cs"/>
          <w:bCs/>
          <w:sz w:val="24"/>
          <w:szCs w:val="24"/>
          <w:rtl/>
        </w:rPr>
        <w:t>:</w:t>
      </w:r>
      <w:r w:rsidR="00777DCB" w:rsidRPr="00A52585">
        <w:rPr>
          <w:rFonts w:hint="cs"/>
          <w:sz w:val="24"/>
          <w:szCs w:val="24"/>
          <w:rtl/>
        </w:rPr>
        <w:t xml:space="preserve"> كما سبق في (قدم العالم) فإن اشتقاق الأسماء من الصفات التي ستوجد في المستقبل أو تحققت في الماضي – كوصفه صلى الله عليه وسلم بـ (الرسول) – يكون على صورة المجاز</w:t>
      </w:r>
      <w:r w:rsidR="00DB731D" w:rsidRPr="00A52585">
        <w:rPr>
          <w:rFonts w:hint="cs"/>
          <w:sz w:val="24"/>
          <w:szCs w:val="24"/>
          <w:rtl/>
        </w:rPr>
        <w:t>،</w:t>
      </w:r>
      <w:r w:rsidR="00777DCB" w:rsidRPr="00A52585">
        <w:rPr>
          <w:rFonts w:hint="cs"/>
          <w:sz w:val="24"/>
          <w:szCs w:val="24"/>
          <w:rtl/>
        </w:rPr>
        <w:t xml:space="preserve"> فابن تيمية بنفيه المجاز ينفي </w:t>
      </w:r>
      <w:proofErr w:type="spellStart"/>
      <w:r w:rsidR="00777DCB" w:rsidRPr="00A52585">
        <w:rPr>
          <w:rFonts w:hint="cs"/>
          <w:sz w:val="24"/>
          <w:szCs w:val="24"/>
          <w:rtl/>
        </w:rPr>
        <w:t>رسالتهصلى</w:t>
      </w:r>
      <w:proofErr w:type="spellEnd"/>
      <w:r w:rsidR="00777DCB" w:rsidRPr="00A52585">
        <w:rPr>
          <w:rFonts w:hint="cs"/>
          <w:sz w:val="24"/>
          <w:szCs w:val="24"/>
          <w:rtl/>
        </w:rPr>
        <w:t xml:space="preserve">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خامساً</w:t>
      </w:r>
      <w:r w:rsidRPr="00A52585">
        <w:rPr>
          <w:rFonts w:hint="cs"/>
          <w:bCs/>
          <w:sz w:val="24"/>
          <w:szCs w:val="24"/>
          <w:rtl/>
        </w:rPr>
        <w:t>):</w:t>
      </w:r>
      <w:r w:rsidR="00777DCB" w:rsidRPr="00A52585">
        <w:rPr>
          <w:rFonts w:hint="cs"/>
          <w:bCs/>
          <w:sz w:val="24"/>
          <w:szCs w:val="24"/>
          <w:rtl/>
        </w:rPr>
        <w:t xml:space="preserve"> إنكاره عصمة الأنبياء</w:t>
      </w:r>
      <w:r w:rsidRPr="00A52585">
        <w:rPr>
          <w:rFonts w:hint="cs"/>
          <w:bCs/>
          <w:sz w:val="24"/>
          <w:szCs w:val="24"/>
          <w:rtl/>
        </w:rPr>
        <w:t>:</w:t>
      </w:r>
      <w:r w:rsidR="00777DCB" w:rsidRPr="00A52585">
        <w:rPr>
          <w:rFonts w:hint="cs"/>
          <w:sz w:val="24"/>
          <w:szCs w:val="24"/>
          <w:rtl/>
        </w:rPr>
        <w:t xml:space="preserve">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w:t>
      </w:r>
      <w:r w:rsidRPr="00A52585">
        <w:rPr>
          <w:rFonts w:hint="cs"/>
          <w:sz w:val="24"/>
          <w:szCs w:val="24"/>
          <w:rtl/>
        </w:rPr>
        <w:t xml:space="preserve"> </w:t>
      </w:r>
      <w:r w:rsidR="00777DCB" w:rsidRPr="00A52585">
        <w:rPr>
          <w:rFonts w:hint="cs"/>
          <w:sz w:val="24"/>
          <w:szCs w:val="24"/>
          <w:rtl/>
        </w:rPr>
        <w:t xml:space="preserve">الذي طعن فيه </w:t>
      </w:r>
      <w:proofErr w:type="spellStart"/>
      <w:r w:rsidR="00777DCB" w:rsidRPr="00A52585">
        <w:rPr>
          <w:rFonts w:hint="cs"/>
          <w:sz w:val="24"/>
          <w:szCs w:val="24"/>
          <w:rtl/>
        </w:rPr>
        <w:t>محققوا</w:t>
      </w:r>
      <w:proofErr w:type="spellEnd"/>
      <w:r w:rsidR="00777DCB" w:rsidRPr="00A52585">
        <w:rPr>
          <w:rFonts w:hint="cs"/>
          <w:sz w:val="24"/>
          <w:szCs w:val="24"/>
          <w:rtl/>
        </w:rPr>
        <w:t xml:space="preserve"> العلماء- زاعما أنه منقول نقلا ثابتاً لا يمكن القدح </w:t>
      </w:r>
      <w:r w:rsidR="00777DCB" w:rsidRPr="00A52585">
        <w:rPr>
          <w:rFonts w:hint="cs"/>
          <w:sz w:val="24"/>
          <w:szCs w:val="24"/>
          <w:rtl/>
        </w:rPr>
        <w:lastRenderedPageBreak/>
        <w:t>فيه</w:t>
      </w:r>
      <w:r w:rsidR="00DB731D" w:rsidRPr="00A52585">
        <w:rPr>
          <w:rFonts w:hint="cs"/>
          <w:sz w:val="24"/>
          <w:szCs w:val="24"/>
          <w:rtl/>
        </w:rPr>
        <w:t>،</w:t>
      </w:r>
      <w:r w:rsidR="00777DCB" w:rsidRPr="00A52585">
        <w:rPr>
          <w:rFonts w:hint="cs"/>
          <w:sz w:val="24"/>
          <w:szCs w:val="24"/>
          <w:rtl/>
        </w:rPr>
        <w:t xml:space="preserve"> لذا عارض ابن تيمية بشدة واستنكار وحدّة كل تأويل للنصوص التي يفيد ظاهرها وقوع الذنب أو الخطيئة من الأنبياء عليهم السلام قال ابن تيمية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مواضعه</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إلخ انظر مجموع الفتاوى 2/284 وانظر الباب الثالث من كتاب (ابن تيمية ليس سلفيا)</w:t>
      </w:r>
      <w:r w:rsidR="00DB731D" w:rsidRPr="00A52585">
        <w:rPr>
          <w:rFonts w:hint="cs"/>
          <w:sz w:val="24"/>
          <w:szCs w:val="24"/>
          <w:rtl/>
        </w:rPr>
        <w:t>،</w:t>
      </w:r>
      <w:r w:rsidR="00777DCB" w:rsidRPr="00A52585">
        <w:rPr>
          <w:rFonts w:hint="cs"/>
          <w:sz w:val="24"/>
          <w:szCs w:val="24"/>
          <w:rtl/>
        </w:rPr>
        <w:t xml:space="preserve">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وتعالى</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هل كان ابن تيمية يعتقد صحة كلامه في بطلان المجاز</w:t>
      </w:r>
      <w:r w:rsidR="00F95886" w:rsidRPr="00A52585">
        <w:rPr>
          <w:rFonts w:hint="cs"/>
          <w:bCs/>
          <w:sz w:val="24"/>
          <w:szCs w:val="24"/>
          <w:rtl/>
        </w:rPr>
        <w:t>؟</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يلاحظ أن ابن تيمية مر بثلاث فترات كان له فيها موقف مختلف في موضوع المجاز</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الفترة الأولى</w:t>
      </w:r>
      <w:r w:rsidRPr="00A52585">
        <w:rPr>
          <w:rFonts w:hint="cs"/>
          <w:bCs/>
          <w:sz w:val="24"/>
          <w:szCs w:val="24"/>
          <w:rtl/>
        </w:rPr>
        <w:t>:</w:t>
      </w:r>
      <w:r w:rsidR="00777DCB" w:rsidRPr="00A52585">
        <w:rPr>
          <w:rFonts w:hint="cs"/>
          <w:bCs/>
          <w:sz w:val="24"/>
          <w:szCs w:val="24"/>
          <w:rtl/>
        </w:rPr>
        <w:t xml:space="preserve"> في نشأة حياته العلمية</w:t>
      </w:r>
      <w:r w:rsidRPr="00A52585">
        <w:rPr>
          <w:rFonts w:hint="cs"/>
          <w:bCs/>
          <w:sz w:val="24"/>
          <w:szCs w:val="24"/>
          <w:rtl/>
        </w:rPr>
        <w:t>:</w:t>
      </w:r>
      <w:r w:rsidR="00777DCB" w:rsidRPr="00A52585">
        <w:rPr>
          <w:rFonts w:hint="cs"/>
          <w:sz w:val="24"/>
          <w:szCs w:val="24"/>
          <w:rtl/>
        </w:rPr>
        <w:t xml:space="preserve"> وألف فيها (رفع الملام عن الأئمة الأعلام) الذي أطراه وأثنى عليه كمال الدين بن </w:t>
      </w:r>
      <w:proofErr w:type="spellStart"/>
      <w:r w:rsidR="00777DCB" w:rsidRPr="00A52585">
        <w:rPr>
          <w:rFonts w:hint="cs"/>
          <w:sz w:val="24"/>
          <w:szCs w:val="24"/>
          <w:rtl/>
        </w:rPr>
        <w:t>الزملكاني</w:t>
      </w:r>
      <w:proofErr w:type="spellEnd"/>
      <w:r w:rsidR="00777DCB" w:rsidRPr="00A52585">
        <w:rPr>
          <w:rFonts w:hint="cs"/>
          <w:sz w:val="24"/>
          <w:szCs w:val="24"/>
          <w:rtl/>
        </w:rPr>
        <w:t xml:space="preserve">، واستخدم المجاز في الدفاع عن أئمة المذاهب في موضعين أشار إليهما د </w:t>
      </w:r>
      <w:proofErr w:type="spellStart"/>
      <w:r w:rsidR="00777DCB" w:rsidRPr="00A52585">
        <w:rPr>
          <w:rFonts w:hint="cs"/>
          <w:sz w:val="24"/>
          <w:szCs w:val="24"/>
          <w:rtl/>
        </w:rPr>
        <w:t>المطعني</w:t>
      </w:r>
      <w:proofErr w:type="spellEnd"/>
      <w:r w:rsidR="00777DCB" w:rsidRPr="00A52585">
        <w:rPr>
          <w:rFonts w:hint="cs"/>
          <w:sz w:val="24"/>
          <w:szCs w:val="24"/>
          <w:rtl/>
        </w:rPr>
        <w:t>،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الفترة الثانية</w:t>
      </w:r>
      <w:r w:rsidRPr="00A52585">
        <w:rPr>
          <w:rFonts w:hint="cs"/>
          <w:bCs/>
          <w:sz w:val="24"/>
          <w:szCs w:val="24"/>
          <w:rtl/>
        </w:rPr>
        <w:t>:</w:t>
      </w:r>
      <w:r w:rsidR="00777DCB" w:rsidRPr="00A52585">
        <w:rPr>
          <w:rFonts w:hint="cs"/>
          <w:bCs/>
          <w:sz w:val="24"/>
          <w:szCs w:val="24"/>
          <w:rtl/>
        </w:rPr>
        <w:t xml:space="preserve"> وهي التي بدأ فيها </w:t>
      </w:r>
      <w:proofErr w:type="spellStart"/>
      <w:r w:rsidR="00777DCB" w:rsidRPr="00A52585">
        <w:rPr>
          <w:rFonts w:hint="cs"/>
          <w:bCs/>
          <w:sz w:val="24"/>
          <w:szCs w:val="24"/>
          <w:rtl/>
        </w:rPr>
        <w:t>مشاغباته</w:t>
      </w:r>
      <w:proofErr w:type="spellEnd"/>
      <w:r w:rsidR="00777DCB" w:rsidRPr="00A52585">
        <w:rPr>
          <w:rFonts w:hint="cs"/>
          <w:bCs/>
          <w:sz w:val="24"/>
          <w:szCs w:val="24"/>
          <w:rtl/>
        </w:rPr>
        <w:t xml:space="preserve"> في موضوعات العقيدة،</w:t>
      </w:r>
      <w:r w:rsidR="00777DCB" w:rsidRPr="00A52585">
        <w:rPr>
          <w:rFonts w:hint="cs"/>
          <w:sz w:val="24"/>
          <w:szCs w:val="24"/>
          <w:rtl/>
        </w:rPr>
        <w:t xml:space="preserve">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الفترة الثالثة</w:t>
      </w:r>
      <w:r w:rsidRPr="00A52585">
        <w:rPr>
          <w:rFonts w:hint="cs"/>
          <w:bCs/>
          <w:sz w:val="24"/>
          <w:szCs w:val="24"/>
          <w:rtl/>
        </w:rPr>
        <w:t>:</w:t>
      </w:r>
      <w:r w:rsidR="00777DCB" w:rsidRPr="00A52585">
        <w:rPr>
          <w:rFonts w:hint="cs"/>
          <w:sz w:val="24"/>
          <w:szCs w:val="24"/>
          <w:rtl/>
        </w:rPr>
        <w:t xml:space="preserve">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 (الإيمان) و (الفتاوى) 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أفكاراً أخرى تحتاج جزماً إلى التأويل فيجنح إلى المجاز فهما قد جحدا بالمجاز، واستيقنت صحته نفساهما</w:t>
      </w:r>
      <w:r w:rsidR="00DB731D" w:rsidRPr="00A52585">
        <w:rPr>
          <w:rFonts w:hint="cs"/>
          <w:sz w:val="24"/>
          <w:szCs w:val="24"/>
          <w:rtl/>
        </w:rPr>
        <w:t>،</w:t>
      </w:r>
      <w:r w:rsidR="00777DCB" w:rsidRPr="00A52585">
        <w:rPr>
          <w:rFonts w:hint="cs"/>
          <w:sz w:val="24"/>
          <w:szCs w:val="24"/>
          <w:rtl/>
        </w:rPr>
        <w:t xml:space="preserve">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w:t>
      </w:r>
      <w:r w:rsidR="00DB731D" w:rsidRPr="00A52585">
        <w:rPr>
          <w:rFonts w:hint="cs"/>
          <w:sz w:val="24"/>
          <w:szCs w:val="24"/>
          <w:rtl/>
        </w:rPr>
        <w:t>،</w:t>
      </w:r>
      <w:r w:rsidR="00777DCB" w:rsidRPr="00A52585">
        <w:rPr>
          <w:rFonts w:hint="cs"/>
          <w:sz w:val="24"/>
          <w:szCs w:val="24"/>
          <w:rtl/>
        </w:rPr>
        <w:t xml:space="preserve"> أورد الدكتور </w:t>
      </w:r>
      <w:proofErr w:type="spellStart"/>
      <w:r w:rsidR="00777DCB" w:rsidRPr="00A52585">
        <w:rPr>
          <w:rFonts w:hint="cs"/>
          <w:sz w:val="24"/>
          <w:szCs w:val="24"/>
          <w:rtl/>
        </w:rPr>
        <w:t>المطعني</w:t>
      </w:r>
      <w:proofErr w:type="spellEnd"/>
      <w:r w:rsidR="00777DCB" w:rsidRPr="00A52585">
        <w:rPr>
          <w:rFonts w:hint="cs"/>
          <w:sz w:val="24"/>
          <w:szCs w:val="24"/>
          <w:rtl/>
        </w:rPr>
        <w:t xml:space="preserve"> في كتابه تحت عنوان</w:t>
      </w:r>
      <w:r w:rsidRPr="00A52585">
        <w:rPr>
          <w:rFonts w:hint="cs"/>
          <w:sz w:val="24"/>
          <w:szCs w:val="24"/>
          <w:rtl/>
        </w:rPr>
        <w:t>:</w:t>
      </w:r>
      <w:r w:rsidR="00777DCB" w:rsidRPr="00A52585">
        <w:rPr>
          <w:rFonts w:hint="cs"/>
          <w:sz w:val="24"/>
          <w:szCs w:val="24"/>
          <w:rtl/>
        </w:rPr>
        <w:t xml:space="preserve"> (التأويل المجازي في أعمال ابن تيمية) حوالي سبعة عشر مثالا تغطى كل أنواع المجاز ومنها خمسة نماذج في صفات الله عز وجل منها تأويل (الرؤية والسمع) انظر ص 834</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ثم ذكر ورود المجاز صريحاً في أعمال ابن تيمية فأورد عشرة أمثلة ذكر فيها المجاز نصا واعترف به</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bCs/>
          <w:sz w:val="24"/>
          <w:szCs w:val="24"/>
          <w:rtl/>
        </w:rPr>
        <w:t>إذا كان كذلك فمن هو سلف ابن تيمية في إنكار المجاز</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لا يقال إن سلفه في ذلك هو داود الظاهري أو غيره من علماء الأمة الذين لم يقصدوا سوى تحرير المسائل اللغوية أو الشرعية ولم </w:t>
      </w:r>
      <w:proofErr w:type="spellStart"/>
      <w:r w:rsidR="00777DCB" w:rsidRPr="00A52585">
        <w:rPr>
          <w:rFonts w:hint="cs"/>
          <w:sz w:val="24"/>
          <w:szCs w:val="24"/>
          <w:rtl/>
        </w:rPr>
        <w:t>يعتنقوا</w:t>
      </w:r>
      <w:proofErr w:type="spellEnd"/>
      <w:r w:rsidR="00777DCB" w:rsidRPr="00A52585">
        <w:rPr>
          <w:rFonts w:hint="cs"/>
          <w:sz w:val="24"/>
          <w:szCs w:val="24"/>
          <w:rtl/>
        </w:rPr>
        <w:t xml:space="preserve"> عقائد وأراء رتبت سلفا وأحضر لها إنكار المجاز كغطاء فقط بل من سبق إلى هذا السلوك المشين هم اليهود فهم الذين فسروا نصوص التوراة من قبل تحريفها على ظواهرها </w:t>
      </w:r>
      <w:r w:rsidR="00777DCB" w:rsidRPr="00A52585">
        <w:rPr>
          <w:rFonts w:hint="cs"/>
          <w:sz w:val="24"/>
          <w:szCs w:val="24"/>
          <w:rtl/>
        </w:rPr>
        <w:lastRenderedPageBreak/>
        <w:t>جنوحا إلى نسبة النقائص إلى الذات الإلهية المقدسة، بل وحاولوا ذلك في آيات القرآن الكريم على عهد النبي صلى الله عليه وسلم</w:t>
      </w:r>
      <w:r w:rsidR="00DB731D" w:rsidRPr="00A52585">
        <w:rPr>
          <w:rFonts w:hint="cs"/>
          <w:sz w:val="24"/>
          <w:szCs w:val="24"/>
          <w:rtl/>
        </w:rPr>
        <w:t>،</w:t>
      </w:r>
      <w:r w:rsidR="00777DCB" w:rsidRPr="00A52585">
        <w:rPr>
          <w:rFonts w:hint="cs"/>
          <w:sz w:val="24"/>
          <w:szCs w:val="24"/>
          <w:rtl/>
        </w:rPr>
        <w:t xml:space="preserve"> لما نزلت الآية الكريمة</w:t>
      </w:r>
      <w:r w:rsidRPr="00A52585">
        <w:rPr>
          <w:rFonts w:hint="cs"/>
          <w:sz w:val="24"/>
          <w:szCs w:val="24"/>
          <w:rtl/>
        </w:rPr>
        <w:t xml:space="preserve"> {</w:t>
      </w:r>
      <w:r w:rsidR="00777DCB" w:rsidRPr="00A52585">
        <w:rPr>
          <w:rFonts w:hint="cs"/>
          <w:sz w:val="24"/>
          <w:szCs w:val="24"/>
          <w:rtl/>
        </w:rPr>
        <w:t>من ذا الذي يقرض الله قرضا حسنا فيضاعفه له أضعافاً كثيرة والله يقبض ويبسط وإليه ترجعون</w:t>
      </w:r>
      <w:r w:rsidRPr="00A52585">
        <w:rPr>
          <w:rFonts w:hint="cs"/>
          <w:sz w:val="24"/>
          <w:szCs w:val="24"/>
          <w:rtl/>
        </w:rPr>
        <w:t>}}</w:t>
      </w:r>
      <w:r w:rsidR="00777DCB" w:rsidRPr="00A52585">
        <w:rPr>
          <w:rFonts w:hint="cs"/>
          <w:sz w:val="24"/>
          <w:szCs w:val="24"/>
          <w:rtl/>
        </w:rPr>
        <w:t xml:space="preserve"> الآية 255 من سورة البقرة </w:t>
      </w:r>
      <w:r w:rsidRPr="00A52585">
        <w:rPr>
          <w:rFonts w:hint="cs"/>
          <w:sz w:val="24"/>
          <w:szCs w:val="24"/>
          <w:rtl/>
        </w:rPr>
        <w:t>{</w:t>
      </w:r>
      <w:r w:rsidR="00777DCB" w:rsidRPr="00A52585">
        <w:rPr>
          <w:rFonts w:hint="cs"/>
          <w:sz w:val="24"/>
          <w:szCs w:val="24"/>
          <w:rtl/>
        </w:rPr>
        <w:t>ذهب سيدنا أبو بكر إلى فنحاص وهو من كبار أحبار اليهود فدعاه للإيمان وقال</w:t>
      </w:r>
      <w:r w:rsidRPr="00A52585">
        <w:rPr>
          <w:rFonts w:hint="cs"/>
          <w:sz w:val="24"/>
          <w:szCs w:val="24"/>
          <w:rtl/>
        </w:rPr>
        <w:t xml:space="preserve"> </w:t>
      </w:r>
      <w:r w:rsidR="00777DCB" w:rsidRPr="00A52585">
        <w:rPr>
          <w:rFonts w:hint="cs"/>
          <w:sz w:val="24"/>
          <w:szCs w:val="24"/>
          <w:rtl/>
        </w:rPr>
        <w:t>" اتق الله وآمن وصدق وأقرض الله قرضا حسنا "</w:t>
      </w:r>
      <w:r w:rsidRPr="00A52585">
        <w:rPr>
          <w:rFonts w:hint="cs"/>
          <w:sz w:val="24"/>
          <w:szCs w:val="24"/>
          <w:rtl/>
        </w:rPr>
        <w:t xml:space="preserve"> </w:t>
      </w:r>
      <w:r w:rsidR="00777DCB" w:rsidRPr="00A52585">
        <w:rPr>
          <w:rFonts w:hint="cs"/>
          <w:sz w:val="24"/>
          <w:szCs w:val="24"/>
          <w:rtl/>
        </w:rPr>
        <w:t>فقال فنحاص</w:t>
      </w:r>
      <w:r w:rsidRPr="00A52585">
        <w:rPr>
          <w:rFonts w:hint="cs"/>
          <w:sz w:val="24"/>
          <w:szCs w:val="24"/>
          <w:rtl/>
        </w:rPr>
        <w:t xml:space="preserve"> </w:t>
      </w:r>
      <w:r w:rsidR="00777DCB" w:rsidRPr="00A52585">
        <w:rPr>
          <w:rFonts w:hint="cs"/>
          <w:sz w:val="24"/>
          <w:szCs w:val="24"/>
          <w:rtl/>
        </w:rPr>
        <w:t xml:space="preserve">" يا أبا بكر تزعم أن ربنا فقير </w:t>
      </w:r>
      <w:proofErr w:type="spellStart"/>
      <w:r w:rsidR="00777DCB" w:rsidRPr="00A52585">
        <w:rPr>
          <w:rFonts w:hint="cs"/>
          <w:sz w:val="24"/>
          <w:szCs w:val="24"/>
          <w:rtl/>
        </w:rPr>
        <w:t>يستقرضنا</w:t>
      </w:r>
      <w:proofErr w:type="spellEnd"/>
      <w:r w:rsidR="00777DCB" w:rsidRPr="00A52585">
        <w:rPr>
          <w:rFonts w:hint="cs"/>
          <w:sz w:val="24"/>
          <w:szCs w:val="24"/>
          <w:rtl/>
        </w:rPr>
        <w:t xml:space="preserve"> أموالنا وما يستقرض إلا الفقير من الغنيّ إن كان ما تقول حقا فإن الله إذا فقير "</w:t>
      </w:r>
      <w:r w:rsidRPr="00A52585">
        <w:rPr>
          <w:rFonts w:hint="cs"/>
          <w:sz w:val="24"/>
          <w:szCs w:val="24"/>
          <w:rtl/>
        </w:rPr>
        <w:t xml:space="preserve"> </w:t>
      </w:r>
      <w:r w:rsidR="00777DCB" w:rsidRPr="00A52585">
        <w:rPr>
          <w:rFonts w:hint="cs"/>
          <w:sz w:val="24"/>
          <w:szCs w:val="24"/>
          <w:rtl/>
        </w:rPr>
        <w:t xml:space="preserve">فأنزل الله تعالى </w:t>
      </w:r>
      <w:r w:rsidRPr="00A52585">
        <w:rPr>
          <w:rFonts w:hint="cs"/>
          <w:sz w:val="24"/>
          <w:szCs w:val="24"/>
          <w:rtl/>
        </w:rPr>
        <w:t>{</w:t>
      </w:r>
      <w:r w:rsidR="00777DCB" w:rsidRPr="00A52585">
        <w:rPr>
          <w:rFonts w:hint="cs"/>
          <w:sz w:val="24"/>
          <w:szCs w:val="24"/>
          <w:rtl/>
        </w:rPr>
        <w:t>لقد سمع الله قول الذين قالوا إن الله فقير ونحن أغنياء</w:t>
      </w:r>
      <w:r w:rsidR="00DB731D"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سكنتب</w:t>
      </w:r>
      <w:proofErr w:type="spellEnd"/>
      <w:r w:rsidR="00777DCB" w:rsidRPr="00A52585">
        <w:rPr>
          <w:rFonts w:hint="cs"/>
          <w:sz w:val="24"/>
          <w:szCs w:val="24"/>
          <w:rtl/>
        </w:rPr>
        <w:t xml:space="preserve"> ما قالوا</w:t>
      </w:r>
      <w:r w:rsidRPr="00A52585">
        <w:rPr>
          <w:rFonts w:hint="cs"/>
          <w:sz w:val="24"/>
          <w:szCs w:val="24"/>
          <w:rtl/>
        </w:rPr>
        <w:t>}</w:t>
      </w:r>
      <w:r w:rsidR="00777DCB" w:rsidRPr="00A52585">
        <w:rPr>
          <w:rFonts w:hint="cs"/>
          <w:sz w:val="24"/>
          <w:szCs w:val="24"/>
          <w:rtl/>
        </w:rPr>
        <w:t xml:space="preserve"> إلى آخر الآية 181 من سورة آل عمران، روى ابن جرير الطبري هذا الخبر من طرق عند تفسيره للآية 181 من سورة آل عمران وكذا غيره فهو ثابت بمجموع طرقه</w:t>
      </w:r>
      <w:r w:rsidR="00DB731D" w:rsidRPr="00A52585">
        <w:rPr>
          <w:rFonts w:hint="cs"/>
          <w:sz w:val="24"/>
          <w:szCs w:val="24"/>
          <w:rtl/>
        </w:rPr>
        <w:t>،</w:t>
      </w:r>
      <w:r w:rsidR="00777DCB" w:rsidRPr="00A52585">
        <w:rPr>
          <w:rFonts w:hint="cs"/>
          <w:sz w:val="24"/>
          <w:szCs w:val="24"/>
          <w:rtl/>
        </w:rPr>
        <w:t xml:space="preserve">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rsidR="00777DCB" w:rsidRPr="00A52585">
        <w:rPr>
          <w:sz w:val="24"/>
          <w:szCs w:val="24"/>
        </w:rPr>
        <w:t>–</w:t>
      </w:r>
      <w:r w:rsidR="00777DCB" w:rsidRPr="00A52585">
        <w:rPr>
          <w:rFonts w:hint="cs"/>
          <w:sz w:val="24"/>
          <w:szCs w:val="24"/>
          <w:rtl/>
        </w:rPr>
        <w:t xml:space="preserve"> على فكرة التشبيه والتجسيم باعتناق طائفتين لهذه العقيدة زاعما أن القرآن لم يعارضهما في ذلك بل عارض الأولى (مشركي العرب) في إنكارهم المعاد فقط وعارض الثانية (اليهود) في تحريفهم للتوراة وليس فيما </w:t>
      </w:r>
      <w:proofErr w:type="spellStart"/>
      <w:r w:rsidR="00777DCB" w:rsidRPr="00A52585">
        <w:rPr>
          <w:rFonts w:hint="cs"/>
          <w:sz w:val="24"/>
          <w:szCs w:val="24"/>
          <w:rtl/>
        </w:rPr>
        <w:t>عابه</w:t>
      </w:r>
      <w:proofErr w:type="spellEnd"/>
      <w:r w:rsidR="00777DCB" w:rsidRPr="00A52585">
        <w:rPr>
          <w:rFonts w:hint="cs"/>
          <w:sz w:val="24"/>
          <w:szCs w:val="24"/>
          <w:rtl/>
        </w:rPr>
        <w:t xml:space="preserve"> عليهم -حسب زعمه- التجسيم والتشبيه وبذلك يكون التجسيم والتشبيه هما عقيدة الرسول وهو ما أتى به القرآن</w:t>
      </w:r>
      <w:r w:rsidR="00DB731D" w:rsidRPr="00A52585">
        <w:rPr>
          <w:rFonts w:hint="cs"/>
          <w:sz w:val="24"/>
          <w:szCs w:val="24"/>
          <w:rtl/>
        </w:rPr>
        <w:t>،</w:t>
      </w:r>
      <w:r w:rsidR="00777DCB" w:rsidRPr="00A52585">
        <w:rPr>
          <w:rFonts w:hint="cs"/>
          <w:sz w:val="24"/>
          <w:szCs w:val="24"/>
          <w:rtl/>
        </w:rPr>
        <w:t xml:space="preserve"> ثم ختم عبارته بلفتة خطيرة صرح بها نصاً وهو أن ما يتفق القرآن والتوراة على ذكره وإقراره أصح وأشد ثبوتا وتأكيداً مما انفرد به القرآن وحده</w:t>
      </w:r>
      <w:r w:rsidR="00F95886" w:rsidRPr="00A52585">
        <w:rPr>
          <w:rFonts w:hint="cs"/>
          <w:sz w:val="24"/>
          <w:szCs w:val="24"/>
          <w:rtl/>
        </w:rPr>
        <w:t>!</w:t>
      </w:r>
      <w:r w:rsidR="00777DCB" w:rsidRPr="00A52585">
        <w:rPr>
          <w:rFonts w:hint="cs"/>
          <w:sz w:val="24"/>
          <w:szCs w:val="24"/>
          <w:rtl/>
        </w:rPr>
        <w:t xml:space="preserve"> 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 وإليك نص كلامه</w:t>
      </w:r>
      <w:r w:rsidRPr="00A52585">
        <w:rPr>
          <w:rFonts w:hint="cs"/>
          <w:sz w:val="24"/>
          <w:szCs w:val="24"/>
          <w:rtl/>
        </w:rPr>
        <w:t xml:space="preserve"> </w:t>
      </w:r>
      <w:r w:rsidR="00777DCB" w:rsidRPr="00A52585">
        <w:rPr>
          <w:rFonts w:hint="cs"/>
          <w:sz w:val="24"/>
          <w:szCs w:val="24"/>
          <w:rtl/>
        </w:rPr>
        <w:t>" وأهل السنة يقولون لهؤلاء</w:t>
      </w:r>
      <w:r w:rsidRPr="00A52585">
        <w:rPr>
          <w:rFonts w:hint="cs"/>
          <w:sz w:val="24"/>
          <w:szCs w:val="24"/>
          <w:rtl/>
        </w:rPr>
        <w:t>:</w:t>
      </w:r>
      <w:r w:rsidR="00777DCB" w:rsidRPr="00A52585">
        <w:rPr>
          <w:rFonts w:hint="cs"/>
          <w:sz w:val="24"/>
          <w:szCs w:val="24"/>
          <w:rtl/>
        </w:rPr>
        <w:t xml:space="preserve"> ونحن نعلم بالاضطرار أن الرسل جاءت بإثبات الصفات، ونصوص الصفات في الكتب الإلهية أكثر وأعظم من نصوص المعاد ويقولون لهم</w:t>
      </w:r>
      <w:r w:rsidRPr="00A52585">
        <w:rPr>
          <w:rFonts w:hint="cs"/>
          <w:sz w:val="24"/>
          <w:szCs w:val="24"/>
          <w:rtl/>
        </w:rPr>
        <w:t>:</w:t>
      </w:r>
      <w:r w:rsidR="00777DCB" w:rsidRPr="00A52585">
        <w:rPr>
          <w:rFonts w:hint="cs"/>
          <w:sz w:val="24"/>
          <w:szCs w:val="24"/>
          <w:rtl/>
        </w:rPr>
        <w:t xml:space="preserve"> معلوم أن مشركي العرب وغيرهم كانوا ينكرون المعاد وقد أنكروه على الرسول وناظروه عليه بخلاف الصفات، فإنه لم يكن العرب تنكرها، فعلم أن إقرار العقول بالصفات أعظم من إقرارها بالمعاد، وأن إنكار المعاد أعظم من إنكار الصفات، فكيف يجوز مع هذا أن يكون ما أخبر به من الصفات ليس كما أخبر به، وما أخبر به من المعاد هو على ما أخبر به</w:t>
      </w:r>
      <w:r w:rsidR="00F95886" w:rsidRPr="00A52585">
        <w:rPr>
          <w:rFonts w:hint="cs"/>
          <w:sz w:val="24"/>
          <w:szCs w:val="24"/>
          <w:rtl/>
        </w:rPr>
        <w:t>؟</w:t>
      </w:r>
      <w:r w:rsidR="00777DCB" w:rsidRPr="00A52585">
        <w:rPr>
          <w:rFonts w:hint="cs"/>
          <w:sz w:val="24"/>
          <w:szCs w:val="24"/>
          <w:rtl/>
        </w:rPr>
        <w:t xml:space="preserve">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sidR="00F95886" w:rsidRPr="00A52585">
        <w:rPr>
          <w:rFonts w:hint="cs"/>
          <w:sz w:val="24"/>
          <w:szCs w:val="24"/>
          <w:rtl/>
        </w:rPr>
        <w:t>؟</w:t>
      </w:r>
      <w:r w:rsidR="00777DCB" w:rsidRPr="00A52585">
        <w:rPr>
          <w:rFonts w:hint="cs"/>
          <w:sz w:val="24"/>
          <w:szCs w:val="24"/>
          <w:rtl/>
        </w:rPr>
        <w:t xml:space="preserve">، وكانوا إذا ذكروا بين يديه الصفات ضحك تعجباً وتصديقاً لها، ولم يعبهم قط بما تعيب </w:t>
      </w:r>
      <w:proofErr w:type="spellStart"/>
      <w:r w:rsidR="00777DCB" w:rsidRPr="00A52585">
        <w:rPr>
          <w:rFonts w:hint="cs"/>
          <w:sz w:val="24"/>
          <w:szCs w:val="24"/>
          <w:rtl/>
        </w:rPr>
        <w:t>النفاة</w:t>
      </w:r>
      <w:proofErr w:type="spellEnd"/>
      <w:r w:rsidR="00777DCB" w:rsidRPr="00A52585">
        <w:rPr>
          <w:rFonts w:hint="cs"/>
          <w:sz w:val="24"/>
          <w:szCs w:val="24"/>
          <w:rtl/>
        </w:rPr>
        <w:t xml:space="preserve"> لأهل الإثبات على لفظ التجسيم والتشبيه ونحو ذلك،</w:t>
      </w:r>
      <w:r w:rsidRPr="00A52585">
        <w:rPr>
          <w:rFonts w:hint="cs"/>
          <w:sz w:val="24"/>
          <w:szCs w:val="24"/>
          <w:rtl/>
        </w:rPr>
        <w:t xml:space="preserve"> </w:t>
      </w:r>
      <w:r w:rsidR="00777DCB" w:rsidRPr="00A52585">
        <w:rPr>
          <w:rFonts w:hint="cs"/>
          <w:sz w:val="24"/>
          <w:szCs w:val="24"/>
          <w:rtl/>
        </w:rPr>
        <w:t xml:space="preserve">بل </w:t>
      </w:r>
      <w:proofErr w:type="spellStart"/>
      <w:r w:rsidR="00777DCB" w:rsidRPr="00A52585">
        <w:rPr>
          <w:rFonts w:hint="cs"/>
          <w:sz w:val="24"/>
          <w:szCs w:val="24"/>
          <w:rtl/>
        </w:rPr>
        <w:t>عابهم</w:t>
      </w:r>
      <w:proofErr w:type="spellEnd"/>
      <w:r w:rsidR="00777DCB" w:rsidRPr="00A52585">
        <w:rPr>
          <w:rFonts w:hint="cs"/>
          <w:sz w:val="24"/>
          <w:szCs w:val="24"/>
          <w:rtl/>
        </w:rPr>
        <w:t xml:space="preserve"> بقولهم </w:t>
      </w:r>
      <w:r w:rsidRPr="00A52585">
        <w:rPr>
          <w:rFonts w:hint="cs"/>
          <w:sz w:val="24"/>
          <w:szCs w:val="24"/>
          <w:rtl/>
        </w:rPr>
        <w:t>{</w:t>
      </w:r>
      <w:r w:rsidR="00777DCB" w:rsidRPr="00A52585">
        <w:rPr>
          <w:rFonts w:hint="cs"/>
          <w:sz w:val="24"/>
          <w:szCs w:val="24"/>
          <w:rtl/>
        </w:rPr>
        <w:t>يد الله مغلولة</w:t>
      </w:r>
      <w:r w:rsidRPr="00A52585">
        <w:rPr>
          <w:rFonts w:hint="cs"/>
          <w:sz w:val="24"/>
          <w:szCs w:val="24"/>
          <w:rtl/>
        </w:rPr>
        <w:t>}</w:t>
      </w:r>
      <w:r w:rsidR="00777DCB" w:rsidRPr="00A52585">
        <w:rPr>
          <w:rFonts w:hint="cs"/>
          <w:sz w:val="24"/>
          <w:szCs w:val="24"/>
          <w:rtl/>
        </w:rPr>
        <w:t xml:space="preserve"> سورة المائدة</w:t>
      </w:r>
      <w:r w:rsidRPr="00A52585">
        <w:rPr>
          <w:rFonts w:hint="cs"/>
          <w:sz w:val="24"/>
          <w:szCs w:val="24"/>
          <w:rtl/>
        </w:rPr>
        <w:t>:</w:t>
      </w:r>
      <w:r w:rsidR="00777DCB" w:rsidRPr="00A52585">
        <w:rPr>
          <w:rFonts w:hint="cs"/>
          <w:sz w:val="24"/>
          <w:szCs w:val="24"/>
          <w:rtl/>
        </w:rPr>
        <w:t xml:space="preserve"> 64</w:t>
      </w:r>
      <w:r w:rsidR="00DB731D" w:rsidRPr="00A52585">
        <w:rPr>
          <w:rFonts w:hint="cs"/>
          <w:sz w:val="24"/>
          <w:szCs w:val="24"/>
          <w:rtl/>
        </w:rPr>
        <w:t>،</w:t>
      </w:r>
      <w:r w:rsidR="00777DCB" w:rsidRPr="00A52585">
        <w:rPr>
          <w:rFonts w:hint="cs"/>
          <w:sz w:val="24"/>
          <w:szCs w:val="24"/>
          <w:rtl/>
        </w:rPr>
        <w:t xml:space="preserve"> وقولهم</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الله فقير ونحن أغنياء</w:t>
      </w:r>
      <w:r w:rsidRPr="00A52585">
        <w:rPr>
          <w:rFonts w:hint="cs"/>
          <w:sz w:val="24"/>
          <w:szCs w:val="24"/>
          <w:rtl/>
        </w:rPr>
        <w:t>}</w:t>
      </w:r>
      <w:r w:rsidR="00777DCB" w:rsidRPr="00A52585">
        <w:rPr>
          <w:rFonts w:hint="cs"/>
          <w:sz w:val="24"/>
          <w:szCs w:val="24"/>
          <w:rtl/>
        </w:rPr>
        <w:t xml:space="preserve"> سورة آل عمران</w:t>
      </w:r>
      <w:r w:rsidRPr="00A52585">
        <w:rPr>
          <w:rFonts w:hint="cs"/>
          <w:sz w:val="24"/>
          <w:szCs w:val="24"/>
          <w:rtl/>
        </w:rPr>
        <w:t>:</w:t>
      </w:r>
      <w:r w:rsidR="00777DCB" w:rsidRPr="00A52585">
        <w:rPr>
          <w:rFonts w:hint="cs"/>
          <w:sz w:val="24"/>
          <w:szCs w:val="24"/>
          <w:rtl/>
        </w:rPr>
        <w:t xml:space="preserve"> 181</w:t>
      </w:r>
      <w:r w:rsidR="00DB731D" w:rsidRPr="00A52585">
        <w:rPr>
          <w:rFonts w:hint="cs"/>
          <w:sz w:val="24"/>
          <w:szCs w:val="24"/>
          <w:rtl/>
        </w:rPr>
        <w:t>،</w:t>
      </w:r>
      <w:r w:rsidR="00777DCB" w:rsidRPr="00A52585">
        <w:rPr>
          <w:rFonts w:hint="cs"/>
          <w:sz w:val="24"/>
          <w:szCs w:val="24"/>
          <w:rtl/>
        </w:rPr>
        <w:t xml:space="preserve"> وقولهم</w:t>
      </w:r>
      <w:r w:rsidRPr="00A52585">
        <w:rPr>
          <w:rFonts w:hint="cs"/>
          <w:sz w:val="24"/>
          <w:szCs w:val="24"/>
          <w:rtl/>
        </w:rPr>
        <w:t>:</w:t>
      </w:r>
      <w:r w:rsidR="00777DCB" w:rsidRPr="00A52585">
        <w:rPr>
          <w:rFonts w:hint="cs"/>
          <w:sz w:val="24"/>
          <w:szCs w:val="24"/>
          <w:rtl/>
        </w:rPr>
        <w:t xml:space="preserve"> إنه استراح لما خلق السموات والأرض فقال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لقد خلقنا السموات والأرض وما بينهما في ستة أيام وما مسنا من لغوب</w:t>
      </w:r>
      <w:r w:rsidRPr="00A52585">
        <w:rPr>
          <w:rFonts w:hint="cs"/>
          <w:sz w:val="24"/>
          <w:szCs w:val="24"/>
          <w:rtl/>
        </w:rPr>
        <w:t>}</w:t>
      </w:r>
      <w:r w:rsidR="00777DCB" w:rsidRPr="00A52585">
        <w:rPr>
          <w:rFonts w:hint="cs"/>
          <w:sz w:val="24"/>
          <w:szCs w:val="24"/>
          <w:rtl/>
        </w:rPr>
        <w:t xml:space="preserve"> سورة ق</w:t>
      </w:r>
      <w:r w:rsidRPr="00A52585">
        <w:rPr>
          <w:rFonts w:hint="cs"/>
          <w:sz w:val="24"/>
          <w:szCs w:val="24"/>
          <w:rtl/>
        </w:rPr>
        <w:t>:</w:t>
      </w:r>
      <w:r w:rsidR="00777DCB" w:rsidRPr="00A52585">
        <w:rPr>
          <w:rFonts w:hint="cs"/>
          <w:sz w:val="24"/>
          <w:szCs w:val="24"/>
          <w:rtl/>
        </w:rPr>
        <w:t xml:space="preserve"> 38</w:t>
      </w:r>
      <w:r w:rsidR="00DB731D" w:rsidRPr="00A52585">
        <w:rPr>
          <w:rFonts w:hint="cs"/>
          <w:sz w:val="24"/>
          <w:szCs w:val="24"/>
          <w:rtl/>
        </w:rPr>
        <w:t>،</w:t>
      </w:r>
      <w:r w:rsidR="00777DCB" w:rsidRPr="00A52585">
        <w:rPr>
          <w:rFonts w:hint="cs"/>
          <w:sz w:val="24"/>
          <w:szCs w:val="24"/>
          <w:rtl/>
        </w:rPr>
        <w:t xml:space="preserve"> والتوراة مملوءة من الصفات المطابقة</w:t>
      </w:r>
      <w:r w:rsidRPr="00A52585">
        <w:rPr>
          <w:rFonts w:hint="cs"/>
          <w:sz w:val="24"/>
          <w:szCs w:val="24"/>
          <w:rtl/>
        </w:rPr>
        <w:t xml:space="preserve"> </w:t>
      </w:r>
      <w:r w:rsidR="00777DCB" w:rsidRPr="00A52585">
        <w:rPr>
          <w:rFonts w:hint="cs"/>
          <w:sz w:val="24"/>
          <w:szCs w:val="24"/>
          <w:rtl/>
        </w:rPr>
        <w:t>" صفات المذكورة في القرآن والحديث وليس فيها تصريح بالمعاد كما في القرآن فإذا جاز أن تتأول الصفات التي وافق عليها الكتابان فتأويل المعاد الذي انفرد به أحدهما أولى، والثاني مما يعلم بالاضطرار من دين الرسول بأنه باطل فالأول أولى بالبطلان "</w:t>
      </w:r>
      <w:r w:rsidRPr="00A52585">
        <w:rPr>
          <w:rFonts w:hint="cs"/>
          <w:sz w:val="24"/>
          <w:szCs w:val="24"/>
          <w:rtl/>
        </w:rPr>
        <w:t xml:space="preserve"> </w:t>
      </w:r>
      <w:r w:rsidR="00777DCB" w:rsidRPr="00A52585">
        <w:rPr>
          <w:rFonts w:hint="cs"/>
          <w:sz w:val="24"/>
          <w:szCs w:val="24"/>
          <w:rtl/>
        </w:rPr>
        <w:t>أهـ الفتوى الحموية ص 38،39 ويتضح بذلك أن إنكار المجاز كما قلنا لم يكن إلا ستاراً يخفي وراءه عقائده التي ساير فيها أساتذته من اليهود كما سايرهم في أسلوب المغالطة والسلوكيات وسبق الإشارة إلى ذلك</w:t>
      </w:r>
      <w:r w:rsidRPr="00A52585">
        <w:rPr>
          <w:rFonts w:hint="cs"/>
          <w:sz w:val="24"/>
          <w:szCs w:val="24"/>
          <w:rtl/>
        </w:rPr>
        <w:t>]</w:t>
      </w:r>
      <w:r w:rsidR="00DB731D" w:rsidRPr="00A52585">
        <w:rPr>
          <w:rFonts w:hint="cs"/>
          <w:rtl/>
        </w:rPr>
        <w:t>،</w:t>
      </w:r>
      <w:r w:rsidR="00777DCB" w:rsidRPr="00A52585">
        <w:rPr>
          <w:rFonts w:hint="cs"/>
          <w:rtl/>
        </w:rPr>
        <w:t xml:space="preserve"> وتضمن هذا المصنف مع صغره شيئين </w:t>
      </w:r>
      <w:r w:rsidR="00777DCB" w:rsidRPr="00A52585">
        <w:rPr>
          <w:rFonts w:hint="cs"/>
          <w:rtl/>
        </w:rPr>
        <w:lastRenderedPageBreak/>
        <w:t>عظيمين</w:t>
      </w:r>
      <w:r w:rsidRPr="00A52585">
        <w:rPr>
          <w:rFonts w:hint="cs"/>
          <w:rtl/>
        </w:rPr>
        <w:t>:</w:t>
      </w:r>
      <w:r w:rsidR="00777DCB" w:rsidRPr="00A52585">
        <w:rPr>
          <w:rFonts w:hint="cs"/>
          <w:rtl/>
        </w:rPr>
        <w:t xml:space="preserve"> تكذيب الله عزوجل في قوله هو الأول فجعل معه قديما</w:t>
      </w:r>
      <w:r w:rsidR="00DB731D" w:rsidRPr="00A52585">
        <w:rPr>
          <w:rFonts w:hint="cs"/>
          <w:rtl/>
        </w:rPr>
        <w:t>،</w:t>
      </w:r>
      <w:r w:rsidR="00777DCB" w:rsidRPr="00A52585">
        <w:rPr>
          <w:rFonts w:hint="cs"/>
          <w:rtl/>
        </w:rPr>
        <w:t xml:space="preserve"> وتكذيب النبي في قوله كان الله ولا شيء معه</w:t>
      </w:r>
      <w:r w:rsidR="00DB731D" w:rsidRPr="00A52585">
        <w:rPr>
          <w:rFonts w:hint="cs"/>
          <w:bCs/>
          <w:rtl/>
        </w:rPr>
        <w:t>،</w:t>
      </w:r>
    </w:p>
    <w:p w14:paraId="03F503F4" w14:textId="365817EC" w:rsidR="00777DCB" w:rsidRPr="00A52585" w:rsidRDefault="0002035C" w:rsidP="0002035C">
      <w:pPr>
        <w:spacing w:after="240"/>
        <w:rPr>
          <w:b/>
          <w:bCs/>
          <w:rtl/>
        </w:rPr>
      </w:pPr>
      <w:r w:rsidRPr="00A52585">
        <w:rPr>
          <w:rFonts w:hint="cs"/>
          <w:bCs/>
          <w:rtl/>
        </w:rPr>
        <w:t>[</w:t>
      </w:r>
      <w:r w:rsidR="00777DCB" w:rsidRPr="00A52585">
        <w:rPr>
          <w:rFonts w:hint="cs"/>
          <w:bCs/>
          <w:rtl/>
        </w:rPr>
        <w:t>ج- خطورة كتابه</w:t>
      </w:r>
      <w:r w:rsidRPr="00A52585">
        <w:rPr>
          <w:rFonts w:hint="cs"/>
          <w:bCs/>
          <w:rtl/>
        </w:rPr>
        <w:t>:</w:t>
      </w:r>
      <w:r w:rsidR="00777DCB" w:rsidRPr="00A52585">
        <w:rPr>
          <w:rFonts w:hint="cs"/>
          <w:bCs/>
          <w:rtl/>
        </w:rPr>
        <w:t xml:space="preserve"> حوادث لا أول لها</w:t>
      </w:r>
      <w:r w:rsidRPr="00A52585">
        <w:rPr>
          <w:rFonts w:hint="cs"/>
          <w:bCs/>
          <w:rtl/>
        </w:rPr>
        <w:t>]:</w:t>
      </w:r>
      <w:r w:rsidR="00777DCB" w:rsidRPr="00A52585">
        <w:rPr>
          <w:rFonts w:hint="cs"/>
          <w:bCs/>
          <w:rtl/>
        </w:rPr>
        <w:t xml:space="preserve"> </w:t>
      </w:r>
      <w:r w:rsidR="00777DCB" w:rsidRPr="00A52585">
        <w:rPr>
          <w:rFonts w:hint="cs"/>
          <w:rtl/>
        </w:rPr>
        <w:t>تكذيب الله عز وجل في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الأول</w:t>
      </w:r>
      <w:r w:rsidRPr="00A52585">
        <w:rPr>
          <w:rFonts w:hint="cs"/>
          <w:rtl/>
        </w:rPr>
        <w:t>}</w:t>
      </w:r>
      <w:r w:rsidR="00777DCB" w:rsidRPr="00A52585">
        <w:rPr>
          <w:rFonts w:hint="cs"/>
          <w:rtl/>
        </w:rPr>
        <w:t xml:space="preserve"> فجعل معه قديماً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العلامة الألوسي في تفسيره</w:t>
      </w:r>
      <w:r w:rsidRPr="00A52585">
        <w:rPr>
          <w:rFonts w:hint="cs"/>
          <w:sz w:val="24"/>
          <w:szCs w:val="24"/>
          <w:rtl/>
        </w:rPr>
        <w:t xml:space="preserve">: </w:t>
      </w:r>
      <w:r w:rsidR="00777DCB" w:rsidRPr="00A52585">
        <w:rPr>
          <w:rFonts w:hint="cs"/>
          <w:sz w:val="24"/>
          <w:szCs w:val="24"/>
          <w:rtl/>
        </w:rPr>
        <w:t>"(هو الأول) السابق على جميع الموجودات فهو سبحانه قبل كل شيء حتى الزمان لأنه جل وعلا الموجد والمحدث للموجودات "</w:t>
      </w:r>
      <w:r w:rsidRPr="00A52585">
        <w:rPr>
          <w:rFonts w:hint="cs"/>
          <w:sz w:val="24"/>
          <w:szCs w:val="24"/>
          <w:rtl/>
        </w:rPr>
        <w:t xml:space="preserve"> </w:t>
      </w:r>
      <w:r w:rsidR="00777DCB" w:rsidRPr="00A52585">
        <w:rPr>
          <w:rFonts w:hint="cs"/>
          <w:sz w:val="24"/>
          <w:szCs w:val="24"/>
          <w:rtl/>
        </w:rPr>
        <w:t xml:space="preserve">أهـ ص 27 ص165 يقول شيخ شيوخنا العلامة سلامة </w:t>
      </w:r>
      <w:proofErr w:type="spellStart"/>
      <w:r w:rsidR="00777DCB" w:rsidRPr="00A52585">
        <w:rPr>
          <w:rFonts w:hint="cs"/>
          <w:sz w:val="24"/>
          <w:szCs w:val="24"/>
          <w:rtl/>
        </w:rPr>
        <w:t>العزامي</w:t>
      </w:r>
      <w:proofErr w:type="spellEnd"/>
      <w:r w:rsidRPr="00A52585">
        <w:rPr>
          <w:rFonts w:hint="cs"/>
          <w:sz w:val="24"/>
          <w:szCs w:val="24"/>
          <w:rtl/>
        </w:rPr>
        <w:t xml:space="preserve"> </w:t>
      </w:r>
      <w:r w:rsidR="00777DCB" w:rsidRPr="00A52585">
        <w:rPr>
          <w:rFonts w:hint="cs"/>
          <w:sz w:val="24"/>
          <w:szCs w:val="24"/>
          <w:rtl/>
        </w:rPr>
        <w:t>" (هو الأول) ومعناه عند أهل اللسان الذي نزل به القرآن أن الأول هو لا سواه فلا شيء قبله ولا شيء معه وأنه هو الحق الموجود بلا ابتداء قبل أن يكون شيء من الأشياء وقد صح من حديث رسول الله صلى الله عليه وسلم ما هو صريح في هذا وهذا فمن دعائه صلى الله عليه وسلم (اللهم أنت الأول فلا شيء قبلك) "</w:t>
      </w:r>
      <w:r w:rsidRPr="00A52585">
        <w:rPr>
          <w:rFonts w:hint="cs"/>
          <w:sz w:val="24"/>
          <w:szCs w:val="24"/>
          <w:rtl/>
        </w:rPr>
        <w:t xml:space="preserve"> </w:t>
      </w:r>
      <w:r w:rsidR="00777DCB" w:rsidRPr="00A52585">
        <w:rPr>
          <w:rFonts w:hint="cs"/>
          <w:sz w:val="24"/>
          <w:szCs w:val="24"/>
          <w:rtl/>
        </w:rPr>
        <w:t>أهـ البراهين الساطعة ص 203</w:t>
      </w:r>
      <w:r w:rsidRPr="00A52585">
        <w:rPr>
          <w:rFonts w:hint="cs"/>
          <w:sz w:val="24"/>
          <w:szCs w:val="24"/>
          <w:rtl/>
        </w:rPr>
        <w:t>]</w:t>
      </w:r>
      <w:r w:rsidR="00DB731D" w:rsidRPr="00A52585">
        <w:rPr>
          <w:rFonts w:hint="cs"/>
          <w:sz w:val="24"/>
          <w:rtl/>
        </w:rPr>
        <w:t>،</w:t>
      </w:r>
      <w:r w:rsidR="00777DCB" w:rsidRPr="00A52585">
        <w:rPr>
          <w:rFonts w:hint="cs"/>
          <w:rtl/>
        </w:rPr>
        <w:t xml:space="preserve"> وتكذيب النبي صلى الله عليه وسلم في قوله</w:t>
      </w:r>
      <w:r w:rsidRPr="00A52585">
        <w:rPr>
          <w:rFonts w:hint="cs"/>
          <w:rtl/>
        </w:rPr>
        <w:t>:</w:t>
      </w:r>
      <w:r w:rsidR="00777DCB" w:rsidRPr="00A52585">
        <w:rPr>
          <w:rFonts w:hint="cs"/>
          <w:vertAlign w:val="superscript"/>
          <w:rtl/>
        </w:rPr>
        <w:t xml:space="preserve"> </w:t>
      </w:r>
      <w:r w:rsidR="00777DCB" w:rsidRPr="00A52585">
        <w:rPr>
          <w:rFonts w:hint="cs"/>
          <w:rtl/>
        </w:rPr>
        <w:t>(</w:t>
      </w:r>
      <w:r w:rsidRPr="00A52585">
        <w:rPr>
          <w:rFonts w:hint="cs"/>
          <w:rtl/>
        </w:rPr>
        <w:t>(</w:t>
      </w:r>
      <w:r w:rsidR="00777DCB" w:rsidRPr="00A52585">
        <w:rPr>
          <w:rFonts w:hint="cs"/>
          <w:rtl/>
        </w:rPr>
        <w:t>كان الله ولا شيء معه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pacing w:val="-2"/>
          <w:sz w:val="24"/>
          <w:szCs w:val="24"/>
          <w:rtl/>
        </w:rPr>
        <w:t xml:space="preserve">اعترف ابن تيمية في مجموع الفتاوى وفي الرسالة </w:t>
      </w:r>
      <w:proofErr w:type="spellStart"/>
      <w:r w:rsidR="00777DCB" w:rsidRPr="00A52585">
        <w:rPr>
          <w:rFonts w:hint="cs"/>
          <w:spacing w:val="-2"/>
          <w:sz w:val="24"/>
          <w:szCs w:val="24"/>
          <w:rtl/>
        </w:rPr>
        <w:t>العرشية</w:t>
      </w:r>
      <w:proofErr w:type="spellEnd"/>
      <w:r w:rsidR="00777DCB" w:rsidRPr="00A52585">
        <w:rPr>
          <w:rFonts w:hint="cs"/>
          <w:spacing w:val="-2"/>
          <w:sz w:val="24"/>
          <w:szCs w:val="24"/>
          <w:rtl/>
        </w:rPr>
        <w:t xml:space="preserve"> بصحة هذا الحديث بهذه الرواية وكذلك احتج به الإمام تقي الدين السبكي في السيف الصقيل وكذلك الإمام ابن حجر العسقلاني والبدر العيني وغيرهم وذكر الإمام العجلوني في كشف الخفاء أن هذه الرواية وردت عن بريدة في مصنف ابن أبي شيبة وعند ابن حبان والحاكم وبالرجوع إلى هذه المصادر لم يعثر عليها</w:t>
      </w:r>
      <w:r w:rsidRPr="00A52585">
        <w:rPr>
          <w:rFonts w:hint="cs"/>
          <w:spacing w:val="-2"/>
          <w:sz w:val="24"/>
          <w:szCs w:val="24"/>
          <w:rtl/>
        </w:rPr>
        <w:t>]</w:t>
      </w:r>
      <w:r w:rsidR="00DB731D" w:rsidRPr="00A52585">
        <w:rPr>
          <w:rFonts w:hint="cs"/>
          <w:spacing w:val="-2"/>
          <w:sz w:val="24"/>
          <w:rtl/>
        </w:rPr>
        <w:t>،</w:t>
      </w:r>
      <w:r w:rsidR="00777DCB" w:rsidRPr="00A52585">
        <w:rPr>
          <w:rFonts w:hint="cs"/>
          <w:rtl/>
        </w:rPr>
        <w:t xml:space="preserve"> وفي البخاري من رواية عمران بن حصين رضي الله عنه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كان الله ولم يكن شيء قبله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وفي البخاري أيضاً من رواية عمران بن حصين رضي الله عنه (كان الله ولم يكن شيء غيره وكان عرشه على الماء) في كتاب بدء الخلق أما الرواية (قبله) التي ذكرها المصنف فقد رواها البخاري في كتاب التوحيد قال الحافظ ابن حجر في فتح الباري عند رواية (قبله)</w:t>
      </w:r>
      <w:r w:rsidRPr="00A52585">
        <w:rPr>
          <w:rFonts w:hint="cs"/>
          <w:sz w:val="24"/>
          <w:szCs w:val="24"/>
          <w:rtl/>
        </w:rPr>
        <w:t xml:space="preserve">: </w:t>
      </w:r>
      <w:r w:rsidR="00777DCB" w:rsidRPr="00A52585">
        <w:rPr>
          <w:rFonts w:hint="cs"/>
          <w:sz w:val="24"/>
          <w:szCs w:val="24"/>
          <w:rtl/>
        </w:rPr>
        <w:t>" تقدم في بدء الخلق بلفظ (ولم يكن شيء غيره) وفي رواية أبي معاوية (كان الله قبل كل شيء، وهو بمعنى (كان الله ولا شيء مـعه)، وهي أصــرح في الــرد علـى من أثبت حوادث لا أول لها من رواية الباب وهي من مستشنع المسائل المنسوبة لابن تيمية، ووقفت في كلام له على هذا الحديث يرجح الرواية التي في هذا الباب على غيرها مع أن قضية الجمع تقتضي حمل هذه على التي في بدء الخلق لا العكس والجمع يقدم على الترجيح بالاتفاق "</w:t>
      </w:r>
      <w:r w:rsidRPr="00A52585">
        <w:rPr>
          <w:rFonts w:hint="cs"/>
          <w:sz w:val="24"/>
          <w:szCs w:val="24"/>
          <w:rtl/>
        </w:rPr>
        <w:t xml:space="preserve"> </w:t>
      </w:r>
      <w:r w:rsidR="00777DCB" w:rsidRPr="00A52585">
        <w:rPr>
          <w:rFonts w:hint="cs"/>
          <w:sz w:val="24"/>
          <w:szCs w:val="24"/>
          <w:rtl/>
        </w:rPr>
        <w:t>وذكر أيضاً الحافظ ابن حجر في شرحه للحديث في كتاب بدء الخلق بعد أن ذكر رواية (قبله)</w:t>
      </w:r>
      <w:r w:rsidRPr="00A52585">
        <w:rPr>
          <w:rFonts w:hint="cs"/>
          <w:sz w:val="24"/>
          <w:szCs w:val="24"/>
          <w:rtl/>
        </w:rPr>
        <w:t xml:space="preserve">: </w:t>
      </w:r>
      <w:r w:rsidR="00777DCB" w:rsidRPr="00A52585">
        <w:rPr>
          <w:rFonts w:hint="cs"/>
          <w:sz w:val="24"/>
          <w:szCs w:val="24"/>
          <w:rtl/>
        </w:rPr>
        <w:t xml:space="preserve">" وفي رواية غير البخاري(ولم يكن شيء معه) والقصة متحدة فاقتضى ذلك أن الرواية وقعت بالمعنى- يقصد رواية (قبله) </w:t>
      </w:r>
      <w:r w:rsidR="00777DCB" w:rsidRPr="00A52585">
        <w:rPr>
          <w:sz w:val="24"/>
          <w:szCs w:val="24"/>
        </w:rPr>
        <w:t>–</w:t>
      </w:r>
      <w:r w:rsidR="00777DCB" w:rsidRPr="00A52585">
        <w:rPr>
          <w:rFonts w:hint="cs"/>
          <w:sz w:val="24"/>
          <w:szCs w:val="24"/>
          <w:rtl/>
        </w:rPr>
        <w:t xml:space="preserve"> ولعل راويها أخذها من قوله صلى الله عليه وسلم في دعائه في صلاة الليل كما تقدم من حديث ابن عباس(أنت الأول فليس قبلك شيء) ثم قال</w:t>
      </w:r>
      <w:r w:rsidRPr="00A52585">
        <w:rPr>
          <w:rFonts w:hint="cs"/>
          <w:sz w:val="24"/>
          <w:szCs w:val="24"/>
          <w:rtl/>
        </w:rPr>
        <w:t>:</w:t>
      </w:r>
      <w:r w:rsidR="00777DCB" w:rsidRPr="00A52585">
        <w:rPr>
          <w:rFonts w:hint="cs"/>
          <w:sz w:val="24"/>
          <w:szCs w:val="24"/>
          <w:rtl/>
        </w:rPr>
        <w:t xml:space="preserve"> "وفيه دلالة على أنه لم يكن شيء غيره لا الماء ولا العرش ولا غيرهما لأن كل ذلك غير الله تعالى"</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ويتحدث الإمام البيهقي عن نفس هذا الحديث في كتابه</w:t>
      </w:r>
      <w:r w:rsidRPr="00A52585">
        <w:rPr>
          <w:rFonts w:hint="cs"/>
          <w:sz w:val="24"/>
          <w:szCs w:val="24"/>
          <w:rtl/>
        </w:rPr>
        <w:t xml:space="preserve"> </w:t>
      </w:r>
      <w:r w:rsidR="00777DCB" w:rsidRPr="00A52585">
        <w:rPr>
          <w:rFonts w:hint="cs"/>
          <w:sz w:val="24"/>
          <w:szCs w:val="24"/>
          <w:rtl/>
        </w:rPr>
        <w:t>" الأسماء والصفات "</w:t>
      </w:r>
      <w:r w:rsidRPr="00A52585">
        <w:rPr>
          <w:rFonts w:hint="cs"/>
          <w:sz w:val="24"/>
          <w:szCs w:val="24"/>
          <w:rtl/>
        </w:rPr>
        <w:t xml:space="preserve"> </w:t>
      </w:r>
      <w:r w:rsidR="00777DCB" w:rsidRPr="00A52585">
        <w:rPr>
          <w:rFonts w:hint="cs"/>
          <w:sz w:val="24"/>
          <w:szCs w:val="24"/>
          <w:rtl/>
        </w:rPr>
        <w:t>في باب (بدء الخلق) قال</w:t>
      </w:r>
      <w:r w:rsidRPr="00A52585">
        <w:rPr>
          <w:rFonts w:hint="cs"/>
          <w:sz w:val="24"/>
          <w:szCs w:val="24"/>
          <w:rtl/>
        </w:rPr>
        <w:t xml:space="preserve">: </w:t>
      </w:r>
      <w:r w:rsidR="00777DCB" w:rsidRPr="00A52585">
        <w:rPr>
          <w:rFonts w:hint="cs"/>
          <w:sz w:val="24"/>
          <w:szCs w:val="24"/>
          <w:rtl/>
        </w:rPr>
        <w:t>" وقوله</w:t>
      </w:r>
      <w:r w:rsidRPr="00A52585">
        <w:rPr>
          <w:rFonts w:hint="cs"/>
          <w:sz w:val="24"/>
          <w:szCs w:val="24"/>
          <w:rtl/>
        </w:rPr>
        <w:t>(</w:t>
      </w:r>
      <w:r w:rsidR="00777DCB" w:rsidRPr="00A52585">
        <w:rPr>
          <w:rFonts w:hint="cs"/>
          <w:sz w:val="24"/>
          <w:szCs w:val="24"/>
          <w:rtl/>
        </w:rPr>
        <w:t>كان الله ولم يكن شيء غيره) يدل على أنه لم يكن شيء غيره لا الماء ولا العرش ولا غيرهما، فجميع ذلك غير الله تعالى وقوله (كان عرشه على الماء) يعني ثم خلق الماء وخلق العرش على الماء ثم كتب في الذكر كل شيء"</w:t>
      </w:r>
      <w:r w:rsidRPr="00A52585">
        <w:rPr>
          <w:rFonts w:hint="cs"/>
          <w:sz w:val="24"/>
          <w:szCs w:val="24"/>
          <w:rtl/>
        </w:rPr>
        <w:t xml:space="preserve"> </w:t>
      </w:r>
      <w:r w:rsidR="00777DCB" w:rsidRPr="00A52585">
        <w:rPr>
          <w:rFonts w:hint="cs"/>
          <w:sz w:val="24"/>
          <w:szCs w:val="24"/>
          <w:rtl/>
        </w:rPr>
        <w:t>أهـ ص 275، 376 وأخرج البخاري أيضاً عن عمر بن الخطاب رضي الله عنه قال</w:t>
      </w:r>
      <w:r w:rsidRPr="00A52585">
        <w:rPr>
          <w:rFonts w:hint="cs"/>
          <w:sz w:val="24"/>
          <w:szCs w:val="24"/>
          <w:rtl/>
        </w:rPr>
        <w:t xml:space="preserve">: </w:t>
      </w:r>
      <w:r w:rsidR="00777DCB" w:rsidRPr="00A52585">
        <w:rPr>
          <w:rFonts w:hint="cs"/>
          <w:sz w:val="24"/>
          <w:szCs w:val="24"/>
          <w:rtl/>
        </w:rPr>
        <w:t xml:space="preserve">"قام فينا النبي صلى الله عليه وسلم مقاماً </w:t>
      </w:r>
      <w:r w:rsidR="00777DCB" w:rsidRPr="00A52585">
        <w:rPr>
          <w:rFonts w:hint="cs"/>
          <w:spacing w:val="-6"/>
          <w:sz w:val="24"/>
          <w:szCs w:val="24"/>
          <w:rtl/>
        </w:rPr>
        <w:t>فأخبرنا عن بدء الخلق حتى</w:t>
      </w:r>
      <w:r w:rsidR="00777DCB" w:rsidRPr="00A52585">
        <w:rPr>
          <w:rFonts w:hint="cs"/>
          <w:sz w:val="24"/>
          <w:szCs w:val="24"/>
          <w:rtl/>
        </w:rPr>
        <w:t xml:space="preserve"> دخل أهل الجنة منازلهم وأهل النار منازلهم حفظ ذلك من حفظه ونسيه من نسيه </w:t>
      </w:r>
      <w:r w:rsidR="00777DCB" w:rsidRPr="00A52585">
        <w:rPr>
          <w:rFonts w:hint="cs"/>
          <w:sz w:val="24"/>
          <w:szCs w:val="24"/>
          <w:rtl/>
        </w:rPr>
        <w:lastRenderedPageBreak/>
        <w:t>"</w:t>
      </w:r>
      <w:r w:rsidRPr="00A52585">
        <w:rPr>
          <w:rFonts w:hint="cs"/>
          <w:sz w:val="24"/>
          <w:szCs w:val="24"/>
          <w:rtl/>
        </w:rPr>
        <w:t xml:space="preserve"> </w:t>
      </w:r>
      <w:r w:rsidR="00777DCB" w:rsidRPr="00A52585">
        <w:rPr>
          <w:rFonts w:hint="cs"/>
          <w:sz w:val="24"/>
          <w:szCs w:val="24"/>
          <w:rtl/>
        </w:rPr>
        <w:t>قال الحافظ ابن حجر في شرح الحديث</w:t>
      </w:r>
      <w:r w:rsidRPr="00A52585">
        <w:rPr>
          <w:rFonts w:hint="cs"/>
          <w:sz w:val="24"/>
          <w:szCs w:val="24"/>
          <w:rtl/>
        </w:rPr>
        <w:t xml:space="preserve">: </w:t>
      </w:r>
      <w:r w:rsidR="00777DCB" w:rsidRPr="00A52585">
        <w:rPr>
          <w:rFonts w:hint="cs"/>
          <w:sz w:val="24"/>
          <w:szCs w:val="24"/>
          <w:rtl/>
        </w:rPr>
        <w:t xml:space="preserve">" ودل ذلك على أنه أخبر في المجلس الواحد بجميع أحوال المخلوقات منذ </w:t>
      </w:r>
      <w:proofErr w:type="spellStart"/>
      <w:r w:rsidR="00777DCB" w:rsidRPr="00A52585">
        <w:rPr>
          <w:rFonts w:hint="cs"/>
          <w:sz w:val="24"/>
          <w:szCs w:val="24"/>
          <w:rtl/>
        </w:rPr>
        <w:t>ابتدئت</w:t>
      </w:r>
      <w:proofErr w:type="spellEnd"/>
      <w:r w:rsidR="00777DCB" w:rsidRPr="00A52585">
        <w:rPr>
          <w:rFonts w:hint="cs"/>
          <w:sz w:val="24"/>
          <w:szCs w:val="24"/>
          <w:rtl/>
        </w:rPr>
        <w:t xml:space="preserve"> إلى أن تفنى وإلى أن تبعث، فشمل ذلك الإخبار عن المبدأ والمعاد ثم ذكر شاهدا لحديث الباب من حديث أبي زيد الأنصاري أخرجه مسلم وأحمد قال</w:t>
      </w:r>
      <w:r w:rsidRPr="00A52585">
        <w:rPr>
          <w:rFonts w:hint="cs"/>
          <w:sz w:val="24"/>
          <w:szCs w:val="24"/>
          <w:rtl/>
        </w:rPr>
        <w:t>:</w:t>
      </w:r>
      <w:r w:rsidR="00777DCB" w:rsidRPr="00A52585">
        <w:rPr>
          <w:rFonts w:hint="cs"/>
          <w:sz w:val="24"/>
          <w:szCs w:val="24"/>
          <w:rtl/>
        </w:rPr>
        <w:t xml:space="preserve"> صلى بنا رسول الله صلى الله عليه وسلم صلاة الصبح فصعد المنبر فخطبنا حتى حضرت الظهر ثم نزل فصلى بنا الظهر ثم صعد المنبر فخطبنا ثم صلى العصر كذلك حتى غابت الشمس فحدثنا بما كان وما هو كائن فأعلمنا أحفظنا"</w:t>
      </w:r>
      <w:r w:rsidRPr="00A52585">
        <w:rPr>
          <w:rFonts w:hint="cs"/>
          <w:sz w:val="24"/>
          <w:szCs w:val="24"/>
          <w:rtl/>
        </w:rPr>
        <w:t xml:space="preserve"> </w:t>
      </w:r>
      <w:r w:rsidR="00777DCB" w:rsidRPr="00A52585">
        <w:rPr>
          <w:rFonts w:hint="cs"/>
          <w:sz w:val="24"/>
          <w:szCs w:val="24"/>
          <w:rtl/>
        </w:rPr>
        <w:t>إلخ قال الحافظ وروى السدي في تفسيره بأسانيد متعددة أن الله لم يخلق شيئاً مما خلق قبل الماء"</w:t>
      </w:r>
      <w:r w:rsidRPr="00A52585">
        <w:rPr>
          <w:rFonts w:hint="cs"/>
          <w:sz w:val="24"/>
          <w:szCs w:val="24"/>
          <w:rtl/>
        </w:rPr>
        <w:t xml:space="preserve"> </w:t>
      </w:r>
      <w:r w:rsidR="00777DCB" w:rsidRPr="00A52585">
        <w:rPr>
          <w:rFonts w:hint="cs"/>
          <w:sz w:val="24"/>
          <w:szCs w:val="24"/>
          <w:rtl/>
        </w:rPr>
        <w:t xml:space="preserve">أهـ والعديد من الأحاديث الصحيحة تتحدث عن بدء الخلق وتذكر ما هو أول المخلوقات يقول الشيخ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بعد أن ناقش هذه الأحاديث</w:t>
      </w:r>
      <w:r w:rsidRPr="00A52585">
        <w:rPr>
          <w:rFonts w:hint="cs"/>
          <w:sz w:val="24"/>
          <w:szCs w:val="24"/>
          <w:rtl/>
        </w:rPr>
        <w:t xml:space="preserve">: </w:t>
      </w:r>
      <w:r w:rsidR="00777DCB" w:rsidRPr="00A52585">
        <w:rPr>
          <w:rFonts w:hint="cs"/>
          <w:sz w:val="24"/>
          <w:szCs w:val="24"/>
          <w:rtl/>
        </w:rPr>
        <w:t>" فأنت ترى أنه لا رائحة لهذا المذهب القائل بعدم أولية الحوادث لا في الكتاب ولا في السنة ولا في أقوال السلف ولا الخلف رضي الله عنهم، فكيف يدعي فيه أنه مذهب الصحابة والتابعين والسلف الصالحين</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w:t>
      </w:r>
      <w:r w:rsidR="00777DCB" w:rsidRPr="00A52585">
        <w:rPr>
          <w:sz w:val="24"/>
          <w:szCs w:val="24"/>
        </w:rPr>
        <w:t>…</w:t>
      </w:r>
      <w:r w:rsidR="00777DCB" w:rsidRPr="00A52585">
        <w:rPr>
          <w:rFonts w:hint="cs"/>
          <w:sz w:val="24"/>
          <w:szCs w:val="24"/>
          <w:rtl/>
        </w:rPr>
        <w:t xml:space="preserve"> وليظهر لمن يروج عليه تلبيسه أنه على السنة ألصق هذا الرأي الباطل بالصحابة والتابعين بل بسيد المرسلين حيث </w:t>
      </w:r>
      <w:r w:rsidR="00777DCB" w:rsidRPr="00A52585">
        <w:rPr>
          <w:rFonts w:hint="cs"/>
          <w:spacing w:val="-4"/>
          <w:sz w:val="24"/>
          <w:szCs w:val="24"/>
          <w:rtl/>
        </w:rPr>
        <w:t>رجح رواية (ولم يكن شيء قبله) على ما عداها، ورد ابن حجر ترجيحه عليه وبين أن هذا الترجيح</w:t>
      </w:r>
      <w:r w:rsidR="00777DCB" w:rsidRPr="00A52585">
        <w:rPr>
          <w:rFonts w:hint="cs"/>
          <w:sz w:val="24"/>
          <w:szCs w:val="24"/>
          <w:rtl/>
        </w:rPr>
        <w:t xml:space="preserve"> مخالف للاتفاق كما أسلفنا لك قريباً ومن البين جداً أنه إنما اختارها ليوقع في النفوس أن الرسول عليه الصلاة والسلام ما نفي إلا تقدم الحوادث عليه تعالى ولم ينف مقارنتها له تعالى"</w:t>
      </w:r>
      <w:r w:rsidRPr="00A52585">
        <w:rPr>
          <w:rFonts w:hint="cs"/>
          <w:sz w:val="24"/>
          <w:szCs w:val="24"/>
          <w:rtl/>
        </w:rPr>
        <w:t xml:space="preserve"> </w:t>
      </w:r>
      <w:r w:rsidR="00777DCB" w:rsidRPr="00A52585">
        <w:rPr>
          <w:rFonts w:hint="cs"/>
          <w:sz w:val="24"/>
          <w:szCs w:val="24"/>
          <w:rtl/>
        </w:rPr>
        <w:t>أهـ البراهين الساطعة ص 206، 207 أقول</w:t>
      </w:r>
      <w:r w:rsidRPr="00A52585">
        <w:rPr>
          <w:rFonts w:hint="cs"/>
          <w:sz w:val="24"/>
          <w:szCs w:val="24"/>
          <w:rtl/>
        </w:rPr>
        <w:t>:</w:t>
      </w:r>
      <w:r w:rsidR="00777DCB" w:rsidRPr="00A52585">
        <w:rPr>
          <w:rFonts w:hint="cs"/>
          <w:sz w:val="24"/>
          <w:szCs w:val="24"/>
          <w:rtl/>
        </w:rPr>
        <w:t xml:space="preserve"> بل قد صرح تلميذه ابن قيم الجوزية في القصيدة النونية له بالإيجاب كما قال الفلاسفة تماماً قال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وتخلف التأثير بعد تمام موجبه محال ليس في الإمكان</w:t>
      </w:r>
      <w:r w:rsidRPr="00A52585">
        <w:rPr>
          <w:rFonts w:hint="cs"/>
          <w:sz w:val="24"/>
          <w:szCs w:val="24"/>
          <w:rtl/>
        </w:rPr>
        <w:t xml:space="preserve"> </w:t>
      </w:r>
      <w:r w:rsidR="00777DCB" w:rsidRPr="00A52585">
        <w:rPr>
          <w:rFonts w:hint="cs"/>
          <w:sz w:val="24"/>
          <w:szCs w:val="24"/>
          <w:rtl/>
        </w:rPr>
        <w:t>فــلأي شـــيء قد تأخــر فعـله مــع موجـب قد تم بالأركان</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إلى آخر ما قال أهـ القصيدة النونية ص53</w:t>
      </w:r>
      <w:r w:rsidR="00DB731D" w:rsidRPr="00A52585">
        <w:rPr>
          <w:rFonts w:hint="cs"/>
          <w:sz w:val="24"/>
          <w:szCs w:val="24"/>
          <w:rtl/>
        </w:rPr>
        <w:t>،</w:t>
      </w:r>
      <w:r w:rsidR="00777DCB" w:rsidRPr="00A52585">
        <w:rPr>
          <w:rFonts w:hint="cs"/>
          <w:sz w:val="24"/>
          <w:szCs w:val="24"/>
          <w:rtl/>
        </w:rPr>
        <w:t xml:space="preserve"> يقول العلامة زاهد الكوثري في تعليقه على السيف الصقيل عند الرد </w:t>
      </w:r>
      <w:proofErr w:type="spellStart"/>
      <w:r w:rsidR="00777DCB" w:rsidRPr="00A52585">
        <w:rPr>
          <w:rFonts w:hint="cs"/>
          <w:sz w:val="24"/>
          <w:szCs w:val="24"/>
          <w:rtl/>
        </w:rPr>
        <w:t>علىالأبيات</w:t>
      </w:r>
      <w:proofErr w:type="spellEnd"/>
      <w:r w:rsidR="00777DCB" w:rsidRPr="00A52585">
        <w:rPr>
          <w:rFonts w:hint="cs"/>
          <w:sz w:val="24"/>
          <w:szCs w:val="24"/>
          <w:rtl/>
        </w:rPr>
        <w:t xml:space="preserve"> السابقة</w:t>
      </w:r>
      <w:r w:rsidRPr="00A52585">
        <w:rPr>
          <w:rFonts w:hint="cs"/>
          <w:sz w:val="24"/>
          <w:szCs w:val="24"/>
          <w:rtl/>
        </w:rPr>
        <w:t xml:space="preserve">: </w:t>
      </w:r>
      <w:r w:rsidR="00777DCB" w:rsidRPr="00A52585">
        <w:rPr>
          <w:rFonts w:hint="cs"/>
          <w:sz w:val="24"/>
          <w:szCs w:val="24"/>
          <w:rtl/>
        </w:rPr>
        <w:t xml:space="preserve">"وأرجو أن يفهم القارئ هنا معنى لابد من </w:t>
      </w:r>
      <w:proofErr w:type="spellStart"/>
      <w:r w:rsidR="00777DCB" w:rsidRPr="00A52585">
        <w:rPr>
          <w:rFonts w:hint="cs"/>
          <w:sz w:val="24"/>
          <w:szCs w:val="24"/>
          <w:rtl/>
        </w:rPr>
        <w:t>اعتقادة</w:t>
      </w:r>
      <w:proofErr w:type="spellEnd"/>
      <w:r w:rsidR="00777DCB" w:rsidRPr="00A52585">
        <w:rPr>
          <w:rFonts w:hint="cs"/>
          <w:sz w:val="24"/>
          <w:szCs w:val="24"/>
          <w:rtl/>
        </w:rPr>
        <w:t xml:space="preserve"> وهو أن القائل بأن الله فاعل بالإيجاب في ناحية ودين الإسلام كله في ناحية وأي مسلم يستطيع أن يقول أن ربنا مرغم على فعل ما يفعله</w:t>
      </w:r>
      <w:r w:rsidR="00F95886" w:rsidRPr="00A52585">
        <w:rPr>
          <w:rFonts w:hint="cs"/>
          <w:sz w:val="24"/>
          <w:szCs w:val="24"/>
          <w:rtl/>
        </w:rPr>
        <w:t>؟</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 هـ ص 72</w:t>
      </w:r>
      <w:r w:rsidRPr="00A52585">
        <w:rPr>
          <w:rFonts w:hint="cs"/>
          <w:sz w:val="24"/>
          <w:szCs w:val="24"/>
          <w:rtl/>
        </w:rPr>
        <w:t>]</w:t>
      </w:r>
      <w:r w:rsidR="00DB731D" w:rsidRPr="00A52585">
        <w:rPr>
          <w:rFonts w:hint="cs"/>
          <w:sz w:val="24"/>
          <w:szCs w:val="24"/>
          <w:rtl/>
        </w:rPr>
        <w:t>،</w:t>
      </w:r>
      <w:r w:rsidR="00777DCB" w:rsidRPr="00A52585">
        <w:rPr>
          <w:rFonts w:hint="cs"/>
          <w:rtl/>
        </w:rPr>
        <w:t xml:space="preserve"> وليس وراء ذلك زيغ وكفر فإن الدين ما قاله عز وجل وقاله رسوله صلى الله عليه وسلم</w:t>
      </w:r>
      <w:r w:rsidRPr="00A52585">
        <w:rPr>
          <w:rFonts w:hint="cs"/>
          <w:rtl/>
        </w:rPr>
        <w:t xml:space="preserve"> </w:t>
      </w:r>
      <w:r w:rsidR="00777DCB" w:rsidRPr="00A52585">
        <w:rPr>
          <w:rFonts w:hint="cs"/>
          <w:rtl/>
        </w:rPr>
        <w:t>وقد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هو الأول والآخر والظاهر والباطن وهو بكل شيء عليم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الحديد</w:t>
      </w:r>
      <w:r w:rsidRPr="00A52585">
        <w:rPr>
          <w:rFonts w:hint="cs"/>
          <w:rtl/>
        </w:rPr>
        <w:t>:</w:t>
      </w:r>
      <w:r w:rsidR="00777DCB" w:rsidRPr="00A52585">
        <w:rPr>
          <w:rFonts w:hint="cs"/>
          <w:rtl/>
        </w:rPr>
        <w:t xml:space="preserve"> 3</w:t>
      </w:r>
      <w:r w:rsidRPr="00A52585">
        <w:rPr>
          <w:rFonts w:hint="cs"/>
          <w:rtl/>
        </w:rPr>
        <w:t>]</w:t>
      </w:r>
      <w:r w:rsidR="00DB731D" w:rsidRPr="00A52585">
        <w:rPr>
          <w:rFonts w:hint="cs"/>
          <w:rtl/>
        </w:rPr>
        <w:t>،</w:t>
      </w:r>
      <w:r w:rsidR="00777DCB" w:rsidRPr="00A52585">
        <w:rPr>
          <w:rFonts w:hint="cs"/>
          <w:rtl/>
        </w:rPr>
        <w:t xml:space="preserve"> هو الأول قبل كل شيء بلا ابتداء</w:t>
      </w:r>
      <w:r w:rsidR="00DB731D" w:rsidRPr="00A52585">
        <w:rPr>
          <w:rFonts w:hint="cs"/>
          <w:rtl/>
        </w:rPr>
        <w:t>،</w:t>
      </w:r>
      <w:r w:rsidR="00777DCB" w:rsidRPr="00A52585">
        <w:rPr>
          <w:rFonts w:hint="cs"/>
          <w:rtl/>
        </w:rPr>
        <w:t xml:space="preserve"> كان ولم يكن شيء موجوداً</w:t>
      </w:r>
      <w:r w:rsidR="00DB731D" w:rsidRPr="00A52585">
        <w:rPr>
          <w:rFonts w:hint="cs"/>
          <w:rtl/>
        </w:rPr>
        <w:t>،</w:t>
      </w:r>
      <w:r w:rsidR="00777DCB" w:rsidRPr="00A52585">
        <w:rPr>
          <w:rFonts w:hint="cs"/>
          <w:rtl/>
        </w:rPr>
        <w:t xml:space="preserve"> والآخر بعد فناء كل شيء بلا انتهاء</w:t>
      </w:r>
      <w:r w:rsidR="00DB731D" w:rsidRPr="00A52585">
        <w:rPr>
          <w:rFonts w:hint="cs"/>
          <w:rtl/>
        </w:rPr>
        <w:t>،</w:t>
      </w:r>
      <w:r w:rsidR="00777DCB" w:rsidRPr="00A52585">
        <w:rPr>
          <w:rFonts w:hint="cs"/>
          <w:rtl/>
        </w:rPr>
        <w:t xml:space="preserve"> ويبقى هو</w:t>
      </w:r>
      <w:r w:rsidR="00DB731D" w:rsidRPr="00A52585">
        <w:rPr>
          <w:rFonts w:hint="cs"/>
          <w:rtl/>
        </w:rPr>
        <w:t>،</w:t>
      </w:r>
      <w:r w:rsidR="00777DCB" w:rsidRPr="00A52585">
        <w:rPr>
          <w:rFonts w:hint="cs"/>
          <w:rtl/>
        </w:rPr>
        <w:t xml:space="preserve"> والظاهر</w:t>
      </w:r>
      <w:r w:rsidRPr="00A52585">
        <w:rPr>
          <w:rFonts w:hint="cs"/>
          <w:rtl/>
        </w:rPr>
        <w:t>:</w:t>
      </w:r>
      <w:r w:rsidR="00777DCB" w:rsidRPr="00A52585">
        <w:rPr>
          <w:rFonts w:hint="cs"/>
          <w:rtl/>
        </w:rPr>
        <w:t xml:space="preserve"> أي الغالب على كل شيء</w:t>
      </w:r>
      <w:r w:rsidR="00DB731D" w:rsidRPr="00A52585">
        <w:rPr>
          <w:rFonts w:hint="cs"/>
          <w:rtl/>
        </w:rPr>
        <w:t>،</w:t>
      </w:r>
      <w:r w:rsidR="00777DCB" w:rsidRPr="00A52585">
        <w:rPr>
          <w:rFonts w:hint="cs"/>
          <w:rtl/>
        </w:rPr>
        <w:t xml:space="preserve"> والباطن</w:t>
      </w:r>
      <w:r w:rsidRPr="00A52585">
        <w:rPr>
          <w:rFonts w:hint="cs"/>
          <w:rtl/>
        </w:rPr>
        <w:t>:</w:t>
      </w:r>
      <w:r w:rsidR="00777DCB" w:rsidRPr="00A52585">
        <w:rPr>
          <w:rFonts w:hint="cs"/>
          <w:rtl/>
        </w:rPr>
        <w:t xml:space="preserve"> أي العالم بكل شيء هذا معنى قول ابن عباس رضي الله عنهما</w:t>
      </w:r>
      <w:r w:rsidR="00DB731D" w:rsidRPr="00A52585">
        <w:rPr>
          <w:rFonts w:hint="cs"/>
          <w:rtl/>
        </w:rPr>
        <w:t>،</w:t>
      </w:r>
      <w:r w:rsidR="00777DCB" w:rsidRPr="00A52585">
        <w:rPr>
          <w:rFonts w:hint="cs"/>
          <w:rtl/>
        </w:rPr>
        <w:t xml:space="preserve"> والأقوال في ذلك كثيرة ومنها قول أبي القاسم الجنيد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أبو القاسم الجنيد بن محمد سيد الطائفة (الصوفية) وإمامهم أصله من نهاوند ومنشؤه ومولده بالعراق كان فقيها على مذهب أبي ثور، وكان يفتي في حلقته بحضرته وهو ابن عشرين سنة، صحب خاله السري السقطي والحارث المحاسبي ومحمد بن علي القصاب مات سنة سبع وتسعين ومائتين</w:t>
      </w:r>
      <w:r w:rsidR="00DB731D" w:rsidRPr="00A52585">
        <w:rPr>
          <w:rFonts w:hint="cs"/>
          <w:sz w:val="24"/>
          <w:szCs w:val="24"/>
          <w:rtl/>
        </w:rPr>
        <w:t>،</w:t>
      </w:r>
      <w:r w:rsidR="00777DCB" w:rsidRPr="00A52585">
        <w:rPr>
          <w:rFonts w:hint="cs"/>
          <w:sz w:val="24"/>
          <w:szCs w:val="24"/>
          <w:rtl/>
        </w:rPr>
        <w:t xml:space="preserve"> من أقواله</w:t>
      </w:r>
      <w:r w:rsidRPr="00A52585">
        <w:rPr>
          <w:rFonts w:hint="cs"/>
          <w:sz w:val="24"/>
          <w:szCs w:val="24"/>
          <w:rtl/>
        </w:rPr>
        <w:t xml:space="preserve">: </w:t>
      </w:r>
      <w:r w:rsidR="00777DCB" w:rsidRPr="00A52585">
        <w:rPr>
          <w:rFonts w:hint="cs"/>
          <w:sz w:val="24"/>
          <w:szCs w:val="24"/>
          <w:rtl/>
        </w:rPr>
        <w:t>" من لم يحفظ القرآن ولم يكتب الحديث لا يقتدي به في هذا الأمر (التصوف)"</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"لا يسمى العبد عاقلا حتى لا يظهر على جوارحه شيء ذمه ربُّه"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"صفاء القلوب على حسب صفاء الذكر وخلوصه من الشوائب"</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"لا يصفو قلب لعمل الآخرة إلا إذا تجرد من حب الدنيا"</w:t>
      </w:r>
      <w:r w:rsidRPr="00A52585">
        <w:rPr>
          <w:rFonts w:hint="cs"/>
          <w:sz w:val="24"/>
          <w:szCs w:val="24"/>
          <w:rtl/>
        </w:rPr>
        <w:t>]</w:t>
      </w:r>
      <w:r w:rsidRPr="00A52585">
        <w:rPr>
          <w:rFonts w:hint="cs"/>
          <w:sz w:val="24"/>
          <w:rtl/>
        </w:rPr>
        <w:t>:</w:t>
      </w:r>
      <w:r w:rsidR="00777DCB" w:rsidRPr="00A52585">
        <w:rPr>
          <w:rFonts w:hint="cs"/>
          <w:rtl/>
        </w:rPr>
        <w:t xml:space="preserve"> نفى القدم عن كل أول بأوليته</w:t>
      </w:r>
      <w:r w:rsidR="00DB731D" w:rsidRPr="00A52585">
        <w:rPr>
          <w:rFonts w:hint="cs"/>
          <w:rtl/>
        </w:rPr>
        <w:t>،</w:t>
      </w:r>
      <w:r w:rsidR="00777DCB" w:rsidRPr="00A52585">
        <w:rPr>
          <w:rFonts w:hint="cs"/>
          <w:rtl/>
        </w:rPr>
        <w:t xml:space="preserve"> ونفى البقاء عن كل آخر </w:t>
      </w:r>
      <w:proofErr w:type="spellStart"/>
      <w:r w:rsidR="00777DCB" w:rsidRPr="00A52585">
        <w:rPr>
          <w:rFonts w:hint="cs"/>
          <w:rtl/>
        </w:rPr>
        <w:t>بآخريته</w:t>
      </w:r>
      <w:proofErr w:type="spellEnd"/>
      <w:r w:rsidR="00DB731D" w:rsidRPr="00A52585">
        <w:rPr>
          <w:rFonts w:hint="cs"/>
          <w:rtl/>
        </w:rPr>
        <w:t>،</w:t>
      </w:r>
      <w:r w:rsidR="00777DCB" w:rsidRPr="00A52585">
        <w:rPr>
          <w:rFonts w:hint="cs"/>
          <w:rtl/>
        </w:rPr>
        <w:t xml:space="preserve"> واضطر الخلق إلى الإقرار بربوبيته بظاهريته</w:t>
      </w:r>
      <w:r w:rsidR="00DB731D" w:rsidRPr="00A52585">
        <w:rPr>
          <w:rFonts w:hint="cs"/>
          <w:rtl/>
        </w:rPr>
        <w:t>،</w:t>
      </w:r>
      <w:r w:rsidR="00777DCB" w:rsidRPr="00A52585">
        <w:rPr>
          <w:rFonts w:hint="cs"/>
          <w:rtl/>
        </w:rPr>
        <w:t xml:space="preserve"> وحجب الأفهام عن إدراك كنهه وكيفيته </w:t>
      </w:r>
      <w:proofErr w:type="spellStart"/>
      <w:r w:rsidR="00777DCB" w:rsidRPr="00A52585">
        <w:rPr>
          <w:rFonts w:hint="cs"/>
          <w:rtl/>
        </w:rPr>
        <w:t>بباطنيته</w:t>
      </w:r>
      <w:proofErr w:type="spellEnd"/>
      <w:r w:rsidR="00DB731D" w:rsidRPr="00A52585">
        <w:rPr>
          <w:rFonts w:hint="cs"/>
          <w:rtl/>
        </w:rPr>
        <w:t>،</w:t>
      </w:r>
      <w:r w:rsidR="00777DCB" w:rsidRPr="00A52585">
        <w:rPr>
          <w:rFonts w:hint="cs"/>
          <w:rtl/>
        </w:rPr>
        <w:t xml:space="preserve"> وقال </w:t>
      </w:r>
      <w:r w:rsidR="00777DCB" w:rsidRPr="00A52585">
        <w:rPr>
          <w:rFonts w:hint="cs"/>
          <w:rtl/>
        </w:rPr>
        <w:lastRenderedPageBreak/>
        <w:t>أيضاً</w:t>
      </w:r>
      <w:r w:rsidRPr="00A52585">
        <w:rPr>
          <w:rFonts w:hint="cs"/>
          <w:rtl/>
        </w:rPr>
        <w:t>:</w:t>
      </w:r>
      <w:r w:rsidR="00777DCB" w:rsidRPr="00A52585">
        <w:rPr>
          <w:rFonts w:hint="cs"/>
          <w:rtl/>
        </w:rPr>
        <w:t xml:space="preserve"> هو الأول بشرح القلوب</w:t>
      </w:r>
      <w:r w:rsidR="00DB731D" w:rsidRPr="00A52585">
        <w:rPr>
          <w:rFonts w:hint="cs"/>
          <w:rtl/>
        </w:rPr>
        <w:t>،</w:t>
      </w:r>
      <w:r w:rsidR="00777DCB" w:rsidRPr="00A52585">
        <w:rPr>
          <w:rFonts w:hint="cs"/>
          <w:rtl/>
        </w:rPr>
        <w:t xml:space="preserve"> والآخر بغفران الذنوب</w:t>
      </w:r>
      <w:r w:rsidR="00DB731D" w:rsidRPr="00A52585">
        <w:rPr>
          <w:rFonts w:hint="cs"/>
          <w:rtl/>
        </w:rPr>
        <w:t>،</w:t>
      </w:r>
      <w:r w:rsidR="00777DCB" w:rsidRPr="00A52585">
        <w:rPr>
          <w:rFonts w:hint="cs"/>
          <w:rtl/>
        </w:rPr>
        <w:t xml:space="preserve"> والظاهر بكشف الكروب</w:t>
      </w:r>
      <w:r w:rsidR="00DB731D" w:rsidRPr="00A52585">
        <w:rPr>
          <w:rFonts w:hint="cs"/>
          <w:rtl/>
        </w:rPr>
        <w:t>،</w:t>
      </w:r>
      <w:r w:rsidR="00777DCB" w:rsidRPr="00A52585">
        <w:rPr>
          <w:rFonts w:hint="cs"/>
          <w:rtl/>
        </w:rPr>
        <w:t xml:space="preserve"> والباطن بعلم الغيوب</w:t>
      </w:r>
      <w:r w:rsidR="00DB731D" w:rsidRPr="00A52585">
        <w:rPr>
          <w:rFonts w:hint="cs"/>
          <w:rtl/>
        </w:rPr>
        <w:t>،</w:t>
      </w:r>
      <w:r w:rsidR="00777DCB" w:rsidRPr="00A52585">
        <w:rPr>
          <w:rFonts w:hint="cs"/>
          <w:rtl/>
        </w:rPr>
        <w:t xml:space="preserve"> وقال السيد الجليل محمد بن الفضل </w:t>
      </w:r>
      <w:r w:rsidRPr="00A52585">
        <w:rPr>
          <w:rFonts w:hint="cs"/>
          <w:sz w:val="24"/>
          <w:szCs w:val="24"/>
          <w:rtl/>
        </w:rPr>
        <w:t>[</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السيد الجليل أبو عبد الله محمد بن الفضل البلخي، سكن سمرقند ومات بها سنة تسع عشرة وثلاثمائة سأله أبو عثمان </w:t>
      </w:r>
      <w:proofErr w:type="spellStart"/>
      <w:r w:rsidR="00777DCB" w:rsidRPr="00A52585">
        <w:rPr>
          <w:rFonts w:hint="cs"/>
          <w:sz w:val="24"/>
          <w:szCs w:val="24"/>
          <w:rtl/>
        </w:rPr>
        <w:t>الحيري</w:t>
      </w:r>
      <w:proofErr w:type="spellEnd"/>
      <w:r w:rsidRPr="00A52585">
        <w:rPr>
          <w:rFonts w:hint="cs"/>
          <w:sz w:val="24"/>
          <w:szCs w:val="24"/>
          <w:rtl/>
        </w:rPr>
        <w:t>:</w:t>
      </w:r>
      <w:r w:rsidR="00777DCB" w:rsidRPr="00A52585">
        <w:rPr>
          <w:rFonts w:hint="cs"/>
          <w:sz w:val="24"/>
          <w:szCs w:val="24"/>
          <w:rtl/>
        </w:rPr>
        <w:t xml:space="preserve"> ما علامة الشقاوة فقال</w:t>
      </w:r>
      <w:r w:rsidRPr="00A52585">
        <w:rPr>
          <w:rFonts w:hint="cs"/>
          <w:sz w:val="24"/>
          <w:szCs w:val="24"/>
          <w:rtl/>
        </w:rPr>
        <w:t>:</w:t>
      </w:r>
      <w:r w:rsidR="00777DCB" w:rsidRPr="00A52585">
        <w:rPr>
          <w:rFonts w:hint="cs"/>
          <w:sz w:val="24"/>
          <w:szCs w:val="24"/>
          <w:rtl/>
        </w:rPr>
        <w:t xml:space="preserve"> " ثلاثة أشياء</w:t>
      </w:r>
      <w:r w:rsidRPr="00A52585">
        <w:rPr>
          <w:rFonts w:hint="cs"/>
          <w:sz w:val="24"/>
          <w:szCs w:val="24"/>
          <w:rtl/>
        </w:rPr>
        <w:t>:</w:t>
      </w:r>
      <w:r w:rsidR="00777DCB" w:rsidRPr="00A52585">
        <w:rPr>
          <w:rFonts w:hint="cs"/>
          <w:sz w:val="24"/>
          <w:szCs w:val="24"/>
          <w:rtl/>
        </w:rPr>
        <w:t xml:space="preserve"> يرزق العلم ويحرم العمل، ويرزق العمل ويحرم الإخلاص ويرزق صحبة الصالحين ولا يحترم لهم "</w:t>
      </w:r>
      <w:r w:rsidR="00DB731D" w:rsidRPr="00A52585">
        <w:rPr>
          <w:rFonts w:hint="cs"/>
          <w:sz w:val="24"/>
          <w:szCs w:val="24"/>
          <w:rtl/>
        </w:rPr>
        <w:t>،</w:t>
      </w:r>
      <w:r w:rsidR="00777DCB" w:rsidRPr="00A52585">
        <w:rPr>
          <w:rFonts w:hint="cs"/>
          <w:sz w:val="24"/>
          <w:szCs w:val="24"/>
          <w:rtl/>
        </w:rPr>
        <w:t xml:space="preserve"> من أقواله</w:t>
      </w:r>
      <w:r w:rsidRPr="00A52585">
        <w:rPr>
          <w:rFonts w:hint="cs"/>
          <w:sz w:val="24"/>
          <w:szCs w:val="24"/>
          <w:rtl/>
        </w:rPr>
        <w:t xml:space="preserve">: </w:t>
      </w:r>
      <w:r w:rsidR="00777DCB" w:rsidRPr="00A52585">
        <w:rPr>
          <w:rFonts w:hint="cs"/>
          <w:sz w:val="24"/>
          <w:szCs w:val="24"/>
          <w:rtl/>
        </w:rPr>
        <w:t>" أعرف الناس بالله</w:t>
      </w:r>
      <w:r w:rsidRPr="00A52585">
        <w:rPr>
          <w:rFonts w:hint="cs"/>
          <w:sz w:val="24"/>
          <w:szCs w:val="24"/>
          <w:rtl/>
        </w:rPr>
        <w:t>:</w:t>
      </w:r>
      <w:r w:rsidR="00777DCB" w:rsidRPr="00A52585">
        <w:rPr>
          <w:rFonts w:hint="cs"/>
          <w:sz w:val="24"/>
          <w:szCs w:val="24"/>
          <w:rtl/>
        </w:rPr>
        <w:t xml:space="preserve"> أشدهم مجاهدة في أوامره وأتبعهم لسنة </w:t>
      </w:r>
      <w:proofErr w:type="spellStart"/>
      <w:r w:rsidR="00777DCB" w:rsidRPr="00A52585">
        <w:rPr>
          <w:rFonts w:hint="cs"/>
          <w:sz w:val="24"/>
          <w:szCs w:val="24"/>
          <w:rtl/>
        </w:rPr>
        <w:t>نبيهصلى</w:t>
      </w:r>
      <w:proofErr w:type="spellEnd"/>
      <w:r w:rsidR="00777DCB" w:rsidRPr="00A52585">
        <w:rPr>
          <w:rFonts w:hint="cs"/>
          <w:sz w:val="24"/>
          <w:szCs w:val="24"/>
          <w:rtl/>
        </w:rPr>
        <w:t xml:space="preserve"> الله عليه وسلم "</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ست خصال يعرف بها الجاهل</w:t>
      </w:r>
      <w:r w:rsidRPr="00A52585">
        <w:rPr>
          <w:rFonts w:hint="cs"/>
          <w:sz w:val="24"/>
          <w:szCs w:val="24"/>
          <w:rtl/>
        </w:rPr>
        <w:t>:</w:t>
      </w:r>
      <w:r w:rsidR="00777DCB" w:rsidRPr="00A52585">
        <w:rPr>
          <w:rFonts w:hint="cs"/>
          <w:sz w:val="24"/>
          <w:szCs w:val="24"/>
          <w:rtl/>
        </w:rPr>
        <w:t xml:space="preserve"> الغضب في غير شيء، والكلام في غير نفع، والعظة في غير موضعها، وإفشاء السر، والثقة بكل أحد، ولا يعرف صديقه من عدوه "</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أترك نفسك منزلة من لا حاجة له فيها ولابد له منها فإن من ملك نفسه عزّ ومن ملكته نفسه ذلَّ "</w:t>
      </w:r>
      <w:r w:rsidRPr="00A52585">
        <w:rPr>
          <w:rFonts w:hint="cs"/>
          <w:sz w:val="24"/>
          <w:szCs w:val="24"/>
          <w:rtl/>
        </w:rPr>
        <w:t>]:</w:t>
      </w:r>
      <w:r w:rsidR="00777DCB" w:rsidRPr="00A52585">
        <w:rPr>
          <w:rFonts w:hint="cs"/>
          <w:rtl/>
        </w:rPr>
        <w:t xml:space="preserve"> أولاً بِبِرِّه وأخراً بعفوه وظاهراً بإحسانه وباطناً بستره</w:t>
      </w:r>
      <w:r w:rsidR="00DB731D" w:rsidRPr="00A52585">
        <w:rPr>
          <w:rFonts w:hint="cs"/>
          <w:vertAlign w:val="superscript"/>
          <w:rtl/>
        </w:rPr>
        <w:t>،</w:t>
      </w:r>
      <w:r w:rsidR="00777DCB" w:rsidRPr="00A52585">
        <w:rPr>
          <w:rFonts w:hint="cs"/>
          <w:rtl/>
        </w:rPr>
        <w:t xml:space="preserve"> ومن حق العبد أن يجعل له حظاً من هذا الخطاب فيزن ظاهره بأنواع الخدمة ويزين باطنه بأنوار الهيبة ويحقق جميع أفعاله وحركاته وسكناته وسائر طاعاته وقرباته بالصدق والإخلاص لقوله عز وجل </w:t>
      </w:r>
      <w:r w:rsidRPr="00A52585">
        <w:rPr>
          <w:rFonts w:hint="cs"/>
          <w:rtl/>
        </w:rPr>
        <w:t>{</w:t>
      </w:r>
      <w:r w:rsidR="00777DCB" w:rsidRPr="00A52585">
        <w:rPr>
          <w:rFonts w:hint="cs"/>
          <w:rtl/>
        </w:rPr>
        <w:t>والله بكل شيء عليم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الآيات 282 من سورة البقرة، 35 و 64 من سورة النور، 16 من سورة الحجرات</w:t>
      </w:r>
      <w:r w:rsidR="00DB731D" w:rsidRPr="00A52585">
        <w:rPr>
          <w:rFonts w:hint="cs"/>
          <w:rtl/>
        </w:rPr>
        <w:t>،</w:t>
      </w:r>
      <w:r w:rsidR="00777DCB" w:rsidRPr="00A52585">
        <w:rPr>
          <w:rFonts w:hint="cs"/>
          <w:rtl/>
        </w:rPr>
        <w:t xml:space="preserve"> 11 من سورة التغابن</w:t>
      </w:r>
      <w:r w:rsidRPr="00A52585">
        <w:rPr>
          <w:rFonts w:hint="cs"/>
          <w:rtl/>
        </w:rPr>
        <w:t>]</w:t>
      </w:r>
      <w:r w:rsidR="00DB731D" w:rsidRPr="00A52585">
        <w:rPr>
          <w:rFonts w:hint="cs"/>
          <w:rtl/>
        </w:rPr>
        <w:t>،</w:t>
      </w:r>
      <w:r w:rsidR="00777DCB" w:rsidRPr="00A52585">
        <w:rPr>
          <w:rFonts w:hint="cs"/>
          <w:rtl/>
        </w:rPr>
        <w:t xml:space="preserve"> وسأل عمر رضي الله عنه كعب الأحبار عن معنى هذه الآية فقال</w:t>
      </w:r>
      <w:r w:rsidRPr="00A52585">
        <w:rPr>
          <w:rFonts w:hint="cs"/>
          <w:rtl/>
        </w:rPr>
        <w:t>:</w:t>
      </w:r>
      <w:r w:rsidR="00777DCB" w:rsidRPr="00A52585">
        <w:rPr>
          <w:rFonts w:hint="cs"/>
          <w:rtl/>
        </w:rPr>
        <w:t xml:space="preserve"> إن علمه بالأول كعلمه بالآخر وعلمه بالظاهر كعلمه بالباطن وهو بكل شيء عليم</w:t>
      </w:r>
      <w:r w:rsidR="00DB731D" w:rsidRPr="00A52585">
        <w:rPr>
          <w:rFonts w:hint="cs"/>
          <w:vertAlign w:val="superscript"/>
          <w:rtl/>
        </w:rPr>
        <w:t>،</w:t>
      </w:r>
      <w:r w:rsidR="00777DCB" w:rsidRPr="00A52585">
        <w:rPr>
          <w:rFonts w:hint="cs"/>
          <w:rtl/>
        </w:rPr>
        <w:t xml:space="preserve"> </w:t>
      </w:r>
    </w:p>
    <w:p w14:paraId="69A56801" w14:textId="77777777" w:rsidR="00777DCB" w:rsidRPr="00A52585" w:rsidRDefault="00777DCB" w:rsidP="0002035C">
      <w:pPr>
        <w:spacing w:after="240"/>
        <w:jc w:val="center"/>
        <w:rPr>
          <w:b/>
          <w:bCs/>
          <w:rtl/>
        </w:rPr>
      </w:pPr>
      <w:r w:rsidRPr="00A52585">
        <w:rPr>
          <w:rFonts w:hint="cs"/>
          <w:bCs/>
          <w:rtl/>
        </w:rPr>
        <w:t>****</w:t>
      </w:r>
    </w:p>
    <w:p w14:paraId="0993E053" w14:textId="5392F793"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بعض إشاراته إلى الانتقاص من قدر رسول الله صلى الله عليه وسلم وأصحابه</w:t>
      </w:r>
      <w:r w:rsidRPr="00A52585">
        <w:rPr>
          <w:rFonts w:hint="cs"/>
          <w:bCs/>
          <w:rtl/>
        </w:rPr>
        <w:t>]</w:t>
      </w:r>
    </w:p>
    <w:p w14:paraId="09117EE9" w14:textId="17CFA33D" w:rsidR="00777DCB" w:rsidRPr="00A52585" w:rsidRDefault="0002035C" w:rsidP="0002035C">
      <w:pPr>
        <w:spacing w:after="240"/>
        <w:rPr>
          <w:b/>
          <w:bCs/>
        </w:rPr>
      </w:pPr>
      <w:r w:rsidRPr="00A52585">
        <w:rPr>
          <w:rFonts w:hint="cs"/>
          <w:bCs/>
          <w:rtl/>
        </w:rPr>
        <w:t>[</w:t>
      </w:r>
      <w:r w:rsidR="00777DCB" w:rsidRPr="00A52585">
        <w:rPr>
          <w:rFonts w:hint="cs"/>
          <w:bCs/>
          <w:rtl/>
        </w:rPr>
        <w:t>أ- طعنه في حديث متى وجبت لك النبوة</w:t>
      </w:r>
      <w:r w:rsidRPr="00A52585">
        <w:rPr>
          <w:rFonts w:hint="cs"/>
          <w:bCs/>
          <w:rtl/>
        </w:rPr>
        <w:t>]:</w:t>
      </w:r>
      <w:r w:rsidR="00777DCB" w:rsidRPr="00A52585">
        <w:rPr>
          <w:rFonts w:hint="cs"/>
          <w:bCs/>
          <w:rtl/>
        </w:rPr>
        <w:t xml:space="preserve"> ومما انتقد عليه</w:t>
      </w:r>
      <w:r w:rsidRPr="00A52585">
        <w:rPr>
          <w:rFonts w:hint="cs"/>
          <w:bCs/>
          <w:rtl/>
        </w:rPr>
        <w:t>:</w:t>
      </w:r>
      <w:r w:rsidR="00777DCB" w:rsidRPr="00A52585">
        <w:rPr>
          <w:rFonts w:hint="cs"/>
          <w:bCs/>
          <w:rtl/>
        </w:rPr>
        <w:t xml:space="preserve"> </w:t>
      </w:r>
      <w:r w:rsidR="00777DCB" w:rsidRPr="00A52585">
        <w:rPr>
          <w:rFonts w:hint="cs"/>
          <w:rtl/>
        </w:rPr>
        <w:t>تكذيبه النبي صلى الله عليه وسلم فيما أخبر به عن نبوته من حديث أبي هريرة رضي الله عنه قالوا</w:t>
      </w:r>
      <w:r w:rsidRPr="00A52585">
        <w:rPr>
          <w:rFonts w:hint="cs"/>
          <w:rtl/>
        </w:rPr>
        <w:t>:</w:t>
      </w:r>
      <w:r w:rsidR="00777DCB" w:rsidRPr="00A52585">
        <w:rPr>
          <w:rFonts w:hint="cs"/>
          <w:rtl/>
        </w:rPr>
        <w:t xml:space="preserve"> يا رسول الله متى وجبت لك النبوة</w:t>
      </w:r>
      <w:r w:rsidRPr="00A52585">
        <w:rPr>
          <w:rFonts w:hint="cs"/>
          <w:rtl/>
        </w:rPr>
        <w:t>:</w:t>
      </w:r>
      <w:r w:rsidR="00777DCB" w:rsidRPr="00A52585">
        <w:rPr>
          <w:rFonts w:hint="cs"/>
          <w:rtl/>
        </w:rPr>
        <w:t xml:space="preserve"> قال عليه الصلاة والسلام</w:t>
      </w:r>
      <w:r w:rsidRPr="00A52585">
        <w:rPr>
          <w:rFonts w:hint="cs"/>
          <w:rtl/>
        </w:rPr>
        <w:t>:</w:t>
      </w:r>
      <w:r w:rsidR="00777DCB" w:rsidRPr="00A52585">
        <w:rPr>
          <w:rFonts w:hint="cs"/>
          <w:rtl/>
        </w:rPr>
        <w:t xml:space="preserve"> وآدم بين الروح والجسد. وفي رواية</w:t>
      </w:r>
      <w:r w:rsidRPr="00A52585">
        <w:rPr>
          <w:rFonts w:hint="cs"/>
          <w:rtl/>
        </w:rPr>
        <w:t>:</w:t>
      </w:r>
      <w:r w:rsidR="00777DCB" w:rsidRPr="00A52585">
        <w:rPr>
          <w:rFonts w:hint="cs"/>
          <w:rtl/>
        </w:rPr>
        <w:t xml:space="preserve"> وإن آدم </w:t>
      </w:r>
      <w:proofErr w:type="spellStart"/>
      <w:r w:rsidR="00777DCB" w:rsidRPr="00A52585">
        <w:rPr>
          <w:rFonts w:hint="cs"/>
          <w:rtl/>
        </w:rPr>
        <w:t>لمنجدل</w:t>
      </w:r>
      <w:proofErr w:type="spellEnd"/>
      <w:r w:rsidR="00777DCB" w:rsidRPr="00A52585">
        <w:rPr>
          <w:rFonts w:hint="cs"/>
          <w:rtl/>
        </w:rPr>
        <w:t xml:space="preserve"> في طينته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روى الإمام أحمد والطبراني عن ميسرة الفجر قال</w:t>
      </w:r>
      <w:r w:rsidRPr="00A52585">
        <w:rPr>
          <w:rFonts w:hint="cs"/>
          <w:sz w:val="24"/>
          <w:szCs w:val="24"/>
          <w:rtl/>
        </w:rPr>
        <w:t>:</w:t>
      </w:r>
      <w:r w:rsidR="00777DCB" w:rsidRPr="00A52585">
        <w:rPr>
          <w:rFonts w:hint="cs"/>
          <w:sz w:val="24"/>
          <w:szCs w:val="24"/>
          <w:rtl/>
        </w:rPr>
        <w:t xml:space="preserve"> " قلت يا رسول الله متى كتبت نبيا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وآدم بين الروح والجسد "</w:t>
      </w:r>
      <w:r w:rsidRPr="00A52585">
        <w:rPr>
          <w:rFonts w:hint="cs"/>
          <w:sz w:val="24"/>
          <w:szCs w:val="24"/>
          <w:rtl/>
        </w:rPr>
        <w:t xml:space="preserve"> </w:t>
      </w:r>
      <w:r w:rsidR="00777DCB" w:rsidRPr="00A52585">
        <w:rPr>
          <w:rFonts w:hint="cs"/>
          <w:sz w:val="24"/>
          <w:szCs w:val="24"/>
          <w:rtl/>
        </w:rPr>
        <w:t>قال الهيثمي</w:t>
      </w:r>
      <w:r w:rsidRPr="00A52585">
        <w:rPr>
          <w:rFonts w:hint="cs"/>
          <w:sz w:val="24"/>
          <w:szCs w:val="24"/>
          <w:rtl/>
        </w:rPr>
        <w:t>:</w:t>
      </w:r>
      <w:r w:rsidR="00777DCB" w:rsidRPr="00A52585">
        <w:rPr>
          <w:rFonts w:hint="cs"/>
          <w:sz w:val="24"/>
          <w:szCs w:val="24"/>
          <w:rtl/>
        </w:rPr>
        <w:t xml:space="preserve"> رجاله رجال الصحيح أهـ مجمع الزوائد 8/223</w:t>
      </w:r>
      <w:r w:rsidR="00DB731D" w:rsidRPr="00A52585">
        <w:rPr>
          <w:rFonts w:hint="cs"/>
          <w:sz w:val="24"/>
          <w:szCs w:val="24"/>
          <w:rtl/>
        </w:rPr>
        <w:t>،</w:t>
      </w:r>
      <w:r w:rsidR="00777DCB" w:rsidRPr="00A52585">
        <w:rPr>
          <w:rFonts w:hint="cs"/>
          <w:sz w:val="24"/>
          <w:szCs w:val="24"/>
          <w:rtl/>
        </w:rPr>
        <w:t xml:space="preserve"> وعن العرباض بن سارية قال</w:t>
      </w:r>
      <w:r w:rsidRPr="00A52585">
        <w:rPr>
          <w:rFonts w:hint="cs"/>
          <w:sz w:val="24"/>
          <w:szCs w:val="24"/>
          <w:rtl/>
        </w:rPr>
        <w:t>:</w:t>
      </w:r>
      <w:r w:rsidR="00777DCB" w:rsidRPr="00A52585">
        <w:rPr>
          <w:rFonts w:hint="cs"/>
          <w:sz w:val="24"/>
          <w:szCs w:val="24"/>
          <w:rtl/>
        </w:rPr>
        <w:t xml:space="preserve"> قال رسول الله صلى الله عليه وسلم</w:t>
      </w:r>
      <w:r w:rsidRPr="00A52585">
        <w:rPr>
          <w:rFonts w:hint="cs"/>
          <w:sz w:val="24"/>
          <w:szCs w:val="24"/>
          <w:rtl/>
        </w:rPr>
        <w:t xml:space="preserve">: </w:t>
      </w:r>
      <w:r w:rsidR="00777DCB" w:rsidRPr="00A52585">
        <w:rPr>
          <w:rFonts w:hint="cs"/>
          <w:sz w:val="24"/>
          <w:szCs w:val="24"/>
          <w:rtl/>
        </w:rPr>
        <w:t xml:space="preserve">" إني عند الله لخاتم النبيين وإن آدم </w:t>
      </w:r>
      <w:proofErr w:type="spellStart"/>
      <w:r w:rsidR="00777DCB" w:rsidRPr="00A52585">
        <w:rPr>
          <w:rFonts w:hint="cs"/>
          <w:sz w:val="24"/>
          <w:szCs w:val="24"/>
          <w:rtl/>
        </w:rPr>
        <w:t>لمنجدل</w:t>
      </w:r>
      <w:proofErr w:type="spellEnd"/>
      <w:r w:rsidR="00777DCB" w:rsidRPr="00A52585">
        <w:rPr>
          <w:rFonts w:hint="cs"/>
          <w:sz w:val="24"/>
          <w:szCs w:val="24"/>
          <w:rtl/>
        </w:rPr>
        <w:t xml:space="preserve"> في طينته</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رواه أحمد بأسانيد والبزار والطبراني بنحوه قال الهيثمي</w:t>
      </w:r>
      <w:r w:rsidRPr="00A52585">
        <w:rPr>
          <w:rFonts w:hint="cs"/>
          <w:sz w:val="24"/>
          <w:szCs w:val="24"/>
          <w:rtl/>
        </w:rPr>
        <w:t>:</w:t>
      </w:r>
      <w:r w:rsidR="00777DCB" w:rsidRPr="00A52585">
        <w:rPr>
          <w:rFonts w:hint="cs"/>
          <w:sz w:val="24"/>
          <w:szCs w:val="24"/>
          <w:rtl/>
        </w:rPr>
        <w:t xml:space="preserve"> أحد أسانيد أحمد رجاله رجال الصحيح غير سعيد بن سويد وقد وثقه ابن حبان أهـ مجمع الزوائد 8/223</w:t>
      </w:r>
      <w:r w:rsidR="00DB731D" w:rsidRPr="00A52585">
        <w:rPr>
          <w:rFonts w:hint="cs"/>
          <w:sz w:val="24"/>
          <w:szCs w:val="24"/>
          <w:rtl/>
        </w:rPr>
        <w:t>،</w:t>
      </w:r>
      <w:r w:rsidR="00777DCB" w:rsidRPr="00A52585">
        <w:rPr>
          <w:rFonts w:hint="cs"/>
          <w:sz w:val="24"/>
          <w:szCs w:val="24"/>
          <w:rtl/>
        </w:rPr>
        <w:t xml:space="preserve"> وحديث ميسرة الفجر رواه ابن بشران مطولا بزيادة تفصيل وبإسناد قوي كما قال الحافظ ابن حجر وسيأتي في التعليق على حديث توسل سيدنا آدم صلى الله عليه وسلم</w:t>
      </w:r>
      <w:r w:rsidRPr="00A52585">
        <w:rPr>
          <w:rFonts w:hint="cs"/>
          <w:sz w:val="24"/>
          <w:szCs w:val="24"/>
          <w:rtl/>
        </w:rPr>
        <w:t>]</w:t>
      </w:r>
      <w:r w:rsidR="00777DCB" w:rsidRPr="00A52585">
        <w:rPr>
          <w:rFonts w:hint="cs"/>
          <w:rtl/>
        </w:rPr>
        <w:t>، وتكلم بكلام لبَّس فيه على العوام وغيرهم من سيء الأفهام حتى وقعوا في شر موقع يقصد بذلك</w:t>
      </w:r>
      <w:r w:rsidR="00DB731D" w:rsidRPr="00A52585">
        <w:rPr>
          <w:rFonts w:hint="cs"/>
          <w:vertAlign w:val="superscript"/>
          <w:rtl/>
        </w:rPr>
        <w:t>،</w:t>
      </w:r>
      <w:r w:rsidR="00777DCB" w:rsidRPr="00A52585">
        <w:rPr>
          <w:rFonts w:hint="cs"/>
          <w:rtl/>
        </w:rPr>
        <w:t xml:space="preserve"> الازدراء برسول الله صلى الله عليه وسلم والحط من قدره ورتبته</w:t>
      </w:r>
      <w:r w:rsidR="00DB731D" w:rsidRPr="00A52585">
        <w:rPr>
          <w:rFonts w:hint="cs"/>
          <w:rtl/>
        </w:rPr>
        <w:t>،</w:t>
      </w:r>
      <w:r w:rsidR="00777DCB" w:rsidRPr="00A52585">
        <w:rPr>
          <w:rFonts w:hint="cs"/>
          <w:rtl/>
        </w:rPr>
        <w:t xml:space="preserve"> </w:t>
      </w:r>
      <w:r w:rsidR="00777DCB" w:rsidRPr="00A52585">
        <w:rPr>
          <w:rFonts w:hint="cs"/>
          <w:rtl/>
        </w:rPr>
        <w:lastRenderedPageBreak/>
        <w:t>وما فيه رِفْعَةٌ يسكت عنه</w:t>
      </w:r>
      <w:r w:rsidR="00F95886" w:rsidRPr="00A52585">
        <w:rPr>
          <w:rFonts w:hint="cs"/>
          <w:rtl/>
        </w:rPr>
        <w:t>!</w:t>
      </w:r>
      <w:r w:rsidR="00777DCB" w:rsidRPr="00A52585">
        <w:rPr>
          <w:rFonts w:hint="cs"/>
          <w:rtl/>
        </w:rPr>
        <w:t xml:space="preserve"> يفهم ذلك منه كل عالم امتلأ قلبه بتعظيمه صلى الله عليه وسلم</w:t>
      </w:r>
      <w:r w:rsidR="00DB731D" w:rsidRPr="00A52585">
        <w:rPr>
          <w:rFonts w:hint="cs"/>
          <w:rtl/>
        </w:rPr>
        <w:t>،</w:t>
      </w:r>
      <w:r w:rsidR="00777DCB" w:rsidRPr="00A52585">
        <w:rPr>
          <w:rFonts w:hint="cs"/>
          <w:rtl/>
        </w:rPr>
        <w:t xml:space="preserve"> وتوقيره وبما خصه الله تعالى من مزايا المواهب الإلهية</w:t>
      </w:r>
      <w:r w:rsidRPr="00A52585">
        <w:rPr>
          <w:rFonts w:hint="cs"/>
          <w:vertAlign w:val="superscript"/>
          <w:rtl/>
        </w:rPr>
        <w:t xml:space="preserve"> </w:t>
      </w:r>
      <w:r w:rsidR="00777DCB" w:rsidRPr="00A52585">
        <w:rPr>
          <w:rFonts w:hint="cs"/>
          <w:rtl/>
        </w:rPr>
        <w:t>التي لم ينلها غيره</w:t>
      </w:r>
      <w:r w:rsidR="00DB731D" w:rsidRPr="00A52585">
        <w:rPr>
          <w:rFonts w:hint="cs"/>
          <w:rtl/>
        </w:rPr>
        <w:t>،</w:t>
      </w:r>
      <w:r w:rsidR="00777DCB" w:rsidRPr="00A52585">
        <w:rPr>
          <w:rFonts w:hint="cs"/>
          <w:rtl/>
        </w:rPr>
        <w:t xml:space="preserve"> وهذا الخبيث حريص على حط رتبته والغض منه تارة يقع ذلك منه قريباً من التصريح وتارة بالإشارات القريبة وتارة بالإشارات البعيدة التي لا يدركها إلا أهلُها</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ب- زعمه الإجماع على أفضلية مكة على المدينة</w:t>
      </w:r>
      <w:r w:rsidRPr="00A52585">
        <w:rPr>
          <w:rFonts w:hint="cs"/>
          <w:bCs/>
          <w:rtl/>
        </w:rPr>
        <w:t>]:</w:t>
      </w:r>
      <w:r w:rsidR="00777DCB" w:rsidRPr="00A52585">
        <w:rPr>
          <w:rFonts w:hint="cs"/>
          <w:bCs/>
          <w:rtl/>
        </w:rPr>
        <w:t xml:space="preserve"> </w:t>
      </w:r>
      <w:r w:rsidR="00777DCB" w:rsidRPr="00A52585">
        <w:rPr>
          <w:rFonts w:hint="cs"/>
          <w:rtl/>
        </w:rPr>
        <w:t>فمن ذلك وقد سئل على ما زعم أيما أفضل مكة أو المدينة فأجاب</w:t>
      </w:r>
      <w:r w:rsidRPr="00A52585">
        <w:rPr>
          <w:rFonts w:hint="cs"/>
          <w:rtl/>
        </w:rPr>
        <w:t>:</w:t>
      </w:r>
      <w:r w:rsidR="00777DCB" w:rsidRPr="00A52585">
        <w:rPr>
          <w:rFonts w:hint="cs"/>
          <w:rtl/>
        </w:rPr>
        <w:t xml:space="preserve"> مكة أفضل بالإجماع. وكتبه أحمد بن تيمية الحنبلي. وعليها خطة وأنا أعرف خطه وفي هذا الجواب دسائس وفجور ورمز بعيد</w:t>
      </w:r>
      <w:r w:rsidR="00DB731D" w:rsidRPr="00A52585">
        <w:rPr>
          <w:rFonts w:hint="cs"/>
          <w:rtl/>
        </w:rPr>
        <w:t>،</w:t>
      </w:r>
      <w:r w:rsidR="00777DCB" w:rsidRPr="00A52585">
        <w:rPr>
          <w:rFonts w:hint="cs"/>
          <w:rtl/>
        </w:rPr>
        <w:t xml:space="preserve"> فمن الفجور نسبته إلى الإمام أحمد والإمام أحمد وأتباعه </w:t>
      </w:r>
      <w:proofErr w:type="spellStart"/>
      <w:r w:rsidR="00777DCB" w:rsidRPr="00A52585">
        <w:rPr>
          <w:rFonts w:hint="cs"/>
          <w:rtl/>
        </w:rPr>
        <w:t>برءأ</w:t>
      </w:r>
      <w:proofErr w:type="spellEnd"/>
      <w:r w:rsidR="00777DCB" w:rsidRPr="00A52585">
        <w:rPr>
          <w:rFonts w:hint="cs"/>
          <w:rtl/>
        </w:rPr>
        <w:t xml:space="preserve"> منه ومما هو عليه</w:t>
      </w:r>
      <w:r w:rsidR="00DB731D" w:rsidRPr="00A52585">
        <w:rPr>
          <w:rFonts w:hint="cs"/>
          <w:rtl/>
        </w:rPr>
        <w:t>،</w:t>
      </w:r>
      <w:r w:rsidR="00777DCB" w:rsidRPr="00A52585">
        <w:rPr>
          <w:rFonts w:hint="cs"/>
          <w:rtl/>
        </w:rPr>
        <w:t xml:space="preserve"> وهو لا يلتفت إليه إلا إذا كان له في ذكره غرض أما إذا لم يكن فلا يلوي على قوله ويسفهه حتى فيما ينقله</w:t>
      </w:r>
      <w:r w:rsidR="00DB731D" w:rsidRPr="00A52585">
        <w:rPr>
          <w:rFonts w:hint="cs"/>
          <w:rtl/>
        </w:rPr>
        <w:t>،</w:t>
      </w:r>
      <w:r w:rsidR="00777DCB" w:rsidRPr="00A52585">
        <w:rPr>
          <w:rFonts w:hint="cs"/>
          <w:rtl/>
        </w:rPr>
        <w:t xml:space="preserve"> ويكفره فيما يعتقده إذا كان على خلاف هواه</w:t>
      </w:r>
      <w:r w:rsidR="00DB731D" w:rsidRPr="00A52585">
        <w:rPr>
          <w:rFonts w:hint="cs"/>
          <w:rtl/>
        </w:rPr>
        <w:t>،</w:t>
      </w:r>
      <w:r w:rsidR="00777DCB" w:rsidRPr="00A52585">
        <w:rPr>
          <w:rFonts w:hint="cs"/>
          <w:rtl/>
        </w:rPr>
        <w:t xml:space="preserve"> ومن مواضع تسفيهه الإمام أحمد مسألة الطلاق. فإن الإمام أحمد قال</w:t>
      </w:r>
      <w:r w:rsidRPr="00A52585">
        <w:rPr>
          <w:rFonts w:hint="cs"/>
          <w:rtl/>
        </w:rPr>
        <w:t>:</w:t>
      </w:r>
      <w:r w:rsidR="00777DCB" w:rsidRPr="00A52585">
        <w:rPr>
          <w:rFonts w:hint="cs"/>
          <w:rtl/>
        </w:rPr>
        <w:t xml:space="preserve"> الذي أخبرنا بأن الطلاق واحدة أخبرنا بأن الطلاق الثلاث ثلاث وعلى ذلك جرى الأئمة من جميع المذهب. فإذا كان الإمام أحمد غير ثقة فلمن يوثق</w:t>
      </w:r>
      <w:r w:rsidR="00DB731D" w:rsidRPr="00A52585">
        <w:rPr>
          <w:rFonts w:hint="cs"/>
          <w:rtl/>
        </w:rPr>
        <w:t>،</w:t>
      </w:r>
      <w:r w:rsidR="00777DCB" w:rsidRPr="00A52585">
        <w:rPr>
          <w:rFonts w:hint="cs"/>
          <w:rtl/>
        </w:rPr>
        <w:t xml:space="preserve"> وقال أعنى ابن تيمية في الجواب عن المسألة المبسوطة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والإمام أحمد أعلم الناس في زمانه بالسنة)</w:t>
      </w:r>
      <w:r w:rsidR="00DB731D" w:rsidRPr="00A52585">
        <w:rPr>
          <w:rFonts w:hint="cs"/>
          <w:rtl/>
        </w:rPr>
        <w:t>،</w:t>
      </w:r>
      <w:r w:rsidR="00777DCB" w:rsidRPr="00A52585">
        <w:rPr>
          <w:rFonts w:hint="cs"/>
          <w:rtl/>
        </w:rPr>
        <w:t xml:space="preserve"> وبالغ في الثناء عليه</w:t>
      </w:r>
      <w:r w:rsidR="00DB731D" w:rsidRPr="00A52585">
        <w:rPr>
          <w:rFonts w:hint="cs"/>
          <w:rtl/>
        </w:rPr>
        <w:t>،</w:t>
      </w:r>
      <w:r w:rsidR="00777DCB" w:rsidRPr="00A52585">
        <w:rPr>
          <w:rFonts w:hint="cs"/>
          <w:rtl/>
        </w:rPr>
        <w:t xml:space="preserve"> </w:t>
      </w:r>
      <w:proofErr w:type="spellStart"/>
      <w:r w:rsidR="00777DCB" w:rsidRPr="00A52585">
        <w:rPr>
          <w:rFonts w:hint="cs"/>
          <w:rtl/>
        </w:rPr>
        <w:t>فيالله</w:t>
      </w:r>
      <w:proofErr w:type="spellEnd"/>
      <w:r w:rsidR="00777DCB" w:rsidRPr="00A52585">
        <w:rPr>
          <w:rFonts w:hint="cs"/>
          <w:rtl/>
        </w:rPr>
        <w:t xml:space="preserve"> العجب من هذا الأعمى البصيرة الذي لا يحس بتناقض كلامه كيف يجعل الإمام أحمد فيما له فيه غرض أعلم الناس بالسنة ويسفهه فيما لا غرض له فيه وهذا ونحوه مما يأتي في غير الإمام أحمد من أئمة الحديث</w:t>
      </w:r>
      <w:r w:rsidR="00DB731D" w:rsidRPr="00A52585">
        <w:rPr>
          <w:rFonts w:hint="cs"/>
          <w:rtl/>
        </w:rPr>
        <w:t>،</w:t>
      </w:r>
      <w:r w:rsidR="00777DCB" w:rsidRPr="00A52585">
        <w:rPr>
          <w:rFonts w:hint="cs"/>
          <w:rtl/>
        </w:rPr>
        <w:t xml:space="preserve"> يعرفك ما في قلبه من الخبث </w:t>
      </w:r>
      <w:proofErr w:type="spellStart"/>
      <w:r w:rsidR="00777DCB" w:rsidRPr="00A52585">
        <w:rPr>
          <w:rFonts w:hint="cs"/>
          <w:rtl/>
        </w:rPr>
        <w:t>وعماوة</w:t>
      </w:r>
      <w:proofErr w:type="spellEnd"/>
      <w:r w:rsidR="00777DCB" w:rsidRPr="00A52585">
        <w:rPr>
          <w:rFonts w:hint="cs"/>
          <w:rtl/>
        </w:rPr>
        <w:t xml:space="preserve"> بصيرته وأنه لا عليه فيما يقوله</w:t>
      </w:r>
      <w:r w:rsidR="00DB731D" w:rsidRPr="00A52585">
        <w:rPr>
          <w:rFonts w:hint="cs"/>
          <w:rtl/>
        </w:rPr>
        <w:t>،</w:t>
      </w:r>
      <w:r w:rsidR="00777DCB" w:rsidRPr="00A52585">
        <w:rPr>
          <w:rFonts w:hint="cs"/>
          <w:rtl/>
        </w:rPr>
        <w:t xml:space="preserve"> من فجوره وادعاء الإجماع على ما يقوله ويفتي به كهذه الفتوى مع شهرة الخلاف في المسألة حتى إنه مشهور في أشهر الكتب المتداولة بين الناس</w:t>
      </w:r>
      <w:r w:rsidR="00DB731D" w:rsidRPr="00A52585">
        <w:rPr>
          <w:rFonts w:hint="cs"/>
          <w:rtl/>
        </w:rPr>
        <w:t>،</w:t>
      </w:r>
      <w:r w:rsidR="00777DCB" w:rsidRPr="00A52585">
        <w:rPr>
          <w:rFonts w:hint="cs"/>
          <w:rtl/>
        </w:rPr>
        <w:t xml:space="preserve"> وهو الشفاء</w:t>
      </w:r>
      <w:r w:rsidR="00DB731D" w:rsidRPr="00A52585">
        <w:rPr>
          <w:rFonts w:hint="cs"/>
          <w:rtl/>
        </w:rPr>
        <w:t>،</w:t>
      </w:r>
      <w:r w:rsidR="00777DCB" w:rsidRPr="00A52585">
        <w:rPr>
          <w:rFonts w:hint="cs"/>
          <w:rtl/>
        </w:rPr>
        <w:t xml:space="preserve"> فإنه ذكر الخلاف بين مكة والمدينة وأن مالكاً وأكثر أهل المدينة قائلون بأن المدينة أفضل من مكة. وقال أهل مكة والكوفة</w:t>
      </w:r>
      <w:r w:rsidRPr="00A52585">
        <w:rPr>
          <w:rFonts w:hint="cs"/>
          <w:rtl/>
        </w:rPr>
        <w:t>:</w:t>
      </w:r>
      <w:r w:rsidR="00777DCB" w:rsidRPr="00A52585">
        <w:rPr>
          <w:rFonts w:hint="cs"/>
          <w:rtl/>
        </w:rPr>
        <w:t xml:space="preserve"> مكة أفضل</w:t>
      </w:r>
      <w:r w:rsidR="00DB731D" w:rsidRPr="00A52585">
        <w:rPr>
          <w:rFonts w:hint="cs"/>
          <w:rtl/>
        </w:rPr>
        <w:t>،</w:t>
      </w:r>
      <w:r w:rsidR="00777DCB" w:rsidRPr="00A52585">
        <w:rPr>
          <w:rFonts w:hint="cs"/>
          <w:rtl/>
        </w:rPr>
        <w:t xml:space="preserve"> ومحل الخلاف في غير الموضع الذي ضم سيد الأولين والآخرين صلى الله عليه وسلم وأما هو فالإجماع منعقد على أنه أفضل من مكة وسائر البقاع</w:t>
      </w:r>
      <w:r w:rsidR="00DB731D" w:rsidRPr="00A52585">
        <w:rPr>
          <w:rFonts w:hint="cs"/>
          <w:rtl/>
        </w:rPr>
        <w:t>،</w:t>
      </w:r>
      <w:r w:rsidR="00777DCB" w:rsidRPr="00A52585">
        <w:rPr>
          <w:rFonts w:hint="cs"/>
          <w:rtl/>
        </w:rPr>
        <w:t xml:space="preserve"> وممن حكى الإجماع القاضي عياض في الشفاء بعد أن حكى الخلاف في التفضيل بين مكة والمدينة فقال</w:t>
      </w:r>
      <w:r w:rsidRPr="00A52585">
        <w:rPr>
          <w:rFonts w:hint="cs"/>
          <w:rtl/>
        </w:rPr>
        <w:t>:</w:t>
      </w:r>
      <w:r w:rsidR="00777DCB" w:rsidRPr="00A52585">
        <w:rPr>
          <w:rFonts w:hint="cs"/>
          <w:rtl/>
        </w:rPr>
        <w:t xml:space="preserve"> ولا خلاف أن موضع قبره أفضل بقاع الأرض. وكذا ذكره الإمام هبة الله في كتابه توثيق عرى الإيمان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يقول العلامة المحدث محمد بن عبد الباقي الزرقاني في شرحه على الموطأ</w:t>
      </w:r>
      <w:r w:rsidRPr="00A52585">
        <w:rPr>
          <w:rFonts w:hint="cs"/>
          <w:sz w:val="24"/>
          <w:szCs w:val="24"/>
          <w:rtl/>
        </w:rPr>
        <w:t xml:space="preserve">: </w:t>
      </w:r>
      <w:r w:rsidR="00777DCB" w:rsidRPr="00A52585">
        <w:rPr>
          <w:rFonts w:hint="cs"/>
          <w:sz w:val="24"/>
          <w:szCs w:val="24"/>
          <w:rtl/>
        </w:rPr>
        <w:t>" وقد اختلف السلف أي البلدين أفضل فذهب الأكثر إلى تفضيل مكة وبه قال الشافعي وابن وهب ومطرف وابن حبيب واختاره ابن عبد البر وابن رشد وابن عرفة وذهب عمر وجماعة وأكثر أهل المدينة ومالك وأصحابه سوى من ذكر إلى تفضيل المدينة واختاره بعض الشافعية والأدلة كثيرة من الجانبين حتى قال الإمام ابن أبي جمرة بتساوي البلدين والسيوطي في (الحجج المبينة)</w:t>
      </w:r>
      <w:r w:rsidRPr="00A52585">
        <w:rPr>
          <w:rFonts w:hint="cs"/>
          <w:sz w:val="24"/>
          <w:szCs w:val="24"/>
          <w:rtl/>
        </w:rPr>
        <w:t xml:space="preserve">: </w:t>
      </w:r>
      <w:r w:rsidR="00777DCB" w:rsidRPr="00A52585">
        <w:rPr>
          <w:rFonts w:hint="cs"/>
          <w:sz w:val="24"/>
          <w:szCs w:val="24"/>
          <w:rtl/>
        </w:rPr>
        <w:t>" المختار الوقف عن التفضيل لتعارض الأدلة بل الذي تميل إليه النفس تفضيل المدينة "</w:t>
      </w:r>
      <w:r w:rsidRPr="00A52585">
        <w:rPr>
          <w:rFonts w:hint="cs"/>
          <w:sz w:val="24"/>
          <w:szCs w:val="24"/>
          <w:rtl/>
        </w:rPr>
        <w:t xml:space="preserve"> </w:t>
      </w:r>
      <w:r w:rsidR="00777DCB" w:rsidRPr="00A52585">
        <w:rPr>
          <w:rFonts w:hint="cs"/>
          <w:sz w:val="24"/>
          <w:szCs w:val="24"/>
          <w:rtl/>
        </w:rPr>
        <w:t>ثم قال</w:t>
      </w:r>
      <w:r w:rsidRPr="00A52585">
        <w:rPr>
          <w:rFonts w:hint="cs"/>
          <w:sz w:val="24"/>
          <w:szCs w:val="24"/>
          <w:rtl/>
        </w:rPr>
        <w:t>:</w:t>
      </w:r>
      <w:r w:rsidR="00777DCB" w:rsidRPr="00A52585">
        <w:rPr>
          <w:rFonts w:hint="cs"/>
          <w:sz w:val="24"/>
          <w:szCs w:val="24"/>
          <w:rtl/>
        </w:rPr>
        <w:t xml:space="preserve"> وإذا تأمل ذو البصيرة </w:t>
      </w:r>
      <w:r w:rsidR="00777DCB" w:rsidRPr="00A52585">
        <w:rPr>
          <w:rFonts w:hint="cs"/>
          <w:sz w:val="24"/>
          <w:szCs w:val="24"/>
          <w:rtl/>
        </w:rPr>
        <w:lastRenderedPageBreak/>
        <w:t>لم يجد فضلا أعطيته مكة إلا وأعطيت المدينة نظيره وأعلى منه "</w:t>
      </w:r>
      <w:r w:rsidRPr="00A52585">
        <w:rPr>
          <w:rFonts w:hint="cs"/>
          <w:sz w:val="24"/>
          <w:szCs w:val="24"/>
          <w:rtl/>
        </w:rPr>
        <w:t xml:space="preserve"> </w:t>
      </w:r>
      <w:r w:rsidR="00777DCB" w:rsidRPr="00A52585">
        <w:rPr>
          <w:rFonts w:hint="cs"/>
          <w:sz w:val="24"/>
          <w:szCs w:val="24"/>
          <w:rtl/>
        </w:rPr>
        <w:t xml:space="preserve">وجزم في خصائصه بأن المختار تفضيل المدينة ومحل الخلاف ما عدا البقعة التي ضمت أعضاءه صلى الله عليه وسلم فهي أفضل إجماعا من جميع بقاع الأرض والسماوات كما حكاه عياض وغيره ويليها الكعبة فهي أفضل من بقية المدينة اتفاقا كما قال الشريف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وإليه يومئ كلام عمر بن الخطاب "</w:t>
      </w:r>
      <w:r w:rsidRPr="00A52585">
        <w:rPr>
          <w:rFonts w:hint="cs"/>
          <w:sz w:val="24"/>
          <w:szCs w:val="24"/>
          <w:rtl/>
        </w:rPr>
        <w:t xml:space="preserve"> </w:t>
      </w:r>
      <w:r w:rsidR="00777DCB" w:rsidRPr="00A52585">
        <w:rPr>
          <w:rFonts w:hint="cs"/>
          <w:sz w:val="24"/>
          <w:szCs w:val="24"/>
          <w:rtl/>
        </w:rPr>
        <w:t>أهـ من شرح الزرقاني على موطأ مالك 4/235ط دار الجيل في شرحه لحديث رقم (1719) كتاب الجامع) باب (جامع ما جاء في أمر المدينة)</w:t>
      </w:r>
      <w:r w:rsidRPr="00A52585">
        <w:rPr>
          <w:rFonts w:hint="cs"/>
          <w:sz w:val="24"/>
          <w:szCs w:val="24"/>
          <w:rtl/>
        </w:rPr>
        <w:t>]</w:t>
      </w:r>
      <w:r w:rsidR="00DB731D" w:rsidRPr="00A52585">
        <w:rPr>
          <w:rFonts w:hint="cs"/>
          <w:rtl/>
        </w:rPr>
        <w:t>،</w:t>
      </w:r>
      <w:r w:rsidR="00777DCB" w:rsidRPr="00A52585">
        <w:rPr>
          <w:rFonts w:hint="cs"/>
          <w:rtl/>
        </w:rPr>
        <w:t xml:space="preserve"> وذكر الإمام أبو زكريا يحيى النووي في شرح مسلم ذلك فقال</w:t>
      </w:r>
      <w:r w:rsidRPr="00A52585">
        <w:rPr>
          <w:rFonts w:hint="cs"/>
          <w:rtl/>
        </w:rPr>
        <w:t>:</w:t>
      </w:r>
      <w:r w:rsidR="00777DCB" w:rsidRPr="00A52585">
        <w:rPr>
          <w:rFonts w:hint="cs"/>
          <w:rtl/>
        </w:rPr>
        <w:t xml:space="preserve"> قال</w:t>
      </w:r>
      <w:r w:rsidRPr="00A52585">
        <w:rPr>
          <w:rFonts w:hint="cs"/>
          <w:rtl/>
        </w:rPr>
        <w:t xml:space="preserve"> </w:t>
      </w:r>
      <w:r w:rsidR="00777DCB" w:rsidRPr="00A52585">
        <w:rPr>
          <w:rFonts w:hint="cs"/>
          <w:rtl/>
        </w:rPr>
        <w:t>القاضي عياض</w:t>
      </w:r>
      <w:r w:rsidRPr="00A52585">
        <w:rPr>
          <w:rFonts w:hint="cs"/>
          <w:rtl/>
        </w:rPr>
        <w:t>:</w:t>
      </w:r>
      <w:r w:rsidR="00777DCB" w:rsidRPr="00A52585">
        <w:rPr>
          <w:rFonts w:hint="cs"/>
          <w:rtl/>
        </w:rPr>
        <w:t xml:space="preserve"> أجمعوا على أن موضع قبره أفضل بقاع الأرض</w:t>
      </w:r>
      <w:r w:rsidR="00DB731D" w:rsidRPr="00A52585">
        <w:rPr>
          <w:rFonts w:hint="cs"/>
          <w:rtl/>
        </w:rPr>
        <w:t>،</w:t>
      </w:r>
      <w:r w:rsidR="00777DCB" w:rsidRPr="00A52585">
        <w:rPr>
          <w:rFonts w:hint="cs"/>
          <w:rtl/>
        </w:rPr>
        <w:t xml:space="preserve"> وأقره على ذلك</w:t>
      </w:r>
      <w:r w:rsidR="00DB731D" w:rsidRPr="00A52585">
        <w:rPr>
          <w:rFonts w:hint="cs"/>
          <w:rtl/>
        </w:rPr>
        <w:t>،</w:t>
      </w:r>
      <w:r w:rsidR="00777DCB" w:rsidRPr="00A52585">
        <w:rPr>
          <w:rFonts w:hint="cs"/>
          <w:rtl/>
        </w:rPr>
        <w:t xml:space="preserve"> فسكوته الخبيث عن مثل ذلك يدل على خبث في باطنه في حق سيد الأولين والآخرين صلى الله عليه وسلم</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ج- إشارته إلى عدم الاعتداد بقول عمر رضي الله عنه</w:t>
      </w:r>
      <w:r w:rsidRPr="00A52585">
        <w:rPr>
          <w:rFonts w:hint="cs"/>
          <w:bCs/>
          <w:rtl/>
        </w:rPr>
        <w:t>]:</w:t>
      </w:r>
      <w:r w:rsidR="00777DCB" w:rsidRPr="00A52585">
        <w:rPr>
          <w:rFonts w:hint="cs"/>
          <w:bCs/>
          <w:rtl/>
        </w:rPr>
        <w:t xml:space="preserve"> </w:t>
      </w:r>
      <w:r w:rsidR="00777DCB" w:rsidRPr="00A52585">
        <w:rPr>
          <w:rFonts w:hint="cs"/>
          <w:rtl/>
        </w:rPr>
        <w:t>وفي هذه الفتوى رمز إلى عدم الاعتداد بقول عمر رضي الله عنه فإنه رضي الله عنه من القائلين بأن المدينة أفضل من مكة</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روى الإمام مالك في (الموطأ) في كتاب</w:t>
      </w:r>
      <w:r w:rsidRPr="00A52585">
        <w:rPr>
          <w:rFonts w:hint="cs"/>
          <w:sz w:val="24"/>
          <w:szCs w:val="24"/>
          <w:rtl/>
        </w:rPr>
        <w:t>:</w:t>
      </w:r>
      <w:r w:rsidR="00777DCB" w:rsidRPr="00A52585">
        <w:rPr>
          <w:rFonts w:hint="cs"/>
          <w:sz w:val="24"/>
          <w:szCs w:val="24"/>
          <w:rtl/>
        </w:rPr>
        <w:t xml:space="preserve"> الجامع- باب (621) جامع ما جاء في أمر المدينة حديث رقم (1719)</w:t>
      </w:r>
      <w:r w:rsidRPr="00A52585">
        <w:rPr>
          <w:rFonts w:hint="cs"/>
          <w:sz w:val="24"/>
          <w:szCs w:val="24"/>
          <w:rtl/>
        </w:rPr>
        <w:t xml:space="preserve">: </w:t>
      </w:r>
      <w:r w:rsidR="00777DCB" w:rsidRPr="00A52585">
        <w:rPr>
          <w:rFonts w:hint="cs"/>
          <w:sz w:val="24"/>
          <w:szCs w:val="24"/>
          <w:rtl/>
        </w:rPr>
        <w:t xml:space="preserve">" عَنْ يَحْيَى بْنِ سَعيدِ عْن عَبْدِ الرَّحْمَنِ بْنِ الْقَاسِمِ أَنْ أَسْلَمَ مَوْلَى عُمَرَ ابْن الْخَطَّاب أَخْبَرَهُ أَنَّهُ زَارَ عَبْدَ الله بْنَ عَيَّاش الْمَخُزوميِّ فَرَأَي عنْدَهُ نَبِيذَا وَهُوَ بطَريق مَكَّةَ فَقَالَ لَهُ أَسْلَمُ إنَّ هذَا الشَّرَابَ يُحِبُّهُ بْنُ الْخَطَّابِ فَحَمَلَ عَبْدُ الله بْنُ عَيَّاش قَدَحًا عَظِيماً فَجَاءَ بِهِ إلَى عُمَرَ ابْنِ الْخَطَّابِ فَوَضعَهُ في يَدَيْهَ فَقَرَّبَهُ عُمَرُ إلَى فِيهِ ثُمَّ رَفَعَ رَأْسَهُ فَقَالَ عمرُ إنَّ هذَا لشَرابٌ طَيِّبٌ فَشَرِبَ منْهُ ثُمَّ نَاوَلَهُ رَجُلاً عَنْ يَمِيِنِه فَلَمَّا أَدْبَرَ عَبْدُ الله نَادَاهُ عُمَرُ بْنُ الْخَطَّابِ فَقَالَ أَنْتَ الْقَائِلُ لَمَكْةُ خَيْرٌ مِنَ الْمَدِينَةِ فَقَالَ عَبْدُ فَقُلْتُ هِيَ حَرَمُ الله وَأَمْنُهُ وَفِيهَا بَيْتُهُ فَقَالَ عُمَرُ لاَ أَقُولُ في بَيْتِ الله وَلاَ في حَرِمِه شَيْئاً ثُمَّ قَالَ عُمَرُ </w:t>
      </w:r>
      <w:proofErr w:type="spellStart"/>
      <w:r w:rsidR="00777DCB" w:rsidRPr="00A52585">
        <w:rPr>
          <w:rFonts w:hint="cs"/>
          <w:sz w:val="24"/>
          <w:szCs w:val="24"/>
          <w:rtl/>
        </w:rPr>
        <w:t>أَاَنْتَ</w:t>
      </w:r>
      <w:proofErr w:type="spellEnd"/>
      <w:r w:rsidR="00777DCB" w:rsidRPr="00A52585">
        <w:rPr>
          <w:rFonts w:hint="cs"/>
          <w:sz w:val="24"/>
          <w:szCs w:val="24"/>
          <w:rtl/>
        </w:rPr>
        <w:t xml:space="preserve"> الْقَائلُ لَمكَّةُ خَيْرٌ مِنَ المْدَيِنَة قَالَ فَقُلْتُ هِيَ حَرَمُ الله وَأَمْنُهُ وَفِيهَا بَيْتُهُ فَقَالَ عُمَرُ لاَ أَقُولُ في حَرَمٍ الله وَلاَ في بَيْتِهِ شَيْئاً ثُمَّ انْصَرَف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وهذا إسناد صحيح يقول الإمام الزرقاني في شرحه للحديث</w:t>
      </w:r>
      <w:r w:rsidRPr="00A52585">
        <w:rPr>
          <w:rFonts w:hint="cs"/>
          <w:sz w:val="24"/>
          <w:szCs w:val="24"/>
          <w:rtl/>
        </w:rPr>
        <w:t xml:space="preserve">: </w:t>
      </w:r>
      <w:r w:rsidR="00777DCB" w:rsidRPr="00A52585">
        <w:rPr>
          <w:rFonts w:hint="cs"/>
          <w:sz w:val="24"/>
          <w:szCs w:val="24"/>
          <w:rtl/>
        </w:rPr>
        <w:t>" (فلما أدبر) ولى (عبد الله ناداه) دعاه (عمر بن الخطاب فقال أأنت) بهمزتين أولاهما للاستفهام (القائل لمكة) بلام التأكيد (خير) أفضل</w:t>
      </w:r>
      <w:r w:rsidRPr="00A52585">
        <w:rPr>
          <w:rFonts w:hint="cs"/>
          <w:sz w:val="24"/>
          <w:szCs w:val="24"/>
          <w:rtl/>
        </w:rPr>
        <w:t xml:space="preserve"> </w:t>
      </w:r>
      <w:r w:rsidR="00777DCB" w:rsidRPr="00A52585">
        <w:rPr>
          <w:rFonts w:hint="cs"/>
          <w:sz w:val="24"/>
          <w:szCs w:val="24"/>
          <w:rtl/>
        </w:rPr>
        <w:t xml:space="preserve">(من المدينة فقال عبد الله فقلت هي حرم الله وأمنه وفيها بيته) الكعبة وما أضيف لله خير مما أضيف إلى رسوله (فقال عمر لا أقول في بيت الله ولا في حرمه شيئا) يعني إن هذا ليس من </w:t>
      </w:r>
      <w:r w:rsidR="00777DCB" w:rsidRPr="00A52585">
        <w:rPr>
          <w:rFonts w:hint="cs"/>
          <w:spacing w:val="-2"/>
          <w:sz w:val="24"/>
          <w:szCs w:val="24"/>
          <w:rtl/>
        </w:rPr>
        <w:t xml:space="preserve">محل الخلاف ولم أسألك عنه إنما سألتك عن البلدين (ثم قال عمر) ثانيا لينظر هل تغير اجتهاده إلى </w:t>
      </w:r>
      <w:r w:rsidR="00777DCB" w:rsidRPr="00A52585">
        <w:rPr>
          <w:rFonts w:hint="cs"/>
          <w:sz w:val="24"/>
          <w:szCs w:val="24"/>
          <w:rtl/>
        </w:rPr>
        <w:t>موافقة عمر في تفضيل المدينة (أأنت القائل لمكة خير من المدينة قال) عبد الله (فقلت هي حرم</w:t>
      </w:r>
      <w:r w:rsidRPr="00A52585">
        <w:rPr>
          <w:rFonts w:hint="cs"/>
          <w:sz w:val="24"/>
          <w:szCs w:val="24"/>
          <w:rtl/>
        </w:rPr>
        <w:t xml:space="preserve"> </w:t>
      </w:r>
      <w:r w:rsidR="00777DCB" w:rsidRPr="00A52585">
        <w:rPr>
          <w:rFonts w:hint="cs"/>
          <w:sz w:val="24"/>
          <w:szCs w:val="24"/>
          <w:rtl/>
        </w:rPr>
        <w:t>الله وأمنه وفيها بيته) الكعبة (فقال عمر لا أقول في حرم الله ولا في بيته شيئاً ثم انصرف) عبد الله ولم يتغير اجتهاد واحد منهما لموافقة الآخر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وإذا كان هذا الرأي- تفضيل المدينة على مكة – ثابت ومشهور عن سيدنا عمر رضي الله عنه</w:t>
      </w:r>
      <w:r w:rsidR="00DB731D" w:rsidRPr="00A52585">
        <w:rPr>
          <w:rFonts w:hint="cs"/>
          <w:sz w:val="24"/>
          <w:szCs w:val="24"/>
          <w:rtl/>
        </w:rPr>
        <w:t>،</w:t>
      </w:r>
      <w:r w:rsidR="00777DCB" w:rsidRPr="00A52585">
        <w:rPr>
          <w:rFonts w:hint="cs"/>
          <w:sz w:val="24"/>
          <w:szCs w:val="24"/>
          <w:rtl/>
        </w:rPr>
        <w:t xml:space="preserve"> فقول ابن تيمية</w:t>
      </w:r>
      <w:r w:rsidRPr="00A52585">
        <w:rPr>
          <w:rFonts w:hint="cs"/>
          <w:sz w:val="24"/>
          <w:szCs w:val="24"/>
          <w:rtl/>
        </w:rPr>
        <w:t>:</w:t>
      </w:r>
      <w:r w:rsidR="00777DCB" w:rsidRPr="00A52585">
        <w:rPr>
          <w:rFonts w:hint="cs"/>
          <w:sz w:val="24"/>
          <w:szCs w:val="24"/>
          <w:rtl/>
        </w:rPr>
        <w:t xml:space="preserve"> إن مكة أفضل بالإجماع، لا يعني إلا أن سيدنا عمر لا يعتدّ به في موضوع الإجماع وذلك طعن في تقواه وورعه أو في علمه وفقهه في رأي ابن تيمية</w:t>
      </w:r>
      <w:r w:rsidR="00F95886" w:rsidRPr="00A52585">
        <w:rPr>
          <w:rFonts w:hint="cs"/>
          <w:sz w:val="24"/>
          <w:szCs w:val="24"/>
          <w:rtl/>
        </w:rPr>
        <w:t>!</w:t>
      </w:r>
      <w:r w:rsidRPr="00A52585">
        <w:rPr>
          <w:rFonts w:hint="cs"/>
          <w:sz w:val="24"/>
          <w:szCs w:val="24"/>
          <w:rtl/>
        </w:rPr>
        <w:t>]</w:t>
      </w:r>
      <w:r w:rsidR="00DB731D" w:rsidRPr="00A52585">
        <w:rPr>
          <w:rFonts w:hint="cs"/>
          <w:sz w:val="24"/>
          <w:szCs w:val="24"/>
          <w:rtl/>
        </w:rPr>
        <w:t>،</w:t>
      </w:r>
      <w:r w:rsidRPr="00A52585">
        <w:rPr>
          <w:rFonts w:hint="cs"/>
          <w:sz w:val="24"/>
          <w:rtl/>
        </w:rPr>
        <w:t xml:space="preserve"> </w:t>
      </w:r>
      <w:r w:rsidR="00777DCB" w:rsidRPr="00A52585">
        <w:rPr>
          <w:rFonts w:hint="cs"/>
          <w:rtl/>
        </w:rPr>
        <w:t>ويدل على ما قلته من الرمز تخطئته في الطلاق وعدم الاعتداد بذلك</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 xml:space="preserve">د- إشارته إلى الطعن في الصديق رضي الله عنه وزعمه شرك من قال </w:t>
      </w:r>
      <w:r w:rsidRPr="00A52585">
        <w:rPr>
          <w:rFonts w:hint="cs"/>
          <w:bCs/>
          <w:rtl/>
        </w:rPr>
        <w:t>(</w:t>
      </w:r>
      <w:r w:rsidR="00777DCB" w:rsidRPr="00A52585">
        <w:rPr>
          <w:rFonts w:hint="cs"/>
          <w:bCs/>
          <w:rtl/>
        </w:rPr>
        <w:t>الله ورسوله</w:t>
      </w:r>
      <w:r w:rsidRPr="00A52585">
        <w:rPr>
          <w:rFonts w:hint="cs"/>
          <w:bCs/>
          <w:rtl/>
        </w:rPr>
        <w:t>)</w:t>
      </w:r>
      <w:r w:rsidR="00777DCB" w:rsidRPr="00A52585">
        <w:rPr>
          <w:rFonts w:hint="cs"/>
          <w:bCs/>
          <w:rtl/>
        </w:rPr>
        <w:t xml:space="preserve"> والرد على ذلك</w:t>
      </w:r>
      <w:r w:rsidRPr="00A52585">
        <w:rPr>
          <w:rFonts w:hint="cs"/>
          <w:bCs/>
          <w:rtl/>
        </w:rPr>
        <w:t>]:</w:t>
      </w:r>
      <w:r w:rsidR="00777DCB" w:rsidRPr="00A52585">
        <w:rPr>
          <w:rFonts w:hint="cs"/>
          <w:bCs/>
          <w:rtl/>
        </w:rPr>
        <w:t xml:space="preserve"> </w:t>
      </w:r>
      <w:r w:rsidR="00777DCB" w:rsidRPr="00A52585">
        <w:rPr>
          <w:rFonts w:hint="cs"/>
          <w:rtl/>
        </w:rPr>
        <w:t>كما رمز إلى تكفير الصديق رضي الله عنه في قوله في بعض تصانيفه</w:t>
      </w:r>
      <w:r w:rsidRPr="00A52585">
        <w:rPr>
          <w:rFonts w:hint="cs"/>
          <w:rtl/>
        </w:rPr>
        <w:t>:</w:t>
      </w:r>
      <w:r w:rsidR="00777DCB" w:rsidRPr="00A52585">
        <w:rPr>
          <w:rFonts w:hint="cs"/>
          <w:rtl/>
        </w:rPr>
        <w:t xml:space="preserve"> من قال الله ورسوله في أمر يلحقه فإنه يكون مشركاً</w:t>
      </w:r>
      <w:r w:rsidR="00DB731D" w:rsidRPr="00A52585">
        <w:rPr>
          <w:rFonts w:hint="cs"/>
          <w:rtl/>
        </w:rPr>
        <w:t>،</w:t>
      </w:r>
      <w:r w:rsidR="00777DCB" w:rsidRPr="00A52585">
        <w:rPr>
          <w:rFonts w:hint="cs"/>
          <w:rtl/>
        </w:rPr>
        <w:t xml:space="preserve"> فإن الصديق رضي الله عنه </w:t>
      </w:r>
      <w:r w:rsidR="00777DCB" w:rsidRPr="00A52585">
        <w:rPr>
          <w:rFonts w:hint="cs"/>
          <w:rtl/>
        </w:rPr>
        <w:lastRenderedPageBreak/>
        <w:t>لما قال النبي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أبقيت لأهلك</w:t>
      </w:r>
      <w:r w:rsidR="00F95886" w:rsidRPr="00A52585">
        <w:rPr>
          <w:rFonts w:hint="cs"/>
          <w:rtl/>
        </w:rPr>
        <w:t>؟</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أبقيت لهم الله ورسوله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سنن الترمذي كتاب المناقب باب (16 في مناقب أبي بكر وعمر رضي الله عنهما كليهما قال الترمذي</w:t>
      </w:r>
      <w:r w:rsidRPr="00A52585">
        <w:rPr>
          <w:rFonts w:hint="cs"/>
          <w:sz w:val="24"/>
          <w:szCs w:val="24"/>
          <w:rtl/>
        </w:rPr>
        <w:t>:</w:t>
      </w:r>
      <w:r w:rsidR="00777DCB" w:rsidRPr="00A52585">
        <w:rPr>
          <w:rFonts w:hint="cs"/>
          <w:sz w:val="24"/>
          <w:szCs w:val="24"/>
          <w:rtl/>
        </w:rPr>
        <w:t xml:space="preserve"> هذا حديث حسن صحيح</w:t>
      </w:r>
      <w:r w:rsidRPr="00A52585">
        <w:rPr>
          <w:rFonts w:hint="cs"/>
          <w:sz w:val="24"/>
          <w:szCs w:val="24"/>
          <w:rtl/>
        </w:rPr>
        <w:t>]</w:t>
      </w:r>
      <w:r w:rsidR="00DB731D" w:rsidRPr="00A52585">
        <w:rPr>
          <w:rFonts w:hint="cs"/>
          <w:sz w:val="24"/>
          <w:szCs w:val="24"/>
          <w:rtl/>
        </w:rPr>
        <w:t>،</w:t>
      </w:r>
      <w:r w:rsidR="00777DCB" w:rsidRPr="00A52585">
        <w:rPr>
          <w:rFonts w:hint="cs"/>
          <w:rtl/>
        </w:rPr>
        <w:t xml:space="preserve"> ويؤيد ما قلته ما هو مشهور في كتبه وعند أتباعه لا ينبغي أن ينسب إلى غير الله تعالى ضر ولا نفع</w:t>
      </w:r>
      <w:r w:rsidR="00DB731D" w:rsidRPr="00A52585">
        <w:rPr>
          <w:rFonts w:hint="cs"/>
          <w:rtl/>
        </w:rPr>
        <w:t>،</w:t>
      </w:r>
      <w:r w:rsidR="00777DCB" w:rsidRPr="00A52585">
        <w:rPr>
          <w:rFonts w:hint="cs"/>
          <w:rtl/>
        </w:rPr>
        <w:t xml:space="preserve"> ولا أنه يغني وهذا من الدسائس أيضاً فإنه يلبِّس به على كثير من الناس لا سيما الضعفاء في العلم وأصحاب الأذهان الجامدة فهي كلمة حق أريد بها باطل وقد قال الله تعالى في كتابه العزيز</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نقموا إلا أن أغناهم الله ورسوله من فضله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التوبة</w:t>
      </w:r>
      <w:r w:rsidRPr="00A52585">
        <w:rPr>
          <w:rFonts w:hint="cs"/>
          <w:rtl/>
        </w:rPr>
        <w:t>:</w:t>
      </w:r>
      <w:r w:rsidR="00777DCB" w:rsidRPr="00A52585">
        <w:rPr>
          <w:rFonts w:hint="cs"/>
          <w:rtl/>
        </w:rPr>
        <w:t xml:space="preserve"> 74</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وقالوا حسبنا الله </w:t>
      </w:r>
      <w:proofErr w:type="spellStart"/>
      <w:r w:rsidR="00777DCB" w:rsidRPr="00A52585">
        <w:rPr>
          <w:rFonts w:hint="cs"/>
          <w:rtl/>
        </w:rPr>
        <w:t>سيؤتنا</w:t>
      </w:r>
      <w:proofErr w:type="spellEnd"/>
      <w:r w:rsidR="00777DCB" w:rsidRPr="00A52585">
        <w:rPr>
          <w:rFonts w:hint="cs"/>
          <w:rtl/>
        </w:rPr>
        <w:t xml:space="preserve"> الله من فضله ورسوله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التوبة</w:t>
      </w:r>
      <w:r w:rsidRPr="00A52585">
        <w:rPr>
          <w:rFonts w:hint="cs"/>
          <w:rtl/>
        </w:rPr>
        <w:t>:</w:t>
      </w:r>
      <w:r w:rsidR="00777DCB" w:rsidRPr="00A52585">
        <w:rPr>
          <w:rFonts w:hint="cs"/>
          <w:rtl/>
        </w:rPr>
        <w:t xml:space="preserve"> 59</w:t>
      </w:r>
      <w:r w:rsidRPr="00A52585">
        <w:rPr>
          <w:rFonts w:hint="cs"/>
          <w:rtl/>
        </w:rPr>
        <w:t>]</w:t>
      </w:r>
      <w:r w:rsidR="00DB731D" w:rsidRPr="00A52585">
        <w:rPr>
          <w:rFonts w:hint="cs"/>
          <w:rtl/>
        </w:rPr>
        <w:t>،</w:t>
      </w:r>
      <w:r w:rsidR="00777DCB" w:rsidRPr="00A52585">
        <w:rPr>
          <w:rFonts w:hint="cs"/>
          <w:rtl/>
        </w:rPr>
        <w:t xml:space="preserve"> وغير ذلك</w:t>
      </w:r>
      <w:r w:rsidR="00DB731D" w:rsidRPr="00A52585">
        <w:rPr>
          <w:rFonts w:hint="cs"/>
          <w:rtl/>
        </w:rPr>
        <w:t>،</w:t>
      </w:r>
      <w:r w:rsidR="00777DCB" w:rsidRPr="00A52585">
        <w:rPr>
          <w:rFonts w:hint="cs"/>
          <w:rtl/>
        </w:rPr>
        <w:t xml:space="preserve"> فهذا نص القرآن العظيم على مثل هذا القول الذي</w:t>
      </w:r>
      <w:r w:rsidRPr="00A52585">
        <w:rPr>
          <w:rFonts w:hint="cs"/>
          <w:rtl/>
        </w:rPr>
        <w:t xml:space="preserve"> </w:t>
      </w:r>
      <w:r w:rsidR="00777DCB" w:rsidRPr="00A52585">
        <w:rPr>
          <w:rFonts w:hint="cs"/>
          <w:rtl/>
        </w:rPr>
        <w:t>يقولون إنه شرك ففي قولهم قدح في القرآن وفي رسول الله صلى الله عليه وسلم لإقراره الصديق رضي الله عنه على هذا القول الذي هو شرك</w:t>
      </w:r>
      <w:r w:rsidR="00DB731D" w:rsidRPr="00A52585">
        <w:rPr>
          <w:rFonts w:hint="cs"/>
          <w:rtl/>
        </w:rPr>
        <w:t>،</w:t>
      </w:r>
      <w:r w:rsidR="00777DCB" w:rsidRPr="00A52585">
        <w:rPr>
          <w:rFonts w:hint="cs"/>
          <w:rtl/>
        </w:rPr>
        <w:t xml:space="preserve"> وهذا منهم كفر بيقين لأنه واجب وحتم لازم على كل أحد أن يؤمن بالقرآن وبما جاء به سيد الأولين والآخرين صلى الله عليه وسلم عن رب العالمين من غير شك ولا ارتياب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ومن لم يؤمن بالله ورسوله فإنا أعتدنا للكافرين سعيراً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w:t>
      </w:r>
      <w:r w:rsidRPr="00A52585">
        <w:rPr>
          <w:rFonts w:hint="cs"/>
          <w:rtl/>
        </w:rPr>
        <w:t>:</w:t>
      </w:r>
      <w:r w:rsidR="00777DCB" w:rsidRPr="00A52585">
        <w:rPr>
          <w:rFonts w:hint="cs"/>
          <w:rtl/>
        </w:rPr>
        <w:t xml:space="preserve"> 13</w:t>
      </w:r>
      <w:r w:rsidRPr="00A52585">
        <w:rPr>
          <w:rFonts w:hint="cs"/>
          <w:rtl/>
        </w:rPr>
        <w:t>]</w:t>
      </w:r>
      <w:r w:rsidR="00DB731D" w:rsidRPr="00A52585">
        <w:rPr>
          <w:rFonts w:hint="cs"/>
          <w:rtl/>
        </w:rPr>
        <w:t>،</w:t>
      </w:r>
      <w:r w:rsidR="00777DCB" w:rsidRPr="00A52585">
        <w:rPr>
          <w:rFonts w:hint="cs"/>
          <w:rtl/>
        </w:rPr>
        <w:t xml:space="preserve"> وقال تعالى </w:t>
      </w:r>
      <w:r w:rsidRPr="00A52585">
        <w:rPr>
          <w:rFonts w:hint="cs"/>
          <w:rtl/>
        </w:rPr>
        <w:t>{</w:t>
      </w:r>
      <w:r w:rsidR="00777DCB" w:rsidRPr="00A52585">
        <w:rPr>
          <w:rFonts w:hint="cs"/>
          <w:rtl/>
        </w:rPr>
        <w:t xml:space="preserve">وأطيعوا الله وأطيعوا الرسول} </w:t>
      </w:r>
      <w:r w:rsidRPr="00A52585">
        <w:rPr>
          <w:rFonts w:hint="cs"/>
          <w:rtl/>
        </w:rPr>
        <w:t>[</w:t>
      </w:r>
      <w:r w:rsidR="00777DCB" w:rsidRPr="00A52585">
        <w:rPr>
          <w:rFonts w:hint="cs"/>
          <w:rtl/>
        </w:rPr>
        <w:t>الآية 92</w:t>
      </w:r>
      <w:r w:rsidR="00DB731D" w:rsidRPr="00A52585">
        <w:rPr>
          <w:rFonts w:hint="cs"/>
          <w:rtl/>
        </w:rPr>
        <w:t>،</w:t>
      </w:r>
      <w:r w:rsidR="00777DCB" w:rsidRPr="00A52585">
        <w:rPr>
          <w:rFonts w:hint="cs"/>
          <w:rtl/>
        </w:rPr>
        <w:t xml:space="preserve"> من سورة المائدة</w:t>
      </w:r>
      <w:r w:rsidR="00DB731D" w:rsidRPr="00A52585">
        <w:rPr>
          <w:rFonts w:hint="cs"/>
          <w:rtl/>
        </w:rPr>
        <w:t>،</w:t>
      </w:r>
      <w:r w:rsidR="00777DCB" w:rsidRPr="00A52585">
        <w:rPr>
          <w:rFonts w:hint="cs"/>
          <w:rtl/>
        </w:rPr>
        <w:t xml:space="preserve"> والآية 12 من سورة التغابن</w:t>
      </w:r>
      <w:r w:rsidRPr="00A52585">
        <w:rPr>
          <w:rFonts w:hint="cs"/>
          <w:rtl/>
        </w:rPr>
        <w:t>]</w:t>
      </w:r>
      <w:r w:rsidR="00DB731D" w:rsidRPr="00A52585">
        <w:rPr>
          <w:rFonts w:hint="cs"/>
          <w:rtl/>
        </w:rPr>
        <w:t>،</w:t>
      </w:r>
      <w:r w:rsidR="00777DCB" w:rsidRPr="00A52585">
        <w:rPr>
          <w:rFonts w:hint="cs"/>
          <w:rtl/>
        </w:rPr>
        <w:t xml:space="preserve"> وقال </w:t>
      </w:r>
      <w:r w:rsidRPr="00A52585">
        <w:rPr>
          <w:rFonts w:hint="cs"/>
          <w:rtl/>
        </w:rPr>
        <w:t>{</w:t>
      </w:r>
      <w:r w:rsidR="00777DCB" w:rsidRPr="00A52585">
        <w:rPr>
          <w:rFonts w:hint="cs"/>
          <w:rtl/>
        </w:rPr>
        <w:t>فآمنوا بالله ورسوله</w:t>
      </w:r>
      <w:r w:rsidRPr="00A52585">
        <w:rPr>
          <w:rFonts w:hint="cs"/>
          <w:rtl/>
        </w:rPr>
        <w:t>}</w:t>
      </w:r>
      <w:r w:rsidR="00777DCB" w:rsidRPr="00A52585">
        <w:rPr>
          <w:rFonts w:hint="cs"/>
          <w:rtl/>
        </w:rPr>
        <w:t xml:space="preserve"> [الآية 158</w:t>
      </w:r>
      <w:r w:rsidR="00DB731D" w:rsidRPr="00A52585">
        <w:rPr>
          <w:rFonts w:hint="cs"/>
          <w:rtl/>
        </w:rPr>
        <w:t>،</w:t>
      </w:r>
      <w:r w:rsidR="00777DCB" w:rsidRPr="00A52585">
        <w:rPr>
          <w:rFonts w:hint="cs"/>
          <w:rtl/>
        </w:rPr>
        <w:t xml:space="preserve"> من سورة الأعراف، والآية 8، من سورة التغابن ونظير ذلك أيضاً قوله تعالى </w:t>
      </w:r>
      <w:r w:rsidRPr="00A52585">
        <w:rPr>
          <w:rFonts w:hint="cs"/>
          <w:rtl/>
        </w:rPr>
        <w:t>{</w:t>
      </w:r>
      <w:r w:rsidR="00777DCB" w:rsidRPr="00A52585">
        <w:rPr>
          <w:rFonts w:hint="cs"/>
          <w:rtl/>
        </w:rPr>
        <w:t>آمنوا بالله ورسوله</w:t>
      </w:r>
      <w:r w:rsidRPr="00A52585">
        <w:rPr>
          <w:rFonts w:hint="cs"/>
          <w:rtl/>
        </w:rPr>
        <w:t>}</w:t>
      </w:r>
      <w:r w:rsidR="00777DCB" w:rsidRPr="00A52585">
        <w:rPr>
          <w:rFonts w:hint="cs"/>
          <w:rtl/>
        </w:rPr>
        <w:t xml:space="preserve"> الآية 136، من سورة النساء. والآية 7، من سورة الحديد</w:t>
      </w:r>
      <w:r w:rsidRPr="00A52585">
        <w:rPr>
          <w:rFonts w:hint="cs"/>
          <w:rtl/>
        </w:rPr>
        <w:t>]</w:t>
      </w:r>
      <w:r w:rsidR="00DB731D" w:rsidRPr="00A52585">
        <w:rPr>
          <w:rFonts w:hint="cs"/>
          <w:rtl/>
        </w:rPr>
        <w:t>،</w:t>
      </w:r>
      <w:r w:rsidR="00777DCB" w:rsidRPr="00A52585">
        <w:rPr>
          <w:rFonts w:hint="cs"/>
          <w:rtl/>
        </w:rPr>
        <w:t xml:space="preserve"> جمع بينهما بواو العطف للشركة</w:t>
      </w:r>
      <w:r w:rsidR="00DB731D" w:rsidRPr="00A52585">
        <w:rPr>
          <w:rFonts w:hint="cs"/>
          <w:rtl/>
        </w:rPr>
        <w:t>،</w:t>
      </w:r>
      <w:r w:rsidR="00777DCB" w:rsidRPr="00A52585">
        <w:rPr>
          <w:rFonts w:hint="cs"/>
          <w:rtl/>
        </w:rPr>
        <w:t xml:space="preserve"> ولا يجوز هذا في حق غيره عليه الصلاة والسلام</w:t>
      </w:r>
      <w:r w:rsidR="00DB731D" w:rsidRPr="00A52585">
        <w:rPr>
          <w:rFonts w:hint="cs"/>
          <w:rtl/>
        </w:rPr>
        <w:t>،</w:t>
      </w:r>
      <w:r w:rsidR="00777DCB" w:rsidRPr="00A52585">
        <w:rPr>
          <w:rFonts w:hint="cs"/>
          <w:rtl/>
        </w:rPr>
        <w:t xml:space="preserve"> ولما خطب عليه الصلاة والسلام أم سلمة رضي الله عنها فاعتذرت إليه بأعذار منها (وأنا موتم مرمل في أربعة من الولد) فقال لها من جملة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وأما ولدك فهم ولد أخي أبي سلمة</w:t>
      </w:r>
      <w:r w:rsidR="00DB731D" w:rsidRPr="00A52585">
        <w:rPr>
          <w:rFonts w:hint="cs"/>
          <w:rtl/>
        </w:rPr>
        <w:t>،</w:t>
      </w:r>
      <w:r w:rsidR="00777DCB" w:rsidRPr="00A52585">
        <w:rPr>
          <w:rFonts w:hint="cs"/>
          <w:rtl/>
        </w:rPr>
        <w:t xml:space="preserve"> وهم على الله وعلى رسوله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للحديث روايات عدة وبألفاظ متقاربة منها ما أخرجه الإمام أحمد في مسنده 6/307 حديث رقم (26675) من طريق حبيب بن أبي ثابت بإسناد حسن لغيره وفيه</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وأما العيال فإلى الله ورسوله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وأخرجه البيهقي في (دلائل النبوة) من هذا الطريق وروى الإمام أحمد في مسنده متابعة أخرى 6/320 حديث رقم (26777) من طريق عبد العزيز ابن بنت أم سلمة وفيها</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هم إلى الله وإلى رسوله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وأخرى بنفس الإسناد</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هم إلى الله ورسوله "</w:t>
      </w:r>
      <w:r w:rsidRPr="00A52585">
        <w:rPr>
          <w:rFonts w:hint="cs"/>
          <w:sz w:val="24"/>
          <w:szCs w:val="24"/>
          <w:rtl/>
        </w:rPr>
        <w:t xml:space="preserve"> </w:t>
      </w:r>
      <w:r w:rsidR="00777DCB" w:rsidRPr="00A52585">
        <w:rPr>
          <w:rFonts w:hint="cs"/>
          <w:sz w:val="24"/>
          <w:szCs w:val="24"/>
          <w:rtl/>
        </w:rPr>
        <w:t>6/321 حديث رقم (26778)</w:t>
      </w:r>
      <w:r w:rsidRPr="00A52585">
        <w:rPr>
          <w:rFonts w:hint="cs"/>
          <w:sz w:val="24"/>
          <w:szCs w:val="24"/>
          <w:rtl/>
        </w:rPr>
        <w:t>]</w:t>
      </w:r>
      <w:r w:rsidR="00DB731D" w:rsidRPr="00A52585">
        <w:rPr>
          <w:rFonts w:hint="cs"/>
          <w:sz w:val="24"/>
          <w:szCs w:val="24"/>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إنما وليكم الله ورسوله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55</w:t>
      </w:r>
      <w:r w:rsidRPr="00A52585">
        <w:rPr>
          <w:rFonts w:hint="cs"/>
          <w:rtl/>
        </w:rPr>
        <w:t>]</w:t>
      </w:r>
      <w:r w:rsidR="00DB731D" w:rsidRPr="00A52585">
        <w:rPr>
          <w:rFonts w:hint="cs"/>
          <w:rtl/>
        </w:rPr>
        <w:t>،</w:t>
      </w:r>
      <w:r w:rsidR="00777DCB" w:rsidRPr="00A52585">
        <w:rPr>
          <w:rFonts w:hint="cs"/>
          <w:rtl/>
        </w:rPr>
        <w:t xml:space="preserve"> </w:t>
      </w:r>
    </w:p>
    <w:p w14:paraId="7F3E714E" w14:textId="77777777" w:rsidR="00777DCB" w:rsidRPr="00A52585" w:rsidRDefault="00777DCB" w:rsidP="0002035C">
      <w:pPr>
        <w:spacing w:after="240"/>
        <w:jc w:val="center"/>
        <w:rPr>
          <w:b/>
          <w:rtl/>
        </w:rPr>
      </w:pPr>
      <w:r w:rsidRPr="00A52585">
        <w:rPr>
          <w:rFonts w:hint="cs"/>
          <w:rtl/>
        </w:rPr>
        <w:t>******</w:t>
      </w:r>
    </w:p>
    <w:p w14:paraId="198DB42D" w14:textId="30E59CD2" w:rsidR="00777DCB" w:rsidRPr="00A52585" w:rsidRDefault="0002035C" w:rsidP="0002035C">
      <w:pPr>
        <w:spacing w:after="240"/>
        <w:rPr>
          <w:b/>
          <w:rtl/>
        </w:rPr>
      </w:pPr>
      <w:r w:rsidRPr="00A52585">
        <w:rPr>
          <w:rFonts w:hint="cs"/>
          <w:bCs/>
          <w:rtl/>
        </w:rPr>
        <w:t>[</w:t>
      </w:r>
      <w:r w:rsidR="00777DCB" w:rsidRPr="00A52585">
        <w:rPr>
          <w:rFonts w:hint="cs"/>
          <w:bCs/>
          <w:rtl/>
        </w:rPr>
        <w:t xml:space="preserve">رد ابن تيمة على </w:t>
      </w:r>
      <w:proofErr w:type="spellStart"/>
      <w:r w:rsidR="00777DCB" w:rsidRPr="00A52585">
        <w:rPr>
          <w:rFonts w:hint="cs"/>
          <w:bCs/>
          <w:rtl/>
        </w:rPr>
        <w:t>الرافضي</w:t>
      </w:r>
      <w:proofErr w:type="spellEnd"/>
      <w:r w:rsidR="00777DCB" w:rsidRPr="00A52585">
        <w:rPr>
          <w:rFonts w:hint="cs"/>
          <w:bCs/>
          <w:rtl/>
        </w:rPr>
        <w:t xml:space="preserve"> ورمز ابن رجب إلى اعتقاد ابن تيمية تناسخ الأرواح</w:t>
      </w:r>
      <w:r w:rsidRPr="00A52585">
        <w:rPr>
          <w:rFonts w:hint="cs"/>
          <w:bCs/>
          <w:rtl/>
        </w:rPr>
        <w:t>]:</w:t>
      </w:r>
      <w:r w:rsidR="00777DCB" w:rsidRPr="00A52585">
        <w:rPr>
          <w:rFonts w:hint="cs"/>
          <w:bCs/>
          <w:rtl/>
        </w:rPr>
        <w:t xml:space="preserve"> </w:t>
      </w:r>
      <w:r w:rsidR="00777DCB" w:rsidRPr="00A52585">
        <w:rPr>
          <w:rFonts w:hint="cs"/>
          <w:rtl/>
        </w:rPr>
        <w:t xml:space="preserve">واعلم أن ما ذكرته من الرمز إلى الصديق والفاروق رضي الله عنهما </w:t>
      </w:r>
      <w:r w:rsidR="00777DCB" w:rsidRPr="00A52585">
        <w:rPr>
          <w:rFonts w:hint="cs"/>
          <w:spacing w:val="-20"/>
          <w:rtl/>
        </w:rPr>
        <w:t xml:space="preserve">وأن </w:t>
      </w:r>
      <w:r w:rsidR="00777DCB" w:rsidRPr="00A52585">
        <w:rPr>
          <w:rFonts w:hint="cs"/>
          <w:rtl/>
        </w:rPr>
        <w:t>فيه إشعاراً بأنه رافضي هو كذلك</w:t>
      </w:r>
      <w:r w:rsidR="00DB731D" w:rsidRPr="00A52585">
        <w:rPr>
          <w:rFonts w:hint="cs"/>
          <w:rtl/>
        </w:rPr>
        <w:t>،</w:t>
      </w:r>
      <w:r w:rsidR="00777DCB" w:rsidRPr="00A52585">
        <w:rPr>
          <w:rFonts w:hint="cs"/>
          <w:rtl/>
        </w:rPr>
        <w:t xml:space="preserve"> وفي </w:t>
      </w:r>
      <w:r w:rsidR="00777DCB" w:rsidRPr="00A52585">
        <w:rPr>
          <w:rFonts w:hint="cs"/>
          <w:rtl/>
        </w:rPr>
        <w:lastRenderedPageBreak/>
        <w:t xml:space="preserve">الرد على </w:t>
      </w:r>
      <w:proofErr w:type="spellStart"/>
      <w:r w:rsidR="00777DCB" w:rsidRPr="00A52585">
        <w:rPr>
          <w:rFonts w:hint="cs"/>
          <w:rtl/>
        </w:rPr>
        <w:t>الرافضي</w:t>
      </w:r>
      <w:proofErr w:type="spellEnd"/>
      <w:r w:rsidR="00777DCB" w:rsidRPr="00A52585">
        <w:rPr>
          <w:rFonts w:hint="cs"/>
          <w:rtl/>
        </w:rPr>
        <w:t xml:space="preserve"> له</w:t>
      </w:r>
      <w:r w:rsidR="00777DCB" w:rsidRPr="00A52585">
        <w:rPr>
          <w:rFonts w:hint="cs"/>
          <w:vertAlign w:val="superscript"/>
          <w:rtl/>
        </w:rPr>
        <w:t xml:space="preserve"> </w:t>
      </w:r>
      <w:r w:rsidR="00777DCB" w:rsidRPr="00A52585">
        <w:rPr>
          <w:rFonts w:hint="cs"/>
          <w:rtl/>
        </w:rPr>
        <w:t xml:space="preserve">أنه رافضي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يشير إلى كتاب (منهاج السنة النبوية) الذي ألفه ابن تيمية في الرد على ابن المطهر الحلِّى من علماء الشيعة ويقول ابن حجر عن هذا في لسان الميزان</w:t>
      </w:r>
      <w:r w:rsidRPr="00A52585">
        <w:rPr>
          <w:rFonts w:hint="cs"/>
          <w:sz w:val="24"/>
          <w:szCs w:val="24"/>
          <w:rtl/>
        </w:rPr>
        <w:t xml:space="preserve">: </w:t>
      </w:r>
      <w:r w:rsidR="00777DCB" w:rsidRPr="00A52585">
        <w:rPr>
          <w:rFonts w:hint="cs"/>
          <w:sz w:val="24"/>
          <w:szCs w:val="24"/>
          <w:rtl/>
        </w:rPr>
        <w:t>" طالعت الرد المذكور فوجدته كما قال السبكي في الاستيفاء لكن وجدته كثير التحامل إلى الغاية في رد الأحاديث التي يوردها ابن المطهِّر وإن كان ذلك من الموضوعات والواهيات، لكنه ردّ في ردِّه كثيراً من الأحاديث الجياد "</w:t>
      </w:r>
      <w:r w:rsidRPr="00A52585">
        <w:rPr>
          <w:rFonts w:hint="cs"/>
          <w:sz w:val="24"/>
          <w:szCs w:val="24"/>
          <w:rtl/>
        </w:rPr>
        <w:t xml:space="preserve"> </w:t>
      </w:r>
      <w:r w:rsidR="00777DCB" w:rsidRPr="00A52585">
        <w:rPr>
          <w:rFonts w:hint="cs"/>
          <w:sz w:val="24"/>
          <w:szCs w:val="24"/>
          <w:rtl/>
        </w:rPr>
        <w:t>وقال</w:t>
      </w:r>
      <w:r w:rsidRPr="00A52585">
        <w:rPr>
          <w:rFonts w:hint="cs"/>
          <w:sz w:val="24"/>
          <w:szCs w:val="24"/>
          <w:rtl/>
        </w:rPr>
        <w:t xml:space="preserve">: </w:t>
      </w:r>
      <w:r w:rsidR="00777DCB" w:rsidRPr="00A52585">
        <w:rPr>
          <w:rFonts w:hint="cs"/>
          <w:sz w:val="24"/>
          <w:szCs w:val="24"/>
          <w:rtl/>
        </w:rPr>
        <w:t xml:space="preserve">" وكم له من مبالغة لتوهين كلام </w:t>
      </w:r>
      <w:proofErr w:type="spellStart"/>
      <w:r w:rsidR="00777DCB" w:rsidRPr="00A52585">
        <w:rPr>
          <w:rFonts w:hint="cs"/>
          <w:sz w:val="24"/>
          <w:szCs w:val="24"/>
          <w:rtl/>
        </w:rPr>
        <w:t>الرافضي</w:t>
      </w:r>
      <w:proofErr w:type="spellEnd"/>
      <w:r w:rsidR="00777DCB" w:rsidRPr="00A52585">
        <w:rPr>
          <w:rFonts w:hint="cs"/>
          <w:sz w:val="24"/>
          <w:szCs w:val="24"/>
          <w:rtl/>
        </w:rPr>
        <w:t xml:space="preserve"> قادته أحياناً إلى تنقيص على رضي الله عنه "</w:t>
      </w:r>
      <w:r w:rsidRPr="00A52585">
        <w:rPr>
          <w:rFonts w:hint="cs"/>
          <w:sz w:val="24"/>
          <w:szCs w:val="24"/>
          <w:rtl/>
        </w:rPr>
        <w:t xml:space="preserve"> </w:t>
      </w:r>
      <w:r w:rsidR="00777DCB" w:rsidRPr="00A52585">
        <w:rPr>
          <w:rFonts w:hint="cs"/>
          <w:sz w:val="24"/>
          <w:szCs w:val="24"/>
          <w:rtl/>
        </w:rPr>
        <w:t xml:space="preserve">انظر ترجمة </w:t>
      </w:r>
      <w:r w:rsidR="00777DCB" w:rsidRPr="00A52585">
        <w:rPr>
          <w:rFonts w:hint="cs"/>
          <w:spacing w:val="-6"/>
          <w:sz w:val="24"/>
          <w:szCs w:val="24"/>
          <w:rtl/>
        </w:rPr>
        <w:t xml:space="preserve">الحسين بن يوسف بن المطهّر الحلي في لسان الميزان </w:t>
      </w:r>
      <w:r w:rsidRPr="00A52585">
        <w:rPr>
          <w:rFonts w:hint="cs"/>
          <w:spacing w:val="-6"/>
          <w:sz w:val="24"/>
          <w:szCs w:val="24"/>
          <w:rtl/>
        </w:rPr>
        <w:t>(</w:t>
      </w:r>
      <w:r w:rsidR="00777DCB" w:rsidRPr="00A52585">
        <w:rPr>
          <w:rFonts w:hint="cs"/>
          <w:spacing w:val="-6"/>
          <w:sz w:val="24"/>
          <w:szCs w:val="24"/>
          <w:rtl/>
        </w:rPr>
        <w:t>قلت</w:t>
      </w:r>
      <w:r w:rsidRPr="00A52585">
        <w:rPr>
          <w:rFonts w:hint="cs"/>
          <w:spacing w:val="-6"/>
          <w:sz w:val="24"/>
          <w:szCs w:val="24"/>
          <w:rtl/>
        </w:rPr>
        <w:t>):</w:t>
      </w:r>
      <w:r w:rsidR="00777DCB" w:rsidRPr="00A52585">
        <w:rPr>
          <w:rFonts w:hint="cs"/>
          <w:spacing w:val="-6"/>
          <w:sz w:val="24"/>
          <w:szCs w:val="24"/>
          <w:rtl/>
        </w:rPr>
        <w:t xml:space="preserve"> بل وصل به الأمر إلى تشبيه غضب السيدة</w:t>
      </w:r>
      <w:r w:rsidR="00777DCB" w:rsidRPr="00A52585">
        <w:rPr>
          <w:rFonts w:hint="cs"/>
          <w:sz w:val="24"/>
          <w:szCs w:val="24"/>
          <w:rtl/>
        </w:rPr>
        <w:t xml:space="preserve"> فاطمة بنت رسول الله صلى الله عليه وسلم - عندما منعها أبو بكر ميراثها في فدك- بأنه من جنس فعل المنافقين الذين إذا أعطوا منها رضوا وإذا لم يعطوا إذا هم يسخطون، عامله الله بما يستحق ويشير المؤلف رحمه الله إلى احتمال </w:t>
      </w:r>
      <w:r w:rsidR="00777DCB" w:rsidRPr="00A52585">
        <w:rPr>
          <w:sz w:val="24"/>
          <w:szCs w:val="24"/>
        </w:rPr>
        <w:t>–</w:t>
      </w:r>
      <w:r w:rsidR="00777DCB" w:rsidRPr="00A52585">
        <w:rPr>
          <w:rFonts w:hint="cs"/>
          <w:sz w:val="24"/>
          <w:szCs w:val="24"/>
          <w:rtl/>
        </w:rPr>
        <w:t xml:space="preserve">وإن كان بعيداً- أن يكون ابن تيمية </w:t>
      </w:r>
      <w:proofErr w:type="spellStart"/>
      <w:r w:rsidR="00777DCB" w:rsidRPr="00A52585">
        <w:rPr>
          <w:rFonts w:hint="cs"/>
          <w:sz w:val="24"/>
          <w:szCs w:val="24"/>
          <w:rtl/>
        </w:rPr>
        <w:t>رافضيا</w:t>
      </w:r>
      <w:proofErr w:type="spellEnd"/>
      <w:r w:rsidR="00777DCB" w:rsidRPr="00A52585">
        <w:rPr>
          <w:rFonts w:hint="cs"/>
          <w:sz w:val="24"/>
          <w:szCs w:val="24"/>
          <w:rtl/>
        </w:rPr>
        <w:t xml:space="preserve"> يخفي عقيدته لعدة أمارات</w:t>
      </w:r>
      <w:r w:rsidRPr="00A52585">
        <w:rPr>
          <w:rFonts w:hint="cs"/>
          <w:sz w:val="24"/>
          <w:szCs w:val="24"/>
          <w:rtl/>
        </w:rPr>
        <w:t>:</w:t>
      </w:r>
      <w:r w:rsidR="00777DCB" w:rsidRPr="00A52585">
        <w:rPr>
          <w:rFonts w:hint="cs"/>
          <w:sz w:val="24"/>
          <w:szCs w:val="24"/>
          <w:rtl/>
        </w:rPr>
        <w:t xml:space="preserve"> 1- بغضه الشديد لأبي بكر الصديق ولعمر رضي الله عنهما حتى كان يقول</w:t>
      </w:r>
      <w:r w:rsidRPr="00A52585">
        <w:rPr>
          <w:rFonts w:hint="cs"/>
          <w:sz w:val="24"/>
          <w:szCs w:val="24"/>
          <w:rtl/>
        </w:rPr>
        <w:t>:</w:t>
      </w:r>
      <w:r w:rsidR="00777DCB" w:rsidRPr="00A52585">
        <w:rPr>
          <w:rFonts w:hint="cs"/>
          <w:sz w:val="24"/>
          <w:szCs w:val="24"/>
          <w:rtl/>
        </w:rPr>
        <w:t xml:space="preserve"> وكم لعمر من بليات في الإسلام وأي بليّات! 2- موافقته لرأي الشيعة في بعض الآراء الفقهية مثل الطلاق وتسفيهه آراء أهل السنة فيه بل كان يزعم أنها من ابتداع عمر بن الخطاب في الدين</w:t>
      </w:r>
      <w:r w:rsidR="00DB731D" w:rsidRPr="00A52585">
        <w:rPr>
          <w:rFonts w:hint="cs"/>
          <w:sz w:val="24"/>
          <w:szCs w:val="24"/>
          <w:rtl/>
        </w:rPr>
        <w:t>،</w:t>
      </w:r>
      <w:r w:rsidR="00777DCB" w:rsidRPr="00A52585">
        <w:rPr>
          <w:rFonts w:hint="cs"/>
          <w:sz w:val="24"/>
          <w:szCs w:val="24"/>
          <w:rtl/>
        </w:rPr>
        <w:t xml:space="preserve"> 3- لما ذكر ابن المطهِّر في كتابه أن أهل السنة مشبهة ومجسمة ويقولون بحلول الحوادث في الذات الإلهية ويبغضون أهل البيت، بذل ابن </w:t>
      </w:r>
      <w:r w:rsidR="00777DCB" w:rsidRPr="00A52585">
        <w:rPr>
          <w:rFonts w:hint="cs"/>
          <w:spacing w:val="-6"/>
          <w:sz w:val="24"/>
          <w:szCs w:val="24"/>
          <w:rtl/>
        </w:rPr>
        <w:t>تيمية كل جهده في (منهاج السنة)</w:t>
      </w:r>
      <w:r w:rsidR="00777DCB" w:rsidRPr="00A52585">
        <w:rPr>
          <w:rFonts w:hint="cs"/>
          <w:sz w:val="24"/>
          <w:szCs w:val="24"/>
          <w:rtl/>
        </w:rPr>
        <w:t xml:space="preserve"> لإثبات أن التشبيه والتجسيم </w:t>
      </w:r>
      <w:r w:rsidR="00777DCB" w:rsidRPr="00A52585">
        <w:rPr>
          <w:sz w:val="24"/>
          <w:szCs w:val="24"/>
        </w:rPr>
        <w:t>…</w:t>
      </w:r>
      <w:r w:rsidR="00777DCB" w:rsidRPr="00A52585">
        <w:rPr>
          <w:rFonts w:hint="cs"/>
          <w:sz w:val="24"/>
          <w:szCs w:val="24"/>
          <w:rtl/>
        </w:rPr>
        <w:t xml:space="preserve"> إلخ حق ولم يبرئ أهل</w:t>
      </w:r>
      <w:r w:rsidRPr="00A52585">
        <w:rPr>
          <w:rFonts w:hint="cs"/>
          <w:sz w:val="24"/>
          <w:szCs w:val="24"/>
          <w:rtl/>
        </w:rPr>
        <w:t xml:space="preserve"> </w:t>
      </w:r>
      <w:r w:rsidR="00777DCB" w:rsidRPr="00A52585">
        <w:rPr>
          <w:rFonts w:hint="cs"/>
          <w:sz w:val="24"/>
          <w:szCs w:val="24"/>
          <w:rtl/>
        </w:rPr>
        <w:t xml:space="preserve">السنة من هذه التهم فكأنه هو وابن المطهِّر تعاونا في </w:t>
      </w:r>
      <w:r w:rsidR="00777DCB" w:rsidRPr="00A52585">
        <w:rPr>
          <w:rFonts w:hint="cs"/>
          <w:spacing w:val="-20"/>
          <w:sz w:val="24"/>
          <w:szCs w:val="24"/>
          <w:rtl/>
        </w:rPr>
        <w:t xml:space="preserve">إلصاق </w:t>
      </w:r>
      <w:r w:rsidR="00777DCB" w:rsidRPr="00A52585">
        <w:rPr>
          <w:rFonts w:hint="cs"/>
          <w:sz w:val="24"/>
          <w:szCs w:val="24"/>
          <w:rtl/>
        </w:rPr>
        <w:t>هذه التهم بأهل السّنة!</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 xml:space="preserve">وهذا نبه عليه الشيخ زين الدين القرشي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الحافظ الفقيه الواعظ المفسر زين الدين عمر بن مسلم بن سعيد أبو حفص القرشي الدمشقي الشافعي المذهب</w:t>
      </w:r>
      <w:r w:rsidR="00DB731D" w:rsidRPr="00A52585">
        <w:rPr>
          <w:rFonts w:hint="cs"/>
          <w:sz w:val="24"/>
          <w:szCs w:val="24"/>
          <w:rtl/>
        </w:rPr>
        <w:t>،</w:t>
      </w:r>
      <w:r w:rsidR="00777DCB" w:rsidRPr="00A52585">
        <w:rPr>
          <w:rFonts w:hint="cs"/>
          <w:sz w:val="24"/>
          <w:szCs w:val="24"/>
          <w:rtl/>
        </w:rPr>
        <w:t xml:space="preserve"> ولد سنة 724هـ أخذ عن الشيخ علاء الدين حجي، وأخذ علم الأصول عن بهاء الدين </w:t>
      </w:r>
      <w:proofErr w:type="spellStart"/>
      <w:r w:rsidR="00777DCB" w:rsidRPr="00A52585">
        <w:rPr>
          <w:rFonts w:hint="cs"/>
          <w:sz w:val="24"/>
          <w:szCs w:val="24"/>
          <w:rtl/>
        </w:rPr>
        <w:t>الإخميمي</w:t>
      </w:r>
      <w:proofErr w:type="spellEnd"/>
      <w:r w:rsidR="00777DCB" w:rsidRPr="00A52585">
        <w:rPr>
          <w:rFonts w:hint="cs"/>
          <w:sz w:val="24"/>
          <w:szCs w:val="24"/>
          <w:rtl/>
        </w:rPr>
        <w:t>، واشتغل في الحديث قال الحافظ شهاب الدين ابن حجي برع في علم التفسير وأما علم الحديث فكان حافظاً للمتون عارفا بالرجال وكان سمع الكثير من شيوخنا وله مشاركة في العربية أهـ وكان مشهوراً بقوة الحفظ ودوامه، كثير الإنكار على أرباب الشبه شجاعاً مقداماً كثير المساعدة لطلبة العلم يقول الحق على من كان من غير مداراة في الحق ولا محاباة</w:t>
      </w:r>
      <w:r w:rsidR="00DB731D" w:rsidRPr="00A52585">
        <w:rPr>
          <w:rFonts w:hint="cs"/>
          <w:sz w:val="24"/>
          <w:szCs w:val="24"/>
          <w:rtl/>
        </w:rPr>
        <w:t>،</w:t>
      </w:r>
      <w:r w:rsidR="00777DCB" w:rsidRPr="00A52585">
        <w:rPr>
          <w:rFonts w:hint="cs"/>
          <w:sz w:val="24"/>
          <w:szCs w:val="24"/>
          <w:rtl/>
        </w:rPr>
        <w:t xml:space="preserve"> توفي معتقلا في قلعة دمشق سنة 792هـ</w:t>
      </w:r>
      <w:r w:rsidRPr="00A52585">
        <w:rPr>
          <w:rFonts w:hint="cs"/>
          <w:sz w:val="24"/>
          <w:szCs w:val="24"/>
          <w:rtl/>
        </w:rPr>
        <w:t>]</w:t>
      </w:r>
      <w:r w:rsidR="00DB731D" w:rsidRPr="00A52585">
        <w:rPr>
          <w:rFonts w:hint="cs"/>
          <w:sz w:val="24"/>
          <w:szCs w:val="24"/>
          <w:rtl/>
        </w:rPr>
        <w:t>،</w:t>
      </w:r>
      <w:r w:rsidR="00777DCB" w:rsidRPr="00A52585">
        <w:rPr>
          <w:rFonts w:hint="cs"/>
          <w:rtl/>
        </w:rPr>
        <w:t xml:space="preserve"> والشيخ زين الدين ابن رجب الحنبلي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 الإمام الحافظ الفقيه الواعظ زين الدين عبد الرحمن بن أحمد بن رجب البغدادي ثم الدمشقي الحنبلي صنف (شرح الترمذي) و(شرح علل الترمذي) و(طبقات الحنابلة) وغير ذلك</w:t>
      </w:r>
      <w:r w:rsidR="00DB731D" w:rsidRPr="00A52585">
        <w:rPr>
          <w:rFonts w:hint="cs"/>
          <w:sz w:val="24"/>
          <w:szCs w:val="24"/>
          <w:rtl/>
        </w:rPr>
        <w:t>،</w:t>
      </w:r>
      <w:r w:rsidR="00777DCB" w:rsidRPr="00A52585">
        <w:rPr>
          <w:rFonts w:hint="cs"/>
          <w:sz w:val="24"/>
          <w:szCs w:val="24"/>
          <w:rtl/>
        </w:rPr>
        <w:t xml:space="preserve"> قالوا</w:t>
      </w:r>
      <w:r w:rsidRPr="00A52585">
        <w:rPr>
          <w:rFonts w:hint="cs"/>
          <w:sz w:val="24"/>
          <w:szCs w:val="24"/>
          <w:rtl/>
        </w:rPr>
        <w:t>:</w:t>
      </w:r>
      <w:r w:rsidR="00777DCB" w:rsidRPr="00A52585">
        <w:rPr>
          <w:rFonts w:hint="cs"/>
          <w:sz w:val="24"/>
          <w:szCs w:val="24"/>
          <w:rtl/>
        </w:rPr>
        <w:t xml:space="preserve"> كان لا يعرف شيئاً من أمور الناس ولا يتردد إلى ذوي الولايات</w:t>
      </w:r>
      <w:r w:rsidR="00DB731D" w:rsidRPr="00A52585">
        <w:rPr>
          <w:rFonts w:hint="cs"/>
          <w:sz w:val="24"/>
          <w:szCs w:val="24"/>
          <w:rtl/>
        </w:rPr>
        <w:t>،</w:t>
      </w:r>
      <w:r w:rsidR="00777DCB" w:rsidRPr="00A52585">
        <w:rPr>
          <w:rFonts w:hint="cs"/>
          <w:sz w:val="24"/>
          <w:szCs w:val="24"/>
          <w:rtl/>
        </w:rPr>
        <w:t xml:space="preserve"> توفي في رجب سنة 795 ه</w:t>
      </w:r>
      <w:r w:rsidRPr="00A52585">
        <w:rPr>
          <w:rFonts w:hint="cs"/>
          <w:sz w:val="24"/>
          <w:szCs w:val="24"/>
          <w:rtl/>
        </w:rPr>
        <w:t>]</w:t>
      </w:r>
      <w:r w:rsidR="00DB731D" w:rsidRPr="00A52585">
        <w:rPr>
          <w:rFonts w:hint="cs"/>
          <w:rtl/>
        </w:rPr>
        <w:t>،</w:t>
      </w:r>
      <w:r w:rsidR="00777DCB" w:rsidRPr="00A52585">
        <w:rPr>
          <w:rFonts w:hint="cs"/>
          <w:rtl/>
        </w:rPr>
        <w:t xml:space="preserve"> نعم وقفت على مصنف لطيف له ولم يتمه وفيه ما يدل على ما قالاه وفي هذا الكتاب رمز إلى أنه من القائلين بتناسخ الأرواح</w:t>
      </w:r>
      <w:r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ربما يكون قد تأثر ببعض أهل الكتاب ففي إنجيل مرقس أن عيسى عليه السلام قال للحواريين</w:t>
      </w:r>
      <w:r w:rsidRPr="00A52585">
        <w:rPr>
          <w:rFonts w:hint="cs"/>
          <w:sz w:val="24"/>
          <w:szCs w:val="24"/>
          <w:rtl/>
        </w:rPr>
        <w:t xml:space="preserve">: </w:t>
      </w:r>
      <w:r w:rsidR="00777DCB" w:rsidRPr="00A52585">
        <w:rPr>
          <w:rFonts w:hint="cs"/>
          <w:sz w:val="24"/>
          <w:szCs w:val="24"/>
          <w:rtl/>
        </w:rPr>
        <w:t>" من أنا في نظر الأميين من بني إسرائيل</w:t>
      </w:r>
      <w:r w:rsidR="00F95886" w:rsidRPr="00A52585">
        <w:rPr>
          <w:rFonts w:hint="cs"/>
          <w:sz w:val="24"/>
          <w:szCs w:val="24"/>
          <w:rtl/>
        </w:rPr>
        <w:t>؟</w:t>
      </w:r>
      <w:r w:rsidR="00777DCB" w:rsidRPr="00A52585">
        <w:rPr>
          <w:rFonts w:hint="cs"/>
          <w:sz w:val="24"/>
          <w:szCs w:val="24"/>
          <w:rtl/>
        </w:rPr>
        <w:t xml:space="preserve"> فأجابوه بأن فريقا منهم يقول إن في جسدك روح إلياس وفريقا يقول</w:t>
      </w:r>
      <w:r w:rsidRPr="00A52585">
        <w:rPr>
          <w:rFonts w:hint="cs"/>
          <w:sz w:val="24"/>
          <w:szCs w:val="24"/>
          <w:rtl/>
        </w:rPr>
        <w:t>:</w:t>
      </w:r>
      <w:r w:rsidR="00777DCB" w:rsidRPr="00A52585">
        <w:rPr>
          <w:rFonts w:hint="cs"/>
          <w:sz w:val="24"/>
          <w:szCs w:val="24"/>
          <w:rtl/>
        </w:rPr>
        <w:t xml:space="preserve"> روح نبي من الأنبياء القدماء، وفريقا يقول</w:t>
      </w:r>
      <w:r w:rsidRPr="00A52585">
        <w:rPr>
          <w:rFonts w:hint="cs"/>
          <w:sz w:val="24"/>
          <w:szCs w:val="24"/>
          <w:rtl/>
        </w:rPr>
        <w:t>:</w:t>
      </w:r>
      <w:r w:rsidR="00777DCB" w:rsidRPr="00A52585">
        <w:rPr>
          <w:rFonts w:hint="cs"/>
          <w:sz w:val="24"/>
          <w:szCs w:val="24"/>
          <w:rtl/>
        </w:rPr>
        <w:t xml:space="preserve"> روح يحيى بن زكريا"</w:t>
      </w:r>
      <w:r w:rsidRPr="00A52585">
        <w:rPr>
          <w:rFonts w:hint="cs"/>
          <w:sz w:val="24"/>
          <w:szCs w:val="24"/>
          <w:rtl/>
        </w:rPr>
        <w:t xml:space="preserve"> </w:t>
      </w:r>
      <w:r w:rsidR="00777DCB" w:rsidRPr="00A52585">
        <w:rPr>
          <w:rFonts w:hint="cs"/>
          <w:sz w:val="24"/>
          <w:szCs w:val="24"/>
          <w:rtl/>
        </w:rPr>
        <w:t>(مرقس 8</w:t>
      </w:r>
      <w:r w:rsidRPr="00A52585">
        <w:rPr>
          <w:rFonts w:hint="cs"/>
          <w:sz w:val="24"/>
          <w:szCs w:val="24"/>
          <w:rtl/>
        </w:rPr>
        <w:t>:</w:t>
      </w:r>
      <w:r w:rsidR="00777DCB" w:rsidRPr="00A52585">
        <w:rPr>
          <w:rFonts w:hint="cs"/>
          <w:sz w:val="24"/>
          <w:szCs w:val="24"/>
          <w:rtl/>
        </w:rPr>
        <w:t xml:space="preserve"> 27-30) أو يكون قد تأثر بالروافض كما يفهم من سياق كلام المؤلف، يقول العلامة السيد/ مرتضى الزبيدي في كتابه (إتحاف السادة المتقين) 2/292ط العلمية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وصار جماعة من غلاة الروافض وغيرهم إلى التزام التناسخ، وقالوا إنما حسن ذلك من حيث استحقته بجرائم سابقة اقترفتها في غير هذه القوالب، فنقلت إلى هذه القوالب عقوبة لها ومن أصولهم أنها مدركة عالمة بما هي فيه من العقــوبة </w:t>
      </w:r>
      <w:r w:rsidR="00777DCB" w:rsidRPr="00A52585">
        <w:rPr>
          <w:rFonts w:hint="cs"/>
          <w:sz w:val="24"/>
          <w:szCs w:val="24"/>
          <w:rtl/>
        </w:rPr>
        <w:lastRenderedPageBreak/>
        <w:t>على الزلات "</w:t>
      </w:r>
      <w:r w:rsidRPr="00A52585">
        <w:rPr>
          <w:rFonts w:hint="cs"/>
          <w:sz w:val="24"/>
          <w:szCs w:val="24"/>
          <w:rtl/>
        </w:rPr>
        <w:t xml:space="preserve"> </w:t>
      </w:r>
      <w:r w:rsidR="00777DCB" w:rsidRPr="00A52585">
        <w:rPr>
          <w:rFonts w:hint="cs"/>
          <w:sz w:val="24"/>
          <w:szCs w:val="24"/>
          <w:rtl/>
        </w:rPr>
        <w:t>أهـ وقد سبق هؤلاء جميعاً في الزعم بتناسخ الأرواح أتباع الديانة الهندوسية فإنها جزء من عقائدهم الأساسية وربما كان منشأ هذه الملاحظة على ابن تيمية زعمه هو وتلميذه ابن القيم أن هذه الأجساد الدنيوية للبشر تفنى إلى غير رجعة وأن إعادة المعدوم مستحيلة – هذا ظاهر كلام ابن القيم في النونية- وأنها غير معقولة بل البعث عندهما لا يتضمن جمع المتفرق من كل جسد بل هو إنشاء جديد تماما لأجساد أخرى تماما تحلها أرواح البشر هذا هو الثابت من كلامهما وقد يكون الإمام ابن رجب الحنبلي قد اطلع على نصوص أخرى بالإضافة إلى هذا</w:t>
      </w:r>
      <w:r w:rsidRPr="00A52585">
        <w:rPr>
          <w:rFonts w:hint="cs"/>
          <w:sz w:val="24"/>
          <w:szCs w:val="24"/>
          <w:rtl/>
        </w:rPr>
        <w:t xml:space="preserve"> </w:t>
      </w:r>
      <w:r w:rsidR="00777DCB" w:rsidRPr="00A52585">
        <w:rPr>
          <w:rFonts w:hint="cs"/>
          <w:sz w:val="24"/>
          <w:szCs w:val="24"/>
          <w:rtl/>
        </w:rPr>
        <w:t>وجاء في السيف الصقيل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 xml:space="preserve">استنكار الناظم إعادة المعدوم </w:t>
      </w:r>
      <w:r w:rsidR="00777DCB" w:rsidRPr="00A52585">
        <w:rPr>
          <w:sz w:val="24"/>
          <w:szCs w:val="24"/>
        </w:rPr>
        <w:t>…</w:t>
      </w:r>
      <w:r w:rsidR="00777DCB" w:rsidRPr="00A52585">
        <w:rPr>
          <w:rFonts w:hint="cs"/>
          <w:sz w:val="24"/>
          <w:szCs w:val="24"/>
          <w:rtl/>
        </w:rPr>
        <w:t xml:space="preserve"> إلخ</w:t>
      </w:r>
      <w:r w:rsidRPr="00A52585">
        <w:rPr>
          <w:rFonts w:hint="cs"/>
          <w:sz w:val="24"/>
          <w:szCs w:val="24"/>
          <w:rtl/>
        </w:rPr>
        <w:t>)</w:t>
      </w:r>
      <w:r w:rsidR="00777DCB" w:rsidRPr="00A52585">
        <w:rPr>
          <w:rFonts w:hint="cs"/>
          <w:sz w:val="24"/>
          <w:szCs w:val="24"/>
          <w:rtl/>
        </w:rPr>
        <w:t xml:space="preserve"> يشير بالناظم إلى ابن قيم الجوزية</w:t>
      </w:r>
      <w:r w:rsidR="00DB731D"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 وقضى الله بأن يجعل خلقه عدما ويقلبه وجوداً ويعيد ذا المعدوم هذا المعاد وذلك المبدأ لذى جهم وقد نسبوه للقرآن هذا الذي قاد ابن سينا والألى قالوا مقالته إلى </w:t>
      </w:r>
      <w:proofErr w:type="spellStart"/>
      <w:r w:rsidR="00777DCB" w:rsidRPr="00A52585">
        <w:rPr>
          <w:rFonts w:hint="cs"/>
          <w:sz w:val="24"/>
          <w:szCs w:val="24"/>
          <w:rtl/>
        </w:rPr>
        <w:t>الكفرأن</w:t>
      </w:r>
      <w:proofErr w:type="spellEnd"/>
      <w:r w:rsidR="00777DCB" w:rsidRPr="00A52585">
        <w:rPr>
          <w:rFonts w:hint="cs"/>
          <w:sz w:val="24"/>
          <w:szCs w:val="24"/>
          <w:rtl/>
        </w:rPr>
        <w:t xml:space="preserve"> لم تقبل الأذهان ذا، وتوهموا أن الرسول صلى الله عليه وسلم عناه بالإيمان، هذا كتاب الله أنى قاله أو عبده أو صحبه أو تابعه، بل صرح الوحي بأنه مغير الأكوان وتحدث الأرض وتشهد </w:t>
      </w:r>
      <w:proofErr w:type="spellStart"/>
      <w:r w:rsidR="00777DCB" w:rsidRPr="00A52585">
        <w:rPr>
          <w:rFonts w:hint="cs"/>
          <w:sz w:val="24"/>
          <w:szCs w:val="24"/>
          <w:rtl/>
        </w:rPr>
        <w:t>أفيشهد</w:t>
      </w:r>
      <w:proofErr w:type="spellEnd"/>
      <w:r w:rsidR="00777DCB" w:rsidRPr="00A52585">
        <w:rPr>
          <w:rFonts w:hint="cs"/>
          <w:sz w:val="24"/>
          <w:szCs w:val="24"/>
          <w:rtl/>
        </w:rPr>
        <w:t xml:space="preserve"> العدم "</w:t>
      </w:r>
      <w:r w:rsidRPr="00A52585">
        <w:rPr>
          <w:rFonts w:hint="cs"/>
          <w:sz w:val="24"/>
          <w:szCs w:val="24"/>
          <w:rtl/>
        </w:rPr>
        <w:t xml:space="preserve"> </w:t>
      </w:r>
      <w:r w:rsidR="00777DCB" w:rsidRPr="00A52585">
        <w:rPr>
          <w:rFonts w:hint="cs"/>
          <w:sz w:val="24"/>
          <w:szCs w:val="24"/>
          <w:rtl/>
        </w:rPr>
        <w:t>هذا كلام ابن القيم في القصيدة النونية</w:t>
      </w:r>
      <w:r w:rsidR="00DB731D" w:rsidRPr="00A52585">
        <w:rPr>
          <w:rFonts w:hint="cs"/>
          <w:sz w:val="24"/>
          <w:szCs w:val="24"/>
          <w:rtl/>
        </w:rPr>
        <w:t>،</w:t>
      </w:r>
      <w:r w:rsidR="00777DCB" w:rsidRPr="00A52585">
        <w:rPr>
          <w:rFonts w:hint="cs"/>
          <w:sz w:val="24"/>
          <w:szCs w:val="24"/>
          <w:rtl/>
        </w:rPr>
        <w:t xml:space="preserve"> يقول الإمام السبكي</w:t>
      </w:r>
      <w:r w:rsidRPr="00A52585">
        <w:rPr>
          <w:rFonts w:hint="cs"/>
          <w:sz w:val="24"/>
          <w:szCs w:val="24"/>
          <w:rtl/>
        </w:rPr>
        <w:t>:</w:t>
      </w:r>
      <w:r w:rsidR="00777DCB" w:rsidRPr="00A52585">
        <w:rPr>
          <w:rFonts w:hint="cs"/>
          <w:sz w:val="24"/>
          <w:szCs w:val="24"/>
          <w:rtl/>
        </w:rPr>
        <w:t xml:space="preserve"> أجمع المسلمون على أن الله قادر على أن يعدم الخلق ثم يعيده وعلى أن إنكار ذلك كفر وجمهور المسلمين على أن الواقع ذلك لقوله تعالى {كل من عليها فإن</w:t>
      </w:r>
      <w:r w:rsidRPr="00A52585">
        <w:rPr>
          <w:rFonts w:hint="cs"/>
          <w:sz w:val="24"/>
          <w:szCs w:val="24"/>
          <w:rtl/>
        </w:rPr>
        <w:t>}</w:t>
      </w:r>
      <w:r w:rsidR="00777DCB" w:rsidRPr="00A52585">
        <w:rPr>
          <w:rFonts w:hint="cs"/>
          <w:sz w:val="24"/>
          <w:szCs w:val="24"/>
          <w:rtl/>
        </w:rPr>
        <w:t xml:space="preserve"> و </w:t>
      </w:r>
      <w:r w:rsidRPr="00A52585">
        <w:rPr>
          <w:rFonts w:hint="cs"/>
          <w:sz w:val="24"/>
          <w:szCs w:val="24"/>
          <w:rtl/>
        </w:rPr>
        <w:t>{</w:t>
      </w:r>
      <w:r w:rsidR="00777DCB" w:rsidRPr="00A52585">
        <w:rPr>
          <w:rFonts w:hint="cs"/>
          <w:sz w:val="24"/>
          <w:szCs w:val="24"/>
          <w:rtl/>
        </w:rPr>
        <w:t>كل شيء هالك إلا وجهه</w:t>
      </w:r>
      <w:r w:rsidRPr="00A52585">
        <w:rPr>
          <w:rFonts w:hint="cs"/>
          <w:sz w:val="24"/>
          <w:szCs w:val="24"/>
          <w:rtl/>
        </w:rPr>
        <w:t>}</w:t>
      </w:r>
      <w:r w:rsidR="00777DCB" w:rsidRPr="00A52585">
        <w:rPr>
          <w:rFonts w:hint="cs"/>
          <w:sz w:val="24"/>
          <w:szCs w:val="24"/>
          <w:rtl/>
        </w:rPr>
        <w:t xml:space="preserve"> وقيل إن الأجسام تتفرق ثم تعاد وقوله</w:t>
      </w:r>
      <w:r w:rsidRPr="00A52585">
        <w:rPr>
          <w:rFonts w:hint="cs"/>
          <w:sz w:val="24"/>
          <w:szCs w:val="24"/>
          <w:rtl/>
        </w:rPr>
        <w:t xml:space="preserve"> </w:t>
      </w:r>
      <w:r w:rsidR="00777DCB" w:rsidRPr="00A52585">
        <w:rPr>
          <w:rFonts w:hint="cs"/>
          <w:sz w:val="24"/>
          <w:szCs w:val="24"/>
          <w:rtl/>
        </w:rPr>
        <w:t>{</w:t>
      </w:r>
      <w:proofErr w:type="spellStart"/>
      <w:r w:rsidR="00777DCB" w:rsidRPr="00A52585">
        <w:rPr>
          <w:rFonts w:hint="cs"/>
          <w:sz w:val="24"/>
          <w:szCs w:val="24"/>
          <w:rtl/>
        </w:rPr>
        <w:t>أفيشهد</w:t>
      </w:r>
      <w:proofErr w:type="spellEnd"/>
      <w:r w:rsidR="00777DCB" w:rsidRPr="00A52585">
        <w:rPr>
          <w:rFonts w:hint="cs"/>
          <w:sz w:val="24"/>
          <w:szCs w:val="24"/>
          <w:rtl/>
        </w:rPr>
        <w:t xml:space="preserve"> العدم</w:t>
      </w:r>
      <w:r w:rsidRPr="00A52585">
        <w:rPr>
          <w:rFonts w:hint="cs"/>
          <w:sz w:val="24"/>
          <w:szCs w:val="24"/>
          <w:rtl/>
        </w:rPr>
        <w:t>}</w:t>
      </w:r>
      <w:r w:rsidR="00777DCB" w:rsidRPr="00A52585">
        <w:rPr>
          <w:rFonts w:hint="cs"/>
          <w:sz w:val="24"/>
          <w:szCs w:val="24"/>
          <w:rtl/>
        </w:rPr>
        <w:t xml:space="preserve"> أنحن قلنا تشهد وهي عدم إنما تشهد بعد الإعادة فانظر كلام هذا الجاهل وقوله {لم تقبل الأذهان ذا</w:t>
      </w:r>
      <w:r w:rsidRPr="00A52585">
        <w:rPr>
          <w:rFonts w:hint="cs"/>
          <w:sz w:val="24"/>
          <w:szCs w:val="24"/>
          <w:rtl/>
        </w:rPr>
        <w:t>}</w:t>
      </w:r>
      <w:r w:rsidR="00777DCB" w:rsidRPr="00A52585">
        <w:rPr>
          <w:rFonts w:hint="cs"/>
          <w:sz w:val="24"/>
          <w:szCs w:val="24"/>
          <w:rtl/>
        </w:rPr>
        <w:t xml:space="preserve"> إن كان ينكر إمكانه</w:t>
      </w:r>
      <w:r w:rsidRPr="00A52585">
        <w:rPr>
          <w:rFonts w:hint="cs"/>
          <w:sz w:val="24"/>
          <w:szCs w:val="24"/>
          <w:rtl/>
        </w:rPr>
        <w:t xml:space="preserve"> </w:t>
      </w:r>
      <w:r w:rsidR="00777DCB" w:rsidRPr="00A52585">
        <w:rPr>
          <w:rFonts w:hint="cs"/>
          <w:sz w:val="24"/>
          <w:szCs w:val="24"/>
          <w:rtl/>
        </w:rPr>
        <w:t>{وكونه مقدوراً لله</w:t>
      </w:r>
      <w:r w:rsidRPr="00A52585">
        <w:rPr>
          <w:rFonts w:hint="cs"/>
          <w:sz w:val="24"/>
          <w:szCs w:val="24"/>
          <w:rtl/>
        </w:rPr>
        <w:t>}</w:t>
      </w:r>
      <w:r w:rsidR="00777DCB" w:rsidRPr="00A52585">
        <w:rPr>
          <w:rFonts w:hint="cs"/>
          <w:sz w:val="24"/>
          <w:szCs w:val="24"/>
          <w:rtl/>
        </w:rPr>
        <w:t xml:space="preserve"> فهو كافر وإن لم ينكر إلا وقوعه فهو مذهب ضعيف ثم قال</w:t>
      </w:r>
      <w:r w:rsidRPr="00A52585">
        <w:rPr>
          <w:rFonts w:hint="cs"/>
          <w:sz w:val="24"/>
          <w:szCs w:val="24"/>
          <w:rtl/>
        </w:rPr>
        <w:t xml:space="preserve"> </w:t>
      </w:r>
      <w:r w:rsidR="00777DCB" w:rsidRPr="00A52585">
        <w:rPr>
          <w:rFonts w:hint="cs"/>
          <w:sz w:val="24"/>
          <w:szCs w:val="24"/>
          <w:rtl/>
        </w:rPr>
        <w:t>"هذا الذي جاء الكتاب وسنة الهادي به، ما قال إن الله يعدم خلقه طرا كقول الجاهل الحيران "</w:t>
      </w:r>
      <w:r w:rsidRPr="00A52585">
        <w:rPr>
          <w:rFonts w:hint="cs"/>
          <w:sz w:val="24"/>
          <w:szCs w:val="24"/>
          <w:rtl/>
        </w:rPr>
        <w:t xml:space="preserve"> </w:t>
      </w:r>
      <w:r w:rsidR="00777DCB" w:rsidRPr="00A52585">
        <w:rPr>
          <w:rFonts w:hint="cs"/>
          <w:sz w:val="24"/>
          <w:szCs w:val="24"/>
          <w:rtl/>
        </w:rPr>
        <w:t xml:space="preserve">أقول قد قال تعالى </w:t>
      </w:r>
      <w:r w:rsidRPr="00A52585">
        <w:rPr>
          <w:rFonts w:hint="cs"/>
          <w:sz w:val="24"/>
          <w:szCs w:val="24"/>
          <w:rtl/>
        </w:rPr>
        <w:t>{</w:t>
      </w:r>
      <w:r w:rsidR="00777DCB" w:rsidRPr="00A52585">
        <w:rPr>
          <w:rFonts w:hint="cs"/>
          <w:sz w:val="24"/>
          <w:szCs w:val="24"/>
          <w:rtl/>
        </w:rPr>
        <w:t>كما بدأنا أول خلق نعيده</w:t>
      </w:r>
      <w:r w:rsidRPr="00A52585">
        <w:rPr>
          <w:rFonts w:hint="cs"/>
          <w:sz w:val="24"/>
          <w:szCs w:val="24"/>
          <w:rtl/>
        </w:rPr>
        <w:t>}</w:t>
      </w:r>
      <w:r w:rsidR="00777DCB" w:rsidRPr="00A52585">
        <w:rPr>
          <w:rFonts w:hint="cs"/>
          <w:sz w:val="24"/>
          <w:szCs w:val="24"/>
          <w:rtl/>
        </w:rPr>
        <w:t xml:space="preserve"> ولو كانت الإعادة جمع الأجزاء بعد تفريقها أو الإتيان بغيرها لم تنطبق على</w:t>
      </w:r>
      <w:r w:rsidRPr="00A52585">
        <w:rPr>
          <w:rFonts w:hint="cs"/>
          <w:sz w:val="24"/>
          <w:szCs w:val="24"/>
          <w:rtl/>
        </w:rPr>
        <w:t xml:space="preserve"> </w:t>
      </w:r>
      <w:r w:rsidR="00777DCB" w:rsidRPr="00A52585">
        <w:rPr>
          <w:rFonts w:hint="cs"/>
          <w:sz w:val="24"/>
          <w:szCs w:val="24"/>
          <w:rtl/>
        </w:rPr>
        <w:t>الآية فإن الآية تقتضي أن جميع ما بدأ به الخلق يعيده وإنما يكون كذلك إذ أعدمه ثم أعاده بعينه، والله قادر على ذلك وقال تعالى {وهو أهون عليه</w:t>
      </w:r>
      <w:r w:rsidRPr="00A52585">
        <w:rPr>
          <w:rFonts w:hint="cs"/>
          <w:sz w:val="24"/>
          <w:szCs w:val="24"/>
          <w:rtl/>
        </w:rPr>
        <w:t>}</w:t>
      </w:r>
      <w:r w:rsidR="00777DCB" w:rsidRPr="00A52585">
        <w:rPr>
          <w:rFonts w:hint="cs"/>
          <w:sz w:val="24"/>
          <w:szCs w:val="24"/>
          <w:rtl/>
        </w:rPr>
        <w:t xml:space="preserve"> 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 وعند هذا المتخلف ما أخرج المعاد من العدم إلى الوجود بل من صفة إلى صفة يتعالى الله عن قوله </w:t>
      </w:r>
      <w:r w:rsidR="00777DCB" w:rsidRPr="00A52585">
        <w:rPr>
          <w:rFonts w:hint="cs"/>
          <w:bCs/>
          <w:sz w:val="24"/>
          <w:szCs w:val="24"/>
          <w:rtl/>
        </w:rPr>
        <w:t>فهذا القول منه بما دل عليه من أن الإبراز من العدم إلى الوجود في الإعادة غير مقدور، كفر إلا إذا تأول على الوقوع مع الموافقة على الإمكان وليس ظاهر الكلام ففي قبول قوله إذا ادعاه نظر لأن هذا يتكرر وتكرير هذه الأمور يشبه الزندقة</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أهـ من السيف الصقيل للإمام تقي الدين السبكي طبعة زهران ص 31- 32 وأِشار العلامة الإمام محمد زاهد الكوثري إلى أن ابن تيمية وتلميذه ابن القيم لا </w:t>
      </w:r>
      <w:proofErr w:type="spellStart"/>
      <w:r w:rsidR="00777DCB" w:rsidRPr="00A52585">
        <w:rPr>
          <w:rFonts w:hint="cs"/>
          <w:sz w:val="24"/>
          <w:szCs w:val="24"/>
          <w:rtl/>
        </w:rPr>
        <w:t>يقولولان</w:t>
      </w:r>
      <w:proofErr w:type="spellEnd"/>
      <w:r w:rsidR="00777DCB" w:rsidRPr="00A52585">
        <w:rPr>
          <w:rFonts w:hint="cs"/>
          <w:sz w:val="24"/>
          <w:szCs w:val="24"/>
          <w:rtl/>
        </w:rPr>
        <w:t xml:space="preserve"> بإعادة المعدوم بل ولا جمع المتفرق من الأجساد أي أن البعث يوم القيامة سيكون بإحلال أرواح الخلائق في أجساد جديدة لا علاقة لها بأجسادهم في الدنيا، وليت شعري هل هناك من فرق بين كلامهم هذا وما فعله أمية بن خلف لعنه الله- عندما أتى إلى النبي صلى الله عليه وسلم وفي يده عظم رميم وهو يفته ويذروه في الهواء وهو يقول</w:t>
      </w:r>
      <w:r w:rsidRPr="00A52585">
        <w:rPr>
          <w:rFonts w:hint="cs"/>
          <w:sz w:val="24"/>
          <w:szCs w:val="24"/>
          <w:rtl/>
        </w:rPr>
        <w:t>:</w:t>
      </w:r>
      <w:r w:rsidR="00777DCB" w:rsidRPr="00A52585">
        <w:rPr>
          <w:rFonts w:hint="cs"/>
          <w:sz w:val="24"/>
          <w:szCs w:val="24"/>
          <w:rtl/>
        </w:rPr>
        <w:t xml:space="preserve"> يا محمد أتزعم أن الله يبعث هذا</w:t>
      </w:r>
      <w:r w:rsidR="00F95886" w:rsidRPr="00A52585">
        <w:rPr>
          <w:rFonts w:hint="cs"/>
          <w:sz w:val="24"/>
          <w:szCs w:val="24"/>
          <w:rtl/>
        </w:rPr>
        <w:t>؟</w:t>
      </w:r>
      <w:r w:rsidR="00777DCB" w:rsidRPr="00A52585">
        <w:rPr>
          <w:rFonts w:hint="cs"/>
          <w:sz w:val="24"/>
          <w:szCs w:val="24"/>
          <w:rtl/>
        </w:rPr>
        <w:t xml:space="preserve"> قال صلى الله عليه وسلم</w:t>
      </w:r>
      <w:r w:rsidRPr="00A52585">
        <w:rPr>
          <w:rFonts w:hint="cs"/>
          <w:sz w:val="24"/>
          <w:szCs w:val="24"/>
          <w:rtl/>
        </w:rPr>
        <w:t xml:space="preserve">: </w:t>
      </w:r>
      <w:r w:rsidR="00777DCB" w:rsidRPr="00A52585">
        <w:rPr>
          <w:rFonts w:hint="cs"/>
          <w:sz w:val="24"/>
          <w:szCs w:val="24"/>
          <w:rtl/>
        </w:rPr>
        <w:t>" نعم يميتك الله تعالى ثم يبعثك ثم يحشرك إلى النار "</w:t>
      </w:r>
      <w:r w:rsidRPr="00A52585">
        <w:rPr>
          <w:rFonts w:hint="cs"/>
          <w:sz w:val="24"/>
          <w:szCs w:val="24"/>
          <w:rtl/>
        </w:rPr>
        <w:t xml:space="preserve"> </w:t>
      </w:r>
      <w:r w:rsidR="00777DCB" w:rsidRPr="00A52585">
        <w:rPr>
          <w:rFonts w:hint="cs"/>
          <w:sz w:val="24"/>
          <w:szCs w:val="24"/>
          <w:rtl/>
        </w:rPr>
        <w:t xml:space="preserve">ونزلت الآيات من آخر يس وروى أيضاً أن العاص بن وائل أخذ عظما من البطحاء فته بيده ثم قال لرسول الله تعالى عليه وعلى </w:t>
      </w:r>
      <w:proofErr w:type="spellStart"/>
      <w:r w:rsidR="00777DCB" w:rsidRPr="00A52585">
        <w:rPr>
          <w:rFonts w:hint="cs"/>
          <w:sz w:val="24"/>
          <w:szCs w:val="24"/>
          <w:rtl/>
        </w:rPr>
        <w:t>آله</w:t>
      </w:r>
      <w:proofErr w:type="spellEnd"/>
      <w:r w:rsidR="00777DCB" w:rsidRPr="00A52585">
        <w:rPr>
          <w:rFonts w:hint="cs"/>
          <w:sz w:val="24"/>
          <w:szCs w:val="24"/>
          <w:rtl/>
        </w:rPr>
        <w:t xml:space="preserve"> وسلم</w:t>
      </w:r>
      <w:r w:rsidRPr="00A52585">
        <w:rPr>
          <w:rFonts w:hint="cs"/>
          <w:sz w:val="24"/>
          <w:szCs w:val="24"/>
          <w:rtl/>
        </w:rPr>
        <w:t>:</w:t>
      </w:r>
      <w:r w:rsidR="00777DCB" w:rsidRPr="00A52585">
        <w:rPr>
          <w:rFonts w:hint="cs"/>
          <w:sz w:val="24"/>
          <w:szCs w:val="24"/>
          <w:rtl/>
        </w:rPr>
        <w:t xml:space="preserve"> أيحيى الله هذا بعدما أري</w:t>
      </w:r>
      <w:r w:rsidR="00F95886" w:rsidRPr="00A52585">
        <w:rPr>
          <w:rFonts w:hint="cs"/>
          <w:sz w:val="24"/>
          <w:szCs w:val="24"/>
          <w:rtl/>
        </w:rPr>
        <w:t>؟</w:t>
      </w:r>
      <w:r w:rsidR="00777DCB" w:rsidRPr="00A52585">
        <w:rPr>
          <w:rFonts w:hint="cs"/>
          <w:sz w:val="24"/>
          <w:szCs w:val="24"/>
          <w:rtl/>
        </w:rPr>
        <w:t xml:space="preserve"> فقال صلى الله عليه وسلم</w:t>
      </w:r>
      <w:r w:rsidRPr="00A52585">
        <w:rPr>
          <w:rFonts w:hint="cs"/>
          <w:sz w:val="24"/>
          <w:szCs w:val="24"/>
          <w:rtl/>
        </w:rPr>
        <w:t xml:space="preserve">: </w:t>
      </w:r>
      <w:r w:rsidR="00777DCB" w:rsidRPr="00A52585">
        <w:rPr>
          <w:rFonts w:hint="cs"/>
          <w:sz w:val="24"/>
          <w:szCs w:val="24"/>
          <w:rtl/>
        </w:rPr>
        <w:t>" نعم يميتك الله ثم يحييك ثم يدخلك جهنم "</w:t>
      </w:r>
      <w:r w:rsidRPr="00A52585">
        <w:rPr>
          <w:rFonts w:hint="cs"/>
          <w:sz w:val="24"/>
          <w:szCs w:val="24"/>
          <w:rtl/>
        </w:rPr>
        <w:t xml:space="preserve"> </w:t>
      </w:r>
      <w:r w:rsidR="00777DCB" w:rsidRPr="00A52585">
        <w:rPr>
          <w:rFonts w:hint="cs"/>
          <w:sz w:val="24"/>
          <w:szCs w:val="24"/>
          <w:rtl/>
        </w:rPr>
        <w:t>فهؤلاء أئمة الكفر لم ينكروا خلق أجساد جديدة بل أنكروا إعادة المعدوم ووجه آخر ذكره شيخنا د إبراهيم عبد الرحمن</w:t>
      </w:r>
      <w:r w:rsidRPr="00A52585">
        <w:rPr>
          <w:rFonts w:hint="cs"/>
          <w:sz w:val="24"/>
          <w:szCs w:val="24"/>
          <w:rtl/>
        </w:rPr>
        <w:t>:</w:t>
      </w:r>
      <w:r w:rsidR="00777DCB" w:rsidRPr="00A52585">
        <w:rPr>
          <w:rFonts w:hint="cs"/>
          <w:sz w:val="24"/>
          <w:szCs w:val="24"/>
          <w:rtl/>
        </w:rPr>
        <w:t xml:space="preserve"> لو كان البعث هو مجرد أجساد جديدة لا علاقة لها بالأجساد المعدومة فكيف تشهد </w:t>
      </w:r>
      <w:r w:rsidR="00777DCB" w:rsidRPr="00A52585">
        <w:rPr>
          <w:rFonts w:hint="cs"/>
          <w:sz w:val="24"/>
          <w:szCs w:val="24"/>
          <w:rtl/>
        </w:rPr>
        <w:lastRenderedPageBreak/>
        <w:t>الأعضاء المذكورة في القرآن على صاحبها بأنها كانت تفعل كذا وكذا</w:t>
      </w:r>
      <w:r w:rsidR="00F95886" w:rsidRPr="00A52585">
        <w:rPr>
          <w:rFonts w:hint="cs"/>
          <w:sz w:val="24"/>
          <w:szCs w:val="24"/>
          <w:rtl/>
        </w:rPr>
        <w:t>؟</w:t>
      </w:r>
      <w:r w:rsidR="00777DCB" w:rsidRPr="00A52585">
        <w:rPr>
          <w:rFonts w:hint="cs"/>
          <w:sz w:val="24"/>
          <w:szCs w:val="24"/>
          <w:rtl/>
        </w:rPr>
        <w:t xml:space="preserve"> وهل يقبل الله تعالى شهادة الأعضاء والجوارح على أصحابها وهي شهادة زور في هذه الحالة</w:t>
      </w:r>
      <w:r w:rsidR="00F95886" w:rsidRPr="00A52585">
        <w:rPr>
          <w:rFonts w:hint="cs"/>
          <w:sz w:val="24"/>
          <w:szCs w:val="24"/>
          <w:rtl/>
        </w:rPr>
        <w:t>؟</w:t>
      </w:r>
      <w:r w:rsidR="00777DCB" w:rsidRPr="00A52585">
        <w:rPr>
          <w:rFonts w:hint="cs"/>
          <w:sz w:val="24"/>
          <w:szCs w:val="24"/>
          <w:rtl/>
        </w:rPr>
        <w:t xml:space="preserve"> وللعلم فإن ابن القيم أفرد فصلا كاملا في القصيدة النونية لهذا الموضوع</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ملحوظة</w:t>
      </w:r>
      <w:r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سبقت الإشارة في مقدمة الكتاب إلى ما ذكره الحافظ ابن طولون من أن كثيرين قد سمعوا ترديد أتباع ابن تيمية لهذا الرأي الخطير- تناسخ الأرواح- سراً ونقلوه </w:t>
      </w:r>
      <w:proofErr w:type="spellStart"/>
      <w:r w:rsidR="00777DCB" w:rsidRPr="00A52585">
        <w:rPr>
          <w:rFonts w:hint="cs"/>
          <w:sz w:val="24"/>
          <w:szCs w:val="24"/>
          <w:rtl/>
        </w:rPr>
        <w:t>للحصني</w:t>
      </w:r>
      <w:proofErr w:type="spellEnd"/>
      <w:r w:rsidR="00777DCB" w:rsidRPr="00A52585">
        <w:rPr>
          <w:rFonts w:hint="cs"/>
          <w:sz w:val="24"/>
          <w:szCs w:val="24"/>
          <w:rtl/>
        </w:rPr>
        <w:t xml:space="preserve"> مما دعاه لتصنيف هذا الكتاب، بالإضافة إلى تبني ابن القيم وشيخه كما أسلفنا لآراء تمهد لذلك وتعتبر مدخلاً له</w:t>
      </w:r>
      <w:r w:rsidR="00DB731D" w:rsidRPr="00A52585">
        <w:rPr>
          <w:rFonts w:hint="cs"/>
          <w:sz w:val="24"/>
          <w:szCs w:val="24"/>
          <w:rtl/>
        </w:rPr>
        <w:t>،</w:t>
      </w:r>
      <w:r w:rsidR="00777DCB" w:rsidRPr="00A52585">
        <w:rPr>
          <w:rFonts w:hint="cs"/>
          <w:sz w:val="24"/>
          <w:szCs w:val="24"/>
          <w:rtl/>
        </w:rPr>
        <w:t xml:space="preserve"> وبالجملة فقد ثبت أن من عقائد ابن تيمية وخواص تلاميذه، أشياء لا يتداولونها إلا مع من يثقون به كعقيدتهم في جلوس النبي صلى الله عليه وسلم مع رب العزة- تعالى عما يقولون- على العرش يوم القيامة، ولكن ليس تحت أيدينا نص صريح لهم في موضوع التناسخ</w:t>
      </w:r>
      <w:r w:rsidRPr="00A52585">
        <w:rPr>
          <w:rFonts w:hint="cs"/>
          <w:sz w:val="24"/>
          <w:szCs w:val="24"/>
          <w:rtl/>
        </w:rPr>
        <w:t>]</w:t>
      </w:r>
      <w:r w:rsidR="00DB731D" w:rsidRPr="00A52585">
        <w:rPr>
          <w:rFonts w:hint="cs"/>
          <w:sz w:val="24"/>
          <w:rtl/>
        </w:rPr>
        <w:t>،</w:t>
      </w:r>
      <w:r w:rsidR="00777DCB" w:rsidRPr="00A52585">
        <w:rPr>
          <w:rFonts w:hint="cs"/>
          <w:rtl/>
        </w:rPr>
        <w:t xml:space="preserve"> وبعض أتباعه الذين هم رؤوس في التبعية يقع منه ما يدل على ذلك والله أعلم</w:t>
      </w:r>
      <w:r w:rsidR="00DB731D" w:rsidRPr="00A52585">
        <w:rPr>
          <w:rFonts w:hint="cs"/>
          <w:rtl/>
        </w:rPr>
        <w:t>،</w:t>
      </w:r>
      <w:r w:rsidR="00777DCB" w:rsidRPr="00A52585">
        <w:rPr>
          <w:rFonts w:hint="cs"/>
          <w:rtl/>
        </w:rPr>
        <w:t xml:space="preserve"> ومن الأمور الخبيثة التي وقفت عليها في فتاويه ما فيه أن بعض المكاسين مثاب في وظيفة المكس</w:t>
      </w:r>
      <w:r w:rsidR="00DB731D" w:rsidRPr="00A52585">
        <w:rPr>
          <w:rFonts w:hint="cs"/>
          <w:rtl/>
        </w:rPr>
        <w:t>،</w:t>
      </w:r>
      <w:r w:rsidR="00777DCB" w:rsidRPr="00A52585">
        <w:rPr>
          <w:rFonts w:hint="cs"/>
          <w:rtl/>
        </w:rPr>
        <w:t xml:space="preserve"> بل أبلغ من ذلك وأقبض عنان الكلام فيه لما أخشى مما يترتب على التصريح من أهل المكس وتجرئهم عليه</w:t>
      </w:r>
      <w:r w:rsidR="00DB731D" w:rsidRPr="00A52585">
        <w:rPr>
          <w:rFonts w:hint="cs"/>
          <w:rtl/>
        </w:rPr>
        <w:t>،</w:t>
      </w:r>
      <w:r w:rsidR="00777DCB" w:rsidRPr="00A52585">
        <w:rPr>
          <w:rFonts w:hint="cs"/>
          <w:rtl/>
        </w:rPr>
        <w:t xml:space="preserve"> وقرر ما قاله بتقرير مقبول في شق وأهمل الآخر</w:t>
      </w:r>
      <w:r w:rsidR="00DB731D" w:rsidRPr="00A52585">
        <w:rPr>
          <w:rFonts w:hint="cs"/>
          <w:rtl/>
        </w:rPr>
        <w:t>،</w:t>
      </w:r>
      <w:r w:rsidR="00777DCB" w:rsidRPr="00A52585">
        <w:rPr>
          <w:rFonts w:hint="cs"/>
          <w:rtl/>
        </w:rPr>
        <w:t xml:space="preserve"> فلما وقفت على ذلك قب بدني وهجت على الكلام في ذلك</w:t>
      </w:r>
      <w:r w:rsidR="00DB731D" w:rsidRPr="00A52585">
        <w:rPr>
          <w:rFonts w:hint="cs"/>
          <w:rtl/>
        </w:rPr>
        <w:t>،</w:t>
      </w:r>
      <w:r w:rsidR="00777DCB" w:rsidRPr="00A52585">
        <w:rPr>
          <w:rFonts w:hint="cs"/>
          <w:rtl/>
        </w:rPr>
        <w:t xml:space="preserve"> وكان شخص من الحنابلة يدعى بعلاء الدين بن اللحام البعلبكي وكان عندهم عظيماً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هو</w:t>
      </w:r>
      <w:r w:rsidRPr="00A52585">
        <w:rPr>
          <w:rFonts w:hint="cs"/>
          <w:sz w:val="24"/>
          <w:szCs w:val="24"/>
          <w:rtl/>
        </w:rPr>
        <w:t>:</w:t>
      </w:r>
      <w:r w:rsidR="00777DCB" w:rsidRPr="00A52585">
        <w:rPr>
          <w:rFonts w:hint="cs"/>
          <w:sz w:val="24"/>
          <w:szCs w:val="24"/>
          <w:rtl/>
        </w:rPr>
        <w:t xml:space="preserve"> علي بن محمد بن علي بن عباس بن فتيان البعليّ ثم الدمشقي ويعرف بـ (ابن اللَّحَّام) وهي حرفة أبيه برع في مذهبه ودرَّس وأفتى وصار شيخ الحنابلة بالشام مع ابن مفلح وهو الذي جمع اختيارات وفتاوى ابن تيمية ورتبَّها وحرَّرها قدم القاهرة بعد الكائنة العظمى بدمشق فسكنها توفى سنة 803 هـ بعد أن جاوز الخمسين</w:t>
      </w:r>
      <w:r w:rsidR="00DB731D" w:rsidRPr="00A52585">
        <w:rPr>
          <w:rFonts w:hint="cs"/>
          <w:sz w:val="24"/>
          <w:szCs w:val="24"/>
          <w:rtl/>
        </w:rPr>
        <w:t>،</w:t>
      </w:r>
      <w:r w:rsidR="00777DCB" w:rsidRPr="00A52585">
        <w:rPr>
          <w:rFonts w:hint="cs"/>
          <w:sz w:val="24"/>
          <w:szCs w:val="24"/>
          <w:rtl/>
        </w:rPr>
        <w:t xml:space="preserve"> 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sidR="00DB731D" w:rsidRPr="00A52585">
        <w:rPr>
          <w:rFonts w:hint="cs"/>
          <w:sz w:val="24"/>
          <w:szCs w:val="24"/>
          <w:rtl/>
        </w:rPr>
        <w:t>،</w:t>
      </w:r>
      <w:r w:rsidR="00777DCB" w:rsidRPr="00A52585">
        <w:rPr>
          <w:rFonts w:hint="cs"/>
          <w:sz w:val="24"/>
          <w:szCs w:val="24"/>
          <w:rtl/>
        </w:rPr>
        <w:t xml:space="preserve"> يقول د أحمد حجازي السقا في كتابه (حياة القبور)</w:t>
      </w:r>
      <w:r w:rsidRPr="00A52585">
        <w:rPr>
          <w:rFonts w:hint="cs"/>
          <w:sz w:val="24"/>
          <w:szCs w:val="24"/>
          <w:rtl/>
        </w:rPr>
        <w:t xml:space="preserve">: </w:t>
      </w:r>
      <w:r w:rsidR="00777DCB" w:rsidRPr="00A52585">
        <w:rPr>
          <w:rFonts w:hint="cs"/>
          <w:sz w:val="24"/>
          <w:szCs w:val="24"/>
          <w:rtl/>
        </w:rPr>
        <w:t>" بينا أن الراسخين في العلم من أهل الكتاب لا يصرحون بعذاب في القبر وذلك لأن النصوص المحكمة في كتبهم تنفيه نفيا باتاً ومنها (وكما وضع للناس</w:t>
      </w:r>
      <w:r w:rsidRPr="00A52585">
        <w:rPr>
          <w:rFonts w:hint="cs"/>
          <w:sz w:val="24"/>
          <w:szCs w:val="24"/>
          <w:rtl/>
        </w:rPr>
        <w:t>:</w:t>
      </w:r>
      <w:r w:rsidR="00777DCB" w:rsidRPr="00A52585">
        <w:rPr>
          <w:rFonts w:hint="cs"/>
          <w:sz w:val="24"/>
          <w:szCs w:val="24"/>
          <w:rtl/>
        </w:rPr>
        <w:t xml:space="preserve"> أن يموتوا مرة ثم بعد ذلك الدينونة) ومنها</w:t>
      </w:r>
      <w:r w:rsidRPr="00A52585">
        <w:rPr>
          <w:rFonts w:hint="cs"/>
          <w:sz w:val="24"/>
          <w:szCs w:val="24"/>
          <w:rtl/>
        </w:rPr>
        <w:t>:</w:t>
      </w:r>
      <w:r w:rsidR="00777DCB" w:rsidRPr="00A52585">
        <w:rPr>
          <w:rFonts w:hint="cs"/>
          <w:sz w:val="24"/>
          <w:szCs w:val="24"/>
          <w:rtl/>
        </w:rPr>
        <w:t xml:space="preserve"> (نسمة حياة) ومنها</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تنزع أرواحها فتموت وإلى ترابها تعود، ترسل روحك فتخلق وتجدد وجه الأرض</w:t>
      </w:r>
      <w:r w:rsidRPr="00A52585">
        <w:rPr>
          <w:rFonts w:hint="cs"/>
          <w:sz w:val="24"/>
          <w:szCs w:val="24"/>
          <w:rtl/>
        </w:rPr>
        <w:t>}</w:t>
      </w:r>
      <w:r w:rsidR="00777DCB" w:rsidRPr="00A52585">
        <w:rPr>
          <w:rFonts w:hint="cs"/>
          <w:sz w:val="24"/>
          <w:szCs w:val="24"/>
          <w:rtl/>
        </w:rPr>
        <w:t xml:space="preserve"> (مزمور 104</w:t>
      </w:r>
      <w:r w:rsidRPr="00A52585">
        <w:rPr>
          <w:rFonts w:hint="cs"/>
          <w:sz w:val="24"/>
          <w:szCs w:val="24"/>
          <w:rtl/>
        </w:rPr>
        <w:t>:</w:t>
      </w:r>
      <w:r w:rsidR="00777DCB" w:rsidRPr="00A52585">
        <w:rPr>
          <w:rFonts w:hint="cs"/>
          <w:sz w:val="24"/>
          <w:szCs w:val="24"/>
          <w:rtl/>
        </w:rPr>
        <w:t xml:space="preserve"> 29- 30) "</w:t>
      </w:r>
      <w:r w:rsidRPr="00A52585">
        <w:rPr>
          <w:rFonts w:hint="cs"/>
          <w:sz w:val="24"/>
          <w:szCs w:val="24"/>
          <w:rtl/>
        </w:rPr>
        <w:t xml:space="preserve"> </w:t>
      </w:r>
      <w:r w:rsidR="00777DCB" w:rsidRPr="00A52585">
        <w:rPr>
          <w:rFonts w:hint="cs"/>
          <w:sz w:val="24"/>
          <w:szCs w:val="24"/>
          <w:rtl/>
        </w:rPr>
        <w:t>أهـ ص 113</w:t>
      </w:r>
      <w:r w:rsidR="00DB731D" w:rsidRPr="00A52585">
        <w:rPr>
          <w:rFonts w:hint="cs"/>
          <w:sz w:val="24"/>
          <w:szCs w:val="24"/>
          <w:rtl/>
        </w:rPr>
        <w:t>،</w:t>
      </w:r>
      <w:r w:rsidR="00777DCB" w:rsidRPr="00A52585">
        <w:rPr>
          <w:rFonts w:hint="cs"/>
          <w:sz w:val="24"/>
          <w:szCs w:val="24"/>
          <w:rtl/>
        </w:rPr>
        <w:t xml:space="preserve"> ويقول في ص 164</w:t>
      </w:r>
      <w:r w:rsidRPr="00A52585">
        <w:rPr>
          <w:rFonts w:hint="cs"/>
          <w:sz w:val="24"/>
          <w:szCs w:val="24"/>
          <w:rtl/>
        </w:rPr>
        <w:t xml:space="preserve">: </w:t>
      </w:r>
      <w:r w:rsidR="00777DCB" w:rsidRPr="00A52585">
        <w:rPr>
          <w:rFonts w:hint="cs"/>
          <w:sz w:val="24"/>
          <w:szCs w:val="24"/>
          <w:rtl/>
        </w:rPr>
        <w:t>" ولا تصرح التوراة ولا يصرح الإنجيل بحياة للشهداء في القبور ليتمتع الشهداء بالنعيم وذلك واضح من مزمور 6، 30، 88، 115</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إذ وجودهم في القبور سبات وهم لن يسبِّحوا الله فيها</w:t>
      </w:r>
      <w:r w:rsidRPr="00A52585">
        <w:rPr>
          <w:rFonts w:hint="cs"/>
          <w:sz w:val="24"/>
          <w:szCs w:val="24"/>
          <w:rtl/>
        </w:rPr>
        <w:t>}</w:t>
      </w:r>
      <w:r w:rsidR="00777DCB" w:rsidRPr="00A52585">
        <w:rPr>
          <w:rFonts w:hint="cs"/>
          <w:sz w:val="24"/>
          <w:szCs w:val="24"/>
          <w:rtl/>
        </w:rPr>
        <w:t xml:space="preserve"> مزمور 13 ودانيال 12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فهؤلاء المنافقون يحاولون إلصاق هذه النقائص التي وجدوها في كتبهم المحرَّفة برسول الله صلى الله عليه وسلم</w:t>
      </w:r>
      <w:r w:rsidRPr="00A52585">
        <w:rPr>
          <w:rFonts w:hint="cs"/>
          <w:sz w:val="24"/>
          <w:szCs w:val="24"/>
          <w:rtl/>
        </w:rPr>
        <w:t xml:space="preserve"> </w:t>
      </w:r>
      <w:r w:rsidR="00777DCB" w:rsidRPr="00A52585">
        <w:rPr>
          <w:rFonts w:hint="cs"/>
          <w:sz w:val="24"/>
          <w:szCs w:val="24"/>
          <w:rtl/>
        </w:rPr>
        <w:t>وانظر (حياة القبور) للدكتور أحمد حجازي السقا صفحات 53، 113، 120، 122، 164</w:t>
      </w:r>
      <w:r w:rsidR="00DB731D" w:rsidRPr="00A52585">
        <w:rPr>
          <w:rFonts w:hint="cs"/>
          <w:sz w:val="24"/>
          <w:szCs w:val="24"/>
          <w:rtl/>
        </w:rPr>
        <w:t>،</w:t>
      </w:r>
      <w:r w:rsidR="00777DCB" w:rsidRPr="00A52585">
        <w:rPr>
          <w:rFonts w:hint="cs"/>
          <w:sz w:val="24"/>
          <w:szCs w:val="24"/>
          <w:rtl/>
        </w:rPr>
        <w:t xml:space="preserve"> وقد تابع ابن تيمية- أو على أقل تقدير تأثر بشدة – باليهود في</w:t>
      </w:r>
      <w:r w:rsidRPr="00A52585">
        <w:rPr>
          <w:rFonts w:hint="cs"/>
          <w:sz w:val="24"/>
          <w:szCs w:val="24"/>
          <w:rtl/>
        </w:rPr>
        <w:t>:</w:t>
      </w:r>
      <w:r w:rsidR="00777DCB" w:rsidRPr="00A52585">
        <w:rPr>
          <w:rFonts w:hint="cs"/>
          <w:sz w:val="24"/>
          <w:szCs w:val="24"/>
          <w:rtl/>
        </w:rPr>
        <w:t xml:space="preserve"> 1- </w:t>
      </w:r>
      <w:proofErr w:type="spellStart"/>
      <w:r w:rsidR="00777DCB" w:rsidRPr="00A52585">
        <w:rPr>
          <w:rFonts w:hint="cs"/>
          <w:sz w:val="24"/>
          <w:szCs w:val="24"/>
          <w:rtl/>
        </w:rPr>
        <w:t>التشبية</w:t>
      </w:r>
      <w:proofErr w:type="spellEnd"/>
      <w:r w:rsidR="00777DCB" w:rsidRPr="00A52585">
        <w:rPr>
          <w:rFonts w:hint="cs"/>
          <w:sz w:val="24"/>
          <w:szCs w:val="24"/>
          <w:rtl/>
        </w:rPr>
        <w:t xml:space="preserve"> والتجسيم</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زعمه قيام الحوادث بالذات الإلهية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3- زعمه فناء النار</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4- التفرقة بين حياة النبي ووفاته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5- زعمه عدم عصمة الأنبياء</w:t>
      </w:r>
      <w:r w:rsidRPr="00A52585">
        <w:rPr>
          <w:rFonts w:hint="cs"/>
          <w:sz w:val="24"/>
          <w:szCs w:val="24"/>
          <w:rtl/>
        </w:rPr>
        <w:t>]</w:t>
      </w:r>
      <w:r w:rsidR="00DB731D" w:rsidRPr="00A52585">
        <w:rPr>
          <w:rFonts w:hint="cs"/>
          <w:sz w:val="24"/>
          <w:szCs w:val="24"/>
          <w:rtl/>
        </w:rPr>
        <w:t>،</w:t>
      </w:r>
      <w:r w:rsidR="00777DCB" w:rsidRPr="00A52585">
        <w:rPr>
          <w:rFonts w:hint="cs"/>
          <w:rtl/>
        </w:rPr>
        <w:t xml:space="preserve"> وصنف في مذهب الإمام فأتيته وهو في حلقته في الجامع الأموي</w:t>
      </w:r>
      <w:r w:rsidR="00DB731D" w:rsidRPr="00A52585">
        <w:rPr>
          <w:rFonts w:hint="cs"/>
          <w:rtl/>
        </w:rPr>
        <w:t>،</w:t>
      </w:r>
      <w:r w:rsidR="00777DCB" w:rsidRPr="00A52585">
        <w:rPr>
          <w:rFonts w:hint="cs"/>
          <w:rtl/>
        </w:rPr>
        <w:t xml:space="preserve"> وهم يقرءون عليه في بعض مصنفاته</w:t>
      </w:r>
      <w:r w:rsidR="00DB731D" w:rsidRPr="00A52585">
        <w:rPr>
          <w:rFonts w:hint="cs"/>
          <w:rtl/>
        </w:rPr>
        <w:t>،</w:t>
      </w:r>
      <w:r w:rsidR="00777DCB" w:rsidRPr="00A52585">
        <w:rPr>
          <w:rFonts w:hint="cs"/>
          <w:rtl/>
        </w:rPr>
        <w:t xml:space="preserve"> فسألته عن شيء يتعلق بمسألة تقرأ عليه في كتابه فما أجاب</w:t>
      </w:r>
      <w:r w:rsidR="00DB731D" w:rsidRPr="00A52585">
        <w:rPr>
          <w:rFonts w:hint="cs"/>
          <w:rtl/>
        </w:rPr>
        <w:t>،</w:t>
      </w:r>
      <w:r w:rsidR="00777DCB" w:rsidRPr="00A52585">
        <w:rPr>
          <w:rFonts w:hint="cs"/>
          <w:rtl/>
        </w:rPr>
        <w:t xml:space="preserve"> ثم أخرى فما أجاب</w:t>
      </w:r>
      <w:r w:rsidR="00DB731D" w:rsidRPr="00A52585">
        <w:rPr>
          <w:rFonts w:hint="cs"/>
          <w:rtl/>
        </w:rPr>
        <w:t>،</w:t>
      </w:r>
      <w:r w:rsidR="00777DCB" w:rsidRPr="00A52585">
        <w:rPr>
          <w:rFonts w:hint="cs"/>
          <w:rtl/>
        </w:rPr>
        <w:t xml:space="preserve"> ثم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ما هذه المسألة التي ذكرها الشيخ تقي الدين بن تيمية </w:t>
      </w:r>
      <w:r w:rsidR="00777DCB" w:rsidRPr="00A52585">
        <w:rPr>
          <w:rFonts w:hint="cs"/>
          <w:rtl/>
        </w:rPr>
        <w:lastRenderedPageBreak/>
        <w:t>في المكس. فقال وشرع يقرر ما قرره ابن تيمية. فأخذت الشق الآخر وقررته فسكت</w:t>
      </w:r>
      <w:r w:rsidR="00DB731D" w:rsidRPr="00A52585">
        <w:rPr>
          <w:rFonts w:hint="cs"/>
          <w:rtl/>
        </w:rPr>
        <w:t>،</w:t>
      </w:r>
      <w:r w:rsidR="00777DCB" w:rsidRPr="00A52585">
        <w:rPr>
          <w:rFonts w:hint="cs"/>
          <w:rtl/>
        </w:rPr>
        <w:t xml:space="preserve"> ولم يحر جواباً</w:t>
      </w:r>
      <w:r w:rsidR="00DB731D" w:rsidRPr="00A52585">
        <w:rPr>
          <w:rFonts w:hint="cs"/>
          <w:rtl/>
        </w:rPr>
        <w:t>،</w:t>
      </w:r>
      <w:r w:rsidR="00777DCB" w:rsidRPr="00A52585">
        <w:rPr>
          <w:rFonts w:hint="cs"/>
          <w:rtl/>
        </w:rPr>
        <w:t xml:space="preserve"> فقلت</w:t>
      </w:r>
      <w:r w:rsidRPr="00A52585">
        <w:rPr>
          <w:rFonts w:hint="cs"/>
          <w:rtl/>
        </w:rPr>
        <w:t>:</w:t>
      </w:r>
      <w:r w:rsidR="00777DCB" w:rsidRPr="00A52585">
        <w:rPr>
          <w:rFonts w:hint="cs"/>
          <w:rtl/>
        </w:rPr>
        <w:t xml:space="preserve"> يلزم أحد شيئين</w:t>
      </w:r>
      <w:r w:rsidRPr="00A52585">
        <w:rPr>
          <w:rFonts w:hint="cs"/>
          <w:rtl/>
        </w:rPr>
        <w:t>:</w:t>
      </w:r>
      <w:r w:rsidR="00777DCB" w:rsidRPr="00A52585">
        <w:rPr>
          <w:rFonts w:hint="cs"/>
          <w:rtl/>
        </w:rPr>
        <w:t xml:space="preserve"> إما بطلان ما قاله</w:t>
      </w:r>
      <w:r w:rsidR="00DB731D" w:rsidRPr="00A52585">
        <w:rPr>
          <w:rFonts w:hint="cs"/>
          <w:rtl/>
        </w:rPr>
        <w:t>،</w:t>
      </w:r>
      <w:r w:rsidR="00777DCB" w:rsidRPr="00A52585">
        <w:rPr>
          <w:rFonts w:hint="cs"/>
          <w:rtl/>
        </w:rPr>
        <w:t xml:space="preserve"> أو تكفيره</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هذه المسألة ما هي في فتاويه وأنا اختصرتها</w:t>
      </w:r>
      <w:r w:rsidR="00DB731D" w:rsidRPr="00A52585">
        <w:rPr>
          <w:rFonts w:hint="cs"/>
          <w:rtl/>
        </w:rPr>
        <w:t>،</w:t>
      </w:r>
      <w:r w:rsidR="00777DCB" w:rsidRPr="00A52585">
        <w:rPr>
          <w:rFonts w:hint="cs"/>
          <w:rtl/>
        </w:rPr>
        <w:t xml:space="preserve"> فهذه قاعدة من قواعدهم يبحثون مع الخصم فإن ظفروا به فلا كلام وإن ظفر بهم قالوا هذه ما هي في كلامه. فهم خلف إمامهم في المكر والخديعة والكذب</w:t>
      </w:r>
      <w:r w:rsidR="00777DCB" w:rsidRPr="00A52585">
        <w:rPr>
          <w:rFonts w:hint="cs"/>
          <w:vertAlign w:val="superscript"/>
          <w:rtl/>
        </w:rPr>
        <w:t xml:space="preserve"> </w:t>
      </w:r>
      <w:r w:rsidR="00777DCB" w:rsidRPr="00A52585">
        <w:rPr>
          <w:rFonts w:hint="cs"/>
          <w:rtl/>
        </w:rPr>
        <w:t>وقد خاب من افترى</w:t>
      </w:r>
      <w:r w:rsidR="00DB731D" w:rsidRPr="00A52585">
        <w:rPr>
          <w:rFonts w:hint="cs"/>
          <w:rtl/>
        </w:rPr>
        <w:t>،</w:t>
      </w:r>
      <w:r w:rsidR="00777DCB" w:rsidRPr="00A52585">
        <w:rPr>
          <w:rFonts w:hint="cs"/>
          <w:rtl/>
        </w:rPr>
        <w:t xml:space="preserve"> والله أعلم</w:t>
      </w:r>
      <w:r w:rsidR="00DB731D"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و- تفرقة ابن تيمية في احترام النبي صلى الله عليه وسلم بين حياته ووفاته ونقد الأئمة له</w:t>
      </w:r>
      <w:r w:rsidRPr="00A52585">
        <w:rPr>
          <w:rFonts w:hint="cs"/>
          <w:bCs/>
          <w:rtl/>
        </w:rPr>
        <w:t>]:</w:t>
      </w:r>
      <w:r w:rsidR="00777DCB" w:rsidRPr="00A52585">
        <w:rPr>
          <w:rFonts w:hint="cs"/>
          <w:bCs/>
          <w:rtl/>
        </w:rPr>
        <w:t xml:space="preserve"> </w:t>
      </w:r>
      <w:r w:rsidR="00777DCB" w:rsidRPr="00A52585">
        <w:rPr>
          <w:rFonts w:hint="cs"/>
          <w:rtl/>
        </w:rPr>
        <w:t>ومن الأمور المنتقدة عليه</w:t>
      </w:r>
      <w:r w:rsidRPr="00A52585">
        <w:rPr>
          <w:rFonts w:hint="cs"/>
          <w:rtl/>
        </w:rPr>
        <w:t>:</w:t>
      </w:r>
      <w:r w:rsidR="00777DCB" w:rsidRPr="00A52585">
        <w:rPr>
          <w:rFonts w:hint="cs"/>
          <w:rtl/>
        </w:rPr>
        <w:t xml:space="preserve"> وهو من أقبح القبائح وأشر الأقوال </w:t>
      </w:r>
      <w:proofErr w:type="spellStart"/>
      <w:r w:rsidR="00777DCB" w:rsidRPr="00A52585">
        <w:rPr>
          <w:rFonts w:hint="cs"/>
          <w:rtl/>
        </w:rPr>
        <w:t>وأخبثها</w:t>
      </w:r>
      <w:proofErr w:type="spellEnd"/>
      <w:r w:rsidR="00777DCB" w:rsidRPr="00A52585">
        <w:rPr>
          <w:rFonts w:hint="cs"/>
          <w:rtl/>
        </w:rPr>
        <w:t xml:space="preserve"> مسألة التفرقة التي أحدثها غلاة المنافقين من اليهود </w:t>
      </w:r>
      <w:r w:rsidRPr="00A52585">
        <w:rPr>
          <w:rFonts w:hint="cs"/>
          <w:sz w:val="24"/>
          <w:szCs w:val="24"/>
          <w:rtl/>
        </w:rPr>
        <w:t>[</w:t>
      </w:r>
      <w:r w:rsidR="00777DCB" w:rsidRPr="00A52585">
        <w:rPr>
          <w:rFonts w:hint="cs"/>
          <w:sz w:val="24"/>
          <w:szCs w:val="24"/>
          <w:rtl/>
        </w:rPr>
        <w:t>قال المحقق - باختصار يسير -</w:t>
      </w:r>
      <w:r w:rsidRPr="00A52585">
        <w:rPr>
          <w:rFonts w:hint="cs"/>
          <w:sz w:val="24"/>
          <w:szCs w:val="24"/>
          <w:rtl/>
        </w:rPr>
        <w:t>:</w:t>
      </w:r>
      <w:r w:rsidR="00777DCB" w:rsidRPr="00A52585">
        <w:rPr>
          <w:rFonts w:hint="cs"/>
          <w:sz w:val="24"/>
          <w:szCs w:val="24"/>
          <w:rtl/>
        </w:rPr>
        <w:t xml:space="preserve"> 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sidR="00DB731D" w:rsidRPr="00A52585">
        <w:rPr>
          <w:rFonts w:hint="cs"/>
          <w:sz w:val="24"/>
          <w:szCs w:val="24"/>
          <w:rtl/>
        </w:rPr>
        <w:t>،</w:t>
      </w:r>
      <w:r w:rsidR="00777DCB" w:rsidRPr="00A52585">
        <w:rPr>
          <w:rFonts w:hint="cs"/>
          <w:sz w:val="24"/>
          <w:szCs w:val="24"/>
          <w:rtl/>
        </w:rPr>
        <w:t xml:space="preserve"> يقول د. أحمد حجازي السقا في كتابه (حياة القبور): </w:t>
      </w:r>
      <w:r w:rsidR="00777DCB" w:rsidRPr="00A52585">
        <w:rPr>
          <w:sz w:val="24"/>
          <w:szCs w:val="24"/>
        </w:rPr>
        <w:t>»</w:t>
      </w:r>
      <w:r w:rsidR="00777DCB" w:rsidRPr="00A52585">
        <w:rPr>
          <w:rFonts w:hint="cs"/>
          <w:sz w:val="24"/>
          <w:szCs w:val="24"/>
          <w:rtl/>
        </w:rPr>
        <w:t xml:space="preserve"> بينا أن أهل الكتاب لا يصرحون بعذاب في القبر وذلك لأن النصوص في كتبهم تنفيه نفيا باتاً</w:t>
      </w:r>
      <w:r w:rsidR="00DB731D" w:rsidRPr="00A52585">
        <w:rPr>
          <w:rFonts w:hint="cs"/>
          <w:sz w:val="24"/>
          <w:szCs w:val="24"/>
          <w:rtl/>
        </w:rPr>
        <w:t>،</w:t>
      </w:r>
      <w:r w:rsidR="00777DCB" w:rsidRPr="00A52585">
        <w:rPr>
          <w:rFonts w:hint="cs"/>
          <w:sz w:val="24"/>
          <w:szCs w:val="24"/>
          <w:rtl/>
        </w:rPr>
        <w:t xml:space="preserve"> وقد تابع ابن تيمية- أو على أقل تقدير تأثر بشدة – باليهود في</w:t>
      </w:r>
      <w:r w:rsidRPr="00A52585">
        <w:rPr>
          <w:rFonts w:hint="cs"/>
          <w:sz w:val="24"/>
          <w:szCs w:val="24"/>
          <w:rtl/>
        </w:rPr>
        <w:t>:</w:t>
      </w:r>
      <w:r w:rsidR="00777DCB" w:rsidRPr="00A52585">
        <w:rPr>
          <w:rFonts w:hint="cs"/>
          <w:sz w:val="24"/>
          <w:szCs w:val="24"/>
          <w:rtl/>
        </w:rPr>
        <w:t xml:space="preserve"> 1- التشبيه والتجسيم</w:t>
      </w:r>
      <w:r w:rsidR="00DB731D" w:rsidRPr="00A52585">
        <w:rPr>
          <w:rFonts w:hint="cs"/>
          <w:sz w:val="24"/>
          <w:szCs w:val="24"/>
          <w:rtl/>
        </w:rPr>
        <w:t>،</w:t>
      </w:r>
      <w:r w:rsidR="00777DCB" w:rsidRPr="00A52585">
        <w:rPr>
          <w:rFonts w:hint="cs"/>
          <w:sz w:val="24"/>
          <w:szCs w:val="24"/>
          <w:rtl/>
        </w:rPr>
        <w:t xml:space="preserve"> 2- زعمه قيام الحوادث بالذات الإلهية</w:t>
      </w:r>
      <w:r w:rsidR="00DB731D" w:rsidRPr="00A52585">
        <w:rPr>
          <w:rFonts w:hint="cs"/>
          <w:sz w:val="24"/>
          <w:szCs w:val="24"/>
          <w:rtl/>
        </w:rPr>
        <w:t>،</w:t>
      </w:r>
      <w:r w:rsidR="00777DCB" w:rsidRPr="00A52585">
        <w:rPr>
          <w:rFonts w:hint="cs"/>
          <w:sz w:val="24"/>
          <w:szCs w:val="24"/>
          <w:rtl/>
        </w:rPr>
        <w:t xml:space="preserve"> 3- زعمه فناء النار</w:t>
      </w:r>
      <w:r w:rsidR="00DB731D" w:rsidRPr="00A52585">
        <w:rPr>
          <w:rFonts w:hint="cs"/>
          <w:sz w:val="24"/>
          <w:szCs w:val="24"/>
          <w:rtl/>
        </w:rPr>
        <w:t>،</w:t>
      </w:r>
      <w:r w:rsidR="00777DCB" w:rsidRPr="00A52585">
        <w:rPr>
          <w:rFonts w:hint="cs"/>
          <w:sz w:val="24"/>
          <w:szCs w:val="24"/>
          <w:rtl/>
        </w:rPr>
        <w:t xml:space="preserve"> 4- التفرقة بين حياة النبي ووفاته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5- زعمه عدم عصمة الأنبياء</w:t>
      </w:r>
      <w:r w:rsidRPr="00A52585">
        <w:rPr>
          <w:rFonts w:hint="cs"/>
          <w:sz w:val="24"/>
          <w:szCs w:val="24"/>
          <w:rtl/>
        </w:rPr>
        <w:t>]</w:t>
      </w:r>
      <w:r w:rsidR="00DB731D" w:rsidRPr="00A52585">
        <w:rPr>
          <w:rFonts w:hint="cs"/>
          <w:sz w:val="24"/>
          <w:szCs w:val="24"/>
          <w:rtl/>
        </w:rPr>
        <w:t>،</w:t>
      </w:r>
      <w:r w:rsidR="00777DCB" w:rsidRPr="00A52585">
        <w:rPr>
          <w:rFonts w:hint="cs"/>
          <w:rtl/>
        </w:rPr>
        <w:t xml:space="preserve"> وغضُّوا من النبي صلى الله عليه وسلم</w:t>
      </w:r>
      <w:r w:rsidR="00DB731D" w:rsidRPr="00A52585">
        <w:rPr>
          <w:rFonts w:hint="cs"/>
          <w:rtl/>
        </w:rPr>
        <w:t>،</w:t>
      </w:r>
      <w:r w:rsidR="00777DCB" w:rsidRPr="00A52585">
        <w:rPr>
          <w:rFonts w:hint="cs"/>
          <w:rtl/>
        </w:rPr>
        <w:t xml:space="preserve"> واستمر عليها أتباعهم الذين يظهرون الإسلام وقلوبهم منطوية على بغض النبي صلى الله عليه وسلم ولم يقدروا أن يتوصلوا إلى الغض منه إلا بذلك</w:t>
      </w:r>
      <w:r w:rsidR="00DB731D" w:rsidRPr="00A52585">
        <w:rPr>
          <w:rFonts w:hint="cs"/>
          <w:rtl/>
        </w:rPr>
        <w:t>،</w:t>
      </w:r>
      <w:r w:rsidR="00777DCB" w:rsidRPr="00A52585">
        <w:rPr>
          <w:rFonts w:hint="cs"/>
          <w:rtl/>
        </w:rPr>
        <w:t xml:space="preserve"> وقد ذكر المسألة الأئمة الأعلام فأذكر بعض كلامهم منه ثم أعود إلى تتميمه مستدلا بأمور سمعية وغيرها تفيد جلالته وعظمته وحياته في قبره صلى الله عليه وسلم وبقاء حرمته على ما كان عليه في حياته ويقطع الواقف عليها أو على بعضها بأن القائلين بالتفرقة من أغالي أهل الزيغ والزندقة</w:t>
      </w:r>
      <w:r w:rsidR="00DB731D" w:rsidRPr="00A52585">
        <w:rPr>
          <w:rFonts w:hint="cs"/>
          <w:rtl/>
        </w:rPr>
        <w:t>،</w:t>
      </w:r>
      <w:r w:rsidR="00777DCB" w:rsidRPr="00A52585">
        <w:rPr>
          <w:rFonts w:hint="cs"/>
          <w:rtl/>
        </w:rPr>
        <w:t xml:space="preserve"> وأن ابن تيمية كما قاله بعض الأئمة الأعلام - الذي كان يوصف بأنه بحر في العلم - يقول عنه أنه زنديق مطلق</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أظن أنه يشير إلى الشيخ الإمام محمد بن عمر بن مكي بن عبد الصمد صدر الدين بن المرحِّل يقول عنه ابن السبكي في طبقات الشافعية</w:t>
      </w:r>
      <w:r w:rsidRPr="00A52585">
        <w:rPr>
          <w:rFonts w:hint="cs"/>
          <w:sz w:val="24"/>
          <w:szCs w:val="24"/>
          <w:rtl/>
        </w:rPr>
        <w:t xml:space="preserve">: </w:t>
      </w:r>
      <w:r w:rsidR="00777DCB" w:rsidRPr="00A52585">
        <w:rPr>
          <w:rFonts w:hint="cs"/>
          <w:sz w:val="24"/>
          <w:szCs w:val="24"/>
          <w:rtl/>
        </w:rPr>
        <w:t>" كان إماما كبيراً بارعاً في المذهب والأصلين يضرب المثل باسمه فارساً في البحث نظاراً مفرط الذكاء عجيب الحافظة كثير الاشتغال وله مع ابن تيمية المناظرات الحسنة وبها حصل عليه التعصب من أتباع ابن تيمية وقيل فيه ما هو بعيد عنه وكثر القائل فارتاب العاقل</w:t>
      </w:r>
      <w:r w:rsidR="00DB731D" w:rsidRPr="00A52585">
        <w:rPr>
          <w:rFonts w:hint="cs"/>
          <w:sz w:val="24"/>
          <w:szCs w:val="24"/>
          <w:rtl/>
        </w:rPr>
        <w:t>،</w:t>
      </w:r>
      <w:r w:rsidR="00777DCB" w:rsidRPr="00A52585">
        <w:rPr>
          <w:rFonts w:hint="cs"/>
          <w:sz w:val="24"/>
          <w:szCs w:val="24"/>
          <w:rtl/>
        </w:rPr>
        <w:t xml:space="preserve"> كان الوالد رحمه الله يعظم الشيخ صدر الدين ويحبه ويثني عليه بالعلم وحسن العقيدة ومعرفة الكلام على مذهب الأشعري</w:t>
      </w:r>
      <w:r w:rsidRPr="00A52585">
        <w:rPr>
          <w:rFonts w:hint="cs"/>
          <w:sz w:val="24"/>
          <w:szCs w:val="24"/>
          <w:rtl/>
        </w:rPr>
        <w:t xml:space="preserve"> </w:t>
      </w:r>
      <w:r w:rsidR="00777DCB" w:rsidRPr="00A52585">
        <w:rPr>
          <w:rFonts w:hint="cs"/>
          <w:sz w:val="24"/>
          <w:szCs w:val="24"/>
          <w:rtl/>
        </w:rPr>
        <w:t>وذكره القاضي شهاب الدين بن فضل الله في تاريخه فقال</w:t>
      </w:r>
      <w:r w:rsidRPr="00A52585">
        <w:rPr>
          <w:rFonts w:hint="cs"/>
          <w:sz w:val="24"/>
          <w:szCs w:val="24"/>
          <w:rtl/>
        </w:rPr>
        <w:t xml:space="preserve">: </w:t>
      </w:r>
      <w:r w:rsidR="00777DCB" w:rsidRPr="00A52585">
        <w:rPr>
          <w:rFonts w:hint="cs"/>
          <w:sz w:val="24"/>
          <w:szCs w:val="24"/>
          <w:rtl/>
        </w:rPr>
        <w:t>" إمام له نسب في قريش أعرق وحسب في بني عبد شمس مثل الشمس أشرق وعلم لو أن البحر شطا شبهه لأغرق وفهم لو أن الفجر سطع نظيره لأحرق</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طبقات الشافعية الكبرى 9/254</w:t>
      </w:r>
      <w:r w:rsidR="00DB731D" w:rsidRPr="00A52585">
        <w:rPr>
          <w:rFonts w:hint="cs"/>
          <w:sz w:val="24"/>
          <w:szCs w:val="24"/>
          <w:rtl/>
        </w:rPr>
        <w:t>،</w:t>
      </w:r>
      <w:r w:rsidR="00777DCB" w:rsidRPr="00A52585">
        <w:rPr>
          <w:rFonts w:hint="cs"/>
          <w:sz w:val="24"/>
          <w:szCs w:val="24"/>
          <w:rtl/>
        </w:rPr>
        <w:t xml:space="preserve"> يقول ابن حجر عنه في الدرر الكامنة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وكان لا يقوم بمناظرة ابن تيمية أحد سواه حتى إنهما تناظرا يوما بالكلاسة فاستشهد ابن تيمية بعض الحاضرين فأنشد الصدر في الحال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إن انتصارك بالإخوان من عجب</w:t>
      </w:r>
      <w:r w:rsidRPr="00A52585">
        <w:rPr>
          <w:rFonts w:hint="cs"/>
          <w:sz w:val="24"/>
          <w:szCs w:val="24"/>
          <w:rtl/>
        </w:rPr>
        <w:t xml:space="preserve"> </w:t>
      </w:r>
      <w:r w:rsidR="00777DCB" w:rsidRPr="00A52585">
        <w:rPr>
          <w:rFonts w:hint="cs"/>
          <w:sz w:val="24"/>
          <w:szCs w:val="24"/>
          <w:rtl/>
        </w:rPr>
        <w:t>وهل رأى الناس منصوراً بمنكسر</w:t>
      </w:r>
      <w:r w:rsidR="00F95886" w:rsidRPr="00A52585">
        <w:rPr>
          <w:rFonts w:hint="cs"/>
          <w:sz w:val="24"/>
          <w:szCs w:val="24"/>
          <w:rtl/>
        </w:rPr>
        <w:t>؟</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شرع في شرح الأحكام لعبد الحق فكتب منه ثلاث مجلدات دالات على </w:t>
      </w:r>
      <w:r w:rsidR="00777DCB" w:rsidRPr="00A52585">
        <w:rPr>
          <w:rFonts w:hint="cs"/>
          <w:sz w:val="24"/>
          <w:szCs w:val="24"/>
          <w:rtl/>
        </w:rPr>
        <w:lastRenderedPageBreak/>
        <w:t>تبحره في الحديث والفقه والأصول وكان تقي الدين السبكي يعظمه ويثني عليه ويسميه فاضل عصره "</w:t>
      </w:r>
      <w:r w:rsidRPr="00A52585">
        <w:rPr>
          <w:rFonts w:hint="cs"/>
          <w:sz w:val="24"/>
          <w:szCs w:val="24"/>
          <w:rtl/>
        </w:rPr>
        <w:t xml:space="preserve"> </w:t>
      </w:r>
      <w:r w:rsidR="00777DCB" w:rsidRPr="00A52585">
        <w:rPr>
          <w:rFonts w:hint="cs"/>
          <w:sz w:val="24"/>
          <w:szCs w:val="24"/>
          <w:rtl/>
        </w:rPr>
        <w:t>أهـ 4/234 ط دار الكتب الحديثة</w:t>
      </w:r>
      <w:r w:rsidR="00DB731D" w:rsidRPr="00A52585">
        <w:rPr>
          <w:rFonts w:hint="cs"/>
          <w:sz w:val="24"/>
          <w:szCs w:val="24"/>
          <w:rtl/>
        </w:rPr>
        <w:t>،</w:t>
      </w:r>
      <w:r w:rsidR="00777DCB" w:rsidRPr="00A52585">
        <w:rPr>
          <w:rFonts w:hint="cs"/>
          <w:sz w:val="24"/>
          <w:szCs w:val="24"/>
          <w:rtl/>
        </w:rPr>
        <w:t xml:space="preserve"> يلاحظ أن الخوارج المنتسبين زورا إلى مذهب الإمام أحمد من أشد الناس كذبا وتلفيقا للتهم لتشويه خصومهم والذي لا يستطيعون نعته بالجهل وعدم المعرفة يسلكون معه سبيلا آخر باتهامه بعظائم الذنوب تنفيراً للناس من متابعته أو النظر في كلامه أو إعفاء لأنفسهم من مهمة الرد على حجج الحق التي يبديها</w:t>
      </w:r>
      <w:r w:rsidR="00DB731D" w:rsidRPr="00A52585">
        <w:rPr>
          <w:rFonts w:hint="cs"/>
          <w:sz w:val="24"/>
          <w:szCs w:val="24"/>
          <w:rtl/>
        </w:rPr>
        <w:t>،</w:t>
      </w:r>
      <w:r w:rsidR="00777DCB" w:rsidRPr="00A52585">
        <w:rPr>
          <w:rFonts w:hint="cs"/>
          <w:sz w:val="24"/>
          <w:szCs w:val="24"/>
          <w:rtl/>
        </w:rPr>
        <w:t xml:space="preserve"> فنراهم يحاولون اتهام الإمام الكبير والعلم الشهير سيف الدين الآمدي بترك الصلاة لأن جريمته أنه سمع منهم في أول حياته ثم هداه الله وشرح صدره للحق فغادر مذهبهم وتبرأ من عقائدهم وهذا ابن المرحل يتهمونه بأنه سكير عربيد ويقدمون من </w:t>
      </w:r>
      <w:proofErr w:type="spellStart"/>
      <w:r w:rsidR="00777DCB" w:rsidRPr="00A52585">
        <w:rPr>
          <w:rFonts w:hint="cs"/>
          <w:sz w:val="24"/>
          <w:szCs w:val="24"/>
          <w:rtl/>
        </w:rPr>
        <w:t>أراذلهم</w:t>
      </w:r>
      <w:proofErr w:type="spellEnd"/>
      <w:r w:rsidR="00777DCB" w:rsidRPr="00A52585">
        <w:rPr>
          <w:rFonts w:hint="cs"/>
          <w:sz w:val="24"/>
          <w:szCs w:val="24"/>
          <w:rtl/>
        </w:rPr>
        <w:t xml:space="preserve"> الواحد تلو الآخر ليشهد على ذلك محاولين إزاحته من طريقهم وقد حاولوا ذلك بإصرار مع تاج الدين السبكي أيضاً</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وسبب قوله ذلك أنه تتبع كلامه</w:t>
      </w:r>
      <w:r w:rsidRPr="00A52585">
        <w:rPr>
          <w:rFonts w:hint="cs"/>
          <w:rtl/>
        </w:rPr>
        <w:t xml:space="preserve"> </w:t>
      </w:r>
      <w:r w:rsidR="00777DCB" w:rsidRPr="00A52585">
        <w:rPr>
          <w:rFonts w:hint="cs"/>
          <w:rtl/>
        </w:rPr>
        <w:t>فلم يقف له على اعتقاد</w:t>
      </w:r>
      <w:r w:rsidR="00DB731D" w:rsidRPr="00A52585">
        <w:rPr>
          <w:rFonts w:hint="cs"/>
          <w:rtl/>
        </w:rPr>
        <w:t>،</w:t>
      </w:r>
      <w:r w:rsidR="00777DCB" w:rsidRPr="00A52585">
        <w:rPr>
          <w:rFonts w:hint="cs"/>
          <w:rtl/>
        </w:rPr>
        <w:t xml:space="preserve"> حتى أنه في مواضع عديدة يكفر فرقة ويضللها</w:t>
      </w:r>
      <w:r w:rsidR="00DB731D" w:rsidRPr="00A52585">
        <w:rPr>
          <w:rFonts w:hint="cs"/>
          <w:rtl/>
        </w:rPr>
        <w:t>،</w:t>
      </w:r>
      <w:r w:rsidR="00777DCB" w:rsidRPr="00A52585">
        <w:rPr>
          <w:rFonts w:hint="cs"/>
          <w:rtl/>
        </w:rPr>
        <w:t xml:space="preserve"> وفي موضع آخر يعتقد ما قالته أو بعضه</w:t>
      </w:r>
      <w:r w:rsidR="00DB731D" w:rsidRPr="00A52585">
        <w:rPr>
          <w:rFonts w:hint="cs"/>
          <w:rtl/>
        </w:rPr>
        <w:t>،</w:t>
      </w:r>
      <w:r w:rsidR="00777DCB" w:rsidRPr="00A52585">
        <w:rPr>
          <w:rFonts w:hint="cs"/>
          <w:rtl/>
        </w:rPr>
        <w:t xml:space="preserve"> مع أن كتبه مشحونة بالتشبيه والتجسيم والإشارة إلى الازدراء بالنبي صلى الله عليه وسلم والشيخين وتكفير عبد الله بن عباس رضي الله عنه وأنه من الملحدين وجعل عبد الله بن عمر رضي الله عنهما من المجرمين وأنه ضال ومبتدع ذكر ذلك في كتاب له سماه </w:t>
      </w:r>
      <w:r w:rsidRPr="00A52585">
        <w:rPr>
          <w:rFonts w:hint="cs"/>
          <w:rtl/>
        </w:rPr>
        <w:t>(</w:t>
      </w:r>
      <w:r w:rsidR="00777DCB" w:rsidRPr="00A52585">
        <w:rPr>
          <w:rFonts w:hint="cs"/>
          <w:rtl/>
        </w:rPr>
        <w:t>الصراط المستقيم والرد على أهل الجحيم) وقد وقفت في كلامه على المواضع التي كفر فيها الأئمة الأربعة</w:t>
      </w:r>
      <w:r w:rsidR="00DB731D" w:rsidRPr="00A52585">
        <w:rPr>
          <w:rFonts w:hint="cs"/>
          <w:rtl/>
        </w:rPr>
        <w:t>،</w:t>
      </w:r>
      <w:r w:rsidR="00777DCB" w:rsidRPr="00A52585">
        <w:rPr>
          <w:rFonts w:hint="cs"/>
          <w:rtl/>
        </w:rPr>
        <w:t xml:space="preserve"> وكان بعض أتباعه يقول أنه أخرج زيف الأئمة الأربعة يريد بذلك إضلال هذه الأمة لأنها تابعة لهذه الأئمة في جميع الأقطار والأمصار وليس وراء هذا زندقة</w:t>
      </w:r>
      <w:r w:rsidR="00DB731D" w:rsidRPr="00A52585">
        <w:rPr>
          <w:rFonts w:hint="cs"/>
          <w:rtl/>
        </w:rPr>
        <w:t>،</w:t>
      </w:r>
      <w:r w:rsidR="00777DCB" w:rsidRPr="00A52585">
        <w:rPr>
          <w:rFonts w:hint="cs"/>
          <w:rtl/>
        </w:rPr>
        <w:t xml:space="preserve"> ولنرجع إلى قول بعض الأئمة ومنهم</w:t>
      </w:r>
      <w:r w:rsidRPr="00A52585">
        <w:rPr>
          <w:rFonts w:hint="cs"/>
          <w:rtl/>
        </w:rPr>
        <w:t>:</w:t>
      </w:r>
      <w:r w:rsidR="00777DCB" w:rsidRPr="00A52585">
        <w:rPr>
          <w:rFonts w:hint="cs"/>
          <w:rtl/>
        </w:rPr>
        <w:t xml:space="preserve"> الإمام العلامة شيخ شيوخ وقته أبو الحسن على </w:t>
      </w:r>
      <w:proofErr w:type="spellStart"/>
      <w:r w:rsidR="00777DCB" w:rsidRPr="00A52585">
        <w:rPr>
          <w:rFonts w:hint="cs"/>
          <w:rtl/>
        </w:rPr>
        <w:t>القونوي</w:t>
      </w:r>
      <w:proofErr w:type="spellEnd"/>
      <w:r w:rsidR="00777DCB" w:rsidRPr="00A52585">
        <w:rPr>
          <w:rFonts w:hint="cs"/>
          <w:rtl/>
        </w:rPr>
        <w:t>. قال بعد ذكره أشياء لا أطول بذكرها</w:t>
      </w:r>
      <w:r w:rsidRPr="00A52585">
        <w:rPr>
          <w:rFonts w:hint="cs"/>
          <w:rtl/>
        </w:rPr>
        <w:t>:</w:t>
      </w:r>
      <w:r w:rsidR="00777DCB" w:rsidRPr="00A52585">
        <w:rPr>
          <w:rFonts w:hint="cs"/>
          <w:rtl/>
        </w:rPr>
        <w:t xml:space="preserve"> وفيها دلالة على أن التوسل بالنبي صلى الله عليه وسلم في الحاجات بعد وفاته كالتوسل به في حال حياته</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وهذا وأمثاله يرد على هؤلاء المبتدعة الذين نبغوا في زماننا ومنعوا التوسل برسول الله صلى الله عليه وسلم وقد جمع بعضهم كلاماً يتضمن نفي علمه صلى الله عليه وسلم بعد الوفاة</w:t>
      </w:r>
      <w:r w:rsidR="00DB731D" w:rsidRPr="00A52585">
        <w:rPr>
          <w:rFonts w:hint="cs"/>
          <w:rtl/>
        </w:rPr>
        <w:t>،</w:t>
      </w:r>
      <w:r w:rsidR="00777DCB" w:rsidRPr="00A52585">
        <w:rPr>
          <w:rFonts w:hint="cs"/>
          <w:rtl/>
        </w:rPr>
        <w:t xml:space="preserve"> ونقل طائفة منهم التفرقة بين حال حياته وحال وفاته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والتفريق بين الحياة والوفاة كان ثابتاً عند الصحابة فلهذا استسقى أمير المؤمنين عمر بالعباس ولولا هذا التفريق الواضح عندهم لما عدل عمر - مع جلالته وكونه خليفة راشداً وكان يشاور أيضاً - عن قبر رسول الله إلى غيره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spacing w:val="-6"/>
          <w:rtl/>
        </w:rPr>
        <w:t xml:space="preserve">ثم قال - أي </w:t>
      </w:r>
      <w:proofErr w:type="spellStart"/>
      <w:r w:rsidR="00777DCB" w:rsidRPr="00A52585">
        <w:rPr>
          <w:rFonts w:hint="cs"/>
          <w:spacing w:val="-6"/>
          <w:rtl/>
        </w:rPr>
        <w:t>القونوي</w:t>
      </w:r>
      <w:proofErr w:type="spellEnd"/>
      <w:r w:rsidR="00777DCB" w:rsidRPr="00A52585">
        <w:rPr>
          <w:rFonts w:hint="cs"/>
          <w:spacing w:val="-6"/>
          <w:rtl/>
        </w:rPr>
        <w:t xml:space="preserve"> -</w:t>
      </w:r>
      <w:r w:rsidRPr="00A52585">
        <w:rPr>
          <w:rFonts w:hint="cs"/>
          <w:spacing w:val="-6"/>
          <w:rtl/>
        </w:rPr>
        <w:t>:</w:t>
      </w:r>
      <w:r w:rsidR="00777DCB" w:rsidRPr="00A52585">
        <w:rPr>
          <w:rFonts w:hint="cs"/>
          <w:spacing w:val="-6"/>
          <w:rtl/>
        </w:rPr>
        <w:t xml:space="preserve"> هذا لفظ المبتدع الجاهل الذي قامت البينة عليه بأشياء من هذا القبيل وعُزِّر على ذلك التعزير البالغ بالضرب المبرح والحبس وغير ذلك في شهور</w:t>
      </w:r>
      <w:r w:rsidR="00777DCB" w:rsidRPr="00A52585">
        <w:rPr>
          <w:rFonts w:hint="cs"/>
          <w:rtl/>
        </w:rPr>
        <w:t xml:space="preserve"> سنة خمس وعشرين وسبعمائة بالقاهرة وهذا الكلام من التفرقة بين الحالتين </w:t>
      </w:r>
      <w:r w:rsidR="00777DCB" w:rsidRPr="00A52585">
        <w:rPr>
          <w:rFonts w:hint="cs"/>
          <w:spacing w:val="-6"/>
          <w:rtl/>
        </w:rPr>
        <w:t>والاستناد فيه إلى استسقاء عمر بالعبا</w:t>
      </w:r>
      <w:r w:rsidR="00777DCB" w:rsidRPr="00A52585">
        <w:rPr>
          <w:rFonts w:hint="cs"/>
          <w:spacing w:val="-12"/>
          <w:rtl/>
        </w:rPr>
        <w:t xml:space="preserve">س ليس له </w:t>
      </w:r>
      <w:r w:rsidR="00777DCB" w:rsidRPr="00A52585">
        <w:rPr>
          <w:rFonts w:hint="cs"/>
          <w:spacing w:val="-6"/>
          <w:rtl/>
        </w:rPr>
        <w:t>وإنما</w:t>
      </w:r>
      <w:r w:rsidR="00777DCB" w:rsidRPr="00A52585">
        <w:rPr>
          <w:rFonts w:hint="cs"/>
          <w:spacing w:val="-14"/>
          <w:rtl/>
        </w:rPr>
        <w:t xml:space="preserve"> هو لشيخه </w:t>
      </w:r>
      <w:r w:rsidR="00777DCB" w:rsidRPr="00A52585">
        <w:rPr>
          <w:rFonts w:hint="cs"/>
          <w:spacing w:val="-6"/>
          <w:rtl/>
        </w:rPr>
        <w:t>فإنه لما أظهر القول</w:t>
      </w:r>
      <w:r w:rsidR="00777DCB" w:rsidRPr="00A52585">
        <w:rPr>
          <w:rFonts w:hint="cs"/>
          <w:rtl/>
        </w:rPr>
        <w:t xml:space="preserve"> بنفي التوسل برسول الله صلى الله عليه وسلم أورد عليه حديث الاستسقاء ففزع إلى التفرقة المذكور</w:t>
      </w:r>
      <w:r w:rsidR="00777DCB" w:rsidRPr="00A52585">
        <w:rPr>
          <w:rFonts w:hint="cs"/>
          <w:spacing w:val="-4"/>
          <w:rtl/>
        </w:rPr>
        <w:t xml:space="preserve">ة ولا متشبث له </w:t>
      </w:r>
      <w:r w:rsidR="00777DCB" w:rsidRPr="00A52585">
        <w:rPr>
          <w:rFonts w:hint="cs"/>
          <w:rtl/>
        </w:rPr>
        <w:t xml:space="preserve">في الحديث المذكور فإن عمر رضي الله عنه لما قصد أن يقدم العباس ويباشر </w:t>
      </w:r>
      <w:r w:rsidR="00777DCB" w:rsidRPr="00A52585">
        <w:rPr>
          <w:rFonts w:hint="cs"/>
          <w:rtl/>
        </w:rPr>
        <w:lastRenderedPageBreak/>
        <w:t>الدعاء بنفسه وهذا لا يتصور حصوله من غير الحي</w:t>
      </w:r>
      <w:r w:rsidR="00DB731D" w:rsidRPr="00A52585">
        <w:rPr>
          <w:rFonts w:hint="cs"/>
          <w:rtl/>
        </w:rPr>
        <w:t>،</w:t>
      </w:r>
      <w:r w:rsidR="00777DCB" w:rsidRPr="00A52585">
        <w:rPr>
          <w:rFonts w:hint="cs"/>
          <w:rtl/>
        </w:rPr>
        <w:t xml:space="preserve"> وأما التوسل برسول صلى الله عليه وسلم فلا نسلم أن عمر رضي الله عنه تركه بعد موته وتقديمه العباس ليدعو للناس لا ينفي جواز التوسل به مع ذلك</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وهذا القول الشنيع والرأي السخيف الذي أخذ به هؤلاء المبتدعة من التحاقه صلى الله عليه وسلم بعد موته</w:t>
      </w:r>
      <w:r w:rsidRPr="00A52585">
        <w:rPr>
          <w:rFonts w:hint="cs"/>
          <w:rtl/>
        </w:rPr>
        <w:t xml:space="preserve"> </w:t>
      </w:r>
      <w:r w:rsidR="00777DCB" w:rsidRPr="00A52585">
        <w:rPr>
          <w:rFonts w:hint="cs"/>
          <w:rtl/>
        </w:rPr>
        <w:t>بالعدم - حاشاه من ذلك - يلزمه أن لا يقال أنه</w:t>
      </w:r>
      <w:r w:rsidRPr="00A52585">
        <w:rPr>
          <w:rFonts w:hint="cs"/>
          <w:rtl/>
        </w:rPr>
        <w:t xml:space="preserve"> </w:t>
      </w:r>
      <w:r w:rsidR="00777DCB" w:rsidRPr="00A52585">
        <w:rPr>
          <w:rFonts w:hint="cs"/>
          <w:rtl/>
        </w:rPr>
        <w:t>رسول الله صلى الله عليه وسلم اليوم وهو قول بعض الضلاّل</w:t>
      </w:r>
      <w:r w:rsidR="00DB731D" w:rsidRPr="00A52585">
        <w:rPr>
          <w:rFonts w:hint="cs"/>
          <w:rtl/>
        </w:rPr>
        <w:t>،</w:t>
      </w:r>
      <w:r w:rsidR="00777DCB" w:rsidRPr="00A52585">
        <w:rPr>
          <w:rFonts w:hint="cs"/>
          <w:rtl/>
        </w:rPr>
        <w:t xml:space="preserve"> قال أبو محمد بن حزم في كتابه الملل والنحل</w:t>
      </w:r>
      <w:r w:rsidRPr="00A52585">
        <w:rPr>
          <w:rFonts w:hint="cs"/>
          <w:rtl/>
        </w:rPr>
        <w:t>:</w:t>
      </w:r>
      <w:r w:rsidR="00777DCB" w:rsidRPr="00A52585">
        <w:rPr>
          <w:rFonts w:hint="cs"/>
          <w:rtl/>
        </w:rPr>
        <w:t xml:space="preserve"> حدثت فرقة مبتدعة تزعم أنّ محمد بن عبد الله ابن عبد المطلب صلى الله عليه وسلم ليس هو اليوم رسول الله لكن كان رسول الله صلى الله عليه وسلم</w:t>
      </w:r>
      <w:r w:rsidR="00DB731D" w:rsidRPr="00A52585">
        <w:rPr>
          <w:rFonts w:hint="cs"/>
          <w:rtl/>
        </w:rPr>
        <w:t>،</w:t>
      </w:r>
      <w:r w:rsidR="00777DCB" w:rsidRPr="00A52585">
        <w:rPr>
          <w:rFonts w:hint="cs"/>
          <w:rtl/>
        </w:rPr>
        <w:t xml:space="preserve"> ثم قال (</w:t>
      </w:r>
      <w:r w:rsidRPr="00A52585">
        <w:rPr>
          <w:rFonts w:hint="cs"/>
          <w:rtl/>
        </w:rPr>
        <w:t>(</w:t>
      </w:r>
      <w:r w:rsidR="00777DCB" w:rsidRPr="00A52585">
        <w:rPr>
          <w:rFonts w:hint="cs"/>
          <w:rtl/>
        </w:rPr>
        <w:t>وهذه مقالة خبيثة مخالفة لله عز وجل</w:t>
      </w:r>
      <w:r w:rsidR="00777DCB" w:rsidRPr="00A52585">
        <w:rPr>
          <w:rFonts w:hint="cs"/>
          <w:vertAlign w:val="superscript"/>
          <w:rtl/>
        </w:rPr>
        <w:t xml:space="preserve"> </w:t>
      </w:r>
      <w:r w:rsidR="00777DCB" w:rsidRPr="00A52585">
        <w:rPr>
          <w:rFonts w:hint="cs"/>
          <w:rtl/>
        </w:rPr>
        <w:t>ولرسوله صلى الله عليه وسلم ولما عليه أهل الإسلام منذ كان أهل الإسلام إلى يوم القيامة</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وإنما حملهم على الرأي الخبيث قولهم الآخر الخبيث أن الروح عرض والعرض يفنى أبداً و يحدث ولا يبقى وقتين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فروح رسول الله صلى الله عليه وسلم عند هؤلاء بطل ولا روح له الآن عند الله</w:t>
      </w:r>
      <w:r w:rsidR="00DB731D" w:rsidRPr="00A52585">
        <w:rPr>
          <w:rFonts w:hint="cs"/>
          <w:rtl/>
        </w:rPr>
        <w:t>،</w:t>
      </w:r>
      <w:r w:rsidR="00777DCB" w:rsidRPr="00A52585">
        <w:rPr>
          <w:rFonts w:hint="cs"/>
          <w:rtl/>
        </w:rPr>
        <w:t xml:space="preserve"> وأما جسده ففي قبره تراب فبطلت نبوته ورسالته بموته عندهم</w:t>
      </w:r>
      <w:r w:rsidR="00DB731D" w:rsidRPr="00A52585">
        <w:rPr>
          <w:rFonts w:hint="cs"/>
          <w:rtl/>
        </w:rPr>
        <w:t>،</w:t>
      </w:r>
      <w:r w:rsidR="00777DCB" w:rsidRPr="00A52585">
        <w:rPr>
          <w:rFonts w:hint="cs"/>
          <w:rtl/>
        </w:rPr>
        <w:t xml:space="preserve"> فنعوذ بالله من هذا القول فإنه كفر صراح لا تردد فيه</w:t>
      </w:r>
      <w:r w:rsidR="00DB731D" w:rsidRPr="00A52585">
        <w:rPr>
          <w:rFonts w:hint="cs"/>
          <w:rtl/>
        </w:rPr>
        <w:t>،</w:t>
      </w:r>
      <w:r w:rsidR="00777DCB" w:rsidRPr="00A52585">
        <w:rPr>
          <w:rFonts w:hint="cs"/>
          <w:rtl/>
        </w:rPr>
        <w:t xml:space="preserve"> ويكفى في بطلان هذا القول الفاحش الفظيع أنه مخالف لما أمر الله تعالى به ورسوله صلى الله عليه وسلم واتفق عليه أهل الإسلام من الأذان في الجوامع والصوامع وأبواب المساجد جهاراً في شرق الأرض وغربها كل يوم خمس مرات بأعلى أصواتهم قد قرنه الله تعالى بذكره أشهد أن لا إله إلا الله وأشهد أن محمداً رسول الله</w:t>
      </w:r>
      <w:r w:rsidR="00DB731D" w:rsidRPr="00A52585">
        <w:rPr>
          <w:rFonts w:hint="cs"/>
          <w:rtl/>
        </w:rPr>
        <w:t>،</w:t>
      </w:r>
      <w:r w:rsidR="00777DCB" w:rsidRPr="00A52585">
        <w:rPr>
          <w:rFonts w:hint="cs"/>
          <w:rtl/>
        </w:rPr>
        <w:t xml:space="preserve"> وكان يجب على قولهم أن يقال وأشهد أن محمداً كان رسول الله</w:t>
      </w:r>
      <w:r w:rsidR="00DB731D" w:rsidRPr="00A52585">
        <w:rPr>
          <w:rFonts w:hint="cs"/>
          <w:rtl/>
        </w:rPr>
        <w:t>،</w:t>
      </w:r>
      <w:r w:rsidR="00777DCB" w:rsidRPr="00A52585">
        <w:rPr>
          <w:rFonts w:hint="cs"/>
          <w:rtl/>
        </w:rPr>
        <w:t xml:space="preserve"> وكذلك كان يجب أن يقال بين ثاني الشهادتين في الإسلام</w:t>
      </w:r>
      <w:r w:rsidR="00DB731D" w:rsidRPr="00A52585">
        <w:rPr>
          <w:rFonts w:hint="cs"/>
          <w:rtl/>
        </w:rPr>
        <w:t>،</w:t>
      </w:r>
      <w:r w:rsidR="00777DCB" w:rsidRPr="00A52585">
        <w:rPr>
          <w:rFonts w:hint="cs"/>
          <w:rtl/>
        </w:rPr>
        <w:t xml:space="preserve"> وقد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ورسلاً قد قصصناهم عليك من قبل ورسلاً لم نقصصهم عليك</w:t>
      </w:r>
      <w:r w:rsidRPr="00A52585">
        <w:rPr>
          <w:rFonts w:hint="cs"/>
          <w:rtl/>
        </w:rPr>
        <w:t>}</w:t>
      </w:r>
      <w:r w:rsidR="00777DCB" w:rsidRPr="00A52585">
        <w:rPr>
          <w:rFonts w:hint="cs"/>
          <w:vertAlign w:val="superscript"/>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164</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يوم يجمع الله الرسل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109</w:t>
      </w:r>
      <w:r w:rsidRPr="00A52585">
        <w:rPr>
          <w:rFonts w:hint="cs"/>
          <w:rtl/>
        </w:rPr>
        <w:t>]</w:t>
      </w:r>
      <w:r w:rsidR="00DB731D" w:rsidRPr="00A52585">
        <w:rPr>
          <w:rFonts w:hint="cs"/>
          <w:rtl/>
        </w:rPr>
        <w:t>،</w:t>
      </w:r>
      <w:r w:rsidR="00777DCB" w:rsidRPr="00A52585">
        <w:rPr>
          <w:rFonts w:hint="cs"/>
          <w:rtl/>
        </w:rPr>
        <w:t xml:space="preserve"> وقال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وجيء بالنبيين والشهداء</w:t>
      </w:r>
      <w:r w:rsidRPr="00A52585">
        <w:rPr>
          <w:rFonts w:hint="cs"/>
          <w:rtl/>
        </w:rPr>
        <w:t>}</w:t>
      </w:r>
      <w:r w:rsidR="00777DCB" w:rsidRPr="00A52585">
        <w:rPr>
          <w:rFonts w:hint="cs"/>
          <w:rtl/>
        </w:rPr>
        <w:t xml:space="preserve"> </w:t>
      </w:r>
      <w:r w:rsidRPr="00A52585">
        <w:rPr>
          <w:rFonts w:hint="cs"/>
          <w:rtl/>
          <w:lang w:bidi="ar-KW"/>
        </w:rPr>
        <w:t>[</w:t>
      </w:r>
      <w:r w:rsidR="00777DCB" w:rsidRPr="00A52585">
        <w:rPr>
          <w:rFonts w:hint="cs"/>
          <w:rtl/>
          <w:lang w:bidi="ar-KW"/>
        </w:rPr>
        <w:t>الزمر</w:t>
      </w:r>
      <w:r w:rsidRPr="00A52585">
        <w:rPr>
          <w:rFonts w:hint="cs"/>
          <w:rtl/>
          <w:lang w:bidi="ar-KW"/>
        </w:rPr>
        <w:t>:</w:t>
      </w:r>
      <w:r w:rsidR="00777DCB" w:rsidRPr="00A52585">
        <w:rPr>
          <w:rFonts w:hint="cs"/>
          <w:rtl/>
          <w:lang w:bidi="ar-KW"/>
        </w:rPr>
        <w:t xml:space="preserve"> 69</w:t>
      </w:r>
      <w:r w:rsidRPr="00A52585">
        <w:rPr>
          <w:rFonts w:hint="cs"/>
          <w:rtl/>
          <w:lang w:bidi="ar-KW"/>
        </w:rPr>
        <w:t>]</w:t>
      </w:r>
      <w:r w:rsidR="00DB731D" w:rsidRPr="00A52585">
        <w:rPr>
          <w:rFonts w:hint="cs"/>
          <w:rtl/>
          <w:lang w:bidi="ar-KW"/>
        </w:rPr>
        <w:t>،</w:t>
      </w:r>
      <w:r w:rsidR="00777DCB" w:rsidRPr="00A52585">
        <w:rPr>
          <w:rFonts w:hint="cs"/>
          <w:rtl/>
          <w:lang w:bidi="ar-KW"/>
        </w:rPr>
        <w:t xml:space="preserve"> ف</w:t>
      </w:r>
      <w:r w:rsidR="00777DCB" w:rsidRPr="00A52585">
        <w:rPr>
          <w:rFonts w:hint="cs"/>
          <w:rtl/>
        </w:rPr>
        <w:t>سماهم الله عز وجل بعد موتهم في القيامة رسلاً ونبيين والأصل الحقيقة. وكذلك أجمع المسلمون وجاء به النص أن كل مُصَلِّ فرضاً أو نفلاً يقول في تشهده السلام عليك أيها النبي ورحمة الله وبركاته</w:t>
      </w:r>
      <w:r w:rsidR="00DB731D" w:rsidRPr="00A52585">
        <w:rPr>
          <w:rFonts w:hint="cs"/>
          <w:rtl/>
        </w:rPr>
        <w:t>،</w:t>
      </w:r>
      <w:r w:rsidR="00777DCB" w:rsidRPr="00A52585">
        <w:rPr>
          <w:rFonts w:hint="cs"/>
          <w:rtl/>
        </w:rPr>
        <w:t xml:space="preserve"> ولو كان بعد موته في حكم العدم لما صحت هذه المخاطبة هذا معنى كلام ابن حزم</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إن ابن حزم أورد على نفسه إيرادات وأجاب عنها. قلت - أي </w:t>
      </w:r>
      <w:proofErr w:type="spellStart"/>
      <w:r w:rsidR="00777DCB" w:rsidRPr="00A52585">
        <w:rPr>
          <w:rFonts w:hint="cs"/>
          <w:rtl/>
        </w:rPr>
        <w:t>الحصني</w:t>
      </w:r>
      <w:proofErr w:type="spellEnd"/>
      <w:r w:rsidR="00777DCB" w:rsidRPr="00A52585">
        <w:rPr>
          <w:rFonts w:hint="cs"/>
          <w:rtl/>
        </w:rPr>
        <w:t xml:space="preserve"> -</w:t>
      </w:r>
      <w:r w:rsidRPr="00A52585">
        <w:rPr>
          <w:rFonts w:hint="cs"/>
          <w:rtl/>
        </w:rPr>
        <w:t>:</w:t>
      </w:r>
      <w:r w:rsidR="00777DCB" w:rsidRPr="00A52585">
        <w:rPr>
          <w:rFonts w:hint="cs"/>
          <w:rtl/>
        </w:rPr>
        <w:t xml:space="preserve"> وقد حذفتها أنا لأجل الإطالة ولا تسع عقول العوام</w:t>
      </w:r>
      <w:r w:rsidR="00DB731D" w:rsidRPr="00A52585">
        <w:rPr>
          <w:rFonts w:hint="cs"/>
          <w:rtl/>
        </w:rPr>
        <w:t>،</w:t>
      </w:r>
      <w:r w:rsidR="00777DCB" w:rsidRPr="00A52585">
        <w:rPr>
          <w:rFonts w:hint="cs"/>
          <w:rtl/>
        </w:rPr>
        <w:t xml:space="preserve"> وكثيرٍ ممن أشير إليه بالعلم أن يدركها ويدرك الجواب</w:t>
      </w:r>
      <w:r w:rsidR="00DB731D" w:rsidRPr="00A52585">
        <w:rPr>
          <w:rFonts w:hint="cs"/>
          <w:rtl/>
        </w:rPr>
        <w:t>،</w:t>
      </w:r>
      <w:r w:rsidR="00777DCB" w:rsidRPr="00A52585">
        <w:rPr>
          <w:rFonts w:hint="cs"/>
          <w:rtl/>
        </w:rPr>
        <w:t xml:space="preserve"> </w:t>
      </w:r>
      <w:r w:rsidR="00777DCB" w:rsidRPr="00A52585">
        <w:rPr>
          <w:rFonts w:hint="cs"/>
          <w:spacing w:val="-6"/>
          <w:rtl/>
        </w:rPr>
        <w:t xml:space="preserve">ثم قال - أي </w:t>
      </w:r>
      <w:proofErr w:type="spellStart"/>
      <w:r w:rsidR="00777DCB" w:rsidRPr="00A52585">
        <w:rPr>
          <w:rFonts w:hint="cs"/>
          <w:spacing w:val="-6"/>
          <w:rtl/>
        </w:rPr>
        <w:t>القونوي</w:t>
      </w:r>
      <w:proofErr w:type="spellEnd"/>
      <w:r w:rsidR="00777DCB" w:rsidRPr="00A52585">
        <w:rPr>
          <w:rFonts w:hint="cs"/>
          <w:spacing w:val="-6"/>
          <w:rtl/>
        </w:rPr>
        <w:t xml:space="preserve"> -</w:t>
      </w:r>
      <w:r w:rsidRPr="00A52585">
        <w:rPr>
          <w:rFonts w:hint="cs"/>
          <w:spacing w:val="-6"/>
          <w:rtl/>
        </w:rPr>
        <w:t>:</w:t>
      </w:r>
      <w:r w:rsidR="00777DCB" w:rsidRPr="00A52585">
        <w:rPr>
          <w:rFonts w:hint="cs"/>
          <w:spacing w:val="-6"/>
          <w:rtl/>
        </w:rPr>
        <w:t xml:space="preserve"> وإنما أطلت النفس في هذه المسألة وإن كانت في غاية الوضوح</w:t>
      </w:r>
      <w:r w:rsidR="00777DCB" w:rsidRPr="00A52585">
        <w:rPr>
          <w:rFonts w:hint="cs"/>
          <w:rtl/>
        </w:rPr>
        <w:t xml:space="preserve"> لقرب العهد بهذيان من أظهر الخلاف فيها وأفسد به عقائد خلق كثير من العوام فلذلك استطردت في هذا المقام بما يتعلق بهذه المسألة هذا المقدار اليسير من الكلام وللمقال فيها مجال واسع لكن إشباع </w:t>
      </w:r>
      <w:r w:rsidR="00777DCB" w:rsidRPr="00A52585">
        <w:rPr>
          <w:rFonts w:hint="cs"/>
          <w:rtl/>
        </w:rPr>
        <w:lastRenderedPageBreak/>
        <w:t>القول في ذلك خارج عما نحن بصدده في هذا الكتاب والله تعالى أعلم</w:t>
      </w:r>
      <w:r w:rsidR="00DB731D" w:rsidRPr="00A52585">
        <w:rPr>
          <w:rFonts w:hint="cs"/>
          <w:rtl/>
        </w:rPr>
        <w:t>،</w:t>
      </w:r>
      <w:r w:rsidR="00777DCB" w:rsidRPr="00A52585">
        <w:rPr>
          <w:rFonts w:hint="cs"/>
          <w:rtl/>
        </w:rPr>
        <w:t xml:space="preserve"> وهذا الكتاب الذي أشار إليه ومنه نقلت يقال له </w:t>
      </w:r>
      <w:r w:rsidRPr="00A52585">
        <w:rPr>
          <w:rFonts w:hint="cs"/>
          <w:rtl/>
        </w:rPr>
        <w:t>(</w:t>
      </w:r>
      <w:r w:rsidR="00777DCB" w:rsidRPr="00A52585">
        <w:rPr>
          <w:rFonts w:hint="cs"/>
          <w:rtl/>
        </w:rPr>
        <w:t xml:space="preserve">شرح التعرف لمذهب أهل التصوف)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انظر الورقات 142 حتى 145 من المخطوط وهو من محفوظات دار الكتب المصرية</w:t>
      </w:r>
      <w:r w:rsidRPr="00A52585">
        <w:rPr>
          <w:rFonts w:hint="cs"/>
          <w:sz w:val="24"/>
          <w:szCs w:val="24"/>
          <w:rtl/>
        </w:rPr>
        <w:t>]</w:t>
      </w:r>
      <w:r w:rsidR="00DB731D" w:rsidRPr="00A52585">
        <w:rPr>
          <w:rFonts w:hint="cs"/>
          <w:sz w:val="24"/>
          <w:szCs w:val="24"/>
          <w:rtl/>
        </w:rPr>
        <w:t>،</w:t>
      </w:r>
      <w:r w:rsidR="00777DCB" w:rsidRPr="00A52585">
        <w:rPr>
          <w:rFonts w:hint="cs"/>
          <w:rtl/>
        </w:rPr>
        <w:t xml:space="preserve"> واعلم أرشدنا الله تعالى وإياك أيها الموفق المنزه المعظم سيد الأولين والآخرين صلى الله عليه وسلم ولوزيريه الذين بهما تَمَّ الدين ولسائر الصحابة رضي الله عنهم والتابعين لهم بإحسان إلى يوم الدين. أن في هذا الذي ذكره هذه الأئمة كفاية لمن له أدنى فهم ودراية</w:t>
      </w:r>
      <w:r w:rsidR="00DB731D" w:rsidRPr="00A52585">
        <w:rPr>
          <w:rFonts w:hint="cs"/>
          <w:rtl/>
        </w:rPr>
        <w:t>،</w:t>
      </w:r>
      <w:r w:rsidR="00777DCB" w:rsidRPr="00A52585">
        <w:rPr>
          <w:rFonts w:hint="cs"/>
          <w:rtl/>
        </w:rPr>
        <w:t xml:space="preserve"> إلاَّ أني وعدت بذكر شيء وخلف الوعد صعب شديد. فأنا أذكر نبذة يسيرة وأرجو من الله عز وجل حصول البركة فيها. وقد ذكرت في كتاب (تنبيه السالك على مظان المهالك) جملة كثيرة تتعلق بذلك وبغيره</w:t>
      </w:r>
      <w:r w:rsidR="00DB731D" w:rsidRPr="00A52585">
        <w:rPr>
          <w:rFonts w:hint="cs"/>
          <w:rtl/>
        </w:rPr>
        <w:t>،</w:t>
      </w:r>
      <w:r w:rsidR="00777DCB" w:rsidRPr="00A52585">
        <w:rPr>
          <w:rFonts w:hint="cs"/>
          <w:rtl/>
        </w:rPr>
        <w:t xml:space="preserve"> وسقت فيها فتواه المطولة والجواب عما قاله</w:t>
      </w:r>
      <w:r w:rsidR="00DB731D" w:rsidRPr="00A52585">
        <w:rPr>
          <w:rFonts w:hint="cs"/>
          <w:rtl/>
        </w:rPr>
        <w:t>،</w:t>
      </w:r>
      <w:r w:rsidR="00777DCB" w:rsidRPr="00A52585">
        <w:rPr>
          <w:rFonts w:hint="cs"/>
          <w:rtl/>
        </w:rPr>
        <w:t xml:space="preserve"> ذكرته في فصل الحج والله أعلم</w:t>
      </w:r>
      <w:r w:rsidR="00DB731D" w:rsidRPr="00A52585">
        <w:rPr>
          <w:rFonts w:hint="cs"/>
          <w:rtl/>
        </w:rPr>
        <w:t>،</w:t>
      </w:r>
      <w:r w:rsidR="00777DCB" w:rsidRPr="00A52585">
        <w:rPr>
          <w:rFonts w:hint="cs"/>
          <w:rtl/>
        </w:rPr>
        <w:t xml:space="preserve"> ثُمَّ من الأمور المهمة معرفة الإنسان حاله في التوفيق والخذلان فمن الخذلان عدم إيمان الإنسان بالآيات والنذر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وما تغني الآيات والنذر عن قوم لا يؤمنون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يونس</w:t>
      </w:r>
      <w:r w:rsidRPr="00A52585">
        <w:rPr>
          <w:rFonts w:hint="cs"/>
          <w:rtl/>
        </w:rPr>
        <w:t>:</w:t>
      </w:r>
      <w:r w:rsidR="00777DCB" w:rsidRPr="00A52585">
        <w:rPr>
          <w:rFonts w:hint="cs"/>
          <w:rtl/>
        </w:rPr>
        <w:t xml:space="preserve"> 101</w:t>
      </w:r>
      <w:r w:rsidRPr="00A52585">
        <w:rPr>
          <w:rFonts w:hint="cs"/>
          <w:rtl/>
        </w:rPr>
        <w:t>]</w:t>
      </w:r>
      <w:r w:rsidR="00DB731D" w:rsidRPr="00A52585">
        <w:rPr>
          <w:rFonts w:hint="cs"/>
          <w:rtl/>
        </w:rPr>
        <w:t>،</w:t>
      </w:r>
      <w:r w:rsidR="00777DCB" w:rsidRPr="00A52585">
        <w:rPr>
          <w:rFonts w:hint="cs"/>
          <w:rtl/>
        </w:rPr>
        <w:t xml:space="preserve"> قيل المعنى لا تصل العقول الخالية عن التوفيق إلى سبيل النجاة وما يغنى ضياء العقل مع الخذلان إنما ينفع نور العقل مؤيداً بنور التوفيق</w:t>
      </w:r>
      <w:r w:rsidR="00DB731D" w:rsidRPr="00A52585">
        <w:rPr>
          <w:rFonts w:hint="cs"/>
          <w:rtl/>
        </w:rPr>
        <w:t>،</w:t>
      </w:r>
      <w:r w:rsidR="00777DCB" w:rsidRPr="00A52585">
        <w:rPr>
          <w:rFonts w:hint="cs"/>
          <w:rtl/>
        </w:rPr>
        <w:t xml:space="preserve"> وعناية الأزل وإلا فإنه متخبط بإدراكه بعقله فإذا وعيت ما قلته ووقفت على بعض ما أذكره من الأدلة ولم تجد قلبك مؤمناً بها فاعلم أنك من أهل الخذلان ومرقوم في حزب الشيطان وتابع لأهل البدع عصاة الرحمن</w:t>
      </w:r>
      <w:r w:rsidR="00DB731D" w:rsidRPr="00A52585">
        <w:rPr>
          <w:rFonts w:hint="cs"/>
          <w:rtl/>
        </w:rPr>
        <w:t>،</w:t>
      </w:r>
      <w:r w:rsidR="00777DCB" w:rsidRPr="00A52585">
        <w:rPr>
          <w:rFonts w:hint="cs"/>
          <w:rtl/>
        </w:rPr>
        <w:t xml:space="preserve"> قال كعب الأحبار</w:t>
      </w:r>
      <w:r w:rsidRPr="00A52585">
        <w:rPr>
          <w:rFonts w:hint="cs"/>
          <w:rtl/>
        </w:rPr>
        <w:t>:</w:t>
      </w:r>
      <w:r w:rsidR="00777DCB" w:rsidRPr="00A52585">
        <w:rPr>
          <w:rFonts w:hint="cs"/>
          <w:rtl/>
        </w:rPr>
        <w:t xml:space="preserve"> تجد الرجل يستكثر من أنواع البر ويحتاط في صنائع المعروف ويكابد سهر الليل وشدة ظمأ الهواجر وهو مع ذلك لا يساوي عند الله عز وجل جيفة حمار</w:t>
      </w:r>
      <w:r w:rsidR="00DB731D" w:rsidRPr="00A52585">
        <w:rPr>
          <w:rFonts w:hint="cs"/>
          <w:rtl/>
        </w:rPr>
        <w:t>،</w:t>
      </w:r>
      <w:r w:rsidR="00777DCB" w:rsidRPr="00A52585">
        <w:rPr>
          <w:rFonts w:hint="cs"/>
          <w:rtl/>
        </w:rPr>
        <w:t xml:space="preserve"> يشير إلى أهل البدع</w:t>
      </w:r>
      <w:r w:rsidR="00DB731D" w:rsidRPr="00A52585">
        <w:rPr>
          <w:rFonts w:hint="cs"/>
          <w:rtl/>
        </w:rPr>
        <w:t>،</w:t>
      </w:r>
      <w:r w:rsidR="00777DCB" w:rsidRPr="00A52585">
        <w:rPr>
          <w:rFonts w:hint="cs"/>
          <w:rtl/>
        </w:rPr>
        <w:t xml:space="preserve"> وأجمع أئمة الإسلام على أنه يجب التباعد عن أهل البدع والتبري منهم وأن لا يمكن سمعه من ذي هوى</w:t>
      </w:r>
      <w:r w:rsidR="00DB731D" w:rsidRPr="00A52585">
        <w:rPr>
          <w:rFonts w:hint="cs"/>
          <w:rtl/>
        </w:rPr>
        <w:t>،</w:t>
      </w:r>
      <w:r w:rsidR="00777DCB" w:rsidRPr="00A52585">
        <w:rPr>
          <w:rFonts w:hint="cs"/>
          <w:rtl/>
        </w:rPr>
        <w:t xml:space="preserve"> لما صالح عمر رضي الله عنه أهل بيت المقدس وقدم عليه كعب الأحبار وأسلم فرح به عمر رضي الله عنه وبإسلامه قال له عمر رضي الله عنه</w:t>
      </w:r>
      <w:r w:rsidRPr="00A52585">
        <w:rPr>
          <w:rFonts w:hint="cs"/>
          <w:rtl/>
        </w:rPr>
        <w:t>:</w:t>
      </w:r>
      <w:r w:rsidR="00777DCB" w:rsidRPr="00A52585">
        <w:rPr>
          <w:rFonts w:hint="cs"/>
          <w:rtl/>
        </w:rPr>
        <w:t xml:space="preserve"> هل لك أن تسير معي إلى المدينة وتزور قبر النبي صلى الله عليه وسلم وتتمتع بزيارته قال</w:t>
      </w:r>
      <w:r w:rsidRPr="00A52585">
        <w:rPr>
          <w:rFonts w:hint="cs"/>
          <w:rtl/>
        </w:rPr>
        <w:t>:</w:t>
      </w:r>
      <w:r w:rsidR="00777DCB" w:rsidRPr="00A52585">
        <w:rPr>
          <w:rFonts w:hint="cs"/>
          <w:rtl/>
        </w:rPr>
        <w:t xml:space="preserve"> نعم</w:t>
      </w:r>
      <w:r w:rsidR="00DB731D" w:rsidRPr="00A52585">
        <w:rPr>
          <w:rFonts w:hint="cs"/>
          <w:rtl/>
        </w:rPr>
        <w:t>،</w:t>
      </w:r>
      <w:r w:rsidR="00777DCB" w:rsidRPr="00A52585">
        <w:rPr>
          <w:rFonts w:hint="cs"/>
          <w:rtl/>
        </w:rPr>
        <w:t xml:space="preserve"> يا أمير المؤمنين أفعل ذلك</w:t>
      </w:r>
      <w:r w:rsidR="00DB731D" w:rsidRPr="00A52585">
        <w:rPr>
          <w:rFonts w:hint="cs"/>
          <w:rtl/>
        </w:rPr>
        <w:t>،</w:t>
      </w:r>
      <w:r w:rsidR="00777DCB" w:rsidRPr="00A52585">
        <w:rPr>
          <w:rFonts w:hint="cs"/>
          <w:rtl/>
        </w:rPr>
        <w:t xml:space="preserve"> فهذا صريح في الندب إلى زيارة قبره عليه الصلاة والسلام وشد الرحل وإعمال المطي إليه والكلام على هذا يأتي إن شاء الله تعالى</w:t>
      </w:r>
      <w:r w:rsidR="00DB731D" w:rsidRPr="00A52585">
        <w:rPr>
          <w:rFonts w:hint="cs"/>
          <w:rtl/>
        </w:rPr>
        <w:t>،</w:t>
      </w:r>
      <w:r w:rsidR="00777DCB" w:rsidRPr="00A52585">
        <w:rPr>
          <w:rFonts w:hint="cs"/>
          <w:rtl/>
        </w:rPr>
        <w:t xml:space="preserve"> </w:t>
      </w:r>
    </w:p>
    <w:p w14:paraId="6C45D91E" w14:textId="77777777" w:rsidR="00777DCB" w:rsidRPr="00A52585" w:rsidRDefault="00777DCB" w:rsidP="0002035C">
      <w:pPr>
        <w:spacing w:after="240"/>
        <w:jc w:val="center"/>
        <w:rPr>
          <w:b/>
          <w:rtl/>
        </w:rPr>
      </w:pPr>
      <w:r w:rsidRPr="00A52585">
        <w:rPr>
          <w:rFonts w:hint="cs"/>
          <w:rtl/>
        </w:rPr>
        <w:t>***</w:t>
      </w:r>
    </w:p>
    <w:p w14:paraId="4EA74BA2" w14:textId="1EBC65F9" w:rsidR="00777DCB" w:rsidRPr="00A52585" w:rsidRDefault="0002035C" w:rsidP="0002035C">
      <w:pPr>
        <w:spacing w:after="240"/>
        <w:rPr>
          <w:b/>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فتوى ابن تيمية في تكفير من استغاث برسول الله صلى الله عليه وسلم أو توسّل إلى الله به والرد عليها</w:t>
      </w:r>
      <w:r w:rsidRPr="00A52585">
        <w:rPr>
          <w:rFonts w:hint="cs"/>
          <w:bCs/>
          <w:rtl/>
        </w:rPr>
        <w:t>]:</w:t>
      </w:r>
      <w:r w:rsidR="00777DCB" w:rsidRPr="00A52585">
        <w:rPr>
          <w:rFonts w:hint="cs"/>
          <w:bCs/>
          <w:rtl/>
        </w:rPr>
        <w:t xml:space="preserve"> </w:t>
      </w:r>
      <w:r w:rsidR="00777DCB" w:rsidRPr="00A52585">
        <w:rPr>
          <w:rFonts w:hint="cs"/>
          <w:rtl/>
        </w:rPr>
        <w:t>والغرض</w:t>
      </w:r>
      <w:r w:rsidRPr="00A52585">
        <w:rPr>
          <w:rFonts w:hint="cs"/>
          <w:rtl/>
        </w:rPr>
        <w:t xml:space="preserve"> </w:t>
      </w:r>
      <w:r w:rsidR="00777DCB" w:rsidRPr="00A52585">
        <w:rPr>
          <w:rFonts w:hint="cs"/>
          <w:rtl/>
        </w:rPr>
        <w:t xml:space="preserve">الآن بيان زندقة من قال أن روحه عليه الصلاة والسلام فنيت وأن جسده صار </w:t>
      </w:r>
      <w:r w:rsidR="00777DCB" w:rsidRPr="00A52585">
        <w:rPr>
          <w:rFonts w:hint="cs"/>
          <w:rtl/>
        </w:rPr>
        <w:lastRenderedPageBreak/>
        <w:t>تراباً وبيان زيغ ابن تيمية وحزبه في جواب الفتوى الذي زعم أنه سئل عنها فقال في جوابه</w:t>
      </w:r>
      <w:r w:rsidRPr="00A52585">
        <w:rPr>
          <w:rFonts w:hint="cs"/>
          <w:rtl/>
        </w:rPr>
        <w:t>:</w:t>
      </w:r>
      <w:r w:rsidR="00777DCB" w:rsidRPr="00A52585">
        <w:rPr>
          <w:rFonts w:hint="cs"/>
          <w:rtl/>
        </w:rPr>
        <w:t xml:space="preserve"> الحمد لله رب العالمين من استغاث بميث أو غائب من البشر بحيث يدعوه في الشدائد والكربات ويطلب منه قضاء الحاجات فيقول</w:t>
      </w:r>
      <w:r w:rsidRPr="00A52585">
        <w:rPr>
          <w:rFonts w:hint="cs"/>
          <w:rtl/>
        </w:rPr>
        <w:t>:</w:t>
      </w:r>
      <w:r w:rsidR="00777DCB" w:rsidRPr="00A52585">
        <w:rPr>
          <w:rFonts w:hint="cs"/>
          <w:rtl/>
        </w:rPr>
        <w:t xml:space="preserve"> يا سيدي الشيخ فلان أنا في حسبك أو في جوارك أو يقول عند هجوم العدو عليه</w:t>
      </w:r>
      <w:r w:rsidRPr="00A52585">
        <w:rPr>
          <w:rFonts w:hint="cs"/>
          <w:rtl/>
        </w:rPr>
        <w:t>:</w:t>
      </w:r>
      <w:r w:rsidR="00777DCB" w:rsidRPr="00A52585">
        <w:rPr>
          <w:rFonts w:hint="cs"/>
          <w:rtl/>
        </w:rPr>
        <w:t xml:space="preserve"> يا سيدي فلان يستوحيه أو يستغيث به أو يقول نحو ذلك عند مرضه وفقره وغير ذلك من حاجاته فإنَّ هذا ظالم ضال مشرك</w:t>
      </w:r>
      <w:r w:rsidR="00DB731D" w:rsidRPr="00A52585">
        <w:rPr>
          <w:rFonts w:hint="cs"/>
          <w:rtl/>
        </w:rPr>
        <w:t>،</w:t>
      </w:r>
      <w:r w:rsidR="00777DCB" w:rsidRPr="00A52585">
        <w:rPr>
          <w:rFonts w:hint="cs"/>
          <w:rtl/>
        </w:rPr>
        <w:t xml:space="preserve"> وفي بعض النسخ</w:t>
      </w:r>
      <w:r w:rsidRPr="00A52585">
        <w:rPr>
          <w:rFonts w:hint="cs"/>
          <w:rtl/>
        </w:rPr>
        <w:t>:</w:t>
      </w:r>
      <w:r w:rsidR="00777DCB" w:rsidRPr="00A52585">
        <w:rPr>
          <w:rFonts w:hint="cs"/>
          <w:rtl/>
        </w:rPr>
        <w:t xml:space="preserve"> كافر عاص لله تعالى باتفاق المسلمين</w:t>
      </w:r>
      <w:r w:rsidR="00DB731D" w:rsidRPr="00A52585">
        <w:rPr>
          <w:rFonts w:hint="cs"/>
          <w:rtl/>
        </w:rPr>
        <w:t>،</w:t>
      </w:r>
      <w:r w:rsidR="00777DCB" w:rsidRPr="00A52585">
        <w:rPr>
          <w:rFonts w:hint="cs"/>
          <w:rtl/>
        </w:rPr>
        <w:t xml:space="preserve"> فإنهم متفقون على أن الميت لا يسأل ولا يدعى ولا يطلب منه شيء سواء كان</w:t>
      </w:r>
      <w:r w:rsidRPr="00A52585">
        <w:rPr>
          <w:rFonts w:hint="cs"/>
          <w:rtl/>
        </w:rPr>
        <w:t xml:space="preserve"> </w:t>
      </w:r>
      <w:r w:rsidR="00777DCB" w:rsidRPr="00A52585">
        <w:rPr>
          <w:rFonts w:hint="cs"/>
          <w:rtl/>
        </w:rPr>
        <w:t>شيخاً أو نبياً أو غير ذلك</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متى وأين اتفق المسلمون على ما يدعيه هذا الرجل</w:t>
      </w:r>
      <w:r w:rsidR="00F95886" w:rsidRPr="00A52585">
        <w:rPr>
          <w:rFonts w:hint="cs"/>
          <w:sz w:val="24"/>
          <w:szCs w:val="24"/>
          <w:rtl/>
        </w:rPr>
        <w:t>؟</w:t>
      </w:r>
      <w:r w:rsidR="00777DCB" w:rsidRPr="00A52585">
        <w:rPr>
          <w:rFonts w:hint="cs"/>
          <w:sz w:val="24"/>
          <w:szCs w:val="24"/>
          <w:rtl/>
        </w:rPr>
        <w:t xml:space="preserve"> والأحاديث والآثار التي سيذكرها المصنف رضي الله عنه تدحض هذه الدعوى، ثم لماذا التفرقة بين الحي والميت من البشر إذا كان الفاعل الحقيقي هو الله سبحانه في الحالتين وما يفعله المسئول- النبي أو الولي حيا كان أو ميتا- هو مجرد التسبب إما بفعله الذي يجريه الله على يديه أو بدعائه الذي يقبله الله سبحانه ويجيبه إلى طلبه وكل مسلم مُقِرُّ بذلك من واقع شهادته أن لا إله إلا الله</w:t>
      </w:r>
      <w:r w:rsidR="00DB731D" w:rsidRPr="00A52585">
        <w:rPr>
          <w:rFonts w:hint="cs"/>
          <w:sz w:val="24"/>
          <w:szCs w:val="24"/>
          <w:rtl/>
        </w:rPr>
        <w:t>،</w:t>
      </w:r>
      <w:r w:rsidR="00777DCB" w:rsidRPr="00A52585">
        <w:rPr>
          <w:rFonts w:hint="cs"/>
          <w:sz w:val="24"/>
          <w:szCs w:val="24"/>
          <w:rtl/>
        </w:rPr>
        <w:t xml:space="preserve"> يقول العلامة الشيخ يوسف </w:t>
      </w:r>
      <w:proofErr w:type="spellStart"/>
      <w:r w:rsidR="00777DCB" w:rsidRPr="00A52585">
        <w:rPr>
          <w:rFonts w:hint="cs"/>
          <w:sz w:val="24"/>
          <w:szCs w:val="24"/>
          <w:rtl/>
        </w:rPr>
        <w:t>الدجوي</w:t>
      </w:r>
      <w:proofErr w:type="spellEnd"/>
      <w:r w:rsidR="00777DCB" w:rsidRPr="00A52585">
        <w:rPr>
          <w:rFonts w:hint="cs"/>
          <w:sz w:val="24"/>
          <w:szCs w:val="24"/>
          <w:rtl/>
        </w:rPr>
        <w:t xml:space="preserve"> رحمه الله</w:t>
      </w:r>
      <w:r w:rsidRPr="00A52585">
        <w:rPr>
          <w:rFonts w:hint="cs"/>
          <w:sz w:val="24"/>
          <w:szCs w:val="24"/>
          <w:rtl/>
        </w:rPr>
        <w:t xml:space="preserve">: </w:t>
      </w:r>
      <w:r w:rsidR="00777DCB" w:rsidRPr="00A52585">
        <w:rPr>
          <w:rFonts w:hint="cs"/>
          <w:sz w:val="24"/>
          <w:szCs w:val="24"/>
          <w:rtl/>
        </w:rPr>
        <w:t>" إن الأرواح بعــد الموت باقية فاهمة مدركة، بل نقلنا عن إمامهم ابن القيم أن للروح بعد مفارقة الجسد أعمالا تعملها في هذا العالم لم يكن يمكنها أن تعملها حال اتصالها بالبدن</w:t>
      </w:r>
      <w:r w:rsidR="00DB731D" w:rsidRPr="00A52585">
        <w:rPr>
          <w:rFonts w:hint="cs"/>
          <w:sz w:val="24"/>
          <w:szCs w:val="24"/>
          <w:rtl/>
        </w:rPr>
        <w:t>،</w:t>
      </w:r>
      <w:r w:rsidR="00777DCB" w:rsidRPr="00A52585">
        <w:rPr>
          <w:rFonts w:hint="cs"/>
          <w:sz w:val="24"/>
          <w:szCs w:val="24"/>
          <w:rtl/>
        </w:rPr>
        <w:t xml:space="preserve"> إلى آخر ما نقلناه عنه وهو معقول جدًا فإن الأرواح لم تستمد قوتها من الأشباح حتى تذهب قواها وخصائصها بمفارقتها بل الأشباح هي التي تستمد حياتها </w:t>
      </w:r>
      <w:proofErr w:type="spellStart"/>
      <w:r w:rsidR="00777DCB" w:rsidRPr="00A52585">
        <w:rPr>
          <w:rFonts w:hint="cs"/>
          <w:sz w:val="24"/>
          <w:szCs w:val="24"/>
          <w:rtl/>
        </w:rPr>
        <w:t>وأفاعيلها</w:t>
      </w:r>
      <w:proofErr w:type="spellEnd"/>
      <w:r w:rsidR="00777DCB" w:rsidRPr="00A52585">
        <w:rPr>
          <w:rFonts w:hint="cs"/>
          <w:sz w:val="24"/>
          <w:szCs w:val="24"/>
          <w:rtl/>
        </w:rPr>
        <w:t xml:space="preserve"> من الأرواح، فما هذا الاشتباه الذي أدى إلى قلب الحقائق ومصادمة المعقول والمنقول</w:t>
      </w:r>
      <w:r w:rsidR="00F95886" w:rsidRPr="00A52585">
        <w:rPr>
          <w:rFonts w:hint="cs"/>
          <w:sz w:val="24"/>
          <w:szCs w:val="24"/>
          <w:rtl/>
        </w:rPr>
        <w:t>؟</w:t>
      </w:r>
      <w:r w:rsidR="00777DCB" w:rsidRPr="00A52585">
        <w:rPr>
          <w:rFonts w:hint="cs"/>
          <w:sz w:val="24"/>
          <w:szCs w:val="24"/>
          <w:rtl/>
        </w:rPr>
        <w:t xml:space="preserve"> على أن تخصيص الجواز بالحي دون الميت أقرب إلى إيقاع الناس في الشرك، فإنه يوهم أن للحي فعلا يستقل به دون الميت فأين هذا من قولنا</w:t>
      </w:r>
      <w:r w:rsidRPr="00A52585">
        <w:rPr>
          <w:rFonts w:hint="cs"/>
          <w:sz w:val="24"/>
          <w:szCs w:val="24"/>
          <w:rtl/>
        </w:rPr>
        <w:t>:</w:t>
      </w:r>
      <w:r w:rsidR="00777DCB" w:rsidRPr="00A52585">
        <w:rPr>
          <w:rFonts w:hint="cs"/>
          <w:sz w:val="24"/>
          <w:szCs w:val="24"/>
          <w:rtl/>
        </w:rPr>
        <w:t xml:space="preserve"> إن الفعل في الحقيقة لله لا للحي ولا للميت</w:t>
      </w:r>
      <w:r w:rsidR="00F95886" w:rsidRPr="00A52585">
        <w:rPr>
          <w:rFonts w:hint="cs"/>
          <w:sz w:val="24"/>
          <w:szCs w:val="24"/>
          <w:rtl/>
        </w:rPr>
        <w:t>؟</w:t>
      </w:r>
      <w:r w:rsidR="00777DCB" w:rsidRPr="00A52585">
        <w:rPr>
          <w:rFonts w:hint="cs"/>
          <w:sz w:val="24"/>
          <w:szCs w:val="24"/>
          <w:rtl/>
        </w:rPr>
        <w:t>! ومن أمعن النظر في كلامهم لم يفهم منه إلا مذهب المعتزلة في الأحياء ومذهب الذين يئسوا من أصحاب القبور في الأموات</w:t>
      </w:r>
      <w:r w:rsidR="00DB731D" w:rsidRPr="00A52585">
        <w:rPr>
          <w:rFonts w:hint="cs"/>
          <w:sz w:val="24"/>
          <w:szCs w:val="24"/>
          <w:rtl/>
        </w:rPr>
        <w:t>،</w:t>
      </w:r>
      <w:r w:rsidR="00777DCB" w:rsidRPr="00A52585">
        <w:rPr>
          <w:rFonts w:hint="cs"/>
          <w:sz w:val="24"/>
          <w:szCs w:val="24"/>
          <w:rtl/>
        </w:rPr>
        <w:t xml:space="preserve"> وعلى كل حال فالغفلة عن الفاعل الحقيقي، وتخيل أن الفاعل غيره أظهر في الأحياء منه في الأموات "</w:t>
      </w:r>
      <w:r w:rsidRPr="00A52585">
        <w:rPr>
          <w:rFonts w:hint="cs"/>
          <w:sz w:val="24"/>
          <w:szCs w:val="24"/>
          <w:rtl/>
        </w:rPr>
        <w:t xml:space="preserve"> </w:t>
      </w:r>
      <w:r w:rsidR="00777DCB" w:rsidRPr="00A52585">
        <w:rPr>
          <w:rFonts w:hint="cs"/>
          <w:sz w:val="24"/>
          <w:szCs w:val="24"/>
          <w:rtl/>
        </w:rPr>
        <w:t xml:space="preserve">أهـ المقصود منه انظر (مقالات وفتاوي الشيخ يوسف </w:t>
      </w:r>
      <w:proofErr w:type="spellStart"/>
      <w:r w:rsidR="00777DCB" w:rsidRPr="00A52585">
        <w:rPr>
          <w:rFonts w:hint="cs"/>
          <w:sz w:val="24"/>
          <w:szCs w:val="24"/>
          <w:rtl/>
        </w:rPr>
        <w:t>الدجوي</w:t>
      </w:r>
      <w:proofErr w:type="spellEnd"/>
      <w:r w:rsidR="00777DCB" w:rsidRPr="00A52585">
        <w:rPr>
          <w:rFonts w:hint="cs"/>
          <w:sz w:val="24"/>
          <w:szCs w:val="24"/>
          <w:rtl/>
        </w:rPr>
        <w:t>) 1/148-149 من مطبوعات مجمع البحوث الإسلامية ط سنة 1401هـ- 1981م</w:t>
      </w:r>
      <w:r w:rsidR="00DB731D" w:rsidRPr="00A52585">
        <w:rPr>
          <w:rFonts w:hint="cs"/>
          <w:sz w:val="24"/>
          <w:szCs w:val="24"/>
          <w:rtl/>
        </w:rPr>
        <w:t>،</w:t>
      </w:r>
      <w:r w:rsidR="00777DCB" w:rsidRPr="00A52585">
        <w:rPr>
          <w:rFonts w:hint="cs"/>
          <w:sz w:val="24"/>
          <w:szCs w:val="24"/>
          <w:rtl/>
        </w:rPr>
        <w:t xml:space="preserve"> فإذا كان المؤمن يوقن أن الفاعل على الحقيقة هو الله سبحانه وحده وأن الطلب الحقيقي منه فقط وأن الأنبياء والصالحين أسباب كجملة الأسباب التي يخلق الله عندها الفعل فربط القلب بمحبتهم والتعلق بهم هو تقرب إلى الله بمحبة من أحبه الله وتعظيم من عظمه الله</w:t>
      </w:r>
      <w:r w:rsidR="00DB731D" w:rsidRPr="00A52585">
        <w:rPr>
          <w:rFonts w:hint="cs"/>
          <w:sz w:val="24"/>
          <w:szCs w:val="24"/>
          <w:rtl/>
        </w:rPr>
        <w:t>،</w:t>
      </w:r>
      <w:r w:rsidR="00777DCB" w:rsidRPr="00A52585">
        <w:rPr>
          <w:rFonts w:hint="cs"/>
          <w:sz w:val="24"/>
          <w:szCs w:val="24"/>
          <w:rtl/>
        </w:rPr>
        <w:t xml:space="preserve"> ألا ترى أن رسول الله صلى الله عليه وسلم في الحديث الصحيح لما سُئِل</w:t>
      </w:r>
      <w:r w:rsidRPr="00A52585">
        <w:rPr>
          <w:rFonts w:hint="cs"/>
          <w:sz w:val="24"/>
          <w:szCs w:val="24"/>
          <w:rtl/>
        </w:rPr>
        <w:t>:</w:t>
      </w:r>
      <w:r w:rsidR="00777DCB" w:rsidRPr="00A52585">
        <w:rPr>
          <w:rFonts w:hint="cs"/>
          <w:sz w:val="24"/>
          <w:szCs w:val="24"/>
          <w:rtl/>
        </w:rPr>
        <w:t xml:space="preserve"> من الأولياء</w:t>
      </w:r>
      <w:r w:rsidR="00F95886" w:rsidRPr="00A52585">
        <w:rPr>
          <w:rFonts w:hint="cs"/>
          <w:sz w:val="24"/>
          <w:szCs w:val="24"/>
          <w:rtl/>
        </w:rPr>
        <w:t>؟</w:t>
      </w:r>
      <w:r w:rsidR="00777DCB" w:rsidRPr="00A52585">
        <w:rPr>
          <w:rFonts w:hint="cs"/>
          <w:sz w:val="24"/>
          <w:szCs w:val="24"/>
          <w:rtl/>
        </w:rPr>
        <w:t xml:space="preserve"> أجاب</w:t>
      </w:r>
      <w:r w:rsidRPr="00A52585">
        <w:rPr>
          <w:rFonts w:hint="cs"/>
          <w:sz w:val="24"/>
          <w:szCs w:val="24"/>
          <w:rtl/>
        </w:rPr>
        <w:t xml:space="preserve">: </w:t>
      </w:r>
      <w:r w:rsidR="00777DCB" w:rsidRPr="00A52585">
        <w:rPr>
          <w:rFonts w:hint="cs"/>
          <w:sz w:val="24"/>
          <w:szCs w:val="24"/>
          <w:rtl/>
        </w:rPr>
        <w:t xml:space="preserve">" الذين إذا </w:t>
      </w:r>
      <w:proofErr w:type="spellStart"/>
      <w:r w:rsidR="00777DCB" w:rsidRPr="00A52585">
        <w:rPr>
          <w:rFonts w:hint="cs"/>
          <w:sz w:val="24"/>
          <w:szCs w:val="24"/>
          <w:rtl/>
        </w:rPr>
        <w:t>رؤوا</w:t>
      </w:r>
      <w:proofErr w:type="spellEnd"/>
      <w:r w:rsidR="00777DCB" w:rsidRPr="00A52585">
        <w:rPr>
          <w:rFonts w:hint="cs"/>
          <w:sz w:val="24"/>
          <w:szCs w:val="24"/>
          <w:rtl/>
        </w:rPr>
        <w:t xml:space="preserve"> ذكر الله "</w:t>
      </w:r>
      <w:r w:rsidRPr="00A52585">
        <w:rPr>
          <w:rFonts w:hint="cs"/>
          <w:sz w:val="24"/>
          <w:szCs w:val="24"/>
          <w:rtl/>
        </w:rPr>
        <w:t xml:space="preserve"> </w:t>
      </w:r>
      <w:r w:rsidR="00777DCB" w:rsidRPr="00A52585">
        <w:rPr>
          <w:rFonts w:hint="cs"/>
          <w:sz w:val="24"/>
          <w:szCs w:val="24"/>
          <w:rtl/>
        </w:rPr>
        <w:t>رواه النسائي- في الكبرى- وغيره وأثبت ذلك علماء النفس المعاصرون بالأدلة الحسية الملموسة بما لا يدع مجالا للشك أو الارتياب- نظرية رد الفعل الشرطي- فالرابطة هي</w:t>
      </w:r>
      <w:r w:rsidRPr="00A52585">
        <w:rPr>
          <w:rFonts w:hint="cs"/>
          <w:sz w:val="24"/>
          <w:szCs w:val="24"/>
          <w:rtl/>
        </w:rPr>
        <w:t>:</w:t>
      </w:r>
      <w:r w:rsidR="00777DCB" w:rsidRPr="00A52585">
        <w:rPr>
          <w:rFonts w:hint="cs"/>
          <w:sz w:val="24"/>
          <w:szCs w:val="24"/>
          <w:rtl/>
        </w:rPr>
        <w:t xml:space="preserve"> تعلق قلب المؤمن بقلب شيخه أو الولي أو النبي على وجه المحبة واستحضار صورته كأنه بين يديه</w:t>
      </w:r>
      <w:r w:rsidR="00DB731D" w:rsidRPr="00A52585">
        <w:rPr>
          <w:rFonts w:hint="cs"/>
          <w:sz w:val="24"/>
          <w:szCs w:val="24"/>
          <w:rtl/>
        </w:rPr>
        <w:t>،</w:t>
      </w:r>
      <w:r w:rsidR="00777DCB" w:rsidRPr="00A52585">
        <w:rPr>
          <w:rFonts w:hint="cs"/>
          <w:sz w:val="24"/>
          <w:szCs w:val="24"/>
          <w:rtl/>
        </w:rPr>
        <w:t xml:space="preserve"> وهي مؤدية إلى طرد الوساوس والخواطر عن القلب</w:t>
      </w:r>
      <w:r w:rsidR="00DB731D" w:rsidRPr="00A52585">
        <w:rPr>
          <w:rFonts w:hint="cs"/>
          <w:sz w:val="24"/>
          <w:szCs w:val="24"/>
          <w:rtl/>
        </w:rPr>
        <w:t>،</w:t>
      </w:r>
      <w:r w:rsidR="00777DCB" w:rsidRPr="00A52585">
        <w:rPr>
          <w:rFonts w:hint="cs"/>
          <w:sz w:val="24"/>
          <w:szCs w:val="24"/>
          <w:rtl/>
        </w:rPr>
        <w:t xml:space="preserve"> مما يجعله طبقا للتوجيه النبوي الكريم في الحديث السابق محلا لتنزل رحمة الله وصدق التوجه إليه سبحانه عقبها مباشرة وها هم المسلمون قد أجمعوا في الصلاة على قولهم في التشهد (السلام عليك أيها النبي ورحمة الله وبركاته)، كما روى الطبري أن المسلمين في معركة اليمامة كان شعارهم (</w:t>
      </w:r>
      <w:proofErr w:type="spellStart"/>
      <w:r w:rsidR="00777DCB" w:rsidRPr="00A52585">
        <w:rPr>
          <w:rFonts w:hint="cs"/>
          <w:sz w:val="24"/>
          <w:szCs w:val="24"/>
          <w:rtl/>
        </w:rPr>
        <w:t>وامحمداه</w:t>
      </w:r>
      <w:proofErr w:type="spellEnd"/>
      <w:r w:rsidR="00777DCB" w:rsidRPr="00A52585">
        <w:rPr>
          <w:rFonts w:hint="cs"/>
          <w:sz w:val="24"/>
          <w:szCs w:val="24"/>
          <w:rtl/>
        </w:rPr>
        <w:t>)، وكذا فعلت السيدة زينب بعد معركة كربلاء واستشهاد الحسين وغيره من آل بيت النبوة عليهم السلام</w:t>
      </w:r>
      <w:r w:rsidR="00DB731D" w:rsidRPr="00A52585">
        <w:rPr>
          <w:rFonts w:hint="cs"/>
          <w:sz w:val="24"/>
          <w:szCs w:val="24"/>
          <w:rtl/>
        </w:rPr>
        <w:t>،</w:t>
      </w:r>
      <w:r w:rsidR="00777DCB" w:rsidRPr="00A52585">
        <w:rPr>
          <w:rFonts w:hint="cs"/>
          <w:sz w:val="24"/>
          <w:szCs w:val="24"/>
          <w:rtl/>
        </w:rPr>
        <w:t xml:space="preserve"> فأين الشرك في هذا</w:t>
      </w:r>
      <w:r w:rsidR="00F95886" w:rsidRPr="00A52585">
        <w:rPr>
          <w:rFonts w:hint="cs"/>
          <w:sz w:val="24"/>
          <w:szCs w:val="24"/>
          <w:rtl/>
        </w:rPr>
        <w:t>؟</w:t>
      </w:r>
      <w:r w:rsidR="00777DCB" w:rsidRPr="00A52585">
        <w:rPr>
          <w:rFonts w:hint="cs"/>
          <w:sz w:val="24"/>
          <w:szCs w:val="24"/>
          <w:rtl/>
        </w:rPr>
        <w:t xml:space="preserve"> وهل يقـــول بذلك إلا من اعتقــد أن تخيل الذات </w:t>
      </w:r>
      <w:r w:rsidR="00777DCB" w:rsidRPr="00A52585">
        <w:rPr>
          <w:rFonts w:hint="cs"/>
          <w:sz w:val="24"/>
          <w:szCs w:val="24"/>
          <w:rtl/>
        </w:rPr>
        <w:lastRenderedPageBreak/>
        <w:t>الإلهية المقـــدسة وتصـورها أمر ممكن أو واجب- بعد حمل آيات المتشابه على ظاهرها- كما نص على ذلك الإمام الدوسري في (الرحمة الهابطة) وعليه فالقائل بذلك يرغب أن تكون الرابطة المشروحة آنفا هي بين العبد وربِّه كما صرح به أحد أتباع ابن تيمية مع أن الرابطة مدخل مؤدي إلى التوجه إلى الله وليست بديلا عن هذا التوجه بأي حال! (انظر نور الهداية والعرفان)</w:t>
      </w:r>
      <w:r w:rsidR="00DB731D" w:rsidRPr="00A52585">
        <w:rPr>
          <w:rFonts w:hint="cs"/>
          <w:sz w:val="24"/>
          <w:szCs w:val="24"/>
          <w:rtl/>
        </w:rPr>
        <w:t>،</w:t>
      </w:r>
      <w:r w:rsidR="00777DCB" w:rsidRPr="00A52585">
        <w:rPr>
          <w:rFonts w:hint="cs"/>
          <w:sz w:val="24"/>
          <w:szCs w:val="24"/>
          <w:rtl/>
        </w:rPr>
        <w:t xml:space="preserve"> وما قاله ابن تيميه وأتباعه مبني على جهل أو تجاهل لأحكام عالم الأرواح وخصائصها سواء من ناحية الإدراك والمعرفة أو من ناحية الانجذاب والائتلاف وكذا التنافر والاختلاف</w:t>
      </w:r>
      <w:r w:rsidR="00DB731D" w:rsidRPr="00A52585">
        <w:rPr>
          <w:rFonts w:hint="cs"/>
          <w:sz w:val="24"/>
          <w:szCs w:val="24"/>
          <w:rtl/>
        </w:rPr>
        <w:t>،</w:t>
      </w:r>
      <w:r w:rsidR="00777DCB" w:rsidRPr="00A52585">
        <w:rPr>
          <w:rFonts w:hint="cs"/>
          <w:sz w:val="24"/>
          <w:szCs w:val="24"/>
          <w:rtl/>
        </w:rPr>
        <w:t xml:space="preserve"> وقد أخبرنا سيد الخلق صلى الله عليه وسلم أن أرواح قتلى بدر من المشركين تدرك وتسمع ما يقوله فما بالكم بأرواح الشهداء- فضلا عن الأنبياء والأولياء- التي خصها الله بوصف الحياة</w:t>
      </w:r>
      <w:r w:rsidR="00F95886" w:rsidRPr="00A52585">
        <w:rPr>
          <w:rFonts w:hint="cs"/>
          <w:sz w:val="24"/>
          <w:szCs w:val="24"/>
          <w:rtl/>
        </w:rPr>
        <w:t>؟</w:t>
      </w:r>
      <w:r w:rsidR="00777DCB" w:rsidRPr="00A52585">
        <w:rPr>
          <w:rFonts w:hint="cs"/>
          <w:sz w:val="24"/>
          <w:szCs w:val="24"/>
          <w:rtl/>
        </w:rPr>
        <w:t>! كما أخبرنا أن</w:t>
      </w:r>
      <w:r w:rsidRPr="00A52585">
        <w:rPr>
          <w:rFonts w:hint="cs"/>
          <w:sz w:val="24"/>
          <w:szCs w:val="24"/>
          <w:rtl/>
        </w:rPr>
        <w:t xml:space="preserve"> </w:t>
      </w:r>
      <w:r w:rsidR="00777DCB" w:rsidRPr="00A52585">
        <w:rPr>
          <w:rFonts w:hint="cs"/>
          <w:sz w:val="24"/>
          <w:szCs w:val="24"/>
          <w:rtl/>
        </w:rPr>
        <w:t>" الأرواح جنود مجندة ما تعارف منها ائتلف وما تنافر منها اختلف "</w:t>
      </w:r>
      <w:r w:rsidRPr="00A52585">
        <w:rPr>
          <w:rFonts w:hint="cs"/>
          <w:sz w:val="24"/>
          <w:szCs w:val="24"/>
          <w:rtl/>
        </w:rPr>
        <w:t xml:space="preserve"> </w:t>
      </w:r>
      <w:r w:rsidR="00777DCB" w:rsidRPr="00A52585">
        <w:rPr>
          <w:rFonts w:hint="cs"/>
          <w:sz w:val="24"/>
          <w:szCs w:val="24"/>
          <w:rtl/>
        </w:rPr>
        <w:t>وكذا</w:t>
      </w:r>
      <w:r w:rsidRPr="00A52585">
        <w:rPr>
          <w:rFonts w:hint="cs"/>
          <w:sz w:val="24"/>
          <w:szCs w:val="24"/>
          <w:rtl/>
        </w:rPr>
        <w:t xml:space="preserve"> </w:t>
      </w:r>
      <w:r w:rsidR="00777DCB" w:rsidRPr="00A52585">
        <w:rPr>
          <w:rFonts w:hint="cs"/>
          <w:sz w:val="24"/>
          <w:szCs w:val="24"/>
          <w:rtl/>
        </w:rPr>
        <w:t>"إن أرواح المؤمنين لتلتقي على مسيرة يوم وما رأى أحدهم صاحبه "</w:t>
      </w:r>
      <w:r w:rsidRPr="00A52585">
        <w:rPr>
          <w:rFonts w:hint="cs"/>
          <w:sz w:val="24"/>
          <w:szCs w:val="24"/>
          <w:rtl/>
        </w:rPr>
        <w:t xml:space="preserve"> </w:t>
      </w:r>
      <w:r w:rsidR="00777DCB" w:rsidRPr="00A52585">
        <w:rPr>
          <w:rFonts w:hint="cs"/>
          <w:sz w:val="24"/>
          <w:szCs w:val="24"/>
          <w:rtl/>
        </w:rPr>
        <w:t>يقول العلامة الشيخ محمد أسعد صاحب زادة عقب هذا الحديث</w:t>
      </w:r>
      <w:r w:rsidRPr="00A52585">
        <w:rPr>
          <w:rFonts w:hint="cs"/>
          <w:sz w:val="24"/>
          <w:szCs w:val="24"/>
          <w:rtl/>
        </w:rPr>
        <w:t xml:space="preserve">: </w:t>
      </w:r>
      <w:r w:rsidR="00777DCB" w:rsidRPr="00A52585">
        <w:rPr>
          <w:rFonts w:hint="cs"/>
          <w:sz w:val="24"/>
          <w:szCs w:val="24"/>
          <w:rtl/>
        </w:rPr>
        <w:t xml:space="preserve">" وهل ذلك غير المحبة القلبية والمعية الروحانية المعبر عنها بالرابطة التي هي مشتركة بين الأنبياء والأولياء أمواتا كانوا أو أحياء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انظر (نور الهداية والعرفان) ص 30</w:t>
      </w:r>
      <w:r w:rsidR="00DB731D" w:rsidRPr="00A52585">
        <w:rPr>
          <w:rFonts w:hint="cs"/>
          <w:sz w:val="24"/>
          <w:szCs w:val="24"/>
          <w:rtl/>
        </w:rPr>
        <w:t>،</w:t>
      </w:r>
      <w:r w:rsidR="00777DCB" w:rsidRPr="00A52585">
        <w:rPr>
          <w:rFonts w:hint="cs"/>
          <w:sz w:val="24"/>
          <w:szCs w:val="24"/>
          <w:rtl/>
        </w:rPr>
        <w:t xml:space="preserve"> وقد أثبت العلم الحديث هذه الظواهر ومنها ما أسماه العلماء ظاهرة (</w:t>
      </w:r>
      <w:proofErr w:type="spellStart"/>
      <w:r w:rsidR="00777DCB" w:rsidRPr="00A52585">
        <w:rPr>
          <w:rFonts w:hint="cs"/>
          <w:sz w:val="24"/>
          <w:szCs w:val="24"/>
          <w:rtl/>
        </w:rPr>
        <w:t>التلباثي</w:t>
      </w:r>
      <w:proofErr w:type="spellEnd"/>
      <w:r w:rsidR="00777DCB" w:rsidRPr="00A52585">
        <w:rPr>
          <w:rFonts w:hint="cs"/>
          <w:sz w:val="24"/>
          <w:szCs w:val="24"/>
          <w:rtl/>
        </w:rPr>
        <w:t>) أي التخاطر عن بعد بل إنهم أثبتوها بالتجارب المادية حتى على الحيوانات</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يقول الإمام المفسر شهاب الدين الألوسي في كتابه (الفيض الوارد على روض مرثية مولانا خالد)</w:t>
      </w:r>
      <w:r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وأما خاطر الشيخ فهو إمداد صاحب الشيخ يصل إلى قلب المريد الطالب مشتملا على كشف معضل وحل مشكل في وقت استكشاف المريد باستمداد من ضمير الشيخ، وذلك داخل تحت الخاطر الحقاني لأن قلب الشيخ بمثابة باب مفتوح إلى عالم الغيب وكل لحظة يصل إمداد فيض الحق سبحانه وتعالى على قلب المريد بواسطة الشيخ ثم قال بعد كلام</w:t>
      </w:r>
      <w:r w:rsidRPr="00A52585">
        <w:rPr>
          <w:rFonts w:hint="cs"/>
          <w:sz w:val="24"/>
          <w:szCs w:val="24"/>
          <w:rtl/>
        </w:rPr>
        <w:t xml:space="preserve">: </w:t>
      </w:r>
      <w:r w:rsidR="00777DCB" w:rsidRPr="00A52585">
        <w:rPr>
          <w:rFonts w:hint="cs"/>
          <w:sz w:val="24"/>
          <w:szCs w:val="24"/>
          <w:rtl/>
        </w:rPr>
        <w:t>" ولنفي الخواطر أسباب كثيرة منها إحضار صورة الشيخ على الوجه الذي سموه بالرابطة، قيل هذا من أعظم الأسباب</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أهـ ص 110، 111 ط المطبعة </w:t>
      </w:r>
      <w:proofErr w:type="spellStart"/>
      <w:r w:rsidR="00777DCB" w:rsidRPr="00A52585">
        <w:rPr>
          <w:rFonts w:hint="cs"/>
          <w:sz w:val="24"/>
          <w:szCs w:val="24"/>
          <w:rtl/>
        </w:rPr>
        <w:t>الكنستلية</w:t>
      </w:r>
      <w:proofErr w:type="spellEnd"/>
      <w:r w:rsidR="00777DCB" w:rsidRPr="00A52585">
        <w:rPr>
          <w:rFonts w:hint="cs"/>
          <w:sz w:val="24"/>
          <w:szCs w:val="24"/>
          <w:rtl/>
        </w:rPr>
        <w:t xml:space="preserve"> بمصر سنة 1278هـ</w:t>
      </w:r>
      <w:r w:rsidR="00DB731D" w:rsidRPr="00A52585">
        <w:rPr>
          <w:rFonts w:hint="cs"/>
          <w:sz w:val="24"/>
          <w:szCs w:val="24"/>
          <w:rtl/>
        </w:rPr>
        <w:t>،</w:t>
      </w:r>
      <w:r w:rsidR="00777DCB" w:rsidRPr="00A52585">
        <w:rPr>
          <w:rFonts w:hint="cs"/>
          <w:sz w:val="24"/>
          <w:szCs w:val="24"/>
          <w:rtl/>
        </w:rPr>
        <w:t xml:space="preserve"> قال صاحب (نور الهداية والعرفان)</w:t>
      </w:r>
      <w:r w:rsidRPr="00A52585">
        <w:rPr>
          <w:rFonts w:hint="cs"/>
          <w:sz w:val="24"/>
          <w:szCs w:val="24"/>
          <w:rtl/>
        </w:rPr>
        <w:t>:</w:t>
      </w:r>
      <w:r w:rsidR="00777DCB" w:rsidRPr="00A52585">
        <w:rPr>
          <w:rFonts w:hint="cs"/>
          <w:sz w:val="24"/>
          <w:szCs w:val="24"/>
          <w:rtl/>
        </w:rPr>
        <w:t xml:space="preserve"> وقال القطب الأعظم والغوث الأفخم سيدي إبراهيم الدسوقي قدس الله سره</w:t>
      </w:r>
      <w:r w:rsidRPr="00A52585">
        <w:rPr>
          <w:rFonts w:hint="cs"/>
          <w:sz w:val="24"/>
          <w:szCs w:val="24"/>
          <w:rtl/>
        </w:rPr>
        <w:t>:</w:t>
      </w:r>
      <w:r w:rsidR="00777DCB" w:rsidRPr="00A52585">
        <w:rPr>
          <w:rFonts w:hint="cs"/>
          <w:sz w:val="24"/>
          <w:szCs w:val="24"/>
          <w:rtl/>
        </w:rPr>
        <w:t xml:space="preserve"> (يا أولادي إن صح عهدكم معي فأنا قريب منكم فإن أخذتم عهدي وعملتم بوصيتي وسمعتم كلامي فلـــو كان أحدكم بالمشرق وأنا بالمغرب وورد عليكم من المشكلات شيء تستخيرون به ربكم، فوجهوا وجهكم إلى وأطبقوا أعين حسكم وافتحوا عين قلبكم فإنكم تروني جهارا وتستشيروني في جميع أموركم فمهما قلته لكم فاقبلوه </w:t>
      </w:r>
      <w:proofErr w:type="spellStart"/>
      <w:r w:rsidR="00777DCB" w:rsidRPr="00A52585">
        <w:rPr>
          <w:rFonts w:hint="cs"/>
          <w:sz w:val="24"/>
          <w:szCs w:val="24"/>
          <w:rtl/>
        </w:rPr>
        <w:t>وامتثلوه</w:t>
      </w:r>
      <w:proofErr w:type="spellEnd"/>
      <w:r w:rsidR="00777DCB" w:rsidRPr="00A52585">
        <w:rPr>
          <w:rFonts w:hint="cs"/>
          <w:sz w:val="24"/>
          <w:szCs w:val="24"/>
          <w:rtl/>
        </w:rPr>
        <w:t xml:space="preserve"> وليس هذا خاصًا بي، هو لكل شيخ صدقتم في محبته قد يعلم ذلك شيخكم وقد لا يعلمه، هكذا جرت سنة الله تعالى مع أوليائه) أهـ</w:t>
      </w:r>
      <w:r w:rsidR="00DB731D" w:rsidRPr="00A52585">
        <w:rPr>
          <w:rFonts w:hint="cs"/>
          <w:sz w:val="24"/>
          <w:szCs w:val="24"/>
          <w:rtl/>
        </w:rPr>
        <w:t>،</w:t>
      </w:r>
      <w:r w:rsidR="00777DCB" w:rsidRPr="00A52585">
        <w:rPr>
          <w:rFonts w:hint="cs"/>
          <w:sz w:val="24"/>
          <w:szCs w:val="24"/>
          <w:rtl/>
        </w:rPr>
        <w:t xml:space="preserve"> نقله الشيخ حسين الدوسري في (الرحمة الهابطة) وأقره الشعراني في الطبقات الكبرى "</w:t>
      </w:r>
      <w:r w:rsidRPr="00A52585">
        <w:rPr>
          <w:rFonts w:hint="cs"/>
          <w:sz w:val="24"/>
          <w:szCs w:val="24"/>
          <w:rtl/>
        </w:rPr>
        <w:t xml:space="preserve"> </w:t>
      </w:r>
      <w:r w:rsidR="00777DCB" w:rsidRPr="00A52585">
        <w:rPr>
          <w:rFonts w:hint="cs"/>
          <w:sz w:val="24"/>
          <w:szCs w:val="24"/>
          <w:rtl/>
        </w:rPr>
        <w:t>أهـ ص38</w:t>
      </w:r>
      <w:r w:rsidR="00DB731D" w:rsidRPr="00A52585">
        <w:rPr>
          <w:rFonts w:hint="cs"/>
          <w:sz w:val="24"/>
          <w:szCs w:val="24"/>
          <w:rtl/>
        </w:rPr>
        <w:t>،</w:t>
      </w:r>
      <w:r w:rsidR="00777DCB" w:rsidRPr="00A52585">
        <w:rPr>
          <w:rFonts w:hint="cs"/>
          <w:sz w:val="24"/>
          <w:szCs w:val="24"/>
          <w:rtl/>
        </w:rPr>
        <w:t xml:space="preserve"> ومن أراد التوسع فعليه بالآتي</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1- مقالة (محق التقول في مسألة التوسل)</w:t>
      </w:r>
      <w:r w:rsidR="00777DCB" w:rsidRPr="00A52585">
        <w:rPr>
          <w:rFonts w:hint="cs"/>
          <w:sz w:val="24"/>
          <w:szCs w:val="24"/>
          <w:rtl/>
        </w:rPr>
        <w:t xml:space="preserve"> للإمام الكوثري رضي الله عنه في كتاب (مقالات الكوثري)</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 xml:space="preserve">2- مقالات العلامة الشيخ يوسف </w:t>
      </w:r>
      <w:proofErr w:type="spellStart"/>
      <w:r w:rsidR="00777DCB" w:rsidRPr="00A52585">
        <w:rPr>
          <w:rFonts w:hint="cs"/>
          <w:spacing w:val="-6"/>
          <w:sz w:val="24"/>
          <w:szCs w:val="24"/>
          <w:rtl/>
        </w:rPr>
        <w:t>الدجوي</w:t>
      </w:r>
      <w:proofErr w:type="spellEnd"/>
      <w:r w:rsidR="00777DCB" w:rsidRPr="00A52585">
        <w:rPr>
          <w:rFonts w:hint="cs"/>
          <w:spacing w:val="-6"/>
          <w:sz w:val="24"/>
          <w:szCs w:val="24"/>
          <w:rtl/>
        </w:rPr>
        <w:t xml:space="preserve"> في كتاب مقالات وفتاوي الشيخ يوسف </w:t>
      </w:r>
      <w:proofErr w:type="spellStart"/>
      <w:r w:rsidR="00777DCB" w:rsidRPr="00A52585">
        <w:rPr>
          <w:rFonts w:hint="cs"/>
          <w:spacing w:val="-6"/>
          <w:sz w:val="24"/>
          <w:szCs w:val="24"/>
          <w:rtl/>
        </w:rPr>
        <w:t>الدجوي</w:t>
      </w:r>
      <w:proofErr w:type="spellEnd"/>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3- رسالتين في حكم التوسل بالأنبياء والأولياء لحضرة صاحب الفضيلة العلامة الشيخ محمد حسنين مخلوف وكيل الجامع الأزهر</w:t>
      </w:r>
      <w:r w:rsidR="00DB731D" w:rsidRPr="00A52585">
        <w:rPr>
          <w:rFonts w:hint="cs"/>
          <w:sz w:val="24"/>
          <w:szCs w:val="24"/>
          <w:rtl/>
        </w:rPr>
        <w:t>،</w:t>
      </w:r>
      <w:r w:rsidR="00777DCB" w:rsidRPr="00A52585">
        <w:rPr>
          <w:rFonts w:hint="cs"/>
          <w:sz w:val="24"/>
          <w:szCs w:val="24"/>
          <w:rtl/>
        </w:rPr>
        <w:t xml:space="preserve"> 4- المقالات الوفية في الرد على الوهابية للأستاذ حسن خزبك</w:t>
      </w:r>
      <w:r w:rsidR="00DB731D" w:rsidRPr="00A52585">
        <w:rPr>
          <w:rFonts w:hint="cs"/>
          <w:sz w:val="24"/>
          <w:szCs w:val="24"/>
          <w:rtl/>
        </w:rPr>
        <w:t>،</w:t>
      </w:r>
      <w:r w:rsidR="00777DCB" w:rsidRPr="00A52585">
        <w:rPr>
          <w:rFonts w:hint="cs"/>
          <w:sz w:val="24"/>
          <w:szCs w:val="24"/>
          <w:rtl/>
        </w:rPr>
        <w:t xml:space="preserve"> 5- كلمة وجيزة في تصرف الأولياء للعلامة الشيخ يوسف </w:t>
      </w:r>
      <w:proofErr w:type="spellStart"/>
      <w:r w:rsidR="00777DCB" w:rsidRPr="00A52585">
        <w:rPr>
          <w:rFonts w:hint="cs"/>
          <w:sz w:val="24"/>
          <w:szCs w:val="24"/>
          <w:rtl/>
        </w:rPr>
        <w:t>الدجوي</w:t>
      </w:r>
      <w:proofErr w:type="spellEnd"/>
      <w:r w:rsidR="00DB731D" w:rsidRPr="00A52585">
        <w:rPr>
          <w:rFonts w:hint="cs"/>
          <w:sz w:val="24"/>
          <w:szCs w:val="24"/>
          <w:rtl/>
        </w:rPr>
        <w:t>،</w:t>
      </w:r>
      <w:r w:rsidR="00777DCB" w:rsidRPr="00A52585">
        <w:rPr>
          <w:rFonts w:hint="cs"/>
          <w:sz w:val="24"/>
          <w:szCs w:val="24"/>
          <w:rtl/>
        </w:rPr>
        <w:t xml:space="preserve"> 6- الرد المحكم المتين على كتاب القول المبين للعلامة المحدث السيد عبد الله الغماري</w:t>
      </w:r>
      <w:r w:rsidR="00DB731D" w:rsidRPr="00A52585">
        <w:rPr>
          <w:rFonts w:hint="cs"/>
          <w:sz w:val="24"/>
          <w:szCs w:val="24"/>
          <w:rtl/>
        </w:rPr>
        <w:t>،</w:t>
      </w:r>
      <w:r w:rsidR="00777DCB" w:rsidRPr="00A52585">
        <w:rPr>
          <w:rFonts w:hint="cs"/>
          <w:sz w:val="24"/>
          <w:szCs w:val="24"/>
          <w:rtl/>
        </w:rPr>
        <w:t xml:space="preserve"> 7- إتحاف الأذكياء بجواز التوسل بالأنبياء والأولياء للعلامة المحدث السيد عبد الله الغماري</w:t>
      </w:r>
      <w:r w:rsidR="00DB731D" w:rsidRPr="00A52585">
        <w:rPr>
          <w:rFonts w:hint="cs"/>
          <w:sz w:val="24"/>
          <w:szCs w:val="24"/>
          <w:rtl/>
        </w:rPr>
        <w:t>،</w:t>
      </w:r>
      <w:r w:rsidR="00777DCB" w:rsidRPr="00A52585">
        <w:rPr>
          <w:rFonts w:hint="cs"/>
          <w:sz w:val="24"/>
          <w:szCs w:val="24"/>
          <w:rtl/>
        </w:rPr>
        <w:t xml:space="preserve"> 8- رفع المنارة بتخريج أحاديث التوسل والزيارة للشيخ محمود سعيد ممدوح</w:t>
      </w:r>
      <w:r w:rsidR="00DB731D" w:rsidRPr="00A52585">
        <w:rPr>
          <w:rFonts w:hint="cs"/>
          <w:sz w:val="24"/>
          <w:szCs w:val="24"/>
          <w:rtl/>
        </w:rPr>
        <w:t>،</w:t>
      </w:r>
      <w:r w:rsidR="00777DCB" w:rsidRPr="00A52585">
        <w:rPr>
          <w:rFonts w:hint="cs"/>
          <w:sz w:val="24"/>
          <w:szCs w:val="24"/>
          <w:rtl/>
        </w:rPr>
        <w:t xml:space="preserve"> 9- الإغاثة بأدلة الاستغاثة للسيد حسن السقاف وغير ذلك كثير</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 xml:space="preserve">ثم أكد ما قاله بقصة عمر والعباس رضي الله عنهما في الاستسقاء تبعاً لشيخه الجاري </w:t>
      </w:r>
      <w:r w:rsidR="00777DCB" w:rsidRPr="00A52585">
        <w:rPr>
          <w:rFonts w:hint="cs"/>
          <w:rtl/>
        </w:rPr>
        <w:lastRenderedPageBreak/>
        <w:t>خلف سلالة اليهود</w:t>
      </w:r>
      <w:r w:rsidR="00DB731D" w:rsidRPr="00A52585">
        <w:rPr>
          <w:rFonts w:hint="cs"/>
          <w:rtl/>
        </w:rPr>
        <w:t>،</w:t>
      </w:r>
      <w:r w:rsidR="00777DCB" w:rsidRPr="00A52585">
        <w:rPr>
          <w:rFonts w:hint="cs"/>
          <w:rtl/>
        </w:rPr>
        <w:t xml:space="preserve"> وأنت أرشدك الله تعالى وبصرك إذا تأملت ما قاله من هذا الجواب اقشعر جلدك وقضيت العجب مما فيه من الخبائث والفجور وادعاء اتفاق المسلمين وما فيه من الرمز إلى تكفير الأنبياء وتضليلهم وغيرهم</w:t>
      </w:r>
      <w:r w:rsidR="00DB731D" w:rsidRPr="00A52585">
        <w:rPr>
          <w:rFonts w:hint="cs"/>
          <w:rtl/>
        </w:rPr>
        <w:t>،</w:t>
      </w:r>
      <w:r w:rsidR="00777DCB" w:rsidRPr="00A52585">
        <w:rPr>
          <w:rFonts w:hint="cs"/>
          <w:rtl/>
        </w:rPr>
        <w:t xml:space="preserve"> والتلبيس على الأغبياء بقصة عمر رضي الله عنه</w:t>
      </w:r>
      <w:r w:rsidR="00DB731D" w:rsidRPr="00A52585">
        <w:rPr>
          <w:rFonts w:hint="cs"/>
          <w:rtl/>
        </w:rPr>
        <w:t>،</w:t>
      </w:r>
      <w:r w:rsidR="00777DCB" w:rsidRPr="00A52585">
        <w:rPr>
          <w:rFonts w:hint="cs"/>
          <w:rtl/>
        </w:rPr>
        <w:t xml:space="preserve"> </w:t>
      </w:r>
      <w:r w:rsidR="00777DCB" w:rsidRPr="00A52585">
        <w:rPr>
          <w:rFonts w:hint="cs"/>
          <w:bCs/>
          <w:rtl/>
        </w:rPr>
        <w:t>وليت شعري من أي الدلالات أن من توجه إلى قبر سيد الأولين والآخرين صلى الله عليه وسلم وتوسل به في</w:t>
      </w:r>
      <w:r w:rsidRPr="00A52585">
        <w:rPr>
          <w:rFonts w:hint="cs"/>
          <w:bCs/>
          <w:rtl/>
        </w:rPr>
        <w:t xml:space="preserve"> </w:t>
      </w:r>
      <w:r w:rsidR="00777DCB" w:rsidRPr="00A52585">
        <w:rPr>
          <w:rFonts w:hint="cs"/>
          <w:bCs/>
          <w:rtl/>
        </w:rPr>
        <w:t>حاجة الاستسقاء أو غيرها يصير بذلك ظالماً ضالاً مشركاً كافراً</w:t>
      </w:r>
      <w:r w:rsidR="00F95886" w:rsidRPr="00A52585">
        <w:rPr>
          <w:rFonts w:hint="cs"/>
          <w:bCs/>
          <w:rtl/>
        </w:rPr>
        <w:t>؟!</w:t>
      </w:r>
      <w:r w:rsidR="00777DCB" w:rsidRPr="00A52585">
        <w:rPr>
          <w:rFonts w:hint="cs"/>
          <w:rtl/>
        </w:rPr>
        <w:t>، هذا شيء تقشعر منه الأبدان</w:t>
      </w:r>
      <w:r w:rsidR="00DB731D" w:rsidRPr="00A52585">
        <w:rPr>
          <w:rFonts w:hint="cs"/>
          <w:rtl/>
        </w:rPr>
        <w:t>،</w:t>
      </w:r>
      <w:r w:rsidR="00777DCB" w:rsidRPr="00A52585">
        <w:rPr>
          <w:rFonts w:hint="cs"/>
          <w:rtl/>
        </w:rPr>
        <w:t xml:space="preserve"> ولم يسمع أحداً فاه بل ولا رمز إليه في زمن من الأزمان. ولا في بلد من البلدان قبل زنديق حران. قاتله الله عز وجل وقد فعل</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بل في كلام ابن تيمية السابق أن الميت لا يسأل ولا يدعي </w:t>
      </w:r>
      <w:r w:rsidR="00777DCB" w:rsidRPr="00A52585">
        <w:rPr>
          <w:sz w:val="24"/>
          <w:szCs w:val="24"/>
        </w:rPr>
        <w:t>–</w:t>
      </w:r>
      <w:r w:rsidR="00777DCB" w:rsidRPr="00A52585">
        <w:rPr>
          <w:rFonts w:hint="cs"/>
          <w:sz w:val="24"/>
          <w:szCs w:val="24"/>
          <w:rtl/>
        </w:rPr>
        <w:t xml:space="preserve"> أي</w:t>
      </w:r>
      <w:r w:rsidRPr="00A52585">
        <w:rPr>
          <w:rFonts w:hint="cs"/>
          <w:sz w:val="24"/>
          <w:szCs w:val="24"/>
          <w:rtl/>
        </w:rPr>
        <w:t>:</w:t>
      </w:r>
      <w:r w:rsidR="00777DCB" w:rsidRPr="00A52585">
        <w:rPr>
          <w:rFonts w:hint="cs"/>
          <w:sz w:val="24"/>
          <w:szCs w:val="24"/>
          <w:rtl/>
        </w:rPr>
        <w:t xml:space="preserve"> لا ينُادَى -</w:t>
      </w:r>
      <w:r w:rsidRPr="00A52585">
        <w:rPr>
          <w:rFonts w:hint="cs"/>
          <w:sz w:val="24"/>
          <w:szCs w:val="24"/>
          <w:rtl/>
        </w:rPr>
        <w:t xml:space="preserve"> </w:t>
      </w:r>
      <w:r w:rsidR="00777DCB" w:rsidRPr="00A52585">
        <w:rPr>
          <w:rFonts w:hint="cs"/>
          <w:sz w:val="24"/>
          <w:szCs w:val="24"/>
          <w:rtl/>
        </w:rPr>
        <w:t>سواء كان شيخا أو نبيا أو غيره</w:t>
      </w:r>
      <w:r w:rsidR="00DB731D" w:rsidRPr="00A52585">
        <w:rPr>
          <w:rFonts w:hint="cs"/>
          <w:sz w:val="24"/>
          <w:szCs w:val="24"/>
          <w:rtl/>
        </w:rPr>
        <w:t>،</w:t>
      </w:r>
      <w:r w:rsidR="00777DCB" w:rsidRPr="00A52585">
        <w:rPr>
          <w:rFonts w:hint="cs"/>
          <w:sz w:val="24"/>
          <w:szCs w:val="24"/>
          <w:rtl/>
        </w:rPr>
        <w:t xml:space="preserve"> نقول</w:t>
      </w:r>
      <w:r w:rsidRPr="00A52585">
        <w:rPr>
          <w:rFonts w:hint="cs"/>
          <w:sz w:val="24"/>
          <w:szCs w:val="24"/>
          <w:rtl/>
        </w:rPr>
        <w:t>:</w:t>
      </w:r>
      <w:r w:rsidR="00777DCB" w:rsidRPr="00A52585">
        <w:rPr>
          <w:rFonts w:hint="cs"/>
          <w:sz w:val="24"/>
          <w:szCs w:val="24"/>
          <w:rtl/>
        </w:rPr>
        <w:t xml:space="preserve"> أخرج أبو يعلى الموصلي في مسنده حديث رقم (6584) عن أبي هريرة</w:t>
      </w:r>
      <w:r w:rsidRPr="00A52585">
        <w:rPr>
          <w:rFonts w:hint="cs"/>
          <w:sz w:val="24"/>
          <w:szCs w:val="24"/>
          <w:rtl/>
        </w:rPr>
        <w:t xml:space="preserve"> </w:t>
      </w:r>
      <w:r w:rsidR="00777DCB" w:rsidRPr="00A52585">
        <w:rPr>
          <w:rFonts w:hint="cs"/>
          <w:sz w:val="24"/>
          <w:szCs w:val="24"/>
          <w:rtl/>
        </w:rPr>
        <w:t>رضي الله عنه قال</w:t>
      </w:r>
      <w:r w:rsidRPr="00A52585">
        <w:rPr>
          <w:rFonts w:hint="cs"/>
          <w:sz w:val="24"/>
          <w:szCs w:val="24"/>
          <w:rtl/>
        </w:rPr>
        <w:t>:</w:t>
      </w:r>
      <w:r w:rsidR="00777DCB" w:rsidRPr="00A52585">
        <w:rPr>
          <w:rFonts w:hint="cs"/>
          <w:sz w:val="24"/>
          <w:szCs w:val="24"/>
          <w:rtl/>
        </w:rPr>
        <w:t xml:space="preserve"> سمعت رسول الله صلى الله عليه وسلم يقول</w:t>
      </w:r>
      <w:r w:rsidRPr="00A52585">
        <w:rPr>
          <w:rFonts w:hint="cs"/>
          <w:sz w:val="24"/>
          <w:szCs w:val="24"/>
          <w:rtl/>
        </w:rPr>
        <w:t>:</w:t>
      </w:r>
      <w:r w:rsidR="00777DCB" w:rsidRPr="00A52585">
        <w:rPr>
          <w:rFonts w:hint="cs"/>
          <w:sz w:val="24"/>
          <w:szCs w:val="24"/>
          <w:rtl/>
        </w:rPr>
        <w:t xml:space="preserve"> والذي نفس أبي القاسم بيده لينزلن عيسى بن مريم إماما مقسطا، وحكماً عدلاً، فليكسرن الصليب وليقتلن الخنزير وليصلحن ذات البين وليذهبن الشحناء وليعرضن عليه المال فلا يقبله </w:t>
      </w:r>
      <w:r w:rsidR="00777DCB" w:rsidRPr="00A52585">
        <w:rPr>
          <w:rFonts w:hint="cs"/>
          <w:bCs/>
          <w:sz w:val="24"/>
          <w:szCs w:val="24"/>
          <w:rtl/>
        </w:rPr>
        <w:t>ثم لئن قام على قبري فقال</w:t>
      </w:r>
      <w:r w:rsidRPr="00A52585">
        <w:rPr>
          <w:rFonts w:hint="cs"/>
          <w:bCs/>
          <w:sz w:val="24"/>
          <w:szCs w:val="24"/>
          <w:rtl/>
        </w:rPr>
        <w:t>:</w:t>
      </w:r>
      <w:r w:rsidR="00777DCB" w:rsidRPr="00A52585">
        <w:rPr>
          <w:rFonts w:hint="cs"/>
          <w:bCs/>
          <w:sz w:val="24"/>
          <w:szCs w:val="24"/>
          <w:rtl/>
        </w:rPr>
        <w:t xml:space="preserve"> يا محمد لأجبته</w:t>
      </w:r>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ذكره </w:t>
      </w:r>
      <w:proofErr w:type="spellStart"/>
      <w:r w:rsidR="00777DCB" w:rsidRPr="00A52585">
        <w:rPr>
          <w:rFonts w:hint="cs"/>
          <w:sz w:val="24"/>
          <w:szCs w:val="24"/>
          <w:rtl/>
        </w:rPr>
        <w:t>اليهثمي</w:t>
      </w:r>
      <w:proofErr w:type="spellEnd"/>
      <w:r w:rsidR="00777DCB" w:rsidRPr="00A52585">
        <w:rPr>
          <w:rFonts w:hint="cs"/>
          <w:sz w:val="24"/>
          <w:szCs w:val="24"/>
          <w:rtl/>
        </w:rPr>
        <w:t xml:space="preserve"> في مجمع الزوائد (8/211) وقال</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رجاله رجال الصحيح "</w:t>
      </w:r>
      <w:r w:rsidR="00DB731D" w:rsidRPr="00A52585">
        <w:rPr>
          <w:rFonts w:hint="cs"/>
          <w:sz w:val="24"/>
          <w:szCs w:val="24"/>
          <w:rtl/>
        </w:rPr>
        <w:t>،</w:t>
      </w:r>
      <w:r w:rsidR="00777DCB" w:rsidRPr="00A52585">
        <w:rPr>
          <w:rFonts w:hint="cs"/>
          <w:sz w:val="24"/>
          <w:szCs w:val="24"/>
          <w:rtl/>
        </w:rPr>
        <w:t xml:space="preserve"> وأخرجه الحاكم في المستدرك ج2 ص 651ط العلمية حديث رقم (4162) وفيه</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bCs/>
          <w:sz w:val="24"/>
          <w:szCs w:val="24"/>
          <w:rtl/>
        </w:rPr>
        <w:t>وليأتين قبري حتى يسلم على ولأردن عليه</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قال الحاكم</w:t>
      </w:r>
      <w:r w:rsidRPr="00A52585">
        <w:rPr>
          <w:rFonts w:hint="cs"/>
          <w:sz w:val="24"/>
          <w:szCs w:val="24"/>
          <w:rtl/>
        </w:rPr>
        <w:t>:</w:t>
      </w:r>
      <w:r w:rsidR="00777DCB" w:rsidRPr="00A52585">
        <w:rPr>
          <w:rFonts w:hint="cs"/>
          <w:sz w:val="24"/>
          <w:szCs w:val="24"/>
          <w:rtl/>
        </w:rPr>
        <w:t xml:space="preserve"> هذا حديث صحيح الإسناد ولم يخرجاه بهذه السياقة وأقره الذهبي على ذلك وقال</w:t>
      </w:r>
      <w:r w:rsidRPr="00A52585">
        <w:rPr>
          <w:rFonts w:hint="cs"/>
          <w:sz w:val="24"/>
          <w:szCs w:val="24"/>
          <w:rtl/>
        </w:rPr>
        <w:t>:</w:t>
      </w:r>
      <w:r w:rsidR="00777DCB" w:rsidRPr="00A52585">
        <w:rPr>
          <w:rFonts w:hint="cs"/>
          <w:sz w:val="24"/>
          <w:szCs w:val="24"/>
          <w:rtl/>
        </w:rPr>
        <w:t xml:space="preserve"> صحيح</w:t>
      </w:r>
      <w:r w:rsidR="00DB731D" w:rsidRPr="00A52585">
        <w:rPr>
          <w:rFonts w:hint="cs"/>
          <w:sz w:val="24"/>
          <w:szCs w:val="24"/>
          <w:rtl/>
        </w:rPr>
        <w:t>،</w:t>
      </w:r>
      <w:r w:rsidR="00777DCB" w:rsidRPr="00A52585">
        <w:rPr>
          <w:rFonts w:hint="cs"/>
          <w:sz w:val="24"/>
          <w:szCs w:val="24"/>
          <w:rtl/>
        </w:rPr>
        <w:t xml:space="preserve"> وفي الحديث دلالتان</w:t>
      </w:r>
      <w:r w:rsidRPr="00A52585">
        <w:rPr>
          <w:rFonts w:hint="cs"/>
          <w:sz w:val="24"/>
          <w:szCs w:val="24"/>
          <w:rtl/>
        </w:rPr>
        <w:t>:</w:t>
      </w:r>
      <w:r w:rsidR="00777DCB" w:rsidRPr="00A52585">
        <w:rPr>
          <w:rFonts w:hint="cs"/>
          <w:sz w:val="24"/>
          <w:szCs w:val="24"/>
          <w:rtl/>
        </w:rPr>
        <w:t xml:space="preserve"> الأولى</w:t>
      </w:r>
      <w:r w:rsidRPr="00A52585">
        <w:rPr>
          <w:rFonts w:hint="cs"/>
          <w:sz w:val="24"/>
          <w:szCs w:val="24"/>
          <w:rtl/>
        </w:rPr>
        <w:t>:</w:t>
      </w:r>
      <w:r w:rsidR="00777DCB" w:rsidRPr="00A52585">
        <w:rPr>
          <w:rFonts w:hint="cs"/>
          <w:sz w:val="24"/>
          <w:szCs w:val="24"/>
          <w:rtl/>
        </w:rPr>
        <w:t xml:space="preserve"> فضيلة زيارة قبر رسول الله صلى الله عليه وسلم</w:t>
      </w:r>
      <w:r w:rsidR="00DB731D" w:rsidRPr="00A52585">
        <w:rPr>
          <w:rFonts w:hint="cs"/>
          <w:sz w:val="24"/>
          <w:szCs w:val="24"/>
          <w:rtl/>
        </w:rPr>
        <w:t>،</w:t>
      </w:r>
      <w:r w:rsidR="00777DCB" w:rsidRPr="00A52585">
        <w:rPr>
          <w:rFonts w:hint="cs"/>
          <w:sz w:val="24"/>
          <w:szCs w:val="24"/>
          <w:rtl/>
        </w:rPr>
        <w:t xml:space="preserve"> الثانية</w:t>
      </w:r>
      <w:r w:rsidRPr="00A52585">
        <w:rPr>
          <w:rFonts w:hint="cs"/>
          <w:sz w:val="24"/>
          <w:szCs w:val="24"/>
          <w:rtl/>
        </w:rPr>
        <w:t>:</w:t>
      </w:r>
      <w:r w:rsidR="00777DCB" w:rsidRPr="00A52585">
        <w:rPr>
          <w:rFonts w:hint="cs"/>
          <w:sz w:val="24"/>
          <w:szCs w:val="24"/>
          <w:rtl/>
        </w:rPr>
        <w:t xml:space="preserve"> جواز النداء الذي ينكره الضال المبتدع وانظر المزيد من تخريج الحديث في (رفع المنارة) للشيخ محمود سعيد ص 357 </w:t>
      </w:r>
      <w:r w:rsidR="00777DCB" w:rsidRPr="00A52585">
        <w:rPr>
          <w:sz w:val="24"/>
          <w:szCs w:val="24"/>
        </w:rPr>
        <w:t>–</w:t>
      </w:r>
      <w:r w:rsidR="00777DCB" w:rsidRPr="00A52585">
        <w:rPr>
          <w:rFonts w:hint="cs"/>
          <w:sz w:val="24"/>
          <w:szCs w:val="24"/>
          <w:rtl/>
        </w:rPr>
        <w:t xml:space="preserve"> 360 ط الثانية</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030D69E3" w14:textId="7D1EBCEC" w:rsidR="00777DCB" w:rsidRPr="00A52585" w:rsidRDefault="0002035C" w:rsidP="0002035C">
      <w:pPr>
        <w:spacing w:after="240"/>
        <w:rPr>
          <w:b/>
          <w:rtl/>
        </w:rPr>
      </w:pPr>
      <w:r w:rsidRPr="00A52585">
        <w:rPr>
          <w:rFonts w:hint="cs"/>
          <w:bCs/>
          <w:rtl/>
        </w:rPr>
        <w:t>[</w:t>
      </w:r>
      <w:r w:rsidR="00777DCB" w:rsidRPr="00A52585">
        <w:rPr>
          <w:rFonts w:hint="cs"/>
          <w:bCs/>
          <w:rtl/>
        </w:rPr>
        <w:t>أ- حرمة النبي صلى الله عليه وسلم ورفعة قدره عند الله</w:t>
      </w:r>
      <w:r w:rsidRPr="00A52585">
        <w:rPr>
          <w:rFonts w:hint="cs"/>
          <w:bCs/>
          <w:rtl/>
        </w:rPr>
        <w:t>]:</w:t>
      </w:r>
      <w:r w:rsidR="00777DCB" w:rsidRPr="00A52585">
        <w:rPr>
          <w:rFonts w:hint="cs"/>
          <w:bCs/>
          <w:rtl/>
        </w:rPr>
        <w:t xml:space="preserve"> </w:t>
      </w:r>
      <w:r w:rsidR="00777DCB" w:rsidRPr="00A52585">
        <w:rPr>
          <w:rFonts w:hint="cs"/>
          <w:rtl/>
        </w:rPr>
        <w:t>جعل الزنديق الجاهل الجامد قصة عمر رضي الله عنه دعامة ليتوصل بها إلى خبث طويته في الازدراء بسيد الأولين والآخرين وأكرم السابقين واللاحقين وحط رتبته بعد وفاته عن رتبته في حياته وأن جاهه وحرمته ورسالته وغير ذلك زال بموته. وذلك منه كفر بيقين</w:t>
      </w:r>
      <w:r w:rsidR="00DB731D" w:rsidRPr="00A52585">
        <w:rPr>
          <w:rFonts w:hint="cs"/>
          <w:rtl/>
        </w:rPr>
        <w:t>،</w:t>
      </w:r>
      <w:r w:rsidR="00777DCB" w:rsidRPr="00A52585">
        <w:rPr>
          <w:rFonts w:hint="cs"/>
          <w:rtl/>
        </w:rPr>
        <w:t xml:space="preserve"> وزندقة محققة. فإنه عليه الصلاة والسلام حرمته وقدره ومنزلته ورتبته عند ربه تعالى ما زالت ولم تزل وهو سيد ولد آدم وأكرمهم على الله عز وجل على الدوام</w:t>
      </w:r>
      <w:r w:rsidR="00DB731D" w:rsidRPr="00A52585">
        <w:rPr>
          <w:rFonts w:hint="cs"/>
          <w:rtl/>
        </w:rPr>
        <w:t>،</w:t>
      </w:r>
      <w:r w:rsidR="00777DCB" w:rsidRPr="00A52585">
        <w:rPr>
          <w:rFonts w:hint="cs"/>
          <w:rtl/>
        </w:rPr>
        <w:t xml:space="preserve"> ومن تأمل القرآن العظيم وجده مشحوناً بذلك</w:t>
      </w:r>
      <w:r w:rsidR="00DB731D" w:rsidRPr="00A52585">
        <w:rPr>
          <w:rFonts w:hint="cs"/>
          <w:rtl/>
        </w:rPr>
        <w:t>،</w:t>
      </w:r>
      <w:r w:rsidR="00777DCB" w:rsidRPr="00A52585">
        <w:rPr>
          <w:rFonts w:hint="cs"/>
          <w:rtl/>
        </w:rPr>
        <w:t xml:space="preserve"> وقد ذكرت جملة من ذلك في مولده عليه الصلاة والسلام وأشير هنا إلى نبذة يسيرة من ذلك ليتحقق السامع لها خبث هذا الزنديق وما انطوي عليه باطنه من الخبث بإبداله هذه الأنواع من التعظيم بالازدراء وما فاه به من الفجور والافتراء كما ترى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سل عن</w:t>
      </w:r>
      <w:r w:rsidRPr="00A52585">
        <w:rPr>
          <w:rFonts w:hint="cs"/>
          <w:rtl/>
        </w:rPr>
        <w:t xml:space="preserve"> </w:t>
      </w:r>
      <w:r w:rsidR="00777DCB" w:rsidRPr="00A52585">
        <w:rPr>
          <w:rFonts w:hint="cs"/>
          <w:rtl/>
        </w:rPr>
        <w:t>فضـــائله</w:t>
      </w:r>
      <w:r w:rsidRPr="00A52585">
        <w:rPr>
          <w:rFonts w:hint="cs"/>
          <w:rtl/>
        </w:rPr>
        <w:t xml:space="preserve"> </w:t>
      </w:r>
      <w:r w:rsidR="00777DCB" w:rsidRPr="00A52585">
        <w:rPr>
          <w:rFonts w:hint="cs"/>
          <w:rtl/>
        </w:rPr>
        <w:t>الزمــــان</w:t>
      </w:r>
      <w:r w:rsidRPr="00A52585">
        <w:rPr>
          <w:rFonts w:hint="cs"/>
          <w:rtl/>
        </w:rPr>
        <w:t xml:space="preserve"> </w:t>
      </w:r>
      <w:r w:rsidR="00777DCB" w:rsidRPr="00A52585">
        <w:rPr>
          <w:rFonts w:hint="cs"/>
          <w:rtl/>
        </w:rPr>
        <w:t>لتخـبرا فنظـير مجدك لا أراه لا يُرى</w:t>
      </w:r>
      <w:r w:rsidR="00DB731D" w:rsidRPr="00A52585">
        <w:rPr>
          <w:rFonts w:hint="cs"/>
          <w:rtl/>
        </w:rPr>
        <w:t>،</w:t>
      </w:r>
      <w:r w:rsidR="00777DCB" w:rsidRPr="00A52585">
        <w:rPr>
          <w:rFonts w:hint="cs"/>
          <w:rtl/>
        </w:rPr>
        <w:t xml:space="preserve"> فلقد جمعت</w:t>
      </w:r>
      <w:r w:rsidRPr="00A52585">
        <w:rPr>
          <w:rFonts w:hint="cs"/>
          <w:rtl/>
        </w:rPr>
        <w:t xml:space="preserve"> </w:t>
      </w:r>
      <w:r w:rsidR="00777DCB" w:rsidRPr="00A52585">
        <w:rPr>
          <w:rFonts w:hint="cs"/>
          <w:rtl/>
        </w:rPr>
        <w:t>منـاقــباً ما</w:t>
      </w:r>
      <w:r w:rsidRPr="00A52585">
        <w:rPr>
          <w:rFonts w:hint="cs"/>
          <w:rtl/>
        </w:rPr>
        <w:t xml:space="preserve"> </w:t>
      </w:r>
      <w:r w:rsidR="00777DCB" w:rsidRPr="00A52585">
        <w:rPr>
          <w:rFonts w:hint="cs"/>
          <w:rtl/>
        </w:rPr>
        <w:t>استجمـعت ما استعجمت فتفسرا</w:t>
      </w:r>
      <w:r w:rsidR="00DB731D" w:rsidRPr="00A52585">
        <w:rPr>
          <w:rFonts w:hint="cs"/>
          <w:vertAlign w:val="superscript"/>
          <w:rtl/>
        </w:rPr>
        <w:t>،</w:t>
      </w:r>
      <w:r w:rsidR="00777DCB" w:rsidRPr="00A52585">
        <w:rPr>
          <w:rFonts w:hint="cs"/>
          <w:rtl/>
        </w:rPr>
        <w:t xml:space="preserve"> ما بين مجـدك والمحـاول</w:t>
      </w:r>
      <w:r w:rsidRPr="00A52585">
        <w:rPr>
          <w:rFonts w:hint="cs"/>
          <w:rtl/>
        </w:rPr>
        <w:t xml:space="preserve"> </w:t>
      </w:r>
      <w:r w:rsidR="00777DCB" w:rsidRPr="00A52585">
        <w:rPr>
          <w:rFonts w:hint="cs"/>
          <w:rtl/>
        </w:rPr>
        <w:t>نيـــله إلا كـما بـين</w:t>
      </w:r>
      <w:r w:rsidRPr="00A52585">
        <w:rPr>
          <w:rFonts w:hint="cs"/>
          <w:rtl/>
        </w:rPr>
        <w:t xml:space="preserve"> </w:t>
      </w:r>
      <w:r w:rsidR="00777DCB" w:rsidRPr="00A52585">
        <w:rPr>
          <w:rFonts w:hint="cs"/>
          <w:rtl/>
        </w:rPr>
        <w:t>الثــــريـا</w:t>
      </w:r>
      <w:r w:rsidRPr="00A52585">
        <w:rPr>
          <w:rFonts w:hint="cs"/>
          <w:rtl/>
        </w:rPr>
        <w:t xml:space="preserve"> </w:t>
      </w:r>
      <w:r w:rsidR="00777DCB" w:rsidRPr="00A52585">
        <w:rPr>
          <w:rFonts w:hint="cs"/>
          <w:rtl/>
        </w:rPr>
        <w:t>والثرى</w:t>
      </w:r>
      <w:r w:rsidRPr="00A52585">
        <w:rPr>
          <w:rFonts w:hint="cs"/>
          <w:rtl/>
        </w:rPr>
        <w:t>)</w:t>
      </w:r>
      <w:r w:rsidR="00DB731D" w:rsidRPr="00A52585">
        <w:rPr>
          <w:rFonts w:hint="cs"/>
          <w:rtl/>
        </w:rPr>
        <w:t>،</w:t>
      </w:r>
      <w:r w:rsidR="00777DCB" w:rsidRPr="00A52585">
        <w:rPr>
          <w:rFonts w:hint="cs"/>
          <w:rtl/>
        </w:rPr>
        <w:t xml:space="preserve"> (فمن ذلك) أنه سبحانه وتعالى تولى عصمته بنفسه فقال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والله يعصمك من الناس</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المائدة</w:t>
      </w:r>
      <w:r w:rsidRPr="00A52585">
        <w:rPr>
          <w:rFonts w:hint="cs"/>
          <w:rtl/>
        </w:rPr>
        <w:t>:</w:t>
      </w:r>
      <w:r w:rsidR="00777DCB" w:rsidRPr="00A52585">
        <w:rPr>
          <w:rFonts w:hint="cs"/>
          <w:rtl/>
        </w:rPr>
        <w:t xml:space="preserve"> 67</w:t>
      </w:r>
      <w:r w:rsidRPr="00A52585">
        <w:rPr>
          <w:rFonts w:hint="cs"/>
          <w:rtl/>
        </w:rPr>
        <w:t>]</w:t>
      </w:r>
      <w:r w:rsidR="00DB731D" w:rsidRPr="00A52585">
        <w:rPr>
          <w:rFonts w:hint="cs"/>
          <w:rtl/>
        </w:rPr>
        <w:t>،</w:t>
      </w:r>
      <w:r w:rsidR="00777DCB" w:rsidRPr="00A52585">
        <w:rPr>
          <w:rFonts w:hint="cs"/>
          <w:rtl/>
        </w:rPr>
        <w:t>حفظه عز وجل في ظاهره وباطنه</w:t>
      </w:r>
      <w:r w:rsidR="00DB731D" w:rsidRPr="00A52585">
        <w:rPr>
          <w:rFonts w:hint="cs"/>
          <w:rtl/>
        </w:rPr>
        <w:t>،</w:t>
      </w:r>
      <w:r w:rsidR="00777DCB" w:rsidRPr="00A52585">
        <w:rPr>
          <w:rFonts w:hint="cs"/>
          <w:rtl/>
        </w:rPr>
        <w:t xml:space="preserve"> حفظه في </w:t>
      </w:r>
      <w:r w:rsidR="00777DCB" w:rsidRPr="00A52585">
        <w:rPr>
          <w:rFonts w:hint="cs"/>
          <w:rtl/>
        </w:rPr>
        <w:lastRenderedPageBreak/>
        <w:t>ظاهره من أن ينالوا ما هموا به ورد كيدهم في نحورهم</w:t>
      </w:r>
      <w:r w:rsidR="00DB731D" w:rsidRPr="00A52585">
        <w:rPr>
          <w:rFonts w:hint="cs"/>
          <w:rtl/>
        </w:rPr>
        <w:t>،</w:t>
      </w:r>
      <w:r w:rsidR="00777DCB" w:rsidRPr="00A52585">
        <w:rPr>
          <w:rFonts w:hint="cs"/>
          <w:rtl/>
        </w:rPr>
        <w:t xml:space="preserve"> وحفظه في باطنه من الناس من أن يكون منه إليهم التفات أو يكون له بهم اشتغال. صان سره عن موارد السكون إليهم وعن </w:t>
      </w:r>
      <w:proofErr w:type="spellStart"/>
      <w:r w:rsidR="00777DCB" w:rsidRPr="00A52585">
        <w:rPr>
          <w:rFonts w:hint="cs"/>
          <w:rtl/>
        </w:rPr>
        <w:t>نزغات</w:t>
      </w:r>
      <w:proofErr w:type="spellEnd"/>
      <w:r w:rsidR="00777DCB" w:rsidRPr="00A52585">
        <w:rPr>
          <w:rFonts w:hint="cs"/>
          <w:rtl/>
        </w:rPr>
        <w:t xml:space="preserve"> الشيطان وفلتات النفس</w:t>
      </w:r>
      <w:r w:rsidR="00DB731D" w:rsidRPr="00A52585">
        <w:rPr>
          <w:rFonts w:hint="cs"/>
          <w:rtl/>
        </w:rPr>
        <w:t>،</w:t>
      </w:r>
      <w:r w:rsidRPr="00A52585">
        <w:rPr>
          <w:rFonts w:hint="cs"/>
          <w:rtl/>
        </w:rPr>
        <w:t xml:space="preserve"> </w:t>
      </w:r>
      <w:r w:rsidR="00777DCB" w:rsidRPr="00A52585">
        <w:rPr>
          <w:rFonts w:hint="cs"/>
          <w:rtl/>
        </w:rPr>
        <w:t>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تجعلوا دعاء الرسول بينكم كدعاء بعضكم بعضاً</w:t>
      </w:r>
      <w:r w:rsidRPr="00A52585">
        <w:rPr>
          <w:rFonts w:hint="cs"/>
          <w:vertAlign w:val="superscript"/>
          <w:rtl/>
        </w:rPr>
        <w:t>}</w:t>
      </w:r>
      <w:r w:rsidR="00777DCB" w:rsidRPr="00A52585">
        <w:rPr>
          <w:rFonts w:hint="cs"/>
          <w:rtl/>
        </w:rPr>
        <w:t xml:space="preserve"> </w:t>
      </w:r>
      <w:r w:rsidRPr="00A52585">
        <w:rPr>
          <w:rFonts w:hint="cs"/>
          <w:rtl/>
        </w:rPr>
        <w:t>[</w:t>
      </w:r>
      <w:r w:rsidR="00777DCB" w:rsidRPr="00A52585">
        <w:rPr>
          <w:rFonts w:hint="cs"/>
          <w:rtl/>
        </w:rPr>
        <w:t>النور</w:t>
      </w:r>
      <w:r w:rsidRPr="00A52585">
        <w:rPr>
          <w:rFonts w:hint="cs"/>
          <w:rtl/>
        </w:rPr>
        <w:t>:</w:t>
      </w:r>
      <w:r w:rsidR="00777DCB" w:rsidRPr="00A52585">
        <w:rPr>
          <w:rFonts w:hint="cs"/>
          <w:rtl/>
        </w:rPr>
        <w:t xml:space="preserve"> 63</w:t>
      </w:r>
      <w:r w:rsidRPr="00A52585">
        <w:rPr>
          <w:rFonts w:hint="cs"/>
          <w:rtl/>
        </w:rPr>
        <w:t>]</w:t>
      </w:r>
      <w:r w:rsidR="00DB731D" w:rsidRPr="00A52585">
        <w:rPr>
          <w:rFonts w:hint="cs"/>
          <w:rtl/>
        </w:rPr>
        <w:t>،</w:t>
      </w:r>
      <w:r w:rsidR="00777DCB" w:rsidRPr="00A52585">
        <w:rPr>
          <w:rFonts w:hint="cs"/>
          <w:rtl/>
        </w:rPr>
        <w:t xml:space="preserve"> قيل</w:t>
      </w:r>
      <w:r w:rsidRPr="00A52585">
        <w:rPr>
          <w:rFonts w:hint="cs"/>
          <w:rtl/>
        </w:rPr>
        <w:t>:</w:t>
      </w:r>
      <w:r w:rsidR="00777DCB" w:rsidRPr="00A52585">
        <w:rPr>
          <w:rFonts w:hint="cs"/>
          <w:rtl/>
        </w:rPr>
        <w:t xml:space="preserve"> معناه</w:t>
      </w:r>
      <w:r w:rsidRPr="00A52585">
        <w:rPr>
          <w:rFonts w:hint="cs"/>
          <w:rtl/>
        </w:rPr>
        <w:t>:</w:t>
      </w:r>
      <w:r w:rsidR="00777DCB" w:rsidRPr="00A52585">
        <w:rPr>
          <w:rFonts w:hint="cs"/>
          <w:rtl/>
        </w:rPr>
        <w:t xml:space="preserve"> لا تدعوه باسمه كما يدعو بعضكم بعضاً يا محمد</w:t>
      </w:r>
      <w:r w:rsidR="00DB731D" w:rsidRPr="00A52585">
        <w:rPr>
          <w:rFonts w:hint="cs"/>
          <w:rtl/>
        </w:rPr>
        <w:t>،</w:t>
      </w:r>
      <w:r w:rsidR="00777DCB" w:rsidRPr="00A52585">
        <w:rPr>
          <w:rFonts w:hint="cs"/>
          <w:rtl/>
        </w:rPr>
        <w:t xml:space="preserve"> يا عبد الله ولكن فخموه وعظموه وشرفوه وقولوا</w:t>
      </w:r>
      <w:r w:rsidRPr="00A52585">
        <w:rPr>
          <w:rFonts w:hint="cs"/>
          <w:rtl/>
        </w:rPr>
        <w:t>:</w:t>
      </w:r>
      <w:r w:rsidR="00777DCB" w:rsidRPr="00A52585">
        <w:rPr>
          <w:rFonts w:hint="cs"/>
          <w:rtl/>
        </w:rPr>
        <w:t xml:space="preserve"> يا نبي الله. يا رسول الله. مع لين وتواضع قاله مجاهد وقتادة</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معناه</w:t>
      </w:r>
      <w:r w:rsidRPr="00A52585">
        <w:rPr>
          <w:rFonts w:hint="cs"/>
          <w:rtl/>
        </w:rPr>
        <w:t>:</w:t>
      </w:r>
      <w:r w:rsidR="00777DCB" w:rsidRPr="00A52585">
        <w:rPr>
          <w:rFonts w:hint="cs"/>
          <w:rtl/>
        </w:rPr>
        <w:t xml:space="preserve"> احذروا دعاء الرسول عليكم فإن دعاءه مستجاب لا يرد وليس كدعاء غيره قاله ابن عباس رضي الله عنهما</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معناه</w:t>
      </w:r>
      <w:r w:rsidRPr="00A52585">
        <w:rPr>
          <w:rFonts w:hint="cs"/>
          <w:rtl/>
        </w:rPr>
        <w:t>:</w:t>
      </w:r>
      <w:r w:rsidR="00777DCB" w:rsidRPr="00A52585">
        <w:rPr>
          <w:rFonts w:hint="cs"/>
          <w:rtl/>
        </w:rPr>
        <w:t xml:space="preserve"> من ضيع حرمة الرسول صلى الله عليه وسلم فقد ضيع حرمة الله عز وجل ومن ضيع حرمة الله تعالى فقد دخل في ديوان الأشقياء</w:t>
      </w:r>
      <w:r w:rsidRPr="00A52585">
        <w:rPr>
          <w:rFonts w:hint="cs"/>
          <w:rtl/>
        </w:rPr>
        <w:t>:</w:t>
      </w:r>
      <w:r w:rsidR="00777DCB" w:rsidRPr="00A52585">
        <w:rPr>
          <w:rFonts w:hint="cs"/>
          <w:rtl/>
        </w:rPr>
        <w:t xml:space="preserve"> وحرمة الرسول صلى الله عليه وسلم من حرمة الله تعالى بل من ضيع حرمة الأولياء فقد عرض نفسه للهلكة</w:t>
      </w:r>
      <w:r w:rsidR="00DB731D" w:rsidRPr="00A52585">
        <w:rPr>
          <w:rFonts w:hint="cs"/>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إنا أرسلناك شاهداً</w:t>
      </w:r>
      <w:r w:rsidRPr="00A52585">
        <w:rPr>
          <w:rFonts w:hint="cs"/>
          <w:rtl/>
        </w:rPr>
        <w:t>}</w:t>
      </w:r>
      <w:r w:rsidR="00777DCB" w:rsidRPr="00A52585">
        <w:rPr>
          <w:rFonts w:hint="cs"/>
          <w:rtl/>
        </w:rPr>
        <w:t xml:space="preserve"> أي عليهم بالتوحيد </w:t>
      </w:r>
      <w:r w:rsidRPr="00A52585">
        <w:rPr>
          <w:rFonts w:hint="cs"/>
          <w:rtl/>
        </w:rPr>
        <w:t>{</w:t>
      </w:r>
      <w:r w:rsidR="00777DCB" w:rsidRPr="00A52585">
        <w:rPr>
          <w:rFonts w:hint="cs"/>
          <w:rtl/>
        </w:rPr>
        <w:t>ومبشراً</w:t>
      </w:r>
      <w:r w:rsidRPr="00A52585">
        <w:rPr>
          <w:rFonts w:hint="cs"/>
          <w:rtl/>
        </w:rPr>
        <w:t>}</w:t>
      </w:r>
      <w:r w:rsidR="00777DCB" w:rsidRPr="00A52585">
        <w:rPr>
          <w:rFonts w:hint="cs"/>
          <w:rtl/>
        </w:rPr>
        <w:t xml:space="preserve"> أي لهم بالتأييد والمغفرة </w:t>
      </w:r>
      <w:r w:rsidRPr="00A52585">
        <w:rPr>
          <w:rFonts w:hint="cs"/>
          <w:rtl/>
        </w:rPr>
        <w:t>{</w:t>
      </w:r>
      <w:r w:rsidR="00777DCB" w:rsidRPr="00A52585">
        <w:rPr>
          <w:rFonts w:hint="cs"/>
          <w:rtl/>
        </w:rPr>
        <w:t>ونذيراً</w:t>
      </w:r>
      <w:r w:rsidRPr="00A52585">
        <w:rPr>
          <w:rFonts w:hint="cs"/>
          <w:rtl/>
        </w:rPr>
        <w:t>}</w:t>
      </w:r>
      <w:r w:rsidR="00777DCB" w:rsidRPr="00A52585">
        <w:rPr>
          <w:rFonts w:hint="cs"/>
          <w:rtl/>
        </w:rPr>
        <w:t xml:space="preserve"> أي محذراً إياهم الزيغ والضلالات </w:t>
      </w:r>
      <w:r w:rsidRPr="00A52585">
        <w:rPr>
          <w:rFonts w:hint="cs"/>
          <w:rtl/>
        </w:rPr>
        <w:t>{</w:t>
      </w:r>
      <w:r w:rsidR="00777DCB" w:rsidRPr="00A52585">
        <w:rPr>
          <w:rFonts w:hint="cs"/>
          <w:rtl/>
        </w:rPr>
        <w:t>لتؤمنوا بالله ورسوله وتعزروه وتوقروه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w:t>
      </w:r>
      <w:r w:rsidRPr="00A52585">
        <w:rPr>
          <w:rFonts w:hint="cs"/>
          <w:rtl/>
        </w:rPr>
        <w:t>:</w:t>
      </w:r>
      <w:r w:rsidR="00777DCB" w:rsidRPr="00A52585">
        <w:rPr>
          <w:rFonts w:hint="cs"/>
          <w:rtl/>
        </w:rPr>
        <w:t xml:space="preserve"> 8</w:t>
      </w:r>
      <w:r w:rsidR="00DB731D" w:rsidRPr="00A52585">
        <w:rPr>
          <w:rFonts w:hint="cs"/>
          <w:rtl/>
        </w:rPr>
        <w:t>،</w:t>
      </w:r>
      <w:r w:rsidR="00777DCB" w:rsidRPr="00A52585">
        <w:rPr>
          <w:rFonts w:hint="cs"/>
          <w:rtl/>
        </w:rPr>
        <w:t xml:space="preserve"> 9</w:t>
      </w:r>
      <w:r w:rsidRPr="00A52585">
        <w:rPr>
          <w:rFonts w:hint="cs"/>
          <w:rtl/>
        </w:rPr>
        <w:t>]</w:t>
      </w:r>
      <w:r w:rsidR="00DB731D" w:rsidRPr="00A52585">
        <w:rPr>
          <w:rFonts w:hint="cs"/>
          <w:rtl/>
        </w:rPr>
        <w:t>،</w:t>
      </w:r>
      <w:r w:rsidR="00777DCB" w:rsidRPr="00A52585">
        <w:rPr>
          <w:rFonts w:hint="cs"/>
          <w:rtl/>
        </w:rPr>
        <w:t xml:space="preserve"> أي تعظموه تعظيماً يليق به وبمرتبته</w:t>
      </w:r>
      <w:r w:rsidR="00DB731D" w:rsidRPr="00A52585">
        <w:rPr>
          <w:rFonts w:hint="cs"/>
          <w:rtl/>
        </w:rPr>
        <w:t>،</w:t>
      </w:r>
      <w:r w:rsidR="00777DCB" w:rsidRPr="00A52585">
        <w:rPr>
          <w:rFonts w:hint="cs"/>
          <w:rtl/>
        </w:rPr>
        <w:t xml:space="preserve"> قال الأئمة</w:t>
      </w:r>
      <w:r w:rsidRPr="00A52585">
        <w:rPr>
          <w:rFonts w:hint="cs"/>
          <w:rtl/>
        </w:rPr>
        <w:t>:</w:t>
      </w:r>
      <w:r w:rsidR="00777DCB" w:rsidRPr="00A52585">
        <w:rPr>
          <w:rFonts w:hint="cs"/>
          <w:rtl/>
        </w:rPr>
        <w:t xml:space="preserve"> لم يؤمن بالرسول من لم يعزه ويعز أوامره ويوقره ويوقر أصحابه رضي الله عنهم</w:t>
      </w:r>
      <w:r w:rsidR="00DB731D" w:rsidRPr="00A52585">
        <w:rPr>
          <w:rFonts w:hint="cs"/>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فالذين آمنوا به</w:t>
      </w:r>
      <w:r w:rsidRPr="00A52585">
        <w:rPr>
          <w:rFonts w:hint="cs"/>
          <w:rtl/>
        </w:rPr>
        <w:t>}</w:t>
      </w:r>
      <w:r w:rsidR="00777DCB" w:rsidRPr="00A52585">
        <w:rPr>
          <w:rFonts w:hint="cs"/>
          <w:rtl/>
        </w:rPr>
        <w:t xml:space="preserve"> أي بمحمد صلى الله عليه وسلم </w:t>
      </w:r>
      <w:r w:rsidRPr="00A52585">
        <w:rPr>
          <w:rFonts w:hint="cs"/>
          <w:rtl/>
        </w:rPr>
        <w:t>{</w:t>
      </w:r>
      <w:r w:rsidR="00777DCB" w:rsidRPr="00A52585">
        <w:rPr>
          <w:rFonts w:hint="cs"/>
          <w:rtl/>
        </w:rPr>
        <w:t>وعزروه</w:t>
      </w:r>
      <w:r w:rsidRPr="00A52585">
        <w:rPr>
          <w:rFonts w:hint="cs"/>
          <w:rtl/>
        </w:rPr>
        <w:t>}</w:t>
      </w:r>
      <w:r w:rsidR="00777DCB" w:rsidRPr="00A52585">
        <w:rPr>
          <w:rFonts w:hint="cs"/>
          <w:rtl/>
        </w:rPr>
        <w:t xml:space="preserve"> أي وقروه </w:t>
      </w:r>
      <w:r w:rsidRPr="00A52585">
        <w:rPr>
          <w:rFonts w:hint="cs"/>
          <w:rtl/>
        </w:rPr>
        <w:t>{</w:t>
      </w:r>
      <w:r w:rsidR="00777DCB" w:rsidRPr="00A52585">
        <w:rPr>
          <w:rFonts w:hint="cs"/>
          <w:rtl/>
        </w:rPr>
        <w:t>ونصروه</w:t>
      </w:r>
      <w:r w:rsidRPr="00A52585">
        <w:rPr>
          <w:rFonts w:hint="cs"/>
          <w:rtl/>
        </w:rPr>
        <w:t>}</w:t>
      </w:r>
      <w:r w:rsidR="00777DCB" w:rsidRPr="00A52585">
        <w:rPr>
          <w:rFonts w:hint="cs"/>
          <w:rtl/>
        </w:rPr>
        <w:t xml:space="preserve"> بذلوا أنفسهم في نصرته وأموالهم </w:t>
      </w:r>
      <w:r w:rsidRPr="00A52585">
        <w:rPr>
          <w:rFonts w:hint="cs"/>
          <w:rtl/>
        </w:rPr>
        <w:t>{</w:t>
      </w:r>
      <w:r w:rsidR="00777DCB" w:rsidRPr="00A52585">
        <w:rPr>
          <w:rFonts w:hint="cs"/>
          <w:rtl/>
        </w:rPr>
        <w:t>واتبعوا النور الذي أنزل معه</w:t>
      </w:r>
      <w:r w:rsidRPr="00A52585">
        <w:rPr>
          <w:rFonts w:hint="cs"/>
          <w:rtl/>
        </w:rPr>
        <w:t>}</w:t>
      </w:r>
      <w:r w:rsidR="00777DCB" w:rsidRPr="00A52585">
        <w:rPr>
          <w:rFonts w:hint="cs"/>
          <w:rtl/>
        </w:rPr>
        <w:t xml:space="preserve"> وهو القرآن </w:t>
      </w:r>
      <w:r w:rsidRPr="00A52585">
        <w:rPr>
          <w:rFonts w:hint="cs"/>
          <w:rtl/>
        </w:rPr>
        <w:t>{</w:t>
      </w:r>
      <w:r w:rsidR="00777DCB" w:rsidRPr="00A52585">
        <w:rPr>
          <w:rFonts w:hint="cs"/>
          <w:rtl/>
        </w:rPr>
        <w:t xml:space="preserve">أولئك هم المفلحون} </w:t>
      </w:r>
      <w:r w:rsidRPr="00A52585">
        <w:rPr>
          <w:rFonts w:hint="cs"/>
          <w:rtl/>
        </w:rPr>
        <w:t>[</w:t>
      </w:r>
      <w:r w:rsidR="00777DCB" w:rsidRPr="00A52585">
        <w:rPr>
          <w:rFonts w:hint="cs"/>
          <w:rtl/>
        </w:rPr>
        <w:t>الأعراف</w:t>
      </w:r>
      <w:r w:rsidRPr="00A52585">
        <w:rPr>
          <w:rFonts w:hint="cs"/>
          <w:rtl/>
        </w:rPr>
        <w:t>:</w:t>
      </w:r>
      <w:r w:rsidR="00777DCB" w:rsidRPr="00A52585">
        <w:rPr>
          <w:rFonts w:hint="cs"/>
          <w:rtl/>
        </w:rPr>
        <w:t xml:space="preserve"> 157</w:t>
      </w:r>
      <w:r w:rsidRPr="00A52585">
        <w:rPr>
          <w:rFonts w:hint="cs"/>
          <w:rtl/>
        </w:rPr>
        <w:t>]</w:t>
      </w:r>
      <w:r w:rsidR="00DB731D" w:rsidRPr="00A52585">
        <w:rPr>
          <w:rFonts w:hint="cs"/>
          <w:rtl/>
        </w:rPr>
        <w:t>،</w:t>
      </w:r>
      <w:r w:rsidR="00777DCB" w:rsidRPr="00A52585">
        <w:rPr>
          <w:rFonts w:hint="cs"/>
          <w:rtl/>
        </w:rPr>
        <w:t xml:space="preserve"> أي الفائزون</w:t>
      </w:r>
      <w:r w:rsidR="00DB731D" w:rsidRPr="00A52585">
        <w:rPr>
          <w:rFonts w:hint="cs"/>
          <w:rtl/>
        </w:rPr>
        <w:t>،</w:t>
      </w:r>
      <w:r w:rsidR="00777DCB" w:rsidRPr="00A52585">
        <w:rPr>
          <w:rFonts w:hint="cs"/>
          <w:rtl/>
        </w:rPr>
        <w:t xml:space="preserve"> حصر الفلاح فيهم</w:t>
      </w:r>
      <w:r w:rsidR="00DB731D" w:rsidRPr="00A52585">
        <w:rPr>
          <w:rFonts w:hint="cs"/>
          <w:rtl/>
        </w:rPr>
        <w:t>،</w:t>
      </w:r>
      <w:r w:rsidR="00777DCB" w:rsidRPr="00A52585">
        <w:rPr>
          <w:rFonts w:hint="cs"/>
          <w:rtl/>
        </w:rPr>
        <w:t xml:space="preserve"> فهذه الآيات موجبة لتوقيره وتعظيمه وتبجيله وتعريف قدره صلى الله عليه وسلم عند ربه تعالى</w:t>
      </w:r>
      <w:r w:rsidR="00DB731D" w:rsidRPr="00A52585">
        <w:rPr>
          <w:rFonts w:hint="cs"/>
          <w:rtl/>
        </w:rPr>
        <w:t>،</w:t>
      </w:r>
      <w:r w:rsidR="00777DCB" w:rsidRPr="00A52585">
        <w:rPr>
          <w:rFonts w:hint="cs"/>
          <w:rtl/>
        </w:rPr>
        <w:t xml:space="preserve"> ومنها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يطع الرسول فقد أطاع الله</w:t>
      </w:r>
      <w:r w:rsidRPr="00A52585">
        <w:rPr>
          <w:rFonts w:hint="cs"/>
          <w:rtl/>
        </w:rPr>
        <w:t>} [</w:t>
      </w:r>
      <w:r w:rsidR="00777DCB" w:rsidRPr="00A52585">
        <w:rPr>
          <w:rFonts w:hint="cs"/>
          <w:rtl/>
        </w:rPr>
        <w:t>المائدة</w:t>
      </w:r>
      <w:r w:rsidRPr="00A52585">
        <w:rPr>
          <w:rFonts w:hint="cs"/>
          <w:rtl/>
        </w:rPr>
        <w:t>:</w:t>
      </w:r>
      <w:r w:rsidR="00777DCB" w:rsidRPr="00A52585">
        <w:rPr>
          <w:rFonts w:hint="cs"/>
          <w:rtl/>
        </w:rPr>
        <w:t xml:space="preserve"> 80</w:t>
      </w:r>
      <w:r w:rsidRPr="00A52585">
        <w:rPr>
          <w:rFonts w:hint="cs"/>
          <w:rtl/>
        </w:rPr>
        <w:t>]</w:t>
      </w:r>
      <w:r w:rsidR="00DB731D" w:rsidRPr="00A52585">
        <w:rPr>
          <w:rFonts w:hint="cs"/>
          <w:rtl/>
        </w:rPr>
        <w:t>،</w:t>
      </w:r>
      <w:r w:rsidR="00777DCB" w:rsidRPr="00A52585">
        <w:rPr>
          <w:rFonts w:hint="cs"/>
          <w:rtl/>
        </w:rPr>
        <w:t xml:space="preserve"> قال عمر رضي الله عنه - بعد وفاة رسول الله صلى الله عليه وسلم أثناء كلام طويل -</w:t>
      </w:r>
      <w:r w:rsidRPr="00A52585">
        <w:rPr>
          <w:rFonts w:hint="cs"/>
          <w:rtl/>
        </w:rPr>
        <w:t>:</w:t>
      </w:r>
      <w:r w:rsidR="00777DCB" w:rsidRPr="00A52585">
        <w:rPr>
          <w:rFonts w:hint="cs"/>
          <w:rtl/>
        </w:rPr>
        <w:t xml:space="preserve"> بأبي أنت وأمي يا رسول الله لقد بلغ من فضيلتك عند الله أن جعل الله عز وجل طاعتك طاعته</w:t>
      </w:r>
      <w:r w:rsidR="00DB731D" w:rsidRPr="00A52585">
        <w:rPr>
          <w:rFonts w:hint="cs"/>
          <w:rtl/>
        </w:rPr>
        <w:t>،</w:t>
      </w:r>
      <w:r w:rsidR="00777DCB" w:rsidRPr="00A52585">
        <w:rPr>
          <w:rFonts w:hint="cs"/>
          <w:rtl/>
        </w:rPr>
        <w:t xml:space="preserve"> وقال جعفر الصادق</w:t>
      </w:r>
      <w:r w:rsidRPr="00A52585">
        <w:rPr>
          <w:rFonts w:hint="cs"/>
          <w:rtl/>
        </w:rPr>
        <w:t>:</w:t>
      </w:r>
      <w:r w:rsidR="00777DCB" w:rsidRPr="00A52585">
        <w:rPr>
          <w:rFonts w:hint="cs"/>
          <w:rtl/>
        </w:rPr>
        <w:t xml:space="preserve"> معناه من عرفك بالنبوة والرسالة فقد عرفني بالربوبية والإلهية</w:t>
      </w:r>
      <w:r w:rsidR="00DB731D" w:rsidRPr="00A52585">
        <w:rPr>
          <w:rFonts w:hint="cs"/>
          <w:vertAlign w:val="superscript"/>
          <w:rtl/>
        </w:rPr>
        <w:t>،</w:t>
      </w:r>
      <w:r w:rsidR="00777DCB" w:rsidRPr="00A52585">
        <w:rPr>
          <w:rFonts w:hint="cs"/>
          <w:rtl/>
        </w:rPr>
        <w:t xml:space="preserve"> وقيل بطاعتك يصل العبد إلى الحق وبمخالفتك يقطع عنه</w:t>
      </w:r>
      <w:r w:rsidR="00DB731D" w:rsidRPr="00A52585">
        <w:rPr>
          <w:rFonts w:hint="cs"/>
          <w:rtl/>
        </w:rPr>
        <w:t>،</w:t>
      </w:r>
      <w:r w:rsidR="00777DCB" w:rsidRPr="00A52585">
        <w:rPr>
          <w:rFonts w:hint="cs"/>
          <w:rtl/>
        </w:rPr>
        <w:t xml:space="preserve"> وقيل غير ذلك. ومن أحسنها</w:t>
      </w:r>
      <w:r w:rsidRPr="00A52585">
        <w:rPr>
          <w:rFonts w:hint="cs"/>
          <w:rtl/>
        </w:rPr>
        <w:t>:</w:t>
      </w:r>
      <w:r w:rsidR="00777DCB" w:rsidRPr="00A52585">
        <w:rPr>
          <w:rFonts w:hint="cs"/>
          <w:rtl/>
        </w:rPr>
        <w:t xml:space="preserve"> من ألزم نفسه طاعته وصحح الاقتداء به</w:t>
      </w:r>
      <w:r w:rsidR="00DB731D" w:rsidRPr="00A52585">
        <w:rPr>
          <w:rFonts w:hint="cs"/>
          <w:rtl/>
        </w:rPr>
        <w:t>،</w:t>
      </w:r>
      <w:r w:rsidR="00777DCB" w:rsidRPr="00A52585">
        <w:rPr>
          <w:rFonts w:hint="cs"/>
          <w:rtl/>
        </w:rPr>
        <w:t xml:space="preserve"> أوصله إلى مقامات الأنبياء والصديقين والشهداء ألا ترى إلى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ومن يطع الله والرسول فأولئك مع الذين أنعم الله عليهم من النبيين والصدقين والشهداء</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النساء</w:t>
      </w:r>
      <w:r w:rsidRPr="00A52585">
        <w:rPr>
          <w:rFonts w:hint="cs"/>
          <w:rtl/>
        </w:rPr>
        <w:t>:</w:t>
      </w:r>
      <w:r w:rsidR="00777DCB" w:rsidRPr="00A52585">
        <w:rPr>
          <w:rFonts w:hint="cs"/>
          <w:rtl/>
        </w:rPr>
        <w:t xml:space="preserve"> 69</w:t>
      </w:r>
      <w:r w:rsidRPr="00A52585">
        <w:rPr>
          <w:rFonts w:hint="cs"/>
          <w:rtl/>
        </w:rPr>
        <w:t>]</w:t>
      </w:r>
      <w:r w:rsidR="00DB731D" w:rsidRPr="00A52585">
        <w:rPr>
          <w:rFonts w:hint="cs"/>
          <w:rtl/>
        </w:rPr>
        <w:t>،</w:t>
      </w:r>
      <w:r w:rsidR="00777DCB" w:rsidRPr="00A52585">
        <w:rPr>
          <w:rFonts w:hint="cs"/>
          <w:rtl/>
        </w:rPr>
        <w:t xml:space="preserve"> الآية</w:t>
      </w:r>
      <w:r w:rsidR="00DB731D" w:rsidRPr="00A52585">
        <w:rPr>
          <w:rFonts w:hint="cs"/>
          <w:rtl/>
        </w:rPr>
        <w:t>،</w:t>
      </w:r>
      <w:r w:rsidR="00777DCB" w:rsidRPr="00A52585">
        <w:rPr>
          <w:rFonts w:hint="cs"/>
          <w:rtl/>
        </w:rPr>
        <w:t xml:space="preserve"> ومنها وهو أبلغ مما تقدم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الذين يبايعونك</w:t>
      </w:r>
      <w:r w:rsidRPr="00A52585">
        <w:rPr>
          <w:rFonts w:hint="cs"/>
          <w:rtl/>
        </w:rPr>
        <w:t>}</w:t>
      </w:r>
      <w:r w:rsidR="00777DCB" w:rsidRPr="00A52585">
        <w:rPr>
          <w:rFonts w:hint="cs"/>
          <w:rtl/>
        </w:rPr>
        <w:t xml:space="preserve"> أي يا محمد </w:t>
      </w:r>
      <w:r w:rsidRPr="00A52585">
        <w:rPr>
          <w:rFonts w:hint="cs"/>
          <w:rtl/>
        </w:rPr>
        <w:t>{</w:t>
      </w:r>
      <w:r w:rsidR="00777DCB" w:rsidRPr="00A52585">
        <w:rPr>
          <w:rFonts w:hint="cs"/>
          <w:rtl/>
        </w:rPr>
        <w:t>إنما يبايعون الله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w:t>
      </w:r>
      <w:r w:rsidRPr="00A52585">
        <w:rPr>
          <w:rFonts w:hint="cs"/>
          <w:rtl/>
        </w:rPr>
        <w:t>:</w:t>
      </w:r>
      <w:r w:rsidR="00777DCB" w:rsidRPr="00A52585">
        <w:rPr>
          <w:rFonts w:hint="cs"/>
          <w:rtl/>
        </w:rPr>
        <w:t xml:space="preserve"> 10</w:t>
      </w:r>
      <w:r w:rsidRPr="00A52585">
        <w:rPr>
          <w:rFonts w:hint="cs"/>
          <w:rtl/>
        </w:rPr>
        <w:t>]</w:t>
      </w:r>
      <w:r w:rsidR="00DB731D" w:rsidRPr="00A52585">
        <w:rPr>
          <w:rFonts w:hint="cs"/>
          <w:rtl/>
        </w:rPr>
        <w:t>،</w:t>
      </w:r>
      <w:r w:rsidR="00777DCB" w:rsidRPr="00A52585">
        <w:rPr>
          <w:rFonts w:hint="cs"/>
          <w:rtl/>
        </w:rPr>
        <w:t xml:space="preserve"> نفى سبحانه وتعالى الواسطة في المبايعة</w:t>
      </w:r>
      <w:r w:rsidR="00DB731D" w:rsidRPr="00A52585">
        <w:rPr>
          <w:rFonts w:hint="cs"/>
          <w:rtl/>
        </w:rPr>
        <w:t>،</w:t>
      </w:r>
      <w:r w:rsidR="00777DCB" w:rsidRPr="00A52585">
        <w:rPr>
          <w:rFonts w:hint="cs"/>
          <w:rtl/>
        </w:rPr>
        <w:t xml:space="preserve"> وقد تنبه لذلك أرباب المعاني والقلوب العارفون بمراتبه عليه الصلاة والسلام وما وهبه الله تعالى من سني الأوصاف التي لا تليق بغيره ولا يقدر على حملها إلا هو قالوا</w:t>
      </w:r>
      <w:r w:rsidRPr="00A52585">
        <w:rPr>
          <w:rFonts w:hint="cs"/>
          <w:rtl/>
        </w:rPr>
        <w:t>:</w:t>
      </w:r>
      <w:r w:rsidR="00777DCB" w:rsidRPr="00A52585">
        <w:rPr>
          <w:rFonts w:hint="cs"/>
          <w:rtl/>
        </w:rPr>
        <w:t xml:space="preserve"> أن البشرية </w:t>
      </w:r>
      <w:r w:rsidR="00777DCB" w:rsidRPr="00A52585">
        <w:rPr>
          <w:rFonts w:hint="cs"/>
          <w:rtl/>
        </w:rPr>
        <w:lastRenderedPageBreak/>
        <w:t>في نبيه صلى الله عليه وسلم عارية وإضافة دون الحقيقة</w:t>
      </w:r>
      <w:r w:rsidRPr="00A52585">
        <w:rPr>
          <w:rFonts w:hint="cs"/>
          <w:rtl/>
        </w:rPr>
        <w:t>)</w:t>
      </w:r>
      <w:r w:rsidR="00777DCB" w:rsidRPr="00A52585">
        <w:rPr>
          <w:rFonts w:hint="cs"/>
          <w:rtl/>
        </w:rPr>
        <w:t xml:space="preserve"> وهو كلام حكيم منور القلب</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لم يظهر الحق سبحانه وتعالى مقام (</w:t>
      </w:r>
      <w:r w:rsidRPr="00A52585">
        <w:rPr>
          <w:rFonts w:hint="cs"/>
          <w:rtl/>
        </w:rPr>
        <w:t>(</w:t>
      </w:r>
      <w:r w:rsidR="00777DCB" w:rsidRPr="00A52585">
        <w:rPr>
          <w:rFonts w:hint="cs"/>
          <w:rtl/>
        </w:rPr>
        <w:t>الجمع</w:t>
      </w:r>
      <w:r w:rsidRPr="00A52585">
        <w:rPr>
          <w:rFonts w:hint="cs"/>
          <w:rtl/>
        </w:rPr>
        <w:t>)</w:t>
      </w:r>
      <w:r w:rsidR="00777DCB" w:rsidRPr="00A52585">
        <w:rPr>
          <w:rFonts w:hint="cs"/>
          <w:rtl/>
        </w:rPr>
        <w:t xml:space="preserve">) على أحد بالتصريح </w:t>
      </w:r>
      <w:r w:rsidRPr="00A52585">
        <w:rPr>
          <w:rFonts w:hint="cs"/>
          <w:rtl/>
        </w:rPr>
        <w:t>[</w:t>
      </w:r>
      <w:r w:rsidR="00777DCB" w:rsidRPr="00A52585">
        <w:rPr>
          <w:rFonts w:hint="cs"/>
          <w:rtl/>
        </w:rPr>
        <w:t>إلا</w:t>
      </w:r>
      <w:r w:rsidRPr="00A52585">
        <w:rPr>
          <w:rFonts w:hint="cs"/>
          <w:rtl/>
        </w:rPr>
        <w:t>]</w:t>
      </w:r>
      <w:r w:rsidR="00777DCB" w:rsidRPr="00A52585">
        <w:rPr>
          <w:rFonts w:hint="cs"/>
          <w:rtl/>
        </w:rPr>
        <w:t xml:space="preserve"> على أخص نَسَمة وأشرفها وهو المصطفى فقال </w:t>
      </w:r>
      <w:r w:rsidRPr="00A52585">
        <w:rPr>
          <w:rFonts w:hint="cs"/>
          <w:rtl/>
        </w:rPr>
        <w:t>{</w:t>
      </w:r>
      <w:r w:rsidR="00777DCB" w:rsidRPr="00A52585">
        <w:rPr>
          <w:rFonts w:hint="cs"/>
          <w:rtl/>
        </w:rPr>
        <w:t>إن الذين يبايعونك إنما يبايعون الله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الفتح</w:t>
      </w:r>
      <w:r w:rsidRPr="00A52585">
        <w:rPr>
          <w:rFonts w:hint="cs"/>
          <w:rtl/>
        </w:rPr>
        <w:t>:</w:t>
      </w:r>
      <w:r w:rsidR="00777DCB" w:rsidRPr="00A52585">
        <w:rPr>
          <w:rFonts w:hint="cs"/>
          <w:rtl/>
        </w:rPr>
        <w:t xml:space="preserve"> 10</w:t>
      </w:r>
      <w:r w:rsidRPr="00A52585">
        <w:rPr>
          <w:rFonts w:hint="cs"/>
          <w:rtl/>
        </w:rPr>
        <w:t>]</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الإمام شهاب الدين السهروردي في (عوارف المعارف)</w:t>
      </w:r>
      <w:r w:rsidRPr="00A52585">
        <w:rPr>
          <w:rFonts w:hint="cs"/>
          <w:sz w:val="24"/>
          <w:szCs w:val="24"/>
          <w:rtl/>
        </w:rPr>
        <w:t xml:space="preserve">: </w:t>
      </w:r>
      <w:r w:rsidR="00777DCB" w:rsidRPr="00A52585">
        <w:rPr>
          <w:rFonts w:hint="cs"/>
          <w:sz w:val="24"/>
          <w:szCs w:val="24"/>
          <w:rtl/>
        </w:rPr>
        <w:t>" والجمع</w:t>
      </w:r>
      <w:r w:rsidRPr="00A52585">
        <w:rPr>
          <w:rFonts w:hint="cs"/>
          <w:sz w:val="24"/>
          <w:szCs w:val="24"/>
          <w:rtl/>
        </w:rPr>
        <w:t>:</w:t>
      </w:r>
      <w:r w:rsidR="00777DCB" w:rsidRPr="00A52585">
        <w:rPr>
          <w:rFonts w:hint="cs"/>
          <w:sz w:val="24"/>
          <w:szCs w:val="24"/>
          <w:rtl/>
        </w:rPr>
        <w:t xml:space="preserve"> اتصال لا يشاهد صاحبه إلا الحق</w:t>
      </w:r>
      <w:r w:rsidR="00777DCB" w:rsidRPr="00A52585">
        <w:rPr>
          <w:sz w:val="24"/>
          <w:szCs w:val="24"/>
        </w:rPr>
        <w:t>…</w:t>
      </w:r>
      <w:r w:rsidR="00777DCB" w:rsidRPr="00A52585">
        <w:rPr>
          <w:rFonts w:hint="cs"/>
          <w:sz w:val="24"/>
          <w:szCs w:val="24"/>
          <w:rtl/>
        </w:rPr>
        <w:t xml:space="preserve"> ويقولون</w:t>
      </w:r>
      <w:r w:rsidRPr="00A52585">
        <w:rPr>
          <w:rFonts w:hint="cs"/>
          <w:sz w:val="24"/>
          <w:szCs w:val="24"/>
          <w:rtl/>
        </w:rPr>
        <w:t>:</w:t>
      </w:r>
      <w:r w:rsidR="00777DCB" w:rsidRPr="00A52585">
        <w:rPr>
          <w:rFonts w:hint="cs"/>
          <w:sz w:val="24"/>
          <w:szCs w:val="24"/>
          <w:rtl/>
        </w:rPr>
        <w:t xml:space="preserve"> فلان في عين الجمع، يعنون استيلاء مراقبة الحق على باطنه "</w:t>
      </w:r>
      <w:r w:rsidRPr="00A52585">
        <w:rPr>
          <w:rFonts w:hint="cs"/>
          <w:sz w:val="24"/>
          <w:szCs w:val="24"/>
          <w:rtl/>
        </w:rPr>
        <w:t xml:space="preserve"> </w:t>
      </w:r>
      <w:r w:rsidR="00777DCB" w:rsidRPr="00A52585">
        <w:rPr>
          <w:rFonts w:hint="cs"/>
          <w:sz w:val="24"/>
          <w:szCs w:val="24"/>
          <w:rtl/>
        </w:rPr>
        <w:t>أهـ المقصود منه ص 524-525ط دار الكتاب العربي</w:t>
      </w:r>
      <w:r w:rsidR="00DB731D" w:rsidRPr="00A52585">
        <w:rPr>
          <w:rFonts w:hint="cs"/>
          <w:sz w:val="24"/>
          <w:szCs w:val="24"/>
          <w:rtl/>
        </w:rPr>
        <w:t>،</w:t>
      </w:r>
      <w:r w:rsidR="00777DCB" w:rsidRPr="00A52585">
        <w:rPr>
          <w:rFonts w:hint="cs"/>
          <w:sz w:val="24"/>
          <w:szCs w:val="24"/>
          <w:rtl/>
        </w:rPr>
        <w:t xml:space="preserve"> ويقول الإمام أبو القاسم القشيري في تفسيره (لطائف الإشارات) عند تفسير الآية الكريمة </w:t>
      </w:r>
      <w:r w:rsidRPr="00A52585">
        <w:rPr>
          <w:rFonts w:hint="cs"/>
          <w:sz w:val="24"/>
          <w:szCs w:val="24"/>
          <w:rtl/>
        </w:rPr>
        <w:t>{</w:t>
      </w:r>
      <w:r w:rsidR="00777DCB" w:rsidRPr="00A52585">
        <w:rPr>
          <w:rFonts w:hint="cs"/>
          <w:sz w:val="24"/>
          <w:szCs w:val="24"/>
          <w:rtl/>
        </w:rPr>
        <w:t xml:space="preserve">إن الذين يبايعونك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الآية</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وفي هذه الآية تصريح بعين الجمع كما قال (وما رميت إذ رميت ولكن الله رمى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 (3/422) ط الهيئة المصرية العامة للكتاب</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ومنها</w:t>
      </w:r>
      <w:r w:rsidRPr="00A52585">
        <w:rPr>
          <w:rFonts w:hint="cs"/>
          <w:rtl/>
        </w:rPr>
        <w:t>:</w:t>
      </w:r>
      <w:r w:rsidR="00777DCB" w:rsidRPr="00A52585">
        <w:rPr>
          <w:rFonts w:hint="cs"/>
          <w:rtl/>
        </w:rPr>
        <w:t xml:space="preserve">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ورفعنا لك ذكرك</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الشرح</w:t>
      </w:r>
      <w:r w:rsidRPr="00A52585">
        <w:rPr>
          <w:rFonts w:hint="cs"/>
          <w:rtl/>
        </w:rPr>
        <w:t>:</w:t>
      </w:r>
      <w:r w:rsidR="00777DCB" w:rsidRPr="00A52585">
        <w:rPr>
          <w:rFonts w:hint="cs"/>
          <w:rtl/>
        </w:rPr>
        <w:t xml:space="preserve"> 4</w:t>
      </w:r>
      <w:r w:rsidRPr="00A52585">
        <w:rPr>
          <w:rFonts w:hint="cs"/>
          <w:rtl/>
        </w:rPr>
        <w:t>]</w:t>
      </w:r>
      <w:r w:rsidR="00DB731D" w:rsidRPr="00A52585">
        <w:rPr>
          <w:rFonts w:hint="cs"/>
          <w:rtl/>
        </w:rPr>
        <w:t>،</w:t>
      </w:r>
      <w:r w:rsidR="00777DCB" w:rsidRPr="00A52585">
        <w:rPr>
          <w:rFonts w:hint="cs"/>
          <w:rtl/>
        </w:rPr>
        <w:t xml:space="preserve"> قال ابن عباس رضي الله عنهما المراد الأذان والإقامة والتشهد والخطبة على المنابر</w:t>
      </w:r>
      <w:r w:rsidR="00DB731D" w:rsidRPr="00A52585">
        <w:rPr>
          <w:rFonts w:hint="cs"/>
          <w:rtl/>
        </w:rPr>
        <w:t>،</w:t>
      </w:r>
      <w:r w:rsidR="00777DCB" w:rsidRPr="00A52585">
        <w:rPr>
          <w:rFonts w:hint="cs"/>
          <w:rtl/>
        </w:rPr>
        <w:t xml:space="preserve"> فلو أن عبداً عبد الله وصدقه في كل شيء ولم يشهد أن محمداً رسول الله لم يسمع منه ولم ينتفع بشيء وكان كافراً</w:t>
      </w:r>
      <w:r w:rsidR="00DB731D" w:rsidRPr="00A52585">
        <w:rPr>
          <w:rFonts w:hint="cs"/>
          <w:rtl/>
        </w:rPr>
        <w:t>،</w:t>
      </w:r>
      <w:r w:rsidR="00777DCB" w:rsidRPr="00A52585">
        <w:rPr>
          <w:rFonts w:hint="cs"/>
          <w:rtl/>
        </w:rPr>
        <w:t xml:space="preserve"> وفي حديث أبي سعيد الخدري رضي الله عنه أن النبي صلى الله عليه وسلم سأل جبريل عليه السلام عن هذه الآية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قال الله عز وجل</w:t>
      </w:r>
      <w:r w:rsidRPr="00A52585">
        <w:rPr>
          <w:rFonts w:hint="cs"/>
          <w:rtl/>
        </w:rPr>
        <w:t>:</w:t>
      </w:r>
      <w:r w:rsidR="00777DCB" w:rsidRPr="00A52585">
        <w:rPr>
          <w:rFonts w:hint="cs"/>
          <w:rtl/>
        </w:rPr>
        <w:t xml:space="preserve"> إذا ذكرتُ ذُكِرَ معي</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حسن رواه الطبري في تفسيره وابن أبي حاتم وأبو يعلى في مسنده وابن حبان في صحيحه والضياء في المختارة وصححه السيوطي في (الجامع الصغير) يقول الحافظ المناوي في (التيسير)</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كلهم عن أبي سعيد الخدري ورواه عنه الطبراني أيضاً، وحسنه الهيثمي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ونص الحديث كما هو عند ابن حبان</w:t>
      </w:r>
      <w:r w:rsidRPr="00A52585">
        <w:rPr>
          <w:rFonts w:hint="cs"/>
          <w:sz w:val="24"/>
          <w:szCs w:val="24"/>
          <w:rtl/>
        </w:rPr>
        <w:t xml:space="preserve">: </w:t>
      </w:r>
      <w:r w:rsidR="00777DCB" w:rsidRPr="00A52585">
        <w:rPr>
          <w:rFonts w:hint="cs"/>
          <w:sz w:val="24"/>
          <w:szCs w:val="24"/>
          <w:rtl/>
        </w:rPr>
        <w:t>" عن أبي سعيد أن رسول الله صلى الله عليه وسلم قال</w:t>
      </w:r>
      <w:r w:rsidRPr="00A52585">
        <w:rPr>
          <w:rFonts w:hint="cs"/>
          <w:sz w:val="24"/>
          <w:szCs w:val="24"/>
          <w:rtl/>
        </w:rPr>
        <w:t xml:space="preserve">: </w:t>
      </w:r>
      <w:r w:rsidR="00777DCB" w:rsidRPr="00A52585">
        <w:rPr>
          <w:rFonts w:hint="cs"/>
          <w:sz w:val="24"/>
          <w:szCs w:val="24"/>
          <w:rtl/>
        </w:rPr>
        <w:t>" أتاني جبريل فقال</w:t>
      </w:r>
      <w:r w:rsidRPr="00A52585">
        <w:rPr>
          <w:rFonts w:hint="cs"/>
          <w:sz w:val="24"/>
          <w:szCs w:val="24"/>
          <w:rtl/>
        </w:rPr>
        <w:t>:</w:t>
      </w:r>
      <w:r w:rsidR="00777DCB" w:rsidRPr="00A52585">
        <w:rPr>
          <w:rFonts w:hint="cs"/>
          <w:sz w:val="24"/>
          <w:szCs w:val="24"/>
          <w:rtl/>
        </w:rPr>
        <w:t xml:space="preserve"> إن ربِّي وربَّك يقول لك</w:t>
      </w:r>
      <w:r w:rsidRPr="00A52585">
        <w:rPr>
          <w:rFonts w:hint="cs"/>
          <w:sz w:val="24"/>
          <w:szCs w:val="24"/>
          <w:rtl/>
        </w:rPr>
        <w:t>:</w:t>
      </w:r>
      <w:r w:rsidR="00777DCB" w:rsidRPr="00A52585">
        <w:rPr>
          <w:rFonts w:hint="cs"/>
          <w:sz w:val="24"/>
          <w:szCs w:val="24"/>
          <w:rtl/>
        </w:rPr>
        <w:t xml:space="preserve"> كيف رفعت ذكرك</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الله أعلم قال</w:t>
      </w:r>
      <w:r w:rsidRPr="00A52585">
        <w:rPr>
          <w:rFonts w:hint="cs"/>
          <w:sz w:val="24"/>
          <w:szCs w:val="24"/>
          <w:rtl/>
        </w:rPr>
        <w:t>:</w:t>
      </w:r>
      <w:r w:rsidR="00777DCB" w:rsidRPr="00A52585">
        <w:rPr>
          <w:rFonts w:hint="cs"/>
          <w:sz w:val="24"/>
          <w:szCs w:val="24"/>
          <w:rtl/>
        </w:rPr>
        <w:t xml:space="preserve"> إذا ذكرتُ </w:t>
      </w:r>
      <w:proofErr w:type="spellStart"/>
      <w:r w:rsidR="00777DCB" w:rsidRPr="00A52585">
        <w:rPr>
          <w:rFonts w:hint="cs"/>
          <w:sz w:val="24"/>
          <w:szCs w:val="24"/>
          <w:rtl/>
        </w:rPr>
        <w:t>ذكرتَ</w:t>
      </w:r>
      <w:proofErr w:type="spellEnd"/>
      <w:r w:rsidR="00777DCB" w:rsidRPr="00A52585">
        <w:rPr>
          <w:rFonts w:hint="cs"/>
          <w:sz w:val="24"/>
          <w:szCs w:val="24"/>
          <w:rtl/>
        </w:rPr>
        <w:t xml:space="preserve"> معي "</w:t>
      </w:r>
      <w:r w:rsidRPr="00A52585">
        <w:rPr>
          <w:rFonts w:hint="cs"/>
          <w:sz w:val="24"/>
          <w:szCs w:val="24"/>
          <w:rtl/>
        </w:rPr>
        <w:t>]</w:t>
      </w:r>
      <w:r w:rsidR="00DB731D" w:rsidRPr="00A52585">
        <w:rPr>
          <w:rFonts w:hint="cs"/>
          <w:sz w:val="24"/>
          <w:szCs w:val="24"/>
          <w:rtl/>
        </w:rPr>
        <w:t>،</w:t>
      </w:r>
      <w:r w:rsidR="00777DCB" w:rsidRPr="00A52585">
        <w:rPr>
          <w:rFonts w:hint="cs"/>
          <w:rtl/>
        </w:rPr>
        <w:t xml:space="preserve"> وقال قتادة رضي الله عنه رفع الله تعالى ذكره في الدنيا والآخرة</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رفع ذكره بأخذ ميثاقه على النبيين وإلزامهم الإيمان به والإقرار به</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ورفعنا لك ذكرك ليعرف المذنبون وأصحاب الحوائج قدر رتبتك لديّ ليتوسلوا بك إليّ فلا أرد أحداً عن مسألته فأعطيه إياها إما عاجلاً وإما آجلا ولا أخيب من توسل بك وإن كان كافراً ألا ترى إلى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وكانوا من قبل يستفتحون على الذين كفروا} </w:t>
      </w:r>
      <w:r w:rsidRPr="00A52585">
        <w:rPr>
          <w:rFonts w:hint="cs"/>
          <w:rtl/>
        </w:rPr>
        <w:t>[</w:t>
      </w:r>
      <w:r w:rsidR="00777DCB" w:rsidRPr="00A52585">
        <w:rPr>
          <w:rFonts w:hint="cs"/>
          <w:rtl/>
        </w:rPr>
        <w:t>البقرة</w:t>
      </w:r>
      <w:r w:rsidRPr="00A52585">
        <w:rPr>
          <w:rFonts w:hint="cs"/>
          <w:rtl/>
        </w:rPr>
        <w:t>:</w:t>
      </w:r>
      <w:r w:rsidR="00777DCB" w:rsidRPr="00A52585">
        <w:rPr>
          <w:rFonts w:hint="cs"/>
          <w:rtl/>
        </w:rPr>
        <w:t xml:space="preserve"> 89</w:t>
      </w:r>
      <w:r w:rsidRPr="00A52585">
        <w:rPr>
          <w:rFonts w:hint="cs"/>
          <w:rtl/>
        </w:rPr>
        <w:t>]</w:t>
      </w:r>
      <w:r w:rsidR="00DB731D" w:rsidRPr="00A52585">
        <w:rPr>
          <w:rFonts w:hint="cs"/>
          <w:rtl/>
        </w:rPr>
        <w:t>،</w:t>
      </w:r>
      <w:r w:rsidR="00777DCB" w:rsidRPr="00A52585">
        <w:rPr>
          <w:rFonts w:hint="cs"/>
          <w:rtl/>
        </w:rPr>
        <w:t xml:space="preserve"> وسيأتي الكلام على هذه الآية</w:t>
      </w:r>
      <w:r w:rsidR="00DB731D" w:rsidRPr="00A52585">
        <w:rPr>
          <w:rFonts w:hint="cs"/>
          <w:rtl/>
        </w:rPr>
        <w:t>،</w:t>
      </w:r>
      <w:r w:rsidR="00777DCB" w:rsidRPr="00A52585">
        <w:rPr>
          <w:rFonts w:hint="cs"/>
          <w:rtl/>
        </w:rPr>
        <w:t xml:space="preserve"> وقيل غير ذلك</w:t>
      </w:r>
      <w:r w:rsidR="00DB731D" w:rsidRPr="00A52585">
        <w:rPr>
          <w:rFonts w:hint="cs"/>
          <w:rtl/>
        </w:rPr>
        <w:t>،</w:t>
      </w:r>
      <w:r w:rsidR="00777DCB" w:rsidRPr="00A52585">
        <w:rPr>
          <w:rFonts w:hint="cs"/>
          <w:rtl/>
        </w:rPr>
        <w:t xml:space="preserve"> ولما هاجر النبي صلى الله عليه وسلم إلى المدينة قيل بكت مكة لفقده بدموع الحرقة على الخد وقالت</w:t>
      </w:r>
      <w:r w:rsidRPr="00A52585">
        <w:rPr>
          <w:rFonts w:hint="cs"/>
          <w:rtl/>
        </w:rPr>
        <w:t>:</w:t>
      </w:r>
      <w:r w:rsidR="00777DCB" w:rsidRPr="00A52585">
        <w:rPr>
          <w:rFonts w:hint="cs"/>
          <w:rtl/>
        </w:rPr>
        <w:t xml:space="preserve"> </w:t>
      </w:r>
      <w:proofErr w:type="spellStart"/>
      <w:r w:rsidR="00777DCB" w:rsidRPr="00A52585">
        <w:rPr>
          <w:rFonts w:hint="cs"/>
          <w:rtl/>
        </w:rPr>
        <w:t>وا</w:t>
      </w:r>
      <w:proofErr w:type="spellEnd"/>
      <w:r w:rsidR="00777DCB" w:rsidRPr="00A52585">
        <w:rPr>
          <w:rFonts w:hint="cs"/>
          <w:rtl/>
        </w:rPr>
        <w:t xml:space="preserve"> أسفاه على من أنزل عليه </w:t>
      </w:r>
      <w:r w:rsidRPr="00A52585">
        <w:rPr>
          <w:rFonts w:hint="cs"/>
          <w:rtl/>
        </w:rPr>
        <w:t>{</w:t>
      </w:r>
      <w:r w:rsidR="00777DCB" w:rsidRPr="00A52585">
        <w:rPr>
          <w:rFonts w:hint="cs"/>
          <w:rtl/>
        </w:rPr>
        <w:t xml:space="preserve">لا أقسم بهذا البلد وأنت حل بهذا البلد} </w:t>
      </w:r>
      <w:r w:rsidRPr="00A52585">
        <w:rPr>
          <w:rFonts w:hint="cs"/>
          <w:rtl/>
        </w:rPr>
        <w:t>[</w:t>
      </w:r>
      <w:r w:rsidR="00777DCB" w:rsidRPr="00A52585">
        <w:rPr>
          <w:rFonts w:hint="cs"/>
          <w:rtl/>
        </w:rPr>
        <w:t>البلد</w:t>
      </w:r>
      <w:r w:rsidRPr="00A52585">
        <w:rPr>
          <w:rFonts w:hint="cs"/>
          <w:rtl/>
        </w:rPr>
        <w:t>:</w:t>
      </w:r>
      <w:r w:rsidR="00777DCB" w:rsidRPr="00A52585">
        <w:rPr>
          <w:rFonts w:hint="cs"/>
          <w:rtl/>
        </w:rPr>
        <w:t xml:space="preserve"> 1</w:t>
      </w:r>
      <w:r w:rsidR="00DB731D" w:rsidRPr="00A52585">
        <w:rPr>
          <w:rFonts w:hint="cs"/>
          <w:rtl/>
        </w:rPr>
        <w:t>،</w:t>
      </w:r>
      <w:r w:rsidR="00777DCB" w:rsidRPr="00A52585">
        <w:rPr>
          <w:rFonts w:hint="cs"/>
          <w:rtl/>
        </w:rPr>
        <w:t xml:space="preserve"> 2</w:t>
      </w:r>
      <w:r w:rsidRPr="00A52585">
        <w:rPr>
          <w:rFonts w:hint="cs"/>
          <w:rtl/>
        </w:rPr>
        <w:t>]</w:t>
      </w:r>
      <w:r w:rsidR="00DB731D" w:rsidRPr="00A52585">
        <w:rPr>
          <w:rFonts w:hint="cs"/>
          <w:rtl/>
        </w:rPr>
        <w:t>،</w:t>
      </w:r>
      <w:r w:rsidR="00777DCB" w:rsidRPr="00A52585">
        <w:rPr>
          <w:rFonts w:hint="cs"/>
          <w:rtl/>
        </w:rPr>
        <w:t xml:space="preserve"> فمن جعل</w:t>
      </w:r>
      <w:r w:rsidRPr="00A52585">
        <w:rPr>
          <w:rFonts w:hint="cs"/>
          <w:rtl/>
        </w:rPr>
        <w:t xml:space="preserve"> {</w:t>
      </w:r>
      <w:r w:rsidR="00777DCB" w:rsidRPr="00A52585">
        <w:rPr>
          <w:rFonts w:hint="cs"/>
          <w:rtl/>
        </w:rPr>
        <w:t>لا</w:t>
      </w:r>
      <w:r w:rsidRPr="00A52585">
        <w:rPr>
          <w:rFonts w:hint="cs"/>
          <w:rtl/>
        </w:rPr>
        <w:t>}</w:t>
      </w:r>
      <w:r w:rsidR="00777DCB" w:rsidRPr="00A52585">
        <w:rPr>
          <w:rFonts w:hint="cs"/>
          <w:rtl/>
        </w:rPr>
        <w:t xml:space="preserve"> زائداً فالمعنى أقسم بهذا البلد وهو مكة. لحلولك فيه</w:t>
      </w:r>
      <w:r w:rsidR="00DB731D" w:rsidRPr="00A52585">
        <w:rPr>
          <w:rFonts w:hint="cs"/>
          <w:rtl/>
        </w:rPr>
        <w:t>،</w:t>
      </w:r>
      <w:r w:rsidR="00777DCB" w:rsidRPr="00A52585">
        <w:rPr>
          <w:rFonts w:hint="cs"/>
          <w:rtl/>
        </w:rPr>
        <w:t xml:space="preserve"> ومن جعل </w:t>
      </w:r>
      <w:r w:rsidRPr="00A52585">
        <w:rPr>
          <w:rFonts w:hint="cs"/>
          <w:rtl/>
        </w:rPr>
        <w:t>{</w:t>
      </w:r>
      <w:r w:rsidR="00777DCB" w:rsidRPr="00A52585">
        <w:rPr>
          <w:rFonts w:hint="cs"/>
          <w:rtl/>
        </w:rPr>
        <w:t>لا</w:t>
      </w:r>
      <w:r w:rsidRPr="00A52585">
        <w:rPr>
          <w:rFonts w:hint="cs"/>
          <w:rtl/>
        </w:rPr>
        <w:t>}</w:t>
      </w:r>
      <w:r w:rsidR="00777DCB" w:rsidRPr="00A52585">
        <w:rPr>
          <w:rFonts w:hint="cs"/>
          <w:rtl/>
        </w:rPr>
        <w:t xml:space="preserve"> أصلية فالمعنى (لا أقسم بهذا البلد) وأنت حال فيه</w:t>
      </w:r>
      <w:r w:rsidR="00DB731D" w:rsidRPr="00A52585">
        <w:rPr>
          <w:rFonts w:hint="cs"/>
          <w:rtl/>
        </w:rPr>
        <w:t>،</w:t>
      </w:r>
      <w:r w:rsidR="00777DCB" w:rsidRPr="00A52585">
        <w:rPr>
          <w:rFonts w:hint="cs"/>
          <w:rtl/>
        </w:rPr>
        <w:t xml:space="preserve"> بل أقسم بك وبحياتك</w:t>
      </w:r>
      <w:r w:rsidR="00DB731D" w:rsidRPr="00A52585">
        <w:rPr>
          <w:rFonts w:hint="cs"/>
          <w:rtl/>
        </w:rPr>
        <w:t>،</w:t>
      </w:r>
      <w:r w:rsidR="00777DCB" w:rsidRPr="00A52585">
        <w:rPr>
          <w:rFonts w:hint="cs"/>
          <w:rtl/>
        </w:rPr>
        <w:t xml:space="preserve"> وهذا يدل على علو قدره عند ربه ورفعته التي لم يفز بها غيره</w:t>
      </w:r>
      <w:r w:rsidR="00DB731D" w:rsidRPr="00A52585">
        <w:rPr>
          <w:rFonts w:hint="cs"/>
          <w:rtl/>
        </w:rPr>
        <w:t>،</w:t>
      </w:r>
      <w:r w:rsidR="00777DCB" w:rsidRPr="00A52585">
        <w:rPr>
          <w:rFonts w:hint="cs"/>
          <w:rtl/>
        </w:rPr>
        <w:t xml:space="preserve"> وفي حديث عائشة رضي الله عنها أن جبريل عليه السلام قال</w:t>
      </w:r>
      <w:r w:rsidRPr="00A52585">
        <w:rPr>
          <w:rFonts w:hint="cs"/>
          <w:rtl/>
        </w:rPr>
        <w:t>:</w:t>
      </w:r>
      <w:r w:rsidR="00777DCB" w:rsidRPr="00A52585">
        <w:rPr>
          <w:rFonts w:hint="cs"/>
          <w:rtl/>
        </w:rPr>
        <w:t xml:space="preserve"> قلبت مشارق الأرض ومغاربها فلم أر رجلاً أفضل من محمد صلى الله عليه وسلم</w:t>
      </w:r>
      <w:r w:rsidR="00DB731D" w:rsidRPr="00A52585">
        <w:rPr>
          <w:rFonts w:hint="cs"/>
          <w:rtl/>
        </w:rPr>
        <w:t>،</w:t>
      </w:r>
      <w:r w:rsidR="00777DCB" w:rsidRPr="00A52585">
        <w:rPr>
          <w:rFonts w:hint="cs"/>
          <w:rtl/>
        </w:rPr>
        <w:t xml:space="preserve"> وقال ابن عباس رضي الله عنهما من </w:t>
      </w:r>
      <w:r w:rsidR="00777DCB" w:rsidRPr="00A52585">
        <w:rPr>
          <w:rFonts w:hint="cs"/>
          <w:rtl/>
        </w:rPr>
        <w:lastRenderedPageBreak/>
        <w:t>رواية أبي الجوزاء رضي الله عنه</w:t>
      </w:r>
      <w:r w:rsidRPr="00A52585">
        <w:rPr>
          <w:rFonts w:hint="cs"/>
          <w:rtl/>
        </w:rPr>
        <w:t>:</w:t>
      </w:r>
      <w:r w:rsidR="00777DCB" w:rsidRPr="00A52585">
        <w:rPr>
          <w:rFonts w:hint="cs"/>
          <w:rtl/>
        </w:rPr>
        <w:t xml:space="preserve"> ما خلق الله ولا ذرأ ولا برأ نفساً أكرم على الله من محمد صلى الله عليه وسلم ولا رأيت الله عز وجل أقسم بحياة أحد إلا بحياته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لعمرك إنهم لفي سكرتهم يعمهون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الحجر</w:t>
      </w:r>
      <w:r w:rsidRPr="00A52585">
        <w:rPr>
          <w:rFonts w:hint="cs"/>
          <w:rtl/>
        </w:rPr>
        <w:t>:</w:t>
      </w:r>
      <w:r w:rsidR="00777DCB" w:rsidRPr="00A52585">
        <w:rPr>
          <w:rFonts w:hint="cs"/>
          <w:rtl/>
        </w:rPr>
        <w:t xml:space="preserve"> 72</w:t>
      </w:r>
      <w:r w:rsidRPr="00A52585">
        <w:rPr>
          <w:rFonts w:hint="cs"/>
          <w:rtl/>
        </w:rPr>
        <w:t>]</w:t>
      </w:r>
      <w:r w:rsidR="00DB731D" w:rsidRPr="00A52585">
        <w:rPr>
          <w:rFonts w:hint="cs"/>
          <w:rtl/>
        </w:rPr>
        <w:t>،</w:t>
      </w:r>
      <w:r w:rsidR="00777DCB" w:rsidRPr="00A52585">
        <w:rPr>
          <w:rFonts w:hint="cs"/>
          <w:rtl/>
        </w:rPr>
        <w:t xml:space="preserve"> والعمه في البصيرة والعمى في البصر</w:t>
      </w:r>
      <w:r w:rsidR="00DB731D" w:rsidRPr="00A52585">
        <w:rPr>
          <w:rFonts w:hint="cs"/>
          <w:rtl/>
        </w:rPr>
        <w:t>،</w:t>
      </w:r>
      <w:r w:rsidR="00777DCB" w:rsidRPr="00A52585">
        <w:rPr>
          <w:rFonts w:hint="cs"/>
          <w:rtl/>
        </w:rPr>
        <w:t xml:space="preserve"> وفي رواية عطاء عن ابن عباس رضي الله عنهما</w:t>
      </w:r>
      <w:r w:rsidRPr="00A52585">
        <w:rPr>
          <w:rFonts w:hint="cs"/>
          <w:rtl/>
        </w:rPr>
        <w:t>:</w:t>
      </w:r>
      <w:r w:rsidR="00777DCB" w:rsidRPr="00A52585">
        <w:rPr>
          <w:rFonts w:hint="cs"/>
          <w:rtl/>
        </w:rPr>
        <w:t xml:space="preserve"> المعنى</w:t>
      </w:r>
      <w:r w:rsidRPr="00A52585">
        <w:rPr>
          <w:rFonts w:hint="cs"/>
          <w:rtl/>
        </w:rPr>
        <w:t>:</w:t>
      </w:r>
      <w:r w:rsidR="00777DCB" w:rsidRPr="00A52585">
        <w:rPr>
          <w:rFonts w:hint="cs"/>
          <w:rtl/>
        </w:rPr>
        <w:t xml:space="preserve"> وعيشك يا محمد إنهم لفي سكرتهم يعمهون</w:t>
      </w:r>
      <w:r w:rsidR="00DB731D" w:rsidRPr="00A52585">
        <w:rPr>
          <w:rFonts w:hint="cs"/>
          <w:rtl/>
        </w:rPr>
        <w:t>،</w:t>
      </w:r>
      <w:r w:rsidR="00777DCB" w:rsidRPr="00A52585">
        <w:rPr>
          <w:rFonts w:hint="cs"/>
          <w:rtl/>
        </w:rPr>
        <w:t xml:space="preserve"> وقال بعضهم</w:t>
      </w:r>
      <w:r w:rsidRPr="00A52585">
        <w:rPr>
          <w:rFonts w:hint="cs"/>
          <w:rtl/>
        </w:rPr>
        <w:t>:</w:t>
      </w:r>
      <w:r w:rsidR="00777DCB" w:rsidRPr="00A52585">
        <w:rPr>
          <w:rFonts w:hint="cs"/>
          <w:rtl/>
        </w:rPr>
        <w:t xml:space="preserve"> أقسم بحياة محمد لأن حياته كانت به وهو في قبضة الحق وبساط القرب وشرف الانبساط ومقام الاتفاق الذي</w:t>
      </w:r>
      <w:r w:rsidRPr="00A52585">
        <w:rPr>
          <w:rFonts w:hint="cs"/>
          <w:rtl/>
        </w:rPr>
        <w:t xml:space="preserve"> </w:t>
      </w:r>
      <w:r w:rsidR="00777DCB" w:rsidRPr="00A52585">
        <w:rPr>
          <w:rFonts w:hint="cs"/>
          <w:rtl/>
        </w:rPr>
        <w:t>لا يقوم به غيره. فبحياتك يكون القسم فإن الكل زاغوا وما زغت وسألوا وما سألت حتى بدأناك ونزلناك منزلة ما نالها غيرك</w:t>
      </w:r>
      <w:r w:rsidR="00DB731D" w:rsidRPr="00A52585">
        <w:rPr>
          <w:rFonts w:hint="cs"/>
          <w:rtl/>
        </w:rPr>
        <w:t>،</w:t>
      </w:r>
      <w:r w:rsidR="00777DCB" w:rsidRPr="00A52585">
        <w:rPr>
          <w:rFonts w:hint="cs"/>
          <w:rtl/>
        </w:rPr>
        <w:t xml:space="preserve"> ولا ينالها أحداً سواك</w:t>
      </w:r>
      <w:r w:rsidR="00DB731D" w:rsidRPr="00A52585">
        <w:rPr>
          <w:rFonts w:hint="cs"/>
          <w:rtl/>
        </w:rPr>
        <w:t>،</w:t>
      </w:r>
      <w:r w:rsidR="00777DCB" w:rsidRPr="00A52585">
        <w:rPr>
          <w:rFonts w:hint="cs"/>
          <w:rtl/>
        </w:rPr>
        <w:t xml:space="preserve"> وقيل المعنى</w:t>
      </w:r>
      <w:r w:rsidRPr="00A52585">
        <w:rPr>
          <w:rFonts w:hint="cs"/>
          <w:rtl/>
        </w:rPr>
        <w:t>:</w:t>
      </w:r>
      <w:r w:rsidR="00777DCB" w:rsidRPr="00A52585">
        <w:rPr>
          <w:rFonts w:hint="cs"/>
          <w:rtl/>
        </w:rPr>
        <w:t xml:space="preserve"> وحياتك التي خصصت بها من بين الخلق فيُحيَوا بالأرواح وحييت بنا</w:t>
      </w:r>
      <w:r w:rsidR="00DB731D" w:rsidRPr="00A52585">
        <w:rPr>
          <w:rFonts w:hint="cs"/>
          <w:rtl/>
        </w:rPr>
        <w:t>،</w:t>
      </w:r>
      <w:r w:rsidR="00777DCB" w:rsidRPr="00A52585">
        <w:rPr>
          <w:rFonts w:hint="cs"/>
          <w:rtl/>
        </w:rPr>
        <w:t xml:space="preserve"> ولهذا تتمة مهمة ذكرتها في المولد يتعين الوقوف عليها</w:t>
      </w:r>
      <w:r w:rsidR="00DB731D" w:rsidRPr="00A52585">
        <w:rPr>
          <w:rFonts w:hint="cs"/>
          <w:rtl/>
        </w:rPr>
        <w:t>،</w:t>
      </w:r>
      <w:r w:rsidR="00777DCB" w:rsidRPr="00A52585">
        <w:rPr>
          <w:rFonts w:hint="cs"/>
          <w:rtl/>
        </w:rPr>
        <w:t xml:space="preserve"> وقيل</w:t>
      </w:r>
      <w:r w:rsidRPr="00A52585">
        <w:rPr>
          <w:rFonts w:hint="cs"/>
          <w:rtl/>
        </w:rPr>
        <w:t>:</w:t>
      </w:r>
      <w:r w:rsidR="00777DCB" w:rsidRPr="00A52585">
        <w:rPr>
          <w:rFonts w:hint="cs"/>
          <w:rtl/>
        </w:rPr>
        <w:t xml:space="preserve"> </w:t>
      </w:r>
      <w:r w:rsidR="00777DCB" w:rsidRPr="00A52585">
        <w:rPr>
          <w:rFonts w:hint="cs"/>
          <w:bCs/>
          <w:rtl/>
        </w:rPr>
        <w:t>أقسم الله عز وجل في الأزل بحياته ليظهر شرفه وعلو قدره ودنو منزلته عنده</w:t>
      </w:r>
      <w:r w:rsidR="00DB731D" w:rsidRPr="00A52585">
        <w:rPr>
          <w:rFonts w:hint="cs"/>
          <w:bCs/>
          <w:rtl/>
        </w:rPr>
        <w:t>،</w:t>
      </w:r>
      <w:r w:rsidR="00777DCB" w:rsidRPr="00A52585">
        <w:rPr>
          <w:rFonts w:hint="cs"/>
          <w:bCs/>
          <w:rtl/>
        </w:rPr>
        <w:t xml:space="preserve"> ليتوسل المتوسلون به إليه قبل بروزه إلى الوجود وفي حياته وبعد وفاته وفي عرصات القيامة</w:t>
      </w:r>
      <w:r w:rsidR="00DB731D" w:rsidRPr="00A52585">
        <w:rPr>
          <w:rFonts w:hint="cs"/>
          <w:bCs/>
          <w:rtl/>
        </w:rPr>
        <w:t>،</w:t>
      </w:r>
      <w:r w:rsidR="00777DCB" w:rsidRPr="00A52585">
        <w:rPr>
          <w:rFonts w:hint="cs"/>
          <w:rtl/>
        </w:rPr>
        <w:t xml:space="preserve"> ولهذا وغيره لم يزل أهل الإيمان به يتوسلون به في حياته وبعد وفاته من غير نكير</w:t>
      </w:r>
      <w:r w:rsidR="00DB731D" w:rsidRPr="00A52585">
        <w:rPr>
          <w:rFonts w:hint="cs"/>
          <w:rtl/>
        </w:rPr>
        <w:t>،</w:t>
      </w:r>
      <w:r w:rsidR="00777DCB" w:rsidRPr="00A52585">
        <w:rPr>
          <w:rFonts w:hint="cs"/>
          <w:rtl/>
        </w:rPr>
        <w:t xml:space="preserve"> </w:t>
      </w:r>
    </w:p>
    <w:p w14:paraId="34A3C963" w14:textId="5BB7AB59" w:rsidR="00777DCB" w:rsidRPr="00A52585" w:rsidRDefault="0002035C" w:rsidP="0002035C">
      <w:pPr>
        <w:spacing w:after="240"/>
        <w:rPr>
          <w:b/>
          <w:bCs/>
          <w:rtl/>
        </w:rPr>
      </w:pPr>
      <w:r w:rsidRPr="00A52585">
        <w:rPr>
          <w:rFonts w:hint="cs"/>
          <w:bCs/>
          <w:rtl/>
        </w:rPr>
        <w:t>[</w:t>
      </w:r>
      <w:r w:rsidR="00777DCB" w:rsidRPr="00A52585">
        <w:rPr>
          <w:rFonts w:hint="cs"/>
          <w:bCs/>
          <w:rtl/>
        </w:rPr>
        <w:t>ب- توسل أهل الكتاب بالنبي صلى الله عليه وسلم قبل وجوده</w:t>
      </w:r>
      <w:r w:rsidRPr="00A52585">
        <w:rPr>
          <w:rFonts w:hint="cs"/>
          <w:bCs/>
          <w:rtl/>
        </w:rPr>
        <w:t>]:</w:t>
      </w:r>
      <w:r w:rsidR="00777DCB" w:rsidRPr="00A52585">
        <w:rPr>
          <w:rFonts w:hint="cs"/>
          <w:bCs/>
          <w:rtl/>
        </w:rPr>
        <w:t xml:space="preserve"> </w:t>
      </w:r>
      <w:r w:rsidR="00777DCB" w:rsidRPr="00A52585">
        <w:rPr>
          <w:rFonts w:hint="cs"/>
          <w:rtl/>
        </w:rPr>
        <w:t>وكان أهل الكتاب لهم علم من ذلك فكانوا يتوسلون به قبل وجوده فيستجاب لهم كما قال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وكانوا من قبل يستفتحون على الذين كفروا</w:t>
      </w:r>
      <w:r w:rsidRPr="00A52585">
        <w:rPr>
          <w:rFonts w:hint="cs"/>
          <w:rtl/>
        </w:rPr>
        <w:t>}</w:t>
      </w:r>
      <w:r w:rsidR="00DB731D" w:rsidRPr="00A52585">
        <w:rPr>
          <w:rFonts w:hint="cs"/>
          <w:rtl/>
        </w:rPr>
        <w:t>،</w:t>
      </w:r>
      <w:r w:rsidR="00777DCB" w:rsidRPr="00A52585">
        <w:rPr>
          <w:rFonts w:hint="cs"/>
          <w:rtl/>
        </w:rPr>
        <w:t xml:space="preserve"> قال ابن عباس رضي الله عنهما</w:t>
      </w:r>
      <w:r w:rsidRPr="00A52585">
        <w:rPr>
          <w:rFonts w:hint="cs"/>
          <w:rtl/>
        </w:rPr>
        <w:t>:</w:t>
      </w:r>
      <w:r w:rsidR="00777DCB" w:rsidRPr="00A52585">
        <w:rPr>
          <w:rFonts w:hint="cs"/>
          <w:rtl/>
        </w:rPr>
        <w:t xml:space="preserve"> كانت أهل خيبر تقاتل غطفان</w:t>
      </w:r>
      <w:r w:rsidR="00DB731D" w:rsidRPr="00A52585">
        <w:rPr>
          <w:rFonts w:hint="cs"/>
          <w:rtl/>
        </w:rPr>
        <w:t>،</w:t>
      </w:r>
      <w:r w:rsidR="00777DCB" w:rsidRPr="00A52585">
        <w:rPr>
          <w:rFonts w:hint="cs"/>
          <w:rtl/>
        </w:rPr>
        <w:t xml:space="preserve"> كلما التقوا هزمت غطفان يهود</w:t>
      </w:r>
      <w:r w:rsidR="00DB731D" w:rsidRPr="00A52585">
        <w:rPr>
          <w:rFonts w:hint="cs"/>
          <w:rtl/>
        </w:rPr>
        <w:t>،</w:t>
      </w:r>
      <w:r w:rsidR="00777DCB" w:rsidRPr="00A52585">
        <w:rPr>
          <w:rFonts w:hint="cs"/>
          <w:rtl/>
        </w:rPr>
        <w:t xml:space="preserve"> فعاذت يهود بهذا الدعاء</w:t>
      </w:r>
      <w:r w:rsidRPr="00A52585">
        <w:rPr>
          <w:rFonts w:hint="cs"/>
          <w:rtl/>
        </w:rPr>
        <w:t>:</w:t>
      </w:r>
      <w:r w:rsidR="00777DCB" w:rsidRPr="00A52585">
        <w:rPr>
          <w:rFonts w:hint="cs"/>
          <w:rtl/>
        </w:rPr>
        <w:t xml:space="preserve"> اللهم إنا نسألك بحق النبي الذي وعدتنا أن تخرجه لنا آخر الزمان إلاَّ نصرتنا عليهم فكانوا إذا التقوا ودعوا بهذا الدعاء فتهزم يهود غطفان ـ ويهود غير منصرف للعلمية والتأنيث علم على قبيلة - </w:t>
      </w:r>
      <w:r w:rsidR="00777DCB" w:rsidRPr="00A52585">
        <w:rPr>
          <w:rFonts w:hint="cs"/>
          <w:sz w:val="24"/>
          <w:rtl/>
        </w:rPr>
        <w:t>هي أمة موسى عليه وعلى نبينا الصلاة والسلام -</w:t>
      </w:r>
      <w:r w:rsidR="00777DCB" w:rsidRPr="00A52585">
        <w:rPr>
          <w:rFonts w:hint="cs"/>
          <w:rtl/>
        </w:rPr>
        <w:t xml:space="preserve"> فلما بعث النبي صلى الله عليه وسلم كفروا به فأنزل الله عز وجل </w:t>
      </w:r>
      <w:r w:rsidRPr="00A52585">
        <w:rPr>
          <w:rFonts w:hint="cs"/>
          <w:rtl/>
        </w:rPr>
        <w:t>{</w:t>
      </w:r>
      <w:r w:rsidR="00777DCB" w:rsidRPr="00A52585">
        <w:rPr>
          <w:rFonts w:hint="cs"/>
          <w:rtl/>
        </w:rPr>
        <w:t>وكانوا من قبل يستفتحون على الذين كفروا</w:t>
      </w:r>
      <w:r w:rsidRPr="00A52585">
        <w:rPr>
          <w:rFonts w:hint="cs"/>
          <w:rtl/>
        </w:rPr>
        <w:t>}</w:t>
      </w:r>
      <w:r w:rsidR="00777DCB" w:rsidRPr="00A52585">
        <w:rPr>
          <w:rFonts w:hint="cs"/>
          <w:rtl/>
        </w:rPr>
        <w:t xml:space="preserve"> أي يدعون بك يا محمد إلى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فلعنة الله على الكافرين</w:t>
      </w:r>
      <w:r w:rsidRPr="00A52585">
        <w:rPr>
          <w:rFonts w:hint="cs"/>
          <w:rtl/>
        </w:rPr>
        <w:t>}</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الآية 89</w:t>
      </w:r>
      <w:r w:rsidR="00DB731D" w:rsidRPr="00A52585">
        <w:rPr>
          <w:rFonts w:hint="cs"/>
          <w:sz w:val="24"/>
          <w:szCs w:val="24"/>
          <w:rtl/>
        </w:rPr>
        <w:t>،</w:t>
      </w:r>
      <w:r w:rsidR="00777DCB" w:rsidRPr="00A52585">
        <w:rPr>
          <w:rFonts w:hint="cs"/>
          <w:sz w:val="24"/>
          <w:szCs w:val="24"/>
          <w:rtl/>
        </w:rPr>
        <w:t xml:space="preserve"> من سورة البقرة</w:t>
      </w:r>
      <w:r w:rsidR="00DB731D" w:rsidRPr="00A52585">
        <w:rPr>
          <w:rFonts w:hint="cs"/>
          <w:sz w:val="24"/>
          <w:szCs w:val="24"/>
          <w:rtl/>
        </w:rPr>
        <w:t>،</w:t>
      </w:r>
      <w:r w:rsidR="00777DCB" w:rsidRPr="00A52585">
        <w:rPr>
          <w:rFonts w:hint="cs"/>
          <w:sz w:val="24"/>
          <w:szCs w:val="24"/>
          <w:rtl/>
        </w:rPr>
        <w:t xml:space="preserve"> وهذا الأثر رواه الحاكم في (المستدرك) والبيهقي في (الدلائل) من طريق عبد الملك بن هارون بن عنترة عن أبيه عن جده عن سعيد بن جبير عن ابن عباس رضي الله عنهما قال العلامة المحدث السيد/ عبد الله الغماري</w:t>
      </w:r>
      <w:r w:rsidRPr="00A52585">
        <w:rPr>
          <w:rFonts w:hint="cs"/>
          <w:sz w:val="24"/>
          <w:szCs w:val="24"/>
          <w:rtl/>
        </w:rPr>
        <w:t xml:space="preserve">: </w:t>
      </w:r>
      <w:r w:rsidR="00777DCB" w:rsidRPr="00A52585">
        <w:rPr>
          <w:rFonts w:hint="cs"/>
          <w:sz w:val="24"/>
          <w:szCs w:val="24"/>
          <w:rtl/>
        </w:rPr>
        <w:t>"هذا إسناد ضعيف لضعف عبد الملك بن هارون لكن للأثر طرق، فأخرج أبو نعيم في (الدلائل) من طريق عطاء والضحاك عن ابن عباس قال</w:t>
      </w:r>
      <w:r w:rsidRPr="00A52585">
        <w:rPr>
          <w:rFonts w:hint="cs"/>
          <w:sz w:val="24"/>
          <w:szCs w:val="24"/>
          <w:rtl/>
        </w:rPr>
        <w:t>:</w:t>
      </w:r>
      <w:r w:rsidR="00777DCB" w:rsidRPr="00A52585">
        <w:rPr>
          <w:rFonts w:hint="cs"/>
          <w:sz w:val="24"/>
          <w:szCs w:val="24"/>
          <w:rtl/>
        </w:rPr>
        <w:t xml:space="preserve"> كانت يهود بني قريظة والنضير من قبل أن يبعث محمد صلى الله عليه وسلم يستفتحون الله يدعون على الذين كفروا يقولون (اللهم إنا </w:t>
      </w:r>
      <w:proofErr w:type="spellStart"/>
      <w:r w:rsidR="00777DCB" w:rsidRPr="00A52585">
        <w:rPr>
          <w:rFonts w:hint="cs"/>
          <w:sz w:val="24"/>
          <w:szCs w:val="24"/>
          <w:rtl/>
        </w:rPr>
        <w:t>نستنصرك</w:t>
      </w:r>
      <w:proofErr w:type="spellEnd"/>
      <w:r w:rsidR="00777DCB" w:rsidRPr="00A52585">
        <w:rPr>
          <w:rFonts w:hint="cs"/>
          <w:sz w:val="24"/>
          <w:szCs w:val="24"/>
          <w:rtl/>
        </w:rPr>
        <w:t xml:space="preserve"> بحق النبي الأمي إلا نصرتنا) فينصرون، فلما جاءهم ما عرفوا </w:t>
      </w:r>
      <w:r w:rsidR="00777DCB" w:rsidRPr="00A52585">
        <w:rPr>
          <w:sz w:val="24"/>
          <w:szCs w:val="24"/>
        </w:rPr>
        <w:t>–</w:t>
      </w:r>
      <w:r w:rsidR="00777DCB" w:rsidRPr="00A52585">
        <w:rPr>
          <w:rFonts w:hint="cs"/>
          <w:sz w:val="24"/>
          <w:szCs w:val="24"/>
          <w:rtl/>
        </w:rPr>
        <w:t xml:space="preserve"> يريد محمداً صلى الله عليه وسلم - ولم يشكوا فيه كفروا به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xml:space="preserve">" ووجه الدلالة عن هذا الأثر ظاهر فإن الله تعالى أقرهم على توسلهم بالنبي صلى الله عليه وسلم ولم يذمهم عليه وإنما ذمهم على جحودهم وكفرهم به بعد ما شاهدوا من بركة التوسل </w:t>
      </w:r>
      <w:r w:rsidR="00777DCB" w:rsidRPr="00A52585">
        <w:rPr>
          <w:rFonts w:hint="cs"/>
          <w:sz w:val="24"/>
          <w:szCs w:val="24"/>
          <w:rtl/>
        </w:rPr>
        <w:lastRenderedPageBreak/>
        <w:t>به ما لا ينكره إلا من كان مثلهم أعمى القلب والبصيرة عافانا الله من ذلك بحق نبيه"</w:t>
      </w:r>
      <w:r w:rsidRPr="00A52585">
        <w:rPr>
          <w:rFonts w:hint="cs"/>
          <w:sz w:val="24"/>
          <w:szCs w:val="24"/>
          <w:rtl/>
        </w:rPr>
        <w:t xml:space="preserve"> </w:t>
      </w:r>
      <w:r w:rsidR="00777DCB" w:rsidRPr="00A52585">
        <w:rPr>
          <w:rFonts w:hint="cs"/>
          <w:sz w:val="24"/>
          <w:szCs w:val="24"/>
          <w:rtl/>
        </w:rPr>
        <w:t xml:space="preserve">أهـ الرد المحكم المتين ص 194 </w:t>
      </w:r>
      <w:r w:rsidR="00777DCB" w:rsidRPr="00A52585">
        <w:rPr>
          <w:sz w:val="24"/>
          <w:szCs w:val="24"/>
        </w:rPr>
        <w:t>–</w:t>
      </w:r>
      <w:r w:rsidR="00777DCB" w:rsidRPr="00A52585">
        <w:rPr>
          <w:rFonts w:hint="cs"/>
          <w:sz w:val="24"/>
          <w:szCs w:val="24"/>
          <w:rtl/>
        </w:rPr>
        <w:t xml:space="preserve"> 195</w:t>
      </w:r>
      <w:r w:rsidR="00DB731D" w:rsidRPr="00A52585">
        <w:rPr>
          <w:rFonts w:hint="cs"/>
          <w:sz w:val="24"/>
          <w:szCs w:val="24"/>
          <w:rtl/>
        </w:rPr>
        <w:t>،</w:t>
      </w:r>
      <w:r w:rsidR="00777DCB" w:rsidRPr="00A52585">
        <w:rPr>
          <w:rFonts w:hint="cs"/>
          <w:sz w:val="24"/>
          <w:szCs w:val="24"/>
          <w:rtl/>
        </w:rPr>
        <w:t xml:space="preserve"> وقد اعتمد كثيرون من أئمة المفسرين هذا الأثر تفسيراً لقوله تعالى في سورة البقرة </w:t>
      </w:r>
      <w:r w:rsidRPr="00A52585">
        <w:rPr>
          <w:rFonts w:hint="cs"/>
          <w:sz w:val="24"/>
          <w:szCs w:val="24"/>
          <w:rtl/>
        </w:rPr>
        <w:t>{</w:t>
      </w:r>
      <w:r w:rsidR="00777DCB" w:rsidRPr="00A52585">
        <w:rPr>
          <w:rFonts w:hint="cs"/>
          <w:sz w:val="24"/>
          <w:szCs w:val="24"/>
          <w:rtl/>
        </w:rPr>
        <w:t>ولما جاءهم كتاب من عند الله مصدق لما معهم وكانوا من قبل يستفتحون على الذين كفروا</w:t>
      </w:r>
      <w:r w:rsidRPr="00A52585">
        <w:rPr>
          <w:rFonts w:hint="cs"/>
          <w:sz w:val="24"/>
          <w:szCs w:val="24"/>
          <w:rtl/>
        </w:rPr>
        <w:t>}</w:t>
      </w:r>
      <w:r w:rsidR="00777DCB" w:rsidRPr="00A52585">
        <w:rPr>
          <w:rFonts w:hint="cs"/>
          <w:sz w:val="24"/>
          <w:szCs w:val="24"/>
          <w:rtl/>
        </w:rPr>
        <w:t xml:space="preserve"> الآية وهو ما أشار إليه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ومن هؤلاء المفسرين الإمام النيسابوري، الزمخشري في الكشاف، الخازن والبغوي والنسفي والألوسي فراجع كتبهم في التفسير</w:t>
      </w:r>
      <w:r w:rsidR="00DB731D" w:rsidRPr="00A52585">
        <w:rPr>
          <w:rFonts w:hint="cs"/>
          <w:sz w:val="24"/>
          <w:szCs w:val="24"/>
          <w:rtl/>
        </w:rPr>
        <w:t>،</w:t>
      </w:r>
      <w:r w:rsidR="00777DCB" w:rsidRPr="00A52585">
        <w:rPr>
          <w:rFonts w:hint="cs"/>
          <w:sz w:val="24"/>
          <w:szCs w:val="24"/>
          <w:rtl/>
        </w:rPr>
        <w:t xml:space="preserve"> روى الطبراني عن أمية بن عبد الله بن خالد بن أسيد قال</w:t>
      </w:r>
      <w:r w:rsidRPr="00A52585">
        <w:rPr>
          <w:rFonts w:hint="cs"/>
          <w:sz w:val="24"/>
          <w:szCs w:val="24"/>
          <w:rtl/>
        </w:rPr>
        <w:t>:</w:t>
      </w:r>
      <w:r w:rsidR="00777DCB" w:rsidRPr="00A52585">
        <w:rPr>
          <w:rFonts w:hint="cs"/>
          <w:sz w:val="24"/>
          <w:szCs w:val="24"/>
          <w:rtl/>
        </w:rPr>
        <w:t xml:space="preserve"> (كان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يستفتح بصعاليك المسلمين) قال الحافظ المنذري</w:t>
      </w:r>
      <w:r w:rsidRPr="00A52585">
        <w:rPr>
          <w:rFonts w:hint="cs"/>
          <w:sz w:val="24"/>
          <w:szCs w:val="24"/>
          <w:rtl/>
        </w:rPr>
        <w:t>:</w:t>
      </w:r>
      <w:r w:rsidR="00777DCB" w:rsidRPr="00A52585">
        <w:rPr>
          <w:rFonts w:hint="cs"/>
          <w:sz w:val="24"/>
          <w:szCs w:val="24"/>
          <w:rtl/>
        </w:rPr>
        <w:t xml:space="preserve"> (رواته رواة الصحيح وهو مرسل) أهـ وإرسال هذا الحديث لا يضر فالحديث المرسل حجة عند أبي حنيفة ومالك وأحمد بن حنبل وغيرهم انظر (الرد المحكم المتين) ص 193، 194، فإذا جاز لنا أن نستفتح بصعاليك المسلمين أفلا نستفتح إذن بخير خلق الله صلى الله عليه وسلم</w:t>
      </w:r>
      <w:r w:rsidR="00F95886" w:rsidRPr="00A52585">
        <w:rPr>
          <w:rFonts w:hint="cs"/>
          <w:sz w:val="24"/>
          <w:szCs w:val="24"/>
          <w:rtl/>
        </w:rPr>
        <w:t>؟</w:t>
      </w:r>
      <w:r w:rsidR="00777DCB" w:rsidRPr="00A52585">
        <w:rPr>
          <w:rFonts w:hint="cs"/>
          <w:sz w:val="24"/>
          <w:szCs w:val="24"/>
          <w:rtl/>
        </w:rPr>
        <w:t xml:space="preserve"> وقد كتب العلامة الشيخ محمود سعيد ممدوح بحثا علميا قيما ناقش فيه أهم أحاديث التوسل وزيارة قبر النبي صلى الله عليه وسلم وهو مطبوع بعنوان (رفع المنارة لتخريج أحاديث التوسل والزيارة)</w:t>
      </w:r>
      <w:r w:rsidRPr="00A52585">
        <w:rPr>
          <w:rFonts w:hint="cs"/>
          <w:sz w:val="24"/>
          <w:szCs w:val="24"/>
          <w:rtl/>
        </w:rPr>
        <w:t>]</w:t>
      </w:r>
      <w:r w:rsidR="00DB731D" w:rsidRPr="00A52585">
        <w:rPr>
          <w:rFonts w:hint="cs"/>
          <w:rtl/>
        </w:rPr>
        <w:t>،</w:t>
      </w:r>
      <w:r w:rsidR="00777DCB" w:rsidRPr="00A52585">
        <w:rPr>
          <w:rFonts w:hint="cs"/>
          <w:rtl/>
        </w:rPr>
        <w:t xml:space="preserve"> وإذا كان عز وجل يستجيب لأعدائه بالتوسل إليه مع علمه عز وجل بأنهم يكفرون به ويؤذونه ولا يتبعون النور الذي أنزل معه قبل وجوده وبروزه إلى الوجود فما الظن بمن يؤمنون به ويعزرونه ويوقرونه ويكرمونه ويتبعون النور الذي أنزل معه وهو القرآن العظيم مع بروزه إلى الوجود وإرساله رحمة للعالمين وإذا كان رحمة للعالمين فكيف لا يتوسل به ويتشفع به</w:t>
      </w:r>
      <w:r w:rsidR="00DB731D" w:rsidRPr="00A52585">
        <w:rPr>
          <w:rFonts w:hint="cs"/>
          <w:rtl/>
        </w:rPr>
        <w:t>،</w:t>
      </w:r>
      <w:r w:rsidR="00777DCB" w:rsidRPr="00A52585">
        <w:rPr>
          <w:rFonts w:hint="cs"/>
          <w:rtl/>
        </w:rPr>
        <w:t xml:space="preserve"> ومن أنكر التوسل به والتشفع به بعد موته وأن حرمته زالت بموته فقد أعلم الناس ونادى على نفسه أنه أسوأ حالاً من اليهود الذين كانوا يتوسلون به قبل بروزه إلى الوجود وأن في قلبه نزعة هي أخبث النزعات</w:t>
      </w:r>
      <w:r w:rsidR="00DB731D" w:rsidRPr="00A52585">
        <w:rPr>
          <w:rFonts w:hint="cs"/>
          <w:rtl/>
        </w:rPr>
        <w:t>،</w:t>
      </w:r>
      <w:r w:rsidR="00777DCB" w:rsidRPr="00A52585">
        <w:rPr>
          <w:rFonts w:hint="cs"/>
          <w:rtl/>
        </w:rPr>
        <w:t xml:space="preserve"> </w:t>
      </w:r>
    </w:p>
    <w:p w14:paraId="0A719CFC" w14:textId="1D6AAE2C" w:rsidR="00777DCB" w:rsidRPr="00A52585" w:rsidRDefault="0002035C" w:rsidP="0002035C">
      <w:pPr>
        <w:spacing w:after="240"/>
        <w:rPr>
          <w:b/>
          <w:bCs/>
          <w:rtl/>
        </w:rPr>
      </w:pPr>
      <w:r w:rsidRPr="00A52585">
        <w:rPr>
          <w:rFonts w:hint="cs"/>
          <w:bCs/>
          <w:rtl/>
        </w:rPr>
        <w:t>[</w:t>
      </w:r>
      <w:r w:rsidR="00777DCB" w:rsidRPr="00A52585">
        <w:rPr>
          <w:rFonts w:hint="cs"/>
          <w:bCs/>
          <w:rtl/>
        </w:rPr>
        <w:t>ج- توسل آدم عليه السلام بالنبي صلى الله عليه وسلم</w:t>
      </w:r>
      <w:r w:rsidRPr="00A52585">
        <w:rPr>
          <w:rFonts w:hint="cs"/>
          <w:bCs/>
          <w:rtl/>
        </w:rPr>
        <w:t>]:</w:t>
      </w:r>
      <w:r w:rsidR="00777DCB" w:rsidRPr="00A52585">
        <w:rPr>
          <w:rFonts w:hint="cs"/>
          <w:bCs/>
          <w:rtl/>
        </w:rPr>
        <w:t xml:space="preserve"> </w:t>
      </w:r>
      <w:r w:rsidR="00777DCB" w:rsidRPr="00A52585">
        <w:rPr>
          <w:rFonts w:hint="cs"/>
          <w:rtl/>
        </w:rPr>
        <w:t xml:space="preserve">وهذا آدم عليه السلام توسل به كما هو مشهور ورواه غير واحد من الأئمة منهم الحاكم في مستدركه على الصحيحين من حديث عمر رضي الله عنه قال </w:t>
      </w:r>
      <w:proofErr w:type="spellStart"/>
      <w:r w:rsidR="00777DCB" w:rsidRPr="00A52585">
        <w:rPr>
          <w:rFonts w:hint="cs"/>
          <w:rtl/>
        </w:rPr>
        <w:t>قال</w:t>
      </w:r>
      <w:proofErr w:type="spellEnd"/>
      <w:r w:rsidR="00777DCB" w:rsidRPr="00A52585">
        <w:rPr>
          <w:rFonts w:hint="cs"/>
          <w:rtl/>
        </w:rPr>
        <w:t xml:space="preserve">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لما اقترف آدم الخطيئة قال يا رب بحق محمد لمَّا غفرت لي. فقال الله</w:t>
      </w:r>
      <w:r w:rsidRPr="00A52585">
        <w:rPr>
          <w:rFonts w:hint="cs"/>
          <w:rtl/>
        </w:rPr>
        <w:t>:</w:t>
      </w:r>
      <w:r w:rsidR="00777DCB" w:rsidRPr="00A52585">
        <w:rPr>
          <w:rFonts w:hint="cs"/>
          <w:rtl/>
        </w:rPr>
        <w:t xml:space="preserve"> يا آدم وكيف عرفت محمداً ولم أخلقه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يا رب لأنك لما خلقتني بيدك ونفخت فيَّ من روحك رفعت رأسي فرأيت على قوائم العرش مكتوباً لا إله إلا الله محمد رسول الله فعرفت أنك لم تضف إلى اسمك إلا أحب الخلق إليك. فقال</w:t>
      </w:r>
      <w:r w:rsidRPr="00A52585">
        <w:rPr>
          <w:rFonts w:hint="cs"/>
          <w:rtl/>
        </w:rPr>
        <w:t>:</w:t>
      </w:r>
      <w:r w:rsidR="00777DCB" w:rsidRPr="00A52585">
        <w:rPr>
          <w:rFonts w:hint="cs"/>
          <w:rtl/>
        </w:rPr>
        <w:t xml:space="preserve"> يا آدم إنه لأحب الخلق إليَّ وإذ سألتني بحقه قد غفرت لك. ولولا محمد لما خلقتك</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قال الحاكم صحيح الإسناد ورواه الطبراني وزاد (وهو آخر الأنبياء من ذريتك)</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الحافظ السيد عبد الله الغماري في كتابه (إتحاف الأذكياء بجواز التوسل بالأنبياء والأولياء) حديث توسل آدم كما رواه الحاكم في المستدرك عن عمر بن الخطاب رضي الله عنه ثم ذكر زيادة الطبراني (وهو آخر الأنبياء من ذريتك) ثم قال</w:t>
      </w:r>
      <w:r w:rsidRPr="00A52585">
        <w:rPr>
          <w:rFonts w:hint="cs"/>
          <w:sz w:val="24"/>
          <w:szCs w:val="24"/>
          <w:rtl/>
        </w:rPr>
        <w:t xml:space="preserve">: </w:t>
      </w:r>
      <w:r w:rsidR="00777DCB" w:rsidRPr="00A52585">
        <w:rPr>
          <w:rFonts w:hint="cs"/>
          <w:sz w:val="24"/>
          <w:szCs w:val="24"/>
          <w:rtl/>
        </w:rPr>
        <w:t>"قال الحاكم</w:t>
      </w:r>
      <w:r w:rsidRPr="00A52585">
        <w:rPr>
          <w:rFonts w:hint="cs"/>
          <w:sz w:val="24"/>
          <w:szCs w:val="24"/>
          <w:rtl/>
        </w:rPr>
        <w:t>:</w:t>
      </w:r>
      <w:r w:rsidR="00777DCB" w:rsidRPr="00A52585">
        <w:rPr>
          <w:rFonts w:hint="cs"/>
          <w:sz w:val="24"/>
          <w:szCs w:val="24"/>
          <w:rtl/>
        </w:rPr>
        <w:t xml:space="preserve"> صحيح، ورد عليه الذهبي فقال</w:t>
      </w:r>
      <w:r w:rsidRPr="00A52585">
        <w:rPr>
          <w:rFonts w:hint="cs"/>
          <w:sz w:val="24"/>
          <w:szCs w:val="24"/>
          <w:rtl/>
        </w:rPr>
        <w:t>:</w:t>
      </w:r>
      <w:r w:rsidR="00777DCB" w:rsidRPr="00A52585">
        <w:rPr>
          <w:rFonts w:hint="cs"/>
          <w:sz w:val="24"/>
          <w:szCs w:val="24"/>
          <w:rtl/>
        </w:rPr>
        <w:t xml:space="preserve"> بل موضوع والحق أن الحديث ليس بصحيح ولا موضوع، بل هو ضعيف فقط كما صرح به البيهقي في دلائل النبوة، وقد نقلت عبارته ورددت كلام الذهبي من ستة وجوه وذكرت ما يشهد للحديث في كتابي (الرد المحكم المتين) ووجدت له شاهداً يرتقي به إلى درجة </w:t>
      </w:r>
      <w:r w:rsidR="00777DCB" w:rsidRPr="00A52585">
        <w:rPr>
          <w:rFonts w:hint="cs"/>
          <w:sz w:val="24"/>
          <w:szCs w:val="24"/>
          <w:rtl/>
        </w:rPr>
        <w:lastRenderedPageBreak/>
        <w:t xml:space="preserve">الحسن فروى ابن بشران بإسناد قوي كما قال الحافظ </w:t>
      </w:r>
      <w:r w:rsidR="00777DCB" w:rsidRPr="00A52585">
        <w:rPr>
          <w:sz w:val="24"/>
          <w:szCs w:val="24"/>
        </w:rPr>
        <w:t>–</w:t>
      </w:r>
      <w:r w:rsidR="00777DCB" w:rsidRPr="00A52585">
        <w:rPr>
          <w:rFonts w:hint="cs"/>
          <w:sz w:val="24"/>
          <w:szCs w:val="24"/>
          <w:rtl/>
        </w:rPr>
        <w:t xml:space="preserve"> يقصد ابن حجر العسقلاني </w:t>
      </w:r>
      <w:r w:rsidR="00777DCB" w:rsidRPr="00A52585">
        <w:rPr>
          <w:sz w:val="24"/>
          <w:szCs w:val="24"/>
        </w:rPr>
        <w:t>–</w:t>
      </w:r>
      <w:r w:rsidR="00777DCB" w:rsidRPr="00A52585">
        <w:rPr>
          <w:rFonts w:hint="cs"/>
          <w:sz w:val="24"/>
          <w:szCs w:val="24"/>
          <w:rtl/>
        </w:rPr>
        <w:t xml:space="preserve"> عن ميسرة الفجر قال</w:t>
      </w:r>
      <w:r w:rsidRPr="00A52585">
        <w:rPr>
          <w:rFonts w:hint="cs"/>
          <w:sz w:val="24"/>
          <w:szCs w:val="24"/>
          <w:rtl/>
        </w:rPr>
        <w:t>:</w:t>
      </w:r>
      <w:r w:rsidR="00777DCB" w:rsidRPr="00A52585">
        <w:rPr>
          <w:rFonts w:hint="cs"/>
          <w:sz w:val="24"/>
          <w:szCs w:val="24"/>
          <w:rtl/>
        </w:rPr>
        <w:t xml:space="preserve"> قلت يا رسول الله متى كنت نبياً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(لما خلق الله الأرض واستوى إلى السماء فسواهن سبع سموات وخلق العرش كتب على ساق العرش محمد رسول الله خاتم الأنبياء وخلق الله الجنة التي أسكنها آدم وحواء فكتب اسمى على الأبواب والأوراق والقباب والخيام وآدم بين الروح والجسد، فلما أحياه الله تعال نظر إلى العرش فرأى اسمى فأخبره الله أنه سيد ولدك، فلما غرهما الشيطان تابا واستشفعا باسمي إليه)"</w:t>
      </w:r>
      <w:r w:rsidRPr="00A52585">
        <w:rPr>
          <w:rFonts w:hint="cs"/>
          <w:sz w:val="24"/>
          <w:szCs w:val="24"/>
          <w:rtl/>
        </w:rPr>
        <w:t xml:space="preserve"> </w:t>
      </w:r>
      <w:r w:rsidR="00777DCB" w:rsidRPr="00A52585">
        <w:rPr>
          <w:rFonts w:hint="cs"/>
          <w:sz w:val="24"/>
          <w:szCs w:val="24"/>
          <w:rtl/>
        </w:rPr>
        <w:t xml:space="preserve">أهـ ص 21،22 وهذا الشاهد الذي </w:t>
      </w:r>
      <w:r w:rsidR="00777DCB" w:rsidRPr="00A52585">
        <w:rPr>
          <w:rFonts w:hint="cs"/>
          <w:spacing w:val="-20"/>
          <w:sz w:val="24"/>
          <w:szCs w:val="24"/>
          <w:rtl/>
        </w:rPr>
        <w:t>ذكـره</w:t>
      </w:r>
      <w:r w:rsidR="00777DCB" w:rsidRPr="00A52585">
        <w:rPr>
          <w:rFonts w:hint="cs"/>
          <w:sz w:val="24"/>
          <w:szCs w:val="24"/>
          <w:rtl/>
        </w:rPr>
        <w:t xml:space="preserve"> الحافظ عبد الله الغماري رواه ابن الجوزي في كتاب (الوفا بفضائل المصطفى) كما هو موضح في كتاب (الرد المحكم المتين) وقد ناقش فيه الحافظ عبد الله الغماري طرق هذا الحديث وشواهده مناقشة مستفيضة من ص 122 حتى ص 141 ثم قال رحمة الله</w:t>
      </w:r>
      <w:r w:rsidRPr="00A52585">
        <w:rPr>
          <w:rFonts w:hint="cs"/>
          <w:sz w:val="24"/>
          <w:szCs w:val="24"/>
          <w:rtl/>
        </w:rPr>
        <w:t xml:space="preserve">: </w:t>
      </w:r>
      <w:r w:rsidR="00777DCB" w:rsidRPr="00A52585">
        <w:rPr>
          <w:rFonts w:hint="cs"/>
          <w:sz w:val="24"/>
          <w:szCs w:val="24"/>
          <w:rtl/>
        </w:rPr>
        <w:t>" وبذلك يكون حديث توسل آدم حسنا لغيره فيحتج به بلا نزاع "</w:t>
      </w:r>
      <w:r w:rsidRPr="00A52585">
        <w:rPr>
          <w:rFonts w:hint="cs"/>
          <w:sz w:val="24"/>
          <w:szCs w:val="24"/>
          <w:rtl/>
        </w:rPr>
        <w:t xml:space="preserve"> </w:t>
      </w:r>
      <w:r w:rsidR="00777DCB" w:rsidRPr="00A52585">
        <w:rPr>
          <w:rFonts w:hint="cs"/>
          <w:sz w:val="24"/>
          <w:szCs w:val="24"/>
          <w:rtl/>
        </w:rPr>
        <w:t>أ هـ ص 140</w:t>
      </w:r>
      <w:r w:rsidR="00DB731D" w:rsidRPr="00A52585">
        <w:rPr>
          <w:rFonts w:hint="cs"/>
          <w:sz w:val="24"/>
          <w:szCs w:val="24"/>
          <w:rtl/>
        </w:rPr>
        <w:t>،</w:t>
      </w:r>
      <w:r w:rsidR="00777DCB" w:rsidRPr="00A52585">
        <w:rPr>
          <w:rFonts w:hint="cs"/>
          <w:sz w:val="24"/>
          <w:szCs w:val="24"/>
          <w:rtl/>
        </w:rPr>
        <w:t xml:space="preserve"> وحديث توسل آدم عليه السلام هو الحديث رقم (13) في (رفع المنارة) انظر تحقيقه مع شواهده ص (242)</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ورواه الحاكم أيضاً من حديث ابن عباس رضي الله عنهما بزيادة بلفظ</w:t>
      </w:r>
      <w:r w:rsidRPr="00A52585">
        <w:rPr>
          <w:rFonts w:hint="cs"/>
          <w:rtl/>
        </w:rPr>
        <w:t>:</w:t>
      </w:r>
      <w:r w:rsidR="00777DCB" w:rsidRPr="00A52585">
        <w:rPr>
          <w:rFonts w:hint="cs"/>
          <w:rtl/>
        </w:rPr>
        <w:t xml:space="preserve"> أوحى الله إلى عيسى يا عيسى آمن بمحمد وَمُرْ من أدركه من أمتك أن يؤمنوا به فلولا محمد ما خلقت آدم</w:t>
      </w:r>
      <w:r w:rsidR="00DB731D" w:rsidRPr="00A52585">
        <w:rPr>
          <w:rFonts w:hint="cs"/>
          <w:rtl/>
        </w:rPr>
        <w:t>،</w:t>
      </w:r>
      <w:r w:rsidR="00777DCB" w:rsidRPr="00A52585">
        <w:rPr>
          <w:rFonts w:hint="cs"/>
          <w:rtl/>
        </w:rPr>
        <w:t xml:space="preserve"> ولولا محمد ما خلقت الجنة والنار. ولقد خلقت العرش على الماء فاضطرب فكتبت عليه لا إله إلا الله محمد رسول الله فسكن</w:t>
      </w:r>
      <w:r w:rsidR="00DB731D" w:rsidRPr="00A52585">
        <w:rPr>
          <w:rFonts w:hint="cs"/>
          <w:rtl/>
        </w:rPr>
        <w:t>،</w:t>
      </w:r>
      <w:r w:rsidR="00777DCB" w:rsidRPr="00A52585">
        <w:rPr>
          <w:rFonts w:hint="cs"/>
          <w:rtl/>
        </w:rPr>
        <w:t xml:space="preserve"> قال الحاكم في مستدركه هذا صحيح الإسناد ولم يخرجاه يعني البخاري ومسلم</w:t>
      </w:r>
      <w:r w:rsidR="00DB731D" w:rsidRPr="00A52585">
        <w:rPr>
          <w:rFonts w:hint="cs"/>
          <w:rtl/>
        </w:rPr>
        <w:t>،</w:t>
      </w:r>
      <w:r w:rsidR="00777DCB" w:rsidRPr="00A52585">
        <w:rPr>
          <w:rFonts w:hint="cs"/>
          <w:rtl/>
        </w:rPr>
        <w:t xml:space="preserve"> فهذا الإمام الحافظ قد كفانا المؤنة وصحح الحديث وقد رواه غير واحد من الحفاظ وأئمة الحديث بألفاظ منهم أبو محمد مكي وأبو الليث السمرقندي وغيرهما أن آدم عليه السلام عند اقترافه قال</w:t>
      </w:r>
      <w:r w:rsidRPr="00A52585">
        <w:rPr>
          <w:rFonts w:hint="cs"/>
          <w:rtl/>
        </w:rPr>
        <w:t>:</w:t>
      </w:r>
      <w:r w:rsidR="00777DCB" w:rsidRPr="00A52585">
        <w:rPr>
          <w:rFonts w:hint="cs"/>
          <w:rtl/>
        </w:rPr>
        <w:t xml:space="preserve"> اللهم بحق محمد عليك اغفر لي خطيئتي</w:t>
      </w:r>
      <w:r w:rsidR="00DB731D" w:rsidRPr="00A52585">
        <w:rPr>
          <w:rFonts w:hint="cs"/>
          <w:rtl/>
        </w:rPr>
        <w:t>،</w:t>
      </w:r>
      <w:r w:rsidR="00777DCB" w:rsidRPr="00A52585">
        <w:rPr>
          <w:rFonts w:hint="cs"/>
          <w:rtl/>
        </w:rPr>
        <w:t xml:space="preserve"> ويروى فقيل فقال الله تعالى</w:t>
      </w:r>
      <w:r w:rsidRPr="00A52585">
        <w:rPr>
          <w:rFonts w:hint="cs"/>
          <w:rtl/>
        </w:rPr>
        <w:t>:</w:t>
      </w:r>
      <w:r w:rsidR="00777DCB" w:rsidRPr="00A52585">
        <w:rPr>
          <w:rFonts w:hint="cs"/>
          <w:rtl/>
        </w:rPr>
        <w:t xml:space="preserve"> من أين عرفت محمداً قال</w:t>
      </w:r>
      <w:r w:rsidRPr="00A52585">
        <w:rPr>
          <w:rFonts w:hint="cs"/>
          <w:rtl/>
        </w:rPr>
        <w:t>:</w:t>
      </w:r>
      <w:r w:rsidR="00777DCB" w:rsidRPr="00A52585">
        <w:rPr>
          <w:rFonts w:hint="cs"/>
          <w:rtl/>
        </w:rPr>
        <w:t xml:space="preserve"> رأيت في كل موضع من الجنة مكتوباً لا إله إلا الله محمد رسول الله. ويروى</w:t>
      </w:r>
      <w:r w:rsidRPr="00A52585">
        <w:rPr>
          <w:rFonts w:hint="cs"/>
          <w:rtl/>
        </w:rPr>
        <w:t>:</w:t>
      </w:r>
      <w:r w:rsidR="00777DCB" w:rsidRPr="00A52585">
        <w:rPr>
          <w:rFonts w:hint="cs"/>
          <w:rtl/>
        </w:rPr>
        <w:t xml:space="preserve"> محمد عبدي ورسولي. فعلمت أنه أكرم خلقك عليك</w:t>
      </w:r>
      <w:r w:rsidR="00DB731D" w:rsidRPr="00A52585">
        <w:rPr>
          <w:rFonts w:hint="cs"/>
          <w:rtl/>
        </w:rPr>
        <w:t>،</w:t>
      </w:r>
      <w:r w:rsidR="00777DCB" w:rsidRPr="00A52585">
        <w:rPr>
          <w:rFonts w:hint="cs"/>
          <w:rtl/>
        </w:rPr>
        <w:t xml:space="preserve"> فتاب الله عليه وغفر له</w:t>
      </w:r>
      <w:r w:rsidR="00DB731D" w:rsidRPr="00A52585">
        <w:rPr>
          <w:rFonts w:hint="cs"/>
          <w:rtl/>
        </w:rPr>
        <w:t>،</w:t>
      </w:r>
      <w:r w:rsidR="00777DCB" w:rsidRPr="00A52585">
        <w:rPr>
          <w:rFonts w:hint="cs"/>
          <w:rtl/>
        </w:rPr>
        <w:t xml:space="preserve"> وفي رواية الحافظ الآجري</w:t>
      </w:r>
      <w:r w:rsidRPr="00A52585">
        <w:rPr>
          <w:rFonts w:hint="cs"/>
          <w:rtl/>
        </w:rPr>
        <w:t>:</w:t>
      </w:r>
      <w:r w:rsidR="00777DCB" w:rsidRPr="00A52585">
        <w:rPr>
          <w:rFonts w:hint="cs"/>
          <w:rtl/>
        </w:rPr>
        <w:t xml:space="preserve"> فقال آدم</w:t>
      </w:r>
      <w:r w:rsidRPr="00A52585">
        <w:rPr>
          <w:rFonts w:hint="cs"/>
          <w:rtl/>
        </w:rPr>
        <w:t>:</w:t>
      </w:r>
      <w:r w:rsidR="00777DCB" w:rsidRPr="00A52585">
        <w:rPr>
          <w:rFonts w:hint="cs"/>
          <w:rtl/>
        </w:rPr>
        <w:t xml:space="preserve"> لما خلقتني رفعت رأسي إلى عرشك فإذا فيه مكتوب لا إله إلا الله محمد رسول الله فعلمت أنه ليس أحد أعظم قدراً عندك ممن جعلت اسمه مع اسمك. فأوحى الله تعالى إليه</w:t>
      </w:r>
      <w:r w:rsidRPr="00A52585">
        <w:rPr>
          <w:rFonts w:hint="cs"/>
          <w:rtl/>
        </w:rPr>
        <w:t>:</w:t>
      </w:r>
      <w:r w:rsidR="00777DCB" w:rsidRPr="00A52585">
        <w:rPr>
          <w:rFonts w:hint="cs"/>
          <w:rtl/>
        </w:rPr>
        <w:t xml:space="preserve"> وعزتي وجلالي إنه لآخر النبيين من ذريتك ولولاه ما خلقتك. قال وكان آدم عليه السلام يكنى أبا محمد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مجموع الروايات يقوي بعضه بعضاً</w:t>
      </w:r>
      <w:r w:rsidRPr="00A52585">
        <w:rPr>
          <w:rFonts w:hint="cs"/>
          <w:sz w:val="24"/>
          <w:szCs w:val="24"/>
          <w:rtl/>
        </w:rPr>
        <w:t>]</w:t>
      </w:r>
      <w:r w:rsidR="00DB731D" w:rsidRPr="00A52585">
        <w:rPr>
          <w:rFonts w:hint="cs"/>
          <w:rtl/>
        </w:rPr>
        <w:t>،</w:t>
      </w:r>
      <w:r w:rsidR="00777DCB" w:rsidRPr="00A52585">
        <w:rPr>
          <w:rFonts w:hint="cs"/>
          <w:rtl/>
        </w:rPr>
        <w:t xml:space="preserve"> بـدا مجـده</w:t>
      </w:r>
      <w:r w:rsidRPr="00A52585">
        <w:rPr>
          <w:rFonts w:hint="cs"/>
          <w:rtl/>
        </w:rPr>
        <w:t xml:space="preserve"> </w:t>
      </w:r>
      <w:r w:rsidR="00777DCB" w:rsidRPr="00A52585">
        <w:rPr>
          <w:rFonts w:hint="cs"/>
          <w:rtl/>
        </w:rPr>
        <w:t>من</w:t>
      </w:r>
      <w:r w:rsidRPr="00A52585">
        <w:rPr>
          <w:rFonts w:hint="cs"/>
          <w:rtl/>
        </w:rPr>
        <w:t xml:space="preserve"> </w:t>
      </w:r>
      <w:r w:rsidR="00777DCB" w:rsidRPr="00A52585">
        <w:rPr>
          <w:rFonts w:hint="cs"/>
          <w:rtl/>
        </w:rPr>
        <w:t>قبل</w:t>
      </w:r>
      <w:r w:rsidRPr="00A52585">
        <w:rPr>
          <w:rFonts w:hint="cs"/>
          <w:rtl/>
        </w:rPr>
        <w:t xml:space="preserve"> </w:t>
      </w:r>
      <w:r w:rsidR="00777DCB" w:rsidRPr="00A52585">
        <w:rPr>
          <w:rFonts w:hint="cs"/>
          <w:rtl/>
        </w:rPr>
        <w:t>نشأة</w:t>
      </w:r>
      <w:r w:rsidRPr="00A52585">
        <w:rPr>
          <w:rFonts w:hint="cs"/>
          <w:rtl/>
        </w:rPr>
        <w:t xml:space="preserve"> </w:t>
      </w:r>
      <w:r w:rsidR="00777DCB" w:rsidRPr="00A52585">
        <w:rPr>
          <w:rFonts w:hint="cs"/>
          <w:rtl/>
        </w:rPr>
        <w:t>آدم</w:t>
      </w:r>
      <w:r w:rsidRPr="00A52585">
        <w:rPr>
          <w:rFonts w:hint="cs"/>
          <w:rtl/>
        </w:rPr>
        <w:t xml:space="preserve"> </w:t>
      </w:r>
      <w:r w:rsidR="00777DCB" w:rsidRPr="00A52585">
        <w:rPr>
          <w:rFonts w:hint="cs"/>
          <w:rtl/>
        </w:rPr>
        <w:t>فأسماؤه في العرش من قبل تكتب</w:t>
      </w:r>
      <w:r w:rsidR="00DB731D" w:rsidRPr="00A52585">
        <w:rPr>
          <w:rFonts w:hint="cs"/>
          <w:rtl/>
        </w:rPr>
        <w:t>،</w:t>
      </w:r>
      <w:r w:rsidR="00777DCB" w:rsidRPr="00A52585">
        <w:rPr>
          <w:rFonts w:hint="cs"/>
          <w:rtl/>
        </w:rPr>
        <w:t xml:space="preserve"> وعن ابن عباس رضي الله عنهما في قوله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وكان تحته كنز لهما</w:t>
      </w:r>
      <w:r w:rsidRPr="00A52585">
        <w:rPr>
          <w:rFonts w:hint="cs"/>
          <w:rtl/>
        </w:rPr>
        <w:t>}</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لوح من ذهب فيه مكتوب (عجباً لمن أيقن بالقدر كيف ينصب</w:t>
      </w:r>
      <w:r w:rsidR="00DB731D" w:rsidRPr="00A52585">
        <w:rPr>
          <w:rFonts w:hint="cs"/>
          <w:rtl/>
        </w:rPr>
        <w:t>،</w:t>
      </w:r>
      <w:r w:rsidR="00777DCB" w:rsidRPr="00A52585">
        <w:rPr>
          <w:rFonts w:hint="cs"/>
          <w:rtl/>
        </w:rPr>
        <w:t xml:space="preserve"> عجبا لمن أيقن بالنار كيف يضحك</w:t>
      </w:r>
      <w:r w:rsidR="00DB731D" w:rsidRPr="00A52585">
        <w:rPr>
          <w:rFonts w:hint="cs"/>
          <w:rtl/>
        </w:rPr>
        <w:t>،</w:t>
      </w:r>
      <w:r w:rsidR="00777DCB" w:rsidRPr="00A52585">
        <w:rPr>
          <w:rFonts w:hint="cs"/>
          <w:rtl/>
        </w:rPr>
        <w:t xml:space="preserve"> عجباً لمن رأى الدنيا وتقلبها بأهلها كيف يطمئن إليها</w:t>
      </w:r>
      <w:r w:rsidR="00DB731D" w:rsidRPr="00A52585">
        <w:rPr>
          <w:rFonts w:hint="cs"/>
          <w:rtl/>
        </w:rPr>
        <w:t>،</w:t>
      </w:r>
      <w:r w:rsidR="00777DCB" w:rsidRPr="00A52585">
        <w:rPr>
          <w:rFonts w:hint="cs"/>
          <w:rtl/>
        </w:rPr>
        <w:t xml:space="preserve"> أنا الله لا إله إلا أنا محمد عبدي ورسولي)</w:t>
      </w:r>
      <w:r w:rsidR="00777DCB" w:rsidRPr="00A52585">
        <w:rPr>
          <w:rFonts w:hint="cs"/>
          <w:vertAlign w:val="superscript"/>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روى هذا الأثر ابن جرير من طرق ورواه أيضاً البزار في مسنده عن أبي ذر مرفوعاً قال</w:t>
      </w:r>
      <w:r w:rsidRPr="00A52585">
        <w:rPr>
          <w:rFonts w:hint="cs"/>
          <w:sz w:val="24"/>
          <w:szCs w:val="24"/>
          <w:rtl/>
        </w:rPr>
        <w:t xml:space="preserve">: </w:t>
      </w:r>
      <w:r w:rsidR="00777DCB" w:rsidRPr="00A52585">
        <w:rPr>
          <w:rFonts w:hint="cs"/>
          <w:sz w:val="24"/>
          <w:szCs w:val="24"/>
          <w:rtl/>
        </w:rPr>
        <w:t>"إن الكنز الذي ذكر الله في كتابه لوح من ذهب مصمت، عجبت لمن أيقن بالقدر لم نصب</w:t>
      </w:r>
      <w:r w:rsidR="00F95886" w:rsidRPr="00A52585">
        <w:rPr>
          <w:rFonts w:hint="cs"/>
          <w:sz w:val="24"/>
          <w:szCs w:val="24"/>
          <w:rtl/>
        </w:rPr>
        <w:t>؟</w:t>
      </w:r>
      <w:r w:rsidR="00777DCB" w:rsidRPr="00A52585">
        <w:rPr>
          <w:rFonts w:hint="cs"/>
          <w:sz w:val="24"/>
          <w:szCs w:val="24"/>
          <w:rtl/>
        </w:rPr>
        <w:t xml:space="preserve"> وعجبت لمن ذكر النار لم ضحك</w:t>
      </w:r>
      <w:r w:rsidR="00F95886" w:rsidRPr="00A52585">
        <w:rPr>
          <w:rFonts w:hint="cs"/>
          <w:sz w:val="24"/>
          <w:szCs w:val="24"/>
          <w:rtl/>
        </w:rPr>
        <w:t>؟</w:t>
      </w:r>
      <w:r w:rsidR="00777DCB" w:rsidRPr="00A52585">
        <w:rPr>
          <w:rFonts w:hint="cs"/>
          <w:sz w:val="24"/>
          <w:szCs w:val="24"/>
          <w:rtl/>
        </w:rPr>
        <w:t xml:space="preserve"> وعجبت لمن ذكر الموت لم غفل</w:t>
      </w:r>
      <w:r w:rsidR="00F95886" w:rsidRPr="00A52585">
        <w:rPr>
          <w:rFonts w:hint="cs"/>
          <w:sz w:val="24"/>
          <w:szCs w:val="24"/>
          <w:rtl/>
        </w:rPr>
        <w:t>؟</w:t>
      </w:r>
      <w:r w:rsidR="00777DCB" w:rsidRPr="00A52585">
        <w:rPr>
          <w:rFonts w:hint="cs"/>
          <w:sz w:val="24"/>
          <w:szCs w:val="24"/>
          <w:rtl/>
        </w:rPr>
        <w:t xml:space="preserve"> لا إله إلا الله محمد رسول الله صلى الله عليه وسلم "</w:t>
      </w:r>
      <w:r w:rsidRPr="00A52585">
        <w:rPr>
          <w:rFonts w:hint="cs"/>
          <w:sz w:val="24"/>
          <w:szCs w:val="24"/>
          <w:rtl/>
        </w:rPr>
        <w:t xml:space="preserve"> </w:t>
      </w:r>
      <w:r w:rsidR="00777DCB" w:rsidRPr="00A52585">
        <w:rPr>
          <w:rFonts w:hint="cs"/>
          <w:sz w:val="24"/>
          <w:szCs w:val="24"/>
          <w:rtl/>
        </w:rPr>
        <w:t>لا نعلمه يروي عن أبي ذر إلا بهذا الإسناد قال الشيخ</w:t>
      </w:r>
      <w:r w:rsidRPr="00A52585">
        <w:rPr>
          <w:rFonts w:hint="cs"/>
          <w:sz w:val="24"/>
          <w:szCs w:val="24"/>
          <w:rtl/>
        </w:rPr>
        <w:t>:</w:t>
      </w:r>
      <w:r w:rsidR="00777DCB" w:rsidRPr="00A52585">
        <w:rPr>
          <w:rFonts w:hint="cs"/>
          <w:sz w:val="24"/>
          <w:szCs w:val="24"/>
          <w:rtl/>
        </w:rPr>
        <w:t xml:space="preserve"> </w:t>
      </w:r>
      <w:r w:rsidR="00777DCB" w:rsidRPr="00A52585">
        <w:rPr>
          <w:rFonts w:hint="cs"/>
          <w:sz w:val="24"/>
          <w:szCs w:val="24"/>
          <w:rtl/>
        </w:rPr>
        <w:lastRenderedPageBreak/>
        <w:t>الحارث وبشر لا أعرفهما أهـ مختصر زوائد مسند البزار للحافظ ابن حجر والحديث ثابت بمجموع طرقه</w:t>
      </w:r>
      <w:r w:rsidRPr="00A52585">
        <w:rPr>
          <w:rFonts w:hint="cs"/>
          <w:sz w:val="24"/>
          <w:szCs w:val="24"/>
          <w:rtl/>
        </w:rPr>
        <w:t>]</w:t>
      </w:r>
      <w:r w:rsidR="00DB731D" w:rsidRPr="00A52585">
        <w:rPr>
          <w:rFonts w:hint="cs"/>
          <w:rtl/>
        </w:rPr>
        <w:t>،</w:t>
      </w:r>
      <w:r w:rsidR="00777DCB" w:rsidRPr="00A52585">
        <w:rPr>
          <w:rFonts w:hint="cs"/>
          <w:rtl/>
        </w:rPr>
        <w:t xml:space="preserve"> وعن ابن عباس رضي الله عنهما أيضاً قال على باب الجنة مكتوب إني أنا الله لا إله أنا محمد رسول الله لا أعذب من قالها</w:t>
      </w:r>
      <w:r w:rsidR="00DB731D" w:rsidRPr="00A52585">
        <w:rPr>
          <w:rFonts w:hint="cs"/>
          <w:rtl/>
        </w:rPr>
        <w:t>،</w:t>
      </w:r>
      <w:r w:rsidR="00777DCB" w:rsidRPr="00A52585">
        <w:rPr>
          <w:rFonts w:hint="cs"/>
          <w:rtl/>
        </w:rPr>
        <w:t xml:space="preserve"> وذكر </w:t>
      </w:r>
      <w:proofErr w:type="spellStart"/>
      <w:r w:rsidR="00777DCB" w:rsidRPr="00A52585">
        <w:rPr>
          <w:rFonts w:hint="cs"/>
          <w:rtl/>
        </w:rPr>
        <w:t>السميطاري</w:t>
      </w:r>
      <w:proofErr w:type="spellEnd"/>
      <w:r w:rsidR="00777DCB" w:rsidRPr="00A52585">
        <w:rPr>
          <w:rFonts w:hint="cs"/>
          <w:rtl/>
        </w:rPr>
        <w:t xml:space="preserve"> أنه شاهد في بعض بلاد خرسان مولوداً ولد وعلى أحد جَنْبيه مكتوب لا إله إلا الله محمد رسول الله وذلك بقلم القدرة</w:t>
      </w:r>
      <w:r w:rsidR="00DB731D" w:rsidRPr="00A52585">
        <w:rPr>
          <w:rFonts w:hint="cs"/>
          <w:rtl/>
        </w:rPr>
        <w:t>،</w:t>
      </w:r>
      <w:r w:rsidR="00777DCB" w:rsidRPr="00A52585">
        <w:rPr>
          <w:rFonts w:hint="cs"/>
          <w:rtl/>
        </w:rPr>
        <w:t xml:space="preserve"> وذكر الإخباريون أن ببلاد الهند وَرْداً أحمر مكتوب عليه بالأبيض لا إله إلا الله محمد رسول الله</w:t>
      </w:r>
      <w:r w:rsidR="00DB731D" w:rsidRPr="00A52585">
        <w:rPr>
          <w:rFonts w:hint="cs"/>
          <w:rtl/>
        </w:rPr>
        <w:t>،</w:t>
      </w:r>
      <w:r w:rsidR="00777DCB" w:rsidRPr="00A52585">
        <w:rPr>
          <w:rFonts w:hint="cs"/>
          <w:rtl/>
        </w:rPr>
        <w:t xml:space="preserve"> وفي بعض البوادي حيوان مكتوب على شقه الأيمن لا إله إلا الله وعلى شقه الأيسر محمد رسول الله. وذلك بقلم القدرة وهو مرئي ظاهر يراه كل من له بصر</w:t>
      </w:r>
      <w:r w:rsidR="00DB731D" w:rsidRPr="00A52585">
        <w:rPr>
          <w:rFonts w:hint="cs"/>
          <w:rtl/>
        </w:rPr>
        <w:t>،</w:t>
      </w:r>
      <w:r w:rsidR="00777DCB" w:rsidRPr="00A52585">
        <w:rPr>
          <w:rFonts w:hint="cs"/>
          <w:rtl/>
        </w:rPr>
        <w:t xml:space="preserve"> وذكر غير ذلك</w:t>
      </w:r>
      <w:r w:rsidR="00DB731D" w:rsidRPr="00A52585">
        <w:rPr>
          <w:rFonts w:hint="cs"/>
          <w:rtl/>
        </w:rPr>
        <w:t>،</w:t>
      </w:r>
      <w:r w:rsidR="00777DCB" w:rsidRPr="00A52585">
        <w:rPr>
          <w:rFonts w:hint="cs"/>
          <w:rtl/>
        </w:rPr>
        <w:t xml:space="preserve"> فسيد الأولين والآخرين عظيم عند ربه نَوَّه بذكره في الأزل وفي الكون العلوي والسفلي ليعلم أنه الفاضل الكامل وأنه أعظم الوسائل</w:t>
      </w:r>
      <w:r w:rsidR="00DB731D" w:rsidRPr="00A52585">
        <w:rPr>
          <w:rFonts w:hint="cs"/>
          <w:rtl/>
        </w:rPr>
        <w:t>،</w:t>
      </w:r>
      <w:r w:rsidR="00777DCB" w:rsidRPr="00A52585">
        <w:rPr>
          <w:rFonts w:hint="cs"/>
          <w:rtl/>
        </w:rPr>
        <w:t xml:space="preserve"> </w:t>
      </w:r>
    </w:p>
    <w:p w14:paraId="43A014A3" w14:textId="7D7DE663" w:rsidR="00777DCB" w:rsidRPr="00A52585" w:rsidRDefault="0002035C" w:rsidP="0002035C">
      <w:pPr>
        <w:spacing w:after="240"/>
        <w:rPr>
          <w:b/>
          <w:bCs/>
          <w:rtl/>
        </w:rPr>
      </w:pPr>
      <w:r w:rsidRPr="00A52585">
        <w:rPr>
          <w:rFonts w:hint="cs"/>
          <w:bCs/>
          <w:rtl/>
        </w:rPr>
        <w:t>[</w:t>
      </w:r>
      <w:r w:rsidR="00777DCB" w:rsidRPr="00A52585">
        <w:rPr>
          <w:rFonts w:hint="cs"/>
          <w:bCs/>
          <w:rtl/>
        </w:rPr>
        <w:t>د- تأكيد الإمام مالك لتوسل أبينا آدم بنبينا صلى الله عليه وسلم وحثه المنصور على التوسل به وتعظيمه</w:t>
      </w:r>
      <w:r w:rsidRPr="00A52585">
        <w:rPr>
          <w:rFonts w:hint="cs"/>
          <w:bCs/>
          <w:rtl/>
        </w:rPr>
        <w:t>]:</w:t>
      </w:r>
      <w:r w:rsidR="00777DCB" w:rsidRPr="00A52585">
        <w:rPr>
          <w:rFonts w:hint="cs"/>
          <w:bCs/>
          <w:rtl/>
        </w:rPr>
        <w:t xml:space="preserve"> </w:t>
      </w:r>
      <w:r w:rsidR="00777DCB" w:rsidRPr="00A52585">
        <w:rPr>
          <w:rFonts w:hint="cs"/>
          <w:rtl/>
        </w:rPr>
        <w:t>قال أبو حميد ناظر أبو جعفر أمير المؤمنين مالكاً رحمة الله تعالى في مسجد رسول الله صلى الله عليه وسلم فقال له مالك رضي الله عنه</w:t>
      </w:r>
      <w:r w:rsidRPr="00A52585">
        <w:rPr>
          <w:rFonts w:hint="cs"/>
          <w:rtl/>
        </w:rPr>
        <w:t>:</w:t>
      </w:r>
      <w:r w:rsidR="00777DCB" w:rsidRPr="00A52585">
        <w:rPr>
          <w:rFonts w:hint="cs"/>
          <w:rtl/>
        </w:rPr>
        <w:t xml:space="preserve"> لا ترفع صوتك في هذا المسجد فإن الله عز وجل أدب أقواماً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لا ترفعوا أصواتكم فوق صوت النبي</w:t>
      </w:r>
      <w:r w:rsidRPr="00A52585">
        <w:rPr>
          <w:rFonts w:hint="cs"/>
          <w:rtl/>
        </w:rPr>
        <w:t>}</w:t>
      </w:r>
      <w:r w:rsidR="00777DCB" w:rsidRPr="00A52585">
        <w:rPr>
          <w:rFonts w:hint="cs"/>
          <w:rtl/>
        </w:rPr>
        <w:t xml:space="preserve"> الآية ومدح قوماً فقال </w:t>
      </w:r>
      <w:r w:rsidRPr="00A52585">
        <w:rPr>
          <w:rFonts w:hint="cs"/>
          <w:rtl/>
        </w:rPr>
        <w:t>{</w:t>
      </w:r>
      <w:r w:rsidR="00777DCB" w:rsidRPr="00A52585">
        <w:rPr>
          <w:rFonts w:hint="cs"/>
          <w:rtl/>
        </w:rPr>
        <w:t>إن الذين يغضون أصواتهم عند رسول الله</w:t>
      </w:r>
      <w:r w:rsidRPr="00A52585">
        <w:rPr>
          <w:rFonts w:hint="cs"/>
          <w:rtl/>
        </w:rPr>
        <w:t>}</w:t>
      </w:r>
      <w:r w:rsidR="00777DCB" w:rsidRPr="00A52585">
        <w:rPr>
          <w:rFonts w:hint="cs"/>
          <w:rtl/>
        </w:rPr>
        <w:t xml:space="preserve"> الآية وذم قوماً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الذين ينادونك من وراء الحجرات أكثرهم لا يعقلون</w:t>
      </w:r>
      <w:r w:rsidRPr="00A52585">
        <w:rPr>
          <w:rFonts w:hint="cs"/>
          <w:rtl/>
        </w:rPr>
        <w:t>}</w:t>
      </w:r>
      <w:r w:rsidR="00DB731D" w:rsidRPr="00A52585">
        <w:rPr>
          <w:rFonts w:hint="cs"/>
          <w:rtl/>
        </w:rPr>
        <w:t>،</w:t>
      </w:r>
      <w:r w:rsidR="00777DCB" w:rsidRPr="00A52585">
        <w:rPr>
          <w:rFonts w:hint="cs"/>
          <w:rtl/>
        </w:rPr>
        <w:t xml:space="preserve"> وإن حرمته ميتاً كحرمته حياً. فاستكان لها أبو جعفر فقال</w:t>
      </w:r>
      <w:r w:rsidRPr="00A52585">
        <w:rPr>
          <w:rFonts w:hint="cs"/>
          <w:rtl/>
        </w:rPr>
        <w:t>:</w:t>
      </w:r>
      <w:r w:rsidR="00777DCB" w:rsidRPr="00A52585">
        <w:rPr>
          <w:rFonts w:hint="cs"/>
          <w:rtl/>
        </w:rPr>
        <w:t xml:space="preserve"> يا أبا عبد الله أستقبل القبلة وأدعو أم أستقبل رسول الله صلى الله عليه وسلم فقال</w:t>
      </w:r>
      <w:r w:rsidRPr="00A52585">
        <w:rPr>
          <w:rFonts w:hint="cs"/>
          <w:rtl/>
        </w:rPr>
        <w:t>:</w:t>
      </w:r>
      <w:r w:rsidR="00777DCB" w:rsidRPr="00A52585">
        <w:rPr>
          <w:rFonts w:hint="cs"/>
          <w:rtl/>
        </w:rPr>
        <w:t xml:space="preserve"> وَلَمِ تصرف وجهك عنه وهو وسيلتك ووسيلة أبيك آدم إلى يوم القيامة بل استقبله واستشفع به فيشفعك الله عز وجل قال الله تعالى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ولو أنهم إذ ظلموا أنفسهم جاءوك فاستغفروا الله واستغفر لهم الرسول لوجدوا الله توابا رحيماً</w:t>
      </w:r>
      <w:r w:rsidRPr="00A52585">
        <w:rPr>
          <w:rFonts w:hint="cs"/>
          <w:rtl/>
        </w:rPr>
        <w:t>}</w:t>
      </w:r>
      <w:r w:rsidR="00777DCB" w:rsidRPr="00A52585">
        <w:rPr>
          <w:rFonts w:hint="cs"/>
          <w:rtl/>
        </w:rPr>
        <w:t xml:space="preserve">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الآية 64، من سورة النساء</w:t>
      </w:r>
      <w:r w:rsidR="00DB731D" w:rsidRPr="00A52585">
        <w:rPr>
          <w:rFonts w:hint="cs"/>
          <w:sz w:val="24"/>
          <w:szCs w:val="24"/>
          <w:rtl/>
        </w:rPr>
        <w:t>،</w:t>
      </w:r>
      <w:r w:rsidR="00777DCB" w:rsidRPr="00A52585">
        <w:rPr>
          <w:rFonts w:hint="cs"/>
          <w:sz w:val="24"/>
          <w:szCs w:val="24"/>
          <w:rtl/>
        </w:rPr>
        <w:t xml:space="preserve"> قال العلامة الزرقاني في (شرح المواهب) عن هذه القصة</w:t>
      </w:r>
      <w:r w:rsidRPr="00A52585">
        <w:rPr>
          <w:rFonts w:hint="cs"/>
          <w:sz w:val="24"/>
          <w:szCs w:val="24"/>
          <w:rtl/>
        </w:rPr>
        <w:t xml:space="preserve">: </w:t>
      </w:r>
      <w:r w:rsidR="00777DCB" w:rsidRPr="00A52585">
        <w:rPr>
          <w:rFonts w:hint="cs"/>
          <w:sz w:val="24"/>
          <w:szCs w:val="24"/>
          <w:rtl/>
        </w:rPr>
        <w:t>"الحكاية المذكورة رواها أبو الحسن على بن فهر في كتابه فضائل مالك بإسناد لا بأس به بل قيل إنه صحيح "</w:t>
      </w:r>
      <w:r w:rsidRPr="00A52585">
        <w:rPr>
          <w:rFonts w:hint="cs"/>
          <w:sz w:val="24"/>
          <w:szCs w:val="24"/>
          <w:rtl/>
        </w:rPr>
        <w:t xml:space="preserve"> </w:t>
      </w:r>
      <w:r w:rsidR="00777DCB" w:rsidRPr="00A52585">
        <w:rPr>
          <w:rFonts w:hint="cs"/>
          <w:sz w:val="24"/>
          <w:szCs w:val="24"/>
          <w:rtl/>
        </w:rPr>
        <w:t>أهـ (نصرة الإمام السبكي) ص 61 وقال العلامة ابن حجر في (الجوهر المنظم) عن هذه القصة أيضاً</w:t>
      </w:r>
      <w:r w:rsidRPr="00A52585">
        <w:rPr>
          <w:rFonts w:hint="cs"/>
          <w:sz w:val="24"/>
          <w:szCs w:val="24"/>
          <w:rtl/>
        </w:rPr>
        <w:t xml:space="preserve">: </w:t>
      </w:r>
      <w:r w:rsidR="00777DCB" w:rsidRPr="00A52585">
        <w:rPr>
          <w:rFonts w:hint="cs"/>
          <w:sz w:val="24"/>
          <w:szCs w:val="24"/>
          <w:rtl/>
        </w:rPr>
        <w:t>"وقد جاءت بالسند الصحيح الذي لا مطعن فيه "</w:t>
      </w:r>
      <w:r w:rsidRPr="00A52585">
        <w:rPr>
          <w:rFonts w:hint="cs"/>
          <w:sz w:val="24"/>
          <w:szCs w:val="24"/>
          <w:rtl/>
        </w:rPr>
        <w:t xml:space="preserve"> </w:t>
      </w:r>
      <w:r w:rsidR="00777DCB" w:rsidRPr="00A52585">
        <w:rPr>
          <w:rFonts w:hint="cs"/>
          <w:sz w:val="24"/>
          <w:szCs w:val="24"/>
          <w:rtl/>
        </w:rPr>
        <w:t>أهـ انظر (نصرة الإمام السبكي) ص 195 وقد ذكر الإمام تقي الدين السبكي هذه القصة في كتابه (شفاء السقام) نقلا عن القاضي عياض ثم قال</w:t>
      </w:r>
      <w:r w:rsidRPr="00A52585">
        <w:rPr>
          <w:rFonts w:hint="cs"/>
          <w:sz w:val="24"/>
          <w:szCs w:val="24"/>
          <w:rtl/>
        </w:rPr>
        <w:t xml:space="preserve">: </w:t>
      </w:r>
      <w:r w:rsidR="00777DCB" w:rsidRPr="00A52585">
        <w:rPr>
          <w:rFonts w:hint="cs"/>
          <w:sz w:val="24"/>
          <w:szCs w:val="24"/>
          <w:rtl/>
        </w:rPr>
        <w:t>"وقد ذكر القاضي عياض إسنادها وهو إسناد جيد "</w:t>
      </w:r>
      <w:r w:rsidRPr="00A52585">
        <w:rPr>
          <w:rFonts w:hint="cs"/>
          <w:sz w:val="24"/>
          <w:szCs w:val="24"/>
          <w:rtl/>
        </w:rPr>
        <w:t xml:space="preserve"> </w:t>
      </w:r>
      <w:r w:rsidR="00777DCB" w:rsidRPr="00A52585">
        <w:rPr>
          <w:rFonts w:hint="cs"/>
          <w:sz w:val="24"/>
          <w:szCs w:val="24"/>
          <w:rtl/>
        </w:rPr>
        <w:t>أهـ ص 129 ويقول الإمام محمد زاهد الكوثري عن هذه القصة في رسالته (محق التقول في مسألة التوسل)</w:t>
      </w:r>
      <w:r w:rsidRPr="00A52585">
        <w:rPr>
          <w:rFonts w:hint="cs"/>
          <w:sz w:val="24"/>
          <w:szCs w:val="24"/>
          <w:rtl/>
        </w:rPr>
        <w:t xml:space="preserve">: </w:t>
      </w:r>
      <w:r w:rsidR="00777DCB" w:rsidRPr="00A52585">
        <w:rPr>
          <w:rFonts w:hint="cs"/>
          <w:sz w:val="24"/>
          <w:szCs w:val="24"/>
          <w:rtl/>
        </w:rPr>
        <w:t>"وأما قول مالك لأبي جعفر المذكور فهو ما أخرجه القاضي عياض في (الشفا بتعريف حقوق المصطفى) بسند جيد "</w:t>
      </w:r>
      <w:r w:rsidRPr="00A52585">
        <w:rPr>
          <w:rFonts w:hint="cs"/>
          <w:sz w:val="24"/>
          <w:szCs w:val="24"/>
          <w:rtl/>
        </w:rPr>
        <w:t xml:space="preserve"> </w:t>
      </w:r>
      <w:r w:rsidR="00777DCB" w:rsidRPr="00A52585">
        <w:rPr>
          <w:rFonts w:hint="cs"/>
          <w:sz w:val="24"/>
          <w:szCs w:val="24"/>
          <w:rtl/>
        </w:rPr>
        <w:t>أهـ انظر مقالات الكوثري ص 392 وذهب الحافظ السيد عبد الله الغماري إلى أن في إسناد هذه القصة</w:t>
      </w:r>
      <w:r w:rsidRPr="00A52585">
        <w:rPr>
          <w:rFonts w:hint="cs"/>
          <w:sz w:val="24"/>
          <w:szCs w:val="24"/>
          <w:rtl/>
        </w:rPr>
        <w:t xml:space="preserve"> </w:t>
      </w:r>
      <w:r w:rsidR="00777DCB" w:rsidRPr="00A52585">
        <w:rPr>
          <w:rFonts w:hint="cs"/>
          <w:sz w:val="24"/>
          <w:szCs w:val="24"/>
          <w:rtl/>
        </w:rPr>
        <w:t>ضعف لكنه لا يسقطها عن درجة الاحتجاج فقال في كتابه (الرد المحكم المتين)</w:t>
      </w:r>
      <w:r w:rsidRPr="00A52585">
        <w:rPr>
          <w:rFonts w:hint="cs"/>
          <w:sz w:val="24"/>
          <w:szCs w:val="24"/>
          <w:rtl/>
        </w:rPr>
        <w:t xml:space="preserve">: </w:t>
      </w:r>
      <w:r w:rsidR="00777DCB" w:rsidRPr="00A52585">
        <w:rPr>
          <w:rFonts w:hint="cs"/>
          <w:sz w:val="24"/>
          <w:szCs w:val="24"/>
          <w:rtl/>
        </w:rPr>
        <w:t xml:space="preserve">"فهذه الحكاية عن الإمام مالك صريحة في جواز التوسل بل استحبابه وهي وإن كانت ضعيفة الإسناد وادعاء ابن تيمية كذبها مردود </w:t>
      </w:r>
      <w:r w:rsidR="00777DCB" w:rsidRPr="00A52585">
        <w:rPr>
          <w:rFonts w:hint="cs"/>
          <w:sz w:val="24"/>
          <w:szCs w:val="24"/>
          <w:rtl/>
        </w:rPr>
        <w:lastRenderedPageBreak/>
        <w:t xml:space="preserve">عليه ولا كرامة </w:t>
      </w:r>
      <w:r w:rsidR="00777DCB" w:rsidRPr="00A52585">
        <w:rPr>
          <w:sz w:val="24"/>
          <w:szCs w:val="24"/>
        </w:rPr>
        <w:t>–</w:t>
      </w:r>
      <w:r w:rsidR="00777DCB" w:rsidRPr="00A52585">
        <w:rPr>
          <w:rFonts w:hint="cs"/>
          <w:sz w:val="24"/>
          <w:szCs w:val="24"/>
          <w:rtl/>
        </w:rPr>
        <w:t xml:space="preserve"> فقد تلقاها أهل المذهب بالقبول وعملوا بمقتضاها وناهيك بالقاضي عياض حيث استدل بها ولم يعقبها بما يخالفها ولهذا لا يحفظ عن أحد من المالكية قول بمنع التوسل بالنبي صلى الله عليه وسلم أو كراهته بل كلهم متفقون على جوازه واستحبابه "</w:t>
      </w:r>
      <w:r w:rsidRPr="00A52585">
        <w:rPr>
          <w:rFonts w:hint="cs"/>
          <w:sz w:val="24"/>
          <w:szCs w:val="24"/>
          <w:rtl/>
        </w:rPr>
        <w:t xml:space="preserve"> </w:t>
      </w:r>
      <w:r w:rsidR="00777DCB" w:rsidRPr="00A52585">
        <w:rPr>
          <w:rFonts w:hint="cs"/>
          <w:sz w:val="24"/>
          <w:szCs w:val="24"/>
          <w:rtl/>
        </w:rPr>
        <w:t>أهـ ص 95 وقد قال حفظه الله في موضع آخر من كتابه المذكور معلقا على ضعف أسانيد بعض أحاديث الأحكام</w:t>
      </w:r>
      <w:r w:rsidRPr="00A52585">
        <w:rPr>
          <w:rFonts w:hint="cs"/>
          <w:sz w:val="24"/>
          <w:szCs w:val="24"/>
          <w:rtl/>
        </w:rPr>
        <w:t xml:space="preserve">: </w:t>
      </w:r>
      <w:r w:rsidR="00777DCB" w:rsidRPr="00A52585">
        <w:rPr>
          <w:rFonts w:hint="cs"/>
          <w:sz w:val="24"/>
          <w:szCs w:val="24"/>
          <w:rtl/>
        </w:rPr>
        <w:t>" وقولهم الحديث الضعيف لا يعمل به في الأحكام ليس على إطلاقه كما يفهمه غالب الناس أو كلهم لأنك</w:t>
      </w:r>
      <w:r w:rsidRPr="00A52585">
        <w:rPr>
          <w:rFonts w:hint="cs"/>
          <w:sz w:val="24"/>
          <w:szCs w:val="24"/>
          <w:rtl/>
        </w:rPr>
        <w:t xml:space="preserve"> </w:t>
      </w:r>
      <w:r w:rsidR="00777DCB" w:rsidRPr="00A52585">
        <w:rPr>
          <w:rFonts w:hint="cs"/>
          <w:sz w:val="24"/>
          <w:szCs w:val="24"/>
          <w:rtl/>
        </w:rPr>
        <w:t>إذا نظرت في أحاديث الأحكام التي أخذ بها الأئمة مجتمعين ومنفردين وجدت فيها من الضعيف ما لعله يبلغ نصفها أو يزيد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بل مما أصَّله مالك وأبو حنيفة الاحتجاج بالمرسل ومن أصول الإمام أحمد وتلميذه أبي داود الاحتجاج بالحديث الضعيف وتقديمه على الرأي والقياس وقدمه أبو حنيفة أيضاً كما نقله ابن حزم عنه "</w:t>
      </w:r>
      <w:r w:rsidRPr="00A52585">
        <w:rPr>
          <w:rFonts w:hint="cs"/>
          <w:sz w:val="24"/>
          <w:szCs w:val="24"/>
          <w:rtl/>
        </w:rPr>
        <w:t xml:space="preserve"> </w:t>
      </w:r>
      <w:r w:rsidR="00777DCB" w:rsidRPr="00A52585">
        <w:rPr>
          <w:rFonts w:hint="cs"/>
          <w:sz w:val="24"/>
          <w:szCs w:val="24"/>
          <w:rtl/>
        </w:rPr>
        <w:t>أهـ ص 193 وقد نقل الإمام زاهد الكوثري في مقالاته ما ذكره السخاوي في خاتمة (القول البديع) قال</w:t>
      </w:r>
      <w:r w:rsidRPr="00A52585">
        <w:rPr>
          <w:rFonts w:hint="cs"/>
          <w:sz w:val="24"/>
          <w:szCs w:val="24"/>
          <w:rtl/>
        </w:rPr>
        <w:t xml:space="preserve">: </w:t>
      </w:r>
      <w:r w:rsidR="00777DCB" w:rsidRPr="00A52585">
        <w:rPr>
          <w:rFonts w:hint="cs"/>
          <w:sz w:val="24"/>
          <w:szCs w:val="24"/>
          <w:rtl/>
        </w:rPr>
        <w:t xml:space="preserve">"وقد سمعت شيخنا </w:t>
      </w:r>
      <w:r w:rsidR="00777DCB" w:rsidRPr="00A52585">
        <w:rPr>
          <w:sz w:val="24"/>
          <w:szCs w:val="24"/>
        </w:rPr>
        <w:t>–</w:t>
      </w:r>
      <w:r w:rsidR="00777DCB" w:rsidRPr="00A52585">
        <w:rPr>
          <w:rFonts w:hint="cs"/>
          <w:sz w:val="24"/>
          <w:szCs w:val="24"/>
          <w:rtl/>
        </w:rPr>
        <w:t xml:space="preserve"> يعني ابن حجر </w:t>
      </w:r>
      <w:r w:rsidR="00777DCB" w:rsidRPr="00A52585">
        <w:rPr>
          <w:sz w:val="24"/>
          <w:szCs w:val="24"/>
        </w:rPr>
        <w:t>–</w:t>
      </w:r>
      <w:r w:rsidR="00777DCB" w:rsidRPr="00A52585">
        <w:rPr>
          <w:rFonts w:hint="cs"/>
          <w:sz w:val="24"/>
          <w:szCs w:val="24"/>
          <w:rtl/>
        </w:rPr>
        <w:t xml:space="preserve"> مراراً يقول وكتبه لي بخطه</w:t>
      </w:r>
      <w:r w:rsidRPr="00A52585">
        <w:rPr>
          <w:rFonts w:hint="cs"/>
          <w:sz w:val="24"/>
          <w:szCs w:val="24"/>
          <w:rtl/>
        </w:rPr>
        <w:t>:</w:t>
      </w:r>
      <w:r w:rsidR="00777DCB" w:rsidRPr="00A52585">
        <w:rPr>
          <w:rFonts w:hint="cs"/>
          <w:sz w:val="24"/>
          <w:szCs w:val="24"/>
          <w:rtl/>
        </w:rPr>
        <w:t xml:space="preserve"> (إن شرائط العمل بالضعيف ثلاثة</w:t>
      </w:r>
      <w:r w:rsidRPr="00A52585">
        <w:rPr>
          <w:rFonts w:hint="cs"/>
          <w:sz w:val="24"/>
          <w:szCs w:val="24"/>
          <w:rtl/>
        </w:rPr>
        <w:t>:</w:t>
      </w:r>
      <w:r w:rsidR="00777DCB" w:rsidRPr="00A52585">
        <w:rPr>
          <w:rFonts w:hint="cs"/>
          <w:sz w:val="24"/>
          <w:szCs w:val="24"/>
          <w:rtl/>
        </w:rPr>
        <w:t xml:space="preserve"> الأول متفق عليه وهو أن يكون الضعف غير شديد فيخرج من انفرد من الكذابين والمتهمين بالكذب ومن فحش غلطه والثاني أن يكون مندرجا تحت أصل عام فيخرج ما يخترع بحيث لا يكون له أصل أصلا والثالث أن لا يعتقد عند العمل به ثبوته لئلا ينسب إلى النبي صلى الله عليه وسلم ما لم يقله) قال</w:t>
      </w:r>
      <w:r w:rsidRPr="00A52585">
        <w:rPr>
          <w:rFonts w:hint="cs"/>
          <w:sz w:val="24"/>
          <w:szCs w:val="24"/>
          <w:rtl/>
        </w:rPr>
        <w:t>:</w:t>
      </w:r>
      <w:r w:rsidR="00777DCB" w:rsidRPr="00A52585">
        <w:rPr>
          <w:rFonts w:hint="cs"/>
          <w:sz w:val="24"/>
          <w:szCs w:val="24"/>
          <w:rtl/>
        </w:rPr>
        <w:t xml:space="preserve"> (والأخيران عن ابن عبد السلام وعن صاحبه ابن دقيق العيد، والأول نقل العلائي</w:t>
      </w:r>
      <w:r w:rsidRPr="00A52585">
        <w:rPr>
          <w:rFonts w:hint="cs"/>
          <w:sz w:val="24"/>
          <w:szCs w:val="24"/>
          <w:rtl/>
        </w:rPr>
        <w:t xml:space="preserve"> </w:t>
      </w:r>
      <w:r w:rsidR="00777DCB" w:rsidRPr="00A52585">
        <w:rPr>
          <w:rFonts w:hint="cs"/>
          <w:sz w:val="24"/>
          <w:szCs w:val="24"/>
          <w:rtl/>
        </w:rPr>
        <w:t>الاتفاق عليه) أهـ مقالات الكوثري ص 44، 45</w:t>
      </w:r>
      <w:r w:rsidR="00DB731D" w:rsidRPr="00A52585">
        <w:rPr>
          <w:rFonts w:hint="cs"/>
          <w:sz w:val="24"/>
          <w:szCs w:val="24"/>
          <w:rtl/>
        </w:rPr>
        <w:t>،</w:t>
      </w:r>
      <w:r w:rsidR="00777DCB" w:rsidRPr="00A52585">
        <w:rPr>
          <w:rFonts w:hint="cs"/>
          <w:sz w:val="24"/>
          <w:szCs w:val="24"/>
          <w:rtl/>
        </w:rPr>
        <w:t xml:space="preserve"> وما احتواه هذا الخبر من استقبال رسول الله صلى الله عليه وسلم أثناء الدعاء هو الثابت الصحيح عن مالك والذي رواه عنه ابن وهب </w:t>
      </w:r>
      <w:r w:rsidR="00777DCB" w:rsidRPr="00A52585">
        <w:rPr>
          <w:sz w:val="24"/>
          <w:szCs w:val="24"/>
        </w:rPr>
        <w:t>–</w:t>
      </w:r>
      <w:r w:rsidR="00777DCB" w:rsidRPr="00A52585">
        <w:rPr>
          <w:rFonts w:hint="cs"/>
          <w:sz w:val="24"/>
          <w:szCs w:val="24"/>
          <w:rtl/>
        </w:rPr>
        <w:t xml:space="preserve"> أجل أصحابه- وكذا أشهب وأئمة مذهبه وهم أدرى بمذهب إمامهم فيما عدا رواية ضعيفة في كتاب (المبسوط) لإسماعيل القاضي المالكي تفيد أنه يستقبل القبلة أثناء الدعاء، بل وهو كذلك الصحيح المعتمد من مذاهب الأئمة أبي حنيفة والشافعي وأحمد بن حنبل والحاصل أن هذا الخبر ليس فيه ما يدل على الاستغراب أو الاستنكار فضلا عن ادعاء بطلانه ووضعه ولا توجد هنا أية أمارة على وضع هذا الخبر أو كذبه كما زعم ابن تيمية</w:t>
      </w:r>
      <w:r w:rsidRPr="00A52585">
        <w:rPr>
          <w:rFonts w:hint="cs"/>
          <w:sz w:val="24"/>
          <w:szCs w:val="24"/>
          <w:rtl/>
        </w:rPr>
        <w:t>]</w:t>
      </w:r>
      <w:r w:rsidR="00DB731D" w:rsidRPr="00A52585">
        <w:rPr>
          <w:rFonts w:hint="cs"/>
          <w:rtl/>
        </w:rPr>
        <w:t>،</w:t>
      </w:r>
      <w:r w:rsidR="00777DCB" w:rsidRPr="00A52585">
        <w:rPr>
          <w:rFonts w:hint="cs"/>
          <w:rtl/>
        </w:rPr>
        <w:t xml:space="preserve"> وهذه القصة معروفة مشهورة ذكرها غير واحد من المتقدمين والمتأخرين بأسانيد جيدة ومنهم القاضي عياض في أشهر كتبه وهو الشفاء المشهور بالحسن والاتقان في سائر البلدان ومنهم الإمام العلامة هبة الله في كتابه توثيق عرى الإيمان</w:t>
      </w:r>
      <w:r w:rsidR="00DB731D" w:rsidRPr="00A52585">
        <w:rPr>
          <w:rFonts w:hint="cs"/>
          <w:rtl/>
        </w:rPr>
        <w:t>،</w:t>
      </w:r>
      <w:r w:rsidR="00777DCB" w:rsidRPr="00A52585">
        <w:rPr>
          <w:rFonts w:hint="cs"/>
          <w:rtl/>
        </w:rPr>
        <w:t xml:space="preserve"> وقد اشتملت هذه القصة على تعظيمه بعد وفاته وأنه حي والتوسل به وحسن الأدب في حقه كما في حياته وأن في الآية الحث على </w:t>
      </w:r>
      <w:proofErr w:type="spellStart"/>
      <w:r w:rsidR="00777DCB" w:rsidRPr="00A52585">
        <w:rPr>
          <w:rFonts w:hint="cs"/>
          <w:rtl/>
        </w:rPr>
        <w:t>المجئ</w:t>
      </w:r>
      <w:proofErr w:type="spellEnd"/>
      <w:r w:rsidR="00777DCB" w:rsidRPr="00A52585">
        <w:rPr>
          <w:rFonts w:hint="cs"/>
          <w:rtl/>
        </w:rPr>
        <w:t xml:space="preserve"> إليه ليستغفر له وليس في الآية تعرض لزمن حياته دون الوفاة وكذا فهم العلماء ـ مالك وغيره كما يأتي إن شاء الله تعالى ـ العموم واستحبوا لمن زار قبره المكرم أن يتلو هذه الآية ويستغفر ويتوسل به ويطلب الشفاعة منه</w:t>
      </w:r>
      <w:r w:rsidR="00DB731D" w:rsidRPr="00A52585">
        <w:rPr>
          <w:rFonts w:hint="cs"/>
          <w:rtl/>
        </w:rPr>
        <w:t>،</w:t>
      </w:r>
      <w:r w:rsidR="00777DCB" w:rsidRPr="00A52585">
        <w:rPr>
          <w:rFonts w:hint="cs"/>
          <w:rtl/>
        </w:rPr>
        <w:t xml:space="preserve"> ولم نعلم أن أحد طعن في قصة مالك إلا هذا الفاجر فإنه لما كان فيها هذه الفضائل طعن فيها وقال إنها مكذوبة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زعم ابن تيمية بأن هذه القصة مكذوبة لمجرد مخالفتها لهواه فقال</w:t>
      </w:r>
      <w:r w:rsidRPr="00A52585">
        <w:rPr>
          <w:rFonts w:hint="cs"/>
          <w:sz w:val="24"/>
          <w:szCs w:val="24"/>
          <w:rtl/>
        </w:rPr>
        <w:t xml:space="preserve">: </w:t>
      </w:r>
      <w:r w:rsidR="00777DCB" w:rsidRPr="00A52585">
        <w:rPr>
          <w:rFonts w:hint="cs"/>
          <w:sz w:val="24"/>
          <w:szCs w:val="24"/>
          <w:rtl/>
        </w:rPr>
        <w:t>"ولم يقل أحد من الأئمة أنه يستقبل القبر عند الدعاء إلا في حكاية مكذوبة تروى عن مالك ومذهبه بخلافها "</w:t>
      </w:r>
      <w:r w:rsidRPr="00A52585">
        <w:rPr>
          <w:rFonts w:hint="cs"/>
          <w:sz w:val="24"/>
          <w:szCs w:val="24"/>
          <w:rtl/>
        </w:rPr>
        <w:t xml:space="preserve"> </w:t>
      </w:r>
      <w:r w:rsidR="00777DCB" w:rsidRPr="00A52585">
        <w:rPr>
          <w:rFonts w:hint="cs"/>
          <w:sz w:val="24"/>
          <w:szCs w:val="24"/>
          <w:rtl/>
        </w:rPr>
        <w:t xml:space="preserve">وقد رد عليه الإمام تقي الدين السبكي رداً وافياً في كتاب (شفاء السقام) انظر الفصل الثاني من الكتاب وكذا الشيخ إبراهيم السمنودي في كتاب (نصرة الإمام السبكي) انظر ص 33،61،196 ونقلا كلام الأئمة الأربعة وغيرهم </w:t>
      </w:r>
      <w:r w:rsidR="00777DCB" w:rsidRPr="00A52585">
        <w:rPr>
          <w:rFonts w:hint="cs"/>
          <w:sz w:val="24"/>
          <w:szCs w:val="24"/>
          <w:rtl/>
        </w:rPr>
        <w:lastRenderedPageBreak/>
        <w:t>والذي يبطل مزاعم ابن تيمية</w:t>
      </w:r>
      <w:r w:rsidR="00DB731D" w:rsidRPr="00A52585">
        <w:rPr>
          <w:rFonts w:hint="cs"/>
          <w:sz w:val="24"/>
          <w:szCs w:val="24"/>
          <w:rtl/>
        </w:rPr>
        <w:t>،</w:t>
      </w:r>
      <w:r w:rsidR="00777DCB" w:rsidRPr="00A52585">
        <w:rPr>
          <w:rFonts w:hint="cs"/>
          <w:sz w:val="24"/>
          <w:szCs w:val="24"/>
          <w:rtl/>
        </w:rPr>
        <w:t xml:space="preserve"> لكن شمس الدين ابن عبد الهادي تلميذ ابن تيمية حاول أن يؤيد دعوى شيخه بأن حاول الطعن في سند هذه القصة وادعى أن الذي رواها عن مالك وهو محمد بن حميد كذاب وحشد كل ما وصل إليه من طعون فيه وقد رد عليه الشيخ محمد زاهد الكوثري فقال</w:t>
      </w:r>
      <w:r w:rsidRPr="00A52585">
        <w:rPr>
          <w:rFonts w:hint="cs"/>
          <w:sz w:val="24"/>
          <w:szCs w:val="24"/>
          <w:rtl/>
        </w:rPr>
        <w:t xml:space="preserve">: </w:t>
      </w:r>
      <w:r w:rsidR="00777DCB" w:rsidRPr="00A52585">
        <w:rPr>
          <w:rFonts w:hint="cs"/>
          <w:sz w:val="24"/>
          <w:szCs w:val="24"/>
          <w:rtl/>
        </w:rPr>
        <w:t>"ومحمد بن حميد هذا</w:t>
      </w:r>
      <w:r w:rsidRPr="00A52585">
        <w:rPr>
          <w:rFonts w:hint="cs"/>
          <w:sz w:val="24"/>
          <w:szCs w:val="24"/>
          <w:rtl/>
        </w:rPr>
        <w:t xml:space="preserve"> </w:t>
      </w:r>
      <w:r w:rsidR="00777DCB" w:rsidRPr="00A52585">
        <w:rPr>
          <w:rFonts w:hint="cs"/>
          <w:sz w:val="24"/>
          <w:szCs w:val="24"/>
          <w:rtl/>
        </w:rPr>
        <w:t xml:space="preserve">روى عنه أبو داود والترمذي وابن ماجة وأحمد بن حنبل ويحيى بن معين قال </w:t>
      </w:r>
      <w:proofErr w:type="spellStart"/>
      <w:r w:rsidR="00777DCB" w:rsidRPr="00A52585">
        <w:rPr>
          <w:rFonts w:hint="cs"/>
          <w:sz w:val="24"/>
          <w:szCs w:val="24"/>
          <w:rtl/>
        </w:rPr>
        <w:t>إبن</w:t>
      </w:r>
      <w:proofErr w:type="spellEnd"/>
      <w:r w:rsidR="00777DCB" w:rsidRPr="00A52585">
        <w:rPr>
          <w:rFonts w:hint="cs"/>
          <w:sz w:val="24"/>
          <w:szCs w:val="24"/>
          <w:rtl/>
        </w:rPr>
        <w:t xml:space="preserve"> أبي خيثمة</w:t>
      </w:r>
      <w:r w:rsidRPr="00A52585">
        <w:rPr>
          <w:rFonts w:hint="cs"/>
          <w:sz w:val="24"/>
          <w:szCs w:val="24"/>
          <w:rtl/>
        </w:rPr>
        <w:t>:</w:t>
      </w:r>
      <w:r w:rsidR="00777DCB" w:rsidRPr="00A52585">
        <w:rPr>
          <w:rFonts w:hint="cs"/>
          <w:sz w:val="24"/>
          <w:szCs w:val="24"/>
          <w:rtl/>
        </w:rPr>
        <w:t xml:space="preserve"> سئل عنه ابن معين فقال</w:t>
      </w:r>
      <w:r w:rsidRPr="00A52585">
        <w:rPr>
          <w:rFonts w:hint="cs"/>
          <w:sz w:val="24"/>
          <w:szCs w:val="24"/>
          <w:rtl/>
        </w:rPr>
        <w:t>:</w:t>
      </w:r>
      <w:r w:rsidR="00777DCB" w:rsidRPr="00A52585">
        <w:rPr>
          <w:rFonts w:hint="cs"/>
          <w:sz w:val="24"/>
          <w:szCs w:val="24"/>
          <w:rtl/>
        </w:rPr>
        <w:t xml:space="preserve"> ثقة لا بأس به رازي كيس وقال أحمد</w:t>
      </w:r>
      <w:r w:rsidRPr="00A52585">
        <w:rPr>
          <w:rFonts w:hint="cs"/>
          <w:sz w:val="24"/>
          <w:szCs w:val="24"/>
          <w:rtl/>
        </w:rPr>
        <w:t>:</w:t>
      </w:r>
      <w:r w:rsidR="00777DCB" w:rsidRPr="00A52585">
        <w:rPr>
          <w:rFonts w:hint="cs"/>
          <w:sz w:val="24"/>
          <w:szCs w:val="24"/>
          <w:rtl/>
        </w:rPr>
        <w:t xml:space="preserve"> لا يزال بالري علم ما دام محمد بن حميد، وممن أثنى عليه</w:t>
      </w:r>
      <w:r w:rsidRPr="00A52585">
        <w:rPr>
          <w:rFonts w:hint="cs"/>
          <w:sz w:val="24"/>
          <w:szCs w:val="24"/>
          <w:rtl/>
        </w:rPr>
        <w:t>:</w:t>
      </w:r>
      <w:r w:rsidR="00777DCB" w:rsidRPr="00A52585">
        <w:rPr>
          <w:rFonts w:hint="cs"/>
          <w:sz w:val="24"/>
          <w:szCs w:val="24"/>
          <w:rtl/>
        </w:rPr>
        <w:t xml:space="preserve"> الصاغاني والذهلي، وقال الخليلي في الإرشاد</w:t>
      </w:r>
      <w:r w:rsidRPr="00A52585">
        <w:rPr>
          <w:rFonts w:hint="cs"/>
          <w:sz w:val="24"/>
          <w:szCs w:val="24"/>
          <w:rtl/>
        </w:rPr>
        <w:t>:</w:t>
      </w:r>
      <w:r w:rsidR="00777DCB" w:rsidRPr="00A52585">
        <w:rPr>
          <w:rFonts w:hint="cs"/>
          <w:sz w:val="24"/>
          <w:szCs w:val="24"/>
          <w:rtl/>
        </w:rPr>
        <w:t xml:space="preserve"> كان حافظاً عالماً بهذا الشأن رضيه أحمد ويحيى وقال البخاري</w:t>
      </w:r>
      <w:r w:rsidRPr="00A52585">
        <w:rPr>
          <w:rFonts w:hint="cs"/>
          <w:sz w:val="24"/>
          <w:szCs w:val="24"/>
          <w:rtl/>
        </w:rPr>
        <w:t>:</w:t>
      </w:r>
      <w:r w:rsidR="00777DCB" w:rsidRPr="00A52585">
        <w:rPr>
          <w:rFonts w:hint="cs"/>
          <w:sz w:val="24"/>
          <w:szCs w:val="24"/>
          <w:rtl/>
        </w:rPr>
        <w:t xml:space="preserve"> فيه نظر وليس مثله يتهم في مثل هذا الخبر وقد مات سنة 248 عن سن عالية وكان عمره عند وفاة مالك لا يقل عن نحو خمس عشرة سنة وهم يقبلون رواية ابن خمس في مسند إمامهم </w:t>
      </w:r>
      <w:r w:rsidR="00777DCB" w:rsidRPr="00A52585">
        <w:rPr>
          <w:sz w:val="24"/>
          <w:szCs w:val="24"/>
        </w:rPr>
        <w:t>…</w:t>
      </w:r>
      <w:r w:rsidR="00777DCB" w:rsidRPr="00A52585">
        <w:rPr>
          <w:sz w:val="24"/>
          <w:szCs w:val="24"/>
          <w:rtl/>
        </w:rPr>
        <w:t xml:space="preserve"> </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إلى أن قال</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وابن عبد الهادي يأبى قبول هذا الخبر</w:t>
      </w:r>
      <w:r w:rsidRPr="00A52585">
        <w:rPr>
          <w:rFonts w:hint="cs"/>
          <w:sz w:val="24"/>
          <w:szCs w:val="24"/>
          <w:rtl/>
        </w:rPr>
        <w:t xml:space="preserve"> </w:t>
      </w:r>
      <w:r w:rsidR="00777DCB" w:rsidRPr="00A52585">
        <w:rPr>
          <w:rFonts w:hint="cs"/>
          <w:sz w:val="24"/>
          <w:szCs w:val="24"/>
          <w:rtl/>
        </w:rPr>
        <w:t xml:space="preserve">لأنه يمس شذوذ شيخه ليس إلا، أراد ابن </w:t>
      </w:r>
      <w:proofErr w:type="spellStart"/>
      <w:r w:rsidR="00777DCB" w:rsidRPr="00A52585">
        <w:rPr>
          <w:rFonts w:hint="cs"/>
          <w:sz w:val="24"/>
          <w:szCs w:val="24"/>
          <w:rtl/>
        </w:rPr>
        <w:t>المنتاب</w:t>
      </w:r>
      <w:proofErr w:type="spellEnd"/>
      <w:r w:rsidR="00777DCB" w:rsidRPr="00A52585">
        <w:rPr>
          <w:rFonts w:hint="cs"/>
          <w:sz w:val="24"/>
          <w:szCs w:val="24"/>
          <w:rtl/>
        </w:rPr>
        <w:t xml:space="preserve"> - أحد رواة الخبر في السند المذكور- بسوق هذا الخبر الرد على ما في مبسوط شيخه إسماعيل القاضي المالكي المخالف لما رواه ابن وهب عن مالك وإسماعيل من أهل العراق وأهل مصر والمدينة أعلم بمسائل مالك منهم، على أن إسماعيل لم يسند ما ذكره إلى مالك بل أرسله إرسالاً "</w:t>
      </w:r>
      <w:r w:rsidRPr="00A52585">
        <w:rPr>
          <w:rFonts w:hint="cs"/>
          <w:sz w:val="24"/>
          <w:szCs w:val="24"/>
          <w:rtl/>
        </w:rPr>
        <w:t xml:space="preserve"> </w:t>
      </w:r>
      <w:r w:rsidR="00777DCB" w:rsidRPr="00A52585">
        <w:rPr>
          <w:rFonts w:hint="cs"/>
          <w:sz w:val="24"/>
          <w:szCs w:val="24"/>
          <w:rtl/>
        </w:rPr>
        <w:t>أهـ مقالات الكوثري</w:t>
      </w:r>
      <w:r w:rsidR="00DB731D" w:rsidRPr="00A52585">
        <w:rPr>
          <w:rFonts w:hint="cs"/>
          <w:sz w:val="24"/>
          <w:szCs w:val="24"/>
          <w:rtl/>
        </w:rPr>
        <w:t>،</w:t>
      </w:r>
      <w:r w:rsidR="00777DCB" w:rsidRPr="00A52585">
        <w:rPr>
          <w:rFonts w:hint="cs"/>
          <w:sz w:val="24"/>
          <w:szCs w:val="24"/>
          <w:rtl/>
        </w:rPr>
        <w:t xml:space="preserve"> ومن الملاحظ أن الحافظ ابن حجر في تقريب التهذيب لم يعتمد اتهام البعض لمحمد بن حميد الراوي بالكذب ولكنه وصفه بالضعف فقط يقول الشيخ إبراهيم السمنودي</w:t>
      </w:r>
      <w:r w:rsidRPr="00A52585">
        <w:rPr>
          <w:rFonts w:hint="cs"/>
          <w:sz w:val="24"/>
          <w:szCs w:val="24"/>
          <w:rtl/>
        </w:rPr>
        <w:t xml:space="preserve">: </w:t>
      </w:r>
      <w:r w:rsidR="00777DCB" w:rsidRPr="00A52585">
        <w:rPr>
          <w:rFonts w:hint="cs"/>
          <w:sz w:val="24"/>
          <w:szCs w:val="24"/>
          <w:rtl/>
        </w:rPr>
        <w:t>"قد صرح أئمة فن الحديث كما قدمناه بأنه ليس كل ما رواه مجهول أو ضعيف أو متهم غير صحيح ولا واهيا ولا منكراً وأنه ليس لنا ترك حديث كل من تكلم الناس فيه بمجرد الكلام فربما يكون قد توبع عليه وظهرت شواهده وكان له أصل، وإنما لنا ترك ما انفرد به وخالف فيه الثقات ولم يظهر له شواهد لأنا لو فتحنا باب الترك لحديث كل راو تكلم بعض الناس فيه بمجرد الكلام لذهب معظم الشريعة كما قاله العارف الشعراني في ميزانه الكبرى</w:t>
      </w:r>
      <w:r w:rsidR="00DB731D" w:rsidRPr="00A52585">
        <w:rPr>
          <w:rFonts w:hint="cs"/>
          <w:sz w:val="24"/>
          <w:szCs w:val="24"/>
          <w:rtl/>
        </w:rPr>
        <w:t>،</w:t>
      </w:r>
      <w:r w:rsidR="00777DCB" w:rsidRPr="00A52585">
        <w:rPr>
          <w:rFonts w:hint="cs"/>
          <w:sz w:val="24"/>
          <w:szCs w:val="24"/>
          <w:rtl/>
        </w:rPr>
        <w:t xml:space="preserve"> فإذا كان هذا في الأحاديث</w:t>
      </w:r>
      <w:r w:rsidRPr="00A52585">
        <w:rPr>
          <w:rFonts w:hint="cs"/>
          <w:sz w:val="24"/>
          <w:szCs w:val="24"/>
          <w:rtl/>
        </w:rPr>
        <w:t xml:space="preserve"> </w:t>
      </w:r>
      <w:r w:rsidR="00777DCB" w:rsidRPr="00A52585">
        <w:rPr>
          <w:rFonts w:hint="cs"/>
          <w:sz w:val="24"/>
          <w:szCs w:val="24"/>
          <w:rtl/>
        </w:rPr>
        <w:t xml:space="preserve">فكيف بالسير كهذه الحكاية التي لها شواهد كثيرة واضحة لموافقتها لما ذهب إليه الجمهور ومنهم الشافعي وأبو حنيفة وأحمد ومالك نفسه فيما رواه عنه ابن وهب وابن المواز وجزم به الحافظ أبو الحسن </w:t>
      </w:r>
      <w:proofErr w:type="spellStart"/>
      <w:r w:rsidR="00777DCB" w:rsidRPr="00A52585">
        <w:rPr>
          <w:rFonts w:hint="cs"/>
          <w:sz w:val="24"/>
          <w:szCs w:val="24"/>
          <w:rtl/>
        </w:rPr>
        <w:t>القابسى</w:t>
      </w:r>
      <w:proofErr w:type="spellEnd"/>
      <w:r w:rsidR="00777DCB" w:rsidRPr="00A52585">
        <w:rPr>
          <w:rFonts w:hint="cs"/>
          <w:sz w:val="24"/>
          <w:szCs w:val="24"/>
          <w:rtl/>
        </w:rPr>
        <w:t xml:space="preserve"> وأبو بكر بن عبد الرحمن وغيرهم من أئمة مذهب مالك ونص عليه العلامة خليل في مناسكه كما مر بسط ذلك "</w:t>
      </w:r>
      <w:r w:rsidRPr="00A52585">
        <w:rPr>
          <w:rFonts w:hint="cs"/>
          <w:sz w:val="24"/>
          <w:szCs w:val="24"/>
          <w:rtl/>
        </w:rPr>
        <w:t xml:space="preserve"> </w:t>
      </w:r>
      <w:r w:rsidR="00777DCB" w:rsidRPr="00A52585">
        <w:rPr>
          <w:rFonts w:hint="cs"/>
          <w:sz w:val="24"/>
          <w:szCs w:val="24"/>
          <w:rtl/>
        </w:rPr>
        <w:t>أهـ نصرة الإمام السبكي ص 197</w:t>
      </w:r>
      <w:r w:rsidRPr="00A52585">
        <w:rPr>
          <w:rFonts w:hint="cs"/>
          <w:sz w:val="24"/>
          <w:szCs w:val="24"/>
          <w:rtl/>
        </w:rPr>
        <w:t>]</w:t>
      </w:r>
      <w:r w:rsidR="00DB731D" w:rsidRPr="00A52585">
        <w:rPr>
          <w:rFonts w:hint="cs"/>
          <w:sz w:val="24"/>
          <w:szCs w:val="24"/>
          <w:rtl/>
        </w:rPr>
        <w:t>،</w:t>
      </w:r>
      <w:r w:rsidR="00777DCB" w:rsidRPr="00A52585">
        <w:rPr>
          <w:rFonts w:hint="cs"/>
          <w:rtl/>
        </w:rPr>
        <w:t xml:space="preserve"> قاتله الله فإن هذا شأنه</w:t>
      </w:r>
      <w:r w:rsidRPr="00A52585">
        <w:rPr>
          <w:rFonts w:hint="cs"/>
          <w:rtl/>
        </w:rPr>
        <w:t>:</w:t>
      </w:r>
      <w:r w:rsidR="00777DCB" w:rsidRPr="00A52585">
        <w:rPr>
          <w:rFonts w:hint="cs"/>
          <w:rtl/>
        </w:rPr>
        <w:t xml:space="preserve"> إذا وجد شيئاً لا مساس فيه لما ابتدعه قال به وقبله ولم يطعن وإذا وجد شيئاً على خلاف بدعته طعن فيه وإن اتفق على صحته ولا يذكر شيئاً على خلاف هواه وإن اتفق على صحته لا سيما إذا كان آية أو خبراً عن رسول الله صلى الله عليه وسلم ولو أمكنه أن يطعن في الآية لفعل إلا أنه تعرض لتخصيصها وهو دعوى مجردة وعلى خلاف ما فهمه العلماء من العموم ووقع العمل عليه</w:t>
      </w:r>
      <w:r w:rsidR="00DB731D" w:rsidRPr="00A52585">
        <w:rPr>
          <w:rFonts w:hint="cs"/>
          <w:rtl/>
        </w:rPr>
        <w:t>،</w:t>
      </w:r>
      <w:r w:rsidR="00777DCB" w:rsidRPr="00A52585">
        <w:rPr>
          <w:rFonts w:hint="cs"/>
          <w:rtl/>
        </w:rPr>
        <w:t xml:space="preserve"> فمن ادعى التخصيص بغير دليل سمعي ظاهر الدلالة قطعنا بخطئه واتهمناه واستدللنا بذلك على استنقاصه سيد الأولين والآخرين الكامل المكمل. وهو كفر بإجماع أهل التوحيد</w:t>
      </w:r>
      <w:r w:rsidR="00DB731D" w:rsidRPr="00A52585">
        <w:rPr>
          <w:rFonts w:hint="cs"/>
          <w:rtl/>
        </w:rPr>
        <w:t>،</w:t>
      </w:r>
      <w:r w:rsidR="00777DCB" w:rsidRPr="00A52585">
        <w:rPr>
          <w:rFonts w:hint="cs"/>
          <w:rtl/>
        </w:rPr>
        <w:t xml:space="preserve"> </w:t>
      </w:r>
      <w:r w:rsidRPr="00A52585">
        <w:rPr>
          <w:rFonts w:hint="cs"/>
          <w:b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الحافظ السيد عبد الله بن محمد بن الصديق الغماري في كتابه (الرد المحكم المتين)</w:t>
      </w:r>
      <w:r w:rsidRPr="00A52585">
        <w:rPr>
          <w:rFonts w:hint="cs"/>
          <w:sz w:val="24"/>
          <w:szCs w:val="24"/>
          <w:rtl/>
        </w:rPr>
        <w:t xml:space="preserve">: </w:t>
      </w:r>
      <w:r w:rsidR="00777DCB" w:rsidRPr="00A52585">
        <w:rPr>
          <w:rFonts w:hint="cs"/>
          <w:sz w:val="24"/>
          <w:szCs w:val="24"/>
          <w:rtl/>
        </w:rPr>
        <w:t>"قال الله تعالى {ولو أنهم إذ ظلموا أنفسهم جاءوك فاستغفروا الله واستغفر لهم الرسول لوجدوا الله تواباً رحيماً</w:t>
      </w:r>
      <w:r w:rsidRPr="00A52585">
        <w:rPr>
          <w:rFonts w:hint="cs"/>
          <w:sz w:val="24"/>
          <w:szCs w:val="24"/>
          <w:rtl/>
        </w:rPr>
        <w:t>}</w:t>
      </w:r>
      <w:r w:rsidR="00777DCB" w:rsidRPr="00A52585">
        <w:rPr>
          <w:rFonts w:hint="cs"/>
          <w:sz w:val="24"/>
          <w:szCs w:val="24"/>
          <w:rtl/>
        </w:rPr>
        <w:t xml:space="preserve"> فهذه الآية عامة تشمل حالة الحياة وحالة الوفاة وتخصيصها بأحدهما يحتاج إلى دليل، وهو مفقود هنا فإن قيل من أين أتى العموم للآية حتى يكون تخصيصها بحالة الحياة دعوى تحتاج إلى دليل</w:t>
      </w:r>
      <w:r w:rsidR="00F95886" w:rsidRPr="00A52585">
        <w:rPr>
          <w:rFonts w:hint="cs"/>
          <w:sz w:val="24"/>
          <w:szCs w:val="24"/>
          <w:rtl/>
        </w:rPr>
        <w:t>؟</w:t>
      </w:r>
      <w:r w:rsidR="00777DCB" w:rsidRPr="00A52585">
        <w:rPr>
          <w:rFonts w:hint="cs"/>
          <w:sz w:val="24"/>
          <w:szCs w:val="24"/>
          <w:rtl/>
        </w:rPr>
        <w:t xml:space="preserve"> قلنا من وقوع الفعل في سياق الشرط والقاعدة المقررة </w:t>
      </w:r>
      <w:r w:rsidR="00777DCB" w:rsidRPr="00A52585">
        <w:rPr>
          <w:rFonts w:hint="cs"/>
          <w:sz w:val="24"/>
          <w:szCs w:val="24"/>
          <w:rtl/>
        </w:rPr>
        <w:lastRenderedPageBreak/>
        <w:t>في الأصول أن الفعل إذا وقع في سياق الشرط كان عاماً لأن الفعل في معنى النكرة لتضمنه مصدراً مُنَكَّراً والنكرة الواقعة في سياق النفي أو الشرط تكون للعموم وضعاً "</w:t>
      </w:r>
      <w:r w:rsidRPr="00A52585">
        <w:rPr>
          <w:rFonts w:hint="cs"/>
          <w:sz w:val="24"/>
          <w:szCs w:val="24"/>
          <w:rtl/>
        </w:rPr>
        <w:t xml:space="preserve"> </w:t>
      </w:r>
      <w:r w:rsidR="00777DCB" w:rsidRPr="00A52585">
        <w:rPr>
          <w:rFonts w:hint="cs"/>
          <w:sz w:val="24"/>
          <w:szCs w:val="24"/>
          <w:rtl/>
        </w:rPr>
        <w:t>أهـ ص 45،46 وعن ذلك يقول الإمام تقي الدين السبكي في (شفاء السقام)</w:t>
      </w:r>
      <w:r w:rsidRPr="00A52585">
        <w:rPr>
          <w:rFonts w:hint="cs"/>
          <w:sz w:val="24"/>
          <w:szCs w:val="24"/>
          <w:rtl/>
        </w:rPr>
        <w:t xml:space="preserve">: </w:t>
      </w:r>
      <w:r w:rsidR="00777DCB" w:rsidRPr="00A52585">
        <w:rPr>
          <w:rFonts w:hint="cs"/>
          <w:sz w:val="24"/>
          <w:szCs w:val="24"/>
          <w:rtl/>
        </w:rPr>
        <w:t>" والآية وإن وردت في أقوام معينين في حالة الحياة فتعم بعموم العلة كل من وجد فيه ذلك الوصف في الحياة وبعد الموت ولذلك فَهِم العلماء من الآية العموم في الحالتين واستحبوا لمن أتى إلى قبره</w:t>
      </w:r>
      <w:r w:rsidRPr="00A52585">
        <w:rPr>
          <w:rFonts w:hint="cs"/>
          <w:sz w:val="24"/>
          <w:szCs w:val="24"/>
          <w:rtl/>
        </w:rPr>
        <w:t xml:space="preserve"> </w:t>
      </w:r>
      <w:r w:rsidR="00777DCB" w:rsidRPr="00A52585">
        <w:rPr>
          <w:rFonts w:hint="cs"/>
          <w:sz w:val="24"/>
          <w:szCs w:val="24"/>
          <w:rtl/>
        </w:rPr>
        <w:t xml:space="preserve">صلى الله عليه وسلم أن يتلو هذه الآية ويستغفر الله تعالى وحكاية </w:t>
      </w:r>
      <w:proofErr w:type="spellStart"/>
      <w:r w:rsidR="00777DCB" w:rsidRPr="00A52585">
        <w:rPr>
          <w:rFonts w:hint="cs"/>
          <w:sz w:val="24"/>
          <w:szCs w:val="24"/>
          <w:rtl/>
        </w:rPr>
        <w:t>العتبي</w:t>
      </w:r>
      <w:proofErr w:type="spellEnd"/>
      <w:r w:rsidR="00777DCB" w:rsidRPr="00A52585">
        <w:rPr>
          <w:rFonts w:hint="cs"/>
          <w:sz w:val="24"/>
          <w:szCs w:val="24"/>
          <w:rtl/>
        </w:rPr>
        <w:t xml:space="preserve"> في ذلك مشهورة وقد حكاها المصنفون في المناسك من جميع المذاهب والمؤرخون وكلهم استحسنوها ورأوها من آداب الزائر وما ينبغي له أن يفعله"</w:t>
      </w:r>
      <w:r w:rsidRPr="00A52585">
        <w:rPr>
          <w:rFonts w:hint="cs"/>
          <w:sz w:val="24"/>
          <w:szCs w:val="24"/>
          <w:rtl/>
        </w:rPr>
        <w:t xml:space="preserve"> </w:t>
      </w:r>
      <w:r w:rsidR="00777DCB" w:rsidRPr="00A52585">
        <w:rPr>
          <w:rFonts w:hint="cs"/>
          <w:sz w:val="24"/>
          <w:szCs w:val="24"/>
          <w:rtl/>
        </w:rPr>
        <w:t>أهـ الباب الخامس ويقول الشيخ إبراهيم السمنودي معلقا على كلام الإمام السبكي</w:t>
      </w:r>
      <w:r w:rsidRPr="00A52585">
        <w:rPr>
          <w:rFonts w:hint="cs"/>
          <w:sz w:val="24"/>
          <w:szCs w:val="24"/>
          <w:rtl/>
        </w:rPr>
        <w:t xml:space="preserve">: </w:t>
      </w:r>
      <w:r w:rsidR="00777DCB" w:rsidRPr="00A52585">
        <w:rPr>
          <w:rFonts w:hint="cs"/>
          <w:sz w:val="24"/>
          <w:szCs w:val="24"/>
          <w:rtl/>
        </w:rPr>
        <w:t xml:space="preserve">"وهذا يدل قطعاً على أنهم فهموا منها العموم الذي ذكره الإمام السبكي فساغ نسبة ذلك </w:t>
      </w:r>
      <w:r w:rsidR="00777DCB" w:rsidRPr="00A52585">
        <w:rPr>
          <w:sz w:val="24"/>
          <w:szCs w:val="24"/>
        </w:rPr>
        <w:t>–</w:t>
      </w:r>
      <w:r w:rsidR="00777DCB" w:rsidRPr="00A52585">
        <w:rPr>
          <w:rFonts w:hint="cs"/>
          <w:sz w:val="24"/>
          <w:szCs w:val="24"/>
          <w:rtl/>
        </w:rPr>
        <w:t xml:space="preserve"> أي فهم العموم في الآية </w:t>
      </w:r>
      <w:r w:rsidR="00777DCB" w:rsidRPr="00A52585">
        <w:rPr>
          <w:sz w:val="24"/>
          <w:szCs w:val="24"/>
        </w:rPr>
        <w:t>–</w:t>
      </w:r>
      <w:r w:rsidR="00777DCB" w:rsidRPr="00A52585">
        <w:rPr>
          <w:rFonts w:hint="cs"/>
          <w:sz w:val="24"/>
          <w:szCs w:val="24"/>
          <w:rtl/>
        </w:rPr>
        <w:t xml:space="preserve"> إليهم "</w:t>
      </w:r>
      <w:r w:rsidRPr="00A52585">
        <w:rPr>
          <w:rFonts w:hint="cs"/>
          <w:sz w:val="24"/>
          <w:szCs w:val="24"/>
          <w:rtl/>
        </w:rPr>
        <w:t xml:space="preserve"> </w:t>
      </w:r>
      <w:r w:rsidR="00777DCB" w:rsidRPr="00A52585">
        <w:rPr>
          <w:rFonts w:hint="cs"/>
          <w:sz w:val="24"/>
          <w:szCs w:val="24"/>
          <w:rtl/>
        </w:rPr>
        <w:t>أهـ نصرة الإمام السبكي ص 244</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6F4487AE" w14:textId="64BD1258" w:rsidR="00777DCB" w:rsidRPr="00A52585" w:rsidRDefault="0002035C" w:rsidP="0002035C">
      <w:pPr>
        <w:spacing w:after="240"/>
        <w:jc w:val="center"/>
        <w:rPr>
          <w:b/>
          <w:bCs/>
          <w:rtl/>
        </w:rPr>
      </w:pPr>
      <w:r w:rsidRPr="00A52585">
        <w:rPr>
          <w:rFonts w:hint="cs"/>
          <w:bCs/>
          <w:rtl/>
        </w:rPr>
        <w:t>[</w:t>
      </w:r>
      <w:r w:rsidR="00777DCB" w:rsidRPr="00A52585">
        <w:rPr>
          <w:rFonts w:hint="cs"/>
          <w:bCs/>
          <w:rtl/>
        </w:rPr>
        <w:t>هـ- صنيع الأمة في التوسل بسيد الخلق صلى الله عليه وسلم</w:t>
      </w:r>
      <w:r w:rsidRPr="00A52585">
        <w:rPr>
          <w:rFonts w:hint="cs"/>
          <w:bCs/>
          <w:rtl/>
        </w:rPr>
        <w:t>]</w:t>
      </w:r>
    </w:p>
    <w:p w14:paraId="33160F94" w14:textId="1CFB0840" w:rsidR="00777DCB" w:rsidRPr="00A52585" w:rsidRDefault="0002035C" w:rsidP="0002035C">
      <w:pPr>
        <w:spacing w:after="240"/>
        <w:rPr>
          <w:b/>
          <w:bCs/>
          <w:rtl/>
        </w:rPr>
      </w:pPr>
      <w:r w:rsidRPr="00A52585">
        <w:rPr>
          <w:rFonts w:hint="cs"/>
          <w:bCs/>
          <w:rtl/>
        </w:rPr>
        <w:t>[</w:t>
      </w:r>
      <w:r w:rsidR="00777DCB" w:rsidRPr="00A52585">
        <w:rPr>
          <w:rFonts w:hint="cs"/>
          <w:bCs/>
          <w:rtl/>
        </w:rPr>
        <w:t>1- قصة الأعرابي</w:t>
      </w:r>
      <w:r w:rsidRPr="00A52585">
        <w:rPr>
          <w:rFonts w:hint="cs"/>
          <w:bCs/>
          <w:rtl/>
        </w:rPr>
        <w:t>]:</w:t>
      </w:r>
      <w:r w:rsidR="00777DCB" w:rsidRPr="00A52585">
        <w:rPr>
          <w:rFonts w:hint="cs"/>
          <w:bCs/>
          <w:rtl/>
        </w:rPr>
        <w:t xml:space="preserve"> </w:t>
      </w:r>
      <w:r w:rsidR="00777DCB" w:rsidRPr="00A52585">
        <w:rPr>
          <w:rFonts w:hint="cs"/>
          <w:rtl/>
        </w:rPr>
        <w:t>وذكر القرطبي في تفسيره عن علي رضي الله عنه أنه قال قدم علينا أعرابي بعد ما دفنا رسول الله صلى الله عليه وسلم بثلاث أيام فرمى بنفسه على قبر رسول الله صلى الله عليه وسلم وحثا على رأسه من ترابه ثم قال</w:t>
      </w:r>
      <w:r w:rsidRPr="00A52585">
        <w:rPr>
          <w:rFonts w:hint="cs"/>
          <w:rtl/>
        </w:rPr>
        <w:t xml:space="preserve">: </w:t>
      </w:r>
      <w:r w:rsidR="00777DCB" w:rsidRPr="00A52585">
        <w:rPr>
          <w:rFonts w:hint="cs"/>
          <w:rtl/>
        </w:rPr>
        <w:t xml:space="preserve">قلت يا رسول الله فسمعنا قولك ووعيت عن الله عز وجل فوعينا عنك وكان فيما أنزل عليك </w:t>
      </w:r>
      <w:r w:rsidRPr="00A52585">
        <w:rPr>
          <w:rFonts w:hint="cs"/>
          <w:rtl/>
        </w:rPr>
        <w:t>{</w:t>
      </w:r>
      <w:r w:rsidR="00777DCB" w:rsidRPr="00A52585">
        <w:rPr>
          <w:rFonts w:hint="cs"/>
          <w:rtl/>
        </w:rPr>
        <w:t xml:space="preserve">ولو أنهم إذ ظلموا أنفسهم </w:t>
      </w:r>
      <w:proofErr w:type="spellStart"/>
      <w:r w:rsidR="00777DCB" w:rsidRPr="00A52585">
        <w:rPr>
          <w:rFonts w:hint="cs"/>
          <w:rtl/>
        </w:rPr>
        <w:t>جاؤك</w:t>
      </w:r>
      <w:proofErr w:type="spellEnd"/>
      <w:r w:rsidR="00777DCB" w:rsidRPr="00A52585">
        <w:rPr>
          <w:rFonts w:hint="cs"/>
          <w:rtl/>
        </w:rPr>
        <w:t xml:space="preserve"> …</w:t>
      </w:r>
      <w:r w:rsidRPr="00A52585">
        <w:rPr>
          <w:rFonts w:hint="cs"/>
          <w:rtl/>
        </w:rPr>
        <w:t>}</w:t>
      </w:r>
      <w:r w:rsidR="00777DCB" w:rsidRPr="00A52585">
        <w:rPr>
          <w:rFonts w:hint="cs"/>
          <w:rtl/>
        </w:rPr>
        <w:t xml:space="preserve"> الآية وقد ظلمت نفسي وجئتك تستغفر لي. فنودي من القبر قد غفر لك</w:t>
      </w:r>
      <w:r w:rsidR="00DB731D" w:rsidRPr="00A52585">
        <w:rPr>
          <w:rFonts w:hint="cs"/>
          <w:rtl/>
        </w:rPr>
        <w:t>،</w:t>
      </w:r>
      <w:r w:rsidR="00777DCB" w:rsidRPr="00A52585">
        <w:rPr>
          <w:rFonts w:hint="cs"/>
          <w:rtl/>
        </w:rPr>
        <w:t xml:space="preserve"> وهذه القصة غير قصة </w:t>
      </w:r>
      <w:proofErr w:type="spellStart"/>
      <w:r w:rsidR="00777DCB" w:rsidRPr="00A52585">
        <w:rPr>
          <w:rFonts w:hint="cs"/>
          <w:rtl/>
        </w:rPr>
        <w:t>العتبي</w:t>
      </w:r>
      <w:proofErr w:type="spellEnd"/>
      <w:r w:rsidR="00DB731D" w:rsidRPr="00A52585">
        <w:rPr>
          <w:rFonts w:hint="cs"/>
          <w:rtl/>
        </w:rPr>
        <w:t>،</w:t>
      </w:r>
      <w:r w:rsidR="00777DCB" w:rsidRPr="00A52585">
        <w:rPr>
          <w:rFonts w:hint="cs"/>
          <w:rtl/>
        </w:rPr>
        <w:t xml:space="preserve"> </w:t>
      </w:r>
    </w:p>
    <w:p w14:paraId="706073DC" w14:textId="39F557E4" w:rsidR="00777DCB" w:rsidRPr="00A52585" w:rsidRDefault="0002035C" w:rsidP="0002035C">
      <w:pPr>
        <w:spacing w:after="240"/>
        <w:rPr>
          <w:b/>
          <w:rtl/>
        </w:rPr>
      </w:pPr>
      <w:r w:rsidRPr="00A52585">
        <w:rPr>
          <w:rFonts w:hint="cs"/>
          <w:bCs/>
          <w:rtl/>
        </w:rPr>
        <w:t>[</w:t>
      </w:r>
      <w:r w:rsidR="00777DCB" w:rsidRPr="00A52585">
        <w:rPr>
          <w:rFonts w:hint="cs"/>
          <w:bCs/>
          <w:rtl/>
        </w:rPr>
        <w:t xml:space="preserve">2- قصة </w:t>
      </w:r>
      <w:proofErr w:type="spellStart"/>
      <w:r w:rsidR="00777DCB" w:rsidRPr="00A52585">
        <w:rPr>
          <w:rFonts w:hint="cs"/>
          <w:bCs/>
          <w:rtl/>
        </w:rPr>
        <w:t>العتبي</w:t>
      </w:r>
      <w:proofErr w:type="spellEnd"/>
      <w:r w:rsidRPr="00A52585">
        <w:rPr>
          <w:rFonts w:hint="cs"/>
          <w:bCs/>
          <w:rtl/>
        </w:rPr>
        <w:t>]:</w:t>
      </w:r>
      <w:r w:rsidR="00777DCB" w:rsidRPr="00A52585">
        <w:rPr>
          <w:rFonts w:hint="cs"/>
          <w:bCs/>
          <w:rtl/>
        </w:rPr>
        <w:t xml:space="preserve"> </w:t>
      </w:r>
      <w:r w:rsidR="00777DCB" w:rsidRPr="00A52585">
        <w:rPr>
          <w:rFonts w:hint="cs"/>
          <w:rtl/>
        </w:rPr>
        <w:t xml:space="preserve">وقصة </w:t>
      </w:r>
      <w:proofErr w:type="spellStart"/>
      <w:r w:rsidR="00777DCB" w:rsidRPr="00A52585">
        <w:rPr>
          <w:rFonts w:hint="cs"/>
          <w:rtl/>
        </w:rPr>
        <w:t>العتبي</w:t>
      </w:r>
      <w:proofErr w:type="spellEnd"/>
      <w:r w:rsidR="00777DCB" w:rsidRPr="00A52585">
        <w:rPr>
          <w:rFonts w:hint="cs"/>
          <w:rtl/>
        </w:rPr>
        <w:t xml:space="preserve"> مشهورة في غاية الشهرة وقد ذكرها الأئمة في كتبهم قديماً وحديثاً. وكنية </w:t>
      </w:r>
      <w:proofErr w:type="spellStart"/>
      <w:r w:rsidR="00777DCB" w:rsidRPr="00A52585">
        <w:rPr>
          <w:rFonts w:hint="cs"/>
          <w:rtl/>
        </w:rPr>
        <w:t>العتبي</w:t>
      </w:r>
      <w:proofErr w:type="spellEnd"/>
      <w:r w:rsidR="00777DCB" w:rsidRPr="00A52585">
        <w:rPr>
          <w:rFonts w:hint="cs"/>
          <w:rtl/>
        </w:rPr>
        <w:t xml:space="preserve"> أبو عبد الرحمن واسمه محمد بن عبد الله بن عمرو وكان من أفصح الناس وصاحب أخبار وصاحب رواية للآثار وحدث عن أبيه وعن ابن عيينة</w:t>
      </w:r>
      <w:r w:rsidR="00DB731D" w:rsidRPr="00A52585">
        <w:rPr>
          <w:rFonts w:hint="cs"/>
          <w:rtl/>
        </w:rPr>
        <w:t>،</w:t>
      </w:r>
      <w:r w:rsidR="00777DCB" w:rsidRPr="00A52585">
        <w:rPr>
          <w:rFonts w:hint="cs"/>
          <w:rtl/>
        </w:rPr>
        <w:t xml:space="preserve"> وقد ذكر قصته خلائق منهم ابن عساكر في تاريخه وذكرها الحافظ أبو الفرج بن الجوزي في كتابه </w:t>
      </w:r>
      <w:r w:rsidRPr="00A52585">
        <w:rPr>
          <w:rFonts w:hint="cs"/>
          <w:rtl/>
        </w:rPr>
        <w:t>(</w:t>
      </w:r>
      <w:r w:rsidR="00777DCB" w:rsidRPr="00A52585">
        <w:rPr>
          <w:rFonts w:hint="cs"/>
          <w:rtl/>
        </w:rPr>
        <w:t>مثير العزم الساكن</w:t>
      </w:r>
      <w:r w:rsidRPr="00A52585">
        <w:rPr>
          <w:rFonts w:hint="cs"/>
          <w:rtl/>
        </w:rPr>
        <w:t>)</w:t>
      </w:r>
      <w:r w:rsidR="00777DCB" w:rsidRPr="00A52585">
        <w:rPr>
          <w:rFonts w:hint="cs"/>
          <w:rtl/>
        </w:rPr>
        <w:t xml:space="preserve"> وذكرها غيرهما بالأسانيد</w:t>
      </w:r>
      <w:r w:rsidR="00DB731D" w:rsidRPr="00A52585">
        <w:rPr>
          <w:rFonts w:hint="cs"/>
          <w:rtl/>
        </w:rPr>
        <w:t>،</w:t>
      </w:r>
      <w:r w:rsidR="00777DCB" w:rsidRPr="00A52585">
        <w:rPr>
          <w:rFonts w:hint="cs"/>
          <w:rtl/>
        </w:rPr>
        <w:t xml:space="preserve"> وممن ذكرها الإمام العلامة المتفق على علمه ودينه وزهده أبو زكريا يحيى بن شرف النووي قدس الله روحه ونور ضريحه. قال في زيارة قبر النبي صلى الله عليه وسلم</w:t>
      </w:r>
      <w:r w:rsidRPr="00A52585">
        <w:rPr>
          <w:rFonts w:hint="cs"/>
          <w:rtl/>
        </w:rPr>
        <w:t>:</w:t>
      </w:r>
      <w:r w:rsidR="00777DCB" w:rsidRPr="00A52585">
        <w:rPr>
          <w:rFonts w:hint="cs"/>
          <w:rtl/>
        </w:rPr>
        <w:t xml:space="preserve"> إنها من أعظم القربات وأفضل المساعي والطلبات</w:t>
      </w:r>
      <w:r w:rsidR="00DB731D" w:rsidRPr="00A52585">
        <w:rPr>
          <w:rFonts w:hint="cs"/>
          <w:rtl/>
        </w:rPr>
        <w:t>،</w:t>
      </w:r>
      <w:r w:rsidR="00777DCB" w:rsidRPr="00A52585">
        <w:rPr>
          <w:rFonts w:hint="cs"/>
          <w:rtl/>
        </w:rPr>
        <w:t xml:space="preserve"> وإذا انتهى إلى قبره وقف قبالة وجهه ويتشفع به إلى ربه ومن أحسن ما يقوله ما حكاه أصحابنا عن </w:t>
      </w:r>
      <w:proofErr w:type="spellStart"/>
      <w:r w:rsidR="00777DCB" w:rsidRPr="00A52585">
        <w:rPr>
          <w:rFonts w:hint="cs"/>
          <w:rtl/>
        </w:rPr>
        <w:t>العتبي</w:t>
      </w:r>
      <w:proofErr w:type="spellEnd"/>
      <w:r w:rsidR="00777DCB" w:rsidRPr="00A52585">
        <w:rPr>
          <w:rFonts w:hint="cs"/>
          <w:rtl/>
        </w:rPr>
        <w:t xml:space="preserve"> مستحسنين له قال </w:t>
      </w:r>
      <w:proofErr w:type="spellStart"/>
      <w:r w:rsidR="00777DCB" w:rsidRPr="00A52585">
        <w:rPr>
          <w:rFonts w:hint="cs"/>
          <w:rtl/>
        </w:rPr>
        <w:t>العتبي</w:t>
      </w:r>
      <w:proofErr w:type="spellEnd"/>
      <w:r w:rsidR="00777DCB" w:rsidRPr="00A52585">
        <w:rPr>
          <w:rFonts w:hint="cs"/>
          <w:rtl/>
        </w:rPr>
        <w:t xml:space="preserve"> كنت جالساً عند قبر رسول الله صلى الله عليه وسلم فجاء أعرابي فقال</w:t>
      </w:r>
      <w:r w:rsidRPr="00A52585">
        <w:rPr>
          <w:rFonts w:hint="cs"/>
          <w:rtl/>
        </w:rPr>
        <w:t>:</w:t>
      </w:r>
      <w:r w:rsidR="00777DCB" w:rsidRPr="00A52585">
        <w:rPr>
          <w:rFonts w:hint="cs"/>
          <w:rtl/>
        </w:rPr>
        <w:t xml:space="preserve"> السلام عليك يا رسول الله سمعت الله تعالى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ولو أنهم إذ ظلموا أنفسهم </w:t>
      </w:r>
      <w:proofErr w:type="spellStart"/>
      <w:r w:rsidR="00777DCB" w:rsidRPr="00A52585">
        <w:rPr>
          <w:rFonts w:hint="cs"/>
          <w:rtl/>
        </w:rPr>
        <w:t>جاؤك</w:t>
      </w:r>
      <w:proofErr w:type="spellEnd"/>
      <w:r w:rsidR="00777DCB" w:rsidRPr="00A52585">
        <w:rPr>
          <w:rFonts w:hint="cs"/>
          <w:rtl/>
        </w:rPr>
        <w:t xml:space="preserve"> فاستغفروا الله واستغفر لهم الرسول لو جدوا الله تواباً رحيماً</w:t>
      </w:r>
      <w:r w:rsidRPr="00A52585">
        <w:rPr>
          <w:rFonts w:hint="cs"/>
          <w:rtl/>
        </w:rPr>
        <w:t>}</w:t>
      </w:r>
      <w:r w:rsidR="00777DCB" w:rsidRPr="00A52585">
        <w:rPr>
          <w:rFonts w:hint="cs"/>
          <w:rtl/>
        </w:rPr>
        <w:t xml:space="preserve"> وقد جئتك مستغفراً من ذنبي مستشفعاً بك إلى ربي ثم أنشأ 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خير من دفنت بالقاع أعظمه</w:t>
      </w:r>
      <w:r w:rsidR="00897A24" w:rsidRPr="00A52585">
        <w:rPr>
          <w:rFonts w:hint="cs"/>
          <w:rtl/>
        </w:rPr>
        <w:t>.</w:t>
      </w:r>
      <w:r w:rsidR="00777DCB" w:rsidRPr="00A52585">
        <w:rPr>
          <w:rFonts w:hint="cs"/>
          <w:rtl/>
        </w:rPr>
        <w:t>. فطاب من طيبهن القاع والأكم</w:t>
      </w:r>
      <w:r w:rsidR="00DB731D" w:rsidRPr="00A52585">
        <w:rPr>
          <w:rFonts w:hint="cs"/>
          <w:rtl/>
        </w:rPr>
        <w:t>،</w:t>
      </w:r>
      <w:r w:rsidR="00777DCB" w:rsidRPr="00A52585">
        <w:rPr>
          <w:rFonts w:hint="cs"/>
          <w:rtl/>
        </w:rPr>
        <w:t xml:space="preserve"> نفسي </w:t>
      </w:r>
      <w:r w:rsidR="00777DCB" w:rsidRPr="00A52585">
        <w:rPr>
          <w:rFonts w:hint="cs"/>
          <w:rtl/>
        </w:rPr>
        <w:lastRenderedPageBreak/>
        <w:t>الفداء</w:t>
      </w:r>
      <w:r w:rsidRPr="00A52585">
        <w:rPr>
          <w:rFonts w:hint="cs"/>
          <w:rtl/>
        </w:rPr>
        <w:t xml:space="preserve"> </w:t>
      </w:r>
      <w:r w:rsidR="00777DCB" w:rsidRPr="00A52585">
        <w:rPr>
          <w:rFonts w:hint="cs"/>
          <w:rtl/>
        </w:rPr>
        <w:t>لقبر أنت</w:t>
      </w:r>
      <w:r w:rsidRPr="00A52585">
        <w:rPr>
          <w:rFonts w:hint="cs"/>
          <w:rtl/>
        </w:rPr>
        <w:t xml:space="preserve"> </w:t>
      </w:r>
      <w:r w:rsidR="00777DCB" w:rsidRPr="00A52585">
        <w:rPr>
          <w:rFonts w:hint="cs"/>
          <w:rtl/>
        </w:rPr>
        <w:t>ساكنه</w:t>
      </w:r>
      <w:r w:rsidR="00897A24" w:rsidRPr="00A52585">
        <w:rPr>
          <w:rFonts w:hint="cs"/>
          <w:rtl/>
        </w:rPr>
        <w:t>.</w:t>
      </w:r>
      <w:r w:rsidR="00777DCB" w:rsidRPr="00A52585">
        <w:rPr>
          <w:rFonts w:hint="cs"/>
          <w:rtl/>
        </w:rPr>
        <w:t>.</w:t>
      </w:r>
      <w:r w:rsidRPr="00A52585">
        <w:rPr>
          <w:rFonts w:hint="cs"/>
          <w:rtl/>
        </w:rPr>
        <w:t xml:space="preserve"> </w:t>
      </w:r>
      <w:r w:rsidR="00777DCB" w:rsidRPr="00A52585">
        <w:rPr>
          <w:rFonts w:hint="cs"/>
          <w:rtl/>
        </w:rPr>
        <w:t>فيه العفاف وفيه الجود</w:t>
      </w:r>
      <w:r w:rsidRPr="00A52585">
        <w:rPr>
          <w:rFonts w:hint="cs"/>
          <w:rtl/>
        </w:rPr>
        <w:t xml:space="preserve"> </w:t>
      </w:r>
      <w:r w:rsidR="00777DCB" w:rsidRPr="00A52585">
        <w:rPr>
          <w:rFonts w:hint="cs"/>
          <w:rtl/>
        </w:rPr>
        <w:t>والكرم</w:t>
      </w:r>
      <w:r w:rsidRPr="00A52585">
        <w:rPr>
          <w:rFonts w:hint="cs"/>
          <w:rtl/>
        </w:rPr>
        <w:t>)</w:t>
      </w:r>
      <w:r w:rsidR="00DB731D" w:rsidRPr="00A52585">
        <w:rPr>
          <w:rFonts w:hint="cs"/>
          <w:rtl/>
        </w:rPr>
        <w:t>،</w:t>
      </w:r>
      <w:r w:rsidR="00777DCB" w:rsidRPr="00A52585">
        <w:rPr>
          <w:rFonts w:hint="cs"/>
          <w:rtl/>
        </w:rPr>
        <w:t xml:space="preserve"> قال فرأيت النبي صلى الله عليه وسلم في النوم فقال يا عتبي </w:t>
      </w:r>
      <w:proofErr w:type="spellStart"/>
      <w:r w:rsidR="00777DCB" w:rsidRPr="00A52585">
        <w:rPr>
          <w:rFonts w:hint="cs"/>
          <w:rtl/>
        </w:rPr>
        <w:t>إلحق</w:t>
      </w:r>
      <w:proofErr w:type="spellEnd"/>
      <w:r w:rsidR="00777DCB" w:rsidRPr="00A52585">
        <w:rPr>
          <w:rFonts w:hint="cs"/>
          <w:rtl/>
        </w:rPr>
        <w:t xml:space="preserve"> الأعرابي فبشره بأن الله قد غفر له</w:t>
      </w:r>
      <w:r w:rsidR="00DB731D" w:rsidRPr="00A52585">
        <w:rPr>
          <w:rFonts w:hint="cs"/>
          <w:rtl/>
        </w:rPr>
        <w:t>،</w:t>
      </w:r>
      <w:r w:rsidR="00777DCB" w:rsidRPr="00A52585">
        <w:rPr>
          <w:rFonts w:hint="cs"/>
          <w:rtl/>
        </w:rPr>
        <w:t xml:space="preserve"> وفي رواية غيره</w:t>
      </w:r>
      <w:r w:rsidRPr="00A52585">
        <w:rPr>
          <w:rFonts w:hint="cs"/>
          <w:rtl/>
        </w:rPr>
        <w:t>:</w:t>
      </w:r>
      <w:r w:rsidR="00777DCB" w:rsidRPr="00A52585">
        <w:rPr>
          <w:rFonts w:hint="cs"/>
          <w:rtl/>
        </w:rPr>
        <w:t xml:space="preserve"> </w:t>
      </w:r>
      <w:proofErr w:type="spellStart"/>
      <w:r w:rsidR="00777DCB" w:rsidRPr="00A52585">
        <w:rPr>
          <w:rFonts w:hint="cs"/>
          <w:rtl/>
        </w:rPr>
        <w:t>إلحق</w:t>
      </w:r>
      <w:proofErr w:type="spellEnd"/>
      <w:r w:rsidR="00777DCB" w:rsidRPr="00A52585">
        <w:rPr>
          <w:rFonts w:hint="cs"/>
          <w:rtl/>
        </w:rPr>
        <w:t xml:space="preserve"> الأعرابي وبشره بأن الله قد غفر له بشفاعتي قال فاستيقظت فخرجت فلم أجده</w:t>
      </w:r>
      <w:r w:rsidR="00DB731D" w:rsidRPr="00A52585">
        <w:rPr>
          <w:rFonts w:hint="cs"/>
          <w:rtl/>
        </w:rPr>
        <w:t>،</w:t>
      </w:r>
      <w:r w:rsidR="00777DCB" w:rsidRPr="00A52585">
        <w:rPr>
          <w:rFonts w:hint="cs"/>
          <w:rtl/>
        </w:rPr>
        <w:t xml:space="preserve"> فأفاد النووي قدس الله تعالى روحه أن أصحاب الشافعي استحسنوا ذلك </w:t>
      </w:r>
      <w:proofErr w:type="spellStart"/>
      <w:r w:rsidR="00777DCB" w:rsidRPr="00A52585">
        <w:rPr>
          <w:rFonts w:hint="cs"/>
          <w:rtl/>
        </w:rPr>
        <w:t>وحكوه</w:t>
      </w:r>
      <w:proofErr w:type="spellEnd"/>
      <w:r w:rsidR="00777DCB" w:rsidRPr="00A52585">
        <w:rPr>
          <w:rFonts w:hint="cs"/>
          <w:rtl/>
        </w:rPr>
        <w:t xml:space="preserve"> عن غيرهم وأفاد شمول الآية للحياة والممات وأنه يستشفع به إلى ربه وساق ذلك مساق ما هو متفق عليه ولم يتعرض لذلك أحد بالإنكار في سائر </w:t>
      </w:r>
      <w:proofErr w:type="spellStart"/>
      <w:r w:rsidR="00777DCB" w:rsidRPr="00A52585">
        <w:rPr>
          <w:rFonts w:hint="cs"/>
          <w:rtl/>
        </w:rPr>
        <w:t>الأعصار</w:t>
      </w:r>
      <w:proofErr w:type="spellEnd"/>
      <w:r w:rsidR="00777DCB" w:rsidRPr="00A52585">
        <w:rPr>
          <w:rFonts w:hint="cs"/>
          <w:rtl/>
        </w:rPr>
        <w:t xml:space="preserve"> وزدت أنا هذين البيتين لعلي يلحقني نصيب من شفاعته وهما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وفيه كل خصال الحمد قد جمعت</w:t>
      </w:r>
      <w:r w:rsidRPr="00A52585">
        <w:rPr>
          <w:rFonts w:hint="cs"/>
          <w:rtl/>
        </w:rPr>
        <w:t xml:space="preserve"> </w:t>
      </w:r>
      <w:r w:rsidR="00777DCB" w:rsidRPr="00A52585">
        <w:rPr>
          <w:rFonts w:hint="cs"/>
          <w:rtl/>
        </w:rPr>
        <w:t>فلذ به فهو من تُدعى له الذمم</w:t>
      </w:r>
      <w:r w:rsidR="00DB731D" w:rsidRPr="00A52585">
        <w:rPr>
          <w:rFonts w:hint="cs"/>
          <w:rtl/>
        </w:rPr>
        <w:t>،</w:t>
      </w:r>
      <w:r w:rsidR="00777DCB" w:rsidRPr="00A52585">
        <w:rPr>
          <w:rFonts w:hint="cs"/>
          <w:rtl/>
        </w:rPr>
        <w:t xml:space="preserve"> وهو الذي يرتجى في كل</w:t>
      </w:r>
      <w:r w:rsidRPr="00A52585">
        <w:rPr>
          <w:rFonts w:hint="cs"/>
          <w:rtl/>
        </w:rPr>
        <w:t xml:space="preserve"> </w:t>
      </w:r>
      <w:r w:rsidR="00777DCB" w:rsidRPr="00A52585">
        <w:rPr>
          <w:rFonts w:hint="cs"/>
          <w:rtl/>
        </w:rPr>
        <w:t>معضلة</w:t>
      </w:r>
      <w:r w:rsidRPr="00A52585">
        <w:rPr>
          <w:rFonts w:hint="cs"/>
          <w:rtl/>
        </w:rPr>
        <w:t xml:space="preserve"> </w:t>
      </w:r>
      <w:r w:rsidR="00777DCB" w:rsidRPr="00A52585">
        <w:rPr>
          <w:rFonts w:hint="cs"/>
          <w:rtl/>
        </w:rPr>
        <w:t>وفي</w:t>
      </w:r>
      <w:r w:rsidRPr="00A52585">
        <w:rPr>
          <w:rFonts w:hint="cs"/>
          <w:rtl/>
        </w:rPr>
        <w:t xml:space="preserve"> </w:t>
      </w:r>
      <w:r w:rsidR="00777DCB" w:rsidRPr="00A52585">
        <w:rPr>
          <w:rFonts w:hint="cs"/>
          <w:rtl/>
        </w:rPr>
        <w:t>المعاد</w:t>
      </w:r>
      <w:r w:rsidRPr="00A52585">
        <w:rPr>
          <w:rFonts w:hint="cs"/>
          <w:rtl/>
        </w:rPr>
        <w:t xml:space="preserve"> </w:t>
      </w:r>
      <w:r w:rsidR="00777DCB" w:rsidRPr="00A52585">
        <w:rPr>
          <w:rFonts w:hint="cs"/>
          <w:rtl/>
        </w:rPr>
        <w:t>إذا</w:t>
      </w:r>
      <w:r w:rsidRPr="00A52585">
        <w:rPr>
          <w:rFonts w:hint="cs"/>
          <w:rtl/>
        </w:rPr>
        <w:t xml:space="preserve"> </w:t>
      </w:r>
      <w:r w:rsidR="00777DCB" w:rsidRPr="00A52585">
        <w:rPr>
          <w:rFonts w:hint="cs"/>
          <w:rtl/>
        </w:rPr>
        <w:t>زلت</w:t>
      </w:r>
      <w:r w:rsidRPr="00A52585">
        <w:rPr>
          <w:rFonts w:hint="cs"/>
          <w:rtl/>
        </w:rPr>
        <w:t xml:space="preserve"> </w:t>
      </w:r>
      <w:r w:rsidR="00777DCB" w:rsidRPr="00A52585">
        <w:rPr>
          <w:rFonts w:hint="cs"/>
          <w:rtl/>
        </w:rPr>
        <w:t>بنا</w:t>
      </w:r>
      <w:r w:rsidRPr="00A52585">
        <w:rPr>
          <w:rFonts w:hint="cs"/>
          <w:rtl/>
        </w:rPr>
        <w:t xml:space="preserve"> </w:t>
      </w:r>
      <w:r w:rsidR="00777DCB" w:rsidRPr="00A52585">
        <w:rPr>
          <w:rFonts w:hint="cs"/>
          <w:rtl/>
        </w:rPr>
        <w:t>القدم</w:t>
      </w:r>
      <w:r w:rsidRPr="00A52585">
        <w:rPr>
          <w:rFonts w:hint="cs"/>
          <w:rtl/>
        </w:rPr>
        <w:t>)</w:t>
      </w:r>
      <w:r w:rsidR="00DB731D" w:rsidRPr="00A52585">
        <w:rPr>
          <w:rFonts w:hint="cs"/>
          <w:rtl/>
        </w:rPr>
        <w:t>،</w:t>
      </w:r>
      <w:r w:rsidR="00777DCB" w:rsidRPr="00A52585">
        <w:rPr>
          <w:rFonts w:hint="cs"/>
          <w:rtl/>
        </w:rPr>
        <w:t xml:space="preserve"> </w:t>
      </w:r>
    </w:p>
    <w:p w14:paraId="3F49A99F" w14:textId="24AC1F53" w:rsidR="00777DCB" w:rsidRPr="00A52585" w:rsidRDefault="0002035C" w:rsidP="0002035C">
      <w:pPr>
        <w:spacing w:after="240"/>
        <w:rPr>
          <w:b/>
          <w:bCs/>
          <w:rtl/>
        </w:rPr>
      </w:pPr>
      <w:r w:rsidRPr="00A52585">
        <w:rPr>
          <w:rFonts w:hint="cs"/>
          <w:bCs/>
          <w:rtl/>
        </w:rPr>
        <w:t>[</w:t>
      </w:r>
      <w:r w:rsidR="00777DCB" w:rsidRPr="00A52585">
        <w:rPr>
          <w:rFonts w:hint="cs"/>
          <w:bCs/>
          <w:rtl/>
        </w:rPr>
        <w:t xml:space="preserve">3- قصة الراهبين مع أبي عبد الله </w:t>
      </w:r>
      <w:proofErr w:type="spellStart"/>
      <w:r w:rsidR="00777DCB" w:rsidRPr="00A52585">
        <w:rPr>
          <w:rFonts w:hint="cs"/>
          <w:bCs/>
          <w:rtl/>
        </w:rPr>
        <w:t>الفرحي</w:t>
      </w:r>
      <w:proofErr w:type="spellEnd"/>
      <w:r w:rsidRPr="00A52585">
        <w:rPr>
          <w:rFonts w:hint="cs"/>
          <w:bCs/>
          <w:rtl/>
        </w:rPr>
        <w:t>]:</w:t>
      </w:r>
      <w:r w:rsidR="00777DCB" w:rsidRPr="00A52585">
        <w:rPr>
          <w:rFonts w:hint="cs"/>
          <w:bCs/>
          <w:rtl/>
        </w:rPr>
        <w:t xml:space="preserve"> </w:t>
      </w:r>
      <w:r w:rsidR="00777DCB" w:rsidRPr="00A52585">
        <w:rPr>
          <w:rFonts w:hint="cs"/>
          <w:rtl/>
        </w:rPr>
        <w:t>وقال السيد الجليل</w:t>
      </w:r>
      <w:r w:rsidRPr="00A52585">
        <w:rPr>
          <w:rFonts w:hint="cs"/>
          <w:rtl/>
        </w:rPr>
        <w:t xml:space="preserve"> </w:t>
      </w:r>
      <w:r w:rsidR="00777DCB" w:rsidRPr="00A52585">
        <w:rPr>
          <w:rFonts w:hint="cs"/>
          <w:rtl/>
        </w:rPr>
        <w:t xml:space="preserve">قطاع المفاوز على قدم التوكل أبو عبد الله </w:t>
      </w:r>
      <w:proofErr w:type="spellStart"/>
      <w:r w:rsidR="00777DCB" w:rsidRPr="00A52585">
        <w:rPr>
          <w:rFonts w:hint="cs"/>
          <w:rtl/>
        </w:rPr>
        <w:t>الفرحي</w:t>
      </w:r>
      <w:proofErr w:type="spellEnd"/>
      <w:r w:rsidR="00777DCB" w:rsidRPr="00A52585">
        <w:rPr>
          <w:rFonts w:hint="cs"/>
          <w:rtl/>
        </w:rPr>
        <w:t xml:space="preserve"> قدس الله تعالى روحه ونور ضريحه</w:t>
      </w:r>
      <w:r w:rsidRPr="00A52585">
        <w:rPr>
          <w:rFonts w:hint="cs"/>
          <w:rtl/>
        </w:rPr>
        <w:t>:</w:t>
      </w:r>
      <w:r w:rsidR="00777DCB" w:rsidRPr="00A52585">
        <w:rPr>
          <w:rFonts w:hint="cs"/>
          <w:rtl/>
        </w:rPr>
        <w:t xml:space="preserve"> خرجت مرة أريد الزيارة من طريق المفاوز فوقعت في التيه ـ فكنت فيه أياما حتى أشرفت على الموت</w:t>
      </w:r>
      <w:r w:rsidR="00DB731D" w:rsidRPr="00A52585">
        <w:rPr>
          <w:rFonts w:hint="cs"/>
          <w:rtl/>
        </w:rPr>
        <w:t>،</w:t>
      </w:r>
      <w:r w:rsidR="00777DCB" w:rsidRPr="00A52585">
        <w:rPr>
          <w:rFonts w:hint="cs"/>
          <w:rtl/>
        </w:rPr>
        <w:t xml:space="preserve"> فبينا أنا كذلك إذ رأيت راهبين يسيران كأنهما خرجا من مكان قريب يريدان ديراً لهما بالقرب. فملت إليهما فقلت</w:t>
      </w:r>
      <w:r w:rsidRPr="00A52585">
        <w:rPr>
          <w:rFonts w:hint="cs"/>
          <w:rtl/>
        </w:rPr>
        <w:t>:</w:t>
      </w:r>
      <w:r w:rsidR="00777DCB" w:rsidRPr="00A52585">
        <w:rPr>
          <w:rFonts w:hint="cs"/>
          <w:rtl/>
        </w:rPr>
        <w:t xml:space="preserve"> أين تريدان</w:t>
      </w:r>
      <w:r w:rsidR="00F95886" w:rsidRPr="00A52585">
        <w:rPr>
          <w:rFonts w:hint="cs"/>
          <w:rtl/>
        </w:rPr>
        <w:t>؟</w:t>
      </w:r>
      <w:r w:rsidR="00777DCB" w:rsidRPr="00A52585">
        <w:rPr>
          <w:rFonts w:hint="cs"/>
          <w:rtl/>
        </w:rPr>
        <w:t xml:space="preserve"> فقالا</w:t>
      </w:r>
      <w:r w:rsidRPr="00A52585">
        <w:rPr>
          <w:rFonts w:hint="cs"/>
          <w:rtl/>
        </w:rPr>
        <w:t>:</w:t>
      </w:r>
      <w:r w:rsidR="00777DCB" w:rsidRPr="00A52585">
        <w:rPr>
          <w:rFonts w:hint="cs"/>
          <w:rtl/>
        </w:rPr>
        <w:t xml:space="preserve"> لا ندري</w:t>
      </w:r>
      <w:r w:rsidR="00DB731D" w:rsidRPr="00A52585">
        <w:rPr>
          <w:rFonts w:hint="cs"/>
          <w:rtl/>
        </w:rPr>
        <w:t>،</w:t>
      </w:r>
      <w:r w:rsidR="00777DCB" w:rsidRPr="00A52585">
        <w:rPr>
          <w:rFonts w:hint="cs"/>
          <w:rtl/>
        </w:rPr>
        <w:t xml:space="preserve"> قلت</w:t>
      </w:r>
      <w:r w:rsidRPr="00A52585">
        <w:rPr>
          <w:rFonts w:hint="cs"/>
          <w:rtl/>
        </w:rPr>
        <w:t>:</w:t>
      </w:r>
      <w:r w:rsidR="00777DCB" w:rsidRPr="00A52585">
        <w:rPr>
          <w:rFonts w:hint="cs"/>
          <w:rtl/>
        </w:rPr>
        <w:t xml:space="preserve"> من أين أتيتما</w:t>
      </w:r>
      <w:r w:rsidR="00F95886" w:rsidRPr="00A52585">
        <w:rPr>
          <w:rFonts w:hint="cs"/>
          <w:rtl/>
        </w:rPr>
        <w:t>؟</w:t>
      </w:r>
      <w:r w:rsidR="00777DCB" w:rsidRPr="00A52585">
        <w:rPr>
          <w:rFonts w:hint="cs"/>
          <w:rtl/>
        </w:rPr>
        <w:t xml:space="preserve"> قالا</w:t>
      </w:r>
      <w:r w:rsidRPr="00A52585">
        <w:rPr>
          <w:rFonts w:hint="cs"/>
          <w:rtl/>
        </w:rPr>
        <w:t>:</w:t>
      </w:r>
      <w:r w:rsidR="00777DCB" w:rsidRPr="00A52585">
        <w:rPr>
          <w:rFonts w:hint="cs"/>
          <w:rtl/>
        </w:rPr>
        <w:t xml:space="preserve"> لا ندري</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فتدريان أين أنتما</w:t>
      </w:r>
      <w:r w:rsidR="00F95886" w:rsidRPr="00A52585">
        <w:rPr>
          <w:rFonts w:hint="cs"/>
          <w:rtl/>
        </w:rPr>
        <w:t>؟</w:t>
      </w:r>
      <w:r w:rsidR="00777DCB" w:rsidRPr="00A52585">
        <w:rPr>
          <w:rFonts w:hint="cs"/>
          <w:rtl/>
        </w:rPr>
        <w:t xml:space="preserve"> قالا</w:t>
      </w:r>
      <w:r w:rsidRPr="00A52585">
        <w:rPr>
          <w:rFonts w:hint="cs"/>
          <w:rtl/>
        </w:rPr>
        <w:t>:</w:t>
      </w:r>
      <w:r w:rsidR="00777DCB" w:rsidRPr="00A52585">
        <w:rPr>
          <w:rFonts w:hint="cs"/>
          <w:rtl/>
        </w:rPr>
        <w:t xml:space="preserve"> نعم نحن في ملكه وبين يديه</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فأقبلت على نفسي أقول لها راهبان يتحققان بالتوكل دونك ثم قلت لهما</w:t>
      </w:r>
      <w:r w:rsidRPr="00A52585">
        <w:rPr>
          <w:rFonts w:hint="cs"/>
          <w:rtl/>
        </w:rPr>
        <w:t>:</w:t>
      </w:r>
      <w:r w:rsidR="00777DCB" w:rsidRPr="00A52585">
        <w:rPr>
          <w:rFonts w:hint="cs"/>
          <w:rtl/>
        </w:rPr>
        <w:t xml:space="preserve"> أتأذنان في الصحبة</w:t>
      </w:r>
      <w:r w:rsidR="00DB731D" w:rsidRPr="00A52585">
        <w:rPr>
          <w:rFonts w:hint="cs"/>
          <w:rtl/>
        </w:rPr>
        <w:t>،</w:t>
      </w:r>
      <w:r w:rsidR="00777DCB" w:rsidRPr="00A52585">
        <w:rPr>
          <w:rFonts w:hint="cs"/>
          <w:rtl/>
        </w:rPr>
        <w:t xml:space="preserve"> فقالا</w:t>
      </w:r>
      <w:r w:rsidRPr="00A52585">
        <w:rPr>
          <w:rFonts w:hint="cs"/>
          <w:rtl/>
        </w:rPr>
        <w:t>:</w:t>
      </w:r>
      <w:r w:rsidR="00777DCB" w:rsidRPr="00A52585">
        <w:rPr>
          <w:rFonts w:hint="cs"/>
          <w:rtl/>
        </w:rPr>
        <w:t xml:space="preserve"> ذاك إليك قال فسرنا فلما أمسينا قاما إلى صلاتهما وقمت إلى صلاة المغرب </w:t>
      </w:r>
      <w:proofErr w:type="spellStart"/>
      <w:r w:rsidR="00777DCB" w:rsidRPr="00A52585">
        <w:rPr>
          <w:rFonts w:hint="cs"/>
          <w:rtl/>
        </w:rPr>
        <w:t>فتيممت</w:t>
      </w:r>
      <w:proofErr w:type="spellEnd"/>
      <w:r w:rsidR="00777DCB" w:rsidRPr="00A52585">
        <w:rPr>
          <w:rFonts w:hint="cs"/>
          <w:rtl/>
        </w:rPr>
        <w:t xml:space="preserve"> وصليت فنظرا إليَّ وقد </w:t>
      </w:r>
      <w:proofErr w:type="spellStart"/>
      <w:r w:rsidR="00777DCB" w:rsidRPr="00A52585">
        <w:rPr>
          <w:rFonts w:hint="cs"/>
          <w:rtl/>
        </w:rPr>
        <w:t>تيممت</w:t>
      </w:r>
      <w:proofErr w:type="spellEnd"/>
      <w:r w:rsidR="00777DCB" w:rsidRPr="00A52585">
        <w:rPr>
          <w:rFonts w:hint="cs"/>
          <w:rtl/>
        </w:rPr>
        <w:t xml:space="preserve"> فضحكا مني فلما فرغا من صلاتهما بحث أحدهما بيده فإذا بالماء قد ظهر وإذا بطعام موضوع</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فبقيت أتعجب من ذلك. فقالا لي</w:t>
      </w:r>
      <w:r w:rsidRPr="00A52585">
        <w:rPr>
          <w:rFonts w:hint="cs"/>
          <w:rtl/>
        </w:rPr>
        <w:t>:</w:t>
      </w:r>
      <w:r w:rsidR="00777DCB" w:rsidRPr="00A52585">
        <w:rPr>
          <w:rFonts w:hint="cs"/>
          <w:rtl/>
        </w:rPr>
        <w:t xml:space="preserve"> ادن وكل واشرب. قال</w:t>
      </w:r>
      <w:r w:rsidRPr="00A52585">
        <w:rPr>
          <w:rFonts w:hint="cs"/>
          <w:rtl/>
        </w:rPr>
        <w:t>:</w:t>
      </w:r>
      <w:r w:rsidR="00777DCB" w:rsidRPr="00A52585">
        <w:rPr>
          <w:rFonts w:hint="cs"/>
          <w:rtl/>
        </w:rPr>
        <w:t xml:space="preserve"> فأكلنا وتوضأت. وقاما فلم يزالا في صلاتهما</w:t>
      </w:r>
      <w:r w:rsidR="00DB731D" w:rsidRPr="00A52585">
        <w:rPr>
          <w:rFonts w:hint="cs"/>
          <w:rtl/>
        </w:rPr>
        <w:t>،</w:t>
      </w:r>
      <w:r w:rsidR="00777DCB" w:rsidRPr="00A52585">
        <w:rPr>
          <w:rFonts w:hint="cs"/>
          <w:rtl/>
        </w:rPr>
        <w:t xml:space="preserve"> وأنا في صلاتي حتى أصبحنا</w:t>
      </w:r>
      <w:r w:rsidR="00DB731D" w:rsidRPr="00A52585">
        <w:rPr>
          <w:rFonts w:hint="cs"/>
          <w:rtl/>
        </w:rPr>
        <w:t>،</w:t>
      </w:r>
      <w:r w:rsidR="00777DCB" w:rsidRPr="00A52585">
        <w:rPr>
          <w:rFonts w:hint="cs"/>
          <w:rtl/>
        </w:rPr>
        <w:t xml:space="preserve"> فصليت الفجر ثم قاما يسيران فساروا إلى الليل</w:t>
      </w:r>
      <w:r w:rsidR="00DB731D" w:rsidRPr="00A52585">
        <w:rPr>
          <w:rFonts w:hint="cs"/>
          <w:rtl/>
        </w:rPr>
        <w:t>،</w:t>
      </w:r>
      <w:r w:rsidR="00777DCB" w:rsidRPr="00A52585">
        <w:rPr>
          <w:rFonts w:hint="cs"/>
          <w:rtl/>
        </w:rPr>
        <w:t xml:space="preserve"> فلما أمسينا تقدم الآخر فصلى بصاحبه</w:t>
      </w:r>
      <w:r w:rsidR="00DB731D" w:rsidRPr="00A52585">
        <w:rPr>
          <w:rFonts w:hint="cs"/>
          <w:rtl/>
        </w:rPr>
        <w:t>،</w:t>
      </w:r>
      <w:r w:rsidR="00777DCB" w:rsidRPr="00A52585">
        <w:rPr>
          <w:rFonts w:hint="cs"/>
          <w:rtl/>
        </w:rPr>
        <w:t xml:space="preserve"> ثم دعا بدعوات</w:t>
      </w:r>
      <w:r w:rsidR="00DB731D" w:rsidRPr="00A52585">
        <w:rPr>
          <w:rFonts w:hint="cs"/>
          <w:rtl/>
        </w:rPr>
        <w:t>،</w:t>
      </w:r>
      <w:r w:rsidR="00777DCB" w:rsidRPr="00A52585">
        <w:rPr>
          <w:rFonts w:hint="cs"/>
          <w:rtl/>
        </w:rPr>
        <w:t xml:space="preserve"> ثم بحث الأرض بيده فنبع الماء وظهر الطعام. فقالا لي</w:t>
      </w:r>
      <w:r w:rsidRPr="00A52585">
        <w:rPr>
          <w:rFonts w:hint="cs"/>
          <w:rtl/>
        </w:rPr>
        <w:t>:</w:t>
      </w:r>
      <w:r w:rsidR="00777DCB" w:rsidRPr="00A52585">
        <w:rPr>
          <w:rFonts w:hint="cs"/>
          <w:rtl/>
        </w:rPr>
        <w:t xml:space="preserve"> ادن وكل اشرب. قال</w:t>
      </w:r>
      <w:r w:rsidRPr="00A52585">
        <w:rPr>
          <w:rFonts w:hint="cs"/>
          <w:rtl/>
        </w:rPr>
        <w:t>:</w:t>
      </w:r>
      <w:r w:rsidR="00777DCB" w:rsidRPr="00A52585">
        <w:rPr>
          <w:rFonts w:hint="cs"/>
          <w:rtl/>
        </w:rPr>
        <w:t xml:space="preserve"> فأكلنا وشربنا وتوضأت للصلاة ثم نضب الماء وغار حتى لم يبق له أثر</w:t>
      </w:r>
      <w:r w:rsidR="00DB731D" w:rsidRPr="00A52585">
        <w:rPr>
          <w:rFonts w:hint="cs"/>
          <w:rtl/>
        </w:rPr>
        <w:t>،</w:t>
      </w:r>
      <w:r w:rsidR="00777DCB" w:rsidRPr="00A52585">
        <w:rPr>
          <w:rFonts w:hint="cs"/>
          <w:rtl/>
        </w:rPr>
        <w:t xml:space="preserve"> فلما كانت الليلة الثالثة قالا لي</w:t>
      </w:r>
      <w:r w:rsidRPr="00A52585">
        <w:rPr>
          <w:rFonts w:hint="cs"/>
          <w:rtl/>
        </w:rPr>
        <w:t>:</w:t>
      </w:r>
      <w:r w:rsidR="00777DCB" w:rsidRPr="00A52585">
        <w:rPr>
          <w:rFonts w:hint="cs"/>
          <w:rtl/>
        </w:rPr>
        <w:t xml:space="preserve"> يا مسلم الليلة نوبتك</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فاستحييت من قولهما وداخلني من ذلك هَمٌّ شديد</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فقلت في نفسي اللهم إني أعلم أن ذنوبي لم تدع لي عندك جاها ولكني أسألك وأتوسل إليك بنبيك المكرم عندك لا تفضحني عندهما ولا تشمت بنبيك محمد صلى الله عليه وسلم</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فإذا بعين خرارة وطعام كثير. قال</w:t>
      </w:r>
      <w:r w:rsidRPr="00A52585">
        <w:rPr>
          <w:rFonts w:hint="cs"/>
          <w:rtl/>
        </w:rPr>
        <w:t>:</w:t>
      </w:r>
      <w:r w:rsidR="00777DCB" w:rsidRPr="00A52585">
        <w:rPr>
          <w:rFonts w:hint="cs"/>
          <w:rtl/>
        </w:rPr>
        <w:t xml:space="preserve"> فأكلنا وشربنا</w:t>
      </w:r>
      <w:r w:rsidR="00DB731D" w:rsidRPr="00A52585">
        <w:rPr>
          <w:rFonts w:hint="cs"/>
          <w:rtl/>
        </w:rPr>
        <w:t>،</w:t>
      </w:r>
      <w:r w:rsidR="00777DCB" w:rsidRPr="00A52585">
        <w:rPr>
          <w:rFonts w:hint="cs"/>
          <w:rtl/>
        </w:rPr>
        <w:t xml:space="preserve"> ولم نزل على حالنا حتى بلغت النوبة الثانية إليَّ قال</w:t>
      </w:r>
      <w:r w:rsidRPr="00A52585">
        <w:rPr>
          <w:rFonts w:hint="cs"/>
          <w:rtl/>
        </w:rPr>
        <w:t>:</w:t>
      </w:r>
      <w:r w:rsidR="00777DCB" w:rsidRPr="00A52585">
        <w:rPr>
          <w:rFonts w:hint="cs"/>
          <w:rtl/>
        </w:rPr>
        <w:t xml:space="preserve"> فدعوت بمثل ما دعوت أولاً وتوسلت بالنبي صلى الله عليه وسلم فإذا بطعام اثنين وشراب اثنين دون ما كان</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فتقاصرت إليَّ نفسي وقصرت عن الأكل وأريتهما أني آكل فسكتا عني قال</w:t>
      </w:r>
      <w:r w:rsidRPr="00A52585">
        <w:rPr>
          <w:rFonts w:hint="cs"/>
          <w:rtl/>
        </w:rPr>
        <w:t>:</w:t>
      </w:r>
      <w:r w:rsidR="00777DCB" w:rsidRPr="00A52585">
        <w:rPr>
          <w:rFonts w:hint="cs"/>
          <w:rtl/>
        </w:rPr>
        <w:t xml:space="preserve"> وسرنا حتى </w:t>
      </w:r>
      <w:r w:rsidR="00777DCB" w:rsidRPr="00A52585">
        <w:rPr>
          <w:rFonts w:hint="cs"/>
          <w:rtl/>
        </w:rPr>
        <w:lastRenderedPageBreak/>
        <w:t>بلغت النوبة الثالثة إليَّ قال</w:t>
      </w:r>
      <w:r w:rsidRPr="00A52585">
        <w:rPr>
          <w:rFonts w:hint="cs"/>
          <w:rtl/>
        </w:rPr>
        <w:t>:</w:t>
      </w:r>
      <w:r w:rsidR="00777DCB" w:rsidRPr="00A52585">
        <w:rPr>
          <w:rFonts w:hint="cs"/>
          <w:rtl/>
        </w:rPr>
        <w:t xml:space="preserve"> فدعوت بمثل ما دعوت وتوسلت بالنبي صلى الله عليه وسلم وأقوى حالي في أمري صدق توسلي به صلى الله عليه وسلم لعلمي بأنه وسيلة من قبلي فإذا بطعام اثنين والماء مثل ذلك فغمني ذلك</w:t>
      </w:r>
      <w:r w:rsidR="00DB731D" w:rsidRPr="00A52585">
        <w:rPr>
          <w:rFonts w:hint="cs"/>
          <w:rtl/>
        </w:rPr>
        <w:t>،</w:t>
      </w:r>
      <w:r w:rsidR="00777DCB" w:rsidRPr="00A52585">
        <w:rPr>
          <w:rFonts w:hint="cs"/>
          <w:rtl/>
        </w:rPr>
        <w:t xml:space="preserve"> قال فغلبتني عيناي من الهَمّ خوف الشماتة بديننا فإذا بقائل يقول لي أدرناك بالإيثار الذي خصصنا به محمداً صلى الله عليه وسلم من دون الأنبياء وهي علامته وكرامة أمته من بعده يوم القيامة. قال</w:t>
      </w:r>
      <w:r w:rsidRPr="00A52585">
        <w:rPr>
          <w:rFonts w:hint="cs"/>
          <w:rtl/>
        </w:rPr>
        <w:t>:</w:t>
      </w:r>
      <w:r w:rsidR="00777DCB" w:rsidRPr="00A52585">
        <w:rPr>
          <w:rFonts w:hint="cs"/>
          <w:rtl/>
        </w:rPr>
        <w:t xml:space="preserve"> فلما بلغت النوبة الرابعة إلى قالا لي</w:t>
      </w:r>
      <w:r w:rsidRPr="00A52585">
        <w:rPr>
          <w:rFonts w:hint="cs"/>
          <w:rtl/>
        </w:rPr>
        <w:t>:</w:t>
      </w:r>
      <w:r w:rsidR="00777DCB" w:rsidRPr="00A52585">
        <w:rPr>
          <w:rFonts w:hint="cs"/>
          <w:rtl/>
        </w:rPr>
        <w:t xml:space="preserve"> يا مسلم ما هذا إنا نرى في طعامك وشرابك نقصاً فلم ذلك. فقلت لهما</w:t>
      </w:r>
      <w:r w:rsidRPr="00A52585">
        <w:rPr>
          <w:rFonts w:hint="cs"/>
          <w:rtl/>
        </w:rPr>
        <w:t>:</w:t>
      </w:r>
      <w:r w:rsidR="00777DCB" w:rsidRPr="00A52585">
        <w:rPr>
          <w:rFonts w:hint="cs"/>
          <w:rtl/>
        </w:rPr>
        <w:t xml:space="preserve"> أو لم تعلما أن هذا خلق خص الله عز وجل به نبيه محمداً صلى الله عليه وسلم من بين الأنبياء وخص أمته به من بعده</w:t>
      </w:r>
      <w:r w:rsidR="00DB731D" w:rsidRPr="00A52585">
        <w:rPr>
          <w:rFonts w:hint="cs"/>
          <w:rtl/>
        </w:rPr>
        <w:t>،</w:t>
      </w:r>
      <w:r w:rsidR="00777DCB" w:rsidRPr="00A52585">
        <w:rPr>
          <w:rFonts w:hint="cs"/>
          <w:rtl/>
        </w:rPr>
        <w:t xml:space="preserve"> إن الله عز وجل يريدني بالإيثار وقد آثرتكما استناناً بنبيه المكرم فقالا</w:t>
      </w:r>
      <w:r w:rsidRPr="00A52585">
        <w:rPr>
          <w:rFonts w:hint="cs"/>
          <w:rtl/>
        </w:rPr>
        <w:t>:</w:t>
      </w:r>
      <w:r w:rsidR="00777DCB" w:rsidRPr="00A52585">
        <w:rPr>
          <w:rFonts w:hint="cs"/>
          <w:rtl/>
        </w:rPr>
        <w:t xml:space="preserve"> صدقت. ثم قالا</w:t>
      </w:r>
      <w:r w:rsidRPr="00A52585">
        <w:rPr>
          <w:rFonts w:hint="cs"/>
          <w:rtl/>
        </w:rPr>
        <w:t>:</w:t>
      </w:r>
      <w:r w:rsidR="00777DCB" w:rsidRPr="00A52585">
        <w:rPr>
          <w:rFonts w:hint="cs"/>
          <w:rtl/>
        </w:rPr>
        <w:t xml:space="preserve"> نشهد أن لا إله الله ونشهد أن محمداً عبده ورسوله. أرسله بالهدى ودين الحق. صدقت في قولك</w:t>
      </w:r>
      <w:r w:rsidR="00DB731D" w:rsidRPr="00A52585">
        <w:rPr>
          <w:rFonts w:hint="cs"/>
          <w:rtl/>
        </w:rPr>
        <w:t>،</w:t>
      </w:r>
      <w:r w:rsidR="00777DCB" w:rsidRPr="00A52585">
        <w:rPr>
          <w:rFonts w:hint="cs"/>
          <w:rtl/>
        </w:rPr>
        <w:t xml:space="preserve"> هذا خلق محمد في كتب الله المنزلة أن الله عز وجل خص محمداً وأمته بذلك</w:t>
      </w:r>
      <w:r w:rsidR="00DB731D" w:rsidRPr="00A52585">
        <w:rPr>
          <w:rFonts w:hint="cs"/>
          <w:rtl/>
        </w:rPr>
        <w:t>،</w:t>
      </w:r>
      <w:r w:rsidR="00777DCB" w:rsidRPr="00A52585">
        <w:rPr>
          <w:rFonts w:hint="cs"/>
          <w:rtl/>
        </w:rPr>
        <w:t xml:space="preserve"> قال وحسن إسلامهما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ثم قلت لهما</w:t>
      </w:r>
      <w:r w:rsidRPr="00A52585">
        <w:rPr>
          <w:rFonts w:hint="cs"/>
          <w:rtl/>
        </w:rPr>
        <w:t>:</w:t>
      </w:r>
      <w:r w:rsidR="00777DCB" w:rsidRPr="00A52585">
        <w:rPr>
          <w:rFonts w:hint="cs"/>
          <w:rtl/>
        </w:rPr>
        <w:t xml:space="preserve"> في الجمعة والجماعة</w:t>
      </w:r>
      <w:r w:rsidR="00DB731D" w:rsidRPr="00A52585">
        <w:rPr>
          <w:rFonts w:hint="cs"/>
          <w:rtl/>
        </w:rPr>
        <w:t>،</w:t>
      </w:r>
      <w:r w:rsidR="00777DCB" w:rsidRPr="00A52585">
        <w:rPr>
          <w:rFonts w:hint="cs"/>
          <w:rtl/>
        </w:rPr>
        <w:t xml:space="preserve"> فقالا</w:t>
      </w:r>
      <w:r w:rsidRPr="00A52585">
        <w:rPr>
          <w:rFonts w:hint="cs"/>
          <w:rtl/>
        </w:rPr>
        <w:t>:</w:t>
      </w:r>
      <w:r w:rsidR="00777DCB" w:rsidRPr="00A52585">
        <w:rPr>
          <w:rFonts w:hint="cs"/>
          <w:rtl/>
        </w:rPr>
        <w:t xml:space="preserve"> ذلك واجب</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نعم فاسألا الله تعالى وادعيا أن يخرجنا من هذا التيه إلى أقرب الأماكن فدعيا</w:t>
      </w:r>
      <w:r w:rsidR="00DB731D" w:rsidRPr="00A52585">
        <w:rPr>
          <w:rFonts w:hint="cs"/>
          <w:rtl/>
        </w:rPr>
        <w:t>،</w:t>
      </w:r>
      <w:r w:rsidR="00777DCB" w:rsidRPr="00A52585">
        <w:rPr>
          <w:rFonts w:hint="cs"/>
          <w:rtl/>
        </w:rPr>
        <w:t xml:space="preserve"> فبينا نحن نسير إذا نحن ببيوت قد أشرفنا عليها فإذا هي بيت المقدس</w:t>
      </w:r>
      <w:r w:rsidR="00DB731D" w:rsidRPr="00A52585">
        <w:rPr>
          <w:rFonts w:hint="cs"/>
          <w:rtl/>
        </w:rPr>
        <w:t>،</w:t>
      </w:r>
      <w:r w:rsidR="00777DCB" w:rsidRPr="00A52585">
        <w:rPr>
          <w:rFonts w:hint="cs"/>
          <w:rtl/>
        </w:rPr>
        <w:t xml:space="preserve"> قال فدخلنا المسجد وأقمنا أياما</w:t>
      </w:r>
      <w:r w:rsidR="00DB731D" w:rsidRPr="00A52585">
        <w:rPr>
          <w:rFonts w:hint="cs"/>
          <w:rtl/>
        </w:rPr>
        <w:t>،</w:t>
      </w:r>
      <w:r w:rsidR="00777DCB" w:rsidRPr="00A52585">
        <w:rPr>
          <w:rFonts w:hint="cs"/>
          <w:rtl/>
        </w:rPr>
        <w:t xml:space="preserve"> ثم تجدد لي سفر ففارقتهما وقد ملئ قلبي فرحاً بإسلامهما وبصحة توسلي بالنبي صلى الله عليه وسلم وأنه غياث الصادقين في محبته السالكين خلفه في صدقه مع ربه وصحة الاعتماد عليه</w:t>
      </w:r>
      <w:r w:rsidR="00DB731D" w:rsidRPr="00A52585">
        <w:rPr>
          <w:rFonts w:hint="cs"/>
          <w:rtl/>
        </w:rPr>
        <w:t>،</w:t>
      </w:r>
      <w:r w:rsidR="00777DCB" w:rsidRPr="00A52585">
        <w:rPr>
          <w:rFonts w:hint="cs"/>
          <w:rtl/>
        </w:rPr>
        <w:t xml:space="preserve"> فانظر أرشدك الله كيف بصدق التوسل به جرى ما جرى من حصول الكرامات من نبع الماء وحصول الطعام والاهتداء لهما فلله عز وجل المنة على ما أكرمنا به وعلى ما وهب </w:t>
      </w:r>
      <w:proofErr w:type="spellStart"/>
      <w:r w:rsidR="00777DCB" w:rsidRPr="00A52585">
        <w:rPr>
          <w:rFonts w:hint="cs"/>
          <w:rtl/>
        </w:rPr>
        <w:t>لأولياءه</w:t>
      </w:r>
      <w:proofErr w:type="spellEnd"/>
      <w:r w:rsidR="00777DCB" w:rsidRPr="00A52585">
        <w:rPr>
          <w:rFonts w:hint="cs"/>
          <w:rtl/>
        </w:rPr>
        <w:t xml:space="preserve"> من آثار </w:t>
      </w:r>
      <w:proofErr w:type="spellStart"/>
      <w:r w:rsidR="00777DCB" w:rsidRPr="00A52585">
        <w:rPr>
          <w:rFonts w:hint="cs"/>
          <w:rtl/>
        </w:rPr>
        <w:t>معجزاته</w:t>
      </w:r>
      <w:proofErr w:type="spellEnd"/>
      <w:r w:rsidR="00DB731D" w:rsidRPr="00A52585">
        <w:rPr>
          <w:rFonts w:hint="cs"/>
          <w:rtl/>
        </w:rPr>
        <w:t>،</w:t>
      </w:r>
      <w:r w:rsidR="00777DCB" w:rsidRPr="00A52585">
        <w:rPr>
          <w:rFonts w:hint="cs"/>
          <w:rtl/>
        </w:rPr>
        <w:t xml:space="preserve"> </w:t>
      </w:r>
    </w:p>
    <w:p w14:paraId="07FD056B" w14:textId="2D4382E1" w:rsidR="00777DCB" w:rsidRPr="00A52585" w:rsidRDefault="0002035C" w:rsidP="0002035C">
      <w:pPr>
        <w:spacing w:after="240"/>
        <w:rPr>
          <w:b/>
          <w:bCs/>
          <w:rtl/>
        </w:rPr>
      </w:pPr>
      <w:r w:rsidRPr="00A52585">
        <w:rPr>
          <w:rFonts w:hint="cs"/>
          <w:bCs/>
          <w:rtl/>
        </w:rPr>
        <w:t>[</w:t>
      </w:r>
      <w:r w:rsidR="00777DCB" w:rsidRPr="00A52585">
        <w:rPr>
          <w:rFonts w:hint="cs"/>
          <w:bCs/>
          <w:rtl/>
        </w:rPr>
        <w:t>4- قصة المكثر من الصلاة على النبي صلى الله عليه وسلم</w:t>
      </w:r>
      <w:r w:rsidRPr="00A52585">
        <w:rPr>
          <w:rFonts w:hint="cs"/>
          <w:bCs/>
          <w:rtl/>
        </w:rPr>
        <w:t>]:</w:t>
      </w:r>
      <w:r w:rsidR="00777DCB" w:rsidRPr="00A52585">
        <w:rPr>
          <w:rFonts w:hint="cs"/>
          <w:bCs/>
          <w:rtl/>
        </w:rPr>
        <w:t xml:space="preserve"> </w:t>
      </w:r>
      <w:r w:rsidR="00777DCB" w:rsidRPr="00A52585">
        <w:rPr>
          <w:rFonts w:hint="cs"/>
          <w:rtl/>
        </w:rPr>
        <w:t>وقال سفيان الثوري</w:t>
      </w:r>
      <w:r w:rsidRPr="00A52585">
        <w:rPr>
          <w:rFonts w:hint="cs"/>
          <w:rtl/>
        </w:rPr>
        <w:t>:</w:t>
      </w:r>
      <w:r w:rsidR="00777DCB" w:rsidRPr="00A52585">
        <w:rPr>
          <w:rFonts w:hint="cs"/>
          <w:rtl/>
        </w:rPr>
        <w:t xml:space="preserve"> بينا أنا أطوف بالبيت وإذا أنا برجل لا يرفع قدماً ولا يضع أخرى إلا وهو يصلي على النبي صلى الله عليه وسلم</w:t>
      </w:r>
      <w:r w:rsidR="00897A24" w:rsidRPr="00A52585">
        <w:rPr>
          <w:rFonts w:hint="cs"/>
          <w:rtl/>
        </w:rPr>
        <w:t>.</w:t>
      </w:r>
      <w:r w:rsidR="00777DCB" w:rsidRPr="00A52585">
        <w:rPr>
          <w:rFonts w:hint="cs"/>
          <w:rtl/>
        </w:rPr>
        <w:t xml:space="preserve"> ف</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يا هذا إنك تركت التسبيح والتهليل وأقبلت على الصلاة على النبي صلى الله عليه وسلم</w:t>
      </w:r>
      <w:r w:rsidR="00DB731D" w:rsidRPr="00A52585">
        <w:rPr>
          <w:rFonts w:hint="cs"/>
          <w:rtl/>
        </w:rPr>
        <w:t>،</w:t>
      </w:r>
      <w:r w:rsidR="00777DCB" w:rsidRPr="00A52585">
        <w:rPr>
          <w:rFonts w:hint="cs"/>
          <w:rtl/>
        </w:rPr>
        <w:t xml:space="preserve"> فهل عندك من هذا شيء فقال لي</w:t>
      </w:r>
      <w:r w:rsidRPr="00A52585">
        <w:rPr>
          <w:rFonts w:hint="cs"/>
          <w:rtl/>
        </w:rPr>
        <w:t>:</w:t>
      </w:r>
      <w:r w:rsidR="00777DCB" w:rsidRPr="00A52585">
        <w:rPr>
          <w:rFonts w:hint="cs"/>
          <w:rtl/>
        </w:rPr>
        <w:t xml:space="preserve"> من أنت</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سفيان الثوري. فقال</w:t>
      </w:r>
      <w:r w:rsidRPr="00A52585">
        <w:rPr>
          <w:rFonts w:hint="cs"/>
          <w:rtl/>
        </w:rPr>
        <w:t>:</w:t>
      </w:r>
      <w:r w:rsidR="00777DCB" w:rsidRPr="00A52585">
        <w:rPr>
          <w:rFonts w:hint="cs"/>
          <w:rtl/>
        </w:rPr>
        <w:t xml:space="preserve"> لولا أنك غريب في أهل زمانك لما أخبرتك عن حالي ولما أطلعتك على سرى</w:t>
      </w:r>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خرجت أنا ووالدي حاجين إلى بيت الله الحرام وإلى زيارة سيد الأنام حتى إذا كنا ببعض المنازل مرض والدي فعالجته فمات فلما مات اسود وجهه فقلت</w:t>
      </w:r>
      <w:r w:rsidRPr="00A52585">
        <w:rPr>
          <w:rFonts w:hint="cs"/>
          <w:rtl/>
        </w:rPr>
        <w:t>:</w:t>
      </w:r>
      <w:r w:rsidR="00777DCB" w:rsidRPr="00A52585">
        <w:rPr>
          <w:rFonts w:hint="cs"/>
          <w:rtl/>
        </w:rPr>
        <w:t xml:space="preserve"> إنا لله وإنّا إليه راجعون ثم غطيت وجهه فغلبتني عيناي من الهَمّ</w:t>
      </w:r>
      <w:r w:rsidR="00DB731D" w:rsidRPr="00A52585">
        <w:rPr>
          <w:rFonts w:hint="cs"/>
          <w:rtl/>
        </w:rPr>
        <w:t>،</w:t>
      </w:r>
      <w:r w:rsidR="00777DCB" w:rsidRPr="00A52585">
        <w:rPr>
          <w:rFonts w:hint="cs"/>
          <w:rtl/>
        </w:rPr>
        <w:t xml:space="preserve"> فنمت. فإذا أنا برجل لم أر أجمل منه ولا أنظف ثوباً ولا أطيب رائحة منه فدنا من والدي وكشف عن وجهه وأمَرَّ يده عليه فعاد وجهه أبيض ثم ذهب</w:t>
      </w:r>
      <w:r w:rsidR="00DB731D" w:rsidRPr="00A52585">
        <w:rPr>
          <w:rFonts w:hint="cs"/>
          <w:rtl/>
        </w:rPr>
        <w:t>،</w:t>
      </w:r>
      <w:r w:rsidR="00777DCB" w:rsidRPr="00A52585">
        <w:rPr>
          <w:rFonts w:hint="cs"/>
          <w:rtl/>
        </w:rPr>
        <w:t xml:space="preserve"> فتعلقت بثوبه وقلت له</w:t>
      </w:r>
      <w:r w:rsidRPr="00A52585">
        <w:rPr>
          <w:rFonts w:hint="cs"/>
          <w:rtl/>
        </w:rPr>
        <w:t>:</w:t>
      </w:r>
      <w:r w:rsidR="00777DCB" w:rsidRPr="00A52585">
        <w:rPr>
          <w:rFonts w:hint="cs"/>
          <w:rtl/>
        </w:rPr>
        <w:t xml:space="preserve"> يا عبد الله مَنَّ أنت الذي مَن الله عز وجل عليّ </w:t>
      </w:r>
      <w:r w:rsidR="00777DCB" w:rsidRPr="00A52585">
        <w:rPr>
          <w:rFonts w:hint="cs"/>
          <w:rtl/>
        </w:rPr>
        <w:lastRenderedPageBreak/>
        <w:t>وعلى والدي بك في دار الغربة لكشف هذه الكربة. فقال</w:t>
      </w:r>
      <w:r w:rsidRPr="00A52585">
        <w:rPr>
          <w:rFonts w:hint="cs"/>
          <w:rtl/>
        </w:rPr>
        <w:t>:</w:t>
      </w:r>
      <w:r w:rsidR="00777DCB" w:rsidRPr="00A52585">
        <w:rPr>
          <w:rFonts w:hint="cs"/>
          <w:rtl/>
        </w:rPr>
        <w:t xml:space="preserve"> أو ما تعرفني أنا محمد بن عبد الله صاحب القرآن</w:t>
      </w:r>
      <w:r w:rsidR="00DB731D" w:rsidRPr="00A52585">
        <w:rPr>
          <w:rFonts w:hint="cs"/>
          <w:rtl/>
        </w:rPr>
        <w:t>،</w:t>
      </w:r>
      <w:r w:rsidR="00777DCB" w:rsidRPr="00A52585">
        <w:rPr>
          <w:rFonts w:hint="cs"/>
          <w:rtl/>
        </w:rPr>
        <w:t xml:space="preserve"> أما إنّ والدك كان مسرفاً على نفسه ولكنه كان يكثر الصلاة عليّ. فلما نزل به ما نزل استغاث بي وأنا غياث من أكثر الصلاة عليّ</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فانتبهت فإذا وجه والدي قد ابيض</w:t>
      </w:r>
      <w:r w:rsidR="00DB731D" w:rsidRPr="00A52585">
        <w:rPr>
          <w:rFonts w:hint="cs"/>
          <w:rtl/>
        </w:rPr>
        <w:t>،</w:t>
      </w:r>
      <w:r w:rsidR="00777DCB" w:rsidRPr="00A52585">
        <w:rPr>
          <w:rFonts w:hint="cs"/>
          <w:rtl/>
        </w:rPr>
        <w:t xml:space="preserve"> فانظر أرشدك الله عز وجل لإجلاله وتعظيمه في حياته وبعد وفاته كيف أغاث من استغاث به حتى في البرزخ فهو عليه الصلاة والسلام كما قيل فيه</w:t>
      </w:r>
      <w:r w:rsidRPr="00A52585">
        <w:rPr>
          <w:rFonts w:hint="cs"/>
          <w:rtl/>
        </w:rPr>
        <w:t>:</w:t>
      </w:r>
      <w:r w:rsidR="00777DCB" w:rsidRPr="00A52585">
        <w:rPr>
          <w:rFonts w:hint="cs"/>
          <w:rtl/>
          <w:lang w:bidi="ar-KW"/>
        </w:rPr>
        <w:t xml:space="preserve"> </w:t>
      </w:r>
      <w:r w:rsidRPr="00A52585">
        <w:rPr>
          <w:rFonts w:hint="cs"/>
          <w:rtl/>
          <w:lang w:bidi="ar-KW"/>
        </w:rPr>
        <w:t>(</w:t>
      </w:r>
      <w:r w:rsidR="00777DCB" w:rsidRPr="00A52585">
        <w:rPr>
          <w:rFonts w:hint="cs"/>
          <w:rtl/>
        </w:rPr>
        <w:t>غيـاث لملهـوف</w:t>
      </w:r>
      <w:r w:rsidRPr="00A52585">
        <w:rPr>
          <w:rFonts w:hint="cs"/>
          <w:rtl/>
        </w:rPr>
        <w:t xml:space="preserve"> </w:t>
      </w:r>
      <w:r w:rsidR="00777DCB" w:rsidRPr="00A52585">
        <w:rPr>
          <w:rFonts w:hint="cs"/>
          <w:rtl/>
        </w:rPr>
        <w:t>وغيـث</w:t>
      </w:r>
      <w:r w:rsidRPr="00A52585">
        <w:rPr>
          <w:rFonts w:hint="cs"/>
          <w:rtl/>
        </w:rPr>
        <w:t xml:space="preserve"> </w:t>
      </w:r>
      <w:r w:rsidR="00777DCB" w:rsidRPr="00A52585">
        <w:rPr>
          <w:rFonts w:hint="cs"/>
          <w:rtl/>
        </w:rPr>
        <w:t>لآمـل</w:t>
      </w:r>
      <w:r w:rsidR="00897A24" w:rsidRPr="00A52585">
        <w:rPr>
          <w:rFonts w:hint="cs"/>
          <w:rtl/>
          <w:lang w:bidi="ar-KW"/>
        </w:rPr>
        <w:t>.</w:t>
      </w:r>
      <w:r w:rsidR="00777DCB" w:rsidRPr="00A52585">
        <w:rPr>
          <w:rFonts w:hint="cs"/>
          <w:rtl/>
          <w:lang w:bidi="ar-KW"/>
        </w:rPr>
        <w:t xml:space="preserve">.. </w:t>
      </w:r>
      <w:r w:rsidR="00777DCB" w:rsidRPr="00A52585">
        <w:rPr>
          <w:rFonts w:hint="cs"/>
          <w:rtl/>
        </w:rPr>
        <w:t>وعين لظمآن</w:t>
      </w:r>
      <w:r w:rsidRPr="00A52585">
        <w:rPr>
          <w:rFonts w:hint="cs"/>
          <w:rtl/>
        </w:rPr>
        <w:t xml:space="preserve"> </w:t>
      </w:r>
      <w:r w:rsidR="00777DCB" w:rsidRPr="00A52585">
        <w:rPr>
          <w:rFonts w:hint="cs"/>
          <w:rtl/>
        </w:rPr>
        <w:t>وعـون لـذى جـهد</w:t>
      </w:r>
      <w:r w:rsidR="00897A24" w:rsidRPr="00A52585">
        <w:rPr>
          <w:rFonts w:hint="cs"/>
          <w:rtl/>
          <w:lang w:bidi="ar-KW"/>
        </w:rPr>
        <w:t>.</w:t>
      </w:r>
      <w:r w:rsidR="00777DCB" w:rsidRPr="00A52585">
        <w:rPr>
          <w:rFonts w:hint="cs"/>
          <w:rtl/>
          <w:lang w:bidi="ar-KW"/>
        </w:rPr>
        <w:t xml:space="preserve">.. </w:t>
      </w:r>
      <w:r w:rsidR="00777DCB" w:rsidRPr="00A52585">
        <w:rPr>
          <w:rFonts w:hint="cs"/>
          <w:rtl/>
        </w:rPr>
        <w:t>له فـوق إيـوان</w:t>
      </w:r>
      <w:r w:rsidRPr="00A52585">
        <w:rPr>
          <w:rFonts w:hint="cs"/>
          <w:rtl/>
        </w:rPr>
        <w:t xml:space="preserve"> </w:t>
      </w:r>
      <w:r w:rsidR="00777DCB" w:rsidRPr="00A52585">
        <w:rPr>
          <w:rFonts w:hint="cs"/>
          <w:rtl/>
        </w:rPr>
        <w:t>الزمـان مراتـب</w:t>
      </w:r>
      <w:r w:rsidR="00897A24" w:rsidRPr="00A52585">
        <w:rPr>
          <w:rFonts w:hint="cs"/>
          <w:rtl/>
          <w:lang w:bidi="ar-KW"/>
        </w:rPr>
        <w:t>.</w:t>
      </w:r>
      <w:r w:rsidR="00777DCB" w:rsidRPr="00A52585">
        <w:rPr>
          <w:rFonts w:hint="cs"/>
          <w:rtl/>
          <w:lang w:bidi="ar-KW"/>
        </w:rPr>
        <w:t xml:space="preserve">.. </w:t>
      </w:r>
      <w:r w:rsidR="00777DCB" w:rsidRPr="00A52585">
        <w:rPr>
          <w:rFonts w:hint="cs"/>
          <w:rtl/>
        </w:rPr>
        <w:t>يقصـر عنها الأنبيـاء أولوا المجــد</w:t>
      </w:r>
      <w:r w:rsidR="00897A24" w:rsidRPr="00A52585">
        <w:rPr>
          <w:rFonts w:hint="cs"/>
          <w:rtl/>
          <w:lang w:bidi="ar-KW"/>
        </w:rPr>
        <w:t>.</w:t>
      </w:r>
      <w:r w:rsidR="00777DCB" w:rsidRPr="00A52585">
        <w:rPr>
          <w:rFonts w:hint="cs"/>
          <w:rtl/>
          <w:lang w:bidi="ar-KW"/>
        </w:rPr>
        <w:t xml:space="preserve">.. </w:t>
      </w:r>
      <w:r w:rsidR="00777DCB" w:rsidRPr="00A52585">
        <w:rPr>
          <w:rFonts w:hint="cs"/>
          <w:rtl/>
        </w:rPr>
        <w:t>فموسى وعيسى والخليل</w:t>
      </w:r>
      <w:r w:rsidRPr="00A52585">
        <w:rPr>
          <w:rFonts w:hint="cs"/>
          <w:rtl/>
        </w:rPr>
        <w:t xml:space="preserve"> </w:t>
      </w:r>
      <w:r w:rsidR="00777DCB" w:rsidRPr="00A52585">
        <w:rPr>
          <w:rFonts w:hint="cs"/>
          <w:rtl/>
        </w:rPr>
        <w:t>ونوحهم</w:t>
      </w:r>
      <w:r w:rsidR="00897A24" w:rsidRPr="00A52585">
        <w:rPr>
          <w:rFonts w:hint="cs"/>
          <w:rtl/>
          <w:lang w:bidi="ar-KW"/>
        </w:rPr>
        <w:t>.</w:t>
      </w:r>
      <w:r w:rsidR="00777DCB" w:rsidRPr="00A52585">
        <w:rPr>
          <w:rFonts w:hint="cs"/>
          <w:rtl/>
          <w:lang w:bidi="ar-KW"/>
        </w:rPr>
        <w:t xml:space="preserve">.. </w:t>
      </w:r>
      <w:r w:rsidR="00777DCB" w:rsidRPr="00A52585">
        <w:rPr>
          <w:rFonts w:hint="cs"/>
          <w:rtl/>
        </w:rPr>
        <w:t>يقولون طه منتهى السؤل والقصد</w:t>
      </w:r>
      <w:r w:rsidR="00897A24" w:rsidRPr="00A52585">
        <w:rPr>
          <w:rFonts w:hint="cs"/>
          <w:rtl/>
          <w:lang w:bidi="ar-KW"/>
        </w:rPr>
        <w:t>.</w:t>
      </w:r>
      <w:r w:rsidR="00777DCB" w:rsidRPr="00A52585">
        <w:rPr>
          <w:rFonts w:hint="cs"/>
          <w:rtl/>
          <w:lang w:bidi="ar-KW"/>
        </w:rPr>
        <w:t xml:space="preserve">.. </w:t>
      </w:r>
      <w:r w:rsidR="00777DCB" w:rsidRPr="00A52585">
        <w:rPr>
          <w:rFonts w:hint="cs"/>
          <w:rtl/>
        </w:rPr>
        <w:t>حوى قصبـات السبق من قـبل آدم</w:t>
      </w:r>
      <w:r w:rsidR="00897A24" w:rsidRPr="00A52585">
        <w:rPr>
          <w:rFonts w:hint="cs"/>
          <w:rtl/>
          <w:lang w:bidi="ar-KW"/>
        </w:rPr>
        <w:t>.</w:t>
      </w:r>
      <w:r w:rsidR="00777DCB" w:rsidRPr="00A52585">
        <w:rPr>
          <w:rFonts w:hint="cs"/>
          <w:rtl/>
          <w:lang w:bidi="ar-KW"/>
        </w:rPr>
        <w:t xml:space="preserve">.. </w:t>
      </w:r>
      <w:r w:rsidR="00777DCB" w:rsidRPr="00A52585">
        <w:rPr>
          <w:rFonts w:hint="cs"/>
          <w:rtl/>
        </w:rPr>
        <w:t>وكهـلا</w:t>
      </w:r>
      <w:r w:rsidRPr="00A52585">
        <w:rPr>
          <w:rFonts w:hint="cs"/>
          <w:rtl/>
        </w:rPr>
        <w:t xml:space="preserve"> </w:t>
      </w:r>
      <w:r w:rsidR="00777DCB" w:rsidRPr="00A52585">
        <w:rPr>
          <w:rFonts w:hint="cs"/>
          <w:rtl/>
        </w:rPr>
        <w:t>وأيام الطفـولة</w:t>
      </w:r>
      <w:r w:rsidRPr="00A52585">
        <w:rPr>
          <w:rFonts w:hint="cs"/>
          <w:rtl/>
        </w:rPr>
        <w:t xml:space="preserve"> </w:t>
      </w:r>
      <w:r w:rsidR="00777DCB" w:rsidRPr="00A52585">
        <w:rPr>
          <w:rFonts w:hint="cs"/>
          <w:rtl/>
        </w:rPr>
        <w:t>في</w:t>
      </w:r>
      <w:r w:rsidRPr="00A52585">
        <w:rPr>
          <w:rFonts w:hint="cs"/>
          <w:rtl/>
        </w:rPr>
        <w:t xml:space="preserve"> </w:t>
      </w:r>
      <w:r w:rsidR="00777DCB" w:rsidRPr="00A52585">
        <w:rPr>
          <w:rFonts w:hint="cs"/>
          <w:rtl/>
        </w:rPr>
        <w:t>المهـد</w:t>
      </w:r>
      <w:r w:rsidR="00897A24" w:rsidRPr="00A52585">
        <w:rPr>
          <w:rFonts w:hint="cs"/>
          <w:rtl/>
          <w:lang w:bidi="ar-KW"/>
        </w:rPr>
        <w:t>.</w:t>
      </w:r>
      <w:r w:rsidR="00777DCB" w:rsidRPr="00A52585">
        <w:rPr>
          <w:rFonts w:hint="cs"/>
          <w:rtl/>
          <w:lang w:bidi="ar-KW"/>
        </w:rPr>
        <w:t xml:space="preserve">.. </w:t>
      </w:r>
      <w:r w:rsidR="00777DCB" w:rsidRPr="00A52585">
        <w:rPr>
          <w:rFonts w:hint="cs"/>
          <w:rtl/>
        </w:rPr>
        <w:t>به طيبة طابـت ولا غرو قد حوت</w:t>
      </w:r>
      <w:r w:rsidR="00897A24" w:rsidRPr="00A52585">
        <w:rPr>
          <w:rFonts w:hint="cs"/>
          <w:rtl/>
          <w:lang w:bidi="ar-KW"/>
        </w:rPr>
        <w:t>.</w:t>
      </w:r>
      <w:r w:rsidR="00777DCB" w:rsidRPr="00A52585">
        <w:rPr>
          <w:rFonts w:hint="cs"/>
          <w:rtl/>
          <w:lang w:bidi="ar-KW"/>
        </w:rPr>
        <w:t xml:space="preserve">.. </w:t>
      </w:r>
      <w:r w:rsidR="00777DCB" w:rsidRPr="00A52585">
        <w:rPr>
          <w:rFonts w:hint="cs"/>
          <w:rtl/>
        </w:rPr>
        <w:t xml:space="preserve">طبيب قلوب الخلق </w:t>
      </w:r>
      <w:r w:rsidR="00777DCB" w:rsidRPr="00A52585">
        <w:rPr>
          <w:rFonts w:hint="cs"/>
          <w:spacing w:val="-20"/>
          <w:rtl/>
        </w:rPr>
        <w:t>من مرض</w:t>
      </w:r>
      <w:r w:rsidR="00777DCB" w:rsidRPr="00A52585">
        <w:rPr>
          <w:rFonts w:hint="cs"/>
          <w:rtl/>
        </w:rPr>
        <w:t xml:space="preserve"> </w:t>
      </w:r>
      <w:r w:rsidR="00777DCB" w:rsidRPr="00A52585">
        <w:rPr>
          <w:rFonts w:hint="cs"/>
          <w:spacing w:val="-20"/>
          <w:rtl/>
        </w:rPr>
        <w:t>الجحد</w:t>
      </w:r>
      <w:r w:rsidR="00897A24" w:rsidRPr="00A52585">
        <w:rPr>
          <w:rFonts w:hint="cs"/>
          <w:rtl/>
          <w:lang w:bidi="ar-KW"/>
        </w:rPr>
        <w:t>.</w:t>
      </w:r>
      <w:r w:rsidR="00777DCB" w:rsidRPr="00A52585">
        <w:rPr>
          <w:rFonts w:hint="cs"/>
          <w:rtl/>
          <w:lang w:bidi="ar-KW"/>
        </w:rPr>
        <w:t xml:space="preserve">.. </w:t>
      </w:r>
      <w:r w:rsidR="00777DCB" w:rsidRPr="00A52585">
        <w:rPr>
          <w:rFonts w:hint="cs"/>
          <w:rtl/>
        </w:rPr>
        <w:t>فلـولاه ما اشتاقت</w:t>
      </w:r>
      <w:r w:rsidRPr="00A52585">
        <w:rPr>
          <w:rFonts w:hint="cs"/>
          <w:rtl/>
        </w:rPr>
        <w:t xml:space="preserve"> </w:t>
      </w:r>
      <w:r w:rsidR="00777DCB" w:rsidRPr="00A52585">
        <w:rPr>
          <w:rFonts w:hint="cs"/>
          <w:rtl/>
        </w:rPr>
        <w:t>قلـوب</w:t>
      </w:r>
      <w:r w:rsidRPr="00A52585">
        <w:rPr>
          <w:rFonts w:hint="cs"/>
          <w:rtl/>
        </w:rPr>
        <w:t xml:space="preserve"> </w:t>
      </w:r>
      <w:r w:rsidR="00777DCB" w:rsidRPr="00A52585">
        <w:rPr>
          <w:rFonts w:hint="cs"/>
          <w:rtl/>
        </w:rPr>
        <w:t>نفيسة</w:t>
      </w:r>
      <w:r w:rsidR="00897A24" w:rsidRPr="00A52585">
        <w:rPr>
          <w:rFonts w:hint="cs"/>
          <w:rtl/>
          <w:lang w:bidi="ar-KW"/>
        </w:rPr>
        <w:t>.</w:t>
      </w:r>
      <w:r w:rsidR="00777DCB" w:rsidRPr="00A52585">
        <w:rPr>
          <w:rFonts w:hint="cs"/>
          <w:rtl/>
          <w:lang w:bidi="ar-KW"/>
        </w:rPr>
        <w:t xml:space="preserve">.. </w:t>
      </w:r>
      <w:r w:rsidR="00777DCB" w:rsidRPr="00A52585">
        <w:rPr>
          <w:rFonts w:hint="cs"/>
          <w:rtl/>
        </w:rPr>
        <w:t xml:space="preserve">إلى </w:t>
      </w:r>
      <w:r w:rsidR="00777DCB" w:rsidRPr="00A52585">
        <w:rPr>
          <w:rFonts w:hint="cs"/>
          <w:spacing w:val="-20"/>
          <w:rtl/>
        </w:rPr>
        <w:t>الشيح من</w:t>
      </w:r>
      <w:r w:rsidR="00777DCB" w:rsidRPr="00A52585">
        <w:rPr>
          <w:rFonts w:hint="cs"/>
          <w:rtl/>
        </w:rPr>
        <w:t xml:space="preserve"> أرض الحجاز ولا </w:t>
      </w:r>
      <w:proofErr w:type="spellStart"/>
      <w:r w:rsidR="00777DCB" w:rsidRPr="00A52585">
        <w:rPr>
          <w:rFonts w:hint="cs"/>
          <w:spacing w:val="-20"/>
          <w:rtl/>
        </w:rPr>
        <w:t>الرند</w:t>
      </w:r>
      <w:proofErr w:type="spellEnd"/>
      <w:r w:rsidR="00897A24" w:rsidRPr="00A52585">
        <w:rPr>
          <w:rFonts w:hint="cs"/>
          <w:rtl/>
          <w:lang w:bidi="ar-KW"/>
        </w:rPr>
        <w:t>.</w:t>
      </w:r>
      <w:r w:rsidR="00777DCB" w:rsidRPr="00A52585">
        <w:rPr>
          <w:rFonts w:hint="cs"/>
          <w:rtl/>
          <w:lang w:bidi="ar-KW"/>
        </w:rPr>
        <w:t xml:space="preserve">.. </w:t>
      </w:r>
      <w:r w:rsidR="00777DCB" w:rsidRPr="00A52585">
        <w:rPr>
          <w:rFonts w:hint="cs"/>
          <w:rtl/>
        </w:rPr>
        <w:t>ولا ذكرت سلـع ونعمـان والنقـا</w:t>
      </w:r>
      <w:r w:rsidR="00897A24" w:rsidRPr="00A52585">
        <w:rPr>
          <w:rFonts w:hint="cs"/>
          <w:rtl/>
          <w:lang w:bidi="ar-KW"/>
        </w:rPr>
        <w:t>.</w:t>
      </w:r>
      <w:r w:rsidR="00777DCB" w:rsidRPr="00A52585">
        <w:rPr>
          <w:rFonts w:hint="cs"/>
          <w:rtl/>
          <w:lang w:bidi="ar-KW"/>
        </w:rPr>
        <w:t xml:space="preserve">.. </w:t>
      </w:r>
      <w:r w:rsidR="00777DCB" w:rsidRPr="00A52585">
        <w:rPr>
          <w:rFonts w:hint="cs"/>
          <w:rtl/>
        </w:rPr>
        <w:t>ولا استعذبت من شدة</w:t>
      </w:r>
      <w:r w:rsidRPr="00A52585">
        <w:rPr>
          <w:rFonts w:hint="cs"/>
          <w:rtl/>
        </w:rPr>
        <w:t xml:space="preserve"> </w:t>
      </w:r>
      <w:r w:rsidR="00777DCB" w:rsidRPr="00A52585">
        <w:rPr>
          <w:rFonts w:hint="cs"/>
          <w:rtl/>
        </w:rPr>
        <w:t>الوجد للوجد</w:t>
      </w:r>
      <w:r w:rsidRPr="00A52585">
        <w:rPr>
          <w:rFonts w:hint="cs"/>
          <w:rtl/>
          <w:lang w:bidi="ar-KW"/>
        </w:rPr>
        <w:t>)</w:t>
      </w:r>
      <w:r w:rsidR="00DB731D" w:rsidRPr="00A52585">
        <w:rPr>
          <w:rFonts w:hint="cs"/>
          <w:rtl/>
          <w:lang w:bidi="ar-KW"/>
        </w:rPr>
        <w:t>،</w:t>
      </w:r>
      <w:r w:rsidR="00777DCB" w:rsidRPr="00A52585">
        <w:rPr>
          <w:rFonts w:hint="cs"/>
          <w:rtl/>
          <w:lang w:bidi="ar-KW"/>
        </w:rPr>
        <w:t xml:space="preserve"> </w:t>
      </w:r>
      <w:r w:rsidR="00777DCB" w:rsidRPr="00A52585">
        <w:rPr>
          <w:rFonts w:hint="cs"/>
          <w:rtl/>
        </w:rPr>
        <w:t>فسبحان من قربه وَبَجَّله وعظمه ومنحه وتَوَّجَه خِلَع الفضائل وجعله أعظم ما يتوجه به إليه وأعظم الوسائل</w:t>
      </w:r>
      <w:r w:rsidR="00DB731D" w:rsidRPr="00A52585">
        <w:rPr>
          <w:rFonts w:hint="cs"/>
          <w:rtl/>
        </w:rPr>
        <w:t>،</w:t>
      </w:r>
      <w:r w:rsidR="00777DCB" w:rsidRPr="00A52585">
        <w:rPr>
          <w:rFonts w:hint="cs"/>
          <w:rtl/>
        </w:rPr>
        <w:t xml:space="preserve"> </w:t>
      </w:r>
    </w:p>
    <w:p w14:paraId="10C58662" w14:textId="42D106F9" w:rsidR="00777DCB" w:rsidRPr="00A52585" w:rsidRDefault="0002035C" w:rsidP="0002035C">
      <w:pPr>
        <w:spacing w:after="240"/>
        <w:rPr>
          <w:b/>
          <w:bCs/>
          <w:rtl/>
        </w:rPr>
      </w:pPr>
      <w:r w:rsidRPr="00A52585">
        <w:rPr>
          <w:rFonts w:hint="cs"/>
          <w:bCs/>
          <w:rtl/>
        </w:rPr>
        <w:t>[</w:t>
      </w:r>
      <w:r w:rsidR="00777DCB" w:rsidRPr="00A52585">
        <w:rPr>
          <w:rFonts w:hint="cs"/>
          <w:bCs/>
          <w:rtl/>
        </w:rPr>
        <w:t>و- إرشاد النبي صلى الله عليه وسلم أمته للتوسل إلى الله به</w:t>
      </w:r>
      <w:r w:rsidRPr="00A52585">
        <w:rPr>
          <w:rFonts w:hint="cs"/>
          <w:bCs/>
          <w:rtl/>
        </w:rPr>
        <w:t>:</w:t>
      </w:r>
      <w:r w:rsidR="00777DCB" w:rsidRPr="00A52585">
        <w:rPr>
          <w:rFonts w:hint="cs"/>
          <w:bCs/>
          <w:rtl/>
        </w:rPr>
        <w:t xml:space="preserve"> حديث الضرير واستمرار الصحابة على ذلك بعد وفاته صلى الله عليه وسلم</w:t>
      </w:r>
      <w:r w:rsidRPr="00A52585">
        <w:rPr>
          <w:rFonts w:hint="cs"/>
          <w:bCs/>
          <w:rtl/>
        </w:rPr>
        <w:t>]:</w:t>
      </w:r>
      <w:r w:rsidR="00777DCB" w:rsidRPr="00A52585">
        <w:rPr>
          <w:rFonts w:hint="cs"/>
          <w:bCs/>
          <w:rtl/>
        </w:rPr>
        <w:t xml:space="preserve"> </w:t>
      </w:r>
      <w:r w:rsidR="00777DCB" w:rsidRPr="00A52585">
        <w:rPr>
          <w:rFonts w:hint="cs"/>
          <w:rtl/>
        </w:rPr>
        <w:t>روى الترمذي من حديث عثمان بن حنيف رضي الله عنه أن رجلا ضرير البصر أتى إلى النبي صلى الله عليه وسلم فقال</w:t>
      </w:r>
      <w:r w:rsidRPr="00A52585">
        <w:rPr>
          <w:rFonts w:hint="cs"/>
          <w:rtl/>
        </w:rPr>
        <w:t>:</w:t>
      </w:r>
      <w:r w:rsidR="00777DCB" w:rsidRPr="00A52585">
        <w:rPr>
          <w:rFonts w:hint="cs"/>
          <w:rtl/>
        </w:rPr>
        <w:t xml:space="preserve"> ادع لي أن يعافيني الله. فقال</w:t>
      </w:r>
      <w:r w:rsidRPr="00A52585">
        <w:rPr>
          <w:rFonts w:hint="cs"/>
          <w:rtl/>
        </w:rPr>
        <w:t>:</w:t>
      </w:r>
      <w:r w:rsidR="00777DCB" w:rsidRPr="00A52585">
        <w:rPr>
          <w:rFonts w:hint="cs"/>
          <w:rtl/>
        </w:rPr>
        <w:t xml:space="preserve"> إن شئت دعوت</w:t>
      </w:r>
      <w:r w:rsidR="00DB731D" w:rsidRPr="00A52585">
        <w:rPr>
          <w:rFonts w:hint="cs"/>
          <w:rtl/>
        </w:rPr>
        <w:t>،</w:t>
      </w:r>
      <w:r w:rsidR="00777DCB" w:rsidRPr="00A52585">
        <w:rPr>
          <w:rFonts w:hint="cs"/>
          <w:rtl/>
        </w:rPr>
        <w:t xml:space="preserve"> وإن شئت صبرت فهو خير لك. قال</w:t>
      </w:r>
      <w:r w:rsidRPr="00A52585">
        <w:rPr>
          <w:rFonts w:hint="cs"/>
          <w:rtl/>
        </w:rPr>
        <w:t>:</w:t>
      </w:r>
      <w:r w:rsidR="00777DCB" w:rsidRPr="00A52585">
        <w:rPr>
          <w:rFonts w:hint="cs"/>
          <w:rtl/>
        </w:rPr>
        <w:t xml:space="preserve"> فادعه</w:t>
      </w:r>
      <w:r w:rsidR="00DB731D" w:rsidRPr="00A52585">
        <w:rPr>
          <w:rFonts w:hint="cs"/>
          <w:rtl/>
        </w:rPr>
        <w:t>،</w:t>
      </w:r>
      <w:r w:rsidR="00777DCB" w:rsidRPr="00A52585">
        <w:rPr>
          <w:rFonts w:hint="cs"/>
          <w:rtl/>
        </w:rPr>
        <w:t xml:space="preserve"> فأمره رسول الله صلى الله عليه وسلم أن يتوضأ فيحسن الوضوء ويدعو بهذا الدعاء</w:t>
      </w:r>
      <w:r w:rsidRPr="00A52585">
        <w:rPr>
          <w:rFonts w:hint="cs"/>
          <w:rtl/>
        </w:rPr>
        <w:t>:</w:t>
      </w:r>
      <w:r w:rsidR="00777DCB" w:rsidRPr="00A52585">
        <w:rPr>
          <w:rFonts w:hint="cs"/>
          <w:rtl/>
        </w:rPr>
        <w:t xml:space="preserve"> اللهم إني أسألك وأتوجه إليك بنبيك محمد نبي الرحمة</w:t>
      </w:r>
      <w:r w:rsidR="00DB731D" w:rsidRPr="00A52585">
        <w:rPr>
          <w:rFonts w:hint="cs"/>
          <w:rtl/>
        </w:rPr>
        <w:t>،</w:t>
      </w:r>
      <w:r w:rsidR="00777DCB" w:rsidRPr="00A52585">
        <w:rPr>
          <w:rFonts w:hint="cs"/>
          <w:rtl/>
        </w:rPr>
        <w:t xml:space="preserve"> يا محمد إني توجهت بك إلى ربي في حاجتي هذه لتقضى. اللهم شفعه فيَّ</w:t>
      </w:r>
      <w:r w:rsidR="00DB731D" w:rsidRPr="00A52585">
        <w:rPr>
          <w:rFonts w:hint="cs"/>
          <w:rtl/>
        </w:rPr>
        <w:t>،</w:t>
      </w:r>
      <w:r w:rsidR="00777DCB" w:rsidRPr="00A52585">
        <w:rPr>
          <w:rFonts w:hint="cs"/>
          <w:rtl/>
        </w:rPr>
        <w:t xml:space="preserve"> قال الترمذي حديث حسن صحيح ورواه النسائي بنحوه ورواه البيهقي وزاد محمد بن يونس في روايته</w:t>
      </w:r>
      <w:r w:rsidRPr="00A52585">
        <w:rPr>
          <w:rFonts w:hint="cs"/>
          <w:rtl/>
        </w:rPr>
        <w:t>:</w:t>
      </w:r>
      <w:r w:rsidR="00777DCB" w:rsidRPr="00A52585">
        <w:rPr>
          <w:rFonts w:hint="cs"/>
          <w:rtl/>
        </w:rPr>
        <w:t xml:space="preserve"> فقام وقد أبصر. وفي رواية شعبة</w:t>
      </w:r>
      <w:r w:rsidRPr="00A52585">
        <w:rPr>
          <w:rFonts w:hint="cs"/>
          <w:rtl/>
        </w:rPr>
        <w:t>:</w:t>
      </w:r>
      <w:r w:rsidR="00777DCB" w:rsidRPr="00A52585">
        <w:rPr>
          <w:rFonts w:hint="cs"/>
          <w:rtl/>
        </w:rPr>
        <w:t xml:space="preserve"> ففعل فبرئ وفي رواية</w:t>
      </w:r>
      <w:r w:rsidRPr="00A52585">
        <w:rPr>
          <w:rFonts w:hint="cs"/>
          <w:rtl/>
        </w:rPr>
        <w:t>:</w:t>
      </w:r>
      <w:r w:rsidR="00777DCB" w:rsidRPr="00A52585">
        <w:rPr>
          <w:rFonts w:hint="cs"/>
          <w:rtl/>
        </w:rPr>
        <w:t xml:space="preserve"> يا محمد. إني توجهت بك إلى ربي فتجلي عن بصري</w:t>
      </w:r>
      <w:r w:rsidR="00DB731D" w:rsidRPr="00A52585">
        <w:rPr>
          <w:rFonts w:hint="cs"/>
          <w:rtl/>
        </w:rPr>
        <w:t>،</w:t>
      </w:r>
      <w:r w:rsidR="00777DCB" w:rsidRPr="00A52585">
        <w:rPr>
          <w:rFonts w:hint="cs"/>
          <w:rtl/>
        </w:rPr>
        <w:t xml:space="preserve"> اللهم شفعه فيّ وشفعني في نفسي</w:t>
      </w:r>
      <w:r w:rsidR="00DB731D" w:rsidRPr="00A52585">
        <w:rPr>
          <w:rFonts w:hint="cs"/>
          <w:rtl/>
        </w:rPr>
        <w:t>،</w:t>
      </w:r>
      <w:r w:rsidR="00777DCB" w:rsidRPr="00A52585">
        <w:rPr>
          <w:rFonts w:hint="cs"/>
          <w:rtl/>
        </w:rPr>
        <w:t xml:space="preserve"> قال عثمان رضي الله عنه</w:t>
      </w:r>
      <w:r w:rsidRPr="00A52585">
        <w:rPr>
          <w:rFonts w:hint="cs"/>
          <w:rtl/>
        </w:rPr>
        <w:t>:</w:t>
      </w:r>
      <w:r w:rsidR="00777DCB" w:rsidRPr="00A52585">
        <w:rPr>
          <w:rFonts w:hint="cs"/>
          <w:rtl/>
        </w:rPr>
        <w:t xml:space="preserve"> فوالله ما انصرفنا ولا أطال الحديث حتى دخل الرجل وكأنه لم يكن به ضر</w:t>
      </w:r>
      <w:r w:rsidR="00DB731D" w:rsidRPr="00A52585">
        <w:rPr>
          <w:rFonts w:hint="cs"/>
          <w:rtl/>
        </w:rPr>
        <w:t>،</w:t>
      </w:r>
      <w:r w:rsidR="00777DCB" w:rsidRPr="00A52585">
        <w:rPr>
          <w:rFonts w:hint="cs"/>
          <w:rtl/>
        </w:rPr>
        <w:t xml:space="preserve"> فهذا حديث صحيح صريح في التوسل والاستجابة وليس فيه أنه فعل ذلك في حضرة النبي صلى الله عليه وسلم ولا فيه التقييد بزمن حياته ولا أنه خاص بذلك الرجل بل إطلاقه عليه الصلاة والسلام يدل على أن هذا التوسل مستمر بعد وفاته شفقة عليهم لأنه بهم رءوف رحيم ولاحتياجهم إلى ذلك في حاجاتهم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الحافظ السيد عبد الله بن الصديق الغماري في كتابه (إتحاف الأذكياء)</w:t>
      </w:r>
      <w:r w:rsidRPr="00A52585">
        <w:rPr>
          <w:rFonts w:hint="cs"/>
          <w:sz w:val="24"/>
          <w:szCs w:val="24"/>
          <w:rtl/>
        </w:rPr>
        <w:t xml:space="preserve">: </w:t>
      </w:r>
      <w:r w:rsidR="00777DCB" w:rsidRPr="00A52585">
        <w:rPr>
          <w:rFonts w:hint="cs"/>
          <w:sz w:val="24"/>
          <w:szCs w:val="24"/>
          <w:rtl/>
        </w:rPr>
        <w:t>"وللحديث روايات وألفاظ منها عند ابن أبي خيثمة بإسناد صحيح</w:t>
      </w:r>
      <w:r w:rsidRPr="00A52585">
        <w:rPr>
          <w:rFonts w:hint="cs"/>
          <w:sz w:val="24"/>
          <w:szCs w:val="24"/>
          <w:rtl/>
        </w:rPr>
        <w:t xml:space="preserve"> </w:t>
      </w:r>
      <w:r w:rsidR="00777DCB" w:rsidRPr="00A52585">
        <w:rPr>
          <w:rFonts w:hint="cs"/>
          <w:sz w:val="24"/>
          <w:szCs w:val="24"/>
          <w:rtl/>
        </w:rPr>
        <w:t>أن النبي</w:t>
      </w:r>
      <w:r w:rsidRPr="00A52585">
        <w:rPr>
          <w:rFonts w:hint="cs"/>
          <w:sz w:val="24"/>
          <w:szCs w:val="24"/>
          <w:rtl/>
        </w:rPr>
        <w:t xml:space="preserve"> </w:t>
      </w:r>
      <w:r w:rsidR="00777DCB" w:rsidRPr="00A52585">
        <w:rPr>
          <w:rFonts w:hint="cs"/>
          <w:sz w:val="24"/>
          <w:szCs w:val="24"/>
          <w:rtl/>
        </w:rPr>
        <w:t xml:space="preserve">صلى الله عليه وسلم لما </w:t>
      </w:r>
      <w:r w:rsidR="00777DCB" w:rsidRPr="00A52585">
        <w:rPr>
          <w:rFonts w:hint="cs"/>
          <w:sz w:val="24"/>
          <w:szCs w:val="24"/>
          <w:rtl/>
        </w:rPr>
        <w:lastRenderedPageBreak/>
        <w:t xml:space="preserve">علم الضرير المذكور قال له (وإن كانت حاجة فافعل مثل ذلك) وهذا إذن بالتوسل في سائر الأحوال، ثم إن الروايــات كلها متفقة على أن الذي دعا هــو الرجل الضرير لا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ولهذا ترجم له البيهقي في دلائل النبوة بقوله</w:t>
      </w:r>
      <w:r w:rsidRPr="00A52585">
        <w:rPr>
          <w:rFonts w:hint="cs"/>
          <w:sz w:val="24"/>
          <w:szCs w:val="24"/>
          <w:rtl/>
        </w:rPr>
        <w:t>:</w:t>
      </w:r>
      <w:r w:rsidR="00777DCB" w:rsidRPr="00A52585">
        <w:rPr>
          <w:rFonts w:hint="cs"/>
          <w:sz w:val="24"/>
          <w:szCs w:val="24"/>
          <w:rtl/>
        </w:rPr>
        <w:t xml:space="preserve"> (باب ما جاء في تعليمه الضرير ما كان فيه شفاؤه حين لم يصبر وما ظهر في ذلك من آثار النبوة) أهـ</w:t>
      </w:r>
      <w:r w:rsidR="00DB731D" w:rsidRPr="00A52585">
        <w:rPr>
          <w:rFonts w:hint="cs"/>
          <w:sz w:val="24"/>
          <w:szCs w:val="24"/>
          <w:rtl/>
        </w:rPr>
        <w:t>،</w:t>
      </w:r>
      <w:r w:rsidR="00777DCB" w:rsidRPr="00A52585">
        <w:rPr>
          <w:rFonts w:hint="cs"/>
          <w:sz w:val="24"/>
          <w:szCs w:val="24"/>
          <w:rtl/>
        </w:rPr>
        <w:t xml:space="preserve"> ثم إن الحديث صحيح صححه الترمذي وابن خزيمة والطبراني والحاكم والبيهقي والمنذري والنووي والذهبي وابن حجر والهيثمي والسيوطي بل لا خلاف بين المحدثين في صحته" أهـ ص25 ونقل الحافظ الغماري في كتابه (الرد المحكم المتين) إقرار ابن تيمية أيضاً بصحة هذا الحديث انظر تحقيق طرقه بالكتاب ص141 حتى169 وقد ذكر رحمه الله رواية الترمذي ثم قال</w:t>
      </w:r>
      <w:r w:rsidRPr="00A52585">
        <w:rPr>
          <w:rFonts w:hint="cs"/>
          <w:sz w:val="24"/>
          <w:szCs w:val="24"/>
          <w:rtl/>
        </w:rPr>
        <w:t>:</w:t>
      </w:r>
      <w:r w:rsidR="00777DCB" w:rsidRPr="00A52585">
        <w:rPr>
          <w:rFonts w:hint="cs"/>
          <w:sz w:val="24"/>
          <w:szCs w:val="24"/>
          <w:rtl/>
        </w:rPr>
        <w:t xml:space="preserve"> "قال الترمذي</w:t>
      </w:r>
      <w:r w:rsidRPr="00A52585">
        <w:rPr>
          <w:rFonts w:hint="cs"/>
          <w:sz w:val="24"/>
          <w:szCs w:val="24"/>
          <w:rtl/>
        </w:rPr>
        <w:t>:</w:t>
      </w:r>
      <w:r w:rsidR="00777DCB" w:rsidRPr="00A52585">
        <w:rPr>
          <w:rFonts w:hint="cs"/>
          <w:sz w:val="24"/>
          <w:szCs w:val="24"/>
          <w:rtl/>
        </w:rPr>
        <w:t xml:space="preserve"> (حديث حسن صحيح غريب لا نعرفه إلا من هذا الوجه من حديث أبي جعفر وهو غير </w:t>
      </w:r>
      <w:proofErr w:type="spellStart"/>
      <w:r w:rsidR="00777DCB" w:rsidRPr="00A52585">
        <w:rPr>
          <w:rFonts w:hint="cs"/>
          <w:sz w:val="24"/>
          <w:szCs w:val="24"/>
          <w:rtl/>
        </w:rPr>
        <w:t>الخطمى</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كذا في نسختي المطبوعة بالهند من جامع الترمذي ولعل زيادة لفظ (غير) سهو من الترمذي رحمه الله وإلا فأبو جعفر هو الخطمي كما صرح به ابن أبي خيثمة والطبراني وغيرهما وسيأتي كلامهم وقال ابن تيمية ما نصه</w:t>
      </w:r>
      <w:r w:rsidRPr="00A52585">
        <w:rPr>
          <w:rFonts w:hint="cs"/>
          <w:sz w:val="24"/>
          <w:szCs w:val="24"/>
          <w:rtl/>
        </w:rPr>
        <w:t>:</w:t>
      </w:r>
      <w:r w:rsidR="00777DCB" w:rsidRPr="00A52585">
        <w:rPr>
          <w:rFonts w:hint="cs"/>
          <w:sz w:val="24"/>
          <w:szCs w:val="24"/>
          <w:rtl/>
        </w:rPr>
        <w:t xml:space="preserve"> (هكذا وقع في الترمذي، وسائر العلماء قالوا هو أبو جعفر الخطمي وهو الصواب وأيضاً فالترمذي ومن معه لم يستوعبوا لفظه كما استوعبه سائر العلماء بل رووه إلى قوله</w:t>
      </w:r>
      <w:r w:rsidRPr="00A52585">
        <w:rPr>
          <w:rFonts w:hint="cs"/>
          <w:sz w:val="24"/>
          <w:szCs w:val="24"/>
          <w:rtl/>
        </w:rPr>
        <w:t>:</w:t>
      </w:r>
      <w:r w:rsidR="00777DCB" w:rsidRPr="00A52585">
        <w:rPr>
          <w:rFonts w:hint="cs"/>
          <w:sz w:val="24"/>
          <w:szCs w:val="24"/>
          <w:rtl/>
        </w:rPr>
        <w:t xml:space="preserve"> (اللهم فشفعه في) أهـ بلفظه"</w:t>
      </w:r>
      <w:r w:rsidRPr="00A52585">
        <w:rPr>
          <w:rFonts w:hint="cs"/>
          <w:sz w:val="24"/>
          <w:szCs w:val="24"/>
          <w:rtl/>
        </w:rPr>
        <w:t xml:space="preserve"> </w:t>
      </w:r>
      <w:r w:rsidR="00777DCB" w:rsidRPr="00A52585">
        <w:rPr>
          <w:rFonts w:hint="cs"/>
          <w:sz w:val="24"/>
          <w:szCs w:val="24"/>
          <w:rtl/>
        </w:rPr>
        <w:t>أهـ الرد المحكم المتين ص 143، 144 وقد ذكر الإمام الكوثري في مقالاته أن هناك نسخاً لصحيح الترمذي ليس فيها كلمة (غير) وقال الحافظ عبد الله الغماري في كتابه (إتحاف الأذكياء)</w:t>
      </w:r>
      <w:r w:rsidRPr="00A52585">
        <w:rPr>
          <w:rFonts w:hint="cs"/>
          <w:sz w:val="24"/>
          <w:szCs w:val="24"/>
          <w:rtl/>
        </w:rPr>
        <w:t xml:space="preserve">: </w:t>
      </w:r>
      <w:r w:rsidR="00777DCB" w:rsidRPr="00A52585">
        <w:rPr>
          <w:rFonts w:hint="cs"/>
          <w:sz w:val="24"/>
          <w:szCs w:val="24"/>
          <w:rtl/>
        </w:rPr>
        <w:t>"وما قيل من أن أبا جعفر في سنده ليس هو الخطمي بل هو آخر مجهول، ليس بشيء، والصواب أن أبا جعفر هو الخطمي المدني كما جاء مصرحا به في روايات الطبراني والحاكم والبيهقي زاد الطبراني في المعجم الصغير أن اسمه عمير بن يزيد وأنه ثقة وليس من المعقول أن يجمع الحفاظ على تصحيح حديث في سنده مجهول خصوصاً الذهبي والمنذري والحافظ فمحاولة بعض العصريين تضعيف الحديث مقضي عليها بالفشل الكبير"</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إن العلماء</w:t>
      </w:r>
      <w:r w:rsidRPr="00A52585">
        <w:rPr>
          <w:rFonts w:hint="cs"/>
          <w:sz w:val="24"/>
          <w:szCs w:val="24"/>
          <w:rtl/>
        </w:rPr>
        <w:t xml:space="preserve"> </w:t>
      </w:r>
      <w:r w:rsidR="00777DCB" w:rsidRPr="00A52585">
        <w:rPr>
          <w:rFonts w:hint="cs"/>
          <w:sz w:val="24"/>
          <w:szCs w:val="24"/>
          <w:rtl/>
        </w:rPr>
        <w:t>فهموا الحديث على العموم كما هو الواجب في نصوص الشارع فأورده الترمذي في كتاب الدعوات من سننه والحاكم في الدعاء من مستدركه والبيهقي في كتاب الدعوات وهو مؤلف خاص، معتبرين له من جملة الأدعية المشروعة المأثورة، وأورده ابن ماجه في كتاب الصلاة من سننه وكذا فعل المنذري في الترغيب والترهيب والهيثمي في مجمع الزوائد معتبر الصلاة فيه والدعاء من جملة النوافل المطلوبة، وأورده النووي في أذكار الحاجة من كتاب الأذكار معتبراً له من جملة الأذكار التي تقال عند عروض حاجة وإرادة قضائها، وأورده غير هؤلاء كابن خزيمة في صحيحه المرتب على الكتب والأبواب وهذا اتفاق منهم على أن الحديث معمول به في سائر الأوقات والأزمان ولو كان خاصاً بذلك الضرير أو بحالة دون حالة أو بوقت دون وقت لم يكن لذكرهم له في كتب الأحكام وغيرها فائدة أو لنبهوا على أنه خاص ليس بعام كما فعلوا في غيره من الأحاديث التي تكون خاصة ببعض الحالات "</w:t>
      </w:r>
      <w:r w:rsidRPr="00A52585">
        <w:rPr>
          <w:rFonts w:hint="cs"/>
          <w:sz w:val="24"/>
          <w:szCs w:val="24"/>
          <w:rtl/>
        </w:rPr>
        <w:t xml:space="preserve"> </w:t>
      </w:r>
      <w:r w:rsidR="00777DCB" w:rsidRPr="00A52585">
        <w:rPr>
          <w:rFonts w:hint="cs"/>
          <w:sz w:val="24"/>
          <w:szCs w:val="24"/>
          <w:rtl/>
        </w:rPr>
        <w:t>أهـ ص 25- 27 وقد زاد حفظه الله هذا الموضوع إيضاحاً في معرض ردِّه على المبتدع الألباني في كتابه (إرغام المبتدع الغبي) فقال</w:t>
      </w:r>
      <w:r w:rsidRPr="00A52585">
        <w:rPr>
          <w:rFonts w:hint="cs"/>
          <w:sz w:val="24"/>
          <w:szCs w:val="24"/>
          <w:rtl/>
        </w:rPr>
        <w:t xml:space="preserve">: </w:t>
      </w:r>
      <w:r w:rsidR="00777DCB" w:rsidRPr="00A52585">
        <w:rPr>
          <w:rFonts w:hint="cs"/>
          <w:sz w:val="24"/>
          <w:szCs w:val="24"/>
          <w:rtl/>
        </w:rPr>
        <w:t>" قلنا في حديث توسل الضرير كفاية وغناء، لأن النبي حين علّم الضرير ذلك التوسل دل على مشروعيته في جميع الحالات ولا يجوز أن يقال عنه</w:t>
      </w:r>
      <w:r w:rsidRPr="00A52585">
        <w:rPr>
          <w:rFonts w:hint="cs"/>
          <w:sz w:val="24"/>
          <w:szCs w:val="24"/>
          <w:rtl/>
        </w:rPr>
        <w:t>:</w:t>
      </w:r>
      <w:r w:rsidR="00777DCB" w:rsidRPr="00A52585">
        <w:rPr>
          <w:rFonts w:hint="cs"/>
          <w:sz w:val="24"/>
          <w:szCs w:val="24"/>
          <w:rtl/>
        </w:rPr>
        <w:t xml:space="preserve"> توسل مبتدع ولا يجوز تخصيصه بحال حياته صلى الله عليه وسلم</w:t>
      </w:r>
      <w:r w:rsidR="00DB731D" w:rsidRPr="00A52585">
        <w:rPr>
          <w:rFonts w:hint="cs"/>
          <w:sz w:val="24"/>
          <w:szCs w:val="24"/>
          <w:rtl/>
        </w:rPr>
        <w:t>،</w:t>
      </w:r>
      <w:r w:rsidR="00777DCB" w:rsidRPr="00A52585">
        <w:rPr>
          <w:rFonts w:hint="cs"/>
          <w:sz w:val="24"/>
          <w:szCs w:val="24"/>
          <w:rtl/>
        </w:rPr>
        <w:t xml:space="preserve"> ومن خصصه فهو المبتدع حقيقة لأنه عطل حديثا صحيحاً وأبطل العمل به وهو حرام والألباني عفا الله عنه جرئ على دعوى التخصيص والنسخ لمجرد خلاف رأيه وهواه فحديث الضرير لو كان خاصاً به لبينه النبي صلى الله عليه وسلم كما بين لأبي بردة أن الجذعة من المعز تجزئه في الأضحية ولا تجزئ غيره كما في الصحيحين </w:t>
      </w:r>
      <w:r w:rsidR="00777DCB" w:rsidRPr="00A52585">
        <w:rPr>
          <w:rFonts w:hint="cs"/>
          <w:sz w:val="24"/>
          <w:szCs w:val="24"/>
          <w:rtl/>
        </w:rPr>
        <w:lastRenderedPageBreak/>
        <w:t>وتأخير البيان عن وقت الحاجة لا يجوز "</w:t>
      </w:r>
      <w:r w:rsidRPr="00A52585">
        <w:rPr>
          <w:rFonts w:hint="cs"/>
          <w:sz w:val="24"/>
          <w:szCs w:val="24"/>
          <w:rtl/>
        </w:rPr>
        <w:t xml:space="preserve"> </w:t>
      </w:r>
      <w:r w:rsidR="00777DCB" w:rsidRPr="00A52585">
        <w:rPr>
          <w:rFonts w:hint="cs"/>
          <w:sz w:val="24"/>
          <w:szCs w:val="24"/>
          <w:rtl/>
        </w:rPr>
        <w:t>أهـ ثم ذكر الشبهة التي يثيرها المبتدعة ويستدلون بها على تخصيص الحديث فقال</w:t>
      </w:r>
      <w:r w:rsidRPr="00A52585">
        <w:rPr>
          <w:rFonts w:hint="cs"/>
          <w:sz w:val="24"/>
          <w:szCs w:val="24"/>
          <w:rtl/>
        </w:rPr>
        <w:t xml:space="preserve">: </w:t>
      </w:r>
      <w:r w:rsidR="00777DCB" w:rsidRPr="00A52585">
        <w:rPr>
          <w:rFonts w:hint="cs"/>
          <w:sz w:val="24"/>
          <w:szCs w:val="24"/>
          <w:rtl/>
        </w:rPr>
        <w:t>"قد يقال</w:t>
      </w:r>
      <w:r w:rsidRPr="00A52585">
        <w:rPr>
          <w:rFonts w:hint="cs"/>
          <w:sz w:val="24"/>
          <w:szCs w:val="24"/>
          <w:rtl/>
        </w:rPr>
        <w:t>:</w:t>
      </w:r>
      <w:r w:rsidR="00777DCB" w:rsidRPr="00A52585">
        <w:rPr>
          <w:rFonts w:hint="cs"/>
          <w:sz w:val="24"/>
          <w:szCs w:val="24"/>
          <w:rtl/>
        </w:rPr>
        <w:t xml:space="preserve"> الداعي إلى تخصيص الحديث بحال حياة النبي صلى الله عليه وسلم ما</w:t>
      </w:r>
      <w:r w:rsidRPr="00A52585">
        <w:rPr>
          <w:rFonts w:hint="cs"/>
          <w:sz w:val="24"/>
          <w:szCs w:val="24"/>
          <w:rtl/>
        </w:rPr>
        <w:t xml:space="preserve"> </w:t>
      </w:r>
      <w:r w:rsidR="00777DCB" w:rsidRPr="00A52585">
        <w:rPr>
          <w:rFonts w:hint="cs"/>
          <w:sz w:val="24"/>
          <w:szCs w:val="24"/>
          <w:rtl/>
        </w:rPr>
        <w:t>فيه من ندائه، وهو عذر مقبول والجواب</w:t>
      </w:r>
      <w:r w:rsidRPr="00A52585">
        <w:rPr>
          <w:rFonts w:hint="cs"/>
          <w:sz w:val="24"/>
          <w:szCs w:val="24"/>
          <w:rtl/>
        </w:rPr>
        <w:t>:</w:t>
      </w:r>
      <w:r w:rsidR="00777DCB" w:rsidRPr="00A52585">
        <w:rPr>
          <w:rFonts w:hint="cs"/>
          <w:sz w:val="24"/>
          <w:szCs w:val="24"/>
          <w:rtl/>
        </w:rPr>
        <w:t xml:space="preserve"> إن هذا اعتذار مردود، لأنه تواتر عن النبي صلى الله عليه وسلم تعليم التشهد في</w:t>
      </w:r>
      <w:r w:rsidRPr="00A52585">
        <w:rPr>
          <w:rFonts w:hint="cs"/>
          <w:sz w:val="24"/>
          <w:szCs w:val="24"/>
          <w:rtl/>
        </w:rPr>
        <w:t xml:space="preserve"> </w:t>
      </w:r>
      <w:r w:rsidR="00777DCB" w:rsidRPr="00A52585">
        <w:rPr>
          <w:rFonts w:hint="cs"/>
          <w:sz w:val="24"/>
          <w:szCs w:val="24"/>
          <w:rtl/>
        </w:rPr>
        <w:t>الصلاة وفيه السلام عليه بالخطاب ونداؤه (السلام عليك أيها</w:t>
      </w:r>
      <w:r w:rsidRPr="00A52585">
        <w:rPr>
          <w:rFonts w:hint="cs"/>
          <w:sz w:val="24"/>
          <w:szCs w:val="24"/>
          <w:rtl/>
        </w:rPr>
        <w:t xml:space="preserve"> </w:t>
      </w:r>
      <w:r w:rsidR="00777DCB" w:rsidRPr="00A52585">
        <w:rPr>
          <w:rFonts w:hint="cs"/>
          <w:sz w:val="24"/>
          <w:szCs w:val="24"/>
          <w:rtl/>
        </w:rPr>
        <w:t>النبي) وبهذه الصيغة علمه على المنبر النبوي أبو بكر وعمر وابن الزبير ومعاوية واستقر عليه الإجماع كما يقول ابن حزم وابن تيمية</w:t>
      </w:r>
      <w:r w:rsidR="00DB731D" w:rsidRPr="00A52585">
        <w:rPr>
          <w:rFonts w:hint="cs"/>
          <w:sz w:val="24"/>
          <w:szCs w:val="24"/>
          <w:rtl/>
        </w:rPr>
        <w:t>،</w:t>
      </w:r>
      <w:r w:rsidR="00777DCB" w:rsidRPr="00A52585">
        <w:rPr>
          <w:rFonts w:hint="cs"/>
          <w:sz w:val="24"/>
          <w:szCs w:val="24"/>
          <w:rtl/>
        </w:rPr>
        <w:t xml:space="preserve"> والألباني لابتداعه خالف هذا كله وتمسك بقول ابن مسعود،</w:t>
      </w:r>
      <w:r w:rsidRPr="00A52585">
        <w:rPr>
          <w:rFonts w:hint="cs"/>
          <w:sz w:val="24"/>
          <w:szCs w:val="24"/>
          <w:rtl/>
        </w:rPr>
        <w:t xml:space="preserve"> </w:t>
      </w:r>
      <w:r w:rsidR="00777DCB" w:rsidRPr="00A52585">
        <w:rPr>
          <w:rFonts w:hint="cs"/>
          <w:sz w:val="24"/>
          <w:szCs w:val="24"/>
          <w:rtl/>
        </w:rPr>
        <w:t>(فلما مات قلنا السلام على النبي) ومخالفة التواتر والإجماع هي عين الابتداع مع أنه صح عن النبي صلى الله عليه وسلم أن أعمالنا تعرض عليه وثبت أن لله ملائكة سياحين في الأرض يبلغونه سلام أمته، وثبت بالتواتر والإجماع أن النبي صلى الله عليه وسلم حي في قبره وأن جسده الشريف لا يبلى فكيف يمتنع مع هذا نداؤه في التوسل به</w:t>
      </w:r>
      <w:r w:rsidR="00F95886" w:rsidRPr="00A52585">
        <w:rPr>
          <w:rFonts w:hint="cs"/>
          <w:sz w:val="24"/>
          <w:szCs w:val="24"/>
          <w:rtl/>
        </w:rPr>
        <w:t>؟</w:t>
      </w:r>
      <w:r w:rsidR="00777DCB" w:rsidRPr="00A52585">
        <w:rPr>
          <w:rFonts w:hint="cs"/>
          <w:sz w:val="24"/>
          <w:szCs w:val="24"/>
          <w:rtl/>
        </w:rPr>
        <w:t xml:space="preserve"> وهل هو إلا مثل ندائه في التشهد! "</w:t>
      </w:r>
      <w:r w:rsidRPr="00A52585">
        <w:rPr>
          <w:rFonts w:hint="cs"/>
          <w:sz w:val="24"/>
          <w:szCs w:val="24"/>
          <w:rtl/>
        </w:rPr>
        <w:t xml:space="preserve"> </w:t>
      </w:r>
      <w:r w:rsidR="00777DCB" w:rsidRPr="00A52585">
        <w:rPr>
          <w:rFonts w:hint="cs"/>
          <w:sz w:val="24"/>
          <w:szCs w:val="24"/>
          <w:rtl/>
        </w:rPr>
        <w:t>أهـ ص 19، 20</w:t>
      </w:r>
      <w:r w:rsidR="00DB731D" w:rsidRPr="00A52585">
        <w:rPr>
          <w:rFonts w:hint="cs"/>
          <w:sz w:val="24"/>
          <w:szCs w:val="24"/>
          <w:rtl/>
        </w:rPr>
        <w:t>،</w:t>
      </w:r>
      <w:r w:rsidR="00777DCB" w:rsidRPr="00A52585">
        <w:rPr>
          <w:rFonts w:hint="cs"/>
          <w:sz w:val="24"/>
          <w:szCs w:val="24"/>
          <w:rtl/>
        </w:rPr>
        <w:t xml:space="preserve"> وهذا الحديث هو الحديث الثالث في كتاب (رفع المنارة) انظره ص 122</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ويدل على ذلك أن عثمان بن حنيف راوي الحديث هو وغيره فَهِمُوا التعميم ولهذا استعمله هو وغيره بعد وفاة النبي صلى الله عليه وسلم كما</w:t>
      </w:r>
      <w:r w:rsidRPr="00A52585">
        <w:rPr>
          <w:rFonts w:hint="cs"/>
          <w:rtl/>
        </w:rPr>
        <w:t xml:space="preserve"> </w:t>
      </w:r>
      <w:r w:rsidR="00777DCB" w:rsidRPr="00A52585">
        <w:rPr>
          <w:rFonts w:hint="cs"/>
          <w:rtl/>
        </w:rPr>
        <w:t>رواه الطبراني في معجمه الكبير في ترجمة عثمان بن حنيف رضي الله عنه ذكره في أول الجزء الخمسين بسنده أن رجلاً كان يختلف إلى عثمان بن عفان رضي الله عنه في حاجة له فكان عثمان لا ينظر في حاجته فلقي الرجل عثمان بن حنيف رضي الله عنه وشكا إليه ذلك فقال له عثمان بن حنيف رضي الله عنه</w:t>
      </w:r>
      <w:r w:rsidRPr="00A52585">
        <w:rPr>
          <w:rFonts w:hint="cs"/>
          <w:rtl/>
        </w:rPr>
        <w:t>:</w:t>
      </w:r>
      <w:r w:rsidR="00777DCB" w:rsidRPr="00A52585">
        <w:rPr>
          <w:rFonts w:hint="cs"/>
          <w:rtl/>
        </w:rPr>
        <w:t xml:space="preserve"> ائت الميضأة فتوضأ ثم ائت المسجد فصل ركعتين ثم قل</w:t>
      </w:r>
      <w:r w:rsidRPr="00A52585">
        <w:rPr>
          <w:rFonts w:hint="cs"/>
          <w:rtl/>
        </w:rPr>
        <w:t>:</w:t>
      </w:r>
      <w:r w:rsidR="00777DCB" w:rsidRPr="00A52585">
        <w:rPr>
          <w:rFonts w:hint="cs"/>
          <w:rtl/>
        </w:rPr>
        <w:t xml:space="preserve"> اللهم أني أسألك وأتوجه إليك بنبينا محمد نبي الرحمة يا محمد إني أتوجه بك إلى ربي فتقضي حاجتي وتذكر حاجتك</w:t>
      </w:r>
      <w:r w:rsidR="00897A24" w:rsidRPr="00A52585">
        <w:rPr>
          <w:rFonts w:hint="cs"/>
          <w:rtl/>
        </w:rPr>
        <w:t>.</w:t>
      </w:r>
      <w:r w:rsidR="00777DCB" w:rsidRPr="00A52585">
        <w:rPr>
          <w:rFonts w:hint="cs"/>
          <w:rtl/>
        </w:rPr>
        <w:t xml:space="preserve"> ورُحْ حتى أروح معك فذهب الرجل وفعل ما قاله له عثمان بن حنيف رضي الله عنه</w:t>
      </w:r>
      <w:r w:rsidR="00DB731D" w:rsidRPr="00A52585">
        <w:rPr>
          <w:rFonts w:hint="cs"/>
          <w:rtl/>
        </w:rPr>
        <w:t>،</w:t>
      </w:r>
      <w:r w:rsidR="00777DCB" w:rsidRPr="00A52585">
        <w:rPr>
          <w:rFonts w:hint="cs"/>
          <w:rtl/>
        </w:rPr>
        <w:t xml:space="preserve"> ثم إن الرجل أتي إلى باب عثمان بن عفان رضي الله عنه فجاء البواب فأخذ بيده حتى أدخله إلى عثمان بن عفان رضي الله عنه فأجلسه معه على الطنفسة فقال</w:t>
      </w:r>
      <w:r w:rsidRPr="00A52585">
        <w:rPr>
          <w:rFonts w:hint="cs"/>
          <w:rtl/>
        </w:rPr>
        <w:t>:</w:t>
      </w:r>
      <w:r w:rsidR="00777DCB" w:rsidRPr="00A52585">
        <w:rPr>
          <w:rFonts w:hint="cs"/>
          <w:rtl/>
        </w:rPr>
        <w:t xml:space="preserve"> حاجتك فأعلمه بها فقضاها له. وقال</w:t>
      </w:r>
      <w:r w:rsidRPr="00A52585">
        <w:rPr>
          <w:rFonts w:hint="cs"/>
          <w:rtl/>
        </w:rPr>
        <w:t>:</w:t>
      </w:r>
      <w:r w:rsidR="00777DCB" w:rsidRPr="00A52585">
        <w:rPr>
          <w:rFonts w:hint="cs"/>
          <w:rtl/>
        </w:rPr>
        <w:t xml:space="preserve"> ما ذكرت حاجتك إلا الساعة. ثم قال عثمان بن عفان رضي الله عنه</w:t>
      </w:r>
      <w:r w:rsidRPr="00A52585">
        <w:rPr>
          <w:rFonts w:hint="cs"/>
          <w:rtl/>
        </w:rPr>
        <w:t>:</w:t>
      </w:r>
      <w:r w:rsidR="00777DCB" w:rsidRPr="00A52585">
        <w:rPr>
          <w:rFonts w:hint="cs"/>
          <w:rtl/>
        </w:rPr>
        <w:t xml:space="preserve"> ما كان لك من حاجة فاذكرها</w:t>
      </w:r>
      <w:r w:rsidR="00DB731D" w:rsidRPr="00A52585">
        <w:rPr>
          <w:rFonts w:hint="cs"/>
          <w:rtl/>
        </w:rPr>
        <w:t>،</w:t>
      </w:r>
      <w:r w:rsidR="00777DCB" w:rsidRPr="00A52585">
        <w:rPr>
          <w:rFonts w:hint="cs"/>
          <w:rtl/>
        </w:rPr>
        <w:t xml:space="preserve"> ثم إن الرجل خرج من عند عثمان بن عفان رضي الله عنه فلقي عثمان بن حنيف رضي الله عنه فقال له</w:t>
      </w:r>
      <w:r w:rsidRPr="00A52585">
        <w:rPr>
          <w:rFonts w:hint="cs"/>
          <w:rtl/>
        </w:rPr>
        <w:t>:</w:t>
      </w:r>
      <w:r w:rsidR="00777DCB" w:rsidRPr="00A52585">
        <w:rPr>
          <w:rFonts w:hint="cs"/>
          <w:rtl/>
        </w:rPr>
        <w:t xml:space="preserve"> جزاك الله تعالى خيراً</w:t>
      </w:r>
      <w:r w:rsidR="00777DCB" w:rsidRPr="00A52585">
        <w:rPr>
          <w:rFonts w:hint="cs"/>
          <w:vertAlign w:val="superscript"/>
          <w:rtl/>
        </w:rPr>
        <w:t xml:space="preserve"> </w:t>
      </w:r>
      <w:r w:rsidR="00777DCB" w:rsidRPr="00A52585">
        <w:rPr>
          <w:rFonts w:hint="cs"/>
          <w:rtl/>
        </w:rPr>
        <w:t>أما إنه ما كان ينظر في حاجتي ولا يتلفت إلي حتى كلمته فيَّ فقال عثمان بن حنيف رضي الله عنه ما كلمته فيك ولكن شهدت رسول الله صلى الله عليه وسلم أتاه ضرير فشكى إليه ذهاب بصره فقال له عليه الصلاة والسلام أو تصبر فقال يا رسول الله إنه ليس لي قائد وقد شق علي فقال له عليه الصلاة والسلام</w:t>
      </w:r>
      <w:r w:rsidRPr="00A52585">
        <w:rPr>
          <w:rFonts w:hint="cs"/>
          <w:rtl/>
        </w:rPr>
        <w:t>:</w:t>
      </w:r>
      <w:r w:rsidR="00777DCB" w:rsidRPr="00A52585">
        <w:rPr>
          <w:rFonts w:hint="cs"/>
          <w:rtl/>
        </w:rPr>
        <w:t xml:space="preserve"> ائت الميضأة فتوضأ ثم صل ركعتين ثم ادع بهذه الدعوات. قال عثمان بن حنيف</w:t>
      </w:r>
      <w:r w:rsidRPr="00A52585">
        <w:rPr>
          <w:rFonts w:hint="cs"/>
          <w:rtl/>
        </w:rPr>
        <w:t>:</w:t>
      </w:r>
      <w:r w:rsidR="00777DCB" w:rsidRPr="00A52585">
        <w:rPr>
          <w:rFonts w:hint="cs"/>
          <w:rtl/>
        </w:rPr>
        <w:t xml:space="preserve"> فوالله ما تفرقنا ولا طال الزمان حتى دخل علينا الرجل كأنه لم يكن به ضر قط ورواه البيهقي بإسناده من طريقين</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السيد عبد الله الغماري في كتابه (إتحاف الأذكياء) بعد أن ذكر رواية الطبراني والبيهقي لهذه القصة</w:t>
      </w:r>
      <w:r w:rsidRPr="00A52585">
        <w:rPr>
          <w:rFonts w:hint="cs"/>
          <w:sz w:val="24"/>
          <w:szCs w:val="24"/>
          <w:rtl/>
        </w:rPr>
        <w:t xml:space="preserve">: </w:t>
      </w:r>
      <w:r w:rsidR="00777DCB" w:rsidRPr="00A52585">
        <w:rPr>
          <w:rFonts w:hint="cs"/>
          <w:sz w:val="24"/>
          <w:szCs w:val="24"/>
          <w:rtl/>
        </w:rPr>
        <w:t xml:space="preserve">"وهذه القصة صحيحة صححها الطبراني ونقل تصحيحه الحافظ المنذري في </w:t>
      </w:r>
      <w:r w:rsidR="00777DCB" w:rsidRPr="00A52585">
        <w:rPr>
          <w:rFonts w:hint="cs"/>
          <w:sz w:val="24"/>
          <w:szCs w:val="24"/>
          <w:rtl/>
        </w:rPr>
        <w:lastRenderedPageBreak/>
        <w:t>الترغيب والحافظ الهيثمي في مجمع الزوائد وأقرّاه عليه "</w:t>
      </w:r>
      <w:r w:rsidRPr="00A52585">
        <w:rPr>
          <w:rFonts w:hint="cs"/>
          <w:sz w:val="24"/>
          <w:szCs w:val="24"/>
          <w:rtl/>
        </w:rPr>
        <w:t xml:space="preserve"> </w:t>
      </w:r>
      <w:r w:rsidR="00777DCB" w:rsidRPr="00A52585">
        <w:rPr>
          <w:rFonts w:hint="cs"/>
          <w:sz w:val="24"/>
          <w:szCs w:val="24"/>
          <w:rtl/>
        </w:rPr>
        <w:t xml:space="preserve">أهـ ص 39 وقد حاول بعض أذناب ابن تيمية تضعيف هذه القصة متبعين أسلوب الغش والخيانة- كدأبهم دائماً – وتحريف </w:t>
      </w:r>
      <w:proofErr w:type="spellStart"/>
      <w:r w:rsidR="00777DCB" w:rsidRPr="00A52585">
        <w:rPr>
          <w:rFonts w:hint="cs"/>
          <w:sz w:val="24"/>
          <w:szCs w:val="24"/>
          <w:rtl/>
        </w:rPr>
        <w:t>النقول</w:t>
      </w:r>
      <w:proofErr w:type="spellEnd"/>
      <w:r w:rsidR="00777DCB" w:rsidRPr="00A52585">
        <w:rPr>
          <w:rFonts w:hint="cs"/>
          <w:sz w:val="24"/>
          <w:szCs w:val="24"/>
          <w:rtl/>
        </w:rPr>
        <w:t xml:space="preserve"> للطعن في سند هذه القصة بتضعيف أحد رجال هذا السند وهو</w:t>
      </w:r>
      <w:r w:rsidRPr="00A52585">
        <w:rPr>
          <w:rFonts w:hint="cs"/>
          <w:sz w:val="24"/>
          <w:szCs w:val="24"/>
          <w:rtl/>
        </w:rPr>
        <w:t>:</w:t>
      </w:r>
      <w:r w:rsidR="00777DCB" w:rsidRPr="00A52585">
        <w:rPr>
          <w:rFonts w:hint="cs"/>
          <w:sz w:val="24"/>
          <w:szCs w:val="24"/>
          <w:rtl/>
        </w:rPr>
        <w:t xml:space="preserve"> شبيب بن سعيد التميمي </w:t>
      </w:r>
      <w:proofErr w:type="spellStart"/>
      <w:r w:rsidR="00777DCB" w:rsidRPr="00A52585">
        <w:rPr>
          <w:rFonts w:hint="cs"/>
          <w:sz w:val="24"/>
          <w:szCs w:val="24"/>
          <w:rtl/>
        </w:rPr>
        <w:t>الحبطي</w:t>
      </w:r>
      <w:proofErr w:type="spellEnd"/>
      <w:r w:rsidR="00777DCB" w:rsidRPr="00A52585">
        <w:rPr>
          <w:rFonts w:hint="cs"/>
          <w:sz w:val="24"/>
          <w:szCs w:val="24"/>
          <w:rtl/>
        </w:rPr>
        <w:t xml:space="preserve"> من رجال البخاري روى عنه في الصحيح وفي الأدب المفرد فتصدى لهم السيد عبد الله الغماري وبين توثيق الأئمة له وأن كلام ابن عدى فيه إنما هو على نسخة الزهري عن شبيب فقط ولم يقصد جميع رواياته ثم رد على شبهتهم الثانية وهي أن بعض الرواة لم يذكر القصة فقال</w:t>
      </w:r>
      <w:r w:rsidRPr="00A52585">
        <w:rPr>
          <w:rFonts w:hint="cs"/>
          <w:sz w:val="24"/>
          <w:szCs w:val="24"/>
          <w:rtl/>
        </w:rPr>
        <w:t xml:space="preserve">: </w:t>
      </w:r>
      <w:r w:rsidR="00777DCB" w:rsidRPr="00A52585">
        <w:rPr>
          <w:rFonts w:hint="cs"/>
          <w:sz w:val="24"/>
          <w:szCs w:val="24"/>
          <w:rtl/>
        </w:rPr>
        <w:t>" ودعواه ضعف القصة بالاختلاف فيها حيث لم يذكرها بعض الرواة عند ابن السني والحاكم لون آخر من التدليس، لأن من المعلوم عند أهل العلم أن بعض الرواة يروي الحديث وما يتصل به كاملاً وبعضهم يختصر منه بحسب الحاجة والبخاري يفعل هذا أيضاً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نقل توثيق الحاكم لهذه الزيادة – القصة – ثم قال</w:t>
      </w:r>
      <w:r w:rsidRPr="00A52585">
        <w:rPr>
          <w:rFonts w:hint="cs"/>
          <w:sz w:val="24"/>
          <w:szCs w:val="24"/>
          <w:rtl/>
        </w:rPr>
        <w:t xml:space="preserve">: </w:t>
      </w:r>
      <w:r w:rsidR="00777DCB" w:rsidRPr="00A52585">
        <w:rPr>
          <w:rFonts w:hint="cs"/>
          <w:sz w:val="24"/>
          <w:szCs w:val="24"/>
          <w:rtl/>
        </w:rPr>
        <w:t xml:space="preserve">"وهو يؤكد ما تقرر عند علماء الحديث والأصول أن زيادة الثقة مقبولة وأن من حفظ حجة على من لم يحفظ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 تعليقا على القيمة العلمية لهذه القصة</w:t>
      </w:r>
      <w:r w:rsidRPr="00A52585">
        <w:rPr>
          <w:rFonts w:hint="cs"/>
          <w:sz w:val="24"/>
          <w:szCs w:val="24"/>
          <w:rtl/>
        </w:rPr>
        <w:t xml:space="preserve">: </w:t>
      </w:r>
      <w:r w:rsidR="00777DCB" w:rsidRPr="00A52585">
        <w:rPr>
          <w:rFonts w:hint="cs"/>
          <w:sz w:val="24"/>
          <w:szCs w:val="24"/>
          <w:rtl/>
        </w:rPr>
        <w:t>" تبين مما أوردناه وحققناه في كشف تدليس الألباني وغشه أن القصة</w:t>
      </w:r>
      <w:r w:rsidRPr="00A52585">
        <w:rPr>
          <w:rFonts w:hint="cs"/>
          <w:sz w:val="24"/>
          <w:szCs w:val="24"/>
          <w:rtl/>
        </w:rPr>
        <w:t>:</w:t>
      </w:r>
      <w:r w:rsidR="00777DCB" w:rsidRPr="00A52585">
        <w:rPr>
          <w:rFonts w:hint="cs"/>
          <w:sz w:val="24"/>
          <w:szCs w:val="24"/>
          <w:rtl/>
        </w:rPr>
        <w:t xml:space="preserve"> صحيحة جداً رغم محاولاته </w:t>
      </w:r>
      <w:proofErr w:type="spellStart"/>
      <w:r w:rsidR="00777DCB" w:rsidRPr="00A52585">
        <w:rPr>
          <w:rFonts w:hint="cs"/>
          <w:sz w:val="24"/>
          <w:szCs w:val="24"/>
          <w:rtl/>
        </w:rPr>
        <w:t>وتدليساته</w:t>
      </w:r>
      <w:proofErr w:type="spellEnd"/>
      <w:r w:rsidR="00777DCB" w:rsidRPr="00A52585">
        <w:rPr>
          <w:rFonts w:hint="cs"/>
          <w:sz w:val="24"/>
          <w:szCs w:val="24"/>
          <w:rtl/>
        </w:rPr>
        <w:t xml:space="preserve"> وهي تفيد جواز التوسل بالنبي صلى الله عليه وسلم بعد انتقاله، لأن الصحابي راوي الحديث فهم ذلك وفهم الراوي له قيمته العلمية وله وزنه في مجال الاستنباط وإنما قلنا إن القصة من فهم الصحابي على سبيل </w:t>
      </w:r>
      <w:proofErr w:type="spellStart"/>
      <w:r w:rsidR="00777DCB" w:rsidRPr="00A52585">
        <w:rPr>
          <w:rFonts w:hint="cs"/>
          <w:sz w:val="24"/>
          <w:szCs w:val="24"/>
          <w:rtl/>
        </w:rPr>
        <w:t>التنزل</w:t>
      </w:r>
      <w:proofErr w:type="spellEnd"/>
      <w:r w:rsidR="00777DCB" w:rsidRPr="00A52585">
        <w:rPr>
          <w:rFonts w:hint="cs"/>
          <w:sz w:val="24"/>
          <w:szCs w:val="24"/>
          <w:rtl/>
        </w:rPr>
        <w:t>، والحقيقة أن ما فعله عثمان بن حنيف من إرشاده الرجل إلى التوسل كان تنفيذاً لما سمعه من النبي صلى الله عليه وسلم كما ثبت في حديث الضرير "</w:t>
      </w:r>
      <w:r w:rsidRPr="00A52585">
        <w:rPr>
          <w:rFonts w:hint="cs"/>
          <w:sz w:val="24"/>
          <w:szCs w:val="24"/>
          <w:rtl/>
        </w:rPr>
        <w:t xml:space="preserve"> </w:t>
      </w:r>
      <w:r w:rsidR="00777DCB" w:rsidRPr="00A52585">
        <w:rPr>
          <w:rFonts w:hint="cs"/>
          <w:sz w:val="24"/>
          <w:szCs w:val="24"/>
          <w:rtl/>
        </w:rPr>
        <w:t>ثم ذكر رواية ابن أبي خيثمة في تاريخه بسنده</w:t>
      </w:r>
      <w:r w:rsidRPr="00A52585">
        <w:rPr>
          <w:rFonts w:hint="cs"/>
          <w:sz w:val="24"/>
          <w:szCs w:val="24"/>
          <w:rtl/>
        </w:rPr>
        <w:t xml:space="preserve"> </w:t>
      </w:r>
      <w:r w:rsidR="00777DCB" w:rsidRPr="00A52585">
        <w:rPr>
          <w:rFonts w:hint="cs"/>
          <w:sz w:val="24"/>
          <w:szCs w:val="24"/>
          <w:rtl/>
        </w:rPr>
        <w:t>" (</w:t>
      </w:r>
      <w:r w:rsidR="00777DCB" w:rsidRPr="00A52585">
        <w:rPr>
          <w:sz w:val="24"/>
          <w:szCs w:val="24"/>
        </w:rPr>
        <w:t>…</w:t>
      </w:r>
      <w:r w:rsidR="00777DCB" w:rsidRPr="00A52585">
        <w:rPr>
          <w:rFonts w:hint="cs"/>
          <w:sz w:val="24"/>
          <w:szCs w:val="24"/>
          <w:rtl/>
        </w:rPr>
        <w:t xml:space="preserve"> وإن كانت حاجة فافعل مثل ذلك) إسناده صحيح، والجملة الأخيرة من الحديث تصرح بإذن النبي صلى الله عليه وسلم في التوسل به عند عروض حاجة تقتضيه "</w:t>
      </w:r>
      <w:r w:rsidRPr="00A52585">
        <w:rPr>
          <w:rFonts w:hint="cs"/>
          <w:sz w:val="24"/>
          <w:szCs w:val="24"/>
          <w:rtl/>
        </w:rPr>
        <w:t xml:space="preserve"> </w:t>
      </w:r>
      <w:r w:rsidR="00777DCB" w:rsidRPr="00A52585">
        <w:rPr>
          <w:rFonts w:hint="cs"/>
          <w:sz w:val="24"/>
          <w:szCs w:val="24"/>
          <w:rtl/>
        </w:rPr>
        <w:t>أهـ من كتاب (إرغام المبتدع الغبي</w:t>
      </w:r>
      <w:r w:rsidRPr="00A52585">
        <w:rPr>
          <w:rFonts w:hint="cs"/>
          <w:sz w:val="24"/>
          <w:szCs w:val="24"/>
          <w:rtl/>
        </w:rPr>
        <w:t>)</w:t>
      </w:r>
      <w:r w:rsidR="00777DCB" w:rsidRPr="00A52585">
        <w:rPr>
          <w:rFonts w:hint="cs"/>
          <w:sz w:val="24"/>
          <w:szCs w:val="24"/>
          <w:rtl/>
        </w:rPr>
        <w:t xml:space="preserve"> ص 15 – 17</w:t>
      </w:r>
      <w:r w:rsidR="00DB731D" w:rsidRPr="00A52585">
        <w:rPr>
          <w:rFonts w:hint="cs"/>
          <w:sz w:val="24"/>
          <w:szCs w:val="24"/>
          <w:rtl/>
        </w:rPr>
        <w:t>،</w:t>
      </w:r>
      <w:r w:rsidR="00777DCB" w:rsidRPr="00A52585">
        <w:rPr>
          <w:rFonts w:hint="cs"/>
          <w:sz w:val="24"/>
          <w:szCs w:val="24"/>
          <w:rtl/>
        </w:rPr>
        <w:t xml:space="preserve"> انظر (رفع المنارة) الحديث الثالث ص 122 فما بعدها</w:t>
      </w:r>
      <w:r w:rsidRPr="00A52585">
        <w:rPr>
          <w:rFonts w:hint="cs"/>
          <w:sz w:val="24"/>
          <w:szCs w:val="24"/>
          <w:rtl/>
        </w:rPr>
        <w:t>]</w:t>
      </w:r>
      <w:r w:rsidR="00DB731D" w:rsidRPr="00A52585">
        <w:rPr>
          <w:rFonts w:hint="cs"/>
          <w:sz w:val="24"/>
          <w:szCs w:val="24"/>
          <w:rtl/>
        </w:rPr>
        <w:t>،</w:t>
      </w:r>
      <w:r w:rsidR="00777DCB" w:rsidRPr="00A52585">
        <w:rPr>
          <w:rFonts w:hint="cs"/>
          <w:rtl/>
        </w:rPr>
        <w:t xml:space="preserve"> فهذا من أوضح الأدلة على الاحتجاج بالتوسل بالنبي صلى الله عليه وسلم بعد وفاته كحياته لفعل عثمان راوي الحديث ولفعل غيره في حياته وبعد وفاته وهم أعلم بالله عز وجل وبرسوله صلى الله عليه وسلم من غيرهم وإليهم ترجع الأمور في القضايا التي شاهدوها في زمنه وأخذوها عنه رضي الله عنهم ومن عدل عن ذلك فقد أفهم عن نفسه أن عنده ضغينة لهم وهذا من الواضحات الجليات التي لا ينكرها إلا صاحب دسيسة </w:t>
      </w:r>
      <w:proofErr w:type="spellStart"/>
      <w:r w:rsidR="00777DCB" w:rsidRPr="00A52585">
        <w:rPr>
          <w:rFonts w:hint="cs"/>
          <w:rtl/>
        </w:rPr>
        <w:t>أعاذنا</w:t>
      </w:r>
      <w:proofErr w:type="spellEnd"/>
      <w:r w:rsidR="00777DCB" w:rsidRPr="00A52585">
        <w:rPr>
          <w:rFonts w:hint="cs"/>
          <w:rtl/>
        </w:rPr>
        <w:t xml:space="preserve"> الله تعالى من ذلك</w:t>
      </w:r>
      <w:r w:rsidR="00DB731D" w:rsidRPr="00A52585">
        <w:rPr>
          <w:rFonts w:hint="cs"/>
          <w:rtl/>
        </w:rPr>
        <w:t>،</w:t>
      </w:r>
      <w:r w:rsidR="00777DCB" w:rsidRPr="00A52585">
        <w:rPr>
          <w:rFonts w:hint="cs"/>
          <w:rtl/>
        </w:rPr>
        <w:t xml:space="preserve"> </w:t>
      </w:r>
    </w:p>
    <w:p w14:paraId="04C10D09" w14:textId="2D22E652" w:rsidR="00777DCB" w:rsidRPr="00A52585" w:rsidRDefault="0002035C" w:rsidP="0002035C">
      <w:pPr>
        <w:spacing w:after="240"/>
        <w:rPr>
          <w:b/>
          <w:bCs/>
          <w:rtl/>
        </w:rPr>
      </w:pPr>
      <w:r w:rsidRPr="00A52585">
        <w:rPr>
          <w:rFonts w:hint="cs"/>
          <w:bCs/>
          <w:rtl/>
        </w:rPr>
        <w:t>[</w:t>
      </w:r>
      <w:r w:rsidR="00777DCB" w:rsidRPr="00A52585">
        <w:rPr>
          <w:rFonts w:hint="cs"/>
          <w:bCs/>
          <w:rtl/>
        </w:rPr>
        <w:t>ز- الحث على تعظيم النبي صلى الله عليه وسلم وتوقيره والصلاة عليه</w:t>
      </w:r>
      <w:r w:rsidRPr="00A52585">
        <w:rPr>
          <w:rFonts w:hint="cs"/>
          <w:bCs/>
          <w:rtl/>
        </w:rPr>
        <w:t>]:</w:t>
      </w:r>
      <w:r w:rsidR="00777DCB" w:rsidRPr="00A52585">
        <w:rPr>
          <w:rFonts w:hint="cs"/>
          <w:bCs/>
          <w:rtl/>
        </w:rPr>
        <w:t xml:space="preserve"> </w:t>
      </w:r>
      <w:r w:rsidR="00777DCB" w:rsidRPr="00A52585">
        <w:rPr>
          <w:rFonts w:hint="cs"/>
          <w:rtl/>
        </w:rPr>
        <w:t xml:space="preserve">وقال القاضي عياض في أشهر كتبه </w:t>
      </w:r>
      <w:proofErr w:type="spellStart"/>
      <w:r w:rsidR="00777DCB" w:rsidRPr="00A52585">
        <w:rPr>
          <w:rFonts w:hint="cs"/>
          <w:rtl/>
        </w:rPr>
        <w:t>المتداوله</w:t>
      </w:r>
      <w:proofErr w:type="spellEnd"/>
      <w:r w:rsidR="00777DCB" w:rsidRPr="00A52585">
        <w:rPr>
          <w:rFonts w:hint="cs"/>
          <w:rtl/>
        </w:rPr>
        <w:t xml:space="preserve"> بين الناس وهو الشفاء</w:t>
      </w:r>
      <w:r w:rsidRPr="00A52585">
        <w:rPr>
          <w:rFonts w:hint="cs"/>
          <w:rtl/>
        </w:rPr>
        <w:t>:</w:t>
      </w:r>
      <w:r w:rsidR="00777DCB" w:rsidRPr="00A52585">
        <w:rPr>
          <w:rFonts w:hint="cs"/>
          <w:rtl/>
        </w:rPr>
        <w:t xml:space="preserve"> " الفصل الثاني في حرمته بعد وفاته</w:t>
      </w:r>
      <w:r w:rsidR="00DB731D" w:rsidRPr="00A52585">
        <w:rPr>
          <w:rFonts w:hint="cs"/>
          <w:rtl/>
        </w:rPr>
        <w:t>،</w:t>
      </w:r>
      <w:r w:rsidR="00777DCB" w:rsidRPr="00A52585">
        <w:rPr>
          <w:rFonts w:hint="cs"/>
          <w:rtl/>
        </w:rPr>
        <w:t xml:space="preserve"> وأما حرمة النبي صلى الله عليه وسلم بعد وفاته وتوقيره وتعظيمه فهو لازم كما كان في حياته وذلك عند ذكره عليه الصلاة والسلام وذكر حديثه وسنته وسماع اسمه وسيرته ومعاملة </w:t>
      </w:r>
      <w:proofErr w:type="spellStart"/>
      <w:r w:rsidR="00777DCB" w:rsidRPr="00A52585">
        <w:rPr>
          <w:rFonts w:hint="cs"/>
          <w:rtl/>
        </w:rPr>
        <w:t>آله</w:t>
      </w:r>
      <w:proofErr w:type="spellEnd"/>
      <w:r w:rsidR="00777DCB" w:rsidRPr="00A52585">
        <w:rPr>
          <w:rFonts w:hint="cs"/>
          <w:rtl/>
        </w:rPr>
        <w:t xml:space="preserve"> وتعظيم أهل بيته وصحابته واجب على كل مؤمن متى ذكر عنده أن يخضع ويخشع </w:t>
      </w:r>
      <w:proofErr w:type="spellStart"/>
      <w:r w:rsidR="00777DCB" w:rsidRPr="00A52585">
        <w:rPr>
          <w:rFonts w:hint="cs"/>
          <w:rtl/>
        </w:rPr>
        <w:t>ويتوقر</w:t>
      </w:r>
      <w:proofErr w:type="spellEnd"/>
      <w:r w:rsidR="00777DCB" w:rsidRPr="00A52585">
        <w:rPr>
          <w:rFonts w:hint="cs"/>
          <w:rtl/>
        </w:rPr>
        <w:t xml:space="preserve"> ويسكن من حركته فيأخذ في هيبته وإجلاله بما كان يأخذ بعينه لو كان بين يديه ويتأدب بما أدبنا الله عز وجل به</w:t>
      </w:r>
      <w:r w:rsidR="00DB731D" w:rsidRPr="00A52585">
        <w:rPr>
          <w:rFonts w:hint="cs"/>
          <w:rtl/>
        </w:rPr>
        <w:t>،</w:t>
      </w:r>
      <w:r w:rsidR="00777DCB" w:rsidRPr="00A52585">
        <w:rPr>
          <w:rFonts w:hint="cs"/>
          <w:rtl/>
        </w:rPr>
        <w:t xml:space="preserve"> وقال ابن حبيب إذا </w:t>
      </w:r>
      <w:r w:rsidR="00777DCB" w:rsidRPr="00A52585">
        <w:rPr>
          <w:rFonts w:hint="cs"/>
          <w:rtl/>
        </w:rPr>
        <w:lastRenderedPageBreak/>
        <w:t>دخلت مسجد رسول الله فصل ركعتين بين الروضة والمنبر ثم اقصد القبر من وجاه القبلة وادن منه ثم سلم على رسول الله صلى الله عليه وسلم واثن عليه وعليك السكينة والوقار فإنه عليه الصلاة والسلام يُسَلِّم ويعلم وقوفك بين يديه</w:t>
      </w:r>
      <w:r w:rsidR="00DB731D" w:rsidRPr="00A52585">
        <w:rPr>
          <w:rFonts w:hint="cs"/>
          <w:rtl/>
        </w:rPr>
        <w:t>،</w:t>
      </w:r>
      <w:r w:rsidR="00777DCB" w:rsidRPr="00A52585">
        <w:rPr>
          <w:rFonts w:hint="cs"/>
          <w:rtl/>
        </w:rPr>
        <w:t xml:space="preserve"> وكذا قاله غيره من الأئمة قال الحافظ أبو الفرج بن الجوزي</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أما زيارة قبره عليه الصلاة والسلام فأحضر قلبك لتعظيمه والهيبة وأحضر عظيم رتبته في قلبك واعلم أنه عالم بحضورك وتسليمك)</w:t>
      </w:r>
      <w:r w:rsidR="00DB731D" w:rsidRPr="00A52585">
        <w:rPr>
          <w:rFonts w:hint="cs"/>
          <w:rtl/>
        </w:rPr>
        <w:t>،</w:t>
      </w:r>
      <w:r w:rsidR="00777DCB" w:rsidRPr="00A52585">
        <w:rPr>
          <w:rFonts w:hint="cs"/>
          <w:rtl/>
        </w:rPr>
        <w:t xml:space="preserve"> وهذا الذي قالاه معروف مشهور لأن الصحابة رضي الله عنهم كانوا يغضون أصواتهم في مسجده تعظيماً له وتوقيراً</w:t>
      </w:r>
      <w:r w:rsidR="00DB731D" w:rsidRPr="00A52585">
        <w:rPr>
          <w:rFonts w:hint="cs"/>
          <w:rtl/>
        </w:rPr>
        <w:t>،</w:t>
      </w:r>
      <w:r w:rsidR="00777DCB" w:rsidRPr="00A52585">
        <w:rPr>
          <w:rFonts w:hint="cs"/>
          <w:rtl/>
        </w:rPr>
        <w:t xml:space="preserve"> وفي البخاري أن عمر رضي الله عنه قال لرجلين من أهل الطائف</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لو كنتما من أهل البلد لأوجعتكما</w:t>
      </w:r>
      <w:r w:rsidR="00DB731D" w:rsidRPr="00A52585">
        <w:rPr>
          <w:rFonts w:hint="cs"/>
          <w:rtl/>
        </w:rPr>
        <w:t>،</w:t>
      </w:r>
      <w:r w:rsidR="00777DCB" w:rsidRPr="00A52585">
        <w:rPr>
          <w:rFonts w:hint="cs"/>
          <w:rtl/>
        </w:rPr>
        <w:t xml:space="preserve"> ترفعان أصواتكما في مسجد رسول الله صلى الله عليه وسلم</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كتاب الصلاة – باب رفع الصوت في المساجد</w:t>
      </w:r>
      <w:r w:rsidRPr="00A52585">
        <w:rPr>
          <w:rFonts w:hint="cs"/>
          <w:sz w:val="24"/>
          <w:szCs w:val="24"/>
          <w:rtl/>
        </w:rPr>
        <w:t>]</w:t>
      </w:r>
      <w:r w:rsidR="00DB731D" w:rsidRPr="00A52585">
        <w:rPr>
          <w:rFonts w:hint="cs"/>
          <w:rtl/>
        </w:rPr>
        <w:t>،</w:t>
      </w:r>
      <w:r w:rsidR="00777DCB" w:rsidRPr="00A52585">
        <w:rPr>
          <w:rFonts w:hint="cs"/>
          <w:rtl/>
        </w:rPr>
        <w:t xml:space="preserve"> وكانت عائشة رضي الله عنها إذا سمعت دق الوتد أو المسمار يضرب في بعض الدور </w:t>
      </w:r>
      <w:proofErr w:type="spellStart"/>
      <w:r w:rsidR="00777DCB" w:rsidRPr="00A52585">
        <w:rPr>
          <w:rFonts w:hint="cs"/>
          <w:rtl/>
        </w:rPr>
        <w:t>المطنبة</w:t>
      </w:r>
      <w:proofErr w:type="spellEnd"/>
      <w:r w:rsidR="00777DCB" w:rsidRPr="00A52585">
        <w:rPr>
          <w:rFonts w:hint="cs"/>
          <w:rtl/>
        </w:rPr>
        <w:t xml:space="preserve"> لمسجد رسول الله صلى الله عليه وسلم ترسل إليهم لا تؤذوا رسول الله صلى الله عليه وسلم</w:t>
      </w:r>
      <w:r w:rsidR="00DB731D" w:rsidRPr="00A52585">
        <w:rPr>
          <w:rFonts w:hint="cs"/>
          <w:rtl/>
        </w:rPr>
        <w:t>،</w:t>
      </w:r>
      <w:r w:rsidR="00777DCB" w:rsidRPr="00A52585">
        <w:rPr>
          <w:rFonts w:hint="cs"/>
          <w:rtl/>
        </w:rPr>
        <w:t xml:space="preserve"> وروي أن علياً رضي الله عنه لما عمل مصراعي داره ما عملهما إلا بالمناصع توقيا لذلك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المناصع</w:t>
      </w:r>
      <w:r w:rsidRPr="00A52585">
        <w:rPr>
          <w:rFonts w:hint="cs"/>
          <w:sz w:val="24"/>
          <w:szCs w:val="24"/>
          <w:rtl/>
        </w:rPr>
        <w:t>:</w:t>
      </w:r>
      <w:r w:rsidR="00777DCB" w:rsidRPr="00A52585">
        <w:rPr>
          <w:rFonts w:hint="cs"/>
          <w:sz w:val="24"/>
          <w:szCs w:val="24"/>
          <w:rtl/>
        </w:rPr>
        <w:t xml:space="preserve"> موضع خارجة المدينة، وخبر الإمام علي والسيدة عائشة رضي الله عنهما رواه الحافظ أبن النجار بسنده من طريق الحافظ أبي نعيم انظر (الدرة الثمينة في تاريخ المدينة) للحافظ ابن النجار ص 205</w:t>
      </w:r>
      <w:r w:rsidRPr="00A52585">
        <w:rPr>
          <w:rFonts w:hint="cs"/>
          <w:sz w:val="24"/>
          <w:szCs w:val="24"/>
          <w:rtl/>
        </w:rPr>
        <w:t>]</w:t>
      </w:r>
      <w:r w:rsidR="00DB731D" w:rsidRPr="00A52585">
        <w:rPr>
          <w:rFonts w:hint="cs"/>
          <w:rtl/>
        </w:rPr>
        <w:t>،</w:t>
      </w:r>
      <w:r w:rsidR="00777DCB" w:rsidRPr="00A52585">
        <w:rPr>
          <w:rFonts w:hint="cs"/>
          <w:rtl/>
        </w:rPr>
        <w:t xml:space="preserve"> والآثار بمثل ذلك كثيرة جداً. وكذا الأخبار بعروض الصلاة عليه</w:t>
      </w:r>
      <w:r w:rsidR="00DB731D" w:rsidRPr="00A52585">
        <w:rPr>
          <w:rFonts w:hint="cs"/>
          <w:rtl/>
        </w:rPr>
        <w:t>،</w:t>
      </w:r>
      <w:r w:rsidR="00777DCB" w:rsidRPr="00A52585">
        <w:rPr>
          <w:rFonts w:hint="cs"/>
          <w:rtl/>
        </w:rPr>
        <w:t xml:space="preserve"> وكذا برد روحه الشريف العظيمة الكريمة على الله عز وجل وإذا ثبت ردها ثبتت حياته وإذا ثبتت حياته وجب القطع بصحة التوسل به</w:t>
      </w:r>
      <w:r w:rsidR="00DB731D" w:rsidRPr="00A52585">
        <w:rPr>
          <w:rFonts w:hint="cs"/>
          <w:rtl/>
        </w:rPr>
        <w:t>،</w:t>
      </w:r>
      <w:r w:rsidR="00777DCB" w:rsidRPr="00A52585">
        <w:rPr>
          <w:rFonts w:hint="cs"/>
          <w:rtl/>
        </w:rPr>
        <w:t xml:space="preserve"> في ابن ماجه من حديث أبي الدرداء رضي الله عنه أنه عليه الصلاة والسلام قال (أكثروا عليّ من الصلاة يوم الجمعة فإنها مشهودة تشهده الملائكة</w:t>
      </w:r>
      <w:r w:rsidR="00DB731D" w:rsidRPr="00A52585">
        <w:rPr>
          <w:rFonts w:hint="cs"/>
          <w:rtl/>
        </w:rPr>
        <w:t>،</w:t>
      </w:r>
      <w:r w:rsidR="00777DCB" w:rsidRPr="00A52585">
        <w:rPr>
          <w:rFonts w:hint="cs"/>
          <w:rtl/>
        </w:rPr>
        <w:t xml:space="preserve"> وإن أحداً لن يصلي علي إلا عرضت على صلاته حتى يفرغ منها). قال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يا رسول الله وبعد الموت قال</w:t>
      </w:r>
      <w:r w:rsidRPr="00A52585">
        <w:rPr>
          <w:rFonts w:hint="cs"/>
          <w:rtl/>
        </w:rPr>
        <w:t>:</w:t>
      </w:r>
      <w:r w:rsidR="00777DCB" w:rsidRPr="00A52585">
        <w:rPr>
          <w:rFonts w:hint="cs"/>
          <w:rtl/>
        </w:rPr>
        <w:t xml:space="preserve"> (وبعد الموت فإن الله حرم على الأرض أن تأكل أجساد الأنبياء فنبي الله حيّ يرزق)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سنن ابن ماجة</w:t>
      </w:r>
      <w:r w:rsidRPr="00A52585">
        <w:rPr>
          <w:rFonts w:hint="cs"/>
          <w:sz w:val="24"/>
          <w:szCs w:val="24"/>
          <w:rtl/>
        </w:rPr>
        <w:t>:</w:t>
      </w:r>
      <w:r w:rsidR="00777DCB" w:rsidRPr="00A52585">
        <w:rPr>
          <w:rFonts w:hint="cs"/>
          <w:sz w:val="24"/>
          <w:szCs w:val="24"/>
          <w:rtl/>
        </w:rPr>
        <w:t xml:space="preserve"> كتاب الجنائز- باب ذكر وفاته ودفنه صلى الله عليه وسلم حديث رقم (1637) وحسَّنه الحافظ السيوطي في الجامع الصغير، قال السيد عبد الله الغماري في كتابه(نهاية الآمال)</w:t>
      </w:r>
      <w:r w:rsidRPr="00A52585">
        <w:rPr>
          <w:rFonts w:hint="cs"/>
          <w:sz w:val="24"/>
          <w:szCs w:val="24"/>
          <w:rtl/>
        </w:rPr>
        <w:t xml:space="preserve">: </w:t>
      </w:r>
      <w:r w:rsidR="00777DCB" w:rsidRPr="00A52585">
        <w:rPr>
          <w:rFonts w:hint="cs"/>
          <w:sz w:val="24"/>
          <w:szCs w:val="24"/>
          <w:rtl/>
        </w:rPr>
        <w:t>"وهكذا رواه ابن وهب في جامعه قال الحافظ المنذري في (الترغيب والترهيب)</w:t>
      </w:r>
      <w:r w:rsidRPr="00A52585">
        <w:rPr>
          <w:rFonts w:hint="cs"/>
          <w:sz w:val="24"/>
          <w:szCs w:val="24"/>
          <w:rtl/>
        </w:rPr>
        <w:t>:</w:t>
      </w:r>
      <w:r w:rsidR="00777DCB" w:rsidRPr="00A52585">
        <w:rPr>
          <w:rFonts w:hint="cs"/>
          <w:sz w:val="24"/>
          <w:szCs w:val="24"/>
          <w:rtl/>
        </w:rPr>
        <w:t xml:space="preserve"> إسناده جيد وكذا قال العلامة السيد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في (وفاء الوفا) وقال الحافظ في (تهذيب التذهيب)</w:t>
      </w:r>
      <w:r w:rsidRPr="00A52585">
        <w:rPr>
          <w:rFonts w:hint="cs"/>
          <w:sz w:val="24"/>
          <w:szCs w:val="24"/>
          <w:rtl/>
        </w:rPr>
        <w:t>:</w:t>
      </w:r>
      <w:r w:rsidR="00777DCB" w:rsidRPr="00A52585">
        <w:rPr>
          <w:rFonts w:hint="cs"/>
          <w:sz w:val="24"/>
          <w:szCs w:val="24"/>
          <w:rtl/>
        </w:rPr>
        <w:t xml:space="preserve"> رجاله ثقات لكن أشار إلى انقطاع فيه، وكذا فعل تلميذه الحافظ السخاوي في (القول البديع) وصححه الحافظ البوصيري مع الإشارة إلى انقطاعه أيضاً وقال الحافظ ابن عبد الهادي المقدسي في (الصارم </w:t>
      </w:r>
      <w:proofErr w:type="spellStart"/>
      <w:r w:rsidR="00777DCB" w:rsidRPr="00A52585">
        <w:rPr>
          <w:rFonts w:hint="cs"/>
          <w:sz w:val="24"/>
          <w:szCs w:val="24"/>
          <w:rtl/>
        </w:rPr>
        <w:t>المنكي</w:t>
      </w:r>
      <w:proofErr w:type="spellEnd"/>
      <w:r w:rsidR="00777DCB" w:rsidRPr="00A52585">
        <w:rPr>
          <w:rFonts w:hint="cs"/>
          <w:sz w:val="24"/>
          <w:szCs w:val="24"/>
          <w:rtl/>
        </w:rPr>
        <w:t>) (188)</w:t>
      </w:r>
      <w:r w:rsidRPr="00A52585">
        <w:rPr>
          <w:rFonts w:hint="cs"/>
          <w:sz w:val="24"/>
          <w:szCs w:val="24"/>
          <w:rtl/>
        </w:rPr>
        <w:t>:</w:t>
      </w:r>
      <w:r w:rsidR="00777DCB" w:rsidRPr="00A52585">
        <w:rPr>
          <w:rFonts w:hint="cs"/>
          <w:sz w:val="24"/>
          <w:szCs w:val="24"/>
          <w:rtl/>
        </w:rPr>
        <w:t xml:space="preserve"> وهذا الحديث وإن كان فيه شيء فهو شاهد لغيره وعاضد له أهـ قلت لا شيء فيه غير الانقطاع المشار إليه وأمره قريب، أما محاولته تضعيف السند بجهالة حال زيد بن أيمن فمردودة بتوثيق ابن حبان له وبتصحيحه الحفاظ المذكورين خصوصاً المنذري والعسقلاني"</w:t>
      </w:r>
      <w:r w:rsidRPr="00A52585">
        <w:rPr>
          <w:rFonts w:hint="cs"/>
          <w:sz w:val="24"/>
          <w:szCs w:val="24"/>
          <w:rtl/>
        </w:rPr>
        <w:t xml:space="preserve"> </w:t>
      </w:r>
      <w:r w:rsidR="00777DCB" w:rsidRPr="00A52585">
        <w:rPr>
          <w:rFonts w:hint="cs"/>
          <w:sz w:val="24"/>
          <w:szCs w:val="24"/>
          <w:rtl/>
        </w:rPr>
        <w:t>أهـ ص 30، 31</w:t>
      </w:r>
      <w:r w:rsidRPr="00A52585">
        <w:rPr>
          <w:rFonts w:hint="cs"/>
          <w:sz w:val="24"/>
          <w:szCs w:val="24"/>
          <w:rtl/>
        </w:rPr>
        <w:t>]</w:t>
      </w:r>
      <w:r w:rsidR="00DB731D" w:rsidRPr="00A52585">
        <w:rPr>
          <w:rFonts w:hint="cs"/>
          <w:rtl/>
        </w:rPr>
        <w:t>،</w:t>
      </w:r>
      <w:r w:rsidR="00777DCB" w:rsidRPr="00A52585">
        <w:rPr>
          <w:rFonts w:hint="cs"/>
          <w:rtl/>
        </w:rPr>
        <w:t xml:space="preserve"> قال عليه الصلاة والسلام (إن لله ملائكة سياحين في الأرض يبلغوني عن أمتي السلام)</w:t>
      </w:r>
      <w:r w:rsidR="00777DCB" w:rsidRPr="00A52585">
        <w:rPr>
          <w:rFonts w:hint="cs"/>
          <w:vertAlign w:val="superscript"/>
          <w:rtl/>
        </w:rPr>
        <w:t xml:space="preserve"> </w:t>
      </w:r>
      <w:r w:rsidR="00777DCB" w:rsidRPr="00A52585">
        <w:rPr>
          <w:rFonts w:hint="cs"/>
          <w:rtl/>
        </w:rPr>
        <w:t xml:space="preserve">رواه النسائي وكذا الحاكم من حديث ابن مسعود رضي الله عنه </w:t>
      </w:r>
      <w:r w:rsidR="00777DCB" w:rsidRPr="00A52585">
        <w:rPr>
          <w:rFonts w:hint="cs"/>
          <w:rtl/>
        </w:rPr>
        <w:lastRenderedPageBreak/>
        <w:t>وصححه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وأقر الذهبي بصحته ورواه ابن حبان في صحيحه قال الهيثمي في مجمع الزوائد</w:t>
      </w:r>
      <w:r w:rsidRPr="00A52585">
        <w:rPr>
          <w:rFonts w:hint="cs"/>
          <w:sz w:val="24"/>
          <w:szCs w:val="24"/>
          <w:rtl/>
        </w:rPr>
        <w:t xml:space="preserve">: </w:t>
      </w:r>
      <w:r w:rsidR="00777DCB" w:rsidRPr="00A52585">
        <w:rPr>
          <w:rFonts w:hint="cs"/>
          <w:sz w:val="24"/>
          <w:szCs w:val="24"/>
          <w:rtl/>
        </w:rPr>
        <w:t>"رواه البزار ورجاله رجال الصحيح"</w:t>
      </w:r>
      <w:r w:rsidRPr="00A52585">
        <w:rPr>
          <w:rFonts w:hint="cs"/>
          <w:sz w:val="24"/>
          <w:szCs w:val="24"/>
          <w:rtl/>
        </w:rPr>
        <w:t xml:space="preserve"> </w:t>
      </w:r>
      <w:r w:rsidR="00777DCB" w:rsidRPr="00A52585">
        <w:rPr>
          <w:rFonts w:hint="cs"/>
          <w:sz w:val="24"/>
          <w:szCs w:val="24"/>
          <w:rtl/>
        </w:rPr>
        <w:t>وصححه السيوطي في الجامع الصغير</w:t>
      </w:r>
      <w:r w:rsidR="00DB731D" w:rsidRPr="00A52585">
        <w:rPr>
          <w:rFonts w:hint="cs"/>
          <w:sz w:val="24"/>
          <w:szCs w:val="24"/>
          <w:rtl/>
        </w:rPr>
        <w:t>،</w:t>
      </w:r>
      <w:r w:rsidR="00777DCB" w:rsidRPr="00A52585">
        <w:rPr>
          <w:rFonts w:hint="cs"/>
          <w:sz w:val="24"/>
          <w:szCs w:val="24"/>
          <w:rtl/>
        </w:rPr>
        <w:t xml:space="preserve"> انظره في (رفع المنارة) ص 162</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وقال عليه الصلاة والسلام (ليس أحد يسلم على إلا رد الله على روحي حتى أرد عليه السلام) رواه أبو داود من حديث أبي هريرة</w:t>
      </w:r>
      <w:r w:rsidRPr="00A52585">
        <w:rPr>
          <w:rFonts w:hint="cs"/>
          <w:rtl/>
        </w:rPr>
        <w:t xml:space="preserve"> </w:t>
      </w:r>
      <w:r w:rsidR="00777DCB" w:rsidRPr="00A52585">
        <w:rPr>
          <w:rFonts w:hint="cs"/>
          <w:rtl/>
        </w:rPr>
        <w:t xml:space="preserve">رضي الله عنه بإسناد جيد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العلامة الخفاجي في (نسيم الرياض)</w:t>
      </w:r>
      <w:r w:rsidRPr="00A52585">
        <w:rPr>
          <w:rFonts w:hint="cs"/>
          <w:sz w:val="24"/>
          <w:szCs w:val="24"/>
          <w:rtl/>
        </w:rPr>
        <w:t xml:space="preserve">: </w:t>
      </w:r>
      <w:r w:rsidR="00777DCB" w:rsidRPr="00A52585">
        <w:rPr>
          <w:rFonts w:hint="cs"/>
          <w:sz w:val="24"/>
          <w:szCs w:val="24"/>
          <w:rtl/>
        </w:rPr>
        <w:t>"رواه أبو داود وأحمد والبيهقي وسنده حسن"</w:t>
      </w:r>
      <w:r w:rsidRPr="00A52585">
        <w:rPr>
          <w:rFonts w:hint="cs"/>
          <w:sz w:val="24"/>
          <w:szCs w:val="24"/>
          <w:rtl/>
        </w:rPr>
        <w:t xml:space="preserve"> </w:t>
      </w:r>
      <w:r w:rsidR="00777DCB" w:rsidRPr="00A52585">
        <w:rPr>
          <w:rFonts w:hint="cs"/>
          <w:sz w:val="24"/>
          <w:szCs w:val="24"/>
          <w:rtl/>
        </w:rPr>
        <w:t>أهـ وذكر الإمام النووي في (الأذكار) و(رياض الصالحين) أنه صحيح، وكذلك الحافظ السخاوي في (المقاصد الحسنة) والزرقاني في تلخيصها، وقد ناقش الإمام تقي الدين السبكي سند هذا الحديث بالتفصيل في الباب الثاني من كتابه (شفاء السقام) وأثبت أنه صحيح</w:t>
      </w:r>
      <w:r w:rsidR="00DB731D" w:rsidRPr="00A52585">
        <w:rPr>
          <w:rFonts w:hint="cs"/>
          <w:sz w:val="24"/>
          <w:szCs w:val="24"/>
          <w:rtl/>
        </w:rPr>
        <w:t>،</w:t>
      </w:r>
      <w:r w:rsidR="00777DCB" w:rsidRPr="00A52585">
        <w:rPr>
          <w:rFonts w:hint="cs"/>
          <w:sz w:val="24"/>
          <w:szCs w:val="24"/>
          <w:rtl/>
        </w:rPr>
        <w:t xml:space="preserve"> وظاهر الحديث يفيد مفارقة الروح لبدنه الشريف في بعض الأوقات وهذا يخالف الأحاديث المتواترة في حياة الأنبياء والشهداء – وحياة الأنبياء أكمل – ونص القرآن في حياة الشهداء </w:t>
      </w:r>
      <w:r w:rsidRPr="00A52585">
        <w:rPr>
          <w:rFonts w:hint="cs"/>
          <w:sz w:val="24"/>
          <w:szCs w:val="24"/>
          <w:rtl/>
        </w:rPr>
        <w:t>{</w:t>
      </w:r>
      <w:r w:rsidR="00777DCB" w:rsidRPr="00A52585">
        <w:rPr>
          <w:rFonts w:hint="cs"/>
          <w:sz w:val="24"/>
          <w:szCs w:val="24"/>
          <w:rtl/>
        </w:rPr>
        <w:t xml:space="preserve">ولا تحسبن الذين قتلوا </w:t>
      </w:r>
      <w:r w:rsidR="00777DCB" w:rsidRPr="00A52585">
        <w:rPr>
          <w:sz w:val="24"/>
          <w:szCs w:val="24"/>
        </w:rPr>
        <w:t>…</w:t>
      </w:r>
      <w:r w:rsidRPr="00A52585">
        <w:rPr>
          <w:rFonts w:hint="cs"/>
          <w:sz w:val="24"/>
          <w:szCs w:val="24"/>
          <w:rtl/>
        </w:rPr>
        <w:t>}</w:t>
      </w:r>
      <w:r w:rsidR="00777DCB" w:rsidRPr="00A52585">
        <w:rPr>
          <w:rFonts w:hint="cs"/>
          <w:sz w:val="24"/>
          <w:szCs w:val="24"/>
          <w:rtl/>
        </w:rPr>
        <w:t xml:space="preserve"> الآية، ورسول الله صلى الله عليه وسلم نبي وشهيد وقد أجاب الإمام السيوطي عن هذا في رسالة (إنباء الأذكياء في حياة الأنبياء) فقال</w:t>
      </w:r>
      <w:r w:rsidRPr="00A52585">
        <w:rPr>
          <w:rFonts w:hint="cs"/>
          <w:sz w:val="24"/>
          <w:szCs w:val="24"/>
          <w:rtl/>
        </w:rPr>
        <w:t xml:space="preserve">: </w:t>
      </w:r>
      <w:r w:rsidR="00777DCB" w:rsidRPr="00A52585">
        <w:rPr>
          <w:rFonts w:hint="cs"/>
          <w:sz w:val="24"/>
          <w:szCs w:val="24"/>
          <w:rtl/>
        </w:rPr>
        <w:t>"أن قوله (ردّ الله) جملة حالية وقاعدة العربية أن جملة الحال إذا وقعت فعلا ماضياً قدِّرت فيها (قد) كقوله تعالى</w:t>
      </w:r>
      <w:r w:rsidRPr="00A52585">
        <w:rPr>
          <w:rFonts w:hint="cs"/>
          <w:sz w:val="24"/>
          <w:szCs w:val="24"/>
          <w:rtl/>
        </w:rPr>
        <w:t>{</w:t>
      </w:r>
      <w:r w:rsidR="00777DCB" w:rsidRPr="00A52585">
        <w:rPr>
          <w:rFonts w:hint="cs"/>
          <w:sz w:val="24"/>
          <w:szCs w:val="24"/>
          <w:rtl/>
        </w:rPr>
        <w:t>جاءوكم حصرت صدورهم} أي (وقد حصرت) وكذا هنا تقدر والجملة ماضية سابقة على السلام الواقع من كل أحد و(حتى) ليست للتعلل بل هو مجرد حرف عطف بمعنى الواو فصار تقدير الحديث</w:t>
      </w:r>
      <w:r w:rsidRPr="00A52585">
        <w:rPr>
          <w:rFonts w:hint="cs"/>
          <w:sz w:val="24"/>
          <w:szCs w:val="24"/>
          <w:rtl/>
        </w:rPr>
        <w:t>:</w:t>
      </w:r>
      <w:r w:rsidR="00777DCB" w:rsidRPr="00A52585">
        <w:rPr>
          <w:rFonts w:hint="cs"/>
          <w:sz w:val="24"/>
          <w:szCs w:val="24"/>
          <w:rtl/>
        </w:rPr>
        <w:t xml:space="preserve"> " ما من أحد يسلم على إلا قدر رد الله علي روحي قبل ذلك وأرد عليه "</w:t>
      </w:r>
      <w:r w:rsidRPr="00A52585">
        <w:rPr>
          <w:rFonts w:hint="cs"/>
          <w:sz w:val="24"/>
          <w:szCs w:val="24"/>
          <w:rtl/>
        </w:rPr>
        <w:t xml:space="preserve"> </w:t>
      </w:r>
      <w:r w:rsidR="00777DCB" w:rsidRPr="00A52585">
        <w:rPr>
          <w:rFonts w:hint="cs"/>
          <w:sz w:val="24"/>
          <w:szCs w:val="24"/>
          <w:rtl/>
        </w:rPr>
        <w:t>وقال في نهاية الرسالة</w:t>
      </w:r>
      <w:r w:rsidRPr="00A52585">
        <w:rPr>
          <w:rFonts w:hint="cs"/>
          <w:sz w:val="24"/>
          <w:szCs w:val="24"/>
          <w:rtl/>
        </w:rPr>
        <w:t xml:space="preserve">: </w:t>
      </w:r>
      <w:r w:rsidR="00777DCB" w:rsidRPr="00A52585">
        <w:rPr>
          <w:rFonts w:hint="cs"/>
          <w:sz w:val="24"/>
          <w:szCs w:val="24"/>
          <w:rtl/>
        </w:rPr>
        <w:t>"ثم بعد ذلك رأيت الحديث المسئول عنه مخرجا في كتاب (حياة الأنبياء) للبيهقي بلفظ (إلا وقد ردّ الله على روحي) فصرح فيه بلفظ (وقد</w:t>
      </w:r>
      <w:r w:rsidRPr="00A52585">
        <w:rPr>
          <w:rFonts w:hint="cs"/>
          <w:sz w:val="24"/>
          <w:szCs w:val="24"/>
          <w:rtl/>
        </w:rPr>
        <w:t>)</w:t>
      </w:r>
      <w:r w:rsidR="00777DCB" w:rsidRPr="00A52585">
        <w:rPr>
          <w:rFonts w:hint="cs"/>
          <w:sz w:val="24"/>
          <w:szCs w:val="24"/>
          <w:rtl/>
        </w:rPr>
        <w:t>فحمدت الله كثيراً "</w:t>
      </w:r>
      <w:r w:rsidRPr="00A52585">
        <w:rPr>
          <w:rFonts w:hint="cs"/>
          <w:sz w:val="24"/>
          <w:szCs w:val="24"/>
          <w:rtl/>
        </w:rPr>
        <w:t xml:space="preserve"> </w:t>
      </w:r>
      <w:r w:rsidR="00777DCB" w:rsidRPr="00A52585">
        <w:rPr>
          <w:rFonts w:hint="cs"/>
          <w:sz w:val="24"/>
          <w:szCs w:val="24"/>
          <w:rtl/>
        </w:rPr>
        <w:t>أهـ ص 16، 30 وهي منشورة أيضاً في كتاب (الحاوي) للسيوطي</w:t>
      </w:r>
      <w:r w:rsidR="00DB731D" w:rsidRPr="00A52585">
        <w:rPr>
          <w:rFonts w:hint="cs"/>
          <w:sz w:val="24"/>
          <w:szCs w:val="24"/>
          <w:rtl/>
        </w:rPr>
        <w:t>،</w:t>
      </w:r>
      <w:r w:rsidR="00777DCB" w:rsidRPr="00A52585">
        <w:rPr>
          <w:rFonts w:hint="cs"/>
          <w:sz w:val="24"/>
          <w:szCs w:val="24"/>
          <w:rtl/>
        </w:rPr>
        <w:t xml:space="preserve"> انظره في (رفع المنارة) حديث (32) ص 355</w:t>
      </w:r>
      <w:r w:rsidRPr="00A52585">
        <w:rPr>
          <w:rFonts w:hint="cs"/>
          <w:sz w:val="24"/>
          <w:szCs w:val="24"/>
          <w:rtl/>
        </w:rPr>
        <w:t>]</w:t>
      </w:r>
      <w:r w:rsidR="00DB731D" w:rsidRPr="00A52585">
        <w:rPr>
          <w:rFonts w:hint="cs"/>
          <w:sz w:val="24"/>
          <w:rtl/>
        </w:rPr>
        <w:t>،</w:t>
      </w:r>
      <w:r w:rsidR="00777DCB" w:rsidRPr="00A52585">
        <w:rPr>
          <w:rFonts w:hint="cs"/>
          <w:rtl/>
        </w:rPr>
        <w:t xml:space="preserve"> قال البيهقي معنى قوله إلا رَدَّ الله عليه روحه</w:t>
      </w:r>
      <w:r w:rsidRPr="00A52585">
        <w:rPr>
          <w:rFonts w:hint="cs"/>
          <w:rtl/>
        </w:rPr>
        <w:t>:</w:t>
      </w:r>
      <w:r w:rsidR="00777DCB" w:rsidRPr="00A52585">
        <w:rPr>
          <w:rFonts w:hint="cs"/>
          <w:rtl/>
        </w:rPr>
        <w:t xml:space="preserve"> إلا وقد رد الله عليه روحه لأجل سلام من يسلم عليه واستمرت في جسده لأنه لا يبلى ولا تفتر صلاة المصلين عليه ولا سلام المسلمين عليه من الثقلين وغيرهم</w:t>
      </w:r>
      <w:r w:rsidR="00DB731D" w:rsidRPr="00A52585">
        <w:rPr>
          <w:rFonts w:hint="cs"/>
          <w:rtl/>
        </w:rPr>
        <w:t>،</w:t>
      </w:r>
      <w:r w:rsidR="00777DCB" w:rsidRPr="00A52585">
        <w:rPr>
          <w:rFonts w:hint="cs"/>
          <w:rtl/>
        </w:rPr>
        <w:t xml:space="preserve"> </w:t>
      </w:r>
      <w:r w:rsidR="00777DCB" w:rsidRPr="00A52585">
        <w:rPr>
          <w:rFonts w:hint="cs"/>
          <w:spacing w:val="-6"/>
          <w:rtl/>
        </w:rPr>
        <w:t xml:space="preserve">وقال عليه الصلاة والسلام (لا تجعلوا </w:t>
      </w:r>
      <w:proofErr w:type="spellStart"/>
      <w:r w:rsidR="00777DCB" w:rsidRPr="00A52585">
        <w:rPr>
          <w:rFonts w:hint="cs"/>
          <w:spacing w:val="-6"/>
          <w:rtl/>
        </w:rPr>
        <w:t>قبرى</w:t>
      </w:r>
      <w:proofErr w:type="spellEnd"/>
      <w:r w:rsidR="00777DCB" w:rsidRPr="00A52585">
        <w:rPr>
          <w:rFonts w:hint="cs"/>
          <w:spacing w:val="-6"/>
          <w:rtl/>
        </w:rPr>
        <w:t xml:space="preserve"> عيدا وصلوا عليّ فإن صلاتكم</w:t>
      </w:r>
      <w:r w:rsidR="00777DCB" w:rsidRPr="00A52585">
        <w:rPr>
          <w:rFonts w:hint="cs"/>
          <w:rtl/>
        </w:rPr>
        <w:t xml:space="preserve"> تبلغني حيث ما كنتم) رواه أبو داود من حديث أبي هريرة رضي الله عنه بإسناد صحيح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اعترف ابن تيمية بصحة هذا الحديث وكذلك تلميذه ابن عبد الهادي في (الصارم </w:t>
      </w:r>
      <w:proofErr w:type="spellStart"/>
      <w:r w:rsidR="00777DCB" w:rsidRPr="00A52585">
        <w:rPr>
          <w:rFonts w:hint="cs"/>
          <w:sz w:val="24"/>
          <w:szCs w:val="24"/>
          <w:rtl/>
        </w:rPr>
        <w:t>المنكي</w:t>
      </w:r>
      <w:proofErr w:type="spellEnd"/>
      <w:r w:rsidR="00777DCB" w:rsidRPr="00A52585">
        <w:rPr>
          <w:rFonts w:hint="cs"/>
          <w:sz w:val="24"/>
          <w:szCs w:val="24"/>
          <w:rtl/>
        </w:rPr>
        <w:t>) فقال</w:t>
      </w:r>
      <w:r w:rsidRPr="00A52585">
        <w:rPr>
          <w:rFonts w:hint="cs"/>
          <w:sz w:val="24"/>
          <w:szCs w:val="24"/>
          <w:rtl/>
        </w:rPr>
        <w:t>:</w:t>
      </w:r>
      <w:r w:rsidR="00777DCB" w:rsidRPr="00A52585">
        <w:rPr>
          <w:rFonts w:hint="cs"/>
          <w:sz w:val="24"/>
          <w:szCs w:val="24"/>
          <w:rtl/>
        </w:rPr>
        <w:t xml:space="preserve"> "هو حديث حسن جيد الإسناد وله شواهد كثيرة يرتقي بها إلى درجة الصحة "</w:t>
      </w:r>
      <w:r w:rsidRPr="00A52585">
        <w:rPr>
          <w:rFonts w:hint="cs"/>
          <w:sz w:val="24"/>
          <w:szCs w:val="24"/>
          <w:rtl/>
        </w:rPr>
        <w:t xml:space="preserve"> </w:t>
      </w:r>
      <w:r w:rsidR="00777DCB" w:rsidRPr="00A52585">
        <w:rPr>
          <w:rFonts w:hint="cs"/>
          <w:sz w:val="24"/>
          <w:szCs w:val="24"/>
          <w:rtl/>
        </w:rPr>
        <w:t>أهـ ص414</w:t>
      </w:r>
      <w:r w:rsidR="00DB731D" w:rsidRPr="00A52585">
        <w:rPr>
          <w:rFonts w:hint="cs"/>
          <w:sz w:val="24"/>
          <w:szCs w:val="24"/>
          <w:rtl/>
        </w:rPr>
        <w:t>،</w:t>
      </w:r>
      <w:r w:rsidR="00777DCB" w:rsidRPr="00A52585">
        <w:rPr>
          <w:rFonts w:hint="cs"/>
          <w:sz w:val="24"/>
          <w:szCs w:val="24"/>
          <w:rtl/>
        </w:rPr>
        <w:t xml:space="preserve"> وأما عبارة الحديث</w:t>
      </w:r>
      <w:r w:rsidRPr="00A52585">
        <w:rPr>
          <w:rFonts w:hint="cs"/>
          <w:sz w:val="24"/>
          <w:szCs w:val="24"/>
          <w:rtl/>
        </w:rPr>
        <w:t xml:space="preserve"> </w:t>
      </w:r>
      <w:r w:rsidR="00777DCB" w:rsidRPr="00A52585">
        <w:rPr>
          <w:rFonts w:hint="cs"/>
          <w:sz w:val="24"/>
          <w:szCs w:val="24"/>
          <w:rtl/>
        </w:rPr>
        <w:t>" لا تجعلوا قبري عيداً "</w:t>
      </w:r>
      <w:r w:rsidRPr="00A52585">
        <w:rPr>
          <w:rFonts w:hint="cs"/>
          <w:sz w:val="24"/>
          <w:szCs w:val="24"/>
          <w:rtl/>
        </w:rPr>
        <w:t xml:space="preserve"> </w:t>
      </w:r>
      <w:r w:rsidR="00777DCB" w:rsidRPr="00A52585">
        <w:rPr>
          <w:rFonts w:hint="cs"/>
          <w:sz w:val="24"/>
          <w:szCs w:val="24"/>
          <w:rtl/>
        </w:rPr>
        <w:t>فقد شرحها الإمام تقي الدين السبكي في (شفاء السقام) وقال</w:t>
      </w:r>
      <w:r w:rsidRPr="00A52585">
        <w:rPr>
          <w:rFonts w:hint="cs"/>
          <w:sz w:val="24"/>
          <w:szCs w:val="24"/>
          <w:rtl/>
        </w:rPr>
        <w:t xml:space="preserve">: </w:t>
      </w:r>
      <w:r w:rsidR="00777DCB" w:rsidRPr="00A52585">
        <w:rPr>
          <w:rFonts w:hint="cs"/>
          <w:sz w:val="24"/>
          <w:szCs w:val="24"/>
          <w:rtl/>
        </w:rPr>
        <w:t>" فقال الشيخ زكي الدين المنذري (يحتمل أن يكون المراد به الحث على كثرة زيارة قبره صلى الله عليه وسلم وأن لا يهمل</w:t>
      </w:r>
      <w:r w:rsidRPr="00A52585">
        <w:rPr>
          <w:rFonts w:hint="cs"/>
          <w:sz w:val="24"/>
          <w:szCs w:val="24"/>
          <w:rtl/>
        </w:rPr>
        <w:t xml:space="preserve"> </w:t>
      </w:r>
      <w:r w:rsidR="00777DCB" w:rsidRPr="00A52585">
        <w:rPr>
          <w:rFonts w:hint="cs"/>
          <w:sz w:val="24"/>
          <w:szCs w:val="24"/>
          <w:rtl/>
        </w:rPr>
        <w:t xml:space="preserve">حتى لا يزار إلا في بعض الأوقات كالعيد الذي لا يأتي في العام إلا مرتين) وقال </w:t>
      </w:r>
      <w:r w:rsidRPr="00A52585">
        <w:rPr>
          <w:rFonts w:hint="cs"/>
          <w:sz w:val="24"/>
          <w:szCs w:val="24"/>
          <w:rtl/>
        </w:rPr>
        <w:t>(</w:t>
      </w:r>
      <w:r w:rsidR="00777DCB" w:rsidRPr="00A52585">
        <w:rPr>
          <w:rFonts w:hint="cs"/>
          <w:sz w:val="24"/>
          <w:szCs w:val="24"/>
          <w:rtl/>
        </w:rPr>
        <w:t>ويؤيد هذا التأويل ما جاء في الحديث نفسه</w:t>
      </w:r>
      <w:r w:rsidRPr="00A52585">
        <w:rPr>
          <w:rFonts w:hint="cs"/>
          <w:sz w:val="24"/>
          <w:szCs w:val="24"/>
          <w:rtl/>
        </w:rPr>
        <w:t>:</w:t>
      </w:r>
      <w:r w:rsidR="00777DCB" w:rsidRPr="00A52585">
        <w:rPr>
          <w:rFonts w:hint="cs"/>
          <w:sz w:val="24"/>
          <w:szCs w:val="24"/>
          <w:rtl/>
        </w:rPr>
        <w:t xml:space="preserve"> لا تجعلوا بيوتكم قبوراً أي لا تتركوا الصلاة في بيوتكم حتى تجعلوها كالقبور التي لا يصلي فيها)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ويحتمل أن يكون المراد لا تتخذوا له وقتا مخصوصاً لا تكون الزيارة إلا فيه كما ترى كثيراً من المشاهد لزيارتها يوم معين كالعيد وزيارة قبره صلى الله عليه وسلم ليس لها يوم بعينه بل أي يوم كان ويحتمل أيضاً أن يراد أن يجعل كالعيد في العكوف عليه وإظهار الزينة والاجتماع وغير ذلك مما يعمل في الأعياد، بل لا يؤتى إلا للزيارة والسلام والدعاء ثم ينصرف عنه والله أعلم بمراد نبيه "</w:t>
      </w:r>
      <w:r w:rsidRPr="00A52585">
        <w:rPr>
          <w:rFonts w:hint="cs"/>
          <w:sz w:val="24"/>
          <w:szCs w:val="24"/>
          <w:rtl/>
        </w:rPr>
        <w:t xml:space="preserve"> </w:t>
      </w:r>
      <w:r w:rsidR="00777DCB" w:rsidRPr="00A52585">
        <w:rPr>
          <w:rFonts w:hint="cs"/>
          <w:sz w:val="24"/>
          <w:szCs w:val="24"/>
          <w:rtl/>
        </w:rPr>
        <w:t>أهـ الباب الرابع ص 67</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rtl/>
        </w:rPr>
        <w:lastRenderedPageBreak/>
        <w:t>والأحاديث في ذلك كثيرة</w:t>
      </w:r>
      <w:r w:rsidR="00DB731D" w:rsidRPr="00A52585">
        <w:rPr>
          <w:rFonts w:hint="cs"/>
          <w:rtl/>
        </w:rPr>
        <w:t>،</w:t>
      </w:r>
      <w:r w:rsidR="00777DCB" w:rsidRPr="00A52585">
        <w:rPr>
          <w:rFonts w:hint="cs"/>
          <w:rtl/>
        </w:rPr>
        <w:t xml:space="preserve"> وقال كعب الأحبار</w:t>
      </w:r>
      <w:r w:rsidRPr="00A52585">
        <w:rPr>
          <w:rFonts w:hint="cs"/>
          <w:rtl/>
        </w:rPr>
        <w:t>:</w:t>
      </w:r>
      <w:r w:rsidR="00777DCB" w:rsidRPr="00A52585">
        <w:rPr>
          <w:rFonts w:hint="cs"/>
          <w:rtl/>
        </w:rPr>
        <w:t xml:space="preserve"> ما من فجر يطلع إلا نزل سبعون ألفاً من الملائكة حتى يحفوا بالقبر الشريف يضربون بأجنحتهم ويصلون على النبي صلى الله عليه وسلم حتى إذا أمسوا عرجوا وهبط مثلهم وصنعوا مثل ذلك حتى إذا انشقت الأرض خرج رسول صلى الله عليه وسلم في سبعين ألفاً من الملائكة يوقرونه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الدارمي في سننه</w:t>
      </w:r>
      <w:r w:rsidRPr="00A52585">
        <w:rPr>
          <w:rFonts w:hint="cs"/>
          <w:sz w:val="24"/>
          <w:szCs w:val="24"/>
          <w:rtl/>
        </w:rPr>
        <w:t>:</w:t>
      </w:r>
      <w:r w:rsidR="00777DCB" w:rsidRPr="00A52585">
        <w:rPr>
          <w:rFonts w:hint="cs"/>
          <w:sz w:val="24"/>
          <w:szCs w:val="24"/>
          <w:rtl/>
        </w:rPr>
        <w:t xml:space="preserve"> باب </w:t>
      </w:r>
      <w:r w:rsidRPr="00A52585">
        <w:rPr>
          <w:rFonts w:hint="cs"/>
          <w:sz w:val="24"/>
          <w:szCs w:val="24"/>
          <w:rtl/>
        </w:rPr>
        <w:t>(</w:t>
      </w:r>
      <w:r w:rsidR="00777DCB" w:rsidRPr="00A52585">
        <w:rPr>
          <w:rFonts w:hint="cs"/>
          <w:sz w:val="24"/>
          <w:szCs w:val="24"/>
          <w:rtl/>
        </w:rPr>
        <w:t>ما أكرم الله تعالى به نبيه بعد موته) حديث رقم (94) وأشار محققه الشيخ حسين سليم أسد إلى ضعف سند الدرامي ثم قال</w:t>
      </w:r>
      <w:r w:rsidRPr="00A52585">
        <w:rPr>
          <w:rFonts w:hint="cs"/>
          <w:sz w:val="24"/>
          <w:szCs w:val="24"/>
          <w:rtl/>
        </w:rPr>
        <w:t xml:space="preserve">: </w:t>
      </w:r>
      <w:r w:rsidR="00777DCB" w:rsidRPr="00A52585">
        <w:rPr>
          <w:rFonts w:hint="cs"/>
          <w:sz w:val="24"/>
          <w:szCs w:val="24"/>
          <w:rtl/>
        </w:rPr>
        <w:t>" ذكره السخاوي في (القول البديع) ص48 وقال</w:t>
      </w:r>
      <w:r w:rsidRPr="00A52585">
        <w:rPr>
          <w:rFonts w:hint="cs"/>
          <w:sz w:val="24"/>
          <w:szCs w:val="24"/>
          <w:rtl/>
        </w:rPr>
        <w:t>:</w:t>
      </w:r>
      <w:r w:rsidR="00777DCB" w:rsidRPr="00A52585">
        <w:rPr>
          <w:rFonts w:hint="cs"/>
          <w:sz w:val="24"/>
          <w:szCs w:val="24"/>
          <w:rtl/>
        </w:rPr>
        <w:t xml:space="preserve"> رواه إسماعيل القاضي وابن </w:t>
      </w:r>
      <w:proofErr w:type="spellStart"/>
      <w:r w:rsidR="00777DCB" w:rsidRPr="00A52585">
        <w:rPr>
          <w:rFonts w:hint="cs"/>
          <w:sz w:val="24"/>
          <w:szCs w:val="24"/>
          <w:rtl/>
        </w:rPr>
        <w:t>بشكوال</w:t>
      </w:r>
      <w:proofErr w:type="spellEnd"/>
      <w:r w:rsidR="00777DCB" w:rsidRPr="00A52585">
        <w:rPr>
          <w:rFonts w:hint="cs"/>
          <w:sz w:val="24"/>
          <w:szCs w:val="24"/>
          <w:rtl/>
        </w:rPr>
        <w:t xml:space="preserve"> والبيهقي الشعب والدرامي في باب (ما أكرم الله تعالى به نبيه بعد موته من جامعه وابن المبارك في الرقائق له "</w:t>
      </w:r>
      <w:r w:rsidRPr="00A52585">
        <w:rPr>
          <w:rFonts w:hint="cs"/>
          <w:sz w:val="24"/>
          <w:szCs w:val="24"/>
          <w:rtl/>
        </w:rPr>
        <w:t>]</w:t>
      </w:r>
      <w:r w:rsidR="00DB731D" w:rsidRPr="00A52585">
        <w:rPr>
          <w:rFonts w:hint="cs"/>
          <w:rtl/>
        </w:rPr>
        <w:t>،</w:t>
      </w:r>
      <w:r w:rsidR="00777DCB" w:rsidRPr="00A52585">
        <w:rPr>
          <w:rFonts w:hint="cs"/>
          <w:rtl/>
        </w:rPr>
        <w:t xml:space="preserve"> وروى الحافظ أبو القاسم الأصبهاني صاحب الترغيب والترهيب بإسناده عن أنس رضي الله عنه قال </w:t>
      </w:r>
      <w:proofErr w:type="spellStart"/>
      <w:r w:rsidR="00777DCB" w:rsidRPr="00A52585">
        <w:rPr>
          <w:rFonts w:hint="cs"/>
          <w:rtl/>
        </w:rPr>
        <w:t>قال</w:t>
      </w:r>
      <w:proofErr w:type="spellEnd"/>
      <w:r w:rsidR="00777DCB" w:rsidRPr="00A52585">
        <w:rPr>
          <w:rFonts w:hint="cs"/>
          <w:rtl/>
        </w:rPr>
        <w:t xml:space="preserve">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صلى عليّ في يوم جمعة وليلة جمعة مائة من الصلاة قضى الله له مائة حاجة سبعين من حوائج الآخرة وثلاثين من حوائج الدنيا ووكَّل بذلك ملكا يدخله علي قبري كما يدخل عليكم الهدايا</w:t>
      </w:r>
      <w:r w:rsidR="00DB731D" w:rsidRPr="00A52585">
        <w:rPr>
          <w:rFonts w:hint="cs"/>
          <w:rtl/>
        </w:rPr>
        <w:t>،</w:t>
      </w:r>
      <w:r w:rsidR="00777DCB" w:rsidRPr="00A52585">
        <w:rPr>
          <w:rFonts w:hint="cs"/>
          <w:rtl/>
        </w:rPr>
        <w:t xml:space="preserve"> إن علمي بذلك بعد موتي كعلمي بالحياة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ورواه عن أنس أيضاً الإمام البيهقي في كتابه (حياة الأنبياء) ورواية البيهقي بها زيادة في ألفاظ الحديث انظر (شفاء السقام) الفصل الأول من الباب التاسع، وأيضاً رواه ابن منده في فوائده</w:t>
      </w:r>
      <w:r w:rsidRPr="00A52585">
        <w:rPr>
          <w:rFonts w:hint="cs"/>
          <w:sz w:val="24"/>
          <w:szCs w:val="24"/>
          <w:rtl/>
        </w:rPr>
        <w:t>]</w:t>
      </w:r>
      <w:r w:rsidR="00DB731D" w:rsidRPr="00A52585">
        <w:rPr>
          <w:rFonts w:hint="cs"/>
          <w:rtl/>
        </w:rPr>
        <w:t>،</w:t>
      </w:r>
      <w:r w:rsidR="00777DCB" w:rsidRPr="00A52585">
        <w:rPr>
          <w:rFonts w:hint="cs"/>
          <w:rtl/>
        </w:rPr>
        <w:t xml:space="preserve"> وقال السيد الجليل سليمان بن شحيم قدس الله تعالى روحه</w:t>
      </w:r>
      <w:r w:rsidRPr="00A52585">
        <w:rPr>
          <w:rFonts w:hint="cs"/>
          <w:rtl/>
        </w:rPr>
        <w:t>:</w:t>
      </w:r>
      <w:r w:rsidR="00777DCB" w:rsidRPr="00A52585">
        <w:rPr>
          <w:rFonts w:hint="cs"/>
          <w:rtl/>
        </w:rPr>
        <w:t xml:space="preserve"> رأيت النبي صلى الله عليه وسلم في المنام فقلت</w:t>
      </w:r>
      <w:r w:rsidRPr="00A52585">
        <w:rPr>
          <w:rFonts w:hint="cs"/>
          <w:rtl/>
        </w:rPr>
        <w:t>:</w:t>
      </w:r>
      <w:r w:rsidR="00777DCB" w:rsidRPr="00A52585">
        <w:rPr>
          <w:rFonts w:hint="cs"/>
          <w:rtl/>
        </w:rPr>
        <w:t xml:space="preserve"> يا رسول الله الذين يأتونك ويسلمون عليك تفقه سلامهم. قال</w:t>
      </w:r>
      <w:r w:rsidRPr="00A52585">
        <w:rPr>
          <w:rFonts w:hint="cs"/>
          <w:rtl/>
        </w:rPr>
        <w:t>:</w:t>
      </w:r>
      <w:r w:rsidR="00777DCB" w:rsidRPr="00A52585">
        <w:rPr>
          <w:rFonts w:hint="cs"/>
          <w:rtl/>
        </w:rPr>
        <w:t xml:space="preserve"> نعم وأرد عليهم</w:t>
      </w:r>
      <w:r w:rsidR="00DB731D" w:rsidRPr="00A52585">
        <w:rPr>
          <w:rFonts w:hint="cs"/>
          <w:rtl/>
        </w:rPr>
        <w:t>،</w:t>
      </w:r>
      <w:r w:rsidR="00777DCB" w:rsidRPr="00A52585">
        <w:rPr>
          <w:rFonts w:hint="cs"/>
          <w:rtl/>
        </w:rPr>
        <w:t xml:space="preserve"> </w:t>
      </w:r>
    </w:p>
    <w:p w14:paraId="7D1DC4EB" w14:textId="1A8C14D6" w:rsidR="00777DCB" w:rsidRPr="00A52585" w:rsidRDefault="0002035C" w:rsidP="0002035C">
      <w:pPr>
        <w:spacing w:after="240"/>
        <w:rPr>
          <w:b/>
          <w:rtl/>
        </w:rPr>
      </w:pPr>
      <w:r w:rsidRPr="00A52585">
        <w:rPr>
          <w:rFonts w:hint="cs"/>
          <w:bCs/>
          <w:rtl/>
        </w:rPr>
        <w:t>[</w:t>
      </w:r>
      <w:r w:rsidR="00777DCB" w:rsidRPr="00A52585">
        <w:rPr>
          <w:rFonts w:hint="cs"/>
          <w:bCs/>
          <w:rtl/>
        </w:rPr>
        <w:t>ح- عودة إلى صنيع الأمة في التوسل به عليه السلام</w:t>
      </w:r>
      <w:r w:rsidRPr="00A52585">
        <w:rPr>
          <w:rFonts w:hint="cs"/>
          <w:bCs/>
          <w:rtl/>
        </w:rPr>
        <w:t>]:</w:t>
      </w:r>
      <w:r w:rsidR="00777DCB" w:rsidRPr="00A52585">
        <w:rPr>
          <w:rFonts w:hint="cs"/>
          <w:bCs/>
          <w:rtl/>
        </w:rPr>
        <w:t xml:space="preserve"> </w:t>
      </w:r>
      <w:r w:rsidR="00777DCB" w:rsidRPr="00A52585">
        <w:rPr>
          <w:rFonts w:hint="cs"/>
          <w:rtl/>
        </w:rPr>
        <w:t>وقال بعض المشايخ رأيت رسول الله صلى الله عليه وسلم في النوم فقلت</w:t>
      </w:r>
      <w:r w:rsidRPr="00A52585">
        <w:rPr>
          <w:rFonts w:hint="cs"/>
          <w:rtl/>
        </w:rPr>
        <w:t>:</w:t>
      </w:r>
      <w:r w:rsidR="00777DCB" w:rsidRPr="00A52585">
        <w:rPr>
          <w:rFonts w:hint="cs"/>
          <w:rtl/>
        </w:rPr>
        <w:t xml:space="preserve"> استغفر لي فأعرض عني فقلت</w:t>
      </w:r>
      <w:r w:rsidRPr="00A52585">
        <w:rPr>
          <w:rFonts w:hint="cs"/>
          <w:rtl/>
        </w:rPr>
        <w:t>:</w:t>
      </w:r>
      <w:r w:rsidR="00777DCB" w:rsidRPr="00A52585">
        <w:rPr>
          <w:rFonts w:hint="cs"/>
          <w:rtl/>
        </w:rPr>
        <w:t xml:space="preserve"> يا رسول الله استغفر لي فأعرض عني. فقلت</w:t>
      </w:r>
      <w:r w:rsidRPr="00A52585">
        <w:rPr>
          <w:rFonts w:hint="cs"/>
          <w:rtl/>
        </w:rPr>
        <w:t>:</w:t>
      </w:r>
      <w:r w:rsidR="00777DCB" w:rsidRPr="00A52585">
        <w:rPr>
          <w:rFonts w:hint="cs"/>
          <w:rtl/>
        </w:rPr>
        <w:t xml:space="preserve"> يا رسول الله إن سفيان بن عيينة حدثنا عن محمد ابن المنكدر عن جابر</w:t>
      </w:r>
      <w:r w:rsidRPr="00A52585">
        <w:rPr>
          <w:rFonts w:hint="cs"/>
          <w:rtl/>
        </w:rPr>
        <w:t>:</w:t>
      </w:r>
      <w:r w:rsidR="00777DCB" w:rsidRPr="00A52585">
        <w:rPr>
          <w:rFonts w:hint="cs"/>
          <w:rtl/>
        </w:rPr>
        <w:t xml:space="preserve"> أنك لم تسأل شيئاً قط فقلت لا</w:t>
      </w:r>
      <w:r w:rsidR="00DB731D" w:rsidRPr="00A52585">
        <w:rPr>
          <w:rFonts w:hint="cs"/>
          <w:rtl/>
        </w:rPr>
        <w:t>،</w:t>
      </w:r>
      <w:r w:rsidR="00777DCB" w:rsidRPr="00A52585">
        <w:rPr>
          <w:rFonts w:hint="cs"/>
          <w:rtl/>
        </w:rPr>
        <w:t xml:space="preserve"> فأقبل عليّ وقال</w:t>
      </w:r>
      <w:r w:rsidRPr="00A52585">
        <w:rPr>
          <w:rFonts w:hint="cs"/>
          <w:rtl/>
        </w:rPr>
        <w:t>:</w:t>
      </w:r>
      <w:r w:rsidR="00777DCB" w:rsidRPr="00A52585">
        <w:rPr>
          <w:rFonts w:hint="cs"/>
          <w:rtl/>
        </w:rPr>
        <w:t xml:space="preserve"> غفر الله لك</w:t>
      </w:r>
      <w:r w:rsidR="00DB731D" w:rsidRPr="00A52585">
        <w:rPr>
          <w:rFonts w:hint="cs"/>
          <w:rtl/>
        </w:rPr>
        <w:t>،</w:t>
      </w:r>
      <w:r w:rsidR="00777DCB" w:rsidRPr="00A52585">
        <w:rPr>
          <w:rFonts w:hint="cs"/>
          <w:rtl/>
        </w:rPr>
        <w:t xml:space="preserve"> وكان موهوب بن عمر الجزري الشافعي إماما عالما فاضلا مفيدا يشارك في سائر العلوم مشاركة جيدة مع العقل والدين والإيثار لأهل الضرورات. وكان يتّجر فكثر ماله. فأراد الصاحب أن يتعرض له قال</w:t>
      </w:r>
      <w:r w:rsidRPr="00A52585">
        <w:rPr>
          <w:rFonts w:hint="cs"/>
          <w:rtl/>
        </w:rPr>
        <w:t>:</w:t>
      </w:r>
      <w:r w:rsidR="00777DCB" w:rsidRPr="00A52585">
        <w:rPr>
          <w:rFonts w:hint="cs"/>
          <w:rtl/>
        </w:rPr>
        <w:t xml:space="preserve"> فخفت منه خوفاً شديداً فلما كان في بعض الليالي رأيت النبي صلى الله عليه وسلم في المنام ف</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يا رسول الله إني خائف من الصاحب</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لا تخف منه وقل له بعلامة كذا وكذا لا تؤذني فرسول الله صلى الله عليه وسلم يشفع فِيّ</w:t>
      </w:r>
      <w:r w:rsidR="00DB731D" w:rsidRPr="00A52585">
        <w:rPr>
          <w:rFonts w:hint="cs"/>
          <w:rtl/>
        </w:rPr>
        <w:t>،</w:t>
      </w:r>
      <w:r w:rsidR="00777DCB" w:rsidRPr="00A52585">
        <w:rPr>
          <w:rFonts w:hint="cs"/>
          <w:rtl/>
        </w:rPr>
        <w:t xml:space="preserve"> قال فلما انتهبت صليت الصبح وركبت دابتي ووقفت للصاحب في الطريق وهو طالع إلى القلعة قال</w:t>
      </w:r>
      <w:r w:rsidRPr="00A52585">
        <w:rPr>
          <w:rFonts w:hint="cs"/>
          <w:rtl/>
        </w:rPr>
        <w:t>:</w:t>
      </w:r>
      <w:r w:rsidR="00777DCB" w:rsidRPr="00A52585">
        <w:rPr>
          <w:rFonts w:hint="cs"/>
          <w:rtl/>
        </w:rPr>
        <w:t xml:space="preserve"> فسلمت عليه وصحبته وقلت له</w:t>
      </w:r>
      <w:r w:rsidRPr="00A52585">
        <w:rPr>
          <w:rFonts w:hint="cs"/>
          <w:rtl/>
        </w:rPr>
        <w:t>:</w:t>
      </w:r>
      <w:r w:rsidR="00777DCB" w:rsidRPr="00A52585">
        <w:rPr>
          <w:rFonts w:hint="cs"/>
          <w:rtl/>
        </w:rPr>
        <w:t xml:space="preserve"> معي رسالة. فقال</w:t>
      </w:r>
      <w:r w:rsidRPr="00A52585">
        <w:rPr>
          <w:rFonts w:hint="cs"/>
          <w:rtl/>
        </w:rPr>
        <w:t>:</w:t>
      </w:r>
      <w:r w:rsidR="00777DCB" w:rsidRPr="00A52585">
        <w:rPr>
          <w:rFonts w:hint="cs"/>
          <w:rtl/>
        </w:rPr>
        <w:t xml:space="preserve"> ممن.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من رسول الله صلى الله عليه وسلم. وقال</w:t>
      </w:r>
      <w:r w:rsidRPr="00A52585">
        <w:rPr>
          <w:rFonts w:hint="cs"/>
          <w:rtl/>
        </w:rPr>
        <w:t>:</w:t>
      </w:r>
      <w:r w:rsidR="00777DCB" w:rsidRPr="00A52585">
        <w:rPr>
          <w:rFonts w:hint="cs"/>
          <w:rtl/>
        </w:rPr>
        <w:t xml:space="preserve"> قل له بعلامة كذا وكذا. فقال</w:t>
      </w:r>
      <w:r w:rsidRPr="00A52585">
        <w:rPr>
          <w:rFonts w:hint="cs"/>
          <w:rtl/>
        </w:rPr>
        <w:t>:</w:t>
      </w:r>
      <w:r w:rsidR="00777DCB" w:rsidRPr="00A52585">
        <w:rPr>
          <w:rFonts w:hint="cs"/>
          <w:rtl/>
        </w:rPr>
        <w:t xml:space="preserve"> صدقت أنت وصدق رسول الله صلى الله عليه وسلم وأنا اليوم أتشفع بك إلى </w:t>
      </w:r>
      <w:r w:rsidR="00777DCB" w:rsidRPr="00A52585">
        <w:rPr>
          <w:rFonts w:hint="cs"/>
          <w:rtl/>
        </w:rPr>
        <w:lastRenderedPageBreak/>
        <w:t>رسول الله صلى الله عليه وسلم فالمولى يرسم والمملوك يمتثل</w:t>
      </w:r>
      <w:r w:rsidR="00DB731D" w:rsidRPr="00A52585">
        <w:rPr>
          <w:rFonts w:hint="cs"/>
          <w:rtl/>
        </w:rPr>
        <w:t>،</w:t>
      </w:r>
      <w:r w:rsidR="00777DCB" w:rsidRPr="00A52585">
        <w:rPr>
          <w:rFonts w:hint="cs"/>
          <w:rtl/>
        </w:rPr>
        <w:t xml:space="preserve"> ومهما كان لك من الحوائج تعرفني بها أو لأحد أصحابك</w:t>
      </w:r>
      <w:r w:rsidR="00DB731D" w:rsidRPr="00A52585">
        <w:rPr>
          <w:rFonts w:hint="cs"/>
          <w:rtl/>
        </w:rPr>
        <w:t>،</w:t>
      </w:r>
      <w:r w:rsidR="00777DCB" w:rsidRPr="00A52585">
        <w:rPr>
          <w:rFonts w:hint="cs"/>
          <w:rtl/>
        </w:rPr>
        <w:t xml:space="preserve"> وطلب بعض أمراء الجور رجلا أراد منه شيئاً وهدده تهديداً شديداً وتواعده بالعقوبات</w:t>
      </w:r>
      <w:r w:rsidR="00DB731D" w:rsidRPr="00A52585">
        <w:rPr>
          <w:rFonts w:hint="cs"/>
          <w:rtl/>
        </w:rPr>
        <w:t>،</w:t>
      </w:r>
      <w:r w:rsidR="00777DCB" w:rsidRPr="00A52585">
        <w:rPr>
          <w:rFonts w:hint="cs"/>
          <w:rtl/>
        </w:rPr>
        <w:t xml:space="preserve"> فقال له الرجل</w:t>
      </w:r>
      <w:r w:rsidRPr="00A52585">
        <w:rPr>
          <w:rFonts w:hint="cs"/>
          <w:rtl/>
        </w:rPr>
        <w:t>:</w:t>
      </w:r>
      <w:r w:rsidR="00777DCB" w:rsidRPr="00A52585">
        <w:rPr>
          <w:rFonts w:hint="cs"/>
          <w:rtl/>
        </w:rPr>
        <w:t xml:space="preserve"> أنا أتشفع إليك بسيد الأولين والآخرين </w:t>
      </w:r>
      <w:proofErr w:type="gramStart"/>
      <w:r w:rsidR="00777DCB" w:rsidRPr="00A52585">
        <w:rPr>
          <w:rFonts w:hint="cs"/>
          <w:rtl/>
        </w:rPr>
        <w:t>أن لا</w:t>
      </w:r>
      <w:proofErr w:type="gramEnd"/>
      <w:r w:rsidR="00777DCB" w:rsidRPr="00A52585">
        <w:rPr>
          <w:rFonts w:hint="cs"/>
          <w:rtl/>
        </w:rPr>
        <w:t xml:space="preserve"> تتعرض لي بما لا يحل لك. فلم يلتفت إليه ولا إلى قوله. فلما أصبح الصباح طلب الأمير ذلك الرجل وأكرمه بعد أن فك عنه الطلب. فقيل للأمير في ذلك فقال</w:t>
      </w:r>
      <w:r w:rsidRPr="00A52585">
        <w:rPr>
          <w:rFonts w:hint="cs"/>
          <w:rtl/>
        </w:rPr>
        <w:t>:</w:t>
      </w:r>
      <w:r w:rsidR="00777DCB" w:rsidRPr="00A52585">
        <w:rPr>
          <w:rFonts w:hint="cs"/>
          <w:rtl/>
        </w:rPr>
        <w:t xml:space="preserve"> رأيت البارحة رسول الله صلى الله عليه وسلم </w:t>
      </w:r>
      <w:proofErr w:type="spellStart"/>
      <w:r w:rsidR="00777DCB" w:rsidRPr="00A52585">
        <w:rPr>
          <w:rFonts w:hint="cs"/>
          <w:rtl/>
        </w:rPr>
        <w:t>فنهرني</w:t>
      </w:r>
      <w:proofErr w:type="spellEnd"/>
      <w:r w:rsidR="00777DCB" w:rsidRPr="00A52585">
        <w:rPr>
          <w:rFonts w:hint="cs"/>
          <w:rtl/>
        </w:rPr>
        <w:t xml:space="preserve"> وهمّ بي وقال</w:t>
      </w:r>
      <w:r w:rsidRPr="00A52585">
        <w:rPr>
          <w:rFonts w:hint="cs"/>
          <w:rtl/>
        </w:rPr>
        <w:t>:</w:t>
      </w:r>
      <w:r w:rsidR="00777DCB" w:rsidRPr="00A52585">
        <w:rPr>
          <w:rFonts w:hint="cs"/>
          <w:rtl/>
        </w:rPr>
        <w:t xml:space="preserve"> يتشفع بي ولا تقبل. فوالله لا يتشفع به أحد إليّ إلا قبلت شفاعته</w:t>
      </w:r>
      <w:r w:rsidR="00DB731D" w:rsidRPr="00A52585">
        <w:rPr>
          <w:rFonts w:hint="cs"/>
          <w:rtl/>
        </w:rPr>
        <w:t>،</w:t>
      </w:r>
      <w:r w:rsidR="00777DCB" w:rsidRPr="00A52585">
        <w:rPr>
          <w:rFonts w:hint="cs"/>
          <w:rtl/>
        </w:rPr>
        <w:t xml:space="preserve"> فإني خفت على نفسي الهلكة</w:t>
      </w:r>
      <w:r w:rsidR="00DB731D" w:rsidRPr="00A52585">
        <w:rPr>
          <w:rFonts w:hint="cs"/>
          <w:rtl/>
        </w:rPr>
        <w:t>،</w:t>
      </w:r>
      <w:r w:rsidR="00777DCB" w:rsidRPr="00A52585">
        <w:rPr>
          <w:rFonts w:hint="cs"/>
          <w:rtl/>
        </w:rPr>
        <w:t xml:space="preserve"> وعن منصور بن عبد الله قال</w:t>
      </w:r>
      <w:r w:rsidRPr="00A52585">
        <w:rPr>
          <w:rFonts w:hint="cs"/>
          <w:rtl/>
        </w:rPr>
        <w:t>:</w:t>
      </w:r>
      <w:r w:rsidR="00777DCB" w:rsidRPr="00A52585">
        <w:rPr>
          <w:rFonts w:hint="cs"/>
          <w:rtl/>
        </w:rPr>
        <w:t xml:space="preserve"> سمعت ابن الجلاء يقول</w:t>
      </w:r>
      <w:r w:rsidRPr="00A52585">
        <w:rPr>
          <w:rFonts w:hint="cs"/>
          <w:rtl/>
        </w:rPr>
        <w:t>:</w:t>
      </w:r>
      <w:r w:rsidR="00777DCB" w:rsidRPr="00A52585">
        <w:rPr>
          <w:rFonts w:hint="cs"/>
          <w:rtl/>
        </w:rPr>
        <w:t xml:space="preserve"> دخلت مدينة الرسول صلى الله عليه وسلم وبي شيء من الفاقة فتقدمت إلى القبر فسلمت على النبي صلى الله عليه وسلم وعلى </w:t>
      </w:r>
      <w:proofErr w:type="spellStart"/>
      <w:r w:rsidR="00777DCB" w:rsidRPr="00A52585">
        <w:rPr>
          <w:rFonts w:hint="cs"/>
          <w:rtl/>
        </w:rPr>
        <w:t>ضجيعيه</w:t>
      </w:r>
      <w:proofErr w:type="spellEnd"/>
      <w:r w:rsidR="00777DCB" w:rsidRPr="00A52585">
        <w:rPr>
          <w:rFonts w:hint="cs"/>
          <w:rtl/>
        </w:rPr>
        <w:t xml:space="preserve"> أبي بكر رضي الله عنه وعمر رضي الله عنه. ثم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يا رسول الله بي فاقة وأنا ضيفك الليلة</w:t>
      </w:r>
      <w:r w:rsidR="00DB731D" w:rsidRPr="00A52585">
        <w:rPr>
          <w:rFonts w:hint="cs"/>
          <w:rtl/>
        </w:rPr>
        <w:t>،</w:t>
      </w:r>
      <w:r w:rsidR="00777DCB" w:rsidRPr="00A52585">
        <w:rPr>
          <w:rFonts w:hint="cs"/>
          <w:rtl/>
        </w:rPr>
        <w:t xml:space="preserve"> ثم تنحيت ونمت بين القبر والمنبر وإذا أنا بالنبي صلى الله عليه وسلم جاءني ودفع إلىّ رغيف خبز فأكلت نصفه فانتبهت فإذا في يدي نصف الرغيف. ومن تتمة القصة أن قال ابن الجلاء أنه دام بعد ذلك أربعين سنة لم يحتج فيها إلى طعام الدنيا ولا إلى شرابها ببركة تلك الأكلة</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الظاهر أن ما أتاه به النبي صلى الله عليه وسلم من طعام الجنة لأن من أكل من طعام الجنة استغنى عن طعام الدنيا</w:t>
      </w:r>
      <w:r w:rsidR="00DB731D" w:rsidRPr="00A52585">
        <w:rPr>
          <w:rFonts w:hint="cs"/>
          <w:rtl/>
        </w:rPr>
        <w:t>،</w:t>
      </w:r>
      <w:r w:rsidR="00777DCB" w:rsidRPr="00A52585">
        <w:rPr>
          <w:rFonts w:hint="cs"/>
          <w:rtl/>
        </w:rPr>
        <w:t xml:space="preserve"> قالوا وهذه رؤيا حق لما جاء في الحديث</w:t>
      </w:r>
      <w:r w:rsidRPr="00A52585">
        <w:rPr>
          <w:rFonts w:hint="cs"/>
          <w:rtl/>
        </w:rPr>
        <w:t>:</w:t>
      </w:r>
      <w:r w:rsidR="00777DCB" w:rsidRPr="00A52585">
        <w:rPr>
          <w:rFonts w:hint="cs"/>
          <w:rtl/>
        </w:rPr>
        <w:t xml:space="preserve"> (من رآني في المنام فقد رآني حقاً فإن الشيطان لا يتمثل بي</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رواه البخاري والترمذي، وأحمد في مسنده عن أنس</w:t>
      </w:r>
      <w:r w:rsidRPr="00A52585">
        <w:rPr>
          <w:rFonts w:hint="cs"/>
          <w:sz w:val="24"/>
          <w:szCs w:val="24"/>
          <w:rtl/>
        </w:rPr>
        <w:t>]</w:t>
      </w:r>
      <w:r w:rsidR="00DB731D" w:rsidRPr="00A52585">
        <w:rPr>
          <w:rFonts w:hint="cs"/>
          <w:rtl/>
        </w:rPr>
        <w:t>،</w:t>
      </w:r>
      <w:r w:rsidR="00777DCB" w:rsidRPr="00A52585">
        <w:rPr>
          <w:rFonts w:hint="cs"/>
          <w:rtl/>
        </w:rPr>
        <w:t xml:space="preserve"> ومثل هذا وقع للسيد الجليل أبي الخير الأقطع صاحب المقامات الباهرة والكرامات الظاهرة قال</w:t>
      </w:r>
      <w:r w:rsidRPr="00A52585">
        <w:rPr>
          <w:rFonts w:hint="cs"/>
          <w:rtl/>
        </w:rPr>
        <w:t>:</w:t>
      </w:r>
      <w:r w:rsidR="00777DCB" w:rsidRPr="00A52585">
        <w:rPr>
          <w:rFonts w:hint="cs"/>
          <w:rtl/>
        </w:rPr>
        <w:t xml:space="preserve"> دخلت مدينة النبي صلى الله عليه وسلم وأنا بفاقة فأقمت خمسة أيام ما ذقت ذواقاً. فتقدمت إلى القبر وسلمت على النبي صلى الله عليه وسلم وعلى أبي بكر وعمر رضي الله عنهما و</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أنا ضيفك يا رسول الله وتنحيت ونمت خلف القبر فرأيت في المنام النبي صلى الله عليه وسلم وأبا بكر عن يمينه وعمر عن شماله وعلي بين يديه فحركني وقال</w:t>
      </w:r>
      <w:r w:rsidRPr="00A52585">
        <w:rPr>
          <w:rFonts w:hint="cs"/>
          <w:rtl/>
        </w:rPr>
        <w:t>:</w:t>
      </w:r>
      <w:r w:rsidR="00777DCB" w:rsidRPr="00A52585">
        <w:rPr>
          <w:rFonts w:hint="cs"/>
          <w:rtl/>
        </w:rPr>
        <w:t xml:space="preserve"> قم قد جاء الرسول الله صلى الله عليه وسلم قال</w:t>
      </w:r>
      <w:r w:rsidRPr="00A52585">
        <w:rPr>
          <w:rFonts w:hint="cs"/>
          <w:rtl/>
        </w:rPr>
        <w:t>:</w:t>
      </w:r>
      <w:r w:rsidR="00777DCB" w:rsidRPr="00A52585">
        <w:rPr>
          <w:rFonts w:hint="cs"/>
          <w:rtl/>
        </w:rPr>
        <w:t xml:space="preserve"> فقمت إليه وقبلت بين عينيه فدفع إلى رغيفاً فأكلت نصفه وانتبهت وإذا في يدي نصف رغيف</w:t>
      </w:r>
      <w:r w:rsidR="00DB731D" w:rsidRPr="00A52585">
        <w:rPr>
          <w:rFonts w:hint="cs"/>
          <w:rtl/>
        </w:rPr>
        <w:t>،</w:t>
      </w:r>
      <w:r w:rsidR="00777DCB" w:rsidRPr="00A52585">
        <w:rPr>
          <w:rFonts w:hint="cs"/>
          <w:rtl/>
        </w:rPr>
        <w:t xml:space="preserve"> قال العلماء</w:t>
      </w:r>
      <w:r w:rsidRPr="00A52585">
        <w:rPr>
          <w:rFonts w:hint="cs"/>
          <w:rtl/>
        </w:rPr>
        <w:t>:</w:t>
      </w:r>
      <w:r w:rsidR="00777DCB" w:rsidRPr="00A52585">
        <w:rPr>
          <w:rFonts w:hint="cs"/>
          <w:rtl/>
        </w:rPr>
        <w:t xml:space="preserve"> وإنما تبقى نصف الرغيف ليتحقق الأمر وتظهر كرامة أولياء الله عز وجل الذين سلكوا سبيله بصدق</w:t>
      </w:r>
      <w:r w:rsidR="00DB731D" w:rsidRPr="00A52585">
        <w:rPr>
          <w:rFonts w:hint="cs"/>
          <w:rtl/>
        </w:rPr>
        <w:t>،</w:t>
      </w:r>
      <w:r w:rsidR="00777DCB" w:rsidRPr="00A52585">
        <w:rPr>
          <w:rFonts w:hint="cs"/>
          <w:rtl/>
        </w:rPr>
        <w:t xml:space="preserve"> صلى الله عليه وسلم ورضي عنهم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هذه القصة الحافظ السخاوي وعزاها إلى أبي عبد الرحمن السلمي بإسناده إلى أبي الخير الأقطع، وذكرها بسنده الحافظ ابن النجار في (الدرة الثمينة في تاريخ المدينة) ص225 وأغلب الآثار التي ذكرها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موجودة بالسند في هذا الكتاب وكذا كتاب (مصباح الظلام في المستغيثين بخير الأنام) للإمام ابن التلمساني، مخطوط أعان الله على إخراجه وأبو الخير الأقطع مغربي الأصل له كرامات وفراسة حادة كبير الشأن مات سنة نيف وأربعين </w:t>
      </w:r>
      <w:r w:rsidR="00777DCB" w:rsidRPr="00A52585">
        <w:rPr>
          <w:rFonts w:hint="cs"/>
          <w:sz w:val="24"/>
          <w:szCs w:val="24"/>
          <w:rtl/>
        </w:rPr>
        <w:lastRenderedPageBreak/>
        <w:t>وثلاثمائة</w:t>
      </w:r>
      <w:r w:rsidR="00DB731D" w:rsidRPr="00A52585">
        <w:rPr>
          <w:rFonts w:hint="cs"/>
          <w:sz w:val="24"/>
          <w:szCs w:val="24"/>
          <w:rtl/>
        </w:rPr>
        <w:t>،</w:t>
      </w:r>
      <w:r w:rsidR="00777DCB" w:rsidRPr="00A52585">
        <w:rPr>
          <w:rFonts w:hint="cs"/>
          <w:sz w:val="24"/>
          <w:szCs w:val="24"/>
          <w:rtl/>
        </w:rPr>
        <w:t xml:space="preserve"> انظر الرسالة القشيرية</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 xml:space="preserve">وقال ابن أبي زرعة الصوفي سافرت مع أبي ومع ابن خفيف إلى مكة وأصابتنا فاقة شديدة فدخلنا مدينة النبي صلى الله عليه وسلم وبتنا </w:t>
      </w:r>
      <w:proofErr w:type="spellStart"/>
      <w:r w:rsidR="00777DCB" w:rsidRPr="00A52585">
        <w:rPr>
          <w:rFonts w:hint="cs"/>
          <w:rtl/>
        </w:rPr>
        <w:t>طاوين</w:t>
      </w:r>
      <w:proofErr w:type="spellEnd"/>
      <w:r w:rsidR="00777DCB" w:rsidRPr="00A52585">
        <w:rPr>
          <w:rFonts w:hint="cs"/>
          <w:rtl/>
        </w:rPr>
        <w:t xml:space="preserve"> وكنت دون البالغ فكنت أجيء إلى أبي غير دفعة وأقول</w:t>
      </w:r>
      <w:r w:rsidRPr="00A52585">
        <w:rPr>
          <w:rFonts w:hint="cs"/>
          <w:rtl/>
        </w:rPr>
        <w:t>:</w:t>
      </w:r>
      <w:r w:rsidR="00777DCB" w:rsidRPr="00A52585">
        <w:rPr>
          <w:rFonts w:hint="cs"/>
          <w:rtl/>
        </w:rPr>
        <w:t xml:space="preserve"> أنا جائع. فأتى والدي إلى الحضرة الشريفة وقال</w:t>
      </w:r>
      <w:r w:rsidRPr="00A52585">
        <w:rPr>
          <w:rFonts w:hint="cs"/>
          <w:rtl/>
        </w:rPr>
        <w:t>:</w:t>
      </w:r>
      <w:r w:rsidR="00777DCB" w:rsidRPr="00A52585">
        <w:rPr>
          <w:rFonts w:hint="cs"/>
          <w:rtl/>
        </w:rPr>
        <w:t xml:space="preserve"> يا رسول الله أنا ضيفك الليلة. وجلس على المراقبة</w:t>
      </w:r>
      <w:r w:rsidR="00DB731D" w:rsidRPr="00A52585">
        <w:rPr>
          <w:rFonts w:hint="cs"/>
          <w:rtl/>
        </w:rPr>
        <w:t>،</w:t>
      </w:r>
      <w:r w:rsidR="00777DCB" w:rsidRPr="00A52585">
        <w:rPr>
          <w:rFonts w:hint="cs"/>
          <w:rtl/>
        </w:rPr>
        <w:t xml:space="preserve"> فلما كان بعد ساعة رفع رأسه وكان يبكي ساعة</w:t>
      </w:r>
      <w:r w:rsidR="00DB731D" w:rsidRPr="00A52585">
        <w:rPr>
          <w:rFonts w:hint="cs"/>
          <w:rtl/>
        </w:rPr>
        <w:t>،</w:t>
      </w:r>
      <w:r w:rsidR="00777DCB" w:rsidRPr="00A52585">
        <w:rPr>
          <w:rFonts w:hint="cs"/>
          <w:rtl/>
        </w:rPr>
        <w:t xml:space="preserve"> ويضحك ساعة. فقال</w:t>
      </w:r>
      <w:r w:rsidRPr="00A52585">
        <w:rPr>
          <w:rFonts w:hint="cs"/>
          <w:rtl/>
        </w:rPr>
        <w:t>:</w:t>
      </w:r>
      <w:r w:rsidR="00777DCB" w:rsidRPr="00A52585">
        <w:rPr>
          <w:rFonts w:hint="cs"/>
          <w:rtl/>
        </w:rPr>
        <w:t xml:space="preserve"> رأيت رسول الله صلى الله عليه وسلم فوضع في يدي دراهم وفتح يده</w:t>
      </w:r>
      <w:r w:rsidRPr="00A52585">
        <w:rPr>
          <w:rFonts w:hint="cs"/>
          <w:rtl/>
        </w:rPr>
        <w:t xml:space="preserve"> </w:t>
      </w:r>
      <w:r w:rsidR="00777DCB" w:rsidRPr="00A52585">
        <w:rPr>
          <w:rFonts w:hint="cs"/>
          <w:rtl/>
        </w:rPr>
        <w:t>فإذا فيها دراهم وبارك الله تعالى لنا فيها إلى أن رجعنا إلى شيراز فكنا ننفق منها</w:t>
      </w:r>
      <w:r w:rsidR="00DB731D" w:rsidRPr="00A52585">
        <w:rPr>
          <w:rFonts w:hint="cs"/>
          <w:rtl/>
        </w:rPr>
        <w:t>،</w:t>
      </w:r>
      <w:r w:rsidR="00777DCB" w:rsidRPr="00A52585">
        <w:rPr>
          <w:rFonts w:hint="cs"/>
          <w:rtl/>
        </w:rPr>
        <w:t xml:space="preserve"> وقال السيد الجليل أبو العباس أحمد الصوفي تهت في البادية ثلاثة أشهر وانسلخ </w:t>
      </w:r>
      <w:proofErr w:type="spellStart"/>
      <w:r w:rsidR="00777DCB" w:rsidRPr="00A52585">
        <w:rPr>
          <w:rFonts w:hint="cs"/>
          <w:rtl/>
        </w:rPr>
        <w:t>جلدى</w:t>
      </w:r>
      <w:proofErr w:type="spellEnd"/>
      <w:r w:rsidR="00777DCB" w:rsidRPr="00A52585">
        <w:rPr>
          <w:rFonts w:hint="cs"/>
          <w:rtl/>
        </w:rPr>
        <w:t xml:space="preserve"> فدخلت المدينة الشريفة وجئت. إلى النبي صلى الله عليه وسلم فسلمت عليه وعلى صاحبيه ثم نمت فرأيت النبي عليه الصلاة والسلام</w:t>
      </w:r>
      <w:r w:rsidR="00777DCB" w:rsidRPr="00A52585">
        <w:rPr>
          <w:rFonts w:hint="cs"/>
          <w:vertAlign w:val="superscript"/>
          <w:rtl/>
        </w:rPr>
        <w:t xml:space="preserve"> </w:t>
      </w:r>
      <w:r w:rsidR="00777DCB" w:rsidRPr="00A52585">
        <w:rPr>
          <w:rFonts w:hint="cs"/>
          <w:rtl/>
        </w:rPr>
        <w:t>في النوم فقال لي</w:t>
      </w:r>
      <w:r w:rsidRPr="00A52585">
        <w:rPr>
          <w:rFonts w:hint="cs"/>
          <w:rtl/>
        </w:rPr>
        <w:t>:</w:t>
      </w:r>
      <w:r w:rsidR="00777DCB" w:rsidRPr="00A52585">
        <w:rPr>
          <w:rFonts w:hint="cs"/>
          <w:rtl/>
        </w:rPr>
        <w:t xml:space="preserve"> يا أحمد جئت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نعم. وأنا جائع وأنا في ضيافتك. فقال لي</w:t>
      </w:r>
      <w:r w:rsidRPr="00A52585">
        <w:rPr>
          <w:rFonts w:hint="cs"/>
          <w:rtl/>
        </w:rPr>
        <w:t>:</w:t>
      </w:r>
      <w:r w:rsidR="00777DCB" w:rsidRPr="00A52585">
        <w:rPr>
          <w:rFonts w:hint="cs"/>
          <w:rtl/>
        </w:rPr>
        <w:t xml:space="preserve"> افتح كفيك ففتحتهما فملأهما دراهم. فانتبهت وهما ملأ. فقمت فاشتريت لي خبز حواري </w:t>
      </w:r>
      <w:proofErr w:type="spellStart"/>
      <w:r w:rsidR="00777DCB" w:rsidRPr="00A52585">
        <w:rPr>
          <w:rFonts w:hint="cs"/>
          <w:rtl/>
        </w:rPr>
        <w:t>وفالوذجاً</w:t>
      </w:r>
      <w:proofErr w:type="spellEnd"/>
      <w:r w:rsidR="00777DCB" w:rsidRPr="00A52585">
        <w:rPr>
          <w:rFonts w:hint="cs"/>
          <w:rtl/>
        </w:rPr>
        <w:t xml:space="preserve"> فأكلت وقمت للوقت ودخلت البادية</w:t>
      </w:r>
      <w:r w:rsidR="00DB731D" w:rsidRPr="00A52585">
        <w:rPr>
          <w:rFonts w:hint="cs"/>
          <w:rtl/>
        </w:rPr>
        <w:t>،</w:t>
      </w:r>
      <w:r w:rsidR="00777DCB" w:rsidRPr="00A52585">
        <w:rPr>
          <w:rFonts w:hint="cs"/>
          <w:rtl/>
        </w:rPr>
        <w:t xml:space="preserve"> ومثل هذا كثير وهؤلاء رجال صدق يقطعون البوادي على قدم التوكل لا يعتمدون على غيره ولا يأنسون بسواه وتقع ألطاف وأمور عجيبة. وقد ذكرت جملة من ذلك في كتاب (تنبيه السالك) في فصل الكرامات فمن أراد أن يقف على الغرائب والعجائب فلينظر فيه وفيما وهب لهم من الكرامات على مقدار طبقاتهم</w:t>
      </w:r>
      <w:r w:rsidR="00DB731D" w:rsidRPr="00A52585">
        <w:rPr>
          <w:rFonts w:hint="cs"/>
          <w:rtl/>
        </w:rPr>
        <w:t>،</w:t>
      </w:r>
      <w:r w:rsidR="00777DCB" w:rsidRPr="00A52585">
        <w:rPr>
          <w:rFonts w:hint="cs"/>
          <w:rtl/>
        </w:rPr>
        <w:t xml:space="preserve"> وخرج بعض المشايخ يريد الزيارة في جماعة من الفقراء قال</w:t>
      </w:r>
      <w:r w:rsidRPr="00A52585">
        <w:rPr>
          <w:rFonts w:hint="cs"/>
          <w:rtl/>
        </w:rPr>
        <w:t>:</w:t>
      </w:r>
      <w:r w:rsidR="00777DCB" w:rsidRPr="00A52585">
        <w:rPr>
          <w:rFonts w:hint="cs"/>
          <w:rtl/>
        </w:rPr>
        <w:t xml:space="preserve"> فلما وصلنا إلى شعب النعام أدركنا العطش وبيننا وبين المدينة مراحل. قال فاستغثت بالنبي صلى الله عليه وسلم وصليت ونمت فرأيت النبي صلى الله عليه وسلم فقال</w:t>
      </w:r>
      <w:r w:rsidRPr="00A52585">
        <w:rPr>
          <w:rFonts w:hint="cs"/>
          <w:rtl/>
        </w:rPr>
        <w:t>:</w:t>
      </w:r>
      <w:r w:rsidR="00777DCB" w:rsidRPr="00A52585">
        <w:rPr>
          <w:rFonts w:hint="cs"/>
          <w:rtl/>
        </w:rPr>
        <w:t xml:space="preserve"> مرحبا بك وبجماعتك وضمني إلى صدره وقبلني. فقبلت يده الكريمة وقدمه وقلت له</w:t>
      </w:r>
      <w:r w:rsidRPr="00A52585">
        <w:rPr>
          <w:rFonts w:hint="cs"/>
          <w:rtl/>
        </w:rPr>
        <w:t>:</w:t>
      </w:r>
      <w:r w:rsidR="00777DCB" w:rsidRPr="00A52585">
        <w:rPr>
          <w:rFonts w:hint="cs"/>
          <w:rtl/>
        </w:rPr>
        <w:t xml:space="preserve"> يا سيدي يا رسول الله أنا خائف على أصحابنا من العطش فقال</w:t>
      </w:r>
      <w:r w:rsidRPr="00A52585">
        <w:rPr>
          <w:rFonts w:hint="cs"/>
          <w:rtl/>
        </w:rPr>
        <w:t>:</w:t>
      </w:r>
      <w:r w:rsidR="00777DCB" w:rsidRPr="00A52585">
        <w:rPr>
          <w:rFonts w:hint="cs"/>
          <w:rtl/>
        </w:rPr>
        <w:t xml:space="preserve"> لا تخف فإنا نُسَيّر لكم الماء وها نحن نعد لكم الضيافة</w:t>
      </w:r>
      <w:r w:rsidR="00DB731D" w:rsidRPr="00A52585">
        <w:rPr>
          <w:rFonts w:hint="cs"/>
          <w:rtl/>
        </w:rPr>
        <w:t>،</w:t>
      </w:r>
      <w:r w:rsidR="00777DCB" w:rsidRPr="00A52585">
        <w:rPr>
          <w:rFonts w:hint="cs"/>
          <w:rtl/>
        </w:rPr>
        <w:t xml:space="preserve"> ورأيته عليه الصلاة والسلام مشمر </w:t>
      </w:r>
      <w:proofErr w:type="spellStart"/>
      <w:r w:rsidR="00777DCB" w:rsidRPr="00A52585">
        <w:rPr>
          <w:rFonts w:hint="cs"/>
          <w:rtl/>
        </w:rPr>
        <w:t>الأكمال</w:t>
      </w:r>
      <w:proofErr w:type="spellEnd"/>
      <w:r w:rsidR="00777DCB" w:rsidRPr="00A52585">
        <w:rPr>
          <w:rFonts w:hint="cs"/>
          <w:rtl/>
        </w:rPr>
        <w:t xml:space="preserve"> فجاءنا السيل في تلك الليلة وملأنا ركابنا فلما قدمنا المدينة تلقانا أحد خدام النبي صلى الله عليه وسلم فقال لي</w:t>
      </w:r>
      <w:r w:rsidRPr="00A52585">
        <w:rPr>
          <w:rFonts w:hint="cs"/>
          <w:rtl/>
        </w:rPr>
        <w:t>:</w:t>
      </w:r>
      <w:r w:rsidR="00777DCB" w:rsidRPr="00A52585">
        <w:rPr>
          <w:rFonts w:hint="cs"/>
          <w:rtl/>
        </w:rPr>
        <w:t xml:space="preserve"> سلم على النبي صلى الله عليه وسلم وأشتهي أن اجتمع بك حتى أوفي لك بما أوصاني به النبي صلى الله عليه وسلم فلما سلمت على النبي جئت إليه فقال لغلامه </w:t>
      </w:r>
      <w:proofErr w:type="spellStart"/>
      <w:r w:rsidR="00777DCB" w:rsidRPr="00A52585">
        <w:rPr>
          <w:rFonts w:hint="cs"/>
          <w:rtl/>
        </w:rPr>
        <w:t>جئني</w:t>
      </w:r>
      <w:proofErr w:type="spellEnd"/>
      <w:r w:rsidR="00777DCB" w:rsidRPr="00A52585">
        <w:rPr>
          <w:rFonts w:hint="cs"/>
          <w:rtl/>
        </w:rPr>
        <w:t xml:space="preserve"> بالمائدة فجاء بها وعليها كل خير يراد فالتفت إليّ وقال</w:t>
      </w:r>
      <w:r w:rsidRPr="00A52585">
        <w:rPr>
          <w:rFonts w:hint="cs"/>
          <w:rtl/>
        </w:rPr>
        <w:t>:</w:t>
      </w:r>
      <w:r w:rsidR="00777DCB" w:rsidRPr="00A52585">
        <w:rPr>
          <w:rFonts w:hint="cs"/>
          <w:rtl/>
        </w:rPr>
        <w:t xml:space="preserve"> كُلْ هذا الذي أوصاني به النبي صلى الله عليه وسلم وقال لي</w:t>
      </w:r>
      <w:r w:rsidRPr="00A52585">
        <w:rPr>
          <w:rFonts w:hint="cs"/>
          <w:rtl/>
        </w:rPr>
        <w:t>:</w:t>
      </w:r>
      <w:r w:rsidR="00777DCB" w:rsidRPr="00A52585">
        <w:rPr>
          <w:rFonts w:hint="cs"/>
          <w:rtl/>
        </w:rPr>
        <w:t xml:space="preserve"> هذه ضيافتك يا فلان وسماني باسمي</w:t>
      </w:r>
      <w:r w:rsidR="00DB731D" w:rsidRPr="00A52585">
        <w:rPr>
          <w:rFonts w:hint="cs"/>
          <w:rtl/>
        </w:rPr>
        <w:t>،</w:t>
      </w:r>
      <w:r w:rsidR="00777DCB" w:rsidRPr="00A52585">
        <w:rPr>
          <w:rFonts w:hint="cs"/>
          <w:rtl/>
        </w:rPr>
        <w:t xml:space="preserve"> وما يبعد أن النبي صلى الله عليه وسلم سماه كما وقع لغيره من الخدام من تسمية أقوام قصدوا زيارته من أرض شاسعة كما أخبرني به الشيخ محمد فولاذ في المسجد الأقصى وكان من الأخيار وكثير التعبد والإيثار وحج ماشياً ما يزيد على ثلاثين حجة</w:t>
      </w:r>
      <w:r w:rsidR="00DB731D" w:rsidRPr="00A52585">
        <w:rPr>
          <w:rFonts w:hint="cs"/>
          <w:rtl/>
        </w:rPr>
        <w:t>،</w:t>
      </w:r>
      <w:r w:rsidR="00777DCB" w:rsidRPr="00A52585">
        <w:rPr>
          <w:rFonts w:hint="cs"/>
          <w:rtl/>
        </w:rPr>
        <w:t xml:space="preserve"> قال لي</w:t>
      </w:r>
      <w:r w:rsidRPr="00A52585">
        <w:rPr>
          <w:rFonts w:hint="cs"/>
          <w:rtl/>
        </w:rPr>
        <w:t>:</w:t>
      </w:r>
      <w:r w:rsidR="00777DCB" w:rsidRPr="00A52585">
        <w:rPr>
          <w:rFonts w:hint="cs"/>
          <w:rtl/>
        </w:rPr>
        <w:t xml:space="preserve"> إذا جاء أوان الحج هاج بي </w:t>
      </w:r>
      <w:r w:rsidR="00777DCB" w:rsidRPr="00A52585">
        <w:rPr>
          <w:rFonts w:hint="cs"/>
          <w:rtl/>
        </w:rPr>
        <w:lastRenderedPageBreak/>
        <w:t>الشوق إلى تلك المعاهد الشريفة وإلى زيارة سيد الأولين والآخرين فآخذ زادي على ظهري وسفن الماء وأسير مع الناس إلى جانب وأنا مشغول بحالي قال فاتفق أني تحادثت أنا وخادم الضريح وتذاكرنا مواهب الله عز وجل لسيدنا رسول الله صلى الله عليه وسلم فقال لي</w:t>
      </w:r>
      <w:r w:rsidRPr="00A52585">
        <w:rPr>
          <w:rFonts w:hint="cs"/>
          <w:rtl/>
        </w:rPr>
        <w:t>:</w:t>
      </w:r>
      <w:r w:rsidR="00777DCB" w:rsidRPr="00A52585">
        <w:rPr>
          <w:rFonts w:hint="cs"/>
          <w:rtl/>
        </w:rPr>
        <w:t xml:space="preserve"> يا شيخ محمد لي أخدم هذا الضريح ستين سنة فاتفق في يوم حار أني سمعت السرير يصرصر وسمعت صوته عليه الصلاة والسلام وهو يقول</w:t>
      </w:r>
      <w:r w:rsidRPr="00A52585">
        <w:rPr>
          <w:rFonts w:hint="cs"/>
          <w:rtl/>
        </w:rPr>
        <w:t>:</w:t>
      </w:r>
      <w:r w:rsidR="00777DCB" w:rsidRPr="00A52585">
        <w:rPr>
          <w:rFonts w:hint="cs"/>
          <w:rtl/>
        </w:rPr>
        <w:t xml:space="preserve"> وعليك السلام يا فلان بن فلان ويا فلان بن فلان وسمى ثمانية أنفس. قال الخادم</w:t>
      </w:r>
      <w:r w:rsidRPr="00A52585">
        <w:rPr>
          <w:rFonts w:hint="cs"/>
          <w:rtl/>
        </w:rPr>
        <w:t>:</w:t>
      </w:r>
      <w:r w:rsidR="00777DCB" w:rsidRPr="00A52585">
        <w:rPr>
          <w:rFonts w:hint="cs"/>
          <w:rtl/>
        </w:rPr>
        <w:t xml:space="preserve"> فقمت من ساعتي وجئت الضريح فإذا بشخص كاد أن يموت من الهزال جالس عند الضريح فسلمت عليه و</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ما اسمك فقال</w:t>
      </w:r>
      <w:r w:rsidRPr="00A52585">
        <w:rPr>
          <w:rFonts w:hint="cs"/>
          <w:rtl/>
        </w:rPr>
        <w:t>:</w:t>
      </w:r>
      <w:r w:rsidR="00777DCB" w:rsidRPr="00A52585">
        <w:rPr>
          <w:rFonts w:hint="cs"/>
          <w:rtl/>
        </w:rPr>
        <w:t xml:space="preserve"> فلان بن فلان</w:t>
      </w:r>
      <w:r w:rsidRPr="00A52585">
        <w:rPr>
          <w:rFonts w:hint="cs"/>
          <w:rtl/>
        </w:rPr>
        <w:t>:</w:t>
      </w:r>
      <w:r w:rsidR="00777DCB" w:rsidRPr="00A52585">
        <w:rPr>
          <w:rFonts w:hint="cs"/>
          <w:rtl/>
        </w:rPr>
        <w:t xml:space="preserve"> لأحد الثمانية. فقلت له</w:t>
      </w:r>
      <w:r w:rsidRPr="00A52585">
        <w:rPr>
          <w:rFonts w:hint="cs"/>
          <w:rtl/>
        </w:rPr>
        <w:t>:</w:t>
      </w:r>
      <w:r w:rsidR="00777DCB" w:rsidRPr="00A52585">
        <w:rPr>
          <w:rFonts w:hint="cs"/>
          <w:rtl/>
        </w:rPr>
        <w:t xml:space="preserve"> وأين رفقتك فقال</w:t>
      </w:r>
      <w:r w:rsidRPr="00A52585">
        <w:rPr>
          <w:rFonts w:hint="cs"/>
          <w:rtl/>
        </w:rPr>
        <w:t>:</w:t>
      </w:r>
      <w:r w:rsidR="00777DCB" w:rsidRPr="00A52585">
        <w:rPr>
          <w:rFonts w:hint="cs"/>
          <w:rtl/>
        </w:rPr>
        <w:t xml:space="preserve"> عند باب الحرم قد عجزوا عن الوصول إلى عند الضريح قال</w:t>
      </w:r>
      <w:r w:rsidRPr="00A52585">
        <w:rPr>
          <w:rFonts w:hint="cs"/>
          <w:rtl/>
        </w:rPr>
        <w:t>:</w:t>
      </w:r>
      <w:r w:rsidR="00777DCB" w:rsidRPr="00A52585">
        <w:rPr>
          <w:rFonts w:hint="cs"/>
          <w:rtl/>
        </w:rPr>
        <w:t xml:space="preserve"> فعمدت إليهم فإذا ثلاثة من الذين سماهم رسول الله صلى الله عليه وسلم فقلت وأين بقيتكم فقالوا فارقناهم من وراء تلك</w:t>
      </w:r>
      <w:r w:rsidRPr="00A52585">
        <w:rPr>
          <w:rFonts w:hint="cs"/>
          <w:rtl/>
        </w:rPr>
        <w:t xml:space="preserve"> </w:t>
      </w:r>
      <w:r w:rsidR="00777DCB" w:rsidRPr="00A52585">
        <w:rPr>
          <w:rFonts w:hint="cs"/>
          <w:rtl/>
        </w:rPr>
        <w:t>الأكمة قال</w:t>
      </w:r>
      <w:r w:rsidRPr="00A52585">
        <w:rPr>
          <w:rFonts w:hint="cs"/>
          <w:rtl/>
        </w:rPr>
        <w:t>:</w:t>
      </w:r>
      <w:r w:rsidR="00777DCB" w:rsidRPr="00A52585">
        <w:rPr>
          <w:rFonts w:hint="cs"/>
          <w:rtl/>
        </w:rPr>
        <w:t xml:space="preserve"> فأخذت ما أحملهم عليه وماءً وشيئاً من الأكل ومضيت فوجدت الأربعة قد قضوا قال فجهزتهم ثم رجعت إلى الأربعة فأخذتهم وأكرمتهم وسألتهم من أين وردهم فقالوا من بلاد شاسعة تعاقدنا وتعاهدنا على زيارة سيدنا رسول الله صلى الله عليه وسلم وأن لا نرجع عن ذلك ولو ذهبت أنفسنا فأما نحن فقد أعطانا الله عز وجل مرادنا وأما إخواننا الذين ماتوا عند الأكمة</w:t>
      </w:r>
      <w:r w:rsidR="00DB731D" w:rsidRPr="00A52585">
        <w:rPr>
          <w:rFonts w:hint="cs"/>
          <w:rtl/>
        </w:rPr>
        <w:t>،</w:t>
      </w:r>
      <w:r w:rsidR="00777DCB" w:rsidRPr="00A52585">
        <w:rPr>
          <w:rFonts w:hint="cs"/>
          <w:rtl/>
        </w:rPr>
        <w:t xml:space="preserve"> فنرجو أن الله عز وجل لا يخيب مسعاهم</w:t>
      </w:r>
      <w:r w:rsidR="00DB731D" w:rsidRPr="00A52585">
        <w:rPr>
          <w:rFonts w:hint="cs"/>
          <w:rtl/>
        </w:rPr>
        <w:t>،</w:t>
      </w:r>
      <w:r w:rsidR="00777DCB" w:rsidRPr="00A52585">
        <w:rPr>
          <w:rFonts w:hint="cs"/>
          <w:rtl/>
        </w:rPr>
        <w:t xml:space="preserve"> ووقع مثل هذا كثيراً جدا وقد دوّنه الأئمة كابن أبي الدنيا وغيره وعقدوا له باب الاستغاثة بالنبي صلى الله عليه وسلم وخرجوه بأسانيدهم على اختلاف الوقائع</w:t>
      </w:r>
      <w:r w:rsidR="00DB731D" w:rsidRPr="00A52585">
        <w:rPr>
          <w:rFonts w:hint="cs"/>
          <w:rtl/>
        </w:rPr>
        <w:t>،</w:t>
      </w:r>
      <w:r w:rsidR="00777DCB" w:rsidRPr="00A52585">
        <w:rPr>
          <w:rFonts w:hint="cs"/>
          <w:rtl/>
        </w:rPr>
        <w:t xml:space="preserve"> </w:t>
      </w:r>
    </w:p>
    <w:p w14:paraId="7A18637A" w14:textId="308C281C" w:rsidR="00777DCB" w:rsidRPr="00A52585" w:rsidRDefault="00777DCB" w:rsidP="0002035C">
      <w:pPr>
        <w:spacing w:after="240"/>
        <w:rPr>
          <w:b/>
          <w:bCs/>
          <w:rtl/>
        </w:rPr>
      </w:pPr>
      <w:r w:rsidRPr="00A52585">
        <w:rPr>
          <w:rFonts w:hint="cs"/>
          <w:bCs/>
          <w:rtl/>
        </w:rPr>
        <w:t>وفيهما ما يتعلق بالصديق والفاروق رضي الله عنهما</w:t>
      </w:r>
      <w:r w:rsidR="0002035C" w:rsidRPr="00A52585">
        <w:rPr>
          <w:rFonts w:hint="cs"/>
          <w:bCs/>
          <w:rtl/>
        </w:rPr>
        <w:t>:</w:t>
      </w:r>
      <w:r w:rsidRPr="00A52585">
        <w:rPr>
          <w:rFonts w:hint="cs"/>
          <w:bCs/>
          <w:rtl/>
        </w:rPr>
        <w:t xml:space="preserve"> </w:t>
      </w:r>
      <w:r w:rsidRPr="00A52585">
        <w:rPr>
          <w:rFonts w:hint="cs"/>
          <w:rtl/>
        </w:rPr>
        <w:t xml:space="preserve">وها </w:t>
      </w:r>
      <w:proofErr w:type="spellStart"/>
      <w:r w:rsidRPr="00A52585">
        <w:rPr>
          <w:rFonts w:hint="cs"/>
          <w:rtl/>
        </w:rPr>
        <w:t>أنذا</w:t>
      </w:r>
      <w:proofErr w:type="spellEnd"/>
      <w:r w:rsidRPr="00A52585">
        <w:rPr>
          <w:rFonts w:hint="cs"/>
          <w:rtl/>
        </w:rPr>
        <w:t xml:space="preserve"> أتعرض لنبذة يسيرة جداً من غير ذكر الأسانيد لأنه اللائق بهذه الورقات فمن أراد الكثرة فعليه بالنظر في كتب الأئمة فإنها مجلدات والمهمل لذكرها قد نادى على نفسه بخبث طويته في حق أصفياء الله عز وجل وأوليائه</w:t>
      </w:r>
      <w:r w:rsidR="00DB731D" w:rsidRPr="00A52585">
        <w:rPr>
          <w:rFonts w:hint="cs"/>
          <w:rtl/>
        </w:rPr>
        <w:t>،</w:t>
      </w:r>
      <w:r w:rsidRPr="00A52585">
        <w:rPr>
          <w:rFonts w:hint="cs"/>
          <w:rtl/>
        </w:rPr>
        <w:t xml:space="preserve"> عائذاً الله من الزيغ والفتن ما ظهر منها وما بطن</w:t>
      </w:r>
      <w:r w:rsidR="00DB731D" w:rsidRPr="00A52585">
        <w:rPr>
          <w:rFonts w:hint="cs"/>
          <w:rtl/>
        </w:rPr>
        <w:t>،</w:t>
      </w:r>
      <w:r w:rsidRPr="00A52585">
        <w:rPr>
          <w:rFonts w:hint="cs"/>
          <w:rtl/>
        </w:rPr>
        <w:t xml:space="preserve"> فمن ذلك</w:t>
      </w:r>
      <w:r w:rsidR="0002035C" w:rsidRPr="00A52585">
        <w:rPr>
          <w:rFonts w:hint="cs"/>
          <w:rtl/>
        </w:rPr>
        <w:t>:</w:t>
      </w:r>
      <w:r w:rsidRPr="00A52585">
        <w:rPr>
          <w:rFonts w:hint="cs"/>
          <w:rtl/>
        </w:rPr>
        <w:t xml:space="preserve"> ما أخبر به أبو عبيد الحسين وأبو علي بن سعيد بن نبهان وكان من فضلاء بغداد ورؤسائهم وغيرهما قالوا أراد رجل الحج فأحضره الأمير مقلد</w:t>
      </w:r>
      <w:r w:rsidR="00DB731D" w:rsidRPr="00A52585">
        <w:rPr>
          <w:rFonts w:hint="cs"/>
          <w:rtl/>
        </w:rPr>
        <w:t>،</w:t>
      </w:r>
      <w:r w:rsidRPr="00A52585">
        <w:rPr>
          <w:rFonts w:hint="cs"/>
          <w:rtl/>
        </w:rPr>
        <w:t xml:space="preserve"> فقال له</w:t>
      </w:r>
      <w:r w:rsidR="0002035C" w:rsidRPr="00A52585">
        <w:rPr>
          <w:rFonts w:hint="cs"/>
          <w:rtl/>
        </w:rPr>
        <w:t>:</w:t>
      </w:r>
      <w:r w:rsidRPr="00A52585">
        <w:rPr>
          <w:rFonts w:hint="cs"/>
          <w:rtl/>
        </w:rPr>
        <w:t xml:space="preserve"> يا فلان تريد الحج</w:t>
      </w:r>
      <w:r w:rsidR="00F95886"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نعم. قال</w:t>
      </w:r>
      <w:r w:rsidR="0002035C" w:rsidRPr="00A52585">
        <w:rPr>
          <w:rFonts w:hint="cs"/>
          <w:rtl/>
        </w:rPr>
        <w:t>:</w:t>
      </w:r>
      <w:r w:rsidRPr="00A52585">
        <w:rPr>
          <w:rFonts w:hint="cs"/>
          <w:rtl/>
        </w:rPr>
        <w:t xml:space="preserve"> إذا حججت وأتيت المدينة فاقرأ على النبي صلى الله عليه وسلم مني السلام وقل له لولا صاحباك لزرتك</w:t>
      </w:r>
      <w:r w:rsidR="00DB731D" w:rsidRPr="00A52585">
        <w:rPr>
          <w:rFonts w:hint="cs"/>
          <w:rtl/>
        </w:rPr>
        <w:t>،</w:t>
      </w:r>
      <w:r w:rsidRPr="00A52585">
        <w:rPr>
          <w:rFonts w:hint="cs"/>
          <w:rtl/>
        </w:rPr>
        <w:t xml:space="preserve"> قال الرجل فحججت وأتيت المدينة ولم أقل الكلام عند القبر إجلالاً لرسول الله صلى الله عليه وسلم</w:t>
      </w:r>
      <w:r w:rsidR="0002035C" w:rsidRPr="00A52585">
        <w:rPr>
          <w:rFonts w:hint="cs"/>
          <w:rtl/>
        </w:rPr>
        <w:t xml:space="preserve"> </w:t>
      </w:r>
      <w:r w:rsidRPr="00A52585">
        <w:rPr>
          <w:rFonts w:hint="cs"/>
          <w:rtl/>
        </w:rPr>
        <w:t xml:space="preserve">فلما كان الليل نمت فرأيت رسول الله صلى الله عليه وسلم في منامي فقال لي يا فلان لم </w:t>
      </w:r>
      <w:proofErr w:type="spellStart"/>
      <w:r w:rsidRPr="00A52585">
        <w:rPr>
          <w:rFonts w:hint="cs"/>
          <w:rtl/>
        </w:rPr>
        <w:t>لم</w:t>
      </w:r>
      <w:proofErr w:type="spellEnd"/>
      <w:r w:rsidRPr="00A52585">
        <w:rPr>
          <w:rFonts w:hint="cs"/>
          <w:rtl/>
        </w:rPr>
        <w:t xml:space="preserve"> تؤد الرسالة من مقلد. فقلت يا رسول الله أجللتك أن أقول في صاحبيك ذلك فرفع رأسه إلى رجل قائم فقال له</w:t>
      </w:r>
      <w:r w:rsidR="0002035C" w:rsidRPr="00A52585">
        <w:rPr>
          <w:rFonts w:hint="cs"/>
          <w:rtl/>
        </w:rPr>
        <w:t>:</w:t>
      </w:r>
      <w:r w:rsidRPr="00A52585">
        <w:rPr>
          <w:rFonts w:hint="cs"/>
          <w:rtl/>
        </w:rPr>
        <w:t xml:space="preserve"> خذ هذا الموسى واذبحه قال</w:t>
      </w:r>
      <w:r w:rsidR="0002035C" w:rsidRPr="00A52585">
        <w:rPr>
          <w:rFonts w:hint="cs"/>
          <w:rtl/>
        </w:rPr>
        <w:t>:</w:t>
      </w:r>
      <w:r w:rsidRPr="00A52585">
        <w:rPr>
          <w:rFonts w:hint="cs"/>
          <w:rtl/>
        </w:rPr>
        <w:t xml:space="preserve"> ففعل. قال</w:t>
      </w:r>
      <w:r w:rsidR="0002035C" w:rsidRPr="00A52585">
        <w:rPr>
          <w:rFonts w:hint="cs"/>
          <w:rtl/>
        </w:rPr>
        <w:t>:</w:t>
      </w:r>
      <w:r w:rsidRPr="00A52585">
        <w:rPr>
          <w:rFonts w:hint="cs"/>
          <w:rtl/>
        </w:rPr>
        <w:t xml:space="preserve"> فوافيت العراق فسمعت أن الأمير </w:t>
      </w:r>
      <w:r w:rsidRPr="00A52585">
        <w:rPr>
          <w:rFonts w:hint="cs"/>
          <w:rtl/>
        </w:rPr>
        <w:lastRenderedPageBreak/>
        <w:t>مقلد ذبح على فراشه. فلما قدمت المدينة سألت عنه فقيل</w:t>
      </w:r>
      <w:r w:rsidR="0002035C" w:rsidRPr="00A52585">
        <w:rPr>
          <w:rFonts w:hint="cs"/>
          <w:rtl/>
        </w:rPr>
        <w:t>:</w:t>
      </w:r>
      <w:r w:rsidRPr="00A52585">
        <w:rPr>
          <w:rFonts w:hint="cs"/>
          <w:rtl/>
        </w:rPr>
        <w:t xml:space="preserve"> أنه ذبح على فراشه فذكرت للناس الرؤيا التي رأيتها</w:t>
      </w:r>
      <w:r w:rsidR="00DB731D" w:rsidRPr="00A52585">
        <w:rPr>
          <w:rFonts w:hint="cs"/>
          <w:rtl/>
        </w:rPr>
        <w:t>،</w:t>
      </w:r>
      <w:r w:rsidRPr="00A52585">
        <w:rPr>
          <w:rFonts w:hint="cs"/>
          <w:rtl/>
        </w:rPr>
        <w:t xml:space="preserve"> فشاعت إلى أن بلغت الأمير فرواس بن المسيب فأحضرني وقال لي اشرح لي الحال فشرحت له فقال أتعرف الموسى</w:t>
      </w:r>
      <w:r w:rsidR="00F95886"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نعم. فأحضر طبقاً مملوءاً مواسي والموسى في الجملة فقال لي</w:t>
      </w:r>
      <w:r w:rsidR="0002035C" w:rsidRPr="00A52585">
        <w:rPr>
          <w:rFonts w:hint="cs"/>
          <w:rtl/>
        </w:rPr>
        <w:t>:</w:t>
      </w:r>
      <w:r w:rsidRPr="00A52585">
        <w:rPr>
          <w:rFonts w:hint="cs"/>
          <w:rtl/>
        </w:rPr>
        <w:t xml:space="preserve"> أخرج الموسى فضربت بيدي وأخذت الموسى الذي رأيته بيد النبي صلى الله عليه وسلم وقد ناوله الرجل فقال</w:t>
      </w:r>
      <w:r w:rsidR="0002035C" w:rsidRPr="00A52585">
        <w:rPr>
          <w:rFonts w:hint="cs"/>
          <w:rtl/>
        </w:rPr>
        <w:t>:</w:t>
      </w:r>
      <w:r w:rsidRPr="00A52585">
        <w:rPr>
          <w:rFonts w:hint="cs"/>
          <w:rtl/>
        </w:rPr>
        <w:t xml:space="preserve"> صدقت هذا الموسى وجدته عند رأسه وهو مذبوح</w:t>
      </w:r>
      <w:r w:rsidR="00DB731D" w:rsidRPr="00A52585">
        <w:rPr>
          <w:rFonts w:hint="cs"/>
          <w:rtl/>
        </w:rPr>
        <w:t>،</w:t>
      </w:r>
      <w:r w:rsidRPr="00A52585">
        <w:rPr>
          <w:rFonts w:hint="cs"/>
          <w:rtl/>
        </w:rPr>
        <w:t xml:space="preserve"> ومن ذلك ما أخبر به على بن محمد قال سمعت رضوان السمان وكان من الأخيار وأهل السنة قال</w:t>
      </w:r>
      <w:r w:rsidR="0002035C" w:rsidRPr="00A52585">
        <w:rPr>
          <w:rFonts w:hint="cs"/>
          <w:rtl/>
        </w:rPr>
        <w:t>:</w:t>
      </w:r>
      <w:r w:rsidRPr="00A52585">
        <w:rPr>
          <w:rFonts w:hint="cs"/>
          <w:rtl/>
        </w:rPr>
        <w:t xml:space="preserve"> كان لي جار في منزلي وفي سوقي وكان يشتم أبا بكر وعمر رضي الله عنهما قال</w:t>
      </w:r>
      <w:r w:rsidR="0002035C" w:rsidRPr="00A52585">
        <w:rPr>
          <w:rFonts w:hint="cs"/>
          <w:rtl/>
        </w:rPr>
        <w:t>:</w:t>
      </w:r>
      <w:r w:rsidRPr="00A52585">
        <w:rPr>
          <w:rFonts w:hint="cs"/>
          <w:rtl/>
        </w:rPr>
        <w:t xml:space="preserve"> فكثر الكلام بيني وبينه فلما كان ذات يوم شتمهما وأنا حاضر فوقع بيني وبينه كلام حتى ناولته وناولني فانصرفت إلى منزلي وأنا مهموم حزين ألوم نفسي قال فنمت وتركت العشاء لشدة ما بي فرأيت النبي صلى الله عليه وسلم في منامي في ليلتي فقلت</w:t>
      </w:r>
      <w:r w:rsidR="0002035C" w:rsidRPr="00A52585">
        <w:rPr>
          <w:rFonts w:hint="cs"/>
          <w:rtl/>
        </w:rPr>
        <w:t>:</w:t>
      </w:r>
      <w:r w:rsidRPr="00A52585">
        <w:rPr>
          <w:rFonts w:hint="cs"/>
          <w:rtl/>
        </w:rPr>
        <w:t xml:space="preserve"> يا رسول الله فلان جاري في منزلي وفي سوقي يسب أصحابك قال</w:t>
      </w:r>
      <w:r w:rsidR="0002035C" w:rsidRPr="00A52585">
        <w:rPr>
          <w:rFonts w:hint="cs"/>
          <w:rtl/>
        </w:rPr>
        <w:t>:</w:t>
      </w:r>
      <w:r w:rsidRPr="00A52585">
        <w:rPr>
          <w:rFonts w:hint="cs"/>
          <w:rtl/>
        </w:rPr>
        <w:t xml:space="preserve"> من أصحابي</w:t>
      </w:r>
      <w:r w:rsidR="00F95886" w:rsidRPr="00A52585">
        <w:rPr>
          <w:rFonts w:hint="cs"/>
          <w:rtl/>
        </w:rPr>
        <w:t>؟</w:t>
      </w:r>
      <w:r w:rsidRPr="00A52585">
        <w:rPr>
          <w:rFonts w:hint="cs"/>
          <w:rtl/>
        </w:rPr>
        <w:t xml:space="preserve"> قلت</w:t>
      </w:r>
      <w:r w:rsidR="0002035C" w:rsidRPr="00A52585">
        <w:rPr>
          <w:rFonts w:hint="cs"/>
          <w:rtl/>
        </w:rPr>
        <w:t>:</w:t>
      </w:r>
      <w:r w:rsidRPr="00A52585">
        <w:rPr>
          <w:rFonts w:hint="cs"/>
          <w:rtl/>
        </w:rPr>
        <w:t xml:space="preserve"> أبا بكر وعمر رضي الله عنهما فقال لي</w:t>
      </w:r>
      <w:r w:rsidR="0002035C" w:rsidRPr="00A52585">
        <w:rPr>
          <w:rFonts w:hint="cs"/>
          <w:rtl/>
        </w:rPr>
        <w:t>:</w:t>
      </w:r>
      <w:r w:rsidRPr="00A52585">
        <w:rPr>
          <w:rFonts w:hint="cs"/>
          <w:rtl/>
        </w:rPr>
        <w:t xml:space="preserve"> خذ هذه المدية واذبحه بها قال فأخذتها وأضجعته فذبحته</w:t>
      </w:r>
      <w:r w:rsidR="00DB731D" w:rsidRPr="00A52585">
        <w:rPr>
          <w:rFonts w:hint="cs"/>
          <w:rtl/>
        </w:rPr>
        <w:t>،</w:t>
      </w:r>
      <w:r w:rsidRPr="00A52585">
        <w:rPr>
          <w:rFonts w:hint="cs"/>
          <w:rtl/>
        </w:rPr>
        <w:t xml:space="preserve"> فرأيت كأن يدي أصابها من دمه فألقيت المدية وأهويت بيدي إلى الأرض أمسحها فانتبهت وأنا أمسح يدي فأسمع الصراخ من نحو داره فقلت انظروا ما هذا الصراخ قالوا فلان مات فجأة</w:t>
      </w:r>
      <w:r w:rsidR="00DB731D" w:rsidRPr="00A52585">
        <w:rPr>
          <w:rFonts w:hint="cs"/>
          <w:rtl/>
        </w:rPr>
        <w:t>،</w:t>
      </w:r>
      <w:r w:rsidRPr="00A52585">
        <w:rPr>
          <w:rFonts w:hint="cs"/>
          <w:rtl/>
        </w:rPr>
        <w:t xml:space="preserve"> فلما أصبحنا جئت أنظر إليه لعلمي أن رؤياه حق</w:t>
      </w:r>
      <w:r w:rsidR="0002035C" w:rsidRPr="00A52585">
        <w:rPr>
          <w:rFonts w:hint="cs"/>
          <w:rtl/>
        </w:rPr>
        <w:t xml:space="preserve"> </w:t>
      </w:r>
      <w:r w:rsidRPr="00A52585">
        <w:rPr>
          <w:rFonts w:hint="cs"/>
          <w:rtl/>
        </w:rPr>
        <w:t>فنظرت فإذا خط موضع الذبح</w:t>
      </w:r>
      <w:r w:rsidR="00DB731D" w:rsidRPr="00A52585">
        <w:rPr>
          <w:rFonts w:hint="cs"/>
          <w:rtl/>
        </w:rPr>
        <w:t>،</w:t>
      </w:r>
      <w:r w:rsidRPr="00A52585">
        <w:rPr>
          <w:rFonts w:hint="cs"/>
          <w:rtl/>
        </w:rPr>
        <w:t xml:space="preserve"> ومن ذلك ما أخبر به يحيى بن عطاف المعدل بالموصل قال</w:t>
      </w:r>
      <w:r w:rsidR="0002035C" w:rsidRPr="00A52585">
        <w:rPr>
          <w:rFonts w:hint="cs"/>
          <w:rtl/>
        </w:rPr>
        <w:t>:</w:t>
      </w:r>
      <w:r w:rsidRPr="00A52585">
        <w:rPr>
          <w:rFonts w:hint="cs"/>
          <w:rtl/>
        </w:rPr>
        <w:t xml:space="preserve"> حكى لي</w:t>
      </w:r>
      <w:r w:rsidR="0002035C" w:rsidRPr="00A52585">
        <w:rPr>
          <w:rFonts w:hint="cs"/>
          <w:rtl/>
        </w:rPr>
        <w:t xml:space="preserve"> </w:t>
      </w:r>
      <w:r w:rsidRPr="00A52585">
        <w:rPr>
          <w:rFonts w:hint="cs"/>
          <w:rtl/>
        </w:rPr>
        <w:t>شيخ دمشقي جاور بالحجاز سنين</w:t>
      </w:r>
      <w:r w:rsidR="00DB731D"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جاورت بالمدينة الشريفة سنة مجدبة فخرجت إلى السوق لأشتري برباعي دقيقاً فأخذ الدقيقي مني الرباعي وقال</w:t>
      </w:r>
      <w:r w:rsidR="0002035C" w:rsidRPr="00A52585">
        <w:rPr>
          <w:rFonts w:hint="cs"/>
          <w:rtl/>
        </w:rPr>
        <w:t>:</w:t>
      </w:r>
      <w:r w:rsidRPr="00A52585">
        <w:rPr>
          <w:rFonts w:hint="cs"/>
          <w:rtl/>
        </w:rPr>
        <w:t xml:space="preserve"> العن الشيخين حتى أبيعك الدقيق فامتنعت من ذلك فراجعني مرات وهو يضحك فضجرت وقلت لعن الله من لعنهما. فلطم عيني فرجعت إلى المسجد والدموع تسيل. قال</w:t>
      </w:r>
      <w:r w:rsidR="0002035C" w:rsidRPr="00A52585">
        <w:rPr>
          <w:rFonts w:hint="cs"/>
          <w:rtl/>
        </w:rPr>
        <w:t>:</w:t>
      </w:r>
      <w:r w:rsidRPr="00A52585">
        <w:rPr>
          <w:rFonts w:hint="cs"/>
          <w:rtl/>
        </w:rPr>
        <w:t xml:space="preserve"> وكان لي صديق زاهداً عابداً جاور بالمدينة سنين فسألني عن حالي فذكرت له </w:t>
      </w:r>
      <w:proofErr w:type="spellStart"/>
      <w:r w:rsidRPr="00A52585">
        <w:rPr>
          <w:rFonts w:hint="cs"/>
          <w:rtl/>
        </w:rPr>
        <w:t>القصه</w:t>
      </w:r>
      <w:proofErr w:type="spellEnd"/>
      <w:r w:rsidR="00DB731D" w:rsidRPr="00A52585">
        <w:rPr>
          <w:rFonts w:hint="cs"/>
          <w:rtl/>
        </w:rPr>
        <w:t>،</w:t>
      </w:r>
      <w:r w:rsidRPr="00A52585">
        <w:rPr>
          <w:rFonts w:hint="cs"/>
          <w:rtl/>
        </w:rPr>
        <w:t xml:space="preserve"> فقام معي إلى التربة الشريفة وقال السلام عليك يا رسول الله. فلما جنَّ </w:t>
      </w:r>
      <w:proofErr w:type="gramStart"/>
      <w:r w:rsidRPr="00A52585">
        <w:rPr>
          <w:rFonts w:hint="cs"/>
          <w:rtl/>
        </w:rPr>
        <w:t>علي</w:t>
      </w:r>
      <w:proofErr w:type="gramEnd"/>
      <w:r w:rsidRPr="00A52585">
        <w:rPr>
          <w:rFonts w:hint="cs"/>
          <w:rtl/>
        </w:rPr>
        <w:t xml:space="preserve"> الليل نمت فلما أصبحت صادفت عيني أحسن مما كانت وكأنها لم يصبها ضر قط ثم لم يكن إلا ساعة وإذا رجل مبرقع قد دخل من باب المسجد يسأل عني فدُل عليّ فجاء وسلم علي وقال</w:t>
      </w:r>
      <w:r w:rsidR="0002035C" w:rsidRPr="00A52585">
        <w:rPr>
          <w:rFonts w:hint="cs"/>
          <w:rtl/>
        </w:rPr>
        <w:t>:</w:t>
      </w:r>
      <w:r w:rsidRPr="00A52585">
        <w:rPr>
          <w:rFonts w:hint="cs"/>
          <w:rtl/>
        </w:rPr>
        <w:t xml:space="preserve"> ناشدتك الله إلا جعلتني في حل فأنا الرجل الذي لطمتك فقلت</w:t>
      </w:r>
      <w:r w:rsidR="0002035C" w:rsidRPr="00A52585">
        <w:rPr>
          <w:rFonts w:hint="cs"/>
          <w:rtl/>
        </w:rPr>
        <w:t>:</w:t>
      </w:r>
      <w:r w:rsidRPr="00A52585">
        <w:rPr>
          <w:rFonts w:hint="cs"/>
          <w:rtl/>
        </w:rPr>
        <w:t xml:space="preserve"> لا</w:t>
      </w:r>
      <w:r w:rsidR="00DB731D" w:rsidRPr="00A52585">
        <w:rPr>
          <w:rFonts w:hint="cs"/>
          <w:rtl/>
        </w:rPr>
        <w:t>،</w:t>
      </w:r>
      <w:r w:rsidRPr="00A52585">
        <w:rPr>
          <w:rFonts w:hint="cs"/>
          <w:rtl/>
        </w:rPr>
        <w:t xml:space="preserve"> أو تذكر لي قصتك فقال</w:t>
      </w:r>
      <w:r w:rsidR="0002035C" w:rsidRPr="00A52585">
        <w:rPr>
          <w:rFonts w:hint="cs"/>
          <w:rtl/>
        </w:rPr>
        <w:t>:</w:t>
      </w:r>
      <w:r w:rsidRPr="00A52585">
        <w:rPr>
          <w:rFonts w:hint="cs"/>
          <w:rtl/>
        </w:rPr>
        <w:t xml:space="preserve"> نمت فرأيت رسول الله صلى الله عليه وسلم قد أقبل ومعه أبو بكر وعمر وعلي رضي الله عنهم فتقدمت وقلت السلام عليكم فقال علي رضي الله عنه</w:t>
      </w:r>
      <w:r w:rsidR="0002035C" w:rsidRPr="00A52585">
        <w:rPr>
          <w:rFonts w:hint="cs"/>
          <w:rtl/>
        </w:rPr>
        <w:t>:</w:t>
      </w:r>
      <w:r w:rsidRPr="00A52585">
        <w:rPr>
          <w:rFonts w:hint="cs"/>
          <w:rtl/>
        </w:rPr>
        <w:t xml:space="preserve"> لا سلم الله عليك ولا رضي عنك أنا أمرتك أن تلعن الشيخين وجعل بإصبعيه كذا في عيني </w:t>
      </w:r>
      <w:proofErr w:type="spellStart"/>
      <w:r w:rsidRPr="00A52585">
        <w:rPr>
          <w:rFonts w:hint="cs"/>
          <w:rtl/>
        </w:rPr>
        <w:t>ففقأهما</w:t>
      </w:r>
      <w:proofErr w:type="spellEnd"/>
      <w:r w:rsidRPr="00A52585">
        <w:rPr>
          <w:rFonts w:hint="cs"/>
          <w:rtl/>
        </w:rPr>
        <w:t xml:space="preserve">. فانتبهت وأنا تائب إلى الله تعالى وأسألك التجاوز عن جرمي فحين </w:t>
      </w:r>
      <w:r w:rsidRPr="00A52585">
        <w:rPr>
          <w:rFonts w:hint="cs"/>
          <w:rtl/>
        </w:rPr>
        <w:lastRenderedPageBreak/>
        <w:t>سمعت قوله قلت</w:t>
      </w:r>
      <w:r w:rsidR="0002035C" w:rsidRPr="00A52585">
        <w:rPr>
          <w:rFonts w:hint="cs"/>
          <w:rtl/>
        </w:rPr>
        <w:t>:</w:t>
      </w:r>
      <w:r w:rsidRPr="00A52585">
        <w:rPr>
          <w:rFonts w:hint="cs"/>
          <w:rtl/>
        </w:rPr>
        <w:t xml:space="preserve"> اذهب فأنت في حل من قبلي قال أبو النصر وكان هذا الشيخ الدمشقي دينا صالحاً ناسكاً قدس الله تعالى روحه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w:t>
      </w:r>
      <w:r w:rsidRPr="00A52585">
        <w:rPr>
          <w:rFonts w:hint="cs"/>
          <w:sz w:val="24"/>
          <w:szCs w:val="24"/>
          <w:rtl/>
        </w:rPr>
        <w:t xml:space="preserve"> </w:t>
      </w:r>
      <w:r w:rsidRPr="00A52585">
        <w:rPr>
          <w:rFonts w:hint="cs"/>
          <w:spacing w:val="-6"/>
          <w:sz w:val="24"/>
          <w:szCs w:val="24"/>
          <w:rtl/>
        </w:rPr>
        <w:t>روى هذه القصة الحافظ السلفي نزيل الإسكندرية بإسناده إلى يحيى بن عطاف المعدل، وذكرها ابن القيم أيضاً في كتاب (الكبائر) وفي كتاب (السنة والبدعة) له في بيان بدعة الرفض</w:t>
      </w:r>
      <w:r w:rsidR="0002035C" w:rsidRPr="00A52585">
        <w:rPr>
          <w:rFonts w:hint="cs"/>
          <w:spacing w:val="-6"/>
          <w:sz w:val="24"/>
          <w:szCs w:val="24"/>
          <w:rtl/>
        </w:rPr>
        <w:t>]</w:t>
      </w:r>
      <w:r w:rsidR="00DB731D" w:rsidRPr="00A52585">
        <w:rPr>
          <w:rFonts w:hint="cs"/>
          <w:sz w:val="24"/>
          <w:szCs w:val="24"/>
          <w:rtl/>
        </w:rPr>
        <w:t>،</w:t>
      </w:r>
      <w:r w:rsidRPr="00A52585">
        <w:rPr>
          <w:rFonts w:hint="cs"/>
          <w:rtl/>
        </w:rPr>
        <w:t xml:space="preserve"> كان علي رضي الله عنه يقول</w:t>
      </w:r>
      <w:r w:rsidR="0002035C" w:rsidRPr="00A52585">
        <w:rPr>
          <w:rFonts w:hint="cs"/>
          <w:rtl/>
        </w:rPr>
        <w:t>:</w:t>
      </w:r>
      <w:r w:rsidRPr="00A52585">
        <w:rPr>
          <w:rFonts w:hint="cs"/>
          <w:rtl/>
        </w:rPr>
        <w:t xml:space="preserve"> أنا وأبو بكر وعمر كنفس واحدة من أحبنا جميعاً انتفع بمحبتنا ومن فرق بيننا في المحبة لقي الله تعالى يوم القيامة ولا حجة له</w:t>
      </w:r>
      <w:r w:rsidR="00DB731D" w:rsidRPr="00A52585">
        <w:rPr>
          <w:rFonts w:hint="cs"/>
          <w:rtl/>
        </w:rPr>
        <w:t>،</w:t>
      </w:r>
      <w:r w:rsidRPr="00A52585">
        <w:rPr>
          <w:rFonts w:hint="cs"/>
          <w:rtl/>
        </w:rPr>
        <w:t xml:space="preserve"> وكان أيوب السختياني يقول</w:t>
      </w:r>
      <w:r w:rsidR="0002035C" w:rsidRPr="00A52585">
        <w:rPr>
          <w:rFonts w:hint="cs"/>
          <w:rtl/>
        </w:rPr>
        <w:t>:</w:t>
      </w:r>
      <w:r w:rsidRPr="00A52585">
        <w:rPr>
          <w:rFonts w:hint="cs"/>
          <w:rtl/>
        </w:rPr>
        <w:t xml:space="preserve"> من أحب أبا بكر فقد أحب إمام الدين</w:t>
      </w:r>
      <w:r w:rsidR="00DB731D" w:rsidRPr="00A52585">
        <w:rPr>
          <w:rFonts w:hint="cs"/>
          <w:rtl/>
        </w:rPr>
        <w:t>،</w:t>
      </w:r>
      <w:r w:rsidRPr="00A52585">
        <w:rPr>
          <w:rFonts w:hint="cs"/>
          <w:rtl/>
        </w:rPr>
        <w:t xml:space="preserve"> ومن أحب عمر فقد أوضح السبيل. ومن أحب عثمان فقد استنار بنور الله تعالى</w:t>
      </w:r>
      <w:r w:rsidR="00DB731D" w:rsidRPr="00A52585">
        <w:rPr>
          <w:rFonts w:hint="cs"/>
          <w:rtl/>
        </w:rPr>
        <w:t>،</w:t>
      </w:r>
      <w:r w:rsidRPr="00A52585">
        <w:rPr>
          <w:rFonts w:hint="cs"/>
          <w:rtl/>
        </w:rPr>
        <w:t xml:space="preserve"> ومن أحب علياً فقد </w:t>
      </w:r>
      <w:proofErr w:type="spellStart"/>
      <w:r w:rsidRPr="00A52585">
        <w:rPr>
          <w:rFonts w:hint="cs"/>
          <w:rtl/>
        </w:rPr>
        <w:t>استسمك</w:t>
      </w:r>
      <w:proofErr w:type="spellEnd"/>
      <w:r w:rsidRPr="00A52585">
        <w:rPr>
          <w:rFonts w:hint="cs"/>
          <w:rtl/>
        </w:rPr>
        <w:t xml:space="preserve"> بالعروة الوثقي لا انفصام لها. ومن أحسن الثناء على أصحاب محمد فقد بريء من النفاق. ومن انتقص أحداً منهم فهو مبتدع مخالف للسنة والسلف الصالح وأخاف </w:t>
      </w:r>
      <w:proofErr w:type="gramStart"/>
      <w:r w:rsidRPr="00A52585">
        <w:rPr>
          <w:rFonts w:hint="cs"/>
          <w:rtl/>
        </w:rPr>
        <w:t>أن لا</w:t>
      </w:r>
      <w:proofErr w:type="gramEnd"/>
      <w:r w:rsidRPr="00A52585">
        <w:rPr>
          <w:rFonts w:hint="cs"/>
          <w:rtl/>
        </w:rPr>
        <w:t xml:space="preserve"> يصعد له عمل إلى السماء حتى يحبهم جميعاً ويكون قلبه سليماً. على هذا الاعتقاد درج السلف وبذلك اقتدى العلماء خلفاً بعد خلف</w:t>
      </w:r>
      <w:r w:rsidR="00DB731D" w:rsidRPr="00A52585">
        <w:rPr>
          <w:rFonts w:hint="cs"/>
          <w:rtl/>
        </w:rPr>
        <w:t>،</w:t>
      </w:r>
      <w:r w:rsidRPr="00A52585">
        <w:rPr>
          <w:rFonts w:hint="cs"/>
          <w:rtl/>
        </w:rPr>
        <w:t xml:space="preserve"> ومن ذلك ما أخبر به أبو محمد بن عبد الله بن محمد الفقيه الحنبلي قال اجتمع جماعة في الطريق قاصدين مكة في عروض السنة وكان أحدهم كثير الصلاة والتعبد</w:t>
      </w:r>
      <w:r w:rsidR="00DB731D" w:rsidRPr="00A52585">
        <w:rPr>
          <w:rFonts w:hint="cs"/>
          <w:rtl/>
        </w:rPr>
        <w:t>،</w:t>
      </w:r>
      <w:r w:rsidRPr="00A52585">
        <w:rPr>
          <w:rFonts w:hint="cs"/>
          <w:rtl/>
        </w:rPr>
        <w:t xml:space="preserve"> فمات فأهمهم دفنه فنظروا إلى بيت شعر في الصحراء فقصدوه فإذا في البيت عجوز</w:t>
      </w:r>
      <w:r w:rsidR="00DB731D" w:rsidRPr="00A52585">
        <w:rPr>
          <w:rFonts w:hint="cs"/>
          <w:rtl/>
        </w:rPr>
        <w:t>،</w:t>
      </w:r>
      <w:r w:rsidRPr="00A52585">
        <w:rPr>
          <w:rFonts w:hint="cs"/>
          <w:rtl/>
        </w:rPr>
        <w:t xml:space="preserve"> وفيه قدوم</w:t>
      </w:r>
      <w:r w:rsidR="00DB731D" w:rsidRPr="00A52585">
        <w:rPr>
          <w:rFonts w:hint="cs"/>
          <w:rtl/>
        </w:rPr>
        <w:t>،</w:t>
      </w:r>
      <w:r w:rsidRPr="00A52585">
        <w:rPr>
          <w:rFonts w:hint="cs"/>
          <w:rtl/>
        </w:rPr>
        <w:t xml:space="preserve"> فسألوها أن تدفعه إليهم. فقالت</w:t>
      </w:r>
      <w:r w:rsidR="0002035C" w:rsidRPr="00A52585">
        <w:rPr>
          <w:rFonts w:hint="cs"/>
          <w:rtl/>
        </w:rPr>
        <w:t>:</w:t>
      </w:r>
      <w:r w:rsidRPr="00A52585">
        <w:rPr>
          <w:rFonts w:hint="cs"/>
          <w:rtl/>
        </w:rPr>
        <w:t xml:space="preserve"> تعاهدوني الله عز وجل أنكم تردونه إليّ فأعطوها ما أرادت. ثم أخذوا القدوم فحفروا به قبراً وواروا الرجل ونسوا القدوم في القبر</w:t>
      </w:r>
      <w:r w:rsidR="00DB731D" w:rsidRPr="00A52585">
        <w:rPr>
          <w:rFonts w:hint="cs"/>
          <w:rtl/>
        </w:rPr>
        <w:t>،</w:t>
      </w:r>
      <w:r w:rsidRPr="00A52585">
        <w:rPr>
          <w:rFonts w:hint="cs"/>
          <w:rtl/>
        </w:rPr>
        <w:t xml:space="preserve"> فذكروا العهود فدعتهم الضرورة إلى أن نبشوه</w:t>
      </w:r>
      <w:r w:rsidR="00DB731D" w:rsidRPr="00A52585">
        <w:rPr>
          <w:rFonts w:hint="cs"/>
          <w:rtl/>
        </w:rPr>
        <w:t>،</w:t>
      </w:r>
      <w:r w:rsidRPr="00A52585">
        <w:rPr>
          <w:rFonts w:hint="cs"/>
          <w:rtl/>
        </w:rPr>
        <w:t xml:space="preserve"> فإذا القدوم قد صار غلا من يد الرجل إلى عنقه</w:t>
      </w:r>
      <w:r w:rsidR="00DB731D" w:rsidRPr="00A52585">
        <w:rPr>
          <w:rFonts w:hint="cs"/>
          <w:rtl/>
        </w:rPr>
        <w:t>،</w:t>
      </w:r>
      <w:r w:rsidRPr="00A52585">
        <w:rPr>
          <w:rFonts w:hint="cs"/>
          <w:rtl/>
        </w:rPr>
        <w:t xml:space="preserve"> فردوا عليه التراب فأخبروا العجوز الخبر فقالت</w:t>
      </w:r>
      <w:r w:rsidR="0002035C" w:rsidRPr="00A52585">
        <w:rPr>
          <w:rFonts w:hint="cs"/>
          <w:rtl/>
        </w:rPr>
        <w:t>:</w:t>
      </w:r>
      <w:r w:rsidRPr="00A52585">
        <w:rPr>
          <w:rFonts w:hint="cs"/>
          <w:rtl/>
        </w:rPr>
        <w:t xml:space="preserve"> لا إله إلا الله رأيت رسول الله صلى الله عليه وسلم في منامي فقال احتفظي بهذا القدوم فإنه غل لرجل يسب أبا بكر وعمر رضي الله عنهما</w:t>
      </w:r>
      <w:r w:rsidR="00DB731D" w:rsidRPr="00A52585">
        <w:rPr>
          <w:rFonts w:hint="cs"/>
          <w:rtl/>
        </w:rPr>
        <w:t>،</w:t>
      </w:r>
      <w:r w:rsidRPr="00A52585">
        <w:rPr>
          <w:rFonts w:hint="cs"/>
          <w:rtl/>
        </w:rPr>
        <w:t xml:space="preserve"> وأخبر العباس السبتي قال</w:t>
      </w:r>
      <w:r w:rsidR="0002035C" w:rsidRPr="00A52585">
        <w:rPr>
          <w:rFonts w:hint="cs"/>
          <w:rtl/>
        </w:rPr>
        <w:t>:</w:t>
      </w:r>
      <w:r w:rsidRPr="00A52585">
        <w:rPr>
          <w:rFonts w:hint="cs"/>
          <w:rtl/>
        </w:rPr>
        <w:t xml:space="preserve"> قال لي أحد المشايخ المعمرين</w:t>
      </w:r>
      <w:r w:rsidR="0002035C" w:rsidRPr="00A52585">
        <w:rPr>
          <w:rFonts w:hint="cs"/>
          <w:rtl/>
        </w:rPr>
        <w:t>:</w:t>
      </w:r>
      <w:r w:rsidRPr="00A52585">
        <w:rPr>
          <w:rFonts w:hint="cs"/>
          <w:rtl/>
        </w:rPr>
        <w:t xml:space="preserve"> كنت بجامع عمرو بن العاص ونحن في صلاة أراها صلاة الصبح فسمعت ضجيجا بصحن الجامع. فلما فرغنا من الصلاة اجتمع الناس </w:t>
      </w:r>
      <w:proofErr w:type="spellStart"/>
      <w:r w:rsidRPr="00A52585">
        <w:rPr>
          <w:rFonts w:hint="cs"/>
          <w:rtl/>
        </w:rPr>
        <w:t>فرأو</w:t>
      </w:r>
      <w:proofErr w:type="spellEnd"/>
      <w:r w:rsidRPr="00A52585">
        <w:rPr>
          <w:rFonts w:hint="cs"/>
          <w:rtl/>
        </w:rPr>
        <w:t xml:space="preserve"> رجلاً مذبوحاً فقال رجل من الحاضرين</w:t>
      </w:r>
      <w:r w:rsidR="0002035C" w:rsidRPr="00A52585">
        <w:rPr>
          <w:rFonts w:hint="cs"/>
          <w:rtl/>
        </w:rPr>
        <w:t>:</w:t>
      </w:r>
      <w:r w:rsidRPr="00A52585">
        <w:rPr>
          <w:rFonts w:hint="cs"/>
          <w:rtl/>
        </w:rPr>
        <w:t xml:space="preserve"> أنا ذبحته فإني سمعته يسب أبا بكر وعمر رضي الله عنهما فحمل إلى السلطان فسأله عن القصة فقال</w:t>
      </w:r>
      <w:r w:rsidR="0002035C" w:rsidRPr="00A52585">
        <w:rPr>
          <w:rFonts w:hint="cs"/>
          <w:rtl/>
        </w:rPr>
        <w:t>:</w:t>
      </w:r>
      <w:r w:rsidRPr="00A52585">
        <w:rPr>
          <w:rFonts w:hint="cs"/>
          <w:rtl/>
        </w:rPr>
        <w:t xml:space="preserve"> أنا ذبحته. فأمر السلطان بالرجل أن يحبس وبالمقتول أن يدفن فحفروا له موضعاً فوجدواً ثعباناً. ثم حفروا له موضعاً آخر فوجدوا فيه ثعباناً فأخبروا السلطان بذلك فقال</w:t>
      </w:r>
      <w:r w:rsidR="0002035C" w:rsidRPr="00A52585">
        <w:rPr>
          <w:rFonts w:hint="cs"/>
          <w:rtl/>
        </w:rPr>
        <w:t>:</w:t>
      </w:r>
      <w:r w:rsidRPr="00A52585">
        <w:rPr>
          <w:rFonts w:hint="cs"/>
          <w:rtl/>
        </w:rPr>
        <w:t xml:space="preserve"> احفروا له قبراً ثالثاً فحفروا. فإذا فيه ثعبان. فقال</w:t>
      </w:r>
      <w:r w:rsidR="0002035C" w:rsidRPr="00A52585">
        <w:rPr>
          <w:rFonts w:hint="cs"/>
          <w:rtl/>
        </w:rPr>
        <w:t>:</w:t>
      </w:r>
      <w:r w:rsidRPr="00A52585">
        <w:rPr>
          <w:rFonts w:hint="cs"/>
          <w:rtl/>
        </w:rPr>
        <w:t xml:space="preserve"> ادفنوه وسرح القاتل</w:t>
      </w:r>
      <w:r w:rsidR="00DB731D" w:rsidRPr="00A52585">
        <w:rPr>
          <w:rFonts w:hint="cs"/>
          <w:rtl/>
        </w:rPr>
        <w:t>،</w:t>
      </w:r>
      <w:r w:rsidRPr="00A52585">
        <w:rPr>
          <w:rFonts w:hint="cs"/>
          <w:rtl/>
        </w:rPr>
        <w:t xml:space="preserve"> </w:t>
      </w:r>
      <w:r w:rsidR="0002035C" w:rsidRPr="00A52585">
        <w:rPr>
          <w:rFonts w:hint="cs"/>
          <w:bCs/>
          <w:rtl/>
        </w:rPr>
        <w:t>(</w:t>
      </w:r>
      <w:r w:rsidRPr="00A52585">
        <w:rPr>
          <w:rFonts w:hint="cs"/>
          <w:bCs/>
          <w:rtl/>
        </w:rPr>
        <w:t>قلت</w:t>
      </w:r>
      <w:r w:rsidR="0002035C" w:rsidRPr="00A52585">
        <w:rPr>
          <w:rFonts w:hint="cs"/>
          <w:bCs/>
          <w:rtl/>
        </w:rPr>
        <w:t>):</w:t>
      </w:r>
      <w:r w:rsidRPr="00A52585">
        <w:rPr>
          <w:rFonts w:hint="cs"/>
          <w:bCs/>
          <w:rtl/>
        </w:rPr>
        <w:t xml:space="preserve"> وبلغني أنه لما دفن ابن تيمية قال شخص بعد ثلاثة أيام</w:t>
      </w:r>
      <w:r w:rsidR="0002035C" w:rsidRPr="00A52585">
        <w:rPr>
          <w:rFonts w:hint="cs"/>
          <w:bCs/>
          <w:rtl/>
        </w:rPr>
        <w:t>:</w:t>
      </w:r>
      <w:r w:rsidRPr="00A52585">
        <w:rPr>
          <w:rFonts w:hint="cs"/>
          <w:bCs/>
          <w:rtl/>
        </w:rPr>
        <w:t xml:space="preserve"> قد اضطرب القول في هذا الرجل والله لأنظرن ما صنع الله تعالى به</w:t>
      </w:r>
      <w:r w:rsidR="00DB731D" w:rsidRPr="00A52585">
        <w:rPr>
          <w:rFonts w:hint="cs"/>
          <w:bCs/>
          <w:rtl/>
        </w:rPr>
        <w:t>،</w:t>
      </w:r>
      <w:r w:rsidRPr="00A52585">
        <w:rPr>
          <w:rFonts w:hint="cs"/>
          <w:bCs/>
          <w:rtl/>
        </w:rPr>
        <w:t xml:space="preserve"> قال</w:t>
      </w:r>
      <w:r w:rsidR="0002035C" w:rsidRPr="00A52585">
        <w:rPr>
          <w:rFonts w:hint="cs"/>
          <w:bCs/>
          <w:rtl/>
        </w:rPr>
        <w:t>:</w:t>
      </w:r>
      <w:r w:rsidRPr="00A52585">
        <w:rPr>
          <w:rFonts w:hint="cs"/>
          <w:bCs/>
          <w:rtl/>
        </w:rPr>
        <w:t xml:space="preserve"> فحفر قبره فوجده على صدره ثعبانٌ عظيمٌ هاله منظره. فكان الرجل يحذر الناس من اعتقاده ويعلمهم بما رأى والله أعلم</w:t>
      </w:r>
      <w:r w:rsidR="00DB731D" w:rsidRPr="00A52585">
        <w:rPr>
          <w:rFonts w:hint="cs"/>
          <w:bCs/>
          <w:rtl/>
        </w:rPr>
        <w:t>،</w:t>
      </w:r>
      <w:r w:rsidRPr="00A52585">
        <w:rPr>
          <w:rFonts w:hint="cs"/>
          <w:bCs/>
          <w:rtl/>
        </w:rPr>
        <w:t xml:space="preserve"> </w:t>
      </w:r>
      <w:r w:rsidRPr="00A52585">
        <w:rPr>
          <w:rFonts w:hint="cs"/>
          <w:rtl/>
        </w:rPr>
        <w:t xml:space="preserve">وذكر ابن أبي الدنيا في كتابه مجابي </w:t>
      </w:r>
      <w:r w:rsidRPr="00A52585">
        <w:rPr>
          <w:rFonts w:hint="cs"/>
          <w:rtl/>
        </w:rPr>
        <w:lastRenderedPageBreak/>
        <w:t xml:space="preserve">الدعوة بسنده إلى مؤذن عك قال جزت أنا وعمي إلى </w:t>
      </w:r>
      <w:proofErr w:type="spellStart"/>
      <w:r w:rsidRPr="00A52585">
        <w:rPr>
          <w:rFonts w:hint="cs"/>
          <w:rtl/>
        </w:rPr>
        <w:t>بكران</w:t>
      </w:r>
      <w:proofErr w:type="spellEnd"/>
      <w:r w:rsidRPr="00A52585">
        <w:rPr>
          <w:rFonts w:hint="cs"/>
          <w:rtl/>
        </w:rPr>
        <w:t xml:space="preserve"> وكان رجل يسب أبا بكر وعمر رضي الله عنهما فنهيناه فلم ينته فقلنا</w:t>
      </w:r>
      <w:r w:rsidR="0002035C" w:rsidRPr="00A52585">
        <w:rPr>
          <w:rFonts w:hint="cs"/>
          <w:rtl/>
        </w:rPr>
        <w:t>:</w:t>
      </w:r>
      <w:r w:rsidRPr="00A52585">
        <w:rPr>
          <w:rFonts w:hint="cs"/>
          <w:rtl/>
        </w:rPr>
        <w:t xml:space="preserve"> اعتزلنا. فاعتزلنا فلما دنا خروجنا قلنا لو صحبناه حتى نرجع إلى الكوفة فلقينا غلام له فقلنا له قل لمولاك يعود إلينا</w:t>
      </w:r>
      <w:r w:rsidR="00DB731D"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إن مولاي قد حدث له أمر عظيم قد مسخت يداه يدي خنزير</w:t>
      </w:r>
      <w:r w:rsidR="00DB731D" w:rsidRPr="00A52585">
        <w:rPr>
          <w:rFonts w:hint="cs"/>
          <w:rtl/>
        </w:rPr>
        <w:t>،</w:t>
      </w:r>
      <w:r w:rsidRPr="00A52585">
        <w:rPr>
          <w:rFonts w:hint="cs"/>
          <w:rtl/>
        </w:rPr>
        <w:t xml:space="preserve"> قال فأتيناه فقلنا له</w:t>
      </w:r>
      <w:r w:rsidR="0002035C" w:rsidRPr="00A52585">
        <w:rPr>
          <w:rFonts w:hint="cs"/>
          <w:rtl/>
        </w:rPr>
        <w:t>:</w:t>
      </w:r>
      <w:r w:rsidRPr="00A52585">
        <w:rPr>
          <w:rFonts w:hint="cs"/>
          <w:rtl/>
        </w:rPr>
        <w:t xml:space="preserve"> ارجع إلينا</w:t>
      </w:r>
      <w:r w:rsidR="00DB731D" w:rsidRPr="00A52585">
        <w:rPr>
          <w:rFonts w:hint="cs"/>
          <w:rtl/>
        </w:rPr>
        <w:t>،</w:t>
      </w:r>
      <w:r w:rsidRPr="00A52585">
        <w:rPr>
          <w:rFonts w:hint="cs"/>
          <w:rtl/>
        </w:rPr>
        <w:t xml:space="preserve"> قال إنه حدث فِيَّ أمر عظيم وأخرج ذراعيه فإذا هما ذراعي خنزير. قال</w:t>
      </w:r>
      <w:r w:rsidR="0002035C" w:rsidRPr="00A52585">
        <w:rPr>
          <w:rFonts w:hint="cs"/>
          <w:rtl/>
        </w:rPr>
        <w:t>:</w:t>
      </w:r>
      <w:r w:rsidRPr="00A52585">
        <w:rPr>
          <w:rFonts w:hint="cs"/>
          <w:rtl/>
        </w:rPr>
        <w:t xml:space="preserve"> فصحبنا حتى أتينا قرية من قرى السواد كثيرة الخنازير فلما رآها صاح صيحة فمسخ خنزيراً. وخفي علينا فجئنا بغلامه ومتاعه إلى الكوفة وشاع أمره </w:t>
      </w:r>
      <w:proofErr w:type="spellStart"/>
      <w:r w:rsidRPr="00A52585">
        <w:rPr>
          <w:rFonts w:hint="cs"/>
          <w:rtl/>
        </w:rPr>
        <w:t>أعاذنا</w:t>
      </w:r>
      <w:proofErr w:type="spellEnd"/>
      <w:r w:rsidRPr="00A52585">
        <w:rPr>
          <w:rFonts w:hint="cs"/>
          <w:rtl/>
        </w:rPr>
        <w:t xml:space="preserve"> الله تعالى من ذلك</w:t>
      </w:r>
      <w:r w:rsidR="00DB731D" w:rsidRPr="00A52585">
        <w:rPr>
          <w:rFonts w:hint="cs"/>
          <w:rtl/>
        </w:rPr>
        <w:t>،</w:t>
      </w:r>
      <w:r w:rsidRPr="00A52585">
        <w:rPr>
          <w:rFonts w:hint="cs"/>
          <w:rtl/>
        </w:rPr>
        <w:t xml:space="preserve"> واعلم أن من الشيعة طائفة تقول أن خير الناس بعد رسول الله صلى الله عليه وسلم علي رضي الله عنه وأن أبا بكر وعمر رضي الله عنهما ارتدا بعد إسلامهما وقاتلا الناس</w:t>
      </w:r>
      <w:r w:rsidR="00DB731D" w:rsidRPr="00A52585">
        <w:rPr>
          <w:rFonts w:hint="cs"/>
          <w:rtl/>
        </w:rPr>
        <w:t>،</w:t>
      </w:r>
      <w:r w:rsidRPr="00A52585">
        <w:rPr>
          <w:rFonts w:hint="cs"/>
          <w:rtl/>
        </w:rPr>
        <w:t xml:space="preserve"> ثم اعلم أن مما يتعلق بأمور الشيعة من هذا النوع وغيره كثير</w:t>
      </w:r>
      <w:r w:rsidR="00DB731D" w:rsidRPr="00A52585">
        <w:rPr>
          <w:rFonts w:hint="cs"/>
          <w:rtl/>
        </w:rPr>
        <w:t>،</w:t>
      </w:r>
      <w:r w:rsidRPr="00A52585">
        <w:rPr>
          <w:rFonts w:hint="cs"/>
          <w:rtl/>
        </w:rPr>
        <w:t xml:space="preserve"> والمراد أن الاستغاثة بالنبي صلى الله عليه وسلم </w:t>
      </w:r>
      <w:proofErr w:type="spellStart"/>
      <w:r w:rsidRPr="00A52585">
        <w:rPr>
          <w:rFonts w:hint="cs"/>
          <w:rtl/>
        </w:rPr>
        <w:t>واللواذ</w:t>
      </w:r>
      <w:proofErr w:type="spellEnd"/>
      <w:r w:rsidRPr="00A52585">
        <w:rPr>
          <w:rFonts w:hint="cs"/>
          <w:rtl/>
        </w:rPr>
        <w:t xml:space="preserve"> بقبره مع الاستعانة به كثير على اختلاف الحاجات</w:t>
      </w:r>
      <w:r w:rsidR="00DB731D" w:rsidRPr="00A52585">
        <w:rPr>
          <w:rFonts w:hint="cs"/>
          <w:rtl/>
        </w:rPr>
        <w:t>،</w:t>
      </w:r>
      <w:r w:rsidRPr="00A52585">
        <w:rPr>
          <w:rFonts w:hint="cs"/>
          <w:rtl/>
        </w:rPr>
        <w:t xml:space="preserve"> وقد عقد الأئمة لذلك بابا وقالوا</w:t>
      </w:r>
      <w:r w:rsidR="0002035C" w:rsidRPr="00A52585">
        <w:rPr>
          <w:rFonts w:hint="cs"/>
          <w:rtl/>
        </w:rPr>
        <w:t>:</w:t>
      </w:r>
      <w:r w:rsidRPr="00A52585">
        <w:rPr>
          <w:rFonts w:hint="cs"/>
          <w:rtl/>
        </w:rPr>
        <w:t xml:space="preserve"> باب استعانة من لاذ بقبره وشكى إليه فقره وضره فكشف عنه ذلك</w:t>
      </w:r>
      <w:r w:rsidR="00DB731D" w:rsidRPr="00A52585">
        <w:rPr>
          <w:rFonts w:hint="cs"/>
          <w:rtl/>
        </w:rPr>
        <w:t>،</w:t>
      </w:r>
      <w:r w:rsidRPr="00A52585">
        <w:rPr>
          <w:rFonts w:hint="cs"/>
          <w:rtl/>
        </w:rPr>
        <w:t xml:space="preserve"> فمن ذلك ما أخبر به يوسف بن علي</w:t>
      </w:r>
      <w:r w:rsidR="0002035C" w:rsidRPr="00A52585">
        <w:rPr>
          <w:rFonts w:hint="cs"/>
          <w:rtl/>
        </w:rPr>
        <w:t>:</w:t>
      </w:r>
      <w:r w:rsidRPr="00A52585">
        <w:rPr>
          <w:rFonts w:hint="cs"/>
          <w:rtl/>
        </w:rPr>
        <w:t xml:space="preserve"> قال</w:t>
      </w:r>
      <w:r w:rsidR="0002035C" w:rsidRPr="00A52585">
        <w:rPr>
          <w:rFonts w:hint="cs"/>
          <w:rtl/>
        </w:rPr>
        <w:t>:</w:t>
      </w:r>
      <w:r w:rsidRPr="00A52585">
        <w:rPr>
          <w:rFonts w:hint="cs"/>
          <w:rtl/>
        </w:rPr>
        <w:t xml:space="preserve"> ركبتني ديون فقصدت الخروج من المدينة الشريفة ثم جئت إلى قبر رسول الله صلى الله عليه وسلم فاستغثت به في وفاء ديني فنمت فرأيت النبي صلى الله عليه وسلم فأشار علي بالجلوس فاستيقظت فقيض الله تعالى لي من وفى ديني</w:t>
      </w:r>
      <w:r w:rsidR="00DB731D" w:rsidRPr="00A52585">
        <w:rPr>
          <w:rFonts w:hint="cs"/>
          <w:rtl/>
        </w:rPr>
        <w:t>،</w:t>
      </w:r>
      <w:r w:rsidRPr="00A52585">
        <w:rPr>
          <w:rFonts w:hint="cs"/>
          <w:rtl/>
        </w:rPr>
        <w:t xml:space="preserve"> وقال بعضهم بلغنا أن أبا الغيث يقرأ القرآن في المصحف من غير تعلم سبق منه للكتابة وكنت أنكر ذلك قال</w:t>
      </w:r>
      <w:r w:rsidR="0002035C" w:rsidRPr="00A52585">
        <w:rPr>
          <w:rFonts w:hint="cs"/>
          <w:rtl/>
        </w:rPr>
        <w:t>:</w:t>
      </w:r>
      <w:r w:rsidRPr="00A52585">
        <w:rPr>
          <w:rFonts w:hint="cs"/>
          <w:rtl/>
        </w:rPr>
        <w:t xml:space="preserve"> فدخلت مكة فوجدته يقرأ القرآن في المصحف قراءة محمودة. فسألته عن سبب ذلك</w:t>
      </w:r>
      <w:r w:rsidR="0002035C"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كنت في مدينة النبي صلى الله عليه وسلم أبيت في المسجد وأخلو به فتشفعت إلى الله عز وجل بالنبي صلى الله عليه وسلم أن يسهل عليّ القرآن في المصحف قال وجلست فأخذتني سِنَةٌ فرأيت النبي صلى الله عليه وسلم وهو يقول قد أجاب الله تعالى دعاءك فافتح المصحف واقرأ القرآن قال فلما أصبح الصباح فتحت المصحف وشرعت أقرأ القرآن فكنت أقرأ في المصحف فربما يتصحف عليّ الآية فأنام فأرى من يقول لي الآية التي تصحفت عليك كذا وكذا</w:t>
      </w:r>
      <w:r w:rsidR="00DB731D" w:rsidRPr="00A52585">
        <w:rPr>
          <w:rFonts w:hint="cs"/>
          <w:rtl/>
        </w:rPr>
        <w:t>،</w:t>
      </w:r>
      <w:r w:rsidRPr="00A52585">
        <w:rPr>
          <w:rFonts w:hint="cs"/>
          <w:rtl/>
        </w:rPr>
        <w:t xml:space="preserve"> وذكر ابن عساكر في تاريخه أن أبا القاسم بن ثابت البغدادي رأى رجلا بمدينة النبي صلى الله عليه وسلم أذن الصبح عند قبر رسول الله صلى الله عليه وسلم فقال فيه</w:t>
      </w:r>
      <w:r w:rsidR="0002035C" w:rsidRPr="00A52585">
        <w:rPr>
          <w:rFonts w:hint="cs"/>
          <w:rtl/>
        </w:rPr>
        <w:t>:</w:t>
      </w:r>
      <w:r w:rsidRPr="00A52585">
        <w:rPr>
          <w:rFonts w:hint="cs"/>
          <w:rtl/>
        </w:rPr>
        <w:t xml:space="preserve"> الصلاة خير من النوم فجاءه خادم من خدم المسجد فلطمه حين سمع ذلك منه فبكى واستغاث بالنبي صلى الله عليه وسلم وقال</w:t>
      </w:r>
      <w:r w:rsidR="0002035C" w:rsidRPr="00A52585">
        <w:rPr>
          <w:rFonts w:hint="cs"/>
          <w:rtl/>
        </w:rPr>
        <w:t>:</w:t>
      </w:r>
      <w:r w:rsidRPr="00A52585">
        <w:rPr>
          <w:rFonts w:hint="cs"/>
          <w:rtl/>
        </w:rPr>
        <w:t xml:space="preserve"> يا رسول الله في حضرتك يفعل بي هذا الفعل. قال</w:t>
      </w:r>
      <w:r w:rsidR="0002035C" w:rsidRPr="00A52585">
        <w:rPr>
          <w:rFonts w:hint="cs"/>
          <w:rtl/>
        </w:rPr>
        <w:t>:</w:t>
      </w:r>
      <w:r w:rsidRPr="00A52585">
        <w:rPr>
          <w:rFonts w:hint="cs"/>
          <w:rtl/>
        </w:rPr>
        <w:t xml:space="preserve"> فضربه الفالج في الحال وحمل إلى داره فمكث ثلاثة أيام ثم مات</w:t>
      </w:r>
      <w:r w:rsidR="00DB731D" w:rsidRPr="00A52585">
        <w:rPr>
          <w:rFonts w:hint="cs"/>
          <w:rtl/>
        </w:rPr>
        <w:t>،</w:t>
      </w:r>
      <w:r w:rsidRPr="00A52585">
        <w:rPr>
          <w:rFonts w:hint="cs"/>
          <w:rtl/>
        </w:rPr>
        <w:t xml:space="preserve"> وقال أبو العباس أحمد المقري الضرير التونسي جعت بالمدينة ثلاثة أيام فجئت إلى القبر و</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يا رسول الله جعت. ثم نمت </w:t>
      </w:r>
      <w:r w:rsidRPr="00A52585">
        <w:rPr>
          <w:rFonts w:hint="cs"/>
          <w:rtl/>
        </w:rPr>
        <w:lastRenderedPageBreak/>
        <w:t xml:space="preserve">ضعيفاً </w:t>
      </w:r>
      <w:proofErr w:type="spellStart"/>
      <w:r w:rsidRPr="00A52585">
        <w:rPr>
          <w:rFonts w:hint="cs"/>
          <w:rtl/>
        </w:rPr>
        <w:t>فركضتني</w:t>
      </w:r>
      <w:proofErr w:type="spellEnd"/>
      <w:r w:rsidRPr="00A52585">
        <w:rPr>
          <w:rFonts w:hint="cs"/>
          <w:rtl/>
        </w:rPr>
        <w:t xml:space="preserve"> جارية برجلها فقمت إليها فقالت</w:t>
      </w:r>
      <w:r w:rsidR="0002035C" w:rsidRPr="00A52585">
        <w:rPr>
          <w:rFonts w:hint="cs"/>
          <w:rtl/>
        </w:rPr>
        <w:t>:</w:t>
      </w:r>
      <w:r w:rsidRPr="00A52585">
        <w:rPr>
          <w:rFonts w:hint="cs"/>
          <w:rtl/>
        </w:rPr>
        <w:t xml:space="preserve"> اعزم فقمت معها إلى دارها فقدمت لي خبز بر وتمراً وسمناً وقالت</w:t>
      </w:r>
      <w:r w:rsidR="0002035C" w:rsidRPr="00A52585">
        <w:rPr>
          <w:rFonts w:hint="cs"/>
          <w:rtl/>
        </w:rPr>
        <w:t>:</w:t>
      </w:r>
      <w:r w:rsidRPr="00A52585">
        <w:rPr>
          <w:rFonts w:hint="cs"/>
          <w:rtl/>
        </w:rPr>
        <w:t xml:space="preserve"> كل أبا العباس فقد أمرني بهذا جدي صلى الله عليه وسلم. قال أبو العباس فرجعت إلى بلادي فرأيت النبي صلى الله عليه وسلم بمصر بعد رجوعي فقال</w:t>
      </w:r>
      <w:r w:rsidR="0002035C" w:rsidRPr="00A52585">
        <w:rPr>
          <w:rFonts w:hint="cs"/>
          <w:rtl/>
        </w:rPr>
        <w:t>:</w:t>
      </w:r>
      <w:r w:rsidRPr="00A52585">
        <w:rPr>
          <w:rFonts w:hint="cs"/>
          <w:rtl/>
        </w:rPr>
        <w:t xml:space="preserve"> أوحشتنا يا أبا العباس</w:t>
      </w:r>
      <w:r w:rsidR="00DB731D" w:rsidRPr="00A52585">
        <w:rPr>
          <w:rFonts w:hint="cs"/>
          <w:rtl/>
        </w:rPr>
        <w:t>،</w:t>
      </w:r>
      <w:r w:rsidRPr="00A52585">
        <w:rPr>
          <w:rFonts w:hint="cs"/>
          <w:rtl/>
        </w:rPr>
        <w:t xml:space="preserve"> وكنت أكثر قراءة القرآن عند ضريحه. قال الباجي كم قرأت</w:t>
      </w:r>
      <w:r w:rsidR="0002035C" w:rsidRPr="00A52585">
        <w:rPr>
          <w:rFonts w:hint="cs"/>
          <w:rtl/>
        </w:rPr>
        <w:t xml:space="preserve"> </w:t>
      </w:r>
      <w:r w:rsidRPr="00A52585">
        <w:rPr>
          <w:rFonts w:hint="cs"/>
          <w:rtl/>
        </w:rPr>
        <w:t>ختمة عنه قبره</w:t>
      </w:r>
      <w:r w:rsidR="00F95886" w:rsidRPr="00A52585">
        <w:rPr>
          <w:rFonts w:hint="cs"/>
          <w:rtl/>
        </w:rPr>
        <w:t>؟</w:t>
      </w:r>
      <w:r w:rsidRPr="00A52585">
        <w:rPr>
          <w:rFonts w:hint="cs"/>
          <w:rtl/>
        </w:rPr>
        <w:t xml:space="preserve">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ألف ختمة</w:t>
      </w:r>
      <w:r w:rsidR="00DB731D" w:rsidRPr="00A52585">
        <w:rPr>
          <w:rFonts w:hint="cs"/>
          <w:rtl/>
        </w:rPr>
        <w:t>،</w:t>
      </w:r>
      <w:r w:rsidRPr="00A52585">
        <w:rPr>
          <w:rFonts w:hint="cs"/>
          <w:rtl/>
        </w:rPr>
        <w:t xml:space="preserve"> وقال أبو العباس أحمد اللواتي كانت عندنا بمدينة فارس امرأة وكانت إذا أصابها أمر أو شيء يفزعها</w:t>
      </w:r>
      <w:r w:rsidR="00DB731D" w:rsidRPr="00A52585">
        <w:rPr>
          <w:rFonts w:hint="cs"/>
          <w:rtl/>
        </w:rPr>
        <w:t>،</w:t>
      </w:r>
      <w:r w:rsidRPr="00A52585">
        <w:rPr>
          <w:rFonts w:hint="cs"/>
          <w:rtl/>
        </w:rPr>
        <w:t xml:space="preserve"> جعلت يديها على عينيها واستغاثت بالنبي صلى الله عليه وسلم فتغاث. فلما توفيت قال لي قريب لها</w:t>
      </w:r>
      <w:r w:rsidR="0002035C" w:rsidRPr="00A52585">
        <w:rPr>
          <w:rFonts w:hint="cs"/>
          <w:rtl/>
        </w:rPr>
        <w:t>:</w:t>
      </w:r>
      <w:r w:rsidRPr="00A52585">
        <w:rPr>
          <w:rFonts w:hint="cs"/>
          <w:rtl/>
        </w:rPr>
        <w:t xml:space="preserve"> رأيتها في النوم فقلت لها يا عمة</w:t>
      </w:r>
      <w:r w:rsidR="0002035C" w:rsidRPr="00A52585">
        <w:rPr>
          <w:rFonts w:hint="cs"/>
          <w:rtl/>
        </w:rPr>
        <w:t>:</w:t>
      </w:r>
      <w:r w:rsidRPr="00A52585">
        <w:rPr>
          <w:rFonts w:hint="cs"/>
          <w:rtl/>
        </w:rPr>
        <w:t xml:space="preserve"> رأيت الملكين الفتانين</w:t>
      </w:r>
      <w:r w:rsidR="00F95886" w:rsidRPr="00A52585">
        <w:rPr>
          <w:rFonts w:hint="cs"/>
          <w:rtl/>
        </w:rPr>
        <w:t>؟</w:t>
      </w:r>
      <w:r w:rsidRPr="00A52585">
        <w:rPr>
          <w:rFonts w:hint="cs"/>
          <w:rtl/>
        </w:rPr>
        <w:t xml:space="preserve"> فقالت</w:t>
      </w:r>
      <w:r w:rsidR="0002035C" w:rsidRPr="00A52585">
        <w:rPr>
          <w:rFonts w:hint="cs"/>
          <w:rtl/>
        </w:rPr>
        <w:t>:</w:t>
      </w:r>
      <w:r w:rsidRPr="00A52585">
        <w:rPr>
          <w:rFonts w:hint="cs"/>
          <w:rtl/>
        </w:rPr>
        <w:t xml:space="preserve"> نعم </w:t>
      </w:r>
      <w:proofErr w:type="spellStart"/>
      <w:r w:rsidRPr="00A52585">
        <w:rPr>
          <w:rFonts w:hint="cs"/>
          <w:rtl/>
        </w:rPr>
        <w:t>جاءآني</w:t>
      </w:r>
      <w:proofErr w:type="spellEnd"/>
      <w:r w:rsidRPr="00A52585">
        <w:rPr>
          <w:rFonts w:hint="cs"/>
          <w:rtl/>
        </w:rPr>
        <w:t xml:space="preserve"> فعندما رأيتهما جعلت يدي </w:t>
      </w:r>
      <w:proofErr w:type="gramStart"/>
      <w:r w:rsidRPr="00A52585">
        <w:rPr>
          <w:rFonts w:hint="cs"/>
          <w:rtl/>
        </w:rPr>
        <w:t>علي</w:t>
      </w:r>
      <w:proofErr w:type="gramEnd"/>
      <w:r w:rsidRPr="00A52585">
        <w:rPr>
          <w:rFonts w:hint="cs"/>
          <w:rtl/>
        </w:rPr>
        <w:t xml:space="preserve"> عيني وقلت يا محمد. فلما نزعت يدي عن وجهي فلم أرهما. وهذه القصة ذكرها بعض الأئمة وعزاها. وقال</w:t>
      </w:r>
      <w:r w:rsidR="0002035C" w:rsidRPr="00A52585">
        <w:rPr>
          <w:rFonts w:hint="cs"/>
          <w:rtl/>
        </w:rPr>
        <w:t>:</w:t>
      </w:r>
      <w:r w:rsidRPr="00A52585">
        <w:rPr>
          <w:rFonts w:hint="cs"/>
          <w:rtl/>
        </w:rPr>
        <w:t xml:space="preserve"> إن الاستغاثة من بعيد به صلى الله عليه وسلم كالاستغاثة به عند قبره صلى الله عليه وسلم</w:t>
      </w:r>
      <w:r w:rsidR="00DB731D" w:rsidRPr="00A52585">
        <w:rPr>
          <w:rFonts w:hint="cs"/>
          <w:rtl/>
        </w:rPr>
        <w:t>،</w:t>
      </w:r>
      <w:r w:rsidRPr="00A52585">
        <w:rPr>
          <w:rFonts w:hint="cs"/>
          <w:rtl/>
        </w:rPr>
        <w:t xml:space="preserve"> وساق عن أبي إسحاق الحسين قال</w:t>
      </w:r>
      <w:r w:rsidR="0002035C" w:rsidRPr="00A52585">
        <w:rPr>
          <w:rFonts w:hint="cs"/>
          <w:rtl/>
        </w:rPr>
        <w:t>:</w:t>
      </w:r>
      <w:r w:rsidRPr="00A52585">
        <w:rPr>
          <w:rFonts w:hint="cs"/>
          <w:rtl/>
        </w:rPr>
        <w:t xml:space="preserve"> كنت بين مدينة النبي صلى الله عليه وسلم والشام فضل لنا جمل. قال وكان قد بلغني عن الشيخ أحمد الرفاعي أنه قال</w:t>
      </w:r>
      <w:r w:rsidR="0002035C" w:rsidRPr="00A52585">
        <w:rPr>
          <w:rFonts w:hint="cs"/>
          <w:rtl/>
        </w:rPr>
        <w:t>:</w:t>
      </w:r>
      <w:r w:rsidRPr="00A52585">
        <w:rPr>
          <w:rFonts w:hint="cs"/>
          <w:rtl/>
        </w:rPr>
        <w:t xml:space="preserve"> من كانت له حاجة فيستقبل </w:t>
      </w:r>
      <w:proofErr w:type="spellStart"/>
      <w:r w:rsidRPr="00A52585">
        <w:rPr>
          <w:rFonts w:hint="cs"/>
          <w:rtl/>
        </w:rPr>
        <w:t>عبادان</w:t>
      </w:r>
      <w:proofErr w:type="spellEnd"/>
      <w:r w:rsidRPr="00A52585">
        <w:rPr>
          <w:rFonts w:hint="cs"/>
          <w:rtl/>
        </w:rPr>
        <w:t xml:space="preserve"> نحو قبري ويمشي سبع خطوات ويستغيث فإن حاجته تقضى. قال</w:t>
      </w:r>
      <w:r w:rsidR="0002035C" w:rsidRPr="00A52585">
        <w:rPr>
          <w:rFonts w:hint="cs"/>
          <w:rtl/>
        </w:rPr>
        <w:t>:</w:t>
      </w:r>
      <w:r w:rsidRPr="00A52585">
        <w:rPr>
          <w:rFonts w:hint="cs"/>
          <w:rtl/>
        </w:rPr>
        <w:t xml:space="preserve"> فلما استقبلت </w:t>
      </w:r>
      <w:proofErr w:type="spellStart"/>
      <w:r w:rsidRPr="00A52585">
        <w:rPr>
          <w:rFonts w:hint="cs"/>
          <w:rtl/>
        </w:rPr>
        <w:t>عبادان</w:t>
      </w:r>
      <w:proofErr w:type="spellEnd"/>
      <w:r w:rsidRPr="00A52585">
        <w:rPr>
          <w:rFonts w:hint="cs"/>
          <w:rtl/>
        </w:rPr>
        <w:t xml:space="preserve"> وقصدت الاستغاثة هتف بي هاتف</w:t>
      </w:r>
      <w:r w:rsidR="0002035C" w:rsidRPr="00A52585">
        <w:rPr>
          <w:rFonts w:hint="cs"/>
          <w:rtl/>
        </w:rPr>
        <w:t>:</w:t>
      </w:r>
      <w:r w:rsidRPr="00A52585">
        <w:rPr>
          <w:rFonts w:hint="cs"/>
          <w:rtl/>
        </w:rPr>
        <w:t xml:space="preserve"> أما تستحي من رسول الله صلى الله عليه وسلم تستغيث بغيره قال</w:t>
      </w:r>
      <w:r w:rsidR="0002035C" w:rsidRPr="00A52585">
        <w:rPr>
          <w:rFonts w:hint="cs"/>
          <w:rtl/>
        </w:rPr>
        <w:t>:</w:t>
      </w:r>
      <w:r w:rsidRPr="00A52585">
        <w:rPr>
          <w:rFonts w:hint="cs"/>
          <w:rtl/>
        </w:rPr>
        <w:t xml:space="preserve"> فتحولت نحو المدينة فقلت يا سيدي يا رسول الله أنا مستغيث بك قال فوالله ما استكملت ذلك إلا والجمّال يقول لي هذا الجمل قد وجدناه</w:t>
      </w:r>
      <w:r w:rsidR="00DB731D" w:rsidRPr="00A52585">
        <w:rPr>
          <w:rFonts w:hint="cs"/>
          <w:rtl/>
        </w:rPr>
        <w:t>،</w:t>
      </w:r>
      <w:r w:rsidRPr="00A52585">
        <w:rPr>
          <w:rFonts w:hint="cs"/>
          <w:rtl/>
        </w:rPr>
        <w:t xml:space="preserve"> وسافر بعض الفقراء لقصد زيارة قبر النبي صلى الله عليه وسلم فتاه في الطريق فاستغاث بالنبي صلى الله عليه وسلم فظهرت له قبة العباس رضي الله عنه وبينه وبين الموضع المذكور يومان أو نحوهما</w:t>
      </w:r>
      <w:r w:rsidR="00DB731D" w:rsidRPr="00A52585">
        <w:rPr>
          <w:rFonts w:hint="cs"/>
          <w:rtl/>
        </w:rPr>
        <w:t>،</w:t>
      </w:r>
      <w:r w:rsidRPr="00A52585">
        <w:rPr>
          <w:rFonts w:hint="cs"/>
          <w:rtl/>
        </w:rPr>
        <w:t xml:space="preserve"> وقال أبو الحجاج يوسف بن على قدس الله روحه</w:t>
      </w:r>
      <w:r w:rsidR="0002035C" w:rsidRPr="00A52585">
        <w:rPr>
          <w:rFonts w:hint="cs"/>
          <w:rtl/>
        </w:rPr>
        <w:t>:</w:t>
      </w:r>
      <w:r w:rsidRPr="00A52585">
        <w:rPr>
          <w:rFonts w:hint="cs"/>
          <w:rtl/>
        </w:rPr>
        <w:t xml:space="preserve"> خرجت من مكة متوجها إلى المدينة على طريق المشاة فتهت في الطريق فاستغثت بالنبي صلى الله عليه وسلم فإذا بامرأة آتية من نحو المدينة وهي تشير إليّ أن أمشي على أثرها فلم أزل أمشي على أثرها إلى أن وصلت المدينة</w:t>
      </w:r>
      <w:r w:rsidR="00DB731D" w:rsidRPr="00A52585">
        <w:rPr>
          <w:rFonts w:hint="cs"/>
          <w:rtl/>
        </w:rPr>
        <w:t>،</w:t>
      </w:r>
      <w:r w:rsidRPr="00A52585">
        <w:rPr>
          <w:rFonts w:hint="cs"/>
          <w:rtl/>
        </w:rPr>
        <w:t xml:space="preserve"> وقال</w:t>
      </w:r>
      <w:r w:rsidR="0002035C" w:rsidRPr="00A52585">
        <w:rPr>
          <w:rFonts w:hint="cs"/>
          <w:rtl/>
        </w:rPr>
        <w:t>:</w:t>
      </w:r>
      <w:r w:rsidRPr="00A52585">
        <w:rPr>
          <w:rFonts w:hint="cs"/>
          <w:rtl/>
        </w:rPr>
        <w:t xml:space="preserve"> سمعت أبا عبد الله بن سالم يقول</w:t>
      </w:r>
      <w:r w:rsidR="0002035C" w:rsidRPr="00A52585">
        <w:rPr>
          <w:rFonts w:hint="cs"/>
          <w:rtl/>
        </w:rPr>
        <w:t>:</w:t>
      </w:r>
      <w:r w:rsidRPr="00A52585">
        <w:rPr>
          <w:rFonts w:hint="cs"/>
          <w:rtl/>
        </w:rPr>
        <w:t xml:space="preserve"> رأيت في المنام كأني في بحر النيل وإذا بتمساح يريد أن يقفز عليّ فخفت منه وإذا بشخص وقع لي أنه النبي صلى الله عليه وسلم فقال لي</w:t>
      </w:r>
      <w:r w:rsidR="0002035C" w:rsidRPr="00A52585">
        <w:rPr>
          <w:rFonts w:hint="cs"/>
          <w:rtl/>
        </w:rPr>
        <w:t>:</w:t>
      </w:r>
      <w:r w:rsidRPr="00A52585">
        <w:rPr>
          <w:rFonts w:hint="cs"/>
          <w:rtl/>
        </w:rPr>
        <w:t xml:space="preserve"> إذا كنت في شدة فقل</w:t>
      </w:r>
      <w:r w:rsidR="0002035C" w:rsidRPr="00A52585">
        <w:rPr>
          <w:rFonts w:hint="cs"/>
          <w:rtl/>
        </w:rPr>
        <w:t>:</w:t>
      </w:r>
      <w:r w:rsidRPr="00A52585">
        <w:rPr>
          <w:rFonts w:hint="cs"/>
          <w:rtl/>
        </w:rPr>
        <w:t xml:space="preserve"> أنا مستغيث بك يا رسول الله. فكنت أفعل فأغاث فأراد بعض الإخوان السفر لزيارته صلى الله عليه وسلم وكان ضريراً فحكيت له الرؤيا وقلت له إذا كنت في شدة فقل</w:t>
      </w:r>
      <w:r w:rsidR="0002035C" w:rsidRPr="00A52585">
        <w:rPr>
          <w:rFonts w:hint="cs"/>
          <w:rtl/>
        </w:rPr>
        <w:t>:</w:t>
      </w:r>
      <w:r w:rsidRPr="00A52585">
        <w:rPr>
          <w:rFonts w:hint="cs"/>
          <w:rtl/>
        </w:rPr>
        <w:t xml:space="preserve"> أنا مستغيث بك يا رسول الله. فسافر في تلك الأيام</w:t>
      </w:r>
      <w:r w:rsidR="00DB731D" w:rsidRPr="00A52585">
        <w:rPr>
          <w:rFonts w:hint="cs"/>
          <w:rtl/>
        </w:rPr>
        <w:t>،</w:t>
      </w:r>
      <w:r w:rsidRPr="00A52585">
        <w:rPr>
          <w:rFonts w:hint="cs"/>
          <w:rtl/>
        </w:rPr>
        <w:t xml:space="preserve"> فجاء إلى رابغ وهي عزيزة الماء</w:t>
      </w:r>
      <w:r w:rsidR="00DB731D" w:rsidRPr="00A52585">
        <w:rPr>
          <w:rFonts w:hint="cs"/>
          <w:rtl/>
        </w:rPr>
        <w:t>،</w:t>
      </w:r>
      <w:r w:rsidRPr="00A52585">
        <w:rPr>
          <w:rFonts w:hint="cs"/>
          <w:rtl/>
        </w:rPr>
        <w:t xml:space="preserve"> وكان له خادم قد ذهب في طلب الماء قال</w:t>
      </w:r>
      <w:r w:rsidR="0002035C" w:rsidRPr="00A52585">
        <w:rPr>
          <w:rFonts w:hint="cs"/>
          <w:rtl/>
        </w:rPr>
        <w:t>:</w:t>
      </w:r>
      <w:r w:rsidRPr="00A52585">
        <w:rPr>
          <w:rFonts w:hint="cs"/>
          <w:rtl/>
        </w:rPr>
        <w:t xml:space="preserve"> فبقيت القربة في يدي وأنا في شدة من طلب الماء فذكرت ما قلت لي و</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أنا مستجير بك يا </w:t>
      </w:r>
      <w:r w:rsidRPr="00A52585">
        <w:rPr>
          <w:rFonts w:hint="cs"/>
          <w:rtl/>
        </w:rPr>
        <w:lastRenderedPageBreak/>
        <w:t>رسول الله فبقيت أنا كذلك</w:t>
      </w:r>
      <w:r w:rsidR="00DB731D" w:rsidRPr="00A52585">
        <w:rPr>
          <w:rFonts w:hint="cs"/>
          <w:rtl/>
        </w:rPr>
        <w:t>،</w:t>
      </w:r>
      <w:r w:rsidRPr="00A52585">
        <w:rPr>
          <w:rFonts w:hint="cs"/>
          <w:rtl/>
        </w:rPr>
        <w:t xml:space="preserve"> وإذا بصوت يقول</w:t>
      </w:r>
      <w:r w:rsidR="0002035C" w:rsidRPr="00A52585">
        <w:rPr>
          <w:rFonts w:hint="cs"/>
          <w:rtl/>
        </w:rPr>
        <w:t>:</w:t>
      </w:r>
      <w:r w:rsidRPr="00A52585">
        <w:rPr>
          <w:rFonts w:hint="cs"/>
          <w:rtl/>
        </w:rPr>
        <w:t xml:space="preserve"> زم قربتك</w:t>
      </w:r>
      <w:r w:rsidR="00DB731D" w:rsidRPr="00A52585">
        <w:rPr>
          <w:rFonts w:hint="cs"/>
          <w:rtl/>
        </w:rPr>
        <w:t>،</w:t>
      </w:r>
      <w:r w:rsidRPr="00A52585">
        <w:rPr>
          <w:rFonts w:hint="cs"/>
          <w:rtl/>
        </w:rPr>
        <w:t xml:space="preserve"> وسمعت خرير الماء في القربة إلى أن امتلأت ولم أعلم من أين أتى القائل</w:t>
      </w:r>
      <w:r w:rsidR="00DB731D" w:rsidRPr="00A52585">
        <w:rPr>
          <w:rFonts w:hint="cs"/>
          <w:rtl/>
        </w:rPr>
        <w:t>،</w:t>
      </w:r>
      <w:r w:rsidRPr="00A52585">
        <w:rPr>
          <w:rFonts w:hint="cs"/>
          <w:rtl/>
        </w:rPr>
        <w:t xml:space="preserve"> وقال سمعت محمد السلاوي يقول</w:t>
      </w:r>
      <w:r w:rsidR="0002035C" w:rsidRPr="00A52585">
        <w:rPr>
          <w:rFonts w:hint="cs"/>
          <w:rtl/>
        </w:rPr>
        <w:t>:</w:t>
      </w:r>
      <w:r w:rsidRPr="00A52585">
        <w:rPr>
          <w:rFonts w:hint="cs"/>
          <w:rtl/>
        </w:rPr>
        <w:t xml:space="preserve"> لما ودعت النبي صلى الله عليه وسلم </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يا حبيبي يا محمد يا سيد الكونين أنا أدخل الصحراء فإذا أخذتني شدة أدعو الله وأتوسل بك</w:t>
      </w:r>
      <w:r w:rsidR="00DB731D" w:rsidRPr="00A52585">
        <w:rPr>
          <w:rFonts w:hint="cs"/>
          <w:rtl/>
        </w:rPr>
        <w:t>،</w:t>
      </w:r>
      <w:r w:rsidRPr="00A52585">
        <w:rPr>
          <w:rFonts w:hint="cs"/>
          <w:rtl/>
        </w:rPr>
        <w:t xml:space="preserve"> وجئت إلى أبي بكر وعمر رضي الله عنهما وقلت لهما كذلك قال فبقيت في البرية سبعة أيام ووقعت في جب وفيه ماء فبقيت فيه من أول النهار إلى بعد الظهر فلم يبق إلا الموت. قال</w:t>
      </w:r>
      <w:r w:rsidR="0002035C" w:rsidRPr="00A52585">
        <w:rPr>
          <w:rFonts w:hint="cs"/>
          <w:rtl/>
        </w:rPr>
        <w:t>:</w:t>
      </w:r>
      <w:r w:rsidRPr="00A52585">
        <w:rPr>
          <w:rFonts w:hint="cs"/>
          <w:rtl/>
        </w:rPr>
        <w:t xml:space="preserve"> ففكرت ما كنت قلت عند النبي صلى الله عليه وسلم و</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يا حبيبي يا محمد الذي كنت قلت لك وقلت كذلك لأبي بكر وعمر رضي الله عنهما. قال فكأني بمن حَوَّلَنِي وطلعت ببركة النبي صلى الله عليه وسلم وصاحبيه رضي الله عنهما</w:t>
      </w:r>
      <w:r w:rsidR="00DB731D" w:rsidRPr="00A52585">
        <w:rPr>
          <w:rFonts w:hint="cs"/>
          <w:rtl/>
        </w:rPr>
        <w:t>،</w:t>
      </w:r>
      <w:r w:rsidRPr="00A52585">
        <w:rPr>
          <w:rFonts w:hint="cs"/>
          <w:rtl/>
        </w:rPr>
        <w:t xml:space="preserve"> وقال أخبرني رجل من مدينة طرابلس قال</w:t>
      </w:r>
      <w:r w:rsidR="0002035C" w:rsidRPr="00A52585">
        <w:rPr>
          <w:rFonts w:hint="cs"/>
          <w:rtl/>
        </w:rPr>
        <w:t>:</w:t>
      </w:r>
      <w:r w:rsidRPr="00A52585">
        <w:rPr>
          <w:rFonts w:hint="cs"/>
          <w:rtl/>
        </w:rPr>
        <w:t xml:space="preserve"> كنا </w:t>
      </w:r>
      <w:proofErr w:type="spellStart"/>
      <w:r w:rsidRPr="00A52585">
        <w:rPr>
          <w:rFonts w:hint="cs"/>
          <w:rtl/>
        </w:rPr>
        <w:t>جائين</w:t>
      </w:r>
      <w:proofErr w:type="spellEnd"/>
      <w:r w:rsidRPr="00A52585">
        <w:rPr>
          <w:rFonts w:hint="cs"/>
          <w:rtl/>
        </w:rPr>
        <w:t xml:space="preserve"> من الإسكندرية في مركب فهاج البحر علينا وأشرفنا على التلف والهلاك فقمت إلى الناس ف</w:t>
      </w:r>
      <w:r w:rsidR="0002035C" w:rsidRPr="00A52585">
        <w:rPr>
          <w:rFonts w:hint="cs"/>
          <w:rtl/>
        </w:rPr>
        <w:t>(</w:t>
      </w:r>
      <w:r w:rsidRPr="00A52585">
        <w:rPr>
          <w:rFonts w:hint="cs"/>
          <w:rtl/>
        </w:rPr>
        <w:t>قلت</w:t>
      </w:r>
      <w:r w:rsidR="0002035C" w:rsidRPr="00A52585">
        <w:rPr>
          <w:rFonts w:hint="cs"/>
          <w:rtl/>
        </w:rPr>
        <w:t>):</w:t>
      </w:r>
      <w:r w:rsidRPr="00A52585">
        <w:rPr>
          <w:rFonts w:hint="cs"/>
          <w:rtl/>
        </w:rPr>
        <w:t xml:space="preserve"> استغيثوا بالنبي صلى الله (141/ب) عليه وسلم فإنه غياث فقلنا الكل</w:t>
      </w:r>
      <w:r w:rsidR="0002035C" w:rsidRPr="00A52585">
        <w:rPr>
          <w:rFonts w:hint="cs"/>
          <w:rtl/>
        </w:rPr>
        <w:t>:</w:t>
      </w:r>
      <w:r w:rsidRPr="00A52585">
        <w:rPr>
          <w:rFonts w:hint="cs"/>
          <w:rtl/>
        </w:rPr>
        <w:t xml:space="preserve"> الغياث يا رسول الله الغياث يا رسول الله</w:t>
      </w:r>
      <w:r w:rsidR="0002035C" w:rsidRPr="00A52585">
        <w:rPr>
          <w:rFonts w:hint="cs"/>
          <w:rtl/>
        </w:rPr>
        <w:t>:</w:t>
      </w:r>
      <w:r w:rsidRPr="00A52585">
        <w:rPr>
          <w:rFonts w:hint="cs"/>
          <w:rtl/>
        </w:rPr>
        <w:t xml:space="preserve"> الغياث يا رسول الله العفو يا رسول الله العفو يا رسول الله</w:t>
      </w:r>
      <w:r w:rsidR="00DB731D" w:rsidRPr="00A52585">
        <w:rPr>
          <w:rFonts w:hint="cs"/>
          <w:rtl/>
        </w:rPr>
        <w:t>،</w:t>
      </w:r>
      <w:r w:rsidRPr="00A52585">
        <w:rPr>
          <w:rFonts w:hint="cs"/>
          <w:rtl/>
        </w:rPr>
        <w:t xml:space="preserve"> جانين مذنبين استجرنا بك أجرنا يا محمد الحبيب يا حبيبنا يا شفيعنا يا ولينا. فنام رجل من أهل المركب مشهور بالخير والصلاح فرأى </w:t>
      </w:r>
      <w:proofErr w:type="spellStart"/>
      <w:r w:rsidRPr="00A52585">
        <w:rPr>
          <w:rFonts w:hint="cs"/>
          <w:rtl/>
        </w:rPr>
        <w:t>النبى</w:t>
      </w:r>
      <w:proofErr w:type="spellEnd"/>
      <w:r w:rsidRPr="00A52585">
        <w:rPr>
          <w:rFonts w:hint="cs"/>
          <w:rtl/>
        </w:rPr>
        <w:t xml:space="preserve"> صلى الله عليه وسلم وأخذ بيده فقال</w:t>
      </w:r>
      <w:r w:rsidR="0002035C" w:rsidRPr="00A52585">
        <w:rPr>
          <w:rFonts w:hint="cs"/>
          <w:rtl/>
        </w:rPr>
        <w:t>:</w:t>
      </w:r>
      <w:r w:rsidRPr="00A52585">
        <w:rPr>
          <w:rFonts w:hint="cs"/>
          <w:rtl/>
        </w:rPr>
        <w:t xml:space="preserve"> أنج وأبشروا بالسلامة فلما أفاق الرجل بشرنا برؤياه فلما أصبح رجع البحر كالزيت وكأنه عقد بيضة وجئنا إلى طرابلس سالمين ببركة سيدنا رسول الله صلى الله عليه وسلم</w:t>
      </w:r>
      <w:r w:rsidR="00DB731D" w:rsidRPr="00A52585">
        <w:rPr>
          <w:rFonts w:hint="cs"/>
          <w:rtl/>
        </w:rPr>
        <w:t>،</w:t>
      </w:r>
      <w:r w:rsidRPr="00A52585">
        <w:rPr>
          <w:rFonts w:hint="cs"/>
          <w:rtl/>
        </w:rPr>
        <w:t xml:space="preserve"> وقال</w:t>
      </w:r>
      <w:r w:rsidR="0002035C" w:rsidRPr="00A52585">
        <w:rPr>
          <w:rFonts w:hint="cs"/>
          <w:rtl/>
        </w:rPr>
        <w:t>:</w:t>
      </w:r>
      <w:r w:rsidRPr="00A52585">
        <w:rPr>
          <w:rFonts w:hint="cs"/>
          <w:rtl/>
        </w:rPr>
        <w:t xml:space="preserve"> سمعت أبا الحسن علي العسقلاني يقول</w:t>
      </w:r>
      <w:r w:rsidR="0002035C" w:rsidRPr="00A52585">
        <w:rPr>
          <w:rFonts w:hint="cs"/>
          <w:rtl/>
        </w:rPr>
        <w:t>:</w:t>
      </w:r>
      <w:r w:rsidRPr="00A52585">
        <w:rPr>
          <w:rFonts w:hint="cs"/>
          <w:rtl/>
        </w:rPr>
        <w:t xml:space="preserve"> ركبنا في البحر نطلب جدة فهاج علينا البحر ورمينا ما معنا فيه وأشرفنا على التلف فجعلنا نستغيث بالنبي صلى الله عليه وسلم ونحن نقول</w:t>
      </w:r>
      <w:r w:rsidR="0002035C" w:rsidRPr="00A52585">
        <w:rPr>
          <w:rFonts w:hint="cs"/>
          <w:rtl/>
        </w:rPr>
        <w:t>:</w:t>
      </w:r>
      <w:r w:rsidRPr="00A52585">
        <w:rPr>
          <w:rFonts w:hint="cs"/>
          <w:rtl/>
        </w:rPr>
        <w:t xml:space="preserve"> </w:t>
      </w:r>
      <w:proofErr w:type="spellStart"/>
      <w:r w:rsidRPr="00A52585">
        <w:rPr>
          <w:rFonts w:hint="cs"/>
          <w:bCs/>
          <w:rtl/>
        </w:rPr>
        <w:t>وامحمداه</w:t>
      </w:r>
      <w:proofErr w:type="spellEnd"/>
      <w:r w:rsidRPr="00A52585">
        <w:rPr>
          <w:rFonts w:hint="cs"/>
          <w:bCs/>
          <w:rtl/>
        </w:rPr>
        <w:t xml:space="preserve"> يا محمداه</w:t>
      </w:r>
      <w:r w:rsidRPr="00A52585">
        <w:rPr>
          <w:rFonts w:hint="cs"/>
          <w:rtl/>
        </w:rPr>
        <w:t xml:space="preserve"> وكان معنا رجل مغربي صالح قال لنا</w:t>
      </w:r>
      <w:r w:rsidR="0002035C" w:rsidRPr="00A52585">
        <w:rPr>
          <w:rFonts w:hint="cs"/>
          <w:rtl/>
        </w:rPr>
        <w:t>:</w:t>
      </w:r>
      <w:r w:rsidRPr="00A52585">
        <w:rPr>
          <w:rFonts w:hint="cs"/>
          <w:rtl/>
        </w:rPr>
        <w:t xml:space="preserve"> ارفقوا يا حجاج إنكم سالمون</w:t>
      </w:r>
      <w:r w:rsidR="00DB731D" w:rsidRPr="00A52585">
        <w:rPr>
          <w:rFonts w:hint="cs"/>
          <w:rtl/>
        </w:rPr>
        <w:t>،</w:t>
      </w:r>
      <w:r w:rsidRPr="00A52585">
        <w:rPr>
          <w:rFonts w:hint="cs"/>
          <w:rtl/>
        </w:rPr>
        <w:t xml:space="preserve"> رأيت النبي صلى الله عليه وسلم في المنام فقلت يا رسول الله أمتك يستغيثون بك. قال</w:t>
      </w:r>
      <w:r w:rsidR="0002035C" w:rsidRPr="00A52585">
        <w:rPr>
          <w:rFonts w:hint="cs"/>
          <w:rtl/>
        </w:rPr>
        <w:t>:</w:t>
      </w:r>
      <w:r w:rsidRPr="00A52585">
        <w:rPr>
          <w:rFonts w:hint="cs"/>
          <w:rtl/>
        </w:rPr>
        <w:t xml:space="preserve"> فالتفت إلى أبي بكر الصديق رضي الله عنه وقال يا أبا بكر أنجدهم قال فكأن عيني ترى أبا بكر رضي الله عنه وقد خاض البحر وأدخل يده في مقدم الحلية ولم يزل يجذبها حتى دخل بها البر</w:t>
      </w:r>
      <w:r w:rsidR="00DB731D" w:rsidRPr="00A52585">
        <w:rPr>
          <w:rFonts w:hint="cs"/>
          <w:rtl/>
        </w:rPr>
        <w:t>،</w:t>
      </w:r>
      <w:r w:rsidR="00897A24" w:rsidRPr="00A52585">
        <w:rPr>
          <w:rFonts w:hint="cs"/>
          <w:rtl/>
        </w:rPr>
        <w:t>.</w:t>
      </w:r>
      <w:r w:rsidRPr="00A52585">
        <w:rPr>
          <w:rFonts w:hint="cs"/>
          <w:rtl/>
        </w:rPr>
        <w:t>. ولم نر بعد هذا إلا خيرًا</w:t>
      </w:r>
      <w:r w:rsidR="00DB731D" w:rsidRPr="00A52585">
        <w:rPr>
          <w:rFonts w:hint="cs"/>
          <w:rtl/>
        </w:rPr>
        <w:t>،</w:t>
      </w:r>
      <w:r w:rsidRPr="00A52585">
        <w:rPr>
          <w:rFonts w:hint="cs"/>
          <w:rtl/>
        </w:rPr>
        <w:t xml:space="preserve"> ودخلنا البر سالمين والحمد لله</w:t>
      </w:r>
      <w:r w:rsidR="00DB731D" w:rsidRPr="00A52585">
        <w:rPr>
          <w:rFonts w:hint="cs"/>
          <w:vertAlign w:val="superscript"/>
          <w:rtl/>
        </w:rPr>
        <w:t>،</w:t>
      </w:r>
      <w:r w:rsidRPr="00A52585">
        <w:rPr>
          <w:rFonts w:hint="cs"/>
          <w:rtl/>
        </w:rPr>
        <w:t xml:space="preserve"> </w:t>
      </w:r>
      <w:r w:rsidR="0002035C" w:rsidRPr="00A52585">
        <w:rPr>
          <w:rFonts w:hint="cs"/>
          <w:sz w:val="24"/>
          <w:szCs w:val="24"/>
          <w:rtl/>
        </w:rPr>
        <w:t>[</w:t>
      </w:r>
      <w:r w:rsidRPr="00A52585">
        <w:rPr>
          <w:rFonts w:hint="cs"/>
          <w:sz w:val="24"/>
          <w:szCs w:val="24"/>
          <w:rtl/>
        </w:rPr>
        <w:t>قال المحقق</w:t>
      </w:r>
      <w:r w:rsidR="0002035C" w:rsidRPr="00A52585">
        <w:rPr>
          <w:rFonts w:hint="cs"/>
          <w:sz w:val="24"/>
          <w:szCs w:val="24"/>
          <w:rtl/>
        </w:rPr>
        <w:t xml:space="preserve">: </w:t>
      </w:r>
      <w:r w:rsidRPr="00A52585">
        <w:rPr>
          <w:rFonts w:hint="cs"/>
          <w:sz w:val="24"/>
          <w:szCs w:val="24"/>
          <w:rtl/>
        </w:rPr>
        <w:t>كان شعار الصحابة رضوان الله عليهم في معركة اليمامة (</w:t>
      </w:r>
      <w:proofErr w:type="spellStart"/>
      <w:r w:rsidRPr="00A52585">
        <w:rPr>
          <w:rFonts w:hint="cs"/>
          <w:sz w:val="24"/>
          <w:szCs w:val="24"/>
          <w:rtl/>
        </w:rPr>
        <w:t>وامحمداه</w:t>
      </w:r>
      <w:proofErr w:type="spellEnd"/>
      <w:r w:rsidRPr="00A52585">
        <w:rPr>
          <w:rFonts w:hint="cs"/>
          <w:sz w:val="24"/>
          <w:szCs w:val="24"/>
          <w:rtl/>
        </w:rPr>
        <w:t>) ذكر ذلك الطبري في تاريخه ونقله ابن كثير في البداية والنهاية ولم يتهم أحدًا بالشرك أو البدعة</w:t>
      </w:r>
      <w:r w:rsidR="00F95886" w:rsidRPr="00A52585">
        <w:rPr>
          <w:rFonts w:hint="cs"/>
          <w:sz w:val="24"/>
          <w:szCs w:val="24"/>
          <w:rtl/>
        </w:rPr>
        <w:t>!</w:t>
      </w:r>
      <w:r w:rsidRPr="00A52585">
        <w:rPr>
          <w:rFonts w:hint="cs"/>
          <w:sz w:val="24"/>
          <w:szCs w:val="24"/>
          <w:rtl/>
        </w:rPr>
        <w:t>!</w:t>
      </w:r>
      <w:r w:rsidR="0002035C" w:rsidRPr="00A52585">
        <w:rPr>
          <w:rFonts w:hint="cs"/>
          <w:sz w:val="24"/>
          <w:szCs w:val="24"/>
          <w:rtl/>
        </w:rPr>
        <w:t>]</w:t>
      </w:r>
      <w:r w:rsidR="00DB731D" w:rsidRPr="00A52585">
        <w:rPr>
          <w:rFonts w:hint="cs"/>
          <w:sz w:val="24"/>
          <w:rtl/>
        </w:rPr>
        <w:t>،</w:t>
      </w:r>
      <w:r w:rsidRPr="00A52585">
        <w:rPr>
          <w:rFonts w:hint="cs"/>
          <w:sz w:val="24"/>
          <w:rtl/>
        </w:rPr>
        <w:t xml:space="preserve"> </w:t>
      </w:r>
      <w:r w:rsidRPr="00A52585">
        <w:rPr>
          <w:rFonts w:hint="cs"/>
          <w:rtl/>
        </w:rPr>
        <w:t>ولما قتل الحسين بن علي رضي الله عنهما يوم عاشوراء أول سنة إحدى وستين وهو يومئذ ابن أربع وخمسين سنة ونصف سنة ونصف شهر ووقع ما وقع من السبي وحمل النساء والصبيان فلما مروا بالقتلى صاحت زينب بنت علي رضي الله عنهما مستغيثة بالنبي صلى الله عليه وسلم</w:t>
      </w:r>
      <w:r w:rsidR="0002035C" w:rsidRPr="00A52585">
        <w:rPr>
          <w:rFonts w:hint="cs"/>
          <w:rtl/>
        </w:rPr>
        <w:t>:</w:t>
      </w:r>
      <w:r w:rsidRPr="00A52585">
        <w:rPr>
          <w:rFonts w:hint="cs"/>
          <w:rtl/>
        </w:rPr>
        <w:t xml:space="preserve"> يا محمداه يا محمداه هذا حسين بالعراء مزمل بالدماء </w:t>
      </w:r>
      <w:r w:rsidRPr="00A52585">
        <w:rPr>
          <w:rFonts w:hint="cs"/>
          <w:rtl/>
        </w:rPr>
        <w:lastRenderedPageBreak/>
        <w:t>مقطع الأعضاء يا محمداه فلما كان سنة ثلاث وأربعمائة أخذ أهل الكوفة جدريٌ عظيم</w:t>
      </w:r>
      <w:r w:rsidR="00DB731D" w:rsidRPr="00A52585">
        <w:rPr>
          <w:rFonts w:hint="cs"/>
          <w:rtl/>
        </w:rPr>
        <w:t>،</w:t>
      </w:r>
      <w:r w:rsidR="0002035C" w:rsidRPr="00A52585">
        <w:rPr>
          <w:rFonts w:hint="cs"/>
          <w:rtl/>
        </w:rPr>
        <w:t xml:space="preserve"> </w:t>
      </w:r>
      <w:r w:rsidRPr="00A52585">
        <w:rPr>
          <w:rFonts w:hint="cs"/>
          <w:rtl/>
        </w:rPr>
        <w:t>ثم عمي منهم ألف وخمسمائة كلهم من نسل من حضر قتل الحسين رضي الله عنه</w:t>
      </w:r>
      <w:r w:rsidR="00DB731D" w:rsidRPr="00A52585">
        <w:rPr>
          <w:rFonts w:hint="cs"/>
          <w:rtl/>
        </w:rPr>
        <w:t>،</w:t>
      </w:r>
      <w:r w:rsidRPr="00A52585">
        <w:rPr>
          <w:rFonts w:hint="cs"/>
          <w:rtl/>
        </w:rPr>
        <w:t xml:space="preserve"> وهذا من أعجب ما سمع</w:t>
      </w:r>
      <w:r w:rsidR="00DB731D" w:rsidRPr="00A52585">
        <w:rPr>
          <w:rFonts w:hint="cs"/>
          <w:rtl/>
        </w:rPr>
        <w:t>،</w:t>
      </w:r>
      <w:r w:rsidRPr="00A52585">
        <w:rPr>
          <w:rFonts w:hint="cs"/>
          <w:rtl/>
        </w:rPr>
        <w:t xml:space="preserve"> واعلم أرشدك الله عز وجل أن مثل هذه القضايا كثيرة جداً</w:t>
      </w:r>
      <w:r w:rsidR="00DB731D" w:rsidRPr="00A52585">
        <w:rPr>
          <w:rFonts w:hint="cs"/>
          <w:rtl/>
        </w:rPr>
        <w:t>،</w:t>
      </w:r>
      <w:r w:rsidRPr="00A52585">
        <w:rPr>
          <w:rFonts w:hint="cs"/>
          <w:rtl/>
        </w:rPr>
        <w:t xml:space="preserve"> وقد ذكر جماعة من الأئمة من ذلك أمورًا عديدة عجيبة منهم البيهقي ومنهم أبو محمد عبد الحق ومنهم بعض الأئمة وذكر جملة مستكثرة في ذلك وعقد أبواباً في </w:t>
      </w:r>
      <w:proofErr w:type="spellStart"/>
      <w:r w:rsidRPr="00A52585">
        <w:rPr>
          <w:rFonts w:hint="cs"/>
          <w:rtl/>
        </w:rPr>
        <w:t>الاستغاثات</w:t>
      </w:r>
      <w:proofErr w:type="spellEnd"/>
      <w:r w:rsidRPr="00A52585">
        <w:rPr>
          <w:rFonts w:hint="cs"/>
          <w:rtl/>
        </w:rPr>
        <w:t xml:space="preserve"> بالنبي صلى الله عليه وسلم</w:t>
      </w:r>
      <w:r w:rsidR="00DB731D" w:rsidRPr="00A52585">
        <w:rPr>
          <w:rFonts w:hint="cs"/>
          <w:rtl/>
        </w:rPr>
        <w:t>،</w:t>
      </w:r>
      <w:r w:rsidRPr="00A52585">
        <w:rPr>
          <w:rFonts w:hint="cs"/>
          <w:rtl/>
        </w:rPr>
        <w:t xml:space="preserve"> ومنها باباً في أصحاب العاهات وذكر منها جملة مستكثرة من ذلك على اختلاف أنواع العاهات كالعمى والصداع والزمانة ووجع البطن وغير ذلك وأنه عليه الصلاة والسلام يضع يده الشريفة على موضع العاهة فتزول ببركة يده الشريفة ويشفى وما كان به قلبه</w:t>
      </w:r>
      <w:r w:rsidR="00DB731D" w:rsidRPr="00A52585">
        <w:rPr>
          <w:rFonts w:hint="cs"/>
          <w:rtl/>
        </w:rPr>
        <w:t>،</w:t>
      </w:r>
      <w:r w:rsidRPr="00A52585">
        <w:rPr>
          <w:rFonts w:hint="cs"/>
          <w:rtl/>
        </w:rPr>
        <w:t xml:space="preserve"> ثم إنه مع ذلك قال</w:t>
      </w:r>
      <w:r w:rsidR="0002035C" w:rsidRPr="00A52585">
        <w:rPr>
          <w:rFonts w:hint="cs"/>
          <w:rtl/>
        </w:rPr>
        <w:t>:</w:t>
      </w:r>
      <w:r w:rsidRPr="00A52585">
        <w:rPr>
          <w:rFonts w:hint="cs"/>
          <w:rtl/>
        </w:rPr>
        <w:t xml:space="preserve"> ولو تتبعت هذا الفن لحفيت الأقلام وجفت المحابر وفنيت </w:t>
      </w:r>
      <w:proofErr w:type="spellStart"/>
      <w:r w:rsidRPr="00A52585">
        <w:rPr>
          <w:rFonts w:hint="cs"/>
          <w:rtl/>
        </w:rPr>
        <w:t>الطروس</w:t>
      </w:r>
      <w:proofErr w:type="spellEnd"/>
      <w:r w:rsidRPr="00A52585">
        <w:rPr>
          <w:rFonts w:hint="cs"/>
          <w:rtl/>
        </w:rPr>
        <w:t xml:space="preserve"> في تتبعه والدفاتر</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ولقد سألت بعض إخواننا المجتهدين وكان بمدينة النبي صلى الله عليه وسلم على التجريد فقلت هل استغثت بالنبي صلى الله عليه وسلم أو لجأت إليه في شيء قط مدة إقامتك في المدينة. فقال</w:t>
      </w:r>
      <w:r w:rsidR="0002035C" w:rsidRPr="00A52585">
        <w:rPr>
          <w:rFonts w:hint="cs"/>
          <w:rtl/>
        </w:rPr>
        <w:t>:</w:t>
      </w:r>
      <w:r w:rsidRPr="00A52585">
        <w:rPr>
          <w:rFonts w:hint="cs"/>
          <w:rtl/>
        </w:rPr>
        <w:t xml:space="preserve"> كنت أستحي أن أسأله إذ كنت بحضرته صلى الله عليه وسلم</w:t>
      </w:r>
      <w:r w:rsidR="00DB731D" w:rsidRPr="00A52585">
        <w:rPr>
          <w:rFonts w:hint="cs"/>
          <w:rtl/>
        </w:rPr>
        <w:t>،</w:t>
      </w:r>
      <w:r w:rsidRPr="00A52585">
        <w:rPr>
          <w:rFonts w:hint="cs"/>
          <w:rtl/>
        </w:rPr>
        <w:t xml:space="preserve"> ثم قال</w:t>
      </w:r>
      <w:r w:rsidR="0002035C" w:rsidRPr="00A52585">
        <w:rPr>
          <w:rFonts w:hint="cs"/>
          <w:rtl/>
        </w:rPr>
        <w:t>:</w:t>
      </w:r>
      <w:r w:rsidRPr="00A52585">
        <w:rPr>
          <w:rFonts w:hint="cs"/>
          <w:rtl/>
        </w:rPr>
        <w:t xml:space="preserve"> سمعت الفقيه الإمام أبا إسحاق إبراهيم بن إسحاق المالكي يقول سمعت الفقيه برهان الدين بن الطيب المالكي يقول</w:t>
      </w:r>
      <w:r w:rsidR="0002035C" w:rsidRPr="00A52585">
        <w:rPr>
          <w:rFonts w:hint="cs"/>
          <w:rtl/>
        </w:rPr>
        <w:t>:</w:t>
      </w:r>
      <w:r w:rsidRPr="00A52585">
        <w:rPr>
          <w:rFonts w:hint="cs"/>
          <w:rtl/>
        </w:rPr>
        <w:t xml:space="preserve"> قال لي من أثق به وكان بمدينة النبي صلى الله عليه وسلم وأنه أصابه الجوع فأتى قبر النبي صلى الله عليه وسلم فقال</w:t>
      </w:r>
      <w:r w:rsidR="0002035C" w:rsidRPr="00A52585">
        <w:rPr>
          <w:rFonts w:hint="cs"/>
          <w:rtl/>
        </w:rPr>
        <w:t>:</w:t>
      </w:r>
      <w:r w:rsidRPr="00A52585">
        <w:rPr>
          <w:rFonts w:hint="cs"/>
          <w:rtl/>
        </w:rPr>
        <w:t xml:space="preserve"> يا رسول الله إني جائع وجلس بالقرب من حجرة النبي صلى الله عليه وسلم فأتاه رجل من الأشراف فقال له قم فقال</w:t>
      </w:r>
      <w:r w:rsidR="0002035C" w:rsidRPr="00A52585">
        <w:rPr>
          <w:rFonts w:hint="cs"/>
          <w:rtl/>
        </w:rPr>
        <w:t>:</w:t>
      </w:r>
      <w:r w:rsidRPr="00A52585">
        <w:rPr>
          <w:rFonts w:hint="cs"/>
          <w:rtl/>
        </w:rPr>
        <w:t xml:space="preserve"> إلى أين</w:t>
      </w:r>
      <w:r w:rsidR="00F95886" w:rsidRPr="00A52585">
        <w:rPr>
          <w:rFonts w:hint="cs"/>
          <w:rtl/>
        </w:rPr>
        <w:t>؟</w:t>
      </w:r>
      <w:r w:rsidRPr="00A52585">
        <w:rPr>
          <w:rFonts w:hint="cs"/>
          <w:rtl/>
        </w:rPr>
        <w:t xml:space="preserve"> فقال</w:t>
      </w:r>
      <w:r w:rsidR="0002035C" w:rsidRPr="00A52585">
        <w:rPr>
          <w:rFonts w:hint="cs"/>
          <w:rtl/>
        </w:rPr>
        <w:t>:</w:t>
      </w:r>
      <w:r w:rsidRPr="00A52585">
        <w:rPr>
          <w:rFonts w:hint="cs"/>
          <w:rtl/>
        </w:rPr>
        <w:t xml:space="preserve"> تأكل عندي شيئاً فقام معه إلى بيته فقدم إليه جفنة فيها ثريد ولحم ودهن فقال لي</w:t>
      </w:r>
      <w:r w:rsidR="0002035C" w:rsidRPr="00A52585">
        <w:rPr>
          <w:rFonts w:hint="cs"/>
          <w:rtl/>
        </w:rPr>
        <w:t>:</w:t>
      </w:r>
      <w:r w:rsidRPr="00A52585">
        <w:rPr>
          <w:rFonts w:hint="cs"/>
          <w:rtl/>
        </w:rPr>
        <w:t xml:space="preserve"> كل فأكل حتى شبع وأراد الانصراف فقال له</w:t>
      </w:r>
      <w:r w:rsidR="0002035C" w:rsidRPr="00A52585">
        <w:rPr>
          <w:rFonts w:hint="cs"/>
          <w:rtl/>
        </w:rPr>
        <w:t>:</w:t>
      </w:r>
      <w:r w:rsidRPr="00A52585">
        <w:rPr>
          <w:rFonts w:hint="cs"/>
          <w:rtl/>
        </w:rPr>
        <w:t xml:space="preserve"> كُل وازدد</w:t>
      </w:r>
      <w:r w:rsidR="00DB731D" w:rsidRPr="00A52585">
        <w:rPr>
          <w:rFonts w:hint="cs"/>
          <w:rtl/>
        </w:rPr>
        <w:t>،</w:t>
      </w:r>
      <w:r w:rsidRPr="00A52585">
        <w:rPr>
          <w:rFonts w:hint="cs"/>
          <w:rtl/>
        </w:rPr>
        <w:t xml:space="preserve"> فلما أراد الانصراف قال له</w:t>
      </w:r>
      <w:r w:rsidR="0002035C" w:rsidRPr="00A52585">
        <w:rPr>
          <w:rFonts w:hint="cs"/>
          <w:rtl/>
        </w:rPr>
        <w:t>:</w:t>
      </w:r>
      <w:r w:rsidRPr="00A52585">
        <w:rPr>
          <w:rFonts w:hint="cs"/>
          <w:rtl/>
        </w:rPr>
        <w:t xml:space="preserve"> يا أخي الواحد منكم يأتي من البلاد البعيدة ويقطع المفاوز والقفار ويترك الأهل والأوطان ويقطع البحار ويأتي إلى زيارة هذا النبي العظيم على ربه صلى الله عليه وسلم وتكون همته أن يطلب منه كسرة خبز يا أخي لو طلبت الجنة أو المغفرة أو الرضى أو مهما طلبته منه لنلته ببركة هذا النبي الكريم صلى الله عليه وسلم</w:t>
      </w:r>
      <w:r w:rsidR="00DB731D" w:rsidRPr="00A52585">
        <w:rPr>
          <w:rFonts w:hint="cs"/>
          <w:rtl/>
        </w:rPr>
        <w:t>،</w:t>
      </w:r>
      <w:r w:rsidRPr="00A52585">
        <w:rPr>
          <w:rFonts w:hint="cs"/>
          <w:rtl/>
        </w:rPr>
        <w:t xml:space="preserve"> وهذا - وهو وعدم السؤال يكون للأكابر لما يشاهدون في الحضرة النبوية من </w:t>
      </w:r>
      <w:proofErr w:type="spellStart"/>
      <w:r w:rsidRPr="00A52585">
        <w:rPr>
          <w:rFonts w:hint="cs"/>
          <w:rtl/>
        </w:rPr>
        <w:t>الإجلالات</w:t>
      </w:r>
      <w:proofErr w:type="spellEnd"/>
      <w:r w:rsidRPr="00A52585">
        <w:rPr>
          <w:rFonts w:hint="cs"/>
          <w:rtl/>
        </w:rPr>
        <w:t xml:space="preserve"> والكرامات العلوية</w:t>
      </w:r>
      <w:r w:rsidR="00DB731D" w:rsidRPr="00A52585">
        <w:rPr>
          <w:rFonts w:hint="cs"/>
          <w:rtl/>
        </w:rPr>
        <w:t>،</w:t>
      </w:r>
      <w:r w:rsidRPr="00A52585">
        <w:rPr>
          <w:rFonts w:hint="cs"/>
          <w:rtl/>
        </w:rPr>
        <w:t xml:space="preserve"> </w:t>
      </w:r>
    </w:p>
    <w:p w14:paraId="14AD461F" w14:textId="05B41A9C" w:rsidR="00777DCB" w:rsidRPr="00A52585" w:rsidRDefault="0002035C" w:rsidP="0002035C">
      <w:pPr>
        <w:spacing w:after="240"/>
        <w:rPr>
          <w:b/>
          <w:bCs/>
          <w:rtl/>
        </w:rPr>
      </w:pPr>
      <w:r w:rsidRPr="00A52585">
        <w:rPr>
          <w:rFonts w:hint="cs"/>
          <w:bCs/>
          <w:rtl/>
        </w:rPr>
        <w:t>[</w:t>
      </w:r>
      <w:r w:rsidR="00777DCB" w:rsidRPr="00A52585">
        <w:rPr>
          <w:rFonts w:hint="cs"/>
          <w:bCs/>
          <w:rtl/>
        </w:rPr>
        <w:t xml:space="preserve">ط- بيان أن منع التوسل به عليه السلام </w:t>
      </w:r>
      <w:proofErr w:type="spellStart"/>
      <w:r w:rsidR="00777DCB" w:rsidRPr="00A52585">
        <w:rPr>
          <w:rFonts w:hint="cs"/>
          <w:bCs/>
          <w:rtl/>
        </w:rPr>
        <w:t>ناشيء</w:t>
      </w:r>
      <w:proofErr w:type="spellEnd"/>
      <w:r w:rsidR="00777DCB" w:rsidRPr="00A52585">
        <w:rPr>
          <w:rFonts w:hint="cs"/>
          <w:bCs/>
          <w:rtl/>
        </w:rPr>
        <w:t xml:space="preserve"> عن عدم تعظيمه ومقتضى فتوى ابن تيمية في حق أبينا آدم عليه السلام</w:t>
      </w:r>
      <w:r w:rsidRPr="00A52585">
        <w:rPr>
          <w:rFonts w:hint="cs"/>
          <w:bCs/>
          <w:rtl/>
        </w:rPr>
        <w:t>]:</w:t>
      </w:r>
      <w:r w:rsidR="00777DCB" w:rsidRPr="00A52585">
        <w:rPr>
          <w:rFonts w:hint="cs"/>
          <w:bCs/>
          <w:rtl/>
        </w:rPr>
        <w:t xml:space="preserve"> </w:t>
      </w:r>
      <w:r w:rsidR="00777DCB" w:rsidRPr="00A52585">
        <w:rPr>
          <w:rFonts w:hint="cs"/>
          <w:rtl/>
        </w:rPr>
        <w:t xml:space="preserve">وأنت أرشدك الله عز وجل إلى الحق وأزاح عنك الباطل إذا استحضرت بعض ما تقدم وعطفت على قول هذا الزائغ أن المسلمين متفقون على أن الميت لا يسأل ولا يدعى ولا يطلب منه سواء كان نبيا أو شيخا أو غير ذلك قطعت بفجوره وببهتانه وأنه من أخبث الناس طوية </w:t>
      </w:r>
      <w:r w:rsidR="00777DCB" w:rsidRPr="00A52585">
        <w:rPr>
          <w:rFonts w:hint="cs"/>
          <w:rtl/>
        </w:rPr>
        <w:lastRenderedPageBreak/>
        <w:t>وأنه لا اعتقاد له وهذه عادته بادعاء الاتفاق وبالإجماع المقطوع به كما سيأتي عند ذكر شد الرحال وإعمال المطي وفي غير ذلك</w:t>
      </w:r>
      <w:r w:rsidR="00DB731D" w:rsidRPr="00A52585">
        <w:rPr>
          <w:rFonts w:hint="cs"/>
          <w:rtl/>
        </w:rPr>
        <w:t>،</w:t>
      </w:r>
      <w:r w:rsidR="00777DCB" w:rsidRPr="00A52585">
        <w:rPr>
          <w:rFonts w:hint="cs"/>
          <w:rtl/>
        </w:rPr>
        <w:t xml:space="preserve"> </w:t>
      </w:r>
      <w:r w:rsidR="00777DCB" w:rsidRPr="00A52585">
        <w:rPr>
          <w:rFonts w:hint="cs"/>
          <w:bCs/>
          <w:rtl/>
        </w:rPr>
        <w:t>وقد تقدم توسل آدم عليه السلام بالنبي صلى الله عليه وسلم وأن الله عز وجل قبله بسبب التوسل وجعل هذا الزنديق آدم عليه السلام بتوسله بالنبي صلى الله عليه وسلم ظالما ضالا مشركا وليس وراء ذلك زندقة وكفر</w:t>
      </w:r>
      <w:r w:rsidR="00DB731D" w:rsidRPr="00A52585">
        <w:rPr>
          <w:rFonts w:hint="cs"/>
          <w:bCs/>
          <w:rtl/>
        </w:rPr>
        <w:t>،</w:t>
      </w:r>
      <w:r w:rsidR="00777DCB" w:rsidRPr="00A52585">
        <w:rPr>
          <w:rFonts w:hint="cs"/>
          <w:b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الذي دعا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إلى هذا التفسير لموقف ابن تيمية أمران</w:t>
      </w:r>
      <w:r w:rsidRPr="00A52585">
        <w:rPr>
          <w:rFonts w:hint="cs"/>
          <w:sz w:val="24"/>
          <w:szCs w:val="24"/>
          <w:rtl/>
        </w:rPr>
        <w:t xml:space="preserve">: </w:t>
      </w:r>
      <w:r w:rsidR="00777DCB" w:rsidRPr="00A52585">
        <w:rPr>
          <w:rFonts w:hint="cs"/>
          <w:sz w:val="24"/>
          <w:szCs w:val="24"/>
          <w:rtl/>
        </w:rPr>
        <w:t>1- أن حديث توسل آدم مروي من طرق عديدة وبمجموعها يثبت الحديث بغير شك ولا يغيب هذا عن ذهن ابن تيمية وهو المتخصص في علوم الحديث حتى وإن أنكر صحته بلسانه كما هي عادته في كثير من الأمور ومنها المجاز</w:t>
      </w:r>
      <w:r w:rsidR="00DB731D" w:rsidRPr="00A52585">
        <w:rPr>
          <w:rFonts w:hint="cs"/>
          <w:sz w:val="24"/>
          <w:szCs w:val="24"/>
          <w:rtl/>
        </w:rPr>
        <w:t>،</w:t>
      </w:r>
      <w:r w:rsidR="00777DCB" w:rsidRPr="00A52585">
        <w:rPr>
          <w:rFonts w:hint="cs"/>
          <w:sz w:val="24"/>
          <w:szCs w:val="24"/>
          <w:rtl/>
        </w:rPr>
        <w:t xml:space="preserve"> بل ذكر هو نفسه في الفتاوي حديثين في توسل سيدنا آدم عليه السلام برسول الله الأول</w:t>
      </w:r>
      <w:r w:rsidRPr="00A52585">
        <w:rPr>
          <w:rFonts w:hint="cs"/>
          <w:sz w:val="24"/>
          <w:szCs w:val="24"/>
          <w:rtl/>
        </w:rPr>
        <w:t>:</w:t>
      </w:r>
      <w:r w:rsidR="00777DCB" w:rsidRPr="00A52585">
        <w:rPr>
          <w:rFonts w:hint="cs"/>
          <w:sz w:val="24"/>
          <w:szCs w:val="24"/>
          <w:rtl/>
        </w:rPr>
        <w:t xml:space="preserve"> حديث ميسرة الفجر قال</w:t>
      </w:r>
      <w:r w:rsidRPr="00A52585">
        <w:rPr>
          <w:rFonts w:hint="cs"/>
          <w:sz w:val="24"/>
          <w:szCs w:val="24"/>
          <w:rtl/>
        </w:rPr>
        <w:t>:</w:t>
      </w:r>
      <w:r w:rsidR="00777DCB" w:rsidRPr="00A52585">
        <w:rPr>
          <w:rFonts w:hint="cs"/>
          <w:sz w:val="24"/>
          <w:szCs w:val="24"/>
          <w:rtl/>
        </w:rPr>
        <w:t xml:space="preserve"> قلت يا رسول الله متى كنت نبيا</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"فلما غرهما الشيطان تابا واستشفعا باسمي إليه "</w:t>
      </w:r>
      <w:r w:rsidRPr="00A52585">
        <w:rPr>
          <w:rFonts w:hint="cs"/>
          <w:sz w:val="24"/>
          <w:szCs w:val="24"/>
          <w:rtl/>
        </w:rPr>
        <w:t xml:space="preserve"> </w:t>
      </w:r>
      <w:r w:rsidR="00777DCB" w:rsidRPr="00A52585">
        <w:rPr>
          <w:rFonts w:hint="cs"/>
          <w:sz w:val="24"/>
          <w:szCs w:val="24"/>
          <w:rtl/>
        </w:rPr>
        <w:t>-وإسناده قوى كما نص عليه الحافظ ابن حجر-</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الحديث الثاني</w:t>
      </w:r>
      <w:r w:rsidRPr="00A52585">
        <w:rPr>
          <w:rFonts w:hint="cs"/>
          <w:sz w:val="24"/>
          <w:szCs w:val="24"/>
          <w:rtl/>
        </w:rPr>
        <w:t>:</w:t>
      </w:r>
      <w:r w:rsidR="00777DCB" w:rsidRPr="00A52585">
        <w:rPr>
          <w:rFonts w:hint="cs"/>
          <w:sz w:val="24"/>
          <w:szCs w:val="24"/>
          <w:rtl/>
        </w:rPr>
        <w:t xml:space="preserve"> حديث عمر بن الخطاب رضي الله عنه عن رسول الله صلى الله عليه وسلم قال</w:t>
      </w:r>
      <w:r w:rsidRPr="00A52585">
        <w:rPr>
          <w:rFonts w:hint="cs"/>
          <w:sz w:val="24"/>
          <w:szCs w:val="24"/>
          <w:rtl/>
        </w:rPr>
        <w:t xml:space="preserve">: </w:t>
      </w:r>
      <w:r w:rsidR="00777DCB" w:rsidRPr="00A52585">
        <w:rPr>
          <w:rFonts w:hint="cs"/>
          <w:sz w:val="24"/>
          <w:szCs w:val="24"/>
          <w:rtl/>
        </w:rPr>
        <w:t>" لما أصاب آدم الخطيئة رفع رأسه فقال</w:t>
      </w:r>
      <w:r w:rsidRPr="00A52585">
        <w:rPr>
          <w:rFonts w:hint="cs"/>
          <w:sz w:val="24"/>
          <w:szCs w:val="24"/>
          <w:rtl/>
        </w:rPr>
        <w:t>:</w:t>
      </w:r>
      <w:r w:rsidR="00777DCB" w:rsidRPr="00A52585">
        <w:rPr>
          <w:rFonts w:hint="cs"/>
          <w:sz w:val="24"/>
          <w:szCs w:val="24"/>
          <w:rtl/>
        </w:rPr>
        <w:t xml:space="preserve"> يا رب، بحق محمد إلا غفرت لي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الحديث ثم قال ابن تيمية</w:t>
      </w:r>
      <w:r w:rsidRPr="00A52585">
        <w:rPr>
          <w:rFonts w:hint="cs"/>
          <w:sz w:val="24"/>
          <w:szCs w:val="24"/>
          <w:rtl/>
        </w:rPr>
        <w:t xml:space="preserve">: </w:t>
      </w:r>
      <w:r w:rsidR="00777DCB" w:rsidRPr="00A52585">
        <w:rPr>
          <w:rFonts w:hint="cs"/>
          <w:sz w:val="24"/>
          <w:szCs w:val="24"/>
          <w:rtl/>
        </w:rPr>
        <w:t>" فهذا الحديث يؤيد الذي قبله وهما كالتفسير للأحاديث الصحيحة "</w:t>
      </w:r>
      <w:r w:rsidRPr="00A52585">
        <w:rPr>
          <w:rFonts w:hint="cs"/>
          <w:sz w:val="24"/>
          <w:szCs w:val="24"/>
          <w:rtl/>
        </w:rPr>
        <w:t xml:space="preserve"> </w:t>
      </w:r>
      <w:r w:rsidR="00777DCB" w:rsidRPr="00A52585">
        <w:rPr>
          <w:rFonts w:hint="cs"/>
          <w:sz w:val="24"/>
          <w:szCs w:val="24"/>
          <w:rtl/>
        </w:rPr>
        <w:t>أهـ من الفتاوى جـ2 ص 150، وانظر كتاب (مفاهيم يجب أن تصحح) ص 47 ط دار الإنسان أي أن ابن تيمية مع زعمه أن التوسل شرك معترف بأن سيدنا آدم قد توسل بسيد الخلق صلى الله عليه وسلم</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2- أن ابن تيمية ينفي عصمة الأنبياء ويذكر أن العصمة الخاصة بالأنبياء عليهم السلام هي في إبلاغ الرسالة وفي منع الإقرار على الذنوب فقط، أما وقوع النبي في كبائر الذنوب بما فيها الشرك والكفر فأمر جائز عنده وقد دخل إلى الرأي الخبيث أيضاً من باب إنكار المجاز في اللغة وفي القرآن والسنة حتى يتسنى له التلاعب بنصوص الشريعة، ثم حاول ستر </w:t>
      </w:r>
      <w:proofErr w:type="spellStart"/>
      <w:r w:rsidR="00777DCB" w:rsidRPr="00A52585">
        <w:rPr>
          <w:rFonts w:hint="cs"/>
          <w:sz w:val="24"/>
          <w:szCs w:val="24"/>
          <w:rtl/>
        </w:rPr>
        <w:t>خسيسته</w:t>
      </w:r>
      <w:proofErr w:type="spellEnd"/>
      <w:r w:rsidR="00777DCB" w:rsidRPr="00A52585">
        <w:rPr>
          <w:rFonts w:hint="cs"/>
          <w:sz w:val="24"/>
          <w:szCs w:val="24"/>
          <w:rtl/>
        </w:rPr>
        <w:t xml:space="preserve"> بأن أكد أنهم لابد وأن يتوبوا من ذنوبهم تلك ثم قال</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فالتوبة النصوح التي يقبلها الله يرفع بها صاحبها إلى أعظم مما كان عليه كما قال بعض السلف</w:t>
      </w:r>
      <w:r w:rsidRPr="00A52585">
        <w:rPr>
          <w:rFonts w:hint="cs"/>
          <w:sz w:val="24"/>
          <w:szCs w:val="24"/>
          <w:rtl/>
        </w:rPr>
        <w:t>:</w:t>
      </w:r>
      <w:r w:rsidR="00777DCB" w:rsidRPr="00A52585">
        <w:rPr>
          <w:rFonts w:hint="cs"/>
          <w:sz w:val="24"/>
          <w:szCs w:val="24"/>
          <w:rtl/>
        </w:rPr>
        <w:t xml:space="preserve"> كان داود عليه السلام بعد التوبة خيرا منه قبل الخطيئة، وقال آخر</w:t>
      </w:r>
      <w:r w:rsidRPr="00A52585">
        <w:rPr>
          <w:rFonts w:hint="cs"/>
          <w:sz w:val="24"/>
          <w:szCs w:val="24"/>
          <w:rtl/>
        </w:rPr>
        <w:t>:</w:t>
      </w:r>
      <w:r w:rsidR="00777DCB" w:rsidRPr="00A52585">
        <w:rPr>
          <w:rFonts w:hint="cs"/>
          <w:sz w:val="24"/>
          <w:szCs w:val="24"/>
          <w:rtl/>
        </w:rPr>
        <w:t xml:space="preserve"> لو لم تكن التوبة أحب الأشياء إليه لما ابتلى بالذنب أكرم الخلق عليه "</w:t>
      </w:r>
      <w:r w:rsidRPr="00A52585">
        <w:rPr>
          <w:rFonts w:hint="cs"/>
          <w:sz w:val="24"/>
          <w:szCs w:val="24"/>
          <w:rtl/>
        </w:rPr>
        <w:t xml:space="preserve"> </w:t>
      </w:r>
      <w:r w:rsidR="00777DCB" w:rsidRPr="00A52585">
        <w:rPr>
          <w:rFonts w:hint="cs"/>
          <w:sz w:val="24"/>
          <w:szCs w:val="24"/>
          <w:rtl/>
        </w:rPr>
        <w:t>مجموع الفتاوى 2/ 282</w:t>
      </w:r>
      <w:r w:rsidR="00DB731D" w:rsidRPr="00A52585">
        <w:rPr>
          <w:rFonts w:hint="cs"/>
          <w:sz w:val="24"/>
          <w:szCs w:val="24"/>
          <w:rtl/>
        </w:rPr>
        <w:t>،</w:t>
      </w:r>
      <w:r w:rsidR="00777DCB" w:rsidRPr="00A52585">
        <w:rPr>
          <w:rFonts w:hint="cs"/>
          <w:sz w:val="24"/>
          <w:szCs w:val="24"/>
          <w:rtl/>
        </w:rPr>
        <w:t xml:space="preserve"> وقال في موضع آخر بعد أن بين أنهم عليهم السلام يسارعون في التوبة وأن بعضهم يؤخرها زمنا قليلا ثم قال</w:t>
      </w:r>
      <w:r w:rsidRPr="00A52585">
        <w:rPr>
          <w:rFonts w:hint="cs"/>
          <w:sz w:val="24"/>
          <w:szCs w:val="24"/>
          <w:rtl/>
        </w:rPr>
        <w:t xml:space="preserve">: </w:t>
      </w:r>
      <w:r w:rsidR="00777DCB" w:rsidRPr="00A52585">
        <w:rPr>
          <w:rFonts w:hint="cs"/>
          <w:sz w:val="24"/>
          <w:szCs w:val="24"/>
          <w:rtl/>
        </w:rPr>
        <w:t>" والتائب من الكفر والذنوب قد يكون أفضل ممن لم يقع في الكفر والذنوب "</w:t>
      </w:r>
      <w:r w:rsidRPr="00A52585">
        <w:rPr>
          <w:rFonts w:hint="cs"/>
          <w:sz w:val="24"/>
          <w:szCs w:val="24"/>
          <w:rtl/>
        </w:rPr>
        <w:t xml:space="preserve"> </w:t>
      </w:r>
      <w:r w:rsidR="00777DCB" w:rsidRPr="00A52585">
        <w:rPr>
          <w:rFonts w:hint="cs"/>
          <w:sz w:val="24"/>
          <w:szCs w:val="24"/>
          <w:rtl/>
        </w:rPr>
        <w:t>مجموع الفتاوى 2/291</w:t>
      </w:r>
      <w:r w:rsidR="00DB731D" w:rsidRPr="00A52585">
        <w:rPr>
          <w:rFonts w:hint="cs"/>
          <w:sz w:val="24"/>
          <w:szCs w:val="24"/>
          <w:rtl/>
        </w:rPr>
        <w:t>،</w:t>
      </w:r>
      <w:r w:rsidR="00777DCB" w:rsidRPr="00A52585">
        <w:rPr>
          <w:rFonts w:hint="cs"/>
          <w:sz w:val="24"/>
          <w:szCs w:val="24"/>
          <w:rtl/>
        </w:rPr>
        <w:t xml:space="preserve"> ونذكِّر أنه في هذا يغترف من الفكر اليهودي ومن التوراة المحرَّفة التي تنسب إلى الأنبياء الكفر والزنا والخمر والخداع والقتل</w:t>
      </w:r>
      <w:r w:rsidRPr="00A52585">
        <w:rPr>
          <w:rFonts w:hint="cs"/>
          <w:sz w:val="24"/>
          <w:szCs w:val="24"/>
          <w:rtl/>
        </w:rPr>
        <w:t xml:space="preserve"> </w:t>
      </w:r>
      <w:r w:rsidR="00777DCB" w:rsidRPr="00A52585">
        <w:rPr>
          <w:rFonts w:hint="cs"/>
          <w:sz w:val="24"/>
          <w:szCs w:val="24"/>
          <w:rtl/>
        </w:rPr>
        <w:t>إلخ</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5667BE0B" w14:textId="13E7AE08" w:rsidR="00777DCB" w:rsidRPr="00A52585" w:rsidRDefault="0002035C" w:rsidP="0002035C">
      <w:pPr>
        <w:spacing w:after="240"/>
        <w:rPr>
          <w:b/>
          <w:bCs/>
          <w:rtl/>
        </w:rPr>
      </w:pPr>
      <w:r w:rsidRPr="00A52585">
        <w:rPr>
          <w:rFonts w:hint="cs"/>
          <w:bCs/>
          <w:rtl/>
        </w:rPr>
        <w:t>[</w:t>
      </w:r>
      <w:r w:rsidR="00777DCB" w:rsidRPr="00A52585">
        <w:rPr>
          <w:rFonts w:hint="cs"/>
          <w:bCs/>
          <w:rtl/>
        </w:rPr>
        <w:t>ي – توسل أهل المدينة به صلى الله عليه وسلم بعد وفاته في حياة الصحابة</w:t>
      </w:r>
      <w:r w:rsidRPr="00A52585">
        <w:rPr>
          <w:rFonts w:hint="cs"/>
          <w:bCs/>
          <w:rtl/>
        </w:rPr>
        <w:t>:</w:t>
      </w:r>
      <w:r w:rsidR="00777DCB" w:rsidRPr="00A52585">
        <w:rPr>
          <w:rFonts w:hint="cs"/>
          <w:bCs/>
          <w:rtl/>
        </w:rPr>
        <w:t xml:space="preserve"> حديث الكوّة- حديث مالك الدار</w:t>
      </w:r>
      <w:r w:rsidRPr="00A52585">
        <w:rPr>
          <w:rFonts w:hint="cs"/>
          <w:bCs/>
          <w:rtl/>
        </w:rPr>
        <w:t>]:</w:t>
      </w:r>
      <w:r w:rsidR="00777DCB" w:rsidRPr="00A52585">
        <w:rPr>
          <w:rFonts w:hint="cs"/>
          <w:bCs/>
          <w:rtl/>
        </w:rPr>
        <w:t xml:space="preserve"> </w:t>
      </w:r>
      <w:r w:rsidR="00777DCB" w:rsidRPr="00A52585">
        <w:rPr>
          <w:rFonts w:hint="cs"/>
          <w:rtl/>
        </w:rPr>
        <w:t>وروي عن أبي الجوزاء قال</w:t>
      </w:r>
      <w:r w:rsidRPr="00A52585">
        <w:rPr>
          <w:rFonts w:hint="cs"/>
          <w:rtl/>
        </w:rPr>
        <w:t>:</w:t>
      </w:r>
      <w:r w:rsidR="00777DCB" w:rsidRPr="00A52585">
        <w:rPr>
          <w:rFonts w:hint="cs"/>
          <w:rtl/>
        </w:rPr>
        <w:t xml:space="preserve"> قحط أهل المدينة قحطاً شديداً فشكوا إلى عائشة رضي الله عنها ذلك فقالت امضوا إلى القبر واجعلوا منه كوة إلى السماء حتى لا يكون بينها وبين السماء شيء ففعلوا فمطروا حتى نبت العشب وسمنت الإبل حتى تفتقت من الشحم فسُمي عام الفتق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أخرجه الدارمي في سننه (1/43) وانظر تخريج الحديث في (رفع المنارة بتخريج أحاديث التوسل والزيارة) للشيخ محمود سعيد يقول ملا على قاري</w:t>
      </w:r>
      <w:r w:rsidRPr="00A52585">
        <w:rPr>
          <w:rFonts w:hint="cs"/>
          <w:sz w:val="24"/>
          <w:szCs w:val="24"/>
          <w:rtl/>
        </w:rPr>
        <w:t xml:space="preserve">: </w:t>
      </w:r>
      <w:r w:rsidR="00777DCB" w:rsidRPr="00A52585">
        <w:rPr>
          <w:rFonts w:hint="cs"/>
          <w:sz w:val="24"/>
          <w:szCs w:val="24"/>
          <w:rtl/>
        </w:rPr>
        <w:t xml:space="preserve">"قيل في سبب كشف قبره أنه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كان يستشفع به عند </w:t>
      </w:r>
      <w:r w:rsidR="00777DCB" w:rsidRPr="00A52585">
        <w:rPr>
          <w:rFonts w:hint="cs"/>
          <w:sz w:val="24"/>
          <w:szCs w:val="24"/>
          <w:rtl/>
        </w:rPr>
        <w:lastRenderedPageBreak/>
        <w:t>الجدب فتمطر السماء فأمرت عائشة رضي الله عنها بكشف قبره مبالغة في الاستشفاع به فلا يبقى بينه وبين السماء حجاب "</w:t>
      </w:r>
      <w:r w:rsidRPr="00A52585">
        <w:rPr>
          <w:rFonts w:hint="cs"/>
          <w:sz w:val="24"/>
          <w:szCs w:val="24"/>
          <w:rtl/>
        </w:rPr>
        <w:t xml:space="preserve"> </w:t>
      </w:r>
      <w:r w:rsidR="00777DCB" w:rsidRPr="00A52585">
        <w:rPr>
          <w:rFonts w:hint="cs"/>
          <w:sz w:val="24"/>
          <w:szCs w:val="24"/>
          <w:rtl/>
        </w:rPr>
        <w:t>أهـ انظر (الرد المحكم المتين) ص 196 يقول السيد حسن السقاف</w:t>
      </w:r>
      <w:r w:rsidRPr="00A52585">
        <w:rPr>
          <w:rFonts w:hint="cs"/>
          <w:sz w:val="24"/>
          <w:szCs w:val="24"/>
          <w:rtl/>
        </w:rPr>
        <w:t xml:space="preserve">: </w:t>
      </w:r>
      <w:r w:rsidR="00777DCB" w:rsidRPr="00A52585">
        <w:rPr>
          <w:rFonts w:hint="cs"/>
          <w:sz w:val="24"/>
          <w:szCs w:val="24"/>
          <w:rtl/>
        </w:rPr>
        <w:t xml:space="preserve">"وهذا صريح في أن السيدة عائشة قد استغاثت بالنبي صلى الله عليه وسلم بعد موته وكذا جميع الصحابة الذين كانوا هناك </w:t>
      </w:r>
      <w:proofErr w:type="spellStart"/>
      <w:r w:rsidR="00777DCB" w:rsidRPr="00A52585">
        <w:rPr>
          <w:rFonts w:hint="cs"/>
          <w:sz w:val="24"/>
          <w:szCs w:val="24"/>
          <w:rtl/>
        </w:rPr>
        <w:t>وافقوها</w:t>
      </w:r>
      <w:proofErr w:type="spellEnd"/>
      <w:r w:rsidR="00777DCB" w:rsidRPr="00A52585">
        <w:rPr>
          <w:rFonts w:hint="cs"/>
          <w:sz w:val="24"/>
          <w:szCs w:val="24"/>
          <w:rtl/>
        </w:rPr>
        <w:t xml:space="preserve"> وفعلوا ما أرشدتهم إليه "</w:t>
      </w:r>
      <w:r w:rsidRPr="00A52585">
        <w:rPr>
          <w:rFonts w:hint="cs"/>
          <w:sz w:val="24"/>
          <w:szCs w:val="24"/>
          <w:rtl/>
        </w:rPr>
        <w:t xml:space="preserve"> </w:t>
      </w:r>
      <w:r w:rsidR="00777DCB" w:rsidRPr="00A52585">
        <w:rPr>
          <w:rFonts w:hint="cs"/>
          <w:sz w:val="24"/>
          <w:szCs w:val="24"/>
          <w:rtl/>
        </w:rPr>
        <w:t>أهـ (الإغاثة) ص 25 انظر تخريج هذا الأثر في (رفع المنارة) ص 253</w:t>
      </w:r>
      <w:r w:rsidRPr="00A52585">
        <w:rPr>
          <w:rFonts w:hint="cs"/>
          <w:sz w:val="24"/>
          <w:szCs w:val="24"/>
          <w:rtl/>
        </w:rPr>
        <w:t>]</w:t>
      </w:r>
      <w:r w:rsidR="00DB731D" w:rsidRPr="00A52585">
        <w:rPr>
          <w:rFonts w:hint="cs"/>
          <w:rtl/>
        </w:rPr>
        <w:t>،</w:t>
      </w:r>
      <w:r w:rsidR="00777DCB" w:rsidRPr="00A52585">
        <w:rPr>
          <w:rFonts w:hint="cs"/>
          <w:rtl/>
        </w:rPr>
        <w:t xml:space="preserve"> وروى البيهقي بسنده إلى الأعمش عن أبي صالح قال أصاب الناس قحط في زمن عمر رضي الله عنه فجاء رجل إلى قبر النبي صلى الله عليه وسلم فقال</w:t>
      </w:r>
      <w:r w:rsidRPr="00A52585">
        <w:rPr>
          <w:rFonts w:hint="cs"/>
          <w:rtl/>
        </w:rPr>
        <w:t>:</w:t>
      </w:r>
      <w:r w:rsidR="00777DCB" w:rsidRPr="00A52585">
        <w:rPr>
          <w:rFonts w:hint="cs"/>
          <w:rtl/>
        </w:rPr>
        <w:t xml:space="preserve"> يا رسول الله استسق لأمتك فأتاه رسول الله صلى الله عليه وسلم في المنام فقال</w:t>
      </w:r>
      <w:r w:rsidRPr="00A52585">
        <w:rPr>
          <w:rFonts w:hint="cs"/>
          <w:rtl/>
        </w:rPr>
        <w:t>:</w:t>
      </w:r>
      <w:r w:rsidR="00777DCB" w:rsidRPr="00A52585">
        <w:rPr>
          <w:rFonts w:hint="cs"/>
          <w:rtl/>
        </w:rPr>
        <w:t xml:space="preserve"> ائت عمر فاقرأه مني السلام وأخبره أنهم </w:t>
      </w:r>
      <w:proofErr w:type="spellStart"/>
      <w:r w:rsidR="00777DCB" w:rsidRPr="00A52585">
        <w:rPr>
          <w:rFonts w:hint="cs"/>
          <w:rtl/>
        </w:rPr>
        <w:t>مسقون</w:t>
      </w:r>
      <w:proofErr w:type="spellEnd"/>
      <w:r w:rsidR="00777DCB" w:rsidRPr="00A52585">
        <w:rPr>
          <w:rFonts w:hint="cs"/>
          <w:rtl/>
        </w:rPr>
        <w:t xml:space="preserve"> وقل له عليك الكيس. قال فأتى الرجل عمر فأخبره فبكى عمر رضي الله عنه وقال</w:t>
      </w:r>
      <w:r w:rsidRPr="00A52585">
        <w:rPr>
          <w:rFonts w:hint="cs"/>
          <w:rtl/>
        </w:rPr>
        <w:t>:</w:t>
      </w:r>
      <w:r w:rsidR="00777DCB" w:rsidRPr="00A52585">
        <w:rPr>
          <w:rFonts w:hint="cs"/>
          <w:rtl/>
        </w:rPr>
        <w:t xml:space="preserve"> يا رب ما آلو إلا ما عجزت عنه</w:t>
      </w:r>
      <w:r w:rsidR="00DB731D" w:rsidRPr="00A52585">
        <w:rPr>
          <w:rFonts w:hint="cs"/>
          <w:rtl/>
        </w:rPr>
        <w:t>،</w:t>
      </w:r>
      <w:r w:rsidR="00777DCB" w:rsidRPr="00A52585">
        <w:rPr>
          <w:rFonts w:hint="cs"/>
          <w:rtl/>
        </w:rPr>
        <w:t xml:space="preserve"> فهذا رجل مبارك قد أتى قبره عليه الصلاة والسلام وطلب الاستسقاء منه عليه الصلاة والسلام وأخبر عمر رضي الله عنه بالرسالة منه عليه الصلاة والسلام فلو كان ذلك جهلا وضلالا وشركا لمنعه عمر رضي الله عنه الذي احتج الزائغ باستسقائه بالعباس وقد تقدم قصة عثمان بن حنيف وهي من الأمور المشهورة</w:t>
      </w:r>
      <w:r w:rsidR="00DB731D" w:rsidRPr="00A52585">
        <w:rPr>
          <w:rFonts w:hint="cs"/>
          <w:rtl/>
        </w:rPr>
        <w:t>،</w:t>
      </w:r>
      <w:r w:rsidR="00777DCB" w:rsidRPr="00A52585">
        <w:rPr>
          <w:rFonts w:hint="cs"/>
          <w:rtl/>
        </w:rPr>
        <w:t xml:space="preserve"> </w:t>
      </w:r>
      <w:r w:rsidRPr="00A52585">
        <w:rPr>
          <w:rFonts w:hint="cs"/>
          <w:b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أخرجه البيهقي في (دلائل النبوة) من طريق الأعمش عن أبي صالح السمان عن مالك الدار وكان خازن عمر قال</w:t>
      </w:r>
      <w:r w:rsidRPr="00A52585">
        <w:rPr>
          <w:rFonts w:hint="cs"/>
          <w:sz w:val="24"/>
          <w:szCs w:val="24"/>
          <w:rtl/>
        </w:rPr>
        <w:t xml:space="preserve">: </w:t>
      </w:r>
      <w:r w:rsidR="00777DCB" w:rsidRPr="00A52585">
        <w:rPr>
          <w:rFonts w:hint="cs"/>
          <w:sz w:val="24"/>
          <w:szCs w:val="24"/>
          <w:rtl/>
        </w:rPr>
        <w:t>" أصاب الناس قحط في زمن عمر رضي الله عنه فجاء إلى قبر النبي صلى الله عليه وسلم</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الحديث ونقله الحافظ عبد الله الغماري في (الرد المحكم المتين) ثم قال</w:t>
      </w:r>
      <w:r w:rsidRPr="00A52585">
        <w:rPr>
          <w:rFonts w:hint="cs"/>
          <w:sz w:val="24"/>
          <w:szCs w:val="24"/>
          <w:rtl/>
        </w:rPr>
        <w:t xml:space="preserve">: </w:t>
      </w:r>
      <w:r w:rsidR="00777DCB" w:rsidRPr="00A52585">
        <w:rPr>
          <w:rFonts w:hint="cs"/>
          <w:sz w:val="24"/>
          <w:szCs w:val="24"/>
          <w:rtl/>
        </w:rPr>
        <w:t xml:space="preserve">"إسناد هذا الأثر صحيح ورأيت الحافظ – يقصد ابن حجر العسقلاني – عزاه </w:t>
      </w:r>
      <w:r w:rsidR="00777DCB" w:rsidRPr="00A52585">
        <w:rPr>
          <w:rFonts w:hint="cs"/>
          <w:spacing w:val="-6"/>
          <w:sz w:val="24"/>
          <w:szCs w:val="24"/>
          <w:rtl/>
        </w:rPr>
        <w:t>في الفتح إلى ابن أبي شيبة من طريق أبي صالح عن مالك الدار باللفظ المذكور وقال</w:t>
      </w:r>
      <w:r w:rsidRPr="00A52585">
        <w:rPr>
          <w:rFonts w:hint="cs"/>
          <w:spacing w:val="-6"/>
          <w:sz w:val="24"/>
          <w:szCs w:val="24"/>
          <w:rtl/>
        </w:rPr>
        <w:t>:</w:t>
      </w:r>
      <w:r w:rsidR="00777DCB" w:rsidRPr="00A52585">
        <w:rPr>
          <w:rFonts w:hint="cs"/>
          <w:spacing w:val="-6"/>
          <w:sz w:val="24"/>
          <w:szCs w:val="24"/>
          <w:rtl/>
        </w:rPr>
        <w:t xml:space="preserve"> سنده صحيح، والرجل هو بلال بن الحرث المزني أحد الصحابة</w:t>
      </w:r>
      <w:r w:rsidR="00777DCB" w:rsidRPr="00A52585">
        <w:rPr>
          <w:rFonts w:hint="cs"/>
          <w:sz w:val="24"/>
          <w:szCs w:val="24"/>
          <w:rtl/>
        </w:rPr>
        <w:t xml:space="preserve"> كما رواه سيف في الفتوح "</w:t>
      </w:r>
      <w:r w:rsidRPr="00A52585">
        <w:rPr>
          <w:rFonts w:hint="cs"/>
          <w:sz w:val="24"/>
          <w:szCs w:val="24"/>
          <w:rtl/>
        </w:rPr>
        <w:t xml:space="preserve"> </w:t>
      </w:r>
      <w:r w:rsidR="00777DCB" w:rsidRPr="00A52585">
        <w:rPr>
          <w:rFonts w:hint="cs"/>
          <w:sz w:val="24"/>
          <w:szCs w:val="24"/>
          <w:rtl/>
        </w:rPr>
        <w:t>ثم قال السيد الغماري معلقا على كلام الحافظ بن حجر</w:t>
      </w:r>
      <w:r w:rsidRPr="00A52585">
        <w:rPr>
          <w:rFonts w:hint="cs"/>
          <w:sz w:val="24"/>
          <w:szCs w:val="24"/>
          <w:rtl/>
        </w:rPr>
        <w:t xml:space="preserve">: </w:t>
      </w:r>
      <w:r w:rsidR="00777DCB" w:rsidRPr="00A52585">
        <w:rPr>
          <w:rFonts w:hint="cs"/>
          <w:sz w:val="24"/>
          <w:szCs w:val="24"/>
          <w:rtl/>
        </w:rPr>
        <w:t>"وإن لم تصح رواية سيف فالرجل تابعي جزما ثم إن الحجة في إقرار عمر له حيث لم ينهه عما فعل "</w:t>
      </w:r>
      <w:r w:rsidRPr="00A52585">
        <w:rPr>
          <w:rFonts w:hint="cs"/>
          <w:sz w:val="24"/>
          <w:szCs w:val="24"/>
          <w:rtl/>
        </w:rPr>
        <w:t xml:space="preserve"> </w:t>
      </w:r>
      <w:r w:rsidR="00777DCB" w:rsidRPr="00A52585">
        <w:rPr>
          <w:rFonts w:hint="cs"/>
          <w:sz w:val="24"/>
          <w:szCs w:val="24"/>
          <w:rtl/>
        </w:rPr>
        <w:t>أهـ ص 53 ذكر الحافظ ابن حجر هذا الأثر في (فتح الباري) (2/495) ونقله عنه السيد حسن بن على السقاف في كتابه (الإغاثة) ثم قال</w:t>
      </w:r>
      <w:r w:rsidRPr="00A52585">
        <w:rPr>
          <w:rFonts w:hint="cs"/>
          <w:sz w:val="24"/>
          <w:szCs w:val="24"/>
          <w:rtl/>
        </w:rPr>
        <w:t xml:space="preserve">: </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ومالك الدار ثقة بالإجماع عدَّله ووثقه سيدنا عمر وسيدنا عثمان فولياه بيت المال والقسم ولا يوليان إلا ثقة ضابطاً عدلا كما نص الحافظ ابن حجر في الإصابة في ترجمته ونقل ذلك عن إمام المحدثين علي بن المديني، وكذا وثقه جميع الصحابة </w:t>
      </w:r>
      <w:r w:rsidR="00777DCB" w:rsidRPr="00A52585">
        <w:rPr>
          <w:rFonts w:hint="cs"/>
          <w:spacing w:val="-6"/>
          <w:sz w:val="24"/>
          <w:szCs w:val="24"/>
          <w:rtl/>
        </w:rPr>
        <w:t>الذين كانوا في زمن عمر وعثمان رضي الله عن الجميع بل نصّ الحافظ أن لمالك إدراك فهو صحابي</w:t>
      </w:r>
      <w:r w:rsidR="00777DCB" w:rsidRPr="00A52585">
        <w:rPr>
          <w:rFonts w:hint="cs"/>
          <w:sz w:val="24"/>
          <w:szCs w:val="24"/>
          <w:rtl/>
        </w:rPr>
        <w:t xml:space="preserve"> صغير وهذا يجعله ثقة اتفاقاً، ثم روى عنه أربعة من الثقات، ونص على أنه معروف</w:t>
      </w:r>
      <w:r w:rsidRPr="00A52585">
        <w:rPr>
          <w:rFonts w:hint="cs"/>
          <w:sz w:val="24"/>
          <w:szCs w:val="24"/>
          <w:rtl/>
        </w:rPr>
        <w:t>:</w:t>
      </w:r>
      <w:r w:rsidR="00777DCB" w:rsidRPr="00A52585">
        <w:rPr>
          <w:rFonts w:hint="cs"/>
          <w:sz w:val="24"/>
          <w:szCs w:val="24"/>
          <w:rtl/>
        </w:rPr>
        <w:t xml:space="preserve"> البخاري في تاريخه وساق هذه القصة، وابن سعد في طبقاته (5/12) وقد فصلت ذلك تفصيلا في الباهر وبينت </w:t>
      </w:r>
      <w:r w:rsidR="00777DCB" w:rsidRPr="00A52585">
        <w:rPr>
          <w:rFonts w:hint="cs"/>
          <w:spacing w:val="-6"/>
          <w:sz w:val="24"/>
          <w:szCs w:val="24"/>
          <w:rtl/>
        </w:rPr>
        <w:t>أن تضعيف المعاصرين لمالك وقوله</w:t>
      </w:r>
      <w:r w:rsidRPr="00A52585">
        <w:rPr>
          <w:rFonts w:hint="cs"/>
          <w:spacing w:val="-6"/>
          <w:sz w:val="24"/>
          <w:szCs w:val="24"/>
          <w:rtl/>
        </w:rPr>
        <w:t>:</w:t>
      </w:r>
      <w:r w:rsidR="00777DCB" w:rsidRPr="00A52585">
        <w:rPr>
          <w:rFonts w:hint="cs"/>
          <w:spacing w:val="-6"/>
          <w:sz w:val="24"/>
          <w:szCs w:val="24"/>
          <w:rtl/>
        </w:rPr>
        <w:t xml:space="preserve"> (غير معروف العدالة) خطأ بل جهل وتدليس بالغ فهذا الحديث</w:t>
      </w:r>
      <w:r w:rsidR="00777DCB" w:rsidRPr="00A52585">
        <w:rPr>
          <w:rFonts w:hint="cs"/>
          <w:sz w:val="24"/>
          <w:szCs w:val="24"/>
          <w:rtl/>
        </w:rPr>
        <w:t xml:space="preserve"> </w:t>
      </w:r>
      <w:r w:rsidR="00777DCB" w:rsidRPr="00A52585">
        <w:rPr>
          <w:rFonts w:hint="cs"/>
          <w:spacing w:val="-6"/>
          <w:sz w:val="24"/>
          <w:szCs w:val="24"/>
          <w:rtl/>
        </w:rPr>
        <w:t>يثبت بلا شك ولا ريب إجماع من حضر من الصحابة في زمن سيدنا عمر مع سيدنا عمر رضي الله</w:t>
      </w:r>
      <w:r w:rsidR="00777DCB" w:rsidRPr="00A52585">
        <w:rPr>
          <w:rFonts w:hint="cs"/>
          <w:sz w:val="24"/>
          <w:szCs w:val="24"/>
          <w:rtl/>
        </w:rPr>
        <w:t xml:space="preserve"> عنهم على جواز الاستغاثة بالنبي صلى الله عليه وسلم بعد موته ونحن مقتدون بالصحابة في ذلك "</w:t>
      </w:r>
      <w:r w:rsidRPr="00A52585">
        <w:rPr>
          <w:rFonts w:hint="cs"/>
          <w:sz w:val="24"/>
          <w:szCs w:val="24"/>
          <w:rtl/>
        </w:rPr>
        <w:t xml:space="preserve"> </w:t>
      </w:r>
      <w:r w:rsidR="00777DCB" w:rsidRPr="00A52585">
        <w:rPr>
          <w:rFonts w:hint="cs"/>
          <w:sz w:val="24"/>
          <w:szCs w:val="24"/>
          <w:rtl/>
        </w:rPr>
        <w:t xml:space="preserve">أهـ ص 24 انظر (رفع المنارة) الأثر الثاني ص 262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بنى خوارج العصر الحاضر رفضهم لهذا الحديث الصحيح على زعمهم أن مالك الدار مجهول الحال (مستور) وذلك مردودُ عليهم لأمور</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الأول</w:t>
      </w:r>
      <w:r w:rsidRPr="00A52585">
        <w:rPr>
          <w:rFonts w:hint="cs"/>
          <w:bCs/>
          <w:sz w:val="24"/>
          <w:szCs w:val="24"/>
          <w:rtl/>
        </w:rPr>
        <w:t>):</w:t>
      </w:r>
      <w:r w:rsidR="00777DCB" w:rsidRPr="00A52585">
        <w:rPr>
          <w:rFonts w:hint="cs"/>
          <w:sz w:val="24"/>
          <w:szCs w:val="24"/>
          <w:rtl/>
        </w:rPr>
        <w:t xml:space="preserve"> صرح علماء أصول الفقه بأن التعديل كما يكون بالتزكية باللفظ والثناء على الراوي، يكون أيضاً بوجود الأمارات الدالة على </w:t>
      </w:r>
      <w:r w:rsidR="00777DCB" w:rsidRPr="00A52585">
        <w:rPr>
          <w:rFonts w:hint="cs"/>
          <w:sz w:val="24"/>
          <w:szCs w:val="24"/>
          <w:rtl/>
        </w:rPr>
        <w:lastRenderedPageBreak/>
        <w:t xml:space="preserve">وجود هذه التزكية والثناء وإن لم ينقل لفظها وهو </w:t>
      </w:r>
      <w:r w:rsidR="00777DCB" w:rsidRPr="00A52585">
        <w:rPr>
          <w:rFonts w:hint="cs"/>
          <w:bCs/>
          <w:sz w:val="24"/>
          <w:szCs w:val="24"/>
          <w:rtl/>
        </w:rPr>
        <w:t>(التعديل الضمني)</w:t>
      </w:r>
      <w:r w:rsidR="00777DCB" w:rsidRPr="00A52585">
        <w:rPr>
          <w:rFonts w:hint="cs"/>
          <w:sz w:val="24"/>
          <w:szCs w:val="24"/>
          <w:rtl/>
        </w:rPr>
        <w:t xml:space="preserve"> وضربوا لهذا بعض الأمثلة في كتب الأصول وقد استعمل أئمة علم الحديث والجرح والتعديل هذه القاعدة وها هو أمير المؤمنين في الحديث ابن حجر العسقلاني </w:t>
      </w:r>
      <w:r w:rsidR="00777DCB" w:rsidRPr="00A52585">
        <w:rPr>
          <w:rFonts w:hint="cs"/>
          <w:bCs/>
          <w:sz w:val="24"/>
          <w:szCs w:val="24"/>
          <w:rtl/>
        </w:rPr>
        <w:t>يوثق هُنَيَّا مولى عمر ويعدِّله لأن عمر رضي الله عنه استعمله على الحِمَى</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انظر (فتح الباري) عند شرحه (كتاب الجهاد) – (180) باب إذا أسلم قوم في دار الحرب ولهم مال وأرضون فهي لهم</w:t>
      </w:r>
      <w:r w:rsidR="00DB731D" w:rsidRPr="00A52585">
        <w:rPr>
          <w:rFonts w:hint="cs"/>
          <w:sz w:val="24"/>
          <w:szCs w:val="24"/>
          <w:rtl/>
        </w:rPr>
        <w:t>،</w:t>
      </w:r>
      <w:r w:rsidR="00777DCB" w:rsidRPr="00A52585">
        <w:rPr>
          <w:rFonts w:hint="cs"/>
          <w:sz w:val="24"/>
          <w:szCs w:val="24"/>
          <w:rtl/>
        </w:rPr>
        <w:t xml:space="preserve"> حديث رقم (3059)</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أن عمر بن الخطاب رضي الله عنه استعمل مولى له يدعى هُنَيَّا على الحِمَى فقال</w:t>
      </w:r>
      <w:r w:rsidRPr="00A52585">
        <w:rPr>
          <w:rFonts w:hint="cs"/>
          <w:sz w:val="24"/>
          <w:szCs w:val="24"/>
          <w:rtl/>
        </w:rPr>
        <w:t>:</w:t>
      </w:r>
      <w:r w:rsidR="00777DCB" w:rsidRPr="00A52585">
        <w:rPr>
          <w:rFonts w:hint="cs"/>
          <w:sz w:val="24"/>
          <w:szCs w:val="24"/>
          <w:rtl/>
        </w:rPr>
        <w:t xml:space="preserve"> يا هُنَىّ اضمم جناحك عن المسلمين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الحديث يقول الإمام ابن حجر في شرحه للحديث</w:t>
      </w:r>
      <w:r w:rsidRPr="00A52585">
        <w:rPr>
          <w:rFonts w:hint="cs"/>
          <w:sz w:val="24"/>
          <w:szCs w:val="24"/>
          <w:rtl/>
        </w:rPr>
        <w:t xml:space="preserve">: </w:t>
      </w:r>
      <w:r w:rsidR="00777DCB" w:rsidRPr="00A52585">
        <w:rPr>
          <w:rFonts w:hint="cs"/>
          <w:sz w:val="24"/>
          <w:szCs w:val="24"/>
          <w:rtl/>
        </w:rPr>
        <w:t>" وهذا المولى لم أَرَ من ذكره في الصحابة مع إدراكه، وقد وجدت له رواية عن أبي بكر وعمر وعمرو بن العاص روى عنه ابنه عمير وشيخ من الأنصار وغيرهما وشهد صفين مع معاوية ثم تحول إلى علىّ لما قتل عمار</w:t>
      </w:r>
      <w:r w:rsidRPr="00A52585">
        <w:rPr>
          <w:rFonts w:hint="cs"/>
          <w:sz w:val="24"/>
          <w:szCs w:val="24"/>
          <w:rtl/>
        </w:rPr>
        <w:t xml:space="preserve"> </w:t>
      </w:r>
      <w:r w:rsidR="00777DCB" w:rsidRPr="00A52585">
        <w:rPr>
          <w:rFonts w:hint="cs"/>
          <w:bCs/>
          <w:sz w:val="24"/>
          <w:szCs w:val="24"/>
          <w:rtl/>
        </w:rPr>
        <w:t xml:space="preserve">ولو لا أنه كان من الفضلاء النبهاء الموثوق بهم لما استعمله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فتح الباري جـ9 ص 192 ط دار الغد العربي</w:t>
      </w:r>
      <w:r w:rsidR="00DB731D" w:rsidRPr="00A52585">
        <w:rPr>
          <w:rFonts w:hint="cs"/>
          <w:sz w:val="24"/>
          <w:szCs w:val="24"/>
          <w:rtl/>
        </w:rPr>
        <w:t>،</w:t>
      </w:r>
      <w:r w:rsidR="00777DCB" w:rsidRPr="00A52585">
        <w:rPr>
          <w:rFonts w:hint="cs"/>
          <w:sz w:val="24"/>
          <w:szCs w:val="24"/>
          <w:rtl/>
        </w:rPr>
        <w:t xml:space="preserve"> ثم ترجم له في تقريب التهذيب فقال</w:t>
      </w:r>
      <w:r w:rsidRPr="00A52585">
        <w:rPr>
          <w:rFonts w:hint="cs"/>
          <w:sz w:val="24"/>
          <w:szCs w:val="24"/>
          <w:rtl/>
        </w:rPr>
        <w:t xml:space="preserve">: </w:t>
      </w:r>
      <w:r w:rsidR="00777DCB" w:rsidRPr="00A52585">
        <w:rPr>
          <w:rFonts w:hint="cs"/>
          <w:sz w:val="24"/>
          <w:szCs w:val="24"/>
          <w:rtl/>
        </w:rPr>
        <w:t>" هُنَي مولى عمر استعمله عمر على الحمى وهو ثقة من الثانية</w:t>
      </w:r>
      <w:r w:rsidR="00777DCB" w:rsidRPr="00A52585">
        <w:rPr>
          <w:sz w:val="24"/>
          <w:szCs w:val="24"/>
        </w:rPr>
        <w:t>…</w:t>
      </w:r>
      <w:r w:rsidR="00777DCB" w:rsidRPr="00A52585">
        <w:rPr>
          <w:rFonts w:hint="cs"/>
          <w:sz w:val="24"/>
          <w:szCs w:val="24"/>
          <w:rtl/>
        </w:rPr>
        <w:t xml:space="preserve"> "</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فعلة توثيق (هُنَىّ) هي نفسها علة توثيق مالك الدار في حديثتا هذا بل هي أوضح وأقوى في مالك الدار الذي ولاه عمر ثم عثمان رضي الله عنهما بيت المال والقسم بل نقول أنه تعديل وتوثيق أقوى من التعديل والتوثيق اللفظي الصريح! </w:t>
      </w:r>
      <w:r w:rsidRPr="00A52585">
        <w:rPr>
          <w:rFonts w:hint="cs"/>
          <w:bCs/>
          <w:sz w:val="24"/>
          <w:szCs w:val="24"/>
          <w:rtl/>
        </w:rPr>
        <w:t>(</w:t>
      </w:r>
      <w:r w:rsidR="00777DCB" w:rsidRPr="00A52585">
        <w:rPr>
          <w:rFonts w:hint="cs"/>
          <w:bCs/>
          <w:sz w:val="24"/>
          <w:szCs w:val="24"/>
          <w:rtl/>
        </w:rPr>
        <w:t>الثاني</w:t>
      </w:r>
      <w:r w:rsidRPr="00A52585">
        <w:rPr>
          <w:rFonts w:hint="cs"/>
          <w:bCs/>
          <w:sz w:val="24"/>
          <w:szCs w:val="24"/>
          <w:rtl/>
        </w:rPr>
        <w:t>):</w:t>
      </w:r>
      <w:r w:rsidR="00777DCB" w:rsidRPr="00A52585">
        <w:rPr>
          <w:rFonts w:hint="cs"/>
          <w:sz w:val="24"/>
          <w:szCs w:val="24"/>
          <w:rtl/>
        </w:rPr>
        <w:t xml:space="preserve"> ومع ذلك فقد وثقه الأئمة باللفظ الصريح، يقول الشيخ محمود سعيد في (رفع المنارة)</w:t>
      </w:r>
      <w:r w:rsidRPr="00A52585">
        <w:rPr>
          <w:rFonts w:hint="cs"/>
          <w:sz w:val="24"/>
          <w:szCs w:val="24"/>
          <w:rtl/>
        </w:rPr>
        <w:t xml:space="preserve">: </w:t>
      </w:r>
      <w:r w:rsidR="00777DCB" w:rsidRPr="00A52585">
        <w:rPr>
          <w:rFonts w:hint="cs"/>
          <w:sz w:val="24"/>
          <w:szCs w:val="24"/>
          <w:rtl/>
        </w:rPr>
        <w:t>"قلت وبالله التوفيق</w:t>
      </w:r>
      <w:r w:rsidRPr="00A52585">
        <w:rPr>
          <w:rFonts w:hint="cs"/>
          <w:sz w:val="24"/>
          <w:szCs w:val="24"/>
          <w:rtl/>
        </w:rPr>
        <w:t>:</w:t>
      </w:r>
      <w:r w:rsidR="00777DCB" w:rsidRPr="00A52585">
        <w:rPr>
          <w:rFonts w:hint="cs"/>
          <w:sz w:val="24"/>
          <w:szCs w:val="24"/>
          <w:rtl/>
        </w:rPr>
        <w:t xml:space="preserve"> مالك الدار ثقة، وفوق الثقة، متفق عليه، أثنى عليه جمع من التابعين</w:t>
      </w:r>
      <w:r w:rsidR="00DB731D" w:rsidRPr="00A52585">
        <w:rPr>
          <w:rFonts w:hint="cs"/>
          <w:sz w:val="24"/>
          <w:szCs w:val="24"/>
          <w:rtl/>
        </w:rPr>
        <w:t>،</w:t>
      </w:r>
      <w:r w:rsidR="00777DCB" w:rsidRPr="00A52585">
        <w:rPr>
          <w:rFonts w:hint="cs"/>
          <w:sz w:val="24"/>
          <w:szCs w:val="24"/>
          <w:rtl/>
        </w:rPr>
        <w:t xml:space="preserve"> ولنا في بيان ذلك مسالك</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المسلك الأول</w:t>
      </w:r>
      <w:r w:rsidRPr="00A52585">
        <w:rPr>
          <w:rFonts w:hint="cs"/>
          <w:sz w:val="24"/>
          <w:szCs w:val="24"/>
          <w:rtl/>
        </w:rPr>
        <w:t>):</w:t>
      </w:r>
      <w:r w:rsidR="00777DCB" w:rsidRPr="00A52585">
        <w:rPr>
          <w:rFonts w:hint="cs"/>
          <w:sz w:val="24"/>
          <w:szCs w:val="24"/>
          <w:rtl/>
        </w:rPr>
        <w:t xml:space="preserve"> مالك الدار هو مالك بن عياض مولى عمر بن الخطاب، ذكره الحافظ في المخضرمين في (الإصابة) (3/484) وقال</w:t>
      </w:r>
      <w:r w:rsidRPr="00A52585">
        <w:rPr>
          <w:rFonts w:hint="cs"/>
          <w:sz w:val="24"/>
          <w:szCs w:val="24"/>
          <w:rtl/>
        </w:rPr>
        <w:t>:</w:t>
      </w:r>
      <w:r w:rsidR="00777DCB" w:rsidRPr="00A52585">
        <w:rPr>
          <w:rFonts w:hint="cs"/>
          <w:sz w:val="24"/>
          <w:szCs w:val="24"/>
          <w:rtl/>
        </w:rPr>
        <w:t xml:space="preserve"> له إدراك وسمع من أبي بكر الصديق، وروى عن الشيخين، ومعاذ، وأبي عبيدة، روى عنه أبو صالح السمان وابناه عون وعبد الله ابنا مالك، ثم ذكر بعد كلام </w:t>
      </w:r>
      <w:r w:rsidR="00777DCB" w:rsidRPr="00A52585">
        <w:rPr>
          <w:rFonts w:hint="cs"/>
          <w:bCs/>
          <w:sz w:val="24"/>
          <w:szCs w:val="24"/>
          <w:rtl/>
        </w:rPr>
        <w:t>في الرواة عنه</w:t>
      </w:r>
      <w:r w:rsidRPr="00A52585">
        <w:rPr>
          <w:rFonts w:hint="cs"/>
          <w:bCs/>
          <w:sz w:val="24"/>
          <w:szCs w:val="24"/>
          <w:rtl/>
        </w:rPr>
        <w:t>:</w:t>
      </w:r>
      <w:r w:rsidR="00777DCB" w:rsidRPr="00A52585">
        <w:rPr>
          <w:rFonts w:hint="cs"/>
          <w:bCs/>
          <w:sz w:val="24"/>
          <w:szCs w:val="24"/>
          <w:rtl/>
        </w:rPr>
        <w:t xml:space="preserve"> عبد الرحمن بن سعيد بن يربوع الثقة</w:t>
      </w:r>
      <w:r w:rsidR="00DB731D"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وذكره ابن سعد في الطبقة الأولى من التابعين في أهل المدينة (5/6)، وقال</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وكان معروفاً</w:t>
      </w:r>
      <w:r w:rsidR="00777DCB" w:rsidRPr="00A52585">
        <w:rPr>
          <w:rFonts w:hint="cs"/>
          <w:sz w:val="24"/>
          <w:szCs w:val="24"/>
          <w:rtl/>
        </w:rPr>
        <w:t xml:space="preserve"> أهـ</w:t>
      </w:r>
      <w:r w:rsidR="00DB731D" w:rsidRPr="00A52585">
        <w:rPr>
          <w:rFonts w:hint="cs"/>
          <w:sz w:val="24"/>
          <w:szCs w:val="24"/>
          <w:rtl/>
        </w:rPr>
        <w:t>،</w:t>
      </w:r>
      <w:r w:rsidR="00777DCB" w:rsidRPr="00A52585">
        <w:rPr>
          <w:rFonts w:hint="cs"/>
          <w:sz w:val="24"/>
          <w:szCs w:val="24"/>
          <w:rtl/>
        </w:rPr>
        <w:t xml:space="preserve"> وقال أبو عبيدة كما في (الإصابة) (3/484)</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ولاه عمر وكلة عياله، فلما قدم عثمان ولاه القسم أهـ، </w:t>
      </w:r>
      <w:r w:rsidR="00777DCB" w:rsidRPr="00A52585">
        <w:rPr>
          <w:rFonts w:hint="cs"/>
          <w:sz w:val="24"/>
          <w:szCs w:val="24"/>
          <w:rtl/>
        </w:rPr>
        <w:t>وفيها أيضاً قال إسماعيل القاضي عن علي بن المديني</w:t>
      </w:r>
      <w:r w:rsidRPr="00A52585">
        <w:rPr>
          <w:rFonts w:hint="cs"/>
          <w:sz w:val="24"/>
          <w:szCs w:val="24"/>
          <w:rtl/>
        </w:rPr>
        <w:t>:</w:t>
      </w:r>
      <w:r w:rsidR="00777DCB" w:rsidRPr="00A52585">
        <w:rPr>
          <w:rFonts w:hint="cs"/>
          <w:sz w:val="24"/>
          <w:szCs w:val="24"/>
          <w:rtl/>
        </w:rPr>
        <w:t xml:space="preserve"> كان </w:t>
      </w:r>
      <w:r w:rsidR="00777DCB" w:rsidRPr="00A52585">
        <w:rPr>
          <w:rFonts w:hint="cs"/>
          <w:bCs/>
          <w:sz w:val="24"/>
          <w:szCs w:val="24"/>
          <w:rtl/>
        </w:rPr>
        <w:t>مالك الدار خازناً لعمر</w:t>
      </w:r>
      <w:r w:rsidR="00777DCB" w:rsidRPr="00A52585">
        <w:rPr>
          <w:rFonts w:hint="cs"/>
          <w:sz w:val="24"/>
          <w:szCs w:val="24"/>
          <w:rtl/>
        </w:rPr>
        <w:t xml:space="preserve"> أهـ، وأجاد الحافظ أبو يعلى الخليلي فقال في الإرشاد (1/313)</w:t>
      </w:r>
      <w:r w:rsidRPr="00A52585">
        <w:rPr>
          <w:rFonts w:hint="cs"/>
          <w:sz w:val="24"/>
          <w:szCs w:val="24"/>
          <w:rtl/>
        </w:rPr>
        <w:t>:</w:t>
      </w:r>
      <w:r w:rsidR="00777DCB" w:rsidRPr="00A52585">
        <w:rPr>
          <w:rFonts w:hint="cs"/>
          <w:sz w:val="24"/>
          <w:szCs w:val="24"/>
          <w:rtl/>
        </w:rPr>
        <w:t xml:space="preserve"> مالك الدار مولى عمر بن الخطاب رضي الله تعالى عنه </w:t>
      </w:r>
      <w:r w:rsidR="00777DCB" w:rsidRPr="00A52585">
        <w:rPr>
          <w:rFonts w:hint="cs"/>
          <w:bCs/>
          <w:sz w:val="24"/>
          <w:szCs w:val="24"/>
          <w:rtl/>
        </w:rPr>
        <w:t>تابعي قديم متفق عليه، أثنى عليه التابعون</w:t>
      </w:r>
      <w:r w:rsidR="00777DCB" w:rsidRPr="00A52585">
        <w:rPr>
          <w:rFonts w:hint="cs"/>
          <w:sz w:val="24"/>
          <w:szCs w:val="24"/>
          <w:rtl/>
        </w:rPr>
        <w:t xml:space="preserve"> أهـ</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ووثقه ابن حبان في (الثقات)</w:t>
      </w:r>
      <w:r w:rsidR="00777DCB" w:rsidRPr="00A52585">
        <w:rPr>
          <w:rFonts w:hint="cs"/>
          <w:sz w:val="24"/>
          <w:szCs w:val="24"/>
          <w:rtl/>
        </w:rPr>
        <w:t xml:space="preserve"> (5/384)</w:t>
      </w:r>
      <w:r w:rsidR="00DB731D" w:rsidRPr="00A52585">
        <w:rPr>
          <w:rFonts w:hint="cs"/>
          <w:sz w:val="24"/>
          <w:szCs w:val="24"/>
          <w:rtl/>
        </w:rPr>
        <w:t>،</w:t>
      </w:r>
      <w:r w:rsidR="00777DCB" w:rsidRPr="00A52585">
        <w:rPr>
          <w:rFonts w:hint="cs"/>
          <w:sz w:val="24"/>
          <w:szCs w:val="24"/>
          <w:rtl/>
        </w:rPr>
        <w:t xml:space="preserve"> فأي ثناء يطلب بعد هذا في الرجل حتى يصحح حديثه</w:t>
      </w:r>
      <w:r w:rsidR="00F95886" w:rsidRPr="00A52585">
        <w:rPr>
          <w:rFonts w:hint="cs"/>
          <w:sz w:val="24"/>
          <w:szCs w:val="24"/>
          <w:rtl/>
        </w:rPr>
        <w:t>؟</w:t>
      </w:r>
      <w:r w:rsidRPr="00A52585">
        <w:rPr>
          <w:rFonts w:hint="cs"/>
          <w:sz w:val="24"/>
          <w:szCs w:val="24"/>
          <w:rtl/>
        </w:rPr>
        <w:t xml:space="preserve"> </w:t>
      </w:r>
      <w:r w:rsidR="00777DCB" w:rsidRPr="00A52585">
        <w:rPr>
          <w:rFonts w:hint="cs"/>
          <w:sz w:val="24"/>
          <w:szCs w:val="24"/>
          <w:rtl/>
        </w:rPr>
        <w:t>وأي حجة تطلب في توثيق الرجل بعد ذلك</w:t>
      </w:r>
      <w:r w:rsidR="00F95886" w:rsidRPr="00A52585">
        <w:rPr>
          <w:rFonts w:hint="cs"/>
          <w:sz w:val="24"/>
          <w:szCs w:val="24"/>
          <w:rtl/>
        </w:rPr>
        <w:t>؟</w:t>
      </w:r>
      <w:r w:rsidR="00777DCB" w:rsidRPr="00A52585">
        <w:rPr>
          <w:rFonts w:hint="cs"/>
          <w:sz w:val="24"/>
          <w:szCs w:val="24"/>
          <w:rtl/>
        </w:rPr>
        <w:t xml:space="preserve"> فتوثيق جمع له وخاصة إذا كانوا معاصرين ومن التابعين الذين هم خير القرون بعد القرن الأول لا تجده إلا في أفذاذ الثقات</w:t>
      </w:r>
      <w:r w:rsidR="00DB731D" w:rsidRPr="00A52585">
        <w:rPr>
          <w:rFonts w:hint="cs"/>
          <w:sz w:val="24"/>
          <w:szCs w:val="24"/>
          <w:rtl/>
        </w:rPr>
        <w:t>،</w:t>
      </w:r>
      <w:r w:rsidR="00777DCB" w:rsidRPr="00A52585">
        <w:rPr>
          <w:rFonts w:hint="cs"/>
          <w:sz w:val="24"/>
          <w:szCs w:val="24"/>
          <w:rtl/>
        </w:rPr>
        <w:t xml:space="preserve"> فالرجل متفق على الاحتجاج به بلا مرية كما هو ظاهر كلام الخليلي</w:t>
      </w:r>
      <w:r w:rsidR="00DB731D" w:rsidRPr="00A52585">
        <w:rPr>
          <w:rFonts w:hint="cs"/>
          <w:sz w:val="24"/>
          <w:szCs w:val="24"/>
          <w:rtl/>
        </w:rPr>
        <w:t>،</w:t>
      </w:r>
      <w:r w:rsidR="00777DCB" w:rsidRPr="00A52585">
        <w:rPr>
          <w:rFonts w:hint="cs"/>
          <w:sz w:val="24"/>
          <w:szCs w:val="24"/>
          <w:rtl/>
        </w:rPr>
        <w:t xml:space="preserve"> ولفرط دينه وأمانته استعمله (عمر بن الخطاب وعثمان بن عفان) رضي الله عنهما "</w:t>
      </w:r>
      <w:r w:rsidRPr="00A52585">
        <w:rPr>
          <w:rFonts w:hint="cs"/>
          <w:sz w:val="24"/>
          <w:szCs w:val="24"/>
          <w:rtl/>
        </w:rPr>
        <w:t xml:space="preserve"> </w:t>
      </w:r>
      <w:r w:rsidR="00777DCB" w:rsidRPr="00A52585">
        <w:rPr>
          <w:rFonts w:hint="cs"/>
          <w:sz w:val="24"/>
          <w:szCs w:val="24"/>
          <w:rtl/>
        </w:rPr>
        <w:t>ص265-266 وانظر باقي المسالك الأربعة في توثيق (مالك الدار) مع تخريج الحديث في (رفع المنارة) جزى الله صاحبه خيراً</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ملحوظة</w:t>
      </w:r>
      <w:r w:rsidRPr="00A52585">
        <w:rPr>
          <w:rFonts w:hint="cs"/>
          <w:bCs/>
          <w:sz w:val="24"/>
          <w:szCs w:val="24"/>
          <w:rtl/>
        </w:rPr>
        <w:t>]:</w:t>
      </w:r>
      <w:r w:rsidR="00777DCB" w:rsidRPr="00A52585">
        <w:rPr>
          <w:rFonts w:hint="cs"/>
          <w:sz w:val="24"/>
          <w:szCs w:val="24"/>
          <w:rtl/>
        </w:rPr>
        <w:t xml:space="preserve"> في (رفع المنارة) في السطر الأخير من المنقول</w:t>
      </w:r>
      <w:r w:rsidRPr="00A52585">
        <w:rPr>
          <w:rFonts w:hint="cs"/>
          <w:sz w:val="24"/>
          <w:szCs w:val="24"/>
          <w:rtl/>
        </w:rPr>
        <w:t>:</w:t>
      </w:r>
      <w:r w:rsidR="00777DCB" w:rsidRPr="00A52585">
        <w:rPr>
          <w:rFonts w:hint="cs"/>
          <w:sz w:val="24"/>
          <w:szCs w:val="24"/>
          <w:rtl/>
        </w:rPr>
        <w:t xml:space="preserve"> استعمله أبو بكر الصديق وعمر بن الخطاب وهو سبق قلم من المؤلف أو خطأ مطبعي كما يتضح من السياق</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p>
    <w:p w14:paraId="64F2A155" w14:textId="12F65141" w:rsidR="00777DCB" w:rsidRPr="00A52585" w:rsidRDefault="0002035C" w:rsidP="0002035C">
      <w:pPr>
        <w:spacing w:after="240"/>
        <w:rPr>
          <w:b/>
          <w:rtl/>
        </w:rPr>
      </w:pPr>
      <w:r w:rsidRPr="00A52585">
        <w:rPr>
          <w:rFonts w:hint="cs"/>
          <w:bCs/>
          <w:rtl/>
        </w:rPr>
        <w:t>[</w:t>
      </w:r>
      <w:r w:rsidR="00777DCB" w:rsidRPr="00A52585">
        <w:rPr>
          <w:rFonts w:hint="cs"/>
          <w:bCs/>
          <w:rtl/>
        </w:rPr>
        <w:t>ك – خبث طوية ابن تيمية وحطه من رتبة الأنبياء</w:t>
      </w:r>
      <w:r w:rsidRPr="00A52585">
        <w:rPr>
          <w:rFonts w:hint="cs"/>
          <w:bCs/>
          <w:rtl/>
        </w:rPr>
        <w:t>]:</w:t>
      </w:r>
      <w:r w:rsidR="00777DCB" w:rsidRPr="00A52585">
        <w:rPr>
          <w:rFonts w:hint="cs"/>
          <w:bCs/>
          <w:rtl/>
        </w:rPr>
        <w:t xml:space="preserve"> </w:t>
      </w:r>
      <w:r w:rsidR="00777DCB" w:rsidRPr="00A52585">
        <w:rPr>
          <w:rFonts w:hint="cs"/>
          <w:rtl/>
        </w:rPr>
        <w:t xml:space="preserve">فسكوت هذا الزائغ القائل بمسألة الفرق تبعاً لسلالة اليهود عن هذه الأمور الواضحة الجلية المشهورة والعدول إلى الفجور من أقوى الأدلة على </w:t>
      </w:r>
      <w:r w:rsidR="00777DCB" w:rsidRPr="00A52585">
        <w:rPr>
          <w:rFonts w:hint="cs"/>
          <w:rtl/>
        </w:rPr>
        <w:lastRenderedPageBreak/>
        <w:t>خبث طويته</w:t>
      </w:r>
      <w:r w:rsidR="00DB731D" w:rsidRPr="00A52585">
        <w:rPr>
          <w:rFonts w:hint="cs"/>
          <w:rtl/>
        </w:rPr>
        <w:t>،</w:t>
      </w:r>
      <w:r w:rsidR="00777DCB" w:rsidRPr="00A52585">
        <w:rPr>
          <w:rFonts w:hint="cs"/>
          <w:rtl/>
        </w:rPr>
        <w:t xml:space="preserve"> ومثل هذا لا يحل لأحد تقليده فيما يقوله ولا ينظر في كلامه إلا من يكون أهلا لمعرفة دسائس أهل البدع والزيغ وإلا هلك وأهلك فتنبه لذلك وخذ حذرك وإلا هلكت من حيث ظننت السلامة</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(ولا يطلب منه شيء سواء كان نبياً أو شيخا أو غير ذلك)</w:t>
      </w:r>
      <w:r w:rsidR="00DB731D" w:rsidRPr="00A52585">
        <w:rPr>
          <w:rFonts w:hint="cs"/>
          <w:rtl/>
        </w:rPr>
        <w:t>،</w:t>
      </w:r>
      <w:r w:rsidR="00777DCB" w:rsidRPr="00A52585">
        <w:rPr>
          <w:rFonts w:hint="cs"/>
          <w:rtl/>
        </w:rPr>
        <w:t xml:space="preserve"> قال الأئمة الأعلام النقاد أصحاب الأذهان الجيدة هذا منه كفر لما فيه من حط رتبة الأنبياء عليهم الصلاة والسلام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صرح في الفتوى الملحقة (الفتاوى السهمية</w:t>
      </w:r>
      <w:r w:rsidRPr="00A52585">
        <w:rPr>
          <w:rFonts w:hint="cs"/>
          <w:sz w:val="24"/>
          <w:szCs w:val="24"/>
          <w:rtl/>
        </w:rPr>
        <w:t>)</w:t>
      </w:r>
      <w:r w:rsidR="00777DCB" w:rsidRPr="00A52585">
        <w:rPr>
          <w:rFonts w:hint="cs"/>
          <w:sz w:val="24"/>
          <w:szCs w:val="24"/>
          <w:rtl/>
        </w:rPr>
        <w:t>، أن القائل هو الإمام السبكي رضي الله عنه</w:t>
      </w:r>
      <w:r w:rsidRPr="00A52585">
        <w:rPr>
          <w:rFonts w:hint="cs"/>
          <w:sz w:val="24"/>
          <w:szCs w:val="24"/>
          <w:rtl/>
        </w:rPr>
        <w:t>]</w:t>
      </w:r>
      <w:r w:rsidR="00DB731D" w:rsidRPr="00A52585">
        <w:rPr>
          <w:rFonts w:hint="cs"/>
          <w:rtl/>
        </w:rPr>
        <w:t>،</w:t>
      </w:r>
      <w:r w:rsidR="00777DCB" w:rsidRPr="00A52585">
        <w:rPr>
          <w:rFonts w:hint="cs"/>
          <w:rtl/>
        </w:rPr>
        <w:t xml:space="preserve"> والإجماع على أن من عَض من نبي في شيء من الأشياء كفر وأيضاً ففيه ترفيع غير الأنبياء</w:t>
      </w:r>
      <w:r w:rsidRPr="00A52585">
        <w:rPr>
          <w:rFonts w:hint="cs"/>
          <w:rtl/>
        </w:rPr>
        <w:t xml:space="preserve"> </w:t>
      </w:r>
      <w:r w:rsidR="00777DCB" w:rsidRPr="00A52585">
        <w:rPr>
          <w:rFonts w:hint="cs"/>
          <w:rtl/>
        </w:rPr>
        <w:t xml:space="preserve">إلى رتبة الأنبياء وإلحاقهم بهم وفيه إشارة بعيدة ترجع إلى اعتقاد الشيعة </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هامش المخطوطة</w:t>
      </w:r>
      <w:r w:rsidRPr="00A52585">
        <w:rPr>
          <w:rFonts w:hint="cs"/>
          <w:sz w:val="24"/>
          <w:szCs w:val="24"/>
          <w:rtl/>
        </w:rPr>
        <w:t>:</w:t>
      </w:r>
      <w:r w:rsidR="00777DCB" w:rsidRPr="00A52585">
        <w:rPr>
          <w:rFonts w:hint="cs"/>
          <w:sz w:val="24"/>
          <w:szCs w:val="24"/>
          <w:rtl/>
        </w:rPr>
        <w:t xml:space="preserve"> ليس هذا اعتقاد الشيعة وإنما هذا اعتقاد الفلاسفة</w:t>
      </w:r>
      <w:r w:rsidR="00DB731D" w:rsidRPr="00A52585">
        <w:rPr>
          <w:rFonts w:hint="cs"/>
          <w:sz w:val="24"/>
          <w:szCs w:val="24"/>
          <w:rtl/>
        </w:rPr>
        <w:t>،</w:t>
      </w:r>
      <w:r w:rsidR="00777DCB" w:rsidRPr="00A52585">
        <w:rPr>
          <w:rFonts w:hint="cs"/>
          <w:sz w:val="24"/>
          <w:szCs w:val="24"/>
          <w:rtl/>
        </w:rPr>
        <w:t xml:space="preserve"> هكذا رؤي على حاشية خط الشيخ أهـ والغالب أن هذا سبق قلم من المؤلف رضي الله عنه</w:t>
      </w:r>
      <w:r w:rsidRPr="00A52585">
        <w:rPr>
          <w:rFonts w:hint="cs"/>
          <w:sz w:val="24"/>
          <w:szCs w:val="24"/>
          <w:rtl/>
        </w:rPr>
        <w:t>]</w:t>
      </w:r>
      <w:r w:rsidR="00DB731D" w:rsidRPr="00A52585">
        <w:rPr>
          <w:rFonts w:hint="cs"/>
          <w:rtl/>
        </w:rPr>
        <w:t>،</w:t>
      </w:r>
      <w:r w:rsidR="00777DCB" w:rsidRPr="00A52585">
        <w:rPr>
          <w:rFonts w:hint="cs"/>
          <w:rtl/>
        </w:rPr>
        <w:t xml:space="preserve"> وهو أن النبوة عندهم تكتسب بالرياضات وتهذيب النفس وكتبهم مشحونة بهذا وهذا من فجورهم فإن النبوة إنما هي من الله عز وجل فمن نبأه الله عز وجل فهو النبي ومن أرسله فهو الرسول والله أعلم حيث يجعل رسالاته</w:t>
      </w:r>
      <w:r w:rsidR="00DB731D" w:rsidRPr="00A52585">
        <w:rPr>
          <w:rFonts w:hint="cs"/>
          <w:rtl/>
        </w:rPr>
        <w:t>،</w:t>
      </w:r>
      <w:r w:rsidR="00777DCB" w:rsidRPr="00A52585">
        <w:rPr>
          <w:rFonts w:hint="cs"/>
          <w:rtl/>
        </w:rPr>
        <w:t xml:space="preserve"> </w:t>
      </w:r>
    </w:p>
    <w:p w14:paraId="4B2424F3" w14:textId="77777777" w:rsidR="00777DCB" w:rsidRPr="00A52585" w:rsidRDefault="00777DCB" w:rsidP="0002035C">
      <w:pPr>
        <w:spacing w:after="240"/>
        <w:jc w:val="center"/>
        <w:rPr>
          <w:b/>
          <w:rtl/>
        </w:rPr>
      </w:pPr>
      <w:r w:rsidRPr="00A52585">
        <w:rPr>
          <w:rFonts w:hint="cs"/>
          <w:rtl/>
        </w:rPr>
        <w:t>***</w:t>
      </w:r>
    </w:p>
    <w:p w14:paraId="44AA6DC5" w14:textId="06D397F5" w:rsidR="00777DCB" w:rsidRPr="00A52585" w:rsidRDefault="0002035C" w:rsidP="0002035C">
      <w:pPr>
        <w:spacing w:after="240"/>
        <w:jc w:val="center"/>
        <w:rPr>
          <w:b/>
          <w:bCs/>
          <w:rtl/>
        </w:rPr>
      </w:pPr>
      <w:r w:rsidRPr="00A52585">
        <w:rPr>
          <w:rFonts w:hint="cs"/>
          <w:bCs/>
          <w:rtl/>
        </w:rPr>
        <w:t>[</w:t>
      </w:r>
      <w:r w:rsidR="00777DCB" w:rsidRPr="00A52585">
        <w:rPr>
          <w:rFonts w:hint="cs"/>
          <w:bCs/>
          <w:rtl/>
        </w:rPr>
        <w:t>فصل</w:t>
      </w:r>
      <w:r w:rsidRPr="00A52585">
        <w:rPr>
          <w:rFonts w:hint="cs"/>
          <w:bCs/>
          <w:rtl/>
        </w:rPr>
        <w:t>:</w:t>
      </w:r>
      <w:r w:rsidR="00777DCB" w:rsidRPr="00A52585">
        <w:rPr>
          <w:rFonts w:hint="cs"/>
          <w:bCs/>
          <w:rtl/>
        </w:rPr>
        <w:t xml:space="preserve"> فتوى ابن تيمية في تحريم السفر لزيارة قبر النبي صلى الله عليه وسلم أو قبور الأنبياء عليهم السلام</w:t>
      </w:r>
      <w:r w:rsidRPr="00A52585">
        <w:rPr>
          <w:rFonts w:hint="cs"/>
          <w:bCs/>
          <w:rtl/>
        </w:rPr>
        <w:t>]</w:t>
      </w:r>
    </w:p>
    <w:p w14:paraId="59420332" w14:textId="77030DD7" w:rsidR="00777DCB" w:rsidRPr="00A52585" w:rsidRDefault="0002035C" w:rsidP="0002035C">
      <w:pPr>
        <w:spacing w:after="240"/>
        <w:rPr>
          <w:b/>
          <w:bCs/>
        </w:rPr>
      </w:pPr>
      <w:r w:rsidRPr="00A52585">
        <w:rPr>
          <w:rFonts w:hint="cs"/>
          <w:bCs/>
          <w:rtl/>
        </w:rPr>
        <w:t>[</w:t>
      </w:r>
      <w:r w:rsidR="00777DCB" w:rsidRPr="00A52585">
        <w:rPr>
          <w:rFonts w:hint="cs"/>
          <w:bCs/>
          <w:rtl/>
        </w:rPr>
        <w:t>أ- زعمه الإجماع على تحريم الزيارة</w:t>
      </w:r>
      <w:r w:rsidRPr="00A52585">
        <w:rPr>
          <w:rFonts w:hint="cs"/>
          <w:bCs/>
          <w:rtl/>
        </w:rPr>
        <w:t>]:</w:t>
      </w:r>
      <w:r w:rsidR="00777DCB" w:rsidRPr="00A52585">
        <w:rPr>
          <w:rFonts w:hint="cs"/>
          <w:bCs/>
          <w:rtl/>
        </w:rPr>
        <w:t xml:space="preserve"> </w:t>
      </w:r>
      <w:r w:rsidR="00777DCB" w:rsidRPr="00A52585">
        <w:rPr>
          <w:rFonts w:hint="cs"/>
          <w:rtl/>
        </w:rPr>
        <w:t>ومن الأمور المنتقدة</w:t>
      </w:r>
      <w:r w:rsidRPr="00A52585">
        <w:rPr>
          <w:rFonts w:hint="cs"/>
          <w:rtl/>
        </w:rPr>
        <w:t xml:space="preserve"> </w:t>
      </w:r>
      <w:r w:rsidR="00777DCB" w:rsidRPr="00A52585">
        <w:rPr>
          <w:rFonts w:hint="cs"/>
          <w:rtl/>
        </w:rPr>
        <w:t>عليه 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زيارة قبر النبي وقبور الأنبياء عليهم الصلاة والسلام معصية بالإجماع مقطوعاً بها</w:t>
      </w:r>
      <w:r w:rsidRPr="00A52585">
        <w:rPr>
          <w:rFonts w:hint="cs"/>
          <w:rtl/>
        </w:rPr>
        <w:t>)</w:t>
      </w:r>
      <w:r w:rsidR="00777DCB" w:rsidRPr="00A52585">
        <w:rPr>
          <w:rFonts w:hint="cs"/>
          <w:rtl/>
        </w:rPr>
        <w:t>) وهذا ثابت عنه أنه قاله</w:t>
      </w:r>
      <w:r w:rsidR="00DB731D" w:rsidRPr="00A52585">
        <w:rPr>
          <w:rFonts w:hint="cs"/>
          <w:rtl/>
        </w:rPr>
        <w:t>،</w:t>
      </w:r>
      <w:r w:rsidR="00777DCB" w:rsidRPr="00A52585">
        <w:rPr>
          <w:rFonts w:hint="cs"/>
          <w:rtl/>
        </w:rPr>
        <w:t xml:space="preserve"> وثبت ذلك على القاضي جلال الدين القزويني</w:t>
      </w:r>
      <w:r w:rsidR="00DB731D" w:rsidRPr="00A52585">
        <w:rPr>
          <w:rFonts w:hint="cs"/>
          <w:rtl/>
        </w:rPr>
        <w:t>،</w:t>
      </w:r>
      <w:r w:rsidR="00777DCB" w:rsidRPr="00A52585">
        <w:rPr>
          <w:rFonts w:hint="cs"/>
          <w:rtl/>
        </w:rPr>
        <w:t xml:space="preserve"> فانظر هذه العبارة ما أعظم الفجور فيها من كون ذلك معصية. ومن ادعى الإجماع وأن ذلك مقطوع به</w:t>
      </w:r>
      <w:r w:rsidR="00DB731D" w:rsidRPr="00A52585">
        <w:rPr>
          <w:rFonts w:hint="cs"/>
          <w:rtl/>
        </w:rPr>
        <w:t>،</w:t>
      </w:r>
      <w:r w:rsidR="00777DCB" w:rsidRPr="00A52585">
        <w:rPr>
          <w:rFonts w:hint="cs"/>
          <w:rtl/>
        </w:rPr>
        <w:t xml:space="preserve"> وهو الزائغ يطالب بما ادعاه من إجماع الصحابة رضي الله عنهم وكذا التابعين ومن بعدهم من أئمة المسلمين إلى حين ادعائه ذلك</w:t>
      </w:r>
      <w:r w:rsidR="00DB731D" w:rsidRPr="00A52585">
        <w:rPr>
          <w:rFonts w:hint="cs"/>
          <w:rtl/>
        </w:rPr>
        <w:t>،</w:t>
      </w:r>
      <w:r w:rsidR="00777DCB" w:rsidRPr="00A52585">
        <w:rPr>
          <w:rFonts w:hint="cs"/>
          <w:rtl/>
        </w:rPr>
        <w:t xml:space="preserve"> وما اعتقد أن أحداً يتجاسر على مثل ذلك مع أن الكتب المشهورة بل والمهجورة وعمل الناس في سائر </w:t>
      </w:r>
      <w:proofErr w:type="spellStart"/>
      <w:r w:rsidR="00777DCB" w:rsidRPr="00A52585">
        <w:rPr>
          <w:rFonts w:hint="cs"/>
          <w:rtl/>
        </w:rPr>
        <w:t>الأعصار</w:t>
      </w:r>
      <w:proofErr w:type="spellEnd"/>
      <w:r w:rsidR="00777DCB" w:rsidRPr="00A52585">
        <w:rPr>
          <w:rFonts w:hint="cs"/>
          <w:rtl/>
        </w:rPr>
        <w:t xml:space="preserve"> على الحث على زيارته من جميع الأقطار. فزيارته من أفضل المساعي وأنجح القرب إلى رب العالمين وهي سنة من سنن المرسلين ومجمع عليها عند الموحدين ولا يطعن فيها إلا من في قلبه مرض المنافقين ومن هو من أفراخ اليهود وأعداء الدين من المشركين الذين شرقوا بسيد الأولين والآخرين</w:t>
      </w:r>
      <w:r w:rsidR="00DB731D" w:rsidRPr="00A52585">
        <w:rPr>
          <w:rFonts w:hint="cs"/>
          <w:rtl/>
        </w:rPr>
        <w:t>،</w:t>
      </w:r>
      <w:r w:rsidR="00777DCB" w:rsidRPr="00A52585">
        <w:rPr>
          <w:rFonts w:hint="cs"/>
          <w:rtl/>
        </w:rPr>
        <w:t xml:space="preserve"> ولم تزل هذه الأمة المحمدية على شد الرحال إليه على ممر الأزمان من جميع الأقطار والبلدان. سواء في ذلك الزرافات </w:t>
      </w:r>
      <w:r w:rsidR="00777DCB" w:rsidRPr="00A52585">
        <w:rPr>
          <w:rFonts w:hint="cs"/>
          <w:rtl/>
        </w:rPr>
        <w:lastRenderedPageBreak/>
        <w:t>والوحدان والعلماء والمشايخ والكهول والشباب حتى ظهر في طيز الزمان مبتدع من زنادقة حران لبّس على أتباع الدجال</w:t>
      </w:r>
      <w:r w:rsidR="00DB731D" w:rsidRPr="00A52585">
        <w:rPr>
          <w:rFonts w:hint="cs"/>
          <w:rtl/>
        </w:rPr>
        <w:t>،</w:t>
      </w:r>
      <w:r w:rsidR="00777DCB" w:rsidRPr="00A52585">
        <w:rPr>
          <w:rFonts w:hint="cs"/>
          <w:rtl/>
        </w:rPr>
        <w:t xml:space="preserve"> ومن شابههم من سيء الأذهان</w:t>
      </w:r>
      <w:r w:rsidR="00DB731D" w:rsidRPr="00A52585">
        <w:rPr>
          <w:rFonts w:hint="cs"/>
          <w:rtl/>
        </w:rPr>
        <w:t>،</w:t>
      </w:r>
      <w:r w:rsidR="00777DCB" w:rsidRPr="00A52585">
        <w:rPr>
          <w:rFonts w:hint="cs"/>
          <w:rtl/>
        </w:rPr>
        <w:t xml:space="preserve"> وزخرف لهم من القول غروراً</w:t>
      </w:r>
      <w:r w:rsidR="00DB731D" w:rsidRPr="00A52585">
        <w:rPr>
          <w:rFonts w:hint="cs"/>
          <w:rtl/>
        </w:rPr>
        <w:t>،</w:t>
      </w:r>
      <w:r w:rsidR="00777DCB" w:rsidRPr="00A52585">
        <w:rPr>
          <w:rFonts w:hint="cs"/>
          <w:rtl/>
        </w:rPr>
        <w:t xml:space="preserve"> كما صنع إمامه الشيطان فصدهم بتمويهه عن سبيل أهل الإيمان وأغواهم عن الصراط السوي إلى بنيات الطريق ومدرجة النيران فهم برؤيته في ظلمة الخطأ يعمهون وعلى منوال بدعته يهرعون</w:t>
      </w:r>
      <w:r w:rsidR="00DB731D" w:rsidRPr="00A52585">
        <w:rPr>
          <w:rFonts w:hint="cs"/>
          <w:rtl/>
        </w:rPr>
        <w:t>،</w:t>
      </w:r>
      <w:r w:rsidR="00777DCB" w:rsidRPr="00A52585">
        <w:rPr>
          <w:rFonts w:hint="cs"/>
          <w:rtl/>
        </w:rPr>
        <w:t xml:space="preserve"> وسأذكر لك ما تحقق به فجوره وبدعته وتضليل من مشى خلفه وهلكته وأبين ما أظهره من القول الباطل وما رمز إليه. وأوضحه </w:t>
      </w:r>
      <w:r w:rsidR="00777DCB" w:rsidRPr="00A52585">
        <w:rPr>
          <w:rFonts w:hint="cs"/>
          <w:spacing w:val="-20"/>
          <w:rtl/>
        </w:rPr>
        <w:t>لكل من سمعه</w:t>
      </w:r>
      <w:r w:rsidR="00777DCB" w:rsidRPr="00A52585">
        <w:rPr>
          <w:rFonts w:hint="cs"/>
          <w:rtl/>
        </w:rPr>
        <w:t xml:space="preserve"> ووقف </w:t>
      </w:r>
      <w:r w:rsidR="00777DCB" w:rsidRPr="00A52585">
        <w:rPr>
          <w:rFonts w:hint="cs"/>
          <w:spacing w:val="-20"/>
          <w:rtl/>
        </w:rPr>
        <w:t>عليه.</w:t>
      </w:r>
      <w:r w:rsidR="00777DCB" w:rsidRPr="00A52585">
        <w:rPr>
          <w:rFonts w:hint="cs"/>
          <w:rtl/>
        </w:rPr>
        <w:t xml:space="preserve"> ثم أردف </w:t>
      </w:r>
      <w:r w:rsidR="00777DCB" w:rsidRPr="00A52585">
        <w:rPr>
          <w:rFonts w:hint="cs"/>
          <w:spacing w:val="-20"/>
          <w:rtl/>
        </w:rPr>
        <w:t>ذلك</w:t>
      </w:r>
      <w:r w:rsidR="00777DCB" w:rsidRPr="00A52585">
        <w:rPr>
          <w:rFonts w:hint="cs"/>
          <w:rtl/>
        </w:rPr>
        <w:t xml:space="preserve"> بما </w:t>
      </w:r>
      <w:r w:rsidR="00777DCB" w:rsidRPr="00A52585">
        <w:rPr>
          <w:rFonts w:hint="cs"/>
          <w:spacing w:val="-20"/>
          <w:rtl/>
        </w:rPr>
        <w:t>يدل على</w:t>
      </w:r>
      <w:r w:rsidR="00777DCB" w:rsidRPr="00A52585">
        <w:rPr>
          <w:rFonts w:hint="cs"/>
          <w:rtl/>
        </w:rPr>
        <w:t xml:space="preserve"> المنهج </w:t>
      </w:r>
      <w:r w:rsidR="00777DCB" w:rsidRPr="00A52585">
        <w:rPr>
          <w:rFonts w:hint="cs"/>
          <w:spacing w:val="-20"/>
          <w:rtl/>
        </w:rPr>
        <w:t>من ذلك</w:t>
      </w:r>
      <w:r w:rsidR="00777DCB" w:rsidRPr="00A52585">
        <w:rPr>
          <w:rFonts w:hint="cs"/>
          <w:rtl/>
        </w:rPr>
        <w:t xml:space="preserve"> فلا </w:t>
      </w:r>
      <w:r w:rsidR="00777DCB" w:rsidRPr="00A52585">
        <w:rPr>
          <w:rFonts w:hint="cs"/>
          <w:spacing w:val="-20"/>
          <w:rtl/>
        </w:rPr>
        <w:t>يزيغ عنه بعد</w:t>
      </w:r>
      <w:r w:rsidR="00777DCB" w:rsidRPr="00A52585">
        <w:rPr>
          <w:rFonts w:hint="cs"/>
          <w:rtl/>
        </w:rPr>
        <w:t xml:space="preserve"> </w:t>
      </w:r>
      <w:r w:rsidR="00777DCB" w:rsidRPr="00A52585">
        <w:rPr>
          <w:rFonts w:hint="cs"/>
          <w:spacing w:val="-20"/>
          <w:rtl/>
        </w:rPr>
        <w:t>ذلك</w:t>
      </w:r>
      <w:r w:rsidR="00777DCB" w:rsidRPr="00A52585">
        <w:rPr>
          <w:rFonts w:hint="cs"/>
          <w:rtl/>
        </w:rPr>
        <w:t xml:space="preserve"> إلا هالك</w:t>
      </w:r>
      <w:r w:rsidR="00DB731D" w:rsidRPr="00A52585">
        <w:rPr>
          <w:rFonts w:hint="cs"/>
          <w:rtl/>
        </w:rPr>
        <w:t>،</w:t>
      </w:r>
      <w:r w:rsidR="00777DCB" w:rsidRPr="00A52585">
        <w:rPr>
          <w:rFonts w:hint="cs"/>
          <w:rtl/>
        </w:rPr>
        <w:t xml:space="preserve"> </w:t>
      </w:r>
      <w:r w:rsidR="00777DCB" w:rsidRPr="00A52585">
        <w:rPr>
          <w:rFonts w:hint="cs"/>
          <w:bCs/>
          <w:rtl/>
        </w:rPr>
        <w:t>قال القاضي عياض</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القاضي</w:t>
      </w:r>
      <w:r w:rsidRPr="00A52585">
        <w:rPr>
          <w:rFonts w:hint="cs"/>
          <w:sz w:val="24"/>
          <w:szCs w:val="24"/>
          <w:rtl/>
        </w:rPr>
        <w:t>:</w:t>
      </w:r>
      <w:r w:rsidR="00777DCB" w:rsidRPr="00A52585">
        <w:rPr>
          <w:rFonts w:hint="cs"/>
          <w:sz w:val="24"/>
          <w:szCs w:val="24"/>
          <w:rtl/>
        </w:rPr>
        <w:t xml:space="preserve"> عياض بن موسى بن عياض بن عمرو بن موسى بن عياض عالم المغرب العلامة أبو الفضل اليحصبي السبتي الحافظ والفقيه المالكي الكبير</w:t>
      </w:r>
      <w:r w:rsidR="00DB731D" w:rsidRPr="00A52585">
        <w:rPr>
          <w:rFonts w:hint="cs"/>
          <w:sz w:val="24"/>
          <w:szCs w:val="24"/>
          <w:rtl/>
        </w:rPr>
        <w:t>،</w:t>
      </w:r>
      <w:r w:rsidR="00777DCB" w:rsidRPr="00A52585">
        <w:rPr>
          <w:rFonts w:hint="cs"/>
          <w:sz w:val="24"/>
          <w:szCs w:val="24"/>
          <w:rtl/>
        </w:rPr>
        <w:t xml:space="preserve"> ولد سنة 476هـ، صنّف التصانيف التي سارت بها الركبان مثل (الشفاء)، (طبقات المالكية)، (شرح صحيح مسلم)، وغيرها وبعد صيته وكان إمام أهل الحديث في وقته وأعلم الناس بعلومه وبالنحو واللغة وكلام العرب وأيامهم وأنسابهم</w:t>
      </w:r>
      <w:r w:rsidR="00DB731D" w:rsidRPr="00A52585">
        <w:rPr>
          <w:rFonts w:hint="cs"/>
          <w:sz w:val="24"/>
          <w:szCs w:val="24"/>
          <w:rtl/>
        </w:rPr>
        <w:t>،</w:t>
      </w:r>
      <w:r w:rsidR="00777DCB" w:rsidRPr="00A52585">
        <w:rPr>
          <w:rFonts w:hint="cs"/>
          <w:sz w:val="24"/>
          <w:szCs w:val="24"/>
          <w:rtl/>
        </w:rPr>
        <w:t xml:space="preserve"> ولي قضاء سبتة ثم غرناطة توفى ليلة الجمعة سنة 544ه</w:t>
      </w:r>
      <w:r w:rsidRPr="00A52585">
        <w:rPr>
          <w:rFonts w:hint="cs"/>
          <w:sz w:val="24"/>
          <w:szCs w:val="24"/>
          <w:rtl/>
        </w:rPr>
        <w:t>]</w:t>
      </w:r>
      <w:r w:rsidR="00777DCB" w:rsidRPr="00A52585">
        <w:rPr>
          <w:rFonts w:hint="cs"/>
          <w:sz w:val="24"/>
          <w:rtl/>
        </w:rPr>
        <w:t xml:space="preserve"> </w:t>
      </w:r>
      <w:r w:rsidR="00777DCB" w:rsidRPr="00A52585">
        <w:rPr>
          <w:rFonts w:hint="cs"/>
          <w:rtl/>
        </w:rPr>
        <w:t xml:space="preserve">في أشهر كتبه الذي شاع ذكره في سائر البلاد </w:t>
      </w:r>
      <w:proofErr w:type="spellStart"/>
      <w:r w:rsidR="00777DCB" w:rsidRPr="00A52585">
        <w:rPr>
          <w:rFonts w:hint="cs"/>
          <w:rtl/>
        </w:rPr>
        <w:t>وقريء</w:t>
      </w:r>
      <w:proofErr w:type="spellEnd"/>
      <w:r w:rsidR="00777DCB" w:rsidRPr="00A52585">
        <w:rPr>
          <w:rFonts w:hint="cs"/>
          <w:rtl/>
        </w:rPr>
        <w:t xml:space="preserve"> في المجامع والجوامع على رءوس الأشهاد</w:t>
      </w:r>
      <w:r w:rsidRPr="00A52585">
        <w:rPr>
          <w:rFonts w:hint="cs"/>
          <w:rtl/>
        </w:rPr>
        <w:t>:</w:t>
      </w:r>
      <w:r w:rsidR="00777DCB" w:rsidRPr="00A52585">
        <w:rPr>
          <w:rFonts w:hint="cs"/>
          <w:rtl/>
        </w:rPr>
        <w:t xml:space="preserve"> </w:t>
      </w:r>
      <w:r w:rsidRPr="00A52585">
        <w:rPr>
          <w:rFonts w:hint="cs"/>
          <w:bCs/>
          <w:rtl/>
        </w:rPr>
        <w:t>[</w:t>
      </w:r>
      <w:r w:rsidR="00777DCB" w:rsidRPr="00A52585">
        <w:rPr>
          <w:rFonts w:hint="cs"/>
          <w:bCs/>
          <w:rtl/>
        </w:rPr>
        <w:t>فصل في حكم زيارة قبره عليه الصلاة والسلام وفضل من زاره وكيف يسلم عليه ويدعو</w:t>
      </w:r>
      <w:r w:rsidRPr="00A52585">
        <w:rPr>
          <w:rFonts w:hint="cs"/>
          <w:bCs/>
          <w:rtl/>
        </w:rPr>
        <w:t>]</w:t>
      </w:r>
      <w:r w:rsidRPr="00A52585">
        <w:rPr>
          <w:rFonts w:hint="cs"/>
          <w:rtl/>
        </w:rPr>
        <w:t>:</w:t>
      </w:r>
      <w:r w:rsidR="00777DCB" w:rsidRPr="00A52585">
        <w:rPr>
          <w:rFonts w:hint="cs"/>
          <w:rtl/>
        </w:rPr>
        <w:t xml:space="preserve"> وزيارة قبره سنة من سنن المرسلين مجمع عليها ومرغب فيها</w:t>
      </w:r>
      <w:r w:rsidR="00DB731D" w:rsidRPr="00A52585">
        <w:rPr>
          <w:rFonts w:hint="cs"/>
          <w:rtl/>
        </w:rPr>
        <w:t>،</w:t>
      </w:r>
      <w:r w:rsidR="00777DCB" w:rsidRPr="00A52585">
        <w:rPr>
          <w:rFonts w:hint="cs"/>
          <w:rtl/>
        </w:rPr>
        <w:t xml:space="preserve"> وروي عن ابن عمرو رضي الله عنهما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وجبت له شفاعتي</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وعن أنس بن مالك رضي الله عنه قال</w:t>
      </w:r>
      <w:r w:rsidRPr="00A52585">
        <w:rPr>
          <w:rFonts w:hint="cs"/>
          <w:rtl/>
        </w:rPr>
        <w:t>:</w:t>
      </w:r>
      <w:r w:rsidR="00777DCB" w:rsidRPr="00A52585">
        <w:rPr>
          <w:rFonts w:hint="cs"/>
          <w:rtl/>
        </w:rPr>
        <w:t xml:space="preserve">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في المدينة محتسباً كان في جواري وكنت له شفيعاً يوم القيامة</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وفي حديث آخر (</w:t>
      </w:r>
      <w:r w:rsidRPr="00A52585">
        <w:rPr>
          <w:rFonts w:hint="cs"/>
          <w:rtl/>
        </w:rPr>
        <w:t>(</w:t>
      </w:r>
      <w:r w:rsidR="00777DCB" w:rsidRPr="00A52585">
        <w:rPr>
          <w:rFonts w:hint="cs"/>
          <w:rtl/>
        </w:rPr>
        <w:t>من زارني بعد موتي فكأنما زارني في حياتي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هذا لفظه بحروفه</w:t>
      </w:r>
      <w:r w:rsidR="00DB731D" w:rsidRPr="00A52585">
        <w:rPr>
          <w:rFonts w:hint="cs"/>
          <w:rtl/>
        </w:rPr>
        <w:t>،</w:t>
      </w:r>
      <w:r w:rsidR="00777DCB" w:rsidRPr="00A52585">
        <w:rPr>
          <w:rFonts w:hint="cs"/>
          <w:rtl/>
        </w:rPr>
        <w:t xml:space="preserve"> </w:t>
      </w:r>
      <w:r w:rsidR="00777DCB" w:rsidRPr="00A52585">
        <w:rPr>
          <w:rFonts w:hint="cs"/>
          <w:bCs/>
          <w:rtl/>
        </w:rPr>
        <w:t>وكذا ذكره الإمام العلامة هبة الله</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هبة الله بن عبد الرحيم بن إبراهيم بن هبة الله بن المسلم بن هبة الله </w:t>
      </w:r>
      <w:proofErr w:type="spellStart"/>
      <w:r w:rsidR="00777DCB" w:rsidRPr="00A52585">
        <w:rPr>
          <w:rFonts w:hint="cs"/>
          <w:sz w:val="24"/>
          <w:szCs w:val="24"/>
          <w:rtl/>
        </w:rPr>
        <w:t>الجهنّى</w:t>
      </w:r>
      <w:proofErr w:type="spellEnd"/>
      <w:r w:rsidR="00777DCB" w:rsidRPr="00A52585">
        <w:rPr>
          <w:rFonts w:hint="cs"/>
          <w:sz w:val="24"/>
          <w:szCs w:val="24"/>
          <w:rtl/>
        </w:rPr>
        <w:t xml:space="preserve"> قاضي القضاة شرف الدين بن </w:t>
      </w:r>
      <w:proofErr w:type="spellStart"/>
      <w:r w:rsidR="00777DCB" w:rsidRPr="00A52585">
        <w:rPr>
          <w:rFonts w:hint="cs"/>
          <w:sz w:val="24"/>
          <w:szCs w:val="24"/>
          <w:rtl/>
        </w:rPr>
        <w:t>البارزي</w:t>
      </w:r>
      <w:proofErr w:type="spellEnd"/>
      <w:r w:rsidR="00777DCB" w:rsidRPr="00A52585">
        <w:rPr>
          <w:rFonts w:hint="cs"/>
          <w:sz w:val="24"/>
          <w:szCs w:val="24"/>
          <w:rtl/>
        </w:rPr>
        <w:t xml:space="preserve">، نسبة إلى (باب أبرز) إحدى محال بغداد قاضي حماة، ولد سنة 645هـ سمع من أبيه وجده وغيرهم وأجازه الشيخ عز الدين بن عبد السلام، والشيخ نجم الدين </w:t>
      </w:r>
      <w:proofErr w:type="spellStart"/>
      <w:r w:rsidR="00777DCB" w:rsidRPr="00A52585">
        <w:rPr>
          <w:rFonts w:hint="cs"/>
          <w:sz w:val="24"/>
          <w:szCs w:val="24"/>
          <w:rtl/>
        </w:rPr>
        <w:t>البادرائى</w:t>
      </w:r>
      <w:proofErr w:type="spellEnd"/>
      <w:r w:rsidR="00777DCB" w:rsidRPr="00A52585">
        <w:rPr>
          <w:rFonts w:hint="cs"/>
          <w:sz w:val="24"/>
          <w:szCs w:val="24"/>
          <w:rtl/>
        </w:rPr>
        <w:t xml:space="preserve"> والحافظ رشيد الدين العطار وأبو شامة وغيرهم انتهت إليه مشيخة المذهب الشافعي ببلاد الشام وكان إماما عارفا بالمذهب وفنون كثيرة</w:t>
      </w:r>
      <w:r w:rsidR="00DB731D" w:rsidRPr="00A52585">
        <w:rPr>
          <w:rFonts w:hint="cs"/>
          <w:sz w:val="24"/>
          <w:szCs w:val="24"/>
          <w:rtl/>
        </w:rPr>
        <w:t>،</w:t>
      </w:r>
      <w:r w:rsidR="00777DCB" w:rsidRPr="00A52585">
        <w:rPr>
          <w:rFonts w:hint="cs"/>
          <w:sz w:val="24"/>
          <w:szCs w:val="24"/>
          <w:rtl/>
        </w:rPr>
        <w:t xml:space="preserve"> له تصانيف عديدة في الفقه وغيره يقول عنه الذهبي</w:t>
      </w:r>
      <w:r w:rsidRPr="00A52585">
        <w:rPr>
          <w:rFonts w:hint="cs"/>
          <w:sz w:val="24"/>
          <w:szCs w:val="24"/>
          <w:rtl/>
        </w:rPr>
        <w:t xml:space="preserve">: </w:t>
      </w:r>
      <w:r w:rsidR="00777DCB" w:rsidRPr="00A52585">
        <w:rPr>
          <w:rFonts w:hint="cs"/>
          <w:sz w:val="24"/>
          <w:szCs w:val="24"/>
          <w:rtl/>
        </w:rPr>
        <w:t>" كان عديم النظر له خبرة تامة بمتون الأحاديث وانتهت إليه رياسة المذهب "</w:t>
      </w:r>
      <w:r w:rsidRPr="00A52585">
        <w:rPr>
          <w:rFonts w:hint="cs"/>
          <w:sz w:val="24"/>
          <w:szCs w:val="24"/>
          <w:rtl/>
        </w:rPr>
        <w:t xml:space="preserve"> </w:t>
      </w:r>
      <w:r w:rsidR="00777DCB" w:rsidRPr="00A52585">
        <w:rPr>
          <w:rFonts w:hint="cs"/>
          <w:sz w:val="24"/>
          <w:szCs w:val="24"/>
          <w:rtl/>
        </w:rPr>
        <w:t>توفى سنة 738هـ</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في كتاب (توثيق عرى الإيمان)</w:t>
      </w:r>
      <w:r w:rsidR="00DB731D" w:rsidRPr="00A52585">
        <w:rPr>
          <w:rFonts w:hint="cs"/>
          <w:rtl/>
        </w:rPr>
        <w:t>،</w:t>
      </w:r>
      <w:r w:rsidR="00777DCB" w:rsidRPr="00A52585">
        <w:rPr>
          <w:rFonts w:hint="cs"/>
          <w:rtl/>
        </w:rPr>
        <w:t xml:space="preserve"> فهذا نقل الإجماع على خلاف ما نقله هذا الزائغ الفاجر المبالغ في فجوره </w:t>
      </w:r>
      <w:proofErr w:type="spellStart"/>
      <w:r w:rsidR="00777DCB" w:rsidRPr="00A52585">
        <w:rPr>
          <w:rFonts w:hint="cs"/>
          <w:rtl/>
        </w:rPr>
        <w:t>وإعزائه</w:t>
      </w:r>
      <w:proofErr w:type="spellEnd"/>
      <w:r w:rsidR="00777DCB" w:rsidRPr="00A52585">
        <w:rPr>
          <w:rFonts w:hint="cs"/>
          <w:rtl/>
        </w:rPr>
        <w:t xml:space="preserve"> إلى السلف</w:t>
      </w:r>
      <w:r w:rsidR="00DB731D" w:rsidRPr="00A52585">
        <w:rPr>
          <w:rFonts w:hint="cs"/>
          <w:rtl/>
        </w:rPr>
        <w:t>،</w:t>
      </w:r>
      <w:r w:rsidR="00777DCB" w:rsidRPr="00A52585">
        <w:rPr>
          <w:rFonts w:hint="cs"/>
          <w:rtl/>
        </w:rPr>
        <w:t xml:space="preserve"> </w:t>
      </w:r>
      <w:r w:rsidR="00777DCB" w:rsidRPr="00A52585">
        <w:rPr>
          <w:rFonts w:hint="cs"/>
          <w:spacing w:val="-6"/>
          <w:rtl/>
        </w:rPr>
        <w:t>وأما غير هذين الإمامين ممن نقل الندب إلى زيارته فخلق لا يحصون وسأذكر بعضهم</w:t>
      </w:r>
      <w:r w:rsidR="00DB731D" w:rsidRPr="00A52585">
        <w:rPr>
          <w:rFonts w:hint="cs"/>
          <w:spacing w:val="-6"/>
          <w:rtl/>
        </w:rPr>
        <w:t>،</w:t>
      </w:r>
      <w:r w:rsidR="00777DCB" w:rsidRPr="00A52585">
        <w:rPr>
          <w:rFonts w:hint="cs"/>
          <w:spacing w:val="-6"/>
          <w:rtl/>
        </w:rPr>
        <w:t xml:space="preserve"> </w:t>
      </w:r>
      <w:r w:rsidR="00777DCB" w:rsidRPr="00A52585">
        <w:rPr>
          <w:rFonts w:hint="cs"/>
          <w:rtl/>
        </w:rPr>
        <w:t>على أنه ذكر في فتوى مطولة ما يناقض ما ادعاه من الإجماع والقطع هنا وقد ذكرت المسألة في كتابي (تنبيه السالك)</w:t>
      </w:r>
      <w:r w:rsidR="00DB731D" w:rsidRPr="00A52585">
        <w:rPr>
          <w:rFonts w:hint="cs"/>
          <w:vertAlign w:val="superscript"/>
          <w:rtl/>
        </w:rPr>
        <w:t>،</w:t>
      </w:r>
      <w:r w:rsidR="00777DCB" w:rsidRPr="00A52585">
        <w:rPr>
          <w:rFonts w:hint="cs"/>
          <w:rtl/>
        </w:rPr>
        <w:t xml:space="preserve"> وذكرت صورة الفتوى وجوابه</w:t>
      </w:r>
      <w:r w:rsidR="00DB731D" w:rsidRPr="00A52585">
        <w:rPr>
          <w:rFonts w:hint="cs"/>
          <w:rtl/>
        </w:rPr>
        <w:t>،</w:t>
      </w:r>
      <w:r w:rsidR="00777DCB" w:rsidRPr="00A52585">
        <w:rPr>
          <w:rFonts w:hint="cs"/>
          <w:rtl/>
        </w:rPr>
        <w:t xml:space="preserve"> وهو جواب مطول</w:t>
      </w:r>
      <w:r w:rsidR="00DB731D" w:rsidRPr="00A52585">
        <w:rPr>
          <w:rFonts w:hint="cs"/>
          <w:rtl/>
        </w:rPr>
        <w:t>،</w:t>
      </w:r>
      <w:r w:rsidR="00777DCB" w:rsidRPr="00A52585">
        <w:rPr>
          <w:rFonts w:hint="cs"/>
          <w:rtl/>
        </w:rPr>
        <w:t xml:space="preserve"> وتعرضت لما فيه من الخلل وسوء الفهم وفجوره في </w:t>
      </w:r>
      <w:r w:rsidR="00777DCB" w:rsidRPr="00A52585">
        <w:rPr>
          <w:rFonts w:hint="cs"/>
          <w:rtl/>
        </w:rPr>
        <w:lastRenderedPageBreak/>
        <w:t xml:space="preserve">النقل </w:t>
      </w:r>
      <w:proofErr w:type="spellStart"/>
      <w:r w:rsidR="00777DCB" w:rsidRPr="00A52585">
        <w:rPr>
          <w:rFonts w:hint="cs"/>
          <w:rtl/>
        </w:rPr>
        <w:t>والإعزاء</w:t>
      </w:r>
      <w:proofErr w:type="spellEnd"/>
      <w:r w:rsidR="00DB731D" w:rsidRPr="00A52585">
        <w:rPr>
          <w:rFonts w:hint="cs"/>
          <w:rtl/>
        </w:rPr>
        <w:t>،</w:t>
      </w:r>
      <w:r w:rsidR="00777DCB" w:rsidRPr="00A52585">
        <w:rPr>
          <w:rFonts w:hint="cs"/>
          <w:rtl/>
        </w:rPr>
        <w:t xml:space="preserve"> وها أنا أذكر هنا بعض الجواب</w:t>
      </w:r>
      <w:r w:rsidR="00DB731D" w:rsidRPr="00A52585">
        <w:rPr>
          <w:rFonts w:hint="cs"/>
          <w:rtl/>
        </w:rPr>
        <w:t>،</w:t>
      </w:r>
      <w:r w:rsidR="00777DCB" w:rsidRPr="00A52585">
        <w:rPr>
          <w:rFonts w:hint="cs"/>
          <w:rtl/>
        </w:rPr>
        <w:t xml:space="preserve"> وأبين ما فيه من الخطأ وعدم صحة الاحتجاج بما احتج به. كحديث لا تشد الرحال</w:t>
      </w:r>
      <w:r w:rsidR="00DB731D" w:rsidRPr="00A52585">
        <w:rPr>
          <w:rFonts w:hint="cs"/>
          <w:rtl/>
        </w:rPr>
        <w:t>،</w:t>
      </w:r>
      <w:r w:rsidR="00777DCB" w:rsidRPr="00A52585">
        <w:rPr>
          <w:rFonts w:hint="cs"/>
          <w:rtl/>
        </w:rPr>
        <w:t xml:space="preserve"> ولا أدقق في الجواب لأن قصدي بيان جهله</w:t>
      </w:r>
      <w:r w:rsidR="00DB731D" w:rsidRPr="00A52585">
        <w:rPr>
          <w:rFonts w:hint="cs"/>
          <w:rtl/>
        </w:rPr>
        <w:t>،</w:t>
      </w:r>
      <w:r w:rsidR="00777DCB" w:rsidRPr="00A52585">
        <w:rPr>
          <w:rFonts w:hint="cs"/>
          <w:rtl/>
        </w:rPr>
        <w:t xml:space="preserve"> وأنه لا حجة له في الحديث</w:t>
      </w:r>
      <w:r w:rsidR="00DB731D" w:rsidRPr="00A52585">
        <w:rPr>
          <w:rFonts w:hint="cs"/>
          <w:rtl/>
        </w:rPr>
        <w:t>،</w:t>
      </w:r>
      <w:r w:rsidR="00777DCB" w:rsidRPr="00A52585">
        <w:rPr>
          <w:rFonts w:hint="cs"/>
          <w:rtl/>
        </w:rPr>
        <w:t xml:space="preserve"> جرياً على القواعد التي عليها مدار الاستدلال صحة وبطلاناً</w:t>
      </w:r>
      <w:r w:rsidR="00DB731D" w:rsidRPr="00A52585">
        <w:rPr>
          <w:rFonts w:hint="cs"/>
          <w:rtl/>
        </w:rPr>
        <w:t>،</w:t>
      </w:r>
      <w:r w:rsidR="00777DCB" w:rsidRPr="00A52585">
        <w:rPr>
          <w:rFonts w:hint="cs"/>
          <w:rtl/>
        </w:rPr>
        <w:t xml:space="preserve"> وأذكر ما ذكره في أحاديث الزيارة</w:t>
      </w:r>
      <w:r w:rsidR="00DB731D" w:rsidRPr="00A52585">
        <w:rPr>
          <w:rFonts w:hint="cs"/>
          <w:rtl/>
        </w:rPr>
        <w:t>،</w:t>
      </w:r>
      <w:r w:rsidR="00777DCB" w:rsidRPr="00A52585">
        <w:rPr>
          <w:rFonts w:hint="cs"/>
          <w:rtl/>
        </w:rPr>
        <w:t xml:space="preserve"> وما ادعاه فيها من الفجور</w:t>
      </w:r>
      <w:r w:rsidR="00DB731D" w:rsidRPr="00A52585">
        <w:rPr>
          <w:rFonts w:hint="cs"/>
          <w:rtl/>
        </w:rPr>
        <w:t>،</w:t>
      </w:r>
      <w:r w:rsidR="00777DCB" w:rsidRPr="00A52585">
        <w:rPr>
          <w:rFonts w:hint="cs"/>
          <w:rtl/>
        </w:rPr>
        <w:t xml:space="preserve"> وما رمز إليه في تكفير الأئمة الذين رووها</w:t>
      </w:r>
      <w:r w:rsidR="00DB731D" w:rsidRPr="00A52585">
        <w:rPr>
          <w:rFonts w:hint="cs"/>
          <w:rtl/>
        </w:rPr>
        <w:t>،</w:t>
      </w:r>
      <w:r w:rsidR="00777DCB" w:rsidRPr="00A52585">
        <w:rPr>
          <w:rFonts w:hint="cs"/>
          <w:rtl/>
        </w:rPr>
        <w:t xml:space="preserve"> وأنه قال قولاً مفترى لم يسبقه إليه أحد</w:t>
      </w:r>
      <w:r w:rsidR="00DB731D" w:rsidRPr="00A52585">
        <w:rPr>
          <w:rFonts w:hint="cs"/>
          <w:rtl/>
        </w:rPr>
        <w:t>،</w:t>
      </w:r>
      <w:r w:rsidR="00777DCB" w:rsidRPr="00A52585">
        <w:rPr>
          <w:rFonts w:hint="cs"/>
          <w:rtl/>
        </w:rPr>
        <w:t xml:space="preserve"> ولا رمز ولا أشار إليه. وبالله التوفيق</w:t>
      </w:r>
      <w:r w:rsidR="00DB731D" w:rsidRPr="00A52585">
        <w:rPr>
          <w:rFonts w:hint="cs"/>
          <w:rtl/>
        </w:rPr>
        <w:t>،</w:t>
      </w:r>
      <w:r w:rsidR="00777DCB" w:rsidRPr="00A52585">
        <w:rPr>
          <w:rFonts w:hint="cs"/>
          <w:rtl/>
        </w:rPr>
        <w:t xml:space="preserve"> </w:t>
      </w:r>
    </w:p>
    <w:p w14:paraId="54816CD4" w14:textId="1ABABDE9" w:rsidR="00777DCB" w:rsidRPr="00A52585" w:rsidRDefault="0002035C" w:rsidP="0002035C">
      <w:pPr>
        <w:spacing w:after="240"/>
        <w:rPr>
          <w:b/>
          <w:rtl/>
        </w:rPr>
      </w:pPr>
      <w:r w:rsidRPr="00A52585">
        <w:rPr>
          <w:rFonts w:hint="cs"/>
          <w:bCs/>
          <w:rtl/>
        </w:rPr>
        <w:t>[</w:t>
      </w:r>
      <w:r w:rsidR="00777DCB" w:rsidRPr="00A52585">
        <w:rPr>
          <w:rFonts w:hint="cs"/>
          <w:bCs/>
          <w:rtl/>
        </w:rPr>
        <w:t>ب- طعنه في حديث (</w:t>
      </w:r>
      <w:r w:rsidRPr="00A52585">
        <w:rPr>
          <w:rFonts w:hint="cs"/>
          <w:bCs/>
          <w:rtl/>
        </w:rPr>
        <w:t>(</w:t>
      </w:r>
      <w:r w:rsidR="00777DCB" w:rsidRPr="00A52585">
        <w:rPr>
          <w:rFonts w:hint="cs"/>
          <w:bCs/>
          <w:rtl/>
        </w:rPr>
        <w:t>من زار قبري بعد مماتي فكأنما زارني في حياتي</w:t>
      </w:r>
      <w:r w:rsidRPr="00A52585">
        <w:rPr>
          <w:rFonts w:hint="cs"/>
          <w:bCs/>
          <w:rtl/>
        </w:rPr>
        <w:t>)</w:t>
      </w:r>
      <w:r w:rsidR="00777DCB" w:rsidRPr="00A52585">
        <w:rPr>
          <w:rFonts w:hint="cs"/>
          <w:bCs/>
          <w:rtl/>
        </w:rPr>
        <w:t>)]</w:t>
      </w:r>
      <w:r w:rsidRPr="00A52585">
        <w:rPr>
          <w:rFonts w:hint="cs"/>
          <w:bCs/>
          <w:rtl/>
        </w:rPr>
        <w:t>:</w:t>
      </w:r>
      <w:r w:rsidR="00777DCB" w:rsidRPr="00A52585">
        <w:rPr>
          <w:rFonts w:hint="cs"/>
          <w:bCs/>
          <w:rtl/>
        </w:rPr>
        <w:t xml:space="preserve"> </w:t>
      </w:r>
      <w:r w:rsidR="00777DCB" w:rsidRPr="00A52585">
        <w:rPr>
          <w:rFonts w:hint="cs"/>
          <w:rtl/>
        </w:rPr>
        <w:t>فمما ذكره في الجواب بلفظ قوله</w:t>
      </w:r>
      <w:r w:rsidRPr="00A52585">
        <w:rPr>
          <w:rFonts w:hint="cs"/>
          <w:rtl/>
        </w:rPr>
        <w:t>:</w:t>
      </w:r>
      <w:r w:rsidR="00777DCB" w:rsidRPr="00A52585">
        <w:rPr>
          <w:rFonts w:hint="cs"/>
          <w:rtl/>
        </w:rPr>
        <w:t xml:space="preserve"> (وقد يحتج بعض من لا يعرف الحديث بالأحاديث المروية في زيارة قبر النبي صلى الله عليه وسلم. كقوله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بعد مماتي فكأنما زارني في حياتي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 xml:space="preserve">رواه الدارقطني وابن ماجه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لم يخرج ابن ماجه هذا الحديث كما ادعاه ابن تيمية وذكره الإمام تقي الدين السبكي في كتابه (شفاء السقام) من طريقين عن الدارقطني وابن عساكر وليس في إسناد هذا الحديث بأس سوى جهالة أحد الرواة كما بينه الإمام السبكي وهو بهذا </w:t>
      </w:r>
      <w:r w:rsidR="00777DCB" w:rsidRPr="00A52585">
        <w:rPr>
          <w:rFonts w:hint="cs"/>
          <w:spacing w:val="-4"/>
          <w:sz w:val="24"/>
          <w:szCs w:val="24"/>
          <w:rtl/>
        </w:rPr>
        <w:t>يصلح في المتابعـات والشواهد مع</w:t>
      </w:r>
      <w:r w:rsidR="00777DCB" w:rsidRPr="00A52585">
        <w:rPr>
          <w:rFonts w:hint="cs"/>
          <w:sz w:val="24"/>
          <w:szCs w:val="24"/>
          <w:rtl/>
        </w:rPr>
        <w:t xml:space="preserve"> غيره من أحاديث الزيارة إذ ليس في رواته متهم بالكذب يقول الشيخ إبراهيم السمنودي في (نصرة الإمام السبكي) نقلا عن (شرح المواهب للزرقاني</w:t>
      </w:r>
      <w:r w:rsidRPr="00A52585">
        <w:rPr>
          <w:rFonts w:hint="cs"/>
          <w:sz w:val="24"/>
          <w:szCs w:val="24"/>
          <w:rtl/>
        </w:rPr>
        <w:t xml:space="preserve">: </w:t>
      </w:r>
      <w:r w:rsidR="00777DCB" w:rsidRPr="00A52585">
        <w:rPr>
          <w:rFonts w:hint="cs"/>
          <w:sz w:val="24"/>
          <w:szCs w:val="24"/>
          <w:rtl/>
        </w:rPr>
        <w:t>"قال زين الدين المراغي</w:t>
      </w:r>
      <w:r w:rsidRPr="00A52585">
        <w:rPr>
          <w:rFonts w:hint="cs"/>
          <w:sz w:val="24"/>
          <w:szCs w:val="24"/>
          <w:rtl/>
        </w:rPr>
        <w:t>:</w:t>
      </w:r>
      <w:r w:rsidR="00777DCB" w:rsidRPr="00A52585">
        <w:rPr>
          <w:rFonts w:hint="cs"/>
          <w:sz w:val="24"/>
          <w:szCs w:val="24"/>
          <w:rtl/>
        </w:rPr>
        <w:t xml:space="preserve"> ينبغي لكل مسلم اعتقاد كون زيارته صلى الله عليه وسلم قُرْبة للأحاديث الواردة في ذلك إذ لا تقتصر عن درجة الحسن وإن كان في أفرادها مقال "</w:t>
      </w:r>
      <w:r w:rsidRPr="00A52585">
        <w:rPr>
          <w:rFonts w:hint="cs"/>
          <w:sz w:val="24"/>
          <w:szCs w:val="24"/>
          <w:rtl/>
        </w:rPr>
        <w:t xml:space="preserve"> </w:t>
      </w:r>
      <w:r w:rsidR="00777DCB" w:rsidRPr="00A52585">
        <w:rPr>
          <w:rFonts w:hint="cs"/>
          <w:sz w:val="24"/>
          <w:szCs w:val="24"/>
          <w:rtl/>
        </w:rPr>
        <w:t>أهـ وعن أحاديث الزيارة يقول الحافظ الذهبي</w:t>
      </w:r>
      <w:r w:rsidRPr="00A52585">
        <w:rPr>
          <w:rFonts w:hint="cs"/>
          <w:sz w:val="24"/>
          <w:szCs w:val="24"/>
          <w:rtl/>
        </w:rPr>
        <w:t xml:space="preserve">: </w:t>
      </w:r>
      <w:r w:rsidR="00777DCB" w:rsidRPr="00A52585">
        <w:rPr>
          <w:rFonts w:hint="cs"/>
          <w:sz w:val="24"/>
          <w:szCs w:val="24"/>
          <w:rtl/>
        </w:rPr>
        <w:t>"ومن أجودها إسناداً حديث حاطب (من زارني بعد موتي فكأنما زارني في حياتي</w:t>
      </w:r>
      <w:r w:rsidRPr="00A52585">
        <w:rPr>
          <w:rFonts w:hint="cs"/>
          <w:sz w:val="24"/>
          <w:szCs w:val="24"/>
          <w:rtl/>
        </w:rPr>
        <w:t>)</w:t>
      </w:r>
      <w:r w:rsidR="00777DCB" w:rsidRPr="00A52585">
        <w:rPr>
          <w:rFonts w:hint="cs"/>
          <w:sz w:val="24"/>
          <w:szCs w:val="24"/>
          <w:rtl/>
        </w:rPr>
        <w:t xml:space="preserve"> أخرجه ابن عساكر وغيره "</w:t>
      </w:r>
      <w:r w:rsidRPr="00A52585">
        <w:rPr>
          <w:rFonts w:hint="cs"/>
          <w:sz w:val="24"/>
          <w:szCs w:val="24"/>
          <w:rtl/>
        </w:rPr>
        <w:t xml:space="preserve"> </w:t>
      </w:r>
      <w:r w:rsidR="00777DCB" w:rsidRPr="00A52585">
        <w:rPr>
          <w:rFonts w:hint="cs"/>
          <w:sz w:val="24"/>
          <w:szCs w:val="24"/>
          <w:rtl/>
        </w:rPr>
        <w:t>أهـ انظر (الدرر المنتثرة) للسيوطي انظر تخريجه في (رفع المنارة) ص 330حديث رقم21</w:t>
      </w:r>
      <w:r w:rsidRPr="00A52585">
        <w:rPr>
          <w:rFonts w:hint="cs"/>
          <w:sz w:val="24"/>
          <w:szCs w:val="24"/>
          <w:rtl/>
        </w:rPr>
        <w:t>]</w:t>
      </w:r>
      <w:r w:rsidR="00DB731D" w:rsidRPr="00A52585">
        <w:rPr>
          <w:rFonts w:hint="cs"/>
          <w:sz w:val="24"/>
          <w:rtl/>
        </w:rPr>
        <w:t>،</w:t>
      </w:r>
      <w:r w:rsidR="00777DCB" w:rsidRPr="00A52585">
        <w:rPr>
          <w:rFonts w:hint="cs"/>
          <w:rtl/>
        </w:rPr>
        <w:t xml:space="preserve"> فانظر أرشدك الله تعالى كيف جعل هذين الإمامين ممن لا يعرف الحديث وهو من أقبح البهتان</w:t>
      </w:r>
      <w:r w:rsidR="00DB731D" w:rsidRPr="00A52585">
        <w:rPr>
          <w:rFonts w:hint="cs"/>
          <w:rtl/>
        </w:rPr>
        <w:t>،</w:t>
      </w:r>
      <w:r w:rsidR="00777DCB" w:rsidRPr="00A52585">
        <w:rPr>
          <w:rFonts w:hint="cs"/>
          <w:rtl/>
        </w:rPr>
        <w:t xml:space="preserve"> وقد احتج بهذا الحديث خلائق من أئمة الحديث غير هذين الإمامين منهم القاضي عياض وصاحب توثيق عرى الإيمان وأبو الفرج بن الجوزي في كتابه (مثير العزم الساكن إلى أشرف الأماكن)</w:t>
      </w:r>
      <w:r w:rsidRPr="00A52585">
        <w:rPr>
          <w:rFonts w:hint="cs"/>
          <w:vertAlign w:val="superscript"/>
          <w:rtl/>
        </w:rPr>
        <w:t>:</w:t>
      </w:r>
      <w:r w:rsidR="00777DCB" w:rsidRPr="00A52585">
        <w:rPr>
          <w:rFonts w:hint="cs"/>
          <w:rtl/>
        </w:rPr>
        <w:t xml:space="preserve"> ذكره في الباب الذي عقده لزيارة قبر النبي صلى الله عليه وسلم</w:t>
      </w:r>
      <w:r w:rsidR="00DB731D" w:rsidRPr="00A52585">
        <w:rPr>
          <w:rFonts w:hint="cs"/>
          <w:rtl/>
        </w:rPr>
        <w:t>،</w:t>
      </w:r>
      <w:r w:rsidR="00777DCB" w:rsidRPr="00A52585">
        <w:rPr>
          <w:rFonts w:hint="cs"/>
          <w:rtl/>
        </w:rPr>
        <w:t xml:space="preserve"> ومنهم ابن قدامه ذكره في كتابه المغني (3/556) في فصل يستحب زيارة قبر النبي صلى الله عليه وسلم واستدل بحديث ابن عمر من طريق </w:t>
      </w:r>
      <w:proofErr w:type="spellStart"/>
      <w:r w:rsidR="00777DCB" w:rsidRPr="00A52585">
        <w:rPr>
          <w:rFonts w:hint="cs"/>
          <w:rtl/>
        </w:rPr>
        <w:t>الدراقطني</w:t>
      </w:r>
      <w:proofErr w:type="spellEnd"/>
      <w:r w:rsidR="00777DCB" w:rsidRPr="00A52585">
        <w:rPr>
          <w:rFonts w:hint="cs"/>
          <w:rtl/>
        </w:rPr>
        <w:t xml:space="preserve"> ومن طريق سعيد بن منصور وذكر أيضاً حديث أبي هريرة رضي الله عنه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ما من أحد يسلم علي عند قبري</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جزء من حديث رواه أبو داود وأحمد والبيهقي عن أبي هريرة أن رسول الله صلى الله عليه وسلم قال</w:t>
      </w:r>
      <w:r w:rsidRPr="00A52585">
        <w:rPr>
          <w:rFonts w:hint="cs"/>
          <w:sz w:val="24"/>
          <w:szCs w:val="24"/>
          <w:rtl/>
        </w:rPr>
        <w:t xml:space="preserve">: </w:t>
      </w:r>
      <w:r w:rsidR="00777DCB" w:rsidRPr="00A52585">
        <w:rPr>
          <w:rFonts w:hint="cs"/>
          <w:sz w:val="24"/>
          <w:szCs w:val="24"/>
          <w:rtl/>
        </w:rPr>
        <w:t>"ما من أحد يسلم على إلا ردَّ الله علي روحي حتى أرد عليه السلام "</w:t>
      </w:r>
      <w:r w:rsidRPr="00A52585">
        <w:rPr>
          <w:rFonts w:hint="cs"/>
          <w:sz w:val="24"/>
          <w:szCs w:val="24"/>
          <w:rtl/>
        </w:rPr>
        <w:t xml:space="preserve"> </w:t>
      </w:r>
      <w:r w:rsidR="00777DCB" w:rsidRPr="00A52585">
        <w:rPr>
          <w:rFonts w:hint="cs"/>
          <w:sz w:val="24"/>
          <w:szCs w:val="24"/>
          <w:rtl/>
        </w:rPr>
        <w:t>وقد سبق ذكر هذا الحديث يقول الإمام تقي الدين السبكي في شفاء السقام</w:t>
      </w:r>
      <w:r w:rsidRPr="00A52585">
        <w:rPr>
          <w:rFonts w:hint="cs"/>
          <w:sz w:val="24"/>
          <w:szCs w:val="24"/>
          <w:rtl/>
        </w:rPr>
        <w:t xml:space="preserve">: </w:t>
      </w:r>
      <w:r w:rsidR="00777DCB" w:rsidRPr="00A52585">
        <w:rPr>
          <w:rFonts w:hint="cs"/>
          <w:sz w:val="24"/>
          <w:szCs w:val="24"/>
          <w:rtl/>
        </w:rPr>
        <w:t>"قد ذكره ابن قدامة من رواية أحمد ولفظه (ما من أحد يسلم على عند قبري) وهذه زيادة مقتضاها التخصيص</w:t>
      </w:r>
      <w:r w:rsidRPr="00A52585">
        <w:rPr>
          <w:rFonts w:hint="cs"/>
          <w:sz w:val="24"/>
          <w:szCs w:val="24"/>
          <w:rtl/>
        </w:rPr>
        <w:t xml:space="preserve"> </w:t>
      </w:r>
      <w:r w:rsidR="00777DCB" w:rsidRPr="00A52585">
        <w:rPr>
          <w:rFonts w:hint="cs"/>
          <w:sz w:val="24"/>
          <w:szCs w:val="24"/>
          <w:rtl/>
        </w:rPr>
        <w:t>فإن ثبت فذاك وإن</w:t>
      </w:r>
      <w:r w:rsidRPr="00A52585">
        <w:rPr>
          <w:rFonts w:hint="cs"/>
          <w:sz w:val="24"/>
          <w:szCs w:val="24"/>
          <w:rtl/>
        </w:rPr>
        <w:t xml:space="preserve"> </w:t>
      </w:r>
      <w:r w:rsidR="00777DCB" w:rsidRPr="00A52585">
        <w:rPr>
          <w:rFonts w:hint="cs"/>
          <w:sz w:val="24"/>
          <w:szCs w:val="24"/>
          <w:rtl/>
        </w:rPr>
        <w:t xml:space="preserve">لم يثبت فلا شك أن القريب من القبر يحصل له ذلك لأنه في منزلة المسلم بالتحية التي تستدعى الرد كما في حال الحياة فهو بحضوره عند القبر قاطع بنيل هذه الدرجة على مقتضى الحديث متعرض لخطاب النبي صلى الله عليه وسلم له بردَّ السلام عليه وفي </w:t>
      </w:r>
      <w:r w:rsidR="00777DCB" w:rsidRPr="00A52585">
        <w:rPr>
          <w:rFonts w:hint="cs"/>
          <w:sz w:val="24"/>
          <w:szCs w:val="24"/>
          <w:rtl/>
        </w:rPr>
        <w:lastRenderedPageBreak/>
        <w:t>المواجهة بالخطاب فضيلة زائدة على الرد على الغائب"</w:t>
      </w:r>
      <w:r w:rsidRPr="00A52585">
        <w:rPr>
          <w:rFonts w:hint="cs"/>
          <w:sz w:val="24"/>
          <w:szCs w:val="24"/>
          <w:rtl/>
        </w:rPr>
        <w:t xml:space="preserve"> </w:t>
      </w:r>
      <w:r w:rsidR="00777DCB" w:rsidRPr="00A52585">
        <w:rPr>
          <w:rFonts w:hint="cs"/>
          <w:sz w:val="24"/>
          <w:szCs w:val="24"/>
          <w:rtl/>
        </w:rPr>
        <w:t>أهـ ص 35، 36 انظر (رفع المنارة) ص 355 حديث رقم 32</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0438EECA" w14:textId="37AFD76C" w:rsidR="00777DCB" w:rsidRPr="00A52585" w:rsidRDefault="0002035C" w:rsidP="0002035C">
      <w:pPr>
        <w:spacing w:after="240"/>
        <w:rPr>
          <w:b/>
          <w:bCs/>
          <w:rtl/>
        </w:rPr>
      </w:pPr>
      <w:r w:rsidRPr="00A52585">
        <w:rPr>
          <w:rFonts w:hint="cs"/>
          <w:bCs/>
          <w:rtl/>
        </w:rPr>
        <w:t>[</w:t>
      </w:r>
      <w:r w:rsidR="00777DCB" w:rsidRPr="00A52585">
        <w:rPr>
          <w:rFonts w:hint="cs"/>
          <w:bCs/>
          <w:rtl/>
        </w:rPr>
        <w:t>ح- طعنه في حديث (من حج ولم يزرني فقد جفاني)</w:t>
      </w:r>
      <w:r w:rsidRPr="00A52585">
        <w:rPr>
          <w:rFonts w:hint="cs"/>
          <w:bCs/>
          <w:rtl/>
        </w:rPr>
        <w:t>]:</w:t>
      </w:r>
      <w:r w:rsidR="00777DCB" w:rsidRPr="00A52585">
        <w:rPr>
          <w:rFonts w:hint="cs"/>
          <w:bCs/>
          <w:rtl/>
        </w:rPr>
        <w:t xml:space="preserve"> </w:t>
      </w:r>
      <w:r w:rsidR="00777DCB" w:rsidRPr="00A52585">
        <w:rPr>
          <w:rFonts w:hint="cs"/>
          <w:rtl/>
        </w:rPr>
        <w:t>وقوله</w:t>
      </w:r>
      <w:r w:rsidRPr="00A52585">
        <w:rPr>
          <w:rFonts w:hint="cs"/>
          <w:rtl/>
        </w:rPr>
        <w:t>:</w:t>
      </w:r>
      <w:r w:rsidR="00777DCB" w:rsidRPr="00A52585">
        <w:rPr>
          <w:rFonts w:hint="cs"/>
          <w:rtl/>
        </w:rPr>
        <w:t xml:space="preserve"> (وأما ما يذكره بعض الناس من قوله (من حج ولم يزرني فقد جفاني</w:t>
      </w:r>
      <w:r w:rsidRPr="00A52585">
        <w:rPr>
          <w:rFonts w:hint="cs"/>
          <w:rtl/>
        </w:rPr>
        <w:t xml:space="preserve">) </w:t>
      </w:r>
      <w:r w:rsidR="00777DCB" w:rsidRPr="00A52585">
        <w:rPr>
          <w:rFonts w:hint="cs"/>
          <w:rtl/>
        </w:rPr>
        <w:t>فلم يرويه أحد من العلماء</w:t>
      </w:r>
      <w:r w:rsidR="00DB731D" w:rsidRPr="00A52585">
        <w:rPr>
          <w:rFonts w:hint="cs"/>
          <w:rtl/>
        </w:rPr>
        <w:t>،</w:t>
      </w:r>
      <w:r w:rsidR="00777DCB" w:rsidRPr="00A52585">
        <w:rPr>
          <w:rFonts w:hint="cs"/>
          <w:rtl/>
        </w:rPr>
        <w:t xml:space="preserve"> وهذا أيضاً من البهتان البيّن والجهل فقد روى هذا الحديث غير واحد من الأئمة بألفاظ متقاربة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ابن عدي في (الكامل) </w:t>
      </w:r>
      <w:proofErr w:type="spellStart"/>
      <w:r w:rsidR="00777DCB" w:rsidRPr="00A52585">
        <w:rPr>
          <w:rFonts w:hint="cs"/>
          <w:sz w:val="24"/>
          <w:szCs w:val="24"/>
          <w:rtl/>
        </w:rPr>
        <w:t>والدراقطني</w:t>
      </w:r>
      <w:proofErr w:type="spellEnd"/>
      <w:r w:rsidR="00777DCB" w:rsidRPr="00A52585">
        <w:rPr>
          <w:rFonts w:hint="cs"/>
          <w:sz w:val="24"/>
          <w:szCs w:val="24"/>
          <w:rtl/>
        </w:rPr>
        <w:t xml:space="preserve"> في (أحاديث مالك بن أنس الغراب التي ليست في الموطأ) بلفظ (من حج البيت ولم يزرني فقد جفاني) وذكره الإمام تقي الدين السبكي في (شفاء السقام) وبين خطأ ابن الجوزي في ذكره في الموضوعات ثم قال</w:t>
      </w:r>
      <w:r w:rsidRPr="00A52585">
        <w:rPr>
          <w:rFonts w:hint="cs"/>
          <w:sz w:val="24"/>
          <w:szCs w:val="24"/>
          <w:rtl/>
        </w:rPr>
        <w:t xml:space="preserve">: </w:t>
      </w:r>
      <w:r w:rsidR="00777DCB" w:rsidRPr="00A52585">
        <w:rPr>
          <w:rFonts w:hint="cs"/>
          <w:sz w:val="24"/>
          <w:szCs w:val="24"/>
          <w:rtl/>
        </w:rPr>
        <w:t xml:space="preserve">"فتحصل من هذا إبطال الحكم عليه بالوضع لكنه غريب كما قال </w:t>
      </w:r>
      <w:proofErr w:type="spellStart"/>
      <w:r w:rsidR="00777DCB" w:rsidRPr="00A52585">
        <w:rPr>
          <w:rFonts w:hint="cs"/>
          <w:sz w:val="24"/>
          <w:szCs w:val="24"/>
          <w:rtl/>
        </w:rPr>
        <w:t>الدراقطني</w:t>
      </w:r>
      <w:proofErr w:type="spellEnd"/>
      <w:r w:rsidR="00777DCB" w:rsidRPr="00A52585">
        <w:rPr>
          <w:rFonts w:hint="cs"/>
          <w:sz w:val="24"/>
          <w:szCs w:val="24"/>
          <w:rtl/>
        </w:rPr>
        <w:t xml:space="preserve"> وهو لأجل كلام ابن عدي صالح لأن يعتضد به غيره "</w:t>
      </w:r>
      <w:r w:rsidRPr="00A52585">
        <w:rPr>
          <w:rFonts w:hint="cs"/>
          <w:sz w:val="24"/>
          <w:szCs w:val="24"/>
          <w:rtl/>
        </w:rPr>
        <w:t xml:space="preserve"> </w:t>
      </w:r>
      <w:r w:rsidR="00777DCB" w:rsidRPr="00A52585">
        <w:rPr>
          <w:rFonts w:hint="cs"/>
          <w:sz w:val="24"/>
          <w:szCs w:val="24"/>
          <w:rtl/>
        </w:rPr>
        <w:t>أهـ ص 24 قال السيد مرتضى الزبيدي في شرح الإحياء</w:t>
      </w:r>
      <w:r w:rsidRPr="00A52585">
        <w:rPr>
          <w:rFonts w:hint="cs"/>
          <w:sz w:val="24"/>
          <w:szCs w:val="24"/>
          <w:rtl/>
        </w:rPr>
        <w:t>:</w:t>
      </w:r>
      <w:r w:rsidR="00777DCB" w:rsidRPr="00A52585">
        <w:rPr>
          <w:rFonts w:hint="cs"/>
          <w:sz w:val="24"/>
          <w:szCs w:val="24"/>
          <w:rtl/>
        </w:rPr>
        <w:t xml:space="preserve"> تحت هذا الحديث</w:t>
      </w:r>
      <w:r w:rsidRPr="00A52585">
        <w:rPr>
          <w:rFonts w:hint="cs"/>
          <w:sz w:val="24"/>
          <w:szCs w:val="24"/>
          <w:rtl/>
        </w:rPr>
        <w:t xml:space="preserve"> </w:t>
      </w:r>
      <w:r w:rsidR="00777DCB" w:rsidRPr="00A52585">
        <w:rPr>
          <w:rFonts w:hint="cs"/>
          <w:sz w:val="24"/>
          <w:szCs w:val="24"/>
          <w:rtl/>
        </w:rPr>
        <w:t>"قلت ورواه الديلمي أيضاً وعبد الواحد التميمي الحافظ في (جواهر الكلام في الحكم والأحكام من كلام سيد الأنام وقد ردّ الحافظ السيوطي على ابن الجوزي في إيراده له في الموضوعات وقال (لم- يصب يعني ابن الجوزي- في ذلك) "</w:t>
      </w:r>
      <w:r w:rsidRPr="00A52585">
        <w:rPr>
          <w:rFonts w:hint="cs"/>
          <w:sz w:val="24"/>
          <w:szCs w:val="24"/>
          <w:rtl/>
        </w:rPr>
        <w:t xml:space="preserve"> </w:t>
      </w:r>
      <w:r w:rsidR="00777DCB" w:rsidRPr="00A52585">
        <w:rPr>
          <w:rFonts w:hint="cs"/>
          <w:sz w:val="24"/>
          <w:szCs w:val="24"/>
          <w:rtl/>
        </w:rPr>
        <w:t xml:space="preserve">أهـ وقال العلامة الحافظ ابن حجر </w:t>
      </w:r>
      <w:proofErr w:type="spellStart"/>
      <w:r w:rsidR="00777DCB" w:rsidRPr="00A52585">
        <w:rPr>
          <w:rFonts w:hint="cs"/>
          <w:sz w:val="24"/>
          <w:szCs w:val="24"/>
          <w:rtl/>
        </w:rPr>
        <w:t>الهيتمي</w:t>
      </w:r>
      <w:proofErr w:type="spellEnd"/>
      <w:r w:rsidR="00777DCB" w:rsidRPr="00A52585">
        <w:rPr>
          <w:rFonts w:hint="cs"/>
          <w:sz w:val="24"/>
          <w:szCs w:val="24"/>
          <w:rtl/>
        </w:rPr>
        <w:t xml:space="preserve"> في (الجوهر المنظم)</w:t>
      </w:r>
      <w:r w:rsidRPr="00A52585">
        <w:rPr>
          <w:rFonts w:hint="cs"/>
          <w:sz w:val="24"/>
          <w:szCs w:val="24"/>
          <w:rtl/>
        </w:rPr>
        <w:t xml:space="preserve">: </w:t>
      </w:r>
      <w:r w:rsidR="00777DCB" w:rsidRPr="00A52585">
        <w:rPr>
          <w:rFonts w:hint="cs"/>
          <w:sz w:val="24"/>
          <w:szCs w:val="24"/>
          <w:rtl/>
        </w:rPr>
        <w:t>"أن ابن عدي روى هذا الحديث بسند يحتج به "</w:t>
      </w:r>
      <w:r w:rsidRPr="00A52585">
        <w:rPr>
          <w:rFonts w:hint="cs"/>
          <w:sz w:val="24"/>
          <w:szCs w:val="24"/>
          <w:rtl/>
        </w:rPr>
        <w:t xml:space="preserve"> </w:t>
      </w:r>
      <w:r w:rsidR="00777DCB" w:rsidRPr="00A52585">
        <w:rPr>
          <w:rFonts w:hint="cs"/>
          <w:sz w:val="24"/>
          <w:szCs w:val="24"/>
          <w:rtl/>
        </w:rPr>
        <w:t>أهـ وقال العلامة على قاري في (شرح لباب المناسك)</w:t>
      </w:r>
      <w:r w:rsidRPr="00A52585">
        <w:rPr>
          <w:rFonts w:hint="cs"/>
          <w:sz w:val="24"/>
          <w:szCs w:val="24"/>
          <w:rtl/>
        </w:rPr>
        <w:t xml:space="preserve">: </w:t>
      </w:r>
      <w:r w:rsidR="00777DCB" w:rsidRPr="00A52585">
        <w:rPr>
          <w:rFonts w:hint="cs"/>
          <w:sz w:val="24"/>
          <w:szCs w:val="24"/>
          <w:rtl/>
        </w:rPr>
        <w:t>"رواه ابن عدي بسند حسن "</w:t>
      </w:r>
      <w:r w:rsidRPr="00A52585">
        <w:rPr>
          <w:rFonts w:hint="cs"/>
          <w:sz w:val="24"/>
          <w:szCs w:val="24"/>
          <w:rtl/>
        </w:rPr>
        <w:t xml:space="preserve"> </w:t>
      </w:r>
      <w:r w:rsidR="00777DCB" w:rsidRPr="00A52585">
        <w:rPr>
          <w:rFonts w:hint="cs"/>
          <w:sz w:val="24"/>
          <w:szCs w:val="24"/>
          <w:rtl/>
        </w:rPr>
        <w:t>أهـ انظر تفصيل ذلك في (نصرة الإمام السبكي) ص 93 – 100 انظر (رفع المنارة)</w:t>
      </w:r>
      <w:r w:rsidRPr="00A52585">
        <w:rPr>
          <w:rFonts w:hint="cs"/>
          <w:sz w:val="24"/>
          <w:szCs w:val="24"/>
          <w:rtl/>
        </w:rPr>
        <w:t xml:space="preserve"> </w:t>
      </w:r>
      <w:r w:rsidR="00777DCB" w:rsidRPr="00A52585">
        <w:rPr>
          <w:rFonts w:hint="cs"/>
          <w:sz w:val="24"/>
          <w:szCs w:val="24"/>
          <w:rtl/>
        </w:rPr>
        <w:t>344حديث رقم 25</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 xml:space="preserve">منهم </w:t>
      </w:r>
      <w:r w:rsidR="00777DCB" w:rsidRPr="00A52585">
        <w:rPr>
          <w:rFonts w:hint="cs"/>
          <w:bCs/>
          <w:rtl/>
        </w:rPr>
        <w:t xml:space="preserve">الحافظ أبو عبد الله بن النجار </w:t>
      </w:r>
      <w:r w:rsidRPr="00A52585">
        <w:rPr>
          <w:rFonts w:hint="cs"/>
          <w:sz w:val="24"/>
          <w:szCs w:val="24"/>
          <w:rtl/>
          <w:lang w:bidi="ar-KW"/>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الحافظ المؤرخ محب الدين أبو عبد الله محمد بن محمود بن الحسن البغدادي الشافعي المذهب ولد سنة 578هـ سمع ابن الجوزي وابن كُلَيْب وغيرهما، كان من أعيان الحفاظ الثقات مع الدين والصيانة والفهم وسعة الرواية اشتملت مشيخته على ثلاثة آلاف شيخ صنف (ذيل تاريخ بغداد)</w:t>
      </w:r>
      <w:r w:rsidR="00DB731D" w:rsidRPr="00A52585">
        <w:rPr>
          <w:rFonts w:hint="cs"/>
          <w:sz w:val="24"/>
          <w:szCs w:val="24"/>
          <w:rtl/>
        </w:rPr>
        <w:t>،</w:t>
      </w:r>
      <w:r w:rsidR="00777DCB" w:rsidRPr="00A52585">
        <w:rPr>
          <w:rFonts w:hint="cs"/>
          <w:sz w:val="24"/>
          <w:szCs w:val="24"/>
          <w:rtl/>
        </w:rPr>
        <w:t xml:space="preserve"> (ذيل المؤتلف)</w:t>
      </w:r>
      <w:r w:rsidR="00DB731D" w:rsidRPr="00A52585">
        <w:rPr>
          <w:rFonts w:hint="cs"/>
          <w:sz w:val="24"/>
          <w:szCs w:val="24"/>
          <w:rtl/>
        </w:rPr>
        <w:t>،</w:t>
      </w:r>
      <w:r w:rsidR="00777DCB" w:rsidRPr="00A52585">
        <w:rPr>
          <w:rFonts w:hint="cs"/>
          <w:sz w:val="24"/>
          <w:szCs w:val="24"/>
          <w:rtl/>
        </w:rPr>
        <w:t xml:space="preserve"> (الكمال) في علم</w:t>
      </w:r>
      <w:r w:rsidRPr="00A52585">
        <w:rPr>
          <w:rFonts w:hint="cs"/>
          <w:sz w:val="24"/>
          <w:szCs w:val="24"/>
          <w:rtl/>
        </w:rPr>
        <w:t xml:space="preserve"> </w:t>
      </w:r>
      <w:r w:rsidR="00777DCB" w:rsidRPr="00A52585">
        <w:rPr>
          <w:rFonts w:hint="cs"/>
          <w:sz w:val="24"/>
          <w:szCs w:val="24"/>
          <w:rtl/>
        </w:rPr>
        <w:t>الرجال، (تاريخ المدينة)، (مناقب الشافعي) وغير ذلك توفى سنة 643هـ</w:t>
      </w:r>
      <w:r w:rsidR="00DB731D" w:rsidRPr="00A52585">
        <w:rPr>
          <w:rFonts w:hint="cs"/>
          <w:sz w:val="24"/>
          <w:szCs w:val="24"/>
          <w:rtl/>
        </w:rPr>
        <w:t>،</w:t>
      </w:r>
      <w:r w:rsidR="00777DCB" w:rsidRPr="00A52585">
        <w:rPr>
          <w:rFonts w:hint="cs"/>
          <w:sz w:val="24"/>
          <w:szCs w:val="24"/>
          <w:rtl/>
        </w:rPr>
        <w:t xml:space="preserve"> وكتابه الذي أشار إليه المؤلف</w:t>
      </w:r>
      <w:r w:rsidRPr="00A52585">
        <w:rPr>
          <w:rFonts w:hint="cs"/>
          <w:sz w:val="24"/>
          <w:szCs w:val="24"/>
          <w:rtl/>
        </w:rPr>
        <w:t>:</w:t>
      </w:r>
      <w:r w:rsidR="00777DCB" w:rsidRPr="00A52585">
        <w:rPr>
          <w:rFonts w:hint="cs"/>
          <w:sz w:val="24"/>
          <w:szCs w:val="24"/>
          <w:rtl/>
        </w:rPr>
        <w:t xml:space="preserve"> (الدرة اليتيمة في تاريخ المدينة) مطبوع</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في كتابه (الدرة اليتيمة) من حديث علي رضي الله عنه</w:t>
      </w:r>
      <w:r w:rsidR="00DB731D" w:rsidRPr="00A52585">
        <w:rPr>
          <w:rFonts w:hint="cs"/>
          <w:rtl/>
        </w:rPr>
        <w:t>،</w:t>
      </w:r>
      <w:r w:rsidR="00777DCB" w:rsidRPr="00A52585">
        <w:rPr>
          <w:rFonts w:hint="cs"/>
          <w:rtl/>
        </w:rPr>
        <w:t xml:space="preserve"> ومنهم الإمام الحافظ المتفق على حفظه وعلو قدره في هذا الشأن أبو سعيد عبد الملك النيسابوري خرجه في كتابه شرف المصطفى من حديث علي رضي الله عنه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بعد موتي فكأنما زارني في حياتي ومن لم يزرني فقد جفاني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رواه ابن عساكر من طرق</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ورواه أيضاً </w:t>
      </w:r>
      <w:proofErr w:type="spellStart"/>
      <w:r w:rsidR="00777DCB" w:rsidRPr="00A52585">
        <w:rPr>
          <w:rFonts w:hint="cs"/>
          <w:sz w:val="24"/>
          <w:szCs w:val="24"/>
          <w:rtl/>
        </w:rPr>
        <w:t>الدراقطني</w:t>
      </w:r>
      <w:proofErr w:type="spellEnd"/>
      <w:r w:rsidR="00777DCB" w:rsidRPr="00A52585">
        <w:rPr>
          <w:rFonts w:hint="cs"/>
          <w:sz w:val="24"/>
          <w:szCs w:val="24"/>
          <w:rtl/>
        </w:rPr>
        <w:t xml:space="preserve"> والبيهقي وابن الجوزي والطبراني في (الكبير) و(الأوسط) وقد ناقش الإمام السبكي طرقه بالتفصيل في (شفاء السقام)</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rtl/>
        </w:rPr>
        <w:t>وقوله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وهو مثل قوله من زارني وزار أبي إبراهيم في عام واحد ضمنت له على الله الجنة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(من زارني وزار أبي إبراهيم </w:t>
      </w:r>
      <w:r w:rsidR="00777DCB" w:rsidRPr="00A52585">
        <w:rPr>
          <w:sz w:val="24"/>
          <w:szCs w:val="24"/>
        </w:rPr>
        <w:t>…</w:t>
      </w:r>
      <w:r w:rsidRPr="00A52585">
        <w:rPr>
          <w:rFonts w:hint="cs"/>
          <w:sz w:val="24"/>
          <w:szCs w:val="24"/>
          <w:rtl/>
        </w:rPr>
        <w:t>)</w:t>
      </w:r>
      <w:r w:rsidR="00777DCB" w:rsidRPr="00A52585">
        <w:rPr>
          <w:rFonts w:hint="cs"/>
          <w:sz w:val="24"/>
          <w:szCs w:val="24"/>
          <w:rtl/>
        </w:rPr>
        <w:t xml:space="preserve"> حديث موضوع صرح بذلك الإمام النووي والزركشي والسيوطي وابن عراق وغيرهم انظر رفع المنارة ص 350</w:t>
      </w:r>
      <w:r w:rsidRPr="00A52585">
        <w:rPr>
          <w:rFonts w:hint="cs"/>
          <w:sz w:val="24"/>
          <w:szCs w:val="24"/>
          <w:rtl/>
        </w:rPr>
        <w:t>]</w:t>
      </w:r>
      <w:r w:rsidR="00DB731D" w:rsidRPr="00A52585">
        <w:rPr>
          <w:rFonts w:hint="cs"/>
          <w:rtl/>
        </w:rPr>
        <w:t>،</w:t>
      </w:r>
      <w:r w:rsidR="00777DCB" w:rsidRPr="00A52585">
        <w:rPr>
          <w:rFonts w:hint="cs"/>
          <w:rtl/>
        </w:rPr>
        <w:t xml:space="preserve"> تنبه يا من أشير إليه بالعلم في قوله فإنه يشير به إلى أن الحديث الأول كذب على رسول الله صلى الله عليه وسلم لأنه سوى بينهما وذكر الحديث الثاني توطئة لقصده الفاسد في إرادة تحشيره والتمويه </w:t>
      </w:r>
      <w:r w:rsidR="00777DCB" w:rsidRPr="00A52585">
        <w:rPr>
          <w:rFonts w:hint="cs"/>
          <w:rtl/>
        </w:rPr>
        <w:lastRenderedPageBreak/>
        <w:t>على العوام والضعفاء من الطلبة</w:t>
      </w:r>
      <w:r w:rsidR="00DB731D" w:rsidRPr="00A52585">
        <w:rPr>
          <w:rFonts w:hint="cs"/>
          <w:rtl/>
        </w:rPr>
        <w:t>،</w:t>
      </w:r>
      <w:r w:rsidR="00777DCB" w:rsidRPr="00A52585">
        <w:rPr>
          <w:rFonts w:hint="cs"/>
          <w:rtl/>
        </w:rPr>
        <w:t xml:space="preserve"> وهو شديد الاعتناء</w:t>
      </w:r>
      <w:r w:rsidRPr="00A52585">
        <w:rPr>
          <w:rFonts w:hint="cs"/>
          <w:rtl/>
        </w:rPr>
        <w:t xml:space="preserve"> </w:t>
      </w:r>
      <w:r w:rsidR="00777DCB" w:rsidRPr="00A52585">
        <w:rPr>
          <w:rFonts w:hint="cs"/>
          <w:rtl/>
        </w:rPr>
        <w:t>بهذا القصد الخبيث في الكلام على آيات الصفات وأحاديثها فليحذر الواقف على كلامه في آيات المتشابه وأحاديثه غاية الحذر فإن الخطأ فيها كفر</w:t>
      </w:r>
      <w:r w:rsidR="00DB731D" w:rsidRPr="00A52585">
        <w:rPr>
          <w:rFonts w:hint="cs"/>
          <w:rtl/>
        </w:rPr>
        <w:t>،</w:t>
      </w:r>
      <w:r w:rsidR="00777DCB" w:rsidRPr="00A52585">
        <w:rPr>
          <w:rFonts w:hint="cs"/>
          <w:rtl/>
        </w:rPr>
        <w:t xml:space="preserve"> بخلاف غيرها من مسائل الفروع</w:t>
      </w:r>
      <w:r w:rsidR="00DB731D" w:rsidRPr="00A52585">
        <w:rPr>
          <w:rFonts w:hint="cs"/>
          <w:rtl/>
        </w:rPr>
        <w:t>،</w:t>
      </w:r>
      <w:r w:rsidR="00777DCB" w:rsidRPr="00A52585">
        <w:rPr>
          <w:rFonts w:hint="cs"/>
          <w:rtl/>
        </w:rPr>
        <w:t xml:space="preserve"> </w:t>
      </w:r>
    </w:p>
    <w:p w14:paraId="172D72D5" w14:textId="1018CAFE" w:rsidR="00777DCB" w:rsidRPr="00A52585" w:rsidRDefault="0002035C" w:rsidP="0002035C">
      <w:pPr>
        <w:spacing w:after="240"/>
        <w:rPr>
          <w:b/>
          <w:rtl/>
        </w:rPr>
      </w:pPr>
      <w:r w:rsidRPr="00A52585">
        <w:rPr>
          <w:rFonts w:hint="cs"/>
          <w:bCs/>
          <w:rtl/>
        </w:rPr>
        <w:t>[</w:t>
      </w:r>
      <w:r w:rsidR="00777DCB" w:rsidRPr="00A52585">
        <w:rPr>
          <w:rFonts w:hint="cs"/>
          <w:bCs/>
          <w:rtl/>
        </w:rPr>
        <w:t>د- جمع الفقهاء بين حديث (لا تشد الرحال..) وحديث البخاري (كان صلى الله عليه وسلم يزور قباء راكبا وماشيا) فكلاهما صحيح معمول به وليس لكليهما تعلق بزيارة القبور</w:t>
      </w:r>
      <w:r w:rsidRPr="00A52585">
        <w:rPr>
          <w:rFonts w:hint="cs"/>
          <w:bCs/>
          <w:rtl/>
        </w:rPr>
        <w:t>]:</w:t>
      </w:r>
      <w:r w:rsidR="00777DCB" w:rsidRPr="00A52585">
        <w:rPr>
          <w:rFonts w:hint="cs"/>
          <w:bCs/>
          <w:rtl/>
        </w:rPr>
        <w:t xml:space="preserve"> </w:t>
      </w:r>
      <w:r w:rsidR="00777DCB" w:rsidRPr="00A52585">
        <w:rPr>
          <w:rFonts w:hint="cs"/>
          <w:rtl/>
        </w:rPr>
        <w:t>وقوله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وقد احتج أبو محمد المقدسي على جواز السفر لزيارة قبر النبي صلى الله عليه وسلم وقبور الأنبياء عليهم الصلاة والسلام بأن النبي صلى الله عليه وسلم كان يزور قباء</w:t>
      </w:r>
      <w:r w:rsidR="00DB731D" w:rsidRPr="00A52585">
        <w:rPr>
          <w:rFonts w:hint="cs"/>
          <w:rtl/>
        </w:rPr>
        <w:t>،</w:t>
      </w:r>
      <w:r w:rsidR="00777DCB" w:rsidRPr="00A52585">
        <w:rPr>
          <w:rFonts w:hint="cs"/>
          <w:rtl/>
        </w:rPr>
        <w:t xml:space="preserve"> وأجاب عن حديث لا تشد الرحال بأن ذلك محمول على نفي الاستحباب وأما الأولون فإنهم محتجون بما في الصحيحين عن النبي صلى الله عليه وسلم أنه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إلا إلى ثلاثة مساجد المسجد الحرام والمسجد الأقصى ومسجدي هذا</w:t>
      </w:r>
      <w:r w:rsidRPr="00A52585">
        <w:rPr>
          <w:rFonts w:hint="cs"/>
          <w:rtl/>
        </w:rPr>
        <w:t>)</w:t>
      </w:r>
      <w:r w:rsidR="00777DCB" w:rsidRPr="00A52585">
        <w:rPr>
          <w:rFonts w:hint="cs"/>
          <w:rtl/>
        </w:rPr>
        <w:t>) وهذا الحديث اتفق الأئمة على صحته والعمل به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انظر بصرك الله تعالى ما في هذا الكلام من الإيهام والتدليس فإنه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وقد احتج الشيخ أبو محمد على جواز السفر لزيارة قبر النبي صلى الله عليه وسلم بأن النبي صلى الله عليه وسلم كان يزور قباء) ولم يذكر (راكباً وماشياً)</w:t>
      </w:r>
      <w:r w:rsidR="00777DCB" w:rsidRPr="00A52585">
        <w:rPr>
          <w:rFonts w:hint="cs"/>
          <w:vertAlign w:val="superscript"/>
        </w:rPr>
        <w:t xml:space="preserve"> </w:t>
      </w:r>
      <w:r w:rsidR="00777DCB" w:rsidRPr="00A52585">
        <w:rPr>
          <w:rFonts w:hint="cs"/>
          <w:rtl/>
        </w:rPr>
        <w:t>لأن الراكب قد شد الرحل وهو لا غرض له في ذلك</w:t>
      </w:r>
      <w:r w:rsidR="00DB731D" w:rsidRPr="00A52585">
        <w:rPr>
          <w:rFonts w:hint="cs"/>
          <w:rtl/>
        </w:rPr>
        <w:t>،</w:t>
      </w:r>
      <w:r w:rsidR="00777DCB" w:rsidRPr="00A52585">
        <w:rPr>
          <w:rFonts w:hint="cs"/>
          <w:rtl/>
        </w:rPr>
        <w:t xml:space="preserve"> وأيضاً فلم يذكر غير الشيخ أبي محمد وهو يوهم انفراده بذلك ولم ينفرد كما أذكره من بعد</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وأجاب - يعني أبا محمد -</w:t>
      </w:r>
      <w:r w:rsidRPr="00A52585">
        <w:rPr>
          <w:rFonts w:hint="cs"/>
          <w:rtl/>
        </w:rPr>
        <w:t xml:space="preserve"> </w:t>
      </w:r>
      <w:r w:rsidR="00777DCB" w:rsidRPr="00A52585">
        <w:rPr>
          <w:rFonts w:hint="cs"/>
          <w:rtl/>
        </w:rPr>
        <w:t>عن حديث لا تشد الرحال بأن ذلك محمول على نفى الاستحباب</w:t>
      </w:r>
      <w:r w:rsidR="00DB731D" w:rsidRPr="00A52585">
        <w:rPr>
          <w:rFonts w:hint="cs"/>
          <w:rtl/>
        </w:rPr>
        <w:t>،</w:t>
      </w:r>
      <w:r w:rsidR="00777DCB" w:rsidRPr="00A52585">
        <w:rPr>
          <w:rFonts w:hint="cs"/>
          <w:rtl/>
        </w:rPr>
        <w:t xml:space="preserve"> وهو يوهم أن ذلك لم يقله إلا الشيخ أبو محمد وهو من التدليس الذي </w:t>
      </w:r>
      <w:r w:rsidR="00777DCB" w:rsidRPr="00A52585">
        <w:rPr>
          <w:rFonts w:hint="cs"/>
          <w:spacing w:val="-6"/>
          <w:rtl/>
        </w:rPr>
        <w:t>هو كثير الاعتناء به</w:t>
      </w:r>
      <w:r w:rsidR="00DB731D" w:rsidRPr="00A52585">
        <w:rPr>
          <w:rFonts w:hint="cs"/>
          <w:spacing w:val="-6"/>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روى البخاري في صحيحه كتاب الصلاة – باب</w:t>
      </w:r>
      <w:r w:rsidRPr="00A52585">
        <w:rPr>
          <w:rFonts w:hint="cs"/>
          <w:sz w:val="24"/>
          <w:szCs w:val="24"/>
          <w:rtl/>
        </w:rPr>
        <w:t>:</w:t>
      </w:r>
      <w:r w:rsidR="00777DCB" w:rsidRPr="00A52585">
        <w:rPr>
          <w:rFonts w:hint="cs"/>
          <w:sz w:val="24"/>
          <w:szCs w:val="24"/>
          <w:rtl/>
        </w:rPr>
        <w:t xml:space="preserve"> من أتى مسجد قباء ماشيا وراكبا عن ابن عمر رضي الله عنهما قال</w:t>
      </w:r>
      <w:r w:rsidRPr="00A52585">
        <w:rPr>
          <w:rFonts w:hint="cs"/>
          <w:sz w:val="24"/>
          <w:szCs w:val="24"/>
          <w:rtl/>
        </w:rPr>
        <w:t xml:space="preserve">: </w:t>
      </w:r>
      <w:r w:rsidR="00777DCB" w:rsidRPr="00A52585">
        <w:rPr>
          <w:rFonts w:hint="cs"/>
          <w:sz w:val="24"/>
          <w:szCs w:val="24"/>
          <w:rtl/>
        </w:rPr>
        <w:t>" كان النبي صلى الله عليه وسلم يأتي قباء راكباً وماشياً "</w:t>
      </w:r>
      <w:r w:rsidRPr="00A52585">
        <w:rPr>
          <w:rFonts w:hint="cs"/>
          <w:sz w:val="24"/>
          <w:szCs w:val="24"/>
          <w:rtl/>
        </w:rPr>
        <w:t xml:space="preserve"> </w:t>
      </w:r>
      <w:r w:rsidR="00777DCB" w:rsidRPr="00A52585">
        <w:rPr>
          <w:rFonts w:hint="cs"/>
          <w:sz w:val="24"/>
          <w:szCs w:val="24"/>
          <w:rtl/>
        </w:rPr>
        <w:t>زاد ابن نمير حدثنا عبيد الله عن نافع</w:t>
      </w:r>
      <w:r w:rsidRPr="00A52585">
        <w:rPr>
          <w:rFonts w:hint="cs"/>
          <w:sz w:val="24"/>
          <w:szCs w:val="24"/>
          <w:rtl/>
        </w:rPr>
        <w:t xml:space="preserve"> </w:t>
      </w:r>
      <w:r w:rsidR="00777DCB" w:rsidRPr="00A52585">
        <w:rPr>
          <w:rFonts w:hint="cs"/>
          <w:sz w:val="24"/>
          <w:szCs w:val="24"/>
          <w:rtl/>
        </w:rPr>
        <w:t>" فيصلي فيه ركعتين "</w:t>
      </w:r>
      <w:r w:rsidR="00DB731D" w:rsidRPr="00A52585">
        <w:rPr>
          <w:rFonts w:hint="cs"/>
          <w:sz w:val="24"/>
          <w:szCs w:val="24"/>
          <w:rtl/>
        </w:rPr>
        <w:t>،</w:t>
      </w:r>
      <w:r w:rsidR="00777DCB" w:rsidRPr="00A52585">
        <w:rPr>
          <w:rFonts w:hint="cs"/>
          <w:sz w:val="24"/>
          <w:szCs w:val="24"/>
          <w:rtl/>
        </w:rPr>
        <w:t xml:space="preserve"> وأخرجه مسلم في كتاب الحج – باب</w:t>
      </w:r>
      <w:r w:rsidRPr="00A52585">
        <w:rPr>
          <w:rFonts w:hint="cs"/>
          <w:sz w:val="24"/>
          <w:szCs w:val="24"/>
          <w:rtl/>
        </w:rPr>
        <w:t>:</w:t>
      </w:r>
      <w:r w:rsidR="00777DCB" w:rsidRPr="00A52585">
        <w:rPr>
          <w:rFonts w:hint="cs"/>
          <w:sz w:val="24"/>
          <w:szCs w:val="24"/>
          <w:rtl/>
        </w:rPr>
        <w:t xml:space="preserve"> فضل مسجد قباء وفضل الصلاة فيه وزيارته</w:t>
      </w:r>
      <w:r w:rsidRPr="00A52585">
        <w:rPr>
          <w:rFonts w:hint="cs"/>
          <w:sz w:val="24"/>
          <w:szCs w:val="24"/>
          <w:rtl/>
        </w:rPr>
        <w:t>]</w:t>
      </w:r>
      <w:r w:rsidR="00DB731D" w:rsidRPr="00A52585">
        <w:rPr>
          <w:rFonts w:hint="cs"/>
          <w:sz w:val="24"/>
          <w:rtl/>
        </w:rPr>
        <w:t>،</w:t>
      </w:r>
      <w:r w:rsidRPr="00A52585">
        <w:rPr>
          <w:rFonts w:hint="cs"/>
          <w:spacing w:val="-6"/>
          <w:rtl/>
        </w:rPr>
        <w:t xml:space="preserve"> </w:t>
      </w:r>
      <w:r w:rsidR="00777DCB" w:rsidRPr="00A52585">
        <w:rPr>
          <w:rFonts w:hint="cs"/>
          <w:spacing w:val="-6"/>
          <w:rtl/>
        </w:rPr>
        <w:t>والمكر السيء قوله</w:t>
      </w:r>
      <w:r w:rsidRPr="00A52585">
        <w:rPr>
          <w:rFonts w:hint="cs"/>
          <w:spacing w:val="-6"/>
          <w:rtl/>
        </w:rPr>
        <w:t>:</w:t>
      </w:r>
      <w:r w:rsidR="00777DCB" w:rsidRPr="00A52585">
        <w:rPr>
          <w:rFonts w:hint="cs"/>
          <w:spacing w:val="-6"/>
          <w:rtl/>
        </w:rPr>
        <w:t xml:space="preserve"> (وأما الأولون) يعني القائلين بتحريم السفر وعدم جواز القصر في سفر المعصية فإنهم يحتجون</w:t>
      </w:r>
      <w:r w:rsidR="00777DCB" w:rsidRPr="00A52585">
        <w:rPr>
          <w:rFonts w:hint="cs"/>
          <w:rtl/>
        </w:rPr>
        <w:t xml:space="preserve"> بما في الصحيحين عن النبي صلى الله عليه وسلم أنه قال</w:t>
      </w:r>
      <w:r w:rsidRPr="00A52585">
        <w:rPr>
          <w:rFonts w:hint="cs"/>
          <w:rtl/>
        </w:rPr>
        <w:t>:</w:t>
      </w:r>
      <w:r w:rsidR="00777DCB" w:rsidRPr="00A52585">
        <w:rPr>
          <w:rFonts w:hint="cs"/>
          <w:rtl/>
        </w:rPr>
        <w:t xml:space="preserve"> (لا تشد الرحال إلا ثلاثة مساجد المسجد الحرام والمسجد الأقصى ومسجدي هذا)</w:t>
      </w:r>
      <w:r w:rsidR="00777DCB" w:rsidRPr="00A52585">
        <w:rPr>
          <w:rFonts w:hint="cs"/>
          <w:vertAlign w:val="superscript"/>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6"/>
          <w:sz w:val="24"/>
          <w:szCs w:val="24"/>
          <w:rtl/>
        </w:rPr>
        <w:t>صحيح البخاري (كتاب الصلاة</w:t>
      </w:r>
      <w:r w:rsidRPr="00A52585">
        <w:rPr>
          <w:rFonts w:hint="cs"/>
          <w:spacing w:val="-6"/>
          <w:sz w:val="24"/>
          <w:szCs w:val="24"/>
          <w:rtl/>
        </w:rPr>
        <w:t>(</w:t>
      </w:r>
      <w:r w:rsidR="00777DCB" w:rsidRPr="00A52585">
        <w:rPr>
          <w:rFonts w:hint="cs"/>
          <w:spacing w:val="-6"/>
          <w:sz w:val="24"/>
          <w:szCs w:val="24"/>
          <w:rtl/>
        </w:rPr>
        <w:t>باب</w:t>
      </w:r>
      <w:r w:rsidRPr="00A52585">
        <w:rPr>
          <w:rFonts w:hint="cs"/>
          <w:spacing w:val="-6"/>
          <w:sz w:val="24"/>
          <w:szCs w:val="24"/>
          <w:rtl/>
        </w:rPr>
        <w:t>:</w:t>
      </w:r>
      <w:r w:rsidR="00777DCB" w:rsidRPr="00A52585">
        <w:rPr>
          <w:rFonts w:hint="cs"/>
          <w:spacing w:val="-6"/>
          <w:sz w:val="24"/>
          <w:szCs w:val="24"/>
          <w:rtl/>
        </w:rPr>
        <w:t xml:space="preserve"> فضل الصلاة في مسجد مكة والمدينة، صحيح</w:t>
      </w:r>
      <w:r w:rsidR="00777DCB" w:rsidRPr="00A52585">
        <w:rPr>
          <w:rFonts w:hint="cs"/>
          <w:sz w:val="24"/>
          <w:szCs w:val="24"/>
          <w:rtl/>
        </w:rPr>
        <w:t xml:space="preserve"> مسلم- كتاب الحج – باب</w:t>
      </w:r>
      <w:r w:rsidRPr="00A52585">
        <w:rPr>
          <w:rFonts w:hint="cs"/>
          <w:spacing w:val="-6"/>
          <w:sz w:val="24"/>
          <w:szCs w:val="24"/>
          <w:rtl/>
        </w:rPr>
        <w:t>:</w:t>
      </w:r>
      <w:r w:rsidR="00777DCB" w:rsidRPr="00A52585">
        <w:rPr>
          <w:rFonts w:hint="cs"/>
          <w:spacing w:val="-6"/>
          <w:sz w:val="24"/>
          <w:szCs w:val="24"/>
          <w:rtl/>
        </w:rPr>
        <w:t xml:space="preserve"> لا تشد الرحال إلا إلى ثلاثة مساجد وروته كذلك بقية الكتب الستة وغيرها</w:t>
      </w:r>
      <w:r w:rsidRPr="00A52585">
        <w:rPr>
          <w:rFonts w:hint="cs"/>
          <w:sz w:val="24"/>
          <w:szCs w:val="24"/>
          <w:rtl/>
        </w:rPr>
        <w:t>]</w:t>
      </w:r>
      <w:r w:rsidR="00DB731D" w:rsidRPr="00A52585">
        <w:rPr>
          <w:rFonts w:hint="cs"/>
          <w:sz w:val="24"/>
          <w:szCs w:val="24"/>
          <w:rtl/>
        </w:rPr>
        <w:t>،</w:t>
      </w:r>
      <w:r w:rsidR="00777DCB" w:rsidRPr="00A52585">
        <w:rPr>
          <w:rFonts w:hint="cs"/>
          <w:rtl/>
        </w:rPr>
        <w:t xml:space="preserve"> وهذا الحديث اتفق الأئمة على صحته والعمل به</w:t>
      </w:r>
      <w:r w:rsidR="00DB731D" w:rsidRPr="00A52585">
        <w:rPr>
          <w:rFonts w:hint="cs"/>
          <w:rtl/>
        </w:rPr>
        <w:t>،</w:t>
      </w:r>
      <w:r w:rsidR="00777DCB" w:rsidRPr="00A52585">
        <w:rPr>
          <w:rFonts w:hint="cs"/>
          <w:rtl/>
        </w:rPr>
        <w:t xml:space="preserve"> وهو يوهم أنهم احتجوا لتحريم زيارة قبور الأنبياء وقبر النبي صلى الله عليه وسلم به وهو من التلبيس الفاحش وهو مطالب بأن الأولين صرحوا بأن شد الرحال وإعمال المطي إلى قبره وقبر الخليل عليهما الصلاة والسلام حرام ومعصية ولا تقصر فيه الصلاة. </w:t>
      </w:r>
      <w:r w:rsidR="00777DCB" w:rsidRPr="00A52585">
        <w:rPr>
          <w:rFonts w:hint="cs"/>
          <w:rtl/>
        </w:rPr>
        <w:lastRenderedPageBreak/>
        <w:t>وهذا لا نجده</w:t>
      </w:r>
      <w:r w:rsidR="00DB731D" w:rsidRPr="00A52585">
        <w:rPr>
          <w:rFonts w:hint="cs"/>
          <w:rtl/>
        </w:rPr>
        <w:t>،</w:t>
      </w:r>
      <w:r w:rsidR="00777DCB" w:rsidRPr="00A52585">
        <w:rPr>
          <w:rFonts w:hint="cs"/>
          <w:rtl/>
        </w:rPr>
        <w:t xml:space="preserve"> بل الموجود غيره والندب إلى ذلك كما يأتي إن شاء الله تعالى وقد خاب من افترى</w:t>
      </w:r>
      <w:r w:rsidR="00DB731D" w:rsidRPr="00A52585">
        <w:rPr>
          <w:rFonts w:hint="cs"/>
          <w:rtl/>
        </w:rPr>
        <w:t>،</w:t>
      </w:r>
      <w:r w:rsidR="00777DCB" w:rsidRPr="00A52585">
        <w:rPr>
          <w:rFonts w:hint="cs"/>
          <w:rtl/>
        </w:rPr>
        <w:t xml:space="preserve"> ثم ما ذكره من انفراد الشيخ أبي محمد</w:t>
      </w:r>
      <w:r w:rsidRPr="00A52585">
        <w:rPr>
          <w:rFonts w:hint="cs"/>
          <w:rtl/>
        </w:rPr>
        <w:t>:</w:t>
      </w:r>
      <w:r w:rsidR="00777DCB" w:rsidRPr="00A52585">
        <w:rPr>
          <w:rFonts w:hint="cs"/>
          <w:rtl/>
        </w:rPr>
        <w:t xml:space="preserve"> بأن الحديث محمول على نفي الاستحباب</w:t>
      </w:r>
      <w:r w:rsidRPr="00A52585">
        <w:rPr>
          <w:rFonts w:hint="cs"/>
          <w:rtl/>
        </w:rPr>
        <w:t>:</w:t>
      </w:r>
      <w:r w:rsidR="00777DCB" w:rsidRPr="00A52585">
        <w:rPr>
          <w:rFonts w:hint="cs"/>
          <w:rtl/>
        </w:rPr>
        <w:t xml:space="preserve"> كذب وفجور وجهل فإنه لم ينفرد بذلك</w:t>
      </w:r>
      <w:r w:rsidR="00DB731D" w:rsidRPr="00A52585">
        <w:rPr>
          <w:rFonts w:hint="cs"/>
          <w:rtl/>
        </w:rPr>
        <w:t>،</w:t>
      </w:r>
      <w:r w:rsidR="00777DCB" w:rsidRPr="00A52585">
        <w:rPr>
          <w:rFonts w:hint="cs"/>
          <w:rtl/>
        </w:rPr>
        <w:t xml:space="preserve"> بل ولا الحديث مساق لتحريم زيارة القبور وإنما هو لبيان فضيلة المساجد الثلاثة دون غيرها لأن المساجد </w:t>
      </w:r>
      <w:r w:rsidR="00777DCB" w:rsidRPr="00A52585">
        <w:rPr>
          <w:rFonts w:hint="cs"/>
          <w:spacing w:val="-20"/>
          <w:rtl/>
        </w:rPr>
        <w:t xml:space="preserve">الثلاثة مساجد الأنبياء عليهم الصلاة </w:t>
      </w:r>
      <w:r w:rsidR="00777DCB" w:rsidRPr="00A52585">
        <w:rPr>
          <w:rFonts w:hint="cs"/>
          <w:rtl/>
        </w:rPr>
        <w:t>والسلام</w:t>
      </w:r>
      <w:r w:rsidR="00777DCB" w:rsidRPr="00A52585">
        <w:rPr>
          <w:rFonts w:hint="cs"/>
          <w:vertAlign w:val="superscript"/>
          <w:rtl/>
        </w:rPr>
        <w:t xml:space="preserve"> </w:t>
      </w:r>
      <w:r w:rsidR="00777DCB" w:rsidRPr="00A52585">
        <w:rPr>
          <w:rFonts w:hint="cs"/>
          <w:rtl/>
        </w:rPr>
        <w:t>والعمل فيها يضاعف ما لا يضاعف في غيرها وليس لزيارة القبور تعلق بالحديث</w:t>
      </w:r>
      <w:r w:rsidR="00DB731D" w:rsidRPr="00A52585">
        <w:rPr>
          <w:rFonts w:hint="cs"/>
          <w:rtl/>
        </w:rPr>
        <w:t>،</w:t>
      </w:r>
      <w:r w:rsidR="00777DCB" w:rsidRPr="00A52585">
        <w:rPr>
          <w:rFonts w:hint="cs"/>
          <w:rtl/>
        </w:rPr>
        <w:t xml:space="preserve"> ولما تكلم الأئمة على هذا الحديث ومنهم الإمام العلامة أبو زكريا يحيي النووي رضي الله عنه في شرح مسلم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في الحديث فضيلة المساجد الثلاثة وفضيلة شد الرحال إليها لأن معناه عند جمهور العلماء لا فضيلة في شدها إلى مسجد غيرها وقال الشيخ أبو محمد الجويني يحرم شدها إلى غيرها وهو غلط. ومر بيانه في باب سفر المرأة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كتاب الحج</w:t>
      </w:r>
      <w:r w:rsidRPr="00A52585">
        <w:rPr>
          <w:rFonts w:hint="cs"/>
          <w:spacing w:val="-6"/>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spacing w:val="-6"/>
          <w:rtl/>
        </w:rPr>
        <w:t>فصرح بأن</w:t>
      </w:r>
      <w:r w:rsidRPr="00A52585">
        <w:rPr>
          <w:rFonts w:hint="cs"/>
          <w:spacing w:val="-6"/>
          <w:rtl/>
        </w:rPr>
        <w:t xml:space="preserve"> </w:t>
      </w:r>
      <w:r w:rsidR="00777DCB" w:rsidRPr="00A52585">
        <w:rPr>
          <w:rFonts w:hint="cs"/>
          <w:spacing w:val="-6"/>
          <w:rtl/>
        </w:rPr>
        <w:t>جمهور العلماء إنما ذكروا ذلك في الفضيلة</w:t>
      </w:r>
      <w:r w:rsidR="00DB731D" w:rsidRPr="00A52585">
        <w:rPr>
          <w:rFonts w:hint="cs"/>
          <w:spacing w:val="-6"/>
          <w:rtl/>
        </w:rPr>
        <w:t>،</w:t>
      </w:r>
      <w:r w:rsidR="00777DCB" w:rsidRPr="00A52585">
        <w:rPr>
          <w:rFonts w:hint="cs"/>
          <w:spacing w:val="-6"/>
          <w:rtl/>
        </w:rPr>
        <w:t xml:space="preserve"> وصرح</w:t>
      </w:r>
      <w:r w:rsidR="00777DCB" w:rsidRPr="00A52585">
        <w:rPr>
          <w:rFonts w:hint="cs"/>
          <w:rtl/>
        </w:rPr>
        <w:t xml:space="preserve"> بأنه لا فضيلة في شد الرحال إلى مسجد غيرها ولم يتعرض للزيارة ألبته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وجزم الشيخ محيي الدين رضي الله عنه بأن الشيخ أبا محمد جزم بالتحريم ممنوع</w:t>
      </w:r>
      <w:r w:rsidR="00DB731D" w:rsidRPr="00A52585">
        <w:rPr>
          <w:rFonts w:hint="cs"/>
          <w:rtl/>
        </w:rPr>
        <w:t>،</w:t>
      </w:r>
      <w:r w:rsidR="00777DCB" w:rsidRPr="00A52585">
        <w:rPr>
          <w:rFonts w:hint="cs"/>
          <w:rtl/>
        </w:rPr>
        <w:t xml:space="preserve"> وإنما تردد في ذلك فقال ربما يحرم وربما يكره والله أعلم</w:t>
      </w:r>
      <w:r w:rsidR="00DB731D" w:rsidRPr="00A52585">
        <w:rPr>
          <w:rFonts w:hint="cs"/>
          <w:rtl/>
        </w:rPr>
        <w:t>،</w:t>
      </w:r>
      <w:r w:rsidR="00777DCB" w:rsidRPr="00A52585">
        <w:rPr>
          <w:rFonts w:hint="cs"/>
          <w:rtl/>
        </w:rPr>
        <w:t xml:space="preserve"> وقال ـ أعنى النووي ـ في شرح مسلم في باب سفر المرأة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واختلف في شد الرحال وإعمال المطي إلى غيرها كالذهاب إلى قبور الصالحين والمواضع الفاضلة ونحو ذلك</w:t>
      </w:r>
      <w:r w:rsidRPr="00A52585">
        <w:rPr>
          <w:rFonts w:hint="cs"/>
          <w:rtl/>
        </w:rPr>
        <w:t>:</w:t>
      </w:r>
      <w:r w:rsidR="00777DCB" w:rsidRPr="00A52585">
        <w:rPr>
          <w:rFonts w:hint="cs"/>
          <w:rtl/>
        </w:rPr>
        <w:t xml:space="preserve"> فقال الشيخ أبو محمد الجويني يحرم وهذا الذي أشار إليه عياض مختاراً له والصحيح عند أصحابنا واختاره الإمام والمحققون لا يحرم ولا يكره والمراد أن الفضيلة التامة إنما هي في شد الرحال إلى الثلاثة خاصة</w:t>
      </w:r>
      <w:r w:rsidRPr="00A52585">
        <w:rPr>
          <w:rFonts w:hint="cs"/>
          <w:rtl/>
        </w:rPr>
        <w:t>)</w:t>
      </w:r>
      <w:r w:rsidR="00777DCB" w:rsidRPr="00A52585">
        <w:rPr>
          <w:rFonts w:hint="cs"/>
          <w:rtl/>
        </w:rPr>
        <w:t>) انتهى</w:t>
      </w:r>
      <w:r w:rsidR="00DB731D" w:rsidRPr="00A52585">
        <w:rPr>
          <w:rFonts w:hint="cs"/>
          <w:rtl/>
        </w:rPr>
        <w:t>،</w:t>
      </w:r>
      <w:r w:rsidR="00777DCB" w:rsidRPr="00A52585">
        <w:rPr>
          <w:rFonts w:hint="cs"/>
          <w:rtl/>
        </w:rPr>
        <w:t xml:space="preserve"> فذكر أولاً أن جمهور العلماء إنما ذكروا ذلك في الفضيلة وذكر ثانياً أنه قول المحققين وأنه لا يحرم ولا يُكره وأن المراد أن الفضيلة التامة إنما هي في شد الرحال إلى الثلاث المساجد خاصة</w:t>
      </w:r>
      <w:r w:rsidR="00DB731D" w:rsidRPr="00A52585">
        <w:rPr>
          <w:rFonts w:hint="cs"/>
          <w:rtl/>
        </w:rPr>
        <w:t>،</w:t>
      </w:r>
      <w:r w:rsidR="00777DCB" w:rsidRPr="00A52585">
        <w:rPr>
          <w:rFonts w:hint="cs"/>
          <w:rtl/>
        </w:rPr>
        <w:t xml:space="preserve"> ولم يصرح بقبور الأنبياء</w:t>
      </w:r>
      <w:r w:rsidR="00DB731D" w:rsidRPr="00A52585">
        <w:rPr>
          <w:rFonts w:hint="cs"/>
          <w:rtl/>
        </w:rPr>
        <w:t>،</w:t>
      </w:r>
      <w:r w:rsidR="00777DCB" w:rsidRPr="00A52585">
        <w:rPr>
          <w:rFonts w:hint="cs"/>
          <w:rtl/>
        </w:rPr>
        <w:t xml:space="preserve"> وقوله وأن الفضيلة التامة إنما هي في شد الرحال إلى المساجد الثلاثة يفيد أن شد الرحال إلى غير الثلاثة فيه فضيلة إلا أنها غير تامة</w:t>
      </w:r>
      <w:r w:rsidR="00DB731D" w:rsidRPr="00A52585">
        <w:rPr>
          <w:rFonts w:hint="cs"/>
          <w:rtl/>
        </w:rPr>
        <w:t>،</w:t>
      </w:r>
      <w:r w:rsidR="00777DCB" w:rsidRPr="00A52585">
        <w:rPr>
          <w:rFonts w:hint="cs"/>
          <w:rtl/>
        </w:rPr>
        <w:t xml:space="preserve"> وإذا علمت ذلك وما قرره هذا العبد الصالح وما نقله استفدت منه أنه لا </w:t>
      </w:r>
      <w:r w:rsidR="00777DCB" w:rsidRPr="00A52585">
        <w:rPr>
          <w:rFonts w:hint="cs"/>
          <w:spacing w:val="-6"/>
          <w:rtl/>
        </w:rPr>
        <w:t>يجوز تقليد هذا الزائغ في نقله ولا يرجع إليه في تقريره لسوء فهمه وتدليسه</w:t>
      </w:r>
      <w:r w:rsidR="00777DCB" w:rsidRPr="00A52585">
        <w:rPr>
          <w:rFonts w:hint="cs"/>
          <w:rtl/>
        </w:rPr>
        <w:t xml:space="preserve"> وسيأتي إن شاء الله تعالى ما يقطع بصحة ما قلته بلا شك ولا تردد</w:t>
      </w:r>
      <w:r w:rsidR="00DB731D" w:rsidRPr="00A52585">
        <w:rPr>
          <w:rFonts w:hint="cs"/>
          <w:rtl/>
        </w:rPr>
        <w:t>،</w:t>
      </w:r>
      <w:r w:rsidR="00777DCB" w:rsidRPr="00A52585">
        <w:rPr>
          <w:rFonts w:hint="cs"/>
          <w:rtl/>
        </w:rPr>
        <w:t xml:space="preserve"> وأزيدك على ما ذكره النووي ما يؤكد ما قلته</w:t>
      </w:r>
      <w:r w:rsidRPr="00A52585">
        <w:rPr>
          <w:rFonts w:hint="cs"/>
          <w:rtl/>
        </w:rPr>
        <w:t>:</w:t>
      </w:r>
      <w:r w:rsidR="00777DCB" w:rsidRPr="00A52585">
        <w:rPr>
          <w:rFonts w:hint="cs"/>
          <w:rtl/>
        </w:rPr>
        <w:t xml:space="preserve"> قال ابن قدامة الحنبلي في كتابه المغني</w:t>
      </w:r>
      <w:r w:rsidRPr="00A52585">
        <w:rPr>
          <w:rFonts w:hint="cs"/>
          <w:rtl/>
        </w:rPr>
        <w:t>:</w:t>
      </w:r>
      <w:r w:rsidR="00777DCB" w:rsidRPr="00A52585">
        <w:rPr>
          <w:rFonts w:hint="cs"/>
          <w:rtl/>
        </w:rPr>
        <w:t xml:space="preserve"> (فصل)</w:t>
      </w:r>
      <w:r w:rsidRPr="00A52585">
        <w:rPr>
          <w:rFonts w:hint="cs"/>
          <w:rtl/>
        </w:rPr>
        <w:t>:</w:t>
      </w:r>
      <w:r w:rsidR="00777DCB" w:rsidRPr="00A52585">
        <w:rPr>
          <w:rFonts w:hint="cs"/>
          <w:rtl/>
        </w:rPr>
        <w:t xml:space="preserve"> فإن سافر لزيارة القبور والمشاهد قال ابن عقيل لا يباح له الترخص لأنه منهي عن السفر إليها قال النبي صلى الله عليه وسلم</w:t>
      </w:r>
      <w:r w:rsidRPr="00A52585">
        <w:rPr>
          <w:rFonts w:hint="cs"/>
          <w:rtl/>
        </w:rPr>
        <w:t>:</w:t>
      </w:r>
      <w:r w:rsidR="00777DCB" w:rsidRPr="00A52585">
        <w:rPr>
          <w:rFonts w:hint="cs"/>
          <w:rtl/>
        </w:rPr>
        <w:t xml:space="preserve"> لا تشد الرحال إلا إلى ثلاثة مساجد</w:t>
      </w:r>
      <w:r w:rsidR="00DB731D" w:rsidRPr="00A52585">
        <w:rPr>
          <w:rFonts w:hint="cs"/>
          <w:rtl/>
        </w:rPr>
        <w:t>،</w:t>
      </w:r>
      <w:r w:rsidR="00777DCB" w:rsidRPr="00A52585">
        <w:rPr>
          <w:rFonts w:hint="cs"/>
          <w:rtl/>
        </w:rPr>
        <w:t xml:space="preserve"> والصحيح إباحته وجواز القصر فيه لأن النبي صلى الله عليه وسلم كان يأتي قباء ماشياً وراكباً</w:t>
      </w:r>
      <w:r w:rsidR="00DB731D" w:rsidRPr="00A52585">
        <w:rPr>
          <w:rFonts w:hint="cs"/>
          <w:rtl/>
        </w:rPr>
        <w:t>،</w:t>
      </w:r>
      <w:r w:rsidR="00777DCB" w:rsidRPr="00A52585">
        <w:rPr>
          <w:rFonts w:hint="cs"/>
          <w:rtl/>
        </w:rPr>
        <w:t xml:space="preserve"> وكان يزور القبور، وقال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زوروها تذكركم الآخرة</w:t>
      </w:r>
      <w:r w:rsidRPr="00A52585">
        <w:rPr>
          <w:rFonts w:hint="cs"/>
          <w:rtl/>
        </w:rPr>
        <w:t>)</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أخرجه الستة ما عدا البخاري، بألفاظ </w:t>
      </w:r>
      <w:r w:rsidR="00777DCB" w:rsidRPr="00A52585">
        <w:rPr>
          <w:rFonts w:hint="cs"/>
          <w:sz w:val="24"/>
          <w:szCs w:val="24"/>
          <w:rtl/>
        </w:rPr>
        <w:lastRenderedPageBreak/>
        <w:t>متقاربة كلهم في كتاب الجنائز ولفظ الترمذي</w:t>
      </w:r>
      <w:r w:rsidRPr="00A52585">
        <w:rPr>
          <w:rFonts w:hint="cs"/>
          <w:sz w:val="24"/>
          <w:szCs w:val="24"/>
          <w:rtl/>
        </w:rPr>
        <w:t xml:space="preserve"> </w:t>
      </w:r>
      <w:r w:rsidR="00777DCB" w:rsidRPr="00A52585">
        <w:rPr>
          <w:rFonts w:hint="cs"/>
          <w:sz w:val="24"/>
          <w:szCs w:val="24"/>
          <w:rtl/>
        </w:rPr>
        <w:t>" فزوروها فإنها تذكركم الآخرة "</w:t>
      </w:r>
      <w:r w:rsidRPr="00A52585">
        <w:rPr>
          <w:rFonts w:hint="cs"/>
          <w:sz w:val="24"/>
          <w:szCs w:val="24"/>
          <w:rtl/>
        </w:rPr>
        <w:t>]</w:t>
      </w:r>
      <w:r w:rsidR="00DB731D" w:rsidRPr="00A52585">
        <w:rPr>
          <w:rFonts w:hint="cs"/>
          <w:rtl/>
        </w:rPr>
        <w:t>،</w:t>
      </w:r>
      <w:r w:rsidR="00777DCB" w:rsidRPr="00A52585">
        <w:rPr>
          <w:rFonts w:hint="cs"/>
          <w:rtl/>
        </w:rPr>
        <w:t xml:space="preserve"> وأما قوله</w:t>
      </w:r>
      <w:r w:rsidRPr="00A52585">
        <w:rPr>
          <w:rFonts w:hint="cs"/>
          <w:rtl/>
        </w:rPr>
        <w:t>:</w:t>
      </w:r>
      <w:r w:rsidR="00777DCB" w:rsidRPr="00A52585">
        <w:rPr>
          <w:rFonts w:hint="cs"/>
          <w:rtl/>
        </w:rPr>
        <w:t xml:space="preserve"> لا تشد الرحال إلا إلى ثلاثة مساجد فيحمل على نفي الفضيلة لا على التحريم</w:t>
      </w:r>
      <w:r w:rsidR="00DB731D" w:rsidRPr="00A52585">
        <w:rPr>
          <w:rFonts w:hint="cs"/>
          <w:rtl/>
        </w:rPr>
        <w:t>،</w:t>
      </w:r>
      <w:r w:rsidR="00777DCB" w:rsidRPr="00A52585">
        <w:rPr>
          <w:rFonts w:hint="cs"/>
          <w:rtl/>
        </w:rPr>
        <w:t xml:space="preserve"> وليست الفضيلة شرطاً في إباحة القصر ولا يضر انتفاؤها. انتهي</w:t>
      </w:r>
      <w:r w:rsidR="00DB731D" w:rsidRPr="00A52585">
        <w:rPr>
          <w:rFonts w:hint="cs"/>
          <w:rtl/>
        </w:rPr>
        <w:t>،</w:t>
      </w:r>
      <w:r w:rsidR="00777DCB" w:rsidRPr="00A52585">
        <w:rPr>
          <w:rFonts w:hint="cs"/>
          <w:rtl/>
        </w:rPr>
        <w:t xml:space="preserve"> وفيه من الفوائد أنه صرح بأن الصحيح أن ذلك في نفي الفضيلة وأن المنع إنما نسبه إلى ابن عقيل فقط. فأين قول ابن تيمية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وطوائف كثيرون من العلماء المتقدمين</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وابن قدامة واسع الباع في الاطلاع فكيف يقتصر على ابن عقيل وحده ويترك طوائف كثيرة من العلماء المتقدمين وهذه كتب الحنابلة وغيرها مشهورة فأين النقل فيها عن المتقدمين</w:t>
      </w:r>
      <w:r w:rsidR="00F95886" w:rsidRPr="00A52585">
        <w:rPr>
          <w:rFonts w:hint="cs"/>
          <w:rtl/>
        </w:rPr>
        <w:t>؟</w:t>
      </w:r>
      <w:r w:rsidR="00777DCB" w:rsidRPr="00A52585">
        <w:rPr>
          <w:rFonts w:hint="cs"/>
          <w:rtl/>
        </w:rPr>
        <w:t xml:space="preserve"> وهذا مما يعرفك أن ابن تيمية يكذب في </w:t>
      </w:r>
      <w:proofErr w:type="spellStart"/>
      <w:r w:rsidR="00777DCB" w:rsidRPr="00A52585">
        <w:rPr>
          <w:rFonts w:hint="cs"/>
          <w:rtl/>
        </w:rPr>
        <w:t>الإعزاء</w:t>
      </w:r>
      <w:proofErr w:type="spellEnd"/>
      <w:r w:rsidR="00777DCB" w:rsidRPr="00A52585">
        <w:rPr>
          <w:rFonts w:hint="cs"/>
          <w:rtl/>
        </w:rPr>
        <w:t xml:space="preserve"> ومن تتبع ذلك وجده صحيحاً</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ذكر الإمام السبكي رضي الله عنه نموذجين لكذبه بالإضافة إلى تزويره لحديث عائشة رضي الله عنها في الفصل الأول من (الدرة المضية) والمنقول في ختام (الفتاوى السهمية) الملحقة بهذا الكتاب انظر ص 628، 629</w:t>
      </w:r>
      <w:r w:rsidRPr="00A52585">
        <w:rPr>
          <w:rFonts w:hint="cs"/>
          <w:sz w:val="24"/>
          <w:szCs w:val="24"/>
          <w:rtl/>
        </w:rPr>
        <w:t>]</w:t>
      </w:r>
      <w:r w:rsidR="00DB731D" w:rsidRPr="00A52585">
        <w:rPr>
          <w:rFonts w:hint="cs"/>
          <w:sz w:val="24"/>
          <w:szCs w:val="24"/>
          <w:rtl/>
        </w:rPr>
        <w:t>،</w:t>
      </w:r>
      <w:r w:rsidRPr="00A52585">
        <w:rPr>
          <w:rFonts w:hint="cs"/>
          <w:rtl/>
        </w:rPr>
        <w:t xml:space="preserve"> </w:t>
      </w:r>
      <w:r w:rsidR="00777DCB" w:rsidRPr="00A52585">
        <w:rPr>
          <w:rFonts w:hint="cs"/>
          <w:rtl/>
        </w:rPr>
        <w:t>وينقل في بعض الأحيان الإجماع على شيء وهو كذب محقق وإذا نقل كلام الغير لم ينقـــله على وجهه وإن نقله على وجهــه دس فيه ما ليس من كلام ذلك المنقول فاعلم ذلك وتنبه له واحذر تقليده تهلك كما هلك</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أو حذف من الكلام ما يدل على عكس مراده، كما فعل في حديث عائشة</w:t>
      </w:r>
      <w:r w:rsidRPr="00A52585">
        <w:rPr>
          <w:rFonts w:hint="cs"/>
          <w:sz w:val="24"/>
          <w:szCs w:val="24"/>
          <w:rtl/>
        </w:rPr>
        <w:t>:</w:t>
      </w:r>
      <w:r w:rsidR="00777DCB" w:rsidRPr="00A52585">
        <w:rPr>
          <w:rFonts w:hint="cs"/>
          <w:sz w:val="24"/>
          <w:szCs w:val="24"/>
          <w:rtl/>
        </w:rPr>
        <w:t xml:space="preserve"> (كل يمين </w:t>
      </w:r>
      <w:r w:rsidR="00777DCB" w:rsidRPr="00A52585">
        <w:rPr>
          <w:sz w:val="24"/>
          <w:szCs w:val="24"/>
        </w:rPr>
        <w:t>…</w:t>
      </w:r>
      <w:r w:rsidR="00777DCB" w:rsidRPr="00A52585">
        <w:rPr>
          <w:rFonts w:hint="cs"/>
          <w:sz w:val="24"/>
          <w:szCs w:val="24"/>
          <w:rtl/>
        </w:rPr>
        <w:t xml:space="preserve">) الحديث وهذا من أقوى الأدلة التي تثبت </w:t>
      </w:r>
      <w:r w:rsidR="00777DCB" w:rsidRPr="00A52585">
        <w:rPr>
          <w:rFonts w:hint="cs"/>
          <w:bCs/>
          <w:sz w:val="24"/>
          <w:szCs w:val="24"/>
          <w:rtl/>
        </w:rPr>
        <w:t>تلاعبه بالدين</w:t>
      </w:r>
      <w:r w:rsidR="00777DCB" w:rsidRPr="00A52585">
        <w:rPr>
          <w:rFonts w:hint="cs"/>
          <w:sz w:val="24"/>
          <w:szCs w:val="24"/>
          <w:rtl/>
        </w:rPr>
        <w:t xml:space="preserve"> انظر تعليقنا تحت عنوان (</w:t>
      </w:r>
      <w:proofErr w:type="spellStart"/>
      <w:r w:rsidR="00777DCB" w:rsidRPr="00A52585">
        <w:rPr>
          <w:rFonts w:hint="cs"/>
          <w:sz w:val="24"/>
          <w:szCs w:val="24"/>
          <w:rtl/>
        </w:rPr>
        <w:t>خداعه</w:t>
      </w:r>
      <w:proofErr w:type="spellEnd"/>
      <w:r w:rsidR="00777DCB" w:rsidRPr="00A52585">
        <w:rPr>
          <w:rFonts w:hint="cs"/>
          <w:sz w:val="24"/>
          <w:szCs w:val="24"/>
          <w:rtl/>
        </w:rPr>
        <w:t xml:space="preserve"> وتلاعبه بالدين) وكذا كلام الإمام السبكي المشار إليه في التعليق السابق</w:t>
      </w:r>
      <w:r w:rsidRPr="00A52585">
        <w:rPr>
          <w:rFonts w:hint="cs"/>
          <w:sz w:val="24"/>
          <w:szCs w:val="24"/>
          <w:rtl/>
        </w:rPr>
        <w:t>]</w:t>
      </w:r>
      <w:r w:rsidR="00DB731D" w:rsidRPr="00A52585">
        <w:rPr>
          <w:rFonts w:hint="cs"/>
          <w:sz w:val="24"/>
          <w:szCs w:val="24"/>
          <w:rtl/>
        </w:rPr>
        <w:t>،</w:t>
      </w:r>
      <w:r w:rsidR="00777DCB" w:rsidRPr="00A52585">
        <w:rPr>
          <w:rFonts w:hint="cs"/>
          <w:rtl/>
        </w:rPr>
        <w:t xml:space="preserve"> وقول ابن عقيل لا يباح الترخص له لزيارة القبور لأنه منهي عن السفر إليها</w:t>
      </w:r>
      <w:r w:rsidR="00DB731D" w:rsidRPr="00A52585">
        <w:rPr>
          <w:rFonts w:hint="cs"/>
          <w:rtl/>
        </w:rPr>
        <w:t>،</w:t>
      </w:r>
      <w:r w:rsidR="00777DCB" w:rsidRPr="00A52585">
        <w:rPr>
          <w:rFonts w:hint="cs"/>
          <w:rtl/>
        </w:rPr>
        <w:t xml:space="preserve"> لم يصرح بقبور الأنبياء ولا بقبر النبي صلى الله عليه وسلم ولم يعلم مراده وعلى تقدير إرادته ذلك فهو </w:t>
      </w:r>
      <w:proofErr w:type="spellStart"/>
      <w:r w:rsidR="00777DCB" w:rsidRPr="00A52585">
        <w:rPr>
          <w:rFonts w:hint="cs"/>
          <w:rtl/>
        </w:rPr>
        <w:t>مخطيء</w:t>
      </w:r>
      <w:proofErr w:type="spellEnd"/>
      <w:r w:rsidR="00777DCB" w:rsidRPr="00A52585">
        <w:rPr>
          <w:rFonts w:hint="cs"/>
          <w:rtl/>
        </w:rPr>
        <w:t xml:space="preserve"> وضعيف الإدراك في الاستدلال ألا تراه اعتمد على الحديث</w:t>
      </w:r>
      <w:r w:rsidR="00DB731D" w:rsidRPr="00A52585">
        <w:rPr>
          <w:rFonts w:hint="cs"/>
          <w:rtl/>
        </w:rPr>
        <w:t>،</w:t>
      </w:r>
      <w:r w:rsidR="00777DCB" w:rsidRPr="00A52585">
        <w:rPr>
          <w:rFonts w:hint="cs"/>
          <w:rtl/>
        </w:rPr>
        <w:t xml:space="preserve"> وما ابن عقيل</w:t>
      </w:r>
      <w:r w:rsidR="00F95886"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يشير إلى أن ابن عقيل ليس من كبار فقهاء الحنابلة حتى يعتد بقوله ذلك وفي إشارته إلى الحديث ينبه على ضعف قدرته على الاستنباط من النصوص وليس ضعف سند الحديث</w:t>
      </w:r>
      <w:r w:rsidRPr="00A52585">
        <w:rPr>
          <w:rFonts w:hint="cs"/>
          <w:sz w:val="24"/>
          <w:szCs w:val="24"/>
          <w:rtl/>
        </w:rPr>
        <w:t>]</w:t>
      </w:r>
      <w:r w:rsidR="00DB731D" w:rsidRPr="00A52585">
        <w:rPr>
          <w:rFonts w:hint="cs"/>
          <w:rtl/>
        </w:rPr>
        <w:t>،</w:t>
      </w:r>
      <w:r w:rsidR="00777DCB" w:rsidRPr="00A52585">
        <w:rPr>
          <w:rFonts w:hint="cs"/>
          <w:rtl/>
        </w:rPr>
        <w:t xml:space="preserve"> وسيأتي إن شاء الله تعالى أن الحديث لا دليل فيه إلا عند عوام الفقهاء وأن من تمسك به فقد تمسك بما لا يفيد،</w:t>
      </w:r>
    </w:p>
    <w:p w14:paraId="459B18BD" w14:textId="65D3DD31" w:rsidR="00777DCB" w:rsidRPr="00A52585" w:rsidRDefault="0002035C" w:rsidP="0002035C">
      <w:pPr>
        <w:spacing w:after="240"/>
        <w:rPr>
          <w:b/>
          <w:rtl/>
        </w:rPr>
      </w:pPr>
      <w:r w:rsidRPr="00A52585">
        <w:rPr>
          <w:rFonts w:hint="cs"/>
          <w:bCs/>
          <w:rtl/>
        </w:rPr>
        <w:t>[</w:t>
      </w:r>
      <w:r w:rsidR="00777DCB" w:rsidRPr="00A52585">
        <w:rPr>
          <w:rFonts w:hint="cs"/>
          <w:bCs/>
          <w:rtl/>
        </w:rPr>
        <w:t>هـ- تحقيق ألفاظ ومعاني حديث (لا تشد الرحال</w:t>
      </w:r>
      <w:r w:rsidR="00897A24" w:rsidRPr="00A52585">
        <w:rPr>
          <w:rFonts w:hint="cs"/>
          <w:bCs/>
          <w:rtl/>
        </w:rPr>
        <w:t>.</w:t>
      </w:r>
      <w:r w:rsidR="00777DCB" w:rsidRPr="00A52585">
        <w:rPr>
          <w:rFonts w:hint="cs"/>
          <w:bCs/>
          <w:rtl/>
        </w:rPr>
        <w:t>.)</w:t>
      </w:r>
      <w:r w:rsidRPr="00A52585">
        <w:rPr>
          <w:rFonts w:hint="cs"/>
          <w:bCs/>
          <w:rtl/>
        </w:rPr>
        <w:t>]:</w:t>
      </w:r>
      <w:r w:rsidR="00777DCB" w:rsidRPr="00A52585">
        <w:rPr>
          <w:rFonts w:hint="cs"/>
          <w:bCs/>
          <w:rtl/>
        </w:rPr>
        <w:t xml:space="preserve"> </w:t>
      </w:r>
      <w:r w:rsidR="00777DCB" w:rsidRPr="00A52585">
        <w:rPr>
          <w:rFonts w:hint="cs"/>
          <w:rtl/>
        </w:rPr>
        <w:t>ولابد من ذكر ألفاظ الحديث لتتم الفائدة وقد ورد بألفاظ مختلفة</w:t>
      </w:r>
      <w:r w:rsidR="00DB731D" w:rsidRPr="00A52585">
        <w:rPr>
          <w:rFonts w:hint="cs"/>
          <w:rtl/>
        </w:rPr>
        <w:t>،</w:t>
      </w:r>
      <w:r w:rsidR="00777DCB" w:rsidRPr="00A52585">
        <w:rPr>
          <w:rFonts w:hint="cs"/>
          <w:rtl/>
        </w:rPr>
        <w:t xml:space="preserve"> أشهرها</w:t>
      </w:r>
      <w:r w:rsidRPr="00A52585">
        <w:rPr>
          <w:rFonts w:hint="cs"/>
          <w:rtl/>
        </w:rPr>
        <w:t>:</w:t>
      </w:r>
      <w:r w:rsidR="00777DCB" w:rsidRPr="00A52585">
        <w:rPr>
          <w:rFonts w:hint="cs"/>
          <w:rtl/>
        </w:rPr>
        <w:t xml:space="preserve"> (لا تشد الرحال إلا إلى ثلاثة مساجد مسجدي هذا ومسجد الحرام ومسجد الأقصى)</w:t>
      </w:r>
      <w:r w:rsidR="00DB731D" w:rsidRPr="00A52585">
        <w:rPr>
          <w:rFonts w:hint="cs"/>
          <w:rtl/>
        </w:rPr>
        <w:t>،</w:t>
      </w:r>
      <w:r w:rsidR="00777DCB" w:rsidRPr="00A52585">
        <w:rPr>
          <w:rFonts w:hint="cs"/>
          <w:rtl/>
        </w:rPr>
        <w:t xml:space="preserve"> واللفظ الثاني</w:t>
      </w:r>
      <w:r w:rsidRPr="00A52585">
        <w:rPr>
          <w:rFonts w:hint="cs"/>
          <w:rtl/>
        </w:rPr>
        <w:t>:</w:t>
      </w:r>
      <w:r w:rsidR="00777DCB" w:rsidRPr="00A52585">
        <w:rPr>
          <w:rFonts w:hint="cs"/>
          <w:rtl/>
        </w:rPr>
        <w:t xml:space="preserve"> (تشد الرحال إلى ثلاثة مساجد). من غير لفظ الحصر</w:t>
      </w:r>
      <w:r w:rsidR="00DB731D" w:rsidRPr="00A52585">
        <w:rPr>
          <w:rFonts w:hint="cs"/>
          <w:rtl/>
        </w:rPr>
        <w:t>،</w:t>
      </w:r>
      <w:r w:rsidR="00777DCB" w:rsidRPr="00A52585">
        <w:rPr>
          <w:rFonts w:hint="cs"/>
          <w:rtl/>
        </w:rPr>
        <w:t xml:space="preserve"> واللفظ الثالث</w:t>
      </w:r>
      <w:r w:rsidRPr="00A52585">
        <w:rPr>
          <w:rFonts w:hint="cs"/>
          <w:rtl/>
        </w:rPr>
        <w:t>:</w:t>
      </w:r>
      <w:r w:rsidR="00777DCB" w:rsidRPr="00A52585">
        <w:rPr>
          <w:rFonts w:hint="cs"/>
          <w:rtl/>
        </w:rPr>
        <w:t xml:space="preserve"> (إنما يسافر إلى ثلاثة مساجد مسجد الكعبة ومسجدي ومسجد إيلياء. وإيلياء بيت المقدس)</w:t>
      </w:r>
      <w:r w:rsidR="00DB731D" w:rsidRPr="00A52585">
        <w:rPr>
          <w:rFonts w:hint="cs"/>
          <w:rtl/>
        </w:rPr>
        <w:t>،</w:t>
      </w:r>
      <w:r w:rsidR="00777DCB" w:rsidRPr="00A52585">
        <w:rPr>
          <w:rFonts w:hint="cs"/>
          <w:rtl/>
        </w:rPr>
        <w:t xml:space="preserve"> وهذه الروايات ذكرها مسلم في فضل المدينة من حديث أبي هريرة رضي الله عنه وذكر قبل ذلك في سفر المرأة من حديث أبي سعيد الخدري رضي الله عنه</w:t>
      </w:r>
      <w:r w:rsidRPr="00A52585">
        <w:rPr>
          <w:rFonts w:hint="cs"/>
          <w:rtl/>
        </w:rPr>
        <w:t>:</w:t>
      </w:r>
      <w:r w:rsidR="00777DCB" w:rsidRPr="00A52585">
        <w:rPr>
          <w:rFonts w:hint="cs"/>
          <w:rtl/>
        </w:rPr>
        <w:t xml:space="preserve"> (لا تشد </w:t>
      </w:r>
      <w:r w:rsidR="00777DCB" w:rsidRPr="00A52585">
        <w:rPr>
          <w:rFonts w:hint="cs"/>
          <w:spacing w:val="-6"/>
          <w:rtl/>
        </w:rPr>
        <w:t xml:space="preserve">الرحال إلا إلى ثلاثة مساجد مسجدي هذا والمسجد </w:t>
      </w:r>
      <w:r w:rsidR="00777DCB" w:rsidRPr="00A52585">
        <w:rPr>
          <w:rFonts w:hint="cs"/>
          <w:spacing w:val="-6"/>
          <w:rtl/>
        </w:rPr>
        <w:lastRenderedPageBreak/>
        <w:t>الحرام والمسجد الأقصى)</w:t>
      </w:r>
      <w:r w:rsidR="00DB731D" w:rsidRPr="00A52585">
        <w:rPr>
          <w:rFonts w:hint="cs"/>
          <w:spacing w:val="-6"/>
          <w:rtl/>
        </w:rPr>
        <w:t>،</w:t>
      </w:r>
      <w:r w:rsidR="00777DCB" w:rsidRPr="00A52585">
        <w:rPr>
          <w:rFonts w:hint="cs"/>
          <w:rtl/>
        </w:rPr>
        <w:t xml:space="preserve"> وهذا بصيغة النهي</w:t>
      </w:r>
      <w:r w:rsidR="00DB731D" w:rsidRPr="00A52585">
        <w:rPr>
          <w:rFonts w:hint="cs"/>
          <w:rtl/>
        </w:rPr>
        <w:t>،</w:t>
      </w:r>
      <w:r w:rsidR="00777DCB" w:rsidRPr="00A52585">
        <w:rPr>
          <w:rFonts w:hint="cs"/>
          <w:rtl/>
        </w:rPr>
        <w:t xml:space="preserve"> والثلاثة الأول بصيغة الخبر</w:t>
      </w:r>
      <w:r w:rsidR="00DB731D" w:rsidRPr="00A52585">
        <w:rPr>
          <w:rFonts w:hint="cs"/>
          <w:rtl/>
        </w:rPr>
        <w:t>،</w:t>
      </w:r>
      <w:r w:rsidR="00777DCB" w:rsidRPr="00A52585">
        <w:rPr>
          <w:rFonts w:hint="cs"/>
          <w:rtl/>
        </w:rPr>
        <w:t xml:space="preserve"> وبصيغة النهي رواه الطبراني </w:t>
      </w:r>
      <w:r w:rsidR="00777DCB" w:rsidRPr="00A52585">
        <w:rPr>
          <w:rFonts w:hint="cs"/>
          <w:spacing w:val="-6"/>
          <w:rtl/>
        </w:rPr>
        <w:t>من حديث ابن عمر رضي الله عنهما</w:t>
      </w:r>
      <w:r w:rsidRPr="00A52585">
        <w:rPr>
          <w:rFonts w:hint="cs"/>
          <w:spacing w:val="-6"/>
          <w:rtl/>
        </w:rPr>
        <w:t>:</w:t>
      </w:r>
      <w:r w:rsidR="00777DCB" w:rsidRPr="00A52585">
        <w:rPr>
          <w:rFonts w:hint="cs"/>
          <w:spacing w:val="-6"/>
          <w:rtl/>
        </w:rPr>
        <w:t xml:space="preserve"> (لا تشدوا الرحال إلا إلى ثلاثة مساجد</w:t>
      </w:r>
      <w:r w:rsidR="00777DCB" w:rsidRPr="00A52585">
        <w:rPr>
          <w:rFonts w:hint="cs"/>
          <w:rtl/>
        </w:rPr>
        <w:t xml:space="preserve"> مسجد إبراهيم ومسجد محمد ومسجد بيت المقدس) وهذا اللفظ رواه ابن راهويه في مسنده من حديث أبي سعيد رضي الله عنه. هذا ما يتعلق بلفظ الحديث</w:t>
      </w:r>
      <w:r w:rsidR="00DB731D" w:rsidRPr="00A52585">
        <w:rPr>
          <w:rFonts w:hint="cs"/>
          <w:rtl/>
        </w:rPr>
        <w:t>،</w:t>
      </w:r>
      <w:r w:rsidR="00777DCB" w:rsidRPr="00A52585">
        <w:rPr>
          <w:rFonts w:hint="cs"/>
          <w:rtl/>
        </w:rPr>
        <w:t xml:space="preserve"> </w:t>
      </w:r>
      <w:r w:rsidR="00777DCB" w:rsidRPr="00A52585">
        <w:rPr>
          <w:rFonts w:hint="cs"/>
          <w:bCs/>
          <w:rtl/>
        </w:rPr>
        <w:t>وأما ما يتعلق بمعناه وما يدل عليه</w:t>
      </w:r>
      <w:r w:rsidRPr="00A52585">
        <w:rPr>
          <w:rFonts w:hint="cs"/>
          <w:bCs/>
          <w:rtl/>
        </w:rPr>
        <w:t>:</w:t>
      </w:r>
      <w:r w:rsidR="00777DCB" w:rsidRPr="00A52585">
        <w:rPr>
          <w:rFonts w:hint="cs"/>
          <w:rtl/>
        </w:rPr>
        <w:t xml:space="preserve"> فاعلم أن الاستثناء في الحديث مفرغ كما هو واضح ولابد فيه من تقدير وهو شيئان</w:t>
      </w:r>
      <w:r w:rsidRPr="00A52585">
        <w:rPr>
          <w:rFonts w:hint="cs"/>
          <w:rtl/>
        </w:rPr>
        <w:t>:</w:t>
      </w:r>
      <w:r w:rsidR="00777DCB" w:rsidRPr="00A52585">
        <w:rPr>
          <w:rFonts w:hint="cs"/>
          <w:rtl/>
        </w:rPr>
        <w:t xml:space="preserve"> </w:t>
      </w:r>
      <w:r w:rsidRPr="00A52585">
        <w:rPr>
          <w:rFonts w:hint="cs"/>
          <w:rtl/>
        </w:rPr>
        <w:t>(</w:t>
      </w:r>
      <w:r w:rsidR="00777DCB" w:rsidRPr="00A52585">
        <w:rPr>
          <w:rFonts w:hint="cs"/>
          <w:bCs/>
          <w:rtl/>
        </w:rPr>
        <w:t>أحدهما</w:t>
      </w:r>
      <w:r w:rsidRPr="00A52585">
        <w:rPr>
          <w:rFonts w:hint="cs"/>
          <w:bCs/>
          <w:rtl/>
        </w:rPr>
        <w:t>):</w:t>
      </w:r>
      <w:r w:rsidR="00777DCB" w:rsidRPr="00A52585">
        <w:rPr>
          <w:rFonts w:hint="cs"/>
          <w:bCs/>
          <w:rtl/>
        </w:rPr>
        <w:t xml:space="preserve"> لا تشد الرحال إلى مسجد إلا إلى المساجد الثلاثة</w:t>
      </w:r>
      <w:r w:rsidR="00777DCB" w:rsidRPr="00A52585">
        <w:rPr>
          <w:rFonts w:hint="cs"/>
          <w:rtl/>
        </w:rPr>
        <w:t>. وعلى هذا فلا حجة للخصم فيه</w:t>
      </w:r>
      <w:r w:rsidR="00DB731D" w:rsidRPr="00A52585">
        <w:rPr>
          <w:rFonts w:hint="cs"/>
          <w:rtl/>
        </w:rPr>
        <w:t>،</w:t>
      </w:r>
      <w:r w:rsidR="00777DCB" w:rsidRPr="00A52585">
        <w:rPr>
          <w:rFonts w:hint="cs"/>
          <w:rtl/>
        </w:rPr>
        <w:t xml:space="preserve"> </w:t>
      </w:r>
      <w:r w:rsidR="00777DCB" w:rsidRPr="00A52585">
        <w:rPr>
          <w:rFonts w:hint="cs"/>
          <w:bCs/>
          <w:rtl/>
        </w:rPr>
        <w:t xml:space="preserve">و </w:t>
      </w:r>
      <w:r w:rsidRPr="00A52585">
        <w:rPr>
          <w:rFonts w:hint="cs"/>
          <w:bCs/>
          <w:rtl/>
        </w:rPr>
        <w:t>(</w:t>
      </w:r>
      <w:r w:rsidR="00777DCB" w:rsidRPr="00A52585">
        <w:rPr>
          <w:rFonts w:hint="cs"/>
          <w:bCs/>
          <w:rtl/>
        </w:rPr>
        <w:t>التقدير الثاني</w:t>
      </w:r>
      <w:r w:rsidRPr="00A52585">
        <w:rPr>
          <w:rFonts w:hint="cs"/>
          <w:bCs/>
          <w:rtl/>
        </w:rPr>
        <w:t>):</w:t>
      </w:r>
      <w:r w:rsidR="00777DCB" w:rsidRPr="00A52585">
        <w:rPr>
          <w:rFonts w:hint="cs"/>
          <w:bCs/>
          <w:rtl/>
        </w:rPr>
        <w:t xml:space="preserve"> لا تشد الرحال إلى مكان إلا إلى المساجد الثلاث</w:t>
      </w:r>
      <w:r w:rsidR="00DB731D" w:rsidRPr="00A52585">
        <w:rPr>
          <w:rFonts w:hint="cs"/>
          <w:rtl/>
        </w:rPr>
        <w:t>،</w:t>
      </w:r>
      <w:r w:rsidR="00777DCB" w:rsidRPr="00A52585">
        <w:rPr>
          <w:rFonts w:hint="cs"/>
          <w:spacing w:val="-6"/>
          <w:rtl/>
        </w:rPr>
        <w:t xml:space="preserve"> ولابد من تقدير أحد هذين ليكون المستثنى مندرجاً تحت المستثنى منه</w:t>
      </w:r>
      <w:r w:rsidR="00DB731D" w:rsidRPr="00A52585">
        <w:rPr>
          <w:rFonts w:hint="cs"/>
          <w:spacing w:val="-6"/>
          <w:rtl/>
        </w:rPr>
        <w:t>،</w:t>
      </w:r>
      <w:r w:rsidR="00777DCB" w:rsidRPr="00A52585">
        <w:rPr>
          <w:rFonts w:hint="cs"/>
          <w:spacing w:val="-6"/>
          <w:rtl/>
        </w:rPr>
        <w:t xml:space="preserve"> </w:t>
      </w:r>
      <w:r w:rsidR="00777DCB" w:rsidRPr="00A52585">
        <w:rPr>
          <w:rFonts w:hint="cs"/>
          <w:rtl/>
        </w:rPr>
        <w:t>والتقدير الأول وهو</w:t>
      </w:r>
      <w:r w:rsidRPr="00A52585">
        <w:rPr>
          <w:rFonts w:hint="cs"/>
          <w:rtl/>
        </w:rPr>
        <w:t>:</w:t>
      </w:r>
      <w:r w:rsidR="00777DCB" w:rsidRPr="00A52585">
        <w:rPr>
          <w:rFonts w:hint="cs"/>
          <w:rtl/>
        </w:rPr>
        <w:t xml:space="preserve"> لا تشد الرحال إلى مسجد أولى من التقدير الثاني وهو</w:t>
      </w:r>
      <w:r w:rsidRPr="00A52585">
        <w:rPr>
          <w:rFonts w:hint="cs"/>
          <w:rtl/>
        </w:rPr>
        <w:t>:</w:t>
      </w:r>
      <w:r w:rsidR="00777DCB" w:rsidRPr="00A52585">
        <w:rPr>
          <w:rFonts w:hint="cs"/>
          <w:rtl/>
        </w:rPr>
        <w:t xml:space="preserve"> لا تشد الرحال إلى مكان</w:t>
      </w:r>
      <w:r w:rsidR="00DB731D" w:rsidRPr="00A52585">
        <w:rPr>
          <w:rFonts w:hint="cs"/>
          <w:rtl/>
        </w:rPr>
        <w:t>،</w:t>
      </w:r>
      <w:r w:rsidR="00777DCB" w:rsidRPr="00A52585">
        <w:rPr>
          <w:rFonts w:hint="cs"/>
          <w:rtl/>
        </w:rPr>
        <w:t xml:space="preserve"> لأنه على التقدير الأول جنس قريب لما فيه من قلة عدم التخصيص</w:t>
      </w:r>
      <w:r w:rsidR="00DB731D" w:rsidRPr="00A52585">
        <w:rPr>
          <w:rFonts w:hint="cs"/>
          <w:rtl/>
        </w:rPr>
        <w:t>،</w:t>
      </w:r>
      <w:r w:rsidR="00777DCB" w:rsidRPr="00A52585">
        <w:rPr>
          <w:rFonts w:hint="cs"/>
          <w:rtl/>
        </w:rPr>
        <w:t xml:space="preserve"> لأن التخصيص على تقدير إضمار الأمكنة أكثر فيكون مرجوحاً</w:t>
      </w:r>
      <w:r w:rsidR="00DB731D" w:rsidRPr="00A52585">
        <w:rPr>
          <w:rFonts w:hint="cs"/>
          <w:rtl/>
        </w:rPr>
        <w:t>،</w:t>
      </w:r>
      <w:r w:rsidR="00777DCB" w:rsidRPr="00A52585">
        <w:rPr>
          <w:rFonts w:hint="cs"/>
          <w:rtl/>
        </w:rPr>
        <w:t xml:space="preserve"> ولو خطر بالبال تقدير العموم في الحديث لكان خيالا فاسداً</w:t>
      </w:r>
      <w:r w:rsidRPr="00A52585">
        <w:rPr>
          <w:rFonts w:hint="cs"/>
          <w:rtl/>
        </w:rPr>
        <w:t>:</w:t>
      </w:r>
      <w:r w:rsidR="00777DCB" w:rsidRPr="00A52585">
        <w:rPr>
          <w:rFonts w:hint="cs"/>
          <w:rtl/>
        </w:rPr>
        <w:t xml:space="preserve"> لمساقه والقرينة اللفظية فيه ولدخول التخصيص بالأدلة السمعية والعملية الكثيرة جداً</w:t>
      </w:r>
      <w:r w:rsidR="00DB731D" w:rsidRPr="00A52585">
        <w:rPr>
          <w:rFonts w:hint="cs"/>
          <w:rtl/>
        </w:rPr>
        <w:t>،</w:t>
      </w:r>
      <w:r w:rsidR="00777DCB" w:rsidRPr="00A52585">
        <w:rPr>
          <w:rFonts w:hint="cs"/>
          <w:rtl/>
        </w:rPr>
        <w:t xml:space="preserve"> أما مساقه</w:t>
      </w:r>
      <w:r w:rsidR="00DB731D" w:rsidRPr="00A52585">
        <w:rPr>
          <w:rFonts w:hint="cs"/>
          <w:rtl/>
        </w:rPr>
        <w:t>،</w:t>
      </w:r>
      <w:r w:rsidR="00777DCB" w:rsidRPr="00A52585">
        <w:rPr>
          <w:rFonts w:hint="cs"/>
          <w:rtl/>
        </w:rPr>
        <w:t xml:space="preserve"> فلأن الحديث إنما ورد لبيان شرف هذه المساجد الثلاثة وميزتها على غيرها من المساجد لما مر من أنها مساجد الأنبياء عليهم الصلاة والسلام ولهذا يضاعف الأعمال فيها مالا تضاعف في غيرها</w:t>
      </w:r>
      <w:r w:rsidR="00DB731D" w:rsidRPr="00A52585">
        <w:rPr>
          <w:rFonts w:hint="cs"/>
          <w:rtl/>
        </w:rPr>
        <w:t>،</w:t>
      </w:r>
      <w:r w:rsidR="00777DCB" w:rsidRPr="00A52585">
        <w:rPr>
          <w:rFonts w:hint="cs"/>
          <w:rtl/>
        </w:rPr>
        <w:t xml:space="preserve"> والمتكلمون على الحديث إنما يتكلمون في ذلك ونحوه من لزوم النذر المتعلق بها دون الزيار ولهذا لما تكلم بعض المتأخرين على الحديث وأدرج ذكر الزيارة اعترض عليه في ذكر الزيارة. وقيل لم يرد الحديث لذلك وإنما ورد لبيان شرف هذه المساجد دون غيرها. وهذا كاف في بطلان الاحتجاج بالحديث لمنع زيارة القبور والزيادة على ذلك إنما هو على وجه </w:t>
      </w:r>
      <w:proofErr w:type="spellStart"/>
      <w:r w:rsidR="00777DCB" w:rsidRPr="00A52585">
        <w:rPr>
          <w:rFonts w:hint="cs"/>
          <w:rtl/>
        </w:rPr>
        <w:t>التنزل</w:t>
      </w:r>
      <w:proofErr w:type="spellEnd"/>
      <w:r w:rsidR="00777DCB" w:rsidRPr="00A52585">
        <w:rPr>
          <w:rFonts w:hint="cs"/>
          <w:rtl/>
        </w:rPr>
        <w:t xml:space="preserve"> فمن احتج بالحديث لمنع الزيارة ينبغي </w:t>
      </w:r>
      <w:proofErr w:type="gramStart"/>
      <w:r w:rsidR="00777DCB" w:rsidRPr="00A52585">
        <w:rPr>
          <w:rFonts w:hint="cs"/>
          <w:rtl/>
        </w:rPr>
        <w:t>أن لا</w:t>
      </w:r>
      <w:proofErr w:type="gramEnd"/>
      <w:r w:rsidR="00777DCB" w:rsidRPr="00A52585">
        <w:rPr>
          <w:rFonts w:hint="cs"/>
          <w:rtl/>
        </w:rPr>
        <w:t xml:space="preserve"> يُرسم في حزب الفقهاء ألبته لما قررنا. وإن قلنا بعموم اللفظ فكذلك لأن وقائع الأعيان إذا تطرق إليها الاحتمال كساها ثوب الإجمال وسقط بها الاستدلال وهذا في الاحتمال وإن كان فيه بعُد</w:t>
      </w:r>
      <w:r w:rsidR="00DB731D" w:rsidRPr="00A52585">
        <w:rPr>
          <w:rFonts w:hint="cs"/>
          <w:rtl/>
        </w:rPr>
        <w:t>،</w:t>
      </w:r>
      <w:r w:rsidR="00777DCB" w:rsidRPr="00A52585">
        <w:rPr>
          <w:rFonts w:hint="cs"/>
          <w:rtl/>
        </w:rPr>
        <w:t xml:space="preserve"> فما ظنك بهذا الحديث الذي الاحتمال فيه من لفظه. وهو قرينة ظاهرة وقوية ولها شاهد ظاهر الدلالة كما أذكره إن شاء الله تعالى. ولا سيما </w:t>
      </w:r>
      <w:r w:rsidR="00777DCB" w:rsidRPr="00A52585">
        <w:rPr>
          <w:rFonts w:hint="cs"/>
          <w:bCs/>
          <w:rtl/>
        </w:rPr>
        <w:t>وقد دخله التخصيص بالأدلة السمعية والعملية مع كثرة المخصصات</w:t>
      </w:r>
      <w:r w:rsidR="00777DCB" w:rsidRPr="00A52585">
        <w:rPr>
          <w:rFonts w:hint="cs"/>
          <w:rtl/>
        </w:rPr>
        <w:t xml:space="preserve"> على اختلاف أنواعها فمنها</w:t>
      </w:r>
      <w:r w:rsidRPr="00A52585">
        <w:rPr>
          <w:rFonts w:hint="cs"/>
          <w:rtl/>
        </w:rPr>
        <w:t>:</w:t>
      </w:r>
      <w:r w:rsidR="00777DCB" w:rsidRPr="00A52585">
        <w:rPr>
          <w:rFonts w:hint="cs"/>
          <w:rtl/>
        </w:rPr>
        <w:t xml:space="preserve"> ما هو فرض عين ومنها ما هو فرض كفاية ومنها ما هو مندوب ومنها ما هو قربة ومنها ما هو مباح. وصور هذه الأنواع لا تكاد تنحصر عداً</w:t>
      </w:r>
      <w:r w:rsidR="00DB731D" w:rsidRPr="00A52585">
        <w:rPr>
          <w:rFonts w:hint="cs"/>
          <w:rtl/>
        </w:rPr>
        <w:t>،</w:t>
      </w:r>
      <w:r w:rsidR="00777DCB" w:rsidRPr="00A52585">
        <w:rPr>
          <w:rFonts w:hint="cs"/>
          <w:rtl/>
        </w:rPr>
        <w:t xml:space="preserve"> </w:t>
      </w:r>
      <w:r w:rsidR="00777DCB" w:rsidRPr="00A52585">
        <w:rPr>
          <w:rFonts w:hint="cs"/>
          <w:bCs/>
          <w:rtl/>
        </w:rPr>
        <w:t>فأما القرينة اللفظية</w:t>
      </w:r>
      <w:r w:rsidR="00777DCB" w:rsidRPr="00A52585">
        <w:rPr>
          <w:rFonts w:hint="cs"/>
          <w:rtl/>
        </w:rPr>
        <w:t xml:space="preserve"> فذكر المساجد الثلاث في الاستثناء وهو بعض المستثنى منه وهذا قوي جداً</w:t>
      </w:r>
      <w:r w:rsidR="00DB731D" w:rsidRPr="00A52585">
        <w:rPr>
          <w:rFonts w:hint="cs"/>
          <w:rtl/>
        </w:rPr>
        <w:t>،</w:t>
      </w:r>
      <w:r w:rsidR="00777DCB" w:rsidRPr="00A52585">
        <w:rPr>
          <w:rFonts w:hint="cs"/>
          <w:rtl/>
        </w:rPr>
        <w:t xml:space="preserve"> وإلى تكون بمعنى اللام إذ حروف الصلة ينوب بعضها عن بعض كما هو كثير في الكلام فالمعنى لا تشد الرحال إلا للمساجد </w:t>
      </w:r>
      <w:r w:rsidR="00777DCB" w:rsidRPr="00A52585">
        <w:rPr>
          <w:rFonts w:hint="cs"/>
          <w:rtl/>
        </w:rPr>
        <w:lastRenderedPageBreak/>
        <w:t>الثلاثة</w:t>
      </w:r>
      <w:r w:rsidR="00DB731D" w:rsidRPr="00A52585">
        <w:rPr>
          <w:rFonts w:hint="cs"/>
          <w:vertAlign w:val="superscript"/>
          <w:rtl/>
        </w:rPr>
        <w:t>،</w:t>
      </w:r>
      <w:r w:rsidR="00777DCB" w:rsidRPr="00A52585">
        <w:rPr>
          <w:rFonts w:hint="cs"/>
          <w:rtl/>
        </w:rPr>
        <w:t xml:space="preserve"> ويؤيد هذا أن رجلاً من التابعين قال لابن عمر رضي الله عنهما</w:t>
      </w:r>
      <w:r w:rsidRPr="00A52585">
        <w:rPr>
          <w:rFonts w:hint="cs"/>
          <w:rtl/>
        </w:rPr>
        <w:t>:</w:t>
      </w:r>
      <w:r w:rsidR="00777DCB" w:rsidRPr="00A52585">
        <w:rPr>
          <w:rFonts w:hint="cs"/>
          <w:rtl/>
        </w:rPr>
        <w:t xml:space="preserve"> أريد أن آتي الطور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إنما تشد الرحال إلى ثلاثة مساجد مسجد الحرام ومسجد رسول الله صلى الله عليه وسلم ومسجد الأقصى ودع عنك الطور فلا تأته</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الشيخ محمود سعيد في كتابه (رفع المنارة) ط الثانية ص 370-371</w:t>
      </w:r>
      <w:r w:rsidRPr="00A52585">
        <w:rPr>
          <w:rFonts w:hint="cs"/>
          <w:sz w:val="24"/>
          <w:szCs w:val="24"/>
          <w:rtl/>
        </w:rPr>
        <w:t xml:space="preserve">: </w:t>
      </w:r>
      <w:r w:rsidR="00777DCB" w:rsidRPr="00A52585">
        <w:rPr>
          <w:rFonts w:hint="cs"/>
          <w:sz w:val="24"/>
          <w:szCs w:val="24"/>
          <w:rtl/>
        </w:rPr>
        <w:t xml:space="preserve">"أخرج البخاري في التاريخ الكبير (7/204)، وعبد الرزاق (5/135)، وابن أبي شيبة (2/373) وعمر بن شبّه في أخبار المدينة </w:t>
      </w:r>
      <w:r w:rsidRPr="00A52585">
        <w:rPr>
          <w:rFonts w:hint="cs"/>
          <w:sz w:val="24"/>
          <w:szCs w:val="24"/>
          <w:rtl/>
        </w:rPr>
        <w:t>(</w:t>
      </w:r>
      <w:r w:rsidR="00777DCB" w:rsidRPr="00A52585">
        <w:rPr>
          <w:rFonts w:hint="cs"/>
          <w:sz w:val="24"/>
          <w:szCs w:val="24"/>
          <w:rtl/>
        </w:rPr>
        <w:t xml:space="preserve">كما في الصارم </w:t>
      </w:r>
      <w:proofErr w:type="spellStart"/>
      <w:r w:rsidR="00777DCB" w:rsidRPr="00A52585">
        <w:rPr>
          <w:rFonts w:hint="cs"/>
          <w:sz w:val="24"/>
          <w:szCs w:val="24"/>
          <w:rtl/>
        </w:rPr>
        <w:t>المنكي</w:t>
      </w:r>
      <w:proofErr w:type="spellEnd"/>
      <w:r w:rsidR="00777DCB" w:rsidRPr="00A52585">
        <w:rPr>
          <w:rFonts w:hint="cs"/>
          <w:sz w:val="24"/>
          <w:szCs w:val="24"/>
          <w:rtl/>
        </w:rPr>
        <w:t xml:space="preserve"> ص 342) من حديث سفيان بن عيينة عن عمرو بن دينار عن طلق بن حبيب عن قزعة قال</w:t>
      </w:r>
      <w:r w:rsidRPr="00A52585">
        <w:rPr>
          <w:rFonts w:hint="cs"/>
          <w:sz w:val="24"/>
          <w:szCs w:val="24"/>
          <w:rtl/>
        </w:rPr>
        <w:t>:</w:t>
      </w:r>
      <w:r w:rsidR="00777DCB" w:rsidRPr="00A52585">
        <w:rPr>
          <w:rFonts w:hint="cs"/>
          <w:sz w:val="24"/>
          <w:szCs w:val="24"/>
          <w:rtl/>
        </w:rPr>
        <w:t xml:space="preserve"> (سألت ابن عمر</w:t>
      </w:r>
      <w:r w:rsidRPr="00A52585">
        <w:rPr>
          <w:rFonts w:hint="cs"/>
          <w:sz w:val="24"/>
          <w:szCs w:val="24"/>
          <w:rtl/>
        </w:rPr>
        <w:t>:</w:t>
      </w:r>
      <w:r w:rsidR="00777DCB" w:rsidRPr="00A52585">
        <w:rPr>
          <w:rFonts w:hint="cs"/>
          <w:sz w:val="24"/>
          <w:szCs w:val="24"/>
          <w:rtl/>
        </w:rPr>
        <w:t xml:space="preserve"> آتي الطور</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دعِ الطور ولا تأتها وقال لا تشدوا الرحال إلا إلى ثلاثة مساجد)</w:t>
      </w:r>
      <w:r w:rsidR="00DB731D" w:rsidRPr="00A52585">
        <w:rPr>
          <w:rFonts w:hint="cs"/>
          <w:sz w:val="24"/>
          <w:szCs w:val="24"/>
          <w:rtl/>
        </w:rPr>
        <w:t>،</w:t>
      </w:r>
      <w:r w:rsidR="00777DCB" w:rsidRPr="00A52585">
        <w:rPr>
          <w:rFonts w:hint="cs"/>
          <w:sz w:val="24"/>
          <w:szCs w:val="24"/>
          <w:rtl/>
        </w:rPr>
        <w:t xml:space="preserve"> وهذا إسناد صحيح لا علة فيه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ثم ذكر الشيخ محمود سعيد متابعات أخرى لطريق سفيان عند البيهقي في (شعب الإيمان)، والفاكهي في (أخبار مكة)، وعبد الرزاق في المنصف</w:t>
      </w:r>
      <w:r w:rsidRPr="00A52585">
        <w:rPr>
          <w:rFonts w:hint="cs"/>
          <w:sz w:val="24"/>
          <w:szCs w:val="24"/>
          <w:rtl/>
        </w:rPr>
        <w:t>]</w:t>
      </w:r>
      <w:r w:rsidR="00DB731D" w:rsidRPr="00A52585">
        <w:rPr>
          <w:rFonts w:hint="cs"/>
          <w:sz w:val="24"/>
          <w:szCs w:val="24"/>
          <w:rtl/>
        </w:rPr>
        <w:t>،</w:t>
      </w:r>
      <w:r w:rsidRPr="00A52585">
        <w:rPr>
          <w:rFonts w:hint="cs"/>
          <w:sz w:val="24"/>
          <w:rtl/>
        </w:rPr>
        <w:t xml:space="preserve"> </w:t>
      </w:r>
      <w:r w:rsidR="00777DCB" w:rsidRPr="00A52585">
        <w:rPr>
          <w:rFonts w:hint="cs"/>
          <w:rtl/>
        </w:rPr>
        <w:t>فهذا عبد الله بن عمر رضي الله عنهما من أجلاء الصحابة رضي الله عنه لم يتكلم إلا في شد الرحال إلى المساجد دون غيرها وهو أعلم بالحديث وموارده ومصادره. وعلى منواله تكلم العلماء في شد الرحال بالنسبة إلى المساجد وكذا ذكره القاضي عياض في كتابه الإكمال ولم يتعرض لزيارة الموتى أصلا وليس في الحديث تعرض لمنع الزيارة ألبته</w:t>
      </w:r>
      <w:r w:rsidR="00DB731D" w:rsidRPr="00A52585">
        <w:rPr>
          <w:rFonts w:hint="cs"/>
          <w:rtl/>
        </w:rPr>
        <w:t>،</w:t>
      </w:r>
      <w:r w:rsidR="00777DCB" w:rsidRPr="00A52585">
        <w:rPr>
          <w:rFonts w:hint="cs"/>
          <w:rtl/>
        </w:rPr>
        <w:t xml:space="preserve"> وبهذا وغيره يعرف </w:t>
      </w:r>
      <w:r w:rsidRPr="00A52585">
        <w:rPr>
          <w:rFonts w:hint="cs"/>
          <w:rtl/>
        </w:rPr>
        <w:t>[</w:t>
      </w:r>
      <w:r w:rsidR="00777DCB" w:rsidRPr="00A52585">
        <w:rPr>
          <w:rFonts w:hint="cs"/>
          <w:rtl/>
        </w:rPr>
        <w:t>أن دعوى</w:t>
      </w:r>
      <w:r w:rsidRPr="00A52585">
        <w:rPr>
          <w:rFonts w:hint="cs"/>
          <w:rtl/>
        </w:rPr>
        <w:t>]</w:t>
      </w:r>
      <w:r w:rsidR="00777DCB" w:rsidRPr="00A52585">
        <w:rPr>
          <w:rFonts w:hint="cs"/>
          <w:rtl/>
        </w:rPr>
        <w:t xml:space="preserve"> أن الحديث يدل على منع الزيارة من كلام الجهلة العارين عن العلوم التي بها يصح الاستدلال والاستنباط وعلى سوء الفهم وبلادة الذهن وجموده وأن مثل هذا لا يحل لأحد تقليده ولا الأخذ بقوله لتحقق جهله ببعض ما قررنا. ومن لم يجعل الله له نوراً فما له من نور. ومثل هذا لا يزال يتخبط في ظلمة جهله هو وأتباعه وبالله التوفيق</w:t>
      </w:r>
      <w:r w:rsidR="00DB731D" w:rsidRPr="00A52585">
        <w:rPr>
          <w:rFonts w:hint="cs"/>
          <w:rtl/>
        </w:rPr>
        <w:t>،</w:t>
      </w:r>
      <w:r w:rsidR="00777DCB" w:rsidRPr="00A52585">
        <w:rPr>
          <w:rFonts w:hint="cs"/>
          <w:rtl/>
        </w:rPr>
        <w:t xml:space="preserve"> </w:t>
      </w:r>
    </w:p>
    <w:p w14:paraId="6A10EFD0" w14:textId="7C9948F6" w:rsidR="00777DCB" w:rsidRPr="00A52585" w:rsidRDefault="0002035C" w:rsidP="0002035C">
      <w:pPr>
        <w:spacing w:after="240"/>
        <w:rPr>
          <w:b/>
          <w:rtl/>
        </w:rPr>
      </w:pPr>
      <w:r w:rsidRPr="00A52585">
        <w:rPr>
          <w:rFonts w:hint="cs"/>
          <w:bCs/>
          <w:rtl/>
        </w:rPr>
        <w:t>[</w:t>
      </w:r>
      <w:r w:rsidR="00777DCB" w:rsidRPr="00A52585">
        <w:rPr>
          <w:rFonts w:hint="cs"/>
          <w:bCs/>
          <w:rtl/>
        </w:rPr>
        <w:t>ل- زعم ابن تيمية أن نذر إتيان المساجد الثلاثة واجب الوفاء بخلاف غيرها من المساجد والمشاهد</w:t>
      </w:r>
      <w:r w:rsidRPr="00A52585">
        <w:rPr>
          <w:rFonts w:hint="cs"/>
          <w:bCs/>
          <w:rtl/>
        </w:rPr>
        <w:t>]:</w:t>
      </w:r>
      <w:r w:rsidR="00777DCB" w:rsidRPr="00A52585">
        <w:rPr>
          <w:rFonts w:hint="cs"/>
          <w:bCs/>
          <w:rtl/>
        </w:rPr>
        <w:t xml:space="preserve"> </w:t>
      </w:r>
      <w:r w:rsidR="00777DCB" w:rsidRPr="00A52585">
        <w:rPr>
          <w:rFonts w:hint="cs"/>
          <w:rtl/>
        </w:rPr>
        <w:t xml:space="preserve">وقوله في جواب الفتوى </w:t>
      </w:r>
      <w:r w:rsidRPr="00A52585">
        <w:rPr>
          <w:rFonts w:hint="cs"/>
          <w:rtl/>
        </w:rPr>
        <w:t>(</w:t>
      </w:r>
      <w:r w:rsidR="00777DCB" w:rsidRPr="00A52585">
        <w:rPr>
          <w:rFonts w:hint="cs"/>
          <w:rtl/>
        </w:rPr>
        <w:t>ولو نذر أن يأتي مسجد النبي صلى الله عليه وسلم أو المسجد الأقصى لصلاة أو اعتكاف وجب الوفاء بهذا النذر عند مالك والشافعي وأحمد</w:t>
      </w:r>
      <w:r w:rsidR="00DB731D" w:rsidRPr="00A52585">
        <w:rPr>
          <w:rFonts w:hint="cs"/>
          <w:rtl/>
        </w:rPr>
        <w:t>،</w:t>
      </w:r>
      <w:r w:rsidR="00777DCB" w:rsidRPr="00A52585">
        <w:rPr>
          <w:rFonts w:hint="cs"/>
          <w:rtl/>
        </w:rPr>
        <w:t xml:space="preserve"> ولم يجب عند أبي حنيفة رحمهم الله لأنه لا يجب عنده بالنذر إلا ما كان من جنسه واجب بالشرع) إلى آخره</w:t>
      </w:r>
      <w:r w:rsidR="00DB731D" w:rsidRPr="00A52585">
        <w:rPr>
          <w:rFonts w:hint="cs"/>
          <w:rtl/>
        </w:rPr>
        <w:t>،</w:t>
      </w:r>
      <w:r w:rsidR="00777DCB" w:rsidRPr="00A52585">
        <w:rPr>
          <w:rFonts w:hint="cs"/>
          <w:rtl/>
        </w:rPr>
        <w:t xml:space="preserve"> فقوله</w:t>
      </w:r>
      <w:r w:rsidRPr="00A52585">
        <w:rPr>
          <w:rFonts w:hint="cs"/>
          <w:rtl/>
        </w:rPr>
        <w:t>:</w:t>
      </w:r>
      <w:r w:rsidR="00777DCB" w:rsidRPr="00A52585">
        <w:rPr>
          <w:rFonts w:hint="cs"/>
          <w:rtl/>
        </w:rPr>
        <w:t xml:space="preserve"> (وجب الوفاء عند الشافعي) يوهم أن الشافعي جازم بذلك وليس كذلك بل هو قول مرجوح عند الشافعي</w:t>
      </w:r>
      <w:r w:rsidR="00DB731D" w:rsidRPr="00A52585">
        <w:rPr>
          <w:rFonts w:hint="cs"/>
          <w:rtl/>
        </w:rPr>
        <w:t>،</w:t>
      </w:r>
      <w:r w:rsidR="00777DCB" w:rsidRPr="00A52585">
        <w:rPr>
          <w:rFonts w:hint="cs"/>
          <w:rtl/>
        </w:rPr>
        <w:t xml:space="preserve"> وعلل بأن مسجد النبي صلى الله عليه وسلم والمسجد الأقصى لا يقصدان بالنسك فأشبها سائر المساجد</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(ولو نذر أن يصلي في مسجد أو مشهد أو يعتكف فيه أو يسافر إليه غير هذه المساجد الثلاثة لم يجب ذلك باتفاق الأئمة) وهذا أيضاً ليس بصحيح وما رأيت أجرأ منه على الفجور ولا أكذب في دعوى الاتفاق والإجماع وقصده بذلك الترويج على الأغمار ولا عليه من غضب الجبار</w:t>
      </w:r>
      <w:r w:rsidR="00DB731D" w:rsidRPr="00A52585">
        <w:rPr>
          <w:rFonts w:hint="cs"/>
          <w:rtl/>
        </w:rPr>
        <w:t>،</w:t>
      </w:r>
      <w:r w:rsidR="00777DCB" w:rsidRPr="00A52585">
        <w:rPr>
          <w:rFonts w:hint="cs"/>
          <w:rtl/>
        </w:rPr>
        <w:t xml:space="preserve"> وفي كلامه مسألتان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الأولى</w:t>
      </w:r>
      <w:r w:rsidRPr="00A52585">
        <w:rPr>
          <w:rFonts w:hint="cs"/>
          <w:rtl/>
        </w:rPr>
        <w:t>):</w:t>
      </w:r>
      <w:r w:rsidR="00777DCB" w:rsidRPr="00A52585">
        <w:rPr>
          <w:rFonts w:hint="cs"/>
          <w:rtl/>
        </w:rPr>
        <w:t xml:space="preserve"> إذا نذر أن يصلى في مسجد أو مشهد أو يعتكف فيه من غير المساجد الثلاث. وقد حكى الاتفاق على أنه لا يجب عليه الوفاء بذلك وهو البهتان البّين. ففي ذلك قولان آخران أحدهما</w:t>
      </w:r>
      <w:r w:rsidRPr="00A52585">
        <w:rPr>
          <w:rFonts w:hint="cs"/>
          <w:rtl/>
        </w:rPr>
        <w:t>:</w:t>
      </w:r>
      <w:r w:rsidR="00777DCB" w:rsidRPr="00A52585">
        <w:rPr>
          <w:rFonts w:hint="cs"/>
          <w:rtl/>
        </w:rPr>
        <w:t xml:space="preserve"> </w:t>
      </w:r>
      <w:r w:rsidR="00777DCB" w:rsidRPr="00A52585">
        <w:rPr>
          <w:rFonts w:hint="cs"/>
          <w:rtl/>
        </w:rPr>
        <w:lastRenderedPageBreak/>
        <w:t>يجب الوفاء مطلقاً. والثاني</w:t>
      </w:r>
      <w:r w:rsidRPr="00A52585">
        <w:rPr>
          <w:rFonts w:hint="cs"/>
          <w:rtl/>
        </w:rPr>
        <w:t>:</w:t>
      </w:r>
      <w:r w:rsidR="00777DCB" w:rsidRPr="00A52585">
        <w:rPr>
          <w:rFonts w:hint="cs"/>
          <w:rtl/>
        </w:rPr>
        <w:t xml:space="preserve"> إن نذرها في الجامع تعين وإلا فلا</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المسألة الثانية</w:t>
      </w:r>
      <w:r w:rsidRPr="00A52585">
        <w:rPr>
          <w:rFonts w:hint="cs"/>
          <w:rtl/>
        </w:rPr>
        <w:t>):</w:t>
      </w:r>
      <w:r w:rsidR="00777DCB" w:rsidRPr="00A52585">
        <w:rPr>
          <w:rFonts w:hint="cs"/>
          <w:rtl/>
        </w:rPr>
        <w:t xml:space="preserve"> إذا نذر أن يسافر إلى غير هذه المساجد الثلاثة فإنه لا تجب عليه باتفاق الأئمة ثم أردف ذلك بقوله</w:t>
      </w:r>
      <w:r w:rsidRPr="00A52585">
        <w:rPr>
          <w:rFonts w:hint="cs"/>
          <w:rtl/>
        </w:rPr>
        <w:t>:</w:t>
      </w:r>
      <w:r w:rsidR="00777DCB" w:rsidRPr="00A52585">
        <w:rPr>
          <w:rFonts w:hint="cs"/>
          <w:rtl/>
        </w:rPr>
        <w:t xml:space="preserve"> وأما السفر إلى بقعة غير المساجد الثلاث فلم يوجب أحد من العلماء السفر إليه إذا نذره حتى نص العلماء على أنه لا يسافر إلى مسجد قباء لأنه ليس من المساجد الثلاث</w:t>
      </w:r>
      <w:r w:rsidR="00DB731D" w:rsidRPr="00A52585">
        <w:rPr>
          <w:rFonts w:hint="cs"/>
          <w:rtl/>
        </w:rPr>
        <w:t>،</w:t>
      </w:r>
      <w:r w:rsidR="00777DCB" w:rsidRPr="00A52585">
        <w:rPr>
          <w:rFonts w:hint="cs"/>
          <w:rtl/>
        </w:rPr>
        <w:t xml:space="preserve"> فانظر هذه الجرأة والفجور بقوله</w:t>
      </w:r>
      <w:r w:rsidRPr="00A52585">
        <w:rPr>
          <w:rFonts w:hint="cs"/>
          <w:rtl/>
        </w:rPr>
        <w:t>:</w:t>
      </w:r>
      <w:r w:rsidR="00777DCB" w:rsidRPr="00A52585">
        <w:rPr>
          <w:rFonts w:hint="cs"/>
          <w:rtl/>
        </w:rPr>
        <w:t xml:space="preserve"> حتى نص العلماء والمسألة فيها خلاف وقد قال الإمام محمد بن مسلمة المالكي</w:t>
      </w:r>
      <w:r w:rsidRPr="00A52585">
        <w:rPr>
          <w:rFonts w:hint="cs"/>
          <w:rtl/>
        </w:rPr>
        <w:t>:</w:t>
      </w:r>
      <w:r w:rsidR="00777DCB" w:rsidRPr="00A52585">
        <w:rPr>
          <w:rFonts w:hint="cs"/>
          <w:rtl/>
        </w:rPr>
        <w:t xml:space="preserve"> إذا قصد مسجد قباء لزمه لأن النبي صلى الله عليه وسلم كان يأتيه كل سبت راكباً وماشياً بل قال الليث بن سعد إذا نذر المشي إلى أي مسجد كان لزمه سواء في ذلك المساجد الثلاثة وغيرها</w:t>
      </w:r>
      <w:r w:rsidR="00DB731D" w:rsidRPr="00A52585">
        <w:rPr>
          <w:rFonts w:hint="cs"/>
          <w:rtl/>
        </w:rPr>
        <w:t>،</w:t>
      </w:r>
      <w:r w:rsidR="00777DCB" w:rsidRPr="00A52585">
        <w:rPr>
          <w:rFonts w:hint="cs"/>
          <w:rtl/>
        </w:rPr>
        <w:t xml:space="preserve"> وقال الإمام ابن كج من كبار أصحابنا إذا نذر أن يزور قبر النبي صلى الله عليه وسلم</w:t>
      </w:r>
      <w:r w:rsidRPr="00A52585">
        <w:rPr>
          <w:rFonts w:hint="cs"/>
          <w:rtl/>
        </w:rPr>
        <w:t xml:space="preserve"> </w:t>
      </w:r>
      <w:r w:rsidR="00777DCB" w:rsidRPr="00A52585">
        <w:rPr>
          <w:rFonts w:hint="cs"/>
          <w:rtl/>
        </w:rPr>
        <w:t>فعندي أنه يلزمه وجهاً واحد. ولو نذر المشي إلى مسجد النبي صلى الله عليه وسلم ففيه قولان</w:t>
      </w:r>
      <w:r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لا يلزمه والثاني</w:t>
      </w:r>
      <w:r w:rsidRPr="00A52585">
        <w:rPr>
          <w:rFonts w:hint="cs"/>
          <w:rtl/>
        </w:rPr>
        <w:t>:</w:t>
      </w:r>
      <w:r w:rsidR="00777DCB" w:rsidRPr="00A52585">
        <w:rPr>
          <w:rFonts w:hint="cs"/>
          <w:rtl/>
        </w:rPr>
        <w:t xml:space="preserve"> يلزمه. فعلى هذا لابد من ضم عبادة. قيل</w:t>
      </w:r>
      <w:r w:rsidRPr="00A52585">
        <w:rPr>
          <w:rFonts w:hint="cs"/>
          <w:rtl/>
        </w:rPr>
        <w:t>:</w:t>
      </w:r>
      <w:r w:rsidR="00777DCB" w:rsidRPr="00A52585">
        <w:rPr>
          <w:rFonts w:hint="cs"/>
          <w:rtl/>
        </w:rPr>
        <w:t xml:space="preserve"> يلزمه صلاة وقيل</w:t>
      </w:r>
      <w:r w:rsidRPr="00A52585">
        <w:rPr>
          <w:rFonts w:hint="cs"/>
          <w:rtl/>
        </w:rPr>
        <w:t>:</w:t>
      </w:r>
      <w:r w:rsidR="00777DCB" w:rsidRPr="00A52585">
        <w:rPr>
          <w:rFonts w:hint="cs"/>
          <w:rtl/>
        </w:rPr>
        <w:t xml:space="preserve"> اعتكاف</w:t>
      </w:r>
      <w:r w:rsidR="00DB731D" w:rsidRPr="00A52585">
        <w:rPr>
          <w:rFonts w:hint="cs"/>
          <w:rtl/>
        </w:rPr>
        <w:t>،</w:t>
      </w:r>
      <w:r w:rsidR="00777DCB" w:rsidRPr="00A52585">
        <w:rPr>
          <w:rFonts w:hint="cs"/>
          <w:rtl/>
        </w:rPr>
        <w:t xml:space="preserve"> ولو لحظة. والصحيح أنه يتخير وفي مسجد النبي صلى الله عليه وسلم يتخير بين الصلاة وبين زيارة قبر النبي صلى الله عليه وسلم</w:t>
      </w:r>
      <w:r w:rsidR="00DB731D" w:rsidRPr="00A52585">
        <w:rPr>
          <w:rFonts w:hint="cs"/>
          <w:rtl/>
        </w:rPr>
        <w:t>،</w:t>
      </w:r>
      <w:r w:rsidR="00777DCB" w:rsidRPr="00A52585">
        <w:rPr>
          <w:rFonts w:hint="cs"/>
          <w:rtl/>
        </w:rPr>
        <w:t xml:space="preserve"> فجعل زيارة قبر النبي صلى الله عليه وسلم طاعة وهي أخص من القربة وجعلها تقوم مقام الصلاة التي هي أفضل عبادات البدن والمساجد موضوعة لها بالأصالة</w:t>
      </w:r>
      <w:r w:rsidR="00DB731D" w:rsidRPr="00A52585">
        <w:rPr>
          <w:rFonts w:hint="cs"/>
          <w:rtl/>
        </w:rPr>
        <w:t>،</w:t>
      </w:r>
      <w:r w:rsidR="00777DCB" w:rsidRPr="00A52585">
        <w:rPr>
          <w:rFonts w:hint="cs"/>
          <w:rtl/>
        </w:rPr>
        <w:t xml:space="preserve"> </w:t>
      </w:r>
    </w:p>
    <w:p w14:paraId="26CCE0A5" w14:textId="3871C5AA" w:rsidR="00777DCB" w:rsidRPr="00A52585" w:rsidRDefault="0002035C" w:rsidP="0002035C">
      <w:pPr>
        <w:spacing w:after="240"/>
        <w:rPr>
          <w:b/>
          <w:sz w:val="24"/>
          <w:szCs w:val="24"/>
          <w:rtl/>
        </w:rPr>
      </w:pPr>
      <w:r w:rsidRPr="00A52585">
        <w:rPr>
          <w:rFonts w:hint="cs"/>
          <w:bCs/>
          <w:rtl/>
        </w:rPr>
        <w:t>[</w:t>
      </w:r>
      <w:r w:rsidR="00777DCB" w:rsidRPr="00A52585">
        <w:rPr>
          <w:rFonts w:hint="cs"/>
          <w:bCs/>
          <w:rtl/>
        </w:rPr>
        <w:t>م- زعمه أن السفر إلى زيارة قبور الأنبياء والصالحين بدعة لم يفعلها الصحابة ولا التابعون</w:t>
      </w:r>
      <w:r w:rsidRPr="00A52585">
        <w:rPr>
          <w:rFonts w:hint="cs"/>
          <w:bCs/>
          <w:rtl/>
        </w:rPr>
        <w:t>]</w:t>
      </w:r>
      <w:r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وقالوا وأن السفر إلى زيارة قبور الأنبياء والصالحين بدعة لم يفعلها أحد من الصحابة ولا التابعين ولا أمر بها رسول الله صلى الله عليه وسلم صلى الله عليه وسلم</w:t>
      </w:r>
      <w:r w:rsidRPr="00A52585">
        <w:rPr>
          <w:rFonts w:hint="cs"/>
          <w:rtl/>
        </w:rPr>
        <w:t xml:space="preserve"> </w:t>
      </w:r>
      <w:r w:rsidR="00777DCB" w:rsidRPr="00A52585">
        <w:rPr>
          <w:rFonts w:hint="cs"/>
          <w:rtl/>
        </w:rPr>
        <w:t>ولا استحب ذلك أحد من أئمة المسلمين فمن اعتقد ذلك عبادة وفعلها فهو مخالف للسنة ولإجماع الأمة</w:t>
      </w:r>
      <w:r w:rsidRPr="00A52585">
        <w:rPr>
          <w:rFonts w:hint="cs"/>
          <w:rtl/>
        </w:rPr>
        <w:t>)</w:t>
      </w:r>
      <w:r w:rsidR="00DB731D" w:rsidRPr="00A52585">
        <w:rPr>
          <w:rFonts w:hint="cs"/>
          <w:rtl/>
        </w:rPr>
        <w:t>،</w:t>
      </w:r>
      <w:r w:rsidR="00777DCB" w:rsidRPr="00A52585">
        <w:rPr>
          <w:rFonts w:hint="cs"/>
          <w:rtl/>
        </w:rPr>
        <w:t xml:space="preserve"> لما وقف بعض الأئمة على هذا الكلام الباطل قال</w:t>
      </w:r>
      <w:r w:rsidRPr="00A52585">
        <w:rPr>
          <w:rFonts w:hint="cs"/>
          <w:rtl/>
        </w:rPr>
        <w:t>:</w:t>
      </w:r>
      <w:r w:rsidR="00777DCB" w:rsidRPr="00A52585">
        <w:rPr>
          <w:rFonts w:hint="cs"/>
          <w:rtl/>
        </w:rPr>
        <w:t xml:space="preserve"> هذا من البهت الصريح. وصدق رضي الله عنه لما أذكره </w:t>
      </w:r>
      <w:r w:rsidR="00777DCB" w:rsidRPr="00A52585">
        <w:rPr>
          <w:rFonts w:hint="cs"/>
          <w:spacing w:val="-6"/>
          <w:rtl/>
        </w:rPr>
        <w:t>وفيه أيضاً تدليس مع الفجور</w:t>
      </w:r>
      <w:r w:rsidR="00DB731D" w:rsidRPr="00A52585">
        <w:rPr>
          <w:rFonts w:hint="cs"/>
          <w:spacing w:val="-6"/>
          <w:rtl/>
        </w:rPr>
        <w:t>،</w:t>
      </w:r>
      <w:r w:rsidR="00777DCB" w:rsidRPr="00A52585">
        <w:rPr>
          <w:rFonts w:hint="cs"/>
          <w:spacing w:val="-6"/>
          <w:rtl/>
        </w:rPr>
        <w:t xml:space="preserve"> وبيان التدليس قوله</w:t>
      </w:r>
      <w:r w:rsidRPr="00A52585">
        <w:rPr>
          <w:rFonts w:hint="cs"/>
          <w:rtl/>
        </w:rPr>
        <w:t>:</w:t>
      </w:r>
      <w:r w:rsidR="00777DCB" w:rsidRPr="00A52585">
        <w:rPr>
          <w:rFonts w:hint="cs"/>
          <w:rtl/>
        </w:rPr>
        <w:t xml:space="preserve"> قالوا فإنه يوهم أن هذا الذي قاله لم يقله من عند نفسه وإنما نقله عن أئمة </w:t>
      </w:r>
      <w:r w:rsidR="00777DCB" w:rsidRPr="00A52585">
        <w:rPr>
          <w:rFonts w:hint="cs"/>
          <w:spacing w:val="-6"/>
          <w:rtl/>
        </w:rPr>
        <w:t xml:space="preserve">المسلمين وأنه مجمع عليه. وهذا شأنه يدلس في </w:t>
      </w:r>
      <w:proofErr w:type="spellStart"/>
      <w:r w:rsidR="00777DCB" w:rsidRPr="00A52585">
        <w:rPr>
          <w:rFonts w:hint="cs"/>
          <w:spacing w:val="-6"/>
          <w:rtl/>
        </w:rPr>
        <w:t>الإعزاء</w:t>
      </w:r>
      <w:proofErr w:type="spellEnd"/>
      <w:r w:rsidR="00DB731D" w:rsidRPr="00A52585">
        <w:rPr>
          <w:rFonts w:hint="cs"/>
          <w:spacing w:val="-6"/>
          <w:rtl/>
        </w:rPr>
        <w:t>،</w:t>
      </w:r>
      <w:r w:rsidR="00777DCB" w:rsidRPr="00A52585">
        <w:rPr>
          <w:rFonts w:hint="cs"/>
          <w:spacing w:val="-6"/>
          <w:rtl/>
        </w:rPr>
        <w:t xml:space="preserve"> ليحمل الناس على عقيدته الفاسدة المفسدة لأنه لو عزاه إلى نفسه لما انتظم له ذلك لعلم الحذاق النقاد بسوء فهمه وكثرة خلطه مما عرفوه منه في بحثه وتدوينه إذا انفرد</w:t>
      </w:r>
      <w:r w:rsidR="00DB731D" w:rsidRPr="00A52585">
        <w:rPr>
          <w:rFonts w:hint="cs"/>
          <w:spacing w:val="-6"/>
          <w:rtl/>
        </w:rPr>
        <w:t>،</w:t>
      </w:r>
      <w:r w:rsidR="00777DCB" w:rsidRPr="00A52585">
        <w:rPr>
          <w:rFonts w:hint="cs"/>
          <w:spacing w:val="-6"/>
          <w:rtl/>
        </w:rPr>
        <w:t xml:space="preserve"> </w:t>
      </w:r>
      <w:r w:rsidR="00777DCB" w:rsidRPr="00A52585">
        <w:rPr>
          <w:rFonts w:hint="cs"/>
          <w:rtl/>
        </w:rPr>
        <w:t>فقوله (لأن السفر إلى قبور الأنبياء) يشمل قبر الخليل والكليم وقبر النبي صلى الله عليه وسلم وغيرهم</w:t>
      </w:r>
      <w:r w:rsidR="00DB731D" w:rsidRPr="00A52585">
        <w:rPr>
          <w:rFonts w:hint="cs"/>
          <w:rtl/>
        </w:rPr>
        <w:t>،</w:t>
      </w:r>
      <w:r w:rsidR="00777DCB" w:rsidRPr="00A52585">
        <w:rPr>
          <w:rFonts w:hint="cs"/>
          <w:rtl/>
        </w:rPr>
        <w:t xml:space="preserve"> وقوله (والصالحين) يشمل قبور الصحابة رضي الله عنهم وغيرهم. وهو مُطالب </w:t>
      </w:r>
      <w:proofErr w:type="spellStart"/>
      <w:r w:rsidR="00777DCB" w:rsidRPr="00A52585">
        <w:rPr>
          <w:rFonts w:hint="cs"/>
          <w:rtl/>
        </w:rPr>
        <w:t>بإعزاءه</w:t>
      </w:r>
      <w:proofErr w:type="spellEnd"/>
      <w:r w:rsidR="00777DCB" w:rsidRPr="00A52585">
        <w:rPr>
          <w:rFonts w:hint="cs"/>
          <w:rtl/>
        </w:rPr>
        <w:t xml:space="preserve"> إلى أئمة المسلمين وأنه مجمع عليه وهو لا يجد إلى ذلك سبيلاً بل المنقول خلاف ذلك كما تراه</w:t>
      </w:r>
      <w:r w:rsidR="00DB731D" w:rsidRPr="00A52585">
        <w:rPr>
          <w:rFonts w:hint="cs"/>
          <w:rtl/>
        </w:rPr>
        <w:t>،</w:t>
      </w:r>
      <w:r w:rsidR="00777DCB" w:rsidRPr="00A52585">
        <w:rPr>
          <w:rFonts w:hint="cs"/>
          <w:rtl/>
        </w:rPr>
        <w:t xml:space="preserve"> وقوله (إن السفر إلى قبور الأنبياء والصالحين بدعة لم يفعلها أحد من </w:t>
      </w:r>
      <w:r w:rsidR="00777DCB" w:rsidRPr="00A52585">
        <w:rPr>
          <w:rFonts w:hint="cs"/>
          <w:spacing w:val="-6"/>
          <w:rtl/>
        </w:rPr>
        <w:t xml:space="preserve">الصحابة ولا التابعين) هذا من الفجور </w:t>
      </w:r>
      <w:r w:rsidR="00777DCB" w:rsidRPr="00A52585">
        <w:rPr>
          <w:rFonts w:hint="cs"/>
          <w:spacing w:val="-6"/>
          <w:rtl/>
        </w:rPr>
        <w:lastRenderedPageBreak/>
        <w:t>والإفك المبين. ولم تزل الناس</w:t>
      </w:r>
      <w:r w:rsidR="00777DCB" w:rsidRPr="00A52585">
        <w:rPr>
          <w:rFonts w:hint="cs"/>
          <w:rtl/>
        </w:rPr>
        <w:t xml:space="preserve"> على زيارة قبر الخليل والكليم وغيرهما في سائر </w:t>
      </w:r>
      <w:proofErr w:type="spellStart"/>
      <w:r w:rsidR="00777DCB" w:rsidRPr="00A52585">
        <w:rPr>
          <w:rFonts w:hint="cs"/>
          <w:rtl/>
        </w:rPr>
        <w:t>الأعصار</w:t>
      </w:r>
      <w:proofErr w:type="spellEnd"/>
      <w:r w:rsidR="00777DCB" w:rsidRPr="00A52585">
        <w:rPr>
          <w:rFonts w:hint="cs"/>
          <w:rtl/>
        </w:rPr>
        <w:t xml:space="preserve"> من جميع الامصار</w:t>
      </w:r>
      <w:r w:rsidR="00DB731D" w:rsidRPr="00A52585">
        <w:rPr>
          <w:rFonts w:hint="cs"/>
          <w:rtl/>
        </w:rPr>
        <w:t>،</w:t>
      </w:r>
      <w:r w:rsidR="00777DCB" w:rsidRPr="00A52585">
        <w:rPr>
          <w:rFonts w:hint="cs"/>
          <w:rtl/>
        </w:rPr>
        <w:t xml:space="preserve"> وهذا بلال مؤذن رسول الله صلى الله عليه وسلم سافر من الشام إلى المدينة الشريفة لزيارة قبر رسول الله صلى الله عليه وسلم وممن ذكر ذلك الحافظ ابن عساكر والحافظ عبد الغني المقدسي في كتابه الإكمال في ترجمة بلال رضي الله عنه وقال فيه ولم يؤذن لأحد بعد النبي صلى الله عليه وسلم فيما يُروى إلا مرة واحدة في قدمة قدمها إلى المدينة لزيارة قبر النبي صلى الله عليه وسلم طلب إليه الصحابة رضي الله عنهم ذلك فأذن لهم ولم يتم الأذان</w:t>
      </w:r>
      <w:r w:rsidR="00DB731D" w:rsidRPr="00A52585">
        <w:rPr>
          <w:rFonts w:hint="cs"/>
          <w:rtl/>
        </w:rPr>
        <w:t>،</w:t>
      </w:r>
      <w:r w:rsidR="00777DCB" w:rsidRPr="00A52585">
        <w:rPr>
          <w:rFonts w:hint="cs"/>
          <w:rtl/>
        </w:rPr>
        <w:t xml:space="preserve"> وقيل أنه أذن لأبي بكر رضي الله عنه</w:t>
      </w:r>
      <w:r w:rsidRPr="00A52585">
        <w:rPr>
          <w:rFonts w:hint="cs"/>
          <w:rtl/>
        </w:rPr>
        <w:t xml:space="preserve"> </w:t>
      </w:r>
      <w:r w:rsidR="00777DCB" w:rsidRPr="00A52585">
        <w:rPr>
          <w:rFonts w:hint="cs"/>
          <w:rtl/>
        </w:rPr>
        <w:t xml:space="preserve">في خلافته انتهى وممن ذكر ذلك أيضاً إمام الأئمة في الحديث أبو الحجاج الشهير </w:t>
      </w:r>
      <w:proofErr w:type="spellStart"/>
      <w:r w:rsidR="00777DCB" w:rsidRPr="00A52585">
        <w:rPr>
          <w:rFonts w:hint="cs"/>
          <w:rtl/>
        </w:rPr>
        <w:t>بالمزي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الإمام الحافظ محدث الشام جمال الدين أبو الحجاج يوسف بن الزكي عبدالرحمن بن يوسف القضاعيّ ثم الكلبي الشافعي ولد بحلب سنة 654هـ ونشأ بالمزّة وتفقه قليلا ثم أقبل على الحديث وعلومه ونظر في اللغة ومهر فيها أما معرفة الرجال فهو حامل لوائها والقائم بأعبائها لم تر العيون مثله صنف (تهذيب الكمال) و(الأطراف)، أوضح مشكلات ومعضلات ما سبق إليها في علم الحديث ورجاله توفى سنة 742هـ وقصة سفر بلال التي أشار إليها الإمام </w:t>
      </w:r>
      <w:proofErr w:type="spellStart"/>
      <w:r w:rsidR="00777DCB" w:rsidRPr="00A52585">
        <w:rPr>
          <w:rFonts w:hint="cs"/>
          <w:sz w:val="24"/>
          <w:szCs w:val="24"/>
          <w:rtl/>
        </w:rPr>
        <w:t>الحصني</w:t>
      </w:r>
      <w:proofErr w:type="spellEnd"/>
      <w:r w:rsidR="00777DCB" w:rsidRPr="00A52585">
        <w:rPr>
          <w:rFonts w:hint="cs"/>
          <w:sz w:val="24"/>
          <w:szCs w:val="24"/>
          <w:rtl/>
        </w:rPr>
        <w:t xml:space="preserve"> ذكرها المزي في ترجمة بلال في كتابه (تهذيب الكمال)</w:t>
      </w:r>
      <w:r w:rsidRPr="00A52585">
        <w:rPr>
          <w:rFonts w:hint="cs"/>
          <w:sz w:val="24"/>
          <w:szCs w:val="24"/>
          <w:rtl/>
        </w:rPr>
        <w:t>]</w:t>
      </w:r>
      <w:r w:rsidR="00DB731D" w:rsidRPr="00A52585">
        <w:rPr>
          <w:rFonts w:hint="cs"/>
          <w:sz w:val="24"/>
          <w:rtl/>
        </w:rPr>
        <w:t>،</w:t>
      </w:r>
      <w:r w:rsidR="00777DCB" w:rsidRPr="00A52585">
        <w:rPr>
          <w:rFonts w:hint="cs"/>
          <w:rtl/>
        </w:rPr>
        <w:t xml:space="preserve"> وسبب سفر بلال رضي الله عنه لزيارة قبره عليه الصلاة والسلام أنه رأى النبي صلى الله عليه وسلم في المنام فقال له ما هذه الجفوة يا بلال أما آن لك أن تزورني يا بلال فانتبه من نومه حزيناً وجلاً خائفاً فقعد على راحلته من حينه وقصد المدينة فأتى قبره عليه الصلاة والسلام فجعل يبكي عنده ويمرغ وجهه عليه فأقبل الحسن والحسين رضي الله عنهما إليه فجعل يضمهما ويقبلهما ثم قالا له</w:t>
      </w:r>
      <w:r w:rsidRPr="00A52585">
        <w:rPr>
          <w:rFonts w:hint="cs"/>
          <w:rtl/>
        </w:rPr>
        <w:t>:</w:t>
      </w:r>
      <w:r w:rsidR="00777DCB" w:rsidRPr="00A52585">
        <w:rPr>
          <w:rFonts w:hint="cs"/>
          <w:rtl/>
        </w:rPr>
        <w:t xml:space="preserve"> يا بلال نشتهي أن نسمع أذانك الذي كنت تؤذن لرسول</w:t>
      </w:r>
      <w:r w:rsidR="00777DCB" w:rsidRPr="00A52585">
        <w:rPr>
          <w:rFonts w:hint="cs"/>
          <w:vertAlign w:val="superscript"/>
          <w:rtl/>
        </w:rPr>
        <w:t xml:space="preserve"> </w:t>
      </w:r>
      <w:r w:rsidR="00777DCB" w:rsidRPr="00A52585">
        <w:rPr>
          <w:rFonts w:hint="cs"/>
          <w:rtl/>
        </w:rPr>
        <w:t>الله صلى الله عليه وسلم في المسجد فعلا سطح المسجد ووقف موقفه الذي كان يقفه</w:t>
      </w:r>
      <w:r w:rsidR="00DB731D" w:rsidRPr="00A52585">
        <w:rPr>
          <w:rFonts w:hint="cs"/>
          <w:rtl/>
        </w:rPr>
        <w:t>،</w:t>
      </w:r>
      <w:r w:rsidR="00777DCB" w:rsidRPr="00A52585">
        <w:rPr>
          <w:rFonts w:hint="cs"/>
          <w:rtl/>
        </w:rPr>
        <w:t xml:space="preserve"> فلما أن قال</w:t>
      </w:r>
      <w:r w:rsidRPr="00A52585">
        <w:rPr>
          <w:rFonts w:hint="cs"/>
          <w:rtl/>
        </w:rPr>
        <w:t>:</w:t>
      </w:r>
      <w:r w:rsidR="00777DCB" w:rsidRPr="00A52585">
        <w:rPr>
          <w:rFonts w:hint="cs"/>
          <w:rtl/>
        </w:rPr>
        <w:t xml:space="preserve"> الله أكبر ارتجت المدينة. فلما قال</w:t>
      </w:r>
      <w:r w:rsidRPr="00A52585">
        <w:rPr>
          <w:rFonts w:hint="cs"/>
          <w:rtl/>
        </w:rPr>
        <w:t>:</w:t>
      </w:r>
      <w:r w:rsidR="00777DCB" w:rsidRPr="00A52585">
        <w:rPr>
          <w:rFonts w:hint="cs"/>
          <w:rtl/>
        </w:rPr>
        <w:t xml:space="preserve"> أشهد أن لا إله إلا الله ازدادت رجتها</w:t>
      </w:r>
      <w:r w:rsidR="00DB731D" w:rsidRPr="00A52585">
        <w:rPr>
          <w:rFonts w:hint="cs"/>
          <w:rtl/>
        </w:rPr>
        <w:t>،</w:t>
      </w:r>
      <w:r w:rsidR="00777DCB" w:rsidRPr="00A52585">
        <w:rPr>
          <w:rFonts w:hint="cs"/>
          <w:rtl/>
        </w:rPr>
        <w:t xml:space="preserve"> فلما أن قال</w:t>
      </w:r>
      <w:r w:rsidRPr="00A52585">
        <w:rPr>
          <w:rFonts w:hint="cs"/>
          <w:rtl/>
        </w:rPr>
        <w:t>:</w:t>
      </w:r>
      <w:r w:rsidR="00777DCB" w:rsidRPr="00A52585">
        <w:rPr>
          <w:rFonts w:hint="cs"/>
          <w:rtl/>
        </w:rPr>
        <w:t xml:space="preserve"> أشهد أن محمد</w:t>
      </w:r>
      <w:r w:rsidRPr="00A52585">
        <w:rPr>
          <w:rFonts w:hint="cs"/>
          <w:rtl/>
        </w:rPr>
        <w:t xml:space="preserve"> </w:t>
      </w:r>
      <w:r w:rsidR="00777DCB" w:rsidRPr="00A52585">
        <w:rPr>
          <w:rFonts w:hint="cs"/>
          <w:rtl/>
        </w:rPr>
        <w:t>رسول الله خرجت العواتق من خدورهن</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أبعث رسول الله صلى الله عليه وسلم فما رؤي يوماً أكثر باكياً ولا باكية بالمدينة بعد رسول الله صلى الله عليه وسلم من ذلك اليوم</w:t>
      </w:r>
      <w:r w:rsidR="00DB731D" w:rsidRPr="00A52585">
        <w:rPr>
          <w:rFonts w:hint="cs"/>
          <w:rtl/>
        </w:rPr>
        <w:t>،</w:t>
      </w:r>
      <w:r w:rsidR="00777DCB" w:rsidRPr="00A52585">
        <w:rPr>
          <w:rFonts w:hint="cs"/>
          <w:rtl/>
        </w:rPr>
        <w:t xml:space="preserve"> فهذا بلال من سادات الصحابة رضي الله عنه قد شد رحاله من الشام وسافر لزيارة قبره عليه الصلاة والسلام فقط</w:t>
      </w:r>
      <w:r w:rsidR="00DB731D" w:rsidRPr="00A52585">
        <w:rPr>
          <w:rFonts w:hint="cs"/>
          <w:rtl/>
        </w:rPr>
        <w:t>،</w:t>
      </w:r>
      <w:r w:rsidR="00777DCB" w:rsidRPr="00A52585">
        <w:rPr>
          <w:rFonts w:hint="cs"/>
          <w:vertAlign w:val="superscript"/>
          <w:rtl/>
        </w:rPr>
        <w:t xml:space="preserve"> </w:t>
      </w:r>
      <w:r w:rsidR="00777DCB" w:rsidRPr="00A52585">
        <w:rPr>
          <w:rFonts w:hint="cs"/>
          <w:rtl/>
        </w:rPr>
        <w:t>وأعلم بذلك الحسن والحسين</w:t>
      </w:r>
      <w:r w:rsidR="00DB731D" w:rsidRPr="00A52585">
        <w:rPr>
          <w:rFonts w:hint="cs"/>
          <w:rtl/>
        </w:rPr>
        <w:t>،</w:t>
      </w:r>
      <w:r w:rsidR="00777DCB" w:rsidRPr="00A52585">
        <w:rPr>
          <w:rFonts w:hint="cs"/>
          <w:rtl/>
        </w:rPr>
        <w:t xml:space="preserve"> وطار بذلك الخبر في المدينة</w:t>
      </w:r>
      <w:r w:rsidR="00DB731D" w:rsidRPr="00A52585">
        <w:rPr>
          <w:rFonts w:hint="cs"/>
          <w:rtl/>
        </w:rPr>
        <w:t>،</w:t>
      </w:r>
      <w:r w:rsidR="00777DCB" w:rsidRPr="00A52585">
        <w:rPr>
          <w:rFonts w:hint="cs"/>
          <w:rtl/>
        </w:rPr>
        <w:t xml:space="preserve"> وكان في خلافة عمر بن الخطاب رضي الله عنه ولم ينكر عليه ولا أحد من الصحابة رضي الله عنهم ولو كان السفر لزيارة قبره مخالفاً للسنة ولإجماع الأمة لأنكروا عليه لأنهم ينكرون أدنى شيء من المخالفات ولا سيما عمر رضي الله عنه وهو أمير المؤمنين وأشد الناس في الإنكار وأبطشهم يداً وأحدهم لسانا ووقَّافاً مع الحق ولا يأخذه في الله لومة لائم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العلامة إبراهيم السمنودي المنصوري في كتابه (سعادة </w:t>
      </w:r>
      <w:proofErr w:type="spellStart"/>
      <w:r w:rsidR="00777DCB" w:rsidRPr="00A52585">
        <w:rPr>
          <w:rFonts w:hint="cs"/>
          <w:sz w:val="24"/>
          <w:szCs w:val="24"/>
          <w:rtl/>
        </w:rPr>
        <w:t>الدراين</w:t>
      </w:r>
      <w:proofErr w:type="spellEnd"/>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 وقد جاء بسند جيد </w:t>
      </w:r>
      <w:r w:rsidR="00777DCB" w:rsidRPr="00A52585">
        <w:rPr>
          <w:rFonts w:hint="cs"/>
          <w:sz w:val="24"/>
          <w:szCs w:val="24"/>
          <w:rtl/>
        </w:rPr>
        <w:lastRenderedPageBreak/>
        <w:t xml:space="preserve">عند ابن عساكر وغيره كما في المواهب وخلاصة الوفاء وغيرهما أن بلال بن رباح رضي الله تعالى عنه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وذكر القصة بتمامها ثم علق في الهامش على سند القصة فقال</w:t>
      </w:r>
      <w:r w:rsidRPr="00A52585">
        <w:rPr>
          <w:rFonts w:hint="cs"/>
          <w:sz w:val="24"/>
          <w:szCs w:val="24"/>
          <w:rtl/>
        </w:rPr>
        <w:t xml:space="preserve">: </w:t>
      </w:r>
      <w:r w:rsidR="00777DCB" w:rsidRPr="00A52585">
        <w:rPr>
          <w:rFonts w:hint="cs"/>
          <w:sz w:val="24"/>
          <w:szCs w:val="24"/>
          <w:rtl/>
        </w:rPr>
        <w:t xml:space="preserve">"تبعت في ذكر هذه القصة العلامة ابن حجر المكي حيث ذكرها في كتابه (الجوهر المنظم) تبعا للأئمة المذكورين وإن قال ملا </w:t>
      </w:r>
      <w:proofErr w:type="spellStart"/>
      <w:r w:rsidR="00777DCB" w:rsidRPr="00A52585">
        <w:rPr>
          <w:rFonts w:hint="cs"/>
          <w:sz w:val="24"/>
          <w:szCs w:val="24"/>
          <w:rtl/>
        </w:rPr>
        <w:t>قارى</w:t>
      </w:r>
      <w:proofErr w:type="spellEnd"/>
      <w:r w:rsidR="00777DCB" w:rsidRPr="00A52585">
        <w:rPr>
          <w:rFonts w:hint="cs"/>
          <w:sz w:val="24"/>
          <w:szCs w:val="24"/>
          <w:rtl/>
        </w:rPr>
        <w:t xml:space="preserve"> في تذكرة موضوعاته ما نصه</w:t>
      </w:r>
      <w:r w:rsidRPr="00A52585">
        <w:rPr>
          <w:rFonts w:hint="cs"/>
          <w:sz w:val="24"/>
          <w:szCs w:val="24"/>
          <w:rtl/>
        </w:rPr>
        <w:t>:</w:t>
      </w:r>
      <w:r w:rsidR="00777DCB" w:rsidRPr="00A52585">
        <w:rPr>
          <w:rFonts w:hint="cs"/>
          <w:sz w:val="24"/>
          <w:szCs w:val="24"/>
          <w:rtl/>
        </w:rPr>
        <w:t xml:space="preserve"> (وفي الذيل</w:t>
      </w:r>
      <w:r w:rsidRPr="00A52585">
        <w:rPr>
          <w:rFonts w:hint="cs"/>
          <w:sz w:val="24"/>
          <w:szCs w:val="24"/>
          <w:rtl/>
        </w:rPr>
        <w:t>:</w:t>
      </w:r>
      <w:r w:rsidR="00777DCB" w:rsidRPr="00A52585">
        <w:rPr>
          <w:rFonts w:hint="cs"/>
          <w:sz w:val="24"/>
          <w:szCs w:val="24"/>
          <w:rtl/>
        </w:rPr>
        <w:t xml:space="preserve"> أن قصة رحيل بلال ثم رجوعه إلى المدينة بعد رؤيته عليه الصلاة والسلام في المنام وأذانه بها وارتجاج أهل المدينة لا أصل له وهي بينة الوضع أهـ وكأن ابن حجر المكي ما اطلع عليه وذكره في كتابه الموضوع للزيارة) أهـ كلام الملا كتبه مؤلفه ثم رأيت في السعي المشكور لعبد الحي اللكنوي الهندي أن الذي أوقع ابن الجوزي في الحكم بوضع الحديث المذكور استناده في غالبه بضعف راويه الذي يرمي بالكذب مثلا غافلاً عن مجيئه من وجه آخر وربما يكون اعتماده في التفرد قول غيره ممن يكون كلامه فيه محمولا على النسبي ثم أطال في الرد على الحكم بوضعه وأيد أن سنده جيد فراجعه إن شئت ولا تقلد القارئ في تحامله وتعصبه على شيخه الإمام ابن حجر المكي أهـ لمؤلفه "</w:t>
      </w:r>
      <w:r w:rsidRPr="00A52585">
        <w:rPr>
          <w:rFonts w:hint="cs"/>
          <w:sz w:val="24"/>
          <w:szCs w:val="24"/>
          <w:rtl/>
        </w:rPr>
        <w:t xml:space="preserve"> </w:t>
      </w:r>
      <w:r w:rsidR="00777DCB" w:rsidRPr="00A52585">
        <w:rPr>
          <w:rFonts w:hint="cs"/>
          <w:sz w:val="24"/>
          <w:szCs w:val="24"/>
          <w:rtl/>
        </w:rPr>
        <w:t>أهـ ج1 ص 99</w:t>
      </w:r>
      <w:r w:rsidR="00DB731D" w:rsidRPr="00A52585">
        <w:rPr>
          <w:rFonts w:hint="cs"/>
          <w:sz w:val="24"/>
          <w:szCs w:val="24"/>
          <w:rtl/>
        </w:rPr>
        <w:t>،</w:t>
      </w:r>
      <w:r w:rsidR="00777DCB" w:rsidRPr="00A52585">
        <w:rPr>
          <w:rFonts w:hint="cs"/>
          <w:sz w:val="24"/>
          <w:szCs w:val="24"/>
          <w:rtl/>
        </w:rPr>
        <w:t xml:space="preserve"> وذكر أيضاً هذه</w:t>
      </w:r>
      <w:r w:rsidRPr="00A52585">
        <w:rPr>
          <w:rFonts w:hint="cs"/>
          <w:sz w:val="24"/>
          <w:szCs w:val="24"/>
          <w:rtl/>
        </w:rPr>
        <w:t xml:space="preserve"> </w:t>
      </w:r>
      <w:r w:rsidR="00777DCB" w:rsidRPr="00A52585">
        <w:rPr>
          <w:rFonts w:hint="cs"/>
          <w:sz w:val="24"/>
          <w:szCs w:val="24"/>
          <w:rtl/>
        </w:rPr>
        <w:t>القصة الإمام السبكي في (شفاء السقام) قال</w:t>
      </w:r>
      <w:r w:rsidRPr="00A52585">
        <w:rPr>
          <w:rFonts w:hint="cs"/>
          <w:sz w:val="24"/>
          <w:szCs w:val="24"/>
          <w:rtl/>
        </w:rPr>
        <w:t xml:space="preserve">: </w:t>
      </w:r>
      <w:r w:rsidR="00777DCB" w:rsidRPr="00A52585">
        <w:rPr>
          <w:rFonts w:hint="cs"/>
          <w:sz w:val="24"/>
          <w:szCs w:val="24"/>
          <w:rtl/>
        </w:rPr>
        <w:t>" روينا ذلك بإسناد جيد إليه، وهو نص في الباب "</w:t>
      </w:r>
      <w:r w:rsidRPr="00A52585">
        <w:rPr>
          <w:rFonts w:hint="cs"/>
          <w:sz w:val="24"/>
          <w:szCs w:val="24"/>
          <w:rtl/>
        </w:rPr>
        <w:t xml:space="preserve"> </w:t>
      </w:r>
      <w:r w:rsidR="00777DCB" w:rsidRPr="00A52585">
        <w:rPr>
          <w:rFonts w:hint="cs"/>
          <w:sz w:val="24"/>
          <w:szCs w:val="24"/>
          <w:rtl/>
        </w:rPr>
        <w:t xml:space="preserve">ونقل ذلك عن الحافظ أبي القاسم بن عساكر في (تاريخ دمشق) عند ترجمة بلال بن رباح وعند ترجمة </w:t>
      </w:r>
      <w:r w:rsidR="00777DCB" w:rsidRPr="00A52585">
        <w:rPr>
          <w:rFonts w:hint="cs"/>
          <w:spacing w:val="-4"/>
          <w:sz w:val="24"/>
          <w:szCs w:val="24"/>
          <w:rtl/>
        </w:rPr>
        <w:t>إبراهيم بن محمد بن سليمان بن بلال</w:t>
      </w:r>
      <w:r w:rsidR="00777DCB" w:rsidRPr="00A52585">
        <w:rPr>
          <w:rFonts w:hint="cs"/>
          <w:sz w:val="24"/>
          <w:szCs w:val="24"/>
          <w:rtl/>
        </w:rPr>
        <w:t xml:space="preserve"> بن أبي الدرداء أبو إسحاق بسند آخر وقال أيضاً عن هذا الخبر</w:t>
      </w:r>
      <w:r w:rsidRPr="00A52585">
        <w:rPr>
          <w:rFonts w:hint="cs"/>
          <w:sz w:val="24"/>
          <w:szCs w:val="24"/>
          <w:rtl/>
        </w:rPr>
        <w:t xml:space="preserve">: </w:t>
      </w:r>
      <w:r w:rsidR="00777DCB" w:rsidRPr="00A52585">
        <w:rPr>
          <w:rFonts w:hint="cs"/>
          <w:sz w:val="24"/>
          <w:szCs w:val="24"/>
          <w:rtl/>
        </w:rPr>
        <w:t>"وذكره الحافظ أبو محمد عبد الغني المقدسي رحمه الله في (الكمال) في ترجمة بلال فقال</w:t>
      </w:r>
      <w:r w:rsidRPr="00A52585">
        <w:rPr>
          <w:rFonts w:hint="cs"/>
          <w:sz w:val="24"/>
          <w:szCs w:val="24"/>
          <w:rtl/>
        </w:rPr>
        <w:t>:</w:t>
      </w:r>
      <w:r w:rsidR="00777DCB" w:rsidRPr="00A52585">
        <w:rPr>
          <w:rFonts w:hint="cs"/>
          <w:sz w:val="24"/>
          <w:szCs w:val="24"/>
          <w:rtl/>
        </w:rPr>
        <w:t xml:space="preserve"> (ولم يؤذن لأحد بعد النبي صلى الله عليه وسلم فيما روى إلا مرة واحدة في قدمة</w:t>
      </w:r>
      <w:r w:rsidRPr="00A52585">
        <w:rPr>
          <w:rFonts w:hint="cs"/>
          <w:sz w:val="24"/>
          <w:szCs w:val="24"/>
          <w:rtl/>
        </w:rPr>
        <w:t xml:space="preserve"> </w:t>
      </w:r>
      <w:r w:rsidR="00777DCB" w:rsidRPr="00A52585">
        <w:rPr>
          <w:rFonts w:hint="cs"/>
          <w:sz w:val="24"/>
          <w:szCs w:val="24"/>
          <w:rtl/>
        </w:rPr>
        <w:t>قدمها المدينة لزيارة قبر النبي صلى الله عليه وسلم وطلب إليه الصحابة ذلك فأذن ولم يتم الأذان وقيل أنه أذن لأبي بكر الصديق رضي الله عنه في خلافته) وممن ذكر ذلك أيضاً الحافظ أبو الحجاج المزي أبقاه الله "</w:t>
      </w:r>
      <w:r w:rsidRPr="00A52585">
        <w:rPr>
          <w:rFonts w:hint="cs"/>
          <w:sz w:val="24"/>
          <w:szCs w:val="24"/>
          <w:rtl/>
        </w:rPr>
        <w:t xml:space="preserve"> </w:t>
      </w:r>
      <w:r w:rsidR="00777DCB" w:rsidRPr="00A52585">
        <w:rPr>
          <w:rFonts w:hint="cs"/>
          <w:sz w:val="24"/>
          <w:szCs w:val="24"/>
          <w:rtl/>
        </w:rPr>
        <w:t>أهـ ص45 ثم قال أيضاً عن هذا الحديث</w:t>
      </w:r>
      <w:r w:rsidRPr="00A52585">
        <w:rPr>
          <w:rFonts w:hint="cs"/>
          <w:sz w:val="24"/>
          <w:szCs w:val="24"/>
          <w:rtl/>
        </w:rPr>
        <w:t xml:space="preserve">: </w:t>
      </w:r>
      <w:r w:rsidR="00777DCB" w:rsidRPr="00A52585">
        <w:rPr>
          <w:rFonts w:hint="cs"/>
          <w:sz w:val="24"/>
          <w:szCs w:val="24"/>
          <w:rtl/>
        </w:rPr>
        <w:t>"وليس اعتمادنا في الاستدلال بهذا الحديث على رؤيا المنام فقط بل على فعل بلال وهو صحابي لا سيما في خلافة عمر رضي الله عنه والصحابة متوافرون ولا يخفى عنهم هذه القصة ومنام بلال ورؤياه للنبي صلى الله عليه وسلم الذي لا يتمثل به الشيطان وليس فيه ما يخالف ما ثبت في اليقظة فيتأكد به فعل الصحابي "</w:t>
      </w:r>
      <w:r w:rsidRPr="00A52585">
        <w:rPr>
          <w:rFonts w:hint="cs"/>
          <w:sz w:val="24"/>
          <w:szCs w:val="24"/>
          <w:rtl/>
        </w:rPr>
        <w:t xml:space="preserve"> </w:t>
      </w:r>
      <w:r w:rsidR="00777DCB" w:rsidRPr="00A52585">
        <w:rPr>
          <w:rFonts w:hint="cs"/>
          <w:sz w:val="24"/>
          <w:szCs w:val="24"/>
          <w:rtl/>
        </w:rPr>
        <w:t>أهـ ص 46</w:t>
      </w:r>
      <w:r w:rsidRPr="00A52585">
        <w:rPr>
          <w:rFonts w:hint="cs"/>
          <w:sz w:val="24"/>
          <w:szCs w:val="24"/>
          <w:rtl/>
        </w:rPr>
        <w:t>]</w:t>
      </w:r>
      <w:r w:rsidR="00DB731D" w:rsidRPr="00A52585">
        <w:rPr>
          <w:rFonts w:hint="cs"/>
          <w:sz w:val="24"/>
          <w:rtl/>
        </w:rPr>
        <w:t>،</w:t>
      </w:r>
      <w:r w:rsidR="00777DCB" w:rsidRPr="00A52585">
        <w:rPr>
          <w:rFonts w:hint="cs"/>
          <w:spacing w:val="-6"/>
          <w:rtl/>
        </w:rPr>
        <w:t xml:space="preserve"> وأيضاً فمن الشائع الذائع أن عمر بن</w:t>
      </w:r>
      <w:r w:rsidR="00777DCB" w:rsidRPr="00A52585">
        <w:rPr>
          <w:rFonts w:hint="cs"/>
          <w:rtl/>
        </w:rPr>
        <w:t xml:space="preserve"> عبد العزيز رضي الله عنه كان يبرد البريد من الشام لأجل السلام على رسول الله صلى الله عليه وسلم فقط ذكر هذا غير واحدٍ </w:t>
      </w:r>
      <w:r w:rsidR="00777DCB" w:rsidRPr="00A52585">
        <w:rPr>
          <w:rFonts w:hint="cs"/>
          <w:spacing w:val="-6"/>
          <w:rtl/>
        </w:rPr>
        <w:t>منهم القاضي عياض في أشهر كتبه وهو الشفاء وذكره الإمام هبة الله في كتابه توثيق</w:t>
      </w:r>
      <w:r w:rsidR="00777DCB" w:rsidRPr="00A52585">
        <w:rPr>
          <w:rFonts w:hint="cs"/>
          <w:rtl/>
        </w:rPr>
        <w:t xml:space="preserve"> عرى الإيمان. وذكره الإمام العلامة بن الجوزي في كتابه (مثير العزم </w:t>
      </w:r>
      <w:r w:rsidR="00777DCB" w:rsidRPr="00A52585">
        <w:rPr>
          <w:rFonts w:hint="cs"/>
          <w:spacing w:val="-6"/>
          <w:rtl/>
        </w:rPr>
        <w:t>الساكن إلى أشرف الأماكن</w:t>
      </w:r>
      <w:r w:rsidRPr="00A52585">
        <w:rPr>
          <w:rFonts w:hint="cs"/>
          <w:spacing w:val="-12"/>
          <w:rtl/>
        </w:rPr>
        <w:t>)</w:t>
      </w:r>
      <w:r w:rsidR="00DB731D" w:rsidRPr="00A52585">
        <w:rPr>
          <w:rFonts w:hint="cs"/>
          <w:spacing w:val="-12"/>
          <w:rtl/>
        </w:rPr>
        <w:t>،</w:t>
      </w:r>
      <w:r w:rsidR="00777DCB" w:rsidRPr="00A52585">
        <w:rPr>
          <w:rFonts w:hint="cs"/>
          <w:spacing w:val="-12"/>
          <w:rtl/>
        </w:rPr>
        <w:t xml:space="preserve"> </w:t>
      </w:r>
      <w:r w:rsidR="00777DCB" w:rsidRPr="00A52585">
        <w:rPr>
          <w:rFonts w:hint="cs"/>
          <w:bCs/>
          <w:spacing w:val="-12"/>
          <w:rtl/>
        </w:rPr>
        <w:t xml:space="preserve">وذكره </w:t>
      </w:r>
      <w:r w:rsidR="00777DCB" w:rsidRPr="00A52585">
        <w:rPr>
          <w:rFonts w:hint="cs"/>
          <w:bCs/>
          <w:spacing w:val="-6"/>
          <w:rtl/>
        </w:rPr>
        <w:t>الإمام أبو بكر أحمد النبيل</w:t>
      </w:r>
      <w:r w:rsidRPr="00A52585">
        <w:rPr>
          <w:rFonts w:hint="cs"/>
          <w:spacing w:val="-6"/>
          <w:rtl/>
        </w:rPr>
        <w:t xml:space="preserve"> </w:t>
      </w:r>
      <w:r w:rsidRPr="00A52585">
        <w:rPr>
          <w:rFonts w:hint="cs"/>
          <w:spacing w:val="-6"/>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 الحافظ الكبير</w:t>
      </w:r>
      <w:r w:rsidRPr="00A52585">
        <w:rPr>
          <w:rFonts w:hint="cs"/>
          <w:sz w:val="24"/>
          <w:szCs w:val="24"/>
          <w:rtl/>
        </w:rPr>
        <w:t>:</w:t>
      </w:r>
      <w:r w:rsidR="00777DCB" w:rsidRPr="00A52585">
        <w:rPr>
          <w:rFonts w:hint="cs"/>
          <w:sz w:val="24"/>
          <w:szCs w:val="24"/>
          <w:rtl/>
        </w:rPr>
        <w:t xml:space="preserve"> أبو بكر أحمد بن عمرو بن النبيل أبي عاصم الشيباني الزاهد المعروف بـ (ابن أبي عاصم) قاضي أصبهان، له الرحلة الواسعة والتصانيف النافعة، ذهبت كتبه بالبصرة في فتنة الزنج عام 255هـ فأعاد من حفظه خمسين ألف حديث كان فقيها ظاهري المذهب توفى سنة 287هـ</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spacing w:val="-6"/>
          <w:rtl/>
        </w:rPr>
        <w:t>في منا</w:t>
      </w:r>
      <w:r w:rsidR="00777DCB" w:rsidRPr="00A52585">
        <w:rPr>
          <w:rFonts w:hint="cs"/>
          <w:spacing w:val="-12"/>
          <w:rtl/>
        </w:rPr>
        <w:t xml:space="preserve">سك له </w:t>
      </w:r>
      <w:r w:rsidR="00777DCB" w:rsidRPr="00A52585">
        <w:rPr>
          <w:rFonts w:hint="cs"/>
          <w:spacing w:val="-6"/>
          <w:rtl/>
        </w:rPr>
        <w:t>لطيفة جردها من الأسانيد والتزم فيها الثبوت</w:t>
      </w:r>
      <w:r w:rsidR="00DB731D" w:rsidRPr="00A52585">
        <w:rPr>
          <w:rFonts w:hint="cs"/>
          <w:spacing w:val="-6"/>
          <w:rtl/>
        </w:rPr>
        <w:t>،</w:t>
      </w:r>
      <w:r w:rsidR="00777DCB" w:rsidRPr="00A52585">
        <w:rPr>
          <w:rFonts w:hint="cs"/>
          <w:spacing w:val="-6"/>
          <w:rtl/>
        </w:rPr>
        <w:t xml:space="preserve"> ولفظه</w:t>
      </w:r>
      <w:r w:rsidRPr="00A52585">
        <w:rPr>
          <w:rFonts w:hint="cs"/>
          <w:spacing w:val="-6"/>
          <w:rtl/>
        </w:rPr>
        <w:t>:</w:t>
      </w:r>
      <w:r w:rsidR="00777DCB" w:rsidRPr="00A52585">
        <w:rPr>
          <w:rFonts w:hint="cs"/>
          <w:spacing w:val="-6"/>
          <w:rtl/>
        </w:rPr>
        <w:t xml:space="preserve"> (وكان عمر بن عبد العزيز</w:t>
      </w:r>
      <w:r w:rsidR="00777DCB" w:rsidRPr="00A52585">
        <w:rPr>
          <w:rFonts w:hint="cs"/>
          <w:rtl/>
        </w:rPr>
        <w:t xml:space="preserve"> يبعث بالرسول قاصداً من الشام إلى المدينة </w:t>
      </w:r>
      <w:proofErr w:type="spellStart"/>
      <w:r w:rsidR="00777DCB" w:rsidRPr="00A52585">
        <w:rPr>
          <w:rFonts w:hint="cs"/>
          <w:rtl/>
        </w:rPr>
        <w:t>ليقريء</w:t>
      </w:r>
      <w:proofErr w:type="spellEnd"/>
      <w:r w:rsidR="00777DCB" w:rsidRPr="00A52585">
        <w:rPr>
          <w:rFonts w:hint="cs"/>
          <w:rtl/>
        </w:rPr>
        <w:t xml:space="preserve"> النبي صلى الله عليه وسلم السلام ثم يرجع</w:t>
      </w:r>
      <w:r w:rsidR="00DB731D" w:rsidRPr="00A52585">
        <w:rPr>
          <w:rFonts w:hint="cs"/>
          <w:rtl/>
        </w:rPr>
        <w:t>،</w:t>
      </w:r>
      <w:r w:rsidR="00777DCB" w:rsidRPr="00A52585">
        <w:rPr>
          <w:rFonts w:hint="cs"/>
          <w:rtl/>
        </w:rPr>
        <w:t xml:space="preserve"> وهذا الإمام أبو بكر قديم توفي سنة سبع وثمانين ومائتين</w:t>
      </w:r>
      <w:r w:rsidR="00DB731D" w:rsidRPr="00A52585">
        <w:rPr>
          <w:rFonts w:hint="cs"/>
          <w:rtl/>
        </w:rPr>
        <w:t>،</w:t>
      </w:r>
      <w:r w:rsidR="00777DCB" w:rsidRPr="00A52585">
        <w:rPr>
          <w:rFonts w:hint="cs"/>
          <w:rtl/>
        </w:rPr>
        <w:t xml:space="preserve"> فهذا السيد الجليل عمر بن عبد العزيز يبعث الرجل لأجل السلام فقط لا لقصد آخر وكان </w:t>
      </w:r>
      <w:r w:rsidR="00777DCB" w:rsidRPr="00A52585">
        <w:rPr>
          <w:rFonts w:hint="cs"/>
          <w:rtl/>
        </w:rPr>
        <w:lastRenderedPageBreak/>
        <w:t>ذلك في زمن صدر التابعين</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الإمام السبكي في (شفاء السقام)</w:t>
      </w:r>
      <w:r w:rsidRPr="00A52585">
        <w:rPr>
          <w:rFonts w:hint="cs"/>
          <w:sz w:val="24"/>
          <w:szCs w:val="24"/>
          <w:rtl/>
        </w:rPr>
        <w:t xml:space="preserve">: </w:t>
      </w:r>
      <w:r w:rsidR="00777DCB" w:rsidRPr="00A52585">
        <w:rPr>
          <w:rFonts w:hint="cs"/>
          <w:sz w:val="24"/>
          <w:szCs w:val="24"/>
          <w:rtl/>
        </w:rPr>
        <w:t>"وقد استفاض عن عمر بن عبد العزيز رضي الله عنه أنه كان يبرد البريد من الشام يقول</w:t>
      </w:r>
      <w:r w:rsidRPr="00A52585">
        <w:rPr>
          <w:rFonts w:hint="cs"/>
          <w:sz w:val="24"/>
          <w:szCs w:val="24"/>
          <w:rtl/>
        </w:rPr>
        <w:t>:</w:t>
      </w:r>
      <w:r w:rsidR="00777DCB" w:rsidRPr="00A52585">
        <w:rPr>
          <w:rFonts w:hint="cs"/>
          <w:sz w:val="24"/>
          <w:szCs w:val="24"/>
          <w:rtl/>
        </w:rPr>
        <w:t xml:space="preserve"> (سلّم لي على رسول الله صلى الله عليه وسلم</w:t>
      </w:r>
      <w:r w:rsidRPr="00A52585">
        <w:rPr>
          <w:rFonts w:hint="cs"/>
          <w:sz w:val="24"/>
          <w:szCs w:val="24"/>
          <w:rtl/>
        </w:rPr>
        <w:t>)</w:t>
      </w:r>
      <w:r w:rsidR="00777DCB" w:rsidRPr="00A52585">
        <w:rPr>
          <w:rFonts w:hint="cs"/>
          <w:sz w:val="24"/>
          <w:szCs w:val="24"/>
          <w:rtl/>
        </w:rPr>
        <w:t xml:space="preserve"> فمن ذكر ذلك ابن الجوزي ونقلته من خطه في كتاب (مثير العزم الساكن)</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w:t>
      </w:r>
      <w:r w:rsidR="00777DCB" w:rsidRPr="00A52585">
        <w:rPr>
          <w:rFonts w:hint="cs"/>
          <w:sz w:val="24"/>
          <w:szCs w:val="24"/>
          <w:rtl/>
        </w:rPr>
        <w:t xml:space="preserve"> "وذكره أيضاً الإمام أبو بكر أحمد بن عمرو بن أبي عاصم النبيل " أهـ وذكر نص عبارته التي نقلها المؤلف</w:t>
      </w:r>
      <w:r w:rsidR="00DB731D" w:rsidRPr="00A52585">
        <w:rPr>
          <w:rFonts w:hint="cs"/>
          <w:sz w:val="24"/>
          <w:szCs w:val="24"/>
          <w:rtl/>
        </w:rPr>
        <w:t>،</w:t>
      </w:r>
      <w:r w:rsidR="00777DCB" w:rsidRPr="00A52585">
        <w:rPr>
          <w:rFonts w:hint="cs"/>
          <w:sz w:val="24"/>
          <w:szCs w:val="24"/>
          <w:rtl/>
        </w:rPr>
        <w:t xml:space="preserve"> وذكر السيد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في (خلاصة الوفاء) أن هذا الخبر صحيح الإسناد وهو عند البيهقي بسنده في (شعب الإيمان)</w:t>
      </w:r>
      <w:r w:rsidRPr="00A52585">
        <w:rPr>
          <w:rFonts w:hint="cs"/>
          <w:sz w:val="24"/>
          <w:szCs w:val="24"/>
          <w:rtl/>
        </w:rPr>
        <w:t>]</w:t>
      </w:r>
      <w:r w:rsidR="00DB731D" w:rsidRPr="00A52585">
        <w:rPr>
          <w:rFonts w:hint="cs"/>
          <w:rtl/>
        </w:rPr>
        <w:t>،</w:t>
      </w:r>
      <w:r w:rsidR="00777DCB" w:rsidRPr="00A52585">
        <w:rPr>
          <w:rFonts w:hint="cs"/>
          <w:rtl/>
        </w:rPr>
        <w:t xml:space="preserve"> وكان سفر بلال في زمن صدر الصحابة رضي الله عنهم ولم ينكر ذلك أحد فدل على أن السفر لأجل زيارة قبره صلى الله عليه وسلم ولأجل السلام عليه مجمع عليه بين الصحابة والتابعين</w:t>
      </w:r>
      <w:r w:rsidR="00DB731D" w:rsidRPr="00A52585">
        <w:rPr>
          <w:rFonts w:hint="cs"/>
          <w:rtl/>
        </w:rPr>
        <w:t>،</w:t>
      </w:r>
      <w:r w:rsidR="00777DCB" w:rsidRPr="00A52585">
        <w:rPr>
          <w:rFonts w:hint="cs"/>
          <w:rtl/>
        </w:rPr>
        <w:t xml:space="preserve"> فأين دعوى ابن تيمية أن ذلك مخالف للسنة ولإجماع الأمة وقد تقدم قول عمر رضي الله عنه لكعب الأحبار حتى نسافر لتزور قبر رسول الله صلى الله عليه وسلم وتتمتع بزيارته. فقال</w:t>
      </w:r>
      <w:r w:rsidRPr="00A52585">
        <w:rPr>
          <w:rFonts w:hint="cs"/>
          <w:rtl/>
        </w:rPr>
        <w:t>:</w:t>
      </w:r>
      <w:r w:rsidR="00777DCB" w:rsidRPr="00A52585">
        <w:rPr>
          <w:rFonts w:hint="cs"/>
          <w:rtl/>
        </w:rPr>
        <w:t xml:space="preserve"> نعم</w:t>
      </w:r>
      <w:r w:rsidR="00DB731D" w:rsidRPr="00A52585">
        <w:rPr>
          <w:rFonts w:hint="cs"/>
          <w:rtl/>
        </w:rPr>
        <w:t>،</w:t>
      </w:r>
      <w:r w:rsidR="00777DCB" w:rsidRPr="00A52585">
        <w:rPr>
          <w:rFonts w:hint="cs"/>
          <w:rtl/>
        </w:rPr>
        <w:t xml:space="preserve"> يا أمير المؤمنين أفعل وهذا أو بعضه كافٍ في إبطال دعوى ابن تيمية </w:t>
      </w:r>
      <w:proofErr w:type="gramStart"/>
      <w:r w:rsidR="00777DCB" w:rsidRPr="00A52585">
        <w:rPr>
          <w:rFonts w:hint="cs"/>
          <w:rtl/>
        </w:rPr>
        <w:t>وفجوره</w:t>
      </w:r>
      <w:r w:rsidR="00DB731D" w:rsidRPr="00A52585">
        <w:rPr>
          <w:rFonts w:hint="cs"/>
          <w:vertAlign w:val="superscript"/>
          <w:rtl/>
        </w:rPr>
        <w:t>،</w:t>
      </w:r>
      <w:r w:rsidR="00DB731D" w:rsidRPr="00A52585">
        <w:rPr>
          <w:rFonts w:hint="cs"/>
          <w:bCs/>
          <w:rtl/>
        </w:rPr>
        <w:t>،</w:t>
      </w:r>
      <w:proofErr w:type="gramEnd"/>
      <w:r w:rsidR="00777DCB" w:rsidRPr="00A52585">
        <w:rPr>
          <w:rFonts w:hint="cs"/>
          <w:sz w:val="24"/>
          <w:szCs w:val="24"/>
          <w:rtl/>
        </w:rPr>
        <w:t xml:space="preserve"> </w:t>
      </w:r>
    </w:p>
    <w:p w14:paraId="1CD2EADE" w14:textId="44D42266" w:rsidR="00777DCB" w:rsidRPr="00A52585" w:rsidRDefault="0002035C" w:rsidP="0002035C">
      <w:pPr>
        <w:spacing w:after="240"/>
        <w:rPr>
          <w:b/>
          <w:bCs/>
          <w:rtl/>
        </w:rPr>
      </w:pPr>
      <w:r w:rsidRPr="00A52585">
        <w:rPr>
          <w:rFonts w:hint="cs"/>
          <w:bCs/>
          <w:rtl/>
        </w:rPr>
        <w:t>[</w:t>
      </w:r>
      <w:r w:rsidR="00777DCB" w:rsidRPr="00A52585">
        <w:rPr>
          <w:rFonts w:hint="cs"/>
          <w:bCs/>
          <w:rtl/>
        </w:rPr>
        <w:t>ن- نماذج من نصوص فقهاء المذاهب الأربعة في استحباب أو وجوب زيارة قبر النبي صلى الله عليه وسلم</w:t>
      </w:r>
      <w:r w:rsidRPr="00A52585">
        <w:rPr>
          <w:rFonts w:hint="cs"/>
          <w:bCs/>
          <w:rtl/>
        </w:rPr>
        <w:t>]:</w:t>
      </w:r>
      <w:r w:rsidR="00777DCB" w:rsidRPr="00A52585">
        <w:rPr>
          <w:rFonts w:hint="cs"/>
          <w:bCs/>
          <w:rtl/>
        </w:rPr>
        <w:t xml:space="preserve"> </w:t>
      </w:r>
      <w:r w:rsidR="00777DCB" w:rsidRPr="00A52585">
        <w:rPr>
          <w:rFonts w:hint="cs"/>
          <w:rtl/>
        </w:rPr>
        <w:t>وأتبرع بزيادة وأقتصر غاية الاقتصار قال بعض الأئمة</w:t>
      </w:r>
      <w:r w:rsidRPr="00A52585">
        <w:rPr>
          <w:rFonts w:hint="cs"/>
          <w:rtl/>
        </w:rPr>
        <w:t>:</w:t>
      </w:r>
      <w:r w:rsidR="00777DCB" w:rsidRPr="00A52585">
        <w:rPr>
          <w:rFonts w:hint="cs"/>
          <w:rtl/>
        </w:rPr>
        <w:t xml:space="preserve"> وأما زيارة قبر النبي صلى الله عليه وسلم فلم ينكرها أحد ولم يقع في السفر إليها نزاع ولم يزل سفر الحجيج إليه في السلف والخلف. وصدق رضي الله عنه وهذه كتب العلماء من جميع المذاهب مصرحةً بذلك. وقد تقدم قول القاضي عياض</w:t>
      </w:r>
      <w:r w:rsidRPr="00A52585">
        <w:rPr>
          <w:rFonts w:hint="cs"/>
          <w:rtl/>
        </w:rPr>
        <w:t>:</w:t>
      </w:r>
      <w:r w:rsidR="00777DCB" w:rsidRPr="00A52585">
        <w:rPr>
          <w:rFonts w:hint="cs"/>
          <w:rtl/>
        </w:rPr>
        <w:t xml:space="preserve"> زيارة قبره عليه الصلاة والسلام سنة من سنن المرسلين ومجمع عليها ومرغب فيها. واحتج بحديث ابن عمر وأنس رضي الله عنهما وقد ذكر غير القاضي عياض ما ذكره</w:t>
      </w:r>
      <w:r w:rsidR="00DB731D" w:rsidRPr="00A52585">
        <w:rPr>
          <w:rFonts w:hint="cs"/>
          <w:rtl/>
        </w:rPr>
        <w:t>،</w:t>
      </w:r>
      <w:r w:rsidR="00777DCB" w:rsidRPr="00A52585">
        <w:rPr>
          <w:rFonts w:hint="cs"/>
          <w:rtl/>
        </w:rPr>
        <w:t xml:space="preserve"> وإذا تقرر ذلك ففي ذكري ما أتبرع به مع غاية الاقتصار </w:t>
      </w:r>
      <w:proofErr w:type="spellStart"/>
      <w:r w:rsidR="00777DCB" w:rsidRPr="00A52585">
        <w:rPr>
          <w:rFonts w:hint="cs"/>
          <w:rtl/>
        </w:rPr>
        <w:t>تتحق</w:t>
      </w:r>
      <w:proofErr w:type="spellEnd"/>
      <w:r w:rsidR="00777DCB" w:rsidRPr="00A52585">
        <w:rPr>
          <w:rFonts w:hint="cs"/>
          <w:rtl/>
        </w:rPr>
        <w:t xml:space="preserve"> أن ابن تيمية من أعظم الكذبة </w:t>
      </w:r>
      <w:r w:rsidR="00777DCB" w:rsidRPr="00A52585">
        <w:rPr>
          <w:rFonts w:hint="cs"/>
          <w:spacing w:val="-20"/>
          <w:rtl/>
        </w:rPr>
        <w:t>والفجار</w:t>
      </w:r>
      <w:r w:rsidR="00777DCB" w:rsidRPr="00A52585">
        <w:rPr>
          <w:rFonts w:hint="cs"/>
          <w:rtl/>
        </w:rPr>
        <w:t xml:space="preserve">. </w:t>
      </w:r>
      <w:r w:rsidR="00777DCB" w:rsidRPr="00A52585">
        <w:rPr>
          <w:rFonts w:hint="cs"/>
          <w:spacing w:val="-20"/>
          <w:rtl/>
        </w:rPr>
        <w:t>وقد انكشف لك ذلك</w:t>
      </w:r>
      <w:r w:rsidR="00777DCB" w:rsidRPr="00A52585">
        <w:rPr>
          <w:rFonts w:hint="cs"/>
          <w:rtl/>
        </w:rPr>
        <w:t xml:space="preserve"> </w:t>
      </w:r>
      <w:r w:rsidR="00777DCB" w:rsidRPr="00A52585">
        <w:rPr>
          <w:rFonts w:hint="cs"/>
          <w:spacing w:val="-20"/>
          <w:rtl/>
        </w:rPr>
        <w:t>كما انكشف ضوء</w:t>
      </w:r>
      <w:r w:rsidR="00777DCB" w:rsidRPr="00A52585">
        <w:rPr>
          <w:rFonts w:hint="cs"/>
          <w:rtl/>
        </w:rPr>
        <w:t xml:space="preserve"> النهار</w:t>
      </w:r>
      <w:r w:rsidR="00DB731D" w:rsidRPr="00A52585">
        <w:rPr>
          <w:rFonts w:hint="cs"/>
          <w:rtl/>
        </w:rPr>
        <w:t>،</w:t>
      </w:r>
      <w:r w:rsidR="00777DCB" w:rsidRPr="00A52585">
        <w:rPr>
          <w:rFonts w:hint="cs"/>
          <w:rtl/>
        </w:rPr>
        <w:t xml:space="preserve"> فمن ذلك ما ذكره القاضي أبو الطيب وهو من أئمة الشافعية فإنه قال</w:t>
      </w:r>
      <w:r w:rsidRPr="00A52585">
        <w:rPr>
          <w:rFonts w:hint="cs"/>
          <w:rtl/>
        </w:rPr>
        <w:t>:</w:t>
      </w:r>
      <w:r w:rsidR="00777DCB" w:rsidRPr="00A52585">
        <w:rPr>
          <w:rFonts w:hint="cs"/>
          <w:rtl/>
        </w:rPr>
        <w:t xml:space="preserve"> ويستحب أن يزور قبر النبي صلى الله عليه وسلم بعد أن يحج ويعتمر. انتهى وكيف يزور من غير سفر سواء كان راكباً أو ماشياً</w:t>
      </w:r>
      <w:r w:rsidR="00DB731D" w:rsidRPr="00A52585">
        <w:rPr>
          <w:rFonts w:hint="cs"/>
          <w:rtl/>
        </w:rPr>
        <w:t>،</w:t>
      </w:r>
      <w:r w:rsidR="00777DCB" w:rsidRPr="00A52585">
        <w:rPr>
          <w:rFonts w:hint="cs"/>
          <w:rtl/>
        </w:rPr>
        <w:t xml:space="preserve"> وقال </w:t>
      </w:r>
      <w:proofErr w:type="spellStart"/>
      <w:r w:rsidR="00777DCB" w:rsidRPr="00A52585">
        <w:rPr>
          <w:rFonts w:hint="cs"/>
          <w:rtl/>
        </w:rPr>
        <w:t>المحاملي</w:t>
      </w:r>
      <w:proofErr w:type="spellEnd"/>
      <w:r w:rsidR="00777DCB" w:rsidRPr="00A52585">
        <w:rPr>
          <w:rFonts w:hint="cs"/>
          <w:rtl/>
        </w:rPr>
        <w:t xml:space="preserve"> في كتابه (التجريد) ويستحب للحاج إذا فرغ من مكة أن يزور قبر النبي صلى الله عليه وسلم انتهى</w:t>
      </w:r>
      <w:r w:rsidR="00DB731D" w:rsidRPr="00A52585">
        <w:rPr>
          <w:rFonts w:hint="cs"/>
          <w:rtl/>
        </w:rPr>
        <w:t>،</w:t>
      </w:r>
      <w:r w:rsidR="00777DCB" w:rsidRPr="00A52585">
        <w:rPr>
          <w:rFonts w:hint="cs"/>
          <w:rtl/>
        </w:rPr>
        <w:t xml:space="preserve"> وقال </w:t>
      </w:r>
      <w:proofErr w:type="spellStart"/>
      <w:r w:rsidR="00777DCB" w:rsidRPr="00A52585">
        <w:rPr>
          <w:rFonts w:hint="cs"/>
          <w:rtl/>
        </w:rPr>
        <w:t>الحليمي</w:t>
      </w:r>
      <w:proofErr w:type="spellEnd"/>
      <w:r w:rsidR="00777DCB" w:rsidRPr="00A52585">
        <w:rPr>
          <w:rFonts w:hint="cs"/>
          <w:rtl/>
        </w:rPr>
        <w:t xml:space="preserve"> في كتابه (المنهاج) عند ذكر تعظيم النبي صلى الله عليه وسلم وذكر جملة ثم قال</w:t>
      </w:r>
      <w:r w:rsidRPr="00A52585">
        <w:rPr>
          <w:rFonts w:hint="cs"/>
          <w:rtl/>
        </w:rPr>
        <w:t>:</w:t>
      </w:r>
      <w:r w:rsidR="00777DCB" w:rsidRPr="00A52585">
        <w:rPr>
          <w:rFonts w:hint="cs"/>
          <w:rtl/>
        </w:rPr>
        <w:t xml:space="preserve"> وهذا كان من الذين رزقوا مشاهدته وصحبته وأما اليوم فمن التعظيم بيان تعظيمه وزيارته</w:t>
      </w:r>
      <w:r w:rsidR="00DB731D" w:rsidRPr="00A52585">
        <w:rPr>
          <w:rFonts w:hint="cs"/>
          <w:rtl/>
        </w:rPr>
        <w:t>،</w:t>
      </w:r>
      <w:r w:rsidR="00777DCB" w:rsidRPr="00A52585">
        <w:rPr>
          <w:rFonts w:hint="cs"/>
          <w:rtl/>
        </w:rPr>
        <w:t xml:space="preserve"> وقال الماوَرْديّ في كتابه (الحاوي)</w:t>
      </w:r>
      <w:r w:rsidRPr="00A52585">
        <w:rPr>
          <w:rFonts w:hint="cs"/>
          <w:rtl/>
        </w:rPr>
        <w:t>:</w:t>
      </w:r>
      <w:r w:rsidR="00777DCB" w:rsidRPr="00A52585">
        <w:rPr>
          <w:rFonts w:hint="cs"/>
          <w:rtl/>
        </w:rPr>
        <w:t xml:space="preserve"> أما زيارة قبر النبي صلى الله عليه وسلم فمأمور بها ومندوب إليها وقال في كتابه (الأحكام السلطانية) في باب الولاية على الحجيج وذكر كلاماً يتعلق بأمير الحاج ثم قال</w:t>
      </w:r>
      <w:r w:rsidRPr="00A52585">
        <w:rPr>
          <w:rFonts w:hint="cs"/>
          <w:rtl/>
        </w:rPr>
        <w:t>:</w:t>
      </w:r>
      <w:r w:rsidR="00777DCB" w:rsidRPr="00A52585">
        <w:rPr>
          <w:rFonts w:hint="cs"/>
          <w:rtl/>
        </w:rPr>
        <w:t xml:space="preserve"> فإذا قضى الناس الحج أمهلهم الأيام التي جرت عادتهم بها فإذا رجعوا </w:t>
      </w:r>
      <w:r w:rsidR="00777DCB" w:rsidRPr="00A52585">
        <w:rPr>
          <w:rFonts w:hint="cs"/>
          <w:rtl/>
        </w:rPr>
        <w:lastRenderedPageBreak/>
        <w:t>سار بهم على طريق مدينة النبي صلى الله عليه وسلم ليجمع لهم بين حج بيت الله عز وجل وزيارة قبر رسول الله صلى الله عليه وسلم رعاية لحرمته</w:t>
      </w:r>
      <w:r w:rsidR="00DB731D" w:rsidRPr="00A52585">
        <w:rPr>
          <w:rFonts w:hint="cs"/>
          <w:rtl/>
        </w:rPr>
        <w:t>،</w:t>
      </w:r>
      <w:r w:rsidR="00777DCB" w:rsidRPr="00A52585">
        <w:rPr>
          <w:rFonts w:hint="cs"/>
          <w:rtl/>
        </w:rPr>
        <w:t xml:space="preserve"> وقياماً بحقوق طاعته</w:t>
      </w:r>
      <w:r w:rsidR="00DB731D" w:rsidRPr="00A52585">
        <w:rPr>
          <w:rFonts w:hint="cs"/>
          <w:rtl/>
        </w:rPr>
        <w:t>،</w:t>
      </w:r>
      <w:r w:rsidR="00777DCB" w:rsidRPr="00A52585">
        <w:rPr>
          <w:rFonts w:hint="cs"/>
          <w:rtl/>
        </w:rPr>
        <w:t xml:space="preserve"> وذلك وإن لم يكن من فروض الحج فهو من مندوبات الشرع المستحبة وعبادات الحجيج المستحسنة</w:t>
      </w:r>
      <w:r w:rsidR="00DB731D" w:rsidRPr="00A52585">
        <w:rPr>
          <w:rFonts w:hint="cs"/>
          <w:rtl/>
        </w:rPr>
        <w:t>،</w:t>
      </w:r>
      <w:r w:rsidR="00777DCB" w:rsidRPr="00A52585">
        <w:rPr>
          <w:rFonts w:hint="cs"/>
          <w:rtl/>
        </w:rPr>
        <w:t xml:space="preserve"> فتأمل هذه العبارة من هذا الإمام وما اشتملت عليه من الفوائد الجليلة</w:t>
      </w:r>
      <w:r w:rsidR="00DB731D" w:rsidRPr="00A52585">
        <w:rPr>
          <w:rFonts w:hint="cs"/>
          <w:rtl/>
        </w:rPr>
        <w:t>،</w:t>
      </w:r>
      <w:r w:rsidR="00777DCB" w:rsidRPr="00A52585">
        <w:rPr>
          <w:rFonts w:hint="cs"/>
          <w:rtl/>
        </w:rPr>
        <w:t xml:space="preserve"> وقال الإمام العلامة المتفق على دينه وكثرة علومه وعلو قدره الشيخ أبو إسحاق الشيرازي</w:t>
      </w:r>
      <w:r w:rsidRPr="00A52585">
        <w:rPr>
          <w:rFonts w:hint="cs"/>
          <w:rtl/>
        </w:rPr>
        <w:t>:</w:t>
      </w:r>
      <w:r w:rsidR="00777DCB" w:rsidRPr="00A52585">
        <w:rPr>
          <w:rFonts w:hint="cs"/>
          <w:rtl/>
        </w:rPr>
        <w:t xml:space="preserve"> ويستحب زيارة قبر النبي صلى الله عليه وسلم</w:t>
      </w:r>
      <w:r w:rsidR="00DB731D" w:rsidRPr="00A52585">
        <w:rPr>
          <w:rFonts w:hint="cs"/>
          <w:rtl/>
        </w:rPr>
        <w:t>،</w:t>
      </w:r>
      <w:r w:rsidR="00777DCB" w:rsidRPr="00A52585">
        <w:rPr>
          <w:rFonts w:hint="cs"/>
          <w:rtl/>
        </w:rPr>
        <w:t xml:space="preserve"> وذكر القاضي حسين نحوه</w:t>
      </w:r>
      <w:r w:rsidR="00DB731D" w:rsidRPr="00A52585">
        <w:rPr>
          <w:rFonts w:hint="cs"/>
          <w:rtl/>
        </w:rPr>
        <w:t>،</w:t>
      </w:r>
      <w:r w:rsidR="00777DCB" w:rsidRPr="00A52585">
        <w:rPr>
          <w:rFonts w:hint="cs"/>
          <w:rtl/>
        </w:rPr>
        <w:t xml:space="preserve"> وكذا </w:t>
      </w:r>
      <w:proofErr w:type="spellStart"/>
      <w:r w:rsidR="00777DCB" w:rsidRPr="00A52585">
        <w:rPr>
          <w:rFonts w:hint="cs"/>
          <w:rtl/>
        </w:rPr>
        <w:t>الروياني</w:t>
      </w:r>
      <w:proofErr w:type="spellEnd"/>
      <w:r w:rsidR="00777DCB" w:rsidRPr="00A52585">
        <w:rPr>
          <w:rFonts w:hint="cs"/>
          <w:rtl/>
        </w:rPr>
        <w:t xml:space="preserve"> ولا حاجة إلى الإطالة بذكر من قال بزيارة قبره عليه الصلاة والسلام سواء في ذلك قبل الحج أو بعده</w:t>
      </w:r>
      <w:r w:rsidR="00DB731D" w:rsidRPr="00A52585">
        <w:rPr>
          <w:rFonts w:hint="cs"/>
          <w:rtl/>
        </w:rPr>
        <w:t>،</w:t>
      </w:r>
      <w:r w:rsidR="00777DCB" w:rsidRPr="00A52585">
        <w:rPr>
          <w:rFonts w:hint="cs"/>
          <w:rtl/>
        </w:rPr>
        <w:t xml:space="preserve"> وأشير إليه من أصحاب الشافعي</w:t>
      </w:r>
      <w:r w:rsidRPr="00A52585">
        <w:rPr>
          <w:rFonts w:hint="cs"/>
          <w:rtl/>
        </w:rPr>
        <w:t>:</w:t>
      </w:r>
      <w:r w:rsidR="00777DCB" w:rsidRPr="00A52585">
        <w:rPr>
          <w:rFonts w:hint="cs"/>
          <w:rtl/>
        </w:rPr>
        <w:t xml:space="preserve"> من جملتهم السيد الجليل أبو زكريا يحيى النووي قدس الله تعالى روحه قال في كتابه المناسك وغيره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فصل</w:t>
      </w:r>
      <w:r w:rsidRPr="00A52585">
        <w:rPr>
          <w:rFonts w:hint="cs"/>
          <w:rtl/>
        </w:rPr>
        <w:t>)</w:t>
      </w:r>
      <w:r w:rsidR="00777DCB" w:rsidRPr="00A52585">
        <w:rPr>
          <w:rFonts w:hint="cs"/>
          <w:rtl/>
        </w:rPr>
        <w:t xml:space="preserve"> في زيارة قبر النبي صلى الله عليه وسلم سواء كان ذلك طريقه أو لا</w:t>
      </w:r>
      <w:r w:rsidR="00DB731D" w:rsidRPr="00A52585">
        <w:rPr>
          <w:rFonts w:hint="cs"/>
          <w:rtl/>
        </w:rPr>
        <w:t>،</w:t>
      </w:r>
      <w:r w:rsidR="00777DCB" w:rsidRPr="00A52585">
        <w:rPr>
          <w:rFonts w:hint="cs"/>
          <w:rtl/>
        </w:rPr>
        <w:t xml:space="preserve"> فإن زيارته صلى الله عليه وسلم من أهم القربات وأربح المساعي وأفضل الطلبات</w:t>
      </w:r>
      <w:r w:rsidR="00DB731D" w:rsidRPr="00A52585">
        <w:rPr>
          <w:rFonts w:hint="cs"/>
          <w:rtl/>
        </w:rPr>
        <w:t>،</w:t>
      </w:r>
      <w:r w:rsidR="00777DCB" w:rsidRPr="00A52585">
        <w:rPr>
          <w:rFonts w:hint="cs"/>
          <w:rtl/>
        </w:rPr>
        <w:t xml:space="preserve"> وإذا عرفت هذا فأتبرع لك بزيادة أخرى مع زيادة فائدة</w:t>
      </w:r>
      <w:r w:rsidR="00DB731D" w:rsidRPr="00A52585">
        <w:rPr>
          <w:rFonts w:hint="cs"/>
          <w:rtl/>
        </w:rPr>
        <w:t>،</w:t>
      </w:r>
      <w:r w:rsidR="00777DCB" w:rsidRPr="00A52585">
        <w:rPr>
          <w:rFonts w:hint="cs"/>
          <w:rtl/>
        </w:rPr>
        <w:t xml:space="preserve"> قالت الحنفية</w:t>
      </w:r>
      <w:r w:rsidRPr="00A52585">
        <w:rPr>
          <w:rFonts w:hint="cs"/>
          <w:rtl/>
        </w:rPr>
        <w:t>:</w:t>
      </w:r>
      <w:r w:rsidR="00777DCB" w:rsidRPr="00A52585">
        <w:rPr>
          <w:rFonts w:hint="cs"/>
          <w:rtl/>
        </w:rPr>
        <w:t xml:space="preserve"> إن زيارة قبر النبي صلى الله عليه وسلم من أفضل المندوبات والمستحبات بل تقرب من درجة الواجبات</w:t>
      </w:r>
      <w:r w:rsidR="00DB731D" w:rsidRPr="00A52585">
        <w:rPr>
          <w:rFonts w:hint="cs"/>
          <w:rtl/>
        </w:rPr>
        <w:t>،</w:t>
      </w:r>
      <w:r w:rsidR="00777DCB" w:rsidRPr="00A52585">
        <w:rPr>
          <w:rFonts w:hint="cs"/>
          <w:rtl/>
        </w:rPr>
        <w:t xml:space="preserve"> وممن صرح بذلك منهم الإمام</w:t>
      </w:r>
      <w:r w:rsidRPr="00A52585">
        <w:rPr>
          <w:rFonts w:hint="cs"/>
          <w:rtl/>
        </w:rPr>
        <w:t xml:space="preserve"> </w:t>
      </w:r>
      <w:r w:rsidR="00777DCB" w:rsidRPr="00A52585">
        <w:rPr>
          <w:rFonts w:hint="cs"/>
          <w:rtl/>
        </w:rPr>
        <w:t>أبو منصور محمد الكرماني في مناسكه والإمام عبد الله بن محمود في شرح المختار</w:t>
      </w:r>
      <w:r w:rsidR="00DB731D" w:rsidRPr="00A52585">
        <w:rPr>
          <w:rFonts w:hint="cs"/>
          <w:rtl/>
        </w:rPr>
        <w:t>،</w:t>
      </w:r>
      <w:r w:rsidR="00777DCB" w:rsidRPr="00A52585">
        <w:rPr>
          <w:rFonts w:hint="cs"/>
          <w:rtl/>
        </w:rPr>
        <w:t xml:space="preserve"> وقال الإمام أبو العباس السروجي</w:t>
      </w:r>
      <w:r w:rsidRPr="00A52585">
        <w:rPr>
          <w:rFonts w:hint="cs"/>
          <w:rtl/>
        </w:rPr>
        <w:t>:</w:t>
      </w:r>
      <w:r w:rsidR="00777DCB" w:rsidRPr="00A52585">
        <w:rPr>
          <w:rFonts w:hint="cs"/>
          <w:rtl/>
        </w:rPr>
        <w:t xml:space="preserve"> وإذا انصرف الحاج من مكة شرفها الله تعالى فليتوجه إلى طيبة مدينة رسول الله صلى الله عليه وسلم وزيارة قبره فإنها من أنجح المساعي. وكلامهم في ذلك يطول</w:t>
      </w:r>
      <w:r w:rsidR="00DB731D" w:rsidRPr="00A52585">
        <w:rPr>
          <w:rFonts w:hint="cs"/>
          <w:vertAlign w:val="superscript"/>
          <w:rtl/>
        </w:rPr>
        <w:t>،</w:t>
      </w:r>
      <w:r w:rsidR="00777DCB" w:rsidRPr="00A52585">
        <w:rPr>
          <w:rFonts w:hint="cs"/>
          <w:rtl/>
        </w:rPr>
        <w:t xml:space="preserve"> وأتبرع بزيادة هي أبلغ في تكذيب هذا الفاجر لأنها من كلام أئمة الحنابلة </w:t>
      </w:r>
      <w:r w:rsidR="00777DCB" w:rsidRPr="00A52585">
        <w:rPr>
          <w:rFonts w:hint="cs"/>
          <w:bCs/>
          <w:rtl/>
        </w:rPr>
        <w:t xml:space="preserve">قال أبو الخطاب محفوظ </w:t>
      </w:r>
      <w:proofErr w:type="spellStart"/>
      <w:r w:rsidR="00777DCB" w:rsidRPr="00A52585">
        <w:rPr>
          <w:rFonts w:hint="cs"/>
          <w:bCs/>
          <w:rtl/>
        </w:rPr>
        <w:t>الكلوماذي</w:t>
      </w:r>
      <w:proofErr w:type="spellEnd"/>
      <w:r w:rsidR="00777DCB" w:rsidRPr="00A52585">
        <w:rPr>
          <w:rFonts w:hint="cs"/>
          <w:bCs/>
          <w:vertAlign w:val="superscript"/>
          <w:rtl/>
        </w:rPr>
        <w:t xml:space="preserve"> </w:t>
      </w:r>
      <w:r w:rsidR="00777DCB" w:rsidRPr="00A52585">
        <w:rPr>
          <w:rFonts w:hint="cs"/>
          <w:bCs/>
          <w:rtl/>
        </w:rPr>
        <w:t>الحنبلي</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w:t>
      </w:r>
      <w:r w:rsidRPr="00A52585">
        <w:rPr>
          <w:rFonts w:hint="cs"/>
          <w:sz w:val="24"/>
          <w:szCs w:val="24"/>
          <w:rtl/>
        </w:rPr>
        <w:t>:</w:t>
      </w:r>
      <w:r w:rsidR="00777DCB" w:rsidRPr="00A52585">
        <w:rPr>
          <w:rFonts w:hint="cs"/>
          <w:sz w:val="24"/>
          <w:szCs w:val="24"/>
          <w:rtl/>
        </w:rPr>
        <w:t xml:space="preserve"> أبو الخطاب محفوظ بن أحمد بن الحسن بن أحمد </w:t>
      </w:r>
      <w:proofErr w:type="spellStart"/>
      <w:r w:rsidR="00777DCB" w:rsidRPr="00A52585">
        <w:rPr>
          <w:rFonts w:hint="cs"/>
          <w:sz w:val="24"/>
          <w:szCs w:val="24"/>
          <w:rtl/>
        </w:rPr>
        <w:t>الكلوذاني</w:t>
      </w:r>
      <w:proofErr w:type="spellEnd"/>
      <w:r w:rsidR="00777DCB" w:rsidRPr="00A52585">
        <w:rPr>
          <w:rFonts w:hint="cs"/>
          <w:sz w:val="24"/>
          <w:szCs w:val="24"/>
          <w:rtl/>
        </w:rPr>
        <w:t xml:space="preserve"> البغدادي الفقيه أحد أئمة المذهب الحنبلي</w:t>
      </w:r>
      <w:r w:rsidR="00DB731D" w:rsidRPr="00A52585">
        <w:rPr>
          <w:rFonts w:hint="cs"/>
          <w:sz w:val="24"/>
          <w:szCs w:val="24"/>
          <w:rtl/>
        </w:rPr>
        <w:t>،</w:t>
      </w:r>
      <w:r w:rsidR="00777DCB" w:rsidRPr="00A52585">
        <w:rPr>
          <w:rFonts w:hint="cs"/>
          <w:sz w:val="24"/>
          <w:szCs w:val="24"/>
          <w:rtl/>
        </w:rPr>
        <w:t xml:space="preserve"> ولد سنة 432 هـ وسمع الحديث من القاضي أبي يعلى وطبقته ودرس الفقه عليه ولزمه حتى برع في المذهب والخلاف درس وأفتى وصنف كتبا حسانا في الفقه والفرائض والأصول والخلاف ومنها</w:t>
      </w:r>
      <w:r w:rsidRPr="00A52585">
        <w:rPr>
          <w:rFonts w:hint="cs"/>
          <w:sz w:val="24"/>
          <w:szCs w:val="24"/>
          <w:rtl/>
        </w:rPr>
        <w:t>:</w:t>
      </w:r>
      <w:r w:rsidR="00777DCB" w:rsidRPr="00A52585">
        <w:rPr>
          <w:rFonts w:hint="cs"/>
          <w:sz w:val="24"/>
          <w:szCs w:val="24"/>
          <w:rtl/>
        </w:rPr>
        <w:t xml:space="preserve"> (الهداية) في الفقه، والخلاف الكبير المسمى بـ (الانتصار في المسائل الكبار)، والخلاف الصغير المسمى بـ (رؤوس المسائل)، و(التهذيب) في الفرائض، و(التمهيد) في أصول الفقه، و(العبادات الخمس)، و(مناسك الحج)</w:t>
      </w:r>
      <w:r w:rsidR="00DB731D" w:rsidRPr="00A52585">
        <w:rPr>
          <w:rFonts w:hint="cs"/>
          <w:sz w:val="24"/>
          <w:szCs w:val="24"/>
          <w:rtl/>
        </w:rPr>
        <w:t>،</w:t>
      </w:r>
      <w:r w:rsidR="00777DCB" w:rsidRPr="00A52585">
        <w:rPr>
          <w:rFonts w:hint="cs"/>
          <w:sz w:val="24"/>
          <w:szCs w:val="24"/>
          <w:rtl/>
        </w:rPr>
        <w:t xml:space="preserve"> كان كامل الدين غزير العقل جميل السيرة مرضى الفعل قرأ عليه الفقه جماعة من أئمة المذهب وكان فقيها عظيماً كثير الفقه توفى سنة 510هـ ودفن قريبا من قبر الإمام أحمد انتهى بتصرف من (مختصر طبقات الحنابلة) لابن </w:t>
      </w:r>
      <w:proofErr w:type="spellStart"/>
      <w:r w:rsidR="00777DCB" w:rsidRPr="00A52585">
        <w:rPr>
          <w:rFonts w:hint="cs"/>
          <w:sz w:val="24"/>
          <w:szCs w:val="24"/>
          <w:rtl/>
        </w:rPr>
        <w:t>شطى</w:t>
      </w:r>
      <w:proofErr w:type="spellEnd"/>
      <w:r w:rsidRPr="00A52585">
        <w:rPr>
          <w:rFonts w:hint="cs"/>
          <w:sz w:val="24"/>
          <w:szCs w:val="24"/>
          <w:rtl/>
        </w:rPr>
        <w:t>]</w:t>
      </w:r>
      <w:r w:rsidR="00777DCB" w:rsidRPr="00A52585">
        <w:rPr>
          <w:rFonts w:hint="cs"/>
          <w:sz w:val="24"/>
          <w:szCs w:val="24"/>
          <w:rtl/>
        </w:rPr>
        <w:t xml:space="preserve"> </w:t>
      </w:r>
      <w:r w:rsidR="00777DCB" w:rsidRPr="00A52585">
        <w:rPr>
          <w:rFonts w:hint="cs"/>
          <w:rtl/>
        </w:rPr>
        <w:t>في كتابه الهداية في آخر باب صفة الحج</w:t>
      </w:r>
      <w:r w:rsidRPr="00A52585">
        <w:rPr>
          <w:rFonts w:hint="cs"/>
          <w:rtl/>
        </w:rPr>
        <w:t>:</w:t>
      </w:r>
      <w:r w:rsidR="00777DCB" w:rsidRPr="00A52585">
        <w:rPr>
          <w:rFonts w:hint="cs"/>
          <w:rtl/>
        </w:rPr>
        <w:t xml:space="preserve"> استحب له زيارة قبره صلى الله عليه وسلم وصاحبيه. وفيه فائدة وهي استحباب شد الرحل إلى زيارة الصِّدِّقين رضي الله عنهما</w:t>
      </w:r>
      <w:r w:rsidR="00DB731D" w:rsidRPr="00A52585">
        <w:rPr>
          <w:rFonts w:hint="cs"/>
          <w:rtl/>
        </w:rPr>
        <w:t>،</w:t>
      </w:r>
      <w:r w:rsidR="00777DCB" w:rsidRPr="00A52585">
        <w:rPr>
          <w:rFonts w:hint="cs"/>
          <w:rtl/>
        </w:rPr>
        <w:t xml:space="preserve"> وقال الإمام</w:t>
      </w:r>
      <w:r w:rsidRPr="00A52585">
        <w:rPr>
          <w:rFonts w:hint="cs"/>
          <w:rtl/>
        </w:rPr>
        <w:t xml:space="preserve"> </w:t>
      </w:r>
      <w:r w:rsidR="00777DCB" w:rsidRPr="00A52585">
        <w:rPr>
          <w:rFonts w:hint="cs"/>
          <w:rtl/>
        </w:rPr>
        <w:t>ابن أحمد في الرعاية الكبرى</w:t>
      </w:r>
      <w:r w:rsidRPr="00A52585">
        <w:rPr>
          <w:rFonts w:hint="cs"/>
          <w:rtl/>
        </w:rPr>
        <w:t>:</w:t>
      </w:r>
      <w:r w:rsidR="00777DCB" w:rsidRPr="00A52585">
        <w:rPr>
          <w:rFonts w:hint="cs"/>
          <w:rtl/>
        </w:rPr>
        <w:t xml:space="preserve"> ويسن لمن فرغ من نسكه زيارة قبر النبي صلى الله عليه وسلم وقبر صاحبيه رضي الله عنهما</w:t>
      </w:r>
      <w:r w:rsidR="00DB731D" w:rsidRPr="00A52585">
        <w:rPr>
          <w:rFonts w:hint="cs"/>
          <w:rtl/>
        </w:rPr>
        <w:t>،</w:t>
      </w:r>
      <w:r w:rsidR="00777DCB" w:rsidRPr="00A52585">
        <w:rPr>
          <w:rFonts w:hint="cs"/>
          <w:rtl/>
        </w:rPr>
        <w:t xml:space="preserve"> وذلك بعد فراغ حجه وإن شاء قبله</w:t>
      </w:r>
      <w:r w:rsidR="00DB731D" w:rsidRPr="00A52585">
        <w:rPr>
          <w:rFonts w:hint="cs"/>
          <w:rtl/>
        </w:rPr>
        <w:t>،</w:t>
      </w:r>
      <w:r w:rsidR="00777DCB" w:rsidRPr="00A52585">
        <w:rPr>
          <w:rFonts w:hint="cs"/>
          <w:rtl/>
        </w:rPr>
        <w:t xml:space="preserve"> وذكر نحو ذلك غيرهم ومنهم الإمام أبو الفرج بن الجوزي في كتابه </w:t>
      </w:r>
      <w:r w:rsidR="00777DCB" w:rsidRPr="00A52585">
        <w:rPr>
          <w:rFonts w:hint="cs"/>
          <w:rtl/>
        </w:rPr>
        <w:lastRenderedPageBreak/>
        <w:t>مثير العزم وعقد له باباً في زيارة قبره عليه الصلاة والسلام واستدل بحديث ابن عمر وأنس رضي الله عنهم</w:t>
      </w:r>
      <w:r w:rsidR="00DB731D" w:rsidRPr="00A52585">
        <w:rPr>
          <w:rFonts w:hint="cs"/>
          <w:rtl/>
        </w:rPr>
        <w:t>،</w:t>
      </w:r>
      <w:r w:rsidR="00777DCB" w:rsidRPr="00A52585">
        <w:rPr>
          <w:rFonts w:hint="cs"/>
          <w:rtl/>
        </w:rPr>
        <w:t xml:space="preserve"> وذكر بن قدامة في المغني فصلاً في ذلك فقال</w:t>
      </w:r>
      <w:r w:rsidRPr="00A52585">
        <w:rPr>
          <w:rFonts w:hint="cs"/>
          <w:rtl/>
        </w:rPr>
        <w:t>:</w:t>
      </w:r>
      <w:r w:rsidR="00777DCB" w:rsidRPr="00A52585">
        <w:rPr>
          <w:rFonts w:hint="cs"/>
          <w:rtl/>
        </w:rPr>
        <w:t xml:space="preserve"> يستحب زيارة قبر النبي صلى الله عليه وسلم واستدل بحديث ابن عمر وأبي هريرة رضي الله عنهم ولا أطول بذكر من ذكره من أئمة الحنابلة تبعاً لإمامهم رضي الله عنه</w:t>
      </w:r>
      <w:r w:rsidR="00DB731D" w:rsidRPr="00A52585">
        <w:rPr>
          <w:rFonts w:hint="cs"/>
          <w:vertAlign w:val="superscript"/>
          <w:rtl/>
        </w:rPr>
        <w:t>،</w:t>
      </w:r>
      <w:r w:rsidR="00777DCB" w:rsidRPr="00A52585">
        <w:rPr>
          <w:rFonts w:hint="cs"/>
          <w:spacing w:val="-6"/>
          <w:rtl/>
        </w:rPr>
        <w:t xml:space="preserve"> وأتبرع بزيادة لفوائد جمة ومهمة. فمن ذلك ما في كتاب تهذيب</w:t>
      </w:r>
      <w:r w:rsidR="00777DCB" w:rsidRPr="00A52585">
        <w:rPr>
          <w:rFonts w:hint="cs"/>
          <w:rtl/>
        </w:rPr>
        <w:t xml:space="preserve"> الطالب </w:t>
      </w:r>
      <w:r w:rsidR="00777DCB" w:rsidRPr="00A52585">
        <w:rPr>
          <w:rFonts w:hint="cs"/>
          <w:bCs/>
          <w:rtl/>
        </w:rPr>
        <w:t>لعبد الحق الصقلي</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الإمام</w:t>
      </w:r>
      <w:r w:rsidRPr="00A52585">
        <w:rPr>
          <w:rFonts w:hint="cs"/>
          <w:sz w:val="24"/>
          <w:szCs w:val="24"/>
          <w:rtl/>
        </w:rPr>
        <w:t>:</w:t>
      </w:r>
      <w:r w:rsidR="00777DCB" w:rsidRPr="00A52585">
        <w:rPr>
          <w:rFonts w:hint="cs"/>
          <w:sz w:val="24"/>
          <w:szCs w:val="24"/>
          <w:rtl/>
        </w:rPr>
        <w:t xml:space="preserve"> عبد الحق بن محمد بن هارون السهمي القرشي أبو محمد فقيه مالكي من أهل صقلية حج في شبابه ثم حج مرة أخرى بعد أن أسن فلقي أبا المعالي الجويني وباحثه وسأله عن مسائل مشهورة نقلها الونشريسي في (المعيار المغرب)، وكان يعرف فضل إمام الحرمين ويقول</w:t>
      </w:r>
      <w:r w:rsidRPr="00A52585">
        <w:rPr>
          <w:rFonts w:hint="cs"/>
          <w:sz w:val="24"/>
          <w:szCs w:val="24"/>
          <w:rtl/>
        </w:rPr>
        <w:t>:</w:t>
      </w:r>
      <w:r w:rsidR="00777DCB" w:rsidRPr="00A52585">
        <w:rPr>
          <w:rFonts w:hint="cs"/>
          <w:sz w:val="24"/>
          <w:szCs w:val="24"/>
          <w:rtl/>
        </w:rPr>
        <w:t xml:space="preserve"> لولا كبر سنِّي ما فارقت عتبة بابه كان مليح التأليف رحمه الله، صنَّف (النكت والفروق لمسائل المدونة) ورجع في نهاية عمره عن كثير مما كتبه فيه، و(تهذيب الطالب) وهو كتاب كبير، و(استدراكات على تهذيب البرادعي)، وجزء في (ضبط ألفاظ المدونة)، و(عقيدة) رويت عنه</w:t>
      </w:r>
      <w:r w:rsidR="00DB731D" w:rsidRPr="00A52585">
        <w:rPr>
          <w:rFonts w:hint="cs"/>
          <w:sz w:val="24"/>
          <w:szCs w:val="24"/>
          <w:rtl/>
        </w:rPr>
        <w:t>،</w:t>
      </w:r>
      <w:r w:rsidR="00777DCB" w:rsidRPr="00A52585">
        <w:rPr>
          <w:rFonts w:hint="cs"/>
          <w:sz w:val="24"/>
          <w:szCs w:val="24"/>
          <w:rtl/>
        </w:rPr>
        <w:t xml:space="preserve"> توفى رحمه الله سنة 466هـ بالإسكندرية له ترجمة في (الديباج المذهب) 2/56، (شجرة النور الزكية) 116</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عن أبي عمران المالكي</w:t>
      </w:r>
      <w:r w:rsidRPr="00A52585">
        <w:rPr>
          <w:rFonts w:hint="cs"/>
          <w:rtl/>
        </w:rPr>
        <w:t>:</w:t>
      </w:r>
      <w:r w:rsidR="00777DCB" w:rsidRPr="00A52585">
        <w:rPr>
          <w:rFonts w:hint="cs"/>
          <w:rtl/>
        </w:rPr>
        <w:t xml:space="preserve"> أن زيارة قبر النبي صلى الله عليه وسلم واجبة</w:t>
      </w:r>
      <w:r w:rsidR="00DB731D" w:rsidRPr="00A52585">
        <w:rPr>
          <w:rFonts w:hint="cs"/>
          <w:rtl/>
        </w:rPr>
        <w:t>،</w:t>
      </w:r>
      <w:r w:rsidR="00777DCB" w:rsidRPr="00A52585">
        <w:rPr>
          <w:rFonts w:hint="cs"/>
          <w:rtl/>
        </w:rPr>
        <w:t xml:space="preserve"> وقال عبد الحق في هذا الكتاب</w:t>
      </w:r>
      <w:r w:rsidRPr="00A52585">
        <w:rPr>
          <w:rFonts w:hint="cs"/>
          <w:rtl/>
        </w:rPr>
        <w:t>:</w:t>
      </w:r>
      <w:r w:rsidR="00777DCB" w:rsidRPr="00A52585">
        <w:rPr>
          <w:rFonts w:hint="cs"/>
          <w:rtl/>
        </w:rPr>
        <w:t xml:space="preserve"> رأيت في بعض المسائل التي سئل عنها أبو محمد ابن أبي زيد قيل له في رجل استؤجر بمال ليحج به وشرطوا عليه الزيارة فلم يستطيع تلك السنة أن يزور لعذر منعه من ذلك فقال</w:t>
      </w:r>
      <w:r w:rsidRPr="00A52585">
        <w:rPr>
          <w:rFonts w:hint="cs"/>
          <w:rtl/>
        </w:rPr>
        <w:t>:</w:t>
      </w:r>
      <w:r w:rsidR="00777DCB" w:rsidRPr="00A52585">
        <w:rPr>
          <w:rFonts w:hint="cs"/>
          <w:rtl/>
        </w:rPr>
        <w:t xml:space="preserve"> يرد من الأجرة بقدر مسافة الزيارة. وهي مسألة حسنة</w:t>
      </w:r>
      <w:r w:rsidR="00DB731D" w:rsidRPr="00A52585">
        <w:rPr>
          <w:rFonts w:hint="cs"/>
          <w:rtl/>
        </w:rPr>
        <w:t>،</w:t>
      </w:r>
      <w:r w:rsidR="00777DCB" w:rsidRPr="00A52585">
        <w:rPr>
          <w:rFonts w:hint="cs"/>
          <w:rtl/>
        </w:rPr>
        <w:t xml:space="preserve"> وفي كتاب النوادر لابن أبي زيد فائدة أخرى فإنه بعد أن حكى في زيارة القبور من كلام ابن حبيب ومن المجموعة عن مالك ومن كلام القرطبي </w:t>
      </w:r>
      <w:proofErr w:type="spellStart"/>
      <w:r w:rsidR="00777DCB" w:rsidRPr="00A52585">
        <w:rPr>
          <w:rFonts w:hint="cs"/>
          <w:rtl/>
        </w:rPr>
        <w:t>باسكان</w:t>
      </w:r>
      <w:proofErr w:type="spellEnd"/>
      <w:r w:rsidR="00777DCB" w:rsidRPr="00A52585">
        <w:rPr>
          <w:rFonts w:hint="cs"/>
          <w:rtl/>
        </w:rPr>
        <w:t xml:space="preserve"> الراء وبالطاء المهملتين ثم قال عَقَبِة</w:t>
      </w:r>
      <w:r w:rsidRPr="00A52585">
        <w:rPr>
          <w:rFonts w:hint="cs"/>
          <w:rtl/>
        </w:rPr>
        <w:t>:</w:t>
      </w:r>
      <w:r w:rsidR="00777DCB" w:rsidRPr="00A52585">
        <w:rPr>
          <w:rFonts w:hint="cs"/>
          <w:rtl/>
        </w:rPr>
        <w:t xml:space="preserve"> ويأتي قبور الشهداء بأُحد ويسلم عليهم كما يسلم على قبره صلى الله عليه وسلم وعلى صاحبيه. وفي الكتاب المذكور</w:t>
      </w:r>
      <w:r w:rsidRPr="00A52585">
        <w:rPr>
          <w:rFonts w:hint="cs"/>
          <w:rtl/>
        </w:rPr>
        <w:t>:</w:t>
      </w:r>
      <w:r w:rsidR="00777DCB" w:rsidRPr="00A52585">
        <w:rPr>
          <w:rFonts w:hint="cs"/>
          <w:rtl/>
        </w:rPr>
        <w:t xml:space="preserve"> ويدل على التسليم على أهل القبور ما جاء في السنة في التسليم على النبي صلى الله عليه وسلم وأبي بكر وعمر رضي الله عنهما مقبورين</w:t>
      </w:r>
      <w:r w:rsidR="00DB731D" w:rsidRPr="00A52585">
        <w:rPr>
          <w:rFonts w:hint="cs"/>
          <w:rtl/>
        </w:rPr>
        <w:t>،</w:t>
      </w:r>
      <w:r w:rsidR="00777DCB" w:rsidRPr="00A52585">
        <w:rPr>
          <w:rFonts w:hint="cs"/>
          <w:rtl/>
        </w:rPr>
        <w:t xml:space="preserve"> وقال العبدي المالكي في شرح الرسالة</w:t>
      </w:r>
      <w:r w:rsidRPr="00A52585">
        <w:rPr>
          <w:rFonts w:hint="cs"/>
          <w:rtl/>
        </w:rPr>
        <w:t>:</w:t>
      </w:r>
      <w:r w:rsidR="00777DCB" w:rsidRPr="00A52585">
        <w:rPr>
          <w:rFonts w:hint="cs"/>
          <w:rtl/>
        </w:rPr>
        <w:t xml:space="preserve"> إن المشي إلى المدينة لزيارة قبر النبي صلى الله عليه وسلم أفضل من المشي إلى الكعبة وبيت المقدس. وصدق وأجاد رضي الله عنه لأنه أفضل البقاع بالإجماع</w:t>
      </w:r>
      <w:r w:rsidR="00DB731D" w:rsidRPr="00A52585">
        <w:rPr>
          <w:rFonts w:hint="cs"/>
          <w:rtl/>
        </w:rPr>
        <w:t>،</w:t>
      </w:r>
      <w:r w:rsidR="00777DCB" w:rsidRPr="00A52585">
        <w:rPr>
          <w:rFonts w:hint="cs"/>
          <w:rtl/>
        </w:rPr>
        <w:t xml:space="preserve"> فهذه نبذة يسيرة </w:t>
      </w:r>
      <w:proofErr w:type="spellStart"/>
      <w:r w:rsidR="00777DCB" w:rsidRPr="00A52585">
        <w:rPr>
          <w:rFonts w:hint="cs"/>
          <w:rtl/>
        </w:rPr>
        <w:t>والنقول</w:t>
      </w:r>
      <w:proofErr w:type="spellEnd"/>
      <w:r w:rsidR="00777DCB" w:rsidRPr="00A52585">
        <w:rPr>
          <w:rFonts w:hint="cs"/>
          <w:rtl/>
        </w:rPr>
        <w:t xml:space="preserve"> في ذلك كثيرة جداً</w:t>
      </w:r>
      <w:r w:rsidR="00DB731D" w:rsidRPr="00A52585">
        <w:rPr>
          <w:rFonts w:hint="cs"/>
          <w:rtl/>
        </w:rPr>
        <w:t>،</w:t>
      </w:r>
      <w:r w:rsidR="00777DCB" w:rsidRPr="00A52585">
        <w:rPr>
          <w:rFonts w:hint="cs"/>
          <w:rtl/>
        </w:rPr>
        <w:t xml:space="preserve"> وفيها الإجماع على طلب الزيارة بعدت المسافة أو قصرت وعمل الناس على ذلك في جميع </w:t>
      </w:r>
      <w:proofErr w:type="spellStart"/>
      <w:r w:rsidR="00777DCB" w:rsidRPr="00A52585">
        <w:rPr>
          <w:rFonts w:hint="cs"/>
          <w:rtl/>
        </w:rPr>
        <w:t>الأعصار</w:t>
      </w:r>
      <w:proofErr w:type="spellEnd"/>
      <w:r w:rsidR="00777DCB" w:rsidRPr="00A52585">
        <w:rPr>
          <w:rFonts w:hint="cs"/>
          <w:rtl/>
        </w:rPr>
        <w:t xml:space="preserve"> من جميع الأقطار</w:t>
      </w:r>
      <w:r w:rsidR="00DB731D" w:rsidRPr="00A52585">
        <w:rPr>
          <w:rFonts w:hint="cs"/>
          <w:rtl/>
        </w:rPr>
        <w:t>،</w:t>
      </w:r>
      <w:r w:rsidR="00777DCB" w:rsidRPr="00A52585">
        <w:rPr>
          <w:rFonts w:hint="cs"/>
          <w:rtl/>
        </w:rPr>
        <w:t xml:space="preserve"> فكيف يحل لأحد أن يبدعهم بالقول الزور ويضلل أئمة أمة المختار بل من المصائب العظيمة أن يوقع وفد الله تعالى في جريمة عظيمة وهي عصيانهم بشد رحالهم لزيارة قبره صلى الله عليه وسلم عقب ما رجوه من المغفرة وبتركهم الصلاة التي هي أحد أركان الدين لأنهم إذا لم يجز لهم القصر وقصروا فقد تركوا الصلاة عامدين</w:t>
      </w:r>
      <w:r w:rsidR="00DB731D" w:rsidRPr="00A52585">
        <w:rPr>
          <w:rFonts w:hint="cs"/>
          <w:rtl/>
        </w:rPr>
        <w:t>،</w:t>
      </w:r>
      <w:r w:rsidR="00777DCB" w:rsidRPr="00A52585">
        <w:rPr>
          <w:rFonts w:hint="cs"/>
          <w:rtl/>
        </w:rPr>
        <w:t xml:space="preserve"> ومن تركها متعمداً قتل إما كفراً وإما حداً. ولا يصدر هذا إلا ممن هو شديد العداوة لوفد الله تعالى ولحبيبهم الذين </w:t>
      </w:r>
      <w:r w:rsidR="00777DCB" w:rsidRPr="00A52585">
        <w:rPr>
          <w:rFonts w:hint="cs"/>
          <w:rtl/>
        </w:rPr>
        <w:lastRenderedPageBreak/>
        <w:t>يترجون بزيارتهم استحقاق الشفاعة التي بها نجاتهم</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العلامة على قاري في شرحه على كتاب (الشفاء) للقاضي عياض</w:t>
      </w:r>
      <w:r w:rsidRPr="00A52585">
        <w:rPr>
          <w:rFonts w:hint="cs"/>
          <w:sz w:val="24"/>
          <w:szCs w:val="24"/>
          <w:rtl/>
        </w:rPr>
        <w:t xml:space="preserve">: </w:t>
      </w:r>
      <w:r w:rsidR="00777DCB" w:rsidRPr="00A52585">
        <w:rPr>
          <w:rFonts w:hint="cs"/>
          <w:sz w:val="24"/>
          <w:szCs w:val="24"/>
          <w:rtl/>
        </w:rPr>
        <w:t>"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في هذا الباب"</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وسأذكر عقب هذا الأدلة الخاصة بالحث على زيارته وأتعرض لما قدح فيها وفي الأئمة رواتها ومنه يعلم أن هذا الخبيث لا دين له يعتقد عليه فتراه واضحاً جلياً لا تشك فيه ولا ترتاب فنسأل الله تعالى العافية مما يرتكبه هذا الزائغ الفاجر الكذاب. وأن يذيقه أشد العذاب. على ما أفسد في هذه الأمة وسيلقى أشد الحساب</w:t>
      </w:r>
      <w:r w:rsidR="00DB731D" w:rsidRPr="00A52585">
        <w:rPr>
          <w:rFonts w:hint="cs"/>
          <w:rtl/>
        </w:rPr>
        <w:t>،</w:t>
      </w:r>
      <w:r w:rsidR="00777DCB" w:rsidRPr="00A52585">
        <w:rPr>
          <w:rFonts w:hint="cs"/>
          <w:rtl/>
        </w:rPr>
        <w:t xml:space="preserve"> </w:t>
      </w:r>
    </w:p>
    <w:p w14:paraId="628900B7" w14:textId="36C8F79F" w:rsidR="00777DCB" w:rsidRPr="00A52585" w:rsidRDefault="0002035C" w:rsidP="0002035C">
      <w:pPr>
        <w:spacing w:after="240"/>
        <w:rPr>
          <w:b/>
          <w:bCs/>
          <w:rtl/>
        </w:rPr>
      </w:pPr>
      <w:r w:rsidRPr="00A52585">
        <w:rPr>
          <w:rFonts w:hint="cs"/>
          <w:bCs/>
          <w:rtl/>
        </w:rPr>
        <w:t>[</w:t>
      </w:r>
      <w:r w:rsidR="00777DCB" w:rsidRPr="00A52585">
        <w:rPr>
          <w:rFonts w:hint="cs"/>
          <w:bCs/>
          <w:rtl/>
        </w:rPr>
        <w:t xml:space="preserve">و </w:t>
      </w:r>
      <w:r w:rsidR="00777DCB" w:rsidRPr="00A52585">
        <w:rPr>
          <w:bCs/>
        </w:rPr>
        <w:t>–</w:t>
      </w:r>
      <w:r w:rsidR="00777DCB" w:rsidRPr="00A52585">
        <w:rPr>
          <w:rFonts w:hint="cs"/>
          <w:bCs/>
          <w:rtl/>
        </w:rPr>
        <w:t xml:space="preserve"> أحاديث الزيارة</w:t>
      </w:r>
      <w:r w:rsidRPr="00A52585">
        <w:rPr>
          <w:rFonts w:hint="cs"/>
          <w:bCs/>
          <w:rtl/>
        </w:rPr>
        <w:t>]:</w:t>
      </w:r>
      <w:r w:rsidR="00777DCB" w:rsidRPr="00A52585">
        <w:rPr>
          <w:rFonts w:hint="cs"/>
          <w:bCs/>
          <w:rtl/>
        </w:rPr>
        <w:t xml:space="preserve"> </w:t>
      </w:r>
      <w:r w:rsidR="00777DCB" w:rsidRPr="00A52585">
        <w:rPr>
          <w:rFonts w:hint="cs"/>
          <w:spacing w:val="-12"/>
          <w:rtl/>
        </w:rPr>
        <w:t xml:space="preserve">وقوله </w:t>
      </w:r>
      <w:r w:rsidR="00777DCB" w:rsidRPr="00A52585">
        <w:rPr>
          <w:rFonts w:hint="cs"/>
          <w:spacing w:val="-6"/>
          <w:rtl/>
        </w:rPr>
        <w:t>(إنما ذكروه من الأحاديث في</w:t>
      </w:r>
      <w:r w:rsidR="00777DCB" w:rsidRPr="00A52585">
        <w:rPr>
          <w:rFonts w:hint="cs"/>
          <w:rtl/>
        </w:rPr>
        <w:t xml:space="preserve"> زيارة قبر النبي صلى الله عليه وسلم فكلها ضعيفة باتفاق أهل </w:t>
      </w:r>
      <w:r w:rsidR="00777DCB" w:rsidRPr="00A52585">
        <w:rPr>
          <w:rFonts w:hint="cs"/>
          <w:spacing w:val="-6"/>
          <w:rtl/>
        </w:rPr>
        <w:t>العلم بل هي موضوعة لم يروها أحد من أهل السنن المعتمدة شيئاً منها)</w:t>
      </w:r>
      <w:r w:rsidR="00DB731D" w:rsidRPr="00A52585">
        <w:rPr>
          <w:rFonts w:hint="cs"/>
          <w:spacing w:val="-6"/>
          <w:rtl/>
        </w:rPr>
        <w:t>،</w:t>
      </w:r>
      <w:r w:rsidR="00777DCB" w:rsidRPr="00A52585">
        <w:rPr>
          <w:rFonts w:hint="cs"/>
          <w:spacing w:val="-6"/>
          <w:rtl/>
        </w:rPr>
        <w:t xml:space="preserve"> </w:t>
      </w:r>
      <w:r w:rsidR="00777DCB" w:rsidRPr="00A52585">
        <w:rPr>
          <w:rFonts w:hint="cs"/>
          <w:rtl/>
        </w:rPr>
        <w:t xml:space="preserve">أعوذ بالله من مكر الله عز وجل انظر أدام الله تعالى لك الهداية وحماك من الغواية إلى فجور هذا الخبيث كيف جعل الأحاديث المروية في زيارة قبر خير البرية كلها ضعيفة. ثم أردف ذلك بقوله (باتفاق أهل العلم بالحديث) ولم يجعل هذه الأئمة الذين أذكرهم من أهل الحديث. والعجب أنه يروي عنهم في مواضع عديدة من كتبه وهذا من جهله وبلادة ذهنه </w:t>
      </w:r>
      <w:proofErr w:type="spellStart"/>
      <w:r w:rsidR="00777DCB" w:rsidRPr="00A52585">
        <w:rPr>
          <w:rFonts w:hint="cs"/>
          <w:rtl/>
        </w:rPr>
        <w:t>وعماوة</w:t>
      </w:r>
      <w:proofErr w:type="spellEnd"/>
      <w:r w:rsidR="00777DCB" w:rsidRPr="00A52585">
        <w:rPr>
          <w:rFonts w:hint="cs"/>
          <w:rtl/>
        </w:rPr>
        <w:t xml:space="preserve"> قلبه من أنه لا يعلم تناقض كلامه ونقضه بذلك</w:t>
      </w:r>
      <w:r w:rsidR="00DB731D" w:rsidRPr="00A52585">
        <w:rPr>
          <w:rFonts w:hint="cs"/>
          <w:rtl/>
        </w:rPr>
        <w:t>،</w:t>
      </w:r>
      <w:r w:rsidR="00777DCB" w:rsidRPr="00A52585">
        <w:rPr>
          <w:rFonts w:hint="cs"/>
          <w:rtl/>
        </w:rPr>
        <w:t xml:space="preserve"> ثم أنه لم تخمد نار خبثه بما ذكره من الفجور حتى أردف ذلك بأن الأحاديث المروية في زيارة قبره المكرم موضوعة يعني أنها كذب</w:t>
      </w:r>
      <w:r w:rsidR="00DB731D" w:rsidRPr="00A52585">
        <w:rPr>
          <w:rFonts w:hint="cs"/>
          <w:rtl/>
        </w:rPr>
        <w:t>،</w:t>
      </w:r>
      <w:r w:rsidR="00777DCB" w:rsidRPr="00A52585">
        <w:rPr>
          <w:rFonts w:hint="cs"/>
          <w:rtl/>
        </w:rPr>
        <w:t xml:space="preserve"> وهذا شيء لم نر أحداً من علماء المسلمين ولا من غيرهم فاه به ولا رمز إليه لا مَنْ في عصره ولا مَنْ قبله</w:t>
      </w:r>
      <w:r w:rsidR="00DB731D" w:rsidRPr="00A52585">
        <w:rPr>
          <w:rFonts w:hint="cs"/>
          <w:rtl/>
        </w:rPr>
        <w:t>،</w:t>
      </w:r>
      <w:r w:rsidR="00777DCB" w:rsidRPr="00A52585">
        <w:rPr>
          <w:rFonts w:hint="cs"/>
          <w:rtl/>
        </w:rPr>
        <w:t xml:space="preserve"> قاتله الله تعالى</w:t>
      </w:r>
      <w:r w:rsidR="00DB731D" w:rsidRPr="00A52585">
        <w:rPr>
          <w:rFonts w:hint="cs"/>
          <w:rtl/>
        </w:rPr>
        <w:t>،</w:t>
      </w:r>
      <w:r w:rsidR="00777DCB" w:rsidRPr="00A52585">
        <w:rPr>
          <w:rFonts w:hint="cs"/>
          <w:rtl/>
        </w:rPr>
        <w:t xml:space="preserve"> ولقد أسفرت هذه القضية على زندقته </w:t>
      </w:r>
      <w:proofErr w:type="spellStart"/>
      <w:r w:rsidR="00777DCB" w:rsidRPr="00A52585">
        <w:rPr>
          <w:rFonts w:hint="cs"/>
          <w:rtl/>
        </w:rPr>
        <w:t>بتجرئه</w:t>
      </w:r>
      <w:proofErr w:type="spellEnd"/>
      <w:r w:rsidR="00777DCB" w:rsidRPr="00A52585">
        <w:rPr>
          <w:rFonts w:hint="cs"/>
          <w:rtl/>
        </w:rPr>
        <w:t xml:space="preserve"> على الإفك على العلماء وعلى أنه لا يعتقد حرمة الكذب والفجور ولا يبالي بما يقول</w:t>
      </w:r>
      <w:r w:rsidR="00DB731D" w:rsidRPr="00A52585">
        <w:rPr>
          <w:rFonts w:hint="cs"/>
          <w:rtl/>
        </w:rPr>
        <w:t>،</w:t>
      </w:r>
      <w:r w:rsidR="00777DCB" w:rsidRPr="00A52585">
        <w:rPr>
          <w:rFonts w:hint="cs"/>
          <w:rtl/>
        </w:rPr>
        <w:t xml:space="preserve"> وإن كان فيه عظائم الأمور</w:t>
      </w:r>
      <w:r w:rsidR="00DB731D" w:rsidRPr="00A52585">
        <w:rPr>
          <w:rFonts w:hint="cs"/>
          <w:rtl/>
        </w:rPr>
        <w:t>،</w:t>
      </w:r>
      <w:r w:rsidR="00777DCB" w:rsidRPr="00A52585">
        <w:rPr>
          <w:rFonts w:hint="cs"/>
          <w:rtl/>
        </w:rPr>
        <w:t xml:space="preserve"> وإذا عرفت هذا فينبغي أيها المؤمن الخالي من البدعة والهوى أن لا تقلده فيما ينقله ولا فيما يقوله بل تفحص عن ذلك وتسأل غير أتباعه ممن له رتبة في العلوم وإلا هلكت كما هلك هو وأتباعه</w:t>
      </w:r>
      <w:r w:rsidR="00DB731D" w:rsidRPr="00A52585">
        <w:rPr>
          <w:rFonts w:hint="cs"/>
          <w:rtl/>
        </w:rPr>
        <w:t>،</w:t>
      </w:r>
      <w:r w:rsidR="00777DCB" w:rsidRPr="00A52585">
        <w:rPr>
          <w:rFonts w:hint="cs"/>
          <w:rtl/>
        </w:rPr>
        <w:t xml:space="preserve"> </w:t>
      </w:r>
      <w:r w:rsidR="00777DCB" w:rsidRPr="00A52585">
        <w:rPr>
          <w:rFonts w:hint="cs"/>
          <w:spacing w:val="-6"/>
          <w:rtl/>
        </w:rPr>
        <w:t>ولنذكر بعض الأحاديث الواردة في زيارة قبره عليه الصلاة والسلام وأذكر من رواها وأحذف الأسانيد لأنها لا تليق بهذه الأوراق وقد رُويت مــن طـرق</w:t>
      </w:r>
      <w:r w:rsidR="00777DCB" w:rsidRPr="00A52585">
        <w:rPr>
          <w:rFonts w:hint="cs"/>
          <w:rtl/>
        </w:rPr>
        <w:t xml:space="preserve"> </w:t>
      </w:r>
      <w:r w:rsidR="00777DCB" w:rsidRPr="00A52585">
        <w:rPr>
          <w:rFonts w:hint="cs"/>
          <w:spacing w:val="-6"/>
          <w:rtl/>
        </w:rPr>
        <w:t>بلغـت بها منـزلة الصحيح أو قاربت أو منزلة الحسن وأذكر من</w:t>
      </w:r>
      <w:r w:rsidR="00777DCB" w:rsidRPr="00A52585">
        <w:rPr>
          <w:rFonts w:hint="cs"/>
          <w:rtl/>
        </w:rPr>
        <w:t xml:space="preserve"> صحح </w:t>
      </w:r>
      <w:r w:rsidR="00777DCB" w:rsidRPr="00A52585">
        <w:rPr>
          <w:rFonts w:hint="cs"/>
          <w:spacing w:val="-4"/>
          <w:rtl/>
        </w:rPr>
        <w:t>بعضها وأبين أنه من الأئمة الأعلام بالحديث وأنه يعتمد تصحيحه وبالله التوفيق</w:t>
      </w:r>
      <w:r w:rsidR="00DB731D" w:rsidRPr="00A52585">
        <w:rPr>
          <w:rFonts w:hint="cs"/>
          <w:spacing w:val="-4"/>
          <w:rtl/>
        </w:rPr>
        <w:t>،</w:t>
      </w:r>
      <w:r w:rsidR="00777DCB" w:rsidRPr="00A52585">
        <w:rPr>
          <w:rFonts w:hint="cs"/>
          <w:spacing w:val="-4"/>
          <w:rtl/>
        </w:rPr>
        <w:t xml:space="preserve"> </w:t>
      </w:r>
      <w:r w:rsidR="00777DCB" w:rsidRPr="00A52585">
        <w:rPr>
          <w:rFonts w:hint="cs"/>
          <w:bCs/>
          <w:rtl/>
        </w:rPr>
        <w:t>فمن الأحاديث في زيارة قبره عليه الصلاة والسلام</w:t>
      </w:r>
      <w:r w:rsidRPr="00A52585">
        <w:rPr>
          <w:rFonts w:hint="cs"/>
          <w:bCs/>
          <w:rtl/>
        </w:rPr>
        <w:t>:</w:t>
      </w:r>
      <w:r w:rsidR="00777DCB" w:rsidRPr="00A52585">
        <w:rPr>
          <w:rFonts w:hint="cs"/>
          <w:bCs/>
          <w:rtl/>
        </w:rPr>
        <w:t xml:space="preserve"> [1-]</w:t>
      </w:r>
      <w:r w:rsidR="00777DCB" w:rsidRPr="00A52585">
        <w:rPr>
          <w:rFonts w:hint="cs"/>
          <w:rtl/>
        </w:rPr>
        <w:t xml:space="preserve"> قوله صلى الله عليه وسلم</w:t>
      </w:r>
      <w:r w:rsidRPr="00A52585">
        <w:rPr>
          <w:rtl/>
        </w:rPr>
        <w:t>:</w:t>
      </w:r>
      <w:r w:rsidR="00777DCB" w:rsidRPr="00A52585">
        <w:rPr>
          <w:rFonts w:hint="cs"/>
          <w:rtl/>
        </w:rPr>
        <w:t>(</w:t>
      </w:r>
      <w:r w:rsidRPr="00A52585">
        <w:rPr>
          <w:rFonts w:hint="cs"/>
          <w:rtl/>
        </w:rPr>
        <w:t>(</w:t>
      </w:r>
      <w:r w:rsidR="00777DCB" w:rsidRPr="00A52585">
        <w:rPr>
          <w:rFonts w:hint="cs"/>
          <w:rtl/>
        </w:rPr>
        <w:t>من زار قبري وجبت له شفاعتي</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رواه غير واحد من أئمة الحديث منهم </w:t>
      </w:r>
      <w:proofErr w:type="spellStart"/>
      <w:r w:rsidR="00777DCB" w:rsidRPr="00A52585">
        <w:rPr>
          <w:rFonts w:hint="cs"/>
          <w:rtl/>
        </w:rPr>
        <w:t>الدراقطني</w:t>
      </w:r>
      <w:proofErr w:type="spellEnd"/>
      <w:r w:rsidR="00777DCB" w:rsidRPr="00A52585">
        <w:rPr>
          <w:rFonts w:hint="cs"/>
          <w:rtl/>
        </w:rPr>
        <w:t xml:space="preserve"> والبيهقي وغيرهما والحديث مروي بهذا </w:t>
      </w:r>
      <w:r w:rsidR="00777DCB" w:rsidRPr="00A52585">
        <w:rPr>
          <w:rFonts w:hint="cs"/>
          <w:rtl/>
        </w:rPr>
        <w:lastRenderedPageBreak/>
        <w:t>اللفظ في عدة نسخ معتمدة وهو من حديث ابن عمر رضي الله عنهما</w:t>
      </w:r>
      <w:r w:rsidR="00DB731D" w:rsidRPr="00A52585">
        <w:rPr>
          <w:rFonts w:hint="cs"/>
          <w:rtl/>
        </w:rPr>
        <w:t>،</w:t>
      </w:r>
      <w:r w:rsidR="00777DCB" w:rsidRPr="00A52585">
        <w:rPr>
          <w:rFonts w:hint="cs"/>
          <w:rtl/>
        </w:rPr>
        <w:t xml:space="preserve"> وخرجه أبو اليمن في كتابه إتحاف الزائر وإطراف المغنم للسائر في زيارة سيدنا رسول الله صلى الله عليه وسلم</w:t>
      </w:r>
      <w:r w:rsidR="00DB731D" w:rsidRPr="00A52585">
        <w:rPr>
          <w:rFonts w:hint="cs"/>
          <w:rtl/>
        </w:rPr>
        <w:t>،</w:t>
      </w:r>
      <w:r w:rsidR="00777DCB" w:rsidRPr="00A52585">
        <w:rPr>
          <w:rFonts w:hint="cs"/>
          <w:rtl/>
        </w:rPr>
        <w:t xml:space="preserve"> وخرجه الحافظ بن عساكر في تاريخه في زيارة قبره عليه الصلاة والسلام بعد وفاته كان كمن رآه في حياته</w:t>
      </w:r>
      <w:r w:rsidR="00DB731D" w:rsidRPr="00A52585">
        <w:rPr>
          <w:rFonts w:hint="cs"/>
          <w:rtl/>
        </w:rPr>
        <w:t>،</w:t>
      </w:r>
      <w:r w:rsidR="00777DCB" w:rsidRPr="00A52585">
        <w:rPr>
          <w:rFonts w:hint="cs"/>
          <w:rtl/>
        </w:rPr>
        <w:t xml:space="preserve"> وخرجه العقيلي وغيره فلا نطول بذكره وهو مروي من طرق تبلغ الحسن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(من زار قبري وجبت له شفاعتي) قال عنه العلامة القاري في (شرح الشفا)</w:t>
      </w:r>
      <w:r w:rsidRPr="00A52585">
        <w:rPr>
          <w:rFonts w:hint="cs"/>
          <w:sz w:val="24"/>
          <w:szCs w:val="24"/>
          <w:rtl/>
        </w:rPr>
        <w:t xml:space="preserve">: </w:t>
      </w:r>
      <w:r w:rsidR="00777DCB" w:rsidRPr="00A52585">
        <w:rPr>
          <w:rFonts w:hint="cs"/>
          <w:sz w:val="24"/>
          <w:szCs w:val="24"/>
          <w:rtl/>
        </w:rPr>
        <w:t>"صححه جماعـة من أهل الحديــث "</w:t>
      </w:r>
      <w:r w:rsidRPr="00A52585">
        <w:rPr>
          <w:rFonts w:hint="cs"/>
          <w:sz w:val="24"/>
          <w:szCs w:val="24"/>
          <w:rtl/>
        </w:rPr>
        <w:t xml:space="preserve"> </w:t>
      </w:r>
      <w:r w:rsidR="00777DCB" w:rsidRPr="00A52585">
        <w:rPr>
          <w:rFonts w:hint="cs"/>
          <w:sz w:val="24"/>
          <w:szCs w:val="24"/>
          <w:rtl/>
        </w:rPr>
        <w:t>أهـ وقال الحافظ السـيوطي في (مناهـل الصفـا بتـخريج أحاديث الشفا)</w:t>
      </w:r>
      <w:r w:rsidRPr="00A52585">
        <w:rPr>
          <w:rFonts w:hint="cs"/>
          <w:sz w:val="24"/>
          <w:szCs w:val="24"/>
          <w:rtl/>
        </w:rPr>
        <w:t xml:space="preserve">: </w:t>
      </w:r>
      <w:r w:rsidR="00777DCB" w:rsidRPr="00A52585">
        <w:rPr>
          <w:rFonts w:hint="cs"/>
          <w:sz w:val="24"/>
          <w:szCs w:val="24"/>
          <w:rtl/>
        </w:rPr>
        <w:t>"إن له طرقا وشواهد حسنه لأجلها الذهبي "</w:t>
      </w:r>
      <w:r w:rsidRPr="00A52585">
        <w:rPr>
          <w:rFonts w:hint="cs"/>
          <w:sz w:val="24"/>
          <w:szCs w:val="24"/>
          <w:rtl/>
        </w:rPr>
        <w:t xml:space="preserve"> </w:t>
      </w:r>
      <w:r w:rsidR="00777DCB" w:rsidRPr="00A52585">
        <w:rPr>
          <w:rFonts w:hint="cs"/>
          <w:sz w:val="24"/>
          <w:szCs w:val="24"/>
          <w:rtl/>
        </w:rPr>
        <w:t xml:space="preserve">أهـ وقال العلامة الزرقاني في (مختصر </w:t>
      </w:r>
      <w:proofErr w:type="spellStart"/>
      <w:r w:rsidR="00777DCB" w:rsidRPr="00A52585">
        <w:rPr>
          <w:rFonts w:hint="cs"/>
          <w:sz w:val="24"/>
          <w:szCs w:val="24"/>
          <w:rtl/>
        </w:rPr>
        <w:t>مختصر</w:t>
      </w:r>
      <w:proofErr w:type="spellEnd"/>
      <w:r w:rsidR="00777DCB" w:rsidRPr="00A52585">
        <w:rPr>
          <w:rFonts w:hint="cs"/>
          <w:sz w:val="24"/>
          <w:szCs w:val="24"/>
          <w:rtl/>
        </w:rPr>
        <w:t xml:space="preserve"> المقاصد الحسنة)</w:t>
      </w:r>
      <w:r w:rsidRPr="00A52585">
        <w:rPr>
          <w:rFonts w:hint="cs"/>
          <w:sz w:val="24"/>
          <w:szCs w:val="24"/>
          <w:rtl/>
        </w:rPr>
        <w:t xml:space="preserve">: </w:t>
      </w:r>
      <w:r w:rsidR="00777DCB" w:rsidRPr="00A52585">
        <w:rPr>
          <w:rFonts w:hint="cs"/>
          <w:sz w:val="24"/>
          <w:szCs w:val="24"/>
          <w:rtl/>
        </w:rPr>
        <w:t>"حديث (من زار قبري وجبت له شفاعتي) حسن لغيره "</w:t>
      </w:r>
      <w:r w:rsidRPr="00A52585">
        <w:rPr>
          <w:rFonts w:hint="cs"/>
          <w:sz w:val="24"/>
          <w:szCs w:val="24"/>
          <w:rtl/>
        </w:rPr>
        <w:t xml:space="preserve"> </w:t>
      </w:r>
      <w:r w:rsidR="00777DCB" w:rsidRPr="00A52585">
        <w:rPr>
          <w:rFonts w:hint="cs"/>
          <w:sz w:val="24"/>
          <w:szCs w:val="24"/>
          <w:rtl/>
        </w:rPr>
        <w:t>أهـ وهذا منه حكاية لمعنى قول الحافظ السخاوي في هذا الحديث وقال الحافظ ابن حجر العسقلاني في (تلخيص الحبير)</w:t>
      </w:r>
      <w:r w:rsidRPr="00A52585">
        <w:rPr>
          <w:rFonts w:hint="cs"/>
          <w:sz w:val="24"/>
          <w:szCs w:val="24"/>
          <w:rtl/>
        </w:rPr>
        <w:t xml:space="preserve">: </w:t>
      </w:r>
      <w:r w:rsidR="00777DCB" w:rsidRPr="00A52585">
        <w:rPr>
          <w:rFonts w:hint="cs"/>
          <w:sz w:val="24"/>
          <w:szCs w:val="24"/>
          <w:rtl/>
        </w:rPr>
        <w:t xml:space="preserve">" وطرق هذا الحديث كلها </w:t>
      </w:r>
      <w:proofErr w:type="spellStart"/>
      <w:r w:rsidR="00777DCB" w:rsidRPr="00A52585">
        <w:rPr>
          <w:rFonts w:hint="cs"/>
          <w:sz w:val="24"/>
          <w:szCs w:val="24"/>
          <w:rtl/>
        </w:rPr>
        <w:t>ضعيفه</w:t>
      </w:r>
      <w:proofErr w:type="spellEnd"/>
      <w:r w:rsidR="00777DCB" w:rsidRPr="00A52585">
        <w:rPr>
          <w:rFonts w:hint="cs"/>
          <w:sz w:val="24"/>
          <w:szCs w:val="24"/>
          <w:rtl/>
        </w:rPr>
        <w:t xml:space="preserve"> لكن صححه من حديث ابن عمر أبو على بن السكن في إيراده إياه أثناء السنن الصحاح له، وعبد الحق في الأحكام في سكوته عنه، والتقي السبكي من المتأخرين باعتبار مجموع الطرق "</w:t>
      </w:r>
      <w:r w:rsidRPr="00A52585">
        <w:rPr>
          <w:rFonts w:hint="cs"/>
          <w:sz w:val="24"/>
          <w:szCs w:val="24"/>
          <w:rtl/>
        </w:rPr>
        <w:t xml:space="preserve"> </w:t>
      </w:r>
      <w:r w:rsidR="00777DCB" w:rsidRPr="00A52585">
        <w:rPr>
          <w:rFonts w:hint="cs"/>
          <w:sz w:val="24"/>
          <w:szCs w:val="24"/>
          <w:rtl/>
        </w:rPr>
        <w:t xml:space="preserve">أهـ وعدم تعليق ابن حجر على كلام الأئمة الذين </w:t>
      </w:r>
      <w:r w:rsidR="00777DCB" w:rsidRPr="00A52585">
        <w:rPr>
          <w:rFonts w:hint="cs"/>
          <w:spacing w:val="-6"/>
          <w:sz w:val="24"/>
          <w:szCs w:val="24"/>
          <w:rtl/>
        </w:rPr>
        <w:t>صححوا الحديث يعد إقراراً منه لهذا التصحيح وقال الشهاب</w:t>
      </w:r>
      <w:r w:rsidR="00777DCB" w:rsidRPr="00A52585">
        <w:rPr>
          <w:rFonts w:hint="cs"/>
          <w:sz w:val="24"/>
          <w:szCs w:val="24"/>
          <w:rtl/>
        </w:rPr>
        <w:t xml:space="preserve"> الخفاجي في (نسيم الرياض)</w:t>
      </w:r>
      <w:r w:rsidRPr="00A52585">
        <w:rPr>
          <w:rFonts w:hint="cs"/>
          <w:sz w:val="24"/>
          <w:szCs w:val="24"/>
          <w:rtl/>
        </w:rPr>
        <w:t xml:space="preserve">: </w:t>
      </w:r>
      <w:r w:rsidR="00777DCB" w:rsidRPr="00A52585">
        <w:rPr>
          <w:rFonts w:hint="cs"/>
          <w:sz w:val="24"/>
          <w:szCs w:val="24"/>
          <w:rtl/>
        </w:rPr>
        <w:t>"حديث ابن عمر رواه ابن خزيمة والبزار والطبراني والذهبي وحسنه، وله طرق وشواهد تعضده والطعن في روايته مردود كما بينه السبكي وقول البيهقي إنه منكر يجاب عنه بأن معناه انفرد به راويه، والتفرد قد يطلق عليه ذلك</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آخر ما ذكره، وانظر تفصيل هذه الأقوال في (نصرة الإمام السبكي) وانظر كذلك تحقيق صحة هذا الحديث ومناقشة طرقه ورجالها للإمام السبكي في (شفاء السقام) بما يجعل كل ذي لبّ وإنصاف يسلِّم بصحة الحديث ثم قال</w:t>
      </w:r>
      <w:r w:rsidRPr="00A52585">
        <w:rPr>
          <w:rFonts w:hint="cs"/>
          <w:sz w:val="24"/>
          <w:szCs w:val="24"/>
          <w:rtl/>
        </w:rPr>
        <w:t xml:space="preserve">: </w:t>
      </w:r>
      <w:r w:rsidR="00777DCB" w:rsidRPr="00A52585">
        <w:rPr>
          <w:rFonts w:hint="cs"/>
          <w:sz w:val="24"/>
          <w:szCs w:val="24"/>
          <w:rtl/>
        </w:rPr>
        <w:t xml:space="preserve">" وبهذا </w:t>
      </w:r>
      <w:r w:rsidR="00777DCB" w:rsidRPr="00A52585">
        <w:rPr>
          <w:sz w:val="24"/>
          <w:szCs w:val="24"/>
        </w:rPr>
        <w:t>–</w:t>
      </w:r>
      <w:r w:rsidR="00777DCB" w:rsidRPr="00A52585">
        <w:rPr>
          <w:rFonts w:hint="cs"/>
          <w:sz w:val="24"/>
          <w:szCs w:val="24"/>
          <w:rtl/>
        </w:rPr>
        <w:t xml:space="preserve"> بل بأقل منه </w:t>
      </w:r>
      <w:r w:rsidR="00777DCB" w:rsidRPr="00A52585">
        <w:rPr>
          <w:sz w:val="24"/>
          <w:szCs w:val="24"/>
        </w:rPr>
        <w:t>–</w:t>
      </w:r>
      <w:r w:rsidR="00777DCB" w:rsidRPr="00A52585">
        <w:rPr>
          <w:rFonts w:hint="cs"/>
          <w:sz w:val="24"/>
          <w:szCs w:val="24"/>
          <w:rtl/>
        </w:rPr>
        <w:t xml:space="preserve"> يتبين افتراء من ادعى أن جميع الأحاديث الواردة في الزيارة موضوعة، فسبحان الله! أما استحى من الله ومن رسوله في هذه المقالة التي لم يسبقه إليها عالم ولا جاهل لا من أهل الحديث ولا من غيرهم ولا ذكر أحد موسى بن هلال ولا غيره من رواة حديثه هذا بالوضع ولا اتهمه به فيما علمنا، فكيف يستجيز مسلم أن يطلق على كل الأحاديث التي هو واحد منها أنها موضوعة ولم ينقل إليه ذلك عن عالم قبله ولا ظهر على هذا الحديث شيء من الأسباب المقيّضة للمحدثين الحكم بالوضع ولا حكم متنه بما يخالف الشريعة</w:t>
      </w:r>
      <w:r w:rsidR="00DB731D" w:rsidRPr="00A52585">
        <w:rPr>
          <w:rFonts w:hint="cs"/>
          <w:sz w:val="24"/>
          <w:szCs w:val="24"/>
          <w:rtl/>
        </w:rPr>
        <w:t>،</w:t>
      </w:r>
      <w:r w:rsidR="00777DCB" w:rsidRPr="00A52585">
        <w:rPr>
          <w:rFonts w:hint="cs"/>
          <w:sz w:val="24"/>
          <w:szCs w:val="24"/>
          <w:rtl/>
        </w:rPr>
        <w:t xml:space="preserve"> فمن أيّ وجه يحكم بالوضع عليه لو كان ضعيفاً</w:t>
      </w:r>
      <w:r w:rsidR="00F95886" w:rsidRPr="00A52585">
        <w:rPr>
          <w:rFonts w:hint="cs"/>
          <w:sz w:val="24"/>
          <w:szCs w:val="24"/>
          <w:rtl/>
        </w:rPr>
        <w:t>؟</w:t>
      </w:r>
      <w:r w:rsidR="00777DCB" w:rsidRPr="00A52585">
        <w:rPr>
          <w:rFonts w:hint="cs"/>
          <w:sz w:val="24"/>
          <w:szCs w:val="24"/>
          <w:rtl/>
        </w:rPr>
        <w:t xml:space="preserve"> فكيف وهو حسن أو صحيح</w:t>
      </w:r>
      <w:r w:rsidR="00F95886" w:rsidRPr="00A52585">
        <w:rPr>
          <w:rFonts w:hint="cs"/>
          <w:sz w:val="24"/>
          <w:szCs w:val="24"/>
          <w:rtl/>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أهـ ص 12 وأورد بعد هذا الحديث أربعة عشر حديثاً تنص على الزيارة كشواهد ومتابعات تعضد الحديث السابق بخلاف باقي الأدلة التي ليس فيها لفظ الزيارة ومن ذلك يتضح عذر من قال بتكفير ابن تيمية من علماء عصره </w:t>
      </w:r>
      <w:r w:rsidR="00777DCB" w:rsidRPr="00A52585">
        <w:rPr>
          <w:sz w:val="24"/>
          <w:szCs w:val="24"/>
        </w:rPr>
        <w:t>–</w:t>
      </w:r>
      <w:r w:rsidR="00777DCB" w:rsidRPr="00A52585">
        <w:rPr>
          <w:rFonts w:hint="cs"/>
          <w:sz w:val="24"/>
          <w:szCs w:val="24"/>
          <w:rtl/>
        </w:rPr>
        <w:t xml:space="preserve"> وإن كنا نتوقف عن ذلك </w:t>
      </w:r>
      <w:r w:rsidR="00777DCB" w:rsidRPr="00A52585">
        <w:rPr>
          <w:sz w:val="24"/>
          <w:szCs w:val="24"/>
        </w:rPr>
        <w:t>–</w:t>
      </w:r>
      <w:r w:rsidR="00777DCB" w:rsidRPr="00A52585">
        <w:rPr>
          <w:rFonts w:hint="cs"/>
          <w:sz w:val="24"/>
          <w:szCs w:val="24"/>
          <w:rtl/>
        </w:rPr>
        <w:t xml:space="preserve"> لتحريمه زيارة قبر رسول الله صلى الله عليه وسلم بعد تحريمه التوسل والاستغاثة به لأن ذلك انتقاص من قدره صلى الله عليه وسلم من رجل تخصصه الأول كما يدعي هو علم الحديث وانظر(رفع المنارة) ص280 حديث رقم 17 وقد ناقش فيه الشيخ محمود سعيد طرق الحديث ورجاله باستفاضة ورد شبه المبتدعة فجزاه الله خير الجزاء</w:t>
      </w:r>
      <w:r w:rsidRPr="00A52585">
        <w:rPr>
          <w:rFonts w:hint="cs"/>
          <w:sz w:val="24"/>
          <w:szCs w:val="24"/>
          <w:rtl/>
        </w:rPr>
        <w:t>]</w:t>
      </w:r>
      <w:r w:rsidR="00DB731D" w:rsidRPr="00A52585">
        <w:rPr>
          <w:rFonts w:hint="cs"/>
          <w:sz w:val="24"/>
          <w:szCs w:val="24"/>
          <w:rtl/>
        </w:rPr>
        <w:t>،</w:t>
      </w:r>
      <w:r w:rsidR="00777DCB" w:rsidRPr="00A52585">
        <w:rPr>
          <w:rFonts w:hint="cs"/>
          <w:rtl/>
        </w:rPr>
        <w:t xml:space="preserve"> قال أئمة الحديث</w:t>
      </w:r>
      <w:r w:rsidRPr="00A52585">
        <w:rPr>
          <w:rFonts w:hint="cs"/>
          <w:rtl/>
        </w:rPr>
        <w:t>:</w:t>
      </w:r>
      <w:r w:rsidR="00777DCB" w:rsidRPr="00A52585">
        <w:rPr>
          <w:rFonts w:hint="cs"/>
          <w:rtl/>
        </w:rPr>
        <w:t xml:space="preserve"> والحديث أو الأحاديث وإن لانت أسانيد مفرداتها فمجموعها يقوي بعضها بعضاً ويصير الحديث حديثاً حسناً ويحتج به</w:t>
      </w:r>
      <w:r w:rsidR="00DB731D" w:rsidRPr="00A52585">
        <w:rPr>
          <w:rFonts w:hint="cs"/>
          <w:rtl/>
        </w:rPr>
        <w:t>،</w:t>
      </w:r>
      <w:r w:rsidR="00777DCB" w:rsidRPr="00A52585">
        <w:rPr>
          <w:rFonts w:hint="cs"/>
          <w:rtl/>
        </w:rPr>
        <w:t xml:space="preserve"> وممن ذكر ذلك أبو زكريا النووي ذكره في شرح المهذب في كتاب الحج. وهي فائدة جليلة ينبغي معرفتها ليعلم بها جهل هذا الفاجر المبالغ في فجوره</w:t>
      </w:r>
      <w:r w:rsidR="00DB731D" w:rsidRPr="00A52585">
        <w:rPr>
          <w:rFonts w:hint="cs"/>
          <w:rtl/>
        </w:rPr>
        <w:t>،</w:t>
      </w:r>
      <w:r w:rsidR="00777DCB" w:rsidRPr="00A52585">
        <w:rPr>
          <w:rFonts w:hint="cs"/>
          <w:rtl/>
        </w:rPr>
        <w:t xml:space="preserve"> </w:t>
      </w:r>
      <w:r w:rsidR="00777DCB" w:rsidRPr="00A52585">
        <w:rPr>
          <w:rFonts w:hint="cs"/>
          <w:rtl/>
        </w:rPr>
        <w:lastRenderedPageBreak/>
        <w:t>وقوله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وجبت له شفاعتي</w:t>
      </w:r>
      <w:r w:rsidRPr="00A52585">
        <w:rPr>
          <w:rFonts w:hint="cs"/>
          <w:rtl/>
        </w:rPr>
        <w:t>)</w:t>
      </w:r>
      <w:r w:rsidR="00777DCB" w:rsidRPr="00A52585">
        <w:rPr>
          <w:rFonts w:hint="cs"/>
          <w:rtl/>
        </w:rPr>
        <w:t>) معناه</w:t>
      </w:r>
      <w:r w:rsidRPr="00A52585">
        <w:rPr>
          <w:rFonts w:hint="cs"/>
          <w:rtl/>
        </w:rPr>
        <w:t>:</w:t>
      </w:r>
      <w:r w:rsidR="00777DCB" w:rsidRPr="00A52585">
        <w:rPr>
          <w:rFonts w:hint="cs"/>
          <w:rtl/>
        </w:rPr>
        <w:t xml:space="preserve"> حقت ولابد </w:t>
      </w:r>
      <w:r w:rsidR="00777DCB" w:rsidRPr="00A52585">
        <w:rPr>
          <w:rFonts w:hint="cs"/>
          <w:spacing w:val="-2"/>
          <w:rtl/>
        </w:rPr>
        <w:t>منها بوعده الصادق وفي ذلك بشارة عظيمة لزيارة قبره الشريف وهي أن من زراه محتسباً مات على التوحيد. وهذه البشارة العظيمة من ثمرة زيارة قبره المكرم صلى الله عليه وسلم وفي قوله عليه الصلاة والسلام</w:t>
      </w:r>
      <w:r w:rsidRPr="00A52585">
        <w:rPr>
          <w:rFonts w:hint="cs"/>
          <w:spacing w:val="-2"/>
          <w:rtl/>
        </w:rPr>
        <w:t>:</w:t>
      </w:r>
      <w:r w:rsidR="00777DCB" w:rsidRPr="00A52585">
        <w:rPr>
          <w:rFonts w:hint="cs"/>
          <w:spacing w:val="-2"/>
          <w:rtl/>
        </w:rPr>
        <w:t xml:space="preserve"> وجبت له شفاعتي. تحقيق لما قلته لأجل إضافة الشفاعة إليه ولأنه عليه الصلاة والسلام مشفع لا ترد شفاعته لا في حياته ولا بعد وفاته ولا في عرصات القيامة</w:t>
      </w:r>
      <w:r w:rsidR="00DB731D" w:rsidRPr="00A52585">
        <w:rPr>
          <w:rFonts w:hint="cs"/>
          <w:spacing w:val="-2"/>
          <w:rtl/>
        </w:rPr>
        <w:t>،</w:t>
      </w:r>
      <w:r w:rsidR="00777DCB" w:rsidRPr="00A52585">
        <w:rPr>
          <w:rFonts w:hint="cs"/>
          <w:spacing w:val="-2"/>
          <w:rtl/>
        </w:rPr>
        <w:t xml:space="preserve"> </w:t>
      </w:r>
      <w:r w:rsidR="00777DCB" w:rsidRPr="00A52585">
        <w:rPr>
          <w:rFonts w:hint="cs"/>
          <w:bCs/>
          <w:rtl/>
        </w:rPr>
        <w:t>[2-]</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حلت له شفاعتي</w:t>
      </w:r>
      <w:r w:rsidRPr="00A52585">
        <w:rPr>
          <w:rFonts w:hint="cs"/>
          <w:rtl/>
        </w:rPr>
        <w:t>)</w:t>
      </w:r>
      <w:r w:rsidR="00777DCB" w:rsidRPr="00A52585">
        <w:rPr>
          <w:rFonts w:hint="cs"/>
          <w:rtl/>
        </w:rPr>
        <w:t xml:space="preserve">) </w:t>
      </w:r>
      <w:r w:rsidR="00777DCB" w:rsidRPr="00A52585">
        <w:rPr>
          <w:rFonts w:hint="cs"/>
          <w:spacing w:val="-6"/>
          <w:rtl/>
        </w:rPr>
        <w:t>رواه الحافظ البزار في مسنده. وهو بهذا اللفظ في نسخة معتمدة وسمعها الحافظ أبو الحسين الصدفي على الإمام أبي عبد الله</w:t>
      </w:r>
      <w:r w:rsidR="00777DCB" w:rsidRPr="00A52585">
        <w:rPr>
          <w:rFonts w:hint="cs"/>
          <w:spacing w:val="-18"/>
          <w:rtl/>
        </w:rPr>
        <w:t xml:space="preserve"> </w:t>
      </w:r>
      <w:proofErr w:type="spellStart"/>
      <w:r w:rsidR="00777DCB" w:rsidRPr="00A52585">
        <w:rPr>
          <w:rFonts w:hint="cs"/>
          <w:spacing w:val="-18"/>
          <w:rtl/>
        </w:rPr>
        <w:t>قورتش</w:t>
      </w:r>
      <w:proofErr w:type="spellEnd"/>
      <w:r w:rsidR="00777DCB" w:rsidRPr="00A52585">
        <w:rPr>
          <w:rFonts w:hint="cs"/>
          <w:spacing w:val="-18"/>
          <w:rtl/>
        </w:rPr>
        <w:t xml:space="preserve"> سنة </w:t>
      </w:r>
      <w:r w:rsidR="00777DCB" w:rsidRPr="00A52585">
        <w:rPr>
          <w:rFonts w:hint="cs"/>
          <w:spacing w:val="-6"/>
          <w:rtl/>
        </w:rPr>
        <w:t>ثمانين وأربعمائة. ومعني حلت</w:t>
      </w:r>
      <w:r w:rsidRPr="00A52585">
        <w:rPr>
          <w:rFonts w:hint="cs"/>
          <w:spacing w:val="-6"/>
          <w:rtl/>
        </w:rPr>
        <w:t>:</w:t>
      </w:r>
      <w:r w:rsidR="00777DCB" w:rsidRPr="00A52585">
        <w:rPr>
          <w:rFonts w:hint="cs"/>
          <w:rtl/>
        </w:rPr>
        <w:t xml:space="preserve"> وجبت. وقد عزى عبد الحق هذا الحديث إلى البزار </w:t>
      </w:r>
      <w:proofErr w:type="spellStart"/>
      <w:r w:rsidR="00777DCB" w:rsidRPr="00A52585">
        <w:rPr>
          <w:rFonts w:hint="cs"/>
          <w:rtl/>
        </w:rPr>
        <w:t>والدراقطني</w:t>
      </w:r>
      <w:proofErr w:type="spellEnd"/>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(من زار قبري حلت له شفاعتي) هو بعينه الحديث السابق والذي فيه (وجبت) بدلا من (حلت) لكن سند هذا الحديث عند البزار فيه رجلان ضعيفان هما</w:t>
      </w:r>
      <w:r w:rsidRPr="00A52585">
        <w:rPr>
          <w:rFonts w:hint="cs"/>
          <w:sz w:val="24"/>
          <w:szCs w:val="24"/>
          <w:rtl/>
        </w:rPr>
        <w:t>:</w:t>
      </w:r>
      <w:r w:rsidR="00777DCB" w:rsidRPr="00A52585">
        <w:rPr>
          <w:rFonts w:hint="cs"/>
          <w:sz w:val="24"/>
          <w:szCs w:val="24"/>
          <w:rtl/>
        </w:rPr>
        <w:t xml:space="preserve"> عبد الله بن إبراهيم الغفاري، عبد الرحمن بن زيد بن أسلم يقول الإمام السبكي في (شفاء السقام)</w:t>
      </w:r>
      <w:r w:rsidRPr="00A52585">
        <w:rPr>
          <w:rFonts w:hint="cs"/>
          <w:sz w:val="24"/>
          <w:szCs w:val="24"/>
          <w:rtl/>
        </w:rPr>
        <w:t xml:space="preserve">: </w:t>
      </w:r>
      <w:r w:rsidR="00777DCB" w:rsidRPr="00A52585">
        <w:rPr>
          <w:rFonts w:hint="cs"/>
          <w:sz w:val="24"/>
          <w:szCs w:val="24"/>
          <w:rtl/>
        </w:rPr>
        <w:t xml:space="preserve">"وإذا كان المقصود من هذا الحديث تقوية الأول </w:t>
      </w:r>
      <w:r w:rsidR="00777DCB" w:rsidRPr="00A52585">
        <w:rPr>
          <w:sz w:val="24"/>
          <w:szCs w:val="24"/>
        </w:rPr>
        <w:t>–</w:t>
      </w:r>
      <w:r w:rsidR="00777DCB" w:rsidRPr="00A52585">
        <w:rPr>
          <w:rFonts w:hint="cs"/>
          <w:sz w:val="24"/>
          <w:szCs w:val="24"/>
          <w:rtl/>
        </w:rPr>
        <w:t xml:space="preserve"> يقصد (من زار قبري وجبت له شفاعتي) </w:t>
      </w:r>
      <w:r w:rsidR="00777DCB" w:rsidRPr="00A52585">
        <w:rPr>
          <w:sz w:val="24"/>
          <w:szCs w:val="24"/>
        </w:rPr>
        <w:t>–</w:t>
      </w:r>
      <w:r w:rsidR="00777DCB" w:rsidRPr="00A52585">
        <w:rPr>
          <w:rFonts w:hint="cs"/>
          <w:sz w:val="24"/>
          <w:szCs w:val="24"/>
          <w:rtl/>
        </w:rPr>
        <w:t xml:space="preserve"> به وشهادته له لم يضر ما قيل في هذين الرجلين إذ ليس راجعاً إلى تهمة كذب ولا فسق ومثل هذا يحتمل في المتابعات والشواهد "</w:t>
      </w:r>
      <w:r w:rsidRPr="00A52585">
        <w:rPr>
          <w:rFonts w:hint="cs"/>
          <w:sz w:val="24"/>
          <w:szCs w:val="24"/>
          <w:rtl/>
        </w:rPr>
        <w:t xml:space="preserve"> </w:t>
      </w:r>
      <w:r w:rsidR="00777DCB" w:rsidRPr="00A52585">
        <w:rPr>
          <w:rFonts w:hint="cs"/>
          <w:sz w:val="24"/>
          <w:szCs w:val="24"/>
          <w:rtl/>
        </w:rPr>
        <w:t>أهـ ص 14 وهذا هو الحديث الثاني من الأحاديث التي استدل بها السبكي في كتابه وانظر (رفع المنارة) ص 347 حديث رقم 26</w:t>
      </w:r>
      <w:r w:rsidRPr="00A52585">
        <w:rPr>
          <w:rFonts w:hint="cs"/>
          <w:sz w:val="24"/>
          <w:szCs w:val="24"/>
          <w:rtl/>
        </w:rPr>
        <w:t>]</w:t>
      </w:r>
      <w:r w:rsidR="00DB731D" w:rsidRPr="00A52585">
        <w:rPr>
          <w:rFonts w:hint="cs"/>
          <w:sz w:val="24"/>
          <w:rtl/>
        </w:rPr>
        <w:t>،</w:t>
      </w:r>
      <w:r w:rsidR="00777DCB" w:rsidRPr="00A52585">
        <w:rPr>
          <w:rFonts w:hint="cs"/>
          <w:rtl/>
        </w:rPr>
        <w:t xml:space="preserve"> </w:t>
      </w:r>
      <w:r w:rsidR="00777DCB" w:rsidRPr="00A52585">
        <w:rPr>
          <w:rFonts w:hint="cs"/>
          <w:bCs/>
          <w:rtl/>
        </w:rPr>
        <w:t xml:space="preserve">[3-] </w:t>
      </w:r>
      <w:r w:rsidR="00777DCB" w:rsidRPr="00A52585">
        <w:rPr>
          <w:rFonts w:hint="cs"/>
          <w:rtl/>
        </w:rPr>
        <w:t>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حج فزار قبري بعد وفاتي فكأنما زارني في حياتي</w:t>
      </w:r>
      <w:r w:rsidRPr="00A52585">
        <w:rPr>
          <w:rFonts w:hint="cs"/>
          <w:rtl/>
        </w:rPr>
        <w:t>)</w:t>
      </w:r>
      <w:r w:rsidR="00777DCB" w:rsidRPr="00A52585">
        <w:rPr>
          <w:rFonts w:hint="cs"/>
          <w:rtl/>
        </w:rPr>
        <w:t xml:space="preserve">) رواه </w:t>
      </w:r>
      <w:proofErr w:type="spellStart"/>
      <w:r w:rsidR="00777DCB" w:rsidRPr="00A52585">
        <w:rPr>
          <w:rFonts w:hint="cs"/>
          <w:rtl/>
        </w:rPr>
        <w:t>الدراقطني</w:t>
      </w:r>
      <w:proofErr w:type="spellEnd"/>
      <w:r w:rsidR="00777DCB" w:rsidRPr="00A52585">
        <w:rPr>
          <w:rFonts w:hint="cs"/>
          <w:rtl/>
        </w:rPr>
        <w:t xml:space="preserve"> في سننه وغيرها. وفي رواية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lang w:bidi="ar-KW"/>
        </w:rPr>
        <w:t xml:space="preserve">.. </w:t>
      </w:r>
      <w:r w:rsidR="00777DCB" w:rsidRPr="00A52585">
        <w:rPr>
          <w:rFonts w:hint="cs"/>
          <w:rtl/>
        </w:rPr>
        <w:t>ومن مات بإحدى الحرمين بعث في الآمنين يوم القيامة</w:t>
      </w:r>
      <w:r w:rsidRPr="00A52585">
        <w:rPr>
          <w:rFonts w:hint="cs"/>
          <w:rtl/>
        </w:rPr>
        <w:t>)</w:t>
      </w:r>
      <w:r w:rsidR="00777DCB" w:rsidRPr="00A52585">
        <w:rPr>
          <w:rFonts w:hint="cs"/>
          <w:rtl/>
        </w:rPr>
        <w:t>) ورواه غير واحد وهو من حديث ابن عمر رضي الله عنهما وروي من طرق ورواه الحافظ بن عدي في كتابه الكامل بزيادة 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حج فزار قبري بعد موتي كان كمن زارني في حياتي وصحبني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 xml:space="preserve">وذكر البيهقي في سننه أنه ذكره بن عدي وخرجه هو بدون هذه (159/أ) الزيادة. وخرجه الحافظ بن عساكر من حديث ابن عمر رضي الله عنهما قال </w:t>
      </w:r>
      <w:proofErr w:type="spellStart"/>
      <w:r w:rsidR="00777DCB" w:rsidRPr="00A52585">
        <w:rPr>
          <w:rFonts w:hint="cs"/>
          <w:rtl/>
        </w:rPr>
        <w:t>قال</w:t>
      </w:r>
      <w:proofErr w:type="spellEnd"/>
      <w:r w:rsidR="00777DCB" w:rsidRPr="00A52585">
        <w:rPr>
          <w:rFonts w:hint="cs"/>
          <w:rtl/>
        </w:rPr>
        <w:t xml:space="preserve">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حج فزار قبري بعد موتي كان كمن زارني في حياتي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زاد السهمي</w:t>
      </w:r>
      <w:r w:rsidRPr="00A52585">
        <w:rPr>
          <w:rFonts w:hint="cs"/>
          <w:rtl/>
        </w:rPr>
        <w:t>:</w:t>
      </w:r>
      <w:r w:rsidR="00777DCB" w:rsidRPr="00A52585">
        <w:rPr>
          <w:rFonts w:hint="cs"/>
          <w:rtl/>
        </w:rPr>
        <w:t xml:space="preserve"> وصحبني ورواه الحافظ بن الجوزي بهذه الزيادة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هو الحديث الرابع في قائمة الأحاديث التي استدل بها الإمام السبكي وقد بين طرقه وناقش أسانيدها والمقصود من ذكر هذا الحديث عنده تقوية الحديث الأول إذ ليس في رواة (من حج فزار قبري</w:t>
      </w:r>
      <w:r w:rsidRPr="00A52585">
        <w:rPr>
          <w:rFonts w:hint="cs"/>
          <w:sz w:val="24"/>
          <w:szCs w:val="24"/>
          <w:rtl/>
        </w:rPr>
        <w:t>)</w:t>
      </w:r>
      <w:r w:rsidR="00777DCB" w:rsidRPr="00A52585">
        <w:rPr>
          <w:rFonts w:hint="cs"/>
          <w:sz w:val="24"/>
          <w:szCs w:val="24"/>
          <w:rtl/>
        </w:rPr>
        <w:t>كذَّاب وانظر (رفع المنارة) ص 337 حديث رقم 23</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r w:rsidR="00777DCB" w:rsidRPr="00A52585">
        <w:rPr>
          <w:rFonts w:hint="cs"/>
          <w:bCs/>
          <w:rtl/>
        </w:rPr>
        <w:t>[4-]</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حج البيت ولم يزرني فقد جفاني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 xml:space="preserve">رواه بن عدي في كتابه الكامل وغيره وهو من حديث ابن عمر رضي الله عنهما وخرجه </w:t>
      </w:r>
      <w:proofErr w:type="spellStart"/>
      <w:r w:rsidR="00777DCB" w:rsidRPr="00A52585">
        <w:rPr>
          <w:rFonts w:hint="cs"/>
          <w:rtl/>
        </w:rPr>
        <w:t>الدراقطني</w:t>
      </w:r>
      <w:proofErr w:type="spellEnd"/>
      <w:r w:rsidR="00777DCB" w:rsidRPr="00A52585">
        <w:rPr>
          <w:rFonts w:hint="cs"/>
          <w:rtl/>
        </w:rPr>
        <w:t xml:space="preserve"> في أحاديث مالك التي ليست في الموطأ وهو كتاب ضخم. وقال ابن الجوزي</w:t>
      </w:r>
      <w:r w:rsidRPr="00A52585">
        <w:rPr>
          <w:rFonts w:hint="cs"/>
          <w:rtl/>
        </w:rPr>
        <w:t>:</w:t>
      </w:r>
      <w:r w:rsidR="00777DCB" w:rsidRPr="00A52585">
        <w:rPr>
          <w:rFonts w:hint="cs"/>
          <w:rtl/>
        </w:rPr>
        <w:t xml:space="preserve"> إن هذا الحديث موضوع وقد نسب ابن الجوزي في ذلك إلى السرف فاعرف ذلك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هو الحديث الخامس عند الإمام السبكي في </w:t>
      </w:r>
      <w:r w:rsidR="00777DCB" w:rsidRPr="00A52585">
        <w:rPr>
          <w:rFonts w:hint="cs"/>
          <w:sz w:val="24"/>
          <w:szCs w:val="24"/>
          <w:rtl/>
        </w:rPr>
        <w:lastRenderedPageBreak/>
        <w:t>(شفاء السقام) وسبق الكلام عنه وهو يقوي الحديث الأول ويشهد له، كما أثبته الإمام السبكي بعد أن أوضح خطأ ابن الجوزي في ذكره هذا الحديث في الموضوعات وانظر (رفع النارة) ص 344 حديث رقم 25</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bCs/>
          <w:rtl/>
        </w:rPr>
        <w:t>[5-]</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أو زارني كنت له شفيعاً أو شهيداً</w:t>
      </w:r>
      <w:r w:rsidRPr="00A52585">
        <w:rPr>
          <w:rFonts w:hint="cs"/>
          <w:rtl/>
        </w:rPr>
        <w:t>)</w:t>
      </w:r>
      <w:r w:rsidR="00777DCB" w:rsidRPr="00A52585">
        <w:rPr>
          <w:rFonts w:hint="cs"/>
          <w:rtl/>
        </w:rPr>
        <w:t>) رواه أبو داو الطيالسي في مسنده وهو من حديث ابن عمر رضي الله عنهما ورواه إمام الأئمة ابن خزيمة ورواه البيهقي وابن عساكر من جهة الطيالسي وروي بزيادة قال أبو داود الطيالسي حدثنا سوار بن ميمون أبو الفرج العبدي قال حدثني رجل من آل عمر رضي الله عنه قال سمعت رسول الله صلى الله عليه وسلم</w:t>
      </w:r>
      <w:r w:rsidRPr="00A52585">
        <w:rPr>
          <w:rFonts w:hint="cs"/>
          <w:rtl/>
        </w:rPr>
        <w:t xml:space="preserve"> </w:t>
      </w:r>
      <w:r w:rsidR="00777DCB" w:rsidRPr="00A52585">
        <w:rPr>
          <w:rFonts w:hint="cs"/>
          <w:rtl/>
        </w:rPr>
        <w:t>يقول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من زار قبري أو قال زارني كنت له شفيعاً أو شهيداً ومن مات في </w:t>
      </w:r>
      <w:proofErr w:type="spellStart"/>
      <w:r w:rsidR="00777DCB" w:rsidRPr="00A52585">
        <w:rPr>
          <w:rFonts w:hint="cs"/>
          <w:rtl/>
        </w:rPr>
        <w:t>إحدي</w:t>
      </w:r>
      <w:proofErr w:type="spellEnd"/>
      <w:r w:rsidR="00777DCB" w:rsidRPr="00A52585">
        <w:rPr>
          <w:rFonts w:hint="cs"/>
          <w:rtl/>
        </w:rPr>
        <w:t xml:space="preserve"> الحرمين بعثه الله في الآمنين يوم القيامة</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[6-]</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متعمداً كان في جواري يوم القيامة(</w:t>
      </w:r>
      <w:r w:rsidRPr="00A52585">
        <w:rPr>
          <w:rFonts w:hint="cs"/>
          <w:rtl/>
        </w:rPr>
        <w:t>(</w:t>
      </w:r>
      <w:r w:rsidR="00777DCB" w:rsidRPr="00A52585">
        <w:rPr>
          <w:rFonts w:hint="cs"/>
          <w:rtl/>
        </w:rPr>
        <w:t xml:space="preserve">رواه أبو جعفر العقيلي وغيره ومنهم الحافظ ابن عساكر وفي رواية </w:t>
      </w:r>
      <w:proofErr w:type="spellStart"/>
      <w:r w:rsidR="00777DCB" w:rsidRPr="00A52585">
        <w:rPr>
          <w:rFonts w:hint="cs"/>
          <w:rtl/>
        </w:rPr>
        <w:t>الشحامي</w:t>
      </w:r>
      <w:proofErr w:type="spellEnd"/>
      <w:r w:rsidR="00DB731D" w:rsidRPr="00A52585">
        <w:rPr>
          <w:rFonts w:hint="cs"/>
          <w:rtl/>
        </w:rPr>
        <w:t>،</w:t>
      </w:r>
      <w:r w:rsidR="00777DCB" w:rsidRPr="00A52585">
        <w:rPr>
          <w:rFonts w:hint="cs"/>
          <w:rtl/>
        </w:rPr>
        <w:t xml:space="preserve"> قال حدثنا هرون بن قزعة عن رجل من آل الخطاب عن النبي صلى الله عليه وسلم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متعمداً كان في جواري يوم القيامة ومن سكن المدينة وصبر على بلائها كنت له شفيعاً أو شهيداً يوم القيامة. ومن مات في إحدى الحرمين بعث في الآمنين يوم القيامة</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ذكر الإمام السبكي هذا الحديث في (شفاء السقام) تحت عنوان</w:t>
      </w:r>
      <w:r w:rsidRPr="00A52585">
        <w:rPr>
          <w:rFonts w:hint="cs"/>
          <w:sz w:val="24"/>
          <w:szCs w:val="24"/>
          <w:rtl/>
        </w:rPr>
        <w:t>:</w:t>
      </w:r>
      <w:r w:rsidR="00777DCB" w:rsidRPr="00A52585">
        <w:rPr>
          <w:rFonts w:hint="cs"/>
          <w:sz w:val="24"/>
          <w:szCs w:val="24"/>
          <w:rtl/>
        </w:rPr>
        <w:t xml:space="preserve"> (الحديث السادس) وذكر لفظه</w:t>
      </w:r>
      <w:r w:rsidRPr="00A52585">
        <w:rPr>
          <w:rFonts w:hint="cs"/>
          <w:sz w:val="24"/>
          <w:szCs w:val="24"/>
          <w:rtl/>
        </w:rPr>
        <w:t xml:space="preserve">: </w:t>
      </w:r>
      <w:r w:rsidR="00777DCB" w:rsidRPr="00A52585">
        <w:rPr>
          <w:rFonts w:hint="cs"/>
          <w:sz w:val="24"/>
          <w:szCs w:val="24"/>
          <w:rtl/>
        </w:rPr>
        <w:t xml:space="preserve">"من زار قبري </w:t>
      </w:r>
      <w:r w:rsidR="00777DCB" w:rsidRPr="00A52585">
        <w:rPr>
          <w:sz w:val="24"/>
          <w:szCs w:val="24"/>
        </w:rPr>
        <w:t>–</w:t>
      </w:r>
      <w:r w:rsidR="00777DCB" w:rsidRPr="00A52585">
        <w:rPr>
          <w:rFonts w:hint="cs"/>
          <w:sz w:val="24"/>
          <w:szCs w:val="24"/>
          <w:rtl/>
        </w:rPr>
        <w:t xml:space="preserve"> أو زارني </w:t>
      </w:r>
      <w:r w:rsidR="00777DCB" w:rsidRPr="00A52585">
        <w:rPr>
          <w:sz w:val="24"/>
          <w:szCs w:val="24"/>
        </w:rPr>
        <w:t>–</w:t>
      </w:r>
      <w:r w:rsidR="00777DCB" w:rsidRPr="00A52585">
        <w:rPr>
          <w:rFonts w:hint="cs"/>
          <w:sz w:val="24"/>
          <w:szCs w:val="24"/>
          <w:rtl/>
        </w:rPr>
        <w:t xml:space="preserve"> كنت له شهيداً أو شفيعاً "</w:t>
      </w:r>
      <w:r w:rsidRPr="00A52585">
        <w:rPr>
          <w:rFonts w:hint="cs"/>
          <w:sz w:val="24"/>
          <w:szCs w:val="24"/>
          <w:rtl/>
        </w:rPr>
        <w:t xml:space="preserve"> </w:t>
      </w:r>
      <w:r w:rsidR="00777DCB" w:rsidRPr="00A52585">
        <w:rPr>
          <w:rFonts w:hint="cs"/>
          <w:sz w:val="24"/>
          <w:szCs w:val="24"/>
          <w:rtl/>
        </w:rPr>
        <w:t>وفي رواية بزيادة</w:t>
      </w:r>
      <w:r w:rsidRPr="00A52585">
        <w:rPr>
          <w:rFonts w:hint="cs"/>
          <w:sz w:val="24"/>
          <w:szCs w:val="24"/>
          <w:rtl/>
        </w:rPr>
        <w:t xml:space="preserve"> </w:t>
      </w:r>
      <w:r w:rsidR="00777DCB" w:rsidRPr="00A52585">
        <w:rPr>
          <w:rFonts w:hint="cs"/>
          <w:sz w:val="24"/>
          <w:szCs w:val="24"/>
          <w:rtl/>
        </w:rPr>
        <w:t>"ومن مات في أحد الحرمين بعثه الله عز وجل في الآمنين يوم القيامة "</w:t>
      </w:r>
      <w:r w:rsidRPr="00A52585">
        <w:rPr>
          <w:rFonts w:hint="cs"/>
          <w:sz w:val="24"/>
          <w:szCs w:val="24"/>
          <w:rtl/>
        </w:rPr>
        <w:t xml:space="preserve"> </w:t>
      </w:r>
      <w:r w:rsidR="00777DCB" w:rsidRPr="00A52585">
        <w:rPr>
          <w:rFonts w:hint="cs"/>
          <w:sz w:val="24"/>
          <w:szCs w:val="24"/>
          <w:rtl/>
        </w:rPr>
        <w:t>وذكر طرقه وناقشها باستفاضة وإنصاف كعادته ثم قال</w:t>
      </w:r>
      <w:r w:rsidRPr="00A52585">
        <w:rPr>
          <w:rFonts w:hint="cs"/>
          <w:sz w:val="24"/>
          <w:szCs w:val="24"/>
          <w:rtl/>
        </w:rPr>
        <w:t xml:space="preserve">: </w:t>
      </w:r>
      <w:r w:rsidR="00777DCB" w:rsidRPr="00A52585">
        <w:rPr>
          <w:rFonts w:hint="cs"/>
          <w:sz w:val="24"/>
          <w:szCs w:val="24"/>
          <w:rtl/>
        </w:rPr>
        <w:t>"فلم يبق في الإسناد من ينظر فيه إلا الرجل الذي من آل عمر والأمر فيه قريب لا سيما في هذا الطبقة التي هي طبقة التابعين "</w:t>
      </w:r>
      <w:r w:rsidRPr="00A52585">
        <w:rPr>
          <w:rFonts w:hint="cs"/>
          <w:sz w:val="24"/>
          <w:szCs w:val="24"/>
          <w:rtl/>
        </w:rPr>
        <w:t xml:space="preserve"> </w:t>
      </w:r>
      <w:r w:rsidR="00777DCB" w:rsidRPr="00A52585">
        <w:rPr>
          <w:rFonts w:hint="cs"/>
          <w:sz w:val="24"/>
          <w:szCs w:val="24"/>
          <w:rtl/>
        </w:rPr>
        <w:t xml:space="preserve">أهـ ص 26 وهو بهذا قد أثبت متابعة هذا </w:t>
      </w:r>
      <w:r w:rsidR="00777DCB" w:rsidRPr="00A52585">
        <w:rPr>
          <w:rFonts w:hint="cs"/>
          <w:spacing w:val="-2"/>
          <w:sz w:val="24"/>
          <w:szCs w:val="24"/>
          <w:rtl/>
        </w:rPr>
        <w:t>الحديث وشهادته لما سبقه من أحاديث ثم ذكر تحت عنوان (الحــديث السابـــع</w:t>
      </w:r>
      <w:r w:rsidR="00777DCB" w:rsidRPr="00A52585">
        <w:rPr>
          <w:rFonts w:hint="cs"/>
          <w:sz w:val="24"/>
          <w:szCs w:val="24"/>
          <w:rtl/>
        </w:rPr>
        <w:t>) اللفظ الآخــر== للحديث</w:t>
      </w:r>
      <w:r w:rsidRPr="00A52585">
        <w:rPr>
          <w:rFonts w:hint="cs"/>
          <w:sz w:val="24"/>
          <w:szCs w:val="24"/>
          <w:rtl/>
        </w:rPr>
        <w:t xml:space="preserve">: </w:t>
      </w:r>
      <w:r w:rsidR="00777DCB" w:rsidRPr="00A52585">
        <w:rPr>
          <w:rFonts w:hint="cs"/>
          <w:sz w:val="24"/>
          <w:szCs w:val="24"/>
          <w:rtl/>
        </w:rPr>
        <w:t>" من زارني متعمداً كان في جواري يوم القيامة "</w:t>
      </w:r>
      <w:r w:rsidRPr="00A52585">
        <w:rPr>
          <w:rFonts w:hint="cs"/>
          <w:sz w:val="24"/>
          <w:szCs w:val="24"/>
          <w:rtl/>
        </w:rPr>
        <w:t xml:space="preserve"> </w:t>
      </w:r>
      <w:r w:rsidR="00777DCB" w:rsidRPr="00A52585">
        <w:rPr>
          <w:rFonts w:hint="cs"/>
          <w:sz w:val="24"/>
          <w:szCs w:val="24"/>
          <w:rtl/>
        </w:rPr>
        <w:t xml:space="preserve">وزيادة </w:t>
      </w:r>
      <w:proofErr w:type="spellStart"/>
      <w:r w:rsidR="00777DCB" w:rsidRPr="00A52585">
        <w:rPr>
          <w:rFonts w:hint="cs"/>
          <w:sz w:val="24"/>
          <w:szCs w:val="24"/>
          <w:rtl/>
        </w:rPr>
        <w:t>الشحامي</w:t>
      </w:r>
      <w:proofErr w:type="spellEnd"/>
      <w:r w:rsidRPr="00A52585">
        <w:rPr>
          <w:rFonts w:hint="cs"/>
          <w:sz w:val="24"/>
          <w:szCs w:val="24"/>
          <w:rtl/>
        </w:rPr>
        <w:t xml:space="preserve">: </w:t>
      </w:r>
      <w:r w:rsidR="00777DCB" w:rsidRPr="00A52585">
        <w:rPr>
          <w:rFonts w:hint="cs"/>
          <w:sz w:val="24"/>
          <w:szCs w:val="24"/>
          <w:rtl/>
        </w:rPr>
        <w:t>"ومن سكن المدينة وصبر على بلائها كنت له شهيداً وشفيعاً يوم القيامة، ومن مات في أحد الحرمين بعثه الله في الآمنين "</w:t>
      </w:r>
      <w:r w:rsidRPr="00A52585">
        <w:rPr>
          <w:rFonts w:hint="cs"/>
          <w:sz w:val="24"/>
          <w:szCs w:val="24"/>
          <w:rtl/>
        </w:rPr>
        <w:t xml:space="preserve"> </w:t>
      </w:r>
      <w:r w:rsidR="00777DCB" w:rsidRPr="00A52585">
        <w:rPr>
          <w:rFonts w:hint="cs"/>
          <w:sz w:val="24"/>
          <w:szCs w:val="24"/>
          <w:rtl/>
        </w:rPr>
        <w:t>وفي رواية</w:t>
      </w:r>
      <w:r w:rsidRPr="00A52585">
        <w:rPr>
          <w:rFonts w:hint="cs"/>
          <w:sz w:val="24"/>
          <w:szCs w:val="24"/>
          <w:rtl/>
        </w:rPr>
        <w:t xml:space="preserve">: </w:t>
      </w:r>
      <w:r w:rsidR="00777DCB" w:rsidRPr="00A52585">
        <w:rPr>
          <w:rFonts w:hint="cs"/>
          <w:sz w:val="24"/>
          <w:szCs w:val="24"/>
          <w:rtl/>
        </w:rPr>
        <w:t>"من الآمنين يوم القيامة "</w:t>
      </w:r>
      <w:r w:rsidRPr="00A52585">
        <w:rPr>
          <w:rFonts w:hint="cs"/>
          <w:sz w:val="24"/>
          <w:szCs w:val="24"/>
          <w:rtl/>
        </w:rPr>
        <w:t xml:space="preserve"> </w:t>
      </w:r>
      <w:r w:rsidR="00777DCB" w:rsidRPr="00A52585">
        <w:rPr>
          <w:rFonts w:hint="cs"/>
          <w:sz w:val="24"/>
          <w:szCs w:val="24"/>
          <w:rtl/>
        </w:rPr>
        <w:t>وناقش حال الرجل المجهول من آل الخطاب وهل هو كما ذكرت هذه الروايات أم أنه (رجل من آل حاطب) كما ذكر ا لبخاري في (التاريخ) وكما قال ابن حبان</w:t>
      </w:r>
      <w:r w:rsidRPr="00A52585">
        <w:rPr>
          <w:rFonts w:hint="cs"/>
          <w:sz w:val="24"/>
          <w:szCs w:val="24"/>
          <w:rtl/>
        </w:rPr>
        <w:t xml:space="preserve">: </w:t>
      </w:r>
      <w:r w:rsidR="00777DCB" w:rsidRPr="00A52585">
        <w:rPr>
          <w:rFonts w:hint="cs"/>
          <w:sz w:val="24"/>
          <w:szCs w:val="24"/>
          <w:rtl/>
        </w:rPr>
        <w:t>" هارون بن قزعة ثقة يروي عن رجل من آل حاطب المراسيل"</w:t>
      </w:r>
      <w:r w:rsidR="00F95886" w:rsidRPr="00A52585">
        <w:rPr>
          <w:rFonts w:hint="cs"/>
          <w:sz w:val="24"/>
          <w:szCs w:val="24"/>
          <w:rtl/>
        </w:rPr>
        <w:t>؟</w:t>
      </w:r>
      <w:r w:rsidR="00777DCB" w:rsidRPr="00A52585">
        <w:rPr>
          <w:rFonts w:hint="cs"/>
          <w:sz w:val="24"/>
          <w:szCs w:val="24"/>
          <w:rtl/>
        </w:rPr>
        <w:t xml:space="preserve"> قال الإمام السبكي</w:t>
      </w:r>
      <w:r w:rsidRPr="00A52585">
        <w:rPr>
          <w:rFonts w:hint="cs"/>
          <w:sz w:val="24"/>
          <w:szCs w:val="24"/>
          <w:rtl/>
        </w:rPr>
        <w:t xml:space="preserve">: </w:t>
      </w:r>
      <w:r w:rsidR="00777DCB" w:rsidRPr="00A52585">
        <w:rPr>
          <w:rFonts w:hint="cs"/>
          <w:sz w:val="24"/>
          <w:szCs w:val="24"/>
          <w:rtl/>
        </w:rPr>
        <w:t>"وعلى كلا التقديرين فهو مرسل جيد "</w:t>
      </w:r>
      <w:r w:rsidRPr="00A52585">
        <w:rPr>
          <w:rFonts w:hint="cs"/>
          <w:sz w:val="24"/>
          <w:szCs w:val="24"/>
          <w:rtl/>
        </w:rPr>
        <w:t xml:space="preserve"> </w:t>
      </w:r>
      <w:r w:rsidR="00777DCB" w:rsidRPr="00A52585">
        <w:rPr>
          <w:rFonts w:hint="cs"/>
          <w:sz w:val="24"/>
          <w:szCs w:val="24"/>
          <w:rtl/>
        </w:rPr>
        <w:t xml:space="preserve">أهـ ص 27 أي أنه كسابقه يقوي أحاديث الزيارة ويشهد لها وأورد هذا الحديث الحافظ ابن حجر في كتابه (المطالب العالية) ج1 ص 371 قال محققه الشيخ حبيب الرحمن </w:t>
      </w:r>
      <w:proofErr w:type="spellStart"/>
      <w:r w:rsidR="00777DCB" w:rsidRPr="00A52585">
        <w:rPr>
          <w:rFonts w:hint="cs"/>
          <w:sz w:val="24"/>
          <w:szCs w:val="24"/>
          <w:rtl/>
        </w:rPr>
        <w:t>الأعظمى</w:t>
      </w:r>
      <w:proofErr w:type="spellEnd"/>
      <w:r w:rsidR="00777DCB" w:rsidRPr="00A52585">
        <w:rPr>
          <w:rFonts w:hint="cs"/>
          <w:sz w:val="24"/>
          <w:szCs w:val="24"/>
          <w:rtl/>
        </w:rPr>
        <w:t xml:space="preserve"> في التعليق</w:t>
      </w:r>
      <w:r w:rsidRPr="00A52585">
        <w:rPr>
          <w:rFonts w:hint="cs"/>
          <w:sz w:val="24"/>
          <w:szCs w:val="24"/>
          <w:rtl/>
        </w:rPr>
        <w:t xml:space="preserve">: </w:t>
      </w:r>
      <w:r w:rsidR="00777DCB" w:rsidRPr="00A52585">
        <w:rPr>
          <w:rFonts w:hint="cs"/>
          <w:sz w:val="24"/>
          <w:szCs w:val="24"/>
          <w:rtl/>
        </w:rPr>
        <w:t>"قال البوصيري</w:t>
      </w:r>
      <w:r w:rsidRPr="00A52585">
        <w:rPr>
          <w:rFonts w:hint="cs"/>
          <w:sz w:val="24"/>
          <w:szCs w:val="24"/>
          <w:rtl/>
        </w:rPr>
        <w:t>:</w:t>
      </w:r>
      <w:r w:rsidR="00777DCB" w:rsidRPr="00A52585">
        <w:rPr>
          <w:rFonts w:hint="cs"/>
          <w:sz w:val="24"/>
          <w:szCs w:val="24"/>
          <w:rtl/>
        </w:rPr>
        <w:t xml:space="preserve"> رواه الطيالسي بسند ضعيف لجهالة التابعي</w:t>
      </w:r>
      <w:r w:rsidR="00777DCB" w:rsidRPr="00A52585">
        <w:rPr>
          <w:sz w:val="24"/>
          <w:szCs w:val="24"/>
        </w:rPr>
        <w:t>…</w:t>
      </w:r>
      <w:r w:rsidR="00777DCB" w:rsidRPr="00A52585">
        <w:rPr>
          <w:rFonts w:hint="cs"/>
          <w:sz w:val="24"/>
          <w:szCs w:val="24"/>
          <w:rtl/>
        </w:rPr>
        <w:t xml:space="preserve"> وله شاهد عند أبي يعلي والطبراني بسند صحيح " أهـ</w:t>
      </w:r>
      <w:r w:rsidR="00DB731D" w:rsidRPr="00A52585">
        <w:rPr>
          <w:rFonts w:hint="cs"/>
          <w:sz w:val="24"/>
          <w:szCs w:val="24"/>
          <w:rtl/>
        </w:rPr>
        <w:t>،</w:t>
      </w:r>
      <w:r w:rsidR="00777DCB" w:rsidRPr="00A52585">
        <w:rPr>
          <w:rFonts w:hint="cs"/>
          <w:sz w:val="24"/>
          <w:szCs w:val="24"/>
          <w:rtl/>
        </w:rPr>
        <w:t xml:space="preserve"> انظر (رفع المنارة) ص 335 حديث رقم 22</w:t>
      </w:r>
      <w:r w:rsidRPr="00A52585">
        <w:rPr>
          <w:rFonts w:hint="cs"/>
          <w:sz w:val="24"/>
          <w:szCs w:val="24"/>
          <w:rtl/>
        </w:rPr>
        <w:t>]</w:t>
      </w:r>
      <w:r w:rsidR="00DB731D" w:rsidRPr="00A52585">
        <w:rPr>
          <w:rFonts w:hint="cs"/>
          <w:sz w:val="24"/>
          <w:szCs w:val="24"/>
          <w:rtl/>
        </w:rPr>
        <w:t>،</w:t>
      </w:r>
      <w:r w:rsidR="00777DCB" w:rsidRPr="00A52585">
        <w:rPr>
          <w:rFonts w:hint="cs"/>
          <w:rtl/>
        </w:rPr>
        <w:t xml:space="preserve"> ومن هو في جواره فهو في الآمنين لا محالة صلى الله عليه وسلم</w:t>
      </w:r>
      <w:r w:rsidR="00DB731D" w:rsidRPr="00A52585">
        <w:rPr>
          <w:rFonts w:hint="cs"/>
          <w:rtl/>
        </w:rPr>
        <w:t>،</w:t>
      </w:r>
      <w:r w:rsidR="00777DCB" w:rsidRPr="00A52585">
        <w:rPr>
          <w:rFonts w:hint="cs"/>
          <w:rtl/>
        </w:rPr>
        <w:t xml:space="preserve"> </w:t>
      </w:r>
      <w:r w:rsidR="00777DCB" w:rsidRPr="00A52585">
        <w:rPr>
          <w:rFonts w:hint="cs"/>
          <w:bCs/>
          <w:rtl/>
        </w:rPr>
        <w:t>[7-]</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حج حجة الإسلام وزار قبري وغزا غزوة وصلى في بيت المقدس لم يسأله الله فيما افترض عليه</w:t>
      </w:r>
      <w:r w:rsidRPr="00A52585">
        <w:rPr>
          <w:rFonts w:hint="cs"/>
          <w:rtl/>
        </w:rPr>
        <w:t>)</w:t>
      </w:r>
      <w:r w:rsidR="00777DCB" w:rsidRPr="00A52585">
        <w:rPr>
          <w:rFonts w:hint="cs"/>
          <w:rtl/>
        </w:rPr>
        <w:t>) رواه الحافظ أبو الفتح الأزدي في فوائده</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في إسناد هذا الحديث (أبو سهل بدر بن عبد الله المصيصي) قال عنه السبكي</w:t>
      </w:r>
      <w:r w:rsidRPr="00A52585">
        <w:rPr>
          <w:rFonts w:hint="cs"/>
          <w:sz w:val="24"/>
          <w:szCs w:val="24"/>
          <w:rtl/>
        </w:rPr>
        <w:t xml:space="preserve">: </w:t>
      </w:r>
      <w:r w:rsidR="00777DCB" w:rsidRPr="00A52585">
        <w:rPr>
          <w:rFonts w:hint="cs"/>
          <w:sz w:val="24"/>
          <w:szCs w:val="24"/>
          <w:rtl/>
        </w:rPr>
        <w:t xml:space="preserve">"ما </w:t>
      </w:r>
      <w:r w:rsidR="00777DCB" w:rsidRPr="00A52585">
        <w:rPr>
          <w:rFonts w:hint="cs"/>
          <w:sz w:val="24"/>
          <w:szCs w:val="24"/>
          <w:rtl/>
        </w:rPr>
        <w:lastRenderedPageBreak/>
        <w:t>علمت من حاله شيئاً "</w:t>
      </w:r>
      <w:r w:rsidRPr="00A52585">
        <w:rPr>
          <w:rFonts w:hint="cs"/>
          <w:sz w:val="24"/>
          <w:szCs w:val="24"/>
          <w:rtl/>
        </w:rPr>
        <w:t xml:space="preserve"> </w:t>
      </w:r>
      <w:r w:rsidR="00777DCB" w:rsidRPr="00A52585">
        <w:rPr>
          <w:rFonts w:hint="cs"/>
          <w:sz w:val="24"/>
          <w:szCs w:val="24"/>
          <w:rtl/>
        </w:rPr>
        <w:t>أهـ (شفاء السقام) ص 29 الحديث التاسع</w:t>
      </w:r>
      <w:r w:rsidR="00DB731D" w:rsidRPr="00A52585">
        <w:rPr>
          <w:rFonts w:hint="cs"/>
          <w:sz w:val="24"/>
          <w:szCs w:val="24"/>
          <w:rtl/>
        </w:rPr>
        <w:t>،</w:t>
      </w:r>
      <w:r w:rsidR="00777DCB" w:rsidRPr="00A52585">
        <w:rPr>
          <w:rFonts w:hint="cs"/>
          <w:sz w:val="24"/>
          <w:szCs w:val="24"/>
          <w:rtl/>
        </w:rPr>
        <w:t xml:space="preserve"> لكن ذكر الحافظ الذهبي عن بدر بن عبد الله المصيصي أنه أتى بخبر باطل علق الحافظ ابن حجر العسقلاني في (لسان الميزان) على ذلك بقوله</w:t>
      </w:r>
      <w:r w:rsidRPr="00A52585">
        <w:rPr>
          <w:rFonts w:hint="cs"/>
          <w:sz w:val="24"/>
          <w:szCs w:val="24"/>
          <w:rtl/>
        </w:rPr>
        <w:t xml:space="preserve">: </w:t>
      </w:r>
      <w:r w:rsidR="00777DCB" w:rsidRPr="00A52585">
        <w:rPr>
          <w:rFonts w:hint="cs"/>
          <w:sz w:val="24"/>
          <w:szCs w:val="24"/>
          <w:rtl/>
        </w:rPr>
        <w:t>"والخبر المذكور أخرجه أبو الفتح الأزدي في الثامن من فوائده قال</w:t>
      </w:r>
      <w:r w:rsidRPr="00A52585">
        <w:rPr>
          <w:rFonts w:hint="cs"/>
          <w:sz w:val="24"/>
          <w:szCs w:val="24"/>
          <w:rtl/>
        </w:rPr>
        <w:t>:</w:t>
      </w:r>
      <w:r w:rsidR="00777DCB" w:rsidRPr="00A52585">
        <w:rPr>
          <w:rFonts w:hint="cs"/>
          <w:sz w:val="24"/>
          <w:szCs w:val="24"/>
          <w:rtl/>
        </w:rPr>
        <w:t xml:space="preserve"> حدثنا النعمان بن هارون ثنا أبو سهل بدر بن عبد الله المصيصي ثنا الحسن بن عثمان الزيادي ثنا عمار بن محمد ثنا خالي سفيان عن منصور عن إبراهيم عن علقمة عن ابن مسعود قال</w:t>
      </w:r>
      <w:r w:rsidRPr="00A52585">
        <w:rPr>
          <w:rFonts w:hint="cs"/>
          <w:sz w:val="24"/>
          <w:szCs w:val="24"/>
          <w:rtl/>
        </w:rPr>
        <w:t>:</w:t>
      </w:r>
      <w:r w:rsidR="00777DCB" w:rsidRPr="00A52585">
        <w:rPr>
          <w:rFonts w:hint="cs"/>
          <w:sz w:val="24"/>
          <w:szCs w:val="24"/>
          <w:rtl/>
        </w:rPr>
        <w:t xml:space="preserve"> قال رسول الله صلى الله عليه وسلم (من حج حجة الإسلام</w:t>
      </w:r>
      <w:r w:rsidR="00777DCB" w:rsidRPr="00A52585">
        <w:rPr>
          <w:sz w:val="24"/>
          <w:szCs w:val="24"/>
        </w:rPr>
        <w:t>…</w:t>
      </w:r>
      <w:r w:rsidR="00777DCB" w:rsidRPr="00A52585">
        <w:rPr>
          <w:rFonts w:hint="cs"/>
          <w:sz w:val="24"/>
          <w:szCs w:val="24"/>
          <w:rtl/>
        </w:rPr>
        <w:t>) فذكر الخبر</w:t>
      </w:r>
      <w:r w:rsidR="00DB731D" w:rsidRPr="00A52585">
        <w:rPr>
          <w:rFonts w:hint="cs"/>
          <w:sz w:val="24"/>
          <w:szCs w:val="24"/>
          <w:rtl/>
        </w:rPr>
        <w:t>،</w:t>
      </w:r>
      <w:r w:rsidR="00777DCB" w:rsidRPr="00A52585">
        <w:rPr>
          <w:rFonts w:hint="cs"/>
          <w:sz w:val="24"/>
          <w:szCs w:val="24"/>
          <w:rtl/>
        </w:rPr>
        <w:t xml:space="preserve"> ويكون الخبر المذكور بهذا غير صالح للاحتجاج أو لتقوية غيره، وحجية الزيارة النبوية وثبوتها لا تحتاج مثل هذا الحديث</w:t>
      </w:r>
      <w:r w:rsidR="00DB731D" w:rsidRPr="00A52585">
        <w:rPr>
          <w:rFonts w:hint="cs"/>
          <w:sz w:val="24"/>
          <w:szCs w:val="24"/>
          <w:rtl/>
        </w:rPr>
        <w:t>،</w:t>
      </w:r>
      <w:r w:rsidR="00777DCB" w:rsidRPr="00A52585">
        <w:rPr>
          <w:rFonts w:hint="cs"/>
          <w:sz w:val="24"/>
          <w:szCs w:val="24"/>
          <w:rtl/>
        </w:rPr>
        <w:t xml:space="preserve"> انظر (رفع المنارة) ص 340 حديث رقم 24</w:t>
      </w:r>
      <w:r w:rsidRPr="00A52585">
        <w:rPr>
          <w:rFonts w:hint="cs"/>
          <w:sz w:val="24"/>
          <w:szCs w:val="24"/>
          <w:rtl/>
        </w:rPr>
        <w:t>]</w:t>
      </w:r>
      <w:r w:rsidR="00DB731D" w:rsidRPr="00A52585">
        <w:rPr>
          <w:rFonts w:hint="cs"/>
          <w:sz w:val="24"/>
          <w:szCs w:val="24"/>
          <w:rtl/>
        </w:rPr>
        <w:t>،</w:t>
      </w:r>
      <w:r w:rsidR="00777DCB" w:rsidRPr="00A52585">
        <w:rPr>
          <w:rFonts w:hint="cs"/>
          <w:rtl/>
        </w:rPr>
        <w:t xml:space="preserve"> وهذا أبو الفتح اسمه محمد بن الحسين وكان حافظاً ومن أهل العلم والفضل وصنف كتاباً في علم الحديث ذكره الخطيب البغدادي في تاريخه وابن السمعاني في الأنساب وأثنى عليه محمد بن جعفر بن غيلان وذكره في الحفاظ وحسن المعرفة بالحديث</w:t>
      </w:r>
      <w:r w:rsidR="00DB731D" w:rsidRPr="00A52585">
        <w:rPr>
          <w:rFonts w:hint="cs"/>
          <w:rtl/>
        </w:rPr>
        <w:t>،</w:t>
      </w:r>
      <w:r w:rsidR="00777DCB" w:rsidRPr="00A52585">
        <w:rPr>
          <w:rFonts w:hint="cs"/>
          <w:rtl/>
        </w:rPr>
        <w:t xml:space="preserve"> </w:t>
      </w:r>
      <w:r w:rsidR="00777DCB" w:rsidRPr="00A52585">
        <w:rPr>
          <w:rFonts w:hint="cs"/>
          <w:bCs/>
          <w:rtl/>
        </w:rPr>
        <w:t>[8-]</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محتسباً كنت له شفيعاً وشهيداً</w:t>
      </w:r>
      <w:r w:rsidRPr="00A52585">
        <w:rPr>
          <w:rFonts w:hint="cs"/>
          <w:rtl/>
        </w:rPr>
        <w:t>)</w:t>
      </w:r>
      <w:r w:rsidR="00777DCB" w:rsidRPr="00A52585">
        <w:rPr>
          <w:rFonts w:hint="cs"/>
          <w:rtl/>
        </w:rPr>
        <w:t>) وفي رواية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من زارني محتسباً إلى المدينة كان في جواري يوم </w:t>
      </w:r>
      <w:r w:rsidR="00777DCB" w:rsidRPr="00A52585">
        <w:rPr>
          <w:rFonts w:hint="cs"/>
          <w:spacing w:val="-10"/>
          <w:rtl/>
        </w:rPr>
        <w:t>القيامة</w:t>
      </w:r>
      <w:r w:rsidRPr="00A52585">
        <w:rPr>
          <w:rFonts w:hint="cs"/>
          <w:spacing w:val="-10"/>
          <w:rtl/>
        </w:rPr>
        <w:t>)</w:t>
      </w:r>
      <w:r w:rsidR="00777DCB" w:rsidRPr="00A52585">
        <w:rPr>
          <w:rFonts w:hint="cs"/>
          <w:spacing w:val="-10"/>
          <w:rtl/>
        </w:rPr>
        <w:t>)</w:t>
      </w:r>
      <w:r w:rsidR="00DB731D" w:rsidRPr="00A52585">
        <w:rPr>
          <w:rFonts w:hint="cs"/>
          <w:spacing w:val="-10"/>
          <w:rtl/>
        </w:rPr>
        <w:t>،</w:t>
      </w:r>
      <w:r w:rsidR="00777DCB" w:rsidRPr="00A52585">
        <w:rPr>
          <w:rFonts w:hint="cs"/>
          <w:spacing w:val="-10"/>
          <w:rtl/>
        </w:rPr>
        <w:t xml:space="preserve"> ومن رواية</w:t>
      </w:r>
      <w:r w:rsidR="00777DCB" w:rsidRPr="00A52585">
        <w:rPr>
          <w:rFonts w:hint="cs"/>
          <w:rtl/>
        </w:rPr>
        <w:t xml:space="preserve"> </w:t>
      </w:r>
      <w:proofErr w:type="spellStart"/>
      <w:r w:rsidR="00777DCB" w:rsidRPr="00A52585">
        <w:rPr>
          <w:rFonts w:hint="cs"/>
          <w:rtl/>
        </w:rPr>
        <w:t>أنسرضي</w:t>
      </w:r>
      <w:proofErr w:type="spellEnd"/>
      <w:r w:rsidR="00777DCB" w:rsidRPr="00A52585">
        <w:rPr>
          <w:rFonts w:hint="cs"/>
          <w:rtl/>
        </w:rPr>
        <w:t xml:space="preserve"> الله عنه ورواه </w:t>
      </w:r>
      <w:r w:rsidR="00777DCB" w:rsidRPr="00A52585">
        <w:rPr>
          <w:rFonts w:hint="cs"/>
          <w:spacing w:val="-8"/>
          <w:rtl/>
        </w:rPr>
        <w:t>غير واحد وممن ذكره ابن</w:t>
      </w:r>
      <w:r w:rsidR="00777DCB" w:rsidRPr="00A52585">
        <w:rPr>
          <w:rFonts w:hint="cs"/>
          <w:rtl/>
        </w:rPr>
        <w:t xml:space="preserve"> </w:t>
      </w:r>
      <w:r w:rsidR="00777DCB" w:rsidRPr="00A52585">
        <w:rPr>
          <w:rFonts w:hint="cs"/>
          <w:spacing w:val="-10"/>
          <w:rtl/>
        </w:rPr>
        <w:t>الجوزي في</w:t>
      </w:r>
      <w:r w:rsidR="00777DCB" w:rsidRPr="00A52585">
        <w:rPr>
          <w:rFonts w:hint="cs"/>
          <w:rtl/>
        </w:rPr>
        <w:t xml:space="preserve"> كتابه (مثير العزم</w:t>
      </w:r>
      <w:r w:rsidR="00777DCB" w:rsidRPr="00A52585">
        <w:rPr>
          <w:rFonts w:hint="cs"/>
          <w:vertAlign w:val="superscript"/>
          <w:rtl/>
        </w:rPr>
        <w:t xml:space="preserve"> </w:t>
      </w:r>
      <w:r w:rsidR="00777DCB" w:rsidRPr="00A52585">
        <w:rPr>
          <w:rFonts w:hint="cs"/>
          <w:rtl/>
        </w:rPr>
        <w:t xml:space="preserve">الساكن) وهو من طريق ابن أبي الدنيا وروي من طرق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هذا هو الحديث الحادي عشر في (شفاء السقام) ذكر له السبكي ثلاثة طرق تشترك جميعاً في وجود راو ضعيف هو (أبو المثني سليمان بن يزيد الكعبي الخزاعي) من السادسة أخرج له الترمذي وابن ماجه انظر(تقريب التهذيب) ج2 ص 469 يقول الإمام السبكي</w:t>
      </w:r>
      <w:r w:rsidRPr="00A52585">
        <w:rPr>
          <w:rFonts w:hint="cs"/>
          <w:sz w:val="24"/>
          <w:szCs w:val="24"/>
          <w:rtl/>
        </w:rPr>
        <w:t xml:space="preserve">: </w:t>
      </w:r>
      <w:r w:rsidR="00777DCB" w:rsidRPr="00A52585">
        <w:rPr>
          <w:rFonts w:hint="cs"/>
          <w:sz w:val="24"/>
          <w:szCs w:val="24"/>
          <w:rtl/>
        </w:rPr>
        <w:t>"وسليمان بن يزيد ذكره ابن حبان في الثقات وقال أبو حاتم الرازي إنه منكر الحديث ليس بقوي "</w:t>
      </w:r>
      <w:r w:rsidRPr="00A52585">
        <w:rPr>
          <w:rFonts w:hint="cs"/>
          <w:sz w:val="24"/>
          <w:szCs w:val="24"/>
          <w:rtl/>
        </w:rPr>
        <w:t xml:space="preserve"> </w:t>
      </w:r>
      <w:r w:rsidR="00777DCB" w:rsidRPr="00A52585">
        <w:rPr>
          <w:rFonts w:hint="cs"/>
          <w:sz w:val="24"/>
          <w:szCs w:val="24"/>
          <w:rtl/>
        </w:rPr>
        <w:t>أهـ (شفاء السقام) ص 31 يقول العلامة إبراهيم السمنودي المنصوري في رده على ابن عبد الهادي</w:t>
      </w:r>
      <w:r w:rsidRPr="00A52585">
        <w:rPr>
          <w:rFonts w:hint="cs"/>
          <w:sz w:val="24"/>
          <w:szCs w:val="24"/>
          <w:rtl/>
        </w:rPr>
        <w:t xml:space="preserve">: </w:t>
      </w:r>
      <w:r w:rsidR="00777DCB" w:rsidRPr="00A52585">
        <w:rPr>
          <w:rFonts w:hint="cs"/>
          <w:sz w:val="24"/>
          <w:szCs w:val="24"/>
          <w:rtl/>
        </w:rPr>
        <w:t>"وقوله</w:t>
      </w:r>
      <w:r w:rsidRPr="00A52585">
        <w:rPr>
          <w:rFonts w:hint="cs"/>
          <w:sz w:val="24"/>
          <w:szCs w:val="24"/>
          <w:rtl/>
        </w:rPr>
        <w:t>:</w:t>
      </w:r>
      <w:r w:rsidR="00777DCB" w:rsidRPr="00A52585">
        <w:rPr>
          <w:rFonts w:hint="cs"/>
          <w:sz w:val="24"/>
          <w:szCs w:val="24"/>
          <w:rtl/>
        </w:rPr>
        <w:t xml:space="preserve"> لا يجوز الاحتجاج به ولا الرواية عنه إلا للاعتبار (أقول فيه)</w:t>
      </w:r>
      <w:r w:rsidRPr="00A52585">
        <w:rPr>
          <w:rFonts w:hint="cs"/>
          <w:sz w:val="24"/>
          <w:szCs w:val="24"/>
          <w:rtl/>
        </w:rPr>
        <w:t>:</w:t>
      </w:r>
      <w:r w:rsidR="00777DCB" w:rsidRPr="00A52585">
        <w:rPr>
          <w:rFonts w:hint="cs"/>
          <w:sz w:val="24"/>
          <w:szCs w:val="24"/>
          <w:rtl/>
        </w:rPr>
        <w:t xml:space="preserve"> إن ما نحن فيه من هذا القبيل لأن التقي السبكي ذكره للمتابعة والاستشهاد لما سبق من الأحاديث والاعتبار عند المحدثين</w:t>
      </w:r>
      <w:r w:rsidRPr="00A52585">
        <w:rPr>
          <w:rFonts w:hint="cs"/>
          <w:sz w:val="24"/>
          <w:szCs w:val="24"/>
          <w:rtl/>
        </w:rPr>
        <w:t>:</w:t>
      </w:r>
      <w:r w:rsidR="00777DCB" w:rsidRPr="00A52585">
        <w:rPr>
          <w:rFonts w:hint="cs"/>
          <w:sz w:val="24"/>
          <w:szCs w:val="24"/>
          <w:rtl/>
        </w:rPr>
        <w:t xml:space="preserve"> هيئة التوصل إلى المتابع والشاهد وحينئذ فلا يتجه رد الخصم على السبكي في هذا الحديث "</w:t>
      </w:r>
      <w:r w:rsidRPr="00A52585">
        <w:rPr>
          <w:rFonts w:hint="cs"/>
          <w:sz w:val="24"/>
          <w:szCs w:val="24"/>
          <w:rtl/>
        </w:rPr>
        <w:t xml:space="preserve"> </w:t>
      </w:r>
      <w:r w:rsidR="00777DCB" w:rsidRPr="00A52585">
        <w:rPr>
          <w:rFonts w:hint="cs"/>
          <w:sz w:val="24"/>
          <w:szCs w:val="24"/>
          <w:rtl/>
        </w:rPr>
        <w:t>إلى آخر ما ذكره (نصرة الإمام السبكي) ص 166 وبهذا يثبت تقوية هذا الحديث لما سبقه من أحاديث باعتراف ابن عبد الهادي تلميذ ابن تيمية وذكره السيوطي في (الجامع الصغير) عن البيهقي في شعب الإيمان عن أنس وقال</w:t>
      </w:r>
      <w:r w:rsidRPr="00A52585">
        <w:rPr>
          <w:rFonts w:hint="cs"/>
          <w:sz w:val="24"/>
          <w:szCs w:val="24"/>
          <w:rtl/>
        </w:rPr>
        <w:t>:</w:t>
      </w:r>
      <w:r w:rsidR="00777DCB" w:rsidRPr="00A52585">
        <w:rPr>
          <w:rFonts w:hint="cs"/>
          <w:sz w:val="24"/>
          <w:szCs w:val="24"/>
          <w:rtl/>
        </w:rPr>
        <w:t xml:space="preserve"> حديث حسن</w:t>
      </w:r>
      <w:r w:rsidRPr="00A52585">
        <w:rPr>
          <w:rFonts w:hint="cs"/>
          <w:sz w:val="24"/>
          <w:szCs w:val="24"/>
          <w:rtl/>
        </w:rPr>
        <w:t xml:space="preserve"> </w:t>
      </w:r>
      <w:r w:rsidR="00777DCB" w:rsidRPr="00A52585">
        <w:rPr>
          <w:rFonts w:hint="cs"/>
          <w:sz w:val="24"/>
          <w:szCs w:val="24"/>
          <w:rtl/>
        </w:rPr>
        <w:t>انظر (رفع المنارة) ص 324 حديث رقم 19</w:t>
      </w:r>
      <w:r w:rsidRPr="00A52585">
        <w:rPr>
          <w:rFonts w:hint="cs"/>
          <w:sz w:val="24"/>
          <w:szCs w:val="24"/>
          <w:rtl/>
        </w:rPr>
        <w:t>]</w:t>
      </w:r>
      <w:r w:rsidR="00DB731D" w:rsidRPr="00A52585">
        <w:rPr>
          <w:rFonts w:hint="cs"/>
          <w:sz w:val="24"/>
          <w:rtl/>
        </w:rPr>
        <w:t>،</w:t>
      </w:r>
      <w:r w:rsidR="00777DCB" w:rsidRPr="00A52585">
        <w:rPr>
          <w:rFonts w:hint="cs"/>
          <w:rtl/>
        </w:rPr>
        <w:t xml:space="preserve"> </w:t>
      </w:r>
      <w:r w:rsidR="00777DCB" w:rsidRPr="00A52585">
        <w:rPr>
          <w:rFonts w:hint="cs"/>
          <w:bCs/>
          <w:rtl/>
        </w:rPr>
        <w:t>[9-]</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ميتاً فكأنما زارني حياً</w:t>
      </w:r>
      <w:r w:rsidR="00DB731D" w:rsidRPr="00A52585">
        <w:rPr>
          <w:rFonts w:hint="cs"/>
          <w:rtl/>
        </w:rPr>
        <w:t>،</w:t>
      </w:r>
      <w:r w:rsidR="00777DCB" w:rsidRPr="00A52585">
        <w:rPr>
          <w:rFonts w:hint="cs"/>
          <w:rtl/>
        </w:rPr>
        <w:t xml:space="preserve"> ومن زارني وجبت له شفاعتي يوم القيامة</w:t>
      </w:r>
      <w:r w:rsidR="00DB731D" w:rsidRPr="00A52585">
        <w:rPr>
          <w:rFonts w:hint="cs"/>
          <w:rtl/>
        </w:rPr>
        <w:t>،</w:t>
      </w:r>
      <w:r w:rsidR="00777DCB" w:rsidRPr="00A52585">
        <w:rPr>
          <w:rFonts w:hint="cs"/>
          <w:rtl/>
        </w:rPr>
        <w:t xml:space="preserve"> وما من أحد من أمتي له سعة ثم لم يزرني فليس له عذر</w:t>
      </w:r>
      <w:r w:rsidRPr="00A52585">
        <w:rPr>
          <w:rFonts w:hint="cs"/>
          <w:rtl/>
        </w:rPr>
        <w:t>)</w:t>
      </w:r>
      <w:r w:rsidR="00777DCB" w:rsidRPr="00A52585">
        <w:rPr>
          <w:rFonts w:hint="cs"/>
          <w:rtl/>
        </w:rPr>
        <w:t xml:space="preserve">) رواه الحافظ أبو عبد الله محمد بن محمود البخاري في كتابه الدرة اليتيمة في فضائل المدينة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الحديث الثاني عشر في (شفاء السقام) يقول العلامة إبراهيم السمنودي المنصوري</w:t>
      </w:r>
      <w:r w:rsidRPr="00A52585">
        <w:rPr>
          <w:rFonts w:hint="cs"/>
          <w:sz w:val="24"/>
          <w:szCs w:val="24"/>
          <w:rtl/>
        </w:rPr>
        <w:t xml:space="preserve">: </w:t>
      </w:r>
      <w:r w:rsidR="00777DCB" w:rsidRPr="00A52585">
        <w:rPr>
          <w:rFonts w:hint="cs"/>
          <w:sz w:val="24"/>
          <w:szCs w:val="24"/>
          <w:rtl/>
        </w:rPr>
        <w:t>"رأيت في شرح الإحياء للسيد مرتضى أن هذا الحديث أخرجه ابن عساكر أيضاً في فضائل المدينة وأن الحافظ العراقي قال فيه إنه رواه البخاري في تاريخ المدينة أهـ وقد قال السيوطي في بعض نسخ الجامع الكبير له</w:t>
      </w:r>
      <w:r w:rsidRPr="00A52585">
        <w:rPr>
          <w:rFonts w:hint="cs"/>
          <w:sz w:val="24"/>
          <w:szCs w:val="24"/>
          <w:rtl/>
        </w:rPr>
        <w:t>:</w:t>
      </w:r>
      <w:r w:rsidR="00777DCB" w:rsidRPr="00A52585">
        <w:rPr>
          <w:rFonts w:hint="cs"/>
          <w:sz w:val="24"/>
          <w:szCs w:val="24"/>
          <w:rtl/>
        </w:rPr>
        <w:t xml:space="preserve"> إن تاريخ البخاري كله صحيح أهـ "</w:t>
      </w:r>
      <w:r w:rsidRPr="00A52585">
        <w:rPr>
          <w:rFonts w:hint="cs"/>
          <w:sz w:val="24"/>
          <w:szCs w:val="24"/>
          <w:rtl/>
        </w:rPr>
        <w:t xml:space="preserve"> </w:t>
      </w:r>
      <w:r w:rsidR="00777DCB" w:rsidRPr="00A52585">
        <w:rPr>
          <w:rFonts w:hint="cs"/>
          <w:sz w:val="24"/>
          <w:szCs w:val="24"/>
          <w:rtl/>
        </w:rPr>
        <w:t>أهـ من (نصرة الإمام السبكي) ص 167، 168</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rtl/>
        </w:rPr>
        <w:t>[10-]</w:t>
      </w:r>
      <w:r w:rsidR="00777DCB" w:rsidRPr="00A52585">
        <w:rPr>
          <w:rFonts w:hint="cs"/>
          <w:rtl/>
        </w:rPr>
        <w:t xml:space="preserve"> وعن ابن عباس رضي الله عنهما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من زارني في مماتي كان كمن زارني في </w:t>
      </w:r>
      <w:r w:rsidR="00777DCB" w:rsidRPr="00A52585">
        <w:rPr>
          <w:rFonts w:hint="cs"/>
          <w:rtl/>
        </w:rPr>
        <w:lastRenderedPageBreak/>
        <w:t>حياتي ومن زار قبري حتى ينتهي إلى قبري كنت له يوم القيامة شهيداً</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خرجه العقيلي ورواه ابن عساكر من جهته إلا أنه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زارني في المنام كان كمن زارني في حياتي</w:t>
      </w:r>
      <w:r w:rsidRPr="00A52585">
        <w:rPr>
          <w:rFonts w:hint="cs"/>
          <w:rtl/>
        </w:rPr>
        <w:t>)</w:t>
      </w:r>
      <w:r w:rsidR="00777DCB" w:rsidRPr="00A52585">
        <w:rPr>
          <w:rFonts w:hint="cs"/>
          <w:rtl/>
        </w:rPr>
        <w:t xml:space="preserve">) وهي فائدة جليلة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الحديث الثالث عشر في (شفاء السقام) يقول العلامة إبراهيم السمنودي المنصوري</w:t>
      </w:r>
      <w:r w:rsidRPr="00A52585">
        <w:rPr>
          <w:rFonts w:hint="cs"/>
          <w:sz w:val="24"/>
          <w:szCs w:val="24"/>
          <w:rtl/>
        </w:rPr>
        <w:t xml:space="preserve">: </w:t>
      </w:r>
      <w:r w:rsidR="00777DCB" w:rsidRPr="00A52585">
        <w:rPr>
          <w:rFonts w:hint="cs"/>
          <w:sz w:val="24"/>
          <w:szCs w:val="24"/>
          <w:rtl/>
        </w:rPr>
        <w:t>"وبالجملة فهذا الحديث لم يصرح أحد من الحفاظ بوضعه ولم يذكر العقيلي به سوى التفرد والنكارة عن ابن جريج وذلك غير مثبت لما ادعاه الخصم ولا يدل على ضعفه أيضاً إذ ليس كل منكر ضعيفاً ولا كل ما تفرد به أحد رواته واهيا "</w:t>
      </w:r>
      <w:r w:rsidRPr="00A52585">
        <w:rPr>
          <w:rFonts w:hint="cs"/>
          <w:sz w:val="24"/>
          <w:szCs w:val="24"/>
          <w:rtl/>
        </w:rPr>
        <w:t xml:space="preserve"> </w:t>
      </w:r>
      <w:r w:rsidR="00777DCB" w:rsidRPr="00A52585">
        <w:rPr>
          <w:rFonts w:hint="cs"/>
          <w:sz w:val="24"/>
          <w:szCs w:val="24"/>
          <w:rtl/>
        </w:rPr>
        <w:t>أهـ (نصرة الإمام السبكي) ص 168</w:t>
      </w:r>
      <w:r w:rsidR="00DB731D" w:rsidRPr="00A52585">
        <w:rPr>
          <w:rFonts w:hint="cs"/>
          <w:sz w:val="24"/>
          <w:szCs w:val="24"/>
          <w:rtl/>
        </w:rPr>
        <w:t>،</w:t>
      </w:r>
      <w:r w:rsidR="00777DCB" w:rsidRPr="00A52585">
        <w:rPr>
          <w:rFonts w:hint="cs"/>
          <w:sz w:val="24"/>
          <w:szCs w:val="24"/>
          <w:rtl/>
        </w:rPr>
        <w:t xml:space="preserve"> انظر (رفع المنارة) ص 319 حديث رقم 18</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bCs/>
          <w:rtl/>
        </w:rPr>
        <w:t>[11-]</w:t>
      </w:r>
      <w:r w:rsidR="00777DCB" w:rsidRPr="00A52585">
        <w:rPr>
          <w:rFonts w:hint="cs"/>
          <w:rtl/>
        </w:rPr>
        <w:t xml:space="preserve"> وعن علي كرم الله تعالى وجهه أنه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زار قبري بعد (160/ب) موتى فكأنما زارني في حياتي ومن لم يزرني فقد جفاني</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رواه الحسين بن يحيى بن جعفر في كتاب (أخبار المدينة)</w:t>
      </w:r>
      <w:r w:rsidR="00DB731D" w:rsidRPr="00A52585">
        <w:rPr>
          <w:rFonts w:hint="cs"/>
          <w:rtl/>
        </w:rPr>
        <w:t>،</w:t>
      </w:r>
      <w:r w:rsidR="00777DCB" w:rsidRPr="00A52585">
        <w:rPr>
          <w:rFonts w:hint="cs"/>
          <w:rtl/>
        </w:rPr>
        <w:t xml:space="preserve"> ورواه الحافظ أبو عبد الله بن النجار في كتابه الدرة الثمينة (من لم يزرني فقد جفاني)</w:t>
      </w:r>
      <w:r w:rsidR="00DB731D" w:rsidRPr="00A52585">
        <w:rPr>
          <w:rFonts w:hint="cs"/>
          <w:rtl/>
        </w:rPr>
        <w:t>،</w:t>
      </w:r>
      <w:r w:rsidR="00777DCB" w:rsidRPr="00A52585">
        <w:rPr>
          <w:rFonts w:hint="cs"/>
          <w:rtl/>
        </w:rPr>
        <w:t xml:space="preserve"> ورواه الحافظ أبو سعيد عبد الملك بن محمد النيسابوري في كتاب شرف المصطفي صلى الله عليه وسلم وهذا الكتاب ثمان مجلدات</w:t>
      </w:r>
      <w:r w:rsidR="00DB731D" w:rsidRPr="00A52585">
        <w:rPr>
          <w:rFonts w:hint="cs"/>
          <w:rtl/>
        </w:rPr>
        <w:t>،</w:t>
      </w:r>
      <w:r w:rsidR="00777DCB" w:rsidRPr="00A52585">
        <w:rPr>
          <w:rFonts w:hint="cs"/>
          <w:rtl/>
        </w:rPr>
        <w:t xml:space="preserve"> وهذا أبو سعيد له مصنفات في علوم الشريعة توفى سنة ست وأربعمائة بنيسابور وقبره بها مشهور ويتبرك به. وكان ينتفع بكلامه وبوعظه وتنجلي بكلامه القلوب قدس الله روحه ونور ضريحه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الحديث الرابع عشر </w:t>
      </w:r>
      <w:proofErr w:type="gramStart"/>
      <w:r w:rsidR="00777DCB" w:rsidRPr="00A52585">
        <w:rPr>
          <w:rFonts w:hint="cs"/>
          <w:sz w:val="24"/>
          <w:szCs w:val="24"/>
          <w:rtl/>
        </w:rPr>
        <w:t>في</w:t>
      </w:r>
      <w:r w:rsidRPr="00A52585">
        <w:rPr>
          <w:rFonts w:hint="cs"/>
          <w:sz w:val="24"/>
          <w:szCs w:val="24"/>
          <w:rtl/>
        </w:rPr>
        <w:t>)</w:t>
      </w:r>
      <w:r w:rsidR="00777DCB" w:rsidRPr="00A52585">
        <w:rPr>
          <w:rFonts w:hint="cs"/>
          <w:sz w:val="24"/>
          <w:szCs w:val="24"/>
          <w:rtl/>
        </w:rPr>
        <w:t>شفاء</w:t>
      </w:r>
      <w:proofErr w:type="gramEnd"/>
      <w:r w:rsidR="00777DCB" w:rsidRPr="00A52585">
        <w:rPr>
          <w:rFonts w:hint="cs"/>
          <w:sz w:val="24"/>
          <w:szCs w:val="24"/>
          <w:rtl/>
        </w:rPr>
        <w:t xml:space="preserve"> السقام) يقول العلامة إبراهيم السمنودي المنصوري في (نصرة الإمام السبكي)</w:t>
      </w:r>
      <w:r w:rsidRPr="00A52585">
        <w:rPr>
          <w:rFonts w:hint="cs"/>
          <w:sz w:val="24"/>
          <w:szCs w:val="24"/>
          <w:rtl/>
        </w:rPr>
        <w:t xml:space="preserve">: </w:t>
      </w:r>
      <w:r w:rsidR="00777DCB" w:rsidRPr="00A52585">
        <w:rPr>
          <w:rFonts w:hint="cs"/>
          <w:sz w:val="24"/>
          <w:szCs w:val="24"/>
          <w:rtl/>
        </w:rPr>
        <w:t>"سنده ضعيف فقط كما في (الجوهر المنظم) وغيره فلا يضر في المتابعة والاستشهاد لتقوية الأول على فرص أنه غير مرتق بنفسه "</w:t>
      </w:r>
      <w:r w:rsidRPr="00A52585">
        <w:rPr>
          <w:rFonts w:hint="cs"/>
          <w:sz w:val="24"/>
          <w:szCs w:val="24"/>
          <w:rtl/>
        </w:rPr>
        <w:t xml:space="preserve"> </w:t>
      </w:r>
      <w:r w:rsidR="00777DCB" w:rsidRPr="00A52585">
        <w:rPr>
          <w:rFonts w:hint="cs"/>
          <w:sz w:val="24"/>
          <w:szCs w:val="24"/>
          <w:rtl/>
        </w:rPr>
        <w:t>أهـ ص 169</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bCs/>
          <w:rtl/>
        </w:rPr>
        <w:t>[12-]</w:t>
      </w:r>
      <w:r w:rsidR="00777DCB" w:rsidRPr="00A52585">
        <w:rPr>
          <w:rFonts w:hint="cs"/>
          <w:rtl/>
        </w:rPr>
        <w:t xml:space="preserve"> وقال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جاءني زائراً لا يعمله حاجة إلا زيارتي كان حقاً عليّ أن أكون له شفيعاً يوم القيامة</w:t>
      </w:r>
      <w:r w:rsidRPr="00A52585">
        <w:rPr>
          <w:rFonts w:hint="cs"/>
          <w:rtl/>
        </w:rPr>
        <w:t>)</w:t>
      </w:r>
      <w:r w:rsidR="00777DCB" w:rsidRPr="00A52585">
        <w:rPr>
          <w:rFonts w:hint="cs"/>
          <w:rtl/>
        </w:rPr>
        <w:t>) وفي رواية</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جاءني زائراً لم ينزعه حاجة إلا زيارتي</w:t>
      </w:r>
      <w:r w:rsidR="00897A24" w:rsidRPr="00A52585">
        <w:rPr>
          <w:rFonts w:hint="cs"/>
          <w:rtl/>
        </w:rPr>
        <w:t>.</w:t>
      </w:r>
      <w:r w:rsidR="00777DCB" w:rsidRPr="00A52585">
        <w:rPr>
          <w:rFonts w:hint="cs"/>
          <w:rtl/>
        </w:rPr>
        <w:t>.</w:t>
      </w:r>
      <w:r w:rsidRPr="00A52585">
        <w:rPr>
          <w:rFonts w:hint="cs"/>
          <w:rtl/>
        </w:rPr>
        <w:t>)</w:t>
      </w:r>
      <w:r w:rsidR="00777DCB" w:rsidRPr="00A52585">
        <w:rPr>
          <w:rFonts w:hint="cs"/>
          <w:rtl/>
        </w:rPr>
        <w:t xml:space="preserve">) رواه غير واحد من الأئمة الحفاظ المشهورين من حديث ابن عمر رضي الله عنهما ومنهم الطبراني في معجمه الكبير ومنهم </w:t>
      </w:r>
      <w:proofErr w:type="spellStart"/>
      <w:r w:rsidR="00777DCB" w:rsidRPr="00A52585">
        <w:rPr>
          <w:rFonts w:hint="cs"/>
          <w:rtl/>
        </w:rPr>
        <w:t>الدراقطني</w:t>
      </w:r>
      <w:proofErr w:type="spellEnd"/>
      <w:r w:rsidR="00777DCB" w:rsidRPr="00A52585">
        <w:rPr>
          <w:rFonts w:hint="cs"/>
          <w:rtl/>
        </w:rPr>
        <w:t xml:space="preserve"> في </w:t>
      </w:r>
      <w:proofErr w:type="spellStart"/>
      <w:r w:rsidR="00777DCB" w:rsidRPr="00A52585">
        <w:rPr>
          <w:rFonts w:hint="cs"/>
          <w:rtl/>
        </w:rPr>
        <w:t>أماليه</w:t>
      </w:r>
      <w:proofErr w:type="spellEnd"/>
      <w:r w:rsidR="00777DCB" w:rsidRPr="00A52585">
        <w:rPr>
          <w:rFonts w:hint="cs"/>
          <w:rtl/>
        </w:rPr>
        <w:t xml:space="preserve"> ومنهم أبو بكر ابن المقري في معجمه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الحديث الثالث في (شفاء السقام) يقول السيد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في (وفاء الوفا)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ولهذا نقل عنه جماعة </w:t>
      </w:r>
      <w:r w:rsidR="00777DCB" w:rsidRPr="00A52585">
        <w:rPr>
          <w:sz w:val="24"/>
          <w:szCs w:val="24"/>
        </w:rPr>
        <w:t>–</w:t>
      </w:r>
      <w:r w:rsidR="00777DCB" w:rsidRPr="00A52585">
        <w:rPr>
          <w:rFonts w:hint="cs"/>
          <w:sz w:val="24"/>
          <w:szCs w:val="24"/>
          <w:rtl/>
        </w:rPr>
        <w:t xml:space="preserve"> يقصد ابن السكن- منهم الحافظ زين الدين العراقي أنه صححه، فإما أن يكون </w:t>
      </w:r>
      <w:r w:rsidR="00777DCB" w:rsidRPr="00A52585">
        <w:rPr>
          <w:rFonts w:hint="cs"/>
          <w:spacing w:val="-20"/>
          <w:sz w:val="24"/>
          <w:szCs w:val="24"/>
          <w:rtl/>
        </w:rPr>
        <w:t>ثبت عنده من غير طريق مسلمة أو أنه ارتقى إلى ذلك بكثرة الط</w:t>
      </w:r>
      <w:r w:rsidR="00777DCB" w:rsidRPr="00A52585">
        <w:rPr>
          <w:rFonts w:hint="cs"/>
          <w:sz w:val="24"/>
          <w:szCs w:val="24"/>
          <w:rtl/>
        </w:rPr>
        <w:t>رق "</w:t>
      </w:r>
      <w:r w:rsidRPr="00A52585">
        <w:rPr>
          <w:rFonts w:hint="cs"/>
          <w:sz w:val="24"/>
          <w:szCs w:val="24"/>
          <w:rtl/>
        </w:rPr>
        <w:t xml:space="preserve"> </w:t>
      </w:r>
      <w:r w:rsidR="00777DCB" w:rsidRPr="00A52585">
        <w:rPr>
          <w:rFonts w:hint="cs"/>
          <w:sz w:val="24"/>
          <w:szCs w:val="24"/>
          <w:rtl/>
        </w:rPr>
        <w:t>أهـ ص1340 ج2</w:t>
      </w:r>
      <w:r w:rsidR="00DB731D" w:rsidRPr="00A52585">
        <w:rPr>
          <w:rFonts w:hint="cs"/>
          <w:sz w:val="24"/>
          <w:szCs w:val="24"/>
          <w:rtl/>
        </w:rPr>
        <w:t>،</w:t>
      </w:r>
      <w:r w:rsidR="00777DCB" w:rsidRPr="00A52585">
        <w:rPr>
          <w:rFonts w:hint="cs"/>
          <w:sz w:val="24"/>
          <w:szCs w:val="24"/>
          <w:rtl/>
        </w:rPr>
        <w:t xml:space="preserve"> ويقول الإمام السبكي في (شفاء السقام) بعد أن ذكر طرق الحديث وكلام ابن السكن</w:t>
      </w:r>
      <w:r w:rsidRPr="00A52585">
        <w:rPr>
          <w:rFonts w:hint="cs"/>
          <w:sz w:val="24"/>
          <w:szCs w:val="24"/>
          <w:rtl/>
        </w:rPr>
        <w:t xml:space="preserve">: </w:t>
      </w:r>
      <w:r w:rsidR="00777DCB" w:rsidRPr="00A52585">
        <w:rPr>
          <w:rFonts w:hint="cs"/>
          <w:sz w:val="24"/>
          <w:szCs w:val="24"/>
          <w:rtl/>
        </w:rPr>
        <w:t>"وتبويب ابن السكن يدل على أنه فهم منه أن المراد بعد الموت أو أن ما بعد الموت داخل في العموم وهو صحيح "</w:t>
      </w:r>
      <w:r w:rsidRPr="00A52585">
        <w:rPr>
          <w:rFonts w:hint="cs"/>
          <w:sz w:val="24"/>
          <w:szCs w:val="24"/>
          <w:rtl/>
        </w:rPr>
        <w:t xml:space="preserve"> </w:t>
      </w:r>
      <w:r w:rsidR="00777DCB" w:rsidRPr="00A52585">
        <w:rPr>
          <w:rFonts w:hint="cs"/>
          <w:sz w:val="24"/>
          <w:szCs w:val="24"/>
          <w:rtl/>
        </w:rPr>
        <w:t>أهـ ص 17 يقول العلامة الشيخ إبراهيم السمنودي المنصوري في (نصرة الإمام السبكي)</w:t>
      </w:r>
      <w:r w:rsidRPr="00A52585">
        <w:rPr>
          <w:rFonts w:hint="cs"/>
          <w:sz w:val="24"/>
          <w:szCs w:val="24"/>
          <w:rtl/>
        </w:rPr>
        <w:t xml:space="preserve">: </w:t>
      </w:r>
      <w:r w:rsidR="00777DCB" w:rsidRPr="00A52585">
        <w:rPr>
          <w:rFonts w:hint="cs"/>
          <w:sz w:val="24"/>
          <w:szCs w:val="24"/>
          <w:rtl/>
        </w:rPr>
        <w:t xml:space="preserve">"الحديث دال على الزيارة بعد الموت أيضاً لدخولها في عموم </w:t>
      </w:r>
      <w:proofErr w:type="spellStart"/>
      <w:r w:rsidR="00777DCB" w:rsidRPr="00A52585">
        <w:rPr>
          <w:rFonts w:hint="cs"/>
          <w:sz w:val="24"/>
          <w:szCs w:val="24"/>
          <w:rtl/>
        </w:rPr>
        <w:t>المجئ</w:t>
      </w:r>
      <w:proofErr w:type="spellEnd"/>
      <w:r w:rsidR="00777DCB" w:rsidRPr="00A52585">
        <w:rPr>
          <w:rFonts w:hint="cs"/>
          <w:sz w:val="24"/>
          <w:szCs w:val="24"/>
          <w:rtl/>
        </w:rPr>
        <w:t xml:space="preserve"> المستفاد منه لوقوع (جاءني) فيه في خبر الشرط الدال على العموم، ولا شك أن الزيارة بعد الموت هي زيارة القبر</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xml:space="preserve">"لا شك أن الظاهر من الحديث ترغيب الناس في </w:t>
      </w:r>
      <w:proofErr w:type="spellStart"/>
      <w:r w:rsidR="00777DCB" w:rsidRPr="00A52585">
        <w:rPr>
          <w:rFonts w:hint="cs"/>
          <w:sz w:val="24"/>
          <w:szCs w:val="24"/>
          <w:rtl/>
        </w:rPr>
        <w:t>المجئ</w:t>
      </w:r>
      <w:proofErr w:type="spellEnd"/>
      <w:r w:rsidR="00777DCB" w:rsidRPr="00A52585">
        <w:rPr>
          <w:rFonts w:hint="cs"/>
          <w:sz w:val="24"/>
          <w:szCs w:val="24"/>
          <w:rtl/>
        </w:rPr>
        <w:t xml:space="preserve"> إليه صلى الله عليه وسلم بعد موته لزيارة قبره الشريف فإن جميع المسلمين من أول البعثة إلى يوم وفاته عليه الصلاة والسلام كانوا حريصين على رؤيته في حياته وقد أتاه من قدر على الإتيان رجالا وعلى كل ضامر يأتين من كل فج عميق ودخلوا في دين الله أفواجاً فلا حاجة له إلى الترغيب، وهذا المعنى قرينة على أن المراد بـ (من جاءني زائراً)</w:t>
      </w:r>
      <w:r w:rsidRPr="00A52585">
        <w:rPr>
          <w:rFonts w:hint="cs"/>
          <w:sz w:val="24"/>
          <w:szCs w:val="24"/>
          <w:rtl/>
        </w:rPr>
        <w:t>:</w:t>
      </w:r>
      <w:r w:rsidR="00777DCB" w:rsidRPr="00A52585">
        <w:rPr>
          <w:rFonts w:hint="cs"/>
          <w:sz w:val="24"/>
          <w:szCs w:val="24"/>
          <w:rtl/>
        </w:rPr>
        <w:t xml:space="preserve"> من جاء </w:t>
      </w:r>
      <w:r w:rsidR="00777DCB" w:rsidRPr="00A52585">
        <w:rPr>
          <w:rFonts w:hint="cs"/>
          <w:sz w:val="24"/>
          <w:szCs w:val="24"/>
          <w:rtl/>
        </w:rPr>
        <w:lastRenderedPageBreak/>
        <w:t xml:space="preserve">قبري مجازاً في النسبة، </w:t>
      </w:r>
      <w:proofErr w:type="spellStart"/>
      <w:r w:rsidR="00777DCB" w:rsidRPr="00A52585">
        <w:rPr>
          <w:rFonts w:hint="cs"/>
          <w:sz w:val="24"/>
          <w:szCs w:val="24"/>
          <w:rtl/>
        </w:rPr>
        <w:t>ومجئ</w:t>
      </w:r>
      <w:proofErr w:type="spellEnd"/>
      <w:r w:rsidR="00777DCB" w:rsidRPr="00A52585">
        <w:rPr>
          <w:rFonts w:hint="cs"/>
          <w:sz w:val="24"/>
          <w:szCs w:val="24"/>
          <w:rtl/>
        </w:rPr>
        <w:t xml:space="preserve"> الأباعد لا يكون إلا بشد الرحل إليه فالترغيب في </w:t>
      </w:r>
      <w:proofErr w:type="spellStart"/>
      <w:r w:rsidR="00777DCB" w:rsidRPr="00A52585">
        <w:rPr>
          <w:rFonts w:hint="cs"/>
          <w:sz w:val="24"/>
          <w:szCs w:val="24"/>
          <w:rtl/>
        </w:rPr>
        <w:t>المجئ</w:t>
      </w:r>
      <w:proofErr w:type="spellEnd"/>
      <w:r w:rsidR="00777DCB" w:rsidRPr="00A52585">
        <w:rPr>
          <w:rFonts w:hint="cs"/>
          <w:sz w:val="24"/>
          <w:szCs w:val="24"/>
          <w:rtl/>
        </w:rPr>
        <w:t xml:space="preserve"> ترغيب فيما يتوقف عليه كما هو واضح فتدبر "</w:t>
      </w:r>
      <w:r w:rsidRPr="00A52585">
        <w:rPr>
          <w:rFonts w:hint="cs"/>
          <w:sz w:val="24"/>
          <w:szCs w:val="24"/>
          <w:rtl/>
        </w:rPr>
        <w:t xml:space="preserve"> </w:t>
      </w:r>
      <w:r w:rsidR="00777DCB" w:rsidRPr="00A52585">
        <w:rPr>
          <w:rFonts w:hint="cs"/>
          <w:sz w:val="24"/>
          <w:szCs w:val="24"/>
          <w:rtl/>
        </w:rPr>
        <w:t>أهـ ثم إنه رحمه الله ذكر تضعيف ابن عبد الهادي للحديث وزعمه أنه لا يصلح للاحتجاج به فقال رداً عليه</w:t>
      </w:r>
      <w:r w:rsidRPr="00A52585">
        <w:rPr>
          <w:rFonts w:hint="cs"/>
          <w:sz w:val="24"/>
          <w:szCs w:val="24"/>
          <w:rtl/>
        </w:rPr>
        <w:t xml:space="preserve">: </w:t>
      </w:r>
      <w:r w:rsidR="00777DCB" w:rsidRPr="00A52585">
        <w:rPr>
          <w:rFonts w:hint="cs"/>
          <w:sz w:val="24"/>
          <w:szCs w:val="24"/>
          <w:rtl/>
        </w:rPr>
        <w:t>"هذه دعوى من غير حجة ومبالغة مردودة فقد قال الحافظ العراقي في تخريج أحاديث إحياء العلوم للغزالي (هذا الحديث رواه الطبراني عن ابن عمر وصححه ابن السكن وهو من كبار الحفاظ النقاد) أهـ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xml:space="preserve">"وقال السيد مرتضى في شرح الإحياء (رواه الدارقطني </w:t>
      </w:r>
      <w:proofErr w:type="spellStart"/>
      <w:r w:rsidR="00777DCB" w:rsidRPr="00A52585">
        <w:rPr>
          <w:rFonts w:hint="cs"/>
          <w:sz w:val="24"/>
          <w:szCs w:val="24"/>
          <w:rtl/>
        </w:rPr>
        <w:t>والخلعي</w:t>
      </w:r>
      <w:proofErr w:type="spellEnd"/>
      <w:r w:rsidR="00777DCB" w:rsidRPr="00A52585">
        <w:rPr>
          <w:rFonts w:hint="cs"/>
          <w:sz w:val="24"/>
          <w:szCs w:val="24"/>
          <w:rtl/>
        </w:rPr>
        <w:t xml:space="preserve"> في فوائده بلفظ</w:t>
      </w:r>
      <w:r w:rsidRPr="00A52585">
        <w:rPr>
          <w:rFonts w:hint="cs"/>
          <w:sz w:val="24"/>
          <w:szCs w:val="24"/>
          <w:rtl/>
        </w:rPr>
        <w:t>(</w:t>
      </w:r>
      <w:r w:rsidR="00777DCB" w:rsidRPr="00A52585">
        <w:rPr>
          <w:rFonts w:hint="cs"/>
          <w:sz w:val="24"/>
          <w:szCs w:val="24"/>
          <w:rtl/>
        </w:rPr>
        <w:t>لم تنزعه حاجة إلا زيارتي) وتصحيح ابن السكن إياه وإيراده له في أثناء الصحاح له، وكذا صححه عبد الحق في سكوته عنه أي عن القدح في سنده، والتقي السبكي في شفائه باعتبار مجموع الطرق) أهـ ورواه أيضاً الحافظ أبو نعيم وأبو داود الطيالسي في مسنده وابن خزيمة في صحيحه، واحتج به جمع من أكابر العلماء كالإمام الغزالي والعلامة الخطيب الشربيني وغيرهما "</w:t>
      </w:r>
      <w:r w:rsidRPr="00A52585">
        <w:rPr>
          <w:rFonts w:hint="cs"/>
          <w:sz w:val="24"/>
          <w:szCs w:val="24"/>
          <w:rtl/>
        </w:rPr>
        <w:t xml:space="preserve"> </w:t>
      </w:r>
      <w:r w:rsidR="00777DCB" w:rsidRPr="00A52585">
        <w:rPr>
          <w:rFonts w:hint="cs"/>
          <w:sz w:val="24"/>
          <w:szCs w:val="24"/>
          <w:rtl/>
        </w:rPr>
        <w:t>أهـ ص68،69</w:t>
      </w:r>
      <w:r w:rsidR="00DB731D" w:rsidRPr="00A52585">
        <w:rPr>
          <w:rFonts w:hint="cs"/>
          <w:sz w:val="24"/>
          <w:szCs w:val="24"/>
          <w:rtl/>
        </w:rPr>
        <w:t>،</w:t>
      </w:r>
      <w:r w:rsidR="00777DCB" w:rsidRPr="00A52585">
        <w:rPr>
          <w:rFonts w:hint="cs"/>
          <w:sz w:val="24"/>
          <w:szCs w:val="24"/>
          <w:rtl/>
        </w:rPr>
        <w:t xml:space="preserve"> يقول الحافظ أحمد بن الصديق الغماري في كتابه (قطع العروق الوردية) مخطوط- لوحات أرقام 20،21،22 عن أحاديث الزيارة</w:t>
      </w:r>
      <w:r w:rsidRPr="00A52585">
        <w:rPr>
          <w:rFonts w:hint="cs"/>
          <w:sz w:val="24"/>
          <w:szCs w:val="24"/>
          <w:rtl/>
        </w:rPr>
        <w:t xml:space="preserve">: </w:t>
      </w:r>
      <w:r w:rsidR="00777DCB" w:rsidRPr="00A52585">
        <w:rPr>
          <w:rFonts w:hint="cs"/>
          <w:sz w:val="24"/>
          <w:szCs w:val="24"/>
          <w:rtl/>
        </w:rPr>
        <w:t xml:space="preserve">" </w:t>
      </w:r>
      <w:r w:rsidR="00777DCB" w:rsidRPr="00A52585">
        <w:rPr>
          <w:rFonts w:hint="cs"/>
          <w:bCs/>
          <w:sz w:val="24"/>
          <w:szCs w:val="24"/>
          <w:rtl/>
        </w:rPr>
        <w:t xml:space="preserve">فصل </w:t>
      </w:r>
      <w:r w:rsidR="00777DCB" w:rsidRPr="00A52585">
        <w:rPr>
          <w:rFonts w:hint="cs"/>
          <w:sz w:val="24"/>
          <w:szCs w:val="24"/>
          <w:rtl/>
        </w:rPr>
        <w:t>وأما ما ذكروه في حديث الزيارة فجوابهم</w:t>
      </w:r>
      <w:r w:rsidRPr="00A52585">
        <w:rPr>
          <w:rFonts w:hint="cs"/>
          <w:sz w:val="24"/>
          <w:szCs w:val="24"/>
          <w:rtl/>
        </w:rPr>
        <w:t>:</w:t>
      </w:r>
      <w:r w:rsidR="00777DCB" w:rsidRPr="00A52585">
        <w:rPr>
          <w:rFonts w:hint="cs"/>
          <w:sz w:val="24"/>
          <w:szCs w:val="24"/>
          <w:rtl/>
        </w:rPr>
        <w:t xml:space="preserve"> إن الحديث ورد من طريق ثمانية من الصحابة أو سبعة، وتابعي على الخلاف في بكر بن عبد الله هل هو الأنصاري الصحابي أو المزني التابعي، وهم</w:t>
      </w:r>
      <w:r w:rsidRPr="00A52585">
        <w:rPr>
          <w:rFonts w:hint="cs"/>
          <w:sz w:val="24"/>
          <w:szCs w:val="24"/>
          <w:rtl/>
        </w:rPr>
        <w:t>:</w:t>
      </w:r>
      <w:r w:rsidR="00777DCB" w:rsidRPr="00A52585">
        <w:rPr>
          <w:rFonts w:hint="cs"/>
          <w:sz w:val="24"/>
          <w:szCs w:val="24"/>
          <w:rtl/>
        </w:rPr>
        <w:t xml:space="preserve"> عبد الله بن عمر بن الخطاب، ولحديثه ستة طرق صحح واحداً منها على انفراده ابن السَّكن، وعبد الحق، وحسنه غيرهما وأنس بن مالك ولحديثه طريقان</w:t>
      </w:r>
      <w:r w:rsidRPr="00A52585">
        <w:rPr>
          <w:rFonts w:hint="cs"/>
          <w:sz w:val="24"/>
          <w:szCs w:val="24"/>
          <w:rtl/>
        </w:rPr>
        <w:t xml:space="preserve"> </w:t>
      </w:r>
      <w:r w:rsidR="00777DCB" w:rsidRPr="00A52585">
        <w:rPr>
          <w:rFonts w:hint="cs"/>
          <w:sz w:val="24"/>
          <w:szCs w:val="24"/>
          <w:rtl/>
        </w:rPr>
        <w:t>وابن عباس ولحديثه طريقان أيضاً وعلي بن أبي طالب ولحديثه رايقان أيضاً وأبو هريرة وعبد الله بن مسعود وحاطب وبكر بن عبد الله</w:t>
      </w:r>
      <w:r w:rsidR="00DB731D" w:rsidRPr="00A52585">
        <w:rPr>
          <w:rFonts w:hint="cs"/>
          <w:sz w:val="24"/>
          <w:szCs w:val="24"/>
          <w:rtl/>
        </w:rPr>
        <w:t>،</w:t>
      </w:r>
      <w:r w:rsidR="00777DCB" w:rsidRPr="00A52585">
        <w:rPr>
          <w:rFonts w:hint="cs"/>
          <w:sz w:val="24"/>
          <w:szCs w:val="24"/>
          <w:rtl/>
        </w:rPr>
        <w:t xml:space="preserve"> وهو أيضاً مخرج في كتب السنة المشهورة التي هي معصم الإسلام والتي يعتمد وجود الحديث فيها هؤلاء المبتدعة فقد خرج الحديث في صحيح ابن خزيمة، ومسند الطيالسي، وسنن </w:t>
      </w:r>
      <w:proofErr w:type="spellStart"/>
      <w:r w:rsidR="00777DCB" w:rsidRPr="00A52585">
        <w:rPr>
          <w:rFonts w:hint="cs"/>
          <w:sz w:val="24"/>
          <w:szCs w:val="24"/>
          <w:rtl/>
        </w:rPr>
        <w:t>الدراقطني</w:t>
      </w:r>
      <w:proofErr w:type="spellEnd"/>
      <w:r w:rsidR="00777DCB" w:rsidRPr="00A52585">
        <w:rPr>
          <w:rFonts w:hint="cs"/>
          <w:sz w:val="24"/>
          <w:szCs w:val="24"/>
          <w:rtl/>
        </w:rPr>
        <w:t>، والبيهقي، ومسند البزار، ومعجم الطبراني، وحلية أبي نعيم وغيرها، وله مع هذا شواهد كثيرة جداً</w:t>
      </w:r>
      <w:r w:rsidR="00DB731D" w:rsidRPr="00A52585">
        <w:rPr>
          <w:rFonts w:hint="cs"/>
          <w:sz w:val="24"/>
          <w:szCs w:val="24"/>
          <w:rtl/>
        </w:rPr>
        <w:t>،</w:t>
      </w:r>
      <w:r w:rsidR="00777DCB" w:rsidRPr="00A52585">
        <w:rPr>
          <w:rFonts w:hint="cs"/>
          <w:sz w:val="24"/>
          <w:szCs w:val="24"/>
          <w:rtl/>
        </w:rPr>
        <w:t xml:space="preserve"> وقد قال الذهبي</w:t>
      </w:r>
      <w:r w:rsidRPr="00A52585">
        <w:rPr>
          <w:rFonts w:hint="cs"/>
          <w:sz w:val="24"/>
          <w:szCs w:val="24"/>
          <w:rtl/>
        </w:rPr>
        <w:t>:</w:t>
      </w:r>
      <w:r w:rsidR="00777DCB" w:rsidRPr="00A52585">
        <w:rPr>
          <w:rFonts w:hint="cs"/>
          <w:sz w:val="24"/>
          <w:szCs w:val="24"/>
          <w:rtl/>
        </w:rPr>
        <w:t xml:space="preserve"> طرق حديث الزيارة كلها لينة لكن يتقوى بعضها ببعض، لأن ما في رواتها متهم بالكذب، قال ومن أجودها إسناد حديث حاطب</w:t>
      </w:r>
      <w:r w:rsidRPr="00A52585">
        <w:rPr>
          <w:rFonts w:hint="cs"/>
          <w:sz w:val="24"/>
          <w:szCs w:val="24"/>
          <w:rtl/>
        </w:rPr>
        <w:t xml:space="preserve"> </w:t>
      </w:r>
      <w:r w:rsidR="00777DCB" w:rsidRPr="00A52585">
        <w:rPr>
          <w:rFonts w:hint="cs"/>
          <w:sz w:val="24"/>
          <w:szCs w:val="24"/>
          <w:rtl/>
        </w:rPr>
        <w:t xml:space="preserve">" من </w:t>
      </w:r>
      <w:proofErr w:type="spellStart"/>
      <w:r w:rsidR="00777DCB" w:rsidRPr="00A52585">
        <w:rPr>
          <w:rFonts w:hint="cs"/>
          <w:sz w:val="24"/>
          <w:szCs w:val="24"/>
          <w:rtl/>
        </w:rPr>
        <w:t>زراني</w:t>
      </w:r>
      <w:proofErr w:type="spellEnd"/>
      <w:r w:rsidR="00777DCB" w:rsidRPr="00A52585">
        <w:rPr>
          <w:rFonts w:hint="cs"/>
          <w:sz w:val="24"/>
          <w:szCs w:val="24"/>
          <w:rtl/>
        </w:rPr>
        <w:t xml:space="preserve"> بعد موتي فكأنما زارني في حياتي "</w:t>
      </w:r>
      <w:r w:rsidRPr="00A52585">
        <w:rPr>
          <w:rFonts w:hint="cs"/>
          <w:sz w:val="24"/>
          <w:szCs w:val="24"/>
          <w:rtl/>
        </w:rPr>
        <w:t xml:space="preserve"> </w:t>
      </w:r>
      <w:r w:rsidR="00777DCB" w:rsidRPr="00A52585">
        <w:rPr>
          <w:rFonts w:hint="cs"/>
          <w:sz w:val="24"/>
          <w:szCs w:val="24"/>
          <w:rtl/>
        </w:rPr>
        <w:t>خرجه ابن عساكر، وقد نقل هذا عن الذهبي الحافظ السخاوي في المقاصد الحسنة [413 رقم</w:t>
      </w:r>
      <w:r w:rsidRPr="00A52585">
        <w:rPr>
          <w:rFonts w:hint="cs"/>
          <w:sz w:val="24"/>
          <w:szCs w:val="24"/>
          <w:rtl/>
        </w:rPr>
        <w:t>:</w:t>
      </w:r>
      <w:r w:rsidR="00777DCB" w:rsidRPr="00A52585">
        <w:rPr>
          <w:rFonts w:hint="cs"/>
          <w:sz w:val="24"/>
          <w:szCs w:val="24"/>
          <w:rtl/>
        </w:rPr>
        <w:t xml:space="preserve"> 1145]</w:t>
      </w:r>
      <w:r w:rsidR="00DB731D" w:rsidRPr="00A52585">
        <w:rPr>
          <w:rFonts w:hint="cs"/>
          <w:sz w:val="24"/>
          <w:szCs w:val="24"/>
          <w:rtl/>
        </w:rPr>
        <w:t>،</w:t>
      </w:r>
      <w:r w:rsidR="00777DCB" w:rsidRPr="00A52585">
        <w:rPr>
          <w:rFonts w:hint="cs"/>
          <w:sz w:val="24"/>
          <w:szCs w:val="24"/>
          <w:rtl/>
        </w:rPr>
        <w:t xml:space="preserve"> وحسبك بهذه الشهادة من الذهبي وتصريحه بأنه ليس في رواتها متهم بالكذب وتعبيره عنها بأنها لينة واللين ما فيه ضعف قريب محتمل يزول بالمتابعات والشواهد، ويرتقي إلى درجة الحسن والصحيح</w:t>
      </w:r>
      <w:r w:rsidR="00DB731D" w:rsidRPr="00A52585">
        <w:rPr>
          <w:rFonts w:hint="cs"/>
          <w:sz w:val="24"/>
          <w:szCs w:val="24"/>
          <w:rtl/>
        </w:rPr>
        <w:t>،</w:t>
      </w:r>
      <w:r w:rsidR="00777DCB" w:rsidRPr="00A52585">
        <w:rPr>
          <w:rFonts w:hint="cs"/>
          <w:sz w:val="24"/>
          <w:szCs w:val="24"/>
          <w:rtl/>
        </w:rPr>
        <w:t xml:space="preserve"> والحديث المذكور ورد من حديث ستة عشر طريقاً عن ثمانية من الصحابة، ومن البعيد أن تتفق هذه الطرق كلها مع تباين مخارجها على الكذب</w:t>
      </w:r>
      <w:r w:rsidR="00DB731D" w:rsidRPr="00A52585">
        <w:rPr>
          <w:rFonts w:hint="cs"/>
          <w:sz w:val="24"/>
          <w:szCs w:val="24"/>
          <w:rtl/>
        </w:rPr>
        <w:t>،</w:t>
      </w:r>
      <w:r w:rsidR="00777DCB" w:rsidRPr="00A52585">
        <w:rPr>
          <w:rFonts w:hint="cs"/>
          <w:sz w:val="24"/>
          <w:szCs w:val="24"/>
          <w:rtl/>
        </w:rPr>
        <w:t xml:space="preserve"> وقد قدمنا عن شيخ هذه الفرقة الضالة ابن تيمية أن كثرة الطرق والشهادات توجب العلم، وإن لم يكن كل المخبرين ثقات، بل توجبه ولو من الفساق، ولا شك أن شهادة ستة عشر رجلاً من الكثرة التي يوجب ابن تيمية بها العلم ولو من الفساق، وليس هذا من رأي ابن تيمية وحده، بل هو المقرر عند أهل الحديث والأصول كافة، وإنما نؤثر النقل عنه لكونه إمام هذه الفرقة الخبيثة، فإذا كانت الكثرة ولو من الفساق توجب العلم فكيف بها من غيرهم</w:t>
      </w:r>
      <w:r w:rsidR="00DB731D" w:rsidRPr="00A52585">
        <w:rPr>
          <w:rFonts w:hint="cs"/>
          <w:sz w:val="24"/>
          <w:szCs w:val="24"/>
          <w:rtl/>
        </w:rPr>
        <w:t>،</w:t>
      </w:r>
      <w:r w:rsidR="00777DCB" w:rsidRPr="00A52585">
        <w:rPr>
          <w:rFonts w:hint="cs"/>
          <w:sz w:val="24"/>
          <w:szCs w:val="24"/>
          <w:rtl/>
        </w:rPr>
        <w:t xml:space="preserve"> فقد شهد الذهبي وهو من أهل الاستقراء التام في معرفة الرجال مع تشدده وتعنته لا سيما فيما هو من هذا الباب بأنه ليس فيهم متهم بالكذب فلم يبق بعد هذا إلا العناد</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أهـ المقصود منه</w:t>
      </w:r>
      <w:r w:rsidRPr="00A52585">
        <w:rPr>
          <w:rFonts w:hint="cs"/>
          <w:sz w:val="24"/>
          <w:szCs w:val="24"/>
          <w:rtl/>
        </w:rPr>
        <w:t>]</w:t>
      </w:r>
      <w:r w:rsidR="00DB731D" w:rsidRPr="00A52585">
        <w:rPr>
          <w:rFonts w:hint="cs"/>
          <w:sz w:val="24"/>
          <w:rtl/>
        </w:rPr>
        <w:t>،</w:t>
      </w:r>
      <w:r w:rsidR="00777DCB" w:rsidRPr="00A52585">
        <w:rPr>
          <w:rFonts w:hint="cs"/>
          <w:rtl/>
        </w:rPr>
        <w:t xml:space="preserve"> ومنهم العلامة الحافظ أبو علي سعيد بن عثمان بن السكن ذكره في كتابه المسمى بالصحاح المأثورة عن رسول الله صلى الله عليه وسلم</w:t>
      </w:r>
      <w:r w:rsidR="00DB731D" w:rsidRPr="00A52585">
        <w:rPr>
          <w:rFonts w:hint="cs"/>
          <w:rtl/>
        </w:rPr>
        <w:t>،</w:t>
      </w:r>
      <w:r w:rsidR="00777DCB" w:rsidRPr="00A52585">
        <w:rPr>
          <w:rFonts w:hint="cs"/>
          <w:rtl/>
        </w:rPr>
        <w:t xml:space="preserve"> يا هذا انتبه لما ذكره</w:t>
      </w:r>
      <w:r w:rsidRPr="00A52585">
        <w:rPr>
          <w:rFonts w:hint="cs"/>
          <w:rtl/>
        </w:rPr>
        <w:t>:</w:t>
      </w:r>
      <w:r w:rsidR="00777DCB" w:rsidRPr="00A52585">
        <w:rPr>
          <w:rFonts w:hint="cs"/>
          <w:rtl/>
        </w:rPr>
        <w:t xml:space="preserve"> قال في خطبة كتابه هذا</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أما بعد فإنك سألتني أن أجمع لك ما صح عندي </w:t>
      </w:r>
      <w:r w:rsidR="00777DCB" w:rsidRPr="00A52585">
        <w:rPr>
          <w:rFonts w:hint="cs"/>
          <w:rtl/>
        </w:rPr>
        <w:lastRenderedPageBreak/>
        <w:t>من السنن المأثورة التي نقلها الأئمة من أهل البلدان الذين لا يطعن فيهم طاعن مما نقلوه. فتدبرت ما سألتني عنه فوجدت جماعة من الأئمة قد تكلفوا ما سألتني من ذلك وقد وعيت جميع ما ذكروه وحفظت عنهم أكثر ما نقلوه واقتديت بهم وأجبتك إلى ما سألتني من ذلك وجعلته أبواباً في جميع ما يحتاج إليه في أحكام المسلمين فأول من نصب نفسه لطلب الصحيح البخاري وتابعه مسلم وأبو داود والنسائي وقد تصفحت ما ذكروه وتدبرت ما نقلوه فوجدتهم مجتهدين فيما طلبوه</w:t>
      </w:r>
      <w:r w:rsidR="00DB731D" w:rsidRPr="00A52585">
        <w:rPr>
          <w:rFonts w:hint="cs"/>
          <w:vertAlign w:val="superscript"/>
          <w:rtl/>
        </w:rPr>
        <w:t>،</w:t>
      </w:r>
      <w:r w:rsidR="00777DCB" w:rsidRPr="00A52585">
        <w:rPr>
          <w:rFonts w:hint="cs"/>
          <w:rtl/>
        </w:rPr>
        <w:t xml:space="preserve"> فما ذكرته في كتابي هذا مجملاً فهو مما أجمعوا على صحته وما ذكرته بعد ذلك مما اختاره أحد الأئمة الذين سميتهم فقد ثبتت حجته في قبول ما ذكره ونسبته إلى اختياره دون غيره وما ذكرته فيما ينفرد به أحد أهل النقل للحديث فقد بينت علته ودللت على انفراده دون غيره وبالله التوفيق انتهى</w:t>
      </w:r>
      <w:r w:rsidR="00DB731D" w:rsidRPr="00A52585">
        <w:rPr>
          <w:rFonts w:hint="cs"/>
          <w:rtl/>
        </w:rPr>
        <w:t>،</w:t>
      </w:r>
      <w:r w:rsidR="00777DCB" w:rsidRPr="00A52585">
        <w:rPr>
          <w:rFonts w:hint="cs"/>
          <w:rtl/>
        </w:rPr>
        <w:t xml:space="preserve"> </w:t>
      </w:r>
      <w:r w:rsidR="00777DCB" w:rsidRPr="00A52585">
        <w:rPr>
          <w:rFonts w:hint="cs"/>
          <w:spacing w:val="-6"/>
          <w:rtl/>
        </w:rPr>
        <w:t>فانظر أرشدك الله تعالى هذا الإتقان من هذا الإمام والحرص على تحقيق</w:t>
      </w:r>
      <w:r w:rsidR="00777DCB" w:rsidRPr="00A52585">
        <w:rPr>
          <w:rFonts w:hint="cs"/>
          <w:rtl/>
        </w:rPr>
        <w:t xml:space="preserve"> ما وضعه في كتابه لم يقنع بوضع البخاري ومسلم وغيرهم مع </w:t>
      </w:r>
      <w:r w:rsidR="00777DCB" w:rsidRPr="00A52585">
        <w:rPr>
          <w:rFonts w:hint="cs"/>
          <w:spacing w:val="-6"/>
          <w:rtl/>
        </w:rPr>
        <w:t>جلالتهم بل تتبع ما وضعوه حتى وضع في كتابه. وهذا شأن الأئمة الخائفين</w:t>
      </w:r>
      <w:r w:rsidR="00777DCB" w:rsidRPr="00A52585">
        <w:rPr>
          <w:rFonts w:hint="cs"/>
          <w:rtl/>
        </w:rPr>
        <w:t xml:space="preserve"> من الله عــز وجــل من أن يقــع منهم ذلك في الإخبار عن رسول الله صلى الله عليه وسلم، ثم إنه رضي الله عنه ذكر في هذا الكتاب في كتاب الحج في باب ثواب من زار قبر النبي صلى الله عليه وسلم عن ابن عمر رضي الله عنهما قال رسول الله صلى الله عليه وسلم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من جاءني زائراً لم ينزعه إلا زيارتي كان حقاً على الله أن أكون له شفيعاً يوم القيامة</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ولم يذكر في هذا الباب غير هذا الحديث وهذا حكم منه بأن هذا الحديث مجمع على صحته بمقتضى الشرط الذي شرطه في الخطبة وهو رضي الله عنه إمام جليل حافظ متقن كثير الحديث واسع الرحلة سمع بالعراق وخراسان وما وراء النهر وسمع بالشام ومصر وسمع من خلائق من أئمة الحديث والأجلاء وأهل الدين وهو من القدماء</w:t>
      </w:r>
      <w:r w:rsidR="00DB731D" w:rsidRPr="00A52585">
        <w:rPr>
          <w:rFonts w:hint="cs"/>
          <w:rtl/>
        </w:rPr>
        <w:t>،</w:t>
      </w:r>
      <w:r w:rsidR="00777DCB" w:rsidRPr="00A52585">
        <w:rPr>
          <w:rFonts w:hint="cs"/>
          <w:rtl/>
        </w:rPr>
        <w:t xml:space="preserve"> أصله بغدادي وسكن مصر ومات بها في نصف المحرم سنة ثلاث وخمسين وثلاثمائة رحمة الله تعالى عليه وعلى أمثاله</w:t>
      </w:r>
      <w:r w:rsidR="00DB731D" w:rsidRPr="00A52585">
        <w:rPr>
          <w:rFonts w:hint="cs"/>
          <w:rtl/>
        </w:rPr>
        <w:t>،</w:t>
      </w:r>
      <w:r w:rsidR="00777DCB" w:rsidRPr="00A52585">
        <w:rPr>
          <w:rFonts w:hint="cs"/>
          <w:rtl/>
        </w:rPr>
        <w:t xml:space="preserve"> وإذا كان هذا حديثا صحيحا فكيف يحل لأحد يؤمن بالله واليوم الآخر أن يجعله ضعيفاً فضلا عن أن يجعله كذباً</w:t>
      </w:r>
      <w:r w:rsidR="00F95886" w:rsidRPr="00A52585">
        <w:rPr>
          <w:rFonts w:hint="cs"/>
          <w:rtl/>
        </w:rPr>
        <w:t>؟!</w:t>
      </w:r>
      <w:r w:rsidR="00777DCB" w:rsidRPr="00A52585">
        <w:rPr>
          <w:rFonts w:hint="cs"/>
          <w:rtl/>
        </w:rPr>
        <w:t xml:space="preserve"> وأقل درجات الثقة الخائف أن يقول صححه فلان وأما القول بوضعه وبتكفير هذا الإمام وأمثاله فلا يصدر إلا من زنديق محقق الزندقة بهذه القرينة وغيرها عائذا بالله عز وجل من ذلك</w:t>
      </w:r>
      <w:r w:rsidR="00DB731D" w:rsidRPr="00A52585">
        <w:rPr>
          <w:rFonts w:hint="cs"/>
          <w:rtl/>
        </w:rPr>
        <w:t>،</w:t>
      </w:r>
      <w:r w:rsidR="00777DCB" w:rsidRPr="00A52585">
        <w:rPr>
          <w:rFonts w:hint="cs"/>
          <w:rtl/>
        </w:rPr>
        <w:t xml:space="preserve"> وإذا تقرر لك ذلك فانظر أرشدك الله تعالى وعافاك هذا الخبيث الطوية كيف طعن في هذه الأئمة الأعلام في علوم الحديث الذين بهم يقتدى وعليهم يعول وعند ذكرهم تتنزل الرحمة ورماهم بالوضع على رسول الله صلى الله عليه وسلم وطعن في هذه الأخبار المروية عن هذه الأئمة</w:t>
      </w:r>
      <w:r w:rsidR="00DB731D" w:rsidRPr="00A52585">
        <w:rPr>
          <w:rFonts w:hint="cs"/>
          <w:rtl/>
        </w:rPr>
        <w:t>،</w:t>
      </w:r>
      <w:r w:rsidR="00777DCB" w:rsidRPr="00A52585">
        <w:rPr>
          <w:rFonts w:hint="cs"/>
          <w:rtl/>
        </w:rPr>
        <w:t xml:space="preserve"> وهذا شأنه قاتله الله تعالى كلما جاء إلى شيء لا غرض له فيه طعن فيه</w:t>
      </w:r>
      <w:r w:rsidR="00DB731D" w:rsidRPr="00A52585">
        <w:rPr>
          <w:rFonts w:hint="cs"/>
          <w:rtl/>
        </w:rPr>
        <w:t>،</w:t>
      </w:r>
      <w:r w:rsidR="00777DCB" w:rsidRPr="00A52585">
        <w:rPr>
          <w:rFonts w:hint="cs"/>
          <w:rtl/>
        </w:rPr>
        <w:t xml:space="preserve"> وإن كان مشهوراً ومعمولاً به بين الأئمة ولا عليه لا من الله عز وجل ولا من </w:t>
      </w:r>
      <w:r w:rsidR="00777DCB" w:rsidRPr="00A52585">
        <w:rPr>
          <w:rFonts w:hint="cs"/>
          <w:rtl/>
        </w:rPr>
        <w:lastRenderedPageBreak/>
        <w:t>رسوله صلى الله عليه وسلم ولا من الناس</w:t>
      </w:r>
      <w:r w:rsidR="00DB731D" w:rsidRPr="00A52585">
        <w:rPr>
          <w:rFonts w:hint="cs"/>
          <w:rtl/>
        </w:rPr>
        <w:t>،</w:t>
      </w:r>
      <w:r w:rsidR="00777DCB" w:rsidRPr="00A52585">
        <w:rPr>
          <w:rFonts w:hint="cs"/>
          <w:rtl/>
        </w:rPr>
        <w:t xml:space="preserve"> وتنبه لشيء عظيم رمى به هذه الأئمة وهو أن من قاعدته أن من كذب على النبي صلى الله عليه وسلم متعمداً كفر</w:t>
      </w:r>
      <w:r w:rsidR="00DB731D" w:rsidRPr="00A52585">
        <w:rPr>
          <w:rFonts w:hint="cs"/>
          <w:rtl/>
        </w:rPr>
        <w:t>،</w:t>
      </w:r>
      <w:r w:rsidR="00777DCB" w:rsidRPr="00A52585">
        <w:rPr>
          <w:rFonts w:hint="cs"/>
          <w:rtl/>
        </w:rPr>
        <w:t xml:space="preserve"> فعليه من الله عز وجل ما يستحقه</w:t>
      </w:r>
      <w:r w:rsidR="00DB731D" w:rsidRPr="00A52585">
        <w:rPr>
          <w:rFonts w:hint="cs"/>
          <w:rtl/>
        </w:rPr>
        <w:t>،</w:t>
      </w:r>
      <w:r w:rsidR="00777DCB" w:rsidRPr="00A52585">
        <w:rPr>
          <w:rFonts w:hint="cs"/>
          <w:rtl/>
        </w:rPr>
        <w:t xml:space="preserve"> وهذا وغيره يدل على أن عنده ضغينة للنبي صلى الله عليه وسلم ولصاحبيه وكذا لأمته ليفوت عليهم هذا الخير الذي رتبه على زيارة قبره عليه أفضل الصلاة والسلام فاحذروه واحذروا تزويق مقالته </w:t>
      </w:r>
      <w:proofErr w:type="spellStart"/>
      <w:r w:rsidR="00777DCB" w:rsidRPr="00A52585">
        <w:rPr>
          <w:rFonts w:hint="cs"/>
          <w:rtl/>
        </w:rPr>
        <w:t>المطوى</w:t>
      </w:r>
      <w:proofErr w:type="spellEnd"/>
      <w:r w:rsidR="00777DCB" w:rsidRPr="00A52585">
        <w:rPr>
          <w:rFonts w:hint="cs"/>
          <w:rtl/>
        </w:rPr>
        <w:t xml:space="preserve"> تحتها أخبث الخبث فإنها لا تجوز إلا على عامي أو بليد الذهن</w:t>
      </w:r>
      <w:r w:rsidR="00DB731D" w:rsidRPr="00A52585">
        <w:rPr>
          <w:rFonts w:hint="cs"/>
          <w:rtl/>
        </w:rPr>
        <w:t>،</w:t>
      </w:r>
      <w:r w:rsidR="00777DCB" w:rsidRPr="00A52585">
        <w:rPr>
          <w:rFonts w:hint="cs"/>
          <w:rtl/>
        </w:rPr>
        <w:t xml:space="preserve"> كالحمار يحمل أسفاراً أو خالٍ من العلوم وأخبار الناس وبالله تعالى التوفيق والله أعلم</w:t>
      </w:r>
      <w:r w:rsidR="00DB731D" w:rsidRPr="00A52585">
        <w:rPr>
          <w:rFonts w:hint="cs"/>
          <w:rtl/>
        </w:rPr>
        <w:t>،</w:t>
      </w:r>
      <w:r w:rsidR="00777DCB" w:rsidRPr="00A52585">
        <w:rPr>
          <w:rFonts w:hint="cs"/>
          <w:rtl/>
        </w:rPr>
        <w:t xml:space="preserve"> قال </w:t>
      </w:r>
      <w:r w:rsidR="00777DCB" w:rsidRPr="00A52585">
        <w:rPr>
          <w:rFonts w:hint="cs"/>
          <w:spacing w:val="-20"/>
          <w:rtl/>
        </w:rPr>
        <w:t>عليه</w:t>
      </w:r>
      <w:r w:rsidR="00777DCB" w:rsidRPr="00A52585">
        <w:rPr>
          <w:rFonts w:hint="cs"/>
          <w:rtl/>
        </w:rPr>
        <w:t xml:space="preserve">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إن بين الساعة كذابين فاحذروهم</w:t>
      </w:r>
      <w:r w:rsidRPr="00A52585">
        <w:rPr>
          <w:rFonts w:hint="cs"/>
          <w:rtl/>
        </w:rPr>
        <w:t>)</w:t>
      </w:r>
      <w:r w:rsidR="00777DCB" w:rsidRPr="00A52585">
        <w:rPr>
          <w:rFonts w:hint="cs"/>
          <w:rtl/>
        </w:rPr>
        <w:t>) رواه مسلم في صحيحه من حديث جابر بن سمرة رضي الله عنه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صحيح مسلم </w:t>
      </w:r>
      <w:r w:rsidR="00777DCB" w:rsidRPr="00A52585">
        <w:rPr>
          <w:sz w:val="24"/>
          <w:szCs w:val="24"/>
        </w:rPr>
        <w:t>–</w:t>
      </w:r>
      <w:r w:rsidR="00777DCB" w:rsidRPr="00A52585">
        <w:rPr>
          <w:rFonts w:hint="cs"/>
          <w:sz w:val="24"/>
          <w:szCs w:val="24"/>
          <w:rtl/>
        </w:rPr>
        <w:t xml:space="preserve"> كتاب الفتن </w:t>
      </w:r>
      <w:r w:rsidR="00777DCB" w:rsidRPr="00A52585">
        <w:rPr>
          <w:sz w:val="24"/>
          <w:szCs w:val="24"/>
        </w:rPr>
        <w:t>–</w:t>
      </w:r>
      <w:r w:rsidR="00777DCB" w:rsidRPr="00A52585">
        <w:rPr>
          <w:rFonts w:hint="cs"/>
          <w:sz w:val="24"/>
          <w:szCs w:val="24"/>
          <w:rtl/>
        </w:rPr>
        <w:t xml:space="preserve"> باب</w:t>
      </w:r>
      <w:r w:rsidRPr="00A52585">
        <w:rPr>
          <w:rFonts w:hint="cs"/>
          <w:sz w:val="24"/>
          <w:szCs w:val="24"/>
          <w:rtl/>
        </w:rPr>
        <w:t>:</w:t>
      </w:r>
      <w:r w:rsidR="00777DCB" w:rsidRPr="00A52585">
        <w:rPr>
          <w:rFonts w:hint="cs"/>
          <w:sz w:val="24"/>
          <w:szCs w:val="24"/>
          <w:rtl/>
        </w:rPr>
        <w:t xml:space="preserve"> لا تقوم الساعة حتى يمر الرجل بقبر الرجل فيتمنى أن يكون مكان الميت من البلاء</w:t>
      </w:r>
      <w:r w:rsidRPr="00A52585">
        <w:rPr>
          <w:rFonts w:hint="cs"/>
          <w:sz w:val="24"/>
          <w:szCs w:val="24"/>
          <w:rtl/>
        </w:rPr>
        <w:t>]</w:t>
      </w:r>
      <w:r w:rsidR="00DB731D" w:rsidRPr="00A52585">
        <w:rPr>
          <w:rFonts w:hint="cs"/>
          <w:sz w:val="24"/>
          <w:szCs w:val="24"/>
          <w:rtl/>
        </w:rPr>
        <w:t>،</w:t>
      </w:r>
      <w:r w:rsidR="00777DCB" w:rsidRPr="00A52585">
        <w:rPr>
          <w:rFonts w:hint="cs"/>
          <w:sz w:val="24"/>
          <w:rtl/>
        </w:rPr>
        <w:t xml:space="preserve"> </w:t>
      </w:r>
    </w:p>
    <w:p w14:paraId="3CED63EB" w14:textId="4F1148C2" w:rsidR="00777DCB" w:rsidRPr="00A52585" w:rsidRDefault="0002035C" w:rsidP="0002035C">
      <w:pPr>
        <w:spacing w:after="240"/>
        <w:rPr>
          <w:b/>
          <w:rtl/>
        </w:rPr>
      </w:pPr>
      <w:r w:rsidRPr="00A52585">
        <w:rPr>
          <w:rFonts w:hint="cs"/>
          <w:bCs/>
          <w:rtl/>
        </w:rPr>
        <w:t>[</w:t>
      </w:r>
      <w:r w:rsidR="00777DCB" w:rsidRPr="00A52585">
        <w:rPr>
          <w:rFonts w:hint="cs"/>
          <w:bCs/>
          <w:rtl/>
        </w:rPr>
        <w:t>ز- زعمه أن الزيارة تفضي إلى اتخاذ القبور مساجد</w:t>
      </w:r>
      <w:r w:rsidRPr="00A52585">
        <w:rPr>
          <w:rFonts w:hint="cs"/>
          <w:bCs/>
          <w:rtl/>
        </w:rPr>
        <w:t>]:</w:t>
      </w:r>
      <w:r w:rsidR="00777DCB" w:rsidRPr="00A52585">
        <w:rPr>
          <w:rFonts w:hint="cs"/>
          <w:bCs/>
          <w:rtl/>
        </w:rPr>
        <w:t xml:space="preserve"> </w:t>
      </w:r>
      <w:r w:rsidR="00777DCB" w:rsidRPr="00A52585">
        <w:rPr>
          <w:rFonts w:hint="cs"/>
          <w:rtl/>
        </w:rPr>
        <w:t>وقوله</w:t>
      </w:r>
      <w:r w:rsidRPr="00A52585">
        <w:rPr>
          <w:rFonts w:hint="cs"/>
          <w:rtl/>
        </w:rPr>
        <w:t>:</w:t>
      </w:r>
      <w:r w:rsidR="00777DCB" w:rsidRPr="00A52585">
        <w:rPr>
          <w:rFonts w:hint="cs"/>
          <w:rtl/>
        </w:rPr>
        <w:t xml:space="preserve"> (وفي الصحيحين عن النبي صلى الله عليه وسلم أنه قال في مرض موته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 xml:space="preserve">لعن الله اليهود </w:t>
      </w:r>
      <w:proofErr w:type="spellStart"/>
      <w:r w:rsidR="00777DCB" w:rsidRPr="00A52585">
        <w:rPr>
          <w:rFonts w:hint="cs"/>
          <w:rtl/>
        </w:rPr>
        <w:t>والنصاري</w:t>
      </w:r>
      <w:proofErr w:type="spellEnd"/>
      <w:r w:rsidR="00777DCB" w:rsidRPr="00A52585">
        <w:rPr>
          <w:rFonts w:hint="cs"/>
          <w:rtl/>
        </w:rPr>
        <w:t xml:space="preserve"> اتخذوا قبور أنبيائهم مساجد</w:t>
      </w:r>
      <w:r w:rsidR="00DB731D" w:rsidRPr="00A52585">
        <w:rPr>
          <w:rFonts w:hint="cs"/>
          <w:rtl/>
        </w:rPr>
        <w:t>،</w:t>
      </w:r>
      <w:r w:rsidR="00777DCB" w:rsidRPr="00A52585">
        <w:rPr>
          <w:rFonts w:hint="cs"/>
          <w:rtl/>
        </w:rPr>
        <w:t xml:space="preserve"> يحذر ما فعلوا</w:t>
      </w:r>
      <w:r w:rsidRPr="00A52585">
        <w:rPr>
          <w:rFonts w:hint="cs"/>
          <w:rtl/>
        </w:rPr>
        <w:t>)</w:t>
      </w:r>
      <w:r w:rsidR="00777DCB" w:rsidRPr="00A52585">
        <w:rPr>
          <w:rFonts w:hint="cs"/>
          <w:rtl/>
        </w:rPr>
        <w:t xml:space="preserve">) قالت عائشة ولولا ذلك أبرزوا قبره ولكن كره أن يتخذ مسجداً فهم دفنوه في حجرة عائشة خلاف ما </w:t>
      </w:r>
      <w:proofErr w:type="spellStart"/>
      <w:r w:rsidR="00777DCB" w:rsidRPr="00A52585">
        <w:rPr>
          <w:rFonts w:hint="cs"/>
          <w:rtl/>
        </w:rPr>
        <w:t>اعتادوه</w:t>
      </w:r>
      <w:proofErr w:type="spellEnd"/>
      <w:r w:rsidR="00777DCB" w:rsidRPr="00A52585">
        <w:rPr>
          <w:rFonts w:hint="cs"/>
          <w:rtl/>
        </w:rPr>
        <w:t xml:space="preserve"> من الدفن في الصحراء لئلاً يصلي أحد عند قبره ويتخذ مسجداً فيتخذ قبره وثناً </w:t>
      </w:r>
      <w:r w:rsidR="00777DCB" w:rsidRPr="00A52585">
        <w:t>…</w:t>
      </w:r>
      <w:r w:rsidR="00777DCB" w:rsidRPr="00A52585">
        <w:rPr>
          <w:rFonts w:hint="cs"/>
          <w:rtl/>
        </w:rPr>
        <w:t>) إلى آخره</w:t>
      </w:r>
      <w:r w:rsidR="00DB731D" w:rsidRPr="00A52585">
        <w:rPr>
          <w:rFonts w:hint="cs"/>
          <w:rtl/>
        </w:rPr>
        <w:t>،</w:t>
      </w:r>
      <w:r w:rsidR="00777DCB" w:rsidRPr="00A52585">
        <w:rPr>
          <w:rFonts w:hint="cs"/>
          <w:rtl/>
        </w:rPr>
        <w:t xml:space="preserve"> تأمل بصرك الله تعالى وفهمك كيف بعد تضليل هذه الأئمة وفجوره أن هذه الأحاديث المتعلقة بالزيارة كذب كيف أردف ذلك بهذا الحديث محتجاً به على منع زيارة القبر الشريف وفيه من أقوى الأدلة على تدليسه وسوء فهمه إذ الحديث ليس فيه تعرض للزيارة ألبته وإنما فيه منع</w:t>
      </w:r>
      <w:r w:rsidRPr="00A52585">
        <w:rPr>
          <w:rFonts w:hint="cs"/>
          <w:rtl/>
        </w:rPr>
        <w:t xml:space="preserve"> </w:t>
      </w:r>
      <w:r w:rsidR="00777DCB" w:rsidRPr="00A52585">
        <w:rPr>
          <w:rFonts w:hint="cs"/>
          <w:rtl/>
        </w:rPr>
        <w:t>اتخاذ القبور مساجد ونحن لم نتخذ قبره المكرم المعظم مسجداً ولا نصلي فيه ولا إليه بل يزوره ويدعوا مع الأدب والخشوع والسكينة ورؤية التعظيم لعلمنا بأنه يسمعنا ويجيبنا وعلى ذلك جرت عادة المؤمنين</w:t>
      </w:r>
      <w:r w:rsidR="00DB731D" w:rsidRPr="00A52585">
        <w:rPr>
          <w:rFonts w:hint="cs"/>
          <w:rtl/>
        </w:rPr>
        <w:t>،</w:t>
      </w:r>
      <w:r w:rsidR="00777DCB" w:rsidRPr="00A52585">
        <w:rPr>
          <w:rFonts w:hint="cs"/>
          <w:rtl/>
        </w:rPr>
        <w:t xml:space="preserve"> </w:t>
      </w:r>
      <w:r w:rsidR="00777DCB" w:rsidRPr="00A52585">
        <w:rPr>
          <w:rFonts w:hint="cs"/>
          <w:spacing w:val="-4"/>
          <w:rtl/>
        </w:rPr>
        <w:t xml:space="preserve">قال بعضهم </w:t>
      </w:r>
      <w:r w:rsidR="00777DCB" w:rsidRPr="00A52585">
        <w:rPr>
          <w:rFonts w:hint="cs"/>
          <w:rtl/>
        </w:rPr>
        <w:t>رأيت أنس بن مالك رضي الله عنه خادم رسول الله صلى الله عليه وسلم أتى قبر النبي صلى الله عليه وسلم فوقف فرفع يديه حتى ظننت أنه قد افتتح الصلاة فسلم على النبي صلى الله عليه وسلم ثم انصرف</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(فهم دفنوه في حجرة عائشة رضي الله عنها خلاف ما </w:t>
      </w:r>
      <w:proofErr w:type="spellStart"/>
      <w:r w:rsidR="00777DCB" w:rsidRPr="00A52585">
        <w:rPr>
          <w:rFonts w:hint="cs"/>
          <w:rtl/>
        </w:rPr>
        <w:t>اعتادوه</w:t>
      </w:r>
      <w:proofErr w:type="spellEnd"/>
      <w:r w:rsidR="00777DCB" w:rsidRPr="00A52585">
        <w:rPr>
          <w:rFonts w:hint="cs"/>
          <w:rtl/>
        </w:rPr>
        <w:t xml:space="preserve"> من الدفن في الصحراء لئلا يصلي أحد عند قبره ويتخذ مسجداً فيتخذ قبره وثناً)</w:t>
      </w:r>
      <w:r w:rsidR="00DB731D" w:rsidRPr="00A52585">
        <w:rPr>
          <w:rFonts w:hint="cs"/>
          <w:rtl/>
        </w:rPr>
        <w:t>،</w:t>
      </w:r>
      <w:r w:rsidR="00777DCB" w:rsidRPr="00A52585">
        <w:rPr>
          <w:rFonts w:hint="cs"/>
          <w:rtl/>
        </w:rPr>
        <w:t xml:space="preserve"> هذا أيضاً من التدليس منه وسوء الفهم على عادته وما قاله باطل يموه به على الضعفاء من الطلبة وغوغاء الناس وإنما دفنوه في حجرة عائشة رضي الله عنها لما روي لهم أن الأنبياء عليهم الصلاة والسلام يدفنون حيث يقبضون</w:t>
      </w:r>
      <w:r w:rsidR="00DB731D" w:rsidRPr="00A52585">
        <w:rPr>
          <w:rFonts w:hint="cs"/>
          <w:rtl/>
        </w:rPr>
        <w:t>،</w:t>
      </w:r>
      <w:r w:rsidR="00777DCB" w:rsidRPr="00A52585">
        <w:rPr>
          <w:rFonts w:hint="cs"/>
          <w:rtl/>
        </w:rPr>
        <w:t xml:space="preserve"> وكان ذلك بعد اختلافهم أين يدفن. فقال بعضهم</w:t>
      </w:r>
      <w:r w:rsidRPr="00A52585">
        <w:rPr>
          <w:rFonts w:hint="cs"/>
          <w:rtl/>
        </w:rPr>
        <w:t>:</w:t>
      </w:r>
      <w:r w:rsidR="00777DCB" w:rsidRPr="00A52585">
        <w:rPr>
          <w:rFonts w:hint="cs"/>
          <w:rtl/>
        </w:rPr>
        <w:t xml:space="preserve"> يدفن في مسجده وقال</w:t>
      </w:r>
      <w:r w:rsidRPr="00A52585">
        <w:rPr>
          <w:rFonts w:hint="cs"/>
          <w:rtl/>
        </w:rPr>
        <w:t>:</w:t>
      </w:r>
      <w:r w:rsidR="00777DCB" w:rsidRPr="00A52585">
        <w:rPr>
          <w:rFonts w:hint="cs"/>
          <w:rtl/>
        </w:rPr>
        <w:t xml:space="preserve"> بعضهم</w:t>
      </w:r>
      <w:r w:rsidRPr="00A52585">
        <w:rPr>
          <w:rFonts w:hint="cs"/>
          <w:rtl/>
        </w:rPr>
        <w:t>:</w:t>
      </w:r>
      <w:r w:rsidR="00777DCB" w:rsidRPr="00A52585">
        <w:rPr>
          <w:rFonts w:hint="cs"/>
          <w:rtl/>
        </w:rPr>
        <w:t xml:space="preserve"> مع إخوانه. فقال أبو بكر رضي الله عنه</w:t>
      </w:r>
      <w:r w:rsidRPr="00A52585">
        <w:rPr>
          <w:rFonts w:hint="cs"/>
          <w:rtl/>
        </w:rPr>
        <w:t>:</w:t>
      </w:r>
      <w:r w:rsidR="00777DCB" w:rsidRPr="00A52585">
        <w:rPr>
          <w:rFonts w:hint="cs"/>
          <w:rtl/>
        </w:rPr>
        <w:t xml:space="preserve"> عندي من ذلك علم فذكر لهم أن النبي صلى الله عليه وسلم يدفن موضع يقبض </w:t>
      </w:r>
      <w:r w:rsidRPr="00A52585">
        <w:rPr>
          <w:rFonts w:hint="cs"/>
          <w:sz w:val="24"/>
          <w:szCs w:val="24"/>
          <w:rtl/>
        </w:rPr>
        <w:t>[</w:t>
      </w:r>
      <w:r w:rsidR="00777DCB" w:rsidRPr="00A52585">
        <w:rPr>
          <w:rFonts w:hint="cs"/>
          <w:sz w:val="24"/>
          <w:szCs w:val="24"/>
          <w:rtl/>
        </w:rPr>
        <w:t xml:space="preserve">قال </w:t>
      </w:r>
      <w:r w:rsidR="00777DCB" w:rsidRPr="00A52585">
        <w:rPr>
          <w:rFonts w:hint="cs"/>
          <w:sz w:val="24"/>
          <w:szCs w:val="24"/>
          <w:rtl/>
        </w:rPr>
        <w:lastRenderedPageBreak/>
        <w:t>المحقق</w:t>
      </w:r>
      <w:r w:rsidRPr="00A52585">
        <w:rPr>
          <w:rFonts w:hint="cs"/>
          <w:sz w:val="24"/>
          <w:szCs w:val="24"/>
          <w:rtl/>
        </w:rPr>
        <w:t>:</w:t>
      </w:r>
      <w:r w:rsidR="00777DCB" w:rsidRPr="00A52585">
        <w:rPr>
          <w:rFonts w:hint="cs"/>
          <w:sz w:val="24"/>
          <w:szCs w:val="24"/>
          <w:rtl/>
        </w:rPr>
        <w:t xml:space="preserve"> روى الترمذي عن عائشة قالت</w:t>
      </w:r>
      <w:r w:rsidRPr="00A52585">
        <w:rPr>
          <w:rFonts w:hint="cs"/>
          <w:sz w:val="24"/>
          <w:szCs w:val="24"/>
          <w:rtl/>
        </w:rPr>
        <w:t>:</w:t>
      </w:r>
      <w:r w:rsidR="00777DCB" w:rsidRPr="00A52585">
        <w:rPr>
          <w:rFonts w:hint="cs"/>
          <w:sz w:val="24"/>
          <w:szCs w:val="24"/>
          <w:rtl/>
        </w:rPr>
        <w:t xml:space="preserve"> لمّا قبض رسول الله صلى الله عليه وسلم اختلفوا في دفنه فقال أبو بكر</w:t>
      </w:r>
      <w:r w:rsidRPr="00A52585">
        <w:rPr>
          <w:rFonts w:hint="cs"/>
          <w:sz w:val="24"/>
          <w:szCs w:val="24"/>
          <w:rtl/>
        </w:rPr>
        <w:t>:</w:t>
      </w:r>
      <w:r w:rsidR="00777DCB" w:rsidRPr="00A52585">
        <w:rPr>
          <w:rFonts w:hint="cs"/>
          <w:sz w:val="24"/>
          <w:szCs w:val="24"/>
          <w:rtl/>
        </w:rPr>
        <w:t xml:space="preserve"> (سمعت من رسول الله صلى الله عليه وسلم شيئاً ما نسيته، قال</w:t>
      </w:r>
      <w:r w:rsidRPr="00A52585">
        <w:rPr>
          <w:rFonts w:hint="cs"/>
          <w:sz w:val="24"/>
          <w:szCs w:val="24"/>
          <w:rtl/>
        </w:rPr>
        <w:t xml:space="preserve"> </w:t>
      </w:r>
      <w:r w:rsidR="00777DCB" w:rsidRPr="00A52585">
        <w:rPr>
          <w:rFonts w:hint="cs"/>
          <w:sz w:val="24"/>
          <w:szCs w:val="24"/>
          <w:rtl/>
        </w:rPr>
        <w:t>" ما قبض الله نبيا إلا في الموضع الذي يحب أن يدفن فيه "</w:t>
      </w:r>
      <w:r w:rsidRPr="00A52585">
        <w:rPr>
          <w:rFonts w:hint="cs"/>
          <w:sz w:val="24"/>
          <w:szCs w:val="24"/>
          <w:rtl/>
        </w:rPr>
        <w:t xml:space="preserve"> </w:t>
      </w:r>
      <w:proofErr w:type="spellStart"/>
      <w:r w:rsidR="00777DCB" w:rsidRPr="00A52585">
        <w:rPr>
          <w:rFonts w:hint="cs"/>
          <w:sz w:val="24"/>
          <w:szCs w:val="24"/>
          <w:rtl/>
        </w:rPr>
        <w:t>إدفنوه</w:t>
      </w:r>
      <w:proofErr w:type="spellEnd"/>
      <w:r w:rsidR="00777DCB" w:rsidRPr="00A52585">
        <w:rPr>
          <w:rFonts w:hint="cs"/>
          <w:sz w:val="24"/>
          <w:szCs w:val="24"/>
          <w:rtl/>
        </w:rPr>
        <w:t xml:space="preserve"> في موضع فراشه)</w:t>
      </w:r>
      <w:r w:rsidR="00DB731D" w:rsidRPr="00A52585">
        <w:rPr>
          <w:rFonts w:hint="cs"/>
          <w:sz w:val="24"/>
          <w:szCs w:val="24"/>
          <w:rtl/>
        </w:rPr>
        <w:t>،</w:t>
      </w:r>
      <w:r w:rsidR="00777DCB" w:rsidRPr="00A52585">
        <w:rPr>
          <w:rFonts w:hint="cs"/>
          <w:sz w:val="24"/>
          <w:szCs w:val="24"/>
          <w:rtl/>
        </w:rPr>
        <w:t xml:space="preserve"> ورواه ابن ماجه عن ابن عباس بلفظ</w:t>
      </w:r>
      <w:r w:rsidRPr="00A52585">
        <w:rPr>
          <w:rFonts w:hint="cs"/>
          <w:sz w:val="24"/>
          <w:szCs w:val="24"/>
          <w:rtl/>
        </w:rPr>
        <w:t xml:space="preserve"> </w:t>
      </w:r>
      <w:r w:rsidR="00777DCB" w:rsidRPr="00A52585">
        <w:rPr>
          <w:rFonts w:hint="cs"/>
          <w:sz w:val="24"/>
          <w:szCs w:val="24"/>
          <w:rtl/>
        </w:rPr>
        <w:t>" ما قبض نبي إلا دفن حيث يقبض "</w:t>
      </w:r>
      <w:r w:rsidR="00DB731D" w:rsidRPr="00A52585">
        <w:rPr>
          <w:rFonts w:hint="cs"/>
          <w:sz w:val="24"/>
          <w:szCs w:val="24"/>
          <w:rtl/>
        </w:rPr>
        <w:t>،</w:t>
      </w:r>
      <w:r w:rsidR="00777DCB" w:rsidRPr="00A52585">
        <w:rPr>
          <w:rFonts w:hint="cs"/>
          <w:sz w:val="24"/>
          <w:szCs w:val="24"/>
          <w:rtl/>
        </w:rPr>
        <w:t xml:space="preserve"> ورواه أيضاً أحمد بن حنبل في مسنده وأحمد بن منيع وأبو يعلى وإسحق وابن سعد بأسانيد متعددة يقوى بعضها بعضا فالحديث مشهور جداً كما قال المؤلف رضي الله عنه</w:t>
      </w:r>
      <w:r w:rsidRPr="00A52585">
        <w:rPr>
          <w:rFonts w:hint="cs"/>
          <w:sz w:val="24"/>
          <w:szCs w:val="24"/>
          <w:rtl/>
        </w:rPr>
        <w:t>]</w:t>
      </w:r>
      <w:r w:rsidR="00DB731D" w:rsidRPr="00A52585">
        <w:rPr>
          <w:rFonts w:hint="cs"/>
          <w:sz w:val="24"/>
          <w:szCs w:val="24"/>
          <w:rtl/>
        </w:rPr>
        <w:t>،</w:t>
      </w:r>
      <w:r w:rsidR="00777DCB" w:rsidRPr="00A52585">
        <w:rPr>
          <w:rFonts w:hint="cs"/>
          <w:rtl/>
        </w:rPr>
        <w:t xml:space="preserve"> فلما روى لهم الحديث دفنوه موضع قبضه</w:t>
      </w:r>
      <w:r w:rsidR="00DB731D" w:rsidRPr="00A52585">
        <w:rPr>
          <w:rFonts w:hint="cs"/>
          <w:rtl/>
        </w:rPr>
        <w:t>،</w:t>
      </w:r>
      <w:r w:rsidR="00777DCB" w:rsidRPr="00A52585">
        <w:rPr>
          <w:rFonts w:hint="cs"/>
          <w:rtl/>
        </w:rPr>
        <w:t xml:space="preserve"> وهذا من القضايا المشهورة غاية</w:t>
      </w:r>
      <w:r w:rsidR="00777DCB" w:rsidRPr="00A52585">
        <w:rPr>
          <w:rFonts w:hint="cs"/>
          <w:vertAlign w:val="superscript"/>
          <w:rtl/>
        </w:rPr>
        <w:t xml:space="preserve"> </w:t>
      </w:r>
      <w:r w:rsidR="00777DCB" w:rsidRPr="00A52585">
        <w:rPr>
          <w:rFonts w:hint="cs"/>
          <w:rtl/>
        </w:rPr>
        <w:t xml:space="preserve">الشهرة ولا نعلم أن أحداً قال أنهم دفنوه موضع قبضه للمعنى الذي ذكره وهذا شأنه إن وجد شيئاً يوافق هواه وخبث طويته ذكره ووسع الكلام فيه وزخرفه وإن وجد شيئاً عليه أهمله أو حمله على محمل يعرف به أهل النقل جهله وتدليسه عند تأمله بل في بعض المواضع يعرف من غير تأمل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w:t>
      </w:r>
      <w:r w:rsidR="00777DCB" w:rsidRPr="00A52585">
        <w:rPr>
          <w:rFonts w:hint="cs"/>
          <w:spacing w:val="-8"/>
          <w:sz w:val="24"/>
          <w:szCs w:val="24"/>
          <w:rtl/>
        </w:rPr>
        <w:t>ليس هناك ما يمنع من دفن الصالحين في المساجد مع وجود حاجز يحول بين الزائر وبين القبر</w:t>
      </w:r>
      <w:r w:rsidR="00777DCB" w:rsidRPr="00A52585">
        <w:rPr>
          <w:rFonts w:hint="cs"/>
          <w:sz w:val="24"/>
          <w:szCs w:val="24"/>
          <w:rtl/>
        </w:rPr>
        <w:t xml:space="preserve"> كما </w:t>
      </w:r>
      <w:r w:rsidR="00777DCB" w:rsidRPr="00A52585">
        <w:rPr>
          <w:rFonts w:hint="cs"/>
          <w:spacing w:val="-8"/>
          <w:sz w:val="24"/>
          <w:szCs w:val="24"/>
          <w:rtl/>
        </w:rPr>
        <w:t>هو مشاهد، وفي حديث البزار بسند صحيح (في مسجد الخيف قُبِرَ سبعون نبيا)، ودفن رسول الله صلى الله عليه وسلم في</w:t>
      </w:r>
      <w:r w:rsidR="00777DCB" w:rsidRPr="00A52585">
        <w:rPr>
          <w:rFonts w:hint="cs"/>
          <w:sz w:val="24"/>
          <w:szCs w:val="24"/>
          <w:rtl/>
        </w:rPr>
        <w:t xml:space="preserve"> مسجده، ودفن إسماعيل عليه السلام في الكعبة، ودفن 77 نبيا في الكعبة بين زمزم والحطيم </w:t>
      </w:r>
      <w:r w:rsidR="00777DCB" w:rsidRPr="00A52585">
        <w:rPr>
          <w:rFonts w:hint="cs"/>
          <w:spacing w:val="-8"/>
          <w:sz w:val="24"/>
          <w:szCs w:val="24"/>
          <w:rtl/>
        </w:rPr>
        <w:t>والركن، رواه البيهقي في شعب الإيمان، وذكر أن المحدث السيد عبد الله الغماري ذكر هذا الحديث</w:t>
      </w:r>
      <w:r w:rsidR="00777DCB" w:rsidRPr="00A52585">
        <w:rPr>
          <w:rFonts w:hint="cs"/>
          <w:sz w:val="24"/>
          <w:szCs w:val="24"/>
          <w:rtl/>
        </w:rPr>
        <w:t xml:space="preserve"> (لعن الله اليهود والنصارى</w:t>
      </w:r>
      <w:r w:rsidR="00777DCB" w:rsidRPr="00A52585">
        <w:rPr>
          <w:sz w:val="24"/>
          <w:szCs w:val="24"/>
        </w:rPr>
        <w:t>…</w:t>
      </w:r>
      <w:r w:rsidR="00777DCB" w:rsidRPr="00A52585">
        <w:rPr>
          <w:rFonts w:hint="cs"/>
          <w:sz w:val="24"/>
          <w:szCs w:val="24"/>
          <w:rtl/>
        </w:rPr>
        <w:t xml:space="preserve"> الخ) في الأحاديث الشاذة، انظر (الفوائد المقصودة) و(إعلام الراكع الساجد) للسيد عبد الله الغماري، وانظر لزاما كتاب (إحياء المقبور) للحافظ السيد أحمد الغماري</w:t>
      </w:r>
      <w:r w:rsidRPr="00A52585">
        <w:rPr>
          <w:rFonts w:hint="cs"/>
          <w:sz w:val="24"/>
          <w:szCs w:val="24"/>
          <w:rtl/>
        </w:rPr>
        <w:t>]</w:t>
      </w:r>
      <w:r w:rsidR="00DB731D" w:rsidRPr="00A52585">
        <w:rPr>
          <w:rFonts w:hint="cs"/>
          <w:rtl/>
        </w:rPr>
        <w:t>،</w:t>
      </w:r>
      <w:r w:rsidR="00777DCB" w:rsidRPr="00A52585">
        <w:rPr>
          <w:rFonts w:hint="cs"/>
          <w:rtl/>
        </w:rPr>
        <w:t xml:space="preserve"> وقوله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وكانت الصحابة والتابعون لما كانت الحجرة النبوية منفصلة عن المسجد لا يدخل لا لصلاة هناك ولا يتمسح بالقبر ولا دعاء هناك</w:t>
      </w:r>
      <w:r w:rsidRPr="00A52585">
        <w:rPr>
          <w:rFonts w:hint="cs"/>
          <w:rtl/>
        </w:rPr>
        <w:t>)</w:t>
      </w:r>
      <w:r w:rsidR="00DB731D" w:rsidRPr="00A52585">
        <w:rPr>
          <w:rFonts w:hint="cs"/>
          <w:rtl/>
        </w:rPr>
        <w:t>،</w:t>
      </w:r>
      <w:r w:rsidR="00777DCB" w:rsidRPr="00A52585">
        <w:rPr>
          <w:rFonts w:hint="cs"/>
          <w:rtl/>
        </w:rPr>
        <w:t xml:space="preserve"> هذا أيضاً من التحشير التي يزخرف بها على العوام وأشباههم من سيء الأفهام من الطلبة فإن هذا لا يدل على مراده من منع الزيارة</w:t>
      </w:r>
      <w:r w:rsidR="00DB731D" w:rsidRPr="00A52585">
        <w:rPr>
          <w:rFonts w:hint="cs"/>
          <w:rtl/>
        </w:rPr>
        <w:t>،</w:t>
      </w:r>
      <w:r w:rsidR="00777DCB" w:rsidRPr="00A52585">
        <w:rPr>
          <w:rFonts w:hint="cs"/>
          <w:rtl/>
        </w:rPr>
        <w:t xml:space="preserve"> بل كلامه يدل على الزيارة بلا هذه الأفعال إلا الدعاء</w:t>
      </w:r>
      <w:r w:rsidR="00DB731D" w:rsidRPr="00A52585">
        <w:rPr>
          <w:rFonts w:hint="cs"/>
          <w:rtl/>
        </w:rPr>
        <w:t>،</w:t>
      </w:r>
      <w:r w:rsidR="00777DCB" w:rsidRPr="00A52585">
        <w:rPr>
          <w:rFonts w:hint="cs"/>
          <w:rtl/>
        </w:rPr>
        <w:t xml:space="preserve"> وليس كما قال</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جاء في المطالب العالية ج2 ص442، 443)، (2695) عن عبيد الله بن عبد الله بن عتبة جاء في كما في الزوائد قال</w:t>
      </w:r>
      <w:r w:rsidRPr="00A52585">
        <w:rPr>
          <w:rFonts w:hint="cs"/>
          <w:sz w:val="24"/>
          <w:szCs w:val="24"/>
          <w:rtl/>
        </w:rPr>
        <w:t>:</w:t>
      </w:r>
      <w:r w:rsidR="00777DCB" w:rsidRPr="00A52585">
        <w:rPr>
          <w:rFonts w:hint="cs"/>
          <w:sz w:val="24"/>
          <w:szCs w:val="24"/>
          <w:rtl/>
        </w:rPr>
        <w:t xml:space="preserve"> رأيت أسامة يصلى عند قبر رسول الله صلى الله عليه وسلم</w:t>
      </w:r>
      <w:r w:rsidR="00DB731D" w:rsidRPr="00A52585">
        <w:rPr>
          <w:rFonts w:hint="cs"/>
          <w:sz w:val="24"/>
          <w:szCs w:val="24"/>
          <w:rtl/>
        </w:rPr>
        <w:t>،</w:t>
      </w:r>
      <w:r w:rsidR="00777DCB" w:rsidRPr="00A52585">
        <w:rPr>
          <w:rFonts w:hint="cs"/>
          <w:sz w:val="24"/>
          <w:szCs w:val="24"/>
          <w:rtl/>
        </w:rPr>
        <w:t xml:space="preserve"> فخرج مروان بن الحكم فقال</w:t>
      </w:r>
      <w:r w:rsidRPr="00A52585">
        <w:rPr>
          <w:rFonts w:hint="cs"/>
          <w:sz w:val="24"/>
          <w:szCs w:val="24"/>
          <w:rtl/>
        </w:rPr>
        <w:t>:</w:t>
      </w:r>
      <w:r w:rsidR="00777DCB" w:rsidRPr="00A52585">
        <w:rPr>
          <w:rFonts w:hint="cs"/>
          <w:sz w:val="24"/>
          <w:szCs w:val="24"/>
          <w:rtl/>
        </w:rPr>
        <w:t xml:space="preserve"> تصلى عند قبره</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إني أحبه</w:t>
      </w:r>
      <w:r w:rsidR="00DB731D" w:rsidRPr="00A52585">
        <w:rPr>
          <w:rFonts w:hint="cs"/>
          <w:sz w:val="24"/>
          <w:szCs w:val="24"/>
          <w:rtl/>
        </w:rPr>
        <w:t>،</w:t>
      </w:r>
      <w:r w:rsidR="00777DCB" w:rsidRPr="00A52585">
        <w:rPr>
          <w:rFonts w:hint="cs"/>
          <w:sz w:val="24"/>
          <w:szCs w:val="24"/>
          <w:rtl/>
        </w:rPr>
        <w:t xml:space="preserve"> فقال له قولا قبيحاً، ثم أوتر فأنصرف أسامة، فقال لمروان</w:t>
      </w:r>
      <w:r w:rsidRPr="00A52585">
        <w:rPr>
          <w:rFonts w:hint="cs"/>
          <w:sz w:val="24"/>
          <w:szCs w:val="24"/>
          <w:rtl/>
        </w:rPr>
        <w:t>:</w:t>
      </w:r>
      <w:r w:rsidR="00777DCB" w:rsidRPr="00A52585">
        <w:rPr>
          <w:rFonts w:hint="cs"/>
          <w:sz w:val="24"/>
          <w:szCs w:val="24"/>
          <w:rtl/>
        </w:rPr>
        <w:t xml:space="preserve"> إنك آذيتني فإني سمعت رسول الله صلى الله عليه وسلم يقول</w:t>
      </w:r>
      <w:r w:rsidRPr="00A52585">
        <w:rPr>
          <w:rFonts w:hint="cs"/>
          <w:sz w:val="24"/>
          <w:szCs w:val="24"/>
          <w:rtl/>
        </w:rPr>
        <w:t xml:space="preserve">: </w:t>
      </w:r>
      <w:r w:rsidR="00777DCB" w:rsidRPr="00A52585">
        <w:rPr>
          <w:rFonts w:hint="cs"/>
          <w:sz w:val="24"/>
          <w:szCs w:val="24"/>
          <w:rtl/>
        </w:rPr>
        <w:t>" إن الله يبغض الفاحش المتفحش "</w:t>
      </w:r>
      <w:r w:rsidRPr="00A52585">
        <w:rPr>
          <w:rFonts w:hint="cs"/>
          <w:sz w:val="24"/>
          <w:szCs w:val="24"/>
          <w:rtl/>
        </w:rPr>
        <w:t xml:space="preserve"> </w:t>
      </w:r>
      <w:r w:rsidR="00777DCB" w:rsidRPr="00A52585">
        <w:rPr>
          <w:rFonts w:hint="cs"/>
          <w:sz w:val="24"/>
          <w:szCs w:val="24"/>
          <w:rtl/>
        </w:rPr>
        <w:t>فإنك فاحش متفحش (سكت عليه البوصيري (2/144) وقال الهيثمي</w:t>
      </w:r>
      <w:r w:rsidRPr="00A52585">
        <w:rPr>
          <w:rFonts w:hint="cs"/>
          <w:sz w:val="24"/>
          <w:szCs w:val="24"/>
          <w:rtl/>
        </w:rPr>
        <w:t>:</w:t>
      </w:r>
      <w:r w:rsidR="00777DCB" w:rsidRPr="00A52585">
        <w:rPr>
          <w:rFonts w:hint="cs"/>
          <w:sz w:val="24"/>
          <w:szCs w:val="24"/>
          <w:rtl/>
        </w:rPr>
        <w:t xml:space="preserve"> رواه الطبراني ورجاله ثقات (8/64) ولفظ المرفوع فيه</w:t>
      </w:r>
      <w:r w:rsidRPr="00A52585">
        <w:rPr>
          <w:rFonts w:hint="cs"/>
          <w:sz w:val="24"/>
          <w:szCs w:val="24"/>
          <w:rtl/>
        </w:rPr>
        <w:t>:</w:t>
      </w:r>
      <w:r w:rsidR="00777DCB" w:rsidRPr="00A52585">
        <w:rPr>
          <w:rFonts w:hint="cs"/>
          <w:sz w:val="24"/>
          <w:szCs w:val="24"/>
          <w:rtl/>
        </w:rPr>
        <w:t xml:space="preserve"> إن الله تعالى يبغض الفاحش </w:t>
      </w:r>
      <w:proofErr w:type="spellStart"/>
      <w:r w:rsidR="00777DCB" w:rsidRPr="00A52585">
        <w:rPr>
          <w:rFonts w:hint="cs"/>
          <w:sz w:val="24"/>
          <w:szCs w:val="24"/>
          <w:rtl/>
        </w:rPr>
        <w:t>البذئ</w:t>
      </w:r>
      <w:proofErr w:type="spellEnd"/>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رواه ابن حبان في صحيحه وأحمد في مسنده</w:t>
      </w:r>
      <w:r w:rsidR="00DB731D" w:rsidRPr="00A52585">
        <w:rPr>
          <w:rFonts w:hint="cs"/>
          <w:sz w:val="24"/>
          <w:szCs w:val="24"/>
          <w:rtl/>
        </w:rPr>
        <w:t>،</w:t>
      </w:r>
      <w:r w:rsidR="00777DCB" w:rsidRPr="00A52585">
        <w:rPr>
          <w:rFonts w:hint="cs"/>
          <w:sz w:val="24"/>
          <w:szCs w:val="24"/>
          <w:rtl/>
        </w:rPr>
        <w:t xml:space="preserve"> يقول حسين سلم، عبده على كوشك</w:t>
      </w:r>
      <w:r w:rsidRPr="00A52585">
        <w:rPr>
          <w:rFonts w:hint="cs"/>
          <w:sz w:val="24"/>
          <w:szCs w:val="24"/>
          <w:rtl/>
        </w:rPr>
        <w:t>:</w:t>
      </w:r>
      <w:r w:rsidR="00777DCB" w:rsidRPr="00A52585">
        <w:rPr>
          <w:rFonts w:hint="cs"/>
          <w:sz w:val="24"/>
          <w:szCs w:val="24"/>
          <w:rtl/>
        </w:rPr>
        <w:t xml:space="preserve"> في موارد </w:t>
      </w:r>
      <w:proofErr w:type="spellStart"/>
      <w:r w:rsidR="00777DCB" w:rsidRPr="00A52585">
        <w:rPr>
          <w:rFonts w:hint="cs"/>
          <w:sz w:val="24"/>
          <w:szCs w:val="24"/>
          <w:rtl/>
        </w:rPr>
        <w:t>الطمآن</w:t>
      </w:r>
      <w:proofErr w:type="spellEnd"/>
      <w:r w:rsidR="00777DCB" w:rsidRPr="00A52585">
        <w:rPr>
          <w:rFonts w:hint="cs"/>
          <w:sz w:val="24"/>
          <w:szCs w:val="24"/>
          <w:rtl/>
        </w:rPr>
        <w:t xml:space="preserve"> 1974 </w:t>
      </w:r>
      <w:r w:rsidR="00777DCB" w:rsidRPr="00A52585">
        <w:rPr>
          <w:sz w:val="24"/>
          <w:szCs w:val="24"/>
        </w:rPr>
        <w:t>–</w:t>
      </w:r>
      <w:r w:rsidR="00777DCB" w:rsidRPr="00A52585">
        <w:rPr>
          <w:rFonts w:hint="cs"/>
          <w:sz w:val="24"/>
          <w:szCs w:val="24"/>
          <w:rtl/>
        </w:rPr>
        <w:t xml:space="preserve"> إسناده صحيح فقد صرح محمد بن إسحاق بالتحديث وهو في الإحسان 7/481 برقم (5665)</w:t>
      </w:r>
      <w:r w:rsidR="00DB731D" w:rsidRPr="00A52585">
        <w:rPr>
          <w:rFonts w:hint="cs"/>
          <w:sz w:val="24"/>
          <w:szCs w:val="24"/>
          <w:rtl/>
        </w:rPr>
        <w:t>،</w:t>
      </w:r>
      <w:r w:rsidR="00777DCB" w:rsidRPr="00A52585">
        <w:rPr>
          <w:rFonts w:hint="cs"/>
          <w:sz w:val="24"/>
          <w:szCs w:val="24"/>
          <w:rtl/>
        </w:rPr>
        <w:t xml:space="preserve"> </w:t>
      </w:r>
      <w:r w:rsidRPr="00A52585">
        <w:rPr>
          <w:rFonts w:hint="cs"/>
          <w:spacing w:val="-6"/>
          <w:sz w:val="24"/>
          <w:szCs w:val="24"/>
          <w:rtl/>
        </w:rPr>
        <w:t>(</w:t>
      </w:r>
      <w:r w:rsidR="00777DCB" w:rsidRPr="00A52585">
        <w:rPr>
          <w:rFonts w:hint="cs"/>
          <w:spacing w:val="-6"/>
          <w:sz w:val="24"/>
          <w:szCs w:val="24"/>
          <w:rtl/>
        </w:rPr>
        <w:t>قلت</w:t>
      </w:r>
      <w:r w:rsidRPr="00A52585">
        <w:rPr>
          <w:rFonts w:hint="cs"/>
          <w:spacing w:val="-6"/>
          <w:sz w:val="24"/>
          <w:szCs w:val="24"/>
          <w:rtl/>
        </w:rPr>
        <w:t>):</w:t>
      </w:r>
      <w:r w:rsidR="00777DCB" w:rsidRPr="00A52585">
        <w:rPr>
          <w:rFonts w:hint="cs"/>
          <w:spacing w:val="-6"/>
          <w:sz w:val="24"/>
          <w:szCs w:val="24"/>
          <w:rtl/>
        </w:rPr>
        <w:t xml:space="preserve"> وإسناد الطبراني أيضاً صحيح أما إسناده عند الإمام أحمد فضعيف وفي رواية أحمد أنه كان واقفاً عند القبر يدعو فالحاصل أن الصلاة والدعاء عند القبر تبركاً بصاحبه توسلاً إلى الله به ليس فيها مخالفة، بل هي سنة صحابية، الباعث فيها محبتنا لصاحب القبر مع اعتقاد فضله ومنزلته عند الله</w:t>
      </w:r>
      <w:r w:rsidR="00DB731D" w:rsidRPr="00A52585">
        <w:rPr>
          <w:rFonts w:hint="cs"/>
          <w:spacing w:val="-6"/>
          <w:sz w:val="24"/>
          <w:szCs w:val="24"/>
          <w:rtl/>
        </w:rPr>
        <w:t>،</w:t>
      </w:r>
      <w:r w:rsidR="00777DCB" w:rsidRPr="00A52585">
        <w:rPr>
          <w:rFonts w:hint="cs"/>
          <w:spacing w:val="-6"/>
          <w:sz w:val="24"/>
          <w:szCs w:val="24"/>
          <w:rtl/>
        </w:rPr>
        <w:t xml:space="preserve"> </w:t>
      </w:r>
      <w:r w:rsidR="00777DCB" w:rsidRPr="00A52585">
        <w:rPr>
          <w:rFonts w:hint="cs"/>
          <w:sz w:val="24"/>
          <w:szCs w:val="24"/>
          <w:rtl/>
        </w:rPr>
        <w:t>وروى أبو عبد الله الحاكم في المستدرك 1/377ط الهندية أو 1/533 ط العلمية حديث رقم 1396/132 من طريق سليمان بن داود عن جعفر بن محمد عن أبيه عن علي بن الحسين عن أبيه</w:t>
      </w:r>
      <w:r w:rsidRPr="00A52585">
        <w:rPr>
          <w:rFonts w:hint="cs"/>
          <w:sz w:val="24"/>
          <w:szCs w:val="24"/>
          <w:rtl/>
        </w:rPr>
        <w:t xml:space="preserve">: </w:t>
      </w:r>
      <w:r w:rsidR="00777DCB" w:rsidRPr="00A52585">
        <w:rPr>
          <w:rFonts w:hint="cs"/>
          <w:sz w:val="24"/>
          <w:szCs w:val="24"/>
          <w:rtl/>
        </w:rPr>
        <w:t xml:space="preserve">" أن فاطمة بنت النبي صلى الله عليه وسلم كانت تزور قبر عمها حمزه </w:t>
      </w:r>
      <w:r w:rsidR="00777DCB" w:rsidRPr="00A52585">
        <w:rPr>
          <w:rFonts w:hint="cs"/>
          <w:sz w:val="24"/>
          <w:szCs w:val="24"/>
          <w:rtl/>
        </w:rPr>
        <w:lastRenderedPageBreak/>
        <w:t>كل جمعة فتصلي وتبكى عنده "</w:t>
      </w:r>
      <w:r w:rsidRPr="00A52585">
        <w:rPr>
          <w:rFonts w:hint="cs"/>
          <w:sz w:val="24"/>
          <w:szCs w:val="24"/>
          <w:rtl/>
        </w:rPr>
        <w:t xml:space="preserve"> </w:t>
      </w:r>
      <w:r w:rsidR="00777DCB" w:rsidRPr="00A52585">
        <w:rPr>
          <w:rFonts w:hint="cs"/>
          <w:sz w:val="24"/>
          <w:szCs w:val="24"/>
          <w:rtl/>
        </w:rPr>
        <w:t>ثم قال الحاكم عقبه</w:t>
      </w:r>
      <w:r w:rsidRPr="00A52585">
        <w:rPr>
          <w:rFonts w:hint="cs"/>
          <w:sz w:val="24"/>
          <w:szCs w:val="24"/>
          <w:rtl/>
        </w:rPr>
        <w:t xml:space="preserve">: </w:t>
      </w:r>
      <w:r w:rsidR="00777DCB" w:rsidRPr="00A52585">
        <w:rPr>
          <w:rFonts w:hint="cs"/>
          <w:sz w:val="24"/>
          <w:szCs w:val="24"/>
          <w:rtl/>
        </w:rPr>
        <w:t>" هذا الحديث رواته عن آخرهم ثقات</w:t>
      </w:r>
      <w:r w:rsidR="00777DCB" w:rsidRPr="00A52585">
        <w:rPr>
          <w:sz w:val="24"/>
          <w:szCs w:val="24"/>
        </w:rPr>
        <w:t>…</w:t>
      </w:r>
      <w:r w:rsidR="00777DCB" w:rsidRPr="00A52585">
        <w:rPr>
          <w:rFonts w:hint="cs"/>
          <w:sz w:val="24"/>
          <w:szCs w:val="24"/>
          <w:rtl/>
        </w:rPr>
        <w:t xml:space="preserve"> " ولا التفات إلى ما ذكره الذهبي تعليقا على الحديث بأنه منكر أو بان أحد الرواة (سليمان بن داود) متكلم فيه، نقلا عن الأزدي لسببين</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الأول</w:t>
      </w:r>
      <w:r w:rsidRPr="00A52585">
        <w:rPr>
          <w:rFonts w:hint="cs"/>
          <w:sz w:val="24"/>
          <w:szCs w:val="24"/>
          <w:rtl/>
        </w:rPr>
        <w:t>):</w:t>
      </w:r>
      <w:r w:rsidR="00777DCB" w:rsidRPr="00A52585">
        <w:rPr>
          <w:rFonts w:hint="cs"/>
          <w:sz w:val="24"/>
          <w:szCs w:val="24"/>
          <w:rtl/>
        </w:rPr>
        <w:t xml:space="preserve"> أن الجرح الذي ساقه غير مفسّر لذا فهو مردود خاصة وأن ابن حبان والحاكم قد نصَّا على توثيقه وروى عنه جمع من الرواة</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الثاني</w:t>
      </w:r>
      <w:r w:rsidRPr="00A52585">
        <w:rPr>
          <w:rFonts w:hint="cs"/>
          <w:sz w:val="24"/>
          <w:szCs w:val="24"/>
          <w:rtl/>
        </w:rPr>
        <w:t>):</w:t>
      </w:r>
      <w:r w:rsidR="00777DCB" w:rsidRPr="00A52585">
        <w:rPr>
          <w:rFonts w:hint="cs"/>
          <w:sz w:val="24"/>
          <w:szCs w:val="24"/>
          <w:rtl/>
        </w:rPr>
        <w:t xml:space="preserve"> أن الأزدي نفسه ضعيف فكيف يقبل قوله في تضعيف الثقات ونص على ذلك الذهبي في حالات مشابهة عدة مرات في نفس الكتاب (المستدرك)</w:t>
      </w:r>
      <w:r w:rsidR="00F95886" w:rsidRPr="00A52585">
        <w:rPr>
          <w:rFonts w:hint="cs"/>
          <w:sz w:val="24"/>
          <w:szCs w:val="24"/>
          <w:rtl/>
        </w:rPr>
        <w:t>!</w:t>
      </w:r>
      <w:r w:rsidR="00777DCB" w:rsidRPr="00A52585">
        <w:rPr>
          <w:rFonts w:hint="cs"/>
          <w:sz w:val="24"/>
          <w:szCs w:val="24"/>
          <w:rtl/>
        </w:rPr>
        <w:t xml:space="preserve"> فكلام الذهبي مردود عليه والحديث صحيح سندًا ومتناً كما ذكر الحاكم وهو نص يضاف إلى سابقيه يثبت كذب ابن تيمية في نقوله التي يبني عليها مذهبه</w:t>
      </w:r>
      <w:r w:rsidRPr="00A52585">
        <w:rPr>
          <w:rFonts w:hint="cs"/>
          <w:sz w:val="24"/>
          <w:szCs w:val="24"/>
          <w:rtl/>
        </w:rPr>
        <w:t>]</w:t>
      </w:r>
      <w:r w:rsidR="00DB731D" w:rsidRPr="00A52585">
        <w:rPr>
          <w:rFonts w:hint="cs"/>
          <w:sz w:val="24"/>
          <w:szCs w:val="24"/>
          <w:rtl/>
        </w:rPr>
        <w:t>،</w:t>
      </w:r>
      <w:r w:rsidRPr="00A52585">
        <w:rPr>
          <w:rFonts w:hint="cs"/>
          <w:sz w:val="24"/>
          <w:rtl/>
        </w:rPr>
        <w:t xml:space="preserve"> </w:t>
      </w:r>
      <w:r w:rsidR="00777DCB" w:rsidRPr="00A52585">
        <w:rPr>
          <w:rFonts w:hint="cs"/>
          <w:rtl/>
        </w:rPr>
        <w:t>وسيأتي إن شاء الله تعالى</w:t>
      </w:r>
      <w:r w:rsidR="00DB731D" w:rsidRPr="00A52585">
        <w:rPr>
          <w:rFonts w:hint="cs"/>
          <w:rtl/>
        </w:rPr>
        <w:t>،</w:t>
      </w:r>
      <w:r w:rsidR="00777DCB" w:rsidRPr="00A52585">
        <w:rPr>
          <w:rFonts w:hint="cs"/>
          <w:rtl/>
        </w:rPr>
        <w:t xml:space="preserve"> ومع أن ذلك ليس مجمعاً عليه كما زعمه وأوهمه كلامه </w:t>
      </w:r>
      <w:r w:rsidR="00777DCB" w:rsidRPr="00A52585">
        <w:rPr>
          <w:rFonts w:hint="cs"/>
          <w:bCs/>
          <w:rtl/>
        </w:rPr>
        <w:t>فإن أبا أيوب الأنصاري</w:t>
      </w:r>
      <w:r w:rsidR="00777DCB" w:rsidRPr="00A52585">
        <w:rPr>
          <w:rFonts w:hint="cs"/>
          <w:rtl/>
        </w:rPr>
        <w:t xml:space="preserve"> رضي الله عنه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هو خالد بن زيد بن كليب الأنصاري أبو أيوب من كبار الصحابة شهد بدراً ونزل النبي صلى الله عليه وسلم حين قدم المدينة عليه مات سنة خمسين وهو يغزو الروم وقبره في أصل سور القسطنطينية</w:t>
      </w:r>
      <w:r w:rsidRPr="00A52585">
        <w:rPr>
          <w:rFonts w:hint="cs"/>
          <w:sz w:val="24"/>
          <w:szCs w:val="24"/>
          <w:rtl/>
        </w:rPr>
        <w:t>]</w:t>
      </w:r>
      <w:r w:rsidR="00777DCB" w:rsidRPr="00A52585">
        <w:rPr>
          <w:rFonts w:hint="cs"/>
          <w:sz w:val="24"/>
          <w:rtl/>
        </w:rPr>
        <w:t xml:space="preserve"> </w:t>
      </w:r>
      <w:r w:rsidR="00777DCB" w:rsidRPr="00A52585">
        <w:rPr>
          <w:rFonts w:hint="cs"/>
          <w:rtl/>
        </w:rPr>
        <w:t>زار والتزم القبر فأنكر عليه مروان بن الحكم فوبخه أبو أيوب وقال في كلامه ما معناه</w:t>
      </w:r>
      <w:r w:rsidRPr="00A52585">
        <w:rPr>
          <w:rFonts w:hint="cs"/>
          <w:rtl/>
        </w:rPr>
        <w:t>:</w:t>
      </w:r>
      <w:r w:rsidR="00777DCB" w:rsidRPr="00A52585">
        <w:rPr>
          <w:rFonts w:hint="cs"/>
          <w:rtl/>
        </w:rPr>
        <w:t xml:space="preserve"> ابكوا على كون الأمر وليه غير أهله ذكر ذلك أبو الحسين في كتابه أخبار المدينة</w:t>
      </w:r>
      <w:r w:rsidR="00DB731D" w:rsidRPr="00A52585">
        <w:rPr>
          <w:rFonts w:hint="cs"/>
          <w:rtl/>
        </w:rPr>
        <w:t>،</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ونقلها عنه أيضاً الإمام تقي الدين السبكي في كتابه (شفاء السقام) فقال</w:t>
      </w:r>
      <w:r w:rsidRPr="00A52585">
        <w:rPr>
          <w:rFonts w:hint="cs"/>
          <w:sz w:val="24"/>
          <w:szCs w:val="24"/>
          <w:rtl/>
        </w:rPr>
        <w:t xml:space="preserve">: </w:t>
      </w:r>
      <w:r w:rsidR="00777DCB" w:rsidRPr="00A52585">
        <w:rPr>
          <w:rFonts w:hint="cs"/>
          <w:sz w:val="24"/>
          <w:szCs w:val="24"/>
          <w:rtl/>
        </w:rPr>
        <w:t>"إن عدم التمسح بالقبر ليس مما قام الإجماع عليه، فقد روى أبو الحسين يحيى بن الحسين بن جعفر بن عبيد الله الحسيني في (أخبار المدنية) قال</w:t>
      </w:r>
      <w:r w:rsidRPr="00A52585">
        <w:rPr>
          <w:rFonts w:hint="cs"/>
          <w:sz w:val="24"/>
          <w:szCs w:val="24"/>
          <w:rtl/>
        </w:rPr>
        <w:t>:</w:t>
      </w:r>
      <w:r w:rsidR="00777DCB" w:rsidRPr="00A52585">
        <w:rPr>
          <w:rFonts w:hint="cs"/>
          <w:sz w:val="24"/>
          <w:szCs w:val="24"/>
          <w:rtl/>
        </w:rPr>
        <w:t xml:space="preserve"> حدثني عمر بن خالد حدثنا أبو نباتة عن كثير بن زيد عن المطلب بن عبد الله بن </w:t>
      </w:r>
      <w:proofErr w:type="spellStart"/>
      <w:r w:rsidR="00777DCB" w:rsidRPr="00A52585">
        <w:rPr>
          <w:rFonts w:hint="cs"/>
          <w:sz w:val="24"/>
          <w:szCs w:val="24"/>
          <w:rtl/>
        </w:rPr>
        <w:t>حنطب</w:t>
      </w:r>
      <w:proofErr w:type="spellEnd"/>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أقبل مروان بن الحكم فإذا رجل ملتزم القبر، فأخذ مروان برقبته ثم قال</w:t>
      </w:r>
      <w:r w:rsidRPr="00A52585">
        <w:rPr>
          <w:rFonts w:hint="cs"/>
          <w:sz w:val="24"/>
          <w:szCs w:val="24"/>
          <w:rtl/>
        </w:rPr>
        <w:t>:</w:t>
      </w:r>
      <w:r w:rsidR="00777DCB" w:rsidRPr="00A52585">
        <w:rPr>
          <w:rFonts w:hint="cs"/>
          <w:sz w:val="24"/>
          <w:szCs w:val="24"/>
          <w:rtl/>
        </w:rPr>
        <w:t xml:space="preserve"> هل تدري ما تصنع</w:t>
      </w:r>
      <w:r w:rsidR="00F95886" w:rsidRPr="00A52585">
        <w:rPr>
          <w:rFonts w:hint="cs"/>
          <w:sz w:val="24"/>
          <w:szCs w:val="24"/>
          <w:rtl/>
        </w:rPr>
        <w:t>؟</w:t>
      </w:r>
      <w:r w:rsidR="00777DCB" w:rsidRPr="00A52585">
        <w:rPr>
          <w:rFonts w:hint="cs"/>
          <w:sz w:val="24"/>
          <w:szCs w:val="24"/>
          <w:rtl/>
        </w:rPr>
        <w:t xml:space="preserve"> فأقبل عليه فقال</w:t>
      </w:r>
      <w:r w:rsidRPr="00A52585">
        <w:rPr>
          <w:rFonts w:hint="cs"/>
          <w:sz w:val="24"/>
          <w:szCs w:val="24"/>
          <w:rtl/>
        </w:rPr>
        <w:t>:</w:t>
      </w:r>
      <w:r w:rsidR="00777DCB" w:rsidRPr="00A52585">
        <w:rPr>
          <w:rFonts w:hint="cs"/>
          <w:sz w:val="24"/>
          <w:szCs w:val="24"/>
          <w:rtl/>
        </w:rPr>
        <w:t xml:space="preserve"> نعم إني لم آت الحجر ولم آت اللَّبن إنما جئت رسول الله صلى الله عليه وسلم</w:t>
      </w:r>
      <w:r w:rsidR="00DB731D" w:rsidRPr="00A52585">
        <w:rPr>
          <w:rFonts w:hint="cs"/>
          <w:sz w:val="24"/>
          <w:szCs w:val="24"/>
          <w:rtl/>
        </w:rPr>
        <w:t>،</w:t>
      </w:r>
      <w:r w:rsidR="00777DCB" w:rsidRPr="00A52585">
        <w:rPr>
          <w:rFonts w:hint="cs"/>
          <w:sz w:val="24"/>
          <w:szCs w:val="24"/>
          <w:rtl/>
        </w:rPr>
        <w:t xml:space="preserve"> لا تبكوا على الدين إذا وليه أهله ولكن ابكوا عليه وليه غير أهله</w:t>
      </w:r>
      <w:r w:rsidR="00DB731D" w:rsidRPr="00A52585">
        <w:rPr>
          <w:rFonts w:hint="cs"/>
          <w:sz w:val="24"/>
          <w:szCs w:val="24"/>
          <w:rtl/>
        </w:rPr>
        <w:t>،</w:t>
      </w:r>
      <w:r w:rsidR="00777DCB" w:rsidRPr="00A52585">
        <w:rPr>
          <w:rFonts w:hint="cs"/>
          <w:sz w:val="24"/>
          <w:szCs w:val="24"/>
          <w:rtl/>
        </w:rPr>
        <w:t xml:space="preserve"> قال المطلب</w:t>
      </w:r>
      <w:r w:rsidRPr="00A52585">
        <w:rPr>
          <w:rFonts w:hint="cs"/>
          <w:sz w:val="24"/>
          <w:szCs w:val="24"/>
          <w:rtl/>
        </w:rPr>
        <w:t>:</w:t>
      </w:r>
      <w:r w:rsidR="00777DCB" w:rsidRPr="00A52585">
        <w:rPr>
          <w:rFonts w:hint="cs"/>
          <w:sz w:val="24"/>
          <w:szCs w:val="24"/>
          <w:rtl/>
        </w:rPr>
        <w:t xml:space="preserve"> وذلك الرجل</w:t>
      </w:r>
      <w:r w:rsidRPr="00A52585">
        <w:rPr>
          <w:rFonts w:hint="cs"/>
          <w:sz w:val="24"/>
          <w:szCs w:val="24"/>
          <w:rtl/>
        </w:rPr>
        <w:t>:</w:t>
      </w:r>
      <w:r w:rsidR="00777DCB" w:rsidRPr="00A52585">
        <w:rPr>
          <w:rFonts w:hint="cs"/>
          <w:sz w:val="24"/>
          <w:szCs w:val="24"/>
          <w:rtl/>
        </w:rPr>
        <w:t xml:space="preserve"> أبو أيوب الأنصاري رضي الله عنه</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وأبو نباته يونس بن يحي ومن فوقه ثقات و(عمر بن خالد) لم أعرفه، فإن صح هذا الإسناد لم يكره مسُّ جدار القبر، وإنما أردنا بذكره القدح في القطع بكراهة ذلك "</w:t>
      </w:r>
      <w:r w:rsidRPr="00A52585">
        <w:rPr>
          <w:rFonts w:hint="cs"/>
          <w:sz w:val="24"/>
          <w:szCs w:val="24"/>
          <w:rtl/>
        </w:rPr>
        <w:t xml:space="preserve"> </w:t>
      </w:r>
      <w:r w:rsidR="00777DCB" w:rsidRPr="00A52585">
        <w:rPr>
          <w:rFonts w:hint="cs"/>
          <w:sz w:val="24"/>
          <w:szCs w:val="24"/>
          <w:rtl/>
        </w:rPr>
        <w:t>أهـ ص 145 ط دار الجيل</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عمر بن خالد هو المخزومي روى عنه أبو الحسين محمد بن صالح حديث (رد الشمس لعلي) في طريقه إلى أسماء بنت عميس، انظر مشيخة الفقيه ص 29 بالإضافة إلى أبي الحسين يحيى بن جعفر في الإسناد السابق، وهذا الإسناد مرسل جيد لأن المطلب لم يلق أبا أيوب في الغالب ورواه أيضاً الطبراني في الكبير والأوسط عن المطلب عن أبي أيوب مرفوعاً</w:t>
      </w:r>
      <w:r w:rsidRPr="00A52585">
        <w:rPr>
          <w:rFonts w:hint="cs"/>
          <w:sz w:val="24"/>
          <w:szCs w:val="24"/>
          <w:rtl/>
        </w:rPr>
        <w:t xml:space="preserve"> </w:t>
      </w:r>
      <w:r w:rsidR="00777DCB" w:rsidRPr="00A52585">
        <w:rPr>
          <w:rFonts w:hint="cs"/>
          <w:sz w:val="24"/>
          <w:szCs w:val="24"/>
          <w:rtl/>
        </w:rPr>
        <w:t>"لا تبكوا على الدين إذا وليتموه أهله ولكن أبكوا عليه إذا وليتموه غير أهله "</w:t>
      </w:r>
      <w:r w:rsidRPr="00A52585">
        <w:rPr>
          <w:rFonts w:hint="cs"/>
          <w:sz w:val="24"/>
          <w:szCs w:val="24"/>
          <w:rtl/>
        </w:rPr>
        <w:t xml:space="preserve"> </w:t>
      </w:r>
      <w:r w:rsidR="00777DCB" w:rsidRPr="00A52585">
        <w:rPr>
          <w:rFonts w:hint="cs"/>
          <w:sz w:val="24"/>
          <w:szCs w:val="24"/>
          <w:rtl/>
        </w:rPr>
        <w:t>ولم يذكر القصة معه</w:t>
      </w:r>
      <w:r w:rsidR="00DB731D" w:rsidRPr="00A52585">
        <w:rPr>
          <w:rFonts w:hint="cs"/>
          <w:sz w:val="24"/>
          <w:szCs w:val="24"/>
          <w:rtl/>
        </w:rPr>
        <w:t>،</w:t>
      </w:r>
      <w:r w:rsidR="00777DCB" w:rsidRPr="00A52585">
        <w:rPr>
          <w:rFonts w:hint="cs"/>
          <w:sz w:val="24"/>
          <w:szCs w:val="24"/>
          <w:rtl/>
        </w:rPr>
        <w:t xml:space="preserve"> ولكن جاء الحديث والقصة معا في مسند الإمام أحمد (5/422) وفي (المستدرك) لأبي عبد الله الحاكــم (كتاب الفـتن والملاحم) ج 4 ص 515 وقــال</w:t>
      </w:r>
      <w:r w:rsidRPr="00A52585">
        <w:rPr>
          <w:rFonts w:hint="cs"/>
          <w:sz w:val="24"/>
          <w:szCs w:val="24"/>
          <w:rtl/>
        </w:rPr>
        <w:t>:</w:t>
      </w:r>
      <w:r w:rsidR="00777DCB" w:rsidRPr="00A52585">
        <w:rPr>
          <w:rFonts w:hint="cs"/>
          <w:sz w:val="24"/>
          <w:szCs w:val="24"/>
          <w:rtl/>
        </w:rPr>
        <w:t xml:space="preserve"> صحيح الإسناد ولم يخرجاه وقال الذهبي في (التلخيص)</w:t>
      </w:r>
      <w:r w:rsidRPr="00A52585">
        <w:rPr>
          <w:rFonts w:hint="cs"/>
          <w:sz w:val="24"/>
          <w:szCs w:val="24"/>
          <w:rtl/>
        </w:rPr>
        <w:t>:</w:t>
      </w:r>
      <w:r w:rsidR="00777DCB" w:rsidRPr="00A52585">
        <w:rPr>
          <w:rFonts w:hint="cs"/>
          <w:sz w:val="24"/>
          <w:szCs w:val="24"/>
          <w:rtl/>
        </w:rPr>
        <w:t xml:space="preserve"> صحيح</w:t>
      </w:r>
      <w:r w:rsidR="00DB731D" w:rsidRPr="00A52585">
        <w:rPr>
          <w:rFonts w:hint="cs"/>
          <w:sz w:val="24"/>
          <w:szCs w:val="24"/>
          <w:rtl/>
        </w:rPr>
        <w:t>،</w:t>
      </w:r>
      <w:r w:rsidR="00777DCB" w:rsidRPr="00A52585">
        <w:rPr>
          <w:rFonts w:hint="cs"/>
          <w:sz w:val="24"/>
          <w:szCs w:val="24"/>
          <w:rtl/>
        </w:rPr>
        <w:t xml:space="preserve"> والإسناد المذكور عندهما هو من طريق عبد الملك بن عمرو العقدي ثنا كثير بن زيد عن داود بن أبي صالح قال</w:t>
      </w:r>
      <w:r w:rsidRPr="00A52585">
        <w:rPr>
          <w:rFonts w:hint="cs"/>
          <w:sz w:val="24"/>
          <w:szCs w:val="24"/>
          <w:rtl/>
        </w:rPr>
        <w:t xml:space="preserve">: </w:t>
      </w:r>
      <w:r w:rsidR="00777DCB" w:rsidRPr="00A52585">
        <w:rPr>
          <w:rFonts w:hint="cs"/>
          <w:sz w:val="24"/>
          <w:szCs w:val="24"/>
          <w:rtl/>
        </w:rPr>
        <w:t xml:space="preserve">"أقبل مروان يوماً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الحديث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كثير بن زيد صدوق حسَّن ابن حجر حديثه في (تلخيص الحبير) - انظر حديث رقم 794 أنه صلى الله عليه وسلم وضع صخرة على قبر عثمان بن مظعون </w:t>
      </w:r>
      <w:r w:rsidR="00777DCB" w:rsidRPr="00A52585">
        <w:rPr>
          <w:sz w:val="24"/>
          <w:szCs w:val="24"/>
        </w:rPr>
        <w:t>…</w:t>
      </w:r>
      <w:r w:rsidR="00777DCB" w:rsidRPr="00A52585">
        <w:rPr>
          <w:rFonts w:hint="cs"/>
          <w:sz w:val="24"/>
          <w:szCs w:val="24"/>
          <w:rtl/>
        </w:rPr>
        <w:t xml:space="preserve"> الحديث ج2 ص 133ط دار المعرفة - وداود بن أبي صالح حجازي ذكره ابن أبي حاتم ولم يذكر فيه جرحاً قال عنه الهيثمي في (مجمع الزوائد) ج4 ص 2</w:t>
      </w:r>
      <w:r w:rsidRPr="00A52585">
        <w:rPr>
          <w:rFonts w:hint="cs"/>
          <w:sz w:val="24"/>
          <w:szCs w:val="24"/>
          <w:rtl/>
        </w:rPr>
        <w:t xml:space="preserve">: </w:t>
      </w:r>
      <w:r w:rsidR="00777DCB" w:rsidRPr="00A52585">
        <w:rPr>
          <w:rFonts w:hint="cs"/>
          <w:sz w:val="24"/>
          <w:szCs w:val="24"/>
          <w:rtl/>
        </w:rPr>
        <w:t>"قال الذهبي</w:t>
      </w:r>
      <w:r w:rsidRPr="00A52585">
        <w:rPr>
          <w:rFonts w:hint="cs"/>
          <w:sz w:val="24"/>
          <w:szCs w:val="24"/>
          <w:rtl/>
        </w:rPr>
        <w:t>:</w:t>
      </w:r>
      <w:r w:rsidR="00777DCB" w:rsidRPr="00A52585">
        <w:rPr>
          <w:rFonts w:hint="cs"/>
          <w:sz w:val="24"/>
          <w:szCs w:val="24"/>
          <w:rtl/>
        </w:rPr>
        <w:t xml:space="preserve"> لم يَروِ عنه غير الوليد بن كثير وروى عنه كثير بن زيد كما في المسند ولم يضعفه أحد "</w:t>
      </w:r>
      <w:r w:rsidRPr="00A52585">
        <w:rPr>
          <w:rFonts w:hint="cs"/>
          <w:sz w:val="24"/>
          <w:szCs w:val="24"/>
          <w:rtl/>
        </w:rPr>
        <w:t xml:space="preserve"> </w:t>
      </w:r>
      <w:r w:rsidR="00777DCB" w:rsidRPr="00A52585">
        <w:rPr>
          <w:rFonts w:hint="cs"/>
          <w:sz w:val="24"/>
          <w:szCs w:val="24"/>
          <w:rtl/>
        </w:rPr>
        <w:t xml:space="preserve">أهـ فبذلك= يكون الرواة عنه اثنان وليس </w:t>
      </w:r>
      <w:r w:rsidR="00777DCB" w:rsidRPr="00A52585">
        <w:rPr>
          <w:rFonts w:hint="cs"/>
          <w:sz w:val="24"/>
          <w:szCs w:val="24"/>
          <w:rtl/>
        </w:rPr>
        <w:lastRenderedPageBreak/>
        <w:t>واحداً فقط ولذلك قال عنه الحافظ ابن حجــر في التقريب</w:t>
      </w:r>
      <w:r w:rsidRPr="00A52585">
        <w:rPr>
          <w:rFonts w:hint="cs"/>
          <w:sz w:val="24"/>
          <w:szCs w:val="24"/>
          <w:rtl/>
        </w:rPr>
        <w:t xml:space="preserve">: </w:t>
      </w:r>
      <w:r w:rsidR="00777DCB" w:rsidRPr="00A52585">
        <w:rPr>
          <w:rFonts w:hint="cs"/>
          <w:sz w:val="24"/>
          <w:szCs w:val="24"/>
          <w:rtl/>
        </w:rPr>
        <w:t xml:space="preserve">"1792 </w:t>
      </w:r>
      <w:r w:rsidR="00777DCB" w:rsidRPr="00A52585">
        <w:rPr>
          <w:sz w:val="24"/>
          <w:szCs w:val="24"/>
        </w:rPr>
        <w:t>–</w:t>
      </w:r>
      <w:r w:rsidR="00777DCB" w:rsidRPr="00A52585">
        <w:rPr>
          <w:rFonts w:hint="cs"/>
          <w:sz w:val="24"/>
          <w:szCs w:val="24"/>
          <w:rtl/>
        </w:rPr>
        <w:t xml:space="preserve"> داود بن أبـي صالح حجازي مقبول من الثالثة "</w:t>
      </w:r>
      <w:r w:rsidR="00DB731D" w:rsidRPr="00A52585">
        <w:rPr>
          <w:rFonts w:hint="cs"/>
          <w:sz w:val="24"/>
          <w:szCs w:val="24"/>
          <w:rtl/>
        </w:rPr>
        <w:t>،</w:t>
      </w:r>
      <w:r w:rsidR="00777DCB" w:rsidRPr="00A52585">
        <w:rPr>
          <w:rFonts w:hint="cs"/>
          <w:sz w:val="24"/>
          <w:szCs w:val="24"/>
          <w:rtl/>
        </w:rPr>
        <w:t xml:space="preserve"> وقول الحافظ (مقبول) فهو عند المتابعة كما صرح به في مقدمة كتابه (التقريب) والمتابعة موجودة بحمد الله في الإسناد الأول الذي أشار إليه الإمام السبكي في (شفاء السقام) حيث لم يوجد فيه أحد من الكذابين أو المتروكين ورواية مستور الحال </w:t>
      </w:r>
      <w:r w:rsidR="00777DCB" w:rsidRPr="00A52585">
        <w:rPr>
          <w:sz w:val="24"/>
          <w:szCs w:val="24"/>
        </w:rPr>
        <w:t>–</w:t>
      </w:r>
      <w:r w:rsidR="00777DCB" w:rsidRPr="00A52585">
        <w:rPr>
          <w:rFonts w:hint="cs"/>
          <w:sz w:val="24"/>
          <w:szCs w:val="24"/>
          <w:rtl/>
        </w:rPr>
        <w:t xml:space="preserve"> بدون المتابعة </w:t>
      </w:r>
      <w:r w:rsidR="00777DCB" w:rsidRPr="00A52585">
        <w:rPr>
          <w:sz w:val="24"/>
          <w:szCs w:val="24"/>
        </w:rPr>
        <w:t>–</w:t>
      </w:r>
      <w:r w:rsidR="00777DCB" w:rsidRPr="00A52585">
        <w:rPr>
          <w:rFonts w:hint="cs"/>
          <w:sz w:val="24"/>
          <w:szCs w:val="24"/>
          <w:rtl/>
        </w:rPr>
        <w:t xml:space="preserve"> مقبولة محتج بها لدى طائفة معتبرة من العلماء وكبار حفاظ الحديث منهم سليم الرازي وابن الصلاح والمنذري والنووي والذهبي </w:t>
      </w:r>
      <w:r w:rsidR="00777DCB" w:rsidRPr="00A52585">
        <w:rPr>
          <w:sz w:val="24"/>
          <w:szCs w:val="24"/>
        </w:rPr>
        <w:t>–</w:t>
      </w:r>
      <w:r w:rsidR="00777DCB" w:rsidRPr="00A52585">
        <w:rPr>
          <w:rFonts w:hint="cs"/>
          <w:sz w:val="24"/>
          <w:szCs w:val="24"/>
          <w:rtl/>
        </w:rPr>
        <w:t xml:space="preserve"> بشرط أن يكون تابعياً </w:t>
      </w:r>
      <w:r w:rsidR="00777DCB" w:rsidRPr="00A52585">
        <w:rPr>
          <w:sz w:val="24"/>
          <w:szCs w:val="24"/>
        </w:rPr>
        <w:t>–</w:t>
      </w:r>
      <w:r w:rsidR="00777DCB" w:rsidRPr="00A52585">
        <w:rPr>
          <w:rFonts w:hint="cs"/>
          <w:sz w:val="24"/>
          <w:szCs w:val="24"/>
          <w:rtl/>
        </w:rPr>
        <w:t xml:space="preserve"> والسخاوي وذهب إلى ذلك قبلهم الإمام أبو حنيفة حيث قبل رواية المستور بدون شرط وقبلها صاحباه أبو يوسف ومحمد بن الحسن بشرط أن يكون الراوي من الصحابة أو التابعين وأتباعهم وقبلها كذلك العلامة المحدث الفقيه محمد هاشم السندي وقبلها أيضاً ابن خزيمة وابن حبان حيث أن العدل عندهما هو من لا يعرف فيه الجرح، وروايته مقبولة إذا كان يروى عن ثقة وكان الراوي عنه أيضاً ثقة ولم يأت بمتن منكركما هو الحال في هذا الحديث فداود بن أبي صالح صحيح الرواية على شرط ابن حبان وشيخه ابن خزيمة</w:t>
      </w:r>
      <w:r w:rsidR="00DB731D" w:rsidRPr="00A52585">
        <w:rPr>
          <w:rFonts w:hint="cs"/>
          <w:sz w:val="24"/>
          <w:szCs w:val="24"/>
          <w:rtl/>
        </w:rPr>
        <w:t>،</w:t>
      </w:r>
      <w:r w:rsidR="00777DCB" w:rsidRPr="00A52585">
        <w:rPr>
          <w:rFonts w:hint="cs"/>
          <w:sz w:val="24"/>
          <w:szCs w:val="24"/>
          <w:rtl/>
        </w:rPr>
        <w:t xml:space="preserve"> بل قال ابن أبي حاتم في كتابه (الجرح والتعديل) ج1 ص 36</w:t>
      </w:r>
      <w:r w:rsidRPr="00A52585">
        <w:rPr>
          <w:rFonts w:hint="cs"/>
          <w:sz w:val="24"/>
          <w:szCs w:val="24"/>
          <w:rtl/>
        </w:rPr>
        <w:t xml:space="preserve">: </w:t>
      </w:r>
      <w:r w:rsidR="00777DCB" w:rsidRPr="00A52585">
        <w:rPr>
          <w:rFonts w:hint="cs"/>
          <w:sz w:val="24"/>
          <w:szCs w:val="24"/>
          <w:rtl/>
        </w:rPr>
        <w:t>"سألت أبي عن رواية الثقات عن رجل غير ثقة مما يقويه</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إذا كان معروفاً بالضعف لم تقوه روايته عنه وإذا كان مجهولا نفعه رواية الثقة عنه "</w:t>
      </w:r>
      <w:r w:rsidRPr="00A52585">
        <w:rPr>
          <w:rFonts w:hint="cs"/>
          <w:sz w:val="24"/>
          <w:szCs w:val="24"/>
          <w:rtl/>
        </w:rPr>
        <w:t xml:space="preserve"> </w:t>
      </w:r>
      <w:r w:rsidR="00777DCB" w:rsidRPr="00A52585">
        <w:rPr>
          <w:rFonts w:hint="cs"/>
          <w:sz w:val="24"/>
          <w:szCs w:val="24"/>
          <w:rtl/>
        </w:rPr>
        <w:t>أهـ يقول العلامة الشيخ محمد عبد الرشيد النعماني تعليقا على كلام ابن أبي حاتم</w:t>
      </w:r>
      <w:r w:rsidRPr="00A52585">
        <w:rPr>
          <w:rFonts w:hint="cs"/>
          <w:sz w:val="24"/>
          <w:szCs w:val="24"/>
          <w:rtl/>
        </w:rPr>
        <w:t xml:space="preserve">: </w:t>
      </w:r>
      <w:r w:rsidR="00777DCB" w:rsidRPr="00A52585">
        <w:rPr>
          <w:rFonts w:hint="cs"/>
          <w:sz w:val="24"/>
          <w:szCs w:val="24"/>
          <w:rtl/>
        </w:rPr>
        <w:t>"فهذا نص في أن الثقة إذا روى عن رجل لم يضعف نفعه ذلك، فسكوت البخاري وابن أبي حاتم وغيرهما يدل على تقوية الرجل إذا</w:t>
      </w:r>
      <w:r w:rsidRPr="00A52585">
        <w:rPr>
          <w:rFonts w:hint="cs"/>
          <w:sz w:val="24"/>
          <w:szCs w:val="24"/>
          <w:rtl/>
        </w:rPr>
        <w:t xml:space="preserve"> </w:t>
      </w:r>
      <w:r w:rsidR="00777DCB" w:rsidRPr="00A52585">
        <w:rPr>
          <w:rFonts w:hint="cs"/>
          <w:sz w:val="24"/>
          <w:szCs w:val="24"/>
          <w:rtl/>
        </w:rPr>
        <w:t>روى عنه الثقة، ولذلك يقول ابن حجر مراراً</w:t>
      </w:r>
      <w:r w:rsidRPr="00A52585">
        <w:rPr>
          <w:rFonts w:hint="cs"/>
          <w:sz w:val="24"/>
          <w:szCs w:val="24"/>
          <w:rtl/>
        </w:rPr>
        <w:t>:</w:t>
      </w:r>
      <w:r w:rsidR="00777DCB" w:rsidRPr="00A52585">
        <w:rPr>
          <w:rFonts w:hint="cs"/>
          <w:sz w:val="24"/>
          <w:szCs w:val="24"/>
          <w:rtl/>
        </w:rPr>
        <w:t xml:space="preserve"> إن البخاري أو ابن أبي حاتم ذكره وسكت عليه، أو لم يذكر فيه جرحاً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وانظر تفصيل الكلام على المستور في تعليق العلامة الشيخ عبد الفتاح أو غدة علـى كتـاب (الرفع والتكميل) للإمام عبد الحي </w:t>
      </w:r>
      <w:proofErr w:type="spellStart"/>
      <w:r w:rsidR="00777DCB" w:rsidRPr="00A52585">
        <w:rPr>
          <w:rFonts w:hint="cs"/>
          <w:sz w:val="24"/>
          <w:szCs w:val="24"/>
          <w:rtl/>
        </w:rPr>
        <w:t>اللكتوي</w:t>
      </w:r>
      <w:proofErr w:type="spellEnd"/>
      <w:r w:rsidR="00777DCB" w:rsidRPr="00A52585">
        <w:rPr>
          <w:rFonts w:hint="cs"/>
          <w:sz w:val="24"/>
          <w:szCs w:val="24"/>
          <w:rtl/>
        </w:rPr>
        <w:t xml:space="preserve"> من ص 230 إلى ص 248</w:t>
      </w:r>
      <w:r w:rsidR="00DB731D" w:rsidRPr="00A52585">
        <w:rPr>
          <w:rFonts w:hint="cs"/>
          <w:sz w:val="24"/>
          <w:szCs w:val="24"/>
          <w:rtl/>
        </w:rPr>
        <w:t>،</w:t>
      </w:r>
      <w:r w:rsidR="00777DCB" w:rsidRPr="00A52585">
        <w:rPr>
          <w:rFonts w:hint="cs"/>
          <w:sz w:val="24"/>
          <w:szCs w:val="24"/>
          <w:rtl/>
        </w:rPr>
        <w:t xml:space="preserve"> ولهذا لم يكن غريباً أن يذهب أربعة من كبار حفاظ الحديث إلى صحة الحديث بإسناده الأخير عن الإمام أحمد في مسنده </w:t>
      </w:r>
      <w:r w:rsidR="00777DCB" w:rsidRPr="00A52585">
        <w:rPr>
          <w:sz w:val="24"/>
          <w:szCs w:val="24"/>
        </w:rPr>
        <w:t>–</w:t>
      </w:r>
      <w:r w:rsidR="00777DCB" w:rsidRPr="00A52585">
        <w:rPr>
          <w:rFonts w:hint="cs"/>
          <w:sz w:val="24"/>
          <w:szCs w:val="24"/>
          <w:rtl/>
        </w:rPr>
        <w:t xml:space="preserve"> وهم الحاكم في المستدرك وأقره الذهبي في التلخيص والإمام الهيثمي في (مجمع الزوائد) والإمام السيوطي في (الجامع الصغير)، بينما ذهب الحافظ المناوي في (التيسير بشرح الجامع الصغير) إلى أنه حسن، كما ذهب الحافظ أبو الفتح المراغي المدني إلى أن هذا الإسناد حسن نقل ذلك وأقره عليه العلامة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في (وفاء الوفا) ص 1359 وللحديث شواهد عديدة تشهد لصحة معناه وسيأتي بعضها في الكلام على تبرك الصحابة</w:t>
      </w:r>
      <w:r w:rsidR="00DB731D" w:rsidRPr="00A52585">
        <w:rPr>
          <w:rFonts w:hint="cs"/>
          <w:sz w:val="24"/>
          <w:szCs w:val="24"/>
          <w:rtl/>
        </w:rPr>
        <w:t>،</w:t>
      </w:r>
      <w:r w:rsidR="00777DCB" w:rsidRPr="00A52585">
        <w:rPr>
          <w:rFonts w:hint="cs"/>
          <w:sz w:val="24"/>
          <w:szCs w:val="24"/>
          <w:rtl/>
        </w:rPr>
        <w:t xml:space="preserve"> ولم يذهب أحد من علماء الحديث أو أئمة </w:t>
      </w:r>
      <w:r w:rsidR="00777DCB" w:rsidRPr="00A52585">
        <w:rPr>
          <w:sz w:val="24"/>
          <w:szCs w:val="24"/>
        </w:rPr>
        <w:t>–</w:t>
      </w:r>
      <w:r w:rsidR="00777DCB" w:rsidRPr="00A52585">
        <w:rPr>
          <w:rFonts w:hint="cs"/>
          <w:sz w:val="24"/>
          <w:szCs w:val="24"/>
          <w:rtl/>
        </w:rPr>
        <w:t xml:space="preserve"> فيما علمت- إلى ضعف الحديث سوى العلامة ابن حجر الهيثمي في كتابه (الجوهر المنظم) ولم يذكر سبب الضعف وربما يكون ذلك بالنظر إلى أحد أسانيد الحديث، أما إذا اعتبرنا مجموع طرق الحديث وشواهده فسيكون الحديث صحيحاً أو حسنا بلا خلاف بين</w:t>
      </w:r>
      <w:r w:rsidRPr="00A52585">
        <w:rPr>
          <w:rFonts w:hint="cs"/>
          <w:sz w:val="24"/>
          <w:szCs w:val="24"/>
          <w:rtl/>
        </w:rPr>
        <w:t xml:space="preserve"> </w:t>
      </w:r>
      <w:r w:rsidR="00777DCB" w:rsidRPr="00A52585">
        <w:rPr>
          <w:rFonts w:hint="cs"/>
          <w:sz w:val="24"/>
          <w:szCs w:val="24"/>
          <w:rtl/>
        </w:rPr>
        <w:t xml:space="preserve">أهل العلم بالحديث سواء منهم من يقبل رواية المستور ومن لا يقبلها بل حتى لو اعتبرنا أن الراوي المذكور </w:t>
      </w:r>
      <w:r w:rsidR="00777DCB" w:rsidRPr="00A52585">
        <w:rPr>
          <w:sz w:val="24"/>
          <w:szCs w:val="24"/>
        </w:rPr>
        <w:t>–</w:t>
      </w:r>
      <w:r w:rsidR="00777DCB" w:rsidRPr="00A52585">
        <w:rPr>
          <w:rFonts w:hint="cs"/>
          <w:sz w:val="24"/>
          <w:szCs w:val="24"/>
          <w:rtl/>
        </w:rPr>
        <w:t xml:space="preserve"> داود ابن أبي صالح- مجهولا</w:t>
      </w:r>
      <w:r w:rsidR="00DB731D" w:rsidRPr="00A52585">
        <w:rPr>
          <w:rFonts w:hint="cs"/>
          <w:sz w:val="24"/>
          <w:szCs w:val="24"/>
          <w:rtl/>
        </w:rPr>
        <w:t>،</w:t>
      </w:r>
      <w:r w:rsidR="00777DCB" w:rsidRPr="00A52585">
        <w:rPr>
          <w:rFonts w:hint="cs"/>
          <w:sz w:val="24"/>
          <w:szCs w:val="24"/>
          <w:rtl/>
        </w:rPr>
        <w:t xml:space="preserve"> وبعد أن ثبتت صحة الحديث ننقل ما ذكره العلامة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في (وفاء الوفا) قال</w:t>
      </w:r>
      <w:r w:rsidRPr="00A52585">
        <w:rPr>
          <w:rFonts w:hint="cs"/>
          <w:sz w:val="24"/>
          <w:szCs w:val="24"/>
          <w:rtl/>
        </w:rPr>
        <w:t xml:space="preserve">: </w:t>
      </w:r>
      <w:r w:rsidR="00777DCB" w:rsidRPr="00A52585">
        <w:rPr>
          <w:rFonts w:hint="cs"/>
          <w:sz w:val="24"/>
          <w:szCs w:val="24"/>
          <w:rtl/>
        </w:rPr>
        <w:t>"قال العز</w:t>
      </w:r>
      <w:r w:rsidRPr="00A52585">
        <w:rPr>
          <w:rFonts w:hint="cs"/>
          <w:sz w:val="24"/>
          <w:szCs w:val="24"/>
          <w:rtl/>
        </w:rPr>
        <w:t>:</w:t>
      </w:r>
      <w:r w:rsidR="00777DCB" w:rsidRPr="00A52585">
        <w:rPr>
          <w:rFonts w:hint="cs"/>
          <w:sz w:val="24"/>
          <w:szCs w:val="24"/>
          <w:rtl/>
        </w:rPr>
        <w:t xml:space="preserve"> في كتاب (العلل </w:t>
      </w:r>
      <w:proofErr w:type="spellStart"/>
      <w:r w:rsidR="00777DCB" w:rsidRPr="00A52585">
        <w:rPr>
          <w:rFonts w:hint="cs"/>
          <w:sz w:val="24"/>
          <w:szCs w:val="24"/>
          <w:rtl/>
        </w:rPr>
        <w:t>والسؤالات</w:t>
      </w:r>
      <w:proofErr w:type="spellEnd"/>
      <w:r w:rsidR="00777DCB" w:rsidRPr="00A52585">
        <w:rPr>
          <w:rFonts w:hint="cs"/>
          <w:sz w:val="24"/>
          <w:szCs w:val="24"/>
          <w:rtl/>
        </w:rPr>
        <w:t>) لعبد الله بن أحمد بن حنبل عن أبيه رواية أبي على بن الصواف عنه، قال عبد الله</w:t>
      </w:r>
      <w:r w:rsidRPr="00A52585">
        <w:rPr>
          <w:rFonts w:hint="cs"/>
          <w:sz w:val="24"/>
          <w:szCs w:val="24"/>
          <w:rtl/>
        </w:rPr>
        <w:t>:</w:t>
      </w:r>
      <w:r w:rsidR="00777DCB" w:rsidRPr="00A52585">
        <w:rPr>
          <w:rFonts w:hint="cs"/>
          <w:sz w:val="24"/>
          <w:szCs w:val="24"/>
          <w:rtl/>
        </w:rPr>
        <w:t xml:space="preserve"> سألت أبي عن الرجل يمس منبر رسول الله صلى الله عليه وسلم ويتبرك بمسه ويقبله ويفعل بالقبر مثل ذلك رجاء ثواب الله تعالى، قال</w:t>
      </w:r>
      <w:r w:rsidRPr="00A52585">
        <w:rPr>
          <w:rFonts w:hint="cs"/>
          <w:sz w:val="24"/>
          <w:szCs w:val="24"/>
          <w:rtl/>
        </w:rPr>
        <w:t>:</w:t>
      </w:r>
      <w:r w:rsidR="00777DCB" w:rsidRPr="00A52585">
        <w:rPr>
          <w:rFonts w:hint="cs"/>
          <w:sz w:val="24"/>
          <w:szCs w:val="24"/>
          <w:rtl/>
        </w:rPr>
        <w:t xml:space="preserve"> لا بأس به</w:t>
      </w:r>
      <w:r w:rsidR="00DB731D" w:rsidRPr="00A52585">
        <w:rPr>
          <w:rFonts w:hint="cs"/>
          <w:sz w:val="24"/>
          <w:szCs w:val="24"/>
          <w:rtl/>
        </w:rPr>
        <w:t>،</w:t>
      </w:r>
      <w:r w:rsidR="00777DCB" w:rsidRPr="00A52585">
        <w:rPr>
          <w:rFonts w:hint="cs"/>
          <w:sz w:val="24"/>
          <w:szCs w:val="24"/>
          <w:rtl/>
        </w:rPr>
        <w:t xml:space="preserve"> قال العز بن جماعة وهذا يبطل ما نقل عن النووي من الإجماع،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النووي لم يصرح بنقل الإجماع لكن قوة كلامه تفهمه</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"وفي تحفة ابن عساكر</w:t>
      </w:r>
      <w:r w:rsidRPr="00A52585">
        <w:rPr>
          <w:rFonts w:hint="cs"/>
          <w:sz w:val="24"/>
          <w:szCs w:val="24"/>
          <w:rtl/>
        </w:rPr>
        <w:t>:</w:t>
      </w:r>
      <w:r w:rsidR="00777DCB" w:rsidRPr="00A52585">
        <w:rPr>
          <w:rFonts w:hint="cs"/>
          <w:sz w:val="24"/>
          <w:szCs w:val="24"/>
          <w:rtl/>
        </w:rPr>
        <w:t xml:space="preserve">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w:t>
      </w:r>
      <w:r w:rsidR="00777DCB" w:rsidRPr="00A52585">
        <w:rPr>
          <w:rFonts w:hint="cs"/>
          <w:sz w:val="24"/>
          <w:szCs w:val="24"/>
          <w:rtl/>
        </w:rPr>
        <w:lastRenderedPageBreak/>
        <w:t>أناة يتأخرون، والكل محل خير انتهى "</w:t>
      </w:r>
      <w:r w:rsidRPr="00A52585">
        <w:rPr>
          <w:rFonts w:hint="cs"/>
          <w:sz w:val="24"/>
          <w:szCs w:val="24"/>
          <w:rtl/>
        </w:rPr>
        <w:t xml:space="preserve"> </w:t>
      </w:r>
      <w:r w:rsidR="00777DCB" w:rsidRPr="00A52585">
        <w:rPr>
          <w:rFonts w:hint="cs"/>
          <w:sz w:val="24"/>
          <w:szCs w:val="24"/>
          <w:rtl/>
        </w:rPr>
        <w:t xml:space="preserve">أهـ وفاء الوفا ص1404 </w:t>
      </w:r>
      <w:r w:rsidR="00777DCB" w:rsidRPr="00A52585">
        <w:rPr>
          <w:sz w:val="24"/>
          <w:szCs w:val="24"/>
        </w:rPr>
        <w:t>–</w:t>
      </w:r>
      <w:r w:rsidR="00777DCB" w:rsidRPr="00A52585">
        <w:rPr>
          <w:rFonts w:hint="cs"/>
          <w:sz w:val="24"/>
          <w:szCs w:val="24"/>
          <w:rtl/>
        </w:rPr>
        <w:t xml:space="preserve"> 1406 ثم نقل ما ذكر الإمام ابن حجر العسقلاني في (فتح الباري) باب (من لم يستلم إلا الركنين اليمانيين) قال</w:t>
      </w:r>
      <w:r w:rsidRPr="00A52585">
        <w:rPr>
          <w:rFonts w:hint="cs"/>
          <w:sz w:val="24"/>
          <w:szCs w:val="24"/>
          <w:rtl/>
        </w:rPr>
        <w:t xml:space="preserve">: </w:t>
      </w:r>
      <w:r w:rsidR="00777DCB" w:rsidRPr="00A52585">
        <w:rPr>
          <w:rFonts w:hint="cs"/>
          <w:sz w:val="24"/>
          <w:szCs w:val="24"/>
          <w:rtl/>
        </w:rPr>
        <w:t>"استنبط بعضهم من مشروعية تقبيل الأركان جواز تقبيل 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يربه بأساً، واستبعد بعض أتباعه صحة ذلك، ونقل عن أبي الصيف اليماني أحد علماء مكة من الشافعية جواز تقبيل المصحف وأجزاء الحديث وقبور الصالحين وبالله التوفيق"</w:t>
      </w:r>
      <w:r w:rsidRPr="00A52585">
        <w:rPr>
          <w:rFonts w:hint="cs"/>
          <w:sz w:val="24"/>
          <w:szCs w:val="24"/>
          <w:rtl/>
        </w:rPr>
        <w:t xml:space="preserve"> </w:t>
      </w:r>
      <w:r w:rsidR="00777DCB" w:rsidRPr="00A52585">
        <w:rPr>
          <w:rFonts w:hint="cs"/>
          <w:sz w:val="24"/>
          <w:szCs w:val="24"/>
          <w:rtl/>
        </w:rPr>
        <w:t xml:space="preserve">أهـ ج3 ص 475 يقول شيخ شيوخنا العلامة سلامة </w:t>
      </w:r>
      <w:proofErr w:type="spellStart"/>
      <w:r w:rsidR="00777DCB" w:rsidRPr="00A52585">
        <w:rPr>
          <w:rFonts w:hint="cs"/>
          <w:sz w:val="24"/>
          <w:szCs w:val="24"/>
          <w:rtl/>
        </w:rPr>
        <w:t>العزامي</w:t>
      </w:r>
      <w:proofErr w:type="spellEnd"/>
      <w:r w:rsidRPr="00A52585">
        <w:rPr>
          <w:rFonts w:hint="cs"/>
          <w:sz w:val="24"/>
          <w:szCs w:val="24"/>
          <w:rtl/>
        </w:rPr>
        <w:t xml:space="preserve">: </w:t>
      </w:r>
      <w:r w:rsidR="00777DCB" w:rsidRPr="00A52585">
        <w:rPr>
          <w:rFonts w:hint="cs"/>
          <w:sz w:val="24"/>
          <w:szCs w:val="24"/>
          <w:rtl/>
        </w:rPr>
        <w:t>"ولعل هذا البعض المستبعد هو ذلك الحراني أو أحد المصابين بدائه "</w:t>
      </w:r>
      <w:r w:rsidRPr="00A52585">
        <w:rPr>
          <w:rFonts w:hint="cs"/>
          <w:sz w:val="24"/>
          <w:szCs w:val="24"/>
          <w:rtl/>
        </w:rPr>
        <w:t xml:space="preserve"> </w:t>
      </w:r>
      <w:r w:rsidR="00777DCB" w:rsidRPr="00A52585">
        <w:rPr>
          <w:rFonts w:hint="cs"/>
          <w:sz w:val="24"/>
          <w:szCs w:val="24"/>
          <w:rtl/>
        </w:rPr>
        <w:t xml:space="preserve">أهـ البراهين الساطعة ص 369 يقول العلامة داود </w:t>
      </w:r>
      <w:proofErr w:type="spellStart"/>
      <w:r w:rsidR="00777DCB" w:rsidRPr="00A52585">
        <w:rPr>
          <w:rFonts w:hint="cs"/>
          <w:sz w:val="24"/>
          <w:szCs w:val="24"/>
          <w:rtl/>
        </w:rPr>
        <w:t>النقشبندي</w:t>
      </w:r>
      <w:proofErr w:type="spellEnd"/>
      <w:r w:rsidR="00777DCB" w:rsidRPr="00A52585">
        <w:rPr>
          <w:rFonts w:hint="cs"/>
          <w:sz w:val="24"/>
          <w:szCs w:val="24"/>
          <w:rtl/>
        </w:rPr>
        <w:t xml:space="preserve"> في كتابه (صلح الإخوان)</w:t>
      </w:r>
      <w:r w:rsidRPr="00A52585">
        <w:rPr>
          <w:rFonts w:hint="cs"/>
          <w:sz w:val="24"/>
          <w:szCs w:val="24"/>
          <w:rtl/>
        </w:rPr>
        <w:t xml:space="preserve">: </w:t>
      </w:r>
      <w:r w:rsidR="00777DCB" w:rsidRPr="00A52585">
        <w:rPr>
          <w:rFonts w:hint="cs"/>
          <w:sz w:val="24"/>
          <w:szCs w:val="24"/>
          <w:rtl/>
        </w:rPr>
        <w:t>"ويمكن أن الإمام أحمد أخذ جواز تقبيل القبر مما رواه في مسنده عن أبي أيوب الأنصاري "</w:t>
      </w:r>
      <w:r w:rsidRPr="00A52585">
        <w:rPr>
          <w:rFonts w:hint="cs"/>
          <w:sz w:val="24"/>
          <w:szCs w:val="24"/>
          <w:rtl/>
        </w:rPr>
        <w:t xml:space="preserve"> </w:t>
      </w:r>
      <w:r w:rsidR="00777DCB" w:rsidRPr="00A52585">
        <w:rPr>
          <w:rFonts w:hint="cs"/>
          <w:sz w:val="24"/>
          <w:szCs w:val="24"/>
          <w:rtl/>
        </w:rPr>
        <w:t>وأشار إلى الحديث ثم قال</w:t>
      </w:r>
      <w:r w:rsidRPr="00A52585">
        <w:rPr>
          <w:rFonts w:hint="cs"/>
          <w:sz w:val="24"/>
          <w:szCs w:val="24"/>
          <w:rtl/>
        </w:rPr>
        <w:t xml:space="preserve">: </w:t>
      </w:r>
      <w:r w:rsidR="00777DCB" w:rsidRPr="00A52585">
        <w:rPr>
          <w:rFonts w:hint="cs"/>
          <w:sz w:val="24"/>
          <w:szCs w:val="24"/>
          <w:rtl/>
        </w:rPr>
        <w:t xml:space="preserve">"قال الشيخ منصور </w:t>
      </w:r>
      <w:proofErr w:type="spellStart"/>
      <w:r w:rsidR="00777DCB" w:rsidRPr="00A52585">
        <w:rPr>
          <w:rFonts w:hint="cs"/>
          <w:sz w:val="24"/>
          <w:szCs w:val="24"/>
          <w:rtl/>
        </w:rPr>
        <w:t>البهوتي</w:t>
      </w:r>
      <w:proofErr w:type="spellEnd"/>
      <w:r w:rsidR="00777DCB" w:rsidRPr="00A52585">
        <w:rPr>
          <w:rFonts w:hint="cs"/>
          <w:sz w:val="24"/>
          <w:szCs w:val="24"/>
          <w:rtl/>
        </w:rPr>
        <w:t xml:space="preserve"> الحنبلي في حاشيته (الإقناع)</w:t>
      </w:r>
      <w:r w:rsidRPr="00A52585">
        <w:rPr>
          <w:rFonts w:hint="cs"/>
          <w:sz w:val="24"/>
          <w:szCs w:val="24"/>
          <w:rtl/>
        </w:rPr>
        <w:t>:</w:t>
      </w:r>
      <w:r w:rsidR="00777DCB" w:rsidRPr="00A52585">
        <w:rPr>
          <w:rFonts w:hint="cs"/>
          <w:sz w:val="24"/>
          <w:szCs w:val="24"/>
          <w:rtl/>
        </w:rPr>
        <w:t xml:space="preserve"> قال إبراهيم الحربي</w:t>
      </w:r>
      <w:r w:rsidRPr="00A52585">
        <w:rPr>
          <w:rFonts w:hint="cs"/>
          <w:sz w:val="24"/>
          <w:szCs w:val="24"/>
          <w:rtl/>
        </w:rPr>
        <w:t>:</w:t>
      </w:r>
      <w:r w:rsidR="00777DCB" w:rsidRPr="00A52585">
        <w:rPr>
          <w:rFonts w:hint="cs"/>
          <w:sz w:val="24"/>
          <w:szCs w:val="24"/>
          <w:rtl/>
        </w:rPr>
        <w:t xml:space="preserve"> (يستحب تقبيل حجرة النبي صلى الله عليه وسلم والله أعلم) انتهى، أقول</w:t>
      </w:r>
      <w:r w:rsidRPr="00A52585">
        <w:rPr>
          <w:rFonts w:hint="cs"/>
          <w:sz w:val="24"/>
          <w:szCs w:val="24"/>
          <w:rtl/>
        </w:rPr>
        <w:t>:</w:t>
      </w:r>
      <w:r w:rsidR="00777DCB" w:rsidRPr="00A52585">
        <w:rPr>
          <w:rFonts w:hint="cs"/>
          <w:sz w:val="24"/>
          <w:szCs w:val="24"/>
          <w:rtl/>
        </w:rPr>
        <w:t xml:space="preserve"> وهذا يؤيد ما تقدم عن الإمام أحمد فإن إبراهيم الحربي من أصحاب أحمد رضي الله عنه "</w:t>
      </w:r>
      <w:r w:rsidRPr="00A52585">
        <w:rPr>
          <w:rFonts w:hint="cs"/>
          <w:sz w:val="24"/>
          <w:szCs w:val="24"/>
          <w:rtl/>
        </w:rPr>
        <w:t xml:space="preserve"> </w:t>
      </w:r>
      <w:r w:rsidR="00777DCB" w:rsidRPr="00A52585">
        <w:rPr>
          <w:rFonts w:hint="cs"/>
          <w:sz w:val="24"/>
          <w:szCs w:val="24"/>
          <w:rtl/>
        </w:rPr>
        <w:t>أهـ ص 82 يقول الحافظ السيد عبد الله الغماري في (الرد المحكم المتين)</w:t>
      </w:r>
      <w:r w:rsidRPr="00A52585">
        <w:rPr>
          <w:rFonts w:hint="cs"/>
          <w:sz w:val="24"/>
          <w:szCs w:val="24"/>
          <w:rtl/>
        </w:rPr>
        <w:t xml:space="preserve">: </w:t>
      </w:r>
      <w:r w:rsidR="00777DCB" w:rsidRPr="00A52585">
        <w:rPr>
          <w:rFonts w:hint="cs"/>
          <w:sz w:val="24"/>
          <w:szCs w:val="24"/>
          <w:rtl/>
        </w:rPr>
        <w:t>"</w:t>
      </w:r>
      <w:r w:rsidR="00777DCB" w:rsidRPr="00A52585">
        <w:rPr>
          <w:sz w:val="24"/>
          <w:szCs w:val="24"/>
        </w:rPr>
        <w:t>…</w:t>
      </w:r>
      <w:r w:rsidR="00777DCB" w:rsidRPr="00A52585">
        <w:rPr>
          <w:rFonts w:hint="cs"/>
          <w:sz w:val="24"/>
          <w:szCs w:val="24"/>
          <w:rtl/>
        </w:rPr>
        <w:t xml:space="preserve"> وإن كان الإمام أحمد أجاز تقبيل القبر، قال الحافظ العراقي أخبرني الحافظ أبو سعيد العلائي قال</w:t>
      </w:r>
      <w:r w:rsidRPr="00A52585">
        <w:rPr>
          <w:rFonts w:hint="cs"/>
          <w:sz w:val="24"/>
          <w:szCs w:val="24"/>
          <w:rtl/>
        </w:rPr>
        <w:t>:</w:t>
      </w:r>
      <w:r w:rsidR="00777DCB" w:rsidRPr="00A52585">
        <w:rPr>
          <w:rFonts w:hint="cs"/>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sidRPr="00A52585">
        <w:rPr>
          <w:rFonts w:hint="cs"/>
          <w:sz w:val="24"/>
          <w:szCs w:val="24"/>
          <w:rtl/>
        </w:rPr>
        <w:t>:</w:t>
      </w:r>
      <w:r w:rsidR="00777DCB" w:rsidRPr="00A52585">
        <w:rPr>
          <w:rFonts w:hint="cs"/>
          <w:sz w:val="24"/>
          <w:szCs w:val="24"/>
          <w:rtl/>
        </w:rPr>
        <w:t xml:space="preserve"> عندي أحمد جليل! يقول هذا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وأي عجب في ذلك"</w:t>
      </w:r>
      <w:r w:rsidRPr="00A52585">
        <w:rPr>
          <w:rFonts w:hint="cs"/>
          <w:sz w:val="24"/>
          <w:szCs w:val="24"/>
          <w:rtl/>
        </w:rPr>
        <w:t xml:space="preserve"> </w:t>
      </w:r>
      <w:r w:rsidR="00777DCB" w:rsidRPr="00A52585">
        <w:rPr>
          <w:rFonts w:hint="cs"/>
          <w:sz w:val="24"/>
          <w:szCs w:val="24"/>
          <w:rtl/>
        </w:rPr>
        <w:t>أهـ ص 273</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ملحوظة</w:t>
      </w:r>
      <w:r w:rsidRPr="00A52585">
        <w:rPr>
          <w:rFonts w:hint="cs"/>
          <w:bCs/>
          <w:sz w:val="24"/>
          <w:szCs w:val="24"/>
          <w:rtl/>
        </w:rPr>
        <w:t>]:</w:t>
      </w:r>
      <w:r w:rsidR="00777DCB" w:rsidRPr="00A52585">
        <w:rPr>
          <w:rFonts w:hint="cs"/>
          <w:sz w:val="24"/>
          <w:szCs w:val="24"/>
          <w:rtl/>
        </w:rPr>
        <w:t xml:space="preserve"> يقول الدكتور نور الدين عتر في مقدمته لكتاب المغني في الضعفاء للذهبي ي، ك، ل قال رحمه الله </w:t>
      </w:r>
      <w:r w:rsidR="00777DCB" w:rsidRPr="00A52585">
        <w:rPr>
          <w:sz w:val="24"/>
          <w:szCs w:val="24"/>
        </w:rPr>
        <w:t>–</w:t>
      </w:r>
      <w:r w:rsidR="00777DCB" w:rsidRPr="00A52585">
        <w:rPr>
          <w:rFonts w:hint="cs"/>
          <w:sz w:val="24"/>
          <w:szCs w:val="24"/>
          <w:rtl/>
        </w:rPr>
        <w:t xml:space="preserve"> يقصد الإمام الذهبي </w:t>
      </w:r>
      <w:r w:rsidR="00777DCB" w:rsidRPr="00A52585">
        <w:rPr>
          <w:sz w:val="24"/>
          <w:szCs w:val="24"/>
        </w:rPr>
        <w:t>–</w:t>
      </w:r>
      <w:r w:rsidR="00777DCB" w:rsidRPr="00A52585">
        <w:rPr>
          <w:rFonts w:hint="cs"/>
          <w:sz w:val="24"/>
          <w:szCs w:val="24"/>
          <w:rtl/>
        </w:rPr>
        <w:t xml:space="preserve"> في ختام كتاب الضعفاء </w:t>
      </w:r>
      <w:r w:rsidR="00777DCB" w:rsidRPr="00A52585">
        <w:rPr>
          <w:sz w:val="24"/>
          <w:szCs w:val="24"/>
        </w:rPr>
        <w:t>–</w:t>
      </w:r>
      <w:r w:rsidR="00777DCB" w:rsidRPr="00A52585">
        <w:rPr>
          <w:rFonts w:hint="cs"/>
          <w:sz w:val="24"/>
          <w:szCs w:val="24"/>
          <w:rtl/>
        </w:rPr>
        <w:t xml:space="preserve"> ق 277 من مخطوطة الظاهرية -</w:t>
      </w:r>
      <w:r w:rsidRPr="00A52585">
        <w:rPr>
          <w:rFonts w:hint="cs"/>
          <w:sz w:val="24"/>
          <w:szCs w:val="24"/>
          <w:rtl/>
        </w:rPr>
        <w:t xml:space="preserve">: </w:t>
      </w:r>
      <w:r w:rsidR="00777DCB" w:rsidRPr="00A52585">
        <w:rPr>
          <w:rFonts w:hint="cs"/>
          <w:sz w:val="24"/>
          <w:szCs w:val="24"/>
          <w:rtl/>
        </w:rPr>
        <w:t>" اعلم الهمك الله التقوى أن رجال هذا المصنف على طبقات عدة</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xml:space="preserve">"وأما المجهولون من الرواة، فإن كان الرجل من كبار التابعين أو أوساطهم احتمل حديثه، وتلقى بحسن الظن إذا سلم من مخالفة الأصول، ومن ركاكة الألفاظ، وإن كان الرجل منهم من صغار التابعين فسائغ رواية خبره ويختلف ذلك باختلاف جلالة الراوي عنه وتحريه وعدم ذلك، وإن كان المجهول من أتباع التابعين فمن بعدهم فهو أضعف لخبره سيما إذا انفرد به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ص ك من مقدمة كتاب الضعفاء للذهبي وهذا يوضح سبب إقرار الذهبي للحاكم في تصحيحه حديث أبي أيوب السابق وأن هذا التصحيح لم يكن عن سهو منه كما يزعم خوارج عصرنا</w:t>
      </w:r>
      <w:r w:rsidRPr="00A52585">
        <w:rPr>
          <w:rFonts w:hint="cs"/>
          <w:sz w:val="24"/>
          <w:szCs w:val="24"/>
          <w:rtl/>
        </w:rPr>
        <w:t>]</w:t>
      </w:r>
      <w:r w:rsidR="00DB731D" w:rsidRPr="00A52585">
        <w:rPr>
          <w:rFonts w:hint="cs"/>
          <w:sz w:val="24"/>
          <w:rtl/>
        </w:rPr>
        <w:t>،</w:t>
      </w:r>
      <w:r w:rsidR="00777DCB" w:rsidRPr="00A52585">
        <w:rPr>
          <w:rFonts w:hint="cs"/>
          <w:rtl/>
        </w:rPr>
        <w:t xml:space="preserve"> وروي عن ابن عمر رضي الله عنهما أنه وضع يده على موضع مقعد النبي صلى الله عليه وسلم من المنبر ثم وضعها على وجهه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فعل ابن عمر مع أثر مقعد النبي</w:t>
      </w:r>
      <w:r w:rsidRPr="00A52585">
        <w:rPr>
          <w:rFonts w:hint="cs"/>
          <w:sz w:val="24"/>
          <w:szCs w:val="24"/>
          <w:rtl/>
        </w:rPr>
        <w:t>:</w:t>
      </w:r>
      <w:r w:rsidR="00777DCB" w:rsidRPr="00A52585">
        <w:rPr>
          <w:rFonts w:hint="cs"/>
          <w:sz w:val="24"/>
          <w:szCs w:val="24"/>
          <w:rtl/>
        </w:rPr>
        <w:t xml:space="preserve"> (الشفاء) للقاضي عياض، القسم الثاني- الباب الأول</w:t>
      </w:r>
      <w:r w:rsidRPr="00A52585">
        <w:rPr>
          <w:rFonts w:hint="cs"/>
          <w:sz w:val="24"/>
          <w:szCs w:val="24"/>
          <w:rtl/>
        </w:rPr>
        <w:t>:</w:t>
      </w:r>
      <w:r w:rsidR="00777DCB" w:rsidRPr="00A52585">
        <w:rPr>
          <w:rFonts w:hint="cs"/>
          <w:sz w:val="24"/>
          <w:szCs w:val="24"/>
          <w:rtl/>
        </w:rPr>
        <w:t xml:space="preserve"> (في فرض الإيمان به</w:t>
      </w:r>
      <w:r w:rsidR="00777DCB" w:rsidRPr="00A52585">
        <w:rPr>
          <w:sz w:val="24"/>
          <w:szCs w:val="24"/>
        </w:rPr>
        <w:t>…</w:t>
      </w:r>
      <w:r w:rsidR="00777DCB"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فصل</w:t>
      </w:r>
      <w:r w:rsidRPr="00A52585">
        <w:rPr>
          <w:rFonts w:hint="cs"/>
          <w:sz w:val="24"/>
          <w:szCs w:val="24"/>
          <w:rtl/>
        </w:rPr>
        <w:t>:</w:t>
      </w:r>
      <w:r w:rsidR="00777DCB" w:rsidRPr="00A52585">
        <w:rPr>
          <w:rFonts w:hint="cs"/>
          <w:sz w:val="24"/>
          <w:szCs w:val="24"/>
          <w:rtl/>
        </w:rPr>
        <w:t xml:space="preserve"> (ومن إعظامه وإكباره) ص 620ط دار إحياء الكتب العربية</w:t>
      </w:r>
      <w:r w:rsidR="00DB731D" w:rsidRPr="00A52585">
        <w:rPr>
          <w:rFonts w:hint="cs"/>
          <w:sz w:val="24"/>
          <w:szCs w:val="24"/>
          <w:rtl/>
        </w:rPr>
        <w:t>،</w:t>
      </w:r>
      <w:r w:rsidR="00777DCB" w:rsidRPr="00A52585">
        <w:rPr>
          <w:rFonts w:hint="cs"/>
          <w:sz w:val="24"/>
          <w:szCs w:val="24"/>
          <w:rtl/>
        </w:rPr>
        <w:t xml:space="preserve"> ورواه ابن سعد عن إبراهيم بن عبد الرحمن بن عبد القاري أنه انظر (مناهل </w:t>
      </w:r>
      <w:proofErr w:type="spellStart"/>
      <w:r w:rsidR="00777DCB" w:rsidRPr="00A52585">
        <w:rPr>
          <w:rFonts w:hint="cs"/>
          <w:sz w:val="24"/>
          <w:szCs w:val="24"/>
          <w:rtl/>
        </w:rPr>
        <w:t>الصفافي</w:t>
      </w:r>
      <w:proofErr w:type="spellEnd"/>
      <w:r w:rsidR="00777DCB" w:rsidRPr="00A52585">
        <w:rPr>
          <w:rFonts w:hint="cs"/>
          <w:sz w:val="24"/>
          <w:szCs w:val="24"/>
          <w:rtl/>
        </w:rPr>
        <w:t xml:space="preserve"> تخريج أحاديث الشفا) للحافظ السيوطي</w:t>
      </w:r>
      <w:r w:rsidRPr="00A52585">
        <w:rPr>
          <w:rFonts w:hint="cs"/>
          <w:sz w:val="24"/>
          <w:szCs w:val="24"/>
          <w:rtl/>
        </w:rPr>
        <w:t>]</w:t>
      </w:r>
      <w:r w:rsidR="00DB731D" w:rsidRPr="00A52585">
        <w:rPr>
          <w:rFonts w:hint="cs"/>
          <w:rtl/>
        </w:rPr>
        <w:t>،</w:t>
      </w:r>
      <w:r w:rsidR="00777DCB" w:rsidRPr="00A52585">
        <w:rPr>
          <w:rFonts w:hint="cs"/>
          <w:rtl/>
        </w:rPr>
        <w:t xml:space="preserve"> وكان رضي الله عنه يتردد إلى الأماكن التي كان يتردد إليها رسول الله صلى الله عليه وسلم </w:t>
      </w:r>
      <w:proofErr w:type="spellStart"/>
      <w:r w:rsidR="00777DCB" w:rsidRPr="00A52585">
        <w:rPr>
          <w:rFonts w:hint="cs"/>
          <w:rtl/>
        </w:rPr>
        <w:t>وبراحلته</w:t>
      </w:r>
      <w:proofErr w:type="spellEnd"/>
      <w:r w:rsidR="00777DCB" w:rsidRPr="00A52585">
        <w:rPr>
          <w:rFonts w:hint="cs"/>
          <w:rtl/>
        </w:rPr>
        <w:t xml:space="preserve"> لأجل التبرك</w:t>
      </w:r>
      <w:r w:rsidR="00DB731D" w:rsidRPr="00A52585">
        <w:rPr>
          <w:rFonts w:hint="cs"/>
          <w:rtl/>
        </w:rPr>
        <w:t>،</w:t>
      </w:r>
      <w:r w:rsidR="00777DCB" w:rsidRPr="00A52585">
        <w:rPr>
          <w:rFonts w:hint="cs"/>
          <w:rtl/>
        </w:rPr>
        <w:t xml:space="preserve"> وقد تقدمت قصة بلال رضي الله عنه لما شد رحله لزيارة قبره عليه الصلاة والسلام فلما وصل الضريح المكرم جعل يمرغ وجهه عليه ويبكي</w:t>
      </w:r>
      <w:r w:rsidR="00777DCB" w:rsidRPr="00A52585">
        <w:rPr>
          <w:rStyle w:val="a5"/>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نص الشارع الحكيم على تعظيم وتكريم بعض الأماكن والجمادات مثل الكعبة ومقام إبراهيم والصفا والمروة وطيبة وطور </w:t>
      </w:r>
      <w:r w:rsidR="00777DCB" w:rsidRPr="00A52585">
        <w:rPr>
          <w:rFonts w:hint="cs"/>
          <w:sz w:val="24"/>
          <w:szCs w:val="24"/>
          <w:rtl/>
        </w:rPr>
        <w:lastRenderedPageBreak/>
        <w:t>سيناء يقول الله تعالى</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ذلك ومن يعظم حرمات الله فهو خير له عند ربه}</w:t>
      </w:r>
      <w:r w:rsidRPr="00A52585">
        <w:rPr>
          <w:rFonts w:hint="cs"/>
          <w:sz w:val="24"/>
          <w:szCs w:val="24"/>
          <w:rtl/>
        </w:rPr>
        <w:t xml:space="preserve"> </w:t>
      </w:r>
      <w:r w:rsidR="00777DCB" w:rsidRPr="00A52585">
        <w:rPr>
          <w:rFonts w:hint="cs"/>
          <w:sz w:val="24"/>
          <w:szCs w:val="24"/>
          <w:rtl/>
        </w:rPr>
        <w:t>الحج(30) يقول القرطبي في تفسير الآية</w:t>
      </w:r>
      <w:r w:rsidRPr="00A52585">
        <w:rPr>
          <w:rFonts w:hint="cs"/>
          <w:sz w:val="24"/>
          <w:szCs w:val="24"/>
          <w:rtl/>
        </w:rPr>
        <w:t xml:space="preserve">: </w:t>
      </w:r>
      <w:r w:rsidR="00777DCB" w:rsidRPr="00A52585">
        <w:rPr>
          <w:rFonts w:hint="cs"/>
          <w:sz w:val="24"/>
          <w:szCs w:val="24"/>
          <w:rtl/>
        </w:rPr>
        <w:t>"والحرمات المقصورة هنا هي أفعال الحج المشار إليها في قوله {ثم ليقضوا تفثهم وليوفوا نذورهم</w:t>
      </w:r>
      <w:r w:rsidRPr="00A52585">
        <w:rPr>
          <w:rFonts w:hint="cs"/>
          <w:sz w:val="24"/>
          <w:szCs w:val="24"/>
          <w:rtl/>
        </w:rPr>
        <w:t>}</w:t>
      </w:r>
      <w:r w:rsidR="00777DCB" w:rsidRPr="00A52585">
        <w:rPr>
          <w:rFonts w:hint="cs"/>
          <w:sz w:val="24"/>
          <w:szCs w:val="24"/>
          <w:rtl/>
        </w:rPr>
        <w:t xml:space="preserve"> ويدخل في ذلك تعظيم المواضع "</w:t>
      </w:r>
      <w:r w:rsidRPr="00A52585">
        <w:rPr>
          <w:rFonts w:hint="cs"/>
          <w:sz w:val="24"/>
          <w:szCs w:val="24"/>
          <w:rtl/>
        </w:rPr>
        <w:t xml:space="preserve"> </w:t>
      </w:r>
      <w:r w:rsidR="00777DCB" w:rsidRPr="00A52585">
        <w:rPr>
          <w:rFonts w:hint="cs"/>
          <w:sz w:val="24"/>
          <w:szCs w:val="24"/>
          <w:rtl/>
        </w:rPr>
        <w:t>أهـ وسماها في آية أخرى (شعائر الله) أي التي تنقل محبة الله وتعظيمه وإجلاله من دائرة الشعور والحس الماديين إلى داخل القلب والوجدان وتذكر العقل بما مر من أحداث شهدتها هذه المواضع فيعتبر بمصارع الظالمين إذا مر بديار ثمود كما يشتاق إلى رحمة الله وأن يلحقه بالصالحين إذا مر بمواضع وأماكن شهدت نزول رحمته تعالى وبركاته كالكعبة ومقام إبراهيم وطور سيناء وغيرها، يقول الله تعالى مخاطباً موسى عليه السلام {أن أخرج قومك من الظلمات إلى النور وذكرهم بأيام الله</w:t>
      </w:r>
      <w:r w:rsidRPr="00A52585">
        <w:rPr>
          <w:rFonts w:hint="cs"/>
          <w:sz w:val="24"/>
          <w:szCs w:val="24"/>
          <w:rtl/>
        </w:rPr>
        <w:t>}</w:t>
      </w:r>
      <w:r w:rsidR="00777DCB" w:rsidRPr="00A52585">
        <w:rPr>
          <w:rFonts w:hint="cs"/>
          <w:sz w:val="24"/>
          <w:szCs w:val="24"/>
          <w:rtl/>
        </w:rPr>
        <w:t xml:space="preserve"> إبراهيم (5)</w:t>
      </w:r>
      <w:r w:rsidRPr="00A52585">
        <w:rPr>
          <w:rFonts w:hint="cs"/>
          <w:sz w:val="24"/>
          <w:szCs w:val="24"/>
          <w:rtl/>
        </w:rPr>
        <w:t xml:space="preserve"> </w:t>
      </w:r>
      <w:r w:rsidR="00777DCB" w:rsidRPr="00A52585">
        <w:rPr>
          <w:rFonts w:hint="cs"/>
          <w:sz w:val="24"/>
          <w:szCs w:val="24"/>
          <w:rtl/>
        </w:rPr>
        <w:t>روى النسائي في (</w:t>
      </w:r>
      <w:proofErr w:type="spellStart"/>
      <w:r w:rsidR="00777DCB" w:rsidRPr="00A52585">
        <w:rPr>
          <w:rFonts w:hint="cs"/>
          <w:sz w:val="24"/>
          <w:szCs w:val="24"/>
          <w:rtl/>
        </w:rPr>
        <w:t>المجتبي</w:t>
      </w:r>
      <w:proofErr w:type="spellEnd"/>
      <w:r w:rsidR="00777DCB" w:rsidRPr="00A52585">
        <w:rPr>
          <w:rFonts w:hint="cs"/>
          <w:sz w:val="24"/>
          <w:szCs w:val="24"/>
          <w:rtl/>
        </w:rPr>
        <w:t xml:space="preserve">) حديث الإسراء والمعراج </w:t>
      </w:r>
      <w:r w:rsidR="00777DCB" w:rsidRPr="00A52585">
        <w:rPr>
          <w:rFonts w:hint="cs"/>
          <w:bCs/>
          <w:sz w:val="24"/>
          <w:szCs w:val="24"/>
          <w:rtl/>
        </w:rPr>
        <w:t>بسند صحيح</w:t>
      </w:r>
      <w:r w:rsidR="00777DCB" w:rsidRPr="00A52585">
        <w:rPr>
          <w:rFonts w:hint="cs"/>
          <w:sz w:val="24"/>
          <w:szCs w:val="24"/>
          <w:rtl/>
        </w:rPr>
        <w:t xml:space="preserve"> عن أنس بن مالك رضي الله عنه في كتاب الصلاة باب فرض الصلاة وفيه</w:t>
      </w:r>
      <w:r w:rsidRPr="00A52585">
        <w:rPr>
          <w:rFonts w:hint="cs"/>
          <w:sz w:val="24"/>
          <w:szCs w:val="24"/>
          <w:rtl/>
        </w:rPr>
        <w:t xml:space="preserve">: </w:t>
      </w:r>
      <w:r w:rsidR="00777DCB" w:rsidRPr="00A52585">
        <w:rPr>
          <w:rFonts w:hint="cs"/>
          <w:sz w:val="24"/>
          <w:szCs w:val="24"/>
          <w:rtl/>
        </w:rPr>
        <w:t>" فسرت فقال</w:t>
      </w:r>
      <w:r w:rsidRPr="00A52585">
        <w:rPr>
          <w:rFonts w:hint="cs"/>
          <w:sz w:val="24"/>
          <w:szCs w:val="24"/>
          <w:rtl/>
        </w:rPr>
        <w:t>:</w:t>
      </w:r>
      <w:r w:rsidR="00777DCB" w:rsidRPr="00A52585">
        <w:rPr>
          <w:rFonts w:hint="cs"/>
          <w:sz w:val="24"/>
          <w:szCs w:val="24"/>
          <w:rtl/>
        </w:rPr>
        <w:t xml:space="preserve"> انزل فصل فصليت، فقال</w:t>
      </w:r>
      <w:r w:rsidRPr="00A52585">
        <w:rPr>
          <w:rFonts w:hint="cs"/>
          <w:sz w:val="24"/>
          <w:szCs w:val="24"/>
          <w:rtl/>
        </w:rPr>
        <w:t>:</w:t>
      </w:r>
      <w:r w:rsidR="00777DCB" w:rsidRPr="00A52585">
        <w:rPr>
          <w:rFonts w:hint="cs"/>
          <w:sz w:val="24"/>
          <w:szCs w:val="24"/>
          <w:rtl/>
        </w:rPr>
        <w:t xml:space="preserve"> أتدري أين صليت</w:t>
      </w:r>
      <w:r w:rsidR="00F95886" w:rsidRPr="00A52585">
        <w:rPr>
          <w:rFonts w:hint="cs"/>
          <w:sz w:val="24"/>
          <w:szCs w:val="24"/>
          <w:rtl/>
        </w:rPr>
        <w:t>؟</w:t>
      </w:r>
      <w:r w:rsidR="00777DCB" w:rsidRPr="00A52585">
        <w:rPr>
          <w:rFonts w:hint="cs"/>
          <w:sz w:val="24"/>
          <w:szCs w:val="24"/>
          <w:rtl/>
        </w:rPr>
        <w:t xml:space="preserve"> صليت بطيبة وإليها المهاجرة ثم قال انزل فصلَّ فصليت، فقال</w:t>
      </w:r>
      <w:r w:rsidRPr="00A52585">
        <w:rPr>
          <w:rFonts w:hint="cs"/>
          <w:sz w:val="24"/>
          <w:szCs w:val="24"/>
          <w:rtl/>
        </w:rPr>
        <w:t>:</w:t>
      </w:r>
      <w:r w:rsidR="00777DCB" w:rsidRPr="00A52585">
        <w:rPr>
          <w:rFonts w:hint="cs"/>
          <w:sz w:val="24"/>
          <w:szCs w:val="24"/>
          <w:rtl/>
        </w:rPr>
        <w:t xml:space="preserve"> أتدري أين صليت</w:t>
      </w:r>
      <w:r w:rsidR="00F95886" w:rsidRPr="00A52585">
        <w:rPr>
          <w:rFonts w:hint="cs"/>
          <w:sz w:val="24"/>
          <w:szCs w:val="24"/>
          <w:rtl/>
        </w:rPr>
        <w:t>؟</w:t>
      </w:r>
      <w:r w:rsidR="00777DCB" w:rsidRPr="00A52585">
        <w:rPr>
          <w:rFonts w:hint="cs"/>
          <w:sz w:val="24"/>
          <w:szCs w:val="24"/>
          <w:rtl/>
        </w:rPr>
        <w:t xml:space="preserve"> صليت بطور سيناء حيث كلم الله موسى، ثم قال</w:t>
      </w:r>
      <w:r w:rsidRPr="00A52585">
        <w:rPr>
          <w:rFonts w:hint="cs"/>
          <w:sz w:val="24"/>
          <w:szCs w:val="24"/>
          <w:rtl/>
        </w:rPr>
        <w:t>:</w:t>
      </w:r>
      <w:r w:rsidR="00777DCB" w:rsidRPr="00A52585">
        <w:rPr>
          <w:rFonts w:hint="cs"/>
          <w:sz w:val="24"/>
          <w:szCs w:val="24"/>
          <w:rtl/>
        </w:rPr>
        <w:t xml:space="preserve"> انزل فصل فصليت فقال أتدري أين صليت</w:t>
      </w:r>
      <w:r w:rsidR="00F95886"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صليت ببيت لحم حيث ولد عيسى عليه السلام</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آخر الحديث يقول الإمام السندي في الحاشية</w:t>
      </w:r>
      <w:r w:rsidRPr="00A52585">
        <w:rPr>
          <w:rFonts w:hint="cs"/>
          <w:sz w:val="24"/>
          <w:szCs w:val="24"/>
          <w:rtl/>
        </w:rPr>
        <w:t xml:space="preserve">: </w:t>
      </w:r>
      <w:r w:rsidR="00777DCB" w:rsidRPr="00A52585">
        <w:rPr>
          <w:rFonts w:hint="cs"/>
          <w:sz w:val="24"/>
          <w:szCs w:val="24"/>
          <w:rtl/>
        </w:rPr>
        <w:t>"</w:t>
      </w:r>
      <w:r w:rsidR="00777DCB" w:rsidRPr="00A52585">
        <w:rPr>
          <w:rFonts w:hint="cs"/>
          <w:bCs/>
          <w:sz w:val="24"/>
          <w:szCs w:val="24"/>
          <w:rtl/>
        </w:rPr>
        <w:t>صليت بطور سيناء) وهذا أصل كبير في تتبع آثار الصالحين والتبرك بها والعبادة فيها</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 xml:space="preserve">أهـ ج 1 ص 222 وروى الحافظ الثقة محمد بن إسماعيل الترمذي حديث الإسراء عن شداد بن أوس رضي الله عنه وذكر فيه نزول النبي صلى الله عليه وسلم للصلاة في المواضع الثلاثة ورواه عنه الإمام البيهقي بطريقين وقال إن </w:t>
      </w:r>
      <w:r w:rsidR="00777DCB" w:rsidRPr="00A52585">
        <w:rPr>
          <w:rFonts w:hint="cs"/>
          <w:bCs/>
          <w:sz w:val="24"/>
          <w:szCs w:val="24"/>
          <w:rtl/>
        </w:rPr>
        <w:t>إسناده صحيح</w:t>
      </w:r>
      <w:r w:rsidR="00777DCB" w:rsidRPr="00A52585">
        <w:rPr>
          <w:rFonts w:hint="cs"/>
          <w:sz w:val="24"/>
          <w:szCs w:val="24"/>
          <w:rtl/>
        </w:rPr>
        <w:t xml:space="preserve"> وذكر له شواهد كثيرة تؤيده انظر دلائل النبوة للبيهقي، وأما ما اعترض به ابن كثير في تفسير سورة الإسراء وزعم وجود نكارة في نزول النبي عليه السلام وصلاته في بيت لحم فهو خطأ غير صحيح وهذه سنة الله في خلقه في كل زمان، أن يجعل الأعمال الصالحة التي يبتغى بها وجهه سببا لتفريج الكروب واستجابة الدعاء والتقرب منه سبحانه، ومن </w:t>
      </w:r>
      <w:r w:rsidR="00777DCB" w:rsidRPr="00A52585">
        <w:rPr>
          <w:rFonts w:hint="cs"/>
          <w:spacing w:val="-8"/>
          <w:sz w:val="24"/>
          <w:szCs w:val="24"/>
          <w:rtl/>
        </w:rPr>
        <w:t>هذه الأعمال المحافظة</w:t>
      </w:r>
      <w:r w:rsidR="00777DCB" w:rsidRPr="00A52585">
        <w:rPr>
          <w:rFonts w:hint="cs"/>
          <w:spacing w:val="-6"/>
          <w:sz w:val="24"/>
          <w:szCs w:val="24"/>
          <w:rtl/>
        </w:rPr>
        <w:t xml:space="preserve"> </w:t>
      </w:r>
      <w:r w:rsidR="00777DCB" w:rsidRPr="00A52585">
        <w:rPr>
          <w:rFonts w:hint="cs"/>
          <w:spacing w:val="-8"/>
          <w:sz w:val="24"/>
          <w:szCs w:val="24"/>
          <w:rtl/>
        </w:rPr>
        <w:t>على آثار</w:t>
      </w:r>
      <w:r w:rsidR="00777DCB" w:rsidRPr="00A52585">
        <w:rPr>
          <w:rFonts w:hint="cs"/>
          <w:spacing w:val="-6"/>
          <w:sz w:val="24"/>
          <w:szCs w:val="24"/>
          <w:rtl/>
        </w:rPr>
        <w:t xml:space="preserve"> الأنبياء</w:t>
      </w:r>
      <w:r w:rsidR="00777DCB" w:rsidRPr="00A52585">
        <w:rPr>
          <w:rFonts w:hint="cs"/>
          <w:sz w:val="24"/>
          <w:szCs w:val="24"/>
          <w:rtl/>
        </w:rPr>
        <w:t xml:space="preserve"> والصالحين </w:t>
      </w:r>
      <w:r w:rsidR="00777DCB" w:rsidRPr="00A52585">
        <w:rPr>
          <w:rFonts w:hint="cs"/>
          <w:spacing w:val="-6"/>
          <w:sz w:val="24"/>
          <w:szCs w:val="24"/>
          <w:rtl/>
        </w:rPr>
        <w:t xml:space="preserve">وتعظيمها والتبرك </w:t>
      </w:r>
      <w:r w:rsidR="00777DCB" w:rsidRPr="00A52585">
        <w:rPr>
          <w:rFonts w:hint="cs"/>
          <w:spacing w:val="-20"/>
          <w:sz w:val="24"/>
          <w:szCs w:val="24"/>
          <w:rtl/>
        </w:rPr>
        <w:t>بها تماماً كـبرِّ</w:t>
      </w:r>
      <w:r w:rsidR="00777DCB" w:rsidRPr="00A52585">
        <w:rPr>
          <w:rFonts w:hint="cs"/>
          <w:sz w:val="24"/>
          <w:szCs w:val="24"/>
          <w:rtl/>
        </w:rPr>
        <w:t xml:space="preserve"> الوالدين والرفق باليتيم فهؤلاء بنو إسرائيل كان لديهم تابوت يحفظون فيه بعض آثار أنبيائهم- كعصا موسى ونعلاه وغير ذلك </w:t>
      </w:r>
      <w:r w:rsidR="00777DCB" w:rsidRPr="00A52585">
        <w:rPr>
          <w:sz w:val="24"/>
          <w:szCs w:val="24"/>
        </w:rPr>
        <w:t>–</w:t>
      </w:r>
      <w:r w:rsidR="00777DCB" w:rsidRPr="00A52585">
        <w:rPr>
          <w:rFonts w:hint="cs"/>
          <w:sz w:val="24"/>
          <w:szCs w:val="24"/>
          <w:rtl/>
        </w:rPr>
        <w:t xml:space="preserve"> ويقدمونه أمامهم في معاركهم مع أعدائهم يتبركون ويستنصرون الله به فينصرهم حتى إذا غُلبِوا في أحد المرات بسبب معاصيهم وأخذ منهم التابوت ثم تابوا وسألوا نبيهم أن يختار لهم ملكا من بينهم يقاتلون تحت لوائه فأخبرهم أن الله قد بعث لهم طالوت ملكاً قال تعالى</w:t>
      </w:r>
      <w:r w:rsidRPr="00A52585">
        <w:rPr>
          <w:rFonts w:hint="cs"/>
          <w:sz w:val="24"/>
          <w:szCs w:val="24"/>
          <w:rtl/>
        </w:rPr>
        <w:t>:</w:t>
      </w:r>
      <w:r w:rsidR="00777DCB" w:rsidRPr="00A52585">
        <w:rPr>
          <w:rFonts w:hint="cs"/>
          <w:sz w:val="24"/>
          <w:szCs w:val="24"/>
          <w:rtl/>
        </w:rPr>
        <w:t xml:space="preserve"> {وقال لهم نبيهم إن آية ملكه أن يأتيكم التابوت فيه سكينة من ربكم وبقية مما ترك آل موسى وآل هارون تحمله الملائكة</w:t>
      </w:r>
      <w:r w:rsidRPr="00A52585">
        <w:rPr>
          <w:rFonts w:hint="cs"/>
          <w:sz w:val="24"/>
          <w:szCs w:val="24"/>
          <w:rtl/>
        </w:rPr>
        <w:t>}</w:t>
      </w:r>
      <w:r w:rsidR="00777DCB" w:rsidRPr="00A52585">
        <w:rPr>
          <w:rFonts w:hint="cs"/>
          <w:sz w:val="24"/>
          <w:szCs w:val="24"/>
          <w:rtl/>
        </w:rPr>
        <w:t xml:space="preserve"> البقرة (248) يقول الشيخ محمد علوي المالكي في كتابه (مفاهيم يجب أن تصحح)</w:t>
      </w:r>
      <w:r w:rsidRPr="00A52585">
        <w:rPr>
          <w:rFonts w:hint="cs"/>
          <w:sz w:val="24"/>
          <w:szCs w:val="24"/>
          <w:rtl/>
        </w:rPr>
        <w:t xml:space="preserve">: </w:t>
      </w:r>
      <w:r w:rsidR="00777DCB" w:rsidRPr="00A52585">
        <w:rPr>
          <w:rFonts w:hint="cs"/>
          <w:sz w:val="24"/>
          <w:szCs w:val="24"/>
          <w:rtl/>
        </w:rPr>
        <w:t xml:space="preserve">"وهذا في الحقيقة ليس إلا توسلا بآثار </w:t>
      </w:r>
      <w:proofErr w:type="spellStart"/>
      <w:r w:rsidR="00777DCB" w:rsidRPr="00A52585">
        <w:rPr>
          <w:rFonts w:hint="cs"/>
          <w:sz w:val="24"/>
          <w:szCs w:val="24"/>
          <w:rtl/>
        </w:rPr>
        <w:t>أولائك</w:t>
      </w:r>
      <w:proofErr w:type="spellEnd"/>
      <w:r w:rsidR="00777DCB" w:rsidRPr="00A52585">
        <w:rPr>
          <w:rFonts w:hint="cs"/>
          <w:sz w:val="24"/>
          <w:szCs w:val="24"/>
          <w:rtl/>
        </w:rPr>
        <w:t xml:space="preserve"> الأنبياء، إذ لا معنى لتقديمهم التابوت بين أيديهم في حروبهم إلا ذلك والله سبحانه وتعالى راض عن ذلك بدليل أنه رده إليهم وجعله علامة وآية على صحة ملك طالوت ولم ينكر عليهم ذلك الفعل "</w:t>
      </w:r>
      <w:r w:rsidRPr="00A52585">
        <w:rPr>
          <w:rFonts w:hint="cs"/>
          <w:sz w:val="24"/>
          <w:szCs w:val="24"/>
          <w:rtl/>
        </w:rPr>
        <w:t xml:space="preserve"> </w:t>
      </w:r>
      <w:r w:rsidR="00777DCB" w:rsidRPr="00A52585">
        <w:rPr>
          <w:rFonts w:hint="cs"/>
          <w:sz w:val="24"/>
          <w:szCs w:val="24"/>
          <w:rtl/>
        </w:rPr>
        <w:t>أهـ ص 64 والتبرك بآثار الأنبياء والصالحين هو أحد أنواع التوسل العشرة كما أوضحها وبينها أتم بيان العلامة الشيخ محمد حسنين مخلوف وكيل الجامع الأزهر رحمه الله في رسالتيه في حكم التوسل بالأنبياء والأولياء عام 1346، 1347هـ نشر مكتبة التهذيب (ملحقتين بكتاب الصواعق الإلهية) وتبرك الصحابة والتابعين برسول الله صلى الله عليه وسلم وبآثاره حيا وبعد وفاته أكثر من أن تحصى وكان صلى الله عليه وسلم يقرهم على ذلك، بل عندما حلق الحلاق رأسه الشريف أعطى صلى الله عليه وسلم شعره أبا طلحة وقال له</w:t>
      </w:r>
      <w:r w:rsidRPr="00A52585">
        <w:rPr>
          <w:rFonts w:hint="cs"/>
          <w:sz w:val="24"/>
          <w:szCs w:val="24"/>
          <w:rtl/>
        </w:rPr>
        <w:t xml:space="preserve"> </w:t>
      </w:r>
      <w:r w:rsidR="00777DCB" w:rsidRPr="00A52585">
        <w:rPr>
          <w:rFonts w:hint="cs"/>
          <w:sz w:val="24"/>
          <w:szCs w:val="24"/>
          <w:rtl/>
        </w:rPr>
        <w:t>"أقسم بين الناس "</w:t>
      </w:r>
      <w:r w:rsidRPr="00A52585">
        <w:rPr>
          <w:rFonts w:hint="cs"/>
          <w:sz w:val="24"/>
          <w:szCs w:val="24"/>
          <w:rtl/>
        </w:rPr>
        <w:t xml:space="preserve"> </w:t>
      </w:r>
      <w:r w:rsidR="00777DCB" w:rsidRPr="00A52585">
        <w:rPr>
          <w:rFonts w:hint="cs"/>
          <w:sz w:val="24"/>
          <w:szCs w:val="24"/>
          <w:rtl/>
        </w:rPr>
        <w:t>في رواية الترمذي وفي رواية مسلم</w:t>
      </w:r>
      <w:r w:rsidRPr="00A52585">
        <w:rPr>
          <w:rFonts w:hint="cs"/>
          <w:sz w:val="24"/>
          <w:szCs w:val="24"/>
          <w:rtl/>
        </w:rPr>
        <w:t xml:space="preserve"> </w:t>
      </w:r>
      <w:r w:rsidR="00777DCB" w:rsidRPr="00A52585">
        <w:rPr>
          <w:rFonts w:hint="cs"/>
          <w:sz w:val="24"/>
          <w:szCs w:val="24"/>
          <w:rtl/>
        </w:rPr>
        <w:t>"فجعل يعطيه للناس "</w:t>
      </w:r>
      <w:r w:rsidRPr="00A52585">
        <w:rPr>
          <w:rFonts w:hint="cs"/>
          <w:sz w:val="24"/>
          <w:szCs w:val="24"/>
          <w:rtl/>
        </w:rPr>
        <w:t xml:space="preserve"> </w:t>
      </w:r>
      <w:r w:rsidR="00777DCB" w:rsidRPr="00A52585">
        <w:rPr>
          <w:rFonts w:hint="cs"/>
          <w:sz w:val="24"/>
          <w:szCs w:val="24"/>
          <w:rtl/>
        </w:rPr>
        <w:t xml:space="preserve">وكتب السنة حافلة بهذه الأمثلة وبما كان صلى الله عليه </w:t>
      </w:r>
      <w:r w:rsidR="00777DCB" w:rsidRPr="00A52585">
        <w:rPr>
          <w:rFonts w:hint="cs"/>
          <w:sz w:val="24"/>
          <w:szCs w:val="24"/>
          <w:rtl/>
        </w:rPr>
        <w:lastRenderedPageBreak/>
        <w:t>وسلم يرشد أصحابه إليه من التبرك ويقرهم عليه وبما كانوا يتبركون به بعد وفاته من شعره وملابسه وغير ذلك</w:t>
      </w:r>
      <w:r w:rsidR="00DB731D" w:rsidRPr="00A52585">
        <w:rPr>
          <w:rFonts w:hint="cs"/>
          <w:sz w:val="24"/>
          <w:szCs w:val="24"/>
          <w:rtl/>
        </w:rPr>
        <w:t>،</w:t>
      </w:r>
      <w:r w:rsidR="00777DCB" w:rsidRPr="00A52585">
        <w:rPr>
          <w:rFonts w:hint="cs"/>
          <w:sz w:val="24"/>
          <w:szCs w:val="24"/>
          <w:rtl/>
        </w:rPr>
        <w:t xml:space="preserve"> ومن أراد التفصيل في ذلك فليراجع كتب السنة وليراجع بعض الكتب التي أشارت إلى الموضوع مثل (مفاهيم يجب أن تصحح)، و(سعادة الدارين) للعلامة الشيخ إبراهيم السمنودي ورسالتي التوسل السابق ذكرهما للعلامة الشيخ محمد حسنين مخلوف</w:t>
      </w:r>
      <w:r w:rsidR="00DB731D" w:rsidRPr="00A52585">
        <w:rPr>
          <w:rFonts w:hint="cs"/>
          <w:sz w:val="24"/>
          <w:szCs w:val="24"/>
          <w:rtl/>
        </w:rPr>
        <w:t>،</w:t>
      </w:r>
      <w:r w:rsidR="00777DCB" w:rsidRPr="00A52585">
        <w:rPr>
          <w:rFonts w:hint="cs"/>
          <w:sz w:val="24"/>
          <w:szCs w:val="24"/>
          <w:rtl/>
        </w:rPr>
        <w:t xml:space="preserve"> يقول الشيخ محمد علوي المالكي في كتابه (مفاهيم يجب أن تصحح) بعد أن ذكر أمثله عديدة من كتب السنة للتبرك بآثاره صلى الله عليه وسلم</w:t>
      </w:r>
      <w:r w:rsidRPr="00A52585">
        <w:rPr>
          <w:rFonts w:hint="cs"/>
          <w:sz w:val="24"/>
          <w:szCs w:val="24"/>
          <w:rtl/>
        </w:rPr>
        <w:t xml:space="preserve">: </w:t>
      </w:r>
      <w:r w:rsidR="00777DCB" w:rsidRPr="00A52585">
        <w:rPr>
          <w:rFonts w:hint="cs"/>
          <w:sz w:val="24"/>
          <w:szCs w:val="24"/>
          <w:rtl/>
        </w:rPr>
        <w:t>"الخلاصة</w:t>
      </w:r>
      <w:r w:rsidRPr="00A52585">
        <w:rPr>
          <w:rFonts w:hint="cs"/>
          <w:sz w:val="24"/>
          <w:szCs w:val="24"/>
          <w:rtl/>
        </w:rPr>
        <w:t>:</w:t>
      </w:r>
      <w:r w:rsidR="00777DCB" w:rsidRPr="00A52585">
        <w:rPr>
          <w:rFonts w:hint="cs"/>
          <w:sz w:val="24"/>
          <w:szCs w:val="24"/>
          <w:rtl/>
        </w:rPr>
        <w:t xml:space="preserve"> والحاصل من هذه الآثار والأحاديث هو أن التبرك به صلى الله عليه وسلم وبآثاره وبكل ما هو منسوب إليه سنة مرفوعة وطريقة محمودة مشروعة ويكفى في إثبات ذلك فعل خيار الصحابة رضوان الله عليهم أجمعين وتأييد النبي صلى الله عليه وسلم لذلك بل وأمره مرة وإشارته أخرى إلى فعل ذلك وبالنصوص التي نقلناها يظهر كذب من زعم أن ذلك ما كان يعتني به ويهتم بفعله أحد من الصحابة إلا ابن عمر، وأن ابن عمر ما كان </w:t>
      </w:r>
      <w:proofErr w:type="spellStart"/>
      <w:r w:rsidR="00777DCB" w:rsidRPr="00A52585">
        <w:rPr>
          <w:rFonts w:hint="cs"/>
          <w:sz w:val="24"/>
          <w:szCs w:val="24"/>
          <w:rtl/>
        </w:rPr>
        <w:t>يوافقه</w:t>
      </w:r>
      <w:proofErr w:type="spellEnd"/>
      <w:r w:rsidR="00777DCB" w:rsidRPr="00A52585">
        <w:rPr>
          <w:rFonts w:hint="cs"/>
          <w:sz w:val="24"/>
          <w:szCs w:val="24"/>
          <w:rtl/>
        </w:rPr>
        <w:t xml:space="preserve"> على ذلك أحد من أصحاب الرسول صلى الله عليه وسلم</w:t>
      </w:r>
      <w:r w:rsidR="00DB731D" w:rsidRPr="00A52585">
        <w:rPr>
          <w:rFonts w:hint="cs"/>
          <w:sz w:val="24"/>
          <w:szCs w:val="24"/>
          <w:rtl/>
        </w:rPr>
        <w:t>،</w:t>
      </w:r>
      <w:r w:rsidR="00777DCB" w:rsidRPr="00A52585">
        <w:rPr>
          <w:rFonts w:hint="cs"/>
          <w:sz w:val="24"/>
          <w:szCs w:val="24"/>
          <w:rtl/>
        </w:rPr>
        <w:t xml:space="preserve"> وهذا جهل أو كذب وتلبيس، فقد كان كثير غيره يفعل ذلك ويهتم به ومنهم الخلفاء الراشدون رضي الله عنهم وأم سلمة وخالد بن الوليد وواثلة بن الأسقع وسلمة بن الأكوع وأنس بن مالك وأم سليم وأسيد بن حضير وسواد بن غزية وسواد بن عمرو وعبد الله بن سلام وأبو موسى وعبد الله بن الزبير وسفينة مولى النبي صلى الله عليه وسلم وسرة خادم أم سلمة ومالك بن سنان وأسماء بنت أبي بكر وأبو محذورة ومالك بن أنس وأشياخه من أهل المدينة كسعيد بن المسيب ويحيى بن سعيد "</w:t>
      </w:r>
      <w:r w:rsidRPr="00A52585">
        <w:rPr>
          <w:rFonts w:hint="cs"/>
          <w:sz w:val="24"/>
          <w:szCs w:val="24"/>
          <w:rtl/>
        </w:rPr>
        <w:t xml:space="preserve"> </w:t>
      </w:r>
      <w:r w:rsidR="00777DCB" w:rsidRPr="00A52585">
        <w:rPr>
          <w:rFonts w:hint="cs"/>
          <w:sz w:val="24"/>
          <w:szCs w:val="24"/>
          <w:rtl/>
        </w:rPr>
        <w:t>أهـ ص 156</w:t>
      </w:r>
      <w:r w:rsidR="00DB731D" w:rsidRPr="00A52585">
        <w:rPr>
          <w:rFonts w:hint="cs"/>
          <w:sz w:val="24"/>
          <w:szCs w:val="24"/>
          <w:rtl/>
        </w:rPr>
        <w:t>،</w:t>
      </w:r>
      <w:r w:rsidR="00777DCB" w:rsidRPr="00A52585">
        <w:rPr>
          <w:rFonts w:hint="cs"/>
          <w:sz w:val="24"/>
          <w:szCs w:val="24"/>
          <w:rtl/>
        </w:rPr>
        <w:t xml:space="preserve"> وصدق الشيخ فيما ذكره من أن فعل هؤلاء الصحابة فضلا عمن بعدهم إنما هو بأمره وإشارته وتعليمه صلى الله عليه وسلم</w:t>
      </w:r>
      <w:r w:rsidR="00DB731D" w:rsidRPr="00A52585">
        <w:rPr>
          <w:rFonts w:hint="cs"/>
          <w:sz w:val="24"/>
          <w:szCs w:val="24"/>
          <w:rtl/>
        </w:rPr>
        <w:t>،</w:t>
      </w:r>
      <w:r w:rsidR="00777DCB" w:rsidRPr="00A52585">
        <w:rPr>
          <w:rFonts w:hint="cs"/>
          <w:sz w:val="24"/>
          <w:szCs w:val="24"/>
          <w:rtl/>
        </w:rPr>
        <w:t xml:space="preserve"> أقول</w:t>
      </w:r>
      <w:r w:rsidRPr="00A52585">
        <w:rPr>
          <w:rFonts w:hint="cs"/>
          <w:sz w:val="24"/>
          <w:szCs w:val="24"/>
          <w:rtl/>
        </w:rPr>
        <w:t>:</w:t>
      </w:r>
      <w:r w:rsidR="00777DCB" w:rsidRPr="00A52585">
        <w:rPr>
          <w:rFonts w:hint="cs"/>
          <w:sz w:val="24"/>
          <w:szCs w:val="24"/>
          <w:rtl/>
        </w:rPr>
        <w:t xml:space="preserve"> بل وهو المستفاد من النصوص القرآنية ذاتها حيث حكى القرآن تبرك بني إسرائيل بالتابوت ممتنا عليهم بإرجاعه إليهم وقال عن الكعبة (جعل الله الكعبة البيت الحرام قياماً للناس) يقول ابن كثير في تفسير سورة البقرة</w:t>
      </w:r>
      <w:r w:rsidRPr="00A52585">
        <w:rPr>
          <w:rFonts w:hint="cs"/>
          <w:sz w:val="24"/>
          <w:szCs w:val="24"/>
          <w:rtl/>
        </w:rPr>
        <w:t>:</w:t>
      </w:r>
      <w:r w:rsidR="00777DCB" w:rsidRPr="00A52585">
        <w:rPr>
          <w:rFonts w:hint="cs"/>
          <w:sz w:val="24"/>
          <w:szCs w:val="24"/>
          <w:rtl/>
        </w:rPr>
        <w:t xml:space="preserve"> " أي يدفع عنهم بسبب تعظيمها السوء كما قال ابن عباس</w:t>
      </w:r>
      <w:r w:rsidRPr="00A52585">
        <w:rPr>
          <w:rFonts w:hint="cs"/>
          <w:sz w:val="24"/>
          <w:szCs w:val="24"/>
          <w:rtl/>
        </w:rPr>
        <w:t>:</w:t>
      </w:r>
      <w:r w:rsidR="00777DCB" w:rsidRPr="00A52585">
        <w:rPr>
          <w:rFonts w:hint="cs"/>
          <w:sz w:val="24"/>
          <w:szCs w:val="24"/>
          <w:rtl/>
        </w:rPr>
        <w:t xml:space="preserve"> لو لم يحج الناس هذا البيت لأطبق الله السماء على الأرض وما هذا إلا لشرف بانيه أولا وهو خليل الرحمن "</w:t>
      </w:r>
      <w:r w:rsidRPr="00A52585">
        <w:rPr>
          <w:rFonts w:hint="cs"/>
          <w:sz w:val="24"/>
          <w:szCs w:val="24"/>
          <w:rtl/>
        </w:rPr>
        <w:t xml:space="preserve"> </w:t>
      </w:r>
      <w:r w:rsidR="00777DCB" w:rsidRPr="00A52585">
        <w:rPr>
          <w:rFonts w:hint="cs"/>
          <w:sz w:val="24"/>
          <w:szCs w:val="24"/>
          <w:rtl/>
        </w:rPr>
        <w:t>أهـ ج1 ص 168</w:t>
      </w:r>
      <w:r w:rsidR="00DB731D" w:rsidRPr="00A52585">
        <w:rPr>
          <w:rFonts w:hint="cs"/>
          <w:sz w:val="24"/>
          <w:szCs w:val="24"/>
          <w:rtl/>
        </w:rPr>
        <w:t>،</w:t>
      </w:r>
      <w:r w:rsidR="00777DCB" w:rsidRPr="00A52585">
        <w:rPr>
          <w:rFonts w:hint="cs"/>
          <w:sz w:val="24"/>
          <w:szCs w:val="24"/>
          <w:rtl/>
        </w:rPr>
        <w:t xml:space="preserve"> بل جعل سبحانه قصد الكعبة والصفا والمروة وما حولها من أماكن لتعظيمها وعبادة الله عندها فرضا وركنا من أركان الإسلام الخمس وما ذلك إلا لأنها من (شعائر الله) أي التي تشعر وتعلم به تعالى قال عز من قائل {ذلك ومن يعظم شعائر الله</w:t>
      </w:r>
      <w:r w:rsidRPr="00A52585">
        <w:rPr>
          <w:rFonts w:hint="cs"/>
          <w:sz w:val="24"/>
          <w:szCs w:val="24"/>
          <w:rtl/>
        </w:rPr>
        <w:t xml:space="preserve"> </w:t>
      </w:r>
      <w:r w:rsidR="00777DCB" w:rsidRPr="00A52585">
        <w:rPr>
          <w:rFonts w:hint="cs"/>
          <w:sz w:val="24"/>
          <w:szCs w:val="24"/>
          <w:rtl/>
        </w:rPr>
        <w:t>فإنها من تقوى القلوب} الحج 32 يقول القرطبي في تفسيره</w:t>
      </w:r>
      <w:r w:rsidRPr="00A52585">
        <w:rPr>
          <w:rFonts w:hint="cs"/>
          <w:sz w:val="24"/>
          <w:szCs w:val="24"/>
          <w:rtl/>
        </w:rPr>
        <w:t xml:space="preserve">: </w:t>
      </w:r>
      <w:r w:rsidR="00777DCB" w:rsidRPr="00A52585">
        <w:rPr>
          <w:rFonts w:hint="cs"/>
          <w:sz w:val="24"/>
          <w:szCs w:val="24"/>
          <w:rtl/>
        </w:rPr>
        <w:t xml:space="preserve">"قوله تعالى </w:t>
      </w:r>
      <w:r w:rsidRPr="00A52585">
        <w:rPr>
          <w:rFonts w:hint="cs"/>
          <w:sz w:val="24"/>
          <w:szCs w:val="24"/>
          <w:rtl/>
        </w:rPr>
        <w:t>{</w:t>
      </w:r>
      <w:r w:rsidR="00777DCB" w:rsidRPr="00A52585">
        <w:rPr>
          <w:rFonts w:hint="cs"/>
          <w:sz w:val="24"/>
          <w:szCs w:val="24"/>
          <w:rtl/>
        </w:rPr>
        <w:t>ومن يعظم شعائر الله</w:t>
      </w:r>
      <w:r w:rsidRPr="00A52585">
        <w:rPr>
          <w:rFonts w:hint="cs"/>
          <w:sz w:val="24"/>
          <w:szCs w:val="24"/>
          <w:rtl/>
        </w:rPr>
        <w:t>}</w:t>
      </w:r>
      <w:r w:rsidR="00777DCB" w:rsidRPr="00A52585">
        <w:rPr>
          <w:rFonts w:hint="cs"/>
          <w:sz w:val="24"/>
          <w:szCs w:val="24"/>
          <w:rtl/>
        </w:rPr>
        <w:t xml:space="preserve"> الشعائر جمع شعيرة وهو كل شيء لله تعالى فيه أمر أشعر به وأعلم ومنه شعار القوم في الحرب أي علامتهم التي يتعارفون بها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فشعائر الله أعلام دينه لا سيما ما يتعلق بالمناسك "</w:t>
      </w:r>
      <w:r w:rsidRPr="00A52585">
        <w:rPr>
          <w:rFonts w:hint="cs"/>
          <w:sz w:val="24"/>
          <w:szCs w:val="24"/>
          <w:rtl/>
        </w:rPr>
        <w:t xml:space="preserve"> </w:t>
      </w:r>
      <w:r w:rsidR="00777DCB" w:rsidRPr="00A52585">
        <w:rPr>
          <w:rFonts w:hint="cs"/>
          <w:sz w:val="24"/>
          <w:szCs w:val="24"/>
          <w:rtl/>
        </w:rPr>
        <w:t>أهـ تفسير القرطبي ويقول الإمام عبد الغني النابلسي في رسالته (كشف النور عن أصحاب القبور)</w:t>
      </w:r>
      <w:r w:rsidRPr="00A52585">
        <w:rPr>
          <w:rFonts w:hint="cs"/>
          <w:sz w:val="24"/>
          <w:szCs w:val="24"/>
          <w:rtl/>
        </w:rPr>
        <w:t xml:space="preserve">: </w:t>
      </w:r>
      <w:r w:rsidR="00777DCB" w:rsidRPr="00A52585">
        <w:rPr>
          <w:rFonts w:hint="cs"/>
          <w:sz w:val="24"/>
          <w:szCs w:val="24"/>
          <w:rtl/>
        </w:rPr>
        <w:t xml:space="preserve">" وشعائر الله هي الأشياء التي تشعر </w:t>
      </w:r>
      <w:r w:rsidR="00777DCB" w:rsidRPr="00A52585">
        <w:rPr>
          <w:sz w:val="24"/>
          <w:szCs w:val="24"/>
        </w:rPr>
        <w:t>–</w:t>
      </w:r>
      <w:r w:rsidR="00777DCB" w:rsidRPr="00A52585">
        <w:rPr>
          <w:rFonts w:hint="cs"/>
          <w:sz w:val="24"/>
          <w:szCs w:val="24"/>
          <w:rtl/>
        </w:rPr>
        <w:t xml:space="preserve"> أي تعلم </w:t>
      </w:r>
      <w:r w:rsidR="00777DCB" w:rsidRPr="00A52585">
        <w:rPr>
          <w:sz w:val="24"/>
          <w:szCs w:val="24"/>
        </w:rPr>
        <w:t>–</w:t>
      </w:r>
      <w:r w:rsidR="00777DCB" w:rsidRPr="00A52585">
        <w:rPr>
          <w:rFonts w:hint="cs"/>
          <w:sz w:val="24"/>
          <w:szCs w:val="24"/>
          <w:rtl/>
        </w:rPr>
        <w:t xml:space="preserve"> به تعالى كالعلماء والصالحين أحياء وأمواتاً ونحوهم "</w:t>
      </w:r>
      <w:r w:rsidRPr="00A52585">
        <w:rPr>
          <w:rFonts w:hint="cs"/>
          <w:sz w:val="24"/>
          <w:szCs w:val="24"/>
          <w:rtl/>
        </w:rPr>
        <w:t xml:space="preserve"> </w:t>
      </w:r>
      <w:r w:rsidR="00777DCB" w:rsidRPr="00A52585">
        <w:rPr>
          <w:rFonts w:hint="cs"/>
          <w:sz w:val="24"/>
          <w:szCs w:val="24"/>
          <w:rtl/>
        </w:rPr>
        <w:t>أهـ ص 28 يقول تعالى معظماً شأن بيته الحرام بعد وصفه إياه بأنه مبارك وهدى للعالمين (فيه آيات بينـات مقـام إبراهيم) وعن هذا المقام يقـول الـحافـظ ابـن كثير في تفسيره لسورة البقرة عند آية{واتخذوا من مقام إبراهيم مصلى</w:t>
      </w:r>
      <w:r w:rsidRPr="00A52585">
        <w:rPr>
          <w:rFonts w:hint="cs"/>
          <w:sz w:val="24"/>
          <w:szCs w:val="24"/>
          <w:rtl/>
        </w:rPr>
        <w:t xml:space="preserve">}: </w:t>
      </w:r>
      <w:r w:rsidR="00777DCB" w:rsidRPr="00A52585">
        <w:rPr>
          <w:rFonts w:hint="cs"/>
          <w:sz w:val="24"/>
          <w:szCs w:val="24"/>
          <w:rtl/>
        </w:rPr>
        <w:t>"والمراد بالمقام إنما هو الحجر الذي كان إبراهيم عليه السلام يقوم عليه لبناء الكعبة لما ارتفع الجدار</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"وكانت آثار قدميه ظاهرة فيه ولم يزل هذا معروفاً تعرفه العرب في جاهليتها ولهذا قال أبو طالب في قصيدته المعروفة اللامية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وموطئ إبراهيم في الصخر رطبة</w:t>
      </w:r>
      <w:r w:rsidRPr="00A52585">
        <w:rPr>
          <w:rFonts w:hint="cs"/>
          <w:sz w:val="24"/>
          <w:szCs w:val="24"/>
          <w:rtl/>
        </w:rPr>
        <w:t xml:space="preserve"> </w:t>
      </w:r>
      <w:r w:rsidR="00777DCB" w:rsidRPr="00A52585">
        <w:rPr>
          <w:rFonts w:hint="cs"/>
          <w:sz w:val="24"/>
          <w:szCs w:val="24"/>
          <w:rtl/>
        </w:rPr>
        <w:t>علـى قدميــه حافيــا غــير ناعل</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وقد أدرك المسلمون ذلك فيه أيضا</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ونقل خبرين بإسنادين صحيحين يدلان على ذلك كما سيأتي، فماذا عمل كبار الصحابة تبركا بهذا الأثر من آثار خليل الرحمن روى </w:t>
      </w:r>
      <w:r w:rsidR="00777DCB" w:rsidRPr="00A52585">
        <w:rPr>
          <w:rFonts w:hint="cs"/>
          <w:sz w:val="24"/>
          <w:szCs w:val="24"/>
          <w:rtl/>
        </w:rPr>
        <w:lastRenderedPageBreak/>
        <w:t>البخاري في صحيحه في باب {واتخذوا من مقام إبراهيم مصلى</w:t>
      </w:r>
      <w:r w:rsidRPr="00A52585">
        <w:rPr>
          <w:rFonts w:hint="cs"/>
          <w:sz w:val="24"/>
          <w:szCs w:val="24"/>
          <w:rtl/>
        </w:rPr>
        <w:t xml:space="preserve">}: </w:t>
      </w:r>
      <w:r w:rsidR="00777DCB" w:rsidRPr="00A52585">
        <w:rPr>
          <w:rFonts w:hint="cs"/>
          <w:sz w:val="24"/>
          <w:szCs w:val="24"/>
          <w:rtl/>
        </w:rPr>
        <w:t>"قال عمر بن الخطاب</w:t>
      </w:r>
      <w:r w:rsidRPr="00A52585">
        <w:rPr>
          <w:rFonts w:hint="cs"/>
          <w:sz w:val="24"/>
          <w:szCs w:val="24"/>
          <w:rtl/>
        </w:rPr>
        <w:t>:</w:t>
      </w:r>
      <w:r w:rsidR="00777DCB" w:rsidRPr="00A52585">
        <w:rPr>
          <w:rFonts w:hint="cs"/>
          <w:sz w:val="24"/>
          <w:szCs w:val="24"/>
          <w:rtl/>
        </w:rPr>
        <w:t xml:space="preserve"> وافقت ربي في ثلاث أو وافقني ربي في ثلاث</w:t>
      </w:r>
      <w:r w:rsidRPr="00A52585">
        <w:rPr>
          <w:rFonts w:hint="cs"/>
          <w:sz w:val="24"/>
          <w:szCs w:val="24"/>
          <w:rtl/>
        </w:rPr>
        <w:t>:</w:t>
      </w:r>
      <w:r w:rsidR="00777DCB" w:rsidRPr="00A52585">
        <w:rPr>
          <w:rFonts w:hint="cs"/>
          <w:sz w:val="24"/>
          <w:szCs w:val="24"/>
          <w:rtl/>
        </w:rPr>
        <w:t xml:space="preserve"> قلت يا رسول الله لو اتخذت من مقام إبراهيم مصلى</w:t>
      </w:r>
      <w:r w:rsidR="00F95886" w:rsidRPr="00A52585">
        <w:rPr>
          <w:rFonts w:hint="cs"/>
          <w:sz w:val="24"/>
          <w:szCs w:val="24"/>
          <w:rtl/>
        </w:rPr>
        <w:t>؟</w:t>
      </w:r>
      <w:r w:rsidR="00777DCB" w:rsidRPr="00A52585">
        <w:rPr>
          <w:rFonts w:hint="cs"/>
          <w:sz w:val="24"/>
          <w:szCs w:val="24"/>
          <w:rtl/>
        </w:rPr>
        <w:t xml:space="preserve"> فنزلت {واتخذوا من مقام إبراهيم مصلى</w:t>
      </w:r>
      <w:r w:rsidRPr="00A52585">
        <w:rPr>
          <w:rFonts w:hint="cs"/>
          <w:sz w:val="24"/>
          <w:szCs w:val="24"/>
          <w:rtl/>
        </w:rPr>
        <w:t xml:space="preserve">} </w:t>
      </w:r>
      <w:r w:rsidR="00777DCB" w:rsidRPr="00A52585">
        <w:rPr>
          <w:rFonts w:hint="cs"/>
          <w:sz w:val="24"/>
          <w:szCs w:val="24"/>
          <w:rtl/>
        </w:rPr>
        <w:t>"</w:t>
      </w:r>
      <w:r w:rsidRPr="00A52585">
        <w:rPr>
          <w:rFonts w:hint="cs"/>
          <w:sz w:val="24"/>
          <w:szCs w:val="24"/>
          <w:rtl/>
        </w:rPr>
        <w:t xml:space="preserve"> </w:t>
      </w:r>
      <w:r w:rsidR="00777DCB" w:rsidRPr="00A52585">
        <w:rPr>
          <w:rFonts w:hint="cs"/>
          <w:sz w:val="24"/>
          <w:szCs w:val="24"/>
          <w:rtl/>
        </w:rPr>
        <w:t>إلى آخر الحديث وأخرجه أيضاً الإمام أحمد بن حنبل في مسنده وغيرهما، وهذا يؤكد صحة التبرك بالأماكن الفاضلة كما كان ابن عمر وغيره يتحرون الأماكن التي صلى فيها رسول الله صلى الله عليه وسلم ليصلوا فيها كي ينالوا بركته وكما كان ابن عمر يمسح المنبر والرمانة بيده ويضعها على وجهه وكما كان أبو أيوب الأنصاري يضع وجهه على القبر الشريف وغيره من الصحابة يغسلون جبة رسول الله صلى الله عليه وسلم ويشربون الماء أو يغتسلون به استشفاء من المرض وغير ذلك مما روته كتب السنة فكل هذه الأعمال إنما هي نابعة من الفطرة النقية السليمة التي فطر الله الناس عليها يقول الحافظ ابن كثير في تفسيره للآية الكريمة {واتخذوا من مقام إبراهيم مصلى}</w:t>
      </w:r>
      <w:r w:rsidRPr="00A52585">
        <w:rPr>
          <w:rFonts w:hint="cs"/>
          <w:sz w:val="24"/>
          <w:szCs w:val="24"/>
          <w:rtl/>
        </w:rPr>
        <w:t xml:space="preserve">: </w:t>
      </w:r>
      <w:r w:rsidR="00777DCB" w:rsidRPr="00A52585">
        <w:rPr>
          <w:rFonts w:hint="cs"/>
          <w:sz w:val="24"/>
          <w:szCs w:val="24"/>
          <w:rtl/>
        </w:rPr>
        <w:t>" كما قال عبد الله بن وهب</w:t>
      </w:r>
      <w:r w:rsidRPr="00A52585">
        <w:rPr>
          <w:rFonts w:hint="cs"/>
          <w:sz w:val="24"/>
          <w:szCs w:val="24"/>
          <w:rtl/>
        </w:rPr>
        <w:t>:</w:t>
      </w:r>
      <w:r w:rsidR="00777DCB" w:rsidRPr="00A52585">
        <w:rPr>
          <w:rFonts w:hint="cs"/>
          <w:sz w:val="24"/>
          <w:szCs w:val="24"/>
          <w:rtl/>
        </w:rPr>
        <w:t xml:space="preserve"> أخبرني يونس بن يزيد عن ابن شهاب أن أنس بن مالك حدثهم قال</w:t>
      </w:r>
      <w:r w:rsidRPr="00A52585">
        <w:rPr>
          <w:rFonts w:hint="cs"/>
          <w:sz w:val="24"/>
          <w:szCs w:val="24"/>
          <w:rtl/>
        </w:rPr>
        <w:t>:</w:t>
      </w:r>
      <w:r w:rsidR="00777DCB" w:rsidRPr="00A52585">
        <w:rPr>
          <w:rFonts w:hint="cs"/>
          <w:sz w:val="24"/>
          <w:szCs w:val="24"/>
          <w:rtl/>
        </w:rPr>
        <w:t xml:space="preserve"> (رأيت المقام فيه أصابعه عليه السلام وأخمص قدميه غير أنه أذهبه مسح الناس بأيديهم)، وقال ابن جرير</w:t>
      </w:r>
      <w:r w:rsidRPr="00A52585">
        <w:rPr>
          <w:rFonts w:hint="cs"/>
          <w:sz w:val="24"/>
          <w:szCs w:val="24"/>
          <w:rtl/>
        </w:rPr>
        <w:t>:</w:t>
      </w:r>
      <w:r w:rsidR="00777DCB" w:rsidRPr="00A52585">
        <w:rPr>
          <w:rFonts w:hint="cs"/>
          <w:sz w:val="24"/>
          <w:szCs w:val="24"/>
          <w:rtl/>
        </w:rPr>
        <w:t xml:space="preserve"> أخبرنا بشر بن معاذ أخبرنا يزيد بن زريع أخبرنا سعيد عن قتادة {واتخذوا من مقام إبراهيم مصلى</w:t>
      </w:r>
      <w:r w:rsidRPr="00A52585">
        <w:rPr>
          <w:rFonts w:hint="cs"/>
          <w:sz w:val="24"/>
          <w:szCs w:val="24"/>
          <w:rtl/>
        </w:rPr>
        <w:t>}</w:t>
      </w:r>
      <w:r w:rsidR="00777DCB" w:rsidRPr="00A52585">
        <w:rPr>
          <w:rFonts w:hint="cs"/>
          <w:sz w:val="24"/>
          <w:szCs w:val="24"/>
          <w:rtl/>
        </w:rPr>
        <w:t xml:space="preserve"> إنما أمروا أن يصلوا عنده ولم يؤمروا بمسحه، وقد تكلفت هذه الأمة شيئاً ما تكلفته الأمم قبلها، ولقد ذكر لنا من رأى أثر عقبه وأصابعه فيه فما زالت هذه الأمة يمسحونه حتى اخلولق وانمحي "</w:t>
      </w:r>
      <w:r w:rsidRPr="00A52585">
        <w:rPr>
          <w:rFonts w:hint="cs"/>
          <w:sz w:val="24"/>
          <w:szCs w:val="24"/>
          <w:rtl/>
        </w:rPr>
        <w:t xml:space="preserve"> </w:t>
      </w:r>
      <w:r w:rsidR="00777DCB" w:rsidRPr="00A52585">
        <w:rPr>
          <w:rFonts w:hint="cs"/>
          <w:sz w:val="24"/>
          <w:szCs w:val="24"/>
          <w:rtl/>
        </w:rPr>
        <w:t xml:space="preserve">أهـ ج1 ص 170 وانظر أيضاً تفسير الطبري للآية المذكورة ج2 ص35 تحقيق أحمد شاكر وهذان إسنادان صحيحان إن شاء الله كما يعلم من </w:t>
      </w:r>
      <w:proofErr w:type="spellStart"/>
      <w:r w:rsidR="00777DCB" w:rsidRPr="00A52585">
        <w:rPr>
          <w:rFonts w:hint="cs"/>
          <w:sz w:val="24"/>
          <w:szCs w:val="24"/>
          <w:rtl/>
        </w:rPr>
        <w:t>مراجعتهمافمن</w:t>
      </w:r>
      <w:proofErr w:type="spellEnd"/>
      <w:r w:rsidR="00777DCB" w:rsidRPr="00A52585">
        <w:rPr>
          <w:rFonts w:hint="cs"/>
          <w:sz w:val="24"/>
          <w:szCs w:val="24"/>
          <w:rtl/>
        </w:rPr>
        <w:t xml:space="preserve"> يا ترى هؤلاء الناس الذين ذكرهم الصحابي الجليل أنس بن مالك والتابعي الجليل قتادة</w:t>
      </w:r>
      <w:r w:rsidR="00F95886" w:rsidRPr="00A52585">
        <w:rPr>
          <w:rFonts w:hint="cs"/>
          <w:sz w:val="24"/>
          <w:szCs w:val="24"/>
          <w:rtl/>
        </w:rPr>
        <w:t>؟</w:t>
      </w:r>
      <w:r w:rsidR="00777DCB" w:rsidRPr="00A52585">
        <w:rPr>
          <w:rFonts w:hint="cs"/>
          <w:sz w:val="24"/>
          <w:szCs w:val="24"/>
          <w:rtl/>
        </w:rPr>
        <w:t xml:space="preserve"> أليسوا هم الملايين من جماهير الصحابة وأوائل التابعين الذين حجوا واعتمروا من عصر النبي صلى الله عليه وسلم وحتى أوائل المائة الثانية من الهجرة</w:t>
      </w:r>
      <w:r w:rsidR="00F95886" w:rsidRPr="00A52585">
        <w:rPr>
          <w:rFonts w:hint="cs"/>
          <w:sz w:val="24"/>
          <w:szCs w:val="24"/>
          <w:rtl/>
        </w:rPr>
        <w:t>؟</w:t>
      </w:r>
      <w:r w:rsidR="00777DCB" w:rsidRPr="00A52585">
        <w:rPr>
          <w:rFonts w:hint="cs"/>
          <w:sz w:val="24"/>
          <w:szCs w:val="24"/>
          <w:rtl/>
        </w:rPr>
        <w:t xml:space="preserve"> فهل يستطيع ابن تيمية وأذنابه والببغاوات الذين يرددون كلماته بغير فهم أن يتهموا هذه الملايين ومعهم جماهير الصحابة وأئمتهم مثل عمر بن الخطاب وابنه عبد الله وبلال وأبي أيوب الأنصاري وأسماء وأم سلمة وغيرهم بالشرك والضلال</w:t>
      </w:r>
      <w:r w:rsidR="00F95886" w:rsidRPr="00A52585">
        <w:rPr>
          <w:rFonts w:hint="cs"/>
          <w:sz w:val="24"/>
          <w:szCs w:val="24"/>
          <w:rtl/>
        </w:rPr>
        <w:t>؟</w:t>
      </w:r>
      <w:r w:rsidR="00777DCB" w:rsidRPr="00A52585">
        <w:rPr>
          <w:rFonts w:hint="cs"/>
          <w:sz w:val="24"/>
          <w:szCs w:val="24"/>
          <w:rtl/>
        </w:rPr>
        <w:t xml:space="preserve"> كيف وقد ظلت أثار قدمي سيدنا إبراهيم عليه الصلاة والسلام طوال قرون الشرك بل آلاف السنين من وقته عليه السلام وحتى مبعث نبينا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ظاهرة بينة في الصخر ولم تذهب وتنمحي هذه الآثار إلا من مسح المسلمين بأيديهم تبركاً عليها في أقل من مائة عام من بداية الإسلام</w:t>
      </w:r>
      <w:r w:rsidR="00F95886" w:rsidRPr="00A52585">
        <w:rPr>
          <w:rFonts w:hint="cs"/>
          <w:sz w:val="24"/>
          <w:szCs w:val="24"/>
          <w:rtl/>
        </w:rPr>
        <w:t>!</w:t>
      </w:r>
      <w:r w:rsidR="00777DCB" w:rsidRPr="00A52585">
        <w:rPr>
          <w:rFonts w:hint="cs"/>
          <w:sz w:val="24"/>
          <w:szCs w:val="24"/>
          <w:rtl/>
        </w:rPr>
        <w:t xml:space="preserve"> وعلى هدى الصحابة والتابعين سار أئمة الدين وعلماء الأمة الذين نقلوا لنا الدين كاملاً نقياً </w:t>
      </w:r>
      <w:r w:rsidR="00777DCB" w:rsidRPr="00A52585">
        <w:rPr>
          <w:rFonts w:hint="cs"/>
          <w:bCs/>
          <w:sz w:val="24"/>
          <w:szCs w:val="24"/>
          <w:rtl/>
        </w:rPr>
        <w:t>يقول إمام الدنيا في علم الحديث الحافظ ابن حجر العسقلاني</w:t>
      </w:r>
      <w:r w:rsidR="00777DCB" w:rsidRPr="00A52585">
        <w:rPr>
          <w:rFonts w:hint="cs"/>
          <w:sz w:val="24"/>
          <w:szCs w:val="24"/>
          <w:rtl/>
        </w:rPr>
        <w:t xml:space="preserve"> في كتابه (فتح الباري في شرح صحيح البخاري)</w:t>
      </w:r>
      <w:r w:rsidRPr="00A52585">
        <w:rPr>
          <w:rFonts w:hint="cs"/>
          <w:sz w:val="24"/>
          <w:szCs w:val="24"/>
          <w:rtl/>
        </w:rPr>
        <w:t xml:space="preserve">: </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فائدة</w:t>
      </w:r>
      <w:r w:rsidRPr="00A52585">
        <w:rPr>
          <w:rFonts w:hint="cs"/>
          <w:bCs/>
          <w:sz w:val="24"/>
          <w:szCs w:val="24"/>
          <w:rtl/>
        </w:rPr>
        <w:t>)</w:t>
      </w:r>
      <w:r w:rsidR="00777DCB" w:rsidRPr="00A52585">
        <w:rPr>
          <w:rFonts w:hint="cs"/>
          <w:sz w:val="24"/>
          <w:szCs w:val="24"/>
          <w:rtl/>
        </w:rPr>
        <w:t xml:space="preserve"> في البيت أربعة أركان الأول له فضيلتان</w:t>
      </w:r>
      <w:r w:rsidRPr="00A52585">
        <w:rPr>
          <w:rFonts w:hint="cs"/>
          <w:sz w:val="24"/>
          <w:szCs w:val="24"/>
          <w:rtl/>
        </w:rPr>
        <w:t>:</w:t>
      </w:r>
      <w:r w:rsidR="00777DCB" w:rsidRPr="00A52585">
        <w:rPr>
          <w:rFonts w:hint="cs"/>
          <w:sz w:val="24"/>
          <w:szCs w:val="24"/>
          <w:rtl/>
        </w:rPr>
        <w:t xml:space="preserve"> كون الحجر الأسود فيه، وكونه على قواعد إبراهيم وللثاني</w:t>
      </w:r>
      <w:r w:rsidRPr="00A52585">
        <w:rPr>
          <w:rFonts w:hint="cs"/>
          <w:sz w:val="24"/>
          <w:szCs w:val="24"/>
          <w:rtl/>
        </w:rPr>
        <w:t>:</w:t>
      </w:r>
      <w:r w:rsidR="00777DCB" w:rsidRPr="00A52585">
        <w:rPr>
          <w:rFonts w:hint="cs"/>
          <w:sz w:val="24"/>
          <w:szCs w:val="24"/>
          <w:rtl/>
        </w:rPr>
        <w:t xml:space="preserve"> الثانية فقط، وليس للآخرين شيء منهما فلذلك يقبل الأول ويستلم الثاني فقط ولا يقبل الآخران ولا يستلمان، هذا على رأي الجمهور، واستحب بعضهم تقبيل الركن اليماني أيضاً</w:t>
      </w:r>
      <w:r w:rsidR="00DB731D" w:rsidRPr="00A52585">
        <w:rPr>
          <w:rFonts w:hint="cs"/>
          <w:sz w:val="24"/>
          <w:szCs w:val="24"/>
          <w:rtl/>
        </w:rPr>
        <w:t>،</w:t>
      </w:r>
      <w:r w:rsidR="00777DCB" w:rsidRPr="00A52585">
        <w:rPr>
          <w:rFonts w:hint="cs"/>
          <w:sz w:val="24"/>
          <w:szCs w:val="24"/>
          <w:rtl/>
        </w:rPr>
        <w:t xml:space="preserve"> </w:t>
      </w:r>
      <w:r w:rsidRPr="00A52585">
        <w:rPr>
          <w:rFonts w:hint="cs"/>
          <w:bCs/>
          <w:sz w:val="24"/>
          <w:szCs w:val="24"/>
          <w:rtl/>
        </w:rPr>
        <w:t>(</w:t>
      </w:r>
      <w:r w:rsidR="00777DCB" w:rsidRPr="00A52585">
        <w:rPr>
          <w:rFonts w:hint="cs"/>
          <w:bCs/>
          <w:sz w:val="24"/>
          <w:szCs w:val="24"/>
          <w:rtl/>
        </w:rPr>
        <w:t>فائدة أخرى</w:t>
      </w:r>
      <w:r w:rsidRPr="00A52585">
        <w:rPr>
          <w:rFonts w:hint="cs"/>
          <w:bCs/>
          <w:sz w:val="24"/>
          <w:szCs w:val="24"/>
          <w:rtl/>
        </w:rPr>
        <w:t>)</w:t>
      </w:r>
      <w:r w:rsidR="00777DCB" w:rsidRPr="00A52585">
        <w:rPr>
          <w:rFonts w:hint="cs"/>
          <w:sz w:val="24"/>
          <w:szCs w:val="24"/>
          <w:rtl/>
        </w:rPr>
        <w:t xml:space="preserve"> استنبط بعضهم من مشروعية تقبيل الأركان جواز تقبيل</w:t>
      </w:r>
      <w:r w:rsidRPr="00A52585">
        <w:rPr>
          <w:rFonts w:hint="cs"/>
          <w:sz w:val="24"/>
          <w:szCs w:val="24"/>
          <w:rtl/>
        </w:rPr>
        <w:t xml:space="preserve"> </w:t>
      </w:r>
      <w:r w:rsidR="00777DCB" w:rsidRPr="00A52585">
        <w:rPr>
          <w:rFonts w:hint="cs"/>
          <w:sz w:val="24"/>
          <w:szCs w:val="24"/>
          <w:rtl/>
        </w:rPr>
        <w:t>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 به بأساً، واستبعد بعض أتباعه صحة ذلك ونقل عن ابن أبي الصيف اليماني أحد علماء مكة من الشافعية جواز تقبيل المصحف وأجزاء الحديث وقبور الصالحين وبالله التوفيق "</w:t>
      </w:r>
      <w:r w:rsidRPr="00A52585">
        <w:rPr>
          <w:rFonts w:hint="cs"/>
          <w:sz w:val="24"/>
          <w:szCs w:val="24"/>
          <w:rtl/>
        </w:rPr>
        <w:t xml:space="preserve"> </w:t>
      </w:r>
      <w:r w:rsidR="00777DCB" w:rsidRPr="00A52585">
        <w:rPr>
          <w:rFonts w:hint="cs"/>
          <w:sz w:val="24"/>
          <w:szCs w:val="24"/>
          <w:rtl/>
        </w:rPr>
        <w:t xml:space="preserve">أهـ من (باب من لم يستلم إلا الركنين اليمانيين) ج3 ص 475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ربما قصد الحافظ ابن حجر بعبارة (بعض أتباعه) ابن تيمية وأذنابه ولا قيمة لاعتراضهم على صحة الخبر بعد ثبوته عنه بالدليل القاطع</w:t>
      </w:r>
      <w:r w:rsidRPr="00A52585">
        <w:rPr>
          <w:rFonts w:hint="cs"/>
          <w:sz w:val="24"/>
          <w:szCs w:val="24"/>
          <w:rtl/>
        </w:rPr>
        <w:t xml:space="preserve"> </w:t>
      </w:r>
      <w:r w:rsidR="00777DCB" w:rsidRPr="00A52585">
        <w:rPr>
          <w:rFonts w:hint="cs"/>
          <w:sz w:val="24"/>
          <w:szCs w:val="24"/>
          <w:rtl/>
        </w:rPr>
        <w:t xml:space="preserve">يقول الشيخ عبد </w:t>
      </w:r>
      <w:r w:rsidR="00777DCB" w:rsidRPr="00A52585">
        <w:rPr>
          <w:rFonts w:hint="cs"/>
          <w:sz w:val="24"/>
          <w:szCs w:val="24"/>
          <w:rtl/>
        </w:rPr>
        <w:lastRenderedPageBreak/>
        <w:t>ربه سليمان في كتابه (فيض الوهاب)</w:t>
      </w:r>
      <w:r w:rsidRPr="00A52585">
        <w:rPr>
          <w:rFonts w:hint="cs"/>
          <w:sz w:val="24"/>
          <w:szCs w:val="24"/>
          <w:rtl/>
        </w:rPr>
        <w:t xml:space="preserve">: </w:t>
      </w:r>
      <w:r w:rsidR="00777DCB" w:rsidRPr="00A52585">
        <w:rPr>
          <w:rFonts w:hint="cs"/>
          <w:sz w:val="24"/>
          <w:szCs w:val="24"/>
          <w:rtl/>
        </w:rPr>
        <w:t xml:space="preserve">" </w:t>
      </w:r>
      <w:r w:rsidR="00777DCB" w:rsidRPr="00A52585">
        <w:rPr>
          <w:rFonts w:hint="cs"/>
          <w:bCs/>
          <w:sz w:val="24"/>
          <w:szCs w:val="24"/>
          <w:rtl/>
        </w:rPr>
        <w:t>قال الحافظ العراقي في كتابه</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فتح المتعال</w:t>
      </w:r>
      <w:r w:rsidRPr="00A52585">
        <w:rPr>
          <w:rFonts w:hint="cs"/>
          <w:sz w:val="24"/>
          <w:szCs w:val="24"/>
          <w:rtl/>
        </w:rPr>
        <w:t>):</w:t>
      </w:r>
      <w:r w:rsidR="00777DCB" w:rsidRPr="00A52585">
        <w:rPr>
          <w:rFonts w:hint="cs"/>
          <w:sz w:val="24"/>
          <w:szCs w:val="24"/>
          <w:rtl/>
        </w:rPr>
        <w:t xml:space="preserve"> أخبرني الحافظ أبو سعيد العلائي قال</w:t>
      </w:r>
      <w:r w:rsidRPr="00A52585">
        <w:rPr>
          <w:rFonts w:hint="cs"/>
          <w:sz w:val="24"/>
          <w:szCs w:val="24"/>
          <w:rtl/>
        </w:rPr>
        <w:t>:</w:t>
      </w:r>
      <w:r w:rsidR="00777DCB" w:rsidRPr="00A52585">
        <w:rPr>
          <w:rFonts w:hint="cs"/>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sidRPr="00A52585">
        <w:rPr>
          <w:rFonts w:hint="cs"/>
          <w:sz w:val="24"/>
          <w:szCs w:val="24"/>
          <w:rtl/>
        </w:rPr>
        <w:t>:</w:t>
      </w:r>
      <w:r w:rsidR="00777DCB" w:rsidRPr="00A52585">
        <w:rPr>
          <w:rFonts w:hint="cs"/>
          <w:sz w:val="24"/>
          <w:szCs w:val="24"/>
          <w:rtl/>
        </w:rPr>
        <w:t xml:space="preserve"> عندي أحمد جليل يقول هذا</w:t>
      </w:r>
      <w:r w:rsidR="00F95886" w:rsidRPr="00A52585">
        <w:rPr>
          <w:rFonts w:hint="cs"/>
          <w:sz w:val="24"/>
          <w:szCs w:val="24"/>
          <w:rtl/>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وأي عجب في ذلك وقد روينا عن الإمام أنه غسل قميصاً للشافعي وشرب الماء الذي غسله به! "</w:t>
      </w:r>
      <w:r w:rsidRPr="00A52585">
        <w:rPr>
          <w:rFonts w:hint="cs"/>
          <w:sz w:val="24"/>
          <w:szCs w:val="24"/>
          <w:rtl/>
        </w:rPr>
        <w:t xml:space="preserve"> </w:t>
      </w:r>
      <w:r w:rsidR="00777DCB" w:rsidRPr="00A52585">
        <w:rPr>
          <w:rFonts w:hint="cs"/>
          <w:sz w:val="24"/>
          <w:szCs w:val="24"/>
          <w:rtl/>
        </w:rPr>
        <w:t>ج4 ص 145 ويقول الحافظ السيد عبد الله الغماري في كتابه (الرد المحكم المتين)</w:t>
      </w:r>
      <w:r w:rsidRPr="00A52585">
        <w:rPr>
          <w:rFonts w:hint="cs"/>
          <w:sz w:val="24"/>
          <w:szCs w:val="24"/>
          <w:rtl/>
        </w:rPr>
        <w:t xml:space="preserve">: </w:t>
      </w:r>
      <w:r w:rsidR="00777DCB" w:rsidRPr="00A52585">
        <w:rPr>
          <w:rFonts w:hint="cs"/>
          <w:sz w:val="24"/>
          <w:szCs w:val="24"/>
          <w:rtl/>
        </w:rPr>
        <w:t xml:space="preserve">" وفي كتاب العلل </w:t>
      </w:r>
      <w:proofErr w:type="spellStart"/>
      <w:r w:rsidR="00777DCB" w:rsidRPr="00A52585">
        <w:rPr>
          <w:rFonts w:hint="cs"/>
          <w:sz w:val="24"/>
          <w:szCs w:val="24"/>
          <w:rtl/>
        </w:rPr>
        <w:t>والسؤالات</w:t>
      </w:r>
      <w:proofErr w:type="spellEnd"/>
      <w:r w:rsidR="00777DCB" w:rsidRPr="00A52585">
        <w:rPr>
          <w:rFonts w:hint="cs"/>
          <w:sz w:val="24"/>
          <w:szCs w:val="24"/>
          <w:rtl/>
        </w:rPr>
        <w:t xml:space="preserve"> لعبد الله بن أحمد بن حنبل</w:t>
      </w:r>
      <w:r w:rsidRPr="00A52585">
        <w:rPr>
          <w:rFonts w:hint="cs"/>
          <w:sz w:val="24"/>
          <w:szCs w:val="24"/>
          <w:rtl/>
        </w:rPr>
        <w:t>:</w:t>
      </w:r>
      <w:r w:rsidR="00777DCB" w:rsidRPr="00A52585">
        <w:rPr>
          <w:rFonts w:hint="cs"/>
          <w:sz w:val="24"/>
          <w:szCs w:val="24"/>
          <w:rtl/>
        </w:rPr>
        <w:t xml:space="preserve"> سألت أبي عن الرجل يمس منبر النبي صلى الله عليه وسلم يتبرك بمسه ويقبله ويفعل بالقبر مثل ذلك رجاء ثواب الله تعـالى، قــال</w:t>
      </w:r>
      <w:r w:rsidRPr="00A52585">
        <w:rPr>
          <w:rFonts w:hint="cs"/>
          <w:sz w:val="24"/>
          <w:szCs w:val="24"/>
          <w:rtl/>
        </w:rPr>
        <w:t>:</w:t>
      </w:r>
      <w:r w:rsidR="00777DCB" w:rsidRPr="00A52585">
        <w:rPr>
          <w:rFonts w:hint="cs"/>
          <w:sz w:val="24"/>
          <w:szCs w:val="24"/>
          <w:rtl/>
        </w:rPr>
        <w:t xml:space="preserve"> لا بـأس بــه وعن يحيى بن سعيد شيخ الإمام مالك أنه حين أراد الخروج إلى العراق جاء إلى المنبر النبوي فمسحه ونقل عن ابن أبي الصيف والمحب الطبري جواز تقبيل قبور الصالحين نقله ابن </w:t>
      </w:r>
      <w:proofErr w:type="spellStart"/>
      <w:r w:rsidR="00777DCB" w:rsidRPr="00A52585">
        <w:rPr>
          <w:rFonts w:hint="cs"/>
          <w:sz w:val="24"/>
          <w:szCs w:val="24"/>
          <w:rtl/>
        </w:rPr>
        <w:t>زكرى</w:t>
      </w:r>
      <w:proofErr w:type="spellEnd"/>
      <w:r w:rsidR="00777DCB" w:rsidRPr="00A52585">
        <w:rPr>
          <w:rFonts w:hint="cs"/>
          <w:sz w:val="24"/>
          <w:szCs w:val="24"/>
          <w:rtl/>
        </w:rPr>
        <w:t xml:space="preserve"> في شرح </w:t>
      </w:r>
      <w:proofErr w:type="spellStart"/>
      <w:r w:rsidR="00777DCB" w:rsidRPr="00A52585">
        <w:rPr>
          <w:rFonts w:hint="cs"/>
          <w:sz w:val="24"/>
          <w:szCs w:val="24"/>
          <w:rtl/>
        </w:rPr>
        <w:t>همزيته</w:t>
      </w:r>
      <w:proofErr w:type="spellEnd"/>
      <w:r w:rsidR="00777DCB" w:rsidRPr="00A52585">
        <w:rPr>
          <w:rFonts w:hint="cs"/>
          <w:sz w:val="24"/>
          <w:szCs w:val="24"/>
          <w:rtl/>
        </w:rPr>
        <w:t xml:space="preserve"> بعد أن حكى عن كثير من العلماء خصوصاً المالكية كراهة تقبيل القبر والله أعلم "</w:t>
      </w:r>
      <w:r w:rsidRPr="00A52585">
        <w:rPr>
          <w:rFonts w:hint="cs"/>
          <w:sz w:val="24"/>
          <w:szCs w:val="24"/>
          <w:rtl/>
        </w:rPr>
        <w:t xml:space="preserve"> </w:t>
      </w:r>
      <w:r w:rsidR="00777DCB" w:rsidRPr="00A52585">
        <w:rPr>
          <w:rFonts w:hint="cs"/>
          <w:sz w:val="24"/>
          <w:szCs w:val="24"/>
          <w:rtl/>
        </w:rPr>
        <w:t>أهـ ص 273</w:t>
      </w:r>
      <w:r w:rsidR="00DB731D" w:rsidRPr="00A52585">
        <w:rPr>
          <w:rFonts w:hint="cs"/>
          <w:sz w:val="24"/>
          <w:szCs w:val="24"/>
          <w:rtl/>
        </w:rPr>
        <w:t>،</w:t>
      </w:r>
      <w:r w:rsidR="00777DCB" w:rsidRPr="00A52585">
        <w:rPr>
          <w:rFonts w:hint="cs"/>
          <w:sz w:val="24"/>
          <w:szCs w:val="24"/>
          <w:rtl/>
        </w:rPr>
        <w:t xml:space="preserve"> ويقول أيضاً الشيخ عبد ربه سليمان</w:t>
      </w:r>
      <w:r w:rsidRPr="00A52585">
        <w:rPr>
          <w:rFonts w:hint="cs"/>
          <w:sz w:val="24"/>
          <w:szCs w:val="24"/>
          <w:rtl/>
        </w:rPr>
        <w:t xml:space="preserve">: </w:t>
      </w:r>
      <w:r w:rsidR="00777DCB" w:rsidRPr="00A52585">
        <w:rPr>
          <w:rFonts w:hint="cs"/>
          <w:sz w:val="24"/>
          <w:szCs w:val="24"/>
          <w:rtl/>
        </w:rPr>
        <w:t>"وموجود بخط الحافظ الضياء المقدسي الحنبلـــي في كتابه (الحكايات المنثورة) المحفوظ الآن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ج1 ص 123 يسند إلى الشافعي رضي الله تعالى عنه أنه قال</w:t>
      </w:r>
      <w:r w:rsidRPr="00A52585">
        <w:rPr>
          <w:rFonts w:hint="cs"/>
          <w:sz w:val="24"/>
          <w:szCs w:val="24"/>
          <w:rtl/>
        </w:rPr>
        <w:t>:</w:t>
      </w:r>
      <w:r w:rsidR="00777DCB" w:rsidRPr="00A52585">
        <w:rPr>
          <w:rFonts w:hint="cs"/>
          <w:sz w:val="24"/>
          <w:szCs w:val="24"/>
          <w:rtl/>
        </w:rPr>
        <w:t xml:space="preserve"> إني لأتبرك بأبي حنيفة وأجئ إلى قبره كل يوم يعني زائراً "</w:t>
      </w:r>
      <w:r w:rsidRPr="00A52585">
        <w:rPr>
          <w:rFonts w:hint="cs"/>
          <w:sz w:val="24"/>
          <w:szCs w:val="24"/>
          <w:rtl/>
        </w:rPr>
        <w:t xml:space="preserve"> </w:t>
      </w:r>
      <w:r w:rsidR="00777DCB" w:rsidRPr="00A52585">
        <w:rPr>
          <w:rFonts w:hint="cs"/>
          <w:sz w:val="24"/>
          <w:szCs w:val="24"/>
          <w:rtl/>
        </w:rPr>
        <w:t>أهـ من (فيض الوهاب) ج 4 ص 145</w:t>
      </w:r>
      <w:r w:rsidR="00DB731D" w:rsidRPr="00A52585">
        <w:rPr>
          <w:rFonts w:hint="cs"/>
          <w:sz w:val="24"/>
          <w:szCs w:val="24"/>
          <w:rtl/>
        </w:rPr>
        <w:t>،</w:t>
      </w:r>
      <w:r w:rsidR="00777DCB" w:rsidRPr="00A52585">
        <w:rPr>
          <w:rFonts w:hint="cs"/>
          <w:sz w:val="24"/>
          <w:szCs w:val="24"/>
          <w:rtl/>
        </w:rPr>
        <w:t xml:space="preserve"> على أن هناك بعض الفقهاء الذين منعوا التمسح بالقبر والصلاة عنده سداً للذريعة فقط ومراعاة لأدب الزيارة حيث أن حرمة صاحب القبر ميتاً كحرمته حياً يقول الإمام السبكي في (شفاء السقام) تعليقاً على ادعاء ابن تيمية أن الصحابة والتابعين لم يكونوا يصلون عند القبر ولا يتمسحون به</w:t>
      </w:r>
      <w:r w:rsidRPr="00A52585">
        <w:rPr>
          <w:rFonts w:hint="cs"/>
          <w:sz w:val="24"/>
          <w:szCs w:val="24"/>
          <w:rtl/>
        </w:rPr>
        <w:t xml:space="preserve">: </w:t>
      </w:r>
      <w:r w:rsidR="00777DCB" w:rsidRPr="00A52585">
        <w:rPr>
          <w:rFonts w:hint="cs"/>
          <w:sz w:val="24"/>
          <w:szCs w:val="24"/>
          <w:rtl/>
        </w:rPr>
        <w:t>" ونحن نقول إن من أدب الزيارة ذلك وننهى عن التمسح بالقبر والصلاة عنده، على أن تلك ليس مما قام الإجماع عليه "</w:t>
      </w:r>
      <w:r w:rsidRPr="00A52585">
        <w:rPr>
          <w:rFonts w:hint="cs"/>
          <w:sz w:val="24"/>
          <w:szCs w:val="24"/>
          <w:rtl/>
        </w:rPr>
        <w:t xml:space="preserve"> </w:t>
      </w:r>
      <w:r w:rsidR="00777DCB" w:rsidRPr="00A52585">
        <w:rPr>
          <w:rFonts w:hint="cs"/>
          <w:sz w:val="24"/>
          <w:szCs w:val="24"/>
          <w:rtl/>
        </w:rPr>
        <w:t>أهـ ص 126</w:t>
      </w:r>
      <w:r w:rsidR="00DB731D" w:rsidRPr="00A52585">
        <w:rPr>
          <w:rFonts w:hint="cs"/>
          <w:sz w:val="24"/>
          <w:szCs w:val="24"/>
          <w:rtl/>
        </w:rPr>
        <w:t>،</w:t>
      </w:r>
      <w:r w:rsidR="00777DCB" w:rsidRPr="00A52585">
        <w:rPr>
          <w:rFonts w:hint="cs"/>
          <w:sz w:val="24"/>
          <w:szCs w:val="24"/>
          <w:rtl/>
        </w:rPr>
        <w:t xml:space="preserve"> ويقول الحافظ السيد عبد الله الغماري في كتابه (الرد المحكم المتين) ناصحاً لزائر النبي أو الولي</w:t>
      </w:r>
      <w:r w:rsidRPr="00A52585">
        <w:rPr>
          <w:rFonts w:hint="cs"/>
          <w:sz w:val="24"/>
          <w:szCs w:val="24"/>
          <w:rtl/>
        </w:rPr>
        <w:t xml:space="preserve">: </w:t>
      </w:r>
      <w:r w:rsidR="00777DCB" w:rsidRPr="00A52585">
        <w:rPr>
          <w:rFonts w:hint="cs"/>
          <w:sz w:val="24"/>
          <w:szCs w:val="24"/>
          <w:rtl/>
        </w:rPr>
        <w:t>"واقتصر في زيارتك وتوسلك على الجائز المشروع ودع كل لفظ موهم وكل تعظيم يؤدي بك إلى المحظور الممنوع كتقبيل وتمسح وسجود وركوع "</w:t>
      </w:r>
      <w:r w:rsidRPr="00A52585">
        <w:rPr>
          <w:rFonts w:hint="cs"/>
          <w:sz w:val="24"/>
          <w:szCs w:val="24"/>
          <w:rtl/>
        </w:rPr>
        <w:t xml:space="preserve"> </w:t>
      </w:r>
      <w:r w:rsidR="00777DCB" w:rsidRPr="00A52585">
        <w:rPr>
          <w:rFonts w:hint="cs"/>
          <w:sz w:val="24"/>
          <w:szCs w:val="24"/>
          <w:rtl/>
        </w:rPr>
        <w:t>أهـ ص 273 وأشار بالهامش إلى ما سبق ذكره عن الإمام أحمد وغيره من جواز تقبيل قبر النبي أو غيره</w:t>
      </w:r>
      <w:r w:rsidR="00DB731D" w:rsidRPr="00A52585">
        <w:rPr>
          <w:rFonts w:hint="cs"/>
          <w:sz w:val="24"/>
          <w:szCs w:val="24"/>
          <w:rtl/>
        </w:rPr>
        <w:t>،</w:t>
      </w:r>
      <w:r w:rsidR="00777DCB" w:rsidRPr="00A52585">
        <w:rPr>
          <w:rFonts w:hint="cs"/>
          <w:sz w:val="24"/>
          <w:szCs w:val="24"/>
          <w:rtl/>
        </w:rPr>
        <w:t xml:space="preserve"> وذهب الحافظ ابن عساكر في (التحفة) إلى الجمع بين الرأيين فقال</w:t>
      </w:r>
      <w:r w:rsidRPr="00A52585">
        <w:rPr>
          <w:rFonts w:hint="cs"/>
          <w:sz w:val="24"/>
          <w:szCs w:val="24"/>
          <w:rtl/>
        </w:rPr>
        <w:t xml:space="preserve">: </w:t>
      </w:r>
      <w:r w:rsidR="00777DCB" w:rsidRPr="00A52585">
        <w:rPr>
          <w:rFonts w:hint="cs"/>
          <w:sz w:val="24"/>
          <w:szCs w:val="24"/>
          <w:rtl/>
        </w:rPr>
        <w:t>"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أناة يتأخرون والكل محل خير "</w:t>
      </w:r>
      <w:r w:rsidRPr="00A52585">
        <w:rPr>
          <w:rFonts w:hint="cs"/>
          <w:sz w:val="24"/>
          <w:szCs w:val="24"/>
          <w:rtl/>
        </w:rPr>
        <w:t xml:space="preserve"> </w:t>
      </w:r>
      <w:r w:rsidR="00777DCB" w:rsidRPr="00A52585">
        <w:rPr>
          <w:rFonts w:hint="cs"/>
          <w:sz w:val="24"/>
          <w:szCs w:val="24"/>
          <w:rtl/>
        </w:rPr>
        <w:t xml:space="preserve">أهـ نقلا عن (وفاء الوفا) للسيد </w:t>
      </w:r>
      <w:proofErr w:type="spellStart"/>
      <w:r w:rsidR="00777DCB" w:rsidRPr="00A52585">
        <w:rPr>
          <w:rFonts w:hint="cs"/>
          <w:sz w:val="24"/>
          <w:szCs w:val="24"/>
          <w:rtl/>
        </w:rPr>
        <w:t>السمهودي</w:t>
      </w:r>
      <w:proofErr w:type="spellEnd"/>
      <w:r w:rsidR="00777DCB" w:rsidRPr="00A52585">
        <w:rPr>
          <w:rFonts w:hint="cs"/>
          <w:sz w:val="24"/>
          <w:szCs w:val="24"/>
          <w:rtl/>
        </w:rPr>
        <w:t xml:space="preserve"> ص 1406</w:t>
      </w:r>
      <w:r w:rsidR="00DB731D" w:rsidRPr="00A52585">
        <w:rPr>
          <w:rFonts w:hint="cs"/>
          <w:sz w:val="24"/>
          <w:szCs w:val="24"/>
          <w:rtl/>
        </w:rPr>
        <w:t>،</w:t>
      </w:r>
      <w:r w:rsidR="00777DCB" w:rsidRPr="00A52585">
        <w:rPr>
          <w:rFonts w:hint="cs"/>
          <w:bCs/>
          <w:sz w:val="24"/>
          <w:szCs w:val="24"/>
          <w:rtl/>
        </w:rPr>
        <w:t xml:space="preserve"> ومن كل ما سبق يتضح أن ما يفعله بعض زوار الأنبياء أو الأولياء من تمسح بقبورهم أو تقبيلها أو غير ذلك لا علاقة له </w:t>
      </w:r>
      <w:r w:rsidR="00777DCB" w:rsidRPr="00A52585">
        <w:rPr>
          <w:rFonts w:hint="cs"/>
          <w:bCs/>
          <w:spacing w:val="-2"/>
          <w:sz w:val="24"/>
          <w:szCs w:val="24"/>
          <w:rtl/>
        </w:rPr>
        <w:t>بالشرك أو الكفر</w:t>
      </w:r>
      <w:r w:rsidRPr="00A52585">
        <w:rPr>
          <w:rFonts w:hint="cs"/>
          <w:bCs/>
          <w:spacing w:val="-2"/>
          <w:sz w:val="24"/>
          <w:szCs w:val="24"/>
          <w:rtl/>
        </w:rPr>
        <w:t xml:space="preserve"> </w:t>
      </w:r>
      <w:r w:rsidR="00777DCB" w:rsidRPr="00A52585">
        <w:rPr>
          <w:rFonts w:hint="cs"/>
          <w:bCs/>
          <w:spacing w:val="-2"/>
          <w:sz w:val="24"/>
          <w:szCs w:val="24"/>
          <w:rtl/>
        </w:rPr>
        <w:t>حتى عند من يمنعه وينهى عنه من الفقهاء، ولم يذهب إلى هذا الرأي الشـاذ في تكفير جماهير المسلمين ونسبـتهم</w:t>
      </w:r>
      <w:r w:rsidR="00777DCB" w:rsidRPr="00A52585">
        <w:rPr>
          <w:rFonts w:hint="cs"/>
          <w:bCs/>
          <w:sz w:val="24"/>
          <w:szCs w:val="24"/>
          <w:rtl/>
        </w:rPr>
        <w:t xml:space="preserve"> إلى الإشــراك وإخراجهم من دائرة الإسلام سوى ابن تيمية وأذنابه</w:t>
      </w:r>
      <w:r w:rsidR="00777DCB" w:rsidRPr="00A52585">
        <w:rPr>
          <w:rFonts w:hint="cs"/>
          <w:sz w:val="24"/>
          <w:szCs w:val="24"/>
          <w:rtl/>
        </w:rPr>
        <w:t xml:space="preserve"> معترضين بأنه لما كان تعظيم الكعبة والحجر الأسود ومقام إبراهيم وغير ذلك مأمورا به فلا يعد شركا تقبيلهم والتمسح بهم وأما ما سوى ذلك من قبور الأنبياء والأولياء فيعد شركا لأن الله لم يأمر بذلك عن هذا الاعتراض أجاب الشيخ جعفر سبحانه في كتابه القيم (التوحيد والشرك في القرآن الكريم) بعد أن ضرب أمثله عن سجود الملائكة لآدم عليه السلام وسجود أبوي يوسف عليهم السلام له واســتلام الحجر الأسود وتقبيله ثم قال</w:t>
      </w:r>
      <w:r w:rsidRPr="00A52585">
        <w:rPr>
          <w:rFonts w:hint="cs"/>
          <w:sz w:val="24"/>
          <w:szCs w:val="24"/>
          <w:rtl/>
        </w:rPr>
        <w:t xml:space="preserve">: </w:t>
      </w:r>
      <w:r w:rsidR="00777DCB" w:rsidRPr="00A52585">
        <w:rPr>
          <w:rFonts w:hint="cs"/>
          <w:sz w:val="24"/>
          <w:szCs w:val="24"/>
          <w:rtl/>
        </w:rPr>
        <w:t xml:space="preserve">"فإذا عدت </w:t>
      </w:r>
      <w:r w:rsidR="00777DCB" w:rsidRPr="00A52585">
        <w:rPr>
          <w:rFonts w:hint="cs"/>
          <w:sz w:val="24"/>
          <w:szCs w:val="24"/>
          <w:rtl/>
        </w:rPr>
        <w:lastRenderedPageBreak/>
        <w:t xml:space="preserve">أعمال </w:t>
      </w:r>
      <w:r w:rsidR="00777DCB" w:rsidRPr="00A52585">
        <w:rPr>
          <w:sz w:val="24"/>
          <w:szCs w:val="24"/>
        </w:rPr>
        <w:t>–</w:t>
      </w:r>
      <w:r w:rsidR="00777DCB" w:rsidRPr="00A52585">
        <w:rPr>
          <w:rFonts w:hint="cs"/>
          <w:sz w:val="24"/>
          <w:szCs w:val="24"/>
          <w:rtl/>
        </w:rPr>
        <w:t xml:space="preserve"> كالسجود واستلام الحجر الأسود وما شابههما </w:t>
      </w:r>
      <w:r w:rsidR="00777DCB" w:rsidRPr="00A52585">
        <w:rPr>
          <w:sz w:val="24"/>
          <w:szCs w:val="24"/>
        </w:rPr>
        <w:t>–</w:t>
      </w:r>
      <w:r w:rsidR="00777DCB" w:rsidRPr="00A52585">
        <w:rPr>
          <w:rFonts w:hint="cs"/>
          <w:sz w:val="24"/>
          <w:szCs w:val="24"/>
          <w:rtl/>
        </w:rPr>
        <w:t xml:space="preserve"> عبادة لآدم أو يوسف أو الحجر، وما يقوله القائل من أنها عبادة ذاتاً وطبيعة ولكن حيث تعلق بها الأمر الإلهي خرجت عن الشرك، يستلزم أن تكون هذه الأعمال من الشرك المجاز، وهو قول لا يقبله أي إنسان</w:t>
      </w:r>
      <w:r w:rsidR="00DB731D"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 xml:space="preserve">والخلاصة أن المسألة تدور مدار إما أن نعتبر هذه الأعمال خارجة بطبيعتها عن مفهوم الشرك، أو أن نقول إنها من </w:t>
      </w:r>
      <w:proofErr w:type="spellStart"/>
      <w:r w:rsidR="00777DCB" w:rsidRPr="00A52585">
        <w:rPr>
          <w:rFonts w:hint="cs"/>
          <w:bCs/>
          <w:sz w:val="24"/>
          <w:szCs w:val="24"/>
          <w:rtl/>
        </w:rPr>
        <w:t>مصاديق</w:t>
      </w:r>
      <w:proofErr w:type="spellEnd"/>
      <w:r w:rsidR="00777DCB" w:rsidRPr="00A52585">
        <w:rPr>
          <w:rFonts w:hint="cs"/>
          <w:bCs/>
          <w:sz w:val="24"/>
          <w:szCs w:val="24"/>
          <w:rtl/>
        </w:rPr>
        <w:t xml:space="preserve"> الشرك في العبادة ولكنها شرك أذن الله به وأجازه</w:t>
      </w:r>
      <w:r w:rsidR="00F95886" w:rsidRPr="00A52585">
        <w:rPr>
          <w:rFonts w:hint="cs"/>
          <w:bCs/>
          <w:sz w:val="24"/>
          <w:szCs w:val="24"/>
          <w:rtl/>
        </w:rPr>
        <w:t>!</w:t>
      </w:r>
      <w:r w:rsidR="00777DCB" w:rsidRPr="00A52585">
        <w:rPr>
          <w:rFonts w:hint="cs"/>
          <w:bCs/>
          <w:sz w:val="24"/>
          <w:szCs w:val="24"/>
          <w:rtl/>
        </w:rPr>
        <w:t xml:space="preserve">!! </w:t>
      </w:r>
      <w:r w:rsidR="00777DCB" w:rsidRPr="00A52585">
        <w:rPr>
          <w:rFonts w:hint="cs"/>
          <w:sz w:val="24"/>
          <w:szCs w:val="24"/>
          <w:rtl/>
        </w:rPr>
        <w:t xml:space="preserve">والقول الثاني على درجة من البطلان بحيث لا يمكن أن يحتمله أحد فضلا عن الذهاب إليه وسيوافيك أن بعض الأعمال يمكن أن تكون باعتبار تعظيماً وتواضعاً وباعتبار آخر شركاً، فلو كانت الملائكة </w:t>
      </w:r>
      <w:r w:rsidR="00777DCB" w:rsidRPr="00A52585">
        <w:rPr>
          <w:sz w:val="24"/>
          <w:szCs w:val="24"/>
        </w:rPr>
        <w:t>–</w:t>
      </w:r>
      <w:r w:rsidR="00777DCB" w:rsidRPr="00A52585">
        <w:rPr>
          <w:rFonts w:hint="cs"/>
          <w:sz w:val="24"/>
          <w:szCs w:val="24"/>
          <w:rtl/>
        </w:rPr>
        <w:t xml:space="preserve"> مثلا- تسجد لآدم باعتقاد أنه إله كان عملهم شركاً قطعاً وإن أمر الله به </w:t>
      </w:r>
      <w:r w:rsidR="00777DCB" w:rsidRPr="00A52585">
        <w:rPr>
          <w:sz w:val="24"/>
          <w:szCs w:val="24"/>
        </w:rPr>
        <w:t>–</w:t>
      </w:r>
      <w:r w:rsidR="00777DCB" w:rsidRPr="00A52585">
        <w:rPr>
          <w:rFonts w:hint="cs"/>
          <w:sz w:val="24"/>
          <w:szCs w:val="24"/>
          <w:rtl/>
        </w:rPr>
        <w:t xml:space="preserve"> على وجه الافتراض </w:t>
      </w:r>
      <w:r w:rsidR="00777DCB" w:rsidRPr="00A52585">
        <w:rPr>
          <w:sz w:val="24"/>
          <w:szCs w:val="24"/>
        </w:rPr>
        <w:t>–</w:t>
      </w:r>
      <w:r w:rsidR="00777DCB" w:rsidRPr="00A52585">
        <w:rPr>
          <w:rFonts w:hint="cs"/>
          <w:sz w:val="24"/>
          <w:szCs w:val="24"/>
          <w:rtl/>
        </w:rPr>
        <w:t xml:space="preserve"> وأما إذا كانت تسجد بغير هذا الاعتقاد لم يكن فعلها شركاً حتى لو لم يأمر به المولى جل</w:t>
      </w:r>
      <w:r w:rsidRPr="00A52585">
        <w:rPr>
          <w:rFonts w:hint="cs"/>
          <w:sz w:val="24"/>
          <w:szCs w:val="24"/>
          <w:rtl/>
        </w:rPr>
        <w:t xml:space="preserve"> </w:t>
      </w:r>
      <w:r w:rsidR="00777DCB" w:rsidRPr="00A52585">
        <w:rPr>
          <w:rFonts w:hint="cs"/>
          <w:sz w:val="24"/>
          <w:szCs w:val="24"/>
          <w:rtl/>
        </w:rPr>
        <w:t>شأنه</w:t>
      </w:r>
      <w:r w:rsidR="00DB731D" w:rsidRPr="00A52585">
        <w:rPr>
          <w:rFonts w:hint="cs"/>
          <w:sz w:val="24"/>
          <w:szCs w:val="24"/>
          <w:rtl/>
        </w:rPr>
        <w:t>،</w:t>
      </w:r>
      <w:r w:rsidR="00777DCB" w:rsidRPr="00A52585">
        <w:rPr>
          <w:rFonts w:hint="cs"/>
          <w:sz w:val="24"/>
          <w:szCs w:val="24"/>
          <w:rtl/>
        </w:rPr>
        <w:t xml:space="preserve"> لقد كان الشيخ عبد العزيز إمام المسجد النبوي يحاول توجيه صحة وشرعية هذه الاحترامات بورود الأمر الإلهي بشأنها، ويستشهد بما قاله عمر بن الخطاب حول الحجر الأسود إذ قال </w:t>
      </w:r>
      <w:r w:rsidR="00777DCB" w:rsidRPr="00A52585">
        <w:rPr>
          <w:sz w:val="24"/>
          <w:szCs w:val="24"/>
        </w:rPr>
        <w:t>–</w:t>
      </w:r>
      <w:r w:rsidR="00777DCB" w:rsidRPr="00A52585">
        <w:rPr>
          <w:rFonts w:hint="cs"/>
          <w:sz w:val="24"/>
          <w:szCs w:val="24"/>
          <w:rtl/>
        </w:rPr>
        <w:t xml:space="preserve"> ما مضمونه -</w:t>
      </w:r>
      <w:r w:rsidRPr="00A52585">
        <w:rPr>
          <w:rFonts w:hint="cs"/>
          <w:sz w:val="24"/>
          <w:szCs w:val="24"/>
          <w:rtl/>
        </w:rPr>
        <w:t>:</w:t>
      </w:r>
      <w:r w:rsidR="00777DCB" w:rsidRPr="00A52585">
        <w:rPr>
          <w:rFonts w:hint="cs"/>
          <w:sz w:val="24"/>
          <w:szCs w:val="24"/>
          <w:rtl/>
        </w:rPr>
        <w:t xml:space="preserve"> (إني أعلم أنك حجر لا تنفع ولا تضر ولولا أنى رأيت النبي صلى الله عليه وسلم يقبلك لما قبلتك) </w:t>
      </w:r>
      <w:r w:rsidR="00777DCB" w:rsidRPr="00A52585">
        <w:rPr>
          <w:sz w:val="24"/>
          <w:szCs w:val="24"/>
        </w:rPr>
        <w:t>–</w:t>
      </w:r>
      <w:r w:rsidR="00777DCB" w:rsidRPr="00A52585">
        <w:rPr>
          <w:rFonts w:hint="cs"/>
          <w:sz w:val="24"/>
          <w:szCs w:val="24"/>
          <w:rtl/>
        </w:rPr>
        <w:t xml:space="preserve"> صحيح البخاري ج3 ص 149 كتاب الحج طبعة عثمان خليفة0 وقد قلنا للشيخ</w:t>
      </w:r>
      <w:r w:rsidRPr="00A52585">
        <w:rPr>
          <w:rFonts w:hint="cs"/>
          <w:sz w:val="24"/>
          <w:szCs w:val="24"/>
          <w:rtl/>
        </w:rPr>
        <w:t>:</w:t>
      </w:r>
      <w:r w:rsidR="00777DCB" w:rsidRPr="00A52585">
        <w:rPr>
          <w:rFonts w:hint="cs"/>
          <w:sz w:val="24"/>
          <w:szCs w:val="24"/>
          <w:rtl/>
        </w:rPr>
        <w:t xml:space="preserve"> إن مفاد كلامكم هو أن تكون هذه الأفعال من الشرك المجاز إذن ونلفت نظر الشيخ إلى الآية الكريمة</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 إن الله لا يأمر بالفحشاء</w:t>
      </w:r>
      <w:r w:rsidRPr="00A52585">
        <w:rPr>
          <w:rFonts w:hint="cs"/>
          <w:sz w:val="24"/>
          <w:szCs w:val="24"/>
          <w:rtl/>
        </w:rPr>
        <w:t xml:space="preserve"> </w:t>
      </w:r>
      <w:r w:rsidR="00777DCB" w:rsidRPr="00A52585">
        <w:rPr>
          <w:rFonts w:hint="cs"/>
          <w:sz w:val="24"/>
          <w:szCs w:val="24"/>
          <w:rtl/>
        </w:rPr>
        <w:t>أتقولون على الله مالا تعلمون}</w:t>
      </w:r>
      <w:r w:rsidR="00F95886" w:rsidRPr="00A52585">
        <w:rPr>
          <w:rFonts w:hint="cs"/>
          <w:sz w:val="24"/>
          <w:szCs w:val="24"/>
          <w:rtl/>
        </w:rPr>
        <w:t>؟</w:t>
      </w:r>
      <w:r w:rsidR="00777DCB" w:rsidRPr="00A52585">
        <w:rPr>
          <w:rFonts w:hint="cs"/>
          <w:sz w:val="24"/>
          <w:szCs w:val="24"/>
          <w:rtl/>
        </w:rPr>
        <w:t xml:space="preserve"> (الأعراف 28) فلو كانت ماهية السجود لآدم </w:t>
      </w:r>
      <w:r w:rsidR="00777DCB" w:rsidRPr="00A52585">
        <w:rPr>
          <w:sz w:val="24"/>
          <w:szCs w:val="24"/>
        </w:rPr>
        <w:t>–</w:t>
      </w:r>
      <w:r w:rsidR="00777DCB" w:rsidRPr="00A52585">
        <w:rPr>
          <w:rFonts w:hint="cs"/>
          <w:sz w:val="24"/>
          <w:szCs w:val="24"/>
          <w:rtl/>
        </w:rPr>
        <w:t xml:space="preserve"> ع </w:t>
      </w:r>
      <w:r w:rsidR="00777DCB" w:rsidRPr="00A52585">
        <w:rPr>
          <w:sz w:val="24"/>
          <w:szCs w:val="24"/>
        </w:rPr>
        <w:t>–</w:t>
      </w:r>
      <w:r w:rsidR="00777DCB" w:rsidRPr="00A52585">
        <w:rPr>
          <w:rFonts w:hint="cs"/>
          <w:sz w:val="24"/>
          <w:szCs w:val="24"/>
          <w:rtl/>
        </w:rPr>
        <w:t xml:space="preserve"> واستلام الحجر الأسود عبادة لآدم والحجر وشركا لما كان الله سبحانه يأمر بها أبداً "</w:t>
      </w:r>
      <w:r w:rsidRPr="00A52585">
        <w:rPr>
          <w:rFonts w:hint="cs"/>
          <w:sz w:val="24"/>
          <w:szCs w:val="24"/>
          <w:rtl/>
        </w:rPr>
        <w:t xml:space="preserve"> </w:t>
      </w:r>
      <w:r w:rsidR="00777DCB" w:rsidRPr="00A52585">
        <w:rPr>
          <w:rFonts w:hint="cs"/>
          <w:sz w:val="24"/>
          <w:szCs w:val="24"/>
          <w:rtl/>
        </w:rPr>
        <w:t>أهـ ص 58، 59 ثم قال في موضع آخر</w:t>
      </w:r>
      <w:r w:rsidRPr="00A52585">
        <w:rPr>
          <w:rFonts w:hint="cs"/>
          <w:sz w:val="24"/>
          <w:szCs w:val="24"/>
          <w:rtl/>
        </w:rPr>
        <w:t xml:space="preserve">: </w:t>
      </w:r>
      <w:r w:rsidR="00777DCB" w:rsidRPr="00A52585">
        <w:rPr>
          <w:rFonts w:hint="cs"/>
          <w:sz w:val="24"/>
          <w:szCs w:val="24"/>
          <w:rtl/>
        </w:rPr>
        <w:t>"خلاصة القول في المقام أن أي عمل ينبع من هذا الاعتقاد (أي الاعتقاد بأنه إله العالم أو ربه أو غني في فعله وأنه مصدر للأفعال الإلهية) ويكون كاشفا عن هذا النوع من التسليم المطلق يعد عبادة ويعتبر صاحبه مشركاً إذا فعل ذلك لغير الله</w:t>
      </w:r>
      <w:r w:rsidR="00DB731D" w:rsidRPr="00A52585">
        <w:rPr>
          <w:rFonts w:hint="cs"/>
          <w:sz w:val="24"/>
          <w:szCs w:val="24"/>
          <w:rtl/>
        </w:rPr>
        <w:t>،</w:t>
      </w:r>
      <w:r w:rsidR="00777DCB" w:rsidRPr="00A52585">
        <w:rPr>
          <w:rFonts w:hint="cs"/>
          <w:sz w:val="24"/>
          <w:szCs w:val="24"/>
          <w:rtl/>
        </w:rPr>
        <w:t xml:space="preserve"> ويقابل ذلك</w:t>
      </w:r>
      <w:r w:rsidRPr="00A52585">
        <w:rPr>
          <w:rFonts w:hint="cs"/>
          <w:sz w:val="24"/>
          <w:szCs w:val="24"/>
          <w:rtl/>
        </w:rPr>
        <w:t>:</w:t>
      </w:r>
      <w:r w:rsidR="00777DCB" w:rsidRPr="00A52585">
        <w:rPr>
          <w:rFonts w:hint="cs"/>
          <w:sz w:val="24"/>
          <w:szCs w:val="24"/>
          <w:rtl/>
        </w:rPr>
        <w:t xml:space="preserve"> القول والفعل والخضوع غير النابع من هذا الاعتقاد فخضوع أحد أمام موجود وتكريمه </w:t>
      </w:r>
      <w:r w:rsidR="00777DCB" w:rsidRPr="00A52585">
        <w:rPr>
          <w:sz w:val="24"/>
          <w:szCs w:val="24"/>
        </w:rPr>
        <w:t>–</w:t>
      </w:r>
      <w:r w:rsidR="00777DCB" w:rsidRPr="00A52585">
        <w:rPr>
          <w:rFonts w:hint="cs"/>
          <w:sz w:val="24"/>
          <w:szCs w:val="24"/>
          <w:rtl/>
        </w:rPr>
        <w:t xml:space="preserve"> مبالغاً في ذلك </w:t>
      </w:r>
      <w:r w:rsidR="00777DCB" w:rsidRPr="00A52585">
        <w:rPr>
          <w:sz w:val="24"/>
          <w:szCs w:val="24"/>
        </w:rPr>
        <w:t>–</w:t>
      </w:r>
      <w:r w:rsidR="00777DCB" w:rsidRPr="00A52585">
        <w:rPr>
          <w:rFonts w:hint="cs"/>
          <w:sz w:val="24"/>
          <w:szCs w:val="24"/>
          <w:rtl/>
        </w:rPr>
        <w:t xml:space="preserve"> دون أن ينبع من الاعتقاد بألوهيته لا يكون شركاً ولا عبادة لهذا الموجود وإن كان من الممكن أن يكون حراماً مثل سجود العاشق للمعشوقة أو المرأة لزوجها، فإنها وإن كانت حراماً في الشريعة </w:t>
      </w:r>
      <w:r w:rsidR="00777DCB" w:rsidRPr="00A52585">
        <w:rPr>
          <w:rFonts w:hint="cs"/>
          <w:spacing w:val="-8"/>
          <w:sz w:val="24"/>
          <w:szCs w:val="24"/>
          <w:rtl/>
        </w:rPr>
        <w:t>الإسلامية، لكنها ليست عبادة</w:t>
      </w:r>
      <w:r w:rsidR="00777DCB" w:rsidRPr="00A52585">
        <w:rPr>
          <w:rFonts w:hint="cs"/>
          <w:sz w:val="24"/>
          <w:szCs w:val="24"/>
          <w:rtl/>
        </w:rPr>
        <w:t xml:space="preserve"> فكون الشيء حراماً غير القول بأنه عبادة، فإن حرمة السجود أمام بشر من غير اعتقاد بألوهيته </w:t>
      </w:r>
      <w:proofErr w:type="spellStart"/>
      <w:r w:rsidR="00777DCB" w:rsidRPr="00A52585">
        <w:rPr>
          <w:rFonts w:hint="cs"/>
          <w:sz w:val="24"/>
          <w:szCs w:val="24"/>
          <w:rtl/>
        </w:rPr>
        <w:t>وربوببته</w:t>
      </w:r>
      <w:proofErr w:type="spellEnd"/>
      <w:r w:rsidR="00777DCB" w:rsidRPr="00A52585">
        <w:rPr>
          <w:rFonts w:hint="cs"/>
          <w:sz w:val="24"/>
          <w:szCs w:val="24"/>
          <w:rtl/>
        </w:rPr>
        <w:t xml:space="preserve"> إنما هي لوجه آخر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إن السجود حيث أنه وسيلة عامة للعبادة وحيث أن بها يعبد الله عند جميع الأقوام والملل والشعوب وصار بحيث لا يراد منه إلا العبادة لذلك لم يسمح الإسلام بأن يستفاد من هذه الوسيلة العالمية حتى في الموارد التي لا تكون عبادة وهذا التحريم إنما هو من خصائص الإسلام إذ لم يكن حراماً قبله وإلا لما سجد يعقوب وأبناؤه ليوسف</w:t>
      </w:r>
      <w:r w:rsidR="00777DCB" w:rsidRPr="00A52585">
        <w:rPr>
          <w:sz w:val="24"/>
          <w:szCs w:val="24"/>
        </w:rPr>
        <w:t>–</w:t>
      </w:r>
      <w:r w:rsidR="00777DCB" w:rsidRPr="00A52585">
        <w:rPr>
          <w:rFonts w:hint="cs"/>
          <w:sz w:val="24"/>
          <w:szCs w:val="24"/>
          <w:rtl/>
        </w:rPr>
        <w:t xml:space="preserve"> عليه السلام </w:t>
      </w:r>
      <w:r w:rsidR="00777DCB" w:rsidRPr="00A52585">
        <w:rPr>
          <w:sz w:val="24"/>
          <w:szCs w:val="24"/>
        </w:rPr>
        <w:t>–</w:t>
      </w:r>
      <w:r w:rsidR="00777DCB" w:rsidRPr="00A52585">
        <w:rPr>
          <w:rFonts w:hint="cs"/>
          <w:sz w:val="24"/>
          <w:szCs w:val="24"/>
          <w:rtl/>
        </w:rPr>
        <w:t xml:space="preserve"> إذ يقول</w:t>
      </w:r>
      <w:r w:rsidRPr="00A52585">
        <w:rPr>
          <w:rFonts w:hint="cs"/>
          <w:sz w:val="24"/>
          <w:szCs w:val="24"/>
          <w:rtl/>
        </w:rPr>
        <w:t>:</w:t>
      </w:r>
      <w:r w:rsidR="00777DCB" w:rsidRPr="00A52585">
        <w:rPr>
          <w:rFonts w:hint="cs"/>
          <w:sz w:val="24"/>
          <w:szCs w:val="24"/>
          <w:rtl/>
        </w:rPr>
        <w:t xml:space="preserve"> {ورفع أبويه على العرش وخروّا له سجداً</w:t>
      </w:r>
      <w:r w:rsidRPr="00A52585">
        <w:rPr>
          <w:rFonts w:hint="cs"/>
          <w:sz w:val="24"/>
          <w:szCs w:val="24"/>
          <w:rtl/>
        </w:rPr>
        <w:t>}</w:t>
      </w:r>
      <w:r w:rsidR="00777DCB" w:rsidRPr="00A52585">
        <w:rPr>
          <w:rFonts w:hint="cs"/>
          <w:sz w:val="24"/>
          <w:szCs w:val="24"/>
          <w:rtl/>
        </w:rPr>
        <w:t xml:space="preserve"> (يوسف </w:t>
      </w:r>
      <w:r w:rsidR="00777DCB" w:rsidRPr="00A52585">
        <w:rPr>
          <w:sz w:val="24"/>
          <w:szCs w:val="24"/>
        </w:rPr>
        <w:t>–</w:t>
      </w:r>
      <w:r w:rsidR="00777DCB" w:rsidRPr="00A52585">
        <w:rPr>
          <w:rFonts w:hint="cs"/>
          <w:sz w:val="24"/>
          <w:szCs w:val="24"/>
          <w:rtl/>
        </w:rPr>
        <w:t xml:space="preserve"> 100) "</w:t>
      </w:r>
      <w:r w:rsidRPr="00A52585">
        <w:rPr>
          <w:rFonts w:hint="cs"/>
          <w:sz w:val="24"/>
          <w:szCs w:val="24"/>
          <w:rtl/>
        </w:rPr>
        <w:t xml:space="preserve"> </w:t>
      </w:r>
      <w:r w:rsidR="00777DCB" w:rsidRPr="00A52585">
        <w:rPr>
          <w:rFonts w:hint="cs"/>
          <w:sz w:val="24"/>
          <w:szCs w:val="24"/>
          <w:rtl/>
        </w:rPr>
        <w:t xml:space="preserve">أهـ ص 94 </w:t>
      </w:r>
      <w:r w:rsidR="00777DCB" w:rsidRPr="00A52585">
        <w:rPr>
          <w:sz w:val="24"/>
          <w:szCs w:val="24"/>
        </w:rPr>
        <w:t>–</w:t>
      </w:r>
      <w:r w:rsidR="00777DCB" w:rsidRPr="00A52585">
        <w:rPr>
          <w:rFonts w:hint="cs"/>
          <w:sz w:val="24"/>
          <w:szCs w:val="24"/>
          <w:rtl/>
        </w:rPr>
        <w:t xml:space="preserve"> 95</w:t>
      </w:r>
      <w:r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777DCB" w:rsidRPr="00A52585">
        <w:rPr>
          <w:rFonts w:hint="cs"/>
          <w:rtl/>
        </w:rPr>
        <w:t>وقوله</w:t>
      </w:r>
      <w:r w:rsidRPr="00A52585">
        <w:rPr>
          <w:rFonts w:hint="cs"/>
          <w:rtl/>
        </w:rPr>
        <w:t>:</w:t>
      </w:r>
      <w:r w:rsidR="00777DCB" w:rsidRPr="00A52585">
        <w:rPr>
          <w:rFonts w:hint="cs"/>
          <w:rtl/>
        </w:rPr>
        <w:t xml:space="preserve"> (ولا دعاء هناك) قصة سياقه أن الإجماع على أنه لا يدعو أحد عند القبر وهي دعوى عريضة. ثم أكد ذلك بقوله</w:t>
      </w:r>
      <w:r w:rsidRPr="00A52585">
        <w:rPr>
          <w:rFonts w:hint="cs"/>
          <w:rtl/>
        </w:rPr>
        <w:t>:</w:t>
      </w:r>
      <w:r w:rsidR="00777DCB" w:rsidRPr="00A52585">
        <w:rPr>
          <w:rFonts w:hint="cs"/>
          <w:rtl/>
        </w:rPr>
        <w:t xml:space="preserve"> (إنما يفعلونه في المسجد) ثم أردف ذلك بقوله</w:t>
      </w:r>
      <w:r w:rsidRPr="00A52585">
        <w:rPr>
          <w:rFonts w:hint="cs"/>
          <w:rtl/>
        </w:rPr>
        <w:t>:</w:t>
      </w:r>
      <w:r w:rsidR="00777DCB" w:rsidRPr="00A52585">
        <w:rPr>
          <w:rFonts w:hint="cs"/>
          <w:rtl/>
        </w:rPr>
        <w:t xml:space="preserve"> (وكان السلف من الصحابة والتابعين إذا سلموا عليه وأرادوا الدعاء دعوا مستقبلي القبلة ولم يستقبلوا القبر) ثم قال</w:t>
      </w:r>
      <w:r w:rsidRPr="00A52585">
        <w:rPr>
          <w:rFonts w:hint="cs"/>
          <w:rtl/>
        </w:rPr>
        <w:t>:</w:t>
      </w:r>
      <w:r w:rsidR="00777DCB" w:rsidRPr="00A52585">
        <w:rPr>
          <w:rFonts w:hint="cs"/>
          <w:rtl/>
        </w:rPr>
        <w:t xml:space="preserve"> (وأما وقت السلام فقال أبو حنيفة يستقبل القبلة ولا يستقبل القبر. وقال أكثر الأئمة</w:t>
      </w:r>
      <w:r w:rsidRPr="00A52585">
        <w:rPr>
          <w:rFonts w:hint="cs"/>
          <w:rtl/>
        </w:rPr>
        <w:t>:</w:t>
      </w:r>
      <w:r w:rsidR="00777DCB" w:rsidRPr="00A52585">
        <w:rPr>
          <w:rFonts w:hint="cs"/>
          <w:rtl/>
        </w:rPr>
        <w:t xml:space="preserve"> يستقبل القبر عند السلام خاصة. ولم يقل أحد من الأئمة أنه يستقبل القبر عند الدعاء إلا في حكاية مكذوبة عن مالك وعن مذهبه بخلافها)</w:t>
      </w:r>
      <w:r w:rsidR="00DB731D" w:rsidRPr="00A52585">
        <w:rPr>
          <w:rFonts w:hint="cs"/>
          <w:rtl/>
        </w:rPr>
        <w:t>،</w:t>
      </w:r>
      <w:r w:rsidR="00777DCB" w:rsidRPr="00A52585">
        <w:rPr>
          <w:rFonts w:hint="cs"/>
          <w:rtl/>
        </w:rPr>
        <w:t xml:space="preserve"> ثم أردف هذا بأمور </w:t>
      </w:r>
      <w:proofErr w:type="spellStart"/>
      <w:r w:rsidR="00777DCB" w:rsidRPr="00A52585">
        <w:rPr>
          <w:rFonts w:hint="cs"/>
          <w:rtl/>
        </w:rPr>
        <w:t>يجشر</w:t>
      </w:r>
      <w:proofErr w:type="spellEnd"/>
      <w:r w:rsidR="00777DCB" w:rsidRPr="00A52585">
        <w:rPr>
          <w:rFonts w:hint="cs"/>
          <w:rtl/>
        </w:rPr>
        <w:t xml:space="preserve"> بها على الأغمار يتخيل </w:t>
      </w:r>
      <w:r w:rsidR="00777DCB" w:rsidRPr="00A52585">
        <w:rPr>
          <w:rFonts w:hint="cs"/>
          <w:rtl/>
        </w:rPr>
        <w:lastRenderedPageBreak/>
        <w:t>الواقف عليها من العوام حسم باب الزيارة لقبره عليه الصلاة والسلام</w:t>
      </w:r>
      <w:r w:rsidR="00DB731D" w:rsidRPr="00A52585">
        <w:rPr>
          <w:rFonts w:hint="cs"/>
          <w:rtl/>
        </w:rPr>
        <w:t>،</w:t>
      </w:r>
      <w:r w:rsidR="00777DCB" w:rsidRPr="00A52585">
        <w:rPr>
          <w:rFonts w:hint="cs"/>
          <w:rtl/>
        </w:rPr>
        <w:t xml:space="preserve"> والحاصل من كلامه أنه لا يدعى عند القبر بالاتفاق ولا يستقبل القبر عند الدعاء بالإجماع وأن الحكاية التي وقعت بين مالك وبين وأبي جعفر المنصور كذب</w:t>
      </w:r>
      <w:r w:rsidR="00F95886" w:rsidRPr="00A52585">
        <w:rPr>
          <w:rFonts w:hint="cs"/>
          <w:rtl/>
        </w:rPr>
        <w:t>!!</w:t>
      </w:r>
      <w:r w:rsidR="00777DCB" w:rsidRPr="00A52585">
        <w:rPr>
          <w:rFonts w:hint="cs"/>
          <w:rtl/>
        </w:rPr>
        <w:t xml:space="preserve"> وهذا سبحانك بهتان عظيم</w:t>
      </w:r>
      <w:r w:rsidR="00F95886" w:rsidRPr="00A52585">
        <w:rPr>
          <w:rFonts w:hint="cs"/>
          <w:rtl/>
        </w:rPr>
        <w:t>!!</w:t>
      </w:r>
      <w:r w:rsidR="00777DCB" w:rsidRPr="00A52585">
        <w:rPr>
          <w:rFonts w:hint="cs"/>
          <w:rtl/>
        </w:rPr>
        <w:t xml:space="preserve"> من الفجور الذي لا أعلم أحد فاه به ولا رمز إليه لا من العلماء ولا من غيرهم</w:t>
      </w:r>
      <w:r w:rsidR="00DB731D" w:rsidRPr="00A52585">
        <w:rPr>
          <w:rFonts w:hint="cs"/>
          <w:rtl/>
        </w:rPr>
        <w:t>،</w:t>
      </w:r>
      <w:r w:rsidR="00777DCB" w:rsidRPr="00A52585">
        <w:rPr>
          <w:rFonts w:hint="cs"/>
          <w:rtl/>
        </w:rPr>
        <w:t xml:space="preserve"> أما قصة مالك مع المنصور فقد ذكرتها في الكلام على التوسل وإنها صحيحة بلا نزاع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مر في خبر أسامة بن زيد عند الإمام أحمد أنه كان يدعو بجوار القبر الشريف وفي الروايتان عن الطبراني وابن حبان كان يصلي والصلاة تتضمن الدعاء قطعاً</w:t>
      </w:r>
      <w:r w:rsidRPr="00A52585">
        <w:rPr>
          <w:rFonts w:hint="cs"/>
          <w:sz w:val="24"/>
          <w:szCs w:val="24"/>
          <w:rtl/>
        </w:rPr>
        <w:t>]</w:t>
      </w:r>
      <w:r w:rsidR="00DB731D" w:rsidRPr="00A52585">
        <w:rPr>
          <w:rFonts w:hint="cs"/>
          <w:rtl/>
        </w:rPr>
        <w:t>،</w:t>
      </w:r>
      <w:r w:rsidR="00777DCB" w:rsidRPr="00A52585">
        <w:rPr>
          <w:rFonts w:hint="cs"/>
          <w:rtl/>
        </w:rPr>
        <w:t xml:space="preserve"> وأما الدعاء عند القبر فقد ذكره خلق</w:t>
      </w:r>
      <w:r w:rsidR="00DB731D" w:rsidRPr="00A52585">
        <w:rPr>
          <w:rFonts w:hint="cs"/>
          <w:rtl/>
        </w:rPr>
        <w:t>،</w:t>
      </w:r>
      <w:r w:rsidR="00777DCB" w:rsidRPr="00A52585">
        <w:rPr>
          <w:rFonts w:hint="cs"/>
          <w:rtl/>
        </w:rPr>
        <w:t xml:space="preserve"> ومنهم الإمام مالك وقد نص على أنه يقف عند القبر ويقف كما يقف الحاج عند البيت للوداع ويدعو</w:t>
      </w:r>
      <w:r w:rsidR="00DB731D" w:rsidRPr="00A52585">
        <w:rPr>
          <w:rFonts w:hint="cs"/>
          <w:rtl/>
        </w:rPr>
        <w:t>،</w:t>
      </w:r>
      <w:r w:rsidR="00777DCB" w:rsidRPr="00A52585">
        <w:rPr>
          <w:rFonts w:hint="cs"/>
          <w:rtl/>
        </w:rPr>
        <w:t xml:space="preserve"> وفيه المبالغة في طول الوقوف والدعاء. وقد ذكره ابن المواز في الموازية فأفاد ذلك أن إتيان قبر النبي صلى الله عليه وسلم والوقوف عنده والدعاء عنده من الأمور المعلومة عند مالك وأن عمل الناس على ذلك قبله وفي زمنه</w:t>
      </w:r>
      <w:r w:rsidR="00DB731D" w:rsidRPr="00A52585">
        <w:rPr>
          <w:rFonts w:hint="cs"/>
          <w:rtl/>
        </w:rPr>
        <w:t>،</w:t>
      </w:r>
      <w:r w:rsidR="00777DCB" w:rsidRPr="00A52585">
        <w:rPr>
          <w:rFonts w:hint="cs"/>
          <w:rtl/>
        </w:rPr>
        <w:t xml:space="preserve"> ولو كان الأمر على خلاف ذلك لأنكره فضلا عن أن يفتي به أو يقر عليه</w:t>
      </w:r>
      <w:r w:rsidR="00DB731D" w:rsidRPr="00A52585">
        <w:rPr>
          <w:rFonts w:hint="cs"/>
          <w:rtl/>
        </w:rPr>
        <w:t>،</w:t>
      </w:r>
      <w:r w:rsidR="00777DCB" w:rsidRPr="00A52585">
        <w:rPr>
          <w:rFonts w:hint="cs"/>
          <w:rtl/>
        </w:rPr>
        <w:t xml:space="preserve"> وقال مالك في رواية ابن وهب</w:t>
      </w:r>
      <w:r w:rsidRPr="00A52585">
        <w:rPr>
          <w:rFonts w:hint="cs"/>
          <w:rtl/>
        </w:rPr>
        <w:t>:</w:t>
      </w:r>
      <w:r w:rsidR="00777DCB" w:rsidRPr="00A52585">
        <w:rPr>
          <w:rFonts w:hint="cs"/>
          <w:rtl/>
        </w:rPr>
        <w:t xml:space="preserve"> إذا سلم على النبي صلى الله عليه وسلم ودعا يقف ووجهه إلى القبر لا إلى القبلة ويدعو ويسلم ولا يمس القبر بيده</w:t>
      </w:r>
      <w:r w:rsidR="00DB731D" w:rsidRPr="00A52585">
        <w:rPr>
          <w:rFonts w:hint="cs"/>
          <w:rtl/>
        </w:rPr>
        <w:t>،</w:t>
      </w:r>
      <w:r w:rsidR="00777DCB" w:rsidRPr="00A52585">
        <w:rPr>
          <w:rFonts w:hint="cs"/>
          <w:rtl/>
        </w:rPr>
        <w:t xml:space="preserve"> نعم في المبسوطة</w:t>
      </w:r>
      <w:r w:rsidRPr="00A52585">
        <w:rPr>
          <w:rFonts w:hint="cs"/>
          <w:rtl/>
        </w:rPr>
        <w:t>:</w:t>
      </w:r>
      <w:r w:rsidR="00777DCB" w:rsidRPr="00A52585">
        <w:rPr>
          <w:rFonts w:hint="cs"/>
          <w:rtl/>
        </w:rPr>
        <w:t xml:space="preserve"> لا أرى أنه يقف عنده يدعو ولكن يسلم ويمضي وإنما ذكرت كلام المبسوطة لأن من حق العالم الذي يؤخذ بكلامه أن يذكر ماله وما عليه لأن ذلك من الدين</w:t>
      </w:r>
      <w:r w:rsidR="00DB731D" w:rsidRPr="00A52585">
        <w:rPr>
          <w:rFonts w:hint="cs"/>
          <w:rtl/>
        </w:rPr>
        <w:t>،</w:t>
      </w:r>
      <w:r w:rsidR="00777DCB" w:rsidRPr="00A52585">
        <w:rPr>
          <w:rFonts w:hint="cs"/>
          <w:rtl/>
        </w:rPr>
        <w:t xml:space="preserve"> وقال الإمام أبو عبد الله محمد بن عبد الله السامري في كتاب (المستوعب) في باب زيارة قبر النبي صلى الله عليه وسلم</w:t>
      </w:r>
      <w:r w:rsidRPr="00A52585">
        <w:rPr>
          <w:rFonts w:hint="cs"/>
          <w:rtl/>
        </w:rPr>
        <w:t>:</w:t>
      </w:r>
      <w:r w:rsidR="00777DCB" w:rsidRPr="00A52585">
        <w:rPr>
          <w:rFonts w:hint="cs"/>
          <w:rtl/>
        </w:rPr>
        <w:t xml:space="preserve"> وإذا قدم المدينة رسول الله صلى الله عليه وسلم استحب له أن يغتسل لدخوله ثم يأتي مسجد رسول الله صلى الله عليه وسلم ويقدم رجله اليمنى في الدخول ثم يأتي حائط القبر فيقف ناحيته ويجعل القبر تلقاء وجهه والقبلة خلف ظهره والمنبر عن يساره. ثم ذكر كيفية السلام والدعاء وأطال ومنه</w:t>
      </w:r>
      <w:r w:rsidRPr="00A52585">
        <w:rPr>
          <w:rFonts w:hint="cs"/>
          <w:rtl/>
        </w:rPr>
        <w:t>:</w:t>
      </w:r>
      <w:r w:rsidR="00777DCB" w:rsidRPr="00A52585">
        <w:rPr>
          <w:rFonts w:hint="cs"/>
          <w:rtl/>
        </w:rPr>
        <w:t xml:space="preserve"> اللهم إنك قلت في كتابك لنبيك عليه الصلاة والسلام </w:t>
      </w:r>
      <w:r w:rsidRPr="00A52585">
        <w:rPr>
          <w:rFonts w:hint="cs"/>
          <w:rtl/>
        </w:rPr>
        <w:t>{</w:t>
      </w:r>
      <w:r w:rsidR="00777DCB" w:rsidRPr="00A52585">
        <w:rPr>
          <w:rFonts w:hint="cs"/>
          <w:rtl/>
        </w:rPr>
        <w:t xml:space="preserve">ولو أنهم إذ ظلموا أنفسهم </w:t>
      </w:r>
      <w:proofErr w:type="spellStart"/>
      <w:r w:rsidR="00777DCB" w:rsidRPr="00A52585">
        <w:rPr>
          <w:rFonts w:hint="cs"/>
          <w:rtl/>
        </w:rPr>
        <w:t>جاؤك</w:t>
      </w:r>
      <w:proofErr w:type="spellEnd"/>
      <w:r w:rsidRPr="00A52585">
        <w:rPr>
          <w:rFonts w:hint="cs"/>
          <w:rtl/>
        </w:rPr>
        <w:t>}</w:t>
      </w:r>
      <w:r w:rsidR="00777DCB" w:rsidRPr="00A52585">
        <w:rPr>
          <w:rFonts w:hint="cs"/>
          <w:rtl/>
        </w:rPr>
        <w:t xml:space="preserve"> الآية وإني قد أتيتك مستغفراً فأسألك أن توجب لي المغفرة كما أوجبتها لمن أتاه في حال حياته</w:t>
      </w:r>
      <w:r w:rsidR="00DB731D" w:rsidRPr="00A52585">
        <w:rPr>
          <w:rFonts w:hint="cs"/>
          <w:rtl/>
        </w:rPr>
        <w:t>،</w:t>
      </w:r>
      <w:r w:rsidR="00777DCB" w:rsidRPr="00A52585">
        <w:rPr>
          <w:rFonts w:hint="cs"/>
          <w:rtl/>
        </w:rPr>
        <w:t xml:space="preserve"> اللهم إني أتوجه إليك بنبيك. وذكر دعاء طويلاً ثم قال</w:t>
      </w:r>
      <w:r w:rsidRPr="00A52585">
        <w:rPr>
          <w:rFonts w:hint="cs"/>
          <w:rtl/>
        </w:rPr>
        <w:t>:</w:t>
      </w:r>
      <w:r w:rsidR="00777DCB" w:rsidRPr="00A52585">
        <w:rPr>
          <w:rFonts w:hint="cs"/>
          <w:rtl/>
        </w:rPr>
        <w:t xml:space="preserve"> وإذا أراد الخروج عاد إلى القبر فودع</w:t>
      </w:r>
      <w:r w:rsidR="00DB731D" w:rsidRPr="00A52585">
        <w:rPr>
          <w:rFonts w:hint="cs"/>
          <w:rtl/>
        </w:rPr>
        <w:t>،</w:t>
      </w:r>
      <w:r w:rsidR="00777DCB" w:rsidRPr="00A52585">
        <w:rPr>
          <w:rFonts w:hint="cs"/>
          <w:rtl/>
        </w:rPr>
        <w:t xml:space="preserve"> وهذا أبو عبد الله من أئمة الحنابلة وساق هذا الكلام سياق المتفق عليه ومن جملة ما أفاد أنه يتوسل بالنبي صلى الله عليه وسلم ويتوجه به بعد وفاته كما في حياته</w:t>
      </w:r>
      <w:r w:rsidR="00DB731D" w:rsidRPr="00A52585">
        <w:rPr>
          <w:rFonts w:hint="cs"/>
          <w:rtl/>
        </w:rPr>
        <w:t>،</w:t>
      </w:r>
      <w:r w:rsidR="00777DCB" w:rsidRPr="00A52585">
        <w:rPr>
          <w:rFonts w:hint="cs"/>
          <w:rtl/>
        </w:rPr>
        <w:t xml:space="preserve"> وأن الآية عامة وشاملة للحياة وبعد الوفاة فتنبه لذلك</w:t>
      </w:r>
      <w:r w:rsidR="00DB731D" w:rsidRPr="00A52585">
        <w:rPr>
          <w:rFonts w:hint="cs"/>
          <w:rtl/>
        </w:rPr>
        <w:t>،</w:t>
      </w:r>
      <w:r w:rsidR="00777DCB" w:rsidRPr="00A52585">
        <w:rPr>
          <w:rFonts w:hint="cs"/>
          <w:rtl/>
        </w:rPr>
        <w:t xml:space="preserve"> وكذلك ذكر أبو منصور الكرماني من الحنفية</w:t>
      </w:r>
      <w:r w:rsidRPr="00A52585">
        <w:rPr>
          <w:rFonts w:hint="cs"/>
          <w:rtl/>
        </w:rPr>
        <w:t>:</w:t>
      </w:r>
      <w:r w:rsidR="00777DCB" w:rsidRPr="00A52585">
        <w:rPr>
          <w:rFonts w:hint="cs"/>
          <w:rtl/>
        </w:rPr>
        <w:t xml:space="preserve"> أنه يدعو ويطيل الدعاء عند القبر المكرم</w:t>
      </w:r>
      <w:r w:rsidR="00DB731D" w:rsidRPr="00A52585">
        <w:rPr>
          <w:rFonts w:hint="cs"/>
          <w:rtl/>
        </w:rPr>
        <w:t>،</w:t>
      </w:r>
      <w:r w:rsidR="00777DCB" w:rsidRPr="00A52585">
        <w:rPr>
          <w:rFonts w:hint="cs"/>
          <w:rtl/>
        </w:rPr>
        <w:t xml:space="preserve"> وقال الإمام أبو زكريا النووي في مناسكه وغيره</w:t>
      </w:r>
      <w:r w:rsidRPr="00A52585">
        <w:rPr>
          <w:rFonts w:hint="cs"/>
          <w:rtl/>
        </w:rPr>
        <w:t>:</w:t>
      </w:r>
      <w:r w:rsidR="00777DCB" w:rsidRPr="00A52585">
        <w:rPr>
          <w:rFonts w:hint="cs"/>
          <w:rtl/>
        </w:rPr>
        <w:t xml:space="preserve"> فصل في زيارة قبر النبي صلى الله عليه وسلم وذكر كلاماً مطولاً ثم قال</w:t>
      </w:r>
      <w:r w:rsidRPr="00A52585">
        <w:rPr>
          <w:rFonts w:hint="cs"/>
          <w:rtl/>
        </w:rPr>
        <w:t>:</w:t>
      </w:r>
      <w:r w:rsidR="00777DCB" w:rsidRPr="00A52585">
        <w:rPr>
          <w:rFonts w:hint="cs"/>
          <w:rtl/>
        </w:rPr>
        <w:t xml:space="preserve"> فإذا صلى تحية المسجد أتى القبر </w:t>
      </w:r>
      <w:proofErr w:type="spellStart"/>
      <w:r w:rsidR="00777DCB" w:rsidRPr="00A52585">
        <w:rPr>
          <w:rFonts w:hint="cs"/>
          <w:rtl/>
        </w:rPr>
        <w:t>فاسقبله</w:t>
      </w:r>
      <w:proofErr w:type="spellEnd"/>
      <w:r w:rsidR="00777DCB" w:rsidRPr="00A52585">
        <w:rPr>
          <w:rFonts w:hint="cs"/>
          <w:rtl/>
        </w:rPr>
        <w:t xml:space="preserve"> واستدبر القبلة على نحو </w:t>
      </w:r>
      <w:r w:rsidR="00777DCB" w:rsidRPr="00A52585">
        <w:rPr>
          <w:rFonts w:hint="cs"/>
          <w:rtl/>
        </w:rPr>
        <w:lastRenderedPageBreak/>
        <w:t>أربعة أذرع من جدار القبر وسلم مقتصداً لا يرفع صوته وذكر كيفية السلام ثم قال</w:t>
      </w:r>
      <w:r w:rsidRPr="00A52585">
        <w:rPr>
          <w:rFonts w:hint="cs"/>
          <w:rtl/>
        </w:rPr>
        <w:t>:</w:t>
      </w:r>
      <w:r w:rsidR="00777DCB" w:rsidRPr="00A52585">
        <w:rPr>
          <w:rFonts w:hint="cs"/>
          <w:rtl/>
        </w:rPr>
        <w:t xml:space="preserve"> ويجتهد في إكثار الدعاء</w:t>
      </w:r>
      <w:r w:rsidR="00DB731D" w:rsidRPr="00A52585">
        <w:rPr>
          <w:rFonts w:hint="cs"/>
          <w:rtl/>
        </w:rPr>
        <w:t>،</w:t>
      </w:r>
      <w:r w:rsidR="00777DCB" w:rsidRPr="00A52585">
        <w:rPr>
          <w:rFonts w:hint="cs"/>
          <w:rtl/>
        </w:rPr>
        <w:t xml:space="preserve"> ويغتنم هذا الموقف الشريف إلى آخره</w:t>
      </w:r>
      <w:r w:rsidR="00DB731D" w:rsidRPr="00A52585">
        <w:rPr>
          <w:rFonts w:hint="cs"/>
          <w:rtl/>
        </w:rPr>
        <w:t>،</w:t>
      </w:r>
      <w:r w:rsidR="00777DCB" w:rsidRPr="00A52585">
        <w:rPr>
          <w:rFonts w:hint="cs"/>
          <w:rtl/>
        </w:rPr>
        <w:t xml:space="preserve"> فهذه نقول الأئمة بتطويل الدعاء عند القبر المكرم وقد خاب من افترى وكل أحد تلحقه الخيبة على قدر فريته</w:t>
      </w:r>
      <w:r w:rsidR="00DB731D" w:rsidRPr="00A52585">
        <w:rPr>
          <w:rFonts w:hint="cs"/>
          <w:vertAlign w:val="superscript"/>
          <w:rtl/>
        </w:rPr>
        <w:t>،</w:t>
      </w:r>
      <w:r w:rsidR="00777DCB" w:rsidRPr="00A52585">
        <w:rPr>
          <w:rFonts w:hint="cs"/>
          <w:rtl/>
        </w:rPr>
        <w:t xml:space="preserve"> وقوله</w:t>
      </w:r>
      <w:r w:rsidRPr="00A52585">
        <w:rPr>
          <w:rFonts w:hint="cs"/>
          <w:rtl/>
        </w:rPr>
        <w:t>:</w:t>
      </w:r>
      <w:r w:rsidR="00777DCB" w:rsidRPr="00A52585">
        <w:rPr>
          <w:rFonts w:hint="cs"/>
          <w:rtl/>
        </w:rPr>
        <w:t xml:space="preserve"> (وهذا كله محافظة على التوحيد فإن من أصول الشرك بالله اتخاذ القبور مساجد</w:t>
      </w:r>
      <w:r w:rsidR="00DB731D" w:rsidRPr="00A52585">
        <w:rPr>
          <w:rFonts w:hint="cs"/>
          <w:rtl/>
        </w:rPr>
        <w:t>،</w:t>
      </w:r>
      <w:r w:rsidR="00777DCB" w:rsidRPr="00A52585">
        <w:rPr>
          <w:rFonts w:hint="cs"/>
          <w:rtl/>
        </w:rPr>
        <w:t xml:space="preserve"> كما قال طائفة من السلف في قوله تعالى </w:t>
      </w:r>
      <w:r w:rsidRPr="00A52585">
        <w:rPr>
          <w:rFonts w:hint="cs"/>
          <w:rtl/>
        </w:rPr>
        <w:t>{</w:t>
      </w:r>
      <w:r w:rsidR="00777DCB" w:rsidRPr="00A52585">
        <w:rPr>
          <w:rFonts w:hint="cs"/>
          <w:rtl/>
        </w:rPr>
        <w:t>لا تذرن آلهتكم ولا تذرن وداً ولا سواعاً ولا يغوث ويعوق ونسراً وقد أضلوا كثيرا</w:t>
      </w:r>
      <w:r w:rsidRPr="00A52585">
        <w:rPr>
          <w:rFonts w:hint="cs"/>
          <w:rtl/>
        </w:rPr>
        <w:t>}</w:t>
      </w:r>
      <w:r w:rsidR="00777DCB" w:rsidRPr="00A52585">
        <w:rPr>
          <w:rFonts w:hint="cs"/>
          <w:rtl/>
        </w:rPr>
        <w:t xml:space="preserve"> قالوا</w:t>
      </w:r>
      <w:r w:rsidRPr="00A52585">
        <w:rPr>
          <w:rFonts w:hint="cs"/>
          <w:rtl/>
        </w:rPr>
        <w:t>:</w:t>
      </w:r>
      <w:r w:rsidR="00777DCB" w:rsidRPr="00A52585">
        <w:rPr>
          <w:rFonts w:hint="cs"/>
          <w:rtl/>
        </w:rPr>
        <w:t xml:space="preserve"> كان هؤلاء قوماً صالحين في قوم نوح فلما ماتوا اعتكفوا على </w:t>
      </w:r>
      <w:r w:rsidR="00777DCB" w:rsidRPr="00A52585">
        <w:rPr>
          <w:rFonts w:hint="cs"/>
          <w:spacing w:val="-4"/>
          <w:rtl/>
        </w:rPr>
        <w:t>قبورهم ثم صورا على صورهم تماثيل ثم طال عليهم الأمد فعبدوها</w:t>
      </w:r>
      <w:r w:rsidR="00DB731D" w:rsidRPr="00A52585">
        <w:rPr>
          <w:rFonts w:hint="cs"/>
          <w:spacing w:val="-4"/>
          <w:rtl/>
        </w:rPr>
        <w:t>،</w:t>
      </w:r>
      <w:r w:rsidR="00777DCB" w:rsidRPr="00A52585">
        <w:rPr>
          <w:rFonts w:hint="cs"/>
          <w:spacing w:val="-4"/>
          <w:rtl/>
        </w:rPr>
        <w:t xml:space="preserve"> وقد ذكر هذا المعنى البخاري في صحيحه عن ابن عباس رضي الله عنهما وذكر ابن جرير الطبري في التفسير وغيره عن غير واحد من </w:t>
      </w:r>
      <w:r w:rsidR="00777DCB" w:rsidRPr="00A52585">
        <w:rPr>
          <w:rFonts w:hint="cs"/>
          <w:rtl/>
        </w:rPr>
        <w:t>السلف إلى آخره</w:t>
      </w:r>
      <w:r w:rsidRPr="00A52585">
        <w:rPr>
          <w:rFonts w:hint="cs"/>
          <w:spacing w:val="-4"/>
          <w:vertAlign w:val="superscript"/>
          <w:rtl/>
        </w:rPr>
        <w:t xml:space="preserve"> </w:t>
      </w:r>
      <w:r w:rsidRPr="00A52585">
        <w:rPr>
          <w:rFonts w:hint="cs"/>
          <w:spacing w:val="-4"/>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العلامة السيد داود </w:t>
      </w:r>
      <w:proofErr w:type="spellStart"/>
      <w:r w:rsidR="00777DCB" w:rsidRPr="00A52585">
        <w:rPr>
          <w:rFonts w:hint="cs"/>
          <w:sz w:val="24"/>
          <w:szCs w:val="24"/>
          <w:rtl/>
        </w:rPr>
        <w:t>النقشبندي</w:t>
      </w:r>
      <w:proofErr w:type="spellEnd"/>
      <w:r w:rsidR="00777DCB" w:rsidRPr="00A52585">
        <w:rPr>
          <w:rFonts w:hint="cs"/>
          <w:sz w:val="24"/>
          <w:szCs w:val="24"/>
          <w:rtl/>
        </w:rPr>
        <w:t xml:space="preserve"> في (صلح الإخوان) ص 139-141</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bCs/>
          <w:sz w:val="24"/>
          <w:szCs w:val="24"/>
          <w:rtl/>
        </w:rPr>
        <w:t>الشبهة السادسة</w:t>
      </w:r>
      <w:r w:rsidRPr="00A52585">
        <w:rPr>
          <w:rFonts w:hint="cs"/>
          <w:bCs/>
          <w:sz w:val="24"/>
          <w:szCs w:val="24"/>
          <w:rtl/>
        </w:rPr>
        <w:t>):</w:t>
      </w:r>
      <w:r w:rsidR="00777DCB" w:rsidRPr="00A52585">
        <w:rPr>
          <w:rFonts w:hint="cs"/>
          <w:sz w:val="24"/>
          <w:szCs w:val="24"/>
          <w:rtl/>
        </w:rPr>
        <w:t xml:space="preserve"> استدلوا بتفسير بن عباس في رواية عنه في قوله تعالى </w:t>
      </w:r>
      <w:r w:rsidRPr="00A52585">
        <w:rPr>
          <w:rFonts w:hint="cs"/>
          <w:sz w:val="24"/>
          <w:szCs w:val="24"/>
          <w:rtl/>
        </w:rPr>
        <w:t>{</w:t>
      </w:r>
      <w:r w:rsidR="00777DCB" w:rsidRPr="00A52585">
        <w:rPr>
          <w:rFonts w:hint="cs"/>
          <w:sz w:val="24"/>
          <w:szCs w:val="24"/>
          <w:rtl/>
        </w:rPr>
        <w:t>لا تذرن ألهتكم ولا تذرن ودا ولا سواعا ولا يغوث ويعوق ونسرا</w:t>
      </w:r>
      <w:r w:rsidRPr="00A52585">
        <w:rPr>
          <w:rFonts w:hint="cs"/>
          <w:sz w:val="24"/>
          <w:szCs w:val="24"/>
          <w:rtl/>
        </w:rPr>
        <w:t xml:space="preserve">} </w:t>
      </w:r>
      <w:proofErr w:type="spellStart"/>
      <w:r w:rsidR="00777DCB" w:rsidRPr="00A52585">
        <w:rPr>
          <w:rFonts w:hint="cs"/>
          <w:sz w:val="24"/>
          <w:szCs w:val="24"/>
          <w:rtl/>
        </w:rPr>
        <w:t>وبقرائته</w:t>
      </w:r>
      <w:proofErr w:type="spellEnd"/>
      <w:r w:rsidR="00777DCB" w:rsidRPr="00A52585">
        <w:rPr>
          <w:rFonts w:hint="cs"/>
          <w:sz w:val="24"/>
          <w:szCs w:val="24"/>
          <w:rtl/>
        </w:rPr>
        <w:t xml:space="preserve"> أفرأيتم اللاتّ بشديد التاء وأنهم كانوا أناسا صالحين فعبدوهم من دون الله هكذا يذكر الخوارج </w:t>
      </w:r>
      <w:proofErr w:type="spellStart"/>
      <w:r w:rsidR="00777DCB" w:rsidRPr="00A52585">
        <w:rPr>
          <w:rFonts w:hint="cs"/>
          <w:sz w:val="24"/>
          <w:szCs w:val="24"/>
          <w:rtl/>
        </w:rPr>
        <w:t>المكفرون</w:t>
      </w:r>
      <w:proofErr w:type="spellEnd"/>
      <w:r w:rsidR="00777DCB" w:rsidRPr="00A52585">
        <w:rPr>
          <w:rFonts w:hint="cs"/>
          <w:sz w:val="24"/>
          <w:szCs w:val="24"/>
          <w:rtl/>
        </w:rPr>
        <w:t xml:space="preserve"> للمسلمين يقولون (فعبدوهم) </w:t>
      </w:r>
      <w:r w:rsidR="00777DCB" w:rsidRPr="00A52585">
        <w:rPr>
          <w:rFonts w:hint="cs"/>
          <w:bCs/>
          <w:sz w:val="24"/>
          <w:szCs w:val="24"/>
          <w:rtl/>
        </w:rPr>
        <w:t>والجواب</w:t>
      </w:r>
      <w:r w:rsidRPr="00A52585">
        <w:rPr>
          <w:rFonts w:hint="cs"/>
          <w:bCs/>
          <w:sz w:val="24"/>
          <w:szCs w:val="24"/>
          <w:rtl/>
        </w:rPr>
        <w:t>:</w:t>
      </w:r>
      <w:r w:rsidR="00777DCB" w:rsidRPr="00A52585">
        <w:rPr>
          <w:rFonts w:hint="cs"/>
          <w:sz w:val="24"/>
          <w:szCs w:val="24"/>
          <w:rtl/>
        </w:rPr>
        <w:t xml:space="preserve"> أنهم جمعوا بين الكذب والخيانة في النقل ولبسوا على الناس وهذا شأن من أراد ترويج بدعته فاعلم أن الذي ذكره بن عباس كما في البغوي وغيره بسنده إلى البخاري قال وهي أسماء رجال صالحين من قوم نوح فلما هلكوا أوحى الشيطان إليهم أن انصبوا إلى مجالسهم التي كانوا يجلسون بها أصناما وسموها بأسمائهم ففعلوا فلم تعبد حتى إذا هلك أولئك ونسخ العلم عبدت أي تلك الصور فانظر إلى هؤلاء الذين يشبهون الأنبياء والصالحين من هذه الأمة بالأصنام وهذا الحديث راد عليهم من وجوه</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الأول</w:t>
      </w:r>
      <w:r w:rsidRPr="00A52585">
        <w:rPr>
          <w:rFonts w:hint="cs"/>
          <w:bCs/>
          <w:sz w:val="24"/>
          <w:szCs w:val="24"/>
          <w:rtl/>
        </w:rPr>
        <w:t>:</w:t>
      </w:r>
      <w:r w:rsidR="00777DCB" w:rsidRPr="00A52585">
        <w:rPr>
          <w:rFonts w:hint="cs"/>
          <w:sz w:val="24"/>
          <w:szCs w:val="24"/>
          <w:rtl/>
        </w:rPr>
        <w:t xml:space="preserve"> إن الشيطان أوحي إليهم أن انصبوا أنصابا وسموها بأسمائهم ففعلوا فلم يكن بذلك بأس ولم ينكر ذلك عليهم مع أن هذا من العبث فلا ترى أحدا من هذه الأمة المحمدية يأتي بصور من حجارة أو خشب وينصبها ويسميها باسم صالح أبدا ثم قال ابن عباس حتى إذا هلك أولئك ونسخ العلم عبدت، ففي غير هذه الرواية أن الشيطان قال للجيل الثاني أن الذين قبلكم كانوا يعبدونهم </w:t>
      </w:r>
      <w:r w:rsidR="00777DCB" w:rsidRPr="00A52585">
        <w:rPr>
          <w:rFonts w:hint="cs"/>
          <w:bCs/>
          <w:sz w:val="24"/>
          <w:szCs w:val="24"/>
          <w:rtl/>
        </w:rPr>
        <w:t>فعبدوهم بعد نسخ العلم</w:t>
      </w:r>
      <w:r w:rsidR="00777DCB" w:rsidRPr="00A52585">
        <w:rPr>
          <w:rFonts w:hint="cs"/>
          <w:sz w:val="24"/>
          <w:szCs w:val="24"/>
          <w:rtl/>
        </w:rPr>
        <w:t xml:space="preserve"> ومعلوم أن من عبد غير الله تعالى ولو كان نبيا أو ملكا أو ميتا يكفر فضلا عن أحجار مسماة بأسماء الصالحين وما تفعل هذه الأمة من الطلب والسؤال على طريق التوسل من الأنبياء والصالحين أنفسهم لا أنصاب مسماة بأسمائهم والأنبياء والشهداء والصالحون في هذه الأمة مدفونون في قبورهم وهم أحياء في قبورهم يرزقون ويستبشرون بالذين لم يلحقوا بهم من خلفهم وأخبرنا نبينا أنهم يعلمون ويعرفون زائرهم ومن يخاطبهم وأمرنا بالسلام عليهم</w:t>
      </w:r>
      <w:r w:rsidRPr="00A52585">
        <w:rPr>
          <w:rFonts w:hint="cs"/>
          <w:sz w:val="24"/>
          <w:szCs w:val="24"/>
          <w:rtl/>
        </w:rPr>
        <w:t xml:space="preserve"> </w:t>
      </w:r>
      <w:r w:rsidR="00777DCB" w:rsidRPr="00A52585">
        <w:rPr>
          <w:rFonts w:hint="cs"/>
          <w:sz w:val="24"/>
          <w:szCs w:val="24"/>
          <w:rtl/>
        </w:rPr>
        <w:t xml:space="preserve">وأن نعاملهم معاملة الأحياء وأنهم يردون على من سلم عليهم ويعرفـون أحـوال أهلـهم وأقاربهـم وإخوانهم من المسلمين الأجانب بعلم من الله أو من عرض الأعمال عليهم وأمرنا النبي صلى الله عليه وسلم باحترامهم وعدم امتهانهم وعدم </w:t>
      </w:r>
      <w:proofErr w:type="spellStart"/>
      <w:r w:rsidR="00777DCB" w:rsidRPr="00A52585">
        <w:rPr>
          <w:rFonts w:hint="cs"/>
          <w:sz w:val="24"/>
          <w:szCs w:val="24"/>
          <w:rtl/>
        </w:rPr>
        <w:t>الوطئ</w:t>
      </w:r>
      <w:proofErr w:type="spellEnd"/>
      <w:r w:rsidR="00777DCB" w:rsidRPr="00A52585">
        <w:rPr>
          <w:rFonts w:hint="cs"/>
          <w:sz w:val="24"/>
          <w:szCs w:val="24"/>
          <w:rtl/>
        </w:rPr>
        <w:t xml:space="preserve"> والجلوس على قبورهم وعدم فعل ما يؤذيهم من قذر وفعل قبيح وقول مؤذ لهم وأنهم يؤذيهم في قبورهم ما يؤذي الأحياء في بيوتهم ويدعون في قبورهم ويصلون ويقرؤن القرآن ويتزاورون مع بعضهم بعضاً ويتذاكرون أحوال أهل الدنيا وأن الميت إذا وصل إليهم اجتمعوا إليه </w:t>
      </w:r>
      <w:proofErr w:type="spellStart"/>
      <w:r w:rsidR="00777DCB" w:rsidRPr="00A52585">
        <w:rPr>
          <w:rFonts w:hint="cs"/>
          <w:sz w:val="24"/>
          <w:szCs w:val="24"/>
          <w:rtl/>
        </w:rPr>
        <w:t>يسئلونه</w:t>
      </w:r>
      <w:proofErr w:type="spellEnd"/>
      <w:r w:rsidR="00777DCB" w:rsidRPr="00A52585">
        <w:rPr>
          <w:rFonts w:hint="cs"/>
          <w:sz w:val="24"/>
          <w:szCs w:val="24"/>
          <w:rtl/>
        </w:rPr>
        <w:t xml:space="preserve"> كالغائب إذا قدم فأين هذا في شريعتنا من أولئك الأنصاب المسماة بأسماء الصالحين ومع ذلك ما عتب عليهم بالأنصاب بل</w:t>
      </w:r>
      <w:r w:rsidRPr="00A52585">
        <w:rPr>
          <w:rFonts w:hint="cs"/>
          <w:sz w:val="24"/>
          <w:szCs w:val="24"/>
          <w:rtl/>
        </w:rPr>
        <w:t>:</w:t>
      </w:r>
      <w:r w:rsidR="00777DCB" w:rsidRPr="00A52585">
        <w:rPr>
          <w:rFonts w:hint="cs"/>
          <w:sz w:val="24"/>
          <w:szCs w:val="24"/>
          <w:rtl/>
        </w:rPr>
        <w:t xml:space="preserve"> </w:t>
      </w:r>
      <w:r w:rsidR="00777DCB" w:rsidRPr="00A52585">
        <w:rPr>
          <w:rFonts w:hint="cs"/>
          <w:bCs/>
          <w:sz w:val="24"/>
          <w:szCs w:val="24"/>
          <w:rtl/>
        </w:rPr>
        <w:t>بالعبادة لها، ونسخ العلم</w:t>
      </w:r>
      <w:r w:rsidR="00777DCB" w:rsidRPr="00A52585">
        <w:rPr>
          <w:rFonts w:hint="cs"/>
          <w:sz w:val="24"/>
          <w:szCs w:val="24"/>
          <w:rtl/>
        </w:rPr>
        <w:t xml:space="preserve"> وقد </w:t>
      </w:r>
      <w:r w:rsidR="00777DCB" w:rsidRPr="00A52585">
        <w:rPr>
          <w:rFonts w:hint="cs"/>
          <w:sz w:val="24"/>
          <w:szCs w:val="24"/>
          <w:rtl/>
        </w:rPr>
        <w:lastRenderedPageBreak/>
        <w:t xml:space="preserve">أخبر الله أن علم هذه الأمة محفوظ قال تعالى </w:t>
      </w:r>
      <w:r w:rsidRPr="00A52585">
        <w:rPr>
          <w:rFonts w:hint="cs"/>
          <w:sz w:val="24"/>
          <w:szCs w:val="24"/>
          <w:rtl/>
        </w:rPr>
        <w:t>{</w:t>
      </w:r>
      <w:r w:rsidR="00777DCB" w:rsidRPr="00A52585">
        <w:rPr>
          <w:rFonts w:hint="cs"/>
          <w:sz w:val="24"/>
          <w:szCs w:val="24"/>
          <w:rtl/>
        </w:rPr>
        <w:t>إنا نحن نزلنا الذكر وإنا له لحافظون</w:t>
      </w:r>
      <w:r w:rsidRPr="00A52585">
        <w:rPr>
          <w:rFonts w:hint="cs"/>
          <w:sz w:val="24"/>
          <w:szCs w:val="24"/>
          <w:rtl/>
        </w:rPr>
        <w:t>}</w:t>
      </w:r>
      <w:r w:rsidR="00777DCB" w:rsidRPr="00A52585">
        <w:rPr>
          <w:rFonts w:hint="cs"/>
          <w:sz w:val="24"/>
          <w:szCs w:val="24"/>
          <w:rtl/>
        </w:rPr>
        <w:t xml:space="preserve"> وأخبر نبينا صلى الله عليه وسلم أن هذه الأمة لا تزال طائفة منها على الحق حتى يأتي أمر الله وهم على ذلك وفي رواية إلى قيام الساعة فعلم هذه الأمة لا ينسخ إلى قيام الساعة حتى لا يقال في الأرض الله الله كما في صحيح مسلم مع أن الكفار مع عبادتهم للأنصاب سموها آلهة وأرباباً كما أخبر الله عنهم في قوله لا تذرن آلهتكم ومن أطلق اسم الإله ولو على سيد المرسلين يكفر باتفاق المسلمين حتى إن الأنبياء يقاتلونهم على قول لا إله إلا الله فلم يقولوها ويرضون بالقتل والموت ولا يقولونها فأين حال هؤلاء من المسلمين الموحدين الشاهدين بألسنتهم وقلوبهم أن لا إله إلا الله وأن محمداً رسول الله وعبده وحبيبه ويقرون بأنبيائه ورسله وملائكته وباليوم الآخر وبالقدر خيره وشره وبالجنة والنار والصراط والميزان ويؤمنون بالكتب المنزلة من ربهم ويصلي أحدهم ويصوم ويزكي ويحج لله وحده لا شريك له ولكنه ينادي أهل القبور الأحياء السامعين نداء من ناداهم العالمين بهم فكيف يشبِّهون هؤلاء أهل الإسلام بأولئك الكفار المعتقدين أن مع الله آلهة أخرى</w:t>
      </w:r>
      <w:r w:rsidR="00F95886" w:rsidRPr="00A52585">
        <w:rPr>
          <w:rFonts w:hint="cs"/>
          <w:sz w:val="24"/>
          <w:szCs w:val="24"/>
          <w:rtl/>
        </w:rPr>
        <w:t>؟</w:t>
      </w:r>
      <w:r w:rsidR="00777DCB" w:rsidRPr="00A52585">
        <w:rPr>
          <w:rFonts w:hint="cs"/>
          <w:sz w:val="24"/>
          <w:szCs w:val="24"/>
          <w:rtl/>
        </w:rPr>
        <w:t xml:space="preserve"> ويشبّهون الأنبياء والشهداء بالأنصاب والأصنام</w:t>
      </w:r>
      <w:r w:rsidR="00F95886" w:rsidRPr="00A52585">
        <w:rPr>
          <w:rFonts w:hint="cs"/>
          <w:sz w:val="24"/>
          <w:szCs w:val="24"/>
          <w:rtl/>
        </w:rPr>
        <w:t>؟</w:t>
      </w:r>
      <w:r w:rsidR="00777DCB" w:rsidRPr="00A52585">
        <w:rPr>
          <w:rFonts w:hint="cs"/>
          <w:sz w:val="24"/>
          <w:szCs w:val="24"/>
          <w:rtl/>
        </w:rPr>
        <w:t xml:space="preserve"> </w:t>
      </w:r>
      <w:proofErr w:type="spellStart"/>
      <w:r w:rsidR="00777DCB" w:rsidRPr="00A52585">
        <w:rPr>
          <w:rFonts w:hint="cs"/>
          <w:sz w:val="24"/>
          <w:szCs w:val="24"/>
          <w:rtl/>
        </w:rPr>
        <w:t>ياويلهم</w:t>
      </w:r>
      <w:proofErr w:type="spellEnd"/>
      <w:r w:rsidR="00777DCB" w:rsidRPr="00A52585">
        <w:rPr>
          <w:rFonts w:hint="cs"/>
          <w:sz w:val="24"/>
          <w:szCs w:val="24"/>
          <w:rtl/>
        </w:rPr>
        <w:t xml:space="preserve"> من الله وسيعلم الذين ظلموا أي منقلب ينقلبون</w:t>
      </w:r>
      <w:r w:rsidR="00DB731D" w:rsidRPr="00A52585">
        <w:rPr>
          <w:rFonts w:hint="cs"/>
          <w:sz w:val="24"/>
          <w:szCs w:val="24"/>
          <w:rtl/>
        </w:rPr>
        <w:t>،</w:t>
      </w:r>
      <w:r w:rsidR="00777DCB" w:rsidRPr="00A52585">
        <w:rPr>
          <w:rFonts w:hint="cs"/>
          <w:sz w:val="24"/>
          <w:szCs w:val="24"/>
          <w:rtl/>
        </w:rPr>
        <w:t xml:space="preserve"> وأما قراءة اللاتّ بتشديد التاء وأنه رجل صالح يلت السويق للحاج قال البغوي هذه أسماء أصنام اتخذوها آلهة يعبدونها </w:t>
      </w:r>
      <w:proofErr w:type="spellStart"/>
      <w:r w:rsidR="00777DCB" w:rsidRPr="00A52585">
        <w:rPr>
          <w:rFonts w:hint="cs"/>
          <w:sz w:val="24"/>
          <w:szCs w:val="24"/>
          <w:rtl/>
        </w:rPr>
        <w:t>اشتقو</w:t>
      </w:r>
      <w:proofErr w:type="spellEnd"/>
      <w:r w:rsidR="00777DCB" w:rsidRPr="00A52585">
        <w:rPr>
          <w:rFonts w:hint="cs"/>
          <w:sz w:val="24"/>
          <w:szCs w:val="24"/>
          <w:rtl/>
        </w:rPr>
        <w:t xml:space="preserve"> لها أسماء من أسماء الله فقالوا من الله اللات ومن العزيز العزي تأنيث الأعز ومن المنَّان مناة قال قتادة كانت بالطائف وقال ابن زيد بيت بنخلة كانت قريش تعبده وقرأ ابن عباس ومجاهد وأبو صالح اللاتّ </w:t>
      </w:r>
      <w:r w:rsidR="00777DCB" w:rsidRPr="00A52585">
        <w:rPr>
          <w:rFonts w:hint="cs"/>
          <w:spacing w:val="-4"/>
          <w:sz w:val="24"/>
          <w:szCs w:val="24"/>
          <w:rtl/>
        </w:rPr>
        <w:t>بتشديد التاء</w:t>
      </w:r>
      <w:r w:rsidR="00777DCB" w:rsidRPr="00A52585">
        <w:rPr>
          <w:rFonts w:hint="cs"/>
          <w:sz w:val="24"/>
          <w:szCs w:val="24"/>
          <w:rtl/>
        </w:rPr>
        <w:t xml:space="preserve"> وقالوا </w:t>
      </w:r>
      <w:r w:rsidR="00777DCB" w:rsidRPr="00A52585">
        <w:rPr>
          <w:rFonts w:hint="cs"/>
          <w:spacing w:val="-8"/>
          <w:sz w:val="24"/>
          <w:szCs w:val="24"/>
          <w:rtl/>
        </w:rPr>
        <w:t>كان رجلا يلت</w:t>
      </w:r>
      <w:r w:rsidR="00777DCB" w:rsidRPr="00A52585">
        <w:rPr>
          <w:rFonts w:hint="cs"/>
          <w:sz w:val="24"/>
          <w:szCs w:val="24"/>
          <w:rtl/>
        </w:rPr>
        <w:t xml:space="preserve"> السويق للحاج فلما مات عكفوا على قبره يعبدونه وقال الكلبي كانت له صخرة يلت عليها أسوقتهم فلما مات الرجل حولتها ثقيف إلى منازلهم فعبدتها أي الصخرة التي كان يلت السويق فيها والعزى قال مجاهد هي شجرة بغطفان كانوا يعبدونها ولاشك أن من عبد غير الله حيا أو ميتا فقد كفر ولكن أين العبادة</w:t>
      </w:r>
      <w:r w:rsidR="00F95886" w:rsidRPr="00A52585">
        <w:rPr>
          <w:rFonts w:hint="cs"/>
          <w:sz w:val="24"/>
          <w:szCs w:val="24"/>
          <w:rtl/>
        </w:rPr>
        <w:t>؟</w:t>
      </w:r>
      <w:r w:rsidR="00777DCB" w:rsidRPr="00A52585">
        <w:rPr>
          <w:rFonts w:hint="cs"/>
          <w:sz w:val="24"/>
          <w:szCs w:val="24"/>
          <w:rtl/>
        </w:rPr>
        <w:t xml:space="preserve"> فقد قدمنا أن النداء لا يقال له عبادة مع أن من عبد اللات والعزى كانوا يجعلونها أرباباً وآلهة وأنها بنات الله كما هو ظاهر القرآن قال الله تعالى </w:t>
      </w:r>
      <w:r w:rsidRPr="00A52585">
        <w:rPr>
          <w:rFonts w:hint="cs"/>
          <w:sz w:val="24"/>
          <w:szCs w:val="24"/>
          <w:rtl/>
        </w:rPr>
        <w:t>{</w:t>
      </w:r>
      <w:r w:rsidR="00777DCB" w:rsidRPr="00A52585">
        <w:rPr>
          <w:rFonts w:hint="cs"/>
          <w:sz w:val="24"/>
          <w:szCs w:val="24"/>
          <w:rtl/>
        </w:rPr>
        <w:t>أفرأيتم اللات والعزى ومناة الثالثة الأخرى ألكم الذكر وله الأنثى تلك إذا قسمة ضيري</w:t>
      </w:r>
      <w:r w:rsidRPr="00A52585">
        <w:rPr>
          <w:rFonts w:hint="cs"/>
          <w:sz w:val="24"/>
          <w:szCs w:val="24"/>
          <w:rtl/>
        </w:rPr>
        <w:t xml:space="preserve">} </w:t>
      </w:r>
      <w:r w:rsidR="00777DCB" w:rsidRPr="00A52585">
        <w:rPr>
          <w:rFonts w:hint="cs"/>
          <w:sz w:val="24"/>
          <w:szCs w:val="24"/>
          <w:rtl/>
        </w:rPr>
        <w:t>قال البغوي أفرأيتم أي أخبرونا أيها الزاعمون أن اللات والعزي ومناة بنات الله وقال الكلبي</w:t>
      </w:r>
      <w:r w:rsidRPr="00A52585">
        <w:rPr>
          <w:rFonts w:hint="cs"/>
          <w:sz w:val="24"/>
          <w:szCs w:val="24"/>
          <w:rtl/>
        </w:rPr>
        <w:t>:</w:t>
      </w:r>
      <w:r w:rsidR="00777DCB" w:rsidRPr="00A52585">
        <w:rPr>
          <w:rFonts w:hint="cs"/>
          <w:sz w:val="24"/>
          <w:szCs w:val="24"/>
          <w:rtl/>
        </w:rPr>
        <w:t xml:space="preserve"> كان المشركون بمكة يقولون الأصنام والملائكة بنات الله وكان الرجل منهم إذا بشر بالأنثى كره ذلك فقال الله منكراً عليهم {ألكم الذكر وله الأنثى</w:t>
      </w:r>
      <w:r w:rsidRPr="00A52585">
        <w:rPr>
          <w:rFonts w:hint="cs"/>
          <w:sz w:val="24"/>
          <w:szCs w:val="24"/>
          <w:rtl/>
        </w:rPr>
        <w:t>}</w:t>
      </w:r>
      <w:r w:rsidR="00777DCB" w:rsidRPr="00A52585">
        <w:rPr>
          <w:rFonts w:hint="cs"/>
          <w:sz w:val="24"/>
          <w:szCs w:val="24"/>
          <w:rtl/>
        </w:rPr>
        <w:t xml:space="preserve"> فظاهر القرآن لا يلتئم مع تفسير اللات بالرجل الذي مات وعبدوا قبره فإنه يقتضي أنه ذكر وذكر الله عن هذه الأصنام أنها إناث فأين الذكر من الأنثى</w:t>
      </w:r>
      <w:r w:rsidR="00F95886" w:rsidRPr="00A52585">
        <w:rPr>
          <w:rFonts w:hint="cs"/>
          <w:sz w:val="24"/>
          <w:szCs w:val="24"/>
          <w:rtl/>
        </w:rPr>
        <w:t>؟</w:t>
      </w:r>
      <w:r w:rsidR="00777DCB" w:rsidRPr="00A52585">
        <w:rPr>
          <w:rFonts w:hint="cs"/>
          <w:sz w:val="24"/>
          <w:szCs w:val="24"/>
          <w:rtl/>
        </w:rPr>
        <w:t xml:space="preserve"> ومع هذا لو لم يكن للكفار من تكذيب الله أو تكذيب الرسل صلوات الله وسلامه عليهم وتكذيب الكتب المنزلة وعدم إيمانهم بالبعث والآخرة لكفاهم مجرد عبادتهم لغير الله ولو كان من أكبر المقربين فكيف وقد جمعوا هذه المكفرات مع اتخاذهم الأصنام أربابا وآلهة لزعمهم أنها بنات الله </w:t>
      </w:r>
      <w:proofErr w:type="spellStart"/>
      <w:r w:rsidR="00777DCB" w:rsidRPr="00A52585">
        <w:rPr>
          <w:rFonts w:hint="cs"/>
          <w:sz w:val="24"/>
          <w:szCs w:val="24"/>
          <w:rtl/>
        </w:rPr>
        <w:t>والإبن</w:t>
      </w:r>
      <w:proofErr w:type="spellEnd"/>
      <w:r w:rsidR="00777DCB" w:rsidRPr="00A52585">
        <w:rPr>
          <w:rFonts w:hint="cs"/>
          <w:sz w:val="24"/>
          <w:szCs w:val="24"/>
          <w:rtl/>
        </w:rPr>
        <w:t xml:space="preserve"> له حكم الأب من الربوبية والألوهية تعالى الله عن ذلك علوا كبيراً "</w:t>
      </w:r>
      <w:r w:rsidRPr="00A52585">
        <w:rPr>
          <w:rFonts w:hint="cs"/>
          <w:sz w:val="24"/>
          <w:szCs w:val="24"/>
          <w:rtl/>
        </w:rPr>
        <w:t xml:space="preserve"> </w:t>
      </w:r>
      <w:r w:rsidR="00777DCB" w:rsidRPr="00A52585">
        <w:rPr>
          <w:rFonts w:hint="cs"/>
          <w:sz w:val="24"/>
          <w:szCs w:val="24"/>
          <w:rtl/>
        </w:rPr>
        <w:t>أهـ</w:t>
      </w:r>
      <w:r w:rsidR="00DB731D"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في نص حديث ابن عباس أن الشرك وعبادة الأصنام لم يأت إلا بعد نسخ العلم وذهابه وهو العلم بخالقهم سبحانه وتوحيده وتنزيهه فكيف تتغافل عن هذا وننشغل بمشكلة عبادة الأصنام فإنهم إذا لم يعبدوها فسيعبدون الشمس أو القمر أو ملوكهم! أو يظلون ملاحدة لا يعبدون شيئاً وفي جميع هذه الحالات سيظلون كفاراً، بل الدين الحق أن نعلم الناس معنى توحيد الله وتنزيهه عن كل نقص فيكون ذلك سياجا يمنع الشرك والإلحاد</w:t>
      </w:r>
      <w:r w:rsidRPr="00A52585">
        <w:rPr>
          <w:rFonts w:hint="cs"/>
          <w:sz w:val="24"/>
          <w:szCs w:val="24"/>
          <w:rtl/>
        </w:rPr>
        <w:t>]</w:t>
      </w:r>
      <w:r w:rsidR="00DB731D" w:rsidRPr="00A52585">
        <w:rPr>
          <w:rFonts w:hint="cs"/>
          <w:spacing w:val="-4"/>
          <w:sz w:val="24"/>
          <w:szCs w:val="24"/>
          <w:rtl/>
        </w:rPr>
        <w:t>،</w:t>
      </w:r>
      <w:r w:rsidR="00777DCB" w:rsidRPr="00A52585">
        <w:rPr>
          <w:rFonts w:hint="cs"/>
          <w:spacing w:val="-4"/>
          <w:rtl/>
        </w:rPr>
        <w:t xml:space="preserve"> </w:t>
      </w:r>
      <w:r w:rsidR="00777DCB" w:rsidRPr="00A52585">
        <w:rPr>
          <w:rFonts w:hint="cs"/>
          <w:rtl/>
        </w:rPr>
        <w:t xml:space="preserve">وأنت أيها اللبيب أرشدك الله عز وجل وزادك بصيرة وفهماً إذا تأملت هذا الاستدلال منه قطعت بجهله وبخلطه في خبطه وعلمت بذلك سوء فهمه </w:t>
      </w:r>
      <w:r w:rsidR="00777DCB" w:rsidRPr="00A52585">
        <w:rPr>
          <w:rFonts w:hint="cs"/>
          <w:rtl/>
        </w:rPr>
        <w:lastRenderedPageBreak/>
        <w:t>وخيالاته الفاسدة ومن نفس الدليل تعلم ذلك. فإنه تخيل بذهنه الجامد وخياله الفاسد أن منع الزيارة أو السفر إليها من المحافظة على التوحيد. وأن الزيارة تؤدي إلى الشرك وعبادة الأوثان</w:t>
      </w:r>
      <w:r w:rsidR="00DB731D" w:rsidRPr="00A52585">
        <w:rPr>
          <w:rFonts w:hint="cs"/>
          <w:rtl/>
        </w:rPr>
        <w:t>،</w:t>
      </w:r>
      <w:r w:rsidR="00777DCB" w:rsidRPr="00A52585">
        <w:rPr>
          <w:rFonts w:hint="cs"/>
          <w:rtl/>
        </w:rPr>
        <w:t xml:space="preserve"> وهذا خيال فاسد لأن اتخاذ القبور مساجد وعيداً والعكوف وتصوير الموتى فيها هو المحذور والمؤدي إلى الشرك عند تطاول الزمان وهو الممنوع منه كما هو مصرح به في الأحاديث الصحيحة في قوله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لعن الله اليهود اتخذوا قبور أنبيائهم مساجد يحذر ما صنعوا</w:t>
      </w:r>
      <w:r w:rsidRPr="00A52585">
        <w:rPr>
          <w:rFonts w:hint="cs"/>
          <w:rtl/>
        </w:rPr>
        <w:t>)</w:t>
      </w:r>
      <w:r w:rsidR="00777DCB" w:rsidRPr="00A52585">
        <w:rPr>
          <w:rFonts w:hint="cs"/>
          <w:rtl/>
        </w:rPr>
        <w:t>) وفي قوله عليه الصلاة والسلام لما أُخبر بكنيسة بأرض الحبشة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أولئك إذا مات منهم الرجل الصالح بنوا على قبره مسجداً</w:t>
      </w:r>
      <w:r w:rsidR="00DB731D" w:rsidRPr="00A52585">
        <w:rPr>
          <w:rFonts w:hint="cs"/>
          <w:rtl/>
        </w:rPr>
        <w:t>،</w:t>
      </w:r>
      <w:r w:rsidR="00777DCB" w:rsidRPr="00A52585">
        <w:rPr>
          <w:rFonts w:hint="cs"/>
          <w:rtl/>
        </w:rPr>
        <w:t xml:space="preserve"> ثم صوروا فيه تلك الصور</w:t>
      </w:r>
      <w:r w:rsidR="00DB731D" w:rsidRPr="00A52585">
        <w:rPr>
          <w:rFonts w:hint="cs"/>
          <w:rtl/>
        </w:rPr>
        <w:t>،</w:t>
      </w:r>
      <w:r w:rsidR="00777DCB" w:rsidRPr="00A52585">
        <w:rPr>
          <w:rFonts w:hint="cs"/>
          <w:rtl/>
        </w:rPr>
        <w:t xml:space="preserve"> أولئك شرار الخلق عند الله عز وجل</w:t>
      </w:r>
      <w:r w:rsidRPr="00A52585">
        <w:rPr>
          <w:rFonts w:hint="cs"/>
          <w:rtl/>
        </w:rPr>
        <w:t>)</w:t>
      </w:r>
      <w:r w:rsidR="00777DCB" w:rsidRPr="00A52585">
        <w:rPr>
          <w:rFonts w:hint="cs"/>
          <w:rtl/>
        </w:rPr>
        <w:t>)</w:t>
      </w:r>
      <w:r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البخاري في الصلاة </w:t>
      </w:r>
      <w:r w:rsidR="00777DCB" w:rsidRPr="00A52585">
        <w:rPr>
          <w:sz w:val="24"/>
          <w:szCs w:val="24"/>
        </w:rPr>
        <w:t>–</w:t>
      </w:r>
      <w:r w:rsidR="00777DCB" w:rsidRPr="00A52585">
        <w:rPr>
          <w:rFonts w:hint="cs"/>
          <w:sz w:val="24"/>
          <w:szCs w:val="24"/>
          <w:rtl/>
        </w:rPr>
        <w:t xml:space="preserve"> باب</w:t>
      </w:r>
      <w:r w:rsidRPr="00A52585">
        <w:rPr>
          <w:rFonts w:hint="cs"/>
          <w:sz w:val="24"/>
          <w:szCs w:val="24"/>
          <w:rtl/>
        </w:rPr>
        <w:t>:</w:t>
      </w:r>
      <w:r w:rsidR="00777DCB" w:rsidRPr="00A52585">
        <w:rPr>
          <w:rFonts w:hint="cs"/>
          <w:sz w:val="24"/>
          <w:szCs w:val="24"/>
          <w:rtl/>
        </w:rPr>
        <w:t xml:space="preserve"> هل تنبش قبور مشركي الجاهلية ويتخذ مكانها مساجد</w:t>
      </w:r>
      <w:r w:rsidR="00F95886" w:rsidRPr="00A52585">
        <w:rPr>
          <w:rFonts w:hint="cs"/>
          <w:sz w:val="24"/>
          <w:szCs w:val="24"/>
          <w:rtl/>
        </w:rPr>
        <w:t>؟</w:t>
      </w:r>
      <w:r w:rsidR="00777DCB" w:rsidRPr="00A52585">
        <w:rPr>
          <w:rFonts w:hint="cs"/>
          <w:sz w:val="24"/>
          <w:szCs w:val="24"/>
          <w:rtl/>
        </w:rPr>
        <w:t xml:space="preserve"> ورواه أيضاً في كتاب المناقب </w:t>
      </w:r>
      <w:r w:rsidR="00777DCB" w:rsidRPr="00A52585">
        <w:rPr>
          <w:sz w:val="24"/>
          <w:szCs w:val="24"/>
        </w:rPr>
        <w:t>–</w:t>
      </w:r>
      <w:r w:rsidR="00777DCB" w:rsidRPr="00A52585">
        <w:rPr>
          <w:rFonts w:hint="cs"/>
          <w:sz w:val="24"/>
          <w:szCs w:val="24"/>
          <w:rtl/>
        </w:rPr>
        <w:t xml:space="preserve"> باب هجرة الحبشة ورواه مسلم في كتاب الصلاة </w:t>
      </w:r>
      <w:r w:rsidR="00777DCB" w:rsidRPr="00A52585">
        <w:rPr>
          <w:sz w:val="24"/>
          <w:szCs w:val="24"/>
        </w:rPr>
        <w:t>–</w:t>
      </w:r>
      <w:r w:rsidR="00777DCB" w:rsidRPr="00A52585">
        <w:rPr>
          <w:rFonts w:hint="cs"/>
          <w:sz w:val="24"/>
          <w:szCs w:val="24"/>
          <w:rtl/>
        </w:rPr>
        <w:t xml:space="preserve"> باب</w:t>
      </w:r>
      <w:r w:rsidRPr="00A52585">
        <w:rPr>
          <w:rFonts w:hint="cs"/>
          <w:sz w:val="24"/>
          <w:szCs w:val="24"/>
          <w:rtl/>
        </w:rPr>
        <w:t>:</w:t>
      </w:r>
      <w:r w:rsidR="00777DCB" w:rsidRPr="00A52585">
        <w:rPr>
          <w:rFonts w:hint="cs"/>
          <w:sz w:val="24"/>
          <w:szCs w:val="24"/>
          <w:rtl/>
        </w:rPr>
        <w:t xml:space="preserve"> النهي عن بناء المساجد على القبور</w:t>
      </w:r>
      <w:r w:rsidRPr="00A52585">
        <w:rPr>
          <w:rFonts w:hint="cs"/>
          <w:sz w:val="24"/>
          <w:szCs w:val="24"/>
          <w:rtl/>
        </w:rPr>
        <w:t>]</w:t>
      </w:r>
      <w:r w:rsidR="00DB731D" w:rsidRPr="00A52585">
        <w:rPr>
          <w:rFonts w:hint="cs"/>
          <w:sz w:val="24"/>
          <w:rtl/>
        </w:rPr>
        <w:t>،</w:t>
      </w:r>
      <w:r w:rsidR="00777DCB" w:rsidRPr="00A52585">
        <w:rPr>
          <w:rFonts w:hint="cs"/>
          <w:rtl/>
        </w:rPr>
        <w:t xml:space="preserve"> فهذا هو الذي حذر منه رسول الله صلى الله عليه وسلم وأما الزيارة والسلام على الميت والدعاء له وعنده فلم يؤدي إلى ذلك ولا له تعلق بتلك الأمور ومن تخيل ذلك فهو من سوء فهمه في هذا الأمر الواضح ولو كان يؤدي إلى ذلك لما شرعه رسول الله صلى الله عليه وسلم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يقول السيد داود </w:t>
      </w:r>
      <w:proofErr w:type="spellStart"/>
      <w:r w:rsidR="00777DCB" w:rsidRPr="00A52585">
        <w:rPr>
          <w:rFonts w:hint="cs"/>
          <w:sz w:val="24"/>
          <w:szCs w:val="24"/>
          <w:rtl/>
        </w:rPr>
        <w:t>النقشبندي</w:t>
      </w:r>
      <w:proofErr w:type="spellEnd"/>
      <w:r w:rsidRPr="00A52585">
        <w:rPr>
          <w:rFonts w:hint="cs"/>
          <w:bCs/>
          <w:sz w:val="24"/>
          <w:szCs w:val="24"/>
          <w:rtl/>
        </w:rPr>
        <w:t>:</w:t>
      </w:r>
      <w:r w:rsidR="00777DCB" w:rsidRPr="00A52585">
        <w:rPr>
          <w:rFonts w:hint="cs"/>
          <w:bCs/>
          <w:sz w:val="24"/>
          <w:szCs w:val="24"/>
          <w:rtl/>
        </w:rPr>
        <w:t xml:space="preserve"> </w:t>
      </w:r>
      <w:r w:rsidRPr="00A52585">
        <w:rPr>
          <w:rFonts w:hint="cs"/>
          <w:bCs/>
          <w:sz w:val="24"/>
          <w:szCs w:val="24"/>
          <w:rtl/>
        </w:rPr>
        <w:t>(</w:t>
      </w:r>
      <w:r w:rsidR="00777DCB" w:rsidRPr="00A52585">
        <w:rPr>
          <w:rFonts w:hint="cs"/>
          <w:bCs/>
          <w:sz w:val="24"/>
          <w:szCs w:val="24"/>
          <w:rtl/>
        </w:rPr>
        <w:t>الشبهة العاشرة</w:t>
      </w:r>
      <w:r w:rsidRPr="00A52585">
        <w:rPr>
          <w:rFonts w:hint="cs"/>
          <w:bCs/>
          <w:sz w:val="24"/>
          <w:szCs w:val="24"/>
          <w:rtl/>
        </w:rPr>
        <w:t>):</w:t>
      </w:r>
      <w:r w:rsidR="00777DCB" w:rsidRPr="00A52585">
        <w:rPr>
          <w:rFonts w:hint="cs"/>
          <w:bCs/>
          <w:sz w:val="24"/>
          <w:szCs w:val="24"/>
          <w:rtl/>
        </w:rPr>
        <w:t xml:space="preserve"> استدلالهم بقوله صلى الله عليه وسلم لعن الله اليهود </w:t>
      </w:r>
      <w:proofErr w:type="spellStart"/>
      <w:r w:rsidR="00777DCB" w:rsidRPr="00A52585">
        <w:rPr>
          <w:rFonts w:hint="cs"/>
          <w:bCs/>
          <w:sz w:val="24"/>
          <w:szCs w:val="24"/>
          <w:rtl/>
        </w:rPr>
        <w:t>والنصاري</w:t>
      </w:r>
      <w:proofErr w:type="spellEnd"/>
      <w:r w:rsidR="00777DCB" w:rsidRPr="00A52585">
        <w:rPr>
          <w:rFonts w:hint="cs"/>
          <w:bCs/>
          <w:sz w:val="24"/>
          <w:szCs w:val="24"/>
          <w:rtl/>
        </w:rPr>
        <w:t xml:space="preserve"> اتخذوا قبور أنبيائهم مساجد رواه البخاري</w:t>
      </w:r>
      <w:r w:rsidR="00777DCB" w:rsidRPr="00A52585">
        <w:rPr>
          <w:rFonts w:hint="cs"/>
          <w:sz w:val="24"/>
          <w:szCs w:val="24"/>
          <w:rtl/>
        </w:rPr>
        <w:t xml:space="preserve"> وغيره (الجواب) أن المساجد جمع مسجد وهو ما يسجد </w:t>
      </w:r>
      <w:r w:rsidRPr="00A52585">
        <w:rPr>
          <w:rFonts w:hint="cs"/>
          <w:sz w:val="24"/>
          <w:szCs w:val="24"/>
          <w:rtl/>
        </w:rPr>
        <w:t>[</w:t>
      </w:r>
      <w:r w:rsidR="00777DCB" w:rsidRPr="00A52585">
        <w:rPr>
          <w:rFonts w:hint="cs"/>
          <w:sz w:val="24"/>
          <w:szCs w:val="24"/>
          <w:rtl/>
        </w:rPr>
        <w:t>عليه</w:t>
      </w:r>
      <w:r w:rsidRPr="00A52585">
        <w:rPr>
          <w:rFonts w:hint="cs"/>
          <w:sz w:val="24"/>
          <w:szCs w:val="24"/>
          <w:rtl/>
        </w:rPr>
        <w:t>]</w:t>
      </w:r>
      <w:r w:rsidR="00777DCB" w:rsidRPr="00A52585">
        <w:rPr>
          <w:rFonts w:hint="cs"/>
          <w:sz w:val="24"/>
          <w:szCs w:val="24"/>
          <w:rtl/>
        </w:rPr>
        <w:t xml:space="preserve"> كما هو مقتضى اللغة العربية فالملعون من سجد على القبور واتخذها مسجداً أي محل السجود بأن تكون نفسها مسجداً وأما إذا اتخذ بجنبها مسجداً وسجد على الأرض وهو بعيد عن القبر أو بين القبر والمسجد فاصل كما هو الغالب فلا يدخل في هذا الوعيد المفهوم من هذا الحديث كيف وقد قال الله تعالى في أهل الكهف (وقال الذين غلبوا على أمرهم لتتخذن عليهم مسجداً) ذكر أهل التفسير أن الذين غلبوا على أمرهم هم المؤمنون وأخبر الله أنهم اتخذوا عليهم مسجداً قال الشهاب الخفاجي في حاشيته على تفسير البيضاوي</w:t>
      </w:r>
      <w:r w:rsidRPr="00A52585">
        <w:rPr>
          <w:rFonts w:hint="cs"/>
          <w:sz w:val="24"/>
          <w:szCs w:val="24"/>
          <w:rtl/>
        </w:rPr>
        <w:t xml:space="preserve"> </w:t>
      </w:r>
      <w:r w:rsidR="00777DCB" w:rsidRPr="00A52585">
        <w:rPr>
          <w:rFonts w:hint="cs"/>
          <w:sz w:val="24"/>
          <w:szCs w:val="24"/>
          <w:rtl/>
        </w:rPr>
        <w:t>"في هذه دليل على اتخاذ المساجد على قبور الصالحين"</w:t>
      </w:r>
      <w:r w:rsidRPr="00A52585">
        <w:rPr>
          <w:rFonts w:hint="cs"/>
          <w:sz w:val="24"/>
          <w:szCs w:val="24"/>
          <w:rtl/>
        </w:rPr>
        <w:t xml:space="preserve"> </w:t>
      </w:r>
      <w:r w:rsidR="00777DCB" w:rsidRPr="00A52585">
        <w:rPr>
          <w:rFonts w:hint="cs"/>
          <w:sz w:val="24"/>
          <w:szCs w:val="24"/>
          <w:rtl/>
        </w:rPr>
        <w:t>انتهى ومعنى هذا الحديث كما ذكرنا أولا أن المنهي عنه اتخاذ نفس القبر مسجداً يعني محل السجود وهذا لا يوجد في الإسلام ولله الحمد قال الشهاب الخفاجي في شرح الشفاء في شرح قوله صلى الله عليه وسلم</w:t>
      </w:r>
      <w:r w:rsidRPr="00A52585">
        <w:rPr>
          <w:rFonts w:hint="cs"/>
          <w:sz w:val="24"/>
          <w:szCs w:val="24"/>
          <w:rtl/>
        </w:rPr>
        <w:t xml:space="preserve"> </w:t>
      </w:r>
      <w:r w:rsidR="00777DCB" w:rsidRPr="00A52585">
        <w:rPr>
          <w:rFonts w:hint="cs"/>
          <w:sz w:val="24"/>
          <w:szCs w:val="24"/>
          <w:rtl/>
        </w:rPr>
        <w:t>"اشتد غضب الله على قوم اتخذوا قبور أنبيائهم مساجد"</w:t>
      </w:r>
      <w:r w:rsidRPr="00A52585">
        <w:rPr>
          <w:rFonts w:hint="cs"/>
          <w:sz w:val="24"/>
          <w:szCs w:val="24"/>
          <w:rtl/>
        </w:rPr>
        <w:t xml:space="preserve"> </w:t>
      </w:r>
      <w:r w:rsidR="00777DCB" w:rsidRPr="00A52585">
        <w:rPr>
          <w:rFonts w:hint="cs"/>
          <w:sz w:val="24"/>
          <w:szCs w:val="24"/>
          <w:rtl/>
        </w:rPr>
        <w:t>أي يسجدون لها كما يسجدون للأوثان انتهى ونقل محشي المشكاة عن البيضاوي ما نصه كانت اليهود والنصارى يسجدون لقبور أنبيائهم ويجعلونها قبلة لهم ويتوجهون في الصلاة نحوها فقد اتخذوها أوثانا ولذلك لعنهم الله ومنع المسلمين عن مثل ذلك، أما من اتخذ مسجداً في جوار رجل صالح أو ولي في مقبرة وقصد به الاستظهار بروحه أو وصول أثر من أثار عبادته إليه لا للتعظيم</w:t>
      </w:r>
      <w:r w:rsidR="00DB731D" w:rsidRPr="00A52585">
        <w:rPr>
          <w:rFonts w:hint="cs"/>
          <w:sz w:val="24"/>
          <w:szCs w:val="24"/>
          <w:rtl/>
        </w:rPr>
        <w:t>،</w:t>
      </w:r>
      <w:r w:rsidR="00777DCB" w:rsidRPr="00A52585">
        <w:rPr>
          <w:rFonts w:hint="cs"/>
          <w:sz w:val="24"/>
          <w:szCs w:val="24"/>
          <w:rtl/>
        </w:rPr>
        <w:t xml:space="preserve"> والتوجه فلا حرج إليه ألا ترى أن مرقد إسماعيل عليه السلام في المسجد الحرام عند الحطيم ثم أن ذلك المسجد أفضل مكان يتحرى فيه المصلى لصلاته انتهى بالهامش</w:t>
      </w:r>
      <w:r w:rsidRPr="00A52585">
        <w:rPr>
          <w:rFonts w:hint="cs"/>
          <w:sz w:val="24"/>
          <w:szCs w:val="24"/>
          <w:rtl/>
        </w:rPr>
        <w:t>:</w:t>
      </w:r>
      <w:r w:rsidR="00777DCB" w:rsidRPr="00A52585">
        <w:rPr>
          <w:rFonts w:hint="cs"/>
          <w:sz w:val="24"/>
          <w:szCs w:val="24"/>
          <w:rtl/>
        </w:rPr>
        <w:t xml:space="preserve"> قوله (والتوجه) أي في الصلاة يتوجه إليه في الصلاة (أقول) ويؤيده قوله تعالى واتخذوا من مقام إبراهيم مصلى فإن مقام وقوفه وهو الحجر لشرفه أمرنا الله أن نتحرى الدعاء والصلاة عنده لحصول البركة فيه والله أعلم فتبين أن مراد الحديث كما هو مقتضى اللفظ وقواعد العربية ما قلناه أولاً ومع هذا فالسجود </w:t>
      </w:r>
      <w:r w:rsidR="00777DCB" w:rsidRPr="00A52585">
        <w:rPr>
          <w:rFonts w:hint="cs"/>
          <w:sz w:val="24"/>
          <w:szCs w:val="24"/>
          <w:rtl/>
        </w:rPr>
        <w:lastRenderedPageBreak/>
        <w:t>حرام لا كفر يخرج عن الملة إذ لم يقل به أحد من العلماء كما لا يخفي والله أعلم "</w:t>
      </w:r>
      <w:r w:rsidRPr="00A52585">
        <w:rPr>
          <w:rFonts w:hint="cs"/>
          <w:sz w:val="24"/>
          <w:szCs w:val="24"/>
          <w:rtl/>
        </w:rPr>
        <w:t xml:space="preserve"> </w:t>
      </w:r>
      <w:r w:rsidR="00777DCB" w:rsidRPr="00A52585">
        <w:rPr>
          <w:rFonts w:hint="cs"/>
          <w:sz w:val="24"/>
          <w:szCs w:val="24"/>
          <w:rtl/>
        </w:rPr>
        <w:t>أهـ من (صلح الإخوان من أهل الإيمان</w:t>
      </w:r>
      <w:r w:rsidRPr="00A52585">
        <w:rPr>
          <w:rFonts w:hint="cs"/>
          <w:sz w:val="24"/>
          <w:szCs w:val="24"/>
          <w:rtl/>
        </w:rPr>
        <w:t>)</w:t>
      </w:r>
      <w:r w:rsidR="00777DCB" w:rsidRPr="00A52585">
        <w:rPr>
          <w:rFonts w:hint="cs"/>
          <w:sz w:val="24"/>
          <w:szCs w:val="24"/>
          <w:rtl/>
        </w:rPr>
        <w:t xml:space="preserve"> ص148-149</w:t>
      </w:r>
      <w:r w:rsidRPr="00A52585">
        <w:rPr>
          <w:rFonts w:hint="cs"/>
          <w:sz w:val="24"/>
          <w:szCs w:val="24"/>
          <w:rtl/>
        </w:rPr>
        <w:t>]</w:t>
      </w:r>
      <w:r w:rsidR="00DB731D" w:rsidRPr="00A52585">
        <w:rPr>
          <w:rFonts w:hint="cs"/>
          <w:sz w:val="24"/>
          <w:szCs w:val="24"/>
          <w:rtl/>
        </w:rPr>
        <w:t>،</w:t>
      </w:r>
      <w:r w:rsidR="00777DCB" w:rsidRPr="00A52585">
        <w:rPr>
          <w:rFonts w:hint="cs"/>
          <w:sz w:val="24"/>
          <w:szCs w:val="24"/>
          <w:rtl/>
        </w:rPr>
        <w:t xml:space="preserve"> </w:t>
      </w:r>
      <w:r w:rsidR="00777DCB" w:rsidRPr="00A52585">
        <w:rPr>
          <w:rFonts w:hint="cs"/>
          <w:rtl/>
        </w:rPr>
        <w:t xml:space="preserve">وأبلغ من ذلك لما أمره الله عز وجل بالخروج إلى قبور الشهداء الذين أكرمهم بالشهادة حين نزل عليهم جبريل عليه السلام وأمره بأمر الله تعالى بالخروج إلى بقيع الغرقد بل كان نهاه أن لو أراد الخروج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صحيح مسلم</w:t>
      </w:r>
      <w:r w:rsidR="00DB731D" w:rsidRPr="00A52585">
        <w:rPr>
          <w:rFonts w:hint="cs"/>
          <w:sz w:val="24"/>
          <w:szCs w:val="24"/>
          <w:rtl/>
        </w:rPr>
        <w:t>،</w:t>
      </w:r>
      <w:r w:rsidR="00777DCB" w:rsidRPr="00A52585">
        <w:rPr>
          <w:rFonts w:hint="cs"/>
          <w:sz w:val="24"/>
          <w:szCs w:val="24"/>
          <w:rtl/>
        </w:rPr>
        <w:t xml:space="preserve"> كتاب الجنائز، باب</w:t>
      </w:r>
      <w:r w:rsidRPr="00A52585">
        <w:rPr>
          <w:rFonts w:hint="cs"/>
          <w:sz w:val="24"/>
          <w:szCs w:val="24"/>
          <w:rtl/>
        </w:rPr>
        <w:t>:</w:t>
      </w:r>
      <w:r w:rsidR="00777DCB" w:rsidRPr="00A52585">
        <w:rPr>
          <w:rFonts w:hint="cs"/>
          <w:sz w:val="24"/>
          <w:szCs w:val="24"/>
          <w:rtl/>
        </w:rPr>
        <w:t xml:space="preserve"> ما يقال عند دخول القبور</w:t>
      </w:r>
      <w:r w:rsidR="00DB731D" w:rsidRPr="00A52585">
        <w:rPr>
          <w:rFonts w:hint="cs"/>
          <w:sz w:val="24"/>
          <w:szCs w:val="24"/>
          <w:rtl/>
        </w:rPr>
        <w:t>،</w:t>
      </w:r>
      <w:r w:rsidR="00777DCB" w:rsidRPr="00A52585">
        <w:rPr>
          <w:rFonts w:hint="cs"/>
          <w:sz w:val="24"/>
          <w:szCs w:val="24"/>
          <w:rtl/>
        </w:rPr>
        <w:t xml:space="preserve"> وأما زيارة قبور الشهداء </w:t>
      </w:r>
      <w:proofErr w:type="spellStart"/>
      <w:r w:rsidR="00777DCB" w:rsidRPr="00A52585">
        <w:rPr>
          <w:rFonts w:hint="cs"/>
          <w:sz w:val="24"/>
          <w:szCs w:val="24"/>
          <w:rtl/>
        </w:rPr>
        <w:t>فهى</w:t>
      </w:r>
      <w:proofErr w:type="spellEnd"/>
      <w:r w:rsidR="00777DCB" w:rsidRPr="00A52585">
        <w:rPr>
          <w:rFonts w:hint="cs"/>
          <w:sz w:val="24"/>
          <w:szCs w:val="24"/>
          <w:rtl/>
        </w:rPr>
        <w:t xml:space="preserve"> عند البيهقي في (دلائل النبوة) وغيره</w:t>
      </w:r>
      <w:r w:rsidRPr="00A52585">
        <w:rPr>
          <w:rFonts w:hint="cs"/>
          <w:sz w:val="24"/>
          <w:szCs w:val="24"/>
          <w:rtl/>
        </w:rPr>
        <w:t>]</w:t>
      </w:r>
      <w:r w:rsidR="00DB731D" w:rsidRPr="00A52585">
        <w:rPr>
          <w:rFonts w:hint="cs"/>
          <w:sz w:val="24"/>
          <w:szCs w:val="24"/>
          <w:rtl/>
        </w:rPr>
        <w:t>،</w:t>
      </w:r>
      <w:r w:rsidR="00777DCB" w:rsidRPr="00A52585">
        <w:rPr>
          <w:rFonts w:hint="cs"/>
          <w:rtl/>
        </w:rPr>
        <w:t xml:space="preserve"> وأيضاً فإنه عليه الصلاة والسلام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زوروا القبور</w:t>
      </w:r>
      <w:r w:rsidRPr="00A52585">
        <w:rPr>
          <w:rFonts w:hint="cs"/>
          <w:rtl/>
        </w:rPr>
        <w:t>)</w:t>
      </w:r>
      <w:r w:rsidR="00777DCB" w:rsidRPr="00A52585">
        <w:rPr>
          <w:rFonts w:hint="cs"/>
          <w:rtl/>
        </w:rPr>
        <w:t xml:space="preserve">) كما رواه مسلم وغيره بزيادة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صحيح مسلم كتاب صلاة الجنائز </w:t>
      </w:r>
      <w:r w:rsidR="00777DCB" w:rsidRPr="00A52585">
        <w:rPr>
          <w:sz w:val="24"/>
          <w:szCs w:val="24"/>
        </w:rPr>
        <w:t>–</w:t>
      </w:r>
      <w:r w:rsidR="00777DCB" w:rsidRPr="00A52585">
        <w:rPr>
          <w:rFonts w:hint="cs"/>
          <w:sz w:val="24"/>
          <w:szCs w:val="24"/>
          <w:rtl/>
        </w:rPr>
        <w:t xml:space="preserve"> باب استئذان النبي صلى الله عليه وسلم ربه في زيارة قبر أمه</w:t>
      </w:r>
      <w:r w:rsidRPr="00A52585">
        <w:rPr>
          <w:rFonts w:hint="cs"/>
          <w:sz w:val="24"/>
          <w:szCs w:val="24"/>
          <w:rtl/>
        </w:rPr>
        <w:t>]</w:t>
      </w:r>
      <w:r w:rsidR="00DB731D" w:rsidRPr="00A52585">
        <w:rPr>
          <w:rFonts w:hint="cs"/>
          <w:sz w:val="36"/>
          <w:szCs w:val="36"/>
          <w:rtl/>
        </w:rPr>
        <w:t>،</w:t>
      </w:r>
      <w:r w:rsidR="00777DCB" w:rsidRPr="00A52585">
        <w:rPr>
          <w:rFonts w:hint="cs"/>
          <w:rtl/>
        </w:rPr>
        <w:t xml:space="preserve"> إلى غير ذلك مما علمهم عليه الصلاة والسلام كيفية الزيارة كما جاء في الأحاديث في زيارتها قولاً وفعلاً. وتواتر ذلك وأجمع عليه المسلمون حتى أن منهم من أوجب زيارتها لظاهر قوله عليه الصلاة والسلام (</w:t>
      </w:r>
      <w:r w:rsidRPr="00A52585">
        <w:rPr>
          <w:rFonts w:hint="cs"/>
          <w:rtl/>
        </w:rPr>
        <w:t>(</w:t>
      </w:r>
      <w:r w:rsidR="00777DCB" w:rsidRPr="00A52585">
        <w:rPr>
          <w:rFonts w:hint="cs"/>
          <w:rtl/>
        </w:rPr>
        <w:t>زوروا القبور</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فلو كانت الزيارة من الأمور التي تؤدي إلى الشرك كاتخاذها مساجد وعيداً والتصوير ونحو ذلك لم يشرعه الله عز وجل لنبيه صلى الله عليه وسلم ولا شرعها ورسول الله صلى الله عليه وسلم بقوله وبفعله وقد أطلعه الله عز وجل على ما أراد من غيبه وبعثه بدينه القويم وهو الصراط المستقيم</w:t>
      </w:r>
      <w:r w:rsidR="00DB731D" w:rsidRPr="00A52585">
        <w:rPr>
          <w:rFonts w:hint="cs"/>
          <w:rtl/>
        </w:rPr>
        <w:t>،</w:t>
      </w:r>
      <w:r w:rsidR="00777DCB" w:rsidRPr="00A52585">
        <w:rPr>
          <w:rFonts w:hint="cs"/>
          <w:rtl/>
        </w:rPr>
        <w:t xml:space="preserve"> ولا فعلها الصحابة رضي الله عنهم الذين هم من أصفياء الله تعالى بل كانوا أحرص الناس على ذلك خوفاً من إعادة ما جاء رسول الله صلى الله عليه وسلم بإماتته ودفنه </w:t>
      </w:r>
      <w:proofErr w:type="spellStart"/>
      <w:r w:rsidR="00777DCB" w:rsidRPr="00A52585">
        <w:rPr>
          <w:rFonts w:hint="cs"/>
          <w:rtl/>
        </w:rPr>
        <w:t>واندراس</w:t>
      </w:r>
      <w:proofErr w:type="spellEnd"/>
      <w:r w:rsidR="00777DCB" w:rsidRPr="00A52585">
        <w:rPr>
          <w:rFonts w:hint="cs"/>
          <w:rtl/>
        </w:rPr>
        <w:t xml:space="preserve"> أثره والله أعلم</w:t>
      </w:r>
      <w:r w:rsidR="00DB731D" w:rsidRPr="00A52585">
        <w:rPr>
          <w:rFonts w:hint="cs"/>
          <w:rtl/>
        </w:rPr>
        <w:t>،</w:t>
      </w:r>
      <w:r w:rsidR="00777DCB" w:rsidRPr="00A52585">
        <w:rPr>
          <w:rFonts w:hint="cs"/>
          <w:rtl/>
        </w:rPr>
        <w:t xml:space="preserve"> وأنت أيها العاقل الفطن إذا تصورت ما قررته لك </w:t>
      </w:r>
      <w:proofErr w:type="spellStart"/>
      <w:r w:rsidR="00777DCB" w:rsidRPr="00A52585">
        <w:rPr>
          <w:rFonts w:hint="cs"/>
          <w:rtl/>
        </w:rPr>
        <w:t>وتعقلته</w:t>
      </w:r>
      <w:proofErr w:type="spellEnd"/>
      <w:r w:rsidR="00777DCB" w:rsidRPr="00A52585">
        <w:rPr>
          <w:rFonts w:hint="cs"/>
          <w:rtl/>
        </w:rPr>
        <w:t xml:space="preserve"> بذهنك الصحيح علمت وتحققت أنه ليس لأحد أن يحرم إلا ما حرم الله تعالى ورسوله وأنه لا يحل له التهجم على موارد الشرع ومصادرها بخيالاته الفاسدة. وأنه بذهنه الجامد أدرك ما لم يدركه الصحابة رضي الله عنهم ولو فتحنا هذا الباب والخيالات الفاسدة لهدمنا أموراً كثيرة من الدين ولا انحلت عراه عروة وتبدلت بعرى الجهالة ولمات الدين وذلك من الخسران المبين</w:t>
      </w:r>
      <w:r w:rsidR="00DB731D" w:rsidRPr="00A52585">
        <w:rPr>
          <w:rFonts w:hint="cs"/>
          <w:rtl/>
        </w:rPr>
        <w:t>،</w:t>
      </w:r>
      <w:r w:rsidR="00777DCB" w:rsidRPr="00A52585">
        <w:rPr>
          <w:rFonts w:hint="cs"/>
          <w:rtl/>
        </w:rPr>
        <w:t xml:space="preserve"> </w:t>
      </w:r>
      <w:r w:rsidR="00777DCB" w:rsidRPr="00A52585">
        <w:rPr>
          <w:rFonts w:hint="cs"/>
          <w:spacing w:val="-6"/>
          <w:rtl/>
        </w:rPr>
        <w:t>فالقول ما قال النبي وصحبه فإذا اقتديـت بهـم فنعـم</w:t>
      </w:r>
      <w:r w:rsidR="00777DCB" w:rsidRPr="00A52585">
        <w:rPr>
          <w:rFonts w:hint="cs"/>
          <w:rtl/>
        </w:rPr>
        <w:t xml:space="preserve"> المقتـــــدى</w:t>
      </w:r>
      <w:r w:rsidR="00DB731D" w:rsidRPr="00A52585">
        <w:rPr>
          <w:rFonts w:hint="cs"/>
          <w:rtl/>
        </w:rPr>
        <w:t>،</w:t>
      </w:r>
    </w:p>
    <w:p w14:paraId="7A1EF660" w14:textId="47C02F07" w:rsidR="00777DCB" w:rsidRPr="00A52585" w:rsidRDefault="0002035C" w:rsidP="0002035C">
      <w:pPr>
        <w:spacing w:after="240"/>
        <w:rPr>
          <w:b/>
          <w:rtl/>
        </w:rPr>
      </w:pPr>
      <w:r w:rsidRPr="00A52585">
        <w:rPr>
          <w:rFonts w:hint="cs"/>
          <w:bCs/>
          <w:rtl/>
        </w:rPr>
        <w:t>[</w:t>
      </w:r>
      <w:r w:rsidR="00777DCB" w:rsidRPr="00A52585">
        <w:rPr>
          <w:rFonts w:hint="cs"/>
          <w:bCs/>
          <w:rtl/>
        </w:rPr>
        <w:t>ح- احتجاج ابن تيمية على منع الزيارة بدعاء الرسول صلى الله عليه وسلم (اللهم لا تجعل قبري وثنا</w:t>
      </w:r>
      <w:r w:rsidR="00777DCB" w:rsidRPr="00A52585">
        <w:rPr>
          <w:bCs/>
        </w:rPr>
        <w:t>…</w:t>
      </w:r>
      <w:r w:rsidR="00777DCB" w:rsidRPr="00A52585">
        <w:rPr>
          <w:rFonts w:hint="cs"/>
          <w:bCs/>
          <w:rtl/>
        </w:rPr>
        <w:t>) مع أن دعاءه صلى الله عليه وسلم مستجاب</w:t>
      </w:r>
      <w:r w:rsidRPr="00A52585">
        <w:rPr>
          <w:rFonts w:hint="cs"/>
          <w:bCs/>
          <w:rtl/>
        </w:rPr>
        <w:t>]:</w:t>
      </w:r>
      <w:r w:rsidR="00777DCB" w:rsidRPr="00A52585">
        <w:rPr>
          <w:rFonts w:hint="cs"/>
          <w:bCs/>
          <w:rtl/>
        </w:rPr>
        <w:t xml:space="preserve"> </w:t>
      </w:r>
      <w:r w:rsidR="00777DCB" w:rsidRPr="00A52585">
        <w:rPr>
          <w:rFonts w:hint="cs"/>
          <w:rtl/>
        </w:rPr>
        <w:t>واعلم أن من جملة ما احتج به على منع زيارته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اللهم لا تجعل قبري وثنا يعبد اشتد غضب الله على قوم اتخذوا قبور أنبيائهم مساجد</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وهذا من أظهر الأمور على </w:t>
      </w:r>
      <w:proofErr w:type="spellStart"/>
      <w:r w:rsidR="00777DCB" w:rsidRPr="00A52585">
        <w:rPr>
          <w:rFonts w:hint="cs"/>
          <w:rtl/>
        </w:rPr>
        <w:t>عماوة</w:t>
      </w:r>
      <w:proofErr w:type="spellEnd"/>
      <w:r w:rsidR="00777DCB" w:rsidRPr="00A52585">
        <w:rPr>
          <w:rFonts w:hint="cs"/>
          <w:rtl/>
        </w:rPr>
        <w:t xml:space="preserve"> قلبه وطمس بصيرته كيف بقي يتخيل متخيل فضلا عن أن يعتقد معتقد أن قبره المكرم المعظم يصير وثناً كلا والذي رفع ذكره وعلا قدره وبجلّه وعظمه وملأ كتابه بذلك لا يمكن تصور ذلك وكيف يتصور وهو لا ترد له دعوة ولا في حق غيره </w:t>
      </w:r>
      <w:r w:rsidR="00777DCB" w:rsidRPr="00A52585">
        <w:rPr>
          <w:rFonts w:hint="cs"/>
          <w:rtl/>
        </w:rPr>
        <w:lastRenderedPageBreak/>
        <w:t>فكيف بما هو في حقه وهذا من المعلوم الشائع الذائع المتسع الباع ولو عددت لك نقطة من ذلك مع الاقتصاد لضاقت القراطيس والألواح</w:t>
      </w:r>
      <w:r w:rsidR="00DB731D" w:rsidRPr="00A52585">
        <w:rPr>
          <w:rFonts w:hint="cs"/>
          <w:rtl/>
        </w:rPr>
        <w:t>،</w:t>
      </w:r>
      <w:r w:rsidR="00777DCB" w:rsidRPr="00A52585">
        <w:rPr>
          <w:rFonts w:hint="cs"/>
          <w:rtl/>
        </w:rPr>
        <w:t xml:space="preserve"> ولما أدرك غبار مباديه ولا</w:t>
      </w:r>
      <w:r w:rsidRPr="00A52585">
        <w:rPr>
          <w:rFonts w:hint="cs"/>
          <w:rtl/>
        </w:rPr>
        <w:t xml:space="preserve"> </w:t>
      </w:r>
      <w:r w:rsidR="00777DCB" w:rsidRPr="00A52585">
        <w:rPr>
          <w:rFonts w:hint="cs"/>
          <w:rtl/>
        </w:rPr>
        <w:t>لاح</w:t>
      </w:r>
      <w:r w:rsidR="00DB731D" w:rsidRPr="00A52585">
        <w:rPr>
          <w:rFonts w:hint="cs"/>
          <w:rtl/>
        </w:rPr>
        <w:t>،</w:t>
      </w:r>
      <w:r w:rsidR="00777DCB" w:rsidRPr="00A52585">
        <w:rPr>
          <w:rFonts w:hint="cs"/>
          <w:rtl/>
        </w:rPr>
        <w:t xml:space="preserve"> </w:t>
      </w:r>
      <w:r w:rsidR="00777DCB" w:rsidRPr="00A52585">
        <w:rPr>
          <w:rFonts w:hint="cs"/>
          <w:bCs/>
          <w:rtl/>
        </w:rPr>
        <w:t>[1-]</w:t>
      </w:r>
      <w:r w:rsidR="00777DCB" w:rsidRPr="00A52585">
        <w:rPr>
          <w:rFonts w:hint="cs"/>
          <w:rtl/>
        </w:rPr>
        <w:t xml:space="preserve"> دعا عليه الصلاة والسلام لسعد بن أبي وقاص رضي الله عنه أن يجيب الله تعالى دعوته فما دعا على أحد إلا استجيب له</w:t>
      </w:r>
      <w:r w:rsidR="00DB731D" w:rsidRPr="00A52585">
        <w:rPr>
          <w:rFonts w:hint="cs"/>
          <w:rtl/>
        </w:rPr>
        <w:t>،</w:t>
      </w:r>
      <w:r w:rsidR="00777DCB" w:rsidRPr="00A52585">
        <w:rPr>
          <w:rFonts w:hint="cs"/>
          <w:rtl/>
        </w:rPr>
        <w:t xml:space="preserve"> وإذا كان هذا قد ناله ببركة دعوته صلى الله عليه وسلم فكيف بدعائه لنفسه لا سيما في هذا الأمر الفظيع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روى الترمذي عن سعد بن أبي وقاص أن رسول الله صلى الله عليه وسلم قال</w:t>
      </w:r>
      <w:r w:rsidRPr="00A52585">
        <w:rPr>
          <w:rFonts w:hint="cs"/>
          <w:sz w:val="24"/>
          <w:szCs w:val="24"/>
          <w:rtl/>
        </w:rPr>
        <w:t xml:space="preserve">: </w:t>
      </w:r>
      <w:r w:rsidR="00777DCB" w:rsidRPr="00A52585">
        <w:rPr>
          <w:rFonts w:hint="cs"/>
          <w:sz w:val="24"/>
          <w:szCs w:val="24"/>
          <w:rtl/>
        </w:rPr>
        <w:t>" اللهم استجب لسعد إذا دعاك "</w:t>
      </w:r>
      <w:r w:rsidRPr="00A52585">
        <w:rPr>
          <w:rFonts w:hint="cs"/>
          <w:sz w:val="24"/>
          <w:szCs w:val="24"/>
          <w:rtl/>
        </w:rPr>
        <w:t xml:space="preserve"> </w:t>
      </w:r>
      <w:r w:rsidR="00777DCB" w:rsidRPr="00A52585">
        <w:rPr>
          <w:rFonts w:hint="cs"/>
          <w:sz w:val="24"/>
          <w:szCs w:val="24"/>
          <w:rtl/>
        </w:rPr>
        <w:t xml:space="preserve">حديث رقم 3752 في المناقب </w:t>
      </w:r>
      <w:r w:rsidR="00777DCB" w:rsidRPr="00A52585">
        <w:rPr>
          <w:sz w:val="24"/>
          <w:szCs w:val="24"/>
        </w:rPr>
        <w:t>–</w:t>
      </w:r>
      <w:r w:rsidR="00777DCB" w:rsidRPr="00A52585">
        <w:rPr>
          <w:rFonts w:hint="cs"/>
          <w:sz w:val="24"/>
          <w:szCs w:val="24"/>
          <w:rtl/>
        </w:rPr>
        <w:t xml:space="preserve"> باب مناقب سعد بن أبي وقاص وإسناده صحيح ورواه ابن حبان في صحيحه والحاكم في المستدرك وصححه </w:t>
      </w:r>
      <w:proofErr w:type="spellStart"/>
      <w:r w:rsidR="00777DCB" w:rsidRPr="00A52585">
        <w:rPr>
          <w:rFonts w:hint="cs"/>
          <w:sz w:val="24"/>
          <w:szCs w:val="24"/>
          <w:rtl/>
        </w:rPr>
        <w:t>ووافقه</w:t>
      </w:r>
      <w:proofErr w:type="spellEnd"/>
      <w:r w:rsidR="00777DCB" w:rsidRPr="00A52585">
        <w:rPr>
          <w:rFonts w:hint="cs"/>
          <w:sz w:val="24"/>
          <w:szCs w:val="24"/>
          <w:rtl/>
        </w:rPr>
        <w:t xml:space="preserve"> الذهبي</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bCs/>
          <w:rtl/>
        </w:rPr>
        <w:t xml:space="preserve">[2-] </w:t>
      </w:r>
      <w:r w:rsidR="00777DCB" w:rsidRPr="00A52585">
        <w:rPr>
          <w:rFonts w:hint="cs"/>
          <w:rtl/>
        </w:rPr>
        <w:t>ومرض أبو طالب فعاده عليه الصلاة والسلام فقال ادع ربك أن يعافيني فقال</w:t>
      </w:r>
      <w:r w:rsidRPr="00A52585">
        <w:rPr>
          <w:rFonts w:hint="cs"/>
          <w:rtl/>
        </w:rPr>
        <w:t>:</w:t>
      </w:r>
      <w:r w:rsidR="00777DCB" w:rsidRPr="00A52585">
        <w:rPr>
          <w:rFonts w:hint="cs"/>
          <w:rtl/>
        </w:rPr>
        <w:t xml:space="preserve"> اللهم اشف عمي فقام في الحال كأنما نشط من عقال. فقال له</w:t>
      </w:r>
      <w:r w:rsidRPr="00A52585">
        <w:rPr>
          <w:rFonts w:hint="cs"/>
          <w:rtl/>
        </w:rPr>
        <w:t>:</w:t>
      </w:r>
      <w:r w:rsidR="00777DCB" w:rsidRPr="00A52585">
        <w:rPr>
          <w:rFonts w:hint="cs"/>
          <w:rtl/>
        </w:rPr>
        <w:t xml:space="preserve"> يا ابن أخي أيطيعك ربك</w:t>
      </w:r>
      <w:r w:rsidR="00F95886"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وأنت يا عماه لئن أطعت الله عز وجل ليطيعنك</w:t>
      </w:r>
      <w:r w:rsidR="00DB731D" w:rsidRPr="00A52585">
        <w:rPr>
          <w:rFonts w:hint="cs"/>
          <w:rtl/>
        </w:rPr>
        <w:t>،</w:t>
      </w:r>
      <w:r w:rsidR="00777DCB" w:rsidRPr="00A52585">
        <w:rPr>
          <w:rFonts w:hint="cs"/>
          <w:rtl/>
        </w:rPr>
        <w:t xml:space="preserve"> </w:t>
      </w:r>
      <w:r w:rsidR="00777DCB" w:rsidRPr="00A52585">
        <w:rPr>
          <w:rFonts w:hint="cs"/>
          <w:bCs/>
          <w:rtl/>
        </w:rPr>
        <w:t>[3-]</w:t>
      </w:r>
      <w:r w:rsidR="00777DCB" w:rsidRPr="00A52585">
        <w:rPr>
          <w:rFonts w:hint="cs"/>
          <w:rtl/>
        </w:rPr>
        <w:t xml:space="preserve"> ودعا عليه الصلاة والسلام لابنته فاطمة رضي الله عنها أن الله تعالى لا يجيعها</w:t>
      </w:r>
      <w:r w:rsidR="00DB731D" w:rsidRPr="00A52585">
        <w:rPr>
          <w:rFonts w:hint="cs"/>
          <w:rtl/>
        </w:rPr>
        <w:t>،</w:t>
      </w:r>
      <w:r w:rsidR="00777DCB" w:rsidRPr="00A52585">
        <w:rPr>
          <w:rFonts w:hint="cs"/>
          <w:rtl/>
        </w:rPr>
        <w:t xml:space="preserve"> قالت رضي الله عنها</w:t>
      </w:r>
      <w:r w:rsidRPr="00A52585">
        <w:rPr>
          <w:rFonts w:hint="cs"/>
          <w:rtl/>
        </w:rPr>
        <w:t>:</w:t>
      </w:r>
      <w:r w:rsidR="00777DCB" w:rsidRPr="00A52585">
        <w:rPr>
          <w:rFonts w:hint="cs"/>
          <w:rtl/>
        </w:rPr>
        <w:t xml:space="preserve"> فما جعت بعد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الطبراني في الأوسط عن عمران بن حصين يقول الحافظ الهيثمي في مجمع الزوائد</w:t>
      </w:r>
      <w:r w:rsidRPr="00A52585">
        <w:rPr>
          <w:rFonts w:hint="cs"/>
          <w:sz w:val="24"/>
          <w:szCs w:val="24"/>
          <w:rtl/>
        </w:rPr>
        <w:t xml:space="preserve">: </w:t>
      </w:r>
      <w:r w:rsidR="00777DCB" w:rsidRPr="00A52585">
        <w:rPr>
          <w:rFonts w:hint="cs"/>
          <w:sz w:val="24"/>
          <w:szCs w:val="24"/>
          <w:rtl/>
        </w:rPr>
        <w:t>" وفيه عتبة بن حميد وثقه ابن حبان وغيره وضعفه جماعة، وبقية رجاله وثقوا "</w:t>
      </w:r>
      <w:r w:rsidRPr="00A52585">
        <w:rPr>
          <w:rFonts w:hint="cs"/>
          <w:sz w:val="24"/>
          <w:szCs w:val="24"/>
          <w:rtl/>
        </w:rPr>
        <w:t xml:space="preserve"> </w:t>
      </w:r>
      <w:r w:rsidR="00777DCB" w:rsidRPr="00A52585">
        <w:rPr>
          <w:rFonts w:hint="cs"/>
          <w:sz w:val="24"/>
          <w:szCs w:val="24"/>
          <w:rtl/>
        </w:rPr>
        <w:t>أهـ 9/204</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rtl/>
        </w:rPr>
        <w:t>[4-]</w:t>
      </w:r>
      <w:r w:rsidR="00777DCB" w:rsidRPr="00A52585">
        <w:rPr>
          <w:rFonts w:hint="cs"/>
          <w:rtl/>
        </w:rPr>
        <w:t xml:space="preserve"> ودعا عليه الصلاة والسلام لعلي رضي الله عنه أن يكفيه الحر والبرد فكان يلبس في الشتاء ثياب الصيف وفي الصيف ثياب الشتاء ولا يصيبه حر ولا برد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رواه الطبراني في الأوسط عن عبد الرحمن بن أبي ليلى ذكر ذلك الهيثمي في مجمع الزوائد 9/122 ثم قال</w:t>
      </w:r>
      <w:r w:rsidRPr="00A52585">
        <w:rPr>
          <w:rFonts w:hint="cs"/>
          <w:sz w:val="24"/>
          <w:szCs w:val="24"/>
          <w:rtl/>
        </w:rPr>
        <w:t xml:space="preserve">: </w:t>
      </w:r>
      <w:r w:rsidR="00777DCB" w:rsidRPr="00A52585">
        <w:rPr>
          <w:rFonts w:hint="cs"/>
          <w:sz w:val="24"/>
          <w:szCs w:val="24"/>
          <w:rtl/>
        </w:rPr>
        <w:t>" وإسناده حسن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rtl/>
        </w:rPr>
        <w:t>،</w:t>
      </w:r>
      <w:r w:rsidR="00777DCB" w:rsidRPr="00A52585">
        <w:rPr>
          <w:rFonts w:hint="cs"/>
          <w:rtl/>
        </w:rPr>
        <w:t xml:space="preserve"> </w:t>
      </w:r>
      <w:r w:rsidR="00777DCB" w:rsidRPr="00A52585">
        <w:rPr>
          <w:rFonts w:hint="cs"/>
          <w:bCs/>
          <w:rtl/>
        </w:rPr>
        <w:t>[5-]</w:t>
      </w:r>
      <w:r w:rsidR="00777DCB" w:rsidRPr="00A52585">
        <w:rPr>
          <w:rFonts w:hint="cs"/>
          <w:rtl/>
        </w:rPr>
        <w:t xml:space="preserve"> ودعا عليه الصلاة والسلام لابن عباس رضي الله عنهما فقال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اللهم فقهه في الدين وعلم به التأويل</w:t>
      </w:r>
      <w:r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رواه أحمد والطبراني وابن حبَّان بأسانيد متعددة والحاكم وصححه وأقره الذهبي</w:t>
      </w:r>
      <w:r w:rsidRPr="00A52585">
        <w:rPr>
          <w:rFonts w:hint="cs"/>
          <w:sz w:val="24"/>
          <w:szCs w:val="24"/>
          <w:rtl/>
        </w:rPr>
        <w:t>]</w:t>
      </w:r>
      <w:r w:rsidR="00DB731D" w:rsidRPr="00A52585">
        <w:rPr>
          <w:rFonts w:hint="cs"/>
          <w:rtl/>
        </w:rPr>
        <w:t>،</w:t>
      </w:r>
      <w:r w:rsidR="00777DCB" w:rsidRPr="00A52585">
        <w:rPr>
          <w:rFonts w:hint="cs"/>
          <w:rtl/>
        </w:rPr>
        <w:t xml:space="preserve"> فكان كذلك وكان بعد ذلك يسمى الحبر وترجمان القرآن</w:t>
      </w:r>
      <w:r w:rsidR="00DB731D" w:rsidRPr="00A52585">
        <w:rPr>
          <w:rFonts w:hint="cs"/>
          <w:rtl/>
        </w:rPr>
        <w:t>،</w:t>
      </w:r>
      <w:r w:rsidR="00777DCB" w:rsidRPr="00A52585">
        <w:rPr>
          <w:rFonts w:hint="cs"/>
          <w:rtl/>
        </w:rPr>
        <w:t xml:space="preserve"> </w:t>
      </w:r>
      <w:r w:rsidR="00777DCB" w:rsidRPr="00A52585">
        <w:rPr>
          <w:rFonts w:hint="cs"/>
          <w:bCs/>
          <w:rtl/>
        </w:rPr>
        <w:t>[6-]</w:t>
      </w:r>
      <w:r w:rsidR="00777DCB" w:rsidRPr="00A52585">
        <w:rPr>
          <w:rFonts w:hint="cs"/>
          <w:rtl/>
        </w:rPr>
        <w:t xml:space="preserve"> ودعا </w:t>
      </w:r>
      <w:r w:rsidRPr="00A52585">
        <w:rPr>
          <w:rFonts w:hint="cs"/>
          <w:rtl/>
        </w:rPr>
        <w:t>[</w:t>
      </w:r>
      <w:r w:rsidR="00777DCB" w:rsidRPr="00A52585">
        <w:rPr>
          <w:rFonts w:hint="cs"/>
          <w:rtl/>
        </w:rPr>
        <w:t>لعبد الله</w:t>
      </w:r>
      <w:r w:rsidRPr="00A52585">
        <w:rPr>
          <w:rFonts w:hint="cs"/>
          <w:rtl/>
        </w:rPr>
        <w:t>]</w:t>
      </w:r>
      <w:r w:rsidR="00777DCB" w:rsidRPr="00A52585">
        <w:rPr>
          <w:rFonts w:hint="cs"/>
          <w:vertAlign w:val="superscript"/>
          <w:rtl/>
        </w:rPr>
        <w:t xml:space="preserve"> </w:t>
      </w:r>
      <w:r w:rsidR="00777DCB" w:rsidRPr="00A52585">
        <w:rPr>
          <w:rFonts w:hint="cs"/>
          <w:rtl/>
        </w:rPr>
        <w:t>بن جعفر بالبركة في صفقة يمينه فما اشترى شيئاً إلا ربح فيه</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 روى عمرو بن حريث أن رسول الله صلى الله عليه وسلم مرَّ بعبد الله بن جعفر وهو يبيع بيع الغلمان أو الصبيان قال</w:t>
      </w:r>
      <w:r w:rsidRPr="00A52585">
        <w:rPr>
          <w:rFonts w:hint="cs"/>
          <w:sz w:val="24"/>
          <w:szCs w:val="24"/>
          <w:rtl/>
        </w:rPr>
        <w:t>:</w:t>
      </w:r>
      <w:r w:rsidR="00777DCB" w:rsidRPr="00A52585">
        <w:rPr>
          <w:rFonts w:hint="cs"/>
          <w:sz w:val="24"/>
          <w:szCs w:val="24"/>
          <w:rtl/>
        </w:rPr>
        <w:t xml:space="preserve"> (اللهم بارك له في بيعه أو قال في صفقته) رواه أبو يعلى والطبراني ورجالهما ثقات"</w:t>
      </w:r>
      <w:r w:rsidRPr="00A52585">
        <w:rPr>
          <w:rFonts w:hint="cs"/>
          <w:sz w:val="24"/>
          <w:szCs w:val="24"/>
          <w:rtl/>
        </w:rPr>
        <w:t xml:space="preserve"> </w:t>
      </w:r>
      <w:r w:rsidR="00777DCB" w:rsidRPr="00A52585">
        <w:rPr>
          <w:rFonts w:hint="cs"/>
          <w:sz w:val="24"/>
          <w:szCs w:val="24"/>
          <w:rtl/>
        </w:rPr>
        <w:t xml:space="preserve">أهـ مجمع الزوائد 9/286 وانظر دلائل النبوة للبيهقي 6/220 </w:t>
      </w:r>
      <w:r w:rsidR="00777DCB" w:rsidRPr="00A52585">
        <w:rPr>
          <w:sz w:val="24"/>
          <w:szCs w:val="24"/>
        </w:rPr>
        <w:t>–</w:t>
      </w:r>
      <w:r w:rsidR="00777DCB" w:rsidRPr="00A52585">
        <w:rPr>
          <w:rFonts w:hint="cs"/>
          <w:sz w:val="24"/>
          <w:szCs w:val="24"/>
          <w:rtl/>
        </w:rPr>
        <w:t>221</w:t>
      </w:r>
      <w:r w:rsidRPr="00A52585">
        <w:rPr>
          <w:rFonts w:hint="cs"/>
          <w:sz w:val="24"/>
          <w:szCs w:val="24"/>
          <w:rtl/>
        </w:rPr>
        <w:t>]</w:t>
      </w:r>
      <w:r w:rsidR="00DB731D" w:rsidRPr="00A52585">
        <w:rPr>
          <w:rFonts w:hint="cs"/>
          <w:rtl/>
        </w:rPr>
        <w:t>،</w:t>
      </w:r>
      <w:r w:rsidR="00777DCB" w:rsidRPr="00A52585">
        <w:rPr>
          <w:rFonts w:hint="cs"/>
          <w:rtl/>
        </w:rPr>
        <w:t xml:space="preserve"> </w:t>
      </w:r>
      <w:r w:rsidR="00777DCB" w:rsidRPr="00A52585">
        <w:rPr>
          <w:rFonts w:hint="cs"/>
          <w:bCs/>
          <w:rtl/>
        </w:rPr>
        <w:t>[7-]</w:t>
      </w:r>
      <w:r w:rsidR="00777DCB" w:rsidRPr="00A52585">
        <w:rPr>
          <w:rFonts w:hint="cs"/>
          <w:rtl/>
        </w:rPr>
        <w:t xml:space="preserve"> ودعا عليه الصلاة والسلام لعروة بن أبي الجعد فكان لو اشترى التراب لربح فيه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انظر دلائل النبوة للبيهقي 6/220، دلائل النبوة لأبي نعيم ص 395</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rtl/>
        </w:rPr>
        <w:t xml:space="preserve">[8-] </w:t>
      </w:r>
      <w:r w:rsidR="00777DCB" w:rsidRPr="00A52585">
        <w:rPr>
          <w:rFonts w:hint="cs"/>
          <w:rtl/>
        </w:rPr>
        <w:t>ودعا عليه الصلاة والسلام لعبد الرحمن بن عوف رضي الله عنه بالبركة قال عبد الرحمن</w:t>
      </w:r>
      <w:r w:rsidRPr="00A52585">
        <w:rPr>
          <w:rFonts w:hint="cs"/>
          <w:rtl/>
        </w:rPr>
        <w:t>:</w:t>
      </w:r>
      <w:r w:rsidR="00777DCB" w:rsidRPr="00A52585">
        <w:rPr>
          <w:rFonts w:hint="cs"/>
          <w:rtl/>
        </w:rPr>
        <w:t xml:space="preserve"> فلو رفعت حجراً لرجوت أن أصيب تحته ذهباً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دعاء الرسول صلى الله عليه وسلم لعبد الرحمن بن عوف بالبركة في قصة زواجه</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قال</w:t>
      </w:r>
      <w:r w:rsidRPr="00A52585">
        <w:rPr>
          <w:rFonts w:hint="cs"/>
          <w:sz w:val="24"/>
          <w:szCs w:val="24"/>
          <w:rtl/>
        </w:rPr>
        <w:t>:</w:t>
      </w:r>
      <w:r w:rsidR="00777DCB" w:rsidRPr="00A52585">
        <w:rPr>
          <w:rFonts w:hint="cs"/>
          <w:sz w:val="24"/>
          <w:szCs w:val="24"/>
          <w:rtl/>
        </w:rPr>
        <w:t xml:space="preserve"> بارك الله لك أولم ولو بشاة "</w:t>
      </w:r>
      <w:r w:rsidRPr="00A52585">
        <w:rPr>
          <w:rFonts w:hint="cs"/>
          <w:sz w:val="24"/>
          <w:szCs w:val="24"/>
          <w:rtl/>
        </w:rPr>
        <w:t xml:space="preserve"> </w:t>
      </w:r>
      <w:r w:rsidR="00777DCB" w:rsidRPr="00A52585">
        <w:rPr>
          <w:rFonts w:hint="cs"/>
          <w:sz w:val="24"/>
          <w:szCs w:val="24"/>
          <w:rtl/>
        </w:rPr>
        <w:t>أخرجه البخاري</w:t>
      </w:r>
      <w:r w:rsidRPr="00A52585">
        <w:rPr>
          <w:rFonts w:hint="cs"/>
          <w:sz w:val="24"/>
          <w:szCs w:val="24"/>
          <w:rtl/>
        </w:rPr>
        <w:t>:</w:t>
      </w:r>
      <w:r w:rsidR="00777DCB" w:rsidRPr="00A52585">
        <w:rPr>
          <w:rFonts w:hint="cs"/>
          <w:sz w:val="24"/>
          <w:szCs w:val="24"/>
          <w:rtl/>
        </w:rPr>
        <w:t xml:space="preserve"> كتاب (النكاح) </w:t>
      </w:r>
      <w:r w:rsidR="00777DCB" w:rsidRPr="00A52585">
        <w:rPr>
          <w:sz w:val="24"/>
          <w:szCs w:val="24"/>
        </w:rPr>
        <w:t>–</w:t>
      </w:r>
      <w:r w:rsidR="00777DCB" w:rsidRPr="00A52585">
        <w:rPr>
          <w:rFonts w:hint="cs"/>
          <w:sz w:val="24"/>
          <w:szCs w:val="24"/>
          <w:rtl/>
        </w:rPr>
        <w:t xml:space="preserve"> باب كيف يدعى للمتزوج وأخرجه مسلم</w:t>
      </w:r>
      <w:r w:rsidRPr="00A52585">
        <w:rPr>
          <w:rFonts w:hint="cs"/>
          <w:sz w:val="24"/>
          <w:szCs w:val="24"/>
          <w:rtl/>
        </w:rPr>
        <w:t>:</w:t>
      </w:r>
      <w:r w:rsidR="00777DCB" w:rsidRPr="00A52585">
        <w:rPr>
          <w:rFonts w:hint="cs"/>
          <w:sz w:val="24"/>
          <w:szCs w:val="24"/>
          <w:rtl/>
        </w:rPr>
        <w:t xml:space="preserve"> كتاب (النكاح) </w:t>
      </w:r>
      <w:r w:rsidR="00777DCB" w:rsidRPr="00A52585">
        <w:rPr>
          <w:sz w:val="24"/>
          <w:szCs w:val="24"/>
        </w:rPr>
        <w:t>–</w:t>
      </w:r>
      <w:r w:rsidR="00777DCB" w:rsidRPr="00A52585">
        <w:rPr>
          <w:sz w:val="24"/>
          <w:szCs w:val="24"/>
          <w:rtl/>
        </w:rPr>
        <w:t xml:space="preserve"> </w:t>
      </w:r>
      <w:r w:rsidR="00777DCB" w:rsidRPr="00A52585">
        <w:rPr>
          <w:rFonts w:hint="cs"/>
          <w:sz w:val="24"/>
          <w:szCs w:val="24"/>
          <w:rtl/>
        </w:rPr>
        <w:t>باب</w:t>
      </w:r>
      <w:r w:rsidRPr="00A52585">
        <w:rPr>
          <w:rFonts w:hint="cs"/>
          <w:sz w:val="24"/>
          <w:szCs w:val="24"/>
          <w:rtl/>
        </w:rPr>
        <w:t>:</w:t>
      </w:r>
      <w:r w:rsidR="00777DCB" w:rsidRPr="00A52585">
        <w:rPr>
          <w:rFonts w:hint="cs"/>
          <w:sz w:val="24"/>
          <w:szCs w:val="24"/>
          <w:rtl/>
        </w:rPr>
        <w:t xml:space="preserve"> الصداق وجواز كونه تعليم قرآن وخاتم حديد وغير ذلك</w:t>
      </w:r>
      <w:r w:rsidR="00DB731D" w:rsidRPr="00A52585">
        <w:rPr>
          <w:rFonts w:hint="cs"/>
          <w:sz w:val="24"/>
          <w:szCs w:val="24"/>
          <w:rtl/>
        </w:rPr>
        <w:t>،</w:t>
      </w:r>
      <w:r w:rsidR="00777DCB" w:rsidRPr="00A52585">
        <w:rPr>
          <w:rFonts w:hint="cs"/>
          <w:sz w:val="24"/>
          <w:szCs w:val="24"/>
          <w:rtl/>
        </w:rPr>
        <w:t xml:space="preserve"> أما عبارة عبد الرحمن</w:t>
      </w:r>
      <w:r w:rsidRPr="00A52585">
        <w:rPr>
          <w:rFonts w:hint="cs"/>
          <w:sz w:val="24"/>
          <w:szCs w:val="24"/>
          <w:rtl/>
        </w:rPr>
        <w:t xml:space="preserve">: </w:t>
      </w:r>
      <w:r w:rsidR="00777DCB" w:rsidRPr="00A52585">
        <w:rPr>
          <w:rFonts w:hint="cs"/>
          <w:sz w:val="24"/>
          <w:szCs w:val="24"/>
          <w:rtl/>
        </w:rPr>
        <w:t>" فلقد رأيتني ولو رفعت حجراً لرجوت أن أصيب تحته ذهبا أو فضة"</w:t>
      </w:r>
      <w:r w:rsidRPr="00A52585">
        <w:rPr>
          <w:rFonts w:hint="cs"/>
          <w:sz w:val="24"/>
          <w:szCs w:val="24"/>
          <w:rtl/>
        </w:rPr>
        <w:t xml:space="preserve"> </w:t>
      </w:r>
      <w:r w:rsidR="00777DCB" w:rsidRPr="00A52585">
        <w:rPr>
          <w:rFonts w:hint="cs"/>
          <w:sz w:val="24"/>
          <w:szCs w:val="24"/>
          <w:rtl/>
        </w:rPr>
        <w:t xml:space="preserve">فهو من رواية البيهقي في دلائل </w:t>
      </w:r>
      <w:r w:rsidR="00777DCB" w:rsidRPr="00A52585">
        <w:rPr>
          <w:rFonts w:hint="cs"/>
          <w:sz w:val="24"/>
          <w:szCs w:val="24"/>
          <w:rtl/>
        </w:rPr>
        <w:lastRenderedPageBreak/>
        <w:t>النبوة 6/219 وأخرجه أبو داود أيضاً في كتاب (النكاح) باب</w:t>
      </w:r>
      <w:r w:rsidRPr="00A52585">
        <w:rPr>
          <w:rFonts w:hint="cs"/>
          <w:sz w:val="24"/>
          <w:szCs w:val="24"/>
          <w:rtl/>
        </w:rPr>
        <w:t>:</w:t>
      </w:r>
      <w:r w:rsidR="00777DCB" w:rsidRPr="00A52585">
        <w:rPr>
          <w:rFonts w:hint="cs"/>
          <w:sz w:val="24"/>
          <w:szCs w:val="24"/>
          <w:rtl/>
        </w:rPr>
        <w:t xml:space="preserve"> (قلة المهر)</w:t>
      </w:r>
      <w:r w:rsidRPr="00A52585">
        <w:rPr>
          <w:rFonts w:hint="cs"/>
          <w:sz w:val="24"/>
          <w:szCs w:val="24"/>
          <w:rtl/>
        </w:rPr>
        <w:t>]</w:t>
      </w:r>
      <w:r w:rsidR="00DB731D" w:rsidRPr="00A52585">
        <w:rPr>
          <w:rFonts w:hint="cs"/>
          <w:sz w:val="24"/>
          <w:szCs w:val="24"/>
          <w:rtl/>
        </w:rPr>
        <w:t>،</w:t>
      </w:r>
      <w:r w:rsidR="00777DCB" w:rsidRPr="00A52585">
        <w:rPr>
          <w:rFonts w:hint="cs"/>
          <w:rtl/>
        </w:rPr>
        <w:t xml:space="preserve"> </w:t>
      </w:r>
      <w:r w:rsidR="00777DCB" w:rsidRPr="00A52585">
        <w:rPr>
          <w:rFonts w:hint="cs"/>
          <w:bCs/>
          <w:rtl/>
        </w:rPr>
        <w:t>[9-]</w:t>
      </w:r>
      <w:r w:rsidR="00777DCB" w:rsidRPr="00A52585">
        <w:rPr>
          <w:rFonts w:hint="cs"/>
          <w:rtl/>
        </w:rPr>
        <w:t xml:space="preserve"> وندت له عليه الصلاة والسلام ناقة فدعا بردها فجاءتها إعصار ريح حتى ردها عليه</w:t>
      </w:r>
      <w:r w:rsidR="00DB731D" w:rsidRPr="00A52585">
        <w:rPr>
          <w:rFonts w:hint="cs"/>
          <w:rtl/>
        </w:rPr>
        <w:t>،</w:t>
      </w:r>
      <w:r w:rsidR="00777DCB" w:rsidRPr="00A52585">
        <w:rPr>
          <w:rFonts w:hint="cs"/>
          <w:rtl/>
        </w:rPr>
        <w:t xml:space="preserve"> فانظر كيف من كساه خلع القرب والمنزلة عنده أن جعلها </w:t>
      </w:r>
      <w:proofErr w:type="spellStart"/>
      <w:r w:rsidR="00777DCB" w:rsidRPr="00A52585">
        <w:rPr>
          <w:rFonts w:hint="cs"/>
          <w:rtl/>
        </w:rPr>
        <w:t>سائسة</w:t>
      </w:r>
      <w:proofErr w:type="spellEnd"/>
      <w:r w:rsidR="00777DCB" w:rsidRPr="00A52585">
        <w:rPr>
          <w:rFonts w:hint="cs"/>
          <w:rtl/>
        </w:rPr>
        <w:t xml:space="preserve"> بعيره</w:t>
      </w:r>
      <w:r w:rsidR="00DB731D" w:rsidRPr="00A52585">
        <w:rPr>
          <w:rFonts w:hint="cs"/>
          <w:rtl/>
        </w:rPr>
        <w:t>،</w:t>
      </w:r>
      <w:r w:rsidR="00777DCB" w:rsidRPr="00A52585">
        <w:rPr>
          <w:rFonts w:hint="cs"/>
          <w:rtl/>
        </w:rPr>
        <w:t xml:space="preserve"> والإعصار أحد الأعاصير وهو الريح العاصف التي ترتفع إلى السماء كأنها عمود</w:t>
      </w:r>
      <w:r w:rsidR="00DB731D" w:rsidRPr="00A52585">
        <w:rPr>
          <w:rFonts w:hint="cs"/>
          <w:rtl/>
        </w:rPr>
        <w:t>،</w:t>
      </w:r>
      <w:r w:rsidR="00777DCB" w:rsidRPr="00A52585">
        <w:rPr>
          <w:rFonts w:hint="cs"/>
          <w:rtl/>
        </w:rPr>
        <w:t xml:space="preserve"> </w:t>
      </w:r>
      <w:r w:rsidR="00777DCB" w:rsidRPr="00A52585">
        <w:rPr>
          <w:rFonts w:hint="cs"/>
          <w:bCs/>
          <w:rtl/>
        </w:rPr>
        <w:t>[10-]</w:t>
      </w:r>
      <w:r w:rsidR="00777DCB" w:rsidRPr="00A52585">
        <w:rPr>
          <w:rFonts w:hint="cs"/>
          <w:rtl/>
        </w:rPr>
        <w:t xml:space="preserve"> وفي حديث أسماء بنت عميس رضي الله عنها أنه عليه الصلاة والسلام كان يوحى إليه ورأسه في حجر علي رضي الله عنه فلم يصل العصر حتى غربت الشمس فقال عليه الصلاة والسلام</w:t>
      </w:r>
      <w:r w:rsidRPr="00A52585">
        <w:rPr>
          <w:rFonts w:hint="cs"/>
          <w:rtl/>
        </w:rPr>
        <w:t>:</w:t>
      </w:r>
      <w:r w:rsidR="00777DCB" w:rsidRPr="00A52585">
        <w:rPr>
          <w:rFonts w:hint="cs"/>
          <w:rtl/>
        </w:rPr>
        <w:t xml:space="preserve"> اللهم إنه كان في طاعتك وطاعة رسولك </w:t>
      </w:r>
      <w:proofErr w:type="spellStart"/>
      <w:r w:rsidR="00777DCB" w:rsidRPr="00A52585">
        <w:rPr>
          <w:rFonts w:hint="cs"/>
          <w:rtl/>
        </w:rPr>
        <w:t>فاردد</w:t>
      </w:r>
      <w:proofErr w:type="spellEnd"/>
      <w:r w:rsidR="00777DCB" w:rsidRPr="00A52585">
        <w:rPr>
          <w:rFonts w:hint="cs"/>
          <w:rtl/>
        </w:rPr>
        <w:t xml:space="preserve"> عليه الشمس قالت أسماء رضي الله عنها</w:t>
      </w:r>
      <w:r w:rsidRPr="00A52585">
        <w:rPr>
          <w:rFonts w:hint="cs"/>
          <w:rtl/>
        </w:rPr>
        <w:t>:</w:t>
      </w:r>
      <w:r w:rsidR="00777DCB" w:rsidRPr="00A52585">
        <w:rPr>
          <w:rFonts w:hint="cs"/>
          <w:rtl/>
        </w:rPr>
        <w:t xml:space="preserve"> فرأيتها غربت</w:t>
      </w:r>
      <w:r w:rsidR="00DB731D" w:rsidRPr="00A52585">
        <w:rPr>
          <w:rFonts w:hint="cs"/>
          <w:rtl/>
        </w:rPr>
        <w:t>،</w:t>
      </w:r>
      <w:r w:rsidR="00777DCB" w:rsidRPr="00A52585">
        <w:rPr>
          <w:rFonts w:hint="cs"/>
          <w:rtl/>
        </w:rPr>
        <w:t xml:space="preserve"> ثم رأيتها طلعت بعد ما غربت ورفعت على الجبال</w:t>
      </w:r>
      <w:r w:rsidR="00DB731D" w:rsidRPr="00A52585">
        <w:rPr>
          <w:rFonts w:hint="cs"/>
          <w:rtl/>
        </w:rPr>
        <w:t>،</w:t>
      </w:r>
      <w:r w:rsidR="00777DCB" w:rsidRPr="00A52585">
        <w:rPr>
          <w:rFonts w:hint="cs"/>
          <w:rtl/>
        </w:rPr>
        <w:t xml:space="preserve"> وذلك بالصهباء بخيبر. وقيل رجعت حتى بلغت نصف المسجد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روى هذا الحديث ستة من الصحابة من طرق بعضها حسن فهو بمجموعها صحيح إن شاء الله، وأقر ذلك جمهور الحفاظ والمحدثين كما سيأتي، ومن شذ وحكم بوضعه أو ضعفه كابن الجوزي فهو بالنظر إلى بعض طرقه الضعيفة أما ابن تيمية فقد حكم بوضعه في كتابه (منهاج السنة) بسبب تعصبه وبغضه لأمير المؤمنين على رضي الله عنه</w:t>
      </w:r>
      <w:r w:rsidRPr="00A52585">
        <w:rPr>
          <w:rFonts w:hint="cs"/>
          <w:sz w:val="24"/>
          <w:szCs w:val="24"/>
          <w:rtl/>
        </w:rPr>
        <w:t xml:space="preserve"> </w:t>
      </w:r>
      <w:r w:rsidR="00777DCB" w:rsidRPr="00A52585">
        <w:rPr>
          <w:rFonts w:hint="cs"/>
          <w:sz w:val="24"/>
          <w:szCs w:val="24"/>
          <w:rtl/>
        </w:rPr>
        <w:t>انظر (الأحاديث المنتقاة في فضائل رسول الله) ص 24- 26 للسيد/ عبد الله الصديق الغماري قال</w:t>
      </w:r>
      <w:r w:rsidRPr="00A52585">
        <w:rPr>
          <w:rFonts w:hint="cs"/>
          <w:sz w:val="24"/>
          <w:szCs w:val="24"/>
          <w:rtl/>
        </w:rPr>
        <w:t xml:space="preserve">: </w:t>
      </w:r>
      <w:r w:rsidR="00777DCB" w:rsidRPr="00A52585">
        <w:rPr>
          <w:rFonts w:hint="cs"/>
          <w:sz w:val="24"/>
          <w:szCs w:val="24"/>
          <w:rtl/>
        </w:rPr>
        <w:t>" ورد أن الشمـس ردت علـى النــبي صلى الله عليه وسلم فـروى الطحاوي في (مشكل الآثار) من طريقين "</w:t>
      </w:r>
      <w:r w:rsidRPr="00A52585">
        <w:rPr>
          <w:rFonts w:hint="cs"/>
          <w:sz w:val="24"/>
          <w:szCs w:val="24"/>
          <w:rtl/>
        </w:rPr>
        <w:t>:</w:t>
      </w:r>
      <w:r w:rsidR="00777DCB" w:rsidRPr="00A52585">
        <w:rPr>
          <w:rFonts w:hint="cs"/>
          <w:sz w:val="24"/>
          <w:szCs w:val="24"/>
          <w:rtl/>
        </w:rPr>
        <w:t xml:space="preserve"> وذكر الطريقين بالهامش</w:t>
      </w:r>
      <w:r w:rsidRPr="00A52585">
        <w:rPr>
          <w:rFonts w:hint="cs"/>
          <w:sz w:val="24"/>
          <w:szCs w:val="24"/>
          <w:rtl/>
        </w:rPr>
        <w:t xml:space="preserve">: </w:t>
      </w:r>
      <w:r w:rsidR="00777DCB" w:rsidRPr="00A52585">
        <w:rPr>
          <w:rFonts w:hint="cs"/>
          <w:sz w:val="24"/>
          <w:szCs w:val="24"/>
          <w:rtl/>
        </w:rPr>
        <w:t>" قال في الطريق الأول</w:t>
      </w:r>
      <w:r w:rsidRPr="00A52585">
        <w:rPr>
          <w:rFonts w:hint="cs"/>
          <w:sz w:val="24"/>
          <w:szCs w:val="24"/>
          <w:rtl/>
        </w:rPr>
        <w:t>:</w:t>
      </w:r>
      <w:r w:rsidR="00777DCB" w:rsidRPr="00A52585">
        <w:rPr>
          <w:rFonts w:hint="cs"/>
          <w:sz w:val="24"/>
          <w:szCs w:val="24"/>
          <w:rtl/>
        </w:rPr>
        <w:t xml:space="preserve"> حدثنا أبو أمية ثنا عبيد الله بن موسى العبسي ثنا الفضيل بن مرزوق عن إبراهيم بن الحسن عن فاطمة بنت الحسين عن أسماء بنت عميس</w:t>
      </w:r>
      <w:r w:rsidR="00DB731D" w:rsidRPr="00A52585">
        <w:rPr>
          <w:rFonts w:hint="cs"/>
          <w:sz w:val="24"/>
          <w:szCs w:val="24"/>
          <w:rtl/>
        </w:rPr>
        <w:t>،</w:t>
      </w:r>
      <w:r w:rsidR="00777DCB" w:rsidRPr="00A52585">
        <w:rPr>
          <w:rFonts w:hint="cs"/>
          <w:sz w:val="24"/>
          <w:szCs w:val="24"/>
          <w:rtl/>
        </w:rPr>
        <w:t xml:space="preserve"> وقال في الطريق الثاني</w:t>
      </w:r>
      <w:r w:rsidRPr="00A52585">
        <w:rPr>
          <w:rFonts w:hint="cs"/>
          <w:sz w:val="24"/>
          <w:szCs w:val="24"/>
          <w:rtl/>
        </w:rPr>
        <w:t>:</w:t>
      </w:r>
      <w:r w:rsidR="00777DCB" w:rsidRPr="00A52585">
        <w:rPr>
          <w:rFonts w:hint="cs"/>
          <w:sz w:val="24"/>
          <w:szCs w:val="24"/>
          <w:rtl/>
        </w:rPr>
        <w:t xml:space="preserve"> حدثنا على بن عبد الرحمن بن محمد بن المغيرة ثنا أحمد بن صالح</w:t>
      </w:r>
      <w:r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هو المصري الحافظ المشهور </w:t>
      </w:r>
      <w:r w:rsidR="00777DCB" w:rsidRPr="00A52585">
        <w:rPr>
          <w:sz w:val="24"/>
          <w:szCs w:val="24"/>
        </w:rPr>
        <w:t>–</w:t>
      </w:r>
      <w:r w:rsidR="00777DCB" w:rsidRPr="00A52585">
        <w:rPr>
          <w:rFonts w:hint="cs"/>
          <w:sz w:val="24"/>
          <w:szCs w:val="24"/>
          <w:rtl/>
        </w:rPr>
        <w:t xml:space="preserve"> ثنا ابن أبي فديك حدثني محمد بن موسى عن عون بن محمد عن أمه أم جعفر عن أسماء بنت عميس "</w:t>
      </w:r>
      <w:r w:rsidRPr="00A52585">
        <w:rPr>
          <w:rFonts w:hint="cs"/>
          <w:sz w:val="24"/>
          <w:szCs w:val="24"/>
          <w:rtl/>
        </w:rPr>
        <w:t xml:space="preserve"> </w:t>
      </w:r>
      <w:r w:rsidR="00777DCB" w:rsidRPr="00A52585">
        <w:rPr>
          <w:rFonts w:hint="cs"/>
          <w:sz w:val="24"/>
          <w:szCs w:val="24"/>
          <w:rtl/>
        </w:rPr>
        <w:t>ثم قال</w:t>
      </w:r>
      <w:r w:rsidRPr="00A52585">
        <w:rPr>
          <w:rFonts w:hint="cs"/>
          <w:sz w:val="24"/>
          <w:szCs w:val="24"/>
          <w:rtl/>
        </w:rPr>
        <w:t xml:space="preserve">: </w:t>
      </w:r>
      <w:r w:rsidR="00777DCB" w:rsidRPr="00A52585">
        <w:rPr>
          <w:rFonts w:hint="cs"/>
          <w:sz w:val="24"/>
          <w:szCs w:val="24"/>
          <w:rtl/>
        </w:rPr>
        <w:t>" عن أسماء بنت عميس قالت</w:t>
      </w:r>
      <w:r w:rsidRPr="00A52585">
        <w:rPr>
          <w:rFonts w:hint="cs"/>
          <w:sz w:val="24"/>
          <w:szCs w:val="24"/>
          <w:rtl/>
        </w:rPr>
        <w:t>:</w:t>
      </w:r>
      <w:r w:rsidR="00777DCB" w:rsidRPr="00A52585">
        <w:rPr>
          <w:rFonts w:hint="cs"/>
          <w:sz w:val="24"/>
          <w:szCs w:val="24"/>
          <w:rtl/>
        </w:rPr>
        <w:t xml:space="preserve"> كان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يوحى إليه ورأسه في حجر علي فلم يصل العصر حتى غربت الشمس فقال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w:t>
      </w:r>
      <w:r w:rsidR="00777DCB" w:rsidRPr="00A52585">
        <w:rPr>
          <w:rFonts w:hint="cs"/>
          <w:sz w:val="24"/>
          <w:szCs w:val="24"/>
          <w:rtl/>
        </w:rPr>
        <w:t xml:space="preserve"> أصليت يا علي</w:t>
      </w:r>
      <w:r w:rsidR="00F95886" w:rsidRPr="00A52585">
        <w:rPr>
          <w:rFonts w:hint="cs"/>
          <w:sz w:val="24"/>
          <w:szCs w:val="24"/>
          <w:rtl/>
        </w:rPr>
        <w:t>؟</w:t>
      </w:r>
      <w:r w:rsidR="00777DCB" w:rsidRPr="00A52585">
        <w:rPr>
          <w:rFonts w:hint="cs"/>
          <w:sz w:val="24"/>
          <w:szCs w:val="24"/>
          <w:rtl/>
        </w:rPr>
        <w:t xml:space="preserve"> فقال</w:t>
      </w:r>
      <w:r w:rsidRPr="00A52585">
        <w:rPr>
          <w:rFonts w:hint="cs"/>
          <w:sz w:val="24"/>
          <w:szCs w:val="24"/>
          <w:rtl/>
        </w:rPr>
        <w:t>:</w:t>
      </w:r>
      <w:r w:rsidR="00777DCB" w:rsidRPr="00A52585">
        <w:rPr>
          <w:rFonts w:hint="cs"/>
          <w:sz w:val="24"/>
          <w:szCs w:val="24"/>
          <w:rtl/>
        </w:rPr>
        <w:t xml:space="preserve"> لا فقال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w:t>
      </w:r>
      <w:r w:rsidR="00777DCB" w:rsidRPr="00A52585">
        <w:rPr>
          <w:rFonts w:hint="cs"/>
          <w:sz w:val="24"/>
          <w:szCs w:val="24"/>
          <w:rtl/>
        </w:rPr>
        <w:t xml:space="preserve"> اللهم إنه كان في طاعتك وطاعة رسولك </w:t>
      </w:r>
      <w:proofErr w:type="spellStart"/>
      <w:r w:rsidR="00777DCB" w:rsidRPr="00A52585">
        <w:rPr>
          <w:rFonts w:hint="cs"/>
          <w:sz w:val="24"/>
          <w:szCs w:val="24"/>
          <w:rtl/>
        </w:rPr>
        <w:t>فاردد</w:t>
      </w:r>
      <w:proofErr w:type="spellEnd"/>
      <w:r w:rsidR="00777DCB" w:rsidRPr="00A52585">
        <w:rPr>
          <w:rFonts w:hint="cs"/>
          <w:sz w:val="24"/>
          <w:szCs w:val="24"/>
          <w:rtl/>
        </w:rPr>
        <w:t xml:space="preserve"> عليه الشمس، قالت أسماء</w:t>
      </w:r>
      <w:r w:rsidRPr="00A52585">
        <w:rPr>
          <w:rFonts w:hint="cs"/>
          <w:sz w:val="24"/>
          <w:szCs w:val="24"/>
          <w:rtl/>
        </w:rPr>
        <w:t>:</w:t>
      </w:r>
      <w:r w:rsidR="00777DCB" w:rsidRPr="00A52585">
        <w:rPr>
          <w:rFonts w:hint="cs"/>
          <w:sz w:val="24"/>
          <w:szCs w:val="24"/>
          <w:rtl/>
        </w:rPr>
        <w:t xml:space="preserve"> فرأيتها غربت ثم رأيتها طلعت بعد ما غربت ووقعت على الجبال والأرض وذلك في </w:t>
      </w:r>
      <w:proofErr w:type="spellStart"/>
      <w:r w:rsidR="00777DCB" w:rsidRPr="00A52585">
        <w:rPr>
          <w:rFonts w:hint="cs"/>
          <w:sz w:val="24"/>
          <w:szCs w:val="24"/>
          <w:rtl/>
        </w:rPr>
        <w:t>الصبهاء</w:t>
      </w:r>
      <w:proofErr w:type="spellEnd"/>
      <w:r w:rsidR="00777DCB" w:rsidRPr="00A52585">
        <w:rPr>
          <w:rFonts w:hint="cs"/>
          <w:sz w:val="24"/>
          <w:szCs w:val="24"/>
          <w:rtl/>
        </w:rPr>
        <w:t xml:space="preserve"> بخيبر</w:t>
      </w:r>
      <w:r w:rsidR="00DB731D" w:rsidRPr="00A52585">
        <w:rPr>
          <w:rFonts w:hint="cs"/>
          <w:sz w:val="24"/>
          <w:szCs w:val="24"/>
          <w:rtl/>
        </w:rPr>
        <w:t>،</w:t>
      </w:r>
      <w:r w:rsidR="00777DCB" w:rsidRPr="00A52585">
        <w:rPr>
          <w:rFonts w:hint="cs"/>
          <w:sz w:val="24"/>
          <w:szCs w:val="24"/>
          <w:rtl/>
        </w:rPr>
        <w:t xml:space="preserve"> قال الطحاوي هذان الحديثان ثابتان ورواتهما ثقات</w:t>
      </w:r>
      <w:r w:rsidR="00DB731D" w:rsidRPr="00A52585">
        <w:rPr>
          <w:rFonts w:hint="cs"/>
          <w:sz w:val="24"/>
          <w:szCs w:val="24"/>
          <w:rtl/>
        </w:rPr>
        <w:t>،</w:t>
      </w:r>
      <w:r w:rsidR="00777DCB" w:rsidRPr="00A52585">
        <w:rPr>
          <w:rFonts w:hint="cs"/>
          <w:sz w:val="24"/>
          <w:szCs w:val="24"/>
          <w:rtl/>
        </w:rPr>
        <w:t xml:space="preserve"> ونقل عن الإمام أحمد بن صالح المصري أنه كان يقول</w:t>
      </w:r>
      <w:r w:rsidRPr="00A52585">
        <w:rPr>
          <w:rFonts w:hint="cs"/>
          <w:sz w:val="24"/>
          <w:szCs w:val="24"/>
          <w:rtl/>
        </w:rPr>
        <w:t>:</w:t>
      </w:r>
      <w:r w:rsidR="00777DCB" w:rsidRPr="00A52585">
        <w:rPr>
          <w:rFonts w:hint="cs"/>
          <w:sz w:val="24"/>
          <w:szCs w:val="24"/>
          <w:rtl/>
        </w:rPr>
        <w:t xml:space="preserve"> لا ينبغي لمن سبيله العلم التخلف عن حفظ حديث أسماء لأنه من علامات النبوة أهـ ووافق الطحاوي على تصحيحه أيضاً القاضي عياض في الشفاء ورواه الطبراني في الكبير بإسناد حسن كما نص عليه الحافظ أبو زرعة ابن العراقي في شرح التقريب أما ابن الجوزي فذكره في الموضوعات وتبعه ابن تيمية فحكم بوضعه أيضاً في رده على الروافض لأجل ذكر عليّ فيه، ولو ذكر فيه أبو بكر أو عمر بدله كان أول المصححين له بكل قواه وانحراف ابن تيمية عن علي وأهل البيت معروف حتى حكم عليه بالنفاق لأجل ذلك</w:t>
      </w:r>
      <w:r w:rsidR="00DB731D" w:rsidRPr="00A52585">
        <w:rPr>
          <w:rFonts w:hint="cs"/>
          <w:sz w:val="24"/>
          <w:szCs w:val="24"/>
          <w:rtl/>
        </w:rPr>
        <w:t>،</w:t>
      </w:r>
      <w:r w:rsidR="00777DCB" w:rsidRPr="00A52585">
        <w:rPr>
          <w:rFonts w:hint="cs"/>
          <w:sz w:val="24"/>
          <w:szCs w:val="24"/>
          <w:rtl/>
        </w:rPr>
        <w:t xml:space="preserve"> وفي أوسط معاجم الطبراني بإسناد حسن كما قال أبو زرعة ابن الحافظ العراقي</w:t>
      </w:r>
      <w:r w:rsidRPr="00A52585">
        <w:rPr>
          <w:rFonts w:hint="cs"/>
          <w:sz w:val="24"/>
          <w:szCs w:val="24"/>
          <w:rtl/>
        </w:rPr>
        <w:t xml:space="preserve"> </w:t>
      </w:r>
      <w:r w:rsidR="00777DCB" w:rsidRPr="00A52585">
        <w:rPr>
          <w:rFonts w:hint="cs"/>
          <w:sz w:val="24"/>
          <w:szCs w:val="24"/>
          <w:rtl/>
        </w:rPr>
        <w:t xml:space="preserve">"عن جابر بن عبد الله أن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أمر الشمس فتأخرت ساعة من نهار"</w:t>
      </w:r>
      <w:r w:rsidRPr="00A52585">
        <w:rPr>
          <w:rFonts w:hint="cs"/>
          <w:sz w:val="24"/>
          <w:szCs w:val="24"/>
          <w:rtl/>
        </w:rPr>
        <w:t xml:space="preserve"> </w:t>
      </w:r>
      <w:r w:rsidR="00777DCB" w:rsidRPr="00A52585">
        <w:rPr>
          <w:rFonts w:hint="cs"/>
          <w:sz w:val="24"/>
          <w:szCs w:val="24"/>
          <w:rtl/>
        </w:rPr>
        <w:t>ثم قال في الهامش تعليقا على رواية الطبراني في الكبير</w:t>
      </w:r>
      <w:r w:rsidRPr="00A52585">
        <w:rPr>
          <w:rFonts w:hint="cs"/>
          <w:sz w:val="24"/>
          <w:szCs w:val="24"/>
          <w:rtl/>
        </w:rPr>
        <w:t xml:space="preserve">: </w:t>
      </w:r>
      <w:r w:rsidR="00777DCB" w:rsidRPr="00A52585">
        <w:rPr>
          <w:rFonts w:hint="cs"/>
          <w:sz w:val="24"/>
          <w:szCs w:val="24"/>
          <w:rtl/>
        </w:rPr>
        <w:t xml:space="preserve">" قال حدثنا جعفر بن أحمد بن سنان الواسطي ثنا على بن المنذر ثنا محمد بن فضيل ثنا فضيل بن </w:t>
      </w:r>
      <w:proofErr w:type="spellStart"/>
      <w:r w:rsidR="00777DCB" w:rsidRPr="00A52585">
        <w:rPr>
          <w:rFonts w:hint="cs"/>
          <w:sz w:val="24"/>
          <w:szCs w:val="24"/>
          <w:rtl/>
        </w:rPr>
        <w:t>مروزق</w:t>
      </w:r>
      <w:proofErr w:type="spellEnd"/>
      <w:r w:rsidR="00777DCB" w:rsidRPr="00A52585">
        <w:rPr>
          <w:rFonts w:hint="cs"/>
          <w:sz w:val="24"/>
          <w:szCs w:val="24"/>
          <w:rtl/>
        </w:rPr>
        <w:t xml:space="preserve"> عن إبراهيم </w:t>
      </w:r>
      <w:r w:rsidR="00777DCB" w:rsidRPr="00A52585">
        <w:rPr>
          <w:rFonts w:hint="cs"/>
          <w:sz w:val="24"/>
          <w:szCs w:val="24"/>
          <w:rtl/>
        </w:rPr>
        <w:lastRenderedPageBreak/>
        <w:t>بن الحسـن عـن فاطمـة بنت</w:t>
      </w:r>
      <w:r w:rsidRPr="00A52585">
        <w:rPr>
          <w:rFonts w:hint="cs"/>
          <w:sz w:val="24"/>
          <w:szCs w:val="24"/>
          <w:rtl/>
        </w:rPr>
        <w:t xml:space="preserve"> </w:t>
      </w:r>
      <w:r w:rsidR="00777DCB" w:rsidRPr="00A52585">
        <w:rPr>
          <w:rFonts w:hint="cs"/>
          <w:sz w:val="24"/>
          <w:szCs w:val="24"/>
          <w:rtl/>
        </w:rPr>
        <w:t>على عن أسماء بنت عميس وعزاه الحافظ في الفتح إلى الحاكم والبيهقي أيضاً ونص كلامه</w:t>
      </w:r>
      <w:r w:rsidRPr="00A52585">
        <w:rPr>
          <w:rFonts w:hint="cs"/>
          <w:sz w:val="24"/>
          <w:szCs w:val="24"/>
          <w:rtl/>
        </w:rPr>
        <w:t xml:space="preserve">: </w:t>
      </w:r>
      <w:r w:rsidR="00777DCB" w:rsidRPr="00A52585">
        <w:rPr>
          <w:rFonts w:hint="cs"/>
          <w:sz w:val="24"/>
          <w:szCs w:val="24"/>
          <w:rtl/>
        </w:rPr>
        <w:t>"روى الطحاوي والطبراني في الكبير والحاكم والبيهقي في الدلائل عن أسماء بنت عميس أنه صلى الله عليه وسلم دعا لما نام على ركبة علي ففاته صلاة العصر فردت الشمس حتى صلى علىّ ثم غربت وهذا أبلغ في المعجزة وقد أخطأ ابن الجوزي في إيراده في الموضوعات وكذا ابن تيمية في كتاب الرد على الروافض في زعم وضعه والله أعلم أهـ بلفظه وقال الحافظ أبو بشر الدولابي في كتاب الذرية الطاهرة</w:t>
      </w:r>
      <w:r w:rsidRPr="00A52585">
        <w:rPr>
          <w:rFonts w:hint="cs"/>
          <w:sz w:val="24"/>
          <w:szCs w:val="24"/>
          <w:rtl/>
        </w:rPr>
        <w:t>:</w:t>
      </w:r>
      <w:r w:rsidR="00777DCB" w:rsidRPr="00A52585">
        <w:rPr>
          <w:rFonts w:hint="cs"/>
          <w:sz w:val="24"/>
          <w:szCs w:val="24"/>
          <w:rtl/>
        </w:rPr>
        <w:t xml:space="preserve"> حدثني إسحاق بن يونس ثنا سويد بن سعيد عن المطلب بن زياد عن إبراهيم ابن حيان عن عبد الله بن الحسين عن فاطمة بنت الحسين عن الحسين بن على رضي الله عنهما قال</w:t>
      </w:r>
      <w:r w:rsidRPr="00A52585">
        <w:rPr>
          <w:rFonts w:hint="cs"/>
          <w:sz w:val="24"/>
          <w:szCs w:val="24"/>
          <w:rtl/>
        </w:rPr>
        <w:t>:</w:t>
      </w:r>
      <w:r w:rsidR="00777DCB" w:rsidRPr="00A52585">
        <w:rPr>
          <w:rFonts w:hint="cs"/>
          <w:sz w:val="24"/>
          <w:szCs w:val="24"/>
          <w:rtl/>
        </w:rPr>
        <w:t xml:space="preserve"> كان رأس رسول الله صلى الله عليه وسلم في حجر علي وكان يوحى إليه فلما سرى عنه قال لي</w:t>
      </w:r>
      <w:r w:rsidRPr="00A52585">
        <w:rPr>
          <w:rFonts w:hint="cs"/>
          <w:sz w:val="24"/>
          <w:szCs w:val="24"/>
          <w:rtl/>
        </w:rPr>
        <w:t>:</w:t>
      </w:r>
      <w:r w:rsidR="00777DCB" w:rsidRPr="00A52585">
        <w:rPr>
          <w:rFonts w:hint="cs"/>
          <w:sz w:val="24"/>
          <w:szCs w:val="24"/>
          <w:rtl/>
        </w:rPr>
        <w:t xml:space="preserve"> يا عليّ صليت العصر قال لا</w:t>
      </w:r>
      <w:r w:rsidRPr="00A52585">
        <w:rPr>
          <w:rFonts w:hint="cs"/>
          <w:sz w:val="24"/>
          <w:szCs w:val="24"/>
          <w:rtl/>
        </w:rPr>
        <w:t>:</w:t>
      </w:r>
      <w:r w:rsidR="00777DCB" w:rsidRPr="00A52585">
        <w:rPr>
          <w:rFonts w:hint="cs"/>
          <w:sz w:val="24"/>
          <w:szCs w:val="24"/>
          <w:rtl/>
        </w:rPr>
        <w:t xml:space="preserve"> قال اللهم إنك تعلم أنه كان في حاجتك وحاجة رسولك فردَّ عليه الشمس فردَّها عليه فصلى وغابت الشمس أهـ قال العلامة المحدث أبو عبد الله محمد بن يوسف الدمشقي الصالحي في جزء (مزيل اللبس عن حديث رد الشمس)</w:t>
      </w:r>
      <w:r w:rsidRPr="00A52585">
        <w:rPr>
          <w:rFonts w:hint="cs"/>
          <w:sz w:val="24"/>
          <w:szCs w:val="24"/>
          <w:rtl/>
        </w:rPr>
        <w:t xml:space="preserve">: </w:t>
      </w:r>
      <w:r w:rsidR="00777DCB" w:rsidRPr="00A52585">
        <w:rPr>
          <w:rFonts w:hint="cs"/>
          <w:sz w:val="24"/>
          <w:szCs w:val="24"/>
          <w:rtl/>
        </w:rPr>
        <w:t>"اعلم أن هذا الحديث رواه الطحاوي في كتاب (شرح مشكل الآثار) عن أسماء بنت عميس من طريقين وقال</w:t>
      </w:r>
      <w:r w:rsidRPr="00A52585">
        <w:rPr>
          <w:rFonts w:hint="cs"/>
          <w:sz w:val="24"/>
          <w:szCs w:val="24"/>
          <w:rtl/>
        </w:rPr>
        <w:t>:</w:t>
      </w:r>
      <w:r w:rsidR="00777DCB" w:rsidRPr="00A52585">
        <w:rPr>
          <w:rFonts w:hint="cs"/>
          <w:sz w:val="24"/>
          <w:szCs w:val="24"/>
          <w:rtl/>
        </w:rPr>
        <w:t xml:space="preserve"> هذان الحديثان ثابتان ورواتهما ثقات ونقله القاضي عياض في (الشفا) والحافظ ابن سيد الناس في (بشرى اللبيب) والحافظ علاء الدين </w:t>
      </w:r>
      <w:proofErr w:type="spellStart"/>
      <w:r w:rsidR="00777DCB" w:rsidRPr="00A52585">
        <w:rPr>
          <w:rFonts w:hint="cs"/>
          <w:sz w:val="24"/>
          <w:szCs w:val="24"/>
          <w:rtl/>
        </w:rPr>
        <w:t>مغلطاي</w:t>
      </w:r>
      <w:proofErr w:type="spellEnd"/>
      <w:r w:rsidR="00777DCB" w:rsidRPr="00A52585">
        <w:rPr>
          <w:rFonts w:hint="cs"/>
          <w:sz w:val="24"/>
          <w:szCs w:val="24"/>
          <w:rtl/>
        </w:rPr>
        <w:t xml:space="preserve"> في كتاب (الزهر الباسم) وصححه الحافظ أبو الفتح الأزدي وحسنه الحافظ أبو زرعة ابن العراقي وشيخنا الحافظ جلال الدين السيوطي في الدرر المنتثرة في الأحاديث المشتهرة</w:t>
      </w:r>
      <w:r w:rsidR="00DB731D" w:rsidRPr="00A52585">
        <w:rPr>
          <w:rFonts w:hint="cs"/>
          <w:sz w:val="24"/>
          <w:szCs w:val="24"/>
          <w:rtl/>
        </w:rPr>
        <w:t>،</w:t>
      </w:r>
      <w:r w:rsidR="00777DCB" w:rsidRPr="00A52585">
        <w:rPr>
          <w:rFonts w:hint="cs"/>
          <w:sz w:val="24"/>
          <w:szCs w:val="24"/>
          <w:rtl/>
        </w:rPr>
        <w:t xml:space="preserve"> وقال الحافظ أحمد بن صالح وناهيك به</w:t>
      </w:r>
      <w:r w:rsidRPr="00A52585">
        <w:rPr>
          <w:rFonts w:hint="cs"/>
          <w:sz w:val="24"/>
          <w:szCs w:val="24"/>
          <w:rtl/>
        </w:rPr>
        <w:t>:</w:t>
      </w:r>
      <w:r w:rsidR="00777DCB" w:rsidRPr="00A52585">
        <w:rPr>
          <w:rFonts w:hint="cs"/>
          <w:sz w:val="24"/>
          <w:szCs w:val="24"/>
          <w:rtl/>
        </w:rPr>
        <w:t xml:space="preserve"> لا ينبغي لمن سبيله العلم التخلف عن حديث أسماء لأنه من أجلّ علامات النبوة وقد أنكر الحفاظ على ابــن الجوزي إيراده الحديث في الموضوعات فقال الحافظ أبو الفضل ابن حجر في باب قول النبي صلى الله عليه وسلم (أحلت لكم الغنائم) من (فتح الباري) بعد أن أورد الحديث</w:t>
      </w:r>
      <w:r w:rsidRPr="00A52585">
        <w:rPr>
          <w:rFonts w:hint="cs"/>
          <w:sz w:val="24"/>
          <w:szCs w:val="24"/>
          <w:rtl/>
        </w:rPr>
        <w:t xml:space="preserve">: </w:t>
      </w:r>
      <w:r w:rsidR="00777DCB" w:rsidRPr="00A52585">
        <w:rPr>
          <w:rFonts w:hint="cs"/>
          <w:sz w:val="24"/>
          <w:szCs w:val="24"/>
          <w:rtl/>
        </w:rPr>
        <w:t>"أخطأ ابن الجوزي بإيراده في الموضوعات"</w:t>
      </w:r>
      <w:r w:rsidRPr="00A52585">
        <w:rPr>
          <w:rFonts w:hint="cs"/>
          <w:sz w:val="24"/>
          <w:szCs w:val="24"/>
          <w:rtl/>
        </w:rPr>
        <w:t xml:space="preserve"> </w:t>
      </w:r>
      <w:r w:rsidR="00777DCB" w:rsidRPr="00A52585">
        <w:rPr>
          <w:rFonts w:hint="cs"/>
          <w:sz w:val="24"/>
          <w:szCs w:val="24"/>
          <w:rtl/>
        </w:rPr>
        <w:t>أهـ ثم قال</w:t>
      </w:r>
      <w:r w:rsidRPr="00A52585">
        <w:rPr>
          <w:rFonts w:hint="cs"/>
          <w:sz w:val="24"/>
          <w:szCs w:val="24"/>
          <w:rtl/>
        </w:rPr>
        <w:t xml:space="preserve">: </w:t>
      </w:r>
      <w:r w:rsidR="00777DCB" w:rsidRPr="00A52585">
        <w:rPr>
          <w:rFonts w:hint="cs"/>
          <w:sz w:val="24"/>
          <w:szCs w:val="24"/>
          <w:rtl/>
        </w:rPr>
        <w:t>"إن هذا الحديث ورد من طريق أسماء بنت عميس وعلى وابنه الحسين وأبي سعيد الخدري وأبي هريرة رضي الله عنهم"</w:t>
      </w:r>
      <w:r w:rsidRPr="00A52585">
        <w:rPr>
          <w:rFonts w:hint="cs"/>
          <w:sz w:val="24"/>
          <w:szCs w:val="24"/>
          <w:rtl/>
        </w:rPr>
        <w:t xml:space="preserve"> </w:t>
      </w:r>
      <w:r w:rsidR="00777DCB" w:rsidRPr="00A52585">
        <w:rPr>
          <w:rFonts w:hint="cs"/>
          <w:sz w:val="24"/>
          <w:szCs w:val="24"/>
          <w:rtl/>
        </w:rPr>
        <w:t>ثم أوردها وتكلم على أسانيدها ثم قال</w:t>
      </w:r>
      <w:r w:rsidRPr="00A52585">
        <w:rPr>
          <w:rFonts w:hint="cs"/>
          <w:sz w:val="24"/>
          <w:szCs w:val="24"/>
          <w:rtl/>
        </w:rPr>
        <w:t>:</w:t>
      </w:r>
      <w:r w:rsidR="00777DCB" w:rsidRPr="00A52585">
        <w:rPr>
          <w:rFonts w:hint="cs"/>
          <w:sz w:val="24"/>
          <w:szCs w:val="24"/>
          <w:rtl/>
        </w:rPr>
        <w:t xml:space="preserve"> قد علمت مما أسلفناه من حكم الحفاظ في هذا الحديث وتبين حال رجاله أنه ليس فيه متهم ولا من أُجمع على تركه، ولاح لك ثبوت الحديث وعدم بطلانه ولم يبق إلا الجواب عما أعلّ به وقد أعل بأمور فذكرها وأجاب عنها بأجوبة شافية، كذا في كتاب (الأمم لإيقاظ الهمم) للعلامة المحقق الشيخ إبراهيم الكوراني، قلت حسن الحافظ السيوطي حديث أسماء في أواخر (الدرر المنتثـرة) وعـزاه في الـخصائـص الكــبرى لابن شاهين وابن منده والطبراني، وقال</w:t>
      </w:r>
      <w:r w:rsidRPr="00A52585">
        <w:rPr>
          <w:rFonts w:hint="cs"/>
          <w:sz w:val="24"/>
          <w:szCs w:val="24"/>
          <w:rtl/>
        </w:rPr>
        <w:t>:</w:t>
      </w:r>
      <w:r w:rsidR="00777DCB" w:rsidRPr="00A52585">
        <w:rPr>
          <w:rFonts w:hint="cs"/>
          <w:sz w:val="24"/>
          <w:szCs w:val="24"/>
          <w:rtl/>
        </w:rPr>
        <w:t xml:space="preserve"> بعض أسانيده على شرط الصحيح وعزا حديث أبي هريرة لابن </w:t>
      </w:r>
      <w:proofErr w:type="spellStart"/>
      <w:r w:rsidR="00777DCB" w:rsidRPr="00A52585">
        <w:rPr>
          <w:rFonts w:hint="cs"/>
          <w:sz w:val="24"/>
          <w:szCs w:val="24"/>
          <w:rtl/>
        </w:rPr>
        <w:t>مردويه</w:t>
      </w:r>
      <w:proofErr w:type="spellEnd"/>
      <w:r w:rsidR="00777DCB" w:rsidRPr="00A52585">
        <w:rPr>
          <w:rFonts w:hint="cs"/>
          <w:sz w:val="24"/>
          <w:szCs w:val="24"/>
          <w:rtl/>
        </w:rPr>
        <w:t>، وذكر في اللآلئ المصنوعة جزءاً لبعض المتقدمين في طرق هذا الحديث أورده بتمامه فليراجع هناك</w:t>
      </w:r>
      <w:r w:rsidR="00DB731D" w:rsidRPr="00A52585">
        <w:rPr>
          <w:rFonts w:hint="cs"/>
          <w:sz w:val="24"/>
          <w:szCs w:val="24"/>
          <w:rtl/>
        </w:rPr>
        <w:t>،</w:t>
      </w:r>
      <w:r w:rsidR="00777DCB" w:rsidRPr="00A52585">
        <w:rPr>
          <w:rFonts w:hint="cs"/>
          <w:sz w:val="24"/>
          <w:szCs w:val="24"/>
          <w:rtl/>
        </w:rPr>
        <w:t xml:space="preserve"> بل للحافظ السيوطي نفسه جزء</w:t>
      </w:r>
      <w:r w:rsidRPr="00A52585">
        <w:rPr>
          <w:rFonts w:hint="cs"/>
          <w:sz w:val="24"/>
          <w:szCs w:val="24"/>
          <w:rtl/>
        </w:rPr>
        <w:t xml:space="preserve"> </w:t>
      </w:r>
      <w:r w:rsidR="00777DCB" w:rsidRPr="00A52585">
        <w:rPr>
          <w:rFonts w:hint="cs"/>
          <w:sz w:val="24"/>
          <w:szCs w:val="24"/>
          <w:rtl/>
        </w:rPr>
        <w:t>" كشف اللبس عن حديث رد الشمس "</w:t>
      </w:r>
      <w:r w:rsidRPr="00A52585">
        <w:rPr>
          <w:rFonts w:hint="cs"/>
          <w:sz w:val="24"/>
          <w:szCs w:val="24"/>
          <w:rtl/>
        </w:rPr>
        <w:t xml:space="preserve"> </w:t>
      </w:r>
      <w:r w:rsidR="00777DCB" w:rsidRPr="00A52585">
        <w:rPr>
          <w:rFonts w:hint="cs"/>
          <w:sz w:val="24"/>
          <w:szCs w:val="24"/>
          <w:rtl/>
        </w:rPr>
        <w:t xml:space="preserve">وذكر الذهبي في ترجمة الحافظ </w:t>
      </w:r>
      <w:proofErr w:type="spellStart"/>
      <w:r w:rsidR="00777DCB" w:rsidRPr="00A52585">
        <w:rPr>
          <w:rFonts w:hint="cs"/>
          <w:sz w:val="24"/>
          <w:szCs w:val="24"/>
          <w:rtl/>
        </w:rPr>
        <w:t>الحسكاني</w:t>
      </w:r>
      <w:proofErr w:type="spellEnd"/>
      <w:r w:rsidR="00777DCB" w:rsidRPr="00A52585">
        <w:rPr>
          <w:rFonts w:hint="cs"/>
          <w:sz w:val="24"/>
          <w:szCs w:val="24"/>
          <w:rtl/>
        </w:rPr>
        <w:t xml:space="preserve"> أن له مجلساً </w:t>
      </w:r>
      <w:r w:rsidR="00777DCB" w:rsidRPr="00A52585">
        <w:rPr>
          <w:sz w:val="24"/>
          <w:szCs w:val="24"/>
        </w:rPr>
        <w:t>–</w:t>
      </w:r>
      <w:r w:rsidR="00777DCB" w:rsidRPr="00A52585">
        <w:rPr>
          <w:rFonts w:hint="cs"/>
          <w:sz w:val="24"/>
          <w:szCs w:val="24"/>
          <w:rtl/>
        </w:rPr>
        <w:t xml:space="preserve"> يعني مجلس إملاء </w:t>
      </w:r>
      <w:r w:rsidR="00777DCB" w:rsidRPr="00A52585">
        <w:rPr>
          <w:sz w:val="24"/>
          <w:szCs w:val="24"/>
        </w:rPr>
        <w:t>–</w:t>
      </w:r>
      <w:r w:rsidR="00777DCB" w:rsidRPr="00A52585">
        <w:rPr>
          <w:rFonts w:hint="cs"/>
          <w:sz w:val="24"/>
          <w:szCs w:val="24"/>
          <w:rtl/>
        </w:rPr>
        <w:t xml:space="preserve"> في تصحيح رد الشمس لعلي يدل على تشيعه وخبرته بالحديث أهـ ص 368 ج 3 تذكرة الحفاظ طبعة ثانية بحيدر أباد ولا تنس أن الذهبي شامي من تلاميذ ابن تيمية وانظر كتاب تنزيه الشريعة المرفوعة لابن عراق "</w:t>
      </w:r>
      <w:r w:rsidRPr="00A52585">
        <w:rPr>
          <w:rFonts w:hint="cs"/>
          <w:sz w:val="24"/>
          <w:szCs w:val="24"/>
          <w:rtl/>
        </w:rPr>
        <w:t xml:space="preserve"> </w:t>
      </w:r>
      <w:r w:rsidR="00777DCB" w:rsidRPr="00A52585">
        <w:rPr>
          <w:rFonts w:hint="cs"/>
          <w:sz w:val="24"/>
          <w:szCs w:val="24"/>
          <w:rtl/>
        </w:rPr>
        <w:t>أهـ</w:t>
      </w:r>
      <w:r w:rsidRPr="00A52585">
        <w:rPr>
          <w:rFonts w:hint="cs"/>
          <w:sz w:val="24"/>
          <w:szCs w:val="24"/>
          <w:rtl/>
        </w:rPr>
        <w:t>]</w:t>
      </w:r>
      <w:r w:rsidR="00DB731D" w:rsidRPr="00A52585">
        <w:rPr>
          <w:rFonts w:hint="cs"/>
          <w:sz w:val="24"/>
          <w:rtl/>
        </w:rPr>
        <w:t>،</w:t>
      </w:r>
      <w:r w:rsidR="00777DCB" w:rsidRPr="00A52585">
        <w:rPr>
          <w:rFonts w:hint="cs"/>
          <w:rtl/>
        </w:rPr>
        <w:t xml:space="preserve"> ومثل هذا كثير جداً وقد ذكرت جملة من ذلك في فصل الحج من كتاب (تنبيه السالك على مظان المهالك)</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يا مـن أمـد أبـا هـر بمـزودة</w:t>
      </w:r>
      <w:r w:rsidR="00897A24" w:rsidRPr="00A52585">
        <w:rPr>
          <w:rFonts w:hint="cs"/>
          <w:rtl/>
        </w:rPr>
        <w:t>.</w:t>
      </w:r>
      <w:r w:rsidR="00777DCB" w:rsidRPr="00A52585">
        <w:rPr>
          <w:rFonts w:hint="cs"/>
          <w:rtl/>
        </w:rPr>
        <w:t>.. فأوقرت منـه</w:t>
      </w:r>
      <w:r w:rsidRPr="00A52585">
        <w:rPr>
          <w:rFonts w:hint="cs"/>
          <w:rtl/>
        </w:rPr>
        <w:t xml:space="preserve"> </w:t>
      </w:r>
      <w:proofErr w:type="spellStart"/>
      <w:r w:rsidR="00777DCB" w:rsidRPr="00A52585">
        <w:rPr>
          <w:rFonts w:hint="cs"/>
          <w:rtl/>
        </w:rPr>
        <w:t>للغاديـن</w:t>
      </w:r>
      <w:proofErr w:type="spellEnd"/>
      <w:r w:rsidR="00777DCB" w:rsidRPr="00A52585">
        <w:rPr>
          <w:rFonts w:hint="cs"/>
          <w:rtl/>
        </w:rPr>
        <w:t xml:space="preserve"> أحمـال</w:t>
      </w:r>
      <w:r w:rsidR="00DB731D" w:rsidRPr="00A52585">
        <w:rPr>
          <w:rFonts w:hint="cs"/>
          <w:rtl/>
        </w:rPr>
        <w:t>،</w:t>
      </w:r>
      <w:r w:rsidR="00777DCB" w:rsidRPr="00A52585">
        <w:rPr>
          <w:rFonts w:hint="cs"/>
          <w:rtl/>
        </w:rPr>
        <w:t xml:space="preserve"> جئناك نطوي الفجاج المقفرات</w:t>
      </w:r>
      <w:r w:rsidR="00897A24" w:rsidRPr="00A52585">
        <w:rPr>
          <w:rFonts w:hint="cs"/>
          <w:rtl/>
        </w:rPr>
        <w:t>.</w:t>
      </w:r>
      <w:r w:rsidR="00777DCB" w:rsidRPr="00A52585">
        <w:rPr>
          <w:rFonts w:hint="cs"/>
          <w:rtl/>
        </w:rPr>
        <w:t>.. على عيس</w:t>
      </w:r>
      <w:r w:rsidRPr="00A52585">
        <w:rPr>
          <w:rFonts w:hint="cs"/>
          <w:rtl/>
        </w:rPr>
        <w:t xml:space="preserve"> </w:t>
      </w:r>
      <w:r w:rsidR="00777DCB" w:rsidRPr="00A52585">
        <w:rPr>
          <w:rFonts w:hint="cs"/>
          <w:rtl/>
        </w:rPr>
        <w:t>لهــا</w:t>
      </w:r>
      <w:r w:rsidRPr="00A52585">
        <w:rPr>
          <w:rFonts w:hint="cs"/>
          <w:rtl/>
        </w:rPr>
        <w:t xml:space="preserve"> </w:t>
      </w:r>
      <w:r w:rsidR="00777DCB" w:rsidRPr="00A52585">
        <w:rPr>
          <w:rFonts w:hint="cs"/>
          <w:rtl/>
        </w:rPr>
        <w:t>وجــد وإرقال</w:t>
      </w:r>
      <w:r w:rsidR="00DB731D" w:rsidRPr="00A52585">
        <w:rPr>
          <w:rFonts w:hint="cs"/>
          <w:rtl/>
        </w:rPr>
        <w:t>،</w:t>
      </w:r>
      <w:r w:rsidR="00777DCB" w:rsidRPr="00A52585">
        <w:rPr>
          <w:rFonts w:hint="cs"/>
          <w:rtl/>
        </w:rPr>
        <w:t xml:space="preserve"> حملن وقر</w:t>
      </w:r>
      <w:r w:rsidRPr="00A52585">
        <w:rPr>
          <w:rFonts w:hint="cs"/>
          <w:rtl/>
        </w:rPr>
        <w:t xml:space="preserve"> </w:t>
      </w:r>
      <w:r w:rsidR="00777DCB" w:rsidRPr="00A52585">
        <w:rPr>
          <w:rFonts w:hint="cs"/>
          <w:rtl/>
        </w:rPr>
        <w:t>الليل الشـوق قادمهــم</w:t>
      </w:r>
      <w:r w:rsidR="00897A24" w:rsidRPr="00A52585">
        <w:rPr>
          <w:rFonts w:hint="cs"/>
          <w:rtl/>
        </w:rPr>
        <w:t>.</w:t>
      </w:r>
      <w:r w:rsidR="00777DCB" w:rsidRPr="00A52585">
        <w:rPr>
          <w:rFonts w:hint="cs"/>
          <w:rtl/>
        </w:rPr>
        <w:t>.. وما ثنى العزم عنهم عنك عــذال</w:t>
      </w:r>
      <w:r w:rsidRPr="00A52585">
        <w:rPr>
          <w:rFonts w:hint="cs"/>
          <w:rtl/>
        </w:rPr>
        <w:t>)</w:t>
      </w:r>
      <w:r w:rsidR="00DB731D" w:rsidRPr="00A52585">
        <w:rPr>
          <w:rFonts w:hint="cs"/>
          <w:rtl/>
        </w:rPr>
        <w:t>،</w:t>
      </w:r>
      <w:r w:rsidR="00777DCB" w:rsidRPr="00A52585">
        <w:rPr>
          <w:rFonts w:hint="cs"/>
          <w:rtl/>
        </w:rPr>
        <w:t xml:space="preserve"> </w:t>
      </w:r>
      <w:r w:rsidR="00777DCB" w:rsidRPr="00A52585">
        <w:rPr>
          <w:rFonts w:hint="cs"/>
          <w:bCs/>
          <w:rtl/>
        </w:rPr>
        <w:t>[11-]</w:t>
      </w:r>
      <w:r w:rsidR="00777DCB" w:rsidRPr="00A52585">
        <w:rPr>
          <w:rFonts w:hint="cs"/>
          <w:rtl/>
        </w:rPr>
        <w:t xml:space="preserve"> قال </w:t>
      </w:r>
      <w:r w:rsidR="00777DCB" w:rsidRPr="00A52585">
        <w:rPr>
          <w:rFonts w:hint="cs"/>
          <w:rtl/>
        </w:rPr>
        <w:lastRenderedPageBreak/>
        <w:t>أبو هريرة رضي الله عنه</w:t>
      </w:r>
      <w:r w:rsidRPr="00A52585">
        <w:rPr>
          <w:rFonts w:hint="cs"/>
          <w:rtl/>
        </w:rPr>
        <w:t>:</w:t>
      </w:r>
      <w:r w:rsidR="00777DCB" w:rsidRPr="00A52585">
        <w:rPr>
          <w:rFonts w:hint="cs"/>
          <w:rtl/>
        </w:rPr>
        <w:t xml:space="preserve"> أصاب الناس </w:t>
      </w:r>
      <w:proofErr w:type="spellStart"/>
      <w:r w:rsidR="00777DCB" w:rsidRPr="00A52585">
        <w:rPr>
          <w:rFonts w:hint="cs"/>
          <w:rtl/>
        </w:rPr>
        <w:t>مخصمة</w:t>
      </w:r>
      <w:proofErr w:type="spellEnd"/>
      <w:r w:rsidR="00777DCB" w:rsidRPr="00A52585">
        <w:rPr>
          <w:rFonts w:hint="cs"/>
          <w:rtl/>
        </w:rPr>
        <w:t xml:space="preserve"> فقال لي رسول الله صلى الله عليه وسلم</w:t>
      </w:r>
      <w:r w:rsidRPr="00A52585">
        <w:rPr>
          <w:rFonts w:hint="cs"/>
          <w:rtl/>
        </w:rPr>
        <w:t>:)</w:t>
      </w:r>
      <w:r w:rsidR="00777DCB" w:rsidRPr="00A52585">
        <w:rPr>
          <w:rFonts w:hint="cs"/>
          <w:rtl/>
        </w:rPr>
        <w:t>) هل من شيء</w:t>
      </w:r>
      <w:r w:rsidR="00F95886" w:rsidRPr="00A52585">
        <w:rPr>
          <w:rFonts w:hint="cs"/>
          <w:rtl/>
        </w:rPr>
        <w:t>؟</w:t>
      </w:r>
      <w:r w:rsidR="00777DCB" w:rsidRPr="00A52585">
        <w:rPr>
          <w:rFonts w:hint="cs"/>
          <w:rtl/>
        </w:rPr>
        <w:t xml:space="preserve"> </w:t>
      </w:r>
      <w:r w:rsidRPr="00A52585">
        <w:rPr>
          <w:rFonts w:hint="cs"/>
          <w:rtl/>
        </w:rPr>
        <w:t>(</w:t>
      </w:r>
      <w:r w:rsidR="00777DCB" w:rsidRPr="00A52585">
        <w:rPr>
          <w:rFonts w:hint="cs"/>
          <w:rtl/>
        </w:rPr>
        <w:t>قلت</w:t>
      </w:r>
      <w:r w:rsidRPr="00A52585">
        <w:rPr>
          <w:rFonts w:hint="cs"/>
          <w:rtl/>
        </w:rPr>
        <w:t>):</w:t>
      </w:r>
      <w:r w:rsidR="00777DCB" w:rsidRPr="00A52585">
        <w:rPr>
          <w:rFonts w:hint="cs"/>
          <w:rtl/>
        </w:rPr>
        <w:t xml:space="preserve"> نعم شيء من التمر في المزود. قال</w:t>
      </w:r>
      <w:r w:rsidRPr="00A52585">
        <w:rPr>
          <w:rFonts w:hint="cs"/>
          <w:rtl/>
        </w:rPr>
        <w:t>:</w:t>
      </w:r>
      <w:r w:rsidR="00777DCB" w:rsidRPr="00A52585">
        <w:rPr>
          <w:rFonts w:hint="cs"/>
          <w:rtl/>
        </w:rPr>
        <w:t xml:space="preserve"> فأتني به</w:t>
      </w:r>
      <w:r w:rsidR="00DB731D" w:rsidRPr="00A52585">
        <w:rPr>
          <w:rFonts w:hint="cs"/>
          <w:rtl/>
        </w:rPr>
        <w:t>،</w:t>
      </w:r>
      <w:r w:rsidR="00777DCB" w:rsidRPr="00A52585">
        <w:rPr>
          <w:rFonts w:hint="cs"/>
          <w:rtl/>
        </w:rPr>
        <w:t xml:space="preserve"> فأدخل يده فأخرج قبضة فبسطها ودعا بالبركة. ثم قال</w:t>
      </w:r>
      <w:r w:rsidRPr="00A52585">
        <w:rPr>
          <w:rFonts w:hint="cs"/>
          <w:rtl/>
        </w:rPr>
        <w:t>:</w:t>
      </w:r>
      <w:r w:rsidR="00777DCB" w:rsidRPr="00A52585">
        <w:rPr>
          <w:rFonts w:hint="cs"/>
          <w:rtl/>
        </w:rPr>
        <w:t xml:space="preserve"> ادع عشرة. فأكلوا حتى شبعوا</w:t>
      </w:r>
      <w:r w:rsidR="00DB731D" w:rsidRPr="00A52585">
        <w:rPr>
          <w:rFonts w:hint="cs"/>
          <w:rtl/>
        </w:rPr>
        <w:t>،</w:t>
      </w:r>
      <w:r w:rsidR="00777DCB" w:rsidRPr="00A52585">
        <w:rPr>
          <w:rFonts w:hint="cs"/>
          <w:rtl/>
        </w:rPr>
        <w:t xml:space="preserve"> ثم عشرة كذلك حتى أطعم الجيش كلهم وشبعوا. قال</w:t>
      </w:r>
      <w:r w:rsidRPr="00A52585">
        <w:rPr>
          <w:rFonts w:hint="cs"/>
          <w:rtl/>
        </w:rPr>
        <w:t>:</w:t>
      </w:r>
      <w:r w:rsidR="00777DCB" w:rsidRPr="00A52585">
        <w:rPr>
          <w:rFonts w:hint="cs"/>
          <w:rtl/>
        </w:rPr>
        <w:t xml:space="preserve"> خذ ما جئت به وأدخل يدك واقبض منه ولا تكفئه. فقبضت على أكثر مما جئت به فأكلت منه. وأطعمت حياة رسول الله صلى الله عليه وسلم وأبي بكر وعمر رضي الله عنهما إلى أن قتل عثمان رضي الله عنه فانتهب مني فذهب (</w:t>
      </w:r>
      <w:r w:rsidRPr="00A52585">
        <w:rPr>
          <w:rFonts w:hint="cs"/>
          <w:rtl/>
        </w:rPr>
        <w:t>(</w:t>
      </w:r>
      <w:r w:rsidR="00777DCB" w:rsidRPr="00A52585">
        <w:rPr>
          <w:rFonts w:hint="cs"/>
          <w:rtl/>
        </w:rPr>
        <w:t xml:space="preserve">وفي رواية فقد حملت من ذلك التمر كذا وكذا من وسقاً في سبيل الله تعالى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بمجموع طرقه، له طرق عديدة بعضها حسن أخرجه الترمذي في مناقب أبي هريرة في سننه وقال</w:t>
      </w:r>
      <w:r w:rsidRPr="00A52585">
        <w:rPr>
          <w:rFonts w:hint="cs"/>
          <w:sz w:val="24"/>
          <w:szCs w:val="24"/>
          <w:rtl/>
        </w:rPr>
        <w:t xml:space="preserve">: </w:t>
      </w:r>
      <w:r w:rsidR="00777DCB" w:rsidRPr="00A52585">
        <w:rPr>
          <w:rFonts w:hint="cs"/>
          <w:sz w:val="24"/>
          <w:szCs w:val="24"/>
          <w:rtl/>
        </w:rPr>
        <w:t>" هذا حديث حسن غريب "</w:t>
      </w:r>
      <w:r w:rsidR="00DB731D" w:rsidRPr="00A52585">
        <w:rPr>
          <w:rFonts w:hint="cs"/>
          <w:sz w:val="24"/>
          <w:szCs w:val="24"/>
          <w:rtl/>
        </w:rPr>
        <w:t>،</w:t>
      </w:r>
      <w:r w:rsidR="00777DCB" w:rsidRPr="00A52585">
        <w:rPr>
          <w:rFonts w:hint="cs"/>
          <w:sz w:val="24"/>
          <w:szCs w:val="24"/>
          <w:rtl/>
        </w:rPr>
        <w:t xml:space="preserve"> وأخرجه أحمد في مسنده 2/352 وقال السيوطي في (الخصائص الكبرى) 2/51</w:t>
      </w:r>
      <w:r w:rsidRPr="00A52585">
        <w:rPr>
          <w:rFonts w:hint="cs"/>
          <w:sz w:val="24"/>
          <w:szCs w:val="24"/>
          <w:rtl/>
        </w:rPr>
        <w:t xml:space="preserve">: </w:t>
      </w:r>
      <w:r w:rsidR="00777DCB" w:rsidRPr="00A52585">
        <w:rPr>
          <w:rFonts w:hint="cs"/>
          <w:sz w:val="24"/>
          <w:szCs w:val="24"/>
          <w:rtl/>
        </w:rPr>
        <w:t>"وأخرجه ابن سعد والبيهقي وأبو نعيم من طريق أبي العالية عن أبي هريرة</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r w:rsidR="00777DCB" w:rsidRPr="00A52585">
        <w:rPr>
          <w:rFonts w:hint="cs"/>
          <w:sz w:val="24"/>
          <w:szCs w:val="24"/>
          <w:rtl/>
        </w:rPr>
        <w:t>وذكر الحديث وأخرجه الإمام البيهقي في دلائل النبوة 6/109-111 فذكر له ثلاث روايات منها رواية محمد بن سيرين عن أبي هريرة فذكر فيها أنه أخذ منها خمسين وسقا من التمر في سبيل الله، وفي روايته عن زيد بن منصور عن أبيه عن أبي هريرة فذكر فيها</w:t>
      </w:r>
      <w:r w:rsidRPr="00A52585">
        <w:rPr>
          <w:rFonts w:hint="cs"/>
          <w:sz w:val="24"/>
          <w:szCs w:val="24"/>
          <w:rtl/>
        </w:rPr>
        <w:t xml:space="preserve">: </w:t>
      </w:r>
      <w:r w:rsidR="00777DCB" w:rsidRPr="00A52585">
        <w:rPr>
          <w:rFonts w:hint="cs"/>
          <w:sz w:val="24"/>
          <w:szCs w:val="24"/>
          <w:rtl/>
        </w:rPr>
        <w:t>" أكلت منه أكثر من مائتي وسق"</w:t>
      </w:r>
      <w:r w:rsidR="00DB731D" w:rsidRPr="00A52585">
        <w:rPr>
          <w:rFonts w:hint="cs"/>
          <w:sz w:val="24"/>
          <w:szCs w:val="24"/>
          <w:rtl/>
        </w:rPr>
        <w:t>،</w:t>
      </w:r>
      <w:r w:rsidR="00777DCB" w:rsidRPr="00A52585">
        <w:rPr>
          <w:rFonts w:hint="cs"/>
          <w:sz w:val="24"/>
          <w:szCs w:val="24"/>
          <w:rtl/>
        </w:rPr>
        <w:t xml:space="preserve"> والوسق يساوي 8205 كيلو جراما بمقاييس زمننا انظر تعليق حسين سليم أسد، وعبده على كوشك على موارد الظمآن 7/52 حديث رقم (2510)</w:t>
      </w:r>
      <w:r w:rsidR="00DB731D" w:rsidRPr="00A52585">
        <w:rPr>
          <w:rFonts w:hint="cs"/>
          <w:sz w:val="24"/>
          <w:szCs w:val="24"/>
          <w:rtl/>
        </w:rPr>
        <w:t>،</w:t>
      </w:r>
      <w:r w:rsidR="00777DCB" w:rsidRPr="00A52585">
        <w:rPr>
          <w:rFonts w:hint="cs"/>
          <w:sz w:val="24"/>
          <w:szCs w:val="24"/>
          <w:rtl/>
        </w:rPr>
        <w:t xml:space="preserve"> وهذا الحديث من دلائل النبوة وله نظائر كثيرة في بابه من كتب السنة</w:t>
      </w:r>
      <w:r w:rsidRPr="00A52585">
        <w:rPr>
          <w:rFonts w:hint="cs"/>
          <w:sz w:val="24"/>
          <w:szCs w:val="24"/>
          <w:rtl/>
        </w:rPr>
        <w:t>]</w:t>
      </w:r>
      <w:r w:rsidR="00DB731D" w:rsidRPr="00A52585">
        <w:rPr>
          <w:rFonts w:hint="cs"/>
          <w:rtl/>
        </w:rPr>
        <w:t>،</w:t>
      </w:r>
      <w:r w:rsidR="00777DCB" w:rsidRPr="00A52585">
        <w:rPr>
          <w:rFonts w:hint="cs"/>
          <w:rtl/>
        </w:rPr>
        <w:t xml:space="preserve"> فقد تحققت بهذا فضلا عن غيره مثل الرمال كثرة يا صحيح الذهن وقوي الإيمان به أنه لا يكون قبره وثناً ألبته</w:t>
      </w:r>
      <w:r w:rsidR="00DB731D" w:rsidRPr="00A52585">
        <w:rPr>
          <w:rFonts w:hint="cs"/>
          <w:rtl/>
        </w:rPr>
        <w:t>،</w:t>
      </w:r>
      <w:r w:rsidR="00777DCB" w:rsidRPr="00A52585">
        <w:rPr>
          <w:rFonts w:hint="cs"/>
          <w:rtl/>
        </w:rPr>
        <w:t xml:space="preserve"> </w:t>
      </w:r>
    </w:p>
    <w:p w14:paraId="10DEB012" w14:textId="1EF18953" w:rsidR="00777DCB" w:rsidRPr="00A52585" w:rsidRDefault="0002035C" w:rsidP="0002035C">
      <w:pPr>
        <w:spacing w:after="240"/>
        <w:rPr>
          <w:b/>
          <w:bCs/>
          <w:rtl/>
        </w:rPr>
      </w:pPr>
      <w:r w:rsidRPr="00A52585">
        <w:rPr>
          <w:rFonts w:hint="cs"/>
          <w:bCs/>
          <w:rtl/>
        </w:rPr>
        <w:t>[</w:t>
      </w:r>
      <w:r w:rsidR="00777DCB" w:rsidRPr="00A52585">
        <w:rPr>
          <w:rFonts w:hint="cs"/>
          <w:bCs/>
          <w:rtl/>
        </w:rPr>
        <w:t>بشارته صلى الله عليه وسلم بأن الشيطان لن يعبد في جزيرة العرب وعليه فلن يكون القبر المكرم وثنا</w:t>
      </w:r>
      <w:r w:rsidRPr="00A52585">
        <w:rPr>
          <w:rFonts w:hint="cs"/>
          <w:bCs/>
          <w:rtl/>
        </w:rPr>
        <w:t>]:</w:t>
      </w:r>
      <w:r w:rsidR="00777DCB" w:rsidRPr="00A52585">
        <w:rPr>
          <w:rFonts w:hint="cs"/>
          <w:bCs/>
          <w:rtl/>
        </w:rPr>
        <w:t xml:space="preserve"> </w:t>
      </w:r>
      <w:r w:rsidR="00777DCB" w:rsidRPr="00A52585">
        <w:rPr>
          <w:rFonts w:hint="cs"/>
          <w:rtl/>
        </w:rPr>
        <w:t>بل في الحديث الصحيح</w:t>
      </w:r>
      <w:r w:rsidRPr="00A52585">
        <w:rPr>
          <w:rFonts w:hint="cs"/>
          <w:rtl/>
        </w:rPr>
        <w:t>:</w:t>
      </w:r>
      <w:r w:rsidR="00777DCB" w:rsidRPr="00A52585">
        <w:rPr>
          <w:rFonts w:hint="cs"/>
          <w:rtl/>
        </w:rPr>
        <w:t xml:space="preserve"> (قد أيس الشيطان أن يعبد في جزيرة العرب)</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حديث صحيح رواه جابر بن عبد الله رضي الله عنه - أخرجه</w:t>
      </w:r>
      <w:r w:rsidRPr="00A52585">
        <w:rPr>
          <w:rFonts w:hint="cs"/>
          <w:sz w:val="24"/>
          <w:szCs w:val="24"/>
          <w:rtl/>
        </w:rPr>
        <w:t>:</w:t>
      </w:r>
      <w:r w:rsidR="00777DCB" w:rsidRPr="00A52585">
        <w:rPr>
          <w:rFonts w:hint="cs"/>
          <w:sz w:val="24"/>
          <w:szCs w:val="24"/>
          <w:rtl/>
        </w:rPr>
        <w:t xml:space="preserve"> مسلم كتاب (المنافقين) </w:t>
      </w:r>
      <w:r w:rsidR="00777DCB" w:rsidRPr="00A52585">
        <w:rPr>
          <w:sz w:val="24"/>
          <w:szCs w:val="24"/>
        </w:rPr>
        <w:t>–</w:t>
      </w:r>
      <w:r w:rsidR="00777DCB" w:rsidRPr="00A52585">
        <w:rPr>
          <w:rFonts w:hint="cs"/>
          <w:sz w:val="24"/>
          <w:szCs w:val="24"/>
          <w:rtl/>
        </w:rPr>
        <w:t xml:space="preserve"> باب (تحريش الشيطان وبعثه سراياه)، الترمذي كتاب (البر والصلة)- باب</w:t>
      </w:r>
      <w:r w:rsidRPr="00A52585">
        <w:rPr>
          <w:rFonts w:hint="cs"/>
          <w:sz w:val="24"/>
          <w:szCs w:val="24"/>
          <w:rtl/>
        </w:rPr>
        <w:t>:</w:t>
      </w:r>
      <w:r w:rsidR="00777DCB" w:rsidRPr="00A52585">
        <w:rPr>
          <w:rFonts w:hint="cs"/>
          <w:sz w:val="24"/>
          <w:szCs w:val="24"/>
          <w:rtl/>
        </w:rPr>
        <w:t xml:space="preserve"> ما جاء في التباغض، أحمد في مسنده عن جابر 3/313، 354، 366، 384 ومن حديث عم أبي حمزة الرقاشي 5/73</w:t>
      </w:r>
      <w:r w:rsidRPr="00A52585">
        <w:rPr>
          <w:rFonts w:hint="cs"/>
          <w:sz w:val="24"/>
          <w:szCs w:val="24"/>
          <w:rtl/>
        </w:rPr>
        <w:t>]</w:t>
      </w:r>
      <w:r w:rsidR="00DB731D" w:rsidRPr="00A52585">
        <w:rPr>
          <w:rFonts w:hint="cs"/>
          <w:sz w:val="24"/>
          <w:szCs w:val="24"/>
          <w:rtl/>
        </w:rPr>
        <w:t>،</w:t>
      </w:r>
      <w:r w:rsidRPr="00A52585">
        <w:rPr>
          <w:rFonts w:hint="cs"/>
          <w:sz w:val="24"/>
          <w:szCs w:val="24"/>
          <w:rtl/>
        </w:rPr>
        <w:t xml:space="preserve"> </w:t>
      </w:r>
      <w:r w:rsidR="00777DCB" w:rsidRPr="00A52585">
        <w:rPr>
          <w:rFonts w:hint="cs"/>
          <w:rtl/>
        </w:rPr>
        <w:t>أو مثل هذا السيد المعظم المكرم لا يتوسل به ولا تشد الرحال إليه قاتل العزيزُ من قاله وضاعف العذاب عليه</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جديـر بنا نسعى إليه ونـدلج</w:t>
      </w:r>
      <w:r w:rsidR="00897A24" w:rsidRPr="00A52585">
        <w:rPr>
          <w:rFonts w:hint="cs"/>
          <w:rtl/>
        </w:rPr>
        <w:t>.</w:t>
      </w:r>
      <w:r w:rsidR="00777DCB" w:rsidRPr="00A52585">
        <w:rPr>
          <w:rFonts w:hint="cs"/>
          <w:rtl/>
        </w:rPr>
        <w:t>.</w:t>
      </w:r>
      <w:r w:rsidRPr="00A52585">
        <w:rPr>
          <w:rFonts w:hint="cs"/>
          <w:rtl/>
        </w:rPr>
        <w:t xml:space="preserve"> </w:t>
      </w:r>
      <w:r w:rsidR="00777DCB" w:rsidRPr="00A52585">
        <w:rPr>
          <w:rFonts w:hint="cs"/>
          <w:rtl/>
        </w:rPr>
        <w:t>فذاك الذي يُسعى إليه ويـدلج</w:t>
      </w:r>
      <w:r w:rsidR="00DB731D" w:rsidRPr="00A52585">
        <w:rPr>
          <w:rFonts w:hint="cs"/>
          <w:rtl/>
        </w:rPr>
        <w:t>،</w:t>
      </w:r>
      <w:r w:rsidR="00777DCB" w:rsidRPr="00A52585">
        <w:rPr>
          <w:rFonts w:hint="cs"/>
          <w:rtl/>
        </w:rPr>
        <w:t xml:space="preserve"> جعلنـا إليه في الحياة</w:t>
      </w:r>
      <w:r w:rsidRPr="00A52585">
        <w:rPr>
          <w:rFonts w:hint="cs"/>
          <w:rtl/>
        </w:rPr>
        <w:t xml:space="preserve"> </w:t>
      </w:r>
      <w:r w:rsidR="00777DCB" w:rsidRPr="00A52585">
        <w:rPr>
          <w:rFonts w:hint="cs"/>
          <w:rtl/>
        </w:rPr>
        <w:t>احتياجنا</w:t>
      </w:r>
      <w:r w:rsidR="00897A24" w:rsidRPr="00A52585">
        <w:rPr>
          <w:rFonts w:hint="cs"/>
          <w:rtl/>
        </w:rPr>
        <w:t>.</w:t>
      </w:r>
      <w:r w:rsidR="00777DCB" w:rsidRPr="00A52585">
        <w:rPr>
          <w:rFonts w:hint="cs"/>
          <w:rtl/>
        </w:rPr>
        <w:t>. ونحـن إليه في القيامة أحـوج</w:t>
      </w:r>
      <w:r w:rsidR="00DB731D" w:rsidRPr="00A52585">
        <w:rPr>
          <w:rFonts w:hint="cs"/>
          <w:rtl/>
        </w:rPr>
        <w:t>،</w:t>
      </w:r>
      <w:r w:rsidR="00777DCB" w:rsidRPr="00A52585">
        <w:rPr>
          <w:rFonts w:hint="cs"/>
          <w:rtl/>
        </w:rPr>
        <w:t xml:space="preserve"> جميع الورى والرسل تحت لوائه</w:t>
      </w:r>
      <w:r w:rsidR="00897A24" w:rsidRPr="00A52585">
        <w:rPr>
          <w:rFonts w:hint="cs"/>
          <w:rtl/>
        </w:rPr>
        <w:t>.</w:t>
      </w:r>
      <w:r w:rsidR="00777DCB" w:rsidRPr="00A52585">
        <w:rPr>
          <w:rFonts w:hint="cs"/>
          <w:rtl/>
        </w:rPr>
        <w:t>. ومن ذا له عن جاه أحمد مخـرج</w:t>
      </w:r>
      <w:r w:rsidRPr="00A52585">
        <w:rPr>
          <w:rFonts w:hint="cs"/>
          <w:rtl/>
        </w:rPr>
        <w:t>)</w:t>
      </w:r>
      <w:r w:rsidR="00DB731D" w:rsidRPr="00A52585">
        <w:rPr>
          <w:rFonts w:hint="cs"/>
          <w:rtl/>
        </w:rPr>
        <w:t>،</w:t>
      </w:r>
      <w:r w:rsidR="00777DCB" w:rsidRPr="00A52585">
        <w:rPr>
          <w:rFonts w:hint="cs"/>
          <w:rtl/>
        </w:rPr>
        <w:t xml:space="preserve"> أو لهذا السيد الجليل المبجل لا يشد إليه رحل ولا يتوسل قاتل قائله وجعله على رضف جهنم متململ</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زكا قدره من ذا يجاريه في العلا</w:t>
      </w:r>
      <w:r w:rsidR="00897A24" w:rsidRPr="00A52585">
        <w:rPr>
          <w:rFonts w:hint="cs"/>
          <w:rtl/>
        </w:rPr>
        <w:t>.</w:t>
      </w:r>
      <w:r w:rsidR="00777DCB" w:rsidRPr="00A52585">
        <w:rPr>
          <w:rFonts w:hint="cs"/>
          <w:rtl/>
        </w:rPr>
        <w:t>. وأعلامـه</w:t>
      </w:r>
      <w:r w:rsidRPr="00A52585">
        <w:rPr>
          <w:rFonts w:hint="cs"/>
          <w:rtl/>
        </w:rPr>
        <w:t xml:space="preserve"> </w:t>
      </w:r>
      <w:r w:rsidR="00777DCB" w:rsidRPr="00A52585">
        <w:rPr>
          <w:rFonts w:hint="cs"/>
          <w:rtl/>
        </w:rPr>
        <w:t>في</w:t>
      </w:r>
      <w:r w:rsidRPr="00A52585">
        <w:rPr>
          <w:rFonts w:hint="cs"/>
          <w:rtl/>
        </w:rPr>
        <w:t xml:space="preserve"> </w:t>
      </w:r>
      <w:r w:rsidR="00777DCB" w:rsidRPr="00A52585">
        <w:rPr>
          <w:rFonts w:hint="cs"/>
          <w:rtl/>
        </w:rPr>
        <w:t>ذروة العز تركز</w:t>
      </w:r>
      <w:r w:rsidR="00DB731D" w:rsidRPr="00A52585">
        <w:rPr>
          <w:rFonts w:hint="cs"/>
          <w:rtl/>
        </w:rPr>
        <w:t>،</w:t>
      </w:r>
      <w:r w:rsidR="00777DCB" w:rsidRPr="00A52585">
        <w:rPr>
          <w:rFonts w:hint="cs"/>
          <w:rtl/>
        </w:rPr>
        <w:t xml:space="preserve"> زحاماً ترى للرسل تحـت لوائه</w:t>
      </w:r>
      <w:r w:rsidR="00897A24" w:rsidRPr="00A52585">
        <w:rPr>
          <w:rFonts w:hint="cs"/>
          <w:rtl/>
        </w:rPr>
        <w:t>.</w:t>
      </w:r>
      <w:r w:rsidR="00777DCB" w:rsidRPr="00A52585">
        <w:rPr>
          <w:rFonts w:hint="cs"/>
          <w:rtl/>
        </w:rPr>
        <w:t xml:space="preserve">. وكـل نـبي </w:t>
      </w:r>
      <w:proofErr w:type="spellStart"/>
      <w:r w:rsidR="00777DCB" w:rsidRPr="00A52585">
        <w:rPr>
          <w:rFonts w:hint="cs"/>
          <w:rtl/>
        </w:rPr>
        <w:t>باللـوا</w:t>
      </w:r>
      <w:proofErr w:type="spellEnd"/>
      <w:r w:rsidRPr="00A52585">
        <w:rPr>
          <w:rFonts w:hint="cs"/>
          <w:rtl/>
        </w:rPr>
        <w:t xml:space="preserve"> </w:t>
      </w:r>
      <w:r w:rsidR="00777DCB" w:rsidRPr="00A52585">
        <w:rPr>
          <w:rFonts w:hint="cs"/>
          <w:rtl/>
        </w:rPr>
        <w:t>يتعـزز</w:t>
      </w:r>
      <w:r w:rsidR="00DB731D" w:rsidRPr="00A52585">
        <w:rPr>
          <w:rFonts w:hint="cs"/>
          <w:rtl/>
        </w:rPr>
        <w:t>،</w:t>
      </w:r>
      <w:r w:rsidR="00777DCB" w:rsidRPr="00A52585">
        <w:rPr>
          <w:rFonts w:hint="cs"/>
          <w:rtl/>
        </w:rPr>
        <w:t xml:space="preserve"> زعيم بتعجيل</w:t>
      </w:r>
      <w:r w:rsidRPr="00A52585">
        <w:rPr>
          <w:rFonts w:hint="cs"/>
          <w:rtl/>
        </w:rPr>
        <w:t xml:space="preserve"> </w:t>
      </w:r>
      <w:r w:rsidR="00777DCB" w:rsidRPr="00A52585">
        <w:rPr>
          <w:rFonts w:hint="cs"/>
          <w:rtl/>
        </w:rPr>
        <w:t>الشفاعة عنـدما</w:t>
      </w:r>
      <w:r w:rsidR="00897A24" w:rsidRPr="00A52585">
        <w:rPr>
          <w:rFonts w:hint="cs"/>
          <w:rtl/>
        </w:rPr>
        <w:t>.</w:t>
      </w:r>
      <w:r w:rsidR="00777DCB" w:rsidRPr="00A52585">
        <w:rPr>
          <w:rFonts w:hint="cs"/>
          <w:rtl/>
        </w:rPr>
        <w:t>. أولو العزم عنها في القيامة تعجز</w:t>
      </w:r>
      <w:r w:rsidR="00DB731D" w:rsidRPr="00A52585">
        <w:rPr>
          <w:rFonts w:hint="cs"/>
          <w:rtl/>
        </w:rPr>
        <w:t>،</w:t>
      </w:r>
      <w:r w:rsidR="00777DCB" w:rsidRPr="00A52585">
        <w:rPr>
          <w:rFonts w:hint="cs"/>
          <w:rtl/>
        </w:rPr>
        <w:t xml:space="preserve"> زفير لظى</w:t>
      </w:r>
      <w:r w:rsidRPr="00A52585">
        <w:rPr>
          <w:rFonts w:hint="cs"/>
          <w:rtl/>
        </w:rPr>
        <w:t xml:space="preserve"> </w:t>
      </w:r>
      <w:r w:rsidR="00777DCB" w:rsidRPr="00A52585">
        <w:rPr>
          <w:rFonts w:hint="cs"/>
          <w:rtl/>
        </w:rPr>
        <w:t>عنا</w:t>
      </w:r>
      <w:r w:rsidRPr="00A52585">
        <w:rPr>
          <w:rFonts w:hint="cs"/>
          <w:rtl/>
        </w:rPr>
        <w:t xml:space="preserve"> </w:t>
      </w:r>
      <w:r w:rsidR="00777DCB" w:rsidRPr="00A52585">
        <w:rPr>
          <w:rFonts w:hint="cs"/>
          <w:rtl/>
        </w:rPr>
        <w:t>يـرد</w:t>
      </w:r>
      <w:r w:rsidRPr="00A52585">
        <w:rPr>
          <w:rFonts w:hint="cs"/>
          <w:rtl/>
        </w:rPr>
        <w:t xml:space="preserve"> </w:t>
      </w:r>
      <w:r w:rsidR="00777DCB" w:rsidRPr="00A52585">
        <w:rPr>
          <w:rFonts w:hint="cs"/>
          <w:rtl/>
        </w:rPr>
        <w:t>بجاهـه</w:t>
      </w:r>
      <w:r w:rsidR="00897A24" w:rsidRPr="00A52585">
        <w:rPr>
          <w:rFonts w:hint="cs"/>
          <w:rtl/>
        </w:rPr>
        <w:t>.</w:t>
      </w:r>
      <w:r w:rsidR="00777DCB" w:rsidRPr="00A52585">
        <w:rPr>
          <w:rFonts w:hint="cs"/>
          <w:rtl/>
        </w:rPr>
        <w:t>. إذا هي من غيـظ علينا تميـز</w:t>
      </w:r>
      <w:r w:rsidR="00DB731D" w:rsidRPr="00A52585">
        <w:rPr>
          <w:rFonts w:hint="cs"/>
          <w:rtl/>
        </w:rPr>
        <w:t>،</w:t>
      </w:r>
      <w:r w:rsidR="00777DCB" w:rsidRPr="00A52585">
        <w:rPr>
          <w:rFonts w:hint="cs"/>
          <w:rtl/>
        </w:rPr>
        <w:t xml:space="preserve"> زكاة على الأبدان</w:t>
      </w:r>
      <w:r w:rsidRPr="00A52585">
        <w:rPr>
          <w:rFonts w:hint="cs"/>
          <w:rtl/>
        </w:rPr>
        <w:t xml:space="preserve"> </w:t>
      </w:r>
      <w:r w:rsidR="00777DCB" w:rsidRPr="00A52585">
        <w:rPr>
          <w:rFonts w:hint="cs"/>
          <w:rtl/>
        </w:rPr>
        <w:t xml:space="preserve">تسعى </w:t>
      </w:r>
      <w:r w:rsidR="00777DCB" w:rsidRPr="00A52585">
        <w:rPr>
          <w:rFonts w:hint="cs"/>
          <w:rtl/>
        </w:rPr>
        <w:lastRenderedPageBreak/>
        <w:t>لقبره</w:t>
      </w:r>
      <w:r w:rsidR="00897A24" w:rsidRPr="00A52585">
        <w:rPr>
          <w:rFonts w:hint="cs"/>
          <w:rtl/>
        </w:rPr>
        <w:t>.</w:t>
      </w:r>
      <w:r w:rsidR="00777DCB" w:rsidRPr="00A52585">
        <w:rPr>
          <w:rFonts w:hint="cs"/>
          <w:rtl/>
        </w:rPr>
        <w:t>. فسـيروا وزوروا</w:t>
      </w:r>
      <w:r w:rsidRPr="00A52585">
        <w:rPr>
          <w:rFonts w:hint="cs"/>
          <w:rtl/>
        </w:rPr>
        <w:t xml:space="preserve"> </w:t>
      </w:r>
      <w:r w:rsidR="00777DCB" w:rsidRPr="00A52585">
        <w:rPr>
          <w:rFonts w:hint="cs"/>
          <w:rtl/>
        </w:rPr>
        <w:t>فالغنائم تحرز</w:t>
      </w:r>
      <w:r w:rsidR="00DB731D" w:rsidRPr="00A52585">
        <w:rPr>
          <w:rFonts w:hint="cs"/>
          <w:rtl/>
        </w:rPr>
        <w:t>،</w:t>
      </w:r>
      <w:r w:rsidR="00777DCB" w:rsidRPr="00A52585">
        <w:rPr>
          <w:rFonts w:hint="cs"/>
          <w:rtl/>
        </w:rPr>
        <w:t xml:space="preserve"> فمـن زاره نال</w:t>
      </w:r>
      <w:r w:rsidRPr="00A52585">
        <w:rPr>
          <w:rFonts w:hint="cs"/>
          <w:rtl/>
        </w:rPr>
        <w:t xml:space="preserve"> </w:t>
      </w:r>
      <w:r w:rsidR="00777DCB" w:rsidRPr="00A52585">
        <w:rPr>
          <w:rFonts w:hint="cs"/>
          <w:rtl/>
        </w:rPr>
        <w:t>السعــادة كلها</w:t>
      </w:r>
      <w:r w:rsidR="00897A24" w:rsidRPr="00A52585">
        <w:rPr>
          <w:rFonts w:hint="cs"/>
          <w:rtl/>
        </w:rPr>
        <w:t>.</w:t>
      </w:r>
      <w:r w:rsidR="00777DCB" w:rsidRPr="00A52585">
        <w:rPr>
          <w:rFonts w:hint="cs"/>
          <w:rtl/>
        </w:rPr>
        <w:t>. ومن مات عجزاً ذاك والله أمـيز</w:t>
      </w:r>
      <w:r w:rsidRPr="00A52585">
        <w:rPr>
          <w:rFonts w:hint="cs"/>
          <w:rtl/>
        </w:rPr>
        <w:t>)</w:t>
      </w:r>
      <w:r w:rsidR="00777DCB" w:rsidRPr="00A52585">
        <w:rPr>
          <w:rFonts w:hint="cs"/>
          <w:rtl/>
        </w:rPr>
        <w:t xml:space="preserve"> فمن توسل به عليه الصلاة والسلام إنما توسل به لعلو قدره ومرتبته وارتفاع منزلته وكمالها عند ربه وعظم إدلاله وفضله على جميـع خلقه صلى الله عليه وسلم كما أخبر هو عن نفسه فإنه سيد الأولين والآخرين وحبيب رب العالمين وأحب الخلق إليه أجمعين ذلك شائع </w:t>
      </w:r>
      <w:proofErr w:type="spellStart"/>
      <w:r w:rsidR="00777DCB" w:rsidRPr="00A52585">
        <w:rPr>
          <w:rFonts w:hint="cs"/>
          <w:rtl/>
        </w:rPr>
        <w:t>وذائغ</w:t>
      </w:r>
      <w:proofErr w:type="spellEnd"/>
      <w:r w:rsidR="00777DCB" w:rsidRPr="00A52585">
        <w:rPr>
          <w:rFonts w:hint="cs"/>
          <w:rtl/>
        </w:rPr>
        <w:t xml:space="preserve"> في الأقدمين والآخرين حتى في أعدائه المبطلين</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قديمـاً بـدا قبـل النبيين فضـله</w:t>
      </w:r>
      <w:r w:rsidR="00897A24" w:rsidRPr="00A52585">
        <w:rPr>
          <w:rFonts w:hint="cs"/>
          <w:rtl/>
        </w:rPr>
        <w:t>.</w:t>
      </w:r>
      <w:r w:rsidR="00777DCB" w:rsidRPr="00A52585">
        <w:rPr>
          <w:rFonts w:hint="cs"/>
          <w:rtl/>
        </w:rPr>
        <w:t>.. وإن قدِّموا بعثا ففي الفضل أسبق</w:t>
      </w:r>
      <w:r w:rsidR="00897A24" w:rsidRPr="00A52585">
        <w:rPr>
          <w:rFonts w:hint="cs"/>
          <w:rtl/>
        </w:rPr>
        <w:t>.</w:t>
      </w:r>
      <w:r w:rsidR="00777DCB" w:rsidRPr="00A52585">
        <w:rPr>
          <w:rFonts w:hint="cs"/>
          <w:rtl/>
        </w:rPr>
        <w:t>.. قضى الله أن لا يلحق الرسل لاحق</w:t>
      </w:r>
      <w:r w:rsidR="00897A24" w:rsidRPr="00A52585">
        <w:rPr>
          <w:rFonts w:hint="cs"/>
          <w:rtl/>
        </w:rPr>
        <w:t>.</w:t>
      </w:r>
      <w:r w:rsidR="00777DCB" w:rsidRPr="00A52585">
        <w:rPr>
          <w:rFonts w:hint="cs"/>
          <w:rtl/>
        </w:rPr>
        <w:t>.. ولا أحد منهم بأحمـد يلحق</w:t>
      </w:r>
      <w:r w:rsidR="00897A24" w:rsidRPr="00A52585">
        <w:rPr>
          <w:rFonts w:hint="cs"/>
          <w:rtl/>
        </w:rPr>
        <w:t>.</w:t>
      </w:r>
      <w:r w:rsidR="00777DCB" w:rsidRPr="00A52585">
        <w:rPr>
          <w:rFonts w:hint="cs"/>
          <w:rtl/>
        </w:rPr>
        <w:t>.. قطعنـا بأن لا يخلـق الله شبـهه</w:t>
      </w:r>
      <w:r w:rsidR="00897A24" w:rsidRPr="00A52585">
        <w:rPr>
          <w:rFonts w:hint="cs"/>
          <w:rtl/>
        </w:rPr>
        <w:t>.</w:t>
      </w:r>
      <w:r w:rsidR="00777DCB" w:rsidRPr="00A52585">
        <w:rPr>
          <w:rFonts w:hint="cs"/>
          <w:rtl/>
        </w:rPr>
        <w:t>.. قديماً ولا في آخر الخلق يخلـق</w:t>
      </w:r>
      <w:r w:rsidR="00897A24" w:rsidRPr="00A52585">
        <w:rPr>
          <w:rFonts w:hint="cs"/>
          <w:rtl/>
        </w:rPr>
        <w:t>.</w:t>
      </w:r>
      <w:r w:rsidR="00777DCB" w:rsidRPr="00A52585">
        <w:rPr>
          <w:rFonts w:hint="cs"/>
          <w:rtl/>
        </w:rPr>
        <w:t>.. قل الحق هل</w:t>
      </w:r>
      <w:r w:rsidRPr="00A52585">
        <w:rPr>
          <w:rFonts w:hint="cs"/>
          <w:rtl/>
        </w:rPr>
        <w:t xml:space="preserve"> </w:t>
      </w:r>
      <w:r w:rsidR="00777DCB" w:rsidRPr="00A52585">
        <w:rPr>
          <w:rFonts w:hint="cs"/>
          <w:rtl/>
        </w:rPr>
        <w:t>تدري لأحمد</w:t>
      </w:r>
      <w:r w:rsidRPr="00A52585">
        <w:rPr>
          <w:rFonts w:hint="cs"/>
          <w:rtl/>
        </w:rPr>
        <w:t xml:space="preserve"> </w:t>
      </w:r>
      <w:r w:rsidR="00777DCB" w:rsidRPr="00A52585">
        <w:rPr>
          <w:rFonts w:hint="cs"/>
          <w:rtl/>
        </w:rPr>
        <w:t>مشبهاً</w:t>
      </w:r>
      <w:r w:rsidR="00897A24" w:rsidRPr="00A52585">
        <w:rPr>
          <w:rFonts w:hint="cs"/>
          <w:rtl/>
        </w:rPr>
        <w:t>.</w:t>
      </w:r>
      <w:r w:rsidR="00777DCB" w:rsidRPr="00A52585">
        <w:rPr>
          <w:rFonts w:hint="cs"/>
          <w:rtl/>
        </w:rPr>
        <w:t>.. فبادر وقـل لا لا فإنك تصـدق</w:t>
      </w:r>
      <w:r w:rsidR="00897A24" w:rsidRPr="00A52585">
        <w:rPr>
          <w:rFonts w:hint="cs"/>
          <w:rtl/>
        </w:rPr>
        <w:t>.</w:t>
      </w:r>
      <w:r w:rsidR="00777DCB" w:rsidRPr="00A52585">
        <w:rPr>
          <w:rFonts w:hint="cs"/>
          <w:rtl/>
        </w:rPr>
        <w:t>.. قرأنـا أحاديثاً</w:t>
      </w:r>
      <w:r w:rsidRPr="00A52585">
        <w:rPr>
          <w:rFonts w:hint="cs"/>
          <w:rtl/>
        </w:rPr>
        <w:t xml:space="preserve"> </w:t>
      </w:r>
      <w:r w:rsidR="00777DCB" w:rsidRPr="00A52585">
        <w:rPr>
          <w:rFonts w:hint="cs"/>
          <w:rtl/>
        </w:rPr>
        <w:t>صحاحـاً</w:t>
      </w:r>
      <w:r w:rsidRPr="00A52585">
        <w:rPr>
          <w:rFonts w:hint="cs"/>
          <w:rtl/>
        </w:rPr>
        <w:t xml:space="preserve"> </w:t>
      </w:r>
      <w:r w:rsidR="00777DCB" w:rsidRPr="00A52585">
        <w:rPr>
          <w:rFonts w:hint="cs"/>
          <w:rtl/>
        </w:rPr>
        <w:t>بأنـه</w:t>
      </w:r>
      <w:r w:rsidR="00897A24" w:rsidRPr="00A52585">
        <w:rPr>
          <w:rFonts w:hint="cs"/>
          <w:rtl/>
        </w:rPr>
        <w:t>.</w:t>
      </w:r>
      <w:r w:rsidR="00777DCB" w:rsidRPr="00A52585">
        <w:rPr>
          <w:rFonts w:hint="cs"/>
          <w:rtl/>
        </w:rPr>
        <w:t>.. عليه لـواء الحمد في الحشر</w:t>
      </w:r>
      <w:r w:rsidRPr="00A52585">
        <w:rPr>
          <w:rFonts w:hint="cs"/>
          <w:rtl/>
        </w:rPr>
        <w:t xml:space="preserve"> </w:t>
      </w:r>
      <w:r w:rsidR="00777DCB" w:rsidRPr="00A52585">
        <w:rPr>
          <w:rFonts w:hint="cs"/>
          <w:rtl/>
        </w:rPr>
        <w:t>يخفق</w:t>
      </w:r>
      <w:r w:rsidR="00897A24" w:rsidRPr="00A52585">
        <w:rPr>
          <w:rFonts w:hint="cs"/>
          <w:rtl/>
        </w:rPr>
        <w:t>.</w:t>
      </w:r>
      <w:r w:rsidR="00777DCB" w:rsidRPr="00A52585">
        <w:rPr>
          <w:rFonts w:hint="cs"/>
          <w:rtl/>
        </w:rPr>
        <w:t>.. قيام لك الأملاك والرسـل تحته</w:t>
      </w:r>
      <w:r w:rsidR="00897A24" w:rsidRPr="00A52585">
        <w:rPr>
          <w:rFonts w:hint="cs"/>
          <w:rtl/>
        </w:rPr>
        <w:t>.</w:t>
      </w:r>
      <w:r w:rsidR="00777DCB" w:rsidRPr="00A52585">
        <w:rPr>
          <w:rFonts w:hint="cs"/>
          <w:rtl/>
        </w:rPr>
        <w:t>.. ومن حوله صفوا وحفوا وأحدق</w:t>
      </w:r>
      <w:r w:rsidR="00897A24" w:rsidRPr="00A52585">
        <w:rPr>
          <w:rFonts w:hint="cs"/>
          <w:rtl/>
        </w:rPr>
        <w:t>.</w:t>
      </w:r>
      <w:r w:rsidR="00777DCB" w:rsidRPr="00A52585">
        <w:rPr>
          <w:rFonts w:hint="cs"/>
          <w:rtl/>
        </w:rPr>
        <w:t>.. قـوي ولكـن لـين في أناسـه</w:t>
      </w:r>
      <w:r w:rsidR="00897A24" w:rsidRPr="00A52585">
        <w:rPr>
          <w:rFonts w:hint="cs"/>
          <w:rtl/>
        </w:rPr>
        <w:t>.</w:t>
      </w:r>
      <w:r w:rsidR="00777DCB" w:rsidRPr="00A52585">
        <w:rPr>
          <w:rFonts w:hint="cs"/>
          <w:rtl/>
        </w:rPr>
        <w:t>.. رفيـق ولكن</w:t>
      </w:r>
      <w:r w:rsidRPr="00A52585">
        <w:rPr>
          <w:rFonts w:hint="cs"/>
          <w:rtl/>
        </w:rPr>
        <w:t xml:space="preserve"> </w:t>
      </w:r>
      <w:r w:rsidR="00777DCB" w:rsidRPr="00A52585">
        <w:rPr>
          <w:rFonts w:hint="cs"/>
          <w:rtl/>
        </w:rPr>
        <w:t>بالمساكـين</w:t>
      </w:r>
      <w:r w:rsidRPr="00A52585">
        <w:rPr>
          <w:rFonts w:hint="cs"/>
          <w:rtl/>
        </w:rPr>
        <w:t xml:space="preserve"> </w:t>
      </w:r>
      <w:r w:rsidR="00777DCB" w:rsidRPr="00A52585">
        <w:rPr>
          <w:rFonts w:hint="cs"/>
          <w:rtl/>
        </w:rPr>
        <w:t>أرفق</w:t>
      </w:r>
      <w:r w:rsidR="00897A24" w:rsidRPr="00A52585">
        <w:rPr>
          <w:rFonts w:hint="cs"/>
          <w:rtl/>
        </w:rPr>
        <w:t>.</w:t>
      </w:r>
      <w:r w:rsidR="00777DCB" w:rsidRPr="00A52585">
        <w:rPr>
          <w:rFonts w:hint="cs"/>
          <w:rtl/>
        </w:rPr>
        <w:t>.. قريـب</w:t>
      </w:r>
      <w:r w:rsidRPr="00A52585">
        <w:rPr>
          <w:rFonts w:hint="cs"/>
          <w:rtl/>
        </w:rPr>
        <w:t xml:space="preserve"> </w:t>
      </w:r>
      <w:r w:rsidR="00777DCB" w:rsidRPr="00A52585">
        <w:rPr>
          <w:rFonts w:hint="cs"/>
          <w:rtl/>
        </w:rPr>
        <w:t>لأرباب الحوائج</w:t>
      </w:r>
      <w:r w:rsidRPr="00A52585">
        <w:rPr>
          <w:rFonts w:hint="cs"/>
          <w:rtl/>
        </w:rPr>
        <w:t xml:space="preserve"> </w:t>
      </w:r>
      <w:r w:rsidR="00777DCB" w:rsidRPr="00A52585">
        <w:rPr>
          <w:rFonts w:hint="cs"/>
          <w:rtl/>
        </w:rPr>
        <w:t>ما تــرى</w:t>
      </w:r>
      <w:r w:rsidR="00897A24" w:rsidRPr="00A52585">
        <w:rPr>
          <w:rFonts w:hint="cs"/>
          <w:rtl/>
        </w:rPr>
        <w:t>.</w:t>
      </w:r>
      <w:r w:rsidR="00777DCB" w:rsidRPr="00A52585">
        <w:rPr>
          <w:rFonts w:hint="cs"/>
          <w:rtl/>
        </w:rPr>
        <w:t>.. لأحمد حجاباً ولا البــاب</w:t>
      </w:r>
      <w:r w:rsidRPr="00A52585">
        <w:rPr>
          <w:rFonts w:hint="cs"/>
          <w:rtl/>
        </w:rPr>
        <w:t xml:space="preserve"> </w:t>
      </w:r>
      <w:r w:rsidR="00777DCB" w:rsidRPr="00A52585">
        <w:rPr>
          <w:rFonts w:hint="cs"/>
          <w:rtl/>
        </w:rPr>
        <w:t>يغلـــق</w:t>
      </w:r>
      <w:r w:rsidRPr="00A52585">
        <w:rPr>
          <w:rFonts w:hint="cs"/>
          <w:rtl/>
        </w:rPr>
        <w:t>)</w:t>
      </w:r>
      <w:r w:rsidR="00777DCB" w:rsidRPr="00A52585">
        <w:rPr>
          <w:rFonts w:hint="cs"/>
          <w:rtl/>
        </w:rPr>
        <w:t>)</w:t>
      </w:r>
      <w:r w:rsidR="00DB731D" w:rsidRPr="00A52585">
        <w:rPr>
          <w:rFonts w:hint="cs"/>
          <w:rtl/>
        </w:rPr>
        <w:t>،</w:t>
      </w:r>
      <w:r w:rsidRPr="00A52585">
        <w:rPr>
          <w:rFonts w:hint="cs"/>
          <w:rtl/>
        </w:rPr>
        <w:t xml:space="preserve"> </w:t>
      </w:r>
      <w:r w:rsidR="00777DCB" w:rsidRPr="00A52585">
        <w:rPr>
          <w:rFonts w:hint="cs"/>
          <w:rtl/>
        </w:rPr>
        <w:t>وكيف لا يكون كذلك وهو كما قيل فيه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أكرم العالمـين أصـلا وفضلا</w:t>
      </w:r>
      <w:r w:rsidR="00897A24" w:rsidRPr="00A52585">
        <w:rPr>
          <w:rFonts w:hint="cs"/>
          <w:rtl/>
        </w:rPr>
        <w:t>.</w:t>
      </w:r>
      <w:r w:rsidR="00777DCB" w:rsidRPr="00A52585">
        <w:rPr>
          <w:rFonts w:hint="cs"/>
          <w:rtl/>
        </w:rPr>
        <w:t>.. وجـلالا</w:t>
      </w:r>
      <w:r w:rsidRPr="00A52585">
        <w:rPr>
          <w:rFonts w:hint="cs"/>
          <w:rtl/>
        </w:rPr>
        <w:t xml:space="preserve"> </w:t>
      </w:r>
      <w:r w:rsidR="00777DCB" w:rsidRPr="00A52585">
        <w:rPr>
          <w:rFonts w:hint="cs"/>
          <w:rtl/>
        </w:rPr>
        <w:t>وسيــد</w:t>
      </w:r>
      <w:r w:rsidRPr="00A52585">
        <w:rPr>
          <w:rFonts w:hint="cs"/>
          <w:rtl/>
        </w:rPr>
        <w:t xml:space="preserve"> </w:t>
      </w:r>
      <w:r w:rsidR="00777DCB" w:rsidRPr="00A52585">
        <w:rPr>
          <w:rFonts w:hint="cs"/>
          <w:rtl/>
        </w:rPr>
        <w:t>البطحـاء</w:t>
      </w:r>
      <w:r w:rsidR="00897A24" w:rsidRPr="00A52585">
        <w:rPr>
          <w:rFonts w:hint="cs"/>
          <w:rtl/>
        </w:rPr>
        <w:t>.</w:t>
      </w:r>
      <w:r w:rsidR="00777DCB" w:rsidRPr="00A52585">
        <w:rPr>
          <w:rFonts w:hint="cs"/>
          <w:rtl/>
        </w:rPr>
        <w:t>.. خص بالحوض والشفاعة في الحشر</w:t>
      </w:r>
      <w:r w:rsidR="00897A24" w:rsidRPr="00A52585">
        <w:rPr>
          <w:rFonts w:hint="cs"/>
          <w:rtl/>
        </w:rPr>
        <w:t>.</w:t>
      </w:r>
      <w:r w:rsidR="00777DCB" w:rsidRPr="00A52585">
        <w:rPr>
          <w:rFonts w:hint="cs"/>
          <w:rtl/>
        </w:rPr>
        <w:t>.. لكـل</w:t>
      </w:r>
      <w:r w:rsidRPr="00A52585">
        <w:rPr>
          <w:rFonts w:hint="cs"/>
          <w:rtl/>
        </w:rPr>
        <w:t xml:space="preserve"> </w:t>
      </w:r>
      <w:r w:rsidR="00777DCB" w:rsidRPr="00A52585">
        <w:rPr>
          <w:rFonts w:hint="cs"/>
          <w:rtl/>
        </w:rPr>
        <w:t>الورى ورفـع</w:t>
      </w:r>
      <w:r w:rsidRPr="00A52585">
        <w:rPr>
          <w:rFonts w:hint="cs"/>
          <w:rtl/>
        </w:rPr>
        <w:t xml:space="preserve"> </w:t>
      </w:r>
      <w:r w:rsidR="00777DCB" w:rsidRPr="00A52585">
        <w:rPr>
          <w:rFonts w:hint="cs"/>
          <w:rtl/>
        </w:rPr>
        <w:t>اللـواء</w:t>
      </w:r>
      <w:r w:rsidR="00897A24" w:rsidRPr="00A52585">
        <w:rPr>
          <w:rFonts w:hint="cs"/>
          <w:rtl/>
        </w:rPr>
        <w:t>.</w:t>
      </w:r>
      <w:r w:rsidR="00777DCB" w:rsidRPr="00A52585">
        <w:rPr>
          <w:rFonts w:hint="cs"/>
          <w:rtl/>
        </w:rPr>
        <w:t xml:space="preserve">.. والمقـام المحمـود والسبـق </w:t>
      </w:r>
      <w:proofErr w:type="spellStart"/>
      <w:r w:rsidR="00777DCB" w:rsidRPr="00A52585">
        <w:rPr>
          <w:rFonts w:hint="cs"/>
          <w:rtl/>
        </w:rPr>
        <w:t>للنا</w:t>
      </w:r>
      <w:proofErr w:type="spellEnd"/>
      <w:r w:rsidR="00897A24" w:rsidRPr="00A52585">
        <w:rPr>
          <w:rFonts w:hint="cs"/>
          <w:rtl/>
        </w:rPr>
        <w:t>.</w:t>
      </w:r>
      <w:r w:rsidR="00777DCB" w:rsidRPr="00A52585">
        <w:rPr>
          <w:rFonts w:hint="cs"/>
          <w:rtl/>
        </w:rPr>
        <w:t>.. س دخولا</w:t>
      </w:r>
      <w:r w:rsidRPr="00A52585">
        <w:rPr>
          <w:rFonts w:hint="cs"/>
          <w:rtl/>
        </w:rPr>
        <w:t xml:space="preserve"> </w:t>
      </w:r>
      <w:r w:rsidR="00777DCB" w:rsidRPr="00A52585">
        <w:rPr>
          <w:rFonts w:hint="cs"/>
          <w:rtl/>
        </w:rPr>
        <w:t>في</w:t>
      </w:r>
      <w:r w:rsidRPr="00A52585">
        <w:rPr>
          <w:rFonts w:hint="cs"/>
          <w:rtl/>
        </w:rPr>
        <w:t xml:space="preserve"> </w:t>
      </w:r>
      <w:r w:rsidR="00777DCB" w:rsidRPr="00A52585">
        <w:rPr>
          <w:rFonts w:hint="cs"/>
          <w:rtl/>
        </w:rPr>
        <w:t>الجنـة الفيحـاء</w:t>
      </w:r>
      <w:r w:rsidR="00897A24" w:rsidRPr="00A52585">
        <w:rPr>
          <w:rFonts w:hint="cs"/>
          <w:rtl/>
        </w:rPr>
        <w:t>.</w:t>
      </w:r>
      <w:r w:rsidR="00777DCB" w:rsidRPr="00A52585">
        <w:rPr>
          <w:rFonts w:hint="cs"/>
          <w:rtl/>
        </w:rPr>
        <w:t>.. ثم يعطـى وسيلـة هي</w:t>
      </w:r>
      <w:r w:rsidRPr="00A52585">
        <w:rPr>
          <w:rFonts w:hint="cs"/>
          <w:rtl/>
        </w:rPr>
        <w:t xml:space="preserve"> </w:t>
      </w:r>
      <w:r w:rsidR="00777DCB" w:rsidRPr="00A52585">
        <w:rPr>
          <w:rFonts w:hint="cs"/>
          <w:rtl/>
        </w:rPr>
        <w:t>أعـلى</w:t>
      </w:r>
      <w:r w:rsidR="00897A24" w:rsidRPr="00A52585">
        <w:rPr>
          <w:rFonts w:hint="cs"/>
          <w:rtl/>
        </w:rPr>
        <w:t>.</w:t>
      </w:r>
      <w:r w:rsidR="00777DCB" w:rsidRPr="00A52585">
        <w:rPr>
          <w:rFonts w:hint="cs"/>
          <w:rtl/>
        </w:rPr>
        <w:t>.. درجـات الجنـان ذات البقـاء</w:t>
      </w:r>
      <w:r w:rsidR="00897A24" w:rsidRPr="00A52585">
        <w:rPr>
          <w:rFonts w:hint="cs"/>
          <w:rtl/>
        </w:rPr>
        <w:t>.</w:t>
      </w:r>
      <w:r w:rsidR="00777DCB" w:rsidRPr="00A52585">
        <w:rPr>
          <w:rFonts w:hint="cs"/>
          <w:rtl/>
        </w:rPr>
        <w:t>.. هــو جـاري</w:t>
      </w:r>
      <w:r w:rsidRPr="00A52585">
        <w:rPr>
          <w:rFonts w:hint="cs"/>
          <w:rtl/>
        </w:rPr>
        <w:t xml:space="preserve"> </w:t>
      </w:r>
      <w:r w:rsidR="00777DCB" w:rsidRPr="00A52585">
        <w:rPr>
          <w:rFonts w:hint="cs"/>
          <w:rtl/>
        </w:rPr>
        <w:t>وعـدتي</w:t>
      </w:r>
      <w:r w:rsidRPr="00A52585">
        <w:rPr>
          <w:rFonts w:hint="cs"/>
          <w:rtl/>
        </w:rPr>
        <w:t xml:space="preserve"> </w:t>
      </w:r>
      <w:r w:rsidR="00777DCB" w:rsidRPr="00A52585">
        <w:rPr>
          <w:rFonts w:hint="cs"/>
          <w:rtl/>
        </w:rPr>
        <w:t>ونصــيري</w:t>
      </w:r>
      <w:r w:rsidR="00897A24" w:rsidRPr="00A52585">
        <w:rPr>
          <w:rFonts w:hint="cs"/>
          <w:rtl/>
        </w:rPr>
        <w:t>.</w:t>
      </w:r>
      <w:r w:rsidR="00777DCB" w:rsidRPr="00A52585">
        <w:rPr>
          <w:rFonts w:hint="cs"/>
          <w:rtl/>
        </w:rPr>
        <w:t>.. وعمـادي في</w:t>
      </w:r>
      <w:r w:rsidRPr="00A52585">
        <w:rPr>
          <w:rFonts w:hint="cs"/>
          <w:rtl/>
        </w:rPr>
        <w:t xml:space="preserve"> </w:t>
      </w:r>
      <w:r w:rsidR="00777DCB" w:rsidRPr="00A52585">
        <w:rPr>
          <w:rFonts w:hint="cs"/>
          <w:rtl/>
        </w:rPr>
        <w:t>شـدتي</w:t>
      </w:r>
      <w:r w:rsidRPr="00A52585">
        <w:rPr>
          <w:rFonts w:hint="cs"/>
          <w:rtl/>
        </w:rPr>
        <w:t xml:space="preserve"> </w:t>
      </w:r>
      <w:r w:rsidR="00777DCB" w:rsidRPr="00A52585">
        <w:rPr>
          <w:rFonts w:hint="cs"/>
          <w:rtl/>
        </w:rPr>
        <w:t>ورجــائــي</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وليس هذا خاص بي وبفقري بل هو كما قيل فيه</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له المقـام الذي مـا</w:t>
      </w:r>
      <w:r w:rsidRPr="00A52585">
        <w:rPr>
          <w:rFonts w:hint="cs"/>
          <w:rtl/>
        </w:rPr>
        <w:t xml:space="preserve"> </w:t>
      </w:r>
      <w:r w:rsidR="00777DCB" w:rsidRPr="00A52585">
        <w:rPr>
          <w:rFonts w:hint="cs"/>
          <w:rtl/>
        </w:rPr>
        <w:t>ناله أحـد</w:t>
      </w:r>
      <w:r w:rsidR="00897A24" w:rsidRPr="00A52585">
        <w:rPr>
          <w:rFonts w:hint="cs"/>
          <w:rtl/>
        </w:rPr>
        <w:t>.</w:t>
      </w:r>
      <w:r w:rsidR="00777DCB" w:rsidRPr="00A52585">
        <w:rPr>
          <w:rFonts w:hint="cs"/>
          <w:rtl/>
        </w:rPr>
        <w:t>.. والفخر والمجد والإحسان والحسب</w:t>
      </w:r>
      <w:r w:rsidR="00897A24" w:rsidRPr="00A52585">
        <w:rPr>
          <w:rFonts w:hint="cs"/>
          <w:rtl/>
        </w:rPr>
        <w:t>.</w:t>
      </w:r>
      <w:r w:rsidR="00777DCB" w:rsidRPr="00A52585">
        <w:rPr>
          <w:rFonts w:hint="cs"/>
          <w:rtl/>
        </w:rPr>
        <w:t>.. وهو الشفيـع الذي تنجي شفاعته</w:t>
      </w:r>
      <w:r w:rsidR="00897A24" w:rsidRPr="00A52585">
        <w:rPr>
          <w:rFonts w:hint="cs"/>
          <w:rtl/>
        </w:rPr>
        <w:t>.</w:t>
      </w:r>
      <w:r w:rsidR="00777DCB" w:rsidRPr="00A52585">
        <w:rPr>
          <w:rFonts w:hint="cs"/>
          <w:rtl/>
        </w:rPr>
        <w:t>.. كل الأنام إذا ما</w:t>
      </w:r>
      <w:r w:rsidRPr="00A52585">
        <w:rPr>
          <w:rFonts w:hint="cs"/>
          <w:rtl/>
        </w:rPr>
        <w:t xml:space="preserve"> </w:t>
      </w:r>
      <w:r w:rsidR="00777DCB" w:rsidRPr="00A52585">
        <w:rPr>
          <w:rFonts w:hint="cs"/>
          <w:rtl/>
        </w:rPr>
        <w:t>مسها العطـب</w:t>
      </w:r>
      <w:r w:rsidR="00897A24" w:rsidRPr="00A52585">
        <w:rPr>
          <w:rFonts w:hint="cs"/>
          <w:rtl/>
        </w:rPr>
        <w:t>.</w:t>
      </w:r>
      <w:r w:rsidR="00777DCB" w:rsidRPr="00A52585">
        <w:rPr>
          <w:rFonts w:hint="cs"/>
          <w:rtl/>
        </w:rPr>
        <w:t>.. محمد</w:t>
      </w:r>
      <w:r w:rsidRPr="00A52585">
        <w:rPr>
          <w:rFonts w:hint="cs"/>
          <w:rtl/>
        </w:rPr>
        <w:t xml:space="preserve"> </w:t>
      </w:r>
      <w:r w:rsidR="00777DCB" w:rsidRPr="00A52585">
        <w:rPr>
          <w:rFonts w:hint="cs"/>
          <w:rtl/>
        </w:rPr>
        <w:t>خـير</w:t>
      </w:r>
      <w:r w:rsidRPr="00A52585">
        <w:rPr>
          <w:rFonts w:hint="cs"/>
          <w:rtl/>
        </w:rPr>
        <w:t xml:space="preserve"> </w:t>
      </w:r>
      <w:r w:rsidR="00777DCB" w:rsidRPr="00A52585">
        <w:rPr>
          <w:rFonts w:hint="cs"/>
          <w:rtl/>
        </w:rPr>
        <w:t>خلـق</w:t>
      </w:r>
      <w:r w:rsidRPr="00A52585">
        <w:rPr>
          <w:rFonts w:hint="cs"/>
          <w:rtl/>
        </w:rPr>
        <w:t xml:space="preserve"> </w:t>
      </w:r>
      <w:r w:rsidR="00777DCB" w:rsidRPr="00A52585">
        <w:rPr>
          <w:rFonts w:hint="cs"/>
          <w:rtl/>
        </w:rPr>
        <w:t>الله</w:t>
      </w:r>
      <w:r w:rsidRPr="00A52585">
        <w:rPr>
          <w:rFonts w:hint="cs"/>
          <w:rtl/>
        </w:rPr>
        <w:t xml:space="preserve"> </w:t>
      </w:r>
      <w:r w:rsidR="00777DCB" w:rsidRPr="00A52585">
        <w:rPr>
          <w:rFonts w:hint="cs"/>
          <w:rtl/>
        </w:rPr>
        <w:t>قاطبـة</w:t>
      </w:r>
      <w:r w:rsidR="00897A24" w:rsidRPr="00A52585">
        <w:rPr>
          <w:rFonts w:hint="cs"/>
          <w:rtl/>
        </w:rPr>
        <w:t>.</w:t>
      </w:r>
      <w:r w:rsidR="00777DCB" w:rsidRPr="00A52585">
        <w:rPr>
          <w:rFonts w:hint="cs"/>
          <w:rtl/>
        </w:rPr>
        <w:t>.. وهو الذي لفخار المجد</w:t>
      </w:r>
      <w:r w:rsidRPr="00A52585">
        <w:rPr>
          <w:rFonts w:hint="cs"/>
          <w:rtl/>
        </w:rPr>
        <w:t xml:space="preserve"> </w:t>
      </w:r>
      <w:r w:rsidR="00777DCB" w:rsidRPr="00A52585">
        <w:rPr>
          <w:rFonts w:hint="cs"/>
          <w:rtl/>
        </w:rPr>
        <w:t>يكتسب</w:t>
      </w:r>
      <w:r w:rsidR="00897A24" w:rsidRPr="00A52585">
        <w:rPr>
          <w:rFonts w:hint="cs"/>
          <w:rtl/>
        </w:rPr>
        <w:t>.</w:t>
      </w:r>
      <w:r w:rsidR="00777DCB" w:rsidRPr="00A52585">
        <w:rPr>
          <w:rFonts w:hint="cs"/>
          <w:rtl/>
        </w:rPr>
        <w:t>.. نـوه به يا منادي الحـي إن بـه</w:t>
      </w:r>
      <w:r w:rsidR="00897A24" w:rsidRPr="00A52585">
        <w:rPr>
          <w:rFonts w:hint="cs"/>
          <w:rtl/>
        </w:rPr>
        <w:t>.</w:t>
      </w:r>
      <w:r w:rsidR="00777DCB" w:rsidRPr="00A52585">
        <w:rPr>
          <w:rFonts w:hint="cs"/>
          <w:rtl/>
        </w:rPr>
        <w:t>.. يزول عن قلبي</w:t>
      </w:r>
      <w:r w:rsidRPr="00A52585">
        <w:rPr>
          <w:rFonts w:hint="cs"/>
          <w:rtl/>
        </w:rPr>
        <w:t xml:space="preserve"> </w:t>
      </w:r>
      <w:r w:rsidR="00777DCB" w:rsidRPr="00A52585">
        <w:rPr>
          <w:rFonts w:hint="cs"/>
          <w:rtl/>
        </w:rPr>
        <w:t>الالآم</w:t>
      </w:r>
      <w:r w:rsidRPr="00A52585">
        <w:rPr>
          <w:rFonts w:hint="cs"/>
          <w:rtl/>
        </w:rPr>
        <w:t xml:space="preserve"> </w:t>
      </w:r>
      <w:r w:rsidR="00777DCB" w:rsidRPr="00A52585">
        <w:rPr>
          <w:rFonts w:hint="cs"/>
          <w:rtl/>
        </w:rPr>
        <w:t>والكرب</w:t>
      </w:r>
      <w:r w:rsidR="00897A24" w:rsidRPr="00A52585">
        <w:rPr>
          <w:rFonts w:hint="cs"/>
          <w:rtl/>
        </w:rPr>
        <w:t>.</w:t>
      </w:r>
      <w:r w:rsidR="00777DCB" w:rsidRPr="00A52585">
        <w:rPr>
          <w:rFonts w:hint="cs"/>
          <w:rtl/>
        </w:rPr>
        <w:t>.. عـان لـــه مقـلة تشـــتاق تنظـره</w:t>
      </w:r>
      <w:r w:rsidR="00897A24" w:rsidRPr="00A52585">
        <w:rPr>
          <w:rFonts w:hint="cs"/>
          <w:rtl/>
        </w:rPr>
        <w:t>.</w:t>
      </w:r>
      <w:r w:rsidR="00777DCB" w:rsidRPr="00A52585">
        <w:rPr>
          <w:rFonts w:hint="cs"/>
          <w:rtl/>
        </w:rPr>
        <w:t>.. وكبده بلهيــب الشـوق</w:t>
      </w:r>
      <w:r w:rsidRPr="00A52585">
        <w:rPr>
          <w:rFonts w:hint="cs"/>
          <w:rtl/>
        </w:rPr>
        <w:t xml:space="preserve"> </w:t>
      </w:r>
      <w:r w:rsidR="00777DCB" w:rsidRPr="00A52585">
        <w:rPr>
          <w:rFonts w:hint="cs"/>
          <w:rtl/>
        </w:rPr>
        <w:t>تلتهب</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وكيف لا تلتهب وقد شاهدت ما شهدت مما لا يمكن النطق به ولا أفوه وكيف </w:t>
      </w:r>
      <w:proofErr w:type="spellStart"/>
      <w:r w:rsidR="00777DCB" w:rsidRPr="00A52585">
        <w:rPr>
          <w:rFonts w:hint="cs"/>
          <w:rtl/>
        </w:rPr>
        <w:t>وكيف</w:t>
      </w:r>
      <w:proofErr w:type="spellEnd"/>
      <w:r w:rsidR="00777DCB" w:rsidRPr="00A52585">
        <w:rPr>
          <w:rFonts w:hint="cs"/>
          <w:rtl/>
        </w:rPr>
        <w:t xml:space="preserve"> </w:t>
      </w:r>
      <w:proofErr w:type="spellStart"/>
      <w:r w:rsidR="00777DCB" w:rsidRPr="00A52585">
        <w:rPr>
          <w:rFonts w:hint="cs"/>
          <w:rtl/>
        </w:rPr>
        <w:t>وكيف</w:t>
      </w:r>
      <w:proofErr w:type="spellEnd"/>
      <w:r w:rsidR="00777DCB" w:rsidRPr="00A52585">
        <w:rPr>
          <w:rFonts w:hint="cs"/>
          <w:rtl/>
        </w:rPr>
        <w:t xml:space="preserve"> أسلوه</w:t>
      </w:r>
      <w:r w:rsidRPr="00A52585">
        <w:rPr>
          <w:rFonts w:hint="cs"/>
          <w:rtl/>
        </w:rPr>
        <w:t xml:space="preserve">: </w:t>
      </w:r>
      <w:r w:rsidR="00777DCB" w:rsidRPr="00A52585">
        <w:rPr>
          <w:rFonts w:hint="cs"/>
          <w:rtl/>
        </w:rPr>
        <w:t>(</w:t>
      </w:r>
      <w:r w:rsidRPr="00A52585">
        <w:rPr>
          <w:rFonts w:hint="cs"/>
          <w:rtl/>
        </w:rPr>
        <w:t>(</w:t>
      </w:r>
      <w:r w:rsidR="00777DCB" w:rsidRPr="00A52585">
        <w:rPr>
          <w:rFonts w:hint="cs"/>
          <w:rtl/>
        </w:rPr>
        <w:t>رعى الله بالبطحـاء</w:t>
      </w:r>
      <w:r w:rsidRPr="00A52585">
        <w:rPr>
          <w:rFonts w:hint="cs"/>
          <w:rtl/>
        </w:rPr>
        <w:t xml:space="preserve"> </w:t>
      </w:r>
      <w:r w:rsidR="00777DCB" w:rsidRPr="00A52585">
        <w:rPr>
          <w:rFonts w:hint="cs"/>
          <w:rtl/>
        </w:rPr>
        <w:t>أيامنـا الـتي</w:t>
      </w:r>
      <w:r w:rsidR="00897A24" w:rsidRPr="00A52585">
        <w:rPr>
          <w:rFonts w:hint="cs"/>
          <w:rtl/>
        </w:rPr>
        <w:t>.</w:t>
      </w:r>
      <w:r w:rsidR="00777DCB" w:rsidRPr="00A52585">
        <w:rPr>
          <w:rFonts w:hint="cs"/>
          <w:rtl/>
        </w:rPr>
        <w:t>.. مضت كوميـض البرق</w:t>
      </w:r>
      <w:r w:rsidRPr="00A52585">
        <w:rPr>
          <w:rFonts w:hint="cs"/>
          <w:rtl/>
        </w:rPr>
        <w:t xml:space="preserve"> </w:t>
      </w:r>
      <w:r w:rsidR="00777DCB" w:rsidRPr="00A52585">
        <w:rPr>
          <w:rFonts w:hint="cs"/>
          <w:rtl/>
        </w:rPr>
        <w:t>ثم تولـت</w:t>
      </w:r>
      <w:r w:rsidR="00897A24" w:rsidRPr="00A52585">
        <w:rPr>
          <w:rFonts w:hint="cs"/>
          <w:rtl/>
        </w:rPr>
        <w:t>.</w:t>
      </w:r>
      <w:r w:rsidR="00777DCB" w:rsidRPr="00A52585">
        <w:rPr>
          <w:rFonts w:hint="cs"/>
          <w:rtl/>
        </w:rPr>
        <w:t>.. وحيا قبابـاً بين سلـع إلـى قبـا</w:t>
      </w:r>
      <w:r w:rsidR="00897A24" w:rsidRPr="00A52585">
        <w:rPr>
          <w:rFonts w:hint="cs"/>
          <w:rtl/>
        </w:rPr>
        <w:t>.</w:t>
      </w:r>
      <w:r w:rsidR="00777DCB" w:rsidRPr="00A52585">
        <w:rPr>
          <w:rFonts w:hint="cs"/>
          <w:rtl/>
        </w:rPr>
        <w:t>.. لعزتها يحلـو</w:t>
      </w:r>
      <w:r w:rsidRPr="00A52585">
        <w:rPr>
          <w:rFonts w:hint="cs"/>
          <w:rtl/>
        </w:rPr>
        <w:t xml:space="preserve"> </w:t>
      </w:r>
      <w:r w:rsidR="00777DCB" w:rsidRPr="00A52585">
        <w:rPr>
          <w:rFonts w:hint="cs"/>
          <w:rtl/>
        </w:rPr>
        <w:t>خضوعـي</w:t>
      </w:r>
      <w:r w:rsidRPr="00A52585">
        <w:rPr>
          <w:rFonts w:hint="cs"/>
          <w:rtl/>
        </w:rPr>
        <w:t xml:space="preserve"> </w:t>
      </w:r>
      <w:r w:rsidR="00777DCB" w:rsidRPr="00A52585">
        <w:rPr>
          <w:rFonts w:hint="cs"/>
          <w:rtl/>
        </w:rPr>
        <w:t>وذلـتي</w:t>
      </w:r>
      <w:r w:rsidR="00897A24" w:rsidRPr="00A52585">
        <w:rPr>
          <w:rFonts w:hint="cs"/>
          <w:rtl/>
        </w:rPr>
        <w:t>.</w:t>
      </w:r>
      <w:r w:rsidR="00777DCB" w:rsidRPr="00A52585">
        <w:rPr>
          <w:rFonts w:hint="cs"/>
          <w:rtl/>
        </w:rPr>
        <w:t>.. نعمـت بها لكن</w:t>
      </w:r>
      <w:r w:rsidRPr="00A52585">
        <w:rPr>
          <w:rFonts w:hint="cs"/>
          <w:rtl/>
        </w:rPr>
        <w:t xml:space="preserve"> </w:t>
      </w:r>
      <w:r w:rsidR="00777DCB" w:rsidRPr="00A52585">
        <w:rPr>
          <w:rFonts w:hint="cs"/>
          <w:rtl/>
        </w:rPr>
        <w:t>كأحـلام نائـم</w:t>
      </w:r>
      <w:r w:rsidR="00897A24" w:rsidRPr="00A52585">
        <w:rPr>
          <w:rFonts w:hint="cs"/>
          <w:rtl/>
        </w:rPr>
        <w:t>.</w:t>
      </w:r>
      <w:r w:rsidR="00777DCB" w:rsidRPr="00A52585">
        <w:rPr>
          <w:rFonts w:hint="cs"/>
          <w:rtl/>
        </w:rPr>
        <w:t>.. كأن لم تزرها العيس حتى</w:t>
      </w:r>
      <w:r w:rsidRPr="00A52585">
        <w:rPr>
          <w:rFonts w:hint="cs"/>
          <w:rtl/>
        </w:rPr>
        <w:t xml:space="preserve"> </w:t>
      </w:r>
      <w:r w:rsidR="00777DCB" w:rsidRPr="00A52585">
        <w:rPr>
          <w:rFonts w:hint="cs"/>
          <w:rtl/>
        </w:rPr>
        <w:t>تولت</w:t>
      </w:r>
      <w:r w:rsidR="00897A24" w:rsidRPr="00A52585">
        <w:rPr>
          <w:rFonts w:hint="cs"/>
          <w:rtl/>
        </w:rPr>
        <w:t>.</w:t>
      </w:r>
      <w:r w:rsidR="00777DCB" w:rsidRPr="00A52585">
        <w:rPr>
          <w:rFonts w:hint="cs"/>
          <w:rtl/>
        </w:rPr>
        <w:t>.. فهل لي إلى</w:t>
      </w:r>
      <w:r w:rsidRPr="00A52585">
        <w:rPr>
          <w:rFonts w:hint="cs"/>
          <w:rtl/>
        </w:rPr>
        <w:t xml:space="preserve"> </w:t>
      </w:r>
      <w:r w:rsidR="00777DCB" w:rsidRPr="00A52585">
        <w:rPr>
          <w:rFonts w:hint="cs"/>
          <w:rtl/>
        </w:rPr>
        <w:t>تلك</w:t>
      </w:r>
      <w:r w:rsidRPr="00A52585">
        <w:rPr>
          <w:rFonts w:hint="cs"/>
          <w:rtl/>
        </w:rPr>
        <w:t xml:space="preserve"> </w:t>
      </w:r>
      <w:r w:rsidR="00777DCB" w:rsidRPr="00A52585">
        <w:rPr>
          <w:rFonts w:hint="cs"/>
          <w:rtl/>
        </w:rPr>
        <w:t>المعالم</w:t>
      </w:r>
      <w:r w:rsidRPr="00A52585">
        <w:rPr>
          <w:rFonts w:hint="cs"/>
          <w:rtl/>
        </w:rPr>
        <w:t xml:space="preserve"> </w:t>
      </w:r>
      <w:r w:rsidR="00777DCB" w:rsidRPr="00A52585">
        <w:rPr>
          <w:rFonts w:hint="cs"/>
          <w:rtl/>
        </w:rPr>
        <w:t>عـودة</w:t>
      </w:r>
      <w:r w:rsidR="00897A24" w:rsidRPr="00A52585">
        <w:rPr>
          <w:rFonts w:hint="cs"/>
          <w:rtl/>
        </w:rPr>
        <w:t>.</w:t>
      </w:r>
      <w:r w:rsidR="00777DCB" w:rsidRPr="00A52585">
        <w:rPr>
          <w:rFonts w:hint="cs"/>
          <w:rtl/>
        </w:rPr>
        <w:t>.. ولو دونهـا بيـض الصوارم سلت</w:t>
      </w:r>
      <w:r w:rsidR="00897A24" w:rsidRPr="00A52585">
        <w:rPr>
          <w:rFonts w:hint="cs"/>
          <w:rtl/>
        </w:rPr>
        <w:t>.</w:t>
      </w:r>
      <w:r w:rsidR="00777DCB" w:rsidRPr="00A52585">
        <w:rPr>
          <w:rFonts w:hint="cs"/>
          <w:rtl/>
        </w:rPr>
        <w:t>.. وألثـم إجـلالا ثراهـا وأجتـلي</w:t>
      </w:r>
      <w:r w:rsidR="00897A24" w:rsidRPr="00A52585">
        <w:rPr>
          <w:rFonts w:hint="cs"/>
          <w:rtl/>
        </w:rPr>
        <w:t>.</w:t>
      </w:r>
      <w:r w:rsidR="00777DCB" w:rsidRPr="00A52585">
        <w:rPr>
          <w:rFonts w:hint="cs"/>
          <w:rtl/>
        </w:rPr>
        <w:t>.. شمـوسـي في أرجائهـا وأهلـتي</w:t>
      </w:r>
      <w:r w:rsidR="00897A24" w:rsidRPr="00A52585">
        <w:rPr>
          <w:rFonts w:hint="cs"/>
          <w:rtl/>
        </w:rPr>
        <w:t>.</w:t>
      </w:r>
      <w:r w:rsidR="00777DCB" w:rsidRPr="00A52585">
        <w:rPr>
          <w:rFonts w:hint="cs"/>
          <w:rtl/>
        </w:rPr>
        <w:t>.. سقى الله ذات الظل من داره الحمى</w:t>
      </w:r>
      <w:r w:rsidR="00897A24" w:rsidRPr="00A52585">
        <w:rPr>
          <w:rFonts w:hint="cs"/>
          <w:rtl/>
        </w:rPr>
        <w:t>.</w:t>
      </w:r>
      <w:r w:rsidR="00777DCB" w:rsidRPr="00A52585">
        <w:rPr>
          <w:rFonts w:hint="cs"/>
          <w:rtl/>
        </w:rPr>
        <w:t>.. حياً نهلت</w:t>
      </w:r>
      <w:r w:rsidRPr="00A52585">
        <w:rPr>
          <w:rFonts w:hint="cs"/>
          <w:rtl/>
        </w:rPr>
        <w:t xml:space="preserve"> </w:t>
      </w:r>
      <w:r w:rsidR="00777DCB" w:rsidRPr="00A52585">
        <w:rPr>
          <w:rFonts w:hint="cs"/>
          <w:rtl/>
        </w:rPr>
        <w:t>منه رباهـا وعلـت</w:t>
      </w:r>
      <w:r w:rsidR="00897A24" w:rsidRPr="00A52585">
        <w:rPr>
          <w:rFonts w:hint="cs"/>
          <w:rtl/>
        </w:rPr>
        <w:t>.</w:t>
      </w:r>
      <w:r w:rsidR="00777DCB" w:rsidRPr="00A52585">
        <w:rPr>
          <w:rFonts w:hint="cs"/>
          <w:rtl/>
        </w:rPr>
        <w:t>.. وسحـت على أعلام سلع مزينة</w:t>
      </w:r>
      <w:r w:rsidR="00897A24" w:rsidRPr="00A52585">
        <w:rPr>
          <w:rFonts w:hint="cs"/>
          <w:rtl/>
        </w:rPr>
        <w:t>.</w:t>
      </w:r>
      <w:r w:rsidR="00777DCB" w:rsidRPr="00A52585">
        <w:rPr>
          <w:rFonts w:hint="cs"/>
          <w:rtl/>
        </w:rPr>
        <w:t>.. غمائهم بالنوء</w:t>
      </w:r>
      <w:r w:rsidRPr="00A52585">
        <w:rPr>
          <w:rFonts w:hint="cs"/>
          <w:rtl/>
        </w:rPr>
        <w:t xml:space="preserve"> </w:t>
      </w:r>
      <w:r w:rsidR="00777DCB" w:rsidRPr="00A52585">
        <w:rPr>
          <w:rFonts w:hint="cs"/>
          <w:rtl/>
        </w:rPr>
        <w:t>الـروي استهلـت</w:t>
      </w:r>
      <w:r w:rsidR="00897A24" w:rsidRPr="00A52585">
        <w:rPr>
          <w:rFonts w:hint="cs"/>
          <w:rtl/>
        </w:rPr>
        <w:t>.</w:t>
      </w:r>
      <w:r w:rsidR="00777DCB" w:rsidRPr="00A52585">
        <w:rPr>
          <w:rFonts w:hint="cs"/>
          <w:rtl/>
        </w:rPr>
        <w:t>.. فتـلك لعمــر الله دار</w:t>
      </w:r>
      <w:r w:rsidRPr="00A52585">
        <w:rPr>
          <w:rFonts w:hint="cs"/>
          <w:rtl/>
        </w:rPr>
        <w:t xml:space="preserve"> </w:t>
      </w:r>
      <w:r w:rsidR="00777DCB" w:rsidRPr="00A52585">
        <w:rPr>
          <w:rFonts w:hint="cs"/>
          <w:rtl/>
        </w:rPr>
        <w:t>أحبـتي</w:t>
      </w:r>
      <w:r w:rsidR="00897A24" w:rsidRPr="00A52585">
        <w:rPr>
          <w:rFonts w:hint="cs"/>
          <w:rtl/>
        </w:rPr>
        <w:t>.</w:t>
      </w:r>
      <w:r w:rsidR="00777DCB" w:rsidRPr="00A52585">
        <w:rPr>
          <w:rFonts w:hint="cs"/>
          <w:rtl/>
        </w:rPr>
        <w:t>.. وسكانهـا كـل المـراد وبغيـتي</w:t>
      </w:r>
      <w:r w:rsidR="00897A24" w:rsidRPr="00A52585">
        <w:rPr>
          <w:rFonts w:hint="cs"/>
          <w:rtl/>
        </w:rPr>
        <w:t>.</w:t>
      </w:r>
      <w:r w:rsidR="00777DCB" w:rsidRPr="00A52585">
        <w:rPr>
          <w:rFonts w:hint="cs"/>
          <w:rtl/>
        </w:rPr>
        <w:t>.. ألا ليت شعـري هـل أزور قبابها</w:t>
      </w:r>
      <w:r w:rsidR="00897A24" w:rsidRPr="00A52585">
        <w:rPr>
          <w:rFonts w:hint="cs"/>
          <w:rtl/>
        </w:rPr>
        <w:t>.</w:t>
      </w:r>
      <w:r w:rsidR="00777DCB" w:rsidRPr="00A52585">
        <w:rPr>
          <w:rFonts w:hint="cs"/>
          <w:rtl/>
        </w:rPr>
        <w:t>.. فتحمـد فيها العيس شدي ورحلتي</w:t>
      </w:r>
      <w:r w:rsidR="00897A24" w:rsidRPr="00A52585">
        <w:rPr>
          <w:rFonts w:hint="cs"/>
          <w:rtl/>
        </w:rPr>
        <w:t>.</w:t>
      </w:r>
      <w:r w:rsidR="00777DCB" w:rsidRPr="00A52585">
        <w:rPr>
          <w:rFonts w:hint="cs"/>
          <w:rtl/>
        </w:rPr>
        <w:t xml:space="preserve">.. وأنشـد في أكنافهـا </w:t>
      </w:r>
      <w:proofErr w:type="spellStart"/>
      <w:r w:rsidR="00777DCB" w:rsidRPr="00A52585">
        <w:rPr>
          <w:rFonts w:hint="cs"/>
          <w:rtl/>
        </w:rPr>
        <w:t>متعوضـاً</w:t>
      </w:r>
      <w:proofErr w:type="spellEnd"/>
      <w:r w:rsidR="00897A24" w:rsidRPr="00A52585">
        <w:rPr>
          <w:rFonts w:hint="cs"/>
          <w:rtl/>
        </w:rPr>
        <w:t>.</w:t>
      </w:r>
      <w:r w:rsidR="00777DCB" w:rsidRPr="00A52585">
        <w:rPr>
          <w:rFonts w:hint="cs"/>
          <w:rtl/>
        </w:rPr>
        <w:t>.. لمن نظم مدحي فيه بيت</w:t>
      </w:r>
      <w:r w:rsidRPr="00A52585">
        <w:rPr>
          <w:rFonts w:hint="cs"/>
          <w:rtl/>
        </w:rPr>
        <w:t xml:space="preserve"> </w:t>
      </w:r>
      <w:r w:rsidR="00777DCB" w:rsidRPr="00A52585">
        <w:rPr>
          <w:rFonts w:hint="cs"/>
          <w:rtl/>
        </w:rPr>
        <w:t>قصيدتي</w:t>
      </w:r>
      <w:r w:rsidR="00897A24" w:rsidRPr="00A52585">
        <w:rPr>
          <w:rFonts w:hint="cs"/>
          <w:rtl/>
        </w:rPr>
        <w:t>.</w:t>
      </w:r>
      <w:r w:rsidR="00777DCB" w:rsidRPr="00A52585">
        <w:rPr>
          <w:rFonts w:hint="cs"/>
          <w:rtl/>
        </w:rPr>
        <w:t>.. ألا يا رسول الله</w:t>
      </w:r>
      <w:r w:rsidRPr="00A52585">
        <w:rPr>
          <w:rFonts w:hint="cs"/>
          <w:rtl/>
        </w:rPr>
        <w:t xml:space="preserve"> </w:t>
      </w:r>
      <w:r w:rsidR="00777DCB" w:rsidRPr="00A52585">
        <w:rPr>
          <w:rFonts w:hint="cs"/>
          <w:rtl/>
        </w:rPr>
        <w:t>أنـت</w:t>
      </w:r>
      <w:r w:rsidRPr="00A52585">
        <w:rPr>
          <w:rFonts w:hint="cs"/>
          <w:rtl/>
        </w:rPr>
        <w:t xml:space="preserve"> </w:t>
      </w:r>
      <w:r w:rsidR="00777DCB" w:rsidRPr="00A52585">
        <w:rPr>
          <w:rFonts w:hint="cs"/>
          <w:rtl/>
        </w:rPr>
        <w:t>وسيلـتي</w:t>
      </w:r>
      <w:r w:rsidR="00897A24" w:rsidRPr="00A52585">
        <w:rPr>
          <w:rFonts w:hint="cs"/>
          <w:rtl/>
        </w:rPr>
        <w:t>.</w:t>
      </w:r>
      <w:r w:rsidR="00777DCB" w:rsidRPr="00A52585">
        <w:rPr>
          <w:rFonts w:hint="cs"/>
          <w:rtl/>
        </w:rPr>
        <w:t xml:space="preserve">.. إلى الله إذ </w:t>
      </w:r>
      <w:r w:rsidR="00777DCB" w:rsidRPr="00A52585">
        <w:rPr>
          <w:rFonts w:hint="cs"/>
          <w:rtl/>
        </w:rPr>
        <w:lastRenderedPageBreak/>
        <w:t>ضاقـت بما رمت حيلتي</w:t>
      </w:r>
      <w:r w:rsidR="00897A24" w:rsidRPr="00A52585">
        <w:rPr>
          <w:rFonts w:hint="cs"/>
          <w:rtl/>
        </w:rPr>
        <w:t>.</w:t>
      </w:r>
      <w:r w:rsidR="00777DCB" w:rsidRPr="00A52585">
        <w:rPr>
          <w:rFonts w:hint="cs"/>
          <w:rtl/>
        </w:rPr>
        <w:t xml:space="preserve">.. وإن شئت </w:t>
      </w:r>
      <w:r w:rsidRPr="00A52585">
        <w:rPr>
          <w:rFonts w:hint="cs"/>
          <w:rtl/>
        </w:rPr>
        <w:t>(</w:t>
      </w:r>
      <w:r w:rsidR="00777DCB" w:rsidRPr="00A52585">
        <w:rPr>
          <w:rFonts w:hint="cs"/>
          <w:rtl/>
        </w:rPr>
        <w:t>قلت</w:t>
      </w:r>
      <w:r w:rsidRPr="00A52585">
        <w:rPr>
          <w:rFonts w:hint="cs"/>
          <w:rtl/>
        </w:rPr>
        <w:t>)</w:t>
      </w:r>
      <w:r w:rsidR="00897A24" w:rsidRPr="00A52585">
        <w:rPr>
          <w:rFonts w:hint="cs"/>
          <w:rtl/>
        </w:rPr>
        <w:t>.</w:t>
      </w:r>
      <w:r w:rsidR="00777DCB" w:rsidRPr="00A52585">
        <w:rPr>
          <w:rFonts w:hint="cs"/>
          <w:rtl/>
        </w:rPr>
        <w:t>.. إلى الله في غفــران ذنـــبي وزلـــتي</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فالتوسل به عليه أفضل الصلاة والسلام لم يزل منذ آدم عليه السلام لا يتوقف فيه أحد ولا يطعن إلى أن أظهر نقصه زنادقة اليهود وغلاتهم في بغضه عليه الصلاة والسلام وأنه بموته بطلت حرمته وجاهه فلا يتوسل به ولا يقال</w:t>
      </w:r>
      <w:r w:rsidRPr="00A52585">
        <w:rPr>
          <w:rFonts w:hint="cs"/>
          <w:rtl/>
        </w:rPr>
        <w:t>:</w:t>
      </w:r>
      <w:r w:rsidR="00777DCB" w:rsidRPr="00A52585">
        <w:rPr>
          <w:rFonts w:hint="cs"/>
          <w:rtl/>
        </w:rPr>
        <w:t xml:space="preserve"> يا جاه محمد وتم ذلك بتوارث سلالتهم معتقدين ذلك مصرين عليه</w:t>
      </w:r>
      <w:r w:rsidR="00DB731D" w:rsidRPr="00A52585">
        <w:rPr>
          <w:rFonts w:hint="cs"/>
          <w:rtl/>
        </w:rPr>
        <w:t>،</w:t>
      </w:r>
      <w:r w:rsidR="00777DCB" w:rsidRPr="00A52585">
        <w:rPr>
          <w:rFonts w:hint="cs"/>
          <w:rtl/>
        </w:rPr>
        <w:t xml:space="preserve"> ثم زاد هذا الخبيث أن التوسل به شرك وقرره بتقرير ألحقه بقوله </w:t>
      </w:r>
      <w:r w:rsidRPr="00A52585">
        <w:rPr>
          <w:rFonts w:hint="cs"/>
          <w:rtl/>
        </w:rPr>
        <w:t>{</w:t>
      </w:r>
      <w:r w:rsidR="00777DCB" w:rsidRPr="00A52585">
        <w:rPr>
          <w:rFonts w:hint="cs"/>
          <w:rtl/>
        </w:rPr>
        <w:t>ما نعبدهم إلا ليقربونا إلى الله زلفى</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الزمر</w:t>
      </w:r>
      <w:r w:rsidRPr="00A52585">
        <w:rPr>
          <w:rFonts w:hint="cs"/>
          <w:rtl/>
        </w:rPr>
        <w:t>:</w:t>
      </w:r>
      <w:r w:rsidR="00777DCB" w:rsidRPr="00A52585">
        <w:rPr>
          <w:rFonts w:hint="cs"/>
          <w:rtl/>
        </w:rPr>
        <w:t xml:space="preserve"> 3</w:t>
      </w:r>
      <w:r w:rsidRPr="00A52585">
        <w:rPr>
          <w:rFonts w:hint="cs"/>
          <w:rtl/>
        </w:rPr>
        <w:t>]</w:t>
      </w:r>
      <w:r w:rsidR="00DB731D" w:rsidRPr="00A52585">
        <w:rPr>
          <w:rFonts w:hint="cs"/>
          <w:rtl/>
        </w:rPr>
        <w:t>،</w:t>
      </w:r>
      <w:r w:rsidR="00777DCB" w:rsidRPr="00A52585">
        <w:rPr>
          <w:rFonts w:hint="cs"/>
          <w:rtl/>
        </w:rPr>
        <w:t xml:space="preserve"> وذلك يدل على أنه من أجهل الجهلة. فإن التوسل به عليه الصلاة والسلام معناه</w:t>
      </w:r>
      <w:r w:rsidRPr="00A52585">
        <w:rPr>
          <w:rFonts w:hint="cs"/>
          <w:rtl/>
        </w:rPr>
        <w:t>:</w:t>
      </w:r>
      <w:r w:rsidR="00777DCB" w:rsidRPr="00A52585">
        <w:rPr>
          <w:rFonts w:hint="cs"/>
          <w:rtl/>
        </w:rPr>
        <w:t xml:space="preserve"> أسأل الله عز وجل برسوله وأتشفع إليه به هو</w:t>
      </w:r>
      <w:r w:rsidR="00DB731D" w:rsidRPr="00A52585">
        <w:rPr>
          <w:rFonts w:hint="cs"/>
          <w:rtl/>
        </w:rPr>
        <w:t>،</w:t>
      </w:r>
      <w:r w:rsidR="00777DCB" w:rsidRPr="00A52585">
        <w:rPr>
          <w:rFonts w:hint="cs"/>
          <w:rtl/>
        </w:rPr>
        <w:t xml:space="preserve"> فهو سائل الله عز وجل لا لغيره</w:t>
      </w:r>
      <w:r w:rsidR="00DB731D" w:rsidRPr="00A52585">
        <w:rPr>
          <w:rFonts w:hint="cs"/>
          <w:rtl/>
        </w:rPr>
        <w:t>،</w:t>
      </w:r>
      <w:r w:rsidR="00777DCB" w:rsidRPr="00A52585">
        <w:rPr>
          <w:rFonts w:hint="cs"/>
          <w:rtl/>
        </w:rPr>
        <w:t xml:space="preserve"> ولا يلزم من التوسل به أو بشخص والتشفع إليه به أن يكون عَبَده ولا اتخذه إلها ورباً من دونه ولا جعله شريكاً في ألوهيته ومن جعل التوسل بشخص مثل هؤلاء فهو من جهله وسوء فهمه وعدم تعقله ما يقول</w:t>
      </w:r>
      <w:r w:rsidR="00DB731D" w:rsidRPr="00A52585">
        <w:rPr>
          <w:rFonts w:hint="cs"/>
          <w:rtl/>
        </w:rPr>
        <w:t>،</w:t>
      </w:r>
      <w:r w:rsidR="00777DCB" w:rsidRPr="00A52585">
        <w:rPr>
          <w:rFonts w:hint="cs"/>
          <w:rtl/>
        </w:rPr>
        <w:t xml:space="preserve"> </w:t>
      </w:r>
    </w:p>
    <w:p w14:paraId="4A156B4B" w14:textId="51B44F4A" w:rsidR="00777DCB" w:rsidRPr="00A52585" w:rsidRDefault="0002035C" w:rsidP="0002035C">
      <w:pPr>
        <w:spacing w:after="240"/>
        <w:rPr>
          <w:b/>
          <w:bCs/>
          <w:rtl/>
        </w:rPr>
      </w:pPr>
      <w:r w:rsidRPr="00A52585">
        <w:rPr>
          <w:rFonts w:hint="cs"/>
          <w:bCs/>
          <w:rtl/>
        </w:rPr>
        <w:t>[</w:t>
      </w:r>
      <w:r w:rsidR="00777DCB" w:rsidRPr="00A52585">
        <w:rPr>
          <w:rFonts w:hint="cs"/>
          <w:bCs/>
          <w:rtl/>
        </w:rPr>
        <w:t>ط- عرض أعمالنا على رسول الله صلى الله عليه وسلم في قبره ودعائه لنا دليل للتوسل به</w:t>
      </w:r>
      <w:r w:rsidRPr="00A52585">
        <w:rPr>
          <w:rFonts w:hint="cs"/>
          <w:bCs/>
          <w:rtl/>
        </w:rPr>
        <w:t>]:</w:t>
      </w:r>
      <w:r w:rsidR="00777DCB" w:rsidRPr="00A52585">
        <w:rPr>
          <w:rFonts w:hint="cs"/>
          <w:bCs/>
          <w:rtl/>
        </w:rPr>
        <w:t xml:space="preserve"> </w:t>
      </w:r>
      <w:r w:rsidR="00777DCB" w:rsidRPr="00A52585">
        <w:rPr>
          <w:rFonts w:hint="cs"/>
          <w:rtl/>
        </w:rPr>
        <w:t>ومثل هذا لا يحل لأحد أن يقلده ولا ينظر في كلامه إلا من له رتبة التمييز بين الحق والباطل وإلا هلك وهو لا يشعر. وقد قال عليه الصلاة والسلام</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حياتي خير لكم ومماتي خير لكم</w:t>
      </w:r>
      <w:r w:rsidRPr="00A52585">
        <w:rPr>
          <w:rFonts w:hint="cs"/>
          <w:rtl/>
        </w:rPr>
        <w:t>)</w:t>
      </w:r>
      <w:r w:rsidR="00777DCB" w:rsidRPr="00A52585">
        <w:rPr>
          <w:rFonts w:hint="cs"/>
          <w:rtl/>
        </w:rPr>
        <w:t>)</w:t>
      </w:r>
      <w:r w:rsidRPr="00A52585">
        <w:rPr>
          <w:rFonts w:hint="cs"/>
          <w:rtl/>
        </w:rPr>
        <w:t xml:space="preserve"> </w:t>
      </w:r>
      <w:r w:rsidR="00777DCB" w:rsidRPr="00A52585">
        <w:rPr>
          <w:rFonts w:hint="cs"/>
          <w:rtl/>
        </w:rPr>
        <w:t>قالوا</w:t>
      </w:r>
      <w:r w:rsidRPr="00A52585">
        <w:rPr>
          <w:rFonts w:hint="cs"/>
          <w:rtl/>
        </w:rPr>
        <w:t>:</w:t>
      </w:r>
      <w:r w:rsidR="00777DCB" w:rsidRPr="00A52585">
        <w:rPr>
          <w:rFonts w:hint="cs"/>
          <w:rtl/>
        </w:rPr>
        <w:t xml:space="preserve"> يا رسول الله قد عرفنا أن حياتك خير لنا فكيف وفاتك خير لنا</w:t>
      </w:r>
      <w:r w:rsidR="00DB731D" w:rsidRPr="00A52585">
        <w:rPr>
          <w:rFonts w:hint="cs"/>
          <w:rtl/>
        </w:rPr>
        <w:t>،</w:t>
      </w:r>
      <w:r w:rsidR="00777DCB" w:rsidRPr="00A52585">
        <w:rPr>
          <w:rFonts w:hint="cs"/>
          <w:rtl/>
        </w:rPr>
        <w:t xml:space="preserve"> قال</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أما حياتي فإنكم كلما أحدثتم حدثاً أحدث الله لكم المخرج منه بي فإذا مت فلا أزال أنادي من قبري ربي أمتي حتى ينفخ في الصور. ثم لا أزال أجاب أربعين سنة حتى ينفخ الأخرى وتعرض علي أعمالكم فما كان من حسن شكرت الله عليه وما كان من سيء دعوت الله تعالى أن يغفره</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رواه الإمام العلامة هبة الله في كتابه (توثيق عرى الإيمان)</w:t>
      </w:r>
      <w:r w:rsidR="00777DCB" w:rsidRPr="00A52585">
        <w:rPr>
          <w:rFonts w:hint="cs"/>
          <w:vertAlign w:val="superscript"/>
        </w:rPr>
        <w:t xml:space="preserve"> </w:t>
      </w:r>
      <w:r w:rsidR="00777DCB" w:rsidRPr="00A52585">
        <w:rPr>
          <w:rFonts w:hint="cs"/>
          <w:rtl/>
        </w:rPr>
        <w:t>ورواه غيره</w:t>
      </w:r>
      <w:r w:rsidR="00DB731D" w:rsidRPr="00A52585">
        <w:rPr>
          <w:rFonts w:hint="cs"/>
          <w:rtl/>
        </w:rPr>
        <w:t>،</w:t>
      </w:r>
      <w:r w:rsidR="00777DCB" w:rsidRPr="00A52585">
        <w:rPr>
          <w:rFonts w:hint="cs"/>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 xml:space="preserve">: </w:t>
      </w:r>
      <w:r w:rsidR="00777DCB" w:rsidRPr="00A52585">
        <w:rPr>
          <w:rFonts w:hint="cs"/>
          <w:sz w:val="24"/>
          <w:szCs w:val="24"/>
          <w:rtl/>
        </w:rPr>
        <w:t>وأخرجه أيضاً البزار في مسنده عن ابن مسعود رضي الله عنه انظر (كشف الأستار 1/397) قال الحافظ العراقي في (طرح التثريب) 3/297</w:t>
      </w:r>
      <w:r w:rsidRPr="00A52585">
        <w:rPr>
          <w:rFonts w:hint="cs"/>
          <w:sz w:val="24"/>
          <w:szCs w:val="24"/>
          <w:rtl/>
        </w:rPr>
        <w:t>:</w:t>
      </w:r>
      <w:r w:rsidR="00777DCB" w:rsidRPr="00A52585">
        <w:rPr>
          <w:rFonts w:hint="cs"/>
          <w:sz w:val="24"/>
          <w:szCs w:val="24"/>
          <w:rtl/>
        </w:rPr>
        <w:t xml:space="preserve"> إسناده جيد وقال الحافظ الهيثمي في (مجمع الزوائد) 9/24</w:t>
      </w:r>
      <w:r w:rsidRPr="00A52585">
        <w:rPr>
          <w:rFonts w:hint="cs"/>
          <w:sz w:val="24"/>
          <w:szCs w:val="24"/>
          <w:rtl/>
        </w:rPr>
        <w:t>:</w:t>
      </w:r>
      <w:r w:rsidR="00777DCB" w:rsidRPr="00A52585">
        <w:rPr>
          <w:rFonts w:hint="cs"/>
          <w:sz w:val="24"/>
          <w:szCs w:val="24"/>
          <w:rtl/>
        </w:rPr>
        <w:t xml:space="preserve"> رواه البزار ورجاله رجال الصحيح</w:t>
      </w:r>
      <w:r w:rsidR="00DB731D" w:rsidRPr="00A52585">
        <w:rPr>
          <w:rFonts w:hint="cs"/>
          <w:sz w:val="24"/>
          <w:szCs w:val="24"/>
          <w:rtl/>
        </w:rPr>
        <w:t>،</w:t>
      </w:r>
      <w:r w:rsidR="00777DCB" w:rsidRPr="00A52585">
        <w:rPr>
          <w:rFonts w:hint="cs"/>
          <w:sz w:val="24"/>
          <w:szCs w:val="24"/>
          <w:rtl/>
        </w:rPr>
        <w:t xml:space="preserve"> وصححه الحافظ السيوطي في (الخصائص) 2/281، وفي (تخريج أحاديث الشفا) وكذا على </w:t>
      </w:r>
      <w:proofErr w:type="spellStart"/>
      <w:r w:rsidR="00777DCB" w:rsidRPr="00A52585">
        <w:rPr>
          <w:rFonts w:hint="cs"/>
          <w:sz w:val="24"/>
          <w:szCs w:val="24"/>
          <w:rtl/>
        </w:rPr>
        <w:t>القارى</w:t>
      </w:r>
      <w:proofErr w:type="spellEnd"/>
      <w:r w:rsidR="00777DCB" w:rsidRPr="00A52585">
        <w:rPr>
          <w:rFonts w:hint="cs"/>
          <w:sz w:val="24"/>
          <w:szCs w:val="24"/>
          <w:rtl/>
        </w:rPr>
        <w:t xml:space="preserve"> والشهاب الخفاجي والمحدث </w:t>
      </w:r>
      <w:proofErr w:type="spellStart"/>
      <w:r w:rsidR="00777DCB" w:rsidRPr="00A52585">
        <w:rPr>
          <w:rFonts w:hint="cs"/>
          <w:sz w:val="24"/>
          <w:szCs w:val="24"/>
          <w:rtl/>
        </w:rPr>
        <w:t>القسطلاني</w:t>
      </w:r>
      <w:proofErr w:type="spellEnd"/>
      <w:r w:rsidR="00777DCB" w:rsidRPr="00A52585">
        <w:rPr>
          <w:rFonts w:hint="cs"/>
          <w:sz w:val="24"/>
          <w:szCs w:val="24"/>
          <w:rtl/>
        </w:rPr>
        <w:t xml:space="preserve"> وله مع ذلك نحو عشرين طريقا من أصحها ما أخرجه القاضي إسماعيل في فضل الصلاة على النبي صلى الله عليه وسلم (ص 38،39) من طريقين صحيحين عن بكر بن عبد الله المزني مرسلا</w:t>
      </w:r>
      <w:r w:rsidR="00DB731D" w:rsidRPr="00A52585">
        <w:rPr>
          <w:rFonts w:hint="cs"/>
          <w:sz w:val="24"/>
          <w:szCs w:val="24"/>
          <w:rtl/>
        </w:rPr>
        <w:t>،</w:t>
      </w:r>
      <w:r w:rsidR="00777DCB" w:rsidRPr="00A52585">
        <w:rPr>
          <w:rFonts w:hint="cs"/>
          <w:sz w:val="24"/>
          <w:szCs w:val="24"/>
          <w:rtl/>
        </w:rPr>
        <w:t xml:space="preserve"> وللسيد عبد الله بن الصديق الغماري جزء مطبوع اسمه</w:t>
      </w:r>
      <w:r w:rsidRPr="00A52585">
        <w:rPr>
          <w:rFonts w:hint="cs"/>
          <w:sz w:val="24"/>
          <w:szCs w:val="24"/>
          <w:rtl/>
        </w:rPr>
        <w:t>:</w:t>
      </w:r>
      <w:r w:rsidR="00777DCB" w:rsidRPr="00A52585">
        <w:rPr>
          <w:rFonts w:hint="cs"/>
          <w:sz w:val="24"/>
          <w:szCs w:val="24"/>
          <w:rtl/>
        </w:rPr>
        <w:t xml:space="preserve"> (نهاية الآمال في شرح وتصحيح حديث عرض الأعمال) وذكره أيضاً في كتابه (إتحاف الأذكياء) وقال فيه</w:t>
      </w:r>
      <w:r w:rsidRPr="00A52585">
        <w:rPr>
          <w:rFonts w:hint="cs"/>
          <w:sz w:val="24"/>
          <w:szCs w:val="24"/>
          <w:rtl/>
        </w:rPr>
        <w:t xml:space="preserve">: </w:t>
      </w:r>
      <w:r w:rsidR="00777DCB" w:rsidRPr="00A52585">
        <w:rPr>
          <w:rFonts w:hint="cs"/>
          <w:sz w:val="24"/>
          <w:szCs w:val="24"/>
          <w:rtl/>
        </w:rPr>
        <w:t>" وهذا الحديث يدل دلالة صريحة على أن النبي عليه السلام يشفع لأمته بعد انتقاله باستغفاره لهم على هذا يجوز التوسل به لأنه استشفاع "</w:t>
      </w:r>
      <w:r w:rsidRPr="00A52585">
        <w:rPr>
          <w:rFonts w:hint="cs"/>
          <w:sz w:val="24"/>
          <w:szCs w:val="24"/>
          <w:rtl/>
        </w:rPr>
        <w:t xml:space="preserve"> </w:t>
      </w:r>
      <w:r w:rsidR="00777DCB" w:rsidRPr="00A52585">
        <w:rPr>
          <w:rFonts w:hint="cs"/>
          <w:sz w:val="24"/>
          <w:szCs w:val="24"/>
          <w:rtl/>
        </w:rPr>
        <w:t xml:space="preserve">أهـ ص 28 </w:t>
      </w:r>
      <w:r w:rsidR="00777DCB" w:rsidRPr="00A52585">
        <w:rPr>
          <w:sz w:val="24"/>
          <w:szCs w:val="24"/>
        </w:rPr>
        <w:t>–</w:t>
      </w:r>
      <w:r w:rsidR="00777DCB" w:rsidRPr="00A52585">
        <w:rPr>
          <w:rFonts w:hint="cs"/>
          <w:sz w:val="24"/>
          <w:szCs w:val="24"/>
          <w:rtl/>
        </w:rPr>
        <w:t xml:space="preserve"> 29</w:t>
      </w:r>
      <w:r w:rsidR="00DB731D" w:rsidRPr="00A52585">
        <w:rPr>
          <w:rFonts w:hint="cs"/>
          <w:sz w:val="24"/>
          <w:szCs w:val="24"/>
          <w:rtl/>
        </w:rPr>
        <w:t>،</w:t>
      </w:r>
      <w:r w:rsidR="00777DCB" w:rsidRPr="00A52585">
        <w:rPr>
          <w:rFonts w:hint="cs"/>
          <w:sz w:val="24"/>
          <w:szCs w:val="24"/>
          <w:rtl/>
        </w:rPr>
        <w:t xml:space="preserve"> ثم أشار رضي الله عنه إلى أن عرض الأعمال المذكور في الحديث هو عرض إجمالي لا يلزم أن يكون عليه السلام عارفاً بأعمال الأمة وبأفرادهم على سبيل الإحصاء والتفصيل وانظر (رفع المنارة) ص 156 فما بعدها</w:t>
      </w:r>
      <w:r w:rsidRPr="00A52585">
        <w:rPr>
          <w:rFonts w:hint="cs"/>
          <w:sz w:val="24"/>
          <w:szCs w:val="24"/>
          <w:rtl/>
        </w:rPr>
        <w:t>]</w:t>
      </w:r>
      <w:r w:rsidR="00DB731D" w:rsidRPr="00A52585">
        <w:rPr>
          <w:rFonts w:hint="cs"/>
          <w:sz w:val="24"/>
          <w:rtl/>
        </w:rPr>
        <w:t>،</w:t>
      </w:r>
      <w:r w:rsidR="00777DCB" w:rsidRPr="00A52585">
        <w:rPr>
          <w:rFonts w:hint="cs"/>
          <w:sz w:val="24"/>
          <w:rtl/>
        </w:rPr>
        <w:t xml:space="preserve"> </w:t>
      </w:r>
      <w:r w:rsidR="00777DCB" w:rsidRPr="00A52585">
        <w:rPr>
          <w:rFonts w:hint="cs"/>
          <w:rtl/>
        </w:rPr>
        <w:t xml:space="preserve">فهو عليه الصلاة </w:t>
      </w:r>
      <w:r w:rsidR="00777DCB" w:rsidRPr="00A52585">
        <w:rPr>
          <w:rFonts w:hint="cs"/>
          <w:rtl/>
        </w:rPr>
        <w:lastRenderedPageBreak/>
        <w:t>والسلام رحمة لنا في حياته وبعد وفاته فكيف لا يتوسل به إليه ولا نُعمل البزل</w:t>
      </w:r>
      <w:r w:rsidR="00777DCB" w:rsidRPr="00A52585">
        <w:rPr>
          <w:rFonts w:hint="cs"/>
          <w:vertAlign w:val="superscript"/>
          <w:rtl/>
        </w:rPr>
        <w:t xml:space="preserve"> </w:t>
      </w:r>
      <w:proofErr w:type="spellStart"/>
      <w:r w:rsidR="00777DCB" w:rsidRPr="00A52585">
        <w:rPr>
          <w:rFonts w:hint="cs"/>
          <w:rtl/>
        </w:rPr>
        <w:t>القناعيس</w:t>
      </w:r>
      <w:proofErr w:type="spellEnd"/>
      <w:r w:rsidR="00777DCB" w:rsidRPr="00A52585">
        <w:rPr>
          <w:rFonts w:hint="cs"/>
          <w:rtl/>
        </w:rPr>
        <w:t xml:space="preserve"> - </w:t>
      </w:r>
      <w:r w:rsidR="00777DCB" w:rsidRPr="00A52585">
        <w:rPr>
          <w:rFonts w:hint="cs"/>
          <w:sz w:val="24"/>
          <w:rtl/>
        </w:rPr>
        <w:t>البزل</w:t>
      </w:r>
      <w:r w:rsidRPr="00A52585">
        <w:rPr>
          <w:rFonts w:hint="cs"/>
          <w:sz w:val="24"/>
          <w:rtl/>
        </w:rPr>
        <w:t>:</w:t>
      </w:r>
      <w:r w:rsidR="00777DCB" w:rsidRPr="00A52585">
        <w:rPr>
          <w:rFonts w:hint="cs"/>
          <w:sz w:val="24"/>
          <w:rtl/>
        </w:rPr>
        <w:t xml:space="preserve"> جمع بازل، وهو البعير الذي طلع نابه</w:t>
      </w:r>
      <w:r w:rsidR="00DB731D" w:rsidRPr="00A52585">
        <w:rPr>
          <w:rFonts w:hint="cs"/>
          <w:sz w:val="24"/>
          <w:rtl/>
        </w:rPr>
        <w:t>،</w:t>
      </w:r>
      <w:r w:rsidR="00777DCB" w:rsidRPr="00A52585">
        <w:rPr>
          <w:rFonts w:hint="cs"/>
          <w:sz w:val="24"/>
          <w:rtl/>
        </w:rPr>
        <w:t xml:space="preserve"> </w:t>
      </w:r>
      <w:proofErr w:type="spellStart"/>
      <w:r w:rsidR="00777DCB" w:rsidRPr="00A52585">
        <w:rPr>
          <w:rFonts w:hint="cs"/>
          <w:sz w:val="24"/>
          <w:rtl/>
        </w:rPr>
        <w:t>والقناعيس</w:t>
      </w:r>
      <w:proofErr w:type="spellEnd"/>
      <w:r w:rsidRPr="00A52585">
        <w:rPr>
          <w:rFonts w:hint="cs"/>
          <w:sz w:val="24"/>
          <w:rtl/>
        </w:rPr>
        <w:t>:</w:t>
      </w:r>
      <w:r w:rsidR="00777DCB" w:rsidRPr="00A52585">
        <w:rPr>
          <w:rFonts w:hint="cs"/>
          <w:sz w:val="24"/>
          <w:rtl/>
        </w:rPr>
        <w:t xml:space="preserve"> جمع</w:t>
      </w:r>
      <w:r w:rsidR="00DB731D" w:rsidRPr="00A52585">
        <w:rPr>
          <w:rFonts w:hint="cs"/>
          <w:sz w:val="24"/>
          <w:rtl/>
        </w:rPr>
        <w:t>،</w:t>
      </w:r>
      <w:r w:rsidR="00777DCB" w:rsidRPr="00A52585">
        <w:rPr>
          <w:rFonts w:hint="cs"/>
          <w:sz w:val="24"/>
          <w:rtl/>
        </w:rPr>
        <w:t xml:space="preserve"> وهو الجمل الضخم العظيم -</w:t>
      </w:r>
      <w:r w:rsidRPr="00A52585">
        <w:rPr>
          <w:rFonts w:hint="cs"/>
          <w:sz w:val="24"/>
          <w:rtl/>
        </w:rPr>
        <w:t xml:space="preserve"> </w:t>
      </w:r>
      <w:r w:rsidR="00777DCB" w:rsidRPr="00A52585">
        <w:rPr>
          <w:rFonts w:hint="cs"/>
          <w:rtl/>
        </w:rPr>
        <w:t>نحوه وإليه</w:t>
      </w:r>
      <w:r w:rsidR="00DB731D" w:rsidRPr="00A52585">
        <w:rPr>
          <w:rFonts w:hint="cs"/>
          <w:rtl/>
        </w:rPr>
        <w:t>،</w:t>
      </w:r>
      <w:r w:rsidR="00777DCB" w:rsidRPr="00A52585">
        <w:rPr>
          <w:rFonts w:hint="cs"/>
          <w:rtl/>
        </w:rPr>
        <w:t xml:space="preserve"> وذلك مما أجمع أهل التوحيد عليه وأجمعوا على تكفير من قال بخلاف ذلك</w:t>
      </w:r>
      <w:r w:rsidR="00DB731D" w:rsidRPr="00A52585">
        <w:rPr>
          <w:rFonts w:hint="cs"/>
          <w:rtl/>
        </w:rPr>
        <w:t>،</w:t>
      </w:r>
      <w:r w:rsidR="00777DCB" w:rsidRPr="00A52585">
        <w:rPr>
          <w:rFonts w:hint="cs"/>
          <w:rtl/>
        </w:rPr>
        <w:t xml:space="preserve"> صرح به أئمة الأمة وأولهم مالك</w:t>
      </w:r>
      <w:r w:rsidR="00DB731D" w:rsidRPr="00A52585">
        <w:rPr>
          <w:rFonts w:hint="cs"/>
          <w:rtl/>
        </w:rPr>
        <w:t>،</w:t>
      </w:r>
      <w:r w:rsidR="00777DCB" w:rsidRPr="00A52585">
        <w:rPr>
          <w:rFonts w:hint="cs"/>
          <w:rtl/>
        </w:rPr>
        <w:t xml:space="preserve"> وكان ابن تيمية ممن يعتقد ويفتي بأن شد الرحال إلى قبور الأنبياء حرام لا تقصر فيه الصلاة ويصرح بقبر الخليل وقبر النبي صلى الله عليه وسلم وجاء بريدي من مصر باعتقاله على ذلك فاعتقل</w:t>
      </w:r>
      <w:r w:rsidR="00DB731D" w:rsidRPr="00A52585">
        <w:rPr>
          <w:rFonts w:hint="cs"/>
          <w:rtl/>
        </w:rPr>
        <w:t>،</w:t>
      </w:r>
      <w:r w:rsidR="00777DCB" w:rsidRPr="00A52585">
        <w:rPr>
          <w:rFonts w:hint="cs"/>
          <w:rtl/>
        </w:rPr>
        <w:t xml:space="preserve"> </w:t>
      </w:r>
    </w:p>
    <w:p w14:paraId="32C20466" w14:textId="05224491" w:rsidR="00777DCB" w:rsidRPr="00A52585" w:rsidRDefault="0002035C" w:rsidP="0002035C">
      <w:pPr>
        <w:spacing w:after="240"/>
        <w:rPr>
          <w:b/>
          <w:bCs/>
        </w:rPr>
      </w:pPr>
      <w:r w:rsidRPr="00A52585">
        <w:rPr>
          <w:rFonts w:hint="cs"/>
          <w:bCs/>
          <w:rtl/>
        </w:rPr>
        <w:t>[</w:t>
      </w:r>
      <w:r w:rsidR="00777DCB" w:rsidRPr="00A52585">
        <w:rPr>
          <w:rFonts w:hint="cs"/>
          <w:bCs/>
          <w:rtl/>
        </w:rPr>
        <w:t>الخاتمة</w:t>
      </w:r>
      <w:r w:rsidRPr="00A52585">
        <w:rPr>
          <w:rFonts w:hint="cs"/>
          <w:bCs/>
          <w:rtl/>
        </w:rPr>
        <w:t>:</w:t>
      </w:r>
      <w:r w:rsidR="00777DCB" w:rsidRPr="00A52585">
        <w:rPr>
          <w:rFonts w:hint="cs"/>
          <w:bCs/>
          <w:rtl/>
        </w:rPr>
        <w:t xml:space="preserve"> أَتباع ابن تيمية</w:t>
      </w:r>
      <w:r w:rsidRPr="00A52585">
        <w:rPr>
          <w:rFonts w:hint="cs"/>
          <w:bCs/>
          <w:rtl/>
        </w:rPr>
        <w:t>]:</w:t>
      </w:r>
      <w:r w:rsidR="00777DCB" w:rsidRPr="00A52585">
        <w:rPr>
          <w:rFonts w:hint="cs"/>
          <w:bCs/>
          <w:rtl/>
        </w:rPr>
        <w:t xml:space="preserve"> </w:t>
      </w:r>
      <w:r w:rsidR="00777DCB" w:rsidRPr="00A52585">
        <w:rPr>
          <w:rFonts w:hint="cs"/>
          <w:rtl/>
        </w:rPr>
        <w:t xml:space="preserve">وكان على هذا الاعتقاد تلميذه ابن قيم الجوزية الزرعي وإسماعيل بن كثير </w:t>
      </w:r>
      <w:proofErr w:type="spellStart"/>
      <w:r w:rsidR="00777DCB" w:rsidRPr="00A52585">
        <w:rPr>
          <w:rFonts w:hint="cs"/>
          <w:rtl/>
        </w:rPr>
        <w:t>الشركويني</w:t>
      </w:r>
      <w:proofErr w:type="spellEnd"/>
      <w:r w:rsidR="00777DCB" w:rsidRPr="00A52585">
        <w:rPr>
          <w:rFonts w:hint="cs"/>
          <w:rtl/>
        </w:rPr>
        <w:t>. فاتفق أن ابن قيم الجوزية سافر إلى القدس الشريف ورقي على منبر في الحرم ووعظ</w:t>
      </w:r>
      <w:r w:rsidRPr="00A52585">
        <w:rPr>
          <w:rFonts w:hint="cs"/>
          <w:rtl/>
        </w:rPr>
        <w:t xml:space="preserve"> </w:t>
      </w:r>
      <w:r w:rsidR="00777DCB" w:rsidRPr="00A52585">
        <w:rPr>
          <w:rFonts w:hint="cs"/>
          <w:rtl/>
        </w:rPr>
        <w:t>وقال في أثناء وعظه بعد أن ذكر المسألة وقال</w:t>
      </w:r>
      <w:r w:rsidRPr="00A52585">
        <w:rPr>
          <w:rFonts w:hint="cs"/>
          <w:rtl/>
        </w:rPr>
        <w:t>:</w:t>
      </w:r>
      <w:r w:rsidR="00777DCB" w:rsidRPr="00A52585">
        <w:rPr>
          <w:rFonts w:hint="cs"/>
          <w:rtl/>
        </w:rPr>
        <w:t xml:space="preserve"> </w:t>
      </w:r>
      <w:proofErr w:type="spellStart"/>
      <w:r w:rsidR="00777DCB" w:rsidRPr="00A52585">
        <w:rPr>
          <w:rFonts w:hint="cs"/>
          <w:rtl/>
        </w:rPr>
        <w:t>هأنا</w:t>
      </w:r>
      <w:proofErr w:type="spellEnd"/>
      <w:r w:rsidR="00777DCB" w:rsidRPr="00A52585">
        <w:rPr>
          <w:rFonts w:hint="cs"/>
          <w:rtl/>
        </w:rPr>
        <w:t xml:space="preserve"> أرجع ولا أزور الخليل. ثم جاء إلى نابلس وعمل له مجلس وعظ وذكر المسألة بعينها حتى قال</w:t>
      </w:r>
      <w:r w:rsidRPr="00A52585">
        <w:rPr>
          <w:rFonts w:hint="cs"/>
          <w:rtl/>
        </w:rPr>
        <w:t>:</w:t>
      </w:r>
      <w:r w:rsidR="00777DCB" w:rsidRPr="00A52585">
        <w:rPr>
          <w:rFonts w:hint="cs"/>
          <w:rtl/>
        </w:rPr>
        <w:t xml:space="preserve"> فلا يزار قبر النبي صلى الله عليه وسلم فقام إليه الناس وأرادوا قتله فحماه منهم وإلى نابلس</w:t>
      </w:r>
      <w:r w:rsidR="00DB731D" w:rsidRPr="00A52585">
        <w:rPr>
          <w:rFonts w:hint="cs"/>
          <w:rtl/>
        </w:rPr>
        <w:t>،</w:t>
      </w:r>
      <w:r w:rsidR="00777DCB" w:rsidRPr="00A52585">
        <w:rPr>
          <w:rFonts w:hint="cs"/>
          <w:rtl/>
        </w:rPr>
        <w:t xml:space="preserve"> وكتب أهل القدس وأهل نابلس إلى دمشق يعرفون صورة ما وقع منه فطلبه القاضي المالكي فتودد وصعد إلى الصالحية إلى القاضي شمس الدين بن مسلم الحنبلي وأسلم على يديه فقبل توبته وحكم بإسلامه وحقن دمه ولم يعزره لأجل ابن تيمية</w:t>
      </w:r>
      <w:r w:rsidR="00DB731D" w:rsidRPr="00A52585">
        <w:rPr>
          <w:rFonts w:hint="cs"/>
          <w:rtl/>
        </w:rPr>
        <w:t>،</w:t>
      </w:r>
      <w:r w:rsidRPr="00A52585">
        <w:rPr>
          <w:rFonts w:hint="cs"/>
          <w:rtl/>
        </w:rPr>
        <w:t xml:space="preserve"> </w:t>
      </w:r>
      <w:r w:rsidR="00777DCB" w:rsidRPr="00A52585">
        <w:rPr>
          <w:rFonts w:hint="cs"/>
          <w:rtl/>
        </w:rPr>
        <w:t>ولما كان يوم الجمعة رابع شعبان جلس قاضي جلال الدين بعد العصر بالمدرسة العادلية وأحضر جماعة من جماعة ابن تيمية كانوا معتقلين في سجن الشرع فادعي على إسماعيل بن كثير صاحب التاريخ أنه قال</w:t>
      </w:r>
      <w:r w:rsidRPr="00A52585">
        <w:rPr>
          <w:rFonts w:hint="cs"/>
          <w:rtl/>
        </w:rPr>
        <w:t>:</w:t>
      </w:r>
      <w:r w:rsidR="00777DCB" w:rsidRPr="00A52585">
        <w:rPr>
          <w:rFonts w:hint="cs"/>
          <w:rtl/>
        </w:rPr>
        <w:t xml:space="preserve"> إن التوراة والإنجيل ما بدلا وأنهما بحالهما كما أنزلتا وشهدوا عليه بذلك وثبت في وجهه فعزر في المجلس بالدرة وأخرج وطيف به ونودي عليه بما قاله</w:t>
      </w:r>
      <w:r w:rsidR="00DB731D" w:rsidRPr="00A52585">
        <w:rPr>
          <w:rFonts w:hint="cs"/>
          <w:rtl/>
        </w:rPr>
        <w:t>،</w:t>
      </w:r>
      <w:r w:rsidR="00777DCB" w:rsidRPr="00A52585">
        <w:rPr>
          <w:rFonts w:hint="cs"/>
          <w:rtl/>
        </w:rPr>
        <w:t xml:space="preserve"> ثم أحضر ابن قيم </w:t>
      </w:r>
      <w:proofErr w:type="spellStart"/>
      <w:r w:rsidR="00777DCB" w:rsidRPr="00A52585">
        <w:rPr>
          <w:rFonts w:hint="cs"/>
          <w:rtl/>
        </w:rPr>
        <w:t>الجوازية</w:t>
      </w:r>
      <w:proofErr w:type="spellEnd"/>
      <w:r w:rsidR="00777DCB" w:rsidRPr="00A52585">
        <w:rPr>
          <w:rFonts w:hint="cs"/>
          <w:rtl/>
        </w:rPr>
        <w:t xml:space="preserve"> وادعي عليه بما قاله في القدس الشريف وفي نابلس فأنكر فقامت عليه البينة بما قاله فأدب وحمل على جمل ثم أعيدوا في السجن</w:t>
      </w:r>
      <w:r w:rsidR="00DB731D" w:rsidRPr="00A52585">
        <w:rPr>
          <w:rFonts w:hint="cs"/>
          <w:rtl/>
        </w:rPr>
        <w:t>،</w:t>
      </w:r>
      <w:r w:rsidR="00777DCB" w:rsidRPr="00A52585">
        <w:rPr>
          <w:rFonts w:hint="cs"/>
          <w:rtl/>
        </w:rPr>
        <w:t xml:space="preserve"> ولما كان يوم الأربعاء أحضر ابن قيم الجوزية إلى مجلس شمس الدين المالكي</w:t>
      </w:r>
      <w:r w:rsidRPr="00A52585">
        <w:rPr>
          <w:rFonts w:hint="cs"/>
          <w:rtl/>
        </w:rPr>
        <w:t xml:space="preserve"> </w:t>
      </w:r>
      <w:r w:rsidR="00777DCB" w:rsidRPr="00A52585">
        <w:rPr>
          <w:rFonts w:hint="cs"/>
          <w:rtl/>
        </w:rPr>
        <w:t>وادعوا عليه وأرادوا ضرب عنقه</w:t>
      </w:r>
      <w:r w:rsidR="00DB731D" w:rsidRPr="00A52585">
        <w:rPr>
          <w:rFonts w:hint="cs"/>
          <w:rtl/>
        </w:rPr>
        <w:t>،</w:t>
      </w:r>
      <w:r w:rsidR="00777DCB" w:rsidRPr="00A52585">
        <w:rPr>
          <w:rFonts w:hint="cs"/>
          <w:rtl/>
        </w:rPr>
        <w:t xml:space="preserve"> فما كان جوابه إلا أن قال</w:t>
      </w:r>
      <w:r w:rsidRPr="00A52585">
        <w:rPr>
          <w:rFonts w:hint="cs"/>
          <w:rtl/>
        </w:rPr>
        <w:t>:</w:t>
      </w:r>
      <w:r w:rsidR="00777DCB" w:rsidRPr="00A52585">
        <w:rPr>
          <w:rFonts w:hint="cs"/>
          <w:rtl/>
        </w:rPr>
        <w:t xml:space="preserve"> أن القاضي الحنبلي حكم بحقن دمي وبإسلامي وقبول توبتي</w:t>
      </w:r>
      <w:r w:rsidR="00DB731D" w:rsidRPr="00A52585">
        <w:rPr>
          <w:rFonts w:hint="cs"/>
          <w:rtl/>
        </w:rPr>
        <w:t>،</w:t>
      </w:r>
      <w:r w:rsidR="00777DCB" w:rsidRPr="00A52585">
        <w:rPr>
          <w:rFonts w:hint="cs"/>
          <w:rtl/>
        </w:rPr>
        <w:t xml:space="preserve"> فأعيد إلى الحبس</w:t>
      </w:r>
      <w:r w:rsidRPr="00A52585">
        <w:rPr>
          <w:rFonts w:hint="cs"/>
          <w:rtl/>
        </w:rPr>
        <w:t xml:space="preserve"> </w:t>
      </w:r>
      <w:r w:rsidR="00777DCB" w:rsidRPr="00A52585">
        <w:rPr>
          <w:rFonts w:hint="cs"/>
          <w:rtl/>
        </w:rPr>
        <w:t xml:space="preserve">إلى أن أحضر الحنبلي فأخبر بما قاله فأحضر وعزر وضرب بالدرة وأركب حماراً وطيف به في البلد والصالحية وردوه إلى الحبس ولم يزل هذا في أتباعه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وهو قد تبع في هذا ابن تيمية</w:t>
      </w:r>
      <w:r w:rsidRPr="00A52585">
        <w:rPr>
          <w:rFonts w:hint="cs"/>
          <w:sz w:val="24"/>
          <w:szCs w:val="24"/>
          <w:rtl/>
        </w:rPr>
        <w:t>:</w:t>
      </w:r>
      <w:r w:rsidR="00777DCB" w:rsidRPr="00A52585">
        <w:rPr>
          <w:rFonts w:hint="cs"/>
          <w:sz w:val="24"/>
          <w:szCs w:val="24"/>
          <w:rtl/>
        </w:rPr>
        <w:t xml:space="preserve"> يقول الإمام سلامة </w:t>
      </w:r>
      <w:proofErr w:type="spellStart"/>
      <w:r w:rsidR="00777DCB" w:rsidRPr="00A52585">
        <w:rPr>
          <w:rFonts w:hint="cs"/>
          <w:sz w:val="24"/>
          <w:szCs w:val="24"/>
          <w:rtl/>
        </w:rPr>
        <w:t>العزامي</w:t>
      </w:r>
      <w:proofErr w:type="spellEnd"/>
      <w:r w:rsidR="00777DCB" w:rsidRPr="00A52585">
        <w:rPr>
          <w:rFonts w:hint="cs"/>
          <w:sz w:val="24"/>
          <w:szCs w:val="24"/>
          <w:rtl/>
        </w:rPr>
        <w:t xml:space="preserve"> عن ابن تيمية</w:t>
      </w:r>
      <w:r w:rsidRPr="00A52585">
        <w:rPr>
          <w:rFonts w:hint="cs"/>
          <w:sz w:val="24"/>
          <w:szCs w:val="24"/>
          <w:rtl/>
        </w:rPr>
        <w:t>:</w:t>
      </w:r>
      <w:r w:rsidR="00777DCB" w:rsidRPr="00A52585">
        <w:rPr>
          <w:rFonts w:hint="cs"/>
          <w:sz w:val="24"/>
          <w:szCs w:val="24"/>
          <w:rtl/>
        </w:rPr>
        <w:t xml:space="preserve"> واستفتي</w:t>
      </w:r>
      <w:r w:rsidRPr="00A52585">
        <w:rPr>
          <w:rFonts w:hint="cs"/>
          <w:sz w:val="24"/>
          <w:szCs w:val="24"/>
          <w:rtl/>
        </w:rPr>
        <w:t>:</w:t>
      </w:r>
      <w:r w:rsidR="00777DCB" w:rsidRPr="00A52585">
        <w:rPr>
          <w:rFonts w:hint="cs"/>
          <w:sz w:val="24"/>
          <w:szCs w:val="24"/>
          <w:rtl/>
        </w:rPr>
        <w:t xml:space="preserve"> هل وقع في ألفاظ </w:t>
      </w:r>
      <w:proofErr w:type="spellStart"/>
      <w:r w:rsidR="00777DCB" w:rsidRPr="00A52585">
        <w:rPr>
          <w:rFonts w:hint="cs"/>
          <w:sz w:val="24"/>
          <w:szCs w:val="24"/>
          <w:rtl/>
        </w:rPr>
        <w:t>التوارة</w:t>
      </w:r>
      <w:proofErr w:type="spellEnd"/>
      <w:r w:rsidR="00777DCB" w:rsidRPr="00A52585">
        <w:rPr>
          <w:rFonts w:hint="cs"/>
          <w:sz w:val="24"/>
          <w:szCs w:val="24"/>
          <w:rtl/>
        </w:rPr>
        <w:t xml:space="preserve"> تغيير</w:t>
      </w:r>
      <w:r w:rsidR="00F95886" w:rsidRPr="00A52585">
        <w:rPr>
          <w:rFonts w:hint="cs"/>
          <w:sz w:val="24"/>
          <w:szCs w:val="24"/>
          <w:rtl/>
        </w:rPr>
        <w:t>؟</w:t>
      </w:r>
      <w:r w:rsidR="00777DCB" w:rsidRPr="00A52585">
        <w:rPr>
          <w:rFonts w:hint="cs"/>
          <w:sz w:val="24"/>
          <w:szCs w:val="24"/>
          <w:rtl/>
        </w:rPr>
        <w:t xml:space="preserve"> فأفتى وطول بما لو قرأته لظننت إن المفتي من أكابر أحبار يهود المباهتين "</w:t>
      </w:r>
      <w:r w:rsidRPr="00A52585">
        <w:rPr>
          <w:rFonts w:hint="cs"/>
          <w:sz w:val="24"/>
          <w:szCs w:val="24"/>
          <w:rtl/>
        </w:rPr>
        <w:t xml:space="preserve"> </w:t>
      </w:r>
      <w:r w:rsidR="00777DCB" w:rsidRPr="00A52585">
        <w:rPr>
          <w:rFonts w:hint="cs"/>
          <w:sz w:val="24"/>
          <w:szCs w:val="24"/>
          <w:rtl/>
        </w:rPr>
        <w:t>أهـ البراهين الساطعة ص 190</w:t>
      </w:r>
      <w:r w:rsidR="00DB731D" w:rsidRPr="00A52585">
        <w:rPr>
          <w:rFonts w:hint="cs"/>
          <w:sz w:val="24"/>
          <w:szCs w:val="24"/>
          <w:rtl/>
        </w:rPr>
        <w:t>،</w:t>
      </w:r>
      <w:r w:rsidR="00777DCB" w:rsidRPr="00A52585">
        <w:rPr>
          <w:rFonts w:hint="cs"/>
          <w:sz w:val="24"/>
          <w:szCs w:val="24"/>
          <w:rtl/>
        </w:rPr>
        <w:t xml:space="preserve"> قال عز وجل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ومنهم أميون لا يعلمون الكتاب إلا أماني وإن هم إلا يظنون، فويل للذين يكتبون الكتاب بأيديهم ثم يقولون هذا من عند الله ليشتروا به ثمنا قليلا، فويل لهم مما كتبت أيديهم وويل لهم مما يكسبون</w:t>
      </w:r>
      <w:r w:rsidRPr="00A52585">
        <w:rPr>
          <w:rFonts w:hint="cs"/>
          <w:sz w:val="24"/>
          <w:szCs w:val="24"/>
          <w:rtl/>
        </w:rPr>
        <w:t>}</w:t>
      </w:r>
      <w:r w:rsidR="00777DCB" w:rsidRPr="00A52585">
        <w:rPr>
          <w:rFonts w:hint="cs"/>
          <w:sz w:val="24"/>
          <w:szCs w:val="24"/>
          <w:rtl/>
        </w:rPr>
        <w:t xml:space="preserve"> البقرة</w:t>
      </w:r>
      <w:r w:rsidR="00DB731D" w:rsidRPr="00A52585">
        <w:rPr>
          <w:rFonts w:hint="cs"/>
          <w:sz w:val="24"/>
          <w:szCs w:val="24"/>
          <w:rtl/>
        </w:rPr>
        <w:t>،</w:t>
      </w:r>
      <w:r w:rsidR="00777DCB" w:rsidRPr="00A52585">
        <w:rPr>
          <w:rFonts w:hint="cs"/>
          <w:sz w:val="24"/>
          <w:szCs w:val="24"/>
          <w:rtl/>
        </w:rPr>
        <w:t xml:space="preserve"> عن ابن عباس أنه قال</w:t>
      </w:r>
      <w:r w:rsidRPr="00A52585">
        <w:rPr>
          <w:rFonts w:hint="cs"/>
          <w:sz w:val="24"/>
          <w:szCs w:val="24"/>
          <w:rtl/>
        </w:rPr>
        <w:t>:</w:t>
      </w:r>
      <w:r w:rsidR="00777DCB" w:rsidRPr="00A52585">
        <w:rPr>
          <w:rFonts w:hint="cs"/>
          <w:sz w:val="24"/>
          <w:szCs w:val="24"/>
          <w:rtl/>
        </w:rPr>
        <w:t xml:space="preserve"> يا معشر المسلمين كيف تسألون أهل الكتاب عن شيء وكتاب الله الذي أنزله على نبيه أحدث أخبار الله </w:t>
      </w:r>
      <w:proofErr w:type="spellStart"/>
      <w:r w:rsidR="00777DCB" w:rsidRPr="00A52585">
        <w:rPr>
          <w:rFonts w:hint="cs"/>
          <w:sz w:val="24"/>
          <w:szCs w:val="24"/>
          <w:rtl/>
        </w:rPr>
        <w:t>تقرأونه</w:t>
      </w:r>
      <w:proofErr w:type="spellEnd"/>
      <w:r w:rsidR="00777DCB" w:rsidRPr="00A52585">
        <w:rPr>
          <w:rFonts w:hint="cs"/>
          <w:sz w:val="24"/>
          <w:szCs w:val="24"/>
          <w:rtl/>
        </w:rPr>
        <w:t xml:space="preserve"> غضاً لم يشب وقد حدثكم </w:t>
      </w:r>
      <w:r w:rsidR="00777DCB" w:rsidRPr="00A52585">
        <w:rPr>
          <w:rFonts w:hint="cs"/>
          <w:sz w:val="24"/>
          <w:szCs w:val="24"/>
          <w:rtl/>
        </w:rPr>
        <w:lastRenderedPageBreak/>
        <w:t>الله تعالى أن أهل الكتاب قد بدلوا كتاب الله وغيروه وكتبوا بأيديهم الكتاب وقالوا هو من عند الله ليشتروا به ثمنا قليلا، أفلا ينهاكم ما جاءكم من العلم عن مساءلتهم ولا والله ما رأينا منهم أحداً قط سألكم عن الذي أنزل عليكم "</w:t>
      </w:r>
      <w:r w:rsidRPr="00A52585">
        <w:rPr>
          <w:rFonts w:hint="cs"/>
          <w:sz w:val="24"/>
          <w:szCs w:val="24"/>
          <w:rtl/>
        </w:rPr>
        <w:t xml:space="preserve"> </w:t>
      </w:r>
      <w:r w:rsidR="00777DCB" w:rsidRPr="00A52585">
        <w:rPr>
          <w:rFonts w:hint="cs"/>
          <w:sz w:val="24"/>
          <w:szCs w:val="24"/>
          <w:rtl/>
        </w:rPr>
        <w:t>رواه البخاري من طرق عن الزهري ونقله ابن كثير في تفسير الآية 79 البقرة وذكر أيضاً في تفسيرها عن ابن عباس وقتادة وعكرمة أن الآية نزلت في اليهود</w:t>
      </w:r>
      <w:r w:rsidR="00DB731D" w:rsidRPr="00A52585">
        <w:rPr>
          <w:rFonts w:hint="cs"/>
          <w:sz w:val="24"/>
          <w:szCs w:val="24"/>
          <w:rtl/>
        </w:rPr>
        <w:t>،</w:t>
      </w:r>
      <w:r w:rsidR="00777DCB" w:rsidRPr="00A52585">
        <w:rPr>
          <w:rFonts w:hint="cs"/>
          <w:sz w:val="24"/>
          <w:szCs w:val="24"/>
          <w:rtl/>
        </w:rPr>
        <w:t xml:space="preserve"> انظر تفسير ابن كثير نفسه</w:t>
      </w:r>
      <w:r w:rsidR="00DB731D" w:rsidRPr="00A52585">
        <w:rPr>
          <w:rFonts w:hint="cs"/>
          <w:sz w:val="24"/>
          <w:szCs w:val="24"/>
          <w:rtl/>
        </w:rPr>
        <w:t>،</w:t>
      </w:r>
      <w:r w:rsidR="00777DCB" w:rsidRPr="00A52585">
        <w:rPr>
          <w:rFonts w:hint="cs"/>
          <w:sz w:val="24"/>
          <w:szCs w:val="24"/>
          <w:rtl/>
        </w:rPr>
        <w:t xml:space="preserve"> ورغم هذا سبق نقل كلام ابن تيمية في تعضيد بدعة التجسيم بما جاء في التوراة المحرفة</w:t>
      </w:r>
      <w:r w:rsidR="00DB731D" w:rsidRPr="00A52585">
        <w:rPr>
          <w:rFonts w:hint="cs"/>
          <w:sz w:val="24"/>
          <w:szCs w:val="24"/>
          <w:rtl/>
        </w:rPr>
        <w:t>،</w:t>
      </w:r>
      <w:r w:rsidR="00777DCB" w:rsidRPr="00A52585">
        <w:rPr>
          <w:rFonts w:hint="cs"/>
          <w:sz w:val="24"/>
          <w:szCs w:val="24"/>
          <w:rtl/>
        </w:rPr>
        <w:t xml:space="preserve"> ولابن كثير مواقف أخرى غريبة في تفسيره وتاريخه تأثر فيها من وجهين بشيخه منها</w:t>
      </w:r>
      <w:r w:rsidRPr="00A52585">
        <w:rPr>
          <w:rFonts w:hint="cs"/>
          <w:sz w:val="24"/>
          <w:szCs w:val="24"/>
          <w:rtl/>
        </w:rPr>
        <w:t>:</w:t>
      </w:r>
      <w:r w:rsidR="00777DCB" w:rsidRPr="00A52585">
        <w:rPr>
          <w:rFonts w:hint="cs"/>
          <w:sz w:val="24"/>
          <w:szCs w:val="24"/>
          <w:rtl/>
        </w:rPr>
        <w:t xml:space="preserve"> 1- عند تفسيره لآية </w:t>
      </w:r>
      <w:r w:rsidRPr="00A52585">
        <w:rPr>
          <w:rFonts w:hint="cs"/>
          <w:sz w:val="24"/>
          <w:szCs w:val="24"/>
          <w:rtl/>
        </w:rPr>
        <w:t>{</w:t>
      </w:r>
      <w:r w:rsidR="00777DCB" w:rsidRPr="00A52585">
        <w:rPr>
          <w:rFonts w:hint="cs"/>
          <w:sz w:val="24"/>
          <w:szCs w:val="24"/>
          <w:rtl/>
        </w:rPr>
        <w:t>وما يؤمن أكثرهم بالله إلا وهم مشركون</w:t>
      </w:r>
      <w:r w:rsidRPr="00A52585">
        <w:rPr>
          <w:rFonts w:hint="cs"/>
          <w:sz w:val="24"/>
          <w:szCs w:val="24"/>
          <w:rtl/>
        </w:rPr>
        <w:t>}</w:t>
      </w:r>
      <w:r w:rsidR="00777DCB" w:rsidRPr="00A52585">
        <w:rPr>
          <w:rFonts w:hint="cs"/>
          <w:sz w:val="24"/>
          <w:szCs w:val="24"/>
          <w:rtl/>
        </w:rPr>
        <w:t>يوسف</w:t>
      </w:r>
      <w:r w:rsidRPr="00A52585">
        <w:rPr>
          <w:rFonts w:hint="cs"/>
          <w:sz w:val="24"/>
          <w:szCs w:val="24"/>
          <w:rtl/>
        </w:rPr>
        <w:t>:</w:t>
      </w:r>
      <w:r w:rsidR="00777DCB" w:rsidRPr="00A52585">
        <w:rPr>
          <w:rFonts w:hint="cs"/>
          <w:sz w:val="24"/>
          <w:szCs w:val="24"/>
          <w:rtl/>
        </w:rPr>
        <w:t xml:space="preserve"> 106</w:t>
      </w:r>
      <w:r w:rsidR="00DB731D" w:rsidRPr="00A52585">
        <w:rPr>
          <w:rFonts w:hint="cs"/>
          <w:sz w:val="24"/>
          <w:szCs w:val="24"/>
          <w:rtl/>
        </w:rPr>
        <w:t>،</w:t>
      </w:r>
      <w:r w:rsidR="00777DCB" w:rsidRPr="00A52585">
        <w:rPr>
          <w:rFonts w:hint="cs"/>
          <w:sz w:val="24"/>
          <w:szCs w:val="24"/>
          <w:rtl/>
        </w:rPr>
        <w:t xml:space="preserve"> ذكر رواية ابن عباس في تفسير الآية بأن المشركين يعترفون بأن الله هو خالق السماوات والأرض ومع ذلك يشركون معه في العبادة غيره</w:t>
      </w:r>
      <w:r w:rsidR="00DB731D" w:rsidRPr="00A52585">
        <w:rPr>
          <w:rFonts w:hint="cs"/>
          <w:sz w:val="24"/>
          <w:szCs w:val="24"/>
          <w:rtl/>
        </w:rPr>
        <w:t>،</w:t>
      </w:r>
      <w:r w:rsidR="00777DCB" w:rsidRPr="00A52585">
        <w:rPr>
          <w:rFonts w:hint="cs"/>
          <w:sz w:val="24"/>
          <w:szCs w:val="24"/>
          <w:rtl/>
        </w:rPr>
        <w:t xml:space="preserve"> ولم يشر من قريب أو يعيد لما رواه ابن جرير وغيره عن ابن عباس من تفسيره للآية بأنهم المشبهة الذين يشبهون الله بخلقه مع صحة هذه الرواية عنه</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2- عن تفسيره للآيات التي تصور كلام سيدنا موسى مع عدو الله فرعون وقول فرعون (وما رب العالمين</w:t>
      </w:r>
      <w:r w:rsidR="00F95886" w:rsidRPr="00A52585">
        <w:rPr>
          <w:rFonts w:hint="cs"/>
          <w:sz w:val="24"/>
          <w:szCs w:val="24"/>
          <w:rtl/>
        </w:rPr>
        <w:t>؟</w:t>
      </w:r>
      <w:r w:rsidR="00777DCB" w:rsidRPr="00A52585">
        <w:rPr>
          <w:rFonts w:hint="cs"/>
          <w:sz w:val="24"/>
          <w:szCs w:val="24"/>
          <w:rtl/>
        </w:rPr>
        <w:t>) وعلى الرغم من أن المحققين من المفسرين وجمهورهم ذهب إلى أن (ما) يسأل بها عن الماهية وأن فرعون يحاول أن يتخيل الذات الإلهية ويتصورها ولسخافة هذا السؤال تجاهله سيدنا موسى وأجاب عن غيره وإذا بابن كثير يعترض على ذلك ويقول أن (ما) ليست للسؤال عن الماهية حتى لا يكشف فساد مذهب شيخه ابن تيمية</w:t>
      </w:r>
      <w:r w:rsidR="00DB731D" w:rsidRPr="00A52585">
        <w:rPr>
          <w:rFonts w:hint="cs"/>
          <w:sz w:val="24"/>
          <w:szCs w:val="24"/>
          <w:rtl/>
        </w:rPr>
        <w:t>،</w:t>
      </w:r>
      <w:r w:rsidRPr="00A52585">
        <w:rPr>
          <w:rFonts w:hint="cs"/>
          <w:sz w:val="24"/>
          <w:szCs w:val="24"/>
          <w:rtl/>
        </w:rPr>
        <w:t xml:space="preserve"> </w:t>
      </w:r>
      <w:r w:rsidR="00777DCB" w:rsidRPr="00A52585">
        <w:rPr>
          <w:rFonts w:hint="cs"/>
          <w:sz w:val="24"/>
          <w:szCs w:val="24"/>
          <w:rtl/>
        </w:rPr>
        <w:t xml:space="preserve">3- عند تفسير قوله تعالى </w:t>
      </w:r>
      <w:r w:rsidRPr="00A52585">
        <w:rPr>
          <w:rFonts w:hint="cs"/>
          <w:sz w:val="24"/>
          <w:szCs w:val="24"/>
          <w:rtl/>
        </w:rPr>
        <w:t>{</w:t>
      </w:r>
      <w:r w:rsidR="00777DCB" w:rsidRPr="00A52585">
        <w:rPr>
          <w:rFonts w:hint="cs"/>
          <w:sz w:val="24"/>
          <w:szCs w:val="24"/>
          <w:rtl/>
        </w:rPr>
        <w:t>وما قدروا الله حق قدره</w:t>
      </w:r>
      <w:r w:rsidRPr="00A52585">
        <w:rPr>
          <w:rFonts w:hint="cs"/>
          <w:sz w:val="24"/>
          <w:szCs w:val="24"/>
          <w:rtl/>
        </w:rPr>
        <w:t>}</w:t>
      </w:r>
      <w:r w:rsidR="00777DCB" w:rsidRPr="00A52585">
        <w:rPr>
          <w:rFonts w:hint="cs"/>
          <w:sz w:val="24"/>
          <w:szCs w:val="24"/>
          <w:rtl/>
        </w:rPr>
        <w:t xml:space="preserve"> يروي ابن عباس رضي الله عنهما أن اليهود وصفوا الرب سبحانه فنزلت الآية وقد روى ذلك بإسناد حسن البيهقي في الأسماء والصفات فيتجاهل ذلك ابن كثير ولا يشير إليه أبداً ويذكر أن </w:t>
      </w:r>
      <w:proofErr w:type="spellStart"/>
      <w:r w:rsidR="00777DCB" w:rsidRPr="00A52585">
        <w:rPr>
          <w:rFonts w:hint="cs"/>
          <w:sz w:val="24"/>
          <w:szCs w:val="24"/>
          <w:rtl/>
        </w:rPr>
        <w:t>الحبرأتى</w:t>
      </w:r>
      <w:proofErr w:type="spellEnd"/>
      <w:r w:rsidR="00777DCB" w:rsidRPr="00A52585">
        <w:rPr>
          <w:rFonts w:hint="cs"/>
          <w:sz w:val="24"/>
          <w:szCs w:val="24"/>
          <w:rtl/>
        </w:rPr>
        <w:t xml:space="preserve"> إلى رسول الله صلى الله عليه وسلم </w:t>
      </w:r>
      <w:r w:rsidR="00777DCB" w:rsidRPr="00A52585">
        <w:rPr>
          <w:sz w:val="24"/>
          <w:szCs w:val="24"/>
        </w:rPr>
        <w:t>…</w:t>
      </w:r>
      <w:r w:rsidR="00777DCB" w:rsidRPr="00A52585">
        <w:rPr>
          <w:rFonts w:hint="cs"/>
          <w:sz w:val="24"/>
          <w:szCs w:val="24"/>
          <w:rtl/>
        </w:rPr>
        <w:t xml:space="preserve"> الحديث وفيه أن الله سبحانه يضع السماوات على أصبع</w:t>
      </w:r>
      <w:r w:rsidR="00777DCB" w:rsidRPr="00A52585">
        <w:rPr>
          <w:sz w:val="24"/>
          <w:szCs w:val="24"/>
        </w:rPr>
        <w:t>…</w:t>
      </w:r>
      <w:r w:rsidR="00777DCB" w:rsidRPr="00A52585">
        <w:rPr>
          <w:rFonts w:hint="cs"/>
          <w:sz w:val="24"/>
          <w:szCs w:val="24"/>
          <w:rtl/>
        </w:rPr>
        <w:t xml:space="preserve"> الخ وأن النبي ضحك تعجباً وتصديقاً</w:t>
      </w:r>
      <w:r w:rsidR="00F95886" w:rsidRPr="00A52585">
        <w:rPr>
          <w:rFonts w:hint="cs"/>
          <w:sz w:val="24"/>
          <w:szCs w:val="24"/>
          <w:rtl/>
        </w:rPr>
        <w:t>!</w:t>
      </w:r>
      <w:r w:rsidR="00777DCB" w:rsidRPr="00A52585">
        <w:rPr>
          <w:rFonts w:hint="cs"/>
          <w:sz w:val="24"/>
          <w:szCs w:val="24"/>
          <w:rtl/>
        </w:rPr>
        <w:t xml:space="preserve"> وهذه نماذج من تأثر ابن كثير بشيخه ابن تيمية وإن كان هو أكثر اعتدالا من تلميذ ابن تيمية الآخر</w:t>
      </w:r>
      <w:r w:rsidRPr="00A52585">
        <w:rPr>
          <w:rFonts w:hint="cs"/>
          <w:sz w:val="24"/>
          <w:szCs w:val="24"/>
          <w:rtl/>
        </w:rPr>
        <w:t>:</w:t>
      </w:r>
      <w:r w:rsidR="00777DCB" w:rsidRPr="00A52585">
        <w:rPr>
          <w:rFonts w:hint="cs"/>
          <w:sz w:val="24"/>
          <w:szCs w:val="24"/>
          <w:rtl/>
        </w:rPr>
        <w:t xml:space="preserve"> ابن قيم الجوزية الذي لم يخرج عن آراء شيخه ابن تيمية بل نافح عنها بالباطل عاملهما الله بعدله</w:t>
      </w:r>
      <w:r w:rsidR="00DB731D" w:rsidRPr="00A52585">
        <w:rPr>
          <w:rFonts w:hint="cs"/>
          <w:sz w:val="24"/>
          <w:szCs w:val="24"/>
          <w:rtl/>
        </w:rPr>
        <w:t>،</w:t>
      </w:r>
      <w:r w:rsidRPr="00A52585">
        <w:rPr>
          <w:rFonts w:hint="cs"/>
          <w:sz w:val="24"/>
          <w:szCs w:val="24"/>
          <w:rtl/>
        </w:rPr>
        <w:t xml:space="preserve"> </w:t>
      </w:r>
      <w:r w:rsidR="00777DCB" w:rsidRPr="00A52585">
        <w:rPr>
          <w:rFonts w:hint="cs"/>
          <w:spacing w:val="-2"/>
          <w:sz w:val="24"/>
          <w:szCs w:val="24"/>
          <w:rtl/>
        </w:rPr>
        <w:t>4- روايته لأحداث محاكمة ابن تيمية وعدم ذكر توبته وإقراره بالخطأ في العقيدة وغير ذلك</w:t>
      </w:r>
      <w:r w:rsidRPr="00A52585">
        <w:rPr>
          <w:rFonts w:hint="cs"/>
          <w:spacing w:val="-2"/>
          <w:sz w:val="24"/>
          <w:szCs w:val="24"/>
          <w:rtl/>
        </w:rPr>
        <w:t>]</w:t>
      </w:r>
      <w:r w:rsidR="00DB731D" w:rsidRPr="00A52585">
        <w:rPr>
          <w:rFonts w:hint="cs"/>
          <w:spacing w:val="-2"/>
          <w:sz w:val="24"/>
          <w:szCs w:val="24"/>
          <w:rtl/>
        </w:rPr>
        <w:t>،</w:t>
      </w:r>
      <w:r w:rsidR="00777DCB" w:rsidRPr="00A52585">
        <w:rPr>
          <w:rFonts w:hint="cs"/>
          <w:sz w:val="24"/>
          <w:szCs w:val="24"/>
          <w:rtl/>
        </w:rPr>
        <w:t xml:space="preserve"> </w:t>
      </w:r>
      <w:r w:rsidR="00777DCB" w:rsidRPr="00A52585">
        <w:rPr>
          <w:rFonts w:hint="cs"/>
          <w:rtl/>
        </w:rPr>
        <w:t>وحضر شخص إلى دمشق يقال له أحمد الظاهري وكان قد حفظ باب المتشابه وأحاديثه فكان يسردها على العوام وآحاد الناس من الفقهاء فعظمه أتباع ابن تيمية وأكرموه</w:t>
      </w:r>
      <w:r w:rsidR="00DB731D" w:rsidRPr="00A52585">
        <w:rPr>
          <w:rFonts w:hint="cs"/>
          <w:rtl/>
        </w:rPr>
        <w:t>،</w:t>
      </w:r>
      <w:r w:rsidR="00777DCB" w:rsidRPr="00A52585">
        <w:rPr>
          <w:rFonts w:hint="cs"/>
          <w:rtl/>
        </w:rPr>
        <w:t xml:space="preserve"> ثم إنه توجه إلى القاهرة فشرع يسرد الآيات والأحاديث فعلم به الإمام العلامة الشيخ سراج الدين </w:t>
      </w:r>
      <w:proofErr w:type="spellStart"/>
      <w:r w:rsidR="00777DCB" w:rsidRPr="00A52585">
        <w:rPr>
          <w:rFonts w:hint="cs"/>
          <w:rtl/>
        </w:rPr>
        <w:t>البلقيني</w:t>
      </w:r>
      <w:proofErr w:type="spellEnd"/>
      <w:r w:rsidR="00777DCB" w:rsidRPr="00A52585">
        <w:rPr>
          <w:rFonts w:hint="cs"/>
          <w:rtl/>
        </w:rPr>
        <w:t xml:space="preserve"> فطلبه وأعلم به برقوق فأخذوه وقيدوه. وكانوا يضربونه بالسياط أول النهار ثم يستعملونه في العمارة فإذا كان آخر النهار أعادوا عليه الضرب. ثم بلغني أن آخر الأمر أن ضربوا عنقه</w:t>
      </w:r>
      <w:r w:rsidR="00DB731D" w:rsidRPr="00A52585">
        <w:rPr>
          <w:rFonts w:hint="cs"/>
          <w:rtl/>
        </w:rPr>
        <w:t>،</w:t>
      </w:r>
      <w:r w:rsidR="00777DCB" w:rsidRPr="00A52585">
        <w:rPr>
          <w:rFonts w:hint="cs"/>
          <w:rtl/>
        </w:rPr>
        <w:t xml:space="preserve"> وكان الشيخ زين الدين بن رجب الحنبلي ممن يعتقد كفر ابن تيمية وله عليه الرد. وكان يقول بأعلى صوته في بعض المجالس</w:t>
      </w:r>
      <w:r w:rsidRPr="00A52585">
        <w:rPr>
          <w:rFonts w:hint="cs"/>
          <w:rtl/>
        </w:rPr>
        <w:t>:</w:t>
      </w:r>
      <w:r w:rsidR="00777DCB" w:rsidRPr="00A52585">
        <w:rPr>
          <w:rFonts w:hint="cs"/>
          <w:rtl/>
        </w:rPr>
        <w:t xml:space="preserve"> معذور السبكي - يعني في تكفيره</w:t>
      </w:r>
      <w:r w:rsidR="00DB731D" w:rsidRPr="00A52585">
        <w:rPr>
          <w:rFonts w:hint="cs"/>
          <w:rtl/>
        </w:rPr>
        <w:t>،</w:t>
      </w:r>
      <w:r w:rsidR="00777DCB" w:rsidRPr="00A52585">
        <w:rPr>
          <w:rFonts w:hint="cs"/>
          <w:rtl/>
        </w:rPr>
        <w:t xml:space="preserve"> والحاصل أنه وأتباعه من الغلاة في التشبيه والتجسيم والازدراء بالنبي صلى الله عليه وسلم وببغض الشيخين</w:t>
      </w:r>
      <w:r w:rsidR="00777DCB" w:rsidRPr="00A52585">
        <w:rPr>
          <w:rFonts w:hint="cs"/>
          <w:vertAlign w:val="superscript"/>
          <w:rtl/>
        </w:rPr>
        <w:t xml:space="preserve"> </w:t>
      </w:r>
      <w:r w:rsidRPr="00A52585">
        <w:rPr>
          <w:rFonts w:hint="cs"/>
          <w:sz w:val="24"/>
          <w:szCs w:val="24"/>
          <w:rtl/>
        </w:rPr>
        <w:t>[</w:t>
      </w:r>
      <w:r w:rsidR="00777DCB" w:rsidRPr="00A52585">
        <w:rPr>
          <w:rFonts w:hint="cs"/>
          <w:sz w:val="24"/>
          <w:szCs w:val="24"/>
          <w:rtl/>
        </w:rPr>
        <w:t>قال المحقق</w:t>
      </w:r>
      <w:r w:rsidRPr="00A52585">
        <w:rPr>
          <w:rFonts w:hint="cs"/>
          <w:sz w:val="24"/>
          <w:szCs w:val="24"/>
          <w:rtl/>
        </w:rPr>
        <w:t>:</w:t>
      </w:r>
      <w:r w:rsidR="00777DCB" w:rsidRPr="00A52585">
        <w:rPr>
          <w:rFonts w:hint="cs"/>
          <w:sz w:val="24"/>
          <w:szCs w:val="24"/>
          <w:rtl/>
        </w:rPr>
        <w:t xml:space="preserve"> وقد تقدم نماذج من كلامه فيهم وفي عثمان وعلى وفاطمة وغيرهم</w:t>
      </w:r>
      <w:r w:rsidRPr="00A52585">
        <w:rPr>
          <w:rFonts w:hint="cs"/>
          <w:sz w:val="24"/>
          <w:szCs w:val="24"/>
          <w:rtl/>
        </w:rPr>
        <w:t>]</w:t>
      </w:r>
      <w:r w:rsidR="00DB731D" w:rsidRPr="00A52585">
        <w:rPr>
          <w:rFonts w:hint="cs"/>
          <w:rtl/>
        </w:rPr>
        <w:t>،</w:t>
      </w:r>
      <w:r w:rsidR="00777DCB" w:rsidRPr="00A52585">
        <w:rPr>
          <w:rFonts w:hint="cs"/>
          <w:rtl/>
        </w:rPr>
        <w:t xml:space="preserve"> وبإنكار الأبدال</w:t>
      </w:r>
      <w:r w:rsidR="00777DCB" w:rsidRPr="00A52585">
        <w:rPr>
          <w:rFonts w:hint="cs"/>
          <w:vertAlign w:val="superscript"/>
          <w:rtl/>
        </w:rPr>
        <w:t xml:space="preserve"> </w:t>
      </w:r>
      <w:r w:rsidR="00777DCB" w:rsidRPr="00A52585">
        <w:rPr>
          <w:rFonts w:hint="cs"/>
          <w:rtl/>
        </w:rPr>
        <w:t>الذين هم خلفوا الأنبياء</w:t>
      </w:r>
      <w:r w:rsidR="00DB731D" w:rsidRPr="00A52585">
        <w:rPr>
          <w:rFonts w:hint="cs"/>
          <w:rtl/>
        </w:rPr>
        <w:t>،</w:t>
      </w:r>
      <w:r w:rsidR="00777DCB" w:rsidRPr="00A52585">
        <w:rPr>
          <w:rFonts w:hint="cs"/>
          <w:sz w:val="24"/>
          <w:szCs w:val="24"/>
          <w:rtl/>
        </w:rPr>
        <w:t xml:space="preserve"> [قال المحقق</w:t>
      </w:r>
      <w:r w:rsidRPr="00A52585">
        <w:rPr>
          <w:rFonts w:hint="cs"/>
          <w:sz w:val="24"/>
          <w:szCs w:val="24"/>
          <w:rtl/>
        </w:rPr>
        <w:t>:</w:t>
      </w:r>
      <w:r w:rsidR="00777DCB" w:rsidRPr="00A52585">
        <w:rPr>
          <w:rFonts w:hint="cs"/>
          <w:sz w:val="24"/>
          <w:szCs w:val="24"/>
          <w:rtl/>
        </w:rPr>
        <w:t xml:space="preserve"> يقول السيد الحافظ عبد الله الغماري في كتابه (إتحاف الأذكياء بجواز التوسل بالأنبياء والأولياء) عن أدلة التوسل</w:t>
      </w:r>
      <w:r w:rsidRPr="00A52585">
        <w:rPr>
          <w:rFonts w:hint="cs"/>
          <w:sz w:val="24"/>
          <w:szCs w:val="24"/>
          <w:rtl/>
        </w:rPr>
        <w:t>:</w:t>
      </w:r>
      <w:r w:rsidR="00777DCB" w:rsidRPr="00A52585">
        <w:rPr>
          <w:rFonts w:hint="cs"/>
          <w:sz w:val="24"/>
          <w:szCs w:val="24"/>
          <w:rtl/>
        </w:rPr>
        <w:t xml:space="preserve"> </w:t>
      </w:r>
      <w:r w:rsidRPr="00A52585">
        <w:rPr>
          <w:rFonts w:hint="cs"/>
          <w:sz w:val="24"/>
          <w:szCs w:val="24"/>
          <w:rtl/>
        </w:rPr>
        <w:t>(</w:t>
      </w:r>
      <w:r w:rsidR="00777DCB" w:rsidRPr="00A52585">
        <w:rPr>
          <w:rFonts w:hint="cs"/>
          <w:sz w:val="24"/>
          <w:szCs w:val="24"/>
          <w:rtl/>
        </w:rPr>
        <w:t>الدليل الحادي عشر</w:t>
      </w:r>
      <w:r w:rsidRPr="00A52585">
        <w:rPr>
          <w:rFonts w:hint="cs"/>
          <w:sz w:val="24"/>
          <w:szCs w:val="24"/>
          <w:rtl/>
        </w:rPr>
        <w:t>):</w:t>
      </w:r>
      <w:r w:rsidR="00777DCB" w:rsidRPr="00A52585">
        <w:rPr>
          <w:rFonts w:hint="cs"/>
          <w:sz w:val="24"/>
          <w:szCs w:val="24"/>
          <w:rtl/>
        </w:rPr>
        <w:t xml:space="preserve"> أخرج أحمد في مسنده عن شريح بن عبيد قال ذكر أهل الشام عند علي بن أبي طالب وهو بالعراق </w:t>
      </w:r>
      <w:r w:rsidR="00777DCB" w:rsidRPr="00A52585">
        <w:rPr>
          <w:rFonts w:hint="cs"/>
          <w:sz w:val="24"/>
          <w:szCs w:val="24"/>
          <w:rtl/>
        </w:rPr>
        <w:lastRenderedPageBreak/>
        <w:t>فقالوا العنهم يا أمير المؤمنين قال</w:t>
      </w:r>
      <w:r w:rsidRPr="00A52585">
        <w:rPr>
          <w:rFonts w:hint="cs"/>
          <w:sz w:val="24"/>
          <w:szCs w:val="24"/>
          <w:rtl/>
        </w:rPr>
        <w:t>:</w:t>
      </w:r>
      <w:r w:rsidR="00777DCB" w:rsidRPr="00A52585">
        <w:rPr>
          <w:rFonts w:hint="cs"/>
          <w:sz w:val="24"/>
          <w:szCs w:val="24"/>
          <w:rtl/>
        </w:rPr>
        <w:t xml:space="preserve"> لا سمعت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يقول</w:t>
      </w:r>
      <w:r w:rsidRPr="00A52585">
        <w:rPr>
          <w:rFonts w:hint="cs"/>
          <w:sz w:val="24"/>
          <w:szCs w:val="24"/>
          <w:rtl/>
        </w:rPr>
        <w:t xml:space="preserve"> </w:t>
      </w:r>
      <w:r w:rsidR="00777DCB" w:rsidRPr="00A52585">
        <w:rPr>
          <w:rFonts w:hint="cs"/>
          <w:sz w:val="24"/>
          <w:szCs w:val="24"/>
          <w:rtl/>
        </w:rPr>
        <w:t xml:space="preserve">" الأبدال بالشام وهم أربعون رجلا كلما مات رجل أبدل الله مكانه رجلا يسقى بهم الغيث وينتصر بهم على الأعداء ويصرف عن أهل الشام بهم العذاب، إسناده صحيح غير أن فيه انقطاعا لأن شريح بن عبيد لم يلق عليا لكن له شواهد فروى الحاكم عن عبد الله بن </w:t>
      </w:r>
      <w:proofErr w:type="spellStart"/>
      <w:r w:rsidR="00777DCB" w:rsidRPr="00A52585">
        <w:rPr>
          <w:rFonts w:hint="cs"/>
          <w:sz w:val="24"/>
          <w:szCs w:val="24"/>
          <w:rtl/>
        </w:rPr>
        <w:t>زرير</w:t>
      </w:r>
      <w:proofErr w:type="spellEnd"/>
      <w:r w:rsidR="00777DCB" w:rsidRPr="00A52585">
        <w:rPr>
          <w:rFonts w:hint="cs"/>
          <w:sz w:val="24"/>
          <w:szCs w:val="24"/>
          <w:rtl/>
        </w:rPr>
        <w:t xml:space="preserve"> الغافقي أنه سمع علي بن أبي طالب يقول</w:t>
      </w:r>
      <w:r w:rsidRPr="00A52585">
        <w:rPr>
          <w:rFonts w:hint="cs"/>
          <w:sz w:val="24"/>
          <w:szCs w:val="24"/>
          <w:rtl/>
        </w:rPr>
        <w:t xml:space="preserve">: </w:t>
      </w:r>
      <w:r w:rsidR="00777DCB" w:rsidRPr="00A52585">
        <w:rPr>
          <w:rFonts w:hint="cs"/>
          <w:sz w:val="24"/>
          <w:szCs w:val="24"/>
          <w:rtl/>
        </w:rPr>
        <w:t>" لا تسبوا أهل الشام</w:t>
      </w:r>
      <w:r w:rsidRPr="00A52585">
        <w:rPr>
          <w:rFonts w:hint="cs"/>
          <w:sz w:val="24"/>
          <w:szCs w:val="24"/>
          <w:rtl/>
        </w:rPr>
        <w:t xml:space="preserve"> </w:t>
      </w:r>
      <w:r w:rsidR="00777DCB" w:rsidRPr="00A52585">
        <w:rPr>
          <w:rFonts w:hint="cs"/>
          <w:sz w:val="24"/>
          <w:szCs w:val="24"/>
          <w:rtl/>
        </w:rPr>
        <w:t>فإن فيهم الأبدال وسبّوا ظلمتهم "</w:t>
      </w:r>
      <w:r w:rsidRPr="00A52585">
        <w:rPr>
          <w:rFonts w:hint="cs"/>
          <w:sz w:val="24"/>
          <w:szCs w:val="24"/>
          <w:rtl/>
        </w:rPr>
        <w:t xml:space="preserve"> </w:t>
      </w:r>
      <w:r w:rsidR="00777DCB" w:rsidRPr="00A52585">
        <w:rPr>
          <w:rFonts w:hint="cs"/>
          <w:sz w:val="24"/>
          <w:szCs w:val="24"/>
          <w:rtl/>
        </w:rPr>
        <w:t xml:space="preserve">قال الحاكم صحيح وأقره الذهبي، وروى الطبراني في الأوسط عن أنس قال </w:t>
      </w:r>
      <w:proofErr w:type="spellStart"/>
      <w:r w:rsidR="00777DCB" w:rsidRPr="00A52585">
        <w:rPr>
          <w:rFonts w:hint="cs"/>
          <w:sz w:val="24"/>
          <w:szCs w:val="24"/>
          <w:rtl/>
        </w:rPr>
        <w:t>قال</w:t>
      </w:r>
      <w:proofErr w:type="spellEnd"/>
      <w:r w:rsidR="00777DCB" w:rsidRPr="00A52585">
        <w:rPr>
          <w:rFonts w:hint="cs"/>
          <w:sz w:val="24"/>
          <w:szCs w:val="24"/>
          <w:rtl/>
        </w:rPr>
        <w:t xml:space="preserve"> رسول الله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w:t>
      </w:r>
      <w:r w:rsidRPr="00A52585">
        <w:rPr>
          <w:rFonts w:hint="cs"/>
          <w:sz w:val="24"/>
          <w:szCs w:val="24"/>
          <w:rtl/>
        </w:rPr>
        <w:t xml:space="preserve"> </w:t>
      </w:r>
      <w:r w:rsidR="00777DCB" w:rsidRPr="00A52585">
        <w:rPr>
          <w:rFonts w:hint="cs"/>
          <w:sz w:val="24"/>
          <w:szCs w:val="24"/>
          <w:rtl/>
        </w:rPr>
        <w:t>" لن تخلو الأرض من أربعين رجلا مثل خليل الرحمن فبهم تسقون وبهم تنتصرون ما مات منهم أحد إلا أبدل الله مكانه آخر "</w:t>
      </w:r>
      <w:r w:rsidRPr="00A52585">
        <w:rPr>
          <w:rFonts w:hint="cs"/>
          <w:sz w:val="24"/>
          <w:szCs w:val="24"/>
          <w:rtl/>
        </w:rPr>
        <w:t xml:space="preserve"> </w:t>
      </w:r>
      <w:r w:rsidR="00777DCB" w:rsidRPr="00A52585">
        <w:rPr>
          <w:rFonts w:hint="cs"/>
          <w:sz w:val="24"/>
          <w:szCs w:val="24"/>
          <w:rtl/>
        </w:rPr>
        <w:t xml:space="preserve">قال قتادة لسنا نشك أن الحسن- يعني البصري </w:t>
      </w:r>
      <w:r w:rsidR="00777DCB" w:rsidRPr="00A52585">
        <w:rPr>
          <w:sz w:val="24"/>
          <w:szCs w:val="24"/>
        </w:rPr>
        <w:t>–</w:t>
      </w:r>
      <w:r w:rsidR="00777DCB" w:rsidRPr="00A52585">
        <w:rPr>
          <w:rFonts w:hint="cs"/>
          <w:sz w:val="24"/>
          <w:szCs w:val="24"/>
          <w:rtl/>
        </w:rPr>
        <w:t xml:space="preserve"> منهم</w:t>
      </w:r>
      <w:r w:rsidR="00DB731D" w:rsidRPr="00A52585">
        <w:rPr>
          <w:rFonts w:hint="cs"/>
          <w:sz w:val="24"/>
          <w:szCs w:val="24"/>
          <w:rtl/>
        </w:rPr>
        <w:t>،</w:t>
      </w:r>
      <w:r w:rsidR="00777DCB" w:rsidRPr="00A52585">
        <w:rPr>
          <w:rFonts w:hint="cs"/>
          <w:sz w:val="24"/>
          <w:szCs w:val="24"/>
          <w:rtl/>
        </w:rPr>
        <w:t xml:space="preserve"> قال الحافظ الهيثمي في مجمع الزوائد</w:t>
      </w:r>
      <w:r w:rsidRPr="00A52585">
        <w:rPr>
          <w:rFonts w:hint="cs"/>
          <w:sz w:val="24"/>
          <w:szCs w:val="24"/>
          <w:rtl/>
        </w:rPr>
        <w:t>:</w:t>
      </w:r>
      <w:r w:rsidR="00777DCB" w:rsidRPr="00A52585">
        <w:rPr>
          <w:rFonts w:hint="cs"/>
          <w:sz w:val="24"/>
          <w:szCs w:val="24"/>
          <w:rtl/>
        </w:rPr>
        <w:t xml:space="preserve"> إسناده حسن وللحديث طرق كثيرة أفردت بالتأليف، ومعنى المثلية في قوله خليل الرحمن أنهم على طريقة إبراهيم عليه الصلاة والسلام في السخاء وسلامة الصدر والرحمة لجميع المسلمين كما جاء في أحاديث أخرى"</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w:t>
      </w:r>
      <w:r w:rsidRPr="00A52585">
        <w:rPr>
          <w:rFonts w:hint="cs"/>
          <w:sz w:val="24"/>
          <w:szCs w:val="24"/>
          <w:rtl/>
        </w:rPr>
        <w:t xml:space="preserve"> </w:t>
      </w:r>
      <w:r w:rsidR="00777DCB" w:rsidRPr="00A52585">
        <w:rPr>
          <w:rFonts w:hint="cs"/>
          <w:sz w:val="24"/>
          <w:szCs w:val="24"/>
          <w:rtl/>
        </w:rPr>
        <w:t xml:space="preserve">32- 33 ط. دار الطباعة الحديثة </w:t>
      </w:r>
      <w:r w:rsidRPr="00A52585">
        <w:rPr>
          <w:rFonts w:hint="cs"/>
          <w:sz w:val="24"/>
          <w:szCs w:val="24"/>
          <w:rtl/>
        </w:rPr>
        <w:t>(</w:t>
      </w:r>
      <w:r w:rsidR="00777DCB" w:rsidRPr="00A52585">
        <w:rPr>
          <w:rFonts w:hint="cs"/>
          <w:sz w:val="24"/>
          <w:szCs w:val="24"/>
          <w:rtl/>
        </w:rPr>
        <w:t>قلت</w:t>
      </w:r>
      <w:r w:rsidRPr="00A52585">
        <w:rPr>
          <w:rFonts w:hint="cs"/>
          <w:sz w:val="24"/>
          <w:szCs w:val="24"/>
          <w:rtl/>
        </w:rPr>
        <w:t>):</w:t>
      </w:r>
      <w:r w:rsidR="00777DCB" w:rsidRPr="00A52585">
        <w:rPr>
          <w:rFonts w:hint="cs"/>
          <w:sz w:val="24"/>
          <w:szCs w:val="24"/>
          <w:rtl/>
        </w:rPr>
        <w:t xml:space="preserve"> وللحافظ السيوطي رسالة في (الأبدال) ضمن كتاب (الحاوي) وكذا للعلامة الفقيه ابن عابدين الحنفي ضمن مجموع رسائله، هي رسالة</w:t>
      </w:r>
      <w:r w:rsidRPr="00A52585">
        <w:rPr>
          <w:rFonts w:hint="cs"/>
          <w:sz w:val="24"/>
          <w:szCs w:val="24"/>
          <w:rtl/>
        </w:rPr>
        <w:t>:</w:t>
      </w:r>
      <w:r w:rsidR="00777DCB" w:rsidRPr="00A52585">
        <w:rPr>
          <w:rFonts w:hint="cs"/>
          <w:sz w:val="24"/>
          <w:szCs w:val="24"/>
          <w:rtl/>
        </w:rPr>
        <w:t xml:space="preserve"> (إجابة الغوث ببيان حال </w:t>
      </w:r>
      <w:proofErr w:type="spellStart"/>
      <w:r w:rsidR="00777DCB" w:rsidRPr="00A52585">
        <w:rPr>
          <w:rFonts w:hint="cs"/>
          <w:sz w:val="24"/>
          <w:szCs w:val="24"/>
          <w:rtl/>
        </w:rPr>
        <w:t>النقبا</w:t>
      </w:r>
      <w:proofErr w:type="spellEnd"/>
      <w:r w:rsidR="00777DCB" w:rsidRPr="00A52585">
        <w:rPr>
          <w:rFonts w:hint="cs"/>
          <w:sz w:val="24"/>
          <w:szCs w:val="24"/>
          <w:rtl/>
        </w:rPr>
        <w:t xml:space="preserve"> </w:t>
      </w:r>
      <w:proofErr w:type="spellStart"/>
      <w:r w:rsidR="00777DCB" w:rsidRPr="00A52585">
        <w:rPr>
          <w:rFonts w:hint="cs"/>
          <w:sz w:val="24"/>
          <w:szCs w:val="24"/>
          <w:rtl/>
        </w:rPr>
        <w:t>والنجبا</w:t>
      </w:r>
      <w:proofErr w:type="spellEnd"/>
      <w:r w:rsidR="00777DCB" w:rsidRPr="00A52585">
        <w:rPr>
          <w:rFonts w:hint="cs"/>
          <w:sz w:val="24"/>
          <w:szCs w:val="24"/>
          <w:rtl/>
        </w:rPr>
        <w:t xml:space="preserve"> والأبدال والأوتاد والغوث)</w:t>
      </w:r>
      <w:r w:rsidR="00DB731D" w:rsidRPr="00A52585">
        <w:rPr>
          <w:rFonts w:hint="cs"/>
          <w:sz w:val="24"/>
          <w:szCs w:val="24"/>
          <w:rtl/>
        </w:rPr>
        <w:t>،</w:t>
      </w:r>
      <w:r w:rsidR="00777DCB" w:rsidRPr="00A52585">
        <w:rPr>
          <w:rFonts w:hint="cs"/>
          <w:sz w:val="24"/>
          <w:szCs w:val="24"/>
          <w:rtl/>
        </w:rPr>
        <w:t xml:space="preserve"> ويقول الحافظ السيد أحمد بن الصديق الغماري في كتابه (قطع العروق الوردية)- مخطوط- خلال كلامه على تلاعب ابن تيمية بنصوص الشريعة واختراعه قواعد جديدة في علم الحديث لم يسبقه إليها أحد تبيح له رد ما يشاء من الأحاديث الصحيحة أو الزيادة الواردة في بعض روايات الحديث </w:t>
      </w:r>
      <w:proofErr w:type="spellStart"/>
      <w:r w:rsidR="00777DCB" w:rsidRPr="00A52585">
        <w:rPr>
          <w:rFonts w:hint="cs"/>
          <w:sz w:val="24"/>
          <w:szCs w:val="24"/>
          <w:rtl/>
        </w:rPr>
        <w:t>بزغم</w:t>
      </w:r>
      <w:proofErr w:type="spellEnd"/>
      <w:r w:rsidR="00777DCB" w:rsidRPr="00A52585">
        <w:rPr>
          <w:rFonts w:hint="cs"/>
          <w:sz w:val="24"/>
          <w:szCs w:val="24"/>
          <w:rtl/>
        </w:rPr>
        <w:t xml:space="preserve"> أن هذا الحديث أو هذه الزيادة لم ترد في الكتب المشهورة أو لم ترد في كتاب كذا! ثم يستدل لنفسه أحياناً كثيرة بأحاديث يعزوها إلى أجزاء من أغرب الغرائب التي لم يسمع بها حتى كبار الحفاظ وهي غالبا من أجزاء </w:t>
      </w:r>
      <w:proofErr w:type="spellStart"/>
      <w:r w:rsidR="00777DCB" w:rsidRPr="00A52585">
        <w:rPr>
          <w:rFonts w:hint="cs"/>
          <w:sz w:val="24"/>
          <w:szCs w:val="24"/>
          <w:rtl/>
        </w:rPr>
        <w:t>فقهــائهم</w:t>
      </w:r>
      <w:proofErr w:type="spellEnd"/>
      <w:r w:rsidR="00777DCB" w:rsidRPr="00A52585">
        <w:rPr>
          <w:rFonts w:hint="cs"/>
          <w:sz w:val="24"/>
          <w:szCs w:val="24"/>
          <w:rtl/>
        </w:rPr>
        <w:t xml:space="preserve"> الحنابلة كالخـــلال وابن بطة وأبي يعلى أما إذا وردت في الكتب المشهورة ولم يجد طرقة لردها فإنه ينفي وجودها في هذه الكتب حتى لو كانت من أشهر كتب السنة. وضرب الحافظ أحمد الغماري مثالا على ذلك فقال</w:t>
      </w:r>
      <w:r w:rsidRPr="00A52585">
        <w:rPr>
          <w:rFonts w:hint="cs"/>
          <w:sz w:val="24"/>
          <w:szCs w:val="24"/>
          <w:rtl/>
        </w:rPr>
        <w:t xml:space="preserve">: </w:t>
      </w:r>
      <w:r w:rsidR="00777DCB" w:rsidRPr="00A52585">
        <w:rPr>
          <w:rFonts w:hint="cs"/>
          <w:sz w:val="24"/>
          <w:szCs w:val="24"/>
          <w:rtl/>
        </w:rPr>
        <w:t xml:space="preserve">" كقوله في منهاج السنة أنه لم يرد لفظ الأبدال عن النبي صلى الله عليه </w:t>
      </w:r>
      <w:proofErr w:type="spellStart"/>
      <w:r w:rsidR="00777DCB" w:rsidRPr="00A52585">
        <w:rPr>
          <w:rFonts w:hint="cs"/>
          <w:sz w:val="24"/>
          <w:szCs w:val="24"/>
          <w:rtl/>
        </w:rPr>
        <w:t>وآله</w:t>
      </w:r>
      <w:proofErr w:type="spellEnd"/>
      <w:r w:rsidR="00777DCB" w:rsidRPr="00A52585">
        <w:rPr>
          <w:rFonts w:hint="cs"/>
          <w:sz w:val="24"/>
          <w:szCs w:val="24"/>
          <w:rtl/>
        </w:rPr>
        <w:t xml:space="preserve"> وسلم إلا في حديث واحد ضعيف مع أن حديث الأبدال متواتر مخرج في مسند أحمد إمامه وعمدته في دينه من حديث علي بن أبي طالب عليه السلام، ومن حديث عبادة بن الصامت ومن حديث أم سلمة رضي الله عنها وحديثها في سنن أبي داود أشهر كتب السنة والأول من السنن الأربعة التي هي مع الصحيحين معصم الإسلام</w:t>
      </w:r>
      <w:r w:rsidR="00897A24" w:rsidRPr="00A52585">
        <w:rPr>
          <w:rFonts w:hint="cs"/>
          <w:sz w:val="24"/>
          <w:szCs w:val="24"/>
          <w:rtl/>
        </w:rPr>
        <w:t>.</w:t>
      </w:r>
      <w:r w:rsidR="00777DCB" w:rsidRPr="00A52585">
        <w:rPr>
          <w:rFonts w:hint="cs"/>
          <w:sz w:val="24"/>
          <w:szCs w:val="24"/>
          <w:rtl/>
        </w:rPr>
        <w:t>. "</w:t>
      </w:r>
      <w:r w:rsidRPr="00A52585">
        <w:rPr>
          <w:rFonts w:hint="cs"/>
          <w:sz w:val="24"/>
          <w:szCs w:val="24"/>
          <w:rtl/>
        </w:rPr>
        <w:t xml:space="preserve"> </w:t>
      </w:r>
      <w:r w:rsidR="00777DCB" w:rsidRPr="00A52585">
        <w:rPr>
          <w:rFonts w:hint="cs"/>
          <w:sz w:val="24"/>
          <w:szCs w:val="24"/>
          <w:rtl/>
        </w:rPr>
        <w:t>إلى أن قال</w:t>
      </w:r>
      <w:r w:rsidRPr="00A52585">
        <w:rPr>
          <w:rFonts w:hint="cs"/>
          <w:sz w:val="24"/>
          <w:szCs w:val="24"/>
          <w:rtl/>
        </w:rPr>
        <w:t xml:space="preserve">: </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ثم هو مع هذا يذكر في آخر كتابه (الصارم المسلول) أحاديث الأبدال ويصححها ويحتج بها، فحيث اقتضى المقام ردَّها وأنكر وجودها بالمرة وحيث اقتضى الجدال إثباتها</w:t>
      </w:r>
      <w:r w:rsidRPr="00A52585">
        <w:rPr>
          <w:rFonts w:hint="cs"/>
          <w:sz w:val="24"/>
          <w:szCs w:val="24"/>
          <w:rtl/>
        </w:rPr>
        <w:t>:</w:t>
      </w:r>
      <w:r w:rsidR="00777DCB" w:rsidRPr="00A52585">
        <w:rPr>
          <w:rFonts w:hint="cs"/>
          <w:sz w:val="24"/>
          <w:szCs w:val="24"/>
          <w:rtl/>
        </w:rPr>
        <w:t xml:space="preserve"> أوردها واحتج بها. وهكذا يفعل في كثير من الأحاديث</w:t>
      </w:r>
      <w:r w:rsidR="00DB731D" w:rsidRPr="00A52585">
        <w:rPr>
          <w:rFonts w:hint="cs"/>
          <w:sz w:val="24"/>
          <w:szCs w:val="24"/>
          <w:rtl/>
        </w:rPr>
        <w:t>،</w:t>
      </w:r>
      <w:r w:rsidR="00777DCB" w:rsidRPr="00A52585">
        <w:rPr>
          <w:rFonts w:hint="cs"/>
          <w:sz w:val="24"/>
          <w:szCs w:val="24"/>
          <w:rtl/>
        </w:rPr>
        <w:t xml:space="preserve"> فهل يبقى مع هذا ثقة بقوله أو اعتماد على دينه</w:t>
      </w:r>
      <w:r w:rsidR="00F95886" w:rsidRPr="00A52585">
        <w:rPr>
          <w:rFonts w:hint="cs"/>
          <w:sz w:val="24"/>
          <w:szCs w:val="24"/>
          <w:rtl/>
        </w:rPr>
        <w:t>؟</w:t>
      </w:r>
      <w:r w:rsidR="00777DCB" w:rsidRPr="00A52585">
        <w:rPr>
          <w:rFonts w:hint="cs"/>
          <w:sz w:val="24"/>
          <w:szCs w:val="24"/>
          <w:rtl/>
        </w:rPr>
        <w:t xml:space="preserve">! </w:t>
      </w:r>
      <w:r w:rsidR="00777DCB" w:rsidRPr="00A52585">
        <w:rPr>
          <w:sz w:val="24"/>
          <w:szCs w:val="24"/>
        </w:rPr>
        <w:t>…</w:t>
      </w:r>
      <w:r w:rsidR="00777DCB" w:rsidRPr="00A52585">
        <w:rPr>
          <w:rFonts w:hint="cs"/>
          <w:sz w:val="24"/>
          <w:szCs w:val="24"/>
          <w:rtl/>
        </w:rPr>
        <w:t xml:space="preserve"> "</w:t>
      </w:r>
      <w:r w:rsidRPr="00A52585">
        <w:rPr>
          <w:rFonts w:hint="cs"/>
          <w:sz w:val="24"/>
          <w:szCs w:val="24"/>
          <w:rtl/>
        </w:rPr>
        <w:t xml:space="preserve"> </w:t>
      </w:r>
      <w:proofErr w:type="spellStart"/>
      <w:r w:rsidR="00777DCB" w:rsidRPr="00A52585">
        <w:rPr>
          <w:rFonts w:hint="cs"/>
          <w:sz w:val="24"/>
          <w:szCs w:val="24"/>
          <w:rtl/>
        </w:rPr>
        <w:t>أ.ه</w:t>
      </w:r>
      <w:proofErr w:type="spellEnd"/>
      <w:r w:rsidR="00777DCB" w:rsidRPr="00A52585">
        <w:rPr>
          <w:rFonts w:hint="cs"/>
          <w:sz w:val="24"/>
          <w:szCs w:val="24"/>
          <w:rtl/>
        </w:rPr>
        <w:t>ـ. المقصود منه لوحتان رقمي 14،15]</w:t>
      </w:r>
      <w:r w:rsidR="00777DCB" w:rsidRPr="00A52585">
        <w:rPr>
          <w:rFonts w:hint="cs"/>
          <w:rtl/>
        </w:rPr>
        <w:t xml:space="preserve"> ولهم دواهي أخر لو نطقوا بها لأحرقهم الناس في لحظة واحدة. فنسأل الله تعالى العافية ودوامها إنه على ما يشاء قدير وبالإجابة جدير</w:t>
      </w:r>
      <w:r w:rsidR="00DB731D" w:rsidRPr="00A52585">
        <w:rPr>
          <w:rFonts w:hint="cs"/>
          <w:rtl/>
        </w:rPr>
        <w:t>،</w:t>
      </w:r>
      <w:r w:rsidR="00777DCB" w:rsidRPr="00A52585">
        <w:rPr>
          <w:rFonts w:hint="cs"/>
          <w:rtl/>
        </w:rPr>
        <w:t xml:space="preserve"> وجرسوا ابن القيم وابن كثير وطيف بهما في البلد وعلى باب الجوزية لفتواهم في مسألة الطلاق والله أعلم</w:t>
      </w:r>
      <w:r w:rsidR="00DB731D" w:rsidRPr="00A52585">
        <w:rPr>
          <w:rFonts w:hint="cs"/>
          <w:rtl/>
        </w:rPr>
        <w:t>،</w:t>
      </w:r>
      <w:r w:rsidR="00777DCB" w:rsidRPr="00A52585">
        <w:rPr>
          <w:rFonts w:hint="cs"/>
          <w:rtl/>
        </w:rPr>
        <w:t xml:space="preserve"> واعلم أني اقتصرت على الكلام على هذه الفتوى لإشاعتها بين العوام وفيها التعرض لمنع الوسيلة ومنع شد الرحال إلى قبر سيدنا رسول الله صلى الله عليه وسلم واستدلاله لما قاله بالتحشير والتمويهات التي بينا بطلانها وفسادها وأن ذلك من أظهر الأمور على فجوره في النقل </w:t>
      </w:r>
      <w:proofErr w:type="spellStart"/>
      <w:r w:rsidR="00777DCB" w:rsidRPr="00A52585">
        <w:rPr>
          <w:rFonts w:hint="cs"/>
          <w:rtl/>
        </w:rPr>
        <w:t>والإعزاء</w:t>
      </w:r>
      <w:proofErr w:type="spellEnd"/>
      <w:r w:rsidR="00777DCB" w:rsidRPr="00A52585">
        <w:rPr>
          <w:rFonts w:hint="cs"/>
          <w:rtl/>
        </w:rPr>
        <w:t xml:space="preserve"> وأن لا يحل لأحد </w:t>
      </w:r>
      <w:r w:rsidR="00777DCB" w:rsidRPr="00A52585">
        <w:rPr>
          <w:rFonts w:hint="cs"/>
          <w:rtl/>
        </w:rPr>
        <w:lastRenderedPageBreak/>
        <w:t>أن يقلده ولا يأخذ عنه ولا ينظر في كلامه ولا يسمعه إلا من يكون له رتبة التمييز بين الحق والباطل وإلا هلك وهو لا يشعر</w:t>
      </w:r>
      <w:r w:rsidR="00DB731D" w:rsidRPr="00A52585">
        <w:rPr>
          <w:rFonts w:hint="cs"/>
          <w:rtl/>
        </w:rPr>
        <w:t>،</w:t>
      </w:r>
      <w:r w:rsidR="00777DCB" w:rsidRPr="00A52585">
        <w:rPr>
          <w:rFonts w:hint="cs"/>
          <w:rtl/>
        </w:rPr>
        <w:t xml:space="preserve"> </w:t>
      </w:r>
    </w:p>
    <w:p w14:paraId="582F82F6" w14:textId="0DF13484" w:rsidR="00777DCB" w:rsidRPr="00A52585" w:rsidRDefault="0002035C" w:rsidP="0002035C">
      <w:pPr>
        <w:spacing w:after="240"/>
        <w:rPr>
          <w:b/>
          <w:rtl/>
        </w:rPr>
      </w:pPr>
      <w:r w:rsidRPr="00A52585">
        <w:rPr>
          <w:rFonts w:hint="cs"/>
          <w:bCs/>
          <w:rtl/>
        </w:rPr>
        <w:t>[</w:t>
      </w:r>
      <w:r w:rsidR="00777DCB" w:rsidRPr="00A52585">
        <w:rPr>
          <w:rFonts w:hint="cs"/>
          <w:bCs/>
          <w:rtl/>
        </w:rPr>
        <w:t>وصية مهمة</w:t>
      </w:r>
      <w:r w:rsidRPr="00A52585">
        <w:rPr>
          <w:rFonts w:hint="cs"/>
          <w:bCs/>
          <w:rtl/>
        </w:rPr>
        <w:t>]:</w:t>
      </w:r>
      <w:r w:rsidR="00777DCB" w:rsidRPr="00A52585">
        <w:rPr>
          <w:rFonts w:hint="cs"/>
          <w:bCs/>
          <w:rtl/>
        </w:rPr>
        <w:t xml:space="preserve"> </w:t>
      </w:r>
      <w:r w:rsidR="00777DCB" w:rsidRPr="00A52585">
        <w:rPr>
          <w:rFonts w:hint="cs"/>
          <w:rtl/>
        </w:rPr>
        <w:t>ثم من الأمور المهمة المقربة إلى الله عز وجل وإلى رسوله وإلى وزيريه رضي الله عنهما بسط الألسن والأيدي فيهم جرياً على ما درج عليه العلماء والسلاطين منذ أثار هذا الخبيث هذه الخبائث وأن يعلن بالتوسل بسيد الأولين والآخرين وأن يعتنى بإظهار شد الرحال وإعمال المطي والأقدام إلى خير خلقه وحبيب القلوب من بذكره تنجلي الكروب. وتهتز الطروب. وبالصلاة والسلام عليه تذهب الذنوب. التي بسببها حصل الأبعاد عن المراد وبعد الدار</w:t>
      </w:r>
      <w:r w:rsidR="00DB731D" w:rsidRPr="00A52585">
        <w:rPr>
          <w:rFonts w:hint="cs"/>
          <w:rtl/>
        </w:rPr>
        <w:t>،</w:t>
      </w:r>
      <w:r w:rsidR="00777DCB" w:rsidRPr="00A52585">
        <w:rPr>
          <w:rFonts w:hint="cs"/>
          <w:rtl/>
        </w:rPr>
        <w:t xml:space="preserve"> روى زيد بن أسلم أن عمر رضي الله عنه خرج ليلة يحرس فرأى مصباحاً في بيت وإذا عجوز تنفش صوفاً وتقول</w:t>
      </w:r>
      <w:r w:rsidRPr="00A52585">
        <w:rPr>
          <w:rFonts w:hint="cs"/>
          <w:rtl/>
        </w:rPr>
        <w:t>:</w:t>
      </w:r>
      <w:r w:rsidR="00777DCB" w:rsidRPr="00A52585">
        <w:rPr>
          <w:rFonts w:hint="cs"/>
          <w:rtl/>
        </w:rPr>
        <w:t xml:space="preserve"> (على محمـد</w:t>
      </w:r>
      <w:r w:rsidRPr="00A52585">
        <w:rPr>
          <w:rFonts w:hint="cs"/>
          <w:rtl/>
        </w:rPr>
        <w:t xml:space="preserve"> </w:t>
      </w:r>
      <w:r w:rsidR="00777DCB" w:rsidRPr="00A52585">
        <w:rPr>
          <w:rFonts w:hint="cs"/>
          <w:rtl/>
        </w:rPr>
        <w:t>صـلاة</w:t>
      </w:r>
      <w:r w:rsidRPr="00A52585">
        <w:rPr>
          <w:rFonts w:hint="cs"/>
          <w:rtl/>
        </w:rPr>
        <w:t xml:space="preserve"> </w:t>
      </w:r>
      <w:r w:rsidR="00777DCB" w:rsidRPr="00A52585">
        <w:rPr>
          <w:rFonts w:hint="cs"/>
          <w:rtl/>
        </w:rPr>
        <w:t>الأبـرار</w:t>
      </w:r>
      <w:r w:rsidR="00897A24" w:rsidRPr="00A52585">
        <w:rPr>
          <w:rFonts w:hint="cs"/>
          <w:rtl/>
        </w:rPr>
        <w:t>.</w:t>
      </w:r>
      <w:r w:rsidR="00777DCB" w:rsidRPr="00A52585">
        <w:rPr>
          <w:rFonts w:hint="cs"/>
          <w:rtl/>
        </w:rPr>
        <w:t>. صلى عليه</w:t>
      </w:r>
      <w:r w:rsidRPr="00A52585">
        <w:rPr>
          <w:rFonts w:hint="cs"/>
          <w:rtl/>
        </w:rPr>
        <w:t xml:space="preserve"> </w:t>
      </w:r>
      <w:r w:rsidR="00777DCB" w:rsidRPr="00A52585">
        <w:rPr>
          <w:rFonts w:hint="cs"/>
          <w:rtl/>
        </w:rPr>
        <w:t>الطيبـون الأخيـار</w:t>
      </w:r>
      <w:r w:rsidR="00DB731D" w:rsidRPr="00A52585">
        <w:rPr>
          <w:rFonts w:hint="cs"/>
          <w:rtl/>
        </w:rPr>
        <w:t>،</w:t>
      </w:r>
      <w:r w:rsidR="00777DCB" w:rsidRPr="00A52585">
        <w:rPr>
          <w:rFonts w:hint="cs"/>
          <w:rtl/>
        </w:rPr>
        <w:t xml:space="preserve"> قد كنت قواماً بكاء في الأسحار</w:t>
      </w:r>
      <w:r w:rsidR="00897A24" w:rsidRPr="00A52585">
        <w:rPr>
          <w:rFonts w:hint="cs"/>
          <w:rtl/>
        </w:rPr>
        <w:t>.</w:t>
      </w:r>
      <w:r w:rsidR="00777DCB" w:rsidRPr="00A52585">
        <w:rPr>
          <w:rFonts w:hint="cs"/>
          <w:rtl/>
        </w:rPr>
        <w:t xml:space="preserve">. </w:t>
      </w:r>
      <w:proofErr w:type="spellStart"/>
      <w:r w:rsidR="00777DCB" w:rsidRPr="00A52585">
        <w:rPr>
          <w:rFonts w:hint="cs"/>
          <w:rtl/>
        </w:rPr>
        <w:t>ياليـت</w:t>
      </w:r>
      <w:proofErr w:type="spellEnd"/>
      <w:r w:rsidR="00777DCB" w:rsidRPr="00A52585">
        <w:rPr>
          <w:rFonts w:hint="cs"/>
          <w:rtl/>
        </w:rPr>
        <w:t xml:space="preserve"> شعــري والمنايــا</w:t>
      </w:r>
      <w:r w:rsidRPr="00A52585">
        <w:rPr>
          <w:rFonts w:hint="cs"/>
          <w:rtl/>
        </w:rPr>
        <w:t xml:space="preserve"> </w:t>
      </w:r>
      <w:r w:rsidR="00777DCB" w:rsidRPr="00A52585">
        <w:rPr>
          <w:rFonts w:hint="cs"/>
          <w:rtl/>
        </w:rPr>
        <w:t>أطـــوار</w:t>
      </w:r>
      <w:r w:rsidR="00897A24" w:rsidRPr="00A52585">
        <w:rPr>
          <w:rFonts w:hint="cs"/>
          <w:rtl/>
        </w:rPr>
        <w:t>.</w:t>
      </w:r>
      <w:r w:rsidR="00777DCB" w:rsidRPr="00A52585">
        <w:rPr>
          <w:rFonts w:hint="cs"/>
          <w:rtl/>
        </w:rPr>
        <w:t>. هل تجمعـني وحبيبي الـدار</w:t>
      </w:r>
      <w:r w:rsidRPr="00A52585">
        <w:rPr>
          <w:rFonts w:hint="cs"/>
          <w:rtl/>
        </w:rPr>
        <w:t>)</w:t>
      </w:r>
      <w:r w:rsidR="00DB731D" w:rsidRPr="00A52585">
        <w:rPr>
          <w:rFonts w:hint="cs"/>
          <w:rtl/>
        </w:rPr>
        <w:t>،</w:t>
      </w:r>
      <w:r w:rsidR="00777DCB" w:rsidRPr="00A52585">
        <w:rPr>
          <w:rFonts w:hint="cs"/>
          <w:rtl/>
        </w:rPr>
        <w:t xml:space="preserve"> تعني رسول الله صلى الله عليه وسلم قال</w:t>
      </w:r>
      <w:r w:rsidRPr="00A52585">
        <w:rPr>
          <w:rFonts w:hint="cs"/>
          <w:rtl/>
        </w:rPr>
        <w:t>:</w:t>
      </w:r>
      <w:r w:rsidR="00777DCB" w:rsidRPr="00A52585">
        <w:rPr>
          <w:rFonts w:hint="cs"/>
          <w:rtl/>
        </w:rPr>
        <w:t xml:space="preserve"> فجلس عمر رضي الله عنه يبكي شوقاً إلى حبيبه رسول الله صلى الله عليه وسلم وتتصعد أنفاسه من نار الشوق. لولا دموع المحبين تطفئ نار الشوق لاحترقت أكبادهم بأنفاسهم</w:t>
      </w:r>
      <w:r w:rsidR="00DB731D" w:rsidRPr="00A52585">
        <w:rPr>
          <w:rFonts w:hint="cs"/>
          <w:rtl/>
        </w:rPr>
        <w:t>،</w:t>
      </w:r>
      <w:r w:rsidR="00777DCB" w:rsidRPr="00A52585">
        <w:rPr>
          <w:rFonts w:hint="cs"/>
          <w:rtl/>
        </w:rPr>
        <w:t xml:space="preserve"> ((يا خليلي قد</w:t>
      </w:r>
      <w:r w:rsidRPr="00A52585">
        <w:rPr>
          <w:rFonts w:hint="cs"/>
          <w:rtl/>
        </w:rPr>
        <w:t xml:space="preserve"> </w:t>
      </w:r>
      <w:r w:rsidR="00777DCB" w:rsidRPr="00A52585">
        <w:rPr>
          <w:rFonts w:hint="cs"/>
          <w:rtl/>
        </w:rPr>
        <w:t>بلغـت</w:t>
      </w:r>
      <w:r w:rsidRPr="00A52585">
        <w:rPr>
          <w:rFonts w:hint="cs"/>
          <w:rtl/>
        </w:rPr>
        <w:t xml:space="preserve"> </w:t>
      </w:r>
      <w:proofErr w:type="spellStart"/>
      <w:r w:rsidR="00777DCB" w:rsidRPr="00A52585">
        <w:rPr>
          <w:rFonts w:hint="cs"/>
          <w:rtl/>
        </w:rPr>
        <w:t>القصـدا</w:t>
      </w:r>
      <w:proofErr w:type="spellEnd"/>
      <w:r w:rsidR="00897A24" w:rsidRPr="00A52585">
        <w:rPr>
          <w:rFonts w:hint="cs"/>
          <w:rtl/>
        </w:rPr>
        <w:t>.</w:t>
      </w:r>
      <w:r w:rsidR="00777DCB" w:rsidRPr="00A52585">
        <w:rPr>
          <w:rFonts w:hint="cs"/>
          <w:rtl/>
        </w:rPr>
        <w:t>.. وعزمت</w:t>
      </w:r>
      <w:r w:rsidR="00777DCB" w:rsidRPr="00A52585">
        <w:rPr>
          <w:rFonts w:hint="cs"/>
          <w:vertAlign w:val="superscript"/>
          <w:rtl/>
        </w:rPr>
        <w:t xml:space="preserve"> </w:t>
      </w:r>
      <w:r w:rsidR="00777DCB" w:rsidRPr="00A52585">
        <w:rPr>
          <w:rFonts w:hint="cs"/>
          <w:rtl/>
        </w:rPr>
        <w:t>الغرام هـزلاً</w:t>
      </w:r>
      <w:r w:rsidRPr="00A52585">
        <w:rPr>
          <w:rFonts w:hint="cs"/>
          <w:rtl/>
        </w:rPr>
        <w:t xml:space="preserve"> </w:t>
      </w:r>
      <w:r w:rsidR="00777DCB" w:rsidRPr="00A52585">
        <w:rPr>
          <w:rFonts w:hint="cs"/>
          <w:rtl/>
        </w:rPr>
        <w:t>وجدا</w:t>
      </w:r>
      <w:r w:rsidR="00897A24" w:rsidRPr="00A52585">
        <w:rPr>
          <w:rFonts w:hint="cs"/>
          <w:rtl/>
        </w:rPr>
        <w:t>.</w:t>
      </w:r>
      <w:r w:rsidR="00777DCB" w:rsidRPr="00A52585">
        <w:rPr>
          <w:rFonts w:hint="cs"/>
          <w:rtl/>
        </w:rPr>
        <w:t xml:space="preserve">.. </w:t>
      </w:r>
      <w:proofErr w:type="spellStart"/>
      <w:r w:rsidR="00777DCB" w:rsidRPr="00A52585">
        <w:rPr>
          <w:rFonts w:hint="cs"/>
          <w:rtl/>
        </w:rPr>
        <w:t>خليـاني</w:t>
      </w:r>
      <w:proofErr w:type="spellEnd"/>
      <w:r w:rsidR="00777DCB" w:rsidRPr="00A52585">
        <w:rPr>
          <w:rFonts w:hint="cs"/>
          <w:rtl/>
        </w:rPr>
        <w:t xml:space="preserve"> من ذكر سلع ونجد</w:t>
      </w:r>
      <w:r w:rsidR="00897A24" w:rsidRPr="00A52585">
        <w:rPr>
          <w:rFonts w:hint="cs"/>
          <w:rtl/>
        </w:rPr>
        <w:t>.</w:t>
      </w:r>
      <w:r w:rsidR="00777DCB" w:rsidRPr="00A52585">
        <w:rPr>
          <w:rFonts w:hint="cs"/>
          <w:rtl/>
        </w:rPr>
        <w:t>.. ودعاني من حب سلمى وسعدى</w:t>
      </w:r>
      <w:r w:rsidR="00897A24" w:rsidRPr="00A52585">
        <w:rPr>
          <w:rFonts w:hint="cs"/>
          <w:rtl/>
        </w:rPr>
        <w:t>.</w:t>
      </w:r>
      <w:r w:rsidR="00777DCB" w:rsidRPr="00A52585">
        <w:rPr>
          <w:rFonts w:hint="cs"/>
          <w:rtl/>
        </w:rPr>
        <w:t>.. أنا لي في حشاشـتي حـب بدر</w:t>
      </w:r>
      <w:r w:rsidR="00897A24" w:rsidRPr="00A52585">
        <w:rPr>
          <w:rFonts w:hint="cs"/>
          <w:rtl/>
        </w:rPr>
        <w:t>.</w:t>
      </w:r>
      <w:r w:rsidR="00777DCB" w:rsidRPr="00A52585">
        <w:rPr>
          <w:rFonts w:hint="cs"/>
          <w:rtl/>
        </w:rPr>
        <w:t>.. أقسم الدهر أنه لا يتبدى</w:t>
      </w:r>
      <w:r w:rsidR="00897A24" w:rsidRPr="00A52585">
        <w:rPr>
          <w:rFonts w:hint="cs"/>
          <w:rtl/>
        </w:rPr>
        <w:t>.</w:t>
      </w:r>
      <w:r w:rsidR="00777DCB" w:rsidRPr="00A52585">
        <w:rPr>
          <w:rFonts w:hint="cs"/>
          <w:rtl/>
        </w:rPr>
        <w:t>.. نار وجـدي بـه في ازدياد</w:t>
      </w:r>
      <w:r w:rsidR="00897A24" w:rsidRPr="00A52585">
        <w:rPr>
          <w:rFonts w:hint="cs"/>
          <w:rtl/>
        </w:rPr>
        <w:t>.</w:t>
      </w:r>
      <w:r w:rsidR="00777DCB" w:rsidRPr="00A52585">
        <w:rPr>
          <w:rFonts w:hint="cs"/>
          <w:rtl/>
        </w:rPr>
        <w:t>.. وغرامـي بـه</w:t>
      </w:r>
      <w:r w:rsidRPr="00A52585">
        <w:rPr>
          <w:rFonts w:hint="cs"/>
          <w:rtl/>
        </w:rPr>
        <w:t xml:space="preserve"> </w:t>
      </w:r>
      <w:r w:rsidR="00777DCB" w:rsidRPr="00A52585">
        <w:rPr>
          <w:rFonts w:hint="cs"/>
          <w:rtl/>
        </w:rPr>
        <w:t>تزايـد جـداً</w:t>
      </w:r>
      <w:r w:rsidR="00897A24" w:rsidRPr="00A52585">
        <w:rPr>
          <w:rFonts w:hint="cs"/>
          <w:rtl/>
        </w:rPr>
        <w:t>.</w:t>
      </w:r>
      <w:r w:rsidR="00777DCB" w:rsidRPr="00A52585">
        <w:rPr>
          <w:rFonts w:hint="cs"/>
          <w:rtl/>
        </w:rPr>
        <w:t>.. كلما رمـت أنّ نفسـي عـنه</w:t>
      </w:r>
      <w:r w:rsidR="00897A24" w:rsidRPr="00A52585">
        <w:rPr>
          <w:rFonts w:hint="cs"/>
          <w:rtl/>
        </w:rPr>
        <w:t>.</w:t>
      </w:r>
      <w:r w:rsidR="00777DCB" w:rsidRPr="00A52585">
        <w:rPr>
          <w:rFonts w:hint="cs"/>
          <w:rtl/>
        </w:rPr>
        <w:t>.. نتسـلى أبـت ولا تتهدى</w:t>
      </w:r>
      <w:r w:rsidR="00897A24" w:rsidRPr="00A52585">
        <w:rPr>
          <w:rFonts w:hint="cs"/>
          <w:rtl/>
        </w:rPr>
        <w:t>.</w:t>
      </w:r>
      <w:r w:rsidR="00777DCB" w:rsidRPr="00A52585">
        <w:rPr>
          <w:rFonts w:hint="cs"/>
          <w:rtl/>
        </w:rPr>
        <w:t>.. وتـراهـا إذا</w:t>
      </w:r>
      <w:r w:rsidRPr="00A52585">
        <w:rPr>
          <w:rFonts w:hint="cs"/>
          <w:rtl/>
        </w:rPr>
        <w:t xml:space="preserve"> </w:t>
      </w:r>
      <w:r w:rsidR="00777DCB" w:rsidRPr="00A52585">
        <w:rPr>
          <w:rFonts w:hint="cs"/>
          <w:rtl/>
        </w:rPr>
        <w:t>ترنــم حـاد</w:t>
      </w:r>
      <w:r w:rsidR="00897A24" w:rsidRPr="00A52585">
        <w:rPr>
          <w:rFonts w:hint="cs"/>
          <w:rtl/>
        </w:rPr>
        <w:t>.</w:t>
      </w:r>
      <w:r w:rsidR="00777DCB" w:rsidRPr="00A52585">
        <w:rPr>
          <w:rFonts w:hint="cs"/>
          <w:rtl/>
        </w:rPr>
        <w:t>.. برباه يذوب</w:t>
      </w:r>
      <w:r w:rsidRPr="00A52585">
        <w:rPr>
          <w:rFonts w:hint="cs"/>
          <w:rtl/>
        </w:rPr>
        <w:t xml:space="preserve"> </w:t>
      </w:r>
      <w:r w:rsidR="00777DCB" w:rsidRPr="00A52585">
        <w:rPr>
          <w:rFonts w:hint="cs"/>
          <w:rtl/>
        </w:rPr>
        <w:t>شوقـاً ووجـدا</w:t>
      </w:r>
      <w:r w:rsidR="00897A24" w:rsidRPr="00A52585">
        <w:rPr>
          <w:rFonts w:hint="cs"/>
          <w:rtl/>
        </w:rPr>
        <w:t>.</w:t>
      </w:r>
      <w:r w:rsidR="00777DCB" w:rsidRPr="00A52585">
        <w:rPr>
          <w:rFonts w:hint="cs"/>
          <w:rtl/>
        </w:rPr>
        <w:t>.. لا تلمهـا إذا</w:t>
      </w:r>
      <w:r w:rsidRPr="00A52585">
        <w:rPr>
          <w:rFonts w:hint="cs"/>
          <w:rtl/>
        </w:rPr>
        <w:t xml:space="preserve"> </w:t>
      </w:r>
      <w:r w:rsidR="00777DCB" w:rsidRPr="00A52585">
        <w:rPr>
          <w:rFonts w:hint="cs"/>
          <w:rtl/>
        </w:rPr>
        <w:t>بـدت</w:t>
      </w:r>
      <w:r w:rsidRPr="00A52585">
        <w:rPr>
          <w:rFonts w:hint="cs"/>
          <w:rtl/>
        </w:rPr>
        <w:t xml:space="preserve"> </w:t>
      </w:r>
      <w:r w:rsidR="00777DCB" w:rsidRPr="00A52585">
        <w:rPr>
          <w:rFonts w:hint="cs"/>
          <w:rtl/>
        </w:rPr>
        <w:t>بحنـين</w:t>
      </w:r>
      <w:r w:rsidR="00897A24" w:rsidRPr="00A52585">
        <w:rPr>
          <w:rFonts w:hint="cs"/>
          <w:rtl/>
        </w:rPr>
        <w:t>.</w:t>
      </w:r>
      <w:r w:rsidR="00777DCB" w:rsidRPr="00A52585">
        <w:rPr>
          <w:rFonts w:hint="cs"/>
          <w:rtl/>
        </w:rPr>
        <w:t>.. وأنـين يقـد ذا القلـب قـدا</w:t>
      </w:r>
      <w:r w:rsidR="00897A24" w:rsidRPr="00A52585">
        <w:rPr>
          <w:rFonts w:hint="cs"/>
          <w:rtl/>
        </w:rPr>
        <w:t>.</w:t>
      </w:r>
      <w:r w:rsidR="00777DCB" w:rsidRPr="00A52585">
        <w:rPr>
          <w:rFonts w:hint="cs"/>
          <w:rtl/>
        </w:rPr>
        <w:t>.. فلهـا معهـد وأنـس قـديم</w:t>
      </w:r>
      <w:r w:rsidR="00897A24" w:rsidRPr="00A52585">
        <w:rPr>
          <w:rFonts w:hint="cs"/>
          <w:rtl/>
        </w:rPr>
        <w:t>.</w:t>
      </w:r>
      <w:r w:rsidR="00777DCB" w:rsidRPr="00A52585">
        <w:rPr>
          <w:rFonts w:hint="cs"/>
          <w:rtl/>
        </w:rPr>
        <w:t>.. ليس يفنى وإن تطـاول</w:t>
      </w:r>
      <w:r w:rsidRPr="00A52585">
        <w:rPr>
          <w:rFonts w:hint="cs"/>
          <w:rtl/>
        </w:rPr>
        <w:t xml:space="preserve"> </w:t>
      </w:r>
      <w:r w:rsidR="00777DCB" w:rsidRPr="00A52585">
        <w:rPr>
          <w:rFonts w:hint="cs"/>
          <w:rtl/>
        </w:rPr>
        <w:t>عهـداً</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كان الصديق رضي الله عنه من المشغوفين بمحبة رسول الله صلى الله عليه وسلم قال سيف بن عمر وكان سبب موت الصديق رضي الله عنه وفاة رسول الله صلى الله عليه وسلم كمد عليه فما زال جسمه يحري حتى مات رضي الله عنه والكمد الحزن المكتوم</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كنت السواد لناظري</w:t>
      </w:r>
      <w:r w:rsidR="00897A24" w:rsidRPr="00A52585">
        <w:rPr>
          <w:rFonts w:hint="cs"/>
          <w:rtl/>
        </w:rPr>
        <w:t>.</w:t>
      </w:r>
      <w:r w:rsidR="00777DCB" w:rsidRPr="00A52585">
        <w:rPr>
          <w:rFonts w:hint="cs"/>
          <w:rtl/>
        </w:rPr>
        <w:t>.. وعليك كنت</w:t>
      </w:r>
      <w:r w:rsidRPr="00A52585">
        <w:rPr>
          <w:rFonts w:hint="cs"/>
          <w:rtl/>
        </w:rPr>
        <w:t xml:space="preserve"> </w:t>
      </w:r>
      <w:r w:rsidR="00777DCB" w:rsidRPr="00A52585">
        <w:rPr>
          <w:rFonts w:hint="cs"/>
          <w:rtl/>
        </w:rPr>
        <w:t>أحاذر</w:t>
      </w:r>
      <w:r w:rsidR="00897A24" w:rsidRPr="00A52585">
        <w:rPr>
          <w:rFonts w:hint="cs"/>
          <w:rtl/>
        </w:rPr>
        <w:t>.</w:t>
      </w:r>
      <w:r w:rsidR="00777DCB" w:rsidRPr="00A52585">
        <w:rPr>
          <w:rFonts w:hint="cs"/>
          <w:rtl/>
        </w:rPr>
        <w:t>.. من شاء بعدك فليمت</w:t>
      </w:r>
      <w:r w:rsidR="00897A24" w:rsidRPr="00A52585">
        <w:rPr>
          <w:rFonts w:hint="cs"/>
          <w:rtl/>
        </w:rPr>
        <w:t>.</w:t>
      </w:r>
      <w:r w:rsidR="00777DCB" w:rsidRPr="00A52585">
        <w:rPr>
          <w:rFonts w:hint="cs"/>
          <w:rtl/>
        </w:rPr>
        <w:t>.. فعليك يبكـي الناظر</w:t>
      </w:r>
      <w:r w:rsidRPr="00A52585">
        <w:rPr>
          <w:rFonts w:hint="cs"/>
          <w:rtl/>
        </w:rPr>
        <w:t>)</w:t>
      </w:r>
      <w:r w:rsidR="00777DCB" w:rsidRPr="00A52585">
        <w:rPr>
          <w:rFonts w:hint="cs"/>
          <w:rtl/>
        </w:rPr>
        <w:t>)</w:t>
      </w:r>
      <w:r w:rsidR="00DB731D" w:rsidRPr="00A52585">
        <w:rPr>
          <w:rFonts w:hint="cs"/>
          <w:rtl/>
        </w:rPr>
        <w:t>،</w:t>
      </w:r>
      <w:r w:rsidR="00777DCB" w:rsidRPr="00A52585">
        <w:rPr>
          <w:rFonts w:hint="cs"/>
          <w:rtl/>
        </w:rPr>
        <w:t xml:space="preserve"> والحمد لله أولاً وآخراً. وظاهراً وباطناً والحمد لله رب العالمين</w:t>
      </w:r>
      <w:r w:rsidR="00DB731D" w:rsidRPr="00A52585">
        <w:rPr>
          <w:rFonts w:hint="cs"/>
          <w:rtl/>
        </w:rPr>
        <w:t>،</w:t>
      </w:r>
      <w:r w:rsidR="00777DCB" w:rsidRPr="00A52585">
        <w:rPr>
          <w:rFonts w:hint="cs"/>
          <w:rtl/>
        </w:rPr>
        <w:t xml:space="preserve"> وصلى الله على سيد الأولين والآخرين وأكرم</w:t>
      </w:r>
      <w:r w:rsidR="00DB731D" w:rsidRPr="00A52585">
        <w:rPr>
          <w:rFonts w:hint="cs"/>
          <w:rtl/>
        </w:rPr>
        <w:t>،</w:t>
      </w:r>
      <w:r w:rsidR="00777DCB" w:rsidRPr="00A52585">
        <w:rPr>
          <w:rFonts w:hint="cs"/>
          <w:rtl/>
        </w:rPr>
        <w:t xml:space="preserve"> السابقين واللاحقين ورضى الله عن الصديقين</w:t>
      </w:r>
      <w:r w:rsidR="00DB731D" w:rsidRPr="00A52585">
        <w:rPr>
          <w:rFonts w:hint="cs"/>
          <w:rtl/>
        </w:rPr>
        <w:t>،</w:t>
      </w:r>
      <w:r w:rsidR="00777DCB" w:rsidRPr="00A52585">
        <w:rPr>
          <w:rFonts w:hint="cs"/>
          <w:rtl/>
        </w:rPr>
        <w:t xml:space="preserve"> وعن الصحابة أجمعين وعن التابعين لهم بإحسان إلى يوم الدين</w:t>
      </w:r>
      <w:r w:rsidR="00DB731D" w:rsidRPr="00A52585">
        <w:rPr>
          <w:rFonts w:hint="cs"/>
          <w:rtl/>
        </w:rPr>
        <w:t>،</w:t>
      </w:r>
      <w:r w:rsidR="00777DCB" w:rsidRPr="00A52585">
        <w:rPr>
          <w:rFonts w:hint="cs"/>
          <w:rtl/>
        </w:rPr>
        <w:t xml:space="preserve"> هذا آخر كتاب دفع الشبه غفر الله لمصنفه وكاتبه والمعلق عليه والحمد لله وحده وصلى على سيدنا محمد رسول الله وصحبه وسلم</w:t>
      </w:r>
      <w:r w:rsidR="00DB731D" w:rsidRPr="00A52585">
        <w:rPr>
          <w:rFonts w:hint="cs"/>
          <w:rtl/>
        </w:rPr>
        <w:t>،</w:t>
      </w:r>
      <w:r w:rsidR="00777DCB" w:rsidRPr="00A52585">
        <w:rPr>
          <w:rFonts w:hint="cs"/>
          <w:rtl/>
        </w:rPr>
        <w:t xml:space="preserve"> والحمد لله رب العالمين</w:t>
      </w:r>
      <w:r w:rsidRPr="00A52585">
        <w:rPr>
          <w:rFonts w:hint="cs"/>
          <w:rtl/>
        </w:rPr>
        <w:t>]</w:t>
      </w:r>
      <w:r w:rsidR="00777DCB" w:rsidRPr="00A52585">
        <w:rPr>
          <w:rFonts w:hint="cs"/>
          <w:rtl/>
        </w:rPr>
        <w:t xml:space="preserve">] تم كتاب دفع شبه من شبه وتمرد ونسب ذلك إلى السيد الجليل الامام احمد تصنيف الإمام تقي الدين أبي بكر </w:t>
      </w:r>
      <w:proofErr w:type="spellStart"/>
      <w:r w:rsidR="00777DCB" w:rsidRPr="00A52585">
        <w:rPr>
          <w:rFonts w:hint="cs"/>
          <w:rtl/>
        </w:rPr>
        <w:t>الحصني</w:t>
      </w:r>
      <w:proofErr w:type="spellEnd"/>
      <w:r w:rsidR="00777DCB" w:rsidRPr="00A52585">
        <w:rPr>
          <w:rFonts w:hint="cs"/>
          <w:rtl/>
        </w:rPr>
        <w:t xml:space="preserve"> تعليق الشيخ الفاضل عبد الواحد مصطفى</w:t>
      </w:r>
      <w:r w:rsidR="00DB731D" w:rsidRPr="00A52585">
        <w:rPr>
          <w:rFonts w:hint="cs"/>
          <w:rtl/>
        </w:rPr>
        <w:t>،</w:t>
      </w:r>
      <w:r w:rsidR="00777DCB" w:rsidRPr="00A52585">
        <w:rPr>
          <w:rFonts w:hint="cs"/>
          <w:rtl/>
        </w:rPr>
        <w:t xml:space="preserve"> </w:t>
      </w:r>
    </w:p>
    <w:p w14:paraId="31C00344" w14:textId="77777777" w:rsidR="00777DCB" w:rsidRPr="00A52585" w:rsidRDefault="00777DCB" w:rsidP="0002035C">
      <w:pPr>
        <w:spacing w:after="240"/>
        <w:jc w:val="center"/>
        <w:rPr>
          <w:b/>
          <w:rtl/>
        </w:rPr>
      </w:pPr>
      <w:r w:rsidRPr="00A52585">
        <w:rPr>
          <w:rFonts w:hint="cs"/>
          <w:rtl/>
        </w:rPr>
        <w:lastRenderedPageBreak/>
        <w:t>****</w:t>
      </w:r>
    </w:p>
    <w:p w14:paraId="2E4A10C2" w14:textId="77777777" w:rsidR="00777DCB" w:rsidRPr="00A52585" w:rsidRDefault="00777DCB" w:rsidP="0002035C">
      <w:pPr>
        <w:spacing w:after="240"/>
        <w:rPr>
          <w:rtl/>
        </w:rPr>
      </w:pPr>
    </w:p>
    <w:p w14:paraId="6A71C022" w14:textId="77777777" w:rsidR="00777DCB" w:rsidRPr="00A52585" w:rsidRDefault="00777DCB" w:rsidP="0002035C">
      <w:pPr>
        <w:spacing w:after="240"/>
        <w:rPr>
          <w:rtl/>
        </w:rPr>
      </w:pPr>
    </w:p>
    <w:p w14:paraId="28E4DA81" w14:textId="77777777" w:rsidR="00777DCB" w:rsidRPr="00A52585" w:rsidRDefault="00777DCB" w:rsidP="0002035C">
      <w:pPr>
        <w:rPr>
          <w:rtl/>
        </w:rPr>
      </w:pPr>
    </w:p>
    <w:p w14:paraId="6E9F4DE5"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bCs/>
          <w:rtl/>
        </w:rPr>
      </w:pPr>
    </w:p>
    <w:p w14:paraId="707C2B85" w14:textId="0276DFB1"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40"/>
          <w:szCs w:val="40"/>
          <w:rtl/>
          <w:lang w:bidi="ar-KW"/>
        </w:rPr>
      </w:pPr>
      <w:r w:rsidRPr="00A52585">
        <w:rPr>
          <w:rFonts w:cs="Monotype Koufi"/>
          <w:sz w:val="40"/>
          <w:szCs w:val="40"/>
          <w:rtl/>
          <w:lang w:bidi="ar-KW"/>
        </w:rPr>
        <w:t>(</w:t>
      </w:r>
      <w:r w:rsidR="00777DCB" w:rsidRPr="00A52585">
        <w:rPr>
          <w:rFonts w:cs="Monotype Koufi" w:hint="cs"/>
          <w:sz w:val="40"/>
          <w:szCs w:val="40"/>
          <w:rtl/>
          <w:lang w:bidi="ar-KW"/>
        </w:rPr>
        <w:t>4</w:t>
      </w:r>
      <w:r w:rsidRPr="00A52585">
        <w:rPr>
          <w:rFonts w:cs="Monotype Koufi"/>
          <w:sz w:val="40"/>
          <w:szCs w:val="40"/>
          <w:rtl/>
          <w:lang w:bidi="ar-KW"/>
        </w:rPr>
        <w:t>)</w:t>
      </w:r>
    </w:p>
    <w:p w14:paraId="669E8BB8"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40"/>
          <w:szCs w:val="40"/>
          <w:rtl/>
          <w:lang w:bidi="ar-KW"/>
        </w:rPr>
      </w:pPr>
      <w:r w:rsidRPr="00A52585">
        <w:rPr>
          <w:rFonts w:cs="Monotype Koufi"/>
          <w:sz w:val="40"/>
          <w:szCs w:val="40"/>
          <w:rtl/>
          <w:lang w:bidi="ar-KW"/>
        </w:rPr>
        <w:t>المشبهة والمجسمة</w:t>
      </w:r>
    </w:p>
    <w:p w14:paraId="6B62FC2A"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40"/>
          <w:szCs w:val="40"/>
          <w:rtl/>
          <w:lang w:bidi="ar-KW"/>
        </w:rPr>
      </w:pPr>
      <w:r w:rsidRPr="00A52585">
        <w:rPr>
          <w:rFonts w:cs="Monotype Koufi" w:hint="cs"/>
          <w:sz w:val="40"/>
          <w:szCs w:val="40"/>
          <w:rtl/>
          <w:lang w:bidi="ar-KW"/>
        </w:rPr>
        <w:t>ل</w:t>
      </w:r>
      <w:r w:rsidRPr="00A52585">
        <w:rPr>
          <w:rFonts w:cs="Monotype Koufi"/>
          <w:sz w:val="40"/>
          <w:szCs w:val="40"/>
          <w:rtl/>
          <w:lang w:bidi="ar-KW"/>
        </w:rPr>
        <w:t xml:space="preserve">لعلامة المفسر المحدث </w:t>
      </w:r>
      <w:r w:rsidRPr="00A52585">
        <w:rPr>
          <w:rFonts w:cs="Monotype Koufi" w:hint="cs"/>
          <w:sz w:val="40"/>
          <w:szCs w:val="40"/>
          <w:rtl/>
          <w:lang w:bidi="ar-KW"/>
        </w:rPr>
        <w:t>الفقيه</w:t>
      </w:r>
      <w:r w:rsidRPr="00A52585">
        <w:rPr>
          <w:rFonts w:cs="Monotype Koufi"/>
          <w:sz w:val="40"/>
          <w:szCs w:val="40"/>
          <w:rtl/>
          <w:lang w:bidi="ar-KW"/>
        </w:rPr>
        <w:t xml:space="preserve"> الشيخ عبد الرحمن خليفة </w:t>
      </w:r>
    </w:p>
    <w:p w14:paraId="4F70CDCB"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Fonts w:cs="Monotype Koufi"/>
          <w:b/>
          <w:sz w:val="40"/>
          <w:szCs w:val="40"/>
          <w:rtl/>
          <w:lang w:bidi="ar-KW"/>
        </w:rPr>
      </w:pPr>
      <w:r w:rsidRPr="00A52585">
        <w:rPr>
          <w:rFonts w:cs="Monotype Koufi"/>
          <w:sz w:val="40"/>
          <w:szCs w:val="40"/>
          <w:rtl/>
          <w:lang w:bidi="ar-KW"/>
        </w:rPr>
        <w:t xml:space="preserve">ويليه شرح معنى الاستواء والمطابق للبلاغة والتوحيد </w:t>
      </w:r>
    </w:p>
    <w:p w14:paraId="3593CC5F"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rtl/>
        </w:rPr>
      </w:pPr>
      <w:r w:rsidRPr="00A52585">
        <w:rPr>
          <w:rFonts w:cs="Monotype Koufi"/>
          <w:sz w:val="40"/>
          <w:szCs w:val="40"/>
          <w:rtl/>
          <w:lang w:bidi="ar-KW"/>
        </w:rPr>
        <w:t>بقلم الاستاذ المهندس حامد عبد الرحمن</w:t>
      </w:r>
    </w:p>
    <w:p w14:paraId="02143A5F"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jc w:val="center"/>
        <w:rPr>
          <w:bCs/>
          <w:rtl/>
        </w:rPr>
      </w:pPr>
    </w:p>
    <w:p w14:paraId="5D100A87" w14:textId="77777777" w:rsidR="00777DCB" w:rsidRPr="00A52585" w:rsidRDefault="00777DCB" w:rsidP="0002035C">
      <w:pPr>
        <w:rPr>
          <w:bCs/>
        </w:rPr>
      </w:pPr>
    </w:p>
    <w:p w14:paraId="4B70C9D7" w14:textId="5CB8FCE6" w:rsidR="00777DCB" w:rsidRPr="00A52585" w:rsidRDefault="0002035C" w:rsidP="0002035C">
      <w:pPr>
        <w:jc w:val="center"/>
        <w:rPr>
          <w:rtl/>
        </w:rPr>
      </w:pPr>
      <w:r w:rsidRPr="00A52585">
        <w:rPr>
          <w:rFonts w:cs="Monotype Koufi" w:hint="cs"/>
          <w:rtl/>
          <w:lang w:bidi="ar-KW"/>
        </w:rPr>
        <w:t>(</w:t>
      </w:r>
      <w:r w:rsidR="00777DCB" w:rsidRPr="00A52585">
        <w:rPr>
          <w:rFonts w:cs="Monotype Koufi" w:hint="cs"/>
          <w:rtl/>
          <w:lang w:bidi="ar-KW"/>
        </w:rPr>
        <w:t>أ</w:t>
      </w:r>
      <w:r w:rsidRPr="00A52585">
        <w:rPr>
          <w:rFonts w:cs="Monotype Koufi" w:hint="cs"/>
          <w:rtl/>
          <w:lang w:bidi="ar-KW"/>
        </w:rPr>
        <w:t>)</w:t>
      </w:r>
      <w:r w:rsidR="00777DCB" w:rsidRPr="00A52585">
        <w:rPr>
          <w:rFonts w:hint="cs"/>
          <w:rtl/>
        </w:rPr>
        <w:t xml:space="preserve"> </w:t>
      </w:r>
    </w:p>
    <w:p w14:paraId="40FC240F" w14:textId="77777777" w:rsidR="00777DCB" w:rsidRPr="00A52585" w:rsidRDefault="00777DCB" w:rsidP="0002035C">
      <w:pPr>
        <w:jc w:val="center"/>
        <w:rPr>
          <w:rFonts w:cs="Monotype Koufi"/>
          <w:b/>
          <w:rtl/>
          <w:lang w:bidi="ar-KW"/>
        </w:rPr>
      </w:pPr>
      <w:r w:rsidRPr="00A52585">
        <w:rPr>
          <w:rFonts w:cs="Monotype Koufi"/>
          <w:rtl/>
          <w:lang w:bidi="ar-KW"/>
        </w:rPr>
        <w:t>المشبهة والمجسمة</w:t>
      </w:r>
    </w:p>
    <w:p w14:paraId="24001CF5" w14:textId="77777777" w:rsidR="00777DCB" w:rsidRPr="00A52585" w:rsidRDefault="00777DCB" w:rsidP="0002035C">
      <w:pPr>
        <w:spacing w:after="240"/>
        <w:jc w:val="center"/>
        <w:rPr>
          <w:rtl/>
          <w:lang w:bidi="ar-KW"/>
        </w:rPr>
      </w:pPr>
      <w:r w:rsidRPr="00A52585">
        <w:rPr>
          <w:rFonts w:cs="Monotype Koufi" w:hint="cs"/>
          <w:rtl/>
          <w:lang w:bidi="ar-KW"/>
        </w:rPr>
        <w:t>ل</w:t>
      </w:r>
      <w:r w:rsidRPr="00A52585">
        <w:rPr>
          <w:rFonts w:cs="Monotype Koufi"/>
          <w:rtl/>
          <w:lang w:bidi="ar-KW"/>
        </w:rPr>
        <w:t xml:space="preserve">لعلامة المفسر المحدث </w:t>
      </w:r>
      <w:r w:rsidRPr="00A52585">
        <w:rPr>
          <w:rFonts w:cs="Monotype Koufi" w:hint="cs"/>
          <w:rtl/>
          <w:lang w:bidi="ar-KW"/>
        </w:rPr>
        <w:t>الفقيه</w:t>
      </w:r>
      <w:r w:rsidRPr="00A52585">
        <w:rPr>
          <w:rFonts w:cs="Monotype Koufi"/>
          <w:rtl/>
          <w:lang w:bidi="ar-KW"/>
        </w:rPr>
        <w:t xml:space="preserve"> الشيخ عبد الرحمن خليفة</w:t>
      </w:r>
    </w:p>
    <w:p w14:paraId="33639DC0" w14:textId="746529F9" w:rsidR="00777DCB" w:rsidRPr="00A52585" w:rsidRDefault="00777DCB" w:rsidP="0002035C">
      <w:pPr>
        <w:spacing w:after="240"/>
        <w:rPr>
          <w:rtl/>
        </w:rPr>
      </w:pPr>
      <w:r w:rsidRPr="00A52585">
        <w:rPr>
          <w:rtl/>
        </w:rPr>
        <w:t>قال فضيلة الشيخ عبد الرحمن خليفة من كبار علماء الازهر</w:t>
      </w:r>
      <w:r w:rsidR="0002035C" w:rsidRPr="00A52585">
        <w:rPr>
          <w:rtl/>
        </w:rPr>
        <w:t>:</w:t>
      </w:r>
      <w:r w:rsidRPr="00A52585">
        <w:rPr>
          <w:rtl/>
        </w:rPr>
        <w:t xml:space="preserve"> </w:t>
      </w:r>
    </w:p>
    <w:p w14:paraId="0FA791D0" w14:textId="1B48ACA1" w:rsidR="00777DCB" w:rsidRPr="00A52585" w:rsidRDefault="0002035C" w:rsidP="0002035C">
      <w:pPr>
        <w:spacing w:after="240"/>
        <w:rPr>
          <w:rtl/>
        </w:rPr>
      </w:pPr>
      <w:r w:rsidRPr="00A52585">
        <w:rPr>
          <w:rFonts w:cs="Monotype Koufi"/>
          <w:rtl/>
          <w:lang w:bidi="ar-KW"/>
        </w:rPr>
        <w:lastRenderedPageBreak/>
        <w:t>(</w:t>
      </w:r>
      <w:r w:rsidR="00777DCB" w:rsidRPr="00A52585">
        <w:rPr>
          <w:rFonts w:cs="Monotype Koufi"/>
          <w:rtl/>
          <w:lang w:bidi="ar-KW"/>
        </w:rPr>
        <w:t>1</w:t>
      </w:r>
      <w:r w:rsidRPr="00A52585">
        <w:rPr>
          <w:rFonts w:cs="Monotype Koufi"/>
          <w:rtl/>
          <w:lang w:bidi="ar-KW"/>
        </w:rPr>
        <w:t>)</w:t>
      </w:r>
      <w:r w:rsidR="00777DCB" w:rsidRPr="00A52585">
        <w:rPr>
          <w:rFonts w:cs="Monotype Koufi"/>
          <w:rtl/>
          <w:lang w:bidi="ar-KW"/>
        </w:rPr>
        <w:t xml:space="preserve"> المشبهة والمجسمة</w:t>
      </w:r>
      <w:r w:rsidRPr="00A52585">
        <w:rPr>
          <w:rFonts w:cs="Monotype Koufi"/>
          <w:rtl/>
          <w:lang w:bidi="ar-KW"/>
        </w:rPr>
        <w:t>:</w:t>
      </w:r>
      <w:r w:rsidR="00777DCB" w:rsidRPr="00A52585">
        <w:rPr>
          <w:rtl/>
        </w:rPr>
        <w:t xml:space="preserve"> بعث الى صاحب العزة الاستاذ حامد بك عبد الرحمن بمقال مطول يشكو فيه من ظهور مذهب التجسيم باسم العقيدة السلفية</w:t>
      </w:r>
      <w:r w:rsidR="00DB731D" w:rsidRPr="00A52585">
        <w:rPr>
          <w:rtl/>
        </w:rPr>
        <w:t>،</w:t>
      </w:r>
      <w:r w:rsidR="00777DCB" w:rsidRPr="00A52585">
        <w:rPr>
          <w:rtl/>
        </w:rPr>
        <w:t xml:space="preserve"> ويعجب من قام جماعة بمصر تنشر كتباً محشوة بمذاهب </w:t>
      </w:r>
      <w:proofErr w:type="spellStart"/>
      <w:r w:rsidR="00777DCB" w:rsidRPr="00A52585">
        <w:rPr>
          <w:rtl/>
        </w:rPr>
        <w:t>الحشوية</w:t>
      </w:r>
      <w:proofErr w:type="spellEnd"/>
      <w:r w:rsidR="00777DCB" w:rsidRPr="00A52585">
        <w:rPr>
          <w:rtl/>
        </w:rPr>
        <w:t xml:space="preserve"> والمجسمة المنافية لعقيدة التقديس</w:t>
      </w:r>
      <w:r w:rsidR="00DB731D" w:rsidRPr="00A52585">
        <w:rPr>
          <w:rtl/>
        </w:rPr>
        <w:t>،</w:t>
      </w:r>
      <w:r w:rsidR="00777DCB" w:rsidRPr="00A52585">
        <w:rPr>
          <w:rtl/>
        </w:rPr>
        <w:t xml:space="preserve"> وتنزيه ذات الله تعالى عن سمات الحوادث وصفات المخلوقين كإثباتهم استقرار الله تعالى بذاته على العرش</w:t>
      </w:r>
      <w:r w:rsidR="00DB731D" w:rsidRPr="00A52585">
        <w:rPr>
          <w:rtl/>
        </w:rPr>
        <w:t>،</w:t>
      </w:r>
      <w:r w:rsidR="00777DCB" w:rsidRPr="00A52585">
        <w:rPr>
          <w:rtl/>
        </w:rPr>
        <w:t xml:space="preserve"> وانه ينزل بذاته من العرش</w:t>
      </w:r>
      <w:r w:rsidR="00DB731D" w:rsidRPr="00A52585">
        <w:rPr>
          <w:rtl/>
        </w:rPr>
        <w:t>،</w:t>
      </w:r>
      <w:r w:rsidR="00777DCB" w:rsidRPr="00A52585">
        <w:rPr>
          <w:rtl/>
        </w:rPr>
        <w:t xml:space="preserve"> ويقعد الرسول معه الى جنبه</w:t>
      </w:r>
      <w:r w:rsidR="00DB731D" w:rsidRPr="00A52585">
        <w:rPr>
          <w:rtl/>
        </w:rPr>
        <w:t>،</w:t>
      </w:r>
      <w:r w:rsidR="00777DCB" w:rsidRPr="00A52585">
        <w:rPr>
          <w:rtl/>
        </w:rPr>
        <w:t xml:space="preserve"> وان كلامه القائم بذاته صوت إلى غير ذلك</w:t>
      </w:r>
      <w:r w:rsidR="00DB731D" w:rsidRPr="00A52585">
        <w:rPr>
          <w:rtl/>
        </w:rPr>
        <w:t>،</w:t>
      </w:r>
      <w:r w:rsidR="00777DCB" w:rsidRPr="00A52585">
        <w:rPr>
          <w:rtl/>
        </w:rPr>
        <w:t xml:space="preserve"> حتى سرت هذه العقيدة الى المدارس</w:t>
      </w:r>
      <w:r w:rsidR="00DB731D" w:rsidRPr="00A52585">
        <w:rPr>
          <w:rtl/>
        </w:rPr>
        <w:t>،</w:t>
      </w:r>
      <w:r w:rsidR="00777DCB" w:rsidRPr="00A52585">
        <w:rPr>
          <w:rtl/>
        </w:rPr>
        <w:t xml:space="preserve"> ولقنها التلاميذ في كتبهم</w:t>
      </w:r>
      <w:r w:rsidR="00DB731D" w:rsidRPr="00A52585">
        <w:rPr>
          <w:rtl/>
        </w:rPr>
        <w:t>،</w:t>
      </w:r>
      <w:r w:rsidR="00777DCB" w:rsidRPr="00A52585">
        <w:rPr>
          <w:rtl/>
        </w:rPr>
        <w:t xml:space="preserve"> فقد اطلت في كتاب المطالعة للسنة الثانية بالمدارس الثانوية على عبارتين من هذا القبيل إحداهما ما جاء في صفحة 36 من كتاب المطالعة المذكور ونصها</w:t>
      </w:r>
      <w:r w:rsidRPr="00A52585">
        <w:rPr>
          <w:rtl/>
        </w:rPr>
        <w:t>:</w:t>
      </w:r>
      <w:r w:rsidR="00777DCB" w:rsidRPr="00A52585">
        <w:rPr>
          <w:rtl/>
        </w:rPr>
        <w:t xml:space="preserve"> (</w:t>
      </w:r>
      <w:r w:rsidRPr="00A52585">
        <w:rPr>
          <w:rtl/>
        </w:rPr>
        <w:t>(</w:t>
      </w:r>
      <w:r w:rsidR="00777DCB" w:rsidRPr="00A52585">
        <w:rPr>
          <w:rtl/>
        </w:rPr>
        <w:t>إذ ذاك تظهر جالساً على عرش عظمتك</w:t>
      </w:r>
      <w:r w:rsidRPr="00A52585">
        <w:rPr>
          <w:rtl/>
        </w:rPr>
        <w:t>)</w:t>
      </w:r>
      <w:r w:rsidR="00777DCB" w:rsidRPr="00A52585">
        <w:rPr>
          <w:rtl/>
        </w:rPr>
        <w:t>)</w:t>
      </w:r>
      <w:r w:rsidR="00DB731D" w:rsidRPr="00A52585">
        <w:rPr>
          <w:rtl/>
        </w:rPr>
        <w:t>،</w:t>
      </w:r>
      <w:r w:rsidR="00777DCB" w:rsidRPr="00A52585">
        <w:rPr>
          <w:rtl/>
        </w:rPr>
        <w:t xml:space="preserve"> والثانية</w:t>
      </w:r>
      <w:r w:rsidRPr="00A52585">
        <w:rPr>
          <w:rtl/>
        </w:rPr>
        <w:t>:</w:t>
      </w:r>
      <w:r w:rsidR="00777DCB" w:rsidRPr="00A52585">
        <w:rPr>
          <w:rtl/>
        </w:rPr>
        <w:t xml:space="preserve"> في الصفحة التي تليها ونصها</w:t>
      </w:r>
      <w:r w:rsidRPr="00A52585">
        <w:rPr>
          <w:rtl/>
        </w:rPr>
        <w:t>:</w:t>
      </w:r>
      <w:r w:rsidR="00777DCB" w:rsidRPr="00A52585">
        <w:rPr>
          <w:rtl/>
        </w:rPr>
        <w:t xml:space="preserve"> (</w:t>
      </w:r>
      <w:r w:rsidRPr="00A52585">
        <w:rPr>
          <w:rtl/>
        </w:rPr>
        <w:t>(</w:t>
      </w:r>
      <w:r w:rsidR="00777DCB" w:rsidRPr="00A52585">
        <w:rPr>
          <w:rtl/>
        </w:rPr>
        <w:t xml:space="preserve">إذ ذاك يشرق جبينك النوراني فنراك انت </w:t>
      </w:r>
      <w:proofErr w:type="spellStart"/>
      <w:r w:rsidR="00777DCB" w:rsidRPr="00A52585">
        <w:rPr>
          <w:rtl/>
        </w:rPr>
        <w:t>انت</w:t>
      </w:r>
      <w:proofErr w:type="spellEnd"/>
      <w:r w:rsidR="00777DCB" w:rsidRPr="00A52585">
        <w:rPr>
          <w:rtl/>
        </w:rPr>
        <w:t xml:space="preserve"> الله</w:t>
      </w:r>
      <w:r w:rsidRPr="00A52585">
        <w:rPr>
          <w:rtl/>
        </w:rPr>
        <w:t>)</w:t>
      </w:r>
      <w:r w:rsidR="00777DCB" w:rsidRPr="00A52585">
        <w:rPr>
          <w:rtl/>
        </w:rPr>
        <w:t>) فهاتان العبارتان يفيد ظاهرهما الجلوس والاستقرار</w:t>
      </w:r>
      <w:r w:rsidR="00DB731D" w:rsidRPr="00A52585">
        <w:rPr>
          <w:rtl/>
        </w:rPr>
        <w:t>،</w:t>
      </w:r>
      <w:r w:rsidR="00777DCB" w:rsidRPr="00A52585">
        <w:rPr>
          <w:rtl/>
        </w:rPr>
        <w:t xml:space="preserve"> وأن الله جبيناً نورانياً</w:t>
      </w:r>
      <w:r w:rsidR="00DB731D" w:rsidRPr="00A52585">
        <w:rPr>
          <w:rtl/>
        </w:rPr>
        <w:t>،</w:t>
      </w:r>
      <w:r w:rsidR="00777DCB" w:rsidRPr="00A52585">
        <w:rPr>
          <w:rtl/>
        </w:rPr>
        <w:t xml:space="preserve"> وكل هذا من صفات الحوادث إلا إذا صرف المدرس العبارتين عن ظاهرهما</w:t>
      </w:r>
      <w:r w:rsidR="00DB731D" w:rsidRPr="00A52585">
        <w:rPr>
          <w:rtl/>
        </w:rPr>
        <w:t>،</w:t>
      </w:r>
      <w:r w:rsidR="00777DCB" w:rsidRPr="00A52585">
        <w:rPr>
          <w:rtl/>
        </w:rPr>
        <w:t xml:space="preserve"> وافهم تلاميذه ما يفيد تنزيهه سبحانه عن التحيز والجسمية</w:t>
      </w:r>
      <w:r w:rsidR="00DB731D" w:rsidRPr="00A52585">
        <w:rPr>
          <w:rtl/>
        </w:rPr>
        <w:t>،</w:t>
      </w:r>
      <w:r w:rsidR="00777DCB" w:rsidRPr="00A52585">
        <w:rPr>
          <w:rtl/>
        </w:rPr>
        <w:t xml:space="preserve"> وما يدرينا لعل هناك اشياء من هذا القبيل يروجها السلفيون الأثريون باسم حماية السنة</w:t>
      </w:r>
      <w:r w:rsidR="00DB731D" w:rsidRPr="00A52585">
        <w:rPr>
          <w:rtl/>
        </w:rPr>
        <w:t>،</w:t>
      </w:r>
      <w:r w:rsidR="00777DCB" w:rsidRPr="00A52585">
        <w:rPr>
          <w:rtl/>
        </w:rPr>
        <w:t xml:space="preserve"> والعمل بظواهر النصوص</w:t>
      </w:r>
      <w:r w:rsidR="00DB731D" w:rsidRPr="00A52585">
        <w:rPr>
          <w:rtl/>
        </w:rPr>
        <w:t>،</w:t>
      </w:r>
      <w:r w:rsidR="00777DCB" w:rsidRPr="00A52585">
        <w:rPr>
          <w:rtl/>
        </w:rPr>
        <w:t xml:space="preserve"> وإن منع من الاخذ بظاهر النص مانع شرعي</w:t>
      </w:r>
      <w:r w:rsidR="00DB731D" w:rsidRPr="00A52585">
        <w:rPr>
          <w:rtl/>
        </w:rPr>
        <w:t>،</w:t>
      </w:r>
      <w:r w:rsidR="00777DCB" w:rsidRPr="00A52585">
        <w:rPr>
          <w:rtl/>
        </w:rPr>
        <w:t xml:space="preserve"> وهذا ما نشاهده فعلاً من دعاية واسعة للأخذ بمذهب الكرامية في إثبات الجهة والتجسيم</w:t>
      </w:r>
      <w:r w:rsidR="00DB731D" w:rsidRPr="00A52585">
        <w:rPr>
          <w:rtl/>
        </w:rPr>
        <w:t>،</w:t>
      </w:r>
      <w:r w:rsidR="00777DCB" w:rsidRPr="00A52585">
        <w:rPr>
          <w:rtl/>
        </w:rPr>
        <w:t xml:space="preserve"> والحركة والذهاب والمجيء لذات الله تعالى</w:t>
      </w:r>
      <w:r w:rsidR="00DB731D" w:rsidRPr="00A52585">
        <w:rPr>
          <w:rtl/>
        </w:rPr>
        <w:t>،</w:t>
      </w:r>
      <w:r w:rsidR="00777DCB" w:rsidRPr="00A52585">
        <w:rPr>
          <w:rtl/>
        </w:rPr>
        <w:t xml:space="preserve"> وهذا كتاب (</w:t>
      </w:r>
      <w:r w:rsidRPr="00A52585">
        <w:rPr>
          <w:rtl/>
        </w:rPr>
        <w:t>(</w:t>
      </w:r>
      <w:r w:rsidR="00777DCB" w:rsidRPr="00A52585">
        <w:rPr>
          <w:rtl/>
        </w:rPr>
        <w:t>العلو للعلى الغفار</w:t>
      </w:r>
      <w:r w:rsidRPr="00A52585">
        <w:rPr>
          <w:rtl/>
        </w:rPr>
        <w:t>)</w:t>
      </w:r>
      <w:r w:rsidR="00777DCB" w:rsidRPr="00A52585">
        <w:rPr>
          <w:rtl/>
        </w:rPr>
        <w:t>)</w:t>
      </w:r>
      <w:r w:rsidR="00DB731D" w:rsidRPr="00A52585">
        <w:rPr>
          <w:rtl/>
        </w:rPr>
        <w:t>،</w:t>
      </w:r>
      <w:r w:rsidR="00777DCB" w:rsidRPr="00A52585">
        <w:rPr>
          <w:rtl/>
        </w:rPr>
        <w:t xml:space="preserve"> و(</w:t>
      </w:r>
      <w:r w:rsidRPr="00A52585">
        <w:rPr>
          <w:rtl/>
        </w:rPr>
        <w:t>(</w:t>
      </w:r>
      <w:r w:rsidR="00777DCB" w:rsidRPr="00A52585">
        <w:rPr>
          <w:rtl/>
        </w:rPr>
        <w:t>كتاب السنة</w:t>
      </w:r>
      <w:r w:rsidRPr="00A52585">
        <w:rPr>
          <w:rtl/>
        </w:rPr>
        <w:t>)</w:t>
      </w:r>
      <w:r w:rsidR="00777DCB" w:rsidRPr="00A52585">
        <w:rPr>
          <w:rtl/>
        </w:rPr>
        <w:t>) لعبد الله بن الامام أحمد بن حنبل</w:t>
      </w:r>
      <w:r w:rsidR="00DB731D" w:rsidRPr="00A52585">
        <w:rPr>
          <w:rtl/>
        </w:rPr>
        <w:t>،</w:t>
      </w:r>
      <w:r w:rsidR="00777DCB" w:rsidRPr="00A52585">
        <w:rPr>
          <w:rtl/>
        </w:rPr>
        <w:t xml:space="preserve"> وغيرهما من الكتب التي على هذا الطراز</w:t>
      </w:r>
      <w:r w:rsidR="00DB731D" w:rsidRPr="00A52585">
        <w:rPr>
          <w:rtl/>
        </w:rPr>
        <w:t>،</w:t>
      </w:r>
      <w:r w:rsidR="00777DCB" w:rsidRPr="00A52585">
        <w:rPr>
          <w:rtl/>
        </w:rPr>
        <w:t xml:space="preserve"> والتي تنشر على حساب الدعوة لمذهب خاص</w:t>
      </w:r>
      <w:r w:rsidR="00DB731D" w:rsidRPr="00A52585">
        <w:rPr>
          <w:rtl/>
        </w:rPr>
        <w:t>،</w:t>
      </w:r>
      <w:r w:rsidR="00777DCB" w:rsidRPr="00A52585">
        <w:rPr>
          <w:rtl/>
        </w:rPr>
        <w:t xml:space="preserve"> ونحن نرى نشاط هذه الحركة في مصر</w:t>
      </w:r>
      <w:r w:rsidR="00DB731D" w:rsidRPr="00A52585">
        <w:rPr>
          <w:rtl/>
        </w:rPr>
        <w:t>،</w:t>
      </w:r>
      <w:r w:rsidR="00777DCB" w:rsidRPr="00A52585">
        <w:rPr>
          <w:rtl/>
        </w:rPr>
        <w:t xml:space="preserve"> ولا نرى ما يقابلها من جمهرة العلماء وقادة الفكر وبخاصة علماء الازهر</w:t>
      </w:r>
      <w:r w:rsidR="00DB731D" w:rsidRPr="00A52585">
        <w:rPr>
          <w:rtl/>
        </w:rPr>
        <w:t>،</w:t>
      </w:r>
      <w:r w:rsidR="00777DCB" w:rsidRPr="00A52585">
        <w:rPr>
          <w:rtl/>
        </w:rPr>
        <w:t xml:space="preserve"> فهل يترك الناس بإزاء هذه المشكلة التي تمس العقيدة في صميمها بدون بيان حاسم</w:t>
      </w:r>
      <w:r w:rsidR="00F95886" w:rsidRPr="00A52585">
        <w:rPr>
          <w:rtl/>
        </w:rPr>
        <w:t>!</w:t>
      </w:r>
      <w:r w:rsidR="00777DCB" w:rsidRPr="00A52585">
        <w:rPr>
          <w:rtl/>
        </w:rPr>
        <w:t>؟ وإلى متى السكوت</w:t>
      </w:r>
      <w:r w:rsidR="00F95886" w:rsidRPr="00A52585">
        <w:rPr>
          <w:rtl/>
        </w:rPr>
        <w:t>؟</w:t>
      </w:r>
      <w:r w:rsidR="00777DCB" w:rsidRPr="00A52585">
        <w:rPr>
          <w:rtl/>
        </w:rPr>
        <w:t xml:space="preserve"> إلخ</w:t>
      </w:r>
      <w:r w:rsidR="00897A24" w:rsidRPr="00A52585">
        <w:rPr>
          <w:rtl/>
        </w:rPr>
        <w:t>.</w:t>
      </w:r>
      <w:r w:rsidR="00777DCB" w:rsidRPr="00A52585">
        <w:rPr>
          <w:rtl/>
        </w:rPr>
        <w:t>.. بعث إلى الاستاذ حامد بك بهذا الخطاب أو بكلام هذا معناه</w:t>
      </w:r>
      <w:r w:rsidR="00DB731D" w:rsidRPr="00A52585">
        <w:rPr>
          <w:rtl/>
        </w:rPr>
        <w:t>،</w:t>
      </w:r>
      <w:r w:rsidR="00777DCB" w:rsidRPr="00A52585">
        <w:rPr>
          <w:rtl/>
        </w:rPr>
        <w:t xml:space="preserve"> وشفعه برد مطول</w:t>
      </w:r>
      <w:r w:rsidR="00DB731D" w:rsidRPr="00A52585">
        <w:rPr>
          <w:rtl/>
        </w:rPr>
        <w:t>،</w:t>
      </w:r>
      <w:r w:rsidR="00777DCB" w:rsidRPr="00A52585">
        <w:rPr>
          <w:rtl/>
        </w:rPr>
        <w:t xml:space="preserve"> ولكنى رأيت أن أجيب على كلامه هذا بما لا يخرج عن معنى رده دون أن أجارى الخصوم في </w:t>
      </w:r>
      <w:proofErr w:type="spellStart"/>
      <w:r w:rsidR="00777DCB" w:rsidRPr="00A52585">
        <w:rPr>
          <w:rtl/>
        </w:rPr>
        <w:t>مهاتراتهم</w:t>
      </w:r>
      <w:proofErr w:type="spellEnd"/>
      <w:r w:rsidR="00777DCB" w:rsidRPr="00A52585">
        <w:rPr>
          <w:rtl/>
        </w:rPr>
        <w:t xml:space="preserve"> والتجائهم على الطعن </w:t>
      </w:r>
      <w:proofErr w:type="spellStart"/>
      <w:r w:rsidR="00777DCB" w:rsidRPr="00A52585">
        <w:rPr>
          <w:rtl/>
        </w:rPr>
        <w:t>الشخصى</w:t>
      </w:r>
      <w:proofErr w:type="spellEnd"/>
      <w:r w:rsidR="00DB731D" w:rsidRPr="00A52585">
        <w:rPr>
          <w:rtl/>
        </w:rPr>
        <w:t>،</w:t>
      </w:r>
      <w:r w:rsidR="00777DCB" w:rsidRPr="00A52585">
        <w:rPr>
          <w:rtl/>
        </w:rPr>
        <w:t xml:space="preserve"> بل أمضى في الموضوع لا ألوى على شيء من هذه السفاسف</w:t>
      </w:r>
      <w:r w:rsidR="00DB731D" w:rsidRPr="00A52585">
        <w:rPr>
          <w:rtl/>
        </w:rPr>
        <w:t>،</w:t>
      </w:r>
      <w:r w:rsidR="00777DCB" w:rsidRPr="00A52585">
        <w:rPr>
          <w:rtl/>
        </w:rPr>
        <w:t xml:space="preserve"> هذه المسائل التي يثيرها اليوم </w:t>
      </w:r>
      <w:r w:rsidRPr="00A52585">
        <w:rPr>
          <w:rtl/>
        </w:rPr>
        <w:t>(</w:t>
      </w:r>
      <w:r w:rsidR="00777DCB" w:rsidRPr="00A52585">
        <w:rPr>
          <w:rtl/>
        </w:rPr>
        <w:t>جماعة انصار السنة</w:t>
      </w:r>
      <w:r w:rsidRPr="00A52585">
        <w:rPr>
          <w:rtl/>
        </w:rPr>
        <w:t>)</w:t>
      </w:r>
      <w:r w:rsidR="00777DCB" w:rsidRPr="00A52585">
        <w:rPr>
          <w:rtl/>
        </w:rPr>
        <w:t xml:space="preserve"> اثيرت قديما وفرغ العلماء من الرد عليها</w:t>
      </w:r>
      <w:r w:rsidR="00DB731D" w:rsidRPr="00A52585">
        <w:rPr>
          <w:rtl/>
        </w:rPr>
        <w:t>،</w:t>
      </w:r>
      <w:r w:rsidR="00777DCB" w:rsidRPr="00A52585">
        <w:rPr>
          <w:rtl/>
        </w:rPr>
        <w:t xml:space="preserve"> وهم مقلدون فيها لابن القيم وشيخه تقي الدين ابن تيمية وطوائف من الحنابلة</w:t>
      </w:r>
      <w:r w:rsidR="00DB731D" w:rsidRPr="00A52585">
        <w:rPr>
          <w:rtl/>
        </w:rPr>
        <w:t>،</w:t>
      </w:r>
      <w:r w:rsidR="00777DCB" w:rsidRPr="00A52585">
        <w:rPr>
          <w:rtl/>
        </w:rPr>
        <w:t xml:space="preserve"> والعجب لهؤلاء يقلدون نفراً من العلماء انفردوا بمقالات وآراء وافقوا فيها </w:t>
      </w:r>
      <w:proofErr w:type="spellStart"/>
      <w:r w:rsidR="00777DCB" w:rsidRPr="00A52585">
        <w:rPr>
          <w:rtl/>
        </w:rPr>
        <w:t>الحشوية</w:t>
      </w:r>
      <w:proofErr w:type="spellEnd"/>
      <w:r w:rsidR="00777DCB" w:rsidRPr="00A52585">
        <w:rPr>
          <w:rtl/>
        </w:rPr>
        <w:t xml:space="preserve"> والكرامية</w:t>
      </w:r>
      <w:r w:rsidR="00DB731D" w:rsidRPr="00A52585">
        <w:rPr>
          <w:rtl/>
        </w:rPr>
        <w:t>،</w:t>
      </w:r>
      <w:r w:rsidR="00777DCB" w:rsidRPr="00A52585">
        <w:rPr>
          <w:rtl/>
        </w:rPr>
        <w:t xml:space="preserve"> وخالفوا فيها جميع المسلمين سلفاً وخلفاً</w:t>
      </w:r>
      <w:r w:rsidR="00DB731D" w:rsidRPr="00A52585">
        <w:rPr>
          <w:rtl/>
        </w:rPr>
        <w:t>،</w:t>
      </w:r>
      <w:r w:rsidR="00777DCB" w:rsidRPr="00A52585">
        <w:rPr>
          <w:rtl/>
        </w:rPr>
        <w:t xml:space="preserve"> ثم يزعمون مع هذا انهم مجتهدون كلهم ليس في المتبوعين والاتباع منهم قلد واحد</w:t>
      </w:r>
      <w:r w:rsidR="00DB731D" w:rsidRPr="00A52585">
        <w:rPr>
          <w:rtl/>
        </w:rPr>
        <w:t>،</w:t>
      </w:r>
      <w:r w:rsidR="00777DCB" w:rsidRPr="00A52585">
        <w:rPr>
          <w:rtl/>
        </w:rPr>
        <w:t xml:space="preserve"> لان التقليد فيما زعموا شرك سواء أكان تقليداً في فروع الاحكام ام في أصول العقائد</w:t>
      </w:r>
      <w:r w:rsidR="00897A24" w:rsidRPr="00A52585">
        <w:rPr>
          <w:rtl/>
        </w:rPr>
        <w:t>.</w:t>
      </w:r>
      <w:r w:rsidR="00777DCB" w:rsidRPr="00A52585">
        <w:rPr>
          <w:rtl/>
        </w:rPr>
        <w:t xml:space="preserve">! والبرهان </w:t>
      </w:r>
      <w:r w:rsidR="00777DCB" w:rsidRPr="00A52585">
        <w:rPr>
          <w:rtl/>
        </w:rPr>
        <w:lastRenderedPageBreak/>
        <w:t xml:space="preserve">المحسوس على هذا الزعم من هذه الطائفة قول الاستاذ </w:t>
      </w:r>
      <w:r w:rsidRPr="00A52585">
        <w:rPr>
          <w:rtl/>
        </w:rPr>
        <w:t>(</w:t>
      </w:r>
      <w:r w:rsidR="00777DCB" w:rsidRPr="00A52585">
        <w:rPr>
          <w:rtl/>
        </w:rPr>
        <w:t>أبى السمح</w:t>
      </w:r>
      <w:r w:rsidRPr="00A52585">
        <w:rPr>
          <w:rtl/>
        </w:rPr>
        <w:t>)</w:t>
      </w:r>
      <w:r w:rsidR="00777DCB" w:rsidRPr="00A52585">
        <w:rPr>
          <w:rtl/>
        </w:rPr>
        <w:t xml:space="preserve"> في </w:t>
      </w:r>
      <w:r w:rsidRPr="00A52585">
        <w:rPr>
          <w:rtl/>
        </w:rPr>
        <w:t>(</w:t>
      </w:r>
      <w:r w:rsidR="00777DCB" w:rsidRPr="00A52585">
        <w:rPr>
          <w:rtl/>
        </w:rPr>
        <w:t>صحيفتهم</w:t>
      </w:r>
      <w:r w:rsidRPr="00A52585">
        <w:rPr>
          <w:rtl/>
        </w:rPr>
        <w:t>)</w:t>
      </w:r>
      <w:r w:rsidR="00777DCB" w:rsidRPr="00A52585">
        <w:rPr>
          <w:rtl/>
        </w:rPr>
        <w:t xml:space="preserve"> التي هي صحيفة </w:t>
      </w:r>
      <w:r w:rsidRPr="00A52585">
        <w:rPr>
          <w:rtl/>
        </w:rPr>
        <w:t>(</w:t>
      </w:r>
      <w:r w:rsidR="00777DCB" w:rsidRPr="00A52585">
        <w:rPr>
          <w:rtl/>
        </w:rPr>
        <w:t>الخاصة</w:t>
      </w:r>
      <w:proofErr w:type="gramStart"/>
      <w:r w:rsidRPr="00A52585">
        <w:rPr>
          <w:rtl/>
        </w:rPr>
        <w:t>))(</w:t>
      </w:r>
      <w:proofErr w:type="gramEnd"/>
      <w:r w:rsidR="00777DCB" w:rsidRPr="00A52585">
        <w:rPr>
          <w:rtl/>
        </w:rPr>
        <w:t>بالعدد 22 صـ23</w:t>
      </w:r>
      <w:r w:rsidRPr="00A52585">
        <w:rPr>
          <w:rtl/>
        </w:rPr>
        <w:t>)</w:t>
      </w:r>
      <w:r w:rsidR="00777DCB" w:rsidRPr="00A52585">
        <w:rPr>
          <w:rtl/>
        </w:rPr>
        <w:t xml:space="preserve"> (</w:t>
      </w:r>
      <w:r w:rsidRPr="00A52585">
        <w:rPr>
          <w:rtl/>
        </w:rPr>
        <w:t>(</w:t>
      </w:r>
      <w:r w:rsidR="00777DCB" w:rsidRPr="00A52585">
        <w:rPr>
          <w:rtl/>
        </w:rPr>
        <w:t>وهل يعرف التلاميذ الصغار هذه المذاهب</w:t>
      </w:r>
      <w:r w:rsidR="00F95886" w:rsidRPr="00A52585">
        <w:rPr>
          <w:rtl/>
        </w:rPr>
        <w:t>؟</w:t>
      </w:r>
      <w:r w:rsidR="00777DCB" w:rsidRPr="00A52585">
        <w:rPr>
          <w:rtl/>
        </w:rPr>
        <w:t xml:space="preserve"> </w:t>
      </w:r>
      <w:r w:rsidRPr="00A52585">
        <w:rPr>
          <w:rtl/>
        </w:rPr>
        <w:t>[</w:t>
      </w:r>
      <w:r w:rsidR="00777DCB" w:rsidRPr="00A52585">
        <w:rPr>
          <w:rtl/>
        </w:rPr>
        <w:t>يريد مذاهب الأئمة الأربعة</w:t>
      </w:r>
      <w:r w:rsidRPr="00A52585">
        <w:rPr>
          <w:rtl/>
        </w:rPr>
        <w:t>]</w:t>
      </w:r>
      <w:r w:rsidR="00DB731D" w:rsidRPr="00A52585">
        <w:rPr>
          <w:rtl/>
        </w:rPr>
        <w:t>،</w:t>
      </w:r>
      <w:r w:rsidR="00777DCB" w:rsidRPr="00A52585">
        <w:rPr>
          <w:rtl/>
        </w:rPr>
        <w:t xml:space="preserve"> إنهم يعلمونهم الضلال والتعصب</w:t>
      </w:r>
      <w:r w:rsidR="00DB731D" w:rsidRPr="00A52585">
        <w:rPr>
          <w:rtl/>
        </w:rPr>
        <w:t>،</w:t>
      </w:r>
      <w:r w:rsidR="00777DCB" w:rsidRPr="00A52585">
        <w:rPr>
          <w:rtl/>
        </w:rPr>
        <w:t xml:space="preserve"> ويعلمونهم ما لم يؤمر بتعلمه وليس بواجب</w:t>
      </w:r>
      <w:r w:rsidR="00DB731D" w:rsidRPr="00A52585">
        <w:rPr>
          <w:rtl/>
        </w:rPr>
        <w:t>،</w:t>
      </w:r>
      <w:r w:rsidR="00777DCB" w:rsidRPr="00A52585">
        <w:rPr>
          <w:rtl/>
        </w:rPr>
        <w:t xml:space="preserve"> ولا مندوب بتعليمه</w:t>
      </w:r>
      <w:r w:rsidR="00DB731D" w:rsidRPr="00A52585">
        <w:rPr>
          <w:rtl/>
        </w:rPr>
        <w:t>،</w:t>
      </w:r>
      <w:r w:rsidR="00777DCB" w:rsidRPr="00A52585">
        <w:rPr>
          <w:rtl/>
        </w:rPr>
        <w:t xml:space="preserve"> بل حرام تعليمه وتلقينه للناشئ</w:t>
      </w:r>
      <w:r w:rsidR="00897A24" w:rsidRPr="00A52585">
        <w:rPr>
          <w:rtl/>
        </w:rPr>
        <w:t>.</w:t>
      </w:r>
      <w:r w:rsidR="00777DCB" w:rsidRPr="00A52585">
        <w:rPr>
          <w:rtl/>
        </w:rPr>
        <w:t xml:space="preserve"> اقول</w:t>
      </w:r>
      <w:r w:rsidRPr="00A52585">
        <w:rPr>
          <w:rtl/>
        </w:rPr>
        <w:t>:</w:t>
      </w:r>
      <w:r w:rsidR="00777DCB" w:rsidRPr="00A52585">
        <w:rPr>
          <w:rtl/>
        </w:rPr>
        <w:t xml:space="preserve"> حرام</w:t>
      </w:r>
      <w:r w:rsidR="00F95886" w:rsidRPr="00A52585">
        <w:rPr>
          <w:rtl/>
        </w:rPr>
        <w:t>!</w:t>
      </w:r>
      <w:r w:rsidR="00777DCB" w:rsidRPr="00A52585">
        <w:rPr>
          <w:rtl/>
        </w:rPr>
        <w:t xml:space="preserve"> والدليل عليه قول الله تعالى</w:t>
      </w:r>
      <w:r w:rsidRPr="00A52585">
        <w:rPr>
          <w:rtl/>
        </w:rPr>
        <w:t>:</w:t>
      </w:r>
      <w:r w:rsidR="00777DCB" w:rsidRPr="00A52585">
        <w:rPr>
          <w:rtl/>
        </w:rPr>
        <w:t xml:space="preserve"> </w:t>
      </w:r>
      <w:r w:rsidRPr="00A52585">
        <w:rPr>
          <w:rtl/>
        </w:rPr>
        <w:t>(</w:t>
      </w:r>
      <w:r w:rsidR="00777DCB" w:rsidRPr="00A52585">
        <w:rPr>
          <w:rtl/>
        </w:rPr>
        <w:t>ولا تكونوا من المشركين من الذين فرقوا دينهم</w:t>
      </w:r>
      <w:r w:rsidRPr="00A52585">
        <w:rPr>
          <w:rtl/>
        </w:rPr>
        <w:t>)</w:t>
      </w:r>
      <w:r w:rsidR="00777DCB" w:rsidRPr="00A52585">
        <w:rPr>
          <w:rtl/>
        </w:rPr>
        <w:t xml:space="preserve"> </w:t>
      </w:r>
      <w:r w:rsidRPr="00A52585">
        <w:rPr>
          <w:rtl/>
        </w:rPr>
        <w:t>(</w:t>
      </w:r>
      <w:r w:rsidR="00777DCB" w:rsidRPr="00A52585">
        <w:rPr>
          <w:rtl/>
        </w:rPr>
        <w:t>إٍن الذين فرقوا دينهم وكانوا شيعاً لست منهم في شيء</w:t>
      </w:r>
      <w:r w:rsidRPr="00A52585">
        <w:rPr>
          <w:rtl/>
        </w:rPr>
        <w:t>)</w:t>
      </w:r>
      <w:r w:rsidR="00DB731D" w:rsidRPr="00A52585">
        <w:rPr>
          <w:rtl/>
        </w:rPr>
        <w:t>،</w:t>
      </w:r>
      <w:r w:rsidR="00777DCB" w:rsidRPr="00A52585">
        <w:rPr>
          <w:rtl/>
        </w:rPr>
        <w:t xml:space="preserve"> فانظر الى هذا المنطق السديد من حبرهم وكبيرهم </w:t>
      </w:r>
      <w:r w:rsidRPr="00A52585">
        <w:rPr>
          <w:rtl/>
        </w:rPr>
        <w:t>(</w:t>
      </w:r>
      <w:r w:rsidR="00777DCB" w:rsidRPr="00A52585">
        <w:rPr>
          <w:rtl/>
        </w:rPr>
        <w:t>إمام الحرمين</w:t>
      </w:r>
      <w:r w:rsidR="00DB731D" w:rsidRPr="00A52585">
        <w:rPr>
          <w:rtl/>
        </w:rPr>
        <w:t>،</w:t>
      </w:r>
      <w:r w:rsidR="00777DCB" w:rsidRPr="00A52585">
        <w:rPr>
          <w:rtl/>
        </w:rPr>
        <w:t xml:space="preserve"> وعالم المشرقين</w:t>
      </w:r>
      <w:r w:rsidRPr="00A52585">
        <w:rPr>
          <w:rtl/>
        </w:rPr>
        <w:t>)</w:t>
      </w:r>
      <w:r w:rsidR="00777DCB" w:rsidRPr="00A52585">
        <w:rPr>
          <w:rtl/>
        </w:rPr>
        <w:t xml:space="preserve"> الا ترى انه سجل بهذا المنطق الغريب الشرك على المسلمين وأبناء المسلمين من عصر تدوين مذاهب الائمة المتبوعين الى العصر الحاضر وما بعدة من العصور المقبلة الى أن يرث الله الارض ومن عليها</w:t>
      </w:r>
      <w:r w:rsidR="00DB731D" w:rsidRPr="00A52585">
        <w:rPr>
          <w:rtl/>
        </w:rPr>
        <w:t>،</w:t>
      </w:r>
      <w:r w:rsidR="00777DCB" w:rsidRPr="00A52585">
        <w:rPr>
          <w:rtl/>
        </w:rPr>
        <w:t xml:space="preserve"> يا سبحان الله</w:t>
      </w:r>
      <w:r w:rsidR="00F95886" w:rsidRPr="00A52585">
        <w:rPr>
          <w:rtl/>
        </w:rPr>
        <w:t>!</w:t>
      </w:r>
      <w:r w:rsidR="00777DCB" w:rsidRPr="00A52585">
        <w:rPr>
          <w:rtl/>
        </w:rPr>
        <w:t xml:space="preserve"> أليس من الانصاف أن يسجل الاستاذ على نفسه ومن يرى رأيه من شيعته ما سجله على غيره</w:t>
      </w:r>
      <w:r w:rsidR="00DB731D" w:rsidRPr="00A52585">
        <w:rPr>
          <w:rtl/>
        </w:rPr>
        <w:t>،</w:t>
      </w:r>
      <w:r w:rsidR="00777DCB" w:rsidRPr="00A52585">
        <w:rPr>
          <w:rtl/>
        </w:rPr>
        <w:t xml:space="preserve"> حيث كان متبعاً لمذهب خاص يخالف مذهب غيره</w:t>
      </w:r>
      <w:r w:rsidR="00DB731D" w:rsidRPr="00A52585">
        <w:rPr>
          <w:rtl/>
        </w:rPr>
        <w:t>،</w:t>
      </w:r>
      <w:r w:rsidR="00777DCB" w:rsidRPr="00A52585">
        <w:rPr>
          <w:rtl/>
        </w:rPr>
        <w:t xml:space="preserve"> ويفترق عنه في تفريع الاحكام المأخوذة من الاصلين الكتاب والسنة</w:t>
      </w:r>
      <w:r w:rsidR="00DB731D" w:rsidRPr="00A52585">
        <w:rPr>
          <w:rtl/>
        </w:rPr>
        <w:t>،</w:t>
      </w:r>
      <w:r w:rsidR="00777DCB" w:rsidRPr="00A52585">
        <w:rPr>
          <w:rtl/>
        </w:rPr>
        <w:t xml:space="preserve"> وهل عنده من الشجاعة والاستقلال في الرأي ما يجعله يدين في المتشابهات بما يدين به عامة المسلمين من التفويض المطلق</w:t>
      </w:r>
      <w:r w:rsidR="00DB731D" w:rsidRPr="00A52585">
        <w:rPr>
          <w:rtl/>
        </w:rPr>
        <w:t>،</w:t>
      </w:r>
      <w:r w:rsidR="00777DCB" w:rsidRPr="00A52585">
        <w:rPr>
          <w:rtl/>
        </w:rPr>
        <w:t xml:space="preserve"> دون ان يفسر الاستواء بالجلوس والنزول بالحركة</w:t>
      </w:r>
      <w:r w:rsidR="00DB731D" w:rsidRPr="00A52585">
        <w:rPr>
          <w:rtl/>
        </w:rPr>
        <w:t>،</w:t>
      </w:r>
      <w:r w:rsidR="00777DCB" w:rsidRPr="00A52585">
        <w:rPr>
          <w:rtl/>
        </w:rPr>
        <w:t xml:space="preserve"> والكلام بالصوت إلخ كما هو ا مذهب السلف</w:t>
      </w:r>
      <w:r w:rsidR="00DB731D" w:rsidRPr="00A52585">
        <w:rPr>
          <w:rtl/>
        </w:rPr>
        <w:t>،</w:t>
      </w:r>
      <w:r w:rsidR="00777DCB" w:rsidRPr="00A52585">
        <w:rPr>
          <w:rtl/>
        </w:rPr>
        <w:t xml:space="preserve"> او يؤول النصوص بما يفيد </w:t>
      </w:r>
      <w:proofErr w:type="spellStart"/>
      <w:r w:rsidR="00777DCB" w:rsidRPr="00A52585">
        <w:rPr>
          <w:rtl/>
        </w:rPr>
        <w:t>التنزية</w:t>
      </w:r>
      <w:proofErr w:type="spellEnd"/>
      <w:r w:rsidR="00777DCB" w:rsidRPr="00A52585">
        <w:rPr>
          <w:rtl/>
        </w:rPr>
        <w:t xml:space="preserve"> والتقديس كما هو</w:t>
      </w:r>
      <w:r w:rsidRPr="00A52585">
        <w:rPr>
          <w:rtl/>
        </w:rPr>
        <w:t xml:space="preserve"> </w:t>
      </w:r>
      <w:r w:rsidR="00777DCB" w:rsidRPr="00A52585">
        <w:rPr>
          <w:rtl/>
        </w:rPr>
        <w:t>مذهب الخلف</w:t>
      </w:r>
      <w:r w:rsidR="00897A24" w:rsidRPr="00A52585">
        <w:rPr>
          <w:rtl/>
        </w:rPr>
        <w:t>.</w:t>
      </w:r>
      <w:r w:rsidR="00777DCB" w:rsidRPr="00A52585">
        <w:rPr>
          <w:rtl/>
        </w:rPr>
        <w:t xml:space="preserve"> إن كان عنده هذا القدر من الشجاعة والاستقلال في </w:t>
      </w:r>
      <w:proofErr w:type="spellStart"/>
      <w:r w:rsidR="00777DCB" w:rsidRPr="00A52585">
        <w:rPr>
          <w:rtl/>
        </w:rPr>
        <w:t>فقة</w:t>
      </w:r>
      <w:proofErr w:type="spellEnd"/>
      <w:r w:rsidR="00777DCB" w:rsidRPr="00A52585">
        <w:rPr>
          <w:rtl/>
        </w:rPr>
        <w:t xml:space="preserve"> الاحكام وفهمهما من الكتاب والسنة فيعلن لنا رأيه بصراحة هو</w:t>
      </w:r>
      <w:r w:rsidRPr="00A52585">
        <w:rPr>
          <w:rtl/>
        </w:rPr>
        <w:t xml:space="preserve"> </w:t>
      </w:r>
      <w:r w:rsidR="00777DCB" w:rsidRPr="00A52585">
        <w:rPr>
          <w:rtl/>
        </w:rPr>
        <w:t>او يقول بنحلته في الامور الاتية</w:t>
      </w:r>
      <w:r w:rsidRPr="00A52585">
        <w:rPr>
          <w:rtl/>
        </w:rPr>
        <w:t>:</w:t>
      </w:r>
      <w:r w:rsidR="00777DCB" w:rsidRPr="00A52585">
        <w:rPr>
          <w:rtl/>
        </w:rPr>
        <w:t xml:space="preserve"> جاء في كتاب (</w:t>
      </w:r>
      <w:r w:rsidRPr="00A52585">
        <w:rPr>
          <w:rtl/>
        </w:rPr>
        <w:t>(</w:t>
      </w:r>
      <w:r w:rsidR="00777DCB" w:rsidRPr="00A52585">
        <w:rPr>
          <w:rtl/>
        </w:rPr>
        <w:t>السنة</w:t>
      </w:r>
      <w:r w:rsidRPr="00A52585">
        <w:rPr>
          <w:rtl/>
        </w:rPr>
        <w:t>)</w:t>
      </w:r>
      <w:r w:rsidR="00777DCB" w:rsidRPr="00A52585">
        <w:rPr>
          <w:rtl/>
        </w:rPr>
        <w:t xml:space="preserve">) للحافظ عبد الله بن الإمام أحمد بن حنبل طبعه المطبعة السلفية بمكة </w:t>
      </w:r>
      <w:r w:rsidRPr="00A52585">
        <w:rPr>
          <w:rtl/>
        </w:rPr>
        <w:t>(</w:t>
      </w:r>
      <w:r w:rsidR="00777DCB" w:rsidRPr="00A52585">
        <w:rPr>
          <w:rtl/>
        </w:rPr>
        <w:t>صـ5 جـ 1</w:t>
      </w:r>
      <w:r w:rsidRPr="00A52585">
        <w:rPr>
          <w:rtl/>
        </w:rPr>
        <w:t>)</w:t>
      </w:r>
      <w:r w:rsidR="00777DCB" w:rsidRPr="00A52585">
        <w:rPr>
          <w:rtl/>
        </w:rPr>
        <w:t xml:space="preserve"> ما نصه</w:t>
      </w:r>
      <w:r w:rsidRPr="00A52585">
        <w:rPr>
          <w:rtl/>
        </w:rPr>
        <w:t>:</w:t>
      </w:r>
      <w:r w:rsidR="00777DCB" w:rsidRPr="00A52585">
        <w:rPr>
          <w:rtl/>
        </w:rPr>
        <w:t xml:space="preserve"> (</w:t>
      </w:r>
      <w:r w:rsidRPr="00A52585">
        <w:rPr>
          <w:rtl/>
        </w:rPr>
        <w:t>(</w:t>
      </w:r>
      <w:r w:rsidR="00777DCB" w:rsidRPr="00A52585">
        <w:rPr>
          <w:rtl/>
        </w:rPr>
        <w:t>حدثني أحمد بن سعيد ابو جعفر الدرامي</w:t>
      </w:r>
      <w:r w:rsidR="00DB731D" w:rsidRPr="00A52585">
        <w:rPr>
          <w:rtl/>
        </w:rPr>
        <w:t>،</w:t>
      </w:r>
      <w:r w:rsidR="00777DCB" w:rsidRPr="00A52585">
        <w:rPr>
          <w:rtl/>
        </w:rPr>
        <w:t xml:space="preserve"> سمعت ابى سمعت خارجة يقول</w:t>
      </w:r>
      <w:r w:rsidRPr="00A52585">
        <w:rPr>
          <w:rtl/>
        </w:rPr>
        <w:t>:</w:t>
      </w:r>
      <w:r w:rsidR="00777DCB" w:rsidRPr="00A52585">
        <w:rPr>
          <w:rtl/>
        </w:rPr>
        <w:t xml:space="preserve"> الجهمية كفار</w:t>
      </w:r>
      <w:r w:rsidR="00DB731D" w:rsidRPr="00A52585">
        <w:rPr>
          <w:rtl/>
        </w:rPr>
        <w:t>،</w:t>
      </w:r>
      <w:r w:rsidR="00777DCB" w:rsidRPr="00A52585">
        <w:rPr>
          <w:rtl/>
        </w:rPr>
        <w:t xml:space="preserve"> بلغوا نسائهم أنهم طوالق</w:t>
      </w:r>
      <w:r w:rsidR="00DB731D" w:rsidRPr="00A52585">
        <w:rPr>
          <w:rtl/>
        </w:rPr>
        <w:t>،</w:t>
      </w:r>
      <w:r w:rsidR="00777DCB" w:rsidRPr="00A52585">
        <w:rPr>
          <w:rtl/>
        </w:rPr>
        <w:t xml:space="preserve"> وأنهن لا يحللن لأزواجهن</w:t>
      </w:r>
      <w:r w:rsidR="00DB731D" w:rsidRPr="00A52585">
        <w:rPr>
          <w:rtl/>
        </w:rPr>
        <w:t>،</w:t>
      </w:r>
      <w:r w:rsidR="00777DCB" w:rsidRPr="00A52585">
        <w:rPr>
          <w:rtl/>
        </w:rPr>
        <w:t xml:space="preserve"> لا تعدوا مرضاهم</w:t>
      </w:r>
      <w:r w:rsidR="00DB731D" w:rsidRPr="00A52585">
        <w:rPr>
          <w:rtl/>
        </w:rPr>
        <w:t>،</w:t>
      </w:r>
      <w:r w:rsidR="00777DCB" w:rsidRPr="00A52585">
        <w:rPr>
          <w:rtl/>
        </w:rPr>
        <w:t xml:space="preserve"> ولا تشهدوا جنائزهم ثم تلا</w:t>
      </w:r>
      <w:r w:rsidRPr="00A52585">
        <w:rPr>
          <w:rtl/>
        </w:rPr>
        <w:t>:</w:t>
      </w:r>
      <w:r w:rsidR="00777DCB" w:rsidRPr="00A52585">
        <w:rPr>
          <w:rtl/>
        </w:rPr>
        <w:t xml:space="preserve"> </w:t>
      </w:r>
      <w:r w:rsidRPr="00A52585">
        <w:rPr>
          <w:rtl/>
        </w:rPr>
        <w:t>(</w:t>
      </w:r>
      <w:r w:rsidR="00777DCB" w:rsidRPr="00A52585">
        <w:rPr>
          <w:rtl/>
        </w:rPr>
        <w:t>طه * ما انزلنا عليك القرآن لتشقى * ألا تذكرة لمن يخشى *</w:t>
      </w:r>
      <w:r w:rsidRPr="00A52585">
        <w:rPr>
          <w:rtl/>
        </w:rPr>
        <w:t>)</w:t>
      </w:r>
      <w:r w:rsidR="00777DCB" w:rsidRPr="00A52585">
        <w:rPr>
          <w:rtl/>
        </w:rPr>
        <w:t xml:space="preserve"> الى قوله</w:t>
      </w:r>
      <w:r w:rsidRPr="00A52585">
        <w:rPr>
          <w:rtl/>
        </w:rPr>
        <w:t>:</w:t>
      </w:r>
      <w:r w:rsidR="00777DCB" w:rsidRPr="00A52585">
        <w:rPr>
          <w:rtl/>
        </w:rPr>
        <w:t xml:space="preserve"> </w:t>
      </w:r>
      <w:r w:rsidRPr="00A52585">
        <w:rPr>
          <w:rtl/>
        </w:rPr>
        <w:t>(</w:t>
      </w:r>
      <w:r w:rsidR="00777DCB" w:rsidRPr="00A52585">
        <w:rPr>
          <w:rtl/>
        </w:rPr>
        <w:t>الرحمن على العرش استوى *</w:t>
      </w:r>
      <w:r w:rsidRPr="00A52585">
        <w:rPr>
          <w:rtl/>
        </w:rPr>
        <w:t>)</w:t>
      </w:r>
      <w:r w:rsidR="00777DCB" w:rsidRPr="00A52585">
        <w:rPr>
          <w:rtl/>
        </w:rPr>
        <w:t xml:space="preserve"> فهل يكون الاستواء إلا بجلوس</w:t>
      </w:r>
      <w:r w:rsidR="00897A24" w:rsidRPr="00A52585">
        <w:rPr>
          <w:rtl/>
        </w:rPr>
        <w:t>.</w:t>
      </w:r>
      <w:r w:rsidR="00777DCB" w:rsidRPr="00A52585">
        <w:rPr>
          <w:rtl/>
        </w:rPr>
        <w:t>..! وفيه (صـ56 جـ 1</w:t>
      </w:r>
      <w:r w:rsidRPr="00A52585">
        <w:rPr>
          <w:rtl/>
        </w:rPr>
        <w:t>)</w:t>
      </w:r>
      <w:r w:rsidR="00777DCB" w:rsidRPr="00A52585">
        <w:rPr>
          <w:rtl/>
        </w:rPr>
        <w:t xml:space="preserve"> عن ابى هريرة عن النبي صلى الله عليه وسلم</w:t>
      </w:r>
      <w:r w:rsidRPr="00A52585">
        <w:rPr>
          <w:rtl/>
        </w:rPr>
        <w:t>:</w:t>
      </w:r>
      <w:r w:rsidR="00777DCB" w:rsidRPr="00A52585">
        <w:rPr>
          <w:rtl/>
        </w:rPr>
        <w:t xml:space="preserve"> (</w:t>
      </w:r>
      <w:r w:rsidRPr="00A52585">
        <w:rPr>
          <w:rtl/>
        </w:rPr>
        <w:t>(</w:t>
      </w:r>
      <w:r w:rsidR="00777DCB" w:rsidRPr="00A52585">
        <w:rPr>
          <w:rtl/>
        </w:rPr>
        <w:t>أذا ضرب احدكم فليتجنب الوجه فإن الله خلق آدم على صورته</w:t>
      </w:r>
      <w:r w:rsidRPr="00A52585">
        <w:rPr>
          <w:rtl/>
        </w:rPr>
        <w:t>)</w:t>
      </w:r>
      <w:r w:rsidR="00777DCB" w:rsidRPr="00A52585">
        <w:rPr>
          <w:rtl/>
        </w:rPr>
        <w:t>) أتفوض ام تفسر الوجه بما يفهمه ظاهر اللفظ</w:t>
      </w:r>
      <w:r w:rsidR="00DB731D" w:rsidRPr="00A52585">
        <w:rPr>
          <w:rtl/>
        </w:rPr>
        <w:t>،</w:t>
      </w:r>
      <w:r w:rsidR="00777DCB" w:rsidRPr="00A52585">
        <w:rPr>
          <w:rtl/>
        </w:rPr>
        <w:t xml:space="preserve"> وهل ينفك بعد هذا التفسير أن تقول</w:t>
      </w:r>
      <w:r w:rsidRPr="00A52585">
        <w:rPr>
          <w:rtl/>
        </w:rPr>
        <w:t>:</w:t>
      </w:r>
      <w:r w:rsidR="00777DCB" w:rsidRPr="00A52585">
        <w:rPr>
          <w:rtl/>
        </w:rPr>
        <w:t xml:space="preserve"> إن الكيف مجهول</w:t>
      </w:r>
      <w:r w:rsidR="00F95886" w:rsidRPr="00A52585">
        <w:rPr>
          <w:rtl/>
        </w:rPr>
        <w:t>!</w:t>
      </w:r>
      <w:r w:rsidR="00777DCB" w:rsidRPr="00A52585">
        <w:rPr>
          <w:rtl/>
        </w:rPr>
        <w:t xml:space="preserve">؟ ومثله في </w:t>
      </w:r>
      <w:r w:rsidRPr="00A52585">
        <w:rPr>
          <w:rtl/>
        </w:rPr>
        <w:t>(</w:t>
      </w:r>
      <w:r w:rsidR="00777DCB" w:rsidRPr="00A52585">
        <w:rPr>
          <w:rtl/>
        </w:rPr>
        <w:t>صـ142 جـ 2</w:t>
      </w:r>
      <w:r w:rsidRPr="00A52585">
        <w:rPr>
          <w:rtl/>
        </w:rPr>
        <w:t>)</w:t>
      </w:r>
      <w:r w:rsidR="00777DCB" w:rsidRPr="00A52585">
        <w:rPr>
          <w:rtl/>
        </w:rPr>
        <w:t xml:space="preserve"> عن ابى هريرة عن النبي صلى الله عليه وسلم</w:t>
      </w:r>
      <w:r w:rsidRPr="00A52585">
        <w:rPr>
          <w:rtl/>
        </w:rPr>
        <w:t>:</w:t>
      </w:r>
      <w:r w:rsidR="00777DCB" w:rsidRPr="00A52585">
        <w:rPr>
          <w:rtl/>
        </w:rPr>
        <w:t xml:space="preserve"> (</w:t>
      </w:r>
      <w:r w:rsidRPr="00A52585">
        <w:rPr>
          <w:rtl/>
        </w:rPr>
        <w:t>(</w:t>
      </w:r>
      <w:r w:rsidR="00777DCB" w:rsidRPr="00A52585">
        <w:rPr>
          <w:rtl/>
        </w:rPr>
        <w:t>إذا ضرب احدكم فليتجنب الوجه</w:t>
      </w:r>
      <w:r w:rsidR="00DB731D" w:rsidRPr="00A52585">
        <w:rPr>
          <w:rtl/>
        </w:rPr>
        <w:t>،</w:t>
      </w:r>
      <w:r w:rsidR="00777DCB" w:rsidRPr="00A52585">
        <w:rPr>
          <w:rtl/>
        </w:rPr>
        <w:t xml:space="preserve"> ولا يقول قبح الله وجهك ووجه من اشبه وجهك</w:t>
      </w:r>
      <w:r w:rsidRPr="00A52585">
        <w:rPr>
          <w:rtl/>
        </w:rPr>
        <w:t>)</w:t>
      </w:r>
      <w:r w:rsidR="00777DCB" w:rsidRPr="00A52585">
        <w:rPr>
          <w:rtl/>
        </w:rPr>
        <w:t>)</w:t>
      </w:r>
      <w:r w:rsidR="00DB731D" w:rsidRPr="00A52585">
        <w:rPr>
          <w:rtl/>
        </w:rPr>
        <w:t>،</w:t>
      </w:r>
      <w:r w:rsidR="00777DCB" w:rsidRPr="00A52585">
        <w:rPr>
          <w:rtl/>
        </w:rPr>
        <w:t xml:space="preserve"> وما يقولون فيما جاء فيه </w:t>
      </w:r>
      <w:r w:rsidRPr="00A52585">
        <w:rPr>
          <w:rtl/>
        </w:rPr>
        <w:t>(</w:t>
      </w:r>
      <w:r w:rsidR="00777DCB" w:rsidRPr="00A52585">
        <w:rPr>
          <w:rtl/>
        </w:rPr>
        <w:t>صـ 68 جـ 1</w:t>
      </w:r>
      <w:r w:rsidRPr="00A52585">
        <w:rPr>
          <w:rtl/>
        </w:rPr>
        <w:t>)</w:t>
      </w:r>
      <w:r w:rsidR="00777DCB" w:rsidRPr="00A52585">
        <w:rPr>
          <w:rtl/>
        </w:rPr>
        <w:t xml:space="preserve"> حدثني ابى</w:t>
      </w:r>
      <w:r w:rsidR="00DB731D" w:rsidRPr="00A52585">
        <w:rPr>
          <w:rtl/>
        </w:rPr>
        <w:t>،</w:t>
      </w:r>
      <w:r w:rsidR="00777DCB" w:rsidRPr="00A52585">
        <w:rPr>
          <w:rtl/>
        </w:rPr>
        <w:t xml:space="preserve"> حدثنا ابو المغيرة</w:t>
      </w:r>
      <w:r w:rsidR="00DB731D" w:rsidRPr="00A52585">
        <w:rPr>
          <w:rtl/>
        </w:rPr>
        <w:t>،</w:t>
      </w:r>
      <w:r w:rsidR="00777DCB" w:rsidRPr="00A52585">
        <w:rPr>
          <w:rtl/>
        </w:rPr>
        <w:t xml:space="preserve"> حدثتنا عبدة</w:t>
      </w:r>
      <w:r w:rsidR="00DB731D" w:rsidRPr="00A52585">
        <w:rPr>
          <w:rtl/>
        </w:rPr>
        <w:t>،</w:t>
      </w:r>
      <w:r w:rsidR="00777DCB" w:rsidRPr="00A52585">
        <w:rPr>
          <w:rtl/>
        </w:rPr>
        <w:t xml:space="preserve"> عنة أبيها خالد بن معدان قال</w:t>
      </w:r>
      <w:r w:rsidRPr="00A52585">
        <w:rPr>
          <w:rtl/>
        </w:rPr>
        <w:t>:</w:t>
      </w:r>
      <w:r w:rsidR="00777DCB" w:rsidRPr="00A52585">
        <w:rPr>
          <w:rtl/>
        </w:rPr>
        <w:t xml:space="preserve"> (</w:t>
      </w:r>
      <w:r w:rsidRPr="00A52585">
        <w:rPr>
          <w:rtl/>
        </w:rPr>
        <w:t>(</w:t>
      </w:r>
      <w:r w:rsidR="00777DCB" w:rsidRPr="00A52585">
        <w:rPr>
          <w:rtl/>
        </w:rPr>
        <w:t>إن الله لم يمس بيده إلا آدم خلقه بيده</w:t>
      </w:r>
      <w:r w:rsidR="00DB731D" w:rsidRPr="00A52585">
        <w:rPr>
          <w:rtl/>
        </w:rPr>
        <w:t>،</w:t>
      </w:r>
      <w:r w:rsidR="00777DCB" w:rsidRPr="00A52585">
        <w:rPr>
          <w:rtl/>
        </w:rPr>
        <w:t xml:space="preserve"> والجنة</w:t>
      </w:r>
      <w:r w:rsidR="00DB731D" w:rsidRPr="00A52585">
        <w:rPr>
          <w:rtl/>
        </w:rPr>
        <w:t>،</w:t>
      </w:r>
      <w:r w:rsidR="00777DCB" w:rsidRPr="00A52585">
        <w:rPr>
          <w:rtl/>
        </w:rPr>
        <w:t xml:space="preserve"> والتوراة كتبها بيده</w:t>
      </w:r>
      <w:r w:rsidR="00DB731D" w:rsidRPr="00A52585">
        <w:rPr>
          <w:rtl/>
        </w:rPr>
        <w:t>،</w:t>
      </w:r>
      <w:r w:rsidR="00777DCB" w:rsidRPr="00A52585">
        <w:rPr>
          <w:rtl/>
        </w:rPr>
        <w:t xml:space="preserve"> قال</w:t>
      </w:r>
      <w:r w:rsidRPr="00A52585">
        <w:rPr>
          <w:rtl/>
        </w:rPr>
        <w:t>:</w:t>
      </w:r>
      <w:r w:rsidR="00777DCB" w:rsidRPr="00A52585">
        <w:rPr>
          <w:rtl/>
        </w:rPr>
        <w:t xml:space="preserve"> ودملج الله لؤلؤة </w:t>
      </w:r>
      <w:r w:rsidR="00777DCB" w:rsidRPr="00A52585">
        <w:rPr>
          <w:rtl/>
        </w:rPr>
        <w:lastRenderedPageBreak/>
        <w:t>بيده فغرس فيها قضيباً</w:t>
      </w:r>
      <w:r w:rsidR="00DB731D" w:rsidRPr="00A52585">
        <w:rPr>
          <w:rtl/>
        </w:rPr>
        <w:t>،</w:t>
      </w:r>
      <w:r w:rsidR="00777DCB" w:rsidRPr="00A52585">
        <w:rPr>
          <w:rtl/>
        </w:rPr>
        <w:t xml:space="preserve"> فقال امتدي حتى ارضى</w:t>
      </w:r>
      <w:r w:rsidR="00DB731D" w:rsidRPr="00A52585">
        <w:rPr>
          <w:rtl/>
        </w:rPr>
        <w:t>،</w:t>
      </w:r>
      <w:r w:rsidR="00777DCB" w:rsidRPr="00A52585">
        <w:rPr>
          <w:rtl/>
        </w:rPr>
        <w:t xml:space="preserve"> واخرجي ما فيك بإذني</w:t>
      </w:r>
      <w:r w:rsidR="00DB731D" w:rsidRPr="00A52585">
        <w:rPr>
          <w:rtl/>
        </w:rPr>
        <w:t>،</w:t>
      </w:r>
      <w:r w:rsidR="00777DCB" w:rsidRPr="00A52585">
        <w:rPr>
          <w:rtl/>
        </w:rPr>
        <w:t xml:space="preserve"> فأخرجت الانهار والثمار</w:t>
      </w:r>
      <w:r w:rsidRPr="00A52585">
        <w:rPr>
          <w:rtl/>
        </w:rPr>
        <w:t>)</w:t>
      </w:r>
      <w:r w:rsidR="00777DCB" w:rsidRPr="00A52585">
        <w:rPr>
          <w:rtl/>
        </w:rPr>
        <w:t>)</w:t>
      </w:r>
      <w:r w:rsidR="00DB731D" w:rsidRPr="00A52585">
        <w:rPr>
          <w:rtl/>
        </w:rPr>
        <w:t>،</w:t>
      </w:r>
      <w:r w:rsidR="00777DCB" w:rsidRPr="00A52585">
        <w:rPr>
          <w:rtl/>
        </w:rPr>
        <w:t xml:space="preserve"> وفي(صـ70 جـ1) حدثنا إسرائيل</w:t>
      </w:r>
      <w:r w:rsidR="00DB731D" w:rsidRPr="00A52585">
        <w:rPr>
          <w:rtl/>
        </w:rPr>
        <w:t>،</w:t>
      </w:r>
      <w:r w:rsidR="00777DCB" w:rsidRPr="00A52585">
        <w:rPr>
          <w:rtl/>
        </w:rPr>
        <w:t xml:space="preserve"> عن ابى إسحاق</w:t>
      </w:r>
      <w:r w:rsidR="00DB731D" w:rsidRPr="00A52585">
        <w:rPr>
          <w:rtl/>
        </w:rPr>
        <w:t>،</w:t>
      </w:r>
      <w:r w:rsidR="00777DCB" w:rsidRPr="00A52585">
        <w:rPr>
          <w:rtl/>
        </w:rPr>
        <w:t xml:space="preserve"> عن عبد الله بن خليفة قال</w:t>
      </w:r>
      <w:r w:rsidRPr="00A52585">
        <w:rPr>
          <w:rtl/>
        </w:rPr>
        <w:t>:</w:t>
      </w:r>
      <w:r w:rsidR="00777DCB" w:rsidRPr="00A52585">
        <w:rPr>
          <w:rtl/>
        </w:rPr>
        <w:t xml:space="preserve"> (</w:t>
      </w:r>
      <w:r w:rsidRPr="00A52585">
        <w:rPr>
          <w:rtl/>
        </w:rPr>
        <w:t>(</w:t>
      </w:r>
      <w:r w:rsidR="00777DCB" w:rsidRPr="00A52585">
        <w:rPr>
          <w:rtl/>
        </w:rPr>
        <w:t>جاءت امرأة الى النبي صلى الله عليه وسلم فقالت ادع الله ان يدخلني الجنة</w:t>
      </w:r>
      <w:r w:rsidR="00DB731D" w:rsidRPr="00A52585">
        <w:rPr>
          <w:rtl/>
        </w:rPr>
        <w:t>،</w:t>
      </w:r>
      <w:r w:rsidR="00777DCB" w:rsidRPr="00A52585">
        <w:rPr>
          <w:rtl/>
        </w:rPr>
        <w:t xml:space="preserve"> قال</w:t>
      </w:r>
      <w:r w:rsidRPr="00A52585">
        <w:rPr>
          <w:rtl/>
        </w:rPr>
        <w:t>:</w:t>
      </w:r>
      <w:r w:rsidR="00777DCB" w:rsidRPr="00A52585">
        <w:rPr>
          <w:rtl/>
        </w:rPr>
        <w:t xml:space="preserve"> فعظم الرب وقال</w:t>
      </w:r>
      <w:r w:rsidRPr="00A52585">
        <w:rPr>
          <w:rtl/>
        </w:rPr>
        <w:t>:</w:t>
      </w:r>
      <w:r w:rsidR="00777DCB" w:rsidRPr="00A52585">
        <w:rPr>
          <w:rtl/>
        </w:rPr>
        <w:t xml:space="preserve"> وسع كرسيه السموات والارض إنه ليقعد عليه فما يفضل عليه فما يفضل منه إلا قيد أربع أصابع</w:t>
      </w:r>
      <w:r w:rsidR="00DB731D" w:rsidRPr="00A52585">
        <w:rPr>
          <w:rtl/>
        </w:rPr>
        <w:t>،</w:t>
      </w:r>
      <w:r w:rsidR="00777DCB" w:rsidRPr="00A52585">
        <w:rPr>
          <w:rtl/>
        </w:rPr>
        <w:t xml:space="preserve"> وإن له أطيط الرحل إذا ركب</w:t>
      </w:r>
      <w:r w:rsidRPr="00A52585">
        <w:rPr>
          <w:rtl/>
        </w:rPr>
        <w:t>)</w:t>
      </w:r>
      <w:r w:rsidR="00777DCB" w:rsidRPr="00A52585">
        <w:rPr>
          <w:rtl/>
        </w:rPr>
        <w:t>)</w:t>
      </w:r>
      <w:r w:rsidR="00DB731D" w:rsidRPr="00A52585">
        <w:rPr>
          <w:rtl/>
        </w:rPr>
        <w:t>،</w:t>
      </w:r>
      <w:r w:rsidR="00777DCB" w:rsidRPr="00A52585">
        <w:rPr>
          <w:rtl/>
        </w:rPr>
        <w:t xml:space="preserve"> وفي (صـ 142 جـ2) منه حدثني ابى</w:t>
      </w:r>
      <w:r w:rsidR="00DB731D" w:rsidRPr="00A52585">
        <w:rPr>
          <w:rtl/>
        </w:rPr>
        <w:t>،</w:t>
      </w:r>
      <w:r w:rsidR="00777DCB" w:rsidRPr="00A52585">
        <w:rPr>
          <w:rtl/>
        </w:rPr>
        <w:t xml:space="preserve"> حدثنا ابو المغيرة، حدثتنا عبدة بنت خالد بن معدان</w:t>
      </w:r>
      <w:r w:rsidR="00DB731D" w:rsidRPr="00A52585">
        <w:rPr>
          <w:rtl/>
        </w:rPr>
        <w:t>،</w:t>
      </w:r>
      <w:r w:rsidR="00777DCB" w:rsidRPr="00A52585">
        <w:rPr>
          <w:rtl/>
        </w:rPr>
        <w:t xml:space="preserve"> عن ابيها خالد بن معدان </w:t>
      </w:r>
      <w:proofErr w:type="spellStart"/>
      <w:r w:rsidR="00777DCB" w:rsidRPr="00A52585">
        <w:rPr>
          <w:rtl/>
        </w:rPr>
        <w:t>أنة</w:t>
      </w:r>
      <w:proofErr w:type="spellEnd"/>
      <w:r w:rsidR="00777DCB" w:rsidRPr="00A52585">
        <w:rPr>
          <w:rtl/>
        </w:rPr>
        <w:t xml:space="preserve"> كان يقول</w:t>
      </w:r>
      <w:r w:rsidRPr="00A52585">
        <w:rPr>
          <w:rtl/>
        </w:rPr>
        <w:t>:</w:t>
      </w:r>
      <w:r w:rsidR="00777DCB" w:rsidRPr="00A52585">
        <w:rPr>
          <w:rtl/>
        </w:rPr>
        <w:t xml:space="preserve"> (</w:t>
      </w:r>
      <w:r w:rsidRPr="00A52585">
        <w:rPr>
          <w:rtl/>
        </w:rPr>
        <w:t>(</w:t>
      </w:r>
      <w:r w:rsidR="00777DCB" w:rsidRPr="00A52585">
        <w:rPr>
          <w:rtl/>
        </w:rPr>
        <w:t>إن الرحمن ليثقل على حملة العرش من أول النهار إذا قام المشركون</w:t>
      </w:r>
      <w:r w:rsidR="00DB731D" w:rsidRPr="00A52585">
        <w:rPr>
          <w:rtl/>
        </w:rPr>
        <w:t>،</w:t>
      </w:r>
      <w:r w:rsidR="00777DCB" w:rsidRPr="00A52585">
        <w:rPr>
          <w:rtl/>
        </w:rPr>
        <w:t xml:space="preserve"> حتى إذا قام المسبحون خفف عن حملة العرش</w:t>
      </w:r>
      <w:r w:rsidRPr="00A52585">
        <w:rPr>
          <w:rtl/>
        </w:rPr>
        <w:t>)</w:t>
      </w:r>
      <w:r w:rsidR="00777DCB" w:rsidRPr="00A52585">
        <w:rPr>
          <w:rtl/>
        </w:rPr>
        <w:t>)</w:t>
      </w:r>
      <w:r w:rsidR="00DB731D" w:rsidRPr="00A52585">
        <w:rPr>
          <w:rtl/>
        </w:rPr>
        <w:t>،</w:t>
      </w:r>
      <w:r w:rsidR="00777DCB" w:rsidRPr="00A52585">
        <w:rPr>
          <w:rtl/>
        </w:rPr>
        <w:t xml:space="preserve"> وهذا قليل من كثير مما في كتاب (</w:t>
      </w:r>
      <w:r w:rsidRPr="00A52585">
        <w:rPr>
          <w:rtl/>
        </w:rPr>
        <w:t>(</w:t>
      </w:r>
      <w:r w:rsidR="00777DCB" w:rsidRPr="00A52585">
        <w:rPr>
          <w:rtl/>
        </w:rPr>
        <w:t>السنة</w:t>
      </w:r>
      <w:r w:rsidRPr="00A52585">
        <w:rPr>
          <w:rtl/>
        </w:rPr>
        <w:t>)</w:t>
      </w:r>
      <w:r w:rsidR="00777DCB" w:rsidRPr="00A52585">
        <w:rPr>
          <w:rtl/>
        </w:rPr>
        <w:t>) رواية الحافظ أبى عبد الرحمن عن أبيه الإمام أحمد بن حنبل وغير أبيه من الرواة والمحدثين</w:t>
      </w:r>
      <w:r w:rsidR="00DB731D" w:rsidRPr="00A52585">
        <w:rPr>
          <w:rtl/>
        </w:rPr>
        <w:t>،</w:t>
      </w:r>
      <w:r w:rsidR="00777DCB" w:rsidRPr="00A52585">
        <w:rPr>
          <w:rtl/>
        </w:rPr>
        <w:t xml:space="preserve"> وفي كتاب ((التوحيد</w:t>
      </w:r>
      <w:r w:rsidRPr="00A52585">
        <w:rPr>
          <w:rtl/>
        </w:rPr>
        <w:t>)</w:t>
      </w:r>
      <w:r w:rsidR="00777DCB" w:rsidRPr="00A52585">
        <w:rPr>
          <w:rtl/>
        </w:rPr>
        <w:t xml:space="preserve">) لابن خزيمة </w:t>
      </w:r>
      <w:r w:rsidRPr="00A52585">
        <w:rPr>
          <w:rtl/>
        </w:rPr>
        <w:t>(</w:t>
      </w:r>
      <w:r w:rsidR="00777DCB" w:rsidRPr="00A52585">
        <w:rPr>
          <w:rtl/>
        </w:rPr>
        <w:t>طبعة المطبعة المنيرة</w:t>
      </w:r>
      <w:r w:rsidRPr="00A52585">
        <w:rPr>
          <w:rtl/>
        </w:rPr>
        <w:t>)</w:t>
      </w:r>
      <w:r w:rsidR="00777DCB" w:rsidRPr="00A52585">
        <w:rPr>
          <w:rtl/>
        </w:rPr>
        <w:t xml:space="preserve"> كثير من أمثال هذه الاحاديث</w:t>
      </w:r>
      <w:r w:rsidR="00DB731D" w:rsidRPr="00A52585">
        <w:rPr>
          <w:rtl/>
        </w:rPr>
        <w:t>،</w:t>
      </w:r>
      <w:r w:rsidR="00777DCB" w:rsidRPr="00A52585">
        <w:rPr>
          <w:rtl/>
        </w:rPr>
        <w:t xml:space="preserve"> سنستعرض لطرف منها في المقال التالي إن شاء الله ويمتاز كتاب </w:t>
      </w:r>
      <w:r w:rsidRPr="00A52585">
        <w:rPr>
          <w:rtl/>
        </w:rPr>
        <w:t>(</w:t>
      </w:r>
      <w:r w:rsidR="00777DCB" w:rsidRPr="00A52585">
        <w:rPr>
          <w:rtl/>
        </w:rPr>
        <w:t>العلو للعلى الغفار</w:t>
      </w:r>
      <w:r w:rsidRPr="00A52585">
        <w:rPr>
          <w:rtl/>
        </w:rPr>
        <w:t>)</w:t>
      </w:r>
      <w:r w:rsidR="00777DCB" w:rsidRPr="00A52585">
        <w:rPr>
          <w:rtl/>
        </w:rPr>
        <w:t xml:space="preserve"> بأن الحافظ الذهبي بين ما فيه من صحيح الاخبار وسقيمها</w:t>
      </w:r>
      <w:r w:rsidR="00DB731D" w:rsidRPr="00A52585">
        <w:rPr>
          <w:rtl/>
        </w:rPr>
        <w:t>،</w:t>
      </w:r>
      <w:r w:rsidR="00777DCB" w:rsidRPr="00A52585">
        <w:rPr>
          <w:rtl/>
        </w:rPr>
        <w:t xml:space="preserve"> فمن ذلك </w:t>
      </w:r>
      <w:r w:rsidRPr="00A52585">
        <w:rPr>
          <w:rtl/>
        </w:rPr>
        <w:t>(</w:t>
      </w:r>
      <w:r w:rsidR="00777DCB" w:rsidRPr="00A52585">
        <w:rPr>
          <w:rtl/>
        </w:rPr>
        <w:t>ص 120) حديث يروى عن سعيد الجريري عن سيف السدوسي عن عبد الله بن سلام قال</w:t>
      </w:r>
      <w:r w:rsidRPr="00A52585">
        <w:rPr>
          <w:rtl/>
        </w:rPr>
        <w:t>:</w:t>
      </w:r>
      <w:r w:rsidR="00777DCB" w:rsidRPr="00A52585">
        <w:rPr>
          <w:rtl/>
        </w:rPr>
        <w:t xml:space="preserve"> (</w:t>
      </w:r>
      <w:r w:rsidRPr="00A52585">
        <w:rPr>
          <w:rtl/>
        </w:rPr>
        <w:t>(</w:t>
      </w:r>
      <w:r w:rsidR="00777DCB" w:rsidRPr="00A52585">
        <w:rPr>
          <w:rtl/>
        </w:rPr>
        <w:t>إذا كان يوم القامة جيء بنبيكم صلى الله عليه وسلم فأقعد بين يدى الله على كرسيه</w:t>
      </w:r>
      <w:r w:rsidRPr="00A52585">
        <w:rPr>
          <w:rtl/>
        </w:rPr>
        <w:t>)</w:t>
      </w:r>
      <w:r w:rsidR="00777DCB" w:rsidRPr="00A52585">
        <w:rPr>
          <w:rtl/>
        </w:rPr>
        <w:t>) فقال للجريري</w:t>
      </w:r>
      <w:r w:rsidRPr="00A52585">
        <w:rPr>
          <w:rtl/>
        </w:rPr>
        <w:t>:</w:t>
      </w:r>
      <w:r w:rsidR="00777DCB" w:rsidRPr="00A52585">
        <w:rPr>
          <w:rtl/>
        </w:rPr>
        <w:t xml:space="preserve"> يا أبا مسعود إذا كان على كرسيه أليس هو</w:t>
      </w:r>
      <w:r w:rsidRPr="00A52585">
        <w:rPr>
          <w:rtl/>
        </w:rPr>
        <w:t xml:space="preserve"> </w:t>
      </w:r>
      <w:r w:rsidR="00777DCB" w:rsidRPr="00A52585">
        <w:rPr>
          <w:rtl/>
        </w:rPr>
        <w:t>معه</w:t>
      </w:r>
      <w:r w:rsidR="00F95886" w:rsidRPr="00A52585">
        <w:rPr>
          <w:rtl/>
        </w:rPr>
        <w:t>؟</w:t>
      </w:r>
      <w:r w:rsidR="00777DCB" w:rsidRPr="00A52585">
        <w:rPr>
          <w:rtl/>
        </w:rPr>
        <w:t xml:space="preserve"> قال</w:t>
      </w:r>
      <w:r w:rsidRPr="00A52585">
        <w:rPr>
          <w:rtl/>
        </w:rPr>
        <w:t>:</w:t>
      </w:r>
      <w:r w:rsidR="00777DCB" w:rsidRPr="00A52585">
        <w:rPr>
          <w:rtl/>
        </w:rPr>
        <w:t xml:space="preserve"> ويلكم هذا اقر حديث في الدنيا لعيني</w:t>
      </w:r>
      <w:r w:rsidR="00DB731D" w:rsidRPr="00A52585">
        <w:rPr>
          <w:rtl/>
        </w:rPr>
        <w:t>،</w:t>
      </w:r>
      <w:r w:rsidR="00777DCB" w:rsidRPr="00A52585">
        <w:rPr>
          <w:rtl/>
        </w:rPr>
        <w:t xml:space="preserve"> قال الحافظ الذهبي هذا موقوف ولا يثبت إسناده والمتتبع الكتاب </w:t>
      </w:r>
      <w:r w:rsidRPr="00A52585">
        <w:rPr>
          <w:rtl/>
        </w:rPr>
        <w:t>(</w:t>
      </w:r>
      <w:r w:rsidR="00777DCB" w:rsidRPr="00A52585">
        <w:rPr>
          <w:rtl/>
        </w:rPr>
        <w:t xml:space="preserve">العلو) </w:t>
      </w:r>
      <w:proofErr w:type="spellStart"/>
      <w:r w:rsidR="00777DCB" w:rsidRPr="00A52585">
        <w:rPr>
          <w:rtl/>
        </w:rPr>
        <w:t>للذهبى</w:t>
      </w:r>
      <w:proofErr w:type="spellEnd"/>
      <w:r w:rsidR="00777DCB" w:rsidRPr="00A52585">
        <w:rPr>
          <w:rtl/>
        </w:rPr>
        <w:t xml:space="preserve"> يراه بناء على ذكر الآيات والاحاديث والاخبار التي يثبت بها جهة العلو والارتفاع والفوقية لذات الله تعالى والاستواء على العرش مراداً منه ظاهره</w:t>
      </w:r>
      <w:r w:rsidR="00DB731D" w:rsidRPr="00A52585">
        <w:rPr>
          <w:rtl/>
        </w:rPr>
        <w:t>،</w:t>
      </w:r>
      <w:r w:rsidR="00777DCB" w:rsidRPr="00A52585">
        <w:rPr>
          <w:rtl/>
        </w:rPr>
        <w:t xml:space="preserve"> وهو الجلوس الى غير ذلك مما اثبته الحنابلة من الصفات والافعال والحركات أخذاً بما يفهم من ظاهر اللفظ</w:t>
      </w:r>
      <w:r w:rsidR="00DB731D" w:rsidRPr="00A52585">
        <w:rPr>
          <w:rtl/>
        </w:rPr>
        <w:t>،</w:t>
      </w:r>
      <w:r w:rsidR="00777DCB" w:rsidRPr="00A52585">
        <w:rPr>
          <w:rtl/>
        </w:rPr>
        <w:t xml:space="preserve"> وما وقر في نفس العامي عند سماعة من غير تشبيه ولا تكييف ولا تحديد</w:t>
      </w:r>
      <w:r w:rsidR="00DB731D" w:rsidRPr="00A52585">
        <w:rPr>
          <w:rtl/>
        </w:rPr>
        <w:t>،</w:t>
      </w:r>
      <w:r w:rsidR="00777DCB" w:rsidRPr="00A52585">
        <w:rPr>
          <w:rtl/>
        </w:rPr>
        <w:t xml:space="preserve"> ويمنعون تأويل اللفظ وتفسيره بما يصرفه عن ظاهرة ومدلوله </w:t>
      </w:r>
      <w:proofErr w:type="spellStart"/>
      <w:r w:rsidR="00777DCB" w:rsidRPr="00A52585">
        <w:rPr>
          <w:rtl/>
        </w:rPr>
        <w:t>الوضعى</w:t>
      </w:r>
      <w:proofErr w:type="spellEnd"/>
      <w:r w:rsidR="00DB731D" w:rsidRPr="00A52585">
        <w:rPr>
          <w:rtl/>
        </w:rPr>
        <w:t>،</w:t>
      </w:r>
      <w:r w:rsidR="00777DCB" w:rsidRPr="00A52585">
        <w:rPr>
          <w:rtl/>
        </w:rPr>
        <w:t xml:space="preserve"> ويقولون</w:t>
      </w:r>
      <w:r w:rsidRPr="00A52585">
        <w:rPr>
          <w:rtl/>
        </w:rPr>
        <w:t>:</w:t>
      </w:r>
      <w:r w:rsidR="00777DCB" w:rsidRPr="00A52585">
        <w:rPr>
          <w:rtl/>
        </w:rPr>
        <w:t xml:space="preserve"> إن هذا هو</w:t>
      </w:r>
      <w:r w:rsidRPr="00A52585">
        <w:rPr>
          <w:rtl/>
        </w:rPr>
        <w:t xml:space="preserve"> </w:t>
      </w:r>
      <w:r w:rsidR="00777DCB" w:rsidRPr="00A52585">
        <w:rPr>
          <w:rtl/>
        </w:rPr>
        <w:t>الموافق لمذهب السلف</w:t>
      </w:r>
      <w:r w:rsidR="00DB731D" w:rsidRPr="00A52585">
        <w:rPr>
          <w:rtl/>
        </w:rPr>
        <w:t>،</w:t>
      </w:r>
      <w:r w:rsidR="00777DCB" w:rsidRPr="00A52585">
        <w:rPr>
          <w:rtl/>
        </w:rPr>
        <w:t xml:space="preserve"> وهم </w:t>
      </w:r>
      <w:proofErr w:type="spellStart"/>
      <w:r w:rsidR="00777DCB" w:rsidRPr="00A52585">
        <w:rPr>
          <w:rtl/>
        </w:rPr>
        <w:t>محجوجون</w:t>
      </w:r>
      <w:proofErr w:type="spellEnd"/>
      <w:r w:rsidR="00777DCB" w:rsidRPr="00A52585">
        <w:rPr>
          <w:rtl/>
        </w:rPr>
        <w:t xml:space="preserve"> من الجمهور بأن مذهب السلف هو</w:t>
      </w:r>
      <w:r w:rsidRPr="00A52585">
        <w:rPr>
          <w:rtl/>
        </w:rPr>
        <w:t xml:space="preserve"> </w:t>
      </w:r>
      <w:r w:rsidR="00777DCB" w:rsidRPr="00A52585">
        <w:rPr>
          <w:rtl/>
        </w:rPr>
        <w:t>التفويض المطلق بدون بحث في ظاهر ما تشابه منها وباطنه ولا في حقيقته ولا مجازة</w:t>
      </w:r>
      <w:r w:rsidR="00DB731D" w:rsidRPr="00A52585">
        <w:rPr>
          <w:rtl/>
        </w:rPr>
        <w:t>،</w:t>
      </w:r>
      <w:r w:rsidR="00777DCB" w:rsidRPr="00A52585">
        <w:rPr>
          <w:rtl/>
        </w:rPr>
        <w:t xml:space="preserve"> بل طريقتهم في ذلك مجرد التفويض والتسليم والأيمان بأنها من عند الله</w:t>
      </w:r>
      <w:r w:rsidR="00DB731D" w:rsidRPr="00A52585">
        <w:rPr>
          <w:rtl/>
        </w:rPr>
        <w:t>،</w:t>
      </w:r>
      <w:r w:rsidR="00777DCB" w:rsidRPr="00A52585">
        <w:rPr>
          <w:rtl/>
        </w:rPr>
        <w:t xml:space="preserve"> والاشاعرة لا يوجبون تأويلها وصرفها عن ظواهرها</w:t>
      </w:r>
      <w:r w:rsidR="00DB731D" w:rsidRPr="00A52585">
        <w:rPr>
          <w:rtl/>
        </w:rPr>
        <w:t>،</w:t>
      </w:r>
      <w:r w:rsidR="00777DCB" w:rsidRPr="00A52585">
        <w:rPr>
          <w:rtl/>
        </w:rPr>
        <w:t xml:space="preserve"> بل يجوزونه ولا يمنعون التفويض بالمعنى الذى ذهب إليه السلف</w:t>
      </w:r>
      <w:r w:rsidR="00DB731D" w:rsidRPr="00A52585">
        <w:rPr>
          <w:rtl/>
        </w:rPr>
        <w:t>،</w:t>
      </w:r>
      <w:r w:rsidR="00777DCB" w:rsidRPr="00A52585">
        <w:rPr>
          <w:rtl/>
        </w:rPr>
        <w:t xml:space="preserve"> ولكن يمنعونه بالمعنى الذى ذهب إليه الحنابلة</w:t>
      </w:r>
      <w:r w:rsidR="00DB731D" w:rsidRPr="00A52585">
        <w:rPr>
          <w:rtl/>
        </w:rPr>
        <w:t>،</w:t>
      </w:r>
      <w:r w:rsidR="00777DCB" w:rsidRPr="00A52585">
        <w:rPr>
          <w:rFonts w:hint="cs"/>
          <w:rtl/>
        </w:rPr>
        <w:t xml:space="preserve"> </w:t>
      </w:r>
      <w:r w:rsidR="00777DCB" w:rsidRPr="00A52585">
        <w:rPr>
          <w:rtl/>
        </w:rPr>
        <w:t xml:space="preserve">ولذلك يقول الحافظ أبو الفرج عبد الرحمن بن </w:t>
      </w:r>
      <w:proofErr w:type="spellStart"/>
      <w:r w:rsidR="00777DCB" w:rsidRPr="00A52585">
        <w:rPr>
          <w:rtl/>
        </w:rPr>
        <w:t>الجوزى</w:t>
      </w:r>
      <w:proofErr w:type="spellEnd"/>
      <w:r w:rsidR="00777DCB" w:rsidRPr="00A52585">
        <w:rPr>
          <w:rtl/>
        </w:rPr>
        <w:t xml:space="preserve"> </w:t>
      </w:r>
      <w:proofErr w:type="spellStart"/>
      <w:r w:rsidR="00777DCB" w:rsidRPr="00A52585">
        <w:rPr>
          <w:rtl/>
        </w:rPr>
        <w:t>الحنبلى</w:t>
      </w:r>
      <w:proofErr w:type="spellEnd"/>
      <w:r w:rsidR="00777DCB" w:rsidRPr="00A52585">
        <w:rPr>
          <w:rtl/>
        </w:rPr>
        <w:t xml:space="preserve"> في كتابه (</w:t>
      </w:r>
      <w:r w:rsidRPr="00A52585">
        <w:rPr>
          <w:rtl/>
        </w:rPr>
        <w:t>(</w:t>
      </w:r>
      <w:r w:rsidR="00777DCB" w:rsidRPr="00A52585">
        <w:rPr>
          <w:rtl/>
        </w:rPr>
        <w:t xml:space="preserve">دفع شبهه </w:t>
      </w:r>
      <w:proofErr w:type="spellStart"/>
      <w:r w:rsidR="00777DCB" w:rsidRPr="00A52585">
        <w:rPr>
          <w:rtl/>
        </w:rPr>
        <w:t>التشبية</w:t>
      </w:r>
      <w:proofErr w:type="spellEnd"/>
      <w:r w:rsidR="00DB731D" w:rsidRPr="00A52585">
        <w:rPr>
          <w:rtl/>
        </w:rPr>
        <w:t>،</w:t>
      </w:r>
      <w:r w:rsidR="00777DCB" w:rsidRPr="00A52585">
        <w:rPr>
          <w:rtl/>
        </w:rPr>
        <w:t xml:space="preserve"> والرد على المجسمة ممن ينتحل مذهب الامام أحمد بن حنبل رضى الله عنه ص 5 -6</w:t>
      </w:r>
      <w:r w:rsidRPr="00A52585">
        <w:rPr>
          <w:rtl/>
        </w:rPr>
        <w:t>)</w:t>
      </w:r>
      <w:r w:rsidR="00777DCB" w:rsidRPr="00A52585">
        <w:rPr>
          <w:rtl/>
        </w:rPr>
        <w:t>)</w:t>
      </w:r>
      <w:r w:rsidR="00897A24" w:rsidRPr="00A52585">
        <w:rPr>
          <w:rtl/>
        </w:rPr>
        <w:t>.</w:t>
      </w:r>
      <w:r w:rsidR="00777DCB" w:rsidRPr="00A52585">
        <w:rPr>
          <w:rtl/>
        </w:rPr>
        <w:t xml:space="preserve">. </w:t>
      </w:r>
      <w:r w:rsidRPr="00A52585">
        <w:rPr>
          <w:rtl/>
        </w:rPr>
        <w:t>(</w:t>
      </w:r>
      <w:r w:rsidR="00777DCB" w:rsidRPr="00A52585">
        <w:rPr>
          <w:rtl/>
        </w:rPr>
        <w:t>ورأيت من أصحابنا من تكلم في الاصول بما لا يصلح</w:t>
      </w:r>
      <w:r w:rsidR="00DB731D" w:rsidRPr="00A52585">
        <w:rPr>
          <w:rtl/>
        </w:rPr>
        <w:t>،</w:t>
      </w:r>
      <w:r w:rsidR="00777DCB" w:rsidRPr="00A52585">
        <w:rPr>
          <w:rtl/>
        </w:rPr>
        <w:t xml:space="preserve"> </w:t>
      </w:r>
      <w:proofErr w:type="spellStart"/>
      <w:r w:rsidR="00777DCB" w:rsidRPr="00A52585">
        <w:rPr>
          <w:rtl/>
        </w:rPr>
        <w:lastRenderedPageBreak/>
        <w:t>وإنتدب</w:t>
      </w:r>
      <w:proofErr w:type="spellEnd"/>
      <w:r w:rsidR="00777DCB" w:rsidRPr="00A52585">
        <w:rPr>
          <w:rtl/>
        </w:rPr>
        <w:t xml:space="preserve"> للتصنيف ثلاثة</w:t>
      </w:r>
      <w:r w:rsidR="00DB731D" w:rsidRPr="00A52585">
        <w:rPr>
          <w:rtl/>
        </w:rPr>
        <w:t>،</w:t>
      </w:r>
      <w:r w:rsidR="00777DCB" w:rsidRPr="00A52585">
        <w:rPr>
          <w:rtl/>
        </w:rPr>
        <w:t xml:space="preserve"> ابو عبد الله بن حامد</w:t>
      </w:r>
      <w:r w:rsidR="00DB731D" w:rsidRPr="00A52585">
        <w:rPr>
          <w:rtl/>
        </w:rPr>
        <w:t>،</w:t>
      </w:r>
      <w:r w:rsidR="00777DCB" w:rsidRPr="00A52585">
        <w:rPr>
          <w:rtl/>
        </w:rPr>
        <w:t xml:space="preserve"> وصاحبه </w:t>
      </w:r>
      <w:proofErr w:type="spellStart"/>
      <w:r w:rsidR="00777DCB" w:rsidRPr="00A52585">
        <w:rPr>
          <w:rtl/>
        </w:rPr>
        <w:t>القاضى</w:t>
      </w:r>
      <w:proofErr w:type="spellEnd"/>
      <w:r w:rsidR="00777DCB" w:rsidRPr="00A52585">
        <w:rPr>
          <w:rtl/>
        </w:rPr>
        <w:t xml:space="preserve"> ابو يعلى</w:t>
      </w:r>
      <w:r w:rsidR="00DB731D" w:rsidRPr="00A52585">
        <w:rPr>
          <w:rtl/>
        </w:rPr>
        <w:t>،</w:t>
      </w:r>
      <w:r w:rsidR="00777DCB" w:rsidRPr="00A52585">
        <w:rPr>
          <w:rtl/>
        </w:rPr>
        <w:t xml:space="preserve"> وابن </w:t>
      </w:r>
      <w:proofErr w:type="spellStart"/>
      <w:r w:rsidR="00777DCB" w:rsidRPr="00A52585">
        <w:rPr>
          <w:rtl/>
        </w:rPr>
        <w:t>الزاغونى</w:t>
      </w:r>
      <w:proofErr w:type="spellEnd"/>
      <w:r w:rsidR="00DB731D" w:rsidRPr="00A52585">
        <w:rPr>
          <w:rtl/>
        </w:rPr>
        <w:t>،</w:t>
      </w:r>
      <w:r w:rsidR="00777DCB" w:rsidRPr="00A52585">
        <w:rPr>
          <w:rtl/>
        </w:rPr>
        <w:t xml:space="preserve"> فصنفوا كتباً شانوا بها المذهب</w:t>
      </w:r>
      <w:r w:rsidR="00DB731D" w:rsidRPr="00A52585">
        <w:rPr>
          <w:rtl/>
        </w:rPr>
        <w:t>،</w:t>
      </w:r>
      <w:r w:rsidR="00777DCB" w:rsidRPr="00A52585">
        <w:rPr>
          <w:rtl/>
        </w:rPr>
        <w:t xml:space="preserve"> ورأيتهم قد نزلوا الى مرتبه العوام فحملوا الصفات على مقتضى الحس</w:t>
      </w:r>
      <w:r w:rsidR="00DB731D" w:rsidRPr="00A52585">
        <w:rPr>
          <w:rtl/>
        </w:rPr>
        <w:t>،</w:t>
      </w:r>
      <w:r w:rsidR="00777DCB" w:rsidRPr="00A52585">
        <w:rPr>
          <w:rtl/>
        </w:rPr>
        <w:t xml:space="preserve"> فسمعوا ان الله سبحانه وتعالى خلق آدم عليه السلام على صورته</w:t>
      </w:r>
      <w:r w:rsidR="00DB731D" w:rsidRPr="00A52585">
        <w:rPr>
          <w:rtl/>
        </w:rPr>
        <w:t>،</w:t>
      </w:r>
      <w:r w:rsidR="00777DCB" w:rsidRPr="00A52585">
        <w:rPr>
          <w:rtl/>
        </w:rPr>
        <w:t xml:space="preserve"> فأثبتوا له صورة</w:t>
      </w:r>
      <w:r w:rsidR="00DB731D" w:rsidRPr="00A52585">
        <w:rPr>
          <w:rtl/>
        </w:rPr>
        <w:t>،</w:t>
      </w:r>
      <w:r w:rsidR="00777DCB" w:rsidRPr="00A52585">
        <w:rPr>
          <w:rtl/>
        </w:rPr>
        <w:t xml:space="preserve"> ووجهاً زائداً على الذات</w:t>
      </w:r>
      <w:r w:rsidR="00DB731D" w:rsidRPr="00A52585">
        <w:rPr>
          <w:rtl/>
        </w:rPr>
        <w:t>،</w:t>
      </w:r>
      <w:r w:rsidR="00777DCB" w:rsidRPr="00A52585">
        <w:rPr>
          <w:rtl/>
        </w:rPr>
        <w:t xml:space="preserve"> وعينيه وفماً ولهوات وأضراساً، وأضواء لجهة هي </w:t>
      </w:r>
      <w:proofErr w:type="spellStart"/>
      <w:r w:rsidR="00777DCB" w:rsidRPr="00A52585">
        <w:rPr>
          <w:rtl/>
        </w:rPr>
        <w:t>السحبات</w:t>
      </w:r>
      <w:proofErr w:type="spellEnd"/>
      <w:r w:rsidR="00DB731D" w:rsidRPr="00A52585">
        <w:rPr>
          <w:rtl/>
        </w:rPr>
        <w:t>،</w:t>
      </w:r>
      <w:r w:rsidR="00777DCB" w:rsidRPr="00A52585">
        <w:rPr>
          <w:rtl/>
        </w:rPr>
        <w:t xml:space="preserve"> ويدين وأصابع</w:t>
      </w:r>
      <w:r w:rsidR="00DB731D" w:rsidRPr="00A52585">
        <w:rPr>
          <w:rtl/>
        </w:rPr>
        <w:t>،</w:t>
      </w:r>
      <w:r w:rsidR="00777DCB" w:rsidRPr="00A52585">
        <w:rPr>
          <w:rtl/>
        </w:rPr>
        <w:t xml:space="preserve"> وكفاً وخنصراً وإبهاماً وصدراً وفخذاً وساقين ورجلين</w:t>
      </w:r>
      <w:r w:rsidR="00DB731D" w:rsidRPr="00A52585">
        <w:rPr>
          <w:rtl/>
        </w:rPr>
        <w:t>،</w:t>
      </w:r>
      <w:r w:rsidR="00777DCB" w:rsidRPr="00A52585">
        <w:rPr>
          <w:rtl/>
        </w:rPr>
        <w:t xml:space="preserve"> وقالوا</w:t>
      </w:r>
      <w:r w:rsidRPr="00A52585">
        <w:rPr>
          <w:rtl/>
        </w:rPr>
        <w:t>:</w:t>
      </w:r>
      <w:r w:rsidR="00777DCB" w:rsidRPr="00A52585">
        <w:rPr>
          <w:rtl/>
        </w:rPr>
        <w:t xml:space="preserve"> ما سمعنا بذكر الرأس</w:t>
      </w:r>
      <w:r w:rsidR="00DB731D" w:rsidRPr="00A52585">
        <w:rPr>
          <w:rtl/>
        </w:rPr>
        <w:t>،</w:t>
      </w:r>
      <w:r w:rsidR="00777DCB" w:rsidRPr="00A52585">
        <w:rPr>
          <w:rtl/>
        </w:rPr>
        <w:t xml:space="preserve"> وقالوا</w:t>
      </w:r>
      <w:r w:rsidRPr="00A52585">
        <w:rPr>
          <w:rtl/>
        </w:rPr>
        <w:t>:</w:t>
      </w:r>
      <w:r w:rsidR="00777DCB" w:rsidRPr="00A52585">
        <w:rPr>
          <w:rtl/>
        </w:rPr>
        <w:t xml:space="preserve"> يجوز ان يمس ويمس</w:t>
      </w:r>
      <w:r w:rsidR="00DB731D" w:rsidRPr="00A52585">
        <w:rPr>
          <w:rtl/>
        </w:rPr>
        <w:t>،</w:t>
      </w:r>
      <w:r w:rsidR="00777DCB" w:rsidRPr="00A52585">
        <w:rPr>
          <w:rtl/>
        </w:rPr>
        <w:t xml:space="preserve"> ويدنى العبد من ذاته</w:t>
      </w:r>
      <w:r w:rsidR="00DB731D" w:rsidRPr="00A52585">
        <w:rPr>
          <w:rtl/>
        </w:rPr>
        <w:t>،</w:t>
      </w:r>
      <w:r w:rsidR="00777DCB" w:rsidRPr="00A52585">
        <w:rPr>
          <w:rtl/>
        </w:rPr>
        <w:t xml:space="preserve"> وقال بعضهم</w:t>
      </w:r>
      <w:r w:rsidRPr="00A52585">
        <w:rPr>
          <w:rtl/>
        </w:rPr>
        <w:t>:</w:t>
      </w:r>
      <w:r w:rsidR="00777DCB" w:rsidRPr="00A52585">
        <w:rPr>
          <w:rtl/>
        </w:rPr>
        <w:t xml:space="preserve"> ويتنفس</w:t>
      </w:r>
      <w:r w:rsidR="00F95886" w:rsidRPr="00A52585">
        <w:rPr>
          <w:rtl/>
        </w:rPr>
        <w:t>!</w:t>
      </w:r>
      <w:r w:rsidR="00897A24" w:rsidRPr="00A52585">
        <w:rPr>
          <w:rtl/>
        </w:rPr>
        <w:t>.</w:t>
      </w:r>
      <w:r w:rsidR="00777DCB" w:rsidRPr="00A52585">
        <w:rPr>
          <w:rtl/>
        </w:rPr>
        <w:t>.. ثم إنهم يرضون العوام بقولهم لا كما يعقل</w:t>
      </w:r>
      <w:r w:rsidR="00DB731D" w:rsidRPr="00A52585">
        <w:rPr>
          <w:rtl/>
        </w:rPr>
        <w:t>،</w:t>
      </w:r>
      <w:r w:rsidR="00777DCB" w:rsidRPr="00A52585">
        <w:rPr>
          <w:rtl/>
        </w:rPr>
        <w:t xml:space="preserve"> وقد أخذوا بالظاهر في الاسماء والصفات</w:t>
      </w:r>
      <w:r w:rsidR="00DB731D" w:rsidRPr="00A52585">
        <w:rPr>
          <w:rtl/>
        </w:rPr>
        <w:t>،</w:t>
      </w:r>
      <w:r w:rsidR="00777DCB" w:rsidRPr="00A52585">
        <w:rPr>
          <w:rtl/>
        </w:rPr>
        <w:t xml:space="preserve"> فسموها بالصفات تسمية مبتدعة لا دليل لهم في ذلك من النقل</w:t>
      </w:r>
      <w:r w:rsidR="00DB731D" w:rsidRPr="00A52585">
        <w:rPr>
          <w:rtl/>
        </w:rPr>
        <w:t>،</w:t>
      </w:r>
      <w:r w:rsidR="00777DCB" w:rsidRPr="00A52585">
        <w:rPr>
          <w:rtl/>
        </w:rPr>
        <w:t xml:space="preserve"> ولا من العقل</w:t>
      </w:r>
      <w:r w:rsidR="00DB731D" w:rsidRPr="00A52585">
        <w:rPr>
          <w:rtl/>
        </w:rPr>
        <w:t>،</w:t>
      </w:r>
      <w:r w:rsidR="00777DCB" w:rsidRPr="00A52585">
        <w:rPr>
          <w:rtl/>
        </w:rPr>
        <w:t xml:space="preserve"> ولم يلتفتوا الى النصوص </w:t>
      </w:r>
      <w:proofErr w:type="spellStart"/>
      <w:r w:rsidR="00777DCB" w:rsidRPr="00A52585">
        <w:rPr>
          <w:rtl/>
        </w:rPr>
        <w:t>الصارفة</w:t>
      </w:r>
      <w:proofErr w:type="spellEnd"/>
      <w:r w:rsidR="00777DCB" w:rsidRPr="00A52585">
        <w:rPr>
          <w:rtl/>
        </w:rPr>
        <w:t xml:space="preserve"> عن الظواهر إلى </w:t>
      </w:r>
      <w:proofErr w:type="spellStart"/>
      <w:r w:rsidR="00777DCB" w:rsidRPr="00A52585">
        <w:rPr>
          <w:rtl/>
        </w:rPr>
        <w:t>المعانى</w:t>
      </w:r>
      <w:proofErr w:type="spellEnd"/>
      <w:r w:rsidR="00777DCB" w:rsidRPr="00A52585">
        <w:rPr>
          <w:rtl/>
        </w:rPr>
        <w:t xml:space="preserve"> الواجبة لله تعالى</w:t>
      </w:r>
      <w:r w:rsidR="00DB731D" w:rsidRPr="00A52585">
        <w:rPr>
          <w:rtl/>
        </w:rPr>
        <w:t>،</w:t>
      </w:r>
      <w:r w:rsidR="00777DCB" w:rsidRPr="00A52585">
        <w:rPr>
          <w:rtl/>
        </w:rPr>
        <w:t xml:space="preserve"> ولا إلى إلغاء ما توجبه الظواهر من سمات الحدوث</w:t>
      </w:r>
      <w:r w:rsidR="00DB731D" w:rsidRPr="00A52585">
        <w:rPr>
          <w:rtl/>
        </w:rPr>
        <w:t>،</w:t>
      </w:r>
      <w:r w:rsidR="00777DCB" w:rsidRPr="00A52585">
        <w:rPr>
          <w:rtl/>
        </w:rPr>
        <w:t xml:space="preserve"> ولم يقنعوا ان يقولوا صفة فعل حتى قالوا صفة ذات</w:t>
      </w:r>
      <w:r w:rsidR="00F95886" w:rsidRPr="00A52585">
        <w:rPr>
          <w:rtl/>
        </w:rPr>
        <w:t>!</w:t>
      </w:r>
      <w:r w:rsidR="00777DCB" w:rsidRPr="00A52585">
        <w:rPr>
          <w:rtl/>
        </w:rPr>
        <w:t>... ثم اما اثبتوا أنها صفات قالوا</w:t>
      </w:r>
      <w:r w:rsidRPr="00A52585">
        <w:rPr>
          <w:rtl/>
        </w:rPr>
        <w:t>:</w:t>
      </w:r>
      <w:r w:rsidR="00777DCB" w:rsidRPr="00A52585">
        <w:rPr>
          <w:rtl/>
        </w:rPr>
        <w:t xml:space="preserve"> لا نحملها على توجيه اللغة مثل يد على نعمة وقدرة</w:t>
      </w:r>
      <w:r w:rsidR="00DB731D" w:rsidRPr="00A52585">
        <w:rPr>
          <w:rtl/>
        </w:rPr>
        <w:t>،</w:t>
      </w:r>
      <w:r w:rsidR="00777DCB" w:rsidRPr="00A52585">
        <w:rPr>
          <w:rtl/>
        </w:rPr>
        <w:t xml:space="preserve"> ولا </w:t>
      </w:r>
      <w:proofErr w:type="spellStart"/>
      <w:r w:rsidR="00777DCB" w:rsidRPr="00A52585">
        <w:rPr>
          <w:rtl/>
        </w:rPr>
        <w:t>مجىء</w:t>
      </w:r>
      <w:proofErr w:type="spellEnd"/>
      <w:r w:rsidR="00777DCB" w:rsidRPr="00A52585">
        <w:rPr>
          <w:rtl/>
        </w:rPr>
        <w:t xml:space="preserve"> وإتيان على معنى بر ولطف</w:t>
      </w:r>
      <w:r w:rsidR="00DB731D" w:rsidRPr="00A52585">
        <w:rPr>
          <w:rtl/>
        </w:rPr>
        <w:t>،</w:t>
      </w:r>
      <w:r w:rsidR="00777DCB" w:rsidRPr="00A52585">
        <w:rPr>
          <w:rtl/>
        </w:rPr>
        <w:t xml:space="preserve"> ولا ساق على شدة</w:t>
      </w:r>
      <w:r w:rsidR="00DB731D" w:rsidRPr="00A52585">
        <w:rPr>
          <w:rtl/>
        </w:rPr>
        <w:t>،</w:t>
      </w:r>
      <w:r w:rsidR="00777DCB" w:rsidRPr="00A52585">
        <w:rPr>
          <w:rtl/>
        </w:rPr>
        <w:t xml:space="preserve"> بل قالوا بل نحملها على ظواهرها المتعارفة</w:t>
      </w:r>
      <w:r w:rsidR="00DB731D" w:rsidRPr="00A52585">
        <w:rPr>
          <w:rtl/>
        </w:rPr>
        <w:t>،</w:t>
      </w:r>
      <w:r w:rsidR="00777DCB" w:rsidRPr="00A52585">
        <w:rPr>
          <w:rtl/>
        </w:rPr>
        <w:t xml:space="preserve"> والظاهر هو المعروف من نعوت الآدميين</w:t>
      </w:r>
      <w:r w:rsidR="00DB731D" w:rsidRPr="00A52585">
        <w:rPr>
          <w:rtl/>
        </w:rPr>
        <w:t>،</w:t>
      </w:r>
      <w:r w:rsidR="00777DCB" w:rsidRPr="00A52585">
        <w:rPr>
          <w:rtl/>
        </w:rPr>
        <w:t xml:space="preserve"> </w:t>
      </w:r>
      <w:proofErr w:type="spellStart"/>
      <w:r w:rsidR="00777DCB" w:rsidRPr="00A52585">
        <w:rPr>
          <w:rtl/>
        </w:rPr>
        <w:t>والشىء</w:t>
      </w:r>
      <w:proofErr w:type="spellEnd"/>
      <w:r w:rsidR="00777DCB" w:rsidRPr="00A52585">
        <w:rPr>
          <w:rtl/>
        </w:rPr>
        <w:t xml:space="preserve"> إنما يحمل على حقيقته إذا أمكن</w:t>
      </w:r>
      <w:r w:rsidR="00DB731D" w:rsidRPr="00A52585">
        <w:rPr>
          <w:rtl/>
        </w:rPr>
        <w:t>،</w:t>
      </w:r>
      <w:r w:rsidR="00777DCB" w:rsidRPr="00A52585">
        <w:rPr>
          <w:rtl/>
        </w:rPr>
        <w:t xml:space="preserve"> فإن صرف صارف حمل على المجاز ثم يتحرجون من </w:t>
      </w:r>
      <w:proofErr w:type="spellStart"/>
      <w:r w:rsidR="00777DCB" w:rsidRPr="00A52585">
        <w:rPr>
          <w:rtl/>
        </w:rPr>
        <w:t>التشبية</w:t>
      </w:r>
      <w:proofErr w:type="spellEnd"/>
      <w:r w:rsidR="00DB731D" w:rsidRPr="00A52585">
        <w:rPr>
          <w:rtl/>
        </w:rPr>
        <w:t>،</w:t>
      </w:r>
      <w:r w:rsidR="00777DCB" w:rsidRPr="00A52585">
        <w:rPr>
          <w:rtl/>
        </w:rPr>
        <w:t xml:space="preserve"> ويأنفون من إضافته إليهم</w:t>
      </w:r>
      <w:r w:rsidR="00DB731D" w:rsidRPr="00A52585">
        <w:rPr>
          <w:rtl/>
        </w:rPr>
        <w:t>،</w:t>
      </w:r>
      <w:r w:rsidR="00777DCB" w:rsidRPr="00A52585">
        <w:rPr>
          <w:rtl/>
        </w:rPr>
        <w:t xml:space="preserve"> ويقولون</w:t>
      </w:r>
      <w:r w:rsidRPr="00A52585">
        <w:rPr>
          <w:rtl/>
        </w:rPr>
        <w:t>:</w:t>
      </w:r>
      <w:r w:rsidR="00777DCB" w:rsidRPr="00A52585">
        <w:rPr>
          <w:rtl/>
        </w:rPr>
        <w:t xml:space="preserve"> نحن أهل السنة</w:t>
      </w:r>
      <w:r w:rsidR="00DB731D" w:rsidRPr="00A52585">
        <w:rPr>
          <w:rtl/>
        </w:rPr>
        <w:t>،</w:t>
      </w:r>
      <w:r w:rsidR="00777DCB" w:rsidRPr="00A52585">
        <w:rPr>
          <w:rtl/>
        </w:rPr>
        <w:t xml:space="preserve"> وكلامهم صريح في </w:t>
      </w:r>
      <w:proofErr w:type="spellStart"/>
      <w:r w:rsidR="00777DCB" w:rsidRPr="00A52585">
        <w:rPr>
          <w:rtl/>
        </w:rPr>
        <w:t>التشبية</w:t>
      </w:r>
      <w:proofErr w:type="spellEnd"/>
      <w:r w:rsidR="00DB731D" w:rsidRPr="00A52585">
        <w:rPr>
          <w:rtl/>
        </w:rPr>
        <w:t>،</w:t>
      </w:r>
      <w:r w:rsidR="00777DCB" w:rsidRPr="00A52585">
        <w:rPr>
          <w:rtl/>
        </w:rPr>
        <w:t xml:space="preserve"> وقد تبعهم خلق من العوام</w:t>
      </w:r>
      <w:r w:rsidR="00DB731D" w:rsidRPr="00A52585">
        <w:rPr>
          <w:rtl/>
        </w:rPr>
        <w:t>،</w:t>
      </w:r>
      <w:r w:rsidR="00777DCB" w:rsidRPr="00A52585">
        <w:rPr>
          <w:rtl/>
        </w:rPr>
        <w:t xml:space="preserve"> وقد نصحت التابع والمتبوع فقالت لهم</w:t>
      </w:r>
      <w:r w:rsidRPr="00A52585">
        <w:rPr>
          <w:rtl/>
        </w:rPr>
        <w:t>:</w:t>
      </w:r>
      <w:r w:rsidR="00777DCB" w:rsidRPr="00A52585">
        <w:rPr>
          <w:rtl/>
        </w:rPr>
        <w:t xml:space="preserve"> يا أصحابنا أنتم أصحاب نقل واتباع</w:t>
      </w:r>
      <w:r w:rsidR="00DB731D" w:rsidRPr="00A52585">
        <w:rPr>
          <w:rtl/>
        </w:rPr>
        <w:t>،</w:t>
      </w:r>
      <w:r w:rsidR="00777DCB" w:rsidRPr="00A52585">
        <w:rPr>
          <w:rtl/>
        </w:rPr>
        <w:t xml:space="preserve"> وإمامكم الأكبر أحمد بن حنبل يقول وهو تحت السياط</w:t>
      </w:r>
      <w:r w:rsidRPr="00A52585">
        <w:rPr>
          <w:rtl/>
        </w:rPr>
        <w:t>:</w:t>
      </w:r>
      <w:r w:rsidR="00777DCB" w:rsidRPr="00A52585">
        <w:rPr>
          <w:rtl/>
        </w:rPr>
        <w:t xml:space="preserve"> كيف أقول ما لم يقل</w:t>
      </w:r>
      <w:r w:rsidR="00F95886" w:rsidRPr="00A52585">
        <w:rPr>
          <w:rtl/>
        </w:rPr>
        <w:t>؟</w:t>
      </w:r>
      <w:r w:rsidR="00777DCB" w:rsidRPr="00A52585">
        <w:rPr>
          <w:rtl/>
        </w:rPr>
        <w:t xml:space="preserve"> فإياكم أن </w:t>
      </w:r>
      <w:proofErr w:type="spellStart"/>
      <w:r w:rsidR="00777DCB" w:rsidRPr="00A52585">
        <w:rPr>
          <w:rtl/>
        </w:rPr>
        <w:t>تبتدعوا</w:t>
      </w:r>
      <w:proofErr w:type="spellEnd"/>
      <w:r w:rsidR="00777DCB" w:rsidRPr="00A52585">
        <w:rPr>
          <w:rtl/>
        </w:rPr>
        <w:t xml:space="preserve"> في مذهبه ما ليس منه</w:t>
      </w:r>
      <w:r w:rsidR="00DB731D" w:rsidRPr="00A52585">
        <w:rPr>
          <w:rtl/>
        </w:rPr>
        <w:t>،</w:t>
      </w:r>
      <w:r w:rsidR="00777DCB" w:rsidRPr="00A52585">
        <w:rPr>
          <w:rtl/>
        </w:rPr>
        <w:t xml:space="preserve"> ثم قلتم الاحاديث تحمل على ظاهرها</w:t>
      </w:r>
      <w:r w:rsidR="00DB731D" w:rsidRPr="00A52585">
        <w:rPr>
          <w:rtl/>
        </w:rPr>
        <w:t>،</w:t>
      </w:r>
      <w:r w:rsidR="00777DCB" w:rsidRPr="00A52585">
        <w:rPr>
          <w:rtl/>
        </w:rPr>
        <w:t xml:space="preserve"> فظاهر القدم الجارحة</w:t>
      </w:r>
      <w:r w:rsidR="00DB731D" w:rsidRPr="00A52585">
        <w:rPr>
          <w:rtl/>
        </w:rPr>
        <w:t>،</w:t>
      </w:r>
      <w:r w:rsidR="00777DCB" w:rsidRPr="00A52585">
        <w:rPr>
          <w:rtl/>
        </w:rPr>
        <w:t xml:space="preserve"> فإنه لما قيل في عيسى عليه الصلاة والسلام (</w:t>
      </w:r>
      <w:r w:rsidRPr="00A52585">
        <w:rPr>
          <w:rtl/>
        </w:rPr>
        <w:t>(</w:t>
      </w:r>
      <w:r w:rsidR="00777DCB" w:rsidRPr="00A52585">
        <w:rPr>
          <w:rtl/>
        </w:rPr>
        <w:t>روح الله</w:t>
      </w:r>
      <w:r w:rsidRPr="00A52585">
        <w:rPr>
          <w:rtl/>
        </w:rPr>
        <w:t>)</w:t>
      </w:r>
      <w:r w:rsidR="00777DCB" w:rsidRPr="00A52585">
        <w:rPr>
          <w:rtl/>
        </w:rPr>
        <w:t>) اعتقد النصارى لعنهم الله تعالى ان الله تعالى صفة هي روح ولجت في مريم</w:t>
      </w:r>
      <w:r w:rsidR="00DB731D" w:rsidRPr="00A52585">
        <w:rPr>
          <w:rtl/>
        </w:rPr>
        <w:t>،</w:t>
      </w:r>
      <w:r w:rsidR="00777DCB" w:rsidRPr="00A52585">
        <w:rPr>
          <w:rtl/>
        </w:rPr>
        <w:t xml:space="preserve"> ومن قال</w:t>
      </w:r>
      <w:r w:rsidRPr="00A52585">
        <w:rPr>
          <w:rtl/>
        </w:rPr>
        <w:t>:</w:t>
      </w:r>
      <w:r w:rsidR="00777DCB" w:rsidRPr="00A52585">
        <w:rPr>
          <w:rtl/>
        </w:rPr>
        <w:t xml:space="preserve"> استوى بذاته فقد أجراه سبحانه وتعالى مجرى </w:t>
      </w:r>
      <w:proofErr w:type="spellStart"/>
      <w:r w:rsidR="00777DCB" w:rsidRPr="00A52585">
        <w:rPr>
          <w:rtl/>
        </w:rPr>
        <w:t>الحسيات</w:t>
      </w:r>
      <w:proofErr w:type="spellEnd"/>
      <w:r w:rsidR="00DB731D" w:rsidRPr="00A52585">
        <w:rPr>
          <w:rtl/>
        </w:rPr>
        <w:t>،</w:t>
      </w:r>
      <w:r w:rsidR="00777DCB" w:rsidRPr="00A52585">
        <w:rPr>
          <w:rtl/>
        </w:rPr>
        <w:t xml:space="preserve"> </w:t>
      </w:r>
      <w:proofErr w:type="spellStart"/>
      <w:r w:rsidR="00777DCB" w:rsidRPr="00A52585">
        <w:rPr>
          <w:rtl/>
        </w:rPr>
        <w:t>وينبغى</w:t>
      </w:r>
      <w:proofErr w:type="spellEnd"/>
      <w:r w:rsidR="00777DCB" w:rsidRPr="00A52585">
        <w:rPr>
          <w:rtl/>
        </w:rPr>
        <w:t xml:space="preserve"> ألا يهمل ما يثبت به الاصل وهو العقل</w:t>
      </w:r>
      <w:r w:rsidR="00DB731D" w:rsidRPr="00A52585">
        <w:rPr>
          <w:rtl/>
        </w:rPr>
        <w:t>،</w:t>
      </w:r>
      <w:r w:rsidR="00777DCB" w:rsidRPr="00A52585">
        <w:rPr>
          <w:rtl/>
        </w:rPr>
        <w:t xml:space="preserve"> فإنا به عرفنا الله تعالى وحكمنا له بالقدم</w:t>
      </w:r>
      <w:r w:rsidR="00DB731D" w:rsidRPr="00A52585">
        <w:rPr>
          <w:rtl/>
        </w:rPr>
        <w:t>،</w:t>
      </w:r>
      <w:r w:rsidR="00777DCB" w:rsidRPr="00A52585">
        <w:rPr>
          <w:rtl/>
        </w:rPr>
        <w:t xml:space="preserve"> فلو أنكم قلتم نقرأ الاحاديث ونسكت لما أنكر أحد عليكم</w:t>
      </w:r>
      <w:r w:rsidR="00DB731D" w:rsidRPr="00A52585">
        <w:rPr>
          <w:rtl/>
        </w:rPr>
        <w:t>،</w:t>
      </w:r>
      <w:r w:rsidR="00777DCB" w:rsidRPr="00A52585">
        <w:rPr>
          <w:rtl/>
        </w:rPr>
        <w:t xml:space="preserve"> إنما حملكم إياها على الظاهر القبيح</w:t>
      </w:r>
      <w:r w:rsidR="00DB731D" w:rsidRPr="00A52585">
        <w:rPr>
          <w:rtl/>
        </w:rPr>
        <w:t>،</w:t>
      </w:r>
      <w:r w:rsidR="00777DCB" w:rsidRPr="00A52585">
        <w:rPr>
          <w:rtl/>
        </w:rPr>
        <w:t xml:space="preserve"> فلا تدخلوا في مذهب هذا الرجل الصالح </w:t>
      </w:r>
      <w:proofErr w:type="spellStart"/>
      <w:r w:rsidR="00777DCB" w:rsidRPr="00A52585">
        <w:rPr>
          <w:rtl/>
        </w:rPr>
        <w:t>السلفى</w:t>
      </w:r>
      <w:proofErr w:type="spellEnd"/>
      <w:r w:rsidR="00777DCB" w:rsidRPr="00A52585">
        <w:rPr>
          <w:rtl/>
        </w:rPr>
        <w:t xml:space="preserve"> ما ليس منه</w:t>
      </w:r>
      <w:r w:rsidR="00DB731D" w:rsidRPr="00A52585">
        <w:rPr>
          <w:rtl/>
        </w:rPr>
        <w:t>،</w:t>
      </w:r>
      <w:r w:rsidR="00777DCB" w:rsidRPr="00A52585">
        <w:rPr>
          <w:rtl/>
        </w:rPr>
        <w:t xml:space="preserve"> فلقد كسوتم هذا المذهب شينا ًقبيحاً حتى صار لا يقال عن </w:t>
      </w:r>
      <w:proofErr w:type="spellStart"/>
      <w:r w:rsidR="00777DCB" w:rsidRPr="00A52585">
        <w:rPr>
          <w:rtl/>
        </w:rPr>
        <w:t>حنبلى</w:t>
      </w:r>
      <w:proofErr w:type="spellEnd"/>
      <w:r w:rsidR="00777DCB" w:rsidRPr="00A52585">
        <w:rPr>
          <w:rtl/>
        </w:rPr>
        <w:t xml:space="preserve"> إلا مجسم إلخ</w:t>
      </w:r>
      <w:r w:rsidR="00DB731D" w:rsidRPr="00A52585">
        <w:rPr>
          <w:rtl/>
        </w:rPr>
        <w:t>،</w:t>
      </w:r>
      <w:r w:rsidR="00777DCB" w:rsidRPr="00A52585">
        <w:rPr>
          <w:rtl/>
        </w:rPr>
        <w:t xml:space="preserve"> وقد كتب فضيلة الاستاذ محمد زاهد الكوثري وكيل مشيخة الاسلام بدار الخلافة العثمانية سابقاً في تعليقاته التي بذيل هذا الكتاب على قول الإمام أحمد بن حنبل</w:t>
      </w:r>
      <w:r w:rsidRPr="00A52585">
        <w:rPr>
          <w:rtl/>
        </w:rPr>
        <w:t>:</w:t>
      </w:r>
      <w:r w:rsidR="00777DCB" w:rsidRPr="00A52585">
        <w:rPr>
          <w:rtl/>
        </w:rPr>
        <w:t xml:space="preserve"> كيف اقول ما لم يقل</w:t>
      </w:r>
      <w:r w:rsidR="00F95886" w:rsidRPr="00A52585">
        <w:rPr>
          <w:rtl/>
        </w:rPr>
        <w:t>؟</w:t>
      </w:r>
      <w:r w:rsidR="00777DCB" w:rsidRPr="00A52585">
        <w:rPr>
          <w:rtl/>
        </w:rPr>
        <w:t xml:space="preserve"> ولما سئل الإمام أحمد عن أحاديث النزول والرؤية ووضع القدم ونحوها قال</w:t>
      </w:r>
      <w:r w:rsidRPr="00A52585">
        <w:rPr>
          <w:rtl/>
        </w:rPr>
        <w:t>:</w:t>
      </w:r>
      <w:r w:rsidR="00777DCB" w:rsidRPr="00A52585">
        <w:rPr>
          <w:rtl/>
        </w:rPr>
        <w:t xml:space="preserve"> (</w:t>
      </w:r>
      <w:r w:rsidRPr="00A52585">
        <w:rPr>
          <w:rtl/>
        </w:rPr>
        <w:t>(</w:t>
      </w:r>
      <w:r w:rsidR="00777DCB" w:rsidRPr="00A52585">
        <w:rPr>
          <w:rtl/>
        </w:rPr>
        <w:t>نؤمن ونصدق بها ولا كيف ولا معنى</w:t>
      </w:r>
      <w:r w:rsidRPr="00A52585">
        <w:rPr>
          <w:rtl/>
        </w:rPr>
        <w:t>)</w:t>
      </w:r>
      <w:r w:rsidR="00777DCB" w:rsidRPr="00A52585">
        <w:rPr>
          <w:rtl/>
        </w:rPr>
        <w:t>)</w:t>
      </w:r>
      <w:r w:rsidR="00DB731D" w:rsidRPr="00A52585">
        <w:rPr>
          <w:rtl/>
        </w:rPr>
        <w:t>،</w:t>
      </w:r>
      <w:r w:rsidR="00777DCB" w:rsidRPr="00A52585">
        <w:rPr>
          <w:rFonts w:hint="cs"/>
          <w:rtl/>
        </w:rPr>
        <w:t xml:space="preserve"> </w:t>
      </w:r>
      <w:r w:rsidR="00777DCB" w:rsidRPr="00A52585">
        <w:rPr>
          <w:rtl/>
        </w:rPr>
        <w:t>وقال أيضاً يوم سألوه عن الاستواء</w:t>
      </w:r>
      <w:r w:rsidRPr="00A52585">
        <w:rPr>
          <w:rtl/>
        </w:rPr>
        <w:t>::</w:t>
      </w:r>
      <w:r w:rsidR="00777DCB" w:rsidRPr="00A52585">
        <w:rPr>
          <w:rtl/>
        </w:rPr>
        <w:t xml:space="preserve"> (</w:t>
      </w:r>
      <w:r w:rsidRPr="00A52585">
        <w:rPr>
          <w:rtl/>
        </w:rPr>
        <w:t>(</w:t>
      </w:r>
      <w:r w:rsidR="00777DCB" w:rsidRPr="00A52585">
        <w:rPr>
          <w:rtl/>
        </w:rPr>
        <w:t xml:space="preserve">استوى على العرش كيف </w:t>
      </w:r>
      <w:r w:rsidR="00777DCB" w:rsidRPr="00A52585">
        <w:rPr>
          <w:rtl/>
        </w:rPr>
        <w:lastRenderedPageBreak/>
        <w:t>شاء وكما شاء بلا حد ولا صفة يبلغها واصف</w:t>
      </w:r>
      <w:r w:rsidRPr="00A52585">
        <w:rPr>
          <w:rtl/>
        </w:rPr>
        <w:t>)</w:t>
      </w:r>
      <w:r w:rsidR="00777DCB" w:rsidRPr="00A52585">
        <w:rPr>
          <w:rtl/>
        </w:rPr>
        <w:t>) على ما ذكره الخلال في (</w:t>
      </w:r>
      <w:r w:rsidRPr="00A52585">
        <w:rPr>
          <w:rtl/>
        </w:rPr>
        <w:t>(</w:t>
      </w:r>
      <w:r w:rsidR="00777DCB" w:rsidRPr="00A52585">
        <w:rPr>
          <w:rtl/>
        </w:rPr>
        <w:t>السنة</w:t>
      </w:r>
      <w:r w:rsidRPr="00A52585">
        <w:rPr>
          <w:rtl/>
        </w:rPr>
        <w:t>)</w:t>
      </w:r>
      <w:r w:rsidR="00777DCB" w:rsidRPr="00A52585">
        <w:rPr>
          <w:rtl/>
        </w:rPr>
        <w:t>) بسنده الى حنبل عن عمه الإمام أحمد</w:t>
      </w:r>
      <w:r w:rsidR="00DB731D" w:rsidRPr="00A52585">
        <w:rPr>
          <w:rtl/>
        </w:rPr>
        <w:t>،</w:t>
      </w:r>
      <w:r w:rsidR="00777DCB" w:rsidRPr="00A52585">
        <w:rPr>
          <w:rtl/>
        </w:rPr>
        <w:t xml:space="preserve"> وهذا تفويض وتنزيه كما هو مذهب السلف</w:t>
      </w:r>
      <w:r w:rsidR="00DB731D" w:rsidRPr="00A52585">
        <w:rPr>
          <w:rtl/>
        </w:rPr>
        <w:t>،</w:t>
      </w:r>
      <w:r w:rsidR="00777DCB" w:rsidRPr="00A52585">
        <w:rPr>
          <w:rtl/>
        </w:rPr>
        <w:t xml:space="preserve"> وربما اول في بعض المواضع كما حكى حنبل أيضاً عن الإمام أحمد أنه سمعه يقول</w:t>
      </w:r>
      <w:r w:rsidRPr="00A52585">
        <w:rPr>
          <w:rtl/>
        </w:rPr>
        <w:t>:</w:t>
      </w:r>
      <w:r w:rsidR="00777DCB" w:rsidRPr="00A52585">
        <w:rPr>
          <w:rtl/>
        </w:rPr>
        <w:t xml:space="preserve"> احتجوا على يوم المناظرة فقالوا</w:t>
      </w:r>
      <w:r w:rsidRPr="00A52585">
        <w:rPr>
          <w:rtl/>
        </w:rPr>
        <w:t>:</w:t>
      </w:r>
      <w:r w:rsidR="00777DCB" w:rsidRPr="00A52585">
        <w:rPr>
          <w:rtl/>
        </w:rPr>
        <w:t xml:space="preserve"> </w:t>
      </w:r>
      <w:proofErr w:type="spellStart"/>
      <w:r w:rsidR="00777DCB" w:rsidRPr="00A52585">
        <w:rPr>
          <w:rtl/>
        </w:rPr>
        <w:t>تجىء</w:t>
      </w:r>
      <w:proofErr w:type="spellEnd"/>
      <w:r w:rsidR="00777DCB" w:rsidRPr="00A52585">
        <w:rPr>
          <w:rtl/>
        </w:rPr>
        <w:t xml:space="preserve"> يوم القيامة سورة البقرة</w:t>
      </w:r>
      <w:r w:rsidR="00DB731D" w:rsidRPr="00A52585">
        <w:rPr>
          <w:rtl/>
        </w:rPr>
        <w:t>،</w:t>
      </w:r>
      <w:r w:rsidR="00777DCB" w:rsidRPr="00A52585">
        <w:rPr>
          <w:rtl/>
        </w:rPr>
        <w:t xml:space="preserve"> </w:t>
      </w:r>
      <w:proofErr w:type="spellStart"/>
      <w:r w:rsidR="00777DCB" w:rsidRPr="00A52585">
        <w:rPr>
          <w:rtl/>
        </w:rPr>
        <w:t>وتجىء</w:t>
      </w:r>
      <w:proofErr w:type="spellEnd"/>
      <w:r w:rsidR="00777DCB" w:rsidRPr="00A52585">
        <w:rPr>
          <w:rtl/>
        </w:rPr>
        <w:t xml:space="preserve"> سورة تبارك</w:t>
      </w:r>
      <w:r w:rsidR="00897A24" w:rsidRPr="00A52585">
        <w:rPr>
          <w:rtl/>
        </w:rPr>
        <w:t>.</w:t>
      </w:r>
      <w:r w:rsidR="00777DCB" w:rsidRPr="00A52585">
        <w:rPr>
          <w:rtl/>
        </w:rPr>
        <w:t xml:space="preserve"> قال فقلت لهم</w:t>
      </w:r>
      <w:r w:rsidRPr="00A52585">
        <w:rPr>
          <w:rtl/>
        </w:rPr>
        <w:t>:</w:t>
      </w:r>
      <w:r w:rsidR="00777DCB" w:rsidRPr="00A52585">
        <w:rPr>
          <w:rtl/>
        </w:rPr>
        <w:t xml:space="preserve"> إنما هو الثواب</w:t>
      </w:r>
      <w:r w:rsidR="00897A24" w:rsidRPr="00A52585">
        <w:rPr>
          <w:rtl/>
        </w:rPr>
        <w:t>.</w:t>
      </w:r>
      <w:r w:rsidR="00777DCB" w:rsidRPr="00A52585">
        <w:rPr>
          <w:rtl/>
        </w:rPr>
        <w:t xml:space="preserve"> قال الله جل ذكره</w:t>
      </w:r>
      <w:r w:rsidRPr="00A52585">
        <w:rPr>
          <w:rtl/>
        </w:rPr>
        <w:t>:</w:t>
      </w:r>
      <w:r w:rsidR="00777DCB" w:rsidRPr="00A52585">
        <w:rPr>
          <w:rtl/>
        </w:rPr>
        <w:t xml:space="preserve"> </w:t>
      </w:r>
      <w:r w:rsidRPr="00A52585">
        <w:rPr>
          <w:rtl/>
        </w:rPr>
        <w:t>(</w:t>
      </w:r>
      <w:proofErr w:type="spellStart"/>
      <w:r w:rsidR="00777DCB" w:rsidRPr="00A52585">
        <w:rPr>
          <w:rtl/>
        </w:rPr>
        <w:t>وجاؤ</w:t>
      </w:r>
      <w:proofErr w:type="spellEnd"/>
      <w:r w:rsidR="00777DCB" w:rsidRPr="00A52585">
        <w:rPr>
          <w:rtl/>
        </w:rPr>
        <w:t xml:space="preserve"> ربك والملك صفاً </w:t>
      </w:r>
      <w:proofErr w:type="spellStart"/>
      <w:r w:rsidR="00777DCB" w:rsidRPr="00A52585">
        <w:rPr>
          <w:rtl/>
        </w:rPr>
        <w:t>صفاً</w:t>
      </w:r>
      <w:proofErr w:type="spellEnd"/>
      <w:r w:rsidR="00777DCB" w:rsidRPr="00A52585">
        <w:rPr>
          <w:rtl/>
        </w:rPr>
        <w:t xml:space="preserve"> 22</w:t>
      </w:r>
      <w:r w:rsidRPr="00A52585">
        <w:rPr>
          <w:rtl/>
        </w:rPr>
        <w:t>)</w:t>
      </w:r>
      <w:r w:rsidR="00777DCB" w:rsidRPr="00A52585">
        <w:rPr>
          <w:rtl/>
        </w:rPr>
        <w:t xml:space="preserve"> وإنما تأتى قدرته</w:t>
      </w:r>
      <w:r w:rsidR="00DB731D" w:rsidRPr="00A52585">
        <w:rPr>
          <w:rtl/>
        </w:rPr>
        <w:t>،</w:t>
      </w:r>
      <w:r w:rsidR="00777DCB" w:rsidRPr="00A52585">
        <w:rPr>
          <w:rtl/>
        </w:rPr>
        <w:t xml:space="preserve"> وقال ابن حزم </w:t>
      </w:r>
      <w:proofErr w:type="spellStart"/>
      <w:r w:rsidR="00777DCB" w:rsidRPr="00A52585">
        <w:rPr>
          <w:rtl/>
        </w:rPr>
        <w:t>الظاهرى</w:t>
      </w:r>
      <w:proofErr w:type="spellEnd"/>
      <w:r w:rsidR="00777DCB" w:rsidRPr="00A52585">
        <w:rPr>
          <w:rtl/>
        </w:rPr>
        <w:t xml:space="preserve"> في فصله</w:t>
      </w:r>
      <w:r w:rsidRPr="00A52585">
        <w:rPr>
          <w:rtl/>
        </w:rPr>
        <w:t>:</w:t>
      </w:r>
      <w:r w:rsidR="00777DCB" w:rsidRPr="00A52585">
        <w:rPr>
          <w:rtl/>
        </w:rPr>
        <w:t xml:space="preserve"> وقد روينا عن أحمد بن حنبل رحمه الله أنه قال</w:t>
      </w:r>
      <w:r w:rsidRPr="00A52585">
        <w:rPr>
          <w:rtl/>
        </w:rPr>
        <w:t>:</w:t>
      </w:r>
      <w:r w:rsidR="00777DCB" w:rsidRPr="00A52585">
        <w:rPr>
          <w:rtl/>
        </w:rPr>
        <w:t xml:space="preserve"> </w:t>
      </w:r>
      <w:r w:rsidRPr="00A52585">
        <w:rPr>
          <w:rtl/>
        </w:rPr>
        <w:t>(</w:t>
      </w:r>
      <w:r w:rsidR="00777DCB" w:rsidRPr="00A52585">
        <w:rPr>
          <w:rtl/>
        </w:rPr>
        <w:t>وجاء ربك</w:t>
      </w:r>
      <w:r w:rsidRPr="00A52585">
        <w:rPr>
          <w:rtl/>
        </w:rPr>
        <w:t>)</w:t>
      </w:r>
      <w:r w:rsidR="00777DCB" w:rsidRPr="00A52585">
        <w:rPr>
          <w:rtl/>
        </w:rPr>
        <w:t xml:space="preserve"> إنما معناه</w:t>
      </w:r>
      <w:r w:rsidRPr="00A52585">
        <w:rPr>
          <w:rtl/>
        </w:rPr>
        <w:t>:</w:t>
      </w:r>
      <w:r w:rsidR="00777DCB" w:rsidRPr="00A52585">
        <w:rPr>
          <w:rtl/>
        </w:rPr>
        <w:t xml:space="preserve"> وجاء أمر ربك اهـ</w:t>
      </w:r>
      <w:r w:rsidR="00DB731D" w:rsidRPr="00A52585">
        <w:rPr>
          <w:rtl/>
        </w:rPr>
        <w:t>،</w:t>
      </w:r>
      <w:r w:rsidR="00777DCB" w:rsidRPr="00A52585">
        <w:rPr>
          <w:rtl/>
        </w:rPr>
        <w:t xml:space="preserve"> وهذا تأويل وتنزيه كما هو مذهب الخلف</w:t>
      </w:r>
      <w:r w:rsidR="00DB731D" w:rsidRPr="00A52585">
        <w:rPr>
          <w:rtl/>
        </w:rPr>
        <w:t>،</w:t>
      </w:r>
      <w:r w:rsidR="00777DCB" w:rsidRPr="00A52585">
        <w:rPr>
          <w:rtl/>
        </w:rPr>
        <w:t xml:space="preserve"> وأما ما ينقل عن الإمام مما يخلف ما تقدم</w:t>
      </w:r>
      <w:r w:rsidR="00DB731D" w:rsidRPr="00A52585">
        <w:rPr>
          <w:rtl/>
        </w:rPr>
        <w:t>،</w:t>
      </w:r>
      <w:r w:rsidR="00777DCB" w:rsidRPr="00A52585">
        <w:rPr>
          <w:rtl/>
        </w:rPr>
        <w:t xml:space="preserve"> </w:t>
      </w:r>
      <w:proofErr w:type="spellStart"/>
      <w:r w:rsidR="00777DCB" w:rsidRPr="00A52585">
        <w:rPr>
          <w:rtl/>
        </w:rPr>
        <w:t>فهوتخرص</w:t>
      </w:r>
      <w:proofErr w:type="spellEnd"/>
      <w:r w:rsidR="00777DCB" w:rsidRPr="00A52585">
        <w:rPr>
          <w:rtl/>
        </w:rPr>
        <w:t xml:space="preserve"> صديق جاهل</w:t>
      </w:r>
      <w:r w:rsidR="00DB731D" w:rsidRPr="00A52585">
        <w:rPr>
          <w:rtl/>
        </w:rPr>
        <w:t>،</w:t>
      </w:r>
      <w:r w:rsidR="00777DCB" w:rsidRPr="00A52585">
        <w:rPr>
          <w:rtl/>
        </w:rPr>
        <w:t xml:space="preserve"> وسوء فهم لمذهب هذا الإمام</w:t>
      </w:r>
      <w:r w:rsidR="00DB731D" w:rsidRPr="00A52585">
        <w:rPr>
          <w:rtl/>
        </w:rPr>
        <w:t>،</w:t>
      </w:r>
      <w:r w:rsidR="00777DCB" w:rsidRPr="00A52585">
        <w:rPr>
          <w:rtl/>
        </w:rPr>
        <w:t xml:space="preserve"> انظر صفحة 7 من كتاب (</w:t>
      </w:r>
      <w:r w:rsidRPr="00A52585">
        <w:rPr>
          <w:rtl/>
        </w:rPr>
        <w:t>(</w:t>
      </w:r>
      <w:r w:rsidR="00777DCB" w:rsidRPr="00A52585">
        <w:rPr>
          <w:rtl/>
        </w:rPr>
        <w:t>دفع شبهة المشبهة</w:t>
      </w:r>
      <w:r w:rsidRPr="00A52585">
        <w:rPr>
          <w:rtl/>
        </w:rPr>
        <w:t>)</w:t>
      </w:r>
      <w:r w:rsidR="00777DCB" w:rsidRPr="00A52585">
        <w:rPr>
          <w:rtl/>
        </w:rPr>
        <w:t>) (</w:t>
      </w:r>
      <w:r w:rsidRPr="00A52585">
        <w:rPr>
          <w:rtl/>
        </w:rPr>
        <w:t>(</w:t>
      </w:r>
      <w:r w:rsidR="00777DCB" w:rsidRPr="00A52585">
        <w:rPr>
          <w:rtl/>
        </w:rPr>
        <w:t xml:space="preserve">طبع مكتبة </w:t>
      </w:r>
      <w:proofErr w:type="spellStart"/>
      <w:r w:rsidR="00777DCB" w:rsidRPr="00A52585">
        <w:rPr>
          <w:rtl/>
        </w:rPr>
        <w:t>القدسى</w:t>
      </w:r>
      <w:proofErr w:type="spellEnd"/>
      <w:r w:rsidRPr="00A52585">
        <w:rPr>
          <w:rtl/>
        </w:rPr>
        <w:t>)</w:t>
      </w:r>
      <w:r w:rsidR="00777DCB" w:rsidRPr="00A52585">
        <w:rPr>
          <w:rtl/>
        </w:rPr>
        <w:t>)</w:t>
      </w:r>
      <w:r w:rsidR="00DB731D" w:rsidRPr="00A52585">
        <w:rPr>
          <w:rtl/>
        </w:rPr>
        <w:t>،</w:t>
      </w:r>
      <w:r w:rsidR="00777DCB" w:rsidRPr="00A52585">
        <w:rPr>
          <w:rtl/>
        </w:rPr>
        <w:t xml:space="preserve"> </w:t>
      </w:r>
    </w:p>
    <w:p w14:paraId="2A91A1D8" w14:textId="033A6BFB" w:rsidR="00777DCB" w:rsidRPr="00A52585" w:rsidRDefault="0002035C" w:rsidP="0002035C">
      <w:pPr>
        <w:spacing w:after="240"/>
        <w:rPr>
          <w:rtl/>
        </w:rPr>
      </w:pPr>
      <w:r w:rsidRPr="00A52585">
        <w:rPr>
          <w:rFonts w:cs="Monotype Koufi"/>
          <w:rtl/>
          <w:lang w:bidi="ar-KW"/>
        </w:rPr>
        <w:t>(</w:t>
      </w:r>
      <w:r w:rsidR="00777DCB" w:rsidRPr="00A52585">
        <w:rPr>
          <w:rFonts w:cs="Monotype Koufi"/>
          <w:rtl/>
          <w:lang w:bidi="ar-KW"/>
        </w:rPr>
        <w:t>2</w:t>
      </w:r>
      <w:r w:rsidRPr="00A52585">
        <w:rPr>
          <w:rFonts w:cs="Monotype Koufi"/>
          <w:rtl/>
          <w:lang w:bidi="ar-KW"/>
        </w:rPr>
        <w:t>)</w:t>
      </w:r>
      <w:r w:rsidR="00777DCB" w:rsidRPr="00A52585">
        <w:rPr>
          <w:rFonts w:cs="Monotype Koufi"/>
          <w:rtl/>
          <w:lang w:bidi="ar-KW"/>
        </w:rPr>
        <w:t xml:space="preserve"> المشبهة والمجسمة</w:t>
      </w:r>
      <w:r w:rsidRPr="00A52585">
        <w:rPr>
          <w:rFonts w:cs="Monotype Koufi"/>
          <w:rtl/>
          <w:lang w:bidi="ar-KW"/>
        </w:rPr>
        <w:t>:</w:t>
      </w:r>
      <w:r w:rsidR="00777DCB" w:rsidRPr="00A52585">
        <w:rPr>
          <w:rFonts w:cs="Monotype Koufi"/>
          <w:rtl/>
          <w:lang w:bidi="ar-KW"/>
        </w:rPr>
        <w:t xml:space="preserve"> </w:t>
      </w:r>
      <w:proofErr w:type="spellStart"/>
      <w:r w:rsidR="00777DCB" w:rsidRPr="00A52585">
        <w:rPr>
          <w:rtl/>
        </w:rPr>
        <w:t>فى</w:t>
      </w:r>
      <w:proofErr w:type="spellEnd"/>
      <w:r w:rsidR="00777DCB" w:rsidRPr="00A52585">
        <w:rPr>
          <w:rtl/>
        </w:rPr>
        <w:t xml:space="preserve"> الفتوى الحموية الكبرى </w:t>
      </w:r>
      <w:r w:rsidRPr="00A52585">
        <w:rPr>
          <w:rtl/>
        </w:rPr>
        <w:t>(</w:t>
      </w:r>
      <w:r w:rsidR="00777DCB" w:rsidRPr="00A52585">
        <w:rPr>
          <w:rtl/>
        </w:rPr>
        <w:t>ص 78</w:t>
      </w:r>
      <w:r w:rsidRPr="00A52585">
        <w:rPr>
          <w:rtl/>
        </w:rPr>
        <w:t>)</w:t>
      </w:r>
      <w:r w:rsidR="00777DCB" w:rsidRPr="00A52585">
        <w:rPr>
          <w:rtl/>
        </w:rPr>
        <w:t xml:space="preserve"> بقل شيخ اسلام تقى الدين ابن تيمية </w:t>
      </w:r>
      <w:proofErr w:type="spellStart"/>
      <w:r w:rsidR="00777DCB" w:rsidRPr="00A52585">
        <w:rPr>
          <w:rtl/>
        </w:rPr>
        <w:t>الحرانى</w:t>
      </w:r>
      <w:proofErr w:type="spellEnd"/>
      <w:r w:rsidR="00777DCB" w:rsidRPr="00A52585">
        <w:rPr>
          <w:rtl/>
        </w:rPr>
        <w:t xml:space="preserve"> </w:t>
      </w:r>
      <w:proofErr w:type="spellStart"/>
      <w:r w:rsidR="00777DCB" w:rsidRPr="00A52585">
        <w:rPr>
          <w:rtl/>
        </w:rPr>
        <w:t>الحنبلى</w:t>
      </w:r>
      <w:proofErr w:type="spellEnd"/>
      <w:r w:rsidR="00777DCB" w:rsidRPr="00A52585">
        <w:rPr>
          <w:rtl/>
        </w:rPr>
        <w:t xml:space="preserve"> في ضمن ما نقله من نصوص أئمة العلماء الذين نقلوا مذهب السلف في المتشابه هذه العبارة بنصها</w:t>
      </w:r>
      <w:r w:rsidRPr="00A52585">
        <w:rPr>
          <w:rtl/>
        </w:rPr>
        <w:t>:</w:t>
      </w:r>
      <w:r w:rsidR="00777DCB" w:rsidRPr="00A52585">
        <w:rPr>
          <w:rtl/>
        </w:rPr>
        <w:t xml:space="preserve"> وكذلك قال </w:t>
      </w:r>
      <w:proofErr w:type="spellStart"/>
      <w:r w:rsidR="00777DCB" w:rsidRPr="00A52585">
        <w:rPr>
          <w:rtl/>
        </w:rPr>
        <w:t>ابوالمعالى</w:t>
      </w:r>
      <w:proofErr w:type="spellEnd"/>
      <w:r w:rsidR="00777DCB" w:rsidRPr="00A52585">
        <w:rPr>
          <w:rtl/>
        </w:rPr>
        <w:t xml:space="preserve"> </w:t>
      </w:r>
      <w:proofErr w:type="spellStart"/>
      <w:r w:rsidR="00777DCB" w:rsidRPr="00A52585">
        <w:rPr>
          <w:rtl/>
        </w:rPr>
        <w:t>الجوينى</w:t>
      </w:r>
      <w:proofErr w:type="spellEnd"/>
      <w:r w:rsidR="00777DCB" w:rsidRPr="00A52585">
        <w:rPr>
          <w:rtl/>
        </w:rPr>
        <w:t xml:space="preserve"> في كتابه (</w:t>
      </w:r>
      <w:r w:rsidRPr="00A52585">
        <w:rPr>
          <w:rtl/>
        </w:rPr>
        <w:t>(</w:t>
      </w:r>
      <w:r w:rsidR="00777DCB" w:rsidRPr="00A52585">
        <w:rPr>
          <w:rtl/>
        </w:rPr>
        <w:t>الرسالة النظامية</w:t>
      </w:r>
      <w:r w:rsidRPr="00A52585">
        <w:rPr>
          <w:rtl/>
        </w:rPr>
        <w:t>)</w:t>
      </w:r>
      <w:r w:rsidR="00777DCB" w:rsidRPr="00A52585">
        <w:rPr>
          <w:rtl/>
        </w:rPr>
        <w:t>)</w:t>
      </w:r>
      <w:r w:rsidRPr="00A52585">
        <w:rPr>
          <w:rtl/>
        </w:rPr>
        <w:t>:</w:t>
      </w:r>
      <w:r w:rsidR="00777DCB" w:rsidRPr="00A52585">
        <w:rPr>
          <w:rtl/>
        </w:rPr>
        <w:t xml:space="preserve"> (</w:t>
      </w:r>
      <w:r w:rsidRPr="00A52585">
        <w:rPr>
          <w:rtl/>
        </w:rPr>
        <w:t>(</w:t>
      </w:r>
      <w:r w:rsidR="00777DCB" w:rsidRPr="00A52585">
        <w:rPr>
          <w:rtl/>
        </w:rPr>
        <w:t>اختلف العلماء في هذه الظواهر فرأى بعضهم تأويلها</w:t>
      </w:r>
      <w:r w:rsidR="00DB731D" w:rsidRPr="00A52585">
        <w:rPr>
          <w:rtl/>
        </w:rPr>
        <w:t>،</w:t>
      </w:r>
      <w:r w:rsidR="00777DCB" w:rsidRPr="00A52585">
        <w:rPr>
          <w:rtl/>
        </w:rPr>
        <w:t xml:space="preserve"> والتزم ذلك في </w:t>
      </w:r>
      <w:proofErr w:type="spellStart"/>
      <w:r w:rsidR="00777DCB" w:rsidRPr="00A52585">
        <w:rPr>
          <w:rtl/>
        </w:rPr>
        <w:t>آى</w:t>
      </w:r>
      <w:proofErr w:type="spellEnd"/>
      <w:r w:rsidR="00777DCB" w:rsidRPr="00A52585">
        <w:rPr>
          <w:rtl/>
        </w:rPr>
        <w:t xml:space="preserve"> الكتاب</w:t>
      </w:r>
      <w:r w:rsidR="00DB731D" w:rsidRPr="00A52585">
        <w:rPr>
          <w:rtl/>
        </w:rPr>
        <w:t>،</w:t>
      </w:r>
      <w:r w:rsidR="00777DCB" w:rsidRPr="00A52585">
        <w:rPr>
          <w:rtl/>
        </w:rPr>
        <w:t xml:space="preserve"> وما يصح من السنن</w:t>
      </w:r>
      <w:r w:rsidR="00DB731D" w:rsidRPr="00A52585">
        <w:rPr>
          <w:rtl/>
        </w:rPr>
        <w:t>،</w:t>
      </w:r>
      <w:r w:rsidR="00777DCB" w:rsidRPr="00A52585">
        <w:rPr>
          <w:rtl/>
        </w:rPr>
        <w:t xml:space="preserve"> وذهب أئمة السلف الى الانعكاف عن التأويل</w:t>
      </w:r>
      <w:r w:rsidR="00DB731D" w:rsidRPr="00A52585">
        <w:rPr>
          <w:rtl/>
        </w:rPr>
        <w:t>،</w:t>
      </w:r>
      <w:r w:rsidR="00777DCB" w:rsidRPr="00A52585">
        <w:rPr>
          <w:rtl/>
        </w:rPr>
        <w:t xml:space="preserve"> وإجراء الظواهر على مواردها</w:t>
      </w:r>
      <w:r w:rsidR="00DB731D" w:rsidRPr="00A52585">
        <w:rPr>
          <w:rtl/>
        </w:rPr>
        <w:t>،</w:t>
      </w:r>
      <w:r w:rsidR="00777DCB" w:rsidRPr="00A52585">
        <w:rPr>
          <w:rtl/>
        </w:rPr>
        <w:t xml:space="preserve"> </w:t>
      </w:r>
      <w:proofErr w:type="spellStart"/>
      <w:r w:rsidR="00777DCB" w:rsidRPr="00A52585">
        <w:rPr>
          <w:rtl/>
        </w:rPr>
        <w:t>وتفيويض</w:t>
      </w:r>
      <w:proofErr w:type="spellEnd"/>
      <w:r w:rsidR="00777DCB" w:rsidRPr="00A52585">
        <w:rPr>
          <w:rtl/>
        </w:rPr>
        <w:t xml:space="preserve"> معانيها الى الرب</w:t>
      </w:r>
      <w:r w:rsidR="00DB731D" w:rsidRPr="00A52585">
        <w:rPr>
          <w:rtl/>
        </w:rPr>
        <w:t>،</w:t>
      </w:r>
      <w:r w:rsidR="00777DCB" w:rsidRPr="00A52585">
        <w:rPr>
          <w:rtl/>
        </w:rPr>
        <w:t xml:space="preserve"> قال</w:t>
      </w:r>
      <w:r w:rsidRPr="00A52585">
        <w:rPr>
          <w:rtl/>
        </w:rPr>
        <w:t>:</w:t>
      </w:r>
      <w:r w:rsidR="00777DCB" w:rsidRPr="00A52585">
        <w:rPr>
          <w:rtl/>
        </w:rPr>
        <w:t xml:space="preserve"> والذى نرتضيه رأياً</w:t>
      </w:r>
      <w:r w:rsidR="00DB731D" w:rsidRPr="00A52585">
        <w:rPr>
          <w:rtl/>
        </w:rPr>
        <w:t>،</w:t>
      </w:r>
      <w:r w:rsidR="00777DCB" w:rsidRPr="00A52585">
        <w:rPr>
          <w:rtl/>
        </w:rPr>
        <w:t xml:space="preserve"> وندين الله به عقداً</w:t>
      </w:r>
      <w:r w:rsidR="00DB731D" w:rsidRPr="00A52585">
        <w:rPr>
          <w:rtl/>
        </w:rPr>
        <w:t>،</w:t>
      </w:r>
      <w:r w:rsidR="00777DCB" w:rsidRPr="00A52585">
        <w:rPr>
          <w:rtl/>
        </w:rPr>
        <w:t xml:space="preserve"> اتباع سلف الامة والدليل </w:t>
      </w:r>
      <w:proofErr w:type="spellStart"/>
      <w:r w:rsidR="00777DCB" w:rsidRPr="00A52585">
        <w:rPr>
          <w:rtl/>
        </w:rPr>
        <w:t>السمعى</w:t>
      </w:r>
      <w:proofErr w:type="spellEnd"/>
      <w:r w:rsidR="00777DCB" w:rsidRPr="00A52585">
        <w:rPr>
          <w:rtl/>
        </w:rPr>
        <w:t xml:space="preserve"> القاطع</w:t>
      </w:r>
      <w:r w:rsidR="00DB731D" w:rsidRPr="00A52585">
        <w:rPr>
          <w:rtl/>
        </w:rPr>
        <w:t>،</w:t>
      </w:r>
      <w:r w:rsidR="00777DCB" w:rsidRPr="00A52585">
        <w:rPr>
          <w:rtl/>
        </w:rPr>
        <w:t xml:space="preserve"> إلى أن قال</w:t>
      </w:r>
      <w:r w:rsidRPr="00A52585">
        <w:rPr>
          <w:rtl/>
        </w:rPr>
        <w:t>:</w:t>
      </w:r>
      <w:r w:rsidR="00777DCB" w:rsidRPr="00A52585">
        <w:rPr>
          <w:rtl/>
        </w:rPr>
        <w:t xml:space="preserve"> وقد درج صحب رسول الله صلى الله عليه وسلم على ترك التعرض لمعانيها</w:t>
      </w:r>
      <w:r w:rsidR="00DB731D" w:rsidRPr="00A52585">
        <w:rPr>
          <w:rtl/>
        </w:rPr>
        <w:t>،</w:t>
      </w:r>
      <w:r w:rsidR="00777DCB" w:rsidRPr="00A52585">
        <w:rPr>
          <w:rtl/>
        </w:rPr>
        <w:t xml:space="preserve"> ودرك ما فيها</w:t>
      </w:r>
      <w:r w:rsidR="00DB731D" w:rsidRPr="00A52585">
        <w:rPr>
          <w:rtl/>
        </w:rPr>
        <w:t>،</w:t>
      </w:r>
      <w:r w:rsidR="00777DCB" w:rsidRPr="00A52585">
        <w:rPr>
          <w:rtl/>
        </w:rPr>
        <w:t xml:space="preserve"> وهم صفوة الاسلام</w:t>
      </w:r>
      <w:r w:rsidR="00DB731D" w:rsidRPr="00A52585">
        <w:rPr>
          <w:rtl/>
        </w:rPr>
        <w:t>،</w:t>
      </w:r>
      <w:r w:rsidR="00777DCB" w:rsidRPr="00A52585">
        <w:rPr>
          <w:rtl/>
        </w:rPr>
        <w:t xml:space="preserve"> والمستقلون بأعباء الشريعة</w:t>
      </w:r>
      <w:r w:rsidR="00DB731D" w:rsidRPr="00A52585">
        <w:rPr>
          <w:rtl/>
        </w:rPr>
        <w:t>،</w:t>
      </w:r>
      <w:r w:rsidR="00777DCB" w:rsidRPr="00A52585">
        <w:rPr>
          <w:rtl/>
        </w:rPr>
        <w:t xml:space="preserve"> وكانوا لا يألون جهداً في ضبط قواعد الملة</w:t>
      </w:r>
      <w:r w:rsidR="00DB731D" w:rsidRPr="00A52585">
        <w:rPr>
          <w:rtl/>
        </w:rPr>
        <w:t>،</w:t>
      </w:r>
      <w:r w:rsidR="00777DCB" w:rsidRPr="00A52585">
        <w:rPr>
          <w:rtl/>
        </w:rPr>
        <w:t xml:space="preserve"> </w:t>
      </w:r>
      <w:proofErr w:type="spellStart"/>
      <w:r w:rsidR="00777DCB" w:rsidRPr="00A52585">
        <w:rPr>
          <w:rtl/>
        </w:rPr>
        <w:t>والتواصى</w:t>
      </w:r>
      <w:proofErr w:type="spellEnd"/>
      <w:r w:rsidR="00777DCB" w:rsidRPr="00A52585">
        <w:rPr>
          <w:rtl/>
        </w:rPr>
        <w:t xml:space="preserve"> بحفظها</w:t>
      </w:r>
      <w:r w:rsidR="00DB731D" w:rsidRPr="00A52585">
        <w:rPr>
          <w:rtl/>
        </w:rPr>
        <w:t>،</w:t>
      </w:r>
      <w:r w:rsidR="00777DCB" w:rsidRPr="00A52585">
        <w:rPr>
          <w:rtl/>
        </w:rPr>
        <w:t xml:space="preserve"> وتعليم الناس ما يحتاجون إليه منها</w:t>
      </w:r>
      <w:r w:rsidR="00DB731D" w:rsidRPr="00A52585">
        <w:rPr>
          <w:rtl/>
        </w:rPr>
        <w:t>،</w:t>
      </w:r>
      <w:r w:rsidR="00777DCB" w:rsidRPr="00A52585">
        <w:rPr>
          <w:rtl/>
        </w:rPr>
        <w:t xml:space="preserve"> فلوكان تأويل هذه الظواهر مسوغاً </w:t>
      </w:r>
      <w:proofErr w:type="spellStart"/>
      <w:r w:rsidR="00777DCB" w:rsidRPr="00A52585">
        <w:rPr>
          <w:rtl/>
        </w:rPr>
        <w:t>أومحتوماً</w:t>
      </w:r>
      <w:proofErr w:type="spellEnd"/>
      <w:r w:rsidR="00777DCB" w:rsidRPr="00A52585">
        <w:rPr>
          <w:rtl/>
        </w:rPr>
        <w:t xml:space="preserve"> </w:t>
      </w:r>
      <w:proofErr w:type="spellStart"/>
      <w:r w:rsidR="00777DCB" w:rsidRPr="00A52585">
        <w:rPr>
          <w:rtl/>
        </w:rPr>
        <w:t>لاُوشك</w:t>
      </w:r>
      <w:proofErr w:type="spellEnd"/>
      <w:r w:rsidR="00777DCB" w:rsidRPr="00A52585">
        <w:rPr>
          <w:rtl/>
        </w:rPr>
        <w:t xml:space="preserve"> أن يكون اهتمامهم بها فوق اهتمامهم بفروع الشريعة</w:t>
      </w:r>
      <w:r w:rsidR="00DB731D" w:rsidRPr="00A52585">
        <w:rPr>
          <w:rtl/>
        </w:rPr>
        <w:t>،</w:t>
      </w:r>
      <w:r w:rsidR="00777DCB" w:rsidRPr="00A52585">
        <w:rPr>
          <w:rtl/>
        </w:rPr>
        <w:t xml:space="preserve"> واذا انصرم عصرهم وعصر التابعين عن الاضطراب عن التأويل كان ذلك هو الوجه المتبع</w:t>
      </w:r>
      <w:r w:rsidR="00DB731D" w:rsidRPr="00A52585">
        <w:rPr>
          <w:rtl/>
        </w:rPr>
        <w:t>،</w:t>
      </w:r>
      <w:r w:rsidR="00777DCB" w:rsidRPr="00A52585">
        <w:rPr>
          <w:rtl/>
        </w:rPr>
        <w:t xml:space="preserve"> فحق على </w:t>
      </w:r>
      <w:proofErr w:type="spellStart"/>
      <w:r w:rsidR="00777DCB" w:rsidRPr="00A52585">
        <w:rPr>
          <w:rtl/>
        </w:rPr>
        <w:t>ذى</w:t>
      </w:r>
      <w:proofErr w:type="spellEnd"/>
      <w:r w:rsidR="00777DCB" w:rsidRPr="00A52585">
        <w:rPr>
          <w:rtl/>
        </w:rPr>
        <w:t xml:space="preserve"> الدين أن يعتقد تنزيه </w:t>
      </w:r>
      <w:proofErr w:type="spellStart"/>
      <w:r w:rsidR="00777DCB" w:rsidRPr="00A52585">
        <w:rPr>
          <w:rtl/>
        </w:rPr>
        <w:t>البارى</w:t>
      </w:r>
      <w:proofErr w:type="spellEnd"/>
      <w:r w:rsidR="00777DCB" w:rsidRPr="00A52585">
        <w:rPr>
          <w:rtl/>
        </w:rPr>
        <w:t xml:space="preserve"> عن صفات المحدثين</w:t>
      </w:r>
      <w:r w:rsidR="00DB731D" w:rsidRPr="00A52585">
        <w:rPr>
          <w:rtl/>
        </w:rPr>
        <w:t>،</w:t>
      </w:r>
      <w:r w:rsidR="00777DCB" w:rsidRPr="00A52585">
        <w:rPr>
          <w:rtl/>
        </w:rPr>
        <w:t xml:space="preserve"> ولا يخوض في تأويل المشكلات</w:t>
      </w:r>
      <w:r w:rsidR="00DB731D" w:rsidRPr="00A52585">
        <w:rPr>
          <w:rtl/>
        </w:rPr>
        <w:t>،</w:t>
      </w:r>
      <w:r w:rsidR="00777DCB" w:rsidRPr="00A52585">
        <w:rPr>
          <w:rtl/>
        </w:rPr>
        <w:t xml:space="preserve"> ويكل معناها إلى الرب تعالى فليجر آية الاستواء </w:t>
      </w:r>
      <w:proofErr w:type="spellStart"/>
      <w:r w:rsidR="00777DCB" w:rsidRPr="00A52585">
        <w:rPr>
          <w:rtl/>
        </w:rPr>
        <w:t>أوالمجىء</w:t>
      </w:r>
      <w:proofErr w:type="spellEnd"/>
      <w:r w:rsidR="00DB731D" w:rsidRPr="00A52585">
        <w:rPr>
          <w:rtl/>
        </w:rPr>
        <w:t>،</w:t>
      </w:r>
      <w:r w:rsidR="00777DCB" w:rsidRPr="00A52585">
        <w:rPr>
          <w:rtl/>
        </w:rPr>
        <w:t xml:space="preserve"> وقوله</w:t>
      </w:r>
      <w:r w:rsidRPr="00A52585">
        <w:rPr>
          <w:rtl/>
        </w:rPr>
        <w:t>:</w:t>
      </w:r>
      <w:r w:rsidR="00777DCB" w:rsidRPr="00A52585">
        <w:rPr>
          <w:rtl/>
        </w:rPr>
        <w:t xml:space="preserve"> </w:t>
      </w:r>
      <w:r w:rsidRPr="00A52585">
        <w:rPr>
          <w:rtl/>
        </w:rPr>
        <w:t>(</w:t>
      </w:r>
      <w:r w:rsidR="00777DCB" w:rsidRPr="00A52585">
        <w:rPr>
          <w:rtl/>
        </w:rPr>
        <w:t xml:space="preserve">لما خلقت </w:t>
      </w:r>
      <w:proofErr w:type="spellStart"/>
      <w:r w:rsidR="00777DCB" w:rsidRPr="00A52585">
        <w:rPr>
          <w:rtl/>
        </w:rPr>
        <w:t>بيدى</w:t>
      </w:r>
      <w:proofErr w:type="spellEnd"/>
      <w:r w:rsidRPr="00A52585">
        <w:rPr>
          <w:rtl/>
        </w:rPr>
        <w:t>)</w:t>
      </w:r>
      <w:r w:rsidR="00897A24" w:rsidRPr="00A52585">
        <w:rPr>
          <w:rtl/>
        </w:rPr>
        <w:t>.</w:t>
      </w:r>
      <w:r w:rsidR="00777DCB" w:rsidRPr="00A52585">
        <w:rPr>
          <w:rtl/>
        </w:rPr>
        <w:t xml:space="preserve"> </w:t>
      </w:r>
      <w:r w:rsidRPr="00A52585">
        <w:rPr>
          <w:rtl/>
        </w:rPr>
        <w:t>(</w:t>
      </w:r>
      <w:r w:rsidR="00777DCB" w:rsidRPr="00A52585">
        <w:rPr>
          <w:rtl/>
        </w:rPr>
        <w:t xml:space="preserve">ويبقى وجه ربك </w:t>
      </w:r>
      <w:proofErr w:type="spellStart"/>
      <w:r w:rsidR="00777DCB" w:rsidRPr="00A52585">
        <w:rPr>
          <w:rtl/>
        </w:rPr>
        <w:t>ذوالجلال</w:t>
      </w:r>
      <w:proofErr w:type="spellEnd"/>
      <w:r w:rsidR="00777DCB" w:rsidRPr="00A52585">
        <w:rPr>
          <w:rtl/>
        </w:rPr>
        <w:t xml:space="preserve"> والاكرام 27</w:t>
      </w:r>
      <w:r w:rsidRPr="00A52585">
        <w:rPr>
          <w:rtl/>
        </w:rPr>
        <w:t>)</w:t>
      </w:r>
      <w:r w:rsidR="00777DCB" w:rsidRPr="00A52585">
        <w:rPr>
          <w:rtl/>
        </w:rPr>
        <w:t xml:space="preserve"> وقوله: </w:t>
      </w:r>
      <w:r w:rsidRPr="00A52585">
        <w:rPr>
          <w:rtl/>
        </w:rPr>
        <w:t>(</w:t>
      </w:r>
      <w:r w:rsidR="00777DCB" w:rsidRPr="00A52585">
        <w:rPr>
          <w:rtl/>
        </w:rPr>
        <w:t>تجرى بأعيننا</w:t>
      </w:r>
      <w:r w:rsidRPr="00A52585">
        <w:rPr>
          <w:rtl/>
        </w:rPr>
        <w:t>)</w:t>
      </w:r>
      <w:r w:rsidR="00777DCB" w:rsidRPr="00A52585">
        <w:rPr>
          <w:rtl/>
        </w:rPr>
        <w:t xml:space="preserve"> ومما صح من أخبار الرسول كخبر النزول وغيره على ما ذكرناه اهـ</w:t>
      </w:r>
      <w:r w:rsidR="00DB731D" w:rsidRPr="00A52585">
        <w:rPr>
          <w:rtl/>
        </w:rPr>
        <w:t>،</w:t>
      </w:r>
      <w:r w:rsidR="00777DCB" w:rsidRPr="00A52585">
        <w:rPr>
          <w:rtl/>
        </w:rPr>
        <w:t xml:space="preserve"> وقول إمام الحرمين</w:t>
      </w:r>
      <w:r w:rsidRPr="00A52585">
        <w:rPr>
          <w:rtl/>
        </w:rPr>
        <w:t>:</w:t>
      </w:r>
      <w:r w:rsidR="00777DCB" w:rsidRPr="00A52585">
        <w:rPr>
          <w:rtl/>
        </w:rPr>
        <w:t xml:space="preserve"> على ما ذكرناه </w:t>
      </w:r>
      <w:proofErr w:type="spellStart"/>
      <w:r w:rsidR="00777DCB" w:rsidRPr="00A52585">
        <w:rPr>
          <w:rtl/>
        </w:rPr>
        <w:t>اى</w:t>
      </w:r>
      <w:proofErr w:type="spellEnd"/>
      <w:r w:rsidR="00777DCB" w:rsidRPr="00A52585">
        <w:rPr>
          <w:rtl/>
        </w:rPr>
        <w:t xml:space="preserve"> من أجراء ظواهر النصوص على ما ورد به السمع</w:t>
      </w:r>
      <w:r w:rsidR="00DB731D" w:rsidRPr="00A52585">
        <w:rPr>
          <w:rtl/>
        </w:rPr>
        <w:t>،</w:t>
      </w:r>
      <w:r w:rsidR="00777DCB" w:rsidRPr="00A52585">
        <w:rPr>
          <w:rtl/>
        </w:rPr>
        <w:t xml:space="preserve"> وتفويض معانيها إلى الرب</w:t>
      </w:r>
      <w:r w:rsidR="00DB731D" w:rsidRPr="00A52585">
        <w:rPr>
          <w:rtl/>
        </w:rPr>
        <w:t>،</w:t>
      </w:r>
      <w:r w:rsidR="00777DCB" w:rsidRPr="00A52585">
        <w:rPr>
          <w:rtl/>
        </w:rPr>
        <w:t xml:space="preserve"> وعدم التعرض لفهم ما تحتمله من </w:t>
      </w:r>
      <w:proofErr w:type="spellStart"/>
      <w:r w:rsidR="00777DCB" w:rsidRPr="00A52585">
        <w:rPr>
          <w:rtl/>
        </w:rPr>
        <w:t>المعانى</w:t>
      </w:r>
      <w:proofErr w:type="spellEnd"/>
      <w:r w:rsidR="00777DCB" w:rsidRPr="00A52585">
        <w:rPr>
          <w:rtl/>
        </w:rPr>
        <w:t xml:space="preserve"> التي نكل علمها الى الله تعالى</w:t>
      </w:r>
      <w:r w:rsidR="00DB731D" w:rsidRPr="00A52585">
        <w:rPr>
          <w:rtl/>
        </w:rPr>
        <w:t>،</w:t>
      </w:r>
      <w:r w:rsidR="00777DCB" w:rsidRPr="00A52585">
        <w:rPr>
          <w:rtl/>
        </w:rPr>
        <w:t xml:space="preserve"> وهذا يوافق في الجملة ما قرره العلماء من أن مذهب السلف إمرار المتشابهات على ما جاءت به مع </w:t>
      </w:r>
      <w:proofErr w:type="spellStart"/>
      <w:r w:rsidR="00777DCB" w:rsidRPr="00A52585">
        <w:rPr>
          <w:rtl/>
        </w:rPr>
        <w:t>إعتقاد</w:t>
      </w:r>
      <w:proofErr w:type="spellEnd"/>
      <w:r w:rsidR="00777DCB" w:rsidRPr="00A52585">
        <w:rPr>
          <w:rtl/>
        </w:rPr>
        <w:t xml:space="preserve"> أن ظاهرها غير مراد لما يترتب على </w:t>
      </w:r>
      <w:r w:rsidR="00777DCB" w:rsidRPr="00A52585">
        <w:rPr>
          <w:rtl/>
        </w:rPr>
        <w:lastRenderedPageBreak/>
        <w:t xml:space="preserve">إرادته من إثبات صفات الحوادث لله </w:t>
      </w:r>
      <w:proofErr w:type="spellStart"/>
      <w:r w:rsidR="00777DCB" w:rsidRPr="00A52585">
        <w:rPr>
          <w:rtl/>
        </w:rPr>
        <w:t>نعالى</w:t>
      </w:r>
      <w:proofErr w:type="spellEnd"/>
      <w:r w:rsidR="00DB731D" w:rsidRPr="00A52585">
        <w:rPr>
          <w:rtl/>
        </w:rPr>
        <w:t>،</w:t>
      </w:r>
      <w:r w:rsidR="00777DCB" w:rsidRPr="00A52585">
        <w:rPr>
          <w:rtl/>
        </w:rPr>
        <w:t xml:space="preserve"> وابن تيمية مع نقله كثيراً مما يستأنس به لرأيه من كلام المتكلمين وغيرهم يقول بجميع ما نقوله في هذا وغيره</w:t>
      </w:r>
      <w:r w:rsidR="00DB731D" w:rsidRPr="00A52585">
        <w:rPr>
          <w:rtl/>
        </w:rPr>
        <w:t>،</w:t>
      </w:r>
      <w:r w:rsidR="00777DCB" w:rsidRPr="00A52585">
        <w:rPr>
          <w:rtl/>
        </w:rPr>
        <w:t xml:space="preserve"> ولكن الحق يقبل من كل من تكلم به</w:t>
      </w:r>
      <w:r w:rsidR="00DB731D" w:rsidRPr="00A52585">
        <w:rPr>
          <w:rtl/>
        </w:rPr>
        <w:t>،</w:t>
      </w:r>
      <w:r w:rsidR="00777DCB" w:rsidRPr="00A52585">
        <w:rPr>
          <w:rtl/>
        </w:rPr>
        <w:t xml:space="preserve"> ويقول أيضاً في موضع آخر</w:t>
      </w:r>
      <w:r w:rsidRPr="00A52585">
        <w:rPr>
          <w:rtl/>
        </w:rPr>
        <w:t>:</w:t>
      </w:r>
      <w:r w:rsidR="00777DCB" w:rsidRPr="00A52585">
        <w:rPr>
          <w:rtl/>
        </w:rPr>
        <w:t xml:space="preserve"> ولكن كثير من الناس قد صار </w:t>
      </w:r>
      <w:proofErr w:type="spellStart"/>
      <w:r w:rsidR="00777DCB" w:rsidRPr="00A52585">
        <w:rPr>
          <w:rtl/>
        </w:rPr>
        <w:t>متتسباً</w:t>
      </w:r>
      <w:proofErr w:type="spellEnd"/>
      <w:r w:rsidR="00777DCB" w:rsidRPr="00A52585">
        <w:rPr>
          <w:rtl/>
        </w:rPr>
        <w:t xml:space="preserve"> إلى بعض طوائف المتكلمين </w:t>
      </w:r>
      <w:r w:rsidRPr="00A52585">
        <w:rPr>
          <w:rtl/>
        </w:rPr>
        <w:t>[</w:t>
      </w:r>
      <w:r w:rsidR="00777DCB" w:rsidRPr="00A52585">
        <w:rPr>
          <w:rtl/>
        </w:rPr>
        <w:t>يريد الأشاعرة</w:t>
      </w:r>
      <w:r w:rsidRPr="00A52585">
        <w:rPr>
          <w:rtl/>
        </w:rPr>
        <w:t>]</w:t>
      </w:r>
      <w:r w:rsidR="00DB731D" w:rsidRPr="00A52585">
        <w:rPr>
          <w:rtl/>
        </w:rPr>
        <w:t>،</w:t>
      </w:r>
      <w:r w:rsidR="00777DCB" w:rsidRPr="00A52585">
        <w:rPr>
          <w:rtl/>
        </w:rPr>
        <w:t xml:space="preserve"> ومحسناً للظن بهم دون غيرهم</w:t>
      </w:r>
      <w:r w:rsidR="00DB731D" w:rsidRPr="00A52585">
        <w:rPr>
          <w:rtl/>
        </w:rPr>
        <w:t>،</w:t>
      </w:r>
      <w:r w:rsidR="00777DCB" w:rsidRPr="00A52585">
        <w:rPr>
          <w:rtl/>
        </w:rPr>
        <w:t xml:space="preserve"> ومتوهماً أنهم حققوا في هذا الباب ما لم يحققه غيرهم</w:t>
      </w:r>
      <w:r w:rsidR="00DB731D" w:rsidRPr="00A52585">
        <w:rPr>
          <w:rtl/>
        </w:rPr>
        <w:t>،</w:t>
      </w:r>
      <w:r w:rsidR="00777DCB" w:rsidRPr="00A52585">
        <w:rPr>
          <w:rtl/>
        </w:rPr>
        <w:t xml:space="preserve"> </w:t>
      </w:r>
      <w:proofErr w:type="spellStart"/>
      <w:r w:rsidR="00777DCB" w:rsidRPr="00A52585">
        <w:rPr>
          <w:rtl/>
        </w:rPr>
        <w:t>فلوأتى</w:t>
      </w:r>
      <w:proofErr w:type="spellEnd"/>
      <w:r w:rsidR="00777DCB" w:rsidRPr="00A52585">
        <w:rPr>
          <w:rtl/>
        </w:rPr>
        <w:t xml:space="preserve"> بكل آية ما تبعها</w:t>
      </w:r>
      <w:r w:rsidR="00DB731D" w:rsidRPr="00A52585">
        <w:rPr>
          <w:rtl/>
        </w:rPr>
        <w:t>،</w:t>
      </w:r>
      <w:r w:rsidR="00777DCB" w:rsidRPr="00A52585">
        <w:rPr>
          <w:rtl/>
        </w:rPr>
        <w:t xml:space="preserve"> حتى يؤتى </w:t>
      </w:r>
      <w:proofErr w:type="spellStart"/>
      <w:r w:rsidR="00777DCB" w:rsidRPr="00A52585">
        <w:rPr>
          <w:rtl/>
        </w:rPr>
        <w:t>بشىء</w:t>
      </w:r>
      <w:proofErr w:type="spellEnd"/>
      <w:r w:rsidR="00777DCB" w:rsidRPr="00A52585">
        <w:rPr>
          <w:rtl/>
        </w:rPr>
        <w:t xml:space="preserve"> من كلامهم</w:t>
      </w:r>
      <w:r w:rsidR="00DB731D" w:rsidRPr="00A52585">
        <w:rPr>
          <w:rtl/>
        </w:rPr>
        <w:t>،</w:t>
      </w:r>
      <w:r w:rsidR="00777DCB" w:rsidRPr="00A52585">
        <w:rPr>
          <w:rtl/>
        </w:rPr>
        <w:t xml:space="preserve"> ثم مهم مع ذلك مخالفون </w:t>
      </w:r>
      <w:proofErr w:type="spellStart"/>
      <w:r w:rsidR="00777DCB" w:rsidRPr="00A52585">
        <w:rPr>
          <w:rtl/>
        </w:rPr>
        <w:t>لاُسلافهم</w:t>
      </w:r>
      <w:proofErr w:type="spellEnd"/>
      <w:r w:rsidR="00777DCB" w:rsidRPr="00A52585">
        <w:rPr>
          <w:rtl/>
        </w:rPr>
        <w:t xml:space="preserve"> غير متبعين لهم</w:t>
      </w:r>
      <w:r w:rsidR="00DB731D" w:rsidRPr="00A52585">
        <w:rPr>
          <w:rtl/>
        </w:rPr>
        <w:t>،</w:t>
      </w:r>
      <w:r w:rsidR="00777DCB" w:rsidRPr="00A52585">
        <w:rPr>
          <w:rtl/>
        </w:rPr>
        <w:t xml:space="preserve"> </w:t>
      </w:r>
      <w:proofErr w:type="spellStart"/>
      <w:r w:rsidR="00777DCB" w:rsidRPr="00A52585">
        <w:rPr>
          <w:rtl/>
        </w:rPr>
        <w:t>فلوأنهم</w:t>
      </w:r>
      <w:proofErr w:type="spellEnd"/>
      <w:r w:rsidR="00777DCB" w:rsidRPr="00A52585">
        <w:rPr>
          <w:rtl/>
        </w:rPr>
        <w:t xml:space="preserve"> أخذوا بالهدى الذى </w:t>
      </w:r>
      <w:proofErr w:type="spellStart"/>
      <w:r w:rsidR="00777DCB" w:rsidRPr="00A52585">
        <w:rPr>
          <w:rtl/>
        </w:rPr>
        <w:t>يجدوبه</w:t>
      </w:r>
      <w:proofErr w:type="spellEnd"/>
      <w:r w:rsidR="00777DCB" w:rsidRPr="00A52585">
        <w:rPr>
          <w:rtl/>
        </w:rPr>
        <w:t xml:space="preserve"> في كلام أسلافهم لرجى لهم مع الصدق في طلب الحق أن يزدادوا هدى</w:t>
      </w:r>
      <w:r w:rsidR="00DB731D" w:rsidRPr="00A52585">
        <w:rPr>
          <w:rtl/>
        </w:rPr>
        <w:t>،</w:t>
      </w:r>
      <w:r w:rsidR="00777DCB" w:rsidRPr="00A52585">
        <w:rPr>
          <w:rtl/>
        </w:rPr>
        <w:t xml:space="preserve"> ومن كان لا يقبل الحق إلا من طائفة معينة</w:t>
      </w:r>
      <w:r w:rsidR="00DB731D" w:rsidRPr="00A52585">
        <w:rPr>
          <w:rtl/>
        </w:rPr>
        <w:t>،</w:t>
      </w:r>
      <w:r w:rsidR="00777DCB" w:rsidRPr="00A52585">
        <w:rPr>
          <w:rtl/>
        </w:rPr>
        <w:t xml:space="preserve"> ثم يتمسك بما جاءت به من الحق ففيه شبه من اليهود الذين قال الله فيهم</w:t>
      </w:r>
      <w:r w:rsidRPr="00A52585">
        <w:rPr>
          <w:rtl/>
        </w:rPr>
        <w:t>:</w:t>
      </w:r>
      <w:r w:rsidR="00777DCB" w:rsidRPr="00A52585">
        <w:rPr>
          <w:rtl/>
        </w:rPr>
        <w:t xml:space="preserve"> </w:t>
      </w:r>
      <w:r w:rsidRPr="00A52585">
        <w:rPr>
          <w:rtl/>
        </w:rPr>
        <w:t>(</w:t>
      </w:r>
      <w:r w:rsidR="00777DCB" w:rsidRPr="00A52585">
        <w:rPr>
          <w:rtl/>
        </w:rPr>
        <w:t>وإذا قيل لهم ءامنوا بما أنزل الله قالوا نؤمن بما أنزل علينا ويكفرون بما ورآءه وهو الحق مصدقاً لما معهم قل فلما تقتلون أنبياء الله من قبل إن كنتم مؤمنين 91</w:t>
      </w:r>
      <w:r w:rsidRPr="00A52585">
        <w:rPr>
          <w:rtl/>
        </w:rPr>
        <w:t>)</w:t>
      </w:r>
      <w:r w:rsidR="00777DCB" w:rsidRPr="00A52585">
        <w:rPr>
          <w:rtl/>
        </w:rPr>
        <w:t xml:space="preserve"> إلخ</w:t>
      </w:r>
      <w:r w:rsidR="00897A24" w:rsidRPr="00A52585">
        <w:rPr>
          <w:rtl/>
        </w:rPr>
        <w:t>.</w:t>
      </w:r>
      <w:r w:rsidR="00777DCB" w:rsidRPr="00A52585">
        <w:rPr>
          <w:rtl/>
        </w:rPr>
        <w:br/>
        <w:t>يلقى ابن تيمية بكلامه هذا شبه اليهود على الاشاعرة خاصة وأهل التقديس عامة</w:t>
      </w:r>
      <w:r w:rsidR="00DB731D" w:rsidRPr="00A52585">
        <w:rPr>
          <w:rtl/>
        </w:rPr>
        <w:t>،</w:t>
      </w:r>
      <w:r w:rsidR="00777DCB" w:rsidRPr="00A52585">
        <w:rPr>
          <w:rtl/>
        </w:rPr>
        <w:t xml:space="preserve"> لاُنهم لم يجاروا الممثلة والمشبهة في آرائهم</w:t>
      </w:r>
      <w:r w:rsidR="00DB731D" w:rsidRPr="00A52585">
        <w:rPr>
          <w:rtl/>
        </w:rPr>
        <w:t>،</w:t>
      </w:r>
      <w:r w:rsidR="00777DCB" w:rsidRPr="00A52585">
        <w:rPr>
          <w:rtl/>
        </w:rPr>
        <w:t xml:space="preserve"> وينسى نفسه</w:t>
      </w:r>
      <w:r w:rsidR="00DB731D" w:rsidRPr="00A52585">
        <w:rPr>
          <w:rtl/>
        </w:rPr>
        <w:t>،</w:t>
      </w:r>
      <w:r w:rsidR="00777DCB" w:rsidRPr="00A52585">
        <w:rPr>
          <w:rtl/>
        </w:rPr>
        <w:t xml:space="preserve"> ولا يحس أن بينه وبين سلف الاُمة أمداً بعيداً، فهم يفوضون ويكلون علم هذه الظواهر إلى الله تعالى وهو يجرى المتشابه من الاُسماء والصفات على ظاهرة مراداً منه حقيقة المعنى المفهوم من اللفظ عند الاطلاق</w:t>
      </w:r>
      <w:r w:rsidR="00DB731D" w:rsidRPr="00A52585">
        <w:rPr>
          <w:rtl/>
        </w:rPr>
        <w:t>،</w:t>
      </w:r>
      <w:r w:rsidR="00777DCB" w:rsidRPr="00A52585">
        <w:rPr>
          <w:rtl/>
        </w:rPr>
        <w:t xml:space="preserve"> إذ يقول في الاٍستواء</w:t>
      </w:r>
      <w:r w:rsidR="00DB731D" w:rsidRPr="00A52585">
        <w:rPr>
          <w:rtl/>
        </w:rPr>
        <w:t>،</w:t>
      </w:r>
      <w:r w:rsidR="00777DCB" w:rsidRPr="00A52585">
        <w:rPr>
          <w:rtl/>
        </w:rPr>
        <w:t xml:space="preserve"> إنه الاستواء </w:t>
      </w:r>
      <w:proofErr w:type="spellStart"/>
      <w:r w:rsidR="00777DCB" w:rsidRPr="00A52585">
        <w:rPr>
          <w:rtl/>
        </w:rPr>
        <w:t>الحقيقى</w:t>
      </w:r>
      <w:proofErr w:type="spellEnd"/>
      <w:r w:rsidR="00777DCB" w:rsidRPr="00A52585">
        <w:rPr>
          <w:rtl/>
        </w:rPr>
        <w:t xml:space="preserve"> الذى يعطيه ظاهر اللفظ ويفسره</w:t>
      </w:r>
      <w:r w:rsidRPr="00A52585">
        <w:rPr>
          <w:rtl/>
        </w:rPr>
        <w:t xml:space="preserve"> </w:t>
      </w:r>
      <w:r w:rsidR="00777DCB" w:rsidRPr="00A52585">
        <w:rPr>
          <w:rtl/>
        </w:rPr>
        <w:t>-</w:t>
      </w:r>
      <w:r w:rsidRPr="00A52585">
        <w:rPr>
          <w:rtl/>
        </w:rPr>
        <w:t xml:space="preserve"> </w:t>
      </w:r>
      <w:r w:rsidR="00777DCB" w:rsidRPr="00A52585">
        <w:rPr>
          <w:rtl/>
        </w:rPr>
        <w:t>كما وقع له في بعض كتبه</w:t>
      </w:r>
      <w:r w:rsidRPr="00A52585">
        <w:rPr>
          <w:rtl/>
        </w:rPr>
        <w:t xml:space="preserve"> </w:t>
      </w:r>
      <w:r w:rsidR="00777DCB" w:rsidRPr="00A52585">
        <w:rPr>
          <w:rtl/>
        </w:rPr>
        <w:t>-</w:t>
      </w:r>
      <w:r w:rsidRPr="00A52585">
        <w:rPr>
          <w:rtl/>
        </w:rPr>
        <w:t xml:space="preserve"> </w:t>
      </w:r>
      <w:r w:rsidR="00777DCB" w:rsidRPr="00A52585">
        <w:rPr>
          <w:rtl/>
        </w:rPr>
        <w:t>بالاستقرار والجلوس</w:t>
      </w:r>
      <w:r w:rsidR="00DB731D" w:rsidRPr="00A52585">
        <w:rPr>
          <w:rtl/>
        </w:rPr>
        <w:t>،</w:t>
      </w:r>
      <w:r w:rsidR="00777DCB" w:rsidRPr="00A52585">
        <w:rPr>
          <w:rtl/>
        </w:rPr>
        <w:t xml:space="preserve"> ويثبت ان الله في السماء</w:t>
      </w:r>
      <w:r w:rsidR="00DB731D" w:rsidRPr="00A52585">
        <w:rPr>
          <w:rtl/>
        </w:rPr>
        <w:t>،</w:t>
      </w:r>
      <w:r w:rsidR="00777DCB" w:rsidRPr="00A52585">
        <w:rPr>
          <w:rtl/>
        </w:rPr>
        <w:t xml:space="preserve"> وفوق العرش وأن له وجهاً ونفساً وصورة وعيناً ويدين وأصابع وجنباً وساقاً وقدماً</w:t>
      </w:r>
      <w:r w:rsidR="00DB731D" w:rsidRPr="00A52585">
        <w:rPr>
          <w:rtl/>
        </w:rPr>
        <w:t>،</w:t>
      </w:r>
      <w:r w:rsidR="00777DCB" w:rsidRPr="00A52585">
        <w:rPr>
          <w:rtl/>
        </w:rPr>
        <w:t xml:space="preserve"> ويجازف فيريد الظرفية الحقيقية والفوقية الحسية</w:t>
      </w:r>
      <w:r w:rsidR="00DB731D" w:rsidRPr="00A52585">
        <w:rPr>
          <w:rtl/>
        </w:rPr>
        <w:t>،</w:t>
      </w:r>
      <w:r w:rsidR="00777DCB" w:rsidRPr="00A52585">
        <w:rPr>
          <w:rtl/>
        </w:rPr>
        <w:t xml:space="preserve"> ويريد من </w:t>
      </w:r>
      <w:proofErr w:type="spellStart"/>
      <w:r w:rsidR="00777DCB" w:rsidRPr="00A52585">
        <w:rPr>
          <w:rtl/>
        </w:rPr>
        <w:t>الوجة</w:t>
      </w:r>
      <w:proofErr w:type="spellEnd"/>
      <w:r w:rsidR="00777DCB" w:rsidRPr="00A52585">
        <w:rPr>
          <w:rtl/>
        </w:rPr>
        <w:t xml:space="preserve"> وأخواته حقائقها </w:t>
      </w:r>
      <w:proofErr w:type="spellStart"/>
      <w:r w:rsidR="00777DCB" w:rsidRPr="00A52585">
        <w:rPr>
          <w:rtl/>
        </w:rPr>
        <w:t>لانه</w:t>
      </w:r>
      <w:proofErr w:type="spellEnd"/>
      <w:r w:rsidR="00777DCB" w:rsidRPr="00A52585">
        <w:rPr>
          <w:rtl/>
        </w:rPr>
        <w:t xml:space="preserve"> لا يريد من لفظ </w:t>
      </w:r>
      <w:proofErr w:type="spellStart"/>
      <w:r w:rsidR="00777DCB" w:rsidRPr="00A52585">
        <w:rPr>
          <w:rtl/>
        </w:rPr>
        <w:t>المتشايه</w:t>
      </w:r>
      <w:proofErr w:type="spellEnd"/>
      <w:r w:rsidR="00777DCB" w:rsidRPr="00A52585">
        <w:rPr>
          <w:rtl/>
        </w:rPr>
        <w:t xml:space="preserve"> إلا ظاهر حقيقته التي تراد من اللفظ عند الاطلاق</w:t>
      </w:r>
      <w:r w:rsidR="00DB731D" w:rsidRPr="00A52585">
        <w:rPr>
          <w:rtl/>
        </w:rPr>
        <w:t>،</w:t>
      </w:r>
      <w:r w:rsidR="00777DCB" w:rsidRPr="00A52585">
        <w:rPr>
          <w:rtl/>
        </w:rPr>
        <w:t xml:space="preserve"> واسمعه مثلاً يقول في " الفتوى الحموية ": ولا يحسب الحاسب أن شيئاً من ذلك يناقض بعضه بعضاً البتة</w:t>
      </w:r>
      <w:r w:rsidR="00DB731D" w:rsidRPr="00A52585">
        <w:rPr>
          <w:rtl/>
        </w:rPr>
        <w:t>،</w:t>
      </w:r>
      <w:r w:rsidR="00777DCB" w:rsidRPr="00A52585">
        <w:rPr>
          <w:rtl/>
        </w:rPr>
        <w:t xml:space="preserve"> مثل أن يقول القائل</w:t>
      </w:r>
      <w:r w:rsidRPr="00A52585">
        <w:rPr>
          <w:rtl/>
        </w:rPr>
        <w:t>:</w:t>
      </w:r>
      <w:r w:rsidR="00777DCB" w:rsidRPr="00A52585">
        <w:rPr>
          <w:rtl/>
        </w:rPr>
        <w:t xml:space="preserve"> ما في الكتاب والسنة من أن الله فوق العرش </w:t>
      </w:r>
      <w:proofErr w:type="spellStart"/>
      <w:r w:rsidR="00777DCB" w:rsidRPr="00A52585">
        <w:rPr>
          <w:rtl/>
        </w:rPr>
        <w:t>يخالفة</w:t>
      </w:r>
      <w:proofErr w:type="spellEnd"/>
      <w:r w:rsidR="00777DCB" w:rsidRPr="00A52585">
        <w:rPr>
          <w:rtl/>
        </w:rPr>
        <w:t xml:space="preserve"> في الظاهر قوله</w:t>
      </w:r>
      <w:r w:rsidRPr="00A52585">
        <w:rPr>
          <w:rtl/>
        </w:rPr>
        <w:t>:</w:t>
      </w:r>
      <w:r w:rsidR="00777DCB" w:rsidRPr="00A52585">
        <w:rPr>
          <w:rtl/>
        </w:rPr>
        <w:t xml:space="preserve"> </w:t>
      </w:r>
      <w:r w:rsidRPr="00A52585">
        <w:rPr>
          <w:rtl/>
        </w:rPr>
        <w:t>(</w:t>
      </w:r>
      <w:r w:rsidR="00777DCB" w:rsidRPr="00A52585">
        <w:rPr>
          <w:rtl/>
        </w:rPr>
        <w:t>وهو معكم أين ما كنتم</w:t>
      </w:r>
      <w:r w:rsidRPr="00A52585">
        <w:rPr>
          <w:rtl/>
        </w:rPr>
        <w:t>)</w:t>
      </w:r>
      <w:r w:rsidR="00777DCB" w:rsidRPr="00A52585">
        <w:rPr>
          <w:rtl/>
        </w:rPr>
        <w:t xml:space="preserve"> وقوله صلى الله عليه وسلم</w:t>
      </w:r>
      <w:r w:rsidRPr="00A52585">
        <w:rPr>
          <w:rtl/>
        </w:rPr>
        <w:t>:</w:t>
      </w:r>
      <w:r w:rsidR="00777DCB" w:rsidRPr="00A52585">
        <w:rPr>
          <w:rtl/>
        </w:rPr>
        <w:t xml:space="preserve"> "إذا قام أحدكم الى الصلاة فإن الله قبل وجهه " ونحو ذلك</w:t>
      </w:r>
      <w:r w:rsidR="00DB731D" w:rsidRPr="00A52585">
        <w:rPr>
          <w:rtl/>
        </w:rPr>
        <w:t>،</w:t>
      </w:r>
      <w:r w:rsidR="00777DCB" w:rsidRPr="00A52585">
        <w:rPr>
          <w:rtl/>
        </w:rPr>
        <w:t xml:space="preserve"> فأن هذا غلط</w:t>
      </w:r>
      <w:r w:rsidR="00DB731D" w:rsidRPr="00A52585">
        <w:rPr>
          <w:rtl/>
        </w:rPr>
        <w:t>،</w:t>
      </w:r>
      <w:r w:rsidR="00777DCB" w:rsidRPr="00A52585">
        <w:rPr>
          <w:rtl/>
        </w:rPr>
        <w:t xml:space="preserve"> وذلك أن الله معنا حقيقة</w:t>
      </w:r>
      <w:r w:rsidR="00DB731D" w:rsidRPr="00A52585">
        <w:rPr>
          <w:rtl/>
        </w:rPr>
        <w:t>،</w:t>
      </w:r>
      <w:r w:rsidR="00777DCB" w:rsidRPr="00A52585">
        <w:rPr>
          <w:rtl/>
        </w:rPr>
        <w:t xml:space="preserve"> وهو فوق العرش حقيقة كما جمع الله بينهما في قوله سبحانه وتعالى</w:t>
      </w:r>
      <w:r w:rsidRPr="00A52585">
        <w:rPr>
          <w:rtl/>
        </w:rPr>
        <w:t>:</w:t>
      </w:r>
      <w:r w:rsidR="00777DCB" w:rsidRPr="00A52585">
        <w:rPr>
          <w:rtl/>
        </w:rPr>
        <w:t xml:space="preserve"> </w:t>
      </w:r>
      <w:r w:rsidRPr="00A52585">
        <w:rPr>
          <w:rtl/>
        </w:rPr>
        <w:t>(</w:t>
      </w:r>
      <w:r w:rsidR="00777DCB" w:rsidRPr="00A52585">
        <w:rPr>
          <w:rtl/>
        </w:rPr>
        <w:t>هو الذى خلق السموات والارض في ستة أيام ثم استوى على العرش يعلم ما يلج في الارض وما يخرج منها وما ينزل من السماء وما يعرج فيها وهو معكم أينما كنتم والله بما تعملون بصير</w:t>
      </w:r>
      <w:r w:rsidRPr="00A52585">
        <w:rPr>
          <w:rtl/>
        </w:rPr>
        <w:t>)</w:t>
      </w:r>
      <w:r w:rsidR="00777DCB" w:rsidRPr="00A52585">
        <w:rPr>
          <w:rtl/>
        </w:rPr>
        <w:t xml:space="preserve"> فأخبر أنه فوق العرش وهو يعلم كل </w:t>
      </w:r>
      <w:proofErr w:type="spellStart"/>
      <w:r w:rsidR="00777DCB" w:rsidRPr="00A52585">
        <w:rPr>
          <w:rtl/>
        </w:rPr>
        <w:t>شىء</w:t>
      </w:r>
      <w:proofErr w:type="spellEnd"/>
      <w:r w:rsidR="00777DCB" w:rsidRPr="00A52585">
        <w:rPr>
          <w:rtl/>
        </w:rPr>
        <w:t xml:space="preserve"> وهو معنا اينما كنا</w:t>
      </w:r>
      <w:r w:rsidR="00DB731D" w:rsidRPr="00A52585">
        <w:rPr>
          <w:rtl/>
        </w:rPr>
        <w:t>،</w:t>
      </w:r>
      <w:r w:rsidR="00777DCB" w:rsidRPr="00A52585">
        <w:rPr>
          <w:rtl/>
        </w:rPr>
        <w:t xml:space="preserve"> كما قال النبي صلى الله عليه وسلم في حديث الاوعال</w:t>
      </w:r>
      <w:r w:rsidRPr="00A52585">
        <w:rPr>
          <w:rtl/>
        </w:rPr>
        <w:t>:</w:t>
      </w:r>
      <w:r w:rsidR="00777DCB" w:rsidRPr="00A52585">
        <w:rPr>
          <w:rtl/>
        </w:rPr>
        <w:t xml:space="preserve"> " والله فوق العرش وهو يعلم ما أنتم عليه " وذلك أن كلمة </w:t>
      </w:r>
      <w:r w:rsidRPr="00A52585">
        <w:rPr>
          <w:rtl/>
        </w:rPr>
        <w:t>(</w:t>
      </w:r>
      <w:r w:rsidR="00777DCB" w:rsidRPr="00A52585">
        <w:rPr>
          <w:rtl/>
        </w:rPr>
        <w:t>مع</w:t>
      </w:r>
      <w:r w:rsidRPr="00A52585">
        <w:rPr>
          <w:rtl/>
        </w:rPr>
        <w:t>)</w:t>
      </w:r>
      <w:r w:rsidR="00777DCB" w:rsidRPr="00A52585">
        <w:rPr>
          <w:rtl/>
        </w:rPr>
        <w:t xml:space="preserve"> في اللغة إذا أطلقت فليس ظاهرها في اللغة إلا </w:t>
      </w:r>
      <w:r w:rsidR="00777DCB" w:rsidRPr="00A52585">
        <w:rPr>
          <w:rtl/>
        </w:rPr>
        <w:lastRenderedPageBreak/>
        <w:t xml:space="preserve">المقارنة من غير وجوب مماسة </w:t>
      </w:r>
      <w:proofErr w:type="spellStart"/>
      <w:r w:rsidR="00777DCB" w:rsidRPr="00A52585">
        <w:rPr>
          <w:rtl/>
        </w:rPr>
        <w:t>أومحاذاة</w:t>
      </w:r>
      <w:proofErr w:type="spellEnd"/>
      <w:r w:rsidR="00777DCB" w:rsidRPr="00A52585">
        <w:rPr>
          <w:rtl/>
        </w:rPr>
        <w:t xml:space="preserve"> عن يمين </w:t>
      </w:r>
      <w:proofErr w:type="spellStart"/>
      <w:r w:rsidR="00777DCB" w:rsidRPr="00A52585">
        <w:rPr>
          <w:rtl/>
        </w:rPr>
        <w:t>أوشمال</w:t>
      </w:r>
      <w:proofErr w:type="spellEnd"/>
      <w:r w:rsidR="00DB731D" w:rsidRPr="00A52585">
        <w:rPr>
          <w:rtl/>
        </w:rPr>
        <w:t>،</w:t>
      </w:r>
      <w:r w:rsidR="00777DCB" w:rsidRPr="00A52585">
        <w:rPr>
          <w:rtl/>
        </w:rPr>
        <w:t xml:space="preserve"> فإذا قيدت بمعنى من </w:t>
      </w:r>
      <w:proofErr w:type="spellStart"/>
      <w:r w:rsidR="00777DCB" w:rsidRPr="00A52585">
        <w:rPr>
          <w:rtl/>
        </w:rPr>
        <w:t>المعانى</w:t>
      </w:r>
      <w:proofErr w:type="spellEnd"/>
      <w:r w:rsidR="00777DCB" w:rsidRPr="00A52585">
        <w:rPr>
          <w:rtl/>
        </w:rPr>
        <w:t xml:space="preserve"> دلت على المقارنة في ذلك المعنى فإنه يقال</w:t>
      </w:r>
      <w:r w:rsidRPr="00A52585">
        <w:rPr>
          <w:rtl/>
        </w:rPr>
        <w:t>:</w:t>
      </w:r>
      <w:r w:rsidR="00777DCB" w:rsidRPr="00A52585">
        <w:rPr>
          <w:rtl/>
        </w:rPr>
        <w:t xml:space="preserve"> ما زلنا نسير والقمر معنا أو يقال</w:t>
      </w:r>
      <w:r w:rsidRPr="00A52585">
        <w:rPr>
          <w:rtl/>
        </w:rPr>
        <w:t>:</w:t>
      </w:r>
      <w:r w:rsidR="00777DCB" w:rsidRPr="00A52585">
        <w:rPr>
          <w:rtl/>
        </w:rPr>
        <w:t xml:space="preserve"> هذا المتاع </w:t>
      </w:r>
      <w:proofErr w:type="spellStart"/>
      <w:r w:rsidR="00777DCB" w:rsidRPr="00A52585">
        <w:rPr>
          <w:rtl/>
        </w:rPr>
        <w:t>معى</w:t>
      </w:r>
      <w:proofErr w:type="spellEnd"/>
      <w:r w:rsidR="00777DCB" w:rsidRPr="00A52585">
        <w:rPr>
          <w:rtl/>
        </w:rPr>
        <w:t xml:space="preserve"> لمجامعته لك وإن كان فوق رأسك فالله مع خلقة حقيقة إلخ</w:t>
      </w:r>
      <w:r w:rsidR="00DB731D" w:rsidRPr="00A52585">
        <w:rPr>
          <w:rtl/>
        </w:rPr>
        <w:t>،</w:t>
      </w:r>
      <w:r w:rsidR="00777DCB" w:rsidRPr="00A52585">
        <w:rPr>
          <w:rtl/>
        </w:rPr>
        <w:t xml:space="preserve"> يقول هذا ابن تيمية مع أن المعية الحقيقية لا تكون إلا بالمقارنة الحسية وهى تقتضى التحيز</w:t>
      </w:r>
      <w:r w:rsidR="00DB731D" w:rsidRPr="00A52585">
        <w:rPr>
          <w:rtl/>
        </w:rPr>
        <w:t>،</w:t>
      </w:r>
      <w:r w:rsidR="00777DCB" w:rsidRPr="00A52585">
        <w:rPr>
          <w:rtl/>
        </w:rPr>
        <w:t xml:space="preserve"> ويقول في هذا الموضع أيضاً</w:t>
      </w:r>
      <w:r w:rsidRPr="00A52585">
        <w:rPr>
          <w:rtl/>
        </w:rPr>
        <w:t>:</w:t>
      </w:r>
      <w:r w:rsidR="00777DCB" w:rsidRPr="00A52585">
        <w:rPr>
          <w:rtl/>
        </w:rPr>
        <w:t xml:space="preserve"> " ولما قال النبي صلى الله عليه وسلم لصاحبه في الغار</w:t>
      </w:r>
      <w:r w:rsidRPr="00A52585">
        <w:rPr>
          <w:rtl/>
        </w:rPr>
        <w:t>:</w:t>
      </w:r>
      <w:r w:rsidR="00777DCB" w:rsidRPr="00A52585">
        <w:rPr>
          <w:rtl/>
        </w:rPr>
        <w:t xml:space="preserve"> </w:t>
      </w:r>
      <w:r w:rsidRPr="00A52585">
        <w:rPr>
          <w:rtl/>
        </w:rPr>
        <w:t>(</w:t>
      </w:r>
      <w:r w:rsidR="00777DCB" w:rsidRPr="00A52585">
        <w:rPr>
          <w:rtl/>
        </w:rPr>
        <w:t>لا تحزن إن الله معنا</w:t>
      </w:r>
      <w:r w:rsidRPr="00A52585">
        <w:rPr>
          <w:rtl/>
        </w:rPr>
        <w:t>)</w:t>
      </w:r>
      <w:r w:rsidR="00777DCB" w:rsidRPr="00A52585">
        <w:rPr>
          <w:rtl/>
        </w:rPr>
        <w:t xml:space="preserve"> كان هذا أيضاً على ظاهره</w:t>
      </w:r>
      <w:r w:rsidR="00DB731D" w:rsidRPr="00A52585">
        <w:rPr>
          <w:rtl/>
        </w:rPr>
        <w:t>،</w:t>
      </w:r>
      <w:r w:rsidR="00777DCB" w:rsidRPr="00A52585">
        <w:rPr>
          <w:rtl/>
        </w:rPr>
        <w:t xml:space="preserve"> ودلت الحال على أن حكم هذه المعية هنا معية الاطلاع والنصر </w:t>
      </w:r>
      <w:proofErr w:type="spellStart"/>
      <w:r w:rsidR="00777DCB" w:rsidRPr="00A52585">
        <w:rPr>
          <w:rtl/>
        </w:rPr>
        <w:t>والتأيد</w:t>
      </w:r>
      <w:proofErr w:type="spellEnd"/>
      <w:r w:rsidR="00DB731D" w:rsidRPr="00A52585">
        <w:rPr>
          <w:rtl/>
        </w:rPr>
        <w:t>،</w:t>
      </w:r>
      <w:r w:rsidR="00777DCB" w:rsidRPr="00A52585">
        <w:rPr>
          <w:rtl/>
        </w:rPr>
        <w:t xml:space="preserve"> وانظر إلى هذا التمويه والتناقض فهو يوهمك أن المعيه المفهومة من قوله</w:t>
      </w:r>
      <w:r w:rsidRPr="00A52585">
        <w:rPr>
          <w:rtl/>
        </w:rPr>
        <w:t>:</w:t>
      </w:r>
      <w:r w:rsidR="00777DCB" w:rsidRPr="00A52585">
        <w:rPr>
          <w:rtl/>
        </w:rPr>
        <w:t xml:space="preserve"> </w:t>
      </w:r>
      <w:r w:rsidRPr="00A52585">
        <w:rPr>
          <w:rtl/>
        </w:rPr>
        <w:t>(</w:t>
      </w:r>
      <w:r w:rsidR="00777DCB" w:rsidRPr="00A52585">
        <w:rPr>
          <w:rtl/>
        </w:rPr>
        <w:t>إن الله معنا</w:t>
      </w:r>
      <w:r w:rsidRPr="00A52585">
        <w:rPr>
          <w:rtl/>
        </w:rPr>
        <w:t>)</w:t>
      </w:r>
      <w:r w:rsidR="00777DCB" w:rsidRPr="00A52585">
        <w:rPr>
          <w:rtl/>
        </w:rPr>
        <w:t xml:space="preserve"> معية حقيقية يدل عليها اللفظ بظاهره</w:t>
      </w:r>
      <w:r w:rsidR="00DB731D" w:rsidRPr="00A52585">
        <w:rPr>
          <w:rtl/>
        </w:rPr>
        <w:t>،</w:t>
      </w:r>
      <w:r w:rsidR="00777DCB" w:rsidRPr="00A52585">
        <w:rPr>
          <w:rtl/>
        </w:rPr>
        <w:t xml:space="preserve"> ومعلوم أن مدلول اللفظ </w:t>
      </w:r>
      <w:proofErr w:type="spellStart"/>
      <w:r w:rsidR="00777DCB" w:rsidRPr="00A52585">
        <w:rPr>
          <w:rtl/>
        </w:rPr>
        <w:t>الحقيقى</w:t>
      </w:r>
      <w:proofErr w:type="spellEnd"/>
      <w:r w:rsidR="00777DCB" w:rsidRPr="00A52585">
        <w:rPr>
          <w:rtl/>
        </w:rPr>
        <w:t xml:space="preserve"> أن الله معهما </w:t>
      </w:r>
      <w:proofErr w:type="spellStart"/>
      <w:r w:rsidR="00777DCB" w:rsidRPr="00A52585">
        <w:rPr>
          <w:rtl/>
        </w:rPr>
        <w:t>أى</w:t>
      </w:r>
      <w:proofErr w:type="spellEnd"/>
      <w:r w:rsidR="00777DCB" w:rsidRPr="00A52585">
        <w:rPr>
          <w:rtl/>
        </w:rPr>
        <w:t xml:space="preserve"> بذاته</w:t>
      </w:r>
      <w:r w:rsidR="00DB731D" w:rsidRPr="00A52585">
        <w:rPr>
          <w:rtl/>
        </w:rPr>
        <w:t>،</w:t>
      </w:r>
      <w:r w:rsidR="00777DCB" w:rsidRPr="00A52585">
        <w:rPr>
          <w:rtl/>
        </w:rPr>
        <w:t xml:space="preserve"> ولكن لما كان هذا المعنى غير مراد صرفه عن ظاهره فقال</w:t>
      </w:r>
      <w:r w:rsidRPr="00A52585">
        <w:rPr>
          <w:rtl/>
        </w:rPr>
        <w:t>:</w:t>
      </w:r>
      <w:r w:rsidR="00777DCB" w:rsidRPr="00A52585">
        <w:rPr>
          <w:rtl/>
        </w:rPr>
        <w:t xml:space="preserve"> معنى " إن الله معنا " </w:t>
      </w:r>
      <w:proofErr w:type="spellStart"/>
      <w:r w:rsidR="00777DCB" w:rsidRPr="00A52585">
        <w:rPr>
          <w:rtl/>
        </w:rPr>
        <w:t>أى</w:t>
      </w:r>
      <w:proofErr w:type="spellEnd"/>
      <w:r w:rsidR="00777DCB" w:rsidRPr="00A52585">
        <w:rPr>
          <w:rtl/>
        </w:rPr>
        <w:t xml:space="preserve"> علمه واطلاعه ونصره وتأييده</w:t>
      </w:r>
      <w:r w:rsidR="00DB731D" w:rsidRPr="00A52585">
        <w:rPr>
          <w:rtl/>
        </w:rPr>
        <w:t>،</w:t>
      </w:r>
      <w:r w:rsidR="00777DCB" w:rsidRPr="00A52585">
        <w:rPr>
          <w:rtl/>
        </w:rPr>
        <w:t xml:space="preserve"> وهو لا يقول بصرف اللفظ عن ظاهره</w:t>
      </w:r>
      <w:r w:rsidR="00DB731D" w:rsidRPr="00A52585">
        <w:rPr>
          <w:rtl/>
        </w:rPr>
        <w:t>،</w:t>
      </w:r>
      <w:r w:rsidR="00777DCB" w:rsidRPr="00A52585">
        <w:rPr>
          <w:rtl/>
        </w:rPr>
        <w:t xml:space="preserve"> وهذا الصنيع من ابن تيمية وما عمد إليه من الجدل والمحاولات الكثيرة لا يمكن أن يكون هو صنيع السلف بحال</w:t>
      </w:r>
      <w:r w:rsidR="00DB731D" w:rsidRPr="00A52585">
        <w:rPr>
          <w:rtl/>
        </w:rPr>
        <w:t>،</w:t>
      </w:r>
      <w:r w:rsidR="00777DCB" w:rsidRPr="00A52585">
        <w:rPr>
          <w:rtl/>
        </w:rPr>
        <w:t xml:space="preserve"> ولا تأتى أن يتمشى مع طريقتهم</w:t>
      </w:r>
      <w:r w:rsidR="00DB731D" w:rsidRPr="00A52585">
        <w:rPr>
          <w:rtl/>
        </w:rPr>
        <w:t>،</w:t>
      </w:r>
      <w:r w:rsidR="00777DCB" w:rsidRPr="00A52585">
        <w:rPr>
          <w:rtl/>
        </w:rPr>
        <w:t xml:space="preserve"> وهم لم يعينوا هذه </w:t>
      </w:r>
      <w:proofErr w:type="spellStart"/>
      <w:r w:rsidR="00777DCB" w:rsidRPr="00A52585">
        <w:rPr>
          <w:rtl/>
        </w:rPr>
        <w:t>المعانى</w:t>
      </w:r>
      <w:proofErr w:type="spellEnd"/>
      <w:r w:rsidR="00777DCB" w:rsidRPr="00A52585">
        <w:rPr>
          <w:rtl/>
        </w:rPr>
        <w:t xml:space="preserve"> كما عينها أهل الحديث والاُثر بل سكتوا عنها</w:t>
      </w:r>
      <w:r w:rsidR="00DB731D" w:rsidRPr="00A52585">
        <w:rPr>
          <w:rtl/>
        </w:rPr>
        <w:t>،</w:t>
      </w:r>
      <w:r w:rsidR="00777DCB" w:rsidRPr="00A52585">
        <w:rPr>
          <w:rtl/>
        </w:rPr>
        <w:t xml:space="preserve"> ولم يثبت عنهم أنهم بحثوا وفتشوها وتعبوا فيها كما تعب هؤلاء لاُنهم مستغنون عن ذلك لسلامة فطرهم</w:t>
      </w:r>
      <w:r w:rsidR="00DB731D" w:rsidRPr="00A52585">
        <w:rPr>
          <w:rtl/>
        </w:rPr>
        <w:t>،</w:t>
      </w:r>
      <w:r w:rsidR="00777DCB" w:rsidRPr="00A52585">
        <w:rPr>
          <w:rtl/>
        </w:rPr>
        <w:t xml:space="preserve"> وصحة عقولهم</w:t>
      </w:r>
      <w:r w:rsidR="00DB731D" w:rsidRPr="00A52585">
        <w:rPr>
          <w:rtl/>
        </w:rPr>
        <w:t>،</w:t>
      </w:r>
      <w:r w:rsidR="00777DCB" w:rsidRPr="00A52585">
        <w:rPr>
          <w:rtl/>
        </w:rPr>
        <w:t xml:space="preserve"> وصفاء </w:t>
      </w:r>
      <w:proofErr w:type="spellStart"/>
      <w:r w:rsidR="00777DCB" w:rsidRPr="00A52585">
        <w:rPr>
          <w:rtl/>
        </w:rPr>
        <w:t>وجداناتهم</w:t>
      </w:r>
      <w:proofErr w:type="spellEnd"/>
      <w:r w:rsidR="00DB731D" w:rsidRPr="00A52585">
        <w:rPr>
          <w:rtl/>
        </w:rPr>
        <w:t>،</w:t>
      </w:r>
      <w:r w:rsidR="00777DCB" w:rsidRPr="00A52585">
        <w:rPr>
          <w:rtl/>
        </w:rPr>
        <w:t xml:space="preserve"> ومعرفتهم بجميع </w:t>
      </w:r>
      <w:proofErr w:type="spellStart"/>
      <w:r w:rsidR="00777DCB" w:rsidRPr="00A52585">
        <w:rPr>
          <w:rtl/>
        </w:rPr>
        <w:t>مناحى</w:t>
      </w:r>
      <w:proofErr w:type="spellEnd"/>
      <w:r w:rsidR="00777DCB" w:rsidRPr="00A52585">
        <w:rPr>
          <w:rtl/>
        </w:rPr>
        <w:t xml:space="preserve"> العرب</w:t>
      </w:r>
      <w:r w:rsidR="00DB731D" w:rsidRPr="00A52585">
        <w:rPr>
          <w:rtl/>
        </w:rPr>
        <w:t>،</w:t>
      </w:r>
      <w:r w:rsidR="00777DCB" w:rsidRPr="00A52585">
        <w:rPr>
          <w:rtl/>
        </w:rPr>
        <w:t xml:space="preserve"> ومحال أن يقعوا فيما وقع فيه غيرهم من الشناعات والتشبيهات والمجازفات</w:t>
      </w:r>
      <w:r w:rsidR="00DB731D" w:rsidRPr="00A52585">
        <w:rPr>
          <w:rtl/>
        </w:rPr>
        <w:t>،</w:t>
      </w:r>
      <w:r w:rsidR="00777DCB" w:rsidRPr="00A52585">
        <w:rPr>
          <w:rtl/>
        </w:rPr>
        <w:t xml:space="preserve"> وهذا ابن خزيمة يقول في باب ذكر الوجه والصورة لله عز وجل من كتاب" التوحيد " له </w:t>
      </w:r>
      <w:r w:rsidRPr="00A52585">
        <w:rPr>
          <w:rtl/>
        </w:rPr>
        <w:t>(</w:t>
      </w:r>
      <w:r w:rsidR="00777DCB" w:rsidRPr="00A52585">
        <w:rPr>
          <w:rtl/>
        </w:rPr>
        <w:t>ص16</w:t>
      </w:r>
      <w:r w:rsidRPr="00A52585">
        <w:rPr>
          <w:rtl/>
        </w:rPr>
        <w:t xml:space="preserve"> </w:t>
      </w:r>
      <w:r w:rsidR="00777DCB" w:rsidRPr="00A52585">
        <w:rPr>
          <w:rtl/>
        </w:rPr>
        <w:t>-</w:t>
      </w:r>
      <w:r w:rsidRPr="00A52585">
        <w:rPr>
          <w:rtl/>
        </w:rPr>
        <w:t xml:space="preserve"> </w:t>
      </w:r>
      <w:r w:rsidR="00777DCB" w:rsidRPr="00A52585">
        <w:rPr>
          <w:rtl/>
        </w:rPr>
        <w:t>17</w:t>
      </w:r>
      <w:r w:rsidRPr="00A52585">
        <w:rPr>
          <w:rtl/>
        </w:rPr>
        <w:t>)</w:t>
      </w:r>
      <w:r w:rsidR="00777DCB" w:rsidRPr="00A52585">
        <w:rPr>
          <w:rtl/>
        </w:rPr>
        <w:t xml:space="preserve"> وقد ذكرنا من الكتاب والسنة ذكر وجه ربنا بما فيه الغنية </w:t>
      </w:r>
      <w:proofErr w:type="spellStart"/>
      <w:r w:rsidR="00777DCB" w:rsidRPr="00A52585">
        <w:rPr>
          <w:rtl/>
        </w:rPr>
        <w:t>والكفابة</w:t>
      </w:r>
      <w:proofErr w:type="spellEnd"/>
      <w:r w:rsidR="00DB731D" w:rsidRPr="00A52585">
        <w:rPr>
          <w:rtl/>
        </w:rPr>
        <w:t>،</w:t>
      </w:r>
      <w:r w:rsidR="00777DCB" w:rsidRPr="00A52585">
        <w:rPr>
          <w:rtl/>
        </w:rPr>
        <w:t xml:space="preserve"> ونزيده شرحاً فأسمعوا الآن أيها العقلاء</w:t>
      </w:r>
      <w:r w:rsidR="00DB731D" w:rsidRPr="00A52585">
        <w:rPr>
          <w:rtl/>
        </w:rPr>
        <w:t>،</w:t>
      </w:r>
      <w:r w:rsidR="00777DCB" w:rsidRPr="00A52585">
        <w:rPr>
          <w:rtl/>
        </w:rPr>
        <w:t xml:space="preserve"> ما يذكر من جنس اللغة السائرة بين العرب هل يطلقون اسم المشبهة على أهل الآثار </w:t>
      </w:r>
      <w:proofErr w:type="spellStart"/>
      <w:r w:rsidR="00777DCB" w:rsidRPr="00A52585">
        <w:rPr>
          <w:rtl/>
        </w:rPr>
        <w:t>ومتبعى</w:t>
      </w:r>
      <w:proofErr w:type="spellEnd"/>
      <w:r w:rsidR="00777DCB" w:rsidRPr="00A52585">
        <w:rPr>
          <w:rtl/>
        </w:rPr>
        <w:t xml:space="preserve"> السنن نحن نقول وعلماؤنا جميعاً في الاقطار</w:t>
      </w:r>
      <w:r w:rsidR="00DB731D" w:rsidRPr="00A52585">
        <w:rPr>
          <w:rtl/>
        </w:rPr>
        <w:t>،</w:t>
      </w:r>
      <w:r w:rsidR="00777DCB" w:rsidRPr="00A52585">
        <w:rPr>
          <w:rtl/>
        </w:rPr>
        <w:t xml:space="preserve"> أن لمعبودنا عز وجل وجهاً كما أعلمنا الله في محكم تنزيله فذواه بالجلال والاكرام</w:t>
      </w:r>
      <w:r w:rsidR="00DB731D" w:rsidRPr="00A52585">
        <w:rPr>
          <w:rtl/>
        </w:rPr>
        <w:t>،</w:t>
      </w:r>
      <w:r w:rsidR="00777DCB" w:rsidRPr="00A52585">
        <w:rPr>
          <w:rtl/>
        </w:rPr>
        <w:t xml:space="preserve"> وحكم له بالبقاء</w:t>
      </w:r>
      <w:r w:rsidR="00DB731D" w:rsidRPr="00A52585">
        <w:rPr>
          <w:rtl/>
        </w:rPr>
        <w:t>،</w:t>
      </w:r>
      <w:r w:rsidR="00777DCB" w:rsidRPr="00A52585">
        <w:rPr>
          <w:rtl/>
        </w:rPr>
        <w:t xml:space="preserve"> ونفى عنه الهلاك ونقول: أن لوجه ربنا عز وجل من النور والضياء والبهاء ما </w:t>
      </w:r>
      <w:proofErr w:type="spellStart"/>
      <w:r w:rsidR="00777DCB" w:rsidRPr="00A52585">
        <w:rPr>
          <w:rtl/>
        </w:rPr>
        <w:t>لوكشف</w:t>
      </w:r>
      <w:proofErr w:type="spellEnd"/>
      <w:r w:rsidR="00777DCB" w:rsidRPr="00A52585">
        <w:rPr>
          <w:rtl/>
        </w:rPr>
        <w:t xml:space="preserve"> لأحرقت سبحات وجهه كل </w:t>
      </w:r>
      <w:proofErr w:type="spellStart"/>
      <w:r w:rsidR="00777DCB" w:rsidRPr="00A52585">
        <w:rPr>
          <w:rtl/>
        </w:rPr>
        <w:t>شئ</w:t>
      </w:r>
      <w:proofErr w:type="spellEnd"/>
      <w:r w:rsidR="00777DCB" w:rsidRPr="00A52585">
        <w:rPr>
          <w:rtl/>
        </w:rPr>
        <w:t xml:space="preserve"> أدركه بصره</w:t>
      </w:r>
      <w:r w:rsidR="00DB731D" w:rsidRPr="00A52585">
        <w:rPr>
          <w:rtl/>
        </w:rPr>
        <w:t>،</w:t>
      </w:r>
      <w:r w:rsidR="00777DCB" w:rsidRPr="00A52585">
        <w:rPr>
          <w:rtl/>
        </w:rPr>
        <w:t xml:space="preserve"> محجوب عن أبصار أهل الدنيا</w:t>
      </w:r>
      <w:r w:rsidR="00DB731D" w:rsidRPr="00A52585">
        <w:rPr>
          <w:rtl/>
        </w:rPr>
        <w:t>،</w:t>
      </w:r>
      <w:r w:rsidR="00777DCB" w:rsidRPr="00A52585">
        <w:rPr>
          <w:rtl/>
        </w:rPr>
        <w:t xml:space="preserve"> لا يراه بشر ما دام في الدنيا الفانية</w:t>
      </w:r>
      <w:r w:rsidR="00DB731D" w:rsidRPr="00A52585">
        <w:rPr>
          <w:rtl/>
        </w:rPr>
        <w:t>،</w:t>
      </w:r>
      <w:r w:rsidR="00777DCB" w:rsidRPr="00A52585">
        <w:rPr>
          <w:rtl/>
        </w:rPr>
        <w:t xml:space="preserve"> ونقول</w:t>
      </w:r>
      <w:r w:rsidRPr="00A52585">
        <w:rPr>
          <w:rtl/>
        </w:rPr>
        <w:t>:</w:t>
      </w:r>
      <w:r w:rsidR="00777DCB" w:rsidRPr="00A52585">
        <w:rPr>
          <w:rtl/>
        </w:rPr>
        <w:t xml:space="preserve"> غن وجه ربنا القديم لم يزل </w:t>
      </w:r>
      <w:proofErr w:type="spellStart"/>
      <w:r w:rsidR="00777DCB" w:rsidRPr="00A52585">
        <w:rPr>
          <w:rtl/>
        </w:rPr>
        <w:t>بالباقى</w:t>
      </w:r>
      <w:proofErr w:type="spellEnd"/>
      <w:r w:rsidR="00777DCB" w:rsidRPr="00A52585">
        <w:rPr>
          <w:rtl/>
        </w:rPr>
        <w:t xml:space="preserve"> الذى لا يزال فنفى عنه الهلاك والفناء</w:t>
      </w:r>
      <w:r w:rsidR="00DB731D" w:rsidRPr="00A52585">
        <w:rPr>
          <w:rtl/>
        </w:rPr>
        <w:t>،</w:t>
      </w:r>
      <w:r w:rsidR="00777DCB" w:rsidRPr="00A52585">
        <w:rPr>
          <w:rtl/>
        </w:rPr>
        <w:t xml:space="preserve"> ونقول</w:t>
      </w:r>
      <w:r w:rsidRPr="00A52585">
        <w:rPr>
          <w:rtl/>
        </w:rPr>
        <w:t>:</w:t>
      </w:r>
      <w:r w:rsidR="00777DCB" w:rsidRPr="00A52585">
        <w:rPr>
          <w:rtl/>
        </w:rPr>
        <w:t xml:space="preserve"> " إن لبنى آدم وجوهاً كتب الله عليها الهلاك ونفى عنها الجلال والإكرام غير موصوفة بالنور والضياء والبهاء التي وصف الله بها وجهه يدرك وجوه بنى آدم أبصار أهل الدنيا لا تحرق لأحد شعرة فما فوقها لنفى السبحات عنها التي بينها نبينا المصطفى صلى الله عليه وسلم لوجه خالقنا</w:t>
      </w:r>
      <w:r w:rsidR="00DB731D" w:rsidRPr="00A52585">
        <w:rPr>
          <w:rtl/>
        </w:rPr>
        <w:t>،</w:t>
      </w:r>
      <w:r w:rsidR="00777DCB" w:rsidRPr="00A52585">
        <w:rPr>
          <w:rtl/>
        </w:rPr>
        <w:t xml:space="preserve"> </w:t>
      </w:r>
    </w:p>
    <w:p w14:paraId="2FFAA7AC" w14:textId="16B2AFB5" w:rsidR="00777DCB" w:rsidRPr="00A52585" w:rsidRDefault="0002035C" w:rsidP="0002035C">
      <w:pPr>
        <w:spacing w:after="240"/>
        <w:rPr>
          <w:rtl/>
        </w:rPr>
      </w:pPr>
      <w:r w:rsidRPr="00A52585">
        <w:rPr>
          <w:rFonts w:cs="Monotype Koufi"/>
          <w:rtl/>
          <w:lang w:bidi="ar-KW"/>
        </w:rPr>
        <w:lastRenderedPageBreak/>
        <w:t>(</w:t>
      </w:r>
      <w:r w:rsidR="00777DCB" w:rsidRPr="00A52585">
        <w:rPr>
          <w:rFonts w:cs="Monotype Koufi"/>
          <w:rtl/>
          <w:lang w:bidi="ar-KW"/>
        </w:rPr>
        <w:t>3</w:t>
      </w:r>
      <w:r w:rsidRPr="00A52585">
        <w:rPr>
          <w:rFonts w:cs="Monotype Koufi"/>
          <w:rtl/>
          <w:lang w:bidi="ar-KW"/>
        </w:rPr>
        <w:t>)</w:t>
      </w:r>
      <w:r w:rsidR="00777DCB" w:rsidRPr="00A52585">
        <w:rPr>
          <w:rFonts w:cs="Monotype Koufi"/>
          <w:rtl/>
          <w:lang w:bidi="ar-KW"/>
        </w:rPr>
        <w:t xml:space="preserve"> المجسمة والمشبهة</w:t>
      </w:r>
      <w:r w:rsidRPr="00A52585">
        <w:rPr>
          <w:rFonts w:cs="Monotype Koufi"/>
          <w:rtl/>
          <w:lang w:bidi="ar-KW"/>
        </w:rPr>
        <w:t>:</w:t>
      </w:r>
      <w:r w:rsidR="00777DCB" w:rsidRPr="00A52585">
        <w:rPr>
          <w:rtl/>
        </w:rPr>
        <w:t xml:space="preserve"> عن ابى هريرة رضى الله عنه أن رسول الله قال</w:t>
      </w:r>
      <w:r w:rsidRPr="00A52585">
        <w:rPr>
          <w:rtl/>
        </w:rPr>
        <w:t>:</w:t>
      </w:r>
      <w:r w:rsidR="00777DCB" w:rsidRPr="00A52585">
        <w:rPr>
          <w:rtl/>
        </w:rPr>
        <w:t xml:space="preserve">" ينزل ربنا تبارك وتعالى كل ليلة </w:t>
      </w:r>
      <w:proofErr w:type="spellStart"/>
      <w:r w:rsidR="00777DCB" w:rsidRPr="00A52585">
        <w:rPr>
          <w:rtl/>
        </w:rPr>
        <w:t>ألى</w:t>
      </w:r>
      <w:proofErr w:type="spellEnd"/>
      <w:r w:rsidR="00777DCB" w:rsidRPr="00A52585">
        <w:rPr>
          <w:rtl/>
        </w:rPr>
        <w:t xml:space="preserve"> السماء الدنيا حين يبقى الثلث الليل الآخر</w:t>
      </w:r>
      <w:r w:rsidR="00897A24" w:rsidRPr="00A52585">
        <w:rPr>
          <w:rtl/>
        </w:rPr>
        <w:t>.</w:t>
      </w:r>
      <w:r w:rsidR="00777DCB" w:rsidRPr="00A52585">
        <w:rPr>
          <w:rtl/>
        </w:rPr>
        <w:t xml:space="preserve"> يقول</w:t>
      </w:r>
      <w:r w:rsidRPr="00A52585">
        <w:rPr>
          <w:rtl/>
        </w:rPr>
        <w:t>:</w:t>
      </w:r>
      <w:r w:rsidR="00777DCB" w:rsidRPr="00A52585">
        <w:rPr>
          <w:rtl/>
        </w:rPr>
        <w:t xml:space="preserve"> من </w:t>
      </w:r>
      <w:proofErr w:type="spellStart"/>
      <w:r w:rsidR="00777DCB" w:rsidRPr="00A52585">
        <w:rPr>
          <w:rtl/>
        </w:rPr>
        <w:t>يدعونى</w:t>
      </w:r>
      <w:proofErr w:type="spellEnd"/>
      <w:r w:rsidR="00777DCB" w:rsidRPr="00A52585">
        <w:rPr>
          <w:rtl/>
        </w:rPr>
        <w:t xml:space="preserve"> فأستجب له</w:t>
      </w:r>
      <w:r w:rsidR="00F95886" w:rsidRPr="00A52585">
        <w:rPr>
          <w:rtl/>
        </w:rPr>
        <w:t>؟</w:t>
      </w:r>
      <w:r w:rsidR="00777DCB" w:rsidRPr="00A52585">
        <w:rPr>
          <w:rtl/>
        </w:rPr>
        <w:t xml:space="preserve"> " رواه البخاري</w:t>
      </w:r>
      <w:r w:rsidR="00DB731D" w:rsidRPr="00A52585">
        <w:rPr>
          <w:rtl/>
        </w:rPr>
        <w:t>،</w:t>
      </w:r>
      <w:r w:rsidR="00777DCB" w:rsidRPr="00A52585">
        <w:rPr>
          <w:rtl/>
        </w:rPr>
        <w:t xml:space="preserve"> الشرح والبيان</w:t>
      </w:r>
      <w:r w:rsidRPr="00A52585">
        <w:rPr>
          <w:rtl/>
        </w:rPr>
        <w:t>:</w:t>
      </w:r>
      <w:r w:rsidR="00777DCB" w:rsidRPr="00A52585">
        <w:rPr>
          <w:rtl/>
        </w:rPr>
        <w:t xml:space="preserve"> هذا الحديث رواه أصحاب السنن</w:t>
      </w:r>
      <w:r w:rsidR="00DB731D" w:rsidRPr="00A52585">
        <w:rPr>
          <w:rtl/>
        </w:rPr>
        <w:t>،</w:t>
      </w:r>
      <w:r w:rsidR="00777DCB" w:rsidRPr="00A52585">
        <w:rPr>
          <w:rtl/>
        </w:rPr>
        <w:t xml:space="preserve"> ورواه البخاري في باب الدعاء والصلاة من آخر الليل من كتاب الصلاة</w:t>
      </w:r>
      <w:r w:rsidR="00DB731D" w:rsidRPr="00A52585">
        <w:rPr>
          <w:rtl/>
        </w:rPr>
        <w:t>،</w:t>
      </w:r>
      <w:r w:rsidR="00777DCB" w:rsidRPr="00A52585">
        <w:rPr>
          <w:rtl/>
        </w:rPr>
        <w:t xml:space="preserve"> ورواه في باب الدعاء نصف الليل من كتاب الدعوات</w:t>
      </w:r>
      <w:r w:rsidR="00DB731D" w:rsidRPr="00A52585">
        <w:rPr>
          <w:rtl/>
        </w:rPr>
        <w:t>،</w:t>
      </w:r>
      <w:r w:rsidR="00777DCB" w:rsidRPr="00A52585">
        <w:rPr>
          <w:rtl/>
        </w:rPr>
        <w:t xml:space="preserve"> وفي كتاب التوحيد أيضاً</w:t>
      </w:r>
      <w:r w:rsidR="00DB731D" w:rsidRPr="00A52585">
        <w:rPr>
          <w:rtl/>
        </w:rPr>
        <w:t>،</w:t>
      </w:r>
      <w:r w:rsidR="00777DCB" w:rsidRPr="00A52585">
        <w:rPr>
          <w:rtl/>
        </w:rPr>
        <w:t xml:space="preserve"> ولكونه من الاحاديث التي يتعلق بها الغلاة من </w:t>
      </w:r>
      <w:proofErr w:type="spellStart"/>
      <w:r w:rsidR="00777DCB" w:rsidRPr="00A52585">
        <w:rPr>
          <w:rtl/>
        </w:rPr>
        <w:t>مثبتى</w:t>
      </w:r>
      <w:proofErr w:type="spellEnd"/>
      <w:r w:rsidR="00777DCB" w:rsidRPr="00A52585">
        <w:rPr>
          <w:rtl/>
        </w:rPr>
        <w:t xml:space="preserve"> الصفات</w:t>
      </w:r>
      <w:r w:rsidR="00DB731D" w:rsidRPr="00A52585">
        <w:rPr>
          <w:rtl/>
        </w:rPr>
        <w:t>،</w:t>
      </w:r>
      <w:r w:rsidR="00777DCB" w:rsidRPr="00A52585">
        <w:rPr>
          <w:rtl/>
        </w:rPr>
        <w:t xml:space="preserve"> وفيهم مشبهة ومجسمة أحببت أن يكون موضوع </w:t>
      </w:r>
      <w:proofErr w:type="spellStart"/>
      <w:r w:rsidR="00777DCB" w:rsidRPr="00A52585">
        <w:rPr>
          <w:rtl/>
        </w:rPr>
        <w:t>حديثى</w:t>
      </w:r>
      <w:proofErr w:type="spellEnd"/>
      <w:r w:rsidR="00DB731D" w:rsidRPr="00A52585">
        <w:rPr>
          <w:rtl/>
        </w:rPr>
        <w:t>،</w:t>
      </w:r>
      <w:r w:rsidR="00777DCB" w:rsidRPr="00A52585">
        <w:rPr>
          <w:rtl/>
        </w:rPr>
        <w:t xml:space="preserve"> يقول صاحب </w:t>
      </w:r>
      <w:r w:rsidRPr="00A52585">
        <w:rPr>
          <w:rtl/>
        </w:rPr>
        <w:t>(</w:t>
      </w:r>
      <w:r w:rsidR="00777DCB" w:rsidRPr="00A52585">
        <w:rPr>
          <w:rtl/>
        </w:rPr>
        <w:t>الفتح</w:t>
      </w:r>
      <w:r w:rsidRPr="00A52585">
        <w:rPr>
          <w:rtl/>
        </w:rPr>
        <w:t>)</w:t>
      </w:r>
      <w:r w:rsidR="00777DCB" w:rsidRPr="00A52585">
        <w:rPr>
          <w:rtl/>
        </w:rPr>
        <w:t xml:space="preserve"> تعليقاً على قوله عليه الصلاة والسلام</w:t>
      </w:r>
      <w:r w:rsidRPr="00A52585">
        <w:rPr>
          <w:rtl/>
        </w:rPr>
        <w:t>:</w:t>
      </w:r>
      <w:r w:rsidR="00777DCB" w:rsidRPr="00A52585">
        <w:rPr>
          <w:rtl/>
        </w:rPr>
        <w:t xml:space="preserve"> " ينزل ربنا الى السماء الدنيا "</w:t>
      </w:r>
      <w:r w:rsidRPr="00A52585">
        <w:rPr>
          <w:rtl/>
        </w:rPr>
        <w:t>:</w:t>
      </w:r>
      <w:r w:rsidR="00777DCB" w:rsidRPr="00A52585">
        <w:rPr>
          <w:rtl/>
        </w:rPr>
        <w:t xml:space="preserve"> استدل به من أثبت الجهة</w:t>
      </w:r>
      <w:r w:rsidR="00DB731D" w:rsidRPr="00A52585">
        <w:rPr>
          <w:rtl/>
        </w:rPr>
        <w:t>،</w:t>
      </w:r>
      <w:r w:rsidR="00777DCB" w:rsidRPr="00A52585">
        <w:rPr>
          <w:rtl/>
        </w:rPr>
        <w:t xml:space="preserve"> وقال</w:t>
      </w:r>
      <w:r w:rsidRPr="00A52585">
        <w:rPr>
          <w:rtl/>
        </w:rPr>
        <w:t>:</w:t>
      </w:r>
      <w:r w:rsidR="00777DCB" w:rsidRPr="00A52585">
        <w:rPr>
          <w:rtl/>
        </w:rPr>
        <w:t xml:space="preserve"> هي جهة العلو وأنكر ذلك الجمهور</w:t>
      </w:r>
      <w:r w:rsidR="00DB731D" w:rsidRPr="00A52585">
        <w:rPr>
          <w:rtl/>
        </w:rPr>
        <w:t>،</w:t>
      </w:r>
      <w:r w:rsidR="00777DCB" w:rsidRPr="00A52585">
        <w:rPr>
          <w:rtl/>
        </w:rPr>
        <w:t xml:space="preserve"> لاُن القول بذلك يفضى إلى التحيز تعالى الله عن ذلك</w:t>
      </w:r>
      <w:r w:rsidR="00DB731D" w:rsidRPr="00A52585">
        <w:rPr>
          <w:rtl/>
        </w:rPr>
        <w:t>،</w:t>
      </w:r>
      <w:r w:rsidR="00777DCB" w:rsidRPr="00A52585">
        <w:rPr>
          <w:rtl/>
        </w:rPr>
        <w:t xml:space="preserve"> وقد اختلف في معنى النزول على أقوال</w:t>
      </w:r>
      <w:r w:rsidRPr="00A52585">
        <w:rPr>
          <w:rtl/>
        </w:rPr>
        <w:t>:</w:t>
      </w:r>
      <w:r w:rsidR="00777DCB" w:rsidRPr="00A52585">
        <w:rPr>
          <w:rtl/>
        </w:rPr>
        <w:t xml:space="preserve"> فمنهم من حمله على ظاهره وحقيقته وهم المشبهة تعالى الله عن أقوالهم</w:t>
      </w:r>
      <w:r w:rsidR="00DB731D" w:rsidRPr="00A52585">
        <w:rPr>
          <w:rtl/>
        </w:rPr>
        <w:t>،</w:t>
      </w:r>
      <w:r w:rsidR="00777DCB" w:rsidRPr="00A52585">
        <w:rPr>
          <w:rtl/>
        </w:rPr>
        <w:t xml:space="preserve"> ومنهم من أنكر صحة الاحاديث الواردة في ذلك جملة وهم الخوارج والمعتزلة</w:t>
      </w:r>
      <w:r w:rsidR="00DB731D" w:rsidRPr="00A52585">
        <w:rPr>
          <w:rtl/>
        </w:rPr>
        <w:t>،</w:t>
      </w:r>
      <w:r w:rsidR="00777DCB" w:rsidRPr="00A52585">
        <w:rPr>
          <w:rtl/>
        </w:rPr>
        <w:t xml:space="preserve"> وهو مكابرة</w:t>
      </w:r>
      <w:r w:rsidR="00DB731D" w:rsidRPr="00A52585">
        <w:rPr>
          <w:rtl/>
        </w:rPr>
        <w:t>،</w:t>
      </w:r>
      <w:r w:rsidR="00777DCB" w:rsidRPr="00A52585">
        <w:rPr>
          <w:rtl/>
        </w:rPr>
        <w:t xml:space="preserve"> والعجب أنهم أولوا ما في القرآن الكريم من نحو ذلك</w:t>
      </w:r>
      <w:r w:rsidR="00DB731D" w:rsidRPr="00A52585">
        <w:rPr>
          <w:rtl/>
        </w:rPr>
        <w:t>،</w:t>
      </w:r>
      <w:r w:rsidR="00777DCB" w:rsidRPr="00A52585">
        <w:rPr>
          <w:rtl/>
        </w:rPr>
        <w:t xml:space="preserve"> وأنكروا ما في الحديث إما جهلاً وإما عناداً</w:t>
      </w:r>
      <w:r w:rsidR="00DB731D" w:rsidRPr="00A52585">
        <w:rPr>
          <w:rtl/>
        </w:rPr>
        <w:t>،</w:t>
      </w:r>
      <w:r w:rsidR="00777DCB" w:rsidRPr="00A52585">
        <w:rPr>
          <w:rtl/>
        </w:rPr>
        <w:t xml:space="preserve"> ومنهم من أجراه على ما ورد مؤمناً به على طريق الاجمال منزهاً الله تعالى عن الكيفية </w:t>
      </w:r>
      <w:proofErr w:type="spellStart"/>
      <w:r w:rsidR="00777DCB" w:rsidRPr="00A52585">
        <w:rPr>
          <w:rtl/>
        </w:rPr>
        <w:t>والتشبية</w:t>
      </w:r>
      <w:proofErr w:type="spellEnd"/>
      <w:r w:rsidR="00DB731D" w:rsidRPr="00A52585">
        <w:rPr>
          <w:rtl/>
        </w:rPr>
        <w:t>،</w:t>
      </w:r>
      <w:r w:rsidR="00777DCB" w:rsidRPr="00A52585">
        <w:rPr>
          <w:rtl/>
        </w:rPr>
        <w:t xml:space="preserve"> وهم جمهور السلف</w:t>
      </w:r>
      <w:r w:rsidR="00DB731D" w:rsidRPr="00A52585">
        <w:rPr>
          <w:rtl/>
        </w:rPr>
        <w:t>،</w:t>
      </w:r>
      <w:r w:rsidR="00777DCB" w:rsidRPr="00A52585">
        <w:rPr>
          <w:rtl/>
        </w:rPr>
        <w:t xml:space="preserve"> ونقله البيهقي وغيره من الائمة الاربعة والسفانين </w:t>
      </w:r>
      <w:proofErr w:type="spellStart"/>
      <w:r w:rsidR="00777DCB" w:rsidRPr="00A52585">
        <w:rPr>
          <w:rtl/>
        </w:rPr>
        <w:t>والحمادين</w:t>
      </w:r>
      <w:proofErr w:type="spellEnd"/>
      <w:r w:rsidR="00777DCB" w:rsidRPr="00A52585">
        <w:rPr>
          <w:rtl/>
        </w:rPr>
        <w:t xml:space="preserve"> </w:t>
      </w:r>
      <w:proofErr w:type="spellStart"/>
      <w:r w:rsidR="00777DCB" w:rsidRPr="00A52585">
        <w:rPr>
          <w:rtl/>
        </w:rPr>
        <w:t>والاوزاعى</w:t>
      </w:r>
      <w:proofErr w:type="spellEnd"/>
      <w:r w:rsidR="00777DCB" w:rsidRPr="00A52585">
        <w:rPr>
          <w:rtl/>
        </w:rPr>
        <w:t xml:space="preserve"> والليث وغيرهم</w:t>
      </w:r>
      <w:r w:rsidR="00DB731D" w:rsidRPr="00A52585">
        <w:rPr>
          <w:rtl/>
        </w:rPr>
        <w:t>،</w:t>
      </w:r>
      <w:r w:rsidR="00777DCB" w:rsidRPr="00A52585">
        <w:rPr>
          <w:rtl/>
        </w:rPr>
        <w:t xml:space="preserve"> ومنهم من أوله على وجه يليق</w:t>
      </w:r>
      <w:r w:rsidR="00DB731D" w:rsidRPr="00A52585">
        <w:rPr>
          <w:rtl/>
        </w:rPr>
        <w:t>،</w:t>
      </w:r>
      <w:r w:rsidR="00777DCB" w:rsidRPr="00A52585">
        <w:rPr>
          <w:rtl/>
        </w:rPr>
        <w:t xml:space="preserve"> مستعمل في كلام العرب</w:t>
      </w:r>
      <w:r w:rsidR="00DB731D" w:rsidRPr="00A52585">
        <w:rPr>
          <w:rtl/>
        </w:rPr>
        <w:t>،</w:t>
      </w:r>
      <w:r w:rsidR="00777DCB" w:rsidRPr="00A52585">
        <w:rPr>
          <w:rtl/>
        </w:rPr>
        <w:t xml:space="preserve"> ومنهم من أفرط في التأويل حتى كاد أن يخرج </w:t>
      </w:r>
      <w:proofErr w:type="spellStart"/>
      <w:r w:rsidR="00777DCB" w:rsidRPr="00A52585">
        <w:rPr>
          <w:rtl/>
        </w:rPr>
        <w:t>ألى</w:t>
      </w:r>
      <w:proofErr w:type="spellEnd"/>
      <w:r w:rsidR="00777DCB" w:rsidRPr="00A52585">
        <w:rPr>
          <w:rtl/>
        </w:rPr>
        <w:t xml:space="preserve"> نوع من التحريف</w:t>
      </w:r>
      <w:r w:rsidR="00DB731D" w:rsidRPr="00A52585">
        <w:rPr>
          <w:rtl/>
        </w:rPr>
        <w:t>،</w:t>
      </w:r>
      <w:r w:rsidR="00777DCB" w:rsidRPr="00A52585">
        <w:rPr>
          <w:rtl/>
        </w:rPr>
        <w:t xml:space="preserve"> ومنهم من فصل بين ما يكون تأويله قريباً مستعملاً في كلام العرب</w:t>
      </w:r>
      <w:r w:rsidR="00DB731D" w:rsidRPr="00A52585">
        <w:rPr>
          <w:rtl/>
        </w:rPr>
        <w:t>،</w:t>
      </w:r>
      <w:r w:rsidR="00777DCB" w:rsidRPr="00A52585">
        <w:rPr>
          <w:rtl/>
        </w:rPr>
        <w:t xml:space="preserve"> وبين ما يكون بعيداً مهجوراً</w:t>
      </w:r>
      <w:r w:rsidR="00DB731D" w:rsidRPr="00A52585">
        <w:rPr>
          <w:rtl/>
        </w:rPr>
        <w:t>،</w:t>
      </w:r>
      <w:r w:rsidR="00777DCB" w:rsidRPr="00A52585">
        <w:rPr>
          <w:rtl/>
        </w:rPr>
        <w:t xml:space="preserve"> </w:t>
      </w:r>
      <w:proofErr w:type="spellStart"/>
      <w:r w:rsidR="00777DCB" w:rsidRPr="00A52585">
        <w:rPr>
          <w:rtl/>
        </w:rPr>
        <w:t>تأؤل</w:t>
      </w:r>
      <w:proofErr w:type="spellEnd"/>
      <w:r w:rsidR="00777DCB" w:rsidRPr="00A52585">
        <w:rPr>
          <w:rtl/>
        </w:rPr>
        <w:t xml:space="preserve"> في بعض</w:t>
      </w:r>
      <w:r w:rsidR="00DB731D" w:rsidRPr="00A52585">
        <w:rPr>
          <w:rtl/>
        </w:rPr>
        <w:t>،</w:t>
      </w:r>
      <w:r w:rsidR="00777DCB" w:rsidRPr="00A52585">
        <w:rPr>
          <w:rtl/>
        </w:rPr>
        <w:t xml:space="preserve"> وفوض في بعض</w:t>
      </w:r>
      <w:r w:rsidR="00DB731D" w:rsidRPr="00A52585">
        <w:rPr>
          <w:rtl/>
        </w:rPr>
        <w:t>،</w:t>
      </w:r>
      <w:r w:rsidR="00777DCB" w:rsidRPr="00A52585">
        <w:rPr>
          <w:rtl/>
        </w:rPr>
        <w:t xml:space="preserve"> وهو منقول عن مالك</w:t>
      </w:r>
      <w:r w:rsidR="00DB731D" w:rsidRPr="00A52585">
        <w:rPr>
          <w:rtl/>
        </w:rPr>
        <w:t>،</w:t>
      </w:r>
      <w:r w:rsidR="00777DCB" w:rsidRPr="00A52585">
        <w:rPr>
          <w:rtl/>
        </w:rPr>
        <w:t xml:space="preserve"> وجزم به من المتأخرين ابن دقيق العيد</w:t>
      </w:r>
      <w:r w:rsidR="00DB731D" w:rsidRPr="00A52585">
        <w:rPr>
          <w:rtl/>
        </w:rPr>
        <w:t>،</w:t>
      </w:r>
      <w:r w:rsidR="00777DCB" w:rsidRPr="00A52585">
        <w:rPr>
          <w:rtl/>
        </w:rPr>
        <w:t xml:space="preserve"> قال </w:t>
      </w:r>
      <w:proofErr w:type="spellStart"/>
      <w:r w:rsidR="00777DCB" w:rsidRPr="00A52585">
        <w:rPr>
          <w:rtl/>
        </w:rPr>
        <w:t>البيهقى</w:t>
      </w:r>
      <w:proofErr w:type="spellEnd"/>
      <w:r w:rsidRPr="00A52585">
        <w:rPr>
          <w:rtl/>
        </w:rPr>
        <w:t>:</w:t>
      </w:r>
      <w:r w:rsidR="00777DCB" w:rsidRPr="00A52585">
        <w:rPr>
          <w:rtl/>
        </w:rPr>
        <w:t xml:space="preserve"> وأسلمها الايمان بلا كيف</w:t>
      </w:r>
      <w:r w:rsidR="00DB731D" w:rsidRPr="00A52585">
        <w:rPr>
          <w:rtl/>
        </w:rPr>
        <w:t>،</w:t>
      </w:r>
      <w:r w:rsidR="00777DCB" w:rsidRPr="00A52585">
        <w:rPr>
          <w:rtl/>
        </w:rPr>
        <w:t xml:space="preserve"> والسكوت عن المراد إلا أن يرد ذلك عن الصادق فيصار أليه</w:t>
      </w:r>
      <w:r w:rsidR="00DB731D" w:rsidRPr="00A52585">
        <w:rPr>
          <w:rtl/>
        </w:rPr>
        <w:t>،</w:t>
      </w:r>
      <w:r w:rsidR="00777DCB" w:rsidRPr="00A52585">
        <w:rPr>
          <w:rtl/>
        </w:rPr>
        <w:t xml:space="preserve"> ومن الدليل على ذلك اتفاقهم على أن التأويل المعين غير واجب فحينئذ التفويض أسلم</w:t>
      </w:r>
      <w:r w:rsidR="00DB731D" w:rsidRPr="00A52585">
        <w:rPr>
          <w:rtl/>
        </w:rPr>
        <w:t>،</w:t>
      </w:r>
      <w:r w:rsidR="00777DCB" w:rsidRPr="00A52585">
        <w:rPr>
          <w:rtl/>
        </w:rPr>
        <w:t xml:space="preserve"> وقال في أوائل كتاب التوحيد بعد أن نقل كثيراً من أقوال العلماء ومذاهبهم سلفاً وخلفاً بإزاء هذه الظواهر</w:t>
      </w:r>
      <w:r w:rsidRPr="00A52585">
        <w:rPr>
          <w:rtl/>
        </w:rPr>
        <w:t>:</w:t>
      </w:r>
      <w:r w:rsidR="00777DCB" w:rsidRPr="00A52585">
        <w:rPr>
          <w:rtl/>
        </w:rPr>
        <w:t xml:space="preserve"> وقسم بعضهم أقوال العرب في هذا الباب </w:t>
      </w:r>
      <w:proofErr w:type="spellStart"/>
      <w:r w:rsidR="00777DCB" w:rsidRPr="00A52585">
        <w:rPr>
          <w:rtl/>
        </w:rPr>
        <w:t>ألى</w:t>
      </w:r>
      <w:proofErr w:type="spellEnd"/>
      <w:r w:rsidR="00777DCB" w:rsidRPr="00A52585">
        <w:rPr>
          <w:rtl/>
        </w:rPr>
        <w:t xml:space="preserve"> ستة أقوال</w:t>
      </w:r>
      <w:r w:rsidRPr="00A52585">
        <w:rPr>
          <w:rtl/>
        </w:rPr>
        <w:t>:</w:t>
      </w:r>
      <w:r w:rsidR="00777DCB" w:rsidRPr="00A52585">
        <w:rPr>
          <w:rtl/>
        </w:rPr>
        <w:t xml:space="preserve"> قولان لمن يجريهما على ظاهرهما</w:t>
      </w:r>
      <w:r w:rsidRPr="00A52585">
        <w:rPr>
          <w:rtl/>
        </w:rPr>
        <w:t>:</w:t>
      </w:r>
      <w:r w:rsidR="00777DCB" w:rsidRPr="00A52585">
        <w:rPr>
          <w:rtl/>
        </w:rPr>
        <w:t xml:space="preserve"> </w:t>
      </w:r>
      <w:r w:rsidRPr="00A52585">
        <w:rPr>
          <w:rtl/>
        </w:rPr>
        <w:t>(</w:t>
      </w:r>
      <w:r w:rsidR="00777DCB" w:rsidRPr="00A52585">
        <w:rPr>
          <w:rtl/>
        </w:rPr>
        <w:t>أحداهما</w:t>
      </w:r>
      <w:r w:rsidRPr="00A52585">
        <w:rPr>
          <w:rtl/>
        </w:rPr>
        <w:t>)</w:t>
      </w:r>
      <w:r w:rsidR="00777DCB" w:rsidRPr="00A52585">
        <w:rPr>
          <w:rtl/>
        </w:rPr>
        <w:t xml:space="preserve"> من يعتقد أنها من جنس صفات المخلوقين</w:t>
      </w:r>
      <w:r w:rsidR="00DB731D" w:rsidRPr="00A52585">
        <w:rPr>
          <w:rtl/>
        </w:rPr>
        <w:t>،</w:t>
      </w:r>
      <w:r w:rsidR="00777DCB" w:rsidRPr="00A52585">
        <w:rPr>
          <w:rtl/>
        </w:rPr>
        <w:t xml:space="preserve"> وهم المشبهة</w:t>
      </w:r>
      <w:r w:rsidR="00DB731D" w:rsidRPr="00A52585">
        <w:rPr>
          <w:rtl/>
        </w:rPr>
        <w:t>،</w:t>
      </w:r>
      <w:r w:rsidR="00777DCB" w:rsidRPr="00A52585">
        <w:rPr>
          <w:rtl/>
        </w:rPr>
        <w:t xml:space="preserve"> ويتفرع من قولهم عدة آراء</w:t>
      </w:r>
      <w:r w:rsidR="00DB731D" w:rsidRPr="00A52585">
        <w:rPr>
          <w:rtl/>
        </w:rPr>
        <w:t>،</w:t>
      </w:r>
      <w:r w:rsidR="00777DCB" w:rsidRPr="00A52585">
        <w:rPr>
          <w:rtl/>
        </w:rPr>
        <w:t xml:space="preserve"> </w:t>
      </w:r>
      <w:r w:rsidRPr="00A52585">
        <w:rPr>
          <w:rtl/>
        </w:rPr>
        <w:t>(</w:t>
      </w:r>
      <w:r w:rsidR="00777DCB" w:rsidRPr="00A52585">
        <w:rPr>
          <w:rtl/>
        </w:rPr>
        <w:t>والثاني</w:t>
      </w:r>
      <w:r w:rsidRPr="00A52585">
        <w:rPr>
          <w:rtl/>
        </w:rPr>
        <w:t>)</w:t>
      </w:r>
      <w:r w:rsidR="00777DCB" w:rsidRPr="00A52585">
        <w:rPr>
          <w:rtl/>
        </w:rPr>
        <w:t xml:space="preserve"> من ينفى عنها شبه صفة المخلوقين لاُن ذات الله لا تشبه الذوات</w:t>
      </w:r>
      <w:r w:rsidR="00DB731D" w:rsidRPr="00A52585">
        <w:rPr>
          <w:rtl/>
        </w:rPr>
        <w:t>،</w:t>
      </w:r>
      <w:r w:rsidR="00777DCB" w:rsidRPr="00A52585">
        <w:rPr>
          <w:rtl/>
        </w:rPr>
        <w:t xml:space="preserve"> فصفاته لا تشبه الصفات</w:t>
      </w:r>
      <w:r w:rsidR="00DB731D" w:rsidRPr="00A52585">
        <w:rPr>
          <w:rtl/>
        </w:rPr>
        <w:t>،</w:t>
      </w:r>
      <w:r w:rsidR="00777DCB" w:rsidRPr="00A52585">
        <w:rPr>
          <w:rtl/>
        </w:rPr>
        <w:t xml:space="preserve"> فإن صفات كل موصوف تناسب ذاته</w:t>
      </w:r>
      <w:r w:rsidR="00DB731D" w:rsidRPr="00A52585">
        <w:rPr>
          <w:rtl/>
        </w:rPr>
        <w:t>،</w:t>
      </w:r>
      <w:r w:rsidR="00777DCB" w:rsidRPr="00A52585">
        <w:rPr>
          <w:rtl/>
        </w:rPr>
        <w:t xml:space="preserve"> وتلائم حقيقته</w:t>
      </w:r>
      <w:r w:rsidR="00DB731D" w:rsidRPr="00A52585">
        <w:rPr>
          <w:rtl/>
        </w:rPr>
        <w:t>،</w:t>
      </w:r>
      <w:r w:rsidR="00777DCB" w:rsidRPr="00A52585">
        <w:rPr>
          <w:rtl/>
        </w:rPr>
        <w:t xml:space="preserve"> وقولان لمن يثبت كونها صفة</w:t>
      </w:r>
      <w:r w:rsidR="00DB731D" w:rsidRPr="00A52585">
        <w:rPr>
          <w:rtl/>
        </w:rPr>
        <w:t>،</w:t>
      </w:r>
      <w:r w:rsidR="00777DCB" w:rsidRPr="00A52585">
        <w:rPr>
          <w:rtl/>
        </w:rPr>
        <w:t xml:space="preserve"> ولكن لا يجريها على ظاهرها</w:t>
      </w:r>
      <w:r w:rsidR="00DB731D" w:rsidRPr="00A52585">
        <w:rPr>
          <w:rtl/>
        </w:rPr>
        <w:t>،</w:t>
      </w:r>
      <w:r w:rsidRPr="00A52585">
        <w:rPr>
          <w:rFonts w:hint="cs"/>
          <w:rtl/>
        </w:rPr>
        <w:t xml:space="preserve"> </w:t>
      </w:r>
      <w:r w:rsidRPr="00A52585">
        <w:rPr>
          <w:rtl/>
        </w:rPr>
        <w:t>(</w:t>
      </w:r>
      <w:r w:rsidR="00777DCB" w:rsidRPr="00A52585">
        <w:rPr>
          <w:rtl/>
        </w:rPr>
        <w:t>أحداهما</w:t>
      </w:r>
      <w:r w:rsidRPr="00A52585">
        <w:rPr>
          <w:rtl/>
        </w:rPr>
        <w:t>)</w:t>
      </w:r>
      <w:r w:rsidR="00777DCB" w:rsidRPr="00A52585">
        <w:rPr>
          <w:rtl/>
        </w:rPr>
        <w:t xml:space="preserve"> يقول</w:t>
      </w:r>
      <w:r w:rsidRPr="00A52585">
        <w:rPr>
          <w:rtl/>
        </w:rPr>
        <w:t>:</w:t>
      </w:r>
      <w:r w:rsidR="00777DCB" w:rsidRPr="00A52585">
        <w:rPr>
          <w:rtl/>
        </w:rPr>
        <w:t xml:space="preserve"> لا نؤول شيئاً منها بل نقول</w:t>
      </w:r>
      <w:r w:rsidRPr="00A52585">
        <w:rPr>
          <w:rtl/>
        </w:rPr>
        <w:t>:</w:t>
      </w:r>
      <w:r w:rsidR="00777DCB" w:rsidRPr="00A52585">
        <w:rPr>
          <w:rtl/>
        </w:rPr>
        <w:t xml:space="preserve"> الله أعلم بمراده</w:t>
      </w:r>
      <w:r w:rsidR="00DB731D" w:rsidRPr="00A52585">
        <w:rPr>
          <w:rtl/>
        </w:rPr>
        <w:t>،</w:t>
      </w:r>
      <w:r w:rsidR="00777DCB" w:rsidRPr="00A52585">
        <w:rPr>
          <w:rtl/>
        </w:rPr>
        <w:t xml:space="preserve"> </w:t>
      </w:r>
      <w:r w:rsidRPr="00A52585">
        <w:rPr>
          <w:rtl/>
        </w:rPr>
        <w:t>(</w:t>
      </w:r>
      <w:r w:rsidR="00777DCB" w:rsidRPr="00A52585">
        <w:rPr>
          <w:rtl/>
        </w:rPr>
        <w:t>والآخر</w:t>
      </w:r>
      <w:r w:rsidRPr="00A52585">
        <w:rPr>
          <w:rtl/>
        </w:rPr>
        <w:t>)</w:t>
      </w:r>
      <w:r w:rsidR="00777DCB" w:rsidRPr="00A52585">
        <w:rPr>
          <w:rtl/>
        </w:rPr>
        <w:t xml:space="preserve"> يؤول فيقول</w:t>
      </w:r>
      <w:r w:rsidRPr="00A52585">
        <w:rPr>
          <w:rtl/>
        </w:rPr>
        <w:t>:</w:t>
      </w:r>
      <w:r w:rsidR="00777DCB" w:rsidRPr="00A52585">
        <w:rPr>
          <w:rtl/>
        </w:rPr>
        <w:t xml:space="preserve"> معنى الاستواء</w:t>
      </w:r>
      <w:r w:rsidRPr="00A52585">
        <w:rPr>
          <w:rtl/>
        </w:rPr>
        <w:t>:</w:t>
      </w:r>
      <w:r w:rsidR="00777DCB" w:rsidRPr="00A52585">
        <w:rPr>
          <w:rtl/>
        </w:rPr>
        <w:t xml:space="preserve"> الاستيلاء</w:t>
      </w:r>
      <w:r w:rsidR="00DB731D" w:rsidRPr="00A52585">
        <w:rPr>
          <w:rtl/>
        </w:rPr>
        <w:t>،</w:t>
      </w:r>
      <w:r w:rsidR="00777DCB" w:rsidRPr="00A52585">
        <w:rPr>
          <w:rtl/>
        </w:rPr>
        <w:t xml:space="preserve"> واليد</w:t>
      </w:r>
      <w:r w:rsidRPr="00A52585">
        <w:rPr>
          <w:rtl/>
        </w:rPr>
        <w:t>:</w:t>
      </w:r>
      <w:r w:rsidR="00777DCB" w:rsidRPr="00A52585">
        <w:rPr>
          <w:rtl/>
        </w:rPr>
        <w:t xml:space="preserve"> القدرة ونحو ذلك</w:t>
      </w:r>
      <w:r w:rsidR="00DB731D" w:rsidRPr="00A52585">
        <w:rPr>
          <w:rtl/>
        </w:rPr>
        <w:t>،</w:t>
      </w:r>
      <w:r w:rsidR="00777DCB" w:rsidRPr="00A52585">
        <w:rPr>
          <w:rtl/>
        </w:rPr>
        <w:t xml:space="preserve"> وقولان لمن لا يجزم بأنها صفة </w:t>
      </w:r>
      <w:r w:rsidRPr="00A52585">
        <w:rPr>
          <w:rtl/>
        </w:rPr>
        <w:t>(</w:t>
      </w:r>
      <w:r w:rsidR="00777DCB" w:rsidRPr="00A52585">
        <w:rPr>
          <w:rtl/>
        </w:rPr>
        <w:t>أحداهما</w:t>
      </w:r>
      <w:r w:rsidRPr="00A52585">
        <w:rPr>
          <w:rtl/>
        </w:rPr>
        <w:t>)</w:t>
      </w:r>
      <w:r w:rsidR="00777DCB" w:rsidRPr="00A52585">
        <w:rPr>
          <w:rtl/>
        </w:rPr>
        <w:t xml:space="preserve"> يقول</w:t>
      </w:r>
      <w:r w:rsidRPr="00A52585">
        <w:rPr>
          <w:rtl/>
        </w:rPr>
        <w:t>:</w:t>
      </w:r>
      <w:r w:rsidR="00777DCB" w:rsidRPr="00A52585">
        <w:rPr>
          <w:rtl/>
        </w:rPr>
        <w:t xml:space="preserve"> يجوز أن تكون صفة وظاهرها غير مراد</w:t>
      </w:r>
      <w:r w:rsidR="00DB731D" w:rsidRPr="00A52585">
        <w:rPr>
          <w:rtl/>
        </w:rPr>
        <w:t>،</w:t>
      </w:r>
      <w:r w:rsidR="00777DCB" w:rsidRPr="00A52585">
        <w:rPr>
          <w:rtl/>
        </w:rPr>
        <w:t xml:space="preserve"> ويجوز الا </w:t>
      </w:r>
      <w:r w:rsidR="00777DCB" w:rsidRPr="00A52585">
        <w:rPr>
          <w:rtl/>
        </w:rPr>
        <w:lastRenderedPageBreak/>
        <w:t>تكون صفة</w:t>
      </w:r>
      <w:r w:rsidR="00DB731D" w:rsidRPr="00A52585">
        <w:rPr>
          <w:rtl/>
        </w:rPr>
        <w:t>،</w:t>
      </w:r>
      <w:r w:rsidR="00777DCB" w:rsidRPr="00A52585">
        <w:rPr>
          <w:rtl/>
        </w:rPr>
        <w:t xml:space="preserve"> </w:t>
      </w:r>
      <w:r w:rsidRPr="00A52585">
        <w:rPr>
          <w:rtl/>
        </w:rPr>
        <w:t>(</w:t>
      </w:r>
      <w:r w:rsidR="00777DCB" w:rsidRPr="00A52585">
        <w:rPr>
          <w:rtl/>
        </w:rPr>
        <w:t>والآخر</w:t>
      </w:r>
      <w:r w:rsidRPr="00A52585">
        <w:rPr>
          <w:rtl/>
        </w:rPr>
        <w:t>)</w:t>
      </w:r>
      <w:r w:rsidR="00777DCB" w:rsidRPr="00A52585">
        <w:rPr>
          <w:rtl/>
        </w:rPr>
        <w:t xml:space="preserve"> يقول</w:t>
      </w:r>
      <w:r w:rsidRPr="00A52585">
        <w:rPr>
          <w:rtl/>
        </w:rPr>
        <w:t>:</w:t>
      </w:r>
      <w:r w:rsidR="00777DCB" w:rsidRPr="00A52585">
        <w:rPr>
          <w:rtl/>
        </w:rPr>
        <w:t xml:space="preserve"> لا يخاض في شيء من هذا</w:t>
      </w:r>
      <w:r w:rsidR="00DB731D" w:rsidRPr="00A52585">
        <w:rPr>
          <w:rtl/>
        </w:rPr>
        <w:t>،</w:t>
      </w:r>
      <w:r w:rsidR="00777DCB" w:rsidRPr="00A52585">
        <w:rPr>
          <w:rtl/>
        </w:rPr>
        <w:t xml:space="preserve"> بل يجب الايمان به </w:t>
      </w:r>
      <w:proofErr w:type="spellStart"/>
      <w:r w:rsidR="00777DCB" w:rsidRPr="00A52585">
        <w:rPr>
          <w:rtl/>
        </w:rPr>
        <w:t>لاُنه</w:t>
      </w:r>
      <w:proofErr w:type="spellEnd"/>
      <w:r w:rsidR="00777DCB" w:rsidRPr="00A52585">
        <w:rPr>
          <w:rtl/>
        </w:rPr>
        <w:t xml:space="preserve"> من المتشابه الذى لا يدرك معناه</w:t>
      </w:r>
      <w:r w:rsidR="00DB731D" w:rsidRPr="00A52585">
        <w:rPr>
          <w:rtl/>
        </w:rPr>
        <w:t>،</w:t>
      </w:r>
      <w:r w:rsidR="00777DCB" w:rsidRPr="00A52585">
        <w:rPr>
          <w:rtl/>
        </w:rPr>
        <w:t xml:space="preserve"> وقد وضع الإمام فخر الدين </w:t>
      </w:r>
      <w:proofErr w:type="spellStart"/>
      <w:r w:rsidR="00777DCB" w:rsidRPr="00A52585">
        <w:rPr>
          <w:rtl/>
        </w:rPr>
        <w:t>الرازى</w:t>
      </w:r>
      <w:proofErr w:type="spellEnd"/>
      <w:r w:rsidR="00777DCB" w:rsidRPr="00A52585">
        <w:rPr>
          <w:rtl/>
        </w:rPr>
        <w:t xml:space="preserve"> كتابه " تأسيس التقديس " في الرد على طوائف المشبهة والمجسمة</w:t>
      </w:r>
      <w:r w:rsidR="00DB731D" w:rsidRPr="00A52585">
        <w:rPr>
          <w:rtl/>
        </w:rPr>
        <w:t>،</w:t>
      </w:r>
      <w:r w:rsidR="00777DCB" w:rsidRPr="00A52585">
        <w:rPr>
          <w:rtl/>
        </w:rPr>
        <w:t xml:space="preserve"> </w:t>
      </w:r>
      <w:proofErr w:type="spellStart"/>
      <w:r w:rsidR="00777DCB" w:rsidRPr="00A52585">
        <w:rPr>
          <w:rtl/>
        </w:rPr>
        <w:t>ويمكننى</w:t>
      </w:r>
      <w:proofErr w:type="spellEnd"/>
      <w:r w:rsidR="00777DCB" w:rsidRPr="00A52585">
        <w:rPr>
          <w:rtl/>
        </w:rPr>
        <w:t xml:space="preserve"> أن أثبت جملاً منه على سبيل المثال</w:t>
      </w:r>
      <w:r w:rsidR="00DB731D" w:rsidRPr="00A52585">
        <w:rPr>
          <w:rtl/>
        </w:rPr>
        <w:t>،</w:t>
      </w:r>
      <w:r w:rsidR="00777DCB" w:rsidRPr="00A52585">
        <w:rPr>
          <w:rtl/>
        </w:rPr>
        <w:t xml:space="preserve"> فمن أمثله ذلك أنه يقول</w:t>
      </w:r>
      <w:r w:rsidRPr="00A52585">
        <w:rPr>
          <w:rtl/>
        </w:rPr>
        <w:t>:</w:t>
      </w:r>
      <w:r w:rsidR="00777DCB" w:rsidRPr="00A52585">
        <w:rPr>
          <w:rtl/>
        </w:rPr>
        <w:t xml:space="preserve"> فعمدة مذهب الحنابلة أنهم متى تمسكوا </w:t>
      </w:r>
      <w:proofErr w:type="spellStart"/>
      <w:r w:rsidR="00777DCB" w:rsidRPr="00A52585">
        <w:rPr>
          <w:rtl/>
        </w:rPr>
        <w:t>بآيه</w:t>
      </w:r>
      <w:proofErr w:type="spellEnd"/>
      <w:r w:rsidR="00777DCB" w:rsidRPr="00A52585">
        <w:rPr>
          <w:rtl/>
        </w:rPr>
        <w:t xml:space="preserve"> أو بخبر يوهم ظاهره شيئاً من الاعضاء والجوارح صرحوا بأنا نبت هذا المعنى لله تعالى على خلاف ما هو ثابت للخلق</w:t>
      </w:r>
      <w:r w:rsidR="00DB731D" w:rsidRPr="00A52585">
        <w:rPr>
          <w:rtl/>
        </w:rPr>
        <w:t>،</w:t>
      </w:r>
      <w:r w:rsidR="00777DCB" w:rsidRPr="00A52585">
        <w:rPr>
          <w:rtl/>
        </w:rPr>
        <w:t xml:space="preserve"> فأثبتوا لله تعالى وجهاً بخلاف وجوه الخلق ويداً بخلاف أيدى الخلق إلخ ويقول</w:t>
      </w:r>
      <w:r w:rsidRPr="00A52585">
        <w:rPr>
          <w:rtl/>
        </w:rPr>
        <w:t>:</w:t>
      </w:r>
      <w:r w:rsidR="00777DCB" w:rsidRPr="00A52585">
        <w:rPr>
          <w:rtl/>
        </w:rPr>
        <w:t xml:space="preserve"> وذكر أبو معشر المجم أن سبب إقدام الناس على اتخاذ عبادة الاوثان ديناً لأنفسهم هو أن القوم في الدهر الأقدم كانوا على مذهب المشبهة, وكانوا يعتقدون أن إله العلم نور عظيم</w:t>
      </w:r>
      <w:r w:rsidR="00DB731D" w:rsidRPr="00A52585">
        <w:rPr>
          <w:rtl/>
        </w:rPr>
        <w:t>،</w:t>
      </w:r>
      <w:r w:rsidR="00777DCB" w:rsidRPr="00A52585">
        <w:rPr>
          <w:rtl/>
        </w:rPr>
        <w:t xml:space="preserve"> فلما اعتقدوا ذلك اتخذوا وثناً هو أكبر الاوثان على صورة الإله</w:t>
      </w:r>
      <w:r w:rsidR="00DB731D" w:rsidRPr="00A52585">
        <w:rPr>
          <w:rtl/>
        </w:rPr>
        <w:t>،</w:t>
      </w:r>
      <w:r w:rsidR="00777DCB" w:rsidRPr="00A52585">
        <w:rPr>
          <w:rtl/>
        </w:rPr>
        <w:t xml:space="preserve"> وأوثاناً اخرى أصغر من ذلك على صورة الملائكة</w:t>
      </w:r>
      <w:r w:rsidR="00DB731D" w:rsidRPr="00A52585">
        <w:rPr>
          <w:rtl/>
        </w:rPr>
        <w:t>،</w:t>
      </w:r>
      <w:r w:rsidR="00777DCB" w:rsidRPr="00A52585">
        <w:rPr>
          <w:rtl/>
        </w:rPr>
        <w:t xml:space="preserve"> واشتغلوا بعبادة هذه الاوثان على اعتقاد انهم يعبدون </w:t>
      </w:r>
      <w:proofErr w:type="spellStart"/>
      <w:r w:rsidR="00777DCB" w:rsidRPr="00A52585">
        <w:rPr>
          <w:rtl/>
        </w:rPr>
        <w:t>الأله</w:t>
      </w:r>
      <w:proofErr w:type="spellEnd"/>
      <w:r w:rsidR="00777DCB" w:rsidRPr="00A52585">
        <w:rPr>
          <w:rtl/>
        </w:rPr>
        <w:t xml:space="preserve"> والملائكة، فثبت أن الدين عبادة الأصنام كالفرع عن مذهب المشبهة</w:t>
      </w:r>
      <w:r w:rsidR="00DB731D" w:rsidRPr="00A52585">
        <w:rPr>
          <w:rFonts w:hint="cs"/>
          <w:rtl/>
        </w:rPr>
        <w:t>،</w:t>
      </w:r>
      <w:r w:rsidRPr="00A52585">
        <w:rPr>
          <w:rFonts w:hint="cs"/>
          <w:rtl/>
        </w:rPr>
        <w:t xml:space="preserve"> </w:t>
      </w:r>
      <w:r w:rsidR="00777DCB" w:rsidRPr="00A52585">
        <w:rPr>
          <w:rtl/>
        </w:rPr>
        <w:t xml:space="preserve">ويقول في تقرير الدلائل </w:t>
      </w:r>
      <w:proofErr w:type="spellStart"/>
      <w:r w:rsidR="00777DCB" w:rsidRPr="00A52585">
        <w:rPr>
          <w:rtl/>
        </w:rPr>
        <w:t>السمعيه</w:t>
      </w:r>
      <w:proofErr w:type="spellEnd"/>
      <w:r w:rsidR="00777DCB" w:rsidRPr="00A52585">
        <w:rPr>
          <w:rtl/>
        </w:rPr>
        <w:t xml:space="preserve"> على أنه تعالى منزه عن الجسمية والحيز والجهة</w:t>
      </w:r>
      <w:r w:rsidRPr="00A52585">
        <w:rPr>
          <w:rtl/>
        </w:rPr>
        <w:t>:</w:t>
      </w:r>
      <w:r w:rsidR="00777DCB" w:rsidRPr="00A52585">
        <w:rPr>
          <w:rtl/>
        </w:rPr>
        <w:t xml:space="preserve"> الجهة الأولى قوله تعالى</w:t>
      </w:r>
      <w:r w:rsidRPr="00A52585">
        <w:rPr>
          <w:rtl/>
        </w:rPr>
        <w:t>:</w:t>
      </w:r>
      <w:r w:rsidR="00777DCB" w:rsidRPr="00A52585">
        <w:rPr>
          <w:rtl/>
        </w:rPr>
        <w:t xml:space="preserve"> «قل هو الله أحد(1)الله الصمد(2)لم يلد ولم يولد(3)ولم يكن له كفوا أحد(4)»</w:t>
      </w:r>
      <w:r w:rsidR="00DB731D" w:rsidRPr="00A52585">
        <w:rPr>
          <w:rFonts w:hint="cs"/>
          <w:rtl/>
        </w:rPr>
        <w:t>،</w:t>
      </w:r>
      <w:r w:rsidRPr="00A52585">
        <w:rPr>
          <w:rFonts w:hint="cs"/>
          <w:rtl/>
        </w:rPr>
        <w:t xml:space="preserve"> </w:t>
      </w:r>
      <w:r w:rsidR="00777DCB" w:rsidRPr="00A52585">
        <w:rPr>
          <w:rtl/>
        </w:rPr>
        <w:t xml:space="preserve">وأعلم أنه قد أشتهر في التفسير أن النبي صلى الله عليه وسلم سئل عن ماهية ربه, وعن نعته </w:t>
      </w:r>
      <w:proofErr w:type="spellStart"/>
      <w:r w:rsidR="00777DCB" w:rsidRPr="00A52585">
        <w:rPr>
          <w:rtl/>
        </w:rPr>
        <w:t>وصفتة</w:t>
      </w:r>
      <w:proofErr w:type="spellEnd"/>
      <w:r w:rsidR="00777DCB" w:rsidRPr="00A52585">
        <w:rPr>
          <w:rtl/>
        </w:rPr>
        <w:t xml:space="preserve"> فأنتظر الجواب من الله</w:t>
      </w:r>
      <w:r w:rsidR="00DB731D" w:rsidRPr="00A52585">
        <w:rPr>
          <w:rtl/>
        </w:rPr>
        <w:t>،</w:t>
      </w:r>
      <w:r w:rsidR="00777DCB" w:rsidRPr="00A52585">
        <w:rPr>
          <w:rtl/>
        </w:rPr>
        <w:t xml:space="preserve"> فأنزل الله تعالى هذه السورة</w:t>
      </w:r>
      <w:r w:rsidR="00DB731D" w:rsidRPr="00A52585">
        <w:rPr>
          <w:rtl/>
        </w:rPr>
        <w:t>،</w:t>
      </w:r>
      <w:r w:rsidR="00777DCB" w:rsidRPr="00A52585">
        <w:rPr>
          <w:rtl/>
        </w:rPr>
        <w:t xml:space="preserve"> أذا عرفت ذلك </w:t>
      </w:r>
      <w:proofErr w:type="spellStart"/>
      <w:r w:rsidR="00777DCB" w:rsidRPr="00A52585">
        <w:rPr>
          <w:rtl/>
        </w:rPr>
        <w:t>فنقول</w:t>
      </w:r>
      <w:r w:rsidRPr="00A52585">
        <w:rPr>
          <w:rtl/>
        </w:rPr>
        <w:t>:</w:t>
      </w:r>
      <w:r w:rsidR="00777DCB" w:rsidRPr="00A52585">
        <w:rPr>
          <w:rtl/>
        </w:rPr>
        <w:t>هذه</w:t>
      </w:r>
      <w:proofErr w:type="spellEnd"/>
      <w:r w:rsidR="00777DCB" w:rsidRPr="00A52585">
        <w:rPr>
          <w:rtl/>
        </w:rPr>
        <w:t xml:space="preserve"> السورة يجب أن تكون من المحكمات لا من المتشابهات</w:t>
      </w:r>
      <w:r w:rsidR="00DB731D" w:rsidRPr="00A52585">
        <w:rPr>
          <w:rtl/>
        </w:rPr>
        <w:t>،</w:t>
      </w:r>
      <w:r w:rsidR="00777DCB" w:rsidRPr="00A52585">
        <w:rPr>
          <w:rtl/>
        </w:rPr>
        <w:t xml:space="preserve"> </w:t>
      </w:r>
      <w:proofErr w:type="spellStart"/>
      <w:r w:rsidR="00777DCB" w:rsidRPr="00A52585">
        <w:rPr>
          <w:rtl/>
        </w:rPr>
        <w:t>لانه</w:t>
      </w:r>
      <w:proofErr w:type="spellEnd"/>
      <w:r w:rsidR="00777DCB" w:rsidRPr="00A52585">
        <w:rPr>
          <w:rtl/>
        </w:rPr>
        <w:t xml:space="preserve"> تعالى جعلها جوابا عن سؤال متشابه، بل وأنزلها عند الحاجه، وذلك يقتضى كونها من المحكمات لا من المتشابهات</w:t>
      </w:r>
      <w:r w:rsidR="00DB731D" w:rsidRPr="00A52585">
        <w:rPr>
          <w:rtl/>
        </w:rPr>
        <w:t>،</w:t>
      </w:r>
      <w:r w:rsidR="00777DCB" w:rsidRPr="00A52585">
        <w:rPr>
          <w:rtl/>
        </w:rPr>
        <w:t xml:space="preserve"> وإذا ثبت هذا وجب الجزم بأن كل مذهب يخالف هذه السورة يكون باطلاً</w:t>
      </w:r>
      <w:r w:rsidR="00DB731D" w:rsidRPr="00A52585">
        <w:rPr>
          <w:rtl/>
        </w:rPr>
        <w:t>،</w:t>
      </w:r>
      <w:r w:rsidR="00777DCB" w:rsidRPr="00A52585">
        <w:rPr>
          <w:rtl/>
        </w:rPr>
        <w:t xml:space="preserve"> فنقول أن قوله تعالى </w:t>
      </w:r>
      <w:r w:rsidRPr="00A52585">
        <w:rPr>
          <w:rtl/>
        </w:rPr>
        <w:t>(</w:t>
      </w:r>
      <w:r w:rsidR="00777DCB" w:rsidRPr="00A52585">
        <w:rPr>
          <w:rtl/>
        </w:rPr>
        <w:t>أحد</w:t>
      </w:r>
      <w:r w:rsidRPr="00A52585">
        <w:rPr>
          <w:rtl/>
        </w:rPr>
        <w:t>)</w:t>
      </w:r>
      <w:r w:rsidR="00777DCB" w:rsidRPr="00A52585">
        <w:rPr>
          <w:rtl/>
        </w:rPr>
        <w:t xml:space="preserve"> يدل غلى نفى الجسمية</w:t>
      </w:r>
      <w:r w:rsidR="00DB731D" w:rsidRPr="00A52585">
        <w:rPr>
          <w:rtl/>
        </w:rPr>
        <w:t>،</w:t>
      </w:r>
      <w:r w:rsidR="00777DCB" w:rsidRPr="00A52585">
        <w:rPr>
          <w:rtl/>
        </w:rPr>
        <w:t xml:space="preserve"> ونفى الحيز والجهة</w:t>
      </w:r>
      <w:r w:rsidR="00DB731D" w:rsidRPr="00A52585">
        <w:rPr>
          <w:rtl/>
        </w:rPr>
        <w:t>،</w:t>
      </w:r>
      <w:r w:rsidR="00777DCB" w:rsidRPr="00A52585">
        <w:rPr>
          <w:rtl/>
        </w:rPr>
        <w:t xml:space="preserve"> اما دلالته على أنه تعالى ليس بجسم</w:t>
      </w:r>
      <w:r w:rsidR="00DB731D" w:rsidRPr="00A52585">
        <w:rPr>
          <w:rtl/>
        </w:rPr>
        <w:t>،</w:t>
      </w:r>
      <w:r w:rsidR="00777DCB" w:rsidRPr="00A52585">
        <w:rPr>
          <w:rtl/>
        </w:rPr>
        <w:t xml:space="preserve"> فذلك لاُن الجسم أقله أن يكون من جوهرين</w:t>
      </w:r>
      <w:r w:rsidR="00DB731D" w:rsidRPr="00A52585">
        <w:rPr>
          <w:rtl/>
        </w:rPr>
        <w:t>،</w:t>
      </w:r>
      <w:r w:rsidR="00777DCB" w:rsidRPr="00A52585">
        <w:rPr>
          <w:rtl/>
        </w:rPr>
        <w:t xml:space="preserve"> وذلك ينافى الوحدة</w:t>
      </w:r>
      <w:r w:rsidR="00DB731D" w:rsidRPr="00A52585">
        <w:rPr>
          <w:rtl/>
        </w:rPr>
        <w:t>،</w:t>
      </w:r>
      <w:r w:rsidR="00777DCB" w:rsidRPr="00A52585">
        <w:rPr>
          <w:rtl/>
        </w:rPr>
        <w:t xml:space="preserve"> ويقول</w:t>
      </w:r>
      <w:r w:rsidRPr="00A52585">
        <w:rPr>
          <w:rtl/>
        </w:rPr>
        <w:t>:</w:t>
      </w:r>
      <w:r w:rsidR="00777DCB" w:rsidRPr="00A52585">
        <w:rPr>
          <w:rtl/>
        </w:rPr>
        <w:t xml:space="preserve"> واعلم أنه تعالى كما نص على أنه تعالى أحد فقد نص على البرهان الذى لاًجاه يجب الحكم بأنه أحد</w:t>
      </w:r>
      <w:r w:rsidR="00DB731D" w:rsidRPr="00A52585">
        <w:rPr>
          <w:rtl/>
        </w:rPr>
        <w:t>،</w:t>
      </w:r>
      <w:r w:rsidR="00777DCB" w:rsidRPr="00A52585">
        <w:rPr>
          <w:rtl/>
        </w:rPr>
        <w:t xml:space="preserve"> وذلك أنه قال</w:t>
      </w:r>
      <w:r w:rsidRPr="00A52585">
        <w:rPr>
          <w:rtl/>
        </w:rPr>
        <w:t>:</w:t>
      </w:r>
      <w:r w:rsidR="00777DCB" w:rsidRPr="00A52585">
        <w:rPr>
          <w:rtl/>
        </w:rPr>
        <w:t xml:space="preserve"> </w:t>
      </w:r>
      <w:r w:rsidRPr="00A52585">
        <w:rPr>
          <w:rtl/>
        </w:rPr>
        <w:t>(</w:t>
      </w:r>
      <w:r w:rsidR="00777DCB" w:rsidRPr="00A52585">
        <w:rPr>
          <w:rtl/>
        </w:rPr>
        <w:t>هو الله أحد</w:t>
      </w:r>
      <w:r w:rsidRPr="00A52585">
        <w:rPr>
          <w:rtl/>
        </w:rPr>
        <w:t>)</w:t>
      </w:r>
      <w:r w:rsidR="00777DCB" w:rsidRPr="00A52585">
        <w:rPr>
          <w:rtl/>
        </w:rPr>
        <w:t xml:space="preserve"> وكونه إلهاً يقتضى كونه غنيماً عمن سواه</w:t>
      </w:r>
      <w:r w:rsidR="00DB731D" w:rsidRPr="00A52585">
        <w:rPr>
          <w:rtl/>
        </w:rPr>
        <w:t>،</w:t>
      </w:r>
      <w:r w:rsidR="00777DCB" w:rsidRPr="00A52585">
        <w:rPr>
          <w:rtl/>
        </w:rPr>
        <w:t xml:space="preserve"> وكل مركب</w:t>
      </w:r>
      <w:r w:rsidR="00DB731D" w:rsidRPr="00A52585">
        <w:rPr>
          <w:rtl/>
        </w:rPr>
        <w:t>،</w:t>
      </w:r>
      <w:r w:rsidR="00777DCB" w:rsidRPr="00A52585">
        <w:rPr>
          <w:rtl/>
        </w:rPr>
        <w:t xml:space="preserve"> فأنه مفتقر </w:t>
      </w:r>
      <w:proofErr w:type="spellStart"/>
      <w:r w:rsidR="00777DCB" w:rsidRPr="00A52585">
        <w:rPr>
          <w:rtl/>
        </w:rPr>
        <w:t>ألى</w:t>
      </w:r>
      <w:proofErr w:type="spellEnd"/>
      <w:r w:rsidR="00777DCB" w:rsidRPr="00A52585">
        <w:rPr>
          <w:rtl/>
        </w:rPr>
        <w:t xml:space="preserve"> كل واحد من أجزائه</w:t>
      </w:r>
      <w:r w:rsidR="00DB731D" w:rsidRPr="00A52585">
        <w:rPr>
          <w:rtl/>
        </w:rPr>
        <w:t>،</w:t>
      </w:r>
      <w:r w:rsidR="00777DCB" w:rsidRPr="00A52585">
        <w:rPr>
          <w:rtl/>
        </w:rPr>
        <w:t xml:space="preserve"> وكل واحد من أجزاء غيره</w:t>
      </w:r>
      <w:r w:rsidR="00DB731D" w:rsidRPr="00A52585">
        <w:rPr>
          <w:rtl/>
        </w:rPr>
        <w:t>،</w:t>
      </w:r>
      <w:r w:rsidR="00777DCB" w:rsidRPr="00A52585">
        <w:rPr>
          <w:rtl/>
        </w:rPr>
        <w:t xml:space="preserve"> فكل مركب هو مفتقر </w:t>
      </w:r>
      <w:proofErr w:type="spellStart"/>
      <w:r w:rsidR="00777DCB" w:rsidRPr="00A52585">
        <w:rPr>
          <w:rtl/>
        </w:rPr>
        <w:t>ألى</w:t>
      </w:r>
      <w:proofErr w:type="spellEnd"/>
      <w:r w:rsidR="00777DCB" w:rsidRPr="00A52585">
        <w:rPr>
          <w:rtl/>
        </w:rPr>
        <w:t xml:space="preserve"> غيره</w:t>
      </w:r>
      <w:r w:rsidR="00DB731D" w:rsidRPr="00A52585">
        <w:rPr>
          <w:rtl/>
        </w:rPr>
        <w:t>،</w:t>
      </w:r>
      <w:r w:rsidR="00777DCB" w:rsidRPr="00A52585">
        <w:rPr>
          <w:rtl/>
        </w:rPr>
        <w:t xml:space="preserve"> وذلك يوجب القطع بكونه أحداً</w:t>
      </w:r>
      <w:r w:rsidR="00DB731D" w:rsidRPr="00A52585">
        <w:rPr>
          <w:rtl/>
        </w:rPr>
        <w:t>،</w:t>
      </w:r>
      <w:r w:rsidR="00777DCB" w:rsidRPr="00A52585">
        <w:rPr>
          <w:rtl/>
        </w:rPr>
        <w:t xml:space="preserve"> وكونه أحد يوجب القطع بأنه ليس بجسم ولا جوهر ولا في حيز وجهة</w:t>
      </w:r>
      <w:r w:rsidR="00DB731D" w:rsidRPr="00A52585">
        <w:rPr>
          <w:rtl/>
        </w:rPr>
        <w:t>،</w:t>
      </w:r>
      <w:r w:rsidR="00777DCB" w:rsidRPr="00A52585">
        <w:rPr>
          <w:rtl/>
        </w:rPr>
        <w:t xml:space="preserve"> فثبت أن قوله تعالى</w:t>
      </w:r>
      <w:r w:rsidRPr="00A52585">
        <w:rPr>
          <w:rtl/>
        </w:rPr>
        <w:t>:</w:t>
      </w:r>
      <w:r w:rsidR="00777DCB" w:rsidRPr="00A52585">
        <w:rPr>
          <w:rtl/>
        </w:rPr>
        <w:t xml:space="preserve"> </w:t>
      </w:r>
      <w:r w:rsidRPr="00A52585">
        <w:rPr>
          <w:rtl/>
        </w:rPr>
        <w:t>(</w:t>
      </w:r>
      <w:r w:rsidR="00777DCB" w:rsidRPr="00A52585">
        <w:rPr>
          <w:rtl/>
        </w:rPr>
        <w:t>هو الله أحد</w:t>
      </w:r>
      <w:r w:rsidRPr="00A52585">
        <w:rPr>
          <w:rtl/>
        </w:rPr>
        <w:t>)</w:t>
      </w:r>
      <w:r w:rsidR="00777DCB" w:rsidRPr="00A52585">
        <w:rPr>
          <w:rtl/>
        </w:rPr>
        <w:t xml:space="preserve"> برهان قاطع على ثبوت هذه </w:t>
      </w:r>
      <w:proofErr w:type="spellStart"/>
      <w:r w:rsidR="00777DCB" w:rsidRPr="00A52585">
        <w:rPr>
          <w:rtl/>
        </w:rPr>
        <w:t>المطالب</w:t>
      </w:r>
      <w:r w:rsidR="00897A24" w:rsidRPr="00A52585">
        <w:rPr>
          <w:rtl/>
        </w:rPr>
        <w:t>.</w:t>
      </w:r>
      <w:r w:rsidR="00777DCB" w:rsidRPr="00A52585">
        <w:rPr>
          <w:rtl/>
        </w:rPr>
        <w:t>وأما</w:t>
      </w:r>
      <w:proofErr w:type="spellEnd"/>
      <w:r w:rsidR="00777DCB" w:rsidRPr="00A52585">
        <w:rPr>
          <w:rtl/>
        </w:rPr>
        <w:t xml:space="preserve"> قوله</w:t>
      </w:r>
      <w:r w:rsidRPr="00A52585">
        <w:rPr>
          <w:rtl/>
        </w:rPr>
        <w:t>:</w:t>
      </w:r>
      <w:r w:rsidR="00777DCB" w:rsidRPr="00A52585">
        <w:rPr>
          <w:rtl/>
        </w:rPr>
        <w:t xml:space="preserve"> </w:t>
      </w:r>
      <w:r w:rsidRPr="00A52585">
        <w:rPr>
          <w:rtl/>
        </w:rPr>
        <w:t>(</w:t>
      </w:r>
      <w:r w:rsidR="00777DCB" w:rsidRPr="00A52585">
        <w:rPr>
          <w:rtl/>
        </w:rPr>
        <w:t>الله الصمد</w:t>
      </w:r>
      <w:r w:rsidRPr="00A52585">
        <w:rPr>
          <w:rtl/>
        </w:rPr>
        <w:t>)</w:t>
      </w:r>
      <w:r w:rsidR="00777DCB" w:rsidRPr="00A52585">
        <w:rPr>
          <w:rtl/>
        </w:rPr>
        <w:t xml:space="preserve"> فالصمد هو السيد </w:t>
      </w:r>
      <w:proofErr w:type="spellStart"/>
      <w:r w:rsidR="00777DCB" w:rsidRPr="00A52585">
        <w:rPr>
          <w:rtl/>
        </w:rPr>
        <w:t>المصمود</w:t>
      </w:r>
      <w:proofErr w:type="spellEnd"/>
      <w:r w:rsidR="00777DCB" w:rsidRPr="00A52585">
        <w:rPr>
          <w:rtl/>
        </w:rPr>
        <w:t xml:space="preserve"> أليه في الحوائج</w:t>
      </w:r>
      <w:r w:rsidR="00DB731D" w:rsidRPr="00A52585">
        <w:rPr>
          <w:rtl/>
        </w:rPr>
        <w:t>،</w:t>
      </w:r>
      <w:r w:rsidR="00777DCB" w:rsidRPr="00A52585">
        <w:rPr>
          <w:rtl/>
        </w:rPr>
        <w:t xml:space="preserve"> وذلك يدل على أنه ليس بجسم على أنه غير مختص بالحيز والجهة إلخ يقول</w:t>
      </w:r>
      <w:r w:rsidRPr="00A52585">
        <w:rPr>
          <w:rtl/>
        </w:rPr>
        <w:t>:</w:t>
      </w:r>
      <w:r w:rsidR="00777DCB" w:rsidRPr="00A52585">
        <w:rPr>
          <w:rtl/>
        </w:rPr>
        <w:t xml:space="preserve"> لوكان تعالى </w:t>
      </w:r>
      <w:proofErr w:type="spellStart"/>
      <w:r w:rsidR="00777DCB" w:rsidRPr="00A52585">
        <w:rPr>
          <w:rtl/>
        </w:rPr>
        <w:t>مستقراًعلى</w:t>
      </w:r>
      <w:proofErr w:type="spellEnd"/>
      <w:r w:rsidR="00777DCB" w:rsidRPr="00A52585">
        <w:rPr>
          <w:rtl/>
        </w:rPr>
        <w:t xml:space="preserve"> العرش لكان الابتداء بتخليق العرش أولى من الابتداء بتخليق السموات</w:t>
      </w:r>
      <w:r w:rsidR="00DB731D" w:rsidRPr="00A52585">
        <w:rPr>
          <w:rtl/>
        </w:rPr>
        <w:t>،</w:t>
      </w:r>
      <w:r w:rsidR="00777DCB" w:rsidRPr="00A52585">
        <w:rPr>
          <w:rtl/>
        </w:rPr>
        <w:t xml:space="preserve"> لاُن تقدير القول بأنه مستقر على العرش </w:t>
      </w:r>
      <w:r w:rsidR="00777DCB" w:rsidRPr="00A52585">
        <w:rPr>
          <w:rtl/>
        </w:rPr>
        <w:lastRenderedPageBreak/>
        <w:t>يكون العرش مكاناً له</w:t>
      </w:r>
      <w:r w:rsidR="00DB731D" w:rsidRPr="00A52585">
        <w:rPr>
          <w:rtl/>
        </w:rPr>
        <w:t>،</w:t>
      </w:r>
      <w:r w:rsidR="00777DCB" w:rsidRPr="00A52585">
        <w:rPr>
          <w:rtl/>
        </w:rPr>
        <w:t xml:space="preserve"> والسموات مكان </w:t>
      </w:r>
      <w:proofErr w:type="spellStart"/>
      <w:r w:rsidR="00777DCB" w:rsidRPr="00A52585">
        <w:rPr>
          <w:rtl/>
        </w:rPr>
        <w:t>عبيده</w:t>
      </w:r>
      <w:r w:rsidR="00DB731D" w:rsidRPr="00A52585">
        <w:rPr>
          <w:rtl/>
        </w:rPr>
        <w:t>،</w:t>
      </w:r>
      <w:r w:rsidR="00777DCB" w:rsidRPr="00A52585">
        <w:rPr>
          <w:rtl/>
        </w:rPr>
        <w:t>والاقرب</w:t>
      </w:r>
      <w:proofErr w:type="spellEnd"/>
      <w:r w:rsidR="00777DCB" w:rsidRPr="00A52585">
        <w:rPr>
          <w:rtl/>
        </w:rPr>
        <w:t xml:space="preserve"> </w:t>
      </w:r>
      <w:proofErr w:type="spellStart"/>
      <w:r w:rsidR="00777DCB" w:rsidRPr="00A52585">
        <w:rPr>
          <w:rtl/>
        </w:rPr>
        <w:t>ألى</w:t>
      </w:r>
      <w:proofErr w:type="spellEnd"/>
      <w:r w:rsidR="00777DCB" w:rsidRPr="00A52585">
        <w:rPr>
          <w:rtl/>
        </w:rPr>
        <w:t xml:space="preserve"> العقول أن يكون تهيئة مكان نفسه </w:t>
      </w:r>
      <w:proofErr w:type="spellStart"/>
      <w:r w:rsidR="00777DCB" w:rsidRPr="00A52585">
        <w:rPr>
          <w:rtl/>
        </w:rPr>
        <w:t>مقدماًعلى</w:t>
      </w:r>
      <w:proofErr w:type="spellEnd"/>
      <w:r w:rsidR="00777DCB" w:rsidRPr="00A52585">
        <w:rPr>
          <w:rtl/>
        </w:rPr>
        <w:t xml:space="preserve"> تهيئة مكان العبد إلخ</w:t>
      </w:r>
      <w:r w:rsidR="00DB731D" w:rsidRPr="00A52585">
        <w:rPr>
          <w:rtl/>
        </w:rPr>
        <w:t>،</w:t>
      </w:r>
      <w:r w:rsidR="00777DCB" w:rsidRPr="00A52585">
        <w:rPr>
          <w:rtl/>
        </w:rPr>
        <w:t xml:space="preserve"> ويقول</w:t>
      </w:r>
      <w:r w:rsidRPr="00A52585">
        <w:rPr>
          <w:rtl/>
        </w:rPr>
        <w:t>:</w:t>
      </w:r>
      <w:r w:rsidR="00777DCB" w:rsidRPr="00A52585">
        <w:rPr>
          <w:rtl/>
        </w:rPr>
        <w:t xml:space="preserve"> الحجة الرابعة عشر</w:t>
      </w:r>
      <w:r w:rsidRPr="00A52585">
        <w:rPr>
          <w:rtl/>
        </w:rPr>
        <w:t>:</w:t>
      </w:r>
      <w:r w:rsidR="00777DCB" w:rsidRPr="00A52585">
        <w:rPr>
          <w:rtl/>
        </w:rPr>
        <w:t xml:space="preserve"> قوله تعالى</w:t>
      </w:r>
      <w:r w:rsidRPr="00A52585">
        <w:rPr>
          <w:rtl/>
        </w:rPr>
        <w:t>:</w:t>
      </w:r>
      <w:r w:rsidR="00777DCB" w:rsidRPr="00A52585">
        <w:rPr>
          <w:rtl/>
        </w:rPr>
        <w:t xml:space="preserve"> </w:t>
      </w:r>
      <w:r w:rsidRPr="00A52585">
        <w:rPr>
          <w:rtl/>
        </w:rPr>
        <w:t>(</w:t>
      </w:r>
      <w:r w:rsidR="00777DCB" w:rsidRPr="00A52585">
        <w:rPr>
          <w:rtl/>
        </w:rPr>
        <w:t xml:space="preserve">كل </w:t>
      </w:r>
      <w:proofErr w:type="spellStart"/>
      <w:r w:rsidR="00777DCB" w:rsidRPr="00A52585">
        <w:rPr>
          <w:rtl/>
        </w:rPr>
        <w:t>شيىء</w:t>
      </w:r>
      <w:proofErr w:type="spellEnd"/>
      <w:r w:rsidR="00777DCB" w:rsidRPr="00A52585">
        <w:rPr>
          <w:rtl/>
        </w:rPr>
        <w:t xml:space="preserve"> هالك ألا وجهه</w:t>
      </w:r>
      <w:r w:rsidRPr="00A52585">
        <w:rPr>
          <w:rtl/>
        </w:rPr>
        <w:t>)</w:t>
      </w:r>
      <w:r w:rsidR="00777DCB" w:rsidRPr="00A52585">
        <w:rPr>
          <w:rtl/>
        </w:rPr>
        <w:t xml:space="preserve"> ظاهر الآية يقتضى فناء العرش وفناء جميع الاحياز والجهات</w:t>
      </w:r>
      <w:r w:rsidR="00DB731D" w:rsidRPr="00A52585">
        <w:rPr>
          <w:rtl/>
        </w:rPr>
        <w:t>،</w:t>
      </w:r>
      <w:r w:rsidR="00777DCB" w:rsidRPr="00A52585">
        <w:rPr>
          <w:rtl/>
        </w:rPr>
        <w:t xml:space="preserve"> وحينئذ يبقى الحق سبحانه وتعالى منزهاً عن الحيز والجهة</w:t>
      </w:r>
      <w:r w:rsidR="00DB731D" w:rsidRPr="00A52585">
        <w:rPr>
          <w:rtl/>
        </w:rPr>
        <w:t>،</w:t>
      </w:r>
      <w:r w:rsidR="00777DCB" w:rsidRPr="00A52585">
        <w:rPr>
          <w:rtl/>
        </w:rPr>
        <w:t xml:space="preserve"> وإذا ثبت ذاك امتنع أن يكون الان في جهة</w:t>
      </w:r>
      <w:r w:rsidR="00DB731D" w:rsidRPr="00A52585">
        <w:rPr>
          <w:rtl/>
        </w:rPr>
        <w:t>،</w:t>
      </w:r>
      <w:r w:rsidR="00777DCB" w:rsidRPr="00A52585">
        <w:rPr>
          <w:rtl/>
        </w:rPr>
        <w:t xml:space="preserve"> وإلا لزم وقوع التعيير في الذات إلخ</w:t>
      </w:r>
      <w:r w:rsidR="00DB731D" w:rsidRPr="00A52585">
        <w:rPr>
          <w:rtl/>
        </w:rPr>
        <w:t>،</w:t>
      </w:r>
      <w:r w:rsidR="00777DCB" w:rsidRPr="00A52585">
        <w:rPr>
          <w:rFonts w:hint="cs"/>
          <w:rtl/>
        </w:rPr>
        <w:t xml:space="preserve"> </w:t>
      </w:r>
      <w:r w:rsidR="00777DCB" w:rsidRPr="00A52585">
        <w:rPr>
          <w:rtl/>
        </w:rPr>
        <w:t>ويقول: أن القائلين بكونه جسماً مؤلفاً من الاجزاء والابعاض لا يمنعون من جواز الحركة عليه</w:t>
      </w:r>
      <w:r w:rsidR="00DB731D" w:rsidRPr="00A52585">
        <w:rPr>
          <w:rtl/>
        </w:rPr>
        <w:t>،</w:t>
      </w:r>
      <w:r w:rsidR="00777DCB" w:rsidRPr="00A52585">
        <w:rPr>
          <w:rtl/>
        </w:rPr>
        <w:t xml:space="preserve"> فإنهم يصفونه بالذهاب </w:t>
      </w:r>
      <w:proofErr w:type="spellStart"/>
      <w:r w:rsidR="00777DCB" w:rsidRPr="00A52585">
        <w:rPr>
          <w:rtl/>
        </w:rPr>
        <w:t>والمجيىء</w:t>
      </w:r>
      <w:proofErr w:type="spellEnd"/>
      <w:r w:rsidR="00DB731D" w:rsidRPr="00A52585">
        <w:rPr>
          <w:rtl/>
        </w:rPr>
        <w:t>،</w:t>
      </w:r>
      <w:r w:rsidR="00777DCB" w:rsidRPr="00A52585">
        <w:rPr>
          <w:rtl/>
        </w:rPr>
        <w:t xml:space="preserve"> فتارة يقولون</w:t>
      </w:r>
      <w:r w:rsidRPr="00A52585">
        <w:rPr>
          <w:rtl/>
        </w:rPr>
        <w:t>:</w:t>
      </w:r>
      <w:r w:rsidR="00777DCB" w:rsidRPr="00A52585">
        <w:rPr>
          <w:rtl/>
        </w:rPr>
        <w:t xml:space="preserve"> إنه جالس على العرش وقدماه على </w:t>
      </w:r>
      <w:proofErr w:type="spellStart"/>
      <w:r w:rsidR="00777DCB" w:rsidRPr="00A52585">
        <w:rPr>
          <w:rtl/>
        </w:rPr>
        <w:t>الكرسى</w:t>
      </w:r>
      <w:proofErr w:type="spellEnd"/>
      <w:r w:rsidR="00DB731D" w:rsidRPr="00A52585">
        <w:rPr>
          <w:rtl/>
        </w:rPr>
        <w:t>،</w:t>
      </w:r>
      <w:r w:rsidR="00777DCB" w:rsidRPr="00A52585">
        <w:rPr>
          <w:rtl/>
        </w:rPr>
        <w:t xml:space="preserve"> وهذا هو السكون</w:t>
      </w:r>
      <w:r w:rsidR="00DB731D" w:rsidRPr="00A52585">
        <w:rPr>
          <w:rtl/>
        </w:rPr>
        <w:t>،</w:t>
      </w:r>
      <w:r w:rsidR="00777DCB" w:rsidRPr="00A52585">
        <w:rPr>
          <w:rtl/>
        </w:rPr>
        <w:t xml:space="preserve"> وتارة يقولون</w:t>
      </w:r>
      <w:r w:rsidRPr="00A52585">
        <w:rPr>
          <w:rtl/>
        </w:rPr>
        <w:t>:</w:t>
      </w:r>
      <w:r w:rsidR="00777DCB" w:rsidRPr="00A52585">
        <w:rPr>
          <w:rtl/>
        </w:rPr>
        <w:t xml:space="preserve"> إنه ينزل إلى سماء الدنيا وهذا هو الحركة</w:t>
      </w:r>
      <w:r w:rsidR="00DB731D" w:rsidRPr="00A52585">
        <w:rPr>
          <w:rtl/>
        </w:rPr>
        <w:t>،</w:t>
      </w:r>
      <w:r w:rsidR="00777DCB" w:rsidRPr="00A52585">
        <w:rPr>
          <w:rtl/>
        </w:rPr>
        <w:t xml:space="preserve"> ويقول</w:t>
      </w:r>
      <w:r w:rsidRPr="00A52585">
        <w:rPr>
          <w:rtl/>
        </w:rPr>
        <w:t>:</w:t>
      </w:r>
      <w:r w:rsidR="00777DCB" w:rsidRPr="00A52585">
        <w:rPr>
          <w:rtl/>
        </w:rPr>
        <w:t xml:space="preserve"> لوكان </w:t>
      </w:r>
      <w:proofErr w:type="spellStart"/>
      <w:r w:rsidR="00777DCB" w:rsidRPr="00A52585">
        <w:rPr>
          <w:rtl/>
        </w:rPr>
        <w:t>البارى</w:t>
      </w:r>
      <w:proofErr w:type="spellEnd"/>
      <w:r w:rsidR="00777DCB" w:rsidRPr="00A52585">
        <w:rPr>
          <w:rtl/>
        </w:rPr>
        <w:t xml:space="preserve"> تعالى مختصاً بالحيز والجهة لكان الحيز والجهة موجوداً في الاُزل فيلزم إثبات قديم غبر الله تعالى</w:t>
      </w:r>
      <w:r w:rsidR="00DB731D" w:rsidRPr="00A52585">
        <w:rPr>
          <w:rtl/>
        </w:rPr>
        <w:t>،</w:t>
      </w:r>
      <w:r w:rsidR="00777DCB" w:rsidRPr="00A52585">
        <w:rPr>
          <w:rtl/>
        </w:rPr>
        <w:t xml:space="preserve"> ويقول بعد إثبات أن الارض كرة</w:t>
      </w:r>
      <w:r w:rsidR="00DB731D" w:rsidRPr="00A52585">
        <w:rPr>
          <w:rtl/>
        </w:rPr>
        <w:t>،</w:t>
      </w:r>
      <w:r w:rsidR="00777DCB" w:rsidRPr="00A52585">
        <w:rPr>
          <w:rtl/>
        </w:rPr>
        <w:t xml:space="preserve"> وإنما </w:t>
      </w:r>
      <w:proofErr w:type="spellStart"/>
      <w:r w:rsidR="00777DCB" w:rsidRPr="00A52585">
        <w:rPr>
          <w:rtl/>
        </w:rPr>
        <w:t>قلنا</w:t>
      </w:r>
      <w:r w:rsidRPr="00A52585">
        <w:rPr>
          <w:rtl/>
        </w:rPr>
        <w:t>:</w:t>
      </w:r>
      <w:r w:rsidR="00777DCB" w:rsidRPr="00A52585">
        <w:rPr>
          <w:rtl/>
        </w:rPr>
        <w:t>أن</w:t>
      </w:r>
      <w:proofErr w:type="spellEnd"/>
      <w:r w:rsidR="00777DCB" w:rsidRPr="00A52585">
        <w:rPr>
          <w:rtl/>
        </w:rPr>
        <w:t xml:space="preserve"> الارض لو كانت كرة امتنع قول الخالق في </w:t>
      </w:r>
      <w:proofErr w:type="spellStart"/>
      <w:r w:rsidR="00777DCB" w:rsidRPr="00A52585">
        <w:rPr>
          <w:rtl/>
        </w:rPr>
        <w:t>شىء</w:t>
      </w:r>
      <w:proofErr w:type="spellEnd"/>
      <w:r w:rsidR="00777DCB" w:rsidRPr="00A52585">
        <w:rPr>
          <w:rtl/>
        </w:rPr>
        <w:t xml:space="preserve"> من الاحياز</w:t>
      </w:r>
      <w:r w:rsidR="00DB731D" w:rsidRPr="00A52585">
        <w:rPr>
          <w:rtl/>
        </w:rPr>
        <w:t>،</w:t>
      </w:r>
      <w:r w:rsidR="00777DCB" w:rsidRPr="00A52585">
        <w:rPr>
          <w:rtl/>
        </w:rPr>
        <w:t xml:space="preserve"> لاُن الارض </w:t>
      </w:r>
      <w:proofErr w:type="spellStart"/>
      <w:r w:rsidR="00777DCB" w:rsidRPr="00A52585">
        <w:rPr>
          <w:rtl/>
        </w:rPr>
        <w:t>لوكانت</w:t>
      </w:r>
      <w:proofErr w:type="spellEnd"/>
      <w:r w:rsidR="00777DCB" w:rsidRPr="00A52585">
        <w:rPr>
          <w:rtl/>
        </w:rPr>
        <w:t xml:space="preserve"> كرة</w:t>
      </w:r>
      <w:r w:rsidR="00DB731D" w:rsidRPr="00A52585">
        <w:rPr>
          <w:rtl/>
        </w:rPr>
        <w:t>،</w:t>
      </w:r>
      <w:r w:rsidR="00777DCB" w:rsidRPr="00A52585">
        <w:rPr>
          <w:rtl/>
        </w:rPr>
        <w:t xml:space="preserve"> فالجهة </w:t>
      </w:r>
      <w:proofErr w:type="spellStart"/>
      <w:r w:rsidR="00777DCB" w:rsidRPr="00A52585">
        <w:rPr>
          <w:rtl/>
        </w:rPr>
        <w:t>التىهى</w:t>
      </w:r>
      <w:proofErr w:type="spellEnd"/>
      <w:r w:rsidR="00777DCB" w:rsidRPr="00A52585">
        <w:rPr>
          <w:rtl/>
        </w:rPr>
        <w:t xml:space="preserve"> فوق بالنسبة </w:t>
      </w:r>
      <w:proofErr w:type="spellStart"/>
      <w:r w:rsidR="00777DCB" w:rsidRPr="00A52585">
        <w:rPr>
          <w:rtl/>
        </w:rPr>
        <w:t>ألى</w:t>
      </w:r>
      <w:proofErr w:type="spellEnd"/>
      <w:r w:rsidR="00777DCB" w:rsidRPr="00A52585">
        <w:rPr>
          <w:rtl/>
        </w:rPr>
        <w:t xml:space="preserve"> بعض السكان هي تحت بالنسبة إلى البعض الاخر</w:t>
      </w:r>
      <w:r w:rsidR="00DB731D" w:rsidRPr="00A52585">
        <w:rPr>
          <w:rtl/>
        </w:rPr>
        <w:t>،</w:t>
      </w:r>
      <w:r w:rsidR="00777DCB" w:rsidRPr="00A52585">
        <w:rPr>
          <w:rtl/>
        </w:rPr>
        <w:t xml:space="preserve"> </w:t>
      </w:r>
      <w:proofErr w:type="spellStart"/>
      <w:r w:rsidR="00777DCB" w:rsidRPr="00A52585">
        <w:rPr>
          <w:rtl/>
        </w:rPr>
        <w:t>فلواختص</w:t>
      </w:r>
      <w:proofErr w:type="spellEnd"/>
      <w:r w:rsidR="00777DCB" w:rsidRPr="00A52585">
        <w:rPr>
          <w:rtl/>
        </w:rPr>
        <w:t xml:space="preserve"> </w:t>
      </w:r>
      <w:proofErr w:type="spellStart"/>
      <w:r w:rsidR="00777DCB" w:rsidRPr="00A52585">
        <w:rPr>
          <w:rtl/>
        </w:rPr>
        <w:t>البارى</w:t>
      </w:r>
      <w:proofErr w:type="spellEnd"/>
      <w:r w:rsidR="00777DCB" w:rsidRPr="00A52585">
        <w:rPr>
          <w:rtl/>
        </w:rPr>
        <w:t xml:space="preserve"> تعالى </w:t>
      </w:r>
      <w:proofErr w:type="spellStart"/>
      <w:r w:rsidR="00777DCB" w:rsidRPr="00A52585">
        <w:rPr>
          <w:rtl/>
        </w:rPr>
        <w:t>بشىء</w:t>
      </w:r>
      <w:proofErr w:type="spellEnd"/>
      <w:r w:rsidR="00777DCB" w:rsidRPr="00A52585">
        <w:rPr>
          <w:rtl/>
        </w:rPr>
        <w:t xml:space="preserve"> من الجهات لكان تعالى في جهة التحت بالنسبة </w:t>
      </w:r>
      <w:proofErr w:type="spellStart"/>
      <w:r w:rsidR="00777DCB" w:rsidRPr="00A52585">
        <w:rPr>
          <w:rtl/>
        </w:rPr>
        <w:t>ألى</w:t>
      </w:r>
      <w:proofErr w:type="spellEnd"/>
      <w:r w:rsidR="00777DCB" w:rsidRPr="00A52585">
        <w:rPr>
          <w:rtl/>
        </w:rPr>
        <w:t xml:space="preserve"> بعض السكان</w:t>
      </w:r>
      <w:r w:rsidR="00DB731D" w:rsidRPr="00A52585">
        <w:rPr>
          <w:rtl/>
        </w:rPr>
        <w:t>،</w:t>
      </w:r>
      <w:r w:rsidR="00777DCB" w:rsidRPr="00A52585">
        <w:rPr>
          <w:rtl/>
        </w:rPr>
        <w:t xml:space="preserve"> وذلك باطل </w:t>
      </w:r>
      <w:proofErr w:type="spellStart"/>
      <w:r w:rsidR="00777DCB" w:rsidRPr="00A52585">
        <w:rPr>
          <w:rtl/>
        </w:rPr>
        <w:t>بإتفاق</w:t>
      </w:r>
      <w:proofErr w:type="spellEnd"/>
      <w:r w:rsidR="00777DCB" w:rsidRPr="00A52585">
        <w:rPr>
          <w:rtl/>
        </w:rPr>
        <w:t xml:space="preserve"> بيننا وبين الخصم</w:t>
      </w:r>
      <w:r w:rsidR="00DB731D" w:rsidRPr="00A52585">
        <w:rPr>
          <w:rtl/>
        </w:rPr>
        <w:t>،</w:t>
      </w:r>
      <w:r w:rsidR="00777DCB" w:rsidRPr="00A52585">
        <w:rPr>
          <w:rtl/>
        </w:rPr>
        <w:t xml:space="preserve"> فثبت أنه يمتنع كونه تعالى مختصاً بالجهة</w:t>
      </w:r>
      <w:r w:rsidR="00DB731D" w:rsidRPr="00A52585">
        <w:rPr>
          <w:rtl/>
        </w:rPr>
        <w:t>،</w:t>
      </w:r>
      <w:r w:rsidR="00777DCB" w:rsidRPr="00A52585">
        <w:rPr>
          <w:rtl/>
        </w:rPr>
        <w:t xml:space="preserve"> ويقول</w:t>
      </w:r>
      <w:r w:rsidRPr="00A52585">
        <w:rPr>
          <w:rtl/>
        </w:rPr>
        <w:t>:</w:t>
      </w:r>
      <w:r w:rsidR="00777DCB" w:rsidRPr="00A52585">
        <w:rPr>
          <w:rtl/>
        </w:rPr>
        <w:t xml:space="preserve"> جميع فرق الاسلام مقرون بأنه لابد من التأويل في بعض ظواهر القرآن والاخبار</w:t>
      </w:r>
      <w:r w:rsidR="00DB731D" w:rsidRPr="00A52585">
        <w:rPr>
          <w:rtl/>
        </w:rPr>
        <w:t>،</w:t>
      </w:r>
      <w:r w:rsidR="00777DCB" w:rsidRPr="00A52585">
        <w:rPr>
          <w:rtl/>
        </w:rPr>
        <w:t xml:space="preserve"> أما في القرآن فبيانه من وجوه</w:t>
      </w:r>
      <w:r w:rsidRPr="00A52585">
        <w:rPr>
          <w:rtl/>
        </w:rPr>
        <w:t>:</w:t>
      </w:r>
      <w:r w:rsidRPr="00A52585">
        <w:rPr>
          <w:rFonts w:hint="cs"/>
          <w:rtl/>
        </w:rPr>
        <w:t xml:space="preserve"> </w:t>
      </w:r>
      <w:r w:rsidRPr="00A52585">
        <w:rPr>
          <w:rtl/>
        </w:rPr>
        <w:t>(</w:t>
      </w:r>
      <w:r w:rsidR="00777DCB" w:rsidRPr="00A52585">
        <w:rPr>
          <w:rtl/>
        </w:rPr>
        <w:t>الأول</w:t>
      </w:r>
      <w:r w:rsidRPr="00A52585">
        <w:rPr>
          <w:rtl/>
        </w:rPr>
        <w:t>):</w:t>
      </w:r>
      <w:r w:rsidR="00777DCB" w:rsidRPr="00A52585">
        <w:rPr>
          <w:rtl/>
        </w:rPr>
        <w:t xml:space="preserve"> هو أنه ورد في القرآن ذكر الوجه وذكر العين</w:t>
      </w:r>
      <w:r w:rsidR="00DB731D" w:rsidRPr="00A52585">
        <w:rPr>
          <w:rtl/>
        </w:rPr>
        <w:t>،</w:t>
      </w:r>
      <w:r w:rsidR="00777DCB" w:rsidRPr="00A52585">
        <w:rPr>
          <w:rtl/>
        </w:rPr>
        <w:t xml:space="preserve"> وذكر الجنب الواحد</w:t>
      </w:r>
      <w:r w:rsidR="00DB731D" w:rsidRPr="00A52585">
        <w:rPr>
          <w:rtl/>
        </w:rPr>
        <w:t>،</w:t>
      </w:r>
      <w:r w:rsidR="00777DCB" w:rsidRPr="00A52585">
        <w:rPr>
          <w:rtl/>
        </w:rPr>
        <w:t xml:space="preserve"> وذكر </w:t>
      </w:r>
      <w:proofErr w:type="spellStart"/>
      <w:r w:rsidR="00777DCB" w:rsidRPr="00A52585">
        <w:rPr>
          <w:rtl/>
        </w:rPr>
        <w:t>الايدى</w:t>
      </w:r>
      <w:proofErr w:type="spellEnd"/>
      <w:r w:rsidR="00DB731D" w:rsidRPr="00A52585">
        <w:rPr>
          <w:rtl/>
        </w:rPr>
        <w:t>،</w:t>
      </w:r>
      <w:r w:rsidR="00777DCB" w:rsidRPr="00A52585">
        <w:rPr>
          <w:rtl/>
        </w:rPr>
        <w:t xml:space="preserve"> وذكر الساق الواحدة</w:t>
      </w:r>
      <w:r w:rsidR="00DB731D" w:rsidRPr="00A52585">
        <w:rPr>
          <w:rtl/>
        </w:rPr>
        <w:t>،</w:t>
      </w:r>
      <w:r w:rsidR="00777DCB" w:rsidRPr="00A52585">
        <w:rPr>
          <w:rtl/>
        </w:rPr>
        <w:t xml:space="preserve"> </w:t>
      </w:r>
      <w:proofErr w:type="spellStart"/>
      <w:r w:rsidR="00777DCB" w:rsidRPr="00A52585">
        <w:rPr>
          <w:rtl/>
        </w:rPr>
        <w:t>فلوأخذنا</w:t>
      </w:r>
      <w:proofErr w:type="spellEnd"/>
      <w:r w:rsidR="00777DCB" w:rsidRPr="00A52585">
        <w:rPr>
          <w:rtl/>
        </w:rPr>
        <w:t xml:space="preserve"> بالظاهر يلزمنا إثبات شخص له وجه واحد</w:t>
      </w:r>
      <w:r w:rsidR="00DB731D" w:rsidRPr="00A52585">
        <w:rPr>
          <w:rtl/>
        </w:rPr>
        <w:t>،</w:t>
      </w:r>
      <w:r w:rsidR="00777DCB" w:rsidRPr="00A52585">
        <w:rPr>
          <w:rtl/>
        </w:rPr>
        <w:t xml:space="preserve"> وعلى ذلك الوجه أعين كثيرة</w:t>
      </w:r>
      <w:r w:rsidR="00DB731D" w:rsidRPr="00A52585">
        <w:rPr>
          <w:rtl/>
        </w:rPr>
        <w:t>،</w:t>
      </w:r>
      <w:r w:rsidR="00777DCB" w:rsidRPr="00A52585">
        <w:rPr>
          <w:rtl/>
        </w:rPr>
        <w:t xml:space="preserve"> وله جنب واحد وايد كثيرة</w:t>
      </w:r>
      <w:r w:rsidR="00DB731D" w:rsidRPr="00A52585">
        <w:rPr>
          <w:rtl/>
        </w:rPr>
        <w:t>،</w:t>
      </w:r>
      <w:r w:rsidR="00777DCB" w:rsidRPr="00A52585">
        <w:rPr>
          <w:rtl/>
        </w:rPr>
        <w:t xml:space="preserve"> وله ساق واحد</w:t>
      </w:r>
      <w:r w:rsidR="00DB731D" w:rsidRPr="00A52585">
        <w:rPr>
          <w:rtl/>
        </w:rPr>
        <w:t>،</w:t>
      </w:r>
      <w:r w:rsidR="00777DCB" w:rsidRPr="00A52585">
        <w:rPr>
          <w:rtl/>
        </w:rPr>
        <w:t xml:space="preserve"> وذكر مما لابد فيه من التأويل حديث</w:t>
      </w:r>
      <w:r w:rsidRPr="00A52585">
        <w:rPr>
          <w:rtl/>
        </w:rPr>
        <w:t>:</w:t>
      </w:r>
      <w:r w:rsidR="00777DCB" w:rsidRPr="00A52585">
        <w:rPr>
          <w:rtl/>
        </w:rPr>
        <w:t xml:space="preserve"> " الحجر الاسود يمين الله في الارض "</w:t>
      </w:r>
      <w:r w:rsidR="00DB731D" w:rsidRPr="00A52585">
        <w:rPr>
          <w:rtl/>
        </w:rPr>
        <w:t>،</w:t>
      </w:r>
      <w:r w:rsidR="00777DCB" w:rsidRPr="00A52585">
        <w:rPr>
          <w:rtl/>
        </w:rPr>
        <w:t xml:space="preserve"> وحديث</w:t>
      </w:r>
      <w:r w:rsidRPr="00A52585">
        <w:rPr>
          <w:rtl/>
        </w:rPr>
        <w:t>:</w:t>
      </w:r>
      <w:r w:rsidR="00777DCB" w:rsidRPr="00A52585">
        <w:rPr>
          <w:rtl/>
        </w:rPr>
        <w:t xml:space="preserve"> " إن المسجد </w:t>
      </w:r>
      <w:proofErr w:type="spellStart"/>
      <w:r w:rsidR="00777DCB" w:rsidRPr="00A52585">
        <w:rPr>
          <w:rtl/>
        </w:rPr>
        <w:t>لينزوى</w:t>
      </w:r>
      <w:proofErr w:type="spellEnd"/>
      <w:r w:rsidR="00777DCB" w:rsidRPr="00A52585">
        <w:rPr>
          <w:rtl/>
        </w:rPr>
        <w:t xml:space="preserve"> من النخامة كما </w:t>
      </w:r>
      <w:proofErr w:type="spellStart"/>
      <w:r w:rsidR="00777DCB" w:rsidRPr="00A52585">
        <w:rPr>
          <w:rtl/>
        </w:rPr>
        <w:t>تنزوى</w:t>
      </w:r>
      <w:proofErr w:type="spellEnd"/>
      <w:r w:rsidR="00777DCB" w:rsidRPr="00A52585">
        <w:rPr>
          <w:rtl/>
        </w:rPr>
        <w:t xml:space="preserve"> الجلدة من النار "</w:t>
      </w:r>
      <w:r w:rsidR="00DB731D" w:rsidRPr="00A52585">
        <w:rPr>
          <w:rtl/>
        </w:rPr>
        <w:t>،</w:t>
      </w:r>
      <w:r w:rsidR="00777DCB" w:rsidRPr="00A52585">
        <w:rPr>
          <w:rtl/>
        </w:rPr>
        <w:t xml:space="preserve"> وحديث " قلب </w:t>
      </w:r>
      <w:proofErr w:type="spellStart"/>
      <w:r w:rsidR="00777DCB" w:rsidRPr="00A52585">
        <w:rPr>
          <w:rtl/>
        </w:rPr>
        <w:t>الؤمن</w:t>
      </w:r>
      <w:proofErr w:type="spellEnd"/>
      <w:r w:rsidR="00777DCB" w:rsidRPr="00A52585">
        <w:rPr>
          <w:rtl/>
        </w:rPr>
        <w:t xml:space="preserve"> بين أصبعين من أصابع الرحمن "</w:t>
      </w:r>
      <w:r w:rsidR="00DB731D" w:rsidRPr="00A52585">
        <w:rPr>
          <w:rtl/>
        </w:rPr>
        <w:t>،</w:t>
      </w:r>
      <w:r w:rsidR="00777DCB" w:rsidRPr="00A52585">
        <w:rPr>
          <w:rtl/>
        </w:rPr>
        <w:t xml:space="preserve"> قال</w:t>
      </w:r>
      <w:r w:rsidRPr="00A52585">
        <w:rPr>
          <w:rtl/>
        </w:rPr>
        <w:t>:</w:t>
      </w:r>
      <w:r w:rsidR="00777DCB" w:rsidRPr="00A52585">
        <w:rPr>
          <w:rtl/>
        </w:rPr>
        <w:t xml:space="preserve"> وهذا لابد فيه من التأويل لاُنا نعلم بالضرورة أنه ليس في صدورنا اصبعان بينهما قلوبنا</w:t>
      </w:r>
      <w:r w:rsidR="00DB731D" w:rsidRPr="00A52585">
        <w:rPr>
          <w:rtl/>
        </w:rPr>
        <w:t>،</w:t>
      </w:r>
      <w:r w:rsidR="00777DCB" w:rsidRPr="00A52585">
        <w:rPr>
          <w:rtl/>
        </w:rPr>
        <w:t xml:space="preserve"> وحديث </w:t>
      </w:r>
      <w:proofErr w:type="spellStart"/>
      <w:r w:rsidR="00777DCB" w:rsidRPr="00A52585">
        <w:rPr>
          <w:rtl/>
        </w:rPr>
        <w:t>آيه</w:t>
      </w:r>
      <w:proofErr w:type="spellEnd"/>
      <w:r w:rsidR="00777DCB" w:rsidRPr="00A52585">
        <w:rPr>
          <w:rtl/>
        </w:rPr>
        <w:t xml:space="preserve"> </w:t>
      </w:r>
      <w:proofErr w:type="spellStart"/>
      <w:r w:rsidR="00777DCB" w:rsidRPr="00A52585">
        <w:rPr>
          <w:rtl/>
        </w:rPr>
        <w:t>الكرسى</w:t>
      </w:r>
      <w:proofErr w:type="spellEnd"/>
      <w:r w:rsidR="00777DCB" w:rsidRPr="00A52585">
        <w:rPr>
          <w:rtl/>
        </w:rPr>
        <w:t xml:space="preserve"> وقوله عليه السلام</w:t>
      </w:r>
      <w:r w:rsidRPr="00A52585">
        <w:rPr>
          <w:rtl/>
        </w:rPr>
        <w:t>:</w:t>
      </w:r>
      <w:r w:rsidR="00777DCB" w:rsidRPr="00A52585">
        <w:rPr>
          <w:rtl/>
        </w:rPr>
        <w:t xml:space="preserve"> " إن لها لساناً يقدس الله تعالى عند العرش " ولا بد فيه من التأويل</w:t>
      </w:r>
      <w:r w:rsidR="00DB731D" w:rsidRPr="00A52585">
        <w:rPr>
          <w:rtl/>
        </w:rPr>
        <w:t>،</w:t>
      </w:r>
      <w:r w:rsidR="00777DCB" w:rsidRPr="00A52585">
        <w:rPr>
          <w:rtl/>
        </w:rPr>
        <w:t xml:space="preserve"> قال</w:t>
      </w:r>
      <w:r w:rsidRPr="00A52585">
        <w:rPr>
          <w:rtl/>
        </w:rPr>
        <w:t>:</w:t>
      </w:r>
      <w:r w:rsidR="00777DCB" w:rsidRPr="00A52585">
        <w:rPr>
          <w:rtl/>
        </w:rPr>
        <w:t xml:space="preserve"> فثبت بكل ما ذكرنا أن المصير </w:t>
      </w:r>
      <w:proofErr w:type="spellStart"/>
      <w:r w:rsidR="00777DCB" w:rsidRPr="00A52585">
        <w:rPr>
          <w:rtl/>
        </w:rPr>
        <w:t>ألى</w:t>
      </w:r>
      <w:proofErr w:type="spellEnd"/>
      <w:r w:rsidR="00777DCB" w:rsidRPr="00A52585">
        <w:rPr>
          <w:rtl/>
        </w:rPr>
        <w:t xml:space="preserve"> التأويل أمر </w:t>
      </w:r>
      <w:proofErr w:type="spellStart"/>
      <w:r w:rsidR="00777DCB" w:rsidRPr="00A52585">
        <w:rPr>
          <w:rtl/>
        </w:rPr>
        <w:t>لابدمنه</w:t>
      </w:r>
      <w:proofErr w:type="spellEnd"/>
      <w:r w:rsidR="00777DCB" w:rsidRPr="00A52585">
        <w:rPr>
          <w:rtl/>
        </w:rPr>
        <w:t xml:space="preserve"> لكل عاقل</w:t>
      </w:r>
      <w:r w:rsidR="00DB731D" w:rsidRPr="00A52585">
        <w:rPr>
          <w:rtl/>
        </w:rPr>
        <w:t>،</w:t>
      </w:r>
      <w:r w:rsidR="00777DCB" w:rsidRPr="00A52585">
        <w:rPr>
          <w:rtl/>
        </w:rPr>
        <w:t xml:space="preserve"> وعند هذا قال المتكلمون لما ثبت بالدليل أنه سبحانه وتعالى منزه عن الجهة والجسمية وجب علينا أن نضع لهذه الالفاظ الواردة في القرآن والاخبار محملاً صحيحاً لئلا يصير ذلك سبباً للطعن فيها أهـ</w:t>
      </w:r>
      <w:r w:rsidR="00DB731D" w:rsidRPr="00A52585">
        <w:rPr>
          <w:rtl/>
        </w:rPr>
        <w:t>،</w:t>
      </w:r>
      <w:r w:rsidR="00777DCB" w:rsidRPr="00A52585">
        <w:rPr>
          <w:rtl/>
        </w:rPr>
        <w:t xml:space="preserve"> ثم لا خفاء أن في مذاهب العرب </w:t>
      </w:r>
      <w:proofErr w:type="spellStart"/>
      <w:r w:rsidR="00777DCB" w:rsidRPr="00A52585">
        <w:rPr>
          <w:rtl/>
        </w:rPr>
        <w:t>ومناحى</w:t>
      </w:r>
      <w:proofErr w:type="spellEnd"/>
      <w:r w:rsidR="00777DCB" w:rsidRPr="00A52585">
        <w:rPr>
          <w:rtl/>
        </w:rPr>
        <w:t xml:space="preserve"> كلامها سعة</w:t>
      </w:r>
      <w:r w:rsidR="00DB731D" w:rsidRPr="00A52585">
        <w:rPr>
          <w:rtl/>
        </w:rPr>
        <w:t>،</w:t>
      </w:r>
      <w:r w:rsidR="00777DCB" w:rsidRPr="00A52585">
        <w:rPr>
          <w:rtl/>
        </w:rPr>
        <w:t xml:space="preserve"> يقولون</w:t>
      </w:r>
      <w:r w:rsidRPr="00A52585">
        <w:rPr>
          <w:rtl/>
        </w:rPr>
        <w:t>:</w:t>
      </w:r>
      <w:r w:rsidR="00777DCB" w:rsidRPr="00A52585">
        <w:rPr>
          <w:rtl/>
        </w:rPr>
        <w:t xml:space="preserve"> أمر بين كالشمس</w:t>
      </w:r>
      <w:r w:rsidR="00DB731D" w:rsidRPr="00A52585">
        <w:rPr>
          <w:rtl/>
        </w:rPr>
        <w:t>،</w:t>
      </w:r>
      <w:r w:rsidR="00777DCB" w:rsidRPr="00A52585">
        <w:rPr>
          <w:rtl/>
        </w:rPr>
        <w:t xml:space="preserve"> وجواد كالريح</w:t>
      </w:r>
      <w:r w:rsidR="00DB731D" w:rsidRPr="00A52585">
        <w:rPr>
          <w:rtl/>
        </w:rPr>
        <w:t>،</w:t>
      </w:r>
      <w:r w:rsidR="00777DCB" w:rsidRPr="00A52585">
        <w:rPr>
          <w:rtl/>
        </w:rPr>
        <w:t xml:space="preserve"> وحق كالنهار الواضح</w:t>
      </w:r>
      <w:r w:rsidR="00DB731D" w:rsidRPr="00A52585">
        <w:rPr>
          <w:rtl/>
        </w:rPr>
        <w:t>،</w:t>
      </w:r>
      <w:r w:rsidR="00777DCB" w:rsidRPr="00A52585">
        <w:rPr>
          <w:rtl/>
        </w:rPr>
        <w:t xml:space="preserve"> ولا يريدون من ذلك سوى إثبات المعنى وتصويرة في الخيال وتقريبه من الاذهان، والعرب تشبه الصورة بالشمس والقمر</w:t>
      </w:r>
      <w:r w:rsidR="00DB731D" w:rsidRPr="00A52585">
        <w:rPr>
          <w:rtl/>
        </w:rPr>
        <w:t>،</w:t>
      </w:r>
      <w:r w:rsidR="00777DCB" w:rsidRPr="00A52585">
        <w:rPr>
          <w:rtl/>
        </w:rPr>
        <w:t xml:space="preserve"> واللفظ بالسحر</w:t>
      </w:r>
      <w:r w:rsidR="00DB731D" w:rsidRPr="00A52585">
        <w:rPr>
          <w:rtl/>
        </w:rPr>
        <w:t>،</w:t>
      </w:r>
      <w:r w:rsidR="00777DCB" w:rsidRPr="00A52585">
        <w:rPr>
          <w:rtl/>
        </w:rPr>
        <w:t xml:space="preserve"> والمواعيد الكاذبة </w:t>
      </w:r>
      <w:r w:rsidR="00777DCB" w:rsidRPr="00A52585">
        <w:rPr>
          <w:rtl/>
        </w:rPr>
        <w:lastRenderedPageBreak/>
        <w:t>بالرياح</w:t>
      </w:r>
      <w:r w:rsidR="00DB731D" w:rsidRPr="00A52585">
        <w:rPr>
          <w:rtl/>
        </w:rPr>
        <w:t>،</w:t>
      </w:r>
      <w:r w:rsidR="00777DCB" w:rsidRPr="00A52585">
        <w:rPr>
          <w:rtl/>
        </w:rPr>
        <w:t xml:space="preserve"> ولا تعد شيئاً من ذلك كذباً</w:t>
      </w:r>
      <w:r w:rsidR="00DB731D" w:rsidRPr="00A52585">
        <w:rPr>
          <w:rtl/>
        </w:rPr>
        <w:t>،</w:t>
      </w:r>
      <w:r w:rsidR="00777DCB" w:rsidRPr="00A52585">
        <w:rPr>
          <w:rtl/>
        </w:rPr>
        <w:t xml:space="preserve"> ولا توجب حقيقته بل تريد من اللفظ معناه </w:t>
      </w:r>
      <w:proofErr w:type="spellStart"/>
      <w:r w:rsidR="00777DCB" w:rsidRPr="00A52585">
        <w:rPr>
          <w:rtl/>
        </w:rPr>
        <w:t>المجازى</w:t>
      </w:r>
      <w:proofErr w:type="spellEnd"/>
      <w:r w:rsidR="00897A24" w:rsidRPr="00A52585">
        <w:rPr>
          <w:rtl/>
        </w:rPr>
        <w:t>.</w:t>
      </w:r>
      <w:r w:rsidR="00777DCB" w:rsidRPr="00A52585">
        <w:rPr>
          <w:rtl/>
        </w:rPr>
        <w:br/>
        <w:t>وعلى هذا فالنزول في الحديث ليس راجعاً إلى ذاته تعالى</w:t>
      </w:r>
      <w:r w:rsidR="00DB731D" w:rsidRPr="00A52585">
        <w:rPr>
          <w:rtl/>
        </w:rPr>
        <w:t>،</w:t>
      </w:r>
      <w:r w:rsidR="00777DCB" w:rsidRPr="00A52585">
        <w:rPr>
          <w:rtl/>
        </w:rPr>
        <w:t xml:space="preserve"> بل هو عبارة عن نزول الملك الذى ينزل بأمره ونهيه</w:t>
      </w:r>
      <w:r w:rsidR="00DB731D" w:rsidRPr="00A52585">
        <w:rPr>
          <w:rtl/>
        </w:rPr>
        <w:t>،</w:t>
      </w:r>
      <w:r w:rsidR="00777DCB" w:rsidRPr="00A52585">
        <w:rPr>
          <w:rtl/>
        </w:rPr>
        <w:t xml:space="preserve"> قال </w:t>
      </w:r>
      <w:proofErr w:type="spellStart"/>
      <w:r w:rsidR="00777DCB" w:rsidRPr="00A52585">
        <w:rPr>
          <w:rtl/>
        </w:rPr>
        <w:t>البيضاوى</w:t>
      </w:r>
      <w:proofErr w:type="spellEnd"/>
      <w:r w:rsidRPr="00A52585">
        <w:rPr>
          <w:rtl/>
        </w:rPr>
        <w:t>:</w:t>
      </w:r>
      <w:r w:rsidR="00777DCB" w:rsidRPr="00A52585">
        <w:rPr>
          <w:rtl/>
        </w:rPr>
        <w:t xml:space="preserve"> ولما ثبت أنه سبحانه وتعالى منزه عن الجسمية والتحيز امتنع عليه النزول على المعنى الانتقال من موضع إلى موضع أخفض منه</w:t>
      </w:r>
      <w:r w:rsidR="00DB731D" w:rsidRPr="00A52585">
        <w:rPr>
          <w:rtl/>
        </w:rPr>
        <w:t>،</w:t>
      </w:r>
      <w:r w:rsidR="00777DCB" w:rsidRPr="00A52585">
        <w:rPr>
          <w:rtl/>
        </w:rPr>
        <w:t xml:space="preserve"> فالمراد نزول رحمته</w:t>
      </w:r>
      <w:r w:rsidR="00DB731D" w:rsidRPr="00A52585">
        <w:rPr>
          <w:rtl/>
        </w:rPr>
        <w:t>،</w:t>
      </w:r>
      <w:r w:rsidR="00777DCB" w:rsidRPr="00A52585">
        <w:rPr>
          <w:rtl/>
        </w:rPr>
        <w:t xml:space="preserve"> </w:t>
      </w:r>
      <w:proofErr w:type="spellStart"/>
      <w:r w:rsidR="00777DCB" w:rsidRPr="00A52585">
        <w:rPr>
          <w:rtl/>
        </w:rPr>
        <w:t>اى</w:t>
      </w:r>
      <w:proofErr w:type="spellEnd"/>
      <w:r w:rsidR="00777DCB" w:rsidRPr="00A52585">
        <w:rPr>
          <w:rtl/>
        </w:rPr>
        <w:t xml:space="preserve"> ينتقل من مقتضى صفة الجلال التي تقتضى الغضب والانتقام إلى مقتضى صفة الاكرام </w:t>
      </w:r>
      <w:proofErr w:type="spellStart"/>
      <w:r w:rsidR="00777DCB" w:rsidRPr="00A52585">
        <w:rPr>
          <w:rtl/>
        </w:rPr>
        <w:t>التى</w:t>
      </w:r>
      <w:proofErr w:type="spellEnd"/>
      <w:r w:rsidR="00777DCB" w:rsidRPr="00A52585">
        <w:rPr>
          <w:rtl/>
        </w:rPr>
        <w:t xml:space="preserve"> تقتضى الرأفة </w:t>
      </w:r>
      <w:proofErr w:type="spellStart"/>
      <w:r w:rsidR="00777DCB" w:rsidRPr="00A52585">
        <w:rPr>
          <w:rtl/>
        </w:rPr>
        <w:t>والرحمه</w:t>
      </w:r>
      <w:proofErr w:type="spellEnd"/>
      <w:r w:rsidR="00777DCB" w:rsidRPr="00A52585">
        <w:rPr>
          <w:rtl/>
        </w:rPr>
        <w:t xml:space="preserve"> والإنعام ا هـ</w:t>
      </w:r>
      <w:r w:rsidR="00DB731D" w:rsidRPr="00A52585">
        <w:rPr>
          <w:rtl/>
        </w:rPr>
        <w:t>،</w:t>
      </w:r>
      <w:r w:rsidR="00777DCB" w:rsidRPr="00A52585">
        <w:rPr>
          <w:rFonts w:hint="cs"/>
          <w:rtl/>
        </w:rPr>
        <w:t xml:space="preserve"> </w:t>
      </w:r>
      <w:r w:rsidR="00777DCB" w:rsidRPr="00A52585">
        <w:rPr>
          <w:rtl/>
        </w:rPr>
        <w:t xml:space="preserve">وقوله تعالى </w:t>
      </w:r>
      <w:r w:rsidRPr="00A52585">
        <w:rPr>
          <w:rtl/>
        </w:rPr>
        <w:t>(</w:t>
      </w:r>
      <w:r w:rsidR="00777DCB" w:rsidRPr="00A52585">
        <w:rPr>
          <w:rtl/>
        </w:rPr>
        <w:t>فأستجيب</w:t>
      </w:r>
      <w:r w:rsidRPr="00A52585">
        <w:rPr>
          <w:rtl/>
        </w:rPr>
        <w:t>)</w:t>
      </w:r>
      <w:r w:rsidR="00777DCB" w:rsidRPr="00A52585">
        <w:rPr>
          <w:rtl/>
        </w:rPr>
        <w:t xml:space="preserve"> </w:t>
      </w:r>
      <w:proofErr w:type="spellStart"/>
      <w:r w:rsidR="00777DCB" w:rsidRPr="00A52585">
        <w:rPr>
          <w:rtl/>
        </w:rPr>
        <w:t>أى</w:t>
      </w:r>
      <w:proofErr w:type="spellEnd"/>
      <w:r w:rsidR="00777DCB" w:rsidRPr="00A52585">
        <w:rPr>
          <w:rtl/>
        </w:rPr>
        <w:t xml:space="preserve"> فأجيب دعاءه</w:t>
      </w:r>
      <w:r w:rsidR="00DB731D" w:rsidRPr="00A52585">
        <w:rPr>
          <w:rtl/>
        </w:rPr>
        <w:t>،</w:t>
      </w:r>
      <w:r w:rsidR="00777DCB" w:rsidRPr="00A52585">
        <w:rPr>
          <w:rtl/>
        </w:rPr>
        <w:t xml:space="preserve"> وهو منصوب بإضمار أن لوقوعه جواب </w:t>
      </w:r>
      <w:proofErr w:type="spellStart"/>
      <w:r w:rsidR="00777DCB" w:rsidRPr="00A52585">
        <w:rPr>
          <w:rtl/>
        </w:rPr>
        <w:t>الإستفهام</w:t>
      </w:r>
      <w:proofErr w:type="spellEnd"/>
      <w:r w:rsidR="00DB731D" w:rsidRPr="00A52585">
        <w:rPr>
          <w:rtl/>
        </w:rPr>
        <w:t>،</w:t>
      </w:r>
      <w:r w:rsidR="00777DCB" w:rsidRPr="00A52585">
        <w:rPr>
          <w:rtl/>
        </w:rPr>
        <w:t xml:space="preserve"> ومثله " فأعطيه " ومثله " فأغفر له " ويجوز الرفع على الاستئناف</w:t>
      </w:r>
      <w:r w:rsidR="00DB731D" w:rsidRPr="00A52585">
        <w:rPr>
          <w:rtl/>
        </w:rPr>
        <w:t>،</w:t>
      </w:r>
      <w:r w:rsidR="00777DCB" w:rsidRPr="00A52585">
        <w:rPr>
          <w:rtl/>
        </w:rPr>
        <w:t xml:space="preserve"> ثم في الحديث من الفوائد</w:t>
      </w:r>
      <w:r w:rsidRPr="00A52585">
        <w:rPr>
          <w:rtl/>
        </w:rPr>
        <w:t>:</w:t>
      </w:r>
      <w:r w:rsidR="00777DCB" w:rsidRPr="00A52585">
        <w:rPr>
          <w:rtl/>
        </w:rPr>
        <w:t xml:space="preserve"> تفضيل الصلاة آخر الليل على الصلاة أوله</w:t>
      </w:r>
      <w:r w:rsidR="00DB731D" w:rsidRPr="00A52585">
        <w:rPr>
          <w:rtl/>
        </w:rPr>
        <w:t>،</w:t>
      </w:r>
      <w:r w:rsidR="00777DCB" w:rsidRPr="00A52585">
        <w:rPr>
          <w:rtl/>
        </w:rPr>
        <w:t xml:space="preserve"> وتفضيل تأخير الوتر كذلك لكن ذلك في حق من يغلب على ظنه الانتباه ويطمع فيه</w:t>
      </w:r>
      <w:r w:rsidR="00DB731D" w:rsidRPr="00A52585">
        <w:rPr>
          <w:rtl/>
        </w:rPr>
        <w:t>،</w:t>
      </w:r>
      <w:r w:rsidR="00777DCB" w:rsidRPr="00A52585">
        <w:rPr>
          <w:rtl/>
        </w:rPr>
        <w:t xml:space="preserve"> وفيه أن آخر الليل أفضل للدعاء</w:t>
      </w:r>
      <w:r w:rsidR="00DB731D" w:rsidRPr="00A52585">
        <w:rPr>
          <w:rtl/>
        </w:rPr>
        <w:t>،</w:t>
      </w:r>
      <w:r w:rsidR="00777DCB" w:rsidRPr="00A52585">
        <w:rPr>
          <w:rtl/>
        </w:rPr>
        <w:t xml:space="preserve"> وأقرب للإجابة</w:t>
      </w:r>
      <w:r w:rsidR="00DB731D" w:rsidRPr="00A52585">
        <w:rPr>
          <w:rtl/>
        </w:rPr>
        <w:t>،</w:t>
      </w:r>
      <w:r w:rsidR="00777DCB" w:rsidRPr="00A52585">
        <w:rPr>
          <w:rtl/>
        </w:rPr>
        <w:t xml:space="preserve"> وأن الاستغفار كذلك لقوله تعالى</w:t>
      </w:r>
      <w:r w:rsidRPr="00A52585">
        <w:rPr>
          <w:rtl/>
        </w:rPr>
        <w:t>:</w:t>
      </w:r>
      <w:r w:rsidR="00777DCB" w:rsidRPr="00A52585">
        <w:rPr>
          <w:rtl/>
        </w:rPr>
        <w:t xml:space="preserve"> </w:t>
      </w:r>
      <w:r w:rsidRPr="00A52585">
        <w:rPr>
          <w:rtl/>
        </w:rPr>
        <w:t>(</w:t>
      </w:r>
      <w:r w:rsidR="00777DCB" w:rsidRPr="00A52585">
        <w:rPr>
          <w:rtl/>
        </w:rPr>
        <w:t>والمستغفرين بالأسحار</w:t>
      </w:r>
      <w:r w:rsidRPr="00A52585">
        <w:rPr>
          <w:rtl/>
        </w:rPr>
        <w:t>)</w:t>
      </w:r>
      <w:r w:rsidR="00DB731D" w:rsidRPr="00A52585">
        <w:rPr>
          <w:rtl/>
        </w:rPr>
        <w:t>،</w:t>
      </w:r>
      <w:r w:rsidR="00777DCB" w:rsidRPr="00A52585">
        <w:rPr>
          <w:rtl/>
        </w:rPr>
        <w:t xml:space="preserve"> ولا يتعرض بتخلف الاجابة في ذلك الوقت عن بعض الداعيين</w:t>
      </w:r>
      <w:r w:rsidR="00DB731D" w:rsidRPr="00A52585">
        <w:rPr>
          <w:rtl/>
        </w:rPr>
        <w:t>،</w:t>
      </w:r>
      <w:r w:rsidR="00777DCB" w:rsidRPr="00A52585">
        <w:rPr>
          <w:rtl/>
        </w:rPr>
        <w:t xml:space="preserve"> فإن ذلك يكون في الغالب للإخلال بشرط من شروط استجابة الدعاء والله أعلم</w:t>
      </w:r>
      <w:r w:rsidR="00DB731D" w:rsidRPr="00A52585">
        <w:rPr>
          <w:rtl/>
        </w:rPr>
        <w:t>،</w:t>
      </w:r>
      <w:r w:rsidR="00777DCB" w:rsidRPr="00A52585">
        <w:rPr>
          <w:rtl/>
        </w:rPr>
        <w:t xml:space="preserve"> </w:t>
      </w:r>
    </w:p>
    <w:p w14:paraId="3DFF40E9" w14:textId="37765EA9" w:rsidR="00777DCB" w:rsidRPr="00A52585" w:rsidRDefault="00777DCB" w:rsidP="0002035C">
      <w:pPr>
        <w:spacing w:after="240"/>
        <w:rPr>
          <w:rtl/>
        </w:rPr>
      </w:pPr>
      <w:r w:rsidRPr="00A52585">
        <w:rPr>
          <w:rFonts w:cs="Monotype Koufi"/>
          <w:rtl/>
          <w:lang w:bidi="ar-KW"/>
        </w:rPr>
        <w:t>مجسمة العصر</w:t>
      </w:r>
      <w:r w:rsidR="0002035C" w:rsidRPr="00A52585">
        <w:rPr>
          <w:rFonts w:cs="Monotype Koufi"/>
          <w:rtl/>
          <w:lang w:bidi="ar-KW"/>
        </w:rPr>
        <w:t>:</w:t>
      </w:r>
      <w:r w:rsidRPr="00A52585">
        <w:rPr>
          <w:rtl/>
        </w:rPr>
        <w:t xml:space="preserve"> وبعد أن كتبت ما كتبته أخيراً تحت عنوان </w:t>
      </w:r>
      <w:r w:rsidR="0002035C" w:rsidRPr="00A52585">
        <w:rPr>
          <w:rtl/>
        </w:rPr>
        <w:t>(</w:t>
      </w:r>
      <w:r w:rsidRPr="00A52585">
        <w:rPr>
          <w:rtl/>
        </w:rPr>
        <w:t>المجسمة والمشبهة</w:t>
      </w:r>
      <w:r w:rsidR="0002035C" w:rsidRPr="00A52585">
        <w:rPr>
          <w:rtl/>
        </w:rPr>
        <w:t>)</w:t>
      </w:r>
      <w:r w:rsidRPr="00A52585">
        <w:rPr>
          <w:rtl/>
        </w:rPr>
        <w:t xml:space="preserve"> ظهر العدد الصادر في جمادى الاولى سنة 1358 من تلك المجلة التي يسميها صاحبها </w:t>
      </w:r>
      <w:r w:rsidR="0002035C" w:rsidRPr="00A52585">
        <w:rPr>
          <w:rtl/>
        </w:rPr>
        <w:t>(</w:t>
      </w:r>
      <w:r w:rsidRPr="00A52585">
        <w:rPr>
          <w:rtl/>
        </w:rPr>
        <w:t xml:space="preserve">الهدى </w:t>
      </w:r>
      <w:proofErr w:type="spellStart"/>
      <w:r w:rsidRPr="00A52585">
        <w:rPr>
          <w:rtl/>
        </w:rPr>
        <w:t>النبوى</w:t>
      </w:r>
      <w:proofErr w:type="spellEnd"/>
      <w:r w:rsidR="0002035C" w:rsidRPr="00A52585">
        <w:rPr>
          <w:rtl/>
        </w:rPr>
        <w:t>)</w:t>
      </w:r>
      <w:r w:rsidRPr="00A52585">
        <w:rPr>
          <w:rtl/>
        </w:rPr>
        <w:t>وفيه مقلان أحداهما بعنوان</w:t>
      </w:r>
      <w:r w:rsidR="0002035C" w:rsidRPr="00A52585">
        <w:rPr>
          <w:rtl/>
        </w:rPr>
        <w:t>:</w:t>
      </w:r>
      <w:r w:rsidRPr="00A52585">
        <w:rPr>
          <w:rtl/>
        </w:rPr>
        <w:t xml:space="preserve"> </w:t>
      </w:r>
      <w:r w:rsidR="0002035C" w:rsidRPr="00A52585">
        <w:rPr>
          <w:rtl/>
        </w:rPr>
        <w:t>(</w:t>
      </w:r>
      <w:r w:rsidRPr="00A52585">
        <w:rPr>
          <w:rtl/>
        </w:rPr>
        <w:t>إلى كتاب مجلة الاسلام</w:t>
      </w:r>
      <w:r w:rsidR="0002035C" w:rsidRPr="00A52585">
        <w:rPr>
          <w:rtl/>
        </w:rPr>
        <w:t>)</w:t>
      </w:r>
      <w:r w:rsidRPr="00A52585">
        <w:rPr>
          <w:rtl/>
        </w:rPr>
        <w:t xml:space="preserve"> والاخر بعنوان</w:t>
      </w:r>
      <w:r w:rsidR="0002035C" w:rsidRPr="00A52585">
        <w:rPr>
          <w:rtl/>
        </w:rPr>
        <w:t>:</w:t>
      </w:r>
      <w:r w:rsidRPr="00A52585">
        <w:rPr>
          <w:rtl/>
        </w:rPr>
        <w:t xml:space="preserve"> </w:t>
      </w:r>
      <w:r w:rsidR="0002035C" w:rsidRPr="00A52585">
        <w:rPr>
          <w:rtl/>
        </w:rPr>
        <w:t>(</w:t>
      </w:r>
      <w:r w:rsidRPr="00A52585">
        <w:rPr>
          <w:rtl/>
        </w:rPr>
        <w:t>الوثنية المصرية</w:t>
      </w:r>
      <w:r w:rsidR="0002035C" w:rsidRPr="00A52585">
        <w:rPr>
          <w:rtl/>
        </w:rPr>
        <w:t>)</w:t>
      </w:r>
      <w:r w:rsidR="00DB731D" w:rsidRPr="00A52585">
        <w:rPr>
          <w:rtl/>
        </w:rPr>
        <w:t>،</w:t>
      </w:r>
      <w:r w:rsidRPr="00A52585">
        <w:rPr>
          <w:rtl/>
        </w:rPr>
        <w:t xml:space="preserve"> وقد تناول صاحب المقال الاول أشخاص كتاب المجلة</w:t>
      </w:r>
      <w:r w:rsidR="00DB731D" w:rsidRPr="00A52585">
        <w:rPr>
          <w:rtl/>
        </w:rPr>
        <w:t>،</w:t>
      </w:r>
      <w:r w:rsidRPr="00A52585">
        <w:rPr>
          <w:rtl/>
        </w:rPr>
        <w:t xml:space="preserve"> وتناول معهم الاستاذ </w:t>
      </w:r>
      <w:proofErr w:type="spellStart"/>
      <w:r w:rsidRPr="00A52585">
        <w:rPr>
          <w:rtl/>
        </w:rPr>
        <w:t>الكوثرى</w:t>
      </w:r>
      <w:proofErr w:type="spellEnd"/>
      <w:r w:rsidR="00DB731D" w:rsidRPr="00A52585">
        <w:rPr>
          <w:rtl/>
        </w:rPr>
        <w:t>،</w:t>
      </w:r>
      <w:r w:rsidRPr="00A52585">
        <w:rPr>
          <w:rtl/>
        </w:rPr>
        <w:t xml:space="preserve"> وتناول زميله في هذه الحملة على كتاب المجلة فضيلة الاستاذ الدجوى</w:t>
      </w:r>
      <w:r w:rsidR="00DB731D" w:rsidRPr="00A52585">
        <w:rPr>
          <w:rtl/>
        </w:rPr>
        <w:t>،</w:t>
      </w:r>
      <w:r w:rsidRPr="00A52585">
        <w:rPr>
          <w:rtl/>
        </w:rPr>
        <w:t xml:space="preserve"> وأفرغا ما في جعبتاهما من سباب وشتائم وتجهيل وتكفير</w:t>
      </w:r>
      <w:r w:rsidR="00DB731D" w:rsidRPr="00A52585">
        <w:rPr>
          <w:rtl/>
        </w:rPr>
        <w:t>،</w:t>
      </w:r>
      <w:r w:rsidRPr="00A52585">
        <w:rPr>
          <w:rtl/>
        </w:rPr>
        <w:t xml:space="preserve"> مع أن هؤلاء جميعاً لا دخل لهم في موضوع الرد</w:t>
      </w:r>
      <w:r w:rsidR="00DB731D" w:rsidRPr="00A52585">
        <w:rPr>
          <w:rtl/>
        </w:rPr>
        <w:t>،</w:t>
      </w:r>
      <w:r w:rsidRPr="00A52585">
        <w:rPr>
          <w:rtl/>
        </w:rPr>
        <w:t xml:space="preserve"> والرد موجه إلى أنا خاصة</w:t>
      </w:r>
      <w:r w:rsidR="00DB731D" w:rsidRPr="00A52585">
        <w:rPr>
          <w:rtl/>
        </w:rPr>
        <w:t>،</w:t>
      </w:r>
      <w:r w:rsidRPr="00A52585">
        <w:rPr>
          <w:rtl/>
        </w:rPr>
        <w:t xml:space="preserve"> فما الذى أقحم الباقين</w:t>
      </w:r>
      <w:r w:rsidR="00F95886" w:rsidRPr="00A52585">
        <w:rPr>
          <w:rtl/>
        </w:rPr>
        <w:t>؟</w:t>
      </w:r>
      <w:r w:rsidR="0002035C" w:rsidRPr="00A52585">
        <w:rPr>
          <w:rFonts w:hint="cs"/>
          <w:rtl/>
        </w:rPr>
        <w:t xml:space="preserve"> </w:t>
      </w:r>
      <w:r w:rsidRPr="00A52585">
        <w:rPr>
          <w:rtl/>
        </w:rPr>
        <w:t xml:space="preserve">والجواب على هذه </w:t>
      </w:r>
      <w:proofErr w:type="spellStart"/>
      <w:r w:rsidRPr="00A52585">
        <w:rPr>
          <w:rtl/>
        </w:rPr>
        <w:t>الظاهره</w:t>
      </w:r>
      <w:proofErr w:type="spellEnd"/>
      <w:r w:rsidRPr="00A52585">
        <w:rPr>
          <w:rtl/>
        </w:rPr>
        <w:t xml:space="preserve"> العجيبة</w:t>
      </w:r>
      <w:r w:rsidR="0002035C" w:rsidRPr="00A52585">
        <w:rPr>
          <w:rtl/>
        </w:rPr>
        <w:t>:</w:t>
      </w:r>
      <w:r w:rsidRPr="00A52585">
        <w:rPr>
          <w:rtl/>
        </w:rPr>
        <w:t xml:space="preserve"> أن أصحاب مذهب التجسيم</w:t>
      </w:r>
      <w:r w:rsidR="00DB731D" w:rsidRPr="00A52585">
        <w:rPr>
          <w:rtl/>
        </w:rPr>
        <w:t>،</w:t>
      </w:r>
      <w:r w:rsidRPr="00A52585">
        <w:rPr>
          <w:rtl/>
        </w:rPr>
        <w:t xml:space="preserve"> ودعاة الوهابية المتطرفة في مصر</w:t>
      </w:r>
      <w:r w:rsidR="00DB731D" w:rsidRPr="00A52585">
        <w:rPr>
          <w:rtl/>
        </w:rPr>
        <w:t>،</w:t>
      </w:r>
      <w:r w:rsidRPr="00A52585">
        <w:rPr>
          <w:rtl/>
        </w:rPr>
        <w:t xml:space="preserve"> بعد أن خفت صوت هذه </w:t>
      </w:r>
      <w:proofErr w:type="spellStart"/>
      <w:r w:rsidRPr="00A52585">
        <w:rPr>
          <w:rtl/>
        </w:rPr>
        <w:t>الجعاية</w:t>
      </w:r>
      <w:proofErr w:type="spellEnd"/>
      <w:r w:rsidRPr="00A52585">
        <w:rPr>
          <w:rtl/>
        </w:rPr>
        <w:t xml:space="preserve"> في نجد والحجاز على يد الملك عبد العزيز آل سعود</w:t>
      </w:r>
      <w:r w:rsidR="00DB731D" w:rsidRPr="00A52585">
        <w:rPr>
          <w:rtl/>
        </w:rPr>
        <w:t>،</w:t>
      </w:r>
      <w:r w:rsidRPr="00A52585">
        <w:rPr>
          <w:rtl/>
        </w:rPr>
        <w:t xml:space="preserve"> وقمعه لغلاة المتطرفين من دعاتهم</w:t>
      </w:r>
      <w:r w:rsidR="00DB731D" w:rsidRPr="00A52585">
        <w:rPr>
          <w:rtl/>
        </w:rPr>
        <w:t>،</w:t>
      </w:r>
      <w:r w:rsidRPr="00A52585">
        <w:rPr>
          <w:rtl/>
        </w:rPr>
        <w:t xml:space="preserve"> بدأت تظهر حركتها هنا</w:t>
      </w:r>
      <w:r w:rsidR="00DB731D" w:rsidRPr="00A52585">
        <w:rPr>
          <w:rtl/>
        </w:rPr>
        <w:t>،</w:t>
      </w:r>
      <w:r w:rsidRPr="00A52585">
        <w:rPr>
          <w:rtl/>
        </w:rPr>
        <w:t xml:space="preserve"> وأخذت أصداؤها تتجاوب في أفق مصر باسم السنية والسلفية</w:t>
      </w:r>
      <w:r w:rsidR="00F95886" w:rsidRPr="00A52585">
        <w:rPr>
          <w:rtl/>
        </w:rPr>
        <w:t>!</w:t>
      </w:r>
      <w:r w:rsidR="0002035C" w:rsidRPr="00A52585">
        <w:rPr>
          <w:rFonts w:hint="cs"/>
          <w:rtl/>
        </w:rPr>
        <w:t xml:space="preserve"> </w:t>
      </w:r>
      <w:r w:rsidRPr="00A52585">
        <w:rPr>
          <w:rtl/>
        </w:rPr>
        <w:t xml:space="preserve">ولما كان </w:t>
      </w:r>
      <w:proofErr w:type="spellStart"/>
      <w:r w:rsidRPr="00A52585">
        <w:rPr>
          <w:rtl/>
        </w:rPr>
        <w:t>النافخون</w:t>
      </w:r>
      <w:proofErr w:type="spellEnd"/>
      <w:r w:rsidRPr="00A52585">
        <w:rPr>
          <w:rtl/>
        </w:rPr>
        <w:t xml:space="preserve"> في أبواق هذه الدعاية يعز عليهم أن يكشف الناس ما يخفون في أطوائها من عقيدة </w:t>
      </w:r>
      <w:proofErr w:type="spellStart"/>
      <w:r w:rsidRPr="00A52585">
        <w:rPr>
          <w:rtl/>
        </w:rPr>
        <w:t>شركية</w:t>
      </w:r>
      <w:proofErr w:type="spellEnd"/>
      <w:r w:rsidR="00DB731D" w:rsidRPr="00A52585">
        <w:rPr>
          <w:rtl/>
        </w:rPr>
        <w:t>،</w:t>
      </w:r>
      <w:r w:rsidRPr="00A52585">
        <w:rPr>
          <w:rtl/>
        </w:rPr>
        <w:t xml:space="preserve"> وكانوا يبالغون في التمويه على الناس وتضليل الاذهان</w:t>
      </w:r>
      <w:r w:rsidR="00DB731D" w:rsidRPr="00A52585">
        <w:rPr>
          <w:rtl/>
        </w:rPr>
        <w:t>،</w:t>
      </w:r>
      <w:r w:rsidRPr="00A52585">
        <w:rPr>
          <w:rtl/>
        </w:rPr>
        <w:t xml:space="preserve"> حتى لا يفطن أحد إلى ما ينطوون عليه من زيغ وضلال</w:t>
      </w:r>
      <w:r w:rsidR="00DB731D" w:rsidRPr="00A52585">
        <w:rPr>
          <w:rtl/>
        </w:rPr>
        <w:t>،</w:t>
      </w:r>
      <w:r w:rsidRPr="00A52585">
        <w:rPr>
          <w:rtl/>
        </w:rPr>
        <w:t xml:space="preserve"> فقد رأوا أن يرموا الناس بدائهم</w:t>
      </w:r>
      <w:r w:rsidR="00DB731D" w:rsidRPr="00A52585">
        <w:rPr>
          <w:rtl/>
        </w:rPr>
        <w:t>،</w:t>
      </w:r>
      <w:r w:rsidRPr="00A52585">
        <w:rPr>
          <w:rtl/>
        </w:rPr>
        <w:t xml:space="preserve"> ويظهروا بمظهر الحافظين لتراث النبوة</w:t>
      </w:r>
      <w:r w:rsidR="00DB731D" w:rsidRPr="00A52585">
        <w:rPr>
          <w:rtl/>
        </w:rPr>
        <w:t>،</w:t>
      </w:r>
      <w:r w:rsidRPr="00A52585">
        <w:rPr>
          <w:rtl/>
        </w:rPr>
        <w:t xml:space="preserve"> العاملين على إحياء مذهب السلف تغريراً وخداعاً وتلبيساً على العامة</w:t>
      </w:r>
      <w:r w:rsidR="00DB731D" w:rsidRPr="00A52585">
        <w:rPr>
          <w:rtl/>
        </w:rPr>
        <w:t>،</w:t>
      </w:r>
      <w:r w:rsidRPr="00A52585">
        <w:rPr>
          <w:rtl/>
        </w:rPr>
        <w:t xml:space="preserve"> وقالوا في الاُمة المصرية</w:t>
      </w:r>
      <w:r w:rsidR="0002035C" w:rsidRPr="00A52585">
        <w:rPr>
          <w:rtl/>
        </w:rPr>
        <w:t>:</w:t>
      </w:r>
      <w:r w:rsidRPr="00A52585">
        <w:rPr>
          <w:rtl/>
        </w:rPr>
        <w:t xml:space="preserve"> إنها أمه </w:t>
      </w:r>
      <w:proofErr w:type="spellStart"/>
      <w:r w:rsidRPr="00A52585">
        <w:rPr>
          <w:rtl/>
        </w:rPr>
        <w:t>شركية</w:t>
      </w:r>
      <w:proofErr w:type="spellEnd"/>
      <w:r w:rsidRPr="00A52585">
        <w:rPr>
          <w:rtl/>
        </w:rPr>
        <w:t xml:space="preserve"> عكف أفرادها على أوثان </w:t>
      </w:r>
      <w:proofErr w:type="spellStart"/>
      <w:r w:rsidRPr="00A52585">
        <w:rPr>
          <w:rtl/>
        </w:rPr>
        <w:t>وظواغيت</w:t>
      </w:r>
      <w:proofErr w:type="spellEnd"/>
      <w:r w:rsidRPr="00A52585">
        <w:rPr>
          <w:rtl/>
        </w:rPr>
        <w:t xml:space="preserve"> داخل القبور عبدوها من دون الله فصلوا إليها ولها</w:t>
      </w:r>
      <w:r w:rsidR="00DB731D" w:rsidRPr="00A52585">
        <w:rPr>
          <w:rtl/>
        </w:rPr>
        <w:t>،</w:t>
      </w:r>
      <w:r w:rsidRPr="00A52585">
        <w:rPr>
          <w:rtl/>
        </w:rPr>
        <w:t xml:space="preserve"> </w:t>
      </w:r>
      <w:r w:rsidRPr="00A52585">
        <w:rPr>
          <w:rtl/>
        </w:rPr>
        <w:lastRenderedPageBreak/>
        <w:t>ودعوا أصحابها ودعوا بها وقدموا القرابين</w:t>
      </w:r>
      <w:r w:rsidR="00DB731D" w:rsidRPr="00A52585">
        <w:rPr>
          <w:rtl/>
        </w:rPr>
        <w:t>،</w:t>
      </w:r>
      <w:r w:rsidRPr="00A52585">
        <w:rPr>
          <w:rtl/>
        </w:rPr>
        <w:t xml:space="preserve"> ونذروا لها النذور</w:t>
      </w:r>
      <w:r w:rsidR="00DB731D" w:rsidRPr="00A52585">
        <w:rPr>
          <w:rtl/>
        </w:rPr>
        <w:t>،</w:t>
      </w:r>
      <w:r w:rsidR="0002035C" w:rsidRPr="00A52585">
        <w:rPr>
          <w:rFonts w:hint="cs"/>
          <w:rtl/>
        </w:rPr>
        <w:t xml:space="preserve"> </w:t>
      </w:r>
      <w:r w:rsidRPr="00A52585">
        <w:rPr>
          <w:rtl/>
        </w:rPr>
        <w:t>وهكذا وقفوا أقلامهم</w:t>
      </w:r>
      <w:r w:rsidR="00DB731D" w:rsidRPr="00A52585">
        <w:rPr>
          <w:rtl/>
        </w:rPr>
        <w:t>،</w:t>
      </w:r>
      <w:r w:rsidRPr="00A52585">
        <w:rPr>
          <w:rtl/>
        </w:rPr>
        <w:t xml:space="preserve"> وصرفوا كل جهودهم إلى هذه الناحية من الطعن في المسلمين</w:t>
      </w:r>
      <w:r w:rsidR="00DB731D" w:rsidRPr="00A52585">
        <w:rPr>
          <w:rtl/>
        </w:rPr>
        <w:t>،</w:t>
      </w:r>
      <w:r w:rsidRPr="00A52585">
        <w:rPr>
          <w:rtl/>
        </w:rPr>
        <w:t xml:space="preserve"> ليخفوا بذلك داءهم</w:t>
      </w:r>
      <w:r w:rsidR="00DB731D" w:rsidRPr="00A52585">
        <w:rPr>
          <w:rtl/>
        </w:rPr>
        <w:t>،</w:t>
      </w:r>
      <w:r w:rsidRPr="00A52585">
        <w:rPr>
          <w:rtl/>
        </w:rPr>
        <w:t xml:space="preserve"> ويستروا عن أعين الناس اتجاههم</w:t>
      </w:r>
      <w:r w:rsidR="00DB731D" w:rsidRPr="00A52585">
        <w:rPr>
          <w:rtl/>
        </w:rPr>
        <w:t>،</w:t>
      </w:r>
      <w:r w:rsidRPr="00A52585">
        <w:rPr>
          <w:rFonts w:hint="cs"/>
          <w:rtl/>
        </w:rPr>
        <w:t xml:space="preserve"> </w:t>
      </w:r>
      <w:r w:rsidRPr="00A52585">
        <w:rPr>
          <w:rtl/>
        </w:rPr>
        <w:t>ولما كانت مصر بحمد الله من أعرق الاسلام إسلامية</w:t>
      </w:r>
      <w:r w:rsidR="00DB731D" w:rsidRPr="00A52585">
        <w:rPr>
          <w:rtl/>
        </w:rPr>
        <w:t>،</w:t>
      </w:r>
      <w:r w:rsidRPr="00A52585">
        <w:rPr>
          <w:rtl/>
        </w:rPr>
        <w:t xml:space="preserve"> واقواها </w:t>
      </w:r>
      <w:proofErr w:type="spellStart"/>
      <w:r w:rsidRPr="00A52585">
        <w:rPr>
          <w:rtl/>
        </w:rPr>
        <w:t>إيماناص</w:t>
      </w:r>
      <w:proofErr w:type="spellEnd"/>
      <w:r w:rsidRPr="00A52585">
        <w:rPr>
          <w:rtl/>
        </w:rPr>
        <w:t xml:space="preserve"> بالله وبالقرآن وبما جاء به الرسول صلوات الله وسلامه عليه</w:t>
      </w:r>
      <w:r w:rsidR="00DB731D" w:rsidRPr="00A52585">
        <w:rPr>
          <w:rtl/>
        </w:rPr>
        <w:t>،</w:t>
      </w:r>
      <w:r w:rsidRPr="00A52585">
        <w:rPr>
          <w:rtl/>
        </w:rPr>
        <w:t xml:space="preserve"> لم تكن لتعير هذه الصيحات الصاخبة آذاناً صاغية</w:t>
      </w:r>
      <w:r w:rsidR="00DB731D" w:rsidRPr="00A52585">
        <w:rPr>
          <w:rtl/>
        </w:rPr>
        <w:t>،</w:t>
      </w:r>
      <w:r w:rsidRPr="00A52585">
        <w:rPr>
          <w:rtl/>
        </w:rPr>
        <w:t xml:space="preserve"> ولم تكن لتلتفت إلى ما ينظم هؤلاء من حملات إجرامية</w:t>
      </w:r>
      <w:r w:rsidR="00DB731D" w:rsidRPr="00A52585">
        <w:rPr>
          <w:rtl/>
        </w:rPr>
        <w:t>،</w:t>
      </w:r>
      <w:r w:rsidR="0002035C" w:rsidRPr="00A52585">
        <w:rPr>
          <w:rFonts w:hint="cs"/>
          <w:rtl/>
        </w:rPr>
        <w:t xml:space="preserve"> </w:t>
      </w:r>
      <w:r w:rsidRPr="00A52585">
        <w:rPr>
          <w:rtl/>
        </w:rPr>
        <w:t>وأخرى لسانية يؤجرون لها من ينبح العلماء</w:t>
      </w:r>
      <w:r w:rsidR="00DB731D" w:rsidRPr="00A52585">
        <w:rPr>
          <w:rtl/>
        </w:rPr>
        <w:t>،</w:t>
      </w:r>
      <w:r w:rsidRPr="00A52585">
        <w:rPr>
          <w:rtl/>
        </w:rPr>
        <w:t xml:space="preserve"> ويقع في اعراضهم</w:t>
      </w:r>
      <w:r w:rsidR="00DB731D" w:rsidRPr="00A52585">
        <w:rPr>
          <w:rtl/>
        </w:rPr>
        <w:t>،</w:t>
      </w:r>
      <w:r w:rsidRPr="00A52585">
        <w:rPr>
          <w:rtl/>
        </w:rPr>
        <w:t xml:space="preserve"> ويتهم اعتقادهم</w:t>
      </w:r>
      <w:r w:rsidR="00DB731D" w:rsidRPr="00A52585">
        <w:rPr>
          <w:rtl/>
        </w:rPr>
        <w:t>،</w:t>
      </w:r>
      <w:r w:rsidRPr="00A52585">
        <w:rPr>
          <w:rtl/>
        </w:rPr>
        <w:t xml:space="preserve"> وينكر عليهم ما عمرت </w:t>
      </w:r>
      <w:proofErr w:type="spellStart"/>
      <w:r w:rsidRPr="00A52585">
        <w:rPr>
          <w:rtl/>
        </w:rPr>
        <w:t>القلوبهم</w:t>
      </w:r>
      <w:proofErr w:type="spellEnd"/>
      <w:r w:rsidRPr="00A52585">
        <w:rPr>
          <w:rtl/>
        </w:rPr>
        <w:t xml:space="preserve"> من إيمان صادق</w:t>
      </w:r>
      <w:r w:rsidR="00DB731D" w:rsidRPr="00A52585">
        <w:rPr>
          <w:rtl/>
        </w:rPr>
        <w:t>،</w:t>
      </w:r>
      <w:r w:rsidRPr="00A52585">
        <w:rPr>
          <w:rtl/>
        </w:rPr>
        <w:t xml:space="preserve"> ويقين ثابت</w:t>
      </w:r>
      <w:r w:rsidR="00DB731D" w:rsidRPr="00A52585">
        <w:rPr>
          <w:rtl/>
        </w:rPr>
        <w:t>،</w:t>
      </w:r>
      <w:r w:rsidRPr="00A52585">
        <w:rPr>
          <w:rtl/>
        </w:rPr>
        <w:t xml:space="preserve"> وما تلبس به جوارحهم من الاعمال التي تعبدهم الله بها</w:t>
      </w:r>
      <w:r w:rsidR="00DB731D" w:rsidRPr="00A52585">
        <w:rPr>
          <w:rtl/>
        </w:rPr>
        <w:t>،</w:t>
      </w:r>
      <w:r w:rsidRPr="00A52585">
        <w:rPr>
          <w:rtl/>
        </w:rPr>
        <w:t xml:space="preserve"> وكلفهم بأدائها</w:t>
      </w:r>
      <w:r w:rsidR="00DB731D" w:rsidRPr="00A52585">
        <w:rPr>
          <w:rtl/>
        </w:rPr>
        <w:t>،</w:t>
      </w:r>
      <w:r w:rsidRPr="00A52585">
        <w:rPr>
          <w:rFonts w:hint="cs"/>
          <w:rtl/>
        </w:rPr>
        <w:t xml:space="preserve"> </w:t>
      </w:r>
      <w:r w:rsidRPr="00A52585">
        <w:rPr>
          <w:rtl/>
        </w:rPr>
        <w:t xml:space="preserve">ويوضح لك لون </w:t>
      </w:r>
      <w:proofErr w:type="spellStart"/>
      <w:r w:rsidRPr="00A52585">
        <w:rPr>
          <w:rtl/>
        </w:rPr>
        <w:t>اتجهاههم</w:t>
      </w:r>
      <w:proofErr w:type="spellEnd"/>
      <w:r w:rsidRPr="00A52585">
        <w:rPr>
          <w:rtl/>
        </w:rPr>
        <w:t xml:space="preserve"> هذا ما كتبه صاحب مقال </w:t>
      </w:r>
      <w:r w:rsidR="0002035C" w:rsidRPr="00A52585">
        <w:rPr>
          <w:rtl/>
        </w:rPr>
        <w:t>(</w:t>
      </w:r>
      <w:r w:rsidRPr="00A52585">
        <w:rPr>
          <w:rtl/>
        </w:rPr>
        <w:t>الوثنية في مصر</w:t>
      </w:r>
      <w:r w:rsidR="0002035C" w:rsidRPr="00A52585">
        <w:rPr>
          <w:rtl/>
        </w:rPr>
        <w:t>)</w:t>
      </w:r>
      <w:r w:rsidRPr="00A52585">
        <w:rPr>
          <w:rtl/>
        </w:rPr>
        <w:t xml:space="preserve"> بالعدد نفسه</w:t>
      </w:r>
      <w:r w:rsidR="00DB731D" w:rsidRPr="00A52585">
        <w:rPr>
          <w:rtl/>
        </w:rPr>
        <w:t>،</w:t>
      </w:r>
      <w:r w:rsidRPr="00A52585">
        <w:rPr>
          <w:rtl/>
        </w:rPr>
        <w:t xml:space="preserve"> فهو</w:t>
      </w:r>
      <w:r w:rsidRPr="00A52585">
        <w:rPr>
          <w:rFonts w:hint="cs"/>
          <w:rtl/>
        </w:rPr>
        <w:t xml:space="preserve"> </w:t>
      </w:r>
      <w:r w:rsidRPr="00A52585">
        <w:rPr>
          <w:rtl/>
        </w:rPr>
        <w:t>يقول</w:t>
      </w:r>
      <w:r w:rsidR="0002035C" w:rsidRPr="00A52585">
        <w:rPr>
          <w:rtl/>
        </w:rPr>
        <w:t>:</w:t>
      </w:r>
      <w:r w:rsidRPr="00A52585">
        <w:rPr>
          <w:rtl/>
        </w:rPr>
        <w:t xml:space="preserve"> " لقد استفاضت الوثنية في بلادنا حتى دخلت كل بيت</w:t>
      </w:r>
      <w:r w:rsidR="00DB731D" w:rsidRPr="00A52585">
        <w:rPr>
          <w:rtl/>
        </w:rPr>
        <w:t>،</w:t>
      </w:r>
      <w:r w:rsidRPr="00A52585">
        <w:rPr>
          <w:rtl/>
        </w:rPr>
        <w:t xml:space="preserve"> وشملت كل نفس</w:t>
      </w:r>
      <w:r w:rsidR="00DB731D" w:rsidRPr="00A52585">
        <w:rPr>
          <w:rtl/>
        </w:rPr>
        <w:t>،</w:t>
      </w:r>
      <w:r w:rsidRPr="00A52585">
        <w:rPr>
          <w:rtl/>
        </w:rPr>
        <w:t xml:space="preserve"> فأينما وليت وجهك ألفيت صنماً قائماً يهرع إليه من يزعمون أنهم مسلمون في حاجاتهم متوجهين في دعواتهم تلقاءه "</w:t>
      </w:r>
      <w:r w:rsidR="00DB731D" w:rsidRPr="00A52585">
        <w:rPr>
          <w:rtl/>
        </w:rPr>
        <w:t>،</w:t>
      </w:r>
      <w:r w:rsidRPr="00A52585">
        <w:rPr>
          <w:rFonts w:hint="cs"/>
          <w:rtl/>
        </w:rPr>
        <w:t xml:space="preserve"> </w:t>
      </w:r>
      <w:r w:rsidRPr="00A52585">
        <w:rPr>
          <w:rtl/>
        </w:rPr>
        <w:t xml:space="preserve">فهذا رجل </w:t>
      </w:r>
      <w:proofErr w:type="spellStart"/>
      <w:r w:rsidRPr="00A52585">
        <w:rPr>
          <w:rtl/>
        </w:rPr>
        <w:t>مصرى</w:t>
      </w:r>
      <w:proofErr w:type="spellEnd"/>
      <w:r w:rsidRPr="00A52585">
        <w:rPr>
          <w:rtl/>
        </w:rPr>
        <w:t xml:space="preserve"> </w:t>
      </w:r>
      <w:proofErr w:type="spellStart"/>
      <w:r w:rsidRPr="00A52585">
        <w:rPr>
          <w:rtl/>
        </w:rPr>
        <w:t>منصورى</w:t>
      </w:r>
      <w:proofErr w:type="spellEnd"/>
      <w:r w:rsidRPr="00A52585">
        <w:rPr>
          <w:rtl/>
        </w:rPr>
        <w:t xml:space="preserve"> </w:t>
      </w:r>
      <w:r w:rsidRPr="00A52585">
        <w:rPr>
          <w:rFonts w:hint="cs"/>
          <w:rtl/>
        </w:rPr>
        <w:t>[</w:t>
      </w:r>
      <w:r w:rsidRPr="00A52585">
        <w:rPr>
          <w:rtl/>
        </w:rPr>
        <w:t xml:space="preserve">هو محمود </w:t>
      </w:r>
      <w:proofErr w:type="spellStart"/>
      <w:r w:rsidRPr="00A52585">
        <w:rPr>
          <w:rtl/>
        </w:rPr>
        <w:t>أبورية</w:t>
      </w:r>
      <w:proofErr w:type="spellEnd"/>
      <w:r w:rsidRPr="00A52585">
        <w:rPr>
          <w:rtl/>
        </w:rPr>
        <w:t xml:space="preserve"> المعروف </w:t>
      </w:r>
      <w:proofErr w:type="spellStart"/>
      <w:r w:rsidRPr="00A52585">
        <w:rPr>
          <w:rtl/>
        </w:rPr>
        <w:t>بعداونه</w:t>
      </w:r>
      <w:proofErr w:type="spellEnd"/>
      <w:r w:rsidRPr="00A52585">
        <w:rPr>
          <w:rtl/>
        </w:rPr>
        <w:t xml:space="preserve"> على السنة النبوية</w:t>
      </w:r>
      <w:r w:rsidR="00DB731D" w:rsidRPr="00A52585">
        <w:rPr>
          <w:rtl/>
        </w:rPr>
        <w:t>،</w:t>
      </w:r>
      <w:r w:rsidRPr="00A52585">
        <w:rPr>
          <w:rtl/>
        </w:rPr>
        <w:t xml:space="preserve"> وهكذا يكون أدعياء السلفية في كل عصر ومصر</w:t>
      </w:r>
      <w:r w:rsidR="00DB731D" w:rsidRPr="00A52585">
        <w:rPr>
          <w:rtl/>
        </w:rPr>
        <w:t>،</w:t>
      </w:r>
      <w:r w:rsidRPr="00A52585">
        <w:rPr>
          <w:rtl/>
        </w:rPr>
        <w:t xml:space="preserve"> ولله في خلقه شؤون</w:t>
      </w:r>
      <w:r w:rsidR="00F95886" w:rsidRPr="00A52585">
        <w:rPr>
          <w:rtl/>
        </w:rPr>
        <w:t>؟</w:t>
      </w:r>
      <w:r w:rsidRPr="00A52585">
        <w:rPr>
          <w:rtl/>
        </w:rPr>
        <w:t>!!</w:t>
      </w:r>
      <w:r w:rsidR="0002035C" w:rsidRPr="00A52585">
        <w:rPr>
          <w:rFonts w:hint="cs"/>
          <w:rtl/>
        </w:rPr>
        <w:t>]</w:t>
      </w:r>
      <w:r w:rsidR="00DB731D" w:rsidRPr="00A52585">
        <w:rPr>
          <w:rFonts w:hint="cs"/>
          <w:rtl/>
        </w:rPr>
        <w:t>،</w:t>
      </w:r>
      <w:r w:rsidRPr="00A52585">
        <w:rPr>
          <w:rFonts w:hint="cs"/>
          <w:rtl/>
        </w:rPr>
        <w:t xml:space="preserve"> </w:t>
      </w:r>
      <w:r w:rsidRPr="00A52585">
        <w:rPr>
          <w:rtl/>
        </w:rPr>
        <w:t>وهو أدرى ببلده وأعرف بها من غيره من أهل الاقطار الاسلامية الاخرى</w:t>
      </w:r>
      <w:r w:rsidR="00DB731D" w:rsidRPr="00A52585">
        <w:rPr>
          <w:rtl/>
        </w:rPr>
        <w:t>،</w:t>
      </w:r>
      <w:r w:rsidRPr="00A52585">
        <w:rPr>
          <w:rtl/>
        </w:rPr>
        <w:t xml:space="preserve"> قد سجل بلسان هذه الدعاية الخرقاء المجرمة على مصر أن الوثنية فيها منتشرة في كل بيت</w:t>
      </w:r>
      <w:r w:rsidR="00DB731D" w:rsidRPr="00A52585">
        <w:rPr>
          <w:rtl/>
        </w:rPr>
        <w:t>،</w:t>
      </w:r>
      <w:r w:rsidRPr="00A52585">
        <w:rPr>
          <w:rtl/>
        </w:rPr>
        <w:t xml:space="preserve"> قائمة بكل نفس</w:t>
      </w:r>
      <w:r w:rsidR="00DB731D" w:rsidRPr="00A52585">
        <w:rPr>
          <w:rtl/>
        </w:rPr>
        <w:t>،</w:t>
      </w:r>
      <w:r w:rsidRPr="00A52585">
        <w:rPr>
          <w:rtl/>
        </w:rPr>
        <w:t xml:space="preserve"> وأنك اينما وجهت ألفيت صنما ًقائما يهرعون إليه </w:t>
      </w:r>
      <w:proofErr w:type="spellStart"/>
      <w:r w:rsidRPr="00A52585">
        <w:rPr>
          <w:rtl/>
        </w:rPr>
        <w:t>يستمطرونه</w:t>
      </w:r>
      <w:proofErr w:type="spellEnd"/>
      <w:r w:rsidRPr="00A52585">
        <w:rPr>
          <w:rtl/>
        </w:rPr>
        <w:t xml:space="preserve"> حاجاتهم</w:t>
      </w:r>
      <w:r w:rsidR="00DB731D" w:rsidRPr="00A52585">
        <w:rPr>
          <w:rtl/>
        </w:rPr>
        <w:t>،</w:t>
      </w:r>
      <w:r w:rsidRPr="00A52585">
        <w:rPr>
          <w:rtl/>
        </w:rPr>
        <w:t xml:space="preserve"> ويشركونه مع الله في </w:t>
      </w:r>
      <w:proofErr w:type="spellStart"/>
      <w:r w:rsidRPr="00A52585">
        <w:rPr>
          <w:rtl/>
        </w:rPr>
        <w:t>عباداتهو</w:t>
      </w:r>
      <w:proofErr w:type="spellEnd"/>
      <w:r w:rsidRPr="00A52585">
        <w:rPr>
          <w:rtl/>
        </w:rPr>
        <w:t>، ويخصونه بقرابينهم وقراباتهم</w:t>
      </w:r>
      <w:r w:rsidR="00F95886" w:rsidRPr="00A52585">
        <w:rPr>
          <w:rtl/>
        </w:rPr>
        <w:t>!</w:t>
      </w:r>
      <w:r w:rsidR="00DB731D" w:rsidRPr="00A52585">
        <w:rPr>
          <w:rtl/>
        </w:rPr>
        <w:t>،</w:t>
      </w:r>
      <w:r w:rsidRPr="00A52585">
        <w:rPr>
          <w:rFonts w:hint="cs"/>
          <w:rtl/>
        </w:rPr>
        <w:t xml:space="preserve"> </w:t>
      </w:r>
      <w:r w:rsidRPr="00A52585">
        <w:rPr>
          <w:rtl/>
        </w:rPr>
        <w:t>فأين هذه الامة المصرية الوثنية</w:t>
      </w:r>
      <w:r w:rsidR="00F95886" w:rsidRPr="00A52585">
        <w:rPr>
          <w:rtl/>
        </w:rPr>
        <w:t>؟</w:t>
      </w:r>
      <w:r w:rsidRPr="00A52585">
        <w:rPr>
          <w:rtl/>
        </w:rPr>
        <w:t xml:space="preserve"> </w:t>
      </w:r>
      <w:proofErr w:type="spellStart"/>
      <w:r w:rsidRPr="00A52585">
        <w:rPr>
          <w:rtl/>
        </w:rPr>
        <w:t>أهى</w:t>
      </w:r>
      <w:proofErr w:type="spellEnd"/>
      <w:r w:rsidRPr="00A52585">
        <w:rPr>
          <w:rtl/>
        </w:rPr>
        <w:t xml:space="preserve"> في مخيلة هذا الداعية الجديد</w:t>
      </w:r>
      <w:r w:rsidR="00DB731D" w:rsidRPr="00A52585">
        <w:rPr>
          <w:rtl/>
        </w:rPr>
        <w:t>،</w:t>
      </w:r>
      <w:r w:rsidRPr="00A52585">
        <w:rPr>
          <w:rtl/>
        </w:rPr>
        <w:t xml:space="preserve"> أم هي مما أوحى به داعيتهم الاكبر</w:t>
      </w:r>
      <w:r w:rsidR="00DB731D" w:rsidRPr="00A52585">
        <w:rPr>
          <w:rtl/>
        </w:rPr>
        <w:t>،</w:t>
      </w:r>
      <w:r w:rsidRPr="00A52585">
        <w:rPr>
          <w:rtl/>
        </w:rPr>
        <w:t xml:space="preserve"> ذلك </w:t>
      </w:r>
      <w:proofErr w:type="spellStart"/>
      <w:r w:rsidRPr="00A52585">
        <w:rPr>
          <w:rtl/>
        </w:rPr>
        <w:t>السلفى</w:t>
      </w:r>
      <w:proofErr w:type="spellEnd"/>
      <w:r w:rsidRPr="00A52585">
        <w:rPr>
          <w:rtl/>
        </w:rPr>
        <w:t xml:space="preserve"> الظريف</w:t>
      </w:r>
      <w:r w:rsidR="00DB731D" w:rsidRPr="00A52585">
        <w:rPr>
          <w:rtl/>
        </w:rPr>
        <w:t>،</w:t>
      </w:r>
      <w:r w:rsidRPr="00A52585">
        <w:rPr>
          <w:rtl/>
        </w:rPr>
        <w:t xml:space="preserve"> </w:t>
      </w:r>
      <w:proofErr w:type="spellStart"/>
      <w:r w:rsidRPr="00A52585">
        <w:rPr>
          <w:rtl/>
        </w:rPr>
        <w:t>ذوالعقل</w:t>
      </w:r>
      <w:proofErr w:type="spellEnd"/>
      <w:r w:rsidRPr="00A52585">
        <w:rPr>
          <w:rtl/>
        </w:rPr>
        <w:t xml:space="preserve"> الحصيف</w:t>
      </w:r>
      <w:r w:rsidR="00DB731D" w:rsidRPr="00A52585">
        <w:rPr>
          <w:rtl/>
        </w:rPr>
        <w:t>،</w:t>
      </w:r>
      <w:r w:rsidRPr="00A52585">
        <w:rPr>
          <w:rtl/>
        </w:rPr>
        <w:t xml:space="preserve"> والرأس الخفيف</w:t>
      </w:r>
      <w:r w:rsidR="00DB731D" w:rsidRPr="00A52585">
        <w:rPr>
          <w:rtl/>
        </w:rPr>
        <w:t>،</w:t>
      </w:r>
      <w:r w:rsidRPr="00A52585">
        <w:rPr>
          <w:rtl/>
        </w:rPr>
        <w:t xml:space="preserve"> الذى يشبه في حجمه رأس حية رقطاء</w:t>
      </w:r>
      <w:r w:rsidR="00DB731D" w:rsidRPr="00A52585">
        <w:rPr>
          <w:rtl/>
        </w:rPr>
        <w:t>،</w:t>
      </w:r>
      <w:r w:rsidRPr="00A52585">
        <w:rPr>
          <w:rtl/>
        </w:rPr>
        <w:t xml:space="preserve"> ركب فيها عقل امرأه خرقاء</w:t>
      </w:r>
      <w:r w:rsidR="00DB731D" w:rsidRPr="00A52585">
        <w:rPr>
          <w:rtl/>
        </w:rPr>
        <w:t>،</w:t>
      </w:r>
      <w:r w:rsidRPr="00A52585">
        <w:rPr>
          <w:rtl/>
        </w:rPr>
        <w:t xml:space="preserve"> وخلع عليها </w:t>
      </w:r>
      <w:proofErr w:type="spellStart"/>
      <w:r w:rsidRPr="00A52585">
        <w:rPr>
          <w:rtl/>
        </w:rPr>
        <w:t>زهوحرباء</w:t>
      </w:r>
      <w:proofErr w:type="spellEnd"/>
      <w:r w:rsidR="00DB731D" w:rsidRPr="00A52585">
        <w:rPr>
          <w:rtl/>
        </w:rPr>
        <w:t>،</w:t>
      </w:r>
      <w:r w:rsidRPr="00A52585">
        <w:rPr>
          <w:rtl/>
        </w:rPr>
        <w:t xml:space="preserve"> </w:t>
      </w:r>
      <w:proofErr w:type="spellStart"/>
      <w:r w:rsidRPr="00A52585">
        <w:rPr>
          <w:rtl/>
        </w:rPr>
        <w:t>فهى</w:t>
      </w:r>
      <w:proofErr w:type="spellEnd"/>
      <w:r w:rsidRPr="00A52585">
        <w:rPr>
          <w:rtl/>
        </w:rPr>
        <w:t xml:space="preserve"> </w:t>
      </w:r>
      <w:proofErr w:type="spellStart"/>
      <w:r w:rsidRPr="00A52585">
        <w:rPr>
          <w:rtl/>
        </w:rPr>
        <w:t>تتلووتتلون</w:t>
      </w:r>
      <w:proofErr w:type="spellEnd"/>
      <w:r w:rsidR="00DB731D" w:rsidRPr="00A52585">
        <w:rPr>
          <w:rtl/>
        </w:rPr>
        <w:t>،</w:t>
      </w:r>
      <w:r w:rsidRPr="00A52585">
        <w:rPr>
          <w:rtl/>
        </w:rPr>
        <w:t xml:space="preserve"> وتتكسر </w:t>
      </w:r>
      <w:proofErr w:type="gramStart"/>
      <w:r w:rsidRPr="00A52585">
        <w:rPr>
          <w:rtl/>
        </w:rPr>
        <w:t>وتتغضن</w:t>
      </w:r>
      <w:r w:rsidR="00DB731D" w:rsidRPr="00A52585">
        <w:rPr>
          <w:rtl/>
        </w:rPr>
        <w:t>،</w:t>
      </w:r>
      <w:r w:rsidR="00897A24" w:rsidRPr="00A52585">
        <w:rPr>
          <w:rtl/>
        </w:rPr>
        <w:t>.</w:t>
      </w:r>
      <w:proofErr w:type="gramEnd"/>
      <w:r w:rsidRPr="00A52585">
        <w:rPr>
          <w:rtl/>
        </w:rPr>
        <w:t xml:space="preserve"> يا عجباً</w:t>
      </w:r>
      <w:r w:rsidR="00F95886" w:rsidRPr="00A52585">
        <w:rPr>
          <w:rtl/>
        </w:rPr>
        <w:t>!</w:t>
      </w:r>
      <w:r w:rsidRPr="00A52585">
        <w:rPr>
          <w:rtl/>
        </w:rPr>
        <w:t xml:space="preserve"> ما </w:t>
      </w:r>
      <w:proofErr w:type="gramStart"/>
      <w:r w:rsidRPr="00A52585">
        <w:rPr>
          <w:rtl/>
        </w:rPr>
        <w:t>الذى</w:t>
      </w:r>
      <w:proofErr w:type="gramEnd"/>
      <w:r w:rsidRPr="00A52585">
        <w:rPr>
          <w:rtl/>
        </w:rPr>
        <w:t xml:space="preserve"> حدا بكبيرهم هذه ورئيس تحريرهم أن </w:t>
      </w:r>
      <w:proofErr w:type="spellStart"/>
      <w:r w:rsidRPr="00A52585">
        <w:rPr>
          <w:rtl/>
        </w:rPr>
        <w:t>يتترس</w:t>
      </w:r>
      <w:proofErr w:type="spellEnd"/>
      <w:r w:rsidRPr="00A52585">
        <w:rPr>
          <w:rtl/>
        </w:rPr>
        <w:t xml:space="preserve"> </w:t>
      </w:r>
      <w:proofErr w:type="spellStart"/>
      <w:r w:rsidRPr="00A52585">
        <w:rPr>
          <w:rtl/>
        </w:rPr>
        <w:t>بالقصيمي</w:t>
      </w:r>
      <w:proofErr w:type="spellEnd"/>
      <w:r w:rsidRPr="00A52585">
        <w:rPr>
          <w:rtl/>
        </w:rPr>
        <w:t xml:space="preserve"> </w:t>
      </w:r>
      <w:proofErr w:type="spellStart"/>
      <w:r w:rsidRPr="00A52585">
        <w:rPr>
          <w:rtl/>
        </w:rPr>
        <w:t>والمنصورى</w:t>
      </w:r>
      <w:proofErr w:type="spellEnd"/>
      <w:r w:rsidRPr="00A52585">
        <w:rPr>
          <w:rtl/>
        </w:rPr>
        <w:t xml:space="preserve"> وفلان </w:t>
      </w:r>
      <w:proofErr w:type="spellStart"/>
      <w:r w:rsidRPr="00A52585">
        <w:rPr>
          <w:rtl/>
        </w:rPr>
        <w:t>وفلان</w:t>
      </w:r>
      <w:proofErr w:type="spellEnd"/>
      <w:r w:rsidR="00F95886" w:rsidRPr="00A52585">
        <w:rPr>
          <w:rtl/>
        </w:rPr>
        <w:t>!</w:t>
      </w:r>
      <w:r w:rsidRPr="00A52585">
        <w:rPr>
          <w:rtl/>
        </w:rPr>
        <w:t xml:space="preserve"> ويرسل على الناس أفاعيه وضواريه بين مستخف وسارب</w:t>
      </w:r>
      <w:r w:rsidR="00DB731D" w:rsidRPr="00A52585">
        <w:rPr>
          <w:rtl/>
        </w:rPr>
        <w:t>،</w:t>
      </w:r>
      <w:r w:rsidRPr="00A52585">
        <w:rPr>
          <w:rtl/>
        </w:rPr>
        <w:t xml:space="preserve"> وشاتم وثالب</w:t>
      </w:r>
      <w:r w:rsidR="00DB731D" w:rsidRPr="00A52585">
        <w:rPr>
          <w:rtl/>
        </w:rPr>
        <w:t>،</w:t>
      </w:r>
      <w:r w:rsidRPr="00A52585">
        <w:rPr>
          <w:rtl/>
        </w:rPr>
        <w:t xml:space="preserve"> وناهش </w:t>
      </w:r>
      <w:proofErr w:type="spellStart"/>
      <w:r w:rsidRPr="00A52585">
        <w:rPr>
          <w:rtl/>
        </w:rPr>
        <w:t>وناهس</w:t>
      </w:r>
      <w:proofErr w:type="spellEnd"/>
      <w:r w:rsidR="00DB731D" w:rsidRPr="00A52585">
        <w:rPr>
          <w:rtl/>
        </w:rPr>
        <w:t>،</w:t>
      </w:r>
      <w:r w:rsidRPr="00A52585">
        <w:rPr>
          <w:rtl/>
        </w:rPr>
        <w:t xml:space="preserve"> ومقطب وعابس</w:t>
      </w:r>
      <w:r w:rsidR="00DB731D" w:rsidRPr="00A52585">
        <w:rPr>
          <w:rtl/>
        </w:rPr>
        <w:t>،</w:t>
      </w:r>
      <w:r w:rsidRPr="00A52585">
        <w:rPr>
          <w:rtl/>
        </w:rPr>
        <w:t xml:space="preserve"> وبين عواء وزئير</w:t>
      </w:r>
      <w:r w:rsidR="00DB731D" w:rsidRPr="00A52585">
        <w:rPr>
          <w:rtl/>
        </w:rPr>
        <w:t>،</w:t>
      </w:r>
      <w:r w:rsidRPr="00A52585">
        <w:rPr>
          <w:rtl/>
        </w:rPr>
        <w:t xml:space="preserve"> ونباح</w:t>
      </w:r>
      <w:r w:rsidR="00DB731D" w:rsidRPr="00A52585">
        <w:rPr>
          <w:rtl/>
        </w:rPr>
        <w:t>،</w:t>
      </w:r>
      <w:r w:rsidRPr="00A52585">
        <w:rPr>
          <w:rtl/>
        </w:rPr>
        <w:t xml:space="preserve"> وهرير</w:t>
      </w:r>
      <w:r w:rsidR="00DB731D" w:rsidRPr="00A52585">
        <w:rPr>
          <w:rtl/>
        </w:rPr>
        <w:t>،</w:t>
      </w:r>
      <w:r w:rsidRPr="00A52585">
        <w:rPr>
          <w:rtl/>
        </w:rPr>
        <w:t xml:space="preserve"> ومواء</w:t>
      </w:r>
      <w:r w:rsidR="00DB731D" w:rsidRPr="00A52585">
        <w:rPr>
          <w:rtl/>
        </w:rPr>
        <w:t>،</w:t>
      </w:r>
      <w:r w:rsidRPr="00A52585">
        <w:rPr>
          <w:rtl/>
        </w:rPr>
        <w:t xml:space="preserve"> وصفير</w:t>
      </w:r>
      <w:r w:rsidR="00DB731D" w:rsidRPr="00A52585">
        <w:rPr>
          <w:rtl/>
        </w:rPr>
        <w:t>،</w:t>
      </w:r>
      <w:r w:rsidRPr="00A52585">
        <w:rPr>
          <w:rtl/>
        </w:rPr>
        <w:t xml:space="preserve"> ما هذه الضجة والجلبة</w:t>
      </w:r>
      <w:r w:rsidR="00F95886" w:rsidRPr="00A52585">
        <w:rPr>
          <w:rtl/>
        </w:rPr>
        <w:t>؟</w:t>
      </w:r>
      <w:r w:rsidR="0002035C" w:rsidRPr="00A52585">
        <w:rPr>
          <w:rFonts w:hint="cs"/>
          <w:rtl/>
        </w:rPr>
        <w:t xml:space="preserve"> </w:t>
      </w:r>
      <w:r w:rsidRPr="00A52585">
        <w:rPr>
          <w:rtl/>
        </w:rPr>
        <w:t xml:space="preserve">وما </w:t>
      </w:r>
      <w:proofErr w:type="gramStart"/>
      <w:r w:rsidRPr="00A52585">
        <w:rPr>
          <w:rtl/>
        </w:rPr>
        <w:t>الذى</w:t>
      </w:r>
      <w:proofErr w:type="gramEnd"/>
      <w:r w:rsidRPr="00A52585">
        <w:rPr>
          <w:rtl/>
        </w:rPr>
        <w:t xml:space="preserve"> حدث أيها القوم</w:t>
      </w:r>
      <w:r w:rsidR="00F95886" w:rsidRPr="00A52585">
        <w:rPr>
          <w:rtl/>
        </w:rPr>
        <w:t>؟</w:t>
      </w:r>
      <w:r w:rsidRPr="00A52585">
        <w:rPr>
          <w:rtl/>
        </w:rPr>
        <w:t xml:space="preserve"> هذا صاحبكم الشيخ </w:t>
      </w:r>
      <w:proofErr w:type="spellStart"/>
      <w:r w:rsidRPr="00A52585">
        <w:rPr>
          <w:rtl/>
        </w:rPr>
        <w:t>أبورية</w:t>
      </w:r>
      <w:proofErr w:type="spellEnd"/>
      <w:r w:rsidRPr="00A52585">
        <w:rPr>
          <w:rtl/>
        </w:rPr>
        <w:t xml:space="preserve"> قد اعتزم أن </w:t>
      </w:r>
      <w:r w:rsidR="0002035C" w:rsidRPr="00A52585">
        <w:rPr>
          <w:rtl/>
        </w:rPr>
        <w:t>(</w:t>
      </w:r>
      <w:r w:rsidRPr="00A52585">
        <w:rPr>
          <w:rtl/>
        </w:rPr>
        <w:t>يشلح</w:t>
      </w:r>
      <w:r w:rsidR="0002035C" w:rsidRPr="00A52585">
        <w:rPr>
          <w:rtl/>
        </w:rPr>
        <w:t>)</w:t>
      </w:r>
      <w:r w:rsidRPr="00A52585">
        <w:rPr>
          <w:rtl/>
        </w:rPr>
        <w:t xml:space="preserve"> الاستاذ الكبير الشيخ الدجوى</w:t>
      </w:r>
      <w:r w:rsidR="00DB731D" w:rsidRPr="00A52585">
        <w:rPr>
          <w:rtl/>
        </w:rPr>
        <w:t>،</w:t>
      </w:r>
      <w:r w:rsidRPr="00A52585">
        <w:rPr>
          <w:rtl/>
        </w:rPr>
        <w:t xml:space="preserve"> </w:t>
      </w:r>
      <w:proofErr w:type="spellStart"/>
      <w:r w:rsidRPr="00A52585">
        <w:rPr>
          <w:rtl/>
        </w:rPr>
        <w:t>مستعدياً</w:t>
      </w:r>
      <w:proofErr w:type="spellEnd"/>
      <w:r w:rsidRPr="00A52585">
        <w:rPr>
          <w:rtl/>
        </w:rPr>
        <w:t xml:space="preserve"> عليه الشيخ الاكبر طلباً إليه أن يطرده من الازهر</w:t>
      </w:r>
      <w:r w:rsidR="00DB731D" w:rsidRPr="00A52585">
        <w:rPr>
          <w:rtl/>
        </w:rPr>
        <w:t>،</w:t>
      </w:r>
      <w:r w:rsidRPr="00A52585">
        <w:rPr>
          <w:rtl/>
        </w:rPr>
        <w:t xml:space="preserve"> وهذا بالطبع حسن وجميل</w:t>
      </w:r>
      <w:r w:rsidR="00DB731D" w:rsidRPr="00A52585">
        <w:rPr>
          <w:rtl/>
        </w:rPr>
        <w:t>،</w:t>
      </w:r>
      <w:r w:rsidRPr="00A52585">
        <w:rPr>
          <w:rtl/>
        </w:rPr>
        <w:t xml:space="preserve"> في عين كبيركم هذا الجالس على عرشه</w:t>
      </w:r>
      <w:r w:rsidR="00DB731D" w:rsidRPr="00A52585">
        <w:rPr>
          <w:rtl/>
        </w:rPr>
        <w:t>،</w:t>
      </w:r>
      <w:r w:rsidRPr="00A52585">
        <w:rPr>
          <w:rtl/>
        </w:rPr>
        <w:t xml:space="preserve"> عرش روما لا عرش بلقيس</w:t>
      </w:r>
      <w:r w:rsidR="00DB731D" w:rsidRPr="00A52585">
        <w:rPr>
          <w:rtl/>
        </w:rPr>
        <w:t>،</w:t>
      </w:r>
      <w:r w:rsidRPr="00A52585">
        <w:rPr>
          <w:rtl/>
        </w:rPr>
        <w:t xml:space="preserve"> ولا عرش إلهه المستقر على ظهر بعوضة</w:t>
      </w:r>
      <w:r w:rsidR="00DB731D" w:rsidRPr="00A52585">
        <w:rPr>
          <w:rtl/>
        </w:rPr>
        <w:t>،</w:t>
      </w:r>
      <w:r w:rsidRPr="00A52585">
        <w:rPr>
          <w:rtl/>
        </w:rPr>
        <w:t xml:space="preserve"> يوزع على الناس حظوظهم</w:t>
      </w:r>
      <w:r w:rsidR="00DB731D" w:rsidRPr="00A52585">
        <w:rPr>
          <w:rtl/>
        </w:rPr>
        <w:t>،</w:t>
      </w:r>
      <w:r w:rsidRPr="00A52585">
        <w:rPr>
          <w:rtl/>
        </w:rPr>
        <w:t xml:space="preserve"> من الإيمان </w:t>
      </w:r>
      <w:proofErr w:type="spellStart"/>
      <w:r w:rsidRPr="00A52585">
        <w:rPr>
          <w:rtl/>
        </w:rPr>
        <w:t>أوالكفر</w:t>
      </w:r>
      <w:proofErr w:type="spellEnd"/>
      <w:r w:rsidR="00DB731D" w:rsidRPr="00A52585">
        <w:rPr>
          <w:rtl/>
        </w:rPr>
        <w:t>،</w:t>
      </w:r>
      <w:r w:rsidRPr="00A52585">
        <w:rPr>
          <w:rtl/>
        </w:rPr>
        <w:t xml:space="preserve"> فهذا مؤمن وهذا كافر</w:t>
      </w:r>
      <w:r w:rsidR="00DB731D" w:rsidRPr="00A52585">
        <w:rPr>
          <w:rtl/>
        </w:rPr>
        <w:t>،</w:t>
      </w:r>
      <w:r w:rsidRPr="00A52585">
        <w:rPr>
          <w:rtl/>
        </w:rPr>
        <w:t xml:space="preserve"> وهذا صاحب سنن</w:t>
      </w:r>
      <w:r w:rsidR="00DB731D" w:rsidRPr="00A52585">
        <w:rPr>
          <w:rtl/>
        </w:rPr>
        <w:t>،</w:t>
      </w:r>
      <w:r w:rsidRPr="00A52585">
        <w:rPr>
          <w:rtl/>
        </w:rPr>
        <w:t xml:space="preserve"> وهذا عابد وثن</w:t>
      </w:r>
      <w:r w:rsidR="00DB731D" w:rsidRPr="00A52585">
        <w:rPr>
          <w:rtl/>
        </w:rPr>
        <w:t>،</w:t>
      </w:r>
      <w:r w:rsidRPr="00A52585">
        <w:rPr>
          <w:rFonts w:hint="cs"/>
          <w:rtl/>
        </w:rPr>
        <w:t xml:space="preserve"> </w:t>
      </w:r>
      <w:r w:rsidRPr="00A52585">
        <w:rPr>
          <w:rtl/>
        </w:rPr>
        <w:t xml:space="preserve">واسمع الشيخ </w:t>
      </w:r>
      <w:proofErr w:type="spellStart"/>
      <w:r w:rsidRPr="00A52585">
        <w:rPr>
          <w:rtl/>
        </w:rPr>
        <w:t>المنصورى</w:t>
      </w:r>
      <w:proofErr w:type="spellEnd"/>
      <w:r w:rsidRPr="00A52585">
        <w:rPr>
          <w:rtl/>
        </w:rPr>
        <w:t xml:space="preserve"> يقول</w:t>
      </w:r>
      <w:r w:rsidR="0002035C" w:rsidRPr="00A52585">
        <w:rPr>
          <w:rtl/>
        </w:rPr>
        <w:t>:</w:t>
      </w:r>
      <w:r w:rsidRPr="00A52585">
        <w:rPr>
          <w:rtl/>
        </w:rPr>
        <w:t xml:space="preserve"> " وبينما أهل الحق يصدعون بهذه الدعوة</w:t>
      </w:r>
      <w:r w:rsidR="00DB731D" w:rsidRPr="00A52585">
        <w:rPr>
          <w:rtl/>
        </w:rPr>
        <w:t>،</w:t>
      </w:r>
      <w:r w:rsidRPr="00A52585">
        <w:rPr>
          <w:rtl/>
        </w:rPr>
        <w:t xml:space="preserve"> إذا بهم يجدون من </w:t>
      </w:r>
      <w:r w:rsidRPr="00A52585">
        <w:rPr>
          <w:rtl/>
        </w:rPr>
        <w:lastRenderedPageBreak/>
        <w:t>يصد عن هذه السبيل</w:t>
      </w:r>
      <w:r w:rsidR="00DB731D" w:rsidRPr="00A52585">
        <w:rPr>
          <w:rtl/>
        </w:rPr>
        <w:t>،</w:t>
      </w:r>
      <w:r w:rsidRPr="00A52585">
        <w:rPr>
          <w:rtl/>
        </w:rPr>
        <w:t xml:space="preserve"> ولا من الجاهلين فحسب</w:t>
      </w:r>
      <w:r w:rsidR="00DB731D" w:rsidRPr="00A52585">
        <w:rPr>
          <w:rtl/>
        </w:rPr>
        <w:t>،</w:t>
      </w:r>
      <w:r w:rsidRPr="00A52585">
        <w:rPr>
          <w:rtl/>
        </w:rPr>
        <w:t xml:space="preserve"> ولكن</w:t>
      </w:r>
      <w:r w:rsidR="0002035C" w:rsidRPr="00A52585">
        <w:rPr>
          <w:rtl/>
        </w:rPr>
        <w:t xml:space="preserve"> </w:t>
      </w:r>
      <w:r w:rsidRPr="00A52585">
        <w:rPr>
          <w:rtl/>
        </w:rPr>
        <w:t>-</w:t>
      </w:r>
      <w:r w:rsidR="0002035C" w:rsidRPr="00A52585">
        <w:rPr>
          <w:rtl/>
        </w:rPr>
        <w:t xml:space="preserve"> </w:t>
      </w:r>
      <w:proofErr w:type="spellStart"/>
      <w:r w:rsidRPr="00A52585">
        <w:rPr>
          <w:rtl/>
        </w:rPr>
        <w:t>واحسرتاه</w:t>
      </w:r>
      <w:proofErr w:type="spellEnd"/>
      <w:r w:rsidR="0002035C" w:rsidRPr="00A52585">
        <w:rPr>
          <w:rtl/>
        </w:rPr>
        <w:t xml:space="preserve"> </w:t>
      </w:r>
      <w:r w:rsidRPr="00A52585">
        <w:rPr>
          <w:rtl/>
        </w:rPr>
        <w:t>-</w:t>
      </w:r>
      <w:r w:rsidR="0002035C" w:rsidRPr="00A52585">
        <w:rPr>
          <w:rtl/>
        </w:rPr>
        <w:t xml:space="preserve"> </w:t>
      </w:r>
      <w:r w:rsidRPr="00A52585">
        <w:rPr>
          <w:rtl/>
        </w:rPr>
        <w:t>من بين من يسمون أنفسهم كبار العلماء "</w:t>
      </w:r>
      <w:r w:rsidR="00DB731D" w:rsidRPr="00A52585">
        <w:rPr>
          <w:rtl/>
        </w:rPr>
        <w:t>،</w:t>
      </w:r>
      <w:r w:rsidRPr="00A52585">
        <w:rPr>
          <w:rFonts w:hint="cs"/>
          <w:rtl/>
        </w:rPr>
        <w:t xml:space="preserve"> </w:t>
      </w:r>
      <w:r w:rsidRPr="00A52585">
        <w:rPr>
          <w:rtl/>
        </w:rPr>
        <w:t>ويقول</w:t>
      </w:r>
      <w:r w:rsidR="0002035C" w:rsidRPr="00A52585">
        <w:rPr>
          <w:rtl/>
        </w:rPr>
        <w:t>:</w:t>
      </w:r>
      <w:r w:rsidRPr="00A52585">
        <w:rPr>
          <w:rtl/>
        </w:rPr>
        <w:t xml:space="preserve"> " لقد أصبحنا والله أضحوكة بين الامم بهذه الخرافات التي يدعو</w:t>
      </w:r>
      <w:r w:rsidRPr="00A52585">
        <w:rPr>
          <w:rFonts w:hint="cs"/>
          <w:rtl/>
        </w:rPr>
        <w:t xml:space="preserve"> </w:t>
      </w:r>
      <w:r w:rsidRPr="00A52585">
        <w:rPr>
          <w:rtl/>
        </w:rPr>
        <w:t>إليها ذلك الذى ينتسب إلى كبار علماء الازهر "</w:t>
      </w:r>
      <w:r w:rsidR="00DB731D" w:rsidRPr="00A52585">
        <w:rPr>
          <w:rtl/>
        </w:rPr>
        <w:t>،</w:t>
      </w:r>
      <w:r w:rsidR="0002035C" w:rsidRPr="00A52585">
        <w:rPr>
          <w:rFonts w:hint="cs"/>
          <w:rtl/>
        </w:rPr>
        <w:t xml:space="preserve"> </w:t>
      </w:r>
      <w:r w:rsidRPr="00A52585">
        <w:rPr>
          <w:rtl/>
        </w:rPr>
        <w:t xml:space="preserve">ويقول في الحديث الذى دار بينه وبين أخيه </w:t>
      </w:r>
      <w:proofErr w:type="spellStart"/>
      <w:r w:rsidRPr="00A52585">
        <w:rPr>
          <w:rtl/>
        </w:rPr>
        <w:t>البروتستاتى</w:t>
      </w:r>
      <w:proofErr w:type="spellEnd"/>
      <w:r w:rsidR="0002035C" w:rsidRPr="00A52585">
        <w:rPr>
          <w:rtl/>
        </w:rPr>
        <w:t>:</w:t>
      </w:r>
      <w:r w:rsidRPr="00A52585">
        <w:rPr>
          <w:rtl/>
        </w:rPr>
        <w:t xml:space="preserve"> " هل هذا الشيخ الذى أفتى بوجوب</w:t>
      </w:r>
      <w:r w:rsidRPr="00A52585">
        <w:rPr>
          <w:rFonts w:hint="cs"/>
          <w:rtl/>
        </w:rPr>
        <w:t xml:space="preserve"> </w:t>
      </w:r>
      <w:r w:rsidR="0002035C" w:rsidRPr="00A52585">
        <w:rPr>
          <w:rtl/>
        </w:rPr>
        <w:t>(</w:t>
      </w:r>
      <w:r w:rsidRPr="00A52585">
        <w:rPr>
          <w:rtl/>
        </w:rPr>
        <w:t>كذا</w:t>
      </w:r>
      <w:r w:rsidR="0002035C" w:rsidRPr="00A52585">
        <w:rPr>
          <w:rtl/>
        </w:rPr>
        <w:t>)</w:t>
      </w:r>
      <w:r w:rsidRPr="00A52585">
        <w:rPr>
          <w:rtl/>
        </w:rPr>
        <w:t xml:space="preserve"> التوسل يعمل في الاُزهر الآن أم هو خارج عنه</w:t>
      </w:r>
      <w:r w:rsidR="00F95886" w:rsidRPr="00A52585">
        <w:rPr>
          <w:rtl/>
        </w:rPr>
        <w:t>؟</w:t>
      </w:r>
      <w:r w:rsidRPr="00A52585">
        <w:rPr>
          <w:rtl/>
        </w:rPr>
        <w:t xml:space="preserve"> فقلت له</w:t>
      </w:r>
      <w:r w:rsidR="0002035C" w:rsidRPr="00A52585">
        <w:rPr>
          <w:rtl/>
        </w:rPr>
        <w:t>:</w:t>
      </w:r>
      <w:r w:rsidRPr="00A52585">
        <w:rPr>
          <w:rtl/>
        </w:rPr>
        <w:t xml:space="preserve"> إنه لا يزال يعمل في الازهر</w:t>
      </w:r>
      <w:r w:rsidR="00DB731D" w:rsidRPr="00A52585">
        <w:rPr>
          <w:rtl/>
        </w:rPr>
        <w:t>،</w:t>
      </w:r>
      <w:r w:rsidRPr="00A52585">
        <w:rPr>
          <w:rtl/>
        </w:rPr>
        <w:t xml:space="preserve"> </w:t>
      </w:r>
      <w:proofErr w:type="spellStart"/>
      <w:r w:rsidRPr="00A52585">
        <w:rPr>
          <w:rtl/>
        </w:rPr>
        <w:t>فأجابنى</w:t>
      </w:r>
      <w:proofErr w:type="spellEnd"/>
      <w:r w:rsidRPr="00A52585">
        <w:rPr>
          <w:rtl/>
        </w:rPr>
        <w:t xml:space="preserve"> أن هذا تناقض</w:t>
      </w:r>
      <w:r w:rsidR="00DB731D" w:rsidRPr="00A52585">
        <w:rPr>
          <w:rtl/>
        </w:rPr>
        <w:t>،</w:t>
      </w:r>
      <w:r w:rsidRPr="00A52585">
        <w:rPr>
          <w:rtl/>
        </w:rPr>
        <w:t xml:space="preserve"> وما دام يفتى في أمور تصادم أصول الدين مخالفاً في ذلك ما يقوله إمام الازهر</w:t>
      </w:r>
      <w:r w:rsidR="00DB731D" w:rsidRPr="00A52585">
        <w:rPr>
          <w:rtl/>
        </w:rPr>
        <w:t>،</w:t>
      </w:r>
      <w:r w:rsidR="0002035C" w:rsidRPr="00A52585">
        <w:rPr>
          <w:rFonts w:hint="cs"/>
          <w:rtl/>
        </w:rPr>
        <w:t xml:space="preserve"> </w:t>
      </w:r>
      <w:r w:rsidRPr="00A52585">
        <w:rPr>
          <w:rtl/>
        </w:rPr>
        <w:t xml:space="preserve">وبخاصة في مسألة عظيمة كهذه تتصل بأصل العقيدة فإنه يجب </w:t>
      </w:r>
      <w:proofErr w:type="spellStart"/>
      <w:r w:rsidRPr="00A52585">
        <w:rPr>
          <w:rtl/>
        </w:rPr>
        <w:t>اخراحه</w:t>
      </w:r>
      <w:proofErr w:type="spellEnd"/>
      <w:r w:rsidRPr="00A52585">
        <w:rPr>
          <w:rtl/>
        </w:rPr>
        <w:t xml:space="preserve"> من الاُزهر</w:t>
      </w:r>
      <w:r w:rsidR="00DB731D" w:rsidRPr="00A52585">
        <w:rPr>
          <w:rtl/>
        </w:rPr>
        <w:t>،</w:t>
      </w:r>
      <w:r w:rsidRPr="00A52585">
        <w:rPr>
          <w:rtl/>
        </w:rPr>
        <w:t xml:space="preserve"> وعندنا إذا خرج الاسيس تعاليم تخالف تعاليم الكنيسة فإنه يشلح ويطرد "</w:t>
      </w:r>
      <w:r w:rsidR="00DB731D" w:rsidRPr="00A52585">
        <w:rPr>
          <w:rtl/>
        </w:rPr>
        <w:t>،</w:t>
      </w:r>
      <w:r w:rsidRPr="00A52585">
        <w:rPr>
          <w:rFonts w:hint="cs"/>
          <w:rtl/>
        </w:rPr>
        <w:t xml:space="preserve"> </w:t>
      </w:r>
      <w:r w:rsidRPr="00A52585">
        <w:rPr>
          <w:rtl/>
        </w:rPr>
        <w:t>يا سبحان الله</w:t>
      </w:r>
      <w:r w:rsidR="00DB731D" w:rsidRPr="00A52585">
        <w:rPr>
          <w:rtl/>
        </w:rPr>
        <w:t>،</w:t>
      </w:r>
      <w:r w:rsidRPr="00A52585">
        <w:rPr>
          <w:rtl/>
        </w:rPr>
        <w:t xml:space="preserve"> هل مثل هذا الكلام ينشر في مجله إسلامية تعبر عن </w:t>
      </w:r>
      <w:proofErr w:type="spellStart"/>
      <w:r w:rsidRPr="00A52585">
        <w:rPr>
          <w:rtl/>
        </w:rPr>
        <w:t>راى</w:t>
      </w:r>
      <w:proofErr w:type="spellEnd"/>
      <w:r w:rsidRPr="00A52585">
        <w:rPr>
          <w:rtl/>
        </w:rPr>
        <w:t xml:space="preserve"> جماعة يرون أنه لا يصح أن ينتسب إلى الاسلام غيرهم</w:t>
      </w:r>
      <w:r w:rsidR="00F95886" w:rsidRPr="00A52585">
        <w:rPr>
          <w:rtl/>
        </w:rPr>
        <w:t>!</w:t>
      </w:r>
      <w:r w:rsidRPr="00A52585">
        <w:rPr>
          <w:rtl/>
        </w:rPr>
        <w:t xml:space="preserve">؟ وما بال هذا الداعية الاخرق يريد ان يفرض على مولانا الاُستاذ الاكبر أن يأخذ بالتعاليم الكنسية في الازهر </w:t>
      </w:r>
      <w:r w:rsidR="0002035C" w:rsidRPr="00A52585">
        <w:rPr>
          <w:rtl/>
        </w:rPr>
        <w:t>(</w:t>
      </w:r>
      <w:r w:rsidRPr="00A52585">
        <w:rPr>
          <w:rtl/>
        </w:rPr>
        <w:t>فيشلح</w:t>
      </w:r>
      <w:r w:rsidR="0002035C" w:rsidRPr="00A52585">
        <w:rPr>
          <w:rtl/>
        </w:rPr>
        <w:t>)</w:t>
      </w:r>
      <w:r w:rsidRPr="00A52585">
        <w:rPr>
          <w:rtl/>
        </w:rPr>
        <w:t xml:space="preserve"> ويطرد من شاء من اخوانه كبار العلماء إذا خالفوا أصلاً من أصول هذه الطائفة الغريبة من الازهر</w:t>
      </w:r>
      <w:r w:rsidR="00DB731D" w:rsidRPr="00A52585">
        <w:rPr>
          <w:rtl/>
        </w:rPr>
        <w:t>،</w:t>
      </w:r>
      <w:r w:rsidRPr="00A52585">
        <w:rPr>
          <w:rtl/>
        </w:rPr>
        <w:t xml:space="preserve"> وعن سائر البيئات المصرية</w:t>
      </w:r>
      <w:r w:rsidR="00DB731D" w:rsidRPr="00A52585">
        <w:rPr>
          <w:rtl/>
        </w:rPr>
        <w:t>،</w:t>
      </w:r>
      <w:r w:rsidRPr="00A52585">
        <w:rPr>
          <w:rFonts w:hint="cs"/>
          <w:rtl/>
        </w:rPr>
        <w:t xml:space="preserve"> </w:t>
      </w:r>
      <w:r w:rsidRPr="00A52585">
        <w:rPr>
          <w:rtl/>
        </w:rPr>
        <w:t xml:space="preserve">ثم اسمعه يقول مخاطباً أخاه </w:t>
      </w:r>
      <w:proofErr w:type="spellStart"/>
      <w:r w:rsidRPr="00A52585">
        <w:rPr>
          <w:rtl/>
        </w:rPr>
        <w:t>البروتستاتى</w:t>
      </w:r>
      <w:proofErr w:type="spellEnd"/>
      <w:r w:rsidRPr="00A52585">
        <w:rPr>
          <w:rtl/>
        </w:rPr>
        <w:t xml:space="preserve"> صاحب الحديث المزعوم</w:t>
      </w:r>
      <w:r w:rsidR="0002035C" w:rsidRPr="00A52585">
        <w:rPr>
          <w:rtl/>
        </w:rPr>
        <w:t>:</w:t>
      </w:r>
      <w:r w:rsidRPr="00A52585">
        <w:rPr>
          <w:rtl/>
        </w:rPr>
        <w:t xml:space="preserve"> " وها أنت ترى أهل الحجاز جميعاً قد أظهروا دين الله على حقيقته</w:t>
      </w:r>
      <w:r w:rsidR="00DB731D" w:rsidRPr="00A52585">
        <w:rPr>
          <w:rtl/>
        </w:rPr>
        <w:t>،</w:t>
      </w:r>
      <w:r w:rsidRPr="00A52585">
        <w:rPr>
          <w:rtl/>
        </w:rPr>
        <w:t xml:space="preserve"> واقتلعوا جذور الشرك من أصولها</w:t>
      </w:r>
      <w:r w:rsidR="00DB731D" w:rsidRPr="00A52585">
        <w:rPr>
          <w:rtl/>
        </w:rPr>
        <w:t>،</w:t>
      </w:r>
      <w:r w:rsidRPr="00A52585">
        <w:rPr>
          <w:rtl/>
        </w:rPr>
        <w:t xml:space="preserve"> فهدموا القباب وسووا القبور المشرفة "</w:t>
      </w:r>
      <w:r w:rsidR="00DB731D" w:rsidRPr="00A52585">
        <w:rPr>
          <w:rFonts w:hint="cs"/>
          <w:rtl/>
        </w:rPr>
        <w:t>،</w:t>
      </w:r>
      <w:r w:rsidRPr="00A52585">
        <w:rPr>
          <w:rFonts w:hint="cs"/>
          <w:rtl/>
        </w:rPr>
        <w:t xml:space="preserve"> </w:t>
      </w:r>
      <w:r w:rsidRPr="00A52585">
        <w:rPr>
          <w:rtl/>
        </w:rPr>
        <w:t>ونقول</w:t>
      </w:r>
      <w:r w:rsidR="0002035C" w:rsidRPr="00A52585">
        <w:rPr>
          <w:rtl/>
        </w:rPr>
        <w:t>:</w:t>
      </w:r>
      <w:r w:rsidRPr="00A52585">
        <w:rPr>
          <w:rtl/>
        </w:rPr>
        <w:t xml:space="preserve"> أنه إن فرض تحقيق غرض هؤلاء</w:t>
      </w:r>
      <w:r w:rsidR="00DB731D" w:rsidRPr="00A52585">
        <w:rPr>
          <w:rtl/>
        </w:rPr>
        <w:t>،</w:t>
      </w:r>
      <w:r w:rsidRPr="00A52585">
        <w:rPr>
          <w:rtl/>
        </w:rPr>
        <w:t xml:space="preserve"> وتمت هذه الامنية التي تجيش في بصدورهم</w:t>
      </w:r>
      <w:r w:rsidR="00DB731D" w:rsidRPr="00A52585">
        <w:rPr>
          <w:rtl/>
        </w:rPr>
        <w:t>،</w:t>
      </w:r>
      <w:r w:rsidRPr="00A52585">
        <w:rPr>
          <w:rtl/>
        </w:rPr>
        <w:t xml:space="preserve"> وسمحت الحكومات الاسلامية</w:t>
      </w:r>
      <w:r w:rsidR="0002035C" w:rsidRPr="00A52585">
        <w:rPr>
          <w:rtl/>
        </w:rPr>
        <w:t xml:space="preserve"> </w:t>
      </w:r>
      <w:r w:rsidRPr="00A52585">
        <w:rPr>
          <w:rtl/>
        </w:rPr>
        <w:t>-</w:t>
      </w:r>
      <w:r w:rsidR="0002035C" w:rsidRPr="00A52585">
        <w:rPr>
          <w:rtl/>
        </w:rPr>
        <w:t xml:space="preserve"> </w:t>
      </w:r>
      <w:r w:rsidRPr="00A52585">
        <w:rPr>
          <w:rtl/>
        </w:rPr>
        <w:t>وهذا ما لا يجوز في نظر العقلاء</w:t>
      </w:r>
      <w:r w:rsidR="00DB731D" w:rsidRPr="00A52585">
        <w:rPr>
          <w:rtl/>
        </w:rPr>
        <w:t>،</w:t>
      </w:r>
      <w:r w:rsidRPr="00A52585">
        <w:rPr>
          <w:rtl/>
        </w:rPr>
        <w:t xml:space="preserve"> وإن أساغته عقول المجانين</w:t>
      </w:r>
      <w:r w:rsidR="0002035C" w:rsidRPr="00A52585">
        <w:rPr>
          <w:rtl/>
        </w:rPr>
        <w:t xml:space="preserve"> </w:t>
      </w:r>
      <w:r w:rsidRPr="00A52585">
        <w:rPr>
          <w:rtl/>
        </w:rPr>
        <w:t>-</w:t>
      </w:r>
      <w:r w:rsidR="0002035C" w:rsidRPr="00A52585">
        <w:rPr>
          <w:rtl/>
        </w:rPr>
        <w:t xml:space="preserve"> </w:t>
      </w:r>
      <w:r w:rsidRPr="00A52585">
        <w:rPr>
          <w:rtl/>
        </w:rPr>
        <w:t>نقول " لو</w:t>
      </w:r>
      <w:r w:rsidRPr="00A52585">
        <w:rPr>
          <w:rFonts w:hint="cs"/>
          <w:rtl/>
        </w:rPr>
        <w:t xml:space="preserve"> </w:t>
      </w:r>
      <w:r w:rsidRPr="00A52585">
        <w:rPr>
          <w:rtl/>
        </w:rPr>
        <w:t>أن الحكومات الاسلامية في مصر وغيرها قامت بهدم القباب</w:t>
      </w:r>
      <w:r w:rsidR="00DB731D" w:rsidRPr="00A52585">
        <w:rPr>
          <w:rtl/>
        </w:rPr>
        <w:t>،</w:t>
      </w:r>
      <w:r w:rsidRPr="00A52585">
        <w:rPr>
          <w:rtl/>
        </w:rPr>
        <w:t xml:space="preserve"> ويتبع ذلك بالطبع هدم ما في المساجد الاثرية وغيرها من </w:t>
      </w:r>
      <w:proofErr w:type="spellStart"/>
      <w:r w:rsidRPr="00A52585">
        <w:rPr>
          <w:rtl/>
        </w:rPr>
        <w:t>مأذن</w:t>
      </w:r>
      <w:proofErr w:type="spellEnd"/>
      <w:r w:rsidRPr="00A52585">
        <w:rPr>
          <w:rtl/>
        </w:rPr>
        <w:t xml:space="preserve"> ومحاريب</w:t>
      </w:r>
      <w:r w:rsidR="00DB731D" w:rsidRPr="00A52585">
        <w:rPr>
          <w:rtl/>
        </w:rPr>
        <w:t>،</w:t>
      </w:r>
      <w:r w:rsidRPr="00A52585">
        <w:rPr>
          <w:rtl/>
        </w:rPr>
        <w:t xml:space="preserve"> وتم لهم ما يريدون أيضاً من هدم قبة المصطفى صلى الله عليه وسلم </w:t>
      </w:r>
      <w:r w:rsidR="0002035C" w:rsidRPr="00A52585">
        <w:rPr>
          <w:rFonts w:hint="cs"/>
          <w:sz w:val="24"/>
          <w:szCs w:val="24"/>
          <w:rtl/>
        </w:rPr>
        <w:t>[</w:t>
      </w:r>
      <w:r w:rsidRPr="00A52585">
        <w:rPr>
          <w:sz w:val="24"/>
          <w:szCs w:val="24"/>
          <w:rtl/>
        </w:rPr>
        <w:t xml:space="preserve">وهذا ما </w:t>
      </w:r>
      <w:proofErr w:type="spellStart"/>
      <w:r w:rsidRPr="00A52585">
        <w:rPr>
          <w:sz w:val="24"/>
          <w:szCs w:val="24"/>
          <w:rtl/>
        </w:rPr>
        <w:t>يدعوإليه</w:t>
      </w:r>
      <w:proofErr w:type="spellEnd"/>
      <w:r w:rsidRPr="00A52585">
        <w:rPr>
          <w:sz w:val="24"/>
          <w:szCs w:val="24"/>
          <w:rtl/>
        </w:rPr>
        <w:t xml:space="preserve"> </w:t>
      </w:r>
      <w:proofErr w:type="spellStart"/>
      <w:r w:rsidRPr="00A52585">
        <w:rPr>
          <w:sz w:val="24"/>
          <w:szCs w:val="24"/>
          <w:rtl/>
        </w:rPr>
        <w:t>المدعومقبل</w:t>
      </w:r>
      <w:proofErr w:type="spellEnd"/>
      <w:r w:rsidRPr="00A52585">
        <w:rPr>
          <w:sz w:val="24"/>
          <w:szCs w:val="24"/>
          <w:rtl/>
        </w:rPr>
        <w:t xml:space="preserve"> </w:t>
      </w:r>
      <w:proofErr w:type="spellStart"/>
      <w:r w:rsidRPr="00A52585">
        <w:rPr>
          <w:sz w:val="24"/>
          <w:szCs w:val="24"/>
          <w:rtl/>
        </w:rPr>
        <w:t>الوادعى</w:t>
      </w:r>
      <w:proofErr w:type="spellEnd"/>
      <w:r w:rsidRPr="00A52585">
        <w:rPr>
          <w:sz w:val="24"/>
          <w:szCs w:val="24"/>
          <w:rtl/>
        </w:rPr>
        <w:t xml:space="preserve"> أحد الغلاة المتطرفين</w:t>
      </w:r>
      <w:r w:rsidR="00DB731D" w:rsidRPr="00A52585">
        <w:rPr>
          <w:sz w:val="24"/>
          <w:szCs w:val="24"/>
          <w:rtl/>
        </w:rPr>
        <w:t>،</w:t>
      </w:r>
      <w:r w:rsidRPr="00A52585">
        <w:rPr>
          <w:sz w:val="24"/>
          <w:szCs w:val="24"/>
          <w:rtl/>
        </w:rPr>
        <w:t xml:space="preserve"> وقد كتب قلا ذلك رسالة التخرج من الجامعة </w:t>
      </w:r>
      <w:proofErr w:type="spellStart"/>
      <w:r w:rsidRPr="00A52585">
        <w:rPr>
          <w:sz w:val="24"/>
          <w:szCs w:val="24"/>
          <w:rtl/>
        </w:rPr>
        <w:t>الأسلامية</w:t>
      </w:r>
      <w:proofErr w:type="spellEnd"/>
      <w:r w:rsidRPr="00A52585">
        <w:rPr>
          <w:sz w:val="24"/>
          <w:szCs w:val="24"/>
          <w:rtl/>
        </w:rPr>
        <w:t xml:space="preserve"> بإشراف حماد </w:t>
      </w:r>
      <w:proofErr w:type="spellStart"/>
      <w:r w:rsidRPr="00A52585">
        <w:rPr>
          <w:sz w:val="24"/>
          <w:szCs w:val="24"/>
          <w:rtl/>
        </w:rPr>
        <w:t>الأنصارى</w:t>
      </w:r>
      <w:proofErr w:type="spellEnd"/>
      <w:r w:rsidR="00DB731D" w:rsidRPr="00A52585">
        <w:rPr>
          <w:sz w:val="24"/>
          <w:szCs w:val="24"/>
          <w:rtl/>
        </w:rPr>
        <w:t>،</w:t>
      </w:r>
      <w:r w:rsidRPr="00A52585">
        <w:rPr>
          <w:sz w:val="24"/>
          <w:szCs w:val="24"/>
          <w:rtl/>
        </w:rPr>
        <w:t xml:space="preserve"> والأدهى من ذلك ما كتبه شمس </w:t>
      </w:r>
      <w:proofErr w:type="spellStart"/>
      <w:r w:rsidRPr="00A52585">
        <w:rPr>
          <w:sz w:val="24"/>
          <w:szCs w:val="24"/>
          <w:rtl/>
        </w:rPr>
        <w:t>الأفغانى</w:t>
      </w:r>
      <w:proofErr w:type="spellEnd"/>
      <w:r w:rsidRPr="00A52585">
        <w:rPr>
          <w:sz w:val="24"/>
          <w:szCs w:val="24"/>
          <w:rtl/>
        </w:rPr>
        <w:t xml:space="preserve"> المتوفى (سنة 1418</w:t>
      </w:r>
      <w:r w:rsidR="0002035C" w:rsidRPr="00A52585">
        <w:rPr>
          <w:sz w:val="24"/>
          <w:szCs w:val="24"/>
          <w:rtl/>
        </w:rPr>
        <w:t>)</w:t>
      </w:r>
      <w:r w:rsidRPr="00A52585">
        <w:rPr>
          <w:sz w:val="24"/>
          <w:szCs w:val="24"/>
          <w:rtl/>
        </w:rPr>
        <w:t xml:space="preserve"> في رسالته</w:t>
      </w:r>
      <w:r w:rsidR="0002035C" w:rsidRPr="00A52585">
        <w:rPr>
          <w:sz w:val="24"/>
          <w:szCs w:val="24"/>
          <w:rtl/>
        </w:rPr>
        <w:t>:</w:t>
      </w:r>
      <w:r w:rsidRPr="00A52585">
        <w:rPr>
          <w:sz w:val="24"/>
          <w:szCs w:val="24"/>
          <w:rtl/>
        </w:rPr>
        <w:t xml:space="preserve"> " جهود الحنفية في مقاومة البدع </w:t>
      </w:r>
      <w:proofErr w:type="spellStart"/>
      <w:r w:rsidRPr="00A52585">
        <w:rPr>
          <w:sz w:val="24"/>
          <w:szCs w:val="24"/>
          <w:rtl/>
        </w:rPr>
        <w:t>القبورية</w:t>
      </w:r>
      <w:proofErr w:type="spellEnd"/>
      <w:r w:rsidRPr="00A52585">
        <w:rPr>
          <w:sz w:val="24"/>
          <w:szCs w:val="24"/>
          <w:rtl/>
        </w:rPr>
        <w:t xml:space="preserve"> " وهى رسالة دكتوراة في الجامعة الاسلامية بالمدينة المنورة أيضاً</w:t>
      </w:r>
      <w:r w:rsidR="00DB731D" w:rsidRPr="00A52585">
        <w:rPr>
          <w:sz w:val="24"/>
          <w:szCs w:val="24"/>
          <w:rtl/>
        </w:rPr>
        <w:t>،</w:t>
      </w:r>
      <w:r w:rsidRPr="00A52585">
        <w:rPr>
          <w:sz w:val="24"/>
          <w:szCs w:val="24"/>
          <w:rtl/>
        </w:rPr>
        <w:t xml:space="preserve"> تكشف عما يحمله هؤلاء من حقد دفين</w:t>
      </w:r>
      <w:r w:rsidR="00DB731D" w:rsidRPr="00A52585">
        <w:rPr>
          <w:sz w:val="24"/>
          <w:szCs w:val="24"/>
          <w:rtl/>
        </w:rPr>
        <w:t>،</w:t>
      </w:r>
      <w:r w:rsidRPr="00A52585">
        <w:rPr>
          <w:sz w:val="24"/>
          <w:szCs w:val="24"/>
          <w:rtl/>
        </w:rPr>
        <w:t xml:space="preserve"> وغل كمين</w:t>
      </w:r>
      <w:r w:rsidR="00DB731D" w:rsidRPr="00A52585">
        <w:rPr>
          <w:sz w:val="24"/>
          <w:szCs w:val="24"/>
          <w:rtl/>
        </w:rPr>
        <w:t>،</w:t>
      </w:r>
      <w:r w:rsidRPr="00A52585">
        <w:rPr>
          <w:sz w:val="24"/>
          <w:szCs w:val="24"/>
          <w:rtl/>
        </w:rPr>
        <w:t xml:space="preserve"> وسوء ظن بالمسلمين</w:t>
      </w:r>
      <w:r w:rsidR="00DB731D" w:rsidRPr="00A52585">
        <w:rPr>
          <w:sz w:val="24"/>
          <w:szCs w:val="24"/>
          <w:rtl/>
        </w:rPr>
        <w:t>،</w:t>
      </w:r>
      <w:r w:rsidRPr="00A52585">
        <w:rPr>
          <w:sz w:val="24"/>
          <w:szCs w:val="24"/>
          <w:rtl/>
        </w:rPr>
        <w:t xml:space="preserve"> وقد تبرأت الجامعة من الرسالة وصاحبها </w:t>
      </w:r>
      <w:r w:rsidR="0002035C" w:rsidRPr="00A52585">
        <w:rPr>
          <w:sz w:val="24"/>
          <w:szCs w:val="24"/>
          <w:rtl/>
        </w:rPr>
        <w:t>(</w:t>
      </w:r>
      <w:r w:rsidRPr="00A52585">
        <w:rPr>
          <w:sz w:val="24"/>
          <w:szCs w:val="24"/>
          <w:rtl/>
        </w:rPr>
        <w:t>إذ تبرأ الذين اتبعوا من الذين اتبعوا</w:t>
      </w:r>
      <w:r w:rsidR="0002035C" w:rsidRPr="00A52585">
        <w:rPr>
          <w:rFonts w:hint="cs"/>
          <w:sz w:val="24"/>
          <w:szCs w:val="24"/>
          <w:rtl/>
        </w:rPr>
        <w:t>)</w:t>
      </w:r>
      <w:r w:rsidR="0002035C" w:rsidRPr="00A52585">
        <w:rPr>
          <w:rFonts w:hint="cs"/>
          <w:rtl/>
        </w:rPr>
        <w:t>]</w:t>
      </w:r>
      <w:r w:rsidR="00DB731D" w:rsidRPr="00A52585">
        <w:rPr>
          <w:rFonts w:hint="cs"/>
          <w:rtl/>
        </w:rPr>
        <w:t>،</w:t>
      </w:r>
      <w:r w:rsidRPr="00A52585">
        <w:rPr>
          <w:rFonts w:hint="cs"/>
          <w:rtl/>
        </w:rPr>
        <w:t xml:space="preserve"> </w:t>
      </w:r>
      <w:r w:rsidRPr="00A52585">
        <w:rPr>
          <w:rtl/>
        </w:rPr>
        <w:t>حتى يعبد الله في الارض وحده دون هذه القباب</w:t>
      </w:r>
      <w:r w:rsidR="00DB731D" w:rsidRPr="00A52585">
        <w:rPr>
          <w:rtl/>
        </w:rPr>
        <w:t>،</w:t>
      </w:r>
      <w:r w:rsidRPr="00A52585">
        <w:rPr>
          <w:rtl/>
        </w:rPr>
        <w:t xml:space="preserve"> فسوف لا تتعلق نفوسنا بأحجارها</w:t>
      </w:r>
      <w:r w:rsidR="00DB731D" w:rsidRPr="00A52585">
        <w:rPr>
          <w:rtl/>
        </w:rPr>
        <w:t>،</w:t>
      </w:r>
      <w:r w:rsidRPr="00A52585">
        <w:rPr>
          <w:rtl/>
        </w:rPr>
        <w:t xml:space="preserve"> وسوف لا يجدون من قلب مسلم واحد حنيناً إليها من </w:t>
      </w:r>
      <w:proofErr w:type="spellStart"/>
      <w:r w:rsidRPr="00A52585">
        <w:rPr>
          <w:rtl/>
        </w:rPr>
        <w:t>ناحيوأنها</w:t>
      </w:r>
      <w:proofErr w:type="spellEnd"/>
      <w:r w:rsidRPr="00A52585">
        <w:rPr>
          <w:rtl/>
        </w:rPr>
        <w:t xml:space="preserve"> أحجار تعبد</w:t>
      </w:r>
      <w:r w:rsidR="00DB731D" w:rsidRPr="00A52585">
        <w:rPr>
          <w:rtl/>
        </w:rPr>
        <w:t>،</w:t>
      </w:r>
      <w:r w:rsidRPr="00A52585">
        <w:rPr>
          <w:rtl/>
        </w:rPr>
        <w:t xml:space="preserve"> وأصنام يصمد إليها في الحاجات وتقصد</w:t>
      </w:r>
      <w:r w:rsidR="00DB731D" w:rsidRPr="00A52585">
        <w:rPr>
          <w:rtl/>
        </w:rPr>
        <w:t>،</w:t>
      </w:r>
      <w:r w:rsidRPr="00A52585">
        <w:rPr>
          <w:rtl/>
        </w:rPr>
        <w:t xml:space="preserve"> </w:t>
      </w:r>
      <w:proofErr w:type="spellStart"/>
      <w:r w:rsidRPr="00A52585">
        <w:rPr>
          <w:rtl/>
        </w:rPr>
        <w:t>ولامن</w:t>
      </w:r>
      <w:proofErr w:type="spellEnd"/>
      <w:r w:rsidRPr="00A52585">
        <w:rPr>
          <w:rtl/>
        </w:rPr>
        <w:t xml:space="preserve"> حيث أن هذه القباب تحتوى معبودات للمصريين وغير المصريين</w:t>
      </w:r>
      <w:r w:rsidR="00DB731D" w:rsidRPr="00A52585">
        <w:rPr>
          <w:rtl/>
        </w:rPr>
        <w:t>،</w:t>
      </w:r>
      <w:r w:rsidRPr="00A52585">
        <w:rPr>
          <w:rtl/>
        </w:rPr>
        <w:t xml:space="preserve"> بل من حيث إنها تراث أثرى فنى خالد استنفد من العصور السابقة الفن والجهد والمال</w:t>
      </w:r>
      <w:r w:rsidR="00DB731D" w:rsidRPr="00A52585">
        <w:rPr>
          <w:rtl/>
        </w:rPr>
        <w:t>،</w:t>
      </w:r>
      <w:r w:rsidRPr="00A52585">
        <w:rPr>
          <w:rtl/>
        </w:rPr>
        <w:t xml:space="preserve"> أجل ليس بمعقول أن يحن المصريون إلى هذه الاحجار من حيث انها معبودات تقصد</w:t>
      </w:r>
      <w:r w:rsidR="00DB731D" w:rsidRPr="00A52585">
        <w:rPr>
          <w:rtl/>
        </w:rPr>
        <w:t>،</w:t>
      </w:r>
      <w:r w:rsidRPr="00A52585">
        <w:rPr>
          <w:rtl/>
        </w:rPr>
        <w:t xml:space="preserve"> وألا لاُقتنى كل منهم حجراً كما كان يفعل </w:t>
      </w:r>
      <w:proofErr w:type="spellStart"/>
      <w:r w:rsidRPr="00A52585">
        <w:rPr>
          <w:rtl/>
        </w:rPr>
        <w:lastRenderedPageBreak/>
        <w:t>مشركوا</w:t>
      </w:r>
      <w:proofErr w:type="spellEnd"/>
      <w:r w:rsidRPr="00A52585">
        <w:rPr>
          <w:rtl/>
        </w:rPr>
        <w:t xml:space="preserve"> العرب</w:t>
      </w:r>
      <w:r w:rsidR="00DB731D" w:rsidRPr="00A52585">
        <w:rPr>
          <w:rtl/>
        </w:rPr>
        <w:t>،</w:t>
      </w:r>
      <w:r w:rsidRPr="00A52585">
        <w:rPr>
          <w:rtl/>
        </w:rPr>
        <w:t xml:space="preserve"> يأخذ أحدهم الحجر من أحجار الحرم </w:t>
      </w:r>
      <w:proofErr w:type="spellStart"/>
      <w:r w:rsidRPr="00A52585">
        <w:rPr>
          <w:rtl/>
        </w:rPr>
        <w:t>يستصحبه</w:t>
      </w:r>
      <w:proofErr w:type="spellEnd"/>
      <w:r w:rsidRPr="00A52585">
        <w:rPr>
          <w:rtl/>
        </w:rPr>
        <w:t xml:space="preserve"> في أسفاره</w:t>
      </w:r>
      <w:r w:rsidR="00DB731D" w:rsidRPr="00A52585">
        <w:rPr>
          <w:rtl/>
        </w:rPr>
        <w:t>،</w:t>
      </w:r>
      <w:r w:rsidRPr="00A52585">
        <w:rPr>
          <w:rtl/>
        </w:rPr>
        <w:t xml:space="preserve"> ليطوف به متى شاء</w:t>
      </w:r>
      <w:r w:rsidR="00DB731D" w:rsidRPr="00A52585">
        <w:rPr>
          <w:rtl/>
        </w:rPr>
        <w:t>،</w:t>
      </w:r>
      <w:r w:rsidR="0002035C" w:rsidRPr="00A52585">
        <w:rPr>
          <w:rFonts w:hint="cs"/>
          <w:rtl/>
        </w:rPr>
        <w:t xml:space="preserve"> </w:t>
      </w:r>
      <w:r w:rsidRPr="00A52585">
        <w:rPr>
          <w:rtl/>
        </w:rPr>
        <w:t>إن المسلمين في جميع أقطار الارض</w:t>
      </w:r>
      <w:r w:rsidR="00DB731D" w:rsidRPr="00A52585">
        <w:rPr>
          <w:rtl/>
        </w:rPr>
        <w:t>،</w:t>
      </w:r>
      <w:r w:rsidRPr="00A52585">
        <w:rPr>
          <w:rtl/>
        </w:rPr>
        <w:t xml:space="preserve"> وبخاصة العلماء والمثقفون منهم ليست قلوبهم فارغة من حب النبي صلى الله عليه وسلم ولا من حب إخوانه من الاُنبياء والمرسلين</w:t>
      </w:r>
      <w:r w:rsidR="00DB731D" w:rsidRPr="00A52585">
        <w:rPr>
          <w:rtl/>
        </w:rPr>
        <w:t>،</w:t>
      </w:r>
      <w:r w:rsidRPr="00A52585">
        <w:rPr>
          <w:rtl/>
        </w:rPr>
        <w:t xml:space="preserve"> ولا من حب اولياء الله وعبادة الصالحين</w:t>
      </w:r>
      <w:r w:rsidR="00DB731D" w:rsidRPr="00A52585">
        <w:rPr>
          <w:rtl/>
        </w:rPr>
        <w:t>،</w:t>
      </w:r>
      <w:r w:rsidRPr="00A52585">
        <w:rPr>
          <w:rtl/>
        </w:rPr>
        <w:t xml:space="preserve"> وهو حب قدرة واعتبار</w:t>
      </w:r>
      <w:r w:rsidR="00DB731D" w:rsidRPr="00A52585">
        <w:rPr>
          <w:rtl/>
        </w:rPr>
        <w:t>،،</w:t>
      </w:r>
      <w:r w:rsidRPr="00A52585">
        <w:rPr>
          <w:rtl/>
        </w:rPr>
        <w:t xml:space="preserve"> وتقدير ما أجرى الله على أيديهم من خير لإنسانية</w:t>
      </w:r>
      <w:r w:rsidR="00DB731D" w:rsidRPr="00A52585">
        <w:rPr>
          <w:rtl/>
        </w:rPr>
        <w:t>،</w:t>
      </w:r>
      <w:r w:rsidRPr="00A52585">
        <w:rPr>
          <w:rtl/>
        </w:rPr>
        <w:t xml:space="preserve"> وهداية للبشر</w:t>
      </w:r>
      <w:r w:rsidR="00DB731D" w:rsidRPr="00A52585">
        <w:rPr>
          <w:rtl/>
        </w:rPr>
        <w:t>،</w:t>
      </w:r>
      <w:r w:rsidRPr="00A52585">
        <w:rPr>
          <w:rtl/>
        </w:rPr>
        <w:t xml:space="preserve"> وسبب هذا الحب والباعث عليه إنما هو حب الله لهم</w:t>
      </w:r>
      <w:r w:rsidR="00DB731D" w:rsidRPr="00A52585">
        <w:rPr>
          <w:rtl/>
        </w:rPr>
        <w:t>،</w:t>
      </w:r>
      <w:r w:rsidRPr="00A52585">
        <w:rPr>
          <w:rtl/>
        </w:rPr>
        <w:t xml:space="preserve"> </w:t>
      </w:r>
      <w:proofErr w:type="spellStart"/>
      <w:r w:rsidRPr="00A52585">
        <w:rPr>
          <w:rtl/>
        </w:rPr>
        <w:t>وإصطفاؤه</w:t>
      </w:r>
      <w:proofErr w:type="spellEnd"/>
      <w:r w:rsidRPr="00A52585">
        <w:rPr>
          <w:rtl/>
        </w:rPr>
        <w:t xml:space="preserve"> إياهم</w:t>
      </w:r>
      <w:r w:rsidR="00DB731D" w:rsidRPr="00A52585">
        <w:rPr>
          <w:rtl/>
        </w:rPr>
        <w:t>،</w:t>
      </w:r>
      <w:r w:rsidRPr="00A52585">
        <w:rPr>
          <w:rtl/>
        </w:rPr>
        <w:t xml:space="preserve"> أتزعمون أن حبنا له حب تأليه وعبادة</w:t>
      </w:r>
      <w:r w:rsidR="00F95886" w:rsidRPr="00A52585">
        <w:rPr>
          <w:rtl/>
        </w:rPr>
        <w:t>؟</w:t>
      </w:r>
      <w:r w:rsidR="00DB731D" w:rsidRPr="00A52585">
        <w:rPr>
          <w:rtl/>
        </w:rPr>
        <w:t>،</w:t>
      </w:r>
      <w:r w:rsidRPr="00A52585">
        <w:rPr>
          <w:rFonts w:hint="cs"/>
          <w:rtl/>
        </w:rPr>
        <w:t xml:space="preserve"> </w:t>
      </w:r>
      <w:r w:rsidRPr="00A52585">
        <w:rPr>
          <w:rtl/>
        </w:rPr>
        <w:t>يعلم الله انكم كاذبون مفترون</w:t>
      </w:r>
      <w:r w:rsidR="00DB731D" w:rsidRPr="00A52585">
        <w:rPr>
          <w:rtl/>
        </w:rPr>
        <w:t>،</w:t>
      </w:r>
      <w:r w:rsidRPr="00A52585">
        <w:rPr>
          <w:rtl/>
        </w:rPr>
        <w:t xml:space="preserve"> ثم من منكم رأى عالماً </w:t>
      </w:r>
      <w:proofErr w:type="spellStart"/>
      <w:r w:rsidRPr="00A52585">
        <w:rPr>
          <w:rtl/>
        </w:rPr>
        <w:t>أومتعلماً</w:t>
      </w:r>
      <w:proofErr w:type="spellEnd"/>
      <w:r w:rsidRPr="00A52585">
        <w:rPr>
          <w:rtl/>
        </w:rPr>
        <w:t xml:space="preserve"> يطوف بالقبور، </w:t>
      </w:r>
      <w:proofErr w:type="spellStart"/>
      <w:r w:rsidRPr="00A52585">
        <w:rPr>
          <w:rtl/>
        </w:rPr>
        <w:t>أويتمسح</w:t>
      </w:r>
      <w:proofErr w:type="spellEnd"/>
      <w:r w:rsidRPr="00A52585">
        <w:rPr>
          <w:rtl/>
        </w:rPr>
        <w:t xml:space="preserve"> بالمقاصير</w:t>
      </w:r>
      <w:r w:rsidR="00DB731D" w:rsidRPr="00A52585">
        <w:rPr>
          <w:rtl/>
        </w:rPr>
        <w:t>،</w:t>
      </w:r>
      <w:r w:rsidRPr="00A52585">
        <w:rPr>
          <w:rtl/>
        </w:rPr>
        <w:t xml:space="preserve"> </w:t>
      </w:r>
      <w:proofErr w:type="spellStart"/>
      <w:r w:rsidRPr="00A52585">
        <w:rPr>
          <w:rtl/>
        </w:rPr>
        <w:t>أويذبح</w:t>
      </w:r>
      <w:proofErr w:type="spellEnd"/>
      <w:r w:rsidRPr="00A52585">
        <w:rPr>
          <w:rtl/>
        </w:rPr>
        <w:t xml:space="preserve"> </w:t>
      </w:r>
      <w:proofErr w:type="spellStart"/>
      <w:r w:rsidRPr="00A52585">
        <w:rPr>
          <w:rtl/>
        </w:rPr>
        <w:t>بإسم</w:t>
      </w:r>
      <w:proofErr w:type="spellEnd"/>
      <w:r w:rsidRPr="00A52585">
        <w:rPr>
          <w:rtl/>
        </w:rPr>
        <w:t xml:space="preserve"> الاُولياء الذبائح والقرابين</w:t>
      </w:r>
      <w:r w:rsidR="00DB731D" w:rsidRPr="00A52585">
        <w:rPr>
          <w:rtl/>
        </w:rPr>
        <w:t>،</w:t>
      </w:r>
      <w:r w:rsidRPr="00A52585">
        <w:rPr>
          <w:rtl/>
        </w:rPr>
        <w:t xml:space="preserve"> </w:t>
      </w:r>
      <w:proofErr w:type="spellStart"/>
      <w:r w:rsidRPr="00A52585">
        <w:rPr>
          <w:rtl/>
        </w:rPr>
        <w:t>أوينذر</w:t>
      </w:r>
      <w:proofErr w:type="spellEnd"/>
      <w:r w:rsidRPr="00A52585">
        <w:rPr>
          <w:rtl/>
        </w:rPr>
        <w:t xml:space="preserve"> لهم النذور</w:t>
      </w:r>
      <w:r w:rsidR="00DB731D" w:rsidRPr="00A52585">
        <w:rPr>
          <w:rtl/>
        </w:rPr>
        <w:t>،</w:t>
      </w:r>
      <w:r w:rsidRPr="00A52585">
        <w:rPr>
          <w:rtl/>
        </w:rPr>
        <w:t xml:space="preserve"> </w:t>
      </w:r>
      <w:proofErr w:type="spellStart"/>
      <w:r w:rsidRPr="00A52585">
        <w:rPr>
          <w:rtl/>
        </w:rPr>
        <w:t>دلونى</w:t>
      </w:r>
      <w:proofErr w:type="spellEnd"/>
      <w:r w:rsidRPr="00A52585">
        <w:rPr>
          <w:rtl/>
        </w:rPr>
        <w:t xml:space="preserve"> على عالم واحد </w:t>
      </w:r>
      <w:proofErr w:type="spellStart"/>
      <w:r w:rsidRPr="00A52585">
        <w:rPr>
          <w:rtl/>
        </w:rPr>
        <w:t>أومسلم</w:t>
      </w:r>
      <w:proofErr w:type="spellEnd"/>
      <w:r w:rsidRPr="00A52585">
        <w:rPr>
          <w:rtl/>
        </w:rPr>
        <w:t xml:space="preserve"> </w:t>
      </w:r>
      <w:proofErr w:type="spellStart"/>
      <w:r w:rsidRPr="00A52585">
        <w:rPr>
          <w:rtl/>
        </w:rPr>
        <w:t>مصرى</w:t>
      </w:r>
      <w:proofErr w:type="spellEnd"/>
      <w:r w:rsidRPr="00A52585">
        <w:rPr>
          <w:rtl/>
        </w:rPr>
        <w:t xml:space="preserve"> متعلم يجهل آداب الزيارة -</w:t>
      </w:r>
      <w:r w:rsidR="00DB731D" w:rsidRPr="00A52585">
        <w:rPr>
          <w:rtl/>
        </w:rPr>
        <w:t>،</w:t>
      </w:r>
      <w:r w:rsidRPr="00A52585">
        <w:rPr>
          <w:rFonts w:hint="cs"/>
          <w:rtl/>
        </w:rPr>
        <w:t xml:space="preserve"> </w:t>
      </w:r>
      <w:r w:rsidRPr="00A52585">
        <w:rPr>
          <w:rtl/>
        </w:rPr>
        <w:t>إن حاجة من يزور الاضرحة اليوم</w:t>
      </w:r>
      <w:r w:rsidR="0002035C" w:rsidRPr="00A52585">
        <w:rPr>
          <w:rtl/>
        </w:rPr>
        <w:t xml:space="preserve"> </w:t>
      </w:r>
      <w:r w:rsidRPr="00A52585">
        <w:rPr>
          <w:rtl/>
        </w:rPr>
        <w:t>- وقليل ما هم</w:t>
      </w:r>
      <w:r w:rsidR="0002035C" w:rsidRPr="00A52585">
        <w:rPr>
          <w:rtl/>
        </w:rPr>
        <w:t xml:space="preserve"> </w:t>
      </w:r>
      <w:r w:rsidRPr="00A52585">
        <w:rPr>
          <w:rtl/>
        </w:rPr>
        <w:t>-</w:t>
      </w:r>
      <w:r w:rsidR="0002035C" w:rsidRPr="00A52585">
        <w:rPr>
          <w:rtl/>
        </w:rPr>
        <w:t xml:space="preserve"> </w:t>
      </w:r>
      <w:r w:rsidRPr="00A52585">
        <w:rPr>
          <w:rtl/>
        </w:rPr>
        <w:t xml:space="preserve">لا تعدوا أن يؤنس الداخل إليها روح صاحب القبر بما </w:t>
      </w:r>
      <w:proofErr w:type="spellStart"/>
      <w:r w:rsidRPr="00A52585">
        <w:rPr>
          <w:rtl/>
        </w:rPr>
        <w:t>يبدؤه</w:t>
      </w:r>
      <w:proofErr w:type="spellEnd"/>
      <w:r w:rsidRPr="00A52585">
        <w:rPr>
          <w:rtl/>
        </w:rPr>
        <w:t xml:space="preserve"> به من السلام</w:t>
      </w:r>
      <w:r w:rsidR="00DB731D" w:rsidRPr="00A52585">
        <w:rPr>
          <w:rtl/>
        </w:rPr>
        <w:t>،</w:t>
      </w:r>
      <w:r w:rsidRPr="00A52585">
        <w:rPr>
          <w:rtl/>
        </w:rPr>
        <w:t xml:space="preserve"> ويقرؤه من آيات</w:t>
      </w:r>
      <w:r w:rsidR="00DB731D" w:rsidRPr="00A52585">
        <w:rPr>
          <w:rtl/>
        </w:rPr>
        <w:t>،</w:t>
      </w:r>
      <w:r w:rsidRPr="00A52585">
        <w:rPr>
          <w:rtl/>
        </w:rPr>
        <w:t xml:space="preserve"> ويرتله من أدعية يستمطر بها من الله الرحمات ويستنزل البركات</w:t>
      </w:r>
      <w:r w:rsidR="00DB731D" w:rsidRPr="00A52585">
        <w:rPr>
          <w:rtl/>
        </w:rPr>
        <w:t>،</w:t>
      </w:r>
      <w:r w:rsidRPr="00A52585">
        <w:rPr>
          <w:rtl/>
        </w:rPr>
        <w:t xml:space="preserve"> </w:t>
      </w:r>
      <w:proofErr w:type="spellStart"/>
      <w:r w:rsidRPr="00A52585">
        <w:rPr>
          <w:rtl/>
        </w:rPr>
        <w:t>وأى</w:t>
      </w:r>
      <w:proofErr w:type="spellEnd"/>
      <w:r w:rsidRPr="00A52585">
        <w:rPr>
          <w:rtl/>
        </w:rPr>
        <w:t xml:space="preserve"> مسلم يقرأ القرآن</w:t>
      </w:r>
      <w:r w:rsidR="00DB731D" w:rsidRPr="00A52585">
        <w:rPr>
          <w:rtl/>
        </w:rPr>
        <w:t>،</w:t>
      </w:r>
      <w:r w:rsidRPr="00A52585">
        <w:rPr>
          <w:rtl/>
        </w:rPr>
        <w:t xml:space="preserve"> ويعبد غير الرحمن</w:t>
      </w:r>
      <w:r w:rsidR="00F95886" w:rsidRPr="00A52585">
        <w:rPr>
          <w:rtl/>
        </w:rPr>
        <w:t>!</w:t>
      </w:r>
      <w:r w:rsidRPr="00A52585">
        <w:rPr>
          <w:rtl/>
        </w:rPr>
        <w:t>؟</w:t>
      </w:r>
      <w:r w:rsidR="0002035C" w:rsidRPr="00A52585">
        <w:rPr>
          <w:rtl/>
        </w:rPr>
        <w:t xml:space="preserve"> </w:t>
      </w:r>
      <w:r w:rsidRPr="00A52585">
        <w:rPr>
          <w:rtl/>
        </w:rPr>
        <w:t>على رسلكم أيها القوم</w:t>
      </w:r>
      <w:r w:rsidR="00DB731D" w:rsidRPr="00A52585">
        <w:rPr>
          <w:rtl/>
        </w:rPr>
        <w:t>،</w:t>
      </w:r>
      <w:r w:rsidRPr="00A52585">
        <w:rPr>
          <w:rtl/>
        </w:rPr>
        <w:t xml:space="preserve"> وثوبوا إلى رشدكم وتوبوا إلى بارئكم</w:t>
      </w:r>
      <w:r w:rsidR="00DB731D" w:rsidRPr="00A52585">
        <w:rPr>
          <w:rtl/>
        </w:rPr>
        <w:t>،</w:t>
      </w:r>
      <w:r w:rsidRPr="00A52585">
        <w:rPr>
          <w:rtl/>
        </w:rPr>
        <w:t xml:space="preserve"> واعلموا أنكم في بلد يصرف على تثقيف أبنائه وتعليمهم ما يكفى أن يقوم بنفقات مملكة عظيمة</w:t>
      </w:r>
      <w:r w:rsidR="00DB731D" w:rsidRPr="00A52585">
        <w:rPr>
          <w:rtl/>
        </w:rPr>
        <w:t>،</w:t>
      </w:r>
      <w:r w:rsidRPr="00A52585">
        <w:rPr>
          <w:rtl/>
        </w:rPr>
        <w:t xml:space="preserve"> واسعة الاكناف</w:t>
      </w:r>
      <w:r w:rsidR="00DB731D" w:rsidRPr="00A52585">
        <w:rPr>
          <w:rtl/>
        </w:rPr>
        <w:t>،</w:t>
      </w:r>
      <w:r w:rsidRPr="00A52585">
        <w:rPr>
          <w:rtl/>
        </w:rPr>
        <w:t xml:space="preserve"> مترامية الاطراف</w:t>
      </w:r>
      <w:r w:rsidR="00DB731D" w:rsidRPr="00A52585">
        <w:rPr>
          <w:rtl/>
        </w:rPr>
        <w:t>،</w:t>
      </w:r>
      <w:r w:rsidRPr="00A52585">
        <w:rPr>
          <w:rtl/>
        </w:rPr>
        <w:t xml:space="preserve"> وميزانية الازهر وحدها أضخم ميزانية عرفها العالم لعهد </w:t>
      </w:r>
      <w:proofErr w:type="spellStart"/>
      <w:r w:rsidRPr="00A52585">
        <w:rPr>
          <w:rtl/>
        </w:rPr>
        <w:t>إسلامى</w:t>
      </w:r>
      <w:proofErr w:type="spellEnd"/>
      <w:r w:rsidRPr="00A52585">
        <w:rPr>
          <w:rtl/>
        </w:rPr>
        <w:t xml:space="preserve"> واحد</w:t>
      </w:r>
      <w:r w:rsidR="00DB731D" w:rsidRPr="00A52585">
        <w:rPr>
          <w:rtl/>
        </w:rPr>
        <w:t>،</w:t>
      </w:r>
      <w:r w:rsidRPr="00A52585">
        <w:rPr>
          <w:rtl/>
        </w:rPr>
        <w:t xml:space="preserve"> وليس في الازهر اليوم قديم وحديث</w:t>
      </w:r>
      <w:r w:rsidR="00DB731D" w:rsidRPr="00A52585">
        <w:rPr>
          <w:rtl/>
        </w:rPr>
        <w:t>،</w:t>
      </w:r>
      <w:r w:rsidRPr="00A52585">
        <w:rPr>
          <w:rtl/>
        </w:rPr>
        <w:t xml:space="preserve"> والازهر أزهر واحد</w:t>
      </w:r>
      <w:r w:rsidR="00DB731D" w:rsidRPr="00A52585">
        <w:rPr>
          <w:rtl/>
        </w:rPr>
        <w:t>،</w:t>
      </w:r>
      <w:r w:rsidRPr="00A52585">
        <w:rPr>
          <w:rtl/>
        </w:rPr>
        <w:t xml:space="preserve"> كما أن دين الله دين واحد</w:t>
      </w:r>
      <w:r w:rsidR="00DB731D" w:rsidRPr="00A52585">
        <w:rPr>
          <w:rtl/>
        </w:rPr>
        <w:t>،</w:t>
      </w:r>
      <w:r w:rsidRPr="00A52585">
        <w:rPr>
          <w:rtl/>
        </w:rPr>
        <w:t xml:space="preserve"> والازهر هو الحافظ لدين الله في مصر كنانة الله في أرضه قديماً وحديثاً إلى أن يرث الله الارض ومن عليها</w:t>
      </w:r>
      <w:r w:rsidR="00DB731D" w:rsidRPr="00A52585">
        <w:rPr>
          <w:rtl/>
        </w:rPr>
        <w:t>،</w:t>
      </w:r>
      <w:r w:rsidRPr="00A52585">
        <w:rPr>
          <w:rtl/>
        </w:rPr>
        <w:t xml:space="preserve"> والشيخ الدجوى عالم من الطراز الاول</w:t>
      </w:r>
      <w:r w:rsidR="00DB731D" w:rsidRPr="00A52585">
        <w:rPr>
          <w:rtl/>
        </w:rPr>
        <w:t>،</w:t>
      </w:r>
      <w:r w:rsidRPr="00A52585">
        <w:rPr>
          <w:rtl/>
        </w:rPr>
        <w:t xml:space="preserve"> وسيرته وجهاده وبلاؤه الحسن في الذب عن حوزه الدين أصدق </w:t>
      </w:r>
      <w:proofErr w:type="spellStart"/>
      <w:r w:rsidRPr="00A52585">
        <w:rPr>
          <w:rtl/>
        </w:rPr>
        <w:t>شاخد</w:t>
      </w:r>
      <w:proofErr w:type="spellEnd"/>
      <w:r w:rsidRPr="00A52585">
        <w:rPr>
          <w:rtl/>
        </w:rPr>
        <w:t xml:space="preserve"> على ما نقول</w:t>
      </w:r>
      <w:r w:rsidR="00DB731D" w:rsidRPr="00A52585">
        <w:rPr>
          <w:rtl/>
        </w:rPr>
        <w:t>،</w:t>
      </w:r>
      <w:r w:rsidRPr="00A52585">
        <w:rPr>
          <w:rtl/>
        </w:rPr>
        <w:t xml:space="preserve"> تشهد بذلك مصر خاصة</w:t>
      </w:r>
      <w:r w:rsidR="00DB731D" w:rsidRPr="00A52585">
        <w:rPr>
          <w:rtl/>
        </w:rPr>
        <w:t>،</w:t>
      </w:r>
      <w:r w:rsidRPr="00A52585">
        <w:rPr>
          <w:rtl/>
        </w:rPr>
        <w:t xml:space="preserve"> والعالم الاسلامي عامة</w:t>
      </w:r>
      <w:r w:rsidR="00DB731D" w:rsidRPr="00A52585">
        <w:rPr>
          <w:rtl/>
        </w:rPr>
        <w:t>،</w:t>
      </w:r>
      <w:r w:rsidRPr="00A52585">
        <w:rPr>
          <w:rtl/>
        </w:rPr>
        <w:t xml:space="preserve"> وهو بعد ذلك </w:t>
      </w:r>
      <w:proofErr w:type="spellStart"/>
      <w:r w:rsidRPr="00A52585">
        <w:rPr>
          <w:rtl/>
        </w:rPr>
        <w:t>عضوكبار</w:t>
      </w:r>
      <w:proofErr w:type="spellEnd"/>
      <w:r w:rsidRPr="00A52585">
        <w:rPr>
          <w:rtl/>
        </w:rPr>
        <w:t xml:space="preserve"> العلماء في الازهر</w:t>
      </w:r>
      <w:r w:rsidR="00DB731D" w:rsidRPr="00A52585">
        <w:rPr>
          <w:rtl/>
        </w:rPr>
        <w:t>،</w:t>
      </w:r>
      <w:r w:rsidRPr="00A52585">
        <w:rPr>
          <w:rtl/>
        </w:rPr>
        <w:t xml:space="preserve"> وفخر مصر وعالمها غير مدافع</w:t>
      </w:r>
      <w:r w:rsidR="00DB731D" w:rsidRPr="00A52585">
        <w:rPr>
          <w:rtl/>
        </w:rPr>
        <w:t>،</w:t>
      </w:r>
      <w:r w:rsidRPr="00A52585">
        <w:rPr>
          <w:rtl/>
        </w:rPr>
        <w:t xml:space="preserve"> يعرف هذا </w:t>
      </w:r>
      <w:proofErr w:type="spellStart"/>
      <w:r w:rsidRPr="00A52585">
        <w:rPr>
          <w:rtl/>
        </w:rPr>
        <w:t>الدانى</w:t>
      </w:r>
      <w:proofErr w:type="spellEnd"/>
      <w:r w:rsidRPr="00A52585">
        <w:rPr>
          <w:rtl/>
        </w:rPr>
        <w:t xml:space="preserve"> </w:t>
      </w:r>
      <w:proofErr w:type="spellStart"/>
      <w:r w:rsidRPr="00A52585">
        <w:rPr>
          <w:rtl/>
        </w:rPr>
        <w:t>والقاصى</w:t>
      </w:r>
      <w:proofErr w:type="spellEnd"/>
      <w:r w:rsidR="00DB731D" w:rsidRPr="00A52585">
        <w:rPr>
          <w:rtl/>
        </w:rPr>
        <w:t>،</w:t>
      </w:r>
      <w:r w:rsidRPr="00A52585">
        <w:rPr>
          <w:rtl/>
        </w:rPr>
        <w:t xml:space="preserve"> وإذا أراد مرتزقتكم أن يرتزقوا على حساب الطعن في مصر وأزهرها وعلمائه</w:t>
      </w:r>
      <w:r w:rsidR="00DB731D" w:rsidRPr="00A52585">
        <w:rPr>
          <w:rtl/>
        </w:rPr>
        <w:t>،</w:t>
      </w:r>
      <w:r w:rsidRPr="00A52585">
        <w:rPr>
          <w:rtl/>
        </w:rPr>
        <w:t xml:space="preserve"> فليعلموا أنهم في هذه المحاولة وغيرها فاشلون</w:t>
      </w:r>
      <w:r w:rsidR="00DB731D" w:rsidRPr="00A52585">
        <w:rPr>
          <w:rtl/>
        </w:rPr>
        <w:t>،</w:t>
      </w:r>
      <w:r w:rsidRPr="00A52585">
        <w:rPr>
          <w:rtl/>
        </w:rPr>
        <w:t xml:space="preserve"> وسيعلم الذين ظلموا </w:t>
      </w:r>
      <w:proofErr w:type="spellStart"/>
      <w:r w:rsidRPr="00A52585">
        <w:rPr>
          <w:rtl/>
        </w:rPr>
        <w:t>أى</w:t>
      </w:r>
      <w:proofErr w:type="spellEnd"/>
      <w:r w:rsidRPr="00A52585">
        <w:rPr>
          <w:rtl/>
        </w:rPr>
        <w:t xml:space="preserve"> منقلب ينقلبون</w:t>
      </w:r>
      <w:r w:rsidR="00897A24" w:rsidRPr="00A52585">
        <w:rPr>
          <w:rtl/>
        </w:rPr>
        <w:t>.</w:t>
      </w:r>
      <w:r w:rsidRPr="00A52585">
        <w:rPr>
          <w:rtl/>
        </w:rPr>
        <w:br/>
        <w:t xml:space="preserve">وسأدع من الآن الشيخ </w:t>
      </w:r>
      <w:proofErr w:type="spellStart"/>
      <w:r w:rsidRPr="00A52585">
        <w:rPr>
          <w:rtl/>
        </w:rPr>
        <w:t>القصيمى</w:t>
      </w:r>
      <w:proofErr w:type="spellEnd"/>
      <w:r w:rsidRPr="00A52585">
        <w:rPr>
          <w:rtl/>
        </w:rPr>
        <w:t xml:space="preserve"> بين براثن الاستاذ </w:t>
      </w:r>
      <w:proofErr w:type="spellStart"/>
      <w:r w:rsidRPr="00A52585">
        <w:rPr>
          <w:rtl/>
        </w:rPr>
        <w:t>الكوثرى</w:t>
      </w:r>
      <w:proofErr w:type="spellEnd"/>
      <w:r w:rsidRPr="00A52585">
        <w:rPr>
          <w:rtl/>
        </w:rPr>
        <w:t xml:space="preserve"> ليجرب حظه منه</w:t>
      </w:r>
      <w:r w:rsidR="00DB731D" w:rsidRPr="00A52585">
        <w:rPr>
          <w:rtl/>
        </w:rPr>
        <w:t>،</w:t>
      </w:r>
      <w:r w:rsidRPr="00A52585">
        <w:rPr>
          <w:rtl/>
        </w:rPr>
        <w:t xml:space="preserve"> لكن هذا لا يمنع من أن أناقشه الحساب في بعض هناته الهينات</w:t>
      </w:r>
      <w:r w:rsidR="00DB731D" w:rsidRPr="00A52585">
        <w:rPr>
          <w:rtl/>
        </w:rPr>
        <w:t>،</w:t>
      </w:r>
      <w:r w:rsidRPr="00A52585">
        <w:rPr>
          <w:rtl/>
        </w:rPr>
        <w:t xml:space="preserve"> فهذا </w:t>
      </w:r>
      <w:proofErr w:type="spellStart"/>
      <w:r w:rsidRPr="00A52585">
        <w:rPr>
          <w:rtl/>
        </w:rPr>
        <w:t>القصيمى</w:t>
      </w:r>
      <w:proofErr w:type="spellEnd"/>
      <w:r w:rsidRPr="00A52585">
        <w:rPr>
          <w:rtl/>
        </w:rPr>
        <w:t xml:space="preserve"> ينبز </w:t>
      </w:r>
      <w:proofErr w:type="spellStart"/>
      <w:r w:rsidRPr="00A52585">
        <w:rPr>
          <w:rtl/>
        </w:rPr>
        <w:t>الكوثرى</w:t>
      </w:r>
      <w:proofErr w:type="spellEnd"/>
      <w:r w:rsidRPr="00A52585">
        <w:rPr>
          <w:rtl/>
        </w:rPr>
        <w:t xml:space="preserve"> بأنه تركى غير </w:t>
      </w:r>
      <w:proofErr w:type="spellStart"/>
      <w:r w:rsidRPr="00A52585">
        <w:rPr>
          <w:rtl/>
        </w:rPr>
        <w:t>عربى</w:t>
      </w:r>
      <w:proofErr w:type="spellEnd"/>
      <w:r w:rsidR="00897A24" w:rsidRPr="00A52585">
        <w:rPr>
          <w:rtl/>
        </w:rPr>
        <w:t>.</w:t>
      </w:r>
      <w:r w:rsidRPr="00A52585">
        <w:rPr>
          <w:rtl/>
        </w:rPr>
        <w:t xml:space="preserve"> وأنه لذلك يكره العرب </w:t>
      </w:r>
      <w:r w:rsidR="0002035C" w:rsidRPr="00A52585">
        <w:rPr>
          <w:rFonts w:hint="cs"/>
          <w:sz w:val="24"/>
          <w:szCs w:val="24"/>
          <w:rtl/>
        </w:rPr>
        <w:t>[</w:t>
      </w:r>
      <w:r w:rsidRPr="00A52585">
        <w:rPr>
          <w:sz w:val="24"/>
          <w:szCs w:val="24"/>
          <w:rtl/>
        </w:rPr>
        <w:t xml:space="preserve">وهو ما يردد صداه أيضاً المدعو بكر أبوزيد </w:t>
      </w:r>
      <w:proofErr w:type="spellStart"/>
      <w:r w:rsidRPr="00A52585">
        <w:rPr>
          <w:sz w:val="24"/>
          <w:szCs w:val="24"/>
          <w:rtl/>
        </w:rPr>
        <w:t>القضاعى</w:t>
      </w:r>
      <w:proofErr w:type="spellEnd"/>
      <w:r w:rsidR="0002035C" w:rsidRPr="00A52585">
        <w:rPr>
          <w:sz w:val="24"/>
          <w:szCs w:val="24"/>
          <w:rtl/>
        </w:rPr>
        <w:t>]</w:t>
      </w:r>
      <w:r w:rsidRPr="00A52585">
        <w:rPr>
          <w:rFonts w:hint="cs"/>
          <w:rtl/>
        </w:rPr>
        <w:t xml:space="preserve"> </w:t>
      </w:r>
      <w:r w:rsidRPr="00A52585">
        <w:rPr>
          <w:rtl/>
        </w:rPr>
        <w:t>إلخ</w:t>
      </w:r>
      <w:r w:rsidR="00DB731D" w:rsidRPr="00A52585">
        <w:rPr>
          <w:rtl/>
        </w:rPr>
        <w:t>،</w:t>
      </w:r>
      <w:r w:rsidRPr="00A52585">
        <w:rPr>
          <w:rFonts w:hint="cs"/>
          <w:rtl/>
        </w:rPr>
        <w:t xml:space="preserve"> </w:t>
      </w:r>
      <w:r w:rsidRPr="00A52585">
        <w:rPr>
          <w:rtl/>
        </w:rPr>
        <w:t>والحقيقة التي لا يجهلها هو</w:t>
      </w:r>
      <w:r w:rsidR="00DB731D" w:rsidRPr="00A52585">
        <w:rPr>
          <w:rtl/>
        </w:rPr>
        <w:t>،</w:t>
      </w:r>
      <w:r w:rsidRPr="00A52585">
        <w:rPr>
          <w:rtl/>
        </w:rPr>
        <w:t xml:space="preserve"> </w:t>
      </w:r>
      <w:proofErr w:type="spellStart"/>
      <w:r w:rsidRPr="00A52585">
        <w:rPr>
          <w:rtl/>
        </w:rPr>
        <w:t>والتى</w:t>
      </w:r>
      <w:proofErr w:type="spellEnd"/>
      <w:r w:rsidRPr="00A52585">
        <w:rPr>
          <w:rtl/>
        </w:rPr>
        <w:t xml:space="preserve"> يعلمها جميع الناس أن </w:t>
      </w:r>
      <w:proofErr w:type="spellStart"/>
      <w:r w:rsidRPr="00A52585">
        <w:rPr>
          <w:rtl/>
        </w:rPr>
        <w:t>الكوثرى</w:t>
      </w:r>
      <w:proofErr w:type="spellEnd"/>
      <w:r w:rsidRPr="00A52585">
        <w:rPr>
          <w:rtl/>
        </w:rPr>
        <w:t xml:space="preserve"> أعرب منه في عربيته</w:t>
      </w:r>
      <w:r w:rsidR="00DB731D" w:rsidRPr="00A52585">
        <w:rPr>
          <w:rtl/>
        </w:rPr>
        <w:t>،</w:t>
      </w:r>
      <w:r w:rsidRPr="00A52585">
        <w:rPr>
          <w:rtl/>
        </w:rPr>
        <w:t xml:space="preserve"> وألحن منه بحجته</w:t>
      </w:r>
      <w:r w:rsidR="00DB731D" w:rsidRPr="00A52585">
        <w:rPr>
          <w:rtl/>
        </w:rPr>
        <w:t>،</w:t>
      </w:r>
      <w:r w:rsidRPr="00A52585">
        <w:rPr>
          <w:rtl/>
        </w:rPr>
        <w:t xml:space="preserve"> بل أن أعرابية </w:t>
      </w:r>
      <w:proofErr w:type="spellStart"/>
      <w:r w:rsidRPr="00A52585">
        <w:rPr>
          <w:rtl/>
        </w:rPr>
        <w:t>القصيمى</w:t>
      </w:r>
      <w:proofErr w:type="spellEnd"/>
      <w:r w:rsidRPr="00A52585">
        <w:rPr>
          <w:rtl/>
        </w:rPr>
        <w:t xml:space="preserve"> دون عربية </w:t>
      </w:r>
      <w:proofErr w:type="spellStart"/>
      <w:r w:rsidRPr="00A52585">
        <w:rPr>
          <w:rtl/>
        </w:rPr>
        <w:t>الكوثرى</w:t>
      </w:r>
      <w:proofErr w:type="spellEnd"/>
      <w:r w:rsidRPr="00A52585">
        <w:rPr>
          <w:rtl/>
        </w:rPr>
        <w:t xml:space="preserve"> بمراحل</w:t>
      </w:r>
      <w:r w:rsidR="00DB731D" w:rsidRPr="00A52585">
        <w:rPr>
          <w:rtl/>
        </w:rPr>
        <w:t>،</w:t>
      </w:r>
      <w:r w:rsidRPr="00A52585">
        <w:rPr>
          <w:rtl/>
        </w:rPr>
        <w:t xml:space="preserve"> </w:t>
      </w:r>
      <w:proofErr w:type="spellStart"/>
      <w:r w:rsidRPr="00A52585">
        <w:rPr>
          <w:rtl/>
        </w:rPr>
        <w:t>فهوعربى</w:t>
      </w:r>
      <w:proofErr w:type="spellEnd"/>
      <w:r w:rsidRPr="00A52585">
        <w:rPr>
          <w:rtl/>
        </w:rPr>
        <w:t xml:space="preserve"> السليقة وإن كان تركى المتحد</w:t>
      </w:r>
      <w:r w:rsidR="00DB731D" w:rsidRPr="00A52585">
        <w:rPr>
          <w:rtl/>
        </w:rPr>
        <w:t>،</w:t>
      </w:r>
      <w:r w:rsidRPr="00A52585">
        <w:rPr>
          <w:rtl/>
        </w:rPr>
        <w:t xml:space="preserve"> وذاك </w:t>
      </w:r>
      <w:proofErr w:type="spellStart"/>
      <w:r w:rsidRPr="00A52585">
        <w:rPr>
          <w:rtl/>
        </w:rPr>
        <w:t>أعجمى</w:t>
      </w:r>
      <w:proofErr w:type="spellEnd"/>
      <w:r w:rsidRPr="00A52585">
        <w:rPr>
          <w:rtl/>
        </w:rPr>
        <w:t xml:space="preserve"> الهجنة</w:t>
      </w:r>
      <w:r w:rsidR="00DB731D" w:rsidRPr="00A52585">
        <w:rPr>
          <w:rtl/>
        </w:rPr>
        <w:t>،</w:t>
      </w:r>
      <w:r w:rsidRPr="00A52585">
        <w:rPr>
          <w:rtl/>
        </w:rPr>
        <w:t xml:space="preserve"> وإن كان </w:t>
      </w:r>
      <w:proofErr w:type="spellStart"/>
      <w:r w:rsidRPr="00A52585">
        <w:rPr>
          <w:rtl/>
        </w:rPr>
        <w:t>أعرابى</w:t>
      </w:r>
      <w:proofErr w:type="spellEnd"/>
      <w:r w:rsidRPr="00A52585">
        <w:rPr>
          <w:rtl/>
        </w:rPr>
        <w:t xml:space="preserve"> المنشأ والمولد</w:t>
      </w:r>
      <w:r w:rsidR="00DB731D" w:rsidRPr="00A52585">
        <w:rPr>
          <w:rtl/>
        </w:rPr>
        <w:t>،</w:t>
      </w:r>
      <w:r w:rsidRPr="00A52585">
        <w:rPr>
          <w:rtl/>
        </w:rPr>
        <w:t xml:space="preserve"> و</w:t>
      </w:r>
      <w:r w:rsidR="0002035C" w:rsidRPr="00A52585">
        <w:rPr>
          <w:rtl/>
        </w:rPr>
        <w:t>(</w:t>
      </w:r>
      <w:r w:rsidRPr="00A52585">
        <w:rPr>
          <w:rtl/>
        </w:rPr>
        <w:t>الاعراب أشد كفراً ونفاقاً وأجدر ألا يعلموا حدود ما أنزل الله على رسوله</w:t>
      </w:r>
      <w:r w:rsidR="0002035C" w:rsidRPr="00A52585">
        <w:rPr>
          <w:rtl/>
        </w:rPr>
        <w:t>)</w:t>
      </w:r>
      <w:r w:rsidRPr="00A52585">
        <w:rPr>
          <w:rtl/>
        </w:rPr>
        <w:t xml:space="preserve"> ومن </w:t>
      </w:r>
      <w:r w:rsidRPr="00A52585">
        <w:rPr>
          <w:rtl/>
        </w:rPr>
        <w:lastRenderedPageBreak/>
        <w:t>حدود ما أنزل الله على رسوله طرح العصبيات</w:t>
      </w:r>
      <w:r w:rsidR="00DB731D" w:rsidRPr="00A52585">
        <w:rPr>
          <w:rtl/>
        </w:rPr>
        <w:t>،</w:t>
      </w:r>
      <w:r w:rsidRPr="00A52585">
        <w:rPr>
          <w:rtl/>
        </w:rPr>
        <w:t xml:space="preserve"> ونبذ الجنسيات والقوميات</w:t>
      </w:r>
      <w:r w:rsidR="00DB731D" w:rsidRPr="00A52585">
        <w:rPr>
          <w:rFonts w:hint="cs"/>
          <w:rtl/>
        </w:rPr>
        <w:t>،</w:t>
      </w:r>
      <w:r w:rsidR="0002035C" w:rsidRPr="00A52585">
        <w:rPr>
          <w:rFonts w:hint="cs"/>
          <w:rtl/>
        </w:rPr>
        <w:t xml:space="preserve"> </w:t>
      </w:r>
      <w:proofErr w:type="spellStart"/>
      <w:r w:rsidRPr="00A52585">
        <w:rPr>
          <w:rtl/>
        </w:rPr>
        <w:t>والكوثرى</w:t>
      </w:r>
      <w:proofErr w:type="spellEnd"/>
      <w:r w:rsidRPr="00A52585">
        <w:rPr>
          <w:rtl/>
        </w:rPr>
        <w:t xml:space="preserve"> يعرف العربية</w:t>
      </w:r>
      <w:r w:rsidR="00DB731D" w:rsidRPr="00A52585">
        <w:rPr>
          <w:rtl/>
        </w:rPr>
        <w:t>،</w:t>
      </w:r>
      <w:r w:rsidRPr="00A52585">
        <w:rPr>
          <w:rtl/>
        </w:rPr>
        <w:t xml:space="preserve"> معرفته بلغته الاصلية</w:t>
      </w:r>
      <w:r w:rsidR="00DB731D" w:rsidRPr="00A52585">
        <w:rPr>
          <w:rtl/>
        </w:rPr>
        <w:t>،</w:t>
      </w:r>
      <w:r w:rsidRPr="00A52585">
        <w:rPr>
          <w:rtl/>
        </w:rPr>
        <w:t xml:space="preserve"> وهو يجيد العربية نطقاً وكتابة وتأليف</w:t>
      </w:r>
      <w:r w:rsidR="00DB731D" w:rsidRPr="00A52585">
        <w:rPr>
          <w:rtl/>
        </w:rPr>
        <w:t>،</w:t>
      </w:r>
      <w:r w:rsidRPr="00A52585">
        <w:rPr>
          <w:rtl/>
        </w:rPr>
        <w:t xml:space="preserve"> ويضيف إلى إجادته وتبريزه في كلتا اللغتين العربية والتركية</w:t>
      </w:r>
      <w:r w:rsidR="00DB731D" w:rsidRPr="00A52585">
        <w:rPr>
          <w:rtl/>
        </w:rPr>
        <w:t>،</w:t>
      </w:r>
      <w:r w:rsidRPr="00A52585">
        <w:rPr>
          <w:rtl/>
        </w:rPr>
        <w:t xml:space="preserve"> </w:t>
      </w:r>
      <w:proofErr w:type="spellStart"/>
      <w:r w:rsidRPr="00A52585">
        <w:rPr>
          <w:rtl/>
        </w:rPr>
        <w:t>إجادتة</w:t>
      </w:r>
      <w:proofErr w:type="spellEnd"/>
      <w:r w:rsidRPr="00A52585">
        <w:rPr>
          <w:rtl/>
        </w:rPr>
        <w:t xml:space="preserve"> التامة للغة الفارسية</w:t>
      </w:r>
      <w:r w:rsidR="00DB731D" w:rsidRPr="00A52585">
        <w:rPr>
          <w:rtl/>
        </w:rPr>
        <w:t>،</w:t>
      </w:r>
      <w:r w:rsidRPr="00A52585">
        <w:rPr>
          <w:rtl/>
        </w:rPr>
        <w:t xml:space="preserve"> فهو</w:t>
      </w:r>
      <w:r w:rsidRPr="00A52585">
        <w:rPr>
          <w:rFonts w:hint="cs"/>
          <w:rtl/>
        </w:rPr>
        <w:t xml:space="preserve"> </w:t>
      </w:r>
      <w:proofErr w:type="spellStart"/>
      <w:r w:rsidRPr="00A52585">
        <w:rPr>
          <w:rtl/>
        </w:rPr>
        <w:t>عربى</w:t>
      </w:r>
      <w:proofErr w:type="spellEnd"/>
      <w:r w:rsidRPr="00A52585">
        <w:rPr>
          <w:rtl/>
        </w:rPr>
        <w:t xml:space="preserve"> ت</w:t>
      </w:r>
      <w:r w:rsidRPr="00A52585">
        <w:rPr>
          <w:rFonts w:hint="cs"/>
          <w:rtl/>
        </w:rPr>
        <w:t>ر</w:t>
      </w:r>
      <w:r w:rsidRPr="00A52585">
        <w:rPr>
          <w:rtl/>
        </w:rPr>
        <w:t>ك</w:t>
      </w:r>
      <w:r w:rsidRPr="00A52585">
        <w:rPr>
          <w:rFonts w:hint="cs"/>
          <w:rtl/>
        </w:rPr>
        <w:t>ي</w:t>
      </w:r>
      <w:r w:rsidRPr="00A52585">
        <w:rPr>
          <w:rtl/>
        </w:rPr>
        <w:t xml:space="preserve"> فارس</w:t>
      </w:r>
      <w:r w:rsidRPr="00A52585">
        <w:rPr>
          <w:rFonts w:hint="cs"/>
          <w:rtl/>
        </w:rPr>
        <w:t>ي</w:t>
      </w:r>
      <w:r w:rsidR="00DB731D" w:rsidRPr="00A52585">
        <w:rPr>
          <w:rtl/>
        </w:rPr>
        <w:t>،</w:t>
      </w:r>
      <w:r w:rsidRPr="00A52585">
        <w:rPr>
          <w:rtl/>
        </w:rPr>
        <w:t xml:space="preserve"> ثم هو فوق ذلك لا يرى غير الاسلام وطناً</w:t>
      </w:r>
      <w:r w:rsidR="00DB731D" w:rsidRPr="00A52585">
        <w:rPr>
          <w:rtl/>
        </w:rPr>
        <w:t>،</w:t>
      </w:r>
      <w:r w:rsidRPr="00A52585">
        <w:rPr>
          <w:rtl/>
        </w:rPr>
        <w:t xml:space="preserve"> بدليل أنه هاجر من وطنه </w:t>
      </w:r>
      <w:proofErr w:type="spellStart"/>
      <w:r w:rsidRPr="00A52585">
        <w:rPr>
          <w:rtl/>
        </w:rPr>
        <w:t>التركى</w:t>
      </w:r>
      <w:proofErr w:type="spellEnd"/>
      <w:r w:rsidR="00DB731D" w:rsidRPr="00A52585">
        <w:rPr>
          <w:rtl/>
        </w:rPr>
        <w:t>،</w:t>
      </w:r>
      <w:r w:rsidRPr="00A52585">
        <w:rPr>
          <w:rtl/>
        </w:rPr>
        <w:t xml:space="preserve"> إلى وطنه </w:t>
      </w:r>
      <w:proofErr w:type="spellStart"/>
      <w:r w:rsidRPr="00A52585">
        <w:rPr>
          <w:rtl/>
        </w:rPr>
        <w:t>الاسلامى</w:t>
      </w:r>
      <w:proofErr w:type="spellEnd"/>
      <w:r w:rsidR="00DB731D" w:rsidRPr="00A52585">
        <w:rPr>
          <w:rtl/>
        </w:rPr>
        <w:t>،</w:t>
      </w:r>
      <w:r w:rsidRPr="00A52585">
        <w:rPr>
          <w:rtl/>
        </w:rPr>
        <w:t xml:space="preserve"> فراراً بدينه</w:t>
      </w:r>
      <w:r w:rsidR="00DB731D" w:rsidRPr="00A52585">
        <w:rPr>
          <w:rtl/>
        </w:rPr>
        <w:t>،</w:t>
      </w:r>
      <w:r w:rsidRPr="00A52585">
        <w:rPr>
          <w:rtl/>
        </w:rPr>
        <w:t xml:space="preserve"> واحتفاظاً </w:t>
      </w:r>
      <w:proofErr w:type="spellStart"/>
      <w:r w:rsidRPr="00A52585">
        <w:rPr>
          <w:rtl/>
        </w:rPr>
        <w:t>بعقيدتة</w:t>
      </w:r>
      <w:proofErr w:type="spellEnd"/>
      <w:r w:rsidRPr="00A52585">
        <w:rPr>
          <w:rtl/>
        </w:rPr>
        <w:t xml:space="preserve"> </w:t>
      </w:r>
      <w:proofErr w:type="spellStart"/>
      <w:r w:rsidRPr="00A52585">
        <w:rPr>
          <w:rtl/>
        </w:rPr>
        <w:t>وإسلاميتة</w:t>
      </w:r>
      <w:proofErr w:type="spellEnd"/>
      <w:r w:rsidR="00DB731D" w:rsidRPr="00A52585">
        <w:rPr>
          <w:rtl/>
        </w:rPr>
        <w:t>،</w:t>
      </w:r>
      <w:r w:rsidRPr="00A52585">
        <w:rPr>
          <w:rtl/>
        </w:rPr>
        <w:t xml:space="preserve"> </w:t>
      </w:r>
      <w:proofErr w:type="spellStart"/>
      <w:r w:rsidRPr="00A52585">
        <w:rPr>
          <w:rtl/>
        </w:rPr>
        <w:t>ولوأنه</w:t>
      </w:r>
      <w:proofErr w:type="spellEnd"/>
      <w:r w:rsidRPr="00A52585">
        <w:rPr>
          <w:rtl/>
        </w:rPr>
        <w:t xml:space="preserve"> ممن يحترفون الدعاية</w:t>
      </w:r>
      <w:r w:rsidR="00DB731D" w:rsidRPr="00A52585">
        <w:rPr>
          <w:rtl/>
        </w:rPr>
        <w:t>،</w:t>
      </w:r>
      <w:r w:rsidRPr="00A52585">
        <w:rPr>
          <w:rtl/>
        </w:rPr>
        <w:t xml:space="preserve"> ويتجرون بالعقيدة لكان في دولة </w:t>
      </w:r>
      <w:proofErr w:type="spellStart"/>
      <w:r w:rsidRPr="00A52585">
        <w:rPr>
          <w:rtl/>
        </w:rPr>
        <w:t>الغازى</w:t>
      </w:r>
      <w:proofErr w:type="spellEnd"/>
      <w:r w:rsidRPr="00A52585">
        <w:rPr>
          <w:rtl/>
        </w:rPr>
        <w:t xml:space="preserve"> مصطفى كمال باشا عاهل الاتراك</w:t>
      </w:r>
      <w:r w:rsidR="00DB731D" w:rsidRPr="00A52585">
        <w:rPr>
          <w:rtl/>
        </w:rPr>
        <w:t>،</w:t>
      </w:r>
      <w:r w:rsidRPr="00A52585">
        <w:rPr>
          <w:rtl/>
        </w:rPr>
        <w:t xml:space="preserve"> ودكتاتورها الاعظم ما يضمن له رغد العيش</w:t>
      </w:r>
      <w:r w:rsidR="00DB731D" w:rsidRPr="00A52585">
        <w:rPr>
          <w:rtl/>
        </w:rPr>
        <w:t>،</w:t>
      </w:r>
      <w:r w:rsidRPr="00A52585">
        <w:rPr>
          <w:rtl/>
        </w:rPr>
        <w:t xml:space="preserve"> ويضمن له بلهنية الحياة بين أهله </w:t>
      </w:r>
      <w:proofErr w:type="spellStart"/>
      <w:r w:rsidRPr="00A52585">
        <w:rPr>
          <w:rtl/>
        </w:rPr>
        <w:t>وعشيرتة</w:t>
      </w:r>
      <w:proofErr w:type="spellEnd"/>
      <w:r w:rsidRPr="00A52585">
        <w:rPr>
          <w:rtl/>
        </w:rPr>
        <w:t xml:space="preserve"> ووطنه</w:t>
      </w:r>
      <w:r w:rsidR="00DB731D" w:rsidRPr="00A52585">
        <w:rPr>
          <w:rtl/>
        </w:rPr>
        <w:t>،</w:t>
      </w:r>
      <w:r w:rsidR="0002035C" w:rsidRPr="00A52585">
        <w:rPr>
          <w:rFonts w:hint="cs"/>
          <w:rtl/>
        </w:rPr>
        <w:t xml:space="preserve"> </w:t>
      </w:r>
      <w:proofErr w:type="spellStart"/>
      <w:r w:rsidRPr="00A52585">
        <w:rPr>
          <w:rtl/>
        </w:rPr>
        <w:t>والكوثرى</w:t>
      </w:r>
      <w:proofErr w:type="spellEnd"/>
      <w:r w:rsidRPr="00A52585">
        <w:rPr>
          <w:rtl/>
        </w:rPr>
        <w:t xml:space="preserve"> عالم </w:t>
      </w:r>
      <w:proofErr w:type="spellStart"/>
      <w:r w:rsidRPr="00A52585">
        <w:rPr>
          <w:rtl/>
        </w:rPr>
        <w:t>عالمى</w:t>
      </w:r>
      <w:proofErr w:type="spellEnd"/>
      <w:r w:rsidRPr="00A52585">
        <w:rPr>
          <w:rtl/>
        </w:rPr>
        <w:t xml:space="preserve"> معروف تعرفه الاقطار كلها</w:t>
      </w:r>
      <w:r w:rsidR="00DB731D" w:rsidRPr="00A52585">
        <w:rPr>
          <w:rtl/>
        </w:rPr>
        <w:t>،</w:t>
      </w:r>
      <w:r w:rsidRPr="00A52585">
        <w:rPr>
          <w:rtl/>
        </w:rPr>
        <w:t xml:space="preserve"> ويرجع إله الكثير منها في شؤنه العلمية</w:t>
      </w:r>
      <w:r w:rsidR="00DB731D" w:rsidRPr="00A52585">
        <w:rPr>
          <w:rtl/>
        </w:rPr>
        <w:t>،</w:t>
      </w:r>
      <w:r w:rsidRPr="00A52585">
        <w:rPr>
          <w:rtl/>
        </w:rPr>
        <w:t xml:space="preserve"> كما هو مشاهد</w:t>
      </w:r>
      <w:r w:rsidR="00DB731D" w:rsidRPr="00A52585">
        <w:rPr>
          <w:rtl/>
        </w:rPr>
        <w:t>،</w:t>
      </w:r>
      <w:r w:rsidRPr="00A52585">
        <w:rPr>
          <w:rtl/>
        </w:rPr>
        <w:t xml:space="preserve"> وقد رحل كثيراً وطاف بمكتبات العالم </w:t>
      </w:r>
      <w:proofErr w:type="spellStart"/>
      <w:r w:rsidRPr="00A52585">
        <w:rPr>
          <w:rtl/>
        </w:rPr>
        <w:t>الاسلامى</w:t>
      </w:r>
      <w:proofErr w:type="spellEnd"/>
      <w:r w:rsidR="00DB731D" w:rsidRPr="00A52585">
        <w:rPr>
          <w:rtl/>
        </w:rPr>
        <w:t>،</w:t>
      </w:r>
      <w:r w:rsidRPr="00A52585">
        <w:rPr>
          <w:rtl/>
        </w:rPr>
        <w:t xml:space="preserve"> ووقف على الكثير جداً من المؤلفات النادرة في هذه اللغات الثلاث في كل فن</w:t>
      </w:r>
      <w:r w:rsidR="00DB731D" w:rsidRPr="00A52585">
        <w:rPr>
          <w:rtl/>
        </w:rPr>
        <w:t>،</w:t>
      </w:r>
      <w:r w:rsidRPr="00A52585">
        <w:rPr>
          <w:rtl/>
        </w:rPr>
        <w:t xml:space="preserve"> وقوف دراسة وبحث واستقصاء</w:t>
      </w:r>
      <w:r w:rsidR="00DB731D" w:rsidRPr="00A52585">
        <w:rPr>
          <w:rtl/>
        </w:rPr>
        <w:t>،</w:t>
      </w:r>
      <w:r w:rsidRPr="00A52585">
        <w:rPr>
          <w:rFonts w:hint="cs"/>
          <w:rtl/>
        </w:rPr>
        <w:t xml:space="preserve"> </w:t>
      </w:r>
      <w:r w:rsidRPr="00A52585">
        <w:rPr>
          <w:rtl/>
        </w:rPr>
        <w:t xml:space="preserve">ويقول </w:t>
      </w:r>
      <w:proofErr w:type="spellStart"/>
      <w:r w:rsidRPr="00A52585">
        <w:rPr>
          <w:rtl/>
        </w:rPr>
        <w:t>القصيمى</w:t>
      </w:r>
      <w:proofErr w:type="spellEnd"/>
      <w:r w:rsidRPr="00A52585">
        <w:rPr>
          <w:rtl/>
        </w:rPr>
        <w:t xml:space="preserve"> في </w:t>
      </w:r>
      <w:proofErr w:type="spellStart"/>
      <w:r w:rsidRPr="00A52585">
        <w:rPr>
          <w:rtl/>
        </w:rPr>
        <w:t>مهاتراته</w:t>
      </w:r>
      <w:proofErr w:type="spellEnd"/>
      <w:r w:rsidR="0002035C" w:rsidRPr="00A52585">
        <w:rPr>
          <w:rtl/>
        </w:rPr>
        <w:t>:</w:t>
      </w:r>
      <w:r w:rsidRPr="00A52585">
        <w:rPr>
          <w:rtl/>
        </w:rPr>
        <w:t xml:space="preserve"> </w:t>
      </w:r>
      <w:r w:rsidR="0002035C" w:rsidRPr="00A52585">
        <w:rPr>
          <w:rtl/>
        </w:rPr>
        <w:t>(</w:t>
      </w:r>
      <w:r w:rsidRPr="00A52585">
        <w:rPr>
          <w:rtl/>
        </w:rPr>
        <w:t>أما الشيخ عبد الرحمن خليفة فقد ألفيناه أبداً يتطاير مع رياح الاهواء المضلة</w:t>
      </w:r>
      <w:r w:rsidR="00DB731D" w:rsidRPr="00A52585">
        <w:rPr>
          <w:rtl/>
        </w:rPr>
        <w:t>،</w:t>
      </w:r>
      <w:r w:rsidRPr="00A52585">
        <w:rPr>
          <w:rtl/>
        </w:rPr>
        <w:t xml:space="preserve"> وألفيناه أبداً نصير البدعة والمبتدعين</w:t>
      </w:r>
      <w:r w:rsidR="0002035C" w:rsidRPr="00A52585">
        <w:rPr>
          <w:rtl/>
        </w:rPr>
        <w:t>)</w:t>
      </w:r>
      <w:r w:rsidRPr="00A52585">
        <w:rPr>
          <w:rtl/>
        </w:rPr>
        <w:t xml:space="preserve"> </w:t>
      </w:r>
      <w:r w:rsidR="0002035C" w:rsidRPr="00A52585">
        <w:rPr>
          <w:rtl/>
        </w:rPr>
        <w:t>(</w:t>
      </w:r>
      <w:r w:rsidRPr="00A52585">
        <w:rPr>
          <w:rtl/>
        </w:rPr>
        <w:t xml:space="preserve">والشيخ عبد الرحمن خليفة الذى يحفل بهذا </w:t>
      </w:r>
      <w:proofErr w:type="spellStart"/>
      <w:r w:rsidRPr="00A52585">
        <w:rPr>
          <w:rtl/>
        </w:rPr>
        <w:t>الكوثرى</w:t>
      </w:r>
      <w:proofErr w:type="spellEnd"/>
      <w:r w:rsidRPr="00A52585">
        <w:rPr>
          <w:rtl/>
        </w:rPr>
        <w:t xml:space="preserve"> ويبجله ويطريه</w:t>
      </w:r>
      <w:r w:rsidR="00897A24" w:rsidRPr="00A52585">
        <w:rPr>
          <w:rtl/>
        </w:rPr>
        <w:t>.</w:t>
      </w:r>
      <w:r w:rsidRPr="00A52585">
        <w:rPr>
          <w:rtl/>
        </w:rPr>
        <w:t xml:space="preserve"> ويفاخر ويكاثر بعلمه</w:t>
      </w:r>
      <w:r w:rsidR="00DB731D" w:rsidRPr="00A52585">
        <w:rPr>
          <w:rtl/>
        </w:rPr>
        <w:t>،</w:t>
      </w:r>
      <w:r w:rsidRPr="00A52585">
        <w:rPr>
          <w:rtl/>
        </w:rPr>
        <w:t xml:space="preserve"> وبما كتبه من الهذيان</w:t>
      </w:r>
      <w:r w:rsidR="00DB731D" w:rsidRPr="00A52585">
        <w:rPr>
          <w:rtl/>
        </w:rPr>
        <w:t>،</w:t>
      </w:r>
      <w:r w:rsidRPr="00A52585">
        <w:rPr>
          <w:rtl/>
        </w:rPr>
        <w:t xml:space="preserve"> يتحامل على شيخ الاسلام ابن تيمية ويطنب في هجائه وذمه</w:t>
      </w:r>
      <w:r w:rsidR="00897A24" w:rsidRPr="00A52585">
        <w:rPr>
          <w:rtl/>
        </w:rPr>
        <w:t>.</w:t>
      </w:r>
      <w:r w:rsidRPr="00A52585">
        <w:rPr>
          <w:rtl/>
        </w:rPr>
        <w:t xml:space="preserve"> بل ويطرب عند سماع ذلك</w:t>
      </w:r>
      <w:r w:rsidR="00897A24" w:rsidRPr="00A52585">
        <w:rPr>
          <w:rtl/>
        </w:rPr>
        <w:t>.</w:t>
      </w:r>
      <w:r w:rsidRPr="00A52585">
        <w:rPr>
          <w:rtl/>
        </w:rPr>
        <w:t xml:space="preserve"> ورجل يبلغ به الضعف </w:t>
      </w:r>
      <w:proofErr w:type="spellStart"/>
      <w:r w:rsidRPr="00A52585">
        <w:rPr>
          <w:rtl/>
        </w:rPr>
        <w:t>العلمى</w:t>
      </w:r>
      <w:proofErr w:type="spellEnd"/>
      <w:r w:rsidRPr="00A52585">
        <w:rPr>
          <w:rtl/>
        </w:rPr>
        <w:t xml:space="preserve"> أن يذم أمثال ابن تيمية ويمتدح </w:t>
      </w:r>
      <w:proofErr w:type="spellStart"/>
      <w:r w:rsidRPr="00A52585">
        <w:rPr>
          <w:rtl/>
        </w:rPr>
        <w:t>الكوثرى</w:t>
      </w:r>
      <w:proofErr w:type="spellEnd"/>
      <w:r w:rsidRPr="00A52585">
        <w:rPr>
          <w:rtl/>
        </w:rPr>
        <w:t xml:space="preserve"> خليق بإشفاق والرثاء والعلاج</w:t>
      </w:r>
      <w:r w:rsidR="0002035C" w:rsidRPr="00A52585">
        <w:rPr>
          <w:rtl/>
        </w:rPr>
        <w:t>)</w:t>
      </w:r>
      <w:r w:rsidR="00DB731D" w:rsidRPr="00A52585">
        <w:rPr>
          <w:rtl/>
        </w:rPr>
        <w:t>،</w:t>
      </w:r>
      <w:r w:rsidRPr="00A52585">
        <w:rPr>
          <w:rFonts w:hint="cs"/>
          <w:rtl/>
        </w:rPr>
        <w:t xml:space="preserve"> </w:t>
      </w:r>
      <w:r w:rsidRPr="00A52585">
        <w:rPr>
          <w:rtl/>
        </w:rPr>
        <w:t xml:space="preserve">وأقول </w:t>
      </w:r>
      <w:proofErr w:type="gramStart"/>
      <w:r w:rsidRPr="00A52585">
        <w:rPr>
          <w:rtl/>
        </w:rPr>
        <w:t>أن</w:t>
      </w:r>
      <w:proofErr w:type="gramEnd"/>
      <w:r w:rsidRPr="00A52585">
        <w:rPr>
          <w:rtl/>
        </w:rPr>
        <w:t xml:space="preserve"> حبى وهو </w:t>
      </w:r>
      <w:proofErr w:type="spellStart"/>
      <w:r w:rsidRPr="00A52585">
        <w:rPr>
          <w:rtl/>
        </w:rPr>
        <w:t>اى</w:t>
      </w:r>
      <w:proofErr w:type="spellEnd"/>
      <w:r w:rsidRPr="00A52585">
        <w:rPr>
          <w:rtl/>
        </w:rPr>
        <w:t xml:space="preserve"> </w:t>
      </w:r>
      <w:proofErr w:type="spellStart"/>
      <w:r w:rsidRPr="00A52585">
        <w:rPr>
          <w:rtl/>
        </w:rPr>
        <w:t>وميولى</w:t>
      </w:r>
      <w:proofErr w:type="spellEnd"/>
      <w:r w:rsidR="0002035C" w:rsidRPr="00A52585">
        <w:rPr>
          <w:rtl/>
        </w:rPr>
        <w:t xml:space="preserve"> </w:t>
      </w:r>
      <w:r w:rsidRPr="00A52585">
        <w:rPr>
          <w:rtl/>
        </w:rPr>
        <w:t>-</w:t>
      </w:r>
      <w:r w:rsidR="0002035C" w:rsidRPr="00A52585">
        <w:rPr>
          <w:rtl/>
        </w:rPr>
        <w:t xml:space="preserve"> </w:t>
      </w:r>
      <w:r w:rsidRPr="00A52585">
        <w:rPr>
          <w:rtl/>
        </w:rPr>
        <w:t>بحمد الله وتوفيقه</w:t>
      </w:r>
      <w:r w:rsidR="0002035C" w:rsidRPr="00A52585">
        <w:rPr>
          <w:rtl/>
        </w:rPr>
        <w:t xml:space="preserve"> </w:t>
      </w:r>
      <w:r w:rsidRPr="00A52585">
        <w:rPr>
          <w:rtl/>
        </w:rPr>
        <w:t>-</w:t>
      </w:r>
      <w:r w:rsidR="0002035C" w:rsidRPr="00A52585">
        <w:rPr>
          <w:rtl/>
        </w:rPr>
        <w:t xml:space="preserve"> </w:t>
      </w:r>
      <w:r w:rsidRPr="00A52585">
        <w:rPr>
          <w:rtl/>
        </w:rPr>
        <w:t>متجهة كلها نحو</w:t>
      </w:r>
      <w:r w:rsidRPr="00A52585">
        <w:rPr>
          <w:rFonts w:hint="cs"/>
          <w:rtl/>
          <w:lang w:bidi="ar-KW"/>
        </w:rPr>
        <w:t xml:space="preserve"> </w:t>
      </w:r>
      <w:r w:rsidRPr="00A52585">
        <w:rPr>
          <w:rtl/>
        </w:rPr>
        <w:t>محاب الله ومراضيه</w:t>
      </w:r>
      <w:r w:rsidR="00897A24" w:rsidRPr="00A52585">
        <w:rPr>
          <w:rtl/>
        </w:rPr>
        <w:t>.</w:t>
      </w:r>
      <w:r w:rsidRPr="00A52585">
        <w:rPr>
          <w:rtl/>
        </w:rPr>
        <w:t xml:space="preserve"> ورأيت </w:t>
      </w:r>
      <w:proofErr w:type="spellStart"/>
      <w:r w:rsidRPr="00A52585">
        <w:rPr>
          <w:rtl/>
        </w:rPr>
        <w:t>الكوثرى</w:t>
      </w:r>
      <w:proofErr w:type="spellEnd"/>
      <w:r w:rsidRPr="00A52585">
        <w:rPr>
          <w:rtl/>
        </w:rPr>
        <w:t xml:space="preserve"> يناضل ويكافح وينفى عن الله صفات الحوادث التي يثبتها ابن تيمية بصريح عباراته</w:t>
      </w:r>
      <w:r w:rsidR="00DB731D" w:rsidRPr="00A52585">
        <w:rPr>
          <w:rtl/>
        </w:rPr>
        <w:t>،</w:t>
      </w:r>
      <w:r w:rsidRPr="00A52585">
        <w:rPr>
          <w:rtl/>
        </w:rPr>
        <w:t xml:space="preserve"> وعبارات من ينقل عنه صريح التجسيم من </w:t>
      </w:r>
      <w:proofErr w:type="spellStart"/>
      <w:r w:rsidRPr="00A52585">
        <w:rPr>
          <w:rtl/>
        </w:rPr>
        <w:t>الحشوية</w:t>
      </w:r>
      <w:proofErr w:type="spellEnd"/>
      <w:r w:rsidRPr="00A52585">
        <w:rPr>
          <w:rtl/>
        </w:rPr>
        <w:t xml:space="preserve"> أمثال </w:t>
      </w:r>
      <w:proofErr w:type="spellStart"/>
      <w:r w:rsidRPr="00A52585">
        <w:rPr>
          <w:rtl/>
        </w:rPr>
        <w:t>الدرامى</w:t>
      </w:r>
      <w:proofErr w:type="spellEnd"/>
      <w:r w:rsidRPr="00A52585">
        <w:rPr>
          <w:rtl/>
        </w:rPr>
        <w:t xml:space="preserve"> ومن على شاكلته تأييد لرأيه</w:t>
      </w:r>
      <w:r w:rsidR="00897A24" w:rsidRPr="00A52585">
        <w:rPr>
          <w:rtl/>
        </w:rPr>
        <w:t>.</w:t>
      </w:r>
      <w:r w:rsidRPr="00A52585">
        <w:rPr>
          <w:rtl/>
        </w:rPr>
        <w:t xml:space="preserve"> وتوثيقاً</w:t>
      </w:r>
      <w:r w:rsidRPr="00A52585">
        <w:rPr>
          <w:rFonts w:hint="cs"/>
          <w:rtl/>
        </w:rPr>
        <w:t xml:space="preserve"> </w:t>
      </w:r>
      <w:r w:rsidRPr="00A52585">
        <w:rPr>
          <w:rtl/>
        </w:rPr>
        <w:t>لمذهبه في التجسيم</w:t>
      </w:r>
      <w:r w:rsidR="00897A24" w:rsidRPr="00A52585">
        <w:rPr>
          <w:rtl/>
        </w:rPr>
        <w:t>.</w:t>
      </w:r>
      <w:r w:rsidRPr="00A52585">
        <w:rPr>
          <w:rtl/>
        </w:rPr>
        <w:t xml:space="preserve"> ورأيتكم ومن على شاكلتكم تقلدون ابن تيمية تقليداً أعمى ولا تحيدون عن آرائه وأقواله في هذا الصدد قيد أنملة</w:t>
      </w:r>
      <w:r w:rsidR="00DB731D" w:rsidRPr="00A52585">
        <w:rPr>
          <w:rtl/>
        </w:rPr>
        <w:t>،</w:t>
      </w:r>
      <w:r w:rsidRPr="00A52585">
        <w:rPr>
          <w:rtl/>
        </w:rPr>
        <w:t xml:space="preserve"> فمن منا أحق بالرثاء والإشفاق وأولى بالعلاج</w:t>
      </w:r>
      <w:r w:rsidR="00897A24" w:rsidRPr="00A52585">
        <w:rPr>
          <w:rtl/>
        </w:rPr>
        <w:t>.</w:t>
      </w:r>
      <w:r w:rsidRPr="00A52585">
        <w:rPr>
          <w:rtl/>
        </w:rPr>
        <w:t xml:space="preserve"> ومن منا نصير البدعة والمبتدعين</w:t>
      </w:r>
      <w:r w:rsidR="00F95886" w:rsidRPr="00A52585">
        <w:rPr>
          <w:rtl/>
        </w:rPr>
        <w:t>!</w:t>
      </w:r>
      <w:r w:rsidRPr="00A52585">
        <w:rPr>
          <w:rtl/>
        </w:rPr>
        <w:t>؟</w:t>
      </w:r>
      <w:r w:rsidR="00DB731D" w:rsidRPr="00A52585">
        <w:rPr>
          <w:rtl/>
        </w:rPr>
        <w:t>،</w:t>
      </w:r>
      <w:r w:rsidRPr="00A52585">
        <w:rPr>
          <w:rFonts w:hint="cs"/>
          <w:rtl/>
        </w:rPr>
        <w:t xml:space="preserve"> </w:t>
      </w:r>
      <w:r w:rsidRPr="00A52585">
        <w:rPr>
          <w:rtl/>
        </w:rPr>
        <w:t xml:space="preserve">وأما شيخكم وإمامكم </w:t>
      </w:r>
      <w:proofErr w:type="spellStart"/>
      <w:r w:rsidRPr="00A52585">
        <w:rPr>
          <w:rtl/>
        </w:rPr>
        <w:t>الحرانى</w:t>
      </w:r>
      <w:proofErr w:type="spellEnd"/>
      <w:r w:rsidRPr="00A52585">
        <w:rPr>
          <w:rtl/>
        </w:rPr>
        <w:t xml:space="preserve"> فقد ذمه كثير من العلماء والاُئمة قديماً وحديثاً</w:t>
      </w:r>
      <w:r w:rsidR="00897A24" w:rsidRPr="00A52585">
        <w:rPr>
          <w:rtl/>
        </w:rPr>
        <w:t>.</w:t>
      </w:r>
      <w:r w:rsidRPr="00A52585">
        <w:rPr>
          <w:rtl/>
        </w:rPr>
        <w:t xml:space="preserve"> ولم يكونوا من الضعف </w:t>
      </w:r>
      <w:proofErr w:type="spellStart"/>
      <w:r w:rsidRPr="00A52585">
        <w:rPr>
          <w:rtl/>
        </w:rPr>
        <w:t>العلمى</w:t>
      </w:r>
      <w:proofErr w:type="spellEnd"/>
      <w:r w:rsidRPr="00A52585">
        <w:rPr>
          <w:rtl/>
        </w:rPr>
        <w:t xml:space="preserve"> في قليل ولا كثير</w:t>
      </w:r>
      <w:r w:rsidR="00DB731D" w:rsidRPr="00A52585">
        <w:rPr>
          <w:rtl/>
        </w:rPr>
        <w:t>،</w:t>
      </w:r>
      <w:r w:rsidR="0002035C" w:rsidRPr="00A52585">
        <w:rPr>
          <w:rFonts w:hint="cs"/>
          <w:rtl/>
        </w:rPr>
        <w:t xml:space="preserve"> </w:t>
      </w:r>
      <w:r w:rsidRPr="00A52585">
        <w:rPr>
          <w:rtl/>
        </w:rPr>
        <w:t>واسمع قول الذهبي من نصيحة بعث إليه قال فيها يخاطبه</w:t>
      </w:r>
      <w:r w:rsidR="0002035C" w:rsidRPr="00A52585">
        <w:rPr>
          <w:rtl/>
        </w:rPr>
        <w:t>:</w:t>
      </w:r>
      <w:r w:rsidRPr="00A52585">
        <w:rPr>
          <w:rtl/>
        </w:rPr>
        <w:t xml:space="preserve"> " طوبى لمن شغله عيبه عن عيوب الناس</w:t>
      </w:r>
      <w:r w:rsidR="00DB731D" w:rsidRPr="00A52585">
        <w:rPr>
          <w:rtl/>
        </w:rPr>
        <w:t>،</w:t>
      </w:r>
      <w:r w:rsidRPr="00A52585">
        <w:rPr>
          <w:rtl/>
        </w:rPr>
        <w:t xml:space="preserve"> وتباً لمن شغله عيبه عن عيوب الناس</w:t>
      </w:r>
      <w:r w:rsidR="00DB731D" w:rsidRPr="00A52585">
        <w:rPr>
          <w:rtl/>
        </w:rPr>
        <w:t>،</w:t>
      </w:r>
      <w:r w:rsidRPr="00A52585">
        <w:rPr>
          <w:rtl/>
        </w:rPr>
        <w:t xml:space="preserve"> إلى كم ترى </w:t>
      </w:r>
      <w:proofErr w:type="spellStart"/>
      <w:r w:rsidRPr="00A52585">
        <w:rPr>
          <w:rtl/>
        </w:rPr>
        <w:t>القذاه</w:t>
      </w:r>
      <w:proofErr w:type="spellEnd"/>
      <w:r w:rsidRPr="00A52585">
        <w:rPr>
          <w:rtl/>
        </w:rPr>
        <w:t xml:space="preserve"> في عين أخيك وتنسى الجذع في عينك</w:t>
      </w:r>
      <w:r w:rsidR="00DB731D" w:rsidRPr="00A52585">
        <w:rPr>
          <w:rtl/>
        </w:rPr>
        <w:t>،</w:t>
      </w:r>
      <w:r w:rsidRPr="00A52585">
        <w:rPr>
          <w:rtl/>
        </w:rPr>
        <w:t xml:space="preserve"> إلى كم تمدح نفسك وشقاشقك وعباراتك وتذم العلماء "</w:t>
      </w:r>
      <w:r w:rsidR="00DB731D" w:rsidRPr="00A52585">
        <w:rPr>
          <w:rtl/>
        </w:rPr>
        <w:t>،</w:t>
      </w:r>
      <w:r w:rsidRPr="00A52585">
        <w:rPr>
          <w:rFonts w:hint="cs"/>
          <w:rtl/>
        </w:rPr>
        <w:t xml:space="preserve"> </w:t>
      </w:r>
      <w:r w:rsidRPr="00A52585">
        <w:rPr>
          <w:rtl/>
        </w:rPr>
        <w:t>ومنها في صفه أتباعه وصفة نفسه</w:t>
      </w:r>
      <w:r w:rsidR="0002035C" w:rsidRPr="00A52585">
        <w:rPr>
          <w:rtl/>
        </w:rPr>
        <w:t>:</w:t>
      </w:r>
      <w:r w:rsidRPr="00A52585">
        <w:rPr>
          <w:rtl/>
        </w:rPr>
        <w:t xml:space="preserve"> " إن سلم لك إيمانك بالشهادتين فأنت سعيد</w:t>
      </w:r>
      <w:r w:rsidR="00897A24" w:rsidRPr="00A52585">
        <w:rPr>
          <w:rtl/>
        </w:rPr>
        <w:t>.</w:t>
      </w:r>
      <w:r w:rsidRPr="00A52585">
        <w:rPr>
          <w:rtl/>
        </w:rPr>
        <w:t xml:space="preserve"> يا خيبة من اتبعك</w:t>
      </w:r>
      <w:r w:rsidR="00897A24" w:rsidRPr="00A52585">
        <w:rPr>
          <w:rtl/>
        </w:rPr>
        <w:t>.</w:t>
      </w:r>
      <w:r w:rsidRPr="00A52585">
        <w:rPr>
          <w:rtl/>
        </w:rPr>
        <w:t xml:space="preserve"> فإنه معرض للزندقة والانحلال لا سيما إذا كان قليل العلم </w:t>
      </w:r>
      <w:proofErr w:type="spellStart"/>
      <w:r w:rsidRPr="00A52585">
        <w:rPr>
          <w:rtl/>
        </w:rPr>
        <w:t>باطولياً</w:t>
      </w:r>
      <w:proofErr w:type="spellEnd"/>
      <w:r w:rsidRPr="00A52585">
        <w:rPr>
          <w:rtl/>
        </w:rPr>
        <w:t xml:space="preserve"> شهوانياً</w:t>
      </w:r>
      <w:r w:rsidR="00DB731D" w:rsidRPr="00A52585">
        <w:rPr>
          <w:rtl/>
        </w:rPr>
        <w:t>،</w:t>
      </w:r>
      <w:r w:rsidRPr="00A52585">
        <w:rPr>
          <w:rtl/>
        </w:rPr>
        <w:t xml:space="preserve"> ولكنه ينفعك ويجاهد عندك بيده ولسانه</w:t>
      </w:r>
      <w:r w:rsidR="00897A24" w:rsidRPr="00A52585">
        <w:rPr>
          <w:rtl/>
        </w:rPr>
        <w:t>.</w:t>
      </w:r>
      <w:r w:rsidRPr="00A52585">
        <w:rPr>
          <w:rtl/>
        </w:rPr>
        <w:t xml:space="preserve"> وفي الباطن </w:t>
      </w:r>
      <w:proofErr w:type="spellStart"/>
      <w:r w:rsidRPr="00A52585">
        <w:rPr>
          <w:rtl/>
        </w:rPr>
        <w:t>عدولك</w:t>
      </w:r>
      <w:proofErr w:type="spellEnd"/>
      <w:r w:rsidRPr="00A52585">
        <w:rPr>
          <w:rtl/>
        </w:rPr>
        <w:t xml:space="preserve"> بحاله وقلبه</w:t>
      </w:r>
      <w:r w:rsidR="00DB731D" w:rsidRPr="00A52585">
        <w:rPr>
          <w:rtl/>
        </w:rPr>
        <w:t>،</w:t>
      </w:r>
      <w:r w:rsidRPr="00A52585">
        <w:rPr>
          <w:rtl/>
        </w:rPr>
        <w:t xml:space="preserve"> فهل معظم </w:t>
      </w:r>
      <w:r w:rsidRPr="00A52585">
        <w:rPr>
          <w:rtl/>
        </w:rPr>
        <w:lastRenderedPageBreak/>
        <w:t>أتباعك إلا قيد مربوط خفيف العقل</w:t>
      </w:r>
      <w:r w:rsidR="00F95886" w:rsidRPr="00A52585">
        <w:rPr>
          <w:rtl/>
        </w:rPr>
        <w:t>!</w:t>
      </w:r>
      <w:r w:rsidRPr="00A52585">
        <w:rPr>
          <w:rtl/>
        </w:rPr>
        <w:t xml:space="preserve"> </w:t>
      </w:r>
      <w:proofErr w:type="spellStart"/>
      <w:r w:rsidRPr="00A52585">
        <w:rPr>
          <w:rtl/>
        </w:rPr>
        <w:t>أوعامى</w:t>
      </w:r>
      <w:proofErr w:type="spellEnd"/>
      <w:r w:rsidRPr="00A52585">
        <w:rPr>
          <w:rtl/>
        </w:rPr>
        <w:t xml:space="preserve"> كذاب بليد الذهن</w:t>
      </w:r>
      <w:r w:rsidR="00F95886" w:rsidRPr="00A52585">
        <w:rPr>
          <w:rtl/>
        </w:rPr>
        <w:t>!</w:t>
      </w:r>
      <w:r w:rsidRPr="00A52585">
        <w:rPr>
          <w:rtl/>
        </w:rPr>
        <w:t xml:space="preserve"> </w:t>
      </w:r>
      <w:proofErr w:type="spellStart"/>
      <w:r w:rsidRPr="00A52585">
        <w:rPr>
          <w:rtl/>
        </w:rPr>
        <w:t>أوغريب</w:t>
      </w:r>
      <w:proofErr w:type="spellEnd"/>
      <w:r w:rsidRPr="00A52585">
        <w:rPr>
          <w:rtl/>
        </w:rPr>
        <w:t xml:space="preserve"> واجم قوى الفكر</w:t>
      </w:r>
      <w:r w:rsidR="00F95886" w:rsidRPr="00A52585">
        <w:rPr>
          <w:rtl/>
        </w:rPr>
        <w:t>!</w:t>
      </w:r>
      <w:r w:rsidRPr="00A52585">
        <w:rPr>
          <w:rtl/>
        </w:rPr>
        <w:t xml:space="preserve"> </w:t>
      </w:r>
      <w:proofErr w:type="spellStart"/>
      <w:r w:rsidRPr="00A52585">
        <w:rPr>
          <w:rtl/>
        </w:rPr>
        <w:t>أوناشف</w:t>
      </w:r>
      <w:proofErr w:type="spellEnd"/>
      <w:r w:rsidRPr="00A52585">
        <w:rPr>
          <w:rtl/>
        </w:rPr>
        <w:t xml:space="preserve"> صالح عديم الفهم</w:t>
      </w:r>
      <w:r w:rsidR="00897A24" w:rsidRPr="00A52585">
        <w:rPr>
          <w:rtl/>
        </w:rPr>
        <w:t>.</w:t>
      </w:r>
      <w:r w:rsidRPr="00A52585">
        <w:rPr>
          <w:rtl/>
        </w:rPr>
        <w:t xml:space="preserve"> وإن لم </w:t>
      </w:r>
      <w:proofErr w:type="spellStart"/>
      <w:r w:rsidRPr="00A52585">
        <w:rPr>
          <w:rtl/>
        </w:rPr>
        <w:t>تصدقنى</w:t>
      </w:r>
      <w:proofErr w:type="spellEnd"/>
      <w:r w:rsidRPr="00A52585">
        <w:rPr>
          <w:rtl/>
        </w:rPr>
        <w:t xml:space="preserve"> ففتشهم وزنهم بالعدل</w:t>
      </w:r>
      <w:r w:rsidR="00897A24" w:rsidRPr="00A52585">
        <w:rPr>
          <w:rtl/>
        </w:rPr>
        <w:t>.</w:t>
      </w:r>
      <w:r w:rsidRPr="00A52585">
        <w:rPr>
          <w:rtl/>
        </w:rPr>
        <w:t>.. إلى كم تصادق نفسك وتعادى الاخيار</w:t>
      </w:r>
      <w:r w:rsidR="00897A24" w:rsidRPr="00A52585">
        <w:rPr>
          <w:rtl/>
        </w:rPr>
        <w:t>.</w:t>
      </w:r>
      <w:r w:rsidRPr="00A52585">
        <w:rPr>
          <w:rtl/>
        </w:rPr>
        <w:t xml:space="preserve"> إلى كم تصادقها وتزدرى الابرار</w:t>
      </w:r>
      <w:r w:rsidR="00F95886" w:rsidRPr="00A52585">
        <w:rPr>
          <w:rtl/>
        </w:rPr>
        <w:t>!</w:t>
      </w:r>
      <w:r w:rsidRPr="00A52585">
        <w:rPr>
          <w:rtl/>
        </w:rPr>
        <w:t xml:space="preserve"> إلى كم تعظمها وتصغر العباد</w:t>
      </w:r>
      <w:r w:rsidR="00F95886" w:rsidRPr="00A52585">
        <w:rPr>
          <w:rtl/>
        </w:rPr>
        <w:t>!</w:t>
      </w:r>
      <w:r w:rsidRPr="00A52585">
        <w:rPr>
          <w:rtl/>
        </w:rPr>
        <w:t xml:space="preserve"> إلى كم تجللها وتمقت الزهاد</w:t>
      </w:r>
      <w:r w:rsidR="00F95886" w:rsidRPr="00A52585">
        <w:rPr>
          <w:rtl/>
        </w:rPr>
        <w:t>!</w:t>
      </w:r>
      <w:r w:rsidRPr="00A52585">
        <w:rPr>
          <w:rtl/>
        </w:rPr>
        <w:t xml:space="preserve"> إلى متى تمدح كلامك </w:t>
      </w:r>
      <w:proofErr w:type="spellStart"/>
      <w:r w:rsidRPr="00A52585">
        <w:rPr>
          <w:rtl/>
        </w:rPr>
        <w:t>بكيفة</w:t>
      </w:r>
      <w:proofErr w:type="spellEnd"/>
      <w:r w:rsidRPr="00A52585">
        <w:rPr>
          <w:rtl/>
        </w:rPr>
        <w:t xml:space="preserve"> لا تمدح بها والله أحاديث الصحيحين</w:t>
      </w:r>
      <w:r w:rsidR="00897A24" w:rsidRPr="00A52585">
        <w:rPr>
          <w:rtl/>
        </w:rPr>
        <w:t>.</w:t>
      </w:r>
      <w:r w:rsidRPr="00A52585">
        <w:rPr>
          <w:rtl/>
        </w:rPr>
        <w:t xml:space="preserve"> يا ليت أحاديث الصحيحين تسلم منك</w:t>
      </w:r>
      <w:r w:rsidR="00F95886" w:rsidRPr="00A52585">
        <w:rPr>
          <w:rtl/>
        </w:rPr>
        <w:t>!</w:t>
      </w:r>
      <w:r w:rsidRPr="00A52585">
        <w:rPr>
          <w:rtl/>
        </w:rPr>
        <w:t xml:space="preserve"> بل في كل وقت تغير عليها بالتضعيف والاهدار</w:t>
      </w:r>
      <w:r w:rsidR="00F95886" w:rsidRPr="00A52585">
        <w:rPr>
          <w:rtl/>
        </w:rPr>
        <w:t>!</w:t>
      </w:r>
      <w:r w:rsidRPr="00A52585">
        <w:rPr>
          <w:rtl/>
        </w:rPr>
        <w:t xml:space="preserve"> </w:t>
      </w:r>
      <w:proofErr w:type="spellStart"/>
      <w:r w:rsidRPr="00A52585">
        <w:rPr>
          <w:rtl/>
        </w:rPr>
        <w:t>أوبالتأويل</w:t>
      </w:r>
      <w:proofErr w:type="spellEnd"/>
      <w:r w:rsidRPr="00A52585">
        <w:rPr>
          <w:rtl/>
        </w:rPr>
        <w:t xml:space="preserve"> والانكار</w:t>
      </w:r>
      <w:r w:rsidR="00DB731D" w:rsidRPr="00A52585">
        <w:rPr>
          <w:rtl/>
        </w:rPr>
        <w:t>،</w:t>
      </w:r>
      <w:r w:rsidRPr="00A52585">
        <w:rPr>
          <w:rtl/>
        </w:rPr>
        <w:t xml:space="preserve"> أما آن لك أن ترعوى</w:t>
      </w:r>
      <w:r w:rsidR="00F95886" w:rsidRPr="00A52585">
        <w:rPr>
          <w:rtl/>
        </w:rPr>
        <w:t>؟</w:t>
      </w:r>
      <w:r w:rsidRPr="00A52585">
        <w:rPr>
          <w:rtl/>
        </w:rPr>
        <w:t xml:space="preserve"> أما آن لك أن تتوب وتنيب</w:t>
      </w:r>
      <w:r w:rsidR="00F95886" w:rsidRPr="00A52585">
        <w:rPr>
          <w:rtl/>
        </w:rPr>
        <w:t>؟</w:t>
      </w:r>
      <w:r w:rsidRPr="00A52585">
        <w:rPr>
          <w:rtl/>
        </w:rPr>
        <w:t xml:space="preserve"> أما أنت في عشر السبعين وقد قرب الرحيل</w:t>
      </w:r>
      <w:r w:rsidR="00F95886" w:rsidRPr="00A52585">
        <w:rPr>
          <w:rtl/>
        </w:rPr>
        <w:t>؟</w:t>
      </w:r>
      <w:r w:rsidR="0002035C" w:rsidRPr="00A52585">
        <w:rPr>
          <w:rtl/>
        </w:rPr>
        <w:t xml:space="preserve"> </w:t>
      </w:r>
      <w:r w:rsidR="0002035C" w:rsidRPr="00A52585">
        <w:rPr>
          <w:rFonts w:hint="cs"/>
          <w:sz w:val="24"/>
          <w:szCs w:val="24"/>
          <w:rtl/>
        </w:rPr>
        <w:t>[</w:t>
      </w:r>
      <w:r w:rsidRPr="00A52585">
        <w:rPr>
          <w:sz w:val="24"/>
          <w:szCs w:val="24"/>
          <w:rtl/>
        </w:rPr>
        <w:t>هذه نصيحة الذهبي الابن تيمية</w:t>
      </w:r>
      <w:r w:rsidR="00DB731D" w:rsidRPr="00A52585">
        <w:rPr>
          <w:sz w:val="24"/>
          <w:szCs w:val="24"/>
          <w:rtl/>
        </w:rPr>
        <w:t>،</w:t>
      </w:r>
      <w:r w:rsidRPr="00A52585">
        <w:rPr>
          <w:sz w:val="24"/>
          <w:szCs w:val="24"/>
          <w:rtl/>
        </w:rPr>
        <w:t xml:space="preserve"> </w:t>
      </w:r>
      <w:proofErr w:type="gramStart"/>
      <w:r w:rsidRPr="00A52585">
        <w:rPr>
          <w:sz w:val="24"/>
          <w:szCs w:val="24"/>
          <w:rtl/>
        </w:rPr>
        <w:t>وهى</w:t>
      </w:r>
      <w:proofErr w:type="gramEnd"/>
      <w:r w:rsidRPr="00A52585">
        <w:rPr>
          <w:sz w:val="24"/>
          <w:szCs w:val="24"/>
          <w:rtl/>
        </w:rPr>
        <w:t xml:space="preserve"> ثابتة النسبة إليه</w:t>
      </w:r>
      <w:r w:rsidR="00897A24" w:rsidRPr="00A52585">
        <w:rPr>
          <w:sz w:val="24"/>
          <w:szCs w:val="24"/>
          <w:rtl/>
        </w:rPr>
        <w:t>.</w:t>
      </w:r>
      <w:r w:rsidRPr="00A52585">
        <w:rPr>
          <w:sz w:val="24"/>
          <w:szCs w:val="24"/>
          <w:rtl/>
        </w:rPr>
        <w:t xml:space="preserve"> ولا قيمة للكلام </w:t>
      </w:r>
      <w:proofErr w:type="spellStart"/>
      <w:r w:rsidRPr="00A52585">
        <w:rPr>
          <w:sz w:val="24"/>
          <w:szCs w:val="24"/>
          <w:rtl/>
        </w:rPr>
        <w:t>الخطابى</w:t>
      </w:r>
      <w:proofErr w:type="spellEnd"/>
      <w:r w:rsidRPr="00A52585">
        <w:rPr>
          <w:sz w:val="24"/>
          <w:szCs w:val="24"/>
          <w:rtl/>
        </w:rPr>
        <w:t xml:space="preserve"> </w:t>
      </w:r>
      <w:proofErr w:type="spellStart"/>
      <w:r w:rsidRPr="00A52585">
        <w:rPr>
          <w:sz w:val="24"/>
          <w:szCs w:val="24"/>
          <w:rtl/>
        </w:rPr>
        <w:t>العاطفى</w:t>
      </w:r>
      <w:proofErr w:type="spellEnd"/>
      <w:r w:rsidRPr="00A52585">
        <w:rPr>
          <w:sz w:val="24"/>
          <w:szCs w:val="24"/>
          <w:rtl/>
        </w:rPr>
        <w:t xml:space="preserve"> في إبطالها</w:t>
      </w:r>
      <w:r w:rsidR="00897A24" w:rsidRPr="00A52585">
        <w:rPr>
          <w:sz w:val="24"/>
          <w:szCs w:val="24"/>
          <w:rtl/>
        </w:rPr>
        <w:t>.</w:t>
      </w:r>
      <w:r w:rsidRPr="00A52585">
        <w:rPr>
          <w:sz w:val="24"/>
          <w:szCs w:val="24"/>
          <w:rtl/>
        </w:rPr>
        <w:t xml:space="preserve"> قال الدكتور المنجد في كتابه عن ابن تيمية " </w:t>
      </w:r>
      <w:proofErr w:type="spellStart"/>
      <w:r w:rsidRPr="00A52585">
        <w:rPr>
          <w:sz w:val="24"/>
          <w:szCs w:val="24"/>
          <w:rtl/>
        </w:rPr>
        <w:t>سيرتة</w:t>
      </w:r>
      <w:proofErr w:type="spellEnd"/>
      <w:r w:rsidRPr="00A52585">
        <w:rPr>
          <w:sz w:val="24"/>
          <w:szCs w:val="24"/>
          <w:rtl/>
        </w:rPr>
        <w:t xml:space="preserve"> </w:t>
      </w:r>
      <w:proofErr w:type="spellStart"/>
      <w:r w:rsidRPr="00A52585">
        <w:rPr>
          <w:sz w:val="24"/>
          <w:szCs w:val="24"/>
          <w:rtl/>
        </w:rPr>
        <w:t>وأخبارة</w:t>
      </w:r>
      <w:proofErr w:type="spellEnd"/>
      <w:r w:rsidRPr="00A52585">
        <w:rPr>
          <w:sz w:val="24"/>
          <w:szCs w:val="24"/>
          <w:rtl/>
        </w:rPr>
        <w:t xml:space="preserve"> عند المؤرخين " ص14 بعد أورد " النصيحة الذهبية "</w:t>
      </w:r>
      <w:r w:rsidR="0002035C" w:rsidRPr="00A52585">
        <w:rPr>
          <w:sz w:val="24"/>
          <w:szCs w:val="24"/>
          <w:rtl/>
        </w:rPr>
        <w:t>:</w:t>
      </w:r>
      <w:r w:rsidRPr="00A52585">
        <w:rPr>
          <w:sz w:val="24"/>
          <w:szCs w:val="24"/>
          <w:rtl/>
        </w:rPr>
        <w:t xml:space="preserve"> " شك بعضهم في نسبة هذه النصيحة </w:t>
      </w:r>
      <w:proofErr w:type="spellStart"/>
      <w:r w:rsidRPr="00A52585">
        <w:rPr>
          <w:sz w:val="24"/>
          <w:szCs w:val="24"/>
          <w:rtl/>
        </w:rPr>
        <w:t>للذهبى</w:t>
      </w:r>
      <w:proofErr w:type="spellEnd"/>
      <w:r w:rsidRPr="00A52585">
        <w:rPr>
          <w:sz w:val="24"/>
          <w:szCs w:val="24"/>
          <w:rtl/>
        </w:rPr>
        <w:t xml:space="preserve"> ولا شك عندنا أنها له</w:t>
      </w:r>
      <w:r w:rsidR="00897A24" w:rsidRPr="00A52585">
        <w:rPr>
          <w:sz w:val="24"/>
          <w:szCs w:val="24"/>
          <w:rtl/>
        </w:rPr>
        <w:t>.</w:t>
      </w:r>
      <w:r w:rsidRPr="00A52585">
        <w:rPr>
          <w:sz w:val="24"/>
          <w:szCs w:val="24"/>
          <w:rtl/>
        </w:rPr>
        <w:t xml:space="preserve"> فقد نقلت مخطوطتها من خط الذهبي</w:t>
      </w:r>
      <w:r w:rsidR="00DB731D" w:rsidRPr="00A52585">
        <w:rPr>
          <w:sz w:val="24"/>
          <w:szCs w:val="24"/>
          <w:rtl/>
        </w:rPr>
        <w:t>،</w:t>
      </w:r>
      <w:r w:rsidRPr="00A52585">
        <w:rPr>
          <w:sz w:val="24"/>
          <w:szCs w:val="24"/>
          <w:rtl/>
        </w:rPr>
        <w:t xml:space="preserve"> ولم ينكرها أحد من العلماء الذين نقلوها كتقى الدين ابن قاضى شهبة وغيرة</w:t>
      </w:r>
      <w:r w:rsidR="00DB731D" w:rsidRPr="00A52585">
        <w:rPr>
          <w:sz w:val="24"/>
          <w:szCs w:val="24"/>
          <w:rtl/>
        </w:rPr>
        <w:t>،</w:t>
      </w:r>
      <w:r w:rsidRPr="00A52585">
        <w:rPr>
          <w:sz w:val="24"/>
          <w:szCs w:val="24"/>
          <w:rtl/>
        </w:rPr>
        <w:t xml:space="preserve"> ثم إن هذا هو الأسلوب الذهبي عندما يهاجم " انتهى</w:t>
      </w:r>
      <w:r w:rsidR="0002035C" w:rsidRPr="00A52585">
        <w:rPr>
          <w:rFonts w:hint="cs"/>
          <w:sz w:val="24"/>
          <w:szCs w:val="24"/>
          <w:rtl/>
        </w:rPr>
        <w:t>]</w:t>
      </w:r>
      <w:r w:rsidR="00DB731D" w:rsidRPr="00A52585">
        <w:rPr>
          <w:rFonts w:hint="cs"/>
          <w:sz w:val="24"/>
          <w:szCs w:val="24"/>
          <w:rtl/>
        </w:rPr>
        <w:t>،</w:t>
      </w:r>
      <w:r w:rsidR="0002035C" w:rsidRPr="00A52585">
        <w:rPr>
          <w:rFonts w:hint="cs"/>
          <w:rtl/>
        </w:rPr>
        <w:t xml:space="preserve"> </w:t>
      </w:r>
      <w:r w:rsidRPr="00A52585">
        <w:rPr>
          <w:rtl/>
        </w:rPr>
        <w:t>هذا كلام الذهبي في صفة ابن تيمية وصفة أتباعه</w:t>
      </w:r>
      <w:r w:rsidR="00DB731D" w:rsidRPr="00A52585">
        <w:rPr>
          <w:rtl/>
        </w:rPr>
        <w:t>،</w:t>
      </w:r>
      <w:r w:rsidRPr="00A52585">
        <w:rPr>
          <w:rtl/>
        </w:rPr>
        <w:t xml:space="preserve"> وقد فرهم الذهبي رحمه الله عن ذكاء</w:t>
      </w:r>
      <w:r w:rsidR="00DB731D" w:rsidRPr="00A52585">
        <w:rPr>
          <w:rtl/>
        </w:rPr>
        <w:t>،</w:t>
      </w:r>
      <w:r w:rsidRPr="00A52585">
        <w:rPr>
          <w:rtl/>
        </w:rPr>
        <w:t xml:space="preserve"> وفتشهم عن تجربة وحلل نفسيته </w:t>
      </w:r>
      <w:proofErr w:type="spellStart"/>
      <w:r w:rsidRPr="00A52585">
        <w:rPr>
          <w:rtl/>
        </w:rPr>
        <w:t>وتفسياتهم</w:t>
      </w:r>
      <w:proofErr w:type="spellEnd"/>
      <w:r w:rsidRPr="00A52585">
        <w:rPr>
          <w:rtl/>
        </w:rPr>
        <w:t xml:space="preserve"> تحليلاً دقيقاً صادقاً</w:t>
      </w:r>
      <w:r w:rsidR="00DB731D" w:rsidRPr="00A52585">
        <w:rPr>
          <w:rtl/>
        </w:rPr>
        <w:t>،</w:t>
      </w:r>
      <w:r w:rsidRPr="00A52585">
        <w:rPr>
          <w:rtl/>
        </w:rPr>
        <w:t xml:space="preserve"> ثم هذا الوصف الذى طبقه الذهبي على أتباع ابن تيمية المعاصرين له هو بعينه الوصف المنطبق على أتباعه المعاصرين لنا في الوقت الحاضر </w:t>
      </w:r>
      <w:proofErr w:type="spellStart"/>
      <w:r w:rsidRPr="00A52585">
        <w:rPr>
          <w:rtl/>
        </w:rPr>
        <w:t>حذوالنعل</w:t>
      </w:r>
      <w:proofErr w:type="spellEnd"/>
      <w:r w:rsidRPr="00A52585">
        <w:rPr>
          <w:rtl/>
        </w:rPr>
        <w:t xml:space="preserve"> بالنعل</w:t>
      </w:r>
      <w:r w:rsidR="00DB731D" w:rsidRPr="00A52585">
        <w:rPr>
          <w:rtl/>
        </w:rPr>
        <w:t>،</w:t>
      </w:r>
      <w:r w:rsidRPr="00A52585">
        <w:rPr>
          <w:rtl/>
        </w:rPr>
        <w:t xml:space="preserve"> وكأنما نظر إليهم رحمه الله بمنظار دقيق من وراء أزيد من ستة قرون فاستشفهم وعرفهم</w:t>
      </w:r>
      <w:r w:rsidR="00DB731D" w:rsidRPr="00A52585">
        <w:rPr>
          <w:rtl/>
        </w:rPr>
        <w:t>،</w:t>
      </w:r>
      <w:r w:rsidRPr="00A52585">
        <w:rPr>
          <w:rtl/>
        </w:rPr>
        <w:t xml:space="preserve"> وكم في ابن تيمية من نواح يمدح عليها</w:t>
      </w:r>
      <w:r w:rsidR="00DB731D" w:rsidRPr="00A52585">
        <w:rPr>
          <w:rtl/>
        </w:rPr>
        <w:t>،</w:t>
      </w:r>
      <w:r w:rsidRPr="00A52585">
        <w:rPr>
          <w:rtl/>
        </w:rPr>
        <w:t xml:space="preserve"> ونواح يذم من أجلها</w:t>
      </w:r>
      <w:r w:rsidR="00897A24" w:rsidRPr="00A52585">
        <w:rPr>
          <w:rtl/>
        </w:rPr>
        <w:t>.</w:t>
      </w:r>
      <w:r w:rsidRPr="00A52585">
        <w:rPr>
          <w:rtl/>
        </w:rPr>
        <w:t xml:space="preserve"> وناحية التجسيم هذه التي أولع بها ابن تيمية وناضل عنها كثير هو وكثير من مشايعيه وأتباعه معدودة من أكبر شذوذاته</w:t>
      </w:r>
      <w:r w:rsidR="00DB731D" w:rsidRPr="00A52585">
        <w:rPr>
          <w:rtl/>
        </w:rPr>
        <w:t>،</w:t>
      </w:r>
      <w:r w:rsidRPr="00A52585">
        <w:rPr>
          <w:rtl/>
        </w:rPr>
        <w:t xml:space="preserve"> وأشنع شناعاته</w:t>
      </w:r>
      <w:r w:rsidR="00DB731D" w:rsidRPr="00A52585">
        <w:rPr>
          <w:rtl/>
        </w:rPr>
        <w:t>،</w:t>
      </w:r>
      <w:r w:rsidRPr="00A52585">
        <w:rPr>
          <w:rFonts w:hint="cs"/>
          <w:rtl/>
        </w:rPr>
        <w:t xml:space="preserve"> </w:t>
      </w:r>
    </w:p>
    <w:p w14:paraId="0469F2CE" w14:textId="3B5D7846" w:rsidR="00777DCB" w:rsidRPr="00A52585" w:rsidRDefault="00777DCB" w:rsidP="0002035C">
      <w:pPr>
        <w:spacing w:after="240"/>
        <w:rPr>
          <w:rtl/>
        </w:rPr>
      </w:pPr>
      <w:r w:rsidRPr="00A52585">
        <w:rPr>
          <w:rFonts w:cs="Monotype Koufi"/>
          <w:rtl/>
          <w:lang w:bidi="ar-KW"/>
        </w:rPr>
        <w:t>مجسمة العصر</w:t>
      </w:r>
      <w:r w:rsidR="0002035C" w:rsidRPr="00A52585">
        <w:rPr>
          <w:rFonts w:cs="Monotype Koufi" w:hint="cs"/>
          <w:rtl/>
          <w:lang w:bidi="ar-KW"/>
        </w:rPr>
        <w:t>:</w:t>
      </w:r>
      <w:r w:rsidRPr="00A52585">
        <w:rPr>
          <w:rFonts w:hint="cs"/>
          <w:rtl/>
        </w:rPr>
        <w:t xml:space="preserve"> </w:t>
      </w:r>
      <w:r w:rsidRPr="00A52585">
        <w:rPr>
          <w:rtl/>
        </w:rPr>
        <w:t xml:space="preserve">من قترة غير قصيرة ثارت بيننا وبين أصحاب مجلة </w:t>
      </w:r>
      <w:r w:rsidR="0002035C" w:rsidRPr="00A52585">
        <w:rPr>
          <w:rtl/>
        </w:rPr>
        <w:t>(</w:t>
      </w:r>
      <w:r w:rsidRPr="00A52585">
        <w:rPr>
          <w:rtl/>
        </w:rPr>
        <w:t>الهدى</w:t>
      </w:r>
      <w:r w:rsidR="0002035C" w:rsidRPr="00A52585">
        <w:rPr>
          <w:rFonts w:hint="cs"/>
          <w:rtl/>
        </w:rPr>
        <w:t>)</w:t>
      </w:r>
      <w:r w:rsidRPr="00A52585">
        <w:rPr>
          <w:rtl/>
        </w:rPr>
        <w:t xml:space="preserve"> معركه حول نفى التجسيم</w:t>
      </w:r>
      <w:r w:rsidRPr="00A52585">
        <w:rPr>
          <w:rFonts w:hint="cs"/>
          <w:rtl/>
        </w:rPr>
        <w:t xml:space="preserve"> </w:t>
      </w:r>
      <w:r w:rsidRPr="00A52585">
        <w:rPr>
          <w:rtl/>
        </w:rPr>
        <w:t>, وتنزيه الله تعالى عن شبه المخلوقين</w:t>
      </w:r>
      <w:r w:rsidRPr="00A52585">
        <w:rPr>
          <w:rFonts w:hint="cs"/>
          <w:rtl/>
        </w:rPr>
        <w:t xml:space="preserve"> </w:t>
      </w:r>
      <w:r w:rsidRPr="00A52585">
        <w:rPr>
          <w:rtl/>
        </w:rPr>
        <w:t xml:space="preserve">, ثم لم نلبث أن لمحنا في مثار غبارها ذلك "الشيخ </w:t>
      </w:r>
      <w:proofErr w:type="spellStart"/>
      <w:r w:rsidRPr="00A52585">
        <w:rPr>
          <w:rtl/>
        </w:rPr>
        <w:t>النجدى</w:t>
      </w:r>
      <w:proofErr w:type="spellEnd"/>
      <w:r w:rsidRPr="00A52585">
        <w:rPr>
          <w:rtl/>
        </w:rPr>
        <w:t xml:space="preserve">" ماثلا في صورة إبليس </w:t>
      </w:r>
      <w:proofErr w:type="spellStart"/>
      <w:r w:rsidRPr="00A52585">
        <w:rPr>
          <w:rtl/>
        </w:rPr>
        <w:t>اللهين</w:t>
      </w:r>
      <w:proofErr w:type="spellEnd"/>
      <w:r w:rsidRPr="00A52585">
        <w:rPr>
          <w:rtl/>
        </w:rPr>
        <w:t xml:space="preserve"> , وكأنما وقف عليهم في "دار ندوتهم" يشير عليهم </w:t>
      </w:r>
      <w:proofErr w:type="spellStart"/>
      <w:r w:rsidRPr="00A52585">
        <w:rPr>
          <w:rtl/>
        </w:rPr>
        <w:t>بالرأى</w:t>
      </w:r>
      <w:proofErr w:type="spellEnd"/>
      <w:r w:rsidRPr="00A52585">
        <w:rPr>
          <w:rtl/>
        </w:rPr>
        <w:t xml:space="preserve">, وأن يجعلوه في هذه المعارك الناشبة صاحب اللواء ,وقائد الكتيبة الحمراء , فكتب مقالا حشاه بكل رأى سخيف , ولفظ غير شريف , ونال من علماء الازهر نيلا مزريا قبيحا , فرددنا عليه ردا وقف في حرارة النقد عند الدرجة التي أردناها , فثار ثائر (الشيخ </w:t>
      </w:r>
      <w:proofErr w:type="spellStart"/>
      <w:r w:rsidRPr="00A52585">
        <w:rPr>
          <w:rtl/>
        </w:rPr>
        <w:t>النجدى</w:t>
      </w:r>
      <w:proofErr w:type="spellEnd"/>
      <w:r w:rsidRPr="00A52585">
        <w:rPr>
          <w:rtl/>
        </w:rPr>
        <w:t xml:space="preserve">) وهاج </w:t>
      </w:r>
      <w:proofErr w:type="spellStart"/>
      <w:r w:rsidRPr="00A52585">
        <w:rPr>
          <w:rtl/>
        </w:rPr>
        <w:t>هائجه</w:t>
      </w:r>
      <w:proofErr w:type="spellEnd"/>
      <w:r w:rsidRPr="00A52585">
        <w:rPr>
          <w:rtl/>
        </w:rPr>
        <w:t>, وورم أنفه وانف أصحابه , وبعد لأى صدرت مجلتهم , ولكن بعد فوات الوقت المحدد لصدورها , فإذا هي مثلهم وارمة الأنف "جوفاء معتلة في جوفها ورم" فقلنا</w:t>
      </w:r>
      <w:r w:rsidR="0002035C" w:rsidRPr="00A52585">
        <w:rPr>
          <w:rtl/>
        </w:rPr>
        <w:t>:</w:t>
      </w:r>
      <w:r w:rsidRPr="00A52585">
        <w:rPr>
          <w:rtl/>
        </w:rPr>
        <w:t xml:space="preserve"> لهم الويل , ماذا في صحيفتهم</w:t>
      </w:r>
      <w:r w:rsidR="00F95886" w:rsidRPr="00A52585">
        <w:rPr>
          <w:rtl/>
        </w:rPr>
        <w:t>؟</w:t>
      </w:r>
      <w:r w:rsidRPr="00A52585">
        <w:rPr>
          <w:rtl/>
        </w:rPr>
        <w:t xml:space="preserve"> وما الذى حدث حتى أصبحت بعد حجمها الهزيل </w:t>
      </w:r>
      <w:proofErr w:type="gramStart"/>
      <w:r w:rsidRPr="00A52585">
        <w:rPr>
          <w:rtl/>
        </w:rPr>
        <w:t>اللطيف ,</w:t>
      </w:r>
      <w:proofErr w:type="gramEnd"/>
      <w:r w:rsidRPr="00A52585">
        <w:rPr>
          <w:rtl/>
        </w:rPr>
        <w:t xml:space="preserve"> كحشية من ليف</w:t>
      </w:r>
      <w:r w:rsidR="00F95886" w:rsidRPr="00A52585">
        <w:rPr>
          <w:rFonts w:hint="cs"/>
          <w:rtl/>
        </w:rPr>
        <w:t>!</w:t>
      </w:r>
      <w:r w:rsidR="0002035C" w:rsidRPr="00A52585">
        <w:rPr>
          <w:rFonts w:hint="cs"/>
          <w:rtl/>
        </w:rPr>
        <w:t xml:space="preserve"> </w:t>
      </w:r>
      <w:r w:rsidRPr="00A52585">
        <w:rPr>
          <w:rtl/>
        </w:rPr>
        <w:t>فقيل لنا</w:t>
      </w:r>
      <w:r w:rsidR="0002035C" w:rsidRPr="00A52585">
        <w:rPr>
          <w:rtl/>
        </w:rPr>
        <w:t>:</w:t>
      </w:r>
      <w:r w:rsidRPr="00A52585">
        <w:rPr>
          <w:rtl/>
        </w:rPr>
        <w:t xml:space="preserve"> إن ذلك الشيخ أكتتب لتكبر حجم المجلة حتى تتسع للرد </w:t>
      </w:r>
      <w:r w:rsidRPr="00A52585">
        <w:rPr>
          <w:rtl/>
        </w:rPr>
        <w:lastRenderedPageBreak/>
        <w:t>علينا نحن الخصوم</w:t>
      </w:r>
      <w:r w:rsidR="00897A24" w:rsidRPr="00A52585">
        <w:rPr>
          <w:rtl/>
        </w:rPr>
        <w:t>.</w:t>
      </w:r>
      <w:r w:rsidRPr="00A52585">
        <w:rPr>
          <w:rtl/>
        </w:rPr>
        <w:t xml:space="preserve">.. مكث ذلك </w:t>
      </w:r>
      <w:proofErr w:type="spellStart"/>
      <w:r w:rsidRPr="00A52585">
        <w:rPr>
          <w:rtl/>
        </w:rPr>
        <w:t>النجدى</w:t>
      </w:r>
      <w:proofErr w:type="spellEnd"/>
      <w:r w:rsidRPr="00A52585">
        <w:rPr>
          <w:rtl/>
        </w:rPr>
        <w:t xml:space="preserve"> الهجف الجلف </w:t>
      </w:r>
      <w:proofErr w:type="spellStart"/>
      <w:r w:rsidRPr="00A52585">
        <w:rPr>
          <w:rtl/>
        </w:rPr>
        <w:t>الجافى</w:t>
      </w:r>
      <w:proofErr w:type="spellEnd"/>
      <w:r w:rsidRPr="00A52585">
        <w:rPr>
          <w:rtl/>
        </w:rPr>
        <w:t xml:space="preserve"> الأخرق شهرا وأياما </w:t>
      </w:r>
      <w:proofErr w:type="spellStart"/>
      <w:r w:rsidRPr="00A52585">
        <w:rPr>
          <w:rtl/>
        </w:rPr>
        <w:t>يحمع</w:t>
      </w:r>
      <w:proofErr w:type="spellEnd"/>
      <w:r w:rsidRPr="00A52585">
        <w:rPr>
          <w:rtl/>
        </w:rPr>
        <w:t xml:space="preserve"> ألفاظ السباب والشتم والقذف والافتراء والكذب وهى الفاظ حفظها ومرن عليها وأعدها لمواقفه الجدلية مع خصومه, وكم </w:t>
      </w:r>
      <w:proofErr w:type="spellStart"/>
      <w:r w:rsidRPr="00A52585">
        <w:rPr>
          <w:rtl/>
        </w:rPr>
        <w:t>أفاتادته</w:t>
      </w:r>
      <w:proofErr w:type="spellEnd"/>
      <w:r w:rsidRPr="00A52585">
        <w:rPr>
          <w:rtl/>
        </w:rPr>
        <w:t xml:space="preserve"> في مواقفه, لأن خصومه يترفعون عن منازلته القذرة بهذه الاسلحة وكم رأى أنها مع </w:t>
      </w:r>
      <w:proofErr w:type="spellStart"/>
      <w:r w:rsidRPr="00A52585">
        <w:rPr>
          <w:rtl/>
        </w:rPr>
        <w:t>شئ</w:t>
      </w:r>
      <w:proofErr w:type="spellEnd"/>
      <w:r w:rsidRPr="00A52585">
        <w:rPr>
          <w:rtl/>
        </w:rPr>
        <w:t xml:space="preserve"> من المغالطات والتمويهات ناجحة وموصلة </w:t>
      </w:r>
      <w:proofErr w:type="spellStart"/>
      <w:r w:rsidRPr="00A52585">
        <w:rPr>
          <w:rtl/>
        </w:rPr>
        <w:t>للغايه</w:t>
      </w:r>
      <w:proofErr w:type="spellEnd"/>
      <w:r w:rsidRPr="00A52585">
        <w:rPr>
          <w:rtl/>
        </w:rPr>
        <w:t xml:space="preserve"> التي يرمى إليها من كسب </w:t>
      </w:r>
      <w:proofErr w:type="spellStart"/>
      <w:r w:rsidRPr="00A52585">
        <w:rPr>
          <w:rtl/>
        </w:rPr>
        <w:t>الموقعه</w:t>
      </w:r>
      <w:proofErr w:type="spellEnd"/>
      <w:r w:rsidR="00DB731D" w:rsidRPr="00A52585">
        <w:rPr>
          <w:rFonts w:hint="cs"/>
          <w:rtl/>
        </w:rPr>
        <w:t>،</w:t>
      </w:r>
      <w:r w:rsidR="0002035C" w:rsidRPr="00A52585">
        <w:rPr>
          <w:rFonts w:hint="cs"/>
          <w:rtl/>
        </w:rPr>
        <w:t xml:space="preserve"> </w:t>
      </w:r>
      <w:r w:rsidRPr="00A52585">
        <w:rPr>
          <w:rtl/>
        </w:rPr>
        <w:t>ورأينا رئيس هذه الجماعة</w:t>
      </w:r>
      <w:r w:rsidR="0002035C" w:rsidRPr="00A52585">
        <w:rPr>
          <w:rtl/>
        </w:rPr>
        <w:t xml:space="preserve"> </w:t>
      </w:r>
      <w:r w:rsidRPr="00A52585">
        <w:rPr>
          <w:rtl/>
        </w:rPr>
        <w:t>-</w:t>
      </w:r>
      <w:r w:rsidR="0002035C" w:rsidRPr="00A52585">
        <w:rPr>
          <w:rtl/>
        </w:rPr>
        <w:t xml:space="preserve"> </w:t>
      </w:r>
      <w:r w:rsidRPr="00A52585">
        <w:rPr>
          <w:rtl/>
        </w:rPr>
        <w:t>خذله الله</w:t>
      </w:r>
      <w:r w:rsidR="0002035C" w:rsidRPr="00A52585">
        <w:rPr>
          <w:rtl/>
        </w:rPr>
        <w:t xml:space="preserve"> </w:t>
      </w:r>
      <w:r w:rsidRPr="00A52585">
        <w:rPr>
          <w:rtl/>
        </w:rPr>
        <w:t>-</w:t>
      </w:r>
      <w:r w:rsidR="0002035C" w:rsidRPr="00A52585">
        <w:rPr>
          <w:rtl/>
        </w:rPr>
        <w:t xml:space="preserve"> </w:t>
      </w:r>
      <w:r w:rsidRPr="00A52585">
        <w:rPr>
          <w:rtl/>
        </w:rPr>
        <w:t>يدعونا إلى كلمة سواء, ويظهر أمام قرائه الاغرار المخدوعين بمظهر يجعله في أعينهم قديسا ونبيا من الصالحين , وسلفيا بز الأولين والآخرين , فهو</w:t>
      </w:r>
      <w:r w:rsidRPr="00A52585">
        <w:rPr>
          <w:rFonts w:hint="cs"/>
          <w:rtl/>
        </w:rPr>
        <w:t xml:space="preserve"> </w:t>
      </w:r>
      <w:r w:rsidRPr="00A52585">
        <w:rPr>
          <w:rtl/>
        </w:rPr>
        <w:t>يقول</w:t>
      </w:r>
      <w:r w:rsidR="0002035C" w:rsidRPr="00A52585">
        <w:rPr>
          <w:rtl/>
        </w:rPr>
        <w:t>:</w:t>
      </w:r>
      <w:r w:rsidRPr="00A52585">
        <w:rPr>
          <w:rtl/>
        </w:rPr>
        <w:t xml:space="preserve">" وليس من شيمه أنصار السنه المحمدية , ولا مما </w:t>
      </w:r>
      <w:proofErr w:type="spellStart"/>
      <w:r w:rsidRPr="00A52585">
        <w:rPr>
          <w:rtl/>
        </w:rPr>
        <w:t>ينبغى</w:t>
      </w:r>
      <w:proofErr w:type="spellEnd"/>
      <w:r w:rsidRPr="00A52585">
        <w:rPr>
          <w:rtl/>
        </w:rPr>
        <w:t xml:space="preserve"> لمجلة الهدى </w:t>
      </w:r>
      <w:proofErr w:type="spellStart"/>
      <w:r w:rsidRPr="00A52585">
        <w:rPr>
          <w:rtl/>
        </w:rPr>
        <w:t>النبوى</w:t>
      </w:r>
      <w:proofErr w:type="spellEnd"/>
      <w:r w:rsidRPr="00A52585">
        <w:rPr>
          <w:rtl/>
        </w:rPr>
        <w:t xml:space="preserve"> أن تجارى السبابين الشتامين " ويقول</w:t>
      </w:r>
      <w:r w:rsidR="0002035C" w:rsidRPr="00A52585">
        <w:rPr>
          <w:rtl/>
        </w:rPr>
        <w:t>:</w:t>
      </w:r>
      <w:r w:rsidRPr="00A52585">
        <w:rPr>
          <w:rtl/>
        </w:rPr>
        <w:t xml:space="preserve"> " ولم يغلب رسول الله صلى الله عليه وسلم أعداءه باللد ولا بالقوة ولا بالعنف والشدة , وانما غلبهم بالحلم</w:t>
      </w:r>
      <w:r w:rsidR="00DB731D" w:rsidRPr="00A52585">
        <w:rPr>
          <w:rFonts w:hint="cs"/>
          <w:rtl/>
        </w:rPr>
        <w:t>،</w:t>
      </w:r>
      <w:r w:rsidRPr="00A52585">
        <w:rPr>
          <w:rFonts w:hint="cs"/>
          <w:rtl/>
        </w:rPr>
        <w:t xml:space="preserve"> </w:t>
      </w:r>
      <w:r w:rsidRPr="00A52585">
        <w:rPr>
          <w:rtl/>
        </w:rPr>
        <w:t>والعفو</w:t>
      </w:r>
      <w:r w:rsidRPr="00A52585">
        <w:rPr>
          <w:rFonts w:hint="cs"/>
          <w:rtl/>
        </w:rPr>
        <w:t xml:space="preserve"> </w:t>
      </w:r>
      <w:r w:rsidRPr="00A52585">
        <w:rPr>
          <w:rtl/>
        </w:rPr>
        <w:t>والصفح " إلخ</w:t>
      </w:r>
      <w:r w:rsidR="00DB731D" w:rsidRPr="00A52585">
        <w:rPr>
          <w:rtl/>
        </w:rPr>
        <w:t>،</w:t>
      </w:r>
      <w:r w:rsidRPr="00A52585">
        <w:rPr>
          <w:rFonts w:hint="cs"/>
          <w:rtl/>
        </w:rPr>
        <w:t xml:space="preserve"> </w:t>
      </w:r>
      <w:r w:rsidRPr="00A52585">
        <w:rPr>
          <w:rtl/>
        </w:rPr>
        <w:t xml:space="preserve">يقول هذا في غير خجل , وينسى أنهم السبابون الشاتمون البادئون بكل شتم وتكفير وتجهيل وتضليل , المعتدون على كرامة هذه الأمة في كل ما يكتبون , القائمون بدعاية تبشيرية خطرة في مصر ينعم بها بال المستعمرين, وتقر بها أعين المسيحيين , الضاحكون على ذقون العامة ببترهم من جسم الأمة بدعوى أن الداعين سلفيون موحدون , وغيره, وقبلك بأسطر كتب ذلك </w:t>
      </w:r>
      <w:proofErr w:type="spellStart"/>
      <w:r w:rsidRPr="00A52585">
        <w:rPr>
          <w:rtl/>
        </w:rPr>
        <w:t>القيع</w:t>
      </w:r>
      <w:proofErr w:type="spellEnd"/>
      <w:r w:rsidRPr="00A52585">
        <w:rPr>
          <w:rtl/>
        </w:rPr>
        <w:t xml:space="preserve"> السباب العياب أزيد من خمسين صفحة تعلم أنت مبلغ ما احتوت عليه من سب وإقذاع </w:t>
      </w:r>
      <w:proofErr w:type="spellStart"/>
      <w:r w:rsidRPr="00A52585">
        <w:rPr>
          <w:rtl/>
        </w:rPr>
        <w:t>لى</w:t>
      </w:r>
      <w:proofErr w:type="spellEnd"/>
      <w:r w:rsidRPr="00A52585">
        <w:rPr>
          <w:rtl/>
        </w:rPr>
        <w:t xml:space="preserve"> ولعالمين جليلين هما فخر العالم </w:t>
      </w:r>
      <w:proofErr w:type="spellStart"/>
      <w:r w:rsidRPr="00A52585">
        <w:rPr>
          <w:rtl/>
        </w:rPr>
        <w:t>الإسلامى</w:t>
      </w:r>
      <w:proofErr w:type="spellEnd"/>
      <w:r w:rsidRPr="00A52585">
        <w:rPr>
          <w:rtl/>
        </w:rPr>
        <w:t xml:space="preserve"> لا يدفع ذلك ولا </w:t>
      </w:r>
      <w:proofErr w:type="spellStart"/>
      <w:r w:rsidRPr="00A52585">
        <w:rPr>
          <w:rtl/>
        </w:rPr>
        <w:t>يمارى</w:t>
      </w:r>
      <w:proofErr w:type="spellEnd"/>
      <w:r w:rsidRPr="00A52585">
        <w:rPr>
          <w:rtl/>
        </w:rPr>
        <w:t xml:space="preserve"> فبه إلا أمثالكم من سفلة الناس </w:t>
      </w:r>
      <w:proofErr w:type="spellStart"/>
      <w:r w:rsidRPr="00A52585">
        <w:rPr>
          <w:rtl/>
        </w:rPr>
        <w:t>وسقاطهم</w:t>
      </w:r>
      <w:proofErr w:type="spellEnd"/>
      <w:r w:rsidRPr="00A52585">
        <w:rPr>
          <w:rtl/>
        </w:rPr>
        <w:t xml:space="preserve"> " وانما يعرف الفضل من الناس </w:t>
      </w:r>
      <w:proofErr w:type="spellStart"/>
      <w:r w:rsidRPr="00A52585">
        <w:rPr>
          <w:rtl/>
        </w:rPr>
        <w:t>ذووه</w:t>
      </w:r>
      <w:proofErr w:type="spellEnd"/>
      <w:r w:rsidRPr="00A52585">
        <w:rPr>
          <w:rtl/>
        </w:rPr>
        <w:t>"</w:t>
      </w:r>
      <w:r w:rsidR="00DB731D" w:rsidRPr="00A52585">
        <w:rPr>
          <w:rtl/>
        </w:rPr>
        <w:t>،</w:t>
      </w:r>
      <w:r w:rsidR="0002035C" w:rsidRPr="00A52585">
        <w:rPr>
          <w:rFonts w:hint="cs"/>
          <w:rtl/>
        </w:rPr>
        <w:t xml:space="preserve"> </w:t>
      </w:r>
      <w:r w:rsidRPr="00A52585">
        <w:rPr>
          <w:rtl/>
        </w:rPr>
        <w:t>أرأيت كيف عنون مقاله؟ إنه عنوانه بقوله</w:t>
      </w:r>
      <w:r w:rsidR="0002035C" w:rsidRPr="00A52585">
        <w:rPr>
          <w:rFonts w:hint="cs"/>
          <w:rtl/>
        </w:rPr>
        <w:t>:</w:t>
      </w:r>
      <w:r w:rsidRPr="00A52585">
        <w:rPr>
          <w:rtl/>
        </w:rPr>
        <w:t xml:space="preserve"> إلى </w:t>
      </w:r>
      <w:proofErr w:type="spellStart"/>
      <w:r w:rsidRPr="00A52585">
        <w:rPr>
          <w:rtl/>
        </w:rPr>
        <w:t>نفاة</w:t>
      </w:r>
      <w:proofErr w:type="spellEnd"/>
      <w:r w:rsidRPr="00A52585">
        <w:rPr>
          <w:rtl/>
        </w:rPr>
        <w:t xml:space="preserve"> وجود الله من كتاب مجلة الإسلام</w:t>
      </w:r>
      <w:r w:rsidR="00897A24" w:rsidRPr="00A52585">
        <w:rPr>
          <w:rtl/>
        </w:rPr>
        <w:t>.</w:t>
      </w:r>
      <w:r w:rsidRPr="00A52585">
        <w:rPr>
          <w:rtl/>
        </w:rPr>
        <w:t xml:space="preserve"> لقد وقعوا , فأين الفرار, نعم إن كان جمهور العلماء من المسلمين فروا أمام أسلافكم , ولم يحكموا خطط الدفاع عن عقيدة التنزيه</w:t>
      </w:r>
      <w:r w:rsidRPr="00A52585">
        <w:rPr>
          <w:rFonts w:hint="cs"/>
          <w:rtl/>
        </w:rPr>
        <w:t xml:space="preserve"> </w:t>
      </w:r>
      <w:r w:rsidRPr="00A52585">
        <w:rPr>
          <w:rtl/>
        </w:rPr>
        <w:t>ويهدموا ما بناه سلفكم من صروح عقائد التجسيم الزائغة</w:t>
      </w:r>
      <w:r w:rsidRPr="00A52585">
        <w:rPr>
          <w:rFonts w:hint="cs"/>
          <w:rtl/>
        </w:rPr>
        <w:t xml:space="preserve"> </w:t>
      </w:r>
      <w:r w:rsidRPr="00A52585">
        <w:rPr>
          <w:rtl/>
        </w:rPr>
        <w:t xml:space="preserve">, فنحن إذا نفر من الميدان , ويفر معنا كل من ينزه الخالق سبحانه عن المكان والجهة , وينزهه عن الاستواء بمعنى الاستقرار </w:t>
      </w:r>
      <w:proofErr w:type="spellStart"/>
      <w:r w:rsidRPr="00A52585">
        <w:rPr>
          <w:rtl/>
        </w:rPr>
        <w:t>الذاتى</w:t>
      </w:r>
      <w:proofErr w:type="spellEnd"/>
      <w:r w:rsidRPr="00A52585">
        <w:rPr>
          <w:rtl/>
        </w:rPr>
        <w:t xml:space="preserve"> وغير ذلك مما يوجب المثلية, وتشبيه الخالق بالمخلوقين نفيا لوجود الله تعالى , لأن كل مسلم يعتقد أن الله تعالى موجود وأن وجوده واجب , ليس هناك مسلم ينفى وجود الله </w:t>
      </w:r>
      <w:proofErr w:type="spellStart"/>
      <w:r w:rsidRPr="00A52585">
        <w:rPr>
          <w:rtl/>
        </w:rPr>
        <w:t>تعالىلا</w:t>
      </w:r>
      <w:proofErr w:type="spellEnd"/>
      <w:r w:rsidRPr="00A52585">
        <w:rPr>
          <w:rtl/>
        </w:rPr>
        <w:t xml:space="preserve"> من كتاب " مجلة الإسلام " ولا من غيرهم, زلا يتوقف وجود ذاته تعالى على وجود مكان له, وأنتم تقولون إن لم </w:t>
      </w:r>
      <w:proofErr w:type="spellStart"/>
      <w:r w:rsidRPr="00A52585">
        <w:rPr>
          <w:rtl/>
        </w:rPr>
        <w:t>نثيت</w:t>
      </w:r>
      <w:proofErr w:type="spellEnd"/>
      <w:r w:rsidRPr="00A52585">
        <w:rPr>
          <w:rtl/>
        </w:rPr>
        <w:t xml:space="preserve"> له المكان وغيره مما أثبتته ظواهر النصوص من غير تأويل ولا صرف للنصوص عن الظاهر </w:t>
      </w:r>
      <w:proofErr w:type="spellStart"/>
      <w:r w:rsidRPr="00A52585">
        <w:rPr>
          <w:rtl/>
        </w:rPr>
        <w:t>الحقيقى</w:t>
      </w:r>
      <w:proofErr w:type="spellEnd"/>
      <w:r w:rsidRPr="00A52585">
        <w:rPr>
          <w:rtl/>
        </w:rPr>
        <w:t xml:space="preserve"> , فقد نفينا وجود الذات , وهذا سرى إليكم أيها الجهلاء المارقون من أن الله تعالى إن لم يكن كغيره من المخلوقات محسوسا ومحصورا في المكان فلا وجود له</w:t>
      </w:r>
      <w:r w:rsidR="00F95886" w:rsidRPr="00A52585">
        <w:rPr>
          <w:rtl/>
        </w:rPr>
        <w:t>؟</w:t>
      </w:r>
      <w:r w:rsidRPr="00A52585">
        <w:rPr>
          <w:rtl/>
        </w:rPr>
        <w:t>..</w:t>
      </w:r>
      <w:r w:rsidR="0002035C" w:rsidRPr="00A52585">
        <w:rPr>
          <w:rFonts w:hint="cs"/>
          <w:rtl/>
        </w:rPr>
        <w:t xml:space="preserve"> </w:t>
      </w:r>
      <w:r w:rsidRPr="00A52585">
        <w:rPr>
          <w:rtl/>
        </w:rPr>
        <w:t xml:space="preserve">وليست تزكيه ابن القيم </w:t>
      </w:r>
      <w:proofErr w:type="spellStart"/>
      <w:r w:rsidRPr="00A52585">
        <w:rPr>
          <w:rtl/>
        </w:rPr>
        <w:t>لكتابى</w:t>
      </w:r>
      <w:proofErr w:type="spellEnd"/>
      <w:r w:rsidRPr="00A52585">
        <w:rPr>
          <w:rtl/>
        </w:rPr>
        <w:t xml:space="preserve"> </w:t>
      </w:r>
      <w:proofErr w:type="spellStart"/>
      <w:r w:rsidRPr="00A52585">
        <w:rPr>
          <w:rtl/>
        </w:rPr>
        <w:t>الدرامى</w:t>
      </w:r>
      <w:proofErr w:type="spellEnd"/>
      <w:r w:rsidRPr="00A52585">
        <w:rPr>
          <w:rtl/>
        </w:rPr>
        <w:t xml:space="preserve"> "وكون شيخ الإسلام ابن تيمية وصى بهما أشد الوصية </w:t>
      </w:r>
      <w:r w:rsidRPr="00A52585">
        <w:rPr>
          <w:rtl/>
        </w:rPr>
        <w:lastRenderedPageBreak/>
        <w:t>وعظمهما جداً" حجة توجب الأخذ بكل ما فيا , وإن من يأخذ بما فيها من الكفر الصريح لهو</w:t>
      </w:r>
      <w:r w:rsidRPr="00A52585">
        <w:rPr>
          <w:rFonts w:hint="cs"/>
          <w:rtl/>
        </w:rPr>
        <w:t xml:space="preserve"> </w:t>
      </w:r>
      <w:r w:rsidRPr="00A52585">
        <w:rPr>
          <w:rtl/>
        </w:rPr>
        <w:t>كافر بإجماع الأمة</w:t>
      </w:r>
      <w:r w:rsidRPr="00A52585">
        <w:rPr>
          <w:rFonts w:hint="cs"/>
          <w:rtl/>
        </w:rPr>
        <w:t xml:space="preserve"> </w:t>
      </w:r>
      <w:r w:rsidRPr="00A52585">
        <w:rPr>
          <w:rtl/>
        </w:rPr>
        <w:t xml:space="preserve">, وقد سبق إلى هذا الكفر الصريح الشنيع </w:t>
      </w:r>
      <w:proofErr w:type="spellStart"/>
      <w:r w:rsidRPr="00A52585">
        <w:rPr>
          <w:rtl/>
        </w:rPr>
        <w:t>القمصيمى</w:t>
      </w:r>
      <w:proofErr w:type="spellEnd"/>
      <w:r w:rsidRPr="00A52585">
        <w:rPr>
          <w:rtl/>
        </w:rPr>
        <w:t xml:space="preserve"> المأفون المأبون</w:t>
      </w:r>
      <w:r w:rsidR="0002035C" w:rsidRPr="00A52585">
        <w:rPr>
          <w:rFonts w:hint="cs"/>
          <w:rtl/>
        </w:rPr>
        <w:t xml:space="preserve"> </w:t>
      </w:r>
      <w:r w:rsidRPr="00A52585">
        <w:rPr>
          <w:rtl/>
        </w:rPr>
        <w:t>في دينه معبود "حامد" ومولاه</w:t>
      </w:r>
      <w:r w:rsidR="00DB731D" w:rsidRPr="00A52585">
        <w:rPr>
          <w:rFonts w:hint="cs"/>
          <w:rtl/>
        </w:rPr>
        <w:t>،</w:t>
      </w:r>
      <w:r w:rsidR="0002035C" w:rsidRPr="00A52585">
        <w:rPr>
          <w:rFonts w:hint="cs"/>
          <w:rtl/>
        </w:rPr>
        <w:t xml:space="preserve"> </w:t>
      </w:r>
      <w:r w:rsidRPr="00A52585">
        <w:rPr>
          <w:rtl/>
        </w:rPr>
        <w:t>وفى</w:t>
      </w:r>
      <w:r w:rsidRPr="00A52585">
        <w:rPr>
          <w:rFonts w:hint="cs"/>
          <w:rtl/>
        </w:rPr>
        <w:t xml:space="preserve"> </w:t>
      </w:r>
      <w:r w:rsidRPr="00A52585">
        <w:rPr>
          <w:rtl/>
        </w:rPr>
        <w:t xml:space="preserve">هذا الكتاب المطبوع بتحقيق حامد </w:t>
      </w:r>
      <w:proofErr w:type="spellStart"/>
      <w:r w:rsidRPr="00A52585">
        <w:rPr>
          <w:rtl/>
        </w:rPr>
        <w:t>الفقى</w:t>
      </w:r>
      <w:proofErr w:type="spellEnd"/>
      <w:r w:rsidRPr="00A52585">
        <w:rPr>
          <w:rtl/>
        </w:rPr>
        <w:t xml:space="preserve"> وعلى نفقته ما تقشعر له الأبدان: فمما لم يذكره وهو كثير قوله</w:t>
      </w:r>
      <w:r w:rsidRPr="00A52585">
        <w:rPr>
          <w:rFonts w:hint="cs"/>
          <w:rtl/>
        </w:rPr>
        <w:t xml:space="preserve"> </w:t>
      </w:r>
      <w:r w:rsidRPr="00A52585">
        <w:rPr>
          <w:rtl/>
        </w:rPr>
        <w:t>(ص 102)</w:t>
      </w:r>
      <w:r w:rsidR="0002035C" w:rsidRPr="00A52585">
        <w:rPr>
          <w:rtl/>
        </w:rPr>
        <w:t>:</w:t>
      </w:r>
      <w:r w:rsidRPr="00A52585">
        <w:rPr>
          <w:rtl/>
        </w:rPr>
        <w:t xml:space="preserve"> ثم عاد المعارض إلى مذهبه الأول ناقصا على نفسه فيما تأول في المسألة الأولى فاحتج ببعض كلام جهم </w:t>
      </w:r>
      <w:proofErr w:type="spellStart"/>
      <w:r w:rsidRPr="00A52585">
        <w:rPr>
          <w:rtl/>
        </w:rPr>
        <w:t>والمرسي</w:t>
      </w:r>
      <w:proofErr w:type="spellEnd"/>
      <w:r w:rsidRPr="00A52585">
        <w:rPr>
          <w:rtl/>
        </w:rPr>
        <w:t xml:space="preserve"> فقال</w:t>
      </w:r>
      <w:r w:rsidR="0002035C" w:rsidRPr="00A52585">
        <w:rPr>
          <w:rtl/>
        </w:rPr>
        <w:t>:</w:t>
      </w:r>
      <w:r w:rsidRPr="00A52585">
        <w:rPr>
          <w:rtl/>
        </w:rPr>
        <w:t xml:space="preserve"> إن قالوا لك: أين الله؟ فالجواب لهم</w:t>
      </w:r>
      <w:r w:rsidR="0002035C" w:rsidRPr="00A52585">
        <w:rPr>
          <w:rtl/>
        </w:rPr>
        <w:t>:</w:t>
      </w:r>
      <w:r w:rsidRPr="00A52585">
        <w:rPr>
          <w:rtl/>
        </w:rPr>
        <w:t xml:space="preserve"> إن أردتم حلولاً في مكان دون </w:t>
      </w:r>
      <w:proofErr w:type="gramStart"/>
      <w:r w:rsidRPr="00A52585">
        <w:rPr>
          <w:rtl/>
        </w:rPr>
        <w:t>مكان,</w:t>
      </w:r>
      <w:proofErr w:type="gramEnd"/>
      <w:r w:rsidRPr="00A52585">
        <w:rPr>
          <w:rtl/>
        </w:rPr>
        <w:t xml:space="preserve"> وفى مكان يعقله </w:t>
      </w:r>
      <w:proofErr w:type="spellStart"/>
      <w:r w:rsidRPr="00A52585">
        <w:rPr>
          <w:rtl/>
        </w:rPr>
        <w:t>المخاوق</w:t>
      </w:r>
      <w:proofErr w:type="spellEnd"/>
      <w:r w:rsidRPr="00A52585">
        <w:rPr>
          <w:rtl/>
        </w:rPr>
        <w:t xml:space="preserve"> , </w:t>
      </w:r>
      <w:proofErr w:type="spellStart"/>
      <w:r w:rsidRPr="00A52585">
        <w:rPr>
          <w:rtl/>
        </w:rPr>
        <w:t>فهوالمتعالى</w:t>
      </w:r>
      <w:proofErr w:type="spellEnd"/>
      <w:r w:rsidRPr="00A52585">
        <w:rPr>
          <w:rtl/>
        </w:rPr>
        <w:t xml:space="preserve"> عن ذلك لأنه على العرش, وبكل مكان</w:t>
      </w:r>
      <w:r w:rsidR="00897A24" w:rsidRPr="00A52585">
        <w:rPr>
          <w:rtl/>
        </w:rPr>
        <w:t>.</w:t>
      </w:r>
      <w:r w:rsidRPr="00A52585">
        <w:rPr>
          <w:rtl/>
        </w:rPr>
        <w:t xml:space="preserve"> فيقال لهذا المعارض</w:t>
      </w:r>
      <w:r w:rsidR="0002035C" w:rsidRPr="00A52585">
        <w:rPr>
          <w:rtl/>
        </w:rPr>
        <w:t>:</w:t>
      </w:r>
      <w:r w:rsidRPr="00A52585">
        <w:rPr>
          <w:rtl/>
        </w:rPr>
        <w:t xml:space="preserve"> أما قولك كالمخلوق فهذه كذبه منك وتلبيس , ولا يقوله أحد من العلماء , ولكنه بمكان يعقله </w:t>
      </w:r>
      <w:proofErr w:type="spellStart"/>
      <w:r w:rsidRPr="00A52585">
        <w:rPr>
          <w:rtl/>
        </w:rPr>
        <w:t>المخلقون</w:t>
      </w:r>
      <w:proofErr w:type="spellEnd"/>
      <w:r w:rsidRPr="00A52585">
        <w:rPr>
          <w:rtl/>
        </w:rPr>
        <w:t xml:space="preserve"> المؤمنون بآيات الله , وهو على العرش فوق السماء السابعة دون ما سواها من الأمكنة , وعلمه محيط بكل مكان, وبمن هو في كل مكان, من لم يعرفه بذلك لم يؤمن , ولم يدر من بعيد ومن يوجد اهـ </w:t>
      </w:r>
      <w:proofErr w:type="spellStart"/>
      <w:r w:rsidRPr="00A52585">
        <w:rPr>
          <w:rtl/>
        </w:rPr>
        <w:t>فهوبذلك</w:t>
      </w:r>
      <w:proofErr w:type="spellEnd"/>
      <w:r w:rsidRPr="00A52585">
        <w:rPr>
          <w:rtl/>
        </w:rPr>
        <w:t xml:space="preserve"> قد عين مكان إلهه وحدده وزعم مكانه معقولاً لا مجهولاً , وقال من لم يعرفه بالمكان لم يؤمن ولم يدر من يعبد ومن يوحد , ومن هنا أخذ أولئك الطغام </w:t>
      </w:r>
      <w:proofErr w:type="spellStart"/>
      <w:r w:rsidRPr="00A52585">
        <w:rPr>
          <w:rtl/>
        </w:rPr>
        <w:t>الوالسون</w:t>
      </w:r>
      <w:proofErr w:type="spellEnd"/>
      <w:r w:rsidRPr="00A52585">
        <w:rPr>
          <w:rtl/>
        </w:rPr>
        <w:t xml:space="preserve"> المدلسون أن من لا يثبت والجوارح إلخ لم يدر من يعبد ومن يوحد , وكان من </w:t>
      </w:r>
      <w:proofErr w:type="spellStart"/>
      <w:r w:rsidRPr="00A52585">
        <w:rPr>
          <w:rtl/>
        </w:rPr>
        <w:t>نفاة</w:t>
      </w:r>
      <w:proofErr w:type="spellEnd"/>
      <w:r w:rsidRPr="00A52585">
        <w:rPr>
          <w:rtl/>
        </w:rPr>
        <w:t xml:space="preserve"> وجود الله تعالى</w:t>
      </w:r>
      <w:r w:rsidR="00DB731D" w:rsidRPr="00A52585">
        <w:rPr>
          <w:rFonts w:hint="cs"/>
          <w:rtl/>
        </w:rPr>
        <w:t>،</w:t>
      </w:r>
      <w:r w:rsidR="0002035C" w:rsidRPr="00A52585">
        <w:rPr>
          <w:rFonts w:hint="cs"/>
          <w:rtl/>
        </w:rPr>
        <w:t xml:space="preserve"> </w:t>
      </w:r>
      <w:r w:rsidRPr="00A52585">
        <w:rPr>
          <w:rtl/>
        </w:rPr>
        <w:t xml:space="preserve">وقد نحا ابن القيم في نونيته منحى </w:t>
      </w:r>
      <w:proofErr w:type="spellStart"/>
      <w:r w:rsidRPr="00A52585">
        <w:rPr>
          <w:rtl/>
        </w:rPr>
        <w:t>الرامى</w:t>
      </w:r>
      <w:proofErr w:type="spellEnd"/>
      <w:r w:rsidRPr="00A52585">
        <w:rPr>
          <w:rtl/>
        </w:rPr>
        <w:t xml:space="preserve"> وأضرابه , وخلط في الاعتقاد خلطا شديدا فمن ذلك قوله</w:t>
      </w:r>
      <w:r w:rsidR="0002035C" w:rsidRPr="00A52585">
        <w:rPr>
          <w:rFonts w:hint="cs"/>
          <w:rtl/>
        </w:rPr>
        <w:t xml:space="preserve">: </w:t>
      </w:r>
      <w:r w:rsidRPr="00A52585">
        <w:rPr>
          <w:rtl/>
        </w:rPr>
        <w:t xml:space="preserve">الله فوق العرش فوق سمائه سبحان </w:t>
      </w:r>
      <w:proofErr w:type="spellStart"/>
      <w:r w:rsidRPr="00A52585">
        <w:rPr>
          <w:rtl/>
        </w:rPr>
        <w:t>ذى</w:t>
      </w:r>
      <w:proofErr w:type="spellEnd"/>
      <w:r w:rsidRPr="00A52585">
        <w:rPr>
          <w:rtl/>
        </w:rPr>
        <w:t xml:space="preserve"> الملكوت والسلطان</w:t>
      </w:r>
      <w:r w:rsidRPr="00A52585">
        <w:rPr>
          <w:rtl/>
        </w:rPr>
        <w:br/>
        <w:t xml:space="preserve">ولعرشه منه أطيط مثل ما قد </w:t>
      </w:r>
      <w:proofErr w:type="spellStart"/>
      <w:r w:rsidRPr="00A52585">
        <w:rPr>
          <w:rtl/>
        </w:rPr>
        <w:t>أط</w:t>
      </w:r>
      <w:proofErr w:type="spellEnd"/>
      <w:r w:rsidRPr="00A52585">
        <w:rPr>
          <w:rtl/>
        </w:rPr>
        <w:t xml:space="preserve"> رحل الراكب العجلان</w:t>
      </w:r>
      <w:r w:rsidR="00DB731D" w:rsidRPr="00A52585">
        <w:rPr>
          <w:rFonts w:hint="cs"/>
          <w:rtl/>
        </w:rPr>
        <w:t>،</w:t>
      </w:r>
      <w:r w:rsidR="0002035C" w:rsidRPr="00A52585">
        <w:rPr>
          <w:rFonts w:hint="cs"/>
          <w:rtl/>
        </w:rPr>
        <w:t xml:space="preserve"> </w:t>
      </w:r>
      <w:r w:rsidRPr="00A52585">
        <w:rPr>
          <w:rtl/>
        </w:rPr>
        <w:t>وقوله</w:t>
      </w:r>
      <w:r w:rsidR="0002035C" w:rsidRPr="00A52585">
        <w:rPr>
          <w:rFonts w:hint="cs"/>
          <w:rtl/>
        </w:rPr>
        <w:t xml:space="preserve">: </w:t>
      </w:r>
      <w:r w:rsidRPr="00A52585">
        <w:rPr>
          <w:rtl/>
        </w:rPr>
        <w:t>والف</w:t>
      </w:r>
      <w:r w:rsidRPr="00A52585">
        <w:rPr>
          <w:rFonts w:hint="cs"/>
          <w:rtl/>
        </w:rPr>
        <w:t>و</w:t>
      </w:r>
      <w:r w:rsidRPr="00A52585">
        <w:rPr>
          <w:rtl/>
        </w:rPr>
        <w:t>ق وصف ثابت بالذات من كل الوجوه لفاطر الأكوان</w:t>
      </w:r>
      <w:r w:rsidR="00DB731D" w:rsidRPr="00A52585">
        <w:rPr>
          <w:rFonts w:hint="cs"/>
          <w:rtl/>
        </w:rPr>
        <w:t>،</w:t>
      </w:r>
      <w:r w:rsidRPr="00A52585">
        <w:rPr>
          <w:rFonts w:hint="cs"/>
          <w:rtl/>
        </w:rPr>
        <w:t xml:space="preserve"> </w:t>
      </w:r>
      <w:r w:rsidRPr="00A52585">
        <w:rPr>
          <w:rtl/>
        </w:rPr>
        <w:t xml:space="preserve">لكن </w:t>
      </w:r>
      <w:proofErr w:type="spellStart"/>
      <w:r w:rsidRPr="00A52585">
        <w:rPr>
          <w:rtl/>
        </w:rPr>
        <w:t>نفاة</w:t>
      </w:r>
      <w:proofErr w:type="spellEnd"/>
      <w:r w:rsidRPr="00A52585">
        <w:rPr>
          <w:rtl/>
        </w:rPr>
        <w:t xml:space="preserve"> الفوق ما وافوا به جحدوا كمال الفوق للديان</w:t>
      </w:r>
      <w:r w:rsidR="00DB731D" w:rsidRPr="00A52585">
        <w:rPr>
          <w:rFonts w:hint="cs"/>
          <w:rtl/>
        </w:rPr>
        <w:t>،</w:t>
      </w:r>
      <w:r w:rsidR="0002035C" w:rsidRPr="00A52585">
        <w:rPr>
          <w:rFonts w:hint="cs"/>
          <w:rtl/>
        </w:rPr>
        <w:t xml:space="preserve"> </w:t>
      </w:r>
      <w:r w:rsidRPr="00A52585">
        <w:rPr>
          <w:rtl/>
        </w:rPr>
        <w:t>بل فسروه بأن قدر الله أعلى لا يفوق الذات للر</w:t>
      </w:r>
      <w:r w:rsidRPr="00A52585">
        <w:rPr>
          <w:rFonts w:hint="cs"/>
          <w:rtl/>
        </w:rPr>
        <w:t>حم</w:t>
      </w:r>
      <w:r w:rsidRPr="00A52585">
        <w:rPr>
          <w:rtl/>
        </w:rPr>
        <w:t>ن</w:t>
      </w:r>
      <w:r w:rsidR="00DB731D" w:rsidRPr="00A52585">
        <w:rPr>
          <w:rFonts w:hint="cs"/>
          <w:rtl/>
        </w:rPr>
        <w:t>،</w:t>
      </w:r>
      <w:r w:rsidRPr="00A52585">
        <w:rPr>
          <w:rFonts w:hint="cs"/>
          <w:rtl/>
        </w:rPr>
        <w:t xml:space="preserve"> </w:t>
      </w:r>
      <w:proofErr w:type="spellStart"/>
      <w:r w:rsidRPr="00A52585">
        <w:rPr>
          <w:rtl/>
        </w:rPr>
        <w:t>أى</w:t>
      </w:r>
      <w:proofErr w:type="spellEnd"/>
      <w:r w:rsidRPr="00A52585">
        <w:rPr>
          <w:rtl/>
        </w:rPr>
        <w:t xml:space="preserve"> أن الأشاعرة وجمهور المسلمين فسروا الفوق بفوقية القدر لا الفوقية الذاتية</w:t>
      </w:r>
      <w:r w:rsidR="00DB731D" w:rsidRPr="00A52585">
        <w:rPr>
          <w:rFonts w:hint="cs"/>
          <w:rtl/>
        </w:rPr>
        <w:t>،</w:t>
      </w:r>
      <w:r w:rsidRPr="00A52585">
        <w:rPr>
          <w:rFonts w:hint="cs"/>
          <w:rtl/>
        </w:rPr>
        <w:t xml:space="preserve"> </w:t>
      </w:r>
      <w:r w:rsidRPr="00A52585">
        <w:rPr>
          <w:rtl/>
        </w:rPr>
        <w:t xml:space="preserve">ولا شك أن القول بالفوقية الذاتية ونحوه على ما ذهب إليه ابن </w:t>
      </w:r>
      <w:proofErr w:type="spellStart"/>
      <w:r w:rsidRPr="00A52585">
        <w:rPr>
          <w:rtl/>
        </w:rPr>
        <w:t>زفيل</w:t>
      </w:r>
      <w:proofErr w:type="spellEnd"/>
      <w:r w:rsidRPr="00A52585">
        <w:rPr>
          <w:rtl/>
        </w:rPr>
        <w:t xml:space="preserve"> </w:t>
      </w:r>
      <w:proofErr w:type="spellStart"/>
      <w:r w:rsidRPr="00A52585">
        <w:rPr>
          <w:rtl/>
        </w:rPr>
        <w:t>والدرامى</w:t>
      </w:r>
      <w:proofErr w:type="spellEnd"/>
      <w:r w:rsidRPr="00A52585">
        <w:rPr>
          <w:rtl/>
        </w:rPr>
        <w:t xml:space="preserve"> وابن تيمية, ومن تابعهم من </w:t>
      </w:r>
      <w:proofErr w:type="spellStart"/>
      <w:r w:rsidRPr="00A52585">
        <w:rPr>
          <w:rtl/>
        </w:rPr>
        <w:t>حشوية</w:t>
      </w:r>
      <w:proofErr w:type="spellEnd"/>
      <w:r w:rsidRPr="00A52585">
        <w:rPr>
          <w:rtl/>
        </w:rPr>
        <w:t xml:space="preserve"> العصر يوجب التشبيه, لما يترتب على اعتقاد حصول الذات في المكان المعين المعقول المعلوم من تشبيه الله تعالى بالحادث </w:t>
      </w:r>
      <w:proofErr w:type="spellStart"/>
      <w:r w:rsidRPr="00A52585">
        <w:rPr>
          <w:rtl/>
        </w:rPr>
        <w:t>المحوز</w:t>
      </w:r>
      <w:proofErr w:type="spellEnd"/>
      <w:r w:rsidRPr="00A52585">
        <w:rPr>
          <w:rtl/>
        </w:rPr>
        <w:t xml:space="preserve"> في المكان, ووصفه سبحانه </w:t>
      </w:r>
      <w:proofErr w:type="spellStart"/>
      <w:r w:rsidRPr="00A52585">
        <w:rPr>
          <w:rtl/>
        </w:rPr>
        <w:t>بشئ</w:t>
      </w:r>
      <w:proofErr w:type="spellEnd"/>
      <w:r w:rsidRPr="00A52585">
        <w:rPr>
          <w:rtl/>
        </w:rPr>
        <w:t xml:space="preserve"> هو من صفات خلقه, وهو أيضا يوجب التجسيم لإثبات هؤلاء المجسمة لله تعالى ما هو من اللوازم </w:t>
      </w:r>
      <w:proofErr w:type="spellStart"/>
      <w:r w:rsidRPr="00A52585">
        <w:rPr>
          <w:rtl/>
        </w:rPr>
        <w:t>البينه</w:t>
      </w:r>
      <w:proofErr w:type="spellEnd"/>
      <w:r w:rsidRPr="00A52585">
        <w:rPr>
          <w:rtl/>
        </w:rPr>
        <w:t xml:space="preserve"> </w:t>
      </w:r>
      <w:proofErr w:type="spellStart"/>
      <w:r w:rsidRPr="00A52585">
        <w:rPr>
          <w:rtl/>
        </w:rPr>
        <w:t>للاجسام</w:t>
      </w:r>
      <w:proofErr w:type="spellEnd"/>
      <w:r w:rsidRPr="00A52585">
        <w:rPr>
          <w:rtl/>
        </w:rPr>
        <w:t xml:space="preserve">, وأما العلم ونحوه مما لم يكن جوهرا مقدرا من الأجسام التي يلزمها المكان لزوما بينا , فلا يلزم من اتصاف الله تعالى به, ما يلزم على اتصافه بالفوقية الذاتية, وذلك معلوم </w:t>
      </w:r>
      <w:proofErr w:type="spellStart"/>
      <w:r w:rsidRPr="00A52585">
        <w:rPr>
          <w:rtl/>
        </w:rPr>
        <w:t>بالبداهة.وهؤلاء</w:t>
      </w:r>
      <w:proofErr w:type="spellEnd"/>
      <w:r w:rsidRPr="00A52585">
        <w:rPr>
          <w:rtl/>
        </w:rPr>
        <w:t xml:space="preserve"> </w:t>
      </w:r>
      <w:proofErr w:type="spellStart"/>
      <w:r w:rsidRPr="00A52585">
        <w:rPr>
          <w:rtl/>
        </w:rPr>
        <w:t>الحشوية</w:t>
      </w:r>
      <w:proofErr w:type="spellEnd"/>
      <w:r w:rsidRPr="00A52585">
        <w:rPr>
          <w:rtl/>
        </w:rPr>
        <w:t xml:space="preserve"> على غلوهم وإمعانهم في </w:t>
      </w:r>
      <w:proofErr w:type="spellStart"/>
      <w:r w:rsidRPr="00A52585">
        <w:rPr>
          <w:rtl/>
        </w:rPr>
        <w:t>اللغووالباطل</w:t>
      </w:r>
      <w:proofErr w:type="spellEnd"/>
      <w:r w:rsidRPr="00A52585">
        <w:rPr>
          <w:rtl/>
        </w:rPr>
        <w:t xml:space="preserve"> لهم </w:t>
      </w:r>
      <w:proofErr w:type="spellStart"/>
      <w:r w:rsidRPr="00A52585">
        <w:rPr>
          <w:rtl/>
        </w:rPr>
        <w:t>أغلوطات</w:t>
      </w:r>
      <w:proofErr w:type="spellEnd"/>
      <w:r w:rsidRPr="00A52585">
        <w:rPr>
          <w:rtl/>
        </w:rPr>
        <w:t xml:space="preserve"> مقصودة, ومغالطات مكشوفة, لا تلبث أن تذوب أمام حرارة البرهان, وتفتضح بما يلقى عليها من الأضواء الكاشفة, فهم يقولون دائما إن الوجه واليدين واليمين </w:t>
      </w:r>
      <w:r w:rsidRPr="00A52585">
        <w:rPr>
          <w:rtl/>
        </w:rPr>
        <w:lastRenderedPageBreak/>
        <w:t xml:space="preserve">والساق والقدم والأصابع, والاستواء والفوقية, </w:t>
      </w:r>
      <w:proofErr w:type="spellStart"/>
      <w:r w:rsidRPr="00A52585">
        <w:rPr>
          <w:rtl/>
        </w:rPr>
        <w:t>والمجئ</w:t>
      </w:r>
      <w:proofErr w:type="spellEnd"/>
      <w:r w:rsidRPr="00A52585">
        <w:rPr>
          <w:rtl/>
        </w:rPr>
        <w:t xml:space="preserve"> والنزول إلخ صفات إذا كان </w:t>
      </w:r>
      <w:proofErr w:type="spellStart"/>
      <w:r w:rsidRPr="00A52585">
        <w:rPr>
          <w:rtl/>
        </w:rPr>
        <w:t>إثنلتها</w:t>
      </w:r>
      <w:proofErr w:type="spellEnd"/>
      <w:r w:rsidRPr="00A52585">
        <w:rPr>
          <w:rtl/>
        </w:rPr>
        <w:t xml:space="preserve"> لله يوجب تشبيها, فإثبات غيرها من الصفات </w:t>
      </w:r>
      <w:proofErr w:type="spellStart"/>
      <w:r w:rsidRPr="00A52585">
        <w:rPr>
          <w:rtl/>
        </w:rPr>
        <w:t>كاحياة</w:t>
      </w:r>
      <w:proofErr w:type="spellEnd"/>
      <w:r w:rsidRPr="00A52585">
        <w:rPr>
          <w:rtl/>
        </w:rPr>
        <w:t xml:space="preserve"> والعلم والإرادة والقدرة </w:t>
      </w:r>
      <w:proofErr w:type="spellStart"/>
      <w:r w:rsidRPr="00A52585">
        <w:rPr>
          <w:rtl/>
        </w:rPr>
        <w:t>يوحب</w:t>
      </w:r>
      <w:proofErr w:type="spellEnd"/>
      <w:r w:rsidRPr="00A52585">
        <w:rPr>
          <w:rtl/>
        </w:rPr>
        <w:t xml:space="preserve"> أيضا تشبيها ولا فرق , لأن كلا من هذين النوعين يتصف بهما الحادث, وقد قلتم باتصاف ذات الله تعالى بالحياة والعلم إلخ ولم يلزم </w:t>
      </w:r>
      <w:proofErr w:type="spellStart"/>
      <w:r w:rsidRPr="00A52585">
        <w:rPr>
          <w:rtl/>
        </w:rPr>
        <w:t>علىذلك</w:t>
      </w:r>
      <w:proofErr w:type="spellEnd"/>
      <w:r w:rsidRPr="00A52585">
        <w:rPr>
          <w:rtl/>
        </w:rPr>
        <w:t xml:space="preserve"> عندكم تشبيه ذاته بذوات خلقه, فلم لا تقولون أيضا إن ذات الله تتصف بما ورد في الكتاب والسنه من الوجه واليدين, والاستواء على العرش بمعناه الذى هو استقرار من غير تأويل, والثقل على العرش حتى </w:t>
      </w:r>
      <w:proofErr w:type="spellStart"/>
      <w:r w:rsidRPr="00A52585">
        <w:rPr>
          <w:rtl/>
        </w:rPr>
        <w:t>يثط</w:t>
      </w:r>
      <w:proofErr w:type="spellEnd"/>
      <w:r w:rsidRPr="00A52585">
        <w:rPr>
          <w:rtl/>
        </w:rPr>
        <w:t xml:space="preserve"> </w:t>
      </w:r>
      <w:proofErr w:type="spellStart"/>
      <w:r w:rsidRPr="00A52585">
        <w:rPr>
          <w:rtl/>
        </w:rPr>
        <w:t>أى</w:t>
      </w:r>
      <w:proofErr w:type="spellEnd"/>
      <w:r w:rsidRPr="00A52585">
        <w:rPr>
          <w:rtl/>
        </w:rPr>
        <w:t xml:space="preserve"> سمع له صوت كأطيط الرحل بمعناه من غير تأويل , إنكم لم </w:t>
      </w:r>
      <w:proofErr w:type="spellStart"/>
      <w:r w:rsidRPr="00A52585">
        <w:rPr>
          <w:rtl/>
        </w:rPr>
        <w:t>تؤمنوبهذا</w:t>
      </w:r>
      <w:proofErr w:type="spellEnd"/>
      <w:r w:rsidRPr="00A52585">
        <w:rPr>
          <w:rtl/>
        </w:rPr>
        <w:t xml:space="preserve"> كله </w:t>
      </w:r>
      <w:proofErr w:type="spellStart"/>
      <w:r w:rsidRPr="00A52585">
        <w:rPr>
          <w:rtl/>
        </w:rPr>
        <w:t>تكونونفاة</w:t>
      </w:r>
      <w:proofErr w:type="spellEnd"/>
      <w:r w:rsidRPr="00A52585">
        <w:rPr>
          <w:rtl/>
        </w:rPr>
        <w:t xml:space="preserve"> معطلين, فكما قلتم له علم لا كالعلوم, وإرادة لا كإيرادات, وقدرة كالقدر, </w:t>
      </w:r>
      <w:proofErr w:type="spellStart"/>
      <w:r w:rsidRPr="00A52585">
        <w:rPr>
          <w:rtl/>
        </w:rPr>
        <w:t>فقولوأيضا</w:t>
      </w:r>
      <w:proofErr w:type="spellEnd"/>
      <w:r w:rsidRPr="00A52585">
        <w:rPr>
          <w:rtl/>
        </w:rPr>
        <w:t xml:space="preserve"> له وجه لا كالوجوه, ويد لا </w:t>
      </w:r>
      <w:proofErr w:type="spellStart"/>
      <w:r w:rsidRPr="00A52585">
        <w:rPr>
          <w:rtl/>
        </w:rPr>
        <w:t>كالأيدى</w:t>
      </w:r>
      <w:proofErr w:type="spellEnd"/>
      <w:r w:rsidR="00DB731D" w:rsidRPr="00A52585">
        <w:rPr>
          <w:rFonts w:hint="cs"/>
          <w:rtl/>
        </w:rPr>
        <w:t>،</w:t>
      </w:r>
      <w:r w:rsidRPr="00A52585">
        <w:rPr>
          <w:rFonts w:hint="cs"/>
          <w:rtl/>
        </w:rPr>
        <w:t xml:space="preserve"> </w:t>
      </w:r>
      <w:r w:rsidRPr="00A52585">
        <w:rPr>
          <w:rtl/>
        </w:rPr>
        <w:t xml:space="preserve">وهم يتوسعون في إثبات هذه الظواهر من المتشابه على حالها وعلى ما يفهم منها من غير تأويل ولا صرف لها عن ظاهرها, ونحن نصرفها عن ظاهرها ونؤولها بما يوافق العربية طلباً للتنزيه وبعداً عن التشبيه, وهذا هو موضع النزاع بين </w:t>
      </w:r>
      <w:proofErr w:type="spellStart"/>
      <w:r w:rsidRPr="00A52585">
        <w:rPr>
          <w:rtl/>
        </w:rPr>
        <w:t>المشبة</w:t>
      </w:r>
      <w:proofErr w:type="spellEnd"/>
      <w:r w:rsidRPr="00A52585">
        <w:rPr>
          <w:rtl/>
        </w:rPr>
        <w:t xml:space="preserve"> وأصحاب التنزيه, ومثار الجدل بيننا وبين خصومنا اليوم , وقد تقرأ لشيخ الإسلام ابن تيمية تسعين وجها </w:t>
      </w:r>
      <w:proofErr w:type="spellStart"/>
      <w:r w:rsidRPr="00A52585">
        <w:rPr>
          <w:rtl/>
        </w:rPr>
        <w:t>أوسبعين</w:t>
      </w:r>
      <w:proofErr w:type="spellEnd"/>
      <w:r w:rsidRPr="00A52585">
        <w:rPr>
          <w:rtl/>
        </w:rPr>
        <w:t xml:space="preserve"> وجها في إثبات هذه الظواهر , والرد على الأشاعرة فيما عمدوا إليه من التأويل , وحملهم المتشابه على المحكم تنزيها لله سبحانه</w:t>
      </w:r>
      <w:r w:rsidR="00DB731D" w:rsidRPr="00A52585">
        <w:rPr>
          <w:rtl/>
        </w:rPr>
        <w:t>،</w:t>
      </w:r>
      <w:r w:rsidRPr="00A52585">
        <w:rPr>
          <w:rFonts w:hint="cs"/>
          <w:rtl/>
        </w:rPr>
        <w:t xml:space="preserve"> </w:t>
      </w:r>
      <w:r w:rsidRPr="00A52585">
        <w:rPr>
          <w:rtl/>
        </w:rPr>
        <w:t xml:space="preserve">وهو شديد الجرأة والعناد, يريد أن يصل إلى </w:t>
      </w:r>
      <w:proofErr w:type="spellStart"/>
      <w:r w:rsidRPr="00A52585">
        <w:rPr>
          <w:rtl/>
        </w:rPr>
        <w:t>مطلوبه</w:t>
      </w:r>
      <w:proofErr w:type="spellEnd"/>
      <w:r w:rsidRPr="00A52585">
        <w:rPr>
          <w:rtl/>
        </w:rPr>
        <w:t xml:space="preserve"> بالثرثرة والزخرف </w:t>
      </w:r>
      <w:proofErr w:type="spellStart"/>
      <w:r w:rsidRPr="00A52585">
        <w:rPr>
          <w:rtl/>
        </w:rPr>
        <w:t>اللفظى</w:t>
      </w:r>
      <w:proofErr w:type="spellEnd"/>
      <w:r w:rsidRPr="00A52585">
        <w:rPr>
          <w:rtl/>
        </w:rPr>
        <w:t>, وإن لم يبن كلامه على أساس من العقل والمنطق الصحيح</w:t>
      </w:r>
      <w:r w:rsidR="00DB731D" w:rsidRPr="00A52585">
        <w:rPr>
          <w:rFonts w:hint="cs"/>
          <w:rtl/>
        </w:rPr>
        <w:t>،</w:t>
      </w:r>
      <w:r w:rsidR="0002035C" w:rsidRPr="00A52585">
        <w:rPr>
          <w:rFonts w:hint="cs"/>
          <w:rtl/>
        </w:rPr>
        <w:t xml:space="preserve"> </w:t>
      </w:r>
      <w:r w:rsidRPr="00A52585">
        <w:rPr>
          <w:rtl/>
        </w:rPr>
        <w:t>وفى الحق</w:t>
      </w:r>
      <w:r w:rsidR="0002035C" w:rsidRPr="00A52585">
        <w:rPr>
          <w:rtl/>
        </w:rPr>
        <w:t>:</w:t>
      </w:r>
      <w:r w:rsidRPr="00A52585">
        <w:rPr>
          <w:rtl/>
        </w:rPr>
        <w:t xml:space="preserve"> إن الناظر في كلامه يشعر أنه في تقرير مطالبه يسلك من وعورة البحث مسلكا خشناً يربك فيه من محارات العقول , ومتاهات الأفهام, ما يدعك تتيه معه في أودية من الضلال</w:t>
      </w:r>
      <w:r w:rsidRPr="00A52585">
        <w:rPr>
          <w:rFonts w:hint="cs"/>
          <w:rtl/>
        </w:rPr>
        <w:t xml:space="preserve"> </w:t>
      </w:r>
      <w:r w:rsidRPr="00A52585">
        <w:rPr>
          <w:rtl/>
        </w:rPr>
        <w:t xml:space="preserve">, والسبب في ذلك واضح , وهو أنه يبحث في ذات الله تعالى وصفاته بحثا يجعلها على صورة ما يرد في النصوص من الظواهر , ولذلك يقول تقى الدبن </w:t>
      </w:r>
      <w:proofErr w:type="spellStart"/>
      <w:r w:rsidRPr="00A52585">
        <w:rPr>
          <w:rtl/>
        </w:rPr>
        <w:t>السبكى</w:t>
      </w:r>
      <w:proofErr w:type="spellEnd"/>
      <w:r w:rsidRPr="00A52585">
        <w:rPr>
          <w:rtl/>
        </w:rPr>
        <w:t xml:space="preserve"> في كتابه " السيف الصقيل" في حق هذا الرجل</w:t>
      </w:r>
      <w:r w:rsidR="0002035C" w:rsidRPr="00A52585">
        <w:rPr>
          <w:rtl/>
        </w:rPr>
        <w:t>:</w:t>
      </w:r>
      <w:r w:rsidRPr="00A52585">
        <w:rPr>
          <w:rtl/>
        </w:rPr>
        <w:t xml:space="preserve"> "ثم جاء في أواخر المائة السابعة رجل له فضل ذكاء واطلاع , ولم يجد </w:t>
      </w:r>
      <w:r w:rsidRPr="00A52585">
        <w:rPr>
          <w:rFonts w:hint="cs"/>
          <w:rtl/>
        </w:rPr>
        <w:t xml:space="preserve">من </w:t>
      </w:r>
      <w:r w:rsidRPr="00A52585">
        <w:rPr>
          <w:rtl/>
        </w:rPr>
        <w:t>يهديه وهو على مذهبهم , وهو جسور متجرد لتقرير مذهبه, ويجد أموراً بعيدة فبفضل جسارته يلتزمها</w:t>
      </w:r>
      <w:r w:rsidR="0002035C" w:rsidRPr="00A52585">
        <w:rPr>
          <w:rtl/>
        </w:rPr>
        <w:t>:</w:t>
      </w:r>
      <w:r w:rsidRPr="00A52585">
        <w:rPr>
          <w:rtl/>
        </w:rPr>
        <w:t xml:space="preserve"> فقال بقيام الحوادث بذات الرب سبحانه وتعالى , وأن الله سبحانه ما زال فاعلا , وان التسلسل ليس بمحال فيما مضى كما هو </w:t>
      </w:r>
      <w:proofErr w:type="spellStart"/>
      <w:r w:rsidRPr="00A52585">
        <w:rPr>
          <w:rtl/>
        </w:rPr>
        <w:t>سيأتى</w:t>
      </w:r>
      <w:proofErr w:type="spellEnd"/>
      <w:r w:rsidRPr="00A52585">
        <w:rPr>
          <w:rtl/>
        </w:rPr>
        <w:t>. وشق العصا, وشوش عقائد المسلمين, وأغرى بينهم " إلخ</w:t>
      </w:r>
      <w:r w:rsidR="00DB731D" w:rsidRPr="00A52585">
        <w:rPr>
          <w:rtl/>
        </w:rPr>
        <w:t>،</w:t>
      </w:r>
      <w:r w:rsidR="0002035C" w:rsidRPr="00A52585">
        <w:rPr>
          <w:rFonts w:hint="cs"/>
          <w:rtl/>
        </w:rPr>
        <w:t xml:space="preserve"> </w:t>
      </w:r>
      <w:r w:rsidRPr="00A52585">
        <w:rPr>
          <w:rtl/>
        </w:rPr>
        <w:t xml:space="preserve">وكتب الأستاذ </w:t>
      </w:r>
      <w:proofErr w:type="spellStart"/>
      <w:r w:rsidRPr="00A52585">
        <w:rPr>
          <w:rtl/>
        </w:rPr>
        <w:t>الكوثرى</w:t>
      </w:r>
      <w:proofErr w:type="spellEnd"/>
      <w:r w:rsidRPr="00A52585">
        <w:rPr>
          <w:rtl/>
        </w:rPr>
        <w:t xml:space="preserve"> في تكملة الرد على نونية ابن القيم فقال: "اتفقت فرق المسلمين سوى الكرامية وصنوف </w:t>
      </w:r>
      <w:proofErr w:type="spellStart"/>
      <w:r w:rsidRPr="00A52585">
        <w:rPr>
          <w:rtl/>
        </w:rPr>
        <w:t>الجسمة</w:t>
      </w:r>
      <w:proofErr w:type="spellEnd"/>
      <w:r w:rsidRPr="00A52585">
        <w:rPr>
          <w:rtl/>
        </w:rPr>
        <w:t xml:space="preserve"> على أن الله سبحانه منزه عن أن تقوم به الحوادث , أن تحل به الحوادث , وأن يحل في </w:t>
      </w:r>
      <w:proofErr w:type="spellStart"/>
      <w:r w:rsidRPr="00A52585">
        <w:rPr>
          <w:rtl/>
        </w:rPr>
        <w:t>شئ</w:t>
      </w:r>
      <w:proofErr w:type="spellEnd"/>
      <w:r w:rsidRPr="00A52585">
        <w:rPr>
          <w:rtl/>
        </w:rPr>
        <w:t xml:space="preserve"> من الحوادث , بل ذلك مما علم من الدين بالضرورة , ودعوى أن الله لم يزل فاعلا متابعة منه للفلاسفة القائلين بسلب الاختيار عن الله سبحانه, وبصدور العالم منه بالإيجاب , ونسبة </w:t>
      </w:r>
      <w:r w:rsidRPr="00A52585">
        <w:rPr>
          <w:rtl/>
        </w:rPr>
        <w:lastRenderedPageBreak/>
        <w:t>ذلك إلى الإمام أحمد والبخاري كذب صريح , وتقول إلى آخر هذا البحث النفيس</w:t>
      </w:r>
      <w:r w:rsidR="00DB731D" w:rsidRPr="00A52585">
        <w:rPr>
          <w:rFonts w:hint="cs"/>
          <w:rtl/>
        </w:rPr>
        <w:t>،</w:t>
      </w:r>
      <w:r w:rsidR="0002035C" w:rsidRPr="00A52585">
        <w:rPr>
          <w:rFonts w:hint="cs"/>
          <w:rtl/>
        </w:rPr>
        <w:t xml:space="preserve"> </w:t>
      </w:r>
      <w:r w:rsidRPr="00A52585">
        <w:rPr>
          <w:rtl/>
        </w:rPr>
        <w:t xml:space="preserve">وقال فضيلة الأستاذ الشيخ سلامة </w:t>
      </w:r>
      <w:proofErr w:type="spellStart"/>
      <w:r w:rsidRPr="00A52585">
        <w:rPr>
          <w:rtl/>
        </w:rPr>
        <w:t>ال</w:t>
      </w:r>
      <w:r w:rsidRPr="00A52585">
        <w:rPr>
          <w:rFonts w:hint="cs"/>
          <w:rtl/>
        </w:rPr>
        <w:t>ع</w:t>
      </w:r>
      <w:r w:rsidRPr="00A52585">
        <w:rPr>
          <w:rtl/>
        </w:rPr>
        <w:t>زام</w:t>
      </w:r>
      <w:r w:rsidRPr="00A52585">
        <w:rPr>
          <w:rFonts w:hint="cs"/>
          <w:rtl/>
        </w:rPr>
        <w:t>ي</w:t>
      </w:r>
      <w:proofErr w:type="spellEnd"/>
      <w:r w:rsidRPr="00A52585">
        <w:rPr>
          <w:rFonts w:hint="cs"/>
          <w:rtl/>
        </w:rPr>
        <w:t xml:space="preserve"> </w:t>
      </w:r>
      <w:r w:rsidRPr="00A52585">
        <w:rPr>
          <w:rtl/>
        </w:rPr>
        <w:t>القضاع</w:t>
      </w:r>
      <w:r w:rsidRPr="00A52585">
        <w:rPr>
          <w:rFonts w:hint="cs"/>
          <w:rtl/>
        </w:rPr>
        <w:t>ي</w:t>
      </w:r>
      <w:r w:rsidRPr="00A52585">
        <w:rPr>
          <w:rtl/>
        </w:rPr>
        <w:t xml:space="preserve"> الشافع</w:t>
      </w:r>
      <w:r w:rsidRPr="00A52585">
        <w:rPr>
          <w:rFonts w:hint="cs"/>
          <w:rtl/>
        </w:rPr>
        <w:t>ي</w:t>
      </w:r>
      <w:r w:rsidRPr="00A52585">
        <w:rPr>
          <w:rtl/>
        </w:rPr>
        <w:t xml:space="preserve"> في رسالته " فرقان القرآن بين صفات الخالق وصفات الأكوان " وهى </w:t>
      </w:r>
      <w:proofErr w:type="spellStart"/>
      <w:r w:rsidRPr="00A52585">
        <w:rPr>
          <w:rtl/>
        </w:rPr>
        <w:t>رسالتة</w:t>
      </w:r>
      <w:proofErr w:type="spellEnd"/>
      <w:r w:rsidRPr="00A52585">
        <w:rPr>
          <w:rtl/>
        </w:rPr>
        <w:t xml:space="preserve"> جعلها كالمقدمة لكتاب " الأسماء والصفات " </w:t>
      </w:r>
      <w:proofErr w:type="spellStart"/>
      <w:r w:rsidRPr="00A52585">
        <w:rPr>
          <w:rtl/>
        </w:rPr>
        <w:t>للبيهقى</w:t>
      </w:r>
      <w:proofErr w:type="spellEnd"/>
      <w:r w:rsidRPr="00A52585">
        <w:rPr>
          <w:rtl/>
        </w:rPr>
        <w:t xml:space="preserve"> المطبوع حديثا بمطبعة السعادة بمصر في صدد الكلام على </w:t>
      </w:r>
      <w:proofErr w:type="spellStart"/>
      <w:r w:rsidRPr="00A52585">
        <w:rPr>
          <w:rtl/>
        </w:rPr>
        <w:t>الحشوية</w:t>
      </w:r>
      <w:proofErr w:type="spellEnd"/>
      <w:r w:rsidRPr="00A52585">
        <w:rPr>
          <w:rtl/>
        </w:rPr>
        <w:t xml:space="preserve"> ما نصه</w:t>
      </w:r>
      <w:r w:rsidR="0002035C" w:rsidRPr="00A52585">
        <w:rPr>
          <w:rtl/>
        </w:rPr>
        <w:t>:</w:t>
      </w:r>
      <w:r w:rsidRPr="00A52585">
        <w:rPr>
          <w:rtl/>
        </w:rPr>
        <w:t xml:space="preserve">" وهى من </w:t>
      </w:r>
      <w:proofErr w:type="spellStart"/>
      <w:r w:rsidRPr="00A52585">
        <w:rPr>
          <w:rtl/>
        </w:rPr>
        <w:t>الحشوية</w:t>
      </w:r>
      <w:proofErr w:type="spellEnd"/>
      <w:r w:rsidRPr="00A52585">
        <w:rPr>
          <w:rtl/>
        </w:rPr>
        <w:t xml:space="preserve"> مغالطة مفضوحة , وباطل مكشوف للناقد البصير , فإن الوجه والعين واليد والرجل والساق أجزاء وأبعاض وأعضاء لما هي فيه من الذوات لا معان وصفات تقوم بموصوفات , فأين هي مما ألحقونا به من الحياة والعلم والإرادة والقدرة</w:t>
      </w:r>
      <w:r w:rsidR="00F95886" w:rsidRPr="00A52585">
        <w:rPr>
          <w:rtl/>
        </w:rPr>
        <w:t>؟</w:t>
      </w:r>
      <w:r w:rsidRPr="00A52585">
        <w:rPr>
          <w:rtl/>
        </w:rPr>
        <w:t xml:space="preserve"> وهل هذا إلا كتشبيه العالم بالعلم , والابيض بالبياض , وهل تسميتهم لها بالصفات إلا تستر لموقفهم من التشبيه, بما لا يسترهم عن ذوى الأنصار النافذة, وتحجب عن سهام النقدة من أهل السنة الراسخين في علم الكتاب العزيز بنسج العنكبوت, وهو كما علمت لا ينفعهم, ولا يدفع عنهم منها شيئا , فأن تهرب منهم متهرب- وكثيراً ما يفعلون- وقال</w:t>
      </w:r>
      <w:r w:rsidR="0002035C" w:rsidRPr="00A52585">
        <w:rPr>
          <w:rtl/>
        </w:rPr>
        <w:t>:</w:t>
      </w:r>
      <w:r w:rsidRPr="00A52585">
        <w:rPr>
          <w:rtl/>
        </w:rPr>
        <w:t xml:space="preserve"> إنا لا نريد بالوجه ما هو أجزاء وأبعاض , بل ما هو صفات حقيقية كالعظمة والملك والبصر والقدرة ونحوها ولكنا لا نعين المراد- قلنا</w:t>
      </w:r>
      <w:r w:rsidR="0002035C" w:rsidRPr="00A52585">
        <w:rPr>
          <w:rtl/>
        </w:rPr>
        <w:t>:</w:t>
      </w:r>
      <w:r w:rsidRPr="00A52585">
        <w:rPr>
          <w:rtl/>
        </w:rPr>
        <w:t xml:space="preserve"> مرحبا بالراجعين إلى الحق , وبشرى بالرجوع إلى صميم الإسلام ولب العلم والسلفية الحقة , ولا نزاع بيننا وبينكم فقد انصرفتم عن </w:t>
      </w:r>
      <w:proofErr w:type="spellStart"/>
      <w:r w:rsidRPr="00A52585">
        <w:rPr>
          <w:rtl/>
        </w:rPr>
        <w:t>الحشوية</w:t>
      </w:r>
      <w:proofErr w:type="spellEnd"/>
      <w:r w:rsidRPr="00A52585">
        <w:rPr>
          <w:rtl/>
        </w:rPr>
        <w:t xml:space="preserve">, ولكنهم والأسف ملء فؤادنا عليهم على ذلك لا يثبتون, وما أسرع ما تراهم إلى القول بالتجزئة والتشبيه </w:t>
      </w:r>
      <w:proofErr w:type="spellStart"/>
      <w:r w:rsidRPr="00A52585">
        <w:rPr>
          <w:rtl/>
        </w:rPr>
        <w:t>يرجعونوفنعوذ</w:t>
      </w:r>
      <w:proofErr w:type="spellEnd"/>
      <w:r w:rsidRPr="00A52585">
        <w:rPr>
          <w:rtl/>
        </w:rPr>
        <w:t xml:space="preserve"> بالله تعالى من لافتن</w:t>
      </w:r>
      <w:r w:rsidR="00DB731D" w:rsidRPr="00A52585">
        <w:rPr>
          <w:rtl/>
        </w:rPr>
        <w:t>،</w:t>
      </w:r>
      <w:r w:rsidRPr="00A52585">
        <w:rPr>
          <w:rtl/>
        </w:rPr>
        <w:t xml:space="preserve"> ما ظهر منها وما بطن "</w:t>
      </w:r>
      <w:r w:rsidR="00DB731D" w:rsidRPr="00A52585">
        <w:rPr>
          <w:rFonts w:hint="cs"/>
          <w:rtl/>
        </w:rPr>
        <w:t>،</w:t>
      </w:r>
      <w:r w:rsidRPr="00A52585">
        <w:rPr>
          <w:rFonts w:hint="cs"/>
          <w:rtl/>
        </w:rPr>
        <w:t xml:space="preserve"> ث</w:t>
      </w:r>
      <w:r w:rsidRPr="00A52585">
        <w:rPr>
          <w:rtl/>
        </w:rPr>
        <w:t xml:space="preserve">م قال: تنبيه مهم: إذا سمعت في عبارات السلف قولهم إنما نؤمن بأن له وجها لا كالوجوه, ويدا لا </w:t>
      </w:r>
      <w:proofErr w:type="spellStart"/>
      <w:r w:rsidRPr="00A52585">
        <w:rPr>
          <w:rtl/>
        </w:rPr>
        <w:t>كالأيدى</w:t>
      </w:r>
      <w:proofErr w:type="spellEnd"/>
      <w:r w:rsidR="00DB731D" w:rsidRPr="00A52585">
        <w:rPr>
          <w:rtl/>
        </w:rPr>
        <w:t>،</w:t>
      </w:r>
      <w:r w:rsidRPr="00A52585">
        <w:rPr>
          <w:rtl/>
        </w:rPr>
        <w:t xml:space="preserve"> فلا تظن أنهم أرادوا أن العلية منقسمة إلى أجزاء وأبعاض</w:t>
      </w:r>
      <w:r w:rsidR="00DB731D" w:rsidRPr="00A52585">
        <w:rPr>
          <w:rtl/>
        </w:rPr>
        <w:t>،</w:t>
      </w:r>
      <w:r w:rsidRPr="00A52585">
        <w:rPr>
          <w:rtl/>
        </w:rPr>
        <w:t xml:space="preserve"> فجزء منها يد وجزء منها وجه غير أنه لا يشابه </w:t>
      </w:r>
      <w:proofErr w:type="spellStart"/>
      <w:r w:rsidRPr="00A52585">
        <w:rPr>
          <w:rtl/>
        </w:rPr>
        <w:t>الأيدى</w:t>
      </w:r>
      <w:proofErr w:type="spellEnd"/>
      <w:r w:rsidRPr="00A52585">
        <w:rPr>
          <w:rtl/>
        </w:rPr>
        <w:t xml:space="preserve"> والوجوه التي للخاق حاشاهم من ذلك</w:t>
      </w:r>
      <w:r w:rsidR="00DB731D" w:rsidRPr="00A52585">
        <w:rPr>
          <w:rtl/>
        </w:rPr>
        <w:t>،</w:t>
      </w:r>
      <w:r w:rsidRPr="00A52585">
        <w:rPr>
          <w:rtl/>
        </w:rPr>
        <w:t xml:space="preserve"> وما هذا إلا التشبيه بعينه، وإنما </w:t>
      </w:r>
      <w:proofErr w:type="spellStart"/>
      <w:r w:rsidRPr="00A52585">
        <w:rPr>
          <w:rtl/>
        </w:rPr>
        <w:t>أرادوبذلك</w:t>
      </w:r>
      <w:proofErr w:type="spellEnd"/>
      <w:r w:rsidRPr="00A52585">
        <w:rPr>
          <w:rtl/>
        </w:rPr>
        <w:t xml:space="preserve"> أن لفظ الوجه واليد قد استعمل في معنى من </w:t>
      </w:r>
      <w:proofErr w:type="spellStart"/>
      <w:r w:rsidRPr="00A52585">
        <w:rPr>
          <w:rtl/>
        </w:rPr>
        <w:t>المعانى</w:t>
      </w:r>
      <w:proofErr w:type="spellEnd"/>
      <w:r w:rsidR="00DB731D" w:rsidRPr="00A52585">
        <w:rPr>
          <w:rtl/>
        </w:rPr>
        <w:t>،</w:t>
      </w:r>
      <w:r w:rsidRPr="00A52585">
        <w:rPr>
          <w:rtl/>
        </w:rPr>
        <w:t xml:space="preserve"> وصفة من الصفات التي تليق بالذات </w:t>
      </w:r>
      <w:proofErr w:type="spellStart"/>
      <w:r w:rsidRPr="00A52585">
        <w:rPr>
          <w:rtl/>
        </w:rPr>
        <w:t>كاعظمة</w:t>
      </w:r>
      <w:proofErr w:type="spellEnd"/>
      <w:r w:rsidRPr="00A52585">
        <w:rPr>
          <w:rtl/>
        </w:rPr>
        <w:t xml:space="preserve"> والقدرة غير أنهم يتورعون عن تعيين تلك الصفة تهيبا من التهجم على ذلك المقام الأقداس. ثم قال: ويدلك على </w:t>
      </w:r>
      <w:proofErr w:type="spellStart"/>
      <w:r w:rsidRPr="00A52585">
        <w:rPr>
          <w:rtl/>
        </w:rPr>
        <w:t>غرادة</w:t>
      </w:r>
      <w:proofErr w:type="spellEnd"/>
      <w:r w:rsidRPr="00A52585">
        <w:rPr>
          <w:rtl/>
        </w:rPr>
        <w:t xml:space="preserve"> السلف ما قلنا ما نقله الذهبي نفسه في كتابه </w:t>
      </w:r>
      <w:proofErr w:type="gramStart"/>
      <w:r w:rsidRPr="00A52585">
        <w:rPr>
          <w:rtl/>
        </w:rPr>
        <w:t>الذى</w:t>
      </w:r>
      <w:proofErr w:type="gramEnd"/>
      <w:r w:rsidRPr="00A52585">
        <w:rPr>
          <w:rtl/>
        </w:rPr>
        <w:t xml:space="preserve"> سماه " العلو" عن الإمام مالك وشيخه ربيعة ونظرائهما أنهم قالوا حين سئلوا عن قوله تعالى: (</w:t>
      </w:r>
      <w:r w:rsidR="0002035C" w:rsidRPr="00A52585">
        <w:rPr>
          <w:rtl/>
        </w:rPr>
        <w:t>(</w:t>
      </w:r>
      <w:r w:rsidRPr="00A52585">
        <w:rPr>
          <w:rtl/>
        </w:rPr>
        <w:t>الرحمن على العرش استوى)) كيف استوى</w:t>
      </w:r>
      <w:r w:rsidR="00F95886" w:rsidRPr="00A52585">
        <w:rPr>
          <w:rtl/>
        </w:rPr>
        <w:t>؟</w:t>
      </w:r>
      <w:r w:rsidRPr="00A52585">
        <w:rPr>
          <w:rtl/>
        </w:rPr>
        <w:t xml:space="preserve"> والكيف غير معقول</w:t>
      </w:r>
      <w:r w:rsidR="00DB731D" w:rsidRPr="00A52585">
        <w:rPr>
          <w:rtl/>
        </w:rPr>
        <w:t>،</w:t>
      </w:r>
      <w:r w:rsidRPr="00A52585">
        <w:rPr>
          <w:rtl/>
        </w:rPr>
        <w:t xml:space="preserve"> وكذلك نقل الذهبي بالسند في هذا الكتاب عن أبى عبد الله الحاكم وابى زرعة اتفاق جميع فقهاء الأمصار من أهل تلك </w:t>
      </w:r>
      <w:proofErr w:type="spellStart"/>
      <w:r w:rsidRPr="00A52585">
        <w:rPr>
          <w:rtl/>
        </w:rPr>
        <w:t>الأعصار</w:t>
      </w:r>
      <w:proofErr w:type="spellEnd"/>
      <w:r w:rsidR="00DB731D" w:rsidRPr="00A52585">
        <w:rPr>
          <w:rtl/>
        </w:rPr>
        <w:t>،</w:t>
      </w:r>
      <w:r w:rsidRPr="00A52585">
        <w:rPr>
          <w:rtl/>
        </w:rPr>
        <w:t xml:space="preserve"> أنهم يؤمنون بهذه </w:t>
      </w:r>
      <w:proofErr w:type="spellStart"/>
      <w:r w:rsidRPr="00A52585">
        <w:rPr>
          <w:rtl/>
        </w:rPr>
        <w:t>لاصفات</w:t>
      </w:r>
      <w:proofErr w:type="spellEnd"/>
      <w:r w:rsidRPr="00A52585">
        <w:rPr>
          <w:rtl/>
        </w:rPr>
        <w:t xml:space="preserve"> من غير كيف , فأنظر كيف نفوا الكيف مجمعين، وهو صريح في أنها ليست أجزاء ولا جسمانية, فإن الاستواء </w:t>
      </w:r>
      <w:proofErr w:type="spellStart"/>
      <w:r w:rsidRPr="00A52585">
        <w:rPr>
          <w:rtl/>
        </w:rPr>
        <w:t>الجسمانى</w:t>
      </w:r>
      <w:proofErr w:type="spellEnd"/>
      <w:r w:rsidRPr="00A52585">
        <w:rPr>
          <w:rtl/>
        </w:rPr>
        <w:t xml:space="preserve"> وما إليه لا بد لها من الكيف قطعا</w:t>
      </w:r>
      <w:r w:rsidR="00DB731D" w:rsidRPr="00A52585">
        <w:rPr>
          <w:rtl/>
        </w:rPr>
        <w:t>،</w:t>
      </w:r>
      <w:r w:rsidRPr="00A52585">
        <w:rPr>
          <w:rtl/>
        </w:rPr>
        <w:t xml:space="preserve"> إذ هو لازم من لوازم ذاتها لذاتها , ونفى لازم الماهية لذاتها يستلزم نفيها عند </w:t>
      </w:r>
      <w:r w:rsidRPr="00A52585">
        <w:rPr>
          <w:rtl/>
        </w:rPr>
        <w:lastRenderedPageBreak/>
        <w:t xml:space="preserve">جميع المنصفين من العقلاء، والذين لم </w:t>
      </w:r>
      <w:proofErr w:type="spellStart"/>
      <w:r w:rsidRPr="00A52585">
        <w:rPr>
          <w:rtl/>
        </w:rPr>
        <w:t>يصابو</w:t>
      </w:r>
      <w:proofErr w:type="spellEnd"/>
      <w:r w:rsidRPr="00A52585">
        <w:rPr>
          <w:rFonts w:hint="cs"/>
          <w:rtl/>
        </w:rPr>
        <w:t xml:space="preserve"> </w:t>
      </w:r>
      <w:r w:rsidRPr="00A52585">
        <w:rPr>
          <w:rtl/>
        </w:rPr>
        <w:t>بالأهواء , وانظر كيف سموها صفات</w:t>
      </w:r>
      <w:r w:rsidR="00DB731D" w:rsidRPr="00A52585">
        <w:rPr>
          <w:rtl/>
        </w:rPr>
        <w:t>،</w:t>
      </w:r>
      <w:r w:rsidRPr="00A52585">
        <w:rPr>
          <w:rtl/>
        </w:rPr>
        <w:t xml:space="preserve"> ولم يسموها أبعاضاً وأجزاء اهـ.</w:t>
      </w:r>
      <w:r w:rsidR="00DB731D" w:rsidRPr="00A52585">
        <w:rPr>
          <w:rFonts w:hint="cs"/>
          <w:rtl/>
        </w:rPr>
        <w:t>،</w:t>
      </w:r>
      <w:r w:rsidR="0002035C" w:rsidRPr="00A52585">
        <w:rPr>
          <w:rFonts w:hint="cs"/>
          <w:rtl/>
        </w:rPr>
        <w:t xml:space="preserve"> </w:t>
      </w:r>
      <w:r w:rsidRPr="00A52585">
        <w:rPr>
          <w:rtl/>
        </w:rPr>
        <w:t>ثم هذا الكلام</w:t>
      </w:r>
      <w:r w:rsidR="0002035C" w:rsidRPr="00A52585">
        <w:rPr>
          <w:rtl/>
        </w:rPr>
        <w:t>:</w:t>
      </w:r>
      <w:r w:rsidRPr="00A52585">
        <w:rPr>
          <w:rtl/>
        </w:rPr>
        <w:t xml:space="preserve"> هل بقى </w:t>
      </w:r>
      <w:proofErr w:type="spellStart"/>
      <w:r w:rsidRPr="00A52585">
        <w:rPr>
          <w:rtl/>
        </w:rPr>
        <w:t>للقميصى</w:t>
      </w:r>
      <w:proofErr w:type="spellEnd"/>
      <w:r w:rsidRPr="00A52585">
        <w:rPr>
          <w:rtl/>
        </w:rPr>
        <w:t xml:space="preserve"> أسئلة عشرة وبواهر وقواهر ,</w:t>
      </w:r>
      <w:r w:rsidRPr="00A52585">
        <w:rPr>
          <w:rFonts w:hint="cs"/>
          <w:rtl/>
        </w:rPr>
        <w:t xml:space="preserve"> </w:t>
      </w:r>
      <w:proofErr w:type="spellStart"/>
      <w:r w:rsidRPr="00A52585">
        <w:rPr>
          <w:rtl/>
        </w:rPr>
        <w:t>وتصديات</w:t>
      </w:r>
      <w:proofErr w:type="spellEnd"/>
      <w:r w:rsidRPr="00A52585">
        <w:rPr>
          <w:rtl/>
        </w:rPr>
        <w:t xml:space="preserve"> وتحديات</w:t>
      </w:r>
      <w:r w:rsidR="00DB731D" w:rsidRPr="00A52585">
        <w:rPr>
          <w:rFonts w:hint="cs"/>
          <w:rtl/>
        </w:rPr>
        <w:t>،</w:t>
      </w:r>
      <w:r w:rsidRPr="00A52585">
        <w:rPr>
          <w:rtl/>
        </w:rPr>
        <w:t xml:space="preserve"> وأنى يكون لكلام مردود ومذهب منقوض قديما وحديثا أسئلة وأجوبة</w:t>
      </w:r>
      <w:r w:rsidR="00F95886" w:rsidRPr="00A52585">
        <w:rPr>
          <w:rFonts w:hint="cs"/>
          <w:rtl/>
        </w:rPr>
        <w:t>؟</w:t>
      </w:r>
      <w:r w:rsidR="0002035C" w:rsidRPr="00A52585">
        <w:rPr>
          <w:rFonts w:hint="cs"/>
          <w:rtl/>
        </w:rPr>
        <w:t xml:space="preserve"> </w:t>
      </w:r>
      <w:r w:rsidRPr="00A52585">
        <w:rPr>
          <w:rtl/>
        </w:rPr>
        <w:t>أما الكتاب</w:t>
      </w:r>
      <w:r w:rsidR="00DB731D" w:rsidRPr="00A52585">
        <w:rPr>
          <w:rtl/>
        </w:rPr>
        <w:t>،</w:t>
      </w:r>
      <w:r w:rsidRPr="00A52585">
        <w:rPr>
          <w:rtl/>
        </w:rPr>
        <w:t xml:space="preserve"> إلا عند التعرض لما فيه مما هو كفر صريح وتجسيم قبيح والجناية جنايتكم. وكتاب بخط " شويل" وطبع أخيه "سبع الليل" له صحاح الكتب </w:t>
      </w:r>
      <w:proofErr w:type="spellStart"/>
      <w:r w:rsidRPr="00A52585">
        <w:rPr>
          <w:rtl/>
        </w:rPr>
        <w:t>أويكون</w:t>
      </w:r>
      <w:proofErr w:type="spellEnd"/>
      <w:r w:rsidRPr="00A52585">
        <w:rPr>
          <w:rtl/>
        </w:rPr>
        <w:t xml:space="preserve"> على الأقل فيه </w:t>
      </w:r>
      <w:proofErr w:type="spellStart"/>
      <w:r w:rsidRPr="00A52585">
        <w:rPr>
          <w:rtl/>
        </w:rPr>
        <w:t>حشووزيادات</w:t>
      </w:r>
      <w:proofErr w:type="spellEnd"/>
      <w:r w:rsidR="00DB731D" w:rsidRPr="00A52585">
        <w:rPr>
          <w:rtl/>
        </w:rPr>
        <w:t>،</w:t>
      </w:r>
      <w:r w:rsidRPr="00A52585">
        <w:rPr>
          <w:rtl/>
        </w:rPr>
        <w:t xml:space="preserve"> ودس </w:t>
      </w:r>
      <w:proofErr w:type="gramStart"/>
      <w:r w:rsidRPr="00A52585">
        <w:rPr>
          <w:rtl/>
        </w:rPr>
        <w:t>وإضافات,</w:t>
      </w:r>
      <w:proofErr w:type="gramEnd"/>
      <w:r w:rsidRPr="00A52585">
        <w:rPr>
          <w:rtl/>
        </w:rPr>
        <w:t xml:space="preserve"> بالرغم مما عليه من سماعات</w:t>
      </w:r>
      <w:r w:rsidR="00DB731D" w:rsidRPr="00A52585">
        <w:rPr>
          <w:rtl/>
        </w:rPr>
        <w:t>،</w:t>
      </w:r>
      <w:r w:rsidRPr="00A52585">
        <w:rPr>
          <w:rtl/>
        </w:rPr>
        <w:t xml:space="preserve"> وهل بعد فضائح هذا الكتاب التي نشرها الأستاذ </w:t>
      </w:r>
      <w:proofErr w:type="spellStart"/>
      <w:r w:rsidRPr="00A52585">
        <w:rPr>
          <w:rtl/>
        </w:rPr>
        <w:t>الكوثرى</w:t>
      </w:r>
      <w:proofErr w:type="spellEnd"/>
      <w:r w:rsidRPr="00A52585">
        <w:rPr>
          <w:rtl/>
        </w:rPr>
        <w:t xml:space="preserve"> في مقالاته لا تخجلون؟ تعلمون أن هذه الكتب يفرح بها المستشرقون كثيرا وينشرونها بأغلى ثمن ويتخذون منها عدتهم لمهاجمة الإسلام فكيف بهم إذا شروا هذا الكتاب كما شروا كتاب السنه المنسوب لعبد الله بن احمد بن حنبل من قبل</w:t>
      </w:r>
      <w:r w:rsidR="00DB731D" w:rsidRPr="00A52585">
        <w:rPr>
          <w:rtl/>
        </w:rPr>
        <w:t>،</w:t>
      </w:r>
      <w:r w:rsidR="0002035C" w:rsidRPr="00A52585">
        <w:rPr>
          <w:rFonts w:hint="cs"/>
          <w:rtl/>
        </w:rPr>
        <w:t xml:space="preserve"> </w:t>
      </w:r>
      <w:r w:rsidRPr="00A52585">
        <w:rPr>
          <w:rtl/>
        </w:rPr>
        <w:t>ورأوا فيه مثل هذا الحديث</w:t>
      </w:r>
      <w:r w:rsidR="0002035C" w:rsidRPr="00A52585">
        <w:rPr>
          <w:rtl/>
        </w:rPr>
        <w:t>:</w:t>
      </w:r>
      <w:r w:rsidRPr="00A52585">
        <w:rPr>
          <w:rtl/>
        </w:rPr>
        <w:t xml:space="preserve"> عن أبى هريرة قال</w:t>
      </w:r>
      <w:r w:rsidR="0002035C" w:rsidRPr="00A52585">
        <w:rPr>
          <w:rFonts w:hint="cs"/>
          <w:rtl/>
        </w:rPr>
        <w:t>:</w:t>
      </w:r>
      <w:r w:rsidRPr="00A52585">
        <w:rPr>
          <w:rtl/>
        </w:rPr>
        <w:t xml:space="preserve"> قيل يا رسول الله مم ربنا فقال من ماء مرور</w:t>
      </w:r>
      <w:r w:rsidRPr="00A52585">
        <w:rPr>
          <w:rFonts w:hint="cs"/>
          <w:rtl/>
        </w:rPr>
        <w:t xml:space="preserve"> </w:t>
      </w:r>
      <w:r w:rsidRPr="00A52585">
        <w:rPr>
          <w:rtl/>
        </w:rPr>
        <w:t>لا من أرض</w:t>
      </w:r>
      <w:r w:rsidR="0002035C" w:rsidRPr="00A52585">
        <w:rPr>
          <w:rtl/>
        </w:rPr>
        <w:t>:</w:t>
      </w:r>
      <w:r w:rsidRPr="00A52585">
        <w:rPr>
          <w:rtl/>
        </w:rPr>
        <w:t xml:space="preserve"> لا من سماء</w:t>
      </w:r>
      <w:r w:rsidR="00DB731D" w:rsidRPr="00A52585">
        <w:rPr>
          <w:rtl/>
        </w:rPr>
        <w:t>،</w:t>
      </w:r>
      <w:r w:rsidRPr="00A52585">
        <w:rPr>
          <w:rtl/>
        </w:rPr>
        <w:t xml:space="preserve"> خلق خيلا فأجراها فعرقت نفسه من ذلك العرق "</w:t>
      </w:r>
      <w:r w:rsidR="0002035C" w:rsidRPr="00A52585">
        <w:rPr>
          <w:rFonts w:hint="cs"/>
          <w:rtl/>
        </w:rPr>
        <w:t xml:space="preserve"> </w:t>
      </w:r>
      <w:r w:rsidRPr="00A52585">
        <w:rPr>
          <w:rtl/>
        </w:rPr>
        <w:t>وهل يغنينا بعد ذلك أن يقال</w:t>
      </w:r>
      <w:r w:rsidR="0002035C" w:rsidRPr="00A52585">
        <w:rPr>
          <w:rtl/>
        </w:rPr>
        <w:t>:</w:t>
      </w:r>
      <w:r w:rsidRPr="00A52585">
        <w:rPr>
          <w:rtl/>
        </w:rPr>
        <w:t xml:space="preserve"> إن هذا الحديث لا أصل له عند العلماء</w:t>
      </w:r>
      <w:r w:rsidRPr="00A52585">
        <w:rPr>
          <w:rFonts w:hint="cs"/>
          <w:rtl/>
        </w:rPr>
        <w:t xml:space="preserve"> </w:t>
      </w:r>
      <w:r w:rsidRPr="00A52585">
        <w:rPr>
          <w:rtl/>
        </w:rPr>
        <w:t>كتاب السنه</w:t>
      </w:r>
      <w:r w:rsidRPr="00A52585">
        <w:rPr>
          <w:rFonts w:hint="cs"/>
          <w:rtl/>
        </w:rPr>
        <w:t xml:space="preserve"> </w:t>
      </w:r>
      <w:r w:rsidRPr="00A52585">
        <w:rPr>
          <w:rtl/>
        </w:rPr>
        <w:t>المنسوب للحافظ عبد الله بن الإمام أحمد</w:t>
      </w:r>
      <w:r w:rsidR="0002035C" w:rsidRPr="00A52585">
        <w:rPr>
          <w:rFonts w:hint="cs"/>
          <w:rtl/>
        </w:rPr>
        <w:t xml:space="preserve"> </w:t>
      </w:r>
      <w:r w:rsidRPr="00A52585">
        <w:rPr>
          <w:rtl/>
        </w:rPr>
        <w:t>رضى الله عنه</w:t>
      </w:r>
      <w:r w:rsidR="00DB731D" w:rsidRPr="00A52585">
        <w:rPr>
          <w:rFonts w:hint="cs"/>
          <w:rtl/>
        </w:rPr>
        <w:t>،</w:t>
      </w:r>
      <w:r w:rsidRPr="00A52585">
        <w:rPr>
          <w:rFonts w:hint="cs"/>
          <w:rtl/>
        </w:rPr>
        <w:t xml:space="preserve"> </w:t>
      </w:r>
      <w:r w:rsidRPr="00A52585">
        <w:rPr>
          <w:rtl/>
        </w:rPr>
        <w:t>نحن لا نعيب الحفاظ، ولكن نعيب ما نقرؤه في تضاعيف ما ينسب إليهم في كتاب مطبوع بقصد التشويش على عقائد المسلمين</w:t>
      </w:r>
      <w:r w:rsidR="00DB731D" w:rsidRPr="00A52585">
        <w:rPr>
          <w:rtl/>
        </w:rPr>
        <w:t>،</w:t>
      </w:r>
      <w:r w:rsidRPr="00A52585">
        <w:rPr>
          <w:rtl/>
        </w:rPr>
        <w:t xml:space="preserve"> وأكتفى هنا بحديث أدلى بها إلى فضيلة الأستاذ الشيخ خليل </w:t>
      </w:r>
      <w:proofErr w:type="spellStart"/>
      <w:r w:rsidRPr="00A52585">
        <w:rPr>
          <w:rtl/>
        </w:rPr>
        <w:t>الخالدى</w:t>
      </w:r>
      <w:proofErr w:type="spellEnd"/>
      <w:r w:rsidRPr="00A52585">
        <w:rPr>
          <w:rtl/>
        </w:rPr>
        <w:t xml:space="preserve"> رئيس محكمة النقض والإبرام في فلسطين سابقاً، وهو العالم الحجة الفقيه </w:t>
      </w:r>
      <w:proofErr w:type="spellStart"/>
      <w:r w:rsidRPr="00A52585">
        <w:rPr>
          <w:rtl/>
        </w:rPr>
        <w:t>الأصولى</w:t>
      </w:r>
      <w:proofErr w:type="spellEnd"/>
      <w:r w:rsidRPr="00A52585">
        <w:rPr>
          <w:rtl/>
        </w:rPr>
        <w:t xml:space="preserve"> الرحالة المعروف</w:t>
      </w:r>
      <w:r w:rsidR="00DB731D" w:rsidRPr="00A52585">
        <w:rPr>
          <w:rtl/>
        </w:rPr>
        <w:t>،</w:t>
      </w:r>
      <w:r w:rsidRPr="00A52585">
        <w:rPr>
          <w:rtl/>
        </w:rPr>
        <w:t xml:space="preserve"> قال حفظه الله</w:t>
      </w:r>
      <w:r w:rsidR="0002035C" w:rsidRPr="00A52585">
        <w:rPr>
          <w:rFonts w:hint="cs"/>
          <w:rtl/>
        </w:rPr>
        <w:t xml:space="preserve">: </w:t>
      </w:r>
      <w:r w:rsidRPr="00A52585">
        <w:rPr>
          <w:rtl/>
        </w:rPr>
        <w:t xml:space="preserve">عبد الله بن أحمد بن حنبل روى عنه الإمام </w:t>
      </w:r>
      <w:proofErr w:type="spellStart"/>
      <w:r w:rsidRPr="00A52585">
        <w:rPr>
          <w:rtl/>
        </w:rPr>
        <w:t>أبوحاتم</w:t>
      </w:r>
      <w:proofErr w:type="spellEnd"/>
      <w:r w:rsidRPr="00A52585">
        <w:rPr>
          <w:rtl/>
        </w:rPr>
        <w:t xml:space="preserve"> </w:t>
      </w:r>
      <w:proofErr w:type="spellStart"/>
      <w:r w:rsidRPr="00A52585">
        <w:rPr>
          <w:rtl/>
        </w:rPr>
        <w:t>الرازى</w:t>
      </w:r>
      <w:proofErr w:type="spellEnd"/>
      <w:r w:rsidRPr="00A52585">
        <w:rPr>
          <w:rtl/>
        </w:rPr>
        <w:t xml:space="preserve"> في كتابه المسمى بالجرح والتعديل، وهذا الكتاب الذى عليه سماعات كثيرة، يعتبر أصلا صحيحاً</w:t>
      </w:r>
      <w:r w:rsidR="00DB731D" w:rsidRPr="00A52585">
        <w:rPr>
          <w:rtl/>
        </w:rPr>
        <w:t>،</w:t>
      </w:r>
      <w:r w:rsidRPr="00A52585">
        <w:rPr>
          <w:rtl/>
        </w:rPr>
        <w:t xml:space="preserve"> ونسخه من أصح النسخ</w:t>
      </w:r>
      <w:r w:rsidR="00DB731D" w:rsidRPr="00A52585">
        <w:rPr>
          <w:rtl/>
        </w:rPr>
        <w:t>،</w:t>
      </w:r>
      <w:r w:rsidRPr="00A52585">
        <w:rPr>
          <w:rtl/>
        </w:rPr>
        <w:t xml:space="preserve"> وهو أبرز كتاب</w:t>
      </w:r>
      <w:r w:rsidR="00DB731D" w:rsidRPr="00A52585">
        <w:rPr>
          <w:rtl/>
        </w:rPr>
        <w:t>،</w:t>
      </w:r>
      <w:r w:rsidRPr="00A52585">
        <w:rPr>
          <w:rtl/>
        </w:rPr>
        <w:t xml:space="preserve"> وأجل كتاب في الج</w:t>
      </w:r>
      <w:r w:rsidRPr="00A52585">
        <w:rPr>
          <w:rFonts w:hint="cs"/>
          <w:rtl/>
        </w:rPr>
        <w:t>ر</w:t>
      </w:r>
      <w:r w:rsidRPr="00A52585">
        <w:rPr>
          <w:rtl/>
        </w:rPr>
        <w:t>ح والتعديل</w:t>
      </w:r>
      <w:r w:rsidR="00DB731D" w:rsidRPr="00A52585">
        <w:rPr>
          <w:rtl/>
        </w:rPr>
        <w:t>،</w:t>
      </w:r>
      <w:r w:rsidRPr="00A52585">
        <w:rPr>
          <w:rtl/>
        </w:rPr>
        <w:t xml:space="preserve"> وكل من كتبوا في هذا الشأن</w:t>
      </w:r>
      <w:r w:rsidR="00DB731D" w:rsidRPr="00A52585">
        <w:rPr>
          <w:rtl/>
        </w:rPr>
        <w:t>،</w:t>
      </w:r>
      <w:r w:rsidRPr="00A52585">
        <w:rPr>
          <w:rtl/>
        </w:rPr>
        <w:t xml:space="preserve"> فهم عيال على هذا الكتاب</w:t>
      </w:r>
      <w:r w:rsidR="00DB731D" w:rsidRPr="00A52585">
        <w:rPr>
          <w:rtl/>
        </w:rPr>
        <w:t>،</w:t>
      </w:r>
      <w:r w:rsidRPr="00A52585">
        <w:rPr>
          <w:rtl/>
        </w:rPr>
        <w:t xml:space="preserve"> وإذن فيجب علينا التثبت في صحة نسب هذا الكتاب إلى الأمام</w:t>
      </w:r>
      <w:r w:rsidRPr="00A52585">
        <w:rPr>
          <w:rFonts w:hint="cs"/>
          <w:rtl/>
        </w:rPr>
        <w:t xml:space="preserve"> </w:t>
      </w:r>
      <w:r w:rsidRPr="00A52585">
        <w:rPr>
          <w:rtl/>
        </w:rPr>
        <w:t xml:space="preserve">عبد الله بن </w:t>
      </w:r>
      <w:proofErr w:type="spellStart"/>
      <w:r w:rsidRPr="00A52585">
        <w:rPr>
          <w:rtl/>
        </w:rPr>
        <w:t>الإما</w:t>
      </w:r>
      <w:proofErr w:type="spellEnd"/>
      <w:r w:rsidRPr="00A52585">
        <w:rPr>
          <w:rtl/>
        </w:rPr>
        <w:t xml:space="preserve"> أحمد بن حنبل</w:t>
      </w:r>
      <w:r w:rsidR="00DB731D" w:rsidRPr="00A52585">
        <w:rPr>
          <w:rtl/>
        </w:rPr>
        <w:t>،</w:t>
      </w:r>
      <w:r w:rsidRPr="00A52585">
        <w:rPr>
          <w:rtl/>
        </w:rPr>
        <w:t xml:space="preserve"> والقاعدة عند المحدثين والأصوليين أنه لا يثبت الكتاب لمؤلفه إلا إذا وجد له أصل صحيح</w:t>
      </w:r>
      <w:r w:rsidR="0002035C" w:rsidRPr="00A52585">
        <w:rPr>
          <w:rtl/>
        </w:rPr>
        <w:t>:</w:t>
      </w:r>
      <w:r w:rsidRPr="00A52585">
        <w:rPr>
          <w:rtl/>
        </w:rPr>
        <w:t xml:space="preserve"> والأصل الصحيح لا يعدو</w:t>
      </w:r>
      <w:r w:rsidRPr="00A52585">
        <w:rPr>
          <w:rFonts w:hint="cs"/>
          <w:rtl/>
        </w:rPr>
        <w:t xml:space="preserve"> </w:t>
      </w:r>
      <w:r w:rsidRPr="00A52585">
        <w:rPr>
          <w:rtl/>
        </w:rPr>
        <w:t>أحد وجهين</w:t>
      </w:r>
      <w:r w:rsidR="0002035C" w:rsidRPr="00A52585">
        <w:rPr>
          <w:rtl/>
        </w:rPr>
        <w:t>:</w:t>
      </w:r>
      <w:r w:rsidRPr="00A52585">
        <w:rPr>
          <w:rtl/>
        </w:rPr>
        <w:t xml:space="preserve"> إما أن بكون بخط المؤلف</w:t>
      </w:r>
      <w:r w:rsidR="00DB731D" w:rsidRPr="00A52585">
        <w:rPr>
          <w:rtl/>
        </w:rPr>
        <w:t>،</w:t>
      </w:r>
      <w:r w:rsidRPr="00A52585">
        <w:rPr>
          <w:rtl/>
        </w:rPr>
        <w:t xml:space="preserve"> أو</w:t>
      </w:r>
      <w:r w:rsidRPr="00A52585">
        <w:rPr>
          <w:rFonts w:hint="cs"/>
          <w:rtl/>
        </w:rPr>
        <w:t xml:space="preserve"> </w:t>
      </w:r>
      <w:r w:rsidRPr="00A52585">
        <w:rPr>
          <w:rtl/>
        </w:rPr>
        <w:t>يكون قد ثبت عنه ثبوتاً صحيحا بال</w:t>
      </w:r>
      <w:r w:rsidRPr="00A52585">
        <w:rPr>
          <w:rFonts w:hint="cs"/>
          <w:rtl/>
        </w:rPr>
        <w:t>ر</w:t>
      </w:r>
      <w:r w:rsidRPr="00A52585">
        <w:rPr>
          <w:rtl/>
        </w:rPr>
        <w:t xml:space="preserve">واية عنه عن المؤلف نفسه </w:t>
      </w:r>
      <w:proofErr w:type="spellStart"/>
      <w:r w:rsidRPr="00A52585">
        <w:rPr>
          <w:rtl/>
        </w:rPr>
        <w:t>برويات</w:t>
      </w:r>
      <w:proofErr w:type="spellEnd"/>
      <w:r w:rsidRPr="00A52585">
        <w:rPr>
          <w:rtl/>
        </w:rPr>
        <w:t xml:space="preserve"> صحيحة عليها خط المؤلف، أوخط الحفاظ الأثبات العدول</w:t>
      </w:r>
      <w:r w:rsidR="00DB731D" w:rsidRPr="00A52585">
        <w:rPr>
          <w:rtl/>
        </w:rPr>
        <w:t>،</w:t>
      </w:r>
      <w:r w:rsidRPr="00A52585">
        <w:rPr>
          <w:rtl/>
        </w:rPr>
        <w:t xml:space="preserve"> فبأخذ هذين الوجهين يثبت أن الكتاب لمؤلفه، وبدون ذلك لا يثبت</w:t>
      </w:r>
      <w:r w:rsidR="00DB731D" w:rsidRPr="00A52585">
        <w:rPr>
          <w:rtl/>
        </w:rPr>
        <w:t>،</w:t>
      </w:r>
      <w:r w:rsidRPr="00A52585">
        <w:rPr>
          <w:rtl/>
        </w:rPr>
        <w:t xml:space="preserve"> وما علينا إلا الرجوع إلى قول أبى حاتم في الإمام عبد الله بن الإمام أحمد</w:t>
      </w:r>
      <w:r w:rsidR="00DB731D" w:rsidRPr="00A52585">
        <w:rPr>
          <w:rtl/>
        </w:rPr>
        <w:t>،</w:t>
      </w:r>
      <w:r w:rsidRPr="00A52585">
        <w:rPr>
          <w:rtl/>
        </w:rPr>
        <w:t xml:space="preserve"> وقد روى عنه كثيراً وعدله</w:t>
      </w:r>
      <w:r w:rsidR="00DB731D" w:rsidRPr="00A52585">
        <w:rPr>
          <w:rtl/>
        </w:rPr>
        <w:t>،</w:t>
      </w:r>
      <w:r w:rsidRPr="00A52585">
        <w:rPr>
          <w:rtl/>
        </w:rPr>
        <w:t xml:space="preserve"> وهو بلا شك حجة </w:t>
      </w:r>
      <w:proofErr w:type="spellStart"/>
      <w:r w:rsidRPr="00A52585">
        <w:rPr>
          <w:rtl/>
        </w:rPr>
        <w:t>وأى</w:t>
      </w:r>
      <w:proofErr w:type="spellEnd"/>
      <w:r w:rsidRPr="00A52585">
        <w:rPr>
          <w:rtl/>
        </w:rPr>
        <w:t xml:space="preserve"> حجة</w:t>
      </w:r>
      <w:r w:rsidR="00DB731D" w:rsidRPr="00A52585">
        <w:rPr>
          <w:rtl/>
        </w:rPr>
        <w:t>،</w:t>
      </w:r>
      <w:r w:rsidRPr="00A52585">
        <w:rPr>
          <w:rtl/>
        </w:rPr>
        <w:t xml:space="preserve"> ثم إن نسبة هذا الكتاب له لم تعرف</w:t>
      </w:r>
      <w:r w:rsidR="00DB731D" w:rsidRPr="00A52585">
        <w:rPr>
          <w:rtl/>
        </w:rPr>
        <w:t>،</w:t>
      </w:r>
      <w:r w:rsidRPr="00A52585">
        <w:rPr>
          <w:rtl/>
        </w:rPr>
        <w:t xml:space="preserve"> ولا يبعد أن يكون دس عليه فيه أشياء</w:t>
      </w:r>
      <w:r w:rsidR="00DB731D" w:rsidRPr="00A52585">
        <w:rPr>
          <w:rtl/>
        </w:rPr>
        <w:t>،</w:t>
      </w:r>
      <w:r w:rsidRPr="00A52585">
        <w:rPr>
          <w:rtl/>
        </w:rPr>
        <w:t xml:space="preserve"> مثال ذلك ما وقع لكتاب "الفقيه الأكبر لأبى حنيفة حتى أنه في سنة1351 هـ لما كنت بالمدينة المنورة وجدت أصلين صحيحين في مكتبة </w:t>
      </w:r>
      <w:r w:rsidRPr="00A52585">
        <w:rPr>
          <w:rtl/>
        </w:rPr>
        <w:lastRenderedPageBreak/>
        <w:t>شيخ الإسلام " عارف بك " ووقفت في إحداهما على قوله: " وأبواه صلى الله عليه وسلم ماتا على الفطرة" وفى الأخرى " وأبواه صلى الله عليه وسلم ماتا على الفترة " فتحقق لدى أن النسخ الشائعة الذائعة التي نرى فيها كلمة الكفر أن أبوية صلى الله عليه وسلم ماتا على الكفر</w:t>
      </w:r>
      <w:r w:rsidR="00DB731D" w:rsidRPr="00A52585">
        <w:rPr>
          <w:rtl/>
        </w:rPr>
        <w:t>،</w:t>
      </w:r>
      <w:r w:rsidRPr="00A52585">
        <w:rPr>
          <w:rtl/>
        </w:rPr>
        <w:t xml:space="preserve"> قد صحفت فيها كلمة الكفر عن إحدى هاتين </w:t>
      </w:r>
      <w:proofErr w:type="spellStart"/>
      <w:r w:rsidRPr="00A52585">
        <w:rPr>
          <w:rtl/>
        </w:rPr>
        <w:t>الكلمتينك</w:t>
      </w:r>
      <w:proofErr w:type="spellEnd"/>
      <w:r w:rsidRPr="00A52585">
        <w:rPr>
          <w:rtl/>
        </w:rPr>
        <w:t xml:space="preserve"> الفترة </w:t>
      </w:r>
      <w:proofErr w:type="spellStart"/>
      <w:r w:rsidRPr="00A52585">
        <w:rPr>
          <w:rtl/>
        </w:rPr>
        <w:t>أوالفطرة</w:t>
      </w:r>
      <w:proofErr w:type="spellEnd"/>
      <w:r w:rsidRPr="00A52585">
        <w:rPr>
          <w:rtl/>
        </w:rPr>
        <w:t xml:space="preserve"> لقربها في الصورة الخطية، </w:t>
      </w:r>
      <w:proofErr w:type="spellStart"/>
      <w:r w:rsidRPr="00A52585">
        <w:rPr>
          <w:rtl/>
        </w:rPr>
        <w:t>ونأسف</w:t>
      </w:r>
      <w:proofErr w:type="spellEnd"/>
      <w:r w:rsidRPr="00A52585">
        <w:rPr>
          <w:rtl/>
        </w:rPr>
        <w:t xml:space="preserve"> لأن الذين كتبوا على هذه الجملة كعلى </w:t>
      </w:r>
      <w:proofErr w:type="spellStart"/>
      <w:r w:rsidRPr="00A52585">
        <w:rPr>
          <w:rtl/>
        </w:rPr>
        <w:t>القارى</w:t>
      </w:r>
      <w:proofErr w:type="spellEnd"/>
      <w:r w:rsidRPr="00A52585">
        <w:rPr>
          <w:rtl/>
        </w:rPr>
        <w:t>، وأكمل الدين</w:t>
      </w:r>
      <w:r w:rsidR="00DB731D" w:rsidRPr="00A52585">
        <w:rPr>
          <w:rtl/>
        </w:rPr>
        <w:t>،</w:t>
      </w:r>
      <w:r w:rsidRPr="00A52585">
        <w:rPr>
          <w:rtl/>
        </w:rPr>
        <w:t xml:space="preserve"> وأمثالهم</w:t>
      </w:r>
      <w:r w:rsidR="00DB731D" w:rsidRPr="00A52585">
        <w:rPr>
          <w:rtl/>
        </w:rPr>
        <w:t>،</w:t>
      </w:r>
      <w:r w:rsidRPr="00A52585">
        <w:rPr>
          <w:rtl/>
        </w:rPr>
        <w:t xml:space="preserve"> لم يتحروا</w:t>
      </w:r>
      <w:r w:rsidR="00DB731D" w:rsidRPr="00A52585">
        <w:rPr>
          <w:rFonts w:hint="cs"/>
          <w:rtl/>
        </w:rPr>
        <w:t>،</w:t>
      </w:r>
      <w:r w:rsidR="0002035C" w:rsidRPr="00A52585">
        <w:rPr>
          <w:rFonts w:hint="cs"/>
          <w:rtl/>
        </w:rPr>
        <w:t xml:space="preserve"> </w:t>
      </w:r>
      <w:r w:rsidRPr="00A52585">
        <w:rPr>
          <w:rtl/>
        </w:rPr>
        <w:t>ثم قال الأستاذ</w:t>
      </w:r>
      <w:r w:rsidR="0002035C" w:rsidRPr="00A52585">
        <w:rPr>
          <w:rtl/>
        </w:rPr>
        <w:t>:</w:t>
      </w:r>
      <w:r w:rsidRPr="00A52585">
        <w:rPr>
          <w:rtl/>
        </w:rPr>
        <w:t xml:space="preserve"> ولا يغيبن عن الأذهان أن كتباً أخرى كثيرة نسبت لأعلام العلماء وهى في الحقيقة ليست لهم</w:t>
      </w:r>
      <w:r w:rsidR="00DB731D" w:rsidRPr="00A52585">
        <w:rPr>
          <w:rtl/>
        </w:rPr>
        <w:t>،</w:t>
      </w:r>
      <w:r w:rsidRPr="00A52585">
        <w:rPr>
          <w:rtl/>
        </w:rPr>
        <w:t xml:space="preserve"> وأن كتبا أخرى دخل عليها التحريف والتغيير والمسخ</w:t>
      </w:r>
      <w:r w:rsidR="00DB731D" w:rsidRPr="00A52585">
        <w:rPr>
          <w:rtl/>
        </w:rPr>
        <w:t>،</w:t>
      </w:r>
      <w:r w:rsidRPr="00A52585">
        <w:rPr>
          <w:rtl/>
        </w:rPr>
        <w:t xml:space="preserve"> وهذا في جملته وتفصيله لا يخفى على من يتتبع ذلك في مظانه اهـ كلام الشيخ الله</w:t>
      </w:r>
      <w:r w:rsidR="00DB731D" w:rsidRPr="00A52585">
        <w:rPr>
          <w:rFonts w:hint="cs"/>
          <w:rtl/>
        </w:rPr>
        <w:t>،</w:t>
      </w:r>
      <w:r w:rsidRPr="00A52585">
        <w:rPr>
          <w:rFonts w:hint="cs"/>
          <w:rtl/>
        </w:rPr>
        <w:t xml:space="preserve"> </w:t>
      </w:r>
      <w:r w:rsidRPr="00A52585">
        <w:rPr>
          <w:rtl/>
        </w:rPr>
        <w:t>وأما كتاب التوحيد لابن خزيمة فربما تكلمنا عليه في فرصة أخرى</w:t>
      </w:r>
      <w:r w:rsidR="00DB731D" w:rsidRPr="00A52585">
        <w:rPr>
          <w:rFonts w:hint="cs"/>
          <w:rtl/>
        </w:rPr>
        <w:t>،</w:t>
      </w:r>
      <w:r w:rsidR="0002035C" w:rsidRPr="00A52585">
        <w:rPr>
          <w:rFonts w:hint="cs"/>
          <w:rtl/>
        </w:rPr>
        <w:t xml:space="preserve"> </w:t>
      </w:r>
      <w:r w:rsidRPr="00A52585">
        <w:rPr>
          <w:rtl/>
        </w:rPr>
        <w:t xml:space="preserve">صور من كتاب " نقص </w:t>
      </w:r>
      <w:proofErr w:type="spellStart"/>
      <w:r w:rsidRPr="00A52585">
        <w:rPr>
          <w:rtl/>
        </w:rPr>
        <w:t>الدرامى</w:t>
      </w:r>
      <w:proofErr w:type="spellEnd"/>
      <w:r w:rsidRPr="00A52585">
        <w:rPr>
          <w:rtl/>
        </w:rPr>
        <w:t>"</w:t>
      </w:r>
      <w:r w:rsidRPr="00A52585">
        <w:rPr>
          <w:rFonts w:hint="cs"/>
          <w:rtl/>
        </w:rPr>
        <w:t xml:space="preserve"> </w:t>
      </w:r>
      <w:r w:rsidRPr="00A52585">
        <w:rPr>
          <w:rtl/>
        </w:rPr>
        <w:t>وما يقابلها من ردود العلماء على المجسمة</w:t>
      </w:r>
      <w:r w:rsidR="00DB731D" w:rsidRPr="00A52585">
        <w:rPr>
          <w:rFonts w:hint="cs"/>
          <w:rtl/>
        </w:rPr>
        <w:t>،</w:t>
      </w:r>
      <w:r w:rsidRPr="00A52585">
        <w:rPr>
          <w:rFonts w:hint="cs"/>
          <w:rtl/>
        </w:rPr>
        <w:t xml:space="preserve"> </w:t>
      </w:r>
      <w:r w:rsidRPr="00A52585">
        <w:rPr>
          <w:rtl/>
        </w:rPr>
        <w:t>طبع في الآونة الأخيرة هذا الكتاب بتحقيق وعلى نفقة رأس طائفة المجسمة المسمين " جماعة أنصار السنة المحمدية" وهو رابع كتاب ينشر بمصر لترويج هذه البضاعة الزائغة</w:t>
      </w:r>
      <w:r w:rsidR="00DB731D" w:rsidRPr="00A52585">
        <w:rPr>
          <w:rtl/>
        </w:rPr>
        <w:t>،</w:t>
      </w:r>
      <w:r w:rsidRPr="00A52585">
        <w:rPr>
          <w:rtl/>
        </w:rPr>
        <w:t xml:space="preserve"> والدعاية إلى عقيدة التجسيم الزائغة باسم نصر السنة المحمدية</w:t>
      </w:r>
      <w:r w:rsidR="00DB731D" w:rsidRPr="00A52585">
        <w:rPr>
          <w:rFonts w:hint="cs"/>
          <w:rtl/>
        </w:rPr>
        <w:t>،</w:t>
      </w:r>
      <w:r w:rsidR="0002035C" w:rsidRPr="00A52585">
        <w:rPr>
          <w:rFonts w:hint="cs"/>
          <w:rtl/>
        </w:rPr>
        <w:t xml:space="preserve"> </w:t>
      </w:r>
      <w:r w:rsidRPr="00A52585">
        <w:rPr>
          <w:rtl/>
        </w:rPr>
        <w:t>وفى مقدمة النشر يقول رأس الجماعة</w:t>
      </w:r>
      <w:r w:rsidR="00DB731D" w:rsidRPr="00A52585">
        <w:rPr>
          <w:rtl/>
        </w:rPr>
        <w:t>،</w:t>
      </w:r>
      <w:r w:rsidRPr="00A52585">
        <w:rPr>
          <w:rtl/>
        </w:rPr>
        <w:t xml:space="preserve"> في </w:t>
      </w:r>
      <w:proofErr w:type="spellStart"/>
      <w:r w:rsidRPr="00A52585">
        <w:rPr>
          <w:rtl/>
        </w:rPr>
        <w:t>الجط</w:t>
      </w:r>
      <w:proofErr w:type="spellEnd"/>
      <w:r w:rsidRPr="00A52585">
        <w:rPr>
          <w:rtl/>
        </w:rPr>
        <w:t xml:space="preserve"> من شأن كتب علم الكلام الجامعة لمذهب الأشاعرة </w:t>
      </w:r>
      <w:proofErr w:type="spellStart"/>
      <w:r w:rsidRPr="00A52585">
        <w:rPr>
          <w:rtl/>
        </w:rPr>
        <w:t>والماتريدية</w:t>
      </w:r>
      <w:proofErr w:type="spellEnd"/>
      <w:r w:rsidRPr="00A52585">
        <w:rPr>
          <w:rtl/>
        </w:rPr>
        <w:t xml:space="preserve"> " ودعوها كتب العقائد والتوحيد</w:t>
      </w:r>
      <w:r w:rsidR="00DB731D" w:rsidRPr="00A52585">
        <w:rPr>
          <w:rtl/>
        </w:rPr>
        <w:t>،</w:t>
      </w:r>
      <w:r w:rsidRPr="00A52585">
        <w:rPr>
          <w:rtl/>
        </w:rPr>
        <w:t xml:space="preserve"> وهى في الواقع إنما وضعت - عن جهل أو</w:t>
      </w:r>
      <w:r w:rsidRPr="00A52585">
        <w:rPr>
          <w:rFonts w:hint="cs"/>
          <w:rtl/>
        </w:rPr>
        <w:t xml:space="preserve"> </w:t>
      </w:r>
      <w:r w:rsidRPr="00A52585">
        <w:rPr>
          <w:rtl/>
        </w:rPr>
        <w:t>علم - لزلزلة العقائد</w:t>
      </w:r>
      <w:r w:rsidR="00DB731D" w:rsidRPr="00A52585">
        <w:rPr>
          <w:rFonts w:hint="cs"/>
          <w:rtl/>
        </w:rPr>
        <w:t>،</w:t>
      </w:r>
      <w:r w:rsidRPr="00A52585">
        <w:rPr>
          <w:rtl/>
        </w:rPr>
        <w:t xml:space="preserve"> والتشكيك في الله "</w:t>
      </w:r>
      <w:r w:rsidR="00DB731D" w:rsidRPr="00A52585">
        <w:rPr>
          <w:rFonts w:hint="cs"/>
          <w:rtl/>
        </w:rPr>
        <w:t>،</w:t>
      </w:r>
      <w:r w:rsidRPr="00A52585">
        <w:rPr>
          <w:rFonts w:hint="cs"/>
          <w:rtl/>
        </w:rPr>
        <w:t xml:space="preserve"> </w:t>
      </w:r>
      <w:r w:rsidRPr="00A52585">
        <w:rPr>
          <w:rtl/>
        </w:rPr>
        <w:t>ويقول</w:t>
      </w:r>
      <w:r w:rsidR="0002035C" w:rsidRPr="00A52585">
        <w:rPr>
          <w:rtl/>
        </w:rPr>
        <w:t>:</w:t>
      </w:r>
      <w:r w:rsidRPr="00A52585">
        <w:rPr>
          <w:rtl/>
        </w:rPr>
        <w:t xml:space="preserve"> " ولقد عم الشر والبلاء بهذه الكتب المشككة في الله وفى صفاته التي اختارها - وهو الحكيم الخبير - ووصف بها نفسه في كتابه </w:t>
      </w:r>
      <w:proofErr w:type="spellStart"/>
      <w:r w:rsidRPr="00A52585">
        <w:rPr>
          <w:rtl/>
        </w:rPr>
        <w:t>العربى</w:t>
      </w:r>
      <w:proofErr w:type="spellEnd"/>
      <w:r w:rsidRPr="00A52585">
        <w:rPr>
          <w:rtl/>
        </w:rPr>
        <w:t xml:space="preserve"> المبين، ووصفه بها رسوله الذى ما ضل وما غوى</w:t>
      </w:r>
      <w:r w:rsidR="00DB731D" w:rsidRPr="00A52585">
        <w:rPr>
          <w:rtl/>
        </w:rPr>
        <w:t>،</w:t>
      </w:r>
      <w:r w:rsidRPr="00A52585">
        <w:rPr>
          <w:rtl/>
        </w:rPr>
        <w:t xml:space="preserve"> وما ينطق عن الهوى"</w:t>
      </w:r>
      <w:r w:rsidR="00DB731D" w:rsidRPr="00A52585">
        <w:rPr>
          <w:rFonts w:hint="cs"/>
          <w:rtl/>
        </w:rPr>
        <w:t>،</w:t>
      </w:r>
      <w:r w:rsidRPr="00A52585">
        <w:rPr>
          <w:rFonts w:hint="cs"/>
          <w:rtl/>
        </w:rPr>
        <w:t xml:space="preserve"> </w:t>
      </w:r>
      <w:r w:rsidRPr="00A52585">
        <w:rPr>
          <w:rtl/>
        </w:rPr>
        <w:t xml:space="preserve">ويقول في التنبيه من شأن كتاب </w:t>
      </w:r>
      <w:proofErr w:type="spellStart"/>
      <w:r w:rsidRPr="00A52585">
        <w:rPr>
          <w:rtl/>
        </w:rPr>
        <w:t>الدارمى</w:t>
      </w:r>
      <w:proofErr w:type="spellEnd"/>
      <w:r w:rsidRPr="00A52585">
        <w:rPr>
          <w:rtl/>
        </w:rPr>
        <w:t xml:space="preserve"> وتقريظه</w:t>
      </w:r>
      <w:r w:rsidR="0002035C" w:rsidRPr="00A52585">
        <w:rPr>
          <w:rtl/>
        </w:rPr>
        <w:t>:</w:t>
      </w:r>
      <w:r w:rsidRPr="00A52585">
        <w:rPr>
          <w:rtl/>
        </w:rPr>
        <w:t xml:space="preserve"> "وبعد فهذا كتاب </w:t>
      </w:r>
      <w:r w:rsidR="0002035C" w:rsidRPr="00A52585">
        <w:rPr>
          <w:rtl/>
        </w:rPr>
        <w:t>(</w:t>
      </w:r>
      <w:r w:rsidRPr="00A52585">
        <w:rPr>
          <w:rtl/>
        </w:rPr>
        <w:t xml:space="preserve">النقض على بشر </w:t>
      </w:r>
      <w:proofErr w:type="spellStart"/>
      <w:r w:rsidRPr="00A52585">
        <w:rPr>
          <w:rtl/>
        </w:rPr>
        <w:t>المريسى</w:t>
      </w:r>
      <w:proofErr w:type="spellEnd"/>
      <w:r w:rsidR="0002035C" w:rsidRPr="00A52585">
        <w:rPr>
          <w:rtl/>
        </w:rPr>
        <w:t>)</w:t>
      </w:r>
      <w:r w:rsidRPr="00A52585">
        <w:rPr>
          <w:rtl/>
        </w:rPr>
        <w:t xml:space="preserve"> تأليف الإمام الحجة المحدث الحافظ عثمان بن </w:t>
      </w:r>
      <w:proofErr w:type="spellStart"/>
      <w:r w:rsidRPr="00A52585">
        <w:rPr>
          <w:rtl/>
        </w:rPr>
        <w:t>سغيد</w:t>
      </w:r>
      <w:proofErr w:type="spellEnd"/>
      <w:r w:rsidRPr="00A52585">
        <w:rPr>
          <w:rtl/>
        </w:rPr>
        <w:t xml:space="preserve"> </w:t>
      </w:r>
      <w:proofErr w:type="spellStart"/>
      <w:r w:rsidRPr="00A52585">
        <w:rPr>
          <w:rtl/>
        </w:rPr>
        <w:t>الدارمى</w:t>
      </w:r>
      <w:proofErr w:type="spellEnd"/>
      <w:r w:rsidRPr="00A52585">
        <w:rPr>
          <w:rtl/>
        </w:rPr>
        <w:t xml:space="preserve"> الذى يقول فيه الإمام ابن القيم رحمه الله في كتاب اجتماع الجيوش الإسلامية</w:t>
      </w:r>
      <w:r w:rsidR="0002035C" w:rsidRPr="00A52585">
        <w:rPr>
          <w:rtl/>
        </w:rPr>
        <w:t>:</w:t>
      </w:r>
      <w:r w:rsidRPr="00A52585">
        <w:rPr>
          <w:rtl/>
        </w:rPr>
        <w:t xml:space="preserve"> " وكتاباه - </w:t>
      </w:r>
      <w:proofErr w:type="spellStart"/>
      <w:r w:rsidRPr="00A52585">
        <w:rPr>
          <w:rtl/>
        </w:rPr>
        <w:t>أى</w:t>
      </w:r>
      <w:proofErr w:type="spellEnd"/>
      <w:r w:rsidRPr="00A52585">
        <w:rPr>
          <w:rtl/>
        </w:rPr>
        <w:t xml:space="preserve"> هذا وكتاب الرد على الجهمية - من أجل الكتب المصنفة في السنة وأنفعها، </w:t>
      </w:r>
      <w:proofErr w:type="spellStart"/>
      <w:r w:rsidRPr="00A52585">
        <w:rPr>
          <w:rtl/>
        </w:rPr>
        <w:t>وينبغى</w:t>
      </w:r>
      <w:proofErr w:type="spellEnd"/>
      <w:r w:rsidRPr="00A52585">
        <w:rPr>
          <w:rtl/>
        </w:rPr>
        <w:t xml:space="preserve"> لكل طالب سنة مراده الوقوف على ما كان عليه الصحابة والتابعون والأئمة أن يقرأ كتابيه</w:t>
      </w:r>
      <w:r w:rsidR="00DB731D" w:rsidRPr="00A52585">
        <w:rPr>
          <w:rFonts w:hint="cs"/>
          <w:rtl/>
        </w:rPr>
        <w:t>،</w:t>
      </w:r>
      <w:r w:rsidRPr="00A52585">
        <w:rPr>
          <w:rtl/>
        </w:rPr>
        <w:t xml:space="preserve"> وكان شيخ الإسلام ابن تيمية رحمه الله يوصى بهذين الكتابين أشد الوصية ويعظمهما جداً</w:t>
      </w:r>
      <w:r w:rsidR="00DB731D" w:rsidRPr="00A52585">
        <w:rPr>
          <w:rFonts w:hint="cs"/>
          <w:rtl/>
        </w:rPr>
        <w:t>،</w:t>
      </w:r>
      <w:r w:rsidRPr="00A52585">
        <w:rPr>
          <w:rtl/>
        </w:rPr>
        <w:t xml:space="preserve"> وفيهما من تقرير التوحيد والأسماء والصفات بالعقل ما ليس في غيرهما "</w:t>
      </w:r>
      <w:r w:rsidR="00DB731D" w:rsidRPr="00A52585">
        <w:rPr>
          <w:rFonts w:hint="cs"/>
          <w:rtl/>
        </w:rPr>
        <w:t>،</w:t>
      </w:r>
      <w:r w:rsidR="0002035C" w:rsidRPr="00A52585">
        <w:rPr>
          <w:rFonts w:hint="cs"/>
          <w:rtl/>
        </w:rPr>
        <w:t xml:space="preserve"> </w:t>
      </w:r>
      <w:r w:rsidRPr="00A52585">
        <w:rPr>
          <w:rtl/>
        </w:rPr>
        <w:t>" وأثنى على كتابه هذا كثير من السلف</w:t>
      </w:r>
      <w:r w:rsidR="00DB731D" w:rsidRPr="00A52585">
        <w:rPr>
          <w:rtl/>
        </w:rPr>
        <w:t>،</w:t>
      </w:r>
      <w:r w:rsidRPr="00A52585">
        <w:rPr>
          <w:rtl/>
        </w:rPr>
        <w:t xml:space="preserve"> وقرظوه بعبارات فخمة، وهو في الواقع كما قالوا،</w:t>
      </w:r>
      <w:r w:rsidRPr="00A52585">
        <w:rPr>
          <w:rFonts w:hint="cs"/>
          <w:rtl/>
        </w:rPr>
        <w:t xml:space="preserve"> </w:t>
      </w:r>
      <w:r w:rsidRPr="00A52585">
        <w:rPr>
          <w:rtl/>
        </w:rPr>
        <w:t xml:space="preserve">لولا أنه أتى فيه ببعض ألفاظ، دعاه إليها عنف الرد، وشدة الحرص على إثبات صفات الله وأسماءه التي كان يبالغ بشر </w:t>
      </w:r>
      <w:proofErr w:type="spellStart"/>
      <w:r w:rsidRPr="00A52585">
        <w:rPr>
          <w:rtl/>
        </w:rPr>
        <w:t>المريشى</w:t>
      </w:r>
      <w:proofErr w:type="spellEnd"/>
      <w:r w:rsidRPr="00A52585">
        <w:rPr>
          <w:rtl/>
        </w:rPr>
        <w:t xml:space="preserve"> الضال المارق وشيعته في نفيها</w:t>
      </w:r>
      <w:r w:rsidR="00DB731D" w:rsidRPr="00A52585">
        <w:rPr>
          <w:rtl/>
        </w:rPr>
        <w:t>،</w:t>
      </w:r>
      <w:r w:rsidRPr="00A52585">
        <w:rPr>
          <w:rtl/>
        </w:rPr>
        <w:t xml:space="preserve"> غير أنه كان الأولى والأحسن </w:t>
      </w:r>
      <w:r w:rsidRPr="00A52585">
        <w:rPr>
          <w:rFonts w:hint="cs"/>
          <w:rtl/>
        </w:rPr>
        <w:t>أ</w:t>
      </w:r>
      <w:r w:rsidRPr="00A52585">
        <w:rPr>
          <w:rtl/>
        </w:rPr>
        <w:t xml:space="preserve">لا </w:t>
      </w:r>
      <w:proofErr w:type="spellStart"/>
      <w:r w:rsidRPr="00A52585">
        <w:rPr>
          <w:rtl/>
        </w:rPr>
        <w:t>يأتىبها</w:t>
      </w:r>
      <w:proofErr w:type="spellEnd"/>
      <w:r w:rsidR="00DB731D" w:rsidRPr="00A52585">
        <w:rPr>
          <w:rtl/>
        </w:rPr>
        <w:t>،</w:t>
      </w:r>
      <w:r w:rsidRPr="00A52585">
        <w:rPr>
          <w:rtl/>
        </w:rPr>
        <w:t xml:space="preserve"> وأن يقتصر على الث</w:t>
      </w:r>
      <w:r w:rsidRPr="00A52585">
        <w:rPr>
          <w:rFonts w:hint="cs"/>
          <w:rtl/>
        </w:rPr>
        <w:t>ا</w:t>
      </w:r>
      <w:r w:rsidRPr="00A52585">
        <w:rPr>
          <w:rtl/>
        </w:rPr>
        <w:t>بت من الكتاب والسنة الصحيحة كمثل</w:t>
      </w:r>
      <w:r w:rsidR="0002035C" w:rsidRPr="00A52585">
        <w:rPr>
          <w:rtl/>
        </w:rPr>
        <w:t>:</w:t>
      </w:r>
      <w:r w:rsidRPr="00A52585">
        <w:rPr>
          <w:rtl/>
        </w:rPr>
        <w:t xml:space="preserve"> </w:t>
      </w:r>
      <w:r w:rsidRPr="00A52585">
        <w:rPr>
          <w:rtl/>
        </w:rPr>
        <w:lastRenderedPageBreak/>
        <w:t>الجسم</w:t>
      </w:r>
      <w:r w:rsidR="00DB731D" w:rsidRPr="00A52585">
        <w:rPr>
          <w:rFonts w:hint="cs"/>
          <w:rtl/>
        </w:rPr>
        <w:t>،</w:t>
      </w:r>
      <w:r w:rsidRPr="00A52585">
        <w:rPr>
          <w:rFonts w:hint="cs"/>
          <w:rtl/>
        </w:rPr>
        <w:t xml:space="preserve"> </w:t>
      </w:r>
      <w:r w:rsidRPr="00A52585">
        <w:rPr>
          <w:rtl/>
        </w:rPr>
        <w:t>والمكان</w:t>
      </w:r>
      <w:r w:rsidR="00DB731D" w:rsidRPr="00A52585">
        <w:rPr>
          <w:rtl/>
        </w:rPr>
        <w:t>،</w:t>
      </w:r>
      <w:r w:rsidRPr="00A52585">
        <w:rPr>
          <w:rtl/>
        </w:rPr>
        <w:t xml:space="preserve"> والحيز</w:t>
      </w:r>
      <w:r w:rsidR="00DB731D" w:rsidRPr="00A52585">
        <w:rPr>
          <w:rtl/>
        </w:rPr>
        <w:t>،</w:t>
      </w:r>
      <w:r w:rsidRPr="00A52585">
        <w:rPr>
          <w:rtl/>
        </w:rPr>
        <w:t xml:space="preserve"> </w:t>
      </w:r>
      <w:proofErr w:type="spellStart"/>
      <w:r w:rsidRPr="00A52585">
        <w:rPr>
          <w:rtl/>
        </w:rPr>
        <w:t>فإنى</w:t>
      </w:r>
      <w:proofErr w:type="spellEnd"/>
      <w:r w:rsidRPr="00A52585">
        <w:rPr>
          <w:rtl/>
        </w:rPr>
        <w:t xml:space="preserve"> لا </w:t>
      </w:r>
      <w:proofErr w:type="spellStart"/>
      <w:r w:rsidRPr="00A52585">
        <w:rPr>
          <w:rtl/>
        </w:rPr>
        <w:t>أوافقه</w:t>
      </w:r>
      <w:proofErr w:type="spellEnd"/>
      <w:r w:rsidRPr="00A52585">
        <w:rPr>
          <w:rtl/>
        </w:rPr>
        <w:t xml:space="preserve"> عليها</w:t>
      </w:r>
      <w:r w:rsidR="00DB731D" w:rsidRPr="00A52585">
        <w:rPr>
          <w:rtl/>
        </w:rPr>
        <w:t>،</w:t>
      </w:r>
      <w:r w:rsidRPr="00A52585">
        <w:rPr>
          <w:rtl/>
        </w:rPr>
        <w:t xml:space="preserve"> ولا أستجيز إطلاقها</w:t>
      </w:r>
      <w:r w:rsidR="00DB731D" w:rsidRPr="00A52585">
        <w:rPr>
          <w:rFonts w:hint="cs"/>
          <w:rtl/>
        </w:rPr>
        <w:t>،</w:t>
      </w:r>
      <w:r w:rsidRPr="00A52585">
        <w:rPr>
          <w:rtl/>
        </w:rPr>
        <w:t xml:space="preserve"> لأنها لم تأت في كتاب الله</w:t>
      </w:r>
      <w:r w:rsidR="00DB731D" w:rsidRPr="00A52585">
        <w:rPr>
          <w:rtl/>
        </w:rPr>
        <w:t>،</w:t>
      </w:r>
      <w:r w:rsidRPr="00A52585">
        <w:rPr>
          <w:rtl/>
        </w:rPr>
        <w:t xml:space="preserve"> ولا في سنة صحيحة</w:t>
      </w:r>
      <w:r w:rsidRPr="00A52585">
        <w:rPr>
          <w:rFonts w:hint="cs"/>
          <w:rtl/>
        </w:rPr>
        <w:t xml:space="preserve"> </w:t>
      </w:r>
      <w:r w:rsidRPr="00A52585">
        <w:rPr>
          <w:rtl/>
        </w:rPr>
        <w:t>"</w:t>
      </w:r>
      <w:r w:rsidRPr="00A52585">
        <w:rPr>
          <w:rFonts w:hint="cs"/>
          <w:rtl/>
        </w:rPr>
        <w:t xml:space="preserve"> </w:t>
      </w:r>
      <w:r w:rsidRPr="00A52585">
        <w:rPr>
          <w:rtl/>
        </w:rPr>
        <w:t>إلخ هذا بعض ما في مقدمه النشر لشيخ الجماعة</w:t>
      </w:r>
      <w:r w:rsidR="00DB731D" w:rsidRPr="00A52585">
        <w:rPr>
          <w:rtl/>
        </w:rPr>
        <w:t>،</w:t>
      </w:r>
      <w:r w:rsidRPr="00A52585">
        <w:rPr>
          <w:rtl/>
        </w:rPr>
        <w:t xml:space="preserve"> وهو والجماعة جميعا موافقون على ما في الكتاب إلا بعض ألفاظ كإثبات الجسم والمكان، والحيز لله تعالى كأن الأولى في نظرهم والأحسن فقط عدم عدها في باب الأسماء والصفات </w:t>
      </w:r>
      <w:proofErr w:type="spellStart"/>
      <w:r w:rsidRPr="00A52585">
        <w:rPr>
          <w:rtl/>
        </w:rPr>
        <w:t>أى</w:t>
      </w:r>
      <w:proofErr w:type="spellEnd"/>
      <w:r w:rsidRPr="00A52585">
        <w:rPr>
          <w:rtl/>
        </w:rPr>
        <w:t xml:space="preserve"> لأنها لم ترد بألفاظها في الكتاب والسنة</w:t>
      </w:r>
      <w:r w:rsidR="00DB731D" w:rsidRPr="00A52585">
        <w:rPr>
          <w:rtl/>
        </w:rPr>
        <w:t>،</w:t>
      </w:r>
      <w:r w:rsidRPr="00A52585">
        <w:rPr>
          <w:rtl/>
        </w:rPr>
        <w:t xml:space="preserve"> ويوضح اتجاهه هذا واتجاههم معه أنه كتب على قول </w:t>
      </w:r>
      <w:proofErr w:type="spellStart"/>
      <w:r w:rsidRPr="00A52585">
        <w:rPr>
          <w:rtl/>
        </w:rPr>
        <w:t>الدارمى</w:t>
      </w:r>
      <w:proofErr w:type="spellEnd"/>
      <w:r w:rsidR="0002035C" w:rsidRPr="00A52585">
        <w:rPr>
          <w:rtl/>
        </w:rPr>
        <w:t>:</w:t>
      </w:r>
      <w:r w:rsidRPr="00A52585">
        <w:rPr>
          <w:rtl/>
        </w:rPr>
        <w:t xml:space="preserve"> "وهو لا يعرف مكان واحده " </w:t>
      </w:r>
      <w:proofErr w:type="spellStart"/>
      <w:r w:rsidRPr="00A52585">
        <w:rPr>
          <w:rtl/>
        </w:rPr>
        <w:t>أى</w:t>
      </w:r>
      <w:proofErr w:type="spellEnd"/>
      <w:r w:rsidRPr="00A52585">
        <w:rPr>
          <w:rtl/>
        </w:rPr>
        <w:t xml:space="preserve"> إلهه هذه العبارة بنصها</w:t>
      </w:r>
      <w:r w:rsidR="0002035C" w:rsidRPr="00A52585">
        <w:rPr>
          <w:rtl/>
        </w:rPr>
        <w:t>:</w:t>
      </w:r>
      <w:r w:rsidRPr="00A52585">
        <w:rPr>
          <w:rtl/>
        </w:rPr>
        <w:t xml:space="preserve"> " كان خيراً لو</w:t>
      </w:r>
      <w:r w:rsidRPr="00A52585">
        <w:rPr>
          <w:rFonts w:hint="cs"/>
          <w:rtl/>
        </w:rPr>
        <w:t xml:space="preserve"> </w:t>
      </w:r>
      <w:r w:rsidRPr="00A52585">
        <w:rPr>
          <w:rtl/>
        </w:rPr>
        <w:t>قال "</w:t>
      </w:r>
      <w:r w:rsidRPr="00A52585">
        <w:rPr>
          <w:rFonts w:hint="cs"/>
          <w:rtl/>
        </w:rPr>
        <w:t xml:space="preserve"> </w:t>
      </w:r>
      <w:r w:rsidRPr="00A52585">
        <w:rPr>
          <w:rtl/>
        </w:rPr>
        <w:t>أين " ولم يقل "</w:t>
      </w:r>
      <w:r w:rsidRPr="00A52585">
        <w:rPr>
          <w:rFonts w:hint="cs"/>
          <w:rtl/>
        </w:rPr>
        <w:t xml:space="preserve"> </w:t>
      </w:r>
      <w:r w:rsidRPr="00A52585">
        <w:rPr>
          <w:rtl/>
        </w:rPr>
        <w:t>مكان</w:t>
      </w:r>
      <w:r w:rsidRPr="00A52585">
        <w:rPr>
          <w:rFonts w:hint="cs"/>
          <w:rtl/>
        </w:rPr>
        <w:t xml:space="preserve"> </w:t>
      </w:r>
      <w:r w:rsidRPr="00A52585">
        <w:rPr>
          <w:rtl/>
        </w:rPr>
        <w:t>"</w:t>
      </w:r>
      <w:r w:rsidR="00DB731D" w:rsidRPr="00A52585">
        <w:rPr>
          <w:rtl/>
        </w:rPr>
        <w:t>،</w:t>
      </w:r>
      <w:r w:rsidRPr="00A52585">
        <w:rPr>
          <w:rFonts w:hint="cs"/>
          <w:rtl/>
        </w:rPr>
        <w:t xml:space="preserve"> </w:t>
      </w:r>
      <w:r w:rsidRPr="00A52585">
        <w:rPr>
          <w:rtl/>
        </w:rPr>
        <w:t xml:space="preserve">فمن الخيرية والأولية فقط عنده </w:t>
      </w:r>
      <w:proofErr w:type="spellStart"/>
      <w:r w:rsidRPr="00A52585">
        <w:rPr>
          <w:rtl/>
        </w:rPr>
        <w:t>القتصار</w:t>
      </w:r>
      <w:proofErr w:type="spellEnd"/>
      <w:r w:rsidRPr="00A52585">
        <w:rPr>
          <w:rtl/>
        </w:rPr>
        <w:t xml:space="preserve"> على لفظ " أين " الوارد في السنة</w:t>
      </w:r>
      <w:r w:rsidR="00DB731D" w:rsidRPr="00A52585">
        <w:rPr>
          <w:rtl/>
        </w:rPr>
        <w:t>،</w:t>
      </w:r>
      <w:r w:rsidRPr="00A52585">
        <w:rPr>
          <w:rtl/>
        </w:rPr>
        <w:t xml:space="preserve"> وغاب عن ذهنه أن " أين " يستفهم بها عن المكان فلا فرق إذا بين التعبير بها أو</w:t>
      </w:r>
      <w:r w:rsidRPr="00A52585">
        <w:rPr>
          <w:rFonts w:hint="cs"/>
          <w:rtl/>
        </w:rPr>
        <w:t xml:space="preserve"> </w:t>
      </w:r>
      <w:r w:rsidRPr="00A52585">
        <w:rPr>
          <w:rtl/>
        </w:rPr>
        <w:t xml:space="preserve">بمرادفها، </w:t>
      </w:r>
      <w:proofErr w:type="spellStart"/>
      <w:r w:rsidRPr="00A52585">
        <w:rPr>
          <w:rtl/>
        </w:rPr>
        <w:t>والدارمى</w:t>
      </w:r>
      <w:proofErr w:type="spellEnd"/>
      <w:r w:rsidRPr="00A52585">
        <w:rPr>
          <w:rtl/>
        </w:rPr>
        <w:t xml:space="preserve"> يثبت لله الجسم والمكان والجهة والحيز</w:t>
      </w:r>
      <w:r w:rsidR="00DB731D" w:rsidRPr="00A52585">
        <w:rPr>
          <w:rtl/>
        </w:rPr>
        <w:t>،</w:t>
      </w:r>
      <w:r w:rsidRPr="00A52585">
        <w:rPr>
          <w:rtl/>
        </w:rPr>
        <w:t xml:space="preserve"> ويثبت أن الله تعالى يحس بالحواس الخمس</w:t>
      </w:r>
      <w:r w:rsidR="00DB731D" w:rsidRPr="00A52585">
        <w:rPr>
          <w:rtl/>
        </w:rPr>
        <w:t>،</w:t>
      </w:r>
      <w:r w:rsidRPr="00A52585">
        <w:rPr>
          <w:rtl/>
        </w:rPr>
        <w:t xml:space="preserve"> ويبالغ في إثبات الظواهر كلها سواء وردت بألفاظ أو</w:t>
      </w:r>
      <w:r w:rsidRPr="00A52585">
        <w:rPr>
          <w:rFonts w:hint="cs"/>
          <w:rtl/>
        </w:rPr>
        <w:t xml:space="preserve"> </w:t>
      </w:r>
      <w:r w:rsidRPr="00A52585">
        <w:rPr>
          <w:rtl/>
        </w:rPr>
        <w:t>بمرادفاتها أو</w:t>
      </w:r>
      <w:r w:rsidRPr="00A52585">
        <w:rPr>
          <w:rFonts w:hint="cs"/>
          <w:rtl/>
        </w:rPr>
        <w:t xml:space="preserve"> </w:t>
      </w:r>
      <w:r w:rsidRPr="00A52585">
        <w:rPr>
          <w:rtl/>
        </w:rPr>
        <w:t>أخذت بطريق اللزوم</w:t>
      </w:r>
      <w:r w:rsidR="00DB731D" w:rsidRPr="00A52585">
        <w:rPr>
          <w:rtl/>
        </w:rPr>
        <w:t>،</w:t>
      </w:r>
      <w:r w:rsidRPr="00A52585">
        <w:rPr>
          <w:rtl/>
        </w:rPr>
        <w:t xml:space="preserve"> فالعبرة عنده </w:t>
      </w:r>
      <w:proofErr w:type="spellStart"/>
      <w:r w:rsidRPr="00A52585">
        <w:rPr>
          <w:rtl/>
        </w:rPr>
        <w:t>بالمعانى</w:t>
      </w:r>
      <w:proofErr w:type="spellEnd"/>
      <w:r w:rsidRPr="00A52585">
        <w:rPr>
          <w:rtl/>
        </w:rPr>
        <w:t xml:space="preserve"> لا بخصوص الألفاظ</w:t>
      </w:r>
      <w:r w:rsidR="00DB731D" w:rsidRPr="00A52585">
        <w:rPr>
          <w:rtl/>
        </w:rPr>
        <w:t>،</w:t>
      </w:r>
      <w:r w:rsidRPr="00A52585">
        <w:rPr>
          <w:rtl/>
        </w:rPr>
        <w:t xml:space="preserve"> وسيتضح ذلك جليا فيما سنضمه تحت أنظار القراء من نصوص كتابه هذا التي سنقابلها بغيرها من نصوص العلماء المحررة في الرد على المجسمة</w:t>
      </w:r>
      <w:r w:rsidR="00DB731D" w:rsidRPr="00A52585">
        <w:rPr>
          <w:rtl/>
        </w:rPr>
        <w:t>،</w:t>
      </w:r>
      <w:r w:rsidR="0002035C" w:rsidRPr="00A52585">
        <w:rPr>
          <w:rFonts w:hint="cs"/>
          <w:rtl/>
        </w:rPr>
        <w:t xml:space="preserve"> </w:t>
      </w:r>
      <w:r w:rsidRPr="00A52585">
        <w:rPr>
          <w:rtl/>
        </w:rPr>
        <w:t>وقد وجدنا " شيخ الجماعة " نقسه فسر الاستواء على العرش بالاستقرار</w:t>
      </w:r>
      <w:r w:rsidR="00DB731D" w:rsidRPr="00A52585">
        <w:rPr>
          <w:rtl/>
        </w:rPr>
        <w:t>،</w:t>
      </w:r>
      <w:r w:rsidRPr="00A52585">
        <w:rPr>
          <w:rtl/>
        </w:rPr>
        <w:t xml:space="preserve"> ووقع في ذيل مقال له بهذه العبارة: " وكتبه المفتقر إلى </w:t>
      </w:r>
      <w:proofErr w:type="spellStart"/>
      <w:r w:rsidRPr="00A52585">
        <w:rPr>
          <w:rtl/>
        </w:rPr>
        <w:t>عفوربه</w:t>
      </w:r>
      <w:proofErr w:type="spellEnd"/>
      <w:r w:rsidRPr="00A52585">
        <w:rPr>
          <w:rtl/>
        </w:rPr>
        <w:t xml:space="preserve"> المستوى بذاته على عرشه محمد حامد </w:t>
      </w:r>
      <w:proofErr w:type="spellStart"/>
      <w:r w:rsidRPr="00A52585">
        <w:rPr>
          <w:rtl/>
        </w:rPr>
        <w:t>الفقى</w:t>
      </w:r>
      <w:proofErr w:type="spellEnd"/>
      <w:r w:rsidRPr="00A52585">
        <w:rPr>
          <w:rtl/>
        </w:rPr>
        <w:t>" فالاستواء بالذات</w:t>
      </w:r>
      <w:r w:rsidR="00DB731D" w:rsidRPr="00A52585">
        <w:rPr>
          <w:rtl/>
        </w:rPr>
        <w:t>،</w:t>
      </w:r>
      <w:r w:rsidRPr="00A52585">
        <w:rPr>
          <w:rtl/>
        </w:rPr>
        <w:t xml:space="preserve"> والاستقرار على العرش كل منهما يقتضى التشبيه لا محالة</w:t>
      </w:r>
      <w:r w:rsidR="00DB731D" w:rsidRPr="00A52585">
        <w:rPr>
          <w:rtl/>
        </w:rPr>
        <w:t>،</w:t>
      </w:r>
      <w:r w:rsidRPr="00A52585">
        <w:rPr>
          <w:rtl/>
        </w:rPr>
        <w:t xml:space="preserve"> ومن العجب أن يثبت هؤلاء الاستقرار</w:t>
      </w:r>
      <w:r w:rsidR="00DB731D" w:rsidRPr="00A52585">
        <w:rPr>
          <w:rtl/>
        </w:rPr>
        <w:t>،</w:t>
      </w:r>
      <w:r w:rsidRPr="00A52585">
        <w:rPr>
          <w:rtl/>
        </w:rPr>
        <w:t xml:space="preserve"> الاستواء بالذات والحيز والجهة، ويقولون</w:t>
      </w:r>
      <w:r w:rsidR="0002035C" w:rsidRPr="00A52585">
        <w:rPr>
          <w:rtl/>
        </w:rPr>
        <w:t>:</w:t>
      </w:r>
      <w:r w:rsidRPr="00A52585">
        <w:rPr>
          <w:rtl/>
        </w:rPr>
        <w:t xml:space="preserve"> إن هذه الأمور وغيرها من المتشابه لا تقتضى تشبيها ولا تمثيلا، وهو جمع بين </w:t>
      </w:r>
      <w:proofErr w:type="spellStart"/>
      <w:r w:rsidRPr="00A52585">
        <w:rPr>
          <w:rtl/>
        </w:rPr>
        <w:t>الشئ</w:t>
      </w:r>
      <w:proofErr w:type="spellEnd"/>
      <w:r w:rsidRPr="00A52585">
        <w:rPr>
          <w:rtl/>
        </w:rPr>
        <w:t xml:space="preserve"> وضده، ولا يجتمع تجسيم </w:t>
      </w:r>
      <w:proofErr w:type="spellStart"/>
      <w:r w:rsidRPr="00A52585">
        <w:rPr>
          <w:rtl/>
        </w:rPr>
        <w:t>وتشبيه</w:t>
      </w:r>
      <w:r w:rsidR="00DB731D" w:rsidRPr="00A52585">
        <w:rPr>
          <w:rtl/>
        </w:rPr>
        <w:t>،</w:t>
      </w:r>
      <w:r w:rsidRPr="00A52585">
        <w:rPr>
          <w:rtl/>
        </w:rPr>
        <w:t>مع</w:t>
      </w:r>
      <w:proofErr w:type="spellEnd"/>
      <w:r w:rsidRPr="00A52585">
        <w:rPr>
          <w:rtl/>
        </w:rPr>
        <w:t xml:space="preserve"> تقديس وتنزيه إلا في عقول اصطلح عليها الضدان</w:t>
      </w:r>
      <w:r w:rsidR="00DB731D" w:rsidRPr="00A52585">
        <w:rPr>
          <w:rtl/>
        </w:rPr>
        <w:t>،</w:t>
      </w:r>
      <w:r w:rsidRPr="00A52585">
        <w:rPr>
          <w:rtl/>
        </w:rPr>
        <w:t xml:space="preserve"> واجتمع فيها المتناقضان</w:t>
      </w:r>
      <w:r w:rsidR="00DB731D" w:rsidRPr="00A52585">
        <w:rPr>
          <w:rtl/>
        </w:rPr>
        <w:t>،</w:t>
      </w:r>
      <w:r w:rsidRPr="00A52585">
        <w:rPr>
          <w:rtl/>
        </w:rPr>
        <w:t xml:space="preserve"> فكأنهم يقولون</w:t>
      </w:r>
      <w:r w:rsidR="0002035C" w:rsidRPr="00A52585">
        <w:rPr>
          <w:rtl/>
        </w:rPr>
        <w:t>:</w:t>
      </w:r>
      <w:r w:rsidRPr="00A52585">
        <w:rPr>
          <w:rtl/>
        </w:rPr>
        <w:t xml:space="preserve"> إن الله مستقر بذاته على عرشه </w:t>
      </w:r>
      <w:proofErr w:type="spellStart"/>
      <w:r w:rsidRPr="00A52585">
        <w:rPr>
          <w:rtl/>
        </w:rPr>
        <w:t>مستوبذاته</w:t>
      </w:r>
      <w:proofErr w:type="spellEnd"/>
      <w:r w:rsidRPr="00A52585">
        <w:rPr>
          <w:rtl/>
        </w:rPr>
        <w:t xml:space="preserve"> عليه ثابت له المكان والحيز والجهة </w:t>
      </w:r>
      <w:proofErr w:type="spellStart"/>
      <w:r w:rsidRPr="00A52585">
        <w:rPr>
          <w:rtl/>
        </w:rPr>
        <w:t>فهوإذا</w:t>
      </w:r>
      <w:proofErr w:type="spellEnd"/>
      <w:r w:rsidRPr="00A52585">
        <w:rPr>
          <w:rtl/>
        </w:rPr>
        <w:t xml:space="preserve"> جسم</w:t>
      </w:r>
      <w:r w:rsidR="00DB731D" w:rsidRPr="00A52585">
        <w:rPr>
          <w:rtl/>
        </w:rPr>
        <w:t>،</w:t>
      </w:r>
      <w:r w:rsidRPr="00A52585">
        <w:rPr>
          <w:rtl/>
        </w:rPr>
        <w:t xml:space="preserve"> ويقولون مع هذا بتنزهه عن الجسمية </w:t>
      </w:r>
      <w:proofErr w:type="spellStart"/>
      <w:r w:rsidRPr="00A52585">
        <w:rPr>
          <w:rtl/>
        </w:rPr>
        <w:t>والمثلية،وعن</w:t>
      </w:r>
      <w:proofErr w:type="spellEnd"/>
      <w:r w:rsidRPr="00A52585">
        <w:rPr>
          <w:rtl/>
        </w:rPr>
        <w:t xml:space="preserve"> المكان والجهة إلى غير ذلك فهو</w:t>
      </w:r>
      <w:r w:rsidRPr="00A52585">
        <w:rPr>
          <w:rFonts w:hint="cs"/>
          <w:rtl/>
        </w:rPr>
        <w:t xml:space="preserve"> </w:t>
      </w:r>
      <w:r w:rsidRPr="00A52585">
        <w:rPr>
          <w:rtl/>
        </w:rPr>
        <w:t>إذن ليس بجسم فيؤل كلامهم إلى أنه جسم ليس بجسم</w:t>
      </w:r>
      <w:r w:rsidR="00DB731D" w:rsidRPr="00A52585">
        <w:rPr>
          <w:rtl/>
        </w:rPr>
        <w:t>،</w:t>
      </w:r>
      <w:r w:rsidRPr="00A52585">
        <w:rPr>
          <w:rFonts w:hint="cs"/>
          <w:rtl/>
        </w:rPr>
        <w:t xml:space="preserve"> </w:t>
      </w:r>
      <w:r w:rsidRPr="00A52585">
        <w:rPr>
          <w:rtl/>
        </w:rPr>
        <w:t>وهم يودون لو</w:t>
      </w:r>
      <w:r w:rsidRPr="00A52585">
        <w:rPr>
          <w:rFonts w:hint="cs"/>
          <w:rtl/>
        </w:rPr>
        <w:t xml:space="preserve"> </w:t>
      </w:r>
      <w:r w:rsidRPr="00A52585">
        <w:rPr>
          <w:rtl/>
        </w:rPr>
        <w:t>ذهبت كتب علم الكلام كلها في خبر كان</w:t>
      </w:r>
      <w:r w:rsidR="00DB731D" w:rsidRPr="00A52585">
        <w:rPr>
          <w:rtl/>
        </w:rPr>
        <w:t>،</w:t>
      </w:r>
      <w:r w:rsidRPr="00A52585">
        <w:rPr>
          <w:rtl/>
        </w:rPr>
        <w:t xml:space="preserve"> وبقى كت</w:t>
      </w:r>
      <w:r w:rsidRPr="00A52585">
        <w:rPr>
          <w:rFonts w:hint="cs"/>
          <w:rtl/>
        </w:rPr>
        <w:t>ا</w:t>
      </w:r>
      <w:r w:rsidRPr="00A52585">
        <w:rPr>
          <w:rtl/>
        </w:rPr>
        <w:t xml:space="preserve">ب </w:t>
      </w:r>
      <w:proofErr w:type="spellStart"/>
      <w:r w:rsidRPr="00A52585">
        <w:rPr>
          <w:rtl/>
        </w:rPr>
        <w:t>الدارمى</w:t>
      </w:r>
      <w:proofErr w:type="spellEnd"/>
      <w:r w:rsidRPr="00A52585">
        <w:rPr>
          <w:rtl/>
        </w:rPr>
        <w:t xml:space="preserve"> وبضعة كتب أخرى على غراره حشرت فيها المتشابهات المتعلقة بالأسماء والصفات حشرا</w:t>
      </w:r>
      <w:r w:rsidR="00DB731D" w:rsidRPr="00A52585">
        <w:rPr>
          <w:rFonts w:hint="cs"/>
          <w:rtl/>
        </w:rPr>
        <w:t>،</w:t>
      </w:r>
      <w:r w:rsidRPr="00A52585">
        <w:rPr>
          <w:rtl/>
        </w:rPr>
        <w:t xml:space="preserve"> ويتمنون لو</w:t>
      </w:r>
      <w:r w:rsidRPr="00A52585">
        <w:rPr>
          <w:rFonts w:hint="cs"/>
          <w:rtl/>
        </w:rPr>
        <w:t xml:space="preserve"> </w:t>
      </w:r>
      <w:r w:rsidRPr="00A52585">
        <w:rPr>
          <w:rtl/>
        </w:rPr>
        <w:t xml:space="preserve">حلت محل الكتب المدونة في علم الكلام على طريقة الأشاعرة </w:t>
      </w:r>
      <w:proofErr w:type="spellStart"/>
      <w:r w:rsidRPr="00A52585">
        <w:rPr>
          <w:rtl/>
        </w:rPr>
        <w:t>والماتريدية</w:t>
      </w:r>
      <w:proofErr w:type="spellEnd"/>
      <w:r w:rsidR="00DB731D" w:rsidRPr="00A52585">
        <w:rPr>
          <w:rtl/>
        </w:rPr>
        <w:t>،</w:t>
      </w:r>
      <w:r w:rsidRPr="00A52585">
        <w:rPr>
          <w:rtl/>
        </w:rPr>
        <w:t xml:space="preserve"> وضياع ذلك التراث الخالد</w:t>
      </w:r>
      <w:r w:rsidR="00DB731D" w:rsidRPr="00A52585">
        <w:rPr>
          <w:rtl/>
        </w:rPr>
        <w:t>،</w:t>
      </w:r>
      <w:r w:rsidRPr="00A52585">
        <w:rPr>
          <w:rtl/>
        </w:rPr>
        <w:t xml:space="preserve"> وذهبت نتائج قرائح العلماء كلهم ضياعاً</w:t>
      </w:r>
      <w:r w:rsidR="00DB731D" w:rsidRPr="00A52585">
        <w:rPr>
          <w:rFonts w:hint="cs"/>
          <w:rtl/>
        </w:rPr>
        <w:t>،</w:t>
      </w:r>
      <w:r w:rsidR="0002035C" w:rsidRPr="00A52585">
        <w:rPr>
          <w:rFonts w:hint="cs"/>
          <w:rtl/>
        </w:rPr>
        <w:t xml:space="preserve"> </w:t>
      </w:r>
      <w:r w:rsidRPr="00A52585">
        <w:rPr>
          <w:rtl/>
        </w:rPr>
        <w:t xml:space="preserve">فلننظر إذا إلى ما في كتاب </w:t>
      </w:r>
      <w:proofErr w:type="spellStart"/>
      <w:r w:rsidRPr="00A52585">
        <w:rPr>
          <w:rtl/>
        </w:rPr>
        <w:t>الدارمى</w:t>
      </w:r>
      <w:proofErr w:type="spellEnd"/>
      <w:r w:rsidR="00DB731D" w:rsidRPr="00A52585">
        <w:rPr>
          <w:rtl/>
        </w:rPr>
        <w:t>،</w:t>
      </w:r>
      <w:r w:rsidRPr="00A52585">
        <w:rPr>
          <w:rtl/>
        </w:rPr>
        <w:t xml:space="preserve"> ولنعرض صوراً منه على أنظار القراء</w:t>
      </w:r>
      <w:r w:rsidR="00DB731D" w:rsidRPr="00A52585">
        <w:rPr>
          <w:rtl/>
        </w:rPr>
        <w:t>،</w:t>
      </w:r>
      <w:r w:rsidRPr="00A52585">
        <w:rPr>
          <w:rtl/>
        </w:rPr>
        <w:t xml:space="preserve"> ونقابلها بنقائضها من كلام العلماء</w:t>
      </w:r>
      <w:r w:rsidR="00DB731D" w:rsidRPr="00A52585">
        <w:rPr>
          <w:rtl/>
        </w:rPr>
        <w:t>،</w:t>
      </w:r>
      <w:r w:rsidRPr="00A52585">
        <w:rPr>
          <w:rtl/>
        </w:rPr>
        <w:t xml:space="preserve"> وهذا ما يوضح لك مقصد " الجماعة</w:t>
      </w:r>
      <w:r w:rsidRPr="00A52585">
        <w:rPr>
          <w:rFonts w:hint="cs"/>
          <w:rtl/>
        </w:rPr>
        <w:t xml:space="preserve"> </w:t>
      </w:r>
      <w:r w:rsidRPr="00A52585">
        <w:rPr>
          <w:rtl/>
        </w:rPr>
        <w:t>"</w:t>
      </w:r>
      <w:r w:rsidR="00DB731D" w:rsidRPr="00A52585">
        <w:rPr>
          <w:rtl/>
        </w:rPr>
        <w:t>،</w:t>
      </w:r>
      <w:r w:rsidRPr="00A52585">
        <w:rPr>
          <w:rtl/>
        </w:rPr>
        <w:t xml:space="preserve"> ويبين لك حقيقة معتقدهم</w:t>
      </w:r>
      <w:r w:rsidR="00DB731D" w:rsidRPr="00A52585">
        <w:rPr>
          <w:rtl/>
        </w:rPr>
        <w:t>،</w:t>
      </w:r>
      <w:r w:rsidRPr="00A52585">
        <w:rPr>
          <w:rtl/>
        </w:rPr>
        <w:t xml:space="preserve"> ويحدد لك طريق اتجاههم</w:t>
      </w:r>
      <w:r w:rsidR="00DB731D" w:rsidRPr="00A52585">
        <w:rPr>
          <w:rtl/>
        </w:rPr>
        <w:t>،</w:t>
      </w:r>
      <w:r w:rsidRPr="00A52585">
        <w:rPr>
          <w:rtl/>
        </w:rPr>
        <w:t xml:space="preserve"> فانظر إذن وتأمل ولا تنزعج</w:t>
      </w:r>
      <w:r w:rsidR="00F95886" w:rsidRPr="00A52585">
        <w:rPr>
          <w:rFonts w:hint="cs"/>
          <w:rtl/>
        </w:rPr>
        <w:t>!</w:t>
      </w:r>
      <w:r w:rsidRPr="00A52585">
        <w:rPr>
          <w:rtl/>
        </w:rPr>
        <w:t>!</w:t>
      </w:r>
      <w:r w:rsidR="00DB731D" w:rsidRPr="00A52585">
        <w:rPr>
          <w:rFonts w:hint="cs"/>
          <w:rtl/>
        </w:rPr>
        <w:t>،</w:t>
      </w:r>
      <w:r w:rsidR="0002035C" w:rsidRPr="00A52585">
        <w:rPr>
          <w:rFonts w:hint="cs"/>
          <w:rtl/>
        </w:rPr>
        <w:t xml:space="preserve"> </w:t>
      </w:r>
      <w:proofErr w:type="spellStart"/>
      <w:r w:rsidRPr="00A52585">
        <w:rPr>
          <w:rtl/>
        </w:rPr>
        <w:t>فى</w:t>
      </w:r>
      <w:proofErr w:type="spellEnd"/>
      <w:r w:rsidRPr="00A52585">
        <w:rPr>
          <w:rtl/>
        </w:rPr>
        <w:t xml:space="preserve"> "ص 20" يقول </w:t>
      </w:r>
      <w:proofErr w:type="spellStart"/>
      <w:r w:rsidRPr="00A52585">
        <w:rPr>
          <w:rtl/>
        </w:rPr>
        <w:t>الدارمى</w:t>
      </w:r>
      <w:proofErr w:type="spellEnd"/>
      <w:r w:rsidRPr="00A52585">
        <w:rPr>
          <w:rtl/>
        </w:rPr>
        <w:t xml:space="preserve"> </w:t>
      </w:r>
      <w:r w:rsidRPr="00A52585">
        <w:rPr>
          <w:rtl/>
        </w:rPr>
        <w:lastRenderedPageBreak/>
        <w:t>مخاطبا معارضه ما هذه صورته</w:t>
      </w:r>
      <w:r w:rsidR="0002035C" w:rsidRPr="00A52585">
        <w:rPr>
          <w:rtl/>
        </w:rPr>
        <w:t>:</w:t>
      </w:r>
      <w:r w:rsidRPr="00A52585">
        <w:rPr>
          <w:rtl/>
        </w:rPr>
        <w:t xml:space="preserve"> " وأما دعواك أن تفسير </w:t>
      </w:r>
      <w:r w:rsidRPr="00A52585">
        <w:rPr>
          <w:rFonts w:hint="cs"/>
          <w:rtl/>
        </w:rPr>
        <w:t>"</w:t>
      </w:r>
      <w:r w:rsidRPr="00A52585">
        <w:rPr>
          <w:rtl/>
        </w:rPr>
        <w:t xml:space="preserve"> القيوم " الذى لا يزول فلا يتحرك</w:t>
      </w:r>
      <w:r w:rsidR="00DB731D" w:rsidRPr="00A52585">
        <w:rPr>
          <w:rtl/>
        </w:rPr>
        <w:t>،</w:t>
      </w:r>
      <w:r w:rsidRPr="00A52585">
        <w:rPr>
          <w:rtl/>
        </w:rPr>
        <w:t xml:space="preserve"> فلا يقبل مثل هذا التفسير إلا بأثر صحيح</w:t>
      </w:r>
      <w:r w:rsidR="00DB731D" w:rsidRPr="00A52585">
        <w:rPr>
          <w:rtl/>
        </w:rPr>
        <w:t>،</w:t>
      </w:r>
      <w:r w:rsidRPr="00A52585">
        <w:rPr>
          <w:rtl/>
        </w:rPr>
        <w:t xml:space="preserve"> مأثور عن رسول الله صلى الله علية وسلم أو</w:t>
      </w:r>
      <w:r w:rsidRPr="00A52585">
        <w:rPr>
          <w:rFonts w:hint="cs"/>
          <w:rtl/>
        </w:rPr>
        <w:t xml:space="preserve"> </w:t>
      </w:r>
      <w:r w:rsidRPr="00A52585">
        <w:rPr>
          <w:rtl/>
        </w:rPr>
        <w:t>عن بعض أصحابه أو</w:t>
      </w:r>
      <w:r w:rsidRPr="00A52585">
        <w:rPr>
          <w:rFonts w:hint="cs"/>
          <w:rtl/>
        </w:rPr>
        <w:t xml:space="preserve"> </w:t>
      </w:r>
      <w:r w:rsidRPr="00A52585">
        <w:rPr>
          <w:rtl/>
        </w:rPr>
        <w:t>التابعين لأن الحى القيوم يفعل ما يشاء</w:t>
      </w:r>
      <w:r w:rsidR="00DB731D" w:rsidRPr="00A52585">
        <w:rPr>
          <w:rtl/>
        </w:rPr>
        <w:t>،</w:t>
      </w:r>
      <w:r w:rsidRPr="00A52585">
        <w:rPr>
          <w:rtl/>
        </w:rPr>
        <w:t xml:space="preserve"> ويتحرك إذا شاء لأن إمارة ما بين الحى والميت التحرك</w:t>
      </w:r>
      <w:r w:rsidR="00DB731D" w:rsidRPr="00A52585">
        <w:rPr>
          <w:rtl/>
        </w:rPr>
        <w:t>،</w:t>
      </w:r>
      <w:r w:rsidRPr="00A52585">
        <w:rPr>
          <w:rtl/>
        </w:rPr>
        <w:t xml:space="preserve"> كل </w:t>
      </w:r>
      <w:proofErr w:type="spellStart"/>
      <w:r w:rsidRPr="00A52585">
        <w:rPr>
          <w:rtl/>
        </w:rPr>
        <w:t>حى</w:t>
      </w:r>
      <w:proofErr w:type="spellEnd"/>
      <w:r w:rsidRPr="00A52585">
        <w:rPr>
          <w:rtl/>
        </w:rPr>
        <w:t xml:space="preserve"> متحرك لا محال</w:t>
      </w:r>
      <w:r w:rsidR="00DB731D" w:rsidRPr="00A52585">
        <w:rPr>
          <w:rtl/>
        </w:rPr>
        <w:t>،</w:t>
      </w:r>
      <w:r w:rsidRPr="00A52585">
        <w:rPr>
          <w:rtl/>
        </w:rPr>
        <w:t xml:space="preserve"> وكل ميت غير متحرك لا محالة</w:t>
      </w:r>
      <w:r w:rsidRPr="00A52585">
        <w:rPr>
          <w:rFonts w:hint="cs"/>
          <w:rtl/>
        </w:rPr>
        <w:t xml:space="preserve"> </w:t>
      </w:r>
      <w:r w:rsidRPr="00A52585">
        <w:rPr>
          <w:rtl/>
        </w:rPr>
        <w:t xml:space="preserve">" انتهت عبارة </w:t>
      </w:r>
      <w:proofErr w:type="spellStart"/>
      <w:r w:rsidRPr="00A52585">
        <w:rPr>
          <w:rtl/>
        </w:rPr>
        <w:t>الدارمى</w:t>
      </w:r>
      <w:proofErr w:type="spellEnd"/>
      <w:r w:rsidRPr="00A52585">
        <w:rPr>
          <w:rtl/>
        </w:rPr>
        <w:t xml:space="preserve"> وكتب الشيخ حامد </w:t>
      </w:r>
      <w:proofErr w:type="spellStart"/>
      <w:r w:rsidRPr="00A52585">
        <w:rPr>
          <w:rtl/>
        </w:rPr>
        <w:t>الفقى</w:t>
      </w:r>
      <w:proofErr w:type="spellEnd"/>
      <w:r w:rsidRPr="00A52585">
        <w:rPr>
          <w:rtl/>
        </w:rPr>
        <w:t xml:space="preserve"> في ذيل الصفحة على هذه العبارة ما نصه</w:t>
      </w:r>
      <w:r w:rsidR="0002035C" w:rsidRPr="00A52585">
        <w:rPr>
          <w:rtl/>
        </w:rPr>
        <w:t>:</w:t>
      </w:r>
      <w:r w:rsidRPr="00A52585">
        <w:rPr>
          <w:rtl/>
        </w:rPr>
        <w:t xml:space="preserve"> " هذه ألفاظ لم ترد في القرآن ولا في السنة فنتوقف عن وصف الله بها " وكأنه إذا وجد هذه الألفاظ في القرآن والسنة لم يتوقف عن وصف الله بها على نحوها وصفه بها إمامه </w:t>
      </w:r>
      <w:proofErr w:type="spellStart"/>
      <w:r w:rsidRPr="00A52585">
        <w:rPr>
          <w:rtl/>
        </w:rPr>
        <w:t>الدارمى</w:t>
      </w:r>
      <w:proofErr w:type="spellEnd"/>
      <w:r w:rsidR="00DB731D" w:rsidRPr="00A52585">
        <w:rPr>
          <w:rtl/>
        </w:rPr>
        <w:t>،</w:t>
      </w:r>
      <w:r w:rsidR="0002035C" w:rsidRPr="00A52585">
        <w:rPr>
          <w:rFonts w:hint="cs"/>
          <w:rtl/>
        </w:rPr>
        <w:t xml:space="preserve"> </w:t>
      </w:r>
      <w:r w:rsidRPr="00A52585">
        <w:rPr>
          <w:rtl/>
        </w:rPr>
        <w:t>وكأن الأستاذ يغالط نفسه ويتجاهل أن المجسمة يثبتون الحركة بنحو</w:t>
      </w:r>
      <w:r w:rsidRPr="00A52585">
        <w:rPr>
          <w:rFonts w:hint="cs"/>
          <w:rtl/>
        </w:rPr>
        <w:t xml:space="preserve"> </w:t>
      </w:r>
      <w:r w:rsidRPr="00A52585">
        <w:rPr>
          <w:rtl/>
        </w:rPr>
        <w:t>قوله تعالى</w:t>
      </w:r>
      <w:r w:rsidR="0002035C" w:rsidRPr="00A52585">
        <w:rPr>
          <w:rFonts w:hint="cs"/>
          <w:rtl/>
        </w:rPr>
        <w:t>:</w:t>
      </w:r>
      <w:r w:rsidRPr="00A52585">
        <w:rPr>
          <w:rtl/>
        </w:rPr>
        <w:t xml:space="preserve"> " وجاء ربك والملك صفا </w:t>
      </w:r>
      <w:proofErr w:type="spellStart"/>
      <w:r w:rsidRPr="00A52585">
        <w:rPr>
          <w:rtl/>
        </w:rPr>
        <w:t>صفا</w:t>
      </w:r>
      <w:proofErr w:type="spellEnd"/>
      <w:r w:rsidR="0002035C" w:rsidRPr="00A52585">
        <w:rPr>
          <w:rtl/>
        </w:rPr>
        <w:t xml:space="preserve"> </w:t>
      </w:r>
      <w:r w:rsidRPr="00A52585">
        <w:rPr>
          <w:rtl/>
        </w:rPr>
        <w:t>"</w:t>
      </w:r>
      <w:r w:rsidR="00DB731D" w:rsidRPr="00A52585">
        <w:rPr>
          <w:rFonts w:hint="cs"/>
          <w:rtl/>
        </w:rPr>
        <w:t>،</w:t>
      </w:r>
      <w:r w:rsidR="0002035C" w:rsidRPr="00A52585">
        <w:rPr>
          <w:rFonts w:hint="cs"/>
          <w:rtl/>
        </w:rPr>
        <w:t xml:space="preserve"> </w:t>
      </w:r>
      <w:r w:rsidRPr="00A52585">
        <w:rPr>
          <w:rtl/>
        </w:rPr>
        <w:t>"</w:t>
      </w:r>
      <w:r w:rsidRPr="00A52585">
        <w:rPr>
          <w:rFonts w:hint="cs"/>
          <w:rtl/>
        </w:rPr>
        <w:t xml:space="preserve"> </w:t>
      </w:r>
      <w:r w:rsidRPr="00A52585">
        <w:rPr>
          <w:rtl/>
        </w:rPr>
        <w:t>هل ينظرون إلا أن يأتيهم الله في ظلل من الغمام والملائكة</w:t>
      </w:r>
      <w:r w:rsidRPr="00A52585">
        <w:rPr>
          <w:rFonts w:hint="cs"/>
          <w:rtl/>
        </w:rPr>
        <w:t xml:space="preserve"> </w:t>
      </w:r>
      <w:r w:rsidRPr="00A52585">
        <w:rPr>
          <w:rtl/>
        </w:rPr>
        <w:t xml:space="preserve">" وبأحاديث منها ما رواه </w:t>
      </w:r>
      <w:proofErr w:type="spellStart"/>
      <w:r w:rsidRPr="00A52585">
        <w:rPr>
          <w:rtl/>
        </w:rPr>
        <w:t>الدارمى</w:t>
      </w:r>
      <w:proofErr w:type="spellEnd"/>
      <w:r w:rsidRPr="00A52585">
        <w:rPr>
          <w:rtl/>
        </w:rPr>
        <w:t xml:space="preserve"> في كتابه هذا بسنده إلى أبى هريرة رضى الله عنه قال</w:t>
      </w:r>
      <w:r w:rsidR="0002035C" w:rsidRPr="00A52585">
        <w:rPr>
          <w:rtl/>
        </w:rPr>
        <w:t>:</w:t>
      </w:r>
      <w:r w:rsidRPr="00A52585">
        <w:rPr>
          <w:rtl/>
        </w:rPr>
        <w:t xml:space="preserve"> قال رسول الله صلى الله علية وسلم</w:t>
      </w:r>
      <w:r w:rsidR="0002035C" w:rsidRPr="00A52585">
        <w:rPr>
          <w:rtl/>
        </w:rPr>
        <w:t>:</w:t>
      </w:r>
      <w:r w:rsidRPr="00A52585">
        <w:rPr>
          <w:rtl/>
        </w:rPr>
        <w:t xml:space="preserve"> " يجمع الله الناس يوم القيامة فيقول</w:t>
      </w:r>
      <w:r w:rsidR="0002035C" w:rsidRPr="00A52585">
        <w:rPr>
          <w:rtl/>
        </w:rPr>
        <w:t>:</w:t>
      </w:r>
      <w:r w:rsidRPr="00A52585">
        <w:rPr>
          <w:rtl/>
        </w:rPr>
        <w:t xml:space="preserve"> من كان يعبد شيئا فليتبعه</w:t>
      </w:r>
      <w:r w:rsidR="00DB731D" w:rsidRPr="00A52585">
        <w:rPr>
          <w:rFonts w:hint="cs"/>
          <w:rtl/>
        </w:rPr>
        <w:t>،</w:t>
      </w:r>
      <w:r w:rsidRPr="00A52585">
        <w:rPr>
          <w:rtl/>
        </w:rPr>
        <w:t xml:space="preserve"> قال</w:t>
      </w:r>
      <w:r w:rsidR="0002035C" w:rsidRPr="00A52585">
        <w:rPr>
          <w:rFonts w:hint="cs"/>
          <w:rtl/>
        </w:rPr>
        <w:t>:</w:t>
      </w:r>
      <w:r w:rsidRPr="00A52585">
        <w:rPr>
          <w:rtl/>
        </w:rPr>
        <w:t xml:space="preserve"> فيقول المؤمنون</w:t>
      </w:r>
      <w:r w:rsidR="0002035C" w:rsidRPr="00A52585">
        <w:rPr>
          <w:rtl/>
        </w:rPr>
        <w:t>:</w:t>
      </w:r>
      <w:r w:rsidRPr="00A52585">
        <w:rPr>
          <w:rtl/>
        </w:rPr>
        <w:t xml:space="preserve"> هذا م</w:t>
      </w:r>
      <w:r w:rsidRPr="00A52585">
        <w:rPr>
          <w:rFonts w:hint="cs"/>
          <w:rtl/>
        </w:rPr>
        <w:t>ك</w:t>
      </w:r>
      <w:r w:rsidRPr="00A52585">
        <w:rPr>
          <w:rtl/>
        </w:rPr>
        <w:t>اننا حتى يأتينا ربنا</w:t>
      </w:r>
      <w:r w:rsidR="00DB731D" w:rsidRPr="00A52585">
        <w:rPr>
          <w:rtl/>
        </w:rPr>
        <w:t>،</w:t>
      </w:r>
      <w:r w:rsidRPr="00A52585">
        <w:rPr>
          <w:rtl/>
        </w:rPr>
        <w:t xml:space="preserve"> فإذا جاء ربنا عرفناه</w:t>
      </w:r>
      <w:r w:rsidR="00DB731D" w:rsidRPr="00A52585">
        <w:rPr>
          <w:rFonts w:hint="cs"/>
          <w:rtl/>
        </w:rPr>
        <w:t>،</w:t>
      </w:r>
      <w:r w:rsidRPr="00A52585">
        <w:rPr>
          <w:rtl/>
        </w:rPr>
        <w:t xml:space="preserve"> فيأتيهم الله فيقول</w:t>
      </w:r>
      <w:r w:rsidR="0002035C" w:rsidRPr="00A52585">
        <w:rPr>
          <w:rtl/>
        </w:rPr>
        <w:t>:</w:t>
      </w:r>
      <w:r w:rsidRPr="00A52585">
        <w:rPr>
          <w:rtl/>
        </w:rPr>
        <w:t xml:space="preserve"> أنا ربكم فيقولون أنت ربنا فيتبعونه</w:t>
      </w:r>
      <w:r w:rsidRPr="00A52585">
        <w:rPr>
          <w:rFonts w:hint="cs"/>
          <w:rtl/>
        </w:rPr>
        <w:t xml:space="preserve"> </w:t>
      </w:r>
      <w:r w:rsidRPr="00A52585">
        <w:rPr>
          <w:rtl/>
        </w:rPr>
        <w:t>"</w:t>
      </w:r>
      <w:r w:rsidR="00DB731D" w:rsidRPr="00A52585">
        <w:rPr>
          <w:rFonts w:hint="cs"/>
          <w:rtl/>
        </w:rPr>
        <w:t>،</w:t>
      </w:r>
      <w:r w:rsidR="0002035C" w:rsidRPr="00A52585">
        <w:rPr>
          <w:rFonts w:hint="cs"/>
          <w:rtl/>
        </w:rPr>
        <w:t xml:space="preserve"> </w:t>
      </w:r>
      <w:r w:rsidRPr="00A52585">
        <w:rPr>
          <w:rtl/>
        </w:rPr>
        <w:t>ويثبتون النزول بحديث</w:t>
      </w:r>
      <w:r w:rsidR="0002035C" w:rsidRPr="00A52585">
        <w:rPr>
          <w:rtl/>
        </w:rPr>
        <w:t>:</w:t>
      </w:r>
      <w:r w:rsidRPr="00A52585">
        <w:rPr>
          <w:rFonts w:hint="cs"/>
          <w:rtl/>
        </w:rPr>
        <w:t xml:space="preserve"> </w:t>
      </w:r>
      <w:r w:rsidRPr="00A52585">
        <w:rPr>
          <w:rtl/>
        </w:rPr>
        <w:t>" ينزل ربنا ليلة إلى السماء الدنيا " الحديث</w:t>
      </w:r>
      <w:r w:rsidR="00DB731D" w:rsidRPr="00A52585">
        <w:rPr>
          <w:rFonts w:hint="cs"/>
          <w:rtl/>
        </w:rPr>
        <w:t>،</w:t>
      </w:r>
      <w:r w:rsidR="0002035C" w:rsidRPr="00A52585">
        <w:rPr>
          <w:rFonts w:hint="cs"/>
          <w:rtl/>
        </w:rPr>
        <w:t xml:space="preserve"> </w:t>
      </w:r>
      <w:r w:rsidRPr="00A52585">
        <w:rPr>
          <w:rtl/>
        </w:rPr>
        <w:t xml:space="preserve">ويثبتون الجلوس والقعود بمثل ما رواه </w:t>
      </w:r>
      <w:proofErr w:type="spellStart"/>
      <w:r w:rsidRPr="00A52585">
        <w:rPr>
          <w:rtl/>
        </w:rPr>
        <w:t>الدارمى</w:t>
      </w:r>
      <w:proofErr w:type="spellEnd"/>
      <w:r w:rsidRPr="00A52585">
        <w:rPr>
          <w:rtl/>
        </w:rPr>
        <w:t xml:space="preserve"> بسنده عبد الله بن خليفة قال</w:t>
      </w:r>
      <w:r w:rsidR="0002035C" w:rsidRPr="00A52585">
        <w:rPr>
          <w:rtl/>
        </w:rPr>
        <w:t>:</w:t>
      </w:r>
      <w:r w:rsidRPr="00A52585">
        <w:rPr>
          <w:rtl/>
        </w:rPr>
        <w:t xml:space="preserve"> "أتت امرأة إلى النبي صلى الله علية وسلم فقالت ك ادع الله أن </w:t>
      </w:r>
      <w:proofErr w:type="spellStart"/>
      <w:r w:rsidRPr="00A52585">
        <w:rPr>
          <w:rtl/>
        </w:rPr>
        <w:t>يدخلنى</w:t>
      </w:r>
      <w:proofErr w:type="spellEnd"/>
      <w:r w:rsidRPr="00A52585">
        <w:rPr>
          <w:rtl/>
        </w:rPr>
        <w:t xml:space="preserve"> </w:t>
      </w:r>
      <w:proofErr w:type="spellStart"/>
      <w:r w:rsidRPr="00A52585">
        <w:rPr>
          <w:rtl/>
        </w:rPr>
        <w:t>الجنة،فعظم</w:t>
      </w:r>
      <w:proofErr w:type="spellEnd"/>
      <w:r w:rsidRPr="00A52585">
        <w:rPr>
          <w:rtl/>
        </w:rPr>
        <w:t xml:space="preserve"> الرب فقال: إن كرسيه وسع السموات والأرض</w:t>
      </w:r>
      <w:r w:rsidR="00DB731D" w:rsidRPr="00A52585">
        <w:rPr>
          <w:rtl/>
        </w:rPr>
        <w:t>،</w:t>
      </w:r>
      <w:r w:rsidRPr="00A52585">
        <w:rPr>
          <w:rtl/>
        </w:rPr>
        <w:t xml:space="preserve"> وإنه ليقعد عليه فما يفضل منه إلا قدر أربع أصابع ومد أصابعه الأربع</w:t>
      </w:r>
      <w:r w:rsidR="00DB731D" w:rsidRPr="00A52585">
        <w:rPr>
          <w:rtl/>
        </w:rPr>
        <w:t>،</w:t>
      </w:r>
      <w:r w:rsidRPr="00A52585">
        <w:rPr>
          <w:rtl/>
        </w:rPr>
        <w:t xml:space="preserve"> وإن له أطيطاً كأطيط الحل الجديد إذا ركبه من يثقله </w:t>
      </w:r>
      <w:r w:rsidRPr="00A52585">
        <w:rPr>
          <w:rFonts w:hint="cs"/>
          <w:rtl/>
        </w:rPr>
        <w:t>"</w:t>
      </w:r>
      <w:r w:rsidR="00DB731D" w:rsidRPr="00A52585">
        <w:rPr>
          <w:rFonts w:hint="cs"/>
          <w:rtl/>
        </w:rPr>
        <w:t>،</w:t>
      </w:r>
      <w:r w:rsidR="0002035C" w:rsidRPr="00A52585">
        <w:rPr>
          <w:rFonts w:hint="cs"/>
          <w:rtl/>
        </w:rPr>
        <w:t xml:space="preserve"> </w:t>
      </w:r>
      <w:r w:rsidRPr="00A52585">
        <w:rPr>
          <w:rtl/>
        </w:rPr>
        <w:t xml:space="preserve">فهذه الآيات والأحاديث هي التي اعتمد عليها </w:t>
      </w:r>
      <w:proofErr w:type="spellStart"/>
      <w:r w:rsidRPr="00A52585">
        <w:rPr>
          <w:rtl/>
        </w:rPr>
        <w:t>الدارمى</w:t>
      </w:r>
      <w:proofErr w:type="spellEnd"/>
      <w:r w:rsidRPr="00A52585">
        <w:rPr>
          <w:rtl/>
        </w:rPr>
        <w:t xml:space="preserve"> في إثبات الحركة والنزول والجلوس</w:t>
      </w:r>
      <w:r w:rsidR="00DB731D" w:rsidRPr="00A52585">
        <w:rPr>
          <w:rtl/>
        </w:rPr>
        <w:t>،</w:t>
      </w:r>
      <w:r w:rsidRPr="00A52585">
        <w:rPr>
          <w:rtl/>
        </w:rPr>
        <w:t xml:space="preserve"> وقد مرت على الأستاذ</w:t>
      </w:r>
      <w:r w:rsidR="00DB731D" w:rsidRPr="00A52585">
        <w:rPr>
          <w:rtl/>
        </w:rPr>
        <w:t>،</w:t>
      </w:r>
      <w:r w:rsidRPr="00A52585">
        <w:rPr>
          <w:rtl/>
        </w:rPr>
        <w:t xml:space="preserve"> وهو يباشر طبع الكتاب فكيف يقول</w:t>
      </w:r>
      <w:r w:rsidR="0002035C" w:rsidRPr="00A52585">
        <w:rPr>
          <w:rtl/>
        </w:rPr>
        <w:t>:</w:t>
      </w:r>
      <w:r w:rsidRPr="00A52585">
        <w:rPr>
          <w:rtl/>
        </w:rPr>
        <w:t xml:space="preserve"> إنه يتوقف عن وصف الله بها زاعما أنها لم ترد في القرآن ولا في السنة</w:t>
      </w:r>
      <w:r w:rsidR="00F95886" w:rsidRPr="00A52585">
        <w:rPr>
          <w:rFonts w:hint="cs"/>
          <w:rtl/>
        </w:rPr>
        <w:t>؟</w:t>
      </w:r>
      <w:r w:rsidR="0002035C" w:rsidRPr="00A52585">
        <w:rPr>
          <w:rFonts w:hint="cs"/>
          <w:rtl/>
        </w:rPr>
        <w:t xml:space="preserve"> </w:t>
      </w:r>
      <w:r w:rsidRPr="00A52585">
        <w:rPr>
          <w:rtl/>
        </w:rPr>
        <w:t xml:space="preserve">ها هي </w:t>
      </w:r>
      <w:proofErr w:type="spellStart"/>
      <w:r w:rsidRPr="00A52585">
        <w:rPr>
          <w:rtl/>
        </w:rPr>
        <w:t>ذى</w:t>
      </w:r>
      <w:proofErr w:type="spellEnd"/>
      <w:r w:rsidRPr="00A52585">
        <w:rPr>
          <w:rtl/>
        </w:rPr>
        <w:t xml:space="preserve"> قد مرت به مرارا وتكرارا على أنه لا ينكر أنه وصف الله بالاستواء وفسره بالاستقرار </w:t>
      </w:r>
      <w:proofErr w:type="spellStart"/>
      <w:r w:rsidRPr="00A52585">
        <w:rPr>
          <w:rtl/>
        </w:rPr>
        <w:t>الذاتى</w:t>
      </w:r>
      <w:proofErr w:type="spellEnd"/>
      <w:r w:rsidR="00DB731D" w:rsidRPr="00A52585">
        <w:rPr>
          <w:rtl/>
        </w:rPr>
        <w:t>،</w:t>
      </w:r>
      <w:r w:rsidRPr="00A52585">
        <w:rPr>
          <w:rtl/>
        </w:rPr>
        <w:t xml:space="preserve"> كما لا ينكر أن هذه الظواهر حين مرت به في مواضعها من كتاب </w:t>
      </w:r>
      <w:proofErr w:type="spellStart"/>
      <w:r w:rsidRPr="00A52585">
        <w:rPr>
          <w:rtl/>
        </w:rPr>
        <w:t>الدارمى</w:t>
      </w:r>
      <w:proofErr w:type="spellEnd"/>
      <w:r w:rsidRPr="00A52585">
        <w:rPr>
          <w:rtl/>
        </w:rPr>
        <w:t xml:space="preserve"> لم </w:t>
      </w:r>
      <w:proofErr w:type="spellStart"/>
      <w:r w:rsidRPr="00A52585">
        <w:rPr>
          <w:rtl/>
        </w:rPr>
        <w:t>يؤؤلها</w:t>
      </w:r>
      <w:proofErr w:type="spellEnd"/>
      <w:r w:rsidRPr="00A52585">
        <w:rPr>
          <w:rtl/>
        </w:rPr>
        <w:t xml:space="preserve"> بما يصرفها عن ظاهرها</w:t>
      </w:r>
      <w:r w:rsidR="00DB731D" w:rsidRPr="00A52585">
        <w:rPr>
          <w:rtl/>
        </w:rPr>
        <w:t>،</w:t>
      </w:r>
      <w:r w:rsidRPr="00A52585">
        <w:rPr>
          <w:rtl/>
        </w:rPr>
        <w:t xml:space="preserve"> ولم يعلق عليها بكلمة واحدة فهو</w:t>
      </w:r>
      <w:r w:rsidRPr="00A52585">
        <w:rPr>
          <w:rFonts w:hint="cs"/>
          <w:rtl/>
        </w:rPr>
        <w:t xml:space="preserve"> </w:t>
      </w:r>
      <w:proofErr w:type="spellStart"/>
      <w:r w:rsidRPr="00A52585">
        <w:rPr>
          <w:rtl/>
        </w:rPr>
        <w:t>والدارمى</w:t>
      </w:r>
      <w:proofErr w:type="spellEnd"/>
      <w:r w:rsidRPr="00A52585">
        <w:rPr>
          <w:rtl/>
        </w:rPr>
        <w:t xml:space="preserve"> سواء حيال هذه الألفاظ ما في ذلك شك وإلا كان من المؤولة فيكون من </w:t>
      </w:r>
      <w:proofErr w:type="spellStart"/>
      <w:r w:rsidRPr="00A52585">
        <w:rPr>
          <w:rtl/>
        </w:rPr>
        <w:t>ن</w:t>
      </w:r>
      <w:r w:rsidRPr="00A52585">
        <w:rPr>
          <w:rFonts w:hint="cs"/>
          <w:rtl/>
        </w:rPr>
        <w:t>ف</w:t>
      </w:r>
      <w:r w:rsidRPr="00A52585">
        <w:rPr>
          <w:rtl/>
        </w:rPr>
        <w:t>اة</w:t>
      </w:r>
      <w:proofErr w:type="spellEnd"/>
      <w:r w:rsidRPr="00A52585">
        <w:rPr>
          <w:rtl/>
        </w:rPr>
        <w:t xml:space="preserve"> وجود الله</w:t>
      </w:r>
      <w:r w:rsidR="00F95886" w:rsidRPr="00A52585">
        <w:rPr>
          <w:rtl/>
        </w:rPr>
        <w:t>!</w:t>
      </w:r>
      <w:r w:rsidRPr="00A52585">
        <w:rPr>
          <w:rtl/>
        </w:rPr>
        <w:t>!</w:t>
      </w:r>
      <w:r w:rsidR="0002035C" w:rsidRPr="00A52585">
        <w:rPr>
          <w:rFonts w:hint="cs"/>
          <w:rtl/>
        </w:rPr>
        <w:t xml:space="preserve"> </w:t>
      </w:r>
      <w:r w:rsidRPr="00A52585">
        <w:rPr>
          <w:rtl/>
        </w:rPr>
        <w:t xml:space="preserve">ثم بإزاء هذه الصورة المعروضة على أنظار القراء من كتاب </w:t>
      </w:r>
      <w:proofErr w:type="spellStart"/>
      <w:r w:rsidRPr="00A52585">
        <w:rPr>
          <w:rtl/>
        </w:rPr>
        <w:t>الدارمى</w:t>
      </w:r>
      <w:proofErr w:type="spellEnd"/>
      <w:r w:rsidRPr="00A52585">
        <w:rPr>
          <w:rtl/>
        </w:rPr>
        <w:t xml:space="preserve"> ومقدمته أضع في مقابلتها صورة اخرى مما أنقله من كتاب " العواصم من القواصم " لإمام من أئمة الحديث هو </w:t>
      </w:r>
      <w:proofErr w:type="spellStart"/>
      <w:r w:rsidRPr="00A52585">
        <w:rPr>
          <w:rtl/>
        </w:rPr>
        <w:t>القاضى</w:t>
      </w:r>
      <w:proofErr w:type="spellEnd"/>
      <w:r w:rsidRPr="00A52585">
        <w:rPr>
          <w:rtl/>
        </w:rPr>
        <w:t xml:space="preserve"> أبوبكر بن </w:t>
      </w:r>
      <w:proofErr w:type="spellStart"/>
      <w:r w:rsidRPr="00A52585">
        <w:rPr>
          <w:rtl/>
        </w:rPr>
        <w:t>العربى</w:t>
      </w:r>
      <w:proofErr w:type="spellEnd"/>
      <w:r w:rsidRPr="00A52585">
        <w:rPr>
          <w:rtl/>
        </w:rPr>
        <w:t xml:space="preserve"> قال: (ج 2 ص 17</w:t>
      </w:r>
      <w:r w:rsidR="0002035C" w:rsidRPr="00A52585">
        <w:rPr>
          <w:rtl/>
        </w:rPr>
        <w:t>)</w:t>
      </w:r>
      <w:r w:rsidRPr="00A52585">
        <w:rPr>
          <w:bCs/>
          <w:rtl/>
        </w:rPr>
        <w:t xml:space="preserve"> </w:t>
      </w:r>
      <w:r w:rsidR="0002035C" w:rsidRPr="00A52585">
        <w:rPr>
          <w:rFonts w:hint="cs"/>
          <w:bCs/>
          <w:rtl/>
        </w:rPr>
        <w:t>[</w:t>
      </w:r>
      <w:r w:rsidRPr="00A52585">
        <w:rPr>
          <w:bCs/>
          <w:rtl/>
        </w:rPr>
        <w:t>قاصمة</w:t>
      </w:r>
      <w:r w:rsidR="0002035C" w:rsidRPr="00A52585">
        <w:rPr>
          <w:rFonts w:hint="cs"/>
          <w:bCs/>
          <w:rtl/>
        </w:rPr>
        <w:t>]</w:t>
      </w:r>
      <w:r w:rsidR="0002035C" w:rsidRPr="00A52585">
        <w:rPr>
          <w:rFonts w:hint="cs"/>
          <w:rtl/>
        </w:rPr>
        <w:t>:</w:t>
      </w:r>
      <w:r w:rsidRPr="00A52585">
        <w:rPr>
          <w:rtl/>
        </w:rPr>
        <w:t xml:space="preserve"> وقد بينا في غير موضع أن الكائدين للإسلام كثير</w:t>
      </w:r>
      <w:r w:rsidR="00DB731D" w:rsidRPr="00A52585">
        <w:rPr>
          <w:rtl/>
        </w:rPr>
        <w:t>،</w:t>
      </w:r>
      <w:r w:rsidRPr="00A52585">
        <w:rPr>
          <w:rtl/>
        </w:rPr>
        <w:t xml:space="preserve"> والمقصرون فيه كثير</w:t>
      </w:r>
      <w:r w:rsidR="00DB731D" w:rsidRPr="00A52585">
        <w:rPr>
          <w:rtl/>
        </w:rPr>
        <w:t>،</w:t>
      </w:r>
      <w:r w:rsidRPr="00A52585">
        <w:rPr>
          <w:rtl/>
        </w:rPr>
        <w:t xml:space="preserve"> والمشتغلون قليل</w:t>
      </w:r>
      <w:r w:rsidR="00DB731D" w:rsidRPr="00A52585">
        <w:rPr>
          <w:rtl/>
        </w:rPr>
        <w:t>،</w:t>
      </w:r>
      <w:r w:rsidRPr="00A52585">
        <w:rPr>
          <w:rtl/>
        </w:rPr>
        <w:t xml:space="preserve"> فمن كاده (الباطنية) وقد بينا جملة من </w:t>
      </w:r>
      <w:proofErr w:type="spellStart"/>
      <w:r w:rsidRPr="00A52585">
        <w:rPr>
          <w:rtl/>
        </w:rPr>
        <w:t>أحوالهم</w:t>
      </w:r>
      <w:r w:rsidR="00DB731D" w:rsidRPr="00A52585">
        <w:rPr>
          <w:rtl/>
        </w:rPr>
        <w:t>،</w:t>
      </w:r>
      <w:r w:rsidRPr="00A52585">
        <w:rPr>
          <w:rtl/>
        </w:rPr>
        <w:t>وممن</w:t>
      </w:r>
      <w:proofErr w:type="spellEnd"/>
      <w:r w:rsidRPr="00A52585">
        <w:rPr>
          <w:rtl/>
        </w:rPr>
        <w:t xml:space="preserve"> كاده (الظاهرية) </w:t>
      </w:r>
      <w:r w:rsidRPr="00A52585">
        <w:rPr>
          <w:rtl/>
        </w:rPr>
        <w:lastRenderedPageBreak/>
        <w:t>وهم طائفتان إلى أن يقول</w:t>
      </w:r>
      <w:r w:rsidR="0002035C" w:rsidRPr="00A52585">
        <w:rPr>
          <w:rtl/>
        </w:rPr>
        <w:t>:</w:t>
      </w:r>
      <w:r w:rsidRPr="00A52585">
        <w:rPr>
          <w:rtl/>
        </w:rPr>
        <w:t xml:space="preserve"> يقولون إن الله أعلم بنفسه وصفاته وبمخلوقاته منا /وهو معلمنا</w:t>
      </w:r>
      <w:r w:rsidR="00DB731D" w:rsidRPr="00A52585">
        <w:rPr>
          <w:rtl/>
        </w:rPr>
        <w:t>،</w:t>
      </w:r>
      <w:r w:rsidRPr="00A52585">
        <w:rPr>
          <w:rtl/>
        </w:rPr>
        <w:t xml:space="preserve"> فإذا أخبرنا بأمره به كما أمر</w:t>
      </w:r>
      <w:r w:rsidR="00DB731D" w:rsidRPr="00A52585">
        <w:rPr>
          <w:rtl/>
        </w:rPr>
        <w:t>،</w:t>
      </w:r>
      <w:r w:rsidRPr="00A52585">
        <w:rPr>
          <w:rtl/>
        </w:rPr>
        <w:t xml:space="preserve"> وقالوا حين سمعوا " هل ينظرون إلا أن يأتيهم الله في ظلل من الغمام والملائكة " " وجاء ربك والملك صفا </w:t>
      </w:r>
      <w:proofErr w:type="spellStart"/>
      <w:r w:rsidRPr="00A52585">
        <w:rPr>
          <w:rtl/>
        </w:rPr>
        <w:t>صفا</w:t>
      </w:r>
      <w:proofErr w:type="spellEnd"/>
      <w:r w:rsidR="0002035C" w:rsidRPr="00A52585">
        <w:rPr>
          <w:rtl/>
        </w:rPr>
        <w:t xml:space="preserve"> </w:t>
      </w:r>
      <w:r w:rsidRPr="00A52585">
        <w:rPr>
          <w:rtl/>
        </w:rPr>
        <w:t>" فأتى الله بنينهم من القواعد " " وينزل ربنا كل ليلة إلى سماء الدنيا " إنه يتحرك وينتقل</w:t>
      </w:r>
      <w:r w:rsidR="00DB731D" w:rsidRPr="00A52585">
        <w:rPr>
          <w:rtl/>
        </w:rPr>
        <w:t>،</w:t>
      </w:r>
      <w:r w:rsidRPr="00A52585">
        <w:rPr>
          <w:rtl/>
        </w:rPr>
        <w:t xml:space="preserve"> ويذهب من موضع إلى موضع</w:t>
      </w:r>
      <w:r w:rsidR="00DB731D" w:rsidRPr="00A52585">
        <w:rPr>
          <w:rtl/>
        </w:rPr>
        <w:t>،</w:t>
      </w:r>
      <w:r w:rsidRPr="00A52585">
        <w:rPr>
          <w:rtl/>
        </w:rPr>
        <w:t xml:space="preserve"> ولما سمعوا قوله</w:t>
      </w:r>
      <w:r w:rsidR="0002035C" w:rsidRPr="00A52585">
        <w:rPr>
          <w:rtl/>
        </w:rPr>
        <w:t>:</w:t>
      </w:r>
      <w:r w:rsidRPr="00A52585">
        <w:rPr>
          <w:rtl/>
        </w:rPr>
        <w:t xml:space="preserve"> " الرحمن على العرش استوى " قالوا</w:t>
      </w:r>
      <w:r w:rsidR="0002035C" w:rsidRPr="00A52585">
        <w:rPr>
          <w:rtl/>
        </w:rPr>
        <w:t>:</w:t>
      </w:r>
      <w:r w:rsidRPr="00A52585">
        <w:rPr>
          <w:rtl/>
        </w:rPr>
        <w:t xml:space="preserve"> إنه جالس عليه متصل به</w:t>
      </w:r>
      <w:r w:rsidR="00DB731D" w:rsidRPr="00A52585">
        <w:rPr>
          <w:rtl/>
        </w:rPr>
        <w:t>،</w:t>
      </w:r>
      <w:r w:rsidRPr="00A52585">
        <w:rPr>
          <w:rtl/>
        </w:rPr>
        <w:t xml:space="preserve"> وأنه أكبر</w:t>
      </w:r>
      <w:r w:rsidRPr="00A52585">
        <w:rPr>
          <w:rFonts w:hint="cs"/>
          <w:rtl/>
        </w:rPr>
        <w:t xml:space="preserve"> </w:t>
      </w:r>
      <w:r w:rsidRPr="00A52585">
        <w:rPr>
          <w:rtl/>
        </w:rPr>
        <w:t>بأربع أصابع إلى أن يقول</w:t>
      </w:r>
      <w:r w:rsidR="0002035C" w:rsidRPr="00A52585">
        <w:rPr>
          <w:rtl/>
        </w:rPr>
        <w:t>:</w:t>
      </w:r>
      <w:r w:rsidRPr="00A52585">
        <w:rPr>
          <w:rtl/>
        </w:rPr>
        <w:t xml:space="preserve"> وقالوا</w:t>
      </w:r>
      <w:r w:rsidR="0002035C" w:rsidRPr="00A52585">
        <w:rPr>
          <w:rtl/>
        </w:rPr>
        <w:t>:</w:t>
      </w:r>
      <w:r w:rsidRPr="00A52585">
        <w:rPr>
          <w:rtl/>
        </w:rPr>
        <w:t xml:space="preserve"> إنه يتكلم بحرف وصوت،</w:t>
      </w:r>
      <w:r w:rsidRPr="00A52585">
        <w:rPr>
          <w:rFonts w:hint="cs"/>
          <w:rtl/>
        </w:rPr>
        <w:t xml:space="preserve"> </w:t>
      </w:r>
      <w:r w:rsidRPr="00A52585">
        <w:rPr>
          <w:rtl/>
        </w:rPr>
        <w:t>وعزوه إلى أحمد بن حنبل</w:t>
      </w:r>
      <w:r w:rsidR="00DB731D" w:rsidRPr="00A52585">
        <w:rPr>
          <w:rtl/>
        </w:rPr>
        <w:t>،</w:t>
      </w:r>
      <w:r w:rsidRPr="00A52585">
        <w:rPr>
          <w:rtl/>
        </w:rPr>
        <w:t xml:space="preserve"> وتعدى بهم الباطل إلى أن يقولوا</w:t>
      </w:r>
      <w:r w:rsidR="0002035C" w:rsidRPr="00A52585">
        <w:rPr>
          <w:rtl/>
        </w:rPr>
        <w:t>:</w:t>
      </w:r>
      <w:r w:rsidRPr="00A52585">
        <w:rPr>
          <w:rtl/>
        </w:rPr>
        <w:t xml:space="preserve"> إن الحروف قديمة</w:t>
      </w:r>
      <w:r w:rsidR="00DB731D" w:rsidRPr="00A52585">
        <w:rPr>
          <w:rFonts w:hint="cs"/>
          <w:rtl/>
        </w:rPr>
        <w:t>،</w:t>
      </w:r>
      <w:r w:rsidRPr="00A52585">
        <w:rPr>
          <w:rtl/>
        </w:rPr>
        <w:t xml:space="preserve"> وقالوا</w:t>
      </w:r>
      <w:r w:rsidR="0002035C" w:rsidRPr="00A52585">
        <w:rPr>
          <w:rtl/>
        </w:rPr>
        <w:t>:</w:t>
      </w:r>
      <w:r w:rsidRPr="00A52585">
        <w:rPr>
          <w:rtl/>
        </w:rPr>
        <w:t xml:space="preserve"> أنه ذو</w:t>
      </w:r>
      <w:r w:rsidRPr="00A52585">
        <w:rPr>
          <w:rFonts w:hint="cs"/>
          <w:rtl/>
        </w:rPr>
        <w:t xml:space="preserve"> </w:t>
      </w:r>
      <w:r w:rsidRPr="00A52585">
        <w:rPr>
          <w:rtl/>
        </w:rPr>
        <w:t>يد وأصابع وساعد وذراع وخاصرة وساق ورجل يطأ بها حيث شاء</w:t>
      </w:r>
      <w:r w:rsidR="00DB731D" w:rsidRPr="00A52585">
        <w:rPr>
          <w:rtl/>
        </w:rPr>
        <w:t>،</w:t>
      </w:r>
      <w:r w:rsidRPr="00A52585">
        <w:rPr>
          <w:rtl/>
        </w:rPr>
        <w:t xml:space="preserve"> وإنه يضحك ويمشى ويهرول</w:t>
      </w:r>
      <w:r w:rsidR="00DB731D" w:rsidRPr="00A52585">
        <w:rPr>
          <w:rtl/>
        </w:rPr>
        <w:t>،</w:t>
      </w:r>
      <w:r w:rsidRPr="00A52585">
        <w:rPr>
          <w:rtl/>
        </w:rPr>
        <w:t xml:space="preserve"> </w:t>
      </w:r>
      <w:proofErr w:type="spellStart"/>
      <w:r w:rsidRPr="00A52585">
        <w:rPr>
          <w:rtl/>
        </w:rPr>
        <w:t>وأخبرنى</w:t>
      </w:r>
      <w:proofErr w:type="spellEnd"/>
      <w:r w:rsidRPr="00A52585">
        <w:rPr>
          <w:rtl/>
        </w:rPr>
        <w:t xml:space="preserve"> من أثق به من </w:t>
      </w:r>
      <w:proofErr w:type="spellStart"/>
      <w:r w:rsidRPr="00A52585">
        <w:rPr>
          <w:rtl/>
        </w:rPr>
        <w:t>مشيختى</w:t>
      </w:r>
      <w:proofErr w:type="spellEnd"/>
      <w:r w:rsidRPr="00A52585">
        <w:rPr>
          <w:rtl/>
        </w:rPr>
        <w:t xml:space="preserve"> أن أبا يعلى محمد بن الحن رئيس الحنابلة ببغداد كان يقول</w:t>
      </w:r>
      <w:r w:rsidR="0002035C" w:rsidRPr="00A52585">
        <w:rPr>
          <w:rtl/>
        </w:rPr>
        <w:t>:</w:t>
      </w:r>
      <w:r w:rsidRPr="00A52585">
        <w:rPr>
          <w:rtl/>
        </w:rPr>
        <w:t xml:space="preserve"> </w:t>
      </w:r>
      <w:proofErr w:type="spellStart"/>
      <w:r w:rsidRPr="00A52585">
        <w:rPr>
          <w:rtl/>
        </w:rPr>
        <w:t>ألزمونى</w:t>
      </w:r>
      <w:proofErr w:type="spellEnd"/>
      <w:r w:rsidRPr="00A52585">
        <w:rPr>
          <w:rtl/>
        </w:rPr>
        <w:t xml:space="preserve"> ما شئتم </w:t>
      </w:r>
      <w:proofErr w:type="spellStart"/>
      <w:r w:rsidRPr="00A52585">
        <w:rPr>
          <w:rtl/>
        </w:rPr>
        <w:t>فإنى</w:t>
      </w:r>
      <w:proofErr w:type="spellEnd"/>
      <w:r w:rsidRPr="00A52585">
        <w:rPr>
          <w:rtl/>
        </w:rPr>
        <w:t xml:space="preserve"> التزمه إلا اللحية، والعورة، وانتهى بهم القول إلى أن يقولوا</w:t>
      </w:r>
      <w:r w:rsidR="0002035C" w:rsidRPr="00A52585">
        <w:rPr>
          <w:rFonts w:hint="cs"/>
          <w:rtl/>
        </w:rPr>
        <w:t>:</w:t>
      </w:r>
      <w:r w:rsidRPr="00A52585">
        <w:rPr>
          <w:rtl/>
        </w:rPr>
        <w:t xml:space="preserve"> إن أراد أحد أن يعلم الله فلينظر إلى نفسه، فإنه الله بعينه، إلا أن الله منزه عن الآفات، قديم لا أول له</w:t>
      </w:r>
      <w:r w:rsidR="00DB731D" w:rsidRPr="00A52585">
        <w:rPr>
          <w:rtl/>
        </w:rPr>
        <w:t>،</w:t>
      </w:r>
      <w:r w:rsidRPr="00A52585">
        <w:rPr>
          <w:rtl/>
        </w:rPr>
        <w:t xml:space="preserve"> دائم لا يفنى</w:t>
      </w:r>
      <w:r w:rsidR="00DB731D" w:rsidRPr="00A52585">
        <w:rPr>
          <w:rtl/>
        </w:rPr>
        <w:t>،</w:t>
      </w:r>
      <w:r w:rsidRPr="00A52585">
        <w:rPr>
          <w:rtl/>
        </w:rPr>
        <w:t xml:space="preserve"> لقول النبي صلى الله علية وسلم</w:t>
      </w:r>
      <w:r w:rsidR="0002035C" w:rsidRPr="00A52585">
        <w:rPr>
          <w:rtl/>
        </w:rPr>
        <w:t>:</w:t>
      </w:r>
      <w:r w:rsidRPr="00A52585">
        <w:rPr>
          <w:rtl/>
        </w:rPr>
        <w:t xml:space="preserve"> " إن الله خلق آدم على صورته"</w:t>
      </w:r>
      <w:r w:rsidR="00DB731D" w:rsidRPr="00A52585">
        <w:rPr>
          <w:rtl/>
        </w:rPr>
        <w:t>،</w:t>
      </w:r>
      <w:r w:rsidRPr="00A52585">
        <w:rPr>
          <w:rtl/>
        </w:rPr>
        <w:t xml:space="preserve"> وفى رواية</w:t>
      </w:r>
      <w:r w:rsidR="0002035C" w:rsidRPr="00A52585">
        <w:rPr>
          <w:rtl/>
        </w:rPr>
        <w:t>:</w:t>
      </w:r>
      <w:r w:rsidRPr="00A52585">
        <w:rPr>
          <w:rtl/>
        </w:rPr>
        <w:t>" على صورة الرحمن "</w:t>
      </w:r>
      <w:r w:rsidR="00DB731D" w:rsidRPr="00A52585">
        <w:rPr>
          <w:rtl/>
        </w:rPr>
        <w:t>،</w:t>
      </w:r>
      <w:r w:rsidRPr="00A52585">
        <w:rPr>
          <w:rtl/>
        </w:rPr>
        <w:t xml:space="preserve"> وهى صحيحة</w:t>
      </w:r>
      <w:r w:rsidR="00DB731D" w:rsidRPr="00A52585">
        <w:rPr>
          <w:rtl/>
        </w:rPr>
        <w:t>،</w:t>
      </w:r>
      <w:r w:rsidRPr="00A52585">
        <w:rPr>
          <w:rtl/>
        </w:rPr>
        <w:t xml:space="preserve"> فلله الوجه بعينه لا ننفيه ولا نتأوله إلى محالات لا يرضى بها ذو</w:t>
      </w:r>
      <w:r w:rsidRPr="00A52585">
        <w:rPr>
          <w:rFonts w:hint="cs"/>
          <w:rtl/>
        </w:rPr>
        <w:t xml:space="preserve"> </w:t>
      </w:r>
      <w:r w:rsidRPr="00A52585">
        <w:rPr>
          <w:rtl/>
        </w:rPr>
        <w:t>نهى</w:t>
      </w:r>
      <w:r w:rsidR="00DB731D" w:rsidRPr="00A52585">
        <w:rPr>
          <w:rtl/>
        </w:rPr>
        <w:t>،</w:t>
      </w:r>
      <w:r w:rsidR="0002035C" w:rsidRPr="00A52585">
        <w:rPr>
          <w:rFonts w:hint="cs"/>
          <w:rtl/>
        </w:rPr>
        <w:t xml:space="preserve"> </w:t>
      </w:r>
      <w:r w:rsidRPr="00A52585">
        <w:rPr>
          <w:rtl/>
        </w:rPr>
        <w:t>وكان رأس هذه الطائفة بالشام أبو</w:t>
      </w:r>
      <w:r w:rsidRPr="00A52585">
        <w:rPr>
          <w:rFonts w:hint="cs"/>
          <w:rtl/>
        </w:rPr>
        <w:t xml:space="preserve"> </w:t>
      </w:r>
      <w:r w:rsidRPr="00A52585">
        <w:rPr>
          <w:rtl/>
        </w:rPr>
        <w:t xml:space="preserve">الفرج </w:t>
      </w:r>
      <w:proofErr w:type="spellStart"/>
      <w:r w:rsidRPr="00A52585">
        <w:rPr>
          <w:rtl/>
        </w:rPr>
        <w:t>الحنبلى</w:t>
      </w:r>
      <w:proofErr w:type="spellEnd"/>
      <w:r w:rsidRPr="00A52585">
        <w:rPr>
          <w:rtl/>
        </w:rPr>
        <w:t xml:space="preserve"> بدمشق</w:t>
      </w:r>
      <w:r w:rsidR="00DB731D" w:rsidRPr="00A52585">
        <w:rPr>
          <w:rtl/>
        </w:rPr>
        <w:t>،</w:t>
      </w:r>
      <w:r w:rsidRPr="00A52585">
        <w:rPr>
          <w:rtl/>
        </w:rPr>
        <w:t xml:space="preserve"> وابن </w:t>
      </w:r>
      <w:proofErr w:type="spellStart"/>
      <w:r w:rsidRPr="00A52585">
        <w:rPr>
          <w:rtl/>
        </w:rPr>
        <w:t>الرميلى</w:t>
      </w:r>
      <w:proofErr w:type="spellEnd"/>
      <w:r w:rsidRPr="00A52585">
        <w:rPr>
          <w:rtl/>
        </w:rPr>
        <w:t xml:space="preserve"> المحدث ببيت المقدس</w:t>
      </w:r>
      <w:r w:rsidR="00DB731D" w:rsidRPr="00A52585">
        <w:rPr>
          <w:rtl/>
        </w:rPr>
        <w:t>،</w:t>
      </w:r>
      <w:r w:rsidRPr="00A52585">
        <w:rPr>
          <w:rtl/>
        </w:rPr>
        <w:t xml:space="preserve"> </w:t>
      </w:r>
      <w:proofErr w:type="spellStart"/>
      <w:r w:rsidRPr="00A52585">
        <w:rPr>
          <w:rtl/>
        </w:rPr>
        <w:t>والقطروانى</w:t>
      </w:r>
      <w:proofErr w:type="spellEnd"/>
      <w:r w:rsidRPr="00A52585">
        <w:rPr>
          <w:rtl/>
        </w:rPr>
        <w:t xml:space="preserve"> </w:t>
      </w:r>
      <w:proofErr w:type="spellStart"/>
      <w:r w:rsidRPr="00A52585">
        <w:rPr>
          <w:rtl/>
        </w:rPr>
        <w:t>بنواحى</w:t>
      </w:r>
      <w:proofErr w:type="spellEnd"/>
      <w:r w:rsidRPr="00A52585">
        <w:rPr>
          <w:rtl/>
        </w:rPr>
        <w:t xml:space="preserve"> نابلس</w:t>
      </w:r>
      <w:r w:rsidR="00DB731D" w:rsidRPr="00A52585">
        <w:rPr>
          <w:rtl/>
        </w:rPr>
        <w:t>،</w:t>
      </w:r>
      <w:r w:rsidRPr="00A52585">
        <w:rPr>
          <w:rtl/>
        </w:rPr>
        <w:t xml:space="preserve"> </w:t>
      </w:r>
      <w:proofErr w:type="spellStart"/>
      <w:r w:rsidRPr="00A52585">
        <w:rPr>
          <w:rtl/>
        </w:rPr>
        <w:t>والفاخورى</w:t>
      </w:r>
      <w:proofErr w:type="spellEnd"/>
      <w:r w:rsidRPr="00A52585">
        <w:rPr>
          <w:rtl/>
        </w:rPr>
        <w:t xml:space="preserve"> بديار مصر</w:t>
      </w:r>
      <w:r w:rsidR="00DB731D" w:rsidRPr="00A52585">
        <w:rPr>
          <w:rtl/>
        </w:rPr>
        <w:t>،</w:t>
      </w:r>
      <w:r w:rsidRPr="00A52585">
        <w:rPr>
          <w:rFonts w:hint="cs"/>
          <w:rtl/>
        </w:rPr>
        <w:t xml:space="preserve"> </w:t>
      </w:r>
      <w:r w:rsidRPr="00A52585">
        <w:rPr>
          <w:rtl/>
        </w:rPr>
        <w:t>ولحقت منهم ببغداد أبا الحسين بن أبى يعلى الفراء</w:t>
      </w:r>
      <w:r w:rsidR="00DB731D" w:rsidRPr="00A52585">
        <w:rPr>
          <w:rtl/>
        </w:rPr>
        <w:t>،</w:t>
      </w:r>
      <w:r w:rsidRPr="00A52585">
        <w:rPr>
          <w:rtl/>
        </w:rPr>
        <w:t xml:space="preserve"> وكل منهم ذو</w:t>
      </w:r>
      <w:r w:rsidRPr="00A52585">
        <w:rPr>
          <w:rFonts w:hint="cs"/>
          <w:rtl/>
        </w:rPr>
        <w:t xml:space="preserve"> </w:t>
      </w:r>
      <w:r w:rsidRPr="00A52585">
        <w:rPr>
          <w:rtl/>
        </w:rPr>
        <w:t>أتباع من العوام جما غفيرا</w:t>
      </w:r>
      <w:r w:rsidR="00DB731D" w:rsidRPr="00A52585">
        <w:rPr>
          <w:rtl/>
        </w:rPr>
        <w:t>،</w:t>
      </w:r>
      <w:r w:rsidRPr="00A52585">
        <w:rPr>
          <w:rtl/>
        </w:rPr>
        <w:t xml:space="preserve"> عصبة عصية عن الحق</w:t>
      </w:r>
      <w:r w:rsidR="00DB731D" w:rsidRPr="00A52585">
        <w:rPr>
          <w:rtl/>
        </w:rPr>
        <w:t>،</w:t>
      </w:r>
      <w:r w:rsidRPr="00A52585">
        <w:rPr>
          <w:rtl/>
        </w:rPr>
        <w:t xml:space="preserve"> وعصبية على الخلق</w:t>
      </w:r>
      <w:r w:rsidR="00DB731D" w:rsidRPr="00A52585">
        <w:rPr>
          <w:rtl/>
        </w:rPr>
        <w:t>،</w:t>
      </w:r>
      <w:r w:rsidRPr="00A52585">
        <w:rPr>
          <w:rtl/>
        </w:rPr>
        <w:t xml:space="preserve"> ولو</w:t>
      </w:r>
      <w:r w:rsidRPr="00A52585">
        <w:rPr>
          <w:rFonts w:hint="cs"/>
          <w:rtl/>
        </w:rPr>
        <w:t xml:space="preserve"> </w:t>
      </w:r>
      <w:r w:rsidRPr="00A52585">
        <w:rPr>
          <w:rtl/>
        </w:rPr>
        <w:t>كانت لهم أفهام</w:t>
      </w:r>
      <w:r w:rsidR="00DB731D" w:rsidRPr="00A52585">
        <w:rPr>
          <w:rtl/>
        </w:rPr>
        <w:t>،</w:t>
      </w:r>
      <w:r w:rsidRPr="00A52585">
        <w:rPr>
          <w:rtl/>
        </w:rPr>
        <w:t xml:space="preserve"> ورزقوا معرفة بدين الاسلام</w:t>
      </w:r>
      <w:r w:rsidR="00DB731D" w:rsidRPr="00A52585">
        <w:rPr>
          <w:rtl/>
        </w:rPr>
        <w:t>،</w:t>
      </w:r>
      <w:r w:rsidRPr="00A52585">
        <w:rPr>
          <w:rtl/>
        </w:rPr>
        <w:t xml:space="preserve"> لكان لهم من أنفسهم وازع</w:t>
      </w:r>
      <w:r w:rsidR="00DB731D" w:rsidRPr="00A52585">
        <w:rPr>
          <w:rtl/>
        </w:rPr>
        <w:t>،</w:t>
      </w:r>
      <w:r w:rsidRPr="00A52585">
        <w:rPr>
          <w:rtl/>
        </w:rPr>
        <w:t xml:space="preserve"> لظهور التهافت على مقالاتهم</w:t>
      </w:r>
      <w:r w:rsidR="00DB731D" w:rsidRPr="00A52585">
        <w:rPr>
          <w:rtl/>
        </w:rPr>
        <w:t>،</w:t>
      </w:r>
      <w:r w:rsidRPr="00A52585">
        <w:rPr>
          <w:rtl/>
        </w:rPr>
        <w:t xml:space="preserve"> وعموم </w:t>
      </w:r>
      <w:proofErr w:type="spellStart"/>
      <w:r w:rsidRPr="00A52585">
        <w:rPr>
          <w:rtl/>
        </w:rPr>
        <w:t>البطلام</w:t>
      </w:r>
      <w:proofErr w:type="spellEnd"/>
      <w:r w:rsidRPr="00A52585">
        <w:rPr>
          <w:rtl/>
        </w:rPr>
        <w:t xml:space="preserve"> بكلماتهم</w:t>
      </w:r>
      <w:r w:rsidR="00DB731D" w:rsidRPr="00A52585">
        <w:rPr>
          <w:rtl/>
        </w:rPr>
        <w:t>،</w:t>
      </w:r>
      <w:r w:rsidRPr="00A52585">
        <w:rPr>
          <w:rtl/>
        </w:rPr>
        <w:t xml:space="preserve"> ولكن الفدامة استولت عليهم</w:t>
      </w:r>
      <w:r w:rsidR="00DB731D" w:rsidRPr="00A52585">
        <w:rPr>
          <w:rtl/>
        </w:rPr>
        <w:t>،</w:t>
      </w:r>
      <w:r w:rsidRPr="00A52585">
        <w:rPr>
          <w:rtl/>
        </w:rPr>
        <w:t xml:space="preserve"> ولا آذان يسمعون بها</w:t>
      </w:r>
      <w:r w:rsidR="00DB731D" w:rsidRPr="00A52585">
        <w:rPr>
          <w:rtl/>
        </w:rPr>
        <w:t>،</w:t>
      </w:r>
      <w:r w:rsidRPr="00A52585">
        <w:rPr>
          <w:rtl/>
        </w:rPr>
        <w:t xml:space="preserve"> أولئك كالأنعام بل هم أضل اهـ</w:t>
      </w:r>
      <w:r w:rsidR="00897A24" w:rsidRPr="00A52585">
        <w:rPr>
          <w:rtl/>
        </w:rPr>
        <w:t>.</w:t>
      </w:r>
      <w:r w:rsidRPr="00A52585">
        <w:rPr>
          <w:rtl/>
        </w:rPr>
        <w:t xml:space="preserve"> هذا كلام أبى بكر بن </w:t>
      </w:r>
      <w:proofErr w:type="spellStart"/>
      <w:r w:rsidRPr="00A52585">
        <w:rPr>
          <w:rtl/>
        </w:rPr>
        <w:t>العربى</w:t>
      </w:r>
      <w:proofErr w:type="spellEnd"/>
      <w:r w:rsidRPr="00A52585">
        <w:rPr>
          <w:rtl/>
        </w:rPr>
        <w:t xml:space="preserve"> في الجزء </w:t>
      </w:r>
      <w:proofErr w:type="spellStart"/>
      <w:r w:rsidRPr="00A52585">
        <w:rPr>
          <w:rtl/>
        </w:rPr>
        <w:t>الثانى</w:t>
      </w:r>
      <w:proofErr w:type="spellEnd"/>
      <w:r w:rsidRPr="00A52585">
        <w:rPr>
          <w:rtl/>
        </w:rPr>
        <w:t xml:space="preserve"> من " العواصم " من ص 17- 20</w:t>
      </w:r>
      <w:r w:rsidR="00DB731D" w:rsidRPr="00A52585">
        <w:rPr>
          <w:rtl/>
        </w:rPr>
        <w:t>،</w:t>
      </w:r>
      <w:r w:rsidRPr="00A52585">
        <w:rPr>
          <w:rFonts w:hint="cs"/>
          <w:rtl/>
        </w:rPr>
        <w:t xml:space="preserve"> </w:t>
      </w:r>
    </w:p>
    <w:p w14:paraId="6F94793D" w14:textId="4A80379E" w:rsidR="00777DCB" w:rsidRPr="00A52585" w:rsidRDefault="00777DCB" w:rsidP="0002035C">
      <w:pPr>
        <w:spacing w:after="240"/>
        <w:rPr>
          <w:rtl/>
        </w:rPr>
      </w:pPr>
      <w:r w:rsidRPr="00A52585">
        <w:rPr>
          <w:rFonts w:cs="Monotype Koufi"/>
          <w:rtl/>
          <w:lang w:bidi="ar-KW"/>
        </w:rPr>
        <w:t>كتاب التوحيد لابن خزيمة</w:t>
      </w:r>
      <w:r w:rsidR="0002035C" w:rsidRPr="00A52585">
        <w:rPr>
          <w:rFonts w:hint="cs"/>
          <w:rtl/>
        </w:rPr>
        <w:t>:</w:t>
      </w:r>
      <w:r w:rsidRPr="00A52585">
        <w:rPr>
          <w:rFonts w:hint="cs"/>
          <w:rtl/>
        </w:rPr>
        <w:t xml:space="preserve"> </w:t>
      </w:r>
      <w:r w:rsidRPr="00A52585">
        <w:rPr>
          <w:rtl/>
        </w:rPr>
        <w:t>الإمام الحافظ أبوبكر محمد بن إسحاق بن خزيمة مؤلف هذا الكتاب سنه 311هـ من كبار الحفاظ المبرزين في نقد رجال الحديث، ومعرفة متونه وعلله، وقد خاض في كتابه هذا كبعض الحفاظ من علماء التحديث وأهل الأثر في تفسير الآيات والأحاديث المتشابهة، ولكونه لم يكن من المحسنين في فن الكلام على طريقة المتكلمين في أصول الدين وتقرير العقائد إحسانه في فنون الحديث</w:t>
      </w:r>
      <w:r w:rsidR="00DB731D" w:rsidRPr="00A52585">
        <w:rPr>
          <w:rtl/>
        </w:rPr>
        <w:t>،</w:t>
      </w:r>
      <w:r w:rsidRPr="00A52585">
        <w:rPr>
          <w:rtl/>
        </w:rPr>
        <w:t xml:space="preserve"> قال في ذات الله وصفاته بما أنكره عليه علماء هذا </w:t>
      </w:r>
      <w:proofErr w:type="spellStart"/>
      <w:r w:rsidRPr="00A52585">
        <w:rPr>
          <w:rtl/>
        </w:rPr>
        <w:t>السأن</w:t>
      </w:r>
      <w:proofErr w:type="spellEnd"/>
      <w:r w:rsidR="00DB731D" w:rsidRPr="00A52585">
        <w:rPr>
          <w:rtl/>
        </w:rPr>
        <w:t>،</w:t>
      </w:r>
      <w:r w:rsidRPr="00A52585">
        <w:rPr>
          <w:rtl/>
        </w:rPr>
        <w:t xml:space="preserve"> وبما كان حليفه فيه الخطأ وخطل </w:t>
      </w:r>
      <w:proofErr w:type="spellStart"/>
      <w:r w:rsidRPr="00A52585">
        <w:rPr>
          <w:rtl/>
        </w:rPr>
        <w:t>الرأى</w:t>
      </w:r>
      <w:proofErr w:type="spellEnd"/>
      <w:r w:rsidRPr="00A52585">
        <w:rPr>
          <w:rtl/>
        </w:rPr>
        <w:t xml:space="preserve"> وغلط الفهم، لأنه التزم في كل ما تكلم عليه من هذه الأسماء والصفات الوقوف عند ظواهر المتشابه وفهم </w:t>
      </w:r>
      <w:proofErr w:type="spellStart"/>
      <w:r w:rsidRPr="00A52585">
        <w:rPr>
          <w:rtl/>
        </w:rPr>
        <w:t>مفرادتها</w:t>
      </w:r>
      <w:proofErr w:type="spellEnd"/>
      <w:r w:rsidRPr="00A52585">
        <w:rPr>
          <w:rtl/>
        </w:rPr>
        <w:t xml:space="preserve"> اللغوية فهما سطحيا عاميا ووصفها بما تعطيه هذه </w:t>
      </w:r>
      <w:proofErr w:type="spellStart"/>
      <w:r w:rsidRPr="00A52585">
        <w:rPr>
          <w:rtl/>
        </w:rPr>
        <w:t>المفرادات</w:t>
      </w:r>
      <w:proofErr w:type="spellEnd"/>
      <w:r w:rsidRPr="00A52585">
        <w:rPr>
          <w:rtl/>
        </w:rPr>
        <w:t xml:space="preserve"> من </w:t>
      </w:r>
      <w:proofErr w:type="spellStart"/>
      <w:r w:rsidRPr="00A52585">
        <w:rPr>
          <w:rtl/>
        </w:rPr>
        <w:lastRenderedPageBreak/>
        <w:t>المعانى</w:t>
      </w:r>
      <w:proofErr w:type="spellEnd"/>
      <w:r w:rsidRPr="00A52585">
        <w:rPr>
          <w:rtl/>
        </w:rPr>
        <w:t xml:space="preserve"> الحسية </w:t>
      </w:r>
      <w:proofErr w:type="spellStart"/>
      <w:r w:rsidRPr="00A52585">
        <w:rPr>
          <w:rtl/>
        </w:rPr>
        <w:t>الظاهلرة</w:t>
      </w:r>
      <w:proofErr w:type="spellEnd"/>
      <w:r w:rsidRPr="00A52585">
        <w:rPr>
          <w:rtl/>
        </w:rPr>
        <w:t xml:space="preserve"> بدون اقتصار على الإيمان بأصلها المعلوم من الكتاب والسنة والتفويض </w:t>
      </w:r>
      <w:proofErr w:type="spellStart"/>
      <w:r w:rsidRPr="00A52585">
        <w:rPr>
          <w:rtl/>
        </w:rPr>
        <w:t>أوالتأويل</w:t>
      </w:r>
      <w:proofErr w:type="spellEnd"/>
      <w:r w:rsidRPr="00A52585">
        <w:rPr>
          <w:rtl/>
        </w:rPr>
        <w:t xml:space="preserve"> في وصفها المتشابه وكيفيتها المجهولة</w:t>
      </w:r>
      <w:r w:rsidR="00DB731D" w:rsidRPr="00A52585">
        <w:rPr>
          <w:rtl/>
        </w:rPr>
        <w:t>،</w:t>
      </w:r>
      <w:r w:rsidRPr="00A52585">
        <w:rPr>
          <w:rtl/>
        </w:rPr>
        <w:t xml:space="preserve"> لأن التأويل عنده وعند من نجا نحوه وجرى على أصله هو عين </w:t>
      </w:r>
      <w:proofErr w:type="spellStart"/>
      <w:r w:rsidRPr="00A52585">
        <w:rPr>
          <w:rtl/>
        </w:rPr>
        <w:t>النفى</w:t>
      </w:r>
      <w:proofErr w:type="spellEnd"/>
      <w:r w:rsidRPr="00A52585">
        <w:rPr>
          <w:rtl/>
        </w:rPr>
        <w:t xml:space="preserve"> والتعطيل</w:t>
      </w:r>
      <w:r w:rsidR="00DB731D" w:rsidRPr="00A52585">
        <w:rPr>
          <w:rtl/>
        </w:rPr>
        <w:t>،</w:t>
      </w:r>
      <w:r w:rsidRPr="00A52585">
        <w:rPr>
          <w:rtl/>
        </w:rPr>
        <w:t xml:space="preserve"> </w:t>
      </w:r>
      <w:proofErr w:type="spellStart"/>
      <w:r w:rsidRPr="00A52585">
        <w:rPr>
          <w:rtl/>
        </w:rPr>
        <w:t>والجرى</w:t>
      </w:r>
      <w:proofErr w:type="spellEnd"/>
      <w:r w:rsidRPr="00A52585">
        <w:rPr>
          <w:rtl/>
        </w:rPr>
        <w:t xml:space="preserve"> على هذا الأصل وهو عدم تأويل الظواهر مطلقا</w:t>
      </w:r>
      <w:r w:rsidR="00DB731D" w:rsidRPr="00A52585">
        <w:rPr>
          <w:rtl/>
        </w:rPr>
        <w:t>،</w:t>
      </w:r>
      <w:r w:rsidRPr="00A52585">
        <w:rPr>
          <w:rtl/>
        </w:rPr>
        <w:t xml:space="preserve"> وتحديد معانيها بما يفهم من اللفظ عند الإطلاق بدون تأويل ولا تفويض مسلك شائك يجر إلى مزالق يجب الكشف عنها وبيان وجه الصواب فيها</w:t>
      </w:r>
      <w:r w:rsidR="00DB731D" w:rsidRPr="00A52585">
        <w:rPr>
          <w:rtl/>
        </w:rPr>
        <w:t>،</w:t>
      </w:r>
      <w:r w:rsidR="0002035C" w:rsidRPr="00A52585">
        <w:rPr>
          <w:rFonts w:hint="cs"/>
          <w:rtl/>
        </w:rPr>
        <w:t xml:space="preserve"> </w:t>
      </w:r>
      <w:r w:rsidRPr="00A52585">
        <w:rPr>
          <w:rtl/>
        </w:rPr>
        <w:t xml:space="preserve">ومما لا ريب فيه أن محاولة إدراك كثير من هذه </w:t>
      </w:r>
      <w:proofErr w:type="spellStart"/>
      <w:r w:rsidRPr="00A52585">
        <w:rPr>
          <w:rtl/>
        </w:rPr>
        <w:t>المعانى</w:t>
      </w:r>
      <w:proofErr w:type="spellEnd"/>
      <w:r w:rsidRPr="00A52585">
        <w:rPr>
          <w:rtl/>
        </w:rPr>
        <w:t xml:space="preserve"> على ظواهرها دون تفويض ولا تأويل هي في الحقيقة محاولة لإدراك كنه الذات وحقيقة الخالق جل وعلا</w:t>
      </w:r>
      <w:r w:rsidR="00DB731D" w:rsidRPr="00A52585">
        <w:rPr>
          <w:rtl/>
        </w:rPr>
        <w:t>،</w:t>
      </w:r>
      <w:r w:rsidRPr="00A52585">
        <w:rPr>
          <w:rtl/>
        </w:rPr>
        <w:t xml:space="preserve"> وهو ما لا نصل إليه بعقولنا وأفهامنا</w:t>
      </w:r>
      <w:r w:rsidR="00DB731D" w:rsidRPr="00A52585">
        <w:rPr>
          <w:rtl/>
        </w:rPr>
        <w:t>،</w:t>
      </w:r>
      <w:r w:rsidRPr="00A52585">
        <w:rPr>
          <w:rtl/>
        </w:rPr>
        <w:t xml:space="preserve"> لا </w:t>
      </w:r>
      <w:proofErr w:type="spellStart"/>
      <w:r w:rsidRPr="00A52585">
        <w:rPr>
          <w:rtl/>
        </w:rPr>
        <w:t>نحصار</w:t>
      </w:r>
      <w:proofErr w:type="spellEnd"/>
      <w:r w:rsidRPr="00A52585">
        <w:rPr>
          <w:rtl/>
        </w:rPr>
        <w:t xml:space="preserve"> مدركنا في محيط من العالم الحسى بجعانا لا نستطيع أن ننفذ </w:t>
      </w:r>
      <w:proofErr w:type="spellStart"/>
      <w:r w:rsidRPr="00A52585">
        <w:rPr>
          <w:rtl/>
        </w:rPr>
        <w:t>يأنظارنا</w:t>
      </w:r>
      <w:proofErr w:type="spellEnd"/>
      <w:r w:rsidRPr="00A52585">
        <w:rPr>
          <w:rtl/>
        </w:rPr>
        <w:t xml:space="preserve"> </w:t>
      </w:r>
      <w:proofErr w:type="spellStart"/>
      <w:r w:rsidRPr="00A52585">
        <w:rPr>
          <w:rtl/>
        </w:rPr>
        <w:t>الكليةن</w:t>
      </w:r>
      <w:proofErr w:type="spellEnd"/>
      <w:r w:rsidRPr="00A52585">
        <w:rPr>
          <w:rtl/>
        </w:rPr>
        <w:t xml:space="preserve"> وعقولنا المحدودة إلى ما وراء حجب الغيب المحيطة بجلال قدسية الذات الأقداس</w:t>
      </w:r>
      <w:r w:rsidR="00DB731D" w:rsidRPr="00A52585">
        <w:rPr>
          <w:rtl/>
        </w:rPr>
        <w:t>،</w:t>
      </w:r>
      <w:r w:rsidRPr="00A52585">
        <w:rPr>
          <w:rtl/>
        </w:rPr>
        <w:t xml:space="preserve"> تقدست أسماؤه</w:t>
      </w:r>
      <w:r w:rsidR="00DB731D" w:rsidRPr="00A52585">
        <w:rPr>
          <w:rtl/>
        </w:rPr>
        <w:t>،</w:t>
      </w:r>
      <w:r w:rsidRPr="00A52585">
        <w:rPr>
          <w:rFonts w:hint="cs"/>
          <w:rtl/>
        </w:rPr>
        <w:t xml:space="preserve"> </w:t>
      </w:r>
      <w:r w:rsidRPr="00A52585">
        <w:rPr>
          <w:rtl/>
        </w:rPr>
        <w:t>وتعالت صفاته</w:t>
      </w:r>
      <w:r w:rsidR="00DB731D" w:rsidRPr="00A52585">
        <w:rPr>
          <w:rFonts w:hint="cs"/>
          <w:rtl/>
        </w:rPr>
        <w:t>،</w:t>
      </w:r>
      <w:r w:rsidR="0002035C" w:rsidRPr="00A52585">
        <w:rPr>
          <w:rFonts w:hint="cs"/>
          <w:rtl/>
        </w:rPr>
        <w:t xml:space="preserve"> </w:t>
      </w:r>
      <w:r w:rsidRPr="00A52585">
        <w:rPr>
          <w:rtl/>
        </w:rPr>
        <w:t xml:space="preserve">وهناك أحاديث كثيرة دلت على استحالة معرفة ذاته تعالى بالكنه منها قولة عليه الصلاة </w:t>
      </w:r>
      <w:proofErr w:type="spellStart"/>
      <w:r w:rsidRPr="00A52585">
        <w:rPr>
          <w:rtl/>
        </w:rPr>
        <w:t>والسلام</w:t>
      </w:r>
      <w:r w:rsidR="0002035C" w:rsidRPr="00A52585">
        <w:rPr>
          <w:rtl/>
        </w:rPr>
        <w:t>:</w:t>
      </w:r>
      <w:r w:rsidRPr="00A52585">
        <w:rPr>
          <w:rtl/>
        </w:rPr>
        <w:t>"سبحانك</w:t>
      </w:r>
      <w:proofErr w:type="spellEnd"/>
      <w:r w:rsidRPr="00A52585">
        <w:rPr>
          <w:rtl/>
        </w:rPr>
        <w:t xml:space="preserve"> ما عرفناك حق معرفتك "</w:t>
      </w:r>
      <w:r w:rsidR="00DB731D" w:rsidRPr="00A52585">
        <w:rPr>
          <w:rFonts w:hint="cs"/>
          <w:rtl/>
        </w:rPr>
        <w:t>،</w:t>
      </w:r>
      <w:r w:rsidRPr="00A52585">
        <w:rPr>
          <w:rFonts w:hint="cs"/>
          <w:rtl/>
        </w:rPr>
        <w:t xml:space="preserve"> </w:t>
      </w:r>
      <w:r w:rsidRPr="00A52585">
        <w:rPr>
          <w:rtl/>
        </w:rPr>
        <w:t>وقوله: " تفكروا في خلق الله ولا تفكروا في الله فتهلكوا "</w:t>
      </w:r>
      <w:r w:rsidR="00DB731D" w:rsidRPr="00A52585">
        <w:rPr>
          <w:rFonts w:hint="cs"/>
          <w:rtl/>
        </w:rPr>
        <w:t>،</w:t>
      </w:r>
      <w:r w:rsidR="0002035C" w:rsidRPr="00A52585">
        <w:rPr>
          <w:rFonts w:hint="cs"/>
          <w:rtl/>
        </w:rPr>
        <w:t xml:space="preserve"> </w:t>
      </w:r>
      <w:r w:rsidRPr="00A52585">
        <w:rPr>
          <w:rtl/>
        </w:rPr>
        <w:t xml:space="preserve">وقوله فيما أخرجه </w:t>
      </w:r>
      <w:proofErr w:type="spellStart"/>
      <w:r w:rsidRPr="00A52585">
        <w:rPr>
          <w:rtl/>
        </w:rPr>
        <w:t>أبوالشيخ</w:t>
      </w:r>
      <w:proofErr w:type="spellEnd"/>
      <w:r w:rsidRPr="00A52585">
        <w:rPr>
          <w:rtl/>
        </w:rPr>
        <w:t xml:space="preserve"> عن ابن عباس مرفوعا</w:t>
      </w:r>
      <w:r w:rsidR="0002035C" w:rsidRPr="00A52585">
        <w:rPr>
          <w:rtl/>
        </w:rPr>
        <w:t>:</w:t>
      </w:r>
      <w:r w:rsidRPr="00A52585">
        <w:rPr>
          <w:rtl/>
        </w:rPr>
        <w:t>" تفكروا في الخلق ولا تفكروا في الخالق فإنكم لا تقدرونه قدره"</w:t>
      </w:r>
      <w:r w:rsidR="00DB731D" w:rsidRPr="00A52585">
        <w:rPr>
          <w:rFonts w:hint="cs"/>
          <w:rtl/>
        </w:rPr>
        <w:t>،</w:t>
      </w:r>
      <w:r w:rsidR="0002035C" w:rsidRPr="00A52585">
        <w:rPr>
          <w:rFonts w:hint="cs"/>
          <w:rtl/>
        </w:rPr>
        <w:t xml:space="preserve"> </w:t>
      </w:r>
      <w:proofErr w:type="spellStart"/>
      <w:r w:rsidRPr="00A52585">
        <w:rPr>
          <w:rtl/>
        </w:rPr>
        <w:t>وقوله:"تفكروا</w:t>
      </w:r>
      <w:proofErr w:type="spellEnd"/>
      <w:r w:rsidRPr="00A52585">
        <w:rPr>
          <w:rtl/>
        </w:rPr>
        <w:t xml:space="preserve"> في آلاء الله ولا تفكروا في ذاته"</w:t>
      </w:r>
      <w:r w:rsidR="00DB731D" w:rsidRPr="00A52585">
        <w:rPr>
          <w:rFonts w:hint="cs"/>
          <w:rtl/>
        </w:rPr>
        <w:t>،</w:t>
      </w:r>
      <w:r w:rsidR="0002035C" w:rsidRPr="00A52585">
        <w:rPr>
          <w:rFonts w:hint="cs"/>
          <w:rtl/>
        </w:rPr>
        <w:t xml:space="preserve"> </w:t>
      </w:r>
      <w:r w:rsidRPr="00A52585">
        <w:rPr>
          <w:rtl/>
        </w:rPr>
        <w:t>ومن كلام المرتضى رضى الله عنه</w:t>
      </w:r>
      <w:r w:rsidR="00DB731D" w:rsidRPr="00A52585">
        <w:rPr>
          <w:rFonts w:hint="cs"/>
          <w:rtl/>
        </w:rPr>
        <w:t>،</w:t>
      </w:r>
      <w:r w:rsidR="0002035C" w:rsidRPr="00A52585">
        <w:rPr>
          <w:rFonts w:hint="cs"/>
          <w:rtl/>
        </w:rPr>
        <w:t xml:space="preserve"> </w:t>
      </w:r>
      <w:r w:rsidRPr="00A52585">
        <w:rPr>
          <w:rtl/>
        </w:rPr>
        <w:t>العجز عن درك الإدراك إدراك والبحث عن كنه ذات الله إشراك</w:t>
      </w:r>
      <w:r w:rsidRPr="00A52585">
        <w:rPr>
          <w:rtl/>
        </w:rPr>
        <w:br/>
        <w:t xml:space="preserve">والشطر الأول من هذا البيت الفذ تضمين لقول أبى </w:t>
      </w:r>
      <w:r w:rsidRPr="00A52585">
        <w:rPr>
          <w:rtl/>
          <w:lang w:bidi="ar-KW"/>
        </w:rPr>
        <w:t>بكر الصديق رضى الله عنه</w:t>
      </w:r>
      <w:r w:rsidR="0002035C" w:rsidRPr="00A52585">
        <w:rPr>
          <w:rtl/>
          <w:lang w:bidi="ar-KW"/>
        </w:rPr>
        <w:t>:</w:t>
      </w:r>
      <w:r w:rsidRPr="00A52585">
        <w:rPr>
          <w:rtl/>
          <w:lang w:bidi="ar-KW"/>
        </w:rPr>
        <w:t xml:space="preserve"> " العجز عن درك الأدراك إدراك " وإذا كان اكتناه حقيقة الذات </w:t>
      </w:r>
      <w:proofErr w:type="spellStart"/>
      <w:r w:rsidRPr="00A52585">
        <w:rPr>
          <w:rtl/>
          <w:lang w:bidi="ar-KW"/>
        </w:rPr>
        <w:t>إثباتالمتشابه</w:t>
      </w:r>
      <w:proofErr w:type="spellEnd"/>
      <w:r w:rsidRPr="00A52585">
        <w:rPr>
          <w:rtl/>
          <w:lang w:bidi="ar-KW"/>
        </w:rPr>
        <w:t xml:space="preserve"> بوصفه المفهوم من اللفظ عند الإطلاق وكيفيه </w:t>
      </w:r>
      <w:proofErr w:type="spellStart"/>
      <w:r w:rsidRPr="00A52585">
        <w:rPr>
          <w:rtl/>
          <w:lang w:bidi="ar-KW"/>
        </w:rPr>
        <w:t>المجهوله</w:t>
      </w:r>
      <w:proofErr w:type="spellEnd"/>
      <w:r w:rsidRPr="00A52585">
        <w:rPr>
          <w:rtl/>
          <w:lang w:bidi="ar-KW"/>
        </w:rPr>
        <w:t xml:space="preserve"> لنا</w:t>
      </w:r>
      <w:r w:rsidR="00DB731D" w:rsidRPr="00A52585">
        <w:rPr>
          <w:rtl/>
          <w:lang w:bidi="ar-KW"/>
        </w:rPr>
        <w:t>،</w:t>
      </w:r>
      <w:r w:rsidRPr="00A52585">
        <w:rPr>
          <w:rtl/>
          <w:lang w:bidi="ar-KW"/>
        </w:rPr>
        <w:t xml:space="preserve"> ليس في مقدور أحد فضلا عن أنه يفضى إلى إثبات الجهة والمكان والأجزاء </w:t>
      </w:r>
      <w:proofErr w:type="spellStart"/>
      <w:r w:rsidRPr="00A52585">
        <w:rPr>
          <w:rtl/>
          <w:lang w:bidi="ar-KW"/>
        </w:rPr>
        <w:t>والأبعض</w:t>
      </w:r>
      <w:proofErr w:type="spellEnd"/>
      <w:r w:rsidRPr="00A52585">
        <w:rPr>
          <w:rtl/>
        </w:rPr>
        <w:t xml:space="preserve"> لله تعالى كان المذهب الحق في المتشابه أحد وجهين</w:t>
      </w:r>
      <w:r w:rsidR="0002035C" w:rsidRPr="00A52585">
        <w:rPr>
          <w:rtl/>
        </w:rPr>
        <w:t>:</w:t>
      </w:r>
      <w:r w:rsidRPr="00A52585">
        <w:rPr>
          <w:rFonts w:hint="cs"/>
          <w:rtl/>
        </w:rPr>
        <w:t xml:space="preserve"> </w:t>
      </w:r>
      <w:r w:rsidRPr="00A52585">
        <w:rPr>
          <w:rtl/>
        </w:rPr>
        <w:t>إما الإيمان بأصلها الثابت في الكتاب والسنة مع تفوض علم المراد منها إلى علام الغيوب بدون تحديد وتعريف، وتوصيف وتكييف وهذا هم مذهب السلف</w:t>
      </w:r>
      <w:r w:rsidR="00DB731D" w:rsidRPr="00A52585">
        <w:rPr>
          <w:rtl/>
        </w:rPr>
        <w:t>،</w:t>
      </w:r>
      <w:r w:rsidR="0002035C" w:rsidRPr="00A52585">
        <w:rPr>
          <w:rFonts w:hint="cs"/>
          <w:rtl/>
        </w:rPr>
        <w:t xml:space="preserve"> </w:t>
      </w:r>
      <w:r w:rsidRPr="00A52585">
        <w:rPr>
          <w:rtl/>
        </w:rPr>
        <w:t xml:space="preserve">وإما الإيمان بالأصل الوارد وصرفه عن معناه الظاهر بضرب من التأويل لا </w:t>
      </w:r>
      <w:proofErr w:type="spellStart"/>
      <w:r w:rsidRPr="00A52585">
        <w:rPr>
          <w:rtl/>
        </w:rPr>
        <w:t>تأباه</w:t>
      </w:r>
      <w:proofErr w:type="spellEnd"/>
      <w:r w:rsidRPr="00A52585">
        <w:rPr>
          <w:rtl/>
        </w:rPr>
        <w:t xml:space="preserve"> العربية</w:t>
      </w:r>
      <w:r w:rsidR="00DB731D" w:rsidRPr="00A52585">
        <w:rPr>
          <w:rtl/>
        </w:rPr>
        <w:t>،</w:t>
      </w:r>
      <w:r w:rsidRPr="00A52585">
        <w:rPr>
          <w:rtl/>
        </w:rPr>
        <w:t xml:space="preserve"> ولا يخرج عن قانون اللغة التي نزل بها القرآن</w:t>
      </w:r>
      <w:r w:rsidR="00DB731D" w:rsidRPr="00A52585">
        <w:rPr>
          <w:rtl/>
        </w:rPr>
        <w:t>،</w:t>
      </w:r>
      <w:r w:rsidRPr="00A52585">
        <w:rPr>
          <w:rtl/>
        </w:rPr>
        <w:t xml:space="preserve"> وهذا هو مذهب الخلف</w:t>
      </w:r>
      <w:r w:rsidR="00DB731D" w:rsidRPr="00A52585">
        <w:rPr>
          <w:rtl/>
        </w:rPr>
        <w:t>،</w:t>
      </w:r>
      <w:r w:rsidRPr="00A52585">
        <w:rPr>
          <w:rFonts w:hint="cs"/>
          <w:rtl/>
        </w:rPr>
        <w:t xml:space="preserve"> </w:t>
      </w:r>
      <w:r w:rsidRPr="00A52585">
        <w:rPr>
          <w:rtl/>
        </w:rPr>
        <w:t xml:space="preserve">وقد أشار فضيلة </w:t>
      </w:r>
      <w:proofErr w:type="spellStart"/>
      <w:r w:rsidRPr="00A52585">
        <w:rPr>
          <w:rtl/>
        </w:rPr>
        <w:t>المفتى</w:t>
      </w:r>
      <w:proofErr w:type="spellEnd"/>
      <w:r w:rsidRPr="00A52585">
        <w:rPr>
          <w:rtl/>
        </w:rPr>
        <w:t xml:space="preserve"> الأكبر في حديث له مع الأستاذ </w:t>
      </w:r>
      <w:proofErr w:type="spellStart"/>
      <w:r w:rsidRPr="00A52585">
        <w:rPr>
          <w:rtl/>
        </w:rPr>
        <w:t>الههياوى</w:t>
      </w:r>
      <w:proofErr w:type="spellEnd"/>
      <w:r w:rsidRPr="00A52585">
        <w:rPr>
          <w:rtl/>
        </w:rPr>
        <w:t xml:space="preserve"> صاحب جريدة المنبر إلى المذهب الحق في المتشابه</w:t>
      </w:r>
      <w:r w:rsidR="00DB731D" w:rsidRPr="00A52585">
        <w:rPr>
          <w:rtl/>
        </w:rPr>
        <w:t>،</w:t>
      </w:r>
      <w:r w:rsidRPr="00A52585">
        <w:rPr>
          <w:rtl/>
        </w:rPr>
        <w:t xml:space="preserve"> قال</w:t>
      </w:r>
      <w:r w:rsidR="0002035C" w:rsidRPr="00A52585">
        <w:rPr>
          <w:rFonts w:hint="cs"/>
          <w:rtl/>
        </w:rPr>
        <w:t>:</w:t>
      </w:r>
      <w:r w:rsidRPr="00A52585">
        <w:rPr>
          <w:rtl/>
        </w:rPr>
        <w:t xml:space="preserve"> فكان الذى سمعته من فضيلته تقرير مذهب السلف " إرجاع الأمر بالمتشابهات إلى علم الله تعالى مع التنزيه المطلق</w:t>
      </w:r>
      <w:r w:rsidR="00DB731D" w:rsidRPr="00A52585">
        <w:rPr>
          <w:rtl/>
        </w:rPr>
        <w:t>،</w:t>
      </w:r>
      <w:r w:rsidRPr="00A52585">
        <w:rPr>
          <w:rtl/>
        </w:rPr>
        <w:t xml:space="preserve"> ومع الإيمان بانتقاء كل مماثلة للحوادث</w:t>
      </w:r>
      <w:r w:rsidR="00DB731D" w:rsidRPr="00A52585">
        <w:rPr>
          <w:rtl/>
        </w:rPr>
        <w:t>،</w:t>
      </w:r>
      <w:r w:rsidRPr="00A52585">
        <w:rPr>
          <w:rtl/>
        </w:rPr>
        <w:t xml:space="preserve"> وأن ما عدا ذلك ليس من الدين في </w:t>
      </w:r>
      <w:proofErr w:type="spellStart"/>
      <w:r w:rsidRPr="00A52585">
        <w:rPr>
          <w:rtl/>
        </w:rPr>
        <w:t>شئ</w:t>
      </w:r>
      <w:proofErr w:type="spellEnd"/>
      <w:r w:rsidRPr="00A52585">
        <w:rPr>
          <w:rtl/>
        </w:rPr>
        <w:t xml:space="preserve"> "</w:t>
      </w:r>
      <w:r w:rsidR="00DB731D" w:rsidRPr="00A52585">
        <w:rPr>
          <w:rFonts w:hint="cs"/>
          <w:rtl/>
        </w:rPr>
        <w:t>،</w:t>
      </w:r>
      <w:r w:rsidR="0002035C" w:rsidRPr="00A52585">
        <w:rPr>
          <w:rFonts w:hint="cs"/>
          <w:rtl/>
        </w:rPr>
        <w:t xml:space="preserve"> </w:t>
      </w:r>
      <w:r w:rsidRPr="00A52585">
        <w:rPr>
          <w:rtl/>
        </w:rPr>
        <w:t>وسنرى أن ابن خزيمة في كتاب " التوحيد " بناء على أصله من عدم صرف الظواهر عن معناها</w:t>
      </w:r>
      <w:r w:rsidR="00DB731D" w:rsidRPr="00A52585">
        <w:rPr>
          <w:rtl/>
        </w:rPr>
        <w:t>،</w:t>
      </w:r>
      <w:r w:rsidRPr="00A52585">
        <w:rPr>
          <w:rtl/>
        </w:rPr>
        <w:t xml:space="preserve"> ولو</w:t>
      </w:r>
      <w:r w:rsidRPr="00A52585">
        <w:rPr>
          <w:rFonts w:hint="cs"/>
          <w:rtl/>
        </w:rPr>
        <w:t xml:space="preserve"> </w:t>
      </w:r>
      <w:r w:rsidRPr="00A52585">
        <w:rPr>
          <w:rtl/>
        </w:rPr>
        <w:t>أدى ذلك إلى مماثلة ذات الله تعالى للحوادث سيخرج عن المذهبين جميعا</w:t>
      </w:r>
      <w:r w:rsidR="0002035C" w:rsidRPr="00A52585">
        <w:rPr>
          <w:rtl/>
        </w:rPr>
        <w:t>:</w:t>
      </w:r>
      <w:r w:rsidRPr="00A52585">
        <w:rPr>
          <w:rtl/>
        </w:rPr>
        <w:t xml:space="preserve"> مذهب السلف</w:t>
      </w:r>
      <w:r w:rsidR="00DB731D" w:rsidRPr="00A52585">
        <w:rPr>
          <w:rtl/>
        </w:rPr>
        <w:t>،</w:t>
      </w:r>
      <w:r w:rsidRPr="00A52585">
        <w:rPr>
          <w:rtl/>
        </w:rPr>
        <w:t xml:space="preserve"> ومذهب </w:t>
      </w:r>
      <w:r w:rsidRPr="00A52585">
        <w:rPr>
          <w:rtl/>
        </w:rPr>
        <w:lastRenderedPageBreak/>
        <w:t>الخلف</w:t>
      </w:r>
      <w:r w:rsidR="00DB731D" w:rsidRPr="00A52585">
        <w:rPr>
          <w:rFonts w:hint="cs"/>
          <w:rtl/>
        </w:rPr>
        <w:t>،</w:t>
      </w:r>
      <w:r w:rsidRPr="00A52585">
        <w:rPr>
          <w:rFonts w:hint="cs"/>
          <w:rtl/>
        </w:rPr>
        <w:t xml:space="preserve"> </w:t>
      </w:r>
      <w:r w:rsidRPr="00A52585">
        <w:rPr>
          <w:rtl/>
        </w:rPr>
        <w:t xml:space="preserve">ثم إن تأويل بعض </w:t>
      </w:r>
      <w:proofErr w:type="spellStart"/>
      <w:r w:rsidRPr="00A52585">
        <w:rPr>
          <w:rtl/>
        </w:rPr>
        <w:t>المتشابهات</w:t>
      </w:r>
      <w:r w:rsidR="00DB731D" w:rsidRPr="00A52585">
        <w:rPr>
          <w:rtl/>
        </w:rPr>
        <w:t>،</w:t>
      </w:r>
      <w:r w:rsidRPr="00A52585">
        <w:rPr>
          <w:rtl/>
        </w:rPr>
        <w:t>وصرف</w:t>
      </w:r>
      <w:proofErr w:type="spellEnd"/>
      <w:r w:rsidRPr="00A52585">
        <w:rPr>
          <w:rtl/>
        </w:rPr>
        <w:t xml:space="preserve"> بعض الظواهر عن معناها </w:t>
      </w:r>
      <w:proofErr w:type="spellStart"/>
      <w:r w:rsidRPr="00A52585">
        <w:rPr>
          <w:rtl/>
        </w:rPr>
        <w:t>أمرلا</w:t>
      </w:r>
      <w:proofErr w:type="spellEnd"/>
      <w:r w:rsidRPr="00A52585">
        <w:rPr>
          <w:rtl/>
        </w:rPr>
        <w:t xml:space="preserve"> بد </w:t>
      </w:r>
      <w:proofErr w:type="spellStart"/>
      <w:r w:rsidRPr="00A52585">
        <w:rPr>
          <w:rtl/>
        </w:rPr>
        <w:t>منه</w:t>
      </w:r>
      <w:r w:rsidR="00DB731D" w:rsidRPr="00A52585">
        <w:rPr>
          <w:rtl/>
        </w:rPr>
        <w:t>،</w:t>
      </w:r>
      <w:r w:rsidRPr="00A52585">
        <w:rPr>
          <w:rtl/>
        </w:rPr>
        <w:t>وبيان</w:t>
      </w:r>
      <w:proofErr w:type="spellEnd"/>
      <w:r w:rsidRPr="00A52585">
        <w:rPr>
          <w:rtl/>
        </w:rPr>
        <w:t xml:space="preserve"> على ذلك على ما ذهب إليه الإمام فخر الإسلام</w:t>
      </w:r>
      <w:r w:rsidR="0002035C" w:rsidRPr="00A52585">
        <w:rPr>
          <w:rtl/>
        </w:rPr>
        <w:t>:</w:t>
      </w:r>
      <w:r w:rsidRPr="00A52585">
        <w:rPr>
          <w:rtl/>
        </w:rPr>
        <w:t xml:space="preserve"> </w:t>
      </w:r>
      <w:proofErr w:type="spellStart"/>
      <w:r w:rsidRPr="00A52585">
        <w:rPr>
          <w:rtl/>
        </w:rPr>
        <w:t>أ،ه</w:t>
      </w:r>
      <w:proofErr w:type="spellEnd"/>
      <w:r w:rsidRPr="00A52585">
        <w:rPr>
          <w:rtl/>
        </w:rPr>
        <w:t xml:space="preserve"> ورد في القرآن ذكر الوجه والعين والجنب الواحد </w:t>
      </w:r>
      <w:proofErr w:type="spellStart"/>
      <w:r w:rsidRPr="00A52585">
        <w:rPr>
          <w:rtl/>
        </w:rPr>
        <w:t>والأيدى</w:t>
      </w:r>
      <w:proofErr w:type="spellEnd"/>
      <w:r w:rsidRPr="00A52585">
        <w:rPr>
          <w:rtl/>
        </w:rPr>
        <w:t xml:space="preserve"> </w:t>
      </w:r>
      <w:proofErr w:type="spellStart"/>
      <w:r w:rsidRPr="00A52585">
        <w:rPr>
          <w:rtl/>
        </w:rPr>
        <w:t>ةالساق</w:t>
      </w:r>
      <w:proofErr w:type="spellEnd"/>
      <w:r w:rsidRPr="00A52585">
        <w:rPr>
          <w:rtl/>
        </w:rPr>
        <w:t xml:space="preserve"> الواحدة</w:t>
      </w:r>
      <w:r w:rsidR="00DB731D" w:rsidRPr="00A52585">
        <w:rPr>
          <w:rtl/>
        </w:rPr>
        <w:t>،</w:t>
      </w:r>
      <w:r w:rsidRPr="00A52585">
        <w:rPr>
          <w:rtl/>
        </w:rPr>
        <w:t xml:space="preserve"> </w:t>
      </w:r>
      <w:proofErr w:type="spellStart"/>
      <w:r w:rsidRPr="00A52585">
        <w:rPr>
          <w:rtl/>
        </w:rPr>
        <w:t>فلوأخذنا</w:t>
      </w:r>
      <w:proofErr w:type="spellEnd"/>
      <w:r w:rsidRPr="00A52585">
        <w:rPr>
          <w:rtl/>
        </w:rPr>
        <w:t xml:space="preserve"> </w:t>
      </w:r>
      <w:proofErr w:type="spellStart"/>
      <w:r w:rsidRPr="00A52585">
        <w:rPr>
          <w:rtl/>
        </w:rPr>
        <w:t>بظاه</w:t>
      </w:r>
      <w:proofErr w:type="spellEnd"/>
      <w:r w:rsidRPr="00A52585">
        <w:rPr>
          <w:rtl/>
        </w:rPr>
        <w:t xml:space="preserve"> هذه النصوص للزم إثبات إله له وجه وعلى ذلك الوجه عدة أعين</w:t>
      </w:r>
      <w:r w:rsidR="00DB731D" w:rsidRPr="00A52585">
        <w:rPr>
          <w:rtl/>
        </w:rPr>
        <w:t>،</w:t>
      </w:r>
      <w:r w:rsidRPr="00A52585">
        <w:rPr>
          <w:rtl/>
        </w:rPr>
        <w:t xml:space="preserve"> وله جنب واحد</w:t>
      </w:r>
      <w:r w:rsidR="00DB731D" w:rsidRPr="00A52585">
        <w:rPr>
          <w:rtl/>
        </w:rPr>
        <w:t>،</w:t>
      </w:r>
      <w:r w:rsidRPr="00A52585">
        <w:rPr>
          <w:rtl/>
        </w:rPr>
        <w:t xml:space="preserve"> وعليه أيد كثيرة كل يد منها يمين</w:t>
      </w:r>
      <w:r w:rsidR="00DB731D" w:rsidRPr="00A52585">
        <w:rPr>
          <w:rtl/>
        </w:rPr>
        <w:t>،</w:t>
      </w:r>
      <w:r w:rsidRPr="00A52585">
        <w:rPr>
          <w:rtl/>
        </w:rPr>
        <w:t xml:space="preserve"> وله ساق واحدة</w:t>
      </w:r>
      <w:r w:rsidR="00DB731D" w:rsidRPr="00A52585">
        <w:rPr>
          <w:rtl/>
        </w:rPr>
        <w:t>،</w:t>
      </w:r>
      <w:r w:rsidRPr="00A52585">
        <w:rPr>
          <w:rtl/>
        </w:rPr>
        <w:t xml:space="preserve"> ولا نرى صورة اقبح من هذه الصورة </w:t>
      </w:r>
      <w:proofErr w:type="spellStart"/>
      <w:r w:rsidRPr="00A52585">
        <w:rPr>
          <w:rtl/>
        </w:rPr>
        <w:t>تامتخيلة</w:t>
      </w:r>
      <w:proofErr w:type="spellEnd"/>
      <w:r w:rsidR="00DB731D" w:rsidRPr="00A52585">
        <w:rPr>
          <w:rtl/>
        </w:rPr>
        <w:t>،</w:t>
      </w:r>
      <w:r w:rsidRPr="00A52585">
        <w:rPr>
          <w:rtl/>
        </w:rPr>
        <w:t xml:space="preserve"> ولا يرضى عاقل أن يصف ربه بهذه الصفة المشوهة</w:t>
      </w:r>
      <w:r w:rsidR="00DB731D" w:rsidRPr="00A52585">
        <w:rPr>
          <w:rFonts w:hint="cs"/>
          <w:rtl/>
        </w:rPr>
        <w:t>،</w:t>
      </w:r>
      <w:r w:rsidR="0002035C" w:rsidRPr="00A52585">
        <w:rPr>
          <w:rFonts w:hint="cs"/>
          <w:rtl/>
        </w:rPr>
        <w:t xml:space="preserve"> </w:t>
      </w:r>
      <w:r w:rsidRPr="00A52585">
        <w:rPr>
          <w:rtl/>
        </w:rPr>
        <w:t>وأنه ورد أيضا قوله تعالى</w:t>
      </w:r>
      <w:r w:rsidR="0002035C" w:rsidRPr="00A52585">
        <w:rPr>
          <w:rtl/>
        </w:rPr>
        <w:t>:</w:t>
      </w:r>
      <w:r w:rsidRPr="00A52585">
        <w:rPr>
          <w:rtl/>
        </w:rPr>
        <w:t xml:space="preserve"> " الله نور السموات والارض " ومعلوم بالبداهة أن إله العالم ليس هو هذا </w:t>
      </w:r>
      <w:proofErr w:type="spellStart"/>
      <w:r w:rsidRPr="00A52585">
        <w:rPr>
          <w:rtl/>
        </w:rPr>
        <w:t>الشئ</w:t>
      </w:r>
      <w:proofErr w:type="spellEnd"/>
      <w:r w:rsidRPr="00A52585">
        <w:rPr>
          <w:rtl/>
        </w:rPr>
        <w:t xml:space="preserve"> المنبسط على الجدران </w:t>
      </w:r>
      <w:proofErr w:type="spellStart"/>
      <w:r w:rsidRPr="00A52585">
        <w:rPr>
          <w:rtl/>
        </w:rPr>
        <w:t>والحيطان</w:t>
      </w:r>
      <w:r w:rsidR="00DB731D" w:rsidRPr="00A52585">
        <w:rPr>
          <w:rtl/>
        </w:rPr>
        <w:t>،</w:t>
      </w:r>
      <w:r w:rsidRPr="00A52585">
        <w:rPr>
          <w:rtl/>
        </w:rPr>
        <w:t>وليس</w:t>
      </w:r>
      <w:proofErr w:type="spellEnd"/>
      <w:r w:rsidRPr="00A52585">
        <w:rPr>
          <w:rtl/>
        </w:rPr>
        <w:t xml:space="preserve"> هو النور المنبعث عن جرم الشمس والقمر والكواكب والنيران</w:t>
      </w:r>
      <w:r w:rsidR="00DB731D" w:rsidRPr="00A52585">
        <w:rPr>
          <w:rtl/>
        </w:rPr>
        <w:t>،</w:t>
      </w:r>
      <w:r w:rsidRPr="00A52585">
        <w:rPr>
          <w:rtl/>
        </w:rPr>
        <w:t xml:space="preserve"> </w:t>
      </w:r>
      <w:proofErr w:type="spellStart"/>
      <w:r w:rsidRPr="00A52585">
        <w:rPr>
          <w:rtl/>
        </w:rPr>
        <w:t>وإذان</w:t>
      </w:r>
      <w:proofErr w:type="spellEnd"/>
      <w:r w:rsidRPr="00A52585">
        <w:rPr>
          <w:rtl/>
        </w:rPr>
        <w:t xml:space="preserve"> فلا يمكن إرادة لامعنى الظاهر من لفظ المتشابه</w:t>
      </w:r>
      <w:r w:rsidR="00DB731D" w:rsidRPr="00A52585">
        <w:rPr>
          <w:rtl/>
        </w:rPr>
        <w:t>،</w:t>
      </w:r>
      <w:r w:rsidRPr="00A52585">
        <w:rPr>
          <w:rtl/>
        </w:rPr>
        <w:t xml:space="preserve"> ولا بد من صرف اللفظ المتشابه إلى معنى آخر بأن يقال</w:t>
      </w:r>
      <w:r w:rsidR="0002035C" w:rsidRPr="00A52585">
        <w:rPr>
          <w:rtl/>
        </w:rPr>
        <w:t>:</w:t>
      </w:r>
      <w:r w:rsidRPr="00A52585">
        <w:rPr>
          <w:rtl/>
        </w:rPr>
        <w:t xml:space="preserve"> الله منور السموات </w:t>
      </w:r>
      <w:proofErr w:type="spellStart"/>
      <w:r w:rsidRPr="00A52585">
        <w:rPr>
          <w:rtl/>
        </w:rPr>
        <w:t>ةالأرض</w:t>
      </w:r>
      <w:proofErr w:type="spellEnd"/>
      <w:r w:rsidRPr="00A52585">
        <w:rPr>
          <w:rtl/>
        </w:rPr>
        <w:t xml:space="preserve"> </w:t>
      </w:r>
      <w:proofErr w:type="spellStart"/>
      <w:r w:rsidRPr="00A52585">
        <w:rPr>
          <w:rtl/>
        </w:rPr>
        <w:t>أوالهادى</w:t>
      </w:r>
      <w:proofErr w:type="spellEnd"/>
      <w:r w:rsidRPr="00A52585">
        <w:rPr>
          <w:rtl/>
        </w:rPr>
        <w:t xml:space="preserve"> بجميع أنواع الهدايات لأهل السموات والأرض</w:t>
      </w:r>
      <w:r w:rsidR="00DB731D" w:rsidRPr="00A52585">
        <w:rPr>
          <w:rFonts w:hint="cs"/>
          <w:rtl/>
        </w:rPr>
        <w:t>،</w:t>
      </w:r>
      <w:r w:rsidR="0002035C" w:rsidRPr="00A52585">
        <w:rPr>
          <w:rFonts w:hint="cs"/>
          <w:rtl/>
        </w:rPr>
        <w:t xml:space="preserve"> </w:t>
      </w:r>
      <w:r w:rsidRPr="00A52585">
        <w:rPr>
          <w:rtl/>
        </w:rPr>
        <w:t>وكذلك لا بد من التأويل في مثل قوله تعالى</w:t>
      </w:r>
      <w:r w:rsidR="0002035C" w:rsidRPr="00A52585">
        <w:rPr>
          <w:rtl/>
        </w:rPr>
        <w:t>:</w:t>
      </w:r>
      <w:r w:rsidRPr="00A52585">
        <w:rPr>
          <w:rtl/>
        </w:rPr>
        <w:t xml:space="preserve"> " من ذا الذى يقرض الله قرضا حسنا " وقوله</w:t>
      </w:r>
      <w:r w:rsidR="0002035C" w:rsidRPr="00A52585">
        <w:rPr>
          <w:rtl/>
        </w:rPr>
        <w:t>:</w:t>
      </w:r>
      <w:r w:rsidRPr="00A52585">
        <w:rPr>
          <w:rtl/>
        </w:rPr>
        <w:t>" فأتى الله بنينهم من القواعد " وقوله لموسى وهارون ك</w:t>
      </w:r>
      <w:r w:rsidRPr="00A52585">
        <w:rPr>
          <w:rtl/>
          <w:lang w:bidi="ar-KW"/>
        </w:rPr>
        <w:t xml:space="preserve">" </w:t>
      </w:r>
      <w:proofErr w:type="spellStart"/>
      <w:r w:rsidRPr="00A52585">
        <w:rPr>
          <w:rtl/>
          <w:lang w:bidi="ar-KW"/>
        </w:rPr>
        <w:t>اننى</w:t>
      </w:r>
      <w:proofErr w:type="spellEnd"/>
      <w:r w:rsidRPr="00A52585">
        <w:rPr>
          <w:rtl/>
          <w:lang w:bidi="ar-KW"/>
        </w:rPr>
        <w:t xml:space="preserve"> معكما اسمع وأرى " فإن المعية هنا معية المعونة والحفظ والعلم والرحمة</w:t>
      </w:r>
      <w:r w:rsidR="00DB731D" w:rsidRPr="00A52585">
        <w:rPr>
          <w:rFonts w:hint="cs"/>
          <w:rtl/>
          <w:lang w:bidi="ar-KW"/>
        </w:rPr>
        <w:t>،</w:t>
      </w:r>
      <w:r w:rsidRPr="00A52585">
        <w:rPr>
          <w:rFonts w:hint="cs"/>
          <w:rtl/>
          <w:lang w:bidi="ar-KW"/>
        </w:rPr>
        <w:t xml:space="preserve"> </w:t>
      </w:r>
      <w:r w:rsidRPr="00A52585">
        <w:rPr>
          <w:rtl/>
          <w:lang w:bidi="ar-KW"/>
        </w:rPr>
        <w:t>وكذلك لا بد من التأويل في مثل قوله عليه السلام</w:t>
      </w:r>
      <w:r w:rsidR="0002035C" w:rsidRPr="00A52585">
        <w:rPr>
          <w:rtl/>
          <w:lang w:bidi="ar-KW"/>
        </w:rPr>
        <w:t>:</w:t>
      </w:r>
      <w:r w:rsidRPr="00A52585">
        <w:rPr>
          <w:rtl/>
          <w:lang w:bidi="ar-KW"/>
        </w:rPr>
        <w:t xml:space="preserve"> " الحجر الأسود يمين الله " وقوله حكاية عن ربه</w:t>
      </w:r>
      <w:r w:rsidR="0002035C" w:rsidRPr="00A52585">
        <w:rPr>
          <w:rtl/>
          <w:lang w:bidi="ar-KW"/>
        </w:rPr>
        <w:t>:</w:t>
      </w:r>
      <w:r w:rsidRPr="00A52585">
        <w:rPr>
          <w:rtl/>
          <w:lang w:bidi="ar-KW"/>
        </w:rPr>
        <w:t xml:space="preserve"> " من</w:t>
      </w:r>
      <w:r w:rsidR="0002035C" w:rsidRPr="00A52585">
        <w:rPr>
          <w:rtl/>
          <w:lang w:bidi="ar-KW"/>
        </w:rPr>
        <w:t xml:space="preserve"> </w:t>
      </w:r>
      <w:proofErr w:type="spellStart"/>
      <w:r w:rsidRPr="00A52585">
        <w:rPr>
          <w:rtl/>
          <w:lang w:bidi="ar-KW"/>
        </w:rPr>
        <w:t>أتانى</w:t>
      </w:r>
      <w:proofErr w:type="spellEnd"/>
      <w:r w:rsidRPr="00A52585">
        <w:rPr>
          <w:rtl/>
          <w:lang w:bidi="ar-KW"/>
        </w:rPr>
        <w:t xml:space="preserve"> يمشى اتيته هرولة " فإن المراد منه التمثيل والتصوير لا </w:t>
      </w:r>
      <w:proofErr w:type="spellStart"/>
      <w:r w:rsidRPr="00A52585">
        <w:rPr>
          <w:rtl/>
          <w:lang w:bidi="ar-KW"/>
        </w:rPr>
        <w:t>المشى</w:t>
      </w:r>
      <w:proofErr w:type="spellEnd"/>
      <w:r w:rsidRPr="00A52585">
        <w:rPr>
          <w:rtl/>
          <w:lang w:bidi="ar-KW"/>
        </w:rPr>
        <w:t xml:space="preserve"> </w:t>
      </w:r>
      <w:proofErr w:type="spellStart"/>
      <w:r w:rsidRPr="00A52585">
        <w:rPr>
          <w:rtl/>
          <w:lang w:bidi="ar-KW"/>
        </w:rPr>
        <w:t>الحقيقى</w:t>
      </w:r>
      <w:proofErr w:type="spellEnd"/>
      <w:r w:rsidRPr="00A52585">
        <w:rPr>
          <w:rtl/>
          <w:lang w:bidi="ar-KW"/>
        </w:rPr>
        <w:t xml:space="preserve"> والهرولة الحقيقة</w:t>
      </w:r>
      <w:r w:rsidR="00DB731D" w:rsidRPr="00A52585">
        <w:rPr>
          <w:rtl/>
          <w:lang w:bidi="ar-KW"/>
        </w:rPr>
        <w:t>،</w:t>
      </w:r>
      <w:r w:rsidRPr="00A52585">
        <w:rPr>
          <w:rFonts w:hint="cs"/>
          <w:rtl/>
          <w:lang w:bidi="ar-KW"/>
        </w:rPr>
        <w:t xml:space="preserve"> </w:t>
      </w:r>
      <w:r w:rsidRPr="00A52585">
        <w:rPr>
          <w:rtl/>
          <w:lang w:bidi="ar-KW"/>
        </w:rPr>
        <w:t>وقوله عليه الصلاة السلام</w:t>
      </w:r>
      <w:r w:rsidR="0002035C" w:rsidRPr="00A52585">
        <w:rPr>
          <w:rtl/>
          <w:lang w:bidi="ar-KW"/>
        </w:rPr>
        <w:t>:</w:t>
      </w:r>
      <w:r w:rsidRPr="00A52585">
        <w:rPr>
          <w:rtl/>
          <w:lang w:bidi="ar-KW"/>
        </w:rPr>
        <w:t xml:space="preserve"> " قلب المؤمن بين أصبعين من أصابع الرحمن وهذا أيضا لا بد فيه من التأويل لأنا نعلم بالضرورة أنه ليس في صدورنا إصبعان بينهما قلوبنا</w:t>
      </w:r>
      <w:r w:rsidR="00DB731D" w:rsidRPr="00A52585">
        <w:rPr>
          <w:rtl/>
          <w:lang w:bidi="ar-KW"/>
        </w:rPr>
        <w:t>،</w:t>
      </w:r>
      <w:r w:rsidRPr="00A52585">
        <w:rPr>
          <w:rFonts w:hint="cs"/>
          <w:rtl/>
          <w:lang w:bidi="ar-KW"/>
        </w:rPr>
        <w:t xml:space="preserve"> </w:t>
      </w:r>
      <w:r w:rsidRPr="00A52585">
        <w:rPr>
          <w:rtl/>
          <w:lang w:bidi="ar-KW"/>
        </w:rPr>
        <w:t>فثبت بهذا ونظائره أنه لا بد من المصير إلى التأويل حتما في كل ما يوهم ظاهره منزه عن الجهة والجسمية</w:t>
      </w:r>
      <w:r w:rsidR="00DB731D" w:rsidRPr="00A52585">
        <w:rPr>
          <w:rtl/>
          <w:lang w:bidi="ar-KW"/>
        </w:rPr>
        <w:t>،</w:t>
      </w:r>
      <w:r w:rsidRPr="00A52585">
        <w:rPr>
          <w:rtl/>
          <w:lang w:bidi="ar-KW"/>
        </w:rPr>
        <w:t xml:space="preserve"> وإذا لم نصر إلى هذه النصوص الواردة إجمالا ونكل تفصيل علم المراد منها إلى علام الغيوب سبحانه وتعالى</w:t>
      </w:r>
      <w:r w:rsidR="00DB731D" w:rsidRPr="00A52585">
        <w:rPr>
          <w:rtl/>
          <w:lang w:bidi="ar-KW"/>
        </w:rPr>
        <w:t>،</w:t>
      </w:r>
      <w:r w:rsidR="0002035C" w:rsidRPr="00A52585">
        <w:rPr>
          <w:rFonts w:hint="cs"/>
          <w:rtl/>
          <w:lang w:bidi="ar-KW"/>
        </w:rPr>
        <w:t xml:space="preserve"> </w:t>
      </w:r>
      <w:r w:rsidRPr="00A52585">
        <w:rPr>
          <w:rtl/>
          <w:lang w:bidi="ar-KW"/>
        </w:rPr>
        <w:t xml:space="preserve">وقد نقل </w:t>
      </w:r>
      <w:proofErr w:type="spellStart"/>
      <w:r w:rsidRPr="00A52585">
        <w:rPr>
          <w:rtl/>
          <w:lang w:bidi="ar-KW"/>
        </w:rPr>
        <w:t>المرجانى</w:t>
      </w:r>
      <w:proofErr w:type="spellEnd"/>
      <w:r w:rsidRPr="00A52585">
        <w:rPr>
          <w:rtl/>
        </w:rPr>
        <w:t xml:space="preserve"> في </w:t>
      </w:r>
      <w:proofErr w:type="spellStart"/>
      <w:r w:rsidRPr="00A52585">
        <w:rPr>
          <w:rtl/>
        </w:rPr>
        <w:t>حاسشته</w:t>
      </w:r>
      <w:proofErr w:type="spellEnd"/>
      <w:r w:rsidRPr="00A52585">
        <w:rPr>
          <w:rtl/>
        </w:rPr>
        <w:t xml:space="preserve"> على شرح جلال الدين </w:t>
      </w:r>
      <w:proofErr w:type="spellStart"/>
      <w:r w:rsidRPr="00A52585">
        <w:rPr>
          <w:rtl/>
        </w:rPr>
        <w:t>الدوانى</w:t>
      </w:r>
      <w:proofErr w:type="spellEnd"/>
      <w:r w:rsidRPr="00A52585">
        <w:rPr>
          <w:rtl/>
        </w:rPr>
        <w:t xml:space="preserve"> أن الإمام </w:t>
      </w:r>
      <w:proofErr w:type="spellStart"/>
      <w:r w:rsidRPr="00A52585">
        <w:rPr>
          <w:rtl/>
        </w:rPr>
        <w:t>الرازى</w:t>
      </w:r>
      <w:proofErr w:type="spellEnd"/>
      <w:r w:rsidRPr="00A52585">
        <w:rPr>
          <w:rtl/>
        </w:rPr>
        <w:t xml:space="preserve"> فخر الإسلام رحمه الله قال: إثبات اليد والوجه حق عندنا</w:t>
      </w:r>
      <w:r w:rsidR="00DB731D" w:rsidRPr="00A52585">
        <w:rPr>
          <w:rtl/>
        </w:rPr>
        <w:t>،</w:t>
      </w:r>
      <w:r w:rsidRPr="00A52585">
        <w:rPr>
          <w:rtl/>
        </w:rPr>
        <w:t xml:space="preserve"> لكنه معلوم بأصله، متشابه بوصفه</w:t>
      </w:r>
      <w:r w:rsidR="00DB731D" w:rsidRPr="00A52585">
        <w:rPr>
          <w:rtl/>
        </w:rPr>
        <w:t>،</w:t>
      </w:r>
      <w:r w:rsidRPr="00A52585">
        <w:rPr>
          <w:rtl/>
        </w:rPr>
        <w:t xml:space="preserve"> ولن يجوز إبطال الأصل بالعجز عن درك الوصف بالكيف</w:t>
      </w:r>
      <w:r w:rsidR="00DB731D" w:rsidRPr="00A52585">
        <w:rPr>
          <w:rtl/>
        </w:rPr>
        <w:t>،</w:t>
      </w:r>
      <w:r w:rsidRPr="00A52585">
        <w:rPr>
          <w:rtl/>
        </w:rPr>
        <w:t xml:space="preserve"> وإنما ضلت المعتزلة، فإنهم ردود الأصول</w:t>
      </w:r>
      <w:r w:rsidR="00DB731D" w:rsidRPr="00A52585">
        <w:rPr>
          <w:rtl/>
        </w:rPr>
        <w:t>،</w:t>
      </w:r>
      <w:r w:rsidRPr="00A52585">
        <w:rPr>
          <w:rtl/>
        </w:rPr>
        <w:t xml:space="preserve"> لجهلهم بالصفات على الوجه المعقول</w:t>
      </w:r>
      <w:r w:rsidR="00DB731D" w:rsidRPr="00A52585">
        <w:rPr>
          <w:rtl/>
        </w:rPr>
        <w:t>،</w:t>
      </w:r>
      <w:r w:rsidRPr="00A52585">
        <w:rPr>
          <w:rtl/>
        </w:rPr>
        <w:t xml:space="preserve"> فصاروا معطلة</w:t>
      </w:r>
      <w:r w:rsidR="00DB731D" w:rsidRPr="00A52585">
        <w:rPr>
          <w:rFonts w:hint="cs"/>
          <w:rtl/>
        </w:rPr>
        <w:t>،</w:t>
      </w:r>
      <w:r w:rsidRPr="00A52585">
        <w:rPr>
          <w:rFonts w:hint="cs"/>
          <w:rtl/>
        </w:rPr>
        <w:t xml:space="preserve"> </w:t>
      </w:r>
      <w:r w:rsidRPr="00A52585">
        <w:rPr>
          <w:rtl/>
        </w:rPr>
        <w:t>ويعلم منه أن إثبات الأسماء والصفات بأصلها الوارد في الكتاب والسنة</w:t>
      </w:r>
      <w:r w:rsidR="00DB731D" w:rsidRPr="00A52585">
        <w:rPr>
          <w:rtl/>
        </w:rPr>
        <w:t>،</w:t>
      </w:r>
      <w:r w:rsidRPr="00A52585">
        <w:rPr>
          <w:rtl/>
        </w:rPr>
        <w:t xml:space="preserve"> وإن عجزنا عن درك وصفها المتشابه</w:t>
      </w:r>
      <w:r w:rsidR="00DB731D" w:rsidRPr="00A52585">
        <w:rPr>
          <w:rtl/>
        </w:rPr>
        <w:t>،</w:t>
      </w:r>
      <w:r w:rsidRPr="00A52585">
        <w:rPr>
          <w:rtl/>
        </w:rPr>
        <w:t xml:space="preserve"> وكيفها المجهول هو المذهب الحق عند المتكلمين</w:t>
      </w:r>
      <w:r w:rsidR="00DB731D" w:rsidRPr="00A52585">
        <w:rPr>
          <w:rtl/>
        </w:rPr>
        <w:t>،</w:t>
      </w:r>
      <w:r w:rsidR="0002035C" w:rsidRPr="00A52585">
        <w:rPr>
          <w:rFonts w:hint="cs"/>
          <w:rtl/>
        </w:rPr>
        <w:t xml:space="preserve"> </w:t>
      </w:r>
      <w:r w:rsidRPr="00A52585">
        <w:rPr>
          <w:rtl/>
        </w:rPr>
        <w:t>وبعد هذا التمهيد والمقدمات - أنقل لك فصولا من كلام ابن خزيمة في كتابه المسمى كتاب " التوحيد" لتعلم منه أن الحفظ والتحديث غير الفقه وفهم الأحاديث</w:t>
      </w:r>
      <w:r w:rsidR="00DB731D" w:rsidRPr="00A52585">
        <w:rPr>
          <w:rtl/>
        </w:rPr>
        <w:t>،</w:t>
      </w:r>
      <w:r w:rsidRPr="00A52585">
        <w:rPr>
          <w:rtl/>
        </w:rPr>
        <w:t xml:space="preserve"> وغير معرفة أصول الدين</w:t>
      </w:r>
      <w:r w:rsidR="00DB731D" w:rsidRPr="00A52585">
        <w:rPr>
          <w:rtl/>
        </w:rPr>
        <w:t>،</w:t>
      </w:r>
      <w:r w:rsidRPr="00A52585">
        <w:rPr>
          <w:rtl/>
        </w:rPr>
        <w:t xml:space="preserve"> وتقرير عقائد التوحيد</w:t>
      </w:r>
      <w:r w:rsidR="00DB731D" w:rsidRPr="00A52585">
        <w:rPr>
          <w:rtl/>
        </w:rPr>
        <w:t>،</w:t>
      </w:r>
      <w:r w:rsidR="0002035C" w:rsidRPr="00A52585">
        <w:rPr>
          <w:rFonts w:hint="cs"/>
          <w:rtl/>
        </w:rPr>
        <w:t xml:space="preserve"> </w:t>
      </w:r>
      <w:proofErr w:type="spellStart"/>
      <w:r w:rsidRPr="00A52585">
        <w:rPr>
          <w:rtl/>
        </w:rPr>
        <w:t>ففى</w:t>
      </w:r>
      <w:proofErr w:type="spellEnd"/>
      <w:r w:rsidRPr="00A52585">
        <w:rPr>
          <w:rtl/>
        </w:rPr>
        <w:t xml:space="preserve"> (ص16) </w:t>
      </w:r>
      <w:proofErr w:type="spellStart"/>
      <w:r w:rsidRPr="00A52585">
        <w:rPr>
          <w:rtl/>
        </w:rPr>
        <w:t>مانصه</w:t>
      </w:r>
      <w:proofErr w:type="spellEnd"/>
      <w:r w:rsidR="0002035C" w:rsidRPr="00A52585">
        <w:rPr>
          <w:rtl/>
        </w:rPr>
        <w:t>:</w:t>
      </w:r>
      <w:r w:rsidRPr="00A52585">
        <w:rPr>
          <w:rtl/>
        </w:rPr>
        <w:t xml:space="preserve"> " نحن نقول وعلماؤنا جميعا </w:t>
      </w:r>
      <w:proofErr w:type="spellStart"/>
      <w:r w:rsidRPr="00A52585">
        <w:rPr>
          <w:rtl/>
        </w:rPr>
        <w:t>قى</w:t>
      </w:r>
      <w:proofErr w:type="spellEnd"/>
      <w:r w:rsidRPr="00A52585">
        <w:rPr>
          <w:rtl/>
        </w:rPr>
        <w:t xml:space="preserve"> الأقطار إن لمعبودنا عز وجل وجها كما أعلمنا الله </w:t>
      </w:r>
      <w:r w:rsidRPr="00A52585">
        <w:rPr>
          <w:rtl/>
        </w:rPr>
        <w:lastRenderedPageBreak/>
        <w:t>في محكم تنزيله فذواه بالجلال والإكرام</w:t>
      </w:r>
      <w:r w:rsidR="00DB731D" w:rsidRPr="00A52585">
        <w:rPr>
          <w:rtl/>
        </w:rPr>
        <w:t>،</w:t>
      </w:r>
      <w:r w:rsidRPr="00A52585">
        <w:rPr>
          <w:rtl/>
        </w:rPr>
        <w:t xml:space="preserve"> وحكم له بالبقاء</w:t>
      </w:r>
      <w:r w:rsidR="00DB731D" w:rsidRPr="00A52585">
        <w:rPr>
          <w:rtl/>
        </w:rPr>
        <w:t>،</w:t>
      </w:r>
      <w:r w:rsidRPr="00A52585">
        <w:rPr>
          <w:rtl/>
        </w:rPr>
        <w:t xml:space="preserve"> ونفى عنه الهلاك</w:t>
      </w:r>
      <w:r w:rsidR="00DB731D" w:rsidRPr="00A52585">
        <w:rPr>
          <w:rtl/>
        </w:rPr>
        <w:t>،</w:t>
      </w:r>
      <w:r w:rsidRPr="00A52585">
        <w:rPr>
          <w:rtl/>
        </w:rPr>
        <w:t xml:space="preserve"> ونقول إن لوجه ربنا عز وجل من النور والضياء والبهاء ما لو</w:t>
      </w:r>
      <w:r w:rsidRPr="00A52585">
        <w:rPr>
          <w:rFonts w:hint="cs"/>
          <w:rtl/>
        </w:rPr>
        <w:t xml:space="preserve"> </w:t>
      </w:r>
      <w:r w:rsidRPr="00A52585">
        <w:rPr>
          <w:rtl/>
        </w:rPr>
        <w:t xml:space="preserve">كشف حجابه لأحرقت سبحات وجهه كل </w:t>
      </w:r>
      <w:proofErr w:type="spellStart"/>
      <w:r w:rsidRPr="00A52585">
        <w:rPr>
          <w:rtl/>
        </w:rPr>
        <w:t>شئ</w:t>
      </w:r>
      <w:proofErr w:type="spellEnd"/>
      <w:r w:rsidRPr="00A52585">
        <w:rPr>
          <w:rtl/>
        </w:rPr>
        <w:t xml:space="preserve"> أدركه بصره</w:t>
      </w:r>
      <w:r w:rsidRPr="00A52585">
        <w:rPr>
          <w:rFonts w:hint="cs"/>
          <w:rtl/>
        </w:rPr>
        <w:t xml:space="preserve"> "</w:t>
      </w:r>
      <w:r w:rsidR="00DB731D" w:rsidRPr="00A52585">
        <w:rPr>
          <w:rFonts w:hint="cs"/>
          <w:rtl/>
        </w:rPr>
        <w:t>،</w:t>
      </w:r>
      <w:r w:rsidR="0002035C" w:rsidRPr="00A52585">
        <w:rPr>
          <w:rFonts w:hint="cs"/>
          <w:rtl/>
        </w:rPr>
        <w:t xml:space="preserve"> </w:t>
      </w:r>
      <w:r w:rsidRPr="00A52585">
        <w:rPr>
          <w:rtl/>
        </w:rPr>
        <w:t>وفيها</w:t>
      </w:r>
      <w:r w:rsidR="0002035C" w:rsidRPr="00A52585">
        <w:rPr>
          <w:rFonts w:hint="cs"/>
          <w:rtl/>
        </w:rPr>
        <w:t>:</w:t>
      </w:r>
      <w:r w:rsidRPr="00A52585">
        <w:rPr>
          <w:rtl/>
        </w:rPr>
        <w:t xml:space="preserve"> "ونقول إن لبنى آدم وجوها كتب الله عليها الهلاك</w:t>
      </w:r>
      <w:r w:rsidR="00DB731D" w:rsidRPr="00A52585">
        <w:rPr>
          <w:rtl/>
        </w:rPr>
        <w:t>،</w:t>
      </w:r>
      <w:r w:rsidRPr="00A52585">
        <w:rPr>
          <w:rtl/>
        </w:rPr>
        <w:t xml:space="preserve"> ونفى عنها الجلال والإكرام غير موصوفة بالنور والضياء والبهاء التي وصف الله بها وجهه يدرك وجوه بنى آدم</w:t>
      </w:r>
      <w:r w:rsidR="0002035C" w:rsidRPr="00A52585">
        <w:rPr>
          <w:rFonts w:hint="cs"/>
          <w:rtl/>
        </w:rPr>
        <w:t xml:space="preserve"> </w:t>
      </w:r>
      <w:r w:rsidRPr="00A52585">
        <w:rPr>
          <w:rtl/>
        </w:rPr>
        <w:t>أبصار أهل الدنيا</w:t>
      </w:r>
      <w:r w:rsidR="00DB731D" w:rsidRPr="00A52585">
        <w:rPr>
          <w:rtl/>
        </w:rPr>
        <w:t>،</w:t>
      </w:r>
      <w:r w:rsidRPr="00A52585">
        <w:rPr>
          <w:rtl/>
        </w:rPr>
        <w:t xml:space="preserve"> لا تحرق لاحد شعرة فما فوقها لنفى السبحات عنها" إلخ</w:t>
      </w:r>
      <w:r w:rsidR="00DB731D" w:rsidRPr="00A52585">
        <w:rPr>
          <w:rtl/>
        </w:rPr>
        <w:t>،</w:t>
      </w:r>
      <w:r w:rsidRPr="00A52585">
        <w:rPr>
          <w:rFonts w:hint="cs"/>
          <w:rtl/>
        </w:rPr>
        <w:t xml:space="preserve"> </w:t>
      </w:r>
      <w:r w:rsidRPr="00A52585">
        <w:rPr>
          <w:rtl/>
        </w:rPr>
        <w:t>وفيها</w:t>
      </w:r>
      <w:r w:rsidR="0002035C" w:rsidRPr="00A52585">
        <w:rPr>
          <w:rtl/>
        </w:rPr>
        <w:t>:</w:t>
      </w:r>
      <w:r w:rsidRPr="00A52585">
        <w:rPr>
          <w:rtl/>
        </w:rPr>
        <w:t xml:space="preserve"> " فهل يخطر- </w:t>
      </w:r>
      <w:proofErr w:type="spellStart"/>
      <w:r w:rsidRPr="00A52585">
        <w:rPr>
          <w:rtl/>
        </w:rPr>
        <w:t>با</w:t>
      </w:r>
      <w:proofErr w:type="spellEnd"/>
      <w:r w:rsidRPr="00A52585">
        <w:rPr>
          <w:rtl/>
        </w:rPr>
        <w:t xml:space="preserve"> ذوى الحجا - ببال عاقل مركب فيه العقل يفهم </w:t>
      </w:r>
      <w:proofErr w:type="spellStart"/>
      <w:r w:rsidRPr="00A52585">
        <w:rPr>
          <w:rtl/>
        </w:rPr>
        <w:t>لغه</w:t>
      </w:r>
      <w:proofErr w:type="spellEnd"/>
      <w:r w:rsidRPr="00A52585">
        <w:rPr>
          <w:rtl/>
        </w:rPr>
        <w:t xml:space="preserve"> العرب</w:t>
      </w:r>
      <w:r w:rsidR="00DB731D" w:rsidRPr="00A52585">
        <w:rPr>
          <w:rtl/>
        </w:rPr>
        <w:t>،</w:t>
      </w:r>
      <w:r w:rsidRPr="00A52585">
        <w:rPr>
          <w:rtl/>
        </w:rPr>
        <w:t xml:space="preserve"> ويعرف خطابها</w:t>
      </w:r>
      <w:r w:rsidR="00DB731D" w:rsidRPr="00A52585">
        <w:rPr>
          <w:rtl/>
        </w:rPr>
        <w:t>،</w:t>
      </w:r>
      <w:r w:rsidRPr="00A52585">
        <w:rPr>
          <w:rtl/>
        </w:rPr>
        <w:t xml:space="preserve"> ويعلم التشبيه بذلك الوجه، وهل ها هنا - أيها العقلاء - تشبيه وجه ربنا جل ثناؤه الذى هو كما وصفنا وبينا صفة من الكتاب والسنة بتشبيه وجوه بنى آدم التي ذكرناها ووصفناها غير اتفاق اسم الوجه، وإيقاع اسم الوجه على وجه بنى آدم كما سمى الله وجهه وجها، ولو</w:t>
      </w:r>
      <w:r w:rsidRPr="00A52585">
        <w:rPr>
          <w:rFonts w:hint="cs"/>
          <w:rtl/>
        </w:rPr>
        <w:t xml:space="preserve"> </w:t>
      </w:r>
      <w:r w:rsidRPr="00A52585">
        <w:rPr>
          <w:rtl/>
        </w:rPr>
        <w:t>كان تشبيها من علمائنا لكان كل قائل</w:t>
      </w:r>
      <w:r w:rsidR="0002035C" w:rsidRPr="00A52585">
        <w:rPr>
          <w:rtl/>
        </w:rPr>
        <w:t>:</w:t>
      </w:r>
      <w:r w:rsidRPr="00A52585">
        <w:rPr>
          <w:rtl/>
        </w:rPr>
        <w:t xml:space="preserve"> إن لبنى آدم وجها وللخنازير والقرود والكلاب والسباع والحمير والبغال والحيات والعقارب وجوها قد شبه وجوه بنى آدم بوجوه الخنازير والقردة والكلاب وغيرها " إلخ</w:t>
      </w:r>
      <w:r w:rsidR="00DB731D" w:rsidRPr="00A52585">
        <w:rPr>
          <w:rtl/>
        </w:rPr>
        <w:t>،</w:t>
      </w:r>
      <w:r w:rsidRPr="00A52585">
        <w:rPr>
          <w:rFonts w:hint="cs"/>
          <w:rtl/>
        </w:rPr>
        <w:t xml:space="preserve"> </w:t>
      </w:r>
      <w:r w:rsidRPr="00A52585">
        <w:rPr>
          <w:rtl/>
        </w:rPr>
        <w:t>وفى (ص 56-57) فكيف يكون - يا ذوى الحجا من وصف يد خالقه بما بينا من القوة والأيد</w:t>
      </w:r>
      <w:r w:rsidR="00DB731D" w:rsidRPr="00A52585">
        <w:rPr>
          <w:rtl/>
        </w:rPr>
        <w:t>،</w:t>
      </w:r>
      <w:r w:rsidRPr="00A52585">
        <w:rPr>
          <w:rtl/>
        </w:rPr>
        <w:t xml:space="preserve"> ووصف يد المخلوقين بالضعف والعجز مشبها يد الخالق بيد المخلقين</w:t>
      </w:r>
      <w:r w:rsidR="00F95886" w:rsidRPr="00A52585">
        <w:rPr>
          <w:rtl/>
        </w:rPr>
        <w:t>؟</w:t>
      </w:r>
      <w:r w:rsidRPr="00A52585">
        <w:rPr>
          <w:rtl/>
        </w:rPr>
        <w:t xml:space="preserve"> أو</w:t>
      </w:r>
      <w:r w:rsidRPr="00A52585">
        <w:rPr>
          <w:rFonts w:hint="cs"/>
          <w:rtl/>
        </w:rPr>
        <w:t xml:space="preserve"> </w:t>
      </w:r>
      <w:r w:rsidRPr="00A52585">
        <w:rPr>
          <w:rtl/>
        </w:rPr>
        <w:t xml:space="preserve">كيف يكون مشبها من </w:t>
      </w:r>
      <w:proofErr w:type="spellStart"/>
      <w:r w:rsidRPr="00A52585">
        <w:rPr>
          <w:rtl/>
        </w:rPr>
        <w:t>يثيت</w:t>
      </w:r>
      <w:proofErr w:type="spellEnd"/>
      <w:r w:rsidRPr="00A52585">
        <w:rPr>
          <w:rtl/>
        </w:rPr>
        <w:t xml:space="preserve"> لله أصابع على ما بينه المصطفى صلى الله علية وسلم للخالق البارئ، ويقول</w:t>
      </w:r>
      <w:r w:rsidR="0002035C" w:rsidRPr="00A52585">
        <w:rPr>
          <w:rtl/>
        </w:rPr>
        <w:t>:</w:t>
      </w:r>
      <w:r w:rsidRPr="00A52585">
        <w:rPr>
          <w:rtl/>
        </w:rPr>
        <w:t xml:space="preserve"> " إن الله جل وعلا يمسك </w:t>
      </w:r>
      <w:proofErr w:type="gramStart"/>
      <w:r w:rsidRPr="00A52585">
        <w:rPr>
          <w:rtl/>
        </w:rPr>
        <w:t>السموات</w:t>
      </w:r>
      <w:proofErr w:type="gramEnd"/>
      <w:r w:rsidRPr="00A52585">
        <w:rPr>
          <w:rtl/>
        </w:rPr>
        <w:t xml:space="preserve"> على إصبع والأرضين على إصبع ".... ويقول</w:t>
      </w:r>
      <w:r w:rsidR="0002035C" w:rsidRPr="00A52585">
        <w:rPr>
          <w:rtl/>
        </w:rPr>
        <w:t>:</w:t>
      </w:r>
      <w:r w:rsidRPr="00A52585">
        <w:rPr>
          <w:rtl/>
        </w:rPr>
        <w:t xml:space="preserve"> إن جميع بنى آدم إلى أن ينفخ في الصور </w:t>
      </w:r>
      <w:proofErr w:type="spellStart"/>
      <w:r w:rsidRPr="00A52585">
        <w:rPr>
          <w:rtl/>
        </w:rPr>
        <w:t>لواجتمعوا</w:t>
      </w:r>
      <w:proofErr w:type="spellEnd"/>
      <w:r w:rsidRPr="00A52585">
        <w:rPr>
          <w:rtl/>
        </w:rPr>
        <w:t xml:space="preserve"> على إمساك جزء من أجزاء كثيرة من سماء من </w:t>
      </w:r>
      <w:proofErr w:type="spellStart"/>
      <w:r w:rsidRPr="00A52585">
        <w:rPr>
          <w:rtl/>
        </w:rPr>
        <w:t>سماواته</w:t>
      </w:r>
      <w:proofErr w:type="spellEnd"/>
      <w:r w:rsidRPr="00A52585">
        <w:rPr>
          <w:rtl/>
        </w:rPr>
        <w:t xml:space="preserve"> أو</w:t>
      </w:r>
      <w:r w:rsidRPr="00A52585">
        <w:rPr>
          <w:rFonts w:hint="cs"/>
          <w:rtl/>
        </w:rPr>
        <w:t xml:space="preserve"> </w:t>
      </w:r>
      <w:r w:rsidRPr="00A52585">
        <w:rPr>
          <w:rtl/>
        </w:rPr>
        <w:t>أرض من أراضيه السبع بجميع أبدانهم كانوا غير قادرين على ذلك</w:t>
      </w:r>
      <w:r w:rsidR="00DB731D" w:rsidRPr="00A52585">
        <w:rPr>
          <w:rtl/>
        </w:rPr>
        <w:t>،</w:t>
      </w:r>
      <w:r w:rsidRPr="00A52585">
        <w:rPr>
          <w:rtl/>
        </w:rPr>
        <w:t xml:space="preserve"> ولا </w:t>
      </w:r>
      <w:proofErr w:type="spellStart"/>
      <w:r w:rsidRPr="00A52585">
        <w:rPr>
          <w:rtl/>
        </w:rPr>
        <w:t>مستطعين</w:t>
      </w:r>
      <w:proofErr w:type="spellEnd"/>
      <w:r w:rsidRPr="00A52585">
        <w:rPr>
          <w:rtl/>
        </w:rPr>
        <w:t xml:space="preserve"> له بل عاجزين عنه إلى أن يقول</w:t>
      </w:r>
      <w:r w:rsidR="0002035C" w:rsidRPr="00A52585">
        <w:rPr>
          <w:rtl/>
        </w:rPr>
        <w:t>:</w:t>
      </w:r>
      <w:r w:rsidRPr="00A52585">
        <w:rPr>
          <w:rtl/>
        </w:rPr>
        <w:t xml:space="preserve"> </w:t>
      </w:r>
      <w:proofErr w:type="spellStart"/>
      <w:r w:rsidRPr="00A52585">
        <w:rPr>
          <w:rtl/>
        </w:rPr>
        <w:t>فأى</w:t>
      </w:r>
      <w:proofErr w:type="spellEnd"/>
      <w:r w:rsidRPr="00A52585">
        <w:rPr>
          <w:rtl/>
        </w:rPr>
        <w:t xml:space="preserve"> تشبيه ضر أصحابنا- أيها العقلاء- إذ أثبتوا للخالق ما أثبته الله لنفسه، وأثبته له نبينا صلى الله علية وسلم اهـ المراد نقله من كتاب " التوحيد " لابن خزيمة</w:t>
      </w:r>
      <w:r w:rsidR="00DB731D" w:rsidRPr="00A52585">
        <w:rPr>
          <w:rtl/>
        </w:rPr>
        <w:t>،</w:t>
      </w:r>
      <w:r w:rsidR="0002035C" w:rsidRPr="00A52585">
        <w:rPr>
          <w:rFonts w:hint="cs"/>
          <w:rtl/>
        </w:rPr>
        <w:t xml:space="preserve"> </w:t>
      </w:r>
      <w:r w:rsidRPr="00A52585">
        <w:rPr>
          <w:rtl/>
        </w:rPr>
        <w:t xml:space="preserve">ونحن بإزاء هذه الظواهر كما أسلفنا لك في هذا البحث على أصلنا الذى جرى عليه جمهور المتكلمين من الإيمان بالنص الوارد في الكتاب والسنة مع العجز عن بيان المراد منه بوصف </w:t>
      </w:r>
      <w:proofErr w:type="spellStart"/>
      <w:r w:rsidRPr="00A52585">
        <w:rPr>
          <w:rtl/>
        </w:rPr>
        <w:t>أوكيف</w:t>
      </w:r>
      <w:proofErr w:type="spellEnd"/>
      <w:r w:rsidR="00DB731D" w:rsidRPr="00A52585">
        <w:rPr>
          <w:rtl/>
        </w:rPr>
        <w:t>،</w:t>
      </w:r>
      <w:r w:rsidRPr="00A52585">
        <w:rPr>
          <w:rtl/>
        </w:rPr>
        <w:t xml:space="preserve"> وأمام هذا العجز </w:t>
      </w:r>
      <w:proofErr w:type="spellStart"/>
      <w:r w:rsidRPr="00A52585">
        <w:rPr>
          <w:rtl/>
        </w:rPr>
        <w:t>الذاتى</w:t>
      </w:r>
      <w:proofErr w:type="spellEnd"/>
      <w:r w:rsidRPr="00A52585">
        <w:rPr>
          <w:rtl/>
        </w:rPr>
        <w:t xml:space="preserve"> اللازم </w:t>
      </w:r>
      <w:proofErr w:type="spellStart"/>
      <w:r w:rsidRPr="00A52585">
        <w:rPr>
          <w:rtl/>
        </w:rPr>
        <w:t>لذويتنا</w:t>
      </w:r>
      <w:proofErr w:type="spellEnd"/>
      <w:r w:rsidRPr="00A52585">
        <w:rPr>
          <w:rtl/>
        </w:rPr>
        <w:t xml:space="preserve"> لقصور عقولنا عن إدراك كنه الذات</w:t>
      </w:r>
      <w:r w:rsidR="00DB731D" w:rsidRPr="00A52585">
        <w:rPr>
          <w:rtl/>
        </w:rPr>
        <w:t>،</w:t>
      </w:r>
      <w:r w:rsidRPr="00A52585">
        <w:rPr>
          <w:rtl/>
        </w:rPr>
        <w:t xml:space="preserve"> وحقيقة الصفات</w:t>
      </w:r>
      <w:r w:rsidR="00897A24" w:rsidRPr="00A52585">
        <w:rPr>
          <w:rtl/>
        </w:rPr>
        <w:t>.</w:t>
      </w:r>
      <w:r w:rsidRPr="00A52585">
        <w:rPr>
          <w:rtl/>
        </w:rPr>
        <w:t xml:space="preserve"> إما أن نسلم ونفوض ونكل علم ذلك إلى الخالق جل وعلا</w:t>
      </w:r>
      <w:r w:rsidR="00DB731D" w:rsidRPr="00A52585">
        <w:rPr>
          <w:rtl/>
        </w:rPr>
        <w:t>،</w:t>
      </w:r>
      <w:r w:rsidRPr="00A52585">
        <w:rPr>
          <w:rtl/>
        </w:rPr>
        <w:t xml:space="preserve"> وإما أن نؤول إن أمكن التأويل</w:t>
      </w:r>
      <w:r w:rsidR="00DB731D" w:rsidRPr="00A52585">
        <w:rPr>
          <w:rtl/>
        </w:rPr>
        <w:t>،</w:t>
      </w:r>
      <w:r w:rsidRPr="00A52585">
        <w:rPr>
          <w:rtl/>
        </w:rPr>
        <w:t xml:space="preserve"> ومع هذا فلا يكون تأويلنا نصا في مراد الله تعالى الذى غيبه عن عقولنا</w:t>
      </w:r>
      <w:r w:rsidR="00DB731D" w:rsidRPr="00A52585">
        <w:rPr>
          <w:rtl/>
        </w:rPr>
        <w:t>،</w:t>
      </w:r>
      <w:r w:rsidRPr="00A52585">
        <w:rPr>
          <w:rtl/>
        </w:rPr>
        <w:t xml:space="preserve"> بل يكون اجتهاد منا في فهم معنى المتشابه أصاب المجتهد فيه أم أخطأ</w:t>
      </w:r>
      <w:r w:rsidR="00DB731D" w:rsidRPr="00A52585">
        <w:rPr>
          <w:rtl/>
        </w:rPr>
        <w:t>،</w:t>
      </w:r>
      <w:r w:rsidRPr="00A52585">
        <w:rPr>
          <w:rtl/>
        </w:rPr>
        <w:t xml:space="preserve"> وابن خزيمة يجرى على أصله في إثبات المعنى </w:t>
      </w:r>
      <w:proofErr w:type="spellStart"/>
      <w:r w:rsidRPr="00A52585">
        <w:rPr>
          <w:rtl/>
        </w:rPr>
        <w:t>اللغوى</w:t>
      </w:r>
      <w:proofErr w:type="spellEnd"/>
      <w:r w:rsidRPr="00A52585">
        <w:rPr>
          <w:rtl/>
        </w:rPr>
        <w:t xml:space="preserve"> المفهوم من الوجه واليد والعين والأصابع وغيرها معناه إثبات الجوارح والأعضاء والأجزاء </w:t>
      </w:r>
      <w:proofErr w:type="spellStart"/>
      <w:r w:rsidRPr="00A52585">
        <w:rPr>
          <w:rtl/>
        </w:rPr>
        <w:t>زالأبعاض</w:t>
      </w:r>
      <w:proofErr w:type="spellEnd"/>
      <w:r w:rsidRPr="00A52585">
        <w:rPr>
          <w:rtl/>
        </w:rPr>
        <w:t xml:space="preserve"> لله سبحانه وتعالى</w:t>
      </w:r>
      <w:r w:rsidR="00DB731D" w:rsidRPr="00A52585">
        <w:rPr>
          <w:rtl/>
        </w:rPr>
        <w:t>،</w:t>
      </w:r>
      <w:r w:rsidRPr="00A52585">
        <w:rPr>
          <w:rtl/>
        </w:rPr>
        <w:t xml:space="preserve"> وهذا هو عين التشبيه</w:t>
      </w:r>
      <w:r w:rsidR="00DB731D" w:rsidRPr="00A52585">
        <w:rPr>
          <w:rtl/>
        </w:rPr>
        <w:t>،</w:t>
      </w:r>
      <w:r w:rsidRPr="00A52585">
        <w:rPr>
          <w:rtl/>
        </w:rPr>
        <w:t xml:space="preserve"> ولا يغنيه </w:t>
      </w:r>
      <w:r w:rsidRPr="00A52585">
        <w:rPr>
          <w:rtl/>
        </w:rPr>
        <w:lastRenderedPageBreak/>
        <w:t>بعد ذلك أن يقول</w:t>
      </w:r>
      <w:r w:rsidR="0002035C" w:rsidRPr="00A52585">
        <w:rPr>
          <w:rtl/>
        </w:rPr>
        <w:t>:</w:t>
      </w:r>
      <w:r w:rsidRPr="00A52585">
        <w:rPr>
          <w:rtl/>
        </w:rPr>
        <w:t xml:space="preserve"> إن الوجه واليد والعين في الخالق تمتاز بصفات وخصائص لا توجد في نظائرها من المخلوقين فلا تشبيه</w:t>
      </w:r>
      <w:r w:rsidR="00DB731D" w:rsidRPr="00A52585">
        <w:rPr>
          <w:rtl/>
        </w:rPr>
        <w:t>،</w:t>
      </w:r>
      <w:r w:rsidRPr="00A52585">
        <w:rPr>
          <w:rFonts w:hint="cs"/>
          <w:rtl/>
        </w:rPr>
        <w:t xml:space="preserve"> </w:t>
      </w:r>
      <w:r w:rsidRPr="00A52585">
        <w:rPr>
          <w:rtl/>
        </w:rPr>
        <w:t xml:space="preserve">على أنى أترك الكلام الآن للإمام فخر الدين </w:t>
      </w:r>
      <w:proofErr w:type="spellStart"/>
      <w:r w:rsidRPr="00A52585">
        <w:rPr>
          <w:rtl/>
        </w:rPr>
        <w:t>الرازى</w:t>
      </w:r>
      <w:proofErr w:type="spellEnd"/>
      <w:r w:rsidR="00DB731D" w:rsidRPr="00A52585">
        <w:rPr>
          <w:rtl/>
        </w:rPr>
        <w:t>،</w:t>
      </w:r>
      <w:r w:rsidRPr="00A52585">
        <w:rPr>
          <w:rtl/>
        </w:rPr>
        <w:t xml:space="preserve"> ولا أقول "رازيهم" كما يقول " الشيخ </w:t>
      </w:r>
      <w:proofErr w:type="spellStart"/>
      <w:r w:rsidRPr="00A52585">
        <w:rPr>
          <w:rtl/>
        </w:rPr>
        <w:t>النجدى</w:t>
      </w:r>
      <w:proofErr w:type="spellEnd"/>
      <w:r w:rsidRPr="00A52585">
        <w:rPr>
          <w:rtl/>
        </w:rPr>
        <w:t xml:space="preserve"> " </w:t>
      </w:r>
      <w:proofErr w:type="spellStart"/>
      <w:r w:rsidRPr="00A52585">
        <w:rPr>
          <w:rtl/>
        </w:rPr>
        <w:t>متندرا</w:t>
      </w:r>
      <w:proofErr w:type="spellEnd"/>
      <w:r w:rsidRPr="00A52585">
        <w:rPr>
          <w:rtl/>
        </w:rPr>
        <w:t xml:space="preserve"> متطرفا</w:t>
      </w:r>
      <w:r w:rsidR="00DB731D" w:rsidRPr="00A52585">
        <w:rPr>
          <w:rtl/>
        </w:rPr>
        <w:t>،</w:t>
      </w:r>
      <w:r w:rsidRPr="00A52585">
        <w:rPr>
          <w:rtl/>
        </w:rPr>
        <w:t xml:space="preserve"> بل أقول يكفى أن نسمع الآن ما يقول الإمام فخر الإسلام في الحافظ ابن خزيمة</w:t>
      </w:r>
      <w:r w:rsidR="0002035C" w:rsidRPr="00A52585">
        <w:rPr>
          <w:rtl/>
        </w:rPr>
        <w:t>:</w:t>
      </w:r>
      <w:r w:rsidR="0002035C" w:rsidRPr="00A52585">
        <w:rPr>
          <w:rFonts w:hint="cs"/>
          <w:rtl/>
        </w:rPr>
        <w:t xml:space="preserve"> </w:t>
      </w:r>
      <w:r w:rsidRPr="00A52585">
        <w:rPr>
          <w:rtl/>
        </w:rPr>
        <w:t>قال في تفسير قول</w:t>
      </w:r>
      <w:r w:rsidR="0002035C" w:rsidRPr="00A52585">
        <w:rPr>
          <w:rtl/>
        </w:rPr>
        <w:t>:</w:t>
      </w:r>
      <w:r w:rsidRPr="00A52585">
        <w:rPr>
          <w:rtl/>
        </w:rPr>
        <w:t xml:space="preserve"> " ليس كمثله </w:t>
      </w:r>
      <w:proofErr w:type="spellStart"/>
      <w:r w:rsidRPr="00A52585">
        <w:rPr>
          <w:rtl/>
        </w:rPr>
        <w:t>شئ</w:t>
      </w:r>
      <w:proofErr w:type="spellEnd"/>
      <w:r w:rsidRPr="00A52585">
        <w:rPr>
          <w:rtl/>
        </w:rPr>
        <w:t xml:space="preserve"> " من سورة الشورى " ص</w:t>
      </w:r>
      <w:r w:rsidR="0002035C" w:rsidRPr="00A52585">
        <w:rPr>
          <w:rtl/>
        </w:rPr>
        <w:t xml:space="preserve"> </w:t>
      </w:r>
      <w:r w:rsidRPr="00A52585">
        <w:rPr>
          <w:rtl/>
        </w:rPr>
        <w:t>264</w:t>
      </w:r>
      <w:r w:rsidRPr="00A52585">
        <w:rPr>
          <w:rFonts w:hint="cs"/>
          <w:rtl/>
        </w:rPr>
        <w:t xml:space="preserve"> </w:t>
      </w:r>
      <w:r w:rsidRPr="00A52585">
        <w:rPr>
          <w:rtl/>
        </w:rPr>
        <w:t>-</w:t>
      </w:r>
      <w:r w:rsidRPr="00A52585">
        <w:rPr>
          <w:rFonts w:hint="cs"/>
          <w:rtl/>
        </w:rPr>
        <w:t xml:space="preserve"> </w:t>
      </w:r>
      <w:r w:rsidRPr="00A52585">
        <w:rPr>
          <w:rtl/>
        </w:rPr>
        <w:t>ج</w:t>
      </w:r>
      <w:r w:rsidRPr="00A52585">
        <w:rPr>
          <w:rFonts w:hint="cs"/>
          <w:rtl/>
        </w:rPr>
        <w:t xml:space="preserve"> </w:t>
      </w:r>
      <w:r w:rsidRPr="00A52585">
        <w:rPr>
          <w:rtl/>
        </w:rPr>
        <w:t>7</w:t>
      </w:r>
      <w:r w:rsidRPr="00A52585">
        <w:rPr>
          <w:rFonts w:hint="cs"/>
          <w:rtl/>
        </w:rPr>
        <w:t xml:space="preserve"> </w:t>
      </w:r>
      <w:r w:rsidRPr="00A52585">
        <w:rPr>
          <w:rtl/>
        </w:rPr>
        <w:t xml:space="preserve">" احتج علماء التوحيد قديما وحديثا بهذه </w:t>
      </w:r>
      <w:proofErr w:type="spellStart"/>
      <w:r w:rsidRPr="00A52585">
        <w:rPr>
          <w:rtl/>
        </w:rPr>
        <w:t>الآيه</w:t>
      </w:r>
      <w:proofErr w:type="spellEnd"/>
      <w:r w:rsidRPr="00A52585">
        <w:rPr>
          <w:rtl/>
        </w:rPr>
        <w:t xml:space="preserve"> في نفى كونه تعالى جسما مركبا من الأعضاء والأجزاء</w:t>
      </w:r>
      <w:r w:rsidR="00DB731D" w:rsidRPr="00A52585">
        <w:rPr>
          <w:rtl/>
        </w:rPr>
        <w:t>،</w:t>
      </w:r>
      <w:r w:rsidRPr="00A52585">
        <w:rPr>
          <w:rtl/>
        </w:rPr>
        <w:t xml:space="preserve"> وحاصلا في المكان والجهة</w:t>
      </w:r>
      <w:r w:rsidR="00DB731D" w:rsidRPr="00A52585">
        <w:rPr>
          <w:rtl/>
        </w:rPr>
        <w:t>،</w:t>
      </w:r>
      <w:r w:rsidRPr="00A52585">
        <w:rPr>
          <w:rtl/>
        </w:rPr>
        <w:t xml:space="preserve"> وقالوا</w:t>
      </w:r>
      <w:r w:rsidR="0002035C" w:rsidRPr="00A52585">
        <w:rPr>
          <w:rtl/>
        </w:rPr>
        <w:t>:</w:t>
      </w:r>
      <w:r w:rsidRPr="00A52585">
        <w:rPr>
          <w:rtl/>
        </w:rPr>
        <w:t xml:space="preserve"> لو</w:t>
      </w:r>
      <w:r w:rsidRPr="00A52585">
        <w:rPr>
          <w:rFonts w:hint="cs"/>
          <w:rtl/>
        </w:rPr>
        <w:t xml:space="preserve"> </w:t>
      </w:r>
      <w:r w:rsidRPr="00A52585">
        <w:rPr>
          <w:rtl/>
        </w:rPr>
        <w:t>كان جسما لكان مثلا لسائر الأجسام</w:t>
      </w:r>
      <w:r w:rsidR="00DB731D" w:rsidRPr="00A52585">
        <w:rPr>
          <w:rtl/>
        </w:rPr>
        <w:t>،</w:t>
      </w:r>
      <w:r w:rsidRPr="00A52585">
        <w:rPr>
          <w:rtl/>
        </w:rPr>
        <w:t xml:space="preserve"> فيلزم حصول الأمثال والأشياء له</w:t>
      </w:r>
      <w:r w:rsidR="00DB731D" w:rsidRPr="00A52585">
        <w:rPr>
          <w:rtl/>
        </w:rPr>
        <w:t>،</w:t>
      </w:r>
      <w:r w:rsidRPr="00A52585">
        <w:rPr>
          <w:rtl/>
        </w:rPr>
        <w:t xml:space="preserve"> وذلك باطل بصريح قوله تعالى</w:t>
      </w:r>
      <w:r w:rsidR="0002035C" w:rsidRPr="00A52585">
        <w:rPr>
          <w:rtl/>
        </w:rPr>
        <w:t>:</w:t>
      </w:r>
      <w:r w:rsidRPr="00A52585">
        <w:rPr>
          <w:rtl/>
        </w:rPr>
        <w:t xml:space="preserve"> " ليس كمثله </w:t>
      </w:r>
      <w:proofErr w:type="spellStart"/>
      <w:r w:rsidRPr="00A52585">
        <w:rPr>
          <w:rtl/>
        </w:rPr>
        <w:t>شئ</w:t>
      </w:r>
      <w:proofErr w:type="spellEnd"/>
      <w:r w:rsidRPr="00A52585">
        <w:rPr>
          <w:rtl/>
        </w:rPr>
        <w:t xml:space="preserve"> " ويمكن إيراد هذه الحجة على وجه آخر</w:t>
      </w:r>
      <w:r w:rsidR="0002035C" w:rsidRPr="00A52585">
        <w:rPr>
          <w:rtl/>
        </w:rPr>
        <w:t>:</w:t>
      </w:r>
      <w:r w:rsidRPr="00A52585">
        <w:rPr>
          <w:rtl/>
        </w:rPr>
        <w:t xml:space="preserve"> فيقال</w:t>
      </w:r>
      <w:r w:rsidR="0002035C" w:rsidRPr="00A52585">
        <w:rPr>
          <w:rtl/>
        </w:rPr>
        <w:t>:</w:t>
      </w:r>
      <w:r w:rsidRPr="00A52585">
        <w:rPr>
          <w:rtl/>
        </w:rPr>
        <w:t xml:space="preserve"> إما أن يكون ليس كمثله </w:t>
      </w:r>
      <w:proofErr w:type="spellStart"/>
      <w:r w:rsidRPr="00A52585">
        <w:rPr>
          <w:rtl/>
        </w:rPr>
        <w:t>شئ</w:t>
      </w:r>
      <w:proofErr w:type="spellEnd"/>
      <w:r w:rsidRPr="00A52585">
        <w:rPr>
          <w:rtl/>
        </w:rPr>
        <w:t xml:space="preserve"> في ماهيات الذات</w:t>
      </w:r>
      <w:r w:rsidR="00DB731D" w:rsidRPr="00A52585">
        <w:rPr>
          <w:rtl/>
        </w:rPr>
        <w:t>،</w:t>
      </w:r>
      <w:r w:rsidRPr="00A52585">
        <w:rPr>
          <w:rtl/>
        </w:rPr>
        <w:t xml:space="preserve"> </w:t>
      </w:r>
      <w:proofErr w:type="spellStart"/>
      <w:r w:rsidRPr="00A52585">
        <w:rPr>
          <w:rtl/>
        </w:rPr>
        <w:t>أوأن</w:t>
      </w:r>
      <w:proofErr w:type="spellEnd"/>
      <w:r w:rsidRPr="00A52585">
        <w:rPr>
          <w:rtl/>
        </w:rPr>
        <w:t xml:space="preserve"> يكون المراد ليس كمثله في الصفات </w:t>
      </w:r>
      <w:proofErr w:type="spellStart"/>
      <w:r w:rsidRPr="00A52585">
        <w:rPr>
          <w:rtl/>
        </w:rPr>
        <w:t>شئ</w:t>
      </w:r>
      <w:proofErr w:type="spellEnd"/>
      <w:r w:rsidR="00DB731D" w:rsidRPr="00A52585">
        <w:rPr>
          <w:rtl/>
        </w:rPr>
        <w:t>،</w:t>
      </w:r>
      <w:r w:rsidRPr="00A52585">
        <w:rPr>
          <w:rtl/>
        </w:rPr>
        <w:t xml:space="preserve"> </w:t>
      </w:r>
      <w:proofErr w:type="spellStart"/>
      <w:r w:rsidRPr="00A52585">
        <w:rPr>
          <w:rtl/>
        </w:rPr>
        <w:t>والثانى</w:t>
      </w:r>
      <w:proofErr w:type="spellEnd"/>
      <w:r w:rsidRPr="00A52585">
        <w:rPr>
          <w:rtl/>
        </w:rPr>
        <w:t xml:space="preserve"> باطل</w:t>
      </w:r>
      <w:r w:rsidR="00DB731D" w:rsidRPr="00A52585">
        <w:rPr>
          <w:rtl/>
        </w:rPr>
        <w:t>،</w:t>
      </w:r>
      <w:r w:rsidRPr="00A52585">
        <w:rPr>
          <w:rtl/>
        </w:rPr>
        <w:t xml:space="preserve"> لأن </w:t>
      </w:r>
      <w:proofErr w:type="spellStart"/>
      <w:r w:rsidRPr="00A52585">
        <w:rPr>
          <w:rtl/>
        </w:rPr>
        <w:t>الغباد</w:t>
      </w:r>
      <w:proofErr w:type="spellEnd"/>
      <w:r w:rsidRPr="00A52585">
        <w:rPr>
          <w:rtl/>
        </w:rPr>
        <w:t xml:space="preserve"> يوصفون بكونهم عالمين قادرين كما أن الله تعالى يوصف بذلك</w:t>
      </w:r>
      <w:r w:rsidR="00DB731D" w:rsidRPr="00A52585">
        <w:rPr>
          <w:rtl/>
        </w:rPr>
        <w:t>،</w:t>
      </w:r>
      <w:r w:rsidRPr="00A52585">
        <w:rPr>
          <w:rtl/>
        </w:rPr>
        <w:t xml:space="preserve"> وكذلك يوصفون بكونهم </w:t>
      </w:r>
      <w:proofErr w:type="spellStart"/>
      <w:r w:rsidRPr="00A52585">
        <w:rPr>
          <w:rtl/>
        </w:rPr>
        <w:t>معلةمين</w:t>
      </w:r>
      <w:proofErr w:type="spellEnd"/>
      <w:r w:rsidRPr="00A52585">
        <w:rPr>
          <w:rtl/>
        </w:rPr>
        <w:t xml:space="preserve"> مذكورين مع الله يوصف بذلك</w:t>
      </w:r>
      <w:r w:rsidR="00DB731D" w:rsidRPr="00A52585">
        <w:rPr>
          <w:rtl/>
        </w:rPr>
        <w:t>،</w:t>
      </w:r>
      <w:r w:rsidRPr="00A52585">
        <w:rPr>
          <w:rtl/>
        </w:rPr>
        <w:t xml:space="preserve"> فثبت أن المراد بالمماثلة المساواة في حقيقة الذات</w:t>
      </w:r>
      <w:r w:rsidR="00DB731D" w:rsidRPr="00A52585">
        <w:rPr>
          <w:rtl/>
        </w:rPr>
        <w:t>،</w:t>
      </w:r>
      <w:r w:rsidRPr="00A52585">
        <w:rPr>
          <w:rtl/>
        </w:rPr>
        <w:t xml:space="preserve"> فيكون المعنى أن شيئا من الذوات لا يساوى الله تعالى في الذاتية، فلوكان الله تعالى جسما لكان كونه جسما ذاتا لا صفه</w:t>
      </w:r>
      <w:r w:rsidR="00DB731D" w:rsidRPr="00A52585">
        <w:rPr>
          <w:rtl/>
        </w:rPr>
        <w:t>،</w:t>
      </w:r>
      <w:r w:rsidRPr="00A52585">
        <w:rPr>
          <w:rtl/>
        </w:rPr>
        <w:t xml:space="preserve"> فإذا كان سائر الأجسام مساوية له في الجسمية أعنى في كونها متحيزة طويلة عريضة عميقة</w:t>
      </w:r>
      <w:r w:rsidR="00DB731D" w:rsidRPr="00A52585">
        <w:rPr>
          <w:rtl/>
        </w:rPr>
        <w:t>،</w:t>
      </w:r>
      <w:r w:rsidRPr="00A52585">
        <w:rPr>
          <w:rtl/>
        </w:rPr>
        <w:t xml:space="preserve"> فحينئذ تكون سائر الأجسام مماثله لذات الله تعالى في كونه ذاتا</w:t>
      </w:r>
      <w:r w:rsidR="00DB731D" w:rsidRPr="00A52585">
        <w:rPr>
          <w:rtl/>
        </w:rPr>
        <w:t>،</w:t>
      </w:r>
      <w:r w:rsidRPr="00A52585">
        <w:rPr>
          <w:rtl/>
        </w:rPr>
        <w:t xml:space="preserve"> والنص ينفى ذلك</w:t>
      </w:r>
      <w:r w:rsidR="00DB731D" w:rsidRPr="00A52585">
        <w:rPr>
          <w:rtl/>
        </w:rPr>
        <w:t>،</w:t>
      </w:r>
      <w:r w:rsidRPr="00A52585">
        <w:rPr>
          <w:rtl/>
        </w:rPr>
        <w:t xml:space="preserve"> فوجب ألا يكون جسما</w:t>
      </w:r>
      <w:r w:rsidR="00DB731D" w:rsidRPr="00A52585">
        <w:rPr>
          <w:rtl/>
        </w:rPr>
        <w:t>،</w:t>
      </w:r>
      <w:r w:rsidRPr="00A52585">
        <w:rPr>
          <w:rtl/>
        </w:rPr>
        <w:t xml:space="preserve"> واعلم أن محمد بن إسحاق بن خزيمة أورد استدلال أصحابنا بهذه الآية في الكتاب الذى سماه بالتوحيد وهو في </w:t>
      </w:r>
      <w:proofErr w:type="spellStart"/>
      <w:r w:rsidRPr="00A52585">
        <w:rPr>
          <w:rtl/>
        </w:rPr>
        <w:t>الحقيقه</w:t>
      </w:r>
      <w:proofErr w:type="spellEnd"/>
      <w:r w:rsidRPr="00A52585">
        <w:rPr>
          <w:rtl/>
        </w:rPr>
        <w:t xml:space="preserve"> كتاب الشرك</w:t>
      </w:r>
      <w:r w:rsidR="00DB731D" w:rsidRPr="00A52585">
        <w:rPr>
          <w:rtl/>
        </w:rPr>
        <w:t>،</w:t>
      </w:r>
      <w:r w:rsidRPr="00A52585">
        <w:rPr>
          <w:rtl/>
        </w:rPr>
        <w:t xml:space="preserve"> واعترض عليها</w:t>
      </w:r>
      <w:r w:rsidR="00DB731D" w:rsidRPr="00A52585">
        <w:rPr>
          <w:rtl/>
        </w:rPr>
        <w:t>،</w:t>
      </w:r>
      <w:r w:rsidRPr="00A52585">
        <w:rPr>
          <w:rFonts w:hint="cs"/>
          <w:rtl/>
        </w:rPr>
        <w:t xml:space="preserve"> </w:t>
      </w:r>
      <w:r w:rsidRPr="00A52585">
        <w:rPr>
          <w:rtl/>
        </w:rPr>
        <w:t xml:space="preserve">وأنا ذاكر حاصل كلامه بعد حذف </w:t>
      </w:r>
      <w:proofErr w:type="spellStart"/>
      <w:r w:rsidRPr="00A52585">
        <w:rPr>
          <w:rtl/>
        </w:rPr>
        <w:t>التطويلات</w:t>
      </w:r>
      <w:proofErr w:type="spellEnd"/>
      <w:r w:rsidRPr="00A52585">
        <w:rPr>
          <w:rtl/>
        </w:rPr>
        <w:t xml:space="preserve"> لأنه كان رجلا مضطرب الكلام</w:t>
      </w:r>
      <w:r w:rsidR="00DB731D" w:rsidRPr="00A52585">
        <w:rPr>
          <w:rtl/>
        </w:rPr>
        <w:t>،</w:t>
      </w:r>
      <w:r w:rsidRPr="00A52585">
        <w:rPr>
          <w:rtl/>
        </w:rPr>
        <w:t xml:space="preserve"> قليل الفهم</w:t>
      </w:r>
      <w:r w:rsidR="00DB731D" w:rsidRPr="00A52585">
        <w:rPr>
          <w:rtl/>
        </w:rPr>
        <w:t>،</w:t>
      </w:r>
      <w:r w:rsidRPr="00A52585">
        <w:rPr>
          <w:rtl/>
        </w:rPr>
        <w:t xml:space="preserve"> ناقص العقل</w:t>
      </w:r>
      <w:r w:rsidR="00DB731D" w:rsidRPr="00A52585">
        <w:rPr>
          <w:rtl/>
        </w:rPr>
        <w:t>،</w:t>
      </w:r>
      <w:r w:rsidRPr="00A52585">
        <w:rPr>
          <w:rtl/>
        </w:rPr>
        <w:t xml:space="preserve"> وبعد أن ذكر نحوا مما ذكرناه لك آنفا قال: وذكر </w:t>
      </w:r>
      <w:r w:rsidR="0002035C" w:rsidRPr="00A52585">
        <w:rPr>
          <w:rtl/>
        </w:rPr>
        <w:t>(</w:t>
      </w:r>
      <w:r w:rsidRPr="00A52585">
        <w:rPr>
          <w:rtl/>
        </w:rPr>
        <w:t>يريد ابن خزيمة</w:t>
      </w:r>
      <w:r w:rsidR="0002035C" w:rsidRPr="00A52585">
        <w:rPr>
          <w:rFonts w:hint="cs"/>
          <w:rtl/>
        </w:rPr>
        <w:t>)</w:t>
      </w:r>
      <w:r w:rsidRPr="00A52585">
        <w:rPr>
          <w:rtl/>
        </w:rPr>
        <w:t xml:space="preserve"> في فصل آخر من هذا الكتاب أن القرآن دل على وقوع التسوية بين ذات الله تعالى وبين خلقه في صفات كثيرة</w:t>
      </w:r>
      <w:r w:rsidR="00DB731D" w:rsidRPr="00A52585">
        <w:rPr>
          <w:rtl/>
        </w:rPr>
        <w:t>،</w:t>
      </w:r>
      <w:r w:rsidRPr="00A52585">
        <w:rPr>
          <w:rtl/>
        </w:rPr>
        <w:t xml:space="preserve"> ولم يلزم منها أن يكون القائل بها م</w:t>
      </w:r>
      <w:r w:rsidRPr="00A52585">
        <w:rPr>
          <w:rFonts w:hint="cs"/>
          <w:rtl/>
        </w:rPr>
        <w:t>ش</w:t>
      </w:r>
      <w:r w:rsidRPr="00A52585">
        <w:rPr>
          <w:rtl/>
        </w:rPr>
        <w:t>بها فكذا ها هنا</w:t>
      </w:r>
      <w:r w:rsidR="00DB731D" w:rsidRPr="00A52585">
        <w:rPr>
          <w:rtl/>
        </w:rPr>
        <w:t>،</w:t>
      </w:r>
      <w:r w:rsidRPr="00A52585">
        <w:rPr>
          <w:rtl/>
        </w:rPr>
        <w:t xml:space="preserve"> ونحن نعد الصور التي ذكرها على الاستقصاء</w:t>
      </w:r>
      <w:r w:rsidR="00DB731D" w:rsidRPr="00A52585">
        <w:rPr>
          <w:rtl/>
        </w:rPr>
        <w:t>،</w:t>
      </w:r>
      <w:r w:rsidRPr="00A52585">
        <w:rPr>
          <w:rFonts w:hint="cs"/>
          <w:rtl/>
        </w:rPr>
        <w:t xml:space="preserve"> </w:t>
      </w:r>
      <w:r w:rsidRPr="00A52585">
        <w:rPr>
          <w:rtl/>
        </w:rPr>
        <w:t>فالأول</w:t>
      </w:r>
      <w:r w:rsidR="0002035C" w:rsidRPr="00A52585">
        <w:rPr>
          <w:rtl/>
        </w:rPr>
        <w:t>:</w:t>
      </w:r>
      <w:r w:rsidRPr="00A52585">
        <w:rPr>
          <w:rtl/>
        </w:rPr>
        <w:t xml:space="preserve"> أنه تعالى قال في هذه </w:t>
      </w:r>
      <w:proofErr w:type="spellStart"/>
      <w:r w:rsidRPr="00A52585">
        <w:rPr>
          <w:rtl/>
        </w:rPr>
        <w:t>الآيه</w:t>
      </w:r>
      <w:proofErr w:type="spellEnd"/>
      <w:r w:rsidR="0002035C" w:rsidRPr="00A52585">
        <w:rPr>
          <w:rtl/>
        </w:rPr>
        <w:t>:</w:t>
      </w:r>
      <w:r w:rsidRPr="00A52585">
        <w:rPr>
          <w:rtl/>
        </w:rPr>
        <w:t xml:space="preserve"> " وهو السميع البصير " وقال في حق الإنسان " فجعلنه سميعا بصيراً"</w:t>
      </w:r>
      <w:r w:rsidR="00DB731D" w:rsidRPr="00A52585">
        <w:rPr>
          <w:rtl/>
        </w:rPr>
        <w:t>،</w:t>
      </w:r>
      <w:r w:rsidR="0002035C" w:rsidRPr="00A52585">
        <w:rPr>
          <w:rFonts w:hint="cs"/>
          <w:rtl/>
        </w:rPr>
        <w:t xml:space="preserve"> </w:t>
      </w:r>
      <w:proofErr w:type="spellStart"/>
      <w:r w:rsidRPr="00A52585">
        <w:rPr>
          <w:rtl/>
        </w:rPr>
        <w:t>الثانى</w:t>
      </w:r>
      <w:proofErr w:type="spellEnd"/>
      <w:r w:rsidR="0002035C" w:rsidRPr="00A52585">
        <w:rPr>
          <w:rtl/>
        </w:rPr>
        <w:t>:</w:t>
      </w:r>
      <w:r w:rsidRPr="00A52585">
        <w:rPr>
          <w:rtl/>
        </w:rPr>
        <w:t xml:space="preserve"> قال</w:t>
      </w:r>
      <w:r w:rsidR="0002035C" w:rsidRPr="00A52585">
        <w:rPr>
          <w:rtl/>
        </w:rPr>
        <w:t>:</w:t>
      </w:r>
      <w:r w:rsidRPr="00A52585">
        <w:rPr>
          <w:rtl/>
        </w:rPr>
        <w:t xml:space="preserve"> " وقل اعملوا فسيرى الله عملكم ورسوله " وقال في حق المخلوقين</w:t>
      </w:r>
      <w:r w:rsidR="0002035C" w:rsidRPr="00A52585">
        <w:rPr>
          <w:rtl/>
        </w:rPr>
        <w:t>:</w:t>
      </w:r>
      <w:r w:rsidRPr="00A52585">
        <w:rPr>
          <w:rtl/>
        </w:rPr>
        <w:t xml:space="preserve"> " ألم يروا إلى الطير مسخرات في جو</w:t>
      </w:r>
      <w:r w:rsidRPr="00A52585">
        <w:rPr>
          <w:rFonts w:hint="cs"/>
          <w:rtl/>
        </w:rPr>
        <w:t xml:space="preserve"> </w:t>
      </w:r>
      <w:proofErr w:type="spellStart"/>
      <w:r w:rsidRPr="00A52585">
        <w:rPr>
          <w:rtl/>
        </w:rPr>
        <w:t>السمآء</w:t>
      </w:r>
      <w:proofErr w:type="spellEnd"/>
      <w:r w:rsidRPr="00A52585">
        <w:rPr>
          <w:rtl/>
        </w:rPr>
        <w:t>"</w:t>
      </w:r>
      <w:r w:rsidR="00DB731D" w:rsidRPr="00A52585">
        <w:rPr>
          <w:rtl/>
        </w:rPr>
        <w:t>،</w:t>
      </w:r>
      <w:r w:rsidRPr="00A52585">
        <w:rPr>
          <w:rFonts w:hint="cs"/>
          <w:rtl/>
        </w:rPr>
        <w:t xml:space="preserve"> </w:t>
      </w:r>
      <w:r w:rsidRPr="00A52585">
        <w:rPr>
          <w:rtl/>
        </w:rPr>
        <w:t>الثالث</w:t>
      </w:r>
      <w:r w:rsidR="0002035C" w:rsidRPr="00A52585">
        <w:rPr>
          <w:rtl/>
        </w:rPr>
        <w:t>:</w:t>
      </w:r>
      <w:r w:rsidRPr="00A52585">
        <w:rPr>
          <w:rtl/>
        </w:rPr>
        <w:t xml:space="preserve"> قال</w:t>
      </w:r>
      <w:r w:rsidR="0002035C" w:rsidRPr="00A52585">
        <w:rPr>
          <w:rtl/>
        </w:rPr>
        <w:t>:</w:t>
      </w:r>
      <w:r w:rsidRPr="00A52585">
        <w:rPr>
          <w:rtl/>
        </w:rPr>
        <w:t xml:space="preserve"> " واصنع الفلك </w:t>
      </w:r>
      <w:proofErr w:type="spellStart"/>
      <w:r w:rsidRPr="00A52585">
        <w:rPr>
          <w:rtl/>
        </w:rPr>
        <w:t>بأعينا</w:t>
      </w:r>
      <w:proofErr w:type="spellEnd"/>
      <w:r w:rsidRPr="00A52585">
        <w:rPr>
          <w:rtl/>
        </w:rPr>
        <w:t xml:space="preserve"> " " واصبر لحكم ربك فإنك </w:t>
      </w:r>
      <w:proofErr w:type="spellStart"/>
      <w:r w:rsidRPr="00A52585">
        <w:rPr>
          <w:rtl/>
        </w:rPr>
        <w:t>بأعينا</w:t>
      </w:r>
      <w:proofErr w:type="spellEnd"/>
      <w:r w:rsidRPr="00A52585">
        <w:rPr>
          <w:rtl/>
        </w:rPr>
        <w:t xml:space="preserve"> " وقال في حق المخلوقين</w:t>
      </w:r>
      <w:r w:rsidR="0002035C" w:rsidRPr="00A52585">
        <w:rPr>
          <w:rtl/>
        </w:rPr>
        <w:t>:</w:t>
      </w:r>
      <w:r w:rsidRPr="00A52585">
        <w:rPr>
          <w:rtl/>
        </w:rPr>
        <w:t xml:space="preserve"> " ترى أعينهم تفيض من الدمع "</w:t>
      </w:r>
      <w:r w:rsidR="00DB731D" w:rsidRPr="00A52585">
        <w:rPr>
          <w:rFonts w:hint="cs"/>
          <w:rtl/>
        </w:rPr>
        <w:t>،</w:t>
      </w:r>
      <w:r w:rsidRPr="00A52585">
        <w:rPr>
          <w:rFonts w:hint="cs"/>
          <w:rtl/>
        </w:rPr>
        <w:t xml:space="preserve"> </w:t>
      </w:r>
      <w:r w:rsidRPr="00A52585">
        <w:rPr>
          <w:rtl/>
        </w:rPr>
        <w:t>الرابع</w:t>
      </w:r>
      <w:r w:rsidR="0002035C" w:rsidRPr="00A52585">
        <w:rPr>
          <w:rtl/>
        </w:rPr>
        <w:t>:</w:t>
      </w:r>
      <w:r w:rsidRPr="00A52585">
        <w:rPr>
          <w:rtl/>
        </w:rPr>
        <w:t xml:space="preserve"> قال لإبليس</w:t>
      </w:r>
      <w:r w:rsidR="0002035C" w:rsidRPr="00A52585">
        <w:rPr>
          <w:rtl/>
        </w:rPr>
        <w:t>:</w:t>
      </w:r>
      <w:r w:rsidRPr="00A52585">
        <w:rPr>
          <w:rtl/>
        </w:rPr>
        <w:t xml:space="preserve"> " ما منعك أن تسجد لما خلقت </w:t>
      </w:r>
      <w:proofErr w:type="spellStart"/>
      <w:r w:rsidRPr="00A52585">
        <w:rPr>
          <w:rtl/>
        </w:rPr>
        <w:t>بيدى</w:t>
      </w:r>
      <w:proofErr w:type="spellEnd"/>
      <w:r w:rsidRPr="00A52585">
        <w:rPr>
          <w:rtl/>
        </w:rPr>
        <w:t xml:space="preserve"> " وقال</w:t>
      </w:r>
      <w:r w:rsidR="0002035C" w:rsidRPr="00A52585">
        <w:rPr>
          <w:rtl/>
        </w:rPr>
        <w:t>:</w:t>
      </w:r>
      <w:r w:rsidRPr="00A52585">
        <w:rPr>
          <w:rtl/>
        </w:rPr>
        <w:t xml:space="preserve"> " بل يداه مبسوطتان "</w:t>
      </w:r>
      <w:r w:rsidR="00DB731D" w:rsidRPr="00A52585">
        <w:rPr>
          <w:rFonts w:hint="cs"/>
          <w:rtl/>
        </w:rPr>
        <w:t>،</w:t>
      </w:r>
      <w:r w:rsidRPr="00A52585">
        <w:rPr>
          <w:rFonts w:hint="cs"/>
          <w:rtl/>
        </w:rPr>
        <w:t xml:space="preserve"> </w:t>
      </w:r>
      <w:r w:rsidRPr="00A52585">
        <w:rPr>
          <w:rtl/>
        </w:rPr>
        <w:t>وقال</w:t>
      </w:r>
      <w:r w:rsidR="0002035C" w:rsidRPr="00A52585">
        <w:rPr>
          <w:rFonts w:hint="cs"/>
          <w:rtl/>
        </w:rPr>
        <w:t>:</w:t>
      </w:r>
      <w:r w:rsidRPr="00A52585">
        <w:rPr>
          <w:rtl/>
        </w:rPr>
        <w:t xml:space="preserve"> في حق المخلوقين</w:t>
      </w:r>
      <w:r w:rsidR="0002035C" w:rsidRPr="00A52585">
        <w:rPr>
          <w:rtl/>
        </w:rPr>
        <w:t>:</w:t>
      </w:r>
      <w:r w:rsidRPr="00A52585">
        <w:rPr>
          <w:rtl/>
        </w:rPr>
        <w:t xml:space="preserve"> " ذلك بما قدمت أيديكم " " ذلك بما قدمت يداك " " إن الذين يبايعونك إنما يبايعون الله يد الله فوق أيديهم"</w:t>
      </w:r>
      <w:r w:rsidR="00DB731D" w:rsidRPr="00A52585">
        <w:rPr>
          <w:rFonts w:hint="cs"/>
          <w:rtl/>
        </w:rPr>
        <w:t>،</w:t>
      </w:r>
      <w:r w:rsidRPr="00A52585">
        <w:rPr>
          <w:rFonts w:hint="cs"/>
          <w:rtl/>
        </w:rPr>
        <w:t xml:space="preserve"> </w:t>
      </w:r>
      <w:r w:rsidRPr="00A52585">
        <w:rPr>
          <w:rtl/>
        </w:rPr>
        <w:t>الخامس</w:t>
      </w:r>
      <w:r w:rsidR="0002035C" w:rsidRPr="00A52585">
        <w:rPr>
          <w:rtl/>
        </w:rPr>
        <w:t>:</w:t>
      </w:r>
      <w:r w:rsidRPr="00A52585">
        <w:rPr>
          <w:rtl/>
        </w:rPr>
        <w:t xml:space="preserve"> قال تعالى</w:t>
      </w:r>
      <w:r w:rsidR="0002035C" w:rsidRPr="00A52585">
        <w:rPr>
          <w:rtl/>
        </w:rPr>
        <w:t>:</w:t>
      </w:r>
      <w:r w:rsidRPr="00A52585">
        <w:rPr>
          <w:rtl/>
        </w:rPr>
        <w:t xml:space="preserve"> " الرحمن على العرش استوى "، </w:t>
      </w:r>
      <w:r w:rsidRPr="00A52585">
        <w:rPr>
          <w:rtl/>
        </w:rPr>
        <w:lastRenderedPageBreak/>
        <w:t>وقال في الذين يركبون الدواب</w:t>
      </w:r>
      <w:r w:rsidR="0002035C" w:rsidRPr="00A52585">
        <w:rPr>
          <w:rtl/>
        </w:rPr>
        <w:t>:</w:t>
      </w:r>
      <w:r w:rsidRPr="00A52585">
        <w:rPr>
          <w:rtl/>
        </w:rPr>
        <w:t xml:space="preserve"> " </w:t>
      </w:r>
      <w:proofErr w:type="spellStart"/>
      <w:r w:rsidRPr="00A52585">
        <w:rPr>
          <w:rtl/>
        </w:rPr>
        <w:t>لتستوا</w:t>
      </w:r>
      <w:proofErr w:type="spellEnd"/>
      <w:r w:rsidRPr="00A52585">
        <w:rPr>
          <w:rtl/>
        </w:rPr>
        <w:t xml:space="preserve"> على ظهوره " وقال في سفينة نوح</w:t>
      </w:r>
      <w:r w:rsidR="0002035C" w:rsidRPr="00A52585">
        <w:rPr>
          <w:rFonts w:hint="cs"/>
          <w:rtl/>
        </w:rPr>
        <w:t>:</w:t>
      </w:r>
      <w:r w:rsidRPr="00A52585">
        <w:rPr>
          <w:rtl/>
        </w:rPr>
        <w:t xml:space="preserve"> " واستوت على </w:t>
      </w:r>
      <w:proofErr w:type="spellStart"/>
      <w:r w:rsidRPr="00A52585">
        <w:rPr>
          <w:rtl/>
        </w:rPr>
        <w:t>الجودى</w:t>
      </w:r>
      <w:proofErr w:type="spellEnd"/>
      <w:r w:rsidRPr="00A52585">
        <w:rPr>
          <w:rFonts w:hint="cs"/>
          <w:rtl/>
        </w:rPr>
        <w:t xml:space="preserve"> "</w:t>
      </w:r>
      <w:r w:rsidR="00DB731D" w:rsidRPr="00A52585">
        <w:rPr>
          <w:rFonts w:hint="cs"/>
          <w:rtl/>
        </w:rPr>
        <w:t>،</w:t>
      </w:r>
      <w:r w:rsidRPr="00A52585">
        <w:rPr>
          <w:rFonts w:hint="cs"/>
          <w:rtl/>
        </w:rPr>
        <w:t xml:space="preserve"> </w:t>
      </w:r>
      <w:r w:rsidRPr="00A52585">
        <w:rPr>
          <w:rtl/>
        </w:rPr>
        <w:t>السادس</w:t>
      </w:r>
      <w:r w:rsidR="0002035C" w:rsidRPr="00A52585">
        <w:rPr>
          <w:rtl/>
        </w:rPr>
        <w:t>:</w:t>
      </w:r>
      <w:r w:rsidRPr="00A52585">
        <w:rPr>
          <w:rtl/>
        </w:rPr>
        <w:t xml:space="preserve"> سمى نفسه عزيزاً</w:t>
      </w:r>
      <w:r w:rsidR="00DB731D" w:rsidRPr="00A52585">
        <w:rPr>
          <w:rtl/>
        </w:rPr>
        <w:t>،</w:t>
      </w:r>
      <w:r w:rsidRPr="00A52585">
        <w:rPr>
          <w:rFonts w:hint="cs"/>
          <w:rtl/>
        </w:rPr>
        <w:t xml:space="preserve"> </w:t>
      </w:r>
      <w:r w:rsidRPr="00A52585">
        <w:rPr>
          <w:rtl/>
        </w:rPr>
        <w:t>فقال:" العزيز الجبار " ثم ذكر هذا الاسم في حق المخلوقين فقال</w:t>
      </w:r>
      <w:r w:rsidR="0002035C" w:rsidRPr="00A52585">
        <w:rPr>
          <w:rtl/>
        </w:rPr>
        <w:t>:</w:t>
      </w:r>
      <w:r w:rsidRPr="00A52585">
        <w:rPr>
          <w:rtl/>
        </w:rPr>
        <w:t xml:space="preserve"> " يأيها العزيز إن له أبا شيخا كبيرا " " يأيها العزيز مسنا وأهلنا الضر"</w:t>
      </w:r>
      <w:r w:rsidR="00DB731D" w:rsidRPr="00A52585">
        <w:rPr>
          <w:rFonts w:hint="cs"/>
          <w:rtl/>
        </w:rPr>
        <w:t>،</w:t>
      </w:r>
      <w:r w:rsidRPr="00A52585">
        <w:rPr>
          <w:rFonts w:hint="cs"/>
          <w:rtl/>
        </w:rPr>
        <w:t xml:space="preserve"> </w:t>
      </w:r>
      <w:r w:rsidRPr="00A52585">
        <w:rPr>
          <w:rtl/>
        </w:rPr>
        <w:t>السابع</w:t>
      </w:r>
      <w:r w:rsidR="0002035C" w:rsidRPr="00A52585">
        <w:rPr>
          <w:rtl/>
        </w:rPr>
        <w:t>:</w:t>
      </w:r>
      <w:r w:rsidRPr="00A52585">
        <w:rPr>
          <w:rtl/>
        </w:rPr>
        <w:t xml:space="preserve"> سمى نفسه بالملك</w:t>
      </w:r>
      <w:r w:rsidR="00DB731D" w:rsidRPr="00A52585">
        <w:rPr>
          <w:rtl/>
        </w:rPr>
        <w:t>،</w:t>
      </w:r>
      <w:r w:rsidRPr="00A52585">
        <w:rPr>
          <w:rtl/>
        </w:rPr>
        <w:t xml:space="preserve"> وسمى بعض عبيده أيضا بالملك فقال</w:t>
      </w:r>
      <w:r w:rsidR="0002035C" w:rsidRPr="00A52585">
        <w:rPr>
          <w:rFonts w:hint="cs"/>
          <w:rtl/>
        </w:rPr>
        <w:t>:</w:t>
      </w:r>
      <w:r w:rsidRPr="00A52585">
        <w:rPr>
          <w:rtl/>
        </w:rPr>
        <w:t xml:space="preserve"> </w:t>
      </w:r>
      <w:r w:rsidRPr="00A52585">
        <w:rPr>
          <w:rFonts w:hint="cs"/>
          <w:rtl/>
        </w:rPr>
        <w:t>"</w:t>
      </w:r>
      <w:r w:rsidRPr="00A52585">
        <w:rPr>
          <w:rtl/>
        </w:rPr>
        <w:t xml:space="preserve"> وقال الملك </w:t>
      </w:r>
      <w:proofErr w:type="spellStart"/>
      <w:r w:rsidRPr="00A52585">
        <w:rPr>
          <w:rtl/>
        </w:rPr>
        <w:t>ائتونى</w:t>
      </w:r>
      <w:proofErr w:type="spellEnd"/>
      <w:r w:rsidRPr="00A52585">
        <w:rPr>
          <w:rtl/>
        </w:rPr>
        <w:t xml:space="preserve"> به </w:t>
      </w:r>
      <w:r w:rsidRPr="00A52585">
        <w:rPr>
          <w:rFonts w:hint="cs"/>
          <w:rtl/>
        </w:rPr>
        <w:t>"</w:t>
      </w:r>
      <w:r w:rsidRPr="00A52585">
        <w:rPr>
          <w:rtl/>
        </w:rPr>
        <w:t xml:space="preserve"> وسمى نفسه بالعظيم ثم أوقع هذا الاسم على المخلوق فقال</w:t>
      </w:r>
      <w:r w:rsidR="0002035C" w:rsidRPr="00A52585">
        <w:rPr>
          <w:rFonts w:hint="cs"/>
          <w:rtl/>
        </w:rPr>
        <w:t>:</w:t>
      </w:r>
      <w:r w:rsidRPr="00A52585">
        <w:rPr>
          <w:rtl/>
        </w:rPr>
        <w:t xml:space="preserve"> " ورب العرش العظيم " وقال " ولها عرش عظيم "</w:t>
      </w:r>
      <w:r w:rsidR="00DB731D" w:rsidRPr="00A52585">
        <w:rPr>
          <w:rtl/>
        </w:rPr>
        <w:t>،</w:t>
      </w:r>
      <w:r w:rsidRPr="00A52585">
        <w:rPr>
          <w:rFonts w:hint="cs"/>
          <w:rtl/>
        </w:rPr>
        <w:t xml:space="preserve"> </w:t>
      </w:r>
      <w:r w:rsidRPr="00A52585">
        <w:rPr>
          <w:rtl/>
        </w:rPr>
        <w:t>وسمى نفسه بالجبار المتكبر</w:t>
      </w:r>
      <w:r w:rsidR="00DB731D" w:rsidRPr="00A52585">
        <w:rPr>
          <w:rtl/>
        </w:rPr>
        <w:t>،</w:t>
      </w:r>
      <w:r w:rsidRPr="00A52585">
        <w:rPr>
          <w:rtl/>
        </w:rPr>
        <w:t xml:space="preserve"> وأوقع هذا الاسم على المخلوق فقال</w:t>
      </w:r>
      <w:r w:rsidR="0002035C" w:rsidRPr="00A52585">
        <w:rPr>
          <w:rFonts w:hint="cs"/>
          <w:rtl/>
        </w:rPr>
        <w:t>:</w:t>
      </w:r>
      <w:r w:rsidRPr="00A52585">
        <w:rPr>
          <w:rtl/>
        </w:rPr>
        <w:t>" كذلك يطبع الله على كل قلب متكبر جبار"</w:t>
      </w:r>
      <w:r w:rsidR="00DB731D" w:rsidRPr="00A52585">
        <w:rPr>
          <w:rFonts w:hint="cs"/>
          <w:rtl/>
        </w:rPr>
        <w:t>،</w:t>
      </w:r>
      <w:r w:rsidRPr="00A52585">
        <w:rPr>
          <w:rFonts w:hint="cs"/>
          <w:rtl/>
        </w:rPr>
        <w:t xml:space="preserve"> </w:t>
      </w:r>
      <w:r w:rsidRPr="00A52585">
        <w:rPr>
          <w:rtl/>
        </w:rPr>
        <w:t xml:space="preserve">ثم طول في ضرب </w:t>
      </w:r>
      <w:proofErr w:type="spellStart"/>
      <w:r w:rsidRPr="00A52585">
        <w:rPr>
          <w:rtl/>
        </w:rPr>
        <w:t>الأمثله</w:t>
      </w:r>
      <w:proofErr w:type="spellEnd"/>
      <w:r w:rsidRPr="00A52585">
        <w:rPr>
          <w:rtl/>
        </w:rPr>
        <w:t xml:space="preserve"> من هذا الجنس</w:t>
      </w:r>
      <w:r w:rsidR="00DB731D" w:rsidRPr="00A52585">
        <w:rPr>
          <w:rtl/>
        </w:rPr>
        <w:t>،</w:t>
      </w:r>
      <w:r w:rsidRPr="00A52585">
        <w:rPr>
          <w:rtl/>
        </w:rPr>
        <w:t xml:space="preserve"> وقال</w:t>
      </w:r>
      <w:r w:rsidR="0002035C" w:rsidRPr="00A52585">
        <w:rPr>
          <w:rtl/>
        </w:rPr>
        <w:t>:</w:t>
      </w:r>
      <w:r w:rsidRPr="00A52585">
        <w:rPr>
          <w:rtl/>
        </w:rPr>
        <w:t xml:space="preserve"> ومن وقف على </w:t>
      </w:r>
      <w:proofErr w:type="spellStart"/>
      <w:r w:rsidRPr="00A52585">
        <w:rPr>
          <w:rtl/>
        </w:rPr>
        <w:t>الأمثله</w:t>
      </w:r>
      <w:proofErr w:type="spellEnd"/>
      <w:r w:rsidRPr="00A52585">
        <w:rPr>
          <w:rtl/>
        </w:rPr>
        <w:t xml:space="preserve"> التي ذكرناها أمكنه الإكثار منها فهذا ما أورده هذا الرجل في هذا الكتاب</w:t>
      </w:r>
      <w:r w:rsidR="00DB731D" w:rsidRPr="00A52585">
        <w:rPr>
          <w:rtl/>
        </w:rPr>
        <w:t>،</w:t>
      </w:r>
      <w:r w:rsidRPr="00A52585">
        <w:rPr>
          <w:rFonts w:hint="cs"/>
          <w:rtl/>
        </w:rPr>
        <w:t xml:space="preserve"> </w:t>
      </w:r>
      <w:r w:rsidRPr="00A52585">
        <w:rPr>
          <w:bCs/>
          <w:rtl/>
        </w:rPr>
        <w:t>وأقول</w:t>
      </w:r>
      <w:r w:rsidR="0002035C" w:rsidRPr="00A52585">
        <w:rPr>
          <w:rtl/>
        </w:rPr>
        <w:t>:</w:t>
      </w:r>
      <w:r w:rsidRPr="00A52585">
        <w:rPr>
          <w:rtl/>
        </w:rPr>
        <w:t xml:space="preserve"> هذا المسكين الجاهل إنما وقع في أمثال هذه الخرافات لأنه لم يعرف المثلين</w:t>
      </w:r>
      <w:r w:rsidR="00DB731D" w:rsidRPr="00A52585">
        <w:rPr>
          <w:rtl/>
        </w:rPr>
        <w:t>،</w:t>
      </w:r>
      <w:r w:rsidRPr="00A52585">
        <w:rPr>
          <w:rtl/>
        </w:rPr>
        <w:t xml:space="preserve"> وعلماء التوحيد حققوا الكلام في المثلين</w:t>
      </w:r>
      <w:r w:rsidR="00DB731D" w:rsidRPr="00A52585">
        <w:rPr>
          <w:rtl/>
        </w:rPr>
        <w:t>،</w:t>
      </w:r>
      <w:r w:rsidRPr="00A52585">
        <w:rPr>
          <w:rtl/>
        </w:rPr>
        <w:t xml:space="preserve"> ثم فرعوا عليه الاستدلال بهذه الآية. فنقول</w:t>
      </w:r>
      <w:r w:rsidR="0002035C" w:rsidRPr="00A52585">
        <w:rPr>
          <w:rtl/>
        </w:rPr>
        <w:t>:</w:t>
      </w:r>
      <w:r w:rsidRPr="00A52585">
        <w:rPr>
          <w:rtl/>
        </w:rPr>
        <w:t xml:space="preserve"> المثلان هما اللذان يقوم كل واحد منهما مقام الآخر في حقيقته وماهيته وتحقيق الكلام فيه مسبوق بمقدمة أخرى فنقول</w:t>
      </w:r>
      <w:r w:rsidR="0002035C" w:rsidRPr="00A52585">
        <w:rPr>
          <w:rtl/>
        </w:rPr>
        <w:t>:</w:t>
      </w:r>
      <w:r w:rsidRPr="00A52585">
        <w:rPr>
          <w:rtl/>
        </w:rPr>
        <w:t xml:space="preserve"> المعتبر في كل </w:t>
      </w:r>
      <w:proofErr w:type="spellStart"/>
      <w:r w:rsidRPr="00A52585">
        <w:rPr>
          <w:rtl/>
        </w:rPr>
        <w:t>شئ</w:t>
      </w:r>
      <w:proofErr w:type="spellEnd"/>
      <w:r w:rsidR="00897A24" w:rsidRPr="00A52585">
        <w:rPr>
          <w:rtl/>
        </w:rPr>
        <w:t>.</w:t>
      </w:r>
      <w:r w:rsidRPr="00A52585">
        <w:rPr>
          <w:rtl/>
        </w:rPr>
        <w:t xml:space="preserve"> إما تمام ماهيته</w:t>
      </w:r>
      <w:r w:rsidR="00DB731D" w:rsidRPr="00A52585">
        <w:rPr>
          <w:rtl/>
        </w:rPr>
        <w:t>،</w:t>
      </w:r>
      <w:r w:rsidRPr="00A52585">
        <w:rPr>
          <w:rtl/>
        </w:rPr>
        <w:t xml:space="preserve"> وإما جزء من أجزاء ماهيته</w:t>
      </w:r>
      <w:r w:rsidR="00DB731D" w:rsidRPr="00A52585">
        <w:rPr>
          <w:rtl/>
        </w:rPr>
        <w:t>،</w:t>
      </w:r>
      <w:r w:rsidRPr="00A52585">
        <w:rPr>
          <w:rtl/>
        </w:rPr>
        <w:t xml:space="preserve"> واما أمر خارج عن ماهيته</w:t>
      </w:r>
      <w:r w:rsidR="00DB731D" w:rsidRPr="00A52585">
        <w:rPr>
          <w:rtl/>
        </w:rPr>
        <w:t>،</w:t>
      </w:r>
      <w:r w:rsidRPr="00A52585">
        <w:rPr>
          <w:rFonts w:hint="cs"/>
          <w:rtl/>
        </w:rPr>
        <w:t xml:space="preserve"> </w:t>
      </w:r>
      <w:r w:rsidRPr="00A52585">
        <w:rPr>
          <w:rtl/>
        </w:rPr>
        <w:t>ولكنه يكون من لوازم تلك الماهية</w:t>
      </w:r>
      <w:r w:rsidR="00DB731D" w:rsidRPr="00A52585">
        <w:rPr>
          <w:rtl/>
        </w:rPr>
        <w:t>،</w:t>
      </w:r>
      <w:r w:rsidRPr="00A52585">
        <w:rPr>
          <w:rtl/>
        </w:rPr>
        <w:t xml:space="preserve"> وإما أمر خارج غن ماهيته</w:t>
      </w:r>
      <w:r w:rsidR="00DB731D" w:rsidRPr="00A52585">
        <w:rPr>
          <w:rtl/>
        </w:rPr>
        <w:t>،</w:t>
      </w:r>
      <w:r w:rsidRPr="00A52585">
        <w:rPr>
          <w:rtl/>
        </w:rPr>
        <w:t xml:space="preserve"> ولكنه ليس من لوازم تلك الماهية</w:t>
      </w:r>
      <w:r w:rsidR="00DB731D" w:rsidRPr="00A52585">
        <w:rPr>
          <w:rtl/>
        </w:rPr>
        <w:t>،</w:t>
      </w:r>
      <w:r w:rsidRPr="00A52585">
        <w:rPr>
          <w:rtl/>
        </w:rPr>
        <w:t xml:space="preserve"> وهذا التقسيم مبنى على الفرق بين </w:t>
      </w:r>
      <w:proofErr w:type="spellStart"/>
      <w:r w:rsidRPr="00A52585">
        <w:rPr>
          <w:rtl/>
        </w:rPr>
        <w:t>الشئ</w:t>
      </w:r>
      <w:proofErr w:type="spellEnd"/>
      <w:r w:rsidR="00DB731D" w:rsidRPr="00A52585">
        <w:rPr>
          <w:rtl/>
        </w:rPr>
        <w:t>،</w:t>
      </w:r>
      <w:r w:rsidRPr="00A52585">
        <w:rPr>
          <w:rFonts w:hint="cs"/>
          <w:rtl/>
        </w:rPr>
        <w:t xml:space="preserve"> </w:t>
      </w:r>
      <w:r w:rsidRPr="00A52585">
        <w:rPr>
          <w:rtl/>
        </w:rPr>
        <w:t>وبين الصفات القائمة به</w:t>
      </w:r>
      <w:r w:rsidR="00DB731D" w:rsidRPr="00A52585">
        <w:rPr>
          <w:rtl/>
        </w:rPr>
        <w:t>،</w:t>
      </w:r>
      <w:r w:rsidRPr="00A52585">
        <w:rPr>
          <w:rtl/>
        </w:rPr>
        <w:t xml:space="preserve"> وذلك معلوم بالبديهة</w:t>
      </w:r>
      <w:r w:rsidR="00DB731D" w:rsidRPr="00A52585">
        <w:rPr>
          <w:rFonts w:hint="cs"/>
          <w:rtl/>
        </w:rPr>
        <w:t>،</w:t>
      </w:r>
      <w:r w:rsidRPr="00A52585">
        <w:rPr>
          <w:rtl/>
        </w:rPr>
        <w:t xml:space="preserve"> فإنا نرى الحبة نم الحصرم كانت في غايه الخضرة والحموضة</w:t>
      </w:r>
      <w:r w:rsidR="00DB731D" w:rsidRPr="00A52585">
        <w:rPr>
          <w:rtl/>
        </w:rPr>
        <w:t>،</w:t>
      </w:r>
      <w:r w:rsidRPr="00A52585">
        <w:rPr>
          <w:rtl/>
        </w:rPr>
        <w:t xml:space="preserve"> ثم صارت في غاية السواد والحلاوة</w:t>
      </w:r>
      <w:r w:rsidR="00DB731D" w:rsidRPr="00A52585">
        <w:rPr>
          <w:rtl/>
        </w:rPr>
        <w:t>،</w:t>
      </w:r>
      <w:r w:rsidRPr="00A52585">
        <w:rPr>
          <w:rtl/>
        </w:rPr>
        <w:t xml:space="preserve"> فالذات باقية والصفات مختلفة</w:t>
      </w:r>
      <w:r w:rsidR="00DB731D" w:rsidRPr="00A52585">
        <w:rPr>
          <w:rtl/>
        </w:rPr>
        <w:t>،</w:t>
      </w:r>
      <w:r w:rsidRPr="00A52585">
        <w:rPr>
          <w:rtl/>
        </w:rPr>
        <w:t xml:space="preserve"> والذات الباقية مغايره للصفات المختلفة</w:t>
      </w:r>
      <w:r w:rsidR="00DB731D" w:rsidRPr="00A52585">
        <w:rPr>
          <w:rtl/>
        </w:rPr>
        <w:t>،</w:t>
      </w:r>
      <w:r w:rsidRPr="00A52585">
        <w:rPr>
          <w:rtl/>
        </w:rPr>
        <w:t xml:space="preserve"> وأيضا نرى الشعر قد كان السواد ثم صار في غايه البياض</w:t>
      </w:r>
      <w:r w:rsidR="00DB731D" w:rsidRPr="00A52585">
        <w:rPr>
          <w:rtl/>
        </w:rPr>
        <w:t>،</w:t>
      </w:r>
      <w:r w:rsidRPr="00A52585">
        <w:rPr>
          <w:rtl/>
        </w:rPr>
        <w:t xml:space="preserve"> فالذات باقية</w:t>
      </w:r>
      <w:r w:rsidR="00DB731D" w:rsidRPr="00A52585">
        <w:rPr>
          <w:rtl/>
        </w:rPr>
        <w:t>،</w:t>
      </w:r>
      <w:r w:rsidRPr="00A52585">
        <w:rPr>
          <w:rtl/>
        </w:rPr>
        <w:t xml:space="preserve"> والصفات متبدلة، </w:t>
      </w:r>
      <w:proofErr w:type="spellStart"/>
      <w:r w:rsidRPr="00A52585">
        <w:rPr>
          <w:rtl/>
        </w:rPr>
        <w:t>والباقى</w:t>
      </w:r>
      <w:proofErr w:type="spellEnd"/>
      <w:r w:rsidRPr="00A52585">
        <w:rPr>
          <w:rtl/>
        </w:rPr>
        <w:t xml:space="preserve"> غير المتبدل</w:t>
      </w:r>
      <w:r w:rsidR="00DB731D" w:rsidRPr="00A52585">
        <w:rPr>
          <w:rtl/>
        </w:rPr>
        <w:t>،</w:t>
      </w:r>
      <w:r w:rsidRPr="00A52585">
        <w:rPr>
          <w:rtl/>
        </w:rPr>
        <w:t xml:space="preserve"> فظهر بما ذكرنا أن الذوات مغايرة الصفات</w:t>
      </w:r>
      <w:r w:rsidR="00DB731D" w:rsidRPr="00A52585">
        <w:rPr>
          <w:rtl/>
        </w:rPr>
        <w:t>،</w:t>
      </w:r>
      <w:r w:rsidRPr="00A52585">
        <w:rPr>
          <w:rFonts w:hint="cs"/>
          <w:rtl/>
        </w:rPr>
        <w:t xml:space="preserve"> </w:t>
      </w:r>
      <w:proofErr w:type="spellStart"/>
      <w:r w:rsidRPr="00A52585">
        <w:rPr>
          <w:rtl/>
        </w:rPr>
        <w:t>وأذا</w:t>
      </w:r>
      <w:proofErr w:type="spellEnd"/>
      <w:r w:rsidRPr="00A52585">
        <w:rPr>
          <w:rtl/>
        </w:rPr>
        <w:t xml:space="preserve"> عرفت هذا فنقول الأجسام التي تألف منها وجه الكلب والقرد مساويه للأجسام التي تألف وجه الإنسان والفرس</w:t>
      </w:r>
      <w:r w:rsidR="00DB731D" w:rsidRPr="00A52585">
        <w:rPr>
          <w:rtl/>
        </w:rPr>
        <w:t>،</w:t>
      </w:r>
      <w:r w:rsidRPr="00A52585">
        <w:rPr>
          <w:rtl/>
        </w:rPr>
        <w:t xml:space="preserve"> وإنما حصل الاختلاف بسبب الأعراض القائمة وهى الألوان والأشكال والخشونة والملامسة</w:t>
      </w:r>
      <w:r w:rsidR="00DB731D" w:rsidRPr="00A52585">
        <w:rPr>
          <w:rtl/>
        </w:rPr>
        <w:t>،</w:t>
      </w:r>
      <w:r w:rsidRPr="00A52585">
        <w:rPr>
          <w:rtl/>
        </w:rPr>
        <w:t xml:space="preserve"> وحصول الشعور فيه وعدم حصولها</w:t>
      </w:r>
      <w:r w:rsidR="00DB731D" w:rsidRPr="00A52585">
        <w:rPr>
          <w:rtl/>
        </w:rPr>
        <w:t>،</w:t>
      </w:r>
      <w:r w:rsidRPr="00A52585">
        <w:rPr>
          <w:rtl/>
        </w:rPr>
        <w:t xml:space="preserve"> فالاختلاف إنما وقع بسبب الاختلاف في الصفات والأعراض</w:t>
      </w:r>
      <w:r w:rsidR="00DB731D" w:rsidRPr="00A52585">
        <w:rPr>
          <w:rtl/>
        </w:rPr>
        <w:t>،</w:t>
      </w:r>
      <w:r w:rsidRPr="00A52585">
        <w:rPr>
          <w:rtl/>
        </w:rPr>
        <w:t xml:space="preserve"> فأما ذوات الأجسام </w:t>
      </w:r>
      <w:proofErr w:type="spellStart"/>
      <w:r w:rsidRPr="00A52585">
        <w:rPr>
          <w:rtl/>
        </w:rPr>
        <w:t>فهى</w:t>
      </w:r>
      <w:proofErr w:type="spellEnd"/>
      <w:r w:rsidRPr="00A52585">
        <w:rPr>
          <w:rtl/>
        </w:rPr>
        <w:t xml:space="preserve"> متماثلة إلا أن العوام لا يعرفون الفرق بين الصفات</w:t>
      </w:r>
      <w:r w:rsidR="00DB731D" w:rsidRPr="00A52585">
        <w:rPr>
          <w:rtl/>
        </w:rPr>
        <w:t>،</w:t>
      </w:r>
      <w:r w:rsidRPr="00A52585">
        <w:rPr>
          <w:rtl/>
        </w:rPr>
        <w:t xml:space="preserve"> فلا جرم </w:t>
      </w:r>
      <w:proofErr w:type="spellStart"/>
      <w:r w:rsidRPr="00A52585">
        <w:rPr>
          <w:rtl/>
        </w:rPr>
        <w:t>يقواون</w:t>
      </w:r>
      <w:proofErr w:type="spellEnd"/>
      <w:r w:rsidRPr="00A52585">
        <w:rPr>
          <w:rtl/>
        </w:rPr>
        <w:t xml:space="preserve"> إن وجه الإنسان مخالف لوجه الحمار، ولقد صدقوا فإنه حصلت تلك المخالفة بسبب الشكل واللون وسائر الصفات</w:t>
      </w:r>
      <w:r w:rsidR="00DB731D" w:rsidRPr="00A52585">
        <w:rPr>
          <w:rtl/>
        </w:rPr>
        <w:t>،</w:t>
      </w:r>
      <w:r w:rsidRPr="00A52585">
        <w:rPr>
          <w:rtl/>
        </w:rPr>
        <w:t xml:space="preserve"> فأما الأجسام من حيث إنها أجسام </w:t>
      </w:r>
      <w:proofErr w:type="spellStart"/>
      <w:r w:rsidRPr="00A52585">
        <w:rPr>
          <w:rtl/>
        </w:rPr>
        <w:t>فهى</w:t>
      </w:r>
      <w:proofErr w:type="spellEnd"/>
      <w:r w:rsidRPr="00A52585">
        <w:rPr>
          <w:rtl/>
        </w:rPr>
        <w:t xml:space="preserve"> متماثلة متساوية</w:t>
      </w:r>
      <w:r w:rsidR="00DB731D" w:rsidRPr="00A52585">
        <w:rPr>
          <w:rtl/>
        </w:rPr>
        <w:t>،</w:t>
      </w:r>
      <w:r w:rsidRPr="00A52585">
        <w:rPr>
          <w:rtl/>
        </w:rPr>
        <w:t xml:space="preserve"> فثبت أن الكلام الذى أورده إنما ذكره لأجل أنه كان من العوام</w:t>
      </w:r>
      <w:r w:rsidR="00DB731D" w:rsidRPr="00A52585">
        <w:rPr>
          <w:rtl/>
        </w:rPr>
        <w:t>،</w:t>
      </w:r>
      <w:r w:rsidRPr="00A52585">
        <w:rPr>
          <w:rtl/>
        </w:rPr>
        <w:t xml:space="preserve"> وما كان يعرف أن المعتبر في التماثل والاختلاف حقائق الأشياء وماهياتها لا الأعراض والصفات القائمة بها إلخ ما أورده الفخر </w:t>
      </w:r>
      <w:proofErr w:type="spellStart"/>
      <w:r w:rsidRPr="00A52585">
        <w:rPr>
          <w:rtl/>
        </w:rPr>
        <w:t>الرازى</w:t>
      </w:r>
      <w:proofErr w:type="spellEnd"/>
      <w:r w:rsidRPr="00A52585">
        <w:rPr>
          <w:rtl/>
        </w:rPr>
        <w:t xml:space="preserve"> هنا</w:t>
      </w:r>
      <w:r w:rsidR="00DB731D" w:rsidRPr="00A52585">
        <w:rPr>
          <w:rtl/>
        </w:rPr>
        <w:t>،</w:t>
      </w:r>
      <w:r w:rsidRPr="00A52585">
        <w:rPr>
          <w:rFonts w:hint="cs"/>
          <w:rtl/>
        </w:rPr>
        <w:t xml:space="preserve"> </w:t>
      </w:r>
      <w:r w:rsidRPr="00A52585">
        <w:rPr>
          <w:rtl/>
        </w:rPr>
        <w:lastRenderedPageBreak/>
        <w:t>ويكفى هذا القدر في تحليل كتاب ابن خزيمة وبيان ما احتوى عليه من مغالطات وجهالات</w:t>
      </w:r>
      <w:r w:rsidR="00DB731D" w:rsidRPr="00A52585">
        <w:rPr>
          <w:rtl/>
        </w:rPr>
        <w:t>،</w:t>
      </w:r>
      <w:r w:rsidRPr="00A52585">
        <w:rPr>
          <w:rtl/>
        </w:rPr>
        <w:t xml:space="preserve"> فكيف يكون هذا الكتاب متمسك للخصوم</w:t>
      </w:r>
      <w:r w:rsidR="00DB731D" w:rsidRPr="00A52585">
        <w:rPr>
          <w:rtl/>
        </w:rPr>
        <w:t>،</w:t>
      </w:r>
      <w:r w:rsidRPr="00A52585">
        <w:rPr>
          <w:rFonts w:hint="cs"/>
          <w:rtl/>
        </w:rPr>
        <w:t xml:space="preserve"> </w:t>
      </w:r>
    </w:p>
    <w:p w14:paraId="2DFC000A" w14:textId="31F80A4B" w:rsidR="00777DCB" w:rsidRPr="00A52585" w:rsidRDefault="00777DCB" w:rsidP="0002035C">
      <w:pPr>
        <w:spacing w:after="240"/>
        <w:rPr>
          <w:rtl/>
        </w:rPr>
      </w:pPr>
      <w:r w:rsidRPr="00A52585">
        <w:rPr>
          <w:rFonts w:cs="Monotype Koufi"/>
          <w:rtl/>
          <w:lang w:bidi="ar-KW"/>
        </w:rPr>
        <w:t xml:space="preserve">صورة فتوى لمشيخة الأزهر في عهد المغفور له الشيخ </w:t>
      </w:r>
      <w:proofErr w:type="spellStart"/>
      <w:r w:rsidRPr="00A52585">
        <w:rPr>
          <w:rFonts w:cs="Monotype Koufi"/>
          <w:rtl/>
          <w:lang w:bidi="ar-KW"/>
        </w:rPr>
        <w:t>الجيزاوى</w:t>
      </w:r>
      <w:proofErr w:type="spellEnd"/>
      <w:r w:rsidRPr="00A52585">
        <w:rPr>
          <w:rtl/>
        </w:rPr>
        <w:t xml:space="preserve"> عن كتاب " اجتماع الجيوش الإسلامية" وما جاء ف</w:t>
      </w:r>
      <w:r w:rsidRPr="00A52585">
        <w:rPr>
          <w:rFonts w:hint="cs"/>
          <w:rtl/>
        </w:rPr>
        <w:t>ي</w:t>
      </w:r>
      <w:r w:rsidRPr="00A52585">
        <w:rPr>
          <w:rtl/>
        </w:rPr>
        <w:t xml:space="preserve">ه من رأى </w:t>
      </w:r>
      <w:proofErr w:type="spellStart"/>
      <w:r w:rsidRPr="00A52585">
        <w:rPr>
          <w:rtl/>
        </w:rPr>
        <w:t>المشبة</w:t>
      </w:r>
      <w:proofErr w:type="spellEnd"/>
      <w:r w:rsidR="00DB731D" w:rsidRPr="00A52585">
        <w:rPr>
          <w:rFonts w:hint="cs"/>
          <w:rtl/>
        </w:rPr>
        <w:t>،</w:t>
      </w:r>
      <w:r w:rsidRPr="00A52585">
        <w:rPr>
          <w:rFonts w:hint="cs"/>
          <w:rtl/>
        </w:rPr>
        <w:t xml:space="preserve"> </w:t>
      </w:r>
      <w:r w:rsidRPr="00A52585">
        <w:rPr>
          <w:rtl/>
        </w:rPr>
        <w:t xml:space="preserve">" هو الذى أنزل عليك الكتب منه إيت </w:t>
      </w:r>
      <w:proofErr w:type="spellStart"/>
      <w:r w:rsidRPr="00A52585">
        <w:rPr>
          <w:rtl/>
        </w:rPr>
        <w:t>محكمت</w:t>
      </w:r>
      <w:proofErr w:type="spellEnd"/>
      <w:r w:rsidRPr="00A52585">
        <w:rPr>
          <w:rtl/>
        </w:rPr>
        <w:t xml:space="preserve"> هن أم الكتب وأخر متشابهات فأما الذين في زيغ فيتبعون ما تشبه منه ابتغاء الفتنه وابتغاء تأويله وما تأويله إلا الله </w:t>
      </w:r>
      <w:proofErr w:type="spellStart"/>
      <w:r w:rsidRPr="00A52585">
        <w:rPr>
          <w:rtl/>
        </w:rPr>
        <w:t>والسخون</w:t>
      </w:r>
      <w:proofErr w:type="spellEnd"/>
      <w:r w:rsidRPr="00A52585">
        <w:rPr>
          <w:rtl/>
        </w:rPr>
        <w:t xml:space="preserve"> في العلم يقولون إمنا به كل من عند ربنا وما يذكر إلا </w:t>
      </w:r>
      <w:proofErr w:type="spellStart"/>
      <w:r w:rsidRPr="00A52585">
        <w:rPr>
          <w:rtl/>
        </w:rPr>
        <w:t>أولوالألبب</w:t>
      </w:r>
      <w:proofErr w:type="spellEnd"/>
      <w:r w:rsidR="0002035C" w:rsidRPr="00A52585">
        <w:rPr>
          <w:rtl/>
        </w:rPr>
        <w:t xml:space="preserve"> </w:t>
      </w:r>
      <w:r w:rsidRPr="00A52585">
        <w:rPr>
          <w:rtl/>
        </w:rPr>
        <w:t>"</w:t>
      </w:r>
      <w:r w:rsidR="00DB731D" w:rsidRPr="00A52585">
        <w:rPr>
          <w:rFonts w:hint="cs"/>
          <w:rtl/>
        </w:rPr>
        <w:t>،</w:t>
      </w:r>
      <w:r w:rsidR="0002035C" w:rsidRPr="00A52585">
        <w:rPr>
          <w:rFonts w:hint="cs"/>
          <w:rtl/>
        </w:rPr>
        <w:t xml:space="preserve"> </w:t>
      </w:r>
      <w:r w:rsidRPr="00A52585">
        <w:rPr>
          <w:rtl/>
        </w:rPr>
        <w:t xml:space="preserve">القول في كتاب اجتماع الجيوش الإسلامية </w:t>
      </w:r>
      <w:proofErr w:type="spellStart"/>
      <w:r w:rsidRPr="00A52585">
        <w:rPr>
          <w:rtl/>
        </w:rPr>
        <w:t>العزوإلى</w:t>
      </w:r>
      <w:proofErr w:type="spellEnd"/>
      <w:r w:rsidRPr="00A52585">
        <w:rPr>
          <w:rtl/>
        </w:rPr>
        <w:t xml:space="preserve"> ابن قيم الجوزية الذى رفع إلى مشيخة الأزهر لإبداء رأيها فيه وها هو</w:t>
      </w:r>
      <w:r w:rsidR="0002035C" w:rsidRPr="00A52585">
        <w:rPr>
          <w:rtl/>
        </w:rPr>
        <w:t>:</w:t>
      </w:r>
      <w:r w:rsidRPr="00A52585">
        <w:rPr>
          <w:rFonts w:hint="cs"/>
          <w:rtl/>
        </w:rPr>
        <w:t xml:space="preserve"> </w:t>
      </w:r>
      <w:r w:rsidRPr="00A52585">
        <w:rPr>
          <w:rtl/>
        </w:rPr>
        <w:t xml:space="preserve">هذا الكتاب وضعه مؤلفه ابن القيم تأييداً من </w:t>
      </w:r>
      <w:proofErr w:type="spellStart"/>
      <w:r w:rsidRPr="00A52585">
        <w:rPr>
          <w:rtl/>
        </w:rPr>
        <w:t>القرأن</w:t>
      </w:r>
      <w:proofErr w:type="spellEnd"/>
      <w:r w:rsidRPr="00A52585">
        <w:rPr>
          <w:rtl/>
        </w:rPr>
        <w:t xml:space="preserve"> والسنة</w:t>
      </w:r>
      <w:r w:rsidR="00DB731D" w:rsidRPr="00A52585">
        <w:rPr>
          <w:rtl/>
        </w:rPr>
        <w:t>،</w:t>
      </w:r>
      <w:r w:rsidRPr="00A52585">
        <w:rPr>
          <w:rtl/>
        </w:rPr>
        <w:t xml:space="preserve"> حيث أوجبا الإيمان بظاهر ما ورد من ذلك مهما كان مخالفا لمقتضى العقل السليم</w:t>
      </w:r>
      <w:r w:rsidR="00DB731D" w:rsidRPr="00A52585">
        <w:rPr>
          <w:rtl/>
        </w:rPr>
        <w:t>،</w:t>
      </w:r>
      <w:r w:rsidRPr="00A52585">
        <w:rPr>
          <w:rtl/>
        </w:rPr>
        <w:t xml:space="preserve"> ومهما كان صريحا في التشبيه والتجسيم</w:t>
      </w:r>
      <w:r w:rsidR="00DB731D" w:rsidRPr="00A52585">
        <w:rPr>
          <w:rtl/>
        </w:rPr>
        <w:t>،</w:t>
      </w:r>
      <w:r w:rsidRPr="00A52585">
        <w:rPr>
          <w:rtl/>
        </w:rPr>
        <w:t xml:space="preserve"> مخالفين في ذلك اجتماع الأمم الإسلامية واتفاق العلماء أجمعين على أن أصول العقائد وقضايا الإلهات إنما تؤخذ من البراهين العقلية</w:t>
      </w:r>
      <w:r w:rsidR="00DB731D" w:rsidRPr="00A52585">
        <w:rPr>
          <w:rtl/>
        </w:rPr>
        <w:t>،</w:t>
      </w:r>
      <w:r w:rsidRPr="00A52585">
        <w:rPr>
          <w:rtl/>
        </w:rPr>
        <w:t xml:space="preserve"> وأن العقل والنقل إذا تعارضا في </w:t>
      </w:r>
      <w:proofErr w:type="spellStart"/>
      <w:r w:rsidRPr="00A52585">
        <w:rPr>
          <w:rtl/>
        </w:rPr>
        <w:t>شئ</w:t>
      </w:r>
      <w:proofErr w:type="spellEnd"/>
      <w:r w:rsidRPr="00A52585">
        <w:rPr>
          <w:rtl/>
        </w:rPr>
        <w:t xml:space="preserve"> من ذلك قدم العقل لأنه أساس الإيمان بالنقل</w:t>
      </w:r>
      <w:r w:rsidR="00DB731D" w:rsidRPr="00A52585">
        <w:rPr>
          <w:rtl/>
        </w:rPr>
        <w:t>،</w:t>
      </w:r>
      <w:r w:rsidRPr="00A52585">
        <w:rPr>
          <w:rtl/>
        </w:rPr>
        <w:t xml:space="preserve"> وقد قام البرهان </w:t>
      </w:r>
      <w:proofErr w:type="spellStart"/>
      <w:r w:rsidRPr="00A52585">
        <w:rPr>
          <w:rtl/>
        </w:rPr>
        <w:t>العقلى</w:t>
      </w:r>
      <w:proofErr w:type="spellEnd"/>
      <w:r w:rsidRPr="00A52585">
        <w:rPr>
          <w:rtl/>
        </w:rPr>
        <w:t xml:space="preserve"> على وجوب تنزهه تعالى عن مشابهة الحوادث</w:t>
      </w:r>
      <w:r w:rsidR="00DB731D" w:rsidRPr="00A52585">
        <w:rPr>
          <w:rtl/>
        </w:rPr>
        <w:t>،</w:t>
      </w:r>
      <w:r w:rsidRPr="00A52585">
        <w:rPr>
          <w:rtl/>
        </w:rPr>
        <w:t xml:space="preserve"> لأنه </w:t>
      </w:r>
      <w:proofErr w:type="spellStart"/>
      <w:r w:rsidRPr="00A52585">
        <w:rPr>
          <w:rtl/>
        </w:rPr>
        <w:t>لوشابه</w:t>
      </w:r>
      <w:proofErr w:type="spellEnd"/>
      <w:r w:rsidRPr="00A52585">
        <w:rPr>
          <w:rtl/>
        </w:rPr>
        <w:t xml:space="preserve"> </w:t>
      </w:r>
      <w:proofErr w:type="spellStart"/>
      <w:r w:rsidRPr="00A52585">
        <w:rPr>
          <w:rtl/>
        </w:rPr>
        <w:t>شيأ</w:t>
      </w:r>
      <w:proofErr w:type="spellEnd"/>
      <w:r w:rsidRPr="00A52585">
        <w:rPr>
          <w:rtl/>
        </w:rPr>
        <w:t xml:space="preserve"> منها لكان حادثا مثلها وهو محال</w:t>
      </w:r>
      <w:r w:rsidR="00897A24" w:rsidRPr="00A52585">
        <w:rPr>
          <w:rtl/>
        </w:rPr>
        <w:t>.</w:t>
      </w:r>
      <w:r w:rsidRPr="00A52585">
        <w:rPr>
          <w:rtl/>
        </w:rPr>
        <w:t xml:space="preserve"> وجاءت نصوص الشرع كلها مؤيدة لهذه العقيدة إلا قليلاً من الآيات والأحاديث النبوية جاءت موهمة للتشبيه في ظاهرها</w:t>
      </w:r>
      <w:r w:rsidR="00DB731D" w:rsidRPr="00A52585">
        <w:rPr>
          <w:rtl/>
        </w:rPr>
        <w:t>،</w:t>
      </w:r>
      <w:r w:rsidRPr="00A52585">
        <w:rPr>
          <w:rtl/>
        </w:rPr>
        <w:t xml:space="preserve"> فوجب إحالتها عن ذلك الظاهر من نصوص الآيات والأحاديث المحكمة التي توجب التنزيه</w:t>
      </w:r>
      <w:r w:rsidR="00DB731D" w:rsidRPr="00A52585">
        <w:rPr>
          <w:rFonts w:hint="cs"/>
          <w:rtl/>
        </w:rPr>
        <w:t>،</w:t>
      </w:r>
      <w:r w:rsidRPr="00A52585">
        <w:rPr>
          <w:rFonts w:hint="cs"/>
          <w:rtl/>
        </w:rPr>
        <w:t xml:space="preserve"> </w:t>
      </w:r>
      <w:r w:rsidRPr="00A52585">
        <w:rPr>
          <w:rtl/>
        </w:rPr>
        <w:t>والعماء في ذلك على قسمين</w:t>
      </w:r>
      <w:r w:rsidR="0002035C" w:rsidRPr="00A52585">
        <w:rPr>
          <w:rtl/>
        </w:rPr>
        <w:t>:</w:t>
      </w:r>
      <w:r w:rsidRPr="00A52585">
        <w:rPr>
          <w:rtl/>
        </w:rPr>
        <w:t xml:space="preserve"> سلف الأمة وخيرتها الذين لم يتكلموا في ذلك بغير التقويض في علم المراد بذلك على وجه التعيين مع اعتقاد التنزيه وشددوا النكير على من سأل في ذلك وخاص في تلك المهالك</w:t>
      </w:r>
      <w:r w:rsidR="00DB731D" w:rsidRPr="00A52585">
        <w:rPr>
          <w:rtl/>
        </w:rPr>
        <w:t>،</w:t>
      </w:r>
      <w:r w:rsidRPr="00A52585">
        <w:rPr>
          <w:rtl/>
        </w:rPr>
        <w:t xml:space="preserve"> وكان الجواب بالتفويض في ذلك العهد من أمثال هؤلاء الأئمة فيه مقنع للسائل لتمكن سلطان الإيمان في القلوب إذ ذاك</w:t>
      </w:r>
      <w:r w:rsidR="00DB731D" w:rsidRPr="00A52585">
        <w:rPr>
          <w:rFonts w:hint="cs"/>
          <w:rtl/>
        </w:rPr>
        <w:t>،</w:t>
      </w:r>
      <w:r w:rsidR="0002035C" w:rsidRPr="00A52585">
        <w:rPr>
          <w:rFonts w:hint="cs"/>
          <w:rtl/>
        </w:rPr>
        <w:t xml:space="preserve"> </w:t>
      </w:r>
      <w:r w:rsidRPr="00A52585">
        <w:rPr>
          <w:rtl/>
        </w:rPr>
        <w:t>ثم جاء الخلف وقد كثر الملحدون والذين في قلوبهم زيغ وتشبثوا بمواطن الاختلاف والمتشابه من ذلك وكان الجواب بالتفويض لا ينفع لهم غلة</w:t>
      </w:r>
      <w:r w:rsidR="00DB731D" w:rsidRPr="00A52585">
        <w:rPr>
          <w:rtl/>
        </w:rPr>
        <w:t>،</w:t>
      </w:r>
      <w:r w:rsidRPr="00A52585">
        <w:rPr>
          <w:rtl/>
        </w:rPr>
        <w:t xml:space="preserve"> ولا يشفى لهم علة، وكانت أساليب </w:t>
      </w:r>
      <w:proofErr w:type="spellStart"/>
      <w:r w:rsidRPr="00A52585">
        <w:rPr>
          <w:rtl/>
        </w:rPr>
        <w:t>اللغه</w:t>
      </w:r>
      <w:proofErr w:type="spellEnd"/>
      <w:r w:rsidRPr="00A52585">
        <w:rPr>
          <w:rtl/>
        </w:rPr>
        <w:t xml:space="preserve"> العربية التي نزل بها القرآن وجاء بها الرسول قد دونت علومها</w:t>
      </w:r>
      <w:r w:rsidR="00DB731D" w:rsidRPr="00A52585">
        <w:rPr>
          <w:rtl/>
        </w:rPr>
        <w:t>،</w:t>
      </w:r>
      <w:r w:rsidRPr="00A52585">
        <w:rPr>
          <w:rtl/>
        </w:rPr>
        <w:t xml:space="preserve"> وبينت أسرارها فلم تضق ذراعا بدواء ذلك المرض بالجواب </w:t>
      </w:r>
      <w:proofErr w:type="spellStart"/>
      <w:r w:rsidRPr="00A52585">
        <w:rPr>
          <w:rtl/>
        </w:rPr>
        <w:t>العلمى</w:t>
      </w:r>
      <w:proofErr w:type="spellEnd"/>
      <w:r w:rsidRPr="00A52585">
        <w:rPr>
          <w:rtl/>
        </w:rPr>
        <w:t xml:space="preserve"> </w:t>
      </w:r>
      <w:proofErr w:type="spellStart"/>
      <w:r w:rsidRPr="00A52585">
        <w:rPr>
          <w:rtl/>
        </w:rPr>
        <w:t>الشافعى</w:t>
      </w:r>
      <w:proofErr w:type="spellEnd"/>
      <w:r w:rsidRPr="00A52585">
        <w:rPr>
          <w:rtl/>
        </w:rPr>
        <w:t xml:space="preserve"> القاطع لشأفة المجادلين في هذه الآيات ونحوها من الأحاديث</w:t>
      </w:r>
      <w:r w:rsidR="00897A24" w:rsidRPr="00A52585">
        <w:rPr>
          <w:rtl/>
        </w:rPr>
        <w:t>.</w:t>
      </w:r>
      <w:r w:rsidRPr="00A52585">
        <w:rPr>
          <w:rtl/>
        </w:rPr>
        <w:t xml:space="preserve"> ووجدوا لذلك نظائر لا تخفى في كلام العرب الذين جاء القرآن بلسانهم فأولوا كل موطن من هذه الآيات والأحاديث بما يليق به مما يناسب المقام من وجود البيان وعلى طرقه المقررة في علومه شأن علمهم في سائر الكلام </w:t>
      </w:r>
      <w:proofErr w:type="spellStart"/>
      <w:r w:rsidRPr="00A52585">
        <w:rPr>
          <w:rtl/>
        </w:rPr>
        <w:t>العربى</w:t>
      </w:r>
      <w:proofErr w:type="spellEnd"/>
      <w:r w:rsidRPr="00A52585">
        <w:rPr>
          <w:rtl/>
        </w:rPr>
        <w:t xml:space="preserve"> غير الكتاب والسنة</w:t>
      </w:r>
      <w:r w:rsidR="00DB731D" w:rsidRPr="00A52585">
        <w:rPr>
          <w:rtl/>
        </w:rPr>
        <w:t>،</w:t>
      </w:r>
      <w:r w:rsidRPr="00A52585">
        <w:rPr>
          <w:rFonts w:hint="cs"/>
          <w:rtl/>
        </w:rPr>
        <w:t xml:space="preserve"> </w:t>
      </w:r>
      <w:r w:rsidRPr="00A52585">
        <w:rPr>
          <w:rtl/>
        </w:rPr>
        <w:t>ولكن خالف في ذلك أبو</w:t>
      </w:r>
      <w:r w:rsidRPr="00A52585">
        <w:rPr>
          <w:rFonts w:hint="cs"/>
          <w:rtl/>
        </w:rPr>
        <w:t xml:space="preserve"> </w:t>
      </w:r>
      <w:r w:rsidRPr="00A52585">
        <w:rPr>
          <w:rtl/>
        </w:rPr>
        <w:t>العباس أحمد بن تيمية وتلميذه ابن القيم وطائفة ممن معهم</w:t>
      </w:r>
      <w:r w:rsidR="00DB731D" w:rsidRPr="00A52585">
        <w:rPr>
          <w:rtl/>
        </w:rPr>
        <w:t>،</w:t>
      </w:r>
      <w:r w:rsidRPr="00A52585">
        <w:rPr>
          <w:rtl/>
        </w:rPr>
        <w:t xml:space="preserve"> وقاموا بغارة </w:t>
      </w:r>
      <w:r w:rsidRPr="00A52585">
        <w:rPr>
          <w:rtl/>
        </w:rPr>
        <w:lastRenderedPageBreak/>
        <w:t xml:space="preserve">شعواء على الخلف المؤولين في إيجاب التمسك بظاهر ذلك حتى كأن القرآن والسنة لم يرد عندهم على مناهج اللغة العربية </w:t>
      </w:r>
      <w:proofErr w:type="spellStart"/>
      <w:r w:rsidRPr="00A52585">
        <w:rPr>
          <w:rtl/>
        </w:rPr>
        <w:t>ةأساليبها</w:t>
      </w:r>
      <w:proofErr w:type="spellEnd"/>
      <w:r w:rsidRPr="00A52585">
        <w:rPr>
          <w:rtl/>
        </w:rPr>
        <w:t xml:space="preserve"> المعهودة</w:t>
      </w:r>
      <w:r w:rsidR="00DB731D" w:rsidRPr="00A52585">
        <w:rPr>
          <w:rtl/>
        </w:rPr>
        <w:t>،</w:t>
      </w:r>
      <w:r w:rsidRPr="00A52585">
        <w:rPr>
          <w:rtl/>
        </w:rPr>
        <w:t xml:space="preserve"> وأفرطوا في كثرة الجدل في ذلك وجمع </w:t>
      </w:r>
      <w:proofErr w:type="spellStart"/>
      <w:r w:rsidRPr="00A52585">
        <w:rPr>
          <w:rtl/>
        </w:rPr>
        <w:t>النقول</w:t>
      </w:r>
      <w:proofErr w:type="spellEnd"/>
      <w:r w:rsidRPr="00A52585">
        <w:rPr>
          <w:rtl/>
        </w:rPr>
        <w:t xml:space="preserve"> </w:t>
      </w:r>
      <w:proofErr w:type="spellStart"/>
      <w:r w:rsidRPr="00A52585">
        <w:rPr>
          <w:rtl/>
        </w:rPr>
        <w:t>والرويات</w:t>
      </w:r>
      <w:proofErr w:type="spellEnd"/>
      <w:r w:rsidRPr="00A52585">
        <w:rPr>
          <w:rtl/>
        </w:rPr>
        <w:t xml:space="preserve"> الواهية التي لا يؤخذ بأمثالها في الفروع فضلاً عن تلك الأصول كما فعل ابن القيم في كتابه " </w:t>
      </w:r>
      <w:proofErr w:type="spellStart"/>
      <w:r w:rsidRPr="00A52585">
        <w:rPr>
          <w:rtl/>
        </w:rPr>
        <w:t>احتماع</w:t>
      </w:r>
      <w:proofErr w:type="spellEnd"/>
      <w:r w:rsidRPr="00A52585">
        <w:rPr>
          <w:rtl/>
        </w:rPr>
        <w:t xml:space="preserve"> الجيوش </w:t>
      </w:r>
      <w:proofErr w:type="spellStart"/>
      <w:r w:rsidRPr="00A52585">
        <w:rPr>
          <w:rtl/>
        </w:rPr>
        <w:t>الإساميه</w:t>
      </w:r>
      <w:proofErr w:type="spellEnd"/>
      <w:r w:rsidRPr="00A52585">
        <w:rPr>
          <w:rtl/>
        </w:rPr>
        <w:t>" هذا الذى أفرده للخوض في هذا الموضوع خاصة مع نقله عن السلف الصالح تحريم الخوض في ذلك</w:t>
      </w:r>
      <w:r w:rsidR="00DB731D" w:rsidRPr="00A52585">
        <w:rPr>
          <w:rtl/>
        </w:rPr>
        <w:t>،</w:t>
      </w:r>
      <w:r w:rsidRPr="00A52585">
        <w:rPr>
          <w:rFonts w:hint="cs"/>
          <w:rtl/>
        </w:rPr>
        <w:t xml:space="preserve"> </w:t>
      </w:r>
      <w:r w:rsidRPr="00A52585">
        <w:rPr>
          <w:rtl/>
        </w:rPr>
        <w:t xml:space="preserve">وليت شعرى إذا كان السؤال والبحث عن آية واحدة </w:t>
      </w:r>
      <w:proofErr w:type="spellStart"/>
      <w:r w:rsidRPr="00A52585">
        <w:rPr>
          <w:rtl/>
        </w:rPr>
        <w:t>أوحديث</w:t>
      </w:r>
      <w:proofErr w:type="spellEnd"/>
      <w:r w:rsidRPr="00A52585">
        <w:rPr>
          <w:rtl/>
        </w:rPr>
        <w:t xml:space="preserve"> من ذلك بدعة</w:t>
      </w:r>
      <w:r w:rsidR="00DB731D" w:rsidRPr="00A52585">
        <w:rPr>
          <w:rtl/>
        </w:rPr>
        <w:t>،</w:t>
      </w:r>
      <w:r w:rsidRPr="00A52585">
        <w:rPr>
          <w:rtl/>
        </w:rPr>
        <w:t xml:space="preserve"> كما جاء ذلك عن السلف رضى الله عنهم ونقله هؤلاء أنفسهم فماذا يكون إفراد ذلك بوضع المؤلفات</w:t>
      </w:r>
      <w:r w:rsidR="00DB731D" w:rsidRPr="00A52585">
        <w:rPr>
          <w:rtl/>
        </w:rPr>
        <w:t>،</w:t>
      </w:r>
      <w:r w:rsidRPr="00A52585">
        <w:rPr>
          <w:rtl/>
        </w:rPr>
        <w:t xml:space="preserve"> وتحرير الأسفار والمجلدات</w:t>
      </w:r>
      <w:r w:rsidR="00DB731D" w:rsidRPr="00A52585">
        <w:rPr>
          <w:rtl/>
        </w:rPr>
        <w:t>،</w:t>
      </w:r>
      <w:r w:rsidRPr="00A52585">
        <w:rPr>
          <w:rtl/>
        </w:rPr>
        <w:t xml:space="preserve"> فقد وقعوا فيما يحذرون وصار عليهم حجة ما يلبسون</w:t>
      </w:r>
      <w:r w:rsidR="00DB731D" w:rsidRPr="00A52585">
        <w:rPr>
          <w:rtl/>
        </w:rPr>
        <w:t>،</w:t>
      </w:r>
      <w:r w:rsidRPr="00A52585">
        <w:rPr>
          <w:rFonts w:hint="cs"/>
          <w:rtl/>
        </w:rPr>
        <w:t xml:space="preserve"> </w:t>
      </w:r>
      <w:proofErr w:type="spellStart"/>
      <w:r w:rsidRPr="00A52585">
        <w:rPr>
          <w:rtl/>
        </w:rPr>
        <w:t>وأذا</w:t>
      </w:r>
      <w:proofErr w:type="spellEnd"/>
      <w:r w:rsidRPr="00A52585">
        <w:rPr>
          <w:rtl/>
        </w:rPr>
        <w:t xml:space="preserve"> كان هذا شأن كتاب "اجتماع الجيوش الإسلامية" المذكور فيجب عدم نشره بين الناس لأن كثيرا ممن لا تحقيق عنده ولا غوص له في علوم المنقول، وفيما </w:t>
      </w:r>
      <w:proofErr w:type="spellStart"/>
      <w:r w:rsidRPr="00A52585">
        <w:rPr>
          <w:rtl/>
        </w:rPr>
        <w:t>فرره</w:t>
      </w:r>
      <w:proofErr w:type="spellEnd"/>
      <w:r w:rsidRPr="00A52585">
        <w:rPr>
          <w:rtl/>
        </w:rPr>
        <w:t xml:space="preserve"> العلماء في أصول العقائد وأدلتها إذا قرأ هذا الكتاب لا يكاد يخرج منه إلا وهو معتقد التجسيم تعالى الله عن ذلك علوا كبيراً</w:t>
      </w:r>
      <w:r w:rsidR="00DB731D" w:rsidRPr="00A52585">
        <w:rPr>
          <w:rFonts w:hint="cs"/>
          <w:rtl/>
        </w:rPr>
        <w:t>،</w:t>
      </w:r>
      <w:r w:rsidRPr="00A52585">
        <w:rPr>
          <w:rFonts w:hint="cs"/>
          <w:rtl/>
        </w:rPr>
        <w:t xml:space="preserve"> </w:t>
      </w:r>
      <w:r w:rsidRPr="00A52585">
        <w:rPr>
          <w:rtl/>
        </w:rPr>
        <w:t xml:space="preserve">وذلك بسبب ما يحدثه توالى هذه الأدلة بعضها إثر بعض على </w:t>
      </w:r>
      <w:proofErr w:type="spellStart"/>
      <w:r w:rsidRPr="00A52585">
        <w:rPr>
          <w:rtl/>
        </w:rPr>
        <w:t>ذهنه</w:t>
      </w:r>
      <w:r w:rsidR="00DB731D" w:rsidRPr="00A52585">
        <w:rPr>
          <w:rtl/>
        </w:rPr>
        <w:t>،</w:t>
      </w:r>
      <w:r w:rsidRPr="00A52585">
        <w:rPr>
          <w:rtl/>
        </w:rPr>
        <w:t>وما</w:t>
      </w:r>
      <w:proofErr w:type="spellEnd"/>
      <w:r w:rsidRPr="00A52585">
        <w:rPr>
          <w:rtl/>
        </w:rPr>
        <w:t xml:space="preserve"> فيها من بعض الروايات الواهية الكثيرة التصريح </w:t>
      </w:r>
      <w:proofErr w:type="spellStart"/>
      <w:r w:rsidRPr="00A52585">
        <w:rPr>
          <w:rtl/>
        </w:rPr>
        <w:t>بالتسبيه</w:t>
      </w:r>
      <w:proofErr w:type="spellEnd"/>
      <w:r w:rsidRPr="00A52585">
        <w:rPr>
          <w:rtl/>
        </w:rPr>
        <w:t xml:space="preserve"> مع نزولها عن درجة الاستدلال بها في مثل هذا المقام</w:t>
      </w:r>
      <w:r w:rsidR="00DB731D" w:rsidRPr="00A52585">
        <w:rPr>
          <w:rtl/>
        </w:rPr>
        <w:t>،</w:t>
      </w:r>
      <w:r w:rsidRPr="00A52585">
        <w:rPr>
          <w:rtl/>
        </w:rPr>
        <w:t xml:space="preserve"> ومصادمتها للمعقول من أدله التنزيه التي هي أم الكتاب </w:t>
      </w:r>
      <w:proofErr w:type="spellStart"/>
      <w:r w:rsidRPr="00A52585">
        <w:rPr>
          <w:rtl/>
        </w:rPr>
        <w:t>والتى</w:t>
      </w:r>
      <w:proofErr w:type="spellEnd"/>
      <w:r w:rsidRPr="00A52585">
        <w:rPr>
          <w:rtl/>
        </w:rPr>
        <w:t xml:space="preserve"> يجب إرجاع ما عداها إليها</w:t>
      </w:r>
      <w:r w:rsidR="00DB731D" w:rsidRPr="00A52585">
        <w:rPr>
          <w:rFonts w:hint="cs"/>
          <w:rtl/>
        </w:rPr>
        <w:t>،</w:t>
      </w:r>
      <w:r w:rsidRPr="00A52585">
        <w:rPr>
          <w:rFonts w:hint="cs"/>
          <w:rtl/>
        </w:rPr>
        <w:t xml:space="preserve"> </w:t>
      </w:r>
      <w:r w:rsidRPr="00A52585">
        <w:rPr>
          <w:rtl/>
        </w:rPr>
        <w:t xml:space="preserve">ولله در بعض العلماء حيث يقول بتحريم جمع </w:t>
      </w:r>
      <w:proofErr w:type="spellStart"/>
      <w:r w:rsidRPr="00A52585">
        <w:rPr>
          <w:rtl/>
        </w:rPr>
        <w:t>المتشلبه</w:t>
      </w:r>
      <w:proofErr w:type="spellEnd"/>
      <w:r w:rsidRPr="00A52585">
        <w:rPr>
          <w:rtl/>
        </w:rPr>
        <w:t xml:space="preserve"> وضم إلى بعض لهذا الأثر </w:t>
      </w:r>
      <w:proofErr w:type="spellStart"/>
      <w:r w:rsidRPr="00A52585">
        <w:rPr>
          <w:rtl/>
        </w:rPr>
        <w:t>السئ</w:t>
      </w:r>
      <w:proofErr w:type="spellEnd"/>
      <w:r w:rsidRPr="00A52585">
        <w:rPr>
          <w:rtl/>
        </w:rPr>
        <w:t xml:space="preserve"> الذى بينا، ولأنه أيضا لم يجئ في الشرع إلا مفرقا في مواطن مختلفة</w:t>
      </w:r>
      <w:r w:rsidR="00DB731D" w:rsidRPr="00A52585">
        <w:rPr>
          <w:rtl/>
        </w:rPr>
        <w:t>،</w:t>
      </w:r>
      <w:r w:rsidRPr="00A52585">
        <w:rPr>
          <w:rtl/>
        </w:rPr>
        <w:t xml:space="preserve"> وحيث وجب علينا الوقوف على حده وحرم أن نقول عليه تعالى شيئا من ذلك لم يرد فكذلك يجب بقاؤه مفرقا على الصفة التي </w:t>
      </w:r>
      <w:proofErr w:type="spellStart"/>
      <w:r w:rsidRPr="00A52585">
        <w:rPr>
          <w:rtl/>
        </w:rPr>
        <w:t>جاءبها</w:t>
      </w:r>
      <w:proofErr w:type="spellEnd"/>
      <w:r w:rsidR="00DB731D" w:rsidRPr="00A52585">
        <w:rPr>
          <w:rtl/>
        </w:rPr>
        <w:t>،</w:t>
      </w:r>
      <w:r w:rsidRPr="00A52585">
        <w:rPr>
          <w:rtl/>
        </w:rPr>
        <w:t xml:space="preserve"> وفى المواطن التي جاء فيها من الكتاب أو</w:t>
      </w:r>
      <w:r w:rsidRPr="00A52585">
        <w:rPr>
          <w:rFonts w:hint="cs"/>
          <w:rtl/>
        </w:rPr>
        <w:t xml:space="preserve"> </w:t>
      </w:r>
      <w:r w:rsidRPr="00A52585">
        <w:rPr>
          <w:rtl/>
        </w:rPr>
        <w:t>السنه</w:t>
      </w:r>
      <w:r w:rsidR="00DB731D" w:rsidRPr="00A52585">
        <w:rPr>
          <w:rtl/>
        </w:rPr>
        <w:t>،</w:t>
      </w:r>
      <w:r w:rsidRPr="00A52585">
        <w:rPr>
          <w:rFonts w:hint="cs"/>
          <w:rtl/>
        </w:rPr>
        <w:t xml:space="preserve"> </w:t>
      </w:r>
      <w:r w:rsidRPr="00A52585">
        <w:rPr>
          <w:rtl/>
        </w:rPr>
        <w:t xml:space="preserve">وقد قرر ذلك حجه الإسلام </w:t>
      </w:r>
      <w:proofErr w:type="spellStart"/>
      <w:r w:rsidRPr="00A52585">
        <w:rPr>
          <w:rtl/>
        </w:rPr>
        <w:t>الغزالى</w:t>
      </w:r>
      <w:proofErr w:type="spellEnd"/>
      <w:r w:rsidRPr="00A52585">
        <w:rPr>
          <w:rtl/>
        </w:rPr>
        <w:t xml:space="preserve"> وأنكر شديداً على من جمع المتشابه من بعضه </w:t>
      </w:r>
      <w:proofErr w:type="spellStart"/>
      <w:r w:rsidRPr="00A52585">
        <w:rPr>
          <w:rtl/>
        </w:rPr>
        <w:t>إثربعض</w:t>
      </w:r>
      <w:proofErr w:type="spellEnd"/>
      <w:r w:rsidRPr="00A52585">
        <w:rPr>
          <w:rtl/>
        </w:rPr>
        <w:t xml:space="preserve"> وانتزعه9 من مواطنه في الكتاب والسنة، وأفاض ذلك في كتاب " إلجام العوام"</w:t>
      </w:r>
      <w:r w:rsidR="00DB731D" w:rsidRPr="00A52585">
        <w:rPr>
          <w:rFonts w:hint="cs"/>
          <w:rtl/>
        </w:rPr>
        <w:t>،</w:t>
      </w:r>
      <w:r w:rsidRPr="00A52585">
        <w:rPr>
          <w:rFonts w:hint="cs"/>
          <w:rtl/>
        </w:rPr>
        <w:t xml:space="preserve"> </w:t>
      </w:r>
      <w:r w:rsidRPr="00A52585">
        <w:rPr>
          <w:rtl/>
        </w:rPr>
        <w:t>هذا ولقد رد كثير من العلماء على ابن تيمية وابن القيم في ذلك</w:t>
      </w:r>
      <w:r w:rsidR="00DB731D" w:rsidRPr="00A52585">
        <w:rPr>
          <w:rtl/>
        </w:rPr>
        <w:t>،</w:t>
      </w:r>
      <w:r w:rsidRPr="00A52585">
        <w:rPr>
          <w:rtl/>
        </w:rPr>
        <w:t xml:space="preserve"> وكتب التوحيد والتفسير والحديث فائضة بذلك على أن الأمر واضح جداً فأن الجهة تستلزم بذلك على أن الأمر واضح جداً فإن الجهة تستلزم الجسمية، والجسمية تستلزم الحدوث</w:t>
      </w:r>
      <w:r w:rsidR="00DB731D" w:rsidRPr="00A52585">
        <w:rPr>
          <w:rtl/>
        </w:rPr>
        <w:t>،</w:t>
      </w:r>
      <w:r w:rsidRPr="00A52585">
        <w:rPr>
          <w:rtl/>
        </w:rPr>
        <w:t xml:space="preserve"> ولئن قالوا بجهة الفوق تمسكاً بمثل قوله تعالى</w:t>
      </w:r>
      <w:r w:rsidR="0002035C" w:rsidRPr="00A52585">
        <w:rPr>
          <w:rtl/>
        </w:rPr>
        <w:t>:</w:t>
      </w:r>
      <w:r w:rsidRPr="00A52585">
        <w:rPr>
          <w:rtl/>
        </w:rPr>
        <w:t xml:space="preserve"> " الرحمن على العرش استوى(5)" </w:t>
      </w:r>
      <w:proofErr w:type="spellStart"/>
      <w:r w:rsidRPr="00A52585">
        <w:rPr>
          <w:rtl/>
        </w:rPr>
        <w:t>وقةله</w:t>
      </w:r>
      <w:proofErr w:type="spellEnd"/>
      <w:r w:rsidR="0002035C" w:rsidRPr="00A52585">
        <w:rPr>
          <w:rtl/>
        </w:rPr>
        <w:t>:</w:t>
      </w:r>
      <w:r w:rsidRPr="00A52585">
        <w:rPr>
          <w:rtl/>
        </w:rPr>
        <w:t>" إليه يصعد الكلم الطيب" إلى آخر ما قالوا لكان من الواجب أن يردهم من ذلك مثل قوله تعالى</w:t>
      </w:r>
      <w:r w:rsidR="0002035C" w:rsidRPr="00A52585">
        <w:rPr>
          <w:rtl/>
        </w:rPr>
        <w:t>:</w:t>
      </w:r>
      <w:r w:rsidRPr="00A52585">
        <w:rPr>
          <w:rtl/>
        </w:rPr>
        <w:t xml:space="preserve"> " وهو معكم أين ما كنتم " وقوله: " فأينما تولوا فثم وجه الله " وقوله</w:t>
      </w:r>
      <w:r w:rsidR="0002035C" w:rsidRPr="00A52585">
        <w:rPr>
          <w:rtl/>
        </w:rPr>
        <w:t>:</w:t>
      </w:r>
      <w:r w:rsidRPr="00A52585">
        <w:rPr>
          <w:rtl/>
        </w:rPr>
        <w:t xml:space="preserve"> وهو الله في </w:t>
      </w:r>
      <w:proofErr w:type="spellStart"/>
      <w:r w:rsidRPr="00A52585">
        <w:rPr>
          <w:rtl/>
        </w:rPr>
        <w:t>السموت</w:t>
      </w:r>
      <w:proofErr w:type="spellEnd"/>
      <w:r w:rsidRPr="00A52585">
        <w:rPr>
          <w:rtl/>
        </w:rPr>
        <w:t xml:space="preserve"> وفى الأرض" إلى آخر ما جاء من النصوص التي لا يقصد بها إلا الإحاطة العامة</w:t>
      </w:r>
      <w:r w:rsidR="00DB731D" w:rsidRPr="00A52585">
        <w:rPr>
          <w:rtl/>
        </w:rPr>
        <w:t>،</w:t>
      </w:r>
      <w:r w:rsidRPr="00A52585">
        <w:rPr>
          <w:rtl/>
        </w:rPr>
        <w:t xml:space="preserve"> وبيام أن الأشياء كلها بالنسبة إلى ربوبيته الشاملة على السواء</w:t>
      </w:r>
      <w:r w:rsidR="00DB731D" w:rsidRPr="00A52585">
        <w:rPr>
          <w:rtl/>
        </w:rPr>
        <w:t>،</w:t>
      </w:r>
      <w:r w:rsidRPr="00A52585">
        <w:rPr>
          <w:rFonts w:hint="cs"/>
          <w:rtl/>
        </w:rPr>
        <w:t xml:space="preserve"> </w:t>
      </w:r>
      <w:r w:rsidRPr="00A52585">
        <w:rPr>
          <w:rtl/>
        </w:rPr>
        <w:t>ولا معنى لأن يقولوا بالفوقية على معناها الظاهر منها</w:t>
      </w:r>
      <w:r w:rsidR="00DB731D" w:rsidRPr="00A52585">
        <w:rPr>
          <w:rtl/>
        </w:rPr>
        <w:t>،</w:t>
      </w:r>
      <w:r w:rsidRPr="00A52585">
        <w:rPr>
          <w:rtl/>
        </w:rPr>
        <w:t xml:space="preserve"> ثم يؤولوا في المعية وبقية </w:t>
      </w:r>
      <w:r w:rsidRPr="00A52585">
        <w:rPr>
          <w:rtl/>
        </w:rPr>
        <w:lastRenderedPageBreak/>
        <w:t>النصوص</w:t>
      </w:r>
      <w:r w:rsidR="00DB731D" w:rsidRPr="00A52585">
        <w:rPr>
          <w:rtl/>
        </w:rPr>
        <w:t>،</w:t>
      </w:r>
      <w:r w:rsidRPr="00A52585">
        <w:rPr>
          <w:rtl/>
        </w:rPr>
        <w:t xml:space="preserve"> ولا شك أن هذا تحكم</w:t>
      </w:r>
      <w:r w:rsidR="00DB731D" w:rsidRPr="00A52585">
        <w:rPr>
          <w:rtl/>
        </w:rPr>
        <w:t>،</w:t>
      </w:r>
      <w:r w:rsidRPr="00A52585">
        <w:rPr>
          <w:rFonts w:hint="cs"/>
          <w:rtl/>
        </w:rPr>
        <w:t xml:space="preserve"> </w:t>
      </w:r>
      <w:r w:rsidRPr="00A52585">
        <w:rPr>
          <w:rtl/>
        </w:rPr>
        <w:t xml:space="preserve">والمقصود من تلك النصوص كلها وراء ما فهموه من ظاهرها، لأن هذا </w:t>
      </w:r>
      <w:proofErr w:type="spellStart"/>
      <w:r w:rsidRPr="00A52585">
        <w:rPr>
          <w:rtl/>
        </w:rPr>
        <w:t>الظاهلر</w:t>
      </w:r>
      <w:proofErr w:type="spellEnd"/>
      <w:r w:rsidRPr="00A52585">
        <w:rPr>
          <w:rtl/>
        </w:rPr>
        <w:t xml:space="preserve"> يخالف المعقول والمنقول جميعه لدى من له قلب أو</w:t>
      </w:r>
      <w:r w:rsidRPr="00A52585">
        <w:rPr>
          <w:rFonts w:hint="cs"/>
          <w:rtl/>
        </w:rPr>
        <w:t xml:space="preserve"> </w:t>
      </w:r>
      <w:r w:rsidRPr="00A52585">
        <w:rPr>
          <w:rtl/>
        </w:rPr>
        <w:t>ألقى السمع وهو شهيد</w:t>
      </w:r>
      <w:r w:rsidR="00DB731D" w:rsidRPr="00A52585">
        <w:rPr>
          <w:rFonts w:hint="cs"/>
          <w:rtl/>
        </w:rPr>
        <w:t>،</w:t>
      </w:r>
      <w:r w:rsidRPr="00A52585">
        <w:rPr>
          <w:rFonts w:hint="cs"/>
          <w:rtl/>
        </w:rPr>
        <w:t xml:space="preserve"> </w:t>
      </w:r>
      <w:r w:rsidRPr="00A52585">
        <w:rPr>
          <w:rtl/>
        </w:rPr>
        <w:t>وليس ينكر تن</w:t>
      </w:r>
      <w:r w:rsidRPr="00A52585">
        <w:rPr>
          <w:rFonts w:hint="cs"/>
          <w:rtl/>
        </w:rPr>
        <w:t>زي</w:t>
      </w:r>
      <w:r w:rsidRPr="00A52585">
        <w:rPr>
          <w:rtl/>
        </w:rPr>
        <w:t xml:space="preserve">ه </w:t>
      </w:r>
      <w:proofErr w:type="spellStart"/>
      <w:r w:rsidRPr="00A52585">
        <w:rPr>
          <w:rtl/>
        </w:rPr>
        <w:t>البارى</w:t>
      </w:r>
      <w:proofErr w:type="spellEnd"/>
      <w:r w:rsidRPr="00A52585">
        <w:rPr>
          <w:rtl/>
        </w:rPr>
        <w:t xml:space="preserve"> عز وجل عن الجسمية ولوازمها إلا من غلظ حجابه وضعفت روحانيته وكثفت </w:t>
      </w:r>
      <w:proofErr w:type="spellStart"/>
      <w:r w:rsidRPr="00A52585">
        <w:rPr>
          <w:rtl/>
        </w:rPr>
        <w:t>جسمانيته</w:t>
      </w:r>
      <w:proofErr w:type="spellEnd"/>
      <w:r w:rsidRPr="00A52585">
        <w:rPr>
          <w:rtl/>
        </w:rPr>
        <w:t xml:space="preserve"> حتى لم يستطع أن يفهم أن وراء الأجسام</w:t>
      </w:r>
      <w:r w:rsidR="00DB731D" w:rsidRPr="00A52585">
        <w:rPr>
          <w:rtl/>
        </w:rPr>
        <w:t>،</w:t>
      </w:r>
      <w:r w:rsidRPr="00A52585">
        <w:rPr>
          <w:rtl/>
        </w:rPr>
        <w:t xml:space="preserve"> وفوق الجهات من يتعالى عنها</w:t>
      </w:r>
      <w:r w:rsidR="00DB731D" w:rsidRPr="00A52585">
        <w:rPr>
          <w:rtl/>
        </w:rPr>
        <w:t>،</w:t>
      </w:r>
      <w:r w:rsidRPr="00A52585">
        <w:rPr>
          <w:rtl/>
        </w:rPr>
        <w:t xml:space="preserve"> ويجب أن يبرأ منها مع </w:t>
      </w:r>
      <w:proofErr w:type="spellStart"/>
      <w:r w:rsidRPr="00A52585">
        <w:rPr>
          <w:rtl/>
        </w:rPr>
        <w:t>كثيرأً</w:t>
      </w:r>
      <w:proofErr w:type="spellEnd"/>
      <w:r w:rsidRPr="00A52585">
        <w:rPr>
          <w:rtl/>
        </w:rPr>
        <w:t xml:space="preserve"> من علماء الكلام والتصوف والفلسفة يثبتون ذلك للجواهر المجردة الحادثة فضلا عن </w:t>
      </w:r>
      <w:proofErr w:type="spellStart"/>
      <w:r w:rsidRPr="00A52585">
        <w:rPr>
          <w:rtl/>
        </w:rPr>
        <w:t>البارى</w:t>
      </w:r>
      <w:proofErr w:type="spellEnd"/>
      <w:r w:rsidRPr="00A52585">
        <w:rPr>
          <w:rtl/>
        </w:rPr>
        <w:t xml:space="preserve"> عز وجل</w:t>
      </w:r>
      <w:r w:rsidR="00DB731D" w:rsidRPr="00A52585">
        <w:rPr>
          <w:rtl/>
        </w:rPr>
        <w:t>،</w:t>
      </w:r>
      <w:r w:rsidRPr="00A52585">
        <w:rPr>
          <w:rFonts w:hint="cs"/>
          <w:rtl/>
        </w:rPr>
        <w:t xml:space="preserve"> </w:t>
      </w:r>
      <w:r w:rsidRPr="00A52585">
        <w:rPr>
          <w:rtl/>
        </w:rPr>
        <w:t xml:space="preserve">وبوجه آخر من البيان </w:t>
      </w:r>
      <w:r w:rsidRPr="00A52585">
        <w:rPr>
          <w:rFonts w:hint="cs"/>
          <w:rtl/>
        </w:rPr>
        <w:t>نق</w:t>
      </w:r>
      <w:r w:rsidRPr="00A52585">
        <w:rPr>
          <w:rtl/>
        </w:rPr>
        <w:t>ول</w:t>
      </w:r>
      <w:r w:rsidR="0002035C" w:rsidRPr="00A52585">
        <w:rPr>
          <w:rtl/>
        </w:rPr>
        <w:t>:</w:t>
      </w:r>
      <w:r w:rsidRPr="00A52585">
        <w:rPr>
          <w:rtl/>
        </w:rPr>
        <w:t xml:space="preserve"> إنه لا مخلص لهم من إحدى ثلاث إما أن يكونوا قائلين بالتنزيه عن الجسمية ولوازمها فنكون معهم ويكونوا معنا ولا داعى لطول الجدال وكثرة القيل والقال</w:t>
      </w:r>
      <w:r w:rsidR="00DB731D" w:rsidRPr="00A52585">
        <w:rPr>
          <w:rtl/>
        </w:rPr>
        <w:t>،</w:t>
      </w:r>
      <w:r w:rsidRPr="00A52585">
        <w:rPr>
          <w:rtl/>
        </w:rPr>
        <w:t xml:space="preserve"> وإما أن يقولوا بالجهة التي تستلزم الجسمية والتحديد لا محالة وينسوا </w:t>
      </w:r>
      <w:proofErr w:type="spellStart"/>
      <w:r w:rsidRPr="00A52585">
        <w:rPr>
          <w:rtl/>
        </w:rPr>
        <w:t>اللزم</w:t>
      </w:r>
      <w:proofErr w:type="spellEnd"/>
      <w:r w:rsidRPr="00A52585">
        <w:rPr>
          <w:rtl/>
        </w:rPr>
        <w:t xml:space="preserve"> والملزوم جميعا فيكونوا قد خرجوا عن الدين ومرقوا من زمرة المسلمين</w:t>
      </w:r>
      <w:r w:rsidR="00DB731D" w:rsidRPr="00A52585">
        <w:rPr>
          <w:rtl/>
        </w:rPr>
        <w:t>،</w:t>
      </w:r>
      <w:r w:rsidRPr="00A52585">
        <w:rPr>
          <w:rtl/>
        </w:rPr>
        <w:t xml:space="preserve"> وحاشا أن يكونوا كذلك.</w:t>
      </w:r>
      <w:r w:rsidRPr="00A52585">
        <w:rPr>
          <w:rtl/>
        </w:rPr>
        <w:br/>
        <w:t>وإما أن يقولوا بما يستلزم الجسمية مع كونهم ينقونها</w:t>
      </w:r>
      <w:r w:rsidR="00DB731D" w:rsidRPr="00A52585">
        <w:rPr>
          <w:rtl/>
        </w:rPr>
        <w:t>،</w:t>
      </w:r>
      <w:r w:rsidRPr="00A52585">
        <w:rPr>
          <w:rtl/>
        </w:rPr>
        <w:t xml:space="preserve"> وحينئذ يكونون قد تكلموا بما لا يفوه به العقلاء فتسقط مكالمتهم ولا تجوز محاورتهم</w:t>
      </w:r>
      <w:r w:rsidR="00DB731D" w:rsidRPr="00A52585">
        <w:rPr>
          <w:rtl/>
        </w:rPr>
        <w:t>،</w:t>
      </w:r>
      <w:r w:rsidRPr="00A52585">
        <w:rPr>
          <w:rFonts w:hint="cs"/>
          <w:rtl/>
        </w:rPr>
        <w:t xml:space="preserve"> </w:t>
      </w:r>
      <w:r w:rsidRPr="00A52585">
        <w:rPr>
          <w:rtl/>
        </w:rPr>
        <w:t xml:space="preserve">هذا وكتاب " </w:t>
      </w:r>
      <w:proofErr w:type="spellStart"/>
      <w:r w:rsidRPr="00A52585">
        <w:rPr>
          <w:rtl/>
        </w:rPr>
        <w:t>احتماع</w:t>
      </w:r>
      <w:proofErr w:type="spellEnd"/>
      <w:r w:rsidRPr="00A52585">
        <w:rPr>
          <w:rtl/>
        </w:rPr>
        <w:t xml:space="preserve"> الجيوش الإسلامية " لا نعلم نسبته إلى ابن القيم على القطع</w:t>
      </w:r>
      <w:r w:rsidR="00DB731D" w:rsidRPr="00A52585">
        <w:rPr>
          <w:rtl/>
        </w:rPr>
        <w:t>،</w:t>
      </w:r>
      <w:r w:rsidRPr="00A52585">
        <w:rPr>
          <w:rtl/>
        </w:rPr>
        <w:t xml:space="preserve"> فربما كان مدسوسا عليه من بعض ذوى الأهواء الضالة، والله يتولى هدى الجميع</w:t>
      </w:r>
      <w:r w:rsidR="00DB731D" w:rsidRPr="00A52585">
        <w:rPr>
          <w:rFonts w:hint="cs"/>
          <w:rtl/>
        </w:rPr>
        <w:t>،</w:t>
      </w:r>
      <w:r w:rsidRPr="00A52585">
        <w:rPr>
          <w:rFonts w:hint="cs"/>
          <w:rtl/>
        </w:rPr>
        <w:t xml:space="preserve"> </w:t>
      </w:r>
    </w:p>
    <w:p w14:paraId="379A423F" w14:textId="77777777" w:rsidR="00777DCB" w:rsidRPr="00A52585" w:rsidRDefault="00777DCB" w:rsidP="0002035C">
      <w:pPr>
        <w:spacing w:after="240"/>
        <w:jc w:val="center"/>
        <w:rPr>
          <w:rtl/>
        </w:rPr>
      </w:pPr>
      <w:r w:rsidRPr="00A52585">
        <w:rPr>
          <w:rFonts w:hint="cs"/>
          <w:rtl/>
        </w:rPr>
        <w:t>***</w:t>
      </w:r>
    </w:p>
    <w:p w14:paraId="33EC30B9" w14:textId="77777777" w:rsidR="00777DCB" w:rsidRPr="00A52585" w:rsidRDefault="00777DCB" w:rsidP="0002035C">
      <w:pPr>
        <w:spacing w:after="240"/>
        <w:jc w:val="center"/>
        <w:rPr>
          <w:rFonts w:cs="Monotype Koufi"/>
          <w:b/>
          <w:rtl/>
          <w:lang w:bidi="ar-KW"/>
        </w:rPr>
      </w:pPr>
    </w:p>
    <w:p w14:paraId="0715E7C7" w14:textId="77777777" w:rsidR="00777DCB" w:rsidRPr="00A52585" w:rsidRDefault="00777DCB" w:rsidP="0002035C">
      <w:pPr>
        <w:spacing w:after="240"/>
        <w:jc w:val="center"/>
        <w:rPr>
          <w:rtl/>
        </w:rPr>
      </w:pPr>
      <w:r w:rsidRPr="00A52585">
        <w:rPr>
          <w:rFonts w:cs="Monotype Koufi"/>
          <w:rtl/>
          <w:lang w:bidi="ar-KW"/>
        </w:rPr>
        <w:t xml:space="preserve">شرح معنى </w:t>
      </w:r>
      <w:proofErr w:type="spellStart"/>
      <w:r w:rsidRPr="00A52585">
        <w:rPr>
          <w:rFonts w:cs="Monotype Koufi"/>
          <w:rtl/>
          <w:lang w:bidi="ar-KW"/>
        </w:rPr>
        <w:t>الأستواء</w:t>
      </w:r>
      <w:proofErr w:type="spellEnd"/>
      <w:r w:rsidRPr="00A52585">
        <w:rPr>
          <w:rFonts w:cs="Monotype Koufi" w:hint="cs"/>
          <w:rtl/>
          <w:lang w:bidi="ar-KW"/>
        </w:rPr>
        <w:t xml:space="preserve"> </w:t>
      </w:r>
      <w:r w:rsidRPr="00A52585">
        <w:rPr>
          <w:rFonts w:cs="Monotype Koufi"/>
          <w:rtl/>
          <w:lang w:bidi="ar-KW"/>
        </w:rPr>
        <w:t>المطابق للبلاغة والتوحيد</w:t>
      </w:r>
      <w:r w:rsidRPr="00A52585">
        <w:rPr>
          <w:rtl/>
        </w:rPr>
        <w:t xml:space="preserve"> </w:t>
      </w:r>
    </w:p>
    <w:p w14:paraId="6E69641A" w14:textId="77777777" w:rsidR="00777DCB" w:rsidRPr="00A52585" w:rsidRDefault="00777DCB" w:rsidP="0002035C">
      <w:pPr>
        <w:spacing w:after="240"/>
        <w:jc w:val="center"/>
        <w:rPr>
          <w:rFonts w:cs="Monotype Koufi"/>
          <w:b/>
          <w:rtl/>
          <w:lang w:bidi="ar-KW"/>
        </w:rPr>
      </w:pPr>
      <w:r w:rsidRPr="00A52585">
        <w:rPr>
          <w:rFonts w:cs="Monotype Koufi"/>
          <w:rtl/>
          <w:lang w:bidi="ar-KW"/>
        </w:rPr>
        <w:t>لحضرة الباحث المفضال حامد بك عبد الرحمن</w:t>
      </w:r>
    </w:p>
    <w:p w14:paraId="5C323D18" w14:textId="58424851" w:rsidR="00777DCB" w:rsidRPr="00A52585" w:rsidRDefault="00777DCB" w:rsidP="0002035C">
      <w:pPr>
        <w:spacing w:after="240"/>
        <w:rPr>
          <w:rtl/>
        </w:rPr>
      </w:pPr>
      <w:r w:rsidRPr="00A52585">
        <w:rPr>
          <w:rFonts w:cs="Monotype Koufi" w:hint="cs"/>
          <w:rtl/>
          <w:lang w:bidi="ar-KW"/>
        </w:rPr>
        <w:t>المقالة الأولى</w:t>
      </w:r>
      <w:r w:rsidR="0002035C" w:rsidRPr="00A52585">
        <w:rPr>
          <w:rFonts w:cs="Monotype Koufi" w:hint="cs"/>
          <w:rtl/>
          <w:lang w:bidi="ar-KW"/>
        </w:rPr>
        <w:t>:</w:t>
      </w:r>
      <w:r w:rsidRPr="00A52585">
        <w:rPr>
          <w:rFonts w:hint="cs"/>
          <w:rtl/>
        </w:rPr>
        <w:t xml:space="preserve"> </w:t>
      </w:r>
      <w:r w:rsidRPr="00A52585">
        <w:rPr>
          <w:rtl/>
        </w:rPr>
        <w:t>قال تعالى</w:t>
      </w:r>
      <w:r w:rsidR="0002035C" w:rsidRPr="00A52585">
        <w:rPr>
          <w:rtl/>
        </w:rPr>
        <w:t>:</w:t>
      </w:r>
      <w:r w:rsidRPr="00A52585">
        <w:rPr>
          <w:rtl/>
        </w:rPr>
        <w:t xml:space="preserve"> ? إن ربكم الله </w:t>
      </w:r>
      <w:proofErr w:type="gramStart"/>
      <w:r w:rsidRPr="00A52585">
        <w:rPr>
          <w:rtl/>
        </w:rPr>
        <w:t>الذى</w:t>
      </w:r>
      <w:proofErr w:type="gramEnd"/>
      <w:r w:rsidRPr="00A52585">
        <w:rPr>
          <w:rtl/>
        </w:rPr>
        <w:t xml:space="preserve"> خلق السموات والأرض في ستة أيام ثم استوى على العرش يغشى اليل النهار يطلبه حثيثا والشمس والقمر والنجوم مسخرات بأمره ألا له الخلق والأمر تبارك الله رب العالمين? (سورة الأعراف)</w:t>
      </w:r>
      <w:r w:rsidR="00DB731D" w:rsidRPr="00A52585">
        <w:rPr>
          <w:rtl/>
        </w:rPr>
        <w:t>،</w:t>
      </w:r>
      <w:r w:rsidRPr="00A52585">
        <w:rPr>
          <w:rFonts w:hint="cs"/>
          <w:rtl/>
        </w:rPr>
        <w:t xml:space="preserve"> </w:t>
      </w:r>
      <w:r w:rsidRPr="00A52585">
        <w:rPr>
          <w:rtl/>
        </w:rPr>
        <w:t>قبل الشروع في بيان المفهوم من الآية الشريفة نضرب مثلاً في المخلوقات</w:t>
      </w:r>
      <w:r w:rsidR="00DB731D" w:rsidRPr="00A52585">
        <w:rPr>
          <w:rtl/>
        </w:rPr>
        <w:t>،</w:t>
      </w:r>
      <w:r w:rsidRPr="00A52585">
        <w:rPr>
          <w:rtl/>
        </w:rPr>
        <w:t xml:space="preserve"> ولله المثل الأعلى بصفة تمهيد لتقريب المعنى للعقول فنقول وبالله تعالى التوفيق والإعانة</w:t>
      </w:r>
      <w:r w:rsidR="0002035C" w:rsidRPr="00A52585">
        <w:rPr>
          <w:rtl/>
        </w:rPr>
        <w:t>:</w:t>
      </w:r>
      <w:r w:rsidR="0002035C" w:rsidRPr="00A52585">
        <w:rPr>
          <w:rFonts w:hint="cs"/>
          <w:rtl/>
        </w:rPr>
        <w:t xml:space="preserve"> </w:t>
      </w:r>
      <w:r w:rsidRPr="00A52585">
        <w:rPr>
          <w:rtl/>
        </w:rPr>
        <w:t>إننا إذا كلفنا مهندسا ميكانيكيا بعمل مكينة فإنه يقوم بعملها وتركيبها خير قيام</w:t>
      </w:r>
      <w:r w:rsidR="00DB731D" w:rsidRPr="00A52585">
        <w:rPr>
          <w:rtl/>
        </w:rPr>
        <w:t>،</w:t>
      </w:r>
      <w:r w:rsidRPr="00A52585">
        <w:rPr>
          <w:rtl/>
        </w:rPr>
        <w:t xml:space="preserve"> ولكن إذا كلفناه بتشغيلها فقد يعجز إذا لم يكن كفواً لذلك العمل</w:t>
      </w:r>
      <w:r w:rsidR="00DB731D" w:rsidRPr="00A52585">
        <w:rPr>
          <w:rtl/>
        </w:rPr>
        <w:t>،</w:t>
      </w:r>
      <w:r w:rsidRPr="00A52585">
        <w:rPr>
          <w:rFonts w:hint="cs"/>
          <w:rtl/>
        </w:rPr>
        <w:t xml:space="preserve"> </w:t>
      </w:r>
      <w:r w:rsidRPr="00A52585">
        <w:rPr>
          <w:rtl/>
        </w:rPr>
        <w:t>وإذا كلفنا غيره بتشغيلها ممن لهم خبرة بإنشاء مثلها عجز إذا لم يكن كفواً لذلك العمل أيضاً</w:t>
      </w:r>
      <w:r w:rsidR="00DB731D" w:rsidRPr="00A52585">
        <w:rPr>
          <w:rtl/>
        </w:rPr>
        <w:t>،</w:t>
      </w:r>
      <w:r w:rsidRPr="00A52585">
        <w:rPr>
          <w:rFonts w:hint="cs"/>
          <w:rtl/>
        </w:rPr>
        <w:t xml:space="preserve"> </w:t>
      </w:r>
      <w:r w:rsidRPr="00A52585">
        <w:rPr>
          <w:rtl/>
        </w:rPr>
        <w:t xml:space="preserve">كما أنه قد لا يمكنه إصلاح عيوبها إذا تعطلت لأنه لم </w:t>
      </w:r>
      <w:r w:rsidRPr="00A52585">
        <w:rPr>
          <w:rtl/>
        </w:rPr>
        <w:lastRenderedPageBreak/>
        <w:t>يكن مباشراً لتركيبها</w:t>
      </w:r>
      <w:r w:rsidR="00DB731D" w:rsidRPr="00A52585">
        <w:rPr>
          <w:rtl/>
        </w:rPr>
        <w:t>،</w:t>
      </w:r>
      <w:r w:rsidRPr="00A52585">
        <w:rPr>
          <w:rtl/>
        </w:rPr>
        <w:t xml:space="preserve"> فلأجل الحصول على إنشاء مكينة تشتغل بانتظام مع ضمان عدم تعطيلها يجب تكليف مهندس آخر أكفأ منهما ليقوم بالإنشاء والتركيب والتشغيل جميعاً</w:t>
      </w:r>
      <w:r w:rsidR="00DB731D" w:rsidRPr="00A52585">
        <w:rPr>
          <w:rtl/>
        </w:rPr>
        <w:t>،</w:t>
      </w:r>
      <w:r w:rsidRPr="00A52585">
        <w:rPr>
          <w:rFonts w:hint="cs"/>
          <w:rtl/>
        </w:rPr>
        <w:t xml:space="preserve"> </w:t>
      </w:r>
      <w:r w:rsidRPr="00A52585">
        <w:rPr>
          <w:rtl/>
        </w:rPr>
        <w:t xml:space="preserve">فالأول </w:t>
      </w:r>
      <w:proofErr w:type="spellStart"/>
      <w:r w:rsidRPr="00A52585">
        <w:rPr>
          <w:rtl/>
        </w:rPr>
        <w:t>والثانى</w:t>
      </w:r>
      <w:proofErr w:type="spellEnd"/>
      <w:r w:rsidRPr="00A52585">
        <w:rPr>
          <w:rtl/>
        </w:rPr>
        <w:t xml:space="preserve"> كلاهما ناقص الخبرة والكفاءة والثالث أكمل منهما وهو الذى يصح أن يطلب منه هذا العمل مع </w:t>
      </w:r>
      <w:proofErr w:type="spellStart"/>
      <w:r w:rsidRPr="00A52585">
        <w:rPr>
          <w:rtl/>
        </w:rPr>
        <w:t>الأطمئنان</w:t>
      </w:r>
      <w:proofErr w:type="spellEnd"/>
      <w:r w:rsidRPr="00A52585">
        <w:rPr>
          <w:rtl/>
        </w:rPr>
        <w:t xml:space="preserve"> لأنه لا يقوم به غيره</w:t>
      </w:r>
      <w:r w:rsidR="00DB731D" w:rsidRPr="00A52585">
        <w:rPr>
          <w:rtl/>
        </w:rPr>
        <w:t>،</w:t>
      </w:r>
      <w:r w:rsidRPr="00A52585">
        <w:rPr>
          <w:rFonts w:hint="cs"/>
          <w:rtl/>
        </w:rPr>
        <w:t xml:space="preserve"> </w:t>
      </w:r>
      <w:r w:rsidRPr="00A52585">
        <w:rPr>
          <w:rtl/>
        </w:rPr>
        <w:t>إذا علمت هذا فالمفهوم من الآية لأول وهلة أنه تعالى خلق السموات والأرض</w:t>
      </w:r>
      <w:r w:rsidR="0002035C" w:rsidRPr="00A52585">
        <w:rPr>
          <w:rtl/>
        </w:rPr>
        <w:t xml:space="preserve"> </w:t>
      </w:r>
      <w:r w:rsidRPr="00A52585">
        <w:rPr>
          <w:rtl/>
        </w:rPr>
        <w:t>-</w:t>
      </w:r>
      <w:r w:rsidR="0002035C" w:rsidRPr="00A52585">
        <w:rPr>
          <w:rtl/>
        </w:rPr>
        <w:t xml:space="preserve"> </w:t>
      </w:r>
      <w:r w:rsidRPr="00A52585">
        <w:rPr>
          <w:rtl/>
        </w:rPr>
        <w:t>ثم دبرها وأمرها بما أراده منها فصارت مسخرة بأمره</w:t>
      </w:r>
      <w:r w:rsidR="0002035C" w:rsidRPr="00A52585">
        <w:rPr>
          <w:rtl/>
        </w:rPr>
        <w:t xml:space="preserve"> </w:t>
      </w:r>
      <w:r w:rsidRPr="00A52585">
        <w:rPr>
          <w:rtl/>
        </w:rPr>
        <w:t>-</w:t>
      </w:r>
      <w:r w:rsidR="0002035C" w:rsidRPr="00A52585">
        <w:rPr>
          <w:rtl/>
        </w:rPr>
        <w:t xml:space="preserve"> </w:t>
      </w:r>
      <w:r w:rsidRPr="00A52585">
        <w:rPr>
          <w:rtl/>
        </w:rPr>
        <w:t>فله الخلق والأمر</w:t>
      </w:r>
      <w:r w:rsidR="00DB731D" w:rsidRPr="00A52585">
        <w:rPr>
          <w:rtl/>
        </w:rPr>
        <w:t>،</w:t>
      </w:r>
      <w:r w:rsidRPr="00A52585">
        <w:rPr>
          <w:rtl/>
        </w:rPr>
        <w:t xml:space="preserve"> وهذا دليل على تمام القدرة وإذن يجب أن يفهم من </w:t>
      </w:r>
      <w:proofErr w:type="spellStart"/>
      <w:r w:rsidRPr="00A52585">
        <w:rPr>
          <w:rtl/>
        </w:rPr>
        <w:t>الأستواء</w:t>
      </w:r>
      <w:proofErr w:type="spellEnd"/>
      <w:r w:rsidRPr="00A52585">
        <w:rPr>
          <w:rtl/>
        </w:rPr>
        <w:t xml:space="preserve"> المعنى المطابق لذلك مع ملاحظة البلاغة وقواعد اللغة</w:t>
      </w:r>
      <w:r w:rsidR="00DB731D" w:rsidRPr="00A52585">
        <w:rPr>
          <w:rtl/>
        </w:rPr>
        <w:t>،</w:t>
      </w:r>
      <w:r w:rsidRPr="00A52585">
        <w:rPr>
          <w:rFonts w:hint="cs"/>
          <w:rtl/>
        </w:rPr>
        <w:t xml:space="preserve"> </w:t>
      </w:r>
      <w:r w:rsidRPr="00A52585">
        <w:rPr>
          <w:rtl/>
        </w:rPr>
        <w:t>فنقول وبالله التوفيق</w:t>
      </w:r>
      <w:r w:rsidR="0002035C" w:rsidRPr="00A52585">
        <w:rPr>
          <w:rtl/>
        </w:rPr>
        <w:t>:</w:t>
      </w:r>
      <w:r w:rsidRPr="00A52585">
        <w:rPr>
          <w:rFonts w:hint="cs"/>
          <w:rtl/>
        </w:rPr>
        <w:t xml:space="preserve"> </w:t>
      </w:r>
      <w:r w:rsidR="0002035C" w:rsidRPr="00A52585">
        <w:rPr>
          <w:rFonts w:hint="cs"/>
          <w:rtl/>
        </w:rPr>
        <w:t>(</w:t>
      </w:r>
      <w:r w:rsidRPr="00A52585">
        <w:rPr>
          <w:rtl/>
        </w:rPr>
        <w:t>أولا</w:t>
      </w:r>
      <w:r w:rsidR="0002035C" w:rsidRPr="00A52585">
        <w:rPr>
          <w:rtl/>
        </w:rPr>
        <w:t>)</w:t>
      </w:r>
      <w:r w:rsidR="0002035C" w:rsidRPr="00A52585">
        <w:rPr>
          <w:rFonts w:hint="cs"/>
          <w:rtl/>
        </w:rPr>
        <w:t>:</w:t>
      </w:r>
      <w:r w:rsidRPr="00A52585">
        <w:rPr>
          <w:rtl/>
        </w:rPr>
        <w:t xml:space="preserve"> حيث أن كلمة (خلق</w:t>
      </w:r>
      <w:r w:rsidR="0002035C" w:rsidRPr="00A52585">
        <w:rPr>
          <w:rtl/>
        </w:rPr>
        <w:t>)</w:t>
      </w:r>
      <w:r w:rsidRPr="00A52585">
        <w:rPr>
          <w:rtl/>
        </w:rPr>
        <w:t xml:space="preserve"> فعل حادث فما عطف عليه (</w:t>
      </w:r>
      <w:proofErr w:type="spellStart"/>
      <w:r w:rsidRPr="00A52585">
        <w:rPr>
          <w:rtl/>
        </w:rPr>
        <w:t>بثم</w:t>
      </w:r>
      <w:proofErr w:type="spellEnd"/>
      <w:r w:rsidR="0002035C" w:rsidRPr="00A52585">
        <w:rPr>
          <w:rtl/>
        </w:rPr>
        <w:t>)</w:t>
      </w:r>
      <w:r w:rsidRPr="00A52585">
        <w:rPr>
          <w:rtl/>
        </w:rPr>
        <w:t xml:space="preserve"> حادث أيضا</w:t>
      </w:r>
      <w:r w:rsidR="00DB731D" w:rsidRPr="00A52585">
        <w:rPr>
          <w:rtl/>
        </w:rPr>
        <w:t>،</w:t>
      </w:r>
      <w:r w:rsidRPr="00A52585">
        <w:rPr>
          <w:rtl/>
        </w:rPr>
        <w:t xml:space="preserve"> والحادث لا يكون صفة لذات القديم جل وعلا</w:t>
      </w:r>
      <w:r w:rsidR="00DB731D" w:rsidRPr="00A52585">
        <w:rPr>
          <w:rtl/>
        </w:rPr>
        <w:t>،</w:t>
      </w:r>
      <w:r w:rsidRPr="00A52585">
        <w:rPr>
          <w:rFonts w:hint="cs"/>
          <w:rtl/>
        </w:rPr>
        <w:t xml:space="preserve"> </w:t>
      </w:r>
      <w:r w:rsidR="0002035C" w:rsidRPr="00A52585">
        <w:rPr>
          <w:rFonts w:hint="cs"/>
          <w:rtl/>
        </w:rPr>
        <w:t>(</w:t>
      </w:r>
      <w:r w:rsidRPr="00A52585">
        <w:rPr>
          <w:rtl/>
        </w:rPr>
        <w:t>ثانيا</w:t>
      </w:r>
      <w:r w:rsidR="0002035C" w:rsidRPr="00A52585">
        <w:rPr>
          <w:rtl/>
        </w:rPr>
        <w:t>)</w:t>
      </w:r>
      <w:r w:rsidR="0002035C" w:rsidRPr="00A52585">
        <w:rPr>
          <w:rFonts w:hint="cs"/>
          <w:rtl/>
        </w:rPr>
        <w:t>:</w:t>
      </w:r>
      <w:r w:rsidRPr="00A52585">
        <w:rPr>
          <w:rtl/>
        </w:rPr>
        <w:t xml:space="preserve"> يجب أن يفهم من (استوى</w:t>
      </w:r>
      <w:r w:rsidR="0002035C" w:rsidRPr="00A52585">
        <w:rPr>
          <w:rtl/>
        </w:rPr>
        <w:t>)</w:t>
      </w:r>
      <w:r w:rsidRPr="00A52585">
        <w:rPr>
          <w:rtl/>
        </w:rPr>
        <w:t xml:space="preserve"> المعنى الذى يصح أن يكون متأخرا عن خلق السموات والأرض وليس ذلك إلا الكناية عن تدبير الملك فحسب اصطلاح اللغة يقال</w:t>
      </w:r>
      <w:r w:rsidR="0002035C" w:rsidRPr="00A52585">
        <w:rPr>
          <w:rtl/>
        </w:rPr>
        <w:t>:</w:t>
      </w:r>
      <w:r w:rsidRPr="00A52585">
        <w:rPr>
          <w:rtl/>
        </w:rPr>
        <w:t xml:space="preserve"> استوى فلان على سرير الملك كناية عن قيامه بتدبير المملكة وإن لم يكن هناك سرير</w:t>
      </w:r>
      <w:r w:rsidR="00DB731D" w:rsidRPr="00A52585">
        <w:rPr>
          <w:rtl/>
        </w:rPr>
        <w:t>،</w:t>
      </w:r>
      <w:r w:rsidRPr="00A52585">
        <w:rPr>
          <w:rtl/>
        </w:rPr>
        <w:t xml:space="preserve"> وبذلك يكون المفهوم من </w:t>
      </w:r>
      <w:r w:rsidR="0002035C" w:rsidRPr="00A52585">
        <w:rPr>
          <w:rtl/>
        </w:rPr>
        <w:t>(</w:t>
      </w:r>
      <w:r w:rsidRPr="00A52585">
        <w:rPr>
          <w:rtl/>
        </w:rPr>
        <w:t>استوى</w:t>
      </w:r>
      <w:r w:rsidR="0002035C" w:rsidRPr="00A52585">
        <w:rPr>
          <w:rtl/>
        </w:rPr>
        <w:t>)</w:t>
      </w:r>
      <w:r w:rsidRPr="00A52585">
        <w:rPr>
          <w:rtl/>
        </w:rPr>
        <w:t xml:space="preserve"> بمعنى (قام بتدبير المخلوقات</w:t>
      </w:r>
      <w:r w:rsidR="0002035C" w:rsidRPr="00A52585">
        <w:rPr>
          <w:rtl/>
        </w:rPr>
        <w:t>)</w:t>
      </w:r>
      <w:r w:rsidRPr="00A52585">
        <w:rPr>
          <w:rtl/>
        </w:rPr>
        <w:t xml:space="preserve"> مناسباً لخلق </w:t>
      </w:r>
      <w:proofErr w:type="spellStart"/>
      <w:r w:rsidRPr="00A52585">
        <w:rPr>
          <w:rtl/>
        </w:rPr>
        <w:t>لاسموات</w:t>
      </w:r>
      <w:proofErr w:type="spellEnd"/>
      <w:r w:rsidRPr="00A52585">
        <w:rPr>
          <w:rtl/>
        </w:rPr>
        <w:t xml:space="preserve"> والأرض ومرتبا عليه</w:t>
      </w:r>
      <w:r w:rsidR="00DB731D" w:rsidRPr="00A52585">
        <w:rPr>
          <w:rtl/>
        </w:rPr>
        <w:t>،</w:t>
      </w:r>
      <w:r w:rsidRPr="00A52585">
        <w:rPr>
          <w:rtl/>
        </w:rPr>
        <w:t xml:space="preserve"> لأن التدبير لا يكون إلا بعد الخلق</w:t>
      </w:r>
      <w:r w:rsidR="00DB731D" w:rsidRPr="00A52585">
        <w:rPr>
          <w:rtl/>
        </w:rPr>
        <w:t>،</w:t>
      </w:r>
      <w:r w:rsidRPr="00A52585">
        <w:rPr>
          <w:rtl/>
        </w:rPr>
        <w:t xml:space="preserve"> ويؤيد لك ما يفهم من قوله تعالى ? يغشى اليل النهار يطلبه حثيثا والشمس والقمر والنجوم مسخرات بأمره ألا له الخلق والأمر تبارك الله ? ولذلك يذكر الاستواء بعد الخلق دائما</w:t>
      </w:r>
      <w:r w:rsidR="00DB731D" w:rsidRPr="00A52585">
        <w:rPr>
          <w:rtl/>
        </w:rPr>
        <w:t>،</w:t>
      </w:r>
      <w:r w:rsidR="0002035C" w:rsidRPr="00A52585">
        <w:rPr>
          <w:rFonts w:hint="cs"/>
          <w:rtl/>
        </w:rPr>
        <w:t xml:space="preserve"> </w:t>
      </w:r>
      <w:r w:rsidRPr="00A52585">
        <w:rPr>
          <w:rtl/>
        </w:rPr>
        <w:t>ويؤكده أيضا قوله تعالى</w:t>
      </w:r>
      <w:r w:rsidR="0002035C" w:rsidRPr="00A52585">
        <w:rPr>
          <w:rtl/>
        </w:rPr>
        <w:t>:</w:t>
      </w:r>
      <w:r w:rsidRPr="00A52585">
        <w:rPr>
          <w:rtl/>
        </w:rPr>
        <w:t xml:space="preserve"> ? ألا له الخلق والأمر? </w:t>
      </w:r>
      <w:proofErr w:type="spellStart"/>
      <w:r w:rsidRPr="00A52585">
        <w:rPr>
          <w:rtl/>
        </w:rPr>
        <w:t>فهولف</w:t>
      </w:r>
      <w:proofErr w:type="spellEnd"/>
      <w:r w:rsidRPr="00A52585">
        <w:rPr>
          <w:rtl/>
        </w:rPr>
        <w:t xml:space="preserve"> ونشر مرتب فالخلق يشير إلى خلق </w:t>
      </w:r>
      <w:proofErr w:type="gramStart"/>
      <w:r w:rsidRPr="00A52585">
        <w:rPr>
          <w:rtl/>
        </w:rPr>
        <w:t>السموات</w:t>
      </w:r>
      <w:proofErr w:type="gramEnd"/>
      <w:r w:rsidRPr="00A52585">
        <w:rPr>
          <w:rtl/>
        </w:rPr>
        <w:t xml:space="preserve"> والأرض</w:t>
      </w:r>
      <w:r w:rsidR="00DB731D" w:rsidRPr="00A52585">
        <w:rPr>
          <w:rtl/>
        </w:rPr>
        <w:t>،</w:t>
      </w:r>
      <w:r w:rsidRPr="00A52585">
        <w:rPr>
          <w:rtl/>
        </w:rPr>
        <w:t xml:space="preserve"> والأمر يشير إلى الاستواء على العرش</w:t>
      </w:r>
      <w:r w:rsidR="00DB731D" w:rsidRPr="00A52585">
        <w:rPr>
          <w:rtl/>
        </w:rPr>
        <w:t>،</w:t>
      </w:r>
      <w:r w:rsidRPr="00A52585">
        <w:rPr>
          <w:rFonts w:hint="cs"/>
          <w:rtl/>
        </w:rPr>
        <w:t xml:space="preserve"> </w:t>
      </w:r>
      <w:r w:rsidRPr="00A52585">
        <w:rPr>
          <w:rtl/>
        </w:rPr>
        <w:t>ويؤيد هذا المعنى آية سورة يونس لأن نصها</w:t>
      </w:r>
      <w:r w:rsidR="0002035C" w:rsidRPr="00A52585">
        <w:rPr>
          <w:rtl/>
        </w:rPr>
        <w:t>:</w:t>
      </w:r>
      <w:r w:rsidRPr="00A52585">
        <w:rPr>
          <w:rtl/>
        </w:rPr>
        <w:t xml:space="preserve"> ? إن ربكم الله </w:t>
      </w:r>
      <w:proofErr w:type="gramStart"/>
      <w:r w:rsidRPr="00A52585">
        <w:rPr>
          <w:rtl/>
        </w:rPr>
        <w:t>الذى</w:t>
      </w:r>
      <w:proofErr w:type="gramEnd"/>
      <w:r w:rsidRPr="00A52585">
        <w:rPr>
          <w:rtl/>
        </w:rPr>
        <w:t xml:space="preserve"> خلق السموات والأرض في ستة أيام ثم أستوى على العرش يدبر الأمر? فذكر التدبير بعد الاستواء هو كالتفسير له</w:t>
      </w:r>
      <w:r w:rsidR="00DB731D" w:rsidRPr="00A52585">
        <w:rPr>
          <w:rtl/>
        </w:rPr>
        <w:t>،</w:t>
      </w:r>
      <w:r w:rsidRPr="00A52585">
        <w:rPr>
          <w:rFonts w:hint="cs"/>
          <w:rtl/>
        </w:rPr>
        <w:t xml:space="preserve"> </w:t>
      </w:r>
      <w:r w:rsidRPr="00A52585">
        <w:rPr>
          <w:rtl/>
        </w:rPr>
        <w:t>ثالثا</w:t>
      </w:r>
      <w:r w:rsidR="0002035C" w:rsidRPr="00A52585">
        <w:rPr>
          <w:rtl/>
        </w:rPr>
        <w:t>:</w:t>
      </w:r>
      <w:r w:rsidRPr="00A52585">
        <w:rPr>
          <w:rtl/>
        </w:rPr>
        <w:t xml:space="preserve"> أما إذا فهم من </w:t>
      </w:r>
      <w:r w:rsidR="0002035C" w:rsidRPr="00A52585">
        <w:rPr>
          <w:rtl/>
        </w:rPr>
        <w:t>(</w:t>
      </w:r>
      <w:r w:rsidRPr="00A52585">
        <w:rPr>
          <w:rtl/>
        </w:rPr>
        <w:t>استوى</w:t>
      </w:r>
      <w:r w:rsidR="0002035C" w:rsidRPr="00A52585">
        <w:rPr>
          <w:rtl/>
        </w:rPr>
        <w:t>)</w:t>
      </w:r>
      <w:r w:rsidRPr="00A52585">
        <w:rPr>
          <w:rtl/>
        </w:rPr>
        <w:t xml:space="preserve"> معنى جلس فينبني عليه جملة </w:t>
      </w:r>
      <w:proofErr w:type="spellStart"/>
      <w:r w:rsidRPr="00A52585">
        <w:rPr>
          <w:rtl/>
        </w:rPr>
        <w:t>استحالات</w:t>
      </w:r>
      <w:proofErr w:type="spellEnd"/>
      <w:r w:rsidRPr="00A52585">
        <w:rPr>
          <w:rtl/>
        </w:rPr>
        <w:t xml:space="preserve"> </w:t>
      </w:r>
      <w:proofErr w:type="gramStart"/>
      <w:r w:rsidRPr="00A52585">
        <w:rPr>
          <w:rtl/>
        </w:rPr>
        <w:t>وهى</w:t>
      </w:r>
      <w:proofErr w:type="gramEnd"/>
      <w:r w:rsidR="0002035C" w:rsidRPr="00A52585">
        <w:rPr>
          <w:rtl/>
        </w:rPr>
        <w:t>:</w:t>
      </w:r>
      <w:r w:rsidRPr="00A52585">
        <w:rPr>
          <w:rFonts w:hint="cs"/>
          <w:rtl/>
        </w:rPr>
        <w:t xml:space="preserve"> </w:t>
      </w:r>
      <w:r w:rsidR="0002035C" w:rsidRPr="00A52585">
        <w:rPr>
          <w:rFonts w:hint="cs"/>
          <w:rtl/>
        </w:rPr>
        <w:t>(</w:t>
      </w:r>
      <w:r w:rsidRPr="00A52585">
        <w:rPr>
          <w:rtl/>
        </w:rPr>
        <w:t>أ</w:t>
      </w:r>
      <w:r w:rsidR="0002035C" w:rsidRPr="00A52585">
        <w:rPr>
          <w:rFonts w:hint="cs"/>
          <w:rtl/>
        </w:rPr>
        <w:t>)</w:t>
      </w:r>
      <w:r w:rsidRPr="00A52585">
        <w:rPr>
          <w:rFonts w:hint="cs"/>
          <w:rtl/>
        </w:rPr>
        <w:t xml:space="preserve"> </w:t>
      </w:r>
      <w:r w:rsidRPr="00A52585">
        <w:rPr>
          <w:rtl/>
        </w:rPr>
        <w:t>أن المعنى يكون هكذا</w:t>
      </w:r>
      <w:r w:rsidR="0002035C" w:rsidRPr="00A52585">
        <w:rPr>
          <w:rtl/>
        </w:rPr>
        <w:t>:</w:t>
      </w:r>
      <w:r w:rsidRPr="00A52585">
        <w:rPr>
          <w:rtl/>
        </w:rPr>
        <w:t xml:space="preserve"> أن الله تعالى خلق السموات والأرض ثم جلس تعالى على العرش</w:t>
      </w:r>
      <w:r w:rsidR="0002035C" w:rsidRPr="00A52585">
        <w:rPr>
          <w:rtl/>
        </w:rPr>
        <w:t>)</w:t>
      </w:r>
      <w:r w:rsidRPr="00A52585">
        <w:rPr>
          <w:rtl/>
        </w:rPr>
        <w:t xml:space="preserve"> وهذا يستلزم أنه قبل خلق السموات والأرض لم يكن جالسا على العرش</w:t>
      </w:r>
      <w:r w:rsidR="00F95886" w:rsidRPr="00A52585">
        <w:rPr>
          <w:rtl/>
        </w:rPr>
        <w:t>؟</w:t>
      </w:r>
      <w:r w:rsidR="00DB731D" w:rsidRPr="00A52585">
        <w:rPr>
          <w:rtl/>
        </w:rPr>
        <w:t>،</w:t>
      </w:r>
      <w:r w:rsidRPr="00A52585">
        <w:rPr>
          <w:rFonts w:hint="cs"/>
          <w:rtl/>
        </w:rPr>
        <w:t xml:space="preserve"> </w:t>
      </w:r>
      <w:r w:rsidR="0002035C" w:rsidRPr="00A52585">
        <w:rPr>
          <w:rFonts w:hint="cs"/>
          <w:rtl/>
        </w:rPr>
        <w:t>(</w:t>
      </w:r>
      <w:r w:rsidRPr="00A52585">
        <w:rPr>
          <w:rFonts w:hint="cs"/>
          <w:rtl/>
        </w:rPr>
        <w:t>ب</w:t>
      </w:r>
      <w:r w:rsidR="0002035C" w:rsidRPr="00A52585">
        <w:rPr>
          <w:rFonts w:hint="cs"/>
          <w:rtl/>
        </w:rPr>
        <w:t>):</w:t>
      </w:r>
      <w:r w:rsidRPr="00A52585">
        <w:rPr>
          <w:rFonts w:hint="cs"/>
          <w:rtl/>
        </w:rPr>
        <w:t xml:space="preserve"> </w:t>
      </w:r>
      <w:r w:rsidRPr="00A52585">
        <w:rPr>
          <w:rtl/>
        </w:rPr>
        <w:t>فأين كان جالسا</w:t>
      </w:r>
      <w:r w:rsidR="00F95886" w:rsidRPr="00A52585">
        <w:rPr>
          <w:rtl/>
        </w:rPr>
        <w:t>؟</w:t>
      </w:r>
      <w:r w:rsidRPr="00A52585">
        <w:rPr>
          <w:rtl/>
        </w:rPr>
        <w:t xml:space="preserve"> وإن لم يكن جالسا على العرش قبل خلقها</w:t>
      </w:r>
      <w:r w:rsidR="00DB731D" w:rsidRPr="00A52585">
        <w:rPr>
          <w:rtl/>
        </w:rPr>
        <w:t>،</w:t>
      </w:r>
      <w:r w:rsidRPr="00A52585">
        <w:rPr>
          <w:rtl/>
        </w:rPr>
        <w:t xml:space="preserve"> فما </w:t>
      </w:r>
      <w:proofErr w:type="spellStart"/>
      <w:r w:rsidRPr="00A52585">
        <w:rPr>
          <w:rtl/>
        </w:rPr>
        <w:t>الداعى</w:t>
      </w:r>
      <w:proofErr w:type="spellEnd"/>
      <w:r w:rsidRPr="00A52585">
        <w:rPr>
          <w:rtl/>
        </w:rPr>
        <w:t xml:space="preserve"> </w:t>
      </w:r>
      <w:proofErr w:type="spellStart"/>
      <w:r w:rsidRPr="00A52585">
        <w:rPr>
          <w:rtl/>
        </w:rPr>
        <w:t>لجلوسة</w:t>
      </w:r>
      <w:proofErr w:type="spellEnd"/>
      <w:r w:rsidRPr="00A52585">
        <w:rPr>
          <w:rtl/>
        </w:rPr>
        <w:t xml:space="preserve"> تعالى على العرش بعد خلقها</w:t>
      </w:r>
      <w:r w:rsidR="00DB731D" w:rsidRPr="00A52585">
        <w:rPr>
          <w:rtl/>
        </w:rPr>
        <w:t>،</w:t>
      </w:r>
      <w:r w:rsidRPr="00A52585">
        <w:rPr>
          <w:rtl/>
        </w:rPr>
        <w:t xml:space="preserve"> وما العلاقة بين خلقه تعالى لها وبين جلوسه تعالى على العرش فهل لم يكن في إمكانه خلقها إلا وهو تعالى غير جالس على العرش</w:t>
      </w:r>
      <w:r w:rsidR="00F95886" w:rsidRPr="00A52585">
        <w:rPr>
          <w:rtl/>
        </w:rPr>
        <w:t>؟</w:t>
      </w:r>
      <w:r w:rsidR="00DB731D" w:rsidRPr="00A52585">
        <w:rPr>
          <w:rFonts w:hint="cs"/>
          <w:rtl/>
        </w:rPr>
        <w:t>،</w:t>
      </w:r>
      <w:r w:rsidRPr="00A52585">
        <w:rPr>
          <w:rFonts w:hint="cs"/>
          <w:rtl/>
        </w:rPr>
        <w:t xml:space="preserve"> </w:t>
      </w:r>
      <w:r w:rsidR="0002035C" w:rsidRPr="00A52585">
        <w:rPr>
          <w:rFonts w:hint="cs"/>
          <w:rtl/>
        </w:rPr>
        <w:t>(</w:t>
      </w:r>
      <w:r w:rsidRPr="00A52585">
        <w:rPr>
          <w:rFonts w:hint="cs"/>
          <w:rtl/>
        </w:rPr>
        <w:t>ج</w:t>
      </w:r>
      <w:r w:rsidR="0002035C" w:rsidRPr="00A52585">
        <w:rPr>
          <w:rFonts w:hint="cs"/>
          <w:rtl/>
        </w:rPr>
        <w:t>)</w:t>
      </w:r>
      <w:r w:rsidRPr="00A52585">
        <w:rPr>
          <w:rFonts w:hint="cs"/>
          <w:rtl/>
        </w:rPr>
        <w:t xml:space="preserve"> </w:t>
      </w:r>
      <w:r w:rsidRPr="00A52585">
        <w:rPr>
          <w:rtl/>
        </w:rPr>
        <w:t xml:space="preserve">وهل كان العرش خاليا من الجلوس وقت خلق </w:t>
      </w:r>
      <w:proofErr w:type="gramStart"/>
      <w:r w:rsidRPr="00A52585">
        <w:rPr>
          <w:rtl/>
        </w:rPr>
        <w:t>السموات</w:t>
      </w:r>
      <w:proofErr w:type="gramEnd"/>
      <w:r w:rsidRPr="00A52585">
        <w:rPr>
          <w:rtl/>
        </w:rPr>
        <w:t xml:space="preserve"> والأرض أم كان مشغولا بغيره تعالى</w:t>
      </w:r>
      <w:r w:rsidR="00F95886" w:rsidRPr="00A52585">
        <w:rPr>
          <w:rtl/>
        </w:rPr>
        <w:t>؟</w:t>
      </w:r>
      <w:r w:rsidRPr="00A52585">
        <w:rPr>
          <w:rFonts w:hint="cs"/>
          <w:rtl/>
        </w:rPr>
        <w:t xml:space="preserve"> </w:t>
      </w:r>
      <w:r w:rsidR="0002035C" w:rsidRPr="00A52585">
        <w:rPr>
          <w:rFonts w:hint="cs"/>
          <w:rtl/>
        </w:rPr>
        <w:t>(</w:t>
      </w:r>
      <w:r w:rsidRPr="00A52585">
        <w:rPr>
          <w:rFonts w:hint="cs"/>
          <w:rtl/>
        </w:rPr>
        <w:t>د</w:t>
      </w:r>
      <w:r w:rsidR="0002035C" w:rsidRPr="00A52585">
        <w:rPr>
          <w:rFonts w:hint="cs"/>
          <w:rtl/>
        </w:rPr>
        <w:t>)</w:t>
      </w:r>
      <w:r w:rsidRPr="00A52585">
        <w:rPr>
          <w:rFonts w:hint="cs"/>
          <w:rtl/>
        </w:rPr>
        <w:t xml:space="preserve"> </w:t>
      </w:r>
      <w:r w:rsidRPr="00A52585">
        <w:rPr>
          <w:rtl/>
        </w:rPr>
        <w:t>وإن كان خاليا فلماذا</w:t>
      </w:r>
      <w:r w:rsidR="0002035C" w:rsidRPr="00A52585">
        <w:rPr>
          <w:rtl/>
        </w:rPr>
        <w:t xml:space="preserve"> </w:t>
      </w:r>
      <w:r w:rsidRPr="00A52585">
        <w:rPr>
          <w:rtl/>
        </w:rPr>
        <w:t>-</w:t>
      </w:r>
      <w:r w:rsidR="0002035C" w:rsidRPr="00A52585">
        <w:rPr>
          <w:rtl/>
        </w:rPr>
        <w:t xml:space="preserve"> </w:t>
      </w:r>
      <w:r w:rsidRPr="00A52585">
        <w:rPr>
          <w:rtl/>
        </w:rPr>
        <w:t>فهل كان تعالى مستغنيا عن الجلوس عليه</w:t>
      </w:r>
      <w:r w:rsidR="00F95886" w:rsidRPr="00A52585">
        <w:rPr>
          <w:rtl/>
        </w:rPr>
        <w:t>؟</w:t>
      </w:r>
      <w:r w:rsidRPr="00A52585">
        <w:rPr>
          <w:rFonts w:hint="cs"/>
          <w:rtl/>
        </w:rPr>
        <w:t xml:space="preserve"> </w:t>
      </w:r>
      <w:r w:rsidR="0002035C" w:rsidRPr="00A52585">
        <w:rPr>
          <w:rFonts w:hint="cs"/>
          <w:rtl/>
        </w:rPr>
        <w:t>(</w:t>
      </w:r>
      <w:r w:rsidRPr="00A52585">
        <w:rPr>
          <w:rFonts w:hint="cs"/>
          <w:rtl/>
        </w:rPr>
        <w:t>ه</w:t>
      </w:r>
      <w:r w:rsidR="0002035C" w:rsidRPr="00A52585">
        <w:rPr>
          <w:rFonts w:hint="cs"/>
          <w:rtl/>
        </w:rPr>
        <w:t xml:space="preserve">) </w:t>
      </w:r>
      <w:r w:rsidRPr="00A52585">
        <w:rPr>
          <w:rtl/>
        </w:rPr>
        <w:t xml:space="preserve">وإن كان تعالى مستغنيا عن العرش قبل خلق </w:t>
      </w:r>
      <w:proofErr w:type="gramStart"/>
      <w:r w:rsidRPr="00A52585">
        <w:rPr>
          <w:rtl/>
        </w:rPr>
        <w:t>السموات</w:t>
      </w:r>
      <w:proofErr w:type="gramEnd"/>
      <w:r w:rsidRPr="00A52585">
        <w:rPr>
          <w:rtl/>
        </w:rPr>
        <w:t xml:space="preserve"> والأرض فما الذى أوجب احتياجه تعالى إليه</w:t>
      </w:r>
      <w:r w:rsidR="00F95886" w:rsidRPr="00A52585">
        <w:rPr>
          <w:rtl/>
        </w:rPr>
        <w:t>؟</w:t>
      </w:r>
      <w:r w:rsidRPr="00A52585">
        <w:rPr>
          <w:rFonts w:hint="cs"/>
          <w:rtl/>
        </w:rPr>
        <w:t xml:space="preserve"> </w:t>
      </w:r>
      <w:r w:rsidR="0002035C" w:rsidRPr="00A52585">
        <w:rPr>
          <w:rFonts w:hint="cs"/>
          <w:rtl/>
        </w:rPr>
        <w:t>(</w:t>
      </w:r>
      <w:r w:rsidRPr="00A52585">
        <w:rPr>
          <w:rFonts w:hint="cs"/>
          <w:rtl/>
        </w:rPr>
        <w:t>و</w:t>
      </w:r>
      <w:r w:rsidR="0002035C" w:rsidRPr="00A52585">
        <w:rPr>
          <w:rFonts w:hint="cs"/>
          <w:rtl/>
        </w:rPr>
        <w:t>)</w:t>
      </w:r>
      <w:r w:rsidRPr="00A52585">
        <w:rPr>
          <w:rFonts w:hint="cs"/>
          <w:rtl/>
        </w:rPr>
        <w:t xml:space="preserve"> </w:t>
      </w:r>
      <w:r w:rsidRPr="00A52585">
        <w:rPr>
          <w:rtl/>
        </w:rPr>
        <w:t xml:space="preserve">وما الموجب لترتيب الجلوس على العرش على خلق </w:t>
      </w:r>
      <w:proofErr w:type="gramStart"/>
      <w:r w:rsidRPr="00A52585">
        <w:rPr>
          <w:rtl/>
        </w:rPr>
        <w:t>السموات</w:t>
      </w:r>
      <w:proofErr w:type="gramEnd"/>
      <w:r w:rsidRPr="00A52585">
        <w:rPr>
          <w:rtl/>
        </w:rPr>
        <w:t xml:space="preserve"> والأرض</w:t>
      </w:r>
      <w:r w:rsidR="00F95886" w:rsidRPr="00A52585">
        <w:rPr>
          <w:rtl/>
        </w:rPr>
        <w:t>؟</w:t>
      </w:r>
      <w:r w:rsidRPr="00A52585">
        <w:rPr>
          <w:rtl/>
        </w:rPr>
        <w:t xml:space="preserve"> </w:t>
      </w:r>
      <w:r w:rsidRPr="00A52585">
        <w:rPr>
          <w:rtl/>
        </w:rPr>
        <w:lastRenderedPageBreak/>
        <w:t>ولماذا لم يكن الجلوس قبل خلقها</w:t>
      </w:r>
      <w:r w:rsidR="00F95886" w:rsidRPr="00A52585">
        <w:rPr>
          <w:rtl/>
        </w:rPr>
        <w:t>؟</w:t>
      </w:r>
      <w:r w:rsidRPr="00A52585">
        <w:rPr>
          <w:rtl/>
        </w:rPr>
        <w:t xml:space="preserve"> فالعقل يقضى بأن الجلوس بمعنى التدبير حاصل من بعد خلقها أما مجرد الجلوس فلا معنى له ولا فائدة</w:t>
      </w:r>
      <w:r w:rsidR="00DB731D" w:rsidRPr="00A52585">
        <w:rPr>
          <w:rtl/>
        </w:rPr>
        <w:t>،</w:t>
      </w:r>
      <w:r w:rsidRPr="00A52585">
        <w:rPr>
          <w:rFonts w:hint="cs"/>
          <w:rtl/>
        </w:rPr>
        <w:t xml:space="preserve"> </w:t>
      </w:r>
      <w:r w:rsidR="0002035C" w:rsidRPr="00A52585">
        <w:rPr>
          <w:rFonts w:hint="cs"/>
          <w:rtl/>
        </w:rPr>
        <w:t>(</w:t>
      </w:r>
      <w:r w:rsidRPr="00A52585">
        <w:rPr>
          <w:rFonts w:hint="cs"/>
          <w:rtl/>
        </w:rPr>
        <w:t>ز</w:t>
      </w:r>
      <w:r w:rsidR="0002035C" w:rsidRPr="00A52585">
        <w:rPr>
          <w:rFonts w:hint="cs"/>
          <w:rtl/>
        </w:rPr>
        <w:t>)</w:t>
      </w:r>
      <w:r w:rsidRPr="00A52585">
        <w:rPr>
          <w:rFonts w:hint="cs"/>
          <w:rtl/>
        </w:rPr>
        <w:t xml:space="preserve"> </w:t>
      </w:r>
      <w:r w:rsidRPr="00A52585">
        <w:rPr>
          <w:rtl/>
        </w:rPr>
        <w:t>وإن عدم الجلوس أولا ثم حصوله ثانيا بعد خلقها يستلزم الحركة بعد السكون وهما حادثان فكيف يتصف بهما القديم جل ولعا</w:t>
      </w:r>
      <w:r w:rsidR="00DB731D" w:rsidRPr="00A52585">
        <w:rPr>
          <w:rtl/>
        </w:rPr>
        <w:t>،</w:t>
      </w:r>
      <w:r w:rsidRPr="00A52585">
        <w:rPr>
          <w:rFonts w:hint="cs"/>
          <w:rtl/>
        </w:rPr>
        <w:t xml:space="preserve"> </w:t>
      </w:r>
      <w:r w:rsidR="0002035C" w:rsidRPr="00A52585">
        <w:rPr>
          <w:rFonts w:hint="cs"/>
          <w:rtl/>
        </w:rPr>
        <w:t>(</w:t>
      </w:r>
      <w:r w:rsidRPr="00A52585">
        <w:rPr>
          <w:rFonts w:hint="cs"/>
          <w:rtl/>
        </w:rPr>
        <w:t>ح</w:t>
      </w:r>
      <w:r w:rsidR="0002035C" w:rsidRPr="00A52585">
        <w:rPr>
          <w:rFonts w:hint="cs"/>
          <w:rtl/>
        </w:rPr>
        <w:t>)</w:t>
      </w:r>
      <w:r w:rsidRPr="00A52585">
        <w:rPr>
          <w:rFonts w:hint="cs"/>
          <w:rtl/>
        </w:rPr>
        <w:t xml:space="preserve"> </w:t>
      </w:r>
      <w:r w:rsidRPr="00A52585">
        <w:rPr>
          <w:rtl/>
        </w:rPr>
        <w:t>إنه لا تعظيم ولا بلاغة في ذكر مجرد الجلوس على العرش بعد خلق السموات والأرض لأنه يدل على حصول تعب استوجب الجلوس على العرش للاستراحة كما أنه ليس مختصا بالإله ولا مدح فيه</w:t>
      </w:r>
      <w:r w:rsidR="00DB731D" w:rsidRPr="00A52585">
        <w:rPr>
          <w:rtl/>
        </w:rPr>
        <w:t>،</w:t>
      </w:r>
      <w:r w:rsidRPr="00A52585">
        <w:rPr>
          <w:rFonts w:hint="cs"/>
          <w:rtl/>
        </w:rPr>
        <w:t xml:space="preserve"> </w:t>
      </w:r>
      <w:r w:rsidR="0002035C" w:rsidRPr="00A52585">
        <w:rPr>
          <w:rFonts w:hint="cs"/>
          <w:rtl/>
        </w:rPr>
        <w:t>(</w:t>
      </w:r>
      <w:r w:rsidRPr="00A52585">
        <w:rPr>
          <w:rFonts w:hint="cs"/>
          <w:rtl/>
        </w:rPr>
        <w:t>ط</w:t>
      </w:r>
      <w:r w:rsidR="0002035C" w:rsidRPr="00A52585">
        <w:rPr>
          <w:rFonts w:hint="cs"/>
          <w:rtl/>
        </w:rPr>
        <w:t>)</w:t>
      </w:r>
      <w:r w:rsidRPr="00A52585">
        <w:rPr>
          <w:rFonts w:hint="cs"/>
          <w:rtl/>
        </w:rPr>
        <w:t xml:space="preserve"> </w:t>
      </w:r>
      <w:r w:rsidRPr="00A52585">
        <w:rPr>
          <w:rtl/>
        </w:rPr>
        <w:t xml:space="preserve">إن جلوس الملوك على العرش ليس جلوسا عاديا ولكنه له معنى خاص بإصدار الأوامر اللازمة </w:t>
      </w:r>
      <w:proofErr w:type="spellStart"/>
      <w:r w:rsidRPr="00A52585">
        <w:rPr>
          <w:rtl/>
        </w:rPr>
        <w:t>لدتبيرهم</w:t>
      </w:r>
      <w:proofErr w:type="spellEnd"/>
      <w:r w:rsidRPr="00A52585">
        <w:rPr>
          <w:rtl/>
        </w:rPr>
        <w:t xml:space="preserve"> المملكة</w:t>
      </w:r>
      <w:r w:rsidR="00DB731D" w:rsidRPr="00A52585">
        <w:rPr>
          <w:rtl/>
        </w:rPr>
        <w:t>،</w:t>
      </w:r>
      <w:r w:rsidRPr="00A52585">
        <w:rPr>
          <w:rtl/>
        </w:rPr>
        <w:t xml:space="preserve"> ولذلك يكون جلوسهم مصحوبا بإلقاء خطبة العرش لبيان تدبيرهم</w:t>
      </w:r>
      <w:r w:rsidR="00DB731D" w:rsidRPr="00A52585">
        <w:rPr>
          <w:rtl/>
        </w:rPr>
        <w:t>،</w:t>
      </w:r>
      <w:r w:rsidRPr="00A52585">
        <w:rPr>
          <w:rFonts w:hint="cs"/>
          <w:rtl/>
        </w:rPr>
        <w:t xml:space="preserve"> </w:t>
      </w:r>
      <w:r w:rsidRPr="00A52585">
        <w:rPr>
          <w:rtl/>
        </w:rPr>
        <w:t xml:space="preserve">أما جلوسهم المعتاد فلا يكون على العرش أصلا حتى </w:t>
      </w:r>
      <w:proofErr w:type="spellStart"/>
      <w:r w:rsidRPr="00A52585">
        <w:rPr>
          <w:rtl/>
        </w:rPr>
        <w:t>ولوجلس</w:t>
      </w:r>
      <w:proofErr w:type="spellEnd"/>
      <w:r w:rsidRPr="00A52585">
        <w:rPr>
          <w:rtl/>
        </w:rPr>
        <w:t xml:space="preserve"> على العرش في غير الميعاد المحدد لبيان برنامج تدبيره فلا يعبر عنه بأنه جالس على العرش كما أن الملك يعتبر جالسا على العرش وإن كان متغيبا في جهات أخرى فهذا الجلوس كناية عن قيامه بالحكم والتدبير</w:t>
      </w:r>
      <w:r w:rsidR="00DB731D" w:rsidRPr="00A52585">
        <w:rPr>
          <w:rFonts w:hint="cs"/>
          <w:rtl/>
        </w:rPr>
        <w:t>،</w:t>
      </w:r>
      <w:r w:rsidRPr="00A52585">
        <w:rPr>
          <w:rFonts w:hint="cs"/>
          <w:rtl/>
        </w:rPr>
        <w:t xml:space="preserve"> </w:t>
      </w:r>
      <w:r w:rsidR="0002035C" w:rsidRPr="00A52585">
        <w:rPr>
          <w:rFonts w:hint="cs"/>
          <w:rtl/>
        </w:rPr>
        <w:t>(</w:t>
      </w:r>
      <w:r w:rsidRPr="00A52585">
        <w:rPr>
          <w:rtl/>
        </w:rPr>
        <w:t>ى</w:t>
      </w:r>
      <w:r w:rsidR="0002035C" w:rsidRPr="00A52585">
        <w:rPr>
          <w:rFonts w:hint="cs"/>
          <w:rtl/>
        </w:rPr>
        <w:t>)</w:t>
      </w:r>
      <w:r w:rsidRPr="00A52585">
        <w:rPr>
          <w:rFonts w:hint="cs"/>
          <w:rtl/>
        </w:rPr>
        <w:t xml:space="preserve"> </w:t>
      </w:r>
      <w:r w:rsidRPr="00A52585">
        <w:rPr>
          <w:rtl/>
        </w:rPr>
        <w:t>لو</w:t>
      </w:r>
      <w:r w:rsidRPr="00A52585">
        <w:rPr>
          <w:rFonts w:hint="cs"/>
          <w:rtl/>
        </w:rPr>
        <w:t xml:space="preserve"> </w:t>
      </w:r>
      <w:r w:rsidRPr="00A52585">
        <w:rPr>
          <w:rtl/>
        </w:rPr>
        <w:t xml:space="preserve">كان الجلوس صفة للذات الإلهية </w:t>
      </w:r>
      <w:proofErr w:type="spellStart"/>
      <w:r w:rsidRPr="00A52585">
        <w:rPr>
          <w:rtl/>
        </w:rPr>
        <w:t>لكات</w:t>
      </w:r>
      <w:proofErr w:type="spellEnd"/>
      <w:r w:rsidRPr="00A52585">
        <w:rPr>
          <w:rtl/>
        </w:rPr>
        <w:t xml:space="preserve"> قديما</w:t>
      </w:r>
      <w:r w:rsidR="00DB731D" w:rsidRPr="00A52585">
        <w:rPr>
          <w:rtl/>
        </w:rPr>
        <w:t>،</w:t>
      </w:r>
      <w:r w:rsidRPr="00A52585">
        <w:rPr>
          <w:rtl/>
        </w:rPr>
        <w:t xml:space="preserve"> وهذا يستلزم إما قدم العرش وهذا محال</w:t>
      </w:r>
      <w:r w:rsidR="00DB731D" w:rsidRPr="00A52585">
        <w:rPr>
          <w:rtl/>
        </w:rPr>
        <w:t>،</w:t>
      </w:r>
      <w:r w:rsidRPr="00A52585">
        <w:rPr>
          <w:rtl/>
        </w:rPr>
        <w:t xml:space="preserve"> وإما حدوث الجلوس وحدوث الذات الإلهية وهذا محال أيضا</w:t>
      </w:r>
      <w:r w:rsidR="00DB731D" w:rsidRPr="00A52585">
        <w:rPr>
          <w:rtl/>
        </w:rPr>
        <w:t>،</w:t>
      </w:r>
      <w:r w:rsidRPr="00A52585">
        <w:rPr>
          <w:rFonts w:hint="cs"/>
          <w:rtl/>
        </w:rPr>
        <w:t xml:space="preserve"> </w:t>
      </w:r>
      <w:r w:rsidR="0002035C" w:rsidRPr="00A52585">
        <w:rPr>
          <w:rFonts w:hint="cs"/>
          <w:rtl/>
        </w:rPr>
        <w:t>(</w:t>
      </w:r>
      <w:r w:rsidRPr="00A52585">
        <w:rPr>
          <w:rtl/>
        </w:rPr>
        <w:t>ك</w:t>
      </w:r>
      <w:r w:rsidR="0002035C" w:rsidRPr="00A52585">
        <w:rPr>
          <w:rFonts w:hint="cs"/>
          <w:rtl/>
        </w:rPr>
        <w:t>)</w:t>
      </w:r>
      <w:r w:rsidRPr="00A52585">
        <w:rPr>
          <w:rFonts w:hint="cs"/>
          <w:rtl/>
        </w:rPr>
        <w:t xml:space="preserve"> </w:t>
      </w:r>
      <w:r w:rsidRPr="00A52585">
        <w:rPr>
          <w:rtl/>
        </w:rPr>
        <w:t>إن قيل</w:t>
      </w:r>
      <w:r w:rsidR="0002035C" w:rsidRPr="00A52585">
        <w:rPr>
          <w:rtl/>
        </w:rPr>
        <w:t>:</w:t>
      </w:r>
      <w:r w:rsidRPr="00A52585">
        <w:rPr>
          <w:rtl/>
        </w:rPr>
        <w:t xml:space="preserve"> إنه تعالى فوق العرش</w:t>
      </w:r>
      <w:r w:rsidR="00DB731D" w:rsidRPr="00A52585">
        <w:rPr>
          <w:rtl/>
        </w:rPr>
        <w:t>،</w:t>
      </w:r>
      <w:r w:rsidRPr="00A52585">
        <w:rPr>
          <w:rtl/>
        </w:rPr>
        <w:t xml:space="preserve"> ولكنه يبعد عنه بمسافة فهذا أيضا محال لأنه ينافى الجلوس</w:t>
      </w:r>
      <w:r w:rsidR="00DB731D" w:rsidRPr="00A52585">
        <w:rPr>
          <w:rtl/>
        </w:rPr>
        <w:t>،</w:t>
      </w:r>
      <w:r w:rsidRPr="00A52585">
        <w:rPr>
          <w:rtl/>
        </w:rPr>
        <w:t xml:space="preserve"> ولأنه تعالى يكون محمولا في الفضاء ومحدودا من أسفله</w:t>
      </w:r>
      <w:r w:rsidR="00DB731D" w:rsidRPr="00A52585">
        <w:rPr>
          <w:rtl/>
        </w:rPr>
        <w:t>،</w:t>
      </w:r>
      <w:r w:rsidRPr="00A52585">
        <w:rPr>
          <w:rtl/>
        </w:rPr>
        <w:t xml:space="preserve"> وهذا يستلزم تحديده تعالى من جميع الجهات لضرورة تماثلها حكما وهذا كله مستحيل على القديم جل وعلا</w:t>
      </w:r>
      <w:r w:rsidR="00DB731D" w:rsidRPr="00A52585">
        <w:rPr>
          <w:rtl/>
        </w:rPr>
        <w:t>،</w:t>
      </w:r>
      <w:r w:rsidRPr="00A52585">
        <w:rPr>
          <w:rFonts w:hint="cs"/>
          <w:rtl/>
        </w:rPr>
        <w:t xml:space="preserve"> </w:t>
      </w:r>
      <w:r w:rsidRPr="00A52585">
        <w:rPr>
          <w:bCs/>
          <w:rtl/>
        </w:rPr>
        <w:t xml:space="preserve">أما من جهة البلاغة فنضع أمام عينك المعنى المفهوم على كلا التفسيرين لكلمة </w:t>
      </w:r>
      <w:r w:rsidR="0002035C" w:rsidRPr="00A52585">
        <w:rPr>
          <w:bCs/>
          <w:rtl/>
        </w:rPr>
        <w:t>(</w:t>
      </w:r>
      <w:r w:rsidRPr="00A52585">
        <w:rPr>
          <w:bCs/>
          <w:rtl/>
        </w:rPr>
        <w:t>استوى</w:t>
      </w:r>
      <w:r w:rsidR="0002035C" w:rsidRPr="00A52585">
        <w:rPr>
          <w:bCs/>
          <w:rtl/>
        </w:rPr>
        <w:t>)</w:t>
      </w:r>
      <w:r w:rsidRPr="00A52585">
        <w:rPr>
          <w:bCs/>
          <w:rtl/>
        </w:rPr>
        <w:t xml:space="preserve"> لتحكم أيهما اللائق بعظمة الألوهية وبلاغة القرآن العظيم وأيهما المناسب لبيان كمال </w:t>
      </w:r>
      <w:proofErr w:type="spellStart"/>
      <w:r w:rsidRPr="00A52585">
        <w:rPr>
          <w:bCs/>
          <w:rtl/>
        </w:rPr>
        <w:t>كمال</w:t>
      </w:r>
      <w:proofErr w:type="spellEnd"/>
      <w:r w:rsidRPr="00A52585">
        <w:rPr>
          <w:bCs/>
          <w:rtl/>
        </w:rPr>
        <w:t xml:space="preserve"> الألوهية وصفاتها</w:t>
      </w:r>
      <w:r w:rsidR="00DB731D" w:rsidRPr="00A52585">
        <w:rPr>
          <w:bCs/>
          <w:rtl/>
        </w:rPr>
        <w:t>،</w:t>
      </w:r>
      <w:r w:rsidRPr="00A52585">
        <w:rPr>
          <w:rFonts w:hint="cs"/>
          <w:bCs/>
          <w:rtl/>
        </w:rPr>
        <w:t xml:space="preserve"> </w:t>
      </w:r>
      <w:r w:rsidR="0002035C" w:rsidRPr="00A52585">
        <w:rPr>
          <w:rFonts w:hint="cs"/>
          <w:bCs/>
          <w:rtl/>
        </w:rPr>
        <w:t>(</w:t>
      </w:r>
      <w:r w:rsidRPr="00A52585">
        <w:rPr>
          <w:rFonts w:hint="cs"/>
          <w:bCs/>
          <w:rtl/>
        </w:rPr>
        <w:t>أ</w:t>
      </w:r>
      <w:r w:rsidR="0002035C" w:rsidRPr="00A52585">
        <w:rPr>
          <w:rFonts w:hint="cs"/>
          <w:bCs/>
          <w:rtl/>
        </w:rPr>
        <w:t>)</w:t>
      </w:r>
      <w:r w:rsidRPr="00A52585">
        <w:rPr>
          <w:rFonts w:hint="cs"/>
          <w:bCs/>
          <w:rtl/>
        </w:rPr>
        <w:t xml:space="preserve"> </w:t>
      </w:r>
      <w:r w:rsidRPr="00A52585">
        <w:rPr>
          <w:bCs/>
          <w:rtl/>
        </w:rPr>
        <w:t>أما المفهوم من الآية الشريفة على المعنى الأول</w:t>
      </w:r>
      <w:r w:rsidRPr="00A52585">
        <w:rPr>
          <w:rtl/>
        </w:rPr>
        <w:t xml:space="preserve"> </w:t>
      </w:r>
      <w:r w:rsidR="0002035C" w:rsidRPr="00A52585">
        <w:rPr>
          <w:rtl/>
        </w:rPr>
        <w:t>(</w:t>
      </w:r>
      <w:r w:rsidRPr="00A52585">
        <w:rPr>
          <w:rtl/>
        </w:rPr>
        <w:t>لاستوى</w:t>
      </w:r>
      <w:r w:rsidR="0002035C" w:rsidRPr="00A52585">
        <w:rPr>
          <w:rtl/>
        </w:rPr>
        <w:t>)</w:t>
      </w:r>
      <w:r w:rsidRPr="00A52585">
        <w:rPr>
          <w:rtl/>
        </w:rPr>
        <w:t xml:space="preserve"> يكون </w:t>
      </w:r>
      <w:proofErr w:type="spellStart"/>
      <w:r w:rsidRPr="00A52585">
        <w:rPr>
          <w:rtl/>
        </w:rPr>
        <w:t>كالأتى</w:t>
      </w:r>
      <w:proofErr w:type="spellEnd"/>
      <w:r w:rsidR="0002035C" w:rsidRPr="00A52585">
        <w:rPr>
          <w:rtl/>
        </w:rPr>
        <w:t>:</w:t>
      </w:r>
      <w:r w:rsidRPr="00A52585">
        <w:rPr>
          <w:rFonts w:hint="cs"/>
          <w:rtl/>
        </w:rPr>
        <w:t xml:space="preserve"> </w:t>
      </w:r>
      <w:r w:rsidRPr="00A52585">
        <w:rPr>
          <w:rtl/>
        </w:rPr>
        <w:t xml:space="preserve">إن ربكم الله العظيم الذى ليس مثله </w:t>
      </w:r>
      <w:proofErr w:type="spellStart"/>
      <w:r w:rsidRPr="00A52585">
        <w:rPr>
          <w:rtl/>
        </w:rPr>
        <w:t>شئ</w:t>
      </w:r>
      <w:proofErr w:type="spellEnd"/>
      <w:r w:rsidR="00DB731D" w:rsidRPr="00A52585">
        <w:rPr>
          <w:rtl/>
        </w:rPr>
        <w:t>،</w:t>
      </w:r>
      <w:r w:rsidRPr="00A52585">
        <w:rPr>
          <w:rtl/>
        </w:rPr>
        <w:t xml:space="preserve"> والذى لا يعجزه </w:t>
      </w:r>
      <w:proofErr w:type="spellStart"/>
      <w:r w:rsidRPr="00A52585">
        <w:rPr>
          <w:rtl/>
        </w:rPr>
        <w:t>شئ</w:t>
      </w:r>
      <w:proofErr w:type="spellEnd"/>
      <w:r w:rsidR="00DB731D" w:rsidRPr="00A52585">
        <w:rPr>
          <w:rtl/>
        </w:rPr>
        <w:t>،</w:t>
      </w:r>
      <w:r w:rsidRPr="00A52585">
        <w:rPr>
          <w:rtl/>
        </w:rPr>
        <w:t xml:space="preserve"> والذى خلق السموات والأرض في ستة أيام دون أن يمسه لغوب ولا تعب بل قال لهما كونا فكانتا كما أراد</w:t>
      </w:r>
      <w:r w:rsidR="00DB731D" w:rsidRPr="00A52585">
        <w:rPr>
          <w:rtl/>
        </w:rPr>
        <w:t>،</w:t>
      </w:r>
      <w:r w:rsidRPr="00A52585">
        <w:rPr>
          <w:rtl/>
        </w:rPr>
        <w:t xml:space="preserve"> ثم استوى </w:t>
      </w:r>
      <w:proofErr w:type="spellStart"/>
      <w:r w:rsidRPr="00A52585">
        <w:rPr>
          <w:rtl/>
        </w:rPr>
        <w:t>برحمانيته</w:t>
      </w:r>
      <w:proofErr w:type="spellEnd"/>
      <w:r w:rsidRPr="00A52585">
        <w:rPr>
          <w:rtl/>
        </w:rPr>
        <w:t xml:space="preserve"> على عرش المملكة وقام بتدبير مخلوقاته وتسخيرها بقدرته وعلمه فصارت مسخرة </w:t>
      </w:r>
      <w:proofErr w:type="spellStart"/>
      <w:r w:rsidRPr="00A52585">
        <w:rPr>
          <w:rtl/>
        </w:rPr>
        <w:t>بامره</w:t>
      </w:r>
      <w:proofErr w:type="spellEnd"/>
      <w:r w:rsidRPr="00A52585">
        <w:rPr>
          <w:rtl/>
        </w:rPr>
        <w:t xml:space="preserve"> ومشيئته</w:t>
      </w:r>
      <w:r w:rsidR="00DB731D" w:rsidRPr="00A52585">
        <w:rPr>
          <w:rtl/>
        </w:rPr>
        <w:t>،</w:t>
      </w:r>
      <w:r w:rsidRPr="00A52585">
        <w:rPr>
          <w:rtl/>
        </w:rPr>
        <w:t xml:space="preserve"> ومن تسخيره تعالى إياها أنه يغشى اليل النهار بقدرته وحكمته فجعله يطلبه حثيثا وخلق الشمس والقمر والنجوم </w:t>
      </w:r>
      <w:proofErr w:type="spellStart"/>
      <w:r w:rsidRPr="00A52585">
        <w:rPr>
          <w:rtl/>
        </w:rPr>
        <w:t>مشخرات</w:t>
      </w:r>
      <w:proofErr w:type="spellEnd"/>
      <w:r w:rsidRPr="00A52585">
        <w:rPr>
          <w:rtl/>
        </w:rPr>
        <w:t xml:space="preserve"> بأمره</w:t>
      </w:r>
      <w:r w:rsidR="00DB731D" w:rsidRPr="00A52585">
        <w:rPr>
          <w:rtl/>
        </w:rPr>
        <w:t>،</w:t>
      </w:r>
      <w:r w:rsidRPr="00A52585">
        <w:rPr>
          <w:rtl/>
        </w:rPr>
        <w:t xml:space="preserve"> فله كل ذلك فتعالى وتبارك ووسعت رحمته وقدرته وإرادته وعلمه كل ذلك لأنه رب العالمين فكيف يتعب وكيف يحتاج لمعين</w:t>
      </w:r>
      <w:r w:rsidR="00DB731D" w:rsidRPr="00A52585">
        <w:rPr>
          <w:rtl/>
        </w:rPr>
        <w:t>،</w:t>
      </w:r>
      <w:r w:rsidRPr="00A52585">
        <w:rPr>
          <w:rtl/>
        </w:rPr>
        <w:t xml:space="preserve"> وكيف يكون له شريك</w:t>
      </w:r>
      <w:r w:rsidR="00DB731D" w:rsidRPr="00A52585">
        <w:rPr>
          <w:rtl/>
        </w:rPr>
        <w:t>،</w:t>
      </w:r>
      <w:r w:rsidRPr="00A52585">
        <w:rPr>
          <w:rtl/>
        </w:rPr>
        <w:t xml:space="preserve"> ويفهم من الآية التي تليها في السورة</w:t>
      </w:r>
      <w:r w:rsidR="00DB731D" w:rsidRPr="00A52585">
        <w:rPr>
          <w:rtl/>
        </w:rPr>
        <w:t>،</w:t>
      </w:r>
      <w:r w:rsidRPr="00A52585">
        <w:rPr>
          <w:rtl/>
        </w:rPr>
        <w:t xml:space="preserve"> لذلك أدعوا ربكم الرحمن الذى رباكم برحمته ونعمه هذه التي سخرها لكم العظيم المقدس عن صفات الحوادث تضرعا وخفية</w:t>
      </w:r>
      <w:r w:rsidR="00DB731D" w:rsidRPr="00A52585">
        <w:rPr>
          <w:rtl/>
        </w:rPr>
        <w:t>،</w:t>
      </w:r>
      <w:r w:rsidRPr="00A52585">
        <w:rPr>
          <w:rtl/>
        </w:rPr>
        <w:t xml:space="preserve"> لأنه لا يستحق دعاء العبودية من العبيد سواه كما لا رب سواه</w:t>
      </w:r>
      <w:r w:rsidR="00DB731D" w:rsidRPr="00A52585">
        <w:rPr>
          <w:rtl/>
        </w:rPr>
        <w:t>،</w:t>
      </w:r>
      <w:r w:rsidRPr="00A52585">
        <w:rPr>
          <w:rtl/>
        </w:rPr>
        <w:t xml:space="preserve"> ولا قادر سواه</w:t>
      </w:r>
      <w:r w:rsidR="00DB731D" w:rsidRPr="00A52585">
        <w:rPr>
          <w:rtl/>
        </w:rPr>
        <w:t>،</w:t>
      </w:r>
      <w:r w:rsidRPr="00A52585">
        <w:rPr>
          <w:rtl/>
        </w:rPr>
        <w:t xml:space="preserve"> ولا غنى على الإطلاق سواه ولا قديم سواه</w:t>
      </w:r>
      <w:r w:rsidR="00DB731D" w:rsidRPr="00A52585">
        <w:rPr>
          <w:rtl/>
        </w:rPr>
        <w:t>،</w:t>
      </w:r>
      <w:r w:rsidRPr="00A52585">
        <w:rPr>
          <w:rFonts w:hint="cs"/>
          <w:rtl/>
        </w:rPr>
        <w:t xml:space="preserve"> </w:t>
      </w:r>
      <w:r w:rsidR="0002035C" w:rsidRPr="00A52585">
        <w:rPr>
          <w:rFonts w:hint="cs"/>
          <w:bCs/>
          <w:rtl/>
        </w:rPr>
        <w:t>(</w:t>
      </w:r>
      <w:r w:rsidRPr="00A52585">
        <w:rPr>
          <w:rFonts w:hint="cs"/>
          <w:bCs/>
          <w:rtl/>
        </w:rPr>
        <w:t>ب</w:t>
      </w:r>
      <w:r w:rsidR="0002035C" w:rsidRPr="00A52585">
        <w:rPr>
          <w:rFonts w:hint="cs"/>
          <w:bCs/>
          <w:rtl/>
        </w:rPr>
        <w:t>)</w:t>
      </w:r>
      <w:r w:rsidRPr="00A52585">
        <w:rPr>
          <w:rFonts w:hint="cs"/>
          <w:bCs/>
          <w:rtl/>
        </w:rPr>
        <w:t xml:space="preserve"> </w:t>
      </w:r>
      <w:r w:rsidRPr="00A52585">
        <w:rPr>
          <w:bCs/>
          <w:rtl/>
        </w:rPr>
        <w:t xml:space="preserve">والمفهوم منها على المعنى </w:t>
      </w:r>
      <w:proofErr w:type="spellStart"/>
      <w:r w:rsidRPr="00A52585">
        <w:rPr>
          <w:bCs/>
          <w:rtl/>
        </w:rPr>
        <w:lastRenderedPageBreak/>
        <w:t>الثانى</w:t>
      </w:r>
      <w:proofErr w:type="spellEnd"/>
      <w:r w:rsidRPr="00A52585">
        <w:rPr>
          <w:rtl/>
        </w:rPr>
        <w:t xml:space="preserve"> </w:t>
      </w:r>
      <w:r w:rsidR="0002035C" w:rsidRPr="00A52585">
        <w:rPr>
          <w:rtl/>
        </w:rPr>
        <w:t>(</w:t>
      </w:r>
      <w:r w:rsidRPr="00A52585">
        <w:rPr>
          <w:rtl/>
        </w:rPr>
        <w:t xml:space="preserve">لا </w:t>
      </w:r>
      <w:proofErr w:type="spellStart"/>
      <w:r w:rsidRPr="00A52585">
        <w:rPr>
          <w:rtl/>
        </w:rPr>
        <w:t>ستوى</w:t>
      </w:r>
      <w:proofErr w:type="spellEnd"/>
      <w:r w:rsidR="0002035C" w:rsidRPr="00A52585">
        <w:rPr>
          <w:rtl/>
        </w:rPr>
        <w:t>)</w:t>
      </w:r>
      <w:r w:rsidRPr="00A52585">
        <w:rPr>
          <w:rtl/>
        </w:rPr>
        <w:t xml:space="preserve"> يكون </w:t>
      </w:r>
      <w:proofErr w:type="spellStart"/>
      <w:r w:rsidRPr="00A52585">
        <w:rPr>
          <w:rtl/>
        </w:rPr>
        <w:t>كالأتى</w:t>
      </w:r>
      <w:proofErr w:type="spellEnd"/>
      <w:r w:rsidR="00DB731D" w:rsidRPr="00A52585">
        <w:rPr>
          <w:rtl/>
        </w:rPr>
        <w:t>،</w:t>
      </w:r>
      <w:r w:rsidRPr="00A52585">
        <w:rPr>
          <w:rFonts w:hint="cs"/>
          <w:rtl/>
        </w:rPr>
        <w:t xml:space="preserve"> </w:t>
      </w:r>
      <w:r w:rsidRPr="00A52585">
        <w:rPr>
          <w:rtl/>
        </w:rPr>
        <w:t xml:space="preserve">إن ربكم الله العظيم الذى ليس كمثله </w:t>
      </w:r>
      <w:proofErr w:type="spellStart"/>
      <w:r w:rsidRPr="00A52585">
        <w:rPr>
          <w:rtl/>
        </w:rPr>
        <w:t>شئ</w:t>
      </w:r>
      <w:proofErr w:type="spellEnd"/>
      <w:r w:rsidRPr="00A52585">
        <w:rPr>
          <w:rtl/>
        </w:rPr>
        <w:t xml:space="preserve"> والذى لا يعجزه </w:t>
      </w:r>
      <w:proofErr w:type="spellStart"/>
      <w:r w:rsidRPr="00A52585">
        <w:rPr>
          <w:rtl/>
        </w:rPr>
        <w:t>شئ</w:t>
      </w:r>
      <w:proofErr w:type="spellEnd"/>
      <w:r w:rsidRPr="00A52585">
        <w:rPr>
          <w:rtl/>
        </w:rPr>
        <w:t xml:space="preserve"> والذى خلق السموات والأرض في ستة أيام دون أن يمسه لغوب ولا تعب بل قال لهما كونا فكانتا كما أراد ثم جلس على العرش كما يجلس خلقه بعد أن لم يكن جالسا عليه</w:t>
      </w:r>
      <w:r w:rsidR="00DB731D" w:rsidRPr="00A52585">
        <w:rPr>
          <w:rtl/>
        </w:rPr>
        <w:t>،</w:t>
      </w:r>
      <w:r w:rsidRPr="00A52585">
        <w:rPr>
          <w:rtl/>
        </w:rPr>
        <w:t xml:space="preserve"> وعدم جلوسه عليه يوهم أنه كان تحته مع السموات والأرض التي هي تحت العرش ثم أرتفع بكيفية توهم التشبيه بالعامل من الخلق</w:t>
      </w:r>
      <w:r w:rsidR="00DB731D" w:rsidRPr="00A52585">
        <w:rPr>
          <w:rtl/>
        </w:rPr>
        <w:t>،</w:t>
      </w:r>
      <w:r w:rsidRPr="00A52585">
        <w:rPr>
          <w:rtl/>
        </w:rPr>
        <w:t xml:space="preserve"> فإذا تعب من الوقوف في العمل جلس ليستريح</w:t>
      </w:r>
      <w:r w:rsidR="00DB731D" w:rsidRPr="00A52585">
        <w:rPr>
          <w:rtl/>
        </w:rPr>
        <w:t>،</w:t>
      </w:r>
      <w:r w:rsidRPr="00A52585">
        <w:rPr>
          <w:rFonts w:hint="cs"/>
          <w:rtl/>
        </w:rPr>
        <w:t xml:space="preserve"> </w:t>
      </w:r>
      <w:r w:rsidRPr="00A52585">
        <w:rPr>
          <w:rtl/>
        </w:rPr>
        <w:t>يغشى اليل والنهار بقدرته وحكمته فجعله يطلبه حثيثا وخلق الشمس والقمر والنجوم مسخرات بأمره فله تعالى خلقها جميعا</w:t>
      </w:r>
      <w:r w:rsidR="00DB731D" w:rsidRPr="00A52585">
        <w:rPr>
          <w:rtl/>
        </w:rPr>
        <w:t>،</w:t>
      </w:r>
      <w:r w:rsidRPr="00A52585">
        <w:rPr>
          <w:rtl/>
        </w:rPr>
        <w:t xml:space="preserve"> وله أمرها جميعا ليس لأحد سواه شأن في كل ذلك فتعالى وتبارك ووسعت بركته ورحمته وقدته وإرادته وعلمه كل ذلك لأنه رب العالمين فكيف يتعب وكيف يحتاج لمعين وكيف يكون له شريك</w:t>
      </w:r>
      <w:r w:rsidR="00DB731D" w:rsidRPr="00A52585">
        <w:rPr>
          <w:rtl/>
        </w:rPr>
        <w:t>،</w:t>
      </w:r>
      <w:r w:rsidRPr="00A52585">
        <w:rPr>
          <w:rFonts w:hint="cs"/>
          <w:rtl/>
        </w:rPr>
        <w:t xml:space="preserve"> </w:t>
      </w:r>
      <w:r w:rsidRPr="00A52585">
        <w:rPr>
          <w:rtl/>
        </w:rPr>
        <w:t>ويفهم من الآية التي تليها</w:t>
      </w:r>
      <w:r w:rsidR="0002035C" w:rsidRPr="00A52585">
        <w:rPr>
          <w:rtl/>
        </w:rPr>
        <w:t>:</w:t>
      </w:r>
      <w:r w:rsidR="0002035C" w:rsidRPr="00A52585">
        <w:rPr>
          <w:rFonts w:hint="cs"/>
          <w:rtl/>
        </w:rPr>
        <w:t xml:space="preserve"> </w:t>
      </w:r>
      <w:r w:rsidRPr="00A52585">
        <w:rPr>
          <w:rtl/>
        </w:rPr>
        <w:t>لذلك ادعوا ربكم الرحمن الذى رباكم برحمته ونعمه هذه التي سخرها لكم العظيم المقدس عن صفات الحوادث تضرعا وخفية لأنه لا يستحق دعاء العبودية من العبيد سواه كما لا رب سواه</w:t>
      </w:r>
      <w:r w:rsidR="00DB731D" w:rsidRPr="00A52585">
        <w:rPr>
          <w:rtl/>
        </w:rPr>
        <w:t>،</w:t>
      </w:r>
      <w:r w:rsidRPr="00A52585">
        <w:rPr>
          <w:rtl/>
        </w:rPr>
        <w:t xml:space="preserve"> ولا قادر سواه</w:t>
      </w:r>
      <w:r w:rsidR="00DB731D" w:rsidRPr="00A52585">
        <w:rPr>
          <w:rtl/>
        </w:rPr>
        <w:t>،</w:t>
      </w:r>
      <w:r w:rsidRPr="00A52585">
        <w:rPr>
          <w:rtl/>
        </w:rPr>
        <w:t xml:space="preserve"> ولا غنى على الإطلاق سواه</w:t>
      </w:r>
      <w:r w:rsidR="00DB731D" w:rsidRPr="00A52585">
        <w:rPr>
          <w:rtl/>
        </w:rPr>
        <w:t>،</w:t>
      </w:r>
      <w:r w:rsidRPr="00A52585">
        <w:rPr>
          <w:rtl/>
        </w:rPr>
        <w:t xml:space="preserve"> ولا قديم سواه</w:t>
      </w:r>
      <w:r w:rsidR="00897A24" w:rsidRPr="00A52585">
        <w:rPr>
          <w:rtl/>
        </w:rPr>
        <w:t>.</w:t>
      </w:r>
      <w:r w:rsidRPr="00A52585">
        <w:rPr>
          <w:rtl/>
        </w:rPr>
        <w:t xml:space="preserve"> فمعنى جلس مناقض لما قبلها وما بعدها من صفات</w:t>
      </w:r>
      <w:r w:rsidR="00DB731D" w:rsidRPr="00A52585">
        <w:rPr>
          <w:rtl/>
        </w:rPr>
        <w:t>،</w:t>
      </w:r>
      <w:r w:rsidRPr="00A52585">
        <w:rPr>
          <w:rFonts w:hint="cs"/>
          <w:rtl/>
        </w:rPr>
        <w:t xml:space="preserve"> </w:t>
      </w:r>
      <w:r w:rsidR="0002035C" w:rsidRPr="00A52585">
        <w:rPr>
          <w:rFonts w:hint="cs"/>
          <w:rtl/>
        </w:rPr>
        <w:t>(</w:t>
      </w:r>
      <w:r w:rsidRPr="00A52585">
        <w:rPr>
          <w:rtl/>
        </w:rPr>
        <w:t>ج</w:t>
      </w:r>
      <w:r w:rsidR="0002035C" w:rsidRPr="00A52585">
        <w:rPr>
          <w:rFonts w:hint="cs"/>
          <w:rtl/>
        </w:rPr>
        <w:t>)</w:t>
      </w:r>
      <w:r w:rsidRPr="00A52585">
        <w:rPr>
          <w:rFonts w:hint="cs"/>
          <w:rtl/>
        </w:rPr>
        <w:t xml:space="preserve"> </w:t>
      </w:r>
      <w:r w:rsidRPr="00A52585">
        <w:rPr>
          <w:rtl/>
        </w:rPr>
        <w:t xml:space="preserve">فإذا تأملت في التفسيرين وجدت أن معنى كلمة </w:t>
      </w:r>
      <w:r w:rsidR="0002035C" w:rsidRPr="00A52585">
        <w:rPr>
          <w:rtl/>
        </w:rPr>
        <w:t>(</w:t>
      </w:r>
      <w:r w:rsidRPr="00A52585">
        <w:rPr>
          <w:rtl/>
        </w:rPr>
        <w:t>استوى</w:t>
      </w:r>
      <w:r w:rsidR="0002035C" w:rsidRPr="00A52585">
        <w:rPr>
          <w:rtl/>
        </w:rPr>
        <w:t>)</w:t>
      </w:r>
      <w:r w:rsidRPr="00A52585">
        <w:rPr>
          <w:rtl/>
        </w:rPr>
        <w:t xml:space="preserve"> في الأول متفقة مع سياق التعظيم والتقديس دالة على كبرياء الألوهية وسيطرتها على </w:t>
      </w:r>
      <w:proofErr w:type="spellStart"/>
      <w:r w:rsidRPr="00A52585">
        <w:rPr>
          <w:rtl/>
        </w:rPr>
        <w:t>المملك</w:t>
      </w:r>
      <w:proofErr w:type="spellEnd"/>
      <w:r w:rsidR="00DB731D" w:rsidRPr="00A52585">
        <w:rPr>
          <w:rtl/>
        </w:rPr>
        <w:t>،</w:t>
      </w:r>
      <w:r w:rsidRPr="00A52585">
        <w:rPr>
          <w:rtl/>
        </w:rPr>
        <w:t xml:space="preserve"> فالاستواء على العرش رمز للسيطرة التامة</w:t>
      </w:r>
      <w:r w:rsidR="00DB731D" w:rsidRPr="00A52585">
        <w:rPr>
          <w:rtl/>
        </w:rPr>
        <w:t>،</w:t>
      </w:r>
      <w:r w:rsidR="0002035C" w:rsidRPr="00A52585">
        <w:rPr>
          <w:rFonts w:hint="cs"/>
          <w:rtl/>
        </w:rPr>
        <w:t xml:space="preserve"> </w:t>
      </w:r>
      <w:r w:rsidRPr="00A52585">
        <w:rPr>
          <w:rtl/>
        </w:rPr>
        <w:t xml:space="preserve">بخلاف معنى </w:t>
      </w:r>
      <w:r w:rsidR="0002035C" w:rsidRPr="00A52585">
        <w:rPr>
          <w:rtl/>
        </w:rPr>
        <w:t>(</w:t>
      </w:r>
      <w:r w:rsidRPr="00A52585">
        <w:rPr>
          <w:rtl/>
        </w:rPr>
        <w:t>استوى</w:t>
      </w:r>
      <w:r w:rsidR="0002035C" w:rsidRPr="00A52585">
        <w:rPr>
          <w:rtl/>
        </w:rPr>
        <w:t>)</w:t>
      </w:r>
      <w:r w:rsidRPr="00A52585">
        <w:rPr>
          <w:rtl/>
        </w:rPr>
        <w:t xml:space="preserve"> في التفسير </w:t>
      </w:r>
      <w:proofErr w:type="spellStart"/>
      <w:r w:rsidRPr="00A52585">
        <w:rPr>
          <w:rtl/>
        </w:rPr>
        <w:t>الثانى</w:t>
      </w:r>
      <w:proofErr w:type="spellEnd"/>
      <w:r w:rsidRPr="00A52585">
        <w:rPr>
          <w:rtl/>
        </w:rPr>
        <w:t xml:space="preserve"> فإنها اختلفت عما قبلها وما بعدها لفظا ومعنى لدرجة توجب الحكم بأنها</w:t>
      </w:r>
      <w:r w:rsidR="0002035C" w:rsidRPr="00A52585">
        <w:rPr>
          <w:rtl/>
        </w:rPr>
        <w:t xml:space="preserve"> </w:t>
      </w:r>
      <w:r w:rsidRPr="00A52585">
        <w:rPr>
          <w:rtl/>
        </w:rPr>
        <w:t>-</w:t>
      </w:r>
      <w:r w:rsidR="0002035C" w:rsidRPr="00A52585">
        <w:rPr>
          <w:rtl/>
        </w:rPr>
        <w:t xml:space="preserve"> </w:t>
      </w:r>
      <w:proofErr w:type="spellStart"/>
      <w:r w:rsidRPr="00A52585">
        <w:rPr>
          <w:rtl/>
        </w:rPr>
        <w:t>أى</w:t>
      </w:r>
      <w:proofErr w:type="spellEnd"/>
      <w:r w:rsidRPr="00A52585">
        <w:rPr>
          <w:rtl/>
        </w:rPr>
        <w:t xml:space="preserve"> جلس</w:t>
      </w:r>
      <w:r w:rsidR="0002035C" w:rsidRPr="00A52585">
        <w:rPr>
          <w:rtl/>
        </w:rPr>
        <w:t xml:space="preserve"> </w:t>
      </w:r>
      <w:r w:rsidRPr="00A52585">
        <w:rPr>
          <w:rtl/>
        </w:rPr>
        <w:t>-</w:t>
      </w:r>
      <w:r w:rsidR="0002035C" w:rsidRPr="00A52585">
        <w:rPr>
          <w:rtl/>
        </w:rPr>
        <w:t xml:space="preserve"> </w:t>
      </w:r>
      <w:r w:rsidRPr="00A52585">
        <w:rPr>
          <w:rtl/>
        </w:rPr>
        <w:t>ليست من القرآن</w:t>
      </w:r>
      <w:r w:rsidR="00DB731D" w:rsidRPr="00A52585">
        <w:rPr>
          <w:rtl/>
        </w:rPr>
        <w:t>،</w:t>
      </w:r>
      <w:r w:rsidRPr="00A52585">
        <w:rPr>
          <w:rtl/>
        </w:rPr>
        <w:t xml:space="preserve"> وأن معناها يشبه الهذيان والعبث في جميع معانيه مما لا يليق بصفات المخلوق </w:t>
      </w:r>
      <w:proofErr w:type="spellStart"/>
      <w:r w:rsidRPr="00A52585">
        <w:rPr>
          <w:rtl/>
        </w:rPr>
        <w:t>المعدى</w:t>
      </w:r>
      <w:proofErr w:type="spellEnd"/>
      <w:r w:rsidRPr="00A52585">
        <w:rPr>
          <w:rtl/>
        </w:rPr>
        <w:t xml:space="preserve"> للعظمة والقدرة فكيف بمن هو رب العظمة والكبرياء والعزة والقدرة التي لا نهاية لها والغنى المطلق وهذا وجه استحالة صحتها من جهة البلاغة أيضا</w:t>
      </w:r>
      <w:r w:rsidR="00DB731D" w:rsidRPr="00A52585">
        <w:rPr>
          <w:rtl/>
        </w:rPr>
        <w:t>،</w:t>
      </w:r>
      <w:r w:rsidRPr="00A52585">
        <w:rPr>
          <w:rFonts w:hint="cs"/>
          <w:rtl/>
        </w:rPr>
        <w:t xml:space="preserve"> </w:t>
      </w:r>
      <w:r w:rsidRPr="00A52585">
        <w:rPr>
          <w:rtl/>
        </w:rPr>
        <w:t xml:space="preserve">فكل هذه </w:t>
      </w:r>
      <w:proofErr w:type="spellStart"/>
      <w:r w:rsidRPr="00A52585">
        <w:rPr>
          <w:rtl/>
        </w:rPr>
        <w:t>الاستحالات</w:t>
      </w:r>
      <w:proofErr w:type="spellEnd"/>
      <w:r w:rsidRPr="00A52585">
        <w:rPr>
          <w:rtl/>
        </w:rPr>
        <w:t xml:space="preserve"> نتجت من فرض معنى </w:t>
      </w:r>
      <w:r w:rsidR="0002035C" w:rsidRPr="00A52585">
        <w:rPr>
          <w:rtl/>
        </w:rPr>
        <w:t>(</w:t>
      </w:r>
      <w:r w:rsidRPr="00A52585">
        <w:rPr>
          <w:rtl/>
        </w:rPr>
        <w:t>استوى</w:t>
      </w:r>
      <w:r w:rsidR="0002035C" w:rsidRPr="00A52585">
        <w:rPr>
          <w:rtl/>
        </w:rPr>
        <w:t>)</w:t>
      </w:r>
      <w:r w:rsidRPr="00A52585">
        <w:rPr>
          <w:rtl/>
        </w:rPr>
        <w:t xml:space="preserve"> بمعنى </w:t>
      </w:r>
      <w:r w:rsidR="0002035C" w:rsidRPr="00A52585">
        <w:rPr>
          <w:rtl/>
        </w:rPr>
        <w:t>(</w:t>
      </w:r>
      <w:r w:rsidRPr="00A52585">
        <w:rPr>
          <w:rtl/>
        </w:rPr>
        <w:t>جلس</w:t>
      </w:r>
      <w:r w:rsidR="0002035C" w:rsidRPr="00A52585">
        <w:rPr>
          <w:rtl/>
        </w:rPr>
        <w:t>)</w:t>
      </w:r>
      <w:r w:rsidRPr="00A52585">
        <w:rPr>
          <w:rtl/>
        </w:rPr>
        <w:t xml:space="preserve"> فإذا يجب أن يكون المفهوم منها مناسبا لمعنى تدبير الملك </w:t>
      </w:r>
      <w:proofErr w:type="spellStart"/>
      <w:r w:rsidRPr="00A52585">
        <w:rPr>
          <w:rtl/>
        </w:rPr>
        <w:t>أومعنى</w:t>
      </w:r>
      <w:proofErr w:type="spellEnd"/>
      <w:r w:rsidRPr="00A52585">
        <w:rPr>
          <w:rtl/>
        </w:rPr>
        <w:t xml:space="preserve"> آخر يتفق مع ما قبلها وما بعدها</w:t>
      </w:r>
      <w:r w:rsidR="00DB731D" w:rsidRPr="00A52585">
        <w:rPr>
          <w:rtl/>
        </w:rPr>
        <w:t>،</w:t>
      </w:r>
      <w:r w:rsidRPr="00A52585">
        <w:rPr>
          <w:rtl/>
        </w:rPr>
        <w:t xml:space="preserve"> والله تعالى أعلم بمراده</w:t>
      </w:r>
      <w:r w:rsidR="00DB731D" w:rsidRPr="00A52585">
        <w:rPr>
          <w:rtl/>
        </w:rPr>
        <w:t>،</w:t>
      </w:r>
      <w:r w:rsidRPr="00A52585">
        <w:rPr>
          <w:rFonts w:hint="cs"/>
          <w:rtl/>
        </w:rPr>
        <w:t xml:space="preserve"> </w:t>
      </w:r>
      <w:r w:rsidRPr="00A52585">
        <w:rPr>
          <w:rtl/>
        </w:rPr>
        <w:t xml:space="preserve">أما الجلوس الذى يتخيله من لهم فهم دقائق اللغة والتقديس والبلاغة </w:t>
      </w:r>
      <w:proofErr w:type="spellStart"/>
      <w:r w:rsidRPr="00A52585">
        <w:rPr>
          <w:rtl/>
        </w:rPr>
        <w:t>فهوخطأ</w:t>
      </w:r>
      <w:proofErr w:type="spellEnd"/>
      <w:r w:rsidRPr="00A52585">
        <w:rPr>
          <w:rtl/>
        </w:rPr>
        <w:t xml:space="preserve"> خارج كل </w:t>
      </w:r>
      <w:proofErr w:type="spellStart"/>
      <w:r w:rsidRPr="00A52585">
        <w:rPr>
          <w:rtl/>
        </w:rPr>
        <w:t>الخورج</w:t>
      </w:r>
      <w:proofErr w:type="spellEnd"/>
      <w:r w:rsidRPr="00A52585">
        <w:rPr>
          <w:rtl/>
        </w:rPr>
        <w:t xml:space="preserve"> عن قواعد اللغة</w:t>
      </w:r>
      <w:r w:rsidR="00DB731D" w:rsidRPr="00A52585">
        <w:rPr>
          <w:rtl/>
        </w:rPr>
        <w:t>،</w:t>
      </w:r>
      <w:r w:rsidRPr="00A52585">
        <w:rPr>
          <w:rtl/>
        </w:rPr>
        <w:t xml:space="preserve"> وبذلك </w:t>
      </w:r>
      <w:proofErr w:type="spellStart"/>
      <w:r w:rsidRPr="00A52585">
        <w:rPr>
          <w:rtl/>
        </w:rPr>
        <w:t>أرجوأن</w:t>
      </w:r>
      <w:proofErr w:type="spellEnd"/>
      <w:r w:rsidRPr="00A52585">
        <w:rPr>
          <w:rtl/>
        </w:rPr>
        <w:t xml:space="preserve"> تزول الشبة من أذهان الجامدين على الظواهر بدون ملاحظة قواعد اللغة وأصول البلاغة </w:t>
      </w:r>
      <w:proofErr w:type="spellStart"/>
      <w:r w:rsidRPr="00A52585">
        <w:rPr>
          <w:rtl/>
        </w:rPr>
        <w:t>الائقة</w:t>
      </w:r>
      <w:proofErr w:type="spellEnd"/>
      <w:r w:rsidRPr="00A52585">
        <w:rPr>
          <w:rtl/>
        </w:rPr>
        <w:t xml:space="preserve"> بالقرآن العظيم والله </w:t>
      </w:r>
      <w:proofErr w:type="spellStart"/>
      <w:r w:rsidRPr="00A52585">
        <w:rPr>
          <w:rtl/>
        </w:rPr>
        <w:t>الهادى</w:t>
      </w:r>
      <w:proofErr w:type="spellEnd"/>
      <w:r w:rsidR="00DB731D" w:rsidRPr="00A52585">
        <w:rPr>
          <w:rtl/>
        </w:rPr>
        <w:t>،</w:t>
      </w:r>
      <w:r w:rsidRPr="00A52585">
        <w:rPr>
          <w:rFonts w:hint="cs"/>
          <w:rtl/>
        </w:rPr>
        <w:t xml:space="preserve"> </w:t>
      </w:r>
    </w:p>
    <w:p w14:paraId="0E5EA11B" w14:textId="25DF75E4" w:rsidR="00777DCB" w:rsidRPr="00A52585" w:rsidRDefault="00777DCB" w:rsidP="0002035C">
      <w:pPr>
        <w:spacing w:after="240"/>
        <w:rPr>
          <w:rtl/>
        </w:rPr>
      </w:pPr>
      <w:r w:rsidRPr="00A52585">
        <w:rPr>
          <w:rFonts w:cs="Monotype Koufi"/>
          <w:rtl/>
          <w:lang w:bidi="ar-KW"/>
        </w:rPr>
        <w:t>المقالة الثانية</w:t>
      </w:r>
      <w:r w:rsidR="0002035C" w:rsidRPr="00A52585">
        <w:rPr>
          <w:rFonts w:cs="Monotype Koufi" w:hint="cs"/>
          <w:rtl/>
          <w:lang w:bidi="ar-KW"/>
        </w:rPr>
        <w:t>:</w:t>
      </w:r>
      <w:r w:rsidRPr="00A52585">
        <w:rPr>
          <w:rFonts w:hint="cs"/>
          <w:rtl/>
        </w:rPr>
        <w:t xml:space="preserve"> </w:t>
      </w:r>
      <w:proofErr w:type="spellStart"/>
      <w:r w:rsidRPr="00A52585">
        <w:rPr>
          <w:rtl/>
        </w:rPr>
        <w:t>فى</w:t>
      </w:r>
      <w:proofErr w:type="spellEnd"/>
      <w:r w:rsidRPr="00A52585">
        <w:rPr>
          <w:rtl/>
        </w:rPr>
        <w:t xml:space="preserve"> شرح المفهوم من آيات الاستواء على العرش بما يطابق أصول اللغة والتوحيد وبلاغة القرآن العظيم</w:t>
      </w:r>
      <w:r w:rsidR="0002035C" w:rsidRPr="00A52585">
        <w:rPr>
          <w:rFonts w:hint="cs"/>
          <w:rtl/>
        </w:rPr>
        <w:t xml:space="preserve">: </w:t>
      </w:r>
      <w:r w:rsidRPr="00A52585">
        <w:rPr>
          <w:rtl/>
        </w:rPr>
        <w:t>قد أوضحنا في المقالة الأولى ما يجب فهمه من الاستواء على العرش المذكور في جملة آيات مع خلق السموات والأرض بأن المقصود هو لازم معناه</w:t>
      </w:r>
      <w:r w:rsidR="00DB731D" w:rsidRPr="00A52585">
        <w:rPr>
          <w:rtl/>
        </w:rPr>
        <w:t>،</w:t>
      </w:r>
      <w:r w:rsidRPr="00A52585">
        <w:rPr>
          <w:rtl/>
        </w:rPr>
        <w:t xml:space="preserve"> وهو تدبير المملكة الإلهية </w:t>
      </w:r>
      <w:r w:rsidRPr="00A52585">
        <w:rPr>
          <w:rtl/>
        </w:rPr>
        <w:lastRenderedPageBreak/>
        <w:t xml:space="preserve">وتسخير ما فيها وهو وصف فعلى تأثيره حاصل في السموات والأرض وما فيها لا وصف </w:t>
      </w:r>
      <w:proofErr w:type="spellStart"/>
      <w:r w:rsidRPr="00A52585">
        <w:rPr>
          <w:rtl/>
        </w:rPr>
        <w:t>ذاتى</w:t>
      </w:r>
      <w:proofErr w:type="spellEnd"/>
      <w:r w:rsidRPr="00A52585">
        <w:rPr>
          <w:rtl/>
        </w:rPr>
        <w:t xml:space="preserve"> كالعلم والحياة</w:t>
      </w:r>
      <w:r w:rsidR="00DB731D" w:rsidRPr="00A52585">
        <w:rPr>
          <w:rtl/>
        </w:rPr>
        <w:t>،</w:t>
      </w:r>
      <w:r w:rsidRPr="00A52585">
        <w:rPr>
          <w:rtl/>
        </w:rPr>
        <w:t xml:space="preserve"> وأثبتنا أن هذا هو الذى يصح أن ينسب لرب العالمين دون الجلوس والاستقرار على العرش الذى </w:t>
      </w:r>
      <w:proofErr w:type="spellStart"/>
      <w:r w:rsidRPr="00A52585">
        <w:rPr>
          <w:rtl/>
        </w:rPr>
        <w:t>ينبنى</w:t>
      </w:r>
      <w:proofErr w:type="spellEnd"/>
      <w:r w:rsidRPr="00A52585">
        <w:rPr>
          <w:rtl/>
        </w:rPr>
        <w:t xml:space="preserve"> عليه جملة </w:t>
      </w:r>
      <w:proofErr w:type="spellStart"/>
      <w:r w:rsidRPr="00A52585">
        <w:rPr>
          <w:rtl/>
        </w:rPr>
        <w:t>استحالات</w:t>
      </w:r>
      <w:proofErr w:type="spellEnd"/>
      <w:r w:rsidRPr="00A52585">
        <w:rPr>
          <w:rtl/>
        </w:rPr>
        <w:t xml:space="preserve"> عقلية ولغوية فضلا عن استلزام التناقض بين آيات الاستواء وغيرها</w:t>
      </w:r>
      <w:r w:rsidR="00897A24" w:rsidRPr="00A52585">
        <w:rPr>
          <w:rtl/>
        </w:rPr>
        <w:t>.</w:t>
      </w:r>
      <w:r w:rsidRPr="00A52585">
        <w:rPr>
          <w:rtl/>
        </w:rPr>
        <w:t xml:space="preserve"> وبينها وبين صفات </w:t>
      </w:r>
      <w:proofErr w:type="spellStart"/>
      <w:r w:rsidRPr="00A52585">
        <w:rPr>
          <w:rtl/>
        </w:rPr>
        <w:t>الجلا</w:t>
      </w:r>
      <w:proofErr w:type="spellEnd"/>
      <w:r w:rsidRPr="00A52585">
        <w:rPr>
          <w:rtl/>
        </w:rPr>
        <w:t xml:space="preserve"> والكمال الإلهية وأخصها الفناء المطلق عن كل ما سواه فمهما فرض في الاستقرار من نفى الكيفية </w:t>
      </w:r>
      <w:proofErr w:type="spellStart"/>
      <w:r w:rsidRPr="00A52585">
        <w:rPr>
          <w:rtl/>
        </w:rPr>
        <w:t>فهواستقرار</w:t>
      </w:r>
      <w:proofErr w:type="spellEnd"/>
      <w:r w:rsidRPr="00A52585">
        <w:rPr>
          <w:rtl/>
        </w:rPr>
        <w:t xml:space="preserve"> حاصل بعد أن لم يكن</w:t>
      </w:r>
      <w:r w:rsidR="00DB731D" w:rsidRPr="00A52585">
        <w:rPr>
          <w:rtl/>
        </w:rPr>
        <w:t>،</w:t>
      </w:r>
      <w:r w:rsidRPr="00A52585">
        <w:rPr>
          <w:rtl/>
        </w:rPr>
        <w:t xml:space="preserve"> وهذا وحده كاف لاستحالة اتصاف رب العزة والكبرياء والغنى المطلق به</w:t>
      </w:r>
      <w:r w:rsidR="0002035C" w:rsidRPr="00A52585">
        <w:rPr>
          <w:rtl/>
        </w:rPr>
        <w:t xml:space="preserve"> </w:t>
      </w:r>
      <w:r w:rsidRPr="00A52585">
        <w:rPr>
          <w:rtl/>
        </w:rPr>
        <w:t>-</w:t>
      </w:r>
      <w:r w:rsidR="0002035C" w:rsidRPr="00A52585">
        <w:rPr>
          <w:rtl/>
        </w:rPr>
        <w:t xml:space="preserve"> </w:t>
      </w:r>
      <w:r w:rsidRPr="00A52585">
        <w:rPr>
          <w:rtl/>
        </w:rPr>
        <w:t>فضلا عن الأدلة العقلية السابق ذكرها في تلك المقالة</w:t>
      </w:r>
      <w:r w:rsidR="00DB731D" w:rsidRPr="00A52585">
        <w:rPr>
          <w:rtl/>
        </w:rPr>
        <w:t>،</w:t>
      </w:r>
      <w:r w:rsidRPr="00A52585">
        <w:rPr>
          <w:rFonts w:hint="cs"/>
          <w:rtl/>
        </w:rPr>
        <w:t xml:space="preserve"> </w:t>
      </w:r>
      <w:r w:rsidRPr="00A52585">
        <w:rPr>
          <w:rtl/>
        </w:rPr>
        <w:t xml:space="preserve">ولزيادة تأكيد استحالته على الله تعالى نورد الآيات المناقضة لمعنى الاستقرار على العرش والأدلة الكونية فنقول الآيات المناقضة لمعنى الاستقرار ثلاث </w:t>
      </w:r>
      <w:proofErr w:type="gramStart"/>
      <w:r w:rsidRPr="00A52585">
        <w:rPr>
          <w:rtl/>
        </w:rPr>
        <w:t>وهى</w:t>
      </w:r>
      <w:proofErr w:type="gramEnd"/>
      <w:r w:rsidR="0002035C" w:rsidRPr="00A52585">
        <w:rPr>
          <w:rtl/>
        </w:rPr>
        <w:t>:</w:t>
      </w:r>
      <w:r w:rsidR="0002035C" w:rsidRPr="00A52585">
        <w:rPr>
          <w:rFonts w:hint="cs"/>
          <w:rtl/>
        </w:rPr>
        <w:t xml:space="preserve"> (</w:t>
      </w:r>
      <w:r w:rsidRPr="00A52585">
        <w:rPr>
          <w:rtl/>
        </w:rPr>
        <w:t>أولا</w:t>
      </w:r>
      <w:r w:rsidR="0002035C" w:rsidRPr="00A52585">
        <w:rPr>
          <w:rtl/>
        </w:rPr>
        <w:t>)</w:t>
      </w:r>
      <w:r w:rsidR="0002035C" w:rsidRPr="00A52585">
        <w:rPr>
          <w:rFonts w:hint="cs"/>
          <w:rtl/>
        </w:rPr>
        <w:t>:</w:t>
      </w:r>
      <w:r w:rsidRPr="00A52585">
        <w:rPr>
          <w:rtl/>
        </w:rPr>
        <w:t xml:space="preserve"> قال الله تعالى في سورة الحديد</w:t>
      </w:r>
      <w:r w:rsidR="0002035C" w:rsidRPr="00A52585">
        <w:rPr>
          <w:rtl/>
        </w:rPr>
        <w:t>:</w:t>
      </w:r>
      <w:r w:rsidRPr="00A52585">
        <w:rPr>
          <w:rtl/>
        </w:rPr>
        <w:t xml:space="preserve"> ? هو </w:t>
      </w:r>
      <w:proofErr w:type="gramStart"/>
      <w:r w:rsidRPr="00A52585">
        <w:rPr>
          <w:rtl/>
        </w:rPr>
        <w:t>الذى</w:t>
      </w:r>
      <w:proofErr w:type="gramEnd"/>
      <w:r w:rsidRPr="00A52585">
        <w:rPr>
          <w:rtl/>
        </w:rPr>
        <w:t xml:space="preserve">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 ? فإذا فهم من الاستواء والمعية ظاهرهما الذى هو الظرفية المكانية لزم التناقض لأن الاستقرار على العرش يمنع المعية المكانية مع أهل الأرض</w:t>
      </w:r>
      <w:r w:rsidR="00DB731D" w:rsidRPr="00A52585">
        <w:rPr>
          <w:rtl/>
        </w:rPr>
        <w:t>،</w:t>
      </w:r>
      <w:r w:rsidRPr="00A52585">
        <w:rPr>
          <w:rtl/>
        </w:rPr>
        <w:t xml:space="preserve"> والتناقض في كلامه تعالى محال</w:t>
      </w:r>
      <w:r w:rsidR="00DB731D" w:rsidRPr="00A52585">
        <w:rPr>
          <w:rtl/>
        </w:rPr>
        <w:t>،</w:t>
      </w:r>
      <w:r w:rsidRPr="00A52585">
        <w:rPr>
          <w:rtl/>
        </w:rPr>
        <w:t xml:space="preserve"> ولزم اتصاف القديم جل وعلا بصفات الحوادث وهى المعية المكانية وما يتبعها وهو محال</w:t>
      </w:r>
      <w:r w:rsidR="00DB731D" w:rsidRPr="00A52585">
        <w:rPr>
          <w:rFonts w:hint="cs"/>
          <w:rtl/>
        </w:rPr>
        <w:t>،</w:t>
      </w:r>
      <w:r w:rsidRPr="00A52585">
        <w:rPr>
          <w:rFonts w:hint="cs"/>
          <w:rtl/>
        </w:rPr>
        <w:t xml:space="preserve"> </w:t>
      </w:r>
      <w:r w:rsidRPr="00A52585">
        <w:rPr>
          <w:rtl/>
        </w:rPr>
        <w:t>فإن قيل</w:t>
      </w:r>
      <w:r w:rsidR="0002035C" w:rsidRPr="00A52585">
        <w:rPr>
          <w:rtl/>
        </w:rPr>
        <w:t>:</w:t>
      </w:r>
      <w:r w:rsidRPr="00A52585">
        <w:rPr>
          <w:rtl/>
        </w:rPr>
        <w:t xml:space="preserve"> المقصود من المعية لازمها وهو </w:t>
      </w:r>
      <w:r w:rsidR="0002035C" w:rsidRPr="00A52585">
        <w:rPr>
          <w:rtl/>
        </w:rPr>
        <w:t>(</w:t>
      </w:r>
      <w:r w:rsidRPr="00A52585">
        <w:rPr>
          <w:rtl/>
        </w:rPr>
        <w:t>العلم</w:t>
      </w:r>
      <w:r w:rsidR="0002035C" w:rsidRPr="00A52585">
        <w:rPr>
          <w:rtl/>
        </w:rPr>
        <w:t>)</w:t>
      </w:r>
      <w:r w:rsidRPr="00A52585">
        <w:rPr>
          <w:rtl/>
        </w:rPr>
        <w:t xml:space="preserve"> بقصد التخلص من مماثلة </w:t>
      </w:r>
      <w:proofErr w:type="spellStart"/>
      <w:r w:rsidRPr="00A52585">
        <w:rPr>
          <w:rtl/>
        </w:rPr>
        <w:t>الحواث</w:t>
      </w:r>
      <w:proofErr w:type="spellEnd"/>
      <w:r w:rsidR="00DB731D" w:rsidRPr="00A52585">
        <w:rPr>
          <w:rtl/>
        </w:rPr>
        <w:t>،</w:t>
      </w:r>
      <w:r w:rsidRPr="00A52585">
        <w:rPr>
          <w:rFonts w:hint="cs"/>
          <w:rtl/>
        </w:rPr>
        <w:t xml:space="preserve"> </w:t>
      </w:r>
      <w:r w:rsidRPr="00A52585">
        <w:rPr>
          <w:rtl/>
        </w:rPr>
        <w:t>فالجواب</w:t>
      </w:r>
      <w:r w:rsidR="0002035C" w:rsidRPr="00A52585">
        <w:rPr>
          <w:rtl/>
        </w:rPr>
        <w:t>:</w:t>
      </w:r>
      <w:r w:rsidRPr="00A52585">
        <w:rPr>
          <w:rtl/>
        </w:rPr>
        <w:t xml:space="preserve"> كذلك المقصود من الاستواء لازمه وهو تدبير المملكة الإلهية لأن الموجب في الاستواء والمعية لازمها وهو </w:t>
      </w:r>
      <w:r w:rsidR="0002035C" w:rsidRPr="00A52585">
        <w:rPr>
          <w:rtl/>
        </w:rPr>
        <w:t>(</w:t>
      </w:r>
      <w:r w:rsidRPr="00A52585">
        <w:rPr>
          <w:rtl/>
        </w:rPr>
        <w:t>العلم</w:t>
      </w:r>
      <w:r w:rsidR="0002035C" w:rsidRPr="00A52585">
        <w:rPr>
          <w:rtl/>
        </w:rPr>
        <w:t>)</w:t>
      </w:r>
      <w:r w:rsidRPr="00A52585">
        <w:rPr>
          <w:rtl/>
        </w:rPr>
        <w:t xml:space="preserve"> بقصد التخلص من ممثلة الحوادث</w:t>
      </w:r>
      <w:r w:rsidR="00DB731D" w:rsidRPr="00A52585">
        <w:rPr>
          <w:rtl/>
        </w:rPr>
        <w:t>،</w:t>
      </w:r>
      <w:r w:rsidR="0002035C" w:rsidRPr="00A52585">
        <w:rPr>
          <w:rFonts w:hint="cs"/>
          <w:rtl/>
        </w:rPr>
        <w:t xml:space="preserve"> </w:t>
      </w:r>
      <w:r w:rsidRPr="00A52585">
        <w:rPr>
          <w:rtl/>
        </w:rPr>
        <w:t xml:space="preserve">وفضلا عن ذلك فإن الموجبات لهم الاستواء بالتدبير أكثر من موجبات فهم المعية بلازمها كما </w:t>
      </w:r>
      <w:proofErr w:type="spellStart"/>
      <w:r w:rsidRPr="00A52585">
        <w:rPr>
          <w:rtl/>
        </w:rPr>
        <w:t>سيأتى</w:t>
      </w:r>
      <w:proofErr w:type="spellEnd"/>
      <w:r w:rsidRPr="00A52585">
        <w:rPr>
          <w:rtl/>
        </w:rPr>
        <w:t xml:space="preserve"> بيانه مناسب لمعنى التدبير للملكة ومرتبط به في المعنى بخلاف الاستقرار الذى لا يتوقف عليه التدبير ب- كونه تعالى معنا بعلمه وصفاته كما يليق بتقديسه</w:t>
      </w:r>
      <w:r w:rsidR="00DB731D" w:rsidRPr="00A52585">
        <w:rPr>
          <w:rtl/>
        </w:rPr>
        <w:t>،</w:t>
      </w:r>
      <w:r w:rsidRPr="00A52585">
        <w:rPr>
          <w:rtl/>
        </w:rPr>
        <w:t xml:space="preserve"> وكونه بصيرا بأعمالنا</w:t>
      </w:r>
      <w:r w:rsidR="00897A24" w:rsidRPr="00A52585">
        <w:rPr>
          <w:rtl/>
        </w:rPr>
        <w:t>.</w:t>
      </w:r>
      <w:r w:rsidRPr="00A52585">
        <w:rPr>
          <w:rtl/>
        </w:rPr>
        <w:t xml:space="preserve"> كل هذا يدل على المراقبة </w:t>
      </w:r>
      <w:proofErr w:type="spellStart"/>
      <w:r w:rsidRPr="00A52585">
        <w:rPr>
          <w:rtl/>
        </w:rPr>
        <w:t>والمراقية</w:t>
      </w:r>
      <w:proofErr w:type="spellEnd"/>
      <w:r w:rsidRPr="00A52585">
        <w:rPr>
          <w:rtl/>
        </w:rPr>
        <w:t xml:space="preserve"> </w:t>
      </w:r>
      <w:proofErr w:type="gramStart"/>
      <w:r w:rsidRPr="00A52585">
        <w:rPr>
          <w:rtl/>
        </w:rPr>
        <w:t>تقتضى</w:t>
      </w:r>
      <w:proofErr w:type="gramEnd"/>
      <w:r w:rsidRPr="00A52585">
        <w:rPr>
          <w:rtl/>
        </w:rPr>
        <w:t xml:space="preserve"> الاجراءات والتصرفات التي أرادها تعالى بكل مخلوق وهذا كله يدخل ضمن التدبير بخلاف الاستقرار</w:t>
      </w:r>
      <w:r w:rsidR="00DB731D" w:rsidRPr="00A52585">
        <w:rPr>
          <w:rtl/>
        </w:rPr>
        <w:t>،</w:t>
      </w:r>
      <w:r w:rsidRPr="00A52585">
        <w:rPr>
          <w:rFonts w:hint="cs"/>
          <w:rtl/>
        </w:rPr>
        <w:t xml:space="preserve"> </w:t>
      </w:r>
      <w:r w:rsidR="0002035C" w:rsidRPr="00A52585">
        <w:rPr>
          <w:rFonts w:hint="cs"/>
          <w:rtl/>
        </w:rPr>
        <w:t>(</w:t>
      </w:r>
      <w:r w:rsidRPr="00A52585">
        <w:rPr>
          <w:rtl/>
        </w:rPr>
        <w:t>ثانيا</w:t>
      </w:r>
      <w:r w:rsidR="0002035C" w:rsidRPr="00A52585">
        <w:rPr>
          <w:rtl/>
        </w:rPr>
        <w:t>)</w:t>
      </w:r>
      <w:r w:rsidR="0002035C" w:rsidRPr="00A52585">
        <w:rPr>
          <w:rFonts w:hint="cs"/>
          <w:rtl/>
        </w:rPr>
        <w:t>:</w:t>
      </w:r>
      <w:r w:rsidRPr="00A52585">
        <w:rPr>
          <w:rtl/>
        </w:rPr>
        <w:t xml:space="preserve"> قال الله تعالى في سورة </w:t>
      </w:r>
      <w:r w:rsidR="0002035C" w:rsidRPr="00A52585">
        <w:rPr>
          <w:rtl/>
        </w:rPr>
        <w:t>(</w:t>
      </w:r>
      <w:r w:rsidRPr="00A52585">
        <w:rPr>
          <w:rtl/>
        </w:rPr>
        <w:t>ق</w:t>
      </w:r>
      <w:r w:rsidR="0002035C" w:rsidRPr="00A52585">
        <w:rPr>
          <w:rtl/>
        </w:rPr>
        <w:t>)</w:t>
      </w:r>
      <w:r w:rsidRPr="00A52585">
        <w:rPr>
          <w:rtl/>
        </w:rPr>
        <w:t xml:space="preserve"> ? ونحن أقرب إليه من حبل الوريد ?</w:t>
      </w:r>
      <w:r w:rsidR="00DB731D" w:rsidRPr="00A52585">
        <w:rPr>
          <w:rtl/>
        </w:rPr>
        <w:t>،</w:t>
      </w:r>
      <w:r w:rsidRPr="00A52585">
        <w:rPr>
          <w:rtl/>
        </w:rPr>
        <w:t xml:space="preserve"> وفى سورة الواقعة</w:t>
      </w:r>
      <w:r w:rsidR="0002035C" w:rsidRPr="00A52585">
        <w:rPr>
          <w:rtl/>
        </w:rPr>
        <w:t>:</w:t>
      </w:r>
      <w:r w:rsidRPr="00A52585">
        <w:rPr>
          <w:rtl/>
        </w:rPr>
        <w:t xml:space="preserve"> ? ونحن أقرب إليه منكم ولكن لا تبصرون?</w:t>
      </w:r>
      <w:r w:rsidR="0002035C" w:rsidRPr="00A52585">
        <w:rPr>
          <w:rFonts w:hint="cs"/>
          <w:rtl/>
        </w:rPr>
        <w:t xml:space="preserve"> </w:t>
      </w:r>
      <w:r w:rsidRPr="00A52585">
        <w:rPr>
          <w:rtl/>
        </w:rPr>
        <w:t xml:space="preserve">فلوفهم الاستواء على العرش بمعنى الاستقرار </w:t>
      </w:r>
      <w:proofErr w:type="spellStart"/>
      <w:r w:rsidRPr="00A52585">
        <w:rPr>
          <w:rtl/>
        </w:rPr>
        <w:t>المكانى</w:t>
      </w:r>
      <w:proofErr w:type="spellEnd"/>
      <w:r w:rsidRPr="00A52585">
        <w:rPr>
          <w:rtl/>
        </w:rPr>
        <w:t xml:space="preserve"> لزم التناقض مه هذه </w:t>
      </w:r>
      <w:proofErr w:type="spellStart"/>
      <w:r w:rsidRPr="00A52585">
        <w:rPr>
          <w:rtl/>
        </w:rPr>
        <w:t>الايات</w:t>
      </w:r>
      <w:proofErr w:type="spellEnd"/>
      <w:r w:rsidR="00DB731D" w:rsidRPr="00A52585">
        <w:rPr>
          <w:rtl/>
        </w:rPr>
        <w:t>،</w:t>
      </w:r>
      <w:r w:rsidRPr="00A52585">
        <w:rPr>
          <w:rtl/>
        </w:rPr>
        <w:t xml:space="preserve"> والتناقض في كلام الله تعالى محال</w:t>
      </w:r>
      <w:r w:rsidR="00DB731D" w:rsidRPr="00A52585">
        <w:rPr>
          <w:rtl/>
        </w:rPr>
        <w:t>،</w:t>
      </w:r>
      <w:r w:rsidRPr="00A52585">
        <w:rPr>
          <w:rFonts w:hint="cs"/>
          <w:rtl/>
        </w:rPr>
        <w:t xml:space="preserve"> </w:t>
      </w:r>
      <w:r w:rsidRPr="00A52585">
        <w:rPr>
          <w:rtl/>
        </w:rPr>
        <w:t>فإن قيل</w:t>
      </w:r>
      <w:r w:rsidR="0002035C" w:rsidRPr="00A52585">
        <w:rPr>
          <w:rtl/>
        </w:rPr>
        <w:t>:</w:t>
      </w:r>
      <w:r w:rsidRPr="00A52585">
        <w:rPr>
          <w:rtl/>
        </w:rPr>
        <w:t xml:space="preserve"> إن الاستقرار هو بالأمر والحكم والتصرف رجع الأمر إلى معنى تدبير المملكة </w:t>
      </w:r>
      <w:proofErr w:type="gramStart"/>
      <w:r w:rsidRPr="00A52585">
        <w:rPr>
          <w:rtl/>
        </w:rPr>
        <w:t>الذى</w:t>
      </w:r>
      <w:proofErr w:type="gramEnd"/>
      <w:r w:rsidRPr="00A52585">
        <w:rPr>
          <w:rtl/>
        </w:rPr>
        <w:t xml:space="preserve"> أشرنا إليه</w:t>
      </w:r>
      <w:r w:rsidR="00DB731D" w:rsidRPr="00A52585">
        <w:rPr>
          <w:rtl/>
        </w:rPr>
        <w:t>،</w:t>
      </w:r>
      <w:r w:rsidRPr="00A52585">
        <w:rPr>
          <w:rFonts w:hint="cs"/>
          <w:rtl/>
        </w:rPr>
        <w:t xml:space="preserve"> </w:t>
      </w:r>
      <w:r w:rsidR="0002035C" w:rsidRPr="00A52585">
        <w:rPr>
          <w:rFonts w:hint="cs"/>
          <w:rtl/>
        </w:rPr>
        <w:t>(</w:t>
      </w:r>
      <w:r w:rsidRPr="00A52585">
        <w:rPr>
          <w:rtl/>
        </w:rPr>
        <w:t>رابعا</w:t>
      </w:r>
      <w:r w:rsidR="0002035C" w:rsidRPr="00A52585">
        <w:rPr>
          <w:rtl/>
        </w:rPr>
        <w:t>)</w:t>
      </w:r>
      <w:r w:rsidR="0002035C" w:rsidRPr="00A52585">
        <w:rPr>
          <w:rFonts w:hint="cs"/>
          <w:rtl/>
        </w:rPr>
        <w:t>:</w:t>
      </w:r>
      <w:r w:rsidRPr="00A52585">
        <w:rPr>
          <w:rtl/>
        </w:rPr>
        <w:t xml:space="preserve"> قال الله تعالى في سورة الأنعام</w:t>
      </w:r>
      <w:r w:rsidR="0002035C" w:rsidRPr="00A52585">
        <w:rPr>
          <w:rtl/>
        </w:rPr>
        <w:t>:</w:t>
      </w:r>
      <w:r w:rsidRPr="00A52585">
        <w:rPr>
          <w:rtl/>
        </w:rPr>
        <w:t xml:space="preserve"> ? وهو الله في </w:t>
      </w:r>
      <w:proofErr w:type="gramStart"/>
      <w:r w:rsidRPr="00A52585">
        <w:rPr>
          <w:rtl/>
        </w:rPr>
        <w:t>السموات</w:t>
      </w:r>
      <w:proofErr w:type="gramEnd"/>
      <w:r w:rsidRPr="00A52585">
        <w:rPr>
          <w:rtl/>
        </w:rPr>
        <w:t xml:space="preserve"> وفى الأرض يعلم سركم وجهركم ويعلم ما تكسبون ? فلوفهم الاستواء بمعنى الاستقرار للزم التناقض مه هذه الآية الشريفة والتناقض في </w:t>
      </w:r>
      <w:r w:rsidRPr="00A52585">
        <w:rPr>
          <w:rtl/>
        </w:rPr>
        <w:lastRenderedPageBreak/>
        <w:t>كلام الله تعالى محال</w:t>
      </w:r>
      <w:r w:rsidR="00DB731D" w:rsidRPr="00A52585">
        <w:rPr>
          <w:rtl/>
        </w:rPr>
        <w:t>،</w:t>
      </w:r>
      <w:r w:rsidRPr="00A52585">
        <w:rPr>
          <w:rFonts w:hint="cs"/>
          <w:rtl/>
        </w:rPr>
        <w:t xml:space="preserve"> </w:t>
      </w:r>
      <w:r w:rsidR="0002035C" w:rsidRPr="00A52585">
        <w:rPr>
          <w:rFonts w:hint="cs"/>
          <w:rtl/>
        </w:rPr>
        <w:t>(</w:t>
      </w:r>
      <w:r w:rsidRPr="00A52585">
        <w:rPr>
          <w:rtl/>
        </w:rPr>
        <w:t>خامسا</w:t>
      </w:r>
      <w:r w:rsidR="0002035C" w:rsidRPr="00A52585">
        <w:rPr>
          <w:rtl/>
        </w:rPr>
        <w:t>)</w:t>
      </w:r>
      <w:r w:rsidR="0002035C" w:rsidRPr="00A52585">
        <w:rPr>
          <w:rFonts w:hint="cs"/>
          <w:rtl/>
        </w:rPr>
        <w:t>:</w:t>
      </w:r>
      <w:r w:rsidRPr="00A52585">
        <w:rPr>
          <w:rtl/>
        </w:rPr>
        <w:t xml:space="preserve"> قال الله تعالى</w:t>
      </w:r>
      <w:r w:rsidR="0002035C" w:rsidRPr="00A52585">
        <w:rPr>
          <w:rtl/>
        </w:rPr>
        <w:t>:</w:t>
      </w:r>
      <w:r w:rsidRPr="00A52585">
        <w:rPr>
          <w:rtl/>
        </w:rPr>
        <w:t xml:space="preserve"> ? ويحمل رعش ربك فوقهم يومئذ ثمانية ?</w:t>
      </w:r>
      <w:r w:rsidR="00DB731D" w:rsidRPr="00A52585">
        <w:rPr>
          <w:rtl/>
        </w:rPr>
        <w:t>،</w:t>
      </w:r>
      <w:r w:rsidRPr="00A52585">
        <w:rPr>
          <w:rFonts w:hint="cs"/>
          <w:rtl/>
        </w:rPr>
        <w:t xml:space="preserve"> </w:t>
      </w:r>
      <w:r w:rsidRPr="00A52585">
        <w:rPr>
          <w:rtl/>
        </w:rPr>
        <w:t>فلو</w:t>
      </w:r>
      <w:r w:rsidRPr="00A52585">
        <w:rPr>
          <w:rFonts w:hint="cs"/>
          <w:rtl/>
        </w:rPr>
        <w:t xml:space="preserve"> </w:t>
      </w:r>
      <w:r w:rsidRPr="00A52585">
        <w:rPr>
          <w:rtl/>
        </w:rPr>
        <w:t>كان تعالى مستقرا على العرش لكان محمولا بالملائكة المحمولين بقدرته</w:t>
      </w:r>
      <w:r w:rsidR="00DB731D" w:rsidRPr="00A52585">
        <w:rPr>
          <w:rtl/>
        </w:rPr>
        <w:t>،</w:t>
      </w:r>
      <w:r w:rsidRPr="00A52585">
        <w:rPr>
          <w:rtl/>
        </w:rPr>
        <w:t xml:space="preserve"> </w:t>
      </w:r>
      <w:proofErr w:type="spellStart"/>
      <w:r w:rsidRPr="00A52585">
        <w:rPr>
          <w:rtl/>
        </w:rPr>
        <w:t>ولكانوا</w:t>
      </w:r>
      <w:proofErr w:type="spellEnd"/>
      <w:r w:rsidRPr="00A52585">
        <w:rPr>
          <w:rtl/>
        </w:rPr>
        <w:t xml:space="preserve"> أقوى وأولى بتدبير الملك</w:t>
      </w:r>
      <w:r w:rsidR="00DB731D" w:rsidRPr="00A52585">
        <w:rPr>
          <w:rtl/>
        </w:rPr>
        <w:t>،</w:t>
      </w:r>
      <w:r w:rsidRPr="00A52585">
        <w:rPr>
          <w:rtl/>
        </w:rPr>
        <w:t xml:space="preserve"> ولكان مفتقرا لمن يحمله</w:t>
      </w:r>
      <w:r w:rsidR="00DB731D" w:rsidRPr="00A52585">
        <w:rPr>
          <w:rtl/>
        </w:rPr>
        <w:t>،</w:t>
      </w:r>
      <w:r w:rsidRPr="00A52585">
        <w:rPr>
          <w:rtl/>
        </w:rPr>
        <w:t xml:space="preserve"> وكل هذا من صفات الحوادث الفقراء العجزة</w:t>
      </w:r>
      <w:r w:rsidR="00DB731D" w:rsidRPr="00A52585">
        <w:rPr>
          <w:rtl/>
        </w:rPr>
        <w:t>،</w:t>
      </w:r>
      <w:r w:rsidRPr="00A52585">
        <w:rPr>
          <w:rtl/>
        </w:rPr>
        <w:t xml:space="preserve"> ولكنه تعالى قديم غنى عما سواه</w:t>
      </w:r>
      <w:r w:rsidR="00DB731D" w:rsidRPr="00A52585">
        <w:rPr>
          <w:rtl/>
        </w:rPr>
        <w:t>،</w:t>
      </w:r>
      <w:r w:rsidRPr="00A52585">
        <w:rPr>
          <w:rtl/>
        </w:rPr>
        <w:t xml:space="preserve"> قادر لا نهاية لقدرته</w:t>
      </w:r>
      <w:r w:rsidR="00DB731D" w:rsidRPr="00A52585">
        <w:rPr>
          <w:rtl/>
        </w:rPr>
        <w:t>،</w:t>
      </w:r>
      <w:r w:rsidRPr="00A52585">
        <w:rPr>
          <w:rFonts w:hint="cs"/>
          <w:rtl/>
        </w:rPr>
        <w:t xml:space="preserve"> </w:t>
      </w:r>
      <w:r w:rsidRPr="00A52585">
        <w:rPr>
          <w:rtl/>
        </w:rPr>
        <w:t xml:space="preserve">اما الأدلة الكونية </w:t>
      </w:r>
      <w:proofErr w:type="spellStart"/>
      <w:r w:rsidRPr="00A52585">
        <w:rPr>
          <w:rtl/>
        </w:rPr>
        <w:t>فهى</w:t>
      </w:r>
      <w:proofErr w:type="spellEnd"/>
      <w:r w:rsidR="0002035C" w:rsidRPr="00A52585">
        <w:rPr>
          <w:rtl/>
        </w:rPr>
        <w:t>:</w:t>
      </w:r>
      <w:r w:rsidR="0002035C" w:rsidRPr="00A52585">
        <w:rPr>
          <w:rFonts w:hint="cs"/>
          <w:rtl/>
        </w:rPr>
        <w:t xml:space="preserve"> (</w:t>
      </w:r>
      <w:r w:rsidRPr="00A52585">
        <w:rPr>
          <w:rtl/>
        </w:rPr>
        <w:t>أولا</w:t>
      </w:r>
      <w:r w:rsidR="0002035C" w:rsidRPr="00A52585">
        <w:rPr>
          <w:rtl/>
        </w:rPr>
        <w:t>)</w:t>
      </w:r>
      <w:r w:rsidR="0002035C" w:rsidRPr="00A52585">
        <w:rPr>
          <w:rFonts w:hint="cs"/>
          <w:rtl/>
        </w:rPr>
        <w:t>:</w:t>
      </w:r>
      <w:r w:rsidRPr="00A52585">
        <w:rPr>
          <w:rtl/>
        </w:rPr>
        <w:t xml:space="preserve"> بما أن الأرض كروية والسموات محيطة بها والعرش فوق السموات</w:t>
      </w:r>
      <w:r w:rsidR="00DB731D" w:rsidRPr="00A52585">
        <w:rPr>
          <w:rtl/>
        </w:rPr>
        <w:t>،</w:t>
      </w:r>
      <w:r w:rsidRPr="00A52585">
        <w:rPr>
          <w:rtl/>
        </w:rPr>
        <w:t xml:space="preserve"> فلوكان الاستواء على العرش بمعنى الاستقرار </w:t>
      </w:r>
      <w:proofErr w:type="spellStart"/>
      <w:r w:rsidRPr="00A52585">
        <w:rPr>
          <w:rtl/>
        </w:rPr>
        <w:t>المكانى</w:t>
      </w:r>
      <w:proofErr w:type="spellEnd"/>
      <w:r w:rsidRPr="00A52585">
        <w:rPr>
          <w:rtl/>
        </w:rPr>
        <w:t xml:space="preserve"> لزم اتصافه تعالى بما لا يليق بعلوه ورفعة شأنه على خلقه ولزم التغير في صفاته تعالى وكل هذا محال للأدلة الآتية</w:t>
      </w:r>
      <w:r w:rsidR="0002035C" w:rsidRPr="00A52585">
        <w:rPr>
          <w:rtl/>
        </w:rPr>
        <w:t>:</w:t>
      </w:r>
      <w:r w:rsidR="0002035C" w:rsidRPr="00A52585">
        <w:rPr>
          <w:rFonts w:hint="cs"/>
          <w:rtl/>
        </w:rPr>
        <w:t xml:space="preserve"> </w:t>
      </w:r>
      <w:r w:rsidRPr="00A52585">
        <w:rPr>
          <w:rtl/>
        </w:rPr>
        <w:t>أ- أن أهل الأرض يفهمون أن الله تعالى فوقهم على فرض أنه تعالى مستقر على العرش</w:t>
      </w:r>
      <w:r w:rsidR="00DB731D" w:rsidRPr="00A52585">
        <w:rPr>
          <w:rtl/>
        </w:rPr>
        <w:t>،</w:t>
      </w:r>
      <w:r w:rsidRPr="00A52585">
        <w:rPr>
          <w:rtl/>
        </w:rPr>
        <w:t xml:space="preserve"> ولكن إذا درات الأرض نصف يوم وجاء اليل انعكس الأمر</w:t>
      </w:r>
      <w:r w:rsidR="00DB731D" w:rsidRPr="00A52585">
        <w:rPr>
          <w:rtl/>
        </w:rPr>
        <w:t>،</w:t>
      </w:r>
      <w:r w:rsidRPr="00A52585">
        <w:rPr>
          <w:rtl/>
        </w:rPr>
        <w:t xml:space="preserve"> فيفهمون أن رب العزة تعالى تحتهم وهو محال من وجهين</w:t>
      </w:r>
      <w:r w:rsidR="0002035C" w:rsidRPr="00A52585">
        <w:rPr>
          <w:rtl/>
        </w:rPr>
        <w:t>:</w:t>
      </w:r>
      <w:r w:rsidRPr="00A52585">
        <w:rPr>
          <w:rtl/>
        </w:rPr>
        <w:t xml:space="preserve"> ارتفاع المخلوق على الخالق جل وعلا</w:t>
      </w:r>
      <w:r w:rsidR="00DB731D" w:rsidRPr="00A52585">
        <w:rPr>
          <w:rtl/>
        </w:rPr>
        <w:t>،</w:t>
      </w:r>
      <w:r w:rsidRPr="00A52585">
        <w:rPr>
          <w:rtl/>
        </w:rPr>
        <w:t xml:space="preserve"> وتغير صفات الخالق سبحانه وما أدى إلى المحال فهو</w:t>
      </w:r>
      <w:r w:rsidRPr="00A52585">
        <w:rPr>
          <w:rFonts w:hint="cs"/>
          <w:rtl/>
        </w:rPr>
        <w:t xml:space="preserve"> </w:t>
      </w:r>
      <w:r w:rsidRPr="00A52585">
        <w:rPr>
          <w:rtl/>
        </w:rPr>
        <w:t>محال</w:t>
      </w:r>
      <w:r w:rsidR="00DB731D" w:rsidRPr="00A52585">
        <w:rPr>
          <w:rtl/>
        </w:rPr>
        <w:t>،</w:t>
      </w:r>
      <w:r w:rsidR="0002035C" w:rsidRPr="00A52585">
        <w:rPr>
          <w:rFonts w:hint="cs"/>
          <w:rtl/>
        </w:rPr>
        <w:t xml:space="preserve"> </w:t>
      </w:r>
      <w:r w:rsidRPr="00A52585">
        <w:rPr>
          <w:rtl/>
        </w:rPr>
        <w:t>ب- إن أهل الأرض في القسم المقابل يفهمون أن رب العزة تعالى ليس فوقهم بل تحتهم وهذا محال لأنه لا يصح أن الخالق تعالى فوق قوم وتحت آخرين</w:t>
      </w:r>
      <w:r w:rsidR="00DB731D" w:rsidRPr="00A52585">
        <w:rPr>
          <w:rtl/>
        </w:rPr>
        <w:t>،</w:t>
      </w:r>
      <w:r w:rsidRPr="00A52585">
        <w:rPr>
          <w:rFonts w:hint="cs"/>
          <w:rtl/>
        </w:rPr>
        <w:t xml:space="preserve"> </w:t>
      </w:r>
      <w:r w:rsidRPr="00A52585">
        <w:rPr>
          <w:rtl/>
        </w:rPr>
        <w:t>فإذا درات الأرض نصف يوم انقلب حال هؤلاء فصاروا يفهمون أن رب العزة تعالى فوقهم بعد أن كان في نظرهم تحتهم والتغير في صفات القديم تعالى محال</w:t>
      </w:r>
      <w:r w:rsidR="00DB731D" w:rsidRPr="00A52585">
        <w:rPr>
          <w:rtl/>
        </w:rPr>
        <w:t>،</w:t>
      </w:r>
      <w:r w:rsidRPr="00A52585">
        <w:rPr>
          <w:rFonts w:hint="cs"/>
          <w:rtl/>
        </w:rPr>
        <w:t xml:space="preserve"> </w:t>
      </w:r>
      <w:r w:rsidR="0002035C" w:rsidRPr="00A52585">
        <w:rPr>
          <w:rFonts w:hint="cs"/>
          <w:rtl/>
        </w:rPr>
        <w:t>(</w:t>
      </w:r>
      <w:r w:rsidRPr="00A52585">
        <w:rPr>
          <w:rtl/>
        </w:rPr>
        <w:t>ثانيا</w:t>
      </w:r>
      <w:r w:rsidR="0002035C" w:rsidRPr="00A52585">
        <w:rPr>
          <w:rFonts w:hint="cs"/>
          <w:rtl/>
        </w:rPr>
        <w:t>)</w:t>
      </w:r>
      <w:r w:rsidR="0002035C" w:rsidRPr="00A52585">
        <w:rPr>
          <w:rtl/>
        </w:rPr>
        <w:t>:</w:t>
      </w:r>
      <w:r w:rsidRPr="00A52585">
        <w:rPr>
          <w:rtl/>
        </w:rPr>
        <w:t xml:space="preserve"> أن الاستقرار </w:t>
      </w:r>
      <w:proofErr w:type="spellStart"/>
      <w:r w:rsidRPr="00A52585">
        <w:rPr>
          <w:rtl/>
        </w:rPr>
        <w:t>المكانى</w:t>
      </w:r>
      <w:proofErr w:type="spellEnd"/>
      <w:r w:rsidRPr="00A52585">
        <w:rPr>
          <w:rtl/>
        </w:rPr>
        <w:t xml:space="preserve"> على العرش </w:t>
      </w:r>
      <w:proofErr w:type="spellStart"/>
      <w:r w:rsidRPr="00A52585">
        <w:rPr>
          <w:rtl/>
        </w:rPr>
        <w:t>ضرورى</w:t>
      </w:r>
      <w:proofErr w:type="spellEnd"/>
      <w:r w:rsidRPr="00A52585">
        <w:rPr>
          <w:rtl/>
        </w:rPr>
        <w:t xml:space="preserve"> لملوك الأرض لأنه يتوقف عليه </w:t>
      </w:r>
      <w:proofErr w:type="spellStart"/>
      <w:r w:rsidRPr="00A52585">
        <w:rPr>
          <w:rtl/>
        </w:rPr>
        <w:t>الأعتراف</w:t>
      </w:r>
      <w:proofErr w:type="spellEnd"/>
      <w:r w:rsidRPr="00A52585">
        <w:rPr>
          <w:rtl/>
        </w:rPr>
        <w:t xml:space="preserve"> بتقلدهم الملك والخضوع لأوامرهم وأحكامهم</w:t>
      </w:r>
      <w:r w:rsidR="00DB731D" w:rsidRPr="00A52585">
        <w:rPr>
          <w:rtl/>
        </w:rPr>
        <w:t>،</w:t>
      </w:r>
      <w:r w:rsidRPr="00A52585">
        <w:rPr>
          <w:rFonts w:hint="cs"/>
          <w:rtl/>
        </w:rPr>
        <w:t xml:space="preserve"> </w:t>
      </w:r>
      <w:r w:rsidRPr="00A52585">
        <w:rPr>
          <w:rtl/>
        </w:rPr>
        <w:t xml:space="preserve">أما ملك الملوك والممالك فلا يتوقف ملكه على هذا </w:t>
      </w:r>
      <w:proofErr w:type="spellStart"/>
      <w:r w:rsidRPr="00A52585">
        <w:rPr>
          <w:rtl/>
        </w:rPr>
        <w:t>فإنمه</w:t>
      </w:r>
      <w:proofErr w:type="spellEnd"/>
      <w:r w:rsidRPr="00A52585">
        <w:rPr>
          <w:rtl/>
        </w:rPr>
        <w:t xml:space="preserve"> تعالى ملك قبل أن يخلق العرش وما </w:t>
      </w:r>
      <w:proofErr w:type="spellStart"/>
      <w:r w:rsidRPr="00A52585">
        <w:rPr>
          <w:rtl/>
        </w:rPr>
        <w:t>حواه</w:t>
      </w:r>
      <w:proofErr w:type="spellEnd"/>
      <w:r w:rsidRPr="00A52585">
        <w:rPr>
          <w:rtl/>
        </w:rPr>
        <w:t xml:space="preserve"> من السموات والأرض</w:t>
      </w:r>
      <w:r w:rsidR="00DB731D" w:rsidRPr="00A52585">
        <w:rPr>
          <w:rtl/>
        </w:rPr>
        <w:t>،</w:t>
      </w:r>
      <w:r w:rsidRPr="00A52585">
        <w:rPr>
          <w:rtl/>
        </w:rPr>
        <w:t xml:space="preserve"> كما انه تعالى قهر عباده على تنفيذ ما أراد</w:t>
      </w:r>
      <w:r w:rsidR="00DB731D" w:rsidRPr="00A52585">
        <w:rPr>
          <w:rtl/>
        </w:rPr>
        <w:t>،</w:t>
      </w:r>
      <w:r w:rsidRPr="00A52585">
        <w:rPr>
          <w:rtl/>
        </w:rPr>
        <w:t xml:space="preserve"> فكلهم مسخرون بقدرته طوعا وكرها عرفوا أنه تعالى ملكهم أولم يعرفوا</w:t>
      </w:r>
      <w:r w:rsidR="00DB731D" w:rsidRPr="00A52585">
        <w:rPr>
          <w:rtl/>
        </w:rPr>
        <w:t>،</w:t>
      </w:r>
      <w:r w:rsidRPr="00A52585">
        <w:rPr>
          <w:rtl/>
        </w:rPr>
        <w:t xml:space="preserve"> فنسبة الجلوس والاستقرار على العرش إليه تعالى محال لأن فيه تشبيه بملوك الأرض وإبهام أن الخضوع إرادته يتوقف على هذا الاستقرار وكل هذا محال</w:t>
      </w:r>
      <w:r w:rsidR="00DB731D" w:rsidRPr="00A52585">
        <w:rPr>
          <w:rtl/>
        </w:rPr>
        <w:t>،</w:t>
      </w:r>
      <w:r w:rsidRPr="00A52585">
        <w:rPr>
          <w:rFonts w:hint="cs"/>
          <w:rtl/>
        </w:rPr>
        <w:t xml:space="preserve"> </w:t>
      </w:r>
      <w:r w:rsidR="0002035C" w:rsidRPr="00A52585">
        <w:rPr>
          <w:rFonts w:hint="cs"/>
          <w:rtl/>
        </w:rPr>
        <w:t>(</w:t>
      </w:r>
      <w:r w:rsidRPr="00A52585">
        <w:rPr>
          <w:rtl/>
        </w:rPr>
        <w:t>ثالثا</w:t>
      </w:r>
      <w:r w:rsidR="0002035C" w:rsidRPr="00A52585">
        <w:rPr>
          <w:rtl/>
        </w:rPr>
        <w:t>)</w:t>
      </w:r>
      <w:r w:rsidR="0002035C" w:rsidRPr="00A52585">
        <w:rPr>
          <w:rFonts w:hint="cs"/>
          <w:rtl/>
        </w:rPr>
        <w:t>:</w:t>
      </w:r>
      <w:r w:rsidRPr="00A52585">
        <w:rPr>
          <w:rtl/>
        </w:rPr>
        <w:t xml:space="preserve"> لو</w:t>
      </w:r>
      <w:r w:rsidRPr="00A52585">
        <w:rPr>
          <w:rFonts w:hint="cs"/>
          <w:rtl/>
        </w:rPr>
        <w:t xml:space="preserve"> </w:t>
      </w:r>
      <w:r w:rsidRPr="00A52585">
        <w:rPr>
          <w:rtl/>
        </w:rPr>
        <w:t>كان الله تعالى مستقرا على العرش لتخيل الفكر مكانا أعلى من العرش بآلاف الأميال</w:t>
      </w:r>
      <w:r w:rsidR="00DB731D" w:rsidRPr="00A52585">
        <w:rPr>
          <w:rtl/>
        </w:rPr>
        <w:t>،</w:t>
      </w:r>
      <w:r w:rsidRPr="00A52585">
        <w:rPr>
          <w:rtl/>
        </w:rPr>
        <w:t xml:space="preserve"> لجاز عقلا أن يرتفع الإله تعالى إلى ذلك المكان الأعلى</w:t>
      </w:r>
      <w:r w:rsidR="00DB731D" w:rsidRPr="00A52585">
        <w:rPr>
          <w:rtl/>
        </w:rPr>
        <w:t>،</w:t>
      </w:r>
      <w:r w:rsidRPr="00A52585">
        <w:rPr>
          <w:rtl/>
        </w:rPr>
        <w:t xml:space="preserve"> فعدم ارتفاعه إليه يحتاج إلى مرجح لأنه لا ترجيح بلا مرجح</w:t>
      </w:r>
      <w:r w:rsidR="00DB731D" w:rsidRPr="00A52585">
        <w:rPr>
          <w:rtl/>
        </w:rPr>
        <w:t>،</w:t>
      </w:r>
      <w:r w:rsidRPr="00A52585">
        <w:rPr>
          <w:rtl/>
        </w:rPr>
        <w:t xml:space="preserve"> والاحتياج إلى المرجح من صفات الحوادث ولكنه تعالى قديم</w:t>
      </w:r>
      <w:r w:rsidR="00DB731D" w:rsidRPr="00A52585">
        <w:rPr>
          <w:rtl/>
        </w:rPr>
        <w:t>،</w:t>
      </w:r>
      <w:r w:rsidRPr="00A52585">
        <w:rPr>
          <w:rFonts w:hint="cs"/>
          <w:rtl/>
        </w:rPr>
        <w:t xml:space="preserve"> </w:t>
      </w:r>
      <w:r w:rsidR="0002035C" w:rsidRPr="00A52585">
        <w:rPr>
          <w:rFonts w:hint="cs"/>
          <w:rtl/>
        </w:rPr>
        <w:t>(</w:t>
      </w:r>
      <w:r w:rsidRPr="00A52585">
        <w:rPr>
          <w:rtl/>
        </w:rPr>
        <w:t>رابعا</w:t>
      </w:r>
      <w:r w:rsidR="0002035C" w:rsidRPr="00A52585">
        <w:rPr>
          <w:rFonts w:hint="cs"/>
          <w:rtl/>
        </w:rPr>
        <w:t>)</w:t>
      </w:r>
      <w:r w:rsidR="0002035C" w:rsidRPr="00A52585">
        <w:rPr>
          <w:rtl/>
        </w:rPr>
        <w:t>:</w:t>
      </w:r>
      <w:r w:rsidRPr="00A52585">
        <w:rPr>
          <w:rtl/>
        </w:rPr>
        <w:t xml:space="preserve"> لو</w:t>
      </w:r>
      <w:r w:rsidRPr="00A52585">
        <w:rPr>
          <w:rFonts w:hint="cs"/>
          <w:rtl/>
        </w:rPr>
        <w:t xml:space="preserve"> </w:t>
      </w:r>
      <w:r w:rsidRPr="00A52585">
        <w:rPr>
          <w:rtl/>
        </w:rPr>
        <w:t>كان تعالى مستقرا على العرش لاقتضى الحال أحد ثلاثة أمور</w:t>
      </w:r>
      <w:r w:rsidR="0002035C" w:rsidRPr="00A52585">
        <w:rPr>
          <w:rtl/>
        </w:rPr>
        <w:t>:</w:t>
      </w:r>
      <w:r w:rsidRPr="00A52585">
        <w:rPr>
          <w:rtl/>
        </w:rPr>
        <w:t xml:space="preserve"> إما أن يكون تعالى مساويا للعرش </w:t>
      </w:r>
      <w:proofErr w:type="spellStart"/>
      <w:r w:rsidRPr="00A52585">
        <w:rPr>
          <w:rtl/>
        </w:rPr>
        <w:t>أوزائدا</w:t>
      </w:r>
      <w:proofErr w:type="spellEnd"/>
      <w:r w:rsidRPr="00A52585">
        <w:rPr>
          <w:rtl/>
        </w:rPr>
        <w:t xml:space="preserve"> عليه</w:t>
      </w:r>
      <w:r w:rsidR="00DB731D" w:rsidRPr="00A52585">
        <w:rPr>
          <w:rtl/>
        </w:rPr>
        <w:t>،</w:t>
      </w:r>
      <w:r w:rsidRPr="00A52585">
        <w:rPr>
          <w:rtl/>
        </w:rPr>
        <w:t xml:space="preserve"> </w:t>
      </w:r>
      <w:proofErr w:type="spellStart"/>
      <w:r w:rsidRPr="00A52585">
        <w:rPr>
          <w:rtl/>
        </w:rPr>
        <w:t>أوناقصا</w:t>
      </w:r>
      <w:proofErr w:type="spellEnd"/>
      <w:r w:rsidRPr="00A52585">
        <w:rPr>
          <w:rtl/>
        </w:rPr>
        <w:t xml:space="preserve"> عنه</w:t>
      </w:r>
      <w:r w:rsidR="00DB731D" w:rsidRPr="00A52585">
        <w:rPr>
          <w:rtl/>
        </w:rPr>
        <w:t>،</w:t>
      </w:r>
      <w:r w:rsidRPr="00A52585">
        <w:rPr>
          <w:rtl/>
        </w:rPr>
        <w:t xml:space="preserve"> وكل هذا تحديد وتقييد وهما من صفات الحوادث ولكنه تعالى قديم</w:t>
      </w:r>
      <w:r w:rsidR="00DB731D" w:rsidRPr="00A52585">
        <w:rPr>
          <w:rtl/>
        </w:rPr>
        <w:t>،</w:t>
      </w:r>
      <w:r w:rsidRPr="00A52585">
        <w:rPr>
          <w:rtl/>
        </w:rPr>
        <w:t xml:space="preserve"> وحيث أن فهم الاستواء على العرش بمعنى الاستقرار قد أدى إلى هذه المحالات فهو</w:t>
      </w:r>
      <w:r w:rsidRPr="00A52585">
        <w:rPr>
          <w:rFonts w:hint="cs"/>
          <w:rtl/>
        </w:rPr>
        <w:t xml:space="preserve"> </w:t>
      </w:r>
      <w:r w:rsidRPr="00A52585">
        <w:rPr>
          <w:rtl/>
        </w:rPr>
        <w:t>محال</w:t>
      </w:r>
      <w:r w:rsidR="00DB731D" w:rsidRPr="00A52585">
        <w:rPr>
          <w:rFonts w:hint="cs"/>
          <w:rtl/>
        </w:rPr>
        <w:t>،</w:t>
      </w:r>
      <w:r w:rsidRPr="00A52585">
        <w:rPr>
          <w:rFonts w:hint="cs"/>
          <w:rtl/>
        </w:rPr>
        <w:t xml:space="preserve"> </w:t>
      </w:r>
      <w:r w:rsidRPr="00A52585">
        <w:rPr>
          <w:rtl/>
        </w:rPr>
        <w:t>فإن قيل</w:t>
      </w:r>
      <w:r w:rsidR="0002035C" w:rsidRPr="00A52585">
        <w:rPr>
          <w:rtl/>
        </w:rPr>
        <w:t>:</w:t>
      </w:r>
      <w:r w:rsidRPr="00A52585">
        <w:rPr>
          <w:rtl/>
        </w:rPr>
        <w:t xml:space="preserve"> فما حكمة وجود العرش وما حكمة الإخبار بأنه تعالى استوى عليه</w:t>
      </w:r>
      <w:r w:rsidR="00DB731D" w:rsidRPr="00A52585">
        <w:rPr>
          <w:rtl/>
        </w:rPr>
        <w:t>،</w:t>
      </w:r>
      <w:r w:rsidRPr="00A52585">
        <w:rPr>
          <w:rtl/>
        </w:rPr>
        <w:t xml:space="preserve"> وما سبب توجه الضمائر إلى العرش</w:t>
      </w:r>
      <w:r w:rsidR="00F95886" w:rsidRPr="00A52585">
        <w:rPr>
          <w:rtl/>
        </w:rPr>
        <w:t>؟</w:t>
      </w:r>
      <w:r w:rsidRPr="00A52585">
        <w:rPr>
          <w:rFonts w:hint="cs"/>
          <w:rtl/>
        </w:rPr>
        <w:t xml:space="preserve"> </w:t>
      </w:r>
      <w:r w:rsidRPr="00A52585">
        <w:rPr>
          <w:rtl/>
        </w:rPr>
        <w:t>فالجواب</w:t>
      </w:r>
      <w:r w:rsidR="0002035C" w:rsidRPr="00A52585">
        <w:rPr>
          <w:rtl/>
        </w:rPr>
        <w:t>:</w:t>
      </w:r>
      <w:r w:rsidRPr="00A52585">
        <w:rPr>
          <w:rtl/>
        </w:rPr>
        <w:t xml:space="preserve"> أن حكمة وجوده يعلمها الله تعالى ولسنا مكلفين </w:t>
      </w:r>
      <w:proofErr w:type="spellStart"/>
      <w:r w:rsidRPr="00A52585">
        <w:rPr>
          <w:rtl/>
        </w:rPr>
        <w:t>بالحبث</w:t>
      </w:r>
      <w:proofErr w:type="spellEnd"/>
      <w:r w:rsidRPr="00A52585">
        <w:rPr>
          <w:rtl/>
        </w:rPr>
        <w:t xml:space="preserve"> </w:t>
      </w:r>
      <w:r w:rsidRPr="00A52585">
        <w:rPr>
          <w:rtl/>
        </w:rPr>
        <w:lastRenderedPageBreak/>
        <w:t>عنها</w:t>
      </w:r>
      <w:r w:rsidR="00DB731D" w:rsidRPr="00A52585">
        <w:rPr>
          <w:rtl/>
        </w:rPr>
        <w:t>،</w:t>
      </w:r>
      <w:r w:rsidRPr="00A52585">
        <w:rPr>
          <w:rtl/>
        </w:rPr>
        <w:t xml:space="preserve"> ولكن يمكن فهم بعض الحكم وهى</w:t>
      </w:r>
      <w:r w:rsidR="0002035C" w:rsidRPr="00A52585">
        <w:rPr>
          <w:rtl/>
        </w:rPr>
        <w:t>:</w:t>
      </w:r>
      <w:r w:rsidRPr="00A52585">
        <w:rPr>
          <w:rFonts w:hint="cs"/>
          <w:rtl/>
        </w:rPr>
        <w:t xml:space="preserve"> </w:t>
      </w:r>
      <w:r w:rsidRPr="00A52585">
        <w:rPr>
          <w:rtl/>
        </w:rPr>
        <w:t>إنه تصدر منه الأوامر والأحكام إلى الملائكة لتنفذها في العوالم</w:t>
      </w:r>
      <w:r w:rsidR="00DB731D" w:rsidRPr="00A52585">
        <w:rPr>
          <w:rtl/>
        </w:rPr>
        <w:t>،</w:t>
      </w:r>
      <w:r w:rsidRPr="00A52585">
        <w:rPr>
          <w:rFonts w:hint="cs"/>
          <w:rtl/>
        </w:rPr>
        <w:t xml:space="preserve"> </w:t>
      </w:r>
      <w:r w:rsidRPr="00A52585">
        <w:rPr>
          <w:rtl/>
        </w:rPr>
        <w:t>أنه تعالى أخبر بأنه خلق السموات والأرض ثم استوى على العرش يدبر ال</w:t>
      </w:r>
      <w:r w:rsidRPr="00A52585">
        <w:rPr>
          <w:rFonts w:hint="cs"/>
          <w:rtl/>
        </w:rPr>
        <w:t>أم</w:t>
      </w:r>
      <w:r w:rsidRPr="00A52585">
        <w:rPr>
          <w:rtl/>
        </w:rPr>
        <w:t>ر</w:t>
      </w:r>
      <w:r w:rsidR="00DB731D" w:rsidRPr="00A52585">
        <w:rPr>
          <w:rFonts w:hint="cs"/>
          <w:rtl/>
        </w:rPr>
        <w:t>،</w:t>
      </w:r>
      <w:r w:rsidRPr="00A52585">
        <w:rPr>
          <w:rtl/>
        </w:rPr>
        <w:t xml:space="preserve"> وهذا هو سبب اتجاه السائلين بضمائرهم وأفكارهم للعرش انتظارا لتحقيق مسألتهم وإجابة ملتمسهم من ربهم سبحانه وتعالى لأنه تعالى فوق العرش</w:t>
      </w:r>
      <w:r w:rsidR="0002035C" w:rsidRPr="00A52585">
        <w:rPr>
          <w:rtl/>
        </w:rPr>
        <w:t xml:space="preserve"> </w:t>
      </w:r>
      <w:r w:rsidRPr="00A52585">
        <w:rPr>
          <w:rtl/>
        </w:rPr>
        <w:t>-</w:t>
      </w:r>
      <w:r w:rsidR="0002035C" w:rsidRPr="00A52585">
        <w:rPr>
          <w:rtl/>
        </w:rPr>
        <w:t xml:space="preserve"> </w:t>
      </w:r>
      <w:r w:rsidRPr="00A52585">
        <w:rPr>
          <w:rtl/>
        </w:rPr>
        <w:t>كما أن المصلى يتجه بوجهه للقبلة في الصلاة</w:t>
      </w:r>
      <w:r w:rsidR="00DB731D" w:rsidRPr="00A52585">
        <w:rPr>
          <w:rtl/>
        </w:rPr>
        <w:t>،</w:t>
      </w:r>
      <w:r w:rsidRPr="00A52585">
        <w:rPr>
          <w:rtl/>
        </w:rPr>
        <w:t xml:space="preserve"> وليس الله تعالى في القبلة ونؤيد ذلك بمثال من أنفسنا</w:t>
      </w:r>
      <w:r w:rsidR="00DB731D" w:rsidRPr="00A52585">
        <w:rPr>
          <w:rtl/>
        </w:rPr>
        <w:t>،</w:t>
      </w:r>
      <w:r w:rsidRPr="00A52585">
        <w:rPr>
          <w:rFonts w:hint="cs"/>
          <w:rtl/>
        </w:rPr>
        <w:t xml:space="preserve"> </w:t>
      </w:r>
      <w:r w:rsidRPr="00A52585">
        <w:rPr>
          <w:rtl/>
        </w:rPr>
        <w:t>فإذا ذكر الملك فإن الفكر يتجه لقصره الذى هو محل حكمه مه أن الملك قد يكون في أوروبا</w:t>
      </w:r>
      <w:r w:rsidR="00DB731D" w:rsidRPr="00A52585">
        <w:rPr>
          <w:rtl/>
        </w:rPr>
        <w:t>،</w:t>
      </w:r>
      <w:r w:rsidRPr="00A52585">
        <w:rPr>
          <w:rtl/>
        </w:rPr>
        <w:t xml:space="preserve"> ولكن هذه عادة الخيال لا العقل</w:t>
      </w:r>
      <w:r w:rsidR="00DB731D" w:rsidRPr="00A52585">
        <w:rPr>
          <w:rtl/>
        </w:rPr>
        <w:t>،</w:t>
      </w:r>
      <w:r w:rsidRPr="00A52585">
        <w:rPr>
          <w:rtl/>
        </w:rPr>
        <w:t xml:space="preserve"> ولا يتير للعبد ترك هذه العادة حتى يترقى عقله في المعرفة بالله تعالى وتتمكن العقائد من قلبه فتصير كأنها مشهودة له على الدوام</w:t>
      </w:r>
      <w:r w:rsidR="00DB731D" w:rsidRPr="00A52585">
        <w:rPr>
          <w:rtl/>
        </w:rPr>
        <w:t>،</w:t>
      </w:r>
      <w:r w:rsidRPr="00A52585">
        <w:rPr>
          <w:rtl/>
        </w:rPr>
        <w:t xml:space="preserve"> فعند ذلك يتجه لربه تعالى بقلبه مع كمال التقديس والتعظيم وهذا هو التوجه </w:t>
      </w:r>
      <w:proofErr w:type="spellStart"/>
      <w:r w:rsidRPr="00A52585">
        <w:rPr>
          <w:rtl/>
        </w:rPr>
        <w:t>الحقيقى</w:t>
      </w:r>
      <w:proofErr w:type="spellEnd"/>
      <w:r w:rsidRPr="00A52585">
        <w:rPr>
          <w:rtl/>
        </w:rPr>
        <w:t xml:space="preserve"> لله تعالى بالقلب</w:t>
      </w:r>
      <w:r w:rsidR="00DB731D" w:rsidRPr="00A52585">
        <w:rPr>
          <w:rtl/>
        </w:rPr>
        <w:t>،</w:t>
      </w:r>
      <w:r w:rsidRPr="00A52585">
        <w:rPr>
          <w:rFonts w:hint="cs"/>
          <w:rtl/>
        </w:rPr>
        <w:t xml:space="preserve"> </w:t>
      </w:r>
      <w:r w:rsidRPr="00A52585">
        <w:rPr>
          <w:rtl/>
        </w:rPr>
        <w:t>أما التوجه بالخيال فليس حقيقيا لأن الخيال لا يدرك الحقائق لأن إدراكه معلول بالقياس على ما تدركه الحواس</w:t>
      </w:r>
      <w:r w:rsidR="00DB731D" w:rsidRPr="00A52585">
        <w:rPr>
          <w:rtl/>
        </w:rPr>
        <w:t>،</w:t>
      </w:r>
      <w:r w:rsidRPr="00A52585">
        <w:rPr>
          <w:rtl/>
        </w:rPr>
        <w:t xml:space="preserve"> والحواس لا قدم لها في غدراك الصفات </w:t>
      </w:r>
      <w:proofErr w:type="spellStart"/>
      <w:r w:rsidRPr="00A52585">
        <w:rPr>
          <w:rtl/>
        </w:rPr>
        <w:t>الآلهيه</w:t>
      </w:r>
      <w:proofErr w:type="spellEnd"/>
      <w:r w:rsidR="00DB731D" w:rsidRPr="00A52585">
        <w:rPr>
          <w:rtl/>
        </w:rPr>
        <w:t>،</w:t>
      </w:r>
      <w:r w:rsidRPr="00A52585">
        <w:rPr>
          <w:rtl/>
        </w:rPr>
        <w:t xml:space="preserve"> فالخيال أعجز منها في ذلك والمخطئ في فهم الاستواء بمعنى الاستقرار جعل نفسه محكوما بحواسه وخياله كمن </w:t>
      </w:r>
      <w:proofErr w:type="spellStart"/>
      <w:r w:rsidRPr="00A52585">
        <w:rPr>
          <w:rtl/>
        </w:rPr>
        <w:t>راىالسراب</w:t>
      </w:r>
      <w:proofErr w:type="spellEnd"/>
      <w:r w:rsidRPr="00A52585">
        <w:rPr>
          <w:rtl/>
        </w:rPr>
        <w:t xml:space="preserve"> فظنه ماء طبقا لحال عينه وليس كذلك</w:t>
      </w:r>
      <w:r w:rsidR="00DB731D" w:rsidRPr="00A52585">
        <w:rPr>
          <w:rtl/>
        </w:rPr>
        <w:t>،</w:t>
      </w:r>
      <w:r w:rsidRPr="00A52585">
        <w:rPr>
          <w:rtl/>
        </w:rPr>
        <w:t xml:space="preserve"> أومن ركب القطار فظن أن الأرض تجرى من تحته وليس كذلك</w:t>
      </w:r>
      <w:r w:rsidR="00DB731D" w:rsidRPr="00A52585">
        <w:rPr>
          <w:rtl/>
        </w:rPr>
        <w:t>،</w:t>
      </w:r>
      <w:r w:rsidR="0002035C" w:rsidRPr="00A52585">
        <w:rPr>
          <w:rFonts w:hint="cs"/>
          <w:rtl/>
        </w:rPr>
        <w:t xml:space="preserve"> </w:t>
      </w:r>
      <w:r w:rsidRPr="00A52585">
        <w:rPr>
          <w:rtl/>
        </w:rPr>
        <w:t>فالعاقل لا يقبل أن يكون عقله تحت حكم حواسه بل يجب عليه أن ينتفع بعقله ويتصرف بذوقه في معانى القرآن العظيم ويفهمها بما يتفق مع بلاغته</w:t>
      </w:r>
      <w:r w:rsidR="00DB731D" w:rsidRPr="00A52585">
        <w:rPr>
          <w:rtl/>
        </w:rPr>
        <w:t>،</w:t>
      </w:r>
      <w:r w:rsidRPr="00A52585">
        <w:rPr>
          <w:rtl/>
        </w:rPr>
        <w:t xml:space="preserve"> ومع التقديس </w:t>
      </w:r>
      <w:proofErr w:type="spellStart"/>
      <w:r w:rsidRPr="00A52585">
        <w:rPr>
          <w:rtl/>
        </w:rPr>
        <w:t>الإلهى</w:t>
      </w:r>
      <w:proofErr w:type="spellEnd"/>
      <w:r w:rsidRPr="00A52585">
        <w:rPr>
          <w:rtl/>
        </w:rPr>
        <w:t xml:space="preserve"> ولا يكون كمن جاء لرسول الله صلى الله عليه وسلم ومعه خيط أبيض وخيط أسود ويسأله عن الوقت الذى يمكن فيه الامتناع عن الأكل ليلا مع أنهما يمكن تمييزهما من بعضهما طول مدة اليل فأجابه صلى الله عليه وسلم بما معناه</w:t>
      </w:r>
      <w:r w:rsidR="0002035C" w:rsidRPr="00A52585">
        <w:rPr>
          <w:rtl/>
        </w:rPr>
        <w:t>:</w:t>
      </w:r>
      <w:r w:rsidRPr="00A52585">
        <w:rPr>
          <w:rtl/>
        </w:rPr>
        <w:t xml:space="preserve"> </w:t>
      </w:r>
      <w:r w:rsidR="0002035C" w:rsidRPr="00A52585">
        <w:rPr>
          <w:rtl/>
        </w:rPr>
        <w:t>(</w:t>
      </w:r>
      <w:r w:rsidRPr="00A52585">
        <w:rPr>
          <w:rtl/>
        </w:rPr>
        <w:t>ليس هذا يا عريض القفا إنما المقصود هو تبين النور من الظلام في مطلع الفجر</w:t>
      </w:r>
      <w:r w:rsidR="0002035C" w:rsidRPr="00A52585">
        <w:rPr>
          <w:rtl/>
        </w:rPr>
        <w:t>)</w:t>
      </w:r>
      <w:r w:rsidR="00DB731D" w:rsidRPr="00A52585">
        <w:rPr>
          <w:rtl/>
        </w:rPr>
        <w:t>،</w:t>
      </w:r>
      <w:r w:rsidRPr="00A52585">
        <w:rPr>
          <w:rFonts w:hint="cs"/>
          <w:rtl/>
        </w:rPr>
        <w:t xml:space="preserve"> </w:t>
      </w:r>
      <w:r w:rsidRPr="00A52585">
        <w:rPr>
          <w:rtl/>
        </w:rPr>
        <w:t>فنسأل الله تعالى أن يلهم عقولنا وقلوبنا وبصائرنا معرفة الحق والتمسك به على الدوام بحق فضله وإحسانه ورحمته وإكرامه لرسوله صلى الله عليه وسلم وأصحابه وأهل بيته ومشايخنا أجمعين</w:t>
      </w:r>
      <w:r w:rsidR="00DB731D" w:rsidRPr="00A52585">
        <w:rPr>
          <w:rtl/>
        </w:rPr>
        <w:t>،</w:t>
      </w:r>
      <w:r w:rsidRPr="00A52585">
        <w:rPr>
          <w:rFonts w:hint="cs"/>
          <w:rtl/>
        </w:rPr>
        <w:t xml:space="preserve"> </w:t>
      </w:r>
    </w:p>
    <w:p w14:paraId="5F57450D" w14:textId="77777777" w:rsidR="00777DCB" w:rsidRPr="00A52585" w:rsidRDefault="00777DCB" w:rsidP="0002035C">
      <w:pPr>
        <w:spacing w:after="240"/>
        <w:jc w:val="center"/>
        <w:rPr>
          <w:rtl/>
        </w:rPr>
      </w:pPr>
      <w:r w:rsidRPr="00A52585">
        <w:rPr>
          <w:rFonts w:hint="cs"/>
          <w:rtl/>
        </w:rPr>
        <w:t>***</w:t>
      </w:r>
    </w:p>
    <w:p w14:paraId="3200DF10" w14:textId="1FA6B1CD" w:rsidR="00777DCB" w:rsidRPr="00A52585" w:rsidRDefault="00777DCB" w:rsidP="0002035C">
      <w:pPr>
        <w:spacing w:after="240"/>
        <w:jc w:val="center"/>
        <w:rPr>
          <w:rFonts w:cs="Monotype Koufi"/>
          <w:b/>
          <w:rtl/>
          <w:lang w:bidi="ar-KW"/>
        </w:rPr>
      </w:pPr>
      <w:r w:rsidRPr="00A52585">
        <w:rPr>
          <w:rFonts w:cs="Monotype Koufi"/>
          <w:rtl/>
          <w:lang w:bidi="ar-KW"/>
        </w:rPr>
        <w:t xml:space="preserve">مغالطات </w:t>
      </w:r>
      <w:proofErr w:type="spellStart"/>
      <w:r w:rsidRPr="00A52585">
        <w:rPr>
          <w:rFonts w:cs="Monotype Koufi"/>
          <w:rtl/>
          <w:lang w:bidi="ar-KW"/>
        </w:rPr>
        <w:t>القصيمي</w:t>
      </w:r>
      <w:proofErr w:type="spellEnd"/>
      <w:r w:rsidR="0002035C" w:rsidRPr="00A52585">
        <w:rPr>
          <w:rFonts w:cs="Monotype Koufi" w:hint="cs"/>
          <w:rtl/>
          <w:lang w:bidi="ar-KW"/>
        </w:rPr>
        <w:t>:</w:t>
      </w:r>
      <w:r w:rsidRPr="00A52585">
        <w:rPr>
          <w:rFonts w:cs="Monotype Koufi" w:hint="cs"/>
          <w:rtl/>
          <w:lang w:bidi="ar-KW"/>
        </w:rPr>
        <w:t xml:space="preserve"> </w:t>
      </w:r>
      <w:r w:rsidRPr="00A52585">
        <w:rPr>
          <w:rFonts w:cs="Monotype Koufi"/>
          <w:rtl/>
          <w:lang w:bidi="ar-KW"/>
        </w:rPr>
        <w:t>للأستاذ الباحث المهندس حامد عبد الرحمن</w:t>
      </w:r>
    </w:p>
    <w:p w14:paraId="667A2C65" w14:textId="3A8721A4" w:rsidR="00777DCB" w:rsidRPr="00A52585" w:rsidRDefault="0002035C" w:rsidP="0002035C">
      <w:pPr>
        <w:spacing w:after="240"/>
        <w:rPr>
          <w:b/>
          <w:sz w:val="24"/>
          <w:szCs w:val="24"/>
          <w:rtl/>
        </w:rPr>
      </w:pPr>
      <w:r w:rsidRPr="00A52585">
        <w:rPr>
          <w:rFonts w:hint="cs"/>
          <w:sz w:val="24"/>
          <w:szCs w:val="24"/>
          <w:rtl/>
        </w:rPr>
        <w:t>[</w:t>
      </w:r>
      <w:r w:rsidR="00777DCB" w:rsidRPr="00A52585">
        <w:rPr>
          <w:sz w:val="24"/>
          <w:szCs w:val="24"/>
          <w:rtl/>
        </w:rPr>
        <w:t xml:space="preserve">عبد الله </w:t>
      </w:r>
      <w:proofErr w:type="spellStart"/>
      <w:r w:rsidR="00777DCB" w:rsidRPr="00A52585">
        <w:rPr>
          <w:sz w:val="24"/>
          <w:szCs w:val="24"/>
          <w:rtl/>
        </w:rPr>
        <w:t>القصيمى</w:t>
      </w:r>
      <w:proofErr w:type="spellEnd"/>
      <w:r w:rsidR="00777DCB" w:rsidRPr="00A52585">
        <w:rPr>
          <w:sz w:val="24"/>
          <w:szCs w:val="24"/>
          <w:rtl/>
        </w:rPr>
        <w:t xml:space="preserve"> من غلاة المجسمة </w:t>
      </w:r>
      <w:proofErr w:type="spellStart"/>
      <w:r w:rsidR="00777DCB" w:rsidRPr="00A52585">
        <w:rPr>
          <w:sz w:val="24"/>
          <w:szCs w:val="24"/>
          <w:rtl/>
        </w:rPr>
        <w:t>ومتطرفى</w:t>
      </w:r>
      <w:proofErr w:type="spellEnd"/>
      <w:r w:rsidR="00777DCB" w:rsidRPr="00A52585">
        <w:rPr>
          <w:sz w:val="24"/>
          <w:szCs w:val="24"/>
          <w:rtl/>
        </w:rPr>
        <w:t xml:space="preserve"> الوهابية</w:t>
      </w:r>
      <w:r w:rsidR="00DB731D" w:rsidRPr="00A52585">
        <w:rPr>
          <w:sz w:val="24"/>
          <w:szCs w:val="24"/>
          <w:rtl/>
        </w:rPr>
        <w:t>،</w:t>
      </w:r>
      <w:r w:rsidR="00777DCB" w:rsidRPr="00A52585">
        <w:rPr>
          <w:sz w:val="24"/>
          <w:szCs w:val="24"/>
          <w:rtl/>
        </w:rPr>
        <w:t xml:space="preserve"> وهو صاحب كتاب القول الفصل بين </w:t>
      </w:r>
      <w:proofErr w:type="spellStart"/>
      <w:r w:rsidR="00777DCB" w:rsidRPr="00A52585">
        <w:rPr>
          <w:sz w:val="24"/>
          <w:szCs w:val="24"/>
          <w:rtl/>
        </w:rPr>
        <w:t>الوهابيه</w:t>
      </w:r>
      <w:proofErr w:type="spellEnd"/>
      <w:r w:rsidR="00777DCB" w:rsidRPr="00A52585">
        <w:rPr>
          <w:sz w:val="24"/>
          <w:szCs w:val="24"/>
          <w:rtl/>
        </w:rPr>
        <w:t xml:space="preserve"> وخصومهم</w:t>
      </w:r>
      <w:r w:rsidRPr="00A52585">
        <w:rPr>
          <w:sz w:val="24"/>
          <w:szCs w:val="24"/>
          <w:rtl/>
        </w:rPr>
        <w:t xml:space="preserve"> </w:t>
      </w:r>
      <w:r w:rsidR="00777DCB" w:rsidRPr="00A52585">
        <w:rPr>
          <w:sz w:val="24"/>
          <w:szCs w:val="24"/>
          <w:rtl/>
        </w:rPr>
        <w:t xml:space="preserve">والصراع بين الاسلام </w:t>
      </w:r>
      <w:proofErr w:type="spellStart"/>
      <w:r w:rsidR="00777DCB" w:rsidRPr="00A52585">
        <w:rPr>
          <w:sz w:val="24"/>
          <w:szCs w:val="24"/>
          <w:rtl/>
        </w:rPr>
        <w:t>والوثنيه</w:t>
      </w:r>
      <w:proofErr w:type="spellEnd"/>
      <w:r w:rsidRPr="00A52585">
        <w:rPr>
          <w:rFonts w:hint="cs"/>
          <w:sz w:val="24"/>
          <w:szCs w:val="24"/>
          <w:rtl/>
        </w:rPr>
        <w:t>]</w:t>
      </w:r>
      <w:r w:rsidR="00777DCB" w:rsidRPr="00A52585">
        <w:rPr>
          <w:sz w:val="24"/>
          <w:szCs w:val="24"/>
          <w:rtl/>
        </w:rPr>
        <w:t xml:space="preserve"> </w:t>
      </w:r>
    </w:p>
    <w:p w14:paraId="780618BF" w14:textId="05BB6C67" w:rsidR="00777DCB" w:rsidRPr="00A52585" w:rsidRDefault="00777DCB" w:rsidP="0002035C">
      <w:pPr>
        <w:spacing w:after="240"/>
        <w:rPr>
          <w:rtl/>
        </w:rPr>
      </w:pPr>
      <w:r w:rsidRPr="00A52585">
        <w:rPr>
          <w:rFonts w:cs="Monotype Koufi" w:hint="cs"/>
          <w:rtl/>
        </w:rPr>
        <w:lastRenderedPageBreak/>
        <w:t xml:space="preserve">1 - </w:t>
      </w:r>
      <w:r w:rsidRPr="00A52585">
        <w:rPr>
          <w:rFonts w:cs="Monotype Koufi"/>
          <w:rtl/>
          <w:lang w:bidi="ar-KW"/>
        </w:rPr>
        <w:t xml:space="preserve">مغالطات </w:t>
      </w:r>
      <w:proofErr w:type="spellStart"/>
      <w:r w:rsidRPr="00A52585">
        <w:rPr>
          <w:rFonts w:cs="Monotype Koufi"/>
          <w:rtl/>
          <w:lang w:bidi="ar-KW"/>
        </w:rPr>
        <w:t>القصيمي</w:t>
      </w:r>
      <w:proofErr w:type="spellEnd"/>
      <w:r w:rsidR="0002035C" w:rsidRPr="00A52585">
        <w:rPr>
          <w:rFonts w:cs="Monotype Koufi" w:hint="cs"/>
          <w:rtl/>
          <w:lang w:bidi="ar-KW"/>
        </w:rPr>
        <w:t>:</w:t>
      </w:r>
      <w:r w:rsidRPr="00A52585">
        <w:rPr>
          <w:rFonts w:hint="cs"/>
          <w:rtl/>
        </w:rPr>
        <w:t xml:space="preserve"> </w:t>
      </w:r>
      <w:r w:rsidRPr="00A52585">
        <w:rPr>
          <w:rtl/>
        </w:rPr>
        <w:t>إن هذه الثرثرة الفارغة</w:t>
      </w:r>
      <w:r w:rsidR="00DB731D" w:rsidRPr="00A52585">
        <w:rPr>
          <w:rtl/>
        </w:rPr>
        <w:t>،</w:t>
      </w:r>
      <w:r w:rsidRPr="00A52585">
        <w:rPr>
          <w:rtl/>
        </w:rPr>
        <w:t xml:space="preserve"> والجدل العقيم من </w:t>
      </w:r>
      <w:proofErr w:type="spellStart"/>
      <w:r w:rsidRPr="00A52585">
        <w:rPr>
          <w:rtl/>
        </w:rPr>
        <w:t>القصيمى</w:t>
      </w:r>
      <w:proofErr w:type="spellEnd"/>
      <w:r w:rsidRPr="00A52585">
        <w:rPr>
          <w:rtl/>
        </w:rPr>
        <w:t xml:space="preserve"> وإمامه </w:t>
      </w:r>
      <w:proofErr w:type="spellStart"/>
      <w:r w:rsidRPr="00A52585">
        <w:rPr>
          <w:rtl/>
        </w:rPr>
        <w:t>الداعى</w:t>
      </w:r>
      <w:proofErr w:type="spellEnd"/>
      <w:r w:rsidRPr="00A52585">
        <w:rPr>
          <w:rtl/>
        </w:rPr>
        <w:t xml:space="preserve"> إلى نحلتهم في مصر (</w:t>
      </w:r>
      <w:proofErr w:type="spellStart"/>
      <w:r w:rsidRPr="00A52585">
        <w:rPr>
          <w:rtl/>
        </w:rPr>
        <w:t>الفقى</w:t>
      </w:r>
      <w:proofErr w:type="spellEnd"/>
      <w:r w:rsidRPr="00A52585">
        <w:rPr>
          <w:rtl/>
        </w:rPr>
        <w:t>) لا يمكن أن تنتهى عند حد</w:t>
      </w:r>
      <w:r w:rsidR="00DB731D" w:rsidRPr="00A52585">
        <w:rPr>
          <w:rtl/>
        </w:rPr>
        <w:t>،</w:t>
      </w:r>
      <w:r w:rsidRPr="00A52585">
        <w:rPr>
          <w:rtl/>
        </w:rPr>
        <w:t xml:space="preserve"> </w:t>
      </w:r>
      <w:proofErr w:type="spellStart"/>
      <w:r w:rsidRPr="00A52585">
        <w:rPr>
          <w:rtl/>
        </w:rPr>
        <w:t>أوتقف</w:t>
      </w:r>
      <w:proofErr w:type="spellEnd"/>
      <w:r w:rsidRPr="00A52585">
        <w:rPr>
          <w:rtl/>
        </w:rPr>
        <w:t xml:space="preserve"> عند غاية</w:t>
      </w:r>
      <w:r w:rsidR="00DB731D" w:rsidRPr="00A52585">
        <w:rPr>
          <w:rtl/>
        </w:rPr>
        <w:t>،</w:t>
      </w:r>
      <w:r w:rsidRPr="00A52585">
        <w:rPr>
          <w:rtl/>
        </w:rPr>
        <w:t xml:space="preserve"> ونحن نجزم بأنهم</w:t>
      </w:r>
      <w:r w:rsidR="0002035C" w:rsidRPr="00A52585">
        <w:rPr>
          <w:rtl/>
        </w:rPr>
        <w:t xml:space="preserve"> </w:t>
      </w:r>
      <w:r w:rsidRPr="00A52585">
        <w:rPr>
          <w:rtl/>
        </w:rPr>
        <w:t>-</w:t>
      </w:r>
      <w:r w:rsidR="0002035C" w:rsidRPr="00A52585">
        <w:rPr>
          <w:rtl/>
        </w:rPr>
        <w:t xml:space="preserve"> </w:t>
      </w:r>
      <w:r w:rsidRPr="00A52585">
        <w:rPr>
          <w:rtl/>
        </w:rPr>
        <w:t>وقد نصبوا أنفسهم للدعاية إلى هذه العقيدة المارقة عقيدة "التجسيم"</w:t>
      </w:r>
      <w:r w:rsidR="0002035C" w:rsidRPr="00A52585">
        <w:rPr>
          <w:rtl/>
        </w:rPr>
        <w:t xml:space="preserve"> </w:t>
      </w:r>
      <w:r w:rsidRPr="00A52585">
        <w:rPr>
          <w:rtl/>
        </w:rPr>
        <w:t>-</w:t>
      </w:r>
      <w:r w:rsidR="0002035C" w:rsidRPr="00A52585">
        <w:rPr>
          <w:rtl/>
        </w:rPr>
        <w:t xml:space="preserve"> </w:t>
      </w:r>
      <w:r w:rsidRPr="00A52585">
        <w:rPr>
          <w:rtl/>
        </w:rPr>
        <w:t>يستحيل عليهم أن يرجعوا إلى الحق ما دام رائدهم أن ينشروا على الناس باطلهم</w:t>
      </w:r>
      <w:r w:rsidR="00DB731D" w:rsidRPr="00A52585">
        <w:rPr>
          <w:rtl/>
        </w:rPr>
        <w:t>،</w:t>
      </w:r>
      <w:r w:rsidRPr="00A52585">
        <w:rPr>
          <w:rtl/>
        </w:rPr>
        <w:t xml:space="preserve"> ويسمموا </w:t>
      </w:r>
      <w:proofErr w:type="spellStart"/>
      <w:r w:rsidRPr="00A52585">
        <w:rPr>
          <w:rtl/>
        </w:rPr>
        <w:t>جومصر</w:t>
      </w:r>
      <w:proofErr w:type="spellEnd"/>
      <w:r w:rsidRPr="00A52585">
        <w:rPr>
          <w:rtl/>
        </w:rPr>
        <w:t xml:space="preserve"> </w:t>
      </w:r>
      <w:proofErr w:type="spellStart"/>
      <w:r w:rsidRPr="00A52585">
        <w:rPr>
          <w:rtl/>
        </w:rPr>
        <w:t>الصافى</w:t>
      </w:r>
      <w:proofErr w:type="spellEnd"/>
      <w:r w:rsidRPr="00A52585">
        <w:rPr>
          <w:rtl/>
        </w:rPr>
        <w:t xml:space="preserve"> بسموم هذه الاضاليل والأباطيل</w:t>
      </w:r>
      <w:r w:rsidR="00DB731D" w:rsidRPr="00A52585">
        <w:rPr>
          <w:rtl/>
        </w:rPr>
        <w:t>،</w:t>
      </w:r>
      <w:r w:rsidRPr="00A52585">
        <w:rPr>
          <w:rtl/>
        </w:rPr>
        <w:t xml:space="preserve"> مصر كنانة الله في أرضه التي طهرها الله تعالى من رجس العقائد الزائغة</w:t>
      </w:r>
      <w:r w:rsidR="00DB731D" w:rsidRPr="00A52585">
        <w:rPr>
          <w:rtl/>
        </w:rPr>
        <w:t>،</w:t>
      </w:r>
      <w:r w:rsidRPr="00A52585">
        <w:rPr>
          <w:rtl/>
        </w:rPr>
        <w:t xml:space="preserve"> والنحل البائدة</w:t>
      </w:r>
      <w:r w:rsidR="00DB731D" w:rsidRPr="00A52585">
        <w:rPr>
          <w:rtl/>
        </w:rPr>
        <w:t>،</w:t>
      </w:r>
      <w:r w:rsidRPr="00A52585">
        <w:rPr>
          <w:rtl/>
        </w:rPr>
        <w:t xml:space="preserve"> </w:t>
      </w:r>
      <w:proofErr w:type="spellStart"/>
      <w:r w:rsidRPr="00A52585">
        <w:rPr>
          <w:rtl/>
        </w:rPr>
        <w:t>والتى</w:t>
      </w:r>
      <w:proofErr w:type="spellEnd"/>
      <w:r w:rsidRPr="00A52585">
        <w:rPr>
          <w:rtl/>
        </w:rPr>
        <w:t xml:space="preserve"> لا يمكن أن تعثر فيها بعد طول الفحص والتفتيش على نحلة من النحل التي تئن من وجودها الأمم الأخرى بين </w:t>
      </w:r>
      <w:proofErr w:type="spellStart"/>
      <w:r w:rsidRPr="00A52585">
        <w:rPr>
          <w:rtl/>
        </w:rPr>
        <w:t>ظهرانيها</w:t>
      </w:r>
      <w:proofErr w:type="spellEnd"/>
      <w:r w:rsidRPr="00A52585">
        <w:rPr>
          <w:rtl/>
        </w:rPr>
        <w:t xml:space="preserve"> </w:t>
      </w:r>
      <w:proofErr w:type="spellStart"/>
      <w:r w:rsidRPr="00A52585">
        <w:rPr>
          <w:rtl/>
        </w:rPr>
        <w:t>كالإماميه</w:t>
      </w:r>
      <w:proofErr w:type="spellEnd"/>
      <w:r w:rsidRPr="00A52585">
        <w:rPr>
          <w:rtl/>
        </w:rPr>
        <w:t xml:space="preserve"> </w:t>
      </w:r>
      <w:proofErr w:type="spellStart"/>
      <w:r w:rsidRPr="00A52585">
        <w:rPr>
          <w:rtl/>
        </w:rPr>
        <w:t>والإسماعيليه</w:t>
      </w:r>
      <w:proofErr w:type="spellEnd"/>
      <w:r w:rsidRPr="00A52585">
        <w:rPr>
          <w:rtl/>
        </w:rPr>
        <w:t xml:space="preserve"> والقاديانية والوهابية</w:t>
      </w:r>
      <w:r w:rsidR="00DB731D" w:rsidRPr="00A52585">
        <w:rPr>
          <w:rtl/>
        </w:rPr>
        <w:t>،</w:t>
      </w:r>
      <w:r w:rsidRPr="00A52585">
        <w:rPr>
          <w:rtl/>
        </w:rPr>
        <w:t xml:space="preserve"> مصر التي صفت عقيدة أهلها كصفاء سمائها</w:t>
      </w:r>
      <w:r w:rsidR="00DB731D" w:rsidRPr="00A52585">
        <w:rPr>
          <w:rtl/>
        </w:rPr>
        <w:t>،</w:t>
      </w:r>
      <w:r w:rsidRPr="00A52585">
        <w:rPr>
          <w:rtl/>
        </w:rPr>
        <w:t xml:space="preserve"> </w:t>
      </w:r>
      <w:proofErr w:type="spellStart"/>
      <w:r w:rsidRPr="00A52585">
        <w:rPr>
          <w:rtl/>
        </w:rPr>
        <w:t>والتى</w:t>
      </w:r>
      <w:proofErr w:type="spellEnd"/>
      <w:r w:rsidRPr="00A52585">
        <w:rPr>
          <w:rtl/>
        </w:rPr>
        <w:t xml:space="preserve"> قنعت في أصول الدين بعقيدة أهل الحق من </w:t>
      </w:r>
      <w:proofErr w:type="spellStart"/>
      <w:r w:rsidRPr="00A52585">
        <w:rPr>
          <w:rtl/>
        </w:rPr>
        <w:t>الماتريدية</w:t>
      </w:r>
      <w:proofErr w:type="spellEnd"/>
      <w:r w:rsidRPr="00A52585">
        <w:rPr>
          <w:rtl/>
        </w:rPr>
        <w:t xml:space="preserve"> والأشاعرة</w:t>
      </w:r>
      <w:r w:rsidR="00DB731D" w:rsidRPr="00A52585">
        <w:rPr>
          <w:rtl/>
        </w:rPr>
        <w:t>،</w:t>
      </w:r>
      <w:r w:rsidRPr="00A52585">
        <w:rPr>
          <w:rtl/>
        </w:rPr>
        <w:t xml:space="preserve"> وفى فروع الدين بمذاهب الأئمة المتبوعين وأصحابهم رضى الله عنهم أجمعين</w:t>
      </w:r>
      <w:r w:rsidR="00DB731D" w:rsidRPr="00A52585">
        <w:rPr>
          <w:rtl/>
        </w:rPr>
        <w:t>،</w:t>
      </w:r>
      <w:r w:rsidRPr="00A52585">
        <w:rPr>
          <w:rtl/>
        </w:rPr>
        <w:t xml:space="preserve"> يريد اليوم </w:t>
      </w:r>
      <w:proofErr w:type="spellStart"/>
      <w:r w:rsidRPr="00A52585">
        <w:rPr>
          <w:rtl/>
        </w:rPr>
        <w:t>الفقى</w:t>
      </w:r>
      <w:proofErr w:type="spellEnd"/>
      <w:r w:rsidRPr="00A52585">
        <w:rPr>
          <w:rtl/>
        </w:rPr>
        <w:t xml:space="preserve"> </w:t>
      </w:r>
      <w:proofErr w:type="spellStart"/>
      <w:r w:rsidRPr="00A52585">
        <w:rPr>
          <w:rtl/>
        </w:rPr>
        <w:t>والقصيمى</w:t>
      </w:r>
      <w:proofErr w:type="spellEnd"/>
      <w:r w:rsidRPr="00A52585">
        <w:rPr>
          <w:rtl/>
        </w:rPr>
        <w:t xml:space="preserve"> وزعانف من الأدعياء أن ينقلوها من تبعيتها لهؤلاء الأئمة</w:t>
      </w:r>
      <w:r w:rsidR="00DB731D" w:rsidRPr="00A52585">
        <w:rPr>
          <w:rtl/>
        </w:rPr>
        <w:t>،</w:t>
      </w:r>
      <w:r w:rsidRPr="00A52585">
        <w:rPr>
          <w:rtl/>
        </w:rPr>
        <w:t xml:space="preserve"> وانضوائها تحت راية جمهور العلماء</w:t>
      </w:r>
      <w:r w:rsidR="00DB731D" w:rsidRPr="00A52585">
        <w:rPr>
          <w:rtl/>
        </w:rPr>
        <w:t>،</w:t>
      </w:r>
      <w:r w:rsidRPr="00A52585">
        <w:rPr>
          <w:rtl/>
        </w:rPr>
        <w:t xml:space="preserve"> إلى </w:t>
      </w:r>
      <w:proofErr w:type="spellStart"/>
      <w:r w:rsidRPr="00A52585">
        <w:rPr>
          <w:rtl/>
        </w:rPr>
        <w:t>الائتمام</w:t>
      </w:r>
      <w:proofErr w:type="spellEnd"/>
      <w:r w:rsidRPr="00A52585">
        <w:rPr>
          <w:rtl/>
        </w:rPr>
        <w:t xml:space="preserve"> به وبشيعته والانضمام لحزبه</w:t>
      </w:r>
      <w:r w:rsidR="00DB731D" w:rsidRPr="00A52585">
        <w:rPr>
          <w:rtl/>
        </w:rPr>
        <w:t>،</w:t>
      </w:r>
      <w:r w:rsidRPr="00A52585">
        <w:rPr>
          <w:rtl/>
        </w:rPr>
        <w:t xml:space="preserve"> والانضواء تحت رايته لتكثير سواد أتباعه من </w:t>
      </w:r>
      <w:proofErr w:type="spellStart"/>
      <w:r w:rsidRPr="00A52585">
        <w:rPr>
          <w:rtl/>
        </w:rPr>
        <w:t>الباعه</w:t>
      </w:r>
      <w:proofErr w:type="spellEnd"/>
      <w:r w:rsidRPr="00A52585">
        <w:rPr>
          <w:rtl/>
        </w:rPr>
        <w:t xml:space="preserve"> والخدم</w:t>
      </w:r>
      <w:r w:rsidR="00DB731D" w:rsidRPr="00A52585">
        <w:rPr>
          <w:rtl/>
        </w:rPr>
        <w:t>،</w:t>
      </w:r>
      <w:r w:rsidRPr="00A52585">
        <w:rPr>
          <w:rFonts w:hint="cs"/>
          <w:rtl/>
        </w:rPr>
        <w:t xml:space="preserve"> </w:t>
      </w:r>
      <w:r w:rsidRPr="00A52585">
        <w:rPr>
          <w:rtl/>
        </w:rPr>
        <w:t>يريد أن نترك ما أجمع عليه أهل الحق من تنزيه الله تعالى إلى نحلته الجديدة التي يثبت فيها لله سبحانه الجهة والمكان والحلول والاستقرار</w:t>
      </w:r>
      <w:r w:rsidR="00DB731D" w:rsidRPr="00A52585">
        <w:rPr>
          <w:rtl/>
        </w:rPr>
        <w:t>،</w:t>
      </w:r>
      <w:r w:rsidRPr="00A52585">
        <w:rPr>
          <w:rtl/>
        </w:rPr>
        <w:t xml:space="preserve"> ويثبت له الجوارح من الوجه واليد والأصابع واللهوات والأضراس إلخ</w:t>
      </w:r>
      <w:r w:rsidR="00DB731D" w:rsidRPr="00A52585">
        <w:rPr>
          <w:rtl/>
        </w:rPr>
        <w:t>،</w:t>
      </w:r>
      <w:r w:rsidRPr="00A52585">
        <w:rPr>
          <w:rFonts w:hint="cs"/>
          <w:rtl/>
        </w:rPr>
        <w:t xml:space="preserve"> </w:t>
      </w:r>
      <w:r w:rsidRPr="00A52585">
        <w:rPr>
          <w:rtl/>
        </w:rPr>
        <w:t>يريد أن ينقلنا من عقيدة التقديس</w:t>
      </w:r>
      <w:r w:rsidR="00DB731D" w:rsidRPr="00A52585">
        <w:rPr>
          <w:rtl/>
        </w:rPr>
        <w:t>،</w:t>
      </w:r>
      <w:r w:rsidRPr="00A52585">
        <w:rPr>
          <w:rtl/>
        </w:rPr>
        <w:t xml:space="preserve"> وتنزيه الله تعالى عن صفات الحوادث إلى مثل ما جاء في كتاب عثمان بن سعيد </w:t>
      </w:r>
      <w:proofErr w:type="spellStart"/>
      <w:r w:rsidRPr="00A52585">
        <w:rPr>
          <w:rtl/>
        </w:rPr>
        <w:t>الدارمى</w:t>
      </w:r>
      <w:proofErr w:type="spellEnd"/>
      <w:r w:rsidRPr="00A52585">
        <w:rPr>
          <w:rtl/>
        </w:rPr>
        <w:t xml:space="preserve"> الذى طبع أخيراً " بتحقيق وعلى نفقه </w:t>
      </w:r>
      <w:proofErr w:type="spellStart"/>
      <w:r w:rsidRPr="00A52585">
        <w:rPr>
          <w:rtl/>
        </w:rPr>
        <w:t>الفقى</w:t>
      </w:r>
      <w:proofErr w:type="spellEnd"/>
      <w:r w:rsidRPr="00A52585">
        <w:rPr>
          <w:rtl/>
        </w:rPr>
        <w:t xml:space="preserve"> رئيس جماعة أنصار السنة المحمدية " من قوله مثلا </w:t>
      </w:r>
      <w:r w:rsidR="0002035C" w:rsidRPr="00A52585">
        <w:rPr>
          <w:rtl/>
        </w:rPr>
        <w:t>(</w:t>
      </w:r>
      <w:r w:rsidRPr="00A52585">
        <w:rPr>
          <w:rtl/>
        </w:rPr>
        <w:t>ص4</w:t>
      </w:r>
      <w:r w:rsidR="0002035C" w:rsidRPr="00A52585">
        <w:rPr>
          <w:rtl/>
        </w:rPr>
        <w:t>):</w:t>
      </w:r>
      <w:r w:rsidRPr="00A52585">
        <w:rPr>
          <w:rtl/>
        </w:rPr>
        <w:t xml:space="preserve"> " وكيف يهتدى </w:t>
      </w:r>
      <w:r w:rsidR="0002035C" w:rsidRPr="00A52585">
        <w:rPr>
          <w:rtl/>
        </w:rPr>
        <w:t>(</w:t>
      </w:r>
      <w:r w:rsidRPr="00A52585">
        <w:rPr>
          <w:rtl/>
        </w:rPr>
        <w:t>بشر</w:t>
      </w:r>
      <w:r w:rsidR="0002035C" w:rsidRPr="00A52585">
        <w:rPr>
          <w:rtl/>
        </w:rPr>
        <w:t>)</w:t>
      </w:r>
      <w:r w:rsidRPr="00A52585">
        <w:rPr>
          <w:rtl/>
        </w:rPr>
        <w:t xml:space="preserve"> إلى التوحيد</w:t>
      </w:r>
      <w:r w:rsidR="00F95886" w:rsidRPr="00A52585">
        <w:rPr>
          <w:rtl/>
        </w:rPr>
        <w:t>؟</w:t>
      </w:r>
      <w:r w:rsidRPr="00A52585">
        <w:rPr>
          <w:rtl/>
        </w:rPr>
        <w:t xml:space="preserve"> وهو لا يعرف مكان واحده</w:t>
      </w:r>
      <w:r w:rsidR="00DB731D" w:rsidRPr="00A52585">
        <w:rPr>
          <w:rtl/>
        </w:rPr>
        <w:t>،</w:t>
      </w:r>
      <w:r w:rsidRPr="00A52585">
        <w:rPr>
          <w:rtl/>
        </w:rPr>
        <w:t xml:space="preserve"> فلا هو</w:t>
      </w:r>
      <w:r w:rsidR="0002035C" w:rsidRPr="00A52585">
        <w:rPr>
          <w:rtl/>
        </w:rPr>
        <w:t xml:space="preserve"> </w:t>
      </w:r>
      <w:r w:rsidRPr="00A52585">
        <w:rPr>
          <w:rtl/>
        </w:rPr>
        <w:t>-</w:t>
      </w:r>
      <w:r w:rsidR="0002035C" w:rsidRPr="00A52585">
        <w:rPr>
          <w:rtl/>
        </w:rPr>
        <w:t xml:space="preserve"> </w:t>
      </w:r>
      <w:r w:rsidRPr="00A52585">
        <w:rPr>
          <w:rtl/>
        </w:rPr>
        <w:t>بزعمه</w:t>
      </w:r>
      <w:r w:rsidR="0002035C" w:rsidRPr="00A52585">
        <w:rPr>
          <w:rtl/>
        </w:rPr>
        <w:t xml:space="preserve"> </w:t>
      </w:r>
      <w:r w:rsidRPr="00A52585">
        <w:rPr>
          <w:rtl/>
        </w:rPr>
        <w:t>-</w:t>
      </w:r>
      <w:r w:rsidR="0002035C" w:rsidRPr="00A52585">
        <w:rPr>
          <w:rtl/>
        </w:rPr>
        <w:t xml:space="preserve"> </w:t>
      </w:r>
      <w:r w:rsidRPr="00A52585">
        <w:rPr>
          <w:rtl/>
        </w:rPr>
        <w:t>في الدنيا والآخرة بواجده "</w:t>
      </w:r>
      <w:r w:rsidR="00DB731D" w:rsidRPr="00A52585">
        <w:rPr>
          <w:rtl/>
        </w:rPr>
        <w:t>،</w:t>
      </w:r>
      <w:r w:rsidRPr="00A52585">
        <w:rPr>
          <w:rFonts w:hint="cs"/>
          <w:rtl/>
        </w:rPr>
        <w:t xml:space="preserve"> </w:t>
      </w:r>
      <w:r w:rsidRPr="00A52585">
        <w:rPr>
          <w:rtl/>
        </w:rPr>
        <w:t>وكتب رئيس جماعة أنصار السنة المحمدية بذيل الصحيفة تعليقاً على قوله " مكان واحده " هه العبارة بنصها</w:t>
      </w:r>
      <w:r w:rsidR="0002035C" w:rsidRPr="00A52585">
        <w:rPr>
          <w:rtl/>
        </w:rPr>
        <w:t>:</w:t>
      </w:r>
      <w:r w:rsidRPr="00A52585">
        <w:rPr>
          <w:rtl/>
        </w:rPr>
        <w:t xml:space="preserve"> " كان خيراً لو</w:t>
      </w:r>
      <w:r w:rsidRPr="00A52585">
        <w:rPr>
          <w:rFonts w:hint="cs"/>
          <w:rtl/>
        </w:rPr>
        <w:t xml:space="preserve"> </w:t>
      </w:r>
      <w:r w:rsidRPr="00A52585">
        <w:rPr>
          <w:rtl/>
        </w:rPr>
        <w:t>قال</w:t>
      </w:r>
      <w:r w:rsidR="0002035C" w:rsidRPr="00A52585">
        <w:rPr>
          <w:rtl/>
        </w:rPr>
        <w:t>:</w:t>
      </w:r>
      <w:r w:rsidRPr="00A52585">
        <w:rPr>
          <w:rtl/>
        </w:rPr>
        <w:t xml:space="preserve"> أين</w:t>
      </w:r>
      <w:r w:rsidR="00DB731D" w:rsidRPr="00A52585">
        <w:rPr>
          <w:rtl/>
        </w:rPr>
        <w:t>،</w:t>
      </w:r>
      <w:r w:rsidRPr="00A52585">
        <w:rPr>
          <w:rtl/>
        </w:rPr>
        <w:t xml:space="preserve"> ولم يقل</w:t>
      </w:r>
      <w:r w:rsidR="0002035C" w:rsidRPr="00A52585">
        <w:rPr>
          <w:rtl/>
        </w:rPr>
        <w:t>:</w:t>
      </w:r>
      <w:r w:rsidRPr="00A52585">
        <w:rPr>
          <w:rtl/>
        </w:rPr>
        <w:t xml:space="preserve"> مكان "</w:t>
      </w:r>
      <w:r w:rsidR="00DB731D" w:rsidRPr="00A52585">
        <w:rPr>
          <w:rtl/>
        </w:rPr>
        <w:t>،</w:t>
      </w:r>
      <w:r w:rsidRPr="00A52585">
        <w:rPr>
          <w:rFonts w:hint="cs"/>
          <w:rtl/>
        </w:rPr>
        <w:t xml:space="preserve"> </w:t>
      </w:r>
      <w:r w:rsidRPr="00A52585">
        <w:rPr>
          <w:rtl/>
        </w:rPr>
        <w:t xml:space="preserve">كأن رئيس جماعة أنصار السنة </w:t>
      </w:r>
      <w:proofErr w:type="spellStart"/>
      <w:r w:rsidRPr="00A52585">
        <w:rPr>
          <w:rtl/>
        </w:rPr>
        <w:t>ومرءوسيه</w:t>
      </w:r>
      <w:proofErr w:type="spellEnd"/>
      <w:r w:rsidRPr="00A52585">
        <w:rPr>
          <w:rtl/>
        </w:rPr>
        <w:t xml:space="preserve"> وأتباعه أيضاً يعتقدون بصرائح عقائدهم أن لله مكانا ً يحل فيه ويستقر عليه</w:t>
      </w:r>
      <w:r w:rsidR="00DB731D" w:rsidRPr="00A52585">
        <w:rPr>
          <w:rtl/>
        </w:rPr>
        <w:t>،</w:t>
      </w:r>
      <w:r w:rsidRPr="00A52585">
        <w:rPr>
          <w:rtl/>
        </w:rPr>
        <w:t xml:space="preserve"> وأن له </w:t>
      </w:r>
      <w:proofErr w:type="spellStart"/>
      <w:r w:rsidRPr="00A52585">
        <w:rPr>
          <w:rtl/>
        </w:rPr>
        <w:t>أينية</w:t>
      </w:r>
      <w:proofErr w:type="spellEnd"/>
      <w:r w:rsidRPr="00A52585">
        <w:rPr>
          <w:rtl/>
        </w:rPr>
        <w:t xml:space="preserve"> وجهة يشار إليها بالإشارة الحسيه إلا أنه يرى أن إثبات الجهة </w:t>
      </w:r>
      <w:proofErr w:type="spellStart"/>
      <w:r w:rsidRPr="00A52585">
        <w:rPr>
          <w:rtl/>
        </w:rPr>
        <w:t>والأينية</w:t>
      </w:r>
      <w:proofErr w:type="spellEnd"/>
      <w:r w:rsidRPr="00A52585">
        <w:rPr>
          <w:rtl/>
        </w:rPr>
        <w:t xml:space="preserve"> خير وأولى من إثبات المكان لله سبحانه كأن إثبات المكان جائز في نظره</w:t>
      </w:r>
      <w:r w:rsidR="00DB731D" w:rsidRPr="00A52585">
        <w:rPr>
          <w:rtl/>
        </w:rPr>
        <w:t>،</w:t>
      </w:r>
      <w:r w:rsidRPr="00A52585">
        <w:rPr>
          <w:rFonts w:hint="cs"/>
          <w:rtl/>
        </w:rPr>
        <w:t xml:space="preserve"> </w:t>
      </w:r>
      <w:r w:rsidRPr="00A52585">
        <w:rPr>
          <w:rtl/>
        </w:rPr>
        <w:t>وتراه يقرر في الدرس على مستمعيه من العامة طبعاً</w:t>
      </w:r>
      <w:r w:rsidR="00DB731D" w:rsidRPr="00A52585">
        <w:rPr>
          <w:rtl/>
        </w:rPr>
        <w:t>،</w:t>
      </w:r>
      <w:r w:rsidRPr="00A52585">
        <w:rPr>
          <w:rtl/>
        </w:rPr>
        <w:t xml:space="preserve"> أن الله تعالى في جهة فوق</w:t>
      </w:r>
      <w:r w:rsidR="00DB731D" w:rsidRPr="00A52585">
        <w:rPr>
          <w:rtl/>
        </w:rPr>
        <w:t>،</w:t>
      </w:r>
      <w:r w:rsidRPr="00A52585">
        <w:rPr>
          <w:rtl/>
        </w:rPr>
        <w:t xml:space="preserve"> وأنه ينزل بذاته إلى سماء </w:t>
      </w:r>
      <w:proofErr w:type="spellStart"/>
      <w:r w:rsidRPr="00A52585">
        <w:rPr>
          <w:rtl/>
        </w:rPr>
        <w:t>الدنيا</w:t>
      </w:r>
      <w:r w:rsidR="00DB731D" w:rsidRPr="00A52585">
        <w:rPr>
          <w:rtl/>
        </w:rPr>
        <w:t>،</w:t>
      </w:r>
      <w:r w:rsidRPr="00A52585">
        <w:rPr>
          <w:rtl/>
        </w:rPr>
        <w:t>وإذا</w:t>
      </w:r>
      <w:proofErr w:type="spellEnd"/>
      <w:r w:rsidRPr="00A52585">
        <w:rPr>
          <w:rtl/>
        </w:rPr>
        <w:t xml:space="preserve"> لم يستطع </w:t>
      </w:r>
      <w:proofErr w:type="spellStart"/>
      <w:r w:rsidRPr="00A52585">
        <w:rPr>
          <w:rtl/>
        </w:rPr>
        <w:t>العامى</w:t>
      </w:r>
      <w:proofErr w:type="spellEnd"/>
      <w:r w:rsidRPr="00A52585">
        <w:rPr>
          <w:rtl/>
        </w:rPr>
        <w:t xml:space="preserve"> أن يهضم بعقله هذا الكلام</w:t>
      </w:r>
      <w:r w:rsidR="00DB731D" w:rsidRPr="00A52585">
        <w:rPr>
          <w:rtl/>
        </w:rPr>
        <w:t>،</w:t>
      </w:r>
      <w:r w:rsidRPr="00A52585">
        <w:rPr>
          <w:rtl/>
        </w:rPr>
        <w:t xml:space="preserve"> كان في استطاعة </w:t>
      </w:r>
      <w:proofErr w:type="spellStart"/>
      <w:r w:rsidRPr="00A52585">
        <w:rPr>
          <w:rtl/>
        </w:rPr>
        <w:t>الفقى</w:t>
      </w:r>
      <w:proofErr w:type="spellEnd"/>
      <w:r w:rsidRPr="00A52585">
        <w:rPr>
          <w:rtl/>
        </w:rPr>
        <w:t xml:space="preserve"> وهو عالم ؛ أن يقنع تلميذه وهو </w:t>
      </w:r>
      <w:proofErr w:type="spellStart"/>
      <w:r w:rsidRPr="00A52585">
        <w:rPr>
          <w:rtl/>
        </w:rPr>
        <w:t>عامى</w:t>
      </w:r>
      <w:proofErr w:type="spellEnd"/>
      <w:r w:rsidRPr="00A52585">
        <w:rPr>
          <w:rtl/>
        </w:rPr>
        <w:t xml:space="preserve"> جاهل بصحة هذه العقيدة وأمثالها</w:t>
      </w:r>
      <w:r w:rsidR="00DB731D" w:rsidRPr="00A52585">
        <w:rPr>
          <w:rtl/>
        </w:rPr>
        <w:t>،</w:t>
      </w:r>
      <w:r w:rsidRPr="00A52585">
        <w:rPr>
          <w:rFonts w:hint="cs"/>
          <w:rtl/>
        </w:rPr>
        <w:t xml:space="preserve"> </w:t>
      </w:r>
      <w:r w:rsidRPr="00A52585">
        <w:rPr>
          <w:rtl/>
        </w:rPr>
        <w:t xml:space="preserve">وهذا الأستاذ الشيخ عبد العزيز </w:t>
      </w:r>
      <w:proofErr w:type="spellStart"/>
      <w:r w:rsidRPr="00A52585">
        <w:rPr>
          <w:rtl/>
        </w:rPr>
        <w:t>المسلاوى</w:t>
      </w:r>
      <w:proofErr w:type="spellEnd"/>
      <w:r w:rsidRPr="00A52585">
        <w:rPr>
          <w:rtl/>
        </w:rPr>
        <w:t xml:space="preserve"> من جماعة </w:t>
      </w:r>
      <w:proofErr w:type="spellStart"/>
      <w:r w:rsidRPr="00A52585">
        <w:rPr>
          <w:rtl/>
        </w:rPr>
        <w:t>الفقى</w:t>
      </w:r>
      <w:proofErr w:type="spellEnd"/>
      <w:r w:rsidRPr="00A52585">
        <w:rPr>
          <w:rtl/>
        </w:rPr>
        <w:t xml:space="preserve"> زادوا في مقاله المنشور في صحيفتهم كلمة </w:t>
      </w:r>
      <w:r w:rsidR="0002035C" w:rsidRPr="00A52585">
        <w:rPr>
          <w:rtl/>
        </w:rPr>
        <w:t>(</w:t>
      </w:r>
      <w:r w:rsidRPr="00A52585">
        <w:rPr>
          <w:rtl/>
        </w:rPr>
        <w:t>مستقر</w:t>
      </w:r>
      <w:r w:rsidR="0002035C" w:rsidRPr="00A52585">
        <w:rPr>
          <w:rtl/>
        </w:rPr>
        <w:t>)</w:t>
      </w:r>
      <w:r w:rsidRPr="00A52585">
        <w:rPr>
          <w:rtl/>
        </w:rPr>
        <w:t xml:space="preserve"> فجاءت العبارة في المقال المذكور هكذا " وأنه </w:t>
      </w:r>
      <w:r w:rsidR="0002035C" w:rsidRPr="00A52585">
        <w:rPr>
          <w:rtl/>
        </w:rPr>
        <w:t>(</w:t>
      </w:r>
      <w:r w:rsidRPr="00A52585">
        <w:rPr>
          <w:rtl/>
        </w:rPr>
        <w:t>مستقر</w:t>
      </w:r>
      <w:r w:rsidR="0002035C" w:rsidRPr="00A52585">
        <w:rPr>
          <w:rtl/>
        </w:rPr>
        <w:t>)</w:t>
      </w:r>
      <w:r w:rsidRPr="00A52585">
        <w:rPr>
          <w:rtl/>
        </w:rPr>
        <w:t xml:space="preserve"> على </w:t>
      </w:r>
      <w:r w:rsidRPr="00A52585">
        <w:rPr>
          <w:rtl/>
        </w:rPr>
        <w:lastRenderedPageBreak/>
        <w:t xml:space="preserve">عرشه " وقد طلب إليهم مراراً وتكراراً أن ينبهوا في مجلتهم التي يرأس تحريرها رئيس الجماعة المذكور </w:t>
      </w:r>
      <w:proofErr w:type="spellStart"/>
      <w:r w:rsidRPr="00A52585">
        <w:rPr>
          <w:rtl/>
        </w:rPr>
        <w:t>علىأن</w:t>
      </w:r>
      <w:proofErr w:type="spellEnd"/>
      <w:r w:rsidRPr="00A52585">
        <w:rPr>
          <w:rtl/>
        </w:rPr>
        <w:t xml:space="preserve"> زيادة </w:t>
      </w:r>
      <w:r w:rsidR="0002035C" w:rsidRPr="00A52585">
        <w:rPr>
          <w:rtl/>
        </w:rPr>
        <w:t>(</w:t>
      </w:r>
      <w:r w:rsidRPr="00A52585">
        <w:rPr>
          <w:rtl/>
        </w:rPr>
        <w:t>مستقر</w:t>
      </w:r>
      <w:r w:rsidR="0002035C" w:rsidRPr="00A52585">
        <w:rPr>
          <w:rtl/>
        </w:rPr>
        <w:t>)</w:t>
      </w:r>
      <w:r w:rsidRPr="00A52585">
        <w:rPr>
          <w:rtl/>
        </w:rPr>
        <w:t xml:space="preserve"> من </w:t>
      </w:r>
      <w:proofErr w:type="spellStart"/>
      <w:r w:rsidRPr="00A52585">
        <w:rPr>
          <w:rtl/>
        </w:rPr>
        <w:t>عندياتهم</w:t>
      </w:r>
      <w:proofErr w:type="spellEnd"/>
      <w:r w:rsidR="00DB731D" w:rsidRPr="00A52585">
        <w:rPr>
          <w:rtl/>
        </w:rPr>
        <w:t>،</w:t>
      </w:r>
      <w:r w:rsidRPr="00A52585">
        <w:rPr>
          <w:rtl/>
        </w:rPr>
        <w:t xml:space="preserve"> وأنه لا يقرها ولا يعتقدها فأبوا</w:t>
      </w:r>
      <w:r w:rsidR="00DB731D" w:rsidRPr="00A52585">
        <w:rPr>
          <w:rtl/>
        </w:rPr>
        <w:t>،</w:t>
      </w:r>
      <w:r w:rsidRPr="00A52585">
        <w:rPr>
          <w:rtl/>
        </w:rPr>
        <w:t xml:space="preserve"> ولم يصححوا هذه الزيادة التي ألصقوها بالأستاذ </w:t>
      </w:r>
      <w:proofErr w:type="spellStart"/>
      <w:r w:rsidRPr="00A52585">
        <w:rPr>
          <w:rtl/>
        </w:rPr>
        <w:t>المسلاوى</w:t>
      </w:r>
      <w:proofErr w:type="spellEnd"/>
      <w:r w:rsidRPr="00A52585">
        <w:rPr>
          <w:rtl/>
        </w:rPr>
        <w:t xml:space="preserve"> إلى الآن رغم أنفه</w:t>
      </w:r>
      <w:r w:rsidR="00DB731D" w:rsidRPr="00A52585">
        <w:rPr>
          <w:rtl/>
        </w:rPr>
        <w:t>،</w:t>
      </w:r>
      <w:r w:rsidRPr="00A52585">
        <w:rPr>
          <w:rFonts w:hint="cs"/>
          <w:rtl/>
        </w:rPr>
        <w:t xml:space="preserve"> </w:t>
      </w:r>
      <w:r w:rsidRPr="00A52585">
        <w:rPr>
          <w:rtl/>
        </w:rPr>
        <w:t xml:space="preserve">والعجب أن </w:t>
      </w:r>
      <w:proofErr w:type="spellStart"/>
      <w:r w:rsidRPr="00A52585">
        <w:rPr>
          <w:rtl/>
        </w:rPr>
        <w:t>القصيمى</w:t>
      </w:r>
      <w:proofErr w:type="spellEnd"/>
      <w:r w:rsidRPr="00A52585">
        <w:rPr>
          <w:rtl/>
        </w:rPr>
        <w:t xml:space="preserve"> لا يسأل أصحابه الجواب عن هذه البلايا </w:t>
      </w:r>
      <w:proofErr w:type="spellStart"/>
      <w:r w:rsidRPr="00A52585">
        <w:rPr>
          <w:rtl/>
        </w:rPr>
        <w:t>والطوام</w:t>
      </w:r>
      <w:proofErr w:type="spellEnd"/>
      <w:r w:rsidR="00DB731D" w:rsidRPr="00A52585">
        <w:rPr>
          <w:rtl/>
        </w:rPr>
        <w:t>،</w:t>
      </w:r>
      <w:r w:rsidRPr="00A52585">
        <w:rPr>
          <w:rtl/>
        </w:rPr>
        <w:t xml:space="preserve"> ويسأل العلماء الذين تعرضوا للكتابة في هذا الموضوع على صفحات مجله الاسلام </w:t>
      </w:r>
      <w:proofErr w:type="spellStart"/>
      <w:r w:rsidRPr="00A52585">
        <w:rPr>
          <w:rtl/>
        </w:rPr>
        <w:t>أسئله</w:t>
      </w:r>
      <w:proofErr w:type="spellEnd"/>
      <w:r w:rsidRPr="00A52585">
        <w:rPr>
          <w:rtl/>
        </w:rPr>
        <w:t xml:space="preserve"> حشوها </w:t>
      </w:r>
      <w:proofErr w:type="spellStart"/>
      <w:r w:rsidRPr="00A52585">
        <w:rPr>
          <w:rtl/>
        </w:rPr>
        <w:t>السفسطه</w:t>
      </w:r>
      <w:proofErr w:type="spellEnd"/>
      <w:r w:rsidRPr="00A52585">
        <w:rPr>
          <w:rtl/>
        </w:rPr>
        <w:t xml:space="preserve"> والمغالطات</w:t>
      </w:r>
      <w:r w:rsidR="00DB731D" w:rsidRPr="00A52585">
        <w:rPr>
          <w:rtl/>
        </w:rPr>
        <w:t>،</w:t>
      </w:r>
      <w:r w:rsidRPr="00A52585">
        <w:rPr>
          <w:rtl/>
        </w:rPr>
        <w:t xml:space="preserve"> وكان عليه أن </w:t>
      </w:r>
      <w:proofErr w:type="spellStart"/>
      <w:r w:rsidRPr="00A52585">
        <w:rPr>
          <w:rtl/>
        </w:rPr>
        <w:t>يترواى</w:t>
      </w:r>
      <w:proofErr w:type="spellEnd"/>
      <w:r w:rsidRPr="00A52585">
        <w:rPr>
          <w:rtl/>
        </w:rPr>
        <w:t xml:space="preserve"> هو وأصحابه خجلاً بعد ما ظهر من فضائحهم </w:t>
      </w:r>
      <w:proofErr w:type="spellStart"/>
      <w:r w:rsidRPr="00A52585">
        <w:rPr>
          <w:rtl/>
        </w:rPr>
        <w:t>ومخازيهم</w:t>
      </w:r>
      <w:proofErr w:type="spellEnd"/>
      <w:r w:rsidRPr="00A52585">
        <w:rPr>
          <w:rtl/>
        </w:rPr>
        <w:t xml:space="preserve"> ما ظهر</w:t>
      </w:r>
      <w:r w:rsidR="00DB731D" w:rsidRPr="00A52585">
        <w:rPr>
          <w:rtl/>
        </w:rPr>
        <w:t>،</w:t>
      </w:r>
      <w:r w:rsidRPr="00A52585">
        <w:rPr>
          <w:rtl/>
        </w:rPr>
        <w:t xml:space="preserve"> وعلمه الخاص والعام وانا مع </w:t>
      </w:r>
      <w:proofErr w:type="spellStart"/>
      <w:r w:rsidRPr="00A52585">
        <w:rPr>
          <w:rtl/>
        </w:rPr>
        <w:t>وثوقى</w:t>
      </w:r>
      <w:proofErr w:type="spellEnd"/>
      <w:r w:rsidRPr="00A52585">
        <w:rPr>
          <w:rtl/>
        </w:rPr>
        <w:t xml:space="preserve"> بأنه لا ينخدع بأقوال </w:t>
      </w:r>
      <w:proofErr w:type="spellStart"/>
      <w:r w:rsidRPr="00A52585">
        <w:rPr>
          <w:rtl/>
        </w:rPr>
        <w:t>القصيمى</w:t>
      </w:r>
      <w:proofErr w:type="spellEnd"/>
      <w:r w:rsidRPr="00A52585">
        <w:rPr>
          <w:rtl/>
        </w:rPr>
        <w:t xml:space="preserve"> وأسئلته هذه إلا غر جاهل</w:t>
      </w:r>
      <w:r w:rsidR="00DB731D" w:rsidRPr="00A52585">
        <w:rPr>
          <w:rtl/>
        </w:rPr>
        <w:t>،</w:t>
      </w:r>
      <w:r w:rsidRPr="00A52585">
        <w:rPr>
          <w:rtl/>
        </w:rPr>
        <w:t xml:space="preserve"> </w:t>
      </w:r>
      <w:proofErr w:type="spellStart"/>
      <w:r w:rsidRPr="00A52585">
        <w:rPr>
          <w:rtl/>
        </w:rPr>
        <w:t>أومكابر</w:t>
      </w:r>
      <w:proofErr w:type="spellEnd"/>
      <w:r w:rsidRPr="00A52585">
        <w:rPr>
          <w:rtl/>
        </w:rPr>
        <w:t xml:space="preserve"> مخدوع</w:t>
      </w:r>
      <w:r w:rsidR="00DB731D" w:rsidRPr="00A52585">
        <w:rPr>
          <w:rtl/>
        </w:rPr>
        <w:t>،</w:t>
      </w:r>
      <w:r w:rsidRPr="00A52585">
        <w:rPr>
          <w:rtl/>
        </w:rPr>
        <w:t xml:space="preserve"> فأنا كاشف لك عما يستره تحتها من </w:t>
      </w:r>
      <w:proofErr w:type="spellStart"/>
      <w:r w:rsidRPr="00A52585">
        <w:rPr>
          <w:rtl/>
        </w:rPr>
        <w:t>سفسفاط</w:t>
      </w:r>
      <w:proofErr w:type="spellEnd"/>
      <w:r w:rsidRPr="00A52585">
        <w:rPr>
          <w:rtl/>
        </w:rPr>
        <w:t xml:space="preserve"> ومغالطات</w:t>
      </w:r>
      <w:r w:rsidR="00DB731D" w:rsidRPr="00A52585">
        <w:rPr>
          <w:rtl/>
        </w:rPr>
        <w:t>،</w:t>
      </w:r>
      <w:r w:rsidRPr="00A52585">
        <w:rPr>
          <w:rFonts w:hint="cs"/>
          <w:rtl/>
        </w:rPr>
        <w:t xml:space="preserve"> </w:t>
      </w:r>
      <w:r w:rsidRPr="00A52585">
        <w:rPr>
          <w:rtl/>
        </w:rPr>
        <w:t>فهو</w:t>
      </w:r>
      <w:r w:rsidRPr="00A52585">
        <w:rPr>
          <w:rFonts w:hint="cs"/>
          <w:rtl/>
        </w:rPr>
        <w:t xml:space="preserve"> </w:t>
      </w:r>
      <w:r w:rsidRPr="00A52585">
        <w:rPr>
          <w:rtl/>
        </w:rPr>
        <w:t>يقول</w:t>
      </w:r>
      <w:r w:rsidR="0002035C" w:rsidRPr="00A52585">
        <w:rPr>
          <w:rtl/>
        </w:rPr>
        <w:t>:</w:t>
      </w:r>
      <w:r w:rsidRPr="00A52585">
        <w:rPr>
          <w:rtl/>
        </w:rPr>
        <w:t xml:space="preserve"> </w:t>
      </w:r>
      <w:r w:rsidR="0002035C" w:rsidRPr="00A52585">
        <w:rPr>
          <w:rtl/>
        </w:rPr>
        <w:t>(</w:t>
      </w:r>
      <w:r w:rsidRPr="00A52585">
        <w:rPr>
          <w:rtl/>
        </w:rPr>
        <w:t>ص 22 ع 26</w:t>
      </w:r>
      <w:r w:rsidR="0002035C" w:rsidRPr="00A52585">
        <w:rPr>
          <w:rtl/>
        </w:rPr>
        <w:t>)</w:t>
      </w:r>
      <w:r w:rsidRPr="00A52585">
        <w:rPr>
          <w:rtl/>
        </w:rPr>
        <w:t xml:space="preserve"> من مجلتهم ما نصه</w:t>
      </w:r>
      <w:r w:rsidR="0002035C" w:rsidRPr="00A52585">
        <w:rPr>
          <w:rtl/>
        </w:rPr>
        <w:t>:</w:t>
      </w:r>
      <w:r w:rsidR="0002035C" w:rsidRPr="00A52585">
        <w:rPr>
          <w:rFonts w:hint="cs"/>
          <w:rtl/>
        </w:rPr>
        <w:t xml:space="preserve"> </w:t>
      </w:r>
      <w:r w:rsidRPr="00A52585">
        <w:rPr>
          <w:rtl/>
        </w:rPr>
        <w:t>" لأى دليل أنكرتم علو</w:t>
      </w:r>
      <w:r w:rsidRPr="00A52585">
        <w:rPr>
          <w:rFonts w:hint="cs"/>
          <w:rtl/>
        </w:rPr>
        <w:t xml:space="preserve"> </w:t>
      </w:r>
      <w:r w:rsidRPr="00A52585">
        <w:rPr>
          <w:rtl/>
        </w:rPr>
        <w:t>الله على</w:t>
      </w:r>
      <w:r w:rsidRPr="00A52585">
        <w:rPr>
          <w:rFonts w:hint="cs"/>
          <w:rtl/>
        </w:rPr>
        <w:t xml:space="preserve"> </w:t>
      </w:r>
      <w:r w:rsidRPr="00A52585">
        <w:rPr>
          <w:rtl/>
        </w:rPr>
        <w:t>خلقه واستوائه على عرشه</w:t>
      </w:r>
      <w:r w:rsidR="00DB731D" w:rsidRPr="00A52585">
        <w:rPr>
          <w:rtl/>
        </w:rPr>
        <w:t>،</w:t>
      </w:r>
      <w:r w:rsidRPr="00A52585">
        <w:rPr>
          <w:rtl/>
        </w:rPr>
        <w:t xml:space="preserve"> أن قلتم بدليل من الكتاب والسنه قلنا</w:t>
      </w:r>
      <w:r w:rsidR="0002035C" w:rsidRPr="00A52585">
        <w:rPr>
          <w:rtl/>
        </w:rPr>
        <w:t>:</w:t>
      </w:r>
      <w:r w:rsidRPr="00A52585">
        <w:rPr>
          <w:rtl/>
        </w:rPr>
        <w:t xml:space="preserve"> - لكم هل تستطيعون أن ترون أيه واحده أو</w:t>
      </w:r>
      <w:r w:rsidRPr="00A52585">
        <w:rPr>
          <w:rFonts w:hint="cs"/>
          <w:rtl/>
        </w:rPr>
        <w:t xml:space="preserve"> </w:t>
      </w:r>
      <w:r w:rsidRPr="00A52585">
        <w:rPr>
          <w:rtl/>
        </w:rPr>
        <w:t>حديثا واحدا قيل فيه</w:t>
      </w:r>
      <w:r w:rsidR="0002035C" w:rsidRPr="00A52585">
        <w:rPr>
          <w:rtl/>
        </w:rPr>
        <w:t>:</w:t>
      </w:r>
      <w:r w:rsidRPr="00A52585">
        <w:rPr>
          <w:rtl/>
        </w:rPr>
        <w:t xml:space="preserve"> لا تعتقدوا أن الله مستو</w:t>
      </w:r>
      <w:r w:rsidRPr="00A52585">
        <w:rPr>
          <w:rFonts w:hint="cs"/>
          <w:rtl/>
        </w:rPr>
        <w:t xml:space="preserve"> </w:t>
      </w:r>
      <w:r w:rsidRPr="00A52585">
        <w:rPr>
          <w:rtl/>
        </w:rPr>
        <w:t>على</w:t>
      </w:r>
      <w:r w:rsidRPr="00A52585">
        <w:rPr>
          <w:rFonts w:hint="cs"/>
          <w:rtl/>
        </w:rPr>
        <w:t xml:space="preserve"> </w:t>
      </w:r>
      <w:r w:rsidRPr="00A52585">
        <w:rPr>
          <w:rtl/>
        </w:rPr>
        <w:t>عرشه</w:t>
      </w:r>
      <w:r w:rsidR="00DB731D" w:rsidRPr="00A52585">
        <w:rPr>
          <w:rtl/>
        </w:rPr>
        <w:t>،</w:t>
      </w:r>
      <w:r w:rsidRPr="00A52585">
        <w:rPr>
          <w:rtl/>
        </w:rPr>
        <w:t xml:space="preserve"> أو</w:t>
      </w:r>
      <w:r w:rsidRPr="00A52585">
        <w:rPr>
          <w:rFonts w:hint="cs"/>
          <w:rtl/>
        </w:rPr>
        <w:t xml:space="preserve"> </w:t>
      </w:r>
      <w:r w:rsidRPr="00A52585">
        <w:rPr>
          <w:rtl/>
        </w:rPr>
        <w:t>قيل فيه يجب عليكم أن تؤولوا هذه النصوص</w:t>
      </w:r>
      <w:r w:rsidR="00DB731D" w:rsidRPr="00A52585">
        <w:rPr>
          <w:rtl/>
        </w:rPr>
        <w:t>،</w:t>
      </w:r>
      <w:r w:rsidRPr="00A52585">
        <w:rPr>
          <w:rtl/>
        </w:rPr>
        <w:t xml:space="preserve"> أن تصرفوها عما يبدوا منها</w:t>
      </w:r>
      <w:r w:rsidR="00DB731D" w:rsidRPr="00A52585">
        <w:rPr>
          <w:rtl/>
        </w:rPr>
        <w:t>،</w:t>
      </w:r>
      <w:r w:rsidRPr="00A52585">
        <w:rPr>
          <w:rtl/>
        </w:rPr>
        <w:t xml:space="preserve"> لان اعتقاده كفر وضلال</w:t>
      </w:r>
      <w:r w:rsidR="00F95886" w:rsidRPr="00A52585">
        <w:rPr>
          <w:rtl/>
        </w:rPr>
        <w:t>!</w:t>
      </w:r>
      <w:r w:rsidRPr="00A52585">
        <w:rPr>
          <w:rtl/>
        </w:rPr>
        <w:t xml:space="preserve"> "</w:t>
      </w:r>
      <w:r w:rsidRPr="00A52585">
        <w:rPr>
          <w:rFonts w:hint="cs"/>
          <w:rtl/>
        </w:rPr>
        <w:t xml:space="preserve"> </w:t>
      </w:r>
      <w:r w:rsidRPr="00A52585">
        <w:rPr>
          <w:rtl/>
        </w:rPr>
        <w:t xml:space="preserve">أقول </w:t>
      </w:r>
      <w:proofErr w:type="gramStart"/>
      <w:r w:rsidRPr="00A52585">
        <w:rPr>
          <w:rtl/>
        </w:rPr>
        <w:t>أن</w:t>
      </w:r>
      <w:proofErr w:type="gramEnd"/>
      <w:r w:rsidRPr="00A52585">
        <w:rPr>
          <w:rtl/>
        </w:rPr>
        <w:t xml:space="preserve"> هذا القول مواربات ومغالطات هي</w:t>
      </w:r>
      <w:r w:rsidR="0002035C" w:rsidRPr="00A52585">
        <w:rPr>
          <w:rtl/>
        </w:rPr>
        <w:t>:</w:t>
      </w:r>
      <w:r w:rsidRPr="00A52585">
        <w:rPr>
          <w:rFonts w:hint="cs"/>
          <w:rtl/>
        </w:rPr>
        <w:t xml:space="preserve"> </w:t>
      </w:r>
      <w:r w:rsidRPr="00A52585">
        <w:rPr>
          <w:rtl/>
        </w:rPr>
        <w:t>اننا لا نكر علو</w:t>
      </w:r>
      <w:r w:rsidRPr="00A52585">
        <w:rPr>
          <w:rFonts w:hint="cs"/>
          <w:rtl/>
        </w:rPr>
        <w:t xml:space="preserve"> </w:t>
      </w:r>
      <w:r w:rsidRPr="00A52585">
        <w:rPr>
          <w:rtl/>
        </w:rPr>
        <w:t xml:space="preserve">الله </w:t>
      </w:r>
      <w:proofErr w:type="spellStart"/>
      <w:r w:rsidRPr="00A52585">
        <w:rPr>
          <w:rtl/>
        </w:rPr>
        <w:t>المعنوى</w:t>
      </w:r>
      <w:proofErr w:type="spellEnd"/>
      <w:r w:rsidR="00DB731D" w:rsidRPr="00A52585">
        <w:rPr>
          <w:rtl/>
        </w:rPr>
        <w:t>،</w:t>
      </w:r>
      <w:r w:rsidRPr="00A52585">
        <w:rPr>
          <w:rtl/>
        </w:rPr>
        <w:t xml:space="preserve"> أما العلو</w:t>
      </w:r>
      <w:r w:rsidRPr="00A52585">
        <w:rPr>
          <w:rFonts w:hint="cs"/>
          <w:rtl/>
        </w:rPr>
        <w:t xml:space="preserve"> </w:t>
      </w:r>
      <w:proofErr w:type="spellStart"/>
      <w:r w:rsidRPr="00A52585">
        <w:rPr>
          <w:rtl/>
        </w:rPr>
        <w:t>المكانى</w:t>
      </w:r>
      <w:proofErr w:type="spellEnd"/>
      <w:r w:rsidRPr="00A52585">
        <w:rPr>
          <w:rtl/>
        </w:rPr>
        <w:t xml:space="preserve"> الخاص </w:t>
      </w:r>
      <w:proofErr w:type="spellStart"/>
      <w:r w:rsidRPr="00A52585">
        <w:rPr>
          <w:rtl/>
        </w:rPr>
        <w:t>بالاجسام</w:t>
      </w:r>
      <w:proofErr w:type="spellEnd"/>
      <w:r w:rsidR="00DB731D" w:rsidRPr="00A52585">
        <w:rPr>
          <w:rtl/>
        </w:rPr>
        <w:t>،</w:t>
      </w:r>
      <w:r w:rsidRPr="00A52585">
        <w:rPr>
          <w:rtl/>
        </w:rPr>
        <w:t xml:space="preserve"> والمسافات فهذا هو الذى ننكره تنزيها لله عنه </w:t>
      </w:r>
      <w:proofErr w:type="spellStart"/>
      <w:r w:rsidRPr="00A52585">
        <w:rPr>
          <w:rtl/>
        </w:rPr>
        <w:t>لانه</w:t>
      </w:r>
      <w:proofErr w:type="spellEnd"/>
      <w:r w:rsidRPr="00A52585">
        <w:rPr>
          <w:rtl/>
        </w:rPr>
        <w:t xml:space="preserve"> من صفات المخلوقات ولم يرد في القرآن ولا في الحديث ما يثبت </w:t>
      </w:r>
      <w:proofErr w:type="spellStart"/>
      <w:r w:rsidRPr="00A52585">
        <w:rPr>
          <w:rtl/>
        </w:rPr>
        <w:t>العلوالمكانى</w:t>
      </w:r>
      <w:proofErr w:type="spellEnd"/>
      <w:r w:rsidR="00DB731D" w:rsidRPr="00A52585">
        <w:rPr>
          <w:rtl/>
        </w:rPr>
        <w:t>،</w:t>
      </w:r>
      <w:r w:rsidRPr="00A52585">
        <w:rPr>
          <w:rtl/>
        </w:rPr>
        <w:t xml:space="preserve"> والاستواء </w:t>
      </w:r>
      <w:proofErr w:type="spellStart"/>
      <w:r w:rsidRPr="00A52585">
        <w:rPr>
          <w:rtl/>
        </w:rPr>
        <w:t>الحقيقى</w:t>
      </w:r>
      <w:proofErr w:type="spellEnd"/>
      <w:r w:rsidR="00DB731D" w:rsidRPr="00A52585">
        <w:rPr>
          <w:rtl/>
        </w:rPr>
        <w:t>،</w:t>
      </w:r>
      <w:r w:rsidRPr="00A52585">
        <w:rPr>
          <w:rtl/>
        </w:rPr>
        <w:t xml:space="preserve"> وهذا هو محل النزاع بيننا وبينكم</w:t>
      </w:r>
      <w:r w:rsidR="00DB731D" w:rsidRPr="00A52585">
        <w:rPr>
          <w:rtl/>
        </w:rPr>
        <w:t>،</w:t>
      </w:r>
      <w:r w:rsidRPr="00A52585">
        <w:rPr>
          <w:rtl/>
        </w:rPr>
        <w:t xml:space="preserve"> فأن كان </w:t>
      </w:r>
      <w:proofErr w:type="spellStart"/>
      <w:r w:rsidRPr="00A52585">
        <w:rPr>
          <w:rtl/>
        </w:rPr>
        <w:t>القصيمى</w:t>
      </w:r>
      <w:proofErr w:type="spellEnd"/>
      <w:r w:rsidRPr="00A52585">
        <w:rPr>
          <w:rtl/>
        </w:rPr>
        <w:t xml:space="preserve"> يعلم نصا صريحا </w:t>
      </w:r>
      <w:proofErr w:type="spellStart"/>
      <w:r w:rsidRPr="00A52585">
        <w:rPr>
          <w:rtl/>
        </w:rPr>
        <w:t>أودليلا</w:t>
      </w:r>
      <w:proofErr w:type="spellEnd"/>
      <w:r w:rsidRPr="00A52585">
        <w:rPr>
          <w:rtl/>
        </w:rPr>
        <w:t xml:space="preserve"> صحيحا يثبت مدعاه فليخبرنا به وانا نتحداه بذلك</w:t>
      </w:r>
      <w:r w:rsidR="00DB731D" w:rsidRPr="00A52585">
        <w:rPr>
          <w:rtl/>
        </w:rPr>
        <w:t>،</w:t>
      </w:r>
      <w:r w:rsidRPr="00A52585">
        <w:rPr>
          <w:rFonts w:hint="cs"/>
          <w:rtl/>
        </w:rPr>
        <w:t xml:space="preserve"> </w:t>
      </w:r>
      <w:r w:rsidRPr="00A52585">
        <w:rPr>
          <w:rtl/>
        </w:rPr>
        <w:t>أن العلو</w:t>
      </w:r>
      <w:r w:rsidRPr="00A52585">
        <w:rPr>
          <w:rFonts w:hint="cs"/>
          <w:rtl/>
        </w:rPr>
        <w:t xml:space="preserve"> </w:t>
      </w:r>
      <w:proofErr w:type="spellStart"/>
      <w:r w:rsidRPr="00A52585">
        <w:rPr>
          <w:rtl/>
        </w:rPr>
        <w:t>المعنوى</w:t>
      </w:r>
      <w:proofErr w:type="spellEnd"/>
      <w:r w:rsidRPr="00A52585">
        <w:rPr>
          <w:rtl/>
        </w:rPr>
        <w:t xml:space="preserve"> الذى نؤمن به هو المفهوم من قوله تعالى ? وهو العلى العظيم ? </w:t>
      </w:r>
      <w:proofErr w:type="spellStart"/>
      <w:r w:rsidRPr="00A52585">
        <w:rPr>
          <w:rtl/>
        </w:rPr>
        <w:t>أى</w:t>
      </w:r>
      <w:proofErr w:type="spellEnd"/>
      <w:r w:rsidRPr="00A52585">
        <w:rPr>
          <w:rtl/>
        </w:rPr>
        <w:t xml:space="preserve"> علو</w:t>
      </w:r>
      <w:r w:rsidRPr="00A52585">
        <w:rPr>
          <w:rFonts w:hint="cs"/>
          <w:rtl/>
        </w:rPr>
        <w:t xml:space="preserve"> </w:t>
      </w:r>
      <w:r w:rsidRPr="00A52585">
        <w:rPr>
          <w:rtl/>
        </w:rPr>
        <w:t xml:space="preserve">العظمة </w:t>
      </w:r>
      <w:proofErr w:type="spellStart"/>
      <w:r w:rsidRPr="00A52585">
        <w:rPr>
          <w:rtl/>
        </w:rPr>
        <w:t>فهومعنوى</w:t>
      </w:r>
      <w:proofErr w:type="spellEnd"/>
      <w:r w:rsidR="00DB731D" w:rsidRPr="00A52585">
        <w:rPr>
          <w:rtl/>
        </w:rPr>
        <w:t>،</w:t>
      </w:r>
      <w:r w:rsidRPr="00A52585">
        <w:rPr>
          <w:rtl/>
        </w:rPr>
        <w:t xml:space="preserve"> والمفهوم من قوله تعالى ? أنه على حكيم ? </w:t>
      </w:r>
      <w:proofErr w:type="spellStart"/>
      <w:r w:rsidRPr="00A52585">
        <w:rPr>
          <w:rtl/>
        </w:rPr>
        <w:t>أى</w:t>
      </w:r>
      <w:proofErr w:type="spellEnd"/>
      <w:r w:rsidRPr="00A52585">
        <w:rPr>
          <w:rtl/>
        </w:rPr>
        <w:t xml:space="preserve"> </w:t>
      </w:r>
      <w:proofErr w:type="spellStart"/>
      <w:r w:rsidRPr="00A52585">
        <w:rPr>
          <w:rtl/>
        </w:rPr>
        <w:t>علوحكمه</w:t>
      </w:r>
      <w:proofErr w:type="spellEnd"/>
      <w:r w:rsidRPr="00A52585">
        <w:rPr>
          <w:rtl/>
        </w:rPr>
        <w:t xml:space="preserve"> وهو </w:t>
      </w:r>
      <w:proofErr w:type="spellStart"/>
      <w:r w:rsidRPr="00A52585">
        <w:rPr>
          <w:rtl/>
        </w:rPr>
        <w:t>معنوى</w:t>
      </w:r>
      <w:proofErr w:type="spellEnd"/>
      <w:r w:rsidR="00DB731D" w:rsidRPr="00A52585">
        <w:rPr>
          <w:rtl/>
        </w:rPr>
        <w:t>،</w:t>
      </w:r>
      <w:r w:rsidRPr="00A52585">
        <w:rPr>
          <w:rtl/>
        </w:rPr>
        <w:t xml:space="preserve"> ومن قوله تعالى</w:t>
      </w:r>
      <w:r w:rsidR="0002035C" w:rsidRPr="00A52585">
        <w:rPr>
          <w:rtl/>
        </w:rPr>
        <w:t>:</w:t>
      </w:r>
      <w:r w:rsidRPr="00A52585">
        <w:rPr>
          <w:rtl/>
        </w:rPr>
        <w:t xml:space="preserve"> ? وهو القاهر فوق عباده? </w:t>
      </w:r>
      <w:proofErr w:type="spellStart"/>
      <w:r w:rsidRPr="00A52585">
        <w:rPr>
          <w:rtl/>
        </w:rPr>
        <w:t>أى</w:t>
      </w:r>
      <w:proofErr w:type="spellEnd"/>
      <w:r w:rsidRPr="00A52585">
        <w:rPr>
          <w:rtl/>
        </w:rPr>
        <w:t xml:space="preserve"> فوقيه قهر</w:t>
      </w:r>
      <w:r w:rsidR="00DB731D" w:rsidRPr="00A52585">
        <w:rPr>
          <w:rtl/>
        </w:rPr>
        <w:t>،</w:t>
      </w:r>
      <w:r w:rsidRPr="00A52585">
        <w:rPr>
          <w:rtl/>
        </w:rPr>
        <w:t xml:space="preserve"> قهر </w:t>
      </w:r>
      <w:proofErr w:type="spellStart"/>
      <w:r w:rsidRPr="00A52585">
        <w:rPr>
          <w:rtl/>
        </w:rPr>
        <w:t>معنوى</w:t>
      </w:r>
      <w:proofErr w:type="spellEnd"/>
      <w:r w:rsidR="00DB731D" w:rsidRPr="00A52585">
        <w:rPr>
          <w:rtl/>
        </w:rPr>
        <w:t>،</w:t>
      </w:r>
      <w:r w:rsidRPr="00A52585">
        <w:rPr>
          <w:rFonts w:hint="cs"/>
          <w:rtl/>
        </w:rPr>
        <w:t xml:space="preserve"> </w:t>
      </w:r>
      <w:r w:rsidRPr="00A52585">
        <w:rPr>
          <w:rtl/>
        </w:rPr>
        <w:t xml:space="preserve">جـ- اننا نؤمن بالمعنى </w:t>
      </w:r>
      <w:proofErr w:type="spellStart"/>
      <w:r w:rsidRPr="00A52585">
        <w:rPr>
          <w:rtl/>
        </w:rPr>
        <w:t>الحقيقى</w:t>
      </w:r>
      <w:proofErr w:type="spellEnd"/>
      <w:r w:rsidRPr="00A52585">
        <w:rPr>
          <w:rtl/>
        </w:rPr>
        <w:t xml:space="preserve"> </w:t>
      </w:r>
      <w:proofErr w:type="spellStart"/>
      <w:r w:rsidRPr="00A52585">
        <w:rPr>
          <w:rtl/>
        </w:rPr>
        <w:t>المتمشى</w:t>
      </w:r>
      <w:proofErr w:type="spellEnd"/>
      <w:r w:rsidRPr="00A52585">
        <w:rPr>
          <w:rtl/>
        </w:rPr>
        <w:t xml:space="preserve"> مع التنزيه لجمله</w:t>
      </w:r>
      <w:r w:rsidR="0002035C" w:rsidRPr="00A52585">
        <w:rPr>
          <w:rtl/>
        </w:rPr>
        <w:t>:</w:t>
      </w:r>
      <w:r w:rsidRPr="00A52585">
        <w:rPr>
          <w:rtl/>
        </w:rPr>
        <w:t xml:space="preserve"> ? ثم استوى على العرش ? المذكورة ضمن </w:t>
      </w:r>
      <w:proofErr w:type="spellStart"/>
      <w:r w:rsidRPr="00A52585">
        <w:rPr>
          <w:rtl/>
        </w:rPr>
        <w:t>الايات</w:t>
      </w:r>
      <w:proofErr w:type="spellEnd"/>
      <w:r w:rsidRPr="00A52585">
        <w:rPr>
          <w:rtl/>
        </w:rPr>
        <w:t xml:space="preserve"> العظيمة </w:t>
      </w:r>
      <w:proofErr w:type="spellStart"/>
      <w:r w:rsidRPr="00A52585">
        <w:rPr>
          <w:rtl/>
        </w:rPr>
        <w:t>السبعه</w:t>
      </w:r>
      <w:proofErr w:type="spellEnd"/>
      <w:r w:rsidRPr="00A52585">
        <w:rPr>
          <w:rtl/>
        </w:rPr>
        <w:t xml:space="preserve"> التي منها</w:t>
      </w:r>
      <w:r w:rsidR="0002035C" w:rsidRPr="00A52585">
        <w:rPr>
          <w:rtl/>
        </w:rPr>
        <w:t>:</w:t>
      </w:r>
      <w:r w:rsidRPr="00A52585">
        <w:rPr>
          <w:rtl/>
        </w:rPr>
        <w:t xml:space="preserve"> قوله تعالى</w:t>
      </w:r>
      <w:r w:rsidR="0002035C" w:rsidRPr="00A52585">
        <w:rPr>
          <w:rtl/>
        </w:rPr>
        <w:t>:</w:t>
      </w:r>
      <w:r w:rsidRPr="00A52585">
        <w:rPr>
          <w:rtl/>
        </w:rPr>
        <w:t xml:space="preserve"> ? أن ربكم الله </w:t>
      </w:r>
      <w:proofErr w:type="gramStart"/>
      <w:r w:rsidRPr="00A52585">
        <w:rPr>
          <w:rtl/>
        </w:rPr>
        <w:t>الذى</w:t>
      </w:r>
      <w:proofErr w:type="gramEnd"/>
      <w:r w:rsidRPr="00A52585">
        <w:rPr>
          <w:rtl/>
        </w:rPr>
        <w:t xml:space="preserve"> خلق السموات والارض في سته ايام ثم استوى على العرش يغشى اليل النهار يطلبه حثيثا والشمس والقمر والنجوم مسخرات بأمره إلا له الخلق والأمر تبارك الله رب العالمين (54) ? وذلك المعنى هو المطابق لسياق </w:t>
      </w:r>
      <w:proofErr w:type="spellStart"/>
      <w:r w:rsidRPr="00A52585">
        <w:rPr>
          <w:rtl/>
        </w:rPr>
        <w:t>الايه</w:t>
      </w:r>
      <w:proofErr w:type="spellEnd"/>
      <w:r w:rsidR="00DB731D" w:rsidRPr="00A52585">
        <w:rPr>
          <w:rtl/>
        </w:rPr>
        <w:t>،</w:t>
      </w:r>
      <w:r w:rsidRPr="00A52585">
        <w:rPr>
          <w:rtl/>
        </w:rPr>
        <w:t xml:space="preserve"> ولقوله تعالى</w:t>
      </w:r>
      <w:r w:rsidR="0002035C" w:rsidRPr="00A52585">
        <w:rPr>
          <w:rtl/>
        </w:rPr>
        <w:t>:</w:t>
      </w:r>
      <w:r w:rsidRPr="00A52585">
        <w:rPr>
          <w:rtl/>
        </w:rPr>
        <w:t xml:space="preserve"> ? ليس كمثله </w:t>
      </w:r>
      <w:proofErr w:type="spellStart"/>
      <w:r w:rsidRPr="00A52585">
        <w:rPr>
          <w:rtl/>
        </w:rPr>
        <w:t>شئ</w:t>
      </w:r>
      <w:proofErr w:type="spellEnd"/>
      <w:r w:rsidRPr="00A52585">
        <w:rPr>
          <w:rtl/>
        </w:rPr>
        <w:t xml:space="preserve"> ? وهو الذى يفهم منها وهو مندرجه ضمن </w:t>
      </w:r>
      <w:proofErr w:type="spellStart"/>
      <w:r w:rsidRPr="00A52585">
        <w:rPr>
          <w:rtl/>
        </w:rPr>
        <w:t>الايه</w:t>
      </w:r>
      <w:proofErr w:type="spellEnd"/>
      <w:r w:rsidRPr="00A52585">
        <w:rPr>
          <w:rtl/>
        </w:rPr>
        <w:t xml:space="preserve"> العظيمة</w:t>
      </w:r>
      <w:r w:rsidR="00DB731D" w:rsidRPr="00A52585">
        <w:rPr>
          <w:rtl/>
        </w:rPr>
        <w:t>،</w:t>
      </w:r>
      <w:r w:rsidRPr="00A52585">
        <w:rPr>
          <w:rtl/>
        </w:rPr>
        <w:t xml:space="preserve"> مع ملاحظة القيود الملازمة لها وهى</w:t>
      </w:r>
      <w:r w:rsidR="0002035C" w:rsidRPr="00A52585">
        <w:rPr>
          <w:rtl/>
        </w:rPr>
        <w:t>:</w:t>
      </w:r>
      <w:r w:rsidR="0002035C" w:rsidRPr="00A52585">
        <w:rPr>
          <w:rFonts w:hint="cs"/>
          <w:rtl/>
        </w:rPr>
        <w:t xml:space="preserve"> </w:t>
      </w:r>
      <w:r w:rsidRPr="00A52585">
        <w:rPr>
          <w:rtl/>
        </w:rPr>
        <w:t xml:space="preserve">ان </w:t>
      </w:r>
      <w:r w:rsidR="0002035C" w:rsidRPr="00A52585">
        <w:rPr>
          <w:rtl/>
        </w:rPr>
        <w:t>(</w:t>
      </w:r>
      <w:r w:rsidRPr="00A52585">
        <w:rPr>
          <w:rtl/>
        </w:rPr>
        <w:t>استوى</w:t>
      </w:r>
      <w:r w:rsidR="0002035C" w:rsidRPr="00A52585">
        <w:rPr>
          <w:rtl/>
        </w:rPr>
        <w:t>)</w:t>
      </w:r>
      <w:r w:rsidRPr="00A52585">
        <w:rPr>
          <w:rtl/>
        </w:rPr>
        <w:t xml:space="preserve"> فعل </w:t>
      </w:r>
      <w:proofErr w:type="spellStart"/>
      <w:r w:rsidRPr="00A52585">
        <w:rPr>
          <w:rtl/>
        </w:rPr>
        <w:t>ماضى</w:t>
      </w:r>
      <w:proofErr w:type="spellEnd"/>
      <w:r w:rsidRPr="00A52585">
        <w:rPr>
          <w:rtl/>
        </w:rPr>
        <w:t xml:space="preserve"> معطوف عل </w:t>
      </w:r>
      <w:proofErr w:type="spellStart"/>
      <w:r w:rsidRPr="00A52585">
        <w:rPr>
          <w:rtl/>
        </w:rPr>
        <w:t>ىالفعل</w:t>
      </w:r>
      <w:proofErr w:type="spellEnd"/>
      <w:r w:rsidRPr="00A52585">
        <w:rPr>
          <w:rtl/>
        </w:rPr>
        <w:t xml:space="preserve"> </w:t>
      </w:r>
      <w:proofErr w:type="spellStart"/>
      <w:r w:rsidRPr="00A52585">
        <w:rPr>
          <w:rtl/>
        </w:rPr>
        <w:t>الماضى</w:t>
      </w:r>
      <w:proofErr w:type="spellEnd"/>
      <w:r w:rsidRPr="00A52585">
        <w:rPr>
          <w:rtl/>
        </w:rPr>
        <w:t xml:space="preserve"> </w:t>
      </w:r>
      <w:r w:rsidR="0002035C" w:rsidRPr="00A52585">
        <w:rPr>
          <w:rtl/>
        </w:rPr>
        <w:t>(</w:t>
      </w:r>
      <w:r w:rsidRPr="00A52585">
        <w:rPr>
          <w:rtl/>
        </w:rPr>
        <w:t>خلق</w:t>
      </w:r>
      <w:r w:rsidR="0002035C" w:rsidRPr="00A52585">
        <w:rPr>
          <w:rtl/>
        </w:rPr>
        <w:t>)</w:t>
      </w:r>
      <w:r w:rsidRPr="00A52585">
        <w:rPr>
          <w:rtl/>
        </w:rPr>
        <w:t xml:space="preserve"> بحرف </w:t>
      </w:r>
      <w:r w:rsidR="0002035C" w:rsidRPr="00A52585">
        <w:rPr>
          <w:rtl/>
        </w:rPr>
        <w:t>(</w:t>
      </w:r>
      <w:r w:rsidRPr="00A52585">
        <w:rPr>
          <w:rtl/>
        </w:rPr>
        <w:t>ثم</w:t>
      </w:r>
      <w:r w:rsidR="0002035C" w:rsidRPr="00A52585">
        <w:rPr>
          <w:rtl/>
        </w:rPr>
        <w:t>)</w:t>
      </w:r>
      <w:r w:rsidRPr="00A52585">
        <w:rPr>
          <w:rtl/>
        </w:rPr>
        <w:t xml:space="preserve"> الدال على الترتيب وحيث ان خلق فعل حادث فاستوى كذلك فعل حادث فإذن لا يكون </w:t>
      </w:r>
      <w:r w:rsidR="0002035C" w:rsidRPr="00A52585">
        <w:rPr>
          <w:rtl/>
        </w:rPr>
        <w:t>(</w:t>
      </w:r>
      <w:r w:rsidRPr="00A52585">
        <w:rPr>
          <w:rtl/>
        </w:rPr>
        <w:t>استوى</w:t>
      </w:r>
      <w:r w:rsidR="0002035C" w:rsidRPr="00A52585">
        <w:rPr>
          <w:rtl/>
        </w:rPr>
        <w:t>)</w:t>
      </w:r>
      <w:r w:rsidRPr="00A52585">
        <w:rPr>
          <w:rtl/>
        </w:rPr>
        <w:t xml:space="preserve"> صفه ذاتيه قائمة بالله تعالى</w:t>
      </w:r>
      <w:r w:rsidR="00DB731D" w:rsidRPr="00A52585">
        <w:rPr>
          <w:rtl/>
        </w:rPr>
        <w:t>،</w:t>
      </w:r>
      <w:r w:rsidRPr="00A52585">
        <w:rPr>
          <w:rtl/>
        </w:rPr>
        <w:t xml:space="preserve"> لان القديم لا يوصف بالحوادث</w:t>
      </w:r>
      <w:r w:rsidR="00DB731D" w:rsidRPr="00A52585">
        <w:rPr>
          <w:rFonts w:hint="cs"/>
          <w:rtl/>
        </w:rPr>
        <w:t>،</w:t>
      </w:r>
      <w:r w:rsidRPr="00A52585">
        <w:rPr>
          <w:rFonts w:hint="cs"/>
          <w:rtl/>
        </w:rPr>
        <w:t xml:space="preserve"> </w:t>
      </w:r>
      <w:r w:rsidRPr="00A52585">
        <w:rPr>
          <w:rtl/>
        </w:rPr>
        <w:t xml:space="preserve">ان </w:t>
      </w:r>
      <w:r w:rsidR="0002035C" w:rsidRPr="00A52585">
        <w:rPr>
          <w:rtl/>
        </w:rPr>
        <w:t>(</w:t>
      </w:r>
      <w:r w:rsidRPr="00A52585">
        <w:rPr>
          <w:rtl/>
        </w:rPr>
        <w:t>استوى</w:t>
      </w:r>
      <w:r w:rsidR="0002035C" w:rsidRPr="00A52585">
        <w:rPr>
          <w:rtl/>
        </w:rPr>
        <w:t>)</w:t>
      </w:r>
      <w:r w:rsidRPr="00A52585">
        <w:rPr>
          <w:rtl/>
        </w:rPr>
        <w:t xml:space="preserve"> ملازما دائما للفعل </w:t>
      </w:r>
      <w:r w:rsidR="0002035C" w:rsidRPr="00A52585">
        <w:rPr>
          <w:rtl/>
        </w:rPr>
        <w:t>(</w:t>
      </w:r>
      <w:r w:rsidRPr="00A52585">
        <w:rPr>
          <w:rtl/>
        </w:rPr>
        <w:t>خلق</w:t>
      </w:r>
      <w:r w:rsidR="0002035C" w:rsidRPr="00A52585">
        <w:rPr>
          <w:rtl/>
        </w:rPr>
        <w:t>)</w:t>
      </w:r>
      <w:r w:rsidRPr="00A52585">
        <w:rPr>
          <w:rtl/>
        </w:rPr>
        <w:t xml:space="preserve"> في جميع </w:t>
      </w:r>
      <w:proofErr w:type="spellStart"/>
      <w:r w:rsidRPr="00A52585">
        <w:rPr>
          <w:rtl/>
        </w:rPr>
        <w:lastRenderedPageBreak/>
        <w:t>الايات</w:t>
      </w:r>
      <w:proofErr w:type="spellEnd"/>
      <w:r w:rsidRPr="00A52585">
        <w:rPr>
          <w:rtl/>
        </w:rPr>
        <w:t xml:space="preserve"> التي ذكر فيها فلابد ان يكون هناك ارتباط بين معنييهما ومناسبه تامه بينهما</w:t>
      </w:r>
      <w:r w:rsidR="00DB731D" w:rsidRPr="00A52585">
        <w:rPr>
          <w:rtl/>
        </w:rPr>
        <w:t>،</w:t>
      </w:r>
      <w:r w:rsidRPr="00A52585">
        <w:rPr>
          <w:rFonts w:hint="cs"/>
          <w:rtl/>
        </w:rPr>
        <w:t xml:space="preserve"> </w:t>
      </w:r>
      <w:r w:rsidRPr="00A52585">
        <w:rPr>
          <w:rtl/>
        </w:rPr>
        <w:t xml:space="preserve">وحيث إن خلق السموات والأرض تمجيد للقدرة </w:t>
      </w:r>
      <w:proofErr w:type="spellStart"/>
      <w:r w:rsidRPr="00A52585">
        <w:rPr>
          <w:rtl/>
        </w:rPr>
        <w:t>الإلهيه</w:t>
      </w:r>
      <w:proofErr w:type="spellEnd"/>
      <w:r w:rsidR="00DB731D" w:rsidRPr="00A52585">
        <w:rPr>
          <w:rtl/>
        </w:rPr>
        <w:t>،</w:t>
      </w:r>
      <w:r w:rsidRPr="00A52585">
        <w:rPr>
          <w:rtl/>
        </w:rPr>
        <w:t xml:space="preserve"> وإغشاء اليل والنهار</w:t>
      </w:r>
      <w:r w:rsidR="00DB731D" w:rsidRPr="00A52585">
        <w:rPr>
          <w:rtl/>
        </w:rPr>
        <w:t>،</w:t>
      </w:r>
      <w:r w:rsidRPr="00A52585">
        <w:rPr>
          <w:rtl/>
        </w:rPr>
        <w:t xml:space="preserve"> وتسخير الشمس والقمر والنجوم تمجيد للإرادة الإلهية والعلم</w:t>
      </w:r>
      <w:r w:rsidR="00DB731D" w:rsidRPr="00A52585">
        <w:rPr>
          <w:rtl/>
        </w:rPr>
        <w:t>،</w:t>
      </w:r>
      <w:r w:rsidRPr="00A52585">
        <w:rPr>
          <w:rtl/>
        </w:rPr>
        <w:t xml:space="preserve"> فما توسط بينهما وهو ? ثم استوى على العرش ? لابد أن يكون مناسباً للتمجيدين المذكورين</w:t>
      </w:r>
      <w:r w:rsidR="00DB731D" w:rsidRPr="00A52585">
        <w:rPr>
          <w:rtl/>
        </w:rPr>
        <w:t>،</w:t>
      </w:r>
      <w:r w:rsidRPr="00A52585">
        <w:rPr>
          <w:rFonts w:hint="cs"/>
          <w:rtl/>
        </w:rPr>
        <w:t xml:space="preserve"> </w:t>
      </w:r>
      <w:r w:rsidRPr="00A52585">
        <w:rPr>
          <w:rtl/>
        </w:rPr>
        <w:t xml:space="preserve">إن الجملة </w:t>
      </w:r>
      <w:r w:rsidR="0002035C" w:rsidRPr="00A52585">
        <w:rPr>
          <w:rtl/>
        </w:rPr>
        <w:t>(</w:t>
      </w:r>
      <w:r w:rsidRPr="00A52585">
        <w:rPr>
          <w:rtl/>
        </w:rPr>
        <w:t>استوى على العرش</w:t>
      </w:r>
      <w:r w:rsidR="0002035C" w:rsidRPr="00A52585">
        <w:rPr>
          <w:rtl/>
        </w:rPr>
        <w:t>)</w:t>
      </w:r>
      <w:r w:rsidRPr="00A52585">
        <w:rPr>
          <w:rtl/>
        </w:rPr>
        <w:t xml:space="preserve"> يعبر بمثلها في اللغة كناية عن الملك</w:t>
      </w:r>
      <w:r w:rsidR="00DB731D" w:rsidRPr="00A52585">
        <w:rPr>
          <w:rtl/>
        </w:rPr>
        <w:t>،</w:t>
      </w:r>
      <w:r w:rsidRPr="00A52585">
        <w:rPr>
          <w:rtl/>
        </w:rPr>
        <w:t xml:space="preserve"> والتصرف</w:t>
      </w:r>
      <w:r w:rsidR="00DB731D" w:rsidRPr="00A52585">
        <w:rPr>
          <w:rtl/>
        </w:rPr>
        <w:t>،</w:t>
      </w:r>
      <w:r w:rsidRPr="00A52585">
        <w:rPr>
          <w:rtl/>
        </w:rPr>
        <w:t xml:space="preserve"> فيقال</w:t>
      </w:r>
      <w:r w:rsidR="0002035C" w:rsidRPr="00A52585">
        <w:rPr>
          <w:rtl/>
        </w:rPr>
        <w:t>:</w:t>
      </w:r>
      <w:r w:rsidRPr="00A52585">
        <w:rPr>
          <w:rtl/>
        </w:rPr>
        <w:t xml:space="preserve"> </w:t>
      </w:r>
      <w:r w:rsidR="0002035C" w:rsidRPr="00A52585">
        <w:rPr>
          <w:rtl/>
        </w:rPr>
        <w:t>(</w:t>
      </w:r>
      <w:r w:rsidRPr="00A52585">
        <w:rPr>
          <w:rtl/>
        </w:rPr>
        <w:t>استوى فلان على سرير الملك</w:t>
      </w:r>
      <w:r w:rsidR="0002035C" w:rsidRPr="00A52585">
        <w:rPr>
          <w:rtl/>
        </w:rPr>
        <w:t>)</w:t>
      </w:r>
      <w:r w:rsidRPr="00A52585">
        <w:rPr>
          <w:rtl/>
        </w:rPr>
        <w:t xml:space="preserve"> </w:t>
      </w:r>
      <w:proofErr w:type="spellStart"/>
      <w:r w:rsidRPr="00A52585">
        <w:rPr>
          <w:rtl/>
        </w:rPr>
        <w:t>كمناية</w:t>
      </w:r>
      <w:proofErr w:type="spellEnd"/>
      <w:r w:rsidRPr="00A52585">
        <w:rPr>
          <w:rtl/>
        </w:rPr>
        <w:t xml:space="preserve"> عن التملك وإن لم يكن هناك سرير</w:t>
      </w:r>
      <w:r w:rsidR="0002035C" w:rsidRPr="00A52585">
        <w:rPr>
          <w:rtl/>
        </w:rPr>
        <w:t xml:space="preserve"> </w:t>
      </w:r>
      <w:r w:rsidRPr="00A52585">
        <w:rPr>
          <w:rtl/>
        </w:rPr>
        <w:t>-</w:t>
      </w:r>
      <w:r w:rsidR="0002035C" w:rsidRPr="00A52585">
        <w:rPr>
          <w:rtl/>
        </w:rPr>
        <w:t xml:space="preserve"> </w:t>
      </w:r>
      <w:r w:rsidRPr="00A52585">
        <w:rPr>
          <w:rtl/>
        </w:rPr>
        <w:t>انظر المصباح المنير وغيره</w:t>
      </w:r>
      <w:r w:rsidR="0002035C" w:rsidRPr="00A52585">
        <w:rPr>
          <w:rtl/>
        </w:rPr>
        <w:t xml:space="preserve"> </w:t>
      </w:r>
      <w:r w:rsidRPr="00A52585">
        <w:rPr>
          <w:rtl/>
        </w:rPr>
        <w:t>-</w:t>
      </w:r>
      <w:r w:rsidR="0002035C" w:rsidRPr="00A52585">
        <w:rPr>
          <w:rtl/>
        </w:rPr>
        <w:t xml:space="preserve"> </w:t>
      </w:r>
      <w:r w:rsidRPr="00A52585">
        <w:rPr>
          <w:rtl/>
        </w:rPr>
        <w:t xml:space="preserve">وإذن يوجد في اللغة ما يسوغ فهمها بمعنى الكناية عن تصرفه تعالى في </w:t>
      </w:r>
      <w:proofErr w:type="gramStart"/>
      <w:r w:rsidRPr="00A52585">
        <w:rPr>
          <w:rtl/>
        </w:rPr>
        <w:t>السموات</w:t>
      </w:r>
      <w:proofErr w:type="gramEnd"/>
      <w:r w:rsidRPr="00A52585">
        <w:rPr>
          <w:rtl/>
        </w:rPr>
        <w:t xml:space="preserve"> وتسخيرها بعد أن خلقها</w:t>
      </w:r>
      <w:r w:rsidR="00DB731D" w:rsidRPr="00A52585">
        <w:rPr>
          <w:rtl/>
        </w:rPr>
        <w:t>،</w:t>
      </w:r>
      <w:r w:rsidRPr="00A52585">
        <w:rPr>
          <w:rtl/>
        </w:rPr>
        <w:t xml:space="preserve"> وهو دلالة على </w:t>
      </w:r>
      <w:proofErr w:type="spellStart"/>
      <w:r w:rsidRPr="00A52585">
        <w:rPr>
          <w:rtl/>
        </w:rPr>
        <w:t>أختصاصه</w:t>
      </w:r>
      <w:proofErr w:type="spellEnd"/>
      <w:r w:rsidRPr="00A52585">
        <w:rPr>
          <w:rtl/>
        </w:rPr>
        <w:t xml:space="preserve"> تعالى بالخلق والتسخير</w:t>
      </w:r>
      <w:r w:rsidR="00DB731D" w:rsidRPr="00A52585">
        <w:rPr>
          <w:rtl/>
        </w:rPr>
        <w:t>،</w:t>
      </w:r>
      <w:r w:rsidRPr="00A52585">
        <w:rPr>
          <w:rFonts w:hint="cs"/>
          <w:rtl/>
        </w:rPr>
        <w:t xml:space="preserve"> </w:t>
      </w:r>
      <w:r w:rsidRPr="00A52585">
        <w:rPr>
          <w:rtl/>
        </w:rPr>
        <w:t xml:space="preserve">أما فعل </w:t>
      </w:r>
      <w:r w:rsidR="0002035C" w:rsidRPr="00A52585">
        <w:rPr>
          <w:rtl/>
        </w:rPr>
        <w:t>(</w:t>
      </w:r>
      <w:r w:rsidRPr="00A52585">
        <w:rPr>
          <w:rtl/>
        </w:rPr>
        <w:t>استوى</w:t>
      </w:r>
      <w:r w:rsidR="0002035C" w:rsidRPr="00A52585">
        <w:rPr>
          <w:rtl/>
        </w:rPr>
        <w:t>)</w:t>
      </w:r>
      <w:r w:rsidRPr="00A52585">
        <w:rPr>
          <w:rtl/>
        </w:rPr>
        <w:t xml:space="preserve"> فلا يعبر به صراحة عن استقرار إلا في الجمادات</w:t>
      </w:r>
      <w:r w:rsidR="00DB731D" w:rsidRPr="00A52585">
        <w:rPr>
          <w:rtl/>
        </w:rPr>
        <w:t>،</w:t>
      </w:r>
      <w:r w:rsidRPr="00A52585">
        <w:rPr>
          <w:rtl/>
        </w:rPr>
        <w:t xml:space="preserve"> والإنسان فاستقرار الجمادات مفهوم من قوله تعالى</w:t>
      </w:r>
      <w:r w:rsidR="0002035C" w:rsidRPr="00A52585">
        <w:rPr>
          <w:rtl/>
        </w:rPr>
        <w:t>:</w:t>
      </w:r>
      <w:r w:rsidRPr="00A52585">
        <w:rPr>
          <w:rtl/>
        </w:rPr>
        <w:t xml:space="preserve"> ? واستوت على </w:t>
      </w:r>
      <w:proofErr w:type="spellStart"/>
      <w:r w:rsidRPr="00A52585">
        <w:rPr>
          <w:rtl/>
        </w:rPr>
        <w:t>الجودى</w:t>
      </w:r>
      <w:proofErr w:type="spellEnd"/>
      <w:r w:rsidRPr="00A52585">
        <w:rPr>
          <w:rtl/>
        </w:rPr>
        <w:t xml:space="preserve"> ? </w:t>
      </w:r>
      <w:proofErr w:type="gramStart"/>
      <w:r w:rsidRPr="00A52585">
        <w:rPr>
          <w:rtl/>
        </w:rPr>
        <w:t>الذى</w:t>
      </w:r>
      <w:proofErr w:type="gramEnd"/>
      <w:r w:rsidRPr="00A52585">
        <w:rPr>
          <w:rtl/>
        </w:rPr>
        <w:t xml:space="preserve"> لا يفهم منه إلا استقرار جسم السفينة على جسم الجبل</w:t>
      </w:r>
      <w:r w:rsidR="00DB731D" w:rsidRPr="00A52585">
        <w:rPr>
          <w:rtl/>
        </w:rPr>
        <w:t>،</w:t>
      </w:r>
      <w:r w:rsidRPr="00A52585">
        <w:rPr>
          <w:rtl/>
        </w:rPr>
        <w:t xml:space="preserve"> وسكونها عليه بعد أن كانت تجرى في موج كالجبال</w:t>
      </w:r>
      <w:r w:rsidR="00DB731D" w:rsidRPr="00A52585">
        <w:rPr>
          <w:rtl/>
        </w:rPr>
        <w:t>،</w:t>
      </w:r>
      <w:r w:rsidRPr="00A52585">
        <w:rPr>
          <w:rtl/>
        </w:rPr>
        <w:t xml:space="preserve"> ويستحيل أن يفهم منه التصرف والتسخير</w:t>
      </w:r>
      <w:r w:rsidR="00DB731D" w:rsidRPr="00A52585">
        <w:rPr>
          <w:rtl/>
        </w:rPr>
        <w:t>،</w:t>
      </w:r>
      <w:r w:rsidRPr="00A52585">
        <w:rPr>
          <w:rFonts w:hint="cs"/>
          <w:rtl/>
        </w:rPr>
        <w:t xml:space="preserve"> </w:t>
      </w:r>
      <w:r w:rsidRPr="00A52585">
        <w:rPr>
          <w:rtl/>
        </w:rPr>
        <w:t>واستقرار الإنسان مفهوم من قوله تعالى</w:t>
      </w:r>
      <w:r w:rsidR="0002035C" w:rsidRPr="00A52585">
        <w:rPr>
          <w:rtl/>
        </w:rPr>
        <w:t>:</w:t>
      </w:r>
      <w:r w:rsidRPr="00A52585">
        <w:rPr>
          <w:rtl/>
        </w:rPr>
        <w:t xml:space="preserve"> ? فإذا استويت أنت ومن معك على الفلك? وهو لا يمكن أن يفهم منه إلا استقرار جسم نوح عليه السلام والمؤمنين الذين معه على جسم السفينة</w:t>
      </w:r>
      <w:r w:rsidR="00DB731D" w:rsidRPr="00A52585">
        <w:rPr>
          <w:rtl/>
        </w:rPr>
        <w:t>،</w:t>
      </w:r>
      <w:r w:rsidRPr="00A52585">
        <w:rPr>
          <w:rtl/>
        </w:rPr>
        <w:t xml:space="preserve"> بعد أن لم يكونوا مستقرين عليها</w:t>
      </w:r>
      <w:r w:rsidR="00DB731D" w:rsidRPr="00A52585">
        <w:rPr>
          <w:rtl/>
        </w:rPr>
        <w:t>،</w:t>
      </w:r>
      <w:r w:rsidRPr="00A52585">
        <w:rPr>
          <w:rtl/>
        </w:rPr>
        <w:t xml:space="preserve"> وأن هذا الاستقرار سيزول بنزولهم منها بعد استقرارها على جبل </w:t>
      </w:r>
      <w:proofErr w:type="spellStart"/>
      <w:r w:rsidRPr="00A52585">
        <w:rPr>
          <w:rtl/>
        </w:rPr>
        <w:t>الجودى</w:t>
      </w:r>
      <w:proofErr w:type="spellEnd"/>
      <w:r w:rsidR="00DB731D" w:rsidRPr="00A52585">
        <w:rPr>
          <w:rtl/>
        </w:rPr>
        <w:t>،</w:t>
      </w:r>
      <w:r w:rsidRPr="00A52585">
        <w:rPr>
          <w:rFonts w:hint="cs"/>
          <w:rtl/>
        </w:rPr>
        <w:t xml:space="preserve"> </w:t>
      </w:r>
      <w:r w:rsidRPr="00A52585">
        <w:rPr>
          <w:rtl/>
        </w:rPr>
        <w:t xml:space="preserve">وهناك أيضاً يستحيل أن يفهم من </w:t>
      </w:r>
      <w:r w:rsidR="0002035C" w:rsidRPr="00A52585">
        <w:rPr>
          <w:rtl/>
        </w:rPr>
        <w:t>(</w:t>
      </w:r>
      <w:r w:rsidRPr="00A52585">
        <w:rPr>
          <w:rtl/>
        </w:rPr>
        <w:t>استوى</w:t>
      </w:r>
      <w:r w:rsidR="0002035C" w:rsidRPr="00A52585">
        <w:rPr>
          <w:rtl/>
        </w:rPr>
        <w:t>)</w:t>
      </w:r>
      <w:r w:rsidRPr="00A52585">
        <w:rPr>
          <w:rtl/>
        </w:rPr>
        <w:t xml:space="preserve"> ما يصح أن يفهم من آيات الاستواء على العرش وكذلك يفهم استقرار الإنسان من قوله تعالى</w:t>
      </w:r>
      <w:r w:rsidR="0002035C" w:rsidRPr="00A52585">
        <w:rPr>
          <w:rtl/>
        </w:rPr>
        <w:t>:</w:t>
      </w:r>
      <w:r w:rsidRPr="00A52585">
        <w:rPr>
          <w:rtl/>
        </w:rPr>
        <w:t xml:space="preserve"> ? </w:t>
      </w:r>
      <w:proofErr w:type="spellStart"/>
      <w:r w:rsidRPr="00A52585">
        <w:rPr>
          <w:rtl/>
        </w:rPr>
        <w:t>لتستوا</w:t>
      </w:r>
      <w:proofErr w:type="spellEnd"/>
      <w:r w:rsidRPr="00A52585">
        <w:rPr>
          <w:rtl/>
        </w:rPr>
        <w:t xml:space="preserve"> على ظهوره ثم تذكروا نعمة ربكم إذا استويتم عليه? فإنه لا يفهم منها إلا استقرار أجسام الناس على ظهور الدواب التي تتحرك بهم</w:t>
      </w:r>
      <w:r w:rsidR="00DB731D" w:rsidRPr="00A52585">
        <w:rPr>
          <w:rtl/>
        </w:rPr>
        <w:t>،</w:t>
      </w:r>
      <w:r w:rsidRPr="00A52585">
        <w:rPr>
          <w:rtl/>
        </w:rPr>
        <w:t xml:space="preserve"> وتنقلهم إلى بلد لم يكونوا بالغيه إلا بشق الأنفس</w:t>
      </w:r>
      <w:r w:rsidR="00DB731D" w:rsidRPr="00A52585">
        <w:rPr>
          <w:rtl/>
        </w:rPr>
        <w:t>،</w:t>
      </w:r>
      <w:r w:rsidRPr="00A52585">
        <w:rPr>
          <w:rtl/>
        </w:rPr>
        <w:t xml:space="preserve"> فليس هذا المعنى هو ما يفهم في حق الله تعالى من التصرف في </w:t>
      </w:r>
      <w:proofErr w:type="spellStart"/>
      <w:r w:rsidRPr="00A52585">
        <w:rPr>
          <w:rtl/>
        </w:rPr>
        <w:t>اسموات</w:t>
      </w:r>
      <w:proofErr w:type="spellEnd"/>
      <w:r w:rsidRPr="00A52585">
        <w:rPr>
          <w:rtl/>
        </w:rPr>
        <w:t xml:space="preserve"> والأرض التي خلقها جل شأنه</w:t>
      </w:r>
      <w:r w:rsidR="00DB731D" w:rsidRPr="00A52585">
        <w:rPr>
          <w:rtl/>
        </w:rPr>
        <w:t>،</w:t>
      </w:r>
      <w:r w:rsidRPr="00A52585">
        <w:rPr>
          <w:rFonts w:hint="cs"/>
          <w:rtl/>
        </w:rPr>
        <w:t xml:space="preserve"> </w:t>
      </w:r>
      <w:r w:rsidRPr="00A52585">
        <w:rPr>
          <w:rtl/>
        </w:rPr>
        <w:t xml:space="preserve">وإن فمعنى </w:t>
      </w:r>
      <w:r w:rsidR="0002035C" w:rsidRPr="00A52585">
        <w:rPr>
          <w:rtl/>
        </w:rPr>
        <w:t>(</w:t>
      </w:r>
      <w:r w:rsidRPr="00A52585">
        <w:rPr>
          <w:rtl/>
        </w:rPr>
        <w:t>استوى</w:t>
      </w:r>
      <w:r w:rsidR="0002035C" w:rsidRPr="00A52585">
        <w:rPr>
          <w:rtl/>
        </w:rPr>
        <w:t>)</w:t>
      </w:r>
      <w:r w:rsidRPr="00A52585">
        <w:rPr>
          <w:rtl/>
        </w:rPr>
        <w:t xml:space="preserve"> في الآية الأولى غير معناها في الآية الثانية والثالثة والرابعة</w:t>
      </w:r>
      <w:r w:rsidR="00DB731D" w:rsidRPr="00A52585">
        <w:rPr>
          <w:rtl/>
        </w:rPr>
        <w:t>،</w:t>
      </w:r>
      <w:r w:rsidRPr="00A52585">
        <w:rPr>
          <w:rtl/>
        </w:rPr>
        <w:t xml:space="preserve"> ومعناها في الثالثة مخالف لمعناها في الأولى</w:t>
      </w:r>
      <w:r w:rsidR="00DB731D" w:rsidRPr="00A52585">
        <w:rPr>
          <w:rtl/>
        </w:rPr>
        <w:t>،</w:t>
      </w:r>
      <w:r w:rsidRPr="00A52585">
        <w:rPr>
          <w:rtl/>
        </w:rPr>
        <w:t xml:space="preserve"> والثانية</w:t>
      </w:r>
      <w:r w:rsidR="00DB731D" w:rsidRPr="00A52585">
        <w:rPr>
          <w:rtl/>
        </w:rPr>
        <w:t>،</w:t>
      </w:r>
      <w:r w:rsidRPr="00A52585">
        <w:rPr>
          <w:rtl/>
        </w:rPr>
        <w:t xml:space="preserve"> والرابعة</w:t>
      </w:r>
      <w:r w:rsidR="0002035C" w:rsidRPr="00A52585">
        <w:rPr>
          <w:rtl/>
        </w:rPr>
        <w:t>:</w:t>
      </w:r>
      <w:r w:rsidRPr="00A52585">
        <w:rPr>
          <w:rFonts w:hint="cs"/>
          <w:rtl/>
        </w:rPr>
        <w:t xml:space="preserve"> </w:t>
      </w:r>
      <w:r w:rsidRPr="00A52585">
        <w:rPr>
          <w:rtl/>
        </w:rPr>
        <w:t>وبناء على هذا فمن انتزع جملة ? ثم استوى على العرش ? من الآيات التي اشتملت عليها وفهمها وحدها ضل سواء السبيل</w:t>
      </w:r>
      <w:r w:rsidR="00DB731D" w:rsidRPr="00A52585">
        <w:rPr>
          <w:rtl/>
        </w:rPr>
        <w:t>،</w:t>
      </w:r>
      <w:r w:rsidRPr="00A52585">
        <w:rPr>
          <w:rtl/>
        </w:rPr>
        <w:t xml:space="preserve"> وبعد عن الحقيقة</w:t>
      </w:r>
      <w:r w:rsidR="00DB731D" w:rsidRPr="00A52585">
        <w:rPr>
          <w:rtl/>
        </w:rPr>
        <w:t>،</w:t>
      </w:r>
      <w:r w:rsidRPr="00A52585">
        <w:rPr>
          <w:rtl/>
        </w:rPr>
        <w:t xml:space="preserve"> لأنه أهمل القيود والقرائن المبينة لمعناها </w:t>
      </w:r>
      <w:proofErr w:type="spellStart"/>
      <w:r w:rsidRPr="00A52585">
        <w:rPr>
          <w:rtl/>
        </w:rPr>
        <w:t>الحقيقى</w:t>
      </w:r>
      <w:proofErr w:type="spellEnd"/>
      <w:r w:rsidR="00DB731D" w:rsidRPr="00A52585">
        <w:rPr>
          <w:rtl/>
        </w:rPr>
        <w:t>،</w:t>
      </w:r>
      <w:r w:rsidRPr="00A52585">
        <w:rPr>
          <w:rtl/>
        </w:rPr>
        <w:t xml:space="preserve"> فيكون كمن قال</w:t>
      </w:r>
      <w:r w:rsidR="0002035C" w:rsidRPr="00A52585">
        <w:rPr>
          <w:rtl/>
        </w:rPr>
        <w:t>:</w:t>
      </w:r>
      <w:r w:rsidRPr="00A52585">
        <w:rPr>
          <w:rtl/>
        </w:rPr>
        <w:t xml:space="preserve"> ? فويل للمصلين? وقطع هذه الجملة عما بعدها أوقال</w:t>
      </w:r>
      <w:r w:rsidR="0002035C" w:rsidRPr="00A52585">
        <w:rPr>
          <w:rtl/>
        </w:rPr>
        <w:t>:</w:t>
      </w:r>
      <w:r w:rsidRPr="00A52585">
        <w:rPr>
          <w:rtl/>
        </w:rPr>
        <w:t xml:space="preserve"> ? لا تقربوا الصلاة ? وقطعها عما بعدها أيضاً</w:t>
      </w:r>
      <w:r w:rsidR="00DB731D" w:rsidRPr="00A52585">
        <w:rPr>
          <w:rtl/>
        </w:rPr>
        <w:t>،</w:t>
      </w:r>
      <w:r w:rsidRPr="00A52585">
        <w:rPr>
          <w:rtl/>
        </w:rPr>
        <w:t xml:space="preserve"> فأنه لا شك يخطئ كثيراً</w:t>
      </w:r>
      <w:r w:rsidR="00DB731D" w:rsidRPr="00A52585">
        <w:rPr>
          <w:rtl/>
        </w:rPr>
        <w:t>،</w:t>
      </w:r>
      <w:r w:rsidRPr="00A52585">
        <w:rPr>
          <w:rtl/>
        </w:rPr>
        <w:t xml:space="preserve"> ويبعد عن الصواب بعد المشرقين</w:t>
      </w:r>
      <w:r w:rsidR="00DB731D" w:rsidRPr="00A52585">
        <w:rPr>
          <w:rtl/>
        </w:rPr>
        <w:t>،</w:t>
      </w:r>
      <w:r w:rsidRPr="00A52585">
        <w:rPr>
          <w:rFonts w:hint="cs"/>
          <w:rtl/>
        </w:rPr>
        <w:t xml:space="preserve"> </w:t>
      </w:r>
      <w:r w:rsidRPr="00A52585">
        <w:rPr>
          <w:rtl/>
        </w:rPr>
        <w:t>وفى القرآن الكريم كثير من الأساليب التي لا يصح أن تفسر جملها تفسيراً لفظياً</w:t>
      </w:r>
      <w:r w:rsidR="00DB731D" w:rsidRPr="00A52585">
        <w:rPr>
          <w:rtl/>
        </w:rPr>
        <w:t>،</w:t>
      </w:r>
      <w:r w:rsidRPr="00A52585">
        <w:rPr>
          <w:rtl/>
        </w:rPr>
        <w:t xml:space="preserve"> بل لابد من ملاحظة السياق والقرائن والذوق </w:t>
      </w:r>
      <w:proofErr w:type="spellStart"/>
      <w:r w:rsidRPr="00A52585">
        <w:rPr>
          <w:rtl/>
        </w:rPr>
        <w:t>العربى</w:t>
      </w:r>
      <w:proofErr w:type="spellEnd"/>
      <w:r w:rsidRPr="00A52585">
        <w:rPr>
          <w:rtl/>
        </w:rPr>
        <w:t xml:space="preserve"> فيها كقوله تعالى في سورة الإسراء</w:t>
      </w:r>
      <w:r w:rsidR="0002035C" w:rsidRPr="00A52585">
        <w:rPr>
          <w:rtl/>
        </w:rPr>
        <w:t>:</w:t>
      </w:r>
      <w:r w:rsidRPr="00A52585">
        <w:rPr>
          <w:rtl/>
        </w:rPr>
        <w:t xml:space="preserve"> ? وكل إنسان ألزمنه </w:t>
      </w:r>
      <w:proofErr w:type="spellStart"/>
      <w:r w:rsidRPr="00A52585">
        <w:rPr>
          <w:rtl/>
        </w:rPr>
        <w:t>طئره</w:t>
      </w:r>
      <w:proofErr w:type="spellEnd"/>
      <w:r w:rsidRPr="00A52585">
        <w:rPr>
          <w:rtl/>
        </w:rPr>
        <w:t xml:space="preserve"> في عنقه ? </w:t>
      </w:r>
      <w:proofErr w:type="spellStart"/>
      <w:r w:rsidRPr="00A52585">
        <w:rPr>
          <w:rtl/>
        </w:rPr>
        <w:t>فلوفسر</w:t>
      </w:r>
      <w:proofErr w:type="spellEnd"/>
      <w:r w:rsidRPr="00A52585">
        <w:rPr>
          <w:rtl/>
        </w:rPr>
        <w:t xml:space="preserve"> الطائر بما ينصرف إليه ظاهر اللفظ لساء الفهم وانطمست </w:t>
      </w:r>
      <w:r w:rsidRPr="00A52585">
        <w:rPr>
          <w:rtl/>
        </w:rPr>
        <w:lastRenderedPageBreak/>
        <w:t>الحقائق</w:t>
      </w:r>
      <w:r w:rsidR="00DB731D" w:rsidRPr="00A52585">
        <w:rPr>
          <w:rtl/>
        </w:rPr>
        <w:t>،</w:t>
      </w:r>
      <w:r w:rsidRPr="00A52585">
        <w:rPr>
          <w:rFonts w:hint="cs"/>
          <w:rtl/>
        </w:rPr>
        <w:t xml:space="preserve"> </w:t>
      </w:r>
      <w:r w:rsidRPr="00A52585">
        <w:rPr>
          <w:rtl/>
        </w:rPr>
        <w:t>وإذا كان لا يصح فهم هذه الكلمات منفصلة عما قارنها واتصل بها</w:t>
      </w:r>
      <w:r w:rsidR="00DB731D" w:rsidRPr="00A52585">
        <w:rPr>
          <w:rtl/>
        </w:rPr>
        <w:t>،</w:t>
      </w:r>
      <w:r w:rsidRPr="00A52585">
        <w:rPr>
          <w:rtl/>
        </w:rPr>
        <w:t xml:space="preserve"> فكذلك لا يجوز أن تفهم جملة</w:t>
      </w:r>
      <w:r w:rsidR="0002035C" w:rsidRPr="00A52585">
        <w:rPr>
          <w:rtl/>
        </w:rPr>
        <w:t>:</w:t>
      </w:r>
      <w:r w:rsidRPr="00A52585">
        <w:rPr>
          <w:rtl/>
        </w:rPr>
        <w:t xml:space="preserve"> ? ثم استوى على العرش ? وحدها</w:t>
      </w:r>
      <w:r w:rsidR="00DB731D" w:rsidRPr="00A52585">
        <w:rPr>
          <w:rtl/>
        </w:rPr>
        <w:t>،</w:t>
      </w:r>
      <w:r w:rsidRPr="00A52585">
        <w:rPr>
          <w:rtl/>
        </w:rPr>
        <w:t xml:space="preserve"> دون أن تنظر فيما يحف بها من القرائن ومن أراد أن يكون سلفياً فعليه أن يلزم نفسه</w:t>
      </w:r>
      <w:r w:rsidR="0002035C" w:rsidRPr="00A52585">
        <w:rPr>
          <w:rtl/>
        </w:rPr>
        <w:t>:</w:t>
      </w:r>
      <w:r w:rsidRPr="00A52585">
        <w:rPr>
          <w:rFonts w:hint="cs"/>
          <w:rtl/>
        </w:rPr>
        <w:t xml:space="preserve"> </w:t>
      </w:r>
      <w:r w:rsidR="0002035C" w:rsidRPr="00A52585">
        <w:rPr>
          <w:rFonts w:hint="cs"/>
          <w:rtl/>
        </w:rPr>
        <w:t>(</w:t>
      </w:r>
      <w:r w:rsidRPr="00A52585">
        <w:rPr>
          <w:rFonts w:hint="cs"/>
          <w:rtl/>
        </w:rPr>
        <w:t>أ</w:t>
      </w:r>
      <w:r w:rsidRPr="00A52585">
        <w:rPr>
          <w:rtl/>
        </w:rPr>
        <w:t>ولاً</w:t>
      </w:r>
      <w:r w:rsidR="0002035C" w:rsidRPr="00A52585">
        <w:rPr>
          <w:rtl/>
        </w:rPr>
        <w:t>)</w:t>
      </w:r>
      <w:r w:rsidR="0002035C" w:rsidRPr="00A52585">
        <w:rPr>
          <w:rFonts w:hint="cs"/>
          <w:rtl/>
        </w:rPr>
        <w:t>:</w:t>
      </w:r>
      <w:r w:rsidRPr="00A52585">
        <w:rPr>
          <w:rtl/>
        </w:rPr>
        <w:t xml:space="preserve"> ألا يغير في كلمات الآية العظيمة باشتقاق اسم الفاعل </w:t>
      </w:r>
      <w:r w:rsidR="0002035C" w:rsidRPr="00A52585">
        <w:rPr>
          <w:rtl/>
        </w:rPr>
        <w:t>(</w:t>
      </w:r>
      <w:r w:rsidRPr="00A52585">
        <w:rPr>
          <w:rtl/>
        </w:rPr>
        <w:t xml:space="preserve">مستو) </w:t>
      </w:r>
      <w:proofErr w:type="spellStart"/>
      <w:r w:rsidRPr="00A52585">
        <w:rPr>
          <w:rtl/>
        </w:rPr>
        <w:t>أوالمصدر</w:t>
      </w:r>
      <w:proofErr w:type="spellEnd"/>
      <w:r w:rsidRPr="00A52585">
        <w:rPr>
          <w:rtl/>
        </w:rPr>
        <w:t xml:space="preserve"> (استواء) فكلاهما صفة ذاتية لا علاقة لها بالزمان</w:t>
      </w:r>
      <w:r w:rsidR="00DB731D" w:rsidRPr="00A52585">
        <w:rPr>
          <w:rtl/>
        </w:rPr>
        <w:t>،</w:t>
      </w:r>
      <w:r w:rsidRPr="00A52585">
        <w:rPr>
          <w:rtl/>
        </w:rPr>
        <w:t xml:space="preserve"> فضلاً عن أن معناها مخالف للفعل </w:t>
      </w:r>
      <w:proofErr w:type="spellStart"/>
      <w:r w:rsidRPr="00A52585">
        <w:rPr>
          <w:rtl/>
        </w:rPr>
        <w:t>الماضى</w:t>
      </w:r>
      <w:proofErr w:type="spellEnd"/>
      <w:r w:rsidRPr="00A52585">
        <w:rPr>
          <w:rtl/>
        </w:rPr>
        <w:t xml:space="preserve"> </w:t>
      </w:r>
      <w:r w:rsidR="0002035C" w:rsidRPr="00A52585">
        <w:rPr>
          <w:rtl/>
        </w:rPr>
        <w:t>(</w:t>
      </w:r>
      <w:r w:rsidRPr="00A52585">
        <w:rPr>
          <w:rtl/>
        </w:rPr>
        <w:t>استوى</w:t>
      </w:r>
      <w:r w:rsidR="0002035C" w:rsidRPr="00A52585">
        <w:rPr>
          <w:rtl/>
        </w:rPr>
        <w:t>)</w:t>
      </w:r>
      <w:r w:rsidRPr="00A52585">
        <w:rPr>
          <w:rtl/>
        </w:rPr>
        <w:t xml:space="preserve"> الدال على أنه فعل حادث مثل </w:t>
      </w:r>
      <w:r w:rsidR="0002035C" w:rsidRPr="00A52585">
        <w:rPr>
          <w:rtl/>
        </w:rPr>
        <w:t>(</w:t>
      </w:r>
      <w:r w:rsidRPr="00A52585">
        <w:rPr>
          <w:rtl/>
        </w:rPr>
        <w:t>خلق</w:t>
      </w:r>
      <w:r w:rsidR="0002035C" w:rsidRPr="00A52585">
        <w:rPr>
          <w:rtl/>
        </w:rPr>
        <w:t>)</w:t>
      </w:r>
      <w:r w:rsidR="00DB731D" w:rsidRPr="00A52585">
        <w:rPr>
          <w:rFonts w:hint="cs"/>
          <w:rtl/>
        </w:rPr>
        <w:t>،</w:t>
      </w:r>
      <w:r w:rsidR="0002035C" w:rsidRPr="00A52585">
        <w:rPr>
          <w:rFonts w:hint="cs"/>
          <w:rtl/>
        </w:rPr>
        <w:t xml:space="preserve"> (</w:t>
      </w:r>
      <w:r w:rsidRPr="00A52585">
        <w:rPr>
          <w:rtl/>
        </w:rPr>
        <w:t>ثانياً</w:t>
      </w:r>
      <w:r w:rsidR="0002035C" w:rsidRPr="00A52585">
        <w:rPr>
          <w:rtl/>
        </w:rPr>
        <w:t>)</w:t>
      </w:r>
      <w:r w:rsidR="0002035C" w:rsidRPr="00A52585">
        <w:rPr>
          <w:rFonts w:hint="cs"/>
          <w:rtl/>
        </w:rPr>
        <w:t>:</w:t>
      </w:r>
      <w:r w:rsidRPr="00A52585">
        <w:rPr>
          <w:rtl/>
        </w:rPr>
        <w:t xml:space="preserve"> أن </w:t>
      </w:r>
      <w:proofErr w:type="spellStart"/>
      <w:r w:rsidRPr="00A52585">
        <w:rPr>
          <w:rtl/>
        </w:rPr>
        <w:t>يلاخط</w:t>
      </w:r>
      <w:proofErr w:type="spellEnd"/>
      <w:r w:rsidRPr="00A52585">
        <w:rPr>
          <w:rtl/>
        </w:rPr>
        <w:t xml:space="preserve"> الملازمة بين </w:t>
      </w:r>
      <w:r w:rsidR="0002035C" w:rsidRPr="00A52585">
        <w:rPr>
          <w:rtl/>
        </w:rPr>
        <w:t>(</w:t>
      </w:r>
      <w:r w:rsidRPr="00A52585">
        <w:rPr>
          <w:rtl/>
        </w:rPr>
        <w:t>خلق</w:t>
      </w:r>
      <w:r w:rsidR="0002035C" w:rsidRPr="00A52585">
        <w:rPr>
          <w:rtl/>
        </w:rPr>
        <w:t>)</w:t>
      </w:r>
      <w:r w:rsidRPr="00A52585">
        <w:rPr>
          <w:rtl/>
        </w:rPr>
        <w:t xml:space="preserve"> و</w:t>
      </w:r>
      <w:r w:rsidR="0002035C" w:rsidRPr="00A52585">
        <w:rPr>
          <w:rtl/>
        </w:rPr>
        <w:t>(</w:t>
      </w:r>
      <w:r w:rsidRPr="00A52585">
        <w:rPr>
          <w:rtl/>
        </w:rPr>
        <w:t>ثم استوى</w:t>
      </w:r>
      <w:r w:rsidR="0002035C" w:rsidRPr="00A52585">
        <w:rPr>
          <w:rtl/>
        </w:rPr>
        <w:t>)</w:t>
      </w:r>
      <w:r w:rsidRPr="00A52585">
        <w:rPr>
          <w:rtl/>
        </w:rPr>
        <w:t xml:space="preserve"> في جميع آيات الاستواء</w:t>
      </w:r>
      <w:r w:rsidR="00DB731D" w:rsidRPr="00A52585">
        <w:rPr>
          <w:rFonts w:hint="cs"/>
          <w:rtl/>
        </w:rPr>
        <w:t>،</w:t>
      </w:r>
      <w:r w:rsidRPr="00A52585">
        <w:rPr>
          <w:rFonts w:hint="cs"/>
          <w:rtl/>
        </w:rPr>
        <w:t xml:space="preserve"> </w:t>
      </w:r>
      <w:r w:rsidR="0002035C" w:rsidRPr="00A52585">
        <w:rPr>
          <w:rFonts w:hint="cs"/>
          <w:rtl/>
        </w:rPr>
        <w:t>(</w:t>
      </w:r>
      <w:r w:rsidRPr="00A52585">
        <w:rPr>
          <w:rtl/>
        </w:rPr>
        <w:t>ثالثاً</w:t>
      </w:r>
      <w:r w:rsidR="0002035C" w:rsidRPr="00A52585">
        <w:rPr>
          <w:rtl/>
        </w:rPr>
        <w:t>)</w:t>
      </w:r>
      <w:r w:rsidR="0002035C" w:rsidRPr="00A52585">
        <w:rPr>
          <w:rFonts w:hint="cs"/>
          <w:rtl/>
        </w:rPr>
        <w:t>:</w:t>
      </w:r>
      <w:r w:rsidRPr="00A52585">
        <w:rPr>
          <w:rtl/>
        </w:rPr>
        <w:t xml:space="preserve"> أن </w:t>
      </w:r>
      <w:proofErr w:type="spellStart"/>
      <w:r w:rsidRPr="00A52585">
        <w:rPr>
          <w:rtl/>
        </w:rPr>
        <w:t>يلاخط</w:t>
      </w:r>
      <w:proofErr w:type="spellEnd"/>
      <w:r w:rsidRPr="00A52585">
        <w:rPr>
          <w:rtl/>
        </w:rPr>
        <w:t xml:space="preserve"> ترتيب </w:t>
      </w:r>
      <w:r w:rsidR="0002035C" w:rsidRPr="00A52585">
        <w:rPr>
          <w:rtl/>
        </w:rPr>
        <w:t>(</w:t>
      </w:r>
      <w:r w:rsidRPr="00A52585">
        <w:rPr>
          <w:rtl/>
        </w:rPr>
        <w:t>ثم استوى</w:t>
      </w:r>
      <w:r w:rsidR="0002035C" w:rsidRPr="00A52585">
        <w:rPr>
          <w:rtl/>
        </w:rPr>
        <w:t>)</w:t>
      </w:r>
      <w:r w:rsidRPr="00A52585">
        <w:rPr>
          <w:rtl/>
        </w:rPr>
        <w:t xml:space="preserve"> على </w:t>
      </w:r>
      <w:r w:rsidR="0002035C" w:rsidRPr="00A52585">
        <w:rPr>
          <w:rtl/>
        </w:rPr>
        <w:t>(</w:t>
      </w:r>
      <w:r w:rsidRPr="00A52585">
        <w:rPr>
          <w:rtl/>
        </w:rPr>
        <w:t>العرش</w:t>
      </w:r>
      <w:r w:rsidR="0002035C" w:rsidRPr="00A52585">
        <w:rPr>
          <w:rtl/>
        </w:rPr>
        <w:t>)</w:t>
      </w:r>
      <w:r w:rsidR="00DB731D" w:rsidRPr="00A52585">
        <w:rPr>
          <w:rtl/>
        </w:rPr>
        <w:t>،</w:t>
      </w:r>
      <w:r w:rsidRPr="00A52585">
        <w:rPr>
          <w:rFonts w:hint="cs"/>
          <w:rtl/>
        </w:rPr>
        <w:t xml:space="preserve"> </w:t>
      </w:r>
      <w:r w:rsidR="0002035C" w:rsidRPr="00A52585">
        <w:rPr>
          <w:rFonts w:hint="cs"/>
          <w:rtl/>
        </w:rPr>
        <w:t>((</w:t>
      </w:r>
      <w:r w:rsidRPr="00A52585">
        <w:rPr>
          <w:rFonts w:hint="cs"/>
          <w:rtl/>
        </w:rPr>
        <w:t>ر</w:t>
      </w:r>
      <w:r w:rsidRPr="00A52585">
        <w:rPr>
          <w:rtl/>
        </w:rPr>
        <w:t>ابعاً</w:t>
      </w:r>
      <w:r w:rsidR="0002035C" w:rsidRPr="00A52585">
        <w:rPr>
          <w:rtl/>
        </w:rPr>
        <w:t>)</w:t>
      </w:r>
      <w:r w:rsidR="0002035C" w:rsidRPr="00A52585">
        <w:rPr>
          <w:rFonts w:hint="cs"/>
          <w:rtl/>
        </w:rPr>
        <w:t>:</w:t>
      </w:r>
      <w:r w:rsidRPr="00A52585">
        <w:rPr>
          <w:rtl/>
        </w:rPr>
        <w:t xml:space="preserve"> ان يلاحظ تقديسه تعالى عن الاستواء </w:t>
      </w:r>
      <w:proofErr w:type="spellStart"/>
      <w:r w:rsidRPr="00A52585">
        <w:rPr>
          <w:rtl/>
        </w:rPr>
        <w:t>المكانى</w:t>
      </w:r>
      <w:proofErr w:type="spellEnd"/>
      <w:r w:rsidRPr="00A52585">
        <w:rPr>
          <w:rtl/>
        </w:rPr>
        <w:t xml:space="preserve"> على جسم العرش فإنه يستلزم التحديد</w:t>
      </w:r>
      <w:r w:rsidR="00DB731D" w:rsidRPr="00A52585">
        <w:rPr>
          <w:rtl/>
        </w:rPr>
        <w:t>،</w:t>
      </w:r>
      <w:r w:rsidRPr="00A52585">
        <w:rPr>
          <w:rtl/>
        </w:rPr>
        <w:t xml:space="preserve"> ويوهم الاستراحة من التعب بعد خلق السموات والأرض</w:t>
      </w:r>
      <w:r w:rsidR="00DB731D" w:rsidRPr="00A52585">
        <w:rPr>
          <w:rtl/>
        </w:rPr>
        <w:t>،</w:t>
      </w:r>
      <w:r w:rsidRPr="00A52585">
        <w:rPr>
          <w:rFonts w:hint="cs"/>
          <w:rtl/>
        </w:rPr>
        <w:t xml:space="preserve"> </w:t>
      </w:r>
      <w:r w:rsidRPr="00A52585">
        <w:rPr>
          <w:rtl/>
        </w:rPr>
        <w:t xml:space="preserve">خامساً أن يلاحظ أوفق معنى من معانى </w:t>
      </w:r>
      <w:r w:rsidR="0002035C" w:rsidRPr="00A52585">
        <w:rPr>
          <w:rtl/>
        </w:rPr>
        <w:t>(</w:t>
      </w:r>
      <w:r w:rsidRPr="00A52585">
        <w:rPr>
          <w:rtl/>
        </w:rPr>
        <w:t>استوى</w:t>
      </w:r>
      <w:r w:rsidR="0002035C" w:rsidRPr="00A52585">
        <w:rPr>
          <w:rtl/>
        </w:rPr>
        <w:t>)</w:t>
      </w:r>
      <w:r w:rsidRPr="00A52585">
        <w:rPr>
          <w:rtl/>
        </w:rPr>
        <w:t xml:space="preserve"> التي تليق بالله تعالى في </w:t>
      </w:r>
      <w:proofErr w:type="spellStart"/>
      <w:r w:rsidRPr="00A52585">
        <w:rPr>
          <w:rtl/>
        </w:rPr>
        <w:t>الايات</w:t>
      </w:r>
      <w:proofErr w:type="spellEnd"/>
      <w:r w:rsidRPr="00A52585">
        <w:rPr>
          <w:rtl/>
        </w:rPr>
        <w:t xml:space="preserve"> التي ذكرت فيها جملة ? ثم استوى على العرش ? فلا يفهم منها ما يفهم من استواء السفينة على </w:t>
      </w:r>
      <w:proofErr w:type="spellStart"/>
      <w:r w:rsidRPr="00A52585">
        <w:rPr>
          <w:rtl/>
        </w:rPr>
        <w:t>الجودى</w:t>
      </w:r>
      <w:proofErr w:type="spellEnd"/>
      <w:r w:rsidR="00DB731D" w:rsidRPr="00A52585">
        <w:rPr>
          <w:rtl/>
        </w:rPr>
        <w:t>،</w:t>
      </w:r>
      <w:r w:rsidRPr="00A52585">
        <w:rPr>
          <w:rtl/>
        </w:rPr>
        <w:t xml:space="preserve"> </w:t>
      </w:r>
      <w:proofErr w:type="spellStart"/>
      <w:r w:rsidRPr="00A52585">
        <w:rPr>
          <w:rtl/>
        </w:rPr>
        <w:t>أواستواء</w:t>
      </w:r>
      <w:proofErr w:type="spellEnd"/>
      <w:r w:rsidRPr="00A52585">
        <w:rPr>
          <w:rtl/>
        </w:rPr>
        <w:t xml:space="preserve"> نوح عليه السلام على السفينة إلخ</w:t>
      </w:r>
      <w:r w:rsidR="00DB731D" w:rsidRPr="00A52585">
        <w:rPr>
          <w:rtl/>
        </w:rPr>
        <w:t>،</w:t>
      </w:r>
      <w:r w:rsidRPr="00A52585">
        <w:rPr>
          <w:rtl/>
        </w:rPr>
        <w:t xml:space="preserve"> </w:t>
      </w:r>
      <w:proofErr w:type="spellStart"/>
      <w:r w:rsidRPr="00A52585">
        <w:rPr>
          <w:rtl/>
        </w:rPr>
        <w:t>ولوكانت</w:t>
      </w:r>
      <w:proofErr w:type="spellEnd"/>
      <w:r w:rsidRPr="00A52585">
        <w:rPr>
          <w:rtl/>
        </w:rPr>
        <w:t xml:space="preserve"> الآية مسوقة لإثبات مجرد ظاهر الاستواء لقال تعالى</w:t>
      </w:r>
      <w:r w:rsidR="0002035C" w:rsidRPr="00A52585">
        <w:rPr>
          <w:rtl/>
        </w:rPr>
        <w:t>:</w:t>
      </w:r>
      <w:r w:rsidRPr="00A52585">
        <w:rPr>
          <w:rtl/>
        </w:rPr>
        <w:t xml:space="preserve"> </w:t>
      </w:r>
      <w:r w:rsidR="0002035C" w:rsidRPr="00A52585">
        <w:rPr>
          <w:rtl/>
        </w:rPr>
        <w:t>(</w:t>
      </w:r>
      <w:r w:rsidRPr="00A52585">
        <w:rPr>
          <w:rtl/>
        </w:rPr>
        <w:t>إن ربكم الله الذى استوى على العرش</w:t>
      </w:r>
      <w:r w:rsidR="0002035C" w:rsidRPr="00A52585">
        <w:rPr>
          <w:rtl/>
        </w:rPr>
        <w:t>)</w:t>
      </w:r>
      <w:r w:rsidRPr="00A52585">
        <w:rPr>
          <w:rtl/>
        </w:rPr>
        <w:t xml:space="preserve"> وبما أن هذا لم يرد في </w:t>
      </w:r>
      <w:proofErr w:type="spellStart"/>
      <w:r w:rsidRPr="00A52585">
        <w:rPr>
          <w:rtl/>
        </w:rPr>
        <w:t>أى</w:t>
      </w:r>
      <w:proofErr w:type="spellEnd"/>
      <w:r w:rsidRPr="00A52585">
        <w:rPr>
          <w:rtl/>
        </w:rPr>
        <w:t xml:space="preserve"> آية من آيات </w:t>
      </w:r>
      <w:proofErr w:type="spellStart"/>
      <w:r w:rsidRPr="00A52585">
        <w:rPr>
          <w:rtl/>
        </w:rPr>
        <w:t>لاذكر</w:t>
      </w:r>
      <w:proofErr w:type="spellEnd"/>
      <w:r w:rsidRPr="00A52585">
        <w:rPr>
          <w:rtl/>
        </w:rPr>
        <w:t xml:space="preserve"> الحكيم</w:t>
      </w:r>
      <w:r w:rsidR="00DB731D" w:rsidRPr="00A52585">
        <w:rPr>
          <w:rtl/>
        </w:rPr>
        <w:t>،</w:t>
      </w:r>
      <w:r w:rsidRPr="00A52585">
        <w:rPr>
          <w:rtl/>
        </w:rPr>
        <w:t xml:space="preserve"> فقد دل هذا على أنه ليس المقصود من آيات الاستواء ما يفهم من ظاهر اللفظ كالاستقرار والجلوس</w:t>
      </w:r>
      <w:r w:rsidR="00DB731D" w:rsidRPr="00A52585">
        <w:rPr>
          <w:rtl/>
        </w:rPr>
        <w:t>،</w:t>
      </w:r>
      <w:r w:rsidRPr="00A52585">
        <w:rPr>
          <w:rtl/>
        </w:rPr>
        <w:t xml:space="preserve"> ومن لم يراع ما يتصل بهذا اللفظ لم يكن سلفياً</w:t>
      </w:r>
      <w:r w:rsidR="00DB731D" w:rsidRPr="00A52585">
        <w:rPr>
          <w:rtl/>
        </w:rPr>
        <w:t>،</w:t>
      </w:r>
      <w:r w:rsidRPr="00A52585">
        <w:rPr>
          <w:rFonts w:hint="cs"/>
          <w:rtl/>
        </w:rPr>
        <w:t xml:space="preserve"> </w:t>
      </w:r>
      <w:r w:rsidRPr="00A52585">
        <w:rPr>
          <w:rtl/>
        </w:rPr>
        <w:t xml:space="preserve">من ذلك نعلم أن ما ورد في الكتاب العزيز عن العلو، والاستواء مخالف لما ادعاه </w:t>
      </w:r>
      <w:proofErr w:type="spellStart"/>
      <w:r w:rsidRPr="00A52585">
        <w:rPr>
          <w:rtl/>
        </w:rPr>
        <w:t>القصيمى</w:t>
      </w:r>
      <w:proofErr w:type="spellEnd"/>
      <w:r w:rsidR="00DB731D" w:rsidRPr="00A52585">
        <w:rPr>
          <w:rtl/>
        </w:rPr>
        <w:t>،</w:t>
      </w:r>
      <w:r w:rsidRPr="00A52585">
        <w:rPr>
          <w:rtl/>
        </w:rPr>
        <w:t xml:space="preserve"> وأن دعواه بأن الكتاب والسنة قد نطقا بها هي دعوى باطلة ومغلطة ظاهرة</w:t>
      </w:r>
      <w:r w:rsidR="00DB731D" w:rsidRPr="00A52585">
        <w:rPr>
          <w:rtl/>
        </w:rPr>
        <w:t>،</w:t>
      </w:r>
      <w:r w:rsidR="0002035C" w:rsidRPr="00A52585">
        <w:rPr>
          <w:rFonts w:hint="cs"/>
          <w:rtl/>
        </w:rPr>
        <w:t xml:space="preserve"> </w:t>
      </w:r>
      <w:r w:rsidRPr="00A52585">
        <w:rPr>
          <w:rtl/>
        </w:rPr>
        <w:t>د- لا يلزم من عدم ورود النهى بهذا اللفظ وهو</w:t>
      </w:r>
      <w:r w:rsidR="0002035C" w:rsidRPr="00A52585">
        <w:rPr>
          <w:rtl/>
        </w:rPr>
        <w:t>:</w:t>
      </w:r>
      <w:r w:rsidRPr="00A52585">
        <w:rPr>
          <w:rtl/>
        </w:rPr>
        <w:t xml:space="preserve"> </w:t>
      </w:r>
      <w:r w:rsidR="0002035C" w:rsidRPr="00A52585">
        <w:rPr>
          <w:rtl/>
        </w:rPr>
        <w:t>(</w:t>
      </w:r>
      <w:r w:rsidRPr="00A52585">
        <w:rPr>
          <w:rtl/>
        </w:rPr>
        <w:t xml:space="preserve">لا تعتقدوا أن الله </w:t>
      </w:r>
      <w:proofErr w:type="spellStart"/>
      <w:r w:rsidRPr="00A52585">
        <w:rPr>
          <w:rtl/>
        </w:rPr>
        <w:t>مستوعلى</w:t>
      </w:r>
      <w:proofErr w:type="spellEnd"/>
      <w:r w:rsidRPr="00A52585">
        <w:rPr>
          <w:rtl/>
        </w:rPr>
        <w:t xml:space="preserve"> عرشه</w:t>
      </w:r>
      <w:r w:rsidR="0002035C" w:rsidRPr="00A52585">
        <w:rPr>
          <w:rtl/>
        </w:rPr>
        <w:t>)</w:t>
      </w:r>
      <w:r w:rsidRPr="00A52585">
        <w:rPr>
          <w:rtl/>
        </w:rPr>
        <w:t xml:space="preserve"> أنه يجوز اعتقاده</w:t>
      </w:r>
      <w:r w:rsidR="00DB731D" w:rsidRPr="00A52585">
        <w:rPr>
          <w:rtl/>
        </w:rPr>
        <w:t>،</w:t>
      </w:r>
      <w:r w:rsidRPr="00A52585">
        <w:rPr>
          <w:rtl/>
        </w:rPr>
        <w:t xml:space="preserve"> كما لا يلزم من عدم ورود نهى صريح عن اعتقاده أن الله تعالى جسم</w:t>
      </w:r>
      <w:r w:rsidR="00DB731D" w:rsidRPr="00A52585">
        <w:rPr>
          <w:rtl/>
        </w:rPr>
        <w:t>،</w:t>
      </w:r>
      <w:r w:rsidRPr="00A52585">
        <w:rPr>
          <w:rtl/>
        </w:rPr>
        <w:t xml:space="preserve"> </w:t>
      </w:r>
      <w:proofErr w:type="spellStart"/>
      <w:r w:rsidRPr="00A52585">
        <w:rPr>
          <w:rtl/>
        </w:rPr>
        <w:t>أومتحيز</w:t>
      </w:r>
      <w:proofErr w:type="spellEnd"/>
      <w:r w:rsidR="00DB731D" w:rsidRPr="00A52585">
        <w:rPr>
          <w:rtl/>
        </w:rPr>
        <w:t>،</w:t>
      </w:r>
      <w:r w:rsidRPr="00A52585">
        <w:rPr>
          <w:rtl/>
        </w:rPr>
        <w:t xml:space="preserve"> </w:t>
      </w:r>
      <w:proofErr w:type="spellStart"/>
      <w:r w:rsidRPr="00A52585">
        <w:rPr>
          <w:rtl/>
        </w:rPr>
        <w:t>أومحدود</w:t>
      </w:r>
      <w:proofErr w:type="spellEnd"/>
      <w:r w:rsidRPr="00A52585">
        <w:rPr>
          <w:rtl/>
        </w:rPr>
        <w:t xml:space="preserve"> أنه يجوز اعتقاده كذلك</w:t>
      </w:r>
      <w:r w:rsidR="00DB731D" w:rsidRPr="00A52585">
        <w:rPr>
          <w:rtl/>
        </w:rPr>
        <w:t>،</w:t>
      </w:r>
      <w:r w:rsidRPr="00A52585">
        <w:rPr>
          <w:rtl/>
        </w:rPr>
        <w:t xml:space="preserve"> فهذا ممنوع بدلالة الآية المحكمة وهو قوله تعالى</w:t>
      </w:r>
      <w:r w:rsidR="0002035C" w:rsidRPr="00A52585">
        <w:rPr>
          <w:rtl/>
        </w:rPr>
        <w:t>:</w:t>
      </w:r>
      <w:r w:rsidRPr="00A52585">
        <w:rPr>
          <w:rtl/>
        </w:rPr>
        <w:t xml:space="preserve"> ? ليس كمثله </w:t>
      </w:r>
      <w:proofErr w:type="spellStart"/>
      <w:r w:rsidRPr="00A52585">
        <w:rPr>
          <w:rtl/>
        </w:rPr>
        <w:t>شئ</w:t>
      </w:r>
      <w:proofErr w:type="spellEnd"/>
      <w:r w:rsidRPr="00A52585">
        <w:rPr>
          <w:rtl/>
        </w:rPr>
        <w:t>? وبدلالة العقل أيضاً</w:t>
      </w:r>
      <w:r w:rsidR="00DB731D" w:rsidRPr="00A52585">
        <w:rPr>
          <w:rtl/>
        </w:rPr>
        <w:t>،</w:t>
      </w:r>
      <w:r w:rsidRPr="00A52585">
        <w:rPr>
          <w:rtl/>
        </w:rPr>
        <w:t xml:space="preserve"> فضلاً عن ذلك فإننا لا يصح أن نعتقد إلا ما ورد الإذن به في القرآن الكريم</w:t>
      </w:r>
      <w:r w:rsidR="00DB731D" w:rsidRPr="00A52585">
        <w:rPr>
          <w:rtl/>
        </w:rPr>
        <w:t>،</w:t>
      </w:r>
      <w:r w:rsidRPr="00A52585">
        <w:rPr>
          <w:rtl/>
        </w:rPr>
        <w:t xml:space="preserve"> وكل عقيده لم ترد في القرآن</w:t>
      </w:r>
      <w:r w:rsidR="00DB731D" w:rsidRPr="00A52585">
        <w:rPr>
          <w:rtl/>
        </w:rPr>
        <w:t>،</w:t>
      </w:r>
      <w:r w:rsidRPr="00A52585">
        <w:rPr>
          <w:rtl/>
        </w:rPr>
        <w:t xml:space="preserve"> </w:t>
      </w:r>
      <w:proofErr w:type="spellStart"/>
      <w:r w:rsidRPr="00A52585">
        <w:rPr>
          <w:rtl/>
        </w:rPr>
        <w:t>أويوجبها</w:t>
      </w:r>
      <w:proofErr w:type="spellEnd"/>
      <w:r w:rsidRPr="00A52585">
        <w:rPr>
          <w:rtl/>
        </w:rPr>
        <w:t xml:space="preserve"> العقل بالدليل </w:t>
      </w:r>
      <w:proofErr w:type="spellStart"/>
      <w:r w:rsidRPr="00A52585">
        <w:rPr>
          <w:rtl/>
        </w:rPr>
        <w:t>المنطقى</w:t>
      </w:r>
      <w:proofErr w:type="spellEnd"/>
      <w:r w:rsidRPr="00A52585">
        <w:rPr>
          <w:rtl/>
        </w:rPr>
        <w:t xml:space="preserve"> تكون اختراعاً وابتداعاً</w:t>
      </w:r>
      <w:r w:rsidR="00DB731D" w:rsidRPr="00A52585">
        <w:rPr>
          <w:rtl/>
        </w:rPr>
        <w:t>،</w:t>
      </w:r>
      <w:r w:rsidR="0002035C" w:rsidRPr="00A52585">
        <w:rPr>
          <w:rFonts w:hint="cs"/>
          <w:rtl/>
        </w:rPr>
        <w:t xml:space="preserve"> </w:t>
      </w:r>
      <w:r w:rsidRPr="00A52585">
        <w:rPr>
          <w:rtl/>
        </w:rPr>
        <w:t>هـ- كما أنه لا يوجد آية فيها</w:t>
      </w:r>
      <w:r w:rsidR="0002035C" w:rsidRPr="00A52585">
        <w:rPr>
          <w:rtl/>
        </w:rPr>
        <w:t>:</w:t>
      </w:r>
      <w:r w:rsidRPr="00A52585">
        <w:rPr>
          <w:rtl/>
        </w:rPr>
        <w:t xml:space="preserve"> </w:t>
      </w:r>
      <w:r w:rsidR="0002035C" w:rsidRPr="00A52585">
        <w:rPr>
          <w:rtl/>
        </w:rPr>
        <w:t>(</w:t>
      </w:r>
      <w:r w:rsidRPr="00A52585">
        <w:rPr>
          <w:rtl/>
        </w:rPr>
        <w:t xml:space="preserve">يجب عليكم أن تؤولوا هذه النصوص وأن تصرفوها عما </w:t>
      </w:r>
      <w:proofErr w:type="spellStart"/>
      <w:r w:rsidRPr="00A52585">
        <w:rPr>
          <w:rtl/>
        </w:rPr>
        <w:t>يبدومنها</w:t>
      </w:r>
      <w:proofErr w:type="spellEnd"/>
      <w:r w:rsidR="0002035C" w:rsidRPr="00A52585">
        <w:rPr>
          <w:rtl/>
        </w:rPr>
        <w:t>)</w:t>
      </w:r>
      <w:r w:rsidR="00DB731D" w:rsidRPr="00A52585">
        <w:rPr>
          <w:rtl/>
        </w:rPr>
        <w:t>،</w:t>
      </w:r>
      <w:r w:rsidRPr="00A52585">
        <w:rPr>
          <w:rtl/>
        </w:rPr>
        <w:t xml:space="preserve"> فكذلك لا توجد آية ذكر فيها</w:t>
      </w:r>
      <w:r w:rsidR="0002035C" w:rsidRPr="00A52585">
        <w:rPr>
          <w:rtl/>
        </w:rPr>
        <w:t>:</w:t>
      </w:r>
      <w:r w:rsidRPr="00A52585">
        <w:rPr>
          <w:rtl/>
        </w:rPr>
        <w:t xml:space="preserve"> ولا تؤولوا هذه النصوص المتشابهة ولا </w:t>
      </w:r>
      <w:proofErr w:type="spellStart"/>
      <w:r w:rsidRPr="00A52585">
        <w:rPr>
          <w:rtl/>
        </w:rPr>
        <w:t>تصروفوها</w:t>
      </w:r>
      <w:proofErr w:type="spellEnd"/>
      <w:r w:rsidRPr="00A52585">
        <w:rPr>
          <w:rtl/>
        </w:rPr>
        <w:t xml:space="preserve"> عن ظاهرها إذا كان ظاهرها مخالفاً للآية المحكمة </w:t>
      </w:r>
      <w:proofErr w:type="gramStart"/>
      <w:r w:rsidRPr="00A52585">
        <w:rPr>
          <w:rtl/>
        </w:rPr>
        <w:t>وهى</w:t>
      </w:r>
      <w:proofErr w:type="gramEnd"/>
      <w:r w:rsidRPr="00A52585">
        <w:rPr>
          <w:rtl/>
        </w:rPr>
        <w:t xml:space="preserve"> قوله تعالى ? ليس كمثله </w:t>
      </w:r>
      <w:proofErr w:type="spellStart"/>
      <w:r w:rsidRPr="00A52585">
        <w:rPr>
          <w:rtl/>
        </w:rPr>
        <w:t>شئ</w:t>
      </w:r>
      <w:proofErr w:type="spellEnd"/>
      <w:r w:rsidRPr="00A52585">
        <w:rPr>
          <w:rtl/>
        </w:rPr>
        <w:t xml:space="preserve">? </w:t>
      </w:r>
      <w:proofErr w:type="spellStart"/>
      <w:r w:rsidRPr="00A52585">
        <w:rPr>
          <w:rtl/>
        </w:rPr>
        <w:t>أوأدى</w:t>
      </w:r>
      <w:proofErr w:type="spellEnd"/>
      <w:r w:rsidRPr="00A52585">
        <w:rPr>
          <w:rtl/>
        </w:rPr>
        <w:t xml:space="preserve"> ظاهرها إلى إبهام وجود التناقض في كلام الله تعالى بين الآيات المتشابهات</w:t>
      </w:r>
      <w:r w:rsidR="00DB731D" w:rsidRPr="00A52585">
        <w:rPr>
          <w:rtl/>
        </w:rPr>
        <w:t>،</w:t>
      </w:r>
      <w:r w:rsidRPr="00A52585">
        <w:rPr>
          <w:rtl/>
        </w:rPr>
        <w:t xml:space="preserve"> والمحكمات</w:t>
      </w:r>
      <w:r w:rsidR="00DB731D" w:rsidRPr="00A52585">
        <w:rPr>
          <w:rtl/>
        </w:rPr>
        <w:t>،</w:t>
      </w:r>
      <w:r w:rsidRPr="00A52585">
        <w:rPr>
          <w:rFonts w:hint="cs"/>
          <w:rtl/>
        </w:rPr>
        <w:t xml:space="preserve"> </w:t>
      </w:r>
      <w:r w:rsidRPr="00A52585">
        <w:rPr>
          <w:rtl/>
        </w:rPr>
        <w:t xml:space="preserve">و- إذا كان التأويل لهذه الحكمة الضرورية خطأ فلماذا جرى </w:t>
      </w:r>
      <w:r w:rsidR="0002035C" w:rsidRPr="00A52585">
        <w:rPr>
          <w:rtl/>
        </w:rPr>
        <w:t>(</w:t>
      </w:r>
      <w:proofErr w:type="spellStart"/>
      <w:r w:rsidRPr="00A52585">
        <w:rPr>
          <w:rtl/>
        </w:rPr>
        <w:t>القصيمى</w:t>
      </w:r>
      <w:proofErr w:type="spellEnd"/>
      <w:r w:rsidRPr="00A52585">
        <w:rPr>
          <w:rtl/>
        </w:rPr>
        <w:t xml:space="preserve"> </w:t>
      </w:r>
      <w:proofErr w:type="spellStart"/>
      <w:r w:rsidRPr="00A52585">
        <w:rPr>
          <w:rtl/>
        </w:rPr>
        <w:t>والمسلاوى</w:t>
      </w:r>
      <w:proofErr w:type="spellEnd"/>
      <w:r w:rsidR="0002035C" w:rsidRPr="00A52585">
        <w:rPr>
          <w:rtl/>
        </w:rPr>
        <w:t>)</w:t>
      </w:r>
      <w:r w:rsidRPr="00A52585">
        <w:rPr>
          <w:rtl/>
        </w:rPr>
        <w:t xml:space="preserve"> مع تأويل ابن القيم والذهبي</w:t>
      </w:r>
      <w:r w:rsidR="00DB731D" w:rsidRPr="00A52585">
        <w:rPr>
          <w:rtl/>
        </w:rPr>
        <w:t>،</w:t>
      </w:r>
      <w:r w:rsidRPr="00A52585">
        <w:rPr>
          <w:rtl/>
        </w:rPr>
        <w:t xml:space="preserve"> وغيرهم المعية بالعلم في قوله تعالى</w:t>
      </w:r>
      <w:r w:rsidR="0002035C" w:rsidRPr="00A52585">
        <w:rPr>
          <w:rtl/>
        </w:rPr>
        <w:t>:</w:t>
      </w:r>
      <w:r w:rsidRPr="00A52585">
        <w:rPr>
          <w:rtl/>
        </w:rPr>
        <w:t xml:space="preserve"> ? هو </w:t>
      </w:r>
      <w:proofErr w:type="gramStart"/>
      <w:r w:rsidRPr="00A52585">
        <w:rPr>
          <w:rtl/>
        </w:rPr>
        <w:t>الذى</w:t>
      </w:r>
      <w:proofErr w:type="gramEnd"/>
      <w:r w:rsidRPr="00A52585">
        <w:rPr>
          <w:rtl/>
        </w:rPr>
        <w:t xml:space="preserve"> خلق السموات والارض في ستة أيام ثم استوى على العرش يعلم ما </w:t>
      </w:r>
      <w:r w:rsidRPr="00A52585">
        <w:rPr>
          <w:rtl/>
        </w:rPr>
        <w:lastRenderedPageBreak/>
        <w:t>يلج في الأرض وما يخرج منها وما ينزل من السماء وما يعرج فيها وهو معكم أين ما كنتم والله بما تعملون بصير?</w:t>
      </w:r>
      <w:r w:rsidRPr="00A52585">
        <w:rPr>
          <w:rFonts w:hint="cs"/>
          <w:rtl/>
        </w:rPr>
        <w:t xml:space="preserve"> </w:t>
      </w:r>
      <w:r w:rsidRPr="00A52585">
        <w:rPr>
          <w:rtl/>
        </w:rPr>
        <w:t>فإن كان تأويلها بسبب أن ظاهر المعية يوهم التحديد</w:t>
      </w:r>
      <w:r w:rsidR="00DB731D" w:rsidRPr="00A52585">
        <w:rPr>
          <w:rtl/>
        </w:rPr>
        <w:t>،</w:t>
      </w:r>
      <w:r w:rsidRPr="00A52585">
        <w:rPr>
          <w:rtl/>
        </w:rPr>
        <w:t xml:space="preserve"> فكذلك ظاهر الاستواء على العرش يوهم التحديد</w:t>
      </w:r>
      <w:r w:rsidR="00DB731D" w:rsidRPr="00A52585">
        <w:rPr>
          <w:rtl/>
        </w:rPr>
        <w:t>،</w:t>
      </w:r>
      <w:r w:rsidRPr="00A52585">
        <w:rPr>
          <w:rtl/>
        </w:rPr>
        <w:t xml:space="preserve"> فكما أولوا المعية كان يجب عليهم تأويل الاستواء لأن كلا منهما </w:t>
      </w:r>
      <w:proofErr w:type="gramStart"/>
      <w:r w:rsidRPr="00A52585">
        <w:rPr>
          <w:rtl/>
        </w:rPr>
        <w:t>يقتضى</w:t>
      </w:r>
      <w:proofErr w:type="gramEnd"/>
      <w:r w:rsidRPr="00A52585">
        <w:rPr>
          <w:rtl/>
        </w:rPr>
        <w:t xml:space="preserve"> التحيز والتحديد</w:t>
      </w:r>
      <w:r w:rsidR="00DB731D" w:rsidRPr="00A52585">
        <w:rPr>
          <w:rtl/>
        </w:rPr>
        <w:t>،</w:t>
      </w:r>
      <w:r w:rsidRPr="00A52585">
        <w:rPr>
          <w:rtl/>
        </w:rPr>
        <w:t xml:space="preserve"> وإذا كان ظاهر الاستواء لا يستلزم التحديد في رأيهم فظاهر المعية أيضاً لا يستلزم التحديد على رأيهم</w:t>
      </w:r>
      <w:r w:rsidR="00DB731D" w:rsidRPr="00A52585">
        <w:rPr>
          <w:rtl/>
        </w:rPr>
        <w:t>،</w:t>
      </w:r>
      <w:r w:rsidRPr="00A52585">
        <w:rPr>
          <w:rFonts w:hint="cs"/>
          <w:rtl/>
        </w:rPr>
        <w:t xml:space="preserve"> </w:t>
      </w:r>
      <w:r w:rsidRPr="00A52585">
        <w:rPr>
          <w:rtl/>
        </w:rPr>
        <w:t xml:space="preserve">وهنا نسأل </w:t>
      </w:r>
      <w:proofErr w:type="spellStart"/>
      <w:r w:rsidRPr="00A52585">
        <w:rPr>
          <w:rtl/>
        </w:rPr>
        <w:t>القصيمى</w:t>
      </w:r>
      <w:proofErr w:type="spellEnd"/>
      <w:r w:rsidR="0002035C" w:rsidRPr="00A52585">
        <w:rPr>
          <w:rtl/>
        </w:rPr>
        <w:t>:</w:t>
      </w:r>
      <w:r w:rsidRPr="00A52585">
        <w:rPr>
          <w:rtl/>
        </w:rPr>
        <w:t xml:space="preserve"> </w:t>
      </w:r>
      <w:r w:rsidR="0002035C" w:rsidRPr="00A52585">
        <w:rPr>
          <w:rtl/>
        </w:rPr>
        <w:t>(</w:t>
      </w:r>
      <w:r w:rsidRPr="00A52585">
        <w:rPr>
          <w:rtl/>
        </w:rPr>
        <w:t>لماذا قبلت تأويل المعية</w:t>
      </w:r>
      <w:r w:rsidR="0002035C" w:rsidRPr="00A52585">
        <w:rPr>
          <w:rtl/>
        </w:rPr>
        <w:t>)</w:t>
      </w:r>
      <w:r w:rsidR="00F95886" w:rsidRPr="00A52585">
        <w:rPr>
          <w:rtl/>
        </w:rPr>
        <w:t>؟</w:t>
      </w:r>
      <w:r w:rsidRPr="00A52585">
        <w:rPr>
          <w:rtl/>
        </w:rPr>
        <w:t xml:space="preserve"> </w:t>
      </w:r>
      <w:proofErr w:type="spellStart"/>
      <w:r w:rsidRPr="00A52585">
        <w:rPr>
          <w:rtl/>
        </w:rPr>
        <w:t>ألكونها</w:t>
      </w:r>
      <w:proofErr w:type="spellEnd"/>
      <w:r w:rsidRPr="00A52585">
        <w:rPr>
          <w:rtl/>
        </w:rPr>
        <w:t xml:space="preserve"> ظرفية وكون ظاهرها يوهم التحديد</w:t>
      </w:r>
      <w:r w:rsidR="00DB731D" w:rsidRPr="00A52585">
        <w:rPr>
          <w:rtl/>
        </w:rPr>
        <w:t>،</w:t>
      </w:r>
      <w:r w:rsidRPr="00A52585">
        <w:rPr>
          <w:rtl/>
        </w:rPr>
        <w:t xml:space="preserve"> والمكان أم لأجل التخلص من التناقض الذى </w:t>
      </w:r>
      <w:proofErr w:type="spellStart"/>
      <w:r w:rsidRPr="00A52585">
        <w:rPr>
          <w:rtl/>
        </w:rPr>
        <w:t>توهمته</w:t>
      </w:r>
      <w:proofErr w:type="spellEnd"/>
      <w:r w:rsidRPr="00A52585">
        <w:rPr>
          <w:rtl/>
        </w:rPr>
        <w:t xml:space="preserve"> في الآية الشريفة</w:t>
      </w:r>
      <w:r w:rsidR="00DB731D" w:rsidRPr="00A52585">
        <w:rPr>
          <w:rtl/>
        </w:rPr>
        <w:t>،</w:t>
      </w:r>
      <w:r w:rsidRPr="00A52585">
        <w:rPr>
          <w:rtl/>
        </w:rPr>
        <w:t xml:space="preserve"> لأنك تعتقد كجماعتك أن الاستواء الظاهر لا يكون إلا مكانياً</w:t>
      </w:r>
      <w:r w:rsidR="00DB731D" w:rsidRPr="00A52585">
        <w:rPr>
          <w:rtl/>
        </w:rPr>
        <w:t>،</w:t>
      </w:r>
      <w:r w:rsidRPr="00A52585">
        <w:rPr>
          <w:rtl/>
        </w:rPr>
        <w:t xml:space="preserve"> والمعية لا تكون إلا مكانية</w:t>
      </w:r>
      <w:r w:rsidR="00DB731D" w:rsidRPr="00A52585">
        <w:rPr>
          <w:rtl/>
        </w:rPr>
        <w:t>،</w:t>
      </w:r>
      <w:r w:rsidRPr="00A52585">
        <w:rPr>
          <w:rtl/>
        </w:rPr>
        <w:t xml:space="preserve"> وأن وجود ذاته تعالى معنا في الأرض مناقض لوجود ذاته تعالى فوق العرش</w:t>
      </w:r>
      <w:r w:rsidR="00DB731D" w:rsidRPr="00A52585">
        <w:rPr>
          <w:rtl/>
        </w:rPr>
        <w:t>،</w:t>
      </w:r>
      <w:r w:rsidRPr="00A52585">
        <w:rPr>
          <w:rtl/>
        </w:rPr>
        <w:t xml:space="preserve"> لذلك أولت المعية بالعلم</w:t>
      </w:r>
      <w:r w:rsidR="00DB731D" w:rsidRPr="00A52585">
        <w:rPr>
          <w:rtl/>
        </w:rPr>
        <w:t>،</w:t>
      </w:r>
      <w:r w:rsidRPr="00A52585">
        <w:rPr>
          <w:rtl/>
        </w:rPr>
        <w:t xml:space="preserve"> وتركت الاستواء بغير تأويل</w:t>
      </w:r>
      <w:r w:rsidR="00DB731D" w:rsidRPr="00A52585">
        <w:rPr>
          <w:rtl/>
        </w:rPr>
        <w:t>،</w:t>
      </w:r>
      <w:r w:rsidRPr="00A52585">
        <w:rPr>
          <w:rtl/>
        </w:rPr>
        <w:t xml:space="preserve"> فوقعت في التشبيه ولو</w:t>
      </w:r>
      <w:r w:rsidRPr="00A52585">
        <w:rPr>
          <w:rFonts w:hint="cs"/>
          <w:rtl/>
        </w:rPr>
        <w:t xml:space="preserve"> </w:t>
      </w:r>
      <w:r w:rsidRPr="00A52585">
        <w:rPr>
          <w:rtl/>
        </w:rPr>
        <w:t>أولتهما معاً لما وقعت في ذلك</w:t>
      </w:r>
      <w:r w:rsidR="00DB731D" w:rsidRPr="00A52585">
        <w:rPr>
          <w:rtl/>
        </w:rPr>
        <w:t>،</w:t>
      </w:r>
      <w:r w:rsidRPr="00A52585">
        <w:rPr>
          <w:rtl/>
        </w:rPr>
        <w:t xml:space="preserve"> فكما أن ظاهر المعية لا يعقل بغير التحديد والتحيز في الأمكنة</w:t>
      </w:r>
      <w:r w:rsidR="00DB731D" w:rsidRPr="00A52585">
        <w:rPr>
          <w:rtl/>
        </w:rPr>
        <w:t>،</w:t>
      </w:r>
      <w:r w:rsidRPr="00A52585">
        <w:rPr>
          <w:rtl/>
        </w:rPr>
        <w:t xml:space="preserve"> </w:t>
      </w:r>
      <w:proofErr w:type="spellStart"/>
      <w:r w:rsidRPr="00A52585">
        <w:rPr>
          <w:rtl/>
        </w:rPr>
        <w:t>فنسة</w:t>
      </w:r>
      <w:proofErr w:type="spellEnd"/>
      <w:r w:rsidRPr="00A52585">
        <w:rPr>
          <w:rtl/>
        </w:rPr>
        <w:t xml:space="preserve"> ظاهر الاستواء على العرش لا يعقل بغير التحديد والتحيز في الأمكنة </w:t>
      </w:r>
      <w:proofErr w:type="spellStart"/>
      <w:r w:rsidRPr="00A52585">
        <w:rPr>
          <w:rtl/>
        </w:rPr>
        <w:t>فهوتشبية</w:t>
      </w:r>
      <w:proofErr w:type="spellEnd"/>
      <w:r w:rsidRPr="00A52585">
        <w:rPr>
          <w:rtl/>
        </w:rPr>
        <w:t xml:space="preserve"> أيضاً ومحال على الله تعالى</w:t>
      </w:r>
      <w:r w:rsidR="00DB731D" w:rsidRPr="00A52585">
        <w:rPr>
          <w:rtl/>
        </w:rPr>
        <w:t>،</w:t>
      </w:r>
      <w:r w:rsidRPr="00A52585">
        <w:rPr>
          <w:rtl/>
        </w:rPr>
        <w:t xml:space="preserve"> فكما خالفت مبدأك</w:t>
      </w:r>
      <w:r w:rsidR="00DB731D" w:rsidRPr="00A52585">
        <w:rPr>
          <w:rtl/>
        </w:rPr>
        <w:t>،</w:t>
      </w:r>
      <w:r w:rsidRPr="00A52585">
        <w:rPr>
          <w:rtl/>
        </w:rPr>
        <w:t xml:space="preserve"> وأولت المعية بأنها معنوية كناية عن العلم فراراً من </w:t>
      </w:r>
      <w:proofErr w:type="spellStart"/>
      <w:r w:rsidRPr="00A52585">
        <w:rPr>
          <w:rtl/>
        </w:rPr>
        <w:t>التشبية</w:t>
      </w:r>
      <w:proofErr w:type="spellEnd"/>
      <w:r w:rsidRPr="00A52585">
        <w:rPr>
          <w:rtl/>
        </w:rPr>
        <w:t xml:space="preserve"> يجب أن </w:t>
      </w:r>
      <w:proofErr w:type="spellStart"/>
      <w:r w:rsidRPr="00A52585">
        <w:rPr>
          <w:rtl/>
        </w:rPr>
        <w:t>تؤوول</w:t>
      </w:r>
      <w:proofErr w:type="spellEnd"/>
      <w:r w:rsidRPr="00A52585">
        <w:rPr>
          <w:rtl/>
        </w:rPr>
        <w:t xml:space="preserve"> الاستواء بأنه كناية عن الملك والتصريف فراراً من التشبيه</w:t>
      </w:r>
      <w:r w:rsidR="00DB731D" w:rsidRPr="00A52585">
        <w:rPr>
          <w:rtl/>
        </w:rPr>
        <w:t>،</w:t>
      </w:r>
      <w:r w:rsidRPr="00A52585">
        <w:rPr>
          <w:rtl/>
        </w:rPr>
        <w:t xml:space="preserve"> وإلا كنت كمن يكيل بكيلين إذا يحل لنفسه ما يحرمه على غيره</w:t>
      </w:r>
      <w:r w:rsidR="00DB731D" w:rsidRPr="00A52585">
        <w:rPr>
          <w:rtl/>
        </w:rPr>
        <w:t>،</w:t>
      </w:r>
      <w:r w:rsidRPr="00A52585">
        <w:rPr>
          <w:rtl/>
        </w:rPr>
        <w:t xml:space="preserve"> ولا شك أنه لا يقول بهذا عاقل</w:t>
      </w:r>
      <w:r w:rsidR="00DB731D" w:rsidRPr="00A52585">
        <w:rPr>
          <w:rtl/>
        </w:rPr>
        <w:t>،</w:t>
      </w:r>
      <w:r w:rsidR="0002035C" w:rsidRPr="00A52585">
        <w:rPr>
          <w:rFonts w:hint="cs"/>
          <w:rtl/>
        </w:rPr>
        <w:t xml:space="preserve"> </w:t>
      </w:r>
    </w:p>
    <w:p w14:paraId="1CF05378" w14:textId="00E1F7DE" w:rsidR="00777DCB" w:rsidRPr="00A52585" w:rsidRDefault="00777DCB" w:rsidP="0002035C">
      <w:pPr>
        <w:spacing w:after="240"/>
        <w:rPr>
          <w:rtl/>
        </w:rPr>
      </w:pPr>
      <w:r w:rsidRPr="00A52585">
        <w:rPr>
          <w:rFonts w:cs="Monotype Koufi"/>
          <w:rtl/>
          <w:lang w:bidi="ar-KW"/>
        </w:rPr>
        <w:t xml:space="preserve">2- مغالطات </w:t>
      </w:r>
      <w:proofErr w:type="spellStart"/>
      <w:r w:rsidRPr="00A52585">
        <w:rPr>
          <w:rFonts w:cs="Monotype Koufi"/>
          <w:rtl/>
          <w:lang w:bidi="ar-KW"/>
        </w:rPr>
        <w:t>القصيمي</w:t>
      </w:r>
      <w:proofErr w:type="spellEnd"/>
      <w:r w:rsidR="0002035C" w:rsidRPr="00A52585">
        <w:rPr>
          <w:rFonts w:cs="Monotype Koufi" w:hint="cs"/>
          <w:rtl/>
          <w:lang w:bidi="ar-KW"/>
        </w:rPr>
        <w:t>:</w:t>
      </w:r>
      <w:r w:rsidRPr="00A52585">
        <w:rPr>
          <w:rFonts w:hint="cs"/>
          <w:rtl/>
        </w:rPr>
        <w:t xml:space="preserve"> </w:t>
      </w:r>
      <w:r w:rsidRPr="00A52585">
        <w:rPr>
          <w:rtl/>
        </w:rPr>
        <w:t xml:space="preserve">يقول </w:t>
      </w:r>
      <w:proofErr w:type="spellStart"/>
      <w:r w:rsidRPr="00A52585">
        <w:rPr>
          <w:rtl/>
        </w:rPr>
        <w:t>القصيمى</w:t>
      </w:r>
      <w:proofErr w:type="spellEnd"/>
      <w:r w:rsidRPr="00A52585">
        <w:rPr>
          <w:rtl/>
        </w:rPr>
        <w:t xml:space="preserve"> في </w:t>
      </w:r>
      <w:r w:rsidR="0002035C" w:rsidRPr="00A52585">
        <w:rPr>
          <w:rtl/>
        </w:rPr>
        <w:t>(</w:t>
      </w:r>
      <w:r w:rsidRPr="00A52585">
        <w:rPr>
          <w:rtl/>
        </w:rPr>
        <w:t>ص 45</w:t>
      </w:r>
      <w:r w:rsidR="0002035C" w:rsidRPr="00A52585">
        <w:rPr>
          <w:rtl/>
        </w:rPr>
        <w:t>)</w:t>
      </w:r>
      <w:r w:rsidRPr="00A52585">
        <w:rPr>
          <w:rtl/>
        </w:rPr>
        <w:t xml:space="preserve"> من العدد 27 ما نصه</w:t>
      </w:r>
      <w:r w:rsidR="0002035C" w:rsidRPr="00A52585">
        <w:rPr>
          <w:rtl/>
        </w:rPr>
        <w:t>:</w:t>
      </w:r>
      <w:r w:rsidRPr="00A52585">
        <w:rPr>
          <w:rFonts w:hint="cs"/>
          <w:rtl/>
        </w:rPr>
        <w:t xml:space="preserve"> </w:t>
      </w:r>
      <w:r w:rsidRPr="00A52585">
        <w:rPr>
          <w:rtl/>
        </w:rPr>
        <w:t>"هذا إلحاد صريح</w:t>
      </w:r>
      <w:r w:rsidR="00DB731D" w:rsidRPr="00A52585">
        <w:rPr>
          <w:rtl/>
        </w:rPr>
        <w:t>،</w:t>
      </w:r>
      <w:r w:rsidRPr="00A52585">
        <w:rPr>
          <w:rtl/>
        </w:rPr>
        <w:t xml:space="preserve"> بعد هذا نقول لكم</w:t>
      </w:r>
      <w:r w:rsidR="0002035C" w:rsidRPr="00A52585">
        <w:rPr>
          <w:rtl/>
        </w:rPr>
        <w:t>:</w:t>
      </w:r>
      <w:r w:rsidRPr="00A52585">
        <w:rPr>
          <w:rtl/>
        </w:rPr>
        <w:t xml:space="preserve"> اعلموا أن ما تدعون إليه من إنكار الاستواء والعلو، هو إلحاد صريح</w:t>
      </w:r>
      <w:r w:rsidR="00DB731D" w:rsidRPr="00A52585">
        <w:rPr>
          <w:rtl/>
        </w:rPr>
        <w:t>،</w:t>
      </w:r>
      <w:r w:rsidRPr="00A52585">
        <w:rPr>
          <w:rtl/>
        </w:rPr>
        <w:t xml:space="preserve"> وإنكار لوجود الله لا ريب فيه</w:t>
      </w:r>
      <w:r w:rsidR="00DB731D" w:rsidRPr="00A52585">
        <w:rPr>
          <w:rtl/>
        </w:rPr>
        <w:t>،</w:t>
      </w:r>
      <w:r w:rsidRPr="00A52585">
        <w:rPr>
          <w:rtl/>
        </w:rPr>
        <w:t xml:space="preserve"> ولكن عباراتكم منافقة جاهلة مخادعة</w:t>
      </w:r>
      <w:r w:rsidR="00DB731D" w:rsidRPr="00A52585">
        <w:rPr>
          <w:rtl/>
        </w:rPr>
        <w:t>،</w:t>
      </w:r>
      <w:r w:rsidRPr="00A52585">
        <w:rPr>
          <w:rtl/>
        </w:rPr>
        <w:t xml:space="preserve"> وإلا فلا فرق بين قولكم</w:t>
      </w:r>
      <w:r w:rsidR="00DB731D" w:rsidRPr="00A52585">
        <w:rPr>
          <w:rtl/>
        </w:rPr>
        <w:t>،</w:t>
      </w:r>
      <w:r w:rsidRPr="00A52585">
        <w:rPr>
          <w:rtl/>
        </w:rPr>
        <w:t xml:space="preserve"> إن للعالم رباً</w:t>
      </w:r>
      <w:r w:rsidR="00DB731D" w:rsidRPr="00A52585">
        <w:rPr>
          <w:rtl/>
        </w:rPr>
        <w:t>،</w:t>
      </w:r>
      <w:r w:rsidRPr="00A52585">
        <w:rPr>
          <w:rtl/>
        </w:rPr>
        <w:t xml:space="preserve"> وخالقاً</w:t>
      </w:r>
      <w:r w:rsidR="00DB731D" w:rsidRPr="00A52585">
        <w:rPr>
          <w:rtl/>
        </w:rPr>
        <w:t>،</w:t>
      </w:r>
      <w:r w:rsidRPr="00A52585">
        <w:rPr>
          <w:rtl/>
        </w:rPr>
        <w:t xml:space="preserve"> موصوفاً بالوجود</w:t>
      </w:r>
      <w:r w:rsidR="00DB731D" w:rsidRPr="00A52585">
        <w:rPr>
          <w:rtl/>
        </w:rPr>
        <w:t>،</w:t>
      </w:r>
      <w:r w:rsidRPr="00A52585">
        <w:rPr>
          <w:rtl/>
        </w:rPr>
        <w:t xml:space="preserve"> والحياة</w:t>
      </w:r>
      <w:r w:rsidR="00DB731D" w:rsidRPr="00A52585">
        <w:rPr>
          <w:rtl/>
        </w:rPr>
        <w:t>،</w:t>
      </w:r>
      <w:r w:rsidRPr="00A52585">
        <w:rPr>
          <w:rtl/>
        </w:rPr>
        <w:t xml:space="preserve"> والقدرة</w:t>
      </w:r>
      <w:r w:rsidR="00DB731D" w:rsidRPr="00A52585">
        <w:rPr>
          <w:rtl/>
        </w:rPr>
        <w:t>،</w:t>
      </w:r>
      <w:r w:rsidRPr="00A52585">
        <w:rPr>
          <w:rtl/>
        </w:rPr>
        <w:t xml:space="preserve"> والخلق</w:t>
      </w:r>
      <w:r w:rsidR="00DB731D" w:rsidRPr="00A52585">
        <w:rPr>
          <w:rtl/>
        </w:rPr>
        <w:t>،</w:t>
      </w:r>
      <w:r w:rsidRPr="00A52585">
        <w:rPr>
          <w:rtl/>
        </w:rPr>
        <w:t xml:space="preserve"> ومع هذا ليس بقريب من العالم</w:t>
      </w:r>
      <w:r w:rsidR="00DB731D" w:rsidRPr="00A52585">
        <w:rPr>
          <w:rtl/>
        </w:rPr>
        <w:t>،</w:t>
      </w:r>
      <w:r w:rsidRPr="00A52585">
        <w:rPr>
          <w:rtl/>
        </w:rPr>
        <w:t xml:space="preserve"> ولا بعيد</w:t>
      </w:r>
      <w:r w:rsidR="00DB731D" w:rsidRPr="00A52585">
        <w:rPr>
          <w:rtl/>
        </w:rPr>
        <w:t>،</w:t>
      </w:r>
      <w:r w:rsidRPr="00A52585">
        <w:rPr>
          <w:rtl/>
        </w:rPr>
        <w:t xml:space="preserve"> ولا بمنصل به</w:t>
      </w:r>
      <w:r w:rsidR="00DB731D" w:rsidRPr="00A52585">
        <w:rPr>
          <w:rtl/>
        </w:rPr>
        <w:t>،</w:t>
      </w:r>
      <w:r w:rsidRPr="00A52585">
        <w:rPr>
          <w:rtl/>
        </w:rPr>
        <w:t xml:space="preserve"> ولا منفصل عنه</w:t>
      </w:r>
      <w:r w:rsidR="00DB731D" w:rsidRPr="00A52585">
        <w:rPr>
          <w:rtl/>
        </w:rPr>
        <w:t>،</w:t>
      </w:r>
      <w:r w:rsidRPr="00A52585">
        <w:rPr>
          <w:rtl/>
        </w:rPr>
        <w:t xml:space="preserve"> ولا حال فيه</w:t>
      </w:r>
      <w:r w:rsidR="00DB731D" w:rsidRPr="00A52585">
        <w:rPr>
          <w:rtl/>
        </w:rPr>
        <w:t>،</w:t>
      </w:r>
      <w:r w:rsidRPr="00A52585">
        <w:rPr>
          <w:rtl/>
        </w:rPr>
        <w:t xml:space="preserve"> ولا بائن </w:t>
      </w:r>
      <w:proofErr w:type="spellStart"/>
      <w:proofErr w:type="gramStart"/>
      <w:r w:rsidRPr="00A52585">
        <w:rPr>
          <w:rtl/>
        </w:rPr>
        <w:t>عنه</w:t>
      </w:r>
      <w:r w:rsidR="00DB731D" w:rsidRPr="00A52585">
        <w:rPr>
          <w:rtl/>
        </w:rPr>
        <w:t>،</w:t>
      </w:r>
      <w:r w:rsidRPr="00A52585">
        <w:rPr>
          <w:rtl/>
        </w:rPr>
        <w:t>ولا</w:t>
      </w:r>
      <w:proofErr w:type="spellEnd"/>
      <w:proofErr w:type="gramEnd"/>
      <w:r w:rsidRPr="00A52585">
        <w:rPr>
          <w:rtl/>
        </w:rPr>
        <w:t xml:space="preserve"> فوق</w:t>
      </w:r>
      <w:r w:rsidR="00DB731D" w:rsidRPr="00A52585">
        <w:rPr>
          <w:rtl/>
        </w:rPr>
        <w:t>،</w:t>
      </w:r>
      <w:r w:rsidRPr="00A52585">
        <w:rPr>
          <w:rtl/>
        </w:rPr>
        <w:t xml:space="preserve"> ولا تحت</w:t>
      </w:r>
      <w:r w:rsidR="00DB731D" w:rsidRPr="00A52585">
        <w:rPr>
          <w:rtl/>
        </w:rPr>
        <w:t>،</w:t>
      </w:r>
      <w:r w:rsidRPr="00A52585">
        <w:rPr>
          <w:rtl/>
        </w:rPr>
        <w:t xml:space="preserve"> ولا يميناً</w:t>
      </w:r>
      <w:r w:rsidR="00DB731D" w:rsidRPr="00A52585">
        <w:rPr>
          <w:rtl/>
        </w:rPr>
        <w:t>،</w:t>
      </w:r>
      <w:r w:rsidRPr="00A52585">
        <w:rPr>
          <w:rtl/>
        </w:rPr>
        <w:t xml:space="preserve"> ولا شمالاً</w:t>
      </w:r>
      <w:r w:rsidR="00DB731D" w:rsidRPr="00A52585">
        <w:rPr>
          <w:rtl/>
        </w:rPr>
        <w:t>،</w:t>
      </w:r>
      <w:r w:rsidRPr="00A52585">
        <w:rPr>
          <w:rtl/>
        </w:rPr>
        <w:t xml:space="preserve"> ولا قداماً</w:t>
      </w:r>
      <w:r w:rsidR="00DB731D" w:rsidRPr="00A52585">
        <w:rPr>
          <w:rtl/>
        </w:rPr>
        <w:t>،</w:t>
      </w:r>
      <w:r w:rsidRPr="00A52585">
        <w:rPr>
          <w:rtl/>
        </w:rPr>
        <w:t xml:space="preserve"> ولا خلفاً</w:t>
      </w:r>
      <w:r w:rsidR="00DB731D" w:rsidRPr="00A52585">
        <w:rPr>
          <w:rtl/>
        </w:rPr>
        <w:t>،</w:t>
      </w:r>
      <w:r w:rsidRPr="00A52585">
        <w:rPr>
          <w:rtl/>
        </w:rPr>
        <w:t xml:space="preserve"> ولا</w:t>
      </w:r>
      <w:r w:rsidR="00897A24" w:rsidRPr="00A52585">
        <w:rPr>
          <w:rtl/>
        </w:rPr>
        <w:t>.</w:t>
      </w:r>
      <w:r w:rsidRPr="00A52585">
        <w:rPr>
          <w:rtl/>
        </w:rPr>
        <w:t>.... ولا</w:t>
      </w:r>
      <w:r w:rsidR="00897A24" w:rsidRPr="00A52585">
        <w:rPr>
          <w:rtl/>
        </w:rPr>
        <w:t>.</w:t>
      </w:r>
      <w:r w:rsidRPr="00A52585">
        <w:rPr>
          <w:rtl/>
        </w:rPr>
        <w:t>.... نعم ولا فرق بين هذه المقالة وبين قول الملحدين الصرحاء إنه لا رب لهذا العالم</w:t>
      </w:r>
      <w:r w:rsidR="00DB731D" w:rsidRPr="00A52585">
        <w:rPr>
          <w:rtl/>
        </w:rPr>
        <w:t>،</w:t>
      </w:r>
      <w:r w:rsidRPr="00A52585">
        <w:rPr>
          <w:rtl/>
        </w:rPr>
        <w:t xml:space="preserve"> ولا خالق له</w:t>
      </w:r>
      <w:r w:rsidR="00DB731D" w:rsidRPr="00A52585">
        <w:rPr>
          <w:rtl/>
        </w:rPr>
        <w:t>،</w:t>
      </w:r>
      <w:r w:rsidRPr="00A52585">
        <w:rPr>
          <w:rtl/>
        </w:rPr>
        <w:t xml:space="preserve"> فهذا</w:t>
      </w:r>
      <w:r w:rsidR="00DB731D" w:rsidRPr="00A52585">
        <w:rPr>
          <w:rtl/>
        </w:rPr>
        <w:t>،</w:t>
      </w:r>
      <w:r w:rsidRPr="00A52585">
        <w:rPr>
          <w:rtl/>
        </w:rPr>
        <w:t xml:space="preserve"> كهذا</w:t>
      </w:r>
      <w:r w:rsidR="00DB731D" w:rsidRPr="00A52585">
        <w:rPr>
          <w:rtl/>
        </w:rPr>
        <w:t>،</w:t>
      </w:r>
      <w:r w:rsidRPr="00A52585">
        <w:rPr>
          <w:rtl/>
        </w:rPr>
        <w:t xml:space="preserve"> والاختلاف راجع إلى اللفظ لا إلى المعنى بلا شك فإن كنتم تجدون فرقاً فاذكروه "</w:t>
      </w:r>
      <w:r w:rsidR="00DB731D" w:rsidRPr="00A52585">
        <w:rPr>
          <w:rtl/>
        </w:rPr>
        <w:t>،</w:t>
      </w:r>
      <w:r w:rsidRPr="00A52585">
        <w:rPr>
          <w:rFonts w:hint="cs"/>
          <w:rtl/>
        </w:rPr>
        <w:t xml:space="preserve"> </w:t>
      </w:r>
      <w:proofErr w:type="spellStart"/>
      <w:r w:rsidRPr="00A52585">
        <w:rPr>
          <w:rtl/>
        </w:rPr>
        <w:t>لى</w:t>
      </w:r>
      <w:proofErr w:type="spellEnd"/>
      <w:r w:rsidRPr="00A52585">
        <w:rPr>
          <w:rtl/>
        </w:rPr>
        <w:t xml:space="preserve"> على هذا القول ملاحظتان</w:t>
      </w:r>
      <w:r w:rsidR="0002035C" w:rsidRPr="00A52585">
        <w:rPr>
          <w:rtl/>
        </w:rPr>
        <w:t>:</w:t>
      </w:r>
      <w:r w:rsidRPr="00A52585">
        <w:rPr>
          <w:rFonts w:hint="cs"/>
          <w:rtl/>
        </w:rPr>
        <w:t xml:space="preserve"> </w:t>
      </w:r>
      <w:r w:rsidR="0002035C" w:rsidRPr="00A52585">
        <w:rPr>
          <w:rFonts w:hint="cs"/>
          <w:rtl/>
        </w:rPr>
        <w:t>(</w:t>
      </w:r>
      <w:r w:rsidRPr="00A52585">
        <w:rPr>
          <w:rtl/>
        </w:rPr>
        <w:t>الأولى</w:t>
      </w:r>
      <w:r w:rsidR="0002035C" w:rsidRPr="00A52585">
        <w:rPr>
          <w:rtl/>
        </w:rPr>
        <w:t>)</w:t>
      </w:r>
      <w:r w:rsidR="0002035C" w:rsidRPr="00A52585">
        <w:rPr>
          <w:rFonts w:hint="cs"/>
          <w:rtl/>
        </w:rPr>
        <w:t>:</w:t>
      </w:r>
      <w:r w:rsidRPr="00A52585">
        <w:rPr>
          <w:rtl/>
        </w:rPr>
        <w:t xml:space="preserve"> أن هذه مغالطة </w:t>
      </w:r>
      <w:proofErr w:type="spellStart"/>
      <w:r w:rsidRPr="00A52585">
        <w:rPr>
          <w:rtl/>
        </w:rPr>
        <w:t>منمقه</w:t>
      </w:r>
      <w:proofErr w:type="spellEnd"/>
      <w:r w:rsidR="00DB731D" w:rsidRPr="00A52585">
        <w:rPr>
          <w:rtl/>
        </w:rPr>
        <w:t>،</w:t>
      </w:r>
      <w:r w:rsidRPr="00A52585">
        <w:rPr>
          <w:rtl/>
        </w:rPr>
        <w:t xml:space="preserve"> مزخرفة</w:t>
      </w:r>
      <w:r w:rsidR="00DB731D" w:rsidRPr="00A52585">
        <w:rPr>
          <w:rtl/>
        </w:rPr>
        <w:t>،</w:t>
      </w:r>
      <w:r w:rsidRPr="00A52585">
        <w:rPr>
          <w:rtl/>
        </w:rPr>
        <w:t xml:space="preserve"> يظهر للقارئ أن عليها طلاوة الحجة والبرهان القاطع</w:t>
      </w:r>
      <w:r w:rsidR="00DB731D" w:rsidRPr="00A52585">
        <w:rPr>
          <w:rtl/>
        </w:rPr>
        <w:t>،</w:t>
      </w:r>
      <w:r w:rsidRPr="00A52585">
        <w:rPr>
          <w:rtl/>
        </w:rPr>
        <w:t xml:space="preserve"> ولكن من يتأمل فيها يجدها جوفاء خرقاء وأنها إن دلت على </w:t>
      </w:r>
      <w:proofErr w:type="spellStart"/>
      <w:r w:rsidRPr="00A52585">
        <w:rPr>
          <w:rtl/>
        </w:rPr>
        <w:t>شئ</w:t>
      </w:r>
      <w:proofErr w:type="spellEnd"/>
      <w:r w:rsidRPr="00A52585">
        <w:rPr>
          <w:rtl/>
        </w:rPr>
        <w:t xml:space="preserve"> فلا تدل إلا على الجهل بالمحسوس والمشاهد في العالم وفى نفس الواقع</w:t>
      </w:r>
      <w:r w:rsidR="00DB731D" w:rsidRPr="00A52585">
        <w:rPr>
          <w:rtl/>
        </w:rPr>
        <w:t>،</w:t>
      </w:r>
      <w:r w:rsidRPr="00A52585">
        <w:rPr>
          <w:rtl/>
        </w:rPr>
        <w:t xml:space="preserve"> فضلا عما فيها من فحش القول وهجر الكلام المتجليين في قوله</w:t>
      </w:r>
      <w:r w:rsidR="0002035C" w:rsidRPr="00A52585">
        <w:rPr>
          <w:rtl/>
        </w:rPr>
        <w:t>:</w:t>
      </w:r>
      <w:r w:rsidRPr="00A52585">
        <w:rPr>
          <w:rtl/>
        </w:rPr>
        <w:t xml:space="preserve"> " عباراتكم منافقة إلخ "</w:t>
      </w:r>
      <w:r w:rsidR="00DB731D" w:rsidRPr="00A52585">
        <w:rPr>
          <w:rtl/>
        </w:rPr>
        <w:t>،</w:t>
      </w:r>
      <w:r w:rsidRPr="00A52585">
        <w:rPr>
          <w:rFonts w:hint="cs"/>
          <w:rtl/>
        </w:rPr>
        <w:t xml:space="preserve"> </w:t>
      </w:r>
      <w:r w:rsidR="0002035C" w:rsidRPr="00A52585">
        <w:rPr>
          <w:rFonts w:hint="cs"/>
          <w:rtl/>
        </w:rPr>
        <w:t>(</w:t>
      </w:r>
      <w:r w:rsidRPr="00A52585">
        <w:rPr>
          <w:rtl/>
        </w:rPr>
        <w:t>الثانية</w:t>
      </w:r>
      <w:r w:rsidR="0002035C" w:rsidRPr="00A52585">
        <w:rPr>
          <w:rtl/>
        </w:rPr>
        <w:t>)</w:t>
      </w:r>
      <w:r w:rsidR="0002035C" w:rsidRPr="00A52585">
        <w:rPr>
          <w:rFonts w:hint="cs"/>
          <w:rtl/>
        </w:rPr>
        <w:t>:</w:t>
      </w:r>
      <w:r w:rsidRPr="00A52585">
        <w:rPr>
          <w:rtl/>
        </w:rPr>
        <w:t xml:space="preserve"> أن </w:t>
      </w:r>
      <w:proofErr w:type="spellStart"/>
      <w:r w:rsidRPr="00A52585">
        <w:rPr>
          <w:rtl/>
        </w:rPr>
        <w:t>القصيمى</w:t>
      </w:r>
      <w:proofErr w:type="spellEnd"/>
      <w:r w:rsidRPr="00A52585">
        <w:rPr>
          <w:rtl/>
        </w:rPr>
        <w:t xml:space="preserve"> يكذب نفسه بنفسه في قوله </w:t>
      </w:r>
      <w:r w:rsidR="0002035C" w:rsidRPr="00A52585">
        <w:rPr>
          <w:rtl/>
        </w:rPr>
        <w:t>(</w:t>
      </w:r>
      <w:r w:rsidRPr="00A52585">
        <w:rPr>
          <w:rtl/>
        </w:rPr>
        <w:t>ص 27</w:t>
      </w:r>
      <w:r w:rsidR="0002035C" w:rsidRPr="00A52585">
        <w:rPr>
          <w:rtl/>
        </w:rPr>
        <w:t>)</w:t>
      </w:r>
      <w:r w:rsidRPr="00A52585">
        <w:rPr>
          <w:rtl/>
        </w:rPr>
        <w:t xml:space="preserve"> من العدد 26 وإليك البيان</w:t>
      </w:r>
      <w:r w:rsidR="0002035C" w:rsidRPr="00A52585">
        <w:rPr>
          <w:rtl/>
        </w:rPr>
        <w:t>:</w:t>
      </w:r>
      <w:r w:rsidR="0002035C" w:rsidRPr="00A52585">
        <w:rPr>
          <w:rFonts w:hint="cs"/>
          <w:rtl/>
        </w:rPr>
        <w:t xml:space="preserve"> </w:t>
      </w:r>
      <w:r w:rsidRPr="00A52585">
        <w:rPr>
          <w:rtl/>
        </w:rPr>
        <w:t>إثبات الملاحظة الأولى</w:t>
      </w:r>
      <w:r w:rsidR="0002035C" w:rsidRPr="00A52585">
        <w:rPr>
          <w:rtl/>
        </w:rPr>
        <w:t>:</w:t>
      </w:r>
      <w:r w:rsidRPr="00A52585">
        <w:rPr>
          <w:rtl/>
        </w:rPr>
        <w:t xml:space="preserve"> إنه يوجد في </w:t>
      </w:r>
      <w:r w:rsidRPr="00A52585">
        <w:rPr>
          <w:rtl/>
        </w:rPr>
        <w:lastRenderedPageBreak/>
        <w:t xml:space="preserve">العالم أمثلة كثيرة من رفع المتضادات عن </w:t>
      </w:r>
      <w:proofErr w:type="spellStart"/>
      <w:r w:rsidRPr="00A52585">
        <w:rPr>
          <w:rtl/>
        </w:rPr>
        <w:t>الشئ</w:t>
      </w:r>
      <w:proofErr w:type="spellEnd"/>
      <w:r w:rsidRPr="00A52585">
        <w:rPr>
          <w:rtl/>
        </w:rPr>
        <w:t xml:space="preserve"> إذا انعدم السبب المسوغ لاتصافه </w:t>
      </w:r>
      <w:proofErr w:type="spellStart"/>
      <w:r w:rsidRPr="00A52585">
        <w:rPr>
          <w:rtl/>
        </w:rPr>
        <w:t>بشئ</w:t>
      </w:r>
      <w:proofErr w:type="spellEnd"/>
      <w:r w:rsidRPr="00A52585">
        <w:rPr>
          <w:rtl/>
        </w:rPr>
        <w:t xml:space="preserve"> من هذه المتضادات</w:t>
      </w:r>
      <w:r w:rsidR="00DB731D" w:rsidRPr="00A52585">
        <w:rPr>
          <w:rtl/>
        </w:rPr>
        <w:t>،</w:t>
      </w:r>
      <w:r w:rsidRPr="00A52585">
        <w:rPr>
          <w:rFonts w:hint="cs"/>
          <w:rtl/>
        </w:rPr>
        <w:t xml:space="preserve"> </w:t>
      </w:r>
      <w:r w:rsidRPr="00A52585">
        <w:rPr>
          <w:rtl/>
        </w:rPr>
        <w:t>فالحيوان</w:t>
      </w:r>
      <w:r w:rsidR="0002035C" w:rsidRPr="00A52585">
        <w:rPr>
          <w:rtl/>
        </w:rPr>
        <w:t>:</w:t>
      </w:r>
      <w:r w:rsidRPr="00A52585">
        <w:rPr>
          <w:rtl/>
        </w:rPr>
        <w:t xml:space="preserve"> لا هو عالم</w:t>
      </w:r>
      <w:r w:rsidR="00DB731D" w:rsidRPr="00A52585">
        <w:rPr>
          <w:rtl/>
        </w:rPr>
        <w:t>،</w:t>
      </w:r>
      <w:r w:rsidRPr="00A52585">
        <w:rPr>
          <w:rtl/>
        </w:rPr>
        <w:t xml:space="preserve"> ولا هو جاهل ؛ لأنه فاقد للعقل المسوغ لاتصافه بأحدهما</w:t>
      </w:r>
      <w:r w:rsidR="00DB731D" w:rsidRPr="00A52585">
        <w:rPr>
          <w:rtl/>
        </w:rPr>
        <w:t>،</w:t>
      </w:r>
      <w:r w:rsidRPr="00A52585">
        <w:rPr>
          <w:rtl/>
        </w:rPr>
        <w:t xml:space="preserve"> ولا هو ذكى ولا هو بليد ؛ لأنه فاقد للعقل المسوغ لاتصافه بأحدهما</w:t>
      </w:r>
      <w:r w:rsidR="00DB731D" w:rsidRPr="00A52585">
        <w:rPr>
          <w:rtl/>
        </w:rPr>
        <w:t>،</w:t>
      </w:r>
      <w:r w:rsidRPr="00A52585">
        <w:rPr>
          <w:rtl/>
        </w:rPr>
        <w:t xml:space="preserve"> ولا هو غنى ولا هو فقير لأنه فاقد للملك المسوغ لاتصافه بأحدهما</w:t>
      </w:r>
      <w:r w:rsidR="00DB731D" w:rsidRPr="00A52585">
        <w:rPr>
          <w:rtl/>
        </w:rPr>
        <w:t>،</w:t>
      </w:r>
      <w:r w:rsidRPr="00A52585">
        <w:rPr>
          <w:rFonts w:hint="cs"/>
          <w:rtl/>
        </w:rPr>
        <w:t xml:space="preserve"> </w:t>
      </w:r>
      <w:r w:rsidRPr="00A52585">
        <w:rPr>
          <w:rtl/>
        </w:rPr>
        <w:t>والجماد</w:t>
      </w:r>
      <w:r w:rsidR="0002035C" w:rsidRPr="00A52585">
        <w:rPr>
          <w:rtl/>
        </w:rPr>
        <w:t>:</w:t>
      </w:r>
      <w:r w:rsidRPr="00A52585">
        <w:rPr>
          <w:rtl/>
        </w:rPr>
        <w:t xml:space="preserve"> لا هو جبور ولا هو مختار لأنه فاقد للحياة المسوغة للاتصاف بأحدهما</w:t>
      </w:r>
      <w:r w:rsidR="00DB731D" w:rsidRPr="00A52585">
        <w:rPr>
          <w:rtl/>
        </w:rPr>
        <w:t>،</w:t>
      </w:r>
      <w:r w:rsidRPr="00A52585">
        <w:rPr>
          <w:rtl/>
        </w:rPr>
        <w:t xml:space="preserve"> ولا هو راض ولا غضبان لأنه فاقد للحياة المسوغة للاتصاف بأحدهما</w:t>
      </w:r>
      <w:r w:rsidR="00DB731D" w:rsidRPr="00A52585">
        <w:rPr>
          <w:rtl/>
        </w:rPr>
        <w:t>،</w:t>
      </w:r>
      <w:r w:rsidRPr="00A52585">
        <w:rPr>
          <w:rFonts w:hint="cs"/>
          <w:rtl/>
        </w:rPr>
        <w:t xml:space="preserve"> </w:t>
      </w:r>
      <w:r w:rsidRPr="00A52585">
        <w:rPr>
          <w:rtl/>
        </w:rPr>
        <w:t>والهواء</w:t>
      </w:r>
      <w:r w:rsidR="0002035C" w:rsidRPr="00A52585">
        <w:rPr>
          <w:rtl/>
        </w:rPr>
        <w:t>:</w:t>
      </w:r>
      <w:r w:rsidRPr="00A52585">
        <w:rPr>
          <w:rtl/>
        </w:rPr>
        <w:t xml:space="preserve"> لا هو أبيض ولا هو أسود</w:t>
      </w:r>
      <w:r w:rsidR="00DB731D" w:rsidRPr="00A52585">
        <w:rPr>
          <w:rtl/>
        </w:rPr>
        <w:t>،</w:t>
      </w:r>
      <w:r w:rsidRPr="00A52585">
        <w:rPr>
          <w:rtl/>
        </w:rPr>
        <w:t xml:space="preserve"> لأنه فاقد للجسم الكثيف القابل للتلون بالألوان والمسوغ لاتصافه بأحدهما</w:t>
      </w:r>
      <w:r w:rsidR="00897A24" w:rsidRPr="00A52585">
        <w:rPr>
          <w:rtl/>
        </w:rPr>
        <w:t>.</w:t>
      </w:r>
      <w:r w:rsidRPr="00A52585">
        <w:rPr>
          <w:rtl/>
        </w:rPr>
        <w:br/>
        <w:t>والجماد أيضاً</w:t>
      </w:r>
      <w:r w:rsidR="0002035C" w:rsidRPr="00A52585">
        <w:rPr>
          <w:rtl/>
        </w:rPr>
        <w:t>:</w:t>
      </w:r>
      <w:r w:rsidRPr="00A52585">
        <w:rPr>
          <w:rtl/>
        </w:rPr>
        <w:t xml:space="preserve"> لا هو متلذذ</w:t>
      </w:r>
      <w:r w:rsidR="00DB731D" w:rsidRPr="00A52585">
        <w:rPr>
          <w:rtl/>
        </w:rPr>
        <w:t>،</w:t>
      </w:r>
      <w:r w:rsidRPr="00A52585">
        <w:rPr>
          <w:rtl/>
        </w:rPr>
        <w:t xml:space="preserve"> ولا هو متألم</w:t>
      </w:r>
      <w:r w:rsidR="00DB731D" w:rsidRPr="00A52585">
        <w:rPr>
          <w:rtl/>
        </w:rPr>
        <w:t>،</w:t>
      </w:r>
      <w:r w:rsidRPr="00A52585">
        <w:rPr>
          <w:rtl/>
        </w:rPr>
        <w:t xml:space="preserve"> لأنه فاقد للحياة المسوغة لاتصافه بأحدهما</w:t>
      </w:r>
      <w:r w:rsidR="00DB731D" w:rsidRPr="00A52585">
        <w:rPr>
          <w:rtl/>
        </w:rPr>
        <w:t>،</w:t>
      </w:r>
      <w:r w:rsidRPr="00A52585">
        <w:rPr>
          <w:rtl/>
        </w:rPr>
        <w:t xml:space="preserve"> ولا هو متكلم ولا هو قوى ولا هو ضعيف</w:t>
      </w:r>
      <w:r w:rsidR="00DB731D" w:rsidRPr="00A52585">
        <w:rPr>
          <w:rtl/>
        </w:rPr>
        <w:t>،</w:t>
      </w:r>
      <w:r w:rsidRPr="00A52585">
        <w:rPr>
          <w:rtl/>
        </w:rPr>
        <w:t xml:space="preserve"> لأنه فاقد للحياة المسوغة لاتصافه بأحدهما</w:t>
      </w:r>
      <w:r w:rsidR="00DB731D" w:rsidRPr="00A52585">
        <w:rPr>
          <w:rtl/>
        </w:rPr>
        <w:t>،</w:t>
      </w:r>
      <w:r w:rsidRPr="00A52585">
        <w:rPr>
          <w:rFonts w:hint="cs"/>
          <w:rtl/>
        </w:rPr>
        <w:t xml:space="preserve"> </w:t>
      </w:r>
      <w:r w:rsidRPr="00A52585">
        <w:rPr>
          <w:rtl/>
        </w:rPr>
        <w:t>والصدق</w:t>
      </w:r>
      <w:r w:rsidR="0002035C" w:rsidRPr="00A52585">
        <w:rPr>
          <w:rtl/>
        </w:rPr>
        <w:t>:</w:t>
      </w:r>
      <w:r w:rsidRPr="00A52585">
        <w:rPr>
          <w:rtl/>
        </w:rPr>
        <w:t xml:space="preserve"> لا هو كبير الحجم</w:t>
      </w:r>
      <w:r w:rsidR="00DB731D" w:rsidRPr="00A52585">
        <w:rPr>
          <w:rtl/>
        </w:rPr>
        <w:t>،</w:t>
      </w:r>
      <w:r w:rsidRPr="00A52585">
        <w:rPr>
          <w:rtl/>
        </w:rPr>
        <w:t xml:space="preserve"> ولا هو صغيره</w:t>
      </w:r>
      <w:r w:rsidR="00DB731D" w:rsidRPr="00A52585">
        <w:rPr>
          <w:rtl/>
        </w:rPr>
        <w:t>،</w:t>
      </w:r>
      <w:r w:rsidRPr="00A52585">
        <w:rPr>
          <w:rtl/>
        </w:rPr>
        <w:t xml:space="preserve"> لأنه فاقد للحيز المسوغ لاتصافه بأحدهما</w:t>
      </w:r>
      <w:r w:rsidR="00DB731D" w:rsidRPr="00A52585">
        <w:rPr>
          <w:rtl/>
        </w:rPr>
        <w:t>،</w:t>
      </w:r>
      <w:r w:rsidRPr="00A52585">
        <w:rPr>
          <w:rFonts w:hint="cs"/>
          <w:rtl/>
        </w:rPr>
        <w:t xml:space="preserve"> </w:t>
      </w:r>
      <w:r w:rsidRPr="00A52585">
        <w:rPr>
          <w:rtl/>
        </w:rPr>
        <w:t>والحلم</w:t>
      </w:r>
      <w:r w:rsidR="0002035C" w:rsidRPr="00A52585">
        <w:rPr>
          <w:rtl/>
        </w:rPr>
        <w:t>:</w:t>
      </w:r>
      <w:r w:rsidRPr="00A52585">
        <w:rPr>
          <w:rtl/>
        </w:rPr>
        <w:t xml:space="preserve"> لا هو حار</w:t>
      </w:r>
      <w:r w:rsidR="00DB731D" w:rsidRPr="00A52585">
        <w:rPr>
          <w:rtl/>
        </w:rPr>
        <w:t>،</w:t>
      </w:r>
      <w:r w:rsidRPr="00A52585">
        <w:rPr>
          <w:rtl/>
        </w:rPr>
        <w:t xml:space="preserve"> ولا هو بارد</w:t>
      </w:r>
      <w:r w:rsidR="00DB731D" w:rsidRPr="00A52585">
        <w:rPr>
          <w:rtl/>
        </w:rPr>
        <w:t>،</w:t>
      </w:r>
      <w:r w:rsidRPr="00A52585">
        <w:rPr>
          <w:rtl/>
        </w:rPr>
        <w:t xml:space="preserve"> لأنه فاقد للجسمية المسوغة لاتصافه بأحدهما</w:t>
      </w:r>
      <w:r w:rsidR="00DB731D" w:rsidRPr="00A52585">
        <w:rPr>
          <w:rtl/>
        </w:rPr>
        <w:t>،</w:t>
      </w:r>
      <w:r w:rsidRPr="00A52585">
        <w:rPr>
          <w:rFonts w:hint="cs"/>
          <w:rtl/>
        </w:rPr>
        <w:t xml:space="preserve"> </w:t>
      </w:r>
      <w:r w:rsidRPr="00A52585">
        <w:rPr>
          <w:rtl/>
        </w:rPr>
        <w:t>والإرادة</w:t>
      </w:r>
      <w:r w:rsidR="0002035C" w:rsidRPr="00A52585">
        <w:rPr>
          <w:rtl/>
        </w:rPr>
        <w:t>:</w:t>
      </w:r>
      <w:r w:rsidRPr="00A52585">
        <w:rPr>
          <w:rtl/>
        </w:rPr>
        <w:t xml:space="preserve"> لا هي ثقيلة وزناً</w:t>
      </w:r>
      <w:r w:rsidR="00DB731D" w:rsidRPr="00A52585">
        <w:rPr>
          <w:rtl/>
        </w:rPr>
        <w:t>،</w:t>
      </w:r>
      <w:r w:rsidRPr="00A52585">
        <w:rPr>
          <w:rtl/>
        </w:rPr>
        <w:t xml:space="preserve"> ولا هي خفيفة</w:t>
      </w:r>
      <w:r w:rsidR="00DB731D" w:rsidRPr="00A52585">
        <w:rPr>
          <w:rtl/>
        </w:rPr>
        <w:t>،</w:t>
      </w:r>
      <w:r w:rsidRPr="00A52585">
        <w:rPr>
          <w:rtl/>
        </w:rPr>
        <w:t xml:space="preserve"> لأنها فاقدة للجسمية المسوغة لاتصافها بأحدهما</w:t>
      </w:r>
      <w:r w:rsidR="00DB731D" w:rsidRPr="00A52585">
        <w:rPr>
          <w:rtl/>
        </w:rPr>
        <w:t>،</w:t>
      </w:r>
      <w:r w:rsidRPr="00A52585">
        <w:rPr>
          <w:rtl/>
        </w:rPr>
        <w:t xml:space="preserve"> ولا لاتصافها بأحدهما</w:t>
      </w:r>
      <w:r w:rsidR="00DB731D" w:rsidRPr="00A52585">
        <w:rPr>
          <w:rtl/>
        </w:rPr>
        <w:t>،</w:t>
      </w:r>
      <w:r w:rsidRPr="00A52585">
        <w:rPr>
          <w:rFonts w:hint="cs"/>
          <w:rtl/>
        </w:rPr>
        <w:t xml:space="preserve"> </w:t>
      </w:r>
      <w:r w:rsidRPr="00A52585">
        <w:rPr>
          <w:rtl/>
        </w:rPr>
        <w:t>والرضا</w:t>
      </w:r>
      <w:r w:rsidR="0002035C" w:rsidRPr="00A52585">
        <w:rPr>
          <w:rtl/>
        </w:rPr>
        <w:t>:</w:t>
      </w:r>
      <w:r w:rsidRPr="00A52585">
        <w:rPr>
          <w:rtl/>
        </w:rPr>
        <w:t xml:space="preserve"> لا هو سريع الحركة ولا هو بطئ الحركة</w:t>
      </w:r>
      <w:r w:rsidR="00DB731D" w:rsidRPr="00A52585">
        <w:rPr>
          <w:rtl/>
        </w:rPr>
        <w:t>،</w:t>
      </w:r>
      <w:r w:rsidRPr="00A52585">
        <w:rPr>
          <w:rtl/>
        </w:rPr>
        <w:t xml:space="preserve"> لأنه فاقد للحيز الذى تتعلق به الحركة والسكون</w:t>
      </w:r>
      <w:r w:rsidR="00DB731D" w:rsidRPr="00A52585">
        <w:rPr>
          <w:rtl/>
        </w:rPr>
        <w:t>،</w:t>
      </w:r>
      <w:r w:rsidRPr="00A52585">
        <w:rPr>
          <w:rFonts w:hint="cs"/>
          <w:rtl/>
        </w:rPr>
        <w:t xml:space="preserve"> </w:t>
      </w:r>
      <w:r w:rsidRPr="00A52585">
        <w:rPr>
          <w:rtl/>
        </w:rPr>
        <w:t>والفقير</w:t>
      </w:r>
      <w:r w:rsidR="0002035C" w:rsidRPr="00A52585">
        <w:rPr>
          <w:rtl/>
        </w:rPr>
        <w:t>:</w:t>
      </w:r>
      <w:r w:rsidRPr="00A52585">
        <w:rPr>
          <w:rtl/>
        </w:rPr>
        <w:t xml:space="preserve"> لا هو كريم</w:t>
      </w:r>
      <w:r w:rsidR="00DB731D" w:rsidRPr="00A52585">
        <w:rPr>
          <w:rtl/>
        </w:rPr>
        <w:t>،</w:t>
      </w:r>
      <w:r w:rsidRPr="00A52585">
        <w:rPr>
          <w:rtl/>
        </w:rPr>
        <w:t xml:space="preserve"> ولا هو بخيل</w:t>
      </w:r>
      <w:r w:rsidR="00DB731D" w:rsidRPr="00A52585">
        <w:rPr>
          <w:rtl/>
        </w:rPr>
        <w:t>،</w:t>
      </w:r>
      <w:r w:rsidRPr="00A52585">
        <w:rPr>
          <w:rtl/>
        </w:rPr>
        <w:t xml:space="preserve"> لأنه فاقد للمال المسوغ لاتصافه بأحدهما</w:t>
      </w:r>
      <w:r w:rsidR="00DB731D" w:rsidRPr="00A52585">
        <w:rPr>
          <w:rtl/>
        </w:rPr>
        <w:t>،</w:t>
      </w:r>
      <w:r w:rsidRPr="00A52585">
        <w:rPr>
          <w:rFonts w:hint="cs"/>
          <w:rtl/>
        </w:rPr>
        <w:t xml:space="preserve"> </w:t>
      </w:r>
      <w:r w:rsidRPr="00A52585">
        <w:rPr>
          <w:rtl/>
        </w:rPr>
        <w:t>ولو</w:t>
      </w:r>
      <w:r w:rsidRPr="00A52585">
        <w:rPr>
          <w:rFonts w:hint="cs"/>
          <w:rtl/>
        </w:rPr>
        <w:t xml:space="preserve"> </w:t>
      </w:r>
      <w:r w:rsidRPr="00A52585">
        <w:rPr>
          <w:rtl/>
        </w:rPr>
        <w:t>أردنا حصر هذه الأمثلة لعجزنا عن الإحاطة بها لكثرتها</w:t>
      </w:r>
      <w:r w:rsidR="00DB731D" w:rsidRPr="00A52585">
        <w:rPr>
          <w:rtl/>
        </w:rPr>
        <w:t>،</w:t>
      </w:r>
      <w:r w:rsidRPr="00A52585">
        <w:rPr>
          <w:rtl/>
        </w:rPr>
        <w:t xml:space="preserve"> فكيف غابت هذه المعلومات البديهية عن عقل </w:t>
      </w:r>
      <w:proofErr w:type="spellStart"/>
      <w:r w:rsidRPr="00A52585">
        <w:rPr>
          <w:rtl/>
        </w:rPr>
        <w:t>القصيمى</w:t>
      </w:r>
      <w:proofErr w:type="spellEnd"/>
      <w:r w:rsidRPr="00A52585">
        <w:rPr>
          <w:rtl/>
        </w:rPr>
        <w:t xml:space="preserve"> وهذه الجماعة حتى تجاسر على القول باستحالة وجود المتضادات في </w:t>
      </w:r>
      <w:proofErr w:type="spellStart"/>
      <w:r w:rsidRPr="00A52585">
        <w:rPr>
          <w:rtl/>
        </w:rPr>
        <w:t>شئ</w:t>
      </w:r>
      <w:proofErr w:type="spellEnd"/>
      <w:r w:rsidRPr="00A52585">
        <w:rPr>
          <w:rtl/>
        </w:rPr>
        <w:t xml:space="preserve"> واحد</w:t>
      </w:r>
      <w:r w:rsidR="00DB731D" w:rsidRPr="00A52585">
        <w:rPr>
          <w:rtl/>
        </w:rPr>
        <w:t>،</w:t>
      </w:r>
      <w:r w:rsidRPr="00A52585">
        <w:rPr>
          <w:rtl/>
        </w:rPr>
        <w:t xml:space="preserve"> وبنى عليه استحالة اتصاف الله تعالى بالقرب من العالم والبعد عنه</w:t>
      </w:r>
      <w:r w:rsidR="00DB731D" w:rsidRPr="00A52585">
        <w:rPr>
          <w:rtl/>
        </w:rPr>
        <w:t>،</w:t>
      </w:r>
      <w:r w:rsidRPr="00A52585">
        <w:rPr>
          <w:rtl/>
        </w:rPr>
        <w:t xml:space="preserve"> وبالاتصال بالعالم</w:t>
      </w:r>
      <w:r w:rsidR="00DB731D" w:rsidRPr="00A52585">
        <w:rPr>
          <w:rtl/>
        </w:rPr>
        <w:t>،</w:t>
      </w:r>
      <w:r w:rsidRPr="00A52585">
        <w:rPr>
          <w:rtl/>
        </w:rPr>
        <w:t xml:space="preserve"> والانفصال عنه إلى أخر دعواه</w:t>
      </w:r>
      <w:r w:rsidR="00F95886" w:rsidRPr="00A52585">
        <w:rPr>
          <w:rtl/>
        </w:rPr>
        <w:t>؟</w:t>
      </w:r>
      <w:r w:rsidRPr="00A52585">
        <w:rPr>
          <w:rFonts w:hint="cs"/>
          <w:rtl/>
        </w:rPr>
        <w:t xml:space="preserve"> </w:t>
      </w:r>
      <w:r w:rsidRPr="00A52585">
        <w:rPr>
          <w:rtl/>
        </w:rPr>
        <w:t>ولو</w:t>
      </w:r>
      <w:r w:rsidRPr="00A52585">
        <w:rPr>
          <w:rFonts w:hint="cs"/>
          <w:rtl/>
        </w:rPr>
        <w:t xml:space="preserve"> </w:t>
      </w:r>
      <w:r w:rsidRPr="00A52585">
        <w:rPr>
          <w:rtl/>
        </w:rPr>
        <w:t xml:space="preserve">كان يؤمن بأقواله المنشورة بالعدد 27 وأقوال " </w:t>
      </w:r>
      <w:proofErr w:type="spellStart"/>
      <w:r w:rsidRPr="00A52585">
        <w:rPr>
          <w:rtl/>
        </w:rPr>
        <w:t>المسلاوى</w:t>
      </w:r>
      <w:proofErr w:type="spellEnd"/>
      <w:r w:rsidRPr="00A52585">
        <w:rPr>
          <w:rtl/>
        </w:rPr>
        <w:t xml:space="preserve"> " بالعدد الخامس والعدد </w:t>
      </w:r>
      <w:proofErr w:type="spellStart"/>
      <w:r w:rsidRPr="00A52585">
        <w:rPr>
          <w:rtl/>
        </w:rPr>
        <w:t>الحادى</w:t>
      </w:r>
      <w:proofErr w:type="spellEnd"/>
      <w:r w:rsidRPr="00A52585">
        <w:rPr>
          <w:rtl/>
        </w:rPr>
        <w:t xml:space="preserve"> عشر</w:t>
      </w:r>
      <w:r w:rsidR="00DB731D" w:rsidRPr="00A52585">
        <w:rPr>
          <w:rtl/>
        </w:rPr>
        <w:t>،</w:t>
      </w:r>
      <w:r w:rsidRPr="00A52585">
        <w:rPr>
          <w:rtl/>
        </w:rPr>
        <w:t xml:space="preserve"> وهى استحالة التحديد على الله تعالى</w:t>
      </w:r>
      <w:r w:rsidR="00DB731D" w:rsidRPr="00A52585">
        <w:rPr>
          <w:rtl/>
        </w:rPr>
        <w:t>،</w:t>
      </w:r>
      <w:r w:rsidRPr="00A52585">
        <w:rPr>
          <w:rtl/>
        </w:rPr>
        <w:t xml:space="preserve"> لعلم أن التحيز مستحيل على الله تعالى</w:t>
      </w:r>
      <w:r w:rsidR="00DB731D" w:rsidRPr="00A52585">
        <w:rPr>
          <w:rtl/>
        </w:rPr>
        <w:t>،</w:t>
      </w:r>
      <w:r w:rsidRPr="00A52585">
        <w:rPr>
          <w:rtl/>
        </w:rPr>
        <w:t xml:space="preserve"> وإذا استحال الحيز استحال القرب من العالم والبعد عنه</w:t>
      </w:r>
      <w:r w:rsidR="00DB731D" w:rsidRPr="00A52585">
        <w:rPr>
          <w:rtl/>
        </w:rPr>
        <w:t>،</w:t>
      </w:r>
      <w:r w:rsidRPr="00A52585">
        <w:rPr>
          <w:rtl/>
        </w:rPr>
        <w:t xml:space="preserve"> واستحال الاتصال بالعالم والانفصال عنه</w:t>
      </w:r>
      <w:r w:rsidR="00DB731D" w:rsidRPr="00A52585">
        <w:rPr>
          <w:rtl/>
        </w:rPr>
        <w:t>،</w:t>
      </w:r>
      <w:r w:rsidRPr="00A52585">
        <w:rPr>
          <w:rtl/>
        </w:rPr>
        <w:t xml:space="preserve"> واستحال الحلول فيه</w:t>
      </w:r>
      <w:r w:rsidR="00DB731D" w:rsidRPr="00A52585">
        <w:rPr>
          <w:rtl/>
        </w:rPr>
        <w:t>،</w:t>
      </w:r>
      <w:r w:rsidRPr="00A52585">
        <w:rPr>
          <w:rtl/>
        </w:rPr>
        <w:t xml:space="preserve"> </w:t>
      </w:r>
      <w:proofErr w:type="spellStart"/>
      <w:r w:rsidRPr="00A52585">
        <w:rPr>
          <w:rtl/>
        </w:rPr>
        <w:t>أى</w:t>
      </w:r>
      <w:proofErr w:type="spellEnd"/>
      <w:r w:rsidRPr="00A52585">
        <w:rPr>
          <w:rtl/>
        </w:rPr>
        <w:t xml:space="preserve"> الاتصال به</w:t>
      </w:r>
      <w:r w:rsidR="00DB731D" w:rsidRPr="00A52585">
        <w:rPr>
          <w:rtl/>
        </w:rPr>
        <w:t>،</w:t>
      </w:r>
      <w:r w:rsidRPr="00A52585">
        <w:rPr>
          <w:rtl/>
        </w:rPr>
        <w:t xml:space="preserve"> والبينونة عنه </w:t>
      </w:r>
      <w:proofErr w:type="spellStart"/>
      <w:r w:rsidRPr="00A52585">
        <w:rPr>
          <w:rtl/>
        </w:rPr>
        <w:t>أى</w:t>
      </w:r>
      <w:proofErr w:type="spellEnd"/>
      <w:r w:rsidRPr="00A52585">
        <w:rPr>
          <w:rtl/>
        </w:rPr>
        <w:t xml:space="preserve"> الانفصال منه</w:t>
      </w:r>
      <w:r w:rsidR="00DB731D" w:rsidRPr="00A52585">
        <w:rPr>
          <w:rtl/>
        </w:rPr>
        <w:t>،</w:t>
      </w:r>
      <w:r w:rsidRPr="00A52585">
        <w:rPr>
          <w:rFonts w:hint="cs"/>
          <w:rtl/>
        </w:rPr>
        <w:t xml:space="preserve"> </w:t>
      </w:r>
      <w:r w:rsidRPr="00A52585">
        <w:rPr>
          <w:rtl/>
        </w:rPr>
        <w:t>ولإيضاح ذلك نقول وبالله تعالى التوفيق والإعانة</w:t>
      </w:r>
      <w:r w:rsidR="0002035C" w:rsidRPr="00A52585">
        <w:rPr>
          <w:rtl/>
        </w:rPr>
        <w:t>:</w:t>
      </w:r>
      <w:r w:rsidR="0002035C" w:rsidRPr="00A52585">
        <w:rPr>
          <w:rFonts w:hint="cs"/>
          <w:rtl/>
        </w:rPr>
        <w:t xml:space="preserve"> </w:t>
      </w:r>
      <w:r w:rsidRPr="00A52585">
        <w:rPr>
          <w:rtl/>
        </w:rPr>
        <w:t>إن القرب بين الشيئين هو القرب بين</w:t>
      </w:r>
      <w:r w:rsidR="0002035C" w:rsidRPr="00A52585">
        <w:rPr>
          <w:rtl/>
        </w:rPr>
        <w:t xml:space="preserve"> </w:t>
      </w:r>
      <w:r w:rsidRPr="00A52585">
        <w:rPr>
          <w:rtl/>
        </w:rPr>
        <w:t>حيزيهما</w:t>
      </w:r>
      <w:r w:rsidR="00DB731D" w:rsidRPr="00A52585">
        <w:rPr>
          <w:rtl/>
        </w:rPr>
        <w:t>،</w:t>
      </w:r>
      <w:r w:rsidRPr="00A52585">
        <w:rPr>
          <w:rtl/>
        </w:rPr>
        <w:t xml:space="preserve"> والبعد بينهما هو البعد بين حيزيهما</w:t>
      </w:r>
      <w:r w:rsidR="00DB731D" w:rsidRPr="00A52585">
        <w:rPr>
          <w:rtl/>
        </w:rPr>
        <w:t>،</w:t>
      </w:r>
      <w:r w:rsidRPr="00A52585">
        <w:rPr>
          <w:rtl/>
        </w:rPr>
        <w:t xml:space="preserve"> فإذا انعدم الحيز انعدم القرب والبعد تبعاً لذلك</w:t>
      </w:r>
      <w:r w:rsidR="00DB731D" w:rsidRPr="00A52585">
        <w:rPr>
          <w:rFonts w:hint="cs"/>
          <w:rtl/>
        </w:rPr>
        <w:t>،</w:t>
      </w:r>
      <w:r w:rsidRPr="00A52585">
        <w:rPr>
          <w:rFonts w:hint="cs"/>
          <w:rtl/>
        </w:rPr>
        <w:t xml:space="preserve"> </w:t>
      </w:r>
      <w:r w:rsidRPr="00A52585">
        <w:rPr>
          <w:rtl/>
        </w:rPr>
        <w:t>وبما أن الله تعالى يستحيل عليها الحيز</w:t>
      </w:r>
      <w:r w:rsidR="00DB731D" w:rsidRPr="00A52585">
        <w:rPr>
          <w:rtl/>
        </w:rPr>
        <w:t>،</w:t>
      </w:r>
      <w:r w:rsidRPr="00A52585">
        <w:rPr>
          <w:rtl/>
        </w:rPr>
        <w:t xml:space="preserve"> والتحيز</w:t>
      </w:r>
      <w:r w:rsidR="00DB731D" w:rsidRPr="00A52585">
        <w:rPr>
          <w:rtl/>
        </w:rPr>
        <w:t>،</w:t>
      </w:r>
      <w:r w:rsidRPr="00A52585">
        <w:rPr>
          <w:rtl/>
        </w:rPr>
        <w:t xml:space="preserve"> فيستحيل أن يكون قريباً من العالم قرب مسافة</w:t>
      </w:r>
      <w:r w:rsidR="00DB731D" w:rsidRPr="00A52585">
        <w:rPr>
          <w:rtl/>
        </w:rPr>
        <w:t>،</w:t>
      </w:r>
      <w:r w:rsidRPr="00A52585">
        <w:rPr>
          <w:rtl/>
        </w:rPr>
        <w:t xml:space="preserve"> كما يستحيل أن يكون بعيداً عنه بعد مسافة وهو المطلوب</w:t>
      </w:r>
      <w:r w:rsidR="00DB731D" w:rsidRPr="00A52585">
        <w:rPr>
          <w:rtl/>
        </w:rPr>
        <w:t>،</w:t>
      </w:r>
      <w:r w:rsidRPr="00A52585">
        <w:rPr>
          <w:rFonts w:hint="cs"/>
          <w:rtl/>
        </w:rPr>
        <w:t xml:space="preserve"> </w:t>
      </w:r>
      <w:r w:rsidRPr="00A52585">
        <w:rPr>
          <w:rtl/>
        </w:rPr>
        <w:t>وكذلك الاتصال بين الشيئين هو مجاورة حيزيهما</w:t>
      </w:r>
      <w:r w:rsidR="00DB731D" w:rsidRPr="00A52585">
        <w:rPr>
          <w:rtl/>
        </w:rPr>
        <w:t>،</w:t>
      </w:r>
      <w:r w:rsidRPr="00A52585">
        <w:rPr>
          <w:rtl/>
        </w:rPr>
        <w:t xml:space="preserve"> والانفصال هو انفصال حيزيهما</w:t>
      </w:r>
      <w:r w:rsidR="00DB731D" w:rsidRPr="00A52585">
        <w:rPr>
          <w:rtl/>
        </w:rPr>
        <w:t>،</w:t>
      </w:r>
      <w:r w:rsidRPr="00A52585">
        <w:rPr>
          <w:rtl/>
        </w:rPr>
        <w:t xml:space="preserve"> وبعدهما عن بعضهما</w:t>
      </w:r>
      <w:r w:rsidR="00DB731D" w:rsidRPr="00A52585">
        <w:rPr>
          <w:rtl/>
        </w:rPr>
        <w:t>،</w:t>
      </w:r>
      <w:r w:rsidRPr="00A52585">
        <w:rPr>
          <w:rtl/>
        </w:rPr>
        <w:t xml:space="preserve"> فإذا انعدم حيزهما</w:t>
      </w:r>
      <w:r w:rsidR="00DB731D" w:rsidRPr="00A52585">
        <w:rPr>
          <w:rtl/>
        </w:rPr>
        <w:t>،</w:t>
      </w:r>
      <w:r w:rsidRPr="00A52585">
        <w:rPr>
          <w:rtl/>
        </w:rPr>
        <w:t xml:space="preserve"> </w:t>
      </w:r>
      <w:proofErr w:type="spellStart"/>
      <w:r w:rsidRPr="00A52585">
        <w:rPr>
          <w:rtl/>
        </w:rPr>
        <w:t>أوحيز</w:t>
      </w:r>
      <w:proofErr w:type="spellEnd"/>
      <w:r w:rsidRPr="00A52585">
        <w:rPr>
          <w:rtl/>
        </w:rPr>
        <w:t xml:space="preserve"> أحدهما</w:t>
      </w:r>
      <w:r w:rsidR="00DB731D" w:rsidRPr="00A52585">
        <w:rPr>
          <w:rtl/>
        </w:rPr>
        <w:t>،</w:t>
      </w:r>
      <w:r w:rsidRPr="00A52585">
        <w:rPr>
          <w:rtl/>
        </w:rPr>
        <w:t xml:space="preserve"> انعدم الاتصال والانفصال تبعاً لذلك</w:t>
      </w:r>
      <w:r w:rsidR="00DB731D" w:rsidRPr="00A52585">
        <w:rPr>
          <w:rFonts w:hint="cs"/>
          <w:rtl/>
        </w:rPr>
        <w:t>،</w:t>
      </w:r>
      <w:r w:rsidRPr="00A52585">
        <w:rPr>
          <w:rFonts w:hint="cs"/>
          <w:rtl/>
        </w:rPr>
        <w:t xml:space="preserve"> </w:t>
      </w:r>
      <w:r w:rsidRPr="00A52585">
        <w:rPr>
          <w:rtl/>
        </w:rPr>
        <w:t>وبما أن الله تعالى يستحيل عليه الحيز والتحيز</w:t>
      </w:r>
      <w:r w:rsidR="00DB731D" w:rsidRPr="00A52585">
        <w:rPr>
          <w:rtl/>
        </w:rPr>
        <w:t>،</w:t>
      </w:r>
      <w:r w:rsidRPr="00A52585">
        <w:rPr>
          <w:rtl/>
        </w:rPr>
        <w:t xml:space="preserve"> فيستحيل اتصاله تعالى بالعالم</w:t>
      </w:r>
      <w:r w:rsidR="00DB731D" w:rsidRPr="00A52585">
        <w:rPr>
          <w:rtl/>
        </w:rPr>
        <w:t>،</w:t>
      </w:r>
      <w:r w:rsidRPr="00A52585">
        <w:rPr>
          <w:rtl/>
        </w:rPr>
        <w:t xml:space="preserve"> وانفصاله </w:t>
      </w:r>
      <w:r w:rsidRPr="00A52585">
        <w:rPr>
          <w:rtl/>
        </w:rPr>
        <w:lastRenderedPageBreak/>
        <w:t>عنه</w:t>
      </w:r>
      <w:r w:rsidR="00DB731D" w:rsidRPr="00A52585">
        <w:rPr>
          <w:rtl/>
        </w:rPr>
        <w:t>،</w:t>
      </w:r>
      <w:r w:rsidRPr="00A52585">
        <w:rPr>
          <w:rtl/>
        </w:rPr>
        <w:t xml:space="preserve"> وهو المطلوب</w:t>
      </w:r>
      <w:r w:rsidR="00897A24" w:rsidRPr="00A52585">
        <w:rPr>
          <w:rtl/>
        </w:rPr>
        <w:t>.</w:t>
      </w:r>
      <w:r w:rsidRPr="00A52585">
        <w:rPr>
          <w:rtl/>
        </w:rPr>
        <w:br/>
        <w:t>وبالقياس على استحالة الاتصال والانفصال يستدل على استحالة الحلول داخل العالم</w:t>
      </w:r>
      <w:r w:rsidR="00DB731D" w:rsidRPr="00A52585">
        <w:rPr>
          <w:rtl/>
        </w:rPr>
        <w:t>،</w:t>
      </w:r>
      <w:r w:rsidRPr="00A52585">
        <w:rPr>
          <w:rtl/>
        </w:rPr>
        <w:t xml:space="preserve"> والبينونة عنه لأنهما في معنى الاتصال والانفصال</w:t>
      </w:r>
      <w:r w:rsidR="00DB731D" w:rsidRPr="00A52585">
        <w:rPr>
          <w:rtl/>
        </w:rPr>
        <w:t>،</w:t>
      </w:r>
      <w:r w:rsidRPr="00A52585">
        <w:rPr>
          <w:rFonts w:hint="cs"/>
          <w:rtl/>
        </w:rPr>
        <w:t xml:space="preserve"> </w:t>
      </w:r>
      <w:r w:rsidRPr="00A52585">
        <w:rPr>
          <w:rtl/>
        </w:rPr>
        <w:t xml:space="preserve">وإذن فلا يلزم أن يكون الله تعالى كما يقول </w:t>
      </w:r>
      <w:proofErr w:type="spellStart"/>
      <w:r w:rsidRPr="00A52585">
        <w:rPr>
          <w:rtl/>
        </w:rPr>
        <w:t>القصيمى</w:t>
      </w:r>
      <w:proofErr w:type="spellEnd"/>
      <w:r w:rsidRPr="00A52585">
        <w:rPr>
          <w:rtl/>
        </w:rPr>
        <w:t xml:space="preserve"> معدوماً كما لا يلزم من </w:t>
      </w:r>
      <w:proofErr w:type="spellStart"/>
      <w:r w:rsidRPr="00A52585">
        <w:rPr>
          <w:rtl/>
        </w:rPr>
        <w:t>من</w:t>
      </w:r>
      <w:proofErr w:type="spellEnd"/>
      <w:r w:rsidRPr="00A52585">
        <w:rPr>
          <w:rtl/>
        </w:rPr>
        <w:t xml:space="preserve"> تنزيهه تعالى عن هذه الأضداد ألا يكون موجوداً</w:t>
      </w:r>
      <w:r w:rsidR="00DB731D" w:rsidRPr="00A52585">
        <w:rPr>
          <w:rtl/>
        </w:rPr>
        <w:t>،</w:t>
      </w:r>
      <w:r w:rsidRPr="00A52585">
        <w:rPr>
          <w:rtl/>
        </w:rPr>
        <w:t xml:space="preserve"> ولو</w:t>
      </w:r>
      <w:r w:rsidRPr="00A52585">
        <w:rPr>
          <w:rFonts w:hint="cs"/>
          <w:rtl/>
        </w:rPr>
        <w:t xml:space="preserve"> </w:t>
      </w:r>
      <w:r w:rsidRPr="00A52585">
        <w:rPr>
          <w:rtl/>
        </w:rPr>
        <w:t xml:space="preserve">علم </w:t>
      </w:r>
      <w:proofErr w:type="spellStart"/>
      <w:r w:rsidRPr="00A52585">
        <w:rPr>
          <w:rtl/>
        </w:rPr>
        <w:t>القصيمى</w:t>
      </w:r>
      <w:proofErr w:type="spellEnd"/>
      <w:r w:rsidRPr="00A52585">
        <w:rPr>
          <w:rtl/>
        </w:rPr>
        <w:t xml:space="preserve"> هذا لاستحيا من أن يتهم من يعلمون هذه البراهين بالإلحاد</w:t>
      </w:r>
      <w:r w:rsidR="00DB731D" w:rsidRPr="00A52585">
        <w:rPr>
          <w:rtl/>
        </w:rPr>
        <w:t>،</w:t>
      </w:r>
      <w:r w:rsidR="0002035C" w:rsidRPr="00A52585">
        <w:rPr>
          <w:rFonts w:hint="cs"/>
          <w:rtl/>
        </w:rPr>
        <w:t xml:space="preserve"> </w:t>
      </w:r>
      <w:r w:rsidRPr="00A52585">
        <w:rPr>
          <w:bCs/>
          <w:rtl/>
        </w:rPr>
        <w:t>إثبات الملاحظة الثانية</w:t>
      </w:r>
      <w:r w:rsidR="0002035C" w:rsidRPr="00A52585">
        <w:rPr>
          <w:bCs/>
          <w:rtl/>
        </w:rPr>
        <w:t>:</w:t>
      </w:r>
      <w:r w:rsidRPr="00A52585">
        <w:rPr>
          <w:rtl/>
        </w:rPr>
        <w:t xml:space="preserve"> أما أن </w:t>
      </w:r>
      <w:proofErr w:type="spellStart"/>
      <w:r w:rsidRPr="00A52585">
        <w:rPr>
          <w:rtl/>
        </w:rPr>
        <w:t>القصيمى</w:t>
      </w:r>
      <w:proofErr w:type="spellEnd"/>
      <w:r w:rsidRPr="00A52585">
        <w:rPr>
          <w:rtl/>
        </w:rPr>
        <w:t xml:space="preserve"> يكذب نفسه بنفسه</w:t>
      </w:r>
      <w:r w:rsidR="00DB731D" w:rsidRPr="00A52585">
        <w:rPr>
          <w:rtl/>
        </w:rPr>
        <w:t>،</w:t>
      </w:r>
      <w:r w:rsidRPr="00A52585">
        <w:rPr>
          <w:rtl/>
        </w:rPr>
        <w:t xml:space="preserve"> فلأنه يقول </w:t>
      </w:r>
      <w:r w:rsidR="0002035C" w:rsidRPr="00A52585">
        <w:rPr>
          <w:rtl/>
        </w:rPr>
        <w:t>(</w:t>
      </w:r>
      <w:r w:rsidRPr="00A52585">
        <w:rPr>
          <w:rtl/>
        </w:rPr>
        <w:t>ص27</w:t>
      </w:r>
      <w:r w:rsidR="0002035C" w:rsidRPr="00A52585">
        <w:rPr>
          <w:rtl/>
        </w:rPr>
        <w:t>)</w:t>
      </w:r>
      <w:r w:rsidRPr="00A52585">
        <w:rPr>
          <w:rtl/>
        </w:rPr>
        <w:t xml:space="preserve"> من العدد 26 ما نصه</w:t>
      </w:r>
      <w:r w:rsidR="0002035C" w:rsidRPr="00A52585">
        <w:rPr>
          <w:rtl/>
        </w:rPr>
        <w:t>:</w:t>
      </w:r>
      <w:r w:rsidR="0002035C" w:rsidRPr="00A52585">
        <w:rPr>
          <w:rFonts w:hint="cs"/>
          <w:rtl/>
        </w:rPr>
        <w:t xml:space="preserve"> </w:t>
      </w:r>
      <w:r w:rsidRPr="00A52585">
        <w:rPr>
          <w:rtl/>
        </w:rPr>
        <w:t>ثم نسألكم رابعاً ونقول</w:t>
      </w:r>
      <w:r w:rsidR="0002035C" w:rsidRPr="00A52585">
        <w:rPr>
          <w:rtl/>
        </w:rPr>
        <w:t>:</w:t>
      </w:r>
      <w:r w:rsidRPr="00A52585">
        <w:rPr>
          <w:rtl/>
        </w:rPr>
        <w:t xml:space="preserve"> ألستم تؤمنون بأن الله سوف يرى في الآخرة</w:t>
      </w:r>
      <w:r w:rsidR="00F95886" w:rsidRPr="00A52585">
        <w:rPr>
          <w:rtl/>
        </w:rPr>
        <w:t>؟</w:t>
      </w:r>
      <w:r w:rsidRPr="00A52585">
        <w:rPr>
          <w:rtl/>
        </w:rPr>
        <w:t xml:space="preserve"> إن جوابكم لابد نعم</w:t>
      </w:r>
      <w:r w:rsidR="00DB731D" w:rsidRPr="00A52585">
        <w:rPr>
          <w:rtl/>
        </w:rPr>
        <w:t>،</w:t>
      </w:r>
      <w:r w:rsidRPr="00A52585">
        <w:rPr>
          <w:rtl/>
        </w:rPr>
        <w:t xml:space="preserve"> وعلى هذا نقول لكم</w:t>
      </w:r>
      <w:r w:rsidR="0002035C" w:rsidRPr="00A52585">
        <w:rPr>
          <w:rtl/>
        </w:rPr>
        <w:t>:</w:t>
      </w:r>
      <w:r w:rsidRPr="00A52585">
        <w:rPr>
          <w:rtl/>
        </w:rPr>
        <w:t xml:space="preserve"> إذا عقلتم ان الله تعالى يرى </w:t>
      </w:r>
      <w:proofErr w:type="spellStart"/>
      <w:r w:rsidRPr="00A52585">
        <w:rPr>
          <w:rtl/>
        </w:rPr>
        <w:t>بالابصار</w:t>
      </w:r>
      <w:proofErr w:type="spellEnd"/>
      <w:r w:rsidRPr="00A52585">
        <w:rPr>
          <w:rtl/>
        </w:rPr>
        <w:t xml:space="preserve"> ولا يلزمه أن يكون في جهة من الجهات</w:t>
      </w:r>
      <w:r w:rsidR="00DB731D" w:rsidRPr="00A52585">
        <w:rPr>
          <w:rtl/>
        </w:rPr>
        <w:t>،</w:t>
      </w:r>
      <w:r w:rsidRPr="00A52585">
        <w:rPr>
          <w:rtl/>
        </w:rPr>
        <w:t xml:space="preserve"> ولا أن يكون مقابلاً </w:t>
      </w:r>
      <w:proofErr w:type="spellStart"/>
      <w:r w:rsidRPr="00A52585">
        <w:rPr>
          <w:rtl/>
        </w:rPr>
        <w:t>للرائى</w:t>
      </w:r>
      <w:proofErr w:type="spellEnd"/>
      <w:r w:rsidR="00DB731D" w:rsidRPr="00A52585">
        <w:rPr>
          <w:rtl/>
        </w:rPr>
        <w:t>،</w:t>
      </w:r>
      <w:r w:rsidRPr="00A52585">
        <w:rPr>
          <w:rtl/>
        </w:rPr>
        <w:t xml:space="preserve"> ولا في </w:t>
      </w:r>
      <w:proofErr w:type="spellStart"/>
      <w:r w:rsidRPr="00A52585">
        <w:rPr>
          <w:rtl/>
        </w:rPr>
        <w:t>نحومن</w:t>
      </w:r>
      <w:proofErr w:type="spellEnd"/>
      <w:r w:rsidRPr="00A52585">
        <w:rPr>
          <w:rtl/>
        </w:rPr>
        <w:t xml:space="preserve"> أنحائه ولا جهة من جهاته</w:t>
      </w:r>
      <w:r w:rsidR="00DB731D" w:rsidRPr="00A52585">
        <w:rPr>
          <w:rtl/>
        </w:rPr>
        <w:t>،</w:t>
      </w:r>
      <w:r w:rsidRPr="00A52585">
        <w:rPr>
          <w:rtl/>
        </w:rPr>
        <w:t xml:space="preserve"> </w:t>
      </w:r>
      <w:proofErr w:type="spellStart"/>
      <w:r w:rsidRPr="00A52585">
        <w:rPr>
          <w:rtl/>
        </w:rPr>
        <w:t>أى</w:t>
      </w:r>
      <w:proofErr w:type="spellEnd"/>
      <w:r w:rsidRPr="00A52585">
        <w:rPr>
          <w:rtl/>
        </w:rPr>
        <w:t xml:space="preserve"> إذا آمنتم بالرؤية</w:t>
      </w:r>
      <w:r w:rsidR="00DB731D" w:rsidRPr="00A52585">
        <w:rPr>
          <w:rtl/>
        </w:rPr>
        <w:t>،</w:t>
      </w:r>
      <w:r w:rsidRPr="00A52585">
        <w:rPr>
          <w:rtl/>
        </w:rPr>
        <w:t xml:space="preserve"> وجمعتم بين القول بها والقول بالتنزيه</w:t>
      </w:r>
      <w:r w:rsidR="00DB731D" w:rsidRPr="00A52585">
        <w:rPr>
          <w:rtl/>
        </w:rPr>
        <w:t>،</w:t>
      </w:r>
      <w:r w:rsidRPr="00A52585">
        <w:rPr>
          <w:rtl/>
        </w:rPr>
        <w:t xml:space="preserve"> واعتقدتم أنفسكم منزهين مع قولكم بالرؤية البصرية فكيف لا تستطيعون أت تفهموا أيضاً أن يكون مستوياً على البصرية فكيف لا تستطيعون أن تفهموا أيضاً أن يكون مستويا على عرشه</w:t>
      </w:r>
      <w:r w:rsidR="00DB731D" w:rsidRPr="00A52585">
        <w:rPr>
          <w:rtl/>
        </w:rPr>
        <w:t>،</w:t>
      </w:r>
      <w:r w:rsidRPr="00A52585">
        <w:rPr>
          <w:rtl/>
        </w:rPr>
        <w:t xml:space="preserve"> عالياً على خلقه</w:t>
      </w:r>
      <w:r w:rsidR="00DB731D" w:rsidRPr="00A52585">
        <w:rPr>
          <w:rtl/>
        </w:rPr>
        <w:t>،</w:t>
      </w:r>
      <w:r w:rsidRPr="00A52585">
        <w:rPr>
          <w:rtl/>
        </w:rPr>
        <w:t xml:space="preserve"> ثم لا يلزم ذلك تشبيه</w:t>
      </w:r>
      <w:r w:rsidR="00DB731D" w:rsidRPr="00A52585">
        <w:rPr>
          <w:rtl/>
        </w:rPr>
        <w:t>،</w:t>
      </w:r>
      <w:r w:rsidRPr="00A52585">
        <w:rPr>
          <w:rtl/>
        </w:rPr>
        <w:t xml:space="preserve"> ولا تجسيم</w:t>
      </w:r>
      <w:r w:rsidR="00DB731D" w:rsidRPr="00A52585">
        <w:rPr>
          <w:rtl/>
        </w:rPr>
        <w:t>،</w:t>
      </w:r>
      <w:r w:rsidRPr="00A52585">
        <w:rPr>
          <w:rtl/>
        </w:rPr>
        <w:t xml:space="preserve"> بل ولا أن يكون في جهة من الجهات</w:t>
      </w:r>
      <w:r w:rsidR="00DB731D" w:rsidRPr="00A52585">
        <w:rPr>
          <w:rtl/>
        </w:rPr>
        <w:t>،</w:t>
      </w:r>
      <w:r w:rsidRPr="00A52585">
        <w:rPr>
          <w:rtl/>
        </w:rPr>
        <w:t xml:space="preserve"> ولا نحسب أن إنساناً يعطى الإنصاف عقله وعقيدته ثم يشك في أن الأمرين سواء</w:t>
      </w:r>
      <w:r w:rsidR="00DB731D" w:rsidRPr="00A52585">
        <w:rPr>
          <w:rtl/>
        </w:rPr>
        <w:t>،</w:t>
      </w:r>
      <w:r w:rsidRPr="00A52585">
        <w:rPr>
          <w:rFonts w:hint="cs"/>
          <w:rtl/>
        </w:rPr>
        <w:t xml:space="preserve"> </w:t>
      </w:r>
      <w:r w:rsidRPr="00A52585">
        <w:rPr>
          <w:rtl/>
        </w:rPr>
        <w:t xml:space="preserve">فقد أعترف </w:t>
      </w:r>
      <w:proofErr w:type="spellStart"/>
      <w:r w:rsidRPr="00A52585">
        <w:rPr>
          <w:rtl/>
        </w:rPr>
        <w:t>القصيمى</w:t>
      </w:r>
      <w:proofErr w:type="spellEnd"/>
      <w:r w:rsidRPr="00A52585">
        <w:rPr>
          <w:rtl/>
        </w:rPr>
        <w:t xml:space="preserve"> نفسه بأن الله تعالى ليس في جهة من جهات </w:t>
      </w:r>
      <w:proofErr w:type="spellStart"/>
      <w:r w:rsidRPr="00A52585">
        <w:rPr>
          <w:rtl/>
        </w:rPr>
        <w:t>الرائى</w:t>
      </w:r>
      <w:proofErr w:type="spellEnd"/>
      <w:r w:rsidR="00DB731D" w:rsidRPr="00A52585">
        <w:rPr>
          <w:rtl/>
        </w:rPr>
        <w:t>،</w:t>
      </w:r>
      <w:r w:rsidRPr="00A52585">
        <w:rPr>
          <w:rtl/>
        </w:rPr>
        <w:t xml:space="preserve"> فلا فوق</w:t>
      </w:r>
      <w:r w:rsidR="00DB731D" w:rsidRPr="00A52585">
        <w:rPr>
          <w:rtl/>
        </w:rPr>
        <w:t>،</w:t>
      </w:r>
      <w:r w:rsidRPr="00A52585">
        <w:rPr>
          <w:rtl/>
        </w:rPr>
        <w:t xml:space="preserve"> ولا تحت</w:t>
      </w:r>
      <w:r w:rsidR="00DB731D" w:rsidRPr="00A52585">
        <w:rPr>
          <w:rtl/>
        </w:rPr>
        <w:t>،</w:t>
      </w:r>
      <w:r w:rsidRPr="00A52585">
        <w:rPr>
          <w:rtl/>
        </w:rPr>
        <w:t xml:space="preserve"> ولا يمين</w:t>
      </w:r>
      <w:r w:rsidR="00DB731D" w:rsidRPr="00A52585">
        <w:rPr>
          <w:rtl/>
        </w:rPr>
        <w:t>،</w:t>
      </w:r>
      <w:r w:rsidRPr="00A52585">
        <w:rPr>
          <w:rtl/>
        </w:rPr>
        <w:t xml:space="preserve"> ولا شمال</w:t>
      </w:r>
      <w:r w:rsidR="00DB731D" w:rsidRPr="00A52585">
        <w:rPr>
          <w:rtl/>
        </w:rPr>
        <w:t>،</w:t>
      </w:r>
      <w:r w:rsidRPr="00A52585">
        <w:rPr>
          <w:rtl/>
        </w:rPr>
        <w:t xml:space="preserve"> ولا أمام</w:t>
      </w:r>
      <w:r w:rsidR="00DB731D" w:rsidRPr="00A52585">
        <w:rPr>
          <w:rtl/>
        </w:rPr>
        <w:t>،</w:t>
      </w:r>
      <w:r w:rsidRPr="00A52585">
        <w:rPr>
          <w:rtl/>
        </w:rPr>
        <w:t xml:space="preserve"> ولا خلف</w:t>
      </w:r>
      <w:r w:rsidR="00DB731D" w:rsidRPr="00A52585">
        <w:rPr>
          <w:rtl/>
        </w:rPr>
        <w:t>،</w:t>
      </w:r>
      <w:r w:rsidRPr="00A52585">
        <w:rPr>
          <w:rtl/>
        </w:rPr>
        <w:t xml:space="preserve"> ولا قريب ولا بعيد</w:t>
      </w:r>
      <w:r w:rsidR="00DB731D" w:rsidRPr="00A52585">
        <w:rPr>
          <w:rtl/>
        </w:rPr>
        <w:t>،</w:t>
      </w:r>
      <w:r w:rsidRPr="00A52585">
        <w:rPr>
          <w:rtl/>
        </w:rPr>
        <w:t xml:space="preserve"> لأن القرب والبعد مرتبطان بالجهات أيضاً</w:t>
      </w:r>
      <w:r w:rsidR="00DB731D" w:rsidRPr="00A52585">
        <w:rPr>
          <w:rtl/>
        </w:rPr>
        <w:t>،</w:t>
      </w:r>
      <w:r w:rsidRPr="00A52585">
        <w:rPr>
          <w:rtl/>
        </w:rPr>
        <w:t xml:space="preserve"> وإذن لا معنى للقول بالاستواء </w:t>
      </w:r>
      <w:proofErr w:type="spellStart"/>
      <w:r w:rsidRPr="00A52585">
        <w:rPr>
          <w:rtl/>
        </w:rPr>
        <w:t>المكانى</w:t>
      </w:r>
      <w:proofErr w:type="spellEnd"/>
      <w:r w:rsidRPr="00A52585">
        <w:rPr>
          <w:rtl/>
        </w:rPr>
        <w:t xml:space="preserve"> على العرش </w:t>
      </w:r>
      <w:proofErr w:type="spellStart"/>
      <w:r w:rsidRPr="00A52585">
        <w:rPr>
          <w:rtl/>
        </w:rPr>
        <w:t>أوالعلوالمكانى</w:t>
      </w:r>
      <w:proofErr w:type="spellEnd"/>
      <w:r w:rsidR="00DB731D" w:rsidRPr="00A52585">
        <w:rPr>
          <w:rtl/>
        </w:rPr>
        <w:t>،</w:t>
      </w:r>
      <w:r w:rsidRPr="00A52585">
        <w:rPr>
          <w:rtl/>
        </w:rPr>
        <w:t xml:space="preserve"> وليس أصرح من هذا تكذيباً </w:t>
      </w:r>
      <w:proofErr w:type="spellStart"/>
      <w:r w:rsidRPr="00A52585">
        <w:rPr>
          <w:rtl/>
        </w:rPr>
        <w:t>للقصيمى</w:t>
      </w:r>
      <w:proofErr w:type="spellEnd"/>
      <w:r w:rsidRPr="00A52585">
        <w:rPr>
          <w:rtl/>
        </w:rPr>
        <w:t xml:space="preserve"> في </w:t>
      </w:r>
      <w:proofErr w:type="spellStart"/>
      <w:r w:rsidRPr="00A52585">
        <w:rPr>
          <w:rtl/>
        </w:rPr>
        <w:t>أعتراضه</w:t>
      </w:r>
      <w:proofErr w:type="spellEnd"/>
      <w:r w:rsidRPr="00A52585">
        <w:rPr>
          <w:rtl/>
        </w:rPr>
        <w:t xml:space="preserve"> المذكور بصفحه 45 بالعدد 27</w:t>
      </w:r>
      <w:r w:rsidR="00DB731D" w:rsidRPr="00A52585">
        <w:rPr>
          <w:rtl/>
        </w:rPr>
        <w:t>،</w:t>
      </w:r>
      <w:r w:rsidRPr="00A52585">
        <w:rPr>
          <w:rFonts w:hint="cs"/>
          <w:rtl/>
        </w:rPr>
        <w:t xml:space="preserve"> </w:t>
      </w:r>
      <w:r w:rsidRPr="00A52585">
        <w:rPr>
          <w:rtl/>
        </w:rPr>
        <w:t xml:space="preserve">أما الإجابة عل </w:t>
      </w:r>
      <w:proofErr w:type="spellStart"/>
      <w:r w:rsidRPr="00A52585">
        <w:rPr>
          <w:rtl/>
        </w:rPr>
        <w:t>ىهذا</w:t>
      </w:r>
      <w:proofErr w:type="spellEnd"/>
      <w:r w:rsidRPr="00A52585">
        <w:rPr>
          <w:rtl/>
        </w:rPr>
        <w:t xml:space="preserve"> السؤال </w:t>
      </w:r>
      <w:proofErr w:type="spellStart"/>
      <w:r w:rsidRPr="00A52585">
        <w:rPr>
          <w:rtl/>
        </w:rPr>
        <w:t>فهى</w:t>
      </w:r>
      <w:proofErr w:type="spellEnd"/>
      <w:r w:rsidRPr="00A52585">
        <w:rPr>
          <w:rtl/>
        </w:rPr>
        <w:t xml:space="preserve"> ما نقرره فيما يلى</w:t>
      </w:r>
      <w:r w:rsidR="0002035C" w:rsidRPr="00A52585">
        <w:rPr>
          <w:rtl/>
        </w:rPr>
        <w:t>:</w:t>
      </w:r>
      <w:r w:rsidRPr="00A52585">
        <w:rPr>
          <w:rFonts w:hint="cs"/>
          <w:rtl/>
        </w:rPr>
        <w:t xml:space="preserve"> </w:t>
      </w:r>
      <w:r w:rsidRPr="00A52585">
        <w:rPr>
          <w:rtl/>
        </w:rPr>
        <w:t xml:space="preserve">إننا لا نستطيع أن نجمع بين الاستواء </w:t>
      </w:r>
      <w:proofErr w:type="spellStart"/>
      <w:r w:rsidRPr="00A52585">
        <w:rPr>
          <w:rtl/>
        </w:rPr>
        <w:t>المكانى</w:t>
      </w:r>
      <w:proofErr w:type="spellEnd"/>
      <w:r w:rsidRPr="00A52585">
        <w:rPr>
          <w:rtl/>
        </w:rPr>
        <w:t xml:space="preserve"> على العرش</w:t>
      </w:r>
      <w:r w:rsidR="00DB731D" w:rsidRPr="00A52585">
        <w:rPr>
          <w:rtl/>
        </w:rPr>
        <w:t>،</w:t>
      </w:r>
      <w:r w:rsidRPr="00A52585">
        <w:rPr>
          <w:rtl/>
        </w:rPr>
        <w:t xml:space="preserve"> وبين استحالة الجهات على الله تعالى إلا إذا تركنا عقولنا</w:t>
      </w:r>
      <w:r w:rsidR="00DB731D" w:rsidRPr="00A52585">
        <w:rPr>
          <w:rtl/>
        </w:rPr>
        <w:t>،</w:t>
      </w:r>
      <w:r w:rsidRPr="00A52585">
        <w:rPr>
          <w:rtl/>
        </w:rPr>
        <w:t xml:space="preserve"> وتكلمنا بغير عقل</w:t>
      </w:r>
      <w:r w:rsidR="00DB731D" w:rsidRPr="00A52585">
        <w:rPr>
          <w:rtl/>
        </w:rPr>
        <w:t>،</w:t>
      </w:r>
      <w:r w:rsidRPr="00A52585">
        <w:rPr>
          <w:rtl/>
        </w:rPr>
        <w:t xml:space="preserve"> فإن العرش فوقنا</w:t>
      </w:r>
      <w:r w:rsidR="00DB731D" w:rsidRPr="00A52585">
        <w:rPr>
          <w:rtl/>
        </w:rPr>
        <w:t>،</w:t>
      </w:r>
      <w:r w:rsidRPr="00A52585">
        <w:rPr>
          <w:rtl/>
        </w:rPr>
        <w:t xml:space="preserve"> والمستوى عليه هو في جهة فوق بالضرورة</w:t>
      </w:r>
      <w:r w:rsidR="00DB731D" w:rsidRPr="00A52585">
        <w:rPr>
          <w:rtl/>
        </w:rPr>
        <w:t>،</w:t>
      </w:r>
      <w:r w:rsidRPr="00A52585">
        <w:rPr>
          <w:rtl/>
        </w:rPr>
        <w:t xml:space="preserve"> وهذا إثبات للجهة ولا يمكن الجمع بين هذين الضدين مستحيل</w:t>
      </w:r>
      <w:r w:rsidR="00DB731D" w:rsidRPr="00A52585">
        <w:rPr>
          <w:rFonts w:hint="cs"/>
          <w:rtl/>
        </w:rPr>
        <w:t>،</w:t>
      </w:r>
      <w:r w:rsidRPr="00A52585">
        <w:rPr>
          <w:rFonts w:hint="cs"/>
          <w:rtl/>
        </w:rPr>
        <w:t xml:space="preserve"> </w:t>
      </w:r>
      <w:r w:rsidRPr="00A52585">
        <w:rPr>
          <w:rtl/>
        </w:rPr>
        <w:t xml:space="preserve">أما الرؤية البصرية فباعتراف </w:t>
      </w:r>
      <w:proofErr w:type="spellStart"/>
      <w:r w:rsidRPr="00A52585">
        <w:rPr>
          <w:rtl/>
        </w:rPr>
        <w:t>القصيمى</w:t>
      </w:r>
      <w:proofErr w:type="spellEnd"/>
      <w:r w:rsidRPr="00A52585">
        <w:rPr>
          <w:rtl/>
        </w:rPr>
        <w:t xml:space="preserve"> أنها لا تتوقف على الجهة</w:t>
      </w:r>
      <w:r w:rsidR="00DB731D" w:rsidRPr="00A52585">
        <w:rPr>
          <w:rtl/>
        </w:rPr>
        <w:t>،</w:t>
      </w:r>
      <w:r w:rsidRPr="00A52585">
        <w:rPr>
          <w:rtl/>
        </w:rPr>
        <w:t xml:space="preserve"> ولا المقابلة </w:t>
      </w:r>
      <w:proofErr w:type="spellStart"/>
      <w:r w:rsidRPr="00A52585">
        <w:rPr>
          <w:rtl/>
        </w:rPr>
        <w:t>فهى</w:t>
      </w:r>
      <w:proofErr w:type="spellEnd"/>
      <w:r w:rsidRPr="00A52585">
        <w:rPr>
          <w:rtl/>
        </w:rPr>
        <w:t xml:space="preserve"> ممكنة ونحن نؤمن بها</w:t>
      </w:r>
      <w:r w:rsidR="00DB731D" w:rsidRPr="00A52585">
        <w:rPr>
          <w:rtl/>
        </w:rPr>
        <w:t>،</w:t>
      </w:r>
      <w:r w:rsidRPr="00A52585">
        <w:rPr>
          <w:rtl/>
        </w:rPr>
        <w:t xml:space="preserve"> لأن الله سبحانه وتعالى سيخلق في أباصرنا قوة خارقة للعادة يمكننا بها أن نرى من ليس له مكان ولا جهة ولا حيز فإن الرؤية نوع انكشاف يحصل عن </w:t>
      </w:r>
      <w:proofErr w:type="spellStart"/>
      <w:r w:rsidRPr="00A52585">
        <w:rPr>
          <w:rtl/>
        </w:rPr>
        <w:t>الرائى</w:t>
      </w:r>
      <w:proofErr w:type="spellEnd"/>
      <w:r w:rsidRPr="00A52585">
        <w:rPr>
          <w:rtl/>
        </w:rPr>
        <w:t xml:space="preserve"> المخلوق بقوة الله تعالى</w:t>
      </w:r>
      <w:r w:rsidR="00DB731D" w:rsidRPr="00A52585">
        <w:rPr>
          <w:rtl/>
        </w:rPr>
        <w:t>،</w:t>
      </w:r>
      <w:r w:rsidRPr="00A52585">
        <w:rPr>
          <w:rFonts w:hint="cs"/>
          <w:rtl/>
        </w:rPr>
        <w:t xml:space="preserve"> </w:t>
      </w:r>
      <w:r w:rsidRPr="00A52585">
        <w:rPr>
          <w:rtl/>
        </w:rPr>
        <w:t xml:space="preserve">أما الاستواء </w:t>
      </w:r>
      <w:proofErr w:type="spellStart"/>
      <w:r w:rsidRPr="00A52585">
        <w:rPr>
          <w:rtl/>
        </w:rPr>
        <w:t>المكانى</w:t>
      </w:r>
      <w:proofErr w:type="spellEnd"/>
      <w:r w:rsidRPr="00A52585">
        <w:rPr>
          <w:rtl/>
        </w:rPr>
        <w:t xml:space="preserve"> </w:t>
      </w:r>
      <w:proofErr w:type="spellStart"/>
      <w:r w:rsidRPr="00A52585">
        <w:rPr>
          <w:rtl/>
        </w:rPr>
        <w:t>فهوعين</w:t>
      </w:r>
      <w:proofErr w:type="spellEnd"/>
      <w:r w:rsidRPr="00A52585">
        <w:rPr>
          <w:rtl/>
        </w:rPr>
        <w:t xml:space="preserve"> الجهة</w:t>
      </w:r>
      <w:r w:rsidR="00DB731D" w:rsidRPr="00A52585">
        <w:rPr>
          <w:rtl/>
        </w:rPr>
        <w:t>،</w:t>
      </w:r>
      <w:r w:rsidRPr="00A52585">
        <w:rPr>
          <w:rtl/>
        </w:rPr>
        <w:t xml:space="preserve"> والتحديد</w:t>
      </w:r>
      <w:r w:rsidR="00DB731D" w:rsidRPr="00A52585">
        <w:rPr>
          <w:rtl/>
        </w:rPr>
        <w:t>،</w:t>
      </w:r>
      <w:r w:rsidRPr="00A52585">
        <w:rPr>
          <w:rtl/>
        </w:rPr>
        <w:t xml:space="preserve"> والتحيز</w:t>
      </w:r>
      <w:r w:rsidR="00DB731D" w:rsidRPr="00A52585">
        <w:rPr>
          <w:rtl/>
        </w:rPr>
        <w:t>،</w:t>
      </w:r>
      <w:r w:rsidRPr="00A52585">
        <w:rPr>
          <w:rtl/>
        </w:rPr>
        <w:t xml:space="preserve"> وكل هذه الصفات مستحيلة على الله تعالى باعتراف </w:t>
      </w:r>
      <w:proofErr w:type="spellStart"/>
      <w:r w:rsidRPr="00A52585">
        <w:rPr>
          <w:rtl/>
        </w:rPr>
        <w:t>القصيمى</w:t>
      </w:r>
      <w:proofErr w:type="spellEnd"/>
      <w:r w:rsidRPr="00A52585">
        <w:rPr>
          <w:rtl/>
        </w:rPr>
        <w:t xml:space="preserve"> </w:t>
      </w:r>
      <w:proofErr w:type="spellStart"/>
      <w:r w:rsidRPr="00A52585">
        <w:rPr>
          <w:rtl/>
        </w:rPr>
        <w:t>والمسلاوى</w:t>
      </w:r>
      <w:proofErr w:type="spellEnd"/>
      <w:r w:rsidRPr="00A52585">
        <w:rPr>
          <w:rtl/>
        </w:rPr>
        <w:t xml:space="preserve"> ما توضح </w:t>
      </w:r>
      <w:proofErr w:type="spellStart"/>
      <w:r w:rsidRPr="00A52585">
        <w:rPr>
          <w:rtl/>
        </w:rPr>
        <w:t>فهوإذن</w:t>
      </w:r>
      <w:proofErr w:type="spellEnd"/>
      <w:r w:rsidRPr="00A52585">
        <w:rPr>
          <w:rtl/>
        </w:rPr>
        <w:t xml:space="preserve"> مستحيل</w:t>
      </w:r>
      <w:r w:rsidR="00DB731D" w:rsidRPr="00A52585">
        <w:rPr>
          <w:rtl/>
        </w:rPr>
        <w:t>،</w:t>
      </w:r>
      <w:r w:rsidRPr="00A52585">
        <w:rPr>
          <w:rFonts w:hint="cs"/>
          <w:rtl/>
        </w:rPr>
        <w:t xml:space="preserve"> </w:t>
      </w:r>
      <w:r w:rsidRPr="00A52585">
        <w:rPr>
          <w:rtl/>
        </w:rPr>
        <w:t>فشتان بين الرؤية التي لا تستلزم الجهة</w:t>
      </w:r>
      <w:r w:rsidR="00DB731D" w:rsidRPr="00A52585">
        <w:rPr>
          <w:rtl/>
        </w:rPr>
        <w:t>،</w:t>
      </w:r>
      <w:r w:rsidRPr="00A52585">
        <w:rPr>
          <w:rtl/>
        </w:rPr>
        <w:t xml:space="preserve"> والتحيز</w:t>
      </w:r>
      <w:r w:rsidR="00DB731D" w:rsidRPr="00A52585">
        <w:rPr>
          <w:rtl/>
        </w:rPr>
        <w:t>،</w:t>
      </w:r>
      <w:r w:rsidRPr="00A52585">
        <w:rPr>
          <w:rtl/>
        </w:rPr>
        <w:t xml:space="preserve"> وبين الاستواء </w:t>
      </w:r>
      <w:proofErr w:type="spellStart"/>
      <w:r w:rsidRPr="00A52585">
        <w:rPr>
          <w:rtl/>
        </w:rPr>
        <w:t>المكانى</w:t>
      </w:r>
      <w:proofErr w:type="spellEnd"/>
      <w:r w:rsidRPr="00A52585">
        <w:rPr>
          <w:rtl/>
        </w:rPr>
        <w:t xml:space="preserve"> على العرش الذى لا يعقل إلا في جهة فوق</w:t>
      </w:r>
      <w:r w:rsidR="00DB731D" w:rsidRPr="00A52585">
        <w:rPr>
          <w:rtl/>
        </w:rPr>
        <w:t>،</w:t>
      </w:r>
      <w:r w:rsidRPr="00A52585">
        <w:rPr>
          <w:rFonts w:hint="cs"/>
          <w:rtl/>
        </w:rPr>
        <w:t xml:space="preserve"> </w:t>
      </w:r>
      <w:proofErr w:type="spellStart"/>
      <w:r w:rsidRPr="00A52585">
        <w:rPr>
          <w:rtl/>
        </w:rPr>
        <w:t>أفهل</w:t>
      </w:r>
      <w:proofErr w:type="spellEnd"/>
      <w:r w:rsidRPr="00A52585">
        <w:rPr>
          <w:rtl/>
        </w:rPr>
        <w:t xml:space="preserve"> يعقل مساواة الجهة بضدها </w:t>
      </w:r>
      <w:r w:rsidRPr="00A52585">
        <w:rPr>
          <w:rtl/>
        </w:rPr>
        <w:lastRenderedPageBreak/>
        <w:t>وهو عدم الجهة</w:t>
      </w:r>
      <w:r w:rsidR="00F95886" w:rsidRPr="00A52585">
        <w:rPr>
          <w:rtl/>
        </w:rPr>
        <w:t>؟</w:t>
      </w:r>
      <w:r w:rsidRPr="00A52585">
        <w:rPr>
          <w:rtl/>
        </w:rPr>
        <w:t xml:space="preserve"> ? فمال هؤلاء القوم لا يكادون يفقهون </w:t>
      </w:r>
      <w:proofErr w:type="gramStart"/>
      <w:r w:rsidRPr="00A52585">
        <w:rPr>
          <w:rtl/>
        </w:rPr>
        <w:t>حديثاً</w:t>
      </w:r>
      <w:r w:rsidRPr="00A52585">
        <w:rPr>
          <w:rFonts w:hint="cs"/>
          <w:rtl/>
        </w:rPr>
        <w:t xml:space="preserve"> </w:t>
      </w:r>
      <w:r w:rsidRPr="00A52585">
        <w:rPr>
          <w:rtl/>
        </w:rPr>
        <w:t>?؟</w:t>
      </w:r>
      <w:proofErr w:type="gramEnd"/>
      <w:r w:rsidRPr="00A52585">
        <w:rPr>
          <w:rFonts w:hint="cs"/>
          <w:rtl/>
        </w:rPr>
        <w:t xml:space="preserve"> </w:t>
      </w:r>
      <w:r w:rsidRPr="00A52585">
        <w:rPr>
          <w:rtl/>
        </w:rPr>
        <w:t>فإن قيل</w:t>
      </w:r>
      <w:r w:rsidR="0002035C" w:rsidRPr="00A52585">
        <w:rPr>
          <w:rtl/>
        </w:rPr>
        <w:t>:</w:t>
      </w:r>
      <w:r w:rsidRPr="00A52585">
        <w:rPr>
          <w:rtl/>
        </w:rPr>
        <w:t xml:space="preserve"> إذا كان الله تعالى ليس في مكان فوق العرش أوفي السماء </w:t>
      </w:r>
      <w:proofErr w:type="spellStart"/>
      <w:r w:rsidRPr="00A52585">
        <w:rPr>
          <w:rtl/>
        </w:rPr>
        <w:t>فلماذاتتجه</w:t>
      </w:r>
      <w:proofErr w:type="spellEnd"/>
      <w:r w:rsidRPr="00A52585">
        <w:rPr>
          <w:rtl/>
        </w:rPr>
        <w:t xml:space="preserve"> ضمائرنا إلى جهة فوق عند التضرع إلى الله تعالى</w:t>
      </w:r>
      <w:r w:rsidR="00F95886" w:rsidRPr="00A52585">
        <w:rPr>
          <w:rtl/>
        </w:rPr>
        <w:t>؟</w:t>
      </w:r>
      <w:r w:rsidRPr="00A52585">
        <w:rPr>
          <w:rFonts w:hint="cs"/>
          <w:rtl/>
        </w:rPr>
        <w:t xml:space="preserve"> </w:t>
      </w:r>
      <w:r w:rsidRPr="00A52585">
        <w:rPr>
          <w:rtl/>
        </w:rPr>
        <w:t>فالجواب هو</w:t>
      </w:r>
      <w:r w:rsidR="0002035C" w:rsidRPr="00A52585">
        <w:rPr>
          <w:rtl/>
        </w:rPr>
        <w:t>:</w:t>
      </w:r>
      <w:r w:rsidRPr="00A52585">
        <w:rPr>
          <w:rtl/>
        </w:rPr>
        <w:t xml:space="preserve"> أن هذا حكم الخيال</w:t>
      </w:r>
      <w:r w:rsidR="00DB731D" w:rsidRPr="00A52585">
        <w:rPr>
          <w:rtl/>
        </w:rPr>
        <w:t>،</w:t>
      </w:r>
      <w:r w:rsidRPr="00A52585">
        <w:rPr>
          <w:rtl/>
        </w:rPr>
        <w:t xml:space="preserve"> فأنه يجسم ما لا يقبل التجسيم</w:t>
      </w:r>
      <w:r w:rsidR="00DB731D" w:rsidRPr="00A52585">
        <w:rPr>
          <w:rtl/>
        </w:rPr>
        <w:t>،</w:t>
      </w:r>
      <w:r w:rsidRPr="00A52585">
        <w:rPr>
          <w:rtl/>
        </w:rPr>
        <w:t xml:space="preserve"> ويمثل المعنويات </w:t>
      </w:r>
      <w:proofErr w:type="spellStart"/>
      <w:r w:rsidRPr="00A52585">
        <w:rPr>
          <w:rtl/>
        </w:rPr>
        <w:t>بالحسيات</w:t>
      </w:r>
      <w:proofErr w:type="spellEnd"/>
      <w:r w:rsidRPr="00A52585">
        <w:rPr>
          <w:rtl/>
        </w:rPr>
        <w:t xml:space="preserve"> عند التعبير</w:t>
      </w:r>
      <w:r w:rsidR="00897A24" w:rsidRPr="00A52585">
        <w:rPr>
          <w:rtl/>
        </w:rPr>
        <w:t>.</w:t>
      </w:r>
      <w:r w:rsidRPr="00A52585">
        <w:rPr>
          <w:rtl/>
        </w:rPr>
        <w:t xml:space="preserve"> لذلك يريك التقوى في المنام ثوباً فضفاضاً كما رآه سيدنا عمر رضى الله عنه وأولها له صلى الله عليه وسلم بالتقوى</w:t>
      </w:r>
      <w:r w:rsidR="00DB731D" w:rsidRPr="00A52585">
        <w:rPr>
          <w:rtl/>
        </w:rPr>
        <w:t>،</w:t>
      </w:r>
      <w:r w:rsidRPr="00A52585">
        <w:rPr>
          <w:rtl/>
        </w:rPr>
        <w:t xml:space="preserve"> وهذا يدل على أن الخيال يجسم </w:t>
      </w:r>
      <w:proofErr w:type="spellStart"/>
      <w:r w:rsidRPr="00A52585">
        <w:rPr>
          <w:rtl/>
        </w:rPr>
        <w:t>المعانى</w:t>
      </w:r>
      <w:proofErr w:type="spellEnd"/>
      <w:r w:rsidRPr="00A52585">
        <w:rPr>
          <w:rtl/>
        </w:rPr>
        <w:t xml:space="preserve"> ويجسم ما لا يقبل التجسيم وهو </w:t>
      </w:r>
      <w:proofErr w:type="spellStart"/>
      <w:r w:rsidRPr="00A52585">
        <w:rPr>
          <w:rtl/>
        </w:rPr>
        <w:t>البارى</w:t>
      </w:r>
      <w:proofErr w:type="spellEnd"/>
      <w:r w:rsidRPr="00A52585">
        <w:rPr>
          <w:rtl/>
        </w:rPr>
        <w:t xml:space="preserve"> جل وعلا</w:t>
      </w:r>
      <w:r w:rsidR="00DB731D" w:rsidRPr="00A52585">
        <w:rPr>
          <w:rtl/>
        </w:rPr>
        <w:t>،</w:t>
      </w:r>
      <w:r w:rsidRPr="00A52585">
        <w:rPr>
          <w:rFonts w:hint="cs"/>
          <w:rtl/>
        </w:rPr>
        <w:t xml:space="preserve"> </w:t>
      </w:r>
      <w:r w:rsidRPr="00A52585">
        <w:rPr>
          <w:rtl/>
        </w:rPr>
        <w:t>فيقال مثلاً</w:t>
      </w:r>
      <w:r w:rsidR="0002035C" w:rsidRPr="00A52585">
        <w:rPr>
          <w:rtl/>
        </w:rPr>
        <w:t>:</w:t>
      </w:r>
      <w:r w:rsidRPr="00A52585">
        <w:rPr>
          <w:rtl/>
        </w:rPr>
        <w:t xml:space="preserve"> الرحمة فوق العدل</w:t>
      </w:r>
      <w:r w:rsidR="00DB731D" w:rsidRPr="00A52585">
        <w:rPr>
          <w:rtl/>
        </w:rPr>
        <w:t>،</w:t>
      </w:r>
      <w:r w:rsidRPr="00A52585">
        <w:rPr>
          <w:rtl/>
        </w:rPr>
        <w:t xml:space="preserve"> مع أنهما ليسا في مكانين</w:t>
      </w:r>
      <w:r w:rsidR="00DB731D" w:rsidRPr="00A52585">
        <w:rPr>
          <w:rtl/>
        </w:rPr>
        <w:t>،</w:t>
      </w:r>
      <w:r w:rsidRPr="00A52585">
        <w:rPr>
          <w:rtl/>
        </w:rPr>
        <w:t xml:space="preserve"> فقد استعيرت الفوقية المكانية للرحمة للتعبير عن الفوقية المعنوية ولولا هذا لما أمكن توصل هذا المعنى إلى ذهن السامع</w:t>
      </w:r>
      <w:r w:rsidR="00DB731D" w:rsidRPr="00A52585">
        <w:rPr>
          <w:rtl/>
        </w:rPr>
        <w:t>،</w:t>
      </w:r>
      <w:r w:rsidRPr="00A52585">
        <w:rPr>
          <w:rFonts w:hint="cs"/>
          <w:rtl/>
        </w:rPr>
        <w:t xml:space="preserve"> </w:t>
      </w:r>
      <w:r w:rsidRPr="00A52585">
        <w:rPr>
          <w:rtl/>
        </w:rPr>
        <w:t>ويقال</w:t>
      </w:r>
      <w:r w:rsidR="0002035C" w:rsidRPr="00A52585">
        <w:rPr>
          <w:rtl/>
        </w:rPr>
        <w:t>:</w:t>
      </w:r>
      <w:r w:rsidRPr="00A52585">
        <w:rPr>
          <w:rtl/>
        </w:rPr>
        <w:t xml:space="preserve"> تحرك الركاب </w:t>
      </w:r>
      <w:proofErr w:type="spellStart"/>
      <w:r w:rsidRPr="00A52585">
        <w:rPr>
          <w:rtl/>
        </w:rPr>
        <w:t>العالى</w:t>
      </w:r>
      <w:proofErr w:type="spellEnd"/>
      <w:r w:rsidR="00DB731D" w:rsidRPr="00A52585">
        <w:rPr>
          <w:rtl/>
        </w:rPr>
        <w:t>،</w:t>
      </w:r>
      <w:r w:rsidRPr="00A52585">
        <w:rPr>
          <w:rtl/>
        </w:rPr>
        <w:t xml:space="preserve"> مع أنه لا يزال سائراً على الأرض</w:t>
      </w:r>
      <w:r w:rsidR="00DB731D" w:rsidRPr="00A52585">
        <w:rPr>
          <w:rtl/>
        </w:rPr>
        <w:t>،</w:t>
      </w:r>
      <w:r w:rsidRPr="00A52585">
        <w:rPr>
          <w:rtl/>
        </w:rPr>
        <w:t xml:space="preserve"> ولكن أستعير </w:t>
      </w:r>
      <w:proofErr w:type="spellStart"/>
      <w:r w:rsidRPr="00A52585">
        <w:rPr>
          <w:rtl/>
        </w:rPr>
        <w:t>العلوالمكانى</w:t>
      </w:r>
      <w:proofErr w:type="spellEnd"/>
      <w:r w:rsidRPr="00A52585">
        <w:rPr>
          <w:rtl/>
        </w:rPr>
        <w:t xml:space="preserve"> للتعبير عن </w:t>
      </w:r>
      <w:proofErr w:type="spellStart"/>
      <w:r w:rsidRPr="00A52585">
        <w:rPr>
          <w:rtl/>
        </w:rPr>
        <w:t>العلوالمعنوى</w:t>
      </w:r>
      <w:proofErr w:type="spellEnd"/>
      <w:r w:rsidRPr="00A52585">
        <w:rPr>
          <w:rtl/>
        </w:rPr>
        <w:t xml:space="preserve"> ويقال إن فلاناً منزلته في السماء السابعة إشارة إلى ترقية </w:t>
      </w:r>
      <w:proofErr w:type="spellStart"/>
      <w:r w:rsidRPr="00A52585">
        <w:rPr>
          <w:rtl/>
        </w:rPr>
        <w:t>المعنوى</w:t>
      </w:r>
      <w:proofErr w:type="spellEnd"/>
      <w:r w:rsidRPr="00A52585">
        <w:rPr>
          <w:rtl/>
        </w:rPr>
        <w:t xml:space="preserve"> الظاهر مع أنه لا يزال موجوداً بجسمه في الأرض وهكذا</w:t>
      </w:r>
      <w:r w:rsidR="00DB731D" w:rsidRPr="00A52585">
        <w:rPr>
          <w:rtl/>
        </w:rPr>
        <w:t>،</w:t>
      </w:r>
      <w:r w:rsidRPr="00A52585">
        <w:rPr>
          <w:rFonts w:hint="cs"/>
          <w:rtl/>
        </w:rPr>
        <w:t xml:space="preserve"> </w:t>
      </w:r>
      <w:r w:rsidRPr="00A52585">
        <w:rPr>
          <w:rtl/>
        </w:rPr>
        <w:t>فكذلك الخيال يشير إلى عظمة ربه جل وعلا</w:t>
      </w:r>
      <w:r w:rsidR="00DB731D" w:rsidRPr="00A52585">
        <w:rPr>
          <w:rtl/>
        </w:rPr>
        <w:t>،</w:t>
      </w:r>
      <w:r w:rsidRPr="00A52585">
        <w:rPr>
          <w:rtl/>
        </w:rPr>
        <w:t xml:space="preserve"> وكبريائه</w:t>
      </w:r>
      <w:r w:rsidR="00DB731D" w:rsidRPr="00A52585">
        <w:rPr>
          <w:rtl/>
        </w:rPr>
        <w:t>،</w:t>
      </w:r>
      <w:r w:rsidRPr="00A52585">
        <w:rPr>
          <w:rtl/>
        </w:rPr>
        <w:t xml:space="preserve"> وعلوه </w:t>
      </w:r>
      <w:proofErr w:type="spellStart"/>
      <w:r w:rsidRPr="00A52585">
        <w:rPr>
          <w:rtl/>
        </w:rPr>
        <w:t>المعنوى</w:t>
      </w:r>
      <w:proofErr w:type="spellEnd"/>
      <w:r w:rsidRPr="00A52585">
        <w:rPr>
          <w:rtl/>
        </w:rPr>
        <w:t xml:space="preserve"> </w:t>
      </w:r>
      <w:proofErr w:type="spellStart"/>
      <w:r w:rsidRPr="00A52585">
        <w:rPr>
          <w:rtl/>
        </w:rPr>
        <w:t>بالعلوالمكانى</w:t>
      </w:r>
      <w:proofErr w:type="spellEnd"/>
      <w:r w:rsidR="00DB731D" w:rsidRPr="00A52585">
        <w:rPr>
          <w:rtl/>
        </w:rPr>
        <w:t>،</w:t>
      </w:r>
      <w:r w:rsidRPr="00A52585">
        <w:rPr>
          <w:rtl/>
        </w:rPr>
        <w:t xml:space="preserve"> لأنه ليس في استطاعته التعبير عن المعنويات إلا </w:t>
      </w:r>
      <w:proofErr w:type="spellStart"/>
      <w:r w:rsidRPr="00A52585">
        <w:rPr>
          <w:rtl/>
        </w:rPr>
        <w:t>بالحسيات</w:t>
      </w:r>
      <w:proofErr w:type="spellEnd"/>
      <w:r w:rsidR="00DB731D" w:rsidRPr="00A52585">
        <w:rPr>
          <w:rtl/>
        </w:rPr>
        <w:t>،</w:t>
      </w:r>
      <w:r w:rsidRPr="00A52585">
        <w:rPr>
          <w:rtl/>
        </w:rPr>
        <w:t xml:space="preserve"> وذلك لأن إدراكه عالة على الحواس</w:t>
      </w:r>
      <w:r w:rsidR="00DB731D" w:rsidRPr="00A52585">
        <w:rPr>
          <w:rtl/>
        </w:rPr>
        <w:t>،</w:t>
      </w:r>
      <w:r w:rsidRPr="00A52585">
        <w:rPr>
          <w:rtl/>
        </w:rPr>
        <w:t xml:space="preserve"> فما تعلقت به الحواس</w:t>
      </w:r>
      <w:r w:rsidR="00DB731D" w:rsidRPr="00A52585">
        <w:rPr>
          <w:rtl/>
        </w:rPr>
        <w:t>،</w:t>
      </w:r>
      <w:r w:rsidRPr="00A52585">
        <w:rPr>
          <w:rtl/>
        </w:rPr>
        <w:t xml:space="preserve"> تعلق به الخيال</w:t>
      </w:r>
      <w:r w:rsidR="00DB731D" w:rsidRPr="00A52585">
        <w:rPr>
          <w:rtl/>
        </w:rPr>
        <w:t>،</w:t>
      </w:r>
      <w:r w:rsidRPr="00A52585">
        <w:rPr>
          <w:rtl/>
        </w:rPr>
        <w:t xml:space="preserve"> وما لا تدركه الحواس لا يتعلق به الخيال</w:t>
      </w:r>
      <w:r w:rsidR="00DB731D" w:rsidRPr="00A52585">
        <w:rPr>
          <w:rtl/>
        </w:rPr>
        <w:t>،</w:t>
      </w:r>
      <w:r w:rsidRPr="00A52585">
        <w:rPr>
          <w:rFonts w:hint="cs"/>
          <w:rtl/>
        </w:rPr>
        <w:t xml:space="preserve"> </w:t>
      </w:r>
      <w:proofErr w:type="spellStart"/>
      <w:r w:rsidRPr="00A52585">
        <w:rPr>
          <w:rtl/>
        </w:rPr>
        <w:t>فاعين</w:t>
      </w:r>
      <w:proofErr w:type="spellEnd"/>
      <w:r w:rsidRPr="00A52585">
        <w:rPr>
          <w:rtl/>
        </w:rPr>
        <w:t xml:space="preserve"> مثلا تدرك الصور</w:t>
      </w:r>
      <w:r w:rsidR="00DB731D" w:rsidRPr="00A52585">
        <w:rPr>
          <w:rtl/>
        </w:rPr>
        <w:t>،</w:t>
      </w:r>
      <w:r w:rsidRPr="00A52585">
        <w:rPr>
          <w:rtl/>
        </w:rPr>
        <w:t xml:space="preserve"> والألوان</w:t>
      </w:r>
      <w:r w:rsidR="00DB731D" w:rsidRPr="00A52585">
        <w:rPr>
          <w:rtl/>
        </w:rPr>
        <w:t>،</w:t>
      </w:r>
      <w:r w:rsidRPr="00A52585">
        <w:rPr>
          <w:rtl/>
        </w:rPr>
        <w:t xml:space="preserve"> فبعد زوال المرئيات من العين يتخيل صورتها الخيال</w:t>
      </w:r>
      <w:r w:rsidR="00DB731D" w:rsidRPr="00A52585">
        <w:rPr>
          <w:rtl/>
        </w:rPr>
        <w:t>،</w:t>
      </w:r>
      <w:r w:rsidRPr="00A52585">
        <w:rPr>
          <w:rFonts w:hint="cs"/>
          <w:rtl/>
        </w:rPr>
        <w:t xml:space="preserve"> </w:t>
      </w:r>
      <w:r w:rsidRPr="00A52585">
        <w:rPr>
          <w:rtl/>
        </w:rPr>
        <w:t>والأذن تسمع الأصوات الجميلة</w:t>
      </w:r>
      <w:r w:rsidR="00DB731D" w:rsidRPr="00A52585">
        <w:rPr>
          <w:rtl/>
        </w:rPr>
        <w:t>،</w:t>
      </w:r>
      <w:r w:rsidRPr="00A52585">
        <w:rPr>
          <w:rtl/>
        </w:rPr>
        <w:t xml:space="preserve"> فبعد زوالها يتخيل نغماتها الخيال</w:t>
      </w:r>
      <w:r w:rsidR="00DB731D" w:rsidRPr="00A52585">
        <w:rPr>
          <w:rtl/>
        </w:rPr>
        <w:t>،</w:t>
      </w:r>
      <w:r w:rsidRPr="00A52585">
        <w:rPr>
          <w:rFonts w:hint="cs"/>
          <w:rtl/>
        </w:rPr>
        <w:t xml:space="preserve"> </w:t>
      </w:r>
      <w:r w:rsidRPr="00A52585">
        <w:rPr>
          <w:rtl/>
        </w:rPr>
        <w:t>واللسان يدرك حلاوة العسل مثلاً</w:t>
      </w:r>
      <w:r w:rsidR="00DB731D" w:rsidRPr="00A52585">
        <w:rPr>
          <w:rtl/>
        </w:rPr>
        <w:t>،</w:t>
      </w:r>
      <w:r w:rsidRPr="00A52585">
        <w:rPr>
          <w:rtl/>
        </w:rPr>
        <w:t xml:space="preserve"> فبعد زوالها من اللسان يتخيل لذاتها الخيال</w:t>
      </w:r>
      <w:r w:rsidR="00DB731D" w:rsidRPr="00A52585">
        <w:rPr>
          <w:rtl/>
        </w:rPr>
        <w:t>،</w:t>
      </w:r>
      <w:r w:rsidRPr="00A52585">
        <w:rPr>
          <w:rFonts w:hint="cs"/>
          <w:rtl/>
        </w:rPr>
        <w:t xml:space="preserve"> </w:t>
      </w:r>
      <w:r w:rsidRPr="00A52585">
        <w:rPr>
          <w:rtl/>
        </w:rPr>
        <w:t>واليد تدرك لذة نعومة الأجسام</w:t>
      </w:r>
      <w:r w:rsidR="00DB731D" w:rsidRPr="00A52585">
        <w:rPr>
          <w:rtl/>
        </w:rPr>
        <w:t>،</w:t>
      </w:r>
      <w:r w:rsidRPr="00A52585">
        <w:rPr>
          <w:rtl/>
        </w:rPr>
        <w:t xml:space="preserve"> فبعد زوالها عن اليد يتخيل نعومتها الخيال</w:t>
      </w:r>
      <w:r w:rsidR="00DB731D" w:rsidRPr="00A52585">
        <w:rPr>
          <w:rtl/>
        </w:rPr>
        <w:t>،</w:t>
      </w:r>
      <w:r w:rsidRPr="00A52585">
        <w:rPr>
          <w:rtl/>
        </w:rPr>
        <w:t xml:space="preserve"> وهكذا</w:t>
      </w:r>
      <w:r w:rsidR="00897A24" w:rsidRPr="00A52585">
        <w:rPr>
          <w:rtl/>
        </w:rPr>
        <w:t>.</w:t>
      </w:r>
      <w:r w:rsidRPr="00A52585">
        <w:rPr>
          <w:rtl/>
        </w:rPr>
        <w:t xml:space="preserve"> وحيث إن الحواس قد تخطئ في إدراكها</w:t>
      </w:r>
      <w:r w:rsidR="00DB731D" w:rsidRPr="00A52585">
        <w:rPr>
          <w:rtl/>
        </w:rPr>
        <w:t>،</w:t>
      </w:r>
      <w:r w:rsidRPr="00A52585">
        <w:rPr>
          <w:rtl/>
        </w:rPr>
        <w:t xml:space="preserve"> فكذلك الخيال يخطئ تبعاً لها</w:t>
      </w:r>
      <w:r w:rsidR="00DB731D" w:rsidRPr="00A52585">
        <w:rPr>
          <w:rtl/>
        </w:rPr>
        <w:t>،</w:t>
      </w:r>
      <w:r w:rsidRPr="00A52585">
        <w:rPr>
          <w:rtl/>
        </w:rPr>
        <w:t xml:space="preserve"> والعقل يصحح لهما الخطأ</w:t>
      </w:r>
      <w:r w:rsidR="00DB731D" w:rsidRPr="00A52585">
        <w:rPr>
          <w:rtl/>
        </w:rPr>
        <w:t>،</w:t>
      </w:r>
      <w:r w:rsidRPr="00A52585">
        <w:rPr>
          <w:rFonts w:hint="cs"/>
          <w:rtl/>
        </w:rPr>
        <w:t xml:space="preserve"> </w:t>
      </w:r>
      <w:r w:rsidRPr="00A52585">
        <w:rPr>
          <w:rtl/>
        </w:rPr>
        <w:t>فالعين ترى السراب بالقيعة والصحراء ماء</w:t>
      </w:r>
      <w:r w:rsidR="00DB731D" w:rsidRPr="00A52585">
        <w:rPr>
          <w:rtl/>
        </w:rPr>
        <w:t>،</w:t>
      </w:r>
      <w:r w:rsidRPr="00A52585">
        <w:rPr>
          <w:rtl/>
        </w:rPr>
        <w:t xml:space="preserve"> والخيال </w:t>
      </w:r>
      <w:proofErr w:type="spellStart"/>
      <w:r w:rsidRPr="00A52585">
        <w:rPr>
          <w:rtl/>
        </w:rPr>
        <w:t>يوافقها</w:t>
      </w:r>
      <w:proofErr w:type="spellEnd"/>
      <w:r w:rsidRPr="00A52585">
        <w:rPr>
          <w:rtl/>
        </w:rPr>
        <w:t xml:space="preserve"> ولكن العقل يصحح لها الخطأ</w:t>
      </w:r>
      <w:r w:rsidR="00DB731D" w:rsidRPr="00A52585">
        <w:rPr>
          <w:rtl/>
        </w:rPr>
        <w:t>،</w:t>
      </w:r>
      <w:r w:rsidRPr="00A52585">
        <w:rPr>
          <w:rtl/>
        </w:rPr>
        <w:t xml:space="preserve"> فيحكم بأنه ليس هناك ماء</w:t>
      </w:r>
      <w:r w:rsidR="00DB731D" w:rsidRPr="00A52585">
        <w:rPr>
          <w:rtl/>
        </w:rPr>
        <w:t>،</w:t>
      </w:r>
      <w:r w:rsidRPr="00A52585">
        <w:rPr>
          <w:rFonts w:hint="cs"/>
          <w:rtl/>
        </w:rPr>
        <w:t xml:space="preserve"> </w:t>
      </w:r>
      <w:r w:rsidRPr="00A52585">
        <w:rPr>
          <w:rtl/>
        </w:rPr>
        <w:t>والعين أيضاً ترى الشخص الواحد طويلا في القرب</w:t>
      </w:r>
      <w:r w:rsidR="00DB731D" w:rsidRPr="00A52585">
        <w:rPr>
          <w:rtl/>
        </w:rPr>
        <w:t>،</w:t>
      </w:r>
      <w:r w:rsidRPr="00A52585">
        <w:rPr>
          <w:rtl/>
        </w:rPr>
        <w:t xml:space="preserve"> قصيرا في البعد</w:t>
      </w:r>
      <w:r w:rsidR="00DB731D" w:rsidRPr="00A52585">
        <w:rPr>
          <w:rtl/>
        </w:rPr>
        <w:t>،</w:t>
      </w:r>
      <w:r w:rsidRPr="00A52585">
        <w:rPr>
          <w:rtl/>
        </w:rPr>
        <w:t xml:space="preserve"> والخيال </w:t>
      </w:r>
      <w:proofErr w:type="spellStart"/>
      <w:r w:rsidRPr="00A52585">
        <w:rPr>
          <w:rtl/>
        </w:rPr>
        <w:t>يوافقها</w:t>
      </w:r>
      <w:proofErr w:type="spellEnd"/>
      <w:r w:rsidRPr="00A52585">
        <w:rPr>
          <w:rtl/>
        </w:rPr>
        <w:t xml:space="preserve"> ولكن العقل يصحح لها الخطأ</w:t>
      </w:r>
      <w:r w:rsidR="00897A24" w:rsidRPr="00A52585">
        <w:rPr>
          <w:rtl/>
        </w:rPr>
        <w:t>.</w:t>
      </w:r>
      <w:r w:rsidRPr="00A52585">
        <w:rPr>
          <w:rtl/>
        </w:rPr>
        <w:t xml:space="preserve"> فيحكم بأن الشخص على طول واحد لم يتغير في </w:t>
      </w:r>
      <w:proofErr w:type="spellStart"/>
      <w:r w:rsidRPr="00A52585">
        <w:rPr>
          <w:rtl/>
        </w:rPr>
        <w:t>حالتى</w:t>
      </w:r>
      <w:proofErr w:type="spellEnd"/>
      <w:r w:rsidRPr="00A52585">
        <w:rPr>
          <w:rtl/>
        </w:rPr>
        <w:t xml:space="preserve"> القرب والبعد</w:t>
      </w:r>
      <w:r w:rsidR="00DB731D" w:rsidRPr="00A52585">
        <w:rPr>
          <w:rtl/>
        </w:rPr>
        <w:t>،</w:t>
      </w:r>
      <w:r w:rsidRPr="00A52585">
        <w:rPr>
          <w:rFonts w:hint="cs"/>
          <w:rtl/>
        </w:rPr>
        <w:t xml:space="preserve"> </w:t>
      </w:r>
      <w:r w:rsidRPr="00A52585">
        <w:rPr>
          <w:rtl/>
        </w:rPr>
        <w:t>والأذن تسمع صدى الصوت فتظنه صوت شخص أخر</w:t>
      </w:r>
      <w:r w:rsidR="00DB731D" w:rsidRPr="00A52585">
        <w:rPr>
          <w:rtl/>
        </w:rPr>
        <w:t>،</w:t>
      </w:r>
      <w:r w:rsidRPr="00A52585">
        <w:rPr>
          <w:rtl/>
        </w:rPr>
        <w:t xml:space="preserve"> والخيال </w:t>
      </w:r>
      <w:proofErr w:type="spellStart"/>
      <w:r w:rsidRPr="00A52585">
        <w:rPr>
          <w:rtl/>
        </w:rPr>
        <w:t>يوافقها</w:t>
      </w:r>
      <w:proofErr w:type="spellEnd"/>
      <w:r w:rsidRPr="00A52585">
        <w:rPr>
          <w:rtl/>
        </w:rPr>
        <w:t xml:space="preserve"> ولكن العقل يصحح لها الخطأ</w:t>
      </w:r>
      <w:r w:rsidR="00DB731D" w:rsidRPr="00A52585">
        <w:rPr>
          <w:rtl/>
        </w:rPr>
        <w:t>،</w:t>
      </w:r>
      <w:r w:rsidRPr="00A52585">
        <w:rPr>
          <w:rtl/>
        </w:rPr>
        <w:t xml:space="preserve"> ويحكم بأنه صوت المتكلم الأول لا صوت شخص أخر</w:t>
      </w:r>
      <w:r w:rsidR="00DB731D" w:rsidRPr="00A52585">
        <w:rPr>
          <w:rtl/>
        </w:rPr>
        <w:t>،</w:t>
      </w:r>
      <w:r w:rsidRPr="00A52585">
        <w:rPr>
          <w:rFonts w:hint="cs"/>
          <w:rtl/>
        </w:rPr>
        <w:t xml:space="preserve"> </w:t>
      </w:r>
      <w:r w:rsidRPr="00A52585">
        <w:rPr>
          <w:rtl/>
        </w:rPr>
        <w:t>ولسان المريض يذوق السكر مراً</w:t>
      </w:r>
      <w:r w:rsidR="00DB731D" w:rsidRPr="00A52585">
        <w:rPr>
          <w:rtl/>
        </w:rPr>
        <w:t>،</w:t>
      </w:r>
      <w:r w:rsidRPr="00A52585">
        <w:rPr>
          <w:rtl/>
        </w:rPr>
        <w:t xml:space="preserve"> مع أنه حلو، والخيال يوافق ولكن العقل يصحح هذا الخطأ</w:t>
      </w:r>
      <w:r w:rsidR="00DB731D" w:rsidRPr="00A52585">
        <w:rPr>
          <w:rtl/>
        </w:rPr>
        <w:t>،</w:t>
      </w:r>
      <w:r w:rsidRPr="00A52585">
        <w:rPr>
          <w:rtl/>
        </w:rPr>
        <w:t xml:space="preserve"> بأن المرارة أثر من آثار إحساس المريض لا ذوق السكر</w:t>
      </w:r>
      <w:r w:rsidR="00897A24" w:rsidRPr="00A52585">
        <w:rPr>
          <w:rtl/>
        </w:rPr>
        <w:t>.</w:t>
      </w:r>
      <w:r w:rsidRPr="00A52585">
        <w:rPr>
          <w:rtl/>
        </w:rPr>
        <w:t xml:space="preserve"> وراكب القطار </w:t>
      </w:r>
      <w:proofErr w:type="spellStart"/>
      <w:r w:rsidRPr="00A52585">
        <w:rPr>
          <w:rtl/>
        </w:rPr>
        <w:t>أوالسفينة</w:t>
      </w:r>
      <w:proofErr w:type="spellEnd"/>
      <w:r w:rsidR="00DB731D" w:rsidRPr="00A52585">
        <w:rPr>
          <w:rtl/>
        </w:rPr>
        <w:t>،</w:t>
      </w:r>
      <w:r w:rsidRPr="00A52585">
        <w:rPr>
          <w:rtl/>
        </w:rPr>
        <w:t xml:space="preserve"> يراهما ثابتين والأرض جارية بما عليها من أشجار وحيوان</w:t>
      </w:r>
      <w:r w:rsidR="00DB731D" w:rsidRPr="00A52585">
        <w:rPr>
          <w:rtl/>
        </w:rPr>
        <w:t>،</w:t>
      </w:r>
      <w:r w:rsidRPr="00A52585">
        <w:rPr>
          <w:rtl/>
        </w:rPr>
        <w:t xml:space="preserve"> وبيوت وجبال إلخ</w:t>
      </w:r>
      <w:r w:rsidR="00DB731D" w:rsidRPr="00A52585">
        <w:rPr>
          <w:rtl/>
        </w:rPr>
        <w:t>،</w:t>
      </w:r>
      <w:r w:rsidRPr="00A52585">
        <w:rPr>
          <w:rtl/>
        </w:rPr>
        <w:t xml:space="preserve"> والخيال </w:t>
      </w:r>
      <w:proofErr w:type="spellStart"/>
      <w:r w:rsidRPr="00A52585">
        <w:rPr>
          <w:rtl/>
        </w:rPr>
        <w:t>يوافقه</w:t>
      </w:r>
      <w:proofErr w:type="spellEnd"/>
      <w:r w:rsidRPr="00A52585">
        <w:rPr>
          <w:rtl/>
        </w:rPr>
        <w:t xml:space="preserve"> على ما رأى</w:t>
      </w:r>
      <w:r w:rsidR="00DB731D" w:rsidRPr="00A52585">
        <w:rPr>
          <w:rtl/>
        </w:rPr>
        <w:t>،</w:t>
      </w:r>
      <w:r w:rsidRPr="00A52585">
        <w:rPr>
          <w:rtl/>
        </w:rPr>
        <w:t xml:space="preserve"> ولكن العقل يصحح له الخطأ ويحكم بأنه هو وحده السائر بسير القطار </w:t>
      </w:r>
      <w:proofErr w:type="spellStart"/>
      <w:r w:rsidRPr="00A52585">
        <w:rPr>
          <w:rtl/>
        </w:rPr>
        <w:t>أوالسفينة</w:t>
      </w:r>
      <w:proofErr w:type="spellEnd"/>
      <w:r w:rsidR="00DB731D" w:rsidRPr="00A52585">
        <w:rPr>
          <w:rtl/>
        </w:rPr>
        <w:t>،</w:t>
      </w:r>
      <w:r w:rsidRPr="00A52585">
        <w:rPr>
          <w:rtl/>
        </w:rPr>
        <w:t xml:space="preserve"> والأرض ثابتة بما عليها</w:t>
      </w:r>
      <w:r w:rsidR="00DB731D" w:rsidRPr="00A52585">
        <w:rPr>
          <w:rtl/>
        </w:rPr>
        <w:t>،</w:t>
      </w:r>
      <w:r w:rsidRPr="00A52585">
        <w:rPr>
          <w:rFonts w:hint="cs"/>
          <w:rtl/>
        </w:rPr>
        <w:t xml:space="preserve"> </w:t>
      </w:r>
      <w:r w:rsidRPr="00A52585">
        <w:rPr>
          <w:rtl/>
        </w:rPr>
        <w:t xml:space="preserve">فكما أن إدراك الحواس لا يدل </w:t>
      </w:r>
      <w:r w:rsidRPr="00A52585">
        <w:rPr>
          <w:rtl/>
        </w:rPr>
        <w:lastRenderedPageBreak/>
        <w:t>على أنه مطابق للواقع</w:t>
      </w:r>
      <w:r w:rsidR="00DB731D" w:rsidRPr="00A52585">
        <w:rPr>
          <w:rtl/>
        </w:rPr>
        <w:t>،</w:t>
      </w:r>
      <w:r w:rsidRPr="00A52585">
        <w:rPr>
          <w:rtl/>
        </w:rPr>
        <w:t xml:space="preserve"> فكذلك إدراك الخيال لا يدل على المطابقة للواقع</w:t>
      </w:r>
      <w:r w:rsidR="00DB731D" w:rsidRPr="00A52585">
        <w:rPr>
          <w:rtl/>
        </w:rPr>
        <w:t>،</w:t>
      </w:r>
      <w:r w:rsidRPr="00A52585">
        <w:rPr>
          <w:rtl/>
        </w:rPr>
        <w:t xml:space="preserve"> واتجاه الخيال إلى جهة فوق عند التضرع لا يدل على أن الله تعالى في جهة فوق</w:t>
      </w:r>
      <w:r w:rsidR="00DB731D" w:rsidRPr="00A52585">
        <w:rPr>
          <w:rtl/>
        </w:rPr>
        <w:t>،</w:t>
      </w:r>
      <w:r w:rsidRPr="00A52585">
        <w:rPr>
          <w:rtl/>
        </w:rPr>
        <w:t xml:space="preserve"> وإنما </w:t>
      </w:r>
      <w:proofErr w:type="spellStart"/>
      <w:r w:rsidRPr="00A52585">
        <w:rPr>
          <w:rtl/>
        </w:rPr>
        <w:t>يتسعير</w:t>
      </w:r>
      <w:proofErr w:type="spellEnd"/>
      <w:r w:rsidRPr="00A52585">
        <w:rPr>
          <w:rtl/>
        </w:rPr>
        <w:t xml:space="preserve"> الخيال جهة فوق التي هي أشرف الجهات لما يراه فيها من مظاهر العظمة والقهر</w:t>
      </w:r>
      <w:r w:rsidR="00DB731D" w:rsidRPr="00A52585">
        <w:rPr>
          <w:rtl/>
        </w:rPr>
        <w:t>،</w:t>
      </w:r>
      <w:r w:rsidRPr="00A52585">
        <w:rPr>
          <w:rtl/>
        </w:rPr>
        <w:t xml:space="preserve"> للإشارة إلى عظمة خالقه جل ولعا</w:t>
      </w:r>
      <w:r w:rsidR="00DB731D" w:rsidRPr="00A52585">
        <w:rPr>
          <w:rtl/>
        </w:rPr>
        <w:t>،</w:t>
      </w:r>
      <w:r w:rsidRPr="00A52585">
        <w:rPr>
          <w:rtl/>
        </w:rPr>
        <w:t xml:space="preserve"> لأن هذا هو كل ما </w:t>
      </w:r>
      <w:proofErr w:type="spellStart"/>
      <w:r w:rsidRPr="00A52585">
        <w:rPr>
          <w:rtl/>
        </w:rPr>
        <w:t>يستطيعه</w:t>
      </w:r>
      <w:proofErr w:type="spellEnd"/>
      <w:r w:rsidRPr="00A52585">
        <w:rPr>
          <w:rtl/>
        </w:rPr>
        <w:t xml:space="preserve"> للتعبير عن عظمته تعالى</w:t>
      </w:r>
      <w:r w:rsidR="00DB731D" w:rsidRPr="00A52585">
        <w:rPr>
          <w:rtl/>
        </w:rPr>
        <w:t>،</w:t>
      </w:r>
      <w:r w:rsidRPr="00A52585">
        <w:rPr>
          <w:rFonts w:hint="cs"/>
          <w:rtl/>
        </w:rPr>
        <w:t xml:space="preserve"> </w:t>
      </w:r>
      <w:r w:rsidRPr="00A52585">
        <w:rPr>
          <w:rtl/>
        </w:rPr>
        <w:t xml:space="preserve">أما العقل </w:t>
      </w:r>
      <w:proofErr w:type="spellStart"/>
      <w:r w:rsidRPr="00A52585">
        <w:rPr>
          <w:rtl/>
        </w:rPr>
        <w:t>فهوالذى</w:t>
      </w:r>
      <w:proofErr w:type="spellEnd"/>
      <w:r w:rsidRPr="00A52585">
        <w:rPr>
          <w:rtl/>
        </w:rPr>
        <w:t xml:space="preserve"> يدرك الأمور على حقيقتها فحكمه هو الصحيح لأنه مبنى على </w:t>
      </w:r>
      <w:proofErr w:type="spellStart"/>
      <w:r w:rsidRPr="00A52585">
        <w:rPr>
          <w:rtl/>
        </w:rPr>
        <w:t>الديل</w:t>
      </w:r>
      <w:proofErr w:type="spellEnd"/>
      <w:r w:rsidRPr="00A52585">
        <w:rPr>
          <w:rtl/>
        </w:rPr>
        <w:t xml:space="preserve"> والبرهان</w:t>
      </w:r>
      <w:r w:rsidR="00DB731D" w:rsidRPr="00A52585">
        <w:rPr>
          <w:rtl/>
        </w:rPr>
        <w:t>،</w:t>
      </w:r>
      <w:r w:rsidRPr="00A52585">
        <w:rPr>
          <w:rtl/>
        </w:rPr>
        <w:t xml:space="preserve"> وهو الذى يصحح للخيال</w:t>
      </w:r>
      <w:r w:rsidR="00DB731D" w:rsidRPr="00A52585">
        <w:rPr>
          <w:rtl/>
        </w:rPr>
        <w:t>،</w:t>
      </w:r>
      <w:r w:rsidRPr="00A52585">
        <w:rPr>
          <w:rtl/>
        </w:rPr>
        <w:t xml:space="preserve"> والحواس خطأهما</w:t>
      </w:r>
      <w:r w:rsidR="00897A24" w:rsidRPr="00A52585">
        <w:rPr>
          <w:rtl/>
        </w:rPr>
        <w:t>.</w:t>
      </w:r>
      <w:r w:rsidRPr="00A52585">
        <w:rPr>
          <w:rtl/>
        </w:rPr>
        <w:t xml:space="preserve"> فكما يصحح خطأ العين</w:t>
      </w:r>
      <w:r w:rsidR="00DB731D" w:rsidRPr="00A52585">
        <w:rPr>
          <w:rtl/>
        </w:rPr>
        <w:t>،</w:t>
      </w:r>
      <w:r w:rsidRPr="00A52585">
        <w:rPr>
          <w:rtl/>
        </w:rPr>
        <w:t xml:space="preserve"> والأذن</w:t>
      </w:r>
      <w:r w:rsidR="00DB731D" w:rsidRPr="00A52585">
        <w:rPr>
          <w:rtl/>
        </w:rPr>
        <w:t>،</w:t>
      </w:r>
      <w:r w:rsidRPr="00A52585">
        <w:rPr>
          <w:rtl/>
        </w:rPr>
        <w:t xml:space="preserve"> واللسان</w:t>
      </w:r>
      <w:r w:rsidR="00DB731D" w:rsidRPr="00A52585">
        <w:rPr>
          <w:rtl/>
        </w:rPr>
        <w:t>،</w:t>
      </w:r>
      <w:r w:rsidRPr="00A52585">
        <w:rPr>
          <w:rtl/>
        </w:rPr>
        <w:t xml:space="preserve"> واليد</w:t>
      </w:r>
      <w:r w:rsidR="00DB731D" w:rsidRPr="00A52585">
        <w:rPr>
          <w:rtl/>
        </w:rPr>
        <w:t>،</w:t>
      </w:r>
      <w:r w:rsidRPr="00A52585">
        <w:rPr>
          <w:rtl/>
        </w:rPr>
        <w:t xml:space="preserve"> فأنه يصحح أيضاً للخيال خطأه عند التضرع</w:t>
      </w:r>
      <w:r w:rsidR="00897A24" w:rsidRPr="00A52585">
        <w:rPr>
          <w:rtl/>
        </w:rPr>
        <w:t>.</w:t>
      </w:r>
      <w:r w:rsidRPr="00A52585">
        <w:rPr>
          <w:rtl/>
        </w:rPr>
        <w:t xml:space="preserve"> فمع أن الخيال يمثل العظمة المعنوية لربه جل وعلا بالفوقية المكانية</w:t>
      </w:r>
      <w:r w:rsidR="00DB731D" w:rsidRPr="00A52585">
        <w:rPr>
          <w:rtl/>
        </w:rPr>
        <w:t>،</w:t>
      </w:r>
      <w:r w:rsidRPr="00A52585">
        <w:rPr>
          <w:rtl/>
        </w:rPr>
        <w:t xml:space="preserve"> فإنه لا يزال العقل يحكم بأنه تعالى منزه عن المكان</w:t>
      </w:r>
      <w:r w:rsidR="00DB731D" w:rsidRPr="00A52585">
        <w:rPr>
          <w:rtl/>
        </w:rPr>
        <w:t>،</w:t>
      </w:r>
      <w:r w:rsidRPr="00A52585">
        <w:rPr>
          <w:rtl/>
        </w:rPr>
        <w:t xml:space="preserve"> والجهة</w:t>
      </w:r>
      <w:r w:rsidR="00DB731D" w:rsidRPr="00A52585">
        <w:rPr>
          <w:rtl/>
        </w:rPr>
        <w:t>،</w:t>
      </w:r>
      <w:r w:rsidRPr="00A52585">
        <w:rPr>
          <w:rtl/>
        </w:rPr>
        <w:t xml:space="preserve"> ويرشد الخيال إلى هذه الحقيقة</w:t>
      </w:r>
      <w:r w:rsidR="00897A24" w:rsidRPr="00A52585">
        <w:rPr>
          <w:rtl/>
        </w:rPr>
        <w:t>.</w:t>
      </w:r>
      <w:r w:rsidRPr="00A52585">
        <w:rPr>
          <w:rtl/>
        </w:rPr>
        <w:t xml:space="preserve"> فاتجاه الخيال والعقل يعظمان ربهما جل وعلا كل بحسب استطاعته</w:t>
      </w:r>
      <w:r w:rsidR="00897A24" w:rsidRPr="00A52585">
        <w:rPr>
          <w:rtl/>
        </w:rPr>
        <w:t>.</w:t>
      </w:r>
      <w:r w:rsidRPr="00A52585">
        <w:rPr>
          <w:rtl/>
        </w:rPr>
        <w:t xml:space="preserve"> ولكن تعظيم الخيال </w:t>
      </w:r>
      <w:proofErr w:type="spellStart"/>
      <w:r w:rsidRPr="00A52585">
        <w:rPr>
          <w:rtl/>
        </w:rPr>
        <w:t>بالفوقيهة</w:t>
      </w:r>
      <w:proofErr w:type="spellEnd"/>
      <w:r w:rsidRPr="00A52585">
        <w:rPr>
          <w:rtl/>
        </w:rPr>
        <w:t xml:space="preserve"> المكانية مجازى ورمز إلى الفوقية المعنوية</w:t>
      </w:r>
      <w:r w:rsidR="00DB731D" w:rsidRPr="00A52585">
        <w:rPr>
          <w:rtl/>
        </w:rPr>
        <w:t>،</w:t>
      </w:r>
      <w:r w:rsidRPr="00A52585">
        <w:rPr>
          <w:rtl/>
        </w:rPr>
        <w:t xml:space="preserve"> وتعظيم العقل بالفوقية المعنوية </w:t>
      </w:r>
      <w:proofErr w:type="spellStart"/>
      <w:r w:rsidRPr="00A52585">
        <w:rPr>
          <w:rtl/>
        </w:rPr>
        <w:t>حقيقى</w:t>
      </w:r>
      <w:proofErr w:type="spellEnd"/>
      <w:r w:rsidRPr="00A52585">
        <w:rPr>
          <w:rtl/>
        </w:rPr>
        <w:t xml:space="preserve"> وهو </w:t>
      </w:r>
      <w:proofErr w:type="gramStart"/>
      <w:r w:rsidRPr="00A52585">
        <w:rPr>
          <w:rtl/>
        </w:rPr>
        <w:t>الذى</w:t>
      </w:r>
      <w:proofErr w:type="gramEnd"/>
      <w:r w:rsidRPr="00A52585">
        <w:rPr>
          <w:rtl/>
        </w:rPr>
        <w:t xml:space="preserve"> عليه المعول</w:t>
      </w:r>
      <w:r w:rsidR="00DB731D" w:rsidRPr="00A52585">
        <w:rPr>
          <w:rtl/>
        </w:rPr>
        <w:t>،</w:t>
      </w:r>
      <w:r w:rsidRPr="00A52585">
        <w:rPr>
          <w:rtl/>
        </w:rPr>
        <w:t xml:space="preserve"> فإن العقل هو المصحح دائماً لأخطاء غيره كما قدمنا</w:t>
      </w:r>
      <w:r w:rsidR="00DB731D" w:rsidRPr="00A52585">
        <w:rPr>
          <w:rtl/>
        </w:rPr>
        <w:t>،</w:t>
      </w:r>
      <w:r w:rsidRPr="00A52585">
        <w:rPr>
          <w:rtl/>
        </w:rPr>
        <w:t xml:space="preserve"> وقد كلفنا الله بمقتضى العقل فقال</w:t>
      </w:r>
      <w:r w:rsidR="0002035C" w:rsidRPr="00A52585">
        <w:rPr>
          <w:rtl/>
        </w:rPr>
        <w:t>:</w:t>
      </w:r>
      <w:r w:rsidRPr="00A52585">
        <w:rPr>
          <w:rtl/>
        </w:rPr>
        <w:t xml:space="preserve"> ? إن في ذلك لأيت لقوم يعقلون? وقال</w:t>
      </w:r>
      <w:r w:rsidR="0002035C" w:rsidRPr="00A52585">
        <w:rPr>
          <w:rtl/>
        </w:rPr>
        <w:t>:</w:t>
      </w:r>
      <w:r w:rsidRPr="00A52585">
        <w:rPr>
          <w:rtl/>
        </w:rPr>
        <w:t xml:space="preserve"> ? لعلكم تعقلون? وقال</w:t>
      </w:r>
      <w:r w:rsidR="0002035C" w:rsidRPr="00A52585">
        <w:rPr>
          <w:rtl/>
        </w:rPr>
        <w:t>:</w:t>
      </w:r>
      <w:r w:rsidRPr="00A52585">
        <w:rPr>
          <w:rtl/>
        </w:rPr>
        <w:t xml:space="preserve"> ? أفلم يسيروا في الأرض فتكون لهم قلوب يعقلون بها?</w:t>
      </w:r>
      <w:r w:rsidR="0002035C" w:rsidRPr="00A52585">
        <w:rPr>
          <w:rtl/>
        </w:rPr>
        <w:t xml:space="preserve"> </w:t>
      </w:r>
      <w:r w:rsidRPr="00A52585">
        <w:rPr>
          <w:rtl/>
        </w:rPr>
        <w:t>ولو</w:t>
      </w:r>
      <w:r w:rsidRPr="00A52585">
        <w:rPr>
          <w:rFonts w:hint="cs"/>
          <w:rtl/>
        </w:rPr>
        <w:t xml:space="preserve"> </w:t>
      </w:r>
      <w:r w:rsidRPr="00A52585">
        <w:rPr>
          <w:rtl/>
        </w:rPr>
        <w:t>اتبع الإنسان حواسه لوقع في كثير من الأخطاء</w:t>
      </w:r>
      <w:r w:rsidR="00DB731D" w:rsidRPr="00A52585">
        <w:rPr>
          <w:rtl/>
        </w:rPr>
        <w:t>،</w:t>
      </w:r>
      <w:r w:rsidRPr="00A52585">
        <w:rPr>
          <w:rtl/>
        </w:rPr>
        <w:t xml:space="preserve"> كمن يرى السراب ماء</w:t>
      </w:r>
      <w:r w:rsidR="00DB731D" w:rsidRPr="00A52585">
        <w:rPr>
          <w:rtl/>
        </w:rPr>
        <w:t>،</w:t>
      </w:r>
      <w:r w:rsidRPr="00A52585">
        <w:rPr>
          <w:rtl/>
        </w:rPr>
        <w:t xml:space="preserve"> وكذلك يكون حاله إذا اتبع خياله</w:t>
      </w:r>
      <w:r w:rsidR="00DB731D" w:rsidRPr="00A52585">
        <w:rPr>
          <w:rtl/>
        </w:rPr>
        <w:t>،</w:t>
      </w:r>
      <w:r w:rsidRPr="00A52585">
        <w:rPr>
          <w:rtl/>
        </w:rPr>
        <w:t xml:space="preserve"> </w:t>
      </w:r>
      <w:proofErr w:type="spellStart"/>
      <w:r w:rsidRPr="00A52585">
        <w:rPr>
          <w:rtl/>
        </w:rPr>
        <w:t>وإذان</w:t>
      </w:r>
      <w:proofErr w:type="spellEnd"/>
      <w:r w:rsidRPr="00A52585">
        <w:rPr>
          <w:rtl/>
        </w:rPr>
        <w:t xml:space="preserve"> لا منجى من الأخطاء إلا باتباع العقل</w:t>
      </w:r>
      <w:r w:rsidR="00DB731D" w:rsidRPr="00A52585">
        <w:rPr>
          <w:rtl/>
        </w:rPr>
        <w:t>،</w:t>
      </w:r>
      <w:r w:rsidRPr="00A52585">
        <w:rPr>
          <w:rtl/>
        </w:rPr>
        <w:t xml:space="preserve"> وهو الذى عليه مدار التكليف</w:t>
      </w:r>
      <w:r w:rsidR="00DB731D" w:rsidRPr="00A52585">
        <w:rPr>
          <w:rtl/>
        </w:rPr>
        <w:t>،</w:t>
      </w:r>
      <w:r w:rsidRPr="00A52585">
        <w:rPr>
          <w:rtl/>
        </w:rPr>
        <w:t xml:space="preserve"> والمسؤولية</w:t>
      </w:r>
      <w:r w:rsidR="00DB731D" w:rsidRPr="00A52585">
        <w:rPr>
          <w:rtl/>
        </w:rPr>
        <w:t>،</w:t>
      </w:r>
      <w:r w:rsidRPr="00A52585">
        <w:rPr>
          <w:rtl/>
        </w:rPr>
        <w:t xml:space="preserve"> فكما لا تصدق حكم العين على السراب أنه ماء وحكمها على الشخص الواحد بالطول والقصر لبعده </w:t>
      </w:r>
      <w:proofErr w:type="spellStart"/>
      <w:r w:rsidRPr="00A52585">
        <w:rPr>
          <w:rtl/>
        </w:rPr>
        <w:t>أوقربه</w:t>
      </w:r>
      <w:proofErr w:type="spellEnd"/>
      <w:r w:rsidR="00DB731D" w:rsidRPr="00A52585">
        <w:rPr>
          <w:rtl/>
        </w:rPr>
        <w:t>،</w:t>
      </w:r>
      <w:r w:rsidRPr="00A52585">
        <w:rPr>
          <w:rtl/>
        </w:rPr>
        <w:t xml:space="preserve"> وحكمها بتحرك الأرض وما عليه بالنسبة لراكب القطار </w:t>
      </w:r>
      <w:proofErr w:type="spellStart"/>
      <w:r w:rsidRPr="00A52585">
        <w:rPr>
          <w:rtl/>
        </w:rPr>
        <w:t>أوالسفينة</w:t>
      </w:r>
      <w:proofErr w:type="spellEnd"/>
      <w:r w:rsidRPr="00A52585">
        <w:rPr>
          <w:rtl/>
        </w:rPr>
        <w:t xml:space="preserve"> مع ثبوت العكس</w:t>
      </w:r>
      <w:r w:rsidR="00DB731D" w:rsidRPr="00A52585">
        <w:rPr>
          <w:rtl/>
        </w:rPr>
        <w:t>،</w:t>
      </w:r>
      <w:r w:rsidRPr="00A52585">
        <w:rPr>
          <w:rtl/>
        </w:rPr>
        <w:t xml:space="preserve"> وحكم الأذن على صدى الصوت</w:t>
      </w:r>
      <w:r w:rsidR="00DB731D" w:rsidRPr="00A52585">
        <w:rPr>
          <w:rtl/>
        </w:rPr>
        <w:t>،</w:t>
      </w:r>
      <w:r w:rsidRPr="00A52585">
        <w:rPr>
          <w:rtl/>
        </w:rPr>
        <w:t xml:space="preserve"> وحكم اللسان حال المرض</w:t>
      </w:r>
      <w:r w:rsidR="00DB731D" w:rsidRPr="00A52585">
        <w:rPr>
          <w:rtl/>
        </w:rPr>
        <w:t>،</w:t>
      </w:r>
      <w:r w:rsidRPr="00A52585">
        <w:rPr>
          <w:rtl/>
        </w:rPr>
        <w:t xml:space="preserve"> فكذلك يجب عليك عدم تصديق اتجاه الخيال للفوقية عند الدعاء والتضرع لأن اعتقاد أن الله تعالى منزه عن المكان والجهة هو المطابق للعقل والكتاب والسنة</w:t>
      </w:r>
      <w:r w:rsidR="00DB731D" w:rsidRPr="00A52585">
        <w:rPr>
          <w:rtl/>
        </w:rPr>
        <w:t>،</w:t>
      </w:r>
      <w:r w:rsidRPr="00A52585">
        <w:rPr>
          <w:rtl/>
        </w:rPr>
        <w:t xml:space="preserve"> وهو مقتضى الإيمان الصحيح رغماً عن مخالفته للخيال والحواس</w:t>
      </w:r>
      <w:r w:rsidR="00DB731D" w:rsidRPr="00A52585">
        <w:rPr>
          <w:rtl/>
        </w:rPr>
        <w:t>،</w:t>
      </w:r>
      <w:r w:rsidRPr="00A52585">
        <w:rPr>
          <w:rtl/>
        </w:rPr>
        <w:t xml:space="preserve"> فإنه حكم العقل المبنى على </w:t>
      </w:r>
      <w:proofErr w:type="spellStart"/>
      <w:r w:rsidRPr="00A52585">
        <w:rPr>
          <w:rtl/>
        </w:rPr>
        <w:t>الدليل</w:t>
      </w:r>
      <w:r w:rsidR="00DB731D" w:rsidRPr="00A52585">
        <w:rPr>
          <w:rtl/>
        </w:rPr>
        <w:t>،</w:t>
      </w:r>
      <w:r w:rsidRPr="00A52585">
        <w:rPr>
          <w:rtl/>
        </w:rPr>
        <w:t>والبراهان</w:t>
      </w:r>
      <w:proofErr w:type="spellEnd"/>
      <w:r w:rsidR="00DB731D" w:rsidRPr="00A52585">
        <w:rPr>
          <w:rtl/>
        </w:rPr>
        <w:t>،</w:t>
      </w:r>
      <w:r w:rsidRPr="00A52585">
        <w:rPr>
          <w:rtl/>
        </w:rPr>
        <w:t xml:space="preserve"> والمطابق للقرآن العظيم</w:t>
      </w:r>
      <w:r w:rsidR="00897A24" w:rsidRPr="00A52585">
        <w:rPr>
          <w:rtl/>
        </w:rPr>
        <w:t>.</w:t>
      </w:r>
      <w:r w:rsidRPr="00A52585">
        <w:rPr>
          <w:rtl/>
        </w:rPr>
        <w:t xml:space="preserve"> قال تعالى</w:t>
      </w:r>
      <w:r w:rsidR="0002035C" w:rsidRPr="00A52585">
        <w:rPr>
          <w:rtl/>
        </w:rPr>
        <w:t>:</w:t>
      </w:r>
      <w:r w:rsidRPr="00A52585">
        <w:rPr>
          <w:rtl/>
        </w:rPr>
        <w:t xml:space="preserve"> ? ليس كمثله </w:t>
      </w:r>
      <w:proofErr w:type="spellStart"/>
      <w:r w:rsidRPr="00A52585">
        <w:rPr>
          <w:rtl/>
        </w:rPr>
        <w:t>شئ</w:t>
      </w:r>
      <w:proofErr w:type="spellEnd"/>
      <w:r w:rsidRPr="00A52585">
        <w:rPr>
          <w:rtl/>
        </w:rPr>
        <w:t xml:space="preserve"> ?</w:t>
      </w:r>
      <w:r w:rsidRPr="00A52585">
        <w:rPr>
          <w:rFonts w:hint="cs"/>
          <w:rtl/>
        </w:rPr>
        <w:t xml:space="preserve"> </w:t>
      </w:r>
      <w:r w:rsidRPr="00A52585">
        <w:rPr>
          <w:rtl/>
        </w:rPr>
        <w:t>ولا يزال العبد متأثراً بحكم خياله في مبادئ الأمور</w:t>
      </w:r>
      <w:r w:rsidR="00DB731D" w:rsidRPr="00A52585">
        <w:rPr>
          <w:rtl/>
        </w:rPr>
        <w:t>،</w:t>
      </w:r>
      <w:r w:rsidRPr="00A52585">
        <w:rPr>
          <w:rtl/>
        </w:rPr>
        <w:t xml:space="preserve"> والعقل يصحح له الخطأ حتى يتغلب حكم العقل على حكم الخيال</w:t>
      </w:r>
      <w:r w:rsidR="00DB731D" w:rsidRPr="00A52585">
        <w:rPr>
          <w:rtl/>
        </w:rPr>
        <w:t>،</w:t>
      </w:r>
      <w:r w:rsidRPr="00A52585">
        <w:rPr>
          <w:rtl/>
        </w:rPr>
        <w:t xml:space="preserve"> فإذا صار ملازماً لحكم العقل اضمحل وجدانه </w:t>
      </w:r>
      <w:proofErr w:type="spellStart"/>
      <w:r w:rsidRPr="00A52585">
        <w:rPr>
          <w:rtl/>
        </w:rPr>
        <w:t>الخيالى</w:t>
      </w:r>
      <w:proofErr w:type="spellEnd"/>
      <w:r w:rsidR="00DB731D" w:rsidRPr="00A52585">
        <w:rPr>
          <w:rtl/>
        </w:rPr>
        <w:t>،</w:t>
      </w:r>
      <w:r w:rsidRPr="00A52585">
        <w:rPr>
          <w:rtl/>
        </w:rPr>
        <w:t xml:space="preserve"> فلا يخيل ربه جل وعلا في الأمكنة والجهات ولا مشبهاً بصفات الحوادث</w:t>
      </w:r>
      <w:r w:rsidR="00DB731D" w:rsidRPr="00A52585">
        <w:rPr>
          <w:rtl/>
        </w:rPr>
        <w:t>،</w:t>
      </w:r>
      <w:r w:rsidRPr="00A52585">
        <w:rPr>
          <w:rtl/>
        </w:rPr>
        <w:t xml:space="preserve"> بل يراه بعقله وقلبه متصفاً بصفات التقديس</w:t>
      </w:r>
      <w:r w:rsidR="00DB731D" w:rsidRPr="00A52585">
        <w:rPr>
          <w:rtl/>
        </w:rPr>
        <w:t>،</w:t>
      </w:r>
      <w:r w:rsidRPr="00A52585">
        <w:rPr>
          <w:rtl/>
        </w:rPr>
        <w:t xml:space="preserve"> والكمال المطلق</w:t>
      </w:r>
      <w:r w:rsidR="00DB731D" w:rsidRPr="00A52585">
        <w:rPr>
          <w:rtl/>
        </w:rPr>
        <w:t>،</w:t>
      </w:r>
      <w:r w:rsidRPr="00A52585">
        <w:rPr>
          <w:rtl/>
        </w:rPr>
        <w:t xml:space="preserve"> وعند ذلك يكون إيمانه قلبياً وجدانياً نذوقه بقلوبنا كإيمان الأنبياء</w:t>
      </w:r>
      <w:r w:rsidR="00DB731D" w:rsidRPr="00A52585">
        <w:rPr>
          <w:rtl/>
        </w:rPr>
        <w:t>،</w:t>
      </w:r>
      <w:r w:rsidRPr="00A52585">
        <w:rPr>
          <w:rtl/>
        </w:rPr>
        <w:t xml:space="preserve"> والملائكة</w:t>
      </w:r>
      <w:r w:rsidR="00DB731D" w:rsidRPr="00A52585">
        <w:rPr>
          <w:rtl/>
        </w:rPr>
        <w:t>،</w:t>
      </w:r>
      <w:r w:rsidRPr="00A52585">
        <w:rPr>
          <w:rtl/>
        </w:rPr>
        <w:t xml:space="preserve"> </w:t>
      </w:r>
      <w:proofErr w:type="spellStart"/>
      <w:r w:rsidRPr="00A52585">
        <w:rPr>
          <w:rtl/>
        </w:rPr>
        <w:t>والكمل</w:t>
      </w:r>
      <w:proofErr w:type="spellEnd"/>
      <w:r w:rsidRPr="00A52585">
        <w:rPr>
          <w:rtl/>
        </w:rPr>
        <w:t xml:space="preserve"> كم أوليائه</w:t>
      </w:r>
      <w:r w:rsidR="00DB731D" w:rsidRPr="00A52585">
        <w:rPr>
          <w:rtl/>
        </w:rPr>
        <w:t>،</w:t>
      </w:r>
      <w:r w:rsidRPr="00A52585">
        <w:rPr>
          <w:rFonts w:hint="cs"/>
          <w:rtl/>
        </w:rPr>
        <w:t xml:space="preserve"> </w:t>
      </w:r>
      <w:r w:rsidRPr="00A52585">
        <w:rPr>
          <w:rtl/>
        </w:rPr>
        <w:t xml:space="preserve">نسأل الله أن يمن علينا بفيض من بحار </w:t>
      </w:r>
      <w:r w:rsidRPr="00A52585">
        <w:rPr>
          <w:rtl/>
        </w:rPr>
        <w:lastRenderedPageBreak/>
        <w:t>علومهم حتى ترتوى به أرواحنا</w:t>
      </w:r>
      <w:r w:rsidR="00DB731D" w:rsidRPr="00A52585">
        <w:rPr>
          <w:rtl/>
        </w:rPr>
        <w:t>،</w:t>
      </w:r>
      <w:r w:rsidRPr="00A52585">
        <w:rPr>
          <w:rtl/>
        </w:rPr>
        <w:t xml:space="preserve"> وحتى بصير إيماننا </w:t>
      </w:r>
      <w:proofErr w:type="spellStart"/>
      <w:r w:rsidRPr="00A52585">
        <w:rPr>
          <w:rtl/>
        </w:rPr>
        <w:t>ذوقياً</w:t>
      </w:r>
      <w:proofErr w:type="spellEnd"/>
      <w:r w:rsidR="00DB731D" w:rsidRPr="00A52585">
        <w:rPr>
          <w:rtl/>
        </w:rPr>
        <w:t>،</w:t>
      </w:r>
      <w:r w:rsidRPr="00A52585">
        <w:rPr>
          <w:rtl/>
        </w:rPr>
        <w:t xml:space="preserve"> قوياً كاملاً مقروناً بمحض العبودية لله تعالى</w:t>
      </w:r>
      <w:r w:rsidR="00DB731D" w:rsidRPr="00A52585">
        <w:rPr>
          <w:rtl/>
        </w:rPr>
        <w:t>،</w:t>
      </w:r>
      <w:r w:rsidRPr="00A52585">
        <w:rPr>
          <w:rtl/>
        </w:rPr>
        <w:t xml:space="preserve"> ومن الله التوفيق وبه </w:t>
      </w:r>
      <w:proofErr w:type="spellStart"/>
      <w:r w:rsidRPr="00A52585">
        <w:rPr>
          <w:rtl/>
        </w:rPr>
        <w:t>نتأيد</w:t>
      </w:r>
      <w:proofErr w:type="spellEnd"/>
      <w:r w:rsidR="00DB731D" w:rsidRPr="00A52585">
        <w:rPr>
          <w:rtl/>
        </w:rPr>
        <w:t>،</w:t>
      </w:r>
      <w:r w:rsidRPr="00A52585">
        <w:rPr>
          <w:rtl/>
        </w:rPr>
        <w:t xml:space="preserve"> وعليه وحده المعول</w:t>
      </w:r>
      <w:r w:rsidR="00DB731D" w:rsidRPr="00A52585">
        <w:rPr>
          <w:rtl/>
        </w:rPr>
        <w:t>،</w:t>
      </w:r>
      <w:r w:rsidRPr="00A52585">
        <w:rPr>
          <w:rFonts w:hint="cs"/>
          <w:rtl/>
        </w:rPr>
        <w:t xml:space="preserve"> </w:t>
      </w:r>
    </w:p>
    <w:p w14:paraId="4ABEF4A4" w14:textId="29FC7228" w:rsidR="00777DCB" w:rsidRPr="00A52585" w:rsidRDefault="00777DCB" w:rsidP="0002035C">
      <w:pPr>
        <w:spacing w:after="240"/>
        <w:rPr>
          <w:rtl/>
          <w:lang w:bidi="ar-KW"/>
        </w:rPr>
      </w:pPr>
      <w:r w:rsidRPr="00A52585">
        <w:rPr>
          <w:rFonts w:cs="Monotype Koufi"/>
          <w:rtl/>
          <w:lang w:bidi="ar-KW"/>
        </w:rPr>
        <w:t xml:space="preserve">3- مغالطات </w:t>
      </w:r>
      <w:proofErr w:type="spellStart"/>
      <w:r w:rsidRPr="00A52585">
        <w:rPr>
          <w:rFonts w:cs="Monotype Koufi"/>
          <w:rtl/>
          <w:lang w:bidi="ar-KW"/>
        </w:rPr>
        <w:t>القصيمى</w:t>
      </w:r>
      <w:proofErr w:type="spellEnd"/>
      <w:r w:rsidRPr="00A52585">
        <w:rPr>
          <w:rFonts w:cs="Monotype Koufi" w:hint="cs"/>
          <w:rtl/>
          <w:lang w:bidi="ar-KW"/>
        </w:rPr>
        <w:t xml:space="preserve"> </w:t>
      </w:r>
      <w:proofErr w:type="spellStart"/>
      <w:r w:rsidRPr="00A52585">
        <w:rPr>
          <w:rFonts w:cs="Monotype Koufi"/>
          <w:rtl/>
          <w:lang w:bidi="ar-KW"/>
        </w:rPr>
        <w:t>فى</w:t>
      </w:r>
      <w:proofErr w:type="spellEnd"/>
      <w:r w:rsidRPr="00A52585">
        <w:rPr>
          <w:rFonts w:cs="Monotype Koufi"/>
          <w:rtl/>
          <w:lang w:bidi="ar-KW"/>
        </w:rPr>
        <w:t xml:space="preserve"> دفاعه عن المجسمة</w:t>
      </w:r>
      <w:r w:rsidR="0002035C" w:rsidRPr="00A52585">
        <w:rPr>
          <w:rFonts w:cs="Monotype Koufi" w:hint="cs"/>
          <w:rtl/>
          <w:lang w:bidi="ar-KW"/>
        </w:rPr>
        <w:t xml:space="preserve">: </w:t>
      </w:r>
      <w:r w:rsidRPr="00A52585">
        <w:rPr>
          <w:rtl/>
        </w:rPr>
        <w:t xml:space="preserve">يقول </w:t>
      </w:r>
      <w:proofErr w:type="spellStart"/>
      <w:r w:rsidRPr="00A52585">
        <w:rPr>
          <w:rtl/>
        </w:rPr>
        <w:t>القصيمى</w:t>
      </w:r>
      <w:proofErr w:type="spellEnd"/>
      <w:r w:rsidRPr="00A52585">
        <w:rPr>
          <w:rtl/>
        </w:rPr>
        <w:t xml:space="preserve"> </w:t>
      </w:r>
      <w:r w:rsidR="0002035C" w:rsidRPr="00A52585">
        <w:rPr>
          <w:rtl/>
        </w:rPr>
        <w:t>(</w:t>
      </w:r>
      <w:r w:rsidRPr="00A52585">
        <w:rPr>
          <w:rtl/>
        </w:rPr>
        <w:t>ص 23</w:t>
      </w:r>
      <w:r w:rsidR="0002035C" w:rsidRPr="00A52585">
        <w:rPr>
          <w:rtl/>
        </w:rPr>
        <w:t>)</w:t>
      </w:r>
      <w:r w:rsidRPr="00A52585">
        <w:rPr>
          <w:rtl/>
        </w:rPr>
        <w:t xml:space="preserve"> من العدد 26 من مجلتهم ما نصه</w:t>
      </w:r>
      <w:r w:rsidR="0002035C" w:rsidRPr="00A52585">
        <w:rPr>
          <w:rtl/>
        </w:rPr>
        <w:t>:</w:t>
      </w:r>
      <w:r w:rsidRPr="00A52585">
        <w:rPr>
          <w:rtl/>
        </w:rPr>
        <w:t xml:space="preserve"> </w:t>
      </w:r>
      <w:r w:rsidR="0002035C" w:rsidRPr="00A52585">
        <w:rPr>
          <w:rtl/>
        </w:rPr>
        <w:t>(</w:t>
      </w:r>
      <w:r w:rsidRPr="00A52585">
        <w:rPr>
          <w:rtl/>
        </w:rPr>
        <w:t>وأما إن قلتم</w:t>
      </w:r>
      <w:r w:rsidR="0002035C" w:rsidRPr="00A52585">
        <w:rPr>
          <w:rtl/>
        </w:rPr>
        <w:t>:</w:t>
      </w:r>
      <w:r w:rsidRPr="00A52585">
        <w:rPr>
          <w:rtl/>
        </w:rPr>
        <w:t xml:space="preserve"> إن دليلنا على نفى </w:t>
      </w:r>
      <w:proofErr w:type="spellStart"/>
      <w:r w:rsidRPr="00A52585">
        <w:rPr>
          <w:rtl/>
        </w:rPr>
        <w:t>العلووالاستواء</w:t>
      </w:r>
      <w:proofErr w:type="spellEnd"/>
      <w:r w:rsidRPr="00A52585">
        <w:rPr>
          <w:rtl/>
        </w:rPr>
        <w:t xml:space="preserve"> دليل </w:t>
      </w:r>
      <w:proofErr w:type="spellStart"/>
      <w:r w:rsidRPr="00A52585">
        <w:rPr>
          <w:rtl/>
        </w:rPr>
        <w:t>عقلى</w:t>
      </w:r>
      <w:proofErr w:type="spellEnd"/>
      <w:r w:rsidR="00DB731D" w:rsidRPr="00A52585">
        <w:rPr>
          <w:rtl/>
        </w:rPr>
        <w:t>،</w:t>
      </w:r>
      <w:r w:rsidRPr="00A52585">
        <w:rPr>
          <w:rtl/>
        </w:rPr>
        <w:t xml:space="preserve"> قلنا لكم</w:t>
      </w:r>
      <w:r w:rsidR="0002035C" w:rsidRPr="00A52585">
        <w:rPr>
          <w:rtl/>
        </w:rPr>
        <w:t>:</w:t>
      </w:r>
      <w:r w:rsidRPr="00A52585">
        <w:rPr>
          <w:rtl/>
        </w:rPr>
        <w:t xml:space="preserve"> وما هو هذا الدليل </w:t>
      </w:r>
      <w:proofErr w:type="spellStart"/>
      <w:r w:rsidRPr="00A52585">
        <w:rPr>
          <w:rtl/>
        </w:rPr>
        <w:t>العقلى</w:t>
      </w:r>
      <w:proofErr w:type="spellEnd"/>
      <w:r w:rsidR="00F95886" w:rsidRPr="00A52585">
        <w:rPr>
          <w:rtl/>
        </w:rPr>
        <w:t>؟</w:t>
      </w:r>
      <w:r w:rsidRPr="00A52585">
        <w:rPr>
          <w:rtl/>
        </w:rPr>
        <w:t xml:space="preserve"> إن قلتم / إننا لا نعرف استواء</w:t>
      </w:r>
      <w:r w:rsidR="00DB731D" w:rsidRPr="00A52585">
        <w:rPr>
          <w:rtl/>
        </w:rPr>
        <w:t>،</w:t>
      </w:r>
      <w:r w:rsidRPr="00A52585">
        <w:rPr>
          <w:rtl/>
        </w:rPr>
        <w:t xml:space="preserve"> ولا علواً إلا بجلوس</w:t>
      </w:r>
      <w:r w:rsidR="00DB731D" w:rsidRPr="00A52585">
        <w:rPr>
          <w:rtl/>
        </w:rPr>
        <w:t>،</w:t>
      </w:r>
      <w:r w:rsidRPr="00A52585">
        <w:rPr>
          <w:rtl/>
        </w:rPr>
        <w:t xml:space="preserve"> ولا يجلس إلا الأجسام ولا تكون الأجسام إلا مخلوقة حادثة</w:t>
      </w:r>
      <w:r w:rsidR="00897A24" w:rsidRPr="00A52585">
        <w:rPr>
          <w:rtl/>
        </w:rPr>
        <w:t>.</w:t>
      </w:r>
      <w:r w:rsidRPr="00A52585">
        <w:rPr>
          <w:rtl/>
        </w:rPr>
        <w:t xml:space="preserve"> قلنا لكم</w:t>
      </w:r>
      <w:r w:rsidR="0002035C" w:rsidRPr="00A52585">
        <w:rPr>
          <w:rtl/>
        </w:rPr>
        <w:t>:</w:t>
      </w:r>
      <w:r w:rsidRPr="00A52585">
        <w:rPr>
          <w:rtl/>
        </w:rPr>
        <w:t xml:space="preserve"> هذا مثل أن يقال</w:t>
      </w:r>
      <w:r w:rsidR="0002035C" w:rsidRPr="00A52585">
        <w:rPr>
          <w:rtl/>
        </w:rPr>
        <w:t>:</w:t>
      </w:r>
      <w:r w:rsidRPr="00A52585">
        <w:rPr>
          <w:rtl/>
        </w:rPr>
        <w:t xml:space="preserve"> لا يصح وصف الله بصفة العلم مثلاً</w:t>
      </w:r>
      <w:r w:rsidR="00DB731D" w:rsidRPr="00A52585">
        <w:rPr>
          <w:rtl/>
        </w:rPr>
        <w:t>،</w:t>
      </w:r>
      <w:r w:rsidRPr="00A52585">
        <w:rPr>
          <w:rtl/>
        </w:rPr>
        <w:t xml:space="preserve"> لأن العلم لا يكون إلا عرضاً</w:t>
      </w:r>
      <w:r w:rsidR="00DB731D" w:rsidRPr="00A52585">
        <w:rPr>
          <w:rtl/>
        </w:rPr>
        <w:t>،</w:t>
      </w:r>
      <w:r w:rsidRPr="00A52585">
        <w:rPr>
          <w:rtl/>
        </w:rPr>
        <w:t xml:space="preserve"> والعرض لا يكون إلا مفتقراً إلى غيره</w:t>
      </w:r>
      <w:r w:rsidR="00DB731D" w:rsidRPr="00A52585">
        <w:rPr>
          <w:rtl/>
        </w:rPr>
        <w:t>،</w:t>
      </w:r>
      <w:r w:rsidRPr="00A52585">
        <w:rPr>
          <w:rtl/>
        </w:rPr>
        <w:t xml:space="preserve"> </w:t>
      </w:r>
      <w:proofErr w:type="spellStart"/>
      <w:r w:rsidRPr="00A52585">
        <w:rPr>
          <w:rtl/>
        </w:rPr>
        <w:t>أى</w:t>
      </w:r>
      <w:proofErr w:type="spellEnd"/>
      <w:r w:rsidRPr="00A52585">
        <w:rPr>
          <w:rtl/>
        </w:rPr>
        <w:t xml:space="preserve"> إلى جوهر يقوم به</w:t>
      </w:r>
      <w:r w:rsidR="00DB731D" w:rsidRPr="00A52585">
        <w:rPr>
          <w:rtl/>
        </w:rPr>
        <w:t>،</w:t>
      </w:r>
      <w:r w:rsidRPr="00A52585">
        <w:rPr>
          <w:rtl/>
        </w:rPr>
        <w:t xml:space="preserve"> ولا يفتقر إلا الحادث المخلوق</w:t>
      </w:r>
      <w:r w:rsidR="00DB731D" w:rsidRPr="00A52585">
        <w:rPr>
          <w:rtl/>
        </w:rPr>
        <w:t>،</w:t>
      </w:r>
      <w:r w:rsidRPr="00A52585">
        <w:rPr>
          <w:rtl/>
        </w:rPr>
        <w:t xml:space="preserve"> والجوهر لا يكون إلا جسماً </w:t>
      </w:r>
      <w:proofErr w:type="spellStart"/>
      <w:r w:rsidRPr="00A52585">
        <w:rPr>
          <w:rtl/>
        </w:rPr>
        <w:t>أوإلى</w:t>
      </w:r>
      <w:proofErr w:type="spellEnd"/>
      <w:r w:rsidRPr="00A52585">
        <w:rPr>
          <w:rtl/>
        </w:rPr>
        <w:t xml:space="preserve"> ما يؤول إلى الجسم</w:t>
      </w:r>
      <w:r w:rsidR="00DB731D" w:rsidRPr="00A52585">
        <w:rPr>
          <w:rtl/>
        </w:rPr>
        <w:t>،</w:t>
      </w:r>
      <w:r w:rsidRPr="00A52585">
        <w:rPr>
          <w:rtl/>
        </w:rPr>
        <w:t xml:space="preserve"> والأجسام</w:t>
      </w:r>
      <w:r w:rsidR="00DB731D" w:rsidRPr="00A52585">
        <w:rPr>
          <w:rtl/>
        </w:rPr>
        <w:t>،</w:t>
      </w:r>
      <w:r w:rsidRPr="00A52585">
        <w:rPr>
          <w:rtl/>
        </w:rPr>
        <w:t xml:space="preserve"> والجواهر</w:t>
      </w:r>
      <w:r w:rsidR="00DB731D" w:rsidRPr="00A52585">
        <w:rPr>
          <w:rtl/>
        </w:rPr>
        <w:t>،</w:t>
      </w:r>
      <w:r w:rsidRPr="00A52585">
        <w:rPr>
          <w:rtl/>
        </w:rPr>
        <w:t xml:space="preserve"> والأعراض لا تكون إلا حادثة مخلوقة</w:t>
      </w:r>
      <w:r w:rsidR="0002035C" w:rsidRPr="00A52585">
        <w:rPr>
          <w:rtl/>
        </w:rPr>
        <w:t>)</w:t>
      </w:r>
      <w:r w:rsidR="00DB731D" w:rsidRPr="00A52585">
        <w:rPr>
          <w:rtl/>
        </w:rPr>
        <w:t>،</w:t>
      </w:r>
      <w:r w:rsidRPr="00A52585">
        <w:rPr>
          <w:rFonts w:hint="cs"/>
          <w:rtl/>
        </w:rPr>
        <w:t xml:space="preserve"> </w:t>
      </w:r>
      <w:r w:rsidRPr="00A52585">
        <w:rPr>
          <w:rtl/>
        </w:rPr>
        <w:t>وهذا القول فيه عدة مغالطات هي</w:t>
      </w:r>
      <w:r w:rsidR="0002035C" w:rsidRPr="00A52585">
        <w:rPr>
          <w:rtl/>
        </w:rPr>
        <w:t>:</w:t>
      </w:r>
      <w:r w:rsidR="0002035C" w:rsidRPr="00A52585">
        <w:rPr>
          <w:rFonts w:hint="cs"/>
          <w:rtl/>
        </w:rPr>
        <w:t xml:space="preserve"> </w:t>
      </w:r>
      <w:r w:rsidRPr="00A52585">
        <w:rPr>
          <w:rtl/>
        </w:rPr>
        <w:t xml:space="preserve">أنه يفرض أن صفات الله تعالى أعراض كأعراض الأجسام فالاستواء </w:t>
      </w:r>
      <w:proofErr w:type="spellStart"/>
      <w:r w:rsidRPr="00A52585">
        <w:rPr>
          <w:rtl/>
        </w:rPr>
        <w:t>المكانى</w:t>
      </w:r>
      <w:proofErr w:type="spellEnd"/>
      <w:r w:rsidR="00DB731D" w:rsidRPr="00A52585">
        <w:rPr>
          <w:rtl/>
        </w:rPr>
        <w:t>،</w:t>
      </w:r>
      <w:r w:rsidRPr="00A52585">
        <w:rPr>
          <w:rtl/>
        </w:rPr>
        <w:t xml:space="preserve"> والعلم والقدرة </w:t>
      </w:r>
      <w:proofErr w:type="spellStart"/>
      <w:r w:rsidRPr="00A52585">
        <w:rPr>
          <w:rtl/>
        </w:rPr>
        <w:t>ونحوذلك</w:t>
      </w:r>
      <w:proofErr w:type="spellEnd"/>
      <w:r w:rsidR="00DB731D" w:rsidRPr="00A52585">
        <w:rPr>
          <w:rtl/>
        </w:rPr>
        <w:t>،</w:t>
      </w:r>
      <w:r w:rsidRPr="00A52585">
        <w:rPr>
          <w:rtl/>
        </w:rPr>
        <w:t xml:space="preserve"> في نظره سواء من حيث إنها كلها أعراض حادثة</w:t>
      </w:r>
      <w:r w:rsidR="00DB731D" w:rsidRPr="00A52585">
        <w:rPr>
          <w:rtl/>
        </w:rPr>
        <w:t>،</w:t>
      </w:r>
      <w:r w:rsidRPr="00A52585">
        <w:rPr>
          <w:rFonts w:hint="cs"/>
          <w:rtl/>
        </w:rPr>
        <w:t xml:space="preserve"> </w:t>
      </w:r>
      <w:r w:rsidRPr="00A52585">
        <w:rPr>
          <w:rtl/>
        </w:rPr>
        <w:t xml:space="preserve">أنه يجعل هذا الفرض أساساً </w:t>
      </w:r>
      <w:proofErr w:type="spellStart"/>
      <w:r w:rsidRPr="00A52585">
        <w:rPr>
          <w:rtl/>
        </w:rPr>
        <w:t>لاستشكاله</w:t>
      </w:r>
      <w:proofErr w:type="spellEnd"/>
      <w:r w:rsidRPr="00A52585">
        <w:rPr>
          <w:rtl/>
        </w:rPr>
        <w:t xml:space="preserve"> على القائلين بالتنزيه عن الاستواء </w:t>
      </w:r>
      <w:proofErr w:type="spellStart"/>
      <w:r w:rsidRPr="00A52585">
        <w:rPr>
          <w:rtl/>
        </w:rPr>
        <w:t>المكانى</w:t>
      </w:r>
      <w:proofErr w:type="spellEnd"/>
      <w:r w:rsidRPr="00A52585">
        <w:rPr>
          <w:rtl/>
        </w:rPr>
        <w:t xml:space="preserve"> أن تنفوا أيضاً العلم </w:t>
      </w:r>
      <w:proofErr w:type="spellStart"/>
      <w:r w:rsidRPr="00A52585">
        <w:rPr>
          <w:rtl/>
        </w:rPr>
        <w:t>وباقى</w:t>
      </w:r>
      <w:proofErr w:type="spellEnd"/>
      <w:r w:rsidRPr="00A52585">
        <w:rPr>
          <w:rtl/>
        </w:rPr>
        <w:t xml:space="preserve"> الصفات</w:t>
      </w:r>
      <w:r w:rsidR="00DB731D" w:rsidRPr="00A52585">
        <w:rPr>
          <w:rtl/>
        </w:rPr>
        <w:t>،</w:t>
      </w:r>
      <w:r w:rsidRPr="00A52585">
        <w:rPr>
          <w:rFonts w:hint="cs"/>
          <w:rtl/>
        </w:rPr>
        <w:t xml:space="preserve"> </w:t>
      </w:r>
      <w:r w:rsidRPr="00A52585">
        <w:rPr>
          <w:rtl/>
        </w:rPr>
        <w:t>أن فرضه هذا باطل</w:t>
      </w:r>
      <w:r w:rsidR="00DB731D" w:rsidRPr="00A52585">
        <w:rPr>
          <w:rtl/>
        </w:rPr>
        <w:t>،</w:t>
      </w:r>
      <w:r w:rsidRPr="00A52585">
        <w:rPr>
          <w:rtl/>
        </w:rPr>
        <w:t xml:space="preserve"> </w:t>
      </w:r>
      <w:proofErr w:type="spellStart"/>
      <w:r w:rsidRPr="00A52585">
        <w:rPr>
          <w:rtl/>
        </w:rPr>
        <w:t>فالاستشكال</w:t>
      </w:r>
      <w:proofErr w:type="spellEnd"/>
      <w:r w:rsidRPr="00A52585">
        <w:rPr>
          <w:rtl/>
        </w:rPr>
        <w:t xml:space="preserve"> المبنى عليه باطل</w:t>
      </w:r>
      <w:r w:rsidR="00DB731D" w:rsidRPr="00A52585">
        <w:rPr>
          <w:rtl/>
        </w:rPr>
        <w:t>،</w:t>
      </w:r>
      <w:r w:rsidRPr="00A52585">
        <w:rPr>
          <w:rtl/>
        </w:rPr>
        <w:t xml:space="preserve"> ودليل البطلان أن صفات العلم والقدرة والإرادة من الصفات القديمة الواجبة لله تعالى وهى في المخلوق حادثة</w:t>
      </w:r>
      <w:r w:rsidR="00DB731D" w:rsidRPr="00A52585">
        <w:rPr>
          <w:rtl/>
        </w:rPr>
        <w:t>،</w:t>
      </w:r>
      <w:r w:rsidRPr="00A52585">
        <w:rPr>
          <w:rtl/>
        </w:rPr>
        <w:t xml:space="preserve"> وفرق بين القديم والحادث</w:t>
      </w:r>
      <w:r w:rsidR="00DB731D" w:rsidRPr="00A52585">
        <w:rPr>
          <w:rtl/>
        </w:rPr>
        <w:t>،</w:t>
      </w:r>
      <w:r w:rsidRPr="00A52585">
        <w:rPr>
          <w:rtl/>
        </w:rPr>
        <w:t xml:space="preserve"> أما الاستواء </w:t>
      </w:r>
      <w:proofErr w:type="spellStart"/>
      <w:r w:rsidRPr="00A52585">
        <w:rPr>
          <w:rtl/>
        </w:rPr>
        <w:t>المكانى</w:t>
      </w:r>
      <w:proofErr w:type="spellEnd"/>
      <w:r w:rsidRPr="00A52585">
        <w:rPr>
          <w:rtl/>
        </w:rPr>
        <w:t xml:space="preserve"> </w:t>
      </w:r>
      <w:proofErr w:type="spellStart"/>
      <w:r w:rsidRPr="00A52585">
        <w:rPr>
          <w:rtl/>
        </w:rPr>
        <w:t>فهومستحيل</w:t>
      </w:r>
      <w:proofErr w:type="spellEnd"/>
      <w:r w:rsidRPr="00A52585">
        <w:rPr>
          <w:rtl/>
        </w:rPr>
        <w:t xml:space="preserve"> على الله تعالى كما يعلم ذلك من الفرق بين حقيقة العرض وبين الصفات الإلهية القديمة</w:t>
      </w:r>
      <w:r w:rsidR="00DB731D" w:rsidRPr="00A52585">
        <w:rPr>
          <w:rtl/>
        </w:rPr>
        <w:t>،</w:t>
      </w:r>
      <w:r w:rsidRPr="00A52585">
        <w:rPr>
          <w:rFonts w:hint="cs"/>
          <w:rtl/>
        </w:rPr>
        <w:t xml:space="preserve"> </w:t>
      </w:r>
      <w:r w:rsidRPr="00A52585">
        <w:rPr>
          <w:rtl/>
        </w:rPr>
        <w:t>فالعرض هو ما يعرض بعد العدم</w:t>
      </w:r>
      <w:r w:rsidR="00DB731D" w:rsidRPr="00A52585">
        <w:rPr>
          <w:rtl/>
        </w:rPr>
        <w:t>،</w:t>
      </w:r>
      <w:r w:rsidRPr="00A52585">
        <w:rPr>
          <w:rtl/>
        </w:rPr>
        <w:t xml:space="preserve"> ولا يقوم إلا بالأجسام وجواهرها</w:t>
      </w:r>
      <w:r w:rsidR="00DB731D" w:rsidRPr="00A52585">
        <w:rPr>
          <w:rtl/>
        </w:rPr>
        <w:t>،</w:t>
      </w:r>
      <w:r w:rsidRPr="00A52585">
        <w:rPr>
          <w:rtl/>
        </w:rPr>
        <w:t xml:space="preserve"> وهو إما حسى</w:t>
      </w:r>
      <w:r w:rsidR="0002035C" w:rsidRPr="00A52585">
        <w:rPr>
          <w:rtl/>
        </w:rPr>
        <w:t>:</w:t>
      </w:r>
      <w:r w:rsidRPr="00A52585">
        <w:rPr>
          <w:rtl/>
        </w:rPr>
        <w:t xml:space="preserve"> كالحركة العارضة بعد السكون</w:t>
      </w:r>
      <w:r w:rsidR="00DB731D" w:rsidRPr="00A52585">
        <w:rPr>
          <w:rtl/>
        </w:rPr>
        <w:t>،</w:t>
      </w:r>
      <w:r w:rsidRPr="00A52585">
        <w:rPr>
          <w:rtl/>
        </w:rPr>
        <w:t xml:space="preserve"> </w:t>
      </w:r>
      <w:proofErr w:type="spellStart"/>
      <w:r w:rsidRPr="00A52585">
        <w:rPr>
          <w:rtl/>
        </w:rPr>
        <w:t>ولاسكون</w:t>
      </w:r>
      <w:proofErr w:type="spellEnd"/>
      <w:r w:rsidRPr="00A52585">
        <w:rPr>
          <w:rtl/>
        </w:rPr>
        <w:t xml:space="preserve"> العارض بعد الحركة</w:t>
      </w:r>
      <w:r w:rsidR="00DB731D" w:rsidRPr="00A52585">
        <w:rPr>
          <w:rtl/>
        </w:rPr>
        <w:t>،</w:t>
      </w:r>
      <w:r w:rsidRPr="00A52585">
        <w:rPr>
          <w:rtl/>
        </w:rPr>
        <w:t xml:space="preserve"> وكبر الحجم وصغره والحيز العارض له في </w:t>
      </w:r>
      <w:proofErr w:type="spellStart"/>
      <w:r w:rsidRPr="00A52585">
        <w:rPr>
          <w:rtl/>
        </w:rPr>
        <w:t>حالى</w:t>
      </w:r>
      <w:proofErr w:type="spellEnd"/>
      <w:r w:rsidRPr="00A52585">
        <w:rPr>
          <w:rtl/>
        </w:rPr>
        <w:t xml:space="preserve"> الكبر والصغر</w:t>
      </w:r>
      <w:r w:rsidR="00DB731D" w:rsidRPr="00A52585">
        <w:rPr>
          <w:rtl/>
        </w:rPr>
        <w:t>،</w:t>
      </w:r>
      <w:r w:rsidRPr="00A52585">
        <w:rPr>
          <w:rtl/>
        </w:rPr>
        <w:t xml:space="preserve"> والسواد العارض بعد البياض</w:t>
      </w:r>
      <w:r w:rsidR="00DB731D" w:rsidRPr="00A52585">
        <w:rPr>
          <w:rtl/>
        </w:rPr>
        <w:t>،</w:t>
      </w:r>
      <w:r w:rsidRPr="00A52585">
        <w:rPr>
          <w:rtl/>
        </w:rPr>
        <w:t xml:space="preserve"> والبياض العارض بعد السواد</w:t>
      </w:r>
      <w:r w:rsidR="00DB731D" w:rsidRPr="00A52585">
        <w:rPr>
          <w:rtl/>
        </w:rPr>
        <w:t>،</w:t>
      </w:r>
      <w:r w:rsidRPr="00A52585">
        <w:rPr>
          <w:rtl/>
        </w:rPr>
        <w:t xml:space="preserve"> والحرارة العارضة بعد البرودة</w:t>
      </w:r>
      <w:r w:rsidR="00DB731D" w:rsidRPr="00A52585">
        <w:rPr>
          <w:rtl/>
        </w:rPr>
        <w:t>،</w:t>
      </w:r>
      <w:r w:rsidRPr="00A52585">
        <w:rPr>
          <w:rtl/>
        </w:rPr>
        <w:t xml:space="preserve"> والبرودة العارضة بعد الحرارة</w:t>
      </w:r>
      <w:r w:rsidR="00DB731D" w:rsidRPr="00A52585">
        <w:rPr>
          <w:rtl/>
        </w:rPr>
        <w:t>،</w:t>
      </w:r>
      <w:r w:rsidRPr="00A52585">
        <w:rPr>
          <w:rtl/>
        </w:rPr>
        <w:t xml:space="preserve"> والمرض العارض بعد الصحة</w:t>
      </w:r>
      <w:r w:rsidR="00DB731D" w:rsidRPr="00A52585">
        <w:rPr>
          <w:rtl/>
        </w:rPr>
        <w:t>،</w:t>
      </w:r>
      <w:r w:rsidRPr="00A52585">
        <w:rPr>
          <w:rtl/>
        </w:rPr>
        <w:t xml:space="preserve"> والصحة العارضة بعد المرض</w:t>
      </w:r>
      <w:r w:rsidR="00DB731D" w:rsidRPr="00A52585">
        <w:rPr>
          <w:rtl/>
        </w:rPr>
        <w:t>،</w:t>
      </w:r>
      <w:r w:rsidRPr="00A52585">
        <w:rPr>
          <w:rtl/>
        </w:rPr>
        <w:t xml:space="preserve"> وثقل الوزن العارض بعد الخفة</w:t>
      </w:r>
      <w:r w:rsidR="00DB731D" w:rsidRPr="00A52585">
        <w:rPr>
          <w:rtl/>
        </w:rPr>
        <w:t>،</w:t>
      </w:r>
      <w:r w:rsidRPr="00A52585">
        <w:rPr>
          <w:rtl/>
        </w:rPr>
        <w:t xml:space="preserve"> وخفة الوزن العارضة بعد ثقله وهكذا</w:t>
      </w:r>
      <w:r w:rsidR="00DB731D" w:rsidRPr="00A52585">
        <w:rPr>
          <w:rtl/>
        </w:rPr>
        <w:t>،</w:t>
      </w:r>
      <w:r w:rsidRPr="00A52585">
        <w:rPr>
          <w:rFonts w:hint="cs"/>
          <w:rtl/>
        </w:rPr>
        <w:t xml:space="preserve"> </w:t>
      </w:r>
      <w:r w:rsidRPr="00A52585">
        <w:rPr>
          <w:rtl/>
        </w:rPr>
        <w:t xml:space="preserve">وإما </w:t>
      </w:r>
      <w:proofErr w:type="spellStart"/>
      <w:r w:rsidRPr="00A52585">
        <w:rPr>
          <w:rtl/>
        </w:rPr>
        <w:t>معنوى</w:t>
      </w:r>
      <w:proofErr w:type="spellEnd"/>
      <w:r w:rsidR="0002035C" w:rsidRPr="00A52585">
        <w:rPr>
          <w:rtl/>
        </w:rPr>
        <w:t>:</w:t>
      </w:r>
      <w:r w:rsidRPr="00A52585">
        <w:rPr>
          <w:rtl/>
        </w:rPr>
        <w:t xml:space="preserve"> كالعلم العارض للمخلوق بعد الجهل</w:t>
      </w:r>
      <w:r w:rsidR="00DB731D" w:rsidRPr="00A52585">
        <w:rPr>
          <w:rtl/>
        </w:rPr>
        <w:t>،</w:t>
      </w:r>
      <w:r w:rsidRPr="00A52585">
        <w:rPr>
          <w:rtl/>
        </w:rPr>
        <w:t xml:space="preserve"> والجهل العارض له بعد العلم</w:t>
      </w:r>
      <w:r w:rsidR="00DB731D" w:rsidRPr="00A52585">
        <w:rPr>
          <w:rtl/>
        </w:rPr>
        <w:t>،</w:t>
      </w:r>
      <w:r w:rsidRPr="00A52585">
        <w:rPr>
          <w:rtl/>
        </w:rPr>
        <w:t xml:space="preserve"> والحياة العراضة بعد الموت</w:t>
      </w:r>
      <w:r w:rsidR="00DB731D" w:rsidRPr="00A52585">
        <w:rPr>
          <w:rtl/>
        </w:rPr>
        <w:t>،</w:t>
      </w:r>
      <w:r w:rsidRPr="00A52585">
        <w:rPr>
          <w:rtl/>
        </w:rPr>
        <w:t xml:space="preserve"> والموت العارض بعد الحياة</w:t>
      </w:r>
      <w:r w:rsidR="00DB731D" w:rsidRPr="00A52585">
        <w:rPr>
          <w:rtl/>
        </w:rPr>
        <w:t>،</w:t>
      </w:r>
      <w:r w:rsidRPr="00A52585">
        <w:rPr>
          <w:rtl/>
        </w:rPr>
        <w:t xml:space="preserve"> والحلم العارض بعد الغضب</w:t>
      </w:r>
      <w:r w:rsidR="00DB731D" w:rsidRPr="00A52585">
        <w:rPr>
          <w:rtl/>
        </w:rPr>
        <w:t>،</w:t>
      </w:r>
      <w:r w:rsidRPr="00A52585">
        <w:rPr>
          <w:rtl/>
        </w:rPr>
        <w:t xml:space="preserve"> والغضب العارض بعد الحلم</w:t>
      </w:r>
      <w:r w:rsidR="00DB731D" w:rsidRPr="00A52585">
        <w:rPr>
          <w:rtl/>
        </w:rPr>
        <w:t>،</w:t>
      </w:r>
      <w:r w:rsidRPr="00A52585">
        <w:rPr>
          <w:rtl/>
        </w:rPr>
        <w:t xml:space="preserve"> وهكذا</w:t>
      </w:r>
      <w:r w:rsidR="00DB731D" w:rsidRPr="00A52585">
        <w:rPr>
          <w:rtl/>
        </w:rPr>
        <w:t>،</w:t>
      </w:r>
      <w:r w:rsidRPr="00A52585">
        <w:rPr>
          <w:rFonts w:hint="cs"/>
          <w:rtl/>
        </w:rPr>
        <w:t xml:space="preserve"> </w:t>
      </w:r>
      <w:r w:rsidRPr="00A52585">
        <w:rPr>
          <w:rtl/>
        </w:rPr>
        <w:t>فكل هذه أعراض</w:t>
      </w:r>
      <w:r w:rsidR="00897A24" w:rsidRPr="00A52585">
        <w:rPr>
          <w:rtl/>
        </w:rPr>
        <w:t>.</w:t>
      </w:r>
      <w:r w:rsidRPr="00A52585">
        <w:rPr>
          <w:rtl/>
        </w:rPr>
        <w:t xml:space="preserve"> </w:t>
      </w:r>
      <w:proofErr w:type="spellStart"/>
      <w:r w:rsidRPr="00A52585">
        <w:rPr>
          <w:rtl/>
        </w:rPr>
        <w:t>أى</w:t>
      </w:r>
      <w:proofErr w:type="spellEnd"/>
      <w:r w:rsidR="0002035C" w:rsidRPr="00A52585">
        <w:rPr>
          <w:rtl/>
        </w:rPr>
        <w:t>:</w:t>
      </w:r>
      <w:r w:rsidRPr="00A52585">
        <w:rPr>
          <w:rtl/>
        </w:rPr>
        <w:t xml:space="preserve"> عارضة </w:t>
      </w:r>
      <w:proofErr w:type="spellStart"/>
      <w:r w:rsidRPr="00A52585">
        <w:rPr>
          <w:rtl/>
        </w:rPr>
        <w:t>للإجسام</w:t>
      </w:r>
      <w:proofErr w:type="spellEnd"/>
      <w:r w:rsidRPr="00A52585">
        <w:rPr>
          <w:rtl/>
        </w:rPr>
        <w:t xml:space="preserve"> بعد أن كانت معدومة</w:t>
      </w:r>
      <w:r w:rsidR="00DB731D" w:rsidRPr="00A52585">
        <w:rPr>
          <w:rtl/>
        </w:rPr>
        <w:t>،</w:t>
      </w:r>
      <w:r w:rsidRPr="00A52585">
        <w:rPr>
          <w:rtl/>
        </w:rPr>
        <w:t xml:space="preserve"> وكلها أعراض حادثة</w:t>
      </w:r>
      <w:r w:rsidR="00DB731D" w:rsidRPr="00A52585">
        <w:rPr>
          <w:rtl/>
        </w:rPr>
        <w:t>،</w:t>
      </w:r>
      <w:r w:rsidRPr="00A52585">
        <w:rPr>
          <w:rtl/>
        </w:rPr>
        <w:t xml:space="preserve"> دليل حدوثها المشاهدة</w:t>
      </w:r>
      <w:r w:rsidR="00DB731D" w:rsidRPr="00A52585">
        <w:rPr>
          <w:rtl/>
        </w:rPr>
        <w:t>،</w:t>
      </w:r>
      <w:r w:rsidRPr="00A52585">
        <w:rPr>
          <w:rtl/>
        </w:rPr>
        <w:t xml:space="preserve"> والعيان</w:t>
      </w:r>
      <w:r w:rsidR="00DB731D" w:rsidRPr="00A52585">
        <w:rPr>
          <w:rtl/>
        </w:rPr>
        <w:t>،</w:t>
      </w:r>
      <w:r w:rsidRPr="00A52585">
        <w:rPr>
          <w:rFonts w:hint="cs"/>
          <w:rtl/>
        </w:rPr>
        <w:t xml:space="preserve"> </w:t>
      </w:r>
      <w:r w:rsidRPr="00A52585">
        <w:rPr>
          <w:rtl/>
        </w:rPr>
        <w:t>أما صفات الله تعالى</w:t>
      </w:r>
      <w:r w:rsidR="0002035C" w:rsidRPr="00A52585">
        <w:rPr>
          <w:rtl/>
        </w:rPr>
        <w:t>:</w:t>
      </w:r>
      <w:r w:rsidRPr="00A52585">
        <w:rPr>
          <w:rtl/>
        </w:rPr>
        <w:t xml:space="preserve"> كالوجود</w:t>
      </w:r>
      <w:r w:rsidR="00DB731D" w:rsidRPr="00A52585">
        <w:rPr>
          <w:rtl/>
        </w:rPr>
        <w:t>،</w:t>
      </w:r>
      <w:r w:rsidRPr="00A52585">
        <w:rPr>
          <w:rtl/>
        </w:rPr>
        <w:t xml:space="preserve"> والعلم</w:t>
      </w:r>
      <w:r w:rsidR="00DB731D" w:rsidRPr="00A52585">
        <w:rPr>
          <w:rtl/>
        </w:rPr>
        <w:t>،</w:t>
      </w:r>
      <w:r w:rsidRPr="00A52585">
        <w:rPr>
          <w:rtl/>
        </w:rPr>
        <w:t xml:space="preserve"> والقدرة</w:t>
      </w:r>
      <w:r w:rsidR="00DB731D" w:rsidRPr="00A52585">
        <w:rPr>
          <w:rtl/>
        </w:rPr>
        <w:t>،</w:t>
      </w:r>
      <w:r w:rsidRPr="00A52585">
        <w:rPr>
          <w:rtl/>
        </w:rPr>
        <w:t xml:space="preserve"> والإرادة </w:t>
      </w:r>
      <w:proofErr w:type="spellStart"/>
      <w:r w:rsidRPr="00A52585">
        <w:rPr>
          <w:rtl/>
        </w:rPr>
        <w:t>فهى</w:t>
      </w:r>
      <w:proofErr w:type="spellEnd"/>
      <w:r w:rsidRPr="00A52585">
        <w:rPr>
          <w:rtl/>
        </w:rPr>
        <w:t xml:space="preserve"> قديمة واجبة لله تعالى</w:t>
      </w:r>
      <w:r w:rsidR="00DB731D" w:rsidRPr="00A52585">
        <w:rPr>
          <w:rtl/>
        </w:rPr>
        <w:t>،</w:t>
      </w:r>
      <w:r w:rsidRPr="00A52585">
        <w:rPr>
          <w:rtl/>
        </w:rPr>
        <w:t xml:space="preserve"> بدليل حدوث الجواهر والأعراض</w:t>
      </w:r>
      <w:r w:rsidR="00DB731D" w:rsidRPr="00A52585">
        <w:rPr>
          <w:rtl/>
        </w:rPr>
        <w:t>،</w:t>
      </w:r>
      <w:r w:rsidRPr="00A52585">
        <w:rPr>
          <w:rtl/>
        </w:rPr>
        <w:t xml:space="preserve"> إذا لا يوجد هذه الحوادث إلا إله قادر</w:t>
      </w:r>
      <w:r w:rsidR="00DB731D" w:rsidRPr="00A52585">
        <w:rPr>
          <w:rtl/>
        </w:rPr>
        <w:t>،</w:t>
      </w:r>
      <w:r w:rsidRPr="00A52585">
        <w:rPr>
          <w:rtl/>
        </w:rPr>
        <w:t xml:space="preserve"> مريد</w:t>
      </w:r>
      <w:r w:rsidR="00DB731D" w:rsidRPr="00A52585">
        <w:rPr>
          <w:rtl/>
        </w:rPr>
        <w:t>،</w:t>
      </w:r>
      <w:r w:rsidRPr="00A52585">
        <w:rPr>
          <w:rtl/>
        </w:rPr>
        <w:t xml:space="preserve"> عالم</w:t>
      </w:r>
      <w:r w:rsidR="00DB731D" w:rsidRPr="00A52585">
        <w:rPr>
          <w:rtl/>
        </w:rPr>
        <w:t>،</w:t>
      </w:r>
      <w:r w:rsidRPr="00A52585">
        <w:rPr>
          <w:rtl/>
        </w:rPr>
        <w:t xml:space="preserve"> فأين تلك الأعراض الحادثة من هذه الصفات الإلهية الواجبة القديمة</w:t>
      </w:r>
      <w:r w:rsidR="00F95886" w:rsidRPr="00A52585">
        <w:rPr>
          <w:rtl/>
        </w:rPr>
        <w:t>؟</w:t>
      </w:r>
      <w:r w:rsidR="0002035C" w:rsidRPr="00A52585">
        <w:rPr>
          <w:rFonts w:hint="cs"/>
          <w:rtl/>
        </w:rPr>
        <w:t xml:space="preserve"> </w:t>
      </w:r>
      <w:r w:rsidRPr="00A52585">
        <w:rPr>
          <w:rtl/>
        </w:rPr>
        <w:t xml:space="preserve">إن من تأمل في الاستواء </w:t>
      </w:r>
      <w:proofErr w:type="spellStart"/>
      <w:r w:rsidRPr="00A52585">
        <w:rPr>
          <w:rtl/>
        </w:rPr>
        <w:lastRenderedPageBreak/>
        <w:t>المكانى</w:t>
      </w:r>
      <w:proofErr w:type="spellEnd"/>
      <w:r w:rsidR="00DB731D" w:rsidRPr="00A52585">
        <w:rPr>
          <w:rtl/>
        </w:rPr>
        <w:t>،</w:t>
      </w:r>
      <w:r w:rsidRPr="00A52585">
        <w:rPr>
          <w:rtl/>
        </w:rPr>
        <w:t xml:space="preserve"> والعلو</w:t>
      </w:r>
      <w:r w:rsidRPr="00A52585">
        <w:rPr>
          <w:rFonts w:hint="cs"/>
          <w:rtl/>
        </w:rPr>
        <w:t xml:space="preserve"> </w:t>
      </w:r>
      <w:proofErr w:type="spellStart"/>
      <w:r w:rsidRPr="00A52585">
        <w:rPr>
          <w:rtl/>
        </w:rPr>
        <w:t>المكانى</w:t>
      </w:r>
      <w:proofErr w:type="spellEnd"/>
      <w:r w:rsidR="00DB731D" w:rsidRPr="00A52585">
        <w:rPr>
          <w:rtl/>
        </w:rPr>
        <w:t>،</w:t>
      </w:r>
      <w:r w:rsidRPr="00A52585">
        <w:rPr>
          <w:rtl/>
        </w:rPr>
        <w:t xml:space="preserve"> يجدهما مندرجين ضمن الأعراض</w:t>
      </w:r>
      <w:r w:rsidR="00DB731D" w:rsidRPr="00A52585">
        <w:rPr>
          <w:rtl/>
        </w:rPr>
        <w:t>،</w:t>
      </w:r>
      <w:r w:rsidRPr="00A52585">
        <w:rPr>
          <w:rtl/>
        </w:rPr>
        <w:t xml:space="preserve"> لا ضمن الصفات الإلهية</w:t>
      </w:r>
      <w:r w:rsidR="00DB731D" w:rsidRPr="00A52585">
        <w:rPr>
          <w:rtl/>
        </w:rPr>
        <w:t>،</w:t>
      </w:r>
      <w:r w:rsidRPr="00A52585">
        <w:rPr>
          <w:rtl/>
        </w:rPr>
        <w:t xml:space="preserve"> ولإيضاح ذلك نقول</w:t>
      </w:r>
      <w:r w:rsidR="00DB731D" w:rsidRPr="00A52585">
        <w:rPr>
          <w:rtl/>
        </w:rPr>
        <w:t>،</w:t>
      </w:r>
      <w:r w:rsidRPr="00A52585">
        <w:rPr>
          <w:rtl/>
        </w:rPr>
        <w:t xml:space="preserve"> وبالله تعالى التوفيق والإعانة</w:t>
      </w:r>
      <w:r w:rsidR="0002035C" w:rsidRPr="00A52585">
        <w:rPr>
          <w:rtl/>
        </w:rPr>
        <w:t>:</w:t>
      </w:r>
      <w:r w:rsidRPr="00A52585">
        <w:rPr>
          <w:rFonts w:hint="cs"/>
          <w:rtl/>
        </w:rPr>
        <w:t xml:space="preserve"> </w:t>
      </w:r>
      <w:r w:rsidRPr="00A52585">
        <w:rPr>
          <w:rtl/>
        </w:rPr>
        <w:t xml:space="preserve">لا يخفى أن الاستواء </w:t>
      </w:r>
      <w:proofErr w:type="spellStart"/>
      <w:r w:rsidRPr="00A52585">
        <w:rPr>
          <w:rtl/>
        </w:rPr>
        <w:t>المكانى</w:t>
      </w:r>
      <w:proofErr w:type="spellEnd"/>
      <w:r w:rsidRPr="00A52585">
        <w:rPr>
          <w:rtl/>
        </w:rPr>
        <w:t xml:space="preserve"> لا يعقل إلا بين جسمين</w:t>
      </w:r>
      <w:r w:rsidR="0002035C" w:rsidRPr="00A52585">
        <w:rPr>
          <w:rtl/>
        </w:rPr>
        <w:t>:</w:t>
      </w:r>
      <w:r w:rsidRPr="00A52585">
        <w:rPr>
          <w:rtl/>
        </w:rPr>
        <w:t xml:space="preserve"> أحدهما مستو، والآخر مستوى عليه قد اشتركا في الحد الفاصل بينهما</w:t>
      </w:r>
      <w:r w:rsidR="00DB731D" w:rsidRPr="00A52585">
        <w:rPr>
          <w:rtl/>
        </w:rPr>
        <w:t>،</w:t>
      </w:r>
      <w:r w:rsidRPr="00A52585">
        <w:rPr>
          <w:rtl/>
        </w:rPr>
        <w:t xml:space="preserve"> وعلى هذا</w:t>
      </w:r>
      <w:r w:rsidR="00DB731D" w:rsidRPr="00A52585">
        <w:rPr>
          <w:rtl/>
        </w:rPr>
        <w:t>،</w:t>
      </w:r>
      <w:r w:rsidRPr="00A52585">
        <w:rPr>
          <w:rtl/>
        </w:rPr>
        <w:t xml:space="preserve"> فالاستواء لجسم على جسم هو ملاصقة حيز الجسم الأعلى لحيز الجسم الأسفل</w:t>
      </w:r>
      <w:r w:rsidR="00DB731D" w:rsidRPr="00A52585">
        <w:rPr>
          <w:rtl/>
        </w:rPr>
        <w:t>،</w:t>
      </w:r>
      <w:r w:rsidRPr="00A52585">
        <w:rPr>
          <w:rtl/>
        </w:rPr>
        <w:t xml:space="preserve"> وذلك كاستواء جسم الإنسان على </w:t>
      </w:r>
      <w:proofErr w:type="spellStart"/>
      <w:r w:rsidRPr="00A52585">
        <w:rPr>
          <w:rtl/>
        </w:rPr>
        <w:t>الكرسى</w:t>
      </w:r>
      <w:proofErr w:type="spellEnd"/>
      <w:r w:rsidRPr="00A52585">
        <w:rPr>
          <w:rtl/>
        </w:rPr>
        <w:t xml:space="preserve"> </w:t>
      </w:r>
      <w:proofErr w:type="spellStart"/>
      <w:r w:rsidRPr="00A52585">
        <w:rPr>
          <w:rtl/>
        </w:rPr>
        <w:t>أوعلى</w:t>
      </w:r>
      <w:proofErr w:type="spellEnd"/>
      <w:r w:rsidRPr="00A52585">
        <w:rPr>
          <w:rtl/>
        </w:rPr>
        <w:t xml:space="preserve"> ظهر الدابة</w:t>
      </w:r>
      <w:r w:rsidR="00DB731D" w:rsidRPr="00A52585">
        <w:rPr>
          <w:rtl/>
        </w:rPr>
        <w:t>،</w:t>
      </w:r>
      <w:r w:rsidRPr="00A52585">
        <w:rPr>
          <w:rFonts w:hint="cs"/>
          <w:rtl/>
        </w:rPr>
        <w:t xml:space="preserve"> </w:t>
      </w:r>
      <w:r w:rsidRPr="00A52585">
        <w:rPr>
          <w:rtl/>
        </w:rPr>
        <w:t>ولا يخفى أن العلو</w:t>
      </w:r>
      <w:r w:rsidRPr="00A52585">
        <w:rPr>
          <w:rFonts w:hint="cs"/>
          <w:rtl/>
        </w:rPr>
        <w:t xml:space="preserve"> </w:t>
      </w:r>
      <w:proofErr w:type="spellStart"/>
      <w:r w:rsidRPr="00A52585">
        <w:rPr>
          <w:rtl/>
        </w:rPr>
        <w:t>المكانى</w:t>
      </w:r>
      <w:proofErr w:type="spellEnd"/>
      <w:r w:rsidRPr="00A52585">
        <w:rPr>
          <w:rtl/>
        </w:rPr>
        <w:t xml:space="preserve"> لا يعقل إلا بين جسمين</w:t>
      </w:r>
      <w:r w:rsidR="0002035C" w:rsidRPr="00A52585">
        <w:rPr>
          <w:rtl/>
        </w:rPr>
        <w:t>:</w:t>
      </w:r>
      <w:r w:rsidRPr="00A52585">
        <w:rPr>
          <w:rtl/>
        </w:rPr>
        <w:t xml:space="preserve"> أحدهما أعلى من الأخر</w:t>
      </w:r>
      <w:r w:rsidR="00897A24" w:rsidRPr="00A52585">
        <w:rPr>
          <w:rtl/>
        </w:rPr>
        <w:t>.</w:t>
      </w:r>
      <w:r w:rsidRPr="00A52585">
        <w:rPr>
          <w:rtl/>
        </w:rPr>
        <w:t xml:space="preserve"> </w:t>
      </w:r>
      <w:r w:rsidRPr="00A52585">
        <w:rPr>
          <w:rFonts w:hint="cs"/>
          <w:rtl/>
        </w:rPr>
        <w:t>إ</w:t>
      </w:r>
      <w:r w:rsidRPr="00A52585">
        <w:rPr>
          <w:rtl/>
        </w:rPr>
        <w:t>ما ملاصقاً له</w:t>
      </w:r>
      <w:r w:rsidR="00DB731D" w:rsidRPr="00A52585">
        <w:rPr>
          <w:rtl/>
        </w:rPr>
        <w:t>،</w:t>
      </w:r>
      <w:r w:rsidRPr="00A52585">
        <w:rPr>
          <w:rtl/>
        </w:rPr>
        <w:t xml:space="preserve"> أو</w:t>
      </w:r>
      <w:r w:rsidRPr="00A52585">
        <w:rPr>
          <w:rFonts w:hint="cs"/>
          <w:rtl/>
        </w:rPr>
        <w:t xml:space="preserve"> </w:t>
      </w:r>
      <w:r w:rsidRPr="00A52585">
        <w:rPr>
          <w:rtl/>
        </w:rPr>
        <w:t>فوقه بمسافة</w:t>
      </w:r>
      <w:r w:rsidR="00DB731D" w:rsidRPr="00A52585">
        <w:rPr>
          <w:rtl/>
        </w:rPr>
        <w:t>،</w:t>
      </w:r>
      <w:r w:rsidRPr="00A52585">
        <w:rPr>
          <w:rFonts w:hint="cs"/>
          <w:rtl/>
        </w:rPr>
        <w:t xml:space="preserve"> </w:t>
      </w:r>
      <w:r w:rsidRPr="00A52585">
        <w:rPr>
          <w:rtl/>
        </w:rPr>
        <w:t>وعلى هذا</w:t>
      </w:r>
      <w:r w:rsidR="00DB731D" w:rsidRPr="00A52585">
        <w:rPr>
          <w:rtl/>
        </w:rPr>
        <w:t>،</w:t>
      </w:r>
      <w:r w:rsidRPr="00A52585">
        <w:rPr>
          <w:rtl/>
        </w:rPr>
        <w:t xml:space="preserve"> فالعلو</w:t>
      </w:r>
      <w:r w:rsidRPr="00A52585">
        <w:rPr>
          <w:rFonts w:hint="cs"/>
          <w:rtl/>
        </w:rPr>
        <w:t xml:space="preserve"> </w:t>
      </w:r>
      <w:proofErr w:type="spellStart"/>
      <w:r w:rsidRPr="00A52585">
        <w:rPr>
          <w:rtl/>
        </w:rPr>
        <w:t>المكانى</w:t>
      </w:r>
      <w:proofErr w:type="spellEnd"/>
      <w:r w:rsidRPr="00A52585">
        <w:rPr>
          <w:rtl/>
        </w:rPr>
        <w:t xml:space="preserve"> لجسم على جسم</w:t>
      </w:r>
      <w:r w:rsidR="00DB731D" w:rsidRPr="00A52585">
        <w:rPr>
          <w:rtl/>
        </w:rPr>
        <w:t>،</w:t>
      </w:r>
      <w:r w:rsidRPr="00A52585">
        <w:rPr>
          <w:rtl/>
        </w:rPr>
        <w:t xml:space="preserve"> هو علو</w:t>
      </w:r>
      <w:r w:rsidRPr="00A52585">
        <w:rPr>
          <w:rFonts w:hint="cs"/>
          <w:rtl/>
        </w:rPr>
        <w:t xml:space="preserve"> </w:t>
      </w:r>
      <w:r w:rsidRPr="00A52585">
        <w:rPr>
          <w:rtl/>
        </w:rPr>
        <w:t>حيز الجسم الأعلى</w:t>
      </w:r>
      <w:r w:rsidR="00DB731D" w:rsidRPr="00A52585">
        <w:rPr>
          <w:rtl/>
        </w:rPr>
        <w:t>،</w:t>
      </w:r>
      <w:r w:rsidRPr="00A52585">
        <w:rPr>
          <w:rtl/>
        </w:rPr>
        <w:t xml:space="preserve"> فوق حيز الجسم الأسفل</w:t>
      </w:r>
      <w:r w:rsidR="00DB731D" w:rsidRPr="00A52585">
        <w:rPr>
          <w:rtl/>
        </w:rPr>
        <w:t>،</w:t>
      </w:r>
      <w:r w:rsidRPr="00A52585">
        <w:rPr>
          <w:rtl/>
        </w:rPr>
        <w:t xml:space="preserve"> فوجود كل من الاستواء </w:t>
      </w:r>
      <w:proofErr w:type="spellStart"/>
      <w:r w:rsidRPr="00A52585">
        <w:rPr>
          <w:rtl/>
        </w:rPr>
        <w:t>المكانى</w:t>
      </w:r>
      <w:proofErr w:type="spellEnd"/>
      <w:r w:rsidR="00DB731D" w:rsidRPr="00A52585">
        <w:rPr>
          <w:rtl/>
        </w:rPr>
        <w:t>،</w:t>
      </w:r>
      <w:r w:rsidRPr="00A52585">
        <w:rPr>
          <w:rtl/>
        </w:rPr>
        <w:t xml:space="preserve"> والعلو</w:t>
      </w:r>
      <w:r w:rsidRPr="00A52585">
        <w:rPr>
          <w:rFonts w:hint="cs"/>
          <w:rtl/>
        </w:rPr>
        <w:t xml:space="preserve"> </w:t>
      </w:r>
      <w:proofErr w:type="spellStart"/>
      <w:r w:rsidRPr="00A52585">
        <w:rPr>
          <w:rtl/>
        </w:rPr>
        <w:t>المكانى</w:t>
      </w:r>
      <w:proofErr w:type="spellEnd"/>
      <w:r w:rsidRPr="00A52585">
        <w:rPr>
          <w:rtl/>
        </w:rPr>
        <w:t xml:space="preserve"> متوقف على وجود الحيزين</w:t>
      </w:r>
      <w:r w:rsidR="00DB731D" w:rsidRPr="00A52585">
        <w:rPr>
          <w:rtl/>
        </w:rPr>
        <w:t>،</w:t>
      </w:r>
      <w:r w:rsidRPr="00A52585">
        <w:rPr>
          <w:rtl/>
        </w:rPr>
        <w:t xml:space="preserve"> وحيث إن كل حيز حادث لأنه ملازم للجسم الحادث</w:t>
      </w:r>
      <w:r w:rsidR="00DB731D" w:rsidRPr="00A52585">
        <w:rPr>
          <w:rtl/>
        </w:rPr>
        <w:t>،</w:t>
      </w:r>
      <w:r w:rsidRPr="00A52585">
        <w:rPr>
          <w:rtl/>
        </w:rPr>
        <w:t xml:space="preserve"> ولأنه يقبل الزيادة والنقصان</w:t>
      </w:r>
      <w:r w:rsidR="00DB731D" w:rsidRPr="00A52585">
        <w:rPr>
          <w:rtl/>
        </w:rPr>
        <w:t>،</w:t>
      </w:r>
      <w:r w:rsidRPr="00A52585">
        <w:rPr>
          <w:rtl/>
        </w:rPr>
        <w:t xml:space="preserve"> ولأنه مفتقر لمن يحدده</w:t>
      </w:r>
      <w:r w:rsidR="00DB731D" w:rsidRPr="00A52585">
        <w:rPr>
          <w:rtl/>
        </w:rPr>
        <w:t>،</w:t>
      </w:r>
      <w:r w:rsidRPr="00A52585">
        <w:rPr>
          <w:rtl/>
        </w:rPr>
        <w:t xml:space="preserve"> ويقدره فإذن يكون الاستواء </w:t>
      </w:r>
      <w:proofErr w:type="spellStart"/>
      <w:r w:rsidRPr="00A52585">
        <w:rPr>
          <w:rtl/>
        </w:rPr>
        <w:t>المكانى</w:t>
      </w:r>
      <w:proofErr w:type="spellEnd"/>
      <w:r w:rsidRPr="00A52585">
        <w:rPr>
          <w:rtl/>
        </w:rPr>
        <w:t xml:space="preserve"> المتوقف على الحيز حادثاً</w:t>
      </w:r>
      <w:r w:rsidR="00DB731D" w:rsidRPr="00A52585">
        <w:rPr>
          <w:rtl/>
        </w:rPr>
        <w:t>،</w:t>
      </w:r>
      <w:r w:rsidRPr="00A52585">
        <w:rPr>
          <w:rtl/>
        </w:rPr>
        <w:t xml:space="preserve"> </w:t>
      </w:r>
      <w:proofErr w:type="spellStart"/>
      <w:r w:rsidRPr="00A52585">
        <w:rPr>
          <w:rtl/>
        </w:rPr>
        <w:t>والعلوالمكانى</w:t>
      </w:r>
      <w:proofErr w:type="spellEnd"/>
      <w:r w:rsidRPr="00A52585">
        <w:rPr>
          <w:rtl/>
        </w:rPr>
        <w:t xml:space="preserve"> المتوقف على الحيز حادثاً</w:t>
      </w:r>
      <w:r w:rsidR="00DB731D" w:rsidRPr="00A52585">
        <w:rPr>
          <w:rtl/>
        </w:rPr>
        <w:t>،</w:t>
      </w:r>
      <w:r w:rsidRPr="00A52585">
        <w:rPr>
          <w:rtl/>
        </w:rPr>
        <w:t xml:space="preserve"> وإذا ثبت أن كلا من الاستواء </w:t>
      </w:r>
      <w:proofErr w:type="spellStart"/>
      <w:r w:rsidRPr="00A52585">
        <w:rPr>
          <w:rtl/>
        </w:rPr>
        <w:t>المكانى</w:t>
      </w:r>
      <w:proofErr w:type="spellEnd"/>
      <w:r w:rsidR="00DB731D" w:rsidRPr="00A52585">
        <w:rPr>
          <w:rtl/>
        </w:rPr>
        <w:t>،</w:t>
      </w:r>
      <w:r w:rsidRPr="00A52585">
        <w:rPr>
          <w:rtl/>
        </w:rPr>
        <w:t xml:space="preserve"> والعلو</w:t>
      </w:r>
      <w:r w:rsidRPr="00A52585">
        <w:rPr>
          <w:rFonts w:hint="cs"/>
          <w:rtl/>
        </w:rPr>
        <w:t xml:space="preserve"> </w:t>
      </w:r>
      <w:proofErr w:type="spellStart"/>
      <w:r w:rsidRPr="00A52585">
        <w:rPr>
          <w:rtl/>
        </w:rPr>
        <w:t>المكانى</w:t>
      </w:r>
      <w:proofErr w:type="spellEnd"/>
      <w:r w:rsidRPr="00A52585">
        <w:rPr>
          <w:rtl/>
        </w:rPr>
        <w:t xml:space="preserve"> عرض حادث فقد ثبت أنه لا يصح أن يقاس على صفات الوجود </w:t>
      </w:r>
      <w:proofErr w:type="spellStart"/>
      <w:r w:rsidRPr="00A52585">
        <w:rPr>
          <w:rtl/>
        </w:rPr>
        <w:t>الإلهى</w:t>
      </w:r>
      <w:proofErr w:type="spellEnd"/>
      <w:r w:rsidR="00DB731D" w:rsidRPr="00A52585">
        <w:rPr>
          <w:rtl/>
        </w:rPr>
        <w:t>،</w:t>
      </w:r>
      <w:r w:rsidRPr="00A52585">
        <w:rPr>
          <w:rtl/>
        </w:rPr>
        <w:t xml:space="preserve"> والعلم </w:t>
      </w:r>
      <w:proofErr w:type="spellStart"/>
      <w:r w:rsidRPr="00A52585">
        <w:rPr>
          <w:rtl/>
        </w:rPr>
        <w:t>الإلهى</w:t>
      </w:r>
      <w:proofErr w:type="spellEnd"/>
      <w:r w:rsidR="00DB731D" w:rsidRPr="00A52585">
        <w:rPr>
          <w:rtl/>
        </w:rPr>
        <w:t>،</w:t>
      </w:r>
      <w:r w:rsidRPr="00A52585">
        <w:rPr>
          <w:rtl/>
        </w:rPr>
        <w:t xml:space="preserve"> والقدرة الإلهية والإرادة الإلهية القديمة الواجبة لله تعالى التي لا تتوقف على الحيز ولا على المحدد</w:t>
      </w:r>
      <w:r w:rsidR="00DB731D" w:rsidRPr="00A52585">
        <w:rPr>
          <w:rtl/>
        </w:rPr>
        <w:t>،</w:t>
      </w:r>
      <w:r w:rsidRPr="00A52585">
        <w:rPr>
          <w:rtl/>
        </w:rPr>
        <w:t xml:space="preserve"> ولا على المخصص</w:t>
      </w:r>
      <w:r w:rsidR="00DB731D" w:rsidRPr="00A52585">
        <w:rPr>
          <w:rtl/>
        </w:rPr>
        <w:t>،</w:t>
      </w:r>
      <w:r w:rsidRPr="00A52585">
        <w:rPr>
          <w:rFonts w:hint="cs"/>
          <w:rtl/>
        </w:rPr>
        <w:t xml:space="preserve"> </w:t>
      </w:r>
      <w:r w:rsidRPr="00A52585">
        <w:rPr>
          <w:rtl/>
        </w:rPr>
        <w:t xml:space="preserve">فقياس </w:t>
      </w:r>
      <w:proofErr w:type="spellStart"/>
      <w:r w:rsidRPr="00A52585">
        <w:rPr>
          <w:rtl/>
        </w:rPr>
        <w:t>القصيمى</w:t>
      </w:r>
      <w:proofErr w:type="spellEnd"/>
      <w:r w:rsidRPr="00A52585">
        <w:rPr>
          <w:rtl/>
        </w:rPr>
        <w:t xml:space="preserve"> للاستواء </w:t>
      </w:r>
      <w:proofErr w:type="spellStart"/>
      <w:r w:rsidRPr="00A52585">
        <w:rPr>
          <w:rtl/>
        </w:rPr>
        <w:t>المكانى</w:t>
      </w:r>
      <w:proofErr w:type="spellEnd"/>
      <w:r w:rsidR="00DB731D" w:rsidRPr="00A52585">
        <w:rPr>
          <w:rtl/>
        </w:rPr>
        <w:t>،</w:t>
      </w:r>
      <w:r w:rsidRPr="00A52585">
        <w:rPr>
          <w:rtl/>
        </w:rPr>
        <w:t xml:space="preserve"> والعلو</w:t>
      </w:r>
      <w:r w:rsidRPr="00A52585">
        <w:rPr>
          <w:rFonts w:hint="cs"/>
          <w:rtl/>
        </w:rPr>
        <w:t xml:space="preserve"> </w:t>
      </w:r>
      <w:proofErr w:type="spellStart"/>
      <w:r w:rsidRPr="00A52585">
        <w:rPr>
          <w:rtl/>
        </w:rPr>
        <w:t>المكانى</w:t>
      </w:r>
      <w:proofErr w:type="spellEnd"/>
      <w:r w:rsidRPr="00A52585">
        <w:rPr>
          <w:rtl/>
        </w:rPr>
        <w:t xml:space="preserve"> على تلك الصفات الإلهية هو قياس مع الفارق الملموس</w:t>
      </w:r>
      <w:r w:rsidR="00DB731D" w:rsidRPr="00A52585">
        <w:rPr>
          <w:rtl/>
        </w:rPr>
        <w:t>،</w:t>
      </w:r>
      <w:r w:rsidRPr="00A52585">
        <w:rPr>
          <w:rtl/>
        </w:rPr>
        <w:t xml:space="preserve"> </w:t>
      </w:r>
      <w:proofErr w:type="spellStart"/>
      <w:r w:rsidRPr="00A52585">
        <w:rPr>
          <w:rtl/>
        </w:rPr>
        <w:t>فهوإذن</w:t>
      </w:r>
      <w:proofErr w:type="spellEnd"/>
      <w:r w:rsidRPr="00A52585">
        <w:rPr>
          <w:rtl/>
        </w:rPr>
        <w:t xml:space="preserve"> باطل</w:t>
      </w:r>
      <w:r w:rsidR="00DB731D" w:rsidRPr="00A52585">
        <w:rPr>
          <w:rtl/>
        </w:rPr>
        <w:t>،</w:t>
      </w:r>
      <w:r w:rsidRPr="00A52585">
        <w:rPr>
          <w:rtl/>
        </w:rPr>
        <w:t xml:space="preserve"> وما بنى عليه من </w:t>
      </w:r>
      <w:proofErr w:type="spellStart"/>
      <w:r w:rsidRPr="00A52585">
        <w:rPr>
          <w:rtl/>
        </w:rPr>
        <w:t>الاستشكالات</w:t>
      </w:r>
      <w:proofErr w:type="spellEnd"/>
      <w:r w:rsidRPr="00A52585">
        <w:rPr>
          <w:rtl/>
        </w:rPr>
        <w:t xml:space="preserve"> باطل بالضرورة</w:t>
      </w:r>
      <w:r w:rsidR="00DB731D" w:rsidRPr="00A52585">
        <w:rPr>
          <w:rtl/>
        </w:rPr>
        <w:t>،</w:t>
      </w:r>
      <w:r w:rsidRPr="00A52585">
        <w:rPr>
          <w:rFonts w:hint="cs"/>
          <w:rtl/>
        </w:rPr>
        <w:t xml:space="preserve"> </w:t>
      </w:r>
      <w:r w:rsidRPr="00A52585">
        <w:rPr>
          <w:rtl/>
        </w:rPr>
        <w:t xml:space="preserve">وبذلك قد سقطت جميع </w:t>
      </w:r>
      <w:proofErr w:type="spellStart"/>
      <w:r w:rsidRPr="00A52585">
        <w:rPr>
          <w:rtl/>
        </w:rPr>
        <w:t>الاستشكالات</w:t>
      </w:r>
      <w:proofErr w:type="spellEnd"/>
      <w:r w:rsidRPr="00A52585">
        <w:rPr>
          <w:rtl/>
        </w:rPr>
        <w:t xml:space="preserve"> التي يقصد بها </w:t>
      </w:r>
      <w:proofErr w:type="spellStart"/>
      <w:r w:rsidRPr="00A52585">
        <w:rPr>
          <w:rtl/>
        </w:rPr>
        <w:t>القصيمى</w:t>
      </w:r>
      <w:proofErr w:type="spellEnd"/>
      <w:r w:rsidRPr="00A52585">
        <w:rPr>
          <w:rtl/>
        </w:rPr>
        <w:t xml:space="preserve"> إلزامنا بإثبات </w:t>
      </w:r>
      <w:proofErr w:type="spellStart"/>
      <w:r w:rsidRPr="00A52585">
        <w:rPr>
          <w:rtl/>
        </w:rPr>
        <w:t>العلوالمكانى</w:t>
      </w:r>
      <w:proofErr w:type="spellEnd"/>
      <w:r w:rsidR="00DB731D" w:rsidRPr="00A52585">
        <w:rPr>
          <w:rtl/>
        </w:rPr>
        <w:t>،</w:t>
      </w:r>
      <w:r w:rsidRPr="00A52585">
        <w:rPr>
          <w:rtl/>
        </w:rPr>
        <w:t xml:space="preserve"> والاستواء </w:t>
      </w:r>
      <w:proofErr w:type="spellStart"/>
      <w:r w:rsidRPr="00A52585">
        <w:rPr>
          <w:rtl/>
        </w:rPr>
        <w:t>المكانى</w:t>
      </w:r>
      <w:proofErr w:type="spellEnd"/>
      <w:r w:rsidR="00DB731D" w:rsidRPr="00A52585">
        <w:rPr>
          <w:rtl/>
        </w:rPr>
        <w:t>،</w:t>
      </w:r>
      <w:r w:rsidRPr="00A52585">
        <w:rPr>
          <w:rFonts w:hint="cs"/>
          <w:rtl/>
        </w:rPr>
        <w:t xml:space="preserve"> </w:t>
      </w:r>
      <w:r w:rsidRPr="00A52585">
        <w:rPr>
          <w:rtl/>
        </w:rPr>
        <w:t xml:space="preserve">وعليه فيكون الوجود </w:t>
      </w:r>
      <w:proofErr w:type="spellStart"/>
      <w:r w:rsidRPr="00A52585">
        <w:rPr>
          <w:rtl/>
        </w:rPr>
        <w:t>الإلهى</w:t>
      </w:r>
      <w:proofErr w:type="spellEnd"/>
      <w:r w:rsidR="00DB731D" w:rsidRPr="00A52585">
        <w:rPr>
          <w:rtl/>
        </w:rPr>
        <w:t>،</w:t>
      </w:r>
      <w:r w:rsidRPr="00A52585">
        <w:rPr>
          <w:rtl/>
        </w:rPr>
        <w:t xml:space="preserve"> والعلم </w:t>
      </w:r>
      <w:proofErr w:type="spellStart"/>
      <w:r w:rsidRPr="00A52585">
        <w:rPr>
          <w:rtl/>
        </w:rPr>
        <w:t>الإلهى</w:t>
      </w:r>
      <w:proofErr w:type="spellEnd"/>
      <w:r w:rsidR="00DB731D" w:rsidRPr="00A52585">
        <w:rPr>
          <w:rtl/>
        </w:rPr>
        <w:t>،</w:t>
      </w:r>
      <w:r w:rsidRPr="00A52585">
        <w:rPr>
          <w:rtl/>
        </w:rPr>
        <w:t xml:space="preserve"> والقدرة الإلهية</w:t>
      </w:r>
      <w:r w:rsidR="00DB731D" w:rsidRPr="00A52585">
        <w:rPr>
          <w:rtl/>
        </w:rPr>
        <w:t>،</w:t>
      </w:r>
      <w:r w:rsidRPr="00A52585">
        <w:rPr>
          <w:rtl/>
        </w:rPr>
        <w:t xml:space="preserve"> والارادة الإلهية واجبة لله تعالى</w:t>
      </w:r>
      <w:r w:rsidR="00DB731D" w:rsidRPr="00A52585">
        <w:rPr>
          <w:rtl/>
        </w:rPr>
        <w:t>،</w:t>
      </w:r>
      <w:r w:rsidRPr="00A52585">
        <w:rPr>
          <w:rFonts w:hint="cs"/>
          <w:rtl/>
        </w:rPr>
        <w:t xml:space="preserve"> </w:t>
      </w:r>
      <w:r w:rsidRPr="00A52585">
        <w:rPr>
          <w:rtl/>
        </w:rPr>
        <w:t xml:space="preserve">أما الاستواء </w:t>
      </w:r>
      <w:proofErr w:type="spellStart"/>
      <w:r w:rsidRPr="00A52585">
        <w:rPr>
          <w:rtl/>
        </w:rPr>
        <w:t>المكانى</w:t>
      </w:r>
      <w:proofErr w:type="spellEnd"/>
      <w:r w:rsidR="00DB731D" w:rsidRPr="00A52585">
        <w:rPr>
          <w:rtl/>
        </w:rPr>
        <w:t>،</w:t>
      </w:r>
      <w:r w:rsidRPr="00A52585">
        <w:rPr>
          <w:rtl/>
        </w:rPr>
        <w:t xml:space="preserve"> والعلو</w:t>
      </w:r>
      <w:r w:rsidRPr="00A52585">
        <w:rPr>
          <w:rFonts w:hint="cs"/>
          <w:rtl/>
        </w:rPr>
        <w:t xml:space="preserve"> </w:t>
      </w:r>
      <w:proofErr w:type="spellStart"/>
      <w:r w:rsidRPr="00A52585">
        <w:rPr>
          <w:rtl/>
        </w:rPr>
        <w:t>المكانى</w:t>
      </w:r>
      <w:proofErr w:type="spellEnd"/>
      <w:r w:rsidR="00DB731D" w:rsidRPr="00A52585">
        <w:rPr>
          <w:rtl/>
        </w:rPr>
        <w:t>،</w:t>
      </w:r>
      <w:r w:rsidRPr="00A52585">
        <w:rPr>
          <w:rtl/>
        </w:rPr>
        <w:t xml:space="preserve"> فهما عرضان</w:t>
      </w:r>
      <w:r w:rsidR="00DB731D" w:rsidRPr="00A52585">
        <w:rPr>
          <w:rtl/>
        </w:rPr>
        <w:t>،</w:t>
      </w:r>
      <w:r w:rsidRPr="00A52585">
        <w:rPr>
          <w:rtl/>
        </w:rPr>
        <w:t xml:space="preserve"> حادثان</w:t>
      </w:r>
      <w:r w:rsidR="00DB731D" w:rsidRPr="00A52585">
        <w:rPr>
          <w:rtl/>
        </w:rPr>
        <w:t>،</w:t>
      </w:r>
      <w:r w:rsidRPr="00A52585">
        <w:rPr>
          <w:rtl/>
        </w:rPr>
        <w:t xml:space="preserve"> فيكونان مستحيلين على الله تعالى وهو المطلوب</w:t>
      </w:r>
      <w:r w:rsidR="00DB731D" w:rsidRPr="00A52585">
        <w:rPr>
          <w:rtl/>
        </w:rPr>
        <w:t>،</w:t>
      </w:r>
      <w:r w:rsidRPr="00A52585">
        <w:rPr>
          <w:rFonts w:hint="cs"/>
          <w:rtl/>
        </w:rPr>
        <w:t xml:space="preserve"> </w:t>
      </w:r>
      <w:r w:rsidRPr="00A52585">
        <w:rPr>
          <w:rtl/>
        </w:rPr>
        <w:t xml:space="preserve">مما يؤكد استحالة اتصافه تعالى بالاستواء </w:t>
      </w:r>
      <w:proofErr w:type="spellStart"/>
      <w:r w:rsidRPr="00A52585">
        <w:rPr>
          <w:rtl/>
        </w:rPr>
        <w:t>المكانى</w:t>
      </w:r>
      <w:proofErr w:type="spellEnd"/>
      <w:r w:rsidR="00DB731D" w:rsidRPr="00A52585">
        <w:rPr>
          <w:rtl/>
        </w:rPr>
        <w:t>،</w:t>
      </w:r>
      <w:r w:rsidRPr="00A52585">
        <w:rPr>
          <w:rtl/>
        </w:rPr>
        <w:t xml:space="preserve"> </w:t>
      </w:r>
      <w:proofErr w:type="spellStart"/>
      <w:r w:rsidRPr="00A52585">
        <w:rPr>
          <w:rtl/>
        </w:rPr>
        <w:t>والعلوالمكانى</w:t>
      </w:r>
      <w:proofErr w:type="spellEnd"/>
      <w:r w:rsidR="00DB731D" w:rsidRPr="00A52585">
        <w:rPr>
          <w:rtl/>
        </w:rPr>
        <w:t>،</w:t>
      </w:r>
      <w:r w:rsidRPr="00A52585">
        <w:rPr>
          <w:rtl/>
        </w:rPr>
        <w:t xml:space="preserve"> أن الله تعالى منزه عن التحديد</w:t>
      </w:r>
      <w:r w:rsidR="00DB731D" w:rsidRPr="00A52585">
        <w:rPr>
          <w:rtl/>
        </w:rPr>
        <w:t>،</w:t>
      </w:r>
      <w:r w:rsidRPr="00A52585">
        <w:rPr>
          <w:rtl/>
        </w:rPr>
        <w:t xml:space="preserve"> والتشبيه</w:t>
      </w:r>
      <w:r w:rsidR="00DB731D" w:rsidRPr="00A52585">
        <w:rPr>
          <w:rtl/>
        </w:rPr>
        <w:t>،</w:t>
      </w:r>
      <w:r w:rsidRPr="00A52585">
        <w:rPr>
          <w:rtl/>
        </w:rPr>
        <w:t xml:space="preserve"> </w:t>
      </w:r>
      <w:proofErr w:type="spellStart"/>
      <w:r w:rsidRPr="00A52585">
        <w:rPr>
          <w:rtl/>
        </w:rPr>
        <w:t>والقصيمى</w:t>
      </w:r>
      <w:proofErr w:type="spellEnd"/>
      <w:r w:rsidRPr="00A52585">
        <w:rPr>
          <w:rtl/>
        </w:rPr>
        <w:t xml:space="preserve"> نفسه يعترف بذلك كما يعلم من قوله </w:t>
      </w:r>
      <w:r w:rsidR="0002035C" w:rsidRPr="00A52585">
        <w:rPr>
          <w:rtl/>
        </w:rPr>
        <w:t>(</w:t>
      </w:r>
      <w:r w:rsidRPr="00A52585">
        <w:rPr>
          <w:rtl/>
        </w:rPr>
        <w:t>ص27</w:t>
      </w:r>
      <w:r w:rsidR="0002035C" w:rsidRPr="00A52585">
        <w:rPr>
          <w:rtl/>
        </w:rPr>
        <w:t>)</w:t>
      </w:r>
      <w:r w:rsidRPr="00A52585">
        <w:rPr>
          <w:rtl/>
        </w:rPr>
        <w:t xml:space="preserve"> بالعدد 26</w:t>
      </w:r>
      <w:r w:rsidR="0002035C" w:rsidRPr="00A52585">
        <w:rPr>
          <w:rtl/>
        </w:rPr>
        <w:t>:</w:t>
      </w:r>
      <w:r w:rsidRPr="00A52585">
        <w:rPr>
          <w:rtl/>
        </w:rPr>
        <w:t xml:space="preserve"> " كيف لا تستطيعون أن تفهموا أيضاً ان يكون تعالى مستوياً على عرشه</w:t>
      </w:r>
      <w:r w:rsidR="00DB731D" w:rsidRPr="00A52585">
        <w:rPr>
          <w:rtl/>
        </w:rPr>
        <w:t>،</w:t>
      </w:r>
      <w:r w:rsidRPr="00A52585">
        <w:rPr>
          <w:rtl/>
        </w:rPr>
        <w:t xml:space="preserve"> عاليا على خلقه</w:t>
      </w:r>
      <w:r w:rsidR="00DB731D" w:rsidRPr="00A52585">
        <w:rPr>
          <w:rtl/>
        </w:rPr>
        <w:t>،</w:t>
      </w:r>
      <w:r w:rsidRPr="00A52585">
        <w:rPr>
          <w:rtl/>
        </w:rPr>
        <w:t xml:space="preserve"> ثم لا يلزم ذلك تشبيه</w:t>
      </w:r>
      <w:r w:rsidR="00DB731D" w:rsidRPr="00A52585">
        <w:rPr>
          <w:rtl/>
        </w:rPr>
        <w:t>،</w:t>
      </w:r>
      <w:r w:rsidRPr="00A52585">
        <w:rPr>
          <w:rtl/>
        </w:rPr>
        <w:t xml:space="preserve"> ولا تجسيم</w:t>
      </w:r>
      <w:r w:rsidR="00DB731D" w:rsidRPr="00A52585">
        <w:rPr>
          <w:rtl/>
        </w:rPr>
        <w:t>،</w:t>
      </w:r>
      <w:r w:rsidRPr="00A52585">
        <w:rPr>
          <w:rtl/>
        </w:rPr>
        <w:t xml:space="preserve"> ولا أن يكون في جهة من الجهات</w:t>
      </w:r>
      <w:r w:rsidR="00F95886" w:rsidRPr="00A52585">
        <w:rPr>
          <w:rtl/>
        </w:rPr>
        <w:t>؟</w:t>
      </w:r>
      <w:r w:rsidRPr="00A52585">
        <w:rPr>
          <w:rtl/>
        </w:rPr>
        <w:t xml:space="preserve"> " وكما يقول </w:t>
      </w:r>
      <w:proofErr w:type="spellStart"/>
      <w:r w:rsidRPr="00A52585">
        <w:rPr>
          <w:rtl/>
        </w:rPr>
        <w:t>المسلاوى</w:t>
      </w:r>
      <w:proofErr w:type="spellEnd"/>
      <w:r w:rsidRPr="00A52585">
        <w:rPr>
          <w:rtl/>
        </w:rPr>
        <w:t xml:space="preserve"> في صفحة (31) بالعدد (11) ما نصه</w:t>
      </w:r>
      <w:r w:rsidR="0002035C" w:rsidRPr="00A52585">
        <w:rPr>
          <w:rtl/>
        </w:rPr>
        <w:t>:</w:t>
      </w:r>
      <w:r w:rsidRPr="00A52585">
        <w:rPr>
          <w:rtl/>
        </w:rPr>
        <w:t xml:space="preserve"> </w:t>
      </w:r>
      <w:r w:rsidR="0002035C" w:rsidRPr="00A52585">
        <w:rPr>
          <w:rtl/>
        </w:rPr>
        <w:t>(</w:t>
      </w:r>
      <w:r w:rsidRPr="00A52585">
        <w:rPr>
          <w:rtl/>
        </w:rPr>
        <w:t>وتعالى ربنا عن التحديد والتشبيه</w:t>
      </w:r>
      <w:r w:rsidR="0002035C" w:rsidRPr="00A52585">
        <w:rPr>
          <w:rtl/>
        </w:rPr>
        <w:t>)</w:t>
      </w:r>
      <w:r w:rsidR="00897A24" w:rsidRPr="00A52585">
        <w:rPr>
          <w:rtl/>
        </w:rPr>
        <w:t>.</w:t>
      </w:r>
      <w:r w:rsidRPr="00A52585">
        <w:rPr>
          <w:rtl/>
        </w:rPr>
        <w:br/>
        <w:t xml:space="preserve">فالآن حصحص الحق ونطق </w:t>
      </w:r>
      <w:proofErr w:type="spellStart"/>
      <w:r w:rsidRPr="00A52585">
        <w:rPr>
          <w:rtl/>
        </w:rPr>
        <w:t>القصيمى</w:t>
      </w:r>
      <w:proofErr w:type="spellEnd"/>
      <w:r w:rsidRPr="00A52585">
        <w:rPr>
          <w:rtl/>
        </w:rPr>
        <w:t xml:space="preserve"> بتنزيه الله تعالى عن الجهة والمكان من حيث لا يقصد</w:t>
      </w:r>
      <w:r w:rsidR="00DB731D" w:rsidRPr="00A52585">
        <w:rPr>
          <w:rtl/>
        </w:rPr>
        <w:t>،</w:t>
      </w:r>
      <w:r w:rsidRPr="00A52585">
        <w:rPr>
          <w:rFonts w:hint="cs"/>
          <w:rtl/>
        </w:rPr>
        <w:t xml:space="preserve"> </w:t>
      </w:r>
      <w:r w:rsidRPr="00A52585">
        <w:rPr>
          <w:rtl/>
        </w:rPr>
        <w:t xml:space="preserve">إذن فلماذا يقول إن الله تعالى متصف بالاستواء </w:t>
      </w:r>
      <w:proofErr w:type="spellStart"/>
      <w:r w:rsidRPr="00A52585">
        <w:rPr>
          <w:rtl/>
        </w:rPr>
        <w:t>المكانى</w:t>
      </w:r>
      <w:proofErr w:type="spellEnd"/>
      <w:r w:rsidRPr="00A52585">
        <w:rPr>
          <w:rtl/>
        </w:rPr>
        <w:t xml:space="preserve"> على العرش</w:t>
      </w:r>
      <w:r w:rsidR="00DB731D" w:rsidRPr="00A52585">
        <w:rPr>
          <w:rtl/>
        </w:rPr>
        <w:t>،</w:t>
      </w:r>
      <w:r w:rsidRPr="00A52585">
        <w:rPr>
          <w:rtl/>
        </w:rPr>
        <w:t xml:space="preserve"> </w:t>
      </w:r>
      <w:proofErr w:type="spellStart"/>
      <w:r w:rsidRPr="00A52585">
        <w:rPr>
          <w:rtl/>
        </w:rPr>
        <w:t>وبالعلوالمكانى</w:t>
      </w:r>
      <w:proofErr w:type="spellEnd"/>
      <w:r w:rsidRPr="00A52585">
        <w:rPr>
          <w:rtl/>
        </w:rPr>
        <w:t xml:space="preserve"> مع أن هذا يناقض التنزيه عن التحديد وعن الجهات والأمكنة</w:t>
      </w:r>
      <w:r w:rsidR="00DB731D" w:rsidRPr="00A52585">
        <w:rPr>
          <w:rtl/>
        </w:rPr>
        <w:t>،</w:t>
      </w:r>
      <w:r w:rsidRPr="00A52585">
        <w:rPr>
          <w:rtl/>
        </w:rPr>
        <w:t xml:space="preserve"> ويظهر ان وضوح الأدلة القرآنية</w:t>
      </w:r>
      <w:r w:rsidR="00DB731D" w:rsidRPr="00A52585">
        <w:rPr>
          <w:rtl/>
        </w:rPr>
        <w:t>،</w:t>
      </w:r>
      <w:r w:rsidRPr="00A52585">
        <w:rPr>
          <w:rtl/>
        </w:rPr>
        <w:t xml:space="preserve"> والعقلية</w:t>
      </w:r>
      <w:r w:rsidR="00DB731D" w:rsidRPr="00A52585">
        <w:rPr>
          <w:rtl/>
        </w:rPr>
        <w:t>،</w:t>
      </w:r>
      <w:r w:rsidRPr="00A52585">
        <w:rPr>
          <w:rtl/>
        </w:rPr>
        <w:t xml:space="preserve"> وكثرتها ألزمه </w:t>
      </w:r>
      <w:r w:rsidRPr="00A52585">
        <w:rPr>
          <w:rtl/>
        </w:rPr>
        <w:lastRenderedPageBreak/>
        <w:t>الاعتراف بالحق رغم أنفه من حيث لا يشعر</w:t>
      </w:r>
      <w:r w:rsidR="00DB731D" w:rsidRPr="00A52585">
        <w:rPr>
          <w:rtl/>
        </w:rPr>
        <w:t>،</w:t>
      </w:r>
      <w:r w:rsidRPr="00A52585">
        <w:rPr>
          <w:rtl/>
        </w:rPr>
        <w:t xml:space="preserve"> وماذا عليه إذن أن يقول معنا</w:t>
      </w:r>
      <w:r w:rsidR="0002035C" w:rsidRPr="00A52585">
        <w:rPr>
          <w:rtl/>
        </w:rPr>
        <w:t>:</w:t>
      </w:r>
      <w:r w:rsidRPr="00A52585">
        <w:rPr>
          <w:rtl/>
        </w:rPr>
        <w:t xml:space="preserve"> إن الاستواء </w:t>
      </w:r>
      <w:proofErr w:type="spellStart"/>
      <w:r w:rsidRPr="00A52585">
        <w:rPr>
          <w:rtl/>
        </w:rPr>
        <w:t>معنوى</w:t>
      </w:r>
      <w:proofErr w:type="spellEnd"/>
      <w:r w:rsidRPr="00A52585">
        <w:rPr>
          <w:rtl/>
        </w:rPr>
        <w:t xml:space="preserve"> لا علاقة له بالجهات</w:t>
      </w:r>
      <w:r w:rsidR="00DB731D" w:rsidRPr="00A52585">
        <w:rPr>
          <w:rtl/>
        </w:rPr>
        <w:t>،</w:t>
      </w:r>
      <w:r w:rsidRPr="00A52585">
        <w:rPr>
          <w:rtl/>
        </w:rPr>
        <w:t xml:space="preserve"> </w:t>
      </w:r>
      <w:proofErr w:type="spellStart"/>
      <w:r w:rsidRPr="00A52585">
        <w:rPr>
          <w:rtl/>
        </w:rPr>
        <w:t>والعلومعنوى</w:t>
      </w:r>
      <w:proofErr w:type="spellEnd"/>
      <w:r w:rsidR="00DB731D" w:rsidRPr="00A52585">
        <w:rPr>
          <w:rtl/>
        </w:rPr>
        <w:t>،</w:t>
      </w:r>
      <w:r w:rsidRPr="00A52585">
        <w:rPr>
          <w:rtl/>
        </w:rPr>
        <w:t xml:space="preserve"> لا علاقة له بالجهات</w:t>
      </w:r>
      <w:r w:rsidR="00DB731D" w:rsidRPr="00A52585">
        <w:rPr>
          <w:rtl/>
        </w:rPr>
        <w:t>،</w:t>
      </w:r>
      <w:r w:rsidRPr="00A52585">
        <w:rPr>
          <w:rtl/>
        </w:rPr>
        <w:t xml:space="preserve"> </w:t>
      </w:r>
      <w:proofErr w:type="spellStart"/>
      <w:r w:rsidRPr="00A52585">
        <w:rPr>
          <w:rtl/>
        </w:rPr>
        <w:t>ولوقال</w:t>
      </w:r>
      <w:proofErr w:type="spellEnd"/>
      <w:r w:rsidRPr="00A52585">
        <w:rPr>
          <w:rtl/>
        </w:rPr>
        <w:t xml:space="preserve"> هذا لانفض النزاع</w:t>
      </w:r>
      <w:r w:rsidR="00DB731D" w:rsidRPr="00A52585">
        <w:rPr>
          <w:rtl/>
        </w:rPr>
        <w:t>،</w:t>
      </w:r>
      <w:r w:rsidRPr="00A52585">
        <w:rPr>
          <w:rtl/>
        </w:rPr>
        <w:t xml:space="preserve"> </w:t>
      </w:r>
      <w:proofErr w:type="spellStart"/>
      <w:r w:rsidRPr="00A52585">
        <w:rPr>
          <w:rtl/>
        </w:rPr>
        <w:t>ولاجتمعت</w:t>
      </w:r>
      <w:proofErr w:type="spellEnd"/>
      <w:r w:rsidRPr="00A52585">
        <w:rPr>
          <w:rtl/>
        </w:rPr>
        <w:t xml:space="preserve"> قلوبنا على الحق</w:t>
      </w:r>
      <w:r w:rsidR="00DB731D" w:rsidRPr="00A52585">
        <w:rPr>
          <w:rtl/>
        </w:rPr>
        <w:t>،</w:t>
      </w:r>
      <w:r w:rsidRPr="00A52585">
        <w:rPr>
          <w:rFonts w:hint="cs"/>
          <w:rtl/>
        </w:rPr>
        <w:t xml:space="preserve"> </w:t>
      </w:r>
      <w:r w:rsidRPr="00A52585">
        <w:rPr>
          <w:rtl/>
        </w:rPr>
        <w:t xml:space="preserve">إن مما يؤكد استحالة اتصافه تعالى بالاستواء </w:t>
      </w:r>
      <w:proofErr w:type="spellStart"/>
      <w:r w:rsidRPr="00A52585">
        <w:rPr>
          <w:rtl/>
        </w:rPr>
        <w:t>المكانى</w:t>
      </w:r>
      <w:proofErr w:type="spellEnd"/>
      <w:r w:rsidRPr="00A52585">
        <w:rPr>
          <w:rtl/>
        </w:rPr>
        <w:t xml:space="preserve"> على العرش</w:t>
      </w:r>
      <w:r w:rsidR="00DB731D" w:rsidRPr="00A52585">
        <w:rPr>
          <w:rtl/>
        </w:rPr>
        <w:t>،</w:t>
      </w:r>
      <w:r w:rsidRPr="00A52585">
        <w:rPr>
          <w:rtl/>
        </w:rPr>
        <w:t xml:space="preserve"> </w:t>
      </w:r>
      <w:proofErr w:type="spellStart"/>
      <w:r w:rsidRPr="00A52585">
        <w:rPr>
          <w:rtl/>
        </w:rPr>
        <w:t>وبالعلوالمكانى</w:t>
      </w:r>
      <w:proofErr w:type="spellEnd"/>
      <w:r w:rsidR="00DB731D" w:rsidRPr="00A52585">
        <w:rPr>
          <w:rtl/>
        </w:rPr>
        <w:t>،</w:t>
      </w:r>
      <w:r w:rsidRPr="00A52585">
        <w:rPr>
          <w:rtl/>
        </w:rPr>
        <w:t xml:space="preserve"> والوجود </w:t>
      </w:r>
      <w:proofErr w:type="spellStart"/>
      <w:r w:rsidRPr="00A52585">
        <w:rPr>
          <w:rtl/>
        </w:rPr>
        <w:t>الظرفى</w:t>
      </w:r>
      <w:proofErr w:type="spellEnd"/>
      <w:r w:rsidRPr="00A52585">
        <w:rPr>
          <w:rtl/>
        </w:rPr>
        <w:t xml:space="preserve"> في السماء الآيات الآتية</w:t>
      </w:r>
      <w:r w:rsidR="0002035C" w:rsidRPr="00A52585">
        <w:rPr>
          <w:rtl/>
        </w:rPr>
        <w:t>:</w:t>
      </w:r>
      <w:r w:rsidR="0002035C" w:rsidRPr="00A52585">
        <w:rPr>
          <w:rFonts w:hint="cs"/>
          <w:rtl/>
        </w:rPr>
        <w:t xml:space="preserve"> </w:t>
      </w:r>
      <w:r w:rsidRPr="00A52585">
        <w:rPr>
          <w:rtl/>
        </w:rPr>
        <w:t>قوله</w:t>
      </w:r>
      <w:r w:rsidR="0002035C" w:rsidRPr="00A52585">
        <w:rPr>
          <w:rtl/>
        </w:rPr>
        <w:t>:</w:t>
      </w:r>
      <w:r w:rsidRPr="00A52585">
        <w:rPr>
          <w:rtl/>
        </w:rPr>
        <w:t xml:space="preserve"> ? وهو الله في </w:t>
      </w:r>
      <w:proofErr w:type="gramStart"/>
      <w:r w:rsidRPr="00A52585">
        <w:rPr>
          <w:rtl/>
        </w:rPr>
        <w:t>السموات</w:t>
      </w:r>
      <w:proofErr w:type="gramEnd"/>
      <w:r w:rsidRPr="00A52585">
        <w:rPr>
          <w:rtl/>
        </w:rPr>
        <w:t xml:space="preserve"> وفى الأرض يعلم سركم وجهركم ويعلم ما تكسبون ? سورة الأنعام</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ونحن أقرب إليه من حبل الوريد? سورة "ق"</w:t>
      </w:r>
      <w:r w:rsidR="00DB731D" w:rsidRPr="00A52585">
        <w:rPr>
          <w:rFonts w:hint="cs"/>
          <w:rtl/>
        </w:rPr>
        <w:t>،</w:t>
      </w:r>
      <w:r w:rsidRPr="00A52585">
        <w:rPr>
          <w:rFonts w:hint="cs"/>
          <w:rtl/>
        </w:rPr>
        <w:t xml:space="preserve"> </w:t>
      </w:r>
      <w:r w:rsidRPr="00A52585">
        <w:rPr>
          <w:rtl/>
        </w:rPr>
        <w:t>وقوله</w:t>
      </w:r>
      <w:r w:rsidR="0002035C" w:rsidRPr="00A52585">
        <w:rPr>
          <w:rtl/>
        </w:rPr>
        <w:t>:</w:t>
      </w:r>
      <w:r w:rsidRPr="00A52585">
        <w:rPr>
          <w:rtl/>
        </w:rPr>
        <w:t xml:space="preserve"> ? ونحن أقرب إليه منكم ولكن لا تبصرون? سورة الواقعة</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ءأمنتم من في السماء أن يخسف بكم الأرض? سورة الملك</w:t>
      </w:r>
      <w:r w:rsidR="00DB731D" w:rsidRPr="00A52585">
        <w:rPr>
          <w:rtl/>
        </w:rPr>
        <w:t>،</w:t>
      </w:r>
      <w:r w:rsidRPr="00A52585">
        <w:rPr>
          <w:rFonts w:hint="cs"/>
          <w:rtl/>
        </w:rPr>
        <w:t xml:space="preserve"> </w:t>
      </w:r>
      <w:r w:rsidRPr="00A52585">
        <w:rPr>
          <w:rtl/>
        </w:rPr>
        <w:t xml:space="preserve">? إن كل من في </w:t>
      </w:r>
      <w:proofErr w:type="gramStart"/>
      <w:r w:rsidRPr="00A52585">
        <w:rPr>
          <w:rtl/>
        </w:rPr>
        <w:t>السموات</w:t>
      </w:r>
      <w:proofErr w:type="gramEnd"/>
      <w:r w:rsidRPr="00A52585">
        <w:rPr>
          <w:rtl/>
        </w:rPr>
        <w:t xml:space="preserve"> والأرض إلا ءاتى الرحمن عبدا? سورة مريم</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فأينما تولوا فثم وجه الله ? سورة البقرة</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ليس كمثله </w:t>
      </w:r>
      <w:proofErr w:type="spellStart"/>
      <w:r w:rsidRPr="00A52585">
        <w:rPr>
          <w:rtl/>
        </w:rPr>
        <w:t>شئ</w:t>
      </w:r>
      <w:proofErr w:type="spellEnd"/>
      <w:r w:rsidRPr="00A52585">
        <w:rPr>
          <w:rtl/>
        </w:rPr>
        <w:t xml:space="preserve"> وهو السميع البصير? سورة الشورى</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هو </w:t>
      </w:r>
      <w:proofErr w:type="gramStart"/>
      <w:r w:rsidRPr="00A52585">
        <w:rPr>
          <w:rtl/>
        </w:rPr>
        <w:t>الذى</w:t>
      </w:r>
      <w:proofErr w:type="gramEnd"/>
      <w:r w:rsidRPr="00A52585">
        <w:rPr>
          <w:rtl/>
        </w:rPr>
        <w:t xml:space="preserve">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 ? سورة الحديد</w:t>
      </w:r>
      <w:r w:rsidR="00DB731D" w:rsidRPr="00A52585">
        <w:rPr>
          <w:rtl/>
        </w:rPr>
        <w:t>،</w:t>
      </w:r>
      <w:r w:rsidRPr="00A52585">
        <w:rPr>
          <w:rFonts w:hint="cs"/>
          <w:rtl/>
        </w:rPr>
        <w:t xml:space="preserve"> </w:t>
      </w:r>
      <w:r w:rsidRPr="00A52585">
        <w:rPr>
          <w:rtl/>
        </w:rPr>
        <w:t>وقوله</w:t>
      </w:r>
      <w:r w:rsidR="0002035C" w:rsidRPr="00A52585">
        <w:rPr>
          <w:rtl/>
        </w:rPr>
        <w:t>:</w:t>
      </w:r>
      <w:r w:rsidRPr="00A52585">
        <w:rPr>
          <w:rtl/>
        </w:rPr>
        <w:t xml:space="preserve"> ? ما يكون من نجوى ثلاثة إلا هو رابعهم ولا خمسة إلا هو سادسهم ولا أدنى من ذلك ولا أكثر إلا هو معهم أين ما كانوا ?</w:t>
      </w:r>
      <w:r w:rsidRPr="00A52585">
        <w:rPr>
          <w:rFonts w:hint="cs"/>
          <w:rtl/>
        </w:rPr>
        <w:t xml:space="preserve"> </w:t>
      </w:r>
      <w:r w:rsidRPr="00A52585">
        <w:rPr>
          <w:rtl/>
        </w:rPr>
        <w:t xml:space="preserve">فلما وجد </w:t>
      </w:r>
      <w:proofErr w:type="spellStart"/>
      <w:r w:rsidRPr="00A52585">
        <w:rPr>
          <w:rtl/>
        </w:rPr>
        <w:t>القصيمى</w:t>
      </w:r>
      <w:proofErr w:type="spellEnd"/>
      <w:r w:rsidRPr="00A52585">
        <w:rPr>
          <w:rtl/>
        </w:rPr>
        <w:t xml:space="preserve"> وشرذمته أن الاستواء </w:t>
      </w:r>
      <w:proofErr w:type="spellStart"/>
      <w:r w:rsidRPr="00A52585">
        <w:rPr>
          <w:rtl/>
        </w:rPr>
        <w:t>المكانى</w:t>
      </w:r>
      <w:proofErr w:type="spellEnd"/>
      <w:r w:rsidRPr="00A52585">
        <w:rPr>
          <w:rtl/>
        </w:rPr>
        <w:t xml:space="preserve"> على العرش يتصادم مع هذه الآيات العظام</w:t>
      </w:r>
      <w:r w:rsidR="00DB731D" w:rsidRPr="00A52585">
        <w:rPr>
          <w:rtl/>
        </w:rPr>
        <w:t>،</w:t>
      </w:r>
      <w:r w:rsidRPr="00A52585">
        <w:rPr>
          <w:rtl/>
        </w:rPr>
        <w:t xml:space="preserve"> وأنه لابد من تلاشيه أمامها</w:t>
      </w:r>
      <w:r w:rsidR="00DB731D" w:rsidRPr="00A52585">
        <w:rPr>
          <w:rtl/>
        </w:rPr>
        <w:t>،</w:t>
      </w:r>
      <w:r w:rsidRPr="00A52585">
        <w:rPr>
          <w:rtl/>
        </w:rPr>
        <w:t xml:space="preserve"> إذ يستحيل أن يثبت لله تعالى وجود حسى بالمعنى الذى يفهم من ظاهر هذه الآيات في كل هذه الأمكنة في آن واحد</w:t>
      </w:r>
      <w:r w:rsidR="00DB731D" w:rsidRPr="00A52585">
        <w:rPr>
          <w:rtl/>
        </w:rPr>
        <w:t>،</w:t>
      </w:r>
      <w:r w:rsidRPr="00A52585">
        <w:rPr>
          <w:rtl/>
        </w:rPr>
        <w:t xml:space="preserve"> واضطروا </w:t>
      </w:r>
      <w:proofErr w:type="spellStart"/>
      <w:r w:rsidRPr="00A52585">
        <w:rPr>
          <w:rtl/>
        </w:rPr>
        <w:t>للروغان</w:t>
      </w:r>
      <w:proofErr w:type="spellEnd"/>
      <w:r w:rsidRPr="00A52585">
        <w:rPr>
          <w:rtl/>
        </w:rPr>
        <w:t xml:space="preserve"> وعمدوا في هذه المواضع إلى التأويل الذى يرفضونه</w:t>
      </w:r>
      <w:r w:rsidR="00DB731D" w:rsidRPr="00A52585">
        <w:rPr>
          <w:rtl/>
        </w:rPr>
        <w:t>،</w:t>
      </w:r>
      <w:r w:rsidRPr="00A52585">
        <w:rPr>
          <w:rtl/>
        </w:rPr>
        <w:t xml:space="preserve"> ويعتبرونه تعطيلاً للصفات</w:t>
      </w:r>
      <w:r w:rsidR="00DB731D" w:rsidRPr="00A52585">
        <w:rPr>
          <w:rtl/>
        </w:rPr>
        <w:t>،</w:t>
      </w:r>
      <w:r w:rsidRPr="00A52585">
        <w:rPr>
          <w:rtl/>
        </w:rPr>
        <w:t xml:space="preserve"> مع أنهم يحرمونه على أهل التنزيه</w:t>
      </w:r>
      <w:r w:rsidR="00DB731D" w:rsidRPr="00A52585">
        <w:rPr>
          <w:rtl/>
        </w:rPr>
        <w:t>،</w:t>
      </w:r>
      <w:r w:rsidRPr="00A52585">
        <w:rPr>
          <w:rtl/>
        </w:rPr>
        <w:t xml:space="preserve"> وبذلك نقضوا أصلهم في التزام عدم التأويل وخالفوا مذهب السلف في المسائل الآتية</w:t>
      </w:r>
      <w:r w:rsidR="0002035C" w:rsidRPr="00A52585">
        <w:rPr>
          <w:rtl/>
        </w:rPr>
        <w:t>:</w:t>
      </w:r>
      <w:r w:rsidR="0002035C" w:rsidRPr="00A52585">
        <w:rPr>
          <w:rFonts w:hint="cs"/>
          <w:rtl/>
        </w:rPr>
        <w:t xml:space="preserve"> </w:t>
      </w:r>
      <w:r w:rsidRPr="00A52585">
        <w:rPr>
          <w:rtl/>
        </w:rPr>
        <w:t>المسألة الأولى</w:t>
      </w:r>
      <w:r w:rsidR="0002035C" w:rsidRPr="00A52585">
        <w:rPr>
          <w:rtl/>
        </w:rPr>
        <w:t>:</w:t>
      </w:r>
      <w:r w:rsidRPr="00A52585">
        <w:rPr>
          <w:rtl/>
        </w:rPr>
        <w:t xml:space="preserve"> قد أولوا الآية (أ) بأنه تعالى موجود في السموات وفى الأرض بعلمه</w:t>
      </w:r>
      <w:r w:rsidR="00DB731D" w:rsidRPr="00A52585">
        <w:rPr>
          <w:rtl/>
        </w:rPr>
        <w:t>،</w:t>
      </w:r>
      <w:r w:rsidRPr="00A52585">
        <w:rPr>
          <w:rtl/>
        </w:rPr>
        <w:t xml:space="preserve"> كما يعلم من مقال "</w:t>
      </w:r>
      <w:proofErr w:type="spellStart"/>
      <w:r w:rsidRPr="00A52585">
        <w:rPr>
          <w:rtl/>
        </w:rPr>
        <w:t>المسلاوى</w:t>
      </w:r>
      <w:proofErr w:type="spellEnd"/>
      <w:r w:rsidRPr="00A52585">
        <w:rPr>
          <w:rtl/>
        </w:rPr>
        <w:t>" بصفحة رقم 16 في العدد الخامس من مجلتهم</w:t>
      </w:r>
      <w:r w:rsidR="00DB731D" w:rsidRPr="00A52585">
        <w:rPr>
          <w:rtl/>
        </w:rPr>
        <w:t>،</w:t>
      </w:r>
      <w:r w:rsidRPr="00A52585">
        <w:rPr>
          <w:rtl/>
        </w:rPr>
        <w:t xml:space="preserve"> ولا يخفى أنه قد عدل عن مذهب السلف الذى </w:t>
      </w:r>
      <w:proofErr w:type="spellStart"/>
      <w:r w:rsidRPr="00A52585">
        <w:rPr>
          <w:rtl/>
        </w:rPr>
        <w:t>يدعوإليه</w:t>
      </w:r>
      <w:proofErr w:type="spellEnd"/>
      <w:r w:rsidR="00DB731D" w:rsidRPr="00A52585">
        <w:rPr>
          <w:rtl/>
        </w:rPr>
        <w:t>،</w:t>
      </w:r>
      <w:r w:rsidRPr="00A52585">
        <w:rPr>
          <w:rtl/>
        </w:rPr>
        <w:t xml:space="preserve"> وهو عدم </w:t>
      </w:r>
      <w:proofErr w:type="spellStart"/>
      <w:r w:rsidRPr="00A52585">
        <w:rPr>
          <w:rtl/>
        </w:rPr>
        <w:t>التاويل</w:t>
      </w:r>
      <w:proofErr w:type="spellEnd"/>
      <w:r w:rsidR="00DB731D" w:rsidRPr="00A52585">
        <w:rPr>
          <w:rtl/>
        </w:rPr>
        <w:t>،</w:t>
      </w:r>
      <w:r w:rsidRPr="00A52585">
        <w:rPr>
          <w:rtl/>
        </w:rPr>
        <w:t xml:space="preserve"> فهو</w:t>
      </w:r>
      <w:r w:rsidRPr="00A52585">
        <w:rPr>
          <w:rFonts w:hint="cs"/>
          <w:rtl/>
        </w:rPr>
        <w:t xml:space="preserve"> </w:t>
      </w:r>
      <w:r w:rsidRPr="00A52585">
        <w:rPr>
          <w:rtl/>
        </w:rPr>
        <w:t>يناقض نفسه بنفسه</w:t>
      </w:r>
      <w:r w:rsidR="00DB731D" w:rsidRPr="00A52585">
        <w:rPr>
          <w:rtl/>
        </w:rPr>
        <w:t>،</w:t>
      </w:r>
      <w:r w:rsidRPr="00A52585">
        <w:rPr>
          <w:rFonts w:hint="cs"/>
          <w:rtl/>
        </w:rPr>
        <w:t xml:space="preserve"> </w:t>
      </w:r>
      <w:r w:rsidR="0002035C" w:rsidRPr="00A52585">
        <w:rPr>
          <w:rFonts w:hint="cs"/>
          <w:rtl/>
        </w:rPr>
        <w:t>(</w:t>
      </w:r>
      <w:r w:rsidRPr="00A52585">
        <w:rPr>
          <w:rtl/>
        </w:rPr>
        <w:t>المسألة الثانية</w:t>
      </w:r>
      <w:r w:rsidR="0002035C" w:rsidRPr="00A52585">
        <w:rPr>
          <w:rFonts w:hint="cs"/>
          <w:rtl/>
        </w:rPr>
        <w:t>)</w:t>
      </w:r>
      <w:r w:rsidR="0002035C" w:rsidRPr="00A52585">
        <w:rPr>
          <w:rtl/>
        </w:rPr>
        <w:t>:</w:t>
      </w:r>
      <w:r w:rsidRPr="00A52585">
        <w:rPr>
          <w:rtl/>
        </w:rPr>
        <w:t xml:space="preserve"> قد أولوا الآية رقم (د) بما يفهم من مقال "</w:t>
      </w:r>
      <w:proofErr w:type="spellStart"/>
      <w:r w:rsidRPr="00A52585">
        <w:rPr>
          <w:rtl/>
        </w:rPr>
        <w:t>المسلاوى</w:t>
      </w:r>
      <w:proofErr w:type="spellEnd"/>
      <w:r w:rsidRPr="00A52585">
        <w:rPr>
          <w:rtl/>
        </w:rPr>
        <w:t>" بالصفحة نفسها من العدد الخامس</w:t>
      </w:r>
      <w:r w:rsidR="00DB731D" w:rsidRPr="00A52585">
        <w:rPr>
          <w:rtl/>
        </w:rPr>
        <w:t>،</w:t>
      </w:r>
      <w:r w:rsidRPr="00A52585">
        <w:rPr>
          <w:rtl/>
        </w:rPr>
        <w:t xml:space="preserve"> إذا يقول " </w:t>
      </w:r>
      <w:r w:rsidR="0002035C" w:rsidRPr="00A52585">
        <w:rPr>
          <w:rtl/>
        </w:rPr>
        <w:t>(</w:t>
      </w:r>
      <w:r w:rsidRPr="00A52585">
        <w:rPr>
          <w:rtl/>
        </w:rPr>
        <w:t>لا يريد تعالى</w:t>
      </w:r>
      <w:r w:rsidR="00DB731D" w:rsidRPr="00A52585">
        <w:rPr>
          <w:rtl/>
        </w:rPr>
        <w:t>،</w:t>
      </w:r>
      <w:r w:rsidRPr="00A52585">
        <w:rPr>
          <w:rtl/>
        </w:rPr>
        <w:t xml:space="preserve"> وتقدس أن هذه السماء الحادثة ظرف له</w:t>
      </w:r>
      <w:r w:rsidR="00DB731D" w:rsidRPr="00A52585">
        <w:rPr>
          <w:rtl/>
        </w:rPr>
        <w:t>،</w:t>
      </w:r>
      <w:r w:rsidRPr="00A52585">
        <w:rPr>
          <w:rtl/>
        </w:rPr>
        <w:t xml:space="preserve"> وإنما معناه</w:t>
      </w:r>
      <w:r w:rsidR="00DB731D" w:rsidRPr="00A52585">
        <w:rPr>
          <w:rtl/>
        </w:rPr>
        <w:t>،</w:t>
      </w:r>
      <w:r w:rsidRPr="00A52585">
        <w:rPr>
          <w:rtl/>
        </w:rPr>
        <w:t xml:space="preserve"> أنه سبحانه فوقها على العرش بلا تحديد</w:t>
      </w:r>
      <w:r w:rsidR="00DB731D" w:rsidRPr="00A52585">
        <w:rPr>
          <w:rtl/>
        </w:rPr>
        <w:t>،</w:t>
      </w:r>
      <w:r w:rsidRPr="00A52585">
        <w:rPr>
          <w:rtl/>
        </w:rPr>
        <w:t xml:space="preserve"> ولا احتياج إلى الرعش</w:t>
      </w:r>
      <w:r w:rsidR="00DB731D" w:rsidRPr="00A52585">
        <w:rPr>
          <w:rtl/>
        </w:rPr>
        <w:t>،</w:t>
      </w:r>
      <w:r w:rsidRPr="00A52585">
        <w:rPr>
          <w:rtl/>
        </w:rPr>
        <w:t xml:space="preserve"> ولا إلى غيره</w:t>
      </w:r>
      <w:r w:rsidR="0002035C" w:rsidRPr="00A52585">
        <w:rPr>
          <w:rtl/>
        </w:rPr>
        <w:t>)</w:t>
      </w:r>
      <w:r w:rsidRPr="00A52585">
        <w:rPr>
          <w:rtl/>
        </w:rPr>
        <w:t xml:space="preserve"> وهنا جملة ملاحظات</w:t>
      </w:r>
      <w:r w:rsidR="00DB731D" w:rsidRPr="00A52585">
        <w:rPr>
          <w:rtl/>
        </w:rPr>
        <w:t>،</w:t>
      </w:r>
      <w:r w:rsidRPr="00A52585">
        <w:rPr>
          <w:rFonts w:hint="cs"/>
          <w:rtl/>
        </w:rPr>
        <w:t xml:space="preserve"> </w:t>
      </w:r>
      <w:r w:rsidRPr="00A52585">
        <w:rPr>
          <w:rtl/>
        </w:rPr>
        <w:t>أنه قد خالف مبدأ السلف أيضاً</w:t>
      </w:r>
      <w:r w:rsidR="00DB731D" w:rsidRPr="00A52585">
        <w:rPr>
          <w:rtl/>
        </w:rPr>
        <w:t>،</w:t>
      </w:r>
      <w:r w:rsidRPr="00A52585">
        <w:rPr>
          <w:rtl/>
        </w:rPr>
        <w:t xml:space="preserve"> فضلاً عن أنه غير كلمة </w:t>
      </w:r>
      <w:r w:rsidR="0002035C" w:rsidRPr="00A52585">
        <w:rPr>
          <w:rtl/>
        </w:rPr>
        <w:t>(</w:t>
      </w:r>
      <w:r w:rsidRPr="00A52585">
        <w:rPr>
          <w:rtl/>
        </w:rPr>
        <w:t>في</w:t>
      </w:r>
      <w:r w:rsidR="0002035C" w:rsidRPr="00A52585">
        <w:rPr>
          <w:rtl/>
        </w:rPr>
        <w:t>)</w:t>
      </w:r>
      <w:r w:rsidRPr="00A52585">
        <w:rPr>
          <w:rtl/>
        </w:rPr>
        <w:t xml:space="preserve"> في الآية بكلمة </w:t>
      </w:r>
      <w:r w:rsidR="0002035C" w:rsidRPr="00A52585">
        <w:rPr>
          <w:rtl/>
        </w:rPr>
        <w:t>(</w:t>
      </w:r>
      <w:r w:rsidRPr="00A52585">
        <w:rPr>
          <w:rtl/>
        </w:rPr>
        <w:t>فوقها</w:t>
      </w:r>
      <w:r w:rsidR="0002035C" w:rsidRPr="00A52585">
        <w:rPr>
          <w:rtl/>
        </w:rPr>
        <w:t>)</w:t>
      </w:r>
      <w:r w:rsidRPr="00A52585">
        <w:rPr>
          <w:rtl/>
        </w:rPr>
        <w:t xml:space="preserve"> وشتان بين معنى الظرفية المستفاد من </w:t>
      </w:r>
      <w:r w:rsidR="0002035C" w:rsidRPr="00A52585">
        <w:rPr>
          <w:rtl/>
        </w:rPr>
        <w:t>(</w:t>
      </w:r>
      <w:r w:rsidRPr="00A52585">
        <w:rPr>
          <w:rtl/>
        </w:rPr>
        <w:t>في</w:t>
      </w:r>
      <w:r w:rsidR="00F95886" w:rsidRPr="00A52585">
        <w:rPr>
          <w:rtl/>
        </w:rPr>
        <w:t>؟</w:t>
      </w:r>
      <w:r w:rsidRPr="00A52585">
        <w:rPr>
          <w:rtl/>
        </w:rPr>
        <w:t xml:space="preserve">) وبين الفوقية المستفادة من </w:t>
      </w:r>
      <w:r w:rsidR="0002035C" w:rsidRPr="00A52585">
        <w:rPr>
          <w:rtl/>
        </w:rPr>
        <w:t>(</w:t>
      </w:r>
      <w:r w:rsidRPr="00A52585">
        <w:rPr>
          <w:rtl/>
        </w:rPr>
        <w:t>فوقها</w:t>
      </w:r>
      <w:r w:rsidR="0002035C" w:rsidRPr="00A52585">
        <w:rPr>
          <w:rtl/>
        </w:rPr>
        <w:t>)</w:t>
      </w:r>
      <w:r w:rsidR="00DB731D" w:rsidRPr="00A52585">
        <w:rPr>
          <w:rtl/>
        </w:rPr>
        <w:t>،</w:t>
      </w:r>
      <w:r w:rsidRPr="00A52585">
        <w:rPr>
          <w:rFonts w:hint="cs"/>
          <w:rtl/>
        </w:rPr>
        <w:t xml:space="preserve"> </w:t>
      </w:r>
      <w:r w:rsidRPr="00A52585">
        <w:rPr>
          <w:rtl/>
        </w:rPr>
        <w:t>أنه ناقض نفسه</w:t>
      </w:r>
      <w:r w:rsidR="00DB731D" w:rsidRPr="00A52585">
        <w:rPr>
          <w:rtl/>
        </w:rPr>
        <w:t>،</w:t>
      </w:r>
      <w:r w:rsidRPr="00A52585">
        <w:rPr>
          <w:rtl/>
        </w:rPr>
        <w:t xml:space="preserve"> لأن ما على العرش غير ما هو تحت العرش</w:t>
      </w:r>
      <w:r w:rsidR="00DB731D" w:rsidRPr="00A52585">
        <w:rPr>
          <w:rtl/>
        </w:rPr>
        <w:t>،</w:t>
      </w:r>
      <w:r w:rsidRPr="00A52585">
        <w:rPr>
          <w:rtl/>
        </w:rPr>
        <w:t xml:space="preserve"> والعرش هو الفاصل بينهما</w:t>
      </w:r>
      <w:r w:rsidR="00DB731D" w:rsidRPr="00A52585">
        <w:rPr>
          <w:rtl/>
        </w:rPr>
        <w:t>،</w:t>
      </w:r>
      <w:r w:rsidRPr="00A52585">
        <w:rPr>
          <w:rtl/>
        </w:rPr>
        <w:t xml:space="preserve"> فلوكان تعالى موجوداً بذاته على العرش لكان </w:t>
      </w:r>
      <w:r w:rsidRPr="00A52585">
        <w:rPr>
          <w:rtl/>
        </w:rPr>
        <w:lastRenderedPageBreak/>
        <w:t>محدوداً بالعرش وهذا يناقض قوله</w:t>
      </w:r>
      <w:r w:rsidR="0002035C" w:rsidRPr="00A52585">
        <w:rPr>
          <w:rtl/>
        </w:rPr>
        <w:t>:</w:t>
      </w:r>
      <w:r w:rsidRPr="00A52585">
        <w:rPr>
          <w:rtl/>
        </w:rPr>
        <w:t xml:space="preserve"> </w:t>
      </w:r>
      <w:r w:rsidR="0002035C" w:rsidRPr="00A52585">
        <w:rPr>
          <w:rtl/>
        </w:rPr>
        <w:t>(</w:t>
      </w:r>
      <w:r w:rsidRPr="00A52585">
        <w:rPr>
          <w:rtl/>
        </w:rPr>
        <w:t>بلا تحديد</w:t>
      </w:r>
      <w:r w:rsidR="0002035C" w:rsidRPr="00A52585">
        <w:rPr>
          <w:rtl/>
        </w:rPr>
        <w:t>)</w:t>
      </w:r>
      <w:r w:rsidR="00DB731D" w:rsidRPr="00A52585">
        <w:rPr>
          <w:rtl/>
        </w:rPr>
        <w:t>،</w:t>
      </w:r>
      <w:r w:rsidRPr="00A52585">
        <w:rPr>
          <w:rFonts w:hint="cs"/>
          <w:rtl/>
        </w:rPr>
        <w:t xml:space="preserve"> </w:t>
      </w:r>
      <w:r w:rsidRPr="00A52585">
        <w:rPr>
          <w:rtl/>
        </w:rPr>
        <w:t xml:space="preserve">أنه يذكر كلمة </w:t>
      </w:r>
      <w:r w:rsidR="0002035C" w:rsidRPr="00A52585">
        <w:rPr>
          <w:rtl/>
        </w:rPr>
        <w:t>(</w:t>
      </w:r>
      <w:r w:rsidRPr="00A52585">
        <w:rPr>
          <w:rtl/>
        </w:rPr>
        <w:t>بلا تحديد</w:t>
      </w:r>
      <w:r w:rsidR="0002035C" w:rsidRPr="00A52585">
        <w:rPr>
          <w:rtl/>
        </w:rPr>
        <w:t>)</w:t>
      </w:r>
      <w:r w:rsidRPr="00A52585">
        <w:rPr>
          <w:rtl/>
        </w:rPr>
        <w:t xml:space="preserve"> ليوهم </w:t>
      </w:r>
      <w:proofErr w:type="spellStart"/>
      <w:r w:rsidRPr="00A52585">
        <w:rPr>
          <w:rtl/>
        </w:rPr>
        <w:t>العامى</w:t>
      </w:r>
      <w:proofErr w:type="spellEnd"/>
      <w:r w:rsidRPr="00A52585">
        <w:rPr>
          <w:rtl/>
        </w:rPr>
        <w:t xml:space="preserve"> أنه ينزه ربه جل وعلا عن التحديد</w:t>
      </w:r>
      <w:r w:rsidR="00DB731D" w:rsidRPr="00A52585">
        <w:rPr>
          <w:rtl/>
        </w:rPr>
        <w:t>،</w:t>
      </w:r>
      <w:r w:rsidRPr="00A52585">
        <w:rPr>
          <w:rtl/>
        </w:rPr>
        <w:t xml:space="preserve"> ولكنه هدم معناها بقوله</w:t>
      </w:r>
      <w:r w:rsidR="0002035C" w:rsidRPr="00A52585">
        <w:rPr>
          <w:rtl/>
        </w:rPr>
        <w:t>:</w:t>
      </w:r>
      <w:r w:rsidRPr="00A52585">
        <w:rPr>
          <w:rtl/>
        </w:rPr>
        <w:t xml:space="preserve"> </w:t>
      </w:r>
      <w:r w:rsidR="0002035C" w:rsidRPr="00A52585">
        <w:rPr>
          <w:rtl/>
        </w:rPr>
        <w:t>(</w:t>
      </w:r>
      <w:r w:rsidRPr="00A52585">
        <w:rPr>
          <w:rtl/>
        </w:rPr>
        <w:t>فوقها على العرش</w:t>
      </w:r>
      <w:r w:rsidR="0002035C" w:rsidRPr="00A52585">
        <w:rPr>
          <w:rtl/>
        </w:rPr>
        <w:t>)</w:t>
      </w:r>
      <w:r w:rsidRPr="00A52585">
        <w:rPr>
          <w:rtl/>
        </w:rPr>
        <w:t xml:space="preserve"> مع إرادة المعنى الظاهر من </w:t>
      </w:r>
      <w:proofErr w:type="spellStart"/>
      <w:r w:rsidRPr="00A52585">
        <w:rPr>
          <w:rtl/>
        </w:rPr>
        <w:t>الوفقية</w:t>
      </w:r>
      <w:proofErr w:type="spellEnd"/>
      <w:r w:rsidRPr="00A52585">
        <w:rPr>
          <w:rtl/>
        </w:rPr>
        <w:t xml:space="preserve"> فإن هذا هو عين التحديد ما داموا يريدون الظاهر ولا يؤولون</w:t>
      </w:r>
      <w:r w:rsidR="0002035C" w:rsidRPr="00A52585">
        <w:rPr>
          <w:rtl/>
        </w:rPr>
        <w:t>:</w:t>
      </w:r>
      <w:r w:rsidR="0002035C" w:rsidRPr="00A52585">
        <w:rPr>
          <w:rFonts w:hint="cs"/>
          <w:rtl/>
        </w:rPr>
        <w:t xml:space="preserve"> (</w:t>
      </w:r>
      <w:r w:rsidRPr="00A52585">
        <w:rPr>
          <w:rtl/>
        </w:rPr>
        <w:t>المسألة الثالثة</w:t>
      </w:r>
      <w:r w:rsidR="0002035C" w:rsidRPr="00A52585">
        <w:rPr>
          <w:rtl/>
        </w:rPr>
        <w:t>)</w:t>
      </w:r>
      <w:r w:rsidR="0002035C" w:rsidRPr="00A52585">
        <w:rPr>
          <w:rFonts w:hint="cs"/>
          <w:rtl/>
        </w:rPr>
        <w:t>:</w:t>
      </w:r>
      <w:r w:rsidRPr="00A52585">
        <w:rPr>
          <w:rtl/>
        </w:rPr>
        <w:t xml:space="preserve"> قد أولوا المعية دون الاستواء في الآية (ط) فجعلوا المعية بمعنى العلم</w:t>
      </w:r>
      <w:r w:rsidR="00DB731D" w:rsidRPr="00A52585">
        <w:rPr>
          <w:rtl/>
        </w:rPr>
        <w:t>،</w:t>
      </w:r>
      <w:r w:rsidRPr="00A52585">
        <w:rPr>
          <w:rtl/>
        </w:rPr>
        <w:t xml:space="preserve"> فعملوا </w:t>
      </w:r>
      <w:proofErr w:type="spellStart"/>
      <w:r w:rsidRPr="00A52585">
        <w:rPr>
          <w:rtl/>
        </w:rPr>
        <w:t>بمذهبى</w:t>
      </w:r>
      <w:proofErr w:type="spellEnd"/>
      <w:r w:rsidRPr="00A52585">
        <w:rPr>
          <w:rtl/>
        </w:rPr>
        <w:t xml:space="preserve"> السلف والخلف</w:t>
      </w:r>
      <w:r w:rsidR="00DB731D" w:rsidRPr="00A52585">
        <w:rPr>
          <w:rtl/>
        </w:rPr>
        <w:t>،</w:t>
      </w:r>
      <w:r w:rsidRPr="00A52585">
        <w:rPr>
          <w:rtl/>
        </w:rPr>
        <w:t xml:space="preserve"> </w:t>
      </w:r>
      <w:proofErr w:type="spellStart"/>
      <w:r w:rsidRPr="00A52585">
        <w:rPr>
          <w:rtl/>
        </w:rPr>
        <w:t>أى</w:t>
      </w:r>
      <w:proofErr w:type="spellEnd"/>
      <w:r w:rsidRPr="00A52585">
        <w:rPr>
          <w:rtl/>
        </w:rPr>
        <w:t xml:space="preserve"> بالتأويل وعدمه في آية واحدة</w:t>
      </w:r>
      <w:r w:rsidR="00DB731D" w:rsidRPr="00A52585">
        <w:rPr>
          <w:rtl/>
        </w:rPr>
        <w:t>،</w:t>
      </w:r>
      <w:r w:rsidRPr="00A52585">
        <w:rPr>
          <w:rtl/>
        </w:rPr>
        <w:t xml:space="preserve"> وهذا خلط وتخبط</w:t>
      </w:r>
      <w:r w:rsidR="00DB731D" w:rsidRPr="00A52585">
        <w:rPr>
          <w:rtl/>
        </w:rPr>
        <w:t>،</w:t>
      </w:r>
      <w:r w:rsidRPr="00A52585">
        <w:rPr>
          <w:rtl/>
        </w:rPr>
        <w:t xml:space="preserve"> وما حملهم على هذا إلا الهرب من تصادم الاستواء </w:t>
      </w:r>
      <w:proofErr w:type="spellStart"/>
      <w:r w:rsidRPr="00A52585">
        <w:rPr>
          <w:rtl/>
        </w:rPr>
        <w:t>المكانى</w:t>
      </w:r>
      <w:proofErr w:type="spellEnd"/>
      <w:r w:rsidRPr="00A52585">
        <w:rPr>
          <w:rtl/>
        </w:rPr>
        <w:t xml:space="preserve"> الذى يزعمونه بظاهر المعية</w:t>
      </w:r>
      <w:r w:rsidR="00DB731D" w:rsidRPr="00A52585">
        <w:rPr>
          <w:rtl/>
        </w:rPr>
        <w:t>،</w:t>
      </w:r>
      <w:r w:rsidRPr="00A52585">
        <w:rPr>
          <w:rtl/>
        </w:rPr>
        <w:t xml:space="preserve"> يدل على ذلك قول " </w:t>
      </w:r>
      <w:proofErr w:type="spellStart"/>
      <w:r w:rsidRPr="00A52585">
        <w:rPr>
          <w:rtl/>
        </w:rPr>
        <w:t>المسلاوى</w:t>
      </w:r>
      <w:proofErr w:type="spellEnd"/>
      <w:r w:rsidRPr="00A52585">
        <w:rPr>
          <w:rtl/>
        </w:rPr>
        <w:t xml:space="preserve"> " بصفحة 31 بالعدد 11 وقوله بصفحة 16 </w:t>
      </w:r>
      <w:proofErr w:type="spellStart"/>
      <w:r w:rsidRPr="00A52585">
        <w:rPr>
          <w:rtl/>
        </w:rPr>
        <w:t>بالعددالخامس</w:t>
      </w:r>
      <w:proofErr w:type="spellEnd"/>
      <w:r w:rsidR="00DB731D" w:rsidRPr="00A52585">
        <w:rPr>
          <w:rtl/>
        </w:rPr>
        <w:t>،</w:t>
      </w:r>
      <w:r w:rsidRPr="00A52585">
        <w:rPr>
          <w:rFonts w:hint="cs"/>
          <w:rtl/>
        </w:rPr>
        <w:t xml:space="preserve"> </w:t>
      </w:r>
      <w:r w:rsidR="0002035C" w:rsidRPr="00A52585">
        <w:rPr>
          <w:rFonts w:hint="cs"/>
          <w:rtl/>
        </w:rPr>
        <w:t>(</w:t>
      </w:r>
      <w:r w:rsidRPr="00A52585">
        <w:rPr>
          <w:rtl/>
        </w:rPr>
        <w:t>المسألة الرابعة</w:t>
      </w:r>
      <w:r w:rsidR="0002035C" w:rsidRPr="00A52585">
        <w:rPr>
          <w:rtl/>
        </w:rPr>
        <w:t>)</w:t>
      </w:r>
      <w:r w:rsidR="0002035C" w:rsidRPr="00A52585">
        <w:rPr>
          <w:rFonts w:hint="cs"/>
          <w:rtl/>
        </w:rPr>
        <w:t>:</w:t>
      </w:r>
      <w:r w:rsidRPr="00A52585">
        <w:rPr>
          <w:rtl/>
        </w:rPr>
        <w:t xml:space="preserve"> قد أولوا المعية في الآية </w:t>
      </w:r>
      <w:r w:rsidR="0002035C" w:rsidRPr="00A52585">
        <w:rPr>
          <w:rtl/>
        </w:rPr>
        <w:t>(</w:t>
      </w:r>
      <w:r w:rsidRPr="00A52585">
        <w:rPr>
          <w:rtl/>
        </w:rPr>
        <w:t>ى</w:t>
      </w:r>
      <w:r w:rsidR="0002035C" w:rsidRPr="00A52585">
        <w:rPr>
          <w:rtl/>
        </w:rPr>
        <w:t>)</w:t>
      </w:r>
      <w:r w:rsidRPr="00A52585">
        <w:rPr>
          <w:rtl/>
        </w:rPr>
        <w:t xml:space="preserve"> بالعلم أيضاً</w:t>
      </w:r>
      <w:r w:rsidR="00DB731D" w:rsidRPr="00A52585">
        <w:rPr>
          <w:rtl/>
        </w:rPr>
        <w:t>،</w:t>
      </w:r>
      <w:r w:rsidRPr="00A52585">
        <w:rPr>
          <w:rtl/>
        </w:rPr>
        <w:t xml:space="preserve"> يدل على ذلك قول " </w:t>
      </w:r>
      <w:proofErr w:type="spellStart"/>
      <w:r w:rsidRPr="00A52585">
        <w:rPr>
          <w:rtl/>
        </w:rPr>
        <w:t>المسلاوى</w:t>
      </w:r>
      <w:proofErr w:type="spellEnd"/>
      <w:r w:rsidRPr="00A52585">
        <w:rPr>
          <w:rtl/>
        </w:rPr>
        <w:t xml:space="preserve"> " بصفحة 16 بالعدد </w:t>
      </w:r>
      <w:proofErr w:type="spellStart"/>
      <w:r w:rsidRPr="00A52585">
        <w:rPr>
          <w:rtl/>
        </w:rPr>
        <w:t>الخامس</w:t>
      </w:r>
      <w:r w:rsidR="00897A24" w:rsidRPr="00A52585">
        <w:rPr>
          <w:rtl/>
        </w:rPr>
        <w:t>.</w:t>
      </w:r>
      <w:r w:rsidRPr="00A52585">
        <w:rPr>
          <w:rtl/>
        </w:rPr>
        <w:t>وظنوا</w:t>
      </w:r>
      <w:proofErr w:type="spellEnd"/>
      <w:r w:rsidRPr="00A52585">
        <w:rPr>
          <w:rtl/>
        </w:rPr>
        <w:t xml:space="preserve"> أنهم تخلصوا بذلك من التناقض الحاصل بين ظواهر تلك الآيات</w:t>
      </w:r>
      <w:r w:rsidR="00DB731D" w:rsidRPr="00A52585">
        <w:rPr>
          <w:rtl/>
        </w:rPr>
        <w:t>،</w:t>
      </w:r>
      <w:r w:rsidRPr="00A52585">
        <w:rPr>
          <w:rtl/>
        </w:rPr>
        <w:t xml:space="preserve"> ولكنهم قد خاب ظنهم إذا لا يزال التناقض قائماً لاستحالة أن تكون ذاته تعالى فوق العرش وأن تكون في لوقت نفسه أقرب إلينا من حبل الوريد</w:t>
      </w:r>
      <w:r w:rsidR="00DB731D" w:rsidRPr="00A52585">
        <w:rPr>
          <w:rtl/>
        </w:rPr>
        <w:t>،</w:t>
      </w:r>
      <w:r w:rsidRPr="00A52585">
        <w:rPr>
          <w:rtl/>
        </w:rPr>
        <w:t xml:space="preserve"> وأقرب إلينا من أنفسنا</w:t>
      </w:r>
      <w:r w:rsidR="00DB731D" w:rsidRPr="00A52585">
        <w:rPr>
          <w:rtl/>
        </w:rPr>
        <w:t>،</w:t>
      </w:r>
      <w:r w:rsidRPr="00A52585">
        <w:rPr>
          <w:rtl/>
        </w:rPr>
        <w:t xml:space="preserve"> أن تكون في الوقت نفسه في كل مكان حيث نولى وجوهنا إليه في جميع الجهات</w:t>
      </w:r>
      <w:r w:rsidR="00DB731D" w:rsidRPr="00A52585">
        <w:rPr>
          <w:rtl/>
        </w:rPr>
        <w:t>،</w:t>
      </w:r>
      <w:r w:rsidRPr="00A52585">
        <w:rPr>
          <w:rFonts w:hint="cs"/>
          <w:rtl/>
        </w:rPr>
        <w:t xml:space="preserve"> </w:t>
      </w:r>
      <w:r w:rsidRPr="00A52585">
        <w:rPr>
          <w:rtl/>
        </w:rPr>
        <w:t xml:space="preserve">وهنا نسأل </w:t>
      </w:r>
      <w:proofErr w:type="spellStart"/>
      <w:r w:rsidRPr="00A52585">
        <w:rPr>
          <w:rtl/>
        </w:rPr>
        <w:t>القصيمى</w:t>
      </w:r>
      <w:proofErr w:type="spellEnd"/>
      <w:r w:rsidR="00DB731D" w:rsidRPr="00A52585">
        <w:rPr>
          <w:rtl/>
        </w:rPr>
        <w:t>،</w:t>
      </w:r>
      <w:r w:rsidRPr="00A52585">
        <w:rPr>
          <w:rtl/>
        </w:rPr>
        <w:t xml:space="preserve"> وشرذمته الأسئلة الآتية</w:t>
      </w:r>
      <w:r w:rsidR="0002035C" w:rsidRPr="00A52585">
        <w:rPr>
          <w:rtl/>
        </w:rPr>
        <w:t>:</w:t>
      </w:r>
      <w:r w:rsidR="0002035C" w:rsidRPr="00A52585">
        <w:rPr>
          <w:rFonts w:hint="cs"/>
          <w:rtl/>
        </w:rPr>
        <w:t xml:space="preserve"> </w:t>
      </w:r>
      <w:r w:rsidRPr="00A52585">
        <w:rPr>
          <w:rtl/>
        </w:rPr>
        <w:t>أولا: لماذا لم تؤولوا الآيات</w:t>
      </w:r>
      <w:r w:rsidR="0002035C" w:rsidRPr="00A52585">
        <w:rPr>
          <w:rtl/>
        </w:rPr>
        <w:t>:</w:t>
      </w:r>
      <w:r w:rsidRPr="00A52585">
        <w:rPr>
          <w:rtl/>
        </w:rPr>
        <w:t xml:space="preserve"> </w:t>
      </w:r>
      <w:r w:rsidR="0002035C" w:rsidRPr="00A52585">
        <w:rPr>
          <w:rtl/>
        </w:rPr>
        <w:t>(</w:t>
      </w:r>
      <w:r w:rsidRPr="00A52585">
        <w:rPr>
          <w:rtl/>
        </w:rPr>
        <w:t>ب</w:t>
      </w:r>
      <w:r w:rsidR="0002035C" w:rsidRPr="00A52585">
        <w:rPr>
          <w:rtl/>
        </w:rPr>
        <w:t>)</w:t>
      </w:r>
      <w:r w:rsidRPr="00A52585">
        <w:rPr>
          <w:rtl/>
        </w:rPr>
        <w:t xml:space="preserve"> و</w:t>
      </w:r>
      <w:r w:rsidR="0002035C" w:rsidRPr="00A52585">
        <w:rPr>
          <w:rtl/>
        </w:rPr>
        <w:t>(</w:t>
      </w:r>
      <w:r w:rsidRPr="00A52585">
        <w:rPr>
          <w:rtl/>
        </w:rPr>
        <w:t>و)</w:t>
      </w:r>
      <w:r w:rsidR="00F95886" w:rsidRPr="00A52585">
        <w:rPr>
          <w:rtl/>
        </w:rPr>
        <w:t>؟</w:t>
      </w:r>
      <w:r w:rsidRPr="00A52585">
        <w:rPr>
          <w:rtl/>
        </w:rPr>
        <w:t>وكيف يمكن الجمع بينها وبين ظاهر الاستواء على العرش</w:t>
      </w:r>
      <w:r w:rsidR="00F95886" w:rsidRPr="00A52585">
        <w:rPr>
          <w:rtl/>
        </w:rPr>
        <w:t>؟</w:t>
      </w:r>
      <w:r w:rsidRPr="00A52585">
        <w:rPr>
          <w:rFonts w:hint="cs"/>
          <w:rtl/>
        </w:rPr>
        <w:t xml:space="preserve"> </w:t>
      </w:r>
      <w:r w:rsidRPr="00A52585">
        <w:rPr>
          <w:rtl/>
        </w:rPr>
        <w:t xml:space="preserve">مع أن معانيها </w:t>
      </w:r>
      <w:proofErr w:type="spellStart"/>
      <w:proofErr w:type="gramStart"/>
      <w:r w:rsidRPr="00A52585">
        <w:rPr>
          <w:rtl/>
        </w:rPr>
        <w:t>متضاربة</w:t>
      </w:r>
      <w:r w:rsidR="00F95886" w:rsidRPr="00A52585">
        <w:rPr>
          <w:rtl/>
        </w:rPr>
        <w:t>؟</w:t>
      </w:r>
      <w:r w:rsidRPr="00A52585">
        <w:rPr>
          <w:rtl/>
        </w:rPr>
        <w:t>فإما</w:t>
      </w:r>
      <w:proofErr w:type="spellEnd"/>
      <w:proofErr w:type="gramEnd"/>
      <w:r w:rsidRPr="00A52585">
        <w:rPr>
          <w:rtl/>
        </w:rPr>
        <w:t xml:space="preserve"> ان يكون الله فوق العرش بعيداً عن أهل الأرض</w:t>
      </w:r>
      <w:r w:rsidR="00DB731D" w:rsidRPr="00A52585">
        <w:rPr>
          <w:rtl/>
        </w:rPr>
        <w:t>،</w:t>
      </w:r>
      <w:r w:rsidRPr="00A52585">
        <w:rPr>
          <w:rtl/>
        </w:rPr>
        <w:t xml:space="preserve"> وإما أن يكون قريباً من أهل الأرض وتحت العرش</w:t>
      </w:r>
      <w:r w:rsidR="00DB731D" w:rsidRPr="00A52585">
        <w:rPr>
          <w:rtl/>
        </w:rPr>
        <w:t>،</w:t>
      </w:r>
      <w:r w:rsidRPr="00A52585">
        <w:rPr>
          <w:rtl/>
        </w:rPr>
        <w:t xml:space="preserve"> وحينئذ لا مفر لكم من أحد أمرين وهما</w:t>
      </w:r>
      <w:r w:rsidR="0002035C" w:rsidRPr="00A52585">
        <w:rPr>
          <w:rtl/>
        </w:rPr>
        <w:t>:</w:t>
      </w:r>
      <w:r w:rsidRPr="00A52585">
        <w:rPr>
          <w:rFonts w:hint="cs"/>
          <w:rtl/>
        </w:rPr>
        <w:t xml:space="preserve"> </w:t>
      </w:r>
      <w:r w:rsidRPr="00A52585">
        <w:rPr>
          <w:rtl/>
        </w:rPr>
        <w:t xml:space="preserve">إما أن تؤولوا كلاً منهما بأنه </w:t>
      </w:r>
      <w:proofErr w:type="spellStart"/>
      <w:r w:rsidRPr="00A52585">
        <w:rPr>
          <w:rtl/>
        </w:rPr>
        <w:t>معنوى</w:t>
      </w:r>
      <w:proofErr w:type="spellEnd"/>
      <w:r w:rsidR="00DB731D" w:rsidRPr="00A52585">
        <w:rPr>
          <w:rtl/>
        </w:rPr>
        <w:t>،</w:t>
      </w:r>
      <w:r w:rsidRPr="00A52585">
        <w:rPr>
          <w:rtl/>
        </w:rPr>
        <w:t xml:space="preserve"> فيكون الاستواء معنوياً</w:t>
      </w:r>
      <w:r w:rsidR="00DB731D" w:rsidRPr="00A52585">
        <w:rPr>
          <w:rtl/>
        </w:rPr>
        <w:t>،</w:t>
      </w:r>
      <w:r w:rsidRPr="00A52585">
        <w:rPr>
          <w:rtl/>
        </w:rPr>
        <w:t xml:space="preserve"> والقرب معنوياً</w:t>
      </w:r>
      <w:r w:rsidR="00DB731D" w:rsidRPr="00A52585">
        <w:rPr>
          <w:rtl/>
        </w:rPr>
        <w:t>،</w:t>
      </w:r>
      <w:r w:rsidRPr="00A52585">
        <w:rPr>
          <w:rtl/>
        </w:rPr>
        <w:t xml:space="preserve"> وتكونوا قد سلمتم بصحة التنزيه الذى ندعوكم إليه وإما أن تبقوا كلا منهما على ظاهره فتخرجوا من دائرة العقل </w:t>
      </w:r>
      <w:proofErr w:type="spellStart"/>
      <w:r w:rsidRPr="00A52585">
        <w:rPr>
          <w:rtl/>
        </w:rPr>
        <w:t>والعقلاء</w:t>
      </w:r>
      <w:r w:rsidR="00DB731D" w:rsidRPr="00A52585">
        <w:rPr>
          <w:rtl/>
        </w:rPr>
        <w:t>،</w:t>
      </w:r>
      <w:r w:rsidRPr="00A52585">
        <w:rPr>
          <w:rtl/>
        </w:rPr>
        <w:t>فهل</w:t>
      </w:r>
      <w:proofErr w:type="spellEnd"/>
      <w:r w:rsidRPr="00A52585">
        <w:rPr>
          <w:rtl/>
        </w:rPr>
        <w:t xml:space="preserve"> عندكم طريق آخر غيرهما</w:t>
      </w:r>
      <w:r w:rsidR="00F95886" w:rsidRPr="00A52585">
        <w:rPr>
          <w:rtl/>
        </w:rPr>
        <w:t>؟</w:t>
      </w:r>
      <w:r w:rsidRPr="00A52585">
        <w:rPr>
          <w:rtl/>
        </w:rPr>
        <w:t xml:space="preserve"> أجيبونا إن استطعتم الجواب للحكم عليكم بأحد الحكمين</w:t>
      </w:r>
      <w:r w:rsidR="00897A24" w:rsidRPr="00A52585">
        <w:rPr>
          <w:rtl/>
        </w:rPr>
        <w:t>.</w:t>
      </w:r>
      <w:r w:rsidRPr="00A52585">
        <w:rPr>
          <w:rFonts w:hint="cs"/>
          <w:rtl/>
        </w:rPr>
        <w:t xml:space="preserve"> </w:t>
      </w:r>
      <w:r w:rsidRPr="00A52585">
        <w:rPr>
          <w:rtl/>
        </w:rPr>
        <w:t>ثانياً</w:t>
      </w:r>
      <w:r w:rsidR="0002035C" w:rsidRPr="00A52585">
        <w:rPr>
          <w:rtl/>
        </w:rPr>
        <w:t>:</w:t>
      </w:r>
      <w:r w:rsidRPr="00A52585">
        <w:rPr>
          <w:rtl/>
        </w:rPr>
        <w:t xml:space="preserve"> لماذا أولتم المعية دون الاستواء في آية الاستواء بسورة الحديد</w:t>
      </w:r>
      <w:r w:rsidR="00F95886" w:rsidRPr="00A52585">
        <w:rPr>
          <w:rtl/>
        </w:rPr>
        <w:t>؟</w:t>
      </w:r>
      <w:r w:rsidRPr="00A52585">
        <w:rPr>
          <w:rFonts w:hint="cs"/>
          <w:rtl/>
        </w:rPr>
        <w:t xml:space="preserve"> </w:t>
      </w:r>
      <w:r w:rsidRPr="00A52585">
        <w:rPr>
          <w:rtl/>
        </w:rPr>
        <w:t>فهل تكونون سلفيين</w:t>
      </w:r>
      <w:r w:rsidR="00DB731D" w:rsidRPr="00A52585">
        <w:rPr>
          <w:rtl/>
        </w:rPr>
        <w:t>،</w:t>
      </w:r>
      <w:r w:rsidRPr="00A52585">
        <w:rPr>
          <w:rtl/>
        </w:rPr>
        <w:t xml:space="preserve"> وغير سلفيين في آية واحدة</w:t>
      </w:r>
      <w:r w:rsidR="00DB731D" w:rsidRPr="00A52585">
        <w:rPr>
          <w:rtl/>
        </w:rPr>
        <w:t>،</w:t>
      </w:r>
      <w:r w:rsidRPr="00A52585">
        <w:rPr>
          <w:rtl/>
        </w:rPr>
        <w:t xml:space="preserve"> وفى لحظة واحدة</w:t>
      </w:r>
      <w:r w:rsidR="00F95886" w:rsidRPr="00A52585">
        <w:rPr>
          <w:rtl/>
        </w:rPr>
        <w:t>؟</w:t>
      </w:r>
      <w:r w:rsidRPr="00A52585">
        <w:rPr>
          <w:rFonts w:hint="cs"/>
          <w:rtl/>
        </w:rPr>
        <w:t xml:space="preserve"> </w:t>
      </w:r>
      <w:r w:rsidRPr="00A52585">
        <w:rPr>
          <w:rtl/>
        </w:rPr>
        <w:t xml:space="preserve">وهل لا تشعرون بهذا التناقض في </w:t>
      </w:r>
      <w:proofErr w:type="spellStart"/>
      <w:proofErr w:type="gramStart"/>
      <w:r w:rsidRPr="00A52585">
        <w:rPr>
          <w:rtl/>
        </w:rPr>
        <w:t>المبادئ</w:t>
      </w:r>
      <w:r w:rsidR="00F95886" w:rsidRPr="00A52585">
        <w:rPr>
          <w:rtl/>
        </w:rPr>
        <w:t>؟</w:t>
      </w:r>
      <w:r w:rsidRPr="00A52585">
        <w:rPr>
          <w:rtl/>
        </w:rPr>
        <w:t>هل</w:t>
      </w:r>
      <w:proofErr w:type="spellEnd"/>
      <w:proofErr w:type="gramEnd"/>
      <w:r w:rsidRPr="00A52585">
        <w:rPr>
          <w:rtl/>
        </w:rPr>
        <w:t xml:space="preserve"> أنتم جادون في أقوالكم</w:t>
      </w:r>
      <w:r w:rsidR="00DB731D" w:rsidRPr="00A52585">
        <w:rPr>
          <w:rtl/>
        </w:rPr>
        <w:t>،</w:t>
      </w:r>
      <w:r w:rsidRPr="00A52585">
        <w:rPr>
          <w:rtl/>
        </w:rPr>
        <w:t xml:space="preserve"> أم هازلون</w:t>
      </w:r>
      <w:r w:rsidR="00F95886" w:rsidRPr="00A52585">
        <w:rPr>
          <w:rtl/>
        </w:rPr>
        <w:t>؟</w:t>
      </w:r>
      <w:r w:rsidRPr="00A52585">
        <w:rPr>
          <w:rFonts w:hint="cs"/>
          <w:rtl/>
        </w:rPr>
        <w:t xml:space="preserve"> </w:t>
      </w:r>
      <w:r w:rsidRPr="00A52585">
        <w:rPr>
          <w:rtl/>
        </w:rPr>
        <w:t>وإن كنتم لا تشعرون بهذا التناقض</w:t>
      </w:r>
      <w:r w:rsidR="00DB731D" w:rsidRPr="00A52585">
        <w:rPr>
          <w:rtl/>
        </w:rPr>
        <w:t>،</w:t>
      </w:r>
      <w:r w:rsidRPr="00A52585">
        <w:rPr>
          <w:rtl/>
        </w:rPr>
        <w:t xml:space="preserve"> فهل الأمة جميعاً لا تشعر</w:t>
      </w:r>
      <w:r w:rsidR="00DB731D" w:rsidRPr="00A52585">
        <w:rPr>
          <w:rtl/>
        </w:rPr>
        <w:t>،</w:t>
      </w:r>
      <w:r w:rsidRPr="00A52585">
        <w:rPr>
          <w:rtl/>
        </w:rPr>
        <w:t xml:space="preserve"> ولا تدرك هذا التناقض</w:t>
      </w:r>
      <w:r w:rsidR="00DB731D" w:rsidRPr="00A52585">
        <w:rPr>
          <w:rtl/>
        </w:rPr>
        <w:t>،</w:t>
      </w:r>
      <w:r w:rsidRPr="00A52585">
        <w:rPr>
          <w:rtl/>
        </w:rPr>
        <w:t xml:space="preserve"> وتعتبر أقوالكم ذات قيمة </w:t>
      </w:r>
      <w:proofErr w:type="spellStart"/>
      <w:r w:rsidRPr="00A52585">
        <w:rPr>
          <w:rtl/>
        </w:rPr>
        <w:t>ينية</w:t>
      </w:r>
      <w:proofErr w:type="spellEnd"/>
      <w:r w:rsidRPr="00A52585">
        <w:rPr>
          <w:rtl/>
        </w:rPr>
        <w:t xml:space="preserve"> أو</w:t>
      </w:r>
      <w:r w:rsidRPr="00A52585">
        <w:rPr>
          <w:rFonts w:hint="cs"/>
          <w:rtl/>
        </w:rPr>
        <w:t xml:space="preserve"> </w:t>
      </w:r>
      <w:r w:rsidRPr="00A52585">
        <w:rPr>
          <w:rtl/>
        </w:rPr>
        <w:t xml:space="preserve">عقلية وإن خالفتم التنزيه </w:t>
      </w:r>
      <w:proofErr w:type="gramStart"/>
      <w:r w:rsidRPr="00A52585">
        <w:rPr>
          <w:rtl/>
        </w:rPr>
        <w:t>الذى</w:t>
      </w:r>
      <w:proofErr w:type="gramEnd"/>
      <w:r w:rsidRPr="00A52585">
        <w:rPr>
          <w:rtl/>
        </w:rPr>
        <w:t xml:space="preserve"> يدرس في أكبر جامعة إسلامية كالأزهر الشريف</w:t>
      </w:r>
      <w:r w:rsidR="00F95886" w:rsidRPr="00A52585">
        <w:rPr>
          <w:rtl/>
        </w:rPr>
        <w:t>؟</w:t>
      </w:r>
      <w:r w:rsidRPr="00A52585">
        <w:rPr>
          <w:rtl/>
        </w:rPr>
        <w:t xml:space="preserve"> والذى لا يحيد عنه جمهور المسلمين تبعاً </w:t>
      </w:r>
      <w:proofErr w:type="spellStart"/>
      <w:proofErr w:type="gramStart"/>
      <w:r w:rsidRPr="00A52585">
        <w:rPr>
          <w:rtl/>
        </w:rPr>
        <w:t>لشذوذكم</w:t>
      </w:r>
      <w:r w:rsidR="00897A24" w:rsidRPr="00A52585">
        <w:rPr>
          <w:rtl/>
        </w:rPr>
        <w:t>.</w:t>
      </w:r>
      <w:r w:rsidRPr="00A52585">
        <w:rPr>
          <w:rtl/>
        </w:rPr>
        <w:t>إننا</w:t>
      </w:r>
      <w:proofErr w:type="spellEnd"/>
      <w:proofErr w:type="gramEnd"/>
      <w:r w:rsidRPr="00A52585">
        <w:rPr>
          <w:rtl/>
        </w:rPr>
        <w:t xml:space="preserve"> ننصح لكم</w:t>
      </w:r>
      <w:r w:rsidR="00DB731D" w:rsidRPr="00A52585">
        <w:rPr>
          <w:rtl/>
        </w:rPr>
        <w:t>،</w:t>
      </w:r>
      <w:r w:rsidRPr="00A52585">
        <w:rPr>
          <w:rtl/>
        </w:rPr>
        <w:t xml:space="preserve"> أن تثوبوا إلى رشدكم</w:t>
      </w:r>
      <w:r w:rsidR="00DB731D" w:rsidRPr="00A52585">
        <w:rPr>
          <w:rtl/>
        </w:rPr>
        <w:t>،</w:t>
      </w:r>
      <w:r w:rsidRPr="00A52585">
        <w:rPr>
          <w:rtl/>
        </w:rPr>
        <w:t xml:space="preserve"> وتعترفوا بالحق من قريب</w:t>
      </w:r>
      <w:r w:rsidR="00DB731D" w:rsidRPr="00A52585">
        <w:rPr>
          <w:rtl/>
        </w:rPr>
        <w:t>،</w:t>
      </w:r>
      <w:r w:rsidRPr="00A52585">
        <w:rPr>
          <w:rtl/>
        </w:rPr>
        <w:t xml:space="preserve"> قبل أن يظهر للأمة الإسلامية عامة</w:t>
      </w:r>
      <w:r w:rsidR="00DB731D" w:rsidRPr="00A52585">
        <w:rPr>
          <w:rtl/>
        </w:rPr>
        <w:t>،</w:t>
      </w:r>
      <w:r w:rsidRPr="00A52585">
        <w:rPr>
          <w:rtl/>
        </w:rPr>
        <w:t xml:space="preserve"> والمصرية خاصة فساد عقيدتكم</w:t>
      </w:r>
      <w:r w:rsidR="00DB731D" w:rsidRPr="00A52585">
        <w:rPr>
          <w:rtl/>
        </w:rPr>
        <w:t>،</w:t>
      </w:r>
      <w:r w:rsidRPr="00A52585">
        <w:rPr>
          <w:rtl/>
        </w:rPr>
        <w:t xml:space="preserve"> وزهوق باطلكم فيحل بكم الخزي الدنيوي</w:t>
      </w:r>
      <w:r w:rsidR="00DB731D" w:rsidRPr="00A52585">
        <w:rPr>
          <w:rtl/>
        </w:rPr>
        <w:t>،</w:t>
      </w:r>
      <w:r w:rsidRPr="00A52585">
        <w:rPr>
          <w:rtl/>
        </w:rPr>
        <w:t xml:space="preserve"> قبل حلول الخزي الأخروي</w:t>
      </w:r>
      <w:r w:rsidR="00DB731D" w:rsidRPr="00A52585">
        <w:rPr>
          <w:rtl/>
        </w:rPr>
        <w:t>،</w:t>
      </w:r>
      <w:r w:rsidRPr="00A52585">
        <w:rPr>
          <w:rtl/>
        </w:rPr>
        <w:t xml:space="preserve"> نعوذ بالله تعالى من الخذلان والخزي وعواقبهما في الدنيا والأخرة</w:t>
      </w:r>
      <w:r w:rsidR="00DB731D" w:rsidRPr="00A52585">
        <w:rPr>
          <w:rtl/>
        </w:rPr>
        <w:t>،</w:t>
      </w:r>
      <w:r w:rsidRPr="00A52585">
        <w:rPr>
          <w:rtl/>
        </w:rPr>
        <w:t xml:space="preserve"> إنه تعالى سميع قريب مجيب</w:t>
      </w:r>
      <w:r w:rsidR="00DB731D" w:rsidRPr="00A52585">
        <w:rPr>
          <w:rtl/>
        </w:rPr>
        <w:t>،</w:t>
      </w:r>
      <w:r w:rsidRPr="00A52585">
        <w:rPr>
          <w:rtl/>
        </w:rPr>
        <w:t xml:space="preserve"> </w:t>
      </w:r>
    </w:p>
    <w:p w14:paraId="1ABC0D73" w14:textId="77777777" w:rsidR="00777DCB" w:rsidRPr="00A52585" w:rsidRDefault="00777DCB" w:rsidP="0002035C">
      <w:pPr>
        <w:spacing w:after="240"/>
        <w:jc w:val="center"/>
        <w:rPr>
          <w:b/>
        </w:rPr>
      </w:pPr>
      <w:r w:rsidRPr="00A52585">
        <w:rPr>
          <w:rFonts w:hint="cs"/>
          <w:rtl/>
        </w:rPr>
        <w:lastRenderedPageBreak/>
        <w:t>***</w:t>
      </w:r>
    </w:p>
    <w:p w14:paraId="3B5CAE66"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b/>
          <w:rtl/>
        </w:rPr>
      </w:pPr>
    </w:p>
    <w:p w14:paraId="6D9B4CAE" w14:textId="2EAC7929" w:rsidR="00777DCB" w:rsidRPr="00A52585" w:rsidRDefault="0002035C"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rtl/>
          <w:lang w:bidi="ar-KW"/>
        </w:rPr>
      </w:pPr>
      <w:r w:rsidRPr="00A52585">
        <w:rPr>
          <w:rFonts w:cs="Monotype Koufi" w:hint="cs"/>
          <w:rtl/>
          <w:lang w:bidi="ar-KW"/>
        </w:rPr>
        <w:t>(</w:t>
      </w:r>
      <w:r w:rsidR="00777DCB" w:rsidRPr="00A52585">
        <w:rPr>
          <w:rFonts w:cs="Monotype Koufi" w:hint="cs"/>
          <w:rtl/>
          <w:lang w:bidi="ar-KW"/>
        </w:rPr>
        <w:t>4</w:t>
      </w:r>
      <w:r w:rsidRPr="00A52585">
        <w:rPr>
          <w:rFonts w:cs="Monotype Koufi" w:hint="cs"/>
          <w:rtl/>
          <w:lang w:bidi="ar-KW"/>
        </w:rPr>
        <w:t xml:space="preserve">) </w:t>
      </w:r>
    </w:p>
    <w:p w14:paraId="79D98FF1" w14:textId="047D853B"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rtl/>
          <w:lang w:bidi="ar-KW"/>
        </w:rPr>
      </w:pPr>
      <w:r w:rsidRPr="00A52585">
        <w:rPr>
          <w:rFonts w:cs="Monotype Koufi" w:hint="cs"/>
          <w:rtl/>
          <w:lang w:bidi="ar-KW"/>
        </w:rPr>
        <w:t>الفرق العظيم</w:t>
      </w:r>
      <w:r w:rsidR="0002035C" w:rsidRPr="00A52585">
        <w:rPr>
          <w:rFonts w:cs="Monotype Koufi" w:hint="cs"/>
          <w:rtl/>
          <w:lang w:bidi="ar-KW"/>
        </w:rPr>
        <w:t xml:space="preserve"> </w:t>
      </w:r>
      <w:r w:rsidRPr="00A52585">
        <w:rPr>
          <w:rFonts w:cs="Monotype Koufi" w:hint="cs"/>
          <w:rtl/>
          <w:lang w:bidi="ar-KW"/>
        </w:rPr>
        <w:t xml:space="preserve">بين التنزيه والتجسيم </w:t>
      </w:r>
    </w:p>
    <w:p w14:paraId="2A73FD93" w14:textId="12683DDF"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b/>
          <w:rtl/>
          <w:lang w:bidi="ar-KW"/>
        </w:rPr>
      </w:pPr>
      <w:r w:rsidRPr="00A52585">
        <w:rPr>
          <w:rFonts w:cs="Monotype Koufi" w:hint="cs"/>
          <w:rtl/>
          <w:lang w:bidi="ar-KW"/>
        </w:rPr>
        <w:t>تأليف الشيخ الأصولي العلامة سعيد فودة</w:t>
      </w:r>
      <w:r w:rsidR="0002035C" w:rsidRPr="00A52585">
        <w:rPr>
          <w:rFonts w:cs="Monotype Koufi" w:hint="cs"/>
          <w:rtl/>
          <w:lang w:bidi="ar-KW"/>
        </w:rPr>
        <w:t xml:space="preserve"> </w:t>
      </w:r>
    </w:p>
    <w:p w14:paraId="3ED3AEF8" w14:textId="77777777" w:rsidR="00777DCB" w:rsidRPr="00A52585" w:rsidRDefault="00777DCB" w:rsidP="0002035C">
      <w:pPr>
        <w:pBdr>
          <w:top w:val="dashDotStroked" w:sz="24" w:space="1" w:color="auto"/>
          <w:left w:val="dashDotStroked" w:sz="24" w:space="4" w:color="auto"/>
          <w:bottom w:val="dashDotStroked" w:sz="24" w:space="1" w:color="auto"/>
          <w:right w:val="dashDotStroked" w:sz="24" w:space="4" w:color="auto"/>
        </w:pBdr>
        <w:spacing w:after="240"/>
        <w:jc w:val="center"/>
        <w:rPr>
          <w:b/>
          <w:rtl/>
        </w:rPr>
      </w:pPr>
    </w:p>
    <w:p w14:paraId="59EC2D45" w14:textId="3E27243D" w:rsidR="00777DCB" w:rsidRPr="00A52585" w:rsidRDefault="0002035C" w:rsidP="0002035C">
      <w:pPr>
        <w:spacing w:after="240"/>
        <w:rPr>
          <w:rtl/>
        </w:rPr>
      </w:pPr>
      <w:r w:rsidRPr="00A52585">
        <w:rPr>
          <w:rFonts w:hint="cs"/>
          <w:rtl/>
        </w:rPr>
        <w:t xml:space="preserve"> </w:t>
      </w:r>
    </w:p>
    <w:p w14:paraId="54918D5A" w14:textId="7C92C06A" w:rsidR="00777DCB" w:rsidRPr="00A52585" w:rsidRDefault="00777DCB" w:rsidP="0002035C">
      <w:pPr>
        <w:spacing w:after="240"/>
        <w:rPr>
          <w:b/>
          <w:rtl/>
        </w:rPr>
      </w:pPr>
      <w:r w:rsidRPr="00A52585">
        <w:rPr>
          <w:rFonts w:hint="cs"/>
          <w:rtl/>
        </w:rPr>
        <w:t xml:space="preserve">الحمد لله والصلاة، والسلام على سيدنا محمد وعلى </w:t>
      </w:r>
      <w:proofErr w:type="spellStart"/>
      <w:r w:rsidRPr="00A52585">
        <w:rPr>
          <w:rFonts w:hint="cs"/>
          <w:rtl/>
        </w:rPr>
        <w:t>آله</w:t>
      </w:r>
      <w:proofErr w:type="spellEnd"/>
      <w:r w:rsidRPr="00A52585">
        <w:rPr>
          <w:rFonts w:hint="cs"/>
          <w:rtl/>
        </w:rPr>
        <w:t xml:space="preserve"> وصحبه، ومَن والاه واتبعه بإحسان إلى يوم الدين</w:t>
      </w:r>
      <w:r w:rsidR="0002035C" w:rsidRPr="00A52585">
        <w:rPr>
          <w:rFonts w:hint="cs"/>
          <w:rtl/>
        </w:rPr>
        <w:t xml:space="preserve">: </w:t>
      </w:r>
      <w:r w:rsidRPr="00A52585">
        <w:rPr>
          <w:rFonts w:hint="cs"/>
          <w:rtl/>
        </w:rPr>
        <w:t>أما بعد</w:t>
      </w:r>
      <w:r w:rsidR="00DB731D" w:rsidRPr="00A52585">
        <w:rPr>
          <w:rFonts w:hint="cs"/>
          <w:rtl/>
        </w:rPr>
        <w:t>،</w:t>
      </w:r>
      <w:r w:rsidRPr="00A52585">
        <w:rPr>
          <w:rFonts w:hint="cs"/>
          <w:rtl/>
        </w:rPr>
        <w:t xml:space="preserve"> فهذه كلمات قليلة تبين بعضَ الأمور التي كثر الاختلاف فيها، كتبتها لما رأيت الناس في هذا الزمان قد اختلطت عندهم الأمور، وصار الحاذق منهم لا يعرف طريق الاهتداء وأحسَنُ ما يمكنه فعله هو التوقف في أمور لا يجوز له التوقف فيها، لأنها من أصول الدين التي لا يعذر الجاهل بها، وترى الذكي الألمعي عند عامة الناس أقصى ما يستطيع قوله هو لا أدري، وهذه الكلمة نصف العلم فعلا، ولكن في أمور وأمور</w:t>
      </w:r>
      <w:r w:rsidR="00DB731D" w:rsidRPr="00A52585">
        <w:rPr>
          <w:rFonts w:hint="cs"/>
          <w:rtl/>
        </w:rPr>
        <w:t>،</w:t>
      </w:r>
      <w:r w:rsidR="0002035C" w:rsidRPr="00A52585">
        <w:rPr>
          <w:rFonts w:hint="cs"/>
          <w:rtl/>
        </w:rPr>
        <w:t xml:space="preserve"> </w:t>
      </w:r>
      <w:r w:rsidRPr="00A52585">
        <w:rPr>
          <w:rFonts w:hint="cs"/>
          <w:rtl/>
        </w:rPr>
        <w:t xml:space="preserve">واعلم أيها المسلم التقي، أن الجهل بأصول الدين قد عمَّ وانتشر في هذا الزمان، وازداد اضطراب الناس في أمور دينهم، وما ذاك إلا لتقصير أولي الأمر من العلماء فهؤلاء </w:t>
      </w:r>
      <w:proofErr w:type="spellStart"/>
      <w:r w:rsidRPr="00A52585">
        <w:rPr>
          <w:rFonts w:hint="cs"/>
          <w:rtl/>
        </w:rPr>
        <w:t>لاهون</w:t>
      </w:r>
      <w:proofErr w:type="spellEnd"/>
      <w:r w:rsidRPr="00A52585">
        <w:rPr>
          <w:rFonts w:hint="cs"/>
          <w:rtl/>
        </w:rPr>
        <w:t xml:space="preserve"> عن الناس بأمور ظنوا أنها تفيد في نشر الدين وعودة سلطانه، وأشغلوا أنفسهم بمقالات لا تغني من جوع، وغفلوا عن وظيفتهم الأولى وهي تبليغ شئون الدين إلى الخلق، وهذا لا يتم إلا بمخالطتهم والصبر على أذاهم في سبيل المُهِمِّ، كما كان يفعل الأنبياء، وهذا ما يجب أن يفعله أئمة الدين من العلماء، فإنهم ورثة الأنبياء، والأنبياء لم يورثوا إلا علما، وعلى من ينصِّبُ نفسه لاستحقاق هذا الميراث أن يلتزم بحقه، وهو التبليغ</w:t>
      </w:r>
      <w:r w:rsidR="00DB731D" w:rsidRPr="00A52585">
        <w:rPr>
          <w:rFonts w:hint="cs"/>
          <w:rtl/>
        </w:rPr>
        <w:t>،</w:t>
      </w:r>
      <w:r w:rsidR="0002035C" w:rsidRPr="00A52585">
        <w:rPr>
          <w:rFonts w:hint="cs"/>
          <w:rtl/>
        </w:rPr>
        <w:t xml:space="preserve"> </w:t>
      </w:r>
      <w:r w:rsidRPr="00A52585">
        <w:rPr>
          <w:rFonts w:hint="cs"/>
          <w:rtl/>
        </w:rPr>
        <w:t>ولما رأى الناس موقع العلماء فارغا، ألقوا بأنفسهم بين أيدي من نَصَّبَ نفسه له وإن لم يكن من أهله. فضلوا طريقهم في الحياة الدنيا، وصاروا يجرون وراء كل صارخ، وسلموا أمور دينهم للجاهلين المتعالمين، وصار جمهور الناس أُلعوبة بأيدي اللاعبين</w:t>
      </w:r>
      <w:r w:rsidR="00DB731D" w:rsidRPr="00A52585">
        <w:rPr>
          <w:rFonts w:hint="cs"/>
          <w:rtl/>
        </w:rPr>
        <w:t>،</w:t>
      </w:r>
      <w:r w:rsidR="0002035C" w:rsidRPr="00A52585">
        <w:rPr>
          <w:rFonts w:hint="cs"/>
          <w:rtl/>
        </w:rPr>
        <w:t xml:space="preserve"> </w:t>
      </w:r>
      <w:r w:rsidRPr="00A52585">
        <w:rPr>
          <w:rFonts w:hint="cs"/>
          <w:rtl/>
        </w:rPr>
        <w:t xml:space="preserve">وبناء على هذا وغيره، فقد وجب على كل ذي علم أن يقوم بهداية الناس إلى الدين الحق في كل الأمور، في العقائد وفي </w:t>
      </w:r>
      <w:r w:rsidRPr="00A52585">
        <w:rPr>
          <w:rFonts w:hint="cs"/>
          <w:rtl/>
        </w:rPr>
        <w:lastRenderedPageBreak/>
        <w:t>الشرائع، وذلك حتى تستقيم أمور الناس على منهاج رب العالمين الذي ارتضاه لهم</w:t>
      </w:r>
      <w:r w:rsidR="00DB731D" w:rsidRPr="00A52585">
        <w:rPr>
          <w:rFonts w:hint="cs"/>
          <w:rtl/>
        </w:rPr>
        <w:t>،</w:t>
      </w:r>
      <w:r w:rsidRPr="00A52585">
        <w:rPr>
          <w:rFonts w:hint="cs"/>
          <w:rtl/>
        </w:rPr>
        <w:t xml:space="preserve"> وهذه الرسالة سميتها (الفرق العظيم بين التوحيد والتجسيم)، وقد دعاني إلى كتابتها ما رأيت عند كثير من الناس من الخلط بين الأمرين، ومن المعلوم أنه لا يستقيم</w:t>
      </w:r>
      <w:r w:rsidR="0002035C" w:rsidRPr="00A52585">
        <w:rPr>
          <w:rFonts w:hint="cs"/>
          <w:rtl/>
        </w:rPr>
        <w:t xml:space="preserve"> </w:t>
      </w:r>
      <w:r w:rsidRPr="00A52585">
        <w:rPr>
          <w:rFonts w:hint="cs"/>
          <w:rtl/>
        </w:rPr>
        <w:t>أساس الدين إلا على أساس التوحيد، فالإسلام دين التوحيد، وأيضا فقد انتشر بين عامة الناس وخاصتهم جهلهم باعتقاد أهل السنة والجماعة، فَرُمْتُ بهذه الرسالة تبيين المعتقد ورد المذهب المنتقد</w:t>
      </w:r>
      <w:r w:rsidR="00DB731D" w:rsidRPr="00A52585">
        <w:rPr>
          <w:rFonts w:hint="cs"/>
          <w:rtl/>
        </w:rPr>
        <w:t>،</w:t>
      </w:r>
      <w:r w:rsidRPr="00A52585">
        <w:rPr>
          <w:rFonts w:hint="cs"/>
          <w:rtl/>
        </w:rPr>
        <w:t xml:space="preserve"> وجريت فيها على تبيين أصول كافية لبعض الفرق الإسلامية ليسهل على الناس التمييز بين الحق والباطل</w:t>
      </w:r>
      <w:r w:rsidR="00DB731D" w:rsidRPr="00A52585">
        <w:rPr>
          <w:rFonts w:hint="cs"/>
          <w:rtl/>
        </w:rPr>
        <w:t>،</w:t>
      </w:r>
      <w:r w:rsidR="0002035C" w:rsidRPr="00A52585">
        <w:rPr>
          <w:rFonts w:hint="cs"/>
          <w:rtl/>
        </w:rPr>
        <w:t xml:space="preserve"> </w:t>
      </w:r>
    </w:p>
    <w:p w14:paraId="6EE89500" w14:textId="21EC3751" w:rsidR="00777DCB" w:rsidRPr="00A52585" w:rsidRDefault="0002035C" w:rsidP="0002035C">
      <w:pPr>
        <w:spacing w:after="240"/>
        <w:rPr>
          <w:b/>
          <w:rtl/>
        </w:rPr>
      </w:pPr>
      <w:r w:rsidRPr="00A52585">
        <w:rPr>
          <w:rFonts w:hint="cs"/>
          <w:bCs/>
          <w:rtl/>
        </w:rPr>
        <w:t>[</w:t>
      </w:r>
      <w:r w:rsidR="00777DCB" w:rsidRPr="00A52585">
        <w:rPr>
          <w:rFonts w:hint="cs"/>
          <w:bCs/>
          <w:rtl/>
        </w:rPr>
        <w:t>بيان أصل نشوء التشبيه عند أهل الإسلام</w:t>
      </w:r>
      <w:r w:rsidRPr="00A52585">
        <w:rPr>
          <w:rFonts w:hint="cs"/>
          <w:bCs/>
          <w:rtl/>
        </w:rPr>
        <w:t>]:</w:t>
      </w:r>
      <w:r w:rsidR="00777DCB" w:rsidRPr="00A52585">
        <w:rPr>
          <w:rFonts w:hint="cs"/>
          <w:bCs/>
          <w:rtl/>
        </w:rPr>
        <w:t xml:space="preserve"> </w:t>
      </w:r>
      <w:r w:rsidR="00777DCB" w:rsidRPr="00A52585">
        <w:rPr>
          <w:rFonts w:hint="cs"/>
          <w:rtl/>
        </w:rPr>
        <w:t xml:space="preserve">قال أبو محمد ابن حزم في الفِصَلِ </w:t>
      </w:r>
      <w:r w:rsidRPr="00A52585">
        <w:rPr>
          <w:rFonts w:hint="cs"/>
          <w:rtl/>
        </w:rPr>
        <w:t>[</w:t>
      </w:r>
      <w:r w:rsidR="00777DCB" w:rsidRPr="00A52585">
        <w:rPr>
          <w:rtl/>
        </w:rPr>
        <w:t>الفصل في الملل والأهواء والنحل (1/117)</w:t>
      </w:r>
      <w:r w:rsidRPr="00A52585">
        <w:rPr>
          <w:rFonts w:hint="cs"/>
          <w:rtl/>
        </w:rPr>
        <w:t>]:</w:t>
      </w:r>
      <w:r w:rsidR="00777DCB" w:rsidRPr="00A52585">
        <w:rPr>
          <w:rFonts w:hint="cs"/>
          <w:rtl/>
        </w:rPr>
        <w:t xml:space="preserve"> "في أول ورقة من توراة اليهود التي عند ربانيهم </w:t>
      </w:r>
      <w:proofErr w:type="spellStart"/>
      <w:r w:rsidR="00777DCB" w:rsidRPr="00A52585">
        <w:rPr>
          <w:rFonts w:hint="cs"/>
          <w:rtl/>
        </w:rPr>
        <w:t>وعانانيهم</w:t>
      </w:r>
      <w:proofErr w:type="spellEnd"/>
      <w:r w:rsidR="00777DCB" w:rsidRPr="00A52585">
        <w:rPr>
          <w:rFonts w:hint="cs"/>
          <w:rtl/>
        </w:rPr>
        <w:t xml:space="preserve"> </w:t>
      </w:r>
      <w:proofErr w:type="spellStart"/>
      <w:r w:rsidR="00777DCB" w:rsidRPr="00A52585">
        <w:rPr>
          <w:rFonts w:hint="cs"/>
          <w:rtl/>
        </w:rPr>
        <w:t>وعيسويه</w:t>
      </w:r>
      <w:proofErr w:type="spellEnd"/>
      <w:r w:rsidR="00777DCB" w:rsidRPr="00A52585">
        <w:rPr>
          <w:rFonts w:hint="cs"/>
          <w:rtl/>
        </w:rPr>
        <w:t xml:space="preserve"> حيث كانوا في مشارق الأرض ومغاربها لا يختلفون فيها على صفة واحدة، لو رام أن يزيد فيها لفظة أو ينقص أخرى لافتضح عند جميعهم مبلغة ذلك إلى أحبارهم الذين كانوا أيام ملك </w:t>
      </w:r>
      <w:proofErr w:type="spellStart"/>
      <w:r w:rsidR="00777DCB" w:rsidRPr="00A52585">
        <w:rPr>
          <w:rFonts w:hint="cs"/>
          <w:rtl/>
        </w:rPr>
        <w:t>الهارونية</w:t>
      </w:r>
      <w:proofErr w:type="spellEnd"/>
      <w:r w:rsidR="00777DCB" w:rsidRPr="00A52585">
        <w:rPr>
          <w:rFonts w:hint="cs"/>
          <w:rtl/>
        </w:rPr>
        <w:t xml:space="preserve"> لهم قبل الخراب الثاني بدهر يذكرون أنها مبلغة ذلك من </w:t>
      </w:r>
      <w:proofErr w:type="spellStart"/>
      <w:r w:rsidR="00777DCB" w:rsidRPr="00A52585">
        <w:rPr>
          <w:rFonts w:hint="cs"/>
          <w:rtl/>
        </w:rPr>
        <w:t>أؤلئك</w:t>
      </w:r>
      <w:proofErr w:type="spellEnd"/>
      <w:r w:rsidR="00777DCB" w:rsidRPr="00A52585">
        <w:rPr>
          <w:rFonts w:hint="cs"/>
          <w:rtl/>
        </w:rPr>
        <w:t xml:space="preserve"> إلى عذراء الوراق الهاروني ففي صدرها:" قال الله تعالى اصنع بناء آدم كصورتنا كشبهنا"، قال أبو محمد بن حزم</w:t>
      </w:r>
      <w:r w:rsidRPr="00A52585">
        <w:rPr>
          <w:rFonts w:hint="cs"/>
          <w:rtl/>
        </w:rPr>
        <w:t>:</w:t>
      </w:r>
      <w:r w:rsidR="00777DCB" w:rsidRPr="00A52585">
        <w:rPr>
          <w:rFonts w:hint="cs"/>
          <w:rtl/>
        </w:rPr>
        <w:t xml:space="preserve"> ولو لم يقل إلا كصورتنا لكان له وجه حسن ومعنى صحيح، وهو أن نضيف الصورة إلى الله تعالى إضافة الملك والخلق، كما تقول هذا عمل الله، وتقول للقرد والقبيح </w:t>
      </w:r>
      <w:proofErr w:type="spellStart"/>
      <w:r w:rsidR="00777DCB" w:rsidRPr="00A52585">
        <w:rPr>
          <w:rFonts w:hint="cs"/>
          <w:rtl/>
        </w:rPr>
        <w:t>والحسن</w:t>
      </w:r>
      <w:r w:rsidRPr="00A52585">
        <w:rPr>
          <w:rFonts w:hint="cs"/>
          <w:rtl/>
        </w:rPr>
        <w:t>:</w:t>
      </w:r>
      <w:r w:rsidR="00777DCB" w:rsidRPr="00A52585">
        <w:rPr>
          <w:rFonts w:hint="cs"/>
          <w:rtl/>
        </w:rPr>
        <w:t>هذه</w:t>
      </w:r>
      <w:proofErr w:type="spellEnd"/>
      <w:r w:rsidR="00777DCB" w:rsidRPr="00A52585">
        <w:rPr>
          <w:rFonts w:hint="cs"/>
          <w:rtl/>
        </w:rPr>
        <w:t xml:space="preserve"> صورة الله، أي تصوير الله</w:t>
      </w:r>
      <w:r w:rsidR="00DB731D" w:rsidRPr="00A52585">
        <w:rPr>
          <w:rFonts w:hint="cs"/>
          <w:rtl/>
        </w:rPr>
        <w:t>،</w:t>
      </w:r>
      <w:r w:rsidR="00777DCB" w:rsidRPr="00A52585">
        <w:rPr>
          <w:rFonts w:hint="cs"/>
          <w:rtl/>
        </w:rPr>
        <w:t xml:space="preserve"> والصفة التي انفرد بملكها وخلقها</w:t>
      </w:r>
      <w:r w:rsidR="00DB731D" w:rsidRPr="00A52585">
        <w:rPr>
          <w:rFonts w:hint="cs"/>
          <w:rtl/>
        </w:rPr>
        <w:t>،</w:t>
      </w:r>
      <w:r w:rsidR="00777DCB" w:rsidRPr="00A52585">
        <w:rPr>
          <w:rFonts w:hint="cs"/>
          <w:rtl/>
        </w:rPr>
        <w:t xml:space="preserve"> لكن قوله كشبهنا منع التأويلات وسد المخارج وقطع السبل</w:t>
      </w:r>
      <w:r w:rsidR="00DB731D" w:rsidRPr="00A52585">
        <w:rPr>
          <w:rFonts w:hint="cs"/>
          <w:rtl/>
        </w:rPr>
        <w:t>،</w:t>
      </w:r>
      <w:r w:rsidR="00777DCB" w:rsidRPr="00A52585">
        <w:rPr>
          <w:rFonts w:hint="cs"/>
          <w:rtl/>
        </w:rPr>
        <w:t xml:space="preserve"> وأوجب شبه آدم لله عز وجل ولا بد ضرورةً</w:t>
      </w:r>
      <w:r w:rsidR="00DB731D" w:rsidRPr="00A52585">
        <w:rPr>
          <w:rFonts w:hint="cs"/>
          <w:rtl/>
        </w:rPr>
        <w:t>،</w:t>
      </w:r>
      <w:r w:rsidR="00777DCB" w:rsidRPr="00A52585">
        <w:rPr>
          <w:rFonts w:hint="cs"/>
          <w:rtl/>
        </w:rPr>
        <w:t xml:space="preserve"> وهذا يُعْلَمُ بطلانه ببديهة العقل إذا الشبه والمثل واحد</w:t>
      </w:r>
      <w:r w:rsidR="00DB731D" w:rsidRPr="00A52585">
        <w:rPr>
          <w:rFonts w:hint="cs"/>
          <w:rtl/>
        </w:rPr>
        <w:t>،</w:t>
      </w:r>
      <w:r w:rsidR="00777DCB" w:rsidRPr="00A52585">
        <w:rPr>
          <w:rFonts w:hint="cs"/>
          <w:rtl/>
        </w:rPr>
        <w:t xml:space="preserve"> وحاشى لله أن يكون له مثل أو </w:t>
      </w:r>
      <w:proofErr w:type="spellStart"/>
      <w:r w:rsidR="00777DCB" w:rsidRPr="00A52585">
        <w:rPr>
          <w:rFonts w:hint="cs"/>
          <w:rtl/>
        </w:rPr>
        <w:t>شبه".اه</w:t>
      </w:r>
      <w:proofErr w:type="spellEnd"/>
      <w:r w:rsidR="00777DCB" w:rsidRPr="00A52585">
        <w:rPr>
          <w:rFonts w:hint="cs"/>
          <w:rtl/>
        </w:rPr>
        <w:t>ـ</w:t>
      </w:r>
      <w:r w:rsidR="00DB731D" w:rsidRPr="00A52585">
        <w:rPr>
          <w:rFonts w:hint="cs"/>
          <w:rtl/>
        </w:rPr>
        <w:t>،</w:t>
      </w:r>
      <w:r w:rsidR="00777DCB" w:rsidRPr="00A52585">
        <w:rPr>
          <w:rFonts w:hint="cs"/>
          <w:rtl/>
        </w:rPr>
        <w:t xml:space="preserve"> هذا كلام عظيم المعنى</w:t>
      </w:r>
      <w:r w:rsidR="00DB731D" w:rsidRPr="00A52585">
        <w:rPr>
          <w:rFonts w:hint="cs"/>
          <w:rtl/>
        </w:rPr>
        <w:t>،</w:t>
      </w:r>
      <w:r w:rsidR="00777DCB" w:rsidRPr="00A52585">
        <w:rPr>
          <w:rFonts w:hint="cs"/>
          <w:rtl/>
        </w:rPr>
        <w:t xml:space="preserve"> فهو يبين أن اليهود يقولون بأن الله تعالى مثلنا في صورته فهم مشبهة</w:t>
      </w:r>
      <w:r w:rsidR="00DB731D" w:rsidRPr="00A52585">
        <w:rPr>
          <w:rFonts w:hint="cs"/>
          <w:rtl/>
        </w:rPr>
        <w:t>،</w:t>
      </w:r>
      <w:r w:rsidR="00777DCB" w:rsidRPr="00A52585">
        <w:rPr>
          <w:rFonts w:hint="cs"/>
          <w:rtl/>
        </w:rPr>
        <w:t xml:space="preserve"> وأيضا ينص على أن هذا القول مردود عقلا ونقلا</w:t>
      </w:r>
      <w:r w:rsidR="00DB731D" w:rsidRPr="00A52585">
        <w:rPr>
          <w:rFonts w:hint="cs"/>
          <w:rtl/>
        </w:rPr>
        <w:t>،</w:t>
      </w:r>
      <w:r w:rsidR="00777DCB" w:rsidRPr="00A52585">
        <w:rPr>
          <w:rFonts w:hint="cs"/>
          <w:rtl/>
        </w:rPr>
        <w:t xml:space="preserve"> ولا يجوز لمسلم أن يقول به</w:t>
      </w:r>
      <w:r w:rsidR="00DB731D" w:rsidRPr="00A52585">
        <w:rPr>
          <w:rFonts w:hint="cs"/>
          <w:rtl/>
        </w:rPr>
        <w:t>،</w:t>
      </w:r>
      <w:r w:rsidR="00777DCB" w:rsidRPr="00A52585">
        <w:rPr>
          <w:rFonts w:hint="cs"/>
          <w:rtl/>
        </w:rPr>
        <w:t xml:space="preserve"> وقد نص علماء الفِرَقِ على أن اليهود هم أصل التشبيه</w:t>
      </w:r>
      <w:r w:rsidR="00DB731D" w:rsidRPr="00A52585">
        <w:rPr>
          <w:rFonts w:hint="cs"/>
          <w:rtl/>
        </w:rPr>
        <w:t>،</w:t>
      </w:r>
      <w:r w:rsidR="00777DCB" w:rsidRPr="00A52585">
        <w:rPr>
          <w:rFonts w:hint="cs"/>
          <w:rtl/>
        </w:rPr>
        <w:t xml:space="preserve"> وأنهم قسمان</w:t>
      </w:r>
      <w:r w:rsidR="00DB731D" w:rsidRPr="00A52585">
        <w:rPr>
          <w:rFonts w:hint="cs"/>
          <w:rtl/>
        </w:rPr>
        <w:t>،</w:t>
      </w:r>
      <w:r w:rsidR="00777DCB" w:rsidRPr="00A52585">
        <w:rPr>
          <w:rFonts w:hint="cs"/>
          <w:rtl/>
        </w:rPr>
        <w:t xml:space="preserve"> الأول مشبهة والثاني قدريون</w:t>
      </w:r>
      <w:r w:rsidR="00DB731D" w:rsidRPr="00A52585">
        <w:rPr>
          <w:rFonts w:hint="cs"/>
          <w:rtl/>
        </w:rPr>
        <w:t>،</w:t>
      </w:r>
      <w:r w:rsidR="00777DCB" w:rsidRPr="00A52585">
        <w:rPr>
          <w:rFonts w:hint="cs"/>
          <w:rtl/>
        </w:rPr>
        <w:t xml:space="preserve"> فقال الإمام العلامة أبو المظفر الإسفراييني صاحب كتاب التبصير في الدين بخصوص المشبهة منهم</w:t>
      </w:r>
      <w:r w:rsidRPr="00A52585">
        <w:rPr>
          <w:rFonts w:hint="cs"/>
          <w:rtl/>
        </w:rPr>
        <w:t xml:space="preserve">: </w:t>
      </w:r>
      <w:r w:rsidR="00777DCB" w:rsidRPr="00A52585">
        <w:rPr>
          <w:rFonts w:hint="cs"/>
          <w:rtl/>
        </w:rPr>
        <w:t>"هم الأصل في التشبيه</w:t>
      </w:r>
      <w:r w:rsidR="00DB731D" w:rsidRPr="00A52585">
        <w:rPr>
          <w:rFonts w:hint="cs"/>
          <w:rtl/>
        </w:rPr>
        <w:t>،</w:t>
      </w:r>
      <w:r w:rsidR="00777DCB" w:rsidRPr="00A52585">
        <w:rPr>
          <w:rFonts w:hint="cs"/>
          <w:rtl/>
        </w:rPr>
        <w:t xml:space="preserve"> وكل من قال قولا في دولة الإسلام بشيء من التشبيه فقد نسج على منوالهم " </w:t>
      </w:r>
      <w:r w:rsidRPr="00A52585">
        <w:rPr>
          <w:rFonts w:hint="cs"/>
          <w:rtl/>
        </w:rPr>
        <w:t>[</w:t>
      </w:r>
      <w:r w:rsidR="00777DCB" w:rsidRPr="00A52585">
        <w:rPr>
          <w:rtl/>
        </w:rPr>
        <w:t>راجع التبصير في الدين، للإمام أبي المظفر الإسفرايني،ص90، بتحقيق وتعليق العلامة محمد زاهد الكوثري، طبعة 1940م-1359هـ</w:t>
      </w:r>
      <w:r w:rsidRPr="00A52585">
        <w:rPr>
          <w:rFonts w:hint="cs"/>
          <w:rtl/>
        </w:rPr>
        <w:t>]</w:t>
      </w:r>
      <w:r w:rsidR="00777DCB" w:rsidRPr="00A52585">
        <w:rPr>
          <w:rFonts w:hint="cs"/>
          <w:rtl/>
        </w:rPr>
        <w:t xml:space="preserve"> فليعلم الذين ينتمون إلى الإسلام ويقولون بالتشبيه بأي فريق يقتدون</w:t>
      </w:r>
      <w:r w:rsidR="00DB731D" w:rsidRPr="00A52585">
        <w:rPr>
          <w:rFonts w:hint="cs"/>
          <w:rtl/>
        </w:rPr>
        <w:t>،</w:t>
      </w:r>
      <w:r w:rsidR="00777DCB" w:rsidRPr="00A52585">
        <w:rPr>
          <w:rFonts w:hint="cs"/>
          <w:rtl/>
        </w:rPr>
        <w:t xml:space="preserve"> وإلى أيِّ سلفٍ يرجعون</w:t>
      </w:r>
      <w:r w:rsidR="00DB731D" w:rsidRPr="00A52585">
        <w:rPr>
          <w:rFonts w:hint="cs"/>
          <w:rtl/>
        </w:rPr>
        <w:t>،</w:t>
      </w:r>
      <w:r w:rsidR="00777DCB" w:rsidRPr="00A52585">
        <w:rPr>
          <w:rFonts w:hint="cs"/>
          <w:rtl/>
        </w:rPr>
        <w:t xml:space="preserve"> </w:t>
      </w:r>
    </w:p>
    <w:p w14:paraId="6BA92300" w14:textId="2246497B" w:rsidR="00777DCB" w:rsidRPr="00A52585" w:rsidRDefault="0002035C" w:rsidP="0002035C">
      <w:pPr>
        <w:spacing w:after="240"/>
        <w:rPr>
          <w:b/>
          <w:rtl/>
        </w:rPr>
      </w:pPr>
      <w:r w:rsidRPr="00A52585">
        <w:rPr>
          <w:rFonts w:hint="cs"/>
          <w:bCs/>
          <w:rtl/>
        </w:rPr>
        <w:lastRenderedPageBreak/>
        <w:t>[</w:t>
      </w:r>
      <w:r w:rsidR="00777DCB" w:rsidRPr="00A52585">
        <w:rPr>
          <w:rFonts w:hint="cs"/>
          <w:bCs/>
          <w:rtl/>
        </w:rPr>
        <w:t>عوامل ابتعاد الناس عن النهج السليم</w:t>
      </w:r>
      <w:r w:rsidRPr="00A52585">
        <w:rPr>
          <w:rFonts w:hint="cs"/>
          <w:bCs/>
          <w:rtl/>
        </w:rPr>
        <w:t>]:</w:t>
      </w:r>
      <w:r w:rsidR="00777DCB" w:rsidRPr="00A52585">
        <w:rPr>
          <w:rFonts w:hint="cs"/>
          <w:bCs/>
          <w:rtl/>
        </w:rPr>
        <w:t xml:space="preserve"> </w:t>
      </w:r>
      <w:r w:rsidR="00777DCB" w:rsidRPr="00A52585">
        <w:rPr>
          <w:rFonts w:hint="cs"/>
          <w:rtl/>
        </w:rPr>
        <w:t>لما ابتعدت المسافة والزمان بين الناس وبين نهج الصحابة</w:t>
      </w:r>
      <w:r w:rsidR="00DB731D" w:rsidRPr="00A52585">
        <w:rPr>
          <w:rFonts w:hint="cs"/>
          <w:rtl/>
        </w:rPr>
        <w:t>،</w:t>
      </w:r>
      <w:r w:rsidR="00777DCB" w:rsidRPr="00A52585">
        <w:rPr>
          <w:rFonts w:hint="cs"/>
          <w:rtl/>
        </w:rPr>
        <w:t xml:space="preserve"> ولما قلَّ تأثُّرهم بنور النبوة</w:t>
      </w:r>
      <w:r w:rsidR="00DB731D" w:rsidRPr="00A52585">
        <w:rPr>
          <w:rFonts w:hint="cs"/>
          <w:rtl/>
        </w:rPr>
        <w:t>،</w:t>
      </w:r>
      <w:r w:rsidR="00777DCB" w:rsidRPr="00A52585">
        <w:rPr>
          <w:rFonts w:hint="cs"/>
          <w:rtl/>
        </w:rPr>
        <w:t xml:space="preserve"> صارت الشبه تتوارد عليهم</w:t>
      </w:r>
      <w:r w:rsidR="00DB731D" w:rsidRPr="00A52585">
        <w:rPr>
          <w:rFonts w:hint="cs"/>
          <w:rtl/>
        </w:rPr>
        <w:t>،</w:t>
      </w:r>
      <w:r w:rsidR="00777DCB" w:rsidRPr="00A52585">
        <w:rPr>
          <w:rFonts w:hint="cs"/>
          <w:rtl/>
        </w:rPr>
        <w:t xml:space="preserve"> وصار بعضهم يتصور إلهه على صورة إنسان كما يوحي إليه خياله وخيال شيطانه</w:t>
      </w:r>
      <w:r w:rsidR="00DB731D" w:rsidRPr="00A52585">
        <w:rPr>
          <w:rFonts w:hint="cs"/>
          <w:rtl/>
        </w:rPr>
        <w:t>،</w:t>
      </w:r>
      <w:r w:rsidR="00777DCB" w:rsidRPr="00A52585">
        <w:rPr>
          <w:rFonts w:hint="cs"/>
          <w:rtl/>
        </w:rPr>
        <w:t xml:space="preserve"> واختلفت الناس في هذه الأمور باختلاطهم مع أهل البلاد المفتوحة مثل المجوس في فارس والهنود وغيرهم من الأقوام</w:t>
      </w:r>
      <w:r w:rsidR="00DB731D" w:rsidRPr="00A52585">
        <w:rPr>
          <w:rFonts w:hint="cs"/>
          <w:rtl/>
        </w:rPr>
        <w:t>،</w:t>
      </w:r>
      <w:r w:rsidR="00777DCB" w:rsidRPr="00A52585">
        <w:rPr>
          <w:rFonts w:hint="cs"/>
          <w:rtl/>
        </w:rPr>
        <w:t xml:space="preserve"> وصار اليهود والنصارى وغيرهم من أصحاب الملل والنحل وأصحاب المذاهب والآراء يعملون عملهم ويؤثرون في عقول السذج من المسلمين</w:t>
      </w:r>
      <w:r w:rsidR="00DB731D" w:rsidRPr="00A52585">
        <w:rPr>
          <w:rFonts w:hint="cs"/>
          <w:rtl/>
        </w:rPr>
        <w:t>،</w:t>
      </w:r>
      <w:r w:rsidR="00777DCB" w:rsidRPr="00A52585">
        <w:rPr>
          <w:rFonts w:hint="cs"/>
          <w:rtl/>
        </w:rPr>
        <w:t xml:space="preserve"> فصار الغبَشُ يحوِّمُ على عقائد القوم</w:t>
      </w:r>
      <w:r w:rsidR="00DB731D" w:rsidRPr="00A52585">
        <w:rPr>
          <w:rFonts w:hint="cs"/>
          <w:rtl/>
        </w:rPr>
        <w:t>،</w:t>
      </w:r>
      <w:r w:rsidR="00777DCB" w:rsidRPr="00A52585">
        <w:rPr>
          <w:rFonts w:hint="cs"/>
          <w:rtl/>
        </w:rPr>
        <w:t xml:space="preserve"> فلما رأى السلف من أصحاب الحديث هذه الأحوال</w:t>
      </w:r>
      <w:r w:rsidR="00DB731D" w:rsidRPr="00A52585">
        <w:rPr>
          <w:rFonts w:hint="cs"/>
          <w:rtl/>
        </w:rPr>
        <w:t>،</w:t>
      </w:r>
      <w:r w:rsidR="00777DCB" w:rsidRPr="00A52585">
        <w:rPr>
          <w:rFonts w:hint="cs"/>
          <w:rtl/>
        </w:rPr>
        <w:t xml:space="preserve"> تحيروا في تقرير مذهب أهل السنة والجماعة في متشابهات آيات الكتاب وأخبار النبي صلى الله عليه وسلم</w:t>
      </w:r>
      <w:r w:rsidR="00DB731D" w:rsidRPr="00A52585">
        <w:rPr>
          <w:rFonts w:hint="cs"/>
          <w:rtl/>
        </w:rPr>
        <w:t>،</w:t>
      </w:r>
      <w:r w:rsidRPr="00A52585">
        <w:rPr>
          <w:rFonts w:hint="cs"/>
          <w:rtl/>
        </w:rPr>
        <w:t xml:space="preserve"> </w:t>
      </w:r>
      <w:r w:rsidR="00777DCB" w:rsidRPr="00A52585">
        <w:rPr>
          <w:rFonts w:hint="cs"/>
          <w:rtl/>
        </w:rPr>
        <w:t>فأما أحمد بن حنبل وداود بن علي الأصفهاني وجماعة من أئمة السلف فجروا على منهاج السلف المتقدمين من أصحاب الحديث مثل مالك بن أنس</w:t>
      </w:r>
      <w:r w:rsidR="00DB731D" w:rsidRPr="00A52585">
        <w:rPr>
          <w:rFonts w:hint="cs"/>
          <w:rtl/>
        </w:rPr>
        <w:t>،</w:t>
      </w:r>
      <w:r w:rsidR="00777DCB" w:rsidRPr="00A52585">
        <w:rPr>
          <w:rFonts w:hint="cs"/>
          <w:rtl/>
        </w:rPr>
        <w:t xml:space="preserve"> وسلكوا طريق السلامة فقالوا</w:t>
      </w:r>
      <w:r w:rsidRPr="00A52585">
        <w:rPr>
          <w:rFonts w:hint="cs"/>
          <w:rtl/>
        </w:rPr>
        <w:t>:</w:t>
      </w:r>
      <w:r w:rsidR="00777DCB" w:rsidRPr="00A52585">
        <w:rPr>
          <w:rFonts w:hint="cs"/>
          <w:rtl/>
        </w:rPr>
        <w:t xml:space="preserve"> نؤمن بما ورد به الكتاب والسنة ولا نتعرض للتأويل</w:t>
      </w:r>
      <w:r w:rsidR="00DB731D" w:rsidRPr="00A52585">
        <w:rPr>
          <w:rFonts w:hint="cs"/>
          <w:rtl/>
        </w:rPr>
        <w:t>،</w:t>
      </w:r>
      <w:r w:rsidR="00777DCB" w:rsidRPr="00A52585">
        <w:rPr>
          <w:rFonts w:hint="cs"/>
          <w:rtl/>
        </w:rPr>
        <w:t xml:space="preserve"> بعد أن نعلم قطعا أن الله تعالى لا يشبه شيئا من المخلوقات</w:t>
      </w:r>
      <w:r w:rsidR="00DB731D" w:rsidRPr="00A52585">
        <w:rPr>
          <w:rFonts w:hint="cs"/>
          <w:rtl/>
        </w:rPr>
        <w:t>،</w:t>
      </w:r>
      <w:r w:rsidR="00777DCB" w:rsidRPr="00A52585">
        <w:rPr>
          <w:rFonts w:hint="cs"/>
          <w:rtl/>
        </w:rPr>
        <w:t xml:space="preserve"> وأن كل ما تمثل في الوهم فإنه خالقه ومقَدِّرُه</w:t>
      </w:r>
      <w:r w:rsidR="00DB731D" w:rsidRPr="00A52585">
        <w:rPr>
          <w:rFonts w:hint="cs"/>
          <w:rtl/>
        </w:rPr>
        <w:t>،</w:t>
      </w:r>
      <w:r w:rsidRPr="00A52585">
        <w:rPr>
          <w:rFonts w:hint="cs"/>
          <w:rtl/>
        </w:rPr>
        <w:t xml:space="preserve"> </w:t>
      </w:r>
      <w:r w:rsidR="00777DCB" w:rsidRPr="00A52585">
        <w:rPr>
          <w:rFonts w:hint="cs"/>
          <w:rtl/>
        </w:rPr>
        <w:t xml:space="preserve">هذا حاصل ما ذكره </w:t>
      </w:r>
      <w:proofErr w:type="spellStart"/>
      <w:r w:rsidR="00777DCB" w:rsidRPr="00A52585">
        <w:rPr>
          <w:rFonts w:hint="cs"/>
          <w:rtl/>
        </w:rPr>
        <w:t>الشهرستاني</w:t>
      </w:r>
      <w:proofErr w:type="spellEnd"/>
      <w:r w:rsidR="00DB731D" w:rsidRPr="00A52585">
        <w:rPr>
          <w:rFonts w:hint="cs"/>
          <w:rtl/>
        </w:rPr>
        <w:t>،</w:t>
      </w:r>
      <w:r w:rsidR="00777DCB" w:rsidRPr="00A52585">
        <w:rPr>
          <w:rFonts w:hint="cs"/>
          <w:rtl/>
        </w:rPr>
        <w:t xml:space="preserve"> ثم قال</w:t>
      </w:r>
      <w:r w:rsidRPr="00A52585">
        <w:rPr>
          <w:rFonts w:hint="cs"/>
          <w:rtl/>
        </w:rPr>
        <w:t>:</w:t>
      </w:r>
      <w:r w:rsidR="00777DCB" w:rsidRPr="00A52585">
        <w:rPr>
          <w:rFonts w:hint="cs"/>
          <w:rtl/>
        </w:rPr>
        <w:t xml:space="preserve"> </w:t>
      </w:r>
      <w:r w:rsidRPr="00A52585">
        <w:rPr>
          <w:rFonts w:hint="cs"/>
          <w:rtl/>
        </w:rPr>
        <w:t>[</w:t>
      </w:r>
      <w:r w:rsidR="00777DCB" w:rsidRPr="00A52585">
        <w:rPr>
          <w:rtl/>
        </w:rPr>
        <w:t>الملل والنحل (1/118-119)</w:t>
      </w:r>
      <w:r w:rsidRPr="00A52585">
        <w:rPr>
          <w:rFonts w:hint="cs"/>
          <w:rtl/>
        </w:rPr>
        <w:t>]:</w:t>
      </w:r>
      <w:r w:rsidR="00777DCB" w:rsidRPr="00A52585">
        <w:rPr>
          <w:rFonts w:hint="cs"/>
          <w:rtl/>
        </w:rPr>
        <w:t xml:space="preserve"> "وكانوا يحترزون عن التشبيه إلى غاية أن قالوا من حرَّك يده عند قراءته "خلقت بيديَّ" أو أشار بإصبعه عند روايته "قلب المؤمن بين أصبعين من أصابع الرحمن"</w:t>
      </w:r>
      <w:r w:rsidR="00DB731D" w:rsidRPr="00A52585">
        <w:rPr>
          <w:rFonts w:hint="cs"/>
          <w:rtl/>
        </w:rPr>
        <w:t>،</w:t>
      </w:r>
      <w:r w:rsidR="00777DCB" w:rsidRPr="00A52585">
        <w:rPr>
          <w:rFonts w:hint="cs"/>
          <w:rtl/>
        </w:rPr>
        <w:t xml:space="preserve"> وجب قطع يده وقلع أصبعه</w:t>
      </w:r>
      <w:r w:rsidR="00DB731D" w:rsidRPr="00A52585">
        <w:rPr>
          <w:rFonts w:hint="cs"/>
          <w:rtl/>
        </w:rPr>
        <w:t>،</w:t>
      </w:r>
      <w:r w:rsidR="00777DCB" w:rsidRPr="00A52585">
        <w:rPr>
          <w:rFonts w:hint="cs"/>
          <w:rtl/>
        </w:rPr>
        <w:t xml:space="preserve"> وقالوا</w:t>
      </w:r>
      <w:r w:rsidRPr="00A52585">
        <w:rPr>
          <w:rFonts w:hint="cs"/>
          <w:rtl/>
        </w:rPr>
        <w:t>:</w:t>
      </w:r>
      <w:r w:rsidR="00777DCB" w:rsidRPr="00A52585">
        <w:rPr>
          <w:rFonts w:hint="cs"/>
          <w:rtl/>
        </w:rPr>
        <w:t xml:space="preserve"> إنما توقفنا في تفسير الآية وتأويلها لأمرين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أحدهما</w:t>
      </w:r>
      <w:r w:rsidRPr="00A52585">
        <w:rPr>
          <w:rFonts w:hint="cs"/>
          <w:rtl/>
        </w:rPr>
        <w:t>):</w:t>
      </w:r>
      <w:r w:rsidR="00777DCB" w:rsidRPr="00A52585">
        <w:rPr>
          <w:rFonts w:hint="cs"/>
          <w:rtl/>
        </w:rPr>
        <w:t xml:space="preserve"> المنع الوارد في التنزيل في قوله </w:t>
      </w:r>
      <w:proofErr w:type="spellStart"/>
      <w:r w:rsidR="00777DCB" w:rsidRPr="00A52585">
        <w:rPr>
          <w:rFonts w:hint="cs"/>
          <w:rtl/>
        </w:rPr>
        <w:t>تعالى"فأما</w:t>
      </w:r>
      <w:proofErr w:type="spellEnd"/>
      <w:r w:rsidR="00777DCB" w:rsidRPr="00A52585">
        <w:rPr>
          <w:rFonts w:hint="cs"/>
          <w:rtl/>
        </w:rPr>
        <w:t xml:space="preserve"> الذين في قلوبهم زيغ فيتبعون ما تشابه منه ابتغاء الفتنة وابتغاء تأويله</w:t>
      </w:r>
      <w:r w:rsidR="00DB731D" w:rsidRPr="00A52585">
        <w:rPr>
          <w:rFonts w:hint="cs"/>
          <w:rtl/>
        </w:rPr>
        <w:t>،</w:t>
      </w:r>
      <w:r w:rsidR="00777DCB" w:rsidRPr="00A52585">
        <w:rPr>
          <w:rFonts w:hint="cs"/>
          <w:rtl/>
        </w:rPr>
        <w:t xml:space="preserve"> وما يعلم تأويله إلا الله والراسخون في العلم يقولون آمنا به كل من عند ربنا"</w:t>
      </w:r>
      <w:r w:rsidR="00DB731D" w:rsidRPr="00A52585">
        <w:rPr>
          <w:rFonts w:hint="cs"/>
          <w:rtl/>
        </w:rPr>
        <w:t>،</w:t>
      </w:r>
      <w:r w:rsidR="00777DCB" w:rsidRPr="00A52585">
        <w:rPr>
          <w:rFonts w:hint="cs"/>
          <w:rtl/>
        </w:rPr>
        <w:t xml:space="preserve"> فنحن نحترز عن التأويل</w:t>
      </w:r>
      <w:r w:rsidR="00DB731D" w:rsidRPr="00A52585">
        <w:rPr>
          <w:rFonts w:hint="cs"/>
          <w:rtl/>
        </w:rPr>
        <w:t>،</w:t>
      </w:r>
      <w:r w:rsidR="00777DCB" w:rsidRPr="00A52585">
        <w:rPr>
          <w:rFonts w:hint="cs"/>
          <w:rtl/>
        </w:rPr>
        <w:t xml:space="preserve"> و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إن التأويل أمر مظنون بالاتفاق</w:t>
      </w:r>
      <w:r w:rsidR="00DB731D" w:rsidRPr="00A52585">
        <w:rPr>
          <w:rFonts w:hint="cs"/>
          <w:rtl/>
        </w:rPr>
        <w:t>،</w:t>
      </w:r>
      <w:r w:rsidR="00777DCB" w:rsidRPr="00A52585">
        <w:rPr>
          <w:rFonts w:hint="cs"/>
          <w:rtl/>
        </w:rPr>
        <w:t xml:space="preserve"> والقول في صفات الباري تعالى بالظن غير جائز</w:t>
      </w:r>
      <w:r w:rsidR="00DB731D" w:rsidRPr="00A52585">
        <w:rPr>
          <w:rFonts w:hint="cs"/>
          <w:rtl/>
        </w:rPr>
        <w:t>،</w:t>
      </w:r>
      <w:r w:rsidR="00777DCB" w:rsidRPr="00A52585">
        <w:rPr>
          <w:rFonts w:hint="cs"/>
          <w:rtl/>
        </w:rPr>
        <w:t xml:space="preserve"> فربما أولنا الآية على غير مراد الباري تعالى فوقعنا في الزيغ</w:t>
      </w:r>
      <w:r w:rsidR="00DB731D" w:rsidRPr="00A52585">
        <w:rPr>
          <w:rFonts w:hint="cs"/>
          <w:rtl/>
        </w:rPr>
        <w:t>،</w:t>
      </w:r>
      <w:r w:rsidR="00777DCB" w:rsidRPr="00A52585">
        <w:rPr>
          <w:rFonts w:hint="cs"/>
          <w:rtl/>
        </w:rPr>
        <w:t xml:space="preserve"> بل نقول كما قال الراسخون في </w:t>
      </w:r>
      <w:proofErr w:type="spellStart"/>
      <w:r w:rsidR="00777DCB" w:rsidRPr="00A52585">
        <w:rPr>
          <w:rFonts w:hint="cs"/>
          <w:rtl/>
        </w:rPr>
        <w:t>العلم"كلٌّ</w:t>
      </w:r>
      <w:proofErr w:type="spellEnd"/>
      <w:r w:rsidR="00777DCB" w:rsidRPr="00A52585">
        <w:rPr>
          <w:rFonts w:hint="cs"/>
          <w:rtl/>
        </w:rPr>
        <w:t xml:space="preserve"> من عند ربنا" آمنا بظاهره وصدقنا بباطنه ووكلنا علمه إلى الله تعالى</w:t>
      </w:r>
      <w:r w:rsidR="00DB731D" w:rsidRPr="00A52585">
        <w:rPr>
          <w:rFonts w:hint="cs"/>
          <w:rtl/>
        </w:rPr>
        <w:t>،</w:t>
      </w:r>
      <w:r w:rsidR="00777DCB" w:rsidRPr="00A52585">
        <w:rPr>
          <w:rFonts w:hint="cs"/>
          <w:rtl/>
        </w:rPr>
        <w:t xml:space="preserve"> ولسنا مكلفين بمعرفة ذلك</w:t>
      </w:r>
      <w:r w:rsidR="00DB731D" w:rsidRPr="00A52585">
        <w:rPr>
          <w:rFonts w:hint="cs"/>
          <w:rtl/>
        </w:rPr>
        <w:t>،</w:t>
      </w:r>
      <w:r w:rsidR="00777DCB" w:rsidRPr="00A52585">
        <w:rPr>
          <w:rFonts w:hint="cs"/>
          <w:rtl/>
        </w:rPr>
        <w:t xml:space="preserve"> إذ ليس من شرائط الإيمان وأركانه</w:t>
      </w:r>
      <w:r w:rsidR="00DB731D" w:rsidRPr="00A52585">
        <w:rPr>
          <w:rFonts w:hint="cs"/>
          <w:rtl/>
        </w:rPr>
        <w:t>،</w:t>
      </w:r>
      <w:r w:rsidR="00777DCB" w:rsidRPr="00A52585">
        <w:rPr>
          <w:rFonts w:hint="cs"/>
          <w:rtl/>
        </w:rPr>
        <w:t xml:space="preserve"> قال </w:t>
      </w:r>
      <w:proofErr w:type="spellStart"/>
      <w:r w:rsidR="00777DCB" w:rsidRPr="00A52585">
        <w:rPr>
          <w:rFonts w:hint="cs"/>
          <w:rtl/>
        </w:rPr>
        <w:t>الشهرستاني</w:t>
      </w:r>
      <w:proofErr w:type="spellEnd"/>
      <w:r w:rsidRPr="00A52585">
        <w:rPr>
          <w:rFonts w:hint="cs"/>
          <w:rtl/>
        </w:rPr>
        <w:t>:</w:t>
      </w:r>
      <w:r w:rsidR="00777DCB" w:rsidRPr="00A52585">
        <w:rPr>
          <w:rFonts w:hint="cs"/>
          <w:rtl/>
        </w:rPr>
        <w:t xml:space="preserve"> "واحتاط بعضهم أكثر احتياط حتى لم يقرأ اليد بالفارسية ولا الوجه ولا الاستواء ولا ما ورد من جنس ذلك</w:t>
      </w:r>
      <w:r w:rsidR="00DB731D" w:rsidRPr="00A52585">
        <w:rPr>
          <w:rFonts w:hint="cs"/>
          <w:rtl/>
        </w:rPr>
        <w:t>،</w:t>
      </w:r>
      <w:r w:rsidR="00777DCB" w:rsidRPr="00A52585">
        <w:rPr>
          <w:rFonts w:hint="cs"/>
          <w:rtl/>
        </w:rPr>
        <w:t xml:space="preserve"> بل إن احتاج في ذكرها إلى عبارة عبر عنها بما ورد لفظا بلفظ</w:t>
      </w:r>
      <w:r w:rsidR="00DB731D" w:rsidRPr="00A52585">
        <w:rPr>
          <w:rFonts w:hint="cs"/>
          <w:rtl/>
        </w:rPr>
        <w:t>،</w:t>
      </w:r>
      <w:r w:rsidR="00777DCB" w:rsidRPr="00A52585">
        <w:rPr>
          <w:rFonts w:hint="cs"/>
          <w:rtl/>
        </w:rPr>
        <w:t xml:space="preserve"> فهذا هو طريق السلامة</w:t>
      </w:r>
      <w:r w:rsidR="00DB731D" w:rsidRPr="00A52585">
        <w:rPr>
          <w:rFonts w:hint="cs"/>
          <w:rtl/>
        </w:rPr>
        <w:t>،</w:t>
      </w:r>
      <w:r w:rsidR="00777DCB" w:rsidRPr="00A52585">
        <w:rPr>
          <w:rFonts w:hint="cs"/>
          <w:rtl/>
        </w:rPr>
        <w:t xml:space="preserve"> وليس هو من التشبيه </w:t>
      </w:r>
      <w:proofErr w:type="spellStart"/>
      <w:r w:rsidR="00777DCB" w:rsidRPr="00A52585">
        <w:rPr>
          <w:rFonts w:hint="cs"/>
          <w:rtl/>
        </w:rPr>
        <w:t>بشيء."اه</w:t>
      </w:r>
      <w:proofErr w:type="spellEnd"/>
      <w:r w:rsidR="00777DCB" w:rsidRPr="00A52585">
        <w:rPr>
          <w:rFonts w:hint="cs"/>
          <w:rtl/>
        </w:rPr>
        <w:t>ـ</w:t>
      </w:r>
      <w:r w:rsidR="00DB731D" w:rsidRPr="00A52585">
        <w:rPr>
          <w:rFonts w:hint="cs"/>
          <w:rtl/>
        </w:rPr>
        <w:t>،</w:t>
      </w:r>
      <w:r w:rsidR="00777DCB" w:rsidRPr="00A52585">
        <w:rPr>
          <w:rFonts w:hint="cs"/>
          <w:rtl/>
        </w:rPr>
        <w:t xml:space="preserve"> فانظروا رحمكم الله إلى دقة هذا الأسلوب وعظم دلالته على حرص السلف الصالح على الامتثال بأوامر الله تعالى من حيث احتياطهم لعدم الوقوع في الخطأ</w:t>
      </w:r>
      <w:r w:rsidR="00DB731D" w:rsidRPr="00A52585">
        <w:rPr>
          <w:rFonts w:hint="cs"/>
          <w:rtl/>
        </w:rPr>
        <w:t>،</w:t>
      </w:r>
      <w:r w:rsidR="00777DCB" w:rsidRPr="00A52585">
        <w:rPr>
          <w:rFonts w:hint="cs"/>
          <w:rtl/>
        </w:rPr>
        <w:t xml:space="preserve"> ويؤيد هذا الكلام الثابت عن أئمة السلف مثل الإمام أحمد رحمه الله تعالى</w:t>
      </w:r>
      <w:r w:rsidR="00DB731D" w:rsidRPr="00A52585">
        <w:rPr>
          <w:rFonts w:hint="cs"/>
          <w:rtl/>
        </w:rPr>
        <w:t>،</w:t>
      </w:r>
      <w:r w:rsidR="00777DCB" w:rsidRPr="00A52585">
        <w:rPr>
          <w:rFonts w:hint="cs"/>
          <w:rtl/>
        </w:rPr>
        <w:t xml:space="preserve"> قال عندما سئل عن أحاديث الصفات</w:t>
      </w:r>
      <w:r w:rsidRPr="00A52585">
        <w:rPr>
          <w:rFonts w:hint="cs"/>
          <w:rtl/>
        </w:rPr>
        <w:t>:</w:t>
      </w:r>
      <w:r w:rsidR="00777DCB" w:rsidRPr="00A52585">
        <w:rPr>
          <w:rFonts w:hint="cs"/>
          <w:rtl/>
        </w:rPr>
        <w:t xml:space="preserve"> "نؤمن بها ونصدق بها ولا كيف ولا </w:t>
      </w:r>
      <w:proofErr w:type="spellStart"/>
      <w:r w:rsidR="00777DCB" w:rsidRPr="00A52585">
        <w:rPr>
          <w:rFonts w:hint="cs"/>
          <w:rtl/>
        </w:rPr>
        <w:t>معنى".اه</w:t>
      </w:r>
      <w:proofErr w:type="spellEnd"/>
      <w:r w:rsidR="00777DCB" w:rsidRPr="00A52585">
        <w:rPr>
          <w:rFonts w:hint="cs"/>
          <w:rtl/>
        </w:rPr>
        <w:t>ـ وقال الإمام الحافظ الترمذي في سننه(4</w:t>
      </w:r>
      <w:r w:rsidRPr="00A52585">
        <w:rPr>
          <w:rFonts w:hint="cs"/>
          <w:rtl/>
        </w:rPr>
        <w:t>:</w:t>
      </w:r>
      <w:r w:rsidR="00777DCB" w:rsidRPr="00A52585">
        <w:rPr>
          <w:rFonts w:hint="cs"/>
          <w:rtl/>
        </w:rPr>
        <w:t xml:space="preserve"> </w:t>
      </w:r>
      <w:r w:rsidR="00777DCB" w:rsidRPr="00A52585">
        <w:rPr>
          <w:rFonts w:hint="cs"/>
          <w:rtl/>
        </w:rPr>
        <w:lastRenderedPageBreak/>
        <w:t>692)</w:t>
      </w:r>
      <w:r w:rsidRPr="00A52585">
        <w:rPr>
          <w:rFonts w:hint="cs"/>
          <w:rtl/>
        </w:rPr>
        <w:t>:</w:t>
      </w:r>
      <w:r w:rsidR="00777DCB" w:rsidRPr="00A52585">
        <w:rPr>
          <w:rFonts w:hint="cs"/>
          <w:rtl/>
        </w:rPr>
        <w:t xml:space="preserve"> "والمذهب في هذا عند أهل العلم من الأئمة مثل سفيان الثوري ومالك بن أنس وابن المبارك وابن عُيَيْنَة ووكيع وغيرهم أنهم رووا هذه الأشياء ثم قالوا</w:t>
      </w:r>
      <w:r w:rsidRPr="00A52585">
        <w:rPr>
          <w:rFonts w:hint="cs"/>
          <w:rtl/>
        </w:rPr>
        <w:t>:</w:t>
      </w:r>
      <w:r w:rsidR="00777DCB" w:rsidRPr="00A52585">
        <w:rPr>
          <w:rFonts w:hint="cs"/>
          <w:rtl/>
        </w:rPr>
        <w:t xml:space="preserve"> تروى هذه الأحاديث ونؤمن بها ولا يقال كيف</w:t>
      </w:r>
      <w:r w:rsidR="00DB731D" w:rsidRPr="00A52585">
        <w:rPr>
          <w:rFonts w:hint="cs"/>
          <w:rtl/>
        </w:rPr>
        <w:t>،</w:t>
      </w:r>
      <w:r w:rsidR="00777DCB" w:rsidRPr="00A52585">
        <w:rPr>
          <w:rFonts w:hint="cs"/>
          <w:rtl/>
        </w:rPr>
        <w:t xml:space="preserve"> وهذا الذي اختاره أهل الحديث أن تروى هذه الأشياء كما جاءت ويؤمن بها ولا تفَسَّر</w:t>
      </w:r>
      <w:r w:rsidR="00DB731D" w:rsidRPr="00A52585">
        <w:rPr>
          <w:rFonts w:hint="cs"/>
          <w:rtl/>
        </w:rPr>
        <w:t>،</w:t>
      </w:r>
      <w:r w:rsidR="00777DCB" w:rsidRPr="00A52585">
        <w:rPr>
          <w:rFonts w:hint="cs"/>
          <w:rtl/>
        </w:rPr>
        <w:t xml:space="preserve"> ولا تُتَوَهَّم</w:t>
      </w:r>
      <w:r w:rsidR="00DB731D" w:rsidRPr="00A52585">
        <w:rPr>
          <w:rFonts w:hint="cs"/>
          <w:rtl/>
        </w:rPr>
        <w:t>،</w:t>
      </w:r>
      <w:r w:rsidR="00777DCB" w:rsidRPr="00A52585">
        <w:rPr>
          <w:rFonts w:hint="cs"/>
          <w:rtl/>
        </w:rPr>
        <w:t xml:space="preserve"> ولا يقال كيف</w:t>
      </w:r>
      <w:r w:rsidR="00DB731D" w:rsidRPr="00A52585">
        <w:rPr>
          <w:rFonts w:hint="cs"/>
          <w:rtl/>
        </w:rPr>
        <w:t>،</w:t>
      </w:r>
      <w:r w:rsidR="00777DCB" w:rsidRPr="00A52585">
        <w:rPr>
          <w:rFonts w:hint="cs"/>
          <w:rtl/>
        </w:rPr>
        <w:t xml:space="preserve"> وهذا أمر أهل العلم الذي اختاروه وذهبوا </w:t>
      </w:r>
      <w:proofErr w:type="spellStart"/>
      <w:r w:rsidR="00777DCB" w:rsidRPr="00A52585">
        <w:rPr>
          <w:rFonts w:hint="cs"/>
          <w:rtl/>
        </w:rPr>
        <w:t>إليه".اه</w:t>
      </w:r>
      <w:proofErr w:type="spellEnd"/>
      <w:r w:rsidR="00777DCB" w:rsidRPr="00A52585">
        <w:rPr>
          <w:rFonts w:hint="cs"/>
          <w:rtl/>
        </w:rPr>
        <w:t>ـ</w:t>
      </w:r>
      <w:r w:rsidR="00DB731D" w:rsidRPr="00A52585">
        <w:rPr>
          <w:rFonts w:hint="cs"/>
          <w:rtl/>
        </w:rPr>
        <w:t>،</w:t>
      </w:r>
      <w:r w:rsidRPr="00A52585">
        <w:rPr>
          <w:rFonts w:hint="cs"/>
          <w:rtl/>
        </w:rPr>
        <w:t xml:space="preserve"> </w:t>
      </w:r>
      <w:r w:rsidR="00777DCB" w:rsidRPr="00A52585">
        <w:rPr>
          <w:rFonts w:hint="cs"/>
          <w:rtl/>
        </w:rPr>
        <w:t>هذا هو مذهب السلف رحمهم الله تعالى</w:t>
      </w:r>
      <w:r w:rsidR="00DB731D" w:rsidRPr="00A52585">
        <w:rPr>
          <w:rFonts w:hint="cs"/>
          <w:rtl/>
        </w:rPr>
        <w:t>،</w:t>
      </w:r>
      <w:r w:rsidR="00777DCB" w:rsidRPr="00A52585">
        <w:rPr>
          <w:rFonts w:hint="cs"/>
          <w:rtl/>
        </w:rPr>
        <w:t xml:space="preserve"> فهم يفوضون في المعنى ولا يفسرون</w:t>
      </w:r>
      <w:r w:rsidR="00DB731D" w:rsidRPr="00A52585">
        <w:rPr>
          <w:rFonts w:hint="cs"/>
          <w:rtl/>
        </w:rPr>
        <w:t>،</w:t>
      </w:r>
      <w:r w:rsidR="00777DCB" w:rsidRPr="00A52585">
        <w:rPr>
          <w:rFonts w:hint="cs"/>
          <w:rtl/>
        </w:rPr>
        <w:t xml:space="preserve"> فأين هذا المذهب من قول من يفسر وينسب لله تعالى اليد والجارحة</w:t>
      </w:r>
      <w:r w:rsidR="00DB731D" w:rsidRPr="00A52585">
        <w:rPr>
          <w:rFonts w:hint="cs"/>
          <w:rtl/>
        </w:rPr>
        <w:t>،</w:t>
      </w:r>
      <w:r w:rsidR="00777DCB" w:rsidRPr="00A52585">
        <w:rPr>
          <w:rFonts w:hint="cs"/>
          <w:rtl/>
        </w:rPr>
        <w:t xml:space="preserve"> والاستواء الذي هو جلوس واستقرار وماسة</w:t>
      </w:r>
      <w:r w:rsidR="00DB731D" w:rsidRPr="00A52585">
        <w:rPr>
          <w:rFonts w:hint="cs"/>
          <w:rtl/>
        </w:rPr>
        <w:t>،</w:t>
      </w:r>
      <w:r w:rsidR="00777DCB" w:rsidRPr="00A52585">
        <w:rPr>
          <w:rFonts w:hint="cs"/>
          <w:rtl/>
        </w:rPr>
        <w:t xml:space="preserve"> ونزول هو حركة وانتقال وغير ذلك من ترهات </w:t>
      </w:r>
      <w:proofErr w:type="spellStart"/>
      <w:r w:rsidR="00777DCB" w:rsidRPr="00A52585">
        <w:rPr>
          <w:rFonts w:hint="cs"/>
          <w:rtl/>
        </w:rPr>
        <w:t>وتوهمات</w:t>
      </w:r>
      <w:proofErr w:type="spellEnd"/>
      <w:r w:rsidR="00DB731D" w:rsidRPr="00A52585">
        <w:rPr>
          <w:rFonts w:hint="cs"/>
          <w:rtl/>
        </w:rPr>
        <w:t>،</w:t>
      </w:r>
      <w:r w:rsidR="00777DCB" w:rsidRPr="00A52585">
        <w:rPr>
          <w:rFonts w:hint="cs"/>
          <w:rtl/>
        </w:rPr>
        <w:t xml:space="preserve"> فهل هذا هو الذي يقصده السلف عندما يقولون "أمِرُّوها كما جاءت بلا تفسير" فأين الذين يثبتون صفات لله تعالى هي مثل صفات البشر ممن يفوضون علم الآيات المتشابهات كلها إلى الله تعالى مع التنزيه</w:t>
      </w:r>
      <w:r w:rsidR="00DB731D" w:rsidRPr="00A52585">
        <w:rPr>
          <w:rFonts w:hint="cs"/>
          <w:rtl/>
        </w:rPr>
        <w:t>،</w:t>
      </w:r>
      <w:r w:rsidR="00777DCB" w:rsidRPr="00A52585">
        <w:rPr>
          <w:rFonts w:hint="cs"/>
          <w:rtl/>
        </w:rPr>
        <w:t xml:space="preserve"> وليس هذا هو موضع بيان مذهب أولئك الذين ينتسبون إلى السلف الصالح</w:t>
      </w:r>
      <w:r w:rsidR="00DB731D" w:rsidRPr="00A52585">
        <w:rPr>
          <w:rFonts w:hint="cs"/>
          <w:rtl/>
        </w:rPr>
        <w:t>،</w:t>
      </w:r>
      <w:r w:rsidR="00777DCB" w:rsidRPr="00A52585">
        <w:rPr>
          <w:rFonts w:hint="cs"/>
          <w:rtl/>
        </w:rPr>
        <w:t xml:space="preserve"> ويُلَبِّسون على عامة الناس ببعض التهويلات</w:t>
      </w:r>
      <w:r w:rsidR="00DB731D" w:rsidRPr="00A52585">
        <w:rPr>
          <w:rFonts w:hint="cs"/>
          <w:rtl/>
        </w:rPr>
        <w:t>،</w:t>
      </w:r>
      <w:r w:rsidR="00777DCB" w:rsidRPr="00A52585">
        <w:rPr>
          <w:rFonts w:hint="cs"/>
          <w:rtl/>
        </w:rPr>
        <w:t xml:space="preserve"> وتصدر منهم كلمات لا يفهمون معناها</w:t>
      </w:r>
      <w:r w:rsidR="00DB731D" w:rsidRPr="00A52585">
        <w:rPr>
          <w:rFonts w:hint="cs"/>
          <w:rtl/>
        </w:rPr>
        <w:t>،</w:t>
      </w:r>
      <w:r w:rsidR="00777DCB" w:rsidRPr="00A52585">
        <w:rPr>
          <w:rFonts w:hint="cs"/>
          <w:rtl/>
        </w:rPr>
        <w:t xml:space="preserve"> ويتصدرون المجالس فيفتون الناس فيضلون ويضلون</w:t>
      </w:r>
      <w:r w:rsidR="00DB731D" w:rsidRPr="00A52585">
        <w:rPr>
          <w:rFonts w:hint="cs"/>
          <w:rtl/>
        </w:rPr>
        <w:t>،</w:t>
      </w:r>
      <w:r w:rsidR="00777DCB" w:rsidRPr="00A52585">
        <w:rPr>
          <w:rFonts w:hint="cs"/>
          <w:rtl/>
        </w:rPr>
        <w:t xml:space="preserve"> بل سوف نزيد بيان أحوالهم خصوصا في هذا العصر فيما يلي من الفصول إن شاء الله تعالى</w:t>
      </w:r>
      <w:r w:rsidR="00DB731D" w:rsidRPr="00A52585">
        <w:rPr>
          <w:rFonts w:hint="cs"/>
          <w:rtl/>
        </w:rPr>
        <w:t>،</w:t>
      </w:r>
      <w:r w:rsidR="00777DCB" w:rsidRPr="00A52585">
        <w:rPr>
          <w:rFonts w:hint="cs"/>
          <w:rtl/>
        </w:rPr>
        <w:t xml:space="preserve"> وسوف نزيد مذهب السلف بيانا</w:t>
      </w:r>
      <w:r w:rsidR="00DB731D" w:rsidRPr="00A52585">
        <w:rPr>
          <w:rFonts w:hint="cs"/>
          <w:rtl/>
        </w:rPr>
        <w:t>،</w:t>
      </w:r>
      <w:r w:rsidR="00777DCB" w:rsidRPr="00A52585">
        <w:rPr>
          <w:rFonts w:hint="cs"/>
          <w:rtl/>
        </w:rPr>
        <w:t xml:space="preserve"> لنوضح كيف أن السلف يستحيل أن يصدق عليهم أنهم كانوا من المشبهة الذين يثبتون الجهة والحدَّ والحركة والحيز لله تعالى</w:t>
      </w:r>
      <w:r w:rsidR="00DB731D" w:rsidRPr="00A52585">
        <w:rPr>
          <w:rFonts w:hint="cs"/>
          <w:rtl/>
        </w:rPr>
        <w:t>،</w:t>
      </w:r>
      <w:r w:rsidR="00777DCB" w:rsidRPr="00A52585">
        <w:rPr>
          <w:rFonts w:hint="cs"/>
          <w:rtl/>
        </w:rPr>
        <w:t xml:space="preserve"> قال الشيخ العلامة شهاب الدين الحلبيُّ المشهورُ باب </w:t>
      </w:r>
      <w:proofErr w:type="spellStart"/>
      <w:r w:rsidR="00777DCB" w:rsidRPr="00A52585">
        <w:rPr>
          <w:rFonts w:hint="cs"/>
          <w:rtl/>
        </w:rPr>
        <w:t>جهبل</w:t>
      </w:r>
      <w:proofErr w:type="spellEnd"/>
      <w:r w:rsidR="00777DCB" w:rsidRPr="00A52585">
        <w:rPr>
          <w:rFonts w:hint="cs"/>
          <w:rtl/>
        </w:rPr>
        <w:t xml:space="preserve"> </w:t>
      </w:r>
      <w:r w:rsidRPr="00A52585">
        <w:rPr>
          <w:rFonts w:hint="cs"/>
          <w:rtl/>
        </w:rPr>
        <w:t>[</w:t>
      </w:r>
      <w:r w:rsidR="00777DCB" w:rsidRPr="00A52585">
        <w:rPr>
          <w:rtl/>
        </w:rPr>
        <w:t xml:space="preserve">وهذا النص من الرسالة التي أوردها العلامة تاج الدين السبكي لابن </w:t>
      </w:r>
      <w:proofErr w:type="spellStart"/>
      <w:r w:rsidR="00777DCB" w:rsidRPr="00A52585">
        <w:rPr>
          <w:rtl/>
        </w:rPr>
        <w:t>جهبل</w:t>
      </w:r>
      <w:proofErr w:type="spellEnd"/>
      <w:r w:rsidR="00777DCB" w:rsidRPr="00A52585">
        <w:rPr>
          <w:rtl/>
        </w:rPr>
        <w:t xml:space="preserve"> في ترجمته له في الطبقات الكبرة (9/34)، قال الإمام ابن </w:t>
      </w:r>
      <w:proofErr w:type="spellStart"/>
      <w:r w:rsidR="00777DCB" w:rsidRPr="00A52585">
        <w:rPr>
          <w:rtl/>
        </w:rPr>
        <w:t>السبكي:"ووقفت</w:t>
      </w:r>
      <w:proofErr w:type="spellEnd"/>
      <w:r w:rsidR="00777DCB" w:rsidRPr="00A52585">
        <w:rPr>
          <w:rtl/>
        </w:rPr>
        <w:t xml:space="preserve"> له على تصنيف صنَّفه في نفي الجهة ردَّاً على ابن تيمية لا بأس به وهو هذا"، ثم أورد الرسالة التي نقتطف نحن منها هذا النص</w:t>
      </w:r>
      <w:r w:rsidRPr="00A52585">
        <w:rPr>
          <w:rFonts w:hint="cs"/>
          <w:rtl/>
        </w:rPr>
        <w:t>]:</w:t>
      </w:r>
      <w:r w:rsidR="00777DCB" w:rsidRPr="00A52585">
        <w:rPr>
          <w:rFonts w:hint="cs"/>
          <w:rtl/>
        </w:rPr>
        <w:t xml:space="preserve"> "ومذهب السلف إنما هو التوحيد والتنزيه دون التجسيم والتشبيه</w:t>
      </w:r>
      <w:r w:rsidR="00DB731D" w:rsidRPr="00A52585">
        <w:rPr>
          <w:rFonts w:hint="cs"/>
          <w:rtl/>
        </w:rPr>
        <w:t>،</w:t>
      </w:r>
      <w:r w:rsidR="00777DCB" w:rsidRPr="00A52585">
        <w:rPr>
          <w:rFonts w:hint="cs"/>
          <w:rtl/>
        </w:rPr>
        <w:t xml:space="preserve"> والمبتدعة تزعم أنها على مذهب السلف</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وكلٌّ يدعون وصال ليلى</w:t>
      </w:r>
      <w:r w:rsidR="00897A24" w:rsidRPr="00A52585">
        <w:rPr>
          <w:rFonts w:hint="cs"/>
          <w:rtl/>
        </w:rPr>
        <w:t>.</w:t>
      </w:r>
      <w:r w:rsidR="00777DCB" w:rsidRPr="00A52585">
        <w:rPr>
          <w:rFonts w:hint="cs"/>
          <w:rtl/>
        </w:rPr>
        <w:t xml:space="preserve">.. وليلى لا تُقِرُّ لهم </w:t>
      </w:r>
      <w:proofErr w:type="spellStart"/>
      <w:r w:rsidR="00777DCB" w:rsidRPr="00A52585">
        <w:rPr>
          <w:rFonts w:hint="cs"/>
          <w:rtl/>
        </w:rPr>
        <w:t>بذاكا</w:t>
      </w:r>
      <w:proofErr w:type="spellEnd"/>
      <w:r w:rsidRPr="00A52585">
        <w:rPr>
          <w:rFonts w:hint="cs"/>
          <w:rtl/>
        </w:rPr>
        <w:t>)</w:t>
      </w:r>
      <w:r w:rsidR="00DB731D" w:rsidRPr="00A52585">
        <w:rPr>
          <w:rFonts w:hint="cs"/>
          <w:rtl/>
        </w:rPr>
        <w:t>،</w:t>
      </w:r>
      <w:r w:rsidR="00777DCB" w:rsidRPr="00A52585">
        <w:rPr>
          <w:rFonts w:hint="cs"/>
          <w:rtl/>
        </w:rPr>
        <w:t xml:space="preserve"> وكيف يعتقد في السلف أنهم يعتقدون التشبيه أو يسكتون عند ظهور البدع وقد قال الله (ولا تلبسوا الحق بالباطل وتكتموا الحق وأنتم تعلمون) </w:t>
      </w:r>
      <w:r w:rsidRPr="00A52585">
        <w:rPr>
          <w:rFonts w:hint="cs"/>
          <w:rtl/>
        </w:rPr>
        <w:t>[</w:t>
      </w:r>
      <w:r w:rsidR="00777DCB" w:rsidRPr="00A52585">
        <w:rPr>
          <w:rtl/>
        </w:rPr>
        <w:t>البقرة 42</w:t>
      </w:r>
      <w:r w:rsidRPr="00A52585">
        <w:rPr>
          <w:rFonts w:hint="cs"/>
          <w:rtl/>
        </w:rPr>
        <w:t>]</w:t>
      </w:r>
      <w:r w:rsidR="00777DCB" w:rsidRPr="00A52585">
        <w:rPr>
          <w:rFonts w:hint="cs"/>
          <w:rtl/>
        </w:rPr>
        <w:t xml:space="preserve"> وقال الله تعالى(وإذ أخذ الله ميثاق الذين أوتوا الكتاب لتُبَيِّنُنَّه </w:t>
      </w:r>
      <w:proofErr w:type="spellStart"/>
      <w:r w:rsidR="00777DCB" w:rsidRPr="00A52585">
        <w:rPr>
          <w:rFonts w:hint="cs"/>
          <w:rtl/>
        </w:rPr>
        <w:t>للنا</w:t>
      </w:r>
      <w:proofErr w:type="spellEnd"/>
      <w:r w:rsidR="00777DCB" w:rsidRPr="00A52585">
        <w:rPr>
          <w:rFonts w:hint="cs"/>
          <w:rtl/>
        </w:rPr>
        <w:t xml:space="preserve"> ولا تكتمونه) </w:t>
      </w:r>
      <w:r w:rsidRPr="00A52585">
        <w:rPr>
          <w:rFonts w:hint="cs"/>
          <w:rtl/>
        </w:rPr>
        <w:t>[</w:t>
      </w:r>
      <w:r w:rsidR="00777DCB" w:rsidRPr="00A52585">
        <w:rPr>
          <w:rtl/>
        </w:rPr>
        <w:t>آل عمران 187</w:t>
      </w:r>
      <w:r w:rsidRPr="00A52585">
        <w:rPr>
          <w:rFonts w:hint="cs"/>
          <w:rtl/>
        </w:rPr>
        <w:t>]</w:t>
      </w:r>
      <w:r w:rsidR="00777DCB" w:rsidRPr="00A52585">
        <w:rPr>
          <w:rFonts w:hint="cs"/>
          <w:rtl/>
        </w:rPr>
        <w:t xml:space="preserve"> وقال الله تعالى(لتبين للناس ما نُزِّل إليهم)"اهـ</w:t>
      </w:r>
      <w:r w:rsidR="00DB731D" w:rsidRPr="00A52585">
        <w:rPr>
          <w:rFonts w:hint="cs"/>
          <w:rtl/>
        </w:rPr>
        <w:t>،</w:t>
      </w:r>
      <w:r w:rsidRPr="00A52585">
        <w:rPr>
          <w:rFonts w:hint="cs"/>
          <w:rtl/>
        </w:rPr>
        <w:t xml:space="preserve"> </w:t>
      </w:r>
      <w:r w:rsidR="00777DCB" w:rsidRPr="00A52585">
        <w:rPr>
          <w:rFonts w:hint="cs"/>
          <w:rtl/>
        </w:rPr>
        <w:t>وقال الإمام أبو جعفر الطحاوي في عقيدته</w:t>
      </w:r>
      <w:r w:rsidRPr="00A52585">
        <w:rPr>
          <w:rFonts w:hint="cs"/>
          <w:rtl/>
        </w:rPr>
        <w:t>:</w:t>
      </w:r>
      <w:r w:rsidR="00777DCB" w:rsidRPr="00A52585">
        <w:rPr>
          <w:rFonts w:hint="cs"/>
          <w:rtl/>
        </w:rPr>
        <w:t>" إن الله واحد لا شريك له ولا شيء مثله ولا شيء يعجزه ولا إله غيره قديم بلا ابتداء دائم بلا انتهاء لا يفنى ولا يبيد ولا يكون إلا ما يريد</w:t>
      </w:r>
      <w:r w:rsidR="00DB731D" w:rsidRPr="00A52585">
        <w:rPr>
          <w:rFonts w:hint="cs"/>
          <w:rtl/>
        </w:rPr>
        <w:t>،</w:t>
      </w:r>
      <w:r w:rsidR="00777DCB" w:rsidRPr="00A52585">
        <w:rPr>
          <w:rFonts w:hint="cs"/>
          <w:rtl/>
        </w:rPr>
        <w:t xml:space="preserve"> لا تبلغه الأوهام ولا تدركه الأفهام ولا تشبهه </w:t>
      </w:r>
      <w:proofErr w:type="spellStart"/>
      <w:r w:rsidR="00777DCB" w:rsidRPr="00A52585">
        <w:rPr>
          <w:rFonts w:hint="cs"/>
          <w:rtl/>
        </w:rPr>
        <w:t>الأنام"اه</w:t>
      </w:r>
      <w:proofErr w:type="spellEnd"/>
      <w:r w:rsidR="00777DCB" w:rsidRPr="00A52585">
        <w:rPr>
          <w:rFonts w:hint="cs"/>
          <w:rtl/>
        </w:rPr>
        <w:t>ـ</w:t>
      </w:r>
      <w:r w:rsidR="00DB731D" w:rsidRPr="00A52585">
        <w:rPr>
          <w:rFonts w:hint="cs"/>
          <w:rtl/>
        </w:rPr>
        <w:t>،</w:t>
      </w:r>
      <w:r w:rsidR="00777DCB" w:rsidRPr="00A52585">
        <w:rPr>
          <w:rFonts w:hint="cs"/>
          <w:rtl/>
        </w:rPr>
        <w:t xml:space="preserve"> فانظروا عباد الله في كلام هؤلاء الأعلام</w:t>
      </w:r>
      <w:r w:rsidR="00DB731D" w:rsidRPr="00A52585">
        <w:rPr>
          <w:rFonts w:hint="cs"/>
          <w:rtl/>
        </w:rPr>
        <w:t>،</w:t>
      </w:r>
      <w:r w:rsidR="00777DCB" w:rsidRPr="00A52585">
        <w:rPr>
          <w:rFonts w:hint="cs"/>
          <w:rtl/>
        </w:rPr>
        <w:t xml:space="preserve"> وليختبر كل واحد منكم نفسه</w:t>
      </w:r>
      <w:r w:rsidR="00DB731D" w:rsidRPr="00A52585">
        <w:rPr>
          <w:rFonts w:hint="cs"/>
          <w:rtl/>
        </w:rPr>
        <w:t>،</w:t>
      </w:r>
      <w:r w:rsidR="00777DCB" w:rsidRPr="00A52585">
        <w:rPr>
          <w:rFonts w:hint="cs"/>
          <w:rtl/>
        </w:rPr>
        <w:t xml:space="preserve"> هل يتصور صورة معينة لمعبوده</w:t>
      </w:r>
      <w:r w:rsidR="00DB731D" w:rsidRPr="00A52585">
        <w:rPr>
          <w:rFonts w:hint="cs"/>
          <w:rtl/>
        </w:rPr>
        <w:t>،</w:t>
      </w:r>
      <w:r w:rsidR="00777DCB" w:rsidRPr="00A52585">
        <w:rPr>
          <w:rFonts w:hint="cs"/>
          <w:rtl/>
        </w:rPr>
        <w:t xml:space="preserve"> هل يتصوره جسما أو كبيرا أو صغيرا في الحجم</w:t>
      </w:r>
      <w:r w:rsidR="00DB731D" w:rsidRPr="00A52585">
        <w:rPr>
          <w:rFonts w:hint="cs"/>
          <w:rtl/>
        </w:rPr>
        <w:t>،</w:t>
      </w:r>
      <w:r w:rsidR="00777DCB" w:rsidRPr="00A52585">
        <w:rPr>
          <w:rFonts w:hint="cs"/>
          <w:rtl/>
        </w:rPr>
        <w:t xml:space="preserve"> هل يتصوره </w:t>
      </w:r>
      <w:r w:rsidR="00777DCB" w:rsidRPr="00A52585">
        <w:rPr>
          <w:rFonts w:hint="cs"/>
          <w:rtl/>
        </w:rPr>
        <w:lastRenderedPageBreak/>
        <w:t>يمشي في الأسواق كما يمشي الناس</w:t>
      </w:r>
      <w:r w:rsidR="00DB731D" w:rsidRPr="00A52585">
        <w:rPr>
          <w:rFonts w:hint="cs"/>
          <w:rtl/>
        </w:rPr>
        <w:t>،</w:t>
      </w:r>
      <w:r w:rsidR="00777DCB" w:rsidRPr="00A52585">
        <w:rPr>
          <w:rFonts w:hint="cs"/>
          <w:rtl/>
        </w:rPr>
        <w:t xml:space="preserve"> هل يتصور له شكلا معينا مثل الإنسان لكنه أكبر مما نراه</w:t>
      </w:r>
      <w:r w:rsidR="00DB731D" w:rsidRPr="00A52585">
        <w:rPr>
          <w:rFonts w:hint="cs"/>
          <w:rtl/>
        </w:rPr>
        <w:t>،</w:t>
      </w:r>
      <w:r w:rsidR="00777DCB" w:rsidRPr="00A52585">
        <w:rPr>
          <w:rFonts w:hint="cs"/>
          <w:rtl/>
        </w:rPr>
        <w:t xml:space="preserve"> كما يقول المشبهة</w:t>
      </w:r>
      <w:r w:rsidR="00DB731D" w:rsidRPr="00A52585">
        <w:rPr>
          <w:rFonts w:hint="cs"/>
          <w:rtl/>
        </w:rPr>
        <w:t>،</w:t>
      </w:r>
      <w:r w:rsidR="00777DCB" w:rsidRPr="00A52585">
        <w:rPr>
          <w:rFonts w:hint="cs"/>
          <w:rtl/>
        </w:rPr>
        <w:t xml:space="preserve"> هل يتصوره جالسا على عرشه كما يجلس الناس</w:t>
      </w:r>
      <w:r w:rsidR="00DB731D" w:rsidRPr="00A52585">
        <w:rPr>
          <w:rFonts w:hint="cs"/>
          <w:rtl/>
        </w:rPr>
        <w:t>،</w:t>
      </w:r>
      <w:r w:rsidR="00777DCB" w:rsidRPr="00A52585">
        <w:rPr>
          <w:rFonts w:hint="cs"/>
          <w:rtl/>
        </w:rPr>
        <w:t xml:space="preserve"> هل </w:t>
      </w:r>
      <w:proofErr w:type="spellStart"/>
      <w:r w:rsidR="00777DCB" w:rsidRPr="00A52585">
        <w:rPr>
          <w:rFonts w:hint="cs"/>
          <w:rtl/>
        </w:rPr>
        <w:t>يتوهمه</w:t>
      </w:r>
      <w:proofErr w:type="spellEnd"/>
      <w:r w:rsidR="00777DCB" w:rsidRPr="00A52585">
        <w:rPr>
          <w:rFonts w:hint="cs"/>
          <w:rtl/>
        </w:rPr>
        <w:t xml:space="preserve"> مماسا للعرش ملاصقا له أو بينه وبين العرش مسافة</w:t>
      </w:r>
      <w:r w:rsidR="00DB731D" w:rsidRPr="00A52585">
        <w:rPr>
          <w:rFonts w:hint="cs"/>
          <w:rtl/>
        </w:rPr>
        <w:t>،</w:t>
      </w:r>
      <w:r w:rsidR="00777DCB" w:rsidRPr="00A52585">
        <w:rPr>
          <w:rFonts w:hint="cs"/>
          <w:rtl/>
        </w:rPr>
        <w:t xml:space="preserve"> هل </w:t>
      </w:r>
      <w:proofErr w:type="spellStart"/>
      <w:r w:rsidR="00777DCB" w:rsidRPr="00A52585">
        <w:rPr>
          <w:rFonts w:hint="cs"/>
          <w:rtl/>
        </w:rPr>
        <w:t>يتوهمه</w:t>
      </w:r>
      <w:proofErr w:type="spellEnd"/>
      <w:r w:rsidR="00777DCB" w:rsidRPr="00A52585">
        <w:rPr>
          <w:rFonts w:hint="cs"/>
          <w:rtl/>
        </w:rPr>
        <w:t xml:space="preserve"> يَقْتَرِبُ من عباده في المكان حتى يمكننا أن نشير إليه ونحدده بمكان دون مكان</w:t>
      </w:r>
      <w:r w:rsidR="00DB731D" w:rsidRPr="00A52585">
        <w:rPr>
          <w:rFonts w:hint="cs"/>
          <w:rtl/>
        </w:rPr>
        <w:t>،</w:t>
      </w:r>
      <w:r w:rsidR="00777DCB" w:rsidRPr="00A52585">
        <w:rPr>
          <w:rFonts w:hint="cs"/>
          <w:rtl/>
        </w:rPr>
        <w:t xml:space="preserve"> أو جهة دون جهة</w:t>
      </w:r>
      <w:r w:rsidR="00DB731D" w:rsidRPr="00A52585">
        <w:rPr>
          <w:rFonts w:hint="cs"/>
          <w:rtl/>
        </w:rPr>
        <w:t>،</w:t>
      </w:r>
      <w:r w:rsidR="00777DCB" w:rsidRPr="00A52585">
        <w:rPr>
          <w:rFonts w:hint="cs"/>
          <w:rtl/>
        </w:rPr>
        <w:t xml:space="preserve"> أيها المسلمون يجب عليكم محاسبة أنفسكم من داخلها ولا تغرنكم كلمات ترددونها دون فهم معنى لها</w:t>
      </w:r>
      <w:r w:rsidR="00DB731D" w:rsidRPr="00A52585">
        <w:rPr>
          <w:rFonts w:hint="cs"/>
          <w:rtl/>
        </w:rPr>
        <w:t>،</w:t>
      </w:r>
      <w:r w:rsidR="00777DCB" w:rsidRPr="00A52585">
        <w:rPr>
          <w:rFonts w:hint="cs"/>
          <w:rtl/>
        </w:rPr>
        <w:t xml:space="preserve"> يجب أن تهتموا بما في الصدور</w:t>
      </w:r>
      <w:r w:rsidR="00DB731D" w:rsidRPr="00A52585">
        <w:rPr>
          <w:rFonts w:hint="cs"/>
          <w:rtl/>
        </w:rPr>
        <w:t>،</w:t>
      </w:r>
      <w:r w:rsidR="00777DCB" w:rsidRPr="00A52585">
        <w:rPr>
          <w:rFonts w:hint="cs"/>
          <w:rtl/>
        </w:rPr>
        <w:t xml:space="preserve"> هل تتصورون لله مثلا</w:t>
      </w:r>
      <w:r w:rsidR="00DB731D" w:rsidRPr="00A52585">
        <w:rPr>
          <w:rFonts w:hint="cs"/>
          <w:rtl/>
        </w:rPr>
        <w:t>،</w:t>
      </w:r>
      <w:r w:rsidR="00777DCB" w:rsidRPr="00A52585">
        <w:rPr>
          <w:rFonts w:hint="cs"/>
          <w:rtl/>
        </w:rPr>
        <w:t xml:space="preserve"> سواء في ذاته أو صفاته أو أفعاله</w:t>
      </w:r>
      <w:r w:rsidR="00DB731D" w:rsidRPr="00A52585">
        <w:rPr>
          <w:rFonts w:hint="cs"/>
          <w:rtl/>
        </w:rPr>
        <w:t>،</w:t>
      </w:r>
      <w:r w:rsidR="00777DCB" w:rsidRPr="00A52585">
        <w:rPr>
          <w:rFonts w:hint="cs"/>
          <w:rtl/>
        </w:rPr>
        <w:t xml:space="preserve"> إذا كان كذلك فارموا بهذه العقائد الزائفة عرض الحائط</w:t>
      </w:r>
      <w:r w:rsidR="00DB731D" w:rsidRPr="00A52585">
        <w:rPr>
          <w:rFonts w:hint="cs"/>
          <w:rtl/>
        </w:rPr>
        <w:t>،</w:t>
      </w:r>
      <w:r w:rsidR="00777DCB" w:rsidRPr="00A52585">
        <w:rPr>
          <w:rFonts w:hint="cs"/>
          <w:rtl/>
        </w:rPr>
        <w:t xml:space="preserve"> وسارعوا إلى مغفرة من ربكم</w:t>
      </w:r>
      <w:r w:rsidR="00DB731D" w:rsidRPr="00A52585">
        <w:rPr>
          <w:rFonts w:hint="cs"/>
          <w:rtl/>
        </w:rPr>
        <w:t>،</w:t>
      </w:r>
      <w:r w:rsidR="00777DCB" w:rsidRPr="00A52585">
        <w:rPr>
          <w:rFonts w:hint="cs"/>
          <w:rtl/>
        </w:rPr>
        <w:t xml:space="preserve"> وقولوا كما قال الله تعالى (ليس كمثله شيء وهو السميع البصير)</w:t>
      </w:r>
      <w:r w:rsidR="00DB731D" w:rsidRPr="00A52585">
        <w:rPr>
          <w:rFonts w:hint="cs"/>
          <w:rtl/>
        </w:rPr>
        <w:t>،</w:t>
      </w:r>
      <w:r w:rsidR="00777DCB" w:rsidRPr="00A52585">
        <w:rPr>
          <w:rFonts w:hint="cs"/>
          <w:rtl/>
        </w:rPr>
        <w:t xml:space="preserve"> ولا تتصوروا أن مجرد قولكم إننا سلفيون متبعون للسلف ينجيكم</w:t>
      </w:r>
      <w:r w:rsidR="00DB731D" w:rsidRPr="00A52585">
        <w:rPr>
          <w:rFonts w:hint="cs"/>
          <w:rtl/>
        </w:rPr>
        <w:t>،</w:t>
      </w:r>
      <w:r w:rsidR="00777DCB" w:rsidRPr="00A52585">
        <w:rPr>
          <w:rFonts w:hint="cs"/>
          <w:rtl/>
        </w:rPr>
        <w:t xml:space="preserve"> فلم يكن للسلف عقائد فاسدة ولم يكونوا يشبهون خالقهم بشيء</w:t>
      </w:r>
      <w:r w:rsidR="00DB731D" w:rsidRPr="00A52585">
        <w:rPr>
          <w:rFonts w:hint="cs"/>
          <w:rtl/>
        </w:rPr>
        <w:t>،</w:t>
      </w:r>
      <w:r w:rsidR="00777DCB" w:rsidRPr="00A52585">
        <w:rPr>
          <w:rFonts w:hint="cs"/>
          <w:rtl/>
        </w:rPr>
        <w:t xml:space="preserve"> ولم يكن أهل الإسلام من أهل القرون الأولى المشهود لها بالخيرية يقولون</w:t>
      </w:r>
      <w:r w:rsidRPr="00A52585">
        <w:rPr>
          <w:rFonts w:hint="cs"/>
          <w:rtl/>
        </w:rPr>
        <w:t>:</w:t>
      </w:r>
      <w:r w:rsidR="00777DCB" w:rsidRPr="00A52585">
        <w:rPr>
          <w:rFonts w:hint="cs"/>
          <w:rtl/>
        </w:rPr>
        <w:t xml:space="preserve"> إن جمهور علماء الإسلام مبتدعة</w:t>
      </w:r>
      <w:r w:rsidR="00DB731D" w:rsidRPr="00A52585">
        <w:rPr>
          <w:rFonts w:hint="cs"/>
          <w:rtl/>
        </w:rPr>
        <w:t>،</w:t>
      </w:r>
      <w:r w:rsidR="00777DCB" w:rsidRPr="00A52585">
        <w:rPr>
          <w:rFonts w:hint="cs"/>
          <w:rtl/>
        </w:rPr>
        <w:t xml:space="preserve"> ويحكم كيف تحكمون؟! هل علماء الإسلام وحفاظهم وأهل الفقه والتفسير واللغة والعلوم مبتدعة</w:t>
      </w:r>
      <w:r w:rsidR="00DB731D" w:rsidRPr="00A52585">
        <w:rPr>
          <w:rFonts w:hint="cs"/>
          <w:rtl/>
        </w:rPr>
        <w:t>،</w:t>
      </w:r>
      <w:r w:rsidR="00777DCB" w:rsidRPr="00A52585">
        <w:rPr>
          <w:rFonts w:hint="cs"/>
          <w:rtl/>
        </w:rPr>
        <w:t xml:space="preserve"> وأنتم فقط أهل السنة والجماعة</w:t>
      </w:r>
      <w:r w:rsidR="00DB731D" w:rsidRPr="00A52585">
        <w:rPr>
          <w:rFonts w:hint="cs"/>
          <w:rtl/>
        </w:rPr>
        <w:t>،</w:t>
      </w:r>
      <w:r w:rsidR="00777DCB" w:rsidRPr="00A52585">
        <w:rPr>
          <w:rFonts w:hint="cs"/>
          <w:rtl/>
        </w:rPr>
        <w:t xml:space="preserve"> أين علمكم بجانب علم هؤلاء</w:t>
      </w:r>
      <w:r w:rsidR="00DB731D" w:rsidRPr="00A52585">
        <w:rPr>
          <w:rFonts w:hint="cs"/>
          <w:rtl/>
        </w:rPr>
        <w:t>،</w:t>
      </w:r>
      <w:r w:rsidR="00777DCB" w:rsidRPr="00A52585">
        <w:rPr>
          <w:rFonts w:hint="cs"/>
          <w:rtl/>
        </w:rPr>
        <w:t xml:space="preserve"> وأين ورعكم وتقواكم</w:t>
      </w:r>
      <w:r w:rsidR="00DB731D" w:rsidRPr="00A52585">
        <w:rPr>
          <w:rFonts w:hint="cs"/>
          <w:rtl/>
        </w:rPr>
        <w:t>،</w:t>
      </w:r>
      <w:r w:rsidR="00777DCB" w:rsidRPr="00A52585">
        <w:rPr>
          <w:rFonts w:hint="cs"/>
          <w:rtl/>
        </w:rPr>
        <w:t xml:space="preserve"> وماذا فعلتم للإسلام سوى إثارة بعض الفتن على بعض المسائل الفقهية التي جعل الله تعالى اختلاف العلماء فيها رحمة</w:t>
      </w:r>
      <w:r w:rsidR="00DB731D" w:rsidRPr="00A52585">
        <w:rPr>
          <w:rFonts w:hint="cs"/>
          <w:rtl/>
        </w:rPr>
        <w:t>،</w:t>
      </w:r>
      <w:r w:rsidR="00777DCB" w:rsidRPr="00A52585">
        <w:rPr>
          <w:rFonts w:hint="cs"/>
          <w:rtl/>
        </w:rPr>
        <w:t xml:space="preserve"> وأهملتم أصول الدين وقواعده الكلية وقلتم في أصول الدين بأقوال المجسمة والمشبهة</w:t>
      </w:r>
      <w:r w:rsidR="00DB731D" w:rsidRPr="00A52585">
        <w:rPr>
          <w:rFonts w:hint="cs"/>
          <w:rtl/>
        </w:rPr>
        <w:t>،</w:t>
      </w:r>
      <w:r w:rsidR="00777DCB" w:rsidRPr="00A52585">
        <w:rPr>
          <w:rFonts w:hint="cs"/>
          <w:rtl/>
        </w:rPr>
        <w:t xml:space="preserve"> وظننتم أنكم أنتم الناجون</w:t>
      </w:r>
      <w:r w:rsidR="00DB731D" w:rsidRPr="00A52585">
        <w:rPr>
          <w:rFonts w:hint="cs"/>
          <w:rtl/>
        </w:rPr>
        <w:t>،</w:t>
      </w:r>
      <w:r w:rsidR="00777DCB" w:rsidRPr="00A52585">
        <w:rPr>
          <w:rFonts w:hint="cs"/>
          <w:rtl/>
        </w:rPr>
        <w:t xml:space="preserve"> لعمري إن من يفكر بهذا الأسلوب ما هو إلا من الجاهلين الذين يبالغون في الغي وهم يحسبون أنهم يحسنون صنعا</w:t>
      </w:r>
      <w:r w:rsidR="00DB731D" w:rsidRPr="00A52585">
        <w:rPr>
          <w:rFonts w:hint="cs"/>
          <w:rtl/>
        </w:rPr>
        <w:t>،</w:t>
      </w:r>
      <w:r w:rsidR="00777DCB" w:rsidRPr="00A52585">
        <w:rPr>
          <w:rFonts w:hint="cs"/>
          <w:rtl/>
        </w:rPr>
        <w:t xml:space="preserve"> </w:t>
      </w:r>
    </w:p>
    <w:p w14:paraId="52B09688" w14:textId="70A3DF90" w:rsidR="00777DCB" w:rsidRPr="00A52585" w:rsidRDefault="0002035C" w:rsidP="0002035C">
      <w:pPr>
        <w:spacing w:after="240"/>
        <w:rPr>
          <w:b/>
          <w:rtl/>
        </w:rPr>
      </w:pPr>
      <w:r w:rsidRPr="00A52585">
        <w:rPr>
          <w:rFonts w:hint="cs"/>
          <w:bCs/>
          <w:rtl/>
        </w:rPr>
        <w:t>[</w:t>
      </w:r>
      <w:r w:rsidR="00777DCB" w:rsidRPr="00A52585">
        <w:rPr>
          <w:rFonts w:hint="cs"/>
          <w:bCs/>
          <w:rtl/>
        </w:rPr>
        <w:t>التنزيه بين النفي والتشبيه</w:t>
      </w:r>
      <w:r w:rsidRPr="00A52585">
        <w:rPr>
          <w:rFonts w:hint="cs"/>
          <w:bCs/>
          <w:rtl/>
        </w:rPr>
        <w:t>]</w:t>
      </w:r>
      <w:r w:rsidRPr="00A52585">
        <w:rPr>
          <w:rFonts w:hint="cs"/>
          <w:rtl/>
        </w:rPr>
        <w:t>:</w:t>
      </w:r>
      <w:r w:rsidR="00777DCB" w:rsidRPr="00A52585">
        <w:rPr>
          <w:rFonts w:hint="cs"/>
          <w:rtl/>
        </w:rPr>
        <w:t xml:space="preserve"> قال أبو جعفر الطحاوي رحمه الله </w:t>
      </w:r>
      <w:proofErr w:type="spellStart"/>
      <w:r w:rsidR="00777DCB" w:rsidRPr="00A52585">
        <w:rPr>
          <w:rFonts w:hint="cs"/>
          <w:rtl/>
        </w:rPr>
        <w:t>تعالى</w:t>
      </w:r>
      <w:r w:rsidRPr="00A52585">
        <w:rPr>
          <w:rFonts w:hint="cs"/>
          <w:rtl/>
        </w:rPr>
        <w:t>:</w:t>
      </w:r>
      <w:r w:rsidR="00777DCB" w:rsidRPr="00A52585">
        <w:rPr>
          <w:rFonts w:hint="cs"/>
          <w:rtl/>
        </w:rPr>
        <w:t>"ومن</w:t>
      </w:r>
      <w:proofErr w:type="spellEnd"/>
      <w:r w:rsidR="00777DCB" w:rsidRPr="00A52585">
        <w:rPr>
          <w:rFonts w:hint="cs"/>
          <w:rtl/>
        </w:rPr>
        <w:t xml:space="preserve"> لم يتوقَّ النفي والتشبيه زلَّ ولم يصب التنزيه</w:t>
      </w:r>
      <w:r w:rsidR="00DB731D" w:rsidRPr="00A52585">
        <w:rPr>
          <w:rFonts w:hint="cs"/>
          <w:rtl/>
        </w:rPr>
        <w:t>،</w:t>
      </w:r>
      <w:r w:rsidR="00777DCB" w:rsidRPr="00A52585">
        <w:rPr>
          <w:rFonts w:hint="cs"/>
          <w:rtl/>
        </w:rPr>
        <w:t xml:space="preserve"> فإن ربنا جل وعلا موصوف بصفات الوحدانية منعوت بنعوت الفردانية</w:t>
      </w:r>
      <w:r w:rsidR="00DB731D" w:rsidRPr="00A52585">
        <w:rPr>
          <w:rFonts w:hint="cs"/>
          <w:rtl/>
        </w:rPr>
        <w:t>،</w:t>
      </w:r>
      <w:r w:rsidR="00777DCB" w:rsidRPr="00A52585">
        <w:rPr>
          <w:rFonts w:hint="cs"/>
          <w:rtl/>
        </w:rPr>
        <w:t xml:space="preserve"> ليس بمعناه أحد من البرية</w:t>
      </w:r>
      <w:r w:rsidR="00DB731D" w:rsidRPr="00A52585">
        <w:rPr>
          <w:rFonts w:hint="cs"/>
          <w:rtl/>
        </w:rPr>
        <w:t>،</w:t>
      </w:r>
      <w:r w:rsidR="00777DCB" w:rsidRPr="00A52585">
        <w:rPr>
          <w:rFonts w:hint="cs"/>
          <w:rtl/>
        </w:rPr>
        <w:t xml:space="preserve"> تعالى الله عن الحدود والغايات والأركان والأدوات</w:t>
      </w:r>
      <w:r w:rsidR="00DB731D" w:rsidRPr="00A52585">
        <w:rPr>
          <w:rFonts w:hint="cs"/>
          <w:rtl/>
        </w:rPr>
        <w:t>،</w:t>
      </w:r>
      <w:r w:rsidR="00777DCB" w:rsidRPr="00A52585">
        <w:rPr>
          <w:rFonts w:hint="cs"/>
          <w:rtl/>
        </w:rPr>
        <w:t xml:space="preserve"> لا تحويه الجهات الست كسائر </w:t>
      </w:r>
      <w:proofErr w:type="spellStart"/>
      <w:r w:rsidR="00777DCB" w:rsidRPr="00A52585">
        <w:rPr>
          <w:rFonts w:hint="cs"/>
          <w:rtl/>
        </w:rPr>
        <w:t>المبتدعات."اه</w:t>
      </w:r>
      <w:proofErr w:type="spellEnd"/>
      <w:r w:rsidR="00777DCB" w:rsidRPr="00A52585">
        <w:rPr>
          <w:rFonts w:hint="cs"/>
          <w:rtl/>
        </w:rPr>
        <w:t>ـ</w:t>
      </w:r>
      <w:r w:rsidR="00DB731D" w:rsidRPr="00A52585">
        <w:rPr>
          <w:rFonts w:hint="cs"/>
          <w:rtl/>
        </w:rPr>
        <w:t>،</w:t>
      </w:r>
      <w:r w:rsidR="00777DCB" w:rsidRPr="00A52585">
        <w:rPr>
          <w:rFonts w:hint="cs"/>
          <w:rtl/>
        </w:rPr>
        <w:t xml:space="preserve"> وهذا كلام كله فوائد</w:t>
      </w:r>
      <w:r w:rsidR="00DB731D" w:rsidRPr="00A52585">
        <w:rPr>
          <w:rFonts w:hint="cs"/>
          <w:rtl/>
        </w:rPr>
        <w:t>،</w:t>
      </w:r>
      <w:r w:rsidR="00777DCB" w:rsidRPr="00A52585">
        <w:rPr>
          <w:rFonts w:hint="cs"/>
          <w:rtl/>
        </w:rPr>
        <w:t xml:space="preserve"> وهو حقيق أن يحفظ بلفظه</w:t>
      </w:r>
      <w:r w:rsidR="00DB731D" w:rsidRPr="00A52585">
        <w:rPr>
          <w:rFonts w:hint="cs"/>
          <w:rtl/>
        </w:rPr>
        <w:t>،</w:t>
      </w:r>
      <w:r w:rsidR="00777DCB" w:rsidRPr="00A52585">
        <w:rPr>
          <w:rFonts w:hint="cs"/>
          <w:rtl/>
        </w:rPr>
        <w:t xml:space="preserve"> وقد اشتهرت عقيدة الطحاوي في البلاد بين الناس</w:t>
      </w:r>
      <w:r w:rsidR="00DB731D" w:rsidRPr="00A52585">
        <w:rPr>
          <w:rFonts w:hint="cs"/>
          <w:rtl/>
        </w:rPr>
        <w:t>،</w:t>
      </w:r>
      <w:r w:rsidR="00777DCB" w:rsidRPr="00A52585">
        <w:rPr>
          <w:rFonts w:hint="cs"/>
          <w:rtl/>
        </w:rPr>
        <w:t xml:space="preserve"> ووقع الاتفاق جملةً على صحة ما فيها وأنه يمثل عقيدة أهل السنة</w:t>
      </w:r>
      <w:r w:rsidR="00DB731D" w:rsidRPr="00A52585">
        <w:rPr>
          <w:rFonts w:hint="cs"/>
          <w:rtl/>
        </w:rPr>
        <w:t>،</w:t>
      </w:r>
      <w:r w:rsidR="00777DCB" w:rsidRPr="00A52585">
        <w:rPr>
          <w:rFonts w:hint="cs"/>
          <w:rtl/>
        </w:rPr>
        <w:t xml:space="preserve"> وحاصل معنى هذه الفقرة على وجه الإيجاز</w:t>
      </w:r>
      <w:r w:rsidR="00DB731D" w:rsidRPr="00A52585">
        <w:rPr>
          <w:rFonts w:hint="cs"/>
          <w:rtl/>
        </w:rPr>
        <w:t>،</w:t>
      </w:r>
      <w:r w:rsidR="00777DCB" w:rsidRPr="00A52585">
        <w:rPr>
          <w:rFonts w:hint="cs"/>
          <w:rtl/>
        </w:rPr>
        <w:t xml:space="preserve"> أنه لا يجوز لنا أن ننفي معنى ثبت بالنص في حق الله تعالى</w:t>
      </w:r>
      <w:r w:rsidR="00DB731D" w:rsidRPr="00A52585">
        <w:rPr>
          <w:rFonts w:hint="cs"/>
          <w:rtl/>
        </w:rPr>
        <w:t>،</w:t>
      </w:r>
      <w:r w:rsidR="00777DCB" w:rsidRPr="00A52585">
        <w:rPr>
          <w:rFonts w:hint="cs"/>
          <w:rtl/>
        </w:rPr>
        <w:t xml:space="preserve"> فمثلا إذا ورد في النقل أن الله سميع</w:t>
      </w:r>
      <w:r w:rsidR="00DB731D" w:rsidRPr="00A52585">
        <w:rPr>
          <w:rFonts w:hint="cs"/>
          <w:rtl/>
        </w:rPr>
        <w:t>،</w:t>
      </w:r>
      <w:r w:rsidR="00777DCB" w:rsidRPr="00A52585">
        <w:rPr>
          <w:rFonts w:hint="cs"/>
          <w:rtl/>
        </w:rPr>
        <w:t xml:space="preserve"> وكان ما يفهمه عامة الناس من ظاهر السمع هو اتصال الأمواج الصوتية بطبلة الأذن ثم انتقال الموجات من خلال السائل السمعي إلى الدماغ وتفسيرها هناك</w:t>
      </w:r>
      <w:r w:rsidR="00DB731D" w:rsidRPr="00A52585">
        <w:rPr>
          <w:rFonts w:hint="cs"/>
          <w:rtl/>
        </w:rPr>
        <w:t>،</w:t>
      </w:r>
      <w:r w:rsidR="00777DCB" w:rsidRPr="00A52585">
        <w:rPr>
          <w:rFonts w:hint="cs"/>
          <w:rtl/>
        </w:rPr>
        <w:t xml:space="preserve"> فلا يجوز أن نقول بنفي أصل هذه الكلمة</w:t>
      </w:r>
      <w:r w:rsidR="00DB731D" w:rsidRPr="00A52585">
        <w:rPr>
          <w:rFonts w:hint="cs"/>
          <w:rtl/>
        </w:rPr>
        <w:t>،</w:t>
      </w:r>
      <w:r w:rsidR="00777DCB" w:rsidRPr="00A52585">
        <w:rPr>
          <w:rFonts w:hint="cs"/>
          <w:rtl/>
        </w:rPr>
        <w:t xml:space="preserve"> بحجة أنه يلزم منها النقص</w:t>
      </w:r>
      <w:r w:rsidR="00DB731D" w:rsidRPr="00A52585">
        <w:rPr>
          <w:rFonts w:hint="cs"/>
          <w:rtl/>
        </w:rPr>
        <w:t>،</w:t>
      </w:r>
      <w:r w:rsidR="00777DCB" w:rsidRPr="00A52585">
        <w:rPr>
          <w:rFonts w:hint="cs"/>
          <w:rtl/>
        </w:rPr>
        <w:t xml:space="preserve"> بل نحن نثبت أصلها أي مطلق أن الله سميع</w:t>
      </w:r>
      <w:r w:rsidR="00DB731D" w:rsidRPr="00A52585">
        <w:rPr>
          <w:rFonts w:hint="cs"/>
          <w:rtl/>
        </w:rPr>
        <w:t>،</w:t>
      </w:r>
      <w:r w:rsidR="00777DCB" w:rsidRPr="00A52585">
        <w:rPr>
          <w:rFonts w:hint="cs"/>
          <w:rtl/>
        </w:rPr>
        <w:t xml:space="preserve"> وننفي أن يكون له أذن مثلا</w:t>
      </w:r>
      <w:r w:rsidR="00DB731D" w:rsidRPr="00A52585">
        <w:rPr>
          <w:rFonts w:hint="cs"/>
          <w:rtl/>
        </w:rPr>
        <w:t>،</w:t>
      </w:r>
      <w:r w:rsidR="00777DCB" w:rsidRPr="00A52585">
        <w:rPr>
          <w:rFonts w:hint="cs"/>
          <w:rtl/>
        </w:rPr>
        <w:t xml:space="preserve"> وننفي أن يكون له عضو يحصل بواسطته السمع بل وننفي </w:t>
      </w:r>
      <w:r w:rsidR="00777DCB" w:rsidRPr="00A52585">
        <w:rPr>
          <w:rFonts w:hint="cs"/>
          <w:rtl/>
        </w:rPr>
        <w:lastRenderedPageBreak/>
        <w:t>أن يكون أصل سمع الله تعالى مثل سمعنا</w:t>
      </w:r>
      <w:r w:rsidR="00DB731D" w:rsidRPr="00A52585">
        <w:rPr>
          <w:rFonts w:hint="cs"/>
          <w:rtl/>
        </w:rPr>
        <w:t>،</w:t>
      </w:r>
      <w:r w:rsidR="00777DCB" w:rsidRPr="00A52585">
        <w:rPr>
          <w:rFonts w:hint="cs"/>
          <w:rtl/>
        </w:rPr>
        <w:t xml:space="preserve"> فالحاصل أننا نثبت له سمعا يليق بجلاله وننزهه عن صفات المخلوقين</w:t>
      </w:r>
      <w:r w:rsidR="00DB731D" w:rsidRPr="00A52585">
        <w:rPr>
          <w:rFonts w:hint="cs"/>
          <w:rtl/>
        </w:rPr>
        <w:t>،</w:t>
      </w:r>
      <w:r w:rsidR="00777DCB" w:rsidRPr="00A52585">
        <w:rPr>
          <w:rFonts w:hint="cs"/>
          <w:rtl/>
        </w:rPr>
        <w:t xml:space="preserve"> هذا في اللفظ الذي ليس له إلا معنى واحد</w:t>
      </w:r>
      <w:r w:rsidR="00DB731D" w:rsidRPr="00A52585">
        <w:rPr>
          <w:rFonts w:hint="cs"/>
          <w:rtl/>
        </w:rPr>
        <w:t>،</w:t>
      </w:r>
      <w:r w:rsidR="00777DCB" w:rsidRPr="00A52585">
        <w:rPr>
          <w:rFonts w:hint="cs"/>
          <w:rtl/>
        </w:rPr>
        <w:t xml:space="preserve"> أما ما يحتمل أكثر من معنى فالواجب </w:t>
      </w:r>
      <w:proofErr w:type="spellStart"/>
      <w:r w:rsidR="00777DCB" w:rsidRPr="00A52585">
        <w:rPr>
          <w:rFonts w:hint="cs"/>
          <w:rtl/>
        </w:rPr>
        <w:t>عندذاك</w:t>
      </w:r>
      <w:proofErr w:type="spellEnd"/>
      <w:r w:rsidR="00777DCB" w:rsidRPr="00A52585">
        <w:rPr>
          <w:rFonts w:hint="cs"/>
          <w:rtl/>
        </w:rPr>
        <w:t xml:space="preserve"> هو البحث عن المعنى اللائق بالله تعالى فنصرف اللفظ عن المعنى الباطل الذي لا يجوز نسبته إليه تعالى ونحمله على المعنى الصحيح</w:t>
      </w:r>
      <w:r w:rsidR="00DB731D" w:rsidRPr="00A52585">
        <w:rPr>
          <w:rFonts w:hint="cs"/>
          <w:rtl/>
        </w:rPr>
        <w:t>،</w:t>
      </w:r>
      <w:r w:rsidR="00777DCB" w:rsidRPr="00A52585">
        <w:rPr>
          <w:rFonts w:hint="cs"/>
          <w:rtl/>
        </w:rPr>
        <w:t xml:space="preserve"> وهذا هو معنى التأويل</w:t>
      </w:r>
      <w:r w:rsidR="00DB731D" w:rsidRPr="00A52585">
        <w:rPr>
          <w:rFonts w:hint="cs"/>
          <w:rtl/>
        </w:rPr>
        <w:t>،</w:t>
      </w:r>
      <w:r w:rsidRPr="00A52585">
        <w:rPr>
          <w:rFonts w:hint="cs"/>
          <w:rtl/>
        </w:rPr>
        <w:t xml:space="preserve"> </w:t>
      </w:r>
      <w:r w:rsidR="00777DCB" w:rsidRPr="00A52585">
        <w:rPr>
          <w:rFonts w:hint="cs"/>
          <w:rtl/>
        </w:rPr>
        <w:t>فهذا ما يلزمنا أن نفعله لكي نتوقى النفي</w:t>
      </w:r>
      <w:r w:rsidR="00DB731D" w:rsidRPr="00A52585">
        <w:rPr>
          <w:rFonts w:hint="cs"/>
          <w:rtl/>
        </w:rPr>
        <w:t>،</w:t>
      </w:r>
      <w:r w:rsidR="00777DCB" w:rsidRPr="00A52585">
        <w:rPr>
          <w:rFonts w:hint="cs"/>
          <w:rtl/>
        </w:rPr>
        <w:t xml:space="preserve"> وأما التشبيه فيجب علينا توقيه أيضا</w:t>
      </w:r>
      <w:r w:rsidR="00DB731D" w:rsidRPr="00A52585">
        <w:rPr>
          <w:rFonts w:hint="cs"/>
          <w:rtl/>
        </w:rPr>
        <w:t>،</w:t>
      </w:r>
      <w:r w:rsidR="00777DCB" w:rsidRPr="00A52585">
        <w:rPr>
          <w:rFonts w:hint="cs"/>
          <w:rtl/>
        </w:rPr>
        <w:t xml:space="preserve"> فالله تعالى موصوف بصفات الوحدانية وصفاته ليست كصفات أحد من المخلوقات</w:t>
      </w:r>
      <w:r w:rsidR="00DB731D" w:rsidRPr="00A52585">
        <w:rPr>
          <w:rFonts w:hint="cs"/>
          <w:rtl/>
        </w:rPr>
        <w:t>،</w:t>
      </w:r>
      <w:r w:rsidR="00777DCB" w:rsidRPr="00A52585">
        <w:rPr>
          <w:rFonts w:hint="cs"/>
          <w:rtl/>
        </w:rPr>
        <w:t xml:space="preserve"> هذا هو الأصل الكلي في توقي التشبيه</w:t>
      </w:r>
      <w:r w:rsidR="00DB731D" w:rsidRPr="00A52585">
        <w:rPr>
          <w:rFonts w:hint="cs"/>
          <w:rtl/>
        </w:rPr>
        <w:t>،</w:t>
      </w:r>
      <w:r w:rsidR="00777DCB" w:rsidRPr="00A52585">
        <w:rPr>
          <w:rFonts w:hint="cs"/>
          <w:rtl/>
        </w:rPr>
        <w:t xml:space="preserve"> فكل ما يدل على الحدوث وعلى سمة النقص فالرب يتعالى ويتقدس عنه</w:t>
      </w:r>
      <w:r w:rsidR="00DB731D" w:rsidRPr="00A52585">
        <w:rPr>
          <w:rFonts w:hint="cs"/>
          <w:rtl/>
        </w:rPr>
        <w:t>،</w:t>
      </w:r>
      <w:r w:rsidR="00777DCB" w:rsidRPr="00A52585">
        <w:rPr>
          <w:rFonts w:hint="cs"/>
          <w:rtl/>
        </w:rPr>
        <w:t xml:space="preserve"> وكون الشيء له نهاية في وجوده اللائق به فهذا هو المحدود</w:t>
      </w:r>
      <w:r w:rsidR="00DB731D" w:rsidRPr="00A52585">
        <w:rPr>
          <w:rFonts w:hint="cs"/>
          <w:rtl/>
        </w:rPr>
        <w:t>،</w:t>
      </w:r>
      <w:r w:rsidR="00777DCB" w:rsidRPr="00A52585">
        <w:rPr>
          <w:rFonts w:hint="cs"/>
          <w:rtl/>
        </w:rPr>
        <w:t xml:space="preserve"> وهذا نقص</w:t>
      </w:r>
      <w:r w:rsidR="00DB731D" w:rsidRPr="00A52585">
        <w:rPr>
          <w:rFonts w:hint="cs"/>
          <w:rtl/>
        </w:rPr>
        <w:t>،</w:t>
      </w:r>
      <w:r w:rsidR="00777DCB" w:rsidRPr="00A52585">
        <w:rPr>
          <w:rFonts w:hint="cs"/>
          <w:rtl/>
        </w:rPr>
        <w:t xml:space="preserve"> والاتصاف بالأركان وهي الأجزاء نقص</w:t>
      </w:r>
      <w:r w:rsidR="00DB731D" w:rsidRPr="00A52585">
        <w:rPr>
          <w:rFonts w:hint="cs"/>
          <w:rtl/>
        </w:rPr>
        <w:t>،</w:t>
      </w:r>
      <w:r w:rsidR="00777DCB" w:rsidRPr="00A52585">
        <w:rPr>
          <w:rFonts w:hint="cs"/>
          <w:rtl/>
        </w:rPr>
        <w:t xml:space="preserve"> لأن في ذلك دلالة على وجود من ركَّبَ هذه الأجزاء</w:t>
      </w:r>
      <w:r w:rsidR="00DB731D" w:rsidRPr="00A52585">
        <w:rPr>
          <w:rFonts w:hint="cs"/>
          <w:rtl/>
        </w:rPr>
        <w:t>،</w:t>
      </w:r>
      <w:r w:rsidR="00777DCB" w:rsidRPr="00A52585">
        <w:rPr>
          <w:rFonts w:hint="cs"/>
          <w:rtl/>
        </w:rPr>
        <w:t xml:space="preserve"> وكذلك الاتصاف بالأدوات وهي الآلات التي يتوصل بها إلى ما يريد صاحبها</w:t>
      </w:r>
      <w:r w:rsidR="00DB731D" w:rsidRPr="00A52585">
        <w:rPr>
          <w:rFonts w:hint="cs"/>
          <w:rtl/>
        </w:rPr>
        <w:t>،</w:t>
      </w:r>
      <w:r w:rsidR="00777DCB" w:rsidRPr="00A52585">
        <w:rPr>
          <w:rFonts w:hint="cs"/>
          <w:rtl/>
        </w:rPr>
        <w:t xml:space="preserve"> تدل على نقصه</w:t>
      </w:r>
      <w:r w:rsidR="00DB731D" w:rsidRPr="00A52585">
        <w:rPr>
          <w:rFonts w:hint="cs"/>
          <w:rtl/>
        </w:rPr>
        <w:t>،</w:t>
      </w:r>
      <w:r w:rsidR="00777DCB" w:rsidRPr="00A52585">
        <w:rPr>
          <w:rFonts w:hint="cs"/>
          <w:rtl/>
        </w:rPr>
        <w:t xml:space="preserve"> فلذلك لما اتصف الانسان بالأركان والأدوات عرفنا أنه ناقص</w:t>
      </w:r>
      <w:r w:rsidR="00DB731D" w:rsidRPr="00A52585">
        <w:rPr>
          <w:rFonts w:hint="cs"/>
          <w:rtl/>
        </w:rPr>
        <w:t>،</w:t>
      </w:r>
      <w:r w:rsidR="00777DCB" w:rsidRPr="00A52585">
        <w:rPr>
          <w:rFonts w:hint="cs"/>
          <w:rtl/>
        </w:rPr>
        <w:t xml:space="preserve"> لأن كل أداة وكل ركن فهو ناقص</w:t>
      </w:r>
      <w:r w:rsidR="00DB731D" w:rsidRPr="00A52585">
        <w:rPr>
          <w:rFonts w:hint="cs"/>
          <w:rtl/>
        </w:rPr>
        <w:t>،</w:t>
      </w:r>
      <w:r w:rsidR="00777DCB" w:rsidRPr="00A52585">
        <w:rPr>
          <w:rFonts w:hint="cs"/>
          <w:rtl/>
        </w:rPr>
        <w:t xml:space="preserve"> وكذلك يكون كل من هو في جهة من الجهات محدودا</w:t>
      </w:r>
      <w:r w:rsidR="00DB731D" w:rsidRPr="00A52585">
        <w:rPr>
          <w:rFonts w:hint="cs"/>
          <w:rtl/>
        </w:rPr>
        <w:t>،</w:t>
      </w:r>
      <w:r w:rsidR="00777DCB" w:rsidRPr="00A52585">
        <w:rPr>
          <w:rFonts w:hint="cs"/>
          <w:rtl/>
        </w:rPr>
        <w:t xml:space="preserve"> وقد عرفنا أن المحدود ناقص</w:t>
      </w:r>
      <w:r w:rsidR="00DB731D" w:rsidRPr="00A52585">
        <w:rPr>
          <w:rFonts w:hint="cs"/>
          <w:rtl/>
        </w:rPr>
        <w:t>،</w:t>
      </w:r>
      <w:r w:rsidR="00777DCB" w:rsidRPr="00A52585">
        <w:rPr>
          <w:rFonts w:hint="cs"/>
          <w:rtl/>
        </w:rPr>
        <w:t xml:space="preserve"> ولهذا ينفي الإمام الطحاوي أن يكون الله تعالى في جهة من الجهات</w:t>
      </w:r>
      <w:r w:rsidR="00DB731D" w:rsidRPr="00A52585">
        <w:rPr>
          <w:rFonts w:hint="cs"/>
          <w:rtl/>
        </w:rPr>
        <w:t>،</w:t>
      </w:r>
      <w:r w:rsidR="00777DCB" w:rsidRPr="00A52585">
        <w:rPr>
          <w:rFonts w:hint="cs"/>
          <w:rtl/>
        </w:rPr>
        <w:t xml:space="preserve"> وعلى ذلك مذهب أهل السنة كلهم</w:t>
      </w:r>
      <w:r w:rsidR="00DB731D" w:rsidRPr="00A52585">
        <w:rPr>
          <w:rFonts w:hint="cs"/>
          <w:rtl/>
        </w:rPr>
        <w:t>،</w:t>
      </w:r>
      <w:r w:rsidR="00777DCB" w:rsidRPr="00A52585">
        <w:rPr>
          <w:rFonts w:hint="cs"/>
          <w:rtl/>
        </w:rPr>
        <w:t xml:space="preserve"> ولم يخالفهم في هذا إلا من التحق </w:t>
      </w:r>
      <w:proofErr w:type="spellStart"/>
      <w:r w:rsidR="00777DCB" w:rsidRPr="00A52585">
        <w:rPr>
          <w:rFonts w:hint="cs"/>
          <w:rtl/>
        </w:rPr>
        <w:t>بالحشوية</w:t>
      </w:r>
      <w:proofErr w:type="spellEnd"/>
      <w:r w:rsidR="00777DCB" w:rsidRPr="00A52585">
        <w:rPr>
          <w:rFonts w:hint="cs"/>
          <w:rtl/>
        </w:rPr>
        <w:t xml:space="preserve"> من المشبهة</w:t>
      </w:r>
      <w:r w:rsidR="00DB731D" w:rsidRPr="00A52585">
        <w:rPr>
          <w:rFonts w:hint="cs"/>
          <w:rtl/>
        </w:rPr>
        <w:t>،</w:t>
      </w:r>
      <w:r w:rsidR="00777DCB" w:rsidRPr="00A52585">
        <w:rPr>
          <w:rFonts w:hint="cs"/>
          <w:rtl/>
        </w:rPr>
        <w:t xml:space="preserve"> قال الشيخ شهاب الدين </w:t>
      </w:r>
      <w:proofErr w:type="spellStart"/>
      <w:r w:rsidR="00777DCB" w:rsidRPr="00A52585">
        <w:rPr>
          <w:rFonts w:hint="cs"/>
          <w:rtl/>
        </w:rPr>
        <w:t>الحلبي</w:t>
      </w:r>
      <w:r w:rsidRPr="00A52585">
        <w:rPr>
          <w:rFonts w:hint="cs"/>
          <w:rtl/>
        </w:rPr>
        <w:t>:</w:t>
      </w:r>
      <w:r w:rsidR="00777DCB" w:rsidRPr="00A52585">
        <w:rPr>
          <w:rFonts w:hint="cs"/>
          <w:rtl/>
        </w:rPr>
        <w:t>"مذهب</w:t>
      </w:r>
      <w:proofErr w:type="spellEnd"/>
      <w:r w:rsidR="00777DCB" w:rsidRPr="00A52585">
        <w:rPr>
          <w:rFonts w:hint="cs"/>
          <w:rtl/>
        </w:rPr>
        <w:t xml:space="preserve"> </w:t>
      </w:r>
      <w:proofErr w:type="spellStart"/>
      <w:r w:rsidR="00777DCB" w:rsidRPr="00A52585">
        <w:rPr>
          <w:rFonts w:hint="cs"/>
          <w:rtl/>
        </w:rPr>
        <w:t>الحشوية</w:t>
      </w:r>
      <w:proofErr w:type="spellEnd"/>
      <w:r w:rsidR="00777DCB" w:rsidRPr="00A52585">
        <w:rPr>
          <w:rFonts w:hint="cs"/>
          <w:rtl/>
        </w:rPr>
        <w:t xml:space="preserve"> في إثبات الجهة مذهب واهٍ ساقط</w:t>
      </w:r>
      <w:r w:rsidR="00DB731D" w:rsidRPr="00A52585">
        <w:rPr>
          <w:rFonts w:hint="cs"/>
          <w:rtl/>
        </w:rPr>
        <w:t>،</w:t>
      </w:r>
      <w:r w:rsidR="00777DCB" w:rsidRPr="00A52585">
        <w:rPr>
          <w:rFonts w:hint="cs"/>
          <w:rtl/>
        </w:rPr>
        <w:t xml:space="preserve"> يظهر فساده من مجرد تصوره</w:t>
      </w:r>
      <w:r w:rsidR="00DB731D" w:rsidRPr="00A52585">
        <w:rPr>
          <w:rFonts w:hint="cs"/>
          <w:rtl/>
        </w:rPr>
        <w:t>،</w:t>
      </w:r>
      <w:r w:rsidR="00777DCB" w:rsidRPr="00A52585">
        <w:rPr>
          <w:rFonts w:hint="cs"/>
          <w:rtl/>
        </w:rPr>
        <w:t xml:space="preserve"> حتى قالت الأئمة</w:t>
      </w:r>
      <w:r w:rsidRPr="00A52585">
        <w:rPr>
          <w:rFonts w:hint="cs"/>
          <w:rtl/>
        </w:rPr>
        <w:t>:</w:t>
      </w:r>
      <w:r w:rsidR="00777DCB" w:rsidRPr="00A52585">
        <w:rPr>
          <w:rFonts w:hint="cs"/>
          <w:rtl/>
        </w:rPr>
        <w:t xml:space="preserve"> لولا اغترار العامة بهم </w:t>
      </w:r>
      <w:r w:rsidRPr="00A52585">
        <w:rPr>
          <w:rFonts w:hint="cs"/>
          <w:sz w:val="24"/>
          <w:szCs w:val="24"/>
          <w:rtl/>
        </w:rPr>
        <w:t>[</w:t>
      </w:r>
      <w:r w:rsidR="00777DCB" w:rsidRPr="00A52585">
        <w:rPr>
          <w:sz w:val="24"/>
          <w:szCs w:val="24"/>
          <w:rtl/>
        </w:rPr>
        <w:t>المجسمة دائما يستعملون كلمات عامة عاطفية في مواعظهم، ودائما يستخدمون عبارات تدفع الواحد نحو التعصب فتعمى عيناه وينغلق قلبه، فيندفع فورا وراء الدعاة إلى هذا المذهب، وهذا هو نفسه ما يحصل في هذا الزمان، فإننا نرى دعاة هذا المذهب يتطاولون على الآخرين بشتى كلمات وألقاب التعصب، ولا يتورعون عن اتهامهم بشتى التهم لا عن دليل بل لمجرد توجيه العامة نحو مخالفيهم. فتراهم يتهمونهم بالكفر والزندقة وتخريب الدين، وإبطال القرآن والسنة، والعمالة للأجانب، والتهاون بالأديان، وغير ذلك من الاتهامات. وهذا ما صوره كثير من العلماء في مختلف الأزمنة. انظر مثلا رسالة الذهبي إلى ابن تيمية، وتابع أحوالهم وحوادثهم في كتب التواريخ على مر العصور. وندعو الله تعالى أن يوفقنا إلى كتابة رسالة خاصة نبين بها هذه الأحوال</w:t>
      </w:r>
      <w:r w:rsidRPr="00A52585">
        <w:rPr>
          <w:rFonts w:hint="cs"/>
          <w:sz w:val="24"/>
          <w:szCs w:val="24"/>
          <w:rtl/>
        </w:rPr>
        <w:t xml:space="preserve">] </w:t>
      </w:r>
      <w:r w:rsidR="00777DCB" w:rsidRPr="00A52585">
        <w:rPr>
          <w:rFonts w:hint="cs"/>
          <w:rtl/>
        </w:rPr>
        <w:t>لما صُرِفَ إليهم عنان الفكر</w:t>
      </w:r>
      <w:r w:rsidR="00DB731D" w:rsidRPr="00A52585">
        <w:rPr>
          <w:rFonts w:hint="cs"/>
          <w:rtl/>
        </w:rPr>
        <w:t>،</w:t>
      </w:r>
      <w:r w:rsidR="00777DCB" w:rsidRPr="00A52585">
        <w:rPr>
          <w:rFonts w:hint="cs"/>
          <w:rtl/>
        </w:rPr>
        <w:t xml:space="preserve"> ولا قَطَرَ القلم في الردِّ عليهم " </w:t>
      </w:r>
      <w:r w:rsidRPr="00A52585">
        <w:rPr>
          <w:rFonts w:hint="cs"/>
          <w:rtl/>
        </w:rPr>
        <w:t>[</w:t>
      </w:r>
      <w:r w:rsidR="00777DCB" w:rsidRPr="00A52585">
        <w:rPr>
          <w:rtl/>
        </w:rPr>
        <w:t>رسالته المودعة في طبقات الشافعية الكبرى للإمام السبكي(9/36)</w:t>
      </w:r>
      <w:r w:rsidRPr="00A52585">
        <w:rPr>
          <w:rFonts w:hint="cs"/>
          <w:rtl/>
        </w:rPr>
        <w:t>]</w:t>
      </w:r>
      <w:r w:rsidR="00DB731D" w:rsidRPr="00A52585">
        <w:rPr>
          <w:rFonts w:hint="cs"/>
          <w:rtl/>
        </w:rPr>
        <w:t>،</w:t>
      </w:r>
      <w:r w:rsidR="00777DCB" w:rsidRPr="00A52585">
        <w:rPr>
          <w:rFonts w:hint="cs"/>
          <w:rtl/>
        </w:rPr>
        <w:t xml:space="preserve"> </w:t>
      </w:r>
      <w:proofErr w:type="spellStart"/>
      <w:r w:rsidR="00777DCB" w:rsidRPr="00A52585">
        <w:rPr>
          <w:rFonts w:hint="cs"/>
          <w:rtl/>
        </w:rPr>
        <w:t>وقال</w:t>
      </w:r>
      <w:r w:rsidRPr="00A52585">
        <w:rPr>
          <w:rFonts w:hint="cs"/>
          <w:rtl/>
        </w:rPr>
        <w:t>:</w:t>
      </w:r>
      <w:r w:rsidR="00777DCB" w:rsidRPr="00A52585">
        <w:rPr>
          <w:rFonts w:hint="cs"/>
          <w:rtl/>
        </w:rPr>
        <w:t>"وبالله</w:t>
      </w:r>
      <w:proofErr w:type="spellEnd"/>
      <w:r w:rsidR="00777DCB" w:rsidRPr="00A52585">
        <w:rPr>
          <w:rFonts w:hint="cs"/>
          <w:rtl/>
        </w:rPr>
        <w:t xml:space="preserve"> أقسم يميناً بَرَّةً</w:t>
      </w:r>
      <w:r w:rsidR="00DB731D" w:rsidRPr="00A52585">
        <w:rPr>
          <w:rFonts w:hint="cs"/>
          <w:rtl/>
        </w:rPr>
        <w:t>،</w:t>
      </w:r>
      <w:r w:rsidR="00777DCB" w:rsidRPr="00A52585">
        <w:rPr>
          <w:rFonts w:hint="cs"/>
          <w:rtl/>
        </w:rPr>
        <w:t xml:space="preserve"> ما هي مرة</w:t>
      </w:r>
      <w:r w:rsidR="00DB731D" w:rsidRPr="00A52585">
        <w:rPr>
          <w:rFonts w:hint="cs"/>
          <w:rtl/>
        </w:rPr>
        <w:t>،</w:t>
      </w:r>
      <w:r w:rsidR="00777DCB" w:rsidRPr="00A52585">
        <w:rPr>
          <w:rFonts w:hint="cs"/>
          <w:rtl/>
        </w:rPr>
        <w:t xml:space="preserve"> بل ألفُ ألفِ مرة</w:t>
      </w:r>
      <w:r w:rsidR="00DB731D" w:rsidRPr="00A52585">
        <w:rPr>
          <w:rFonts w:hint="cs"/>
          <w:rtl/>
        </w:rPr>
        <w:t>،</w:t>
      </w:r>
      <w:r w:rsidR="00777DCB" w:rsidRPr="00A52585">
        <w:rPr>
          <w:rFonts w:hint="cs"/>
          <w:rtl/>
        </w:rPr>
        <w:t xml:space="preserve"> أن سيد الرسل صلى الله عليه وسلم لم يقل أيها الناس اعتقدوا أن الله تعالى في جهة العلو " أهــ </w:t>
      </w:r>
      <w:r w:rsidRPr="00A52585">
        <w:rPr>
          <w:rFonts w:hint="cs"/>
          <w:rtl/>
        </w:rPr>
        <w:t>[</w:t>
      </w:r>
      <w:r w:rsidR="00777DCB" w:rsidRPr="00A52585">
        <w:rPr>
          <w:rtl/>
        </w:rPr>
        <w:t xml:space="preserve">رسالة ابن </w:t>
      </w:r>
      <w:proofErr w:type="spellStart"/>
      <w:r w:rsidR="00777DCB" w:rsidRPr="00A52585">
        <w:rPr>
          <w:rtl/>
        </w:rPr>
        <w:t>جهبل</w:t>
      </w:r>
      <w:proofErr w:type="spellEnd"/>
      <w:r w:rsidR="00777DCB" w:rsidRPr="00A52585">
        <w:rPr>
          <w:rtl/>
        </w:rPr>
        <w:t xml:space="preserve"> في طبقات الشافعية (9/38)</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ولاحظ أنه يوجد فرق عظيم بين مطلق العلوِّ وبين جهة العلو</w:t>
      </w:r>
      <w:r w:rsidR="00DB731D" w:rsidRPr="00A52585">
        <w:rPr>
          <w:rFonts w:hint="cs"/>
          <w:rtl/>
        </w:rPr>
        <w:t>،</w:t>
      </w:r>
      <w:r w:rsidR="00777DCB" w:rsidRPr="00A52585">
        <w:rPr>
          <w:rFonts w:hint="cs"/>
          <w:rtl/>
        </w:rPr>
        <w:t xml:space="preserve"> فالذي ورد في الشرع ويجب على المسلم أن يؤمن به</w:t>
      </w:r>
      <w:r w:rsidR="00DB731D" w:rsidRPr="00A52585">
        <w:rPr>
          <w:rFonts w:hint="cs"/>
          <w:rtl/>
        </w:rPr>
        <w:t>،</w:t>
      </w:r>
      <w:r w:rsidR="00777DCB" w:rsidRPr="00A52585">
        <w:rPr>
          <w:rFonts w:hint="cs"/>
          <w:rtl/>
        </w:rPr>
        <w:t xml:space="preserve"> هو أن الله تعالى عليٌّ</w:t>
      </w:r>
      <w:r w:rsidR="00DB731D" w:rsidRPr="00A52585">
        <w:rPr>
          <w:rFonts w:hint="cs"/>
          <w:rtl/>
        </w:rPr>
        <w:t>،</w:t>
      </w:r>
      <w:r w:rsidR="00777DCB" w:rsidRPr="00A52585">
        <w:rPr>
          <w:rFonts w:hint="cs"/>
          <w:rtl/>
        </w:rPr>
        <w:t xml:space="preserve"> وهذا هو مطلق العلو</w:t>
      </w:r>
      <w:r w:rsidR="00DB731D" w:rsidRPr="00A52585">
        <w:rPr>
          <w:rFonts w:hint="cs"/>
          <w:rtl/>
        </w:rPr>
        <w:t>،</w:t>
      </w:r>
      <w:r w:rsidR="00777DCB" w:rsidRPr="00A52585">
        <w:rPr>
          <w:rFonts w:hint="cs"/>
          <w:rtl/>
        </w:rPr>
        <w:t xml:space="preserve"> أما أن يقال الله تعالى في جهة هي الفوق</w:t>
      </w:r>
      <w:r w:rsidR="00DB731D" w:rsidRPr="00A52585">
        <w:rPr>
          <w:rFonts w:hint="cs"/>
          <w:rtl/>
        </w:rPr>
        <w:t>،</w:t>
      </w:r>
      <w:r w:rsidR="00777DCB" w:rsidRPr="00A52585">
        <w:rPr>
          <w:rFonts w:hint="cs"/>
          <w:rtl/>
        </w:rPr>
        <w:t xml:space="preserve"> </w:t>
      </w:r>
      <w:r w:rsidR="00777DCB" w:rsidRPr="00A52585">
        <w:rPr>
          <w:rFonts w:hint="cs"/>
          <w:rtl/>
        </w:rPr>
        <w:lastRenderedPageBreak/>
        <w:t>فلم يَرِدْ</w:t>
      </w:r>
      <w:r w:rsidR="00DB731D" w:rsidRPr="00A52585">
        <w:rPr>
          <w:rFonts w:hint="cs"/>
          <w:rtl/>
        </w:rPr>
        <w:t>،</w:t>
      </w:r>
      <w:r w:rsidR="00777DCB" w:rsidRPr="00A52585">
        <w:rPr>
          <w:rFonts w:hint="cs"/>
          <w:rtl/>
        </w:rPr>
        <w:t xml:space="preserve"> بل هو باطل لا يجوز اعتقاده</w:t>
      </w:r>
      <w:r w:rsidR="00DB731D" w:rsidRPr="00A52585">
        <w:rPr>
          <w:rFonts w:hint="cs"/>
          <w:rtl/>
        </w:rPr>
        <w:t>،</w:t>
      </w:r>
      <w:r w:rsidR="00777DCB" w:rsidRPr="00A52585">
        <w:rPr>
          <w:rFonts w:hint="cs"/>
          <w:rtl/>
        </w:rPr>
        <w:t xml:space="preserve"> ولذلك نفى أبو جعفر الطحاوي الجهات كلها عن الله تعالى</w:t>
      </w:r>
      <w:r w:rsidR="00DB731D" w:rsidRPr="00A52585">
        <w:rPr>
          <w:rFonts w:hint="cs"/>
          <w:rtl/>
        </w:rPr>
        <w:t>،</w:t>
      </w:r>
      <w:r w:rsidR="00777DCB" w:rsidRPr="00A52585">
        <w:rPr>
          <w:rFonts w:hint="cs"/>
          <w:rtl/>
        </w:rPr>
        <w:t xml:space="preserve"> ولو كانت جهة العلو ثابتة في حق الله تعالى فما الذي يمنع الطحاوي من التصريح بها أو استثنائها من سائر الجهات؟ وأما تأويل كلامه لا لدليل بل لمجرد اتباع هوى والقول أنه أراد كذا ولم يَرِد كذا فما هو إلا تحريف</w:t>
      </w:r>
      <w:r w:rsidR="00DB731D" w:rsidRPr="00A52585">
        <w:rPr>
          <w:rFonts w:hint="cs"/>
          <w:rtl/>
        </w:rPr>
        <w:t>،</w:t>
      </w:r>
      <w:r w:rsidR="00777DCB" w:rsidRPr="00A52585">
        <w:rPr>
          <w:rFonts w:hint="cs"/>
          <w:rtl/>
        </w:rPr>
        <w:t xml:space="preserve"> فالذي يثبت الجهة في حق الله تعالى يقع في أمرين</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الأول</w:t>
      </w:r>
      <w:r w:rsidRPr="00A52585">
        <w:rPr>
          <w:rFonts w:hint="cs"/>
          <w:rtl/>
        </w:rPr>
        <w:t>):</w:t>
      </w:r>
      <w:r w:rsidR="00777DCB" w:rsidRPr="00A52585">
        <w:rPr>
          <w:rFonts w:hint="cs"/>
          <w:rtl/>
        </w:rPr>
        <w:t xml:space="preserve"> وصف الله تعالى بلفظ لم يرد في كتاب ولا في سنة ولا ورد عن تابع</w:t>
      </w:r>
      <w:r w:rsidR="00DB731D" w:rsidRPr="00A52585">
        <w:rPr>
          <w:rFonts w:hint="cs"/>
          <w:rtl/>
        </w:rPr>
        <w:t>،</w:t>
      </w:r>
      <w:r w:rsidR="00777DCB" w:rsidRPr="00A52585">
        <w:rPr>
          <w:rFonts w:hint="cs"/>
          <w:rtl/>
        </w:rPr>
        <w:t xml:space="preserve"> لا سيما وأن الذين يدَّعون أنهم سلفيون يقولون لا نَصِفُ اللهَ إلا بما ورد عن الله ورسوله ثم تراهم أول الناس يخالفون ذلك</w:t>
      </w:r>
      <w:r w:rsidR="00DB731D" w:rsidRPr="00A52585">
        <w:rPr>
          <w:rFonts w:hint="cs"/>
          <w:rtl/>
        </w:rPr>
        <w:t>،</w:t>
      </w:r>
      <w:r w:rsidR="00777DCB" w:rsidRPr="00A52585">
        <w:rPr>
          <w:rFonts w:hint="cs"/>
          <w:rtl/>
        </w:rPr>
        <w:t xml:space="preserve"> </w:t>
      </w:r>
      <w:r w:rsidRPr="00A52585">
        <w:rPr>
          <w:rFonts w:hint="cs"/>
          <w:rtl/>
        </w:rPr>
        <w:t>(</w:t>
      </w:r>
      <w:r w:rsidR="00777DCB" w:rsidRPr="00A52585">
        <w:rPr>
          <w:rFonts w:hint="cs"/>
          <w:rtl/>
        </w:rPr>
        <w:t>الثاني</w:t>
      </w:r>
      <w:r w:rsidRPr="00A52585">
        <w:rPr>
          <w:rFonts w:hint="cs"/>
          <w:rtl/>
        </w:rPr>
        <w:t>):</w:t>
      </w:r>
      <w:r w:rsidR="00777DCB" w:rsidRPr="00A52585">
        <w:rPr>
          <w:rFonts w:hint="cs"/>
          <w:rtl/>
        </w:rPr>
        <w:t xml:space="preserve"> إن هذه اللفظة تحمل معاني فاسدة لا يجوز نسبتها إلى الله تعالى لما تحويه من نقص</w:t>
      </w:r>
      <w:r w:rsidR="00DB731D" w:rsidRPr="00A52585">
        <w:rPr>
          <w:rFonts w:hint="cs"/>
          <w:rtl/>
        </w:rPr>
        <w:t>،</w:t>
      </w:r>
      <w:r w:rsidR="00777DCB" w:rsidRPr="00A52585">
        <w:rPr>
          <w:rFonts w:hint="cs"/>
          <w:rtl/>
        </w:rPr>
        <w:t xml:space="preserve"> قال أبو جعفر </w:t>
      </w:r>
      <w:proofErr w:type="spellStart"/>
      <w:r w:rsidR="00777DCB" w:rsidRPr="00A52585">
        <w:rPr>
          <w:rFonts w:hint="cs"/>
          <w:rtl/>
        </w:rPr>
        <w:t>الطحاوي</w:t>
      </w:r>
      <w:r w:rsidRPr="00A52585">
        <w:rPr>
          <w:rFonts w:hint="cs"/>
          <w:rtl/>
        </w:rPr>
        <w:t>:</w:t>
      </w:r>
      <w:r w:rsidR="00777DCB" w:rsidRPr="00A52585">
        <w:rPr>
          <w:rFonts w:hint="cs"/>
          <w:rtl/>
        </w:rPr>
        <w:t>"ومن</w:t>
      </w:r>
      <w:proofErr w:type="spellEnd"/>
      <w:r w:rsidR="00777DCB" w:rsidRPr="00A52585">
        <w:rPr>
          <w:rFonts w:hint="cs"/>
          <w:rtl/>
        </w:rPr>
        <w:t xml:space="preserve"> وصف الله بمعنى من معاني البشر فقد كفر"</w:t>
      </w:r>
      <w:r w:rsidR="00DB731D" w:rsidRPr="00A52585">
        <w:rPr>
          <w:rFonts w:hint="cs"/>
          <w:rtl/>
        </w:rPr>
        <w:t>،</w:t>
      </w:r>
      <w:r w:rsidR="00777DCB" w:rsidRPr="00A52585">
        <w:rPr>
          <w:rFonts w:hint="cs"/>
          <w:rtl/>
        </w:rPr>
        <w:t xml:space="preserve"> والكون في الجهات وصف ملازم للبشر وهو بعد هذا يدل على نقص</w:t>
      </w:r>
      <w:r w:rsidR="00DB731D" w:rsidRPr="00A52585">
        <w:rPr>
          <w:rFonts w:hint="cs"/>
          <w:rtl/>
        </w:rPr>
        <w:t>،</w:t>
      </w:r>
      <w:r w:rsidR="00777DCB" w:rsidRPr="00A52585">
        <w:rPr>
          <w:rFonts w:hint="cs"/>
          <w:rtl/>
        </w:rPr>
        <w:t xml:space="preserve"> وليس فيه دلالة على الشرف</w:t>
      </w:r>
      <w:r w:rsidR="00DB731D" w:rsidRPr="00A52585">
        <w:rPr>
          <w:rFonts w:hint="cs"/>
          <w:rtl/>
        </w:rPr>
        <w:t>،</w:t>
      </w:r>
      <w:r w:rsidR="00777DCB" w:rsidRPr="00A52585">
        <w:rPr>
          <w:rFonts w:hint="cs"/>
          <w:rtl/>
        </w:rPr>
        <w:t xml:space="preserve"> فالذي يسكن في الطابق العاشر مثلا لا يلزم أن يكون أشرف من الذي يسكن في الطابق الثاني</w:t>
      </w:r>
      <w:r w:rsidR="00DB731D" w:rsidRPr="00A52585">
        <w:rPr>
          <w:rFonts w:hint="cs"/>
          <w:rtl/>
        </w:rPr>
        <w:t>،</w:t>
      </w:r>
      <w:r w:rsidR="00777DCB" w:rsidRPr="00A52585">
        <w:rPr>
          <w:rFonts w:hint="cs"/>
          <w:rtl/>
        </w:rPr>
        <w:t xml:space="preserve"> ولا توجد دلالة شرعية ولا عقلية على أن المكان العالي أشرف من المكان الواطي</w:t>
      </w:r>
      <w:r w:rsidR="00DB731D" w:rsidRPr="00A52585">
        <w:rPr>
          <w:rFonts w:hint="cs"/>
          <w:rtl/>
        </w:rPr>
        <w:t>،</w:t>
      </w:r>
      <w:r w:rsidR="00777DCB" w:rsidRPr="00A52585">
        <w:rPr>
          <w:rFonts w:hint="cs"/>
          <w:rtl/>
        </w:rPr>
        <w:t xml:space="preserve"> فإثبات جهة العلوّ إنما هو تحكم واتباع للهوى</w:t>
      </w:r>
      <w:r w:rsidR="00DB731D" w:rsidRPr="00A52585">
        <w:rPr>
          <w:rFonts w:hint="cs"/>
          <w:rtl/>
        </w:rPr>
        <w:t>،</w:t>
      </w:r>
      <w:r w:rsidRPr="00A52585">
        <w:rPr>
          <w:rFonts w:hint="cs"/>
          <w:rtl/>
        </w:rPr>
        <w:t xml:space="preserve"> </w:t>
      </w:r>
      <w:r w:rsidR="00777DCB" w:rsidRPr="00A52585">
        <w:rPr>
          <w:rFonts w:hint="cs"/>
          <w:rtl/>
        </w:rPr>
        <w:t>ولهذا ذكر الإمام الجويني رحمه الله تعالى جملة عامة هي قاعدة في هذا الباب</w:t>
      </w:r>
      <w:r w:rsidR="00777DCB" w:rsidRPr="00A52585">
        <w:rPr>
          <w:rFonts w:hint="cs"/>
          <w:vertAlign w:val="superscript"/>
          <w:rtl/>
        </w:rPr>
        <w:t xml:space="preserve"> </w:t>
      </w:r>
      <w:r w:rsidRPr="00A52585">
        <w:rPr>
          <w:rFonts w:hint="cs"/>
          <w:rtl/>
        </w:rPr>
        <w:t>[</w:t>
      </w:r>
      <w:r w:rsidR="00777DCB" w:rsidRPr="00A52585">
        <w:rPr>
          <w:rtl/>
        </w:rPr>
        <w:t>العقيدة النظامية في الأركان الإسلامية</w:t>
      </w:r>
      <w:r w:rsidR="00DB731D" w:rsidRPr="00A52585">
        <w:rPr>
          <w:rFonts w:hint="cs"/>
          <w:rtl/>
        </w:rPr>
        <w:t>،</w:t>
      </w:r>
      <w:r w:rsidR="00777DCB" w:rsidRPr="00A52585">
        <w:rPr>
          <w:rFonts w:hint="cs"/>
          <w:rtl/>
        </w:rPr>
        <w:t xml:space="preserve"> </w:t>
      </w:r>
      <w:r w:rsidR="00777DCB" w:rsidRPr="00A52585">
        <w:rPr>
          <w:rtl/>
        </w:rPr>
        <w:t>ص21</w:t>
      </w:r>
      <w:r w:rsidRPr="00A52585">
        <w:rPr>
          <w:rFonts w:hint="cs"/>
          <w:rtl/>
        </w:rPr>
        <w:t>]:</w:t>
      </w:r>
      <w:r w:rsidR="00777DCB" w:rsidRPr="00A52585">
        <w:rPr>
          <w:rFonts w:hint="cs"/>
          <w:rtl/>
        </w:rPr>
        <w:t xml:space="preserve"> "كل صفة في المخلوقات دل ثبوتها على مخصص </w:t>
      </w:r>
      <w:proofErr w:type="spellStart"/>
      <w:r w:rsidR="00777DCB" w:rsidRPr="00A52585">
        <w:rPr>
          <w:rFonts w:hint="cs"/>
          <w:rtl/>
        </w:rPr>
        <w:t>يؤثرها</w:t>
      </w:r>
      <w:proofErr w:type="spellEnd"/>
      <w:r w:rsidR="00777DCB" w:rsidRPr="00A52585">
        <w:rPr>
          <w:rFonts w:hint="cs"/>
          <w:rtl/>
        </w:rPr>
        <w:t xml:space="preserve"> ويريدها ولا يُعْقَلُ ثبوتها دون ذلك فهي مستحيلة على الإله</w:t>
      </w:r>
      <w:r w:rsidR="00DB731D" w:rsidRPr="00A52585">
        <w:rPr>
          <w:rFonts w:hint="cs"/>
          <w:rtl/>
        </w:rPr>
        <w:t>،</w:t>
      </w:r>
      <w:r w:rsidR="00777DCB" w:rsidRPr="00A52585">
        <w:rPr>
          <w:rFonts w:hint="cs"/>
          <w:rtl/>
        </w:rPr>
        <w:t xml:space="preserve"> فإنها لو ثبتت له لدلت على افتقاره إلى مخصص دلالَتها في حق الحادث </w:t>
      </w:r>
      <w:proofErr w:type="spellStart"/>
      <w:r w:rsidR="00777DCB" w:rsidRPr="00A52585">
        <w:rPr>
          <w:rFonts w:hint="cs"/>
          <w:rtl/>
        </w:rPr>
        <w:t>المخلوق"اه</w:t>
      </w:r>
      <w:proofErr w:type="spellEnd"/>
      <w:r w:rsidR="00777DCB" w:rsidRPr="00A52585">
        <w:rPr>
          <w:rFonts w:hint="cs"/>
          <w:rtl/>
        </w:rPr>
        <w:t>ـ</w:t>
      </w:r>
      <w:r w:rsidR="00DB731D" w:rsidRPr="00A52585">
        <w:rPr>
          <w:rFonts w:hint="cs"/>
          <w:rtl/>
        </w:rPr>
        <w:t>،</w:t>
      </w:r>
      <w:r w:rsidR="00777DCB" w:rsidRPr="00A52585">
        <w:rPr>
          <w:rFonts w:hint="cs"/>
          <w:rtl/>
        </w:rPr>
        <w:t xml:space="preserve"> وهذا كلام في غاية الدقة والعظمة</w:t>
      </w:r>
      <w:r w:rsidR="00DB731D" w:rsidRPr="00A52585">
        <w:rPr>
          <w:rFonts w:hint="cs"/>
          <w:rtl/>
        </w:rPr>
        <w:t>،</w:t>
      </w:r>
      <w:r w:rsidR="00777DCB" w:rsidRPr="00A52585">
        <w:rPr>
          <w:rFonts w:hint="cs"/>
          <w:rtl/>
        </w:rPr>
        <w:t xml:space="preserve"> ومعناه أننا إذا عرفنا ثبوت صفة ما في الموجودات المحسوسة</w:t>
      </w:r>
      <w:r w:rsidR="00DB731D" w:rsidRPr="00A52585">
        <w:rPr>
          <w:rFonts w:hint="cs"/>
          <w:rtl/>
        </w:rPr>
        <w:t>،</w:t>
      </w:r>
      <w:r w:rsidR="00777DCB" w:rsidRPr="00A52585">
        <w:rPr>
          <w:rFonts w:hint="cs"/>
          <w:rtl/>
        </w:rPr>
        <w:t xml:space="preserve"> كالحركة والمحدودية مثلا</w:t>
      </w:r>
      <w:r w:rsidR="00DB731D" w:rsidRPr="00A52585">
        <w:rPr>
          <w:rFonts w:hint="cs"/>
          <w:rtl/>
        </w:rPr>
        <w:t>،</w:t>
      </w:r>
      <w:r w:rsidR="00777DCB" w:rsidRPr="00A52585">
        <w:rPr>
          <w:rFonts w:hint="cs"/>
          <w:rtl/>
        </w:rPr>
        <w:t xml:space="preserve"> ونظرنا في نفس مفهوم الحركة ثم دلتنا البراهين القطعية على أن الحركة لا بد أن تكون حادثة</w:t>
      </w:r>
      <w:r w:rsidR="00DB731D" w:rsidRPr="00A52585">
        <w:rPr>
          <w:rFonts w:hint="cs"/>
          <w:rtl/>
        </w:rPr>
        <w:t>،</w:t>
      </w:r>
      <w:r w:rsidR="00777DCB" w:rsidRPr="00A52585">
        <w:rPr>
          <w:rFonts w:hint="cs"/>
          <w:rtl/>
        </w:rPr>
        <w:t xml:space="preserve"> ويستحيل أن تكون قديمة</w:t>
      </w:r>
      <w:r w:rsidR="00DB731D" w:rsidRPr="00A52585">
        <w:rPr>
          <w:rFonts w:hint="cs"/>
          <w:rtl/>
        </w:rPr>
        <w:t>،</w:t>
      </w:r>
      <w:r w:rsidR="00777DCB" w:rsidRPr="00A52585">
        <w:rPr>
          <w:rFonts w:hint="cs"/>
          <w:rtl/>
        </w:rPr>
        <w:t xml:space="preserve"> فإننا نعرف أن ما يتصف بالحركة من المحسوسات يجب أن يكون حادثا كذلك</w:t>
      </w:r>
      <w:r w:rsidR="00DB731D" w:rsidRPr="00A52585">
        <w:rPr>
          <w:rFonts w:hint="cs"/>
          <w:rtl/>
        </w:rPr>
        <w:t>،</w:t>
      </w:r>
      <w:r w:rsidR="00777DCB" w:rsidRPr="00A52585">
        <w:rPr>
          <w:rFonts w:hint="cs"/>
          <w:rtl/>
        </w:rPr>
        <w:t xml:space="preserve"> لاستحالة وجود الشيء من غير صفته</w:t>
      </w:r>
      <w:r w:rsidR="00DB731D" w:rsidRPr="00A52585">
        <w:rPr>
          <w:rFonts w:hint="cs"/>
          <w:rtl/>
        </w:rPr>
        <w:t>،</w:t>
      </w:r>
      <w:r w:rsidR="00777DCB" w:rsidRPr="00A52585">
        <w:rPr>
          <w:rFonts w:hint="cs"/>
          <w:rtl/>
        </w:rPr>
        <w:t xml:space="preserve"> فتكون الصفة التي هي الحركة قد دلتنا على حدوث المتحرك</w:t>
      </w:r>
      <w:r w:rsidR="00DB731D" w:rsidRPr="00A52585">
        <w:rPr>
          <w:rFonts w:hint="cs"/>
          <w:rtl/>
        </w:rPr>
        <w:t>،</w:t>
      </w:r>
      <w:r w:rsidR="00777DCB" w:rsidRPr="00A52585">
        <w:rPr>
          <w:rFonts w:hint="cs"/>
          <w:rtl/>
        </w:rPr>
        <w:t xml:space="preserve"> فإذا انتقلنا بعد ذلك إلى الله تعالى</w:t>
      </w:r>
      <w:r w:rsidR="00DB731D" w:rsidRPr="00A52585">
        <w:rPr>
          <w:rFonts w:hint="cs"/>
          <w:rtl/>
        </w:rPr>
        <w:t>،</w:t>
      </w:r>
      <w:r w:rsidR="00777DCB" w:rsidRPr="00A52585">
        <w:rPr>
          <w:rFonts w:hint="cs"/>
          <w:rtl/>
        </w:rPr>
        <w:t xml:space="preserve"> وقال لنا أحد المشبهة إن الله تعالى يتحرك وينتقل من محل إلى آخر</w:t>
      </w:r>
      <w:r w:rsidR="00DB731D" w:rsidRPr="00A52585">
        <w:rPr>
          <w:rFonts w:hint="cs"/>
          <w:rtl/>
        </w:rPr>
        <w:t>،</w:t>
      </w:r>
      <w:r w:rsidR="00777DCB" w:rsidRPr="00A52585">
        <w:rPr>
          <w:rFonts w:hint="cs"/>
          <w:rtl/>
        </w:rPr>
        <w:t xml:space="preserve"> فإننا نقول له إن الله إذا كان متحركا فيلزم أن يكون حادثا</w:t>
      </w:r>
      <w:r w:rsidR="00DB731D" w:rsidRPr="00A52585">
        <w:rPr>
          <w:rFonts w:hint="cs"/>
          <w:rtl/>
        </w:rPr>
        <w:t>،</w:t>
      </w:r>
      <w:r w:rsidR="00777DCB" w:rsidRPr="00A52585">
        <w:rPr>
          <w:rFonts w:hint="cs"/>
          <w:rtl/>
        </w:rPr>
        <w:t xml:space="preserve"> لأن الحركة التي أثبتناها في حق المحسوس هي التي قد دلتنا على حدوثه</w:t>
      </w:r>
      <w:r w:rsidR="00DB731D" w:rsidRPr="00A52585">
        <w:rPr>
          <w:rFonts w:hint="cs"/>
          <w:rtl/>
        </w:rPr>
        <w:t>،</w:t>
      </w:r>
      <w:r w:rsidR="00777DCB" w:rsidRPr="00A52585">
        <w:rPr>
          <w:rFonts w:hint="cs"/>
          <w:rtl/>
        </w:rPr>
        <w:t xml:space="preserve"> فكذلك إذا أثبتَّ أنت أيها المجسم الحركة لله تعالى</w:t>
      </w:r>
      <w:r w:rsidR="00DB731D" w:rsidRPr="00A52585">
        <w:rPr>
          <w:rFonts w:hint="cs"/>
          <w:rtl/>
        </w:rPr>
        <w:t>،</w:t>
      </w:r>
      <w:r w:rsidR="00777DCB" w:rsidRPr="00A52585">
        <w:rPr>
          <w:rFonts w:hint="cs"/>
          <w:rtl/>
        </w:rPr>
        <w:t xml:space="preserve"> فيلزمك أن تثبت حدوث الله تعالى</w:t>
      </w:r>
      <w:r w:rsidR="00DB731D" w:rsidRPr="00A52585">
        <w:rPr>
          <w:rFonts w:hint="cs"/>
          <w:rtl/>
        </w:rPr>
        <w:t>،</w:t>
      </w:r>
      <w:r w:rsidR="00777DCB" w:rsidRPr="00A52585">
        <w:rPr>
          <w:rFonts w:hint="cs"/>
          <w:rtl/>
        </w:rPr>
        <w:t xml:space="preserve"> لأن سبب الحدوث إنما هو الحركة وهي عينها التي تثبتها في حقه تعالى عما تقول</w:t>
      </w:r>
      <w:r w:rsidR="00DB731D" w:rsidRPr="00A52585">
        <w:rPr>
          <w:rFonts w:hint="cs"/>
          <w:rtl/>
        </w:rPr>
        <w:t>،</w:t>
      </w:r>
      <w:r w:rsidR="00777DCB" w:rsidRPr="00A52585">
        <w:rPr>
          <w:rFonts w:hint="cs"/>
          <w:rtl/>
        </w:rPr>
        <w:t xml:space="preserve"> فإذن إذا دلتنا صفة على الحدوث فيستحيل أن نثبت نفس تلك الصفة لله تعالى لما يلزم من إثبات الحدوث له تعالى</w:t>
      </w:r>
      <w:r w:rsidR="00DB731D" w:rsidRPr="00A52585">
        <w:rPr>
          <w:rFonts w:hint="cs"/>
          <w:rtl/>
        </w:rPr>
        <w:t>،</w:t>
      </w:r>
      <w:r w:rsidR="00777DCB" w:rsidRPr="00A52585">
        <w:rPr>
          <w:rFonts w:hint="cs"/>
          <w:rtl/>
        </w:rPr>
        <w:t xml:space="preserve"> وهذا مستحيل في حقه جلَّ شأنه</w:t>
      </w:r>
      <w:r w:rsidR="00DB731D" w:rsidRPr="00A52585">
        <w:rPr>
          <w:rFonts w:hint="cs"/>
          <w:rtl/>
        </w:rPr>
        <w:t>،</w:t>
      </w:r>
      <w:r w:rsidRPr="00A52585">
        <w:rPr>
          <w:rFonts w:hint="cs"/>
          <w:rtl/>
        </w:rPr>
        <w:t xml:space="preserve"> </w:t>
      </w:r>
      <w:r w:rsidR="00777DCB" w:rsidRPr="00A52585">
        <w:rPr>
          <w:rFonts w:hint="cs"/>
          <w:rtl/>
        </w:rPr>
        <w:t>وحاصل مذهب أهل السنة أن الله تعالى واحد في ذاته وفي صفاته وفي أفعاله</w:t>
      </w:r>
      <w:r w:rsidR="00DB731D" w:rsidRPr="00A52585">
        <w:rPr>
          <w:rFonts w:hint="cs"/>
          <w:rtl/>
        </w:rPr>
        <w:t>،</w:t>
      </w:r>
      <w:r w:rsidR="00777DCB" w:rsidRPr="00A52585">
        <w:rPr>
          <w:rFonts w:hint="cs"/>
          <w:rtl/>
        </w:rPr>
        <w:t xml:space="preserve"> من كل الوجوه واستقر الاتفاق </w:t>
      </w:r>
      <w:r w:rsidR="00777DCB" w:rsidRPr="00A52585">
        <w:rPr>
          <w:rFonts w:hint="cs"/>
          <w:rtl/>
        </w:rPr>
        <w:lastRenderedPageBreak/>
        <w:t>على أنه كل ما خطر ببالك فالله بخلاف ذلك</w:t>
      </w:r>
      <w:r w:rsidR="00DB731D" w:rsidRPr="00A52585">
        <w:rPr>
          <w:rFonts w:hint="cs"/>
          <w:rtl/>
        </w:rPr>
        <w:t>،</w:t>
      </w:r>
      <w:r w:rsidR="00777DCB" w:rsidRPr="00A52585">
        <w:rPr>
          <w:rFonts w:hint="cs"/>
          <w:rtl/>
        </w:rPr>
        <w:t xml:space="preserve"> وقد قال الإمام أبو المعالي الجويني </w:t>
      </w:r>
      <w:r w:rsidRPr="00A52585">
        <w:rPr>
          <w:rFonts w:hint="cs"/>
          <w:rtl/>
        </w:rPr>
        <w:t>[</w:t>
      </w:r>
      <w:r w:rsidR="00777DCB" w:rsidRPr="00A52585">
        <w:rPr>
          <w:rtl/>
        </w:rPr>
        <w:t>العقيدة النظامية للإمام الجويني</w:t>
      </w:r>
      <w:r w:rsidR="00DB731D" w:rsidRPr="00A52585">
        <w:rPr>
          <w:rFonts w:hint="cs"/>
          <w:rtl/>
        </w:rPr>
        <w:t>،</w:t>
      </w:r>
      <w:r w:rsidR="00777DCB" w:rsidRPr="00A52585">
        <w:rPr>
          <w:rFonts w:hint="cs"/>
          <w:rtl/>
        </w:rPr>
        <w:t xml:space="preserve"> </w:t>
      </w:r>
      <w:r w:rsidR="00777DCB" w:rsidRPr="00A52585">
        <w:rPr>
          <w:rtl/>
        </w:rPr>
        <w:t>ص23</w:t>
      </w:r>
      <w:r w:rsidRPr="00A52585">
        <w:rPr>
          <w:rFonts w:hint="cs"/>
          <w:rtl/>
        </w:rPr>
        <w:t>]:</w:t>
      </w:r>
      <w:r w:rsidR="00777DCB" w:rsidRPr="00A52585">
        <w:rPr>
          <w:rFonts w:hint="cs"/>
          <w:rtl/>
        </w:rPr>
        <w:t>"من انتهض لطلب مُدَبِّرِهِ فإن اطمأن إلى موجود انتهى إليه فكره فهو مُشَبِّهٌ</w:t>
      </w:r>
      <w:r w:rsidR="00DB731D" w:rsidRPr="00A52585">
        <w:rPr>
          <w:rFonts w:hint="cs"/>
          <w:rtl/>
        </w:rPr>
        <w:t>،</w:t>
      </w:r>
      <w:r w:rsidR="00777DCB" w:rsidRPr="00A52585">
        <w:rPr>
          <w:rFonts w:hint="cs"/>
          <w:rtl/>
        </w:rPr>
        <w:t xml:space="preserve"> وإن اطمأنَّ إلى النفي المحض فهو مُعَطِّلٌ</w:t>
      </w:r>
      <w:r w:rsidR="00DB731D" w:rsidRPr="00A52585">
        <w:rPr>
          <w:rFonts w:hint="cs"/>
          <w:rtl/>
        </w:rPr>
        <w:t>،</w:t>
      </w:r>
      <w:r w:rsidRPr="00A52585">
        <w:rPr>
          <w:rFonts w:hint="cs"/>
          <w:rtl/>
        </w:rPr>
        <w:t xml:space="preserve"> </w:t>
      </w:r>
      <w:r w:rsidR="00777DCB" w:rsidRPr="00A52585">
        <w:rPr>
          <w:rFonts w:hint="cs"/>
          <w:rtl/>
        </w:rPr>
        <w:t xml:space="preserve">وإن قطع بموجود واعترف بالعجز عن دَرْكِ حقيقته فهو </w:t>
      </w:r>
      <w:proofErr w:type="spellStart"/>
      <w:r w:rsidR="00777DCB" w:rsidRPr="00A52585">
        <w:rPr>
          <w:rFonts w:hint="cs"/>
          <w:rtl/>
        </w:rPr>
        <w:t>موَحِّدٌ."اه</w:t>
      </w:r>
      <w:proofErr w:type="spellEnd"/>
      <w:r w:rsidR="00777DCB" w:rsidRPr="00A52585">
        <w:rPr>
          <w:rFonts w:hint="cs"/>
          <w:rtl/>
        </w:rPr>
        <w:t>ـ فانظر في هذا الكلام العظيم واتخذه قاعدة لنفسك</w:t>
      </w:r>
      <w:r w:rsidR="00DB731D" w:rsidRPr="00A52585">
        <w:rPr>
          <w:rFonts w:hint="cs"/>
          <w:rtl/>
        </w:rPr>
        <w:t>،</w:t>
      </w:r>
      <w:r w:rsidR="00777DCB" w:rsidRPr="00A52585">
        <w:rPr>
          <w:rFonts w:hint="cs"/>
          <w:rtl/>
        </w:rPr>
        <w:t xml:space="preserve"> فإنه بمنزلة التفسير لقوله </w:t>
      </w:r>
      <w:proofErr w:type="spellStart"/>
      <w:r w:rsidR="00777DCB" w:rsidRPr="00A52585">
        <w:rPr>
          <w:rFonts w:hint="cs"/>
          <w:rtl/>
        </w:rPr>
        <w:t>تعالى"ليس</w:t>
      </w:r>
      <w:proofErr w:type="spellEnd"/>
      <w:r w:rsidR="00777DCB" w:rsidRPr="00A52585">
        <w:rPr>
          <w:rFonts w:hint="cs"/>
          <w:rtl/>
        </w:rPr>
        <w:t xml:space="preserve"> كمثله شيء وهو السميع البصير"</w:t>
      </w:r>
      <w:r w:rsidR="00DB731D" w:rsidRPr="00A52585">
        <w:rPr>
          <w:rFonts w:hint="cs"/>
          <w:rtl/>
        </w:rPr>
        <w:t>،</w:t>
      </w:r>
      <w:r w:rsidR="00777DCB" w:rsidRPr="00A52585">
        <w:rPr>
          <w:rFonts w:hint="cs"/>
          <w:rtl/>
        </w:rPr>
        <w:t xml:space="preserve"> </w:t>
      </w:r>
    </w:p>
    <w:p w14:paraId="5B8BD006" w14:textId="0D009A92" w:rsidR="00777DCB" w:rsidRPr="00A52585" w:rsidRDefault="0002035C" w:rsidP="0002035C">
      <w:pPr>
        <w:spacing w:after="240"/>
        <w:rPr>
          <w:b/>
          <w:rtl/>
        </w:rPr>
      </w:pPr>
      <w:r w:rsidRPr="00A52585">
        <w:rPr>
          <w:rFonts w:hint="cs"/>
          <w:bCs/>
          <w:rtl/>
        </w:rPr>
        <w:t>[</w:t>
      </w:r>
      <w:r w:rsidR="00777DCB" w:rsidRPr="00A52585">
        <w:rPr>
          <w:rFonts w:hint="cs"/>
          <w:bCs/>
          <w:rtl/>
        </w:rPr>
        <w:t>زيادة بيان لعقيدة الإسلام</w:t>
      </w:r>
      <w:r w:rsidRPr="00A52585">
        <w:rPr>
          <w:rFonts w:hint="cs"/>
          <w:bCs/>
          <w:rtl/>
        </w:rPr>
        <w:t>]</w:t>
      </w:r>
      <w:r w:rsidRPr="00A52585">
        <w:rPr>
          <w:rFonts w:hint="cs"/>
          <w:rtl/>
        </w:rPr>
        <w:t>:</w:t>
      </w:r>
      <w:r w:rsidR="00777DCB" w:rsidRPr="00A52585">
        <w:rPr>
          <w:rFonts w:hint="cs"/>
          <w:rtl/>
        </w:rPr>
        <w:t xml:space="preserve"> نبدأ هنا بذكر بعض النصوص من القرآن والسنة</w:t>
      </w:r>
      <w:r w:rsidR="00DB731D" w:rsidRPr="00A52585">
        <w:rPr>
          <w:rFonts w:hint="cs"/>
          <w:rtl/>
        </w:rPr>
        <w:t>،</w:t>
      </w:r>
      <w:r w:rsidR="00777DCB" w:rsidRPr="00A52585">
        <w:rPr>
          <w:rFonts w:hint="cs"/>
          <w:rtl/>
        </w:rPr>
        <w:t xml:space="preserve"> ثم نثني بنقل قول بعض العلماء</w:t>
      </w:r>
      <w:r w:rsidR="00DB731D" w:rsidRPr="00A52585">
        <w:rPr>
          <w:rFonts w:hint="cs"/>
          <w:rtl/>
        </w:rPr>
        <w:t>،</w:t>
      </w:r>
      <w:r w:rsidR="00777DCB" w:rsidRPr="00A52585">
        <w:rPr>
          <w:rFonts w:hint="cs"/>
          <w:rtl/>
        </w:rPr>
        <w:t xml:space="preserve"> ليطمئن قلب من يتَردد فإن الإنسان إذا رأى قول أهل العلم اطمأنَّ</w:t>
      </w:r>
      <w:r w:rsidR="00DB731D" w:rsidRPr="00A52585">
        <w:rPr>
          <w:rFonts w:hint="cs"/>
          <w:rtl/>
        </w:rPr>
        <w:t>،</w:t>
      </w:r>
      <w:r w:rsidR="00777DCB" w:rsidRPr="00A52585">
        <w:rPr>
          <w:rFonts w:hint="cs"/>
          <w:rtl/>
        </w:rPr>
        <w:t xml:space="preserve"> ولا يجوز أن يقول عامة الناس</w:t>
      </w:r>
      <w:r w:rsidRPr="00A52585">
        <w:rPr>
          <w:rFonts w:hint="cs"/>
          <w:rtl/>
        </w:rPr>
        <w:t>:</w:t>
      </w:r>
      <w:r w:rsidR="00777DCB" w:rsidRPr="00A52585">
        <w:rPr>
          <w:rFonts w:hint="cs"/>
          <w:rtl/>
        </w:rPr>
        <w:t xml:space="preserve"> "نحن رجال وهم رجال</w:t>
      </w:r>
      <w:r w:rsidR="00DB731D" w:rsidRPr="00A52585">
        <w:rPr>
          <w:rFonts w:hint="cs"/>
          <w:rtl/>
        </w:rPr>
        <w:t>،</w:t>
      </w:r>
      <w:r w:rsidR="00777DCB" w:rsidRPr="00A52585">
        <w:rPr>
          <w:rFonts w:hint="cs"/>
          <w:rtl/>
        </w:rPr>
        <w:t xml:space="preserve"> فنجتهد كما اجتهدوا"</w:t>
      </w:r>
      <w:r w:rsidR="00DB731D" w:rsidRPr="00A52585">
        <w:rPr>
          <w:rFonts w:hint="cs"/>
          <w:rtl/>
        </w:rPr>
        <w:t>،</w:t>
      </w:r>
      <w:r w:rsidR="00777DCB" w:rsidRPr="00A52585">
        <w:rPr>
          <w:rFonts w:hint="cs"/>
          <w:rtl/>
        </w:rPr>
        <w:t xml:space="preserve"> لأنا نقول</w:t>
      </w:r>
      <w:r w:rsidRPr="00A52585">
        <w:rPr>
          <w:rFonts w:hint="cs"/>
          <w:rtl/>
        </w:rPr>
        <w:t>:</w:t>
      </w:r>
      <w:r w:rsidR="00777DCB" w:rsidRPr="00A52585">
        <w:rPr>
          <w:rFonts w:hint="cs"/>
          <w:rtl/>
        </w:rPr>
        <w:t xml:space="preserve"> هم اجتهدوا ليس لأنهم رجال! فإن النساء يجوز لهنَّ الاجتهاد</w:t>
      </w:r>
      <w:r w:rsidR="00DB731D" w:rsidRPr="00A52585">
        <w:rPr>
          <w:rFonts w:hint="cs"/>
          <w:rtl/>
        </w:rPr>
        <w:t>،</w:t>
      </w:r>
      <w:r w:rsidR="00777DCB" w:rsidRPr="00A52585">
        <w:rPr>
          <w:rFonts w:hint="cs"/>
          <w:rtl/>
        </w:rPr>
        <w:t xml:space="preserve"> بل فعلوا ذلك لأنهم علماء</w:t>
      </w:r>
      <w:r w:rsidR="00DB731D" w:rsidRPr="00A52585">
        <w:rPr>
          <w:rFonts w:hint="cs"/>
          <w:rtl/>
        </w:rPr>
        <w:t>،</w:t>
      </w:r>
      <w:r w:rsidR="00777DCB" w:rsidRPr="00A52585">
        <w:rPr>
          <w:rFonts w:hint="cs"/>
          <w:rtl/>
        </w:rPr>
        <w:t xml:space="preserve"> بمعنى أن للاجتهاد شروط لا يستطيع أي أحد تحصيلها</w:t>
      </w:r>
      <w:r w:rsidR="00DB731D" w:rsidRPr="00A52585">
        <w:rPr>
          <w:rFonts w:hint="cs"/>
          <w:rtl/>
        </w:rPr>
        <w:t>،</w:t>
      </w:r>
      <w:r w:rsidR="00777DCB" w:rsidRPr="00A52585">
        <w:rPr>
          <w:rFonts w:hint="cs"/>
          <w:rtl/>
        </w:rPr>
        <w:t xml:space="preserve"> أو إذا استطاع فبعد جهد ومشقة عظيمين</w:t>
      </w:r>
      <w:r w:rsidR="00DB731D" w:rsidRPr="00A52585">
        <w:rPr>
          <w:rFonts w:hint="cs"/>
          <w:rtl/>
        </w:rPr>
        <w:t>،</w:t>
      </w:r>
      <w:r w:rsidR="00777DCB" w:rsidRPr="00A52585">
        <w:rPr>
          <w:rFonts w:hint="cs"/>
          <w:rtl/>
        </w:rPr>
        <w:t xml:space="preserve"> وقد أمر الله تعالى بالرجوع إلى أهل الذكر إن كنا لا نعلم "فاسألوا أهل الذكر إن كنتم لا تعلمون"</w:t>
      </w:r>
      <w:r w:rsidR="00DB731D" w:rsidRPr="00A52585">
        <w:rPr>
          <w:rFonts w:hint="cs"/>
          <w:rtl/>
        </w:rPr>
        <w:t>،</w:t>
      </w:r>
      <w:r w:rsidRPr="00A52585">
        <w:rPr>
          <w:rFonts w:hint="cs"/>
          <w:rtl/>
        </w:rPr>
        <w:t xml:space="preserve"> </w:t>
      </w:r>
      <w:r w:rsidR="00777DCB" w:rsidRPr="00A52585">
        <w:rPr>
          <w:rFonts w:hint="cs"/>
          <w:rtl/>
        </w:rPr>
        <w:t>قال الله تعالى (ليس كمثله شيء وهو السميع البصير) وهذه الآية من المحكمات التي ترد إليها المتشابهات</w:t>
      </w:r>
      <w:r w:rsidR="00DB731D" w:rsidRPr="00A52585">
        <w:rPr>
          <w:rFonts w:hint="cs"/>
          <w:rtl/>
        </w:rPr>
        <w:t>،</w:t>
      </w:r>
      <w:r w:rsidR="00777DCB" w:rsidRPr="00A52585">
        <w:rPr>
          <w:rFonts w:hint="cs"/>
          <w:rtl/>
        </w:rPr>
        <w:t xml:space="preserve"> قال الإمام البيهقي </w:t>
      </w:r>
      <w:r w:rsidRPr="00A52585">
        <w:rPr>
          <w:rFonts w:hint="cs"/>
          <w:rtl/>
        </w:rPr>
        <w:t>[</w:t>
      </w:r>
      <w:r w:rsidR="00777DCB" w:rsidRPr="00A52585">
        <w:rPr>
          <w:rtl/>
        </w:rPr>
        <w:t>الأسماء والصفات،ص277، بتحقيق وتعليق الإمام محمد زاهد الكوثري</w:t>
      </w:r>
      <w:r w:rsidRPr="00A52585">
        <w:rPr>
          <w:rFonts w:hint="cs"/>
          <w:rtl/>
        </w:rPr>
        <w:t>]:</w:t>
      </w:r>
      <w:r w:rsidR="00777DCB" w:rsidRPr="00A52585">
        <w:rPr>
          <w:rFonts w:hint="cs"/>
          <w:rtl/>
        </w:rPr>
        <w:t xml:space="preserve"> "لما أراد الله سبحانه أن ينفي التشبيه على </w:t>
      </w:r>
      <w:proofErr w:type="spellStart"/>
      <w:r w:rsidR="00777DCB" w:rsidRPr="00A52585">
        <w:rPr>
          <w:rFonts w:hint="cs"/>
          <w:rtl/>
        </w:rPr>
        <w:t>آكد</w:t>
      </w:r>
      <w:proofErr w:type="spellEnd"/>
      <w:r w:rsidR="00777DCB" w:rsidRPr="00A52585">
        <w:rPr>
          <w:rFonts w:hint="cs"/>
          <w:rtl/>
        </w:rPr>
        <w:t xml:space="preserve"> ما يكون من النفي</w:t>
      </w:r>
      <w:r w:rsidR="00DB731D" w:rsidRPr="00A52585">
        <w:rPr>
          <w:rFonts w:hint="cs"/>
          <w:rtl/>
        </w:rPr>
        <w:t>،</w:t>
      </w:r>
      <w:r w:rsidR="00777DCB" w:rsidRPr="00A52585">
        <w:rPr>
          <w:rFonts w:hint="cs"/>
          <w:rtl/>
        </w:rPr>
        <w:t xml:space="preserve"> جمع في قراءتنا بين حروف التشبيه واسم التشبيه حتى يكون النفي مؤكدا على المبالغة"</w:t>
      </w:r>
      <w:r w:rsidR="00DB731D" w:rsidRPr="00A52585">
        <w:rPr>
          <w:rFonts w:hint="cs"/>
          <w:rtl/>
        </w:rPr>
        <w:t>،</w:t>
      </w:r>
      <w:r w:rsidRPr="00A52585">
        <w:rPr>
          <w:rFonts w:hint="cs"/>
          <w:rtl/>
        </w:rPr>
        <w:t xml:space="preserve"> </w:t>
      </w:r>
      <w:r w:rsidR="00777DCB" w:rsidRPr="00A52585">
        <w:rPr>
          <w:rFonts w:hint="cs"/>
          <w:rtl/>
        </w:rPr>
        <w:t>وروى البيهقي بسنده عن أبي هريرة رضي الله عنه</w:t>
      </w:r>
      <w:r w:rsidR="00DB731D" w:rsidRPr="00A52585">
        <w:rPr>
          <w:rFonts w:hint="cs"/>
          <w:rtl/>
        </w:rPr>
        <w:t>،</w:t>
      </w:r>
      <w:r w:rsidR="00777DCB" w:rsidRPr="00A52585">
        <w:rPr>
          <w:rFonts w:hint="cs"/>
          <w:rtl/>
        </w:rPr>
        <w:t xml:space="preserve"> قال </w:t>
      </w:r>
      <w:proofErr w:type="spellStart"/>
      <w:r w:rsidR="00777DCB" w:rsidRPr="00A52585">
        <w:rPr>
          <w:rFonts w:hint="cs"/>
          <w:rtl/>
        </w:rPr>
        <w:t>قال</w:t>
      </w:r>
      <w:proofErr w:type="spellEnd"/>
      <w:r w:rsidR="00777DCB" w:rsidRPr="00A52585">
        <w:rPr>
          <w:rFonts w:hint="cs"/>
          <w:rtl/>
        </w:rPr>
        <w:t xml:space="preserve"> رسول الله صلى الله عليه </w:t>
      </w:r>
      <w:proofErr w:type="spellStart"/>
      <w:r w:rsidR="00777DCB" w:rsidRPr="00A52585">
        <w:rPr>
          <w:rFonts w:hint="cs"/>
          <w:rtl/>
        </w:rPr>
        <w:t>وسلم</w:t>
      </w:r>
      <w:r w:rsidRPr="00A52585">
        <w:rPr>
          <w:rFonts w:hint="cs"/>
          <w:rtl/>
        </w:rPr>
        <w:t>:</w:t>
      </w:r>
      <w:r w:rsidR="00777DCB" w:rsidRPr="00A52585">
        <w:rPr>
          <w:rFonts w:hint="cs"/>
          <w:rtl/>
        </w:rPr>
        <w:t>يعني</w:t>
      </w:r>
      <w:proofErr w:type="spellEnd"/>
      <w:r w:rsidR="00777DCB" w:rsidRPr="00A52585">
        <w:rPr>
          <w:rFonts w:hint="cs"/>
          <w:rtl/>
        </w:rPr>
        <w:t xml:space="preserve"> يقول الله عز وجل</w:t>
      </w:r>
      <w:r w:rsidRPr="00A52585">
        <w:rPr>
          <w:rFonts w:hint="cs"/>
          <w:rtl/>
        </w:rPr>
        <w:t>:</w:t>
      </w:r>
      <w:r w:rsidR="00777DCB" w:rsidRPr="00A52585">
        <w:rPr>
          <w:rFonts w:hint="cs"/>
          <w:rtl/>
        </w:rPr>
        <w:t xml:space="preserve"> "كذبني ابن آدم</w:t>
      </w:r>
      <w:r w:rsidR="00DB731D" w:rsidRPr="00A52585">
        <w:rPr>
          <w:rFonts w:hint="cs"/>
          <w:rtl/>
        </w:rPr>
        <w:t>،</w:t>
      </w:r>
      <w:r w:rsidR="00777DCB" w:rsidRPr="00A52585">
        <w:rPr>
          <w:rFonts w:hint="cs"/>
          <w:rtl/>
        </w:rPr>
        <w:t xml:space="preserve"> ولم ينبغِ له أن يكذبني</w:t>
      </w:r>
      <w:r w:rsidR="00DB731D" w:rsidRPr="00A52585">
        <w:rPr>
          <w:rFonts w:hint="cs"/>
          <w:rtl/>
        </w:rPr>
        <w:t>،</w:t>
      </w:r>
      <w:r w:rsidR="00777DCB" w:rsidRPr="00A52585">
        <w:rPr>
          <w:rFonts w:hint="cs"/>
          <w:rtl/>
        </w:rPr>
        <w:t xml:space="preserve"> وشتمني ابن آدم</w:t>
      </w:r>
      <w:r w:rsidR="00DB731D" w:rsidRPr="00A52585">
        <w:rPr>
          <w:rFonts w:hint="cs"/>
          <w:rtl/>
        </w:rPr>
        <w:t>،</w:t>
      </w:r>
      <w:r w:rsidR="00777DCB" w:rsidRPr="00A52585">
        <w:rPr>
          <w:rFonts w:hint="cs"/>
          <w:rtl/>
        </w:rPr>
        <w:t xml:space="preserve"> ولم ينبغ له أن يشتمني</w:t>
      </w:r>
      <w:r w:rsidR="00DB731D" w:rsidRPr="00A52585">
        <w:rPr>
          <w:rFonts w:hint="cs"/>
          <w:rtl/>
        </w:rPr>
        <w:t>،</w:t>
      </w:r>
      <w:r w:rsidR="00777DCB" w:rsidRPr="00A52585">
        <w:rPr>
          <w:rFonts w:hint="cs"/>
          <w:rtl/>
        </w:rPr>
        <w:t xml:space="preserve"> فأما تكذيبه إياي فقوله</w:t>
      </w:r>
      <w:r w:rsidRPr="00A52585">
        <w:rPr>
          <w:rFonts w:hint="cs"/>
          <w:rtl/>
        </w:rPr>
        <w:t xml:space="preserve"> </w:t>
      </w:r>
      <w:r w:rsidR="00777DCB" w:rsidRPr="00A52585">
        <w:rPr>
          <w:rFonts w:hint="cs"/>
          <w:rtl/>
        </w:rPr>
        <w:t>لن يعيدني كما بدأني</w:t>
      </w:r>
      <w:r w:rsidR="00DB731D" w:rsidRPr="00A52585">
        <w:rPr>
          <w:rFonts w:hint="cs"/>
          <w:rtl/>
        </w:rPr>
        <w:t>،</w:t>
      </w:r>
      <w:r w:rsidR="00777DCB" w:rsidRPr="00A52585">
        <w:rPr>
          <w:rFonts w:hint="cs"/>
          <w:rtl/>
        </w:rPr>
        <w:t xml:space="preserve"> وليس أول خلقه بأهون عليَّ من إعادته</w:t>
      </w:r>
      <w:r w:rsidR="00DB731D" w:rsidRPr="00A52585">
        <w:rPr>
          <w:rFonts w:hint="cs"/>
          <w:rtl/>
        </w:rPr>
        <w:t>،</w:t>
      </w:r>
      <w:r w:rsidR="00777DCB" w:rsidRPr="00A52585">
        <w:rPr>
          <w:rFonts w:hint="cs"/>
          <w:rtl/>
        </w:rPr>
        <w:t xml:space="preserve"> وأما شتمه إياي فقوله (اتخذ الله ولدا) وأنا الله الأحد الصمد لم ألد ولم أولد</w:t>
      </w:r>
      <w:r w:rsidR="00DB731D" w:rsidRPr="00A52585">
        <w:rPr>
          <w:rFonts w:hint="cs"/>
          <w:rtl/>
        </w:rPr>
        <w:t>،</w:t>
      </w:r>
      <w:r w:rsidR="00777DCB" w:rsidRPr="00A52585">
        <w:rPr>
          <w:rFonts w:hint="cs"/>
          <w:rtl/>
        </w:rPr>
        <w:t xml:space="preserve"> ولم يكن لي كفوا أحد " </w:t>
      </w:r>
      <w:r w:rsidRPr="00A52585">
        <w:rPr>
          <w:rFonts w:hint="cs"/>
          <w:rtl/>
        </w:rPr>
        <w:t>[</w:t>
      </w:r>
      <w:r w:rsidR="00777DCB" w:rsidRPr="00A52585">
        <w:rPr>
          <w:rtl/>
        </w:rPr>
        <w:t>رواه البخاري في صحيحه عن أبي اليمان</w:t>
      </w:r>
      <w:r w:rsidRPr="00A52585">
        <w:rPr>
          <w:rFonts w:hint="cs"/>
          <w:rtl/>
        </w:rPr>
        <w:t>]</w:t>
      </w:r>
      <w:r w:rsidR="00DB731D" w:rsidRPr="00A52585">
        <w:rPr>
          <w:rFonts w:hint="cs"/>
          <w:rtl/>
        </w:rPr>
        <w:t>،</w:t>
      </w:r>
      <w:r w:rsidR="00777DCB" w:rsidRPr="00A52585">
        <w:rPr>
          <w:rFonts w:hint="cs"/>
          <w:rtl/>
        </w:rPr>
        <w:t xml:space="preserve"> وروى البيهقي بسنده عن أبي بن كعب رضي الله تعالى عنه </w:t>
      </w:r>
      <w:proofErr w:type="spellStart"/>
      <w:r w:rsidR="00777DCB" w:rsidRPr="00A52585">
        <w:rPr>
          <w:rFonts w:hint="cs"/>
          <w:rtl/>
        </w:rPr>
        <w:t>قال</w:t>
      </w:r>
      <w:r w:rsidRPr="00A52585">
        <w:rPr>
          <w:rFonts w:hint="cs"/>
          <w:rtl/>
        </w:rPr>
        <w:t>:</w:t>
      </w:r>
      <w:r w:rsidR="00777DCB" w:rsidRPr="00A52585">
        <w:rPr>
          <w:rFonts w:hint="cs"/>
          <w:rtl/>
        </w:rPr>
        <w:t>"إن</w:t>
      </w:r>
      <w:proofErr w:type="spellEnd"/>
      <w:r w:rsidR="00777DCB" w:rsidRPr="00A52585">
        <w:rPr>
          <w:rFonts w:hint="cs"/>
          <w:rtl/>
        </w:rPr>
        <w:t xml:space="preserve"> المشركين قالوا</w:t>
      </w:r>
      <w:r w:rsidRPr="00A52585">
        <w:rPr>
          <w:rFonts w:hint="cs"/>
          <w:rtl/>
        </w:rPr>
        <w:t>:</w:t>
      </w:r>
      <w:r w:rsidR="00777DCB" w:rsidRPr="00A52585">
        <w:rPr>
          <w:rFonts w:hint="cs"/>
          <w:rtl/>
        </w:rPr>
        <w:t xml:space="preserve"> يا محمد انسب لنا ربك</w:t>
      </w:r>
      <w:r w:rsidR="00DB731D" w:rsidRPr="00A52585">
        <w:rPr>
          <w:rFonts w:hint="cs"/>
          <w:rtl/>
        </w:rPr>
        <w:t>،</w:t>
      </w:r>
      <w:r w:rsidR="00777DCB" w:rsidRPr="00A52585">
        <w:rPr>
          <w:rFonts w:hint="cs"/>
          <w:rtl/>
        </w:rPr>
        <w:t xml:space="preserve"> فأنزل الله تبارك وتعالى</w:t>
      </w:r>
      <w:r w:rsidRPr="00A52585">
        <w:rPr>
          <w:rFonts w:hint="cs"/>
          <w:rtl/>
        </w:rPr>
        <w:t>:</w:t>
      </w:r>
      <w:r w:rsidR="00777DCB" w:rsidRPr="00A52585">
        <w:rPr>
          <w:rFonts w:hint="cs"/>
          <w:rtl/>
        </w:rPr>
        <w:t xml:space="preserve"> (قل هو الله أحد الله الصمد)</w:t>
      </w:r>
      <w:r w:rsidR="00DB731D" w:rsidRPr="00A52585">
        <w:rPr>
          <w:rFonts w:hint="cs"/>
          <w:rtl/>
        </w:rPr>
        <w:t>،</w:t>
      </w:r>
      <w:r w:rsidRPr="00A52585">
        <w:rPr>
          <w:rFonts w:hint="cs"/>
          <w:rtl/>
        </w:rPr>
        <w:t xml:space="preserve"> </w:t>
      </w:r>
      <w:r w:rsidR="00777DCB" w:rsidRPr="00A52585">
        <w:rPr>
          <w:rFonts w:hint="cs"/>
          <w:rtl/>
        </w:rPr>
        <w:t>قال الصمد الذي لم يلد ولم يولد ولم يكن له كفوا أحد</w:t>
      </w:r>
      <w:r w:rsidR="00DB731D" w:rsidRPr="00A52585">
        <w:rPr>
          <w:rFonts w:hint="cs"/>
          <w:rtl/>
        </w:rPr>
        <w:t>،</w:t>
      </w:r>
      <w:r w:rsidR="00777DCB" w:rsidRPr="00A52585">
        <w:rPr>
          <w:rFonts w:hint="cs"/>
          <w:rtl/>
        </w:rPr>
        <w:t xml:space="preserve"> لأنه ليس شيء يولد إلا سيموت وليس شيء يموت إلا سيورث</w:t>
      </w:r>
      <w:r w:rsidR="00DB731D" w:rsidRPr="00A52585">
        <w:rPr>
          <w:rFonts w:hint="cs"/>
          <w:rtl/>
        </w:rPr>
        <w:t>،</w:t>
      </w:r>
      <w:r w:rsidR="00777DCB" w:rsidRPr="00A52585">
        <w:rPr>
          <w:rFonts w:hint="cs"/>
          <w:rtl/>
        </w:rPr>
        <w:t xml:space="preserve"> وإن الله تبارك وتعالى لا يموت ولا يورث</w:t>
      </w:r>
      <w:r w:rsidR="00DB731D" w:rsidRPr="00A52585">
        <w:rPr>
          <w:rFonts w:hint="cs"/>
          <w:rtl/>
        </w:rPr>
        <w:t>،</w:t>
      </w:r>
      <w:r w:rsidR="00777DCB" w:rsidRPr="00A52585">
        <w:rPr>
          <w:rFonts w:hint="cs"/>
          <w:rtl/>
        </w:rPr>
        <w:t xml:space="preserve"> ولم يكن له كفوا أحد</w:t>
      </w:r>
      <w:r w:rsidR="00DB731D" w:rsidRPr="00A52585">
        <w:rPr>
          <w:rFonts w:hint="cs"/>
          <w:rtl/>
        </w:rPr>
        <w:t>،</w:t>
      </w:r>
      <w:r w:rsidR="00777DCB" w:rsidRPr="00A52585">
        <w:rPr>
          <w:rFonts w:hint="cs"/>
          <w:rtl/>
        </w:rPr>
        <w:t xml:space="preserve"> لم يكن له شبه ولا عدل</w:t>
      </w:r>
      <w:r w:rsidR="00DB731D" w:rsidRPr="00A52585">
        <w:rPr>
          <w:rFonts w:hint="cs"/>
          <w:rtl/>
        </w:rPr>
        <w:t>،</w:t>
      </w:r>
      <w:r w:rsidR="00777DCB" w:rsidRPr="00A52585">
        <w:rPr>
          <w:rFonts w:hint="cs"/>
          <w:rtl/>
        </w:rPr>
        <w:t xml:space="preserve"> ليس كمثله شيء " </w:t>
      </w:r>
      <w:r w:rsidRPr="00A52585">
        <w:rPr>
          <w:rFonts w:hint="cs"/>
          <w:rtl/>
        </w:rPr>
        <w:t>[</w:t>
      </w:r>
      <w:r w:rsidR="00777DCB" w:rsidRPr="00A52585">
        <w:rPr>
          <w:rtl/>
        </w:rPr>
        <w:t>الأسماء والصفات،ص32</w:t>
      </w:r>
      <w:r w:rsidRPr="00A52585">
        <w:rPr>
          <w:rFonts w:hint="cs"/>
          <w:rtl/>
        </w:rPr>
        <w:t>]</w:t>
      </w:r>
      <w:r w:rsidR="00DB731D" w:rsidRPr="00A52585">
        <w:rPr>
          <w:rFonts w:hint="cs"/>
          <w:rtl/>
        </w:rPr>
        <w:t>،</w:t>
      </w:r>
      <w:r w:rsidRPr="00A52585">
        <w:rPr>
          <w:rFonts w:hint="cs"/>
          <w:rtl/>
        </w:rPr>
        <w:t xml:space="preserve"> </w:t>
      </w:r>
      <w:r w:rsidR="00777DCB" w:rsidRPr="00A52585">
        <w:rPr>
          <w:rFonts w:hint="cs"/>
          <w:rtl/>
        </w:rPr>
        <w:t xml:space="preserve">قال الإمام الأكبر أبو حنيفة في كتابه الوصية "ونُقِرُّ بأن الله تعالى على العرش استوى من غير أن يكون له حاجة واستقرار عليه وهو حافظ العرش وغير العرش من غير احتياج " </w:t>
      </w:r>
      <w:r w:rsidRPr="00A52585">
        <w:rPr>
          <w:rFonts w:hint="cs"/>
          <w:sz w:val="24"/>
          <w:szCs w:val="24"/>
          <w:rtl/>
        </w:rPr>
        <w:t>[</w:t>
      </w:r>
      <w:r w:rsidR="00777DCB" w:rsidRPr="00A52585">
        <w:rPr>
          <w:sz w:val="24"/>
          <w:szCs w:val="24"/>
          <w:rtl/>
        </w:rPr>
        <w:t xml:space="preserve">هذه هي عبارة الإمام أبي حنيفة النعمان في كتاب الوصية، وهي الثابتة </w:t>
      </w:r>
      <w:r w:rsidR="00777DCB" w:rsidRPr="00A52585">
        <w:rPr>
          <w:sz w:val="24"/>
          <w:szCs w:val="24"/>
          <w:rtl/>
        </w:rPr>
        <w:lastRenderedPageBreak/>
        <w:t xml:space="preserve">في المخطوطات وهو تنزيه واضح وقاطع لله عن أن يكون مستقرا على العرش، ولكن محقق كتاب الوصية الأستاذ محمد عوينة بنشر دار ابن حزم أورد النص كما </w:t>
      </w:r>
      <w:proofErr w:type="spellStart"/>
      <w:r w:rsidR="00777DCB" w:rsidRPr="00A52585">
        <w:rPr>
          <w:sz w:val="24"/>
          <w:szCs w:val="24"/>
          <w:rtl/>
        </w:rPr>
        <w:t>يلي:"نقرُّ</w:t>
      </w:r>
      <w:proofErr w:type="spellEnd"/>
      <w:r w:rsidR="00777DCB" w:rsidRPr="00A52585">
        <w:rPr>
          <w:sz w:val="24"/>
          <w:szCs w:val="24"/>
          <w:rtl/>
        </w:rPr>
        <w:t xml:space="preserve"> بأن الله استوى على العرش من غير أن يكون له حاجة واستقر عليه"، مع العلم أنه نفسه قد أورد صورة المخطوطة في مقدمة الكتاب والعبارة فيها واضحة بما لا يقبل الشك كما أثبتناه أعلاه. فهكذا يثبت أتباع السلفية المعاصرة وهم ورثة المجسمة نصوص العلماء، وأنا أتعجب كيف أجاز هذا المحقق لنفسه أن يورد النص هكذا مع وضوح المخطوطة على خلافه، ترى هل يفعلون ذلك ليحرفوا النص ليجعلوه خادما لعقيدة المجسمة أم هو محض خطأ غير مقصود، إن كثرة التحريفات والأغلاط في الكتب المطبوعة في العقائد تجعلنا نُبْعِدُ احتمال أن يكون خطأ غير مقصود. والعجيب أنني رأيت نفس التحريف في الطبعة المصرية بنشر المكتبة الأزهرية </w:t>
      </w:r>
      <w:proofErr w:type="spellStart"/>
      <w:r w:rsidR="00777DCB" w:rsidRPr="00A52585">
        <w:rPr>
          <w:sz w:val="24"/>
          <w:szCs w:val="24"/>
          <w:rtl/>
        </w:rPr>
        <w:t>للتراثوقد</w:t>
      </w:r>
      <w:proofErr w:type="spellEnd"/>
      <w:r w:rsidR="00777DCB" w:rsidRPr="00A52585">
        <w:rPr>
          <w:sz w:val="24"/>
          <w:szCs w:val="24"/>
          <w:rtl/>
        </w:rPr>
        <w:t xml:space="preserve"> كتبوا على غلافها (بتحقيق العلامة محمد زاهد الكوثري)، وأنا أستبعد أن يكون العلامة الكوثري قد ترك هذه العبارة من دون تعليق ونقد قوي، كما فعلوا في ذلك الكتاب، ولا أستبعد عليهم أنهم تابعوا فيها إحدى الطبعات الحديثة من دون مراجعتها حتى على نسخة الكوثري</w:t>
      </w:r>
      <w:r w:rsidRPr="00A52585">
        <w:rPr>
          <w:rFonts w:hint="cs"/>
          <w:sz w:val="24"/>
          <w:szCs w:val="24"/>
          <w:rtl/>
        </w:rPr>
        <w:t>]</w:t>
      </w:r>
      <w:r w:rsidR="00DB731D" w:rsidRPr="00A52585">
        <w:rPr>
          <w:rFonts w:hint="cs"/>
          <w:sz w:val="24"/>
          <w:szCs w:val="24"/>
          <w:rtl/>
        </w:rPr>
        <w:t>،</w:t>
      </w:r>
      <w:r w:rsidR="00777DCB" w:rsidRPr="00A52585">
        <w:rPr>
          <w:rFonts w:hint="cs"/>
          <w:rtl/>
        </w:rPr>
        <w:t xml:space="preserve"> فنفى الإمام أبو حنيفة أن يكون الله تعالى مستقرا على العرش وملامساً له</w:t>
      </w:r>
      <w:r w:rsidR="00DB731D" w:rsidRPr="00A52585">
        <w:rPr>
          <w:rFonts w:hint="cs"/>
          <w:rtl/>
        </w:rPr>
        <w:t>،</w:t>
      </w:r>
      <w:r w:rsidR="00777DCB" w:rsidRPr="00A52585">
        <w:rPr>
          <w:rFonts w:hint="cs"/>
          <w:rtl/>
        </w:rPr>
        <w:t xml:space="preserve"> بل أمرَّ النص كما جاء فأثبت الاستواء ونزه الله تعالى عن أن يكون استواؤه كاستواء غيره مطلقا</w:t>
      </w:r>
      <w:r w:rsidR="00DB731D" w:rsidRPr="00A52585">
        <w:rPr>
          <w:rFonts w:hint="cs"/>
          <w:rtl/>
        </w:rPr>
        <w:t>،</w:t>
      </w:r>
      <w:r w:rsidRPr="00A52585">
        <w:rPr>
          <w:rFonts w:hint="cs"/>
          <w:rtl/>
        </w:rPr>
        <w:t xml:space="preserve"> </w:t>
      </w:r>
      <w:r w:rsidR="00777DCB" w:rsidRPr="00A52585">
        <w:rPr>
          <w:rFonts w:hint="cs"/>
          <w:rtl/>
        </w:rPr>
        <w:t>روى ابن عبد البر عن أيوب بن صلاح المخزومي قال</w:t>
      </w:r>
      <w:r w:rsidRPr="00A52585">
        <w:rPr>
          <w:rFonts w:hint="cs"/>
          <w:rtl/>
        </w:rPr>
        <w:t>:</w:t>
      </w:r>
      <w:r w:rsidR="00777DCB" w:rsidRPr="00A52585">
        <w:rPr>
          <w:rFonts w:hint="cs"/>
          <w:rtl/>
        </w:rPr>
        <w:t xml:space="preserve"> كنا عند مالك إذ جاءه عراقي فقال له يا أبا عبدالله (الرحمن على العرش استوى)كيف استوى؟ قال سألت عن غير مجهول وتكلمت في غير معقول</w:t>
      </w:r>
      <w:r w:rsidR="00DB731D" w:rsidRPr="00A52585">
        <w:rPr>
          <w:rFonts w:hint="cs"/>
          <w:rtl/>
        </w:rPr>
        <w:t>،</w:t>
      </w:r>
      <w:r w:rsidR="00777DCB" w:rsidRPr="00A52585">
        <w:rPr>
          <w:rFonts w:hint="cs"/>
          <w:rtl/>
        </w:rPr>
        <w:t xml:space="preserve"> قال يحيى بن إبراهيم بن مزين</w:t>
      </w:r>
      <w:r w:rsidRPr="00A52585">
        <w:rPr>
          <w:rFonts w:hint="cs"/>
          <w:rtl/>
        </w:rPr>
        <w:t>:</w:t>
      </w:r>
      <w:r w:rsidR="00777DCB" w:rsidRPr="00A52585">
        <w:rPr>
          <w:rFonts w:hint="cs"/>
          <w:rtl/>
        </w:rPr>
        <w:t xml:space="preserve"> إنما كره مالك أن يتحدث بتلك الأحاديث لأن فيها حدا وصفة وتشبيها</w:t>
      </w:r>
      <w:r w:rsidR="00DB731D" w:rsidRPr="00A52585">
        <w:rPr>
          <w:rFonts w:hint="cs"/>
          <w:rtl/>
        </w:rPr>
        <w:t>،</w:t>
      </w:r>
      <w:r w:rsidR="00777DCB" w:rsidRPr="00A52585">
        <w:rPr>
          <w:rFonts w:hint="cs"/>
          <w:rtl/>
        </w:rPr>
        <w:t xml:space="preserve"> والنجاة في هذا الانتهاء إلى ما قال الله عز وجل</w:t>
      </w:r>
      <w:r w:rsidR="00DB731D" w:rsidRPr="00A52585">
        <w:rPr>
          <w:rFonts w:hint="cs"/>
          <w:rtl/>
        </w:rPr>
        <w:t>،</w:t>
      </w:r>
      <w:r w:rsidR="00777DCB" w:rsidRPr="00A52585">
        <w:rPr>
          <w:rFonts w:hint="cs"/>
          <w:rtl/>
        </w:rPr>
        <w:t xml:space="preserve"> ووصف به نفسه بوجه ويدين وبسط واستواء وكلام فقال(فأينما تولوا فثم وجه الله) وقال(بل يداه مبسوطتان</w:t>
      </w:r>
      <w:r w:rsidRPr="00A52585">
        <w:rPr>
          <w:rFonts w:hint="cs"/>
          <w:rtl/>
        </w:rPr>
        <w:t>)</w:t>
      </w:r>
      <w:r w:rsidR="00777DCB" w:rsidRPr="00A52585">
        <w:rPr>
          <w:rFonts w:hint="cs"/>
          <w:rtl/>
        </w:rPr>
        <w:t>وقال(والأرض جميعا قبضته يوم القيامة والسموات مطويات بيمينه) وقال</w:t>
      </w:r>
      <w:r w:rsidRPr="00A52585">
        <w:rPr>
          <w:rFonts w:hint="cs"/>
          <w:rtl/>
        </w:rPr>
        <w:t>:</w:t>
      </w:r>
      <w:r w:rsidR="00777DCB" w:rsidRPr="00A52585">
        <w:rPr>
          <w:rFonts w:hint="cs"/>
          <w:rtl/>
        </w:rPr>
        <w:t xml:space="preserve"> (الرحمن على العرش استوى</w:t>
      </w:r>
      <w:r w:rsidRPr="00A52585">
        <w:rPr>
          <w:rFonts w:hint="cs"/>
          <w:rtl/>
        </w:rPr>
        <w:t>)</w:t>
      </w:r>
      <w:r w:rsidR="00DB731D" w:rsidRPr="00A52585">
        <w:rPr>
          <w:rFonts w:hint="cs"/>
          <w:rtl/>
        </w:rPr>
        <w:t>،</w:t>
      </w:r>
      <w:r w:rsidR="00777DCB" w:rsidRPr="00A52585">
        <w:rPr>
          <w:rFonts w:hint="cs"/>
          <w:rtl/>
        </w:rPr>
        <w:t xml:space="preserve"> فليقل قائل بما قال الله ولينته إليه</w:t>
      </w:r>
      <w:r w:rsidR="00DB731D" w:rsidRPr="00A52585">
        <w:rPr>
          <w:rFonts w:hint="cs"/>
          <w:rtl/>
        </w:rPr>
        <w:t>،</w:t>
      </w:r>
      <w:r w:rsidR="00777DCB" w:rsidRPr="00A52585">
        <w:rPr>
          <w:rFonts w:hint="cs"/>
          <w:rtl/>
        </w:rPr>
        <w:t xml:space="preserve"> ولا يعدوه ولا يفسره ولا يقل كيف؟ فإن في ذلك الهلاك</w:t>
      </w:r>
      <w:r w:rsidR="00DB731D" w:rsidRPr="00A52585">
        <w:rPr>
          <w:rFonts w:hint="cs"/>
          <w:rtl/>
        </w:rPr>
        <w:t>،</w:t>
      </w:r>
      <w:r w:rsidR="00777DCB" w:rsidRPr="00A52585">
        <w:rPr>
          <w:rFonts w:hint="cs"/>
          <w:rtl/>
        </w:rPr>
        <w:t xml:space="preserve"> لأن الله كلف عبيده الإيمانَ بالتنزيل ولم يكلفهم الخوض في التأويل الذي لا يعلمه غيره " </w:t>
      </w:r>
      <w:r w:rsidRPr="00A52585">
        <w:rPr>
          <w:rFonts w:hint="cs"/>
          <w:sz w:val="24"/>
          <w:szCs w:val="24"/>
          <w:rtl/>
        </w:rPr>
        <w:t>[</w:t>
      </w:r>
      <w:r w:rsidR="00777DCB" w:rsidRPr="00A52585">
        <w:rPr>
          <w:sz w:val="24"/>
          <w:szCs w:val="24"/>
          <w:rtl/>
        </w:rPr>
        <w:t>التمهيد (7/151-152)</w:t>
      </w:r>
      <w:r w:rsidRPr="00A52585">
        <w:rPr>
          <w:rFonts w:hint="cs"/>
          <w:sz w:val="24"/>
          <w:szCs w:val="24"/>
          <w:rtl/>
        </w:rPr>
        <w:t>]</w:t>
      </w:r>
      <w:r w:rsidR="00DB731D" w:rsidRPr="00A52585">
        <w:rPr>
          <w:rFonts w:hint="cs"/>
          <w:sz w:val="24"/>
          <w:szCs w:val="24"/>
          <w:rtl/>
        </w:rPr>
        <w:t>،</w:t>
      </w:r>
      <w:r w:rsidRPr="00A52585">
        <w:rPr>
          <w:rFonts w:hint="cs"/>
          <w:rtl/>
        </w:rPr>
        <w:t xml:space="preserve"> </w:t>
      </w:r>
      <w:r w:rsidR="00777DCB" w:rsidRPr="00A52585">
        <w:rPr>
          <w:rFonts w:hint="cs"/>
          <w:rtl/>
        </w:rPr>
        <w:t>فانظر وتمعن في هذا الكلام</w:t>
      </w:r>
      <w:r w:rsidR="00DB731D" w:rsidRPr="00A52585">
        <w:rPr>
          <w:rFonts w:hint="cs"/>
          <w:rtl/>
        </w:rPr>
        <w:t>،</w:t>
      </w:r>
      <w:r w:rsidR="00777DCB" w:rsidRPr="00A52585">
        <w:rPr>
          <w:rFonts w:hint="cs"/>
          <w:rtl/>
        </w:rPr>
        <w:t xml:space="preserve"> ترى أن القوم كانوا يتجنبون التشبيه كما يتجنبون الموت والهلاك</w:t>
      </w:r>
      <w:r w:rsidR="00DB731D" w:rsidRPr="00A52585">
        <w:rPr>
          <w:rFonts w:hint="cs"/>
          <w:rtl/>
        </w:rPr>
        <w:t>،</w:t>
      </w:r>
      <w:r w:rsidR="00777DCB" w:rsidRPr="00A52585">
        <w:rPr>
          <w:rFonts w:hint="cs"/>
          <w:rtl/>
        </w:rPr>
        <w:t xml:space="preserve"> والمنع من الخوض في هذه الأمور إنما هو دفع للتشبيه</w:t>
      </w:r>
      <w:r w:rsidR="00DB731D" w:rsidRPr="00A52585">
        <w:rPr>
          <w:rFonts w:hint="cs"/>
          <w:rtl/>
        </w:rPr>
        <w:t>،</w:t>
      </w:r>
      <w:r w:rsidR="00777DCB" w:rsidRPr="00A52585">
        <w:rPr>
          <w:rFonts w:hint="cs"/>
          <w:rtl/>
        </w:rPr>
        <w:t xml:space="preserve"> في أي معنى كان</w:t>
      </w:r>
      <w:r w:rsidR="00DB731D" w:rsidRPr="00A52585">
        <w:rPr>
          <w:rFonts w:hint="cs"/>
          <w:rtl/>
        </w:rPr>
        <w:t>،</w:t>
      </w:r>
      <w:r w:rsidR="00777DCB" w:rsidRPr="00A52585">
        <w:rPr>
          <w:rFonts w:hint="cs"/>
          <w:rtl/>
        </w:rPr>
        <w:t xml:space="preserve"> وبما مرَّ يكون قد ثبت النهي عن التشبيه في الكتاب والسنة وأقوال العلماء من السلف ثبوتا قطعيا</w:t>
      </w:r>
      <w:r w:rsidR="00DB731D" w:rsidRPr="00A52585">
        <w:rPr>
          <w:rFonts w:hint="cs"/>
          <w:rtl/>
        </w:rPr>
        <w:t>،</w:t>
      </w:r>
      <w:r w:rsidR="00777DCB" w:rsidRPr="00A52585">
        <w:rPr>
          <w:rFonts w:hint="cs"/>
          <w:rtl/>
        </w:rPr>
        <w:t xml:space="preserve"> خلافا لمن ادعى غلطا إنه لم يرد النهي عن التشبيه في الكتاب والسنة</w:t>
      </w:r>
      <w:r w:rsidR="00DB731D" w:rsidRPr="00A52585">
        <w:rPr>
          <w:rFonts w:hint="cs"/>
          <w:rtl/>
        </w:rPr>
        <w:t>،</w:t>
      </w:r>
      <w:r w:rsidR="00777DCB" w:rsidRPr="00A52585">
        <w:rPr>
          <w:rFonts w:hint="cs"/>
          <w:rtl/>
        </w:rPr>
        <w:t xml:space="preserve"> </w:t>
      </w:r>
    </w:p>
    <w:p w14:paraId="1DB8503F" w14:textId="10944DA2" w:rsidR="00777DCB" w:rsidRPr="00A52585" w:rsidRDefault="00777DCB" w:rsidP="0002035C">
      <w:pPr>
        <w:spacing w:after="240"/>
        <w:rPr>
          <w:b/>
          <w:rtl/>
        </w:rPr>
      </w:pPr>
      <w:r w:rsidRPr="00A52585">
        <w:rPr>
          <w:rFonts w:hint="cs"/>
          <w:bCs/>
          <w:rtl/>
        </w:rPr>
        <w:t> </w:t>
      </w:r>
      <w:r w:rsidR="0002035C" w:rsidRPr="00A52585">
        <w:rPr>
          <w:rFonts w:hint="cs"/>
          <w:bCs/>
          <w:rtl/>
        </w:rPr>
        <w:t>[</w:t>
      </w:r>
      <w:r w:rsidRPr="00A52585">
        <w:rPr>
          <w:rFonts w:hint="cs"/>
          <w:bCs/>
          <w:rtl/>
        </w:rPr>
        <w:t>التنبيه على أقوال فاسدة لبعض الفرق المبتدعة</w:t>
      </w:r>
      <w:r w:rsidR="0002035C" w:rsidRPr="00A52585">
        <w:rPr>
          <w:rFonts w:hint="cs"/>
          <w:bCs/>
          <w:rtl/>
        </w:rPr>
        <w:t>]</w:t>
      </w:r>
      <w:r w:rsidR="0002035C" w:rsidRPr="00A52585">
        <w:rPr>
          <w:rFonts w:hint="cs"/>
          <w:rtl/>
        </w:rPr>
        <w:t>:</w:t>
      </w:r>
      <w:r w:rsidRPr="00A52585">
        <w:rPr>
          <w:rFonts w:hint="cs"/>
          <w:rtl/>
        </w:rPr>
        <w:t xml:space="preserve"> قال </w:t>
      </w:r>
      <w:proofErr w:type="spellStart"/>
      <w:r w:rsidRPr="00A52585">
        <w:rPr>
          <w:rFonts w:hint="cs"/>
          <w:rtl/>
        </w:rPr>
        <w:t>الشهرستاني</w:t>
      </w:r>
      <w:proofErr w:type="spellEnd"/>
      <w:r w:rsidRPr="00A52585">
        <w:rPr>
          <w:rFonts w:hint="cs"/>
          <w:rtl/>
        </w:rPr>
        <w:t xml:space="preserve"> </w:t>
      </w:r>
      <w:r w:rsidR="0002035C" w:rsidRPr="00A52585">
        <w:rPr>
          <w:rFonts w:hint="cs"/>
          <w:sz w:val="24"/>
          <w:szCs w:val="24"/>
          <w:rtl/>
        </w:rPr>
        <w:t>[</w:t>
      </w:r>
      <w:r w:rsidRPr="00A52585">
        <w:rPr>
          <w:sz w:val="24"/>
          <w:szCs w:val="24"/>
          <w:rtl/>
        </w:rPr>
        <w:t xml:space="preserve">الملل والنحل، الإمام محمد بن عبد الكريم </w:t>
      </w:r>
      <w:proofErr w:type="spellStart"/>
      <w:r w:rsidRPr="00A52585">
        <w:rPr>
          <w:sz w:val="24"/>
          <w:szCs w:val="24"/>
          <w:rtl/>
        </w:rPr>
        <w:t>الشهرستاني</w:t>
      </w:r>
      <w:proofErr w:type="spellEnd"/>
      <w:r w:rsidRPr="00A52585">
        <w:rPr>
          <w:sz w:val="24"/>
          <w:szCs w:val="24"/>
          <w:rtl/>
        </w:rPr>
        <w:t>، طبعة دار المعرفة، ص104</w:t>
      </w:r>
      <w:r w:rsidR="0002035C" w:rsidRPr="00A52585">
        <w:rPr>
          <w:rFonts w:hint="cs"/>
          <w:sz w:val="24"/>
          <w:szCs w:val="24"/>
          <w:rtl/>
        </w:rPr>
        <w:t>]</w:t>
      </w:r>
      <w:r w:rsidR="0002035C" w:rsidRPr="00A52585">
        <w:rPr>
          <w:rFonts w:hint="cs"/>
          <w:rtl/>
        </w:rPr>
        <w:t>:</w:t>
      </w:r>
      <w:r w:rsidRPr="00A52585">
        <w:rPr>
          <w:rFonts w:hint="cs"/>
          <w:rtl/>
        </w:rPr>
        <w:t xml:space="preserve">"اعلم أن جماعة كبيرة من السلف كانوا يثبتون لله تعالى صفات أزلية من العلم والقدرة والحياة والإرادة والسمع والبصر والكلام والجلال والإكرام والجود والإنعام </w:t>
      </w:r>
      <w:r w:rsidRPr="00A52585">
        <w:rPr>
          <w:rFonts w:hint="cs"/>
          <w:rtl/>
        </w:rPr>
        <w:lastRenderedPageBreak/>
        <w:t>والعزة والعظمة ولا يفرقون بين صفات الذات وصفات الفعل</w:t>
      </w:r>
      <w:r w:rsidR="00DB731D" w:rsidRPr="00A52585">
        <w:rPr>
          <w:rFonts w:hint="cs"/>
          <w:rtl/>
        </w:rPr>
        <w:t>،</w:t>
      </w:r>
      <w:r w:rsidRPr="00A52585">
        <w:rPr>
          <w:rFonts w:hint="cs"/>
          <w:rtl/>
        </w:rPr>
        <w:t xml:space="preserve"> بل يسوقون الكلام سوقا واحدا</w:t>
      </w:r>
      <w:r w:rsidR="00DB731D" w:rsidRPr="00A52585">
        <w:rPr>
          <w:rFonts w:hint="cs"/>
          <w:rtl/>
        </w:rPr>
        <w:t>،</w:t>
      </w:r>
      <w:r w:rsidRPr="00A52585">
        <w:rPr>
          <w:rFonts w:hint="cs"/>
          <w:rtl/>
        </w:rPr>
        <w:t xml:space="preserve"> وكذلك يثبتون صفات خبرية مثل اليدين والرجلين ولا يؤولون ذلك</w:t>
      </w:r>
      <w:r w:rsidR="00DB731D" w:rsidRPr="00A52585">
        <w:rPr>
          <w:rFonts w:hint="cs"/>
          <w:rtl/>
        </w:rPr>
        <w:t>،</w:t>
      </w:r>
      <w:r w:rsidRPr="00A52585">
        <w:rPr>
          <w:rFonts w:hint="cs"/>
          <w:rtl/>
        </w:rPr>
        <w:t xml:space="preserve"> إلا إنهم يقولون بتسميتها صفات خبرية</w:t>
      </w:r>
      <w:r w:rsidR="00DB731D" w:rsidRPr="00A52585">
        <w:rPr>
          <w:rFonts w:hint="cs"/>
          <w:rtl/>
        </w:rPr>
        <w:t>،</w:t>
      </w:r>
      <w:r w:rsidRPr="00A52585">
        <w:rPr>
          <w:rFonts w:hint="cs"/>
          <w:rtl/>
        </w:rPr>
        <w:t xml:space="preserve"> ولما كانت المعتزلة ينفون الصفات</w:t>
      </w:r>
      <w:r w:rsidR="00DB731D" w:rsidRPr="00A52585">
        <w:rPr>
          <w:rFonts w:hint="cs"/>
          <w:rtl/>
        </w:rPr>
        <w:t>،</w:t>
      </w:r>
      <w:r w:rsidRPr="00A52585">
        <w:rPr>
          <w:rFonts w:hint="cs"/>
          <w:rtl/>
        </w:rPr>
        <w:t xml:space="preserve"> والسلف يثبتون</w:t>
      </w:r>
      <w:r w:rsidR="00DB731D" w:rsidRPr="00A52585">
        <w:rPr>
          <w:rFonts w:hint="cs"/>
          <w:rtl/>
        </w:rPr>
        <w:t>،</w:t>
      </w:r>
      <w:r w:rsidRPr="00A52585">
        <w:rPr>
          <w:rFonts w:hint="cs"/>
          <w:rtl/>
        </w:rPr>
        <w:t xml:space="preserve"> سمي السلف </w:t>
      </w:r>
      <w:proofErr w:type="spellStart"/>
      <w:r w:rsidRPr="00A52585">
        <w:rPr>
          <w:rFonts w:hint="cs"/>
          <w:rtl/>
        </w:rPr>
        <w:t>صفاتية</w:t>
      </w:r>
      <w:proofErr w:type="spellEnd"/>
      <w:r w:rsidRPr="00A52585">
        <w:rPr>
          <w:rFonts w:hint="cs"/>
          <w:rtl/>
        </w:rPr>
        <w:t xml:space="preserve"> والمعتزلة معطلة</w:t>
      </w:r>
      <w:r w:rsidR="00DB731D" w:rsidRPr="00A52585">
        <w:rPr>
          <w:rFonts w:hint="cs"/>
          <w:rtl/>
        </w:rPr>
        <w:t>،</w:t>
      </w:r>
      <w:r w:rsidRPr="00A52585">
        <w:rPr>
          <w:rFonts w:hint="cs"/>
          <w:rtl/>
        </w:rPr>
        <w:t xml:space="preserve"> فبالغ بعض السلف في إثبات الصفات إلى حد التشبيه بصفات المحدثات</w:t>
      </w:r>
      <w:r w:rsidR="00DB731D" w:rsidRPr="00A52585">
        <w:rPr>
          <w:rFonts w:hint="cs"/>
          <w:rtl/>
        </w:rPr>
        <w:t>،</w:t>
      </w:r>
      <w:r w:rsidRPr="00A52585">
        <w:rPr>
          <w:rFonts w:hint="cs"/>
          <w:rtl/>
        </w:rPr>
        <w:t xml:space="preserve"> واقتصر بعضهم على صفات دلت الأفعال عليها</w:t>
      </w:r>
      <w:r w:rsidR="00DB731D" w:rsidRPr="00A52585">
        <w:rPr>
          <w:rFonts w:hint="cs"/>
          <w:rtl/>
        </w:rPr>
        <w:t>،</w:t>
      </w:r>
      <w:r w:rsidRPr="00A52585">
        <w:rPr>
          <w:rFonts w:hint="cs"/>
          <w:rtl/>
        </w:rPr>
        <w:t xml:space="preserve"> وما ورد الخبر فيه فافترقوا فيه فرقتين</w:t>
      </w:r>
      <w:r w:rsidR="0002035C" w:rsidRPr="00A52585">
        <w:rPr>
          <w:rFonts w:hint="cs"/>
          <w:rtl/>
        </w:rPr>
        <w:t>:</w:t>
      </w:r>
      <w:r w:rsidRPr="00A52585">
        <w:rPr>
          <w:rFonts w:hint="cs"/>
          <w:rtl/>
        </w:rPr>
        <w:t xml:space="preserve"> منهم من أولها على وجه يحتمل اللفظ ذلك المعنى</w:t>
      </w:r>
      <w:r w:rsidR="00DB731D" w:rsidRPr="00A52585">
        <w:rPr>
          <w:rFonts w:hint="cs"/>
          <w:rtl/>
        </w:rPr>
        <w:t>،</w:t>
      </w:r>
      <w:r w:rsidRPr="00A52585">
        <w:rPr>
          <w:rFonts w:hint="cs"/>
          <w:rtl/>
        </w:rPr>
        <w:t xml:space="preserve"> ومنهم من توقف في التأويل</w:t>
      </w:r>
      <w:r w:rsidR="00DB731D" w:rsidRPr="00A52585">
        <w:rPr>
          <w:rFonts w:hint="cs"/>
          <w:rtl/>
        </w:rPr>
        <w:t>،</w:t>
      </w:r>
      <w:r w:rsidRPr="00A52585">
        <w:rPr>
          <w:rFonts w:hint="cs"/>
          <w:rtl/>
        </w:rPr>
        <w:t xml:space="preserve"> وقال</w:t>
      </w:r>
      <w:r w:rsidR="0002035C" w:rsidRPr="00A52585">
        <w:rPr>
          <w:rFonts w:hint="cs"/>
          <w:rtl/>
        </w:rPr>
        <w:t>:</w:t>
      </w:r>
      <w:r w:rsidRPr="00A52585">
        <w:rPr>
          <w:rFonts w:hint="cs"/>
          <w:rtl/>
        </w:rPr>
        <w:t xml:space="preserve"> عرفنا بمقتضى العقل أن الله تعالى ليس كمثله شيء</w:t>
      </w:r>
      <w:r w:rsidR="00DB731D" w:rsidRPr="00A52585">
        <w:rPr>
          <w:rFonts w:hint="cs"/>
          <w:rtl/>
        </w:rPr>
        <w:t>،</w:t>
      </w:r>
      <w:r w:rsidRPr="00A52585">
        <w:rPr>
          <w:rFonts w:hint="cs"/>
          <w:rtl/>
        </w:rPr>
        <w:t xml:space="preserve"> فلا يشبه شيئا من المخلوقات</w:t>
      </w:r>
      <w:r w:rsidR="00DB731D" w:rsidRPr="00A52585">
        <w:rPr>
          <w:rFonts w:hint="cs"/>
          <w:rtl/>
        </w:rPr>
        <w:t>،</w:t>
      </w:r>
      <w:r w:rsidRPr="00A52585">
        <w:rPr>
          <w:rFonts w:hint="cs"/>
          <w:rtl/>
        </w:rPr>
        <w:t xml:space="preserve"> ولا يشبهه شيء منها</w:t>
      </w:r>
      <w:r w:rsidR="00DB731D" w:rsidRPr="00A52585">
        <w:rPr>
          <w:rFonts w:hint="cs"/>
          <w:rtl/>
        </w:rPr>
        <w:t>،</w:t>
      </w:r>
      <w:r w:rsidRPr="00A52585">
        <w:rPr>
          <w:rFonts w:hint="cs"/>
          <w:rtl/>
        </w:rPr>
        <w:t xml:space="preserve"> وقطعنا بذلك إلا أنا لا نعرف معنى اللفظ الوارد فيه مثل قوله تعالى (الرحمن على العرش استوى) ومثل قوله(خلقتُ بيَدَيَّ)</w:t>
      </w:r>
      <w:r w:rsidR="00DB731D" w:rsidRPr="00A52585">
        <w:rPr>
          <w:rFonts w:hint="cs"/>
          <w:rtl/>
        </w:rPr>
        <w:t>،</w:t>
      </w:r>
      <w:r w:rsidRPr="00A52585">
        <w:rPr>
          <w:rFonts w:hint="cs"/>
          <w:rtl/>
        </w:rPr>
        <w:t xml:space="preserve"> ومثل قوله(وجاء ربك) إلى غير ذلك</w:t>
      </w:r>
      <w:r w:rsidR="00DB731D" w:rsidRPr="00A52585">
        <w:rPr>
          <w:rFonts w:hint="cs"/>
          <w:rtl/>
        </w:rPr>
        <w:t>،</w:t>
      </w:r>
      <w:r w:rsidRPr="00A52585">
        <w:rPr>
          <w:rFonts w:hint="cs"/>
          <w:rtl/>
        </w:rPr>
        <w:t xml:space="preserve"> ولسنا</w:t>
      </w:r>
      <w:r w:rsidR="0002035C" w:rsidRPr="00A52585">
        <w:rPr>
          <w:rFonts w:hint="cs"/>
          <w:rtl/>
        </w:rPr>
        <w:t xml:space="preserve"> </w:t>
      </w:r>
      <w:r w:rsidRPr="00A52585">
        <w:rPr>
          <w:rFonts w:hint="cs"/>
          <w:rtl/>
        </w:rPr>
        <w:t>مكلفين بمعرفة تفسير هذه الآيات وتأويلها بل التكليف قد ورد بالاعتقاد بأنه لا شريك له وليس كمثله شيء</w:t>
      </w:r>
      <w:r w:rsidR="00DB731D" w:rsidRPr="00A52585">
        <w:rPr>
          <w:rFonts w:hint="cs"/>
          <w:rtl/>
        </w:rPr>
        <w:t>،</w:t>
      </w:r>
      <w:r w:rsidRPr="00A52585">
        <w:rPr>
          <w:rFonts w:hint="cs"/>
          <w:rtl/>
        </w:rPr>
        <w:t xml:space="preserve"> وذلك قد أثبتناه يقينا</w:t>
      </w:r>
      <w:r w:rsidR="00DB731D" w:rsidRPr="00A52585">
        <w:rPr>
          <w:rFonts w:hint="cs"/>
          <w:rtl/>
        </w:rPr>
        <w:t>،</w:t>
      </w:r>
      <w:r w:rsidR="0002035C" w:rsidRPr="00A52585">
        <w:rPr>
          <w:rFonts w:hint="cs"/>
          <w:rtl/>
        </w:rPr>
        <w:t xml:space="preserve"> </w:t>
      </w:r>
      <w:r w:rsidRPr="00A52585">
        <w:rPr>
          <w:rFonts w:hint="cs"/>
          <w:rtl/>
        </w:rPr>
        <w:t>ثم إن جماعة من المتأخرين زادوا على ما قال السلف فقالوا لا بدَّ من إجرائها على ظاهرها</w:t>
      </w:r>
      <w:r w:rsidR="00DB731D" w:rsidRPr="00A52585">
        <w:rPr>
          <w:rFonts w:hint="cs"/>
          <w:rtl/>
        </w:rPr>
        <w:t>،</w:t>
      </w:r>
      <w:r w:rsidRPr="00A52585">
        <w:rPr>
          <w:rFonts w:hint="cs"/>
          <w:rtl/>
        </w:rPr>
        <w:t xml:space="preserve"> فوقعوا في التشبيه الصرف</w:t>
      </w:r>
      <w:r w:rsidR="00DB731D" w:rsidRPr="00A52585">
        <w:rPr>
          <w:rFonts w:hint="cs"/>
          <w:rtl/>
        </w:rPr>
        <w:t>،</w:t>
      </w:r>
      <w:r w:rsidRPr="00A52585">
        <w:rPr>
          <w:rFonts w:hint="cs"/>
          <w:rtl/>
        </w:rPr>
        <w:t xml:space="preserve"> وذلك على خلاف ما اعتقده السلف</w:t>
      </w:r>
      <w:r w:rsidR="00DB731D" w:rsidRPr="00A52585">
        <w:rPr>
          <w:rFonts w:hint="cs"/>
          <w:rtl/>
        </w:rPr>
        <w:t>،</w:t>
      </w:r>
      <w:r w:rsidRPr="00A52585">
        <w:rPr>
          <w:rFonts w:hint="cs"/>
          <w:rtl/>
        </w:rPr>
        <w:t xml:space="preserve"> ولقد كان التشبيه صرفا خالصا في اليهود لا في كلهم بل في القرائين منهم ثم الشيعة في هذه الشريعة وقعوا في غلو وتقصير</w:t>
      </w:r>
      <w:r w:rsidR="00DB731D" w:rsidRPr="00A52585">
        <w:rPr>
          <w:rFonts w:hint="cs"/>
          <w:rtl/>
        </w:rPr>
        <w:t>،</w:t>
      </w:r>
      <w:r w:rsidRPr="00A52585">
        <w:rPr>
          <w:rFonts w:hint="cs"/>
          <w:rtl/>
        </w:rPr>
        <w:t xml:space="preserve"> أما الغلو فتشبيه بعض أئمتهم بالإله تعالى وتقدس</w:t>
      </w:r>
      <w:r w:rsidR="00DB731D" w:rsidRPr="00A52585">
        <w:rPr>
          <w:rFonts w:hint="cs"/>
          <w:rtl/>
        </w:rPr>
        <w:t>،</w:t>
      </w:r>
      <w:r w:rsidRPr="00A52585">
        <w:rPr>
          <w:rFonts w:hint="cs"/>
          <w:rtl/>
        </w:rPr>
        <w:t xml:space="preserve"> وأما التقصير فتشبيه الإله بواحد من الخلق</w:t>
      </w:r>
      <w:r w:rsidR="00DB731D" w:rsidRPr="00A52585">
        <w:rPr>
          <w:rFonts w:hint="cs"/>
          <w:rtl/>
        </w:rPr>
        <w:t>،</w:t>
      </w:r>
      <w:r w:rsidRPr="00A52585">
        <w:rPr>
          <w:rFonts w:hint="cs"/>
          <w:rtl/>
        </w:rPr>
        <w:t xml:space="preserve"> ولما ظهرت المعتزلة والمتكلمون من السلف رجعت بعض الروافض عن الغلو والتقصير</w:t>
      </w:r>
      <w:r w:rsidR="00DB731D" w:rsidRPr="00A52585">
        <w:rPr>
          <w:rFonts w:hint="cs"/>
          <w:rtl/>
        </w:rPr>
        <w:t>،</w:t>
      </w:r>
      <w:r w:rsidRPr="00A52585">
        <w:rPr>
          <w:rFonts w:hint="cs"/>
          <w:rtl/>
        </w:rPr>
        <w:t xml:space="preserve"> ووقعت في الاعتزال</w:t>
      </w:r>
      <w:r w:rsidR="00DB731D" w:rsidRPr="00A52585">
        <w:rPr>
          <w:rFonts w:hint="cs"/>
          <w:rtl/>
        </w:rPr>
        <w:t>،</w:t>
      </w:r>
      <w:r w:rsidRPr="00A52585">
        <w:rPr>
          <w:rFonts w:hint="cs"/>
          <w:rtl/>
        </w:rPr>
        <w:t xml:space="preserve"> وتخطت جماعة من السلف إلى التفسير الظاهر فوقعت في التشبيه</w:t>
      </w:r>
      <w:r w:rsidR="00DB731D" w:rsidRPr="00A52585">
        <w:rPr>
          <w:rFonts w:hint="cs"/>
          <w:rtl/>
        </w:rPr>
        <w:t>،</w:t>
      </w:r>
      <w:r w:rsidR="0002035C" w:rsidRPr="00A52585">
        <w:rPr>
          <w:rFonts w:hint="cs"/>
          <w:rtl/>
        </w:rPr>
        <w:t xml:space="preserve"> </w:t>
      </w:r>
      <w:r w:rsidRPr="00A52585">
        <w:rPr>
          <w:rFonts w:hint="cs"/>
          <w:rtl/>
        </w:rPr>
        <w:t xml:space="preserve">وأما السلف الذين لم يتعرضوا للتأويل ولا تهدَّفوا للتشبيه فمنهم مالك بن أنس رضي الله عنه إذ قال الاستواء معلوم والكيفية مجهولة </w:t>
      </w:r>
      <w:r w:rsidR="0002035C" w:rsidRPr="00A52585">
        <w:rPr>
          <w:rFonts w:hint="cs"/>
          <w:sz w:val="24"/>
          <w:szCs w:val="24"/>
          <w:rtl/>
        </w:rPr>
        <w:t>[</w:t>
      </w:r>
      <w:r w:rsidRPr="00A52585">
        <w:rPr>
          <w:sz w:val="24"/>
          <w:szCs w:val="24"/>
          <w:rtl/>
        </w:rPr>
        <w:t>الرواية الأقوى هي: "والكيف غير معقول"، أي غير معقول النسبة إلى الله تعالى. وأما على كونها "والكيف مجهول" كما هنا، فيمكن أن يكون معناها "والكيف مجهول النسبة إلى الله تعالى"، وما كان مجهول النسبة إليه جلَّ شأنه، فهو غير معقول ويجب نفيه</w:t>
      </w:r>
      <w:r w:rsidR="0002035C" w:rsidRPr="00A52585">
        <w:rPr>
          <w:rFonts w:hint="cs"/>
          <w:sz w:val="24"/>
          <w:szCs w:val="24"/>
          <w:rtl/>
        </w:rPr>
        <w:t>]</w:t>
      </w:r>
      <w:r w:rsidR="00DB731D" w:rsidRPr="00A52585">
        <w:rPr>
          <w:rFonts w:hint="cs"/>
          <w:rtl/>
        </w:rPr>
        <w:t>،</w:t>
      </w:r>
      <w:r w:rsidRPr="00A52585">
        <w:rPr>
          <w:rFonts w:hint="cs"/>
          <w:rtl/>
        </w:rPr>
        <w:t xml:space="preserve"> والإيمان به واجب والسؤال عنه بدعة</w:t>
      </w:r>
      <w:r w:rsidR="00DB731D" w:rsidRPr="00A52585">
        <w:rPr>
          <w:rFonts w:hint="cs"/>
          <w:rtl/>
        </w:rPr>
        <w:t>،</w:t>
      </w:r>
      <w:r w:rsidRPr="00A52585">
        <w:rPr>
          <w:rFonts w:hint="cs"/>
          <w:rtl/>
        </w:rPr>
        <w:t xml:space="preserve"> ومثل أحمد بن حنبل وسفيان الثوري وداود بن علي الأصفهاني ومن </w:t>
      </w:r>
      <w:proofErr w:type="spellStart"/>
      <w:r w:rsidRPr="00A52585">
        <w:rPr>
          <w:rFonts w:hint="cs"/>
          <w:rtl/>
        </w:rPr>
        <w:t>تبعهم."اه</w:t>
      </w:r>
      <w:proofErr w:type="spellEnd"/>
      <w:r w:rsidRPr="00A52585">
        <w:rPr>
          <w:rFonts w:hint="cs"/>
          <w:rtl/>
        </w:rPr>
        <w:t>ـ</w:t>
      </w:r>
      <w:r w:rsidR="00DB731D" w:rsidRPr="00A52585">
        <w:rPr>
          <w:rFonts w:hint="cs"/>
          <w:rtl/>
        </w:rPr>
        <w:t>،</w:t>
      </w:r>
      <w:r w:rsidRPr="00A52585">
        <w:rPr>
          <w:rFonts w:hint="cs"/>
          <w:rtl/>
        </w:rPr>
        <w:t xml:space="preserve"> وقال ما خلاصته </w:t>
      </w:r>
      <w:r w:rsidR="0002035C" w:rsidRPr="00A52585">
        <w:rPr>
          <w:rFonts w:hint="cs"/>
          <w:sz w:val="24"/>
          <w:szCs w:val="24"/>
          <w:rtl/>
        </w:rPr>
        <w:t>[</w:t>
      </w:r>
      <w:r w:rsidRPr="00A52585">
        <w:rPr>
          <w:sz w:val="24"/>
          <w:szCs w:val="24"/>
          <w:rtl/>
        </w:rPr>
        <w:t>الملل والنحل،ص120</w:t>
      </w:r>
      <w:r w:rsidR="0002035C" w:rsidRPr="00A52585">
        <w:rPr>
          <w:rFonts w:hint="cs"/>
          <w:sz w:val="24"/>
          <w:szCs w:val="24"/>
          <w:rtl/>
        </w:rPr>
        <w:t>]:</w:t>
      </w:r>
      <w:r w:rsidRPr="00A52585">
        <w:rPr>
          <w:rFonts w:hint="cs"/>
          <w:rtl/>
        </w:rPr>
        <w:t xml:space="preserve">"إن جماعة من الشيعة الغالية وجماعة من أصحاب الحديث </w:t>
      </w:r>
      <w:proofErr w:type="spellStart"/>
      <w:r w:rsidRPr="00A52585">
        <w:rPr>
          <w:rFonts w:hint="cs"/>
          <w:rtl/>
        </w:rPr>
        <w:t>الحشوية</w:t>
      </w:r>
      <w:proofErr w:type="spellEnd"/>
      <w:r w:rsidRPr="00A52585">
        <w:rPr>
          <w:rFonts w:hint="cs"/>
          <w:rtl/>
        </w:rPr>
        <w:t xml:space="preserve"> صرحوا بالتشبيه</w:t>
      </w:r>
      <w:r w:rsidR="00897A24" w:rsidRPr="00A52585">
        <w:rPr>
          <w:rFonts w:hint="cs"/>
          <w:rtl/>
        </w:rPr>
        <w:t>.</w:t>
      </w:r>
      <w:r w:rsidRPr="00A52585">
        <w:rPr>
          <w:rFonts w:hint="cs"/>
          <w:rtl/>
        </w:rPr>
        <w:t>..</w:t>
      </w:r>
      <w:r w:rsidR="00DB731D" w:rsidRPr="00A52585">
        <w:rPr>
          <w:rFonts w:hint="cs"/>
          <w:rtl/>
        </w:rPr>
        <w:t>،</w:t>
      </w:r>
      <w:r w:rsidRPr="00A52585">
        <w:rPr>
          <w:rFonts w:hint="cs"/>
          <w:rtl/>
        </w:rPr>
        <w:t xml:space="preserve"> قالوا إن معبودهم صورة ذات أعضاء وأبعاض إما روحانية وإما جسمانية ويجوز عليه الانتقال والنزول والصعود والاستقرار والتمكن</w:t>
      </w:r>
      <w:r w:rsidR="00897A24" w:rsidRPr="00A52585">
        <w:rPr>
          <w:rFonts w:hint="cs"/>
          <w:rtl/>
        </w:rPr>
        <w:t>.</w:t>
      </w:r>
      <w:r w:rsidRPr="00A52585">
        <w:rPr>
          <w:rFonts w:hint="cs"/>
          <w:rtl/>
        </w:rPr>
        <w:t>...</w:t>
      </w:r>
      <w:r w:rsidR="00DB731D" w:rsidRPr="00A52585">
        <w:rPr>
          <w:rFonts w:hint="cs"/>
          <w:rtl/>
        </w:rPr>
        <w:t>،</w:t>
      </w:r>
      <w:r w:rsidRPr="00A52585">
        <w:rPr>
          <w:rFonts w:hint="cs"/>
          <w:rtl/>
        </w:rPr>
        <w:t xml:space="preserve"> وأجاز </w:t>
      </w:r>
      <w:proofErr w:type="spellStart"/>
      <w:r w:rsidRPr="00A52585">
        <w:rPr>
          <w:rFonts w:hint="cs"/>
          <w:rtl/>
        </w:rPr>
        <w:t>الحشوية</w:t>
      </w:r>
      <w:proofErr w:type="spellEnd"/>
      <w:r w:rsidRPr="00A52585">
        <w:rPr>
          <w:rFonts w:hint="cs"/>
          <w:rtl/>
        </w:rPr>
        <w:t xml:space="preserve"> على ربهم الملامسة والمصافحة </w:t>
      </w:r>
      <w:r w:rsidR="0002035C" w:rsidRPr="00A52585">
        <w:rPr>
          <w:rFonts w:hint="cs"/>
          <w:sz w:val="24"/>
          <w:szCs w:val="24"/>
          <w:rtl/>
        </w:rPr>
        <w:t>[</w:t>
      </w:r>
      <w:r w:rsidRPr="00A52585">
        <w:rPr>
          <w:sz w:val="24"/>
          <w:szCs w:val="24"/>
          <w:rtl/>
        </w:rPr>
        <w:t xml:space="preserve">لاحظ إن الداعية الأكبر لمذهب المجسمة في هذا العصر وهو ابن تيمية بكتبه التي أعيد نشرها والاعتناء بها قد قال بجميع هذه الأمور، فقال بأن الله تعالى له أعضاء وأجزاء وأنه يلامس الخلق وأنه ينتقل من مكان إلى آخر وأنه ينزل ويصعد ويستقر على العرش حيث إنه عنده جالس ومتمكن عليه، وأن الله تعالى عند ابن تيمية جسم مجسم منتشر في </w:t>
      </w:r>
      <w:r w:rsidRPr="00A52585">
        <w:rPr>
          <w:sz w:val="24"/>
          <w:szCs w:val="24"/>
          <w:rtl/>
        </w:rPr>
        <w:lastRenderedPageBreak/>
        <w:t>الأبعاد وله حدود في جميع الجهات، فهو غير منتشر في الأبعاد إلى لا نهاية كما يقوله بعض المجسمة. وكل هذا أوضحناه ودللنا عليه في كتابنا الكاشف الصغير عن عقائد ابن تيمية</w:t>
      </w:r>
      <w:r w:rsidR="0002035C" w:rsidRPr="00A52585">
        <w:rPr>
          <w:rFonts w:hint="cs"/>
          <w:sz w:val="24"/>
          <w:szCs w:val="24"/>
          <w:rtl/>
        </w:rPr>
        <w:t>]</w:t>
      </w:r>
      <w:r w:rsidR="00DB731D" w:rsidRPr="00A52585">
        <w:rPr>
          <w:rFonts w:hint="cs"/>
          <w:rtl/>
        </w:rPr>
        <w:t>،</w:t>
      </w:r>
      <w:r w:rsidRPr="00A52585">
        <w:rPr>
          <w:rFonts w:hint="cs"/>
          <w:rtl/>
        </w:rPr>
        <w:t xml:space="preserve"> وحكى عن داود </w:t>
      </w:r>
      <w:proofErr w:type="spellStart"/>
      <w:r w:rsidRPr="00A52585">
        <w:rPr>
          <w:rFonts w:hint="cs"/>
          <w:rtl/>
        </w:rPr>
        <w:t>الجواربي</w:t>
      </w:r>
      <w:proofErr w:type="spellEnd"/>
      <w:r w:rsidRPr="00A52585">
        <w:rPr>
          <w:rFonts w:hint="cs"/>
          <w:rtl/>
        </w:rPr>
        <w:t xml:space="preserve"> أنه قال</w:t>
      </w:r>
      <w:r w:rsidR="0002035C" w:rsidRPr="00A52585">
        <w:rPr>
          <w:rFonts w:hint="cs"/>
          <w:rtl/>
        </w:rPr>
        <w:t>:</w:t>
      </w:r>
      <w:r w:rsidRPr="00A52585">
        <w:rPr>
          <w:rFonts w:hint="cs"/>
          <w:rtl/>
        </w:rPr>
        <w:t xml:space="preserve"> أعفوني من اللحية والفرج واسألوني عما وراء ذلك</w:t>
      </w:r>
      <w:r w:rsidR="00DB731D" w:rsidRPr="00A52585">
        <w:rPr>
          <w:rFonts w:hint="cs"/>
          <w:rtl/>
        </w:rPr>
        <w:t>،</w:t>
      </w:r>
      <w:r w:rsidRPr="00A52585">
        <w:rPr>
          <w:rFonts w:hint="cs"/>
          <w:rtl/>
        </w:rPr>
        <w:t xml:space="preserve"> وقال إن معبوده جسم ولحم ودم وله جوارح وأعضاء من يد ورِجلٍ ورأسٍ ولسان وعينين ومع ذلك جسم لا كالأجسام ولحم لا كاللحوم ودم لا كالدماء</w:t>
      </w:r>
      <w:r w:rsidR="00DB731D" w:rsidRPr="00A52585">
        <w:rPr>
          <w:rFonts w:hint="cs"/>
          <w:rtl/>
        </w:rPr>
        <w:t>،</w:t>
      </w:r>
      <w:r w:rsidRPr="00A52585">
        <w:rPr>
          <w:rFonts w:hint="cs"/>
          <w:rtl/>
        </w:rPr>
        <w:t xml:space="preserve"> وكذلك سائر الصفات وهو لا يشبه شيئا من المخلوقات ولا يشبهه شيء"</w:t>
      </w:r>
      <w:r w:rsidR="00DB731D" w:rsidRPr="00A52585">
        <w:rPr>
          <w:rFonts w:hint="cs"/>
          <w:rtl/>
        </w:rPr>
        <w:t>،</w:t>
      </w:r>
      <w:r w:rsidR="0002035C" w:rsidRPr="00A52585">
        <w:rPr>
          <w:rFonts w:hint="cs"/>
          <w:rtl/>
        </w:rPr>
        <w:t xml:space="preserve"> </w:t>
      </w:r>
      <w:r w:rsidRPr="00A52585">
        <w:rPr>
          <w:rFonts w:hint="cs"/>
          <w:rtl/>
        </w:rPr>
        <w:t xml:space="preserve">ثم قال </w:t>
      </w:r>
      <w:r w:rsidR="0002035C" w:rsidRPr="00A52585">
        <w:rPr>
          <w:rFonts w:hint="cs"/>
          <w:sz w:val="24"/>
          <w:szCs w:val="24"/>
          <w:rtl/>
        </w:rPr>
        <w:t>[</w:t>
      </w:r>
      <w:r w:rsidRPr="00A52585">
        <w:rPr>
          <w:sz w:val="24"/>
          <w:szCs w:val="24"/>
          <w:rtl/>
        </w:rPr>
        <w:t>الملل والنحل ص 121</w:t>
      </w:r>
      <w:r w:rsidR="0002035C" w:rsidRPr="00A52585">
        <w:rPr>
          <w:rFonts w:hint="cs"/>
          <w:sz w:val="24"/>
          <w:szCs w:val="24"/>
          <w:rtl/>
        </w:rPr>
        <w:t>]:</w:t>
      </w:r>
      <w:r w:rsidRPr="00A52585">
        <w:rPr>
          <w:rFonts w:hint="cs"/>
          <w:rtl/>
        </w:rPr>
        <w:t xml:space="preserve">"وأما ما ورد في التنزيل من الاستواء والوجه واليدين والجنب والمجيء والإتيان والفوقية وغير ذلك </w:t>
      </w:r>
      <w:r w:rsidRPr="00A52585">
        <w:rPr>
          <w:rFonts w:hint="cs"/>
          <w:u w:val="single"/>
          <w:rtl/>
        </w:rPr>
        <w:t>فأجْرَوها على ظاهرها</w:t>
      </w:r>
      <w:r w:rsidR="00DB731D" w:rsidRPr="00A52585">
        <w:rPr>
          <w:rFonts w:hint="cs"/>
          <w:u w:val="single"/>
          <w:rtl/>
        </w:rPr>
        <w:t>،</w:t>
      </w:r>
      <w:r w:rsidRPr="00A52585">
        <w:rPr>
          <w:rFonts w:hint="cs"/>
          <w:u w:val="single"/>
          <w:rtl/>
        </w:rPr>
        <w:t xml:space="preserve"> أعني ما يُفهم عند الإطلاق على الأجسام</w:t>
      </w:r>
      <w:r w:rsidRPr="00A52585">
        <w:rPr>
          <w:rFonts w:hint="cs"/>
          <w:rtl/>
        </w:rPr>
        <w:t xml:space="preserve"> </w:t>
      </w:r>
      <w:r w:rsidR="0002035C" w:rsidRPr="00A52585">
        <w:rPr>
          <w:rFonts w:hint="cs"/>
          <w:sz w:val="24"/>
          <w:szCs w:val="24"/>
          <w:rtl/>
        </w:rPr>
        <w:t>[</w:t>
      </w:r>
      <w:r w:rsidRPr="00A52585">
        <w:rPr>
          <w:sz w:val="24"/>
          <w:szCs w:val="24"/>
          <w:rtl/>
        </w:rPr>
        <w:t xml:space="preserve">أرأيت أيها الحاذق، هذا هو مفهوم الظاهر عند أهل السنة، إنه ما يفهم عند الإطلاق على الأجسام، وذلك أننا نتألف من روح وجسم، وحكم الجسم غالب علينا في هذه الحياة، والجسم هو ما له أبعاد ثلاثة، اتفاقا بين سائر الفرق، وزاد الأشاعرة بتسمية ما له بعد واحد فقط بالجسم، ونحن نمشي على ما هو متفق عليه بين الجميع، فنقول: إن أغلب الألفاظ التي نستعملها في هذه الحياة فإننا نفهم منها ونقصد منها معاني صادقة على الأجسام، وما لها من صفات، فالمعنى الذي يظهر للأذهان عند سماع الألفاظ إنما هو المتعلق بالأجسام، فهو يتبادر إلى أذهاننا لكثرة تعلقنا بمصداقه في غالب الأوقات، وهذا هو الحكم الغالب على التعاملات بيننا نحن البشر. ولكن إذا انتقلنا إلى ما يتعلق بالله تعالى، وأردنا أن نتكلم عن جلاله وعظمته فما هي الألفاظ التي نستخدمها، أليست هي عين الألفاظ التي نستخدمها فيما بيننا، أليست اللغة العربية هي عينها التي أنزل الله تعالى بها القرآن الكريم؟! ولكن، يجب علينا أن لا نستحضر في أذهاننا المعاني التي ننسبها إلى أنفسنا من الألفاظ إذا أطلقت على الباري عز وجل، فاللفظ قد يطلق ويراد لازمه، أو مصداقه، </w:t>
      </w:r>
      <w:proofErr w:type="spellStart"/>
      <w:r w:rsidRPr="00A52585">
        <w:rPr>
          <w:sz w:val="24"/>
          <w:szCs w:val="24"/>
          <w:rtl/>
        </w:rPr>
        <w:t>والمصاديق</w:t>
      </w:r>
      <w:proofErr w:type="spellEnd"/>
      <w:r w:rsidRPr="00A52585">
        <w:rPr>
          <w:sz w:val="24"/>
          <w:szCs w:val="24"/>
          <w:rtl/>
        </w:rPr>
        <w:t xml:space="preserve"> تختلف، مع اتحاد اللفظ، فأهل السنة التفتوا إلى هذه الناحية، ولذلك قالوا بمفهوم التأويل، وحاصله إن اللفظ الذي نستخدمه فيما بيننا لنصف حياتنا وواقعنا، إذا استخدمناه في حق الله تعالى فيجب أن لا نقصد به عين المعنى المراد في الحال الأول، إذ لو فعلنا ذلك لصرنا حقيقة من المشبهة، وهذا متفق مع قوانين اللغات والعقول والشرائع بلا خلاف بين أحد من العقلاء. أما المجسمة فقد حملوا اللفظ المستعمل في حق الله تعالى على نفس المعنى المستعمل في حقنا، فوقعوا في التجسيم والتشبيه</w:t>
      </w:r>
      <w:r w:rsidR="00DB731D" w:rsidRPr="00A52585">
        <w:rPr>
          <w:rFonts w:hint="cs"/>
          <w:sz w:val="24"/>
          <w:szCs w:val="24"/>
          <w:rtl/>
        </w:rPr>
        <w:t>،</w:t>
      </w:r>
      <w:r w:rsidRPr="00A52585">
        <w:rPr>
          <w:rFonts w:hint="cs"/>
          <w:sz w:val="24"/>
          <w:szCs w:val="24"/>
          <w:rtl/>
        </w:rPr>
        <w:t xml:space="preserve"> </w:t>
      </w:r>
      <w:r w:rsidRPr="00A52585">
        <w:rPr>
          <w:sz w:val="24"/>
          <w:szCs w:val="24"/>
          <w:rtl/>
        </w:rPr>
        <w:t xml:space="preserve">فالإمام </w:t>
      </w:r>
      <w:proofErr w:type="spellStart"/>
      <w:r w:rsidRPr="00A52585">
        <w:rPr>
          <w:sz w:val="24"/>
          <w:szCs w:val="24"/>
          <w:rtl/>
        </w:rPr>
        <w:t>الشهرستاني</w:t>
      </w:r>
      <w:proofErr w:type="spellEnd"/>
      <w:r w:rsidRPr="00A52585">
        <w:rPr>
          <w:sz w:val="24"/>
          <w:szCs w:val="24"/>
          <w:rtl/>
        </w:rPr>
        <w:t xml:space="preserve"> هنا ينبهنا إلى فائدة عظيمة، وهي أن معنى الظاهر إنما هو ما يتبادر إلى الأفهام عند الإطلاق على الأجسام، فهذا المعنى يجب صرفه عن الذات الإلهية</w:t>
      </w:r>
      <w:r w:rsidR="0002035C" w:rsidRPr="00A52585">
        <w:rPr>
          <w:rFonts w:hint="cs"/>
          <w:sz w:val="24"/>
          <w:szCs w:val="24"/>
          <w:rtl/>
        </w:rPr>
        <w:t>]</w:t>
      </w:r>
      <w:r w:rsidR="00DB731D" w:rsidRPr="00A52585">
        <w:rPr>
          <w:rFonts w:hint="cs"/>
          <w:rtl/>
        </w:rPr>
        <w:t>،</w:t>
      </w:r>
      <w:r w:rsidRPr="00A52585">
        <w:rPr>
          <w:rFonts w:hint="cs"/>
          <w:rtl/>
        </w:rPr>
        <w:t xml:space="preserve"> وكذلك ما ورد في الأخبار من الصورة في قوله عليها السلام "خلق آدم على صورة الرحمن " وقوله "حتى يضع الجبار قدمه في النار" وقوله قلب المؤمن بين أصبعين من أصابع الرحمن"</w:t>
      </w:r>
      <w:r w:rsidR="00DB731D" w:rsidRPr="00A52585">
        <w:rPr>
          <w:rFonts w:hint="cs"/>
          <w:rtl/>
        </w:rPr>
        <w:t>،</w:t>
      </w:r>
      <w:r w:rsidRPr="00A52585">
        <w:rPr>
          <w:rFonts w:hint="cs"/>
          <w:rtl/>
        </w:rPr>
        <w:t xml:space="preserve"> </w:t>
      </w:r>
      <w:proofErr w:type="spellStart"/>
      <w:r w:rsidRPr="00A52585">
        <w:rPr>
          <w:rFonts w:hint="cs"/>
          <w:rtl/>
        </w:rPr>
        <w:t>وقوله"خمر</w:t>
      </w:r>
      <w:proofErr w:type="spellEnd"/>
      <w:r w:rsidRPr="00A52585">
        <w:rPr>
          <w:rFonts w:hint="cs"/>
          <w:rtl/>
        </w:rPr>
        <w:t xml:space="preserve"> طينة آدم بيده أربعين صباحا"</w:t>
      </w:r>
      <w:r w:rsidR="00DB731D" w:rsidRPr="00A52585">
        <w:rPr>
          <w:rFonts w:hint="cs"/>
          <w:rtl/>
        </w:rPr>
        <w:t>،</w:t>
      </w:r>
      <w:r w:rsidRPr="00A52585">
        <w:rPr>
          <w:rFonts w:hint="cs"/>
          <w:rtl/>
        </w:rPr>
        <w:t xml:space="preserve"> وقوله "وضع يده أو كفه على كتفي" وقوله " حتى وجدت برد أنامله في صدري"</w:t>
      </w:r>
      <w:r w:rsidR="00DB731D" w:rsidRPr="00A52585">
        <w:rPr>
          <w:rFonts w:hint="cs"/>
          <w:rtl/>
        </w:rPr>
        <w:t>،</w:t>
      </w:r>
      <w:r w:rsidRPr="00A52585">
        <w:rPr>
          <w:rFonts w:hint="cs"/>
          <w:rtl/>
        </w:rPr>
        <w:t xml:space="preserve"> إلى غير ذلك </w:t>
      </w:r>
      <w:r w:rsidRPr="00A52585">
        <w:rPr>
          <w:rFonts w:hint="cs"/>
          <w:u w:val="single"/>
          <w:rtl/>
        </w:rPr>
        <w:t>أجروها على ما يتعارف في صفات الأجسام</w:t>
      </w:r>
      <w:r w:rsidRPr="00A52585">
        <w:rPr>
          <w:rFonts w:hint="cs"/>
          <w:rtl/>
        </w:rPr>
        <w:t xml:space="preserve"> </w:t>
      </w:r>
      <w:r w:rsidR="0002035C" w:rsidRPr="00A52585">
        <w:rPr>
          <w:rFonts w:hint="cs"/>
          <w:sz w:val="24"/>
          <w:szCs w:val="24"/>
          <w:rtl/>
        </w:rPr>
        <w:t>[</w:t>
      </w:r>
      <w:r w:rsidRPr="00A52585">
        <w:rPr>
          <w:sz w:val="24"/>
          <w:szCs w:val="24"/>
          <w:rtl/>
        </w:rPr>
        <w:t>تأمل الحاشية السابقة، لتزداد يقينا بما ذكرناه</w:t>
      </w:r>
      <w:r w:rsidR="0002035C" w:rsidRPr="00A52585">
        <w:rPr>
          <w:rFonts w:hint="cs"/>
          <w:sz w:val="24"/>
          <w:szCs w:val="24"/>
          <w:rtl/>
        </w:rPr>
        <w:t>]</w:t>
      </w:r>
      <w:r w:rsidR="00DB731D" w:rsidRPr="00A52585">
        <w:rPr>
          <w:rFonts w:hint="cs"/>
          <w:sz w:val="24"/>
          <w:szCs w:val="24"/>
          <w:rtl/>
        </w:rPr>
        <w:t>،</w:t>
      </w:r>
      <w:r w:rsidRPr="00A52585">
        <w:rPr>
          <w:rFonts w:hint="cs"/>
          <w:rtl/>
        </w:rPr>
        <w:t xml:space="preserve"> وزادوا في الأخبار أكاذيب وضعوها ونسبوها إلى النبي عليه الصلاة والسلام وأكثرها مقتبس من اليهود </w:t>
      </w:r>
      <w:r w:rsidR="0002035C" w:rsidRPr="00A52585">
        <w:rPr>
          <w:rFonts w:hint="cs"/>
          <w:sz w:val="24"/>
          <w:szCs w:val="24"/>
          <w:rtl/>
        </w:rPr>
        <w:t>[</w:t>
      </w:r>
      <w:r w:rsidRPr="00A52585">
        <w:rPr>
          <w:sz w:val="24"/>
          <w:szCs w:val="24"/>
          <w:rtl/>
        </w:rPr>
        <w:t xml:space="preserve">سوف نكتب بتوفيق الله تعالى رسالة خاصة عن التشبيه بين اليهود، وما هي جهات تأثير اليهود في عقائد المسلمين، ونقارن ذلك بما عند المسيحية والإسلام. وأما ما </w:t>
      </w:r>
      <w:r w:rsidRPr="00A52585">
        <w:rPr>
          <w:sz w:val="24"/>
          <w:szCs w:val="24"/>
          <w:rtl/>
        </w:rPr>
        <w:lastRenderedPageBreak/>
        <w:t xml:space="preserve">ذكره </w:t>
      </w:r>
      <w:proofErr w:type="spellStart"/>
      <w:r w:rsidRPr="00A52585">
        <w:rPr>
          <w:sz w:val="24"/>
          <w:szCs w:val="24"/>
          <w:rtl/>
        </w:rPr>
        <w:t>الشهرستاني</w:t>
      </w:r>
      <w:proofErr w:type="spellEnd"/>
      <w:r w:rsidRPr="00A52585">
        <w:rPr>
          <w:sz w:val="24"/>
          <w:szCs w:val="24"/>
          <w:rtl/>
        </w:rPr>
        <w:t xml:space="preserve"> من أن المجسمة يكذبون على الرسول عليه الصلاة والسلام، فهذا صحيح تماما، فما أكثر ما وضعوا من أحاديث لمجرد نصرة مذهبهم الباطل، وهم لا يكذبون على الرسول عليه السلام فقط، بل أيضا يستحلون الكذب على خصومهم كما أشار إلى ذلك غير واحد من العلماء، وقد رأينا ذلك في هذا الزمان أيضا في مواضع كثيرة</w:t>
      </w:r>
      <w:r w:rsidR="0002035C" w:rsidRPr="00A52585">
        <w:rPr>
          <w:rFonts w:hint="cs"/>
          <w:sz w:val="24"/>
          <w:szCs w:val="24"/>
          <w:rtl/>
        </w:rPr>
        <w:t>]</w:t>
      </w:r>
      <w:r w:rsidR="00DB731D" w:rsidRPr="00A52585">
        <w:rPr>
          <w:rFonts w:hint="cs"/>
          <w:sz w:val="24"/>
          <w:szCs w:val="24"/>
          <w:rtl/>
        </w:rPr>
        <w:t>،</w:t>
      </w:r>
      <w:r w:rsidRPr="00A52585">
        <w:rPr>
          <w:rFonts w:hint="cs"/>
          <w:rtl/>
        </w:rPr>
        <w:t xml:space="preserve"> فإن التشبيه فيهم طباع</w:t>
      </w:r>
      <w:r w:rsidR="00DB731D" w:rsidRPr="00A52585">
        <w:rPr>
          <w:rFonts w:hint="cs"/>
          <w:rtl/>
        </w:rPr>
        <w:t>،</w:t>
      </w:r>
      <w:r w:rsidRPr="00A52585">
        <w:rPr>
          <w:rFonts w:hint="cs"/>
          <w:rtl/>
        </w:rPr>
        <w:t xml:space="preserve"> حتى قالوا</w:t>
      </w:r>
      <w:r w:rsidR="0002035C" w:rsidRPr="00A52585">
        <w:rPr>
          <w:rFonts w:hint="cs"/>
          <w:rtl/>
        </w:rPr>
        <w:t>:</w:t>
      </w:r>
      <w:r w:rsidRPr="00A52585">
        <w:rPr>
          <w:rFonts w:hint="cs"/>
          <w:rtl/>
        </w:rPr>
        <w:t xml:space="preserve"> اشتكت عيناه فعادته الملائكة</w:t>
      </w:r>
      <w:r w:rsidR="00DB731D" w:rsidRPr="00A52585">
        <w:rPr>
          <w:rFonts w:hint="cs"/>
          <w:rtl/>
        </w:rPr>
        <w:t>،</w:t>
      </w:r>
      <w:r w:rsidRPr="00A52585">
        <w:rPr>
          <w:rFonts w:hint="cs"/>
          <w:rtl/>
        </w:rPr>
        <w:t xml:space="preserve"> وبكى على طوفان نوح حتى رمدت عيناه</w:t>
      </w:r>
      <w:r w:rsidR="00DB731D" w:rsidRPr="00A52585">
        <w:rPr>
          <w:rFonts w:hint="cs"/>
          <w:rtl/>
        </w:rPr>
        <w:t>،</w:t>
      </w:r>
      <w:r w:rsidRPr="00A52585">
        <w:rPr>
          <w:rFonts w:hint="cs"/>
          <w:rtl/>
        </w:rPr>
        <w:t xml:space="preserve"> وإن العرش </w:t>
      </w:r>
      <w:proofErr w:type="spellStart"/>
      <w:r w:rsidRPr="00A52585">
        <w:rPr>
          <w:rFonts w:hint="cs"/>
          <w:rtl/>
        </w:rPr>
        <w:t>ليئط</w:t>
      </w:r>
      <w:proofErr w:type="spellEnd"/>
      <w:r w:rsidRPr="00A52585">
        <w:rPr>
          <w:rFonts w:hint="cs"/>
          <w:rtl/>
        </w:rPr>
        <w:t xml:space="preserve"> من تحته كأطيط الرَّحْلِ الحديد</w:t>
      </w:r>
      <w:r w:rsidR="00DB731D" w:rsidRPr="00A52585">
        <w:rPr>
          <w:rFonts w:hint="cs"/>
          <w:rtl/>
        </w:rPr>
        <w:t>،</w:t>
      </w:r>
      <w:r w:rsidRPr="00A52585">
        <w:rPr>
          <w:rFonts w:hint="cs"/>
          <w:rtl/>
        </w:rPr>
        <w:t xml:space="preserve"> وأنه يفضل من كل جانب أربع أصابع "</w:t>
      </w:r>
      <w:r w:rsidR="00DB731D" w:rsidRPr="00A52585">
        <w:rPr>
          <w:rFonts w:hint="cs"/>
          <w:rtl/>
        </w:rPr>
        <w:t>،</w:t>
      </w:r>
      <w:r w:rsidR="0002035C" w:rsidRPr="00A52585">
        <w:rPr>
          <w:rFonts w:hint="cs"/>
          <w:rtl/>
        </w:rPr>
        <w:t xml:space="preserve"> </w:t>
      </w:r>
      <w:r w:rsidRPr="00A52585">
        <w:rPr>
          <w:rFonts w:hint="cs"/>
          <w:rtl/>
        </w:rPr>
        <w:t xml:space="preserve">ثم قال </w:t>
      </w:r>
      <w:r w:rsidR="0002035C" w:rsidRPr="00A52585">
        <w:rPr>
          <w:rFonts w:hint="cs"/>
          <w:rtl/>
        </w:rPr>
        <w:t>[</w:t>
      </w:r>
      <w:r w:rsidRPr="00A52585">
        <w:rPr>
          <w:rtl/>
        </w:rPr>
        <w:t>الملل والنحل</w:t>
      </w:r>
      <w:r w:rsidR="00DB731D" w:rsidRPr="00A52585">
        <w:rPr>
          <w:rFonts w:hint="cs"/>
          <w:rtl/>
        </w:rPr>
        <w:t>،</w:t>
      </w:r>
      <w:r w:rsidRPr="00A52585">
        <w:rPr>
          <w:rFonts w:hint="cs"/>
          <w:rtl/>
        </w:rPr>
        <w:t xml:space="preserve"> </w:t>
      </w:r>
      <w:r w:rsidRPr="00A52585">
        <w:rPr>
          <w:rtl/>
        </w:rPr>
        <w:t>ص123</w:t>
      </w:r>
      <w:r w:rsidR="0002035C" w:rsidRPr="00A52585">
        <w:rPr>
          <w:rFonts w:hint="cs"/>
          <w:rtl/>
        </w:rPr>
        <w:t>]:</w:t>
      </w:r>
      <w:r w:rsidRPr="00A52585">
        <w:rPr>
          <w:rFonts w:hint="cs"/>
          <w:rtl/>
        </w:rPr>
        <w:t xml:space="preserve">"ومن المشبهة من مال إلى مذهب </w:t>
      </w:r>
      <w:proofErr w:type="spellStart"/>
      <w:r w:rsidRPr="00A52585">
        <w:rPr>
          <w:rFonts w:hint="cs"/>
          <w:rtl/>
        </w:rPr>
        <w:t>الحلولية</w:t>
      </w:r>
      <w:proofErr w:type="spellEnd"/>
      <w:r w:rsidR="00DB731D" w:rsidRPr="00A52585">
        <w:rPr>
          <w:rFonts w:hint="cs"/>
          <w:rtl/>
        </w:rPr>
        <w:t>،</w:t>
      </w:r>
      <w:r w:rsidRPr="00A52585">
        <w:rPr>
          <w:rFonts w:hint="cs"/>
          <w:rtl/>
        </w:rPr>
        <w:t xml:space="preserve"> وقال يجوز أن يظهر الباري تعالى بصورة </w:t>
      </w:r>
      <w:proofErr w:type="spellStart"/>
      <w:r w:rsidRPr="00A52585">
        <w:rPr>
          <w:rFonts w:hint="cs"/>
          <w:rtl/>
        </w:rPr>
        <w:t>شخص."اه</w:t>
      </w:r>
      <w:proofErr w:type="spellEnd"/>
      <w:r w:rsidRPr="00A52585">
        <w:rPr>
          <w:rFonts w:hint="cs"/>
          <w:rtl/>
        </w:rPr>
        <w:t>ـ</w:t>
      </w:r>
      <w:r w:rsidR="00DB731D" w:rsidRPr="00A52585">
        <w:rPr>
          <w:rFonts w:hint="cs"/>
          <w:rtl/>
        </w:rPr>
        <w:t>،</w:t>
      </w:r>
      <w:r w:rsidRPr="00A52585">
        <w:rPr>
          <w:rFonts w:hint="cs"/>
          <w:rtl/>
        </w:rPr>
        <w:t xml:space="preserve"> وقال الإمام الحافظ ابن الجوزي عن بعض المشبهة </w:t>
      </w:r>
      <w:r w:rsidR="0002035C" w:rsidRPr="00A52585">
        <w:rPr>
          <w:rFonts w:hint="cs"/>
          <w:sz w:val="24"/>
          <w:szCs w:val="24"/>
          <w:rtl/>
        </w:rPr>
        <w:t>[</w:t>
      </w:r>
      <w:r w:rsidRPr="00A52585">
        <w:rPr>
          <w:sz w:val="24"/>
          <w:szCs w:val="24"/>
          <w:rtl/>
        </w:rPr>
        <w:t>دفع شبه التشبيه ص97. حقق الكتاب السيد حسن السقاف، وأجاد في تعليقاته التي كتبها عليه، ومن قبله حققه وأخرجه إلى الناس الإمام العلامة محمد زاهد الكوثري، وعليه تعليقاته الأثيرة الغزيرة الفوائد</w:t>
      </w:r>
      <w:r w:rsidR="0002035C" w:rsidRPr="00A52585">
        <w:rPr>
          <w:rFonts w:hint="cs"/>
          <w:sz w:val="24"/>
          <w:szCs w:val="24"/>
          <w:rtl/>
        </w:rPr>
        <w:t>]</w:t>
      </w:r>
      <w:r w:rsidR="0002035C" w:rsidRPr="00A52585">
        <w:rPr>
          <w:rFonts w:hint="cs"/>
          <w:rtl/>
        </w:rPr>
        <w:t>:</w:t>
      </w:r>
      <w:r w:rsidRPr="00A52585">
        <w:rPr>
          <w:rFonts w:hint="cs"/>
          <w:rtl/>
        </w:rPr>
        <w:t>"ورأيت من أصحابنا من تكلم في الأصول بما لا يصلح</w:t>
      </w:r>
      <w:r w:rsidR="00DB731D" w:rsidRPr="00A52585">
        <w:rPr>
          <w:rFonts w:hint="cs"/>
          <w:rtl/>
        </w:rPr>
        <w:t>،</w:t>
      </w:r>
      <w:r w:rsidRPr="00A52585">
        <w:rPr>
          <w:rFonts w:hint="cs"/>
          <w:rtl/>
        </w:rPr>
        <w:t xml:space="preserve"> وانتدب للتصنيف ثلاثة</w:t>
      </w:r>
      <w:r w:rsidR="0002035C" w:rsidRPr="00A52585">
        <w:rPr>
          <w:rFonts w:hint="cs"/>
          <w:rtl/>
        </w:rPr>
        <w:t>:</w:t>
      </w:r>
      <w:r w:rsidRPr="00A52585">
        <w:rPr>
          <w:rFonts w:hint="cs"/>
          <w:rtl/>
        </w:rPr>
        <w:t xml:space="preserve"> أبو عبدالله بن حامد</w:t>
      </w:r>
      <w:r w:rsidR="00DB731D" w:rsidRPr="00A52585">
        <w:rPr>
          <w:rFonts w:hint="cs"/>
          <w:rtl/>
        </w:rPr>
        <w:t>،</w:t>
      </w:r>
      <w:r w:rsidRPr="00A52585">
        <w:rPr>
          <w:rFonts w:hint="cs"/>
          <w:rtl/>
        </w:rPr>
        <w:t xml:space="preserve"> وصاحبه القاضي أبو يعلى</w:t>
      </w:r>
      <w:r w:rsidR="00DB731D" w:rsidRPr="00A52585">
        <w:rPr>
          <w:rFonts w:hint="cs"/>
          <w:rtl/>
        </w:rPr>
        <w:t>،</w:t>
      </w:r>
      <w:r w:rsidRPr="00A52585">
        <w:rPr>
          <w:rFonts w:hint="cs"/>
          <w:rtl/>
        </w:rPr>
        <w:t xml:space="preserve"> وابن </w:t>
      </w:r>
      <w:proofErr w:type="spellStart"/>
      <w:r w:rsidRPr="00A52585">
        <w:rPr>
          <w:rFonts w:hint="cs"/>
          <w:rtl/>
        </w:rPr>
        <w:t>الزاغوني</w:t>
      </w:r>
      <w:proofErr w:type="spellEnd"/>
      <w:r w:rsidRPr="00A52585">
        <w:rPr>
          <w:rFonts w:hint="cs"/>
          <w:rtl/>
        </w:rPr>
        <w:t xml:space="preserve"> فصنفوا كتبا شانوا بها المذهب</w:t>
      </w:r>
      <w:r w:rsidR="00DB731D" w:rsidRPr="00A52585">
        <w:rPr>
          <w:rFonts w:hint="cs"/>
          <w:rtl/>
        </w:rPr>
        <w:t>،</w:t>
      </w:r>
      <w:r w:rsidRPr="00A52585">
        <w:rPr>
          <w:rFonts w:hint="cs"/>
          <w:rtl/>
        </w:rPr>
        <w:t xml:space="preserve"> ورأيتهم قد نزلوا إلى مرتبة العوام فحملوا الصفات على مقتضى الحس</w:t>
      </w:r>
      <w:r w:rsidR="00DB731D" w:rsidRPr="00A52585">
        <w:rPr>
          <w:rFonts w:hint="cs"/>
          <w:rtl/>
        </w:rPr>
        <w:t>،</w:t>
      </w:r>
      <w:r w:rsidRPr="00A52585">
        <w:rPr>
          <w:rFonts w:hint="cs"/>
          <w:rtl/>
        </w:rPr>
        <w:t xml:space="preserve"> فسمعوا أن الله تعالى خلق آدم على صورته فأثبتوا له صورة ووجها زائدا على الذات وعينين وفما ولهوات وأضراسا </w:t>
      </w:r>
      <w:proofErr w:type="spellStart"/>
      <w:r w:rsidRPr="00A52585">
        <w:rPr>
          <w:rFonts w:hint="cs"/>
          <w:rtl/>
        </w:rPr>
        <w:t>وأضواءا</w:t>
      </w:r>
      <w:proofErr w:type="spellEnd"/>
      <w:r w:rsidRPr="00A52585">
        <w:rPr>
          <w:rFonts w:hint="cs"/>
          <w:rtl/>
        </w:rPr>
        <w:t xml:space="preserve"> لوجهه هي السُّبُحات ويدين وأصابع وكفا وخنصرا وإبهاما وصدرا وفخذا وساقين ورجلين</w:t>
      </w:r>
      <w:r w:rsidR="00DB731D" w:rsidRPr="00A52585">
        <w:rPr>
          <w:rFonts w:hint="cs"/>
          <w:rtl/>
        </w:rPr>
        <w:t>،</w:t>
      </w:r>
      <w:r w:rsidRPr="00A52585">
        <w:rPr>
          <w:rFonts w:hint="cs"/>
          <w:rtl/>
        </w:rPr>
        <w:t xml:space="preserve"> </w:t>
      </w:r>
      <w:proofErr w:type="spellStart"/>
      <w:r w:rsidRPr="00A52585">
        <w:rPr>
          <w:rFonts w:hint="cs"/>
          <w:rtl/>
        </w:rPr>
        <w:t>وقالوا</w:t>
      </w:r>
      <w:r w:rsidR="0002035C" w:rsidRPr="00A52585">
        <w:rPr>
          <w:rFonts w:hint="cs"/>
          <w:rtl/>
        </w:rPr>
        <w:t>:</w:t>
      </w:r>
      <w:r w:rsidRPr="00A52585">
        <w:rPr>
          <w:rFonts w:hint="cs"/>
          <w:rtl/>
        </w:rPr>
        <w:t>ما</w:t>
      </w:r>
      <w:proofErr w:type="spellEnd"/>
      <w:r w:rsidRPr="00A52585">
        <w:rPr>
          <w:rFonts w:hint="cs"/>
          <w:rtl/>
        </w:rPr>
        <w:t xml:space="preserve"> سمعنا بذكر الرأس</w:t>
      </w:r>
      <w:r w:rsidR="00DB731D" w:rsidRPr="00A52585">
        <w:rPr>
          <w:rFonts w:hint="cs"/>
          <w:rtl/>
        </w:rPr>
        <w:t>،</w:t>
      </w:r>
      <w:r w:rsidRPr="00A52585">
        <w:rPr>
          <w:rFonts w:hint="cs"/>
          <w:rtl/>
        </w:rPr>
        <w:t xml:space="preserve"> وقالوا يجوز أن يَمس ويُمَسَّ</w:t>
      </w:r>
      <w:r w:rsidR="00DB731D" w:rsidRPr="00A52585">
        <w:rPr>
          <w:rFonts w:hint="cs"/>
          <w:rtl/>
        </w:rPr>
        <w:t>،</w:t>
      </w:r>
      <w:r w:rsidRPr="00A52585">
        <w:rPr>
          <w:rFonts w:hint="cs"/>
          <w:rtl/>
        </w:rPr>
        <w:t xml:space="preserve"> ويُدني العبدَ من ذاته</w:t>
      </w:r>
      <w:r w:rsidR="00DB731D" w:rsidRPr="00A52585">
        <w:rPr>
          <w:rFonts w:hint="cs"/>
          <w:rtl/>
        </w:rPr>
        <w:t>،</w:t>
      </w:r>
      <w:r w:rsidRPr="00A52585">
        <w:rPr>
          <w:rFonts w:hint="cs"/>
          <w:rtl/>
        </w:rPr>
        <w:t xml:space="preserve"> وقال </w:t>
      </w:r>
      <w:proofErr w:type="spellStart"/>
      <w:r w:rsidRPr="00A52585">
        <w:rPr>
          <w:rFonts w:hint="cs"/>
          <w:rtl/>
        </w:rPr>
        <w:t>بعضهم</w:t>
      </w:r>
      <w:r w:rsidR="0002035C" w:rsidRPr="00A52585">
        <w:rPr>
          <w:rFonts w:hint="cs"/>
          <w:rtl/>
        </w:rPr>
        <w:t>:</w:t>
      </w:r>
      <w:r w:rsidRPr="00A52585">
        <w:rPr>
          <w:rFonts w:hint="cs"/>
          <w:rtl/>
        </w:rPr>
        <w:t>ويتنفس</w:t>
      </w:r>
      <w:proofErr w:type="spellEnd"/>
      <w:r w:rsidR="00DB731D" w:rsidRPr="00A52585">
        <w:rPr>
          <w:rFonts w:hint="cs"/>
          <w:rtl/>
        </w:rPr>
        <w:t>،</w:t>
      </w:r>
      <w:r w:rsidRPr="00A52585">
        <w:rPr>
          <w:rFonts w:hint="cs"/>
          <w:rtl/>
        </w:rPr>
        <w:t xml:space="preserve"> ثم يُرضون العوام بقولهم</w:t>
      </w:r>
      <w:r w:rsidR="0002035C" w:rsidRPr="00A52585">
        <w:rPr>
          <w:rFonts w:hint="cs"/>
          <w:rtl/>
        </w:rPr>
        <w:t>:</w:t>
      </w:r>
      <w:r w:rsidRPr="00A52585">
        <w:rPr>
          <w:rFonts w:hint="cs"/>
          <w:rtl/>
        </w:rPr>
        <w:t xml:space="preserve"> لا كما يُعْقَلُ </w:t>
      </w:r>
      <w:r w:rsidR="0002035C" w:rsidRPr="00A52585">
        <w:rPr>
          <w:rFonts w:hint="cs"/>
          <w:sz w:val="24"/>
          <w:szCs w:val="24"/>
          <w:rtl/>
        </w:rPr>
        <w:t>[</w:t>
      </w:r>
      <w:r w:rsidRPr="00A52585">
        <w:rPr>
          <w:sz w:val="24"/>
          <w:szCs w:val="24"/>
          <w:rtl/>
        </w:rPr>
        <w:t>راجع تفاصيل ذلك كله في كتابنا (الكاشف الصغير عن عقائد ابن تيمية</w:t>
      </w:r>
      <w:r w:rsidR="0002035C" w:rsidRPr="00A52585">
        <w:rPr>
          <w:rFonts w:hint="cs"/>
          <w:sz w:val="24"/>
          <w:szCs w:val="24"/>
          <w:rtl/>
        </w:rPr>
        <w:t>]</w:t>
      </w:r>
      <w:r w:rsidR="00DB731D" w:rsidRPr="00A52585">
        <w:rPr>
          <w:rFonts w:hint="cs"/>
          <w:rtl/>
        </w:rPr>
        <w:t>،</w:t>
      </w:r>
      <w:r w:rsidRPr="00A52585">
        <w:rPr>
          <w:rFonts w:hint="cs"/>
          <w:rtl/>
        </w:rPr>
        <w:t xml:space="preserve"> وقد أخذوا بالظاهر في الأسماء والصفات</w:t>
      </w:r>
      <w:r w:rsidR="00DB731D" w:rsidRPr="00A52585">
        <w:rPr>
          <w:rFonts w:hint="cs"/>
          <w:rtl/>
        </w:rPr>
        <w:t>،</w:t>
      </w:r>
      <w:r w:rsidRPr="00A52585">
        <w:rPr>
          <w:rFonts w:hint="cs"/>
          <w:rtl/>
        </w:rPr>
        <w:t xml:space="preserve"> فسموها بالصفات تسمية مبتدعة لا دليل لهم في ذلك من النقل ولا من العقل</w:t>
      </w:r>
      <w:r w:rsidR="00DB731D" w:rsidRPr="00A52585">
        <w:rPr>
          <w:rFonts w:hint="cs"/>
          <w:rtl/>
        </w:rPr>
        <w:t>،</w:t>
      </w:r>
      <w:r w:rsidRPr="00A52585">
        <w:rPr>
          <w:rFonts w:hint="cs"/>
          <w:rtl/>
        </w:rPr>
        <w:t xml:space="preserve"> ولم يلتفتوا إلى النصوص </w:t>
      </w:r>
      <w:proofErr w:type="spellStart"/>
      <w:r w:rsidRPr="00A52585">
        <w:rPr>
          <w:rFonts w:hint="cs"/>
          <w:rtl/>
        </w:rPr>
        <w:t>الصارفة</w:t>
      </w:r>
      <w:proofErr w:type="spellEnd"/>
      <w:r w:rsidRPr="00A52585">
        <w:rPr>
          <w:rFonts w:hint="cs"/>
          <w:rtl/>
        </w:rPr>
        <w:t xml:space="preserve"> عن الظواهر إلى المعاني الواجبة لله تعالى ولا إلى إلغاء ما يوجبه الظاهر من سمات الحدوث</w:t>
      </w:r>
      <w:r w:rsidR="00DB731D" w:rsidRPr="00A52585">
        <w:rPr>
          <w:rFonts w:hint="cs"/>
          <w:rtl/>
        </w:rPr>
        <w:t>،</w:t>
      </w:r>
      <w:r w:rsidRPr="00A52585">
        <w:rPr>
          <w:rFonts w:hint="cs"/>
          <w:rtl/>
        </w:rPr>
        <w:t xml:space="preserve"> ولم يقنعوا بأن يقولوا صفة فعل حتى قالوا صفة ذات</w:t>
      </w:r>
      <w:r w:rsidR="00DB731D" w:rsidRPr="00A52585">
        <w:rPr>
          <w:rFonts w:hint="cs"/>
          <w:rtl/>
        </w:rPr>
        <w:t>،</w:t>
      </w:r>
      <w:r w:rsidRPr="00A52585">
        <w:rPr>
          <w:rFonts w:hint="cs"/>
          <w:rtl/>
        </w:rPr>
        <w:t xml:space="preserve"> ثم لما أثبتوا أنها صفات ذات</w:t>
      </w:r>
      <w:r w:rsidR="00DB731D" w:rsidRPr="00A52585">
        <w:rPr>
          <w:rFonts w:hint="cs"/>
          <w:rtl/>
        </w:rPr>
        <w:t>،</w:t>
      </w:r>
      <w:r w:rsidRPr="00A52585">
        <w:rPr>
          <w:rFonts w:hint="cs"/>
          <w:rtl/>
        </w:rPr>
        <w:t xml:space="preserve"> قالوا</w:t>
      </w:r>
      <w:r w:rsidR="0002035C" w:rsidRPr="00A52585">
        <w:rPr>
          <w:rFonts w:hint="cs"/>
          <w:rtl/>
        </w:rPr>
        <w:t>:</w:t>
      </w:r>
      <w:r w:rsidRPr="00A52585">
        <w:rPr>
          <w:rFonts w:hint="cs"/>
          <w:rtl/>
        </w:rPr>
        <w:t xml:space="preserve"> لا نحملها على توجيه اللغة مثل يد على نعمة وقدرة ومجيء وإتيان على معنى برَّ ولطف وساق على شدة بل قالوا</w:t>
      </w:r>
      <w:r w:rsidR="0002035C" w:rsidRPr="00A52585">
        <w:rPr>
          <w:rFonts w:hint="cs"/>
          <w:rtl/>
        </w:rPr>
        <w:t>:</w:t>
      </w:r>
      <w:r w:rsidRPr="00A52585">
        <w:rPr>
          <w:rFonts w:hint="cs"/>
          <w:rtl/>
        </w:rPr>
        <w:t xml:space="preserve"> </w:t>
      </w:r>
      <w:r w:rsidRPr="00A52585">
        <w:rPr>
          <w:rFonts w:hint="cs"/>
          <w:u w:val="single"/>
          <w:rtl/>
        </w:rPr>
        <w:t>نحملها على ظواهرها المتعارفة والظاهر هو المعهود من نعوت الآدميين والشيء إنما يحمل على حقيقته إذا أمكن</w:t>
      </w:r>
      <w:r w:rsidRPr="00A52585">
        <w:rPr>
          <w:rFonts w:hint="cs"/>
          <w:rtl/>
        </w:rPr>
        <w:t xml:space="preserve"> </w:t>
      </w:r>
      <w:r w:rsidRPr="00A52585">
        <w:rPr>
          <w:rFonts w:hint="cs"/>
          <w:sz w:val="24"/>
          <w:szCs w:val="24"/>
          <w:rtl/>
        </w:rPr>
        <w:t>[</w:t>
      </w:r>
      <w:r w:rsidRPr="00A52585">
        <w:rPr>
          <w:sz w:val="24"/>
          <w:szCs w:val="24"/>
          <w:rtl/>
        </w:rPr>
        <w:t xml:space="preserve">هذا نص آخر من ابن الجوزي يوافق فيه ما شرحته من كلام </w:t>
      </w:r>
      <w:proofErr w:type="spellStart"/>
      <w:r w:rsidRPr="00A52585">
        <w:rPr>
          <w:sz w:val="24"/>
          <w:szCs w:val="24"/>
          <w:rtl/>
        </w:rPr>
        <w:t>الشهرستاني</w:t>
      </w:r>
      <w:proofErr w:type="spellEnd"/>
      <w:r w:rsidRPr="00A52585">
        <w:rPr>
          <w:sz w:val="24"/>
          <w:szCs w:val="24"/>
          <w:rtl/>
        </w:rPr>
        <w:t xml:space="preserve"> سابقا، بخصوص مفهوم الظاهر، فتأمل فيه جيدا</w:t>
      </w:r>
      <w:r w:rsidR="0002035C" w:rsidRPr="00A52585">
        <w:rPr>
          <w:rFonts w:hint="cs"/>
          <w:sz w:val="24"/>
          <w:szCs w:val="24"/>
          <w:rtl/>
        </w:rPr>
        <w:t>]</w:t>
      </w:r>
      <w:r w:rsidR="00DB731D" w:rsidRPr="00A52585">
        <w:rPr>
          <w:rFonts w:hint="cs"/>
          <w:rtl/>
        </w:rPr>
        <w:t>،</w:t>
      </w:r>
      <w:r w:rsidRPr="00A52585">
        <w:rPr>
          <w:rFonts w:hint="cs"/>
          <w:rtl/>
        </w:rPr>
        <w:t xml:space="preserve"> ثم يتحرجون من التشبيه ويأنفون من إضافته إليهم ويقولون</w:t>
      </w:r>
      <w:r w:rsidR="0002035C" w:rsidRPr="00A52585">
        <w:rPr>
          <w:rFonts w:hint="cs"/>
          <w:rtl/>
        </w:rPr>
        <w:t>:</w:t>
      </w:r>
      <w:r w:rsidRPr="00A52585">
        <w:rPr>
          <w:rFonts w:hint="cs"/>
          <w:rtl/>
        </w:rPr>
        <w:t xml:space="preserve"> نحن أهل السنة</w:t>
      </w:r>
      <w:r w:rsidR="00DB731D" w:rsidRPr="00A52585">
        <w:rPr>
          <w:rFonts w:hint="cs"/>
          <w:rtl/>
        </w:rPr>
        <w:t>،</w:t>
      </w:r>
      <w:r w:rsidRPr="00A52585">
        <w:rPr>
          <w:rFonts w:hint="cs"/>
          <w:rtl/>
        </w:rPr>
        <w:t xml:space="preserve"> وكلامهم صريح في التشبيه</w:t>
      </w:r>
      <w:r w:rsidR="00DB731D" w:rsidRPr="00A52585">
        <w:rPr>
          <w:rFonts w:hint="cs"/>
          <w:rtl/>
        </w:rPr>
        <w:t>،</w:t>
      </w:r>
      <w:r w:rsidRPr="00A52585">
        <w:rPr>
          <w:rFonts w:hint="cs"/>
          <w:rtl/>
        </w:rPr>
        <w:t xml:space="preserve"> وقد تبعهم خلق من العوام</w:t>
      </w:r>
      <w:r w:rsidR="00DB731D" w:rsidRPr="00A52585">
        <w:rPr>
          <w:rFonts w:hint="cs"/>
          <w:rtl/>
        </w:rPr>
        <w:t>،</w:t>
      </w:r>
      <w:r w:rsidRPr="00A52585">
        <w:rPr>
          <w:rFonts w:hint="cs"/>
          <w:rtl/>
        </w:rPr>
        <w:t xml:space="preserve"> فقد نصحت التابع والمتبوع فقلت لهم</w:t>
      </w:r>
      <w:r w:rsidR="0002035C" w:rsidRPr="00A52585">
        <w:rPr>
          <w:rFonts w:hint="cs"/>
          <w:rtl/>
        </w:rPr>
        <w:t>:</w:t>
      </w:r>
      <w:r w:rsidRPr="00A52585">
        <w:rPr>
          <w:rFonts w:hint="cs"/>
          <w:rtl/>
        </w:rPr>
        <w:t xml:space="preserve"> يا أصحابنا أنتم أصحاب نقل</w:t>
      </w:r>
      <w:r w:rsidR="00DB731D" w:rsidRPr="00A52585">
        <w:rPr>
          <w:rFonts w:hint="cs"/>
          <w:rtl/>
        </w:rPr>
        <w:t>،</w:t>
      </w:r>
      <w:r w:rsidRPr="00A52585">
        <w:rPr>
          <w:rFonts w:hint="cs"/>
          <w:rtl/>
        </w:rPr>
        <w:t xml:space="preserve"> وإمامكم الأكبر أحمد بن حنبل رحمه الله تعالى يقول وهو تحت السياط</w:t>
      </w:r>
      <w:r w:rsidR="0002035C" w:rsidRPr="00A52585">
        <w:rPr>
          <w:rFonts w:hint="cs"/>
          <w:rtl/>
        </w:rPr>
        <w:t>:</w:t>
      </w:r>
      <w:r w:rsidRPr="00A52585">
        <w:rPr>
          <w:rFonts w:hint="cs"/>
          <w:rtl/>
        </w:rPr>
        <w:t xml:space="preserve"> كيف أقول ما لم يقل </w:t>
      </w:r>
      <w:r w:rsidR="0002035C" w:rsidRPr="00A52585">
        <w:rPr>
          <w:rFonts w:hint="cs"/>
          <w:sz w:val="24"/>
          <w:szCs w:val="24"/>
          <w:rtl/>
        </w:rPr>
        <w:t>[</w:t>
      </w:r>
      <w:r w:rsidRPr="00A52585">
        <w:rPr>
          <w:sz w:val="24"/>
          <w:szCs w:val="24"/>
          <w:rtl/>
        </w:rPr>
        <w:t xml:space="preserve">قال الإمام العلامة محمد زاهد الكوثري في تعليقه على هذه العبارة: "ولما سئل الإمام أحمد عن أحاديث النزول والرؤية </w:t>
      </w:r>
      <w:r w:rsidRPr="00A52585">
        <w:rPr>
          <w:sz w:val="24"/>
          <w:szCs w:val="24"/>
          <w:rtl/>
        </w:rPr>
        <w:lastRenderedPageBreak/>
        <w:t xml:space="preserve">ووضع القدم، ونحوها </w:t>
      </w:r>
      <w:proofErr w:type="spellStart"/>
      <w:r w:rsidRPr="00A52585">
        <w:rPr>
          <w:sz w:val="24"/>
          <w:szCs w:val="24"/>
          <w:rtl/>
        </w:rPr>
        <w:t>قال:"نؤمن</w:t>
      </w:r>
      <w:proofErr w:type="spellEnd"/>
      <w:r w:rsidRPr="00A52585">
        <w:rPr>
          <w:sz w:val="24"/>
          <w:szCs w:val="24"/>
          <w:rtl/>
        </w:rPr>
        <w:t xml:space="preserve"> بها </w:t>
      </w:r>
      <w:proofErr w:type="spellStart"/>
      <w:r w:rsidRPr="00A52585">
        <w:rPr>
          <w:sz w:val="24"/>
          <w:szCs w:val="24"/>
          <w:rtl/>
        </w:rPr>
        <w:t>ةنصدق</w:t>
      </w:r>
      <w:proofErr w:type="spellEnd"/>
      <w:r w:rsidRPr="00A52585">
        <w:rPr>
          <w:sz w:val="24"/>
          <w:szCs w:val="24"/>
          <w:rtl/>
        </w:rPr>
        <w:t xml:space="preserve"> بها ولا كيف ولا </w:t>
      </w:r>
      <w:proofErr w:type="spellStart"/>
      <w:r w:rsidRPr="00A52585">
        <w:rPr>
          <w:sz w:val="24"/>
          <w:szCs w:val="24"/>
          <w:rtl/>
        </w:rPr>
        <w:t>معنى".وقال</w:t>
      </w:r>
      <w:proofErr w:type="spellEnd"/>
      <w:r w:rsidRPr="00A52585">
        <w:rPr>
          <w:sz w:val="24"/>
          <w:szCs w:val="24"/>
          <w:rtl/>
        </w:rPr>
        <w:t xml:space="preserve"> أيضا يوم سألوه عن </w:t>
      </w:r>
      <w:proofErr w:type="spellStart"/>
      <w:r w:rsidRPr="00A52585">
        <w:rPr>
          <w:sz w:val="24"/>
          <w:szCs w:val="24"/>
          <w:rtl/>
        </w:rPr>
        <w:t>الاستواء:"استوى</w:t>
      </w:r>
      <w:proofErr w:type="spellEnd"/>
      <w:r w:rsidRPr="00A52585">
        <w:rPr>
          <w:sz w:val="24"/>
          <w:szCs w:val="24"/>
          <w:rtl/>
        </w:rPr>
        <w:t xml:space="preserve"> على العرش كيف شاء وكما شاء بلا حد ولا صفة يبلغها واصف". على ما ذكره الخلال في السنة بسنده إلى حنبل عن عمه الإمام أحمد، وهذا تفويض وتنزيه كما هو مذهب السلف، وربما أوَّلَ في بعض المواضع كما حكى حنبل أيضا عن الإمام أحمد أنه سمعه يقول: احتجوا عليَّ يوم المناظرة فقالوا: تجيء يوم القيامة سورة البقرة وتجيء سورة تبارك، قال فقلت لهم: إنما هو الثواب، قال الله جل </w:t>
      </w:r>
      <w:proofErr w:type="gramStart"/>
      <w:r w:rsidRPr="00A52585">
        <w:rPr>
          <w:sz w:val="24"/>
          <w:szCs w:val="24"/>
          <w:rtl/>
        </w:rPr>
        <w:t>ذكره(</w:t>
      </w:r>
      <w:proofErr w:type="gramEnd"/>
      <w:r w:rsidRPr="00A52585">
        <w:rPr>
          <w:sz w:val="24"/>
          <w:szCs w:val="24"/>
          <w:rtl/>
        </w:rPr>
        <w:t xml:space="preserve">وجاء ربك والملك صفا صفاً)، وإنما تأتي قدرته. وقال ابن حزم الظاهري في فِصَلِه: وقد روينا عن أحمد بن حنبل رحمه الله أنه </w:t>
      </w:r>
      <w:proofErr w:type="spellStart"/>
      <w:r w:rsidRPr="00A52585">
        <w:rPr>
          <w:sz w:val="24"/>
          <w:szCs w:val="24"/>
          <w:rtl/>
        </w:rPr>
        <w:t>قال:"وجاء</w:t>
      </w:r>
      <w:proofErr w:type="spellEnd"/>
      <w:r w:rsidRPr="00A52585">
        <w:rPr>
          <w:sz w:val="24"/>
          <w:szCs w:val="24"/>
          <w:rtl/>
        </w:rPr>
        <w:t xml:space="preserve"> ربك" إنما معناه: وجاء أمر </w:t>
      </w:r>
      <w:proofErr w:type="spellStart"/>
      <w:r w:rsidRPr="00A52585">
        <w:rPr>
          <w:sz w:val="24"/>
          <w:szCs w:val="24"/>
          <w:rtl/>
        </w:rPr>
        <w:t>ربك.اه</w:t>
      </w:r>
      <w:proofErr w:type="spellEnd"/>
      <w:r w:rsidRPr="00A52585">
        <w:rPr>
          <w:sz w:val="24"/>
          <w:szCs w:val="24"/>
          <w:rtl/>
        </w:rPr>
        <w:t>ـ وهذا تأويل وتنزيه كما هو مذهب الخلف، وأما ما ينقل عن الإمام أحمد مما يخالف ما تقدم فهو تخرُّصُ صديق جاهل وسوء فهم لمذهب هذا الإمام.(ز)</w:t>
      </w:r>
      <w:r w:rsidR="0002035C" w:rsidRPr="00A52585">
        <w:rPr>
          <w:rFonts w:hint="cs"/>
          <w:sz w:val="24"/>
          <w:szCs w:val="24"/>
          <w:rtl/>
        </w:rPr>
        <w:t>]</w:t>
      </w:r>
      <w:r w:rsidR="00DB731D" w:rsidRPr="00A52585">
        <w:rPr>
          <w:rFonts w:hint="cs"/>
          <w:rtl/>
        </w:rPr>
        <w:t>،</w:t>
      </w:r>
      <w:r w:rsidRPr="00A52585">
        <w:rPr>
          <w:rFonts w:hint="cs"/>
          <w:rtl/>
        </w:rPr>
        <w:t xml:space="preserve"> فإياكم أن </w:t>
      </w:r>
      <w:proofErr w:type="spellStart"/>
      <w:r w:rsidRPr="00A52585">
        <w:rPr>
          <w:rFonts w:hint="cs"/>
          <w:rtl/>
        </w:rPr>
        <w:t>تبتدعوا</w:t>
      </w:r>
      <w:proofErr w:type="spellEnd"/>
      <w:r w:rsidRPr="00A52585">
        <w:rPr>
          <w:rFonts w:hint="cs"/>
          <w:rtl/>
        </w:rPr>
        <w:t xml:space="preserve"> في مذهبه ما ليس منه</w:t>
      </w:r>
      <w:r w:rsidR="00DB731D" w:rsidRPr="00A52585">
        <w:rPr>
          <w:rFonts w:hint="cs"/>
          <w:rtl/>
        </w:rPr>
        <w:t>،</w:t>
      </w:r>
      <w:r w:rsidRPr="00A52585">
        <w:rPr>
          <w:rFonts w:hint="cs"/>
          <w:rtl/>
        </w:rPr>
        <w:t xml:space="preserve"> ثم قلتم في الأحاديث(تحمل على ظاهرها)فظاهر القدم الجارحة</w:t>
      </w:r>
      <w:r w:rsidR="00DB731D" w:rsidRPr="00A52585">
        <w:rPr>
          <w:rFonts w:hint="cs"/>
          <w:rtl/>
        </w:rPr>
        <w:t>،</w:t>
      </w:r>
      <w:r w:rsidRPr="00A52585">
        <w:rPr>
          <w:rFonts w:hint="cs"/>
          <w:rtl/>
        </w:rPr>
        <w:t xml:space="preserve"> فإنه لما قيل في عيسى عليه الصلاة والسلام (روح الله) اعتقدت النصارى لعنهم الله تعالى أن الله سبحانه وتعالى صفة هي روح ولجت في مريم</w:t>
      </w:r>
      <w:r w:rsidR="00DB731D" w:rsidRPr="00A52585">
        <w:rPr>
          <w:rFonts w:hint="cs"/>
          <w:rtl/>
        </w:rPr>
        <w:t>،</w:t>
      </w:r>
      <w:r w:rsidRPr="00A52585">
        <w:rPr>
          <w:rFonts w:hint="cs"/>
          <w:rtl/>
        </w:rPr>
        <w:t xml:space="preserve"> ومن قال استوى بذاته المقدسة فقد أجراه سبحانه وتعالى مجرى </w:t>
      </w:r>
      <w:proofErr w:type="spellStart"/>
      <w:r w:rsidRPr="00A52585">
        <w:rPr>
          <w:rFonts w:hint="cs"/>
          <w:rtl/>
        </w:rPr>
        <w:t>الحسيات</w:t>
      </w:r>
      <w:proofErr w:type="spellEnd"/>
      <w:r w:rsidR="00DB731D" w:rsidRPr="00A52585">
        <w:rPr>
          <w:rFonts w:hint="cs"/>
          <w:rtl/>
        </w:rPr>
        <w:t>،</w:t>
      </w:r>
      <w:r w:rsidRPr="00A52585">
        <w:rPr>
          <w:rFonts w:hint="cs"/>
          <w:rtl/>
        </w:rPr>
        <w:t xml:space="preserve"> وينبغي أن لا يهمل ما يثبت به الأصل وهو العقل فإنا عرفنا الله تعالى وحكمنا له بالقِدَمِ</w:t>
      </w:r>
      <w:r w:rsidR="00DB731D" w:rsidRPr="00A52585">
        <w:rPr>
          <w:rFonts w:hint="cs"/>
          <w:rtl/>
        </w:rPr>
        <w:t>،</w:t>
      </w:r>
      <w:r w:rsidRPr="00A52585">
        <w:rPr>
          <w:rFonts w:hint="cs"/>
          <w:rtl/>
        </w:rPr>
        <w:t xml:space="preserve"> فَلَو أنكم قلتم نقرأ الأحاديث ونسكتُ</w:t>
      </w:r>
      <w:r w:rsidR="00DB731D" w:rsidRPr="00A52585">
        <w:rPr>
          <w:rFonts w:hint="cs"/>
          <w:rtl/>
        </w:rPr>
        <w:t>،</w:t>
      </w:r>
      <w:r w:rsidRPr="00A52585">
        <w:rPr>
          <w:rFonts w:hint="cs"/>
          <w:rtl/>
        </w:rPr>
        <w:t xml:space="preserve"> لما أنكرَ أحد عليكم</w:t>
      </w:r>
      <w:r w:rsidR="00DB731D" w:rsidRPr="00A52585">
        <w:rPr>
          <w:rFonts w:hint="cs"/>
          <w:rtl/>
        </w:rPr>
        <w:t>،</w:t>
      </w:r>
      <w:r w:rsidRPr="00A52585">
        <w:rPr>
          <w:rFonts w:hint="cs"/>
          <w:rtl/>
        </w:rPr>
        <w:t xml:space="preserve"> إنما حَمْلُكُم إياها على الظاهر قبيح</w:t>
      </w:r>
      <w:r w:rsidR="00DB731D" w:rsidRPr="00A52585">
        <w:rPr>
          <w:rFonts w:hint="cs"/>
          <w:rtl/>
        </w:rPr>
        <w:t>،</w:t>
      </w:r>
      <w:r w:rsidRPr="00A52585">
        <w:rPr>
          <w:rFonts w:hint="cs"/>
          <w:rtl/>
        </w:rPr>
        <w:t xml:space="preserve"> فلا تُدخِلوا في مذهب هذا الرجل الصالح السلفي ما ليس منه فلقد كسيتم هذا المذهب شيئا قبيحا</w:t>
      </w:r>
      <w:r w:rsidR="00DB731D" w:rsidRPr="00A52585">
        <w:rPr>
          <w:rFonts w:hint="cs"/>
          <w:rtl/>
        </w:rPr>
        <w:t>،</w:t>
      </w:r>
      <w:r w:rsidRPr="00A52585">
        <w:rPr>
          <w:rFonts w:hint="cs"/>
          <w:rtl/>
        </w:rPr>
        <w:t xml:space="preserve"> حتى صار لا يقال عن حنبلي إلا مجسم</w:t>
      </w:r>
      <w:r w:rsidR="00DB731D" w:rsidRPr="00A52585">
        <w:rPr>
          <w:rFonts w:hint="cs"/>
          <w:rtl/>
        </w:rPr>
        <w:t>،</w:t>
      </w:r>
      <w:r w:rsidRPr="00A52585">
        <w:rPr>
          <w:rFonts w:hint="cs"/>
          <w:rtl/>
        </w:rPr>
        <w:t xml:space="preserve"> ثم زينتم مذهبكم أيضا بالعصبية ليزيد بن معاوية وقد علمتم أن صاحب هذا المذهب أجاز لعنته</w:t>
      </w:r>
      <w:r w:rsidR="00DB731D" w:rsidRPr="00A52585">
        <w:rPr>
          <w:rFonts w:hint="cs"/>
          <w:rtl/>
        </w:rPr>
        <w:t>،</w:t>
      </w:r>
      <w:r w:rsidRPr="00A52585">
        <w:rPr>
          <w:rFonts w:hint="cs"/>
          <w:rtl/>
        </w:rPr>
        <w:t xml:space="preserve"> وقد كان أبو محمد التميمي يقول في بعض أئمتكم</w:t>
      </w:r>
      <w:r w:rsidR="00DB731D" w:rsidRPr="00A52585">
        <w:rPr>
          <w:rFonts w:hint="cs"/>
          <w:rtl/>
        </w:rPr>
        <w:t>،</w:t>
      </w:r>
      <w:r w:rsidRPr="00A52585">
        <w:rPr>
          <w:rFonts w:hint="cs"/>
          <w:rtl/>
        </w:rPr>
        <w:t xml:space="preserve"> لقد شان المذهب شيئا قبيحا لا يغسل إلى يوم القيامة "اهـ</w:t>
      </w:r>
      <w:r w:rsidR="00DB731D" w:rsidRPr="00A52585">
        <w:rPr>
          <w:rFonts w:hint="cs"/>
          <w:rtl/>
        </w:rPr>
        <w:t>،</w:t>
      </w:r>
      <w:r w:rsidRPr="00A52585">
        <w:rPr>
          <w:rFonts w:hint="cs"/>
          <w:rtl/>
        </w:rPr>
        <w:t xml:space="preserve"> </w:t>
      </w:r>
    </w:p>
    <w:p w14:paraId="42EB411A" w14:textId="12A9D5B0" w:rsidR="00777DCB" w:rsidRPr="00A52585" w:rsidRDefault="0002035C" w:rsidP="0002035C">
      <w:pPr>
        <w:spacing w:after="240"/>
        <w:rPr>
          <w:b/>
          <w:rtl/>
        </w:rPr>
      </w:pPr>
      <w:r w:rsidRPr="00A52585">
        <w:rPr>
          <w:rFonts w:hint="cs"/>
          <w:bCs/>
          <w:rtl/>
        </w:rPr>
        <w:t>[</w:t>
      </w:r>
      <w:r w:rsidR="00777DCB" w:rsidRPr="00A52585">
        <w:rPr>
          <w:rFonts w:hint="cs"/>
          <w:bCs/>
          <w:rtl/>
        </w:rPr>
        <w:t>خاتـــمــة</w:t>
      </w:r>
      <w:r w:rsidRPr="00A52585">
        <w:rPr>
          <w:rFonts w:hint="cs"/>
          <w:bCs/>
          <w:rtl/>
        </w:rPr>
        <w:t>]:</w:t>
      </w:r>
      <w:r w:rsidR="00777DCB" w:rsidRPr="00A52585">
        <w:rPr>
          <w:rFonts w:hint="cs"/>
          <w:bCs/>
          <w:rtl/>
        </w:rPr>
        <w:t xml:space="preserve"> </w:t>
      </w:r>
      <w:r w:rsidR="00777DCB" w:rsidRPr="00A52585">
        <w:rPr>
          <w:rFonts w:hint="cs"/>
          <w:rtl/>
        </w:rPr>
        <w:t>قال الإمام ابن الجوزي في كتاب صيد الخاطر</w:t>
      </w:r>
      <w:r w:rsidRPr="00A52585">
        <w:rPr>
          <w:rFonts w:hint="cs"/>
          <w:rtl/>
        </w:rPr>
        <w:t>:</w:t>
      </w:r>
      <w:r w:rsidR="00777DCB" w:rsidRPr="00A52585">
        <w:rPr>
          <w:rFonts w:hint="cs"/>
          <w:rtl/>
        </w:rPr>
        <w:t xml:space="preserve"> </w:t>
      </w:r>
      <w:r w:rsidRPr="00A52585">
        <w:rPr>
          <w:rFonts w:hint="cs"/>
          <w:rtl/>
        </w:rPr>
        <w:t>[</w:t>
      </w:r>
      <w:r w:rsidR="00777DCB" w:rsidRPr="00A52585">
        <w:rPr>
          <w:rtl/>
        </w:rPr>
        <w:t>ص419</w:t>
      </w:r>
      <w:r w:rsidRPr="00A52585">
        <w:rPr>
          <w:rFonts w:hint="cs"/>
          <w:rtl/>
        </w:rPr>
        <w:t xml:space="preserve">]: </w:t>
      </w:r>
      <w:r w:rsidR="00777DCB" w:rsidRPr="00A52585">
        <w:rPr>
          <w:rFonts w:hint="cs"/>
          <w:rtl/>
        </w:rPr>
        <w:t>" فصلٌ</w:t>
      </w:r>
      <w:r w:rsidR="00DB731D" w:rsidRPr="00A52585">
        <w:rPr>
          <w:rFonts w:hint="cs"/>
          <w:rtl/>
        </w:rPr>
        <w:t>،</w:t>
      </w:r>
      <w:r w:rsidR="00777DCB" w:rsidRPr="00A52585">
        <w:rPr>
          <w:rFonts w:hint="cs"/>
          <w:rtl/>
        </w:rPr>
        <w:t xml:space="preserve"> حدثوا الناس بما يطيقون</w:t>
      </w:r>
      <w:r w:rsidRPr="00A52585">
        <w:rPr>
          <w:rFonts w:hint="cs"/>
          <w:rtl/>
        </w:rPr>
        <w:t xml:space="preserve">: </w:t>
      </w:r>
      <w:r w:rsidR="00777DCB" w:rsidRPr="00A52585">
        <w:rPr>
          <w:rFonts w:hint="cs"/>
          <w:rtl/>
        </w:rPr>
        <w:t>من المخاطرات العظيمة تحديث العوام بما لا تحتمله قلوبهم</w:t>
      </w:r>
      <w:r w:rsidR="00DB731D" w:rsidRPr="00A52585">
        <w:rPr>
          <w:rFonts w:hint="cs"/>
          <w:rtl/>
        </w:rPr>
        <w:t>،</w:t>
      </w:r>
      <w:r w:rsidR="00777DCB" w:rsidRPr="00A52585">
        <w:rPr>
          <w:rFonts w:hint="cs"/>
          <w:rtl/>
        </w:rPr>
        <w:t xml:space="preserve"> أو بما قد رسخ في نفوسهم ضده</w:t>
      </w:r>
      <w:r w:rsidR="00DB731D" w:rsidRPr="00A52585">
        <w:rPr>
          <w:rFonts w:hint="cs"/>
          <w:rtl/>
        </w:rPr>
        <w:t>،</w:t>
      </w:r>
      <w:r w:rsidR="00777DCB" w:rsidRPr="00A52585">
        <w:rPr>
          <w:rFonts w:hint="cs"/>
          <w:rtl/>
        </w:rPr>
        <w:t xml:space="preserve"> مثاله أن قوما قد رسخ في قلوبهم التشبيه وأن ذات الخالق سبحانه مُلاصِقَةٌ للعرش</w:t>
      </w:r>
      <w:r w:rsidR="00DB731D" w:rsidRPr="00A52585">
        <w:rPr>
          <w:rFonts w:hint="cs"/>
          <w:rtl/>
        </w:rPr>
        <w:t>،</w:t>
      </w:r>
      <w:r w:rsidR="00777DCB" w:rsidRPr="00A52585">
        <w:rPr>
          <w:rFonts w:hint="cs"/>
          <w:rtl/>
        </w:rPr>
        <w:t xml:space="preserve"> وهي بقدر العرش</w:t>
      </w:r>
      <w:r w:rsidR="00DB731D" w:rsidRPr="00A52585">
        <w:rPr>
          <w:rFonts w:hint="cs"/>
          <w:rtl/>
        </w:rPr>
        <w:t>،</w:t>
      </w:r>
      <w:r w:rsidR="00777DCB" w:rsidRPr="00A52585">
        <w:rPr>
          <w:rFonts w:hint="cs"/>
          <w:rtl/>
        </w:rPr>
        <w:t xml:space="preserve"> ويفضل من العرش قدر أربع أصابع</w:t>
      </w:r>
      <w:r w:rsidR="00DB731D" w:rsidRPr="00A52585">
        <w:rPr>
          <w:rFonts w:hint="cs"/>
          <w:rtl/>
        </w:rPr>
        <w:t>،</w:t>
      </w:r>
      <w:r w:rsidR="00777DCB" w:rsidRPr="00A52585">
        <w:rPr>
          <w:rFonts w:hint="cs"/>
          <w:rtl/>
        </w:rPr>
        <w:t xml:space="preserve"> وسمعوا مثل هذا من أشياخهم</w:t>
      </w:r>
      <w:r w:rsidR="00DB731D" w:rsidRPr="00A52585">
        <w:rPr>
          <w:rFonts w:hint="cs"/>
          <w:rtl/>
        </w:rPr>
        <w:t>،</w:t>
      </w:r>
      <w:r w:rsidR="00777DCB" w:rsidRPr="00A52585">
        <w:rPr>
          <w:rFonts w:hint="cs"/>
          <w:rtl/>
        </w:rPr>
        <w:t xml:space="preserve"> وثبت عندهم أنه إذا نزل وانتقل إلى السماء الدنيا خلت منه ست سموات فإذا دُعِيَ أحدهم إلى التنزيه وقيل له ليس كما خطر لك</w:t>
      </w:r>
      <w:r w:rsidR="00DB731D" w:rsidRPr="00A52585">
        <w:rPr>
          <w:rFonts w:hint="cs"/>
          <w:rtl/>
        </w:rPr>
        <w:t>،</w:t>
      </w:r>
      <w:r w:rsidR="00777DCB" w:rsidRPr="00A52585">
        <w:rPr>
          <w:rFonts w:hint="cs"/>
          <w:rtl/>
        </w:rPr>
        <w:t xml:space="preserve"> إنما ينبغي أن تُمِرَّ الأحاديث كما جاءت من غير مساكنة ما </w:t>
      </w:r>
      <w:proofErr w:type="spellStart"/>
      <w:r w:rsidR="00777DCB" w:rsidRPr="00A52585">
        <w:rPr>
          <w:rFonts w:hint="cs"/>
          <w:rtl/>
        </w:rPr>
        <w:t>توهمته</w:t>
      </w:r>
      <w:proofErr w:type="spellEnd"/>
      <w:r w:rsidR="00DB731D" w:rsidRPr="00A52585">
        <w:rPr>
          <w:rFonts w:hint="cs"/>
          <w:rtl/>
        </w:rPr>
        <w:t>،</w:t>
      </w:r>
      <w:r w:rsidR="00777DCB" w:rsidRPr="00A52585">
        <w:rPr>
          <w:rFonts w:hint="cs"/>
          <w:rtl/>
        </w:rPr>
        <w:t xml:space="preserve"> صَعُبَ هذا عليه لوجهين</w:t>
      </w:r>
      <w:r w:rsidR="00DB731D" w:rsidRPr="00A52585">
        <w:rPr>
          <w:rFonts w:hint="cs"/>
          <w:rtl/>
        </w:rPr>
        <w:t>،</w:t>
      </w:r>
      <w:r w:rsidR="00777DCB" w:rsidRPr="00A52585">
        <w:rPr>
          <w:rFonts w:hint="cs"/>
          <w:rtl/>
        </w:rPr>
        <w:t xml:space="preserve"> أحدهما</w:t>
      </w:r>
      <w:r w:rsidRPr="00A52585">
        <w:rPr>
          <w:rFonts w:hint="cs"/>
          <w:rtl/>
        </w:rPr>
        <w:t>:</w:t>
      </w:r>
      <w:r w:rsidR="00777DCB" w:rsidRPr="00A52585">
        <w:rPr>
          <w:rFonts w:hint="cs"/>
          <w:rtl/>
        </w:rPr>
        <w:t xml:space="preserve"> لغلبة الحس عليه</w:t>
      </w:r>
      <w:r w:rsidR="00DB731D" w:rsidRPr="00A52585">
        <w:rPr>
          <w:rFonts w:hint="cs"/>
          <w:rtl/>
        </w:rPr>
        <w:t>،</w:t>
      </w:r>
      <w:r w:rsidR="00777DCB" w:rsidRPr="00A52585">
        <w:rPr>
          <w:rFonts w:hint="cs"/>
          <w:rtl/>
        </w:rPr>
        <w:t xml:space="preserve"> والحس على العوام أغلبُ</w:t>
      </w:r>
      <w:r w:rsidR="00DB731D" w:rsidRPr="00A52585">
        <w:rPr>
          <w:rFonts w:hint="cs"/>
          <w:rtl/>
        </w:rPr>
        <w:t>،</w:t>
      </w:r>
      <w:r w:rsidRPr="00A52585">
        <w:rPr>
          <w:rFonts w:hint="cs"/>
          <w:rtl/>
        </w:rPr>
        <w:t xml:space="preserve"> </w:t>
      </w:r>
      <w:r w:rsidR="00777DCB" w:rsidRPr="00A52585">
        <w:rPr>
          <w:rFonts w:hint="cs"/>
          <w:rtl/>
        </w:rPr>
        <w:t>والثاني</w:t>
      </w:r>
      <w:r w:rsidRPr="00A52585">
        <w:rPr>
          <w:rFonts w:hint="cs"/>
          <w:rtl/>
        </w:rPr>
        <w:t>:</w:t>
      </w:r>
      <w:r w:rsidR="00777DCB" w:rsidRPr="00A52585">
        <w:rPr>
          <w:rFonts w:hint="cs"/>
          <w:rtl/>
        </w:rPr>
        <w:t xml:space="preserve"> لما قد سمعه من ذلك من الأشياخ الذين كانوا أجهل منه</w:t>
      </w:r>
      <w:r w:rsidR="00DB731D" w:rsidRPr="00A52585">
        <w:rPr>
          <w:rFonts w:hint="cs"/>
          <w:rtl/>
        </w:rPr>
        <w:t>،</w:t>
      </w:r>
      <w:r w:rsidRPr="00A52585">
        <w:rPr>
          <w:rFonts w:hint="cs"/>
          <w:rtl/>
        </w:rPr>
        <w:t xml:space="preserve"> </w:t>
      </w:r>
      <w:r w:rsidR="00777DCB" w:rsidRPr="00A52585">
        <w:rPr>
          <w:rFonts w:hint="cs"/>
          <w:rtl/>
        </w:rPr>
        <w:t>فالمخاطِبُ لهذا مخاطر بنفسه</w:t>
      </w:r>
      <w:r w:rsidR="00DB731D" w:rsidRPr="00A52585">
        <w:rPr>
          <w:rFonts w:hint="cs"/>
          <w:rtl/>
        </w:rPr>
        <w:t>،</w:t>
      </w:r>
      <w:r w:rsidR="00777DCB" w:rsidRPr="00A52585">
        <w:rPr>
          <w:rFonts w:hint="cs"/>
          <w:rtl/>
        </w:rPr>
        <w:t xml:space="preserve"> ولقد بلغني عن بعض من كان يتدين ممن رسخ في قلبه التشبيه أنه سمع من بعض العلماء شيئا من التنزيه</w:t>
      </w:r>
      <w:r w:rsidR="00DB731D" w:rsidRPr="00A52585">
        <w:rPr>
          <w:rFonts w:hint="cs"/>
          <w:rtl/>
        </w:rPr>
        <w:t>،</w:t>
      </w:r>
      <w:r w:rsidR="00777DCB" w:rsidRPr="00A52585">
        <w:rPr>
          <w:rFonts w:hint="cs"/>
          <w:rtl/>
        </w:rPr>
        <w:t xml:space="preserve"> فقال</w:t>
      </w:r>
      <w:r w:rsidRPr="00A52585">
        <w:rPr>
          <w:rFonts w:hint="cs"/>
          <w:rtl/>
        </w:rPr>
        <w:t>:</w:t>
      </w:r>
      <w:r w:rsidR="00777DCB" w:rsidRPr="00A52585">
        <w:rPr>
          <w:rFonts w:hint="cs"/>
          <w:rtl/>
        </w:rPr>
        <w:t xml:space="preserve"> والله لو قدرت عليه لقتلته</w:t>
      </w:r>
      <w:r w:rsidR="00DB731D" w:rsidRPr="00A52585">
        <w:rPr>
          <w:rFonts w:hint="cs"/>
          <w:rtl/>
        </w:rPr>
        <w:t>،</w:t>
      </w:r>
      <w:r w:rsidR="00777DCB" w:rsidRPr="00A52585">
        <w:rPr>
          <w:rFonts w:hint="cs"/>
          <w:rtl/>
        </w:rPr>
        <w:t xml:space="preserve"> فاللهَ اللهَ أن تحدِّثَ مخلوقا من العوام بما لا يحتمله دون احتيال وتلطف</w:t>
      </w:r>
      <w:r w:rsidR="00DB731D" w:rsidRPr="00A52585">
        <w:rPr>
          <w:rFonts w:hint="cs"/>
          <w:rtl/>
        </w:rPr>
        <w:t>،</w:t>
      </w:r>
      <w:r w:rsidR="00777DCB" w:rsidRPr="00A52585">
        <w:rPr>
          <w:rFonts w:hint="cs"/>
          <w:rtl/>
        </w:rPr>
        <w:t xml:space="preserve"> فإنه لا يزول ما في نفسه</w:t>
      </w:r>
      <w:r w:rsidR="00DB731D" w:rsidRPr="00A52585">
        <w:rPr>
          <w:rFonts w:hint="cs"/>
          <w:rtl/>
        </w:rPr>
        <w:t>،</w:t>
      </w:r>
      <w:r w:rsidR="00777DCB" w:rsidRPr="00A52585">
        <w:rPr>
          <w:rFonts w:hint="cs"/>
          <w:rtl/>
        </w:rPr>
        <w:t xml:space="preserve"> ويخاطر </w:t>
      </w:r>
      <w:r w:rsidR="00777DCB" w:rsidRPr="00A52585">
        <w:rPr>
          <w:rFonts w:hint="cs"/>
          <w:rtl/>
        </w:rPr>
        <w:lastRenderedPageBreak/>
        <w:t>المحدث له بنفسه</w:t>
      </w:r>
      <w:r w:rsidR="00DB731D" w:rsidRPr="00A52585">
        <w:rPr>
          <w:rFonts w:hint="cs"/>
          <w:rtl/>
        </w:rPr>
        <w:t>،</w:t>
      </w:r>
      <w:r w:rsidR="00777DCB" w:rsidRPr="00A52585">
        <w:rPr>
          <w:rFonts w:hint="cs"/>
          <w:rtl/>
        </w:rPr>
        <w:t xml:space="preserve"> فكذلك كل ما يتعلق بالأصول</w:t>
      </w:r>
      <w:r w:rsidR="00DB731D" w:rsidRPr="00A52585">
        <w:rPr>
          <w:rFonts w:hint="cs"/>
          <w:rtl/>
        </w:rPr>
        <w:t>،</w:t>
      </w:r>
      <w:r w:rsidR="00777DCB" w:rsidRPr="00A52585">
        <w:rPr>
          <w:rFonts w:hint="cs"/>
          <w:rtl/>
        </w:rPr>
        <w:t xml:space="preserve"> اهـ</w:t>
      </w:r>
      <w:r w:rsidR="00DB731D" w:rsidRPr="00A52585">
        <w:rPr>
          <w:rFonts w:hint="cs"/>
          <w:rtl/>
        </w:rPr>
        <w:t>،</w:t>
      </w:r>
      <w:r w:rsidR="00777DCB" w:rsidRPr="00A52585">
        <w:rPr>
          <w:rFonts w:hint="cs"/>
          <w:rtl/>
        </w:rPr>
        <w:t xml:space="preserve"> فانظر في هذا الكلام وتمعن فيه حكمة بالغة</w:t>
      </w:r>
      <w:r w:rsidR="00DB731D" w:rsidRPr="00A52585">
        <w:rPr>
          <w:rFonts w:hint="cs"/>
          <w:rtl/>
        </w:rPr>
        <w:t>،</w:t>
      </w:r>
      <w:r w:rsidR="00777DCB" w:rsidRPr="00A52585">
        <w:rPr>
          <w:rFonts w:hint="cs"/>
          <w:rtl/>
        </w:rPr>
        <w:t xml:space="preserve"> ولا تمش وراء شهوتك وتتعصب لما يبدو لك في نفسك</w:t>
      </w:r>
      <w:r w:rsidR="00DB731D" w:rsidRPr="00A52585">
        <w:rPr>
          <w:rFonts w:hint="cs"/>
          <w:rtl/>
        </w:rPr>
        <w:t>،</w:t>
      </w:r>
      <w:r w:rsidR="00777DCB" w:rsidRPr="00A52585">
        <w:rPr>
          <w:rFonts w:hint="cs"/>
          <w:rtl/>
        </w:rPr>
        <w:t xml:space="preserve"> فإن في هذا مقتلك</w:t>
      </w:r>
      <w:r w:rsidR="00DB731D" w:rsidRPr="00A52585">
        <w:rPr>
          <w:rFonts w:hint="cs"/>
          <w:rtl/>
        </w:rPr>
        <w:t>،</w:t>
      </w:r>
      <w:r w:rsidRPr="00A52585">
        <w:rPr>
          <w:rFonts w:hint="cs"/>
          <w:rtl/>
        </w:rPr>
        <w:t xml:space="preserve"> </w:t>
      </w:r>
      <w:r w:rsidR="00777DCB" w:rsidRPr="00A52585">
        <w:rPr>
          <w:rFonts w:hint="cs"/>
          <w:rtl/>
        </w:rPr>
        <w:t>وبهذا نكون قد أتينا بما قد وعدنا به</w:t>
      </w:r>
      <w:r w:rsidR="00DB731D" w:rsidRPr="00A52585">
        <w:rPr>
          <w:rFonts w:hint="cs"/>
          <w:rtl/>
        </w:rPr>
        <w:t>،</w:t>
      </w:r>
      <w:r w:rsidR="00777DCB" w:rsidRPr="00A52585">
        <w:rPr>
          <w:rFonts w:hint="cs"/>
          <w:rtl/>
        </w:rPr>
        <w:t xml:space="preserve"> ولم نقصد تطويل الكلام</w:t>
      </w:r>
      <w:r w:rsidR="00DB731D" w:rsidRPr="00A52585">
        <w:rPr>
          <w:rFonts w:hint="cs"/>
          <w:rtl/>
        </w:rPr>
        <w:t>،</w:t>
      </w:r>
      <w:r w:rsidR="00777DCB" w:rsidRPr="00A52585">
        <w:rPr>
          <w:rFonts w:hint="cs"/>
          <w:rtl/>
        </w:rPr>
        <w:t xml:space="preserve"> بل اكتفينا بالإشارات في معظم الأحوال</w:t>
      </w:r>
      <w:r w:rsidR="00DB731D" w:rsidRPr="00A52585">
        <w:rPr>
          <w:rFonts w:hint="cs"/>
          <w:rtl/>
        </w:rPr>
        <w:t>،</w:t>
      </w:r>
      <w:r w:rsidR="00777DCB" w:rsidRPr="00A52585">
        <w:rPr>
          <w:rFonts w:hint="cs"/>
          <w:rtl/>
        </w:rPr>
        <w:t xml:space="preserve"> ورجونا أن يكون بذكر كلام بعض الأعلام تأثير في قلوب المتقين</w:t>
      </w:r>
      <w:r w:rsidR="00DB731D" w:rsidRPr="00A52585">
        <w:rPr>
          <w:rFonts w:hint="cs"/>
          <w:rtl/>
        </w:rPr>
        <w:t>،</w:t>
      </w:r>
      <w:r w:rsidR="00777DCB" w:rsidRPr="00A52585">
        <w:rPr>
          <w:rFonts w:hint="cs"/>
          <w:rtl/>
        </w:rPr>
        <w:t xml:space="preserve"> وأدعو الله تعالى أن ينفع بهذه الرسالة</w:t>
      </w:r>
      <w:r w:rsidR="00DB731D" w:rsidRPr="00A52585">
        <w:rPr>
          <w:rFonts w:hint="cs"/>
          <w:rtl/>
        </w:rPr>
        <w:t>،</w:t>
      </w:r>
      <w:r w:rsidR="00777DCB" w:rsidRPr="00A52585">
        <w:rPr>
          <w:rFonts w:hint="cs"/>
          <w:rtl/>
        </w:rPr>
        <w:t xml:space="preserve"> ويهدي بها إلى الحق والطريق المستقيم</w:t>
      </w:r>
      <w:r w:rsidR="00DB731D" w:rsidRPr="00A52585">
        <w:rPr>
          <w:rFonts w:hint="cs"/>
          <w:rtl/>
        </w:rPr>
        <w:t>،،</w:t>
      </w:r>
      <w:r w:rsidR="00777DCB" w:rsidRPr="00A52585">
        <w:rPr>
          <w:rFonts w:hint="cs"/>
          <w:rtl/>
        </w:rPr>
        <w:t xml:space="preserve"> والحمد لله رب العالمين</w:t>
      </w:r>
      <w:r w:rsidR="00DB731D" w:rsidRPr="00A52585">
        <w:rPr>
          <w:rFonts w:hint="cs"/>
          <w:rtl/>
        </w:rPr>
        <w:t>،</w:t>
      </w:r>
      <w:r w:rsidR="00777DCB" w:rsidRPr="00A52585">
        <w:rPr>
          <w:rFonts w:hint="cs"/>
          <w:rtl/>
        </w:rPr>
        <w:t xml:space="preserve"> وليس لنا وراء الله مذهب ولا غاية</w:t>
      </w:r>
      <w:r w:rsidR="00DB731D" w:rsidRPr="00A52585">
        <w:rPr>
          <w:rFonts w:hint="cs"/>
          <w:rtl/>
        </w:rPr>
        <w:t>،</w:t>
      </w:r>
      <w:r w:rsidR="00777DCB" w:rsidRPr="00A52585">
        <w:rPr>
          <w:rFonts w:hint="cs"/>
          <w:rtl/>
        </w:rPr>
        <w:t xml:space="preserve"> سعيد</w:t>
      </w:r>
      <w:r w:rsidR="00777DCB" w:rsidRPr="00A52585">
        <w:rPr>
          <w:rFonts w:hint="cs"/>
        </w:rPr>
        <w:t xml:space="preserve"> </w:t>
      </w:r>
      <w:r w:rsidR="00777DCB" w:rsidRPr="00A52585">
        <w:rPr>
          <w:rFonts w:hint="cs"/>
          <w:rtl/>
        </w:rPr>
        <w:t>فودة</w:t>
      </w:r>
      <w:r w:rsidR="00DB731D" w:rsidRPr="00A52585">
        <w:rPr>
          <w:rFonts w:hint="cs"/>
          <w:rtl/>
        </w:rPr>
        <w:t>،</w:t>
      </w:r>
      <w:r w:rsidR="00777DCB" w:rsidRPr="00A52585">
        <w:rPr>
          <w:rFonts w:hint="cs"/>
          <w:rtl/>
        </w:rPr>
        <w:t xml:space="preserve"> </w:t>
      </w:r>
    </w:p>
    <w:p w14:paraId="562D4F78" w14:textId="77777777" w:rsidR="00777DCB" w:rsidRPr="00A52585" w:rsidRDefault="00777DCB" w:rsidP="0002035C">
      <w:pPr>
        <w:spacing w:after="240"/>
        <w:jc w:val="center"/>
        <w:rPr>
          <w:b/>
          <w:rtl/>
        </w:rPr>
      </w:pPr>
      <w:r w:rsidRPr="00A52585">
        <w:rPr>
          <w:rFonts w:hint="cs"/>
          <w:rtl/>
        </w:rPr>
        <w:t xml:space="preserve">*** </w:t>
      </w:r>
    </w:p>
    <w:p w14:paraId="234EA44F" w14:textId="77777777" w:rsidR="00777DCB" w:rsidRPr="00A52585" w:rsidRDefault="00777DCB" w:rsidP="0002035C">
      <w:pPr>
        <w:spacing w:after="240"/>
        <w:rPr>
          <w:rtl/>
          <w:lang w:bidi="ar-KW"/>
        </w:rPr>
      </w:pPr>
    </w:p>
    <w:p w14:paraId="1B022BE4" w14:textId="77777777" w:rsidR="00777DCB" w:rsidRPr="00A52585" w:rsidRDefault="00777DCB" w:rsidP="0002035C">
      <w:pPr>
        <w:spacing w:after="240"/>
        <w:jc w:val="center"/>
        <w:rPr>
          <w:rFonts w:cs="Monotype Koufi"/>
          <w:b/>
          <w:rtl/>
          <w:lang w:bidi="ar-KW"/>
        </w:rPr>
      </w:pPr>
    </w:p>
    <w:p w14:paraId="3D5A7E5A" w14:textId="77777777" w:rsidR="00777DCB" w:rsidRPr="00A52585" w:rsidRDefault="00777DCB" w:rsidP="0002035C">
      <w:pPr>
        <w:spacing w:after="240"/>
        <w:jc w:val="center"/>
        <w:rPr>
          <w:rFonts w:cs="Monotype Koufi"/>
          <w:b/>
          <w:rtl/>
          <w:lang w:bidi="ar-KW"/>
        </w:rPr>
      </w:pPr>
    </w:p>
    <w:p w14:paraId="53AE2932" w14:textId="77777777" w:rsidR="00777DCB" w:rsidRPr="00A52585" w:rsidRDefault="00777DCB" w:rsidP="0002035C">
      <w:pPr>
        <w:spacing w:after="240"/>
        <w:jc w:val="center"/>
        <w:rPr>
          <w:rFonts w:cs="Monotype Koufi"/>
          <w:b/>
          <w:rtl/>
          <w:lang w:bidi="ar-KW"/>
        </w:rPr>
      </w:pPr>
      <w:r w:rsidRPr="00A52585">
        <w:rPr>
          <w:rFonts w:cs="Monotype Koufi" w:hint="cs"/>
          <w:rtl/>
          <w:lang w:bidi="ar-KW"/>
        </w:rPr>
        <w:t>الخاتمة</w:t>
      </w:r>
    </w:p>
    <w:p w14:paraId="5B6F4F95" w14:textId="2A928DB6" w:rsidR="00777DCB" w:rsidRPr="00A52585" w:rsidRDefault="00777DCB" w:rsidP="0002035C">
      <w:pPr>
        <w:spacing w:after="240"/>
        <w:rPr>
          <w:rtl/>
        </w:rPr>
      </w:pPr>
      <w:r w:rsidRPr="00A52585">
        <w:rPr>
          <w:rtl/>
        </w:rPr>
        <w:t>هذه الرسالة تتناول تقديس الله تعالى عن مشابهة المخلوقات ليس كمثله شيء ولم يكن له كفوا</w:t>
      </w:r>
      <w:r w:rsidR="0002035C" w:rsidRPr="00A52585">
        <w:rPr>
          <w:rtl/>
        </w:rPr>
        <w:t xml:space="preserve"> </w:t>
      </w:r>
      <w:r w:rsidRPr="00A52585">
        <w:rPr>
          <w:rtl/>
        </w:rPr>
        <w:t>أحد</w:t>
      </w:r>
      <w:r w:rsidR="00DB731D" w:rsidRPr="00A52585">
        <w:rPr>
          <w:rtl/>
        </w:rPr>
        <w:t>،</w:t>
      </w:r>
      <w:r w:rsidRPr="00A52585">
        <w:rPr>
          <w:rtl/>
        </w:rPr>
        <w:t xml:space="preserve"> فالله عز وجل لا يشبهه شيء من المخلوقات</w:t>
      </w:r>
      <w:r w:rsidR="00DB731D" w:rsidRPr="00A52585">
        <w:rPr>
          <w:rtl/>
        </w:rPr>
        <w:t>،</w:t>
      </w:r>
      <w:r w:rsidRPr="00A52585">
        <w:rPr>
          <w:rtl/>
        </w:rPr>
        <w:t xml:space="preserve"> ولا هو يشبه شيئاً منها</w:t>
      </w:r>
      <w:r w:rsidR="00DB731D" w:rsidRPr="00A52585">
        <w:rPr>
          <w:rtl/>
        </w:rPr>
        <w:t>،</w:t>
      </w:r>
      <w:r w:rsidRPr="00A52585">
        <w:rPr>
          <w:rtl/>
        </w:rPr>
        <w:t xml:space="preserve"> لأنه لو أشبهه شيء لكان مثله قديماً</w:t>
      </w:r>
      <w:r w:rsidR="00DB731D" w:rsidRPr="00A52585">
        <w:rPr>
          <w:rtl/>
        </w:rPr>
        <w:t>،</w:t>
      </w:r>
      <w:r w:rsidRPr="00A52585">
        <w:rPr>
          <w:rtl/>
        </w:rPr>
        <w:t xml:space="preserve"> ولو أشبه شيئاً لكان مثله مخلوقاً</w:t>
      </w:r>
      <w:r w:rsidR="00DB731D" w:rsidRPr="00A52585">
        <w:rPr>
          <w:rtl/>
        </w:rPr>
        <w:t>،</w:t>
      </w:r>
      <w:r w:rsidRPr="00A52585">
        <w:rPr>
          <w:rtl/>
        </w:rPr>
        <w:t xml:space="preserve"> وكلا الحالين على الله محال</w:t>
      </w:r>
      <w:r w:rsidR="00DB731D" w:rsidRPr="00A52585">
        <w:rPr>
          <w:rtl/>
        </w:rPr>
        <w:t>،</w:t>
      </w:r>
      <w:r w:rsidRPr="00A52585">
        <w:rPr>
          <w:rtl/>
        </w:rPr>
        <w:t xml:space="preserve"> كما أن ذات المخل</w:t>
      </w:r>
      <w:r w:rsidRPr="00A52585">
        <w:rPr>
          <w:rFonts w:hint="cs"/>
          <w:rtl/>
        </w:rPr>
        <w:t>و</w:t>
      </w:r>
      <w:r w:rsidRPr="00A52585">
        <w:rPr>
          <w:rtl/>
        </w:rPr>
        <w:t>ق تتصف بالنقص والعجز لأنها مخلوقة من عدم محدثة لم تكن ثم كانت</w:t>
      </w:r>
      <w:r w:rsidR="00DB731D" w:rsidRPr="00A52585">
        <w:rPr>
          <w:rtl/>
        </w:rPr>
        <w:t>،</w:t>
      </w:r>
      <w:r w:rsidRPr="00A52585">
        <w:rPr>
          <w:rtl/>
        </w:rPr>
        <w:t xml:space="preserve"> وهي إلى الفناء سائرة كما قال تعالى</w:t>
      </w:r>
      <w:r w:rsidR="0002035C" w:rsidRPr="00A52585">
        <w:rPr>
          <w:rtl/>
        </w:rPr>
        <w:t>:</w:t>
      </w:r>
      <w:r w:rsidRPr="00A52585">
        <w:rPr>
          <w:rtl/>
        </w:rPr>
        <w:t xml:space="preserve"> </w:t>
      </w:r>
      <w:r w:rsidR="0002035C" w:rsidRPr="00A52585">
        <w:rPr>
          <w:rtl/>
        </w:rPr>
        <w:t>{</w:t>
      </w:r>
      <w:r w:rsidRPr="00A52585">
        <w:rPr>
          <w:rtl/>
        </w:rPr>
        <w:t>كُلُّ مَنْ عَلَيْهَا فَانٍ * وَيَبْقَى وَجْهُ رَبِّكَ ذُو الْجَلَالِ وَالْإِكْرَامِ</w:t>
      </w:r>
      <w:r w:rsidR="0002035C" w:rsidRPr="00A52585">
        <w:rPr>
          <w:rtl/>
        </w:rPr>
        <w:t>}</w:t>
      </w:r>
      <w:r w:rsidRPr="00A52585">
        <w:rPr>
          <w:rtl/>
        </w:rPr>
        <w:t xml:space="preserve"> </w:t>
      </w:r>
      <w:r w:rsidR="0002035C" w:rsidRPr="00A52585">
        <w:rPr>
          <w:rtl/>
        </w:rPr>
        <w:t>[</w:t>
      </w:r>
      <w:r w:rsidRPr="00A52585">
        <w:rPr>
          <w:rtl/>
        </w:rPr>
        <w:t>الرحمن</w:t>
      </w:r>
      <w:r w:rsidR="0002035C" w:rsidRPr="00A52585">
        <w:rPr>
          <w:rtl/>
        </w:rPr>
        <w:t>:</w:t>
      </w:r>
      <w:r w:rsidRPr="00A52585">
        <w:rPr>
          <w:rtl/>
        </w:rPr>
        <w:t xml:space="preserve"> 26</w:t>
      </w:r>
      <w:r w:rsidR="00DB731D" w:rsidRPr="00A52585">
        <w:rPr>
          <w:rtl/>
        </w:rPr>
        <w:t>،</w:t>
      </w:r>
      <w:r w:rsidRPr="00A52585">
        <w:rPr>
          <w:rtl/>
        </w:rPr>
        <w:t xml:space="preserve"> 27</w:t>
      </w:r>
      <w:r w:rsidR="0002035C" w:rsidRPr="00A52585">
        <w:rPr>
          <w:rtl/>
        </w:rPr>
        <w:t>]</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كُلُّ شَيْءٍ هَالِكٌ إِلَّا وَجْهَهُ لَهُ الْحُكْمُ وَإِلَيْهِ تُرْجَعُونَ</w:t>
      </w:r>
      <w:r w:rsidR="0002035C" w:rsidRPr="00A52585">
        <w:rPr>
          <w:rtl/>
        </w:rPr>
        <w:t>}</w:t>
      </w:r>
      <w:r w:rsidRPr="00A52585">
        <w:rPr>
          <w:rtl/>
        </w:rPr>
        <w:t xml:space="preserve"> </w:t>
      </w:r>
      <w:r w:rsidR="0002035C" w:rsidRPr="00A52585">
        <w:rPr>
          <w:rtl/>
        </w:rPr>
        <w:t>[</w:t>
      </w:r>
      <w:r w:rsidRPr="00A52585">
        <w:rPr>
          <w:rtl/>
        </w:rPr>
        <w:t>القصص</w:t>
      </w:r>
      <w:r w:rsidR="0002035C" w:rsidRPr="00A52585">
        <w:rPr>
          <w:rtl/>
        </w:rPr>
        <w:t>:</w:t>
      </w:r>
      <w:r w:rsidRPr="00A52585">
        <w:rPr>
          <w:rtl/>
        </w:rPr>
        <w:t xml:space="preserve"> 88</w:t>
      </w:r>
      <w:r w:rsidR="0002035C" w:rsidRPr="00A52585">
        <w:rPr>
          <w:rtl/>
        </w:rPr>
        <w:t>]</w:t>
      </w:r>
      <w:r w:rsidR="00DB731D" w:rsidRPr="00A52585">
        <w:rPr>
          <w:rtl/>
        </w:rPr>
        <w:t>،</w:t>
      </w:r>
      <w:r w:rsidRPr="00A52585">
        <w:rPr>
          <w:rtl/>
        </w:rPr>
        <w:t xml:space="preserve"> فلا يصح مشابهة الفاني للباقي</w:t>
      </w:r>
      <w:r w:rsidR="00DB731D" w:rsidRPr="00A52585">
        <w:rPr>
          <w:rtl/>
        </w:rPr>
        <w:t>،</w:t>
      </w:r>
      <w:r w:rsidRPr="00A52585">
        <w:rPr>
          <w:rtl/>
        </w:rPr>
        <w:t xml:space="preserve"> ولا المخلوق للخالق الباري</w:t>
      </w:r>
      <w:r w:rsidR="00DB731D" w:rsidRPr="00A52585">
        <w:rPr>
          <w:rtl/>
        </w:rPr>
        <w:t>،</w:t>
      </w:r>
      <w:r w:rsidRPr="00A52585">
        <w:rPr>
          <w:rtl/>
        </w:rPr>
        <w:t xml:space="preserve"> من الأدلة القرآنية على تنزيه الله تعالى عن المثيل والكفء والشبيه والسمي</w:t>
      </w:r>
      <w:r w:rsidR="0002035C" w:rsidRPr="00A52585">
        <w:rPr>
          <w:rtl/>
        </w:rPr>
        <w:t>:</w:t>
      </w:r>
      <w:r w:rsidRPr="00A52585">
        <w:rPr>
          <w:rtl/>
        </w:rPr>
        <w:t xml:space="preserve"> قوله تعالى</w:t>
      </w:r>
      <w:r w:rsidR="0002035C" w:rsidRPr="00A52585">
        <w:rPr>
          <w:rtl/>
        </w:rPr>
        <w:t>:</w:t>
      </w:r>
      <w:r w:rsidRPr="00A52585">
        <w:rPr>
          <w:rtl/>
        </w:rPr>
        <w:t xml:space="preserve"> </w:t>
      </w:r>
      <w:r w:rsidR="0002035C" w:rsidRPr="00A52585">
        <w:rPr>
          <w:rtl/>
        </w:rPr>
        <w:t>{</w:t>
      </w:r>
      <w:r w:rsidRPr="00A52585">
        <w:rPr>
          <w:rtl/>
        </w:rPr>
        <w:t>ليس كمثلِه شيء</w:t>
      </w:r>
      <w:r w:rsidR="0002035C" w:rsidRPr="00A52585">
        <w:rPr>
          <w:rtl/>
        </w:rPr>
        <w:t>} [</w:t>
      </w:r>
      <w:r w:rsidRPr="00A52585">
        <w:rPr>
          <w:rtl/>
        </w:rPr>
        <w:t>سورة الشورى</w:t>
      </w:r>
      <w:r w:rsidR="0002035C" w:rsidRPr="00A52585">
        <w:rPr>
          <w:rtl/>
        </w:rPr>
        <w:t>:</w:t>
      </w:r>
      <w:r w:rsidRPr="00A52585">
        <w:rPr>
          <w:rtl/>
        </w:rPr>
        <w:t xml:space="preserve"> 11</w:t>
      </w:r>
      <w:r w:rsidR="0002035C" w:rsidRPr="00A52585">
        <w:rPr>
          <w:rtl/>
        </w:rPr>
        <w:t>]</w:t>
      </w:r>
      <w:r w:rsidR="00DB731D" w:rsidRPr="00A52585">
        <w:rPr>
          <w:rtl/>
        </w:rPr>
        <w:t>،</w:t>
      </w:r>
      <w:r w:rsidRPr="00A52585">
        <w:rPr>
          <w:rtl/>
        </w:rPr>
        <w:t xml:space="preserve"> في هذه الآية نفي المشابهة والمماثلة بين الله تعالى وخلقه ومعناه أن الله تعالى لا يشبه شيئًا من خلقه بوجه من الوجوه</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وللهِ المثَلُ الأعلى</w:t>
      </w:r>
      <w:r w:rsidR="0002035C" w:rsidRPr="00A52585">
        <w:rPr>
          <w:rtl/>
        </w:rPr>
        <w:t>}</w:t>
      </w:r>
      <w:r w:rsidRPr="00A52585">
        <w:rPr>
          <w:rtl/>
        </w:rPr>
        <w:t xml:space="preserve"> </w:t>
      </w:r>
      <w:r w:rsidR="0002035C" w:rsidRPr="00A52585">
        <w:rPr>
          <w:rtl/>
        </w:rPr>
        <w:t>[</w:t>
      </w:r>
      <w:r w:rsidRPr="00A52585">
        <w:rPr>
          <w:rtl/>
        </w:rPr>
        <w:t>سورة النحل</w:t>
      </w:r>
      <w:r w:rsidR="0002035C" w:rsidRPr="00A52585">
        <w:rPr>
          <w:rtl/>
        </w:rPr>
        <w:t>:</w:t>
      </w:r>
      <w:r w:rsidRPr="00A52585">
        <w:rPr>
          <w:rtl/>
        </w:rPr>
        <w:t xml:space="preserve"> 60</w:t>
      </w:r>
      <w:r w:rsidR="0002035C" w:rsidRPr="00A52585">
        <w:rPr>
          <w:rtl/>
        </w:rPr>
        <w:t>]</w:t>
      </w:r>
      <w:r w:rsidRPr="00A52585">
        <w:rPr>
          <w:rtl/>
        </w:rPr>
        <w:t xml:space="preserve"> أي الوصف الذي لا يشبه وصف غيره، فلا يوصف ربنا عزَّ وجلَّ بصفات المخلوقين</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فلا تضربوا للهِ الأمثال</w:t>
      </w:r>
      <w:r w:rsidR="0002035C" w:rsidRPr="00A52585">
        <w:rPr>
          <w:rtl/>
        </w:rPr>
        <w:t>}</w:t>
      </w:r>
      <w:r w:rsidRPr="00A52585">
        <w:rPr>
          <w:rtl/>
        </w:rPr>
        <w:t xml:space="preserve"> [سورة النحل</w:t>
      </w:r>
      <w:r w:rsidR="0002035C" w:rsidRPr="00A52585">
        <w:rPr>
          <w:rtl/>
        </w:rPr>
        <w:t>:</w:t>
      </w:r>
      <w:r w:rsidRPr="00A52585">
        <w:rPr>
          <w:rtl/>
        </w:rPr>
        <w:t xml:space="preserve"> 74]، أي لا تجعلوا لله الشبيهَ والمِثْل فإن اللهَ تعالى لا شبيه له ولا مثيل له، فذاتُه سبحانه لا يشبه الذواتِ ولا صفاتُه تشبه الصفاتِ</w:t>
      </w:r>
      <w:r w:rsidR="00DB731D" w:rsidRPr="00A52585">
        <w:rPr>
          <w:rtl/>
        </w:rPr>
        <w:t>،</w:t>
      </w:r>
      <w:r w:rsidRPr="00A52585">
        <w:rPr>
          <w:rtl/>
        </w:rPr>
        <w:t xml:space="preserve"> وقوله تعالى</w:t>
      </w:r>
      <w:r w:rsidR="0002035C" w:rsidRPr="00A52585">
        <w:rPr>
          <w:rtl/>
        </w:rPr>
        <w:t>:</w:t>
      </w:r>
      <w:r w:rsidRPr="00A52585">
        <w:rPr>
          <w:rtl/>
        </w:rPr>
        <w:t xml:space="preserve"> {هل تعلمُ لهُ سميًّا) [سورة مريم</w:t>
      </w:r>
      <w:r w:rsidR="0002035C" w:rsidRPr="00A52585">
        <w:rPr>
          <w:rtl/>
        </w:rPr>
        <w:t>:</w:t>
      </w:r>
      <w:r w:rsidRPr="00A52585">
        <w:rPr>
          <w:rtl/>
        </w:rPr>
        <w:t xml:space="preserve"> 65] أي مِثلاً، فالله تعالى لا مِثْلَ له ولا شبيه ولا نظير، فذاتُه </w:t>
      </w:r>
      <w:r w:rsidRPr="00A52585">
        <w:rPr>
          <w:rtl/>
        </w:rPr>
        <w:lastRenderedPageBreak/>
        <w:t>سبحانه لا يشبه الذواتِ ولا صفاتُه تشبه الصفاتِ</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وَلَمْ يَكُن لَّهُ كُفُوًا أَحَدٌ</w:t>
      </w:r>
      <w:r w:rsidR="0002035C" w:rsidRPr="00A52585">
        <w:rPr>
          <w:rtl/>
        </w:rPr>
        <w:t>}</w:t>
      </w:r>
      <w:r w:rsidRPr="00A52585">
        <w:rPr>
          <w:rtl/>
        </w:rPr>
        <w:t xml:space="preserve"> [سورة الإخلاص</w:t>
      </w:r>
      <w:r w:rsidR="0002035C" w:rsidRPr="00A52585">
        <w:rPr>
          <w:rtl/>
        </w:rPr>
        <w:t>:</w:t>
      </w:r>
      <w:r w:rsidRPr="00A52585">
        <w:rPr>
          <w:rtl/>
        </w:rPr>
        <w:t xml:space="preserve"> 4] أي لا نظير له بوجه من الوجوه، ولا كفء له ولا شبيه</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سُبْحَانَهُ وَتَعَالَى عَمَّا يَصِفُونَ</w:t>
      </w:r>
      <w:r w:rsidR="0002035C" w:rsidRPr="00A52585">
        <w:rPr>
          <w:rtl/>
        </w:rPr>
        <w:t>}</w:t>
      </w:r>
      <w:r w:rsidRPr="00A52585">
        <w:rPr>
          <w:rtl/>
        </w:rPr>
        <w:t xml:space="preserve"> [سورة الأنعام</w:t>
      </w:r>
      <w:r w:rsidR="0002035C" w:rsidRPr="00A52585">
        <w:rPr>
          <w:rtl/>
        </w:rPr>
        <w:t>:</w:t>
      </w:r>
      <w:r w:rsidRPr="00A52585">
        <w:rPr>
          <w:rtl/>
        </w:rPr>
        <w:t xml:space="preserve"> 100] تنزيه وتقديس لله تعالى عن كل وصف يخطر ببال بشر لأنه ليس كمثله شيء ولا نعلم له سميا</w:t>
      </w:r>
      <w:r w:rsidR="00DB731D" w:rsidRPr="00A52585">
        <w:rPr>
          <w:rtl/>
        </w:rPr>
        <w:t>،،</w:t>
      </w:r>
      <w:r w:rsidRPr="00A52585">
        <w:rPr>
          <w:rtl/>
        </w:rPr>
        <w:t xml:space="preserve"> وقوله تعالى</w:t>
      </w:r>
      <w:r w:rsidR="0002035C" w:rsidRPr="00A52585">
        <w:rPr>
          <w:rtl/>
        </w:rPr>
        <w:t>:</w:t>
      </w:r>
      <w:r w:rsidRPr="00A52585">
        <w:rPr>
          <w:rtl/>
        </w:rPr>
        <w:t xml:space="preserve"> </w:t>
      </w:r>
      <w:r w:rsidR="0002035C" w:rsidRPr="00A52585">
        <w:rPr>
          <w:rtl/>
        </w:rPr>
        <w:t>{</w:t>
      </w:r>
      <w:r w:rsidRPr="00A52585">
        <w:rPr>
          <w:rtl/>
        </w:rPr>
        <w:t>وَلَا يُحِيطُونَ بِهِ عِلْمًا</w:t>
      </w:r>
      <w:r w:rsidR="0002035C" w:rsidRPr="00A52585">
        <w:rPr>
          <w:rtl/>
        </w:rPr>
        <w:t>}</w:t>
      </w:r>
      <w:r w:rsidRPr="00A52585">
        <w:rPr>
          <w:rtl/>
        </w:rPr>
        <w:t xml:space="preserve"> [سورة طه</w:t>
      </w:r>
      <w:r w:rsidR="0002035C" w:rsidRPr="00A52585">
        <w:rPr>
          <w:rtl/>
        </w:rPr>
        <w:t>:</w:t>
      </w:r>
      <w:r w:rsidRPr="00A52585">
        <w:rPr>
          <w:rtl/>
        </w:rPr>
        <w:t xml:space="preserve"> 110] ولو كان له مثيل لأحاطت به علوم البشر ولكنه سبحانه تنزه وتقدس عن كل وصف يخطر ببال بشر لأنه ليس كمثله شيء ولا نعلم له سميا</w:t>
      </w:r>
      <w:r w:rsidR="00DB731D" w:rsidRPr="00A52585">
        <w:rPr>
          <w:rtl/>
        </w:rPr>
        <w:t>،</w:t>
      </w:r>
      <w:r w:rsidRPr="00A52585">
        <w:rPr>
          <w:rtl/>
        </w:rPr>
        <w:t xml:space="preserve"> ومن الأدلة من السنة النبوية قوله صلى الله عليه وسلم: </w:t>
      </w:r>
      <w:r w:rsidR="0002035C" w:rsidRPr="00A52585">
        <w:rPr>
          <w:rtl/>
        </w:rPr>
        <w:t>(</w:t>
      </w:r>
      <w:r w:rsidRPr="00A52585">
        <w:rPr>
          <w:rtl/>
        </w:rPr>
        <w:t>اللهم أنت الأوَّلُ فليس قبلَك شيء، وأنت الآخِر فليس بعدَك شيء</w:t>
      </w:r>
      <w:r w:rsidR="00DB731D" w:rsidRPr="00A52585">
        <w:rPr>
          <w:rtl/>
        </w:rPr>
        <w:t>،</w:t>
      </w:r>
      <w:r w:rsidRPr="00A52585">
        <w:rPr>
          <w:rtl/>
        </w:rPr>
        <w:t xml:space="preserve"> وأنت الظاهرُ فليس فوقَكَ شيء، وأنت الباطن فليس دونَك شيء</w:t>
      </w:r>
      <w:r w:rsidR="0002035C" w:rsidRPr="00A52585">
        <w:rPr>
          <w:rtl/>
        </w:rPr>
        <w:t>) [</w:t>
      </w:r>
      <w:r w:rsidRPr="00A52585">
        <w:rPr>
          <w:rtl/>
        </w:rPr>
        <w:t>أخرجه مسلم] وإذا لم يكن قبله شيء ولا بعده شيء ولا فوقه شيء ولا دونه شيء لم يكن له شبيه ولا مثيل</w:t>
      </w:r>
      <w:r w:rsidR="00DB731D" w:rsidRPr="00A52585">
        <w:rPr>
          <w:rtl/>
        </w:rPr>
        <w:t>،</w:t>
      </w:r>
      <w:r w:rsidRPr="00A52585">
        <w:rPr>
          <w:rtl/>
        </w:rPr>
        <w:t xml:space="preserve"> وعلى ذلك</w:t>
      </w:r>
      <w:r w:rsidR="0002035C" w:rsidRPr="00A52585">
        <w:rPr>
          <w:rtl/>
        </w:rPr>
        <w:t>:</w:t>
      </w:r>
      <w:r w:rsidRPr="00A52585">
        <w:rPr>
          <w:rtl/>
        </w:rPr>
        <w:t xml:space="preserve"> فذات الله تعالى ليس كمثله شيء ولا له كفء ولا شبيه وليس له مثال يقاس عليه ولا نقدر على تصوره فضلا عن وصفه ولا نحيط به علما</w:t>
      </w:r>
      <w:r w:rsidR="00DB731D" w:rsidRPr="00A52585">
        <w:rPr>
          <w:rtl/>
        </w:rPr>
        <w:t>،</w:t>
      </w:r>
      <w:r w:rsidRPr="00A52585">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DB731D" w:rsidRPr="00A52585">
        <w:rPr>
          <w:rtl/>
        </w:rPr>
        <w:t>،</w:t>
      </w:r>
      <w:r w:rsidRPr="00A52585">
        <w:rPr>
          <w:rtl/>
        </w:rPr>
        <w:t xml:space="preserve"> والحمد لله أنه لا خلاف بين المسلمين - عدا المشبهة - بأنّ الله تبارك وتعالى لا يشبه شيئاً من مخلوقاته</w:t>
      </w:r>
      <w:r w:rsidR="00DB731D" w:rsidRPr="00A52585">
        <w:rPr>
          <w:rtl/>
        </w:rPr>
        <w:t>،</w:t>
      </w:r>
      <w:r w:rsidRPr="00A52585">
        <w:rPr>
          <w:rtl/>
        </w:rPr>
        <w:t xml:space="preserve"> إذ </w:t>
      </w:r>
      <w:r w:rsidR="0002035C" w:rsidRPr="00A52585">
        <w:rPr>
          <w:rtl/>
        </w:rPr>
        <w:t>{</w:t>
      </w:r>
      <w:r w:rsidRPr="00A52585">
        <w:rPr>
          <w:rtl/>
        </w:rPr>
        <w:t xml:space="preserve">ليس كمثله شيء </w:t>
      </w:r>
      <w:r w:rsidRPr="00A52585">
        <w:rPr>
          <w:rFonts w:hint="cs"/>
          <w:rtl/>
        </w:rPr>
        <w:t>وهو السميع البصير</w:t>
      </w:r>
      <w:r w:rsidR="0002035C" w:rsidRPr="00A52585">
        <w:rPr>
          <w:rFonts w:hint="cs"/>
          <w:rtl/>
        </w:rPr>
        <w:t>}</w:t>
      </w:r>
      <w:r w:rsidR="00DB731D" w:rsidRPr="00A52585">
        <w:rPr>
          <w:rtl/>
        </w:rPr>
        <w:t>،</w:t>
      </w:r>
      <w:r w:rsidRPr="00A52585">
        <w:rPr>
          <w:rtl/>
        </w:rPr>
        <w:t xml:space="preserve"> </w:t>
      </w:r>
      <w:r w:rsidR="0002035C" w:rsidRPr="00A52585">
        <w:rPr>
          <w:bCs/>
          <w:rtl/>
        </w:rPr>
        <w:t>(</w:t>
      </w:r>
      <w:r w:rsidRPr="00A52585">
        <w:rPr>
          <w:bCs/>
          <w:rtl/>
        </w:rPr>
        <w:t>تنبيه</w:t>
      </w:r>
      <w:r w:rsidR="0002035C" w:rsidRPr="00A52585">
        <w:rPr>
          <w:bCs/>
          <w:rtl/>
        </w:rPr>
        <w:t>)</w:t>
      </w:r>
      <w:r w:rsidR="0002035C" w:rsidRPr="00A52585">
        <w:rPr>
          <w:rtl/>
        </w:rPr>
        <w:t>:</w:t>
      </w:r>
      <w:r w:rsidRPr="00A52585">
        <w:rPr>
          <w:rtl/>
        </w:rPr>
        <w:t xml:space="preserve"> يستدل بعض </w:t>
      </w:r>
      <w:proofErr w:type="spellStart"/>
      <w:r w:rsidRPr="00A52585">
        <w:rPr>
          <w:rtl/>
        </w:rPr>
        <w:t>الحشوية</w:t>
      </w:r>
      <w:proofErr w:type="spellEnd"/>
      <w:r w:rsidRPr="00A52585">
        <w:rPr>
          <w:rtl/>
        </w:rPr>
        <w:t xml:space="preserve"> على اثبات الحد والمكان وبعض اوجه المشابهة بين الله تعالى وبين خلقه بكون الآية الكريمة اختتمت بقوله تعالى</w:t>
      </w:r>
      <w:r w:rsidR="0002035C" w:rsidRPr="00A52585">
        <w:rPr>
          <w:rtl/>
        </w:rPr>
        <w:t>:</w:t>
      </w:r>
      <w:r w:rsidRPr="00A52585">
        <w:rPr>
          <w:rtl/>
        </w:rPr>
        <w:t xml:space="preserve"> </w:t>
      </w:r>
      <w:r w:rsidR="0002035C" w:rsidRPr="00A52585">
        <w:rPr>
          <w:rtl/>
        </w:rPr>
        <w:t>{</w:t>
      </w:r>
      <w:r w:rsidRPr="00A52585">
        <w:rPr>
          <w:rtl/>
        </w:rPr>
        <w:t>وهو السميع البصير</w:t>
      </w:r>
      <w:r w:rsidR="0002035C" w:rsidRPr="00A52585">
        <w:rPr>
          <w:rtl/>
        </w:rPr>
        <w:t>}</w:t>
      </w:r>
      <w:r w:rsidR="00DB731D" w:rsidRPr="00A52585">
        <w:rPr>
          <w:rtl/>
        </w:rPr>
        <w:t>،</w:t>
      </w:r>
      <w:r w:rsidRPr="00A52585">
        <w:rPr>
          <w:rtl/>
        </w:rPr>
        <w:t xml:space="preserve"> وكون الله تعالى وصف الإنسان بقوله تعالى</w:t>
      </w:r>
      <w:r w:rsidR="0002035C" w:rsidRPr="00A52585">
        <w:rPr>
          <w:rtl/>
        </w:rPr>
        <w:t>:</w:t>
      </w:r>
      <w:r w:rsidRPr="00A52585">
        <w:rPr>
          <w:rtl/>
        </w:rPr>
        <w:t xml:space="preserve"> </w:t>
      </w:r>
      <w:r w:rsidR="0002035C" w:rsidRPr="00A52585">
        <w:rPr>
          <w:rtl/>
        </w:rPr>
        <w:t>{</w:t>
      </w:r>
      <w:r w:rsidRPr="00A52585">
        <w:rPr>
          <w:rtl/>
        </w:rPr>
        <w:t>فجعلناه سميعا بصيرا</w:t>
      </w:r>
      <w:r w:rsidR="0002035C" w:rsidRPr="00A52585">
        <w:rPr>
          <w:rtl/>
        </w:rPr>
        <w:t>}</w:t>
      </w:r>
      <w:r w:rsidR="00DB731D" w:rsidRPr="00A52585">
        <w:rPr>
          <w:rtl/>
        </w:rPr>
        <w:t>،</w:t>
      </w:r>
      <w:r w:rsidRPr="00A52585">
        <w:rPr>
          <w:rtl/>
        </w:rPr>
        <w:t xml:space="preserve"> فقالوا كما أنّ الله تعالى له السمع والبصر والإنسان له السمع والبصر</w:t>
      </w:r>
      <w:r w:rsidR="00DB731D" w:rsidRPr="00A52585">
        <w:rPr>
          <w:rtl/>
        </w:rPr>
        <w:t>،</w:t>
      </w:r>
      <w:r w:rsidRPr="00A52585">
        <w:rPr>
          <w:rtl/>
        </w:rPr>
        <w:t xml:space="preserve"> والله تعالى ليس كمثل سمعه سمع ولا كمثل بصره بصر</w:t>
      </w:r>
      <w:r w:rsidR="00DB731D" w:rsidRPr="00A52585">
        <w:rPr>
          <w:rtl/>
        </w:rPr>
        <w:t>،</w:t>
      </w:r>
      <w:r w:rsidRPr="00A52585">
        <w:rPr>
          <w:rtl/>
        </w:rPr>
        <w:t xml:space="preserve"> فما المانع أن يكون لله تعالى حد ليس كمثله شيء</w:t>
      </w:r>
      <w:r w:rsidR="00DB731D" w:rsidRPr="00A52585">
        <w:rPr>
          <w:rtl/>
        </w:rPr>
        <w:t>،</w:t>
      </w:r>
      <w:r w:rsidRPr="00A52585">
        <w:rPr>
          <w:rtl/>
        </w:rPr>
        <w:t xml:space="preserve"> وأن يتحرك ليس كمثل حركته حركة وأن ينزل ليس كمثل نزوله نزول وأن يكون له الوجه ليس كمثل وجهه وجه وأن يكون له اليد ليس كمثل يده يد</w:t>
      </w:r>
      <w:r w:rsidR="00DB731D" w:rsidRPr="00A52585">
        <w:rPr>
          <w:rtl/>
        </w:rPr>
        <w:t>،</w:t>
      </w:r>
      <w:r w:rsidRPr="00A52585">
        <w:rPr>
          <w:rtl/>
        </w:rPr>
        <w:t xml:space="preserve"> وهكذا</w:t>
      </w:r>
      <w:r w:rsidR="00DB731D" w:rsidRPr="00A52585">
        <w:rPr>
          <w:rtl/>
        </w:rPr>
        <w:t>،</w:t>
      </w:r>
      <w:r w:rsidRPr="00A52585">
        <w:rPr>
          <w:rtl/>
        </w:rPr>
        <w:t xml:space="preserve"> وهذا خلط بين الامور</w:t>
      </w:r>
      <w:r w:rsidR="00DB731D" w:rsidRPr="00A52585">
        <w:rPr>
          <w:rtl/>
        </w:rPr>
        <w:t>،</w:t>
      </w:r>
      <w:r w:rsidRPr="00A52585">
        <w:rPr>
          <w:rtl/>
        </w:rPr>
        <w:t xml:space="preserve"> فالسمع صفة كمال والبصر صفة كمال</w:t>
      </w:r>
      <w:r w:rsidR="00DB731D" w:rsidRPr="00A52585">
        <w:rPr>
          <w:rtl/>
        </w:rPr>
        <w:t>،</w:t>
      </w:r>
      <w:r w:rsidRPr="00A52585">
        <w:rPr>
          <w:rtl/>
        </w:rPr>
        <w:t xml:space="preserve"> ولله تعالى الكمال فيهما وقد منّ على بعض عباده بالسمع والبصر نعمتان من الله تعالى</w:t>
      </w:r>
      <w:r w:rsidR="00DB731D" w:rsidRPr="00A52585">
        <w:rPr>
          <w:rtl/>
        </w:rPr>
        <w:t>،</w:t>
      </w:r>
      <w:r w:rsidRPr="00A52585">
        <w:rPr>
          <w:rtl/>
        </w:rPr>
        <w:t xml:space="preserve"> ولكن الحد نقص ودليل على العجز</w:t>
      </w:r>
      <w:r w:rsidR="00DB731D" w:rsidRPr="00A52585">
        <w:rPr>
          <w:rtl/>
        </w:rPr>
        <w:t>،</w:t>
      </w:r>
      <w:r w:rsidR="0002035C" w:rsidRPr="00A52585">
        <w:rPr>
          <w:rtl/>
        </w:rPr>
        <w:t xml:space="preserve"> </w:t>
      </w:r>
      <w:r w:rsidRPr="00A52585">
        <w:rPr>
          <w:rtl/>
        </w:rPr>
        <w:t>والحركة والسكون كلاهما تغير يلزم المحدث ولا يجوز على القديم الأول الذي تنزه عن التغير والأفول</w:t>
      </w:r>
      <w:r w:rsidR="00DB731D" w:rsidRPr="00A52585">
        <w:rPr>
          <w:rtl/>
        </w:rPr>
        <w:t>،</w:t>
      </w:r>
      <w:r w:rsidRPr="00A52585">
        <w:rPr>
          <w:rtl/>
        </w:rPr>
        <w:t xml:space="preserve"> والوجه واليد والعين في اللغة ليستا صفات وإنما هي أجزاء من الذات والله تعالى أحد صمد منزه عن الجزء والبعض والجارحة</w:t>
      </w:r>
      <w:r w:rsidR="00DB731D" w:rsidRPr="00A52585">
        <w:rPr>
          <w:rtl/>
        </w:rPr>
        <w:t>،</w:t>
      </w:r>
      <w:r w:rsidRPr="00A52585">
        <w:rPr>
          <w:rtl/>
        </w:rPr>
        <w:t xml:space="preserve"> وإثبات علماء أهل السنّة</w:t>
      </w:r>
      <w:r w:rsidR="0002035C" w:rsidRPr="00A52585">
        <w:rPr>
          <w:rtl/>
        </w:rPr>
        <w:t xml:space="preserve"> </w:t>
      </w:r>
      <w:r w:rsidRPr="00A52585">
        <w:rPr>
          <w:rtl/>
        </w:rPr>
        <w:t>لها على سبيل الصفة وليس الجزء وهذا من مجاز اللغة لمن تدبره</w:t>
      </w:r>
      <w:r w:rsidR="00DB731D" w:rsidRPr="00A52585">
        <w:rPr>
          <w:rtl/>
        </w:rPr>
        <w:t>،</w:t>
      </w:r>
      <w:r w:rsidRPr="00A52585">
        <w:rPr>
          <w:rtl/>
        </w:rPr>
        <w:t xml:space="preserve"> لأنّ الوجه على الحقيقة لا يُطلق إلا على الجزء من الذات وليس الصفة</w:t>
      </w:r>
      <w:r w:rsidR="00DB731D" w:rsidRPr="00A52585">
        <w:rPr>
          <w:rtl/>
        </w:rPr>
        <w:t>،</w:t>
      </w:r>
      <w:r w:rsidR="0002035C" w:rsidRPr="00A52585">
        <w:rPr>
          <w:rtl/>
        </w:rPr>
        <w:t xml:space="preserve"> </w:t>
      </w:r>
      <w:r w:rsidRPr="00A52585">
        <w:rPr>
          <w:rtl/>
        </w:rPr>
        <w:t xml:space="preserve">وعلى ذلك فإن صفات الكمال </w:t>
      </w:r>
      <w:r w:rsidRPr="00A52585">
        <w:rPr>
          <w:rtl/>
        </w:rPr>
        <w:lastRenderedPageBreak/>
        <w:t>تختلف تماما عن صفات العجز والنقص والمحدودية</w:t>
      </w:r>
      <w:r w:rsidR="0002035C" w:rsidRPr="00A52585">
        <w:rPr>
          <w:rtl/>
        </w:rPr>
        <w:t xml:space="preserve"> </w:t>
      </w:r>
      <w:r w:rsidRPr="00A52585">
        <w:rPr>
          <w:rtl/>
        </w:rPr>
        <w:t>إذا نسبت إلى الله تعالى</w:t>
      </w:r>
      <w:r w:rsidR="00DB731D" w:rsidRPr="00A52585">
        <w:rPr>
          <w:rtl/>
        </w:rPr>
        <w:t>،</w:t>
      </w:r>
      <w:r w:rsidRPr="00A52585">
        <w:rPr>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sidR="0002035C" w:rsidRPr="00A52585">
        <w:rPr>
          <w:rtl/>
        </w:rPr>
        <w:t>:</w:t>
      </w:r>
      <w:r w:rsidRPr="00A52585">
        <w:rPr>
          <w:rtl/>
        </w:rPr>
        <w:t xml:space="preserve"> </w:t>
      </w:r>
      <w:r w:rsidR="0002035C" w:rsidRPr="00A52585">
        <w:rPr>
          <w:rtl/>
        </w:rPr>
        <w:t>{</w:t>
      </w:r>
      <w:r w:rsidRPr="00A52585">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2035C" w:rsidRPr="00A52585">
        <w:rPr>
          <w:rtl/>
        </w:rPr>
        <w:t>}</w:t>
      </w:r>
      <w:r w:rsidRPr="00A52585">
        <w:rPr>
          <w:rtl/>
        </w:rPr>
        <w:t xml:space="preserve"> </w:t>
      </w:r>
      <w:r w:rsidR="0002035C" w:rsidRPr="00A52585">
        <w:rPr>
          <w:rtl/>
        </w:rPr>
        <w:t>[</w:t>
      </w:r>
      <w:r w:rsidRPr="00A52585">
        <w:rPr>
          <w:rtl/>
        </w:rPr>
        <w:t>آل عمران</w:t>
      </w:r>
      <w:r w:rsidR="0002035C" w:rsidRPr="00A52585">
        <w:rPr>
          <w:rtl/>
        </w:rPr>
        <w:t>:</w:t>
      </w:r>
      <w:r w:rsidRPr="00A52585">
        <w:rPr>
          <w:rtl/>
        </w:rPr>
        <w:t xml:space="preserve"> 7</w:t>
      </w:r>
      <w:r w:rsidR="0002035C" w:rsidRPr="00A52585">
        <w:rPr>
          <w:rtl/>
        </w:rPr>
        <w:t>]</w:t>
      </w:r>
      <w:r w:rsidR="00DB731D" w:rsidRPr="00A52585">
        <w:rPr>
          <w:rtl/>
        </w:rPr>
        <w:t>،</w:t>
      </w:r>
      <w:r w:rsidRPr="00A52585">
        <w:rPr>
          <w:rFonts w:hint="cs"/>
          <w:rtl/>
        </w:rPr>
        <w:t xml:space="preserve"> </w:t>
      </w:r>
      <w:r w:rsidRPr="00A52585">
        <w:rPr>
          <w:rtl/>
        </w:rPr>
        <w:t xml:space="preserve">وقد حوت هذه الرسالة </w:t>
      </w:r>
      <w:r w:rsidRPr="00A52585">
        <w:t>–</w:t>
      </w:r>
      <w:r w:rsidRPr="00A52585">
        <w:rPr>
          <w:rFonts w:hint="cs"/>
          <w:rtl/>
        </w:rPr>
        <w:t xml:space="preserve"> بحمد الله تعالى </w:t>
      </w:r>
      <w:r w:rsidRPr="00A52585">
        <w:t>–</w:t>
      </w:r>
      <w:r w:rsidRPr="00A52585">
        <w:rPr>
          <w:rFonts w:hint="cs"/>
          <w:rtl/>
        </w:rPr>
        <w:t xml:space="preserve"> على أدلة من الكتاب والسنّة التي تدل على تنزيهه سبحانه عن الشبيه والكفء والمثيل</w:t>
      </w:r>
      <w:r w:rsidR="00DB731D" w:rsidRPr="00A52585">
        <w:rPr>
          <w:rFonts w:hint="cs"/>
          <w:rtl/>
        </w:rPr>
        <w:t>،</w:t>
      </w:r>
      <w:r w:rsidRPr="00A52585">
        <w:rPr>
          <w:rFonts w:hint="cs"/>
          <w:rtl/>
        </w:rPr>
        <w:t xml:space="preserve"> وحوت على الكثير من أقوال العلماء الأئمة من علماء أهل السنّة والجماعة الثقات في تنزيه الله تعالى عن الشبيه والكفء والمثيل</w:t>
      </w:r>
      <w:r w:rsidR="00DB731D" w:rsidRPr="00A52585">
        <w:rPr>
          <w:rFonts w:hint="cs"/>
          <w:rtl/>
        </w:rPr>
        <w:t>،</w:t>
      </w:r>
      <w:r w:rsidRPr="00A52585">
        <w:rPr>
          <w:rFonts w:hint="cs"/>
          <w:rtl/>
        </w:rPr>
        <w:t xml:space="preserve"> وقد جمعتها من أقوالهم</w:t>
      </w:r>
      <w:r w:rsidR="00DB731D" w:rsidRPr="00A52585">
        <w:rPr>
          <w:rFonts w:hint="cs"/>
          <w:rtl/>
        </w:rPr>
        <w:t>،</w:t>
      </w:r>
      <w:r w:rsidRPr="00A52585">
        <w:rPr>
          <w:rFonts w:hint="cs"/>
          <w:rtl/>
        </w:rPr>
        <w:t xml:space="preserve"> ما كان عملي فيه إلاّ الجمع والترتيب لأحسن ما أتت به عقول العلماء والفقهاء المقتدى بهم في الدين والمتخصصون في العقيدة</w:t>
      </w:r>
      <w:r w:rsidR="00DB731D" w:rsidRPr="00A52585">
        <w:rPr>
          <w:rFonts w:hint="cs"/>
          <w:rtl/>
        </w:rPr>
        <w:t>،</w:t>
      </w:r>
      <w:r w:rsidRPr="00A52585">
        <w:rPr>
          <w:rFonts w:hint="cs"/>
          <w:rtl/>
        </w:rPr>
        <w:t xml:space="preserve"> وإن أريد إلاّ الإصلاح ما استطعت وما توفيقي إلاّ بالله عليه توكلت وإليه أنيب</w:t>
      </w:r>
      <w:r w:rsidR="0002035C" w:rsidRPr="00A52585">
        <w:rPr>
          <w:rFonts w:hint="cs"/>
          <w:rtl/>
        </w:rPr>
        <w:t>]</w:t>
      </w:r>
      <w:r w:rsidRPr="00A52585">
        <w:rPr>
          <w:rFonts w:hint="cs"/>
          <w:rtl/>
        </w:rPr>
        <w:t xml:space="preserve">] </w:t>
      </w:r>
      <w:r w:rsidRPr="00A52585">
        <w:rPr>
          <w:rFonts w:hint="cs"/>
          <w:rtl/>
          <w:lang w:bidi="ar-KW"/>
        </w:rPr>
        <w:t>انتهى من مبحث الفرق العظيم</w:t>
      </w:r>
      <w:r w:rsidR="0002035C" w:rsidRPr="00A52585">
        <w:rPr>
          <w:rFonts w:hint="cs"/>
          <w:rtl/>
          <w:lang w:bidi="ar-KW"/>
        </w:rPr>
        <w:t xml:space="preserve"> </w:t>
      </w:r>
      <w:r w:rsidRPr="00A52585">
        <w:rPr>
          <w:rFonts w:hint="cs"/>
          <w:rtl/>
          <w:lang w:bidi="ar-KW"/>
        </w:rPr>
        <w:t>بين التنزيه والتجسيم تأليف الشيخ الأصولي العلامة سعيد فودة</w:t>
      </w:r>
      <w:r w:rsidR="00DB731D" w:rsidRPr="00A52585">
        <w:rPr>
          <w:rFonts w:hint="cs"/>
          <w:rtl/>
          <w:lang w:bidi="ar-KW"/>
        </w:rPr>
        <w:t>،</w:t>
      </w:r>
    </w:p>
    <w:p w14:paraId="584D00F6" w14:textId="77777777" w:rsidR="00777DCB" w:rsidRPr="00A52585" w:rsidRDefault="00777DCB" w:rsidP="0002035C">
      <w:pPr>
        <w:spacing w:after="240"/>
        <w:jc w:val="center"/>
        <w:rPr>
          <w:rtl/>
        </w:rPr>
      </w:pPr>
      <w:r w:rsidRPr="00A52585">
        <w:rPr>
          <w:rFonts w:hint="cs"/>
          <w:rtl/>
        </w:rPr>
        <w:t>***</w:t>
      </w:r>
    </w:p>
    <w:p w14:paraId="1D2AC48C" w14:textId="77777777" w:rsidR="00777DCB" w:rsidRPr="00A52585" w:rsidRDefault="00777DCB" w:rsidP="0002035C">
      <w:pPr>
        <w:spacing w:after="240"/>
        <w:jc w:val="center"/>
        <w:rPr>
          <w:rFonts w:cs="Monotype Koufi"/>
          <w:b/>
          <w:rtl/>
          <w:lang w:bidi="ar-KW"/>
        </w:rPr>
      </w:pPr>
      <w:r w:rsidRPr="00A52585">
        <w:rPr>
          <w:rFonts w:cs="Monotype Koufi" w:hint="cs"/>
          <w:rtl/>
          <w:lang w:bidi="ar-KW"/>
        </w:rPr>
        <w:t>الفهارس</w:t>
      </w:r>
    </w:p>
    <w:p w14:paraId="0CC2E6E9" w14:textId="3FCA9DB4" w:rsidR="00777DCB" w:rsidRPr="00A52585" w:rsidRDefault="00777DCB" w:rsidP="0002035C">
      <w:pPr>
        <w:rPr>
          <w:b/>
          <w:bCs/>
        </w:rPr>
      </w:pPr>
      <w:r w:rsidRPr="00A52585">
        <w:rPr>
          <w:rFonts w:hint="cs"/>
          <w:bCs/>
          <w:rtl/>
        </w:rPr>
        <w:t>مدخل</w:t>
      </w:r>
      <w:r w:rsidR="0002035C" w:rsidRPr="00A52585">
        <w:rPr>
          <w:rFonts w:hint="cs"/>
          <w:bCs/>
          <w:rtl/>
        </w:rPr>
        <w:t>:</w:t>
      </w:r>
      <w:r w:rsidRPr="00A52585">
        <w:rPr>
          <w:rFonts w:hint="cs"/>
          <w:bCs/>
          <w:rtl/>
        </w:rPr>
        <w:t xml:space="preserve"> تقديس الله تعالى عن مشابهة المخلوقات ليس كمثله شيء ولم يكن له كفوا</w:t>
      </w:r>
      <w:r w:rsidR="0002035C" w:rsidRPr="00A52585">
        <w:rPr>
          <w:rFonts w:hint="cs"/>
          <w:bCs/>
          <w:rtl/>
        </w:rPr>
        <w:t xml:space="preserve"> </w:t>
      </w:r>
      <w:r w:rsidRPr="00A52585">
        <w:rPr>
          <w:rFonts w:hint="cs"/>
          <w:bCs/>
          <w:rtl/>
        </w:rPr>
        <w:t>أحد</w:t>
      </w:r>
    </w:p>
    <w:p w14:paraId="2C212707" w14:textId="3EE58E64" w:rsidR="00777DCB" w:rsidRPr="00A52585" w:rsidRDefault="00777DCB" w:rsidP="0002035C">
      <w:pPr>
        <w:rPr>
          <w:b/>
          <w:bCs/>
          <w:rtl/>
        </w:rPr>
      </w:pPr>
      <w:r w:rsidRPr="00A52585">
        <w:rPr>
          <w:rFonts w:hint="cs"/>
          <w:bCs/>
          <w:rtl/>
          <w:lang w:bidi="ar-KW"/>
        </w:rPr>
        <w:t>الباب الأول</w:t>
      </w:r>
      <w:r w:rsidR="0002035C" w:rsidRPr="00A52585">
        <w:rPr>
          <w:rFonts w:hint="cs"/>
          <w:bCs/>
          <w:rtl/>
          <w:lang w:bidi="ar-KW"/>
        </w:rPr>
        <w:t>:</w:t>
      </w:r>
      <w:r w:rsidRPr="00A52585">
        <w:rPr>
          <w:rFonts w:hint="cs"/>
          <w:bCs/>
          <w:rtl/>
          <w:lang w:bidi="ar-KW"/>
        </w:rPr>
        <w:t xml:space="preserve"> </w:t>
      </w:r>
      <w:r w:rsidRPr="00A52585">
        <w:rPr>
          <w:rFonts w:hint="cs"/>
          <w:bCs/>
          <w:rtl/>
        </w:rPr>
        <w:t xml:space="preserve">أدلة الشرع وأقوال علماء أهل السنة </w:t>
      </w:r>
      <w:r w:rsidRPr="00A52585">
        <w:rPr>
          <w:rFonts w:hint="cs"/>
          <w:bCs/>
          <w:rtl/>
          <w:lang w:bidi="ar-KW"/>
        </w:rPr>
        <w:t xml:space="preserve">والجماعة في تنزيه الله تعالى عن </w:t>
      </w:r>
      <w:r w:rsidRPr="00A52585">
        <w:rPr>
          <w:rFonts w:hint="cs"/>
          <w:bCs/>
          <w:rtl/>
        </w:rPr>
        <w:t>مشابهة المخلوقات</w:t>
      </w:r>
    </w:p>
    <w:p w14:paraId="0EE2FBBB" w14:textId="3206EAB5" w:rsidR="00777DCB" w:rsidRPr="00A52585" w:rsidRDefault="00777DCB" w:rsidP="0002035C">
      <w:pPr>
        <w:rPr>
          <w:b/>
          <w:lang w:bidi="ar-KW"/>
        </w:rPr>
      </w:pPr>
      <w:r w:rsidRPr="00A52585">
        <w:rPr>
          <w:rFonts w:hint="cs"/>
          <w:rtl/>
          <w:lang w:bidi="ar-KW"/>
        </w:rPr>
        <w:t>أولاً</w:t>
      </w:r>
      <w:r w:rsidR="0002035C" w:rsidRPr="00A52585">
        <w:rPr>
          <w:rFonts w:hint="cs"/>
          <w:rtl/>
          <w:lang w:bidi="ar-KW"/>
        </w:rPr>
        <w:t>:</w:t>
      </w:r>
      <w:r w:rsidRPr="00A52585">
        <w:rPr>
          <w:rFonts w:hint="cs"/>
          <w:rtl/>
          <w:lang w:bidi="ar-KW"/>
        </w:rPr>
        <w:t xml:space="preserve"> أدلة الشرع على تنزيه ذات الله تعالى عن مشابهة ذوات خلقه بأي وجه من الوجوه</w:t>
      </w:r>
      <w:r w:rsidR="0002035C" w:rsidRPr="00A52585">
        <w:rPr>
          <w:rFonts w:hint="cs"/>
          <w:rtl/>
          <w:lang w:bidi="ar-KW"/>
        </w:rPr>
        <w:t>:</w:t>
      </w:r>
      <w:r w:rsidRPr="00A52585">
        <w:rPr>
          <w:rFonts w:hint="cs"/>
          <w:rtl/>
          <w:lang w:bidi="ar-KW"/>
        </w:rPr>
        <w:t xml:space="preserve"> </w:t>
      </w:r>
    </w:p>
    <w:p w14:paraId="34DFF3A6" w14:textId="5F926A9B" w:rsidR="00777DCB" w:rsidRPr="00A52585" w:rsidRDefault="00777DCB" w:rsidP="0002035C">
      <w:pPr>
        <w:rPr>
          <w:b/>
          <w:rtl/>
          <w:lang w:bidi="ar-KW"/>
        </w:rPr>
      </w:pPr>
      <w:r w:rsidRPr="00A52585">
        <w:rPr>
          <w:rtl/>
        </w:rPr>
        <w:t>ثانياً</w:t>
      </w:r>
      <w:r w:rsidR="0002035C" w:rsidRPr="00A52585">
        <w:rPr>
          <w:rtl/>
        </w:rPr>
        <w:t>:</w:t>
      </w:r>
      <w:r w:rsidRPr="00A52585">
        <w:rPr>
          <w:rtl/>
        </w:rPr>
        <w:t xml:space="preserve"> </w:t>
      </w:r>
      <w:r w:rsidRPr="00A52585">
        <w:rPr>
          <w:rtl/>
          <w:lang w:bidi="ar-KW"/>
        </w:rPr>
        <w:t>أقوال علماء أهل السنة في تنزيه الله تعالى عن مشابهة المخلوقات</w:t>
      </w:r>
    </w:p>
    <w:p w14:paraId="0E93026C" w14:textId="0BC45150" w:rsidR="00777DCB" w:rsidRPr="00A52585" w:rsidRDefault="00777DCB" w:rsidP="0002035C">
      <w:pPr>
        <w:rPr>
          <w:bCs/>
          <w:rtl/>
        </w:rPr>
      </w:pPr>
      <w:r w:rsidRPr="00A52585">
        <w:rPr>
          <w:rFonts w:hint="cs"/>
          <w:bCs/>
          <w:rtl/>
        </w:rPr>
        <w:t>الباب الثاني</w:t>
      </w:r>
      <w:r w:rsidR="0002035C" w:rsidRPr="00A52585">
        <w:rPr>
          <w:rFonts w:hint="cs"/>
          <w:bCs/>
          <w:rtl/>
        </w:rPr>
        <w:t>:</w:t>
      </w:r>
      <w:r w:rsidRPr="00A52585">
        <w:rPr>
          <w:rFonts w:hint="cs"/>
          <w:bCs/>
          <w:rtl/>
        </w:rPr>
        <w:t xml:space="preserve"> </w:t>
      </w:r>
      <w:r w:rsidRPr="00A52585">
        <w:rPr>
          <w:rFonts w:hint="cs"/>
          <w:bCs/>
          <w:rtl/>
          <w:lang w:bidi="ar-KW"/>
        </w:rPr>
        <w:t xml:space="preserve">حل إشكالات ظواهر النصوص غير المرادة والتي قد يُفهم منها </w:t>
      </w:r>
      <w:r w:rsidRPr="00A52585">
        <w:rPr>
          <w:rFonts w:hint="cs"/>
          <w:bCs/>
          <w:rtl/>
        </w:rPr>
        <w:t>مشابهة المخلوقات</w:t>
      </w:r>
    </w:p>
    <w:p w14:paraId="38D097EA" w14:textId="3C6303B0" w:rsidR="00777DCB" w:rsidRPr="00A52585" w:rsidRDefault="00777DCB" w:rsidP="0002035C">
      <w:pPr>
        <w:rPr>
          <w:b/>
          <w:rtl/>
          <w:lang w:bidi="ar-KW"/>
        </w:rPr>
      </w:pPr>
      <w:r w:rsidRPr="00A52585">
        <w:rPr>
          <w:rFonts w:hint="cs"/>
          <w:rtl/>
          <w:lang w:bidi="ar-KW"/>
        </w:rPr>
        <w:t>الفصل الاول</w:t>
      </w:r>
      <w:r w:rsidR="0002035C" w:rsidRPr="00A52585">
        <w:rPr>
          <w:rFonts w:hint="cs"/>
          <w:rtl/>
          <w:lang w:bidi="ar-KW"/>
        </w:rPr>
        <w:t>:</w:t>
      </w:r>
      <w:r w:rsidRPr="00A52585">
        <w:rPr>
          <w:rFonts w:hint="cs"/>
          <w:rtl/>
          <w:lang w:bidi="ar-KW"/>
        </w:rPr>
        <w:t xml:space="preserve"> تحديد دائرة المحكم والمتشابه في باب الصفات والأخبار </w:t>
      </w:r>
    </w:p>
    <w:p w14:paraId="3560CC11" w14:textId="0BBD897E" w:rsidR="00777DCB" w:rsidRPr="00A52585" w:rsidRDefault="00777DCB" w:rsidP="0002035C">
      <w:pPr>
        <w:rPr>
          <w:b/>
          <w:lang w:bidi="ar-KW"/>
        </w:rPr>
      </w:pPr>
      <w:r w:rsidRPr="00A52585">
        <w:rPr>
          <w:rFonts w:hint="cs"/>
          <w:rtl/>
          <w:lang w:bidi="ar-KW"/>
        </w:rPr>
        <w:t>الفصل الثاني</w:t>
      </w:r>
      <w:r w:rsidR="0002035C" w:rsidRPr="00A52585">
        <w:rPr>
          <w:rFonts w:hint="cs"/>
          <w:rtl/>
        </w:rPr>
        <w:t>:</w:t>
      </w:r>
      <w:r w:rsidRPr="00A52585">
        <w:rPr>
          <w:rFonts w:hint="cs"/>
          <w:rtl/>
        </w:rPr>
        <w:t xml:space="preserve"> </w:t>
      </w:r>
      <w:r w:rsidRPr="00A52585">
        <w:rPr>
          <w:rFonts w:hint="cs"/>
          <w:rtl/>
          <w:lang w:bidi="ar-KW"/>
        </w:rPr>
        <w:t xml:space="preserve">أبعاد مذهب السلف الحق في باب الأخبار المتشابهات </w:t>
      </w:r>
    </w:p>
    <w:p w14:paraId="5D817CC5" w14:textId="0449A7EA" w:rsidR="00777DCB" w:rsidRPr="00A52585" w:rsidRDefault="00777DCB" w:rsidP="0002035C">
      <w:pPr>
        <w:rPr>
          <w:b/>
          <w:lang w:bidi="ar-KW"/>
        </w:rPr>
      </w:pPr>
      <w:r w:rsidRPr="00A52585">
        <w:rPr>
          <w:rFonts w:hint="cs"/>
          <w:rtl/>
          <w:lang w:bidi="ar-KW"/>
        </w:rPr>
        <w:lastRenderedPageBreak/>
        <w:t>الفصل الثالث</w:t>
      </w:r>
      <w:r w:rsidR="0002035C" w:rsidRPr="00A52585">
        <w:rPr>
          <w:rFonts w:hint="cs"/>
          <w:rtl/>
          <w:lang w:bidi="ar-KW"/>
        </w:rPr>
        <w:t>:</w:t>
      </w:r>
      <w:r w:rsidRPr="00A52585">
        <w:rPr>
          <w:rFonts w:hint="cs"/>
          <w:rtl/>
          <w:lang w:bidi="ar-KW"/>
        </w:rPr>
        <w:t xml:space="preserve"> خطأ اعتماد ظواهر النصوص في فهم علم التقديس والتنزيه</w:t>
      </w:r>
    </w:p>
    <w:p w14:paraId="4B9C6E2D" w14:textId="2E17950D" w:rsidR="00777DCB" w:rsidRPr="00A52585" w:rsidRDefault="00777DCB" w:rsidP="0002035C">
      <w:pPr>
        <w:rPr>
          <w:b/>
          <w:rtl/>
          <w:lang w:bidi="ar-KW"/>
        </w:rPr>
      </w:pPr>
      <w:r w:rsidRPr="00A52585">
        <w:rPr>
          <w:rFonts w:hint="cs"/>
          <w:rtl/>
        </w:rPr>
        <w:t>الفصل الرابع</w:t>
      </w:r>
      <w:r w:rsidR="0002035C" w:rsidRPr="00A52585">
        <w:rPr>
          <w:rFonts w:hint="cs"/>
          <w:rtl/>
        </w:rPr>
        <w:t>:</w:t>
      </w:r>
      <w:r w:rsidR="0002035C" w:rsidRPr="00A52585">
        <w:rPr>
          <w:rFonts w:hint="cs"/>
          <w:rtl/>
          <w:lang w:bidi="ar-KW"/>
        </w:rPr>
        <w:t xml:space="preserve"> </w:t>
      </w:r>
      <w:r w:rsidRPr="00A52585">
        <w:rPr>
          <w:rFonts w:hint="cs"/>
          <w:rtl/>
          <w:lang w:bidi="ar-KW"/>
        </w:rPr>
        <w:t>رد المتشابهات إلى المحكمات فيما يتعلق بقواعد تنزيه ذات الله عن مماثلة الذوات</w:t>
      </w:r>
    </w:p>
    <w:p w14:paraId="4B3BA1AB" w14:textId="5993332F" w:rsidR="00777DCB" w:rsidRPr="00A52585" w:rsidRDefault="00777DCB" w:rsidP="0002035C">
      <w:pPr>
        <w:rPr>
          <w:b/>
          <w:rtl/>
        </w:rPr>
      </w:pPr>
      <w:r w:rsidRPr="00A52585">
        <w:rPr>
          <w:rFonts w:hint="cs"/>
          <w:rtl/>
          <w:lang w:bidi="ar-KW"/>
        </w:rPr>
        <w:t>الفصل الخامس</w:t>
      </w:r>
      <w:r w:rsidR="0002035C" w:rsidRPr="00A52585">
        <w:rPr>
          <w:rFonts w:hint="cs"/>
          <w:rtl/>
          <w:lang w:bidi="ar-KW"/>
        </w:rPr>
        <w:t>:</w:t>
      </w:r>
      <w:r w:rsidRPr="00A52585">
        <w:rPr>
          <w:rFonts w:hint="cs"/>
          <w:rtl/>
          <w:lang w:bidi="ar-KW"/>
        </w:rPr>
        <w:t xml:space="preserve"> دراسة بلاغة القرآن فقه عظيم وفتح مبين لعلم التقديس والتنزيه</w:t>
      </w:r>
    </w:p>
    <w:p w14:paraId="49B5F77C" w14:textId="76757F68" w:rsidR="00777DCB" w:rsidRPr="00A52585" w:rsidRDefault="00777DCB" w:rsidP="0002035C">
      <w:pPr>
        <w:rPr>
          <w:b/>
          <w:rtl/>
          <w:lang w:bidi="ar-KW"/>
        </w:rPr>
      </w:pPr>
      <w:r w:rsidRPr="00A52585">
        <w:rPr>
          <w:rFonts w:hint="cs"/>
          <w:rtl/>
          <w:lang w:bidi="ar-KW"/>
        </w:rPr>
        <w:t>الفصل السادس</w:t>
      </w:r>
      <w:r w:rsidR="0002035C" w:rsidRPr="00A52585">
        <w:rPr>
          <w:rFonts w:hint="cs"/>
          <w:rtl/>
          <w:lang w:bidi="ar-KW"/>
        </w:rPr>
        <w:t>:</w:t>
      </w:r>
      <w:r w:rsidRPr="00A52585">
        <w:rPr>
          <w:rFonts w:hint="cs"/>
          <w:rtl/>
          <w:lang w:bidi="ar-KW"/>
        </w:rPr>
        <w:t xml:space="preserve"> فقه المراد بالوجه واليد والعين في القرآن الكريم </w:t>
      </w:r>
    </w:p>
    <w:p w14:paraId="64E42C22" w14:textId="31F90CDA" w:rsidR="00777DCB" w:rsidRPr="00A52585" w:rsidRDefault="00777DCB" w:rsidP="0002035C">
      <w:pPr>
        <w:rPr>
          <w:b/>
          <w:rtl/>
          <w:lang w:bidi="ar-KW"/>
        </w:rPr>
      </w:pPr>
      <w:r w:rsidRPr="00A52585">
        <w:rPr>
          <w:rFonts w:hint="cs"/>
          <w:rtl/>
          <w:lang w:bidi="ar-KW"/>
        </w:rPr>
        <w:t>الفصل السابع</w:t>
      </w:r>
      <w:r w:rsidR="0002035C" w:rsidRPr="00A52585">
        <w:rPr>
          <w:rFonts w:hint="cs"/>
          <w:rtl/>
          <w:lang w:bidi="ar-KW"/>
        </w:rPr>
        <w:t>:</w:t>
      </w:r>
      <w:r w:rsidRPr="00A52585">
        <w:rPr>
          <w:rFonts w:hint="cs"/>
          <w:rtl/>
          <w:lang w:bidi="ar-KW"/>
        </w:rPr>
        <w:t xml:space="preserve"> </w:t>
      </w:r>
      <w:r w:rsidRPr="00A52585">
        <w:rPr>
          <w:rFonts w:hint="cs"/>
          <w:rtl/>
        </w:rPr>
        <w:t>فقه العلم بالقرب مع الاستواء مع الإحاطة في حق ذات الله تعالى</w:t>
      </w:r>
    </w:p>
    <w:p w14:paraId="207DF742" w14:textId="472CB0F0" w:rsidR="00777DCB" w:rsidRPr="00A52585" w:rsidRDefault="00777DCB" w:rsidP="0002035C">
      <w:pPr>
        <w:rPr>
          <w:b/>
          <w:rtl/>
          <w:lang w:bidi="ar-KW"/>
        </w:rPr>
      </w:pPr>
      <w:r w:rsidRPr="00A52585">
        <w:rPr>
          <w:rFonts w:hint="cs"/>
          <w:rtl/>
          <w:lang w:bidi="ar-KW"/>
        </w:rPr>
        <w:t>الفصل الثامن</w:t>
      </w:r>
      <w:r w:rsidR="0002035C" w:rsidRPr="00A52585">
        <w:rPr>
          <w:rFonts w:hint="cs"/>
          <w:rtl/>
          <w:lang w:bidi="ar-KW"/>
        </w:rPr>
        <w:t>:</w:t>
      </w:r>
      <w:r w:rsidRPr="00A52585">
        <w:rPr>
          <w:rFonts w:hint="cs"/>
          <w:rtl/>
          <w:lang w:bidi="ar-KW"/>
        </w:rPr>
        <w:t xml:space="preserve"> تحقيق القول في الأخبار المتشابهات وردها إلى أمهاتها من المحكمات </w:t>
      </w:r>
    </w:p>
    <w:p w14:paraId="1B836FD4" w14:textId="4781E9E3" w:rsidR="00777DCB" w:rsidRPr="00A52585" w:rsidRDefault="0002035C" w:rsidP="0002035C">
      <w:pPr>
        <w:rPr>
          <w:b/>
          <w:rtl/>
        </w:rPr>
      </w:pPr>
      <w:r w:rsidRPr="00A52585">
        <w:rPr>
          <w:rFonts w:hint="cs"/>
          <w:rtl/>
        </w:rPr>
        <w:t>(</w:t>
      </w:r>
      <w:r w:rsidR="00777DCB" w:rsidRPr="00A52585">
        <w:rPr>
          <w:rFonts w:hint="cs"/>
          <w:rtl/>
        </w:rPr>
        <w:t>1</w:t>
      </w:r>
      <w:r w:rsidRPr="00A52585">
        <w:rPr>
          <w:rFonts w:hint="cs"/>
          <w:rtl/>
        </w:rPr>
        <w:t>)</w:t>
      </w:r>
      <w:r w:rsidR="00777DCB" w:rsidRPr="00A52585">
        <w:rPr>
          <w:rFonts w:hint="cs"/>
          <w:rtl/>
        </w:rPr>
        <w:t xml:space="preserve"> تحقيق القول في </w:t>
      </w:r>
      <w:r w:rsidR="00777DCB" w:rsidRPr="00A52585">
        <w:rPr>
          <w:rFonts w:hint="cs"/>
          <w:rtl/>
          <w:lang w:bidi="ar-KW"/>
        </w:rPr>
        <w:t>فهم حديث</w:t>
      </w:r>
      <w:r w:rsidRPr="00A52585">
        <w:rPr>
          <w:rFonts w:hint="cs"/>
          <w:rtl/>
          <w:lang w:bidi="ar-KW"/>
        </w:rPr>
        <w:t>:</w:t>
      </w:r>
      <w:r w:rsidR="00777DCB" w:rsidRPr="00A52585">
        <w:rPr>
          <w:rFonts w:hint="cs"/>
          <w:rtl/>
          <w:lang w:bidi="ar-KW"/>
        </w:rPr>
        <w:t xml:space="preserve"> (</w:t>
      </w:r>
      <w:r w:rsidRPr="00A52585">
        <w:rPr>
          <w:rFonts w:hint="cs"/>
          <w:rtl/>
          <w:lang w:bidi="ar-KW"/>
        </w:rPr>
        <w:t>(</w:t>
      </w:r>
      <w:r w:rsidR="00777DCB" w:rsidRPr="00A52585">
        <w:rPr>
          <w:rFonts w:hint="cs"/>
          <w:rtl/>
        </w:rPr>
        <w:t>خلق الله آدم على صورته</w:t>
      </w:r>
      <w:r w:rsidRPr="00A52585">
        <w:rPr>
          <w:rFonts w:hint="cs"/>
          <w:rtl/>
        </w:rPr>
        <w:t>)</w:t>
      </w:r>
      <w:r w:rsidR="00777DCB" w:rsidRPr="00A52585">
        <w:rPr>
          <w:rFonts w:hint="cs"/>
          <w:rtl/>
        </w:rPr>
        <w:t>) والقضاء على شبه المجسمة المتعلقة به</w:t>
      </w:r>
    </w:p>
    <w:p w14:paraId="1C65CB1F" w14:textId="687F1879" w:rsidR="00777DCB" w:rsidRPr="00A52585" w:rsidRDefault="0002035C" w:rsidP="0002035C">
      <w:pPr>
        <w:rPr>
          <w:b/>
          <w:rtl/>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تحقيق القول في فهم حديث</w:t>
      </w:r>
      <w:r w:rsidRPr="00A52585">
        <w:rPr>
          <w:rFonts w:hint="cs"/>
          <w:rtl/>
        </w:rPr>
        <w:t>:</w:t>
      </w:r>
      <w:r w:rsidR="00777DCB" w:rsidRPr="00A52585">
        <w:rPr>
          <w:rFonts w:hint="cs"/>
          <w:rtl/>
        </w:rPr>
        <w:t xml:space="preserve"> (</w:t>
      </w:r>
      <w:r w:rsidRPr="00A52585">
        <w:rPr>
          <w:rFonts w:hint="cs"/>
          <w:rtl/>
        </w:rPr>
        <w:t>(</w:t>
      </w:r>
      <w:r w:rsidR="00777DCB" w:rsidRPr="00A52585">
        <w:rPr>
          <w:rFonts w:hint="cs"/>
          <w:rtl/>
        </w:rPr>
        <w:t>أين الله</w:t>
      </w:r>
      <w:r w:rsidRPr="00A52585">
        <w:rPr>
          <w:rFonts w:hint="cs"/>
          <w:rtl/>
        </w:rPr>
        <w:t>)</w:t>
      </w:r>
      <w:r w:rsidR="00777DCB" w:rsidRPr="00A52585">
        <w:rPr>
          <w:rFonts w:hint="cs"/>
          <w:rtl/>
        </w:rPr>
        <w:t xml:space="preserve">) والقضاء على شبه المجسمة المتعلقة به </w:t>
      </w:r>
    </w:p>
    <w:p w14:paraId="082E1318" w14:textId="58D417E6" w:rsidR="00777DCB" w:rsidRPr="00A52585" w:rsidRDefault="0002035C" w:rsidP="0002035C">
      <w:pPr>
        <w:rPr>
          <w:b/>
          <w:rtl/>
        </w:rPr>
      </w:pPr>
      <w:r w:rsidRPr="00A52585">
        <w:rPr>
          <w:rFonts w:hint="cs"/>
          <w:rtl/>
        </w:rPr>
        <w:t>(</w:t>
      </w:r>
      <w:r w:rsidR="00777DCB" w:rsidRPr="00A52585">
        <w:rPr>
          <w:rFonts w:hint="cs"/>
          <w:rtl/>
        </w:rPr>
        <w:t>3</w:t>
      </w:r>
      <w:r w:rsidRPr="00A52585">
        <w:rPr>
          <w:rFonts w:hint="cs"/>
          <w:rtl/>
        </w:rPr>
        <w:t>)</w:t>
      </w:r>
      <w:r w:rsidR="00777DCB" w:rsidRPr="00A52585">
        <w:rPr>
          <w:rFonts w:hint="cs"/>
          <w:rtl/>
        </w:rPr>
        <w:t xml:space="preserve"> تحقيق القول في فهم حديث النزول والقضاء على شبه المجسمة المتعلقة به </w:t>
      </w:r>
    </w:p>
    <w:p w14:paraId="6A9F4759" w14:textId="7F93DC2F" w:rsidR="00777DCB" w:rsidRPr="00A52585" w:rsidRDefault="0002035C" w:rsidP="0002035C">
      <w:pPr>
        <w:rPr>
          <w:b/>
          <w:rtl/>
          <w:lang w:bidi="ar-KW"/>
        </w:rPr>
      </w:pPr>
      <w:r w:rsidRPr="00A52585">
        <w:rPr>
          <w:rFonts w:hint="cs"/>
          <w:rtl/>
        </w:rPr>
        <w:t>(</w:t>
      </w:r>
      <w:r w:rsidR="00777DCB" w:rsidRPr="00A52585">
        <w:rPr>
          <w:rFonts w:hint="cs"/>
          <w:rtl/>
        </w:rPr>
        <w:t>4</w:t>
      </w:r>
      <w:r w:rsidRPr="00A52585">
        <w:rPr>
          <w:rFonts w:hint="cs"/>
          <w:rtl/>
        </w:rPr>
        <w:t>)</w:t>
      </w:r>
      <w:r w:rsidR="00777DCB" w:rsidRPr="00A52585">
        <w:rPr>
          <w:rFonts w:hint="cs"/>
          <w:rtl/>
        </w:rPr>
        <w:t xml:space="preserve"> </w:t>
      </w:r>
      <w:r w:rsidR="00777DCB" w:rsidRPr="00A52585">
        <w:rPr>
          <w:rFonts w:hint="cs"/>
          <w:rtl/>
          <w:lang w:bidi="ar-KW"/>
        </w:rPr>
        <w:t xml:space="preserve">حل اشكالية الظواهر الموهمة للتشبيه والتجسيم والجارحة والأعضاء كالوجه واليد والعين </w:t>
      </w:r>
    </w:p>
    <w:p w14:paraId="7B81140B" w14:textId="64D86147" w:rsidR="00777DCB" w:rsidRPr="00A52585" w:rsidRDefault="0002035C" w:rsidP="0002035C">
      <w:pPr>
        <w:rPr>
          <w:b/>
          <w:rtl/>
        </w:rPr>
      </w:pPr>
      <w:r w:rsidRPr="00A52585">
        <w:rPr>
          <w:rFonts w:hint="cs"/>
          <w:rtl/>
          <w:lang w:bidi="ar-KW"/>
        </w:rPr>
        <w:t>(</w:t>
      </w:r>
      <w:r w:rsidR="00777DCB" w:rsidRPr="00A52585">
        <w:rPr>
          <w:rFonts w:hint="cs"/>
          <w:rtl/>
          <w:lang w:bidi="ar-KW"/>
        </w:rPr>
        <w:t>5</w:t>
      </w:r>
      <w:r w:rsidRPr="00A52585">
        <w:rPr>
          <w:rFonts w:hint="cs"/>
          <w:rtl/>
          <w:lang w:bidi="ar-KW"/>
        </w:rPr>
        <w:t>)</w:t>
      </w:r>
      <w:r w:rsidR="00777DCB" w:rsidRPr="00A52585">
        <w:rPr>
          <w:rFonts w:hint="cs"/>
          <w:rtl/>
          <w:lang w:bidi="ar-KW"/>
        </w:rPr>
        <w:t xml:space="preserve"> </w:t>
      </w:r>
      <w:r w:rsidR="00777DCB" w:rsidRPr="00A52585">
        <w:rPr>
          <w:rFonts w:hint="cs"/>
          <w:rtl/>
        </w:rPr>
        <w:t xml:space="preserve">تحقيق القول في فهم الأخبار الموهمة بالفوقية الحسية </w:t>
      </w:r>
    </w:p>
    <w:p w14:paraId="21EAEDB9" w14:textId="3E93E9CE" w:rsidR="00777DCB" w:rsidRPr="00A52585" w:rsidRDefault="0002035C" w:rsidP="0002035C">
      <w:pPr>
        <w:rPr>
          <w:b/>
          <w:rtl/>
        </w:rPr>
      </w:pPr>
      <w:r w:rsidRPr="00A52585">
        <w:rPr>
          <w:rFonts w:hint="cs"/>
          <w:rtl/>
        </w:rPr>
        <w:t>(</w:t>
      </w:r>
      <w:r w:rsidR="00777DCB" w:rsidRPr="00A52585">
        <w:rPr>
          <w:rFonts w:hint="cs"/>
          <w:rtl/>
        </w:rPr>
        <w:t>6</w:t>
      </w:r>
      <w:r w:rsidRPr="00A52585">
        <w:rPr>
          <w:rFonts w:hint="cs"/>
          <w:rtl/>
        </w:rPr>
        <w:t>)</w:t>
      </w:r>
      <w:r w:rsidR="00777DCB" w:rsidRPr="00A52585">
        <w:rPr>
          <w:rFonts w:hint="cs"/>
          <w:rtl/>
        </w:rPr>
        <w:t xml:space="preserve"> تحقيق القول في الأخبار الموهمة بالتغير والحدوث وقبول الحوادث</w:t>
      </w:r>
    </w:p>
    <w:p w14:paraId="4CAE9245" w14:textId="244EBB34" w:rsidR="00777DCB" w:rsidRPr="00A52585" w:rsidRDefault="00777DCB" w:rsidP="0002035C">
      <w:pPr>
        <w:rPr>
          <w:bCs/>
          <w:rtl/>
        </w:rPr>
      </w:pPr>
      <w:r w:rsidRPr="00A52585">
        <w:rPr>
          <w:rFonts w:hint="cs"/>
          <w:bCs/>
          <w:rtl/>
          <w:lang w:bidi="ar-KW"/>
        </w:rPr>
        <w:t>الباب الثالث</w:t>
      </w:r>
      <w:r w:rsidR="0002035C" w:rsidRPr="00A52585">
        <w:rPr>
          <w:rFonts w:hint="cs"/>
          <w:bCs/>
          <w:rtl/>
          <w:lang w:bidi="ar-KW"/>
        </w:rPr>
        <w:t>:</w:t>
      </w:r>
      <w:r w:rsidRPr="00A52585">
        <w:rPr>
          <w:rFonts w:hint="cs"/>
          <w:bCs/>
          <w:rtl/>
          <w:lang w:bidi="ar-KW"/>
        </w:rPr>
        <w:t xml:space="preserve"> </w:t>
      </w:r>
      <w:r w:rsidRPr="00A52585">
        <w:rPr>
          <w:rFonts w:hint="cs"/>
          <w:bCs/>
          <w:rtl/>
        </w:rPr>
        <w:t>ملاحق للعلماء في مكافحة التشبيه</w:t>
      </w:r>
      <w:r w:rsidR="00DB731D" w:rsidRPr="00A52585">
        <w:rPr>
          <w:rFonts w:hint="cs"/>
          <w:bCs/>
          <w:rtl/>
        </w:rPr>
        <w:t>،</w:t>
      </w:r>
      <w:r w:rsidRPr="00A52585">
        <w:rPr>
          <w:rFonts w:hint="cs"/>
          <w:bCs/>
          <w:rtl/>
        </w:rPr>
        <w:t xml:space="preserve"> ويشتمل على تلك المباحث</w:t>
      </w:r>
      <w:r w:rsidR="0002035C" w:rsidRPr="00A52585">
        <w:rPr>
          <w:rFonts w:hint="cs"/>
          <w:bCs/>
          <w:rtl/>
        </w:rPr>
        <w:t>:</w:t>
      </w:r>
      <w:r w:rsidRPr="00A52585">
        <w:rPr>
          <w:rFonts w:hint="cs"/>
          <w:bCs/>
          <w:rtl/>
        </w:rPr>
        <w:t xml:space="preserve"> </w:t>
      </w:r>
    </w:p>
    <w:p w14:paraId="602E4685" w14:textId="638F3EAB" w:rsidR="00777DCB" w:rsidRPr="00A52585" w:rsidRDefault="0002035C" w:rsidP="0002035C">
      <w:pPr>
        <w:spacing w:after="240"/>
        <w:rPr>
          <w:b/>
          <w:rtl/>
        </w:rPr>
      </w:pPr>
      <w:r w:rsidRPr="00A52585">
        <w:rPr>
          <w:rFonts w:hint="cs"/>
          <w:rtl/>
        </w:rPr>
        <w:t>(</w:t>
      </w:r>
      <w:r w:rsidR="00777DCB" w:rsidRPr="00A52585">
        <w:rPr>
          <w:rFonts w:hint="cs"/>
          <w:rtl/>
        </w:rPr>
        <w:t>1</w:t>
      </w:r>
      <w:r w:rsidRPr="00A52585">
        <w:rPr>
          <w:rFonts w:hint="cs"/>
          <w:rtl/>
        </w:rPr>
        <w:t xml:space="preserve">) </w:t>
      </w:r>
      <w:r w:rsidR="00777DCB" w:rsidRPr="00A52585">
        <w:rPr>
          <w:rFonts w:hint="cs"/>
          <w:rtl/>
        </w:rPr>
        <w:t>كتاب دفع شبه التشبيه لابن الجوزي مع التحقيق القيم للشيخ حسن السقاف</w:t>
      </w:r>
      <w:r w:rsidR="00777DCB" w:rsidRPr="00A52585">
        <w:rPr>
          <w:rFonts w:hint="cs"/>
          <w:kern w:val="36"/>
          <w:rtl/>
        </w:rPr>
        <w:t xml:space="preserve"> </w:t>
      </w:r>
    </w:p>
    <w:p w14:paraId="6A5433E8" w14:textId="527BD44F" w:rsidR="00777DCB" w:rsidRPr="00A52585" w:rsidRDefault="0002035C" w:rsidP="0002035C">
      <w:pPr>
        <w:spacing w:after="240"/>
        <w:rPr>
          <w:b/>
        </w:rPr>
      </w:pPr>
      <w:r w:rsidRPr="00A52585">
        <w:rPr>
          <w:rFonts w:hint="cs"/>
          <w:rtl/>
        </w:rPr>
        <w:t>(</w:t>
      </w:r>
      <w:r w:rsidR="00777DCB" w:rsidRPr="00A52585">
        <w:rPr>
          <w:rFonts w:hint="cs"/>
          <w:rtl/>
        </w:rPr>
        <w:t>2</w:t>
      </w:r>
      <w:r w:rsidRPr="00A52585">
        <w:rPr>
          <w:rFonts w:hint="cs"/>
          <w:rtl/>
        </w:rPr>
        <w:t>)</w:t>
      </w:r>
      <w:r w:rsidR="00777DCB" w:rsidRPr="00A52585">
        <w:rPr>
          <w:rFonts w:hint="cs"/>
          <w:rtl/>
        </w:rPr>
        <w:t xml:space="preserve"> كتاب السيف الصقيل في الرد على ابن القيم مع التحقيق القيم للشيخ محمد زاهد الكوثري</w:t>
      </w:r>
    </w:p>
    <w:p w14:paraId="3B583215" w14:textId="7B0D603D" w:rsidR="00777DCB" w:rsidRPr="00A52585" w:rsidRDefault="0002035C" w:rsidP="0002035C">
      <w:pPr>
        <w:spacing w:after="240"/>
        <w:rPr>
          <w:b/>
          <w:rtl/>
        </w:rPr>
      </w:pPr>
      <w:r w:rsidRPr="00A52585">
        <w:rPr>
          <w:rFonts w:hint="cs"/>
          <w:rtl/>
        </w:rPr>
        <w:t>(</w:t>
      </w:r>
      <w:r w:rsidR="00777DCB" w:rsidRPr="00A52585">
        <w:rPr>
          <w:rFonts w:hint="cs"/>
          <w:rtl/>
        </w:rPr>
        <w:t>3</w:t>
      </w:r>
      <w:r w:rsidRPr="00A52585">
        <w:rPr>
          <w:rFonts w:hint="cs"/>
          <w:rtl/>
        </w:rPr>
        <w:t>)</w:t>
      </w:r>
      <w:r w:rsidR="00777DCB" w:rsidRPr="00A52585">
        <w:rPr>
          <w:rFonts w:hint="cs"/>
          <w:rtl/>
        </w:rPr>
        <w:t xml:space="preserve"> كتاب دفع شبه من شبه وتمرد للإمام تقي الدين </w:t>
      </w:r>
      <w:proofErr w:type="spellStart"/>
      <w:r w:rsidR="00777DCB" w:rsidRPr="00A52585">
        <w:rPr>
          <w:rFonts w:hint="cs"/>
          <w:rtl/>
        </w:rPr>
        <w:t>الحصني</w:t>
      </w:r>
      <w:proofErr w:type="spellEnd"/>
      <w:r w:rsidR="00777DCB" w:rsidRPr="00A52585">
        <w:rPr>
          <w:rFonts w:hint="cs"/>
          <w:rtl/>
        </w:rPr>
        <w:t xml:space="preserve"> تحقيق الشيخ عبد الواحد مصطفى</w:t>
      </w:r>
    </w:p>
    <w:p w14:paraId="4186318F" w14:textId="55B39A00" w:rsidR="00777DCB" w:rsidRPr="00A52585" w:rsidRDefault="0002035C" w:rsidP="0002035C">
      <w:pPr>
        <w:spacing w:after="240"/>
        <w:rPr>
          <w:b/>
          <w:rtl/>
        </w:rPr>
      </w:pPr>
      <w:r w:rsidRPr="00A52585">
        <w:rPr>
          <w:rFonts w:hint="cs"/>
          <w:rtl/>
        </w:rPr>
        <w:t>(</w:t>
      </w:r>
      <w:r w:rsidR="00777DCB" w:rsidRPr="00A52585">
        <w:rPr>
          <w:rFonts w:hint="cs"/>
          <w:rtl/>
        </w:rPr>
        <w:t>4</w:t>
      </w:r>
      <w:r w:rsidRPr="00A52585">
        <w:rPr>
          <w:rFonts w:hint="cs"/>
          <w:rtl/>
        </w:rPr>
        <w:t>)</w:t>
      </w:r>
      <w:r w:rsidR="00777DCB" w:rsidRPr="00A52585">
        <w:rPr>
          <w:rFonts w:hint="cs"/>
          <w:rtl/>
        </w:rPr>
        <w:t xml:space="preserve"> المشبهة والمجسمة للعلامة المفسر المحدث </w:t>
      </w:r>
      <w:proofErr w:type="spellStart"/>
      <w:r w:rsidR="00777DCB" w:rsidRPr="00A52585">
        <w:rPr>
          <w:rFonts w:hint="cs"/>
          <w:rtl/>
        </w:rPr>
        <w:t>الفقية</w:t>
      </w:r>
      <w:proofErr w:type="spellEnd"/>
      <w:r w:rsidR="00777DCB" w:rsidRPr="00A52585">
        <w:rPr>
          <w:rFonts w:hint="cs"/>
          <w:rtl/>
        </w:rPr>
        <w:t xml:space="preserve"> الشيخ عبد الرحمن خليفة</w:t>
      </w:r>
    </w:p>
    <w:p w14:paraId="5428244C" w14:textId="5E229DBC" w:rsidR="00777DCB" w:rsidRPr="00A52585" w:rsidRDefault="0002035C" w:rsidP="0002035C">
      <w:pPr>
        <w:rPr>
          <w:b/>
          <w:rtl/>
        </w:rPr>
      </w:pPr>
      <w:r w:rsidRPr="00A52585">
        <w:rPr>
          <w:rFonts w:hint="cs"/>
          <w:rtl/>
        </w:rPr>
        <w:t>(</w:t>
      </w:r>
      <w:r w:rsidR="00777DCB" w:rsidRPr="00A52585">
        <w:rPr>
          <w:rFonts w:hint="cs"/>
          <w:rtl/>
        </w:rPr>
        <w:t>5</w:t>
      </w:r>
      <w:r w:rsidRPr="00A52585">
        <w:rPr>
          <w:rFonts w:hint="cs"/>
          <w:rtl/>
        </w:rPr>
        <w:t>)</w:t>
      </w:r>
      <w:r w:rsidR="00777DCB" w:rsidRPr="00A52585">
        <w:rPr>
          <w:rFonts w:hint="cs"/>
          <w:rtl/>
        </w:rPr>
        <w:t xml:space="preserve"> </w:t>
      </w:r>
      <w:r w:rsidR="00777DCB" w:rsidRPr="00A52585">
        <w:rPr>
          <w:rFonts w:hint="cs"/>
          <w:kern w:val="36"/>
          <w:rtl/>
        </w:rPr>
        <w:t>الفرق العظيم</w:t>
      </w:r>
      <w:r w:rsidRPr="00A52585">
        <w:rPr>
          <w:rFonts w:hint="cs"/>
          <w:kern w:val="36"/>
          <w:rtl/>
        </w:rPr>
        <w:t xml:space="preserve"> </w:t>
      </w:r>
      <w:r w:rsidR="00777DCB" w:rsidRPr="00A52585">
        <w:rPr>
          <w:rFonts w:hint="cs"/>
          <w:rtl/>
        </w:rPr>
        <w:t>بين التنزيه والتجسيم تأليف سعيد فودة</w:t>
      </w:r>
    </w:p>
    <w:p w14:paraId="23056049" w14:textId="77777777" w:rsidR="00777DCB" w:rsidRPr="00A52585" w:rsidRDefault="00777DCB" w:rsidP="0002035C">
      <w:pPr>
        <w:rPr>
          <w:b/>
          <w:rtl/>
        </w:rPr>
      </w:pPr>
      <w:r w:rsidRPr="00A52585">
        <w:rPr>
          <w:rFonts w:hint="cs"/>
          <w:bCs/>
          <w:rtl/>
        </w:rPr>
        <w:lastRenderedPageBreak/>
        <w:t>الخاتمة</w:t>
      </w:r>
      <w:r w:rsidRPr="00A52585">
        <w:rPr>
          <w:rFonts w:hint="cs"/>
          <w:rtl/>
        </w:rPr>
        <w:t xml:space="preserve"> </w:t>
      </w:r>
    </w:p>
    <w:p w14:paraId="204BA0D8" w14:textId="77777777" w:rsidR="00777DCB" w:rsidRPr="00A52585" w:rsidRDefault="00777DCB" w:rsidP="0002035C">
      <w:pPr>
        <w:rPr>
          <w:bCs/>
          <w:rtl/>
        </w:rPr>
      </w:pPr>
      <w:r w:rsidRPr="00A52585">
        <w:rPr>
          <w:rFonts w:hint="cs"/>
          <w:bCs/>
          <w:rtl/>
        </w:rPr>
        <w:t>الفهارس</w:t>
      </w:r>
    </w:p>
    <w:p w14:paraId="10664D85" w14:textId="77777777" w:rsidR="00777DCB" w:rsidRPr="00A52585" w:rsidRDefault="00777DCB" w:rsidP="0002035C">
      <w:pPr>
        <w:spacing w:after="240"/>
        <w:jc w:val="center"/>
        <w:rPr>
          <w:rtl/>
        </w:rPr>
      </w:pPr>
      <w:r w:rsidRPr="00A52585">
        <w:rPr>
          <w:rFonts w:hint="cs"/>
          <w:rtl/>
        </w:rPr>
        <w:t xml:space="preserve">*** </w:t>
      </w:r>
    </w:p>
    <w:p w14:paraId="3FB8B2FF" w14:textId="77777777" w:rsidR="00777DCB" w:rsidRPr="00A52585" w:rsidRDefault="00777DCB" w:rsidP="0002035C">
      <w:pPr>
        <w:spacing w:after="240"/>
        <w:jc w:val="center"/>
        <w:rPr>
          <w:rtl/>
        </w:rPr>
      </w:pPr>
    </w:p>
    <w:p w14:paraId="499968F4" w14:textId="77777777" w:rsidR="008D50AB" w:rsidRPr="00A52585" w:rsidRDefault="008D50AB"/>
    <w:sectPr w:rsidR="008D50AB" w:rsidRPr="00A52585" w:rsidSect="0002035C">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378984" w14:textId="77777777" w:rsidR="00D64D99" w:rsidRDefault="00D64D99" w:rsidP="00185A91">
      <w:pPr>
        <w:spacing w:after="0" w:line="240" w:lineRule="auto"/>
      </w:pPr>
      <w:r>
        <w:separator/>
      </w:r>
    </w:p>
  </w:endnote>
  <w:endnote w:type="continuationSeparator" w:id="0">
    <w:p w14:paraId="01D5BB71" w14:textId="77777777" w:rsidR="00D64D99" w:rsidRDefault="00D64D99" w:rsidP="00185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09F" w:csb1="00000000"/>
  </w:font>
  <w:font w:name="MCS Andalos E_U 3D.">
    <w:altName w:val="Arial"/>
    <w:charset w:val="B2"/>
    <w:family w:val="auto"/>
    <w:pitch w:val="variable"/>
    <w:sig w:usb0="00002001" w:usb1="00000000" w:usb2="00000000" w:usb3="00000000" w:csb0="0000004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GA Arabesque">
    <w:panose1 w:val="05010101010101010101"/>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1271610"/>
      <w:docPartObj>
        <w:docPartGallery w:val="Page Numbers (Bottom of Page)"/>
        <w:docPartUnique/>
      </w:docPartObj>
    </w:sdtPr>
    <w:sdtContent>
      <w:p w14:paraId="268BE56F" w14:textId="37842AB2" w:rsidR="00185A91" w:rsidRDefault="00185A91">
        <w:pPr>
          <w:pStyle w:val="a7"/>
          <w:jc w:val="center"/>
        </w:pPr>
        <w:r>
          <w:fldChar w:fldCharType="begin"/>
        </w:r>
        <w:r>
          <w:instrText>PAGE   \* MERGEFORMAT</w:instrText>
        </w:r>
        <w:r>
          <w:fldChar w:fldCharType="separate"/>
        </w:r>
        <w:r>
          <w:rPr>
            <w:rtl/>
            <w:lang w:val="ar-SA"/>
          </w:rPr>
          <w:t>2</w:t>
        </w:r>
        <w:r>
          <w:fldChar w:fldCharType="end"/>
        </w:r>
      </w:p>
    </w:sdtContent>
  </w:sdt>
  <w:p w14:paraId="59E532BC" w14:textId="77777777" w:rsidR="00185A91" w:rsidRDefault="00185A9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6FD2C" w14:textId="77777777" w:rsidR="00D64D99" w:rsidRDefault="00D64D99" w:rsidP="00185A91">
      <w:pPr>
        <w:spacing w:after="0" w:line="240" w:lineRule="auto"/>
      </w:pPr>
      <w:r>
        <w:separator/>
      </w:r>
    </w:p>
  </w:footnote>
  <w:footnote w:type="continuationSeparator" w:id="0">
    <w:p w14:paraId="47E54274" w14:textId="77777777" w:rsidR="00D64D99" w:rsidRDefault="00D64D99" w:rsidP="00185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57B00"/>
    <w:multiLevelType w:val="hybridMultilevel"/>
    <w:tmpl w:val="FE0C94EE"/>
    <w:lvl w:ilvl="0" w:tplc="0401000F">
      <w:start w:val="1"/>
      <w:numFmt w:val="decimal"/>
      <w:lvlText w:val="%1."/>
      <w:lvlJc w:val="left"/>
      <w:pPr>
        <w:tabs>
          <w:tab w:val="num" w:pos="72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 w15:restartNumberingAfterBreak="0">
    <w:nsid w:val="252778A9"/>
    <w:multiLevelType w:val="hybridMultilevel"/>
    <w:tmpl w:val="3EB63322"/>
    <w:lvl w:ilvl="0" w:tplc="A34C49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487B4E"/>
    <w:multiLevelType w:val="hybridMultilevel"/>
    <w:tmpl w:val="DCA06A00"/>
    <w:lvl w:ilvl="0" w:tplc="71D20AD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75E"/>
    <w:rsid w:val="0002035C"/>
    <w:rsid w:val="001234E3"/>
    <w:rsid w:val="00185A91"/>
    <w:rsid w:val="0030025A"/>
    <w:rsid w:val="00404B60"/>
    <w:rsid w:val="004C25E1"/>
    <w:rsid w:val="004F3EF0"/>
    <w:rsid w:val="005C775E"/>
    <w:rsid w:val="006C5420"/>
    <w:rsid w:val="00777DCB"/>
    <w:rsid w:val="0088344E"/>
    <w:rsid w:val="00897A24"/>
    <w:rsid w:val="008D50AB"/>
    <w:rsid w:val="008F61E0"/>
    <w:rsid w:val="00A36C64"/>
    <w:rsid w:val="00A52585"/>
    <w:rsid w:val="00BB1F97"/>
    <w:rsid w:val="00C10044"/>
    <w:rsid w:val="00CB4AC8"/>
    <w:rsid w:val="00CC503D"/>
    <w:rsid w:val="00D64D99"/>
    <w:rsid w:val="00DB731D"/>
    <w:rsid w:val="00F10F0F"/>
    <w:rsid w:val="00F11B49"/>
    <w:rsid w:val="00F958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5C07"/>
  <w15:chartTrackingRefBased/>
  <w15:docId w15:val="{DC626E33-4D64-410A-95B0-0C3D6FDD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nhideWhenUsed/>
    <w:qFormat/>
    <w:rsid w:val="00777DCB"/>
    <w:pPr>
      <w:keepNext/>
      <w:spacing w:before="240" w:after="60" w:line="240" w:lineRule="auto"/>
      <w:jc w:val="left"/>
      <w:outlineLvl w:val="3"/>
    </w:pPr>
    <w:rPr>
      <w:rFonts w:ascii="Times New Roman" w:eastAsia="Times New Roman" w:hAnsi="Times New Roman" w:cs="Times New Roman"/>
      <w:b/>
      <w:bCs/>
      <w:kern w:val="0"/>
    </w:rPr>
  </w:style>
  <w:style w:type="paragraph" w:styleId="5">
    <w:name w:val="heading 5"/>
    <w:basedOn w:val="a"/>
    <w:next w:val="a"/>
    <w:link w:val="5Char"/>
    <w:unhideWhenUsed/>
    <w:qFormat/>
    <w:rsid w:val="00777DCB"/>
    <w:pPr>
      <w:spacing w:before="240" w:after="60" w:line="240" w:lineRule="auto"/>
      <w:jc w:val="left"/>
      <w:outlineLvl w:val="4"/>
    </w:pPr>
    <w:rPr>
      <w:rFonts w:ascii="Times New Roman" w:eastAsia="Times New Roman" w:hAnsi="Times New Roman" w:cs="Traditional Arabic"/>
      <w:b/>
      <w:bCs/>
      <w:i/>
      <w:iCs/>
      <w:kern w:val="0"/>
      <w:sz w:val="26"/>
      <w:szCs w:val="26"/>
    </w:rPr>
  </w:style>
  <w:style w:type="paragraph" w:styleId="6">
    <w:name w:val="heading 6"/>
    <w:basedOn w:val="a"/>
    <w:next w:val="a"/>
    <w:link w:val="6Char"/>
    <w:unhideWhenUsed/>
    <w:qFormat/>
    <w:rsid w:val="00777DCB"/>
    <w:pPr>
      <w:spacing w:before="240" w:after="60" w:line="240" w:lineRule="auto"/>
      <w:jc w:val="left"/>
      <w:outlineLvl w:val="5"/>
    </w:pPr>
    <w:rPr>
      <w:rFonts w:ascii="Times New Roman" w:eastAsia="Times New Roman" w:hAnsi="Times New Roman" w:cs="Times New Roman"/>
      <w:b/>
      <w:bCs/>
      <w:kern w:val="0"/>
      <w:sz w:val="22"/>
      <w:szCs w:val="22"/>
    </w:rPr>
  </w:style>
  <w:style w:type="paragraph" w:styleId="7">
    <w:name w:val="heading 7"/>
    <w:basedOn w:val="a"/>
    <w:next w:val="a"/>
    <w:link w:val="7Char"/>
    <w:unhideWhenUsed/>
    <w:qFormat/>
    <w:rsid w:val="00777DCB"/>
    <w:pPr>
      <w:spacing w:before="240" w:after="60" w:line="240" w:lineRule="auto"/>
      <w:jc w:val="left"/>
      <w:outlineLvl w:val="6"/>
    </w:pPr>
    <w:rPr>
      <w:rFonts w:ascii="Times New Roman" w:eastAsia="Times New Roman" w:hAnsi="Times New Roman" w:cs="Times New Roman"/>
      <w:kern w:val="0"/>
      <w:sz w:val="24"/>
      <w:szCs w:val="24"/>
    </w:rPr>
  </w:style>
  <w:style w:type="paragraph" w:styleId="8">
    <w:name w:val="heading 8"/>
    <w:basedOn w:val="a"/>
    <w:next w:val="10"/>
    <w:link w:val="8Char"/>
    <w:qFormat/>
    <w:rsid w:val="00777DCB"/>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10"/>
    <w:link w:val="9Char"/>
    <w:qFormat/>
    <w:rsid w:val="00777DCB"/>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1">
    <w:name w:val="نمط1"/>
    <w:basedOn w:val="a"/>
    <w:link w:val="1Char0"/>
    <w:qFormat/>
    <w:rsid w:val="00BB1F97"/>
    <w:rPr>
      <w:b/>
      <w:bCs/>
      <w:sz w:val="36"/>
      <w:szCs w:val="36"/>
      <w:u w:val="single"/>
    </w:rPr>
  </w:style>
  <w:style w:type="character" w:customStyle="1" w:styleId="1Char0">
    <w:name w:val="نمط1 Char"/>
    <w:basedOn w:val="a0"/>
    <w:link w:val="11"/>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rsid w:val="00777DCB"/>
    <w:rPr>
      <w:rFonts w:ascii="Times New Roman" w:eastAsia="Times New Roman" w:hAnsi="Times New Roman" w:cs="Times New Roman"/>
      <w:b/>
      <w:bCs/>
      <w:kern w:val="0"/>
    </w:rPr>
  </w:style>
  <w:style w:type="character" w:customStyle="1" w:styleId="5Char">
    <w:name w:val="عنوان 5 Char"/>
    <w:basedOn w:val="a0"/>
    <w:link w:val="5"/>
    <w:rsid w:val="00777DCB"/>
    <w:rPr>
      <w:rFonts w:ascii="Times New Roman" w:eastAsia="Times New Roman" w:hAnsi="Times New Roman" w:cs="Traditional Arabic"/>
      <w:b/>
      <w:bCs/>
      <w:i/>
      <w:iCs/>
      <w:kern w:val="0"/>
      <w:sz w:val="26"/>
      <w:szCs w:val="26"/>
    </w:rPr>
  </w:style>
  <w:style w:type="character" w:customStyle="1" w:styleId="6Char">
    <w:name w:val="عنوان 6 Char"/>
    <w:basedOn w:val="a0"/>
    <w:link w:val="6"/>
    <w:rsid w:val="00777DCB"/>
    <w:rPr>
      <w:rFonts w:ascii="Times New Roman" w:eastAsia="Times New Roman" w:hAnsi="Times New Roman" w:cs="Times New Roman"/>
      <w:b/>
      <w:bCs/>
      <w:kern w:val="0"/>
      <w:sz w:val="22"/>
      <w:szCs w:val="22"/>
    </w:rPr>
  </w:style>
  <w:style w:type="character" w:customStyle="1" w:styleId="7Char">
    <w:name w:val="عنوان 7 Char"/>
    <w:basedOn w:val="a0"/>
    <w:link w:val="7"/>
    <w:rsid w:val="00777DCB"/>
    <w:rPr>
      <w:rFonts w:ascii="Times New Roman" w:eastAsia="Times New Roman" w:hAnsi="Times New Roman" w:cs="Times New Roman"/>
      <w:kern w:val="0"/>
      <w:sz w:val="24"/>
      <w:szCs w:val="24"/>
    </w:rPr>
  </w:style>
  <w:style w:type="character" w:customStyle="1" w:styleId="8Char">
    <w:name w:val="عنوان 8 Char"/>
    <w:basedOn w:val="a0"/>
    <w:link w:val="8"/>
    <w:rsid w:val="00777DCB"/>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rsid w:val="00777DCB"/>
    <w:rPr>
      <w:rFonts w:ascii="Times New Roman" w:eastAsia="Times New Roman" w:hAnsi="Times New Roman" w:cs="Traditional Arabic"/>
      <w:b/>
      <w:bCs/>
      <w:kern w:val="0"/>
      <w:sz w:val="24"/>
      <w:szCs w:val="32"/>
      <w:lang w:eastAsia="ar-SA"/>
    </w:rPr>
  </w:style>
  <w:style w:type="paragraph" w:customStyle="1" w:styleId="10">
    <w:name w:val="عادي1"/>
    <w:basedOn w:val="a"/>
    <w:rsid w:val="00777DCB"/>
    <w:pPr>
      <w:spacing w:after="200" w:line="276" w:lineRule="auto"/>
      <w:jc w:val="left"/>
    </w:pPr>
    <w:rPr>
      <w:rFonts w:ascii="Traditional Arabic" w:hAnsi="Traditional Arabic" w:cs="Traditional Arabic"/>
      <w:b/>
      <w:kern w:val="0"/>
      <w:sz w:val="32"/>
      <w:szCs w:val="32"/>
    </w:rPr>
  </w:style>
  <w:style w:type="paragraph" w:styleId="a4">
    <w:name w:val="footnote text"/>
    <w:basedOn w:val="a"/>
    <w:link w:val="Char0"/>
    <w:unhideWhenUsed/>
    <w:rsid w:val="00777DCB"/>
    <w:pPr>
      <w:bidi w:val="0"/>
      <w:spacing w:before="100" w:beforeAutospacing="1" w:after="100" w:afterAutospacing="1" w:line="240" w:lineRule="auto"/>
      <w:jc w:val="left"/>
    </w:pPr>
    <w:rPr>
      <w:rFonts w:ascii="Times New Roman" w:eastAsia="Times New Roman" w:hAnsi="Times New Roman" w:cs="Times New Roman"/>
      <w:kern w:val="0"/>
      <w:sz w:val="24"/>
      <w:szCs w:val="24"/>
      <w:lang w:bidi="ar-QA"/>
    </w:rPr>
  </w:style>
  <w:style w:type="character" w:customStyle="1" w:styleId="Char0">
    <w:name w:val="نص حاشية سفلية Char"/>
    <w:basedOn w:val="a0"/>
    <w:link w:val="a4"/>
    <w:rsid w:val="00777DCB"/>
    <w:rPr>
      <w:rFonts w:ascii="Times New Roman" w:eastAsia="Times New Roman" w:hAnsi="Times New Roman" w:cs="Times New Roman"/>
      <w:kern w:val="0"/>
      <w:sz w:val="24"/>
      <w:szCs w:val="24"/>
      <w:lang w:bidi="ar-QA"/>
    </w:rPr>
  </w:style>
  <w:style w:type="character" w:customStyle="1" w:styleId="hd2">
    <w:name w:val="hd2"/>
    <w:basedOn w:val="a0"/>
    <w:rsid w:val="00777DCB"/>
    <w:rPr>
      <w:rFonts w:ascii="Traditional Arabic" w:hAnsi="Traditional Arabic" w:cs="Traditional Arabic" w:hint="default"/>
      <w:color w:val="003300"/>
      <w:sz w:val="32"/>
      <w:szCs w:val="32"/>
    </w:rPr>
  </w:style>
  <w:style w:type="character" w:customStyle="1" w:styleId="hd11">
    <w:name w:val="hd11"/>
    <w:basedOn w:val="a0"/>
    <w:rsid w:val="00777DCB"/>
    <w:rPr>
      <w:rFonts w:ascii="Traditional Arabic" w:hAnsi="Traditional Arabic" w:cs="Traditional Arabic" w:hint="default"/>
      <w:color w:val="FF0000"/>
      <w:sz w:val="32"/>
      <w:szCs w:val="32"/>
    </w:rPr>
  </w:style>
  <w:style w:type="character" w:customStyle="1" w:styleId="hd4">
    <w:name w:val="hd4"/>
    <w:basedOn w:val="a0"/>
    <w:rsid w:val="00777DCB"/>
    <w:rPr>
      <w:rFonts w:ascii="Traditional Arabic" w:hAnsi="Traditional Arabic" w:cs="Traditional Arabic" w:hint="default"/>
      <w:color w:val="FF0000"/>
      <w:sz w:val="32"/>
      <w:szCs w:val="32"/>
    </w:rPr>
  </w:style>
  <w:style w:type="character" w:styleId="a5">
    <w:name w:val="footnote reference"/>
    <w:basedOn w:val="a0"/>
    <w:semiHidden/>
    <w:unhideWhenUsed/>
    <w:rsid w:val="00777DCB"/>
    <w:rPr>
      <w:vertAlign w:val="superscript"/>
    </w:rPr>
  </w:style>
  <w:style w:type="character" w:customStyle="1" w:styleId="Char1">
    <w:name w:val="رأس الصفحة Char"/>
    <w:basedOn w:val="a0"/>
    <w:link w:val="a6"/>
    <w:rsid w:val="00777DCB"/>
    <w:rPr>
      <w:rFonts w:ascii="Times New Roman" w:eastAsia="Times New Roman" w:hAnsi="Times New Roman"/>
      <w:b/>
      <w:sz w:val="20"/>
      <w:szCs w:val="24"/>
    </w:rPr>
  </w:style>
  <w:style w:type="paragraph" w:styleId="a6">
    <w:name w:val="header"/>
    <w:basedOn w:val="a"/>
    <w:link w:val="Char1"/>
    <w:unhideWhenUsed/>
    <w:rsid w:val="00777DCB"/>
    <w:pPr>
      <w:tabs>
        <w:tab w:val="center" w:pos="4153"/>
        <w:tab w:val="right" w:pos="8306"/>
      </w:tabs>
      <w:spacing w:after="0" w:line="240" w:lineRule="auto"/>
      <w:jc w:val="left"/>
    </w:pPr>
    <w:rPr>
      <w:rFonts w:ascii="Times New Roman" w:eastAsia="Times New Roman" w:hAnsi="Times New Roman"/>
      <w:b/>
      <w:sz w:val="20"/>
      <w:szCs w:val="24"/>
    </w:rPr>
  </w:style>
  <w:style w:type="character" w:customStyle="1" w:styleId="Char10">
    <w:name w:val="رأس الصفحة Char1"/>
    <w:basedOn w:val="a0"/>
    <w:uiPriority w:val="99"/>
    <w:semiHidden/>
    <w:rsid w:val="00777DCB"/>
  </w:style>
  <w:style w:type="character" w:customStyle="1" w:styleId="Char2">
    <w:name w:val="تذييل الصفحة Char"/>
    <w:basedOn w:val="a0"/>
    <w:link w:val="a7"/>
    <w:uiPriority w:val="99"/>
    <w:rsid w:val="00777DCB"/>
    <w:rPr>
      <w:rFonts w:ascii="Times New Roman" w:eastAsia="Times New Roman" w:hAnsi="Times New Roman"/>
      <w:b/>
      <w:sz w:val="20"/>
      <w:szCs w:val="24"/>
    </w:rPr>
  </w:style>
  <w:style w:type="paragraph" w:styleId="a7">
    <w:name w:val="footer"/>
    <w:basedOn w:val="a"/>
    <w:link w:val="Char2"/>
    <w:uiPriority w:val="99"/>
    <w:unhideWhenUsed/>
    <w:rsid w:val="00777DCB"/>
    <w:pPr>
      <w:tabs>
        <w:tab w:val="center" w:pos="4153"/>
        <w:tab w:val="right" w:pos="8306"/>
      </w:tabs>
      <w:spacing w:after="0" w:line="240" w:lineRule="auto"/>
      <w:jc w:val="left"/>
    </w:pPr>
    <w:rPr>
      <w:rFonts w:ascii="Times New Roman" w:eastAsia="Times New Roman" w:hAnsi="Times New Roman"/>
      <w:b/>
      <w:sz w:val="20"/>
      <w:szCs w:val="24"/>
    </w:rPr>
  </w:style>
  <w:style w:type="character" w:customStyle="1" w:styleId="Char11">
    <w:name w:val="تذييل الصفحة Char1"/>
    <w:basedOn w:val="a0"/>
    <w:uiPriority w:val="99"/>
    <w:semiHidden/>
    <w:rsid w:val="00777DCB"/>
  </w:style>
  <w:style w:type="character" w:customStyle="1" w:styleId="Char3">
    <w:name w:val="العنوان Char"/>
    <w:basedOn w:val="a0"/>
    <w:link w:val="a8"/>
    <w:rsid w:val="00777DCB"/>
    <w:rPr>
      <w:rFonts w:ascii="Times New Roman" w:eastAsia="Times New Roman" w:hAnsi="Times New Roman" w:cs="MCS Andalos E_U 3D."/>
      <w:bCs/>
      <w:sz w:val="20"/>
      <w:szCs w:val="36"/>
    </w:rPr>
  </w:style>
  <w:style w:type="paragraph" w:styleId="a8">
    <w:name w:val="Title"/>
    <w:basedOn w:val="a"/>
    <w:link w:val="Char3"/>
    <w:qFormat/>
    <w:rsid w:val="00777DCB"/>
    <w:pPr>
      <w:widowControl w:val="0"/>
      <w:spacing w:after="0" w:line="240" w:lineRule="auto"/>
      <w:jc w:val="center"/>
    </w:pPr>
    <w:rPr>
      <w:rFonts w:ascii="Times New Roman" w:eastAsia="Times New Roman" w:hAnsi="Times New Roman" w:cs="MCS Andalos E_U 3D."/>
      <w:bCs/>
      <w:sz w:val="20"/>
      <w:szCs w:val="36"/>
    </w:rPr>
  </w:style>
  <w:style w:type="character" w:customStyle="1" w:styleId="Char12">
    <w:name w:val="العنوان Char1"/>
    <w:basedOn w:val="a0"/>
    <w:uiPriority w:val="10"/>
    <w:rsid w:val="00777DCB"/>
    <w:rPr>
      <w:rFonts w:asciiTheme="majorHAnsi" w:eastAsiaTheme="majorEastAsia" w:hAnsiTheme="majorHAnsi" w:cstheme="majorBidi"/>
      <w:spacing w:val="-10"/>
      <w:kern w:val="28"/>
      <w:sz w:val="56"/>
      <w:szCs w:val="56"/>
    </w:rPr>
  </w:style>
  <w:style w:type="character" w:customStyle="1" w:styleId="Char4">
    <w:name w:val="نص أساسي بمسافة بادئة Char"/>
    <w:basedOn w:val="a0"/>
    <w:link w:val="a9"/>
    <w:semiHidden/>
    <w:rsid w:val="00777DCB"/>
    <w:rPr>
      <w:rFonts w:ascii="Times New Roman" w:eastAsia="Times New Roman" w:hAnsi="Times New Roman"/>
      <w:b/>
      <w:sz w:val="20"/>
      <w:szCs w:val="36"/>
    </w:rPr>
  </w:style>
  <w:style w:type="paragraph" w:styleId="a9">
    <w:name w:val="Body Text Indent"/>
    <w:basedOn w:val="a"/>
    <w:link w:val="Char4"/>
    <w:semiHidden/>
    <w:unhideWhenUsed/>
    <w:rsid w:val="00777DCB"/>
    <w:pPr>
      <w:widowControl w:val="0"/>
      <w:spacing w:after="0" w:line="240" w:lineRule="auto"/>
      <w:ind w:firstLine="423"/>
      <w:jc w:val="lowKashida"/>
    </w:pPr>
    <w:rPr>
      <w:rFonts w:ascii="Times New Roman" w:eastAsia="Times New Roman" w:hAnsi="Times New Roman"/>
      <w:b/>
      <w:sz w:val="20"/>
      <w:szCs w:val="36"/>
    </w:rPr>
  </w:style>
  <w:style w:type="character" w:customStyle="1" w:styleId="Char13">
    <w:name w:val="نص أساسي بمسافة بادئة Char1"/>
    <w:basedOn w:val="a0"/>
    <w:uiPriority w:val="99"/>
    <w:semiHidden/>
    <w:rsid w:val="00777DCB"/>
  </w:style>
  <w:style w:type="character" w:customStyle="1" w:styleId="2Char0">
    <w:name w:val="نص أساسي بمسافة بادئة 2 Char"/>
    <w:basedOn w:val="a0"/>
    <w:link w:val="20"/>
    <w:semiHidden/>
    <w:rsid w:val="00777DCB"/>
    <w:rPr>
      <w:rFonts w:ascii="Times New Roman" w:eastAsia="Times New Roman" w:hAnsi="Times New Roman"/>
      <w:b/>
      <w:sz w:val="20"/>
      <w:szCs w:val="36"/>
    </w:rPr>
  </w:style>
  <w:style w:type="paragraph" w:styleId="20">
    <w:name w:val="Body Text Indent 2"/>
    <w:basedOn w:val="a"/>
    <w:link w:val="2Char0"/>
    <w:semiHidden/>
    <w:unhideWhenUsed/>
    <w:rsid w:val="00777DCB"/>
    <w:pPr>
      <w:spacing w:after="120" w:line="480" w:lineRule="auto"/>
      <w:ind w:left="283"/>
      <w:jc w:val="left"/>
    </w:pPr>
    <w:rPr>
      <w:rFonts w:ascii="Times New Roman" w:eastAsia="Times New Roman" w:hAnsi="Times New Roman"/>
      <w:b/>
      <w:sz w:val="20"/>
      <w:szCs w:val="36"/>
    </w:rPr>
  </w:style>
  <w:style w:type="character" w:customStyle="1" w:styleId="2Char1">
    <w:name w:val="نص أساسي بمسافة بادئة 2 Char1"/>
    <w:basedOn w:val="a0"/>
    <w:uiPriority w:val="99"/>
    <w:semiHidden/>
    <w:rsid w:val="00777DCB"/>
  </w:style>
  <w:style w:type="paragraph" w:styleId="21">
    <w:name w:val="Body Text 2"/>
    <w:basedOn w:val="a"/>
    <w:link w:val="2Char2"/>
    <w:uiPriority w:val="99"/>
    <w:unhideWhenUsed/>
    <w:rsid w:val="00777DCB"/>
    <w:pPr>
      <w:spacing w:after="120" w:line="480" w:lineRule="auto"/>
      <w:jc w:val="left"/>
    </w:pPr>
    <w:rPr>
      <w:rFonts w:ascii="Times New Roman" w:eastAsia="Times New Roman" w:hAnsi="Times New Roman" w:cs="Traditional Arabic"/>
      <w:kern w:val="0"/>
      <w:sz w:val="20"/>
      <w:szCs w:val="36"/>
    </w:rPr>
  </w:style>
  <w:style w:type="character" w:customStyle="1" w:styleId="2Char2">
    <w:name w:val="نص أساسي 2 Char"/>
    <w:basedOn w:val="a0"/>
    <w:link w:val="21"/>
    <w:uiPriority w:val="99"/>
    <w:rsid w:val="00777DCB"/>
    <w:rPr>
      <w:rFonts w:ascii="Times New Roman" w:eastAsia="Times New Roman" w:hAnsi="Times New Roman" w:cs="Traditional Arabic"/>
      <w:kern w:val="0"/>
      <w:sz w:val="20"/>
      <w:szCs w:val="36"/>
    </w:rPr>
  </w:style>
  <w:style w:type="character" w:styleId="Hyperlink">
    <w:name w:val="Hyperlink"/>
    <w:basedOn w:val="a0"/>
    <w:semiHidden/>
    <w:unhideWhenUsed/>
    <w:rsid w:val="00777DCB"/>
    <w:rPr>
      <w:color w:val="0563C1" w:themeColor="hyperlink"/>
      <w:u w:val="single"/>
    </w:rPr>
  </w:style>
  <w:style w:type="character" w:customStyle="1" w:styleId="HTMLChar">
    <w:name w:val="عنوان HTML Char"/>
    <w:basedOn w:val="a0"/>
    <w:link w:val="HTML"/>
    <w:uiPriority w:val="99"/>
    <w:semiHidden/>
    <w:rsid w:val="00777DCB"/>
    <w:rPr>
      <w:rFonts w:ascii="Times New Roman" w:eastAsia="Times New Roman" w:hAnsi="Times New Roman" w:cs="Times New Roman"/>
      <w:b/>
      <w:i/>
      <w:iCs/>
      <w:color w:val="000000"/>
      <w:sz w:val="24"/>
      <w:szCs w:val="24"/>
    </w:rPr>
  </w:style>
  <w:style w:type="paragraph" w:styleId="HTML">
    <w:name w:val="HTML Address"/>
    <w:basedOn w:val="a"/>
    <w:link w:val="HTMLChar"/>
    <w:uiPriority w:val="99"/>
    <w:semiHidden/>
    <w:unhideWhenUsed/>
    <w:rsid w:val="00777DCB"/>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
    <w:name w:val="عنوان HTML Char1"/>
    <w:basedOn w:val="a0"/>
    <w:uiPriority w:val="99"/>
    <w:semiHidden/>
    <w:rsid w:val="00777DCB"/>
    <w:rPr>
      <w:i/>
      <w:iCs/>
    </w:rPr>
  </w:style>
  <w:style w:type="paragraph" w:styleId="Index1">
    <w:name w:val="index 1"/>
    <w:basedOn w:val="a"/>
    <w:next w:val="10"/>
    <w:autoRedefine/>
    <w:semiHidden/>
    <w:unhideWhenUsed/>
    <w:rsid w:val="00777DCB"/>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2">
    <w:name w:val="toc 1"/>
    <w:basedOn w:val="a"/>
    <w:next w:val="10"/>
    <w:autoRedefine/>
    <w:semiHidden/>
    <w:unhideWhenUsed/>
    <w:rsid w:val="00777DCB"/>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Char5">
    <w:name w:val="نص تعليق ختامي Char"/>
    <w:basedOn w:val="a0"/>
    <w:link w:val="aa"/>
    <w:uiPriority w:val="99"/>
    <w:semiHidden/>
    <w:rsid w:val="00777DCB"/>
    <w:rPr>
      <w:rFonts w:ascii="Times New Roman" w:eastAsia="Times New Roman" w:hAnsi="Times New Roman"/>
      <w:b/>
      <w:noProof/>
      <w:sz w:val="20"/>
      <w:szCs w:val="20"/>
      <w:lang w:eastAsia="ar-SA"/>
    </w:rPr>
  </w:style>
  <w:style w:type="paragraph" w:styleId="aa">
    <w:name w:val="endnote text"/>
    <w:basedOn w:val="a"/>
    <w:link w:val="Char5"/>
    <w:uiPriority w:val="99"/>
    <w:semiHidden/>
    <w:unhideWhenUsed/>
    <w:rsid w:val="00777DCB"/>
    <w:pPr>
      <w:spacing w:after="0" w:line="240" w:lineRule="auto"/>
      <w:jc w:val="left"/>
    </w:pPr>
    <w:rPr>
      <w:rFonts w:ascii="Times New Roman" w:eastAsia="Times New Roman" w:hAnsi="Times New Roman"/>
      <w:b/>
      <w:noProof/>
      <w:sz w:val="20"/>
      <w:szCs w:val="20"/>
      <w:lang w:eastAsia="ar-SA"/>
    </w:rPr>
  </w:style>
  <w:style w:type="character" w:customStyle="1" w:styleId="Char14">
    <w:name w:val="نص تعليق ختامي Char1"/>
    <w:basedOn w:val="a0"/>
    <w:uiPriority w:val="99"/>
    <w:semiHidden/>
    <w:rsid w:val="00777DCB"/>
    <w:rPr>
      <w:sz w:val="20"/>
      <w:szCs w:val="20"/>
    </w:rPr>
  </w:style>
  <w:style w:type="paragraph" w:styleId="ab">
    <w:name w:val="Body Text"/>
    <w:basedOn w:val="a"/>
    <w:link w:val="Char6"/>
    <w:semiHidden/>
    <w:unhideWhenUsed/>
    <w:rsid w:val="00777DCB"/>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6">
    <w:name w:val="نص أساسي Char"/>
    <w:basedOn w:val="a0"/>
    <w:link w:val="ab"/>
    <w:semiHidden/>
    <w:rsid w:val="00777DCB"/>
    <w:rPr>
      <w:rFonts w:ascii="Times New Roman" w:eastAsia="Times New Roman" w:hAnsi="Times New Roman" w:cs="Traditional Arabic"/>
      <w:kern w:val="0"/>
      <w:sz w:val="20"/>
      <w:szCs w:val="32"/>
      <w:lang w:eastAsia="ar-SA"/>
    </w:rPr>
  </w:style>
  <w:style w:type="paragraph" w:styleId="ac">
    <w:name w:val="Subtitle"/>
    <w:basedOn w:val="a"/>
    <w:link w:val="Char7"/>
    <w:uiPriority w:val="99"/>
    <w:qFormat/>
    <w:rsid w:val="00777DCB"/>
    <w:pPr>
      <w:spacing w:after="0" w:line="240" w:lineRule="auto"/>
      <w:ind w:left="-1752" w:right="-283"/>
      <w:jc w:val="center"/>
    </w:pPr>
    <w:rPr>
      <w:rFonts w:ascii="Times New Roman" w:eastAsia="Times New Roman" w:hAnsi="Times New Roman" w:cs="DecoType Thuluth"/>
      <w:noProof/>
      <w:kern w:val="0"/>
      <w:szCs w:val="44"/>
      <w:lang w:eastAsia="ar-SA"/>
    </w:rPr>
  </w:style>
  <w:style w:type="character" w:customStyle="1" w:styleId="Char7">
    <w:name w:val="عنوان فرعي Char"/>
    <w:basedOn w:val="a0"/>
    <w:link w:val="ac"/>
    <w:uiPriority w:val="99"/>
    <w:rsid w:val="00777DCB"/>
    <w:rPr>
      <w:rFonts w:ascii="Times New Roman" w:eastAsia="Times New Roman" w:hAnsi="Times New Roman" w:cs="DecoType Thuluth"/>
      <w:noProof/>
      <w:kern w:val="0"/>
      <w:szCs w:val="44"/>
      <w:lang w:eastAsia="ar-SA"/>
    </w:rPr>
  </w:style>
  <w:style w:type="character" w:customStyle="1" w:styleId="3Char0">
    <w:name w:val="نص أساسي 3 Char"/>
    <w:basedOn w:val="a0"/>
    <w:link w:val="30"/>
    <w:uiPriority w:val="99"/>
    <w:semiHidden/>
    <w:rsid w:val="00777DCB"/>
    <w:rPr>
      <w:b/>
      <w:sz w:val="16"/>
      <w:szCs w:val="16"/>
    </w:rPr>
  </w:style>
  <w:style w:type="paragraph" w:styleId="30">
    <w:name w:val="Body Text 3"/>
    <w:basedOn w:val="a"/>
    <w:link w:val="3Char0"/>
    <w:uiPriority w:val="99"/>
    <w:semiHidden/>
    <w:unhideWhenUsed/>
    <w:rsid w:val="00777DCB"/>
    <w:pPr>
      <w:spacing w:after="120" w:line="276" w:lineRule="auto"/>
      <w:jc w:val="left"/>
    </w:pPr>
    <w:rPr>
      <w:b/>
      <w:sz w:val="16"/>
      <w:szCs w:val="16"/>
    </w:rPr>
  </w:style>
  <w:style w:type="character" w:customStyle="1" w:styleId="3Char1">
    <w:name w:val="نص أساسي 3 Char1"/>
    <w:basedOn w:val="a0"/>
    <w:uiPriority w:val="99"/>
    <w:semiHidden/>
    <w:rsid w:val="00777DCB"/>
    <w:rPr>
      <w:sz w:val="16"/>
      <w:szCs w:val="16"/>
    </w:rPr>
  </w:style>
  <w:style w:type="character" w:customStyle="1" w:styleId="Char8">
    <w:name w:val="نص في بالون Char"/>
    <w:basedOn w:val="a0"/>
    <w:link w:val="ad"/>
    <w:uiPriority w:val="99"/>
    <w:semiHidden/>
    <w:rsid w:val="00777DCB"/>
    <w:rPr>
      <w:rFonts w:ascii="Tahoma" w:eastAsia="Times New Roman" w:hAnsi="Tahoma" w:cs="Tahoma"/>
      <w:b/>
      <w:sz w:val="16"/>
      <w:szCs w:val="16"/>
    </w:rPr>
  </w:style>
  <w:style w:type="paragraph" w:styleId="ad">
    <w:name w:val="Balloon Text"/>
    <w:basedOn w:val="a"/>
    <w:link w:val="Char8"/>
    <w:uiPriority w:val="99"/>
    <w:semiHidden/>
    <w:unhideWhenUsed/>
    <w:rsid w:val="00777DCB"/>
    <w:pPr>
      <w:bidi w:val="0"/>
      <w:spacing w:after="0" w:line="240" w:lineRule="auto"/>
      <w:jc w:val="left"/>
    </w:pPr>
    <w:rPr>
      <w:rFonts w:ascii="Tahoma" w:eastAsia="Times New Roman" w:hAnsi="Tahoma" w:cs="Tahoma"/>
      <w:b/>
      <w:sz w:val="16"/>
      <w:szCs w:val="16"/>
    </w:rPr>
  </w:style>
  <w:style w:type="character" w:customStyle="1" w:styleId="Char15">
    <w:name w:val="نص في بالون Char1"/>
    <w:basedOn w:val="a0"/>
    <w:uiPriority w:val="99"/>
    <w:semiHidden/>
    <w:rsid w:val="00777DCB"/>
    <w:rPr>
      <w:rFonts w:ascii="Tahoma" w:hAnsi="Tahoma" w:cs="Tahoma"/>
      <w:sz w:val="18"/>
      <w:szCs w:val="18"/>
    </w:rPr>
  </w:style>
  <w:style w:type="paragraph" w:styleId="ae">
    <w:name w:val="List Paragraph"/>
    <w:basedOn w:val="a"/>
    <w:uiPriority w:val="34"/>
    <w:qFormat/>
    <w:rsid w:val="00777DCB"/>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3"/>
    <w:semiHidden/>
    <w:locked/>
    <w:rsid w:val="00777DCB"/>
    <w:rPr>
      <w:b/>
      <w:bCs/>
      <w:color w:val="FF0000"/>
      <w:sz w:val="40"/>
      <w:szCs w:val="40"/>
    </w:rPr>
  </w:style>
  <w:style w:type="paragraph" w:customStyle="1" w:styleId="13">
    <w:name w:val="1"/>
    <w:basedOn w:val="a"/>
    <w:link w:val="1Char1"/>
    <w:semiHidden/>
    <w:rsid w:val="00777DCB"/>
    <w:pPr>
      <w:widowControl w:val="0"/>
      <w:spacing w:after="0" w:line="240" w:lineRule="auto"/>
      <w:jc w:val="center"/>
    </w:pPr>
    <w:rPr>
      <w:b/>
      <w:bCs/>
      <w:color w:val="FF0000"/>
      <w:sz w:val="40"/>
      <w:szCs w:val="40"/>
    </w:rPr>
  </w:style>
  <w:style w:type="paragraph" w:customStyle="1" w:styleId="110">
    <w:name w:val="عنوان 11"/>
    <w:basedOn w:val="a"/>
    <w:link w:val="Heading1Char"/>
    <w:rsid w:val="00777DCB"/>
    <w:pPr>
      <w:spacing w:after="200" w:line="276" w:lineRule="auto"/>
      <w:jc w:val="left"/>
    </w:pPr>
    <w:rPr>
      <w:rFonts w:ascii="Traditional Arabic" w:hAnsi="Traditional Arabic" w:cs="Traditional Arabic"/>
      <w:b/>
      <w:kern w:val="0"/>
      <w:sz w:val="32"/>
      <w:szCs w:val="32"/>
    </w:rPr>
  </w:style>
  <w:style w:type="character" w:customStyle="1" w:styleId="Heading1Char">
    <w:name w:val="Heading 1 Char"/>
    <w:basedOn w:val="a0"/>
    <w:link w:val="110"/>
    <w:locked/>
    <w:rsid w:val="00777DCB"/>
    <w:rPr>
      <w:rFonts w:ascii="Traditional Arabic" w:hAnsi="Traditional Arabic" w:cs="Traditional Arabic"/>
      <w:b/>
      <w:kern w:val="0"/>
      <w:sz w:val="32"/>
      <w:szCs w:val="32"/>
    </w:rPr>
  </w:style>
  <w:style w:type="paragraph" w:customStyle="1" w:styleId="210">
    <w:name w:val="عنوان 21"/>
    <w:basedOn w:val="a"/>
    <w:link w:val="Heading2Char"/>
    <w:rsid w:val="00777DCB"/>
    <w:pPr>
      <w:spacing w:after="200" w:line="276" w:lineRule="auto"/>
      <w:jc w:val="left"/>
    </w:pPr>
    <w:rPr>
      <w:rFonts w:ascii="Traditional Arabic" w:hAnsi="Traditional Arabic" w:cs="Traditional Arabic"/>
      <w:b/>
      <w:kern w:val="0"/>
      <w:sz w:val="32"/>
      <w:szCs w:val="32"/>
    </w:rPr>
  </w:style>
  <w:style w:type="character" w:customStyle="1" w:styleId="Heading2Char">
    <w:name w:val="Heading 2 Char"/>
    <w:basedOn w:val="a0"/>
    <w:link w:val="210"/>
    <w:locked/>
    <w:rsid w:val="00777DCB"/>
    <w:rPr>
      <w:rFonts w:ascii="Traditional Arabic" w:hAnsi="Traditional Arabic" w:cs="Traditional Arabic"/>
      <w:b/>
      <w:kern w:val="0"/>
      <w:sz w:val="32"/>
      <w:szCs w:val="32"/>
    </w:rPr>
  </w:style>
  <w:style w:type="paragraph" w:customStyle="1" w:styleId="31">
    <w:name w:val="عنوان 31"/>
    <w:basedOn w:val="a"/>
    <w:link w:val="Heading3Char"/>
    <w:rsid w:val="00777DCB"/>
    <w:pPr>
      <w:spacing w:after="200" w:line="276" w:lineRule="auto"/>
      <w:jc w:val="left"/>
    </w:pPr>
    <w:rPr>
      <w:rFonts w:ascii="Traditional Arabic" w:hAnsi="Traditional Arabic" w:cs="Traditional Arabic"/>
      <w:b/>
      <w:kern w:val="0"/>
      <w:sz w:val="32"/>
      <w:szCs w:val="32"/>
    </w:rPr>
  </w:style>
  <w:style w:type="character" w:customStyle="1" w:styleId="Heading3Char">
    <w:name w:val="Heading 3 Char"/>
    <w:basedOn w:val="a0"/>
    <w:link w:val="31"/>
    <w:locked/>
    <w:rsid w:val="00777DCB"/>
    <w:rPr>
      <w:rFonts w:ascii="Traditional Arabic" w:hAnsi="Traditional Arabic" w:cs="Traditional Arabic"/>
      <w:b/>
      <w:kern w:val="0"/>
      <w:sz w:val="32"/>
      <w:szCs w:val="32"/>
    </w:rPr>
  </w:style>
  <w:style w:type="paragraph" w:customStyle="1" w:styleId="41">
    <w:name w:val="عنوان 41"/>
    <w:basedOn w:val="a"/>
    <w:link w:val="Heading4Char"/>
    <w:rsid w:val="00777DCB"/>
    <w:pPr>
      <w:spacing w:after="200" w:line="276" w:lineRule="auto"/>
      <w:jc w:val="left"/>
    </w:pPr>
    <w:rPr>
      <w:rFonts w:ascii="Traditional Arabic" w:hAnsi="Traditional Arabic" w:cs="Traditional Arabic"/>
      <w:b/>
      <w:kern w:val="0"/>
      <w:sz w:val="32"/>
      <w:szCs w:val="32"/>
    </w:rPr>
  </w:style>
  <w:style w:type="character" w:customStyle="1" w:styleId="Heading4Char">
    <w:name w:val="Heading 4 Char"/>
    <w:basedOn w:val="a0"/>
    <w:link w:val="41"/>
    <w:locked/>
    <w:rsid w:val="00777DCB"/>
    <w:rPr>
      <w:rFonts w:ascii="Traditional Arabic" w:hAnsi="Traditional Arabic" w:cs="Traditional Arabic"/>
      <w:b/>
      <w:kern w:val="0"/>
      <w:sz w:val="32"/>
      <w:szCs w:val="32"/>
    </w:rPr>
  </w:style>
  <w:style w:type="paragraph" w:customStyle="1" w:styleId="51">
    <w:name w:val="عنوان 51"/>
    <w:basedOn w:val="a"/>
    <w:link w:val="Heading5Char"/>
    <w:rsid w:val="00777DCB"/>
    <w:pPr>
      <w:spacing w:after="200" w:line="276" w:lineRule="auto"/>
      <w:jc w:val="left"/>
    </w:pPr>
    <w:rPr>
      <w:rFonts w:ascii="Traditional Arabic" w:hAnsi="Traditional Arabic" w:cs="Traditional Arabic"/>
      <w:b/>
      <w:kern w:val="0"/>
      <w:sz w:val="32"/>
      <w:szCs w:val="32"/>
    </w:rPr>
  </w:style>
  <w:style w:type="character" w:customStyle="1" w:styleId="Heading5Char">
    <w:name w:val="Heading 5 Char"/>
    <w:basedOn w:val="a0"/>
    <w:link w:val="51"/>
    <w:locked/>
    <w:rsid w:val="00777DCB"/>
    <w:rPr>
      <w:rFonts w:ascii="Traditional Arabic" w:hAnsi="Traditional Arabic" w:cs="Traditional Arabic"/>
      <w:b/>
      <w:kern w:val="0"/>
      <w:sz w:val="32"/>
      <w:szCs w:val="32"/>
    </w:rPr>
  </w:style>
  <w:style w:type="paragraph" w:customStyle="1" w:styleId="61">
    <w:name w:val="عنوان 61"/>
    <w:basedOn w:val="a"/>
    <w:link w:val="Heading6Char"/>
    <w:rsid w:val="00777DCB"/>
    <w:pPr>
      <w:spacing w:after="200" w:line="276" w:lineRule="auto"/>
      <w:jc w:val="left"/>
    </w:pPr>
    <w:rPr>
      <w:rFonts w:ascii="Traditional Arabic" w:hAnsi="Traditional Arabic" w:cs="Traditional Arabic"/>
      <w:b/>
      <w:kern w:val="0"/>
      <w:sz w:val="32"/>
      <w:szCs w:val="32"/>
    </w:rPr>
  </w:style>
  <w:style w:type="character" w:customStyle="1" w:styleId="Heading6Char">
    <w:name w:val="Heading 6 Char"/>
    <w:basedOn w:val="a0"/>
    <w:link w:val="61"/>
    <w:locked/>
    <w:rsid w:val="00777DCB"/>
    <w:rPr>
      <w:rFonts w:ascii="Traditional Arabic" w:hAnsi="Traditional Arabic" w:cs="Traditional Arabic"/>
      <w:b/>
      <w:kern w:val="0"/>
      <w:sz w:val="32"/>
      <w:szCs w:val="32"/>
    </w:rPr>
  </w:style>
  <w:style w:type="paragraph" w:customStyle="1" w:styleId="71">
    <w:name w:val="عنوان 71"/>
    <w:basedOn w:val="a"/>
    <w:link w:val="Heading7Char"/>
    <w:rsid w:val="00777DCB"/>
    <w:pPr>
      <w:spacing w:after="200" w:line="276" w:lineRule="auto"/>
      <w:jc w:val="left"/>
    </w:pPr>
    <w:rPr>
      <w:rFonts w:ascii="Traditional Arabic" w:hAnsi="Traditional Arabic" w:cs="Traditional Arabic"/>
      <w:b/>
      <w:kern w:val="0"/>
      <w:sz w:val="32"/>
      <w:szCs w:val="32"/>
    </w:rPr>
  </w:style>
  <w:style w:type="character" w:customStyle="1" w:styleId="Heading7Char">
    <w:name w:val="Heading 7 Char"/>
    <w:basedOn w:val="a0"/>
    <w:link w:val="71"/>
    <w:locked/>
    <w:rsid w:val="00777DCB"/>
    <w:rPr>
      <w:rFonts w:ascii="Traditional Arabic" w:hAnsi="Traditional Arabic" w:cs="Traditional Arabic"/>
      <w:b/>
      <w:kern w:val="0"/>
      <w:sz w:val="32"/>
      <w:szCs w:val="32"/>
    </w:rPr>
  </w:style>
  <w:style w:type="paragraph" w:customStyle="1" w:styleId="81">
    <w:name w:val="عنوان 81"/>
    <w:basedOn w:val="a"/>
    <w:link w:val="Heading8Char"/>
    <w:rsid w:val="00777DCB"/>
    <w:pPr>
      <w:spacing w:after="200" w:line="276" w:lineRule="auto"/>
      <w:jc w:val="left"/>
    </w:pPr>
    <w:rPr>
      <w:rFonts w:ascii="Traditional Arabic" w:hAnsi="Traditional Arabic" w:cs="Traditional Arabic"/>
      <w:b/>
      <w:kern w:val="0"/>
      <w:sz w:val="32"/>
      <w:szCs w:val="32"/>
    </w:rPr>
  </w:style>
  <w:style w:type="character" w:customStyle="1" w:styleId="Heading8Char">
    <w:name w:val="Heading 8 Char"/>
    <w:basedOn w:val="a0"/>
    <w:link w:val="81"/>
    <w:locked/>
    <w:rsid w:val="00777DCB"/>
    <w:rPr>
      <w:rFonts w:ascii="Traditional Arabic" w:hAnsi="Traditional Arabic" w:cs="Traditional Arabic"/>
      <w:b/>
      <w:kern w:val="0"/>
      <w:sz w:val="32"/>
      <w:szCs w:val="32"/>
    </w:rPr>
  </w:style>
  <w:style w:type="paragraph" w:customStyle="1" w:styleId="91">
    <w:name w:val="عنوان 91"/>
    <w:basedOn w:val="a"/>
    <w:link w:val="Heading9Char"/>
    <w:rsid w:val="00777DCB"/>
    <w:pPr>
      <w:spacing w:after="200" w:line="276" w:lineRule="auto"/>
      <w:jc w:val="left"/>
    </w:pPr>
    <w:rPr>
      <w:rFonts w:ascii="Traditional Arabic" w:hAnsi="Traditional Arabic" w:cs="Traditional Arabic"/>
      <w:b/>
      <w:kern w:val="0"/>
      <w:sz w:val="32"/>
      <w:szCs w:val="32"/>
    </w:rPr>
  </w:style>
  <w:style w:type="character" w:customStyle="1" w:styleId="Heading9Char">
    <w:name w:val="Heading 9 Char"/>
    <w:basedOn w:val="a0"/>
    <w:link w:val="91"/>
    <w:locked/>
    <w:rsid w:val="00777DCB"/>
    <w:rPr>
      <w:rFonts w:ascii="Traditional Arabic" w:hAnsi="Traditional Arabic" w:cs="Traditional Arabic"/>
      <w:b/>
      <w:kern w:val="0"/>
      <w:sz w:val="32"/>
      <w:szCs w:val="32"/>
    </w:rPr>
  </w:style>
  <w:style w:type="paragraph" w:customStyle="1" w:styleId="HTML1">
    <w:name w:val="عنوان HTML1"/>
    <w:basedOn w:val="a"/>
    <w:link w:val="HTMLAddressChar"/>
    <w:rsid w:val="00777DCB"/>
    <w:pPr>
      <w:spacing w:after="200" w:line="276" w:lineRule="auto"/>
      <w:jc w:val="left"/>
    </w:pPr>
    <w:rPr>
      <w:rFonts w:ascii="Traditional Arabic" w:hAnsi="Traditional Arabic" w:cs="Traditional Arabic"/>
      <w:b/>
      <w:kern w:val="0"/>
      <w:sz w:val="32"/>
      <w:szCs w:val="32"/>
    </w:rPr>
  </w:style>
  <w:style w:type="character" w:customStyle="1" w:styleId="HTMLAddressChar">
    <w:name w:val="HTML Address Char"/>
    <w:basedOn w:val="a0"/>
    <w:link w:val="HTML1"/>
    <w:locked/>
    <w:rsid w:val="00777DCB"/>
    <w:rPr>
      <w:rFonts w:ascii="Traditional Arabic" w:hAnsi="Traditional Arabic" w:cs="Traditional Arabic"/>
      <w:b/>
      <w:kern w:val="0"/>
      <w:sz w:val="32"/>
      <w:szCs w:val="32"/>
    </w:rPr>
  </w:style>
  <w:style w:type="paragraph" w:customStyle="1" w:styleId="14">
    <w:name w:val="نص حاشية سفلية1"/>
    <w:basedOn w:val="a"/>
    <w:link w:val="FootnoteTextChar"/>
    <w:rsid w:val="00777DCB"/>
    <w:pPr>
      <w:spacing w:after="200" w:line="276" w:lineRule="auto"/>
      <w:jc w:val="left"/>
    </w:pPr>
    <w:rPr>
      <w:rFonts w:ascii="Traditional Arabic" w:hAnsi="Traditional Arabic" w:cs="Traditional Arabic"/>
      <w:b/>
      <w:kern w:val="0"/>
      <w:sz w:val="32"/>
      <w:szCs w:val="32"/>
    </w:rPr>
  </w:style>
  <w:style w:type="character" w:customStyle="1" w:styleId="FootnoteTextChar">
    <w:name w:val="Footnote Text Char"/>
    <w:basedOn w:val="a0"/>
    <w:link w:val="14"/>
    <w:locked/>
    <w:rsid w:val="00777DCB"/>
    <w:rPr>
      <w:rFonts w:ascii="Traditional Arabic" w:hAnsi="Traditional Arabic" w:cs="Traditional Arabic"/>
      <w:b/>
      <w:kern w:val="0"/>
      <w:sz w:val="32"/>
      <w:szCs w:val="32"/>
    </w:rPr>
  </w:style>
  <w:style w:type="paragraph" w:customStyle="1" w:styleId="15">
    <w:name w:val="رأس الصفحة1"/>
    <w:basedOn w:val="a"/>
    <w:link w:val="HeaderChar"/>
    <w:rsid w:val="00777DCB"/>
    <w:pPr>
      <w:spacing w:after="200" w:line="276" w:lineRule="auto"/>
      <w:jc w:val="left"/>
    </w:pPr>
    <w:rPr>
      <w:rFonts w:ascii="Traditional Arabic" w:hAnsi="Traditional Arabic" w:cs="Traditional Arabic"/>
      <w:b/>
      <w:kern w:val="0"/>
      <w:sz w:val="32"/>
      <w:szCs w:val="32"/>
    </w:rPr>
  </w:style>
  <w:style w:type="character" w:customStyle="1" w:styleId="HeaderChar">
    <w:name w:val="Header Char"/>
    <w:basedOn w:val="a0"/>
    <w:link w:val="15"/>
    <w:locked/>
    <w:rsid w:val="00777DCB"/>
    <w:rPr>
      <w:rFonts w:ascii="Traditional Arabic" w:hAnsi="Traditional Arabic" w:cs="Traditional Arabic"/>
      <w:b/>
      <w:kern w:val="0"/>
      <w:sz w:val="32"/>
      <w:szCs w:val="32"/>
    </w:rPr>
  </w:style>
  <w:style w:type="paragraph" w:customStyle="1" w:styleId="16">
    <w:name w:val="تذييل الصفحة1"/>
    <w:basedOn w:val="a"/>
    <w:link w:val="FooterChar"/>
    <w:rsid w:val="00777DCB"/>
    <w:pPr>
      <w:spacing w:after="200" w:line="276" w:lineRule="auto"/>
      <w:jc w:val="left"/>
    </w:pPr>
    <w:rPr>
      <w:rFonts w:ascii="Traditional Arabic" w:hAnsi="Traditional Arabic" w:cs="Traditional Arabic"/>
      <w:b/>
      <w:kern w:val="0"/>
      <w:sz w:val="32"/>
      <w:szCs w:val="32"/>
    </w:rPr>
  </w:style>
  <w:style w:type="character" w:customStyle="1" w:styleId="FooterChar">
    <w:name w:val="Footer Char"/>
    <w:basedOn w:val="a0"/>
    <w:link w:val="16"/>
    <w:locked/>
    <w:rsid w:val="00777DCB"/>
    <w:rPr>
      <w:rFonts w:ascii="Traditional Arabic" w:hAnsi="Traditional Arabic" w:cs="Traditional Arabic"/>
      <w:b/>
      <w:kern w:val="0"/>
      <w:sz w:val="32"/>
      <w:szCs w:val="32"/>
    </w:rPr>
  </w:style>
  <w:style w:type="paragraph" w:customStyle="1" w:styleId="17">
    <w:name w:val="نص تعليق ختامي1"/>
    <w:basedOn w:val="a"/>
    <w:link w:val="EndnoteTextChar"/>
    <w:rsid w:val="00777DCB"/>
    <w:pPr>
      <w:spacing w:after="200" w:line="276" w:lineRule="auto"/>
      <w:jc w:val="left"/>
    </w:pPr>
    <w:rPr>
      <w:rFonts w:ascii="Traditional Arabic" w:hAnsi="Traditional Arabic" w:cs="Traditional Arabic"/>
      <w:b/>
      <w:kern w:val="0"/>
      <w:sz w:val="32"/>
      <w:szCs w:val="32"/>
    </w:rPr>
  </w:style>
  <w:style w:type="character" w:customStyle="1" w:styleId="EndnoteTextChar">
    <w:name w:val="Endnote Text Char"/>
    <w:basedOn w:val="a0"/>
    <w:link w:val="17"/>
    <w:locked/>
    <w:rsid w:val="00777DCB"/>
    <w:rPr>
      <w:rFonts w:ascii="Traditional Arabic" w:hAnsi="Traditional Arabic" w:cs="Traditional Arabic"/>
      <w:b/>
      <w:kern w:val="0"/>
      <w:sz w:val="32"/>
      <w:szCs w:val="32"/>
    </w:rPr>
  </w:style>
  <w:style w:type="paragraph" w:customStyle="1" w:styleId="18">
    <w:name w:val="العنوان1"/>
    <w:basedOn w:val="a"/>
    <w:link w:val="TitleChar"/>
    <w:rsid w:val="00777DCB"/>
    <w:pPr>
      <w:spacing w:after="200" w:line="276" w:lineRule="auto"/>
      <w:jc w:val="left"/>
    </w:pPr>
    <w:rPr>
      <w:rFonts w:ascii="Traditional Arabic" w:hAnsi="Traditional Arabic" w:cs="Traditional Arabic"/>
      <w:b/>
      <w:kern w:val="0"/>
      <w:sz w:val="32"/>
      <w:szCs w:val="32"/>
    </w:rPr>
  </w:style>
  <w:style w:type="character" w:customStyle="1" w:styleId="TitleChar">
    <w:name w:val="Title Char"/>
    <w:basedOn w:val="a0"/>
    <w:link w:val="18"/>
    <w:locked/>
    <w:rsid w:val="00777DCB"/>
    <w:rPr>
      <w:rFonts w:ascii="Traditional Arabic" w:hAnsi="Traditional Arabic" w:cs="Traditional Arabic"/>
      <w:b/>
      <w:kern w:val="0"/>
      <w:sz w:val="32"/>
      <w:szCs w:val="32"/>
    </w:rPr>
  </w:style>
  <w:style w:type="paragraph" w:customStyle="1" w:styleId="19">
    <w:name w:val="نص أساسي1"/>
    <w:basedOn w:val="a"/>
    <w:link w:val="BodyTextChar"/>
    <w:rsid w:val="00777DCB"/>
    <w:pPr>
      <w:spacing w:after="200" w:line="276" w:lineRule="auto"/>
      <w:jc w:val="left"/>
    </w:pPr>
    <w:rPr>
      <w:rFonts w:ascii="Traditional Arabic" w:hAnsi="Traditional Arabic" w:cs="Traditional Arabic"/>
      <w:b/>
      <w:kern w:val="0"/>
      <w:sz w:val="32"/>
      <w:szCs w:val="32"/>
    </w:rPr>
  </w:style>
  <w:style w:type="character" w:customStyle="1" w:styleId="BodyTextChar">
    <w:name w:val="Body Text Char"/>
    <w:basedOn w:val="a0"/>
    <w:link w:val="19"/>
    <w:locked/>
    <w:rsid w:val="00777DCB"/>
    <w:rPr>
      <w:rFonts w:ascii="Traditional Arabic" w:hAnsi="Traditional Arabic" w:cs="Traditional Arabic"/>
      <w:b/>
      <w:kern w:val="0"/>
      <w:sz w:val="32"/>
      <w:szCs w:val="32"/>
    </w:rPr>
  </w:style>
  <w:style w:type="paragraph" w:customStyle="1" w:styleId="1a">
    <w:name w:val="نص أساسي بمسافة بادئة1"/>
    <w:basedOn w:val="a"/>
    <w:link w:val="BodyTextIndentChar"/>
    <w:rsid w:val="00777DCB"/>
    <w:pPr>
      <w:spacing w:after="200" w:line="276" w:lineRule="auto"/>
      <w:jc w:val="left"/>
    </w:pPr>
    <w:rPr>
      <w:rFonts w:ascii="Traditional Arabic" w:hAnsi="Traditional Arabic" w:cs="Traditional Arabic"/>
      <w:b/>
      <w:kern w:val="0"/>
      <w:sz w:val="32"/>
      <w:szCs w:val="32"/>
    </w:rPr>
  </w:style>
  <w:style w:type="character" w:customStyle="1" w:styleId="BodyTextIndentChar">
    <w:name w:val="Body Text Indent Char"/>
    <w:basedOn w:val="a0"/>
    <w:link w:val="1a"/>
    <w:locked/>
    <w:rsid w:val="00777DCB"/>
    <w:rPr>
      <w:rFonts w:ascii="Traditional Arabic" w:hAnsi="Traditional Arabic" w:cs="Traditional Arabic"/>
      <w:b/>
      <w:kern w:val="0"/>
      <w:sz w:val="32"/>
      <w:szCs w:val="32"/>
    </w:rPr>
  </w:style>
  <w:style w:type="paragraph" w:customStyle="1" w:styleId="1b">
    <w:name w:val="عنوان فرعي1"/>
    <w:basedOn w:val="a"/>
    <w:link w:val="SubtitleChar"/>
    <w:rsid w:val="00777DCB"/>
    <w:pPr>
      <w:spacing w:after="200" w:line="276" w:lineRule="auto"/>
      <w:jc w:val="left"/>
    </w:pPr>
    <w:rPr>
      <w:rFonts w:ascii="Traditional Arabic" w:hAnsi="Traditional Arabic" w:cs="Traditional Arabic"/>
      <w:b/>
      <w:kern w:val="0"/>
      <w:sz w:val="32"/>
      <w:szCs w:val="32"/>
    </w:rPr>
  </w:style>
  <w:style w:type="character" w:customStyle="1" w:styleId="SubtitleChar">
    <w:name w:val="Subtitle Char"/>
    <w:basedOn w:val="a0"/>
    <w:link w:val="1b"/>
    <w:locked/>
    <w:rsid w:val="00777DCB"/>
    <w:rPr>
      <w:rFonts w:ascii="Traditional Arabic" w:hAnsi="Traditional Arabic" w:cs="Traditional Arabic"/>
      <w:b/>
      <w:kern w:val="0"/>
      <w:sz w:val="32"/>
      <w:szCs w:val="32"/>
    </w:rPr>
  </w:style>
  <w:style w:type="paragraph" w:customStyle="1" w:styleId="211">
    <w:name w:val="نص أساسي 21"/>
    <w:basedOn w:val="a"/>
    <w:link w:val="BodyText2Char"/>
    <w:rsid w:val="00777DCB"/>
    <w:pPr>
      <w:spacing w:after="200" w:line="276" w:lineRule="auto"/>
      <w:jc w:val="left"/>
    </w:pPr>
    <w:rPr>
      <w:rFonts w:ascii="Traditional Arabic" w:hAnsi="Traditional Arabic" w:cs="Traditional Arabic"/>
      <w:b/>
      <w:kern w:val="0"/>
      <w:sz w:val="32"/>
      <w:szCs w:val="32"/>
    </w:rPr>
  </w:style>
  <w:style w:type="character" w:customStyle="1" w:styleId="BodyText2Char">
    <w:name w:val="Body Text 2 Char"/>
    <w:basedOn w:val="a0"/>
    <w:link w:val="211"/>
    <w:locked/>
    <w:rsid w:val="00777DCB"/>
    <w:rPr>
      <w:rFonts w:ascii="Traditional Arabic" w:hAnsi="Traditional Arabic" w:cs="Traditional Arabic"/>
      <w:b/>
      <w:kern w:val="0"/>
      <w:sz w:val="32"/>
      <w:szCs w:val="32"/>
    </w:rPr>
  </w:style>
  <w:style w:type="paragraph" w:customStyle="1" w:styleId="310">
    <w:name w:val="نص أساسي 31"/>
    <w:basedOn w:val="a"/>
    <w:link w:val="BodyText3Char"/>
    <w:rsid w:val="00777DCB"/>
    <w:pPr>
      <w:spacing w:after="200" w:line="276" w:lineRule="auto"/>
      <w:jc w:val="left"/>
    </w:pPr>
    <w:rPr>
      <w:rFonts w:ascii="Traditional Arabic" w:hAnsi="Traditional Arabic" w:cs="Traditional Arabic"/>
      <w:b/>
      <w:kern w:val="0"/>
      <w:sz w:val="32"/>
      <w:szCs w:val="32"/>
    </w:rPr>
  </w:style>
  <w:style w:type="character" w:customStyle="1" w:styleId="BodyText3Char">
    <w:name w:val="Body Text 3 Char"/>
    <w:basedOn w:val="a0"/>
    <w:link w:val="310"/>
    <w:locked/>
    <w:rsid w:val="00777DCB"/>
    <w:rPr>
      <w:rFonts w:ascii="Traditional Arabic" w:hAnsi="Traditional Arabic" w:cs="Traditional Arabic"/>
      <w:b/>
      <w:kern w:val="0"/>
      <w:sz w:val="32"/>
      <w:szCs w:val="32"/>
    </w:rPr>
  </w:style>
  <w:style w:type="paragraph" w:customStyle="1" w:styleId="212">
    <w:name w:val="نص أساسي بمسافة بادئة 21"/>
    <w:basedOn w:val="a"/>
    <w:link w:val="BodyTextIndent2Char"/>
    <w:rsid w:val="00777DCB"/>
    <w:pPr>
      <w:spacing w:after="200" w:line="276" w:lineRule="auto"/>
      <w:jc w:val="left"/>
    </w:pPr>
    <w:rPr>
      <w:rFonts w:ascii="Traditional Arabic" w:hAnsi="Traditional Arabic" w:cs="Traditional Arabic"/>
      <w:b/>
      <w:kern w:val="0"/>
      <w:sz w:val="32"/>
      <w:szCs w:val="32"/>
    </w:rPr>
  </w:style>
  <w:style w:type="character" w:customStyle="1" w:styleId="BodyTextIndent2Char">
    <w:name w:val="Body Text Indent 2 Char"/>
    <w:basedOn w:val="a0"/>
    <w:link w:val="212"/>
    <w:locked/>
    <w:rsid w:val="00777DCB"/>
    <w:rPr>
      <w:rFonts w:ascii="Traditional Arabic" w:hAnsi="Traditional Arabic" w:cs="Traditional Arabic"/>
      <w:b/>
      <w:kern w:val="0"/>
      <w:sz w:val="32"/>
      <w:szCs w:val="32"/>
    </w:rPr>
  </w:style>
  <w:style w:type="paragraph" w:customStyle="1" w:styleId="1c">
    <w:name w:val="نص في بالون1"/>
    <w:basedOn w:val="a"/>
    <w:link w:val="BalloonTextChar"/>
    <w:rsid w:val="00777DCB"/>
    <w:pPr>
      <w:spacing w:after="200" w:line="276" w:lineRule="auto"/>
      <w:jc w:val="left"/>
    </w:pPr>
    <w:rPr>
      <w:rFonts w:ascii="Traditional Arabic" w:hAnsi="Traditional Arabic" w:cs="Traditional Arabic"/>
      <w:b/>
      <w:kern w:val="0"/>
      <w:sz w:val="32"/>
      <w:szCs w:val="32"/>
    </w:rPr>
  </w:style>
  <w:style w:type="character" w:customStyle="1" w:styleId="BalloonTextChar">
    <w:name w:val="Balloon Text Char"/>
    <w:basedOn w:val="a0"/>
    <w:link w:val="1c"/>
    <w:locked/>
    <w:rsid w:val="00777DCB"/>
    <w:rPr>
      <w:rFonts w:ascii="Traditional Arabic" w:hAnsi="Traditional Arabic" w:cs="Traditional Arabic"/>
      <w:b/>
      <w:kern w:val="0"/>
      <w:sz w:val="32"/>
      <w:szCs w:val="32"/>
    </w:rPr>
  </w:style>
  <w:style w:type="character" w:customStyle="1" w:styleId="apple-converted-space">
    <w:name w:val="apple-converted-space"/>
    <w:rsid w:val="00777DCB"/>
  </w:style>
  <w:style w:type="character" w:customStyle="1" w:styleId="script-arabic1">
    <w:name w:val="script-arabic1"/>
    <w:basedOn w:val="a0"/>
    <w:rsid w:val="00777DCB"/>
    <w:rPr>
      <w:rFonts w:ascii="Amiri" w:hAnsi="Amiri" w:hint="default"/>
    </w:rPr>
  </w:style>
  <w:style w:type="character" w:customStyle="1" w:styleId="aaya">
    <w:name w:val="aaya"/>
    <w:basedOn w:val="a0"/>
    <w:rsid w:val="00777DCB"/>
  </w:style>
  <w:style w:type="character" w:customStyle="1" w:styleId="sora">
    <w:name w:val="sora"/>
    <w:basedOn w:val="a0"/>
    <w:rsid w:val="00777DCB"/>
  </w:style>
  <w:style w:type="character" w:customStyle="1" w:styleId="hadith1">
    <w:name w:val="hadith1"/>
    <w:basedOn w:val="a0"/>
    <w:rsid w:val="00777DCB"/>
    <w:rPr>
      <w:rFonts w:ascii="Traditional Arabic" w:hAnsi="Traditional Arabic" w:cs="Traditional Arabic" w:hint="default"/>
      <w:b/>
      <w:bCs/>
      <w:sz w:val="30"/>
      <w:szCs w:val="30"/>
    </w:rPr>
  </w:style>
  <w:style w:type="character" w:customStyle="1" w:styleId="edit-title">
    <w:name w:val="edit-title"/>
    <w:basedOn w:val="a0"/>
    <w:rsid w:val="00777DCB"/>
  </w:style>
  <w:style w:type="character" w:customStyle="1" w:styleId="search-keys1">
    <w:name w:val="search-keys1"/>
    <w:basedOn w:val="a0"/>
    <w:rsid w:val="00777DCB"/>
    <w:rPr>
      <w:color w:val="FF0000"/>
    </w:rPr>
  </w:style>
  <w:style w:type="character" w:customStyle="1" w:styleId="rfdfootnote0char1">
    <w:name w:val="rfdfootnote0char1"/>
    <w:basedOn w:val="a0"/>
    <w:rsid w:val="00777DCB"/>
    <w:rPr>
      <w:sz w:val="19"/>
      <w:szCs w:val="19"/>
    </w:rPr>
  </w:style>
  <w:style w:type="character" w:customStyle="1" w:styleId="quran">
    <w:name w:val="quran"/>
    <w:basedOn w:val="a0"/>
    <w:rsid w:val="00777DCB"/>
  </w:style>
  <w:style w:type="character" w:customStyle="1" w:styleId="fn">
    <w:name w:val="fn"/>
    <w:basedOn w:val="a0"/>
    <w:rsid w:val="00777DCB"/>
  </w:style>
  <w:style w:type="character" w:customStyle="1" w:styleId="fnote">
    <w:name w:val="fnote"/>
    <w:basedOn w:val="a0"/>
    <w:rsid w:val="00777DCB"/>
  </w:style>
  <w:style w:type="character" w:customStyle="1" w:styleId="toctoggle">
    <w:name w:val="toctoggle"/>
    <w:basedOn w:val="a0"/>
    <w:rsid w:val="00777DCB"/>
  </w:style>
  <w:style w:type="character" w:customStyle="1" w:styleId="tocnumber">
    <w:name w:val="tocnumber"/>
    <w:basedOn w:val="a0"/>
    <w:rsid w:val="00777DCB"/>
  </w:style>
  <w:style w:type="character" w:customStyle="1" w:styleId="toctext">
    <w:name w:val="toctext"/>
    <w:basedOn w:val="a0"/>
    <w:rsid w:val="00777DCB"/>
  </w:style>
  <w:style w:type="character" w:customStyle="1" w:styleId="mw-headline">
    <w:name w:val="mw-headline"/>
    <w:basedOn w:val="a0"/>
    <w:rsid w:val="00777DCB"/>
  </w:style>
  <w:style w:type="character" w:customStyle="1" w:styleId="mw-editsection1">
    <w:name w:val="mw-editsection1"/>
    <w:basedOn w:val="a0"/>
    <w:rsid w:val="00777DCB"/>
  </w:style>
  <w:style w:type="character" w:customStyle="1" w:styleId="mw-editsection-bracket">
    <w:name w:val="mw-editsection-bracket"/>
    <w:basedOn w:val="a0"/>
    <w:rsid w:val="00777DCB"/>
  </w:style>
  <w:style w:type="character" w:customStyle="1" w:styleId="script-arabic">
    <w:name w:val="script-arabic"/>
    <w:basedOn w:val="a0"/>
    <w:rsid w:val="00777DCB"/>
  </w:style>
  <w:style w:type="character" w:customStyle="1" w:styleId="flagicon">
    <w:name w:val="flagicon"/>
    <w:basedOn w:val="a0"/>
    <w:rsid w:val="00777DCB"/>
  </w:style>
  <w:style w:type="character" w:customStyle="1" w:styleId="mw-cite-backlink">
    <w:name w:val="mw-cite-backlink"/>
    <w:basedOn w:val="a0"/>
    <w:rsid w:val="00777DCB"/>
  </w:style>
  <w:style w:type="character" w:customStyle="1" w:styleId="cite-accessibility-label1">
    <w:name w:val="cite-accessibility-label1"/>
    <w:basedOn w:val="a0"/>
    <w:rsid w:val="00777DCB"/>
    <w:rPr>
      <w:bdr w:val="none" w:sz="0" w:space="0" w:color="auto" w:frame="1"/>
    </w:rPr>
  </w:style>
  <w:style w:type="character" w:customStyle="1" w:styleId="reference-text">
    <w:name w:val="reference-text"/>
    <w:basedOn w:val="a0"/>
    <w:rsid w:val="00777DCB"/>
  </w:style>
  <w:style w:type="character" w:customStyle="1" w:styleId="postdetails1">
    <w:name w:val="postdetails1"/>
    <w:basedOn w:val="a0"/>
    <w:rsid w:val="00777DCB"/>
    <w:rPr>
      <w:color w:val="041FCF"/>
      <w:sz w:val="30"/>
      <w:szCs w:val="30"/>
    </w:rPr>
  </w:style>
  <w:style w:type="character" w:customStyle="1" w:styleId="Char16">
    <w:name w:val="عنوان فرعي Char1"/>
    <w:basedOn w:val="a0"/>
    <w:uiPriority w:val="11"/>
    <w:rsid w:val="00777DCB"/>
    <w:rPr>
      <w:rFonts w:asciiTheme="majorHAnsi" w:eastAsiaTheme="majorEastAsia" w:hAnsiTheme="majorHAnsi" w:cstheme="majorBidi" w:hint="default"/>
      <w:b/>
      <w:bCs w:val="0"/>
      <w:i/>
      <w:iCs/>
      <w:color w:val="4472C4" w:themeColor="accent1"/>
      <w:spacing w:val="15"/>
      <w:sz w:val="24"/>
      <w:szCs w:val="24"/>
    </w:rPr>
  </w:style>
  <w:style w:type="character" w:customStyle="1" w:styleId="SubtitleChar1">
    <w:name w:val="Subtitle Char1"/>
    <w:basedOn w:val="a0"/>
    <w:uiPriority w:val="11"/>
    <w:rsid w:val="00777DCB"/>
    <w:rPr>
      <w:rFonts w:asciiTheme="majorHAnsi" w:eastAsiaTheme="majorEastAsia" w:hAnsiTheme="majorHAnsi" w:cstheme="majorBidi" w:hint="default"/>
      <w:b/>
      <w:bCs w:val="0"/>
      <w:i/>
      <w:iCs/>
      <w:color w:val="4472C4" w:themeColor="accent1"/>
      <w:spacing w:val="15"/>
      <w:sz w:val="24"/>
      <w:szCs w:val="24"/>
    </w:rPr>
  </w:style>
  <w:style w:type="character" w:customStyle="1" w:styleId="breadcrambspan1">
    <w:name w:val="breadcrambspan1"/>
    <w:basedOn w:val="a0"/>
    <w:rsid w:val="00777DCB"/>
  </w:style>
  <w:style w:type="character" w:customStyle="1" w:styleId="st1">
    <w:name w:val="st1"/>
    <w:basedOn w:val="a0"/>
    <w:rsid w:val="00777DCB"/>
  </w:style>
  <w:style w:type="character" w:customStyle="1" w:styleId="af">
    <w:name w:val="بولد"/>
    <w:basedOn w:val="a0"/>
    <w:rsid w:val="00777DCB"/>
    <w:rPr>
      <w:rFonts w:cs="AF_Najed" w:hint="cs"/>
      <w:b/>
      <w:bCs w:val="0"/>
      <w:strike w:val="0"/>
      <w:dstrike w:val="0"/>
      <w:sz w:val="26"/>
      <w:szCs w:val="28"/>
      <w:u w:val="none"/>
      <w:effect w:val="none"/>
      <w:vertAlign w:val="baseline"/>
      <w:lang w:eastAsia="en-US"/>
    </w:rPr>
  </w:style>
  <w:style w:type="character" w:styleId="af0">
    <w:name w:val="Strong"/>
    <w:basedOn w:val="a0"/>
    <w:uiPriority w:val="22"/>
    <w:qFormat/>
    <w:rsid w:val="00777DCB"/>
    <w:rPr>
      <w:b/>
      <w:bCs/>
    </w:rPr>
  </w:style>
  <w:style w:type="character" w:styleId="af1">
    <w:name w:val="FollowedHyperlink"/>
    <w:basedOn w:val="a0"/>
    <w:semiHidden/>
    <w:unhideWhenUsed/>
    <w:rsid w:val="00777DCB"/>
    <w:rPr>
      <w:color w:val="800080"/>
      <w:u w:val="single"/>
    </w:rPr>
  </w:style>
  <w:style w:type="paragraph" w:styleId="af2">
    <w:name w:val="Normal (Web)"/>
    <w:basedOn w:val="a"/>
    <w:semiHidden/>
    <w:unhideWhenUsed/>
    <w:rsid w:val="00777DCB"/>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f3">
    <w:name w:val="table of figures"/>
    <w:basedOn w:val="a"/>
    <w:next w:val="a"/>
    <w:semiHidden/>
    <w:unhideWhenUsed/>
    <w:rsid w:val="00777DCB"/>
    <w:pPr>
      <w:spacing w:after="0" w:line="240" w:lineRule="auto"/>
      <w:ind w:left="480" w:hanging="480"/>
      <w:jc w:val="left"/>
    </w:pPr>
    <w:rPr>
      <w:rFonts w:ascii="Times New Roman" w:eastAsia="Times New Roman" w:hAnsi="Times New Roman" w:cs="Traditional Arabic"/>
      <w:kern w:val="0"/>
      <w:sz w:val="30"/>
      <w:szCs w:val="30"/>
      <w:lang w:eastAsia="ar-SA"/>
    </w:rPr>
  </w:style>
  <w:style w:type="paragraph" w:styleId="32">
    <w:name w:val="Body Text Indent 3"/>
    <w:basedOn w:val="a"/>
    <w:link w:val="3Char2"/>
    <w:semiHidden/>
    <w:unhideWhenUsed/>
    <w:rsid w:val="00777DCB"/>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2">
    <w:name w:val="نص أساسي بمسافة بادئة 3 Char"/>
    <w:basedOn w:val="a0"/>
    <w:link w:val="32"/>
    <w:semiHidden/>
    <w:rsid w:val="00777DCB"/>
    <w:rPr>
      <w:rFonts w:ascii="Times New Roman" w:eastAsia="Times New Roman" w:hAnsi="Times New Roman" w:cs="Traditional Arabic"/>
      <w:kern w:val="0"/>
      <w:sz w:val="24"/>
      <w:szCs w:val="36"/>
    </w:rPr>
  </w:style>
  <w:style w:type="paragraph" w:styleId="af4">
    <w:name w:val="Block Text"/>
    <w:basedOn w:val="a"/>
    <w:semiHidden/>
    <w:unhideWhenUsed/>
    <w:rsid w:val="00777DCB"/>
    <w:pPr>
      <w:widowControl w:val="0"/>
      <w:spacing w:after="0" w:line="240" w:lineRule="auto"/>
      <w:ind w:left="-1" w:firstLine="425"/>
      <w:jc w:val="lowKashida"/>
    </w:pPr>
    <w:rPr>
      <w:rFonts w:ascii="Times New Roman" w:eastAsia="Times New Roman" w:hAnsi="Times New Roman" w:cs="Traditional Arabic"/>
      <w:kern w:val="0"/>
      <w:sz w:val="24"/>
      <w:szCs w:val="36"/>
    </w:rPr>
  </w:style>
  <w:style w:type="paragraph" w:customStyle="1" w:styleId="Style1">
    <w:name w:val="Style1"/>
    <w:basedOn w:val="a"/>
    <w:autoRedefine/>
    <w:semiHidden/>
    <w:rsid w:val="00777DCB"/>
    <w:pPr>
      <w:spacing w:after="0" w:line="240" w:lineRule="auto"/>
      <w:jc w:val="center"/>
    </w:pPr>
    <w:rPr>
      <w:rFonts w:ascii="Times New Roman" w:eastAsia="Times New Roman" w:hAnsi="Times New Roman" w:cs="Traditional Arabic"/>
      <w:color w:val="000000"/>
      <w:kern w:val="0"/>
      <w:sz w:val="40"/>
      <w:szCs w:val="48"/>
    </w:rPr>
  </w:style>
  <w:style w:type="character" w:styleId="af5">
    <w:name w:val="page number"/>
    <w:semiHidden/>
    <w:unhideWhenUsed/>
    <w:rsid w:val="00777DCB"/>
    <w:rPr>
      <w:rFonts w:ascii="Traditional Arabic" w:hAnsi="Traditional Arabic" w:cs="Traditional Arabic"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863</Pages>
  <Words>315868</Words>
  <Characters>1800453</Characters>
  <Application>Microsoft Office Word</Application>
  <DocSecurity>0</DocSecurity>
  <Lines>15003</Lines>
  <Paragraphs>4224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2026-05-25T21:55:00Z</dcterms:created>
  <dcterms:modified xsi:type="dcterms:W3CDTF">2026-06-01T15:03:00Z</dcterms:modified>
</cp:coreProperties>
</file>